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1.xml" ContentType="application/vnd.openxmlformats-officedocument.wordprocessingml.head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9.xml" ContentType="application/vnd.openxmlformats-officedocument.wordprocessingml.header+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3.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4.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5.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6.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7.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8.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9.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0.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1.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2.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3.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4.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5.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6.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17.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18.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19.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0.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1.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2.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3.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24.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25.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26.xml" ContentType="application/vnd.openxmlformats-officedocument.themeOverride+xml"/>
  <Override PartName="/word/header2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27.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28.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29.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0.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1.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07AF2F" w14:textId="77777777" w:rsidR="008D0CAD" w:rsidRDefault="008D0CAD" w:rsidP="002320B3"/>
    <w:p w14:paraId="5B74BD0E" w14:textId="77777777" w:rsidR="008D0CAD" w:rsidRPr="0067479C" w:rsidRDefault="008D0CAD" w:rsidP="00FF4CA3">
      <w:pPr>
        <w:pStyle w:val="Heading1"/>
      </w:pPr>
      <w:r w:rsidRPr="0067479C">
        <w:t>Basic Education Sector Transformation (BEST)</w:t>
      </w:r>
    </w:p>
    <w:p w14:paraId="2885A07F" w14:textId="77777777" w:rsidR="008D0CAD" w:rsidRPr="0067479C" w:rsidRDefault="008D0CAD" w:rsidP="00FF4CA3">
      <w:pPr>
        <w:pStyle w:val="Heading1"/>
        <w:rPr>
          <w:color w:val="000000" w:themeColor="text1"/>
          <w:sz w:val="22"/>
          <w:szCs w:val="22"/>
        </w:rPr>
      </w:pPr>
      <w:r w:rsidRPr="0067479C">
        <w:t>End-of-Program Evaluation (EOPE) Study</w:t>
      </w:r>
    </w:p>
    <w:p w14:paraId="6C208B98" w14:textId="77777777" w:rsidR="008D0CAD" w:rsidRPr="00030635" w:rsidRDefault="00877CDC" w:rsidP="002320B3">
      <w:pPr>
        <w:spacing w:after="240"/>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January 2021</w:t>
      </w:r>
    </w:p>
    <w:tbl>
      <w:tblPr>
        <w:tblStyle w:val="TableGrid"/>
        <w:tblpPr w:leftFromText="180" w:rightFromText="180" w:vertAnchor="text" w:horzAnchor="margin" w:tblpY="4443"/>
        <w:tblW w:w="9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0"/>
      </w:tblGrid>
      <w:tr w:rsidR="0009181D" w14:paraId="126DABF9" w14:textId="77777777" w:rsidTr="0009181D">
        <w:tc>
          <w:tcPr>
            <w:tcW w:w="9230" w:type="dxa"/>
          </w:tcPr>
          <w:p w14:paraId="7132489C" w14:textId="77777777" w:rsidR="0009181D" w:rsidRPr="00BE0C4B" w:rsidRDefault="0009181D" w:rsidP="0009181D">
            <w:pPr>
              <w:spacing w:after="240"/>
              <w:rPr>
                <w:rFonts w:asciiTheme="majorHAnsi" w:hAnsiTheme="majorHAnsi" w:cstheme="majorHAnsi"/>
                <w:b/>
                <w:color w:val="000000" w:themeColor="text1"/>
                <w:sz w:val="22"/>
                <w:szCs w:val="22"/>
              </w:rPr>
            </w:pPr>
            <w:r w:rsidRPr="00BE0C4B">
              <w:rPr>
                <w:rFonts w:asciiTheme="majorHAnsi" w:hAnsiTheme="majorHAnsi" w:cstheme="majorHAnsi"/>
                <w:b/>
                <w:color w:val="000000" w:themeColor="text1"/>
                <w:sz w:val="22"/>
                <w:szCs w:val="22"/>
              </w:rPr>
              <w:t>Prepared by:</w:t>
            </w:r>
          </w:p>
          <w:p w14:paraId="311875D8" w14:textId="77777777" w:rsidR="0009181D" w:rsidRDefault="0009181D" w:rsidP="0009181D">
            <w:pPr>
              <w:spacing w:after="240"/>
              <w:rPr>
                <w:rFonts w:ascii="Candara" w:hAnsi="Candara" w:cs="Arial"/>
                <w:color w:val="000000" w:themeColor="text1"/>
                <w:sz w:val="22"/>
                <w:szCs w:val="22"/>
              </w:rPr>
            </w:pPr>
            <w:r>
              <w:rPr>
                <w:noProof/>
                <w:lang w:val="en-AU" w:eastAsia="en-AU"/>
              </w:rPr>
              <w:drawing>
                <wp:inline distT="0" distB="0" distL="0" distR="0" wp14:anchorId="21448967" wp14:editId="5D57E5B8">
                  <wp:extent cx="4309200" cy="763200"/>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Lst>
                          </a:blip>
                          <a:srcRect t="6387" b="65337"/>
                          <a:stretch/>
                        </pic:blipFill>
                        <pic:spPr bwMode="auto">
                          <a:xfrm>
                            <a:off x="0" y="0"/>
                            <a:ext cx="4309200" cy="763200"/>
                          </a:xfrm>
                          <a:prstGeom prst="rect">
                            <a:avLst/>
                          </a:prstGeom>
                          <a:ln>
                            <a:noFill/>
                          </a:ln>
                          <a:extLst>
                            <a:ext uri="{53640926-AAD7-44D8-BBD7-CCE9431645EC}">
                              <a14:shadowObscured xmlns:a14="http://schemas.microsoft.com/office/drawing/2010/main"/>
                            </a:ext>
                          </a:extLst>
                        </pic:spPr>
                      </pic:pic>
                    </a:graphicData>
                  </a:graphic>
                </wp:inline>
              </w:drawing>
            </w:r>
          </w:p>
        </w:tc>
      </w:tr>
      <w:tr w:rsidR="0009181D" w14:paraId="6FC5BE5C" w14:textId="77777777" w:rsidTr="0009181D">
        <w:tc>
          <w:tcPr>
            <w:tcW w:w="9230" w:type="dxa"/>
          </w:tcPr>
          <w:p w14:paraId="146B3465" w14:textId="77777777" w:rsidR="0009181D" w:rsidRPr="00BE0C4B" w:rsidRDefault="0009181D" w:rsidP="0009181D">
            <w:pPr>
              <w:spacing w:after="240"/>
              <w:rPr>
                <w:rFonts w:asciiTheme="majorHAnsi" w:hAnsiTheme="majorHAnsi" w:cstheme="majorHAnsi"/>
                <w:b/>
                <w:color w:val="000000" w:themeColor="text1"/>
                <w:sz w:val="22"/>
                <w:szCs w:val="22"/>
              </w:rPr>
            </w:pPr>
          </w:p>
        </w:tc>
      </w:tr>
      <w:tr w:rsidR="0009181D" w14:paraId="2CA3C18A" w14:textId="77777777" w:rsidTr="0009181D">
        <w:tc>
          <w:tcPr>
            <w:tcW w:w="9230" w:type="dxa"/>
          </w:tcPr>
          <w:p w14:paraId="1024CE0E" w14:textId="77777777" w:rsidR="0009181D" w:rsidRDefault="0009181D" w:rsidP="0009181D">
            <w:pPr>
              <w:spacing w:after="240"/>
              <w:rPr>
                <w:noProof/>
                <w:lang w:val="en-AU" w:eastAsia="en-AU"/>
              </w:rPr>
            </w:pPr>
            <w:r>
              <w:rPr>
                <w:noProof/>
                <w:lang w:val="en-AU" w:eastAsia="en-AU"/>
              </w:rPr>
              <w:drawing>
                <wp:inline distT="0" distB="0" distL="0" distR="0" wp14:anchorId="1014B19E" wp14:editId="04EEB1D9">
                  <wp:extent cx="1390389" cy="629847"/>
                  <wp:effectExtent l="0" t="0" r="635"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4030" cy="640557"/>
                          </a:xfrm>
                          <a:prstGeom prst="rect">
                            <a:avLst/>
                          </a:prstGeom>
                          <a:noFill/>
                          <a:ln>
                            <a:noFill/>
                          </a:ln>
                        </pic:spPr>
                      </pic:pic>
                    </a:graphicData>
                  </a:graphic>
                </wp:inline>
              </w:drawing>
            </w:r>
          </w:p>
          <w:p w14:paraId="6F01A1A9" w14:textId="77777777" w:rsidR="0009181D" w:rsidRPr="00BE0C4B" w:rsidRDefault="0009181D" w:rsidP="0009181D">
            <w:pPr>
              <w:spacing w:after="240"/>
              <w:rPr>
                <w:rFonts w:ascii="Candara" w:hAnsi="Candara" w:cs="Arial"/>
                <w:b/>
                <w:color w:val="000000" w:themeColor="text1"/>
                <w:sz w:val="22"/>
                <w:szCs w:val="22"/>
              </w:rPr>
            </w:pPr>
            <w:r w:rsidRPr="00120FCB">
              <w:rPr>
                <w:rFonts w:asciiTheme="majorHAnsi" w:hAnsiTheme="majorHAnsi" w:cstheme="majorHAnsi"/>
                <w:b/>
                <w:color w:val="000000" w:themeColor="text1"/>
                <w:sz w:val="22"/>
                <w:szCs w:val="22"/>
              </w:rPr>
              <w:t xml:space="preserve">An Australian aid initiative implemented by </w:t>
            </w:r>
            <w:r w:rsidRPr="00120FCB">
              <w:rPr>
                <w:rFonts w:asciiTheme="majorHAnsi" w:hAnsiTheme="majorHAnsi" w:cstheme="majorHAnsi"/>
                <w:b/>
                <w:color w:val="000000" w:themeColor="text1"/>
                <w:sz w:val="22"/>
                <w:szCs w:val="22"/>
              </w:rPr>
              <w:br/>
              <w:t xml:space="preserve">Quality Education Design – Aptissimi Development Innovations Inc. (QED-ADII) Partnership </w:t>
            </w:r>
            <w:r>
              <w:rPr>
                <w:rFonts w:asciiTheme="majorHAnsi" w:hAnsiTheme="majorHAnsi" w:cstheme="majorHAnsi"/>
                <w:b/>
                <w:color w:val="000000" w:themeColor="text1"/>
                <w:sz w:val="22"/>
                <w:szCs w:val="22"/>
              </w:rPr>
              <w:br/>
            </w:r>
            <w:r w:rsidRPr="00120FCB">
              <w:rPr>
                <w:rFonts w:asciiTheme="majorHAnsi" w:hAnsiTheme="majorHAnsi" w:cstheme="majorHAnsi"/>
                <w:b/>
                <w:color w:val="000000" w:themeColor="text1"/>
                <w:sz w:val="22"/>
                <w:szCs w:val="22"/>
              </w:rPr>
              <w:t>on behalf of the Australian Government</w:t>
            </w:r>
          </w:p>
        </w:tc>
      </w:tr>
    </w:tbl>
    <w:p w14:paraId="059CCA0C" w14:textId="77777777" w:rsidR="00F86E5B" w:rsidRDefault="00F86E5B" w:rsidP="002320B3">
      <w:pPr>
        <w:spacing w:after="240"/>
        <w:rPr>
          <w:rFonts w:asciiTheme="majorHAnsi" w:hAnsiTheme="majorHAnsi" w:cstheme="majorHAnsi"/>
          <w:color w:val="000000" w:themeColor="text1"/>
          <w:sz w:val="22"/>
          <w:szCs w:val="22"/>
        </w:rPr>
        <w:sectPr w:rsidR="00F86E5B" w:rsidSect="009C64E9">
          <w:headerReference w:type="default" r:id="rId10"/>
          <w:footerReference w:type="even" r:id="rId11"/>
          <w:footerReference w:type="default" r:id="rId12"/>
          <w:pgSz w:w="11900" w:h="16840"/>
          <w:pgMar w:top="1440" w:right="1440" w:bottom="1440" w:left="1440" w:header="720" w:footer="720" w:gutter="0"/>
          <w:pgNumType w:fmt="lowerRoman"/>
          <w:cols w:space="720"/>
          <w:docGrid w:linePitch="360"/>
        </w:sectPr>
      </w:pPr>
    </w:p>
    <w:p w14:paraId="5EFF8DD4" w14:textId="77777777" w:rsidR="008D0CAD" w:rsidRPr="00657BDD" w:rsidRDefault="008D0CAD" w:rsidP="002320B3">
      <w:pPr>
        <w:rPr>
          <w:rFonts w:asciiTheme="majorHAnsi" w:hAnsiTheme="majorHAnsi" w:cstheme="majorHAnsi"/>
          <w:b/>
          <w:bCs/>
          <w:color w:val="0070C0"/>
          <w:sz w:val="32"/>
          <w:szCs w:val="32"/>
        </w:rPr>
      </w:pPr>
      <w:bookmarkStart w:id="0" w:name="_Toc12711968"/>
      <w:bookmarkStart w:id="1" w:name="_Toc13216247"/>
      <w:r w:rsidRPr="00657BDD">
        <w:rPr>
          <w:rFonts w:asciiTheme="majorHAnsi" w:hAnsiTheme="majorHAnsi" w:cstheme="majorHAnsi"/>
          <w:b/>
          <w:bCs/>
          <w:color w:val="0070C0"/>
          <w:sz w:val="32"/>
          <w:szCs w:val="32"/>
        </w:rPr>
        <w:lastRenderedPageBreak/>
        <w:t>Dedication</w:t>
      </w:r>
    </w:p>
    <w:p w14:paraId="0CF0F12F" w14:textId="77777777" w:rsidR="008D0CAD" w:rsidRDefault="008D0CAD" w:rsidP="002320B3">
      <w:pPr>
        <w:spacing w:after="240"/>
        <w:rPr>
          <w:rFonts w:asciiTheme="majorHAnsi" w:hAnsiTheme="majorHAnsi" w:cstheme="majorHAnsi"/>
        </w:rPr>
      </w:pPr>
    </w:p>
    <w:p w14:paraId="12615285" w14:textId="6E65B924" w:rsidR="008D0CAD" w:rsidRDefault="008D0CAD" w:rsidP="002320B3">
      <w:pPr>
        <w:spacing w:after="240"/>
        <w:rPr>
          <w:rFonts w:asciiTheme="majorHAnsi" w:hAnsiTheme="majorHAnsi" w:cstheme="majorHAnsi"/>
        </w:rPr>
      </w:pPr>
      <w:r>
        <w:rPr>
          <w:rFonts w:asciiTheme="majorHAnsi" w:hAnsiTheme="majorHAnsi" w:cstheme="majorHAnsi"/>
        </w:rPr>
        <w:t>We recognize that while we were completing this Report, our fellow Filipinos and citizens of other nations were struggling with the COVID-19.</w:t>
      </w:r>
      <w:r w:rsidR="00D434EB">
        <w:rPr>
          <w:rFonts w:asciiTheme="majorHAnsi" w:hAnsiTheme="majorHAnsi" w:cstheme="majorHAnsi"/>
        </w:rPr>
        <w:t xml:space="preserve"> </w:t>
      </w:r>
      <w:r>
        <w:rPr>
          <w:rFonts w:asciiTheme="majorHAnsi" w:hAnsiTheme="majorHAnsi" w:cstheme="majorHAnsi"/>
        </w:rPr>
        <w:t>It seemed callous that we went about our business as people around us suffered and died.</w:t>
      </w:r>
    </w:p>
    <w:p w14:paraId="3AA785DE" w14:textId="77777777" w:rsidR="008D0CAD" w:rsidRDefault="008D0CAD" w:rsidP="002320B3">
      <w:pPr>
        <w:spacing w:after="240"/>
        <w:rPr>
          <w:rFonts w:asciiTheme="majorHAnsi" w:hAnsiTheme="majorHAnsi" w:cstheme="majorHAnsi"/>
        </w:rPr>
      </w:pPr>
      <w:r>
        <w:rPr>
          <w:rFonts w:asciiTheme="majorHAnsi" w:hAnsiTheme="majorHAnsi" w:cstheme="majorHAnsi"/>
        </w:rPr>
        <w:t xml:space="preserve">We therefore dedicate this Report to all the men, women and children, </w:t>
      </w:r>
      <w:r w:rsidRPr="00472C8B">
        <w:rPr>
          <w:rFonts w:asciiTheme="majorHAnsi" w:hAnsiTheme="majorHAnsi" w:cstheme="majorHAnsi"/>
          <w:i/>
          <w:iCs/>
        </w:rPr>
        <w:t xml:space="preserve">frontline </w:t>
      </w:r>
      <w:r>
        <w:rPr>
          <w:rFonts w:asciiTheme="majorHAnsi" w:hAnsiTheme="majorHAnsi" w:cstheme="majorHAnsi"/>
          <w:i/>
          <w:iCs/>
        </w:rPr>
        <w:t xml:space="preserve">workers </w:t>
      </w:r>
      <w:r w:rsidRPr="00472C8B">
        <w:rPr>
          <w:rFonts w:asciiTheme="majorHAnsi" w:hAnsiTheme="majorHAnsi" w:cstheme="majorHAnsi"/>
          <w:i/>
          <w:iCs/>
        </w:rPr>
        <w:t>or not</w:t>
      </w:r>
      <w:r>
        <w:rPr>
          <w:rFonts w:asciiTheme="majorHAnsi" w:hAnsiTheme="majorHAnsi" w:cstheme="majorHAnsi"/>
        </w:rPr>
        <w:t>, who have died within the period of the completion of this Report.</w:t>
      </w:r>
    </w:p>
    <w:p w14:paraId="47C76F6A" w14:textId="77777777" w:rsidR="008D0CAD" w:rsidRDefault="008D0CAD" w:rsidP="002320B3">
      <w:pPr>
        <w:spacing w:after="240"/>
        <w:rPr>
          <w:rFonts w:asciiTheme="majorHAnsi" w:hAnsiTheme="majorHAnsi" w:cstheme="majorHAnsi"/>
        </w:rPr>
      </w:pPr>
      <w:r>
        <w:rPr>
          <w:rFonts w:asciiTheme="majorHAnsi" w:hAnsiTheme="majorHAnsi" w:cstheme="majorHAnsi"/>
        </w:rPr>
        <w:t xml:space="preserve">May your souls rest in peace. </w:t>
      </w:r>
    </w:p>
    <w:p w14:paraId="490A0036" w14:textId="77777777" w:rsidR="008D0CAD" w:rsidRDefault="008D0CAD" w:rsidP="002320B3">
      <w:pPr>
        <w:spacing w:after="240"/>
        <w:rPr>
          <w:rFonts w:asciiTheme="majorHAnsi" w:hAnsiTheme="majorHAnsi" w:cstheme="majorHAnsi"/>
        </w:rPr>
      </w:pPr>
      <w:r>
        <w:rPr>
          <w:rFonts w:asciiTheme="majorHAnsi" w:hAnsiTheme="majorHAnsi" w:cstheme="majorHAnsi"/>
        </w:rPr>
        <w:t>11 May 2020</w:t>
      </w:r>
      <w:r w:rsidR="001058BA">
        <w:rPr>
          <w:rFonts w:asciiTheme="majorHAnsi" w:hAnsiTheme="majorHAnsi" w:cstheme="majorHAnsi"/>
        </w:rPr>
        <w:t xml:space="preserve"> </w:t>
      </w:r>
    </w:p>
    <w:p w14:paraId="48E6C0D7" w14:textId="77777777" w:rsidR="008D0CAD" w:rsidRDefault="008D0CAD" w:rsidP="002320B3">
      <w:pPr>
        <w:rPr>
          <w:rFonts w:asciiTheme="majorHAnsi" w:hAnsiTheme="majorHAnsi" w:cstheme="majorHAnsi"/>
          <w:b/>
          <w:bCs/>
          <w:color w:val="0070C0"/>
          <w:sz w:val="32"/>
          <w:szCs w:val="32"/>
        </w:rPr>
      </w:pPr>
      <w:r w:rsidRPr="0067479C">
        <w:rPr>
          <w:rFonts w:asciiTheme="majorHAnsi" w:hAnsiTheme="majorHAnsi" w:cstheme="majorHAnsi"/>
          <w:b/>
          <w:bCs/>
          <w:color w:val="0070C0"/>
          <w:sz w:val="32"/>
          <w:szCs w:val="32"/>
        </w:rPr>
        <w:t>Disclaimer</w:t>
      </w:r>
    </w:p>
    <w:p w14:paraId="026DB4D3" w14:textId="77777777" w:rsidR="008D0CAD" w:rsidRPr="00333FE3" w:rsidRDefault="008D0CAD" w:rsidP="002320B3">
      <w:pPr>
        <w:spacing w:after="240"/>
        <w:rPr>
          <w:rFonts w:asciiTheme="majorHAnsi" w:hAnsiTheme="majorHAnsi" w:cstheme="majorHAnsi"/>
        </w:rPr>
      </w:pPr>
      <w:r>
        <w:rPr>
          <w:rFonts w:asciiTheme="majorHAnsi" w:hAnsiTheme="majorHAnsi" w:cstheme="majorHAnsi"/>
        </w:rPr>
        <w:t xml:space="preserve">The </w:t>
      </w:r>
      <w:r w:rsidRPr="00333FE3">
        <w:rPr>
          <w:rFonts w:asciiTheme="majorHAnsi" w:hAnsiTheme="majorHAnsi" w:cstheme="majorHAnsi"/>
        </w:rPr>
        <w:t>Basic Educati</w:t>
      </w:r>
      <w:r>
        <w:rPr>
          <w:rFonts w:asciiTheme="majorHAnsi" w:hAnsiTheme="majorHAnsi" w:cstheme="majorHAnsi"/>
        </w:rPr>
        <w:t xml:space="preserve">on Sector Transformation (BEST) </w:t>
      </w:r>
      <w:r w:rsidRPr="00333FE3">
        <w:rPr>
          <w:rFonts w:asciiTheme="majorHAnsi" w:hAnsiTheme="majorHAnsi" w:cstheme="majorHAnsi"/>
        </w:rPr>
        <w:t>End-of-Program Evaluation (EOPE) Study</w:t>
      </w:r>
      <w:r>
        <w:rPr>
          <w:rFonts w:asciiTheme="majorHAnsi" w:hAnsiTheme="majorHAnsi" w:cstheme="majorHAnsi"/>
        </w:rPr>
        <w:t xml:space="preserve"> </w:t>
      </w:r>
      <w:r w:rsidRPr="00333FE3">
        <w:rPr>
          <w:rFonts w:asciiTheme="majorHAnsi" w:hAnsiTheme="majorHAnsi" w:cstheme="majorHAnsi"/>
        </w:rPr>
        <w:t xml:space="preserve">has been funded by the Australian Government through the Department of Foreign Affairs and Trade. The views expressed in </w:t>
      </w:r>
      <w:r>
        <w:rPr>
          <w:rFonts w:asciiTheme="majorHAnsi" w:hAnsiTheme="majorHAnsi" w:cstheme="majorHAnsi"/>
        </w:rPr>
        <w:t>this publication are the author</w:t>
      </w:r>
      <w:r w:rsidRPr="00333FE3">
        <w:rPr>
          <w:rFonts w:asciiTheme="majorHAnsi" w:hAnsiTheme="majorHAnsi" w:cstheme="majorHAnsi"/>
        </w:rPr>
        <w:t>s</w:t>
      </w:r>
      <w:r>
        <w:rPr>
          <w:rFonts w:asciiTheme="majorHAnsi" w:hAnsiTheme="majorHAnsi" w:cstheme="majorHAnsi"/>
        </w:rPr>
        <w:t>’</w:t>
      </w:r>
      <w:r w:rsidRPr="00333FE3">
        <w:rPr>
          <w:rFonts w:asciiTheme="majorHAnsi" w:hAnsiTheme="majorHAnsi" w:cstheme="majorHAnsi"/>
        </w:rPr>
        <w:t xml:space="preserve"> alone and are not necessarily the views of the Australian Government. The Australian Government neither endorses the views in this publication, nor vouches for the accuracy or completeness of the information contained within the publication. The Australian Government, its officers, employees and agents, accept no liability for any loss, damage or expense arising out of, or in connection with, any reliance on any omissions or inaccuracies in the material contained in this publication.</w:t>
      </w:r>
    </w:p>
    <w:p w14:paraId="45BEBB4C" w14:textId="77777777" w:rsidR="008D0CAD" w:rsidRDefault="008D0CAD" w:rsidP="002320B3">
      <w:pPr>
        <w:spacing w:after="240"/>
        <w:rPr>
          <w:rFonts w:asciiTheme="majorHAnsi" w:hAnsiTheme="majorHAnsi" w:cstheme="majorHAnsi"/>
        </w:rPr>
      </w:pPr>
      <w:r w:rsidRPr="00333FE3">
        <w:rPr>
          <w:rFonts w:asciiTheme="majorHAnsi" w:hAnsiTheme="majorHAnsi" w:cstheme="majorHAnsi"/>
        </w:rPr>
        <w:t>This publication is intended to provide general information only and before entering into any particular transaction users should: rely on their own enquiries, skill and care in using the information; check with primary sources; and seek independent advice.</w:t>
      </w:r>
    </w:p>
    <w:p w14:paraId="4167A888" w14:textId="77777777" w:rsidR="008D0CAD" w:rsidRDefault="008D0CAD" w:rsidP="002320B3"/>
    <w:p w14:paraId="40B94F89" w14:textId="77777777" w:rsidR="008D0CAD" w:rsidRDefault="008D0CAD" w:rsidP="002320B3">
      <w:pPr>
        <w:pStyle w:val="Heading1"/>
        <w:numPr>
          <w:ilvl w:val="0"/>
          <w:numId w:val="10"/>
        </w:numPr>
        <w:sectPr w:rsidR="008D0CAD" w:rsidSect="009C64E9">
          <w:headerReference w:type="default" r:id="rId13"/>
          <w:pgSz w:w="11900" w:h="16840"/>
          <w:pgMar w:top="1440" w:right="1440" w:bottom="1440" w:left="1440" w:header="720" w:footer="720" w:gutter="0"/>
          <w:pgNumType w:fmt="lowerRoman"/>
          <w:cols w:space="720"/>
          <w:docGrid w:linePitch="360"/>
        </w:sectPr>
      </w:pPr>
    </w:p>
    <w:bookmarkEnd w:id="0"/>
    <w:bookmarkEnd w:id="1"/>
    <w:p w14:paraId="202D045A" w14:textId="77777777" w:rsidR="008D0CAD" w:rsidRPr="00657BDD" w:rsidRDefault="008D0CAD" w:rsidP="002320B3">
      <w:pPr>
        <w:rPr>
          <w:rFonts w:asciiTheme="majorHAnsi" w:hAnsiTheme="majorHAnsi" w:cstheme="majorHAnsi"/>
          <w:b/>
          <w:bCs/>
          <w:color w:val="0070C0"/>
          <w:sz w:val="32"/>
          <w:szCs w:val="32"/>
        </w:rPr>
      </w:pPr>
      <w:r w:rsidRPr="00657BDD">
        <w:rPr>
          <w:rFonts w:asciiTheme="majorHAnsi" w:hAnsiTheme="majorHAnsi" w:cstheme="majorHAnsi"/>
          <w:b/>
          <w:bCs/>
          <w:color w:val="0070C0"/>
          <w:sz w:val="32"/>
          <w:szCs w:val="32"/>
        </w:rPr>
        <w:lastRenderedPageBreak/>
        <w:t>Table of Contents</w:t>
      </w:r>
    </w:p>
    <w:p w14:paraId="7A0CB267" w14:textId="77777777" w:rsidR="008D0CAD" w:rsidRPr="00657BDD" w:rsidRDefault="008D0CAD" w:rsidP="002320B3"/>
    <w:p w14:paraId="1795A2BD" w14:textId="313411CE" w:rsidR="000628B4" w:rsidRDefault="008D0CAD" w:rsidP="002320B3">
      <w:pPr>
        <w:pStyle w:val="TOC2"/>
        <w:tabs>
          <w:tab w:val="right" w:leader="dot" w:pos="9010"/>
        </w:tabs>
        <w:rPr>
          <w:rFonts w:eastAsiaTheme="minorEastAsia" w:cstheme="minorBidi"/>
          <w:smallCaps w:val="0"/>
          <w:noProof/>
          <w:sz w:val="22"/>
          <w:szCs w:val="22"/>
          <w:lang w:val="en-AU" w:eastAsia="en-AU"/>
        </w:rPr>
      </w:pPr>
      <w:r>
        <w:rPr>
          <w:rFonts w:ascii="Candara" w:hAnsi="Candara"/>
          <w:sz w:val="22"/>
          <w:szCs w:val="22"/>
        </w:rPr>
        <w:fldChar w:fldCharType="begin"/>
      </w:r>
      <w:r>
        <w:rPr>
          <w:rFonts w:ascii="Candara" w:hAnsi="Candara"/>
          <w:sz w:val="22"/>
          <w:szCs w:val="22"/>
        </w:rPr>
        <w:instrText xml:space="preserve"> TOC \o "1-3" \h \z \u </w:instrText>
      </w:r>
      <w:r>
        <w:rPr>
          <w:rFonts w:ascii="Candara" w:hAnsi="Candara"/>
          <w:sz w:val="22"/>
          <w:szCs w:val="22"/>
        </w:rPr>
        <w:fldChar w:fldCharType="separate"/>
      </w:r>
      <w:hyperlink w:anchor="_Toc69820426" w:history="1">
        <w:r w:rsidR="000628B4" w:rsidRPr="001A4C08">
          <w:rPr>
            <w:rStyle w:val="Hyperlink"/>
            <w:noProof/>
          </w:rPr>
          <w:t>Acknowledgements</w:t>
        </w:r>
        <w:r w:rsidR="000628B4">
          <w:rPr>
            <w:noProof/>
            <w:webHidden/>
          </w:rPr>
          <w:tab/>
        </w:r>
        <w:r w:rsidR="000628B4">
          <w:rPr>
            <w:noProof/>
            <w:webHidden/>
          </w:rPr>
          <w:fldChar w:fldCharType="begin"/>
        </w:r>
        <w:r w:rsidR="000628B4">
          <w:rPr>
            <w:noProof/>
            <w:webHidden/>
          </w:rPr>
          <w:instrText xml:space="preserve"> PAGEREF _Toc69820426 \h </w:instrText>
        </w:r>
        <w:r w:rsidR="000628B4">
          <w:rPr>
            <w:noProof/>
            <w:webHidden/>
          </w:rPr>
        </w:r>
        <w:r w:rsidR="000628B4">
          <w:rPr>
            <w:noProof/>
            <w:webHidden/>
          </w:rPr>
          <w:fldChar w:fldCharType="separate"/>
        </w:r>
        <w:r w:rsidR="00D6133D">
          <w:rPr>
            <w:noProof/>
            <w:webHidden/>
          </w:rPr>
          <w:t>iv</w:t>
        </w:r>
        <w:r w:rsidR="000628B4">
          <w:rPr>
            <w:noProof/>
            <w:webHidden/>
          </w:rPr>
          <w:fldChar w:fldCharType="end"/>
        </w:r>
      </w:hyperlink>
    </w:p>
    <w:p w14:paraId="6290EA7A" w14:textId="397EE73E" w:rsidR="000628B4" w:rsidRDefault="00092C0F" w:rsidP="002320B3">
      <w:pPr>
        <w:pStyle w:val="TOC2"/>
        <w:tabs>
          <w:tab w:val="right" w:leader="dot" w:pos="9010"/>
        </w:tabs>
        <w:rPr>
          <w:rFonts w:eastAsiaTheme="minorEastAsia" w:cstheme="minorBidi"/>
          <w:smallCaps w:val="0"/>
          <w:noProof/>
          <w:sz w:val="22"/>
          <w:szCs w:val="22"/>
          <w:lang w:val="en-AU" w:eastAsia="en-AU"/>
        </w:rPr>
      </w:pPr>
      <w:hyperlink w:anchor="_Toc69820427" w:history="1">
        <w:r w:rsidR="000628B4" w:rsidRPr="001A4C08">
          <w:rPr>
            <w:rStyle w:val="Hyperlink"/>
            <w:noProof/>
          </w:rPr>
          <w:t>Glossary, Acronyms &amp; Abbreviations</w:t>
        </w:r>
        <w:r w:rsidR="000628B4">
          <w:rPr>
            <w:noProof/>
            <w:webHidden/>
          </w:rPr>
          <w:tab/>
        </w:r>
        <w:r w:rsidR="000628B4">
          <w:rPr>
            <w:noProof/>
            <w:webHidden/>
          </w:rPr>
          <w:fldChar w:fldCharType="begin"/>
        </w:r>
        <w:r w:rsidR="000628B4">
          <w:rPr>
            <w:noProof/>
            <w:webHidden/>
          </w:rPr>
          <w:instrText xml:space="preserve"> PAGEREF _Toc69820427 \h </w:instrText>
        </w:r>
        <w:r w:rsidR="000628B4">
          <w:rPr>
            <w:noProof/>
            <w:webHidden/>
          </w:rPr>
        </w:r>
        <w:r w:rsidR="000628B4">
          <w:rPr>
            <w:noProof/>
            <w:webHidden/>
          </w:rPr>
          <w:fldChar w:fldCharType="separate"/>
        </w:r>
        <w:r w:rsidR="00D6133D">
          <w:rPr>
            <w:noProof/>
            <w:webHidden/>
          </w:rPr>
          <w:t>vii</w:t>
        </w:r>
        <w:r w:rsidR="000628B4">
          <w:rPr>
            <w:noProof/>
            <w:webHidden/>
          </w:rPr>
          <w:fldChar w:fldCharType="end"/>
        </w:r>
      </w:hyperlink>
    </w:p>
    <w:p w14:paraId="6C80358A" w14:textId="6A52ECF4" w:rsidR="000628B4" w:rsidRDefault="00092C0F" w:rsidP="002320B3">
      <w:pPr>
        <w:pStyle w:val="TOC2"/>
        <w:tabs>
          <w:tab w:val="right" w:leader="dot" w:pos="9010"/>
        </w:tabs>
        <w:rPr>
          <w:rFonts w:eastAsiaTheme="minorEastAsia" w:cstheme="minorBidi"/>
          <w:smallCaps w:val="0"/>
          <w:noProof/>
          <w:sz w:val="22"/>
          <w:szCs w:val="22"/>
          <w:lang w:val="en-AU" w:eastAsia="en-AU"/>
        </w:rPr>
      </w:pPr>
      <w:hyperlink w:anchor="_Toc69820428" w:history="1">
        <w:r w:rsidR="000628B4" w:rsidRPr="001A4C08">
          <w:rPr>
            <w:rStyle w:val="Hyperlink"/>
            <w:noProof/>
          </w:rPr>
          <w:t>Tables, Figures, Boxes and Annexes</w:t>
        </w:r>
        <w:r w:rsidR="000628B4">
          <w:rPr>
            <w:noProof/>
            <w:webHidden/>
          </w:rPr>
          <w:tab/>
        </w:r>
        <w:r w:rsidR="000628B4">
          <w:rPr>
            <w:noProof/>
            <w:webHidden/>
          </w:rPr>
          <w:fldChar w:fldCharType="begin"/>
        </w:r>
        <w:r w:rsidR="000628B4">
          <w:rPr>
            <w:noProof/>
            <w:webHidden/>
          </w:rPr>
          <w:instrText xml:space="preserve"> PAGEREF _Toc69820428 \h </w:instrText>
        </w:r>
        <w:r w:rsidR="000628B4">
          <w:rPr>
            <w:noProof/>
            <w:webHidden/>
          </w:rPr>
        </w:r>
        <w:r w:rsidR="000628B4">
          <w:rPr>
            <w:noProof/>
            <w:webHidden/>
          </w:rPr>
          <w:fldChar w:fldCharType="separate"/>
        </w:r>
        <w:r w:rsidR="00D6133D">
          <w:rPr>
            <w:noProof/>
            <w:webHidden/>
          </w:rPr>
          <w:t>viii</w:t>
        </w:r>
        <w:r w:rsidR="000628B4">
          <w:rPr>
            <w:noProof/>
            <w:webHidden/>
          </w:rPr>
          <w:fldChar w:fldCharType="end"/>
        </w:r>
      </w:hyperlink>
    </w:p>
    <w:p w14:paraId="0D92EC91" w14:textId="1D815C2E" w:rsidR="000628B4" w:rsidRDefault="00092C0F" w:rsidP="002320B3">
      <w:pPr>
        <w:pStyle w:val="TOC2"/>
        <w:tabs>
          <w:tab w:val="right" w:leader="dot" w:pos="9010"/>
        </w:tabs>
        <w:rPr>
          <w:rFonts w:eastAsiaTheme="minorEastAsia" w:cstheme="minorBidi"/>
          <w:smallCaps w:val="0"/>
          <w:noProof/>
          <w:sz w:val="22"/>
          <w:szCs w:val="22"/>
          <w:lang w:val="en-AU" w:eastAsia="en-AU"/>
        </w:rPr>
      </w:pPr>
      <w:hyperlink w:anchor="_Toc69820429" w:history="1">
        <w:r w:rsidR="000628B4" w:rsidRPr="001A4C08">
          <w:rPr>
            <w:rStyle w:val="Hyperlink"/>
            <w:noProof/>
          </w:rPr>
          <w:t>Executive Summary</w:t>
        </w:r>
        <w:r w:rsidR="000628B4">
          <w:rPr>
            <w:noProof/>
            <w:webHidden/>
          </w:rPr>
          <w:tab/>
        </w:r>
        <w:r w:rsidR="000628B4">
          <w:rPr>
            <w:noProof/>
            <w:webHidden/>
          </w:rPr>
          <w:fldChar w:fldCharType="begin"/>
        </w:r>
        <w:r w:rsidR="000628B4">
          <w:rPr>
            <w:noProof/>
            <w:webHidden/>
          </w:rPr>
          <w:instrText xml:space="preserve"> PAGEREF _Toc69820429 \h </w:instrText>
        </w:r>
        <w:r w:rsidR="000628B4">
          <w:rPr>
            <w:noProof/>
            <w:webHidden/>
          </w:rPr>
        </w:r>
        <w:r w:rsidR="000628B4">
          <w:rPr>
            <w:noProof/>
            <w:webHidden/>
          </w:rPr>
          <w:fldChar w:fldCharType="separate"/>
        </w:r>
        <w:r w:rsidR="00D6133D">
          <w:rPr>
            <w:noProof/>
            <w:webHidden/>
          </w:rPr>
          <w:t>xii</w:t>
        </w:r>
        <w:r w:rsidR="000628B4">
          <w:rPr>
            <w:noProof/>
            <w:webHidden/>
          </w:rPr>
          <w:fldChar w:fldCharType="end"/>
        </w:r>
      </w:hyperlink>
    </w:p>
    <w:p w14:paraId="588A2CD9" w14:textId="2B05A2AD" w:rsidR="000628B4" w:rsidRDefault="00092C0F" w:rsidP="002320B3">
      <w:pPr>
        <w:pStyle w:val="TOC2"/>
        <w:tabs>
          <w:tab w:val="left" w:pos="720"/>
          <w:tab w:val="right" w:leader="dot" w:pos="9010"/>
        </w:tabs>
        <w:rPr>
          <w:rFonts w:eastAsiaTheme="minorEastAsia" w:cstheme="minorBidi"/>
          <w:smallCaps w:val="0"/>
          <w:noProof/>
          <w:sz w:val="22"/>
          <w:szCs w:val="22"/>
          <w:lang w:val="en-AU" w:eastAsia="en-AU"/>
        </w:rPr>
      </w:pPr>
      <w:hyperlink w:anchor="_Toc69820430" w:history="1">
        <w:r w:rsidR="000628B4" w:rsidRPr="001A4C08">
          <w:rPr>
            <w:rStyle w:val="Hyperlink"/>
            <w:noProof/>
          </w:rPr>
          <w:t>1.</w:t>
        </w:r>
        <w:r w:rsidR="000628B4">
          <w:rPr>
            <w:rFonts w:eastAsiaTheme="minorEastAsia" w:cstheme="minorBidi"/>
            <w:smallCaps w:val="0"/>
            <w:noProof/>
            <w:sz w:val="22"/>
            <w:szCs w:val="22"/>
            <w:lang w:val="en-AU" w:eastAsia="en-AU"/>
          </w:rPr>
          <w:tab/>
        </w:r>
        <w:r w:rsidR="000628B4" w:rsidRPr="001A4C08">
          <w:rPr>
            <w:rStyle w:val="Hyperlink"/>
            <w:noProof/>
          </w:rPr>
          <w:t>Background</w:t>
        </w:r>
        <w:r w:rsidR="000628B4">
          <w:rPr>
            <w:noProof/>
            <w:webHidden/>
          </w:rPr>
          <w:tab/>
        </w:r>
        <w:r w:rsidR="000628B4">
          <w:rPr>
            <w:noProof/>
            <w:webHidden/>
          </w:rPr>
          <w:fldChar w:fldCharType="begin"/>
        </w:r>
        <w:r w:rsidR="000628B4">
          <w:rPr>
            <w:noProof/>
            <w:webHidden/>
          </w:rPr>
          <w:instrText xml:space="preserve"> PAGEREF _Toc69820430 \h </w:instrText>
        </w:r>
        <w:r w:rsidR="000628B4">
          <w:rPr>
            <w:noProof/>
            <w:webHidden/>
          </w:rPr>
        </w:r>
        <w:r w:rsidR="000628B4">
          <w:rPr>
            <w:noProof/>
            <w:webHidden/>
          </w:rPr>
          <w:fldChar w:fldCharType="separate"/>
        </w:r>
        <w:r w:rsidR="00D6133D">
          <w:rPr>
            <w:noProof/>
            <w:webHidden/>
          </w:rPr>
          <w:t>25</w:t>
        </w:r>
        <w:r w:rsidR="000628B4">
          <w:rPr>
            <w:noProof/>
            <w:webHidden/>
          </w:rPr>
          <w:fldChar w:fldCharType="end"/>
        </w:r>
      </w:hyperlink>
    </w:p>
    <w:p w14:paraId="47E7672F" w14:textId="07BE5094" w:rsidR="000628B4" w:rsidRDefault="00092C0F" w:rsidP="002320B3">
      <w:pPr>
        <w:pStyle w:val="TOC3"/>
        <w:rPr>
          <w:rFonts w:eastAsiaTheme="minorEastAsia" w:cstheme="minorBidi"/>
          <w:i w:val="0"/>
          <w:iCs w:val="0"/>
          <w:noProof/>
          <w:sz w:val="22"/>
          <w:szCs w:val="22"/>
          <w:lang w:val="en-AU" w:eastAsia="en-AU"/>
        </w:rPr>
      </w:pPr>
      <w:hyperlink w:anchor="_Toc69820431" w:history="1">
        <w:r w:rsidR="000628B4" w:rsidRPr="001A4C08">
          <w:rPr>
            <w:rStyle w:val="Hyperlink"/>
            <w:noProof/>
          </w:rPr>
          <w:t>1.1. Philippine Basic Education Sector</w:t>
        </w:r>
        <w:r w:rsidR="000628B4">
          <w:rPr>
            <w:noProof/>
            <w:webHidden/>
          </w:rPr>
          <w:tab/>
        </w:r>
        <w:r w:rsidR="000628B4">
          <w:rPr>
            <w:noProof/>
            <w:webHidden/>
          </w:rPr>
          <w:fldChar w:fldCharType="begin"/>
        </w:r>
        <w:r w:rsidR="000628B4">
          <w:rPr>
            <w:noProof/>
            <w:webHidden/>
          </w:rPr>
          <w:instrText xml:space="preserve"> PAGEREF _Toc69820431 \h </w:instrText>
        </w:r>
        <w:r w:rsidR="000628B4">
          <w:rPr>
            <w:noProof/>
            <w:webHidden/>
          </w:rPr>
        </w:r>
        <w:r w:rsidR="000628B4">
          <w:rPr>
            <w:noProof/>
            <w:webHidden/>
          </w:rPr>
          <w:fldChar w:fldCharType="separate"/>
        </w:r>
        <w:r w:rsidR="00D6133D">
          <w:rPr>
            <w:noProof/>
            <w:webHidden/>
          </w:rPr>
          <w:t>26</w:t>
        </w:r>
        <w:r w:rsidR="000628B4">
          <w:rPr>
            <w:noProof/>
            <w:webHidden/>
          </w:rPr>
          <w:fldChar w:fldCharType="end"/>
        </w:r>
      </w:hyperlink>
    </w:p>
    <w:p w14:paraId="136E5490" w14:textId="6A6260A8" w:rsidR="000628B4" w:rsidRDefault="00092C0F" w:rsidP="002320B3">
      <w:pPr>
        <w:pStyle w:val="TOC3"/>
        <w:tabs>
          <w:tab w:val="left" w:pos="1200"/>
        </w:tabs>
        <w:rPr>
          <w:rFonts w:eastAsiaTheme="minorEastAsia" w:cstheme="minorBidi"/>
          <w:i w:val="0"/>
          <w:iCs w:val="0"/>
          <w:noProof/>
          <w:sz w:val="22"/>
          <w:szCs w:val="22"/>
          <w:lang w:val="en-AU" w:eastAsia="en-AU"/>
        </w:rPr>
      </w:pPr>
      <w:hyperlink w:anchor="_Toc69820432" w:history="1">
        <w:r w:rsidR="000628B4" w:rsidRPr="001A4C08">
          <w:rPr>
            <w:rStyle w:val="Hyperlink"/>
            <w:noProof/>
          </w:rPr>
          <w:t>1.2.</w:t>
        </w:r>
        <w:r w:rsidR="000628B4">
          <w:rPr>
            <w:rFonts w:eastAsiaTheme="minorEastAsia" w:cstheme="minorBidi"/>
            <w:i w:val="0"/>
            <w:iCs w:val="0"/>
            <w:noProof/>
            <w:sz w:val="22"/>
            <w:szCs w:val="22"/>
            <w:lang w:val="en-AU" w:eastAsia="en-AU"/>
          </w:rPr>
          <w:tab/>
        </w:r>
        <w:r w:rsidR="000628B4" w:rsidRPr="001A4C08">
          <w:rPr>
            <w:rStyle w:val="Hyperlink"/>
            <w:noProof/>
          </w:rPr>
          <w:t>Basic Education Sector Transformation (BEST) Program</w:t>
        </w:r>
        <w:r w:rsidR="000628B4">
          <w:rPr>
            <w:noProof/>
            <w:webHidden/>
          </w:rPr>
          <w:tab/>
        </w:r>
        <w:r w:rsidR="000628B4">
          <w:rPr>
            <w:noProof/>
            <w:webHidden/>
          </w:rPr>
          <w:fldChar w:fldCharType="begin"/>
        </w:r>
        <w:r w:rsidR="000628B4">
          <w:rPr>
            <w:noProof/>
            <w:webHidden/>
          </w:rPr>
          <w:instrText xml:space="preserve"> PAGEREF _Toc69820432 \h </w:instrText>
        </w:r>
        <w:r w:rsidR="000628B4">
          <w:rPr>
            <w:noProof/>
            <w:webHidden/>
          </w:rPr>
        </w:r>
        <w:r w:rsidR="000628B4">
          <w:rPr>
            <w:noProof/>
            <w:webHidden/>
          </w:rPr>
          <w:fldChar w:fldCharType="separate"/>
        </w:r>
        <w:r w:rsidR="00D6133D">
          <w:rPr>
            <w:noProof/>
            <w:webHidden/>
          </w:rPr>
          <w:t>28</w:t>
        </w:r>
        <w:r w:rsidR="000628B4">
          <w:rPr>
            <w:noProof/>
            <w:webHidden/>
          </w:rPr>
          <w:fldChar w:fldCharType="end"/>
        </w:r>
      </w:hyperlink>
    </w:p>
    <w:p w14:paraId="0AAECDAA" w14:textId="6A2A0F31" w:rsidR="000628B4" w:rsidRDefault="00092C0F" w:rsidP="002320B3">
      <w:pPr>
        <w:pStyle w:val="TOC2"/>
        <w:tabs>
          <w:tab w:val="left" w:pos="720"/>
          <w:tab w:val="right" w:leader="dot" w:pos="9010"/>
        </w:tabs>
        <w:rPr>
          <w:rFonts w:eastAsiaTheme="minorEastAsia" w:cstheme="minorBidi"/>
          <w:smallCaps w:val="0"/>
          <w:noProof/>
          <w:sz w:val="22"/>
          <w:szCs w:val="22"/>
          <w:lang w:val="en-AU" w:eastAsia="en-AU"/>
        </w:rPr>
      </w:pPr>
      <w:hyperlink w:anchor="_Toc69820433" w:history="1">
        <w:r w:rsidR="000628B4" w:rsidRPr="001A4C08">
          <w:rPr>
            <w:rStyle w:val="Hyperlink"/>
            <w:noProof/>
          </w:rPr>
          <w:t>2.</w:t>
        </w:r>
        <w:r w:rsidR="000628B4">
          <w:rPr>
            <w:rFonts w:eastAsiaTheme="minorEastAsia" w:cstheme="minorBidi"/>
            <w:smallCaps w:val="0"/>
            <w:noProof/>
            <w:sz w:val="22"/>
            <w:szCs w:val="22"/>
            <w:lang w:val="en-AU" w:eastAsia="en-AU"/>
          </w:rPr>
          <w:tab/>
        </w:r>
        <w:r w:rsidR="000628B4" w:rsidRPr="001A4C08">
          <w:rPr>
            <w:rStyle w:val="Hyperlink"/>
            <w:noProof/>
          </w:rPr>
          <w:t>Methodology</w:t>
        </w:r>
        <w:r w:rsidR="000628B4">
          <w:rPr>
            <w:noProof/>
            <w:webHidden/>
          </w:rPr>
          <w:tab/>
        </w:r>
        <w:r w:rsidR="000628B4">
          <w:rPr>
            <w:noProof/>
            <w:webHidden/>
          </w:rPr>
          <w:fldChar w:fldCharType="begin"/>
        </w:r>
        <w:r w:rsidR="000628B4">
          <w:rPr>
            <w:noProof/>
            <w:webHidden/>
          </w:rPr>
          <w:instrText xml:space="preserve"> PAGEREF _Toc69820433 \h </w:instrText>
        </w:r>
        <w:r w:rsidR="000628B4">
          <w:rPr>
            <w:noProof/>
            <w:webHidden/>
          </w:rPr>
        </w:r>
        <w:r w:rsidR="000628B4">
          <w:rPr>
            <w:noProof/>
            <w:webHidden/>
          </w:rPr>
          <w:fldChar w:fldCharType="separate"/>
        </w:r>
        <w:r w:rsidR="00D6133D">
          <w:rPr>
            <w:noProof/>
            <w:webHidden/>
          </w:rPr>
          <w:t>36</w:t>
        </w:r>
        <w:r w:rsidR="000628B4">
          <w:rPr>
            <w:noProof/>
            <w:webHidden/>
          </w:rPr>
          <w:fldChar w:fldCharType="end"/>
        </w:r>
      </w:hyperlink>
    </w:p>
    <w:p w14:paraId="6F14B2D2" w14:textId="0D27133B" w:rsidR="000628B4" w:rsidRDefault="00092C0F" w:rsidP="002320B3">
      <w:pPr>
        <w:pStyle w:val="TOC3"/>
        <w:tabs>
          <w:tab w:val="left" w:pos="1200"/>
        </w:tabs>
        <w:rPr>
          <w:rFonts w:eastAsiaTheme="minorEastAsia" w:cstheme="minorBidi"/>
          <w:i w:val="0"/>
          <w:iCs w:val="0"/>
          <w:noProof/>
          <w:sz w:val="22"/>
          <w:szCs w:val="22"/>
          <w:lang w:val="en-AU" w:eastAsia="en-AU"/>
        </w:rPr>
      </w:pPr>
      <w:hyperlink w:anchor="_Toc69820434" w:history="1">
        <w:r w:rsidR="000628B4" w:rsidRPr="001A4C08">
          <w:rPr>
            <w:rStyle w:val="Hyperlink"/>
            <w:noProof/>
          </w:rPr>
          <w:t>2.1.</w:t>
        </w:r>
        <w:r w:rsidR="000628B4">
          <w:rPr>
            <w:rFonts w:eastAsiaTheme="minorEastAsia" w:cstheme="minorBidi"/>
            <w:i w:val="0"/>
            <w:iCs w:val="0"/>
            <w:noProof/>
            <w:sz w:val="22"/>
            <w:szCs w:val="22"/>
            <w:lang w:val="en-AU" w:eastAsia="en-AU"/>
          </w:rPr>
          <w:tab/>
        </w:r>
        <w:r w:rsidR="000628B4" w:rsidRPr="001A4C08">
          <w:rPr>
            <w:rStyle w:val="Hyperlink"/>
            <w:noProof/>
          </w:rPr>
          <w:t>Evaluation Framework</w:t>
        </w:r>
        <w:r w:rsidR="000628B4">
          <w:rPr>
            <w:noProof/>
            <w:webHidden/>
          </w:rPr>
          <w:tab/>
        </w:r>
        <w:r w:rsidR="000628B4">
          <w:rPr>
            <w:noProof/>
            <w:webHidden/>
          </w:rPr>
          <w:fldChar w:fldCharType="begin"/>
        </w:r>
        <w:r w:rsidR="000628B4">
          <w:rPr>
            <w:noProof/>
            <w:webHidden/>
          </w:rPr>
          <w:instrText xml:space="preserve"> PAGEREF _Toc69820434 \h </w:instrText>
        </w:r>
        <w:r w:rsidR="000628B4">
          <w:rPr>
            <w:noProof/>
            <w:webHidden/>
          </w:rPr>
        </w:r>
        <w:r w:rsidR="000628B4">
          <w:rPr>
            <w:noProof/>
            <w:webHidden/>
          </w:rPr>
          <w:fldChar w:fldCharType="separate"/>
        </w:r>
        <w:r w:rsidR="00D6133D">
          <w:rPr>
            <w:noProof/>
            <w:webHidden/>
          </w:rPr>
          <w:t>36</w:t>
        </w:r>
        <w:r w:rsidR="000628B4">
          <w:rPr>
            <w:noProof/>
            <w:webHidden/>
          </w:rPr>
          <w:fldChar w:fldCharType="end"/>
        </w:r>
      </w:hyperlink>
    </w:p>
    <w:p w14:paraId="081D07BF" w14:textId="0089AE6C" w:rsidR="000628B4" w:rsidRDefault="00092C0F" w:rsidP="002320B3">
      <w:pPr>
        <w:pStyle w:val="TOC3"/>
        <w:tabs>
          <w:tab w:val="left" w:pos="1200"/>
        </w:tabs>
        <w:rPr>
          <w:rFonts w:eastAsiaTheme="minorEastAsia" w:cstheme="minorBidi"/>
          <w:i w:val="0"/>
          <w:iCs w:val="0"/>
          <w:noProof/>
          <w:sz w:val="22"/>
          <w:szCs w:val="22"/>
          <w:lang w:val="en-AU" w:eastAsia="en-AU"/>
        </w:rPr>
      </w:pPr>
      <w:hyperlink w:anchor="_Toc69820435" w:history="1">
        <w:r w:rsidR="000628B4" w:rsidRPr="001A4C08">
          <w:rPr>
            <w:rStyle w:val="Hyperlink"/>
            <w:noProof/>
          </w:rPr>
          <w:t>2.2.</w:t>
        </w:r>
        <w:r w:rsidR="000628B4">
          <w:rPr>
            <w:rFonts w:eastAsiaTheme="minorEastAsia" w:cstheme="minorBidi"/>
            <w:i w:val="0"/>
            <w:iCs w:val="0"/>
            <w:noProof/>
            <w:sz w:val="22"/>
            <w:szCs w:val="22"/>
            <w:lang w:val="en-AU" w:eastAsia="en-AU"/>
          </w:rPr>
          <w:tab/>
        </w:r>
        <w:r w:rsidR="000628B4" w:rsidRPr="001A4C08">
          <w:rPr>
            <w:rStyle w:val="Hyperlink"/>
            <w:noProof/>
          </w:rPr>
          <w:t>Sampling Design</w:t>
        </w:r>
        <w:r w:rsidR="000628B4">
          <w:rPr>
            <w:noProof/>
            <w:webHidden/>
          </w:rPr>
          <w:tab/>
        </w:r>
        <w:r w:rsidR="000628B4">
          <w:rPr>
            <w:noProof/>
            <w:webHidden/>
          </w:rPr>
          <w:fldChar w:fldCharType="begin"/>
        </w:r>
        <w:r w:rsidR="000628B4">
          <w:rPr>
            <w:noProof/>
            <w:webHidden/>
          </w:rPr>
          <w:instrText xml:space="preserve"> PAGEREF _Toc69820435 \h </w:instrText>
        </w:r>
        <w:r w:rsidR="000628B4">
          <w:rPr>
            <w:noProof/>
            <w:webHidden/>
          </w:rPr>
        </w:r>
        <w:r w:rsidR="000628B4">
          <w:rPr>
            <w:noProof/>
            <w:webHidden/>
          </w:rPr>
          <w:fldChar w:fldCharType="separate"/>
        </w:r>
        <w:r w:rsidR="00D6133D">
          <w:rPr>
            <w:noProof/>
            <w:webHidden/>
          </w:rPr>
          <w:t>38</w:t>
        </w:r>
        <w:r w:rsidR="000628B4">
          <w:rPr>
            <w:noProof/>
            <w:webHidden/>
          </w:rPr>
          <w:fldChar w:fldCharType="end"/>
        </w:r>
      </w:hyperlink>
    </w:p>
    <w:p w14:paraId="5CBEDBC3" w14:textId="1FB6A754" w:rsidR="000628B4" w:rsidRDefault="00092C0F" w:rsidP="002320B3">
      <w:pPr>
        <w:pStyle w:val="TOC3"/>
        <w:tabs>
          <w:tab w:val="left" w:pos="1200"/>
        </w:tabs>
        <w:rPr>
          <w:rFonts w:eastAsiaTheme="minorEastAsia" w:cstheme="minorBidi"/>
          <w:i w:val="0"/>
          <w:iCs w:val="0"/>
          <w:noProof/>
          <w:sz w:val="22"/>
          <w:szCs w:val="22"/>
          <w:lang w:val="en-AU" w:eastAsia="en-AU"/>
        </w:rPr>
      </w:pPr>
      <w:hyperlink w:anchor="_Toc69820436" w:history="1">
        <w:r w:rsidR="000628B4" w:rsidRPr="001A4C08">
          <w:rPr>
            <w:rStyle w:val="Hyperlink"/>
            <w:noProof/>
          </w:rPr>
          <w:t>2.3.</w:t>
        </w:r>
        <w:r w:rsidR="000628B4">
          <w:rPr>
            <w:rFonts w:eastAsiaTheme="minorEastAsia" w:cstheme="minorBidi"/>
            <w:i w:val="0"/>
            <w:iCs w:val="0"/>
            <w:noProof/>
            <w:sz w:val="22"/>
            <w:szCs w:val="22"/>
            <w:lang w:val="en-AU" w:eastAsia="en-AU"/>
          </w:rPr>
          <w:tab/>
        </w:r>
        <w:r w:rsidR="000628B4" w:rsidRPr="001A4C08">
          <w:rPr>
            <w:rStyle w:val="Hyperlink"/>
            <w:noProof/>
          </w:rPr>
          <w:t>Data Collection Methods</w:t>
        </w:r>
        <w:r w:rsidR="000628B4">
          <w:rPr>
            <w:noProof/>
            <w:webHidden/>
          </w:rPr>
          <w:tab/>
        </w:r>
        <w:r w:rsidR="000628B4">
          <w:rPr>
            <w:noProof/>
            <w:webHidden/>
          </w:rPr>
          <w:fldChar w:fldCharType="begin"/>
        </w:r>
        <w:r w:rsidR="000628B4">
          <w:rPr>
            <w:noProof/>
            <w:webHidden/>
          </w:rPr>
          <w:instrText xml:space="preserve"> PAGEREF _Toc69820436 \h </w:instrText>
        </w:r>
        <w:r w:rsidR="000628B4">
          <w:rPr>
            <w:noProof/>
            <w:webHidden/>
          </w:rPr>
        </w:r>
        <w:r w:rsidR="000628B4">
          <w:rPr>
            <w:noProof/>
            <w:webHidden/>
          </w:rPr>
          <w:fldChar w:fldCharType="separate"/>
        </w:r>
        <w:r w:rsidR="00D6133D">
          <w:rPr>
            <w:noProof/>
            <w:webHidden/>
          </w:rPr>
          <w:t>39</w:t>
        </w:r>
        <w:r w:rsidR="000628B4">
          <w:rPr>
            <w:noProof/>
            <w:webHidden/>
          </w:rPr>
          <w:fldChar w:fldCharType="end"/>
        </w:r>
      </w:hyperlink>
    </w:p>
    <w:p w14:paraId="2101BC95" w14:textId="11BDAE78" w:rsidR="000628B4" w:rsidRDefault="00092C0F" w:rsidP="002320B3">
      <w:pPr>
        <w:pStyle w:val="TOC3"/>
        <w:tabs>
          <w:tab w:val="left" w:pos="1200"/>
        </w:tabs>
        <w:rPr>
          <w:rFonts w:eastAsiaTheme="minorEastAsia" w:cstheme="minorBidi"/>
          <w:i w:val="0"/>
          <w:iCs w:val="0"/>
          <w:noProof/>
          <w:sz w:val="22"/>
          <w:szCs w:val="22"/>
          <w:lang w:val="en-AU" w:eastAsia="en-AU"/>
        </w:rPr>
      </w:pPr>
      <w:hyperlink w:anchor="_Toc69820437" w:history="1">
        <w:r w:rsidR="000628B4" w:rsidRPr="001A4C08">
          <w:rPr>
            <w:rStyle w:val="Hyperlink"/>
            <w:noProof/>
          </w:rPr>
          <w:t>2.4.</w:t>
        </w:r>
        <w:r w:rsidR="000628B4">
          <w:rPr>
            <w:rFonts w:eastAsiaTheme="minorEastAsia" w:cstheme="minorBidi"/>
            <w:i w:val="0"/>
            <w:iCs w:val="0"/>
            <w:noProof/>
            <w:sz w:val="22"/>
            <w:szCs w:val="22"/>
            <w:lang w:val="en-AU" w:eastAsia="en-AU"/>
          </w:rPr>
          <w:tab/>
        </w:r>
        <w:r w:rsidR="000628B4" w:rsidRPr="001A4C08">
          <w:rPr>
            <w:rStyle w:val="Hyperlink"/>
            <w:noProof/>
          </w:rPr>
          <w:t>Study Limitations</w:t>
        </w:r>
        <w:r w:rsidR="000628B4">
          <w:rPr>
            <w:noProof/>
            <w:webHidden/>
          </w:rPr>
          <w:tab/>
        </w:r>
        <w:r w:rsidR="000628B4">
          <w:rPr>
            <w:noProof/>
            <w:webHidden/>
          </w:rPr>
          <w:fldChar w:fldCharType="begin"/>
        </w:r>
        <w:r w:rsidR="000628B4">
          <w:rPr>
            <w:noProof/>
            <w:webHidden/>
          </w:rPr>
          <w:instrText xml:space="preserve"> PAGEREF _Toc69820437 \h </w:instrText>
        </w:r>
        <w:r w:rsidR="000628B4">
          <w:rPr>
            <w:noProof/>
            <w:webHidden/>
          </w:rPr>
        </w:r>
        <w:r w:rsidR="000628B4">
          <w:rPr>
            <w:noProof/>
            <w:webHidden/>
          </w:rPr>
          <w:fldChar w:fldCharType="separate"/>
        </w:r>
        <w:r w:rsidR="00D6133D">
          <w:rPr>
            <w:noProof/>
            <w:webHidden/>
          </w:rPr>
          <w:t>41</w:t>
        </w:r>
        <w:r w:rsidR="000628B4">
          <w:rPr>
            <w:noProof/>
            <w:webHidden/>
          </w:rPr>
          <w:fldChar w:fldCharType="end"/>
        </w:r>
      </w:hyperlink>
    </w:p>
    <w:p w14:paraId="5AAC5374" w14:textId="4C05DB8C" w:rsidR="000628B4" w:rsidRDefault="00092C0F" w:rsidP="002320B3">
      <w:pPr>
        <w:pStyle w:val="TOC2"/>
        <w:tabs>
          <w:tab w:val="left" w:pos="720"/>
          <w:tab w:val="right" w:leader="dot" w:pos="9010"/>
        </w:tabs>
        <w:rPr>
          <w:rFonts w:eastAsiaTheme="minorEastAsia" w:cstheme="minorBidi"/>
          <w:smallCaps w:val="0"/>
          <w:noProof/>
          <w:sz w:val="22"/>
          <w:szCs w:val="22"/>
          <w:lang w:val="en-AU" w:eastAsia="en-AU"/>
        </w:rPr>
      </w:pPr>
      <w:hyperlink w:anchor="_Toc69820438" w:history="1">
        <w:r w:rsidR="000628B4" w:rsidRPr="001A4C08">
          <w:rPr>
            <w:rStyle w:val="Hyperlink"/>
            <w:noProof/>
          </w:rPr>
          <w:t>3.</w:t>
        </w:r>
        <w:r w:rsidR="000628B4">
          <w:rPr>
            <w:rFonts w:eastAsiaTheme="minorEastAsia" w:cstheme="minorBidi"/>
            <w:smallCaps w:val="0"/>
            <w:noProof/>
            <w:sz w:val="22"/>
            <w:szCs w:val="22"/>
            <w:lang w:val="en-AU" w:eastAsia="en-AU"/>
          </w:rPr>
          <w:tab/>
        </w:r>
        <w:r w:rsidR="000628B4" w:rsidRPr="001A4C08">
          <w:rPr>
            <w:rStyle w:val="Hyperlink"/>
            <w:noProof/>
          </w:rPr>
          <w:t>Study Findings</w:t>
        </w:r>
        <w:r w:rsidR="000628B4">
          <w:rPr>
            <w:noProof/>
            <w:webHidden/>
          </w:rPr>
          <w:tab/>
        </w:r>
        <w:r w:rsidR="000628B4">
          <w:rPr>
            <w:noProof/>
            <w:webHidden/>
          </w:rPr>
          <w:fldChar w:fldCharType="begin"/>
        </w:r>
        <w:r w:rsidR="000628B4">
          <w:rPr>
            <w:noProof/>
            <w:webHidden/>
          </w:rPr>
          <w:instrText xml:space="preserve"> PAGEREF _Toc69820438 \h </w:instrText>
        </w:r>
        <w:r w:rsidR="000628B4">
          <w:rPr>
            <w:noProof/>
            <w:webHidden/>
          </w:rPr>
        </w:r>
        <w:r w:rsidR="000628B4">
          <w:rPr>
            <w:noProof/>
            <w:webHidden/>
          </w:rPr>
          <w:fldChar w:fldCharType="separate"/>
        </w:r>
        <w:r w:rsidR="00D6133D">
          <w:rPr>
            <w:noProof/>
            <w:webHidden/>
          </w:rPr>
          <w:t>42</w:t>
        </w:r>
        <w:r w:rsidR="000628B4">
          <w:rPr>
            <w:noProof/>
            <w:webHidden/>
          </w:rPr>
          <w:fldChar w:fldCharType="end"/>
        </w:r>
      </w:hyperlink>
    </w:p>
    <w:p w14:paraId="200A733E" w14:textId="65A46B04" w:rsidR="000628B4" w:rsidRDefault="00092C0F" w:rsidP="002320B3">
      <w:pPr>
        <w:pStyle w:val="TOC3"/>
        <w:tabs>
          <w:tab w:val="left" w:pos="1200"/>
        </w:tabs>
        <w:rPr>
          <w:rFonts w:eastAsiaTheme="minorEastAsia" w:cstheme="minorBidi"/>
          <w:i w:val="0"/>
          <w:iCs w:val="0"/>
          <w:noProof/>
          <w:sz w:val="22"/>
          <w:szCs w:val="22"/>
          <w:lang w:val="en-AU" w:eastAsia="en-AU"/>
        </w:rPr>
      </w:pPr>
      <w:hyperlink w:anchor="_Toc69820439" w:history="1">
        <w:r w:rsidR="000628B4" w:rsidRPr="001A4C08">
          <w:rPr>
            <w:rStyle w:val="Hyperlink"/>
            <w:noProof/>
          </w:rPr>
          <w:t>3.1.</w:t>
        </w:r>
        <w:r w:rsidR="000628B4">
          <w:rPr>
            <w:rFonts w:eastAsiaTheme="minorEastAsia" w:cstheme="minorBidi"/>
            <w:i w:val="0"/>
            <w:iCs w:val="0"/>
            <w:noProof/>
            <w:sz w:val="22"/>
            <w:szCs w:val="22"/>
            <w:lang w:val="en-AU" w:eastAsia="en-AU"/>
          </w:rPr>
          <w:tab/>
        </w:r>
        <w:r w:rsidR="000628B4" w:rsidRPr="001A4C08">
          <w:rPr>
            <w:rStyle w:val="Hyperlink"/>
            <w:noProof/>
          </w:rPr>
          <w:t>Design of the BEST Program</w:t>
        </w:r>
        <w:r w:rsidR="000628B4">
          <w:rPr>
            <w:noProof/>
            <w:webHidden/>
          </w:rPr>
          <w:tab/>
        </w:r>
        <w:r w:rsidR="000628B4">
          <w:rPr>
            <w:noProof/>
            <w:webHidden/>
          </w:rPr>
          <w:fldChar w:fldCharType="begin"/>
        </w:r>
        <w:r w:rsidR="000628B4">
          <w:rPr>
            <w:noProof/>
            <w:webHidden/>
          </w:rPr>
          <w:instrText xml:space="preserve"> PAGEREF _Toc69820439 \h </w:instrText>
        </w:r>
        <w:r w:rsidR="000628B4">
          <w:rPr>
            <w:noProof/>
            <w:webHidden/>
          </w:rPr>
        </w:r>
        <w:r w:rsidR="000628B4">
          <w:rPr>
            <w:noProof/>
            <w:webHidden/>
          </w:rPr>
          <w:fldChar w:fldCharType="separate"/>
        </w:r>
        <w:r w:rsidR="00D6133D">
          <w:rPr>
            <w:noProof/>
            <w:webHidden/>
          </w:rPr>
          <w:t>42</w:t>
        </w:r>
        <w:r w:rsidR="000628B4">
          <w:rPr>
            <w:noProof/>
            <w:webHidden/>
          </w:rPr>
          <w:fldChar w:fldCharType="end"/>
        </w:r>
      </w:hyperlink>
    </w:p>
    <w:p w14:paraId="4BF3CCCB" w14:textId="74E47040" w:rsidR="000628B4" w:rsidRDefault="00092C0F" w:rsidP="002320B3">
      <w:pPr>
        <w:pStyle w:val="TOC3"/>
        <w:tabs>
          <w:tab w:val="left" w:pos="1200"/>
        </w:tabs>
        <w:rPr>
          <w:rFonts w:eastAsiaTheme="minorEastAsia" w:cstheme="minorBidi"/>
          <w:i w:val="0"/>
          <w:iCs w:val="0"/>
          <w:noProof/>
          <w:sz w:val="22"/>
          <w:szCs w:val="22"/>
          <w:lang w:val="en-AU" w:eastAsia="en-AU"/>
        </w:rPr>
      </w:pPr>
      <w:hyperlink w:anchor="_Toc69820440" w:history="1">
        <w:r w:rsidR="000628B4" w:rsidRPr="001A4C08">
          <w:rPr>
            <w:rStyle w:val="Hyperlink"/>
            <w:noProof/>
          </w:rPr>
          <w:t>3.2.</w:t>
        </w:r>
        <w:r w:rsidR="000628B4">
          <w:rPr>
            <w:rFonts w:eastAsiaTheme="minorEastAsia" w:cstheme="minorBidi"/>
            <w:i w:val="0"/>
            <w:iCs w:val="0"/>
            <w:noProof/>
            <w:sz w:val="22"/>
            <w:szCs w:val="22"/>
            <w:lang w:val="en-AU" w:eastAsia="en-AU"/>
          </w:rPr>
          <w:tab/>
        </w:r>
        <w:r w:rsidR="000628B4" w:rsidRPr="001A4C08">
          <w:rPr>
            <w:rStyle w:val="Hyperlink"/>
            <w:noProof/>
          </w:rPr>
          <w:t>On Student Mastery of the K - 12 Curricula</w:t>
        </w:r>
        <w:r w:rsidR="000628B4">
          <w:rPr>
            <w:noProof/>
            <w:webHidden/>
          </w:rPr>
          <w:tab/>
        </w:r>
        <w:r w:rsidR="000628B4">
          <w:rPr>
            <w:noProof/>
            <w:webHidden/>
          </w:rPr>
          <w:fldChar w:fldCharType="begin"/>
        </w:r>
        <w:r w:rsidR="000628B4">
          <w:rPr>
            <w:noProof/>
            <w:webHidden/>
          </w:rPr>
          <w:instrText xml:space="preserve"> PAGEREF _Toc69820440 \h </w:instrText>
        </w:r>
        <w:r w:rsidR="000628B4">
          <w:rPr>
            <w:noProof/>
            <w:webHidden/>
          </w:rPr>
        </w:r>
        <w:r w:rsidR="000628B4">
          <w:rPr>
            <w:noProof/>
            <w:webHidden/>
          </w:rPr>
          <w:fldChar w:fldCharType="separate"/>
        </w:r>
        <w:r w:rsidR="00D6133D">
          <w:rPr>
            <w:noProof/>
            <w:webHidden/>
          </w:rPr>
          <w:t>47</w:t>
        </w:r>
        <w:r w:rsidR="000628B4">
          <w:rPr>
            <w:noProof/>
            <w:webHidden/>
          </w:rPr>
          <w:fldChar w:fldCharType="end"/>
        </w:r>
      </w:hyperlink>
    </w:p>
    <w:p w14:paraId="63045538" w14:textId="49984C98" w:rsidR="000628B4" w:rsidRDefault="00092C0F" w:rsidP="002320B3">
      <w:pPr>
        <w:pStyle w:val="TOC3"/>
        <w:tabs>
          <w:tab w:val="left" w:pos="1200"/>
        </w:tabs>
        <w:rPr>
          <w:rFonts w:eastAsiaTheme="minorEastAsia" w:cstheme="minorBidi"/>
          <w:i w:val="0"/>
          <w:iCs w:val="0"/>
          <w:noProof/>
          <w:sz w:val="22"/>
          <w:szCs w:val="22"/>
          <w:lang w:val="en-AU" w:eastAsia="en-AU"/>
        </w:rPr>
      </w:pPr>
      <w:hyperlink w:anchor="_Toc69820441" w:history="1">
        <w:r w:rsidR="000628B4" w:rsidRPr="001A4C08">
          <w:rPr>
            <w:rStyle w:val="Hyperlink"/>
            <w:noProof/>
          </w:rPr>
          <w:t>3.3.</w:t>
        </w:r>
        <w:r w:rsidR="000628B4">
          <w:rPr>
            <w:rFonts w:eastAsiaTheme="minorEastAsia" w:cstheme="minorBidi"/>
            <w:i w:val="0"/>
            <w:iCs w:val="0"/>
            <w:noProof/>
            <w:sz w:val="22"/>
            <w:szCs w:val="22"/>
            <w:lang w:val="en-AU" w:eastAsia="en-AU"/>
          </w:rPr>
          <w:tab/>
        </w:r>
        <w:r w:rsidR="000628B4" w:rsidRPr="001A4C08">
          <w:rPr>
            <w:rStyle w:val="Hyperlink"/>
            <w:noProof/>
          </w:rPr>
          <w:t>Student Participation</w:t>
        </w:r>
        <w:r w:rsidR="000628B4">
          <w:rPr>
            <w:noProof/>
            <w:webHidden/>
          </w:rPr>
          <w:tab/>
        </w:r>
        <w:r w:rsidR="000628B4">
          <w:rPr>
            <w:noProof/>
            <w:webHidden/>
          </w:rPr>
          <w:fldChar w:fldCharType="begin"/>
        </w:r>
        <w:r w:rsidR="000628B4">
          <w:rPr>
            <w:noProof/>
            <w:webHidden/>
          </w:rPr>
          <w:instrText xml:space="preserve"> PAGEREF _Toc69820441 \h </w:instrText>
        </w:r>
        <w:r w:rsidR="000628B4">
          <w:rPr>
            <w:noProof/>
            <w:webHidden/>
          </w:rPr>
        </w:r>
        <w:r w:rsidR="000628B4">
          <w:rPr>
            <w:noProof/>
            <w:webHidden/>
          </w:rPr>
          <w:fldChar w:fldCharType="separate"/>
        </w:r>
        <w:r w:rsidR="00D6133D">
          <w:rPr>
            <w:noProof/>
            <w:webHidden/>
          </w:rPr>
          <w:t>96</w:t>
        </w:r>
        <w:r w:rsidR="000628B4">
          <w:rPr>
            <w:noProof/>
            <w:webHidden/>
          </w:rPr>
          <w:fldChar w:fldCharType="end"/>
        </w:r>
      </w:hyperlink>
    </w:p>
    <w:p w14:paraId="38463E81" w14:textId="30CC5523" w:rsidR="000628B4" w:rsidRDefault="00092C0F" w:rsidP="002320B3">
      <w:pPr>
        <w:pStyle w:val="TOC3"/>
        <w:tabs>
          <w:tab w:val="left" w:pos="1200"/>
        </w:tabs>
        <w:rPr>
          <w:rFonts w:eastAsiaTheme="minorEastAsia" w:cstheme="minorBidi"/>
          <w:i w:val="0"/>
          <w:iCs w:val="0"/>
          <w:noProof/>
          <w:sz w:val="22"/>
          <w:szCs w:val="22"/>
          <w:lang w:val="en-AU" w:eastAsia="en-AU"/>
        </w:rPr>
      </w:pPr>
      <w:hyperlink w:anchor="_Toc69820442" w:history="1">
        <w:r w:rsidR="000628B4" w:rsidRPr="001A4C08">
          <w:rPr>
            <w:rStyle w:val="Hyperlink"/>
            <w:noProof/>
          </w:rPr>
          <w:t>3.4.</w:t>
        </w:r>
        <w:r w:rsidR="000628B4">
          <w:rPr>
            <w:rFonts w:eastAsiaTheme="minorEastAsia" w:cstheme="minorBidi"/>
            <w:i w:val="0"/>
            <w:iCs w:val="0"/>
            <w:noProof/>
            <w:sz w:val="22"/>
            <w:szCs w:val="22"/>
            <w:lang w:val="en-AU" w:eastAsia="en-AU"/>
          </w:rPr>
          <w:tab/>
        </w:r>
        <w:r w:rsidR="000628B4" w:rsidRPr="001A4C08">
          <w:rPr>
            <w:rStyle w:val="Hyperlink"/>
            <w:noProof/>
          </w:rPr>
          <w:t>On enhancing DepEd’s Capacity to deliver inclusive and responsive basic education services</w:t>
        </w:r>
        <w:r w:rsidR="000628B4">
          <w:rPr>
            <w:noProof/>
            <w:webHidden/>
          </w:rPr>
          <w:tab/>
        </w:r>
        <w:r w:rsidR="000628B4">
          <w:rPr>
            <w:noProof/>
            <w:webHidden/>
          </w:rPr>
          <w:fldChar w:fldCharType="begin"/>
        </w:r>
        <w:r w:rsidR="000628B4">
          <w:rPr>
            <w:noProof/>
            <w:webHidden/>
          </w:rPr>
          <w:instrText xml:space="preserve"> PAGEREF _Toc69820442 \h </w:instrText>
        </w:r>
        <w:r w:rsidR="000628B4">
          <w:rPr>
            <w:noProof/>
            <w:webHidden/>
          </w:rPr>
        </w:r>
        <w:r w:rsidR="000628B4">
          <w:rPr>
            <w:noProof/>
            <w:webHidden/>
          </w:rPr>
          <w:fldChar w:fldCharType="separate"/>
        </w:r>
        <w:r w:rsidR="00D6133D">
          <w:rPr>
            <w:noProof/>
            <w:webHidden/>
          </w:rPr>
          <w:t>111</w:t>
        </w:r>
        <w:r w:rsidR="000628B4">
          <w:rPr>
            <w:noProof/>
            <w:webHidden/>
          </w:rPr>
          <w:fldChar w:fldCharType="end"/>
        </w:r>
      </w:hyperlink>
    </w:p>
    <w:p w14:paraId="79D8A9AF" w14:textId="323BBEE3" w:rsidR="000628B4" w:rsidRDefault="00092C0F" w:rsidP="002320B3">
      <w:pPr>
        <w:pStyle w:val="TOC3"/>
        <w:tabs>
          <w:tab w:val="left" w:pos="1200"/>
        </w:tabs>
        <w:rPr>
          <w:rFonts w:eastAsiaTheme="minorEastAsia" w:cstheme="minorBidi"/>
          <w:i w:val="0"/>
          <w:iCs w:val="0"/>
          <w:noProof/>
          <w:sz w:val="22"/>
          <w:szCs w:val="22"/>
          <w:lang w:val="en-AU" w:eastAsia="en-AU"/>
        </w:rPr>
      </w:pPr>
      <w:hyperlink w:anchor="_Toc69820443" w:history="1">
        <w:r w:rsidR="000628B4" w:rsidRPr="001A4C08">
          <w:rPr>
            <w:rStyle w:val="Hyperlink"/>
            <w:noProof/>
          </w:rPr>
          <w:t>3.5.</w:t>
        </w:r>
        <w:r w:rsidR="000628B4">
          <w:rPr>
            <w:rFonts w:eastAsiaTheme="minorEastAsia" w:cstheme="minorBidi"/>
            <w:i w:val="0"/>
            <w:iCs w:val="0"/>
            <w:noProof/>
            <w:sz w:val="22"/>
            <w:szCs w:val="22"/>
            <w:lang w:val="en-AU" w:eastAsia="en-AU"/>
          </w:rPr>
          <w:tab/>
        </w:r>
        <w:r w:rsidR="000628B4" w:rsidRPr="001A4C08">
          <w:rPr>
            <w:rStyle w:val="Hyperlink"/>
            <w:noProof/>
          </w:rPr>
          <w:t>Facilitating and Hindering Factors</w:t>
        </w:r>
        <w:r w:rsidR="000628B4">
          <w:rPr>
            <w:noProof/>
            <w:webHidden/>
          </w:rPr>
          <w:tab/>
        </w:r>
        <w:r w:rsidR="000628B4">
          <w:rPr>
            <w:noProof/>
            <w:webHidden/>
          </w:rPr>
          <w:fldChar w:fldCharType="begin"/>
        </w:r>
        <w:r w:rsidR="000628B4">
          <w:rPr>
            <w:noProof/>
            <w:webHidden/>
          </w:rPr>
          <w:instrText xml:space="preserve"> PAGEREF _Toc69820443 \h </w:instrText>
        </w:r>
        <w:r w:rsidR="000628B4">
          <w:rPr>
            <w:noProof/>
            <w:webHidden/>
          </w:rPr>
        </w:r>
        <w:r w:rsidR="000628B4">
          <w:rPr>
            <w:noProof/>
            <w:webHidden/>
          </w:rPr>
          <w:fldChar w:fldCharType="separate"/>
        </w:r>
        <w:r w:rsidR="00D6133D">
          <w:rPr>
            <w:noProof/>
            <w:webHidden/>
          </w:rPr>
          <w:t>147</w:t>
        </w:r>
        <w:r w:rsidR="000628B4">
          <w:rPr>
            <w:noProof/>
            <w:webHidden/>
          </w:rPr>
          <w:fldChar w:fldCharType="end"/>
        </w:r>
      </w:hyperlink>
    </w:p>
    <w:p w14:paraId="07F2A214" w14:textId="3AAF3F22" w:rsidR="000628B4" w:rsidRDefault="00092C0F" w:rsidP="002320B3">
      <w:pPr>
        <w:pStyle w:val="TOC3"/>
        <w:tabs>
          <w:tab w:val="left" w:pos="1200"/>
        </w:tabs>
        <w:rPr>
          <w:rFonts w:eastAsiaTheme="minorEastAsia" w:cstheme="minorBidi"/>
          <w:i w:val="0"/>
          <w:iCs w:val="0"/>
          <w:noProof/>
          <w:sz w:val="22"/>
          <w:szCs w:val="22"/>
          <w:lang w:val="en-AU" w:eastAsia="en-AU"/>
        </w:rPr>
      </w:pPr>
      <w:hyperlink w:anchor="_Toc69820444" w:history="1">
        <w:r w:rsidR="000628B4" w:rsidRPr="001A4C08">
          <w:rPr>
            <w:rStyle w:val="Hyperlink"/>
            <w:noProof/>
          </w:rPr>
          <w:t>3.6.</w:t>
        </w:r>
        <w:r w:rsidR="000628B4">
          <w:rPr>
            <w:rFonts w:eastAsiaTheme="minorEastAsia" w:cstheme="minorBidi"/>
            <w:i w:val="0"/>
            <w:iCs w:val="0"/>
            <w:noProof/>
            <w:sz w:val="22"/>
            <w:szCs w:val="22"/>
            <w:lang w:val="en-AU" w:eastAsia="en-AU"/>
          </w:rPr>
          <w:tab/>
        </w:r>
        <w:r w:rsidR="000628B4" w:rsidRPr="001A4C08">
          <w:rPr>
            <w:rStyle w:val="Hyperlink"/>
            <w:noProof/>
          </w:rPr>
          <w:t>Capacity Building under the BEST Program</w:t>
        </w:r>
        <w:r w:rsidR="000628B4">
          <w:rPr>
            <w:noProof/>
            <w:webHidden/>
          </w:rPr>
          <w:tab/>
        </w:r>
        <w:r w:rsidR="000628B4">
          <w:rPr>
            <w:noProof/>
            <w:webHidden/>
          </w:rPr>
          <w:fldChar w:fldCharType="begin"/>
        </w:r>
        <w:r w:rsidR="000628B4">
          <w:rPr>
            <w:noProof/>
            <w:webHidden/>
          </w:rPr>
          <w:instrText xml:space="preserve"> PAGEREF _Toc69820444 \h </w:instrText>
        </w:r>
        <w:r w:rsidR="000628B4">
          <w:rPr>
            <w:noProof/>
            <w:webHidden/>
          </w:rPr>
        </w:r>
        <w:r w:rsidR="000628B4">
          <w:rPr>
            <w:noProof/>
            <w:webHidden/>
          </w:rPr>
          <w:fldChar w:fldCharType="separate"/>
        </w:r>
        <w:r w:rsidR="00D6133D">
          <w:rPr>
            <w:noProof/>
            <w:webHidden/>
          </w:rPr>
          <w:t>162</w:t>
        </w:r>
        <w:r w:rsidR="000628B4">
          <w:rPr>
            <w:noProof/>
            <w:webHidden/>
          </w:rPr>
          <w:fldChar w:fldCharType="end"/>
        </w:r>
      </w:hyperlink>
    </w:p>
    <w:p w14:paraId="0240845A" w14:textId="117B00A6" w:rsidR="000628B4" w:rsidRDefault="00092C0F" w:rsidP="002320B3">
      <w:pPr>
        <w:pStyle w:val="TOC3"/>
        <w:tabs>
          <w:tab w:val="left" w:pos="1200"/>
        </w:tabs>
        <w:rPr>
          <w:rFonts w:eastAsiaTheme="minorEastAsia" w:cstheme="minorBidi"/>
          <w:i w:val="0"/>
          <w:iCs w:val="0"/>
          <w:noProof/>
          <w:sz w:val="22"/>
          <w:szCs w:val="22"/>
          <w:lang w:val="en-AU" w:eastAsia="en-AU"/>
        </w:rPr>
      </w:pPr>
      <w:hyperlink w:anchor="_Toc69820445" w:history="1">
        <w:r w:rsidR="000628B4" w:rsidRPr="001A4C08">
          <w:rPr>
            <w:rStyle w:val="Hyperlink"/>
            <w:noProof/>
          </w:rPr>
          <w:t>3.7.</w:t>
        </w:r>
        <w:r w:rsidR="000628B4">
          <w:rPr>
            <w:rFonts w:eastAsiaTheme="minorEastAsia" w:cstheme="minorBidi"/>
            <w:i w:val="0"/>
            <w:iCs w:val="0"/>
            <w:noProof/>
            <w:sz w:val="22"/>
            <w:szCs w:val="22"/>
            <w:lang w:val="en-AU" w:eastAsia="en-AU"/>
          </w:rPr>
          <w:tab/>
        </w:r>
        <w:r w:rsidR="000628B4" w:rsidRPr="001A4C08">
          <w:rPr>
            <w:rStyle w:val="Hyperlink"/>
            <w:noProof/>
          </w:rPr>
          <w:t>Program Governance and Management</w:t>
        </w:r>
        <w:r w:rsidR="000628B4">
          <w:rPr>
            <w:noProof/>
            <w:webHidden/>
          </w:rPr>
          <w:tab/>
        </w:r>
        <w:r w:rsidR="000628B4">
          <w:rPr>
            <w:noProof/>
            <w:webHidden/>
          </w:rPr>
          <w:fldChar w:fldCharType="begin"/>
        </w:r>
        <w:r w:rsidR="000628B4">
          <w:rPr>
            <w:noProof/>
            <w:webHidden/>
          </w:rPr>
          <w:instrText xml:space="preserve"> PAGEREF _Toc69820445 \h </w:instrText>
        </w:r>
        <w:r w:rsidR="000628B4">
          <w:rPr>
            <w:noProof/>
            <w:webHidden/>
          </w:rPr>
        </w:r>
        <w:r w:rsidR="000628B4">
          <w:rPr>
            <w:noProof/>
            <w:webHidden/>
          </w:rPr>
          <w:fldChar w:fldCharType="separate"/>
        </w:r>
        <w:r w:rsidR="00D6133D">
          <w:rPr>
            <w:noProof/>
            <w:webHidden/>
          </w:rPr>
          <w:t>165</w:t>
        </w:r>
        <w:r w:rsidR="000628B4">
          <w:rPr>
            <w:noProof/>
            <w:webHidden/>
          </w:rPr>
          <w:fldChar w:fldCharType="end"/>
        </w:r>
      </w:hyperlink>
    </w:p>
    <w:p w14:paraId="0022352F" w14:textId="13393CB6" w:rsidR="000628B4" w:rsidRDefault="00092C0F" w:rsidP="002320B3">
      <w:pPr>
        <w:pStyle w:val="TOC2"/>
        <w:tabs>
          <w:tab w:val="left" w:pos="720"/>
          <w:tab w:val="right" w:leader="dot" w:pos="9010"/>
        </w:tabs>
        <w:rPr>
          <w:rFonts w:eastAsiaTheme="minorEastAsia" w:cstheme="minorBidi"/>
          <w:smallCaps w:val="0"/>
          <w:noProof/>
          <w:sz w:val="22"/>
          <w:szCs w:val="22"/>
          <w:lang w:val="en-AU" w:eastAsia="en-AU"/>
        </w:rPr>
      </w:pPr>
      <w:hyperlink w:anchor="_Toc69820446" w:history="1">
        <w:r w:rsidR="000628B4" w:rsidRPr="001A4C08">
          <w:rPr>
            <w:rStyle w:val="Hyperlink"/>
            <w:noProof/>
          </w:rPr>
          <w:t>4.</w:t>
        </w:r>
        <w:r w:rsidR="000628B4">
          <w:rPr>
            <w:rFonts w:eastAsiaTheme="minorEastAsia" w:cstheme="minorBidi"/>
            <w:smallCaps w:val="0"/>
            <w:noProof/>
            <w:sz w:val="22"/>
            <w:szCs w:val="22"/>
            <w:lang w:val="en-AU" w:eastAsia="en-AU"/>
          </w:rPr>
          <w:tab/>
        </w:r>
        <w:r w:rsidR="000628B4" w:rsidRPr="001A4C08">
          <w:rPr>
            <w:rStyle w:val="Hyperlink"/>
            <w:noProof/>
          </w:rPr>
          <w:t>Assessment of Contributions of 10 Program Interventions to Outcomes</w:t>
        </w:r>
        <w:r w:rsidR="000628B4">
          <w:rPr>
            <w:noProof/>
            <w:webHidden/>
          </w:rPr>
          <w:tab/>
        </w:r>
        <w:r w:rsidR="000628B4">
          <w:rPr>
            <w:noProof/>
            <w:webHidden/>
          </w:rPr>
          <w:fldChar w:fldCharType="begin"/>
        </w:r>
        <w:r w:rsidR="000628B4">
          <w:rPr>
            <w:noProof/>
            <w:webHidden/>
          </w:rPr>
          <w:instrText xml:space="preserve"> PAGEREF _Toc69820446 \h </w:instrText>
        </w:r>
        <w:r w:rsidR="000628B4">
          <w:rPr>
            <w:noProof/>
            <w:webHidden/>
          </w:rPr>
        </w:r>
        <w:r w:rsidR="000628B4">
          <w:rPr>
            <w:noProof/>
            <w:webHidden/>
          </w:rPr>
          <w:fldChar w:fldCharType="separate"/>
        </w:r>
        <w:r w:rsidR="00D6133D">
          <w:rPr>
            <w:noProof/>
            <w:webHidden/>
          </w:rPr>
          <w:t>175</w:t>
        </w:r>
        <w:r w:rsidR="000628B4">
          <w:rPr>
            <w:noProof/>
            <w:webHidden/>
          </w:rPr>
          <w:fldChar w:fldCharType="end"/>
        </w:r>
      </w:hyperlink>
    </w:p>
    <w:p w14:paraId="3B5F004D" w14:textId="0764CCAB" w:rsidR="000628B4" w:rsidRDefault="00092C0F" w:rsidP="002320B3">
      <w:pPr>
        <w:pStyle w:val="TOC3"/>
        <w:rPr>
          <w:rFonts w:eastAsiaTheme="minorEastAsia" w:cstheme="minorBidi"/>
          <w:i w:val="0"/>
          <w:iCs w:val="0"/>
          <w:noProof/>
          <w:sz w:val="22"/>
          <w:szCs w:val="22"/>
          <w:lang w:val="en-AU" w:eastAsia="en-AU"/>
        </w:rPr>
      </w:pPr>
      <w:hyperlink w:anchor="_Toc69820447" w:history="1">
        <w:r w:rsidR="000628B4" w:rsidRPr="001A4C08">
          <w:rPr>
            <w:rStyle w:val="Hyperlink"/>
            <w:noProof/>
          </w:rPr>
          <w:t>4.1. Relevance</w:t>
        </w:r>
        <w:r w:rsidR="000628B4">
          <w:rPr>
            <w:noProof/>
            <w:webHidden/>
          </w:rPr>
          <w:tab/>
        </w:r>
        <w:r w:rsidR="000628B4">
          <w:rPr>
            <w:noProof/>
            <w:webHidden/>
          </w:rPr>
          <w:fldChar w:fldCharType="begin"/>
        </w:r>
        <w:r w:rsidR="000628B4">
          <w:rPr>
            <w:noProof/>
            <w:webHidden/>
          </w:rPr>
          <w:instrText xml:space="preserve"> PAGEREF _Toc69820447 \h </w:instrText>
        </w:r>
        <w:r w:rsidR="000628B4">
          <w:rPr>
            <w:noProof/>
            <w:webHidden/>
          </w:rPr>
        </w:r>
        <w:r w:rsidR="000628B4">
          <w:rPr>
            <w:noProof/>
            <w:webHidden/>
          </w:rPr>
          <w:fldChar w:fldCharType="separate"/>
        </w:r>
        <w:r w:rsidR="00D6133D">
          <w:rPr>
            <w:noProof/>
            <w:webHidden/>
          </w:rPr>
          <w:t>176</w:t>
        </w:r>
        <w:r w:rsidR="000628B4">
          <w:rPr>
            <w:noProof/>
            <w:webHidden/>
          </w:rPr>
          <w:fldChar w:fldCharType="end"/>
        </w:r>
      </w:hyperlink>
    </w:p>
    <w:p w14:paraId="469B6B99" w14:textId="1378A566" w:rsidR="000628B4" w:rsidRDefault="00092C0F" w:rsidP="002320B3">
      <w:pPr>
        <w:pStyle w:val="TOC3"/>
        <w:rPr>
          <w:rFonts w:eastAsiaTheme="minorEastAsia" w:cstheme="minorBidi"/>
          <w:i w:val="0"/>
          <w:iCs w:val="0"/>
          <w:noProof/>
          <w:sz w:val="22"/>
          <w:szCs w:val="22"/>
          <w:lang w:val="en-AU" w:eastAsia="en-AU"/>
        </w:rPr>
      </w:pPr>
      <w:hyperlink w:anchor="_Toc69820448" w:history="1">
        <w:r w:rsidR="000628B4" w:rsidRPr="001A4C08">
          <w:rPr>
            <w:rStyle w:val="Hyperlink"/>
            <w:noProof/>
          </w:rPr>
          <w:t>4.2. Efficiency</w:t>
        </w:r>
        <w:r w:rsidR="000628B4">
          <w:rPr>
            <w:noProof/>
            <w:webHidden/>
          </w:rPr>
          <w:tab/>
        </w:r>
        <w:r w:rsidR="000628B4">
          <w:rPr>
            <w:noProof/>
            <w:webHidden/>
          </w:rPr>
          <w:fldChar w:fldCharType="begin"/>
        </w:r>
        <w:r w:rsidR="000628B4">
          <w:rPr>
            <w:noProof/>
            <w:webHidden/>
          </w:rPr>
          <w:instrText xml:space="preserve"> PAGEREF _Toc69820448 \h </w:instrText>
        </w:r>
        <w:r w:rsidR="000628B4">
          <w:rPr>
            <w:noProof/>
            <w:webHidden/>
          </w:rPr>
        </w:r>
        <w:r w:rsidR="000628B4">
          <w:rPr>
            <w:noProof/>
            <w:webHidden/>
          </w:rPr>
          <w:fldChar w:fldCharType="separate"/>
        </w:r>
        <w:r w:rsidR="00D6133D">
          <w:rPr>
            <w:noProof/>
            <w:webHidden/>
          </w:rPr>
          <w:t>179</w:t>
        </w:r>
        <w:r w:rsidR="000628B4">
          <w:rPr>
            <w:noProof/>
            <w:webHidden/>
          </w:rPr>
          <w:fldChar w:fldCharType="end"/>
        </w:r>
      </w:hyperlink>
    </w:p>
    <w:p w14:paraId="537BB029" w14:textId="11979395" w:rsidR="000628B4" w:rsidRDefault="00092C0F" w:rsidP="002320B3">
      <w:pPr>
        <w:pStyle w:val="TOC3"/>
        <w:rPr>
          <w:rFonts w:eastAsiaTheme="minorEastAsia" w:cstheme="minorBidi"/>
          <w:i w:val="0"/>
          <w:iCs w:val="0"/>
          <w:noProof/>
          <w:sz w:val="22"/>
          <w:szCs w:val="22"/>
          <w:lang w:val="en-AU" w:eastAsia="en-AU"/>
        </w:rPr>
      </w:pPr>
      <w:hyperlink w:anchor="_Toc69820449" w:history="1">
        <w:r w:rsidR="000628B4" w:rsidRPr="001A4C08">
          <w:rPr>
            <w:rStyle w:val="Hyperlink"/>
            <w:noProof/>
          </w:rPr>
          <w:t>4.3. Effectiveness</w:t>
        </w:r>
        <w:r w:rsidR="000628B4">
          <w:rPr>
            <w:noProof/>
            <w:webHidden/>
          </w:rPr>
          <w:tab/>
        </w:r>
        <w:r w:rsidR="000628B4">
          <w:rPr>
            <w:noProof/>
            <w:webHidden/>
          </w:rPr>
          <w:fldChar w:fldCharType="begin"/>
        </w:r>
        <w:r w:rsidR="000628B4">
          <w:rPr>
            <w:noProof/>
            <w:webHidden/>
          </w:rPr>
          <w:instrText xml:space="preserve"> PAGEREF _Toc69820449 \h </w:instrText>
        </w:r>
        <w:r w:rsidR="000628B4">
          <w:rPr>
            <w:noProof/>
            <w:webHidden/>
          </w:rPr>
        </w:r>
        <w:r w:rsidR="000628B4">
          <w:rPr>
            <w:noProof/>
            <w:webHidden/>
          </w:rPr>
          <w:fldChar w:fldCharType="separate"/>
        </w:r>
        <w:r w:rsidR="00D6133D">
          <w:rPr>
            <w:noProof/>
            <w:webHidden/>
          </w:rPr>
          <w:t>180</w:t>
        </w:r>
        <w:r w:rsidR="000628B4">
          <w:rPr>
            <w:noProof/>
            <w:webHidden/>
          </w:rPr>
          <w:fldChar w:fldCharType="end"/>
        </w:r>
      </w:hyperlink>
    </w:p>
    <w:p w14:paraId="4B21FE18" w14:textId="0FB2F380" w:rsidR="000628B4" w:rsidRDefault="00092C0F" w:rsidP="002320B3">
      <w:pPr>
        <w:pStyle w:val="TOC3"/>
        <w:rPr>
          <w:rFonts w:eastAsiaTheme="minorEastAsia" w:cstheme="minorBidi"/>
          <w:i w:val="0"/>
          <w:iCs w:val="0"/>
          <w:noProof/>
          <w:sz w:val="22"/>
          <w:szCs w:val="22"/>
          <w:lang w:val="en-AU" w:eastAsia="en-AU"/>
        </w:rPr>
      </w:pPr>
      <w:hyperlink w:anchor="_Toc69820450" w:history="1">
        <w:r w:rsidR="000628B4" w:rsidRPr="001A4C08">
          <w:rPr>
            <w:rStyle w:val="Hyperlink"/>
            <w:noProof/>
          </w:rPr>
          <w:t>4.4. Sustainability</w:t>
        </w:r>
        <w:r w:rsidR="000628B4">
          <w:rPr>
            <w:noProof/>
            <w:webHidden/>
          </w:rPr>
          <w:tab/>
        </w:r>
        <w:r w:rsidR="000628B4">
          <w:rPr>
            <w:noProof/>
            <w:webHidden/>
          </w:rPr>
          <w:fldChar w:fldCharType="begin"/>
        </w:r>
        <w:r w:rsidR="000628B4">
          <w:rPr>
            <w:noProof/>
            <w:webHidden/>
          </w:rPr>
          <w:instrText xml:space="preserve"> PAGEREF _Toc69820450 \h </w:instrText>
        </w:r>
        <w:r w:rsidR="000628B4">
          <w:rPr>
            <w:noProof/>
            <w:webHidden/>
          </w:rPr>
        </w:r>
        <w:r w:rsidR="000628B4">
          <w:rPr>
            <w:noProof/>
            <w:webHidden/>
          </w:rPr>
          <w:fldChar w:fldCharType="separate"/>
        </w:r>
        <w:r w:rsidR="00D6133D">
          <w:rPr>
            <w:noProof/>
            <w:webHidden/>
          </w:rPr>
          <w:t>183</w:t>
        </w:r>
        <w:r w:rsidR="000628B4">
          <w:rPr>
            <w:noProof/>
            <w:webHidden/>
          </w:rPr>
          <w:fldChar w:fldCharType="end"/>
        </w:r>
      </w:hyperlink>
    </w:p>
    <w:p w14:paraId="721DB974" w14:textId="6EDB5313" w:rsidR="000628B4" w:rsidRDefault="00092C0F" w:rsidP="002320B3">
      <w:pPr>
        <w:pStyle w:val="TOC2"/>
        <w:tabs>
          <w:tab w:val="left" w:pos="720"/>
          <w:tab w:val="right" w:leader="dot" w:pos="9010"/>
        </w:tabs>
        <w:rPr>
          <w:rFonts w:eastAsiaTheme="minorEastAsia" w:cstheme="minorBidi"/>
          <w:smallCaps w:val="0"/>
          <w:noProof/>
          <w:sz w:val="22"/>
          <w:szCs w:val="22"/>
          <w:lang w:val="en-AU" w:eastAsia="en-AU"/>
        </w:rPr>
      </w:pPr>
      <w:hyperlink w:anchor="_Toc69820451" w:history="1">
        <w:r w:rsidR="000628B4" w:rsidRPr="001A4C08">
          <w:rPr>
            <w:rStyle w:val="Hyperlink"/>
            <w:noProof/>
          </w:rPr>
          <w:t>5.</w:t>
        </w:r>
        <w:r w:rsidR="000628B4">
          <w:rPr>
            <w:rFonts w:eastAsiaTheme="minorEastAsia" w:cstheme="minorBidi"/>
            <w:smallCaps w:val="0"/>
            <w:noProof/>
            <w:sz w:val="22"/>
            <w:szCs w:val="22"/>
            <w:lang w:val="en-AU" w:eastAsia="en-AU"/>
          </w:rPr>
          <w:tab/>
        </w:r>
        <w:r w:rsidR="000628B4" w:rsidRPr="001A4C08">
          <w:rPr>
            <w:rStyle w:val="Hyperlink"/>
            <w:noProof/>
          </w:rPr>
          <w:t>CONCLUSIONS AND IMPLICATIONS</w:t>
        </w:r>
        <w:r w:rsidR="000628B4">
          <w:rPr>
            <w:noProof/>
            <w:webHidden/>
          </w:rPr>
          <w:tab/>
        </w:r>
        <w:r w:rsidR="000628B4">
          <w:rPr>
            <w:noProof/>
            <w:webHidden/>
          </w:rPr>
          <w:fldChar w:fldCharType="begin"/>
        </w:r>
        <w:r w:rsidR="000628B4">
          <w:rPr>
            <w:noProof/>
            <w:webHidden/>
          </w:rPr>
          <w:instrText xml:space="preserve"> PAGEREF _Toc69820451 \h </w:instrText>
        </w:r>
        <w:r w:rsidR="000628B4">
          <w:rPr>
            <w:noProof/>
            <w:webHidden/>
          </w:rPr>
        </w:r>
        <w:r w:rsidR="000628B4">
          <w:rPr>
            <w:noProof/>
            <w:webHidden/>
          </w:rPr>
          <w:fldChar w:fldCharType="separate"/>
        </w:r>
        <w:r w:rsidR="00D6133D">
          <w:rPr>
            <w:noProof/>
            <w:webHidden/>
          </w:rPr>
          <w:t>189</w:t>
        </w:r>
        <w:r w:rsidR="000628B4">
          <w:rPr>
            <w:noProof/>
            <w:webHidden/>
          </w:rPr>
          <w:fldChar w:fldCharType="end"/>
        </w:r>
      </w:hyperlink>
    </w:p>
    <w:p w14:paraId="79609611" w14:textId="2E4D1481" w:rsidR="000628B4" w:rsidRDefault="00092C0F" w:rsidP="002320B3">
      <w:pPr>
        <w:pStyle w:val="TOC3"/>
        <w:tabs>
          <w:tab w:val="left" w:pos="1200"/>
        </w:tabs>
        <w:rPr>
          <w:rFonts w:eastAsiaTheme="minorEastAsia" w:cstheme="minorBidi"/>
          <w:i w:val="0"/>
          <w:iCs w:val="0"/>
          <w:noProof/>
          <w:sz w:val="22"/>
          <w:szCs w:val="22"/>
          <w:lang w:val="en-AU" w:eastAsia="en-AU"/>
        </w:rPr>
      </w:pPr>
      <w:hyperlink w:anchor="_Toc69820452" w:history="1">
        <w:r w:rsidR="000628B4" w:rsidRPr="001A4C08">
          <w:rPr>
            <w:rStyle w:val="Hyperlink"/>
            <w:noProof/>
          </w:rPr>
          <w:t>5.1.</w:t>
        </w:r>
        <w:r w:rsidR="000628B4">
          <w:rPr>
            <w:rFonts w:eastAsiaTheme="minorEastAsia" w:cstheme="minorBidi"/>
            <w:i w:val="0"/>
            <w:iCs w:val="0"/>
            <w:noProof/>
            <w:sz w:val="22"/>
            <w:szCs w:val="22"/>
            <w:lang w:val="en-AU" w:eastAsia="en-AU"/>
          </w:rPr>
          <w:tab/>
        </w:r>
        <w:r w:rsidR="000628B4" w:rsidRPr="001A4C08">
          <w:rPr>
            <w:rStyle w:val="Hyperlink"/>
            <w:noProof/>
          </w:rPr>
          <w:t>Conclusions</w:t>
        </w:r>
        <w:r w:rsidR="000628B4">
          <w:rPr>
            <w:noProof/>
            <w:webHidden/>
          </w:rPr>
          <w:tab/>
        </w:r>
        <w:r w:rsidR="000628B4">
          <w:rPr>
            <w:noProof/>
            <w:webHidden/>
          </w:rPr>
          <w:fldChar w:fldCharType="begin"/>
        </w:r>
        <w:r w:rsidR="000628B4">
          <w:rPr>
            <w:noProof/>
            <w:webHidden/>
          </w:rPr>
          <w:instrText xml:space="preserve"> PAGEREF _Toc69820452 \h </w:instrText>
        </w:r>
        <w:r w:rsidR="000628B4">
          <w:rPr>
            <w:noProof/>
            <w:webHidden/>
          </w:rPr>
        </w:r>
        <w:r w:rsidR="000628B4">
          <w:rPr>
            <w:noProof/>
            <w:webHidden/>
          </w:rPr>
          <w:fldChar w:fldCharType="separate"/>
        </w:r>
        <w:r w:rsidR="00D6133D">
          <w:rPr>
            <w:noProof/>
            <w:webHidden/>
          </w:rPr>
          <w:t>189</w:t>
        </w:r>
        <w:r w:rsidR="000628B4">
          <w:rPr>
            <w:noProof/>
            <w:webHidden/>
          </w:rPr>
          <w:fldChar w:fldCharType="end"/>
        </w:r>
      </w:hyperlink>
    </w:p>
    <w:p w14:paraId="0969FEFE" w14:textId="68F58C15" w:rsidR="000628B4" w:rsidRDefault="00092C0F" w:rsidP="002320B3">
      <w:pPr>
        <w:pStyle w:val="TOC3"/>
        <w:tabs>
          <w:tab w:val="left" w:pos="1200"/>
        </w:tabs>
        <w:rPr>
          <w:rFonts w:eastAsiaTheme="minorEastAsia" w:cstheme="minorBidi"/>
          <w:i w:val="0"/>
          <w:iCs w:val="0"/>
          <w:noProof/>
          <w:sz w:val="22"/>
          <w:szCs w:val="22"/>
          <w:lang w:val="en-AU" w:eastAsia="en-AU"/>
        </w:rPr>
      </w:pPr>
      <w:hyperlink w:anchor="_Toc69820453" w:history="1">
        <w:r w:rsidR="000628B4" w:rsidRPr="001A4C08">
          <w:rPr>
            <w:rStyle w:val="Hyperlink"/>
            <w:noProof/>
          </w:rPr>
          <w:t>5.2.</w:t>
        </w:r>
        <w:r w:rsidR="000628B4">
          <w:rPr>
            <w:rFonts w:eastAsiaTheme="minorEastAsia" w:cstheme="minorBidi"/>
            <w:i w:val="0"/>
            <w:iCs w:val="0"/>
            <w:noProof/>
            <w:sz w:val="22"/>
            <w:szCs w:val="22"/>
            <w:lang w:val="en-AU" w:eastAsia="en-AU"/>
          </w:rPr>
          <w:tab/>
        </w:r>
        <w:r w:rsidR="000628B4" w:rsidRPr="001A4C08">
          <w:rPr>
            <w:rStyle w:val="Hyperlink"/>
            <w:noProof/>
          </w:rPr>
          <w:t>Implications</w:t>
        </w:r>
        <w:r w:rsidR="000628B4">
          <w:rPr>
            <w:noProof/>
            <w:webHidden/>
          </w:rPr>
          <w:tab/>
        </w:r>
        <w:r w:rsidR="000628B4">
          <w:rPr>
            <w:noProof/>
            <w:webHidden/>
          </w:rPr>
          <w:fldChar w:fldCharType="begin"/>
        </w:r>
        <w:r w:rsidR="000628B4">
          <w:rPr>
            <w:noProof/>
            <w:webHidden/>
          </w:rPr>
          <w:instrText xml:space="preserve"> PAGEREF _Toc69820453 \h </w:instrText>
        </w:r>
        <w:r w:rsidR="000628B4">
          <w:rPr>
            <w:noProof/>
            <w:webHidden/>
          </w:rPr>
        </w:r>
        <w:r w:rsidR="000628B4">
          <w:rPr>
            <w:noProof/>
            <w:webHidden/>
          </w:rPr>
          <w:fldChar w:fldCharType="separate"/>
        </w:r>
        <w:r w:rsidR="00D6133D">
          <w:rPr>
            <w:noProof/>
            <w:webHidden/>
          </w:rPr>
          <w:t>194</w:t>
        </w:r>
        <w:r w:rsidR="000628B4">
          <w:rPr>
            <w:noProof/>
            <w:webHidden/>
          </w:rPr>
          <w:fldChar w:fldCharType="end"/>
        </w:r>
      </w:hyperlink>
    </w:p>
    <w:p w14:paraId="426810A5" w14:textId="75905505" w:rsidR="000628B4" w:rsidRDefault="00092C0F" w:rsidP="002320B3">
      <w:pPr>
        <w:pStyle w:val="TOC2"/>
        <w:tabs>
          <w:tab w:val="left" w:pos="720"/>
          <w:tab w:val="right" w:leader="dot" w:pos="9010"/>
        </w:tabs>
        <w:rPr>
          <w:rFonts w:eastAsiaTheme="minorEastAsia" w:cstheme="minorBidi"/>
          <w:smallCaps w:val="0"/>
          <w:noProof/>
          <w:sz w:val="22"/>
          <w:szCs w:val="22"/>
          <w:lang w:val="en-AU" w:eastAsia="en-AU"/>
        </w:rPr>
      </w:pPr>
      <w:hyperlink w:anchor="_Toc69820454" w:history="1">
        <w:r w:rsidR="000628B4" w:rsidRPr="001A4C08">
          <w:rPr>
            <w:rStyle w:val="Hyperlink"/>
            <w:noProof/>
          </w:rPr>
          <w:t>6.</w:t>
        </w:r>
        <w:r w:rsidR="000628B4">
          <w:rPr>
            <w:rFonts w:eastAsiaTheme="minorEastAsia" w:cstheme="minorBidi"/>
            <w:smallCaps w:val="0"/>
            <w:noProof/>
            <w:sz w:val="22"/>
            <w:szCs w:val="22"/>
            <w:lang w:val="en-AU" w:eastAsia="en-AU"/>
          </w:rPr>
          <w:tab/>
        </w:r>
        <w:r w:rsidR="000628B4" w:rsidRPr="001A4C08">
          <w:rPr>
            <w:rStyle w:val="Hyperlink"/>
            <w:noProof/>
          </w:rPr>
          <w:t>LESSONS LEARNED</w:t>
        </w:r>
        <w:r w:rsidR="000628B4">
          <w:rPr>
            <w:noProof/>
            <w:webHidden/>
          </w:rPr>
          <w:tab/>
        </w:r>
        <w:r w:rsidR="000628B4">
          <w:rPr>
            <w:noProof/>
            <w:webHidden/>
          </w:rPr>
          <w:fldChar w:fldCharType="begin"/>
        </w:r>
        <w:r w:rsidR="000628B4">
          <w:rPr>
            <w:noProof/>
            <w:webHidden/>
          </w:rPr>
          <w:instrText xml:space="preserve"> PAGEREF _Toc69820454 \h </w:instrText>
        </w:r>
        <w:r w:rsidR="000628B4">
          <w:rPr>
            <w:noProof/>
            <w:webHidden/>
          </w:rPr>
        </w:r>
        <w:r w:rsidR="000628B4">
          <w:rPr>
            <w:noProof/>
            <w:webHidden/>
          </w:rPr>
          <w:fldChar w:fldCharType="separate"/>
        </w:r>
        <w:r w:rsidR="00D6133D">
          <w:rPr>
            <w:noProof/>
            <w:webHidden/>
          </w:rPr>
          <w:t>203</w:t>
        </w:r>
        <w:r w:rsidR="000628B4">
          <w:rPr>
            <w:noProof/>
            <w:webHidden/>
          </w:rPr>
          <w:fldChar w:fldCharType="end"/>
        </w:r>
      </w:hyperlink>
    </w:p>
    <w:p w14:paraId="2D535086" w14:textId="4177D060" w:rsidR="000628B4" w:rsidRDefault="00092C0F" w:rsidP="002320B3">
      <w:pPr>
        <w:pStyle w:val="TOC1"/>
        <w:rPr>
          <w:rFonts w:eastAsiaTheme="minorEastAsia" w:cstheme="minorBidi"/>
          <w:b w:val="0"/>
          <w:bCs w:val="0"/>
          <w:caps w:val="0"/>
          <w:noProof/>
          <w:sz w:val="22"/>
          <w:szCs w:val="22"/>
          <w:lang w:val="en-AU" w:eastAsia="en-AU"/>
        </w:rPr>
      </w:pPr>
      <w:hyperlink w:anchor="_Toc69820455" w:history="1">
        <w:r w:rsidR="000628B4" w:rsidRPr="001A4C08">
          <w:rPr>
            <w:rStyle w:val="Hyperlink"/>
            <w:rFonts w:asciiTheme="majorHAnsi" w:eastAsiaTheme="majorEastAsia" w:hAnsiTheme="majorHAnsi" w:cstheme="majorBidi"/>
            <w:noProof/>
            <w:lang w:val="en-US"/>
          </w:rPr>
          <w:t>Annex A. The BEST Program’s Theory of Change (TOC)</w:t>
        </w:r>
        <w:r w:rsidR="000628B4">
          <w:rPr>
            <w:noProof/>
            <w:webHidden/>
          </w:rPr>
          <w:tab/>
        </w:r>
        <w:r w:rsidR="000628B4">
          <w:rPr>
            <w:noProof/>
            <w:webHidden/>
          </w:rPr>
          <w:fldChar w:fldCharType="begin"/>
        </w:r>
        <w:r w:rsidR="000628B4">
          <w:rPr>
            <w:noProof/>
            <w:webHidden/>
          </w:rPr>
          <w:instrText xml:space="preserve"> PAGEREF _Toc69820455 \h </w:instrText>
        </w:r>
        <w:r w:rsidR="000628B4">
          <w:rPr>
            <w:noProof/>
            <w:webHidden/>
          </w:rPr>
        </w:r>
        <w:r w:rsidR="000628B4">
          <w:rPr>
            <w:noProof/>
            <w:webHidden/>
          </w:rPr>
          <w:fldChar w:fldCharType="separate"/>
        </w:r>
        <w:r w:rsidR="00D6133D">
          <w:rPr>
            <w:noProof/>
            <w:webHidden/>
          </w:rPr>
          <w:t>206</w:t>
        </w:r>
        <w:r w:rsidR="000628B4">
          <w:rPr>
            <w:noProof/>
            <w:webHidden/>
          </w:rPr>
          <w:fldChar w:fldCharType="end"/>
        </w:r>
      </w:hyperlink>
    </w:p>
    <w:p w14:paraId="70450290" w14:textId="08B74FC1" w:rsidR="000628B4" w:rsidRDefault="00092C0F" w:rsidP="002320B3">
      <w:pPr>
        <w:pStyle w:val="TOC1"/>
        <w:rPr>
          <w:rFonts w:eastAsiaTheme="minorEastAsia" w:cstheme="minorBidi"/>
          <w:b w:val="0"/>
          <w:bCs w:val="0"/>
          <w:caps w:val="0"/>
          <w:noProof/>
          <w:sz w:val="22"/>
          <w:szCs w:val="22"/>
          <w:lang w:val="en-AU" w:eastAsia="en-AU"/>
        </w:rPr>
      </w:pPr>
      <w:hyperlink w:anchor="_Toc69820456" w:history="1">
        <w:r w:rsidR="000628B4" w:rsidRPr="001A4C08">
          <w:rPr>
            <w:rStyle w:val="Hyperlink"/>
            <w:rFonts w:asciiTheme="majorHAnsi" w:eastAsiaTheme="majorEastAsia" w:hAnsiTheme="majorHAnsi" w:cstheme="majorBidi"/>
            <w:noProof/>
            <w:lang w:val="en-US"/>
          </w:rPr>
          <w:t>Annex B. Description of 10 Program Interventions</w:t>
        </w:r>
        <w:r w:rsidR="000628B4">
          <w:rPr>
            <w:noProof/>
            <w:webHidden/>
          </w:rPr>
          <w:tab/>
        </w:r>
        <w:r w:rsidR="000628B4">
          <w:rPr>
            <w:noProof/>
            <w:webHidden/>
          </w:rPr>
          <w:fldChar w:fldCharType="begin"/>
        </w:r>
        <w:r w:rsidR="000628B4">
          <w:rPr>
            <w:noProof/>
            <w:webHidden/>
          </w:rPr>
          <w:instrText xml:space="preserve"> PAGEREF _Toc69820456 \h </w:instrText>
        </w:r>
        <w:r w:rsidR="000628B4">
          <w:rPr>
            <w:noProof/>
            <w:webHidden/>
          </w:rPr>
        </w:r>
        <w:r w:rsidR="000628B4">
          <w:rPr>
            <w:noProof/>
            <w:webHidden/>
          </w:rPr>
          <w:fldChar w:fldCharType="separate"/>
        </w:r>
        <w:r w:rsidR="00D6133D">
          <w:rPr>
            <w:noProof/>
            <w:webHidden/>
          </w:rPr>
          <w:t>215</w:t>
        </w:r>
        <w:r w:rsidR="000628B4">
          <w:rPr>
            <w:noProof/>
            <w:webHidden/>
          </w:rPr>
          <w:fldChar w:fldCharType="end"/>
        </w:r>
      </w:hyperlink>
    </w:p>
    <w:p w14:paraId="22803F02" w14:textId="44B1E150" w:rsidR="000628B4" w:rsidRDefault="00092C0F" w:rsidP="002320B3">
      <w:pPr>
        <w:pStyle w:val="TOC1"/>
        <w:rPr>
          <w:rFonts w:eastAsiaTheme="minorEastAsia" w:cstheme="minorBidi"/>
          <w:b w:val="0"/>
          <w:bCs w:val="0"/>
          <w:caps w:val="0"/>
          <w:noProof/>
          <w:sz w:val="22"/>
          <w:szCs w:val="22"/>
          <w:lang w:val="en-AU" w:eastAsia="en-AU"/>
        </w:rPr>
      </w:pPr>
      <w:hyperlink w:anchor="_Toc69820457" w:history="1">
        <w:r w:rsidR="000628B4" w:rsidRPr="001A4C08">
          <w:rPr>
            <w:rStyle w:val="Hyperlink"/>
            <w:rFonts w:asciiTheme="majorHAnsi" w:eastAsiaTheme="majorEastAsia" w:hAnsiTheme="majorHAnsi" w:cstheme="majorBidi"/>
            <w:noProof/>
            <w:lang w:val="en-US"/>
          </w:rPr>
          <w:t>Annex C. Overview of Evaluation Methodology</w:t>
        </w:r>
        <w:r w:rsidR="000628B4">
          <w:rPr>
            <w:noProof/>
            <w:webHidden/>
          </w:rPr>
          <w:tab/>
        </w:r>
        <w:r w:rsidR="000628B4">
          <w:rPr>
            <w:noProof/>
            <w:webHidden/>
          </w:rPr>
          <w:fldChar w:fldCharType="begin"/>
        </w:r>
        <w:r w:rsidR="000628B4">
          <w:rPr>
            <w:noProof/>
            <w:webHidden/>
          </w:rPr>
          <w:instrText xml:space="preserve"> PAGEREF _Toc69820457 \h </w:instrText>
        </w:r>
        <w:r w:rsidR="000628B4">
          <w:rPr>
            <w:noProof/>
            <w:webHidden/>
          </w:rPr>
        </w:r>
        <w:r w:rsidR="000628B4">
          <w:rPr>
            <w:noProof/>
            <w:webHidden/>
          </w:rPr>
          <w:fldChar w:fldCharType="separate"/>
        </w:r>
        <w:r w:rsidR="00D6133D">
          <w:rPr>
            <w:noProof/>
            <w:webHidden/>
          </w:rPr>
          <w:t>224</w:t>
        </w:r>
        <w:r w:rsidR="000628B4">
          <w:rPr>
            <w:noProof/>
            <w:webHidden/>
          </w:rPr>
          <w:fldChar w:fldCharType="end"/>
        </w:r>
      </w:hyperlink>
    </w:p>
    <w:p w14:paraId="2CFDEA66" w14:textId="448C18EB" w:rsidR="000628B4" w:rsidRDefault="00092C0F" w:rsidP="002320B3">
      <w:pPr>
        <w:pStyle w:val="TOC2"/>
        <w:tabs>
          <w:tab w:val="left" w:pos="720"/>
          <w:tab w:val="right" w:leader="dot" w:pos="9010"/>
        </w:tabs>
        <w:rPr>
          <w:rFonts w:eastAsiaTheme="minorEastAsia" w:cstheme="minorBidi"/>
          <w:smallCaps w:val="0"/>
          <w:noProof/>
          <w:sz w:val="22"/>
          <w:szCs w:val="22"/>
          <w:lang w:val="en-AU" w:eastAsia="en-AU"/>
        </w:rPr>
      </w:pPr>
      <w:hyperlink w:anchor="_Toc69820458" w:history="1">
        <w:r w:rsidR="000628B4" w:rsidRPr="001A4C08">
          <w:rPr>
            <w:rStyle w:val="Hyperlink"/>
            <w:rFonts w:asciiTheme="majorHAnsi" w:eastAsiaTheme="majorEastAsia" w:hAnsiTheme="majorHAnsi" w:cstheme="majorBidi"/>
            <w:noProof/>
            <w:lang w:val="en-US"/>
          </w:rPr>
          <w:t>1.</w:t>
        </w:r>
        <w:r w:rsidR="000628B4">
          <w:rPr>
            <w:rFonts w:eastAsiaTheme="minorEastAsia" w:cstheme="minorBidi"/>
            <w:smallCaps w:val="0"/>
            <w:noProof/>
            <w:sz w:val="22"/>
            <w:szCs w:val="22"/>
            <w:lang w:val="en-AU" w:eastAsia="en-AU"/>
          </w:rPr>
          <w:tab/>
        </w:r>
        <w:r w:rsidR="000628B4" w:rsidRPr="001A4C08">
          <w:rPr>
            <w:rStyle w:val="Hyperlink"/>
            <w:rFonts w:asciiTheme="majorHAnsi" w:eastAsiaTheme="majorEastAsia" w:hAnsiTheme="majorHAnsi" w:cstheme="majorBidi"/>
            <w:noProof/>
            <w:lang w:val="en-US"/>
          </w:rPr>
          <w:t>Revisions in the Evaluation Methodology</w:t>
        </w:r>
        <w:r w:rsidR="000628B4">
          <w:rPr>
            <w:noProof/>
            <w:webHidden/>
          </w:rPr>
          <w:tab/>
        </w:r>
        <w:r w:rsidR="000628B4">
          <w:rPr>
            <w:noProof/>
            <w:webHidden/>
          </w:rPr>
          <w:fldChar w:fldCharType="begin"/>
        </w:r>
        <w:r w:rsidR="000628B4">
          <w:rPr>
            <w:noProof/>
            <w:webHidden/>
          </w:rPr>
          <w:instrText xml:space="preserve"> PAGEREF _Toc69820458 \h </w:instrText>
        </w:r>
        <w:r w:rsidR="000628B4">
          <w:rPr>
            <w:noProof/>
            <w:webHidden/>
          </w:rPr>
        </w:r>
        <w:r w:rsidR="000628B4">
          <w:rPr>
            <w:noProof/>
            <w:webHidden/>
          </w:rPr>
          <w:fldChar w:fldCharType="separate"/>
        </w:r>
        <w:r w:rsidR="00D6133D">
          <w:rPr>
            <w:noProof/>
            <w:webHidden/>
          </w:rPr>
          <w:t>224</w:t>
        </w:r>
        <w:r w:rsidR="000628B4">
          <w:rPr>
            <w:noProof/>
            <w:webHidden/>
          </w:rPr>
          <w:fldChar w:fldCharType="end"/>
        </w:r>
      </w:hyperlink>
    </w:p>
    <w:p w14:paraId="24160726" w14:textId="4554F376" w:rsidR="000628B4" w:rsidRDefault="00092C0F" w:rsidP="002320B3">
      <w:pPr>
        <w:pStyle w:val="TOC2"/>
        <w:tabs>
          <w:tab w:val="left" w:pos="720"/>
          <w:tab w:val="right" w:leader="dot" w:pos="9010"/>
        </w:tabs>
        <w:rPr>
          <w:rFonts w:eastAsiaTheme="minorEastAsia" w:cstheme="minorBidi"/>
          <w:smallCaps w:val="0"/>
          <w:noProof/>
          <w:sz w:val="22"/>
          <w:szCs w:val="22"/>
          <w:lang w:val="en-AU" w:eastAsia="en-AU"/>
        </w:rPr>
      </w:pPr>
      <w:hyperlink w:anchor="_Toc69820459" w:history="1">
        <w:r w:rsidR="000628B4" w:rsidRPr="001A4C08">
          <w:rPr>
            <w:rStyle w:val="Hyperlink"/>
            <w:rFonts w:asciiTheme="majorHAnsi" w:eastAsiaTheme="majorEastAsia" w:hAnsiTheme="majorHAnsi" w:cstheme="majorBidi"/>
            <w:noProof/>
            <w:lang w:val="en-US"/>
          </w:rPr>
          <w:t>2.</w:t>
        </w:r>
        <w:r w:rsidR="000628B4">
          <w:rPr>
            <w:rFonts w:eastAsiaTheme="minorEastAsia" w:cstheme="minorBidi"/>
            <w:smallCaps w:val="0"/>
            <w:noProof/>
            <w:sz w:val="22"/>
            <w:szCs w:val="22"/>
            <w:lang w:val="en-AU" w:eastAsia="en-AU"/>
          </w:rPr>
          <w:tab/>
        </w:r>
        <w:r w:rsidR="000628B4" w:rsidRPr="001A4C08">
          <w:rPr>
            <w:rStyle w:val="Hyperlink"/>
            <w:rFonts w:asciiTheme="majorHAnsi" w:eastAsiaTheme="majorEastAsia" w:hAnsiTheme="majorHAnsi" w:cstheme="majorBidi"/>
            <w:noProof/>
            <w:lang w:val="en-US"/>
          </w:rPr>
          <w:t>Proposed Evaluation Framework (in Inception Report)</w:t>
        </w:r>
        <w:r w:rsidR="000628B4">
          <w:rPr>
            <w:noProof/>
            <w:webHidden/>
          </w:rPr>
          <w:tab/>
        </w:r>
        <w:r w:rsidR="000628B4">
          <w:rPr>
            <w:noProof/>
            <w:webHidden/>
          </w:rPr>
          <w:fldChar w:fldCharType="begin"/>
        </w:r>
        <w:r w:rsidR="000628B4">
          <w:rPr>
            <w:noProof/>
            <w:webHidden/>
          </w:rPr>
          <w:instrText xml:space="preserve"> PAGEREF _Toc69820459 \h </w:instrText>
        </w:r>
        <w:r w:rsidR="000628B4">
          <w:rPr>
            <w:noProof/>
            <w:webHidden/>
          </w:rPr>
        </w:r>
        <w:r w:rsidR="000628B4">
          <w:rPr>
            <w:noProof/>
            <w:webHidden/>
          </w:rPr>
          <w:fldChar w:fldCharType="separate"/>
        </w:r>
        <w:r w:rsidR="00D6133D">
          <w:rPr>
            <w:noProof/>
            <w:webHidden/>
          </w:rPr>
          <w:t>226</w:t>
        </w:r>
        <w:r w:rsidR="000628B4">
          <w:rPr>
            <w:noProof/>
            <w:webHidden/>
          </w:rPr>
          <w:fldChar w:fldCharType="end"/>
        </w:r>
      </w:hyperlink>
    </w:p>
    <w:p w14:paraId="7C1D0A34" w14:textId="732CD18B" w:rsidR="000628B4" w:rsidRDefault="00092C0F" w:rsidP="002320B3">
      <w:pPr>
        <w:pStyle w:val="TOC1"/>
        <w:rPr>
          <w:rFonts w:eastAsiaTheme="minorEastAsia" w:cstheme="minorBidi"/>
          <w:b w:val="0"/>
          <w:bCs w:val="0"/>
          <w:caps w:val="0"/>
          <w:noProof/>
          <w:sz w:val="22"/>
          <w:szCs w:val="22"/>
          <w:lang w:val="en-AU" w:eastAsia="en-AU"/>
        </w:rPr>
      </w:pPr>
      <w:hyperlink w:anchor="_Toc69820460" w:history="1">
        <w:r w:rsidR="000628B4" w:rsidRPr="001A4C08">
          <w:rPr>
            <w:rStyle w:val="Hyperlink"/>
            <w:rFonts w:asciiTheme="majorHAnsi" w:eastAsiaTheme="majorEastAsia" w:hAnsiTheme="majorHAnsi" w:cstheme="majorBidi"/>
            <w:noProof/>
            <w:lang w:val="en-US"/>
          </w:rPr>
          <w:t>Annex D. Follow-Up Study Methodology</w:t>
        </w:r>
        <w:r w:rsidR="000628B4">
          <w:rPr>
            <w:noProof/>
            <w:webHidden/>
          </w:rPr>
          <w:tab/>
        </w:r>
        <w:r w:rsidR="000628B4">
          <w:rPr>
            <w:noProof/>
            <w:webHidden/>
          </w:rPr>
          <w:fldChar w:fldCharType="begin"/>
        </w:r>
        <w:r w:rsidR="000628B4">
          <w:rPr>
            <w:noProof/>
            <w:webHidden/>
          </w:rPr>
          <w:instrText xml:space="preserve"> PAGEREF _Toc69820460 \h </w:instrText>
        </w:r>
        <w:r w:rsidR="000628B4">
          <w:rPr>
            <w:noProof/>
            <w:webHidden/>
          </w:rPr>
        </w:r>
        <w:r w:rsidR="000628B4">
          <w:rPr>
            <w:noProof/>
            <w:webHidden/>
          </w:rPr>
          <w:fldChar w:fldCharType="separate"/>
        </w:r>
        <w:r w:rsidR="00D6133D">
          <w:rPr>
            <w:noProof/>
            <w:webHidden/>
          </w:rPr>
          <w:t>231</w:t>
        </w:r>
        <w:r w:rsidR="000628B4">
          <w:rPr>
            <w:noProof/>
            <w:webHidden/>
          </w:rPr>
          <w:fldChar w:fldCharType="end"/>
        </w:r>
      </w:hyperlink>
    </w:p>
    <w:p w14:paraId="011D5F16" w14:textId="6B676FD0" w:rsidR="000628B4" w:rsidRDefault="00092C0F" w:rsidP="002320B3">
      <w:pPr>
        <w:pStyle w:val="TOC1"/>
        <w:rPr>
          <w:rFonts w:eastAsiaTheme="minorEastAsia" w:cstheme="minorBidi"/>
          <w:b w:val="0"/>
          <w:bCs w:val="0"/>
          <w:caps w:val="0"/>
          <w:noProof/>
          <w:sz w:val="22"/>
          <w:szCs w:val="22"/>
          <w:lang w:val="en-AU" w:eastAsia="en-AU"/>
        </w:rPr>
      </w:pPr>
      <w:hyperlink w:anchor="_Toc69820461" w:history="1">
        <w:r w:rsidR="000628B4" w:rsidRPr="001A4C08">
          <w:rPr>
            <w:rStyle w:val="Hyperlink"/>
            <w:rFonts w:asciiTheme="majorHAnsi" w:eastAsiaTheme="majorEastAsia" w:hAnsiTheme="majorHAnsi" w:cstheme="majorBidi"/>
            <w:noProof/>
            <w:lang w:val="en-US"/>
          </w:rPr>
          <w:t>Annex E. Sampling and Data Collection</w:t>
        </w:r>
        <w:r w:rsidR="000628B4">
          <w:rPr>
            <w:noProof/>
            <w:webHidden/>
          </w:rPr>
          <w:tab/>
        </w:r>
        <w:r w:rsidR="000628B4">
          <w:rPr>
            <w:noProof/>
            <w:webHidden/>
          </w:rPr>
          <w:fldChar w:fldCharType="begin"/>
        </w:r>
        <w:r w:rsidR="000628B4">
          <w:rPr>
            <w:noProof/>
            <w:webHidden/>
          </w:rPr>
          <w:instrText xml:space="preserve"> PAGEREF _Toc69820461 \h </w:instrText>
        </w:r>
        <w:r w:rsidR="000628B4">
          <w:rPr>
            <w:noProof/>
            <w:webHidden/>
          </w:rPr>
        </w:r>
        <w:r w:rsidR="000628B4">
          <w:rPr>
            <w:noProof/>
            <w:webHidden/>
          </w:rPr>
          <w:fldChar w:fldCharType="separate"/>
        </w:r>
        <w:r w:rsidR="00D6133D">
          <w:rPr>
            <w:noProof/>
            <w:webHidden/>
          </w:rPr>
          <w:t>239</w:t>
        </w:r>
        <w:r w:rsidR="000628B4">
          <w:rPr>
            <w:noProof/>
            <w:webHidden/>
          </w:rPr>
          <w:fldChar w:fldCharType="end"/>
        </w:r>
      </w:hyperlink>
    </w:p>
    <w:p w14:paraId="5ED57B93" w14:textId="075FBDF5" w:rsidR="000628B4" w:rsidRDefault="00092C0F" w:rsidP="002320B3">
      <w:pPr>
        <w:pStyle w:val="TOC2"/>
        <w:tabs>
          <w:tab w:val="left" w:pos="720"/>
          <w:tab w:val="right" w:leader="dot" w:pos="9010"/>
        </w:tabs>
        <w:rPr>
          <w:rFonts w:eastAsiaTheme="minorEastAsia" w:cstheme="minorBidi"/>
          <w:smallCaps w:val="0"/>
          <w:noProof/>
          <w:sz w:val="22"/>
          <w:szCs w:val="22"/>
          <w:lang w:val="en-AU" w:eastAsia="en-AU"/>
        </w:rPr>
      </w:pPr>
      <w:hyperlink w:anchor="_Toc69820462" w:history="1">
        <w:r w:rsidR="000628B4" w:rsidRPr="001A4C08">
          <w:rPr>
            <w:rStyle w:val="Hyperlink"/>
            <w:rFonts w:asciiTheme="majorHAnsi" w:eastAsiaTheme="majorEastAsia" w:hAnsiTheme="majorHAnsi" w:cstheme="majorBidi"/>
            <w:noProof/>
            <w:lang w:val="en-US"/>
          </w:rPr>
          <w:t>1.</w:t>
        </w:r>
        <w:r w:rsidR="000628B4">
          <w:rPr>
            <w:rFonts w:eastAsiaTheme="minorEastAsia" w:cstheme="minorBidi"/>
            <w:smallCaps w:val="0"/>
            <w:noProof/>
            <w:sz w:val="22"/>
            <w:szCs w:val="22"/>
            <w:lang w:val="en-AU" w:eastAsia="en-AU"/>
          </w:rPr>
          <w:tab/>
        </w:r>
        <w:r w:rsidR="000628B4" w:rsidRPr="001A4C08">
          <w:rPr>
            <w:rStyle w:val="Hyperlink"/>
            <w:rFonts w:asciiTheme="majorHAnsi" w:eastAsiaTheme="majorEastAsia" w:hAnsiTheme="majorHAnsi" w:cstheme="majorBidi"/>
            <w:noProof/>
            <w:lang w:val="en-US"/>
          </w:rPr>
          <w:t>Selection of Divisions</w:t>
        </w:r>
        <w:r w:rsidR="000628B4">
          <w:rPr>
            <w:noProof/>
            <w:webHidden/>
          </w:rPr>
          <w:tab/>
        </w:r>
        <w:r w:rsidR="000628B4">
          <w:rPr>
            <w:noProof/>
            <w:webHidden/>
          </w:rPr>
          <w:fldChar w:fldCharType="begin"/>
        </w:r>
        <w:r w:rsidR="000628B4">
          <w:rPr>
            <w:noProof/>
            <w:webHidden/>
          </w:rPr>
          <w:instrText xml:space="preserve"> PAGEREF _Toc69820462 \h </w:instrText>
        </w:r>
        <w:r w:rsidR="000628B4">
          <w:rPr>
            <w:noProof/>
            <w:webHidden/>
          </w:rPr>
        </w:r>
        <w:r w:rsidR="000628B4">
          <w:rPr>
            <w:noProof/>
            <w:webHidden/>
          </w:rPr>
          <w:fldChar w:fldCharType="separate"/>
        </w:r>
        <w:r w:rsidR="00D6133D">
          <w:rPr>
            <w:noProof/>
            <w:webHidden/>
          </w:rPr>
          <w:t>239</w:t>
        </w:r>
        <w:r w:rsidR="000628B4">
          <w:rPr>
            <w:noProof/>
            <w:webHidden/>
          </w:rPr>
          <w:fldChar w:fldCharType="end"/>
        </w:r>
      </w:hyperlink>
    </w:p>
    <w:p w14:paraId="3EF2932A" w14:textId="4BB73C0C" w:rsidR="000628B4" w:rsidRDefault="00092C0F" w:rsidP="002320B3">
      <w:pPr>
        <w:pStyle w:val="TOC2"/>
        <w:tabs>
          <w:tab w:val="left" w:pos="720"/>
          <w:tab w:val="right" w:leader="dot" w:pos="9010"/>
        </w:tabs>
        <w:rPr>
          <w:rFonts w:eastAsiaTheme="minorEastAsia" w:cstheme="minorBidi"/>
          <w:smallCaps w:val="0"/>
          <w:noProof/>
          <w:sz w:val="22"/>
          <w:szCs w:val="22"/>
          <w:lang w:val="en-AU" w:eastAsia="en-AU"/>
        </w:rPr>
      </w:pPr>
      <w:hyperlink w:anchor="_Toc69820463" w:history="1">
        <w:r w:rsidR="000628B4" w:rsidRPr="001A4C08">
          <w:rPr>
            <w:rStyle w:val="Hyperlink"/>
            <w:rFonts w:asciiTheme="majorHAnsi" w:eastAsiaTheme="majorEastAsia" w:hAnsiTheme="majorHAnsi" w:cstheme="majorBidi"/>
            <w:noProof/>
            <w:lang w:val="en-US"/>
          </w:rPr>
          <w:t>2.</w:t>
        </w:r>
        <w:r w:rsidR="000628B4">
          <w:rPr>
            <w:rFonts w:eastAsiaTheme="minorEastAsia" w:cstheme="minorBidi"/>
            <w:smallCaps w:val="0"/>
            <w:noProof/>
            <w:sz w:val="22"/>
            <w:szCs w:val="22"/>
            <w:lang w:val="en-AU" w:eastAsia="en-AU"/>
          </w:rPr>
          <w:tab/>
        </w:r>
        <w:r w:rsidR="000628B4" w:rsidRPr="001A4C08">
          <w:rPr>
            <w:rStyle w:val="Hyperlink"/>
            <w:rFonts w:asciiTheme="majorHAnsi" w:eastAsiaTheme="majorEastAsia" w:hAnsiTheme="majorHAnsi" w:cstheme="majorBidi"/>
            <w:noProof/>
            <w:lang w:val="en-US"/>
          </w:rPr>
          <w:t>Selection Process</w:t>
        </w:r>
        <w:r w:rsidR="000628B4">
          <w:rPr>
            <w:noProof/>
            <w:webHidden/>
          </w:rPr>
          <w:tab/>
        </w:r>
        <w:r w:rsidR="000628B4">
          <w:rPr>
            <w:noProof/>
            <w:webHidden/>
          </w:rPr>
          <w:fldChar w:fldCharType="begin"/>
        </w:r>
        <w:r w:rsidR="000628B4">
          <w:rPr>
            <w:noProof/>
            <w:webHidden/>
          </w:rPr>
          <w:instrText xml:space="preserve"> PAGEREF _Toc69820463 \h </w:instrText>
        </w:r>
        <w:r w:rsidR="000628B4">
          <w:rPr>
            <w:noProof/>
            <w:webHidden/>
          </w:rPr>
        </w:r>
        <w:r w:rsidR="000628B4">
          <w:rPr>
            <w:noProof/>
            <w:webHidden/>
          </w:rPr>
          <w:fldChar w:fldCharType="separate"/>
        </w:r>
        <w:r w:rsidR="00D6133D">
          <w:rPr>
            <w:noProof/>
            <w:webHidden/>
          </w:rPr>
          <w:t>239</w:t>
        </w:r>
        <w:r w:rsidR="000628B4">
          <w:rPr>
            <w:noProof/>
            <w:webHidden/>
          </w:rPr>
          <w:fldChar w:fldCharType="end"/>
        </w:r>
      </w:hyperlink>
    </w:p>
    <w:p w14:paraId="7B04929D" w14:textId="1B3D544E" w:rsidR="000628B4" w:rsidRDefault="00092C0F" w:rsidP="002320B3">
      <w:pPr>
        <w:pStyle w:val="TOC2"/>
        <w:tabs>
          <w:tab w:val="left" w:pos="720"/>
          <w:tab w:val="right" w:leader="dot" w:pos="9010"/>
        </w:tabs>
        <w:rPr>
          <w:rFonts w:eastAsiaTheme="minorEastAsia" w:cstheme="minorBidi"/>
          <w:smallCaps w:val="0"/>
          <w:noProof/>
          <w:sz w:val="22"/>
          <w:szCs w:val="22"/>
          <w:lang w:val="en-AU" w:eastAsia="en-AU"/>
        </w:rPr>
      </w:pPr>
      <w:hyperlink w:anchor="_Toc69820464" w:history="1">
        <w:r w:rsidR="000628B4" w:rsidRPr="001A4C08">
          <w:rPr>
            <w:rStyle w:val="Hyperlink"/>
            <w:rFonts w:asciiTheme="majorHAnsi" w:eastAsiaTheme="majorEastAsia" w:hAnsiTheme="majorHAnsi" w:cstheme="majorBidi"/>
            <w:noProof/>
            <w:lang w:val="en-US"/>
          </w:rPr>
          <w:t>3.</w:t>
        </w:r>
        <w:r w:rsidR="000628B4">
          <w:rPr>
            <w:rFonts w:eastAsiaTheme="minorEastAsia" w:cstheme="minorBidi"/>
            <w:smallCaps w:val="0"/>
            <w:noProof/>
            <w:sz w:val="22"/>
            <w:szCs w:val="22"/>
            <w:lang w:val="en-AU" w:eastAsia="en-AU"/>
          </w:rPr>
          <w:tab/>
        </w:r>
        <w:r w:rsidR="000628B4" w:rsidRPr="001A4C08">
          <w:rPr>
            <w:rStyle w:val="Hyperlink"/>
            <w:rFonts w:asciiTheme="majorHAnsi" w:eastAsiaTheme="majorEastAsia" w:hAnsiTheme="majorHAnsi" w:cstheme="majorBidi"/>
            <w:noProof/>
            <w:lang w:val="en-US"/>
          </w:rPr>
          <w:t>Sampling Results</w:t>
        </w:r>
        <w:r w:rsidR="000628B4">
          <w:rPr>
            <w:noProof/>
            <w:webHidden/>
          </w:rPr>
          <w:tab/>
        </w:r>
        <w:r w:rsidR="000628B4">
          <w:rPr>
            <w:noProof/>
            <w:webHidden/>
          </w:rPr>
          <w:fldChar w:fldCharType="begin"/>
        </w:r>
        <w:r w:rsidR="000628B4">
          <w:rPr>
            <w:noProof/>
            <w:webHidden/>
          </w:rPr>
          <w:instrText xml:space="preserve"> PAGEREF _Toc69820464 \h </w:instrText>
        </w:r>
        <w:r w:rsidR="000628B4">
          <w:rPr>
            <w:noProof/>
            <w:webHidden/>
          </w:rPr>
        </w:r>
        <w:r w:rsidR="000628B4">
          <w:rPr>
            <w:noProof/>
            <w:webHidden/>
          </w:rPr>
          <w:fldChar w:fldCharType="separate"/>
        </w:r>
        <w:r w:rsidR="00D6133D">
          <w:rPr>
            <w:noProof/>
            <w:webHidden/>
          </w:rPr>
          <w:t>240</w:t>
        </w:r>
        <w:r w:rsidR="000628B4">
          <w:rPr>
            <w:noProof/>
            <w:webHidden/>
          </w:rPr>
          <w:fldChar w:fldCharType="end"/>
        </w:r>
      </w:hyperlink>
    </w:p>
    <w:p w14:paraId="79798180" w14:textId="68802140" w:rsidR="000628B4" w:rsidRDefault="00092C0F" w:rsidP="002320B3">
      <w:pPr>
        <w:pStyle w:val="TOC2"/>
        <w:tabs>
          <w:tab w:val="left" w:pos="720"/>
          <w:tab w:val="right" w:leader="dot" w:pos="9010"/>
        </w:tabs>
        <w:rPr>
          <w:rFonts w:eastAsiaTheme="minorEastAsia" w:cstheme="minorBidi"/>
          <w:smallCaps w:val="0"/>
          <w:noProof/>
          <w:sz w:val="22"/>
          <w:szCs w:val="22"/>
          <w:lang w:val="en-AU" w:eastAsia="en-AU"/>
        </w:rPr>
      </w:pPr>
      <w:hyperlink w:anchor="_Toc69820465" w:history="1">
        <w:r w:rsidR="000628B4" w:rsidRPr="001A4C08">
          <w:rPr>
            <w:rStyle w:val="Hyperlink"/>
            <w:rFonts w:asciiTheme="majorHAnsi" w:eastAsiaTheme="majorEastAsia" w:hAnsiTheme="majorHAnsi" w:cstheme="majorBidi"/>
            <w:noProof/>
            <w:lang w:val="en-US"/>
          </w:rPr>
          <w:t>4.</w:t>
        </w:r>
        <w:r w:rsidR="000628B4">
          <w:rPr>
            <w:rFonts w:eastAsiaTheme="minorEastAsia" w:cstheme="minorBidi"/>
            <w:smallCaps w:val="0"/>
            <w:noProof/>
            <w:sz w:val="22"/>
            <w:szCs w:val="22"/>
            <w:lang w:val="en-AU" w:eastAsia="en-AU"/>
          </w:rPr>
          <w:tab/>
        </w:r>
        <w:r w:rsidR="000628B4" w:rsidRPr="001A4C08">
          <w:rPr>
            <w:rStyle w:val="Hyperlink"/>
            <w:rFonts w:asciiTheme="majorHAnsi" w:eastAsiaTheme="majorEastAsia" w:hAnsiTheme="majorHAnsi" w:cstheme="majorBidi"/>
            <w:noProof/>
            <w:lang w:val="en-US"/>
          </w:rPr>
          <w:t>Data Collection Methods</w:t>
        </w:r>
        <w:r w:rsidR="000628B4">
          <w:rPr>
            <w:noProof/>
            <w:webHidden/>
          </w:rPr>
          <w:tab/>
        </w:r>
        <w:r w:rsidR="000628B4">
          <w:rPr>
            <w:noProof/>
            <w:webHidden/>
          </w:rPr>
          <w:fldChar w:fldCharType="begin"/>
        </w:r>
        <w:r w:rsidR="000628B4">
          <w:rPr>
            <w:noProof/>
            <w:webHidden/>
          </w:rPr>
          <w:instrText xml:space="preserve"> PAGEREF _Toc69820465 \h </w:instrText>
        </w:r>
        <w:r w:rsidR="000628B4">
          <w:rPr>
            <w:noProof/>
            <w:webHidden/>
          </w:rPr>
        </w:r>
        <w:r w:rsidR="000628B4">
          <w:rPr>
            <w:noProof/>
            <w:webHidden/>
          </w:rPr>
          <w:fldChar w:fldCharType="separate"/>
        </w:r>
        <w:r w:rsidR="00D6133D">
          <w:rPr>
            <w:noProof/>
            <w:webHidden/>
          </w:rPr>
          <w:t>241</w:t>
        </w:r>
        <w:r w:rsidR="000628B4">
          <w:rPr>
            <w:noProof/>
            <w:webHidden/>
          </w:rPr>
          <w:fldChar w:fldCharType="end"/>
        </w:r>
      </w:hyperlink>
    </w:p>
    <w:p w14:paraId="4569FE11" w14:textId="0C082D9E" w:rsidR="000628B4" w:rsidRDefault="00092C0F" w:rsidP="002320B3">
      <w:pPr>
        <w:pStyle w:val="TOC3"/>
        <w:tabs>
          <w:tab w:val="left" w:pos="1200"/>
        </w:tabs>
        <w:rPr>
          <w:rFonts w:eastAsiaTheme="minorEastAsia" w:cstheme="minorBidi"/>
          <w:i w:val="0"/>
          <w:iCs w:val="0"/>
          <w:noProof/>
          <w:sz w:val="22"/>
          <w:szCs w:val="22"/>
          <w:lang w:val="en-AU" w:eastAsia="en-AU"/>
        </w:rPr>
      </w:pPr>
      <w:hyperlink w:anchor="_Toc69820466" w:history="1">
        <w:r w:rsidR="000628B4" w:rsidRPr="001A4C08">
          <w:rPr>
            <w:rStyle w:val="Hyperlink"/>
            <w:rFonts w:asciiTheme="majorHAnsi" w:eastAsiaTheme="majorEastAsia" w:hAnsiTheme="majorHAnsi" w:cstheme="majorBidi"/>
            <w:noProof/>
            <w:lang w:val="en-US"/>
          </w:rPr>
          <w:t>4.1.</w:t>
        </w:r>
        <w:r w:rsidR="000628B4">
          <w:rPr>
            <w:rFonts w:eastAsiaTheme="minorEastAsia" w:cstheme="minorBidi"/>
            <w:i w:val="0"/>
            <w:iCs w:val="0"/>
            <w:noProof/>
            <w:sz w:val="22"/>
            <w:szCs w:val="22"/>
            <w:lang w:val="en-AU" w:eastAsia="en-AU"/>
          </w:rPr>
          <w:tab/>
        </w:r>
        <w:r w:rsidR="000628B4" w:rsidRPr="001A4C08">
          <w:rPr>
            <w:rStyle w:val="Hyperlink"/>
            <w:rFonts w:asciiTheme="majorHAnsi" w:eastAsiaTheme="majorEastAsia" w:hAnsiTheme="majorHAnsi" w:cstheme="majorBidi"/>
            <w:noProof/>
            <w:lang w:val="en-US"/>
          </w:rPr>
          <w:t>Secondary Data Collection</w:t>
        </w:r>
        <w:r w:rsidR="000628B4">
          <w:rPr>
            <w:noProof/>
            <w:webHidden/>
          </w:rPr>
          <w:tab/>
        </w:r>
        <w:r w:rsidR="000628B4">
          <w:rPr>
            <w:noProof/>
            <w:webHidden/>
          </w:rPr>
          <w:fldChar w:fldCharType="begin"/>
        </w:r>
        <w:r w:rsidR="000628B4">
          <w:rPr>
            <w:noProof/>
            <w:webHidden/>
          </w:rPr>
          <w:instrText xml:space="preserve"> PAGEREF _Toc69820466 \h </w:instrText>
        </w:r>
        <w:r w:rsidR="000628B4">
          <w:rPr>
            <w:noProof/>
            <w:webHidden/>
          </w:rPr>
        </w:r>
        <w:r w:rsidR="000628B4">
          <w:rPr>
            <w:noProof/>
            <w:webHidden/>
          </w:rPr>
          <w:fldChar w:fldCharType="separate"/>
        </w:r>
        <w:r w:rsidR="00D6133D">
          <w:rPr>
            <w:noProof/>
            <w:webHidden/>
          </w:rPr>
          <w:t>241</w:t>
        </w:r>
        <w:r w:rsidR="000628B4">
          <w:rPr>
            <w:noProof/>
            <w:webHidden/>
          </w:rPr>
          <w:fldChar w:fldCharType="end"/>
        </w:r>
      </w:hyperlink>
    </w:p>
    <w:p w14:paraId="0E44A1AE" w14:textId="6A6C6D83" w:rsidR="000628B4" w:rsidRDefault="00092C0F" w:rsidP="002320B3">
      <w:pPr>
        <w:pStyle w:val="TOC3"/>
        <w:tabs>
          <w:tab w:val="left" w:pos="1200"/>
        </w:tabs>
        <w:rPr>
          <w:rFonts w:eastAsiaTheme="minorEastAsia" w:cstheme="minorBidi"/>
          <w:i w:val="0"/>
          <w:iCs w:val="0"/>
          <w:noProof/>
          <w:sz w:val="22"/>
          <w:szCs w:val="22"/>
          <w:lang w:val="en-AU" w:eastAsia="en-AU"/>
        </w:rPr>
      </w:pPr>
      <w:hyperlink w:anchor="_Toc69820467" w:history="1">
        <w:r w:rsidR="000628B4" w:rsidRPr="001A4C08">
          <w:rPr>
            <w:rStyle w:val="Hyperlink"/>
            <w:rFonts w:asciiTheme="majorHAnsi" w:eastAsiaTheme="majorEastAsia" w:hAnsiTheme="majorHAnsi" w:cstheme="majorBidi"/>
            <w:noProof/>
            <w:lang w:val="en-US"/>
          </w:rPr>
          <w:t>4.2.</w:t>
        </w:r>
        <w:r w:rsidR="000628B4">
          <w:rPr>
            <w:rFonts w:eastAsiaTheme="minorEastAsia" w:cstheme="minorBidi"/>
            <w:i w:val="0"/>
            <w:iCs w:val="0"/>
            <w:noProof/>
            <w:sz w:val="22"/>
            <w:szCs w:val="22"/>
            <w:lang w:val="en-AU" w:eastAsia="en-AU"/>
          </w:rPr>
          <w:tab/>
        </w:r>
        <w:r w:rsidR="000628B4" w:rsidRPr="001A4C08">
          <w:rPr>
            <w:rStyle w:val="Hyperlink"/>
            <w:rFonts w:asciiTheme="majorHAnsi" w:eastAsiaTheme="majorEastAsia" w:hAnsiTheme="majorHAnsi" w:cstheme="majorBidi"/>
            <w:noProof/>
            <w:lang w:val="en-US"/>
          </w:rPr>
          <w:t>Key Informant Interviews</w:t>
        </w:r>
        <w:r w:rsidR="000628B4">
          <w:rPr>
            <w:noProof/>
            <w:webHidden/>
          </w:rPr>
          <w:tab/>
        </w:r>
        <w:r w:rsidR="000628B4">
          <w:rPr>
            <w:noProof/>
            <w:webHidden/>
          </w:rPr>
          <w:fldChar w:fldCharType="begin"/>
        </w:r>
        <w:r w:rsidR="000628B4">
          <w:rPr>
            <w:noProof/>
            <w:webHidden/>
          </w:rPr>
          <w:instrText xml:space="preserve"> PAGEREF _Toc69820467 \h </w:instrText>
        </w:r>
        <w:r w:rsidR="000628B4">
          <w:rPr>
            <w:noProof/>
            <w:webHidden/>
          </w:rPr>
        </w:r>
        <w:r w:rsidR="000628B4">
          <w:rPr>
            <w:noProof/>
            <w:webHidden/>
          </w:rPr>
          <w:fldChar w:fldCharType="separate"/>
        </w:r>
        <w:r w:rsidR="00D6133D">
          <w:rPr>
            <w:noProof/>
            <w:webHidden/>
          </w:rPr>
          <w:t>242</w:t>
        </w:r>
        <w:r w:rsidR="000628B4">
          <w:rPr>
            <w:noProof/>
            <w:webHidden/>
          </w:rPr>
          <w:fldChar w:fldCharType="end"/>
        </w:r>
      </w:hyperlink>
    </w:p>
    <w:p w14:paraId="79FB38F8" w14:textId="3B7DDB51" w:rsidR="000628B4" w:rsidRDefault="00092C0F" w:rsidP="002320B3">
      <w:pPr>
        <w:pStyle w:val="TOC3"/>
        <w:tabs>
          <w:tab w:val="left" w:pos="1200"/>
        </w:tabs>
        <w:rPr>
          <w:rFonts w:eastAsiaTheme="minorEastAsia" w:cstheme="minorBidi"/>
          <w:i w:val="0"/>
          <w:iCs w:val="0"/>
          <w:noProof/>
          <w:sz w:val="22"/>
          <w:szCs w:val="22"/>
          <w:lang w:val="en-AU" w:eastAsia="en-AU"/>
        </w:rPr>
      </w:pPr>
      <w:hyperlink w:anchor="_Toc69820468" w:history="1">
        <w:r w:rsidR="000628B4" w:rsidRPr="001A4C08">
          <w:rPr>
            <w:rStyle w:val="Hyperlink"/>
            <w:rFonts w:asciiTheme="majorHAnsi" w:eastAsiaTheme="majorEastAsia" w:hAnsiTheme="majorHAnsi" w:cstheme="majorBidi"/>
            <w:noProof/>
            <w:lang w:val="en-US"/>
          </w:rPr>
          <w:t>4.3.</w:t>
        </w:r>
        <w:r w:rsidR="000628B4">
          <w:rPr>
            <w:rFonts w:eastAsiaTheme="minorEastAsia" w:cstheme="minorBidi"/>
            <w:i w:val="0"/>
            <w:iCs w:val="0"/>
            <w:noProof/>
            <w:sz w:val="22"/>
            <w:szCs w:val="22"/>
            <w:lang w:val="en-AU" w:eastAsia="en-AU"/>
          </w:rPr>
          <w:tab/>
        </w:r>
        <w:r w:rsidR="000628B4" w:rsidRPr="001A4C08">
          <w:rPr>
            <w:rStyle w:val="Hyperlink"/>
            <w:rFonts w:asciiTheme="majorHAnsi" w:eastAsiaTheme="majorEastAsia" w:hAnsiTheme="majorHAnsi" w:cstheme="majorBidi"/>
            <w:noProof/>
            <w:lang w:val="en-US"/>
          </w:rPr>
          <w:t>Focus Group Discussions</w:t>
        </w:r>
        <w:r w:rsidR="000628B4">
          <w:rPr>
            <w:noProof/>
            <w:webHidden/>
          </w:rPr>
          <w:tab/>
        </w:r>
        <w:r w:rsidR="000628B4">
          <w:rPr>
            <w:noProof/>
            <w:webHidden/>
          </w:rPr>
          <w:fldChar w:fldCharType="begin"/>
        </w:r>
        <w:r w:rsidR="000628B4">
          <w:rPr>
            <w:noProof/>
            <w:webHidden/>
          </w:rPr>
          <w:instrText xml:space="preserve"> PAGEREF _Toc69820468 \h </w:instrText>
        </w:r>
        <w:r w:rsidR="000628B4">
          <w:rPr>
            <w:noProof/>
            <w:webHidden/>
          </w:rPr>
        </w:r>
        <w:r w:rsidR="000628B4">
          <w:rPr>
            <w:noProof/>
            <w:webHidden/>
          </w:rPr>
          <w:fldChar w:fldCharType="separate"/>
        </w:r>
        <w:r w:rsidR="00D6133D">
          <w:rPr>
            <w:noProof/>
            <w:webHidden/>
          </w:rPr>
          <w:t>243</w:t>
        </w:r>
        <w:r w:rsidR="000628B4">
          <w:rPr>
            <w:noProof/>
            <w:webHidden/>
          </w:rPr>
          <w:fldChar w:fldCharType="end"/>
        </w:r>
      </w:hyperlink>
    </w:p>
    <w:p w14:paraId="35C57B1B" w14:textId="2D7B26E9" w:rsidR="000628B4" w:rsidRDefault="00092C0F" w:rsidP="002320B3">
      <w:pPr>
        <w:pStyle w:val="TOC3"/>
        <w:tabs>
          <w:tab w:val="left" w:pos="1200"/>
        </w:tabs>
        <w:rPr>
          <w:rFonts w:eastAsiaTheme="minorEastAsia" w:cstheme="minorBidi"/>
          <w:i w:val="0"/>
          <w:iCs w:val="0"/>
          <w:noProof/>
          <w:sz w:val="22"/>
          <w:szCs w:val="22"/>
          <w:lang w:val="en-AU" w:eastAsia="en-AU"/>
        </w:rPr>
      </w:pPr>
      <w:hyperlink w:anchor="_Toc69820469" w:history="1">
        <w:r w:rsidR="000628B4" w:rsidRPr="001A4C08">
          <w:rPr>
            <w:rStyle w:val="Hyperlink"/>
            <w:rFonts w:asciiTheme="majorHAnsi" w:eastAsiaTheme="majorEastAsia" w:hAnsiTheme="majorHAnsi" w:cstheme="majorBidi"/>
            <w:noProof/>
            <w:lang w:val="en-US"/>
          </w:rPr>
          <w:t>4.4.</w:t>
        </w:r>
        <w:r w:rsidR="000628B4">
          <w:rPr>
            <w:rFonts w:eastAsiaTheme="minorEastAsia" w:cstheme="minorBidi"/>
            <w:i w:val="0"/>
            <w:iCs w:val="0"/>
            <w:noProof/>
            <w:sz w:val="22"/>
            <w:szCs w:val="22"/>
            <w:lang w:val="en-AU" w:eastAsia="en-AU"/>
          </w:rPr>
          <w:tab/>
        </w:r>
        <w:r w:rsidR="000628B4" w:rsidRPr="001A4C08">
          <w:rPr>
            <w:rStyle w:val="Hyperlink"/>
            <w:rFonts w:asciiTheme="majorHAnsi" w:eastAsiaTheme="majorEastAsia" w:hAnsiTheme="majorHAnsi" w:cstheme="majorBidi"/>
            <w:noProof/>
            <w:lang w:val="en-US"/>
          </w:rPr>
          <w:t>Classroom Observations</w:t>
        </w:r>
        <w:r w:rsidR="000628B4">
          <w:rPr>
            <w:noProof/>
            <w:webHidden/>
          </w:rPr>
          <w:tab/>
        </w:r>
        <w:r w:rsidR="000628B4">
          <w:rPr>
            <w:noProof/>
            <w:webHidden/>
          </w:rPr>
          <w:fldChar w:fldCharType="begin"/>
        </w:r>
        <w:r w:rsidR="000628B4">
          <w:rPr>
            <w:noProof/>
            <w:webHidden/>
          </w:rPr>
          <w:instrText xml:space="preserve"> PAGEREF _Toc69820469 \h </w:instrText>
        </w:r>
        <w:r w:rsidR="000628B4">
          <w:rPr>
            <w:noProof/>
            <w:webHidden/>
          </w:rPr>
        </w:r>
        <w:r w:rsidR="000628B4">
          <w:rPr>
            <w:noProof/>
            <w:webHidden/>
          </w:rPr>
          <w:fldChar w:fldCharType="separate"/>
        </w:r>
        <w:r w:rsidR="00D6133D">
          <w:rPr>
            <w:noProof/>
            <w:webHidden/>
          </w:rPr>
          <w:t>243</w:t>
        </w:r>
        <w:r w:rsidR="000628B4">
          <w:rPr>
            <w:noProof/>
            <w:webHidden/>
          </w:rPr>
          <w:fldChar w:fldCharType="end"/>
        </w:r>
      </w:hyperlink>
    </w:p>
    <w:p w14:paraId="74107BC5" w14:textId="0DC36B8D" w:rsidR="000628B4" w:rsidRDefault="00092C0F" w:rsidP="002320B3">
      <w:pPr>
        <w:pStyle w:val="TOC3"/>
        <w:tabs>
          <w:tab w:val="left" w:pos="1200"/>
        </w:tabs>
        <w:rPr>
          <w:rFonts w:eastAsiaTheme="minorEastAsia" w:cstheme="minorBidi"/>
          <w:i w:val="0"/>
          <w:iCs w:val="0"/>
          <w:noProof/>
          <w:sz w:val="22"/>
          <w:szCs w:val="22"/>
          <w:lang w:val="en-AU" w:eastAsia="en-AU"/>
        </w:rPr>
      </w:pPr>
      <w:hyperlink w:anchor="_Toc69820470" w:history="1">
        <w:r w:rsidR="000628B4" w:rsidRPr="001A4C08">
          <w:rPr>
            <w:rStyle w:val="Hyperlink"/>
            <w:rFonts w:asciiTheme="majorHAnsi" w:eastAsiaTheme="majorEastAsia" w:hAnsiTheme="majorHAnsi" w:cstheme="majorHAnsi"/>
            <w:noProof/>
            <w:lang w:val="en-US"/>
          </w:rPr>
          <w:t>4.5.</w:t>
        </w:r>
        <w:r w:rsidR="000628B4">
          <w:rPr>
            <w:rFonts w:eastAsiaTheme="minorEastAsia" w:cstheme="minorBidi"/>
            <w:i w:val="0"/>
            <w:iCs w:val="0"/>
            <w:noProof/>
            <w:sz w:val="22"/>
            <w:szCs w:val="22"/>
            <w:lang w:val="en-AU" w:eastAsia="en-AU"/>
          </w:rPr>
          <w:tab/>
        </w:r>
        <w:r w:rsidR="000628B4" w:rsidRPr="001A4C08">
          <w:rPr>
            <w:rStyle w:val="Hyperlink"/>
            <w:rFonts w:asciiTheme="majorHAnsi" w:eastAsiaTheme="majorEastAsia" w:hAnsiTheme="majorHAnsi" w:cstheme="majorHAnsi"/>
            <w:noProof/>
            <w:lang w:val="en-US"/>
          </w:rPr>
          <w:t>Knowledge-Access-Usefulness-Quality (KAUQ) Survey</w:t>
        </w:r>
        <w:r w:rsidR="000628B4">
          <w:rPr>
            <w:noProof/>
            <w:webHidden/>
          </w:rPr>
          <w:tab/>
        </w:r>
        <w:r w:rsidR="000628B4">
          <w:rPr>
            <w:noProof/>
            <w:webHidden/>
          </w:rPr>
          <w:fldChar w:fldCharType="begin"/>
        </w:r>
        <w:r w:rsidR="000628B4">
          <w:rPr>
            <w:noProof/>
            <w:webHidden/>
          </w:rPr>
          <w:instrText xml:space="preserve"> PAGEREF _Toc69820470 \h </w:instrText>
        </w:r>
        <w:r w:rsidR="000628B4">
          <w:rPr>
            <w:noProof/>
            <w:webHidden/>
          </w:rPr>
        </w:r>
        <w:r w:rsidR="000628B4">
          <w:rPr>
            <w:noProof/>
            <w:webHidden/>
          </w:rPr>
          <w:fldChar w:fldCharType="separate"/>
        </w:r>
        <w:r w:rsidR="00D6133D">
          <w:rPr>
            <w:noProof/>
            <w:webHidden/>
          </w:rPr>
          <w:t>244</w:t>
        </w:r>
        <w:r w:rsidR="000628B4">
          <w:rPr>
            <w:noProof/>
            <w:webHidden/>
          </w:rPr>
          <w:fldChar w:fldCharType="end"/>
        </w:r>
      </w:hyperlink>
    </w:p>
    <w:p w14:paraId="376920EA" w14:textId="63918021" w:rsidR="000628B4" w:rsidRDefault="00092C0F" w:rsidP="002320B3">
      <w:pPr>
        <w:pStyle w:val="TOC3"/>
        <w:tabs>
          <w:tab w:val="left" w:pos="1200"/>
        </w:tabs>
        <w:rPr>
          <w:rFonts w:eastAsiaTheme="minorEastAsia" w:cstheme="minorBidi"/>
          <w:i w:val="0"/>
          <w:iCs w:val="0"/>
          <w:noProof/>
          <w:sz w:val="22"/>
          <w:szCs w:val="22"/>
          <w:lang w:val="en-AU" w:eastAsia="en-AU"/>
        </w:rPr>
      </w:pPr>
      <w:hyperlink w:anchor="_Toc69820471" w:history="1">
        <w:r w:rsidR="000628B4" w:rsidRPr="001A4C08">
          <w:rPr>
            <w:rStyle w:val="Hyperlink"/>
            <w:rFonts w:asciiTheme="majorHAnsi" w:eastAsiaTheme="majorEastAsia" w:hAnsiTheme="majorHAnsi" w:cstheme="majorBidi"/>
            <w:noProof/>
            <w:lang w:val="en-US"/>
          </w:rPr>
          <w:t>4.6.</w:t>
        </w:r>
        <w:r w:rsidR="000628B4">
          <w:rPr>
            <w:rFonts w:eastAsiaTheme="minorEastAsia" w:cstheme="minorBidi"/>
            <w:i w:val="0"/>
            <w:iCs w:val="0"/>
            <w:noProof/>
            <w:sz w:val="22"/>
            <w:szCs w:val="22"/>
            <w:lang w:val="en-AU" w:eastAsia="en-AU"/>
          </w:rPr>
          <w:tab/>
        </w:r>
        <w:r w:rsidR="000628B4" w:rsidRPr="001A4C08">
          <w:rPr>
            <w:rStyle w:val="Hyperlink"/>
            <w:rFonts w:asciiTheme="majorHAnsi" w:eastAsiaTheme="majorEastAsia" w:hAnsiTheme="majorHAnsi" w:cstheme="majorBidi"/>
            <w:noProof/>
            <w:lang w:val="en-US"/>
          </w:rPr>
          <w:t>Survey on BEST Program Interventions</w:t>
        </w:r>
        <w:r w:rsidR="000628B4">
          <w:rPr>
            <w:noProof/>
            <w:webHidden/>
          </w:rPr>
          <w:tab/>
        </w:r>
        <w:r w:rsidR="000628B4">
          <w:rPr>
            <w:noProof/>
            <w:webHidden/>
          </w:rPr>
          <w:fldChar w:fldCharType="begin"/>
        </w:r>
        <w:r w:rsidR="000628B4">
          <w:rPr>
            <w:noProof/>
            <w:webHidden/>
          </w:rPr>
          <w:instrText xml:space="preserve"> PAGEREF _Toc69820471 \h </w:instrText>
        </w:r>
        <w:r w:rsidR="000628B4">
          <w:rPr>
            <w:noProof/>
            <w:webHidden/>
          </w:rPr>
        </w:r>
        <w:r w:rsidR="000628B4">
          <w:rPr>
            <w:noProof/>
            <w:webHidden/>
          </w:rPr>
          <w:fldChar w:fldCharType="separate"/>
        </w:r>
        <w:r w:rsidR="00D6133D">
          <w:rPr>
            <w:noProof/>
            <w:webHidden/>
          </w:rPr>
          <w:t>244</w:t>
        </w:r>
        <w:r w:rsidR="000628B4">
          <w:rPr>
            <w:noProof/>
            <w:webHidden/>
          </w:rPr>
          <w:fldChar w:fldCharType="end"/>
        </w:r>
      </w:hyperlink>
    </w:p>
    <w:p w14:paraId="57207DA9" w14:textId="3309160F" w:rsidR="000628B4" w:rsidRDefault="00092C0F" w:rsidP="002320B3">
      <w:pPr>
        <w:pStyle w:val="TOC1"/>
        <w:rPr>
          <w:rFonts w:eastAsiaTheme="minorEastAsia" w:cstheme="minorBidi"/>
          <w:b w:val="0"/>
          <w:bCs w:val="0"/>
          <w:caps w:val="0"/>
          <w:noProof/>
          <w:sz w:val="22"/>
          <w:szCs w:val="22"/>
          <w:lang w:val="en-AU" w:eastAsia="en-AU"/>
        </w:rPr>
      </w:pPr>
      <w:hyperlink w:anchor="_Toc69820472" w:history="1">
        <w:r w:rsidR="000628B4" w:rsidRPr="001A4C08">
          <w:rPr>
            <w:rStyle w:val="Hyperlink"/>
            <w:rFonts w:asciiTheme="majorHAnsi" w:eastAsiaTheme="majorEastAsia" w:hAnsiTheme="majorHAnsi" w:cstheme="majorBidi"/>
            <w:noProof/>
            <w:lang w:val="en-US"/>
          </w:rPr>
          <w:t>Annex F. List of Direct (DRS) and Indirect Recipient Schools (IRS)</w:t>
        </w:r>
        <w:r w:rsidR="000628B4">
          <w:rPr>
            <w:noProof/>
            <w:webHidden/>
          </w:rPr>
          <w:tab/>
        </w:r>
        <w:r w:rsidR="000628B4">
          <w:rPr>
            <w:noProof/>
            <w:webHidden/>
          </w:rPr>
          <w:fldChar w:fldCharType="begin"/>
        </w:r>
        <w:r w:rsidR="000628B4">
          <w:rPr>
            <w:noProof/>
            <w:webHidden/>
          </w:rPr>
          <w:instrText xml:space="preserve"> PAGEREF _Toc69820472 \h </w:instrText>
        </w:r>
        <w:r w:rsidR="000628B4">
          <w:rPr>
            <w:noProof/>
            <w:webHidden/>
          </w:rPr>
        </w:r>
        <w:r w:rsidR="000628B4">
          <w:rPr>
            <w:noProof/>
            <w:webHidden/>
          </w:rPr>
          <w:fldChar w:fldCharType="separate"/>
        </w:r>
        <w:r w:rsidR="00D6133D">
          <w:rPr>
            <w:noProof/>
            <w:webHidden/>
          </w:rPr>
          <w:t>246</w:t>
        </w:r>
        <w:r w:rsidR="000628B4">
          <w:rPr>
            <w:noProof/>
            <w:webHidden/>
          </w:rPr>
          <w:fldChar w:fldCharType="end"/>
        </w:r>
      </w:hyperlink>
    </w:p>
    <w:p w14:paraId="14818F45" w14:textId="5F737A80" w:rsidR="000628B4" w:rsidRDefault="00092C0F" w:rsidP="002320B3">
      <w:pPr>
        <w:pStyle w:val="TOC1"/>
        <w:rPr>
          <w:rFonts w:eastAsiaTheme="minorEastAsia" w:cstheme="minorBidi"/>
          <w:b w:val="0"/>
          <w:bCs w:val="0"/>
          <w:caps w:val="0"/>
          <w:noProof/>
          <w:sz w:val="22"/>
          <w:szCs w:val="22"/>
          <w:lang w:val="en-AU" w:eastAsia="en-AU"/>
        </w:rPr>
      </w:pPr>
      <w:hyperlink w:anchor="_Toc69820473" w:history="1">
        <w:r w:rsidR="000628B4" w:rsidRPr="001A4C08">
          <w:rPr>
            <w:rStyle w:val="Hyperlink"/>
            <w:rFonts w:asciiTheme="majorHAnsi" w:eastAsiaTheme="majorEastAsia" w:hAnsiTheme="majorHAnsi" w:cstheme="majorBidi"/>
            <w:noProof/>
            <w:lang w:val="en-US"/>
          </w:rPr>
          <w:t>Annex G. List of Secondary Data requested per school</w:t>
        </w:r>
        <w:r w:rsidR="000628B4">
          <w:rPr>
            <w:noProof/>
            <w:webHidden/>
          </w:rPr>
          <w:tab/>
        </w:r>
        <w:r w:rsidR="000628B4">
          <w:rPr>
            <w:noProof/>
            <w:webHidden/>
          </w:rPr>
          <w:fldChar w:fldCharType="begin"/>
        </w:r>
        <w:r w:rsidR="000628B4">
          <w:rPr>
            <w:noProof/>
            <w:webHidden/>
          </w:rPr>
          <w:instrText xml:space="preserve"> PAGEREF _Toc69820473 \h </w:instrText>
        </w:r>
        <w:r w:rsidR="000628B4">
          <w:rPr>
            <w:noProof/>
            <w:webHidden/>
          </w:rPr>
        </w:r>
        <w:r w:rsidR="000628B4">
          <w:rPr>
            <w:noProof/>
            <w:webHidden/>
          </w:rPr>
          <w:fldChar w:fldCharType="separate"/>
        </w:r>
        <w:r w:rsidR="00D6133D">
          <w:rPr>
            <w:noProof/>
            <w:webHidden/>
          </w:rPr>
          <w:t>256</w:t>
        </w:r>
        <w:r w:rsidR="000628B4">
          <w:rPr>
            <w:noProof/>
            <w:webHidden/>
          </w:rPr>
          <w:fldChar w:fldCharType="end"/>
        </w:r>
      </w:hyperlink>
    </w:p>
    <w:p w14:paraId="4961F97F" w14:textId="725B6E3D" w:rsidR="000628B4" w:rsidRDefault="00092C0F" w:rsidP="002320B3">
      <w:pPr>
        <w:pStyle w:val="TOC1"/>
        <w:rPr>
          <w:rFonts w:eastAsiaTheme="minorEastAsia" w:cstheme="minorBidi"/>
          <w:b w:val="0"/>
          <w:bCs w:val="0"/>
          <w:caps w:val="0"/>
          <w:noProof/>
          <w:sz w:val="22"/>
          <w:szCs w:val="22"/>
          <w:lang w:val="en-AU" w:eastAsia="en-AU"/>
        </w:rPr>
      </w:pPr>
      <w:hyperlink w:anchor="_Toc69820474" w:history="1">
        <w:r w:rsidR="000628B4" w:rsidRPr="001A4C08">
          <w:rPr>
            <w:rStyle w:val="Hyperlink"/>
            <w:rFonts w:asciiTheme="majorHAnsi" w:eastAsiaTheme="majorEastAsia" w:hAnsiTheme="majorHAnsi" w:cstheme="majorBidi"/>
            <w:noProof/>
            <w:lang w:val="en-US"/>
          </w:rPr>
          <w:t>Annex H. Status of Submissions of School</w:t>
        </w:r>
        <w:r w:rsidR="000628B4">
          <w:rPr>
            <w:noProof/>
            <w:webHidden/>
          </w:rPr>
          <w:tab/>
        </w:r>
        <w:r w:rsidR="000628B4">
          <w:rPr>
            <w:noProof/>
            <w:webHidden/>
          </w:rPr>
          <w:fldChar w:fldCharType="begin"/>
        </w:r>
        <w:r w:rsidR="000628B4">
          <w:rPr>
            <w:noProof/>
            <w:webHidden/>
          </w:rPr>
          <w:instrText xml:space="preserve"> PAGEREF _Toc69820474 \h </w:instrText>
        </w:r>
        <w:r w:rsidR="000628B4">
          <w:rPr>
            <w:noProof/>
            <w:webHidden/>
          </w:rPr>
        </w:r>
        <w:r w:rsidR="000628B4">
          <w:rPr>
            <w:noProof/>
            <w:webHidden/>
          </w:rPr>
          <w:fldChar w:fldCharType="separate"/>
        </w:r>
        <w:r w:rsidR="00D6133D">
          <w:rPr>
            <w:noProof/>
            <w:webHidden/>
          </w:rPr>
          <w:t>258</w:t>
        </w:r>
        <w:r w:rsidR="000628B4">
          <w:rPr>
            <w:noProof/>
            <w:webHidden/>
          </w:rPr>
          <w:fldChar w:fldCharType="end"/>
        </w:r>
      </w:hyperlink>
    </w:p>
    <w:p w14:paraId="4EAD5627" w14:textId="12F3E7C8" w:rsidR="000628B4" w:rsidRDefault="00092C0F" w:rsidP="002320B3">
      <w:pPr>
        <w:pStyle w:val="TOC1"/>
        <w:rPr>
          <w:rFonts w:eastAsiaTheme="minorEastAsia" w:cstheme="minorBidi"/>
          <w:b w:val="0"/>
          <w:bCs w:val="0"/>
          <w:caps w:val="0"/>
          <w:noProof/>
          <w:sz w:val="22"/>
          <w:szCs w:val="22"/>
          <w:lang w:val="en-AU" w:eastAsia="en-AU"/>
        </w:rPr>
      </w:pPr>
      <w:hyperlink w:anchor="_Toc69820475" w:history="1">
        <w:r w:rsidR="000628B4" w:rsidRPr="001A4C08">
          <w:rPr>
            <w:rStyle w:val="Hyperlink"/>
            <w:rFonts w:asciiTheme="majorHAnsi" w:eastAsiaTheme="majorEastAsia" w:hAnsiTheme="majorHAnsi" w:cstheme="majorBidi"/>
            <w:noProof/>
            <w:lang w:val="en-US"/>
          </w:rPr>
          <w:t>Annex I. KII Respondents</w:t>
        </w:r>
        <w:r w:rsidR="000628B4">
          <w:rPr>
            <w:noProof/>
            <w:webHidden/>
          </w:rPr>
          <w:tab/>
        </w:r>
        <w:r w:rsidR="000628B4">
          <w:rPr>
            <w:noProof/>
            <w:webHidden/>
          </w:rPr>
          <w:fldChar w:fldCharType="begin"/>
        </w:r>
        <w:r w:rsidR="000628B4">
          <w:rPr>
            <w:noProof/>
            <w:webHidden/>
          </w:rPr>
          <w:instrText xml:space="preserve"> PAGEREF _Toc69820475 \h </w:instrText>
        </w:r>
        <w:r w:rsidR="000628B4">
          <w:rPr>
            <w:noProof/>
            <w:webHidden/>
          </w:rPr>
        </w:r>
        <w:r w:rsidR="000628B4">
          <w:rPr>
            <w:noProof/>
            <w:webHidden/>
          </w:rPr>
          <w:fldChar w:fldCharType="separate"/>
        </w:r>
        <w:r w:rsidR="00D6133D">
          <w:rPr>
            <w:noProof/>
            <w:webHidden/>
          </w:rPr>
          <w:t>263</w:t>
        </w:r>
        <w:r w:rsidR="000628B4">
          <w:rPr>
            <w:noProof/>
            <w:webHidden/>
          </w:rPr>
          <w:fldChar w:fldCharType="end"/>
        </w:r>
      </w:hyperlink>
    </w:p>
    <w:p w14:paraId="6ACEE7EA" w14:textId="1E6A3F64" w:rsidR="000628B4" w:rsidRDefault="00092C0F" w:rsidP="002320B3">
      <w:pPr>
        <w:pStyle w:val="TOC1"/>
        <w:rPr>
          <w:rFonts w:eastAsiaTheme="minorEastAsia" w:cstheme="minorBidi"/>
          <w:b w:val="0"/>
          <w:bCs w:val="0"/>
          <w:caps w:val="0"/>
          <w:noProof/>
          <w:sz w:val="22"/>
          <w:szCs w:val="22"/>
          <w:lang w:val="en-AU" w:eastAsia="en-AU"/>
        </w:rPr>
      </w:pPr>
      <w:hyperlink w:anchor="_Toc69820476" w:history="1">
        <w:r w:rsidR="000628B4" w:rsidRPr="001A4C08">
          <w:rPr>
            <w:rStyle w:val="Hyperlink"/>
            <w:rFonts w:asciiTheme="majorHAnsi" w:eastAsiaTheme="majorEastAsia" w:hAnsiTheme="majorHAnsi" w:cstheme="majorBidi"/>
            <w:noProof/>
            <w:lang w:val="en-US"/>
          </w:rPr>
          <w:t>Annex J. KII Guide Questions</w:t>
        </w:r>
        <w:r w:rsidR="000628B4">
          <w:rPr>
            <w:noProof/>
            <w:webHidden/>
          </w:rPr>
          <w:tab/>
        </w:r>
        <w:r w:rsidR="000628B4">
          <w:rPr>
            <w:noProof/>
            <w:webHidden/>
          </w:rPr>
          <w:fldChar w:fldCharType="begin"/>
        </w:r>
        <w:r w:rsidR="000628B4">
          <w:rPr>
            <w:noProof/>
            <w:webHidden/>
          </w:rPr>
          <w:instrText xml:space="preserve"> PAGEREF _Toc69820476 \h </w:instrText>
        </w:r>
        <w:r w:rsidR="000628B4">
          <w:rPr>
            <w:noProof/>
            <w:webHidden/>
          </w:rPr>
        </w:r>
        <w:r w:rsidR="000628B4">
          <w:rPr>
            <w:noProof/>
            <w:webHidden/>
          </w:rPr>
          <w:fldChar w:fldCharType="separate"/>
        </w:r>
        <w:r w:rsidR="00D6133D">
          <w:rPr>
            <w:noProof/>
            <w:webHidden/>
          </w:rPr>
          <w:t>265</w:t>
        </w:r>
        <w:r w:rsidR="000628B4">
          <w:rPr>
            <w:noProof/>
            <w:webHidden/>
          </w:rPr>
          <w:fldChar w:fldCharType="end"/>
        </w:r>
      </w:hyperlink>
    </w:p>
    <w:p w14:paraId="1EA3DC5E" w14:textId="579B7E2A" w:rsidR="000628B4" w:rsidRDefault="00092C0F" w:rsidP="002320B3">
      <w:pPr>
        <w:pStyle w:val="TOC2"/>
        <w:tabs>
          <w:tab w:val="right" w:leader="dot" w:pos="9010"/>
        </w:tabs>
        <w:rPr>
          <w:rFonts w:eastAsiaTheme="minorEastAsia" w:cstheme="minorBidi"/>
          <w:smallCaps w:val="0"/>
          <w:noProof/>
          <w:sz w:val="22"/>
          <w:szCs w:val="22"/>
          <w:lang w:val="en-AU" w:eastAsia="en-AU"/>
        </w:rPr>
      </w:pPr>
      <w:hyperlink w:anchor="_Toc69820477" w:history="1">
        <w:r w:rsidR="000628B4" w:rsidRPr="001A4C08">
          <w:rPr>
            <w:rStyle w:val="Hyperlink"/>
            <w:rFonts w:asciiTheme="majorHAnsi" w:eastAsiaTheme="majorEastAsia" w:hAnsiTheme="majorHAnsi" w:cstheme="majorBidi"/>
            <w:noProof/>
            <w:lang w:val="en-US"/>
          </w:rPr>
          <w:t>Annex J-1.</w:t>
        </w:r>
        <w:r w:rsidR="00D434EB">
          <w:rPr>
            <w:rStyle w:val="Hyperlink"/>
            <w:rFonts w:asciiTheme="majorHAnsi" w:eastAsiaTheme="majorEastAsia" w:hAnsiTheme="majorHAnsi" w:cstheme="majorBidi"/>
            <w:noProof/>
            <w:lang w:val="en-US"/>
          </w:rPr>
          <w:t xml:space="preserve"> </w:t>
        </w:r>
        <w:r w:rsidR="000628B4" w:rsidRPr="001A4C08">
          <w:rPr>
            <w:rStyle w:val="Hyperlink"/>
            <w:rFonts w:asciiTheme="majorHAnsi" w:eastAsiaTheme="majorEastAsia" w:hAnsiTheme="majorHAnsi" w:cstheme="majorBidi"/>
            <w:noProof/>
            <w:lang w:val="en-US"/>
          </w:rPr>
          <w:t>Guide Questions for former and Current Undersecretaries</w:t>
        </w:r>
        <w:r w:rsidR="000628B4">
          <w:rPr>
            <w:noProof/>
            <w:webHidden/>
          </w:rPr>
          <w:tab/>
        </w:r>
        <w:r w:rsidR="000628B4">
          <w:rPr>
            <w:noProof/>
            <w:webHidden/>
          </w:rPr>
          <w:fldChar w:fldCharType="begin"/>
        </w:r>
        <w:r w:rsidR="000628B4">
          <w:rPr>
            <w:noProof/>
            <w:webHidden/>
          </w:rPr>
          <w:instrText xml:space="preserve"> PAGEREF _Toc69820477 \h </w:instrText>
        </w:r>
        <w:r w:rsidR="000628B4">
          <w:rPr>
            <w:noProof/>
            <w:webHidden/>
          </w:rPr>
        </w:r>
        <w:r w:rsidR="000628B4">
          <w:rPr>
            <w:noProof/>
            <w:webHidden/>
          </w:rPr>
          <w:fldChar w:fldCharType="separate"/>
        </w:r>
        <w:r w:rsidR="00D6133D">
          <w:rPr>
            <w:noProof/>
            <w:webHidden/>
          </w:rPr>
          <w:t>265</w:t>
        </w:r>
        <w:r w:rsidR="000628B4">
          <w:rPr>
            <w:noProof/>
            <w:webHidden/>
          </w:rPr>
          <w:fldChar w:fldCharType="end"/>
        </w:r>
      </w:hyperlink>
    </w:p>
    <w:p w14:paraId="0F49CC68" w14:textId="034402EE" w:rsidR="000628B4" w:rsidRDefault="00092C0F" w:rsidP="002320B3">
      <w:pPr>
        <w:pStyle w:val="TOC2"/>
        <w:tabs>
          <w:tab w:val="right" w:leader="dot" w:pos="9010"/>
        </w:tabs>
        <w:rPr>
          <w:rFonts w:eastAsiaTheme="minorEastAsia" w:cstheme="minorBidi"/>
          <w:smallCaps w:val="0"/>
          <w:noProof/>
          <w:sz w:val="22"/>
          <w:szCs w:val="22"/>
          <w:lang w:val="en-AU" w:eastAsia="en-AU"/>
        </w:rPr>
      </w:pPr>
      <w:hyperlink w:anchor="_Toc69820478" w:history="1">
        <w:r w:rsidR="000628B4" w:rsidRPr="001A4C08">
          <w:rPr>
            <w:rStyle w:val="Hyperlink"/>
            <w:rFonts w:asciiTheme="majorHAnsi" w:eastAsiaTheme="majorEastAsia" w:hAnsiTheme="majorHAnsi" w:cstheme="majorBidi"/>
            <w:noProof/>
            <w:lang w:val="en-US"/>
          </w:rPr>
          <w:t>Annex J-2.</w:t>
        </w:r>
        <w:r w:rsidR="00D434EB">
          <w:rPr>
            <w:rStyle w:val="Hyperlink"/>
            <w:rFonts w:asciiTheme="majorHAnsi" w:eastAsiaTheme="majorEastAsia" w:hAnsiTheme="majorHAnsi" w:cstheme="majorBidi"/>
            <w:noProof/>
            <w:lang w:val="en-US"/>
          </w:rPr>
          <w:t xml:space="preserve"> </w:t>
        </w:r>
        <w:r w:rsidR="000628B4" w:rsidRPr="001A4C08">
          <w:rPr>
            <w:rStyle w:val="Hyperlink"/>
            <w:rFonts w:asciiTheme="majorHAnsi" w:eastAsiaTheme="majorEastAsia" w:hAnsiTheme="majorHAnsi" w:cstheme="majorBidi"/>
            <w:noProof/>
            <w:lang w:val="en-US"/>
          </w:rPr>
          <w:t>Guide Questions for Central Office respondents</w:t>
        </w:r>
        <w:r w:rsidR="000628B4">
          <w:rPr>
            <w:noProof/>
            <w:webHidden/>
          </w:rPr>
          <w:tab/>
        </w:r>
        <w:r w:rsidR="000628B4">
          <w:rPr>
            <w:noProof/>
            <w:webHidden/>
          </w:rPr>
          <w:fldChar w:fldCharType="begin"/>
        </w:r>
        <w:r w:rsidR="000628B4">
          <w:rPr>
            <w:noProof/>
            <w:webHidden/>
          </w:rPr>
          <w:instrText xml:space="preserve"> PAGEREF _Toc69820478 \h </w:instrText>
        </w:r>
        <w:r w:rsidR="000628B4">
          <w:rPr>
            <w:noProof/>
            <w:webHidden/>
          </w:rPr>
        </w:r>
        <w:r w:rsidR="000628B4">
          <w:rPr>
            <w:noProof/>
            <w:webHidden/>
          </w:rPr>
          <w:fldChar w:fldCharType="separate"/>
        </w:r>
        <w:r w:rsidR="00D6133D">
          <w:rPr>
            <w:noProof/>
            <w:webHidden/>
          </w:rPr>
          <w:t>268</w:t>
        </w:r>
        <w:r w:rsidR="000628B4">
          <w:rPr>
            <w:noProof/>
            <w:webHidden/>
          </w:rPr>
          <w:fldChar w:fldCharType="end"/>
        </w:r>
      </w:hyperlink>
    </w:p>
    <w:p w14:paraId="1D33657C" w14:textId="633106A0" w:rsidR="000628B4" w:rsidRDefault="00092C0F" w:rsidP="002320B3">
      <w:pPr>
        <w:pStyle w:val="TOC2"/>
        <w:tabs>
          <w:tab w:val="right" w:leader="dot" w:pos="9010"/>
        </w:tabs>
        <w:rPr>
          <w:rFonts w:eastAsiaTheme="minorEastAsia" w:cstheme="minorBidi"/>
          <w:smallCaps w:val="0"/>
          <w:noProof/>
          <w:sz w:val="22"/>
          <w:szCs w:val="22"/>
          <w:lang w:val="en-AU" w:eastAsia="en-AU"/>
        </w:rPr>
      </w:pPr>
      <w:hyperlink w:anchor="_Toc69820479" w:history="1">
        <w:r w:rsidR="000628B4" w:rsidRPr="001A4C08">
          <w:rPr>
            <w:rStyle w:val="Hyperlink"/>
            <w:rFonts w:asciiTheme="majorHAnsi" w:eastAsiaTheme="majorEastAsia" w:hAnsiTheme="majorHAnsi" w:cstheme="majorBidi"/>
            <w:noProof/>
            <w:lang w:val="en-US"/>
          </w:rPr>
          <w:t>Annex J -3.</w:t>
        </w:r>
        <w:r w:rsidR="00D434EB">
          <w:rPr>
            <w:rStyle w:val="Hyperlink"/>
            <w:rFonts w:asciiTheme="majorHAnsi" w:eastAsiaTheme="majorEastAsia" w:hAnsiTheme="majorHAnsi" w:cstheme="majorBidi"/>
            <w:noProof/>
            <w:lang w:val="en-US"/>
          </w:rPr>
          <w:t xml:space="preserve"> </w:t>
        </w:r>
        <w:r w:rsidR="000628B4" w:rsidRPr="001A4C08">
          <w:rPr>
            <w:rStyle w:val="Hyperlink"/>
            <w:rFonts w:asciiTheme="majorHAnsi" w:eastAsiaTheme="majorEastAsia" w:hAnsiTheme="majorHAnsi" w:cstheme="majorBidi"/>
            <w:noProof/>
            <w:lang w:val="en-US"/>
          </w:rPr>
          <w:t>Guide Questions for Regional/Division Office respondents</w:t>
        </w:r>
        <w:r w:rsidR="000628B4">
          <w:rPr>
            <w:noProof/>
            <w:webHidden/>
          </w:rPr>
          <w:tab/>
        </w:r>
        <w:r w:rsidR="000628B4">
          <w:rPr>
            <w:noProof/>
            <w:webHidden/>
          </w:rPr>
          <w:fldChar w:fldCharType="begin"/>
        </w:r>
        <w:r w:rsidR="000628B4">
          <w:rPr>
            <w:noProof/>
            <w:webHidden/>
          </w:rPr>
          <w:instrText xml:space="preserve"> PAGEREF _Toc69820479 \h </w:instrText>
        </w:r>
        <w:r w:rsidR="000628B4">
          <w:rPr>
            <w:noProof/>
            <w:webHidden/>
          </w:rPr>
        </w:r>
        <w:r w:rsidR="000628B4">
          <w:rPr>
            <w:noProof/>
            <w:webHidden/>
          </w:rPr>
          <w:fldChar w:fldCharType="separate"/>
        </w:r>
        <w:r w:rsidR="00D6133D">
          <w:rPr>
            <w:noProof/>
            <w:webHidden/>
          </w:rPr>
          <w:t>270</w:t>
        </w:r>
        <w:r w:rsidR="000628B4">
          <w:rPr>
            <w:noProof/>
            <w:webHidden/>
          </w:rPr>
          <w:fldChar w:fldCharType="end"/>
        </w:r>
      </w:hyperlink>
    </w:p>
    <w:p w14:paraId="57C90642" w14:textId="6AD821BC" w:rsidR="000628B4" w:rsidRDefault="00092C0F" w:rsidP="002320B3">
      <w:pPr>
        <w:pStyle w:val="TOC2"/>
        <w:tabs>
          <w:tab w:val="right" w:leader="dot" w:pos="9010"/>
        </w:tabs>
        <w:rPr>
          <w:rFonts w:eastAsiaTheme="minorEastAsia" w:cstheme="minorBidi"/>
          <w:smallCaps w:val="0"/>
          <w:noProof/>
          <w:sz w:val="22"/>
          <w:szCs w:val="22"/>
          <w:lang w:val="en-AU" w:eastAsia="en-AU"/>
        </w:rPr>
      </w:pPr>
      <w:hyperlink w:anchor="_Toc69820480" w:history="1">
        <w:r w:rsidR="000628B4" w:rsidRPr="001A4C08">
          <w:rPr>
            <w:rStyle w:val="Hyperlink"/>
            <w:rFonts w:asciiTheme="majorHAnsi" w:eastAsiaTheme="majorEastAsia" w:hAnsiTheme="majorHAnsi" w:cstheme="majorBidi"/>
            <w:noProof/>
            <w:lang w:val="en-US"/>
          </w:rPr>
          <w:t>Annex J-4.</w:t>
        </w:r>
        <w:r w:rsidR="00D434EB">
          <w:rPr>
            <w:rStyle w:val="Hyperlink"/>
            <w:rFonts w:asciiTheme="majorHAnsi" w:eastAsiaTheme="majorEastAsia" w:hAnsiTheme="majorHAnsi" w:cstheme="majorBidi"/>
            <w:noProof/>
            <w:lang w:val="en-US"/>
          </w:rPr>
          <w:t xml:space="preserve"> </w:t>
        </w:r>
        <w:r w:rsidR="000628B4" w:rsidRPr="001A4C08">
          <w:rPr>
            <w:rStyle w:val="Hyperlink"/>
            <w:rFonts w:asciiTheme="majorHAnsi" w:eastAsiaTheme="majorEastAsia" w:hAnsiTheme="majorHAnsi" w:cstheme="majorBidi"/>
            <w:noProof/>
            <w:lang w:val="en-US"/>
          </w:rPr>
          <w:t>Guide Questions for BEST Partner Organisation</w:t>
        </w:r>
        <w:r w:rsidR="000628B4">
          <w:rPr>
            <w:noProof/>
            <w:webHidden/>
          </w:rPr>
          <w:tab/>
        </w:r>
        <w:r w:rsidR="000628B4">
          <w:rPr>
            <w:noProof/>
            <w:webHidden/>
          </w:rPr>
          <w:fldChar w:fldCharType="begin"/>
        </w:r>
        <w:r w:rsidR="000628B4">
          <w:rPr>
            <w:noProof/>
            <w:webHidden/>
          </w:rPr>
          <w:instrText xml:space="preserve"> PAGEREF _Toc69820480 \h </w:instrText>
        </w:r>
        <w:r w:rsidR="000628B4">
          <w:rPr>
            <w:noProof/>
            <w:webHidden/>
          </w:rPr>
        </w:r>
        <w:r w:rsidR="000628B4">
          <w:rPr>
            <w:noProof/>
            <w:webHidden/>
          </w:rPr>
          <w:fldChar w:fldCharType="separate"/>
        </w:r>
        <w:r w:rsidR="00D6133D">
          <w:rPr>
            <w:noProof/>
            <w:webHidden/>
          </w:rPr>
          <w:t>278</w:t>
        </w:r>
        <w:r w:rsidR="000628B4">
          <w:rPr>
            <w:noProof/>
            <w:webHidden/>
          </w:rPr>
          <w:fldChar w:fldCharType="end"/>
        </w:r>
      </w:hyperlink>
    </w:p>
    <w:p w14:paraId="5602055D" w14:textId="77DD7353" w:rsidR="000628B4" w:rsidRDefault="00092C0F" w:rsidP="002320B3">
      <w:pPr>
        <w:pStyle w:val="TOC1"/>
        <w:rPr>
          <w:rFonts w:eastAsiaTheme="minorEastAsia" w:cstheme="minorBidi"/>
          <w:b w:val="0"/>
          <w:bCs w:val="0"/>
          <w:caps w:val="0"/>
          <w:noProof/>
          <w:sz w:val="22"/>
          <w:szCs w:val="22"/>
          <w:lang w:val="en-AU" w:eastAsia="en-AU"/>
        </w:rPr>
      </w:pPr>
      <w:hyperlink w:anchor="_Toc69820481" w:history="1">
        <w:r w:rsidR="000628B4" w:rsidRPr="001A4C08">
          <w:rPr>
            <w:rStyle w:val="Hyperlink"/>
            <w:rFonts w:asciiTheme="majorHAnsi" w:eastAsiaTheme="majorEastAsia" w:hAnsiTheme="majorHAnsi" w:cstheme="majorBidi"/>
            <w:noProof/>
            <w:lang w:val="en-US"/>
          </w:rPr>
          <w:t>Annex K. FGD Respondents</w:t>
        </w:r>
        <w:r w:rsidR="000628B4">
          <w:rPr>
            <w:noProof/>
            <w:webHidden/>
          </w:rPr>
          <w:tab/>
        </w:r>
        <w:r w:rsidR="000628B4">
          <w:rPr>
            <w:noProof/>
            <w:webHidden/>
          </w:rPr>
          <w:fldChar w:fldCharType="begin"/>
        </w:r>
        <w:r w:rsidR="000628B4">
          <w:rPr>
            <w:noProof/>
            <w:webHidden/>
          </w:rPr>
          <w:instrText xml:space="preserve"> PAGEREF _Toc69820481 \h </w:instrText>
        </w:r>
        <w:r w:rsidR="000628B4">
          <w:rPr>
            <w:noProof/>
            <w:webHidden/>
          </w:rPr>
        </w:r>
        <w:r w:rsidR="000628B4">
          <w:rPr>
            <w:noProof/>
            <w:webHidden/>
          </w:rPr>
          <w:fldChar w:fldCharType="separate"/>
        </w:r>
        <w:r w:rsidR="00D6133D">
          <w:rPr>
            <w:noProof/>
            <w:webHidden/>
          </w:rPr>
          <w:t>280</w:t>
        </w:r>
        <w:r w:rsidR="000628B4">
          <w:rPr>
            <w:noProof/>
            <w:webHidden/>
          </w:rPr>
          <w:fldChar w:fldCharType="end"/>
        </w:r>
      </w:hyperlink>
    </w:p>
    <w:p w14:paraId="2694B680" w14:textId="1E5A56DD" w:rsidR="000628B4" w:rsidRDefault="00092C0F" w:rsidP="002320B3">
      <w:pPr>
        <w:pStyle w:val="TOC1"/>
        <w:rPr>
          <w:rFonts w:eastAsiaTheme="minorEastAsia" w:cstheme="minorBidi"/>
          <w:b w:val="0"/>
          <w:bCs w:val="0"/>
          <w:caps w:val="0"/>
          <w:noProof/>
          <w:sz w:val="22"/>
          <w:szCs w:val="22"/>
          <w:lang w:val="en-AU" w:eastAsia="en-AU"/>
        </w:rPr>
      </w:pPr>
      <w:hyperlink w:anchor="_Toc69820482" w:history="1">
        <w:r w:rsidR="000628B4" w:rsidRPr="001A4C08">
          <w:rPr>
            <w:rStyle w:val="Hyperlink"/>
            <w:rFonts w:asciiTheme="majorHAnsi" w:eastAsiaTheme="majorEastAsia" w:hAnsiTheme="majorHAnsi" w:cstheme="majorBidi"/>
            <w:noProof/>
            <w:lang w:val="en-US"/>
          </w:rPr>
          <w:t>Annex L. FGD Guide Questions</w:t>
        </w:r>
        <w:r w:rsidR="000628B4">
          <w:rPr>
            <w:noProof/>
            <w:webHidden/>
          </w:rPr>
          <w:tab/>
        </w:r>
        <w:r w:rsidR="000628B4">
          <w:rPr>
            <w:noProof/>
            <w:webHidden/>
          </w:rPr>
          <w:fldChar w:fldCharType="begin"/>
        </w:r>
        <w:r w:rsidR="000628B4">
          <w:rPr>
            <w:noProof/>
            <w:webHidden/>
          </w:rPr>
          <w:instrText xml:space="preserve"> PAGEREF _Toc69820482 \h </w:instrText>
        </w:r>
        <w:r w:rsidR="000628B4">
          <w:rPr>
            <w:noProof/>
            <w:webHidden/>
          </w:rPr>
        </w:r>
        <w:r w:rsidR="000628B4">
          <w:rPr>
            <w:noProof/>
            <w:webHidden/>
          </w:rPr>
          <w:fldChar w:fldCharType="separate"/>
        </w:r>
        <w:r w:rsidR="00D6133D">
          <w:rPr>
            <w:noProof/>
            <w:webHidden/>
          </w:rPr>
          <w:t>298</w:t>
        </w:r>
        <w:r w:rsidR="000628B4">
          <w:rPr>
            <w:noProof/>
            <w:webHidden/>
          </w:rPr>
          <w:fldChar w:fldCharType="end"/>
        </w:r>
      </w:hyperlink>
    </w:p>
    <w:p w14:paraId="322A0DB0" w14:textId="00931293" w:rsidR="000628B4" w:rsidRDefault="00092C0F" w:rsidP="002320B3">
      <w:pPr>
        <w:pStyle w:val="TOC2"/>
        <w:tabs>
          <w:tab w:val="right" w:leader="dot" w:pos="9010"/>
        </w:tabs>
        <w:rPr>
          <w:rFonts w:eastAsiaTheme="minorEastAsia" w:cstheme="minorBidi"/>
          <w:smallCaps w:val="0"/>
          <w:noProof/>
          <w:sz w:val="22"/>
          <w:szCs w:val="22"/>
          <w:lang w:val="en-AU" w:eastAsia="en-AU"/>
        </w:rPr>
      </w:pPr>
      <w:hyperlink w:anchor="_Toc69820483" w:history="1">
        <w:r w:rsidR="000628B4" w:rsidRPr="001A4C08">
          <w:rPr>
            <w:rStyle w:val="Hyperlink"/>
            <w:rFonts w:asciiTheme="majorHAnsi" w:eastAsiaTheme="majorEastAsia" w:hAnsiTheme="majorHAnsi" w:cstheme="majorBidi"/>
            <w:noProof/>
            <w:lang w:val="en-US"/>
          </w:rPr>
          <w:t>Annex L-1.</w:t>
        </w:r>
        <w:r w:rsidR="00D434EB">
          <w:rPr>
            <w:rStyle w:val="Hyperlink"/>
            <w:rFonts w:asciiTheme="majorHAnsi" w:eastAsiaTheme="majorEastAsia" w:hAnsiTheme="majorHAnsi" w:cstheme="majorBidi"/>
            <w:noProof/>
            <w:lang w:val="en-US"/>
          </w:rPr>
          <w:t xml:space="preserve"> </w:t>
        </w:r>
        <w:r w:rsidR="000628B4" w:rsidRPr="001A4C08">
          <w:rPr>
            <w:rStyle w:val="Hyperlink"/>
            <w:rFonts w:asciiTheme="majorHAnsi" w:eastAsiaTheme="majorEastAsia" w:hAnsiTheme="majorHAnsi" w:cstheme="majorBidi"/>
            <w:noProof/>
            <w:lang w:val="en-US"/>
          </w:rPr>
          <w:t>Guide Questions for Regional/Division Office respondents</w:t>
        </w:r>
        <w:r w:rsidR="000628B4">
          <w:rPr>
            <w:noProof/>
            <w:webHidden/>
          </w:rPr>
          <w:tab/>
        </w:r>
        <w:r w:rsidR="000628B4">
          <w:rPr>
            <w:noProof/>
            <w:webHidden/>
          </w:rPr>
          <w:fldChar w:fldCharType="begin"/>
        </w:r>
        <w:r w:rsidR="000628B4">
          <w:rPr>
            <w:noProof/>
            <w:webHidden/>
          </w:rPr>
          <w:instrText xml:space="preserve"> PAGEREF _Toc69820483 \h </w:instrText>
        </w:r>
        <w:r w:rsidR="000628B4">
          <w:rPr>
            <w:noProof/>
            <w:webHidden/>
          </w:rPr>
        </w:r>
        <w:r w:rsidR="000628B4">
          <w:rPr>
            <w:noProof/>
            <w:webHidden/>
          </w:rPr>
          <w:fldChar w:fldCharType="separate"/>
        </w:r>
        <w:r w:rsidR="00D6133D">
          <w:rPr>
            <w:noProof/>
            <w:webHidden/>
          </w:rPr>
          <w:t>298</w:t>
        </w:r>
        <w:r w:rsidR="000628B4">
          <w:rPr>
            <w:noProof/>
            <w:webHidden/>
          </w:rPr>
          <w:fldChar w:fldCharType="end"/>
        </w:r>
      </w:hyperlink>
    </w:p>
    <w:p w14:paraId="125BF3D4" w14:textId="253C4CD3" w:rsidR="000628B4" w:rsidRDefault="00092C0F" w:rsidP="002320B3">
      <w:pPr>
        <w:pStyle w:val="TOC2"/>
        <w:tabs>
          <w:tab w:val="right" w:leader="dot" w:pos="9010"/>
        </w:tabs>
        <w:rPr>
          <w:rFonts w:eastAsiaTheme="minorEastAsia" w:cstheme="minorBidi"/>
          <w:smallCaps w:val="0"/>
          <w:noProof/>
          <w:sz w:val="22"/>
          <w:szCs w:val="22"/>
          <w:lang w:val="en-AU" w:eastAsia="en-AU"/>
        </w:rPr>
      </w:pPr>
      <w:hyperlink w:anchor="_Toc69820484" w:history="1">
        <w:r w:rsidR="000628B4" w:rsidRPr="001A4C08">
          <w:rPr>
            <w:rStyle w:val="Hyperlink"/>
            <w:rFonts w:asciiTheme="majorHAnsi" w:eastAsiaTheme="majorEastAsia" w:hAnsiTheme="majorHAnsi" w:cstheme="majorBidi"/>
            <w:noProof/>
            <w:lang w:val="en-US"/>
          </w:rPr>
          <w:t>Annex L-2.</w:t>
        </w:r>
        <w:r w:rsidR="00D434EB">
          <w:rPr>
            <w:rStyle w:val="Hyperlink"/>
            <w:rFonts w:asciiTheme="majorHAnsi" w:eastAsiaTheme="majorEastAsia" w:hAnsiTheme="majorHAnsi" w:cstheme="majorBidi"/>
            <w:noProof/>
            <w:lang w:val="en-US"/>
          </w:rPr>
          <w:t xml:space="preserve"> </w:t>
        </w:r>
        <w:r w:rsidR="000628B4" w:rsidRPr="001A4C08">
          <w:rPr>
            <w:rStyle w:val="Hyperlink"/>
            <w:rFonts w:asciiTheme="majorHAnsi" w:eastAsiaTheme="majorEastAsia" w:hAnsiTheme="majorHAnsi" w:cstheme="majorBidi"/>
            <w:noProof/>
            <w:lang w:val="en-US"/>
          </w:rPr>
          <w:t>Guide Questions for Principals and School Heads</w:t>
        </w:r>
        <w:r w:rsidR="000628B4">
          <w:rPr>
            <w:noProof/>
            <w:webHidden/>
          </w:rPr>
          <w:tab/>
        </w:r>
        <w:r w:rsidR="000628B4">
          <w:rPr>
            <w:noProof/>
            <w:webHidden/>
          </w:rPr>
          <w:fldChar w:fldCharType="begin"/>
        </w:r>
        <w:r w:rsidR="000628B4">
          <w:rPr>
            <w:noProof/>
            <w:webHidden/>
          </w:rPr>
          <w:instrText xml:space="preserve"> PAGEREF _Toc69820484 \h </w:instrText>
        </w:r>
        <w:r w:rsidR="000628B4">
          <w:rPr>
            <w:noProof/>
            <w:webHidden/>
          </w:rPr>
        </w:r>
        <w:r w:rsidR="000628B4">
          <w:rPr>
            <w:noProof/>
            <w:webHidden/>
          </w:rPr>
          <w:fldChar w:fldCharType="separate"/>
        </w:r>
        <w:r w:rsidR="00D6133D">
          <w:rPr>
            <w:noProof/>
            <w:webHidden/>
          </w:rPr>
          <w:t>303</w:t>
        </w:r>
        <w:r w:rsidR="000628B4">
          <w:rPr>
            <w:noProof/>
            <w:webHidden/>
          </w:rPr>
          <w:fldChar w:fldCharType="end"/>
        </w:r>
      </w:hyperlink>
    </w:p>
    <w:p w14:paraId="6CA5CC27" w14:textId="155BEFB5" w:rsidR="000628B4" w:rsidRDefault="00092C0F" w:rsidP="002320B3">
      <w:pPr>
        <w:pStyle w:val="TOC2"/>
        <w:tabs>
          <w:tab w:val="right" w:leader="dot" w:pos="9010"/>
        </w:tabs>
        <w:rPr>
          <w:rFonts w:eastAsiaTheme="minorEastAsia" w:cstheme="minorBidi"/>
          <w:smallCaps w:val="0"/>
          <w:noProof/>
          <w:sz w:val="22"/>
          <w:szCs w:val="22"/>
          <w:lang w:val="en-AU" w:eastAsia="en-AU"/>
        </w:rPr>
      </w:pPr>
      <w:hyperlink w:anchor="_Toc69820485" w:history="1">
        <w:r w:rsidR="000628B4" w:rsidRPr="001A4C08">
          <w:rPr>
            <w:rStyle w:val="Hyperlink"/>
            <w:rFonts w:asciiTheme="majorHAnsi" w:eastAsiaTheme="majorEastAsia" w:hAnsiTheme="majorHAnsi" w:cstheme="majorBidi"/>
            <w:noProof/>
            <w:lang w:val="en-US"/>
          </w:rPr>
          <w:t>Annex L-3.</w:t>
        </w:r>
        <w:r w:rsidR="00D434EB">
          <w:rPr>
            <w:rStyle w:val="Hyperlink"/>
            <w:rFonts w:asciiTheme="majorHAnsi" w:eastAsiaTheme="majorEastAsia" w:hAnsiTheme="majorHAnsi" w:cstheme="majorBidi"/>
            <w:noProof/>
            <w:lang w:val="en-US"/>
          </w:rPr>
          <w:t xml:space="preserve"> </w:t>
        </w:r>
        <w:r w:rsidR="000628B4" w:rsidRPr="001A4C08">
          <w:rPr>
            <w:rStyle w:val="Hyperlink"/>
            <w:rFonts w:asciiTheme="majorHAnsi" w:eastAsiaTheme="majorEastAsia" w:hAnsiTheme="majorHAnsi" w:cstheme="majorBidi"/>
            <w:noProof/>
            <w:lang w:val="en-US"/>
          </w:rPr>
          <w:t>Guide Questions for Teachers</w:t>
        </w:r>
        <w:r w:rsidR="000628B4">
          <w:rPr>
            <w:noProof/>
            <w:webHidden/>
          </w:rPr>
          <w:tab/>
        </w:r>
        <w:r w:rsidR="000628B4">
          <w:rPr>
            <w:noProof/>
            <w:webHidden/>
          </w:rPr>
          <w:fldChar w:fldCharType="begin"/>
        </w:r>
        <w:r w:rsidR="000628B4">
          <w:rPr>
            <w:noProof/>
            <w:webHidden/>
          </w:rPr>
          <w:instrText xml:space="preserve"> PAGEREF _Toc69820485 \h </w:instrText>
        </w:r>
        <w:r w:rsidR="000628B4">
          <w:rPr>
            <w:noProof/>
            <w:webHidden/>
          </w:rPr>
        </w:r>
        <w:r w:rsidR="000628B4">
          <w:rPr>
            <w:noProof/>
            <w:webHidden/>
          </w:rPr>
          <w:fldChar w:fldCharType="separate"/>
        </w:r>
        <w:r w:rsidR="00D6133D">
          <w:rPr>
            <w:noProof/>
            <w:webHidden/>
          </w:rPr>
          <w:t>308</w:t>
        </w:r>
        <w:r w:rsidR="000628B4">
          <w:rPr>
            <w:noProof/>
            <w:webHidden/>
          </w:rPr>
          <w:fldChar w:fldCharType="end"/>
        </w:r>
      </w:hyperlink>
    </w:p>
    <w:p w14:paraId="2F95E097" w14:textId="0307A273" w:rsidR="000628B4" w:rsidRDefault="00092C0F" w:rsidP="002320B3">
      <w:pPr>
        <w:pStyle w:val="TOC1"/>
        <w:rPr>
          <w:rFonts w:eastAsiaTheme="minorEastAsia" w:cstheme="minorBidi"/>
          <w:b w:val="0"/>
          <w:bCs w:val="0"/>
          <w:caps w:val="0"/>
          <w:noProof/>
          <w:sz w:val="22"/>
          <w:szCs w:val="22"/>
          <w:lang w:val="en-AU" w:eastAsia="en-AU"/>
        </w:rPr>
      </w:pPr>
      <w:hyperlink w:anchor="_Toc69820486" w:history="1">
        <w:r w:rsidR="000628B4" w:rsidRPr="001A4C08">
          <w:rPr>
            <w:rStyle w:val="Hyperlink"/>
            <w:rFonts w:asciiTheme="majorHAnsi" w:eastAsiaTheme="majorEastAsia" w:hAnsiTheme="majorHAnsi" w:cstheme="majorBidi"/>
            <w:noProof/>
            <w:lang w:val="en-US"/>
          </w:rPr>
          <w:t>Annex M.</w:t>
        </w:r>
        <w:r w:rsidR="00D434EB">
          <w:rPr>
            <w:rStyle w:val="Hyperlink"/>
            <w:rFonts w:asciiTheme="majorHAnsi" w:eastAsiaTheme="majorEastAsia" w:hAnsiTheme="majorHAnsi" w:cstheme="majorBidi"/>
            <w:noProof/>
            <w:lang w:val="en-US"/>
          </w:rPr>
          <w:t xml:space="preserve"> </w:t>
        </w:r>
        <w:r w:rsidR="000628B4" w:rsidRPr="001A4C08">
          <w:rPr>
            <w:rStyle w:val="Hyperlink"/>
            <w:rFonts w:asciiTheme="majorHAnsi" w:eastAsiaTheme="majorEastAsia" w:hAnsiTheme="majorHAnsi" w:cstheme="majorBidi"/>
            <w:noProof/>
            <w:lang w:val="en-US"/>
          </w:rPr>
          <w:t>2019 KAU Survey Tool</w:t>
        </w:r>
        <w:r w:rsidR="000628B4">
          <w:rPr>
            <w:noProof/>
            <w:webHidden/>
          </w:rPr>
          <w:tab/>
        </w:r>
        <w:r w:rsidR="000628B4">
          <w:rPr>
            <w:noProof/>
            <w:webHidden/>
          </w:rPr>
          <w:fldChar w:fldCharType="begin"/>
        </w:r>
        <w:r w:rsidR="000628B4">
          <w:rPr>
            <w:noProof/>
            <w:webHidden/>
          </w:rPr>
          <w:instrText xml:space="preserve"> PAGEREF _Toc69820486 \h </w:instrText>
        </w:r>
        <w:r w:rsidR="000628B4">
          <w:rPr>
            <w:noProof/>
            <w:webHidden/>
          </w:rPr>
        </w:r>
        <w:r w:rsidR="000628B4">
          <w:rPr>
            <w:noProof/>
            <w:webHidden/>
          </w:rPr>
          <w:fldChar w:fldCharType="separate"/>
        </w:r>
        <w:r w:rsidR="00D6133D">
          <w:rPr>
            <w:noProof/>
            <w:webHidden/>
          </w:rPr>
          <w:t>312</w:t>
        </w:r>
        <w:r w:rsidR="000628B4">
          <w:rPr>
            <w:noProof/>
            <w:webHidden/>
          </w:rPr>
          <w:fldChar w:fldCharType="end"/>
        </w:r>
      </w:hyperlink>
    </w:p>
    <w:p w14:paraId="23D5D467" w14:textId="79405000" w:rsidR="000628B4" w:rsidRDefault="00092C0F" w:rsidP="002320B3">
      <w:pPr>
        <w:pStyle w:val="TOC2"/>
        <w:tabs>
          <w:tab w:val="right" w:leader="dot" w:pos="9010"/>
        </w:tabs>
        <w:rPr>
          <w:rFonts w:eastAsiaTheme="minorEastAsia" w:cstheme="minorBidi"/>
          <w:smallCaps w:val="0"/>
          <w:noProof/>
          <w:sz w:val="22"/>
          <w:szCs w:val="22"/>
          <w:lang w:val="en-AU" w:eastAsia="en-AU"/>
        </w:rPr>
      </w:pPr>
      <w:hyperlink w:anchor="_Toc69820487" w:history="1">
        <w:r w:rsidR="000628B4" w:rsidRPr="001A4C08">
          <w:rPr>
            <w:rStyle w:val="Hyperlink"/>
            <w:rFonts w:asciiTheme="majorHAnsi" w:eastAsiaTheme="majorEastAsia" w:hAnsiTheme="majorHAnsi" w:cstheme="majorBidi"/>
            <w:noProof/>
            <w:lang w:val="en-US"/>
          </w:rPr>
          <w:t>Annex M-1: 2019 KAU Survey Tool for Principals/School Heads (PSHs)</w:t>
        </w:r>
        <w:r w:rsidR="000628B4">
          <w:rPr>
            <w:noProof/>
            <w:webHidden/>
          </w:rPr>
          <w:tab/>
        </w:r>
        <w:r w:rsidR="000628B4">
          <w:rPr>
            <w:noProof/>
            <w:webHidden/>
          </w:rPr>
          <w:fldChar w:fldCharType="begin"/>
        </w:r>
        <w:r w:rsidR="000628B4">
          <w:rPr>
            <w:noProof/>
            <w:webHidden/>
          </w:rPr>
          <w:instrText xml:space="preserve"> PAGEREF _Toc69820487 \h </w:instrText>
        </w:r>
        <w:r w:rsidR="000628B4">
          <w:rPr>
            <w:noProof/>
            <w:webHidden/>
          </w:rPr>
        </w:r>
        <w:r w:rsidR="000628B4">
          <w:rPr>
            <w:noProof/>
            <w:webHidden/>
          </w:rPr>
          <w:fldChar w:fldCharType="separate"/>
        </w:r>
        <w:r w:rsidR="00D6133D">
          <w:rPr>
            <w:noProof/>
            <w:webHidden/>
          </w:rPr>
          <w:t>312</w:t>
        </w:r>
        <w:r w:rsidR="000628B4">
          <w:rPr>
            <w:noProof/>
            <w:webHidden/>
          </w:rPr>
          <w:fldChar w:fldCharType="end"/>
        </w:r>
      </w:hyperlink>
    </w:p>
    <w:p w14:paraId="5D423B33" w14:textId="3A11DB70" w:rsidR="000628B4" w:rsidRDefault="00092C0F" w:rsidP="002320B3">
      <w:pPr>
        <w:pStyle w:val="TOC2"/>
        <w:tabs>
          <w:tab w:val="right" w:leader="dot" w:pos="9010"/>
        </w:tabs>
        <w:rPr>
          <w:rFonts w:eastAsiaTheme="minorEastAsia" w:cstheme="minorBidi"/>
          <w:smallCaps w:val="0"/>
          <w:noProof/>
          <w:sz w:val="22"/>
          <w:szCs w:val="22"/>
          <w:lang w:val="en-AU" w:eastAsia="en-AU"/>
        </w:rPr>
      </w:pPr>
      <w:hyperlink w:anchor="_Toc69820488" w:history="1">
        <w:r w:rsidR="000628B4" w:rsidRPr="001A4C08">
          <w:rPr>
            <w:rStyle w:val="Hyperlink"/>
            <w:rFonts w:asciiTheme="majorHAnsi" w:eastAsiaTheme="majorEastAsia" w:hAnsiTheme="majorHAnsi" w:cstheme="majorBidi"/>
            <w:noProof/>
            <w:lang w:val="en-US"/>
          </w:rPr>
          <w:t>Annex M-2: 2019 KAU Survey Tool for Teachers</w:t>
        </w:r>
        <w:r w:rsidR="000628B4">
          <w:rPr>
            <w:noProof/>
            <w:webHidden/>
          </w:rPr>
          <w:tab/>
        </w:r>
        <w:r w:rsidR="000628B4">
          <w:rPr>
            <w:noProof/>
            <w:webHidden/>
          </w:rPr>
          <w:fldChar w:fldCharType="begin"/>
        </w:r>
        <w:r w:rsidR="000628B4">
          <w:rPr>
            <w:noProof/>
            <w:webHidden/>
          </w:rPr>
          <w:instrText xml:space="preserve"> PAGEREF _Toc69820488 \h </w:instrText>
        </w:r>
        <w:r w:rsidR="000628B4">
          <w:rPr>
            <w:noProof/>
            <w:webHidden/>
          </w:rPr>
        </w:r>
        <w:r w:rsidR="000628B4">
          <w:rPr>
            <w:noProof/>
            <w:webHidden/>
          </w:rPr>
          <w:fldChar w:fldCharType="separate"/>
        </w:r>
        <w:r w:rsidR="00D6133D">
          <w:rPr>
            <w:noProof/>
            <w:webHidden/>
          </w:rPr>
          <w:t>317</w:t>
        </w:r>
        <w:r w:rsidR="000628B4">
          <w:rPr>
            <w:noProof/>
            <w:webHidden/>
          </w:rPr>
          <w:fldChar w:fldCharType="end"/>
        </w:r>
      </w:hyperlink>
    </w:p>
    <w:p w14:paraId="50E5EDD1" w14:textId="02DC254D" w:rsidR="000628B4" w:rsidRDefault="00092C0F" w:rsidP="002320B3">
      <w:pPr>
        <w:pStyle w:val="TOC1"/>
        <w:rPr>
          <w:rFonts w:eastAsiaTheme="minorEastAsia" w:cstheme="minorBidi"/>
          <w:b w:val="0"/>
          <w:bCs w:val="0"/>
          <w:caps w:val="0"/>
          <w:noProof/>
          <w:sz w:val="22"/>
          <w:szCs w:val="22"/>
          <w:lang w:val="en-AU" w:eastAsia="en-AU"/>
        </w:rPr>
      </w:pPr>
      <w:hyperlink w:anchor="_Toc69820489" w:history="1">
        <w:r w:rsidR="000628B4" w:rsidRPr="001A4C08">
          <w:rPr>
            <w:rStyle w:val="Hyperlink"/>
            <w:rFonts w:asciiTheme="majorHAnsi" w:eastAsiaTheme="majorEastAsia" w:hAnsiTheme="majorHAnsi" w:cstheme="majorBidi"/>
            <w:noProof/>
            <w:lang w:val="en-US"/>
          </w:rPr>
          <w:t>Annex N. 2019 Survey on the Perceptions on Program Interventions</w:t>
        </w:r>
        <w:r w:rsidR="000628B4">
          <w:rPr>
            <w:noProof/>
            <w:webHidden/>
          </w:rPr>
          <w:tab/>
        </w:r>
        <w:r w:rsidR="000628B4">
          <w:rPr>
            <w:noProof/>
            <w:webHidden/>
          </w:rPr>
          <w:fldChar w:fldCharType="begin"/>
        </w:r>
        <w:r w:rsidR="000628B4">
          <w:rPr>
            <w:noProof/>
            <w:webHidden/>
          </w:rPr>
          <w:instrText xml:space="preserve"> PAGEREF _Toc69820489 \h </w:instrText>
        </w:r>
        <w:r w:rsidR="000628B4">
          <w:rPr>
            <w:noProof/>
            <w:webHidden/>
          </w:rPr>
        </w:r>
        <w:r w:rsidR="000628B4">
          <w:rPr>
            <w:noProof/>
            <w:webHidden/>
          </w:rPr>
          <w:fldChar w:fldCharType="separate"/>
        </w:r>
        <w:r w:rsidR="00D6133D">
          <w:rPr>
            <w:noProof/>
            <w:webHidden/>
          </w:rPr>
          <w:t>320</w:t>
        </w:r>
        <w:r w:rsidR="000628B4">
          <w:rPr>
            <w:noProof/>
            <w:webHidden/>
          </w:rPr>
          <w:fldChar w:fldCharType="end"/>
        </w:r>
      </w:hyperlink>
    </w:p>
    <w:p w14:paraId="1FE1400C" w14:textId="6E3B16E8" w:rsidR="000628B4" w:rsidRDefault="00092C0F" w:rsidP="002320B3">
      <w:pPr>
        <w:pStyle w:val="TOC2"/>
        <w:tabs>
          <w:tab w:val="right" w:leader="dot" w:pos="9010"/>
        </w:tabs>
        <w:rPr>
          <w:rFonts w:eastAsiaTheme="minorEastAsia" w:cstheme="minorBidi"/>
          <w:smallCaps w:val="0"/>
          <w:noProof/>
          <w:sz w:val="22"/>
          <w:szCs w:val="22"/>
          <w:lang w:val="en-AU" w:eastAsia="en-AU"/>
        </w:rPr>
      </w:pPr>
      <w:hyperlink w:anchor="_Toc69820490" w:history="1">
        <w:r w:rsidR="000628B4" w:rsidRPr="001A4C08">
          <w:rPr>
            <w:rStyle w:val="Hyperlink"/>
            <w:rFonts w:asciiTheme="majorHAnsi" w:eastAsiaTheme="majorEastAsia" w:hAnsiTheme="majorHAnsi" w:cstheme="majorBidi"/>
            <w:noProof/>
            <w:lang w:val="en-US"/>
          </w:rPr>
          <w:t>Annex N-1: 2019 Survey of Principals/School Heads (PSHs)</w:t>
        </w:r>
        <w:r w:rsidR="000628B4">
          <w:rPr>
            <w:noProof/>
            <w:webHidden/>
          </w:rPr>
          <w:tab/>
        </w:r>
        <w:r w:rsidR="000628B4">
          <w:rPr>
            <w:noProof/>
            <w:webHidden/>
          </w:rPr>
          <w:fldChar w:fldCharType="begin"/>
        </w:r>
        <w:r w:rsidR="000628B4">
          <w:rPr>
            <w:noProof/>
            <w:webHidden/>
          </w:rPr>
          <w:instrText xml:space="preserve"> PAGEREF _Toc69820490 \h </w:instrText>
        </w:r>
        <w:r w:rsidR="000628B4">
          <w:rPr>
            <w:noProof/>
            <w:webHidden/>
          </w:rPr>
        </w:r>
        <w:r w:rsidR="000628B4">
          <w:rPr>
            <w:noProof/>
            <w:webHidden/>
          </w:rPr>
          <w:fldChar w:fldCharType="separate"/>
        </w:r>
        <w:r w:rsidR="00D6133D">
          <w:rPr>
            <w:noProof/>
            <w:webHidden/>
          </w:rPr>
          <w:t>320</w:t>
        </w:r>
        <w:r w:rsidR="000628B4">
          <w:rPr>
            <w:noProof/>
            <w:webHidden/>
          </w:rPr>
          <w:fldChar w:fldCharType="end"/>
        </w:r>
      </w:hyperlink>
    </w:p>
    <w:p w14:paraId="1F62CD06" w14:textId="236B57E3" w:rsidR="000628B4" w:rsidRDefault="00092C0F" w:rsidP="002320B3">
      <w:pPr>
        <w:pStyle w:val="TOC2"/>
        <w:tabs>
          <w:tab w:val="right" w:leader="dot" w:pos="9010"/>
        </w:tabs>
        <w:rPr>
          <w:rFonts w:eastAsiaTheme="minorEastAsia" w:cstheme="minorBidi"/>
          <w:smallCaps w:val="0"/>
          <w:noProof/>
          <w:sz w:val="22"/>
          <w:szCs w:val="22"/>
          <w:lang w:val="en-AU" w:eastAsia="en-AU"/>
        </w:rPr>
      </w:pPr>
      <w:hyperlink w:anchor="_Toc69820491" w:history="1">
        <w:r w:rsidR="000628B4" w:rsidRPr="001A4C08">
          <w:rPr>
            <w:rStyle w:val="Hyperlink"/>
            <w:rFonts w:asciiTheme="majorHAnsi" w:eastAsiaTheme="majorEastAsia" w:hAnsiTheme="majorHAnsi" w:cstheme="majorBidi"/>
            <w:noProof/>
            <w:lang w:val="en-US"/>
          </w:rPr>
          <w:t>Annex N-2: 2019 Survey of Teachers</w:t>
        </w:r>
        <w:r w:rsidR="000628B4">
          <w:rPr>
            <w:noProof/>
            <w:webHidden/>
          </w:rPr>
          <w:tab/>
        </w:r>
        <w:r w:rsidR="000628B4">
          <w:rPr>
            <w:noProof/>
            <w:webHidden/>
          </w:rPr>
          <w:fldChar w:fldCharType="begin"/>
        </w:r>
        <w:r w:rsidR="000628B4">
          <w:rPr>
            <w:noProof/>
            <w:webHidden/>
          </w:rPr>
          <w:instrText xml:space="preserve"> PAGEREF _Toc69820491 \h </w:instrText>
        </w:r>
        <w:r w:rsidR="000628B4">
          <w:rPr>
            <w:noProof/>
            <w:webHidden/>
          </w:rPr>
        </w:r>
        <w:r w:rsidR="000628B4">
          <w:rPr>
            <w:noProof/>
            <w:webHidden/>
          </w:rPr>
          <w:fldChar w:fldCharType="separate"/>
        </w:r>
        <w:r w:rsidR="00D6133D">
          <w:rPr>
            <w:noProof/>
            <w:webHidden/>
          </w:rPr>
          <w:t>332</w:t>
        </w:r>
        <w:r w:rsidR="000628B4">
          <w:rPr>
            <w:noProof/>
            <w:webHidden/>
          </w:rPr>
          <w:fldChar w:fldCharType="end"/>
        </w:r>
      </w:hyperlink>
    </w:p>
    <w:p w14:paraId="2C602FA7" w14:textId="6733BB67" w:rsidR="000628B4" w:rsidRDefault="00092C0F" w:rsidP="002320B3">
      <w:pPr>
        <w:pStyle w:val="TOC1"/>
        <w:rPr>
          <w:rFonts w:eastAsiaTheme="minorEastAsia" w:cstheme="minorBidi"/>
          <w:b w:val="0"/>
          <w:bCs w:val="0"/>
          <w:caps w:val="0"/>
          <w:noProof/>
          <w:sz w:val="22"/>
          <w:szCs w:val="22"/>
          <w:lang w:val="en-AU" w:eastAsia="en-AU"/>
        </w:rPr>
      </w:pPr>
      <w:hyperlink w:anchor="_Toc69820492" w:history="1">
        <w:r w:rsidR="000628B4" w:rsidRPr="001A4C08">
          <w:rPr>
            <w:rStyle w:val="Hyperlink"/>
            <w:rFonts w:asciiTheme="majorHAnsi" w:eastAsiaTheme="majorEastAsia" w:hAnsiTheme="majorHAnsi" w:cstheme="majorBidi"/>
            <w:noProof/>
            <w:lang w:val="en-US"/>
          </w:rPr>
          <w:t>Annex O. 2020 FGD GUIDE QUESTIONS</w:t>
        </w:r>
        <w:r w:rsidR="000628B4">
          <w:rPr>
            <w:noProof/>
            <w:webHidden/>
          </w:rPr>
          <w:tab/>
        </w:r>
        <w:r w:rsidR="000628B4">
          <w:rPr>
            <w:noProof/>
            <w:webHidden/>
          </w:rPr>
          <w:fldChar w:fldCharType="begin"/>
        </w:r>
        <w:r w:rsidR="000628B4">
          <w:rPr>
            <w:noProof/>
            <w:webHidden/>
          </w:rPr>
          <w:instrText xml:space="preserve"> PAGEREF _Toc69820492 \h </w:instrText>
        </w:r>
        <w:r w:rsidR="000628B4">
          <w:rPr>
            <w:noProof/>
            <w:webHidden/>
          </w:rPr>
        </w:r>
        <w:r w:rsidR="000628B4">
          <w:rPr>
            <w:noProof/>
            <w:webHidden/>
          </w:rPr>
          <w:fldChar w:fldCharType="separate"/>
        </w:r>
        <w:r w:rsidR="00D6133D">
          <w:rPr>
            <w:noProof/>
            <w:webHidden/>
          </w:rPr>
          <w:t>341</w:t>
        </w:r>
        <w:r w:rsidR="000628B4">
          <w:rPr>
            <w:noProof/>
            <w:webHidden/>
          </w:rPr>
          <w:fldChar w:fldCharType="end"/>
        </w:r>
      </w:hyperlink>
    </w:p>
    <w:p w14:paraId="0110F6A8" w14:textId="688EE33A" w:rsidR="000628B4" w:rsidRDefault="00092C0F" w:rsidP="002320B3">
      <w:pPr>
        <w:pStyle w:val="TOC2"/>
        <w:tabs>
          <w:tab w:val="left" w:pos="720"/>
          <w:tab w:val="right" w:leader="dot" w:pos="9010"/>
        </w:tabs>
        <w:rPr>
          <w:rFonts w:eastAsiaTheme="minorEastAsia" w:cstheme="minorBidi"/>
          <w:smallCaps w:val="0"/>
          <w:noProof/>
          <w:sz w:val="22"/>
          <w:szCs w:val="22"/>
          <w:lang w:val="en-AU" w:eastAsia="en-AU"/>
        </w:rPr>
      </w:pPr>
      <w:hyperlink w:anchor="_Toc69820493" w:history="1">
        <w:r w:rsidR="000628B4" w:rsidRPr="001A4C08">
          <w:rPr>
            <w:rStyle w:val="Hyperlink"/>
            <w:rFonts w:asciiTheme="majorHAnsi" w:eastAsiaTheme="majorEastAsia" w:hAnsiTheme="majorHAnsi" w:cstheme="majorBidi"/>
            <w:noProof/>
            <w:lang w:val="en-US"/>
          </w:rPr>
          <w:t>36.</w:t>
        </w:r>
        <w:r w:rsidR="000628B4">
          <w:rPr>
            <w:rFonts w:eastAsiaTheme="minorEastAsia" w:cstheme="minorBidi"/>
            <w:smallCaps w:val="0"/>
            <w:noProof/>
            <w:sz w:val="22"/>
            <w:szCs w:val="22"/>
            <w:lang w:val="en-AU" w:eastAsia="en-AU"/>
          </w:rPr>
          <w:tab/>
        </w:r>
        <w:r w:rsidR="000628B4" w:rsidRPr="001A4C08">
          <w:rPr>
            <w:rStyle w:val="Hyperlink"/>
            <w:rFonts w:asciiTheme="majorHAnsi" w:eastAsiaTheme="majorEastAsia" w:hAnsiTheme="majorHAnsi" w:cstheme="majorBidi"/>
            <w:noProof/>
            <w:lang w:val="en-US"/>
          </w:rPr>
          <w:t>Annex O-1: 2020 Guide Questions for Principals/School Heads (PSHs)</w:t>
        </w:r>
        <w:r w:rsidR="000628B4">
          <w:rPr>
            <w:noProof/>
            <w:webHidden/>
          </w:rPr>
          <w:tab/>
        </w:r>
        <w:r w:rsidR="000628B4">
          <w:rPr>
            <w:noProof/>
            <w:webHidden/>
          </w:rPr>
          <w:fldChar w:fldCharType="begin"/>
        </w:r>
        <w:r w:rsidR="000628B4">
          <w:rPr>
            <w:noProof/>
            <w:webHidden/>
          </w:rPr>
          <w:instrText xml:space="preserve"> PAGEREF _Toc69820493 \h </w:instrText>
        </w:r>
        <w:r w:rsidR="000628B4">
          <w:rPr>
            <w:noProof/>
            <w:webHidden/>
          </w:rPr>
        </w:r>
        <w:r w:rsidR="000628B4">
          <w:rPr>
            <w:noProof/>
            <w:webHidden/>
          </w:rPr>
          <w:fldChar w:fldCharType="separate"/>
        </w:r>
        <w:r w:rsidR="00D6133D">
          <w:rPr>
            <w:noProof/>
            <w:webHidden/>
          </w:rPr>
          <w:t>341</w:t>
        </w:r>
        <w:r w:rsidR="000628B4">
          <w:rPr>
            <w:noProof/>
            <w:webHidden/>
          </w:rPr>
          <w:fldChar w:fldCharType="end"/>
        </w:r>
      </w:hyperlink>
    </w:p>
    <w:p w14:paraId="02D34E79" w14:textId="1B9BA766" w:rsidR="000628B4" w:rsidRDefault="00092C0F" w:rsidP="002320B3">
      <w:pPr>
        <w:pStyle w:val="TOC2"/>
        <w:tabs>
          <w:tab w:val="left" w:pos="720"/>
          <w:tab w:val="right" w:leader="dot" w:pos="9010"/>
        </w:tabs>
        <w:rPr>
          <w:rFonts w:eastAsiaTheme="minorEastAsia" w:cstheme="minorBidi"/>
          <w:smallCaps w:val="0"/>
          <w:noProof/>
          <w:sz w:val="22"/>
          <w:szCs w:val="22"/>
          <w:lang w:val="en-AU" w:eastAsia="en-AU"/>
        </w:rPr>
      </w:pPr>
      <w:hyperlink w:anchor="_Toc69820494" w:history="1">
        <w:r w:rsidR="000628B4" w:rsidRPr="001A4C08">
          <w:rPr>
            <w:rStyle w:val="Hyperlink"/>
            <w:rFonts w:asciiTheme="majorHAnsi" w:eastAsiaTheme="majorEastAsia" w:hAnsiTheme="majorHAnsi" w:cstheme="majorBidi"/>
            <w:noProof/>
            <w:lang w:val="en-US"/>
          </w:rPr>
          <w:t>37.</w:t>
        </w:r>
        <w:r w:rsidR="000628B4">
          <w:rPr>
            <w:rFonts w:eastAsiaTheme="minorEastAsia" w:cstheme="minorBidi"/>
            <w:smallCaps w:val="0"/>
            <w:noProof/>
            <w:sz w:val="22"/>
            <w:szCs w:val="22"/>
            <w:lang w:val="en-AU" w:eastAsia="en-AU"/>
          </w:rPr>
          <w:tab/>
        </w:r>
        <w:r w:rsidR="000628B4" w:rsidRPr="001A4C08">
          <w:rPr>
            <w:rStyle w:val="Hyperlink"/>
            <w:rFonts w:asciiTheme="majorHAnsi" w:eastAsiaTheme="majorEastAsia" w:hAnsiTheme="majorHAnsi" w:cstheme="majorBidi"/>
            <w:noProof/>
            <w:lang w:val="en-US"/>
          </w:rPr>
          <w:t>Annex O-2: 2020 Guide Questions for Teachers</w:t>
        </w:r>
        <w:r w:rsidR="000628B4">
          <w:rPr>
            <w:noProof/>
            <w:webHidden/>
          </w:rPr>
          <w:tab/>
        </w:r>
        <w:r w:rsidR="000628B4">
          <w:rPr>
            <w:noProof/>
            <w:webHidden/>
          </w:rPr>
          <w:fldChar w:fldCharType="begin"/>
        </w:r>
        <w:r w:rsidR="000628B4">
          <w:rPr>
            <w:noProof/>
            <w:webHidden/>
          </w:rPr>
          <w:instrText xml:space="preserve"> PAGEREF _Toc69820494 \h </w:instrText>
        </w:r>
        <w:r w:rsidR="000628B4">
          <w:rPr>
            <w:noProof/>
            <w:webHidden/>
          </w:rPr>
        </w:r>
        <w:r w:rsidR="000628B4">
          <w:rPr>
            <w:noProof/>
            <w:webHidden/>
          </w:rPr>
          <w:fldChar w:fldCharType="separate"/>
        </w:r>
        <w:r w:rsidR="00D6133D">
          <w:rPr>
            <w:noProof/>
            <w:webHidden/>
          </w:rPr>
          <w:t>350</w:t>
        </w:r>
        <w:r w:rsidR="000628B4">
          <w:rPr>
            <w:noProof/>
            <w:webHidden/>
          </w:rPr>
          <w:fldChar w:fldCharType="end"/>
        </w:r>
      </w:hyperlink>
    </w:p>
    <w:p w14:paraId="7F76175A" w14:textId="56EFCDA3" w:rsidR="000628B4" w:rsidRDefault="00092C0F" w:rsidP="002320B3">
      <w:pPr>
        <w:pStyle w:val="TOC1"/>
        <w:rPr>
          <w:rFonts w:eastAsiaTheme="minorEastAsia" w:cstheme="minorBidi"/>
          <w:b w:val="0"/>
          <w:bCs w:val="0"/>
          <w:caps w:val="0"/>
          <w:noProof/>
          <w:sz w:val="22"/>
          <w:szCs w:val="22"/>
          <w:lang w:val="en-AU" w:eastAsia="en-AU"/>
        </w:rPr>
      </w:pPr>
      <w:hyperlink w:anchor="_Toc69820495" w:history="1">
        <w:r w:rsidR="000628B4" w:rsidRPr="001A4C08">
          <w:rPr>
            <w:rStyle w:val="Hyperlink"/>
            <w:rFonts w:asciiTheme="majorHAnsi" w:eastAsiaTheme="majorEastAsia" w:hAnsiTheme="majorHAnsi" w:cstheme="majorBidi"/>
            <w:noProof/>
            <w:lang w:val="en-US"/>
          </w:rPr>
          <w:t>Annex P.</w:t>
        </w:r>
        <w:r w:rsidR="00D434EB">
          <w:rPr>
            <w:rStyle w:val="Hyperlink"/>
            <w:rFonts w:asciiTheme="majorHAnsi" w:eastAsiaTheme="majorEastAsia" w:hAnsiTheme="majorHAnsi" w:cstheme="majorBidi"/>
            <w:noProof/>
            <w:lang w:val="en-US"/>
          </w:rPr>
          <w:t xml:space="preserve"> </w:t>
        </w:r>
        <w:r w:rsidR="000628B4" w:rsidRPr="001A4C08">
          <w:rPr>
            <w:rStyle w:val="Hyperlink"/>
            <w:rFonts w:asciiTheme="majorHAnsi" w:eastAsiaTheme="majorEastAsia" w:hAnsiTheme="majorHAnsi" w:cstheme="majorBidi"/>
            <w:noProof/>
            <w:lang w:val="en-US"/>
          </w:rPr>
          <w:t>2020 KAU Survey Tool</w:t>
        </w:r>
        <w:r w:rsidR="000628B4">
          <w:rPr>
            <w:noProof/>
            <w:webHidden/>
          </w:rPr>
          <w:tab/>
        </w:r>
        <w:r w:rsidR="000628B4">
          <w:rPr>
            <w:noProof/>
            <w:webHidden/>
          </w:rPr>
          <w:fldChar w:fldCharType="begin"/>
        </w:r>
        <w:r w:rsidR="000628B4">
          <w:rPr>
            <w:noProof/>
            <w:webHidden/>
          </w:rPr>
          <w:instrText xml:space="preserve"> PAGEREF _Toc69820495 \h </w:instrText>
        </w:r>
        <w:r w:rsidR="000628B4">
          <w:rPr>
            <w:noProof/>
            <w:webHidden/>
          </w:rPr>
        </w:r>
        <w:r w:rsidR="000628B4">
          <w:rPr>
            <w:noProof/>
            <w:webHidden/>
          </w:rPr>
          <w:fldChar w:fldCharType="separate"/>
        </w:r>
        <w:r w:rsidR="00D6133D">
          <w:rPr>
            <w:noProof/>
            <w:webHidden/>
          </w:rPr>
          <w:t>356</w:t>
        </w:r>
        <w:r w:rsidR="000628B4">
          <w:rPr>
            <w:noProof/>
            <w:webHidden/>
          </w:rPr>
          <w:fldChar w:fldCharType="end"/>
        </w:r>
      </w:hyperlink>
    </w:p>
    <w:p w14:paraId="706AC127" w14:textId="3D43B799" w:rsidR="000628B4" w:rsidRDefault="00092C0F" w:rsidP="002320B3">
      <w:pPr>
        <w:pStyle w:val="TOC1"/>
        <w:rPr>
          <w:rFonts w:eastAsiaTheme="minorEastAsia" w:cstheme="minorBidi"/>
          <w:b w:val="0"/>
          <w:bCs w:val="0"/>
          <w:caps w:val="0"/>
          <w:noProof/>
          <w:sz w:val="22"/>
          <w:szCs w:val="22"/>
          <w:lang w:val="en-AU" w:eastAsia="en-AU"/>
        </w:rPr>
      </w:pPr>
      <w:hyperlink w:anchor="_Toc69820496" w:history="1">
        <w:r w:rsidR="000628B4" w:rsidRPr="001A4C08">
          <w:rPr>
            <w:rStyle w:val="Hyperlink"/>
            <w:rFonts w:asciiTheme="majorHAnsi" w:eastAsiaTheme="majorEastAsia" w:hAnsiTheme="majorHAnsi" w:cstheme="majorBidi"/>
            <w:noProof/>
            <w:lang w:val="en-US"/>
          </w:rPr>
          <w:t>Annex Q. 2020 Survey on the Perceptions on Program Interventions</w:t>
        </w:r>
        <w:r w:rsidR="000628B4">
          <w:rPr>
            <w:noProof/>
            <w:webHidden/>
          </w:rPr>
          <w:tab/>
        </w:r>
        <w:r w:rsidR="000628B4">
          <w:rPr>
            <w:noProof/>
            <w:webHidden/>
          </w:rPr>
          <w:fldChar w:fldCharType="begin"/>
        </w:r>
        <w:r w:rsidR="000628B4">
          <w:rPr>
            <w:noProof/>
            <w:webHidden/>
          </w:rPr>
          <w:instrText xml:space="preserve"> PAGEREF _Toc69820496 \h </w:instrText>
        </w:r>
        <w:r w:rsidR="000628B4">
          <w:rPr>
            <w:noProof/>
            <w:webHidden/>
          </w:rPr>
        </w:r>
        <w:r w:rsidR="000628B4">
          <w:rPr>
            <w:noProof/>
            <w:webHidden/>
          </w:rPr>
          <w:fldChar w:fldCharType="separate"/>
        </w:r>
        <w:r w:rsidR="00D6133D">
          <w:rPr>
            <w:noProof/>
            <w:webHidden/>
          </w:rPr>
          <w:t>362</w:t>
        </w:r>
        <w:r w:rsidR="000628B4">
          <w:rPr>
            <w:noProof/>
            <w:webHidden/>
          </w:rPr>
          <w:fldChar w:fldCharType="end"/>
        </w:r>
      </w:hyperlink>
    </w:p>
    <w:p w14:paraId="4A80E496" w14:textId="6819F8D6" w:rsidR="000628B4" w:rsidRDefault="00092C0F" w:rsidP="002320B3">
      <w:pPr>
        <w:pStyle w:val="TOC2"/>
        <w:tabs>
          <w:tab w:val="right" w:leader="dot" w:pos="9010"/>
        </w:tabs>
        <w:rPr>
          <w:rFonts w:eastAsiaTheme="minorEastAsia" w:cstheme="minorBidi"/>
          <w:smallCaps w:val="0"/>
          <w:noProof/>
          <w:sz w:val="22"/>
          <w:szCs w:val="22"/>
          <w:lang w:val="en-AU" w:eastAsia="en-AU"/>
        </w:rPr>
      </w:pPr>
      <w:hyperlink w:anchor="_Toc69820497" w:history="1">
        <w:r w:rsidR="000628B4" w:rsidRPr="001A4C08">
          <w:rPr>
            <w:rStyle w:val="Hyperlink"/>
            <w:rFonts w:asciiTheme="majorHAnsi" w:eastAsiaTheme="majorEastAsia" w:hAnsiTheme="majorHAnsi" w:cstheme="majorBidi"/>
            <w:noProof/>
            <w:lang w:val="en-US"/>
          </w:rPr>
          <w:t>Annex Q-1: 2020 Survey of Principals/School Heads (PSHs)</w:t>
        </w:r>
        <w:r w:rsidR="000628B4">
          <w:rPr>
            <w:noProof/>
            <w:webHidden/>
          </w:rPr>
          <w:tab/>
        </w:r>
        <w:r w:rsidR="000628B4">
          <w:rPr>
            <w:noProof/>
            <w:webHidden/>
          </w:rPr>
          <w:fldChar w:fldCharType="begin"/>
        </w:r>
        <w:r w:rsidR="000628B4">
          <w:rPr>
            <w:noProof/>
            <w:webHidden/>
          </w:rPr>
          <w:instrText xml:space="preserve"> PAGEREF _Toc69820497 \h </w:instrText>
        </w:r>
        <w:r w:rsidR="000628B4">
          <w:rPr>
            <w:noProof/>
            <w:webHidden/>
          </w:rPr>
        </w:r>
        <w:r w:rsidR="000628B4">
          <w:rPr>
            <w:noProof/>
            <w:webHidden/>
          </w:rPr>
          <w:fldChar w:fldCharType="separate"/>
        </w:r>
        <w:r w:rsidR="00D6133D">
          <w:rPr>
            <w:noProof/>
            <w:webHidden/>
          </w:rPr>
          <w:t>362</w:t>
        </w:r>
        <w:r w:rsidR="000628B4">
          <w:rPr>
            <w:noProof/>
            <w:webHidden/>
          </w:rPr>
          <w:fldChar w:fldCharType="end"/>
        </w:r>
      </w:hyperlink>
    </w:p>
    <w:p w14:paraId="4DCE2C3A" w14:textId="175EEAF5" w:rsidR="000628B4" w:rsidRDefault="00092C0F" w:rsidP="002320B3">
      <w:pPr>
        <w:pStyle w:val="TOC1"/>
        <w:rPr>
          <w:rFonts w:eastAsiaTheme="minorEastAsia" w:cstheme="minorBidi"/>
          <w:b w:val="0"/>
          <w:bCs w:val="0"/>
          <w:caps w:val="0"/>
          <w:noProof/>
          <w:sz w:val="22"/>
          <w:szCs w:val="22"/>
          <w:lang w:val="en-AU" w:eastAsia="en-AU"/>
        </w:rPr>
      </w:pPr>
      <w:hyperlink w:anchor="_Toc69820498" w:history="1">
        <w:r w:rsidR="000628B4" w:rsidRPr="001A4C08">
          <w:rPr>
            <w:rStyle w:val="Hyperlink"/>
            <w:rFonts w:asciiTheme="majorHAnsi" w:eastAsiaTheme="majorEastAsia" w:hAnsiTheme="majorHAnsi" w:cstheme="majorBidi"/>
            <w:noProof/>
            <w:lang w:val="en-US"/>
          </w:rPr>
          <w:t>Annex R. Challenges in obtaining school-level data</w:t>
        </w:r>
        <w:r w:rsidR="000628B4">
          <w:rPr>
            <w:noProof/>
            <w:webHidden/>
          </w:rPr>
          <w:tab/>
        </w:r>
        <w:r w:rsidR="000628B4">
          <w:rPr>
            <w:noProof/>
            <w:webHidden/>
          </w:rPr>
          <w:fldChar w:fldCharType="begin"/>
        </w:r>
        <w:r w:rsidR="000628B4">
          <w:rPr>
            <w:noProof/>
            <w:webHidden/>
          </w:rPr>
          <w:instrText xml:space="preserve"> PAGEREF _Toc69820498 \h </w:instrText>
        </w:r>
        <w:r w:rsidR="000628B4">
          <w:rPr>
            <w:noProof/>
            <w:webHidden/>
          </w:rPr>
        </w:r>
        <w:r w:rsidR="000628B4">
          <w:rPr>
            <w:noProof/>
            <w:webHidden/>
          </w:rPr>
          <w:fldChar w:fldCharType="separate"/>
        </w:r>
        <w:r w:rsidR="00D6133D">
          <w:rPr>
            <w:noProof/>
            <w:webHidden/>
          </w:rPr>
          <w:t>373</w:t>
        </w:r>
        <w:r w:rsidR="000628B4">
          <w:rPr>
            <w:noProof/>
            <w:webHidden/>
          </w:rPr>
          <w:fldChar w:fldCharType="end"/>
        </w:r>
      </w:hyperlink>
    </w:p>
    <w:p w14:paraId="79838FD3" w14:textId="5507F17E" w:rsidR="000628B4" w:rsidRDefault="00092C0F" w:rsidP="002320B3">
      <w:pPr>
        <w:pStyle w:val="TOC1"/>
        <w:rPr>
          <w:rFonts w:eastAsiaTheme="minorEastAsia" w:cstheme="minorBidi"/>
          <w:b w:val="0"/>
          <w:bCs w:val="0"/>
          <w:caps w:val="0"/>
          <w:noProof/>
          <w:sz w:val="22"/>
          <w:szCs w:val="22"/>
          <w:lang w:val="en-AU" w:eastAsia="en-AU"/>
        </w:rPr>
      </w:pPr>
      <w:hyperlink w:anchor="_Toc69820499" w:history="1">
        <w:r w:rsidR="000628B4" w:rsidRPr="001A4C08">
          <w:rPr>
            <w:rStyle w:val="Hyperlink"/>
            <w:rFonts w:asciiTheme="majorHAnsi" w:eastAsiaTheme="majorEastAsia" w:hAnsiTheme="majorHAnsi" w:cstheme="majorBidi"/>
            <w:noProof/>
            <w:lang w:val="en-US"/>
          </w:rPr>
          <w:t>Annex S. Relevance of BEST Program Interventions: A Literature Review</w:t>
        </w:r>
        <w:r w:rsidR="000628B4">
          <w:rPr>
            <w:noProof/>
            <w:webHidden/>
          </w:rPr>
          <w:tab/>
        </w:r>
        <w:r w:rsidR="000628B4">
          <w:rPr>
            <w:noProof/>
            <w:webHidden/>
          </w:rPr>
          <w:fldChar w:fldCharType="begin"/>
        </w:r>
        <w:r w:rsidR="000628B4">
          <w:rPr>
            <w:noProof/>
            <w:webHidden/>
          </w:rPr>
          <w:instrText xml:space="preserve"> PAGEREF _Toc69820499 \h </w:instrText>
        </w:r>
        <w:r w:rsidR="000628B4">
          <w:rPr>
            <w:noProof/>
            <w:webHidden/>
          </w:rPr>
        </w:r>
        <w:r w:rsidR="000628B4">
          <w:rPr>
            <w:noProof/>
            <w:webHidden/>
          </w:rPr>
          <w:fldChar w:fldCharType="separate"/>
        </w:r>
        <w:r w:rsidR="00D6133D">
          <w:rPr>
            <w:noProof/>
            <w:webHidden/>
          </w:rPr>
          <w:t>377</w:t>
        </w:r>
        <w:r w:rsidR="000628B4">
          <w:rPr>
            <w:noProof/>
            <w:webHidden/>
          </w:rPr>
          <w:fldChar w:fldCharType="end"/>
        </w:r>
      </w:hyperlink>
    </w:p>
    <w:p w14:paraId="47317AED" w14:textId="1A62C30A" w:rsidR="000628B4" w:rsidRDefault="00092C0F" w:rsidP="002320B3">
      <w:pPr>
        <w:pStyle w:val="TOC2"/>
        <w:tabs>
          <w:tab w:val="right" w:leader="dot" w:pos="9010"/>
        </w:tabs>
        <w:rPr>
          <w:rFonts w:eastAsiaTheme="minorEastAsia" w:cstheme="minorBidi"/>
          <w:smallCaps w:val="0"/>
          <w:noProof/>
          <w:sz w:val="22"/>
          <w:szCs w:val="22"/>
          <w:lang w:val="en-AU" w:eastAsia="en-AU"/>
        </w:rPr>
      </w:pPr>
      <w:hyperlink w:anchor="_Toc69820500" w:history="1">
        <w:r w:rsidR="000628B4" w:rsidRPr="001A4C08">
          <w:rPr>
            <w:rStyle w:val="Hyperlink"/>
            <w:rFonts w:asciiTheme="majorHAnsi" w:eastAsiaTheme="majorEastAsia" w:hAnsiTheme="majorHAnsi" w:cstheme="majorBidi"/>
            <w:noProof/>
            <w:lang w:val="en-US"/>
          </w:rPr>
          <w:t>Introduction</w:t>
        </w:r>
        <w:r w:rsidR="000628B4">
          <w:rPr>
            <w:noProof/>
            <w:webHidden/>
          </w:rPr>
          <w:tab/>
        </w:r>
        <w:r w:rsidR="000628B4">
          <w:rPr>
            <w:noProof/>
            <w:webHidden/>
          </w:rPr>
          <w:fldChar w:fldCharType="begin"/>
        </w:r>
        <w:r w:rsidR="000628B4">
          <w:rPr>
            <w:noProof/>
            <w:webHidden/>
          </w:rPr>
          <w:instrText xml:space="preserve"> PAGEREF _Toc69820500 \h </w:instrText>
        </w:r>
        <w:r w:rsidR="000628B4">
          <w:rPr>
            <w:noProof/>
            <w:webHidden/>
          </w:rPr>
        </w:r>
        <w:r w:rsidR="000628B4">
          <w:rPr>
            <w:noProof/>
            <w:webHidden/>
          </w:rPr>
          <w:fldChar w:fldCharType="separate"/>
        </w:r>
        <w:r w:rsidR="00D6133D">
          <w:rPr>
            <w:noProof/>
            <w:webHidden/>
          </w:rPr>
          <w:t>377</w:t>
        </w:r>
        <w:r w:rsidR="000628B4">
          <w:rPr>
            <w:noProof/>
            <w:webHidden/>
          </w:rPr>
          <w:fldChar w:fldCharType="end"/>
        </w:r>
      </w:hyperlink>
    </w:p>
    <w:p w14:paraId="5045B7E1" w14:textId="28DAAB05" w:rsidR="000628B4" w:rsidRDefault="00092C0F" w:rsidP="002320B3">
      <w:pPr>
        <w:pStyle w:val="TOC2"/>
        <w:tabs>
          <w:tab w:val="right" w:leader="dot" w:pos="9010"/>
        </w:tabs>
        <w:rPr>
          <w:rFonts w:eastAsiaTheme="minorEastAsia" w:cstheme="minorBidi"/>
          <w:smallCaps w:val="0"/>
          <w:noProof/>
          <w:sz w:val="22"/>
          <w:szCs w:val="22"/>
          <w:lang w:val="en-AU" w:eastAsia="en-AU"/>
        </w:rPr>
      </w:pPr>
      <w:hyperlink w:anchor="_Toc69820501" w:history="1">
        <w:r w:rsidR="000628B4" w:rsidRPr="001A4C08">
          <w:rPr>
            <w:rStyle w:val="Hyperlink"/>
            <w:rFonts w:asciiTheme="majorHAnsi" w:eastAsia="Calibri" w:hAnsiTheme="majorHAnsi" w:cstheme="majorBidi"/>
            <w:noProof/>
            <w:lang w:val="en-US"/>
          </w:rPr>
          <w:t>Challenges in t</w:t>
        </w:r>
        <w:r w:rsidR="000628B4" w:rsidRPr="001A4C08">
          <w:rPr>
            <w:rStyle w:val="Hyperlink"/>
            <w:rFonts w:asciiTheme="majorHAnsi" w:eastAsiaTheme="majorEastAsia" w:hAnsiTheme="majorHAnsi" w:cstheme="majorBidi"/>
            <w:noProof/>
            <w:lang w:val="en-US"/>
          </w:rPr>
          <w:t>he Philippine Basic Education System</w:t>
        </w:r>
        <w:r w:rsidR="000628B4">
          <w:rPr>
            <w:noProof/>
            <w:webHidden/>
          </w:rPr>
          <w:tab/>
        </w:r>
        <w:r w:rsidR="000628B4">
          <w:rPr>
            <w:noProof/>
            <w:webHidden/>
          </w:rPr>
          <w:fldChar w:fldCharType="begin"/>
        </w:r>
        <w:r w:rsidR="000628B4">
          <w:rPr>
            <w:noProof/>
            <w:webHidden/>
          </w:rPr>
          <w:instrText xml:space="preserve"> PAGEREF _Toc69820501 \h </w:instrText>
        </w:r>
        <w:r w:rsidR="000628B4">
          <w:rPr>
            <w:noProof/>
            <w:webHidden/>
          </w:rPr>
        </w:r>
        <w:r w:rsidR="000628B4">
          <w:rPr>
            <w:noProof/>
            <w:webHidden/>
          </w:rPr>
          <w:fldChar w:fldCharType="separate"/>
        </w:r>
        <w:r w:rsidR="00D6133D">
          <w:rPr>
            <w:noProof/>
            <w:webHidden/>
          </w:rPr>
          <w:t>377</w:t>
        </w:r>
        <w:r w:rsidR="000628B4">
          <w:rPr>
            <w:noProof/>
            <w:webHidden/>
          </w:rPr>
          <w:fldChar w:fldCharType="end"/>
        </w:r>
      </w:hyperlink>
    </w:p>
    <w:p w14:paraId="1DAC0E27" w14:textId="089FC60A" w:rsidR="000628B4" w:rsidRDefault="00092C0F" w:rsidP="002320B3">
      <w:pPr>
        <w:pStyle w:val="TOC2"/>
        <w:tabs>
          <w:tab w:val="right" w:leader="dot" w:pos="9010"/>
        </w:tabs>
        <w:rPr>
          <w:rFonts w:eastAsiaTheme="minorEastAsia" w:cstheme="minorBidi"/>
          <w:smallCaps w:val="0"/>
          <w:noProof/>
          <w:sz w:val="22"/>
          <w:szCs w:val="22"/>
          <w:lang w:val="en-AU" w:eastAsia="en-AU"/>
        </w:rPr>
      </w:pPr>
      <w:hyperlink w:anchor="_Toc69820502" w:history="1">
        <w:r w:rsidR="000628B4" w:rsidRPr="001A4C08">
          <w:rPr>
            <w:rStyle w:val="Hyperlink"/>
            <w:rFonts w:asciiTheme="majorHAnsi" w:eastAsiaTheme="majorEastAsia" w:hAnsiTheme="majorHAnsi" w:cstheme="majorBidi"/>
            <w:noProof/>
            <w:lang w:val="en-US"/>
          </w:rPr>
          <w:t>Educational Reforms Initiatives in the Philippines</w:t>
        </w:r>
        <w:r w:rsidR="000628B4">
          <w:rPr>
            <w:noProof/>
            <w:webHidden/>
          </w:rPr>
          <w:tab/>
        </w:r>
        <w:r w:rsidR="000628B4">
          <w:rPr>
            <w:noProof/>
            <w:webHidden/>
          </w:rPr>
          <w:fldChar w:fldCharType="begin"/>
        </w:r>
        <w:r w:rsidR="000628B4">
          <w:rPr>
            <w:noProof/>
            <w:webHidden/>
          </w:rPr>
          <w:instrText xml:space="preserve"> PAGEREF _Toc69820502 \h </w:instrText>
        </w:r>
        <w:r w:rsidR="000628B4">
          <w:rPr>
            <w:noProof/>
            <w:webHidden/>
          </w:rPr>
        </w:r>
        <w:r w:rsidR="000628B4">
          <w:rPr>
            <w:noProof/>
            <w:webHidden/>
          </w:rPr>
          <w:fldChar w:fldCharType="separate"/>
        </w:r>
        <w:r w:rsidR="00D6133D">
          <w:rPr>
            <w:noProof/>
            <w:webHidden/>
          </w:rPr>
          <w:t>380</w:t>
        </w:r>
        <w:r w:rsidR="000628B4">
          <w:rPr>
            <w:noProof/>
            <w:webHidden/>
          </w:rPr>
          <w:fldChar w:fldCharType="end"/>
        </w:r>
      </w:hyperlink>
    </w:p>
    <w:p w14:paraId="6CA7B8B8" w14:textId="012C6CAC" w:rsidR="000628B4" w:rsidRDefault="00092C0F" w:rsidP="002320B3">
      <w:pPr>
        <w:pStyle w:val="TOC2"/>
        <w:tabs>
          <w:tab w:val="right" w:leader="dot" w:pos="9010"/>
        </w:tabs>
        <w:rPr>
          <w:rFonts w:eastAsiaTheme="minorEastAsia" w:cstheme="minorBidi"/>
          <w:smallCaps w:val="0"/>
          <w:noProof/>
          <w:sz w:val="22"/>
          <w:szCs w:val="22"/>
          <w:lang w:val="en-AU" w:eastAsia="en-AU"/>
        </w:rPr>
      </w:pPr>
      <w:hyperlink w:anchor="_Toc69820503" w:history="1">
        <w:r w:rsidR="000628B4" w:rsidRPr="001A4C08">
          <w:rPr>
            <w:rStyle w:val="Hyperlink"/>
            <w:rFonts w:asciiTheme="majorHAnsi" w:eastAsiaTheme="majorEastAsia" w:hAnsiTheme="majorHAnsi" w:cstheme="majorBidi"/>
            <w:noProof/>
            <w:lang w:val="en-US" w:eastAsia="en-PH"/>
          </w:rPr>
          <w:t>The Shift to K to 12 Curriculum</w:t>
        </w:r>
        <w:r w:rsidR="000628B4">
          <w:rPr>
            <w:noProof/>
            <w:webHidden/>
          </w:rPr>
          <w:tab/>
        </w:r>
        <w:r w:rsidR="000628B4">
          <w:rPr>
            <w:noProof/>
            <w:webHidden/>
          </w:rPr>
          <w:fldChar w:fldCharType="begin"/>
        </w:r>
        <w:r w:rsidR="000628B4">
          <w:rPr>
            <w:noProof/>
            <w:webHidden/>
          </w:rPr>
          <w:instrText xml:space="preserve"> PAGEREF _Toc69820503 \h </w:instrText>
        </w:r>
        <w:r w:rsidR="000628B4">
          <w:rPr>
            <w:noProof/>
            <w:webHidden/>
          </w:rPr>
        </w:r>
        <w:r w:rsidR="000628B4">
          <w:rPr>
            <w:noProof/>
            <w:webHidden/>
          </w:rPr>
          <w:fldChar w:fldCharType="separate"/>
        </w:r>
        <w:r w:rsidR="00D6133D">
          <w:rPr>
            <w:noProof/>
            <w:webHidden/>
          </w:rPr>
          <w:t>383</w:t>
        </w:r>
        <w:r w:rsidR="000628B4">
          <w:rPr>
            <w:noProof/>
            <w:webHidden/>
          </w:rPr>
          <w:fldChar w:fldCharType="end"/>
        </w:r>
      </w:hyperlink>
    </w:p>
    <w:p w14:paraId="796660C7" w14:textId="7B176085" w:rsidR="000628B4" w:rsidRDefault="00092C0F" w:rsidP="002320B3">
      <w:pPr>
        <w:pStyle w:val="TOC2"/>
        <w:tabs>
          <w:tab w:val="right" w:leader="dot" w:pos="9010"/>
        </w:tabs>
        <w:rPr>
          <w:rFonts w:eastAsiaTheme="minorEastAsia" w:cstheme="minorBidi"/>
          <w:smallCaps w:val="0"/>
          <w:noProof/>
          <w:sz w:val="22"/>
          <w:szCs w:val="22"/>
          <w:lang w:val="en-AU" w:eastAsia="en-AU"/>
        </w:rPr>
      </w:pPr>
      <w:hyperlink w:anchor="_Toc69820504" w:history="1">
        <w:r w:rsidR="000628B4" w:rsidRPr="001A4C08">
          <w:rPr>
            <w:rStyle w:val="Hyperlink"/>
            <w:rFonts w:asciiTheme="majorHAnsi" w:eastAsiaTheme="majorEastAsia" w:hAnsiTheme="majorHAnsi" w:cstheme="majorBidi"/>
            <w:noProof/>
            <w:lang w:val="en-US" w:eastAsia="en-PH"/>
          </w:rPr>
          <w:t>Australian Development Assistance in the Philippines</w:t>
        </w:r>
        <w:r w:rsidR="000628B4">
          <w:rPr>
            <w:noProof/>
            <w:webHidden/>
          </w:rPr>
          <w:tab/>
        </w:r>
        <w:r w:rsidR="000628B4">
          <w:rPr>
            <w:noProof/>
            <w:webHidden/>
          </w:rPr>
          <w:fldChar w:fldCharType="begin"/>
        </w:r>
        <w:r w:rsidR="000628B4">
          <w:rPr>
            <w:noProof/>
            <w:webHidden/>
          </w:rPr>
          <w:instrText xml:space="preserve"> PAGEREF _Toc69820504 \h </w:instrText>
        </w:r>
        <w:r w:rsidR="000628B4">
          <w:rPr>
            <w:noProof/>
            <w:webHidden/>
          </w:rPr>
        </w:r>
        <w:r w:rsidR="000628B4">
          <w:rPr>
            <w:noProof/>
            <w:webHidden/>
          </w:rPr>
          <w:fldChar w:fldCharType="separate"/>
        </w:r>
        <w:r w:rsidR="00D6133D">
          <w:rPr>
            <w:noProof/>
            <w:webHidden/>
          </w:rPr>
          <w:t>385</w:t>
        </w:r>
        <w:r w:rsidR="000628B4">
          <w:rPr>
            <w:noProof/>
            <w:webHidden/>
          </w:rPr>
          <w:fldChar w:fldCharType="end"/>
        </w:r>
      </w:hyperlink>
    </w:p>
    <w:p w14:paraId="679BAEE6" w14:textId="5D2ECDFF" w:rsidR="000628B4" w:rsidRDefault="00092C0F" w:rsidP="002320B3">
      <w:pPr>
        <w:pStyle w:val="TOC2"/>
        <w:tabs>
          <w:tab w:val="right" w:leader="dot" w:pos="9010"/>
        </w:tabs>
        <w:rPr>
          <w:rFonts w:eastAsiaTheme="minorEastAsia" w:cstheme="minorBidi"/>
          <w:smallCaps w:val="0"/>
          <w:noProof/>
          <w:sz w:val="22"/>
          <w:szCs w:val="22"/>
          <w:lang w:val="en-AU" w:eastAsia="en-AU"/>
        </w:rPr>
      </w:pPr>
      <w:hyperlink w:anchor="_Toc69820505" w:history="1">
        <w:r w:rsidR="000628B4" w:rsidRPr="001A4C08">
          <w:rPr>
            <w:rStyle w:val="Hyperlink"/>
            <w:rFonts w:asciiTheme="majorHAnsi" w:eastAsiaTheme="majorEastAsia" w:hAnsiTheme="majorHAnsi" w:cstheme="majorBidi"/>
            <w:noProof/>
            <w:lang w:val="en-US" w:eastAsia="en-PH"/>
          </w:rPr>
          <w:t>Basic Education Sector Transformation (BEST) Program</w:t>
        </w:r>
        <w:r w:rsidR="000628B4">
          <w:rPr>
            <w:noProof/>
            <w:webHidden/>
          </w:rPr>
          <w:tab/>
        </w:r>
        <w:r w:rsidR="000628B4">
          <w:rPr>
            <w:noProof/>
            <w:webHidden/>
          </w:rPr>
          <w:fldChar w:fldCharType="begin"/>
        </w:r>
        <w:r w:rsidR="000628B4">
          <w:rPr>
            <w:noProof/>
            <w:webHidden/>
          </w:rPr>
          <w:instrText xml:space="preserve"> PAGEREF _Toc69820505 \h </w:instrText>
        </w:r>
        <w:r w:rsidR="000628B4">
          <w:rPr>
            <w:noProof/>
            <w:webHidden/>
          </w:rPr>
        </w:r>
        <w:r w:rsidR="000628B4">
          <w:rPr>
            <w:noProof/>
            <w:webHidden/>
          </w:rPr>
          <w:fldChar w:fldCharType="separate"/>
        </w:r>
        <w:r w:rsidR="00D6133D">
          <w:rPr>
            <w:noProof/>
            <w:webHidden/>
          </w:rPr>
          <w:t>388</w:t>
        </w:r>
        <w:r w:rsidR="000628B4">
          <w:rPr>
            <w:noProof/>
            <w:webHidden/>
          </w:rPr>
          <w:fldChar w:fldCharType="end"/>
        </w:r>
      </w:hyperlink>
    </w:p>
    <w:p w14:paraId="5A918A17" w14:textId="3D71247B" w:rsidR="000628B4" w:rsidRDefault="00092C0F" w:rsidP="002320B3">
      <w:pPr>
        <w:pStyle w:val="TOC2"/>
        <w:tabs>
          <w:tab w:val="right" w:leader="dot" w:pos="9010"/>
        </w:tabs>
        <w:rPr>
          <w:rFonts w:eastAsiaTheme="minorEastAsia" w:cstheme="minorBidi"/>
          <w:smallCaps w:val="0"/>
          <w:noProof/>
          <w:sz w:val="22"/>
          <w:szCs w:val="22"/>
          <w:lang w:val="en-AU" w:eastAsia="en-AU"/>
        </w:rPr>
      </w:pPr>
      <w:hyperlink w:anchor="_Toc69820506" w:history="1">
        <w:r w:rsidR="000628B4" w:rsidRPr="001A4C08">
          <w:rPr>
            <w:rStyle w:val="Hyperlink"/>
            <w:rFonts w:asciiTheme="majorHAnsi" w:eastAsiaTheme="majorEastAsia" w:hAnsiTheme="majorHAnsi" w:cstheme="majorBidi"/>
            <w:noProof/>
            <w:lang w:val="en-US"/>
          </w:rPr>
          <w:t>10 BEST Program Components in the EOPE Study</w:t>
        </w:r>
        <w:r w:rsidR="000628B4">
          <w:rPr>
            <w:noProof/>
            <w:webHidden/>
          </w:rPr>
          <w:tab/>
        </w:r>
        <w:r w:rsidR="000628B4">
          <w:rPr>
            <w:noProof/>
            <w:webHidden/>
          </w:rPr>
          <w:fldChar w:fldCharType="begin"/>
        </w:r>
        <w:r w:rsidR="000628B4">
          <w:rPr>
            <w:noProof/>
            <w:webHidden/>
          </w:rPr>
          <w:instrText xml:space="preserve"> PAGEREF _Toc69820506 \h </w:instrText>
        </w:r>
        <w:r w:rsidR="000628B4">
          <w:rPr>
            <w:noProof/>
            <w:webHidden/>
          </w:rPr>
        </w:r>
        <w:r w:rsidR="000628B4">
          <w:rPr>
            <w:noProof/>
            <w:webHidden/>
          </w:rPr>
          <w:fldChar w:fldCharType="separate"/>
        </w:r>
        <w:r w:rsidR="00D6133D">
          <w:rPr>
            <w:noProof/>
            <w:webHidden/>
          </w:rPr>
          <w:t>391</w:t>
        </w:r>
        <w:r w:rsidR="000628B4">
          <w:rPr>
            <w:noProof/>
            <w:webHidden/>
          </w:rPr>
          <w:fldChar w:fldCharType="end"/>
        </w:r>
      </w:hyperlink>
    </w:p>
    <w:p w14:paraId="1C6B7AB6" w14:textId="3B66748D" w:rsidR="000628B4" w:rsidRDefault="00092C0F" w:rsidP="002320B3">
      <w:pPr>
        <w:pStyle w:val="TOC2"/>
        <w:tabs>
          <w:tab w:val="right" w:leader="dot" w:pos="9010"/>
        </w:tabs>
        <w:rPr>
          <w:rFonts w:eastAsiaTheme="minorEastAsia" w:cstheme="minorBidi"/>
          <w:smallCaps w:val="0"/>
          <w:noProof/>
          <w:sz w:val="22"/>
          <w:szCs w:val="22"/>
          <w:lang w:val="en-AU" w:eastAsia="en-AU"/>
        </w:rPr>
      </w:pPr>
      <w:hyperlink w:anchor="_Toc69820507" w:history="1">
        <w:r w:rsidR="000628B4" w:rsidRPr="001A4C08">
          <w:rPr>
            <w:rStyle w:val="Hyperlink"/>
            <w:rFonts w:asciiTheme="majorHAnsi" w:eastAsiaTheme="majorEastAsia" w:hAnsiTheme="majorHAnsi" w:cstheme="majorBidi"/>
            <w:noProof/>
            <w:lang w:val="en-US"/>
          </w:rPr>
          <w:t>Conclusions</w:t>
        </w:r>
        <w:r w:rsidR="000628B4">
          <w:rPr>
            <w:noProof/>
            <w:webHidden/>
          </w:rPr>
          <w:tab/>
        </w:r>
        <w:r w:rsidR="000628B4">
          <w:rPr>
            <w:noProof/>
            <w:webHidden/>
          </w:rPr>
          <w:fldChar w:fldCharType="begin"/>
        </w:r>
        <w:r w:rsidR="000628B4">
          <w:rPr>
            <w:noProof/>
            <w:webHidden/>
          </w:rPr>
          <w:instrText xml:space="preserve"> PAGEREF _Toc69820507 \h </w:instrText>
        </w:r>
        <w:r w:rsidR="000628B4">
          <w:rPr>
            <w:noProof/>
            <w:webHidden/>
          </w:rPr>
        </w:r>
        <w:r w:rsidR="000628B4">
          <w:rPr>
            <w:noProof/>
            <w:webHidden/>
          </w:rPr>
          <w:fldChar w:fldCharType="separate"/>
        </w:r>
        <w:r w:rsidR="00D6133D">
          <w:rPr>
            <w:noProof/>
            <w:webHidden/>
          </w:rPr>
          <w:t>425</w:t>
        </w:r>
        <w:r w:rsidR="000628B4">
          <w:rPr>
            <w:noProof/>
            <w:webHidden/>
          </w:rPr>
          <w:fldChar w:fldCharType="end"/>
        </w:r>
      </w:hyperlink>
    </w:p>
    <w:p w14:paraId="624F503D" w14:textId="53AD66C5" w:rsidR="000628B4" w:rsidRDefault="00092C0F" w:rsidP="002320B3">
      <w:pPr>
        <w:pStyle w:val="TOC3"/>
        <w:rPr>
          <w:rFonts w:eastAsiaTheme="minorEastAsia" w:cstheme="minorBidi"/>
          <w:i w:val="0"/>
          <w:iCs w:val="0"/>
          <w:noProof/>
          <w:sz w:val="22"/>
          <w:szCs w:val="22"/>
          <w:lang w:val="en-AU" w:eastAsia="en-AU"/>
        </w:rPr>
      </w:pPr>
      <w:hyperlink w:anchor="_Toc69820508" w:history="1">
        <w:r w:rsidR="000628B4" w:rsidRPr="001A4C08">
          <w:rPr>
            <w:rStyle w:val="Hyperlink"/>
            <w:rFonts w:asciiTheme="majorHAnsi" w:eastAsiaTheme="majorEastAsia" w:hAnsiTheme="majorHAnsi" w:cstheme="majorBidi"/>
            <w:noProof/>
            <w:lang w:val="en-US"/>
          </w:rPr>
          <w:t>Towards Increasing Student Mastery</w:t>
        </w:r>
        <w:r w:rsidR="000628B4">
          <w:rPr>
            <w:noProof/>
            <w:webHidden/>
          </w:rPr>
          <w:tab/>
        </w:r>
        <w:r w:rsidR="000628B4">
          <w:rPr>
            <w:noProof/>
            <w:webHidden/>
          </w:rPr>
          <w:fldChar w:fldCharType="begin"/>
        </w:r>
        <w:r w:rsidR="000628B4">
          <w:rPr>
            <w:noProof/>
            <w:webHidden/>
          </w:rPr>
          <w:instrText xml:space="preserve"> PAGEREF _Toc69820508 \h </w:instrText>
        </w:r>
        <w:r w:rsidR="000628B4">
          <w:rPr>
            <w:noProof/>
            <w:webHidden/>
          </w:rPr>
        </w:r>
        <w:r w:rsidR="000628B4">
          <w:rPr>
            <w:noProof/>
            <w:webHidden/>
          </w:rPr>
          <w:fldChar w:fldCharType="separate"/>
        </w:r>
        <w:r w:rsidR="00D6133D">
          <w:rPr>
            <w:noProof/>
            <w:webHidden/>
          </w:rPr>
          <w:t>425</w:t>
        </w:r>
        <w:r w:rsidR="000628B4">
          <w:rPr>
            <w:noProof/>
            <w:webHidden/>
          </w:rPr>
          <w:fldChar w:fldCharType="end"/>
        </w:r>
      </w:hyperlink>
    </w:p>
    <w:p w14:paraId="17C60FE0" w14:textId="162A93A7" w:rsidR="000628B4" w:rsidRDefault="00092C0F" w:rsidP="002320B3">
      <w:pPr>
        <w:pStyle w:val="TOC3"/>
        <w:rPr>
          <w:rFonts w:eastAsiaTheme="minorEastAsia" w:cstheme="minorBidi"/>
          <w:i w:val="0"/>
          <w:iCs w:val="0"/>
          <w:noProof/>
          <w:sz w:val="22"/>
          <w:szCs w:val="22"/>
          <w:lang w:val="en-AU" w:eastAsia="en-AU"/>
        </w:rPr>
      </w:pPr>
      <w:hyperlink w:anchor="_Toc69820509" w:history="1">
        <w:r w:rsidR="000628B4" w:rsidRPr="001A4C08">
          <w:rPr>
            <w:rStyle w:val="Hyperlink"/>
            <w:rFonts w:asciiTheme="majorHAnsi" w:eastAsiaTheme="majorEastAsia" w:hAnsiTheme="majorHAnsi" w:cstheme="majorBidi"/>
            <w:noProof/>
            <w:lang w:val="en-US"/>
          </w:rPr>
          <w:t>Towards Increasing Student Participation</w:t>
        </w:r>
        <w:r w:rsidR="000628B4">
          <w:rPr>
            <w:noProof/>
            <w:webHidden/>
          </w:rPr>
          <w:tab/>
        </w:r>
        <w:r w:rsidR="000628B4">
          <w:rPr>
            <w:noProof/>
            <w:webHidden/>
          </w:rPr>
          <w:fldChar w:fldCharType="begin"/>
        </w:r>
        <w:r w:rsidR="000628B4">
          <w:rPr>
            <w:noProof/>
            <w:webHidden/>
          </w:rPr>
          <w:instrText xml:space="preserve"> PAGEREF _Toc69820509 \h </w:instrText>
        </w:r>
        <w:r w:rsidR="000628B4">
          <w:rPr>
            <w:noProof/>
            <w:webHidden/>
          </w:rPr>
        </w:r>
        <w:r w:rsidR="000628B4">
          <w:rPr>
            <w:noProof/>
            <w:webHidden/>
          </w:rPr>
          <w:fldChar w:fldCharType="separate"/>
        </w:r>
        <w:r w:rsidR="00D6133D">
          <w:rPr>
            <w:noProof/>
            <w:webHidden/>
          </w:rPr>
          <w:t>426</w:t>
        </w:r>
        <w:r w:rsidR="000628B4">
          <w:rPr>
            <w:noProof/>
            <w:webHidden/>
          </w:rPr>
          <w:fldChar w:fldCharType="end"/>
        </w:r>
      </w:hyperlink>
    </w:p>
    <w:p w14:paraId="245BC471" w14:textId="165FA2B5" w:rsidR="000628B4" w:rsidRDefault="00092C0F" w:rsidP="002320B3">
      <w:pPr>
        <w:pStyle w:val="TOC3"/>
        <w:rPr>
          <w:rFonts w:eastAsiaTheme="minorEastAsia" w:cstheme="minorBidi"/>
          <w:i w:val="0"/>
          <w:iCs w:val="0"/>
          <w:noProof/>
          <w:sz w:val="22"/>
          <w:szCs w:val="22"/>
          <w:lang w:val="en-AU" w:eastAsia="en-AU"/>
        </w:rPr>
      </w:pPr>
      <w:hyperlink w:anchor="_Toc69820510" w:history="1">
        <w:r w:rsidR="000628B4" w:rsidRPr="001A4C08">
          <w:rPr>
            <w:rStyle w:val="Hyperlink"/>
            <w:rFonts w:asciiTheme="majorHAnsi" w:eastAsiaTheme="majorEastAsia" w:hAnsiTheme="majorHAnsi" w:cstheme="majorBidi"/>
            <w:noProof/>
            <w:lang w:val="en-US"/>
          </w:rPr>
          <w:t>Toward Increasing DepEd Capacity</w:t>
        </w:r>
        <w:r w:rsidR="000628B4">
          <w:rPr>
            <w:noProof/>
            <w:webHidden/>
          </w:rPr>
          <w:tab/>
        </w:r>
        <w:r w:rsidR="000628B4">
          <w:rPr>
            <w:noProof/>
            <w:webHidden/>
          </w:rPr>
          <w:fldChar w:fldCharType="begin"/>
        </w:r>
        <w:r w:rsidR="000628B4">
          <w:rPr>
            <w:noProof/>
            <w:webHidden/>
          </w:rPr>
          <w:instrText xml:space="preserve"> PAGEREF _Toc69820510 \h </w:instrText>
        </w:r>
        <w:r w:rsidR="000628B4">
          <w:rPr>
            <w:noProof/>
            <w:webHidden/>
          </w:rPr>
        </w:r>
        <w:r w:rsidR="000628B4">
          <w:rPr>
            <w:noProof/>
            <w:webHidden/>
          </w:rPr>
          <w:fldChar w:fldCharType="separate"/>
        </w:r>
        <w:r w:rsidR="00D6133D">
          <w:rPr>
            <w:noProof/>
            <w:webHidden/>
          </w:rPr>
          <w:t>426</w:t>
        </w:r>
        <w:r w:rsidR="000628B4">
          <w:rPr>
            <w:noProof/>
            <w:webHidden/>
          </w:rPr>
          <w:fldChar w:fldCharType="end"/>
        </w:r>
      </w:hyperlink>
    </w:p>
    <w:p w14:paraId="6F8BE223" w14:textId="6EB45DE4" w:rsidR="000628B4" w:rsidRDefault="00092C0F" w:rsidP="002320B3">
      <w:pPr>
        <w:pStyle w:val="TOC1"/>
        <w:rPr>
          <w:rFonts w:eastAsiaTheme="minorEastAsia" w:cstheme="minorBidi"/>
          <w:b w:val="0"/>
          <w:bCs w:val="0"/>
          <w:caps w:val="0"/>
          <w:noProof/>
          <w:sz w:val="22"/>
          <w:szCs w:val="22"/>
          <w:lang w:val="en-AU" w:eastAsia="en-AU"/>
        </w:rPr>
      </w:pPr>
      <w:hyperlink w:anchor="_Toc69820511" w:history="1">
        <w:r w:rsidR="000628B4" w:rsidRPr="001A4C08">
          <w:rPr>
            <w:rStyle w:val="Hyperlink"/>
            <w:rFonts w:asciiTheme="majorHAnsi" w:eastAsiaTheme="majorEastAsia" w:hAnsiTheme="majorHAnsi" w:cstheme="majorBidi"/>
            <w:noProof/>
            <w:lang w:val="en-US"/>
          </w:rPr>
          <w:t>Annex T. Analyses of Learning Outcomes</w:t>
        </w:r>
        <w:r w:rsidR="000628B4">
          <w:rPr>
            <w:noProof/>
            <w:webHidden/>
          </w:rPr>
          <w:tab/>
        </w:r>
        <w:r w:rsidR="000628B4">
          <w:rPr>
            <w:noProof/>
            <w:webHidden/>
          </w:rPr>
          <w:fldChar w:fldCharType="begin"/>
        </w:r>
        <w:r w:rsidR="000628B4">
          <w:rPr>
            <w:noProof/>
            <w:webHidden/>
          </w:rPr>
          <w:instrText xml:space="preserve"> PAGEREF _Toc69820511 \h </w:instrText>
        </w:r>
        <w:r w:rsidR="000628B4">
          <w:rPr>
            <w:noProof/>
            <w:webHidden/>
          </w:rPr>
        </w:r>
        <w:r w:rsidR="000628B4">
          <w:rPr>
            <w:noProof/>
            <w:webHidden/>
          </w:rPr>
          <w:fldChar w:fldCharType="separate"/>
        </w:r>
        <w:r w:rsidR="00D6133D">
          <w:rPr>
            <w:noProof/>
            <w:webHidden/>
          </w:rPr>
          <w:t>428</w:t>
        </w:r>
        <w:r w:rsidR="000628B4">
          <w:rPr>
            <w:noProof/>
            <w:webHidden/>
          </w:rPr>
          <w:fldChar w:fldCharType="end"/>
        </w:r>
      </w:hyperlink>
    </w:p>
    <w:p w14:paraId="646F56AB" w14:textId="725A2E57" w:rsidR="000628B4" w:rsidRDefault="00092C0F" w:rsidP="002320B3">
      <w:pPr>
        <w:pStyle w:val="TOC2"/>
        <w:tabs>
          <w:tab w:val="right" w:leader="dot" w:pos="9010"/>
        </w:tabs>
        <w:rPr>
          <w:rFonts w:eastAsiaTheme="minorEastAsia" w:cstheme="minorBidi"/>
          <w:smallCaps w:val="0"/>
          <w:noProof/>
          <w:sz w:val="22"/>
          <w:szCs w:val="22"/>
          <w:lang w:val="en-AU" w:eastAsia="en-AU"/>
        </w:rPr>
      </w:pPr>
      <w:hyperlink w:anchor="_Toc69820512" w:history="1">
        <w:r w:rsidR="000628B4" w:rsidRPr="001A4C08">
          <w:rPr>
            <w:rStyle w:val="Hyperlink"/>
            <w:rFonts w:asciiTheme="majorHAnsi" w:eastAsiaTheme="majorEastAsia" w:hAnsiTheme="majorHAnsi" w:cstheme="majorBidi"/>
            <w:noProof/>
            <w:lang w:val="en-US"/>
          </w:rPr>
          <w:t>Annex T-1. Average Grades per Subject</w:t>
        </w:r>
        <w:r w:rsidR="000628B4">
          <w:rPr>
            <w:noProof/>
            <w:webHidden/>
          </w:rPr>
          <w:tab/>
        </w:r>
        <w:r w:rsidR="000628B4">
          <w:rPr>
            <w:noProof/>
            <w:webHidden/>
          </w:rPr>
          <w:fldChar w:fldCharType="begin"/>
        </w:r>
        <w:r w:rsidR="000628B4">
          <w:rPr>
            <w:noProof/>
            <w:webHidden/>
          </w:rPr>
          <w:instrText xml:space="preserve"> PAGEREF _Toc69820512 \h </w:instrText>
        </w:r>
        <w:r w:rsidR="000628B4">
          <w:rPr>
            <w:noProof/>
            <w:webHidden/>
          </w:rPr>
        </w:r>
        <w:r w:rsidR="000628B4">
          <w:rPr>
            <w:noProof/>
            <w:webHidden/>
          </w:rPr>
          <w:fldChar w:fldCharType="separate"/>
        </w:r>
        <w:r w:rsidR="00D6133D">
          <w:rPr>
            <w:noProof/>
            <w:webHidden/>
          </w:rPr>
          <w:t>428</w:t>
        </w:r>
        <w:r w:rsidR="000628B4">
          <w:rPr>
            <w:noProof/>
            <w:webHidden/>
          </w:rPr>
          <w:fldChar w:fldCharType="end"/>
        </w:r>
      </w:hyperlink>
    </w:p>
    <w:p w14:paraId="1E5CC500" w14:textId="7F22E0DF" w:rsidR="000628B4" w:rsidRDefault="00092C0F" w:rsidP="002320B3">
      <w:pPr>
        <w:pStyle w:val="TOC2"/>
        <w:tabs>
          <w:tab w:val="right" w:leader="dot" w:pos="9010"/>
        </w:tabs>
        <w:rPr>
          <w:rFonts w:eastAsiaTheme="minorEastAsia" w:cstheme="minorBidi"/>
          <w:smallCaps w:val="0"/>
          <w:noProof/>
          <w:sz w:val="22"/>
          <w:szCs w:val="22"/>
          <w:lang w:val="en-AU" w:eastAsia="en-AU"/>
        </w:rPr>
      </w:pPr>
      <w:hyperlink w:anchor="_Toc69820513" w:history="1">
        <w:r w:rsidR="000628B4" w:rsidRPr="001A4C08">
          <w:rPr>
            <w:rStyle w:val="Hyperlink"/>
            <w:rFonts w:asciiTheme="majorHAnsi" w:eastAsiaTheme="majorEastAsia" w:hAnsiTheme="majorHAnsi" w:cstheme="majorBidi"/>
            <w:noProof/>
            <w:lang w:val="en-US"/>
          </w:rPr>
          <w:t>Annex T-2. DID Analysis on Gender Grade Differentials</w:t>
        </w:r>
        <w:r w:rsidR="000628B4">
          <w:rPr>
            <w:noProof/>
            <w:webHidden/>
          </w:rPr>
          <w:tab/>
        </w:r>
        <w:r w:rsidR="000628B4">
          <w:rPr>
            <w:noProof/>
            <w:webHidden/>
          </w:rPr>
          <w:fldChar w:fldCharType="begin"/>
        </w:r>
        <w:r w:rsidR="000628B4">
          <w:rPr>
            <w:noProof/>
            <w:webHidden/>
          </w:rPr>
          <w:instrText xml:space="preserve"> PAGEREF _Toc69820513 \h </w:instrText>
        </w:r>
        <w:r w:rsidR="000628B4">
          <w:rPr>
            <w:noProof/>
            <w:webHidden/>
          </w:rPr>
        </w:r>
        <w:r w:rsidR="000628B4">
          <w:rPr>
            <w:noProof/>
            <w:webHidden/>
          </w:rPr>
          <w:fldChar w:fldCharType="separate"/>
        </w:r>
        <w:r w:rsidR="00D6133D">
          <w:rPr>
            <w:noProof/>
            <w:webHidden/>
          </w:rPr>
          <w:t>444</w:t>
        </w:r>
        <w:r w:rsidR="000628B4">
          <w:rPr>
            <w:noProof/>
            <w:webHidden/>
          </w:rPr>
          <w:fldChar w:fldCharType="end"/>
        </w:r>
      </w:hyperlink>
    </w:p>
    <w:p w14:paraId="67FE5389" w14:textId="10D7EBD5" w:rsidR="000628B4" w:rsidRDefault="00092C0F" w:rsidP="002320B3">
      <w:pPr>
        <w:pStyle w:val="TOC2"/>
        <w:tabs>
          <w:tab w:val="left" w:pos="720"/>
          <w:tab w:val="right" w:leader="dot" w:pos="9010"/>
        </w:tabs>
        <w:rPr>
          <w:rFonts w:eastAsiaTheme="minorEastAsia" w:cstheme="minorBidi"/>
          <w:smallCaps w:val="0"/>
          <w:noProof/>
          <w:sz w:val="22"/>
          <w:szCs w:val="22"/>
          <w:lang w:val="en-AU" w:eastAsia="en-AU"/>
        </w:rPr>
      </w:pPr>
      <w:hyperlink w:anchor="_Toc69820514" w:history="1">
        <w:r w:rsidR="000628B4" w:rsidRPr="001A4C08">
          <w:rPr>
            <w:rStyle w:val="Hyperlink"/>
            <w:rFonts w:asciiTheme="majorHAnsi" w:eastAsiaTheme="majorEastAsia" w:hAnsiTheme="majorHAnsi" w:cstheme="majorBidi"/>
            <w:noProof/>
            <w:lang w:val="en-US"/>
          </w:rPr>
          <w:t>38.</w:t>
        </w:r>
        <w:r w:rsidR="000628B4">
          <w:rPr>
            <w:rFonts w:eastAsiaTheme="minorEastAsia" w:cstheme="minorBidi"/>
            <w:smallCaps w:val="0"/>
            <w:noProof/>
            <w:sz w:val="22"/>
            <w:szCs w:val="22"/>
            <w:lang w:val="en-AU" w:eastAsia="en-AU"/>
          </w:rPr>
          <w:tab/>
        </w:r>
        <w:r w:rsidR="000628B4" w:rsidRPr="001A4C08">
          <w:rPr>
            <w:rStyle w:val="Hyperlink"/>
            <w:rFonts w:asciiTheme="majorHAnsi" w:eastAsiaTheme="majorEastAsia" w:hAnsiTheme="majorHAnsi" w:cstheme="majorBidi"/>
            <w:noProof/>
            <w:lang w:val="en-US"/>
          </w:rPr>
          <w:t>Annex T-3. Phil-IRI test results for Grades 4, 5 and 6 students from SY2013-2014 to SY2017-2018</w:t>
        </w:r>
        <w:r w:rsidR="000628B4">
          <w:rPr>
            <w:noProof/>
            <w:webHidden/>
          </w:rPr>
          <w:tab/>
        </w:r>
        <w:r w:rsidR="000628B4">
          <w:rPr>
            <w:noProof/>
            <w:webHidden/>
          </w:rPr>
          <w:fldChar w:fldCharType="begin"/>
        </w:r>
        <w:r w:rsidR="000628B4">
          <w:rPr>
            <w:noProof/>
            <w:webHidden/>
          </w:rPr>
          <w:instrText xml:space="preserve"> PAGEREF _Toc69820514 \h </w:instrText>
        </w:r>
        <w:r w:rsidR="000628B4">
          <w:rPr>
            <w:noProof/>
            <w:webHidden/>
          </w:rPr>
        </w:r>
        <w:r w:rsidR="000628B4">
          <w:rPr>
            <w:noProof/>
            <w:webHidden/>
          </w:rPr>
          <w:fldChar w:fldCharType="separate"/>
        </w:r>
        <w:r w:rsidR="00D6133D">
          <w:rPr>
            <w:noProof/>
            <w:webHidden/>
          </w:rPr>
          <w:t>445</w:t>
        </w:r>
        <w:r w:rsidR="000628B4">
          <w:rPr>
            <w:noProof/>
            <w:webHidden/>
          </w:rPr>
          <w:fldChar w:fldCharType="end"/>
        </w:r>
      </w:hyperlink>
    </w:p>
    <w:p w14:paraId="22D79400" w14:textId="103113FE" w:rsidR="000628B4" w:rsidRDefault="00092C0F" w:rsidP="002320B3">
      <w:pPr>
        <w:pStyle w:val="TOC1"/>
        <w:rPr>
          <w:rFonts w:eastAsiaTheme="minorEastAsia" w:cstheme="minorBidi"/>
          <w:b w:val="0"/>
          <w:bCs w:val="0"/>
          <w:caps w:val="0"/>
          <w:noProof/>
          <w:sz w:val="22"/>
          <w:szCs w:val="22"/>
          <w:lang w:val="en-AU" w:eastAsia="en-AU"/>
        </w:rPr>
      </w:pPr>
      <w:hyperlink w:anchor="_Toc69820515" w:history="1">
        <w:r w:rsidR="000628B4" w:rsidRPr="001A4C08">
          <w:rPr>
            <w:rStyle w:val="Hyperlink"/>
            <w:rFonts w:asciiTheme="majorHAnsi" w:eastAsiaTheme="majorEastAsia" w:hAnsiTheme="majorHAnsi" w:cstheme="majorBidi"/>
            <w:noProof/>
            <w:lang w:val="en-US"/>
          </w:rPr>
          <w:t>Annex U. Analysis of Classroom Observations and Teacher Performance</w:t>
        </w:r>
        <w:r w:rsidR="000628B4">
          <w:rPr>
            <w:noProof/>
            <w:webHidden/>
          </w:rPr>
          <w:tab/>
        </w:r>
        <w:r w:rsidR="000628B4">
          <w:rPr>
            <w:noProof/>
            <w:webHidden/>
          </w:rPr>
          <w:fldChar w:fldCharType="begin"/>
        </w:r>
        <w:r w:rsidR="000628B4">
          <w:rPr>
            <w:noProof/>
            <w:webHidden/>
          </w:rPr>
          <w:instrText xml:space="preserve"> PAGEREF _Toc69820515 \h </w:instrText>
        </w:r>
        <w:r w:rsidR="000628B4">
          <w:rPr>
            <w:noProof/>
            <w:webHidden/>
          </w:rPr>
        </w:r>
        <w:r w:rsidR="000628B4">
          <w:rPr>
            <w:noProof/>
            <w:webHidden/>
          </w:rPr>
          <w:fldChar w:fldCharType="separate"/>
        </w:r>
        <w:r w:rsidR="00D6133D">
          <w:rPr>
            <w:noProof/>
            <w:webHidden/>
          </w:rPr>
          <w:t>446</w:t>
        </w:r>
        <w:r w:rsidR="000628B4">
          <w:rPr>
            <w:noProof/>
            <w:webHidden/>
          </w:rPr>
          <w:fldChar w:fldCharType="end"/>
        </w:r>
      </w:hyperlink>
    </w:p>
    <w:p w14:paraId="435586B0" w14:textId="26997CB7" w:rsidR="000628B4" w:rsidRDefault="00092C0F" w:rsidP="002320B3">
      <w:pPr>
        <w:pStyle w:val="TOC3"/>
        <w:rPr>
          <w:rFonts w:eastAsiaTheme="minorEastAsia" w:cstheme="minorBidi"/>
          <w:i w:val="0"/>
          <w:iCs w:val="0"/>
          <w:noProof/>
          <w:sz w:val="22"/>
          <w:szCs w:val="22"/>
          <w:lang w:val="en-AU" w:eastAsia="en-AU"/>
        </w:rPr>
      </w:pPr>
      <w:hyperlink w:anchor="_Toc69820516" w:history="1">
        <w:r w:rsidR="000628B4" w:rsidRPr="001A4C08">
          <w:rPr>
            <w:rStyle w:val="Hyperlink"/>
            <w:rFonts w:asciiTheme="majorHAnsi" w:eastAsiaTheme="majorEastAsia" w:hAnsiTheme="majorHAnsi" w:cstheme="majorHAnsi"/>
            <w:b/>
            <w:bCs/>
            <w:noProof/>
            <w:lang w:val="en-US"/>
          </w:rPr>
          <w:t>COT Analysis by KRA per Region</w:t>
        </w:r>
        <w:r w:rsidR="000628B4">
          <w:rPr>
            <w:noProof/>
            <w:webHidden/>
          </w:rPr>
          <w:tab/>
        </w:r>
        <w:r w:rsidR="000628B4">
          <w:rPr>
            <w:noProof/>
            <w:webHidden/>
          </w:rPr>
          <w:fldChar w:fldCharType="begin"/>
        </w:r>
        <w:r w:rsidR="000628B4">
          <w:rPr>
            <w:noProof/>
            <w:webHidden/>
          </w:rPr>
          <w:instrText xml:space="preserve"> PAGEREF _Toc69820516 \h </w:instrText>
        </w:r>
        <w:r w:rsidR="000628B4">
          <w:rPr>
            <w:noProof/>
            <w:webHidden/>
          </w:rPr>
        </w:r>
        <w:r w:rsidR="000628B4">
          <w:rPr>
            <w:noProof/>
            <w:webHidden/>
          </w:rPr>
          <w:fldChar w:fldCharType="separate"/>
        </w:r>
        <w:r w:rsidR="00D6133D">
          <w:rPr>
            <w:noProof/>
            <w:webHidden/>
          </w:rPr>
          <w:t>447</w:t>
        </w:r>
        <w:r w:rsidR="000628B4">
          <w:rPr>
            <w:noProof/>
            <w:webHidden/>
          </w:rPr>
          <w:fldChar w:fldCharType="end"/>
        </w:r>
      </w:hyperlink>
    </w:p>
    <w:p w14:paraId="431CDABD" w14:textId="113C1E5E" w:rsidR="000628B4" w:rsidRDefault="00092C0F" w:rsidP="002320B3">
      <w:pPr>
        <w:pStyle w:val="TOC3"/>
        <w:rPr>
          <w:rFonts w:eastAsiaTheme="minorEastAsia" w:cstheme="minorBidi"/>
          <w:i w:val="0"/>
          <w:iCs w:val="0"/>
          <w:noProof/>
          <w:sz w:val="22"/>
          <w:szCs w:val="22"/>
          <w:lang w:val="en-AU" w:eastAsia="en-AU"/>
        </w:rPr>
      </w:pPr>
      <w:hyperlink w:anchor="_Toc69820517" w:history="1">
        <w:r w:rsidR="000628B4" w:rsidRPr="001A4C08">
          <w:rPr>
            <w:rStyle w:val="Hyperlink"/>
            <w:rFonts w:asciiTheme="majorHAnsi" w:eastAsiaTheme="majorEastAsia" w:hAnsiTheme="majorHAnsi" w:cstheme="majorHAnsi"/>
            <w:b/>
            <w:noProof/>
            <w:lang w:val="en-US"/>
          </w:rPr>
          <w:t>Science</w:t>
        </w:r>
        <w:r w:rsidR="000628B4">
          <w:rPr>
            <w:noProof/>
            <w:webHidden/>
          </w:rPr>
          <w:tab/>
        </w:r>
        <w:r w:rsidR="000628B4">
          <w:rPr>
            <w:noProof/>
            <w:webHidden/>
          </w:rPr>
          <w:fldChar w:fldCharType="begin"/>
        </w:r>
        <w:r w:rsidR="000628B4">
          <w:rPr>
            <w:noProof/>
            <w:webHidden/>
          </w:rPr>
          <w:instrText xml:space="preserve"> PAGEREF _Toc69820517 \h </w:instrText>
        </w:r>
        <w:r w:rsidR="000628B4">
          <w:rPr>
            <w:noProof/>
            <w:webHidden/>
          </w:rPr>
        </w:r>
        <w:r w:rsidR="000628B4">
          <w:rPr>
            <w:noProof/>
            <w:webHidden/>
          </w:rPr>
          <w:fldChar w:fldCharType="separate"/>
        </w:r>
        <w:r w:rsidR="00D6133D">
          <w:rPr>
            <w:noProof/>
            <w:webHidden/>
          </w:rPr>
          <w:t>449</w:t>
        </w:r>
        <w:r w:rsidR="000628B4">
          <w:rPr>
            <w:noProof/>
            <w:webHidden/>
          </w:rPr>
          <w:fldChar w:fldCharType="end"/>
        </w:r>
      </w:hyperlink>
    </w:p>
    <w:p w14:paraId="45006578" w14:textId="3B850DFC" w:rsidR="000628B4" w:rsidRDefault="00092C0F" w:rsidP="002320B3">
      <w:pPr>
        <w:pStyle w:val="TOC3"/>
        <w:rPr>
          <w:rFonts w:eastAsiaTheme="minorEastAsia" w:cstheme="minorBidi"/>
          <w:i w:val="0"/>
          <w:iCs w:val="0"/>
          <w:noProof/>
          <w:sz w:val="22"/>
          <w:szCs w:val="22"/>
          <w:lang w:val="en-AU" w:eastAsia="en-AU"/>
        </w:rPr>
      </w:pPr>
      <w:hyperlink w:anchor="_Toc69820518" w:history="1">
        <w:r w:rsidR="000628B4" w:rsidRPr="001A4C08">
          <w:rPr>
            <w:rStyle w:val="Hyperlink"/>
            <w:rFonts w:asciiTheme="majorHAnsi" w:eastAsiaTheme="majorEastAsia" w:hAnsiTheme="majorHAnsi" w:cstheme="majorHAnsi"/>
            <w:b/>
            <w:noProof/>
            <w:lang w:val="en-US"/>
          </w:rPr>
          <w:t>Math</w:t>
        </w:r>
        <w:r w:rsidR="000628B4">
          <w:rPr>
            <w:noProof/>
            <w:webHidden/>
          </w:rPr>
          <w:tab/>
        </w:r>
        <w:r w:rsidR="000628B4">
          <w:rPr>
            <w:noProof/>
            <w:webHidden/>
          </w:rPr>
          <w:fldChar w:fldCharType="begin"/>
        </w:r>
        <w:r w:rsidR="000628B4">
          <w:rPr>
            <w:noProof/>
            <w:webHidden/>
          </w:rPr>
          <w:instrText xml:space="preserve"> PAGEREF _Toc69820518 \h </w:instrText>
        </w:r>
        <w:r w:rsidR="000628B4">
          <w:rPr>
            <w:noProof/>
            <w:webHidden/>
          </w:rPr>
        </w:r>
        <w:r w:rsidR="000628B4">
          <w:rPr>
            <w:noProof/>
            <w:webHidden/>
          </w:rPr>
          <w:fldChar w:fldCharType="separate"/>
        </w:r>
        <w:r w:rsidR="00D6133D">
          <w:rPr>
            <w:noProof/>
            <w:webHidden/>
          </w:rPr>
          <w:t>450</w:t>
        </w:r>
        <w:r w:rsidR="000628B4">
          <w:rPr>
            <w:noProof/>
            <w:webHidden/>
          </w:rPr>
          <w:fldChar w:fldCharType="end"/>
        </w:r>
      </w:hyperlink>
    </w:p>
    <w:p w14:paraId="3B417A25" w14:textId="28FF6416" w:rsidR="000628B4" w:rsidRDefault="00092C0F" w:rsidP="002320B3">
      <w:pPr>
        <w:pStyle w:val="TOC3"/>
        <w:rPr>
          <w:rFonts w:eastAsiaTheme="minorEastAsia" w:cstheme="minorBidi"/>
          <w:i w:val="0"/>
          <w:iCs w:val="0"/>
          <w:noProof/>
          <w:sz w:val="22"/>
          <w:szCs w:val="22"/>
          <w:lang w:val="en-AU" w:eastAsia="en-AU"/>
        </w:rPr>
      </w:pPr>
      <w:hyperlink w:anchor="_Toc69820519" w:history="1">
        <w:r w:rsidR="000628B4" w:rsidRPr="001A4C08">
          <w:rPr>
            <w:rStyle w:val="Hyperlink"/>
            <w:rFonts w:asciiTheme="majorHAnsi" w:eastAsiaTheme="majorEastAsia" w:hAnsiTheme="majorHAnsi" w:cstheme="majorHAnsi"/>
            <w:b/>
            <w:noProof/>
            <w:lang w:val="en-US"/>
          </w:rPr>
          <w:t>English</w:t>
        </w:r>
        <w:r w:rsidR="000628B4">
          <w:rPr>
            <w:noProof/>
            <w:webHidden/>
          </w:rPr>
          <w:tab/>
        </w:r>
        <w:r w:rsidR="000628B4">
          <w:rPr>
            <w:noProof/>
            <w:webHidden/>
          </w:rPr>
          <w:fldChar w:fldCharType="begin"/>
        </w:r>
        <w:r w:rsidR="000628B4">
          <w:rPr>
            <w:noProof/>
            <w:webHidden/>
          </w:rPr>
          <w:instrText xml:space="preserve"> PAGEREF _Toc69820519 \h </w:instrText>
        </w:r>
        <w:r w:rsidR="000628B4">
          <w:rPr>
            <w:noProof/>
            <w:webHidden/>
          </w:rPr>
        </w:r>
        <w:r w:rsidR="000628B4">
          <w:rPr>
            <w:noProof/>
            <w:webHidden/>
          </w:rPr>
          <w:fldChar w:fldCharType="separate"/>
        </w:r>
        <w:r w:rsidR="00D6133D">
          <w:rPr>
            <w:noProof/>
            <w:webHidden/>
          </w:rPr>
          <w:t>450</w:t>
        </w:r>
        <w:r w:rsidR="000628B4">
          <w:rPr>
            <w:noProof/>
            <w:webHidden/>
          </w:rPr>
          <w:fldChar w:fldCharType="end"/>
        </w:r>
      </w:hyperlink>
    </w:p>
    <w:p w14:paraId="59F7B734" w14:textId="2D2CC5B6" w:rsidR="000628B4" w:rsidRDefault="00092C0F" w:rsidP="002320B3">
      <w:pPr>
        <w:pStyle w:val="TOC3"/>
        <w:rPr>
          <w:rFonts w:eastAsiaTheme="minorEastAsia" w:cstheme="minorBidi"/>
          <w:i w:val="0"/>
          <w:iCs w:val="0"/>
          <w:noProof/>
          <w:sz w:val="22"/>
          <w:szCs w:val="22"/>
          <w:lang w:val="en-AU" w:eastAsia="en-AU"/>
        </w:rPr>
      </w:pPr>
      <w:hyperlink w:anchor="_Toc69820520" w:history="1">
        <w:r w:rsidR="000628B4" w:rsidRPr="001A4C08">
          <w:rPr>
            <w:rStyle w:val="Hyperlink"/>
            <w:rFonts w:asciiTheme="majorHAnsi" w:eastAsiaTheme="majorEastAsia" w:hAnsiTheme="majorHAnsi" w:cstheme="majorHAnsi"/>
            <w:b/>
            <w:noProof/>
            <w:lang w:val="en-US"/>
          </w:rPr>
          <w:t>Filipino</w:t>
        </w:r>
        <w:r w:rsidR="000628B4">
          <w:rPr>
            <w:noProof/>
            <w:webHidden/>
          </w:rPr>
          <w:tab/>
        </w:r>
        <w:r w:rsidR="000628B4">
          <w:rPr>
            <w:noProof/>
            <w:webHidden/>
          </w:rPr>
          <w:fldChar w:fldCharType="begin"/>
        </w:r>
        <w:r w:rsidR="000628B4">
          <w:rPr>
            <w:noProof/>
            <w:webHidden/>
          </w:rPr>
          <w:instrText xml:space="preserve"> PAGEREF _Toc69820520 \h </w:instrText>
        </w:r>
        <w:r w:rsidR="000628B4">
          <w:rPr>
            <w:noProof/>
            <w:webHidden/>
          </w:rPr>
        </w:r>
        <w:r w:rsidR="000628B4">
          <w:rPr>
            <w:noProof/>
            <w:webHidden/>
          </w:rPr>
          <w:fldChar w:fldCharType="separate"/>
        </w:r>
        <w:r w:rsidR="00D6133D">
          <w:rPr>
            <w:noProof/>
            <w:webHidden/>
          </w:rPr>
          <w:t>451</w:t>
        </w:r>
        <w:r w:rsidR="000628B4">
          <w:rPr>
            <w:noProof/>
            <w:webHidden/>
          </w:rPr>
          <w:fldChar w:fldCharType="end"/>
        </w:r>
      </w:hyperlink>
    </w:p>
    <w:p w14:paraId="0F3C36F6" w14:textId="6A0865F0" w:rsidR="000628B4" w:rsidRDefault="00092C0F" w:rsidP="002320B3">
      <w:pPr>
        <w:pStyle w:val="TOC1"/>
        <w:rPr>
          <w:rFonts w:eastAsiaTheme="minorEastAsia" w:cstheme="minorBidi"/>
          <w:b w:val="0"/>
          <w:bCs w:val="0"/>
          <w:caps w:val="0"/>
          <w:noProof/>
          <w:sz w:val="22"/>
          <w:szCs w:val="22"/>
          <w:lang w:val="en-AU" w:eastAsia="en-AU"/>
        </w:rPr>
      </w:pPr>
      <w:hyperlink w:anchor="_Toc69820521" w:history="1">
        <w:r w:rsidR="000628B4" w:rsidRPr="001A4C08">
          <w:rPr>
            <w:rStyle w:val="Hyperlink"/>
            <w:rFonts w:asciiTheme="majorHAnsi" w:eastAsiaTheme="majorEastAsia" w:hAnsiTheme="majorHAnsi" w:cstheme="majorBidi"/>
            <w:noProof/>
            <w:lang w:val="en-US"/>
          </w:rPr>
          <w:t>Annex V. Selected Education Key Performance Indicators</w:t>
        </w:r>
        <w:r w:rsidR="000628B4">
          <w:rPr>
            <w:noProof/>
            <w:webHidden/>
          </w:rPr>
          <w:tab/>
        </w:r>
        <w:r w:rsidR="000628B4">
          <w:rPr>
            <w:noProof/>
            <w:webHidden/>
          </w:rPr>
          <w:fldChar w:fldCharType="begin"/>
        </w:r>
        <w:r w:rsidR="000628B4">
          <w:rPr>
            <w:noProof/>
            <w:webHidden/>
          </w:rPr>
          <w:instrText xml:space="preserve"> PAGEREF _Toc69820521 \h </w:instrText>
        </w:r>
        <w:r w:rsidR="000628B4">
          <w:rPr>
            <w:noProof/>
            <w:webHidden/>
          </w:rPr>
        </w:r>
        <w:r w:rsidR="000628B4">
          <w:rPr>
            <w:noProof/>
            <w:webHidden/>
          </w:rPr>
          <w:fldChar w:fldCharType="separate"/>
        </w:r>
        <w:r w:rsidR="00D6133D">
          <w:rPr>
            <w:noProof/>
            <w:webHidden/>
          </w:rPr>
          <w:t>457</w:t>
        </w:r>
        <w:r w:rsidR="000628B4">
          <w:rPr>
            <w:noProof/>
            <w:webHidden/>
          </w:rPr>
          <w:fldChar w:fldCharType="end"/>
        </w:r>
      </w:hyperlink>
    </w:p>
    <w:p w14:paraId="14153284" w14:textId="0C56716C" w:rsidR="000628B4" w:rsidRDefault="00092C0F" w:rsidP="002320B3">
      <w:pPr>
        <w:pStyle w:val="TOC2"/>
        <w:tabs>
          <w:tab w:val="right" w:leader="dot" w:pos="9010"/>
        </w:tabs>
        <w:rPr>
          <w:rFonts w:eastAsiaTheme="minorEastAsia" w:cstheme="minorBidi"/>
          <w:smallCaps w:val="0"/>
          <w:noProof/>
          <w:sz w:val="22"/>
          <w:szCs w:val="22"/>
          <w:lang w:val="en-AU" w:eastAsia="en-AU"/>
        </w:rPr>
      </w:pPr>
      <w:hyperlink w:anchor="_Toc69820522" w:history="1">
        <w:r w:rsidR="000628B4" w:rsidRPr="001A4C08">
          <w:rPr>
            <w:rStyle w:val="Hyperlink"/>
            <w:rFonts w:asciiTheme="majorHAnsi" w:eastAsiaTheme="majorEastAsia" w:hAnsiTheme="majorHAnsi" w:cstheme="majorBidi"/>
            <w:noProof/>
            <w:lang w:val="en-US"/>
          </w:rPr>
          <w:t>Annex V-1. DID Analysis on Change in Enrollment</w:t>
        </w:r>
        <w:r w:rsidR="000628B4">
          <w:rPr>
            <w:noProof/>
            <w:webHidden/>
          </w:rPr>
          <w:tab/>
        </w:r>
        <w:r w:rsidR="000628B4">
          <w:rPr>
            <w:noProof/>
            <w:webHidden/>
          </w:rPr>
          <w:fldChar w:fldCharType="begin"/>
        </w:r>
        <w:r w:rsidR="000628B4">
          <w:rPr>
            <w:noProof/>
            <w:webHidden/>
          </w:rPr>
          <w:instrText xml:space="preserve"> PAGEREF _Toc69820522 \h </w:instrText>
        </w:r>
        <w:r w:rsidR="000628B4">
          <w:rPr>
            <w:noProof/>
            <w:webHidden/>
          </w:rPr>
        </w:r>
        <w:r w:rsidR="000628B4">
          <w:rPr>
            <w:noProof/>
            <w:webHidden/>
          </w:rPr>
          <w:fldChar w:fldCharType="separate"/>
        </w:r>
        <w:r w:rsidR="00D6133D">
          <w:rPr>
            <w:noProof/>
            <w:webHidden/>
          </w:rPr>
          <w:t>457</w:t>
        </w:r>
        <w:r w:rsidR="000628B4">
          <w:rPr>
            <w:noProof/>
            <w:webHidden/>
          </w:rPr>
          <w:fldChar w:fldCharType="end"/>
        </w:r>
      </w:hyperlink>
    </w:p>
    <w:p w14:paraId="0C3FBFCF" w14:textId="0D1F3A92" w:rsidR="000628B4" w:rsidRDefault="00092C0F" w:rsidP="002320B3">
      <w:pPr>
        <w:pStyle w:val="TOC2"/>
        <w:tabs>
          <w:tab w:val="right" w:leader="dot" w:pos="9010"/>
        </w:tabs>
        <w:rPr>
          <w:rFonts w:eastAsiaTheme="minorEastAsia" w:cstheme="minorBidi"/>
          <w:smallCaps w:val="0"/>
          <w:noProof/>
          <w:sz w:val="22"/>
          <w:szCs w:val="22"/>
          <w:lang w:val="en-AU" w:eastAsia="en-AU"/>
        </w:rPr>
      </w:pPr>
      <w:hyperlink w:anchor="_Toc69820523" w:history="1">
        <w:r w:rsidR="000628B4" w:rsidRPr="001A4C08">
          <w:rPr>
            <w:rStyle w:val="Hyperlink"/>
            <w:rFonts w:asciiTheme="majorHAnsi" w:eastAsiaTheme="majorEastAsia" w:hAnsiTheme="majorHAnsi" w:cstheme="majorBidi"/>
            <w:noProof/>
            <w:lang w:val="en-US"/>
          </w:rPr>
          <w:t>Annex V-2. DID Analysis on Attendance Rate</w:t>
        </w:r>
        <w:r w:rsidR="000628B4">
          <w:rPr>
            <w:noProof/>
            <w:webHidden/>
          </w:rPr>
          <w:tab/>
        </w:r>
        <w:r w:rsidR="000628B4">
          <w:rPr>
            <w:noProof/>
            <w:webHidden/>
          </w:rPr>
          <w:fldChar w:fldCharType="begin"/>
        </w:r>
        <w:r w:rsidR="000628B4">
          <w:rPr>
            <w:noProof/>
            <w:webHidden/>
          </w:rPr>
          <w:instrText xml:space="preserve"> PAGEREF _Toc69820523 \h </w:instrText>
        </w:r>
        <w:r w:rsidR="000628B4">
          <w:rPr>
            <w:noProof/>
            <w:webHidden/>
          </w:rPr>
        </w:r>
        <w:r w:rsidR="000628B4">
          <w:rPr>
            <w:noProof/>
            <w:webHidden/>
          </w:rPr>
          <w:fldChar w:fldCharType="separate"/>
        </w:r>
        <w:r w:rsidR="00D6133D">
          <w:rPr>
            <w:noProof/>
            <w:webHidden/>
          </w:rPr>
          <w:t>460</w:t>
        </w:r>
        <w:r w:rsidR="000628B4">
          <w:rPr>
            <w:noProof/>
            <w:webHidden/>
          </w:rPr>
          <w:fldChar w:fldCharType="end"/>
        </w:r>
      </w:hyperlink>
    </w:p>
    <w:p w14:paraId="04AE111D" w14:textId="3A88E16B" w:rsidR="000628B4" w:rsidRDefault="00092C0F" w:rsidP="002320B3">
      <w:pPr>
        <w:pStyle w:val="TOC2"/>
        <w:tabs>
          <w:tab w:val="right" w:leader="dot" w:pos="9010"/>
        </w:tabs>
        <w:rPr>
          <w:rFonts w:eastAsiaTheme="minorEastAsia" w:cstheme="minorBidi"/>
          <w:smallCaps w:val="0"/>
          <w:noProof/>
          <w:sz w:val="22"/>
          <w:szCs w:val="22"/>
          <w:lang w:val="en-AU" w:eastAsia="en-AU"/>
        </w:rPr>
      </w:pPr>
      <w:hyperlink w:anchor="_Toc69820524" w:history="1">
        <w:r w:rsidR="000628B4" w:rsidRPr="001A4C08">
          <w:rPr>
            <w:rStyle w:val="Hyperlink"/>
            <w:rFonts w:asciiTheme="majorHAnsi" w:eastAsiaTheme="majorEastAsia" w:hAnsiTheme="majorHAnsi" w:cstheme="majorBidi"/>
            <w:noProof/>
            <w:lang w:val="en-US"/>
          </w:rPr>
          <w:t>Annex V-3. Philippine Education Key Performance Indicators (KPIs)</w:t>
        </w:r>
        <w:r w:rsidR="000628B4">
          <w:rPr>
            <w:noProof/>
            <w:webHidden/>
          </w:rPr>
          <w:tab/>
        </w:r>
        <w:r w:rsidR="000628B4">
          <w:rPr>
            <w:noProof/>
            <w:webHidden/>
          </w:rPr>
          <w:fldChar w:fldCharType="begin"/>
        </w:r>
        <w:r w:rsidR="000628B4">
          <w:rPr>
            <w:noProof/>
            <w:webHidden/>
          </w:rPr>
          <w:instrText xml:space="preserve"> PAGEREF _Toc69820524 \h </w:instrText>
        </w:r>
        <w:r w:rsidR="000628B4">
          <w:rPr>
            <w:noProof/>
            <w:webHidden/>
          </w:rPr>
        </w:r>
        <w:r w:rsidR="000628B4">
          <w:rPr>
            <w:noProof/>
            <w:webHidden/>
          </w:rPr>
          <w:fldChar w:fldCharType="separate"/>
        </w:r>
        <w:r w:rsidR="00D6133D">
          <w:rPr>
            <w:noProof/>
            <w:webHidden/>
          </w:rPr>
          <w:t>462</w:t>
        </w:r>
        <w:r w:rsidR="000628B4">
          <w:rPr>
            <w:noProof/>
            <w:webHidden/>
          </w:rPr>
          <w:fldChar w:fldCharType="end"/>
        </w:r>
      </w:hyperlink>
    </w:p>
    <w:p w14:paraId="24D33FC2" w14:textId="1FD0BCEB" w:rsidR="000628B4" w:rsidRDefault="00092C0F" w:rsidP="002320B3">
      <w:pPr>
        <w:pStyle w:val="TOC3"/>
        <w:rPr>
          <w:rFonts w:eastAsiaTheme="minorEastAsia" w:cstheme="minorBidi"/>
          <w:i w:val="0"/>
          <w:iCs w:val="0"/>
          <w:noProof/>
          <w:sz w:val="22"/>
          <w:szCs w:val="22"/>
          <w:lang w:val="en-AU" w:eastAsia="en-AU"/>
        </w:rPr>
      </w:pPr>
      <w:hyperlink w:anchor="_Toc69820525" w:history="1">
        <w:r w:rsidR="000628B4" w:rsidRPr="001A4C08">
          <w:rPr>
            <w:rStyle w:val="Hyperlink"/>
            <w:rFonts w:asciiTheme="majorHAnsi" w:eastAsiaTheme="majorEastAsia" w:hAnsiTheme="majorHAnsi" w:cstheme="majorBidi"/>
            <w:noProof/>
            <w:lang w:val="en-US"/>
          </w:rPr>
          <w:t>Introduction</w:t>
        </w:r>
        <w:r w:rsidR="000628B4">
          <w:rPr>
            <w:noProof/>
            <w:webHidden/>
          </w:rPr>
          <w:tab/>
        </w:r>
        <w:r w:rsidR="000628B4">
          <w:rPr>
            <w:noProof/>
            <w:webHidden/>
          </w:rPr>
          <w:fldChar w:fldCharType="begin"/>
        </w:r>
        <w:r w:rsidR="000628B4">
          <w:rPr>
            <w:noProof/>
            <w:webHidden/>
          </w:rPr>
          <w:instrText xml:space="preserve"> PAGEREF _Toc69820525 \h </w:instrText>
        </w:r>
        <w:r w:rsidR="000628B4">
          <w:rPr>
            <w:noProof/>
            <w:webHidden/>
          </w:rPr>
        </w:r>
        <w:r w:rsidR="000628B4">
          <w:rPr>
            <w:noProof/>
            <w:webHidden/>
          </w:rPr>
          <w:fldChar w:fldCharType="separate"/>
        </w:r>
        <w:r w:rsidR="00D6133D">
          <w:rPr>
            <w:noProof/>
            <w:webHidden/>
          </w:rPr>
          <w:t>462</w:t>
        </w:r>
        <w:r w:rsidR="000628B4">
          <w:rPr>
            <w:noProof/>
            <w:webHidden/>
          </w:rPr>
          <w:fldChar w:fldCharType="end"/>
        </w:r>
      </w:hyperlink>
    </w:p>
    <w:p w14:paraId="5741AE1F" w14:textId="71F29526" w:rsidR="000628B4" w:rsidRDefault="00092C0F" w:rsidP="002320B3">
      <w:pPr>
        <w:pStyle w:val="TOC3"/>
        <w:rPr>
          <w:rFonts w:eastAsiaTheme="minorEastAsia" w:cstheme="minorBidi"/>
          <w:i w:val="0"/>
          <w:iCs w:val="0"/>
          <w:noProof/>
          <w:sz w:val="22"/>
          <w:szCs w:val="22"/>
          <w:lang w:val="en-AU" w:eastAsia="en-AU"/>
        </w:rPr>
      </w:pPr>
      <w:hyperlink w:anchor="_Toc69820526" w:history="1">
        <w:r w:rsidR="000628B4" w:rsidRPr="001A4C08">
          <w:rPr>
            <w:rStyle w:val="Hyperlink"/>
            <w:rFonts w:asciiTheme="majorHAnsi" w:eastAsiaTheme="majorEastAsia" w:hAnsiTheme="majorHAnsi" w:cstheme="majorBidi"/>
            <w:noProof/>
            <w:lang w:val="en-US"/>
          </w:rPr>
          <w:t>Access Indicators</w:t>
        </w:r>
        <w:r w:rsidR="000628B4">
          <w:rPr>
            <w:noProof/>
            <w:webHidden/>
          </w:rPr>
          <w:tab/>
        </w:r>
        <w:r w:rsidR="000628B4">
          <w:rPr>
            <w:noProof/>
            <w:webHidden/>
          </w:rPr>
          <w:fldChar w:fldCharType="begin"/>
        </w:r>
        <w:r w:rsidR="000628B4">
          <w:rPr>
            <w:noProof/>
            <w:webHidden/>
          </w:rPr>
          <w:instrText xml:space="preserve"> PAGEREF _Toc69820526 \h </w:instrText>
        </w:r>
        <w:r w:rsidR="000628B4">
          <w:rPr>
            <w:noProof/>
            <w:webHidden/>
          </w:rPr>
        </w:r>
        <w:r w:rsidR="000628B4">
          <w:rPr>
            <w:noProof/>
            <w:webHidden/>
          </w:rPr>
          <w:fldChar w:fldCharType="separate"/>
        </w:r>
        <w:r w:rsidR="00D6133D">
          <w:rPr>
            <w:noProof/>
            <w:webHidden/>
          </w:rPr>
          <w:t>471</w:t>
        </w:r>
        <w:r w:rsidR="000628B4">
          <w:rPr>
            <w:noProof/>
            <w:webHidden/>
          </w:rPr>
          <w:fldChar w:fldCharType="end"/>
        </w:r>
      </w:hyperlink>
    </w:p>
    <w:p w14:paraId="0DC1C164" w14:textId="6F0144D2" w:rsidR="000628B4" w:rsidRDefault="00092C0F" w:rsidP="002320B3">
      <w:pPr>
        <w:pStyle w:val="TOC3"/>
        <w:rPr>
          <w:rFonts w:eastAsiaTheme="minorEastAsia" w:cstheme="minorBidi"/>
          <w:i w:val="0"/>
          <w:iCs w:val="0"/>
          <w:noProof/>
          <w:sz w:val="22"/>
          <w:szCs w:val="22"/>
          <w:lang w:val="en-AU" w:eastAsia="en-AU"/>
        </w:rPr>
      </w:pPr>
      <w:hyperlink w:anchor="_Toc69820527" w:history="1">
        <w:r w:rsidR="000628B4" w:rsidRPr="001A4C08">
          <w:rPr>
            <w:rStyle w:val="Hyperlink"/>
            <w:rFonts w:asciiTheme="majorHAnsi" w:eastAsiaTheme="majorEastAsia" w:hAnsiTheme="majorHAnsi" w:cstheme="majorBidi"/>
            <w:noProof/>
            <w:lang w:val="en-US"/>
          </w:rPr>
          <w:t>Learners with Exceptionalities</w:t>
        </w:r>
        <w:r w:rsidR="000628B4">
          <w:rPr>
            <w:noProof/>
            <w:webHidden/>
          </w:rPr>
          <w:tab/>
        </w:r>
        <w:r w:rsidR="000628B4">
          <w:rPr>
            <w:noProof/>
            <w:webHidden/>
          </w:rPr>
          <w:fldChar w:fldCharType="begin"/>
        </w:r>
        <w:r w:rsidR="000628B4">
          <w:rPr>
            <w:noProof/>
            <w:webHidden/>
          </w:rPr>
          <w:instrText xml:space="preserve"> PAGEREF _Toc69820527 \h </w:instrText>
        </w:r>
        <w:r w:rsidR="000628B4">
          <w:rPr>
            <w:noProof/>
            <w:webHidden/>
          </w:rPr>
        </w:r>
        <w:r w:rsidR="000628B4">
          <w:rPr>
            <w:noProof/>
            <w:webHidden/>
          </w:rPr>
          <w:fldChar w:fldCharType="separate"/>
        </w:r>
        <w:r w:rsidR="00D6133D">
          <w:rPr>
            <w:noProof/>
            <w:webHidden/>
          </w:rPr>
          <w:t>503</w:t>
        </w:r>
        <w:r w:rsidR="000628B4">
          <w:rPr>
            <w:noProof/>
            <w:webHidden/>
          </w:rPr>
          <w:fldChar w:fldCharType="end"/>
        </w:r>
      </w:hyperlink>
    </w:p>
    <w:p w14:paraId="5D24E2E8" w14:textId="67D0E071" w:rsidR="000628B4" w:rsidRDefault="00092C0F" w:rsidP="002320B3">
      <w:pPr>
        <w:pStyle w:val="TOC1"/>
        <w:rPr>
          <w:rFonts w:eastAsiaTheme="minorEastAsia" w:cstheme="minorBidi"/>
          <w:b w:val="0"/>
          <w:bCs w:val="0"/>
          <w:caps w:val="0"/>
          <w:noProof/>
          <w:sz w:val="22"/>
          <w:szCs w:val="22"/>
          <w:lang w:val="en-AU" w:eastAsia="en-AU"/>
        </w:rPr>
      </w:pPr>
      <w:hyperlink w:anchor="_Toc69820528" w:history="1">
        <w:r w:rsidR="000628B4" w:rsidRPr="001A4C08">
          <w:rPr>
            <w:rStyle w:val="Hyperlink"/>
            <w:rFonts w:asciiTheme="majorHAnsi" w:eastAsiaTheme="majorEastAsia" w:hAnsiTheme="majorHAnsi" w:cstheme="majorBidi"/>
            <w:noProof/>
            <w:lang w:val="en-US"/>
          </w:rPr>
          <w:t>Annex W. Rating Scale for Relevance, Effectiveness, Efficiency and Sustainability</w:t>
        </w:r>
        <w:r w:rsidR="000628B4">
          <w:rPr>
            <w:noProof/>
            <w:webHidden/>
          </w:rPr>
          <w:tab/>
        </w:r>
        <w:r w:rsidR="000628B4">
          <w:rPr>
            <w:noProof/>
            <w:webHidden/>
          </w:rPr>
          <w:fldChar w:fldCharType="begin"/>
        </w:r>
        <w:r w:rsidR="000628B4">
          <w:rPr>
            <w:noProof/>
            <w:webHidden/>
          </w:rPr>
          <w:instrText xml:space="preserve"> PAGEREF _Toc69820528 \h </w:instrText>
        </w:r>
        <w:r w:rsidR="000628B4">
          <w:rPr>
            <w:noProof/>
            <w:webHidden/>
          </w:rPr>
        </w:r>
        <w:r w:rsidR="000628B4">
          <w:rPr>
            <w:noProof/>
            <w:webHidden/>
          </w:rPr>
          <w:fldChar w:fldCharType="separate"/>
        </w:r>
        <w:r w:rsidR="00D6133D">
          <w:rPr>
            <w:noProof/>
            <w:webHidden/>
          </w:rPr>
          <w:t>506</w:t>
        </w:r>
        <w:r w:rsidR="000628B4">
          <w:rPr>
            <w:noProof/>
            <w:webHidden/>
          </w:rPr>
          <w:fldChar w:fldCharType="end"/>
        </w:r>
      </w:hyperlink>
    </w:p>
    <w:p w14:paraId="6B21C65B" w14:textId="3E26A9EA" w:rsidR="000628B4" w:rsidRDefault="00092C0F" w:rsidP="002320B3">
      <w:pPr>
        <w:pStyle w:val="TOC1"/>
        <w:rPr>
          <w:rFonts w:eastAsiaTheme="minorEastAsia" w:cstheme="minorBidi"/>
          <w:b w:val="0"/>
          <w:bCs w:val="0"/>
          <w:caps w:val="0"/>
          <w:noProof/>
          <w:sz w:val="22"/>
          <w:szCs w:val="22"/>
          <w:lang w:val="en-AU" w:eastAsia="en-AU"/>
        </w:rPr>
      </w:pPr>
      <w:hyperlink w:anchor="_Toc69820529" w:history="1">
        <w:r w:rsidR="000628B4" w:rsidRPr="001A4C08">
          <w:rPr>
            <w:rStyle w:val="Hyperlink"/>
            <w:rFonts w:asciiTheme="majorHAnsi" w:eastAsiaTheme="majorEastAsia" w:hAnsiTheme="majorHAnsi" w:cstheme="majorBidi"/>
            <w:noProof/>
            <w:lang w:val="en-US"/>
          </w:rPr>
          <w:t>Annex X. References</w:t>
        </w:r>
        <w:r w:rsidR="000628B4">
          <w:rPr>
            <w:noProof/>
            <w:webHidden/>
          </w:rPr>
          <w:tab/>
        </w:r>
        <w:r w:rsidR="000628B4">
          <w:rPr>
            <w:noProof/>
            <w:webHidden/>
          </w:rPr>
          <w:fldChar w:fldCharType="begin"/>
        </w:r>
        <w:r w:rsidR="000628B4">
          <w:rPr>
            <w:noProof/>
            <w:webHidden/>
          </w:rPr>
          <w:instrText xml:space="preserve"> PAGEREF _Toc69820529 \h </w:instrText>
        </w:r>
        <w:r w:rsidR="000628B4">
          <w:rPr>
            <w:noProof/>
            <w:webHidden/>
          </w:rPr>
        </w:r>
        <w:r w:rsidR="000628B4">
          <w:rPr>
            <w:noProof/>
            <w:webHidden/>
          </w:rPr>
          <w:fldChar w:fldCharType="separate"/>
        </w:r>
        <w:r w:rsidR="00D6133D">
          <w:rPr>
            <w:noProof/>
            <w:webHidden/>
          </w:rPr>
          <w:t>509</w:t>
        </w:r>
        <w:r w:rsidR="000628B4">
          <w:rPr>
            <w:noProof/>
            <w:webHidden/>
          </w:rPr>
          <w:fldChar w:fldCharType="end"/>
        </w:r>
      </w:hyperlink>
    </w:p>
    <w:p w14:paraId="09C3765E" w14:textId="48B0BCB9" w:rsidR="000628B4" w:rsidRDefault="00092C0F" w:rsidP="002320B3">
      <w:pPr>
        <w:pStyle w:val="TOC1"/>
        <w:rPr>
          <w:rFonts w:eastAsiaTheme="minorEastAsia" w:cstheme="minorBidi"/>
          <w:b w:val="0"/>
          <w:bCs w:val="0"/>
          <w:caps w:val="0"/>
          <w:noProof/>
          <w:sz w:val="22"/>
          <w:szCs w:val="22"/>
          <w:lang w:val="en-AU" w:eastAsia="en-AU"/>
        </w:rPr>
      </w:pPr>
      <w:hyperlink w:anchor="_Toc69820530" w:history="1">
        <w:r w:rsidR="000628B4" w:rsidRPr="001A4C08">
          <w:rPr>
            <w:rStyle w:val="Hyperlink"/>
            <w:rFonts w:asciiTheme="majorHAnsi" w:eastAsiaTheme="majorEastAsia" w:hAnsiTheme="majorHAnsi" w:cstheme="majorBidi"/>
            <w:noProof/>
            <w:lang w:val="en-US"/>
          </w:rPr>
          <w:t>Annex Y.</w:t>
        </w:r>
        <w:r w:rsidR="00D434EB">
          <w:rPr>
            <w:rStyle w:val="Hyperlink"/>
            <w:rFonts w:asciiTheme="majorHAnsi" w:eastAsiaTheme="majorEastAsia" w:hAnsiTheme="majorHAnsi" w:cstheme="majorBidi"/>
            <w:noProof/>
            <w:lang w:val="en-US"/>
          </w:rPr>
          <w:t xml:space="preserve"> </w:t>
        </w:r>
        <w:r w:rsidR="000628B4" w:rsidRPr="001A4C08">
          <w:rPr>
            <w:rStyle w:val="Hyperlink"/>
            <w:rFonts w:asciiTheme="majorHAnsi" w:eastAsiaTheme="majorEastAsia" w:hAnsiTheme="majorHAnsi" w:cstheme="majorBidi"/>
            <w:noProof/>
            <w:lang w:val="en-US"/>
          </w:rPr>
          <w:t>Perception of PSHs and Teachers on BEST Program-supported DepEd Policies</w:t>
        </w:r>
        <w:r w:rsidR="000628B4">
          <w:rPr>
            <w:noProof/>
            <w:webHidden/>
          </w:rPr>
          <w:tab/>
        </w:r>
        <w:r w:rsidR="000628B4">
          <w:rPr>
            <w:noProof/>
            <w:webHidden/>
          </w:rPr>
          <w:fldChar w:fldCharType="begin"/>
        </w:r>
        <w:r w:rsidR="000628B4">
          <w:rPr>
            <w:noProof/>
            <w:webHidden/>
          </w:rPr>
          <w:instrText xml:space="preserve"> PAGEREF _Toc69820530 \h </w:instrText>
        </w:r>
        <w:r w:rsidR="000628B4">
          <w:rPr>
            <w:noProof/>
            <w:webHidden/>
          </w:rPr>
        </w:r>
        <w:r w:rsidR="000628B4">
          <w:rPr>
            <w:noProof/>
            <w:webHidden/>
          </w:rPr>
          <w:fldChar w:fldCharType="separate"/>
        </w:r>
        <w:r w:rsidR="00D6133D">
          <w:rPr>
            <w:noProof/>
            <w:webHidden/>
          </w:rPr>
          <w:t>513</w:t>
        </w:r>
        <w:r w:rsidR="000628B4">
          <w:rPr>
            <w:noProof/>
            <w:webHidden/>
          </w:rPr>
          <w:fldChar w:fldCharType="end"/>
        </w:r>
      </w:hyperlink>
    </w:p>
    <w:p w14:paraId="2AA09771" w14:textId="3F44D77B" w:rsidR="000628B4" w:rsidRDefault="00092C0F" w:rsidP="002320B3">
      <w:pPr>
        <w:pStyle w:val="TOC2"/>
        <w:tabs>
          <w:tab w:val="left" w:pos="720"/>
          <w:tab w:val="right" w:leader="dot" w:pos="9010"/>
        </w:tabs>
        <w:rPr>
          <w:rFonts w:eastAsiaTheme="minorEastAsia" w:cstheme="minorBidi"/>
          <w:smallCaps w:val="0"/>
          <w:noProof/>
          <w:sz w:val="22"/>
          <w:szCs w:val="22"/>
          <w:lang w:val="en-AU" w:eastAsia="en-AU"/>
        </w:rPr>
      </w:pPr>
      <w:hyperlink w:anchor="_Toc69820531" w:history="1">
        <w:r w:rsidR="000628B4" w:rsidRPr="001A4C08">
          <w:rPr>
            <w:rStyle w:val="Hyperlink"/>
            <w:rFonts w:asciiTheme="majorHAnsi" w:eastAsiaTheme="majorEastAsia" w:hAnsiTheme="majorHAnsi" w:cstheme="majorBidi"/>
            <w:noProof/>
            <w:lang w:val="en-US"/>
          </w:rPr>
          <w:t>39.</w:t>
        </w:r>
        <w:r w:rsidR="000628B4">
          <w:rPr>
            <w:rFonts w:eastAsiaTheme="minorEastAsia" w:cstheme="minorBidi"/>
            <w:smallCaps w:val="0"/>
            <w:noProof/>
            <w:sz w:val="22"/>
            <w:szCs w:val="22"/>
            <w:lang w:val="en-AU" w:eastAsia="en-AU"/>
          </w:rPr>
          <w:tab/>
        </w:r>
        <w:r w:rsidR="000628B4" w:rsidRPr="001A4C08">
          <w:rPr>
            <w:rStyle w:val="Hyperlink"/>
            <w:rFonts w:asciiTheme="majorHAnsi" w:eastAsiaTheme="majorEastAsia" w:hAnsiTheme="majorHAnsi" w:cstheme="majorBidi"/>
            <w:noProof/>
            <w:lang w:val="en-US"/>
          </w:rPr>
          <w:t>Figure Y-1.</w:t>
        </w:r>
        <w:r w:rsidR="00D434EB">
          <w:rPr>
            <w:rStyle w:val="Hyperlink"/>
            <w:rFonts w:asciiTheme="majorHAnsi" w:eastAsiaTheme="majorEastAsia" w:hAnsiTheme="majorHAnsi" w:cstheme="majorBidi"/>
            <w:noProof/>
            <w:lang w:val="en-US"/>
          </w:rPr>
          <w:t xml:space="preserve"> </w:t>
        </w:r>
        <w:r w:rsidR="000628B4" w:rsidRPr="001A4C08">
          <w:rPr>
            <w:rStyle w:val="Hyperlink"/>
            <w:rFonts w:asciiTheme="majorHAnsi" w:eastAsiaTheme="majorEastAsia" w:hAnsiTheme="majorHAnsi" w:cstheme="majorBidi"/>
            <w:noProof/>
            <w:lang w:val="en-US"/>
          </w:rPr>
          <w:t>Perceptions of PSHs on Knowledge and Usefulness of Program-supported Policies, 2019</w:t>
        </w:r>
        <w:r w:rsidR="000628B4">
          <w:rPr>
            <w:noProof/>
            <w:webHidden/>
          </w:rPr>
          <w:tab/>
        </w:r>
        <w:r w:rsidR="000628B4">
          <w:rPr>
            <w:noProof/>
            <w:webHidden/>
          </w:rPr>
          <w:fldChar w:fldCharType="begin"/>
        </w:r>
        <w:r w:rsidR="000628B4">
          <w:rPr>
            <w:noProof/>
            <w:webHidden/>
          </w:rPr>
          <w:instrText xml:space="preserve"> PAGEREF _Toc69820531 \h </w:instrText>
        </w:r>
        <w:r w:rsidR="000628B4">
          <w:rPr>
            <w:noProof/>
            <w:webHidden/>
          </w:rPr>
        </w:r>
        <w:r w:rsidR="000628B4">
          <w:rPr>
            <w:noProof/>
            <w:webHidden/>
          </w:rPr>
          <w:fldChar w:fldCharType="separate"/>
        </w:r>
        <w:r w:rsidR="00D6133D">
          <w:rPr>
            <w:noProof/>
            <w:webHidden/>
          </w:rPr>
          <w:t>513</w:t>
        </w:r>
        <w:r w:rsidR="000628B4">
          <w:rPr>
            <w:noProof/>
            <w:webHidden/>
          </w:rPr>
          <w:fldChar w:fldCharType="end"/>
        </w:r>
      </w:hyperlink>
    </w:p>
    <w:p w14:paraId="6DDE92BB" w14:textId="77C63279" w:rsidR="000628B4" w:rsidRDefault="00092C0F" w:rsidP="002320B3">
      <w:pPr>
        <w:pStyle w:val="TOC2"/>
        <w:tabs>
          <w:tab w:val="left" w:pos="720"/>
          <w:tab w:val="right" w:leader="dot" w:pos="9010"/>
        </w:tabs>
        <w:rPr>
          <w:rFonts w:eastAsiaTheme="minorEastAsia" w:cstheme="minorBidi"/>
          <w:smallCaps w:val="0"/>
          <w:noProof/>
          <w:sz w:val="22"/>
          <w:szCs w:val="22"/>
          <w:lang w:val="en-AU" w:eastAsia="en-AU"/>
        </w:rPr>
      </w:pPr>
      <w:hyperlink w:anchor="_Toc69820532" w:history="1">
        <w:r w:rsidR="000628B4" w:rsidRPr="001A4C08">
          <w:rPr>
            <w:rStyle w:val="Hyperlink"/>
            <w:rFonts w:asciiTheme="majorHAnsi" w:eastAsiaTheme="majorEastAsia" w:hAnsiTheme="majorHAnsi" w:cstheme="majorBidi"/>
            <w:noProof/>
            <w:lang w:val="en-US"/>
          </w:rPr>
          <w:t>40.</w:t>
        </w:r>
        <w:r w:rsidR="000628B4">
          <w:rPr>
            <w:rFonts w:eastAsiaTheme="minorEastAsia" w:cstheme="minorBidi"/>
            <w:smallCaps w:val="0"/>
            <w:noProof/>
            <w:sz w:val="22"/>
            <w:szCs w:val="22"/>
            <w:lang w:val="en-AU" w:eastAsia="en-AU"/>
          </w:rPr>
          <w:tab/>
        </w:r>
        <w:r w:rsidR="000628B4" w:rsidRPr="001A4C08">
          <w:rPr>
            <w:rStyle w:val="Hyperlink"/>
            <w:rFonts w:asciiTheme="majorHAnsi" w:eastAsiaTheme="majorEastAsia" w:hAnsiTheme="majorHAnsi" w:cstheme="majorBidi"/>
            <w:noProof/>
            <w:lang w:val="en-US"/>
          </w:rPr>
          <w:t>Figure Y-2. Perceptions of PSHs on Knowledge and Usefulness of Program-supported Policies, 2020</w:t>
        </w:r>
        <w:r w:rsidR="000628B4">
          <w:rPr>
            <w:noProof/>
            <w:webHidden/>
          </w:rPr>
          <w:tab/>
        </w:r>
        <w:r w:rsidR="000628B4">
          <w:rPr>
            <w:noProof/>
            <w:webHidden/>
          </w:rPr>
          <w:fldChar w:fldCharType="begin"/>
        </w:r>
        <w:r w:rsidR="000628B4">
          <w:rPr>
            <w:noProof/>
            <w:webHidden/>
          </w:rPr>
          <w:instrText xml:space="preserve"> PAGEREF _Toc69820532 \h </w:instrText>
        </w:r>
        <w:r w:rsidR="000628B4">
          <w:rPr>
            <w:noProof/>
            <w:webHidden/>
          </w:rPr>
        </w:r>
        <w:r w:rsidR="000628B4">
          <w:rPr>
            <w:noProof/>
            <w:webHidden/>
          </w:rPr>
          <w:fldChar w:fldCharType="separate"/>
        </w:r>
        <w:r w:rsidR="00D6133D">
          <w:rPr>
            <w:noProof/>
            <w:webHidden/>
          </w:rPr>
          <w:t>514</w:t>
        </w:r>
        <w:r w:rsidR="000628B4">
          <w:rPr>
            <w:noProof/>
            <w:webHidden/>
          </w:rPr>
          <w:fldChar w:fldCharType="end"/>
        </w:r>
      </w:hyperlink>
    </w:p>
    <w:p w14:paraId="0EAFF11E" w14:textId="415FC259" w:rsidR="000628B4" w:rsidRDefault="00092C0F" w:rsidP="002320B3">
      <w:pPr>
        <w:pStyle w:val="TOC1"/>
        <w:rPr>
          <w:rFonts w:eastAsiaTheme="minorEastAsia" w:cstheme="minorBidi"/>
          <w:b w:val="0"/>
          <w:bCs w:val="0"/>
          <w:caps w:val="0"/>
          <w:noProof/>
          <w:sz w:val="22"/>
          <w:szCs w:val="22"/>
          <w:lang w:val="en-AU" w:eastAsia="en-AU"/>
        </w:rPr>
      </w:pPr>
      <w:hyperlink w:anchor="_Toc69820533" w:history="1">
        <w:r w:rsidR="000628B4" w:rsidRPr="001A4C08">
          <w:rPr>
            <w:rStyle w:val="Hyperlink"/>
            <w:rFonts w:asciiTheme="majorHAnsi" w:eastAsiaTheme="majorEastAsia" w:hAnsiTheme="majorHAnsi" w:cstheme="majorBidi"/>
            <w:noProof/>
            <w:lang w:val="en-US"/>
          </w:rPr>
          <w:t>Annex Z. Composition of Evaluation Team</w:t>
        </w:r>
        <w:r w:rsidR="000628B4">
          <w:rPr>
            <w:noProof/>
            <w:webHidden/>
          </w:rPr>
          <w:tab/>
        </w:r>
        <w:r w:rsidR="000628B4">
          <w:rPr>
            <w:noProof/>
            <w:webHidden/>
          </w:rPr>
          <w:fldChar w:fldCharType="begin"/>
        </w:r>
        <w:r w:rsidR="000628B4">
          <w:rPr>
            <w:noProof/>
            <w:webHidden/>
          </w:rPr>
          <w:instrText xml:space="preserve"> PAGEREF _Toc69820533 \h </w:instrText>
        </w:r>
        <w:r w:rsidR="000628B4">
          <w:rPr>
            <w:noProof/>
            <w:webHidden/>
          </w:rPr>
        </w:r>
        <w:r w:rsidR="000628B4">
          <w:rPr>
            <w:noProof/>
            <w:webHidden/>
          </w:rPr>
          <w:fldChar w:fldCharType="separate"/>
        </w:r>
        <w:r w:rsidR="00D6133D">
          <w:rPr>
            <w:noProof/>
            <w:webHidden/>
          </w:rPr>
          <w:t>516</w:t>
        </w:r>
        <w:r w:rsidR="000628B4">
          <w:rPr>
            <w:noProof/>
            <w:webHidden/>
          </w:rPr>
          <w:fldChar w:fldCharType="end"/>
        </w:r>
      </w:hyperlink>
    </w:p>
    <w:p w14:paraId="13091C9E" w14:textId="495B01C6" w:rsidR="008D0CAD" w:rsidRDefault="008D0CAD" w:rsidP="002320B3">
      <w:pPr>
        <w:rPr>
          <w:rFonts w:ascii="Arial" w:hAnsi="Arial" w:cs="Arial"/>
          <w:b/>
          <w:color w:val="111111"/>
        </w:rPr>
      </w:pPr>
      <w:r>
        <w:rPr>
          <w:rFonts w:ascii="Candara" w:hAnsi="Candara"/>
          <w:sz w:val="22"/>
          <w:szCs w:val="22"/>
        </w:rPr>
        <w:fldChar w:fldCharType="end"/>
      </w:r>
    </w:p>
    <w:p w14:paraId="5F9B877A" w14:textId="77777777" w:rsidR="008D0CAD" w:rsidRPr="005C61E7" w:rsidRDefault="008D0CAD" w:rsidP="002320B3">
      <w:pPr>
        <w:spacing w:after="240"/>
        <w:rPr>
          <w:rFonts w:asciiTheme="majorHAnsi" w:hAnsiTheme="majorHAnsi" w:cstheme="majorHAnsi"/>
          <w:sz w:val="22"/>
          <w:szCs w:val="22"/>
        </w:rPr>
        <w:sectPr w:rsidR="008D0CAD" w:rsidRPr="005C61E7" w:rsidSect="009C64E9">
          <w:headerReference w:type="default" r:id="rId14"/>
          <w:pgSz w:w="11900" w:h="16840"/>
          <w:pgMar w:top="1440" w:right="1440" w:bottom="1440" w:left="1440" w:header="720" w:footer="1008" w:gutter="0"/>
          <w:pgNumType w:fmt="lowerRoman" w:start="1"/>
          <w:cols w:space="720"/>
          <w:titlePg/>
          <w:docGrid w:linePitch="360"/>
        </w:sectPr>
      </w:pPr>
    </w:p>
    <w:p w14:paraId="6CA9485B" w14:textId="77777777" w:rsidR="008D0CAD" w:rsidRPr="00541DD1" w:rsidRDefault="008D0CAD" w:rsidP="002320B3">
      <w:pPr>
        <w:pStyle w:val="Heading2"/>
        <w:numPr>
          <w:ilvl w:val="0"/>
          <w:numId w:val="0"/>
        </w:numPr>
        <w:ind w:left="568"/>
      </w:pPr>
      <w:bookmarkStart w:id="2" w:name="_Toc69820426"/>
      <w:bookmarkStart w:id="3" w:name="_Toc12711970"/>
      <w:bookmarkStart w:id="4" w:name="_Toc13216249"/>
      <w:r w:rsidRPr="00657BDD">
        <w:lastRenderedPageBreak/>
        <w:t>Acknowledgements</w:t>
      </w:r>
      <w:bookmarkStart w:id="5" w:name="_Toc10442128"/>
      <w:bookmarkEnd w:id="2"/>
    </w:p>
    <w:p w14:paraId="3549C09F" w14:textId="77777777" w:rsidR="008D0CAD" w:rsidRPr="00803795" w:rsidRDefault="008D0CAD" w:rsidP="002320B3">
      <w:pPr>
        <w:pStyle w:val="Heading2"/>
        <w:numPr>
          <w:ilvl w:val="0"/>
          <w:numId w:val="0"/>
        </w:numPr>
        <w:ind w:left="1288" w:hanging="720"/>
      </w:pPr>
      <w:r w:rsidRPr="00803795">
        <w:t>Salute</w:t>
      </w:r>
      <w:bookmarkEnd w:id="5"/>
      <w:r>
        <w:t>s</w:t>
      </w:r>
    </w:p>
    <w:p w14:paraId="696F6D73" w14:textId="52D0171D" w:rsidR="008D0CAD" w:rsidRPr="0067431D" w:rsidRDefault="008D0CAD" w:rsidP="002320B3">
      <w:pPr>
        <w:spacing w:before="100" w:beforeAutospacing="1" w:after="100" w:afterAutospacing="1" w:line="360" w:lineRule="auto"/>
        <w:rPr>
          <w:rFonts w:asciiTheme="majorHAnsi" w:hAnsiTheme="majorHAnsi" w:cstheme="majorHAnsi"/>
        </w:rPr>
      </w:pPr>
      <w:r w:rsidRPr="0067431D">
        <w:rPr>
          <w:rFonts w:asciiTheme="majorHAnsi" w:hAnsiTheme="majorHAnsi" w:cstheme="majorHAnsi"/>
        </w:rPr>
        <w:t xml:space="preserve">The End-of-Program Evaluation (EOPE) of the BEST Program was effectively conducted from March </w:t>
      </w:r>
      <w:r>
        <w:rPr>
          <w:rFonts w:asciiTheme="majorHAnsi" w:hAnsiTheme="majorHAnsi" w:cstheme="majorHAnsi"/>
        </w:rPr>
        <w:t xml:space="preserve">2019 </w:t>
      </w:r>
      <w:r w:rsidRPr="0067431D">
        <w:rPr>
          <w:rFonts w:asciiTheme="majorHAnsi" w:hAnsiTheme="majorHAnsi" w:cstheme="majorHAnsi"/>
        </w:rPr>
        <w:t>to May 20</w:t>
      </w:r>
      <w:r>
        <w:rPr>
          <w:rFonts w:asciiTheme="majorHAnsi" w:hAnsiTheme="majorHAnsi" w:cstheme="majorHAnsi"/>
        </w:rPr>
        <w:t>20</w:t>
      </w:r>
      <w:r w:rsidRPr="0067431D">
        <w:rPr>
          <w:rFonts w:asciiTheme="majorHAnsi" w:hAnsiTheme="majorHAnsi" w:cstheme="majorHAnsi"/>
        </w:rPr>
        <w:t xml:space="preserve">. It was a time when all the </w:t>
      </w:r>
      <w:r>
        <w:rPr>
          <w:rFonts w:asciiTheme="majorHAnsi" w:hAnsiTheme="majorHAnsi" w:cstheme="majorHAnsi"/>
        </w:rPr>
        <w:t>Department of Education (DepEd)</w:t>
      </w:r>
      <w:r w:rsidRPr="0067431D">
        <w:rPr>
          <w:rFonts w:asciiTheme="majorHAnsi" w:hAnsiTheme="majorHAnsi" w:cstheme="majorHAnsi"/>
        </w:rPr>
        <w:t xml:space="preserve"> people from the Central Office down to the schools were preoccupied with end</w:t>
      </w:r>
      <w:r>
        <w:rPr>
          <w:rFonts w:asciiTheme="majorHAnsi" w:hAnsiTheme="majorHAnsi" w:cstheme="majorHAnsi"/>
        </w:rPr>
        <w:t>-</w:t>
      </w:r>
      <w:r w:rsidRPr="0067431D">
        <w:rPr>
          <w:rFonts w:asciiTheme="majorHAnsi" w:hAnsiTheme="majorHAnsi" w:cstheme="majorHAnsi"/>
        </w:rPr>
        <w:t>of</w:t>
      </w:r>
      <w:r>
        <w:rPr>
          <w:rFonts w:asciiTheme="majorHAnsi" w:hAnsiTheme="majorHAnsi" w:cstheme="majorHAnsi"/>
        </w:rPr>
        <w:t>-</w:t>
      </w:r>
      <w:r w:rsidRPr="0067431D">
        <w:rPr>
          <w:rFonts w:asciiTheme="majorHAnsi" w:hAnsiTheme="majorHAnsi" w:cstheme="majorHAnsi"/>
        </w:rPr>
        <w:t>school year concerns and activities.</w:t>
      </w:r>
    </w:p>
    <w:p w14:paraId="72C6BEDF" w14:textId="14139877" w:rsidR="008D0CAD" w:rsidRDefault="008D0CAD" w:rsidP="002320B3">
      <w:pPr>
        <w:spacing w:before="100" w:beforeAutospacing="1" w:after="100" w:afterAutospacing="1" w:line="360" w:lineRule="auto"/>
        <w:rPr>
          <w:rFonts w:asciiTheme="majorHAnsi" w:hAnsiTheme="majorHAnsi" w:cstheme="majorHAnsi"/>
        </w:rPr>
      </w:pPr>
      <w:r w:rsidRPr="0067431D">
        <w:rPr>
          <w:rFonts w:asciiTheme="majorHAnsi" w:hAnsiTheme="majorHAnsi" w:cstheme="majorHAnsi"/>
        </w:rPr>
        <w:t>As development managers ourselves, we greatly appreciate</w:t>
      </w:r>
      <w:r>
        <w:rPr>
          <w:rFonts w:asciiTheme="majorHAnsi" w:hAnsiTheme="majorHAnsi" w:cstheme="majorHAnsi"/>
        </w:rPr>
        <w:t>d</w:t>
      </w:r>
      <w:r w:rsidRPr="0067431D">
        <w:rPr>
          <w:rFonts w:asciiTheme="majorHAnsi" w:hAnsiTheme="majorHAnsi" w:cstheme="majorHAnsi"/>
        </w:rPr>
        <w:t xml:space="preserve"> the </w:t>
      </w:r>
      <w:r>
        <w:rPr>
          <w:rFonts w:asciiTheme="majorHAnsi" w:hAnsiTheme="majorHAnsi" w:cstheme="majorHAnsi"/>
        </w:rPr>
        <w:t>support</w:t>
      </w:r>
      <w:r w:rsidRPr="0067431D">
        <w:rPr>
          <w:rFonts w:asciiTheme="majorHAnsi" w:hAnsiTheme="majorHAnsi" w:cstheme="majorHAnsi"/>
        </w:rPr>
        <w:t xml:space="preserve"> of the Australian Government’s </w:t>
      </w:r>
      <w:r w:rsidRPr="0067431D">
        <w:rPr>
          <w:rFonts w:asciiTheme="majorHAnsi" w:hAnsiTheme="majorHAnsi" w:cstheme="majorHAnsi"/>
          <w:color w:val="000000"/>
          <w:lang w:eastAsia="en-PH"/>
        </w:rPr>
        <w:t xml:space="preserve">Department of Foreign Affairs and Trade </w:t>
      </w:r>
      <w:r>
        <w:rPr>
          <w:rFonts w:asciiTheme="majorHAnsi" w:hAnsiTheme="majorHAnsi" w:cstheme="majorHAnsi"/>
          <w:color w:val="000000"/>
          <w:lang w:eastAsia="en-PH"/>
        </w:rPr>
        <w:t xml:space="preserve">(DFAT) </w:t>
      </w:r>
      <w:r w:rsidRPr="0067431D">
        <w:rPr>
          <w:rFonts w:asciiTheme="majorHAnsi" w:hAnsiTheme="majorHAnsi" w:cstheme="majorHAnsi"/>
          <w:color w:val="000000"/>
          <w:lang w:eastAsia="en-PH"/>
        </w:rPr>
        <w:t xml:space="preserve">and the </w:t>
      </w:r>
      <w:r>
        <w:rPr>
          <w:rFonts w:asciiTheme="majorHAnsi" w:hAnsiTheme="majorHAnsi" w:cstheme="majorHAnsi"/>
          <w:color w:val="000000"/>
          <w:lang w:eastAsia="en-PH"/>
        </w:rPr>
        <w:t xml:space="preserve">work of the </w:t>
      </w:r>
      <w:r w:rsidRPr="0067431D">
        <w:rPr>
          <w:rFonts w:asciiTheme="majorHAnsi" w:hAnsiTheme="majorHAnsi" w:cstheme="majorHAnsi"/>
          <w:color w:val="000000"/>
          <w:lang w:eastAsia="en-PH"/>
        </w:rPr>
        <w:t>Philippine Government’s Department of Education</w:t>
      </w:r>
      <w:r>
        <w:rPr>
          <w:rFonts w:asciiTheme="majorHAnsi" w:hAnsiTheme="majorHAnsi" w:cstheme="majorHAnsi"/>
          <w:color w:val="000000"/>
          <w:lang w:eastAsia="en-PH"/>
        </w:rPr>
        <w:t xml:space="preserve"> (DepEd)</w:t>
      </w:r>
      <w:r w:rsidRPr="0067431D">
        <w:rPr>
          <w:rFonts w:asciiTheme="majorHAnsi" w:hAnsiTheme="majorHAnsi" w:cstheme="majorHAnsi"/>
          <w:color w:val="000000"/>
          <w:lang w:eastAsia="en-PH"/>
        </w:rPr>
        <w:t xml:space="preserve"> in</w:t>
      </w:r>
      <w:r>
        <w:rPr>
          <w:rFonts w:asciiTheme="majorHAnsi" w:hAnsiTheme="majorHAnsi" w:cstheme="majorHAnsi"/>
          <w:color w:val="000000"/>
          <w:lang w:eastAsia="en-PH"/>
        </w:rPr>
        <w:t xml:space="preserve"> working towards the transformation of</w:t>
      </w:r>
      <w:r w:rsidRPr="0067431D">
        <w:rPr>
          <w:rFonts w:asciiTheme="majorHAnsi" w:hAnsiTheme="majorHAnsi" w:cstheme="majorHAnsi"/>
          <w:color w:val="000000"/>
          <w:lang w:eastAsia="en-PH"/>
        </w:rPr>
        <w:t xml:space="preserve"> the Philippine basic education sector.</w:t>
      </w:r>
    </w:p>
    <w:p w14:paraId="4D957902" w14:textId="23E3A512" w:rsidR="008D0CAD" w:rsidRDefault="008D0CAD" w:rsidP="002320B3">
      <w:pPr>
        <w:spacing w:before="100" w:beforeAutospacing="1" w:after="100" w:afterAutospacing="1" w:line="360" w:lineRule="auto"/>
        <w:rPr>
          <w:rFonts w:asciiTheme="majorHAnsi" w:hAnsiTheme="majorHAnsi" w:cstheme="majorHAnsi"/>
        </w:rPr>
      </w:pPr>
      <w:r w:rsidRPr="00D42946">
        <w:rPr>
          <w:rFonts w:asciiTheme="majorHAnsi" w:hAnsiTheme="majorHAnsi" w:cstheme="majorHAnsi"/>
        </w:rPr>
        <w:t xml:space="preserve">Foremost, the BEST EOPE </w:t>
      </w:r>
      <w:r>
        <w:rPr>
          <w:rFonts w:asciiTheme="majorHAnsi" w:hAnsiTheme="majorHAnsi" w:cstheme="majorHAnsi"/>
        </w:rPr>
        <w:t xml:space="preserve">Study </w:t>
      </w:r>
      <w:r w:rsidRPr="00D42946">
        <w:rPr>
          <w:rFonts w:asciiTheme="majorHAnsi" w:hAnsiTheme="majorHAnsi" w:cstheme="majorHAnsi"/>
        </w:rPr>
        <w:t>Team would like to express gratitude to the</w:t>
      </w:r>
      <w:r>
        <w:rPr>
          <w:rFonts w:asciiTheme="majorHAnsi" w:hAnsiTheme="majorHAnsi" w:cstheme="majorHAnsi"/>
        </w:rPr>
        <w:t xml:space="preserve"> current</w:t>
      </w:r>
      <w:r w:rsidRPr="00D42946">
        <w:rPr>
          <w:rFonts w:asciiTheme="majorHAnsi" w:hAnsiTheme="majorHAnsi" w:cstheme="majorHAnsi"/>
        </w:rPr>
        <w:t xml:space="preserve"> </w:t>
      </w:r>
      <w:r>
        <w:rPr>
          <w:rFonts w:asciiTheme="majorHAnsi" w:hAnsiTheme="majorHAnsi" w:cstheme="majorHAnsi"/>
        </w:rPr>
        <w:t>DepEd</w:t>
      </w:r>
      <w:r w:rsidRPr="00D42946">
        <w:rPr>
          <w:rFonts w:asciiTheme="majorHAnsi" w:hAnsiTheme="majorHAnsi" w:cstheme="majorHAnsi"/>
        </w:rPr>
        <w:t xml:space="preserve"> </w:t>
      </w:r>
      <w:r w:rsidRPr="00D42946">
        <w:rPr>
          <w:rFonts w:asciiTheme="majorHAnsi" w:hAnsiTheme="majorHAnsi" w:cstheme="majorHAnsi"/>
          <w:color w:val="0A0A0A"/>
          <w:shd w:val="clear" w:color="auto" w:fill="FCFCFC"/>
        </w:rPr>
        <w:t>Secretary</w:t>
      </w:r>
      <w:r>
        <w:rPr>
          <w:rFonts w:asciiTheme="majorHAnsi" w:hAnsiTheme="majorHAnsi" w:cstheme="majorHAnsi"/>
          <w:color w:val="0A0A0A"/>
          <w:shd w:val="clear" w:color="auto" w:fill="FCFCFC"/>
        </w:rPr>
        <w:t xml:space="preserve"> and</w:t>
      </w:r>
      <w:r w:rsidRPr="00D42946">
        <w:rPr>
          <w:rFonts w:asciiTheme="majorHAnsi" w:hAnsiTheme="majorHAnsi" w:cstheme="majorHAnsi"/>
        </w:rPr>
        <w:t xml:space="preserve"> the Executive Sponsor for the BEST Program for </w:t>
      </w:r>
      <w:r>
        <w:rPr>
          <w:rFonts w:asciiTheme="majorHAnsi" w:hAnsiTheme="majorHAnsi" w:cstheme="majorHAnsi"/>
        </w:rPr>
        <w:t>their</w:t>
      </w:r>
      <w:r w:rsidRPr="00D42946">
        <w:rPr>
          <w:rFonts w:asciiTheme="majorHAnsi" w:hAnsiTheme="majorHAnsi" w:cstheme="majorHAnsi"/>
        </w:rPr>
        <w:t xml:space="preserve"> pragmatic perspectives on program implementation and for “trusting that the system works”.</w:t>
      </w:r>
      <w:r w:rsidR="00D434EB">
        <w:rPr>
          <w:rFonts w:asciiTheme="majorHAnsi" w:hAnsiTheme="majorHAnsi" w:cstheme="majorHAnsi"/>
          <w:color w:val="0A0A0A"/>
          <w:shd w:val="clear" w:color="auto" w:fill="FCFCFC"/>
        </w:rPr>
        <w:t xml:space="preserve"> </w:t>
      </w:r>
      <w:r>
        <w:rPr>
          <w:rFonts w:asciiTheme="majorHAnsi" w:hAnsiTheme="majorHAnsi" w:cstheme="majorHAnsi"/>
        </w:rPr>
        <w:t>Likewise, we thank the former DepEd</w:t>
      </w:r>
      <w:r w:rsidRPr="00D42946">
        <w:rPr>
          <w:rFonts w:asciiTheme="majorHAnsi" w:hAnsiTheme="majorHAnsi" w:cstheme="majorHAnsi"/>
        </w:rPr>
        <w:t xml:space="preserve"> </w:t>
      </w:r>
      <w:r w:rsidRPr="00D42946">
        <w:rPr>
          <w:rFonts w:asciiTheme="majorHAnsi" w:hAnsiTheme="majorHAnsi" w:cstheme="majorHAnsi"/>
          <w:color w:val="0A0A0A"/>
          <w:shd w:val="clear" w:color="auto" w:fill="FCFCFC"/>
        </w:rPr>
        <w:t>Secretary</w:t>
      </w:r>
      <w:r>
        <w:rPr>
          <w:rFonts w:asciiTheme="majorHAnsi" w:hAnsiTheme="majorHAnsi" w:cstheme="majorHAnsi"/>
          <w:color w:val="0A0A0A"/>
          <w:shd w:val="clear" w:color="auto" w:fill="FCFCFC"/>
        </w:rPr>
        <w:t xml:space="preserve"> and</w:t>
      </w:r>
      <w:r w:rsidRPr="00D42946">
        <w:rPr>
          <w:rFonts w:asciiTheme="majorHAnsi" w:hAnsiTheme="majorHAnsi" w:cstheme="majorHAnsi"/>
        </w:rPr>
        <w:t xml:space="preserve"> the </w:t>
      </w:r>
      <w:r>
        <w:rPr>
          <w:rFonts w:asciiTheme="majorHAnsi" w:hAnsiTheme="majorHAnsi" w:cstheme="majorHAnsi"/>
        </w:rPr>
        <w:t xml:space="preserve">former </w:t>
      </w:r>
      <w:r w:rsidRPr="00D42946">
        <w:rPr>
          <w:rFonts w:asciiTheme="majorHAnsi" w:hAnsiTheme="majorHAnsi" w:cstheme="majorHAnsi"/>
        </w:rPr>
        <w:t>Executive Sponsor for the BEST Program</w:t>
      </w:r>
      <w:r>
        <w:rPr>
          <w:rFonts w:asciiTheme="majorHAnsi" w:hAnsiTheme="majorHAnsi" w:cstheme="majorHAnsi"/>
        </w:rPr>
        <w:t xml:space="preserve"> for giving their time and insights on the Program.</w:t>
      </w:r>
    </w:p>
    <w:p w14:paraId="7A500F46" w14:textId="1328DCB0" w:rsidR="008D0CAD" w:rsidRPr="00D42946" w:rsidRDefault="008D0CAD" w:rsidP="002320B3">
      <w:pPr>
        <w:spacing w:before="100" w:beforeAutospacing="1" w:after="100" w:afterAutospacing="1" w:line="360" w:lineRule="auto"/>
        <w:rPr>
          <w:rFonts w:asciiTheme="majorHAnsi" w:hAnsiTheme="majorHAnsi" w:cstheme="majorHAnsi"/>
        </w:rPr>
      </w:pPr>
      <w:r w:rsidRPr="00D42946">
        <w:rPr>
          <w:rFonts w:asciiTheme="majorHAnsi" w:hAnsiTheme="majorHAnsi" w:cstheme="majorHAnsi"/>
        </w:rPr>
        <w:t xml:space="preserve">The BEST EOPE Team would also like to express their gratitude to the various representatives of the </w:t>
      </w:r>
      <w:r>
        <w:rPr>
          <w:rFonts w:asciiTheme="majorHAnsi" w:hAnsiTheme="majorHAnsi" w:cstheme="majorHAnsi"/>
        </w:rPr>
        <w:t>DepEd</w:t>
      </w:r>
      <w:r w:rsidRPr="00D42946">
        <w:rPr>
          <w:rFonts w:asciiTheme="majorHAnsi" w:hAnsiTheme="majorHAnsi" w:cstheme="majorHAnsi"/>
        </w:rPr>
        <w:t xml:space="preserve"> operating units, the Bureaus and Services and their attendant divisions.</w:t>
      </w:r>
      <w:r w:rsidR="00D434EB">
        <w:rPr>
          <w:rFonts w:asciiTheme="majorHAnsi" w:hAnsiTheme="majorHAnsi" w:cstheme="majorHAnsi"/>
        </w:rPr>
        <w:t xml:space="preserve"> </w:t>
      </w:r>
      <w:r w:rsidRPr="00D42946">
        <w:rPr>
          <w:rFonts w:asciiTheme="majorHAnsi" w:hAnsiTheme="majorHAnsi" w:cstheme="majorHAnsi"/>
        </w:rPr>
        <w:t>Their insights were very helpful in placing the evaluation in the proper frame of vision.</w:t>
      </w:r>
      <w:r w:rsidR="00D434EB">
        <w:rPr>
          <w:rFonts w:asciiTheme="majorHAnsi" w:hAnsiTheme="majorHAnsi" w:cstheme="majorHAnsi"/>
        </w:rPr>
        <w:t xml:space="preserve"> </w:t>
      </w:r>
      <w:r>
        <w:rPr>
          <w:rFonts w:asciiTheme="majorHAnsi" w:hAnsiTheme="majorHAnsi" w:cstheme="majorHAnsi"/>
        </w:rPr>
        <w:t>Special thanks</w:t>
      </w:r>
      <w:r w:rsidRPr="00D42946">
        <w:rPr>
          <w:rFonts w:asciiTheme="majorHAnsi" w:hAnsiTheme="majorHAnsi" w:cstheme="majorHAnsi"/>
        </w:rPr>
        <w:t xml:space="preserve"> to the </w:t>
      </w:r>
      <w:r w:rsidRPr="00D42946">
        <w:rPr>
          <w:rFonts w:asciiTheme="majorHAnsi" w:hAnsiTheme="majorHAnsi" w:cstheme="majorHAnsi"/>
          <w:color w:val="000000"/>
        </w:rPr>
        <w:t>Project Management Service - Project Development Division</w:t>
      </w:r>
      <w:r>
        <w:rPr>
          <w:rFonts w:asciiTheme="majorHAnsi" w:hAnsiTheme="majorHAnsi" w:cstheme="majorHAnsi"/>
        </w:rPr>
        <w:t xml:space="preserve"> for</w:t>
      </w:r>
      <w:r w:rsidRPr="00D42946">
        <w:rPr>
          <w:rFonts w:asciiTheme="majorHAnsi" w:hAnsiTheme="majorHAnsi" w:cstheme="majorHAnsi"/>
        </w:rPr>
        <w:t xml:space="preserve"> </w:t>
      </w:r>
      <w:r>
        <w:rPr>
          <w:rFonts w:asciiTheme="majorHAnsi" w:hAnsiTheme="majorHAnsi" w:cstheme="majorHAnsi"/>
        </w:rPr>
        <w:t xml:space="preserve">their </w:t>
      </w:r>
      <w:r w:rsidRPr="00D42946">
        <w:rPr>
          <w:rFonts w:asciiTheme="majorHAnsi" w:hAnsiTheme="majorHAnsi" w:cstheme="majorHAnsi"/>
        </w:rPr>
        <w:t xml:space="preserve">tremendous support </w:t>
      </w:r>
      <w:r>
        <w:rPr>
          <w:rFonts w:asciiTheme="majorHAnsi" w:hAnsiTheme="majorHAnsi" w:cstheme="majorHAnsi"/>
        </w:rPr>
        <w:t xml:space="preserve">in </w:t>
      </w:r>
      <w:r w:rsidRPr="00D42946">
        <w:rPr>
          <w:rFonts w:asciiTheme="majorHAnsi" w:hAnsiTheme="majorHAnsi" w:cstheme="majorHAnsi"/>
        </w:rPr>
        <w:t>facilitat</w:t>
      </w:r>
      <w:r>
        <w:rPr>
          <w:rFonts w:asciiTheme="majorHAnsi" w:hAnsiTheme="majorHAnsi" w:cstheme="majorHAnsi"/>
        </w:rPr>
        <w:t>ing</w:t>
      </w:r>
      <w:r w:rsidRPr="00D42946">
        <w:rPr>
          <w:rFonts w:asciiTheme="majorHAnsi" w:hAnsiTheme="majorHAnsi" w:cstheme="majorHAnsi"/>
        </w:rPr>
        <w:t xml:space="preserve"> the </w:t>
      </w:r>
      <w:r>
        <w:rPr>
          <w:rFonts w:asciiTheme="majorHAnsi" w:hAnsiTheme="majorHAnsi" w:cstheme="majorHAnsi"/>
        </w:rPr>
        <w:t>issuance of the DepEd</w:t>
      </w:r>
      <w:r w:rsidRPr="00D42946">
        <w:rPr>
          <w:rFonts w:asciiTheme="majorHAnsi" w:hAnsiTheme="majorHAnsi" w:cstheme="majorHAnsi"/>
        </w:rPr>
        <w:t xml:space="preserve"> Memo th</w:t>
      </w:r>
      <w:r>
        <w:rPr>
          <w:rFonts w:asciiTheme="majorHAnsi" w:hAnsiTheme="majorHAnsi" w:cstheme="majorHAnsi"/>
        </w:rPr>
        <w:t>at underpinned the data collection</w:t>
      </w:r>
      <w:r w:rsidRPr="00D42946">
        <w:rPr>
          <w:rFonts w:asciiTheme="majorHAnsi" w:hAnsiTheme="majorHAnsi" w:cstheme="majorHAnsi"/>
        </w:rPr>
        <w:t xml:space="preserve"> </w:t>
      </w:r>
      <w:r>
        <w:rPr>
          <w:rFonts w:asciiTheme="majorHAnsi" w:hAnsiTheme="majorHAnsi" w:cstheme="majorHAnsi"/>
        </w:rPr>
        <w:t xml:space="preserve">for the </w:t>
      </w:r>
      <w:r w:rsidRPr="00D42946">
        <w:rPr>
          <w:rFonts w:asciiTheme="majorHAnsi" w:hAnsiTheme="majorHAnsi" w:cstheme="majorHAnsi"/>
        </w:rPr>
        <w:t xml:space="preserve">study, </w:t>
      </w:r>
      <w:r>
        <w:rPr>
          <w:rFonts w:asciiTheme="majorHAnsi" w:hAnsiTheme="majorHAnsi" w:cstheme="majorHAnsi"/>
        </w:rPr>
        <w:t>for assisting in coordination with the Regional Offices</w:t>
      </w:r>
      <w:r w:rsidRPr="00D42946">
        <w:rPr>
          <w:rFonts w:asciiTheme="majorHAnsi" w:hAnsiTheme="majorHAnsi" w:cstheme="majorHAnsi"/>
        </w:rPr>
        <w:t xml:space="preserve"> and for being part of the reference group for this study</w:t>
      </w:r>
      <w:r>
        <w:rPr>
          <w:rFonts w:asciiTheme="majorHAnsi" w:hAnsiTheme="majorHAnsi" w:cstheme="majorHAnsi"/>
        </w:rPr>
        <w:t>.</w:t>
      </w:r>
    </w:p>
    <w:p w14:paraId="6C66F08E" w14:textId="77777777" w:rsidR="008D0CAD" w:rsidRPr="0067431D" w:rsidRDefault="008D0CAD" w:rsidP="002320B3">
      <w:pPr>
        <w:spacing w:before="100" w:beforeAutospacing="1" w:after="100" w:afterAutospacing="1" w:line="360" w:lineRule="auto"/>
        <w:rPr>
          <w:rFonts w:asciiTheme="majorHAnsi" w:hAnsiTheme="majorHAnsi" w:cstheme="majorHAnsi"/>
        </w:rPr>
      </w:pPr>
      <w:r>
        <w:rPr>
          <w:rFonts w:asciiTheme="majorHAnsi" w:hAnsiTheme="majorHAnsi" w:cstheme="majorHAnsi"/>
        </w:rPr>
        <w:t xml:space="preserve">Special thanks are given to the representatives of </w:t>
      </w:r>
      <w:r w:rsidRPr="0067431D">
        <w:rPr>
          <w:rFonts w:asciiTheme="majorHAnsi" w:hAnsiTheme="majorHAnsi" w:cstheme="majorHAnsi"/>
        </w:rPr>
        <w:t>the BEST partner</w:t>
      </w:r>
      <w:r>
        <w:rPr>
          <w:rFonts w:asciiTheme="majorHAnsi" w:hAnsiTheme="majorHAnsi" w:cstheme="majorHAnsi"/>
        </w:rPr>
        <w:t xml:space="preserve"> implementer</w:t>
      </w:r>
      <w:r w:rsidRPr="0067431D">
        <w:rPr>
          <w:rFonts w:asciiTheme="majorHAnsi" w:hAnsiTheme="majorHAnsi" w:cstheme="majorHAnsi"/>
        </w:rPr>
        <w:t>s</w:t>
      </w:r>
      <w:r>
        <w:rPr>
          <w:rFonts w:asciiTheme="majorHAnsi" w:hAnsiTheme="majorHAnsi" w:cstheme="majorHAnsi"/>
        </w:rPr>
        <w:t>–– the Philippines Business for Social Progress (PBSP), the Research Center for Teacher Quality (RCTQ), the Assessment, Curriculum and Technology Research Center (ACTRC) and the Philippines Business for Education (PBEd)–</w:t>
      </w:r>
      <w:r w:rsidRPr="0067431D">
        <w:rPr>
          <w:rFonts w:asciiTheme="majorHAnsi" w:hAnsiTheme="majorHAnsi" w:cstheme="majorHAnsi"/>
        </w:rPr>
        <w:t xml:space="preserve">who generously shared their insights, experiences, analyses, documents and other inputs </w:t>
      </w:r>
      <w:r>
        <w:rPr>
          <w:rFonts w:asciiTheme="majorHAnsi" w:hAnsiTheme="majorHAnsi" w:cstheme="majorHAnsi"/>
        </w:rPr>
        <w:t>during</w:t>
      </w:r>
      <w:r w:rsidRPr="0067431D">
        <w:rPr>
          <w:rFonts w:asciiTheme="majorHAnsi" w:hAnsiTheme="majorHAnsi" w:cstheme="majorHAnsi"/>
        </w:rPr>
        <w:t xml:space="preserve"> the </w:t>
      </w:r>
      <w:r>
        <w:rPr>
          <w:rFonts w:asciiTheme="majorHAnsi" w:hAnsiTheme="majorHAnsi" w:cstheme="majorHAnsi"/>
        </w:rPr>
        <w:t>Key Informat Interviews (</w:t>
      </w:r>
      <w:r w:rsidRPr="0067431D">
        <w:rPr>
          <w:rFonts w:asciiTheme="majorHAnsi" w:hAnsiTheme="majorHAnsi" w:cstheme="majorHAnsi"/>
        </w:rPr>
        <w:t>KIIs</w:t>
      </w:r>
      <w:r>
        <w:rPr>
          <w:rFonts w:asciiTheme="majorHAnsi" w:hAnsiTheme="majorHAnsi" w:cstheme="majorHAnsi"/>
        </w:rPr>
        <w:t>)</w:t>
      </w:r>
      <w:r w:rsidRPr="0067431D">
        <w:rPr>
          <w:rFonts w:asciiTheme="majorHAnsi" w:hAnsiTheme="majorHAnsi" w:cstheme="majorHAnsi"/>
        </w:rPr>
        <w:t xml:space="preserve">. </w:t>
      </w:r>
    </w:p>
    <w:p w14:paraId="442768CD" w14:textId="77777777" w:rsidR="008D0CAD" w:rsidRPr="0067431D" w:rsidRDefault="008D0CAD" w:rsidP="002320B3">
      <w:pPr>
        <w:spacing w:before="100" w:beforeAutospacing="1" w:after="100" w:afterAutospacing="1" w:line="360" w:lineRule="auto"/>
        <w:rPr>
          <w:rFonts w:asciiTheme="majorHAnsi" w:hAnsiTheme="majorHAnsi" w:cstheme="majorHAnsi"/>
        </w:rPr>
      </w:pPr>
      <w:r w:rsidRPr="0067431D">
        <w:rPr>
          <w:rFonts w:asciiTheme="majorHAnsi" w:hAnsiTheme="majorHAnsi" w:cstheme="majorHAnsi"/>
        </w:rPr>
        <w:t>During field data collection</w:t>
      </w:r>
      <w:r>
        <w:rPr>
          <w:rFonts w:asciiTheme="majorHAnsi" w:hAnsiTheme="majorHAnsi" w:cstheme="majorHAnsi"/>
        </w:rPr>
        <w:t xml:space="preserve"> conducted</w:t>
      </w:r>
      <w:r w:rsidRPr="0067431D">
        <w:rPr>
          <w:rFonts w:asciiTheme="majorHAnsi" w:hAnsiTheme="majorHAnsi" w:cstheme="majorHAnsi"/>
        </w:rPr>
        <w:t xml:space="preserve"> in six</w:t>
      </w:r>
      <w:r>
        <w:rPr>
          <w:rFonts w:asciiTheme="majorHAnsi" w:hAnsiTheme="majorHAnsi" w:cstheme="majorHAnsi"/>
        </w:rPr>
        <w:t xml:space="preserve"> regions</w:t>
      </w:r>
      <w:r w:rsidRPr="0067431D">
        <w:rPr>
          <w:rFonts w:asciiTheme="majorHAnsi" w:hAnsiTheme="majorHAnsi" w:cstheme="majorHAnsi"/>
        </w:rPr>
        <w:t>, 14 Divisions and 106 elementary schools</w:t>
      </w:r>
      <w:r>
        <w:rPr>
          <w:rFonts w:asciiTheme="majorHAnsi" w:hAnsiTheme="majorHAnsi" w:cstheme="majorHAnsi"/>
        </w:rPr>
        <w:t xml:space="preserve">, </w:t>
      </w:r>
      <w:r w:rsidRPr="0067431D">
        <w:rPr>
          <w:rFonts w:asciiTheme="majorHAnsi" w:hAnsiTheme="majorHAnsi" w:cstheme="majorHAnsi"/>
        </w:rPr>
        <w:t>the Regional EOPE Team</w:t>
      </w:r>
      <w:r>
        <w:rPr>
          <w:rFonts w:asciiTheme="majorHAnsi" w:hAnsiTheme="majorHAnsi" w:cstheme="majorHAnsi"/>
        </w:rPr>
        <w:t xml:space="preserve">s </w:t>
      </w:r>
      <w:r w:rsidRPr="0067431D">
        <w:rPr>
          <w:rFonts w:asciiTheme="majorHAnsi" w:hAnsiTheme="majorHAnsi" w:cstheme="majorHAnsi"/>
        </w:rPr>
        <w:t xml:space="preserve">were struck by the commitment </w:t>
      </w:r>
      <w:r>
        <w:rPr>
          <w:rFonts w:asciiTheme="majorHAnsi" w:hAnsiTheme="majorHAnsi" w:cstheme="majorHAnsi"/>
        </w:rPr>
        <w:t>of the people they engaged</w:t>
      </w:r>
      <w:r w:rsidRPr="0067431D">
        <w:rPr>
          <w:rFonts w:asciiTheme="majorHAnsi" w:hAnsiTheme="majorHAnsi" w:cstheme="majorHAnsi"/>
        </w:rPr>
        <w:t xml:space="preserve">. We thank them for their indispensable contribution to this evaluation and our findings. At the Regional and Division levels, we express </w:t>
      </w:r>
      <w:r>
        <w:rPr>
          <w:rFonts w:asciiTheme="majorHAnsi" w:hAnsiTheme="majorHAnsi" w:cstheme="majorHAnsi"/>
        </w:rPr>
        <w:t>our gratitude for giving us their time for the Focus Group Discussions (FGDs) and KIIs, and w</w:t>
      </w:r>
      <w:r w:rsidRPr="0067431D">
        <w:rPr>
          <w:rFonts w:asciiTheme="majorHAnsi" w:hAnsiTheme="majorHAnsi" w:cstheme="majorHAnsi"/>
        </w:rPr>
        <w:t xml:space="preserve">e are particularly grateful for their assistance </w:t>
      </w:r>
      <w:r>
        <w:rPr>
          <w:rFonts w:asciiTheme="majorHAnsi" w:hAnsiTheme="majorHAnsi" w:cstheme="majorHAnsi"/>
        </w:rPr>
        <w:t>in facilitating</w:t>
      </w:r>
      <w:r w:rsidRPr="0067431D">
        <w:rPr>
          <w:rFonts w:asciiTheme="majorHAnsi" w:hAnsiTheme="majorHAnsi" w:cstheme="majorHAnsi"/>
        </w:rPr>
        <w:t xml:space="preserve"> the EOPE study </w:t>
      </w:r>
      <w:r>
        <w:rPr>
          <w:rFonts w:asciiTheme="majorHAnsi" w:hAnsiTheme="majorHAnsi" w:cstheme="majorHAnsi"/>
        </w:rPr>
        <w:t>activities</w:t>
      </w:r>
      <w:r w:rsidRPr="0067431D">
        <w:rPr>
          <w:rFonts w:asciiTheme="majorHAnsi" w:hAnsiTheme="majorHAnsi" w:cstheme="majorHAnsi"/>
        </w:rPr>
        <w:t xml:space="preserve"> </w:t>
      </w:r>
      <w:r>
        <w:rPr>
          <w:rFonts w:asciiTheme="majorHAnsi" w:hAnsiTheme="majorHAnsi" w:cstheme="majorHAnsi"/>
        </w:rPr>
        <w:t>with the schools</w:t>
      </w:r>
      <w:r w:rsidRPr="0067431D">
        <w:rPr>
          <w:rFonts w:asciiTheme="majorHAnsi" w:hAnsiTheme="majorHAnsi" w:cstheme="majorHAnsi"/>
        </w:rPr>
        <w:t>.</w:t>
      </w:r>
    </w:p>
    <w:p w14:paraId="36EC6BFF" w14:textId="77777777" w:rsidR="008D0CAD" w:rsidRPr="0067431D" w:rsidRDefault="008D0CAD" w:rsidP="002320B3">
      <w:pPr>
        <w:spacing w:before="100" w:beforeAutospacing="1" w:after="100" w:afterAutospacing="1" w:line="360" w:lineRule="auto"/>
        <w:rPr>
          <w:rFonts w:asciiTheme="majorHAnsi" w:hAnsiTheme="majorHAnsi" w:cstheme="majorHAnsi"/>
        </w:rPr>
      </w:pPr>
      <w:r w:rsidRPr="0067431D">
        <w:rPr>
          <w:rFonts w:asciiTheme="majorHAnsi" w:hAnsiTheme="majorHAnsi" w:cstheme="majorHAnsi"/>
        </w:rPr>
        <w:t>We express our heartfelt appreciation to all the principals, school heads and teachers of both the direct recipient schools and indirect recipient schools. Their inputs and insights, given through the focus group discussions and surveys, were truly invaluable in assessing the Program</w:t>
      </w:r>
      <w:r>
        <w:rPr>
          <w:rFonts w:asciiTheme="majorHAnsi" w:hAnsiTheme="majorHAnsi" w:cstheme="majorHAnsi"/>
        </w:rPr>
        <w:t>’</w:t>
      </w:r>
      <w:r w:rsidRPr="0067431D">
        <w:rPr>
          <w:rFonts w:asciiTheme="majorHAnsi" w:hAnsiTheme="majorHAnsi" w:cstheme="majorHAnsi"/>
        </w:rPr>
        <w:t>s implementation and performance in the field. At the same time, we are humbled by the work that they do amidst seemingly overwhelming challenges.</w:t>
      </w:r>
    </w:p>
    <w:p w14:paraId="0EAE23E3" w14:textId="7C2356D7" w:rsidR="008D0CAD" w:rsidRPr="0067431D" w:rsidRDefault="008D0CAD" w:rsidP="002320B3">
      <w:pPr>
        <w:spacing w:before="100" w:beforeAutospacing="1" w:after="100" w:afterAutospacing="1" w:line="360" w:lineRule="auto"/>
        <w:rPr>
          <w:rFonts w:asciiTheme="majorHAnsi" w:hAnsiTheme="majorHAnsi" w:cstheme="majorHAnsi"/>
        </w:rPr>
      </w:pPr>
      <w:r>
        <w:rPr>
          <w:rFonts w:asciiTheme="majorHAnsi" w:hAnsiTheme="majorHAnsi" w:cstheme="majorHAnsi"/>
        </w:rPr>
        <w:t>O</w:t>
      </w:r>
      <w:r w:rsidRPr="0067431D">
        <w:rPr>
          <w:rFonts w:asciiTheme="majorHAnsi" w:hAnsiTheme="majorHAnsi" w:cstheme="majorHAnsi"/>
        </w:rPr>
        <w:t xml:space="preserve">ur gratitude also goes to </w:t>
      </w:r>
      <w:r>
        <w:rPr>
          <w:rFonts w:asciiTheme="majorHAnsi" w:hAnsiTheme="majorHAnsi" w:cstheme="majorHAnsi"/>
        </w:rPr>
        <w:t xml:space="preserve">the </w:t>
      </w:r>
      <w:r w:rsidRPr="0067431D">
        <w:rPr>
          <w:rFonts w:asciiTheme="majorHAnsi" w:hAnsiTheme="majorHAnsi" w:cstheme="majorHAnsi"/>
        </w:rPr>
        <w:t xml:space="preserve">BEST Program </w:t>
      </w:r>
      <w:r>
        <w:rPr>
          <w:rFonts w:asciiTheme="majorHAnsi" w:hAnsiTheme="majorHAnsi" w:cstheme="majorHAnsi"/>
        </w:rPr>
        <w:t>Team</w:t>
      </w:r>
      <w:r w:rsidRPr="0067431D">
        <w:rPr>
          <w:rFonts w:asciiTheme="majorHAnsi" w:hAnsiTheme="majorHAnsi" w:cstheme="majorHAnsi"/>
        </w:rPr>
        <w:t xml:space="preserve"> for their guidance, assistance, support and facilitation during the evaluation process. Finally, we would like to express our thanks to the BEST Program Facilitating Contractor, Cardno Emerging Markets, for trusting in our capacity to undertake such a complex and multifaceted program evaluation.</w:t>
      </w:r>
    </w:p>
    <w:p w14:paraId="49A36F04" w14:textId="77777777" w:rsidR="008D0CAD" w:rsidRPr="00803795" w:rsidRDefault="008D0CAD" w:rsidP="002320B3">
      <w:pPr>
        <w:spacing w:before="100" w:beforeAutospacing="1" w:after="100" w:afterAutospacing="1" w:line="360" w:lineRule="auto"/>
        <w:rPr>
          <w:rFonts w:asciiTheme="majorHAnsi" w:hAnsiTheme="majorHAnsi" w:cstheme="majorHAnsi"/>
          <w:b/>
          <w:color w:val="002060"/>
        </w:rPr>
      </w:pPr>
      <w:bookmarkStart w:id="6" w:name="_Toc10442129"/>
      <w:r>
        <w:rPr>
          <w:rFonts w:asciiTheme="majorHAnsi" w:hAnsiTheme="majorHAnsi" w:cstheme="majorHAnsi"/>
          <w:b/>
          <w:color w:val="002060"/>
        </w:rPr>
        <w:t>The EOPE Team</w:t>
      </w:r>
    </w:p>
    <w:bookmarkEnd w:id="6"/>
    <w:p w14:paraId="1DE6C518" w14:textId="77777777" w:rsidR="008D0CAD" w:rsidRPr="002869FA" w:rsidRDefault="008D0CAD" w:rsidP="002320B3">
      <w:pPr>
        <w:pStyle w:val="NormalWeb"/>
        <w:keepNext/>
        <w:spacing w:line="360" w:lineRule="auto"/>
        <w:rPr>
          <w:rFonts w:asciiTheme="majorHAnsi" w:hAnsiTheme="majorHAnsi" w:cstheme="majorHAnsi"/>
          <w:color w:val="000000" w:themeColor="text1"/>
        </w:rPr>
      </w:pPr>
      <w:r w:rsidRPr="002869FA">
        <w:rPr>
          <w:rFonts w:asciiTheme="majorHAnsi" w:hAnsiTheme="majorHAnsi" w:cstheme="majorHAnsi"/>
          <w:color w:val="000000" w:themeColor="text1"/>
        </w:rPr>
        <w:t xml:space="preserve">The BEST Program End-of-Program Evaluation Team consisted of the partnership between Quality Education Design (QED) Co. and Aptissimi Development Innovations, Inc. (ADII) (see </w:t>
      </w:r>
      <w:r w:rsidRPr="0042134E">
        <w:rPr>
          <w:rFonts w:asciiTheme="majorHAnsi" w:hAnsiTheme="majorHAnsi" w:cstheme="majorHAnsi"/>
          <w:color w:val="000000" w:themeColor="text1"/>
        </w:rPr>
        <w:t xml:space="preserve">Annex </w:t>
      </w:r>
      <w:r>
        <w:rPr>
          <w:rFonts w:asciiTheme="majorHAnsi" w:hAnsiTheme="majorHAnsi" w:cstheme="majorHAnsi"/>
          <w:color w:val="000000" w:themeColor="text1"/>
        </w:rPr>
        <w:t xml:space="preserve">Z </w:t>
      </w:r>
      <w:r w:rsidRPr="002869FA">
        <w:rPr>
          <w:rFonts w:asciiTheme="majorHAnsi" w:hAnsiTheme="majorHAnsi" w:cstheme="majorHAnsi"/>
        </w:rPr>
        <w:t xml:space="preserve">Composition of EOPE </w:t>
      </w:r>
      <w:r>
        <w:rPr>
          <w:rFonts w:asciiTheme="majorHAnsi" w:hAnsiTheme="majorHAnsi" w:cstheme="majorHAnsi"/>
        </w:rPr>
        <w:t xml:space="preserve">Study </w:t>
      </w:r>
      <w:r w:rsidRPr="002869FA">
        <w:rPr>
          <w:rFonts w:asciiTheme="majorHAnsi" w:hAnsiTheme="majorHAnsi" w:cstheme="majorHAnsi"/>
        </w:rPr>
        <w:t>Team</w:t>
      </w:r>
      <w:r w:rsidRPr="002869FA">
        <w:rPr>
          <w:rFonts w:asciiTheme="majorHAnsi" w:hAnsiTheme="majorHAnsi" w:cstheme="majorHAnsi"/>
          <w:color w:val="000000" w:themeColor="text1"/>
        </w:rPr>
        <w:t>).</w:t>
      </w:r>
    </w:p>
    <w:p w14:paraId="3923FEFD" w14:textId="546E6A48" w:rsidR="008D0CAD" w:rsidRDefault="008D0CAD" w:rsidP="002320B3">
      <w:pPr>
        <w:spacing w:before="100" w:beforeAutospacing="1" w:after="100" w:afterAutospacing="1" w:line="360" w:lineRule="auto"/>
        <w:rPr>
          <w:rFonts w:asciiTheme="majorHAnsi" w:eastAsia="Cambria" w:hAnsiTheme="majorHAnsi" w:cstheme="majorHAnsi"/>
          <w:color w:val="000000" w:themeColor="text1"/>
        </w:rPr>
      </w:pPr>
      <w:bookmarkStart w:id="7" w:name="_Toc531426991"/>
      <w:r w:rsidRPr="00AB74ED">
        <w:rPr>
          <w:rFonts w:asciiTheme="majorHAnsi" w:hAnsiTheme="majorHAnsi" w:cstheme="majorHAnsi"/>
          <w:b/>
        </w:rPr>
        <w:t>Quality Education Design (QED) Co.</w:t>
      </w:r>
      <w:r w:rsidRPr="00AB74ED">
        <w:rPr>
          <w:rFonts w:asciiTheme="majorHAnsi" w:hAnsiTheme="majorHAnsi" w:cstheme="majorHAnsi"/>
        </w:rPr>
        <w:t xml:space="preserve"> is a Manila-based learning ecosystems design group founded in 2013 to take on a contract to set up and develop a system of basic education schools for a property developer in the Philippines (Cavite). QED co-create systems that are built on </w:t>
      </w:r>
      <w:r w:rsidRPr="00AB74ED">
        <w:rPr>
          <w:rFonts w:asciiTheme="majorHAnsi" w:hAnsiTheme="majorHAnsi" w:cstheme="majorHAnsi"/>
          <w:i/>
          <w:iCs/>
        </w:rPr>
        <w:t>empowered leadership, operational efficiency, and purposeful learning.</w:t>
      </w:r>
      <w:bookmarkEnd w:id="7"/>
      <w:r w:rsidR="00D434EB">
        <w:rPr>
          <w:rFonts w:asciiTheme="majorHAnsi" w:hAnsiTheme="majorHAnsi" w:cstheme="majorHAnsi"/>
          <w:i/>
          <w:iCs/>
        </w:rPr>
        <w:t xml:space="preserve"> </w:t>
      </w:r>
      <w:r w:rsidRPr="00AB74ED">
        <w:rPr>
          <w:rFonts w:asciiTheme="majorHAnsi" w:hAnsiTheme="majorHAnsi" w:cstheme="majorHAnsi"/>
          <w:color w:val="000000" w:themeColor="text1"/>
        </w:rPr>
        <w:t>QED’s mission is to </w:t>
      </w:r>
      <w:r w:rsidRPr="00AB74ED">
        <w:rPr>
          <w:rFonts w:asciiTheme="majorHAnsi" w:hAnsiTheme="majorHAnsi" w:cstheme="majorHAnsi"/>
          <w:i/>
          <w:iCs/>
          <w:color w:val="000000" w:themeColor="text1"/>
        </w:rPr>
        <w:t>design learning ecosystems as the heart of Philippine communities</w:t>
      </w:r>
      <w:r w:rsidRPr="00AB74ED">
        <w:rPr>
          <w:rFonts w:asciiTheme="majorHAnsi" w:hAnsiTheme="majorHAnsi" w:cstheme="majorHAnsi"/>
          <w:color w:val="000000" w:themeColor="text1"/>
        </w:rPr>
        <w:t> with the end goal of building </w:t>
      </w:r>
      <w:r w:rsidRPr="00AB74ED">
        <w:rPr>
          <w:rFonts w:asciiTheme="majorHAnsi" w:hAnsiTheme="majorHAnsi" w:cstheme="majorHAnsi"/>
          <w:i/>
          <w:iCs/>
          <w:color w:val="000000" w:themeColor="text1"/>
        </w:rPr>
        <w:t>a nation of learners, pioneers, and agents of change — one community at a time.</w:t>
      </w:r>
      <w:r w:rsidR="00D434EB">
        <w:rPr>
          <w:rFonts w:asciiTheme="majorHAnsi" w:hAnsiTheme="majorHAnsi" w:cstheme="majorHAnsi"/>
          <w:color w:val="000000" w:themeColor="text1"/>
        </w:rPr>
        <w:t xml:space="preserve"> </w:t>
      </w:r>
      <w:r w:rsidRPr="00AB74ED">
        <w:rPr>
          <w:rFonts w:asciiTheme="majorHAnsi" w:eastAsia="Cambria" w:hAnsiTheme="majorHAnsi" w:cstheme="majorHAnsi"/>
          <w:color w:val="000000" w:themeColor="text1"/>
        </w:rPr>
        <w:t>QED</w:t>
      </w:r>
      <w:r>
        <w:rPr>
          <w:rFonts w:asciiTheme="majorHAnsi" w:eastAsia="Cambria" w:hAnsiTheme="majorHAnsi" w:cstheme="majorHAnsi"/>
          <w:color w:val="000000" w:themeColor="text1"/>
        </w:rPr>
        <w:t xml:space="preserve">’s CEO </w:t>
      </w:r>
      <w:r w:rsidRPr="00AB74ED">
        <w:rPr>
          <w:rFonts w:asciiTheme="majorHAnsi" w:eastAsia="Cambria" w:hAnsiTheme="majorHAnsi" w:cstheme="majorHAnsi"/>
          <w:color w:val="000000" w:themeColor="text1"/>
        </w:rPr>
        <w:t>has been work</w:t>
      </w:r>
      <w:r>
        <w:rPr>
          <w:rFonts w:asciiTheme="majorHAnsi" w:eastAsia="Cambria" w:hAnsiTheme="majorHAnsi" w:cstheme="majorHAnsi"/>
          <w:color w:val="000000" w:themeColor="text1"/>
        </w:rPr>
        <w:t>ing</w:t>
      </w:r>
      <w:r w:rsidRPr="00AB74ED">
        <w:rPr>
          <w:rFonts w:asciiTheme="majorHAnsi" w:eastAsia="Cambria" w:hAnsiTheme="majorHAnsi" w:cstheme="majorHAnsi"/>
          <w:color w:val="000000" w:themeColor="text1"/>
        </w:rPr>
        <w:t xml:space="preserve"> </w:t>
      </w:r>
      <w:r>
        <w:rPr>
          <w:rFonts w:asciiTheme="majorHAnsi" w:eastAsia="Cambria" w:hAnsiTheme="majorHAnsi" w:cstheme="majorHAnsi"/>
          <w:color w:val="000000" w:themeColor="text1"/>
        </w:rPr>
        <w:t>with</w:t>
      </w:r>
      <w:r w:rsidRPr="00AB74ED">
        <w:rPr>
          <w:rFonts w:asciiTheme="majorHAnsi" w:eastAsia="Cambria" w:hAnsiTheme="majorHAnsi" w:cstheme="majorHAnsi"/>
          <w:color w:val="000000" w:themeColor="text1"/>
        </w:rPr>
        <w:t xml:space="preserve"> the Department of Education</w:t>
      </w:r>
      <w:r>
        <w:rPr>
          <w:rFonts w:asciiTheme="majorHAnsi" w:eastAsia="Cambria" w:hAnsiTheme="majorHAnsi" w:cstheme="majorHAnsi"/>
          <w:color w:val="000000" w:themeColor="text1"/>
        </w:rPr>
        <w:t xml:space="preserve"> under various consultancies and was a former Undersecretary for Finance</w:t>
      </w:r>
      <w:r w:rsidRPr="00AB74ED">
        <w:rPr>
          <w:rFonts w:asciiTheme="majorHAnsi" w:eastAsia="Cambria" w:hAnsiTheme="majorHAnsi" w:cstheme="majorHAnsi"/>
          <w:color w:val="000000" w:themeColor="text1"/>
        </w:rPr>
        <w:t>.</w:t>
      </w:r>
      <w:r w:rsidR="00D434EB">
        <w:rPr>
          <w:rFonts w:asciiTheme="majorHAnsi" w:eastAsia="Cambria" w:hAnsiTheme="majorHAnsi" w:cstheme="majorHAnsi"/>
          <w:color w:val="000000" w:themeColor="text1"/>
        </w:rPr>
        <w:t xml:space="preserve"> </w:t>
      </w:r>
      <w:r>
        <w:rPr>
          <w:rFonts w:asciiTheme="majorHAnsi" w:eastAsia="Cambria" w:hAnsiTheme="majorHAnsi" w:cstheme="majorHAnsi"/>
          <w:color w:val="000000" w:themeColor="text1"/>
        </w:rPr>
        <w:t xml:space="preserve"> </w:t>
      </w:r>
    </w:p>
    <w:p w14:paraId="3027330C" w14:textId="58E60535" w:rsidR="008D0CAD" w:rsidRPr="002320B3" w:rsidRDefault="008D0CAD" w:rsidP="002320B3">
      <w:pPr>
        <w:pageBreakBefore/>
        <w:spacing w:before="100" w:beforeAutospacing="1" w:after="100" w:afterAutospacing="1" w:line="360" w:lineRule="auto"/>
        <w:rPr>
          <w:rFonts w:asciiTheme="majorHAnsi" w:hAnsiTheme="majorHAnsi" w:cstheme="majorHAnsi"/>
          <w:bCs/>
          <w:iCs/>
          <w:color w:val="000000" w:themeColor="text1"/>
        </w:rPr>
      </w:pPr>
      <w:r w:rsidRPr="00AB74ED">
        <w:rPr>
          <w:rFonts w:asciiTheme="majorHAnsi" w:hAnsiTheme="majorHAnsi" w:cstheme="majorHAnsi"/>
          <w:b/>
          <w:color w:val="000000" w:themeColor="text1"/>
        </w:rPr>
        <w:t xml:space="preserve">Aptissimi Development Innovations, Inc. (ADII), </w:t>
      </w:r>
      <w:r w:rsidRPr="00AB74ED">
        <w:rPr>
          <w:rFonts w:asciiTheme="majorHAnsi" w:hAnsiTheme="majorHAnsi" w:cstheme="majorHAnsi"/>
          <w:bCs/>
          <w:iCs/>
        </w:rPr>
        <w:t>is a non-stock, non-profit organi</w:t>
      </w:r>
      <w:r>
        <w:rPr>
          <w:rFonts w:asciiTheme="majorHAnsi" w:hAnsiTheme="majorHAnsi" w:cstheme="majorHAnsi"/>
          <w:bCs/>
          <w:iCs/>
        </w:rPr>
        <w:t>s</w:t>
      </w:r>
      <w:r w:rsidRPr="00AB74ED">
        <w:rPr>
          <w:rFonts w:asciiTheme="majorHAnsi" w:hAnsiTheme="majorHAnsi" w:cstheme="majorHAnsi"/>
          <w:bCs/>
          <w:iCs/>
        </w:rPr>
        <w:t>ation organi</w:t>
      </w:r>
      <w:r>
        <w:rPr>
          <w:rFonts w:asciiTheme="majorHAnsi" w:hAnsiTheme="majorHAnsi" w:cstheme="majorHAnsi"/>
          <w:bCs/>
          <w:iCs/>
        </w:rPr>
        <w:t>s</w:t>
      </w:r>
      <w:r w:rsidRPr="00AB74ED">
        <w:rPr>
          <w:rFonts w:asciiTheme="majorHAnsi" w:hAnsiTheme="majorHAnsi" w:cstheme="majorHAnsi"/>
          <w:bCs/>
          <w:iCs/>
        </w:rPr>
        <w:t xml:space="preserve">ed in </w:t>
      </w:r>
      <w:r>
        <w:rPr>
          <w:rFonts w:asciiTheme="majorHAnsi" w:hAnsiTheme="majorHAnsi" w:cstheme="majorHAnsi"/>
          <w:bCs/>
          <w:iCs/>
        </w:rPr>
        <w:t xml:space="preserve">the Philippines in </w:t>
      </w:r>
      <w:r w:rsidRPr="00AB74ED">
        <w:rPr>
          <w:rFonts w:asciiTheme="majorHAnsi" w:hAnsiTheme="majorHAnsi" w:cstheme="majorHAnsi"/>
          <w:bCs/>
          <w:iCs/>
        </w:rPr>
        <w:t xml:space="preserve">2009 by five development managers who shared the </w:t>
      </w:r>
      <w:r>
        <w:rPr>
          <w:rFonts w:asciiTheme="majorHAnsi" w:hAnsiTheme="majorHAnsi" w:cstheme="majorHAnsi"/>
          <w:bCs/>
          <w:iCs/>
        </w:rPr>
        <w:t xml:space="preserve">advocacy of </w:t>
      </w:r>
      <w:r w:rsidRPr="00AB74ED">
        <w:rPr>
          <w:rFonts w:asciiTheme="majorHAnsi" w:hAnsiTheme="majorHAnsi" w:cstheme="majorHAnsi"/>
          <w:bCs/>
          <w:iCs/>
        </w:rPr>
        <w:t>“</w:t>
      </w:r>
      <w:r>
        <w:rPr>
          <w:rFonts w:asciiTheme="majorHAnsi" w:hAnsiTheme="majorHAnsi" w:cstheme="majorHAnsi"/>
          <w:bCs/>
          <w:iCs/>
        </w:rPr>
        <w:t>using business solutions for development problems</w:t>
      </w:r>
      <w:r w:rsidRPr="00AB74ED">
        <w:rPr>
          <w:rFonts w:asciiTheme="majorHAnsi" w:hAnsiTheme="majorHAnsi" w:cstheme="majorHAnsi"/>
          <w:bCs/>
          <w:iCs/>
        </w:rPr>
        <w:t>”</w:t>
      </w:r>
      <w:r>
        <w:rPr>
          <w:rFonts w:asciiTheme="majorHAnsi" w:hAnsiTheme="majorHAnsi" w:cstheme="majorHAnsi"/>
          <w:bCs/>
          <w:iCs/>
        </w:rPr>
        <w:t xml:space="preserve"> to enhance the practice of development management</w:t>
      </w:r>
      <w:r w:rsidRPr="00AB74ED">
        <w:rPr>
          <w:rFonts w:asciiTheme="majorHAnsi" w:hAnsiTheme="majorHAnsi" w:cstheme="majorHAnsi"/>
          <w:bCs/>
          <w:iCs/>
        </w:rPr>
        <w:t>.</w:t>
      </w:r>
      <w:r>
        <w:rPr>
          <w:rFonts w:asciiTheme="majorHAnsi" w:hAnsiTheme="majorHAnsi" w:cstheme="majorHAnsi"/>
          <w:b/>
          <w:bCs/>
          <w:iCs/>
        </w:rPr>
        <w:t xml:space="preserve"> </w:t>
      </w:r>
      <w:r w:rsidRPr="00AB74ED">
        <w:rPr>
          <w:rFonts w:asciiTheme="majorHAnsi" w:hAnsiTheme="majorHAnsi" w:cstheme="majorHAnsi"/>
        </w:rPr>
        <w:t>Aptissimi works with government agencies, NGOs and private sector groups</w:t>
      </w:r>
      <w:r>
        <w:rPr>
          <w:rFonts w:asciiTheme="majorHAnsi" w:hAnsiTheme="majorHAnsi" w:cstheme="majorHAnsi"/>
        </w:rPr>
        <w:t xml:space="preserve"> in the areas of strategic planning, project management and monitoring and evaluation.</w:t>
      </w:r>
      <w:r w:rsidR="00D434EB">
        <w:rPr>
          <w:rFonts w:asciiTheme="majorHAnsi" w:hAnsiTheme="majorHAnsi" w:cstheme="majorHAnsi"/>
        </w:rPr>
        <w:t xml:space="preserve"> </w:t>
      </w:r>
      <w:r>
        <w:rPr>
          <w:rFonts w:asciiTheme="majorHAnsi" w:hAnsiTheme="majorHAnsi" w:cstheme="majorHAnsi"/>
          <w:bCs/>
          <w:iCs/>
        </w:rPr>
        <w:t xml:space="preserve"> ADII’s President was a former adjunct faculty of the Asian Institute of Management and </w:t>
      </w:r>
      <w:r w:rsidRPr="00AB74ED">
        <w:rPr>
          <w:rFonts w:asciiTheme="majorHAnsi" w:hAnsiTheme="majorHAnsi" w:cstheme="majorHAnsi"/>
          <w:bCs/>
          <w:iCs/>
        </w:rPr>
        <w:t xml:space="preserve">has </w:t>
      </w:r>
      <w:r>
        <w:rPr>
          <w:rFonts w:asciiTheme="majorHAnsi" w:hAnsiTheme="majorHAnsi" w:cstheme="majorHAnsi"/>
          <w:bCs/>
          <w:iCs/>
        </w:rPr>
        <w:t>had extensive</w:t>
      </w:r>
      <w:r w:rsidRPr="00AB74ED">
        <w:rPr>
          <w:rFonts w:asciiTheme="majorHAnsi" w:hAnsiTheme="majorHAnsi" w:cstheme="majorHAnsi"/>
          <w:bCs/>
          <w:iCs/>
        </w:rPr>
        <w:t xml:space="preserve"> experience in project development and management, </w:t>
      </w:r>
      <w:r>
        <w:rPr>
          <w:rFonts w:asciiTheme="majorHAnsi" w:hAnsiTheme="majorHAnsi" w:cstheme="majorHAnsi"/>
          <w:bCs/>
          <w:iCs/>
          <w:color w:val="000000" w:themeColor="text1"/>
        </w:rPr>
        <w:t>program</w:t>
      </w:r>
      <w:r w:rsidRPr="00AB74ED">
        <w:rPr>
          <w:rFonts w:asciiTheme="majorHAnsi" w:hAnsiTheme="majorHAnsi" w:cstheme="majorHAnsi"/>
          <w:bCs/>
          <w:iCs/>
          <w:color w:val="000000" w:themeColor="text1"/>
        </w:rPr>
        <w:t xml:space="preserve"> evaluation and gender and development (GAD).</w:t>
      </w:r>
    </w:p>
    <w:p w14:paraId="6ADE118C" w14:textId="77777777" w:rsidR="008D0CAD" w:rsidRDefault="008D0CAD" w:rsidP="002320B3">
      <w:pPr>
        <w:pStyle w:val="Heading1"/>
        <w:pageBreakBefore/>
        <w:sectPr w:rsidR="008D0CAD" w:rsidSect="009C64E9">
          <w:headerReference w:type="default" r:id="rId15"/>
          <w:pgSz w:w="11900" w:h="16840"/>
          <w:pgMar w:top="1440" w:right="1440" w:bottom="1440" w:left="1440" w:header="720" w:footer="720" w:gutter="0"/>
          <w:pgNumType w:fmt="lowerRoman"/>
          <w:cols w:space="720"/>
          <w:docGrid w:linePitch="360"/>
        </w:sectPr>
      </w:pPr>
      <w:bookmarkStart w:id="8" w:name="_Toc12711969"/>
      <w:bookmarkStart w:id="9" w:name="_Toc13216248"/>
      <w:bookmarkStart w:id="10" w:name="_Toc12711967"/>
      <w:bookmarkStart w:id="11" w:name="_Toc13216246"/>
    </w:p>
    <w:p w14:paraId="64541EEB" w14:textId="77777777" w:rsidR="008D0CAD" w:rsidRPr="00164B84" w:rsidRDefault="008D0CAD" w:rsidP="002320B3">
      <w:pPr>
        <w:pStyle w:val="Heading2"/>
        <w:numPr>
          <w:ilvl w:val="0"/>
          <w:numId w:val="0"/>
        </w:numPr>
        <w:ind w:left="720"/>
      </w:pPr>
      <w:bookmarkStart w:id="12" w:name="_Toc69820427"/>
      <w:r w:rsidRPr="00164B84">
        <w:t>Glossary, Acronyms &amp; Abbreviations</w:t>
      </w:r>
      <w:bookmarkEnd w:id="8"/>
      <w:bookmarkEnd w:id="9"/>
      <w:bookmarkEnd w:id="12"/>
    </w:p>
    <w:tbl>
      <w:tblPr>
        <w:tblStyle w:val="TableGrid1"/>
        <w:tblW w:w="4815" w:type="dxa"/>
        <w:tblLook w:val="04A0" w:firstRow="1" w:lastRow="0" w:firstColumn="1" w:lastColumn="0" w:noHBand="0" w:noVBand="1"/>
      </w:tblPr>
      <w:tblGrid>
        <w:gridCol w:w="988"/>
        <w:gridCol w:w="3827"/>
      </w:tblGrid>
      <w:tr w:rsidR="00C87C04" w:rsidRPr="008B7D29" w14:paraId="191876BE" w14:textId="77777777" w:rsidTr="00F4751F">
        <w:trPr>
          <w:trHeight w:val="43"/>
        </w:trPr>
        <w:tc>
          <w:tcPr>
            <w:tcW w:w="988" w:type="dxa"/>
            <w:tcBorders>
              <w:right w:val="nil"/>
            </w:tcBorders>
            <w:noWrap/>
          </w:tcPr>
          <w:p w14:paraId="3185EA40" w14:textId="77777777" w:rsidR="00C87C04" w:rsidRPr="00F4751F" w:rsidRDefault="00C87C04" w:rsidP="002320B3">
            <w:pPr>
              <w:rPr>
                <w:rFonts w:asciiTheme="majorHAnsi" w:hAnsiTheme="majorHAnsi" w:cstheme="majorHAnsi"/>
                <w:b/>
                <w:bCs/>
                <w:color w:val="000000"/>
                <w:sz w:val="16"/>
                <w:szCs w:val="16"/>
                <w:lang w:eastAsia="en-PH"/>
              </w:rPr>
            </w:pPr>
          </w:p>
        </w:tc>
        <w:tc>
          <w:tcPr>
            <w:tcW w:w="3827" w:type="dxa"/>
            <w:tcBorders>
              <w:left w:val="nil"/>
            </w:tcBorders>
            <w:noWrap/>
          </w:tcPr>
          <w:p w14:paraId="797859C3" w14:textId="0925D033" w:rsidR="00C87C04" w:rsidRPr="00F4751F" w:rsidRDefault="00C87C04" w:rsidP="002320B3">
            <w:pPr>
              <w:rPr>
                <w:rFonts w:asciiTheme="majorHAnsi" w:hAnsiTheme="majorHAnsi" w:cstheme="majorHAnsi"/>
                <w:b/>
                <w:bCs/>
                <w:color w:val="000000"/>
                <w:sz w:val="16"/>
                <w:szCs w:val="16"/>
                <w:lang w:eastAsia="en-PH"/>
              </w:rPr>
            </w:pPr>
            <w:r w:rsidRPr="00F4751F">
              <w:rPr>
                <w:rFonts w:asciiTheme="majorHAnsi" w:hAnsiTheme="majorHAnsi" w:cstheme="majorHAnsi"/>
                <w:b/>
                <w:bCs/>
                <w:color w:val="000000"/>
                <w:sz w:val="16"/>
                <w:szCs w:val="16"/>
                <w:lang w:eastAsia="en-PH"/>
              </w:rPr>
              <w:t>Glossary, Acronyms &amp; Abbreviations</w:t>
            </w:r>
          </w:p>
        </w:tc>
      </w:tr>
      <w:tr w:rsidR="008D0CAD" w:rsidRPr="009A1D95" w14:paraId="49CD20F2" w14:textId="77777777" w:rsidTr="0047524A">
        <w:trPr>
          <w:trHeight w:val="43"/>
        </w:trPr>
        <w:tc>
          <w:tcPr>
            <w:tcW w:w="988" w:type="dxa"/>
            <w:noWrap/>
            <w:hideMark/>
          </w:tcPr>
          <w:p w14:paraId="0A330F57"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ACTRC</w:t>
            </w:r>
          </w:p>
        </w:tc>
        <w:tc>
          <w:tcPr>
            <w:tcW w:w="3827" w:type="dxa"/>
            <w:noWrap/>
            <w:hideMark/>
          </w:tcPr>
          <w:p w14:paraId="63E03AA5" w14:textId="77777777" w:rsidR="008D0CAD"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 xml:space="preserve">Assessment, Curriculum and Technology Research </w:t>
            </w:r>
          </w:p>
          <w:p w14:paraId="2C36B511" w14:textId="604D5EED" w:rsidR="008D0CAD" w:rsidRPr="009A1D95" w:rsidRDefault="00D434EB" w:rsidP="002320B3">
            <w:pPr>
              <w:rPr>
                <w:rFonts w:asciiTheme="majorHAnsi" w:hAnsiTheme="majorHAnsi" w:cstheme="majorHAnsi"/>
                <w:color w:val="000000"/>
                <w:sz w:val="16"/>
                <w:szCs w:val="16"/>
                <w:lang w:eastAsia="en-PH"/>
              </w:rPr>
            </w:pPr>
            <w:r>
              <w:rPr>
                <w:rFonts w:asciiTheme="majorHAnsi" w:hAnsiTheme="majorHAnsi" w:cstheme="majorHAnsi"/>
                <w:color w:val="000000"/>
                <w:sz w:val="16"/>
                <w:szCs w:val="16"/>
                <w:lang w:eastAsia="en-PH"/>
              </w:rPr>
              <w:t xml:space="preserve">  </w:t>
            </w:r>
            <w:r w:rsidR="008D0CAD" w:rsidRPr="009A1D95">
              <w:rPr>
                <w:rFonts w:asciiTheme="majorHAnsi" w:hAnsiTheme="majorHAnsi" w:cstheme="majorHAnsi"/>
                <w:color w:val="000000"/>
                <w:sz w:val="16"/>
                <w:szCs w:val="16"/>
                <w:lang w:eastAsia="en-PH"/>
              </w:rPr>
              <w:t>Cent</w:t>
            </w:r>
            <w:r w:rsidR="008D0CAD">
              <w:rPr>
                <w:rFonts w:asciiTheme="majorHAnsi" w:hAnsiTheme="majorHAnsi" w:cstheme="majorHAnsi"/>
                <w:color w:val="000000"/>
                <w:sz w:val="16"/>
                <w:szCs w:val="16"/>
                <w:lang w:eastAsia="en-PH"/>
              </w:rPr>
              <w:t>e</w:t>
            </w:r>
            <w:r w:rsidR="008D0CAD" w:rsidRPr="009A1D95">
              <w:rPr>
                <w:rFonts w:asciiTheme="majorHAnsi" w:hAnsiTheme="majorHAnsi" w:cstheme="majorHAnsi"/>
                <w:color w:val="000000"/>
                <w:sz w:val="16"/>
                <w:szCs w:val="16"/>
                <w:lang w:eastAsia="en-PH"/>
              </w:rPr>
              <w:t>r</w:t>
            </w:r>
          </w:p>
        </w:tc>
      </w:tr>
      <w:tr w:rsidR="008D0CAD" w:rsidRPr="009A1D95" w14:paraId="5AD0BE41" w14:textId="77777777" w:rsidTr="0047524A">
        <w:trPr>
          <w:trHeight w:val="43"/>
        </w:trPr>
        <w:tc>
          <w:tcPr>
            <w:tcW w:w="988" w:type="dxa"/>
            <w:noWrap/>
            <w:hideMark/>
          </w:tcPr>
          <w:p w14:paraId="5D75C099"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ADII</w:t>
            </w:r>
          </w:p>
        </w:tc>
        <w:tc>
          <w:tcPr>
            <w:tcW w:w="3827" w:type="dxa"/>
            <w:noWrap/>
            <w:hideMark/>
          </w:tcPr>
          <w:p w14:paraId="096AA1E0"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Aptissimi Development Innovations Inc.</w:t>
            </w:r>
          </w:p>
        </w:tc>
      </w:tr>
      <w:tr w:rsidR="008D0CAD" w:rsidRPr="009A1D95" w14:paraId="14124B21" w14:textId="77777777" w:rsidTr="0047524A">
        <w:trPr>
          <w:trHeight w:val="43"/>
        </w:trPr>
        <w:tc>
          <w:tcPr>
            <w:tcW w:w="988" w:type="dxa"/>
            <w:noWrap/>
            <w:hideMark/>
          </w:tcPr>
          <w:p w14:paraId="151FA014"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ALS</w:t>
            </w:r>
          </w:p>
        </w:tc>
        <w:tc>
          <w:tcPr>
            <w:tcW w:w="3827" w:type="dxa"/>
            <w:noWrap/>
            <w:hideMark/>
          </w:tcPr>
          <w:p w14:paraId="794CD848"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Alternative Learning System</w:t>
            </w:r>
          </w:p>
        </w:tc>
      </w:tr>
      <w:tr w:rsidR="008D0CAD" w:rsidRPr="009A1D95" w14:paraId="02150F20" w14:textId="77777777" w:rsidTr="0047524A">
        <w:trPr>
          <w:trHeight w:val="43"/>
        </w:trPr>
        <w:tc>
          <w:tcPr>
            <w:tcW w:w="988" w:type="dxa"/>
            <w:noWrap/>
            <w:hideMark/>
          </w:tcPr>
          <w:p w14:paraId="1CD8E5F7"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AP</w:t>
            </w:r>
          </w:p>
        </w:tc>
        <w:tc>
          <w:tcPr>
            <w:tcW w:w="3827" w:type="dxa"/>
            <w:noWrap/>
            <w:hideMark/>
          </w:tcPr>
          <w:p w14:paraId="47FAF851"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Annual Plan</w:t>
            </w:r>
          </w:p>
        </w:tc>
      </w:tr>
      <w:tr w:rsidR="008D0CAD" w:rsidRPr="009A1D95" w14:paraId="01CE2C4F" w14:textId="77777777" w:rsidTr="0047524A">
        <w:trPr>
          <w:trHeight w:val="43"/>
        </w:trPr>
        <w:tc>
          <w:tcPr>
            <w:tcW w:w="988" w:type="dxa"/>
            <w:noWrap/>
            <w:hideMark/>
          </w:tcPr>
          <w:p w14:paraId="7CF1EDFA"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AR</w:t>
            </w:r>
          </w:p>
        </w:tc>
        <w:tc>
          <w:tcPr>
            <w:tcW w:w="3827" w:type="dxa"/>
            <w:noWrap/>
            <w:hideMark/>
          </w:tcPr>
          <w:p w14:paraId="6843883B"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Action Research</w:t>
            </w:r>
          </w:p>
        </w:tc>
      </w:tr>
      <w:tr w:rsidR="008D0CAD" w:rsidRPr="009A1D95" w14:paraId="455C1479" w14:textId="77777777" w:rsidTr="0047524A">
        <w:trPr>
          <w:trHeight w:val="43"/>
        </w:trPr>
        <w:tc>
          <w:tcPr>
            <w:tcW w:w="988" w:type="dxa"/>
            <w:noWrap/>
            <w:hideMark/>
          </w:tcPr>
          <w:p w14:paraId="5D868340"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BEMEF</w:t>
            </w:r>
          </w:p>
        </w:tc>
        <w:tc>
          <w:tcPr>
            <w:tcW w:w="3827" w:type="dxa"/>
            <w:noWrap/>
            <w:hideMark/>
          </w:tcPr>
          <w:p w14:paraId="0C662312"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Basic Education Monitoring and Evaluation Framework</w:t>
            </w:r>
          </w:p>
        </w:tc>
      </w:tr>
      <w:tr w:rsidR="008D0CAD" w:rsidRPr="009A1D95" w14:paraId="49F535A3" w14:textId="77777777" w:rsidTr="0047524A">
        <w:trPr>
          <w:trHeight w:val="43"/>
        </w:trPr>
        <w:tc>
          <w:tcPr>
            <w:tcW w:w="988" w:type="dxa"/>
            <w:noWrap/>
            <w:hideMark/>
          </w:tcPr>
          <w:p w14:paraId="788A42DD"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BESRA</w:t>
            </w:r>
          </w:p>
        </w:tc>
        <w:tc>
          <w:tcPr>
            <w:tcW w:w="3827" w:type="dxa"/>
            <w:noWrap/>
            <w:hideMark/>
          </w:tcPr>
          <w:p w14:paraId="6B34217A"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Basic Education Sector Reform Agenda</w:t>
            </w:r>
          </w:p>
        </w:tc>
      </w:tr>
      <w:tr w:rsidR="008D0CAD" w:rsidRPr="009A1D95" w14:paraId="2ECE461F" w14:textId="77777777" w:rsidTr="0047524A">
        <w:trPr>
          <w:trHeight w:val="43"/>
        </w:trPr>
        <w:tc>
          <w:tcPr>
            <w:tcW w:w="988" w:type="dxa"/>
            <w:noWrap/>
            <w:hideMark/>
          </w:tcPr>
          <w:p w14:paraId="5F1792D8"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BEST</w:t>
            </w:r>
          </w:p>
        </w:tc>
        <w:tc>
          <w:tcPr>
            <w:tcW w:w="3827" w:type="dxa"/>
            <w:noWrap/>
            <w:hideMark/>
          </w:tcPr>
          <w:p w14:paraId="26694023"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Basic Education Sector Transformation</w:t>
            </w:r>
          </w:p>
        </w:tc>
      </w:tr>
      <w:tr w:rsidR="008D0CAD" w:rsidRPr="009A1D95" w14:paraId="269CC7DB" w14:textId="77777777" w:rsidTr="0047524A">
        <w:trPr>
          <w:trHeight w:val="43"/>
        </w:trPr>
        <w:tc>
          <w:tcPr>
            <w:tcW w:w="988" w:type="dxa"/>
            <w:noWrap/>
            <w:hideMark/>
          </w:tcPr>
          <w:p w14:paraId="3A64F113"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BHROD</w:t>
            </w:r>
          </w:p>
        </w:tc>
        <w:tc>
          <w:tcPr>
            <w:tcW w:w="3827" w:type="dxa"/>
            <w:noWrap/>
            <w:hideMark/>
          </w:tcPr>
          <w:p w14:paraId="4D812943" w14:textId="77777777" w:rsidR="008D0CAD"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 xml:space="preserve">Bureau of Human Resource and Organizational </w:t>
            </w:r>
          </w:p>
          <w:p w14:paraId="6F18D47E" w14:textId="07285AB1" w:rsidR="008D0CAD" w:rsidRPr="009A1D95" w:rsidRDefault="00D434EB" w:rsidP="002320B3">
            <w:pPr>
              <w:rPr>
                <w:rFonts w:asciiTheme="majorHAnsi" w:hAnsiTheme="majorHAnsi" w:cstheme="majorHAnsi"/>
                <w:color w:val="000000"/>
                <w:sz w:val="16"/>
                <w:szCs w:val="16"/>
                <w:lang w:eastAsia="en-PH"/>
              </w:rPr>
            </w:pPr>
            <w:r>
              <w:rPr>
                <w:rFonts w:asciiTheme="majorHAnsi" w:hAnsiTheme="majorHAnsi" w:cstheme="majorHAnsi"/>
                <w:color w:val="000000"/>
                <w:sz w:val="16"/>
                <w:szCs w:val="16"/>
                <w:lang w:eastAsia="en-PH"/>
              </w:rPr>
              <w:t xml:space="preserve">  </w:t>
            </w:r>
            <w:r w:rsidR="008D0CAD">
              <w:rPr>
                <w:rFonts w:asciiTheme="majorHAnsi" w:hAnsiTheme="majorHAnsi" w:cstheme="majorHAnsi"/>
                <w:color w:val="000000"/>
                <w:sz w:val="16"/>
                <w:szCs w:val="16"/>
                <w:lang w:eastAsia="en-PH"/>
              </w:rPr>
              <w:t xml:space="preserve"> </w:t>
            </w:r>
            <w:r w:rsidR="008D0CAD" w:rsidRPr="009A1D95">
              <w:rPr>
                <w:rFonts w:asciiTheme="majorHAnsi" w:hAnsiTheme="majorHAnsi" w:cstheme="majorHAnsi"/>
                <w:color w:val="000000"/>
                <w:sz w:val="16"/>
                <w:szCs w:val="16"/>
                <w:lang w:eastAsia="en-PH"/>
              </w:rPr>
              <w:t>Development</w:t>
            </w:r>
          </w:p>
        </w:tc>
      </w:tr>
      <w:tr w:rsidR="008D0CAD" w:rsidRPr="009A1D95" w14:paraId="306781DD" w14:textId="77777777" w:rsidTr="0047524A">
        <w:trPr>
          <w:trHeight w:val="43"/>
        </w:trPr>
        <w:tc>
          <w:tcPr>
            <w:tcW w:w="988" w:type="dxa"/>
            <w:noWrap/>
          </w:tcPr>
          <w:p w14:paraId="67ABED8E"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BLEPT</w:t>
            </w:r>
          </w:p>
        </w:tc>
        <w:tc>
          <w:tcPr>
            <w:tcW w:w="3827" w:type="dxa"/>
            <w:noWrap/>
          </w:tcPr>
          <w:p w14:paraId="49C547FD"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 xml:space="preserve">Board Licensure for Professional Teachers </w:t>
            </w:r>
          </w:p>
        </w:tc>
      </w:tr>
      <w:tr w:rsidR="008D0CAD" w:rsidRPr="009A1D95" w14:paraId="20B3227A" w14:textId="77777777" w:rsidTr="0047524A">
        <w:trPr>
          <w:trHeight w:val="43"/>
        </w:trPr>
        <w:tc>
          <w:tcPr>
            <w:tcW w:w="988" w:type="dxa"/>
            <w:noWrap/>
            <w:hideMark/>
          </w:tcPr>
          <w:p w14:paraId="0DEDC3AB"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C&amp;A</w:t>
            </w:r>
          </w:p>
        </w:tc>
        <w:tc>
          <w:tcPr>
            <w:tcW w:w="3827" w:type="dxa"/>
            <w:noWrap/>
            <w:hideMark/>
          </w:tcPr>
          <w:p w14:paraId="75783C6D"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Curriculum and Assessment</w:t>
            </w:r>
          </w:p>
        </w:tc>
      </w:tr>
      <w:tr w:rsidR="008D0CAD" w:rsidRPr="009A1D95" w14:paraId="01BADE6F" w14:textId="77777777" w:rsidTr="0047524A">
        <w:trPr>
          <w:trHeight w:val="43"/>
        </w:trPr>
        <w:tc>
          <w:tcPr>
            <w:tcW w:w="988" w:type="dxa"/>
            <w:noWrap/>
            <w:hideMark/>
          </w:tcPr>
          <w:p w14:paraId="133E65FC"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CARB</w:t>
            </w:r>
          </w:p>
        </w:tc>
        <w:tc>
          <w:tcPr>
            <w:tcW w:w="3827" w:type="dxa"/>
            <w:noWrap/>
            <w:hideMark/>
          </w:tcPr>
          <w:p w14:paraId="5BDB28D8"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Classroom Assessment Resource Book</w:t>
            </w:r>
          </w:p>
        </w:tc>
      </w:tr>
      <w:tr w:rsidR="008D0CAD" w:rsidRPr="009A1D95" w14:paraId="2803BDA9" w14:textId="77777777" w:rsidTr="0047524A">
        <w:trPr>
          <w:trHeight w:val="43"/>
        </w:trPr>
        <w:tc>
          <w:tcPr>
            <w:tcW w:w="988" w:type="dxa"/>
            <w:noWrap/>
            <w:hideMark/>
          </w:tcPr>
          <w:p w14:paraId="78F3F461"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CC</w:t>
            </w:r>
          </w:p>
        </w:tc>
        <w:tc>
          <w:tcPr>
            <w:tcW w:w="3827" w:type="dxa"/>
            <w:noWrap/>
            <w:hideMark/>
          </w:tcPr>
          <w:p w14:paraId="41F325F3"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Classroom Construction</w:t>
            </w:r>
          </w:p>
        </w:tc>
      </w:tr>
      <w:tr w:rsidR="008D0CAD" w:rsidRPr="009A1D95" w14:paraId="2B74EC4E" w14:textId="77777777" w:rsidTr="0047524A">
        <w:trPr>
          <w:trHeight w:val="43"/>
        </w:trPr>
        <w:tc>
          <w:tcPr>
            <w:tcW w:w="988" w:type="dxa"/>
            <w:noWrap/>
            <w:hideMark/>
          </w:tcPr>
          <w:p w14:paraId="328FC2D4"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CHED</w:t>
            </w:r>
          </w:p>
        </w:tc>
        <w:tc>
          <w:tcPr>
            <w:tcW w:w="3827" w:type="dxa"/>
            <w:noWrap/>
            <w:hideMark/>
          </w:tcPr>
          <w:p w14:paraId="50320EF7"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Commission of Higher Education</w:t>
            </w:r>
          </w:p>
        </w:tc>
      </w:tr>
      <w:tr w:rsidR="008D0CAD" w:rsidRPr="009A1D95" w14:paraId="672BA9C8" w14:textId="77777777" w:rsidTr="0047524A">
        <w:trPr>
          <w:trHeight w:val="43"/>
        </w:trPr>
        <w:tc>
          <w:tcPr>
            <w:tcW w:w="988" w:type="dxa"/>
            <w:noWrap/>
            <w:hideMark/>
          </w:tcPr>
          <w:p w14:paraId="3F9A2642"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CI</w:t>
            </w:r>
          </w:p>
        </w:tc>
        <w:tc>
          <w:tcPr>
            <w:tcW w:w="3827" w:type="dxa"/>
            <w:noWrap/>
            <w:hideMark/>
          </w:tcPr>
          <w:p w14:paraId="17BA751D"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Continuous Improvement</w:t>
            </w:r>
          </w:p>
        </w:tc>
      </w:tr>
      <w:tr w:rsidR="008D0CAD" w:rsidRPr="009A1D95" w14:paraId="3022A286" w14:textId="77777777" w:rsidTr="0047524A">
        <w:trPr>
          <w:trHeight w:val="43"/>
        </w:trPr>
        <w:tc>
          <w:tcPr>
            <w:tcW w:w="988" w:type="dxa"/>
            <w:noWrap/>
            <w:hideMark/>
          </w:tcPr>
          <w:p w14:paraId="111D4C1B"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CIPP</w:t>
            </w:r>
          </w:p>
        </w:tc>
        <w:tc>
          <w:tcPr>
            <w:tcW w:w="3827" w:type="dxa"/>
            <w:noWrap/>
            <w:hideMark/>
          </w:tcPr>
          <w:p w14:paraId="2BFD513F"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Context, Input, Process, and Product</w:t>
            </w:r>
          </w:p>
        </w:tc>
      </w:tr>
      <w:tr w:rsidR="008D0CAD" w:rsidRPr="009A1D95" w14:paraId="675578D9" w14:textId="77777777" w:rsidTr="0047524A">
        <w:trPr>
          <w:trHeight w:val="43"/>
        </w:trPr>
        <w:tc>
          <w:tcPr>
            <w:tcW w:w="988" w:type="dxa"/>
            <w:noWrap/>
            <w:hideMark/>
          </w:tcPr>
          <w:p w14:paraId="3BC1B0D8"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CO</w:t>
            </w:r>
          </w:p>
        </w:tc>
        <w:tc>
          <w:tcPr>
            <w:tcW w:w="3827" w:type="dxa"/>
            <w:noWrap/>
            <w:hideMark/>
          </w:tcPr>
          <w:p w14:paraId="10AA10DC"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Central Office</w:t>
            </w:r>
          </w:p>
        </w:tc>
      </w:tr>
      <w:tr w:rsidR="008D0CAD" w:rsidRPr="009A1D95" w14:paraId="302FADB3" w14:textId="77777777" w:rsidTr="0047524A">
        <w:trPr>
          <w:trHeight w:val="43"/>
        </w:trPr>
        <w:tc>
          <w:tcPr>
            <w:tcW w:w="988" w:type="dxa"/>
            <w:noWrap/>
            <w:hideMark/>
          </w:tcPr>
          <w:p w14:paraId="550A0E1F"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COT</w:t>
            </w:r>
          </w:p>
        </w:tc>
        <w:tc>
          <w:tcPr>
            <w:tcW w:w="3827" w:type="dxa"/>
            <w:noWrap/>
            <w:hideMark/>
          </w:tcPr>
          <w:p w14:paraId="7DCCADAC"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Classroom Observation Tool</w:t>
            </w:r>
          </w:p>
        </w:tc>
      </w:tr>
      <w:tr w:rsidR="008D0CAD" w:rsidRPr="009A1D95" w14:paraId="1F3843BD" w14:textId="77777777" w:rsidTr="0047524A">
        <w:trPr>
          <w:trHeight w:val="43"/>
        </w:trPr>
        <w:tc>
          <w:tcPr>
            <w:tcW w:w="988" w:type="dxa"/>
            <w:noWrap/>
            <w:hideMark/>
          </w:tcPr>
          <w:p w14:paraId="30277C94" w14:textId="77777777" w:rsidR="008D0CAD" w:rsidRPr="009A1D95" w:rsidRDefault="008D0CAD" w:rsidP="002320B3">
            <w:pPr>
              <w:rPr>
                <w:rFonts w:asciiTheme="majorHAnsi" w:hAnsiTheme="majorHAnsi" w:cstheme="majorHAnsi"/>
                <w:color w:val="000000"/>
                <w:sz w:val="16"/>
                <w:szCs w:val="16"/>
                <w:lang w:eastAsia="en-PH"/>
              </w:rPr>
            </w:pPr>
            <w:r>
              <w:rPr>
                <w:rFonts w:asciiTheme="majorHAnsi" w:hAnsiTheme="majorHAnsi" w:cstheme="majorHAnsi"/>
                <w:color w:val="000000"/>
                <w:sz w:val="16"/>
                <w:szCs w:val="16"/>
                <w:lang w:eastAsia="en-PH"/>
              </w:rPr>
              <w:t>DEPED</w:t>
            </w:r>
          </w:p>
        </w:tc>
        <w:tc>
          <w:tcPr>
            <w:tcW w:w="3827" w:type="dxa"/>
            <w:noWrap/>
            <w:hideMark/>
          </w:tcPr>
          <w:p w14:paraId="75E2F75B"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Department of Education</w:t>
            </w:r>
          </w:p>
        </w:tc>
      </w:tr>
      <w:tr w:rsidR="008D0CAD" w:rsidRPr="009A1D95" w14:paraId="2FE3ED05" w14:textId="77777777" w:rsidTr="0047524A">
        <w:trPr>
          <w:trHeight w:val="43"/>
        </w:trPr>
        <w:tc>
          <w:tcPr>
            <w:tcW w:w="988" w:type="dxa"/>
            <w:noWrap/>
            <w:hideMark/>
          </w:tcPr>
          <w:p w14:paraId="4C8B6FDE"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DFAT</w:t>
            </w:r>
          </w:p>
        </w:tc>
        <w:tc>
          <w:tcPr>
            <w:tcW w:w="3827" w:type="dxa"/>
            <w:noWrap/>
            <w:hideMark/>
          </w:tcPr>
          <w:p w14:paraId="1C4F790F"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Department of Foreign Affairs and Trade</w:t>
            </w:r>
          </w:p>
        </w:tc>
      </w:tr>
      <w:tr w:rsidR="008D0CAD" w:rsidRPr="009A1D95" w14:paraId="776E3904" w14:textId="77777777" w:rsidTr="0047524A">
        <w:trPr>
          <w:trHeight w:val="43"/>
        </w:trPr>
        <w:tc>
          <w:tcPr>
            <w:tcW w:w="988" w:type="dxa"/>
            <w:noWrap/>
            <w:hideMark/>
          </w:tcPr>
          <w:p w14:paraId="5608B7F9"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DID</w:t>
            </w:r>
          </w:p>
        </w:tc>
        <w:tc>
          <w:tcPr>
            <w:tcW w:w="3827" w:type="dxa"/>
            <w:noWrap/>
            <w:hideMark/>
          </w:tcPr>
          <w:p w14:paraId="2786BF86"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Difference-In-Differences</w:t>
            </w:r>
          </w:p>
        </w:tc>
      </w:tr>
      <w:tr w:rsidR="008D0CAD" w:rsidRPr="009A1D95" w14:paraId="112C28C4" w14:textId="77777777" w:rsidTr="0047524A">
        <w:trPr>
          <w:trHeight w:val="43"/>
        </w:trPr>
        <w:tc>
          <w:tcPr>
            <w:tcW w:w="988" w:type="dxa"/>
            <w:noWrap/>
            <w:hideMark/>
          </w:tcPr>
          <w:p w14:paraId="5A8E3747"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D.O.</w:t>
            </w:r>
          </w:p>
        </w:tc>
        <w:tc>
          <w:tcPr>
            <w:tcW w:w="3827" w:type="dxa"/>
            <w:noWrap/>
            <w:hideMark/>
          </w:tcPr>
          <w:p w14:paraId="1CEB7D21" w14:textId="77777777" w:rsidR="008D0CAD" w:rsidRPr="009A1D95" w:rsidRDefault="008D0CAD" w:rsidP="002320B3">
            <w:pPr>
              <w:rPr>
                <w:rFonts w:asciiTheme="majorHAnsi" w:hAnsiTheme="majorHAnsi" w:cstheme="majorHAnsi"/>
                <w:color w:val="000000"/>
                <w:sz w:val="16"/>
                <w:szCs w:val="16"/>
                <w:lang w:eastAsia="en-PH"/>
              </w:rPr>
            </w:pPr>
            <w:r>
              <w:rPr>
                <w:rFonts w:asciiTheme="majorHAnsi" w:hAnsiTheme="majorHAnsi" w:cstheme="majorHAnsi"/>
                <w:color w:val="000000"/>
                <w:sz w:val="16"/>
                <w:szCs w:val="16"/>
                <w:lang w:eastAsia="en-PH"/>
              </w:rPr>
              <w:t>DepEd</w:t>
            </w:r>
            <w:r w:rsidRPr="009A1D95">
              <w:rPr>
                <w:rFonts w:asciiTheme="majorHAnsi" w:hAnsiTheme="majorHAnsi" w:cstheme="majorHAnsi"/>
                <w:color w:val="000000"/>
                <w:sz w:val="16"/>
                <w:szCs w:val="16"/>
                <w:lang w:eastAsia="en-PH"/>
              </w:rPr>
              <w:t xml:space="preserve"> Order</w:t>
            </w:r>
          </w:p>
        </w:tc>
      </w:tr>
      <w:tr w:rsidR="008D0CAD" w:rsidRPr="009A1D95" w14:paraId="1D0D7319" w14:textId="77777777" w:rsidTr="0047524A">
        <w:trPr>
          <w:trHeight w:val="43"/>
        </w:trPr>
        <w:tc>
          <w:tcPr>
            <w:tcW w:w="988" w:type="dxa"/>
            <w:noWrap/>
            <w:hideMark/>
          </w:tcPr>
          <w:p w14:paraId="6624AF82"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DO</w:t>
            </w:r>
          </w:p>
        </w:tc>
        <w:tc>
          <w:tcPr>
            <w:tcW w:w="3827" w:type="dxa"/>
            <w:noWrap/>
            <w:hideMark/>
          </w:tcPr>
          <w:p w14:paraId="286DF2EF"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Division Office</w:t>
            </w:r>
          </w:p>
        </w:tc>
      </w:tr>
      <w:tr w:rsidR="008D0CAD" w:rsidRPr="009A1D95" w14:paraId="3E279815" w14:textId="77777777" w:rsidTr="0047524A">
        <w:trPr>
          <w:trHeight w:val="43"/>
        </w:trPr>
        <w:tc>
          <w:tcPr>
            <w:tcW w:w="988" w:type="dxa"/>
            <w:noWrap/>
            <w:hideMark/>
          </w:tcPr>
          <w:p w14:paraId="2805495F"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EBEIS</w:t>
            </w:r>
          </w:p>
        </w:tc>
        <w:tc>
          <w:tcPr>
            <w:tcW w:w="3827" w:type="dxa"/>
            <w:noWrap/>
            <w:hideMark/>
          </w:tcPr>
          <w:p w14:paraId="6DDC7955"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Enhanced Basic Education Information System</w:t>
            </w:r>
          </w:p>
        </w:tc>
      </w:tr>
      <w:tr w:rsidR="008D0CAD" w:rsidRPr="009A1D95" w14:paraId="5AF267A6" w14:textId="77777777" w:rsidTr="0047524A">
        <w:trPr>
          <w:trHeight w:val="43"/>
        </w:trPr>
        <w:tc>
          <w:tcPr>
            <w:tcW w:w="988" w:type="dxa"/>
            <w:noWrap/>
            <w:hideMark/>
          </w:tcPr>
          <w:p w14:paraId="10022E2E"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EOPE</w:t>
            </w:r>
          </w:p>
        </w:tc>
        <w:tc>
          <w:tcPr>
            <w:tcW w:w="3827" w:type="dxa"/>
            <w:noWrap/>
            <w:hideMark/>
          </w:tcPr>
          <w:p w14:paraId="3EB2584D"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End-of-Program Evaluation</w:t>
            </w:r>
          </w:p>
        </w:tc>
      </w:tr>
      <w:tr w:rsidR="008D0CAD" w:rsidRPr="009A1D95" w14:paraId="6A2D06B3" w14:textId="77777777" w:rsidTr="0047524A">
        <w:trPr>
          <w:trHeight w:val="43"/>
        </w:trPr>
        <w:tc>
          <w:tcPr>
            <w:tcW w:w="988" w:type="dxa"/>
            <w:noWrap/>
            <w:hideMark/>
          </w:tcPr>
          <w:p w14:paraId="207F37CE"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EOPO</w:t>
            </w:r>
          </w:p>
        </w:tc>
        <w:tc>
          <w:tcPr>
            <w:tcW w:w="3827" w:type="dxa"/>
            <w:noWrap/>
            <w:hideMark/>
          </w:tcPr>
          <w:p w14:paraId="4B8C8DE9"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End-of-Program Outcomes</w:t>
            </w:r>
          </w:p>
        </w:tc>
      </w:tr>
      <w:tr w:rsidR="008D0CAD" w:rsidRPr="009A1D95" w14:paraId="61F597F6" w14:textId="77777777" w:rsidTr="0047524A">
        <w:trPr>
          <w:trHeight w:val="43"/>
        </w:trPr>
        <w:tc>
          <w:tcPr>
            <w:tcW w:w="988" w:type="dxa"/>
            <w:noWrap/>
            <w:hideMark/>
          </w:tcPr>
          <w:p w14:paraId="5C66DFCF"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FGD</w:t>
            </w:r>
          </w:p>
        </w:tc>
        <w:tc>
          <w:tcPr>
            <w:tcW w:w="3827" w:type="dxa"/>
            <w:noWrap/>
            <w:hideMark/>
          </w:tcPr>
          <w:p w14:paraId="71A4FFC8"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Focal Group Discussion</w:t>
            </w:r>
          </w:p>
        </w:tc>
      </w:tr>
      <w:tr w:rsidR="008D0CAD" w:rsidRPr="009A1D95" w14:paraId="2AD7463F" w14:textId="77777777" w:rsidTr="0047524A">
        <w:trPr>
          <w:trHeight w:val="43"/>
        </w:trPr>
        <w:tc>
          <w:tcPr>
            <w:tcW w:w="988" w:type="dxa"/>
            <w:noWrap/>
            <w:hideMark/>
          </w:tcPr>
          <w:p w14:paraId="25D39F65"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GAD</w:t>
            </w:r>
          </w:p>
        </w:tc>
        <w:tc>
          <w:tcPr>
            <w:tcW w:w="3827" w:type="dxa"/>
            <w:noWrap/>
            <w:hideMark/>
          </w:tcPr>
          <w:p w14:paraId="4296B62A"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Gender And Development</w:t>
            </w:r>
          </w:p>
        </w:tc>
      </w:tr>
      <w:tr w:rsidR="008D0CAD" w:rsidRPr="009A1D95" w14:paraId="5CED3B9A" w14:textId="77777777" w:rsidTr="0047524A">
        <w:trPr>
          <w:trHeight w:val="43"/>
        </w:trPr>
        <w:tc>
          <w:tcPr>
            <w:tcW w:w="988" w:type="dxa"/>
            <w:noWrap/>
            <w:hideMark/>
          </w:tcPr>
          <w:p w14:paraId="1FAEA253"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GEDSI</w:t>
            </w:r>
          </w:p>
        </w:tc>
        <w:tc>
          <w:tcPr>
            <w:tcW w:w="3827" w:type="dxa"/>
            <w:noWrap/>
            <w:hideMark/>
          </w:tcPr>
          <w:p w14:paraId="09960FEA"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Gender, Disability And Social Inclusion</w:t>
            </w:r>
          </w:p>
        </w:tc>
      </w:tr>
      <w:tr w:rsidR="008D0CAD" w:rsidRPr="009A1D95" w14:paraId="3AC16C2D" w14:textId="77777777" w:rsidTr="0047524A">
        <w:trPr>
          <w:trHeight w:val="43"/>
        </w:trPr>
        <w:tc>
          <w:tcPr>
            <w:tcW w:w="988" w:type="dxa"/>
            <w:noWrap/>
            <w:hideMark/>
          </w:tcPr>
          <w:p w14:paraId="14147A9C"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GFPS</w:t>
            </w:r>
          </w:p>
        </w:tc>
        <w:tc>
          <w:tcPr>
            <w:tcW w:w="3827" w:type="dxa"/>
            <w:noWrap/>
            <w:hideMark/>
          </w:tcPr>
          <w:p w14:paraId="70B06938"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Gender Focal Point System</w:t>
            </w:r>
          </w:p>
        </w:tc>
      </w:tr>
      <w:tr w:rsidR="008D0CAD" w:rsidRPr="009A1D95" w14:paraId="7F39E5BD" w14:textId="77777777" w:rsidTr="0047524A">
        <w:trPr>
          <w:trHeight w:val="43"/>
        </w:trPr>
        <w:tc>
          <w:tcPr>
            <w:tcW w:w="988" w:type="dxa"/>
            <w:noWrap/>
            <w:hideMark/>
          </w:tcPr>
          <w:p w14:paraId="295FC44E"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GRBE</w:t>
            </w:r>
          </w:p>
        </w:tc>
        <w:tc>
          <w:tcPr>
            <w:tcW w:w="3827" w:type="dxa"/>
            <w:noWrap/>
            <w:hideMark/>
          </w:tcPr>
          <w:p w14:paraId="59FAA286"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Gender-Responsive Basic Education</w:t>
            </w:r>
          </w:p>
        </w:tc>
      </w:tr>
      <w:tr w:rsidR="008D0CAD" w:rsidRPr="009A1D95" w14:paraId="7ED73D59" w14:textId="77777777" w:rsidTr="0047524A">
        <w:trPr>
          <w:trHeight w:val="43"/>
        </w:trPr>
        <w:tc>
          <w:tcPr>
            <w:tcW w:w="988" w:type="dxa"/>
            <w:noWrap/>
            <w:hideMark/>
          </w:tcPr>
          <w:p w14:paraId="6B2F758D"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ICT</w:t>
            </w:r>
          </w:p>
        </w:tc>
        <w:tc>
          <w:tcPr>
            <w:tcW w:w="3827" w:type="dxa"/>
            <w:noWrap/>
            <w:hideMark/>
          </w:tcPr>
          <w:p w14:paraId="16BD7FA9"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Information and Communications Technology</w:t>
            </w:r>
          </w:p>
        </w:tc>
      </w:tr>
      <w:tr w:rsidR="008D0CAD" w:rsidRPr="009A1D95" w14:paraId="396B796B" w14:textId="77777777" w:rsidTr="0047524A">
        <w:trPr>
          <w:trHeight w:val="43"/>
        </w:trPr>
        <w:tc>
          <w:tcPr>
            <w:tcW w:w="988" w:type="dxa"/>
            <w:noWrap/>
            <w:hideMark/>
          </w:tcPr>
          <w:p w14:paraId="22598010"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IE</w:t>
            </w:r>
          </w:p>
        </w:tc>
        <w:tc>
          <w:tcPr>
            <w:tcW w:w="3827" w:type="dxa"/>
            <w:noWrap/>
            <w:hideMark/>
          </w:tcPr>
          <w:p w14:paraId="5E929BAF"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Inclusive Education</w:t>
            </w:r>
          </w:p>
        </w:tc>
      </w:tr>
      <w:tr w:rsidR="008D0CAD" w:rsidRPr="009A1D95" w14:paraId="640B25EB" w14:textId="77777777" w:rsidTr="0047524A">
        <w:trPr>
          <w:trHeight w:val="43"/>
        </w:trPr>
        <w:tc>
          <w:tcPr>
            <w:tcW w:w="988" w:type="dxa"/>
            <w:noWrap/>
            <w:hideMark/>
          </w:tcPr>
          <w:p w14:paraId="6B1DC679"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IPED</w:t>
            </w:r>
          </w:p>
        </w:tc>
        <w:tc>
          <w:tcPr>
            <w:tcW w:w="3827" w:type="dxa"/>
            <w:noWrap/>
            <w:hideMark/>
          </w:tcPr>
          <w:p w14:paraId="70541088"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Indigenous Peoples Education</w:t>
            </w:r>
          </w:p>
        </w:tc>
      </w:tr>
      <w:tr w:rsidR="008D0CAD" w:rsidRPr="009A1D95" w14:paraId="28809DE8" w14:textId="77777777" w:rsidTr="0047524A">
        <w:trPr>
          <w:trHeight w:val="43"/>
        </w:trPr>
        <w:tc>
          <w:tcPr>
            <w:tcW w:w="988" w:type="dxa"/>
            <w:noWrap/>
            <w:hideMark/>
          </w:tcPr>
          <w:p w14:paraId="1ABA9399"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KAU</w:t>
            </w:r>
          </w:p>
        </w:tc>
        <w:tc>
          <w:tcPr>
            <w:tcW w:w="3827" w:type="dxa"/>
            <w:noWrap/>
            <w:hideMark/>
          </w:tcPr>
          <w:p w14:paraId="02BD054A"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Knowledge, Access, Usefulness</w:t>
            </w:r>
          </w:p>
        </w:tc>
      </w:tr>
      <w:tr w:rsidR="008D0CAD" w:rsidRPr="009A1D95" w14:paraId="6A794396" w14:textId="77777777" w:rsidTr="0047524A">
        <w:trPr>
          <w:trHeight w:val="43"/>
        </w:trPr>
        <w:tc>
          <w:tcPr>
            <w:tcW w:w="988" w:type="dxa"/>
            <w:noWrap/>
            <w:hideMark/>
          </w:tcPr>
          <w:p w14:paraId="6936A5B2"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KAUQ</w:t>
            </w:r>
          </w:p>
        </w:tc>
        <w:tc>
          <w:tcPr>
            <w:tcW w:w="3827" w:type="dxa"/>
            <w:noWrap/>
            <w:hideMark/>
          </w:tcPr>
          <w:p w14:paraId="707F9B64"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Knowledge, Access, Usefulness, Quality</w:t>
            </w:r>
          </w:p>
        </w:tc>
      </w:tr>
      <w:tr w:rsidR="008D0CAD" w:rsidRPr="009A1D95" w14:paraId="5F5329A7" w14:textId="77777777" w:rsidTr="0047524A">
        <w:trPr>
          <w:trHeight w:val="43"/>
        </w:trPr>
        <w:tc>
          <w:tcPr>
            <w:tcW w:w="988" w:type="dxa"/>
            <w:noWrap/>
            <w:hideMark/>
          </w:tcPr>
          <w:p w14:paraId="4922BFDC"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KII</w:t>
            </w:r>
          </w:p>
        </w:tc>
        <w:tc>
          <w:tcPr>
            <w:tcW w:w="3827" w:type="dxa"/>
            <w:noWrap/>
            <w:hideMark/>
          </w:tcPr>
          <w:p w14:paraId="55274A1D"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Key Informant Interview</w:t>
            </w:r>
          </w:p>
        </w:tc>
      </w:tr>
      <w:tr w:rsidR="008D0CAD" w:rsidRPr="009A1D95" w14:paraId="0E809B10" w14:textId="77777777" w:rsidTr="0047524A">
        <w:trPr>
          <w:trHeight w:val="43"/>
        </w:trPr>
        <w:tc>
          <w:tcPr>
            <w:tcW w:w="988" w:type="dxa"/>
            <w:noWrap/>
            <w:hideMark/>
          </w:tcPr>
          <w:p w14:paraId="1471D3D2"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KRT</w:t>
            </w:r>
          </w:p>
        </w:tc>
        <w:tc>
          <w:tcPr>
            <w:tcW w:w="3827" w:type="dxa"/>
            <w:noWrap/>
            <w:hideMark/>
          </w:tcPr>
          <w:p w14:paraId="6DD7E532"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Key Reform Thrusts</w:t>
            </w:r>
          </w:p>
        </w:tc>
      </w:tr>
      <w:tr w:rsidR="008D0CAD" w:rsidRPr="009A1D95" w14:paraId="1C6331A4" w14:textId="77777777" w:rsidTr="0047524A">
        <w:trPr>
          <w:trHeight w:val="43"/>
        </w:trPr>
        <w:tc>
          <w:tcPr>
            <w:tcW w:w="988" w:type="dxa"/>
            <w:noWrap/>
            <w:hideMark/>
          </w:tcPr>
          <w:p w14:paraId="76C97DDD"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L&amp;D</w:t>
            </w:r>
          </w:p>
        </w:tc>
        <w:tc>
          <w:tcPr>
            <w:tcW w:w="3827" w:type="dxa"/>
            <w:noWrap/>
            <w:hideMark/>
          </w:tcPr>
          <w:p w14:paraId="2AEE8B4F"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Learning And Development</w:t>
            </w:r>
          </w:p>
        </w:tc>
      </w:tr>
      <w:tr w:rsidR="008D0CAD" w:rsidRPr="009A1D95" w14:paraId="6457BEF9" w14:textId="77777777" w:rsidTr="0047524A">
        <w:trPr>
          <w:trHeight w:val="43"/>
        </w:trPr>
        <w:tc>
          <w:tcPr>
            <w:tcW w:w="988" w:type="dxa"/>
            <w:noWrap/>
            <w:hideMark/>
          </w:tcPr>
          <w:p w14:paraId="24740F2F"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LAC</w:t>
            </w:r>
          </w:p>
        </w:tc>
        <w:tc>
          <w:tcPr>
            <w:tcW w:w="3827" w:type="dxa"/>
            <w:noWrap/>
            <w:hideMark/>
          </w:tcPr>
          <w:p w14:paraId="1377572B"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Learning Action Cells</w:t>
            </w:r>
          </w:p>
        </w:tc>
      </w:tr>
      <w:tr w:rsidR="008D0CAD" w:rsidRPr="009A1D95" w14:paraId="2919D10C" w14:textId="77777777" w:rsidTr="0047524A">
        <w:trPr>
          <w:trHeight w:val="43"/>
        </w:trPr>
        <w:tc>
          <w:tcPr>
            <w:tcW w:w="988" w:type="dxa"/>
            <w:noWrap/>
            <w:hideMark/>
          </w:tcPr>
          <w:p w14:paraId="154632B2"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LGU</w:t>
            </w:r>
          </w:p>
        </w:tc>
        <w:tc>
          <w:tcPr>
            <w:tcW w:w="3827" w:type="dxa"/>
            <w:noWrap/>
            <w:hideMark/>
          </w:tcPr>
          <w:p w14:paraId="4113A125"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Local Government Unit</w:t>
            </w:r>
          </w:p>
        </w:tc>
      </w:tr>
      <w:tr w:rsidR="008D0CAD" w:rsidRPr="009A1D95" w14:paraId="473ED85F" w14:textId="77777777" w:rsidTr="0047524A">
        <w:trPr>
          <w:trHeight w:val="43"/>
        </w:trPr>
        <w:tc>
          <w:tcPr>
            <w:tcW w:w="988" w:type="dxa"/>
            <w:noWrap/>
            <w:hideMark/>
          </w:tcPr>
          <w:p w14:paraId="5E759392"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LIS</w:t>
            </w:r>
          </w:p>
        </w:tc>
        <w:tc>
          <w:tcPr>
            <w:tcW w:w="3827" w:type="dxa"/>
            <w:noWrap/>
            <w:hideMark/>
          </w:tcPr>
          <w:p w14:paraId="5FAB3C8D"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Learner Information System</w:t>
            </w:r>
          </w:p>
        </w:tc>
      </w:tr>
      <w:tr w:rsidR="008D0CAD" w:rsidRPr="009A1D95" w14:paraId="11F7FDC1" w14:textId="77777777" w:rsidTr="0047524A">
        <w:trPr>
          <w:trHeight w:val="43"/>
        </w:trPr>
        <w:tc>
          <w:tcPr>
            <w:tcW w:w="988" w:type="dxa"/>
            <w:noWrap/>
            <w:hideMark/>
          </w:tcPr>
          <w:p w14:paraId="50FF849C"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LR</w:t>
            </w:r>
          </w:p>
        </w:tc>
        <w:tc>
          <w:tcPr>
            <w:tcW w:w="3827" w:type="dxa"/>
            <w:noWrap/>
            <w:hideMark/>
          </w:tcPr>
          <w:p w14:paraId="758F352D"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Learning Resources</w:t>
            </w:r>
          </w:p>
        </w:tc>
      </w:tr>
      <w:tr w:rsidR="008D0CAD" w:rsidRPr="009A1D95" w14:paraId="4C014687" w14:textId="77777777" w:rsidTr="0047524A">
        <w:trPr>
          <w:trHeight w:val="43"/>
        </w:trPr>
        <w:tc>
          <w:tcPr>
            <w:tcW w:w="988" w:type="dxa"/>
            <w:noWrap/>
            <w:hideMark/>
          </w:tcPr>
          <w:p w14:paraId="71CE9912"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LSB</w:t>
            </w:r>
          </w:p>
        </w:tc>
        <w:tc>
          <w:tcPr>
            <w:tcW w:w="3827" w:type="dxa"/>
            <w:noWrap/>
            <w:hideMark/>
          </w:tcPr>
          <w:p w14:paraId="1DD33E14"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Local School Boards</w:t>
            </w:r>
          </w:p>
        </w:tc>
      </w:tr>
      <w:tr w:rsidR="008D0CAD" w:rsidRPr="009A1D95" w14:paraId="51FB6C9F" w14:textId="77777777" w:rsidTr="0047524A">
        <w:trPr>
          <w:trHeight w:val="43"/>
        </w:trPr>
        <w:tc>
          <w:tcPr>
            <w:tcW w:w="988" w:type="dxa"/>
            <w:noWrap/>
            <w:hideMark/>
          </w:tcPr>
          <w:p w14:paraId="67FB8AE6"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M&amp;E</w:t>
            </w:r>
          </w:p>
        </w:tc>
        <w:tc>
          <w:tcPr>
            <w:tcW w:w="3827" w:type="dxa"/>
            <w:noWrap/>
            <w:hideMark/>
          </w:tcPr>
          <w:p w14:paraId="380C7BF0"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Monitoring And Evaluation</w:t>
            </w:r>
          </w:p>
        </w:tc>
      </w:tr>
      <w:tr w:rsidR="008D0CAD" w:rsidRPr="009A1D95" w14:paraId="6FAC0F38" w14:textId="77777777" w:rsidTr="0047524A">
        <w:trPr>
          <w:trHeight w:val="43"/>
        </w:trPr>
        <w:tc>
          <w:tcPr>
            <w:tcW w:w="988" w:type="dxa"/>
            <w:noWrap/>
            <w:hideMark/>
          </w:tcPr>
          <w:p w14:paraId="3582DFB6"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MEA</w:t>
            </w:r>
          </w:p>
        </w:tc>
        <w:tc>
          <w:tcPr>
            <w:tcW w:w="3827" w:type="dxa"/>
            <w:noWrap/>
            <w:hideMark/>
          </w:tcPr>
          <w:p w14:paraId="78CD1BAF" w14:textId="322BDFF0"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Monitoring, Evaluation, and Adjustment</w:t>
            </w:r>
            <w:r w:rsidR="00D434EB">
              <w:rPr>
                <w:rFonts w:asciiTheme="majorHAnsi" w:hAnsiTheme="majorHAnsi" w:cstheme="majorHAnsi"/>
                <w:color w:val="000000"/>
                <w:sz w:val="16"/>
                <w:szCs w:val="16"/>
                <w:lang w:eastAsia="en-PH"/>
              </w:rPr>
              <w:t xml:space="preserve"> </w:t>
            </w:r>
          </w:p>
        </w:tc>
      </w:tr>
      <w:tr w:rsidR="008D0CAD" w:rsidRPr="009A1D95" w14:paraId="534A9DFD" w14:textId="77777777" w:rsidTr="0047524A">
        <w:trPr>
          <w:trHeight w:val="43"/>
        </w:trPr>
        <w:tc>
          <w:tcPr>
            <w:tcW w:w="988" w:type="dxa"/>
            <w:noWrap/>
            <w:hideMark/>
          </w:tcPr>
          <w:p w14:paraId="36D0C0EB"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MTB-MLE</w:t>
            </w:r>
          </w:p>
        </w:tc>
        <w:tc>
          <w:tcPr>
            <w:tcW w:w="3827" w:type="dxa"/>
            <w:noWrap/>
            <w:hideMark/>
          </w:tcPr>
          <w:p w14:paraId="0185CEAB" w14:textId="77777777" w:rsidR="008D0CAD"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 xml:space="preserve">Mother Tongue-Based Multilingual Education Program </w:t>
            </w:r>
          </w:p>
          <w:p w14:paraId="05561AB1" w14:textId="64663C65" w:rsidR="008D0CAD" w:rsidRPr="009A1D95" w:rsidRDefault="00D434EB" w:rsidP="002320B3">
            <w:pPr>
              <w:rPr>
                <w:rFonts w:asciiTheme="majorHAnsi" w:hAnsiTheme="majorHAnsi" w:cstheme="majorHAnsi"/>
                <w:color w:val="000000"/>
                <w:sz w:val="16"/>
                <w:szCs w:val="16"/>
                <w:lang w:eastAsia="en-PH"/>
              </w:rPr>
            </w:pPr>
            <w:r>
              <w:rPr>
                <w:rFonts w:asciiTheme="majorHAnsi" w:hAnsiTheme="majorHAnsi" w:cstheme="majorHAnsi"/>
                <w:color w:val="000000"/>
                <w:sz w:val="16"/>
                <w:szCs w:val="16"/>
                <w:lang w:eastAsia="en-PH"/>
              </w:rPr>
              <w:t xml:space="preserve">  </w:t>
            </w:r>
            <w:r w:rsidR="008D0CAD" w:rsidRPr="009A1D95">
              <w:rPr>
                <w:rFonts w:asciiTheme="majorHAnsi" w:hAnsiTheme="majorHAnsi" w:cstheme="majorHAnsi"/>
                <w:color w:val="000000"/>
                <w:sz w:val="16"/>
                <w:szCs w:val="16"/>
                <w:lang w:eastAsia="en-PH"/>
              </w:rPr>
              <w:t>Implementation</w:t>
            </w:r>
          </w:p>
        </w:tc>
      </w:tr>
      <w:tr w:rsidR="008D0CAD" w:rsidRPr="009A1D95" w14:paraId="6F5666CF" w14:textId="77777777" w:rsidTr="0047524A">
        <w:trPr>
          <w:trHeight w:val="43"/>
        </w:trPr>
        <w:tc>
          <w:tcPr>
            <w:tcW w:w="988" w:type="dxa"/>
            <w:noWrap/>
            <w:hideMark/>
          </w:tcPr>
          <w:p w14:paraId="709BE641"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NAT</w:t>
            </w:r>
          </w:p>
        </w:tc>
        <w:tc>
          <w:tcPr>
            <w:tcW w:w="3827" w:type="dxa"/>
            <w:noWrap/>
            <w:hideMark/>
          </w:tcPr>
          <w:p w14:paraId="27DD496B"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National Assessment Test</w:t>
            </w:r>
          </w:p>
        </w:tc>
      </w:tr>
      <w:tr w:rsidR="008D0CAD" w:rsidRPr="009A1D95" w14:paraId="5F576F76" w14:textId="77777777" w:rsidTr="0047524A">
        <w:trPr>
          <w:trHeight w:val="43"/>
        </w:trPr>
        <w:tc>
          <w:tcPr>
            <w:tcW w:w="988" w:type="dxa"/>
            <w:noWrap/>
            <w:hideMark/>
          </w:tcPr>
          <w:p w14:paraId="60B30457"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NEAP</w:t>
            </w:r>
          </w:p>
        </w:tc>
        <w:tc>
          <w:tcPr>
            <w:tcW w:w="3827" w:type="dxa"/>
            <w:noWrap/>
            <w:hideMark/>
          </w:tcPr>
          <w:p w14:paraId="4EBA623C"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National Educators Academy of the Philippines</w:t>
            </w:r>
          </w:p>
        </w:tc>
      </w:tr>
      <w:tr w:rsidR="008D0CAD" w:rsidRPr="009A1D95" w14:paraId="715DB5E7" w14:textId="77777777" w:rsidTr="0047524A">
        <w:trPr>
          <w:trHeight w:val="43"/>
        </w:trPr>
        <w:tc>
          <w:tcPr>
            <w:tcW w:w="988" w:type="dxa"/>
            <w:noWrap/>
            <w:hideMark/>
          </w:tcPr>
          <w:p w14:paraId="385BEFA3"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NTOT</w:t>
            </w:r>
          </w:p>
        </w:tc>
        <w:tc>
          <w:tcPr>
            <w:tcW w:w="3827" w:type="dxa"/>
            <w:noWrap/>
            <w:hideMark/>
          </w:tcPr>
          <w:p w14:paraId="3A051E07"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National Training of Trainers</w:t>
            </w:r>
          </w:p>
        </w:tc>
      </w:tr>
      <w:tr w:rsidR="008D0CAD" w:rsidRPr="009A1D95" w14:paraId="040C8C6E" w14:textId="77777777" w:rsidTr="0047524A">
        <w:trPr>
          <w:trHeight w:val="43"/>
        </w:trPr>
        <w:tc>
          <w:tcPr>
            <w:tcW w:w="988" w:type="dxa"/>
            <w:noWrap/>
            <w:hideMark/>
          </w:tcPr>
          <w:p w14:paraId="33184413"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OD</w:t>
            </w:r>
          </w:p>
        </w:tc>
        <w:tc>
          <w:tcPr>
            <w:tcW w:w="3827" w:type="dxa"/>
            <w:noWrap/>
            <w:hideMark/>
          </w:tcPr>
          <w:p w14:paraId="44F848C5"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Organization Development</w:t>
            </w:r>
          </w:p>
        </w:tc>
      </w:tr>
      <w:tr w:rsidR="008D0CAD" w:rsidRPr="009A1D95" w14:paraId="0BE61E38" w14:textId="77777777" w:rsidTr="0047524A">
        <w:trPr>
          <w:trHeight w:val="43"/>
        </w:trPr>
        <w:tc>
          <w:tcPr>
            <w:tcW w:w="988" w:type="dxa"/>
            <w:noWrap/>
            <w:hideMark/>
          </w:tcPr>
          <w:p w14:paraId="707409C9"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OU</w:t>
            </w:r>
          </w:p>
        </w:tc>
        <w:tc>
          <w:tcPr>
            <w:tcW w:w="3827" w:type="dxa"/>
            <w:noWrap/>
            <w:hideMark/>
          </w:tcPr>
          <w:p w14:paraId="2EA85C35"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Operating Unit</w:t>
            </w:r>
          </w:p>
        </w:tc>
      </w:tr>
      <w:tr w:rsidR="008D0CAD" w:rsidRPr="009A1D95" w14:paraId="2E870BC0" w14:textId="77777777" w:rsidTr="0047524A">
        <w:trPr>
          <w:trHeight w:val="43"/>
        </w:trPr>
        <w:tc>
          <w:tcPr>
            <w:tcW w:w="988" w:type="dxa"/>
            <w:noWrap/>
            <w:hideMark/>
          </w:tcPr>
          <w:p w14:paraId="16221054"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P/SH</w:t>
            </w:r>
          </w:p>
        </w:tc>
        <w:tc>
          <w:tcPr>
            <w:tcW w:w="3827" w:type="dxa"/>
            <w:noWrap/>
            <w:hideMark/>
          </w:tcPr>
          <w:p w14:paraId="33D93305"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Principals and School Heads</w:t>
            </w:r>
          </w:p>
        </w:tc>
      </w:tr>
      <w:tr w:rsidR="008D0CAD" w:rsidRPr="009A1D95" w14:paraId="02A0B650" w14:textId="77777777" w:rsidTr="0047524A">
        <w:trPr>
          <w:trHeight w:val="43"/>
        </w:trPr>
        <w:tc>
          <w:tcPr>
            <w:tcW w:w="988" w:type="dxa"/>
            <w:noWrap/>
            <w:hideMark/>
          </w:tcPr>
          <w:p w14:paraId="0DDAA2CA"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PBEd</w:t>
            </w:r>
          </w:p>
        </w:tc>
        <w:tc>
          <w:tcPr>
            <w:tcW w:w="3827" w:type="dxa"/>
            <w:noWrap/>
            <w:hideMark/>
          </w:tcPr>
          <w:p w14:paraId="17A3D14A"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Philippine Business for Education</w:t>
            </w:r>
          </w:p>
        </w:tc>
      </w:tr>
      <w:tr w:rsidR="008D0CAD" w:rsidRPr="009A1D95" w14:paraId="35386490" w14:textId="77777777" w:rsidTr="0047524A">
        <w:trPr>
          <w:trHeight w:val="43"/>
        </w:trPr>
        <w:tc>
          <w:tcPr>
            <w:tcW w:w="988" w:type="dxa"/>
            <w:noWrap/>
            <w:hideMark/>
          </w:tcPr>
          <w:p w14:paraId="6A7ED7E7"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PBS</w:t>
            </w:r>
          </w:p>
        </w:tc>
        <w:tc>
          <w:tcPr>
            <w:tcW w:w="3827" w:type="dxa"/>
            <w:noWrap/>
            <w:hideMark/>
          </w:tcPr>
          <w:p w14:paraId="1F2DA5A5"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Planning and Budgeting Strategy</w:t>
            </w:r>
          </w:p>
        </w:tc>
      </w:tr>
      <w:tr w:rsidR="008D0CAD" w:rsidRPr="009A1D95" w14:paraId="4EAD5C51" w14:textId="77777777" w:rsidTr="0047524A">
        <w:trPr>
          <w:trHeight w:val="43"/>
        </w:trPr>
        <w:tc>
          <w:tcPr>
            <w:tcW w:w="988" w:type="dxa"/>
            <w:noWrap/>
            <w:hideMark/>
          </w:tcPr>
          <w:p w14:paraId="4F76B5F0"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PBSP</w:t>
            </w:r>
          </w:p>
        </w:tc>
        <w:tc>
          <w:tcPr>
            <w:tcW w:w="3827" w:type="dxa"/>
            <w:noWrap/>
            <w:hideMark/>
          </w:tcPr>
          <w:p w14:paraId="182E98EC"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Philippine Business For Social Progress</w:t>
            </w:r>
          </w:p>
        </w:tc>
      </w:tr>
      <w:tr w:rsidR="008D0CAD" w:rsidRPr="009A1D95" w14:paraId="6947BD5C" w14:textId="77777777" w:rsidTr="0047524A">
        <w:trPr>
          <w:trHeight w:val="43"/>
        </w:trPr>
        <w:tc>
          <w:tcPr>
            <w:tcW w:w="988" w:type="dxa"/>
            <w:noWrap/>
            <w:hideMark/>
          </w:tcPr>
          <w:p w14:paraId="6BBB6D4F"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PCW</w:t>
            </w:r>
          </w:p>
        </w:tc>
        <w:tc>
          <w:tcPr>
            <w:tcW w:w="3827" w:type="dxa"/>
            <w:noWrap/>
            <w:hideMark/>
          </w:tcPr>
          <w:p w14:paraId="105D6065"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Philippine Commission on Women</w:t>
            </w:r>
          </w:p>
        </w:tc>
      </w:tr>
      <w:tr w:rsidR="008D0CAD" w:rsidRPr="009A1D95" w14:paraId="50F475E8" w14:textId="77777777" w:rsidTr="0047524A">
        <w:trPr>
          <w:trHeight w:val="43"/>
        </w:trPr>
        <w:tc>
          <w:tcPr>
            <w:tcW w:w="988" w:type="dxa"/>
            <w:noWrap/>
            <w:hideMark/>
          </w:tcPr>
          <w:p w14:paraId="003854E2"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PDD</w:t>
            </w:r>
          </w:p>
        </w:tc>
        <w:tc>
          <w:tcPr>
            <w:tcW w:w="3827" w:type="dxa"/>
            <w:noWrap/>
            <w:hideMark/>
          </w:tcPr>
          <w:p w14:paraId="0C1D0925"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Program Design Document</w:t>
            </w:r>
          </w:p>
        </w:tc>
      </w:tr>
      <w:tr w:rsidR="008D0CAD" w:rsidRPr="009A1D95" w14:paraId="6EFB5B17" w14:textId="77777777" w:rsidTr="0047524A">
        <w:trPr>
          <w:trHeight w:val="43"/>
        </w:trPr>
        <w:tc>
          <w:tcPr>
            <w:tcW w:w="988" w:type="dxa"/>
            <w:noWrap/>
            <w:hideMark/>
          </w:tcPr>
          <w:p w14:paraId="4D5C269A"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PDET</w:t>
            </w:r>
          </w:p>
        </w:tc>
        <w:tc>
          <w:tcPr>
            <w:tcW w:w="3827" w:type="dxa"/>
            <w:noWrap/>
            <w:hideMark/>
          </w:tcPr>
          <w:p w14:paraId="6341D0FD"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Positive Discipline for Everyday Teaching</w:t>
            </w:r>
          </w:p>
        </w:tc>
      </w:tr>
      <w:tr w:rsidR="008D0CAD" w:rsidRPr="009A1D95" w14:paraId="24FA9239" w14:textId="77777777" w:rsidTr="0047524A">
        <w:trPr>
          <w:trHeight w:val="43"/>
        </w:trPr>
        <w:tc>
          <w:tcPr>
            <w:tcW w:w="988" w:type="dxa"/>
            <w:noWrap/>
            <w:hideMark/>
          </w:tcPr>
          <w:p w14:paraId="3BE271C0"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PMC</w:t>
            </w:r>
          </w:p>
        </w:tc>
        <w:tc>
          <w:tcPr>
            <w:tcW w:w="3827" w:type="dxa"/>
            <w:noWrap/>
            <w:hideMark/>
          </w:tcPr>
          <w:p w14:paraId="793297E8"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Program Management Committee</w:t>
            </w:r>
          </w:p>
        </w:tc>
      </w:tr>
      <w:tr w:rsidR="008D0CAD" w:rsidRPr="009A1D95" w14:paraId="65FF1F06" w14:textId="77777777" w:rsidTr="0047524A">
        <w:trPr>
          <w:trHeight w:val="43"/>
        </w:trPr>
        <w:tc>
          <w:tcPr>
            <w:tcW w:w="988" w:type="dxa"/>
            <w:noWrap/>
            <w:hideMark/>
          </w:tcPr>
          <w:p w14:paraId="3BC860C3"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PPMES</w:t>
            </w:r>
          </w:p>
        </w:tc>
        <w:tc>
          <w:tcPr>
            <w:tcW w:w="3827" w:type="dxa"/>
            <w:noWrap/>
            <w:hideMark/>
          </w:tcPr>
          <w:p w14:paraId="1134DA55" w14:textId="77777777" w:rsidR="008D0CAD"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 xml:space="preserve">Policy, Planning, and Monitoring and Evaluation </w:t>
            </w:r>
          </w:p>
          <w:p w14:paraId="33A898EA" w14:textId="2F27F0DD" w:rsidR="008D0CAD" w:rsidRPr="009A1D95" w:rsidRDefault="00D434EB" w:rsidP="002320B3">
            <w:pPr>
              <w:rPr>
                <w:rFonts w:asciiTheme="majorHAnsi" w:hAnsiTheme="majorHAnsi" w:cstheme="majorHAnsi"/>
                <w:color w:val="000000"/>
                <w:sz w:val="16"/>
                <w:szCs w:val="16"/>
                <w:lang w:eastAsia="en-PH"/>
              </w:rPr>
            </w:pPr>
            <w:r>
              <w:rPr>
                <w:rFonts w:asciiTheme="majorHAnsi" w:hAnsiTheme="majorHAnsi" w:cstheme="majorHAnsi"/>
                <w:color w:val="000000"/>
                <w:sz w:val="16"/>
                <w:szCs w:val="16"/>
                <w:lang w:eastAsia="en-PH"/>
              </w:rPr>
              <w:t xml:space="preserve">  </w:t>
            </w:r>
            <w:r w:rsidR="008D0CAD" w:rsidRPr="009A1D95">
              <w:rPr>
                <w:rFonts w:asciiTheme="majorHAnsi" w:hAnsiTheme="majorHAnsi" w:cstheme="majorHAnsi"/>
                <w:color w:val="000000"/>
                <w:sz w:val="16"/>
                <w:szCs w:val="16"/>
                <w:lang w:eastAsia="en-PH"/>
              </w:rPr>
              <w:t>Systems</w:t>
            </w:r>
          </w:p>
        </w:tc>
      </w:tr>
    </w:tbl>
    <w:p w14:paraId="0756171A" w14:textId="77777777" w:rsidR="008D0CAD" w:rsidRDefault="008D0CAD" w:rsidP="002320B3"/>
    <w:p w14:paraId="0CC105D5" w14:textId="77777777" w:rsidR="008D0CAD" w:rsidRDefault="008D0CAD" w:rsidP="002320B3"/>
    <w:p w14:paraId="6409777F" w14:textId="77777777" w:rsidR="008D0CAD" w:rsidRDefault="008D0CAD" w:rsidP="002320B3"/>
    <w:p w14:paraId="5A3A290A" w14:textId="77777777" w:rsidR="008D0CAD" w:rsidRDefault="008D0CAD" w:rsidP="002320B3"/>
    <w:tbl>
      <w:tblPr>
        <w:tblStyle w:val="TableGrid1"/>
        <w:tblW w:w="4678" w:type="dxa"/>
        <w:tblLook w:val="04A0" w:firstRow="1" w:lastRow="0" w:firstColumn="1" w:lastColumn="0" w:noHBand="0" w:noVBand="1"/>
      </w:tblPr>
      <w:tblGrid>
        <w:gridCol w:w="988"/>
        <w:gridCol w:w="3690"/>
      </w:tblGrid>
      <w:tr w:rsidR="00C87C04" w:rsidRPr="008B7D29" w14:paraId="7A237F7C" w14:textId="77777777" w:rsidTr="00F4751F">
        <w:trPr>
          <w:trHeight w:val="43"/>
        </w:trPr>
        <w:tc>
          <w:tcPr>
            <w:tcW w:w="988" w:type="dxa"/>
            <w:tcBorders>
              <w:right w:val="nil"/>
            </w:tcBorders>
            <w:noWrap/>
          </w:tcPr>
          <w:p w14:paraId="36FA2014" w14:textId="77777777" w:rsidR="00C87C04" w:rsidRPr="00F4751F" w:rsidRDefault="00C87C04" w:rsidP="002320B3">
            <w:pPr>
              <w:rPr>
                <w:rFonts w:asciiTheme="majorHAnsi" w:hAnsiTheme="majorHAnsi" w:cstheme="majorHAnsi"/>
                <w:b/>
                <w:bCs/>
                <w:color w:val="000000"/>
                <w:sz w:val="16"/>
                <w:szCs w:val="16"/>
                <w:lang w:eastAsia="en-PH"/>
              </w:rPr>
            </w:pPr>
          </w:p>
        </w:tc>
        <w:tc>
          <w:tcPr>
            <w:tcW w:w="3690" w:type="dxa"/>
            <w:tcBorders>
              <w:left w:val="nil"/>
            </w:tcBorders>
            <w:noWrap/>
          </w:tcPr>
          <w:p w14:paraId="34AD5F08" w14:textId="76ECE082" w:rsidR="00C87C04" w:rsidRPr="00F4751F" w:rsidRDefault="00C87C04" w:rsidP="002320B3">
            <w:pPr>
              <w:rPr>
                <w:rFonts w:asciiTheme="majorHAnsi" w:hAnsiTheme="majorHAnsi" w:cstheme="majorHAnsi"/>
                <w:b/>
                <w:bCs/>
                <w:color w:val="000000"/>
                <w:sz w:val="16"/>
                <w:szCs w:val="16"/>
                <w:lang w:eastAsia="en-PH"/>
              </w:rPr>
            </w:pPr>
            <w:r w:rsidRPr="00F4751F">
              <w:rPr>
                <w:rFonts w:asciiTheme="majorHAnsi" w:hAnsiTheme="majorHAnsi" w:cstheme="majorHAnsi"/>
                <w:b/>
                <w:bCs/>
                <w:color w:val="000000"/>
                <w:sz w:val="16"/>
                <w:szCs w:val="16"/>
                <w:lang w:eastAsia="en-PH"/>
              </w:rPr>
              <w:t>Glossary, Acronyms &amp; Abbreviations</w:t>
            </w:r>
          </w:p>
        </w:tc>
      </w:tr>
      <w:tr w:rsidR="008D0CAD" w:rsidRPr="009A1D95" w14:paraId="62D5FF48" w14:textId="77777777" w:rsidTr="005C6E25">
        <w:trPr>
          <w:trHeight w:val="43"/>
        </w:trPr>
        <w:tc>
          <w:tcPr>
            <w:tcW w:w="988" w:type="dxa"/>
            <w:noWrap/>
            <w:hideMark/>
          </w:tcPr>
          <w:p w14:paraId="6FA8778F"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PPST</w:t>
            </w:r>
          </w:p>
        </w:tc>
        <w:tc>
          <w:tcPr>
            <w:tcW w:w="3690" w:type="dxa"/>
            <w:noWrap/>
            <w:hideMark/>
          </w:tcPr>
          <w:p w14:paraId="2CFF8D21"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Philippines Professional Standards for Teachers</w:t>
            </w:r>
          </w:p>
        </w:tc>
      </w:tr>
      <w:tr w:rsidR="008D0CAD" w:rsidRPr="009A1D95" w14:paraId="67014A78" w14:textId="77777777" w:rsidTr="005C6E25">
        <w:trPr>
          <w:trHeight w:val="43"/>
        </w:trPr>
        <w:tc>
          <w:tcPr>
            <w:tcW w:w="988" w:type="dxa"/>
            <w:noWrap/>
          </w:tcPr>
          <w:p w14:paraId="46AF5442"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PRIMALS</w:t>
            </w:r>
          </w:p>
        </w:tc>
        <w:tc>
          <w:tcPr>
            <w:tcW w:w="3690" w:type="dxa"/>
            <w:noWrap/>
          </w:tcPr>
          <w:p w14:paraId="4F403F6B" w14:textId="77777777" w:rsidR="008D0CAD"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 xml:space="preserve">Pedagogical Retooling In Mathematics, Languages, </w:t>
            </w:r>
          </w:p>
          <w:p w14:paraId="6ECDC4BC" w14:textId="5D432646" w:rsidR="008D0CAD" w:rsidRPr="009A1D95" w:rsidRDefault="00D434EB" w:rsidP="002320B3">
            <w:pPr>
              <w:rPr>
                <w:rFonts w:asciiTheme="majorHAnsi" w:hAnsiTheme="majorHAnsi" w:cstheme="majorHAnsi"/>
                <w:color w:val="000000"/>
                <w:sz w:val="16"/>
                <w:szCs w:val="16"/>
                <w:lang w:eastAsia="en-PH"/>
              </w:rPr>
            </w:pPr>
            <w:r>
              <w:rPr>
                <w:rFonts w:asciiTheme="majorHAnsi" w:hAnsiTheme="majorHAnsi" w:cstheme="majorHAnsi"/>
                <w:color w:val="000000"/>
                <w:sz w:val="16"/>
                <w:szCs w:val="16"/>
                <w:lang w:eastAsia="en-PH"/>
              </w:rPr>
              <w:t xml:space="preserve">  </w:t>
            </w:r>
            <w:r w:rsidR="008D0CAD" w:rsidRPr="009A1D95">
              <w:rPr>
                <w:rFonts w:asciiTheme="majorHAnsi" w:hAnsiTheme="majorHAnsi" w:cstheme="majorHAnsi"/>
                <w:color w:val="000000"/>
                <w:sz w:val="16"/>
                <w:szCs w:val="16"/>
                <w:lang w:eastAsia="en-PH"/>
              </w:rPr>
              <w:t>and Science</w:t>
            </w:r>
          </w:p>
        </w:tc>
      </w:tr>
      <w:tr w:rsidR="008D0CAD" w:rsidRPr="009A1D95" w14:paraId="34B04C62" w14:textId="77777777" w:rsidTr="005C6E25">
        <w:trPr>
          <w:trHeight w:val="43"/>
        </w:trPr>
        <w:tc>
          <w:tcPr>
            <w:tcW w:w="988" w:type="dxa"/>
            <w:noWrap/>
            <w:hideMark/>
          </w:tcPr>
          <w:p w14:paraId="3792C645" w14:textId="77777777" w:rsidR="008D0CAD"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PRIME-</w:t>
            </w:r>
          </w:p>
          <w:p w14:paraId="14CD1564" w14:textId="742033E0" w:rsidR="008D0CAD" w:rsidRPr="009A1D95" w:rsidRDefault="00D434EB" w:rsidP="002320B3">
            <w:pPr>
              <w:rPr>
                <w:rFonts w:asciiTheme="majorHAnsi" w:hAnsiTheme="majorHAnsi" w:cstheme="majorHAnsi"/>
                <w:color w:val="000000"/>
                <w:sz w:val="16"/>
                <w:szCs w:val="16"/>
                <w:lang w:eastAsia="en-PH"/>
              </w:rPr>
            </w:pPr>
            <w:r>
              <w:rPr>
                <w:rFonts w:asciiTheme="majorHAnsi" w:hAnsiTheme="majorHAnsi" w:cstheme="majorHAnsi"/>
                <w:color w:val="000000"/>
                <w:sz w:val="16"/>
                <w:szCs w:val="16"/>
                <w:lang w:eastAsia="en-PH"/>
              </w:rPr>
              <w:t xml:space="preserve"> </w:t>
            </w:r>
            <w:r w:rsidR="008D0CAD">
              <w:rPr>
                <w:rFonts w:asciiTheme="majorHAnsi" w:hAnsiTheme="majorHAnsi" w:cstheme="majorHAnsi"/>
                <w:color w:val="000000"/>
                <w:sz w:val="16"/>
                <w:szCs w:val="16"/>
                <w:lang w:eastAsia="en-PH"/>
              </w:rPr>
              <w:t xml:space="preserve"> </w:t>
            </w:r>
            <w:r w:rsidR="008D0CAD" w:rsidRPr="009A1D95">
              <w:rPr>
                <w:rFonts w:asciiTheme="majorHAnsi" w:hAnsiTheme="majorHAnsi" w:cstheme="majorHAnsi"/>
                <w:color w:val="000000"/>
                <w:sz w:val="16"/>
                <w:szCs w:val="16"/>
                <w:lang w:eastAsia="en-PH"/>
              </w:rPr>
              <w:t>HRM</w:t>
            </w:r>
          </w:p>
        </w:tc>
        <w:tc>
          <w:tcPr>
            <w:tcW w:w="3690" w:type="dxa"/>
            <w:noWrap/>
            <w:hideMark/>
          </w:tcPr>
          <w:p w14:paraId="1ABA6C61" w14:textId="65B369CD" w:rsidR="008D0CAD"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Program to Institutionalize Meritocracy and</w:t>
            </w:r>
            <w:r w:rsidR="00D434EB">
              <w:rPr>
                <w:rFonts w:asciiTheme="majorHAnsi" w:hAnsiTheme="majorHAnsi" w:cstheme="majorHAnsi"/>
                <w:color w:val="000000"/>
                <w:sz w:val="16"/>
                <w:szCs w:val="16"/>
                <w:lang w:eastAsia="en-PH"/>
              </w:rPr>
              <w:t xml:space="preserve"> </w:t>
            </w:r>
          </w:p>
          <w:p w14:paraId="7CDC90EA" w14:textId="1B7BF5E1" w:rsidR="008D0CAD" w:rsidRPr="009A1D95" w:rsidRDefault="00D434EB" w:rsidP="002320B3">
            <w:pPr>
              <w:rPr>
                <w:rFonts w:asciiTheme="majorHAnsi" w:hAnsiTheme="majorHAnsi" w:cstheme="majorHAnsi"/>
                <w:color w:val="000000"/>
                <w:sz w:val="16"/>
                <w:szCs w:val="16"/>
                <w:lang w:eastAsia="en-PH"/>
              </w:rPr>
            </w:pPr>
            <w:r>
              <w:rPr>
                <w:rFonts w:asciiTheme="majorHAnsi" w:hAnsiTheme="majorHAnsi" w:cstheme="majorHAnsi"/>
                <w:color w:val="000000"/>
                <w:sz w:val="16"/>
                <w:szCs w:val="16"/>
                <w:lang w:eastAsia="en-PH"/>
              </w:rPr>
              <w:t xml:space="preserve">  </w:t>
            </w:r>
            <w:r w:rsidR="008D0CAD" w:rsidRPr="009A1D95">
              <w:rPr>
                <w:rFonts w:asciiTheme="majorHAnsi" w:hAnsiTheme="majorHAnsi" w:cstheme="majorHAnsi"/>
                <w:color w:val="000000"/>
                <w:sz w:val="16"/>
                <w:szCs w:val="16"/>
                <w:lang w:eastAsia="en-PH"/>
              </w:rPr>
              <w:t>Excellence in Human Resource Management</w:t>
            </w:r>
          </w:p>
        </w:tc>
      </w:tr>
      <w:tr w:rsidR="008D0CAD" w:rsidRPr="009A1D95" w14:paraId="2A7AA32E" w14:textId="77777777" w:rsidTr="005C6E25">
        <w:trPr>
          <w:trHeight w:val="43"/>
        </w:trPr>
        <w:tc>
          <w:tcPr>
            <w:tcW w:w="988" w:type="dxa"/>
            <w:noWrap/>
            <w:hideMark/>
          </w:tcPr>
          <w:p w14:paraId="6A6F0A50"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PSC</w:t>
            </w:r>
          </w:p>
        </w:tc>
        <w:tc>
          <w:tcPr>
            <w:tcW w:w="3690" w:type="dxa"/>
            <w:noWrap/>
            <w:hideMark/>
          </w:tcPr>
          <w:p w14:paraId="40EBA08A"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Program Steering Committee</w:t>
            </w:r>
          </w:p>
        </w:tc>
      </w:tr>
      <w:tr w:rsidR="008D0CAD" w:rsidRPr="009A1D95" w14:paraId="48F3FE7C" w14:textId="77777777" w:rsidTr="005C6E25">
        <w:trPr>
          <w:trHeight w:val="43"/>
        </w:trPr>
        <w:tc>
          <w:tcPr>
            <w:tcW w:w="988" w:type="dxa"/>
            <w:noWrap/>
            <w:hideMark/>
          </w:tcPr>
          <w:p w14:paraId="3DD2D568"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PSCO</w:t>
            </w:r>
          </w:p>
        </w:tc>
        <w:tc>
          <w:tcPr>
            <w:tcW w:w="3690" w:type="dxa"/>
            <w:noWrap/>
            <w:hideMark/>
          </w:tcPr>
          <w:p w14:paraId="5C51CB60"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Program Support and Coordinating Office</w:t>
            </w:r>
          </w:p>
        </w:tc>
      </w:tr>
      <w:tr w:rsidR="008D0CAD" w:rsidRPr="009A1D95" w14:paraId="6574B5AD" w14:textId="77777777" w:rsidTr="005C6E25">
        <w:trPr>
          <w:trHeight w:val="43"/>
        </w:trPr>
        <w:tc>
          <w:tcPr>
            <w:tcW w:w="988" w:type="dxa"/>
            <w:noWrap/>
            <w:hideMark/>
          </w:tcPr>
          <w:p w14:paraId="5376C85E"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PSIP</w:t>
            </w:r>
          </w:p>
        </w:tc>
        <w:tc>
          <w:tcPr>
            <w:tcW w:w="3690" w:type="dxa"/>
            <w:noWrap/>
            <w:hideMark/>
          </w:tcPr>
          <w:p w14:paraId="0EF19884"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Public-Private Partnership for School Infrastructure Project</w:t>
            </w:r>
          </w:p>
        </w:tc>
      </w:tr>
      <w:tr w:rsidR="008D0CAD" w:rsidRPr="009A1D95" w14:paraId="6C3E12D4" w14:textId="77777777" w:rsidTr="005C6E25">
        <w:trPr>
          <w:trHeight w:val="43"/>
        </w:trPr>
        <w:tc>
          <w:tcPr>
            <w:tcW w:w="988" w:type="dxa"/>
            <w:noWrap/>
            <w:hideMark/>
          </w:tcPr>
          <w:p w14:paraId="496A90C1"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PTA</w:t>
            </w:r>
          </w:p>
        </w:tc>
        <w:tc>
          <w:tcPr>
            <w:tcW w:w="3690" w:type="dxa"/>
            <w:noWrap/>
            <w:hideMark/>
          </w:tcPr>
          <w:p w14:paraId="18400CF7"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Parents-Teachers Association</w:t>
            </w:r>
          </w:p>
        </w:tc>
      </w:tr>
      <w:tr w:rsidR="008D0CAD" w:rsidRPr="009A1D95" w14:paraId="3299527E" w14:textId="77777777" w:rsidTr="005C6E25">
        <w:trPr>
          <w:trHeight w:val="43"/>
        </w:trPr>
        <w:tc>
          <w:tcPr>
            <w:tcW w:w="988" w:type="dxa"/>
            <w:noWrap/>
            <w:hideMark/>
          </w:tcPr>
          <w:p w14:paraId="24654A93"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QA</w:t>
            </w:r>
          </w:p>
        </w:tc>
        <w:tc>
          <w:tcPr>
            <w:tcW w:w="3690" w:type="dxa"/>
            <w:noWrap/>
            <w:hideMark/>
          </w:tcPr>
          <w:p w14:paraId="5CEAB11B"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Quality Assessment</w:t>
            </w:r>
          </w:p>
        </w:tc>
      </w:tr>
      <w:tr w:rsidR="008D0CAD" w:rsidRPr="009A1D95" w14:paraId="03400F06" w14:textId="77777777" w:rsidTr="005C6E25">
        <w:trPr>
          <w:trHeight w:val="43"/>
        </w:trPr>
        <w:tc>
          <w:tcPr>
            <w:tcW w:w="988" w:type="dxa"/>
            <w:noWrap/>
            <w:hideMark/>
          </w:tcPr>
          <w:p w14:paraId="3EFE8503"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QED</w:t>
            </w:r>
          </w:p>
        </w:tc>
        <w:tc>
          <w:tcPr>
            <w:tcW w:w="3690" w:type="dxa"/>
            <w:noWrap/>
            <w:hideMark/>
          </w:tcPr>
          <w:p w14:paraId="4541AABE"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Quality Education Design</w:t>
            </w:r>
          </w:p>
        </w:tc>
      </w:tr>
      <w:tr w:rsidR="008D0CAD" w:rsidRPr="009A1D95" w14:paraId="03A0F31C" w14:textId="77777777" w:rsidTr="005C6E25">
        <w:trPr>
          <w:trHeight w:val="43"/>
        </w:trPr>
        <w:tc>
          <w:tcPr>
            <w:tcW w:w="988" w:type="dxa"/>
            <w:noWrap/>
            <w:hideMark/>
          </w:tcPr>
          <w:p w14:paraId="4B8CFE0B"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RATPLAN</w:t>
            </w:r>
          </w:p>
        </w:tc>
        <w:tc>
          <w:tcPr>
            <w:tcW w:w="3690" w:type="dxa"/>
            <w:noWrap/>
            <w:hideMark/>
          </w:tcPr>
          <w:p w14:paraId="7AFAD3EC"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Rationalization Plan</w:t>
            </w:r>
          </w:p>
        </w:tc>
      </w:tr>
      <w:tr w:rsidR="008D0CAD" w:rsidRPr="009A1D95" w14:paraId="6351ADEB" w14:textId="77777777" w:rsidTr="005C6E25">
        <w:trPr>
          <w:trHeight w:val="43"/>
        </w:trPr>
        <w:tc>
          <w:tcPr>
            <w:tcW w:w="988" w:type="dxa"/>
            <w:noWrap/>
            <w:hideMark/>
          </w:tcPr>
          <w:p w14:paraId="509B1BB7"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RCTQ</w:t>
            </w:r>
          </w:p>
        </w:tc>
        <w:tc>
          <w:tcPr>
            <w:tcW w:w="3690" w:type="dxa"/>
            <w:noWrap/>
            <w:hideMark/>
          </w:tcPr>
          <w:p w14:paraId="69830B34"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Research Centre for Teacher Quality</w:t>
            </w:r>
          </w:p>
        </w:tc>
      </w:tr>
      <w:tr w:rsidR="008D0CAD" w:rsidRPr="009A1D95" w14:paraId="712DA18C" w14:textId="77777777" w:rsidTr="005C6E25">
        <w:trPr>
          <w:trHeight w:val="43"/>
        </w:trPr>
        <w:tc>
          <w:tcPr>
            <w:tcW w:w="988" w:type="dxa"/>
            <w:noWrap/>
            <w:hideMark/>
          </w:tcPr>
          <w:p w14:paraId="4F89FD04"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REESI</w:t>
            </w:r>
          </w:p>
        </w:tc>
        <w:tc>
          <w:tcPr>
            <w:tcW w:w="3690" w:type="dxa"/>
            <w:noWrap/>
            <w:hideMark/>
          </w:tcPr>
          <w:p w14:paraId="7BBC6AD3" w14:textId="77777777" w:rsidR="008D0CAD"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 xml:space="preserve">Relevance, Effectiveness, Efficiency, Sustainability, </w:t>
            </w:r>
          </w:p>
          <w:p w14:paraId="065B21D5" w14:textId="4186F179" w:rsidR="008D0CAD" w:rsidRPr="009A1D95" w:rsidRDefault="00D434EB" w:rsidP="002320B3">
            <w:pPr>
              <w:rPr>
                <w:rFonts w:asciiTheme="majorHAnsi" w:hAnsiTheme="majorHAnsi" w:cstheme="majorHAnsi"/>
                <w:color w:val="000000"/>
                <w:sz w:val="16"/>
                <w:szCs w:val="16"/>
                <w:lang w:eastAsia="en-PH"/>
              </w:rPr>
            </w:pPr>
            <w:r>
              <w:rPr>
                <w:rFonts w:asciiTheme="majorHAnsi" w:hAnsiTheme="majorHAnsi" w:cstheme="majorHAnsi"/>
                <w:color w:val="000000"/>
                <w:sz w:val="16"/>
                <w:szCs w:val="16"/>
                <w:lang w:eastAsia="en-PH"/>
              </w:rPr>
              <w:t xml:space="preserve">  </w:t>
            </w:r>
            <w:r w:rsidR="008D0CAD">
              <w:rPr>
                <w:rFonts w:asciiTheme="majorHAnsi" w:hAnsiTheme="majorHAnsi" w:cstheme="majorHAnsi"/>
                <w:color w:val="000000"/>
                <w:sz w:val="16"/>
                <w:szCs w:val="16"/>
                <w:lang w:eastAsia="en-PH"/>
              </w:rPr>
              <w:t xml:space="preserve"> </w:t>
            </w:r>
            <w:r w:rsidR="008D0CAD" w:rsidRPr="009A1D95">
              <w:rPr>
                <w:rFonts w:asciiTheme="majorHAnsi" w:hAnsiTheme="majorHAnsi" w:cstheme="majorHAnsi"/>
                <w:color w:val="000000"/>
                <w:sz w:val="16"/>
                <w:szCs w:val="16"/>
                <w:lang w:eastAsia="en-PH"/>
              </w:rPr>
              <w:t>and Impact</w:t>
            </w:r>
          </w:p>
        </w:tc>
      </w:tr>
      <w:tr w:rsidR="008D0CAD" w:rsidRPr="009A1D95" w14:paraId="6202EE1A" w14:textId="77777777" w:rsidTr="005C6E25">
        <w:trPr>
          <w:trHeight w:val="43"/>
        </w:trPr>
        <w:tc>
          <w:tcPr>
            <w:tcW w:w="988" w:type="dxa"/>
            <w:noWrap/>
            <w:hideMark/>
          </w:tcPr>
          <w:p w14:paraId="7E9B6866"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RO</w:t>
            </w:r>
          </w:p>
        </w:tc>
        <w:tc>
          <w:tcPr>
            <w:tcW w:w="3690" w:type="dxa"/>
            <w:noWrap/>
            <w:hideMark/>
          </w:tcPr>
          <w:p w14:paraId="2B010AAA"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Regional Office</w:t>
            </w:r>
          </w:p>
        </w:tc>
      </w:tr>
      <w:tr w:rsidR="008D0CAD" w:rsidRPr="009A1D95" w14:paraId="5F673B4F" w14:textId="77777777" w:rsidTr="005C6E25">
        <w:trPr>
          <w:trHeight w:val="43"/>
        </w:trPr>
        <w:tc>
          <w:tcPr>
            <w:tcW w:w="988" w:type="dxa"/>
            <w:noWrap/>
            <w:hideMark/>
          </w:tcPr>
          <w:p w14:paraId="25754D30"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RPMS</w:t>
            </w:r>
          </w:p>
        </w:tc>
        <w:tc>
          <w:tcPr>
            <w:tcW w:w="3690" w:type="dxa"/>
            <w:noWrap/>
            <w:hideMark/>
          </w:tcPr>
          <w:p w14:paraId="201EF9F0"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Results-Based Performance Management System</w:t>
            </w:r>
          </w:p>
        </w:tc>
      </w:tr>
      <w:tr w:rsidR="008D0CAD" w:rsidRPr="009A1D95" w14:paraId="160B44BF" w14:textId="77777777" w:rsidTr="005C6E25">
        <w:trPr>
          <w:trHeight w:val="43"/>
        </w:trPr>
        <w:tc>
          <w:tcPr>
            <w:tcW w:w="988" w:type="dxa"/>
            <w:noWrap/>
            <w:hideMark/>
          </w:tcPr>
          <w:p w14:paraId="165B3EB6" w14:textId="77777777" w:rsidR="008D0CAD" w:rsidRPr="0069283F" w:rsidRDefault="008D0CAD" w:rsidP="002320B3">
            <w:pPr>
              <w:rPr>
                <w:rFonts w:asciiTheme="majorHAnsi" w:hAnsiTheme="majorHAnsi" w:cstheme="majorHAnsi"/>
                <w:color w:val="000000" w:themeColor="text1"/>
                <w:sz w:val="16"/>
                <w:szCs w:val="16"/>
                <w:lang w:eastAsia="en-PH"/>
              </w:rPr>
            </w:pPr>
            <w:r w:rsidRPr="0069283F">
              <w:rPr>
                <w:rFonts w:asciiTheme="majorHAnsi" w:hAnsiTheme="majorHAnsi" w:cstheme="majorHAnsi"/>
                <w:color w:val="000000" w:themeColor="text1"/>
                <w:sz w:val="16"/>
                <w:szCs w:val="16"/>
                <w:lang w:eastAsia="en-PH"/>
              </w:rPr>
              <w:t>SAT</w:t>
            </w:r>
          </w:p>
        </w:tc>
        <w:tc>
          <w:tcPr>
            <w:tcW w:w="3690" w:type="dxa"/>
            <w:noWrap/>
            <w:hideMark/>
          </w:tcPr>
          <w:p w14:paraId="45818D01" w14:textId="77777777" w:rsidR="008D0CAD" w:rsidRPr="0069283F" w:rsidRDefault="008D0CAD" w:rsidP="002320B3">
            <w:pPr>
              <w:rPr>
                <w:rFonts w:asciiTheme="majorHAnsi" w:hAnsiTheme="majorHAnsi" w:cstheme="majorHAnsi"/>
                <w:color w:val="000000" w:themeColor="text1"/>
                <w:sz w:val="16"/>
                <w:szCs w:val="16"/>
                <w:lang w:eastAsia="en-PH"/>
              </w:rPr>
            </w:pPr>
            <w:r w:rsidRPr="0069283F">
              <w:rPr>
                <w:rFonts w:asciiTheme="majorHAnsi" w:hAnsiTheme="majorHAnsi" w:cstheme="majorHAnsi"/>
                <w:color w:val="000000" w:themeColor="text1"/>
                <w:sz w:val="16"/>
                <w:szCs w:val="16"/>
                <w:lang w:eastAsia="en-PH"/>
              </w:rPr>
              <w:t>Self-Assessment Tool for Teachers</w:t>
            </w:r>
          </w:p>
        </w:tc>
      </w:tr>
      <w:tr w:rsidR="008D0CAD" w:rsidRPr="009A1D95" w14:paraId="1ADA38D8" w14:textId="77777777" w:rsidTr="005C6E25">
        <w:trPr>
          <w:trHeight w:val="43"/>
        </w:trPr>
        <w:tc>
          <w:tcPr>
            <w:tcW w:w="988" w:type="dxa"/>
            <w:noWrap/>
            <w:hideMark/>
          </w:tcPr>
          <w:p w14:paraId="4958FDA5" w14:textId="77777777" w:rsidR="008D0CAD" w:rsidRPr="0069283F" w:rsidRDefault="008D0CAD" w:rsidP="002320B3">
            <w:pPr>
              <w:rPr>
                <w:rFonts w:asciiTheme="majorHAnsi" w:hAnsiTheme="majorHAnsi" w:cstheme="majorHAnsi"/>
                <w:color w:val="000000" w:themeColor="text1"/>
                <w:sz w:val="16"/>
                <w:szCs w:val="16"/>
                <w:lang w:eastAsia="en-PH"/>
              </w:rPr>
            </w:pPr>
            <w:r w:rsidRPr="0069283F">
              <w:rPr>
                <w:rFonts w:asciiTheme="majorHAnsi" w:hAnsiTheme="majorHAnsi" w:cstheme="majorHAnsi"/>
                <w:color w:val="000000" w:themeColor="text1"/>
                <w:sz w:val="16"/>
                <w:szCs w:val="16"/>
                <w:lang w:eastAsia="en-PH"/>
              </w:rPr>
              <w:t>SBAC</w:t>
            </w:r>
          </w:p>
        </w:tc>
        <w:tc>
          <w:tcPr>
            <w:tcW w:w="3690" w:type="dxa"/>
            <w:noWrap/>
            <w:hideMark/>
          </w:tcPr>
          <w:p w14:paraId="76078DDC" w14:textId="77777777" w:rsidR="008D0CAD" w:rsidRPr="0069283F" w:rsidRDefault="008D0CAD" w:rsidP="002320B3">
            <w:pPr>
              <w:rPr>
                <w:rFonts w:asciiTheme="majorHAnsi" w:hAnsiTheme="majorHAnsi" w:cstheme="majorHAnsi"/>
                <w:color w:val="000000" w:themeColor="text1"/>
                <w:sz w:val="16"/>
                <w:szCs w:val="16"/>
                <w:lang w:eastAsia="en-PH"/>
              </w:rPr>
            </w:pPr>
            <w:r w:rsidRPr="0069283F">
              <w:rPr>
                <w:rFonts w:asciiTheme="majorHAnsi" w:hAnsiTheme="majorHAnsi" w:cstheme="majorHAnsi"/>
                <w:color w:val="000000" w:themeColor="text1"/>
                <w:sz w:val="16"/>
                <w:szCs w:val="16"/>
                <w:lang w:eastAsia="en-PH"/>
              </w:rPr>
              <w:t>Special Bid and Awards Committee</w:t>
            </w:r>
          </w:p>
        </w:tc>
      </w:tr>
      <w:tr w:rsidR="008D0CAD" w:rsidRPr="009A1D95" w14:paraId="007249E5" w14:textId="77777777" w:rsidTr="005C6E25">
        <w:trPr>
          <w:trHeight w:val="43"/>
        </w:trPr>
        <w:tc>
          <w:tcPr>
            <w:tcW w:w="988" w:type="dxa"/>
            <w:noWrap/>
            <w:hideMark/>
          </w:tcPr>
          <w:p w14:paraId="40C37D20" w14:textId="77777777" w:rsidR="008D0CAD" w:rsidRPr="0069283F" w:rsidRDefault="008D0CAD" w:rsidP="002320B3">
            <w:pPr>
              <w:rPr>
                <w:rFonts w:asciiTheme="majorHAnsi" w:hAnsiTheme="majorHAnsi" w:cstheme="majorHAnsi"/>
                <w:color w:val="000000" w:themeColor="text1"/>
                <w:sz w:val="16"/>
                <w:szCs w:val="16"/>
                <w:lang w:eastAsia="en-PH"/>
              </w:rPr>
            </w:pPr>
            <w:r w:rsidRPr="0069283F">
              <w:rPr>
                <w:rFonts w:asciiTheme="majorHAnsi" w:hAnsiTheme="majorHAnsi" w:cstheme="majorHAnsi"/>
                <w:color w:val="000000" w:themeColor="text1"/>
                <w:sz w:val="16"/>
                <w:szCs w:val="16"/>
                <w:lang w:eastAsia="en-PH"/>
              </w:rPr>
              <w:t>SBM</w:t>
            </w:r>
          </w:p>
        </w:tc>
        <w:tc>
          <w:tcPr>
            <w:tcW w:w="3690" w:type="dxa"/>
            <w:noWrap/>
            <w:hideMark/>
          </w:tcPr>
          <w:p w14:paraId="26A4197B" w14:textId="77777777" w:rsidR="008D0CAD" w:rsidRPr="0069283F" w:rsidRDefault="008D0CAD" w:rsidP="002320B3">
            <w:pPr>
              <w:rPr>
                <w:rFonts w:asciiTheme="majorHAnsi" w:hAnsiTheme="majorHAnsi" w:cstheme="majorHAnsi"/>
                <w:color w:val="000000" w:themeColor="text1"/>
                <w:sz w:val="16"/>
                <w:szCs w:val="16"/>
                <w:lang w:eastAsia="en-PH"/>
              </w:rPr>
            </w:pPr>
            <w:r w:rsidRPr="0069283F">
              <w:rPr>
                <w:rFonts w:asciiTheme="majorHAnsi" w:hAnsiTheme="majorHAnsi" w:cstheme="majorHAnsi"/>
                <w:color w:val="000000" w:themeColor="text1"/>
                <w:sz w:val="16"/>
                <w:szCs w:val="16"/>
                <w:lang w:eastAsia="en-PH"/>
              </w:rPr>
              <w:t>School-Based Management</w:t>
            </w:r>
          </w:p>
        </w:tc>
      </w:tr>
      <w:tr w:rsidR="008D0CAD" w:rsidRPr="009A1D95" w14:paraId="2ED1B58F" w14:textId="77777777" w:rsidTr="005C6E25">
        <w:trPr>
          <w:trHeight w:val="43"/>
        </w:trPr>
        <w:tc>
          <w:tcPr>
            <w:tcW w:w="988" w:type="dxa"/>
            <w:noWrap/>
            <w:hideMark/>
          </w:tcPr>
          <w:p w14:paraId="3B89913C" w14:textId="77777777" w:rsidR="008D0CAD" w:rsidRPr="0069283F" w:rsidRDefault="008D0CAD" w:rsidP="002320B3">
            <w:pPr>
              <w:rPr>
                <w:rFonts w:asciiTheme="majorHAnsi" w:hAnsiTheme="majorHAnsi" w:cstheme="majorHAnsi"/>
                <w:color w:val="000000" w:themeColor="text1"/>
                <w:sz w:val="16"/>
                <w:szCs w:val="16"/>
                <w:lang w:eastAsia="en-PH"/>
              </w:rPr>
            </w:pPr>
            <w:r w:rsidRPr="0069283F">
              <w:rPr>
                <w:rFonts w:asciiTheme="majorHAnsi" w:hAnsiTheme="majorHAnsi" w:cstheme="majorHAnsi"/>
                <w:color w:val="000000" w:themeColor="text1"/>
                <w:sz w:val="16"/>
                <w:szCs w:val="16"/>
                <w:lang w:eastAsia="en-PH"/>
              </w:rPr>
              <w:t>SCP</w:t>
            </w:r>
          </w:p>
        </w:tc>
        <w:tc>
          <w:tcPr>
            <w:tcW w:w="3690" w:type="dxa"/>
            <w:noWrap/>
            <w:hideMark/>
          </w:tcPr>
          <w:p w14:paraId="279589BC" w14:textId="77777777" w:rsidR="008D0CAD" w:rsidRPr="0069283F" w:rsidRDefault="008D0CAD" w:rsidP="002320B3">
            <w:pPr>
              <w:rPr>
                <w:rFonts w:asciiTheme="majorHAnsi" w:hAnsiTheme="majorHAnsi" w:cstheme="majorHAnsi"/>
                <w:color w:val="000000" w:themeColor="text1"/>
                <w:sz w:val="16"/>
                <w:szCs w:val="16"/>
                <w:lang w:eastAsia="en-PH"/>
              </w:rPr>
            </w:pPr>
            <w:r w:rsidRPr="0069283F">
              <w:rPr>
                <w:rFonts w:asciiTheme="majorHAnsi" w:hAnsiTheme="majorHAnsi" w:cstheme="majorHAnsi"/>
                <w:color w:val="000000" w:themeColor="text1"/>
                <w:sz w:val="16"/>
                <w:szCs w:val="16"/>
                <w:lang w:eastAsia="en-PH"/>
              </w:rPr>
              <w:t>Special Curriculum Program</w:t>
            </w:r>
          </w:p>
        </w:tc>
      </w:tr>
      <w:tr w:rsidR="008D0CAD" w:rsidRPr="009A1D95" w14:paraId="02F850E4" w14:textId="77777777" w:rsidTr="005C6E25">
        <w:trPr>
          <w:trHeight w:val="43"/>
        </w:trPr>
        <w:tc>
          <w:tcPr>
            <w:tcW w:w="988" w:type="dxa"/>
            <w:noWrap/>
            <w:hideMark/>
          </w:tcPr>
          <w:p w14:paraId="3E2EF4A2" w14:textId="77777777" w:rsidR="008D0CAD" w:rsidRPr="0069283F" w:rsidRDefault="008D0CAD" w:rsidP="002320B3">
            <w:pPr>
              <w:rPr>
                <w:rFonts w:asciiTheme="majorHAnsi" w:hAnsiTheme="majorHAnsi" w:cstheme="majorHAnsi"/>
                <w:color w:val="000000" w:themeColor="text1"/>
                <w:sz w:val="16"/>
                <w:szCs w:val="16"/>
                <w:lang w:eastAsia="en-PH"/>
              </w:rPr>
            </w:pPr>
            <w:r w:rsidRPr="0069283F">
              <w:rPr>
                <w:rFonts w:asciiTheme="majorHAnsi" w:hAnsiTheme="majorHAnsi" w:cstheme="majorHAnsi"/>
                <w:color w:val="000000" w:themeColor="text1"/>
                <w:sz w:val="16"/>
                <w:szCs w:val="16"/>
                <w:lang w:eastAsia="en-PH"/>
              </w:rPr>
              <w:t>SGC</w:t>
            </w:r>
          </w:p>
        </w:tc>
        <w:tc>
          <w:tcPr>
            <w:tcW w:w="3690" w:type="dxa"/>
            <w:noWrap/>
            <w:hideMark/>
          </w:tcPr>
          <w:p w14:paraId="2A6BC1D8" w14:textId="77777777" w:rsidR="008D0CAD" w:rsidRPr="0069283F" w:rsidRDefault="008D0CAD" w:rsidP="002320B3">
            <w:pPr>
              <w:rPr>
                <w:rFonts w:asciiTheme="majorHAnsi" w:hAnsiTheme="majorHAnsi" w:cstheme="majorHAnsi"/>
                <w:color w:val="000000" w:themeColor="text1"/>
                <w:sz w:val="16"/>
                <w:szCs w:val="16"/>
                <w:lang w:eastAsia="en-PH"/>
              </w:rPr>
            </w:pPr>
            <w:r w:rsidRPr="0069283F">
              <w:rPr>
                <w:rFonts w:asciiTheme="majorHAnsi" w:hAnsiTheme="majorHAnsi" w:cstheme="majorHAnsi"/>
                <w:color w:val="000000" w:themeColor="text1"/>
                <w:sz w:val="16"/>
                <w:szCs w:val="16"/>
                <w:lang w:eastAsia="en-PH"/>
              </w:rPr>
              <w:t>School Governance Council</w:t>
            </w:r>
          </w:p>
        </w:tc>
      </w:tr>
      <w:tr w:rsidR="008D0CAD" w:rsidRPr="009A1D95" w14:paraId="2933392D" w14:textId="77777777" w:rsidTr="005C6E25">
        <w:trPr>
          <w:trHeight w:val="43"/>
        </w:trPr>
        <w:tc>
          <w:tcPr>
            <w:tcW w:w="988" w:type="dxa"/>
            <w:noWrap/>
            <w:hideMark/>
          </w:tcPr>
          <w:p w14:paraId="0B43F101" w14:textId="77777777" w:rsidR="008D0CAD" w:rsidRPr="0069283F" w:rsidRDefault="008D0CAD" w:rsidP="002320B3">
            <w:pPr>
              <w:rPr>
                <w:rFonts w:asciiTheme="majorHAnsi" w:hAnsiTheme="majorHAnsi" w:cstheme="majorHAnsi"/>
                <w:color w:val="000000" w:themeColor="text1"/>
                <w:sz w:val="16"/>
                <w:szCs w:val="16"/>
                <w:lang w:eastAsia="en-PH"/>
              </w:rPr>
            </w:pPr>
            <w:r w:rsidRPr="0069283F">
              <w:rPr>
                <w:rFonts w:asciiTheme="majorHAnsi" w:hAnsiTheme="majorHAnsi" w:cstheme="majorHAnsi"/>
                <w:color w:val="000000" w:themeColor="text1"/>
                <w:sz w:val="16"/>
                <w:szCs w:val="16"/>
                <w:lang w:eastAsia="en-PH"/>
              </w:rPr>
              <w:t>SIP</w:t>
            </w:r>
          </w:p>
        </w:tc>
        <w:tc>
          <w:tcPr>
            <w:tcW w:w="3690" w:type="dxa"/>
            <w:noWrap/>
            <w:hideMark/>
          </w:tcPr>
          <w:p w14:paraId="4881735B" w14:textId="77777777" w:rsidR="008D0CAD" w:rsidRPr="0069283F" w:rsidRDefault="008D0CAD" w:rsidP="002320B3">
            <w:pPr>
              <w:rPr>
                <w:rFonts w:asciiTheme="majorHAnsi" w:hAnsiTheme="majorHAnsi" w:cstheme="majorHAnsi"/>
                <w:color w:val="000000" w:themeColor="text1"/>
                <w:sz w:val="16"/>
                <w:szCs w:val="16"/>
                <w:lang w:eastAsia="en-PH"/>
              </w:rPr>
            </w:pPr>
            <w:r w:rsidRPr="0069283F">
              <w:rPr>
                <w:rFonts w:asciiTheme="majorHAnsi" w:hAnsiTheme="majorHAnsi" w:cstheme="majorHAnsi"/>
                <w:color w:val="000000" w:themeColor="text1"/>
                <w:sz w:val="16"/>
                <w:szCs w:val="16"/>
                <w:lang w:eastAsia="en-PH"/>
              </w:rPr>
              <w:t>School Improvement Planning</w:t>
            </w:r>
          </w:p>
        </w:tc>
      </w:tr>
      <w:tr w:rsidR="008D0CAD" w:rsidRPr="009A1D95" w14:paraId="1E66805D" w14:textId="77777777" w:rsidTr="005C6E25">
        <w:trPr>
          <w:trHeight w:val="43"/>
        </w:trPr>
        <w:tc>
          <w:tcPr>
            <w:tcW w:w="988" w:type="dxa"/>
            <w:noWrap/>
            <w:hideMark/>
          </w:tcPr>
          <w:p w14:paraId="2D2536B6" w14:textId="77777777" w:rsidR="008D0CAD" w:rsidRPr="0069283F" w:rsidRDefault="008D0CAD" w:rsidP="002320B3">
            <w:pPr>
              <w:rPr>
                <w:rFonts w:asciiTheme="majorHAnsi" w:hAnsiTheme="majorHAnsi" w:cstheme="majorHAnsi"/>
                <w:color w:val="000000" w:themeColor="text1"/>
                <w:sz w:val="16"/>
                <w:szCs w:val="16"/>
                <w:lang w:eastAsia="en-PH"/>
              </w:rPr>
            </w:pPr>
            <w:r w:rsidRPr="0069283F">
              <w:rPr>
                <w:rFonts w:asciiTheme="majorHAnsi" w:hAnsiTheme="majorHAnsi" w:cstheme="majorHAnsi"/>
                <w:color w:val="000000" w:themeColor="text1"/>
                <w:sz w:val="16"/>
                <w:szCs w:val="16"/>
                <w:lang w:eastAsia="en-PH"/>
              </w:rPr>
              <w:t>SMART</w:t>
            </w:r>
          </w:p>
        </w:tc>
        <w:tc>
          <w:tcPr>
            <w:tcW w:w="3690" w:type="dxa"/>
            <w:noWrap/>
            <w:hideMark/>
          </w:tcPr>
          <w:p w14:paraId="07B0A2E9" w14:textId="77777777" w:rsidR="008D0CAD" w:rsidRPr="0069283F" w:rsidRDefault="008D0CAD" w:rsidP="002320B3">
            <w:pPr>
              <w:rPr>
                <w:rFonts w:asciiTheme="majorHAnsi" w:hAnsiTheme="majorHAnsi" w:cstheme="majorHAnsi"/>
                <w:color w:val="000000" w:themeColor="text1"/>
                <w:sz w:val="16"/>
                <w:szCs w:val="16"/>
                <w:lang w:eastAsia="en-PH"/>
              </w:rPr>
            </w:pPr>
            <w:r w:rsidRPr="0069283F">
              <w:rPr>
                <w:rFonts w:asciiTheme="majorHAnsi" w:hAnsiTheme="majorHAnsi" w:cstheme="majorHAnsi"/>
                <w:color w:val="000000" w:themeColor="text1"/>
                <w:sz w:val="16"/>
                <w:szCs w:val="16"/>
                <w:lang w:eastAsia="en-PH"/>
              </w:rPr>
              <w:t>Specific, Measurable, Attainable, Realistic, Timely</w:t>
            </w:r>
          </w:p>
        </w:tc>
      </w:tr>
      <w:tr w:rsidR="008D0CAD" w:rsidRPr="009A1D95" w14:paraId="5C5D4282" w14:textId="77777777" w:rsidTr="005C6E25">
        <w:trPr>
          <w:trHeight w:val="43"/>
        </w:trPr>
        <w:tc>
          <w:tcPr>
            <w:tcW w:w="988" w:type="dxa"/>
            <w:noWrap/>
            <w:hideMark/>
          </w:tcPr>
          <w:p w14:paraId="5D5740B5" w14:textId="77777777" w:rsidR="008D0CAD" w:rsidRPr="0069283F" w:rsidRDefault="008D0CAD" w:rsidP="002320B3">
            <w:pPr>
              <w:rPr>
                <w:rFonts w:asciiTheme="majorHAnsi" w:hAnsiTheme="majorHAnsi" w:cstheme="majorHAnsi"/>
                <w:color w:val="000000" w:themeColor="text1"/>
                <w:sz w:val="16"/>
                <w:szCs w:val="16"/>
                <w:lang w:eastAsia="en-PH"/>
              </w:rPr>
            </w:pPr>
            <w:r w:rsidRPr="0069283F">
              <w:rPr>
                <w:rFonts w:asciiTheme="majorHAnsi" w:hAnsiTheme="majorHAnsi" w:cstheme="majorHAnsi"/>
                <w:color w:val="000000" w:themeColor="text1"/>
                <w:sz w:val="16"/>
                <w:szCs w:val="16"/>
                <w:lang w:eastAsia="en-PH"/>
              </w:rPr>
              <w:t>SPED</w:t>
            </w:r>
          </w:p>
        </w:tc>
        <w:tc>
          <w:tcPr>
            <w:tcW w:w="3690" w:type="dxa"/>
            <w:noWrap/>
            <w:hideMark/>
          </w:tcPr>
          <w:p w14:paraId="775A402F" w14:textId="77777777" w:rsidR="008D0CAD" w:rsidRPr="0069283F" w:rsidRDefault="008D0CAD" w:rsidP="002320B3">
            <w:pPr>
              <w:rPr>
                <w:rFonts w:asciiTheme="majorHAnsi" w:hAnsiTheme="majorHAnsi" w:cstheme="majorHAnsi"/>
                <w:color w:val="000000" w:themeColor="text1"/>
                <w:sz w:val="16"/>
                <w:szCs w:val="16"/>
                <w:lang w:eastAsia="en-PH"/>
              </w:rPr>
            </w:pPr>
            <w:r w:rsidRPr="0069283F">
              <w:rPr>
                <w:rFonts w:asciiTheme="majorHAnsi" w:hAnsiTheme="majorHAnsi" w:cstheme="majorHAnsi"/>
                <w:color w:val="000000" w:themeColor="text1"/>
                <w:sz w:val="16"/>
                <w:szCs w:val="16"/>
                <w:lang w:eastAsia="en-PH"/>
              </w:rPr>
              <w:t>Special Education</w:t>
            </w:r>
          </w:p>
        </w:tc>
      </w:tr>
      <w:tr w:rsidR="008D0CAD" w:rsidRPr="009A1D95" w14:paraId="4100580C" w14:textId="77777777" w:rsidTr="005C6E25">
        <w:trPr>
          <w:trHeight w:val="43"/>
        </w:trPr>
        <w:tc>
          <w:tcPr>
            <w:tcW w:w="988" w:type="dxa"/>
            <w:noWrap/>
            <w:hideMark/>
          </w:tcPr>
          <w:p w14:paraId="00CD63C0"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SRC</w:t>
            </w:r>
          </w:p>
        </w:tc>
        <w:tc>
          <w:tcPr>
            <w:tcW w:w="3690" w:type="dxa"/>
            <w:noWrap/>
            <w:hideMark/>
          </w:tcPr>
          <w:p w14:paraId="62786D27"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School Report Card</w:t>
            </w:r>
          </w:p>
        </w:tc>
      </w:tr>
      <w:tr w:rsidR="008D0CAD" w:rsidRPr="009A1D95" w14:paraId="66620F31" w14:textId="77777777" w:rsidTr="005C6E25">
        <w:trPr>
          <w:trHeight w:val="43"/>
        </w:trPr>
        <w:tc>
          <w:tcPr>
            <w:tcW w:w="988" w:type="dxa"/>
            <w:noWrap/>
            <w:hideMark/>
          </w:tcPr>
          <w:p w14:paraId="453E925C"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SY</w:t>
            </w:r>
          </w:p>
        </w:tc>
        <w:tc>
          <w:tcPr>
            <w:tcW w:w="3690" w:type="dxa"/>
            <w:noWrap/>
            <w:hideMark/>
          </w:tcPr>
          <w:p w14:paraId="0C81B0A3"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School Year</w:t>
            </w:r>
          </w:p>
        </w:tc>
      </w:tr>
      <w:tr w:rsidR="008D0CAD" w:rsidRPr="009A1D95" w14:paraId="2D2A52D3" w14:textId="77777777" w:rsidTr="005C6E25">
        <w:trPr>
          <w:trHeight w:val="43"/>
        </w:trPr>
        <w:tc>
          <w:tcPr>
            <w:tcW w:w="988" w:type="dxa"/>
            <w:noWrap/>
          </w:tcPr>
          <w:p w14:paraId="5AEDAA8F"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TEACH</w:t>
            </w:r>
          </w:p>
        </w:tc>
        <w:tc>
          <w:tcPr>
            <w:tcW w:w="3690" w:type="dxa"/>
            <w:noWrap/>
          </w:tcPr>
          <w:p w14:paraId="6AB50F08" w14:textId="77777777" w:rsidR="008D0CAD"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 xml:space="preserve">Teacher Education Assistance for College and Higher </w:t>
            </w:r>
          </w:p>
          <w:p w14:paraId="3F0E9301" w14:textId="6F8C176B" w:rsidR="008D0CAD" w:rsidRPr="009A1D95" w:rsidRDefault="00D434EB" w:rsidP="002320B3">
            <w:pPr>
              <w:rPr>
                <w:rFonts w:asciiTheme="majorHAnsi" w:hAnsiTheme="majorHAnsi" w:cstheme="majorHAnsi"/>
                <w:color w:val="000000"/>
                <w:sz w:val="16"/>
                <w:szCs w:val="16"/>
                <w:lang w:eastAsia="en-PH"/>
              </w:rPr>
            </w:pPr>
            <w:r>
              <w:rPr>
                <w:rFonts w:asciiTheme="majorHAnsi" w:hAnsiTheme="majorHAnsi" w:cstheme="majorHAnsi"/>
                <w:color w:val="000000"/>
                <w:sz w:val="16"/>
                <w:szCs w:val="16"/>
                <w:lang w:eastAsia="en-PH"/>
              </w:rPr>
              <w:t xml:space="preserve">  </w:t>
            </w:r>
            <w:r w:rsidR="008D0CAD">
              <w:rPr>
                <w:rFonts w:asciiTheme="majorHAnsi" w:hAnsiTheme="majorHAnsi" w:cstheme="majorHAnsi"/>
                <w:color w:val="000000"/>
                <w:sz w:val="16"/>
                <w:szCs w:val="16"/>
                <w:lang w:eastAsia="en-PH"/>
              </w:rPr>
              <w:t xml:space="preserve"> </w:t>
            </w:r>
            <w:r w:rsidR="008D0CAD" w:rsidRPr="009A1D95">
              <w:rPr>
                <w:rFonts w:asciiTheme="majorHAnsi" w:hAnsiTheme="majorHAnsi" w:cstheme="majorHAnsi"/>
                <w:color w:val="000000"/>
                <w:sz w:val="16"/>
                <w:szCs w:val="16"/>
                <w:lang w:eastAsia="en-PH"/>
              </w:rPr>
              <w:t>Education</w:t>
            </w:r>
          </w:p>
        </w:tc>
      </w:tr>
      <w:tr w:rsidR="008D0CAD" w:rsidRPr="009A1D95" w14:paraId="5768A876" w14:textId="77777777" w:rsidTr="005C6E25">
        <w:trPr>
          <w:trHeight w:val="43"/>
        </w:trPr>
        <w:tc>
          <w:tcPr>
            <w:tcW w:w="988" w:type="dxa"/>
            <w:noWrap/>
          </w:tcPr>
          <w:p w14:paraId="4BB82ABD"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TEC</w:t>
            </w:r>
          </w:p>
        </w:tc>
        <w:tc>
          <w:tcPr>
            <w:tcW w:w="3690" w:type="dxa"/>
            <w:noWrap/>
          </w:tcPr>
          <w:p w14:paraId="734C7670"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Teacher Education Council</w:t>
            </w:r>
          </w:p>
        </w:tc>
      </w:tr>
      <w:tr w:rsidR="008D0CAD" w:rsidRPr="009A1D95" w14:paraId="50C93250" w14:textId="77777777" w:rsidTr="005C6E25">
        <w:trPr>
          <w:trHeight w:val="43"/>
        </w:trPr>
        <w:tc>
          <w:tcPr>
            <w:tcW w:w="988" w:type="dxa"/>
            <w:noWrap/>
          </w:tcPr>
          <w:p w14:paraId="6513A7C8"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TEI</w:t>
            </w:r>
          </w:p>
        </w:tc>
        <w:tc>
          <w:tcPr>
            <w:tcW w:w="3690" w:type="dxa"/>
            <w:noWrap/>
          </w:tcPr>
          <w:p w14:paraId="3E189998"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Teacher Education Institutes</w:t>
            </w:r>
          </w:p>
        </w:tc>
      </w:tr>
      <w:tr w:rsidR="008D0CAD" w:rsidRPr="009A1D95" w14:paraId="39CC57C1" w14:textId="77777777" w:rsidTr="005C6E25">
        <w:trPr>
          <w:trHeight w:val="43"/>
        </w:trPr>
        <w:tc>
          <w:tcPr>
            <w:tcW w:w="988" w:type="dxa"/>
            <w:noWrap/>
            <w:hideMark/>
          </w:tcPr>
          <w:p w14:paraId="519BF596"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TIP</w:t>
            </w:r>
          </w:p>
        </w:tc>
        <w:tc>
          <w:tcPr>
            <w:tcW w:w="3690" w:type="dxa"/>
            <w:noWrap/>
            <w:hideMark/>
          </w:tcPr>
          <w:p w14:paraId="6729631E"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Teacher Induction Program</w:t>
            </w:r>
          </w:p>
        </w:tc>
      </w:tr>
      <w:tr w:rsidR="008D0CAD" w:rsidRPr="009A1D95" w14:paraId="0B22F7FE" w14:textId="77777777" w:rsidTr="005C6E25">
        <w:trPr>
          <w:trHeight w:val="43"/>
        </w:trPr>
        <w:tc>
          <w:tcPr>
            <w:tcW w:w="988" w:type="dxa"/>
            <w:noWrap/>
            <w:hideMark/>
          </w:tcPr>
          <w:p w14:paraId="6F4F697E"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TOT</w:t>
            </w:r>
          </w:p>
        </w:tc>
        <w:tc>
          <w:tcPr>
            <w:tcW w:w="3690" w:type="dxa"/>
            <w:noWrap/>
            <w:hideMark/>
          </w:tcPr>
          <w:p w14:paraId="548EF392"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Training of Trainers</w:t>
            </w:r>
          </w:p>
        </w:tc>
      </w:tr>
      <w:tr w:rsidR="008D0CAD" w:rsidRPr="009A1D95" w14:paraId="4C6DB23B" w14:textId="77777777" w:rsidTr="005C6E25">
        <w:trPr>
          <w:trHeight w:val="43"/>
        </w:trPr>
        <w:tc>
          <w:tcPr>
            <w:tcW w:w="988" w:type="dxa"/>
            <w:noWrap/>
            <w:hideMark/>
          </w:tcPr>
          <w:p w14:paraId="5790777B"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TPQI</w:t>
            </w:r>
          </w:p>
        </w:tc>
        <w:tc>
          <w:tcPr>
            <w:tcW w:w="3690" w:type="dxa"/>
            <w:noWrap/>
            <w:hideMark/>
          </w:tcPr>
          <w:p w14:paraId="5C4489F7"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Teacher Pre-Service Quality Improvement</w:t>
            </w:r>
          </w:p>
        </w:tc>
      </w:tr>
      <w:tr w:rsidR="008D0CAD" w:rsidRPr="009A1D95" w14:paraId="02F6F2D5" w14:textId="77777777" w:rsidTr="005C6E25">
        <w:trPr>
          <w:trHeight w:val="43"/>
        </w:trPr>
        <w:tc>
          <w:tcPr>
            <w:tcW w:w="988" w:type="dxa"/>
            <w:noWrap/>
            <w:hideMark/>
          </w:tcPr>
          <w:p w14:paraId="275B51AF"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TQC</w:t>
            </w:r>
          </w:p>
        </w:tc>
        <w:tc>
          <w:tcPr>
            <w:tcW w:w="3690" w:type="dxa"/>
            <w:noWrap/>
            <w:hideMark/>
          </w:tcPr>
          <w:p w14:paraId="75596EA7"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Teacher Quality Circle</w:t>
            </w:r>
          </w:p>
        </w:tc>
      </w:tr>
      <w:tr w:rsidR="008D0CAD" w:rsidRPr="009A1D95" w14:paraId="6EAFE9AD" w14:textId="77777777" w:rsidTr="005C6E25">
        <w:trPr>
          <w:trHeight w:val="43"/>
        </w:trPr>
        <w:tc>
          <w:tcPr>
            <w:tcW w:w="988" w:type="dxa"/>
            <w:noWrap/>
          </w:tcPr>
          <w:p w14:paraId="56CE9A16"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TPTE</w:t>
            </w:r>
          </w:p>
        </w:tc>
        <w:tc>
          <w:tcPr>
            <w:tcW w:w="3690" w:type="dxa"/>
            <w:noWrap/>
          </w:tcPr>
          <w:p w14:paraId="4EFA2D7D" w14:textId="77777777" w:rsidR="008D0CAD" w:rsidRPr="009A1D95" w:rsidRDefault="008D0CAD" w:rsidP="002320B3">
            <w:pPr>
              <w:rPr>
                <w:rFonts w:asciiTheme="majorHAnsi" w:hAnsiTheme="majorHAnsi" w:cstheme="majorHAnsi"/>
                <w:sz w:val="16"/>
                <w:szCs w:val="16"/>
              </w:rPr>
            </w:pPr>
            <w:r w:rsidRPr="009A1D95">
              <w:rPr>
                <w:rFonts w:asciiTheme="majorHAnsi" w:hAnsiTheme="majorHAnsi" w:cstheme="majorHAnsi"/>
                <w:color w:val="000000" w:themeColor="text1"/>
                <w:sz w:val="16"/>
                <w:szCs w:val="16"/>
                <w:shd w:val="clear" w:color="auto" w:fill="FFFFFF"/>
              </w:rPr>
              <w:t>Technical Panel for Teacher Education</w:t>
            </w:r>
          </w:p>
        </w:tc>
      </w:tr>
      <w:tr w:rsidR="008D0CAD" w:rsidRPr="009A1D95" w14:paraId="0752A66E" w14:textId="77777777" w:rsidTr="005C6E25">
        <w:trPr>
          <w:trHeight w:val="43"/>
        </w:trPr>
        <w:tc>
          <w:tcPr>
            <w:tcW w:w="988" w:type="dxa"/>
            <w:noWrap/>
            <w:hideMark/>
          </w:tcPr>
          <w:p w14:paraId="6DA486CF"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TWG</w:t>
            </w:r>
          </w:p>
        </w:tc>
        <w:tc>
          <w:tcPr>
            <w:tcW w:w="3690" w:type="dxa"/>
            <w:noWrap/>
            <w:hideMark/>
          </w:tcPr>
          <w:p w14:paraId="5BD4A1DE"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Technical Working Group</w:t>
            </w:r>
          </w:p>
        </w:tc>
      </w:tr>
      <w:tr w:rsidR="008D0CAD" w:rsidRPr="009A1D95" w14:paraId="69D0AAA5" w14:textId="77777777" w:rsidTr="005C6E25">
        <w:trPr>
          <w:trHeight w:val="43"/>
        </w:trPr>
        <w:tc>
          <w:tcPr>
            <w:tcW w:w="988" w:type="dxa"/>
            <w:noWrap/>
            <w:hideMark/>
          </w:tcPr>
          <w:p w14:paraId="08C78934"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UISS</w:t>
            </w:r>
          </w:p>
        </w:tc>
        <w:tc>
          <w:tcPr>
            <w:tcW w:w="3690" w:type="dxa"/>
            <w:noWrap/>
            <w:hideMark/>
          </w:tcPr>
          <w:p w14:paraId="69E74F0E" w14:textId="77777777" w:rsidR="008D0CAD" w:rsidRPr="009A1D95" w:rsidRDefault="008D0CAD" w:rsidP="002320B3">
            <w:pPr>
              <w:rPr>
                <w:rFonts w:asciiTheme="majorHAnsi" w:hAnsiTheme="majorHAnsi" w:cstheme="majorHAnsi"/>
                <w:color w:val="000000"/>
                <w:sz w:val="16"/>
                <w:szCs w:val="16"/>
                <w:lang w:eastAsia="en-PH"/>
              </w:rPr>
            </w:pPr>
            <w:r w:rsidRPr="009A1D95">
              <w:rPr>
                <w:rFonts w:asciiTheme="majorHAnsi" w:hAnsiTheme="majorHAnsi" w:cstheme="majorHAnsi"/>
                <w:color w:val="000000"/>
                <w:sz w:val="16"/>
                <w:szCs w:val="16"/>
                <w:lang w:eastAsia="en-PH"/>
              </w:rPr>
              <w:t>Unified Information System and Sub-System</w:t>
            </w:r>
          </w:p>
        </w:tc>
      </w:tr>
    </w:tbl>
    <w:p w14:paraId="052F5EA0" w14:textId="77777777" w:rsidR="008D0CAD" w:rsidRPr="00F46A59" w:rsidRDefault="008D0CAD" w:rsidP="002320B3">
      <w:pPr>
        <w:sectPr w:rsidR="008D0CAD" w:rsidRPr="00F46A59" w:rsidSect="009C64E9">
          <w:headerReference w:type="default" r:id="rId16"/>
          <w:pgSz w:w="11900" w:h="16840"/>
          <w:pgMar w:top="720" w:right="720" w:bottom="720" w:left="720" w:header="720" w:footer="720" w:gutter="0"/>
          <w:pgNumType w:fmt="lowerRoman"/>
          <w:cols w:num="2" w:space="720"/>
          <w:docGrid w:linePitch="360"/>
        </w:sectPr>
      </w:pPr>
    </w:p>
    <w:p w14:paraId="054DDC12" w14:textId="77777777" w:rsidR="008D0CAD" w:rsidRDefault="008D0CAD" w:rsidP="002320B3">
      <w:pPr>
        <w:pStyle w:val="Heading2"/>
        <w:numPr>
          <w:ilvl w:val="0"/>
          <w:numId w:val="0"/>
        </w:numPr>
        <w:ind w:left="720"/>
      </w:pPr>
      <w:bookmarkStart w:id="13" w:name="_Toc69820428"/>
      <w:r w:rsidRPr="00164B84">
        <w:t>Tables, Figures, Boxes</w:t>
      </w:r>
      <w:bookmarkEnd w:id="10"/>
      <w:bookmarkEnd w:id="11"/>
      <w:r w:rsidRPr="00164B84">
        <w:t xml:space="preserve"> and Annexes</w:t>
      </w:r>
      <w:bookmarkEnd w:id="13"/>
    </w:p>
    <w:p w14:paraId="17005E02" w14:textId="77777777" w:rsidR="008D0CAD" w:rsidRPr="009A20A3" w:rsidRDefault="008D0CAD" w:rsidP="002320B3">
      <w:pPr>
        <w:rPr>
          <w:rFonts w:asciiTheme="majorHAnsi" w:hAnsiTheme="majorHAnsi" w:cstheme="majorHAnsi"/>
          <w:b/>
          <w:sz w:val="28"/>
          <w:szCs w:val="28"/>
        </w:rPr>
      </w:pPr>
      <w:r w:rsidRPr="009A20A3">
        <w:rPr>
          <w:rFonts w:asciiTheme="majorHAnsi" w:hAnsiTheme="majorHAnsi" w:cstheme="majorHAnsi"/>
          <w:b/>
          <w:sz w:val="28"/>
          <w:szCs w:val="28"/>
        </w:rPr>
        <w:t>Tables</w:t>
      </w:r>
    </w:p>
    <w:p w14:paraId="04232070" w14:textId="77777777" w:rsidR="008D0CAD" w:rsidRPr="006802E8" w:rsidRDefault="008D0CAD" w:rsidP="002320B3">
      <w:pPr>
        <w:rPr>
          <w:rFonts w:asciiTheme="majorHAnsi" w:hAnsiTheme="majorHAnsi" w:cstheme="majorHAnsi"/>
        </w:rPr>
      </w:pPr>
    </w:p>
    <w:p w14:paraId="66ABAA1C" w14:textId="6C6B56E2" w:rsidR="002320B3" w:rsidRDefault="008D0CAD" w:rsidP="002320B3">
      <w:pPr>
        <w:pStyle w:val="TableofFigures"/>
        <w:tabs>
          <w:tab w:val="right" w:leader="underscore" w:pos="9010"/>
        </w:tabs>
        <w:rPr>
          <w:rFonts w:eastAsiaTheme="minorEastAsia" w:cstheme="minorBidi"/>
          <w:i w:val="0"/>
          <w:iCs w:val="0"/>
          <w:noProof/>
          <w:sz w:val="22"/>
          <w:szCs w:val="22"/>
          <w:lang w:val="en-AU" w:eastAsia="en-AU"/>
        </w:rPr>
      </w:pPr>
      <w:r w:rsidRPr="006802E8">
        <w:rPr>
          <w:rFonts w:asciiTheme="majorHAnsi" w:hAnsiTheme="majorHAnsi" w:cstheme="majorHAnsi"/>
          <w:i w:val="0"/>
          <w:iCs w:val="0"/>
        </w:rPr>
        <w:fldChar w:fldCharType="begin"/>
      </w:r>
      <w:r w:rsidRPr="006802E8">
        <w:rPr>
          <w:rFonts w:asciiTheme="majorHAnsi" w:hAnsiTheme="majorHAnsi" w:cstheme="majorHAnsi"/>
        </w:rPr>
        <w:instrText xml:space="preserve"> TOC \h \z \c "Table" </w:instrText>
      </w:r>
      <w:r w:rsidRPr="006802E8">
        <w:rPr>
          <w:rFonts w:asciiTheme="majorHAnsi" w:hAnsiTheme="majorHAnsi" w:cstheme="majorHAnsi"/>
          <w:i w:val="0"/>
          <w:iCs w:val="0"/>
        </w:rPr>
        <w:fldChar w:fldCharType="separate"/>
      </w:r>
      <w:hyperlink w:anchor="_Toc71616592" w:history="1">
        <w:r w:rsidR="002320B3" w:rsidRPr="00FE1B51">
          <w:rPr>
            <w:rStyle w:val="Hyperlink"/>
            <w:rFonts w:asciiTheme="majorHAnsi" w:eastAsiaTheme="majorEastAsia" w:hAnsiTheme="majorHAnsi" w:cstheme="majorHAnsi"/>
            <w:noProof/>
          </w:rPr>
          <w:t>Table 1.</w:t>
        </w:r>
        <w:r w:rsidR="00D434EB">
          <w:rPr>
            <w:rStyle w:val="Hyperlink"/>
            <w:rFonts w:asciiTheme="majorHAnsi" w:eastAsiaTheme="majorEastAsia" w:hAnsiTheme="majorHAnsi" w:cstheme="majorHAnsi"/>
            <w:bCs/>
            <w:noProof/>
          </w:rPr>
          <w:t xml:space="preserve"> </w:t>
        </w:r>
        <w:r w:rsidR="002320B3" w:rsidRPr="00FE1B51">
          <w:rPr>
            <w:rStyle w:val="Hyperlink"/>
            <w:rFonts w:asciiTheme="majorHAnsi" w:eastAsiaTheme="majorEastAsia" w:hAnsiTheme="majorHAnsi" w:cstheme="majorHAnsi"/>
            <w:noProof/>
          </w:rPr>
          <w:t>DID values for</w:t>
        </w:r>
        <w:r w:rsidR="002320B3" w:rsidRPr="00FE1B51">
          <w:rPr>
            <w:rStyle w:val="Hyperlink"/>
            <w:rFonts w:asciiTheme="majorHAnsi" w:eastAsiaTheme="majorEastAsia" w:hAnsiTheme="majorHAnsi" w:cstheme="majorHAnsi"/>
            <w:bCs/>
            <w:noProof/>
          </w:rPr>
          <w:t xml:space="preserve"> Average Grades by Subject</w:t>
        </w:r>
        <w:r w:rsidR="002320B3">
          <w:rPr>
            <w:noProof/>
            <w:webHidden/>
          </w:rPr>
          <w:tab/>
        </w:r>
        <w:r w:rsidR="002320B3">
          <w:rPr>
            <w:noProof/>
            <w:webHidden/>
          </w:rPr>
          <w:fldChar w:fldCharType="begin"/>
        </w:r>
        <w:r w:rsidR="002320B3">
          <w:rPr>
            <w:noProof/>
            <w:webHidden/>
          </w:rPr>
          <w:instrText xml:space="preserve"> PAGEREF _Toc71616592 \h </w:instrText>
        </w:r>
        <w:r w:rsidR="002320B3">
          <w:rPr>
            <w:noProof/>
            <w:webHidden/>
          </w:rPr>
        </w:r>
        <w:r w:rsidR="002320B3">
          <w:rPr>
            <w:noProof/>
            <w:webHidden/>
          </w:rPr>
          <w:fldChar w:fldCharType="separate"/>
        </w:r>
        <w:r w:rsidR="00D6133D">
          <w:rPr>
            <w:noProof/>
            <w:webHidden/>
          </w:rPr>
          <w:t>49</w:t>
        </w:r>
        <w:r w:rsidR="002320B3">
          <w:rPr>
            <w:noProof/>
            <w:webHidden/>
          </w:rPr>
          <w:fldChar w:fldCharType="end"/>
        </w:r>
      </w:hyperlink>
    </w:p>
    <w:p w14:paraId="62A9DBDF" w14:textId="5513588B"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593" w:history="1">
        <w:r w:rsidR="002320B3" w:rsidRPr="00FE1B51">
          <w:rPr>
            <w:rStyle w:val="Hyperlink"/>
            <w:rFonts w:asciiTheme="majorHAnsi" w:eastAsiaTheme="majorEastAsia" w:hAnsiTheme="majorHAnsi" w:cstheme="majorHAnsi"/>
            <w:noProof/>
          </w:rPr>
          <w:t>Table 2. DID values for Gender Grade Differentials by Subject</w:t>
        </w:r>
        <w:r w:rsidR="002320B3">
          <w:rPr>
            <w:noProof/>
            <w:webHidden/>
          </w:rPr>
          <w:tab/>
        </w:r>
        <w:r w:rsidR="002320B3">
          <w:rPr>
            <w:noProof/>
            <w:webHidden/>
          </w:rPr>
          <w:fldChar w:fldCharType="begin"/>
        </w:r>
        <w:r w:rsidR="002320B3">
          <w:rPr>
            <w:noProof/>
            <w:webHidden/>
          </w:rPr>
          <w:instrText xml:space="preserve"> PAGEREF _Toc71616593 \h </w:instrText>
        </w:r>
        <w:r w:rsidR="002320B3">
          <w:rPr>
            <w:noProof/>
            <w:webHidden/>
          </w:rPr>
        </w:r>
        <w:r w:rsidR="002320B3">
          <w:rPr>
            <w:noProof/>
            <w:webHidden/>
          </w:rPr>
          <w:fldChar w:fldCharType="separate"/>
        </w:r>
        <w:r w:rsidR="00D6133D">
          <w:rPr>
            <w:noProof/>
            <w:webHidden/>
          </w:rPr>
          <w:t>50</w:t>
        </w:r>
        <w:r w:rsidR="002320B3">
          <w:rPr>
            <w:noProof/>
            <w:webHidden/>
          </w:rPr>
          <w:fldChar w:fldCharType="end"/>
        </w:r>
      </w:hyperlink>
    </w:p>
    <w:p w14:paraId="2964E2D7" w14:textId="3129F03C"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594" w:history="1">
        <w:r w:rsidR="002320B3" w:rsidRPr="00FE1B51">
          <w:rPr>
            <w:rStyle w:val="Hyperlink"/>
            <w:rFonts w:asciiTheme="majorHAnsi" w:eastAsiaTheme="majorEastAsia" w:hAnsiTheme="majorHAnsi" w:cstheme="majorHAnsi"/>
            <w:noProof/>
          </w:rPr>
          <w:t>Table 3. Distribution of STEP-UP Scholarships, 2015-2018</w:t>
        </w:r>
        <w:r w:rsidR="002320B3">
          <w:rPr>
            <w:noProof/>
            <w:webHidden/>
          </w:rPr>
          <w:tab/>
        </w:r>
        <w:r w:rsidR="002320B3">
          <w:rPr>
            <w:noProof/>
            <w:webHidden/>
          </w:rPr>
          <w:fldChar w:fldCharType="begin"/>
        </w:r>
        <w:r w:rsidR="002320B3">
          <w:rPr>
            <w:noProof/>
            <w:webHidden/>
          </w:rPr>
          <w:instrText xml:space="preserve"> PAGEREF _Toc71616594 \h </w:instrText>
        </w:r>
        <w:r w:rsidR="002320B3">
          <w:rPr>
            <w:noProof/>
            <w:webHidden/>
          </w:rPr>
        </w:r>
        <w:r w:rsidR="002320B3">
          <w:rPr>
            <w:noProof/>
            <w:webHidden/>
          </w:rPr>
          <w:fldChar w:fldCharType="separate"/>
        </w:r>
        <w:r w:rsidR="00D6133D">
          <w:rPr>
            <w:noProof/>
            <w:webHidden/>
          </w:rPr>
          <w:t>59</w:t>
        </w:r>
        <w:r w:rsidR="002320B3">
          <w:rPr>
            <w:noProof/>
            <w:webHidden/>
          </w:rPr>
          <w:fldChar w:fldCharType="end"/>
        </w:r>
      </w:hyperlink>
    </w:p>
    <w:p w14:paraId="1E5F0A01" w14:textId="50696665"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595" w:history="1">
        <w:r w:rsidR="002320B3" w:rsidRPr="00FE1B51">
          <w:rPr>
            <w:rStyle w:val="Hyperlink"/>
            <w:rFonts w:asciiTheme="majorHAnsi" w:eastAsiaTheme="majorEastAsia" w:hAnsiTheme="majorHAnsi" w:cstheme="majorHAnsi"/>
            <w:noProof/>
          </w:rPr>
          <w:t>Table 4. Status of STEP-UP Scholarships (as of April 2019)</w:t>
        </w:r>
        <w:r w:rsidR="002320B3">
          <w:rPr>
            <w:noProof/>
            <w:webHidden/>
          </w:rPr>
          <w:tab/>
        </w:r>
        <w:r w:rsidR="002320B3">
          <w:rPr>
            <w:noProof/>
            <w:webHidden/>
          </w:rPr>
          <w:fldChar w:fldCharType="begin"/>
        </w:r>
        <w:r w:rsidR="002320B3">
          <w:rPr>
            <w:noProof/>
            <w:webHidden/>
          </w:rPr>
          <w:instrText xml:space="preserve"> PAGEREF _Toc71616595 \h </w:instrText>
        </w:r>
        <w:r w:rsidR="002320B3">
          <w:rPr>
            <w:noProof/>
            <w:webHidden/>
          </w:rPr>
        </w:r>
        <w:r w:rsidR="002320B3">
          <w:rPr>
            <w:noProof/>
            <w:webHidden/>
          </w:rPr>
          <w:fldChar w:fldCharType="separate"/>
        </w:r>
        <w:r w:rsidR="00D6133D">
          <w:rPr>
            <w:noProof/>
            <w:webHidden/>
          </w:rPr>
          <w:t>60</w:t>
        </w:r>
        <w:r w:rsidR="002320B3">
          <w:rPr>
            <w:noProof/>
            <w:webHidden/>
          </w:rPr>
          <w:fldChar w:fldCharType="end"/>
        </w:r>
      </w:hyperlink>
    </w:p>
    <w:p w14:paraId="3F0F8F2C" w14:textId="6CF11568"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596" w:history="1">
        <w:r w:rsidR="002320B3" w:rsidRPr="00FE1B51">
          <w:rPr>
            <w:rStyle w:val="Hyperlink"/>
            <w:rFonts w:asciiTheme="majorHAnsi" w:eastAsiaTheme="majorEastAsia" w:hAnsiTheme="majorHAnsi" w:cstheme="majorHAnsi"/>
            <w:noProof/>
          </w:rPr>
          <w:t>Table 5.</w:t>
        </w:r>
        <w:r w:rsidR="00D434EB">
          <w:rPr>
            <w:rStyle w:val="Hyperlink"/>
            <w:rFonts w:asciiTheme="majorHAnsi" w:eastAsiaTheme="majorEastAsia" w:hAnsiTheme="majorHAnsi" w:cstheme="majorHAnsi"/>
            <w:bCs/>
            <w:noProof/>
          </w:rPr>
          <w:t xml:space="preserve"> </w:t>
        </w:r>
        <w:r w:rsidR="002320B3" w:rsidRPr="00FE1B51">
          <w:rPr>
            <w:rStyle w:val="Hyperlink"/>
            <w:rFonts w:asciiTheme="majorHAnsi" w:eastAsiaTheme="majorEastAsia" w:hAnsiTheme="majorHAnsi" w:cstheme="majorHAnsi"/>
            <w:bCs/>
            <w:noProof/>
          </w:rPr>
          <w:t xml:space="preserve">Principals’ and Teachers’ Perceptions of </w:t>
        </w:r>
        <w:r w:rsidR="002320B3" w:rsidRPr="00FE1B51">
          <w:rPr>
            <w:rStyle w:val="Hyperlink"/>
            <w:rFonts w:asciiTheme="majorHAnsi" w:eastAsiaTheme="majorEastAsia" w:hAnsiTheme="majorHAnsi" w:cstheme="majorHAnsi"/>
            <w:noProof/>
          </w:rPr>
          <w:t>the PRIMALS Trainers’ Resource Packages</w:t>
        </w:r>
        <w:r w:rsidR="002320B3">
          <w:rPr>
            <w:noProof/>
            <w:webHidden/>
          </w:rPr>
          <w:tab/>
        </w:r>
        <w:r w:rsidR="002320B3">
          <w:rPr>
            <w:noProof/>
            <w:webHidden/>
          </w:rPr>
          <w:fldChar w:fldCharType="begin"/>
        </w:r>
        <w:r w:rsidR="002320B3">
          <w:rPr>
            <w:noProof/>
            <w:webHidden/>
          </w:rPr>
          <w:instrText xml:space="preserve"> PAGEREF _Toc71616596 \h </w:instrText>
        </w:r>
        <w:r w:rsidR="002320B3">
          <w:rPr>
            <w:noProof/>
            <w:webHidden/>
          </w:rPr>
        </w:r>
        <w:r w:rsidR="002320B3">
          <w:rPr>
            <w:noProof/>
            <w:webHidden/>
          </w:rPr>
          <w:fldChar w:fldCharType="separate"/>
        </w:r>
        <w:r w:rsidR="00D6133D">
          <w:rPr>
            <w:noProof/>
            <w:webHidden/>
          </w:rPr>
          <w:t>63</w:t>
        </w:r>
        <w:r w:rsidR="002320B3">
          <w:rPr>
            <w:noProof/>
            <w:webHidden/>
          </w:rPr>
          <w:fldChar w:fldCharType="end"/>
        </w:r>
      </w:hyperlink>
    </w:p>
    <w:p w14:paraId="52F45769" w14:textId="77CF39FA"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597" w:history="1">
        <w:r w:rsidR="002320B3" w:rsidRPr="00FE1B51">
          <w:rPr>
            <w:rStyle w:val="Hyperlink"/>
            <w:rFonts w:asciiTheme="majorHAnsi" w:eastAsiaTheme="majorEastAsia" w:hAnsiTheme="majorHAnsi" w:cstheme="majorHAnsi"/>
            <w:noProof/>
          </w:rPr>
          <w:t>Table 6.</w:t>
        </w:r>
        <w:r w:rsidR="00D434EB">
          <w:rPr>
            <w:rStyle w:val="Hyperlink"/>
            <w:rFonts w:asciiTheme="majorHAnsi" w:eastAsiaTheme="majorEastAsia" w:hAnsiTheme="majorHAnsi" w:cstheme="majorHAnsi"/>
            <w:bCs/>
            <w:noProof/>
          </w:rPr>
          <w:t xml:space="preserve"> </w:t>
        </w:r>
        <w:r w:rsidR="002320B3" w:rsidRPr="00FE1B51">
          <w:rPr>
            <w:rStyle w:val="Hyperlink"/>
            <w:rFonts w:asciiTheme="majorHAnsi" w:eastAsiaTheme="majorEastAsia" w:hAnsiTheme="majorHAnsi" w:cstheme="majorHAnsi"/>
            <w:bCs/>
            <w:noProof/>
          </w:rPr>
          <w:t xml:space="preserve">Principals’ and Teachers’ Perceptions of </w:t>
        </w:r>
        <w:r w:rsidR="002320B3" w:rsidRPr="00FE1B51">
          <w:rPr>
            <w:rStyle w:val="Hyperlink"/>
            <w:rFonts w:asciiTheme="majorHAnsi" w:eastAsiaTheme="majorEastAsia" w:hAnsiTheme="majorHAnsi" w:cstheme="majorHAnsi"/>
            <w:noProof/>
          </w:rPr>
          <w:t>the Action Research Toolkit</w:t>
        </w:r>
        <w:r w:rsidR="002320B3">
          <w:rPr>
            <w:noProof/>
            <w:webHidden/>
          </w:rPr>
          <w:tab/>
        </w:r>
        <w:r w:rsidR="002320B3">
          <w:rPr>
            <w:noProof/>
            <w:webHidden/>
          </w:rPr>
          <w:fldChar w:fldCharType="begin"/>
        </w:r>
        <w:r w:rsidR="002320B3">
          <w:rPr>
            <w:noProof/>
            <w:webHidden/>
          </w:rPr>
          <w:instrText xml:space="preserve"> PAGEREF _Toc71616597 \h </w:instrText>
        </w:r>
        <w:r w:rsidR="002320B3">
          <w:rPr>
            <w:noProof/>
            <w:webHidden/>
          </w:rPr>
        </w:r>
        <w:r w:rsidR="002320B3">
          <w:rPr>
            <w:noProof/>
            <w:webHidden/>
          </w:rPr>
          <w:fldChar w:fldCharType="separate"/>
        </w:r>
        <w:r w:rsidR="00D6133D">
          <w:rPr>
            <w:noProof/>
            <w:webHidden/>
          </w:rPr>
          <w:t>64</w:t>
        </w:r>
        <w:r w:rsidR="002320B3">
          <w:rPr>
            <w:noProof/>
            <w:webHidden/>
          </w:rPr>
          <w:fldChar w:fldCharType="end"/>
        </w:r>
      </w:hyperlink>
    </w:p>
    <w:p w14:paraId="02CA3B7A" w14:textId="63F02E1E"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598" w:history="1">
        <w:r w:rsidR="002320B3" w:rsidRPr="00FE1B51">
          <w:rPr>
            <w:rStyle w:val="Hyperlink"/>
            <w:rFonts w:asciiTheme="majorHAnsi" w:eastAsiaTheme="majorEastAsia" w:hAnsiTheme="majorHAnsi" w:cstheme="majorHAnsi"/>
            <w:noProof/>
          </w:rPr>
          <w:t>Table 7.</w:t>
        </w:r>
        <w:r w:rsidR="00D434EB">
          <w:rPr>
            <w:rStyle w:val="Hyperlink"/>
            <w:rFonts w:asciiTheme="majorHAnsi" w:eastAsiaTheme="majorEastAsia" w:hAnsiTheme="majorHAnsi" w:cstheme="majorHAnsi"/>
            <w:bCs/>
            <w:noProof/>
          </w:rPr>
          <w:t xml:space="preserve"> </w:t>
        </w:r>
        <w:r w:rsidR="002320B3" w:rsidRPr="00FE1B51">
          <w:rPr>
            <w:rStyle w:val="Hyperlink"/>
            <w:rFonts w:asciiTheme="majorHAnsi" w:eastAsiaTheme="majorEastAsia" w:hAnsiTheme="majorHAnsi" w:cstheme="majorHAnsi"/>
            <w:bCs/>
            <w:noProof/>
          </w:rPr>
          <w:t>Principals’ and Teachers’ Perceptions of DO No. 55, s. 2016</w:t>
        </w:r>
        <w:r w:rsidR="002320B3">
          <w:rPr>
            <w:noProof/>
            <w:webHidden/>
          </w:rPr>
          <w:tab/>
        </w:r>
        <w:r w:rsidR="002320B3">
          <w:rPr>
            <w:noProof/>
            <w:webHidden/>
          </w:rPr>
          <w:fldChar w:fldCharType="begin"/>
        </w:r>
        <w:r w:rsidR="002320B3">
          <w:rPr>
            <w:noProof/>
            <w:webHidden/>
          </w:rPr>
          <w:instrText xml:space="preserve"> PAGEREF _Toc71616598 \h </w:instrText>
        </w:r>
        <w:r w:rsidR="002320B3">
          <w:rPr>
            <w:noProof/>
            <w:webHidden/>
          </w:rPr>
        </w:r>
        <w:r w:rsidR="002320B3">
          <w:rPr>
            <w:noProof/>
            <w:webHidden/>
          </w:rPr>
          <w:fldChar w:fldCharType="separate"/>
        </w:r>
        <w:r w:rsidR="00D6133D">
          <w:rPr>
            <w:noProof/>
            <w:webHidden/>
          </w:rPr>
          <w:t>65</w:t>
        </w:r>
        <w:r w:rsidR="002320B3">
          <w:rPr>
            <w:noProof/>
            <w:webHidden/>
          </w:rPr>
          <w:fldChar w:fldCharType="end"/>
        </w:r>
      </w:hyperlink>
    </w:p>
    <w:p w14:paraId="2358731D" w14:textId="1026304F"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599" w:history="1">
        <w:r w:rsidR="002320B3" w:rsidRPr="00FE1B51">
          <w:rPr>
            <w:rStyle w:val="Hyperlink"/>
            <w:rFonts w:asciiTheme="majorHAnsi" w:eastAsiaTheme="majorEastAsia" w:hAnsiTheme="majorHAnsi" w:cstheme="majorHAnsi"/>
            <w:noProof/>
          </w:rPr>
          <w:t>Table 8.</w:t>
        </w:r>
        <w:r w:rsidR="00D434EB">
          <w:rPr>
            <w:rStyle w:val="Hyperlink"/>
            <w:rFonts w:asciiTheme="majorHAnsi" w:eastAsiaTheme="majorEastAsia" w:hAnsiTheme="majorHAnsi" w:cstheme="majorHAnsi"/>
            <w:bCs/>
            <w:noProof/>
          </w:rPr>
          <w:t xml:space="preserve"> </w:t>
        </w:r>
        <w:r w:rsidR="002320B3" w:rsidRPr="00FE1B51">
          <w:rPr>
            <w:rStyle w:val="Hyperlink"/>
            <w:rFonts w:asciiTheme="majorHAnsi" w:eastAsiaTheme="majorEastAsia" w:hAnsiTheme="majorHAnsi" w:cstheme="majorHAnsi"/>
            <w:bCs/>
            <w:noProof/>
          </w:rPr>
          <w:t xml:space="preserve">Share of Principals and Teachers that participated </w:t>
        </w:r>
        <w:r w:rsidR="002320B3" w:rsidRPr="00FE1B51">
          <w:rPr>
            <w:rStyle w:val="Hyperlink"/>
            <w:rFonts w:asciiTheme="majorHAnsi" w:eastAsiaTheme="majorEastAsia" w:hAnsiTheme="majorHAnsi" w:cstheme="majorHAnsi"/>
            <w:noProof/>
          </w:rPr>
          <w:t>in LAC Sessions</w:t>
        </w:r>
        <w:r w:rsidR="002320B3">
          <w:rPr>
            <w:noProof/>
            <w:webHidden/>
          </w:rPr>
          <w:tab/>
        </w:r>
        <w:r w:rsidR="002320B3">
          <w:rPr>
            <w:noProof/>
            <w:webHidden/>
          </w:rPr>
          <w:fldChar w:fldCharType="begin"/>
        </w:r>
        <w:r w:rsidR="002320B3">
          <w:rPr>
            <w:noProof/>
            <w:webHidden/>
          </w:rPr>
          <w:instrText xml:space="preserve"> PAGEREF _Toc71616599 \h </w:instrText>
        </w:r>
        <w:r w:rsidR="002320B3">
          <w:rPr>
            <w:noProof/>
            <w:webHidden/>
          </w:rPr>
        </w:r>
        <w:r w:rsidR="002320B3">
          <w:rPr>
            <w:noProof/>
            <w:webHidden/>
          </w:rPr>
          <w:fldChar w:fldCharType="separate"/>
        </w:r>
        <w:r w:rsidR="00D6133D">
          <w:rPr>
            <w:noProof/>
            <w:webHidden/>
          </w:rPr>
          <w:t>66</w:t>
        </w:r>
        <w:r w:rsidR="002320B3">
          <w:rPr>
            <w:noProof/>
            <w:webHidden/>
          </w:rPr>
          <w:fldChar w:fldCharType="end"/>
        </w:r>
      </w:hyperlink>
    </w:p>
    <w:p w14:paraId="1344F76E" w14:textId="24180065"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600" w:history="1">
        <w:r w:rsidR="002320B3" w:rsidRPr="00FE1B51">
          <w:rPr>
            <w:rStyle w:val="Hyperlink"/>
            <w:rFonts w:asciiTheme="majorHAnsi" w:eastAsiaTheme="majorEastAsia" w:hAnsiTheme="majorHAnsi" w:cstheme="majorHAnsi"/>
            <w:noProof/>
          </w:rPr>
          <w:t>Table 9.</w:t>
        </w:r>
        <w:r w:rsidR="00D434EB">
          <w:rPr>
            <w:rStyle w:val="Hyperlink"/>
            <w:rFonts w:asciiTheme="majorHAnsi" w:eastAsiaTheme="majorEastAsia" w:hAnsiTheme="majorHAnsi" w:cstheme="majorHAnsi"/>
            <w:bCs/>
            <w:noProof/>
          </w:rPr>
          <w:t xml:space="preserve"> </w:t>
        </w:r>
        <w:r w:rsidR="002320B3" w:rsidRPr="00FE1B51">
          <w:rPr>
            <w:rStyle w:val="Hyperlink"/>
            <w:rFonts w:asciiTheme="majorHAnsi" w:eastAsiaTheme="majorEastAsia" w:hAnsiTheme="majorHAnsi" w:cstheme="majorHAnsi"/>
            <w:bCs/>
            <w:noProof/>
          </w:rPr>
          <w:t xml:space="preserve">Principals’ and Teachers’ Assessment of </w:t>
        </w:r>
        <w:r w:rsidR="002320B3" w:rsidRPr="00FE1B51">
          <w:rPr>
            <w:rStyle w:val="Hyperlink"/>
            <w:rFonts w:asciiTheme="majorHAnsi" w:eastAsiaTheme="majorEastAsia" w:hAnsiTheme="majorHAnsi" w:cstheme="majorHAnsi"/>
            <w:noProof/>
          </w:rPr>
          <w:t>LAC as a Learning Modality</w:t>
        </w:r>
        <w:r w:rsidR="002320B3">
          <w:rPr>
            <w:noProof/>
            <w:webHidden/>
          </w:rPr>
          <w:tab/>
        </w:r>
        <w:r w:rsidR="002320B3">
          <w:rPr>
            <w:noProof/>
            <w:webHidden/>
          </w:rPr>
          <w:fldChar w:fldCharType="begin"/>
        </w:r>
        <w:r w:rsidR="002320B3">
          <w:rPr>
            <w:noProof/>
            <w:webHidden/>
          </w:rPr>
          <w:instrText xml:space="preserve"> PAGEREF _Toc71616600 \h </w:instrText>
        </w:r>
        <w:r w:rsidR="002320B3">
          <w:rPr>
            <w:noProof/>
            <w:webHidden/>
          </w:rPr>
        </w:r>
        <w:r w:rsidR="002320B3">
          <w:rPr>
            <w:noProof/>
            <w:webHidden/>
          </w:rPr>
          <w:fldChar w:fldCharType="separate"/>
        </w:r>
        <w:r w:rsidR="00D6133D">
          <w:rPr>
            <w:noProof/>
            <w:webHidden/>
          </w:rPr>
          <w:t>66</w:t>
        </w:r>
        <w:r w:rsidR="002320B3">
          <w:rPr>
            <w:noProof/>
            <w:webHidden/>
          </w:rPr>
          <w:fldChar w:fldCharType="end"/>
        </w:r>
      </w:hyperlink>
    </w:p>
    <w:p w14:paraId="57D503E9" w14:textId="47D3F749"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601" w:history="1">
        <w:r w:rsidR="002320B3" w:rsidRPr="00FE1B51">
          <w:rPr>
            <w:rStyle w:val="Hyperlink"/>
            <w:rFonts w:asciiTheme="majorHAnsi" w:eastAsiaTheme="majorEastAsia" w:hAnsiTheme="majorHAnsi" w:cstheme="majorHAnsi"/>
            <w:noProof/>
          </w:rPr>
          <w:t>Table 10.</w:t>
        </w:r>
        <w:r w:rsidR="00D434EB">
          <w:rPr>
            <w:rStyle w:val="Hyperlink"/>
            <w:rFonts w:asciiTheme="majorHAnsi" w:eastAsiaTheme="majorEastAsia" w:hAnsiTheme="majorHAnsi" w:cstheme="majorHAnsi"/>
            <w:bCs/>
            <w:noProof/>
          </w:rPr>
          <w:t xml:space="preserve"> </w:t>
        </w:r>
        <w:r w:rsidR="002320B3" w:rsidRPr="00FE1B51">
          <w:rPr>
            <w:rStyle w:val="Hyperlink"/>
            <w:rFonts w:asciiTheme="majorHAnsi" w:eastAsiaTheme="majorEastAsia" w:hAnsiTheme="majorHAnsi" w:cstheme="majorHAnsi"/>
            <w:bCs/>
            <w:noProof/>
          </w:rPr>
          <w:t xml:space="preserve">Principals’ and Teachers’ Perceptions on </w:t>
        </w:r>
        <w:r w:rsidR="002320B3" w:rsidRPr="00FE1B51">
          <w:rPr>
            <w:rStyle w:val="Hyperlink"/>
            <w:rFonts w:asciiTheme="majorHAnsi" w:eastAsiaTheme="majorEastAsia" w:hAnsiTheme="majorHAnsi" w:cstheme="majorHAnsi"/>
            <w:noProof/>
          </w:rPr>
          <w:t>the Learning Action Cell Toolkit</w:t>
        </w:r>
        <w:r w:rsidR="002320B3">
          <w:rPr>
            <w:noProof/>
            <w:webHidden/>
          </w:rPr>
          <w:tab/>
        </w:r>
        <w:r w:rsidR="002320B3">
          <w:rPr>
            <w:noProof/>
            <w:webHidden/>
          </w:rPr>
          <w:fldChar w:fldCharType="begin"/>
        </w:r>
        <w:r w:rsidR="002320B3">
          <w:rPr>
            <w:noProof/>
            <w:webHidden/>
          </w:rPr>
          <w:instrText xml:space="preserve"> PAGEREF _Toc71616601 \h </w:instrText>
        </w:r>
        <w:r w:rsidR="002320B3">
          <w:rPr>
            <w:noProof/>
            <w:webHidden/>
          </w:rPr>
        </w:r>
        <w:r w:rsidR="002320B3">
          <w:rPr>
            <w:noProof/>
            <w:webHidden/>
          </w:rPr>
          <w:fldChar w:fldCharType="separate"/>
        </w:r>
        <w:r w:rsidR="00D6133D">
          <w:rPr>
            <w:noProof/>
            <w:webHidden/>
          </w:rPr>
          <w:t>67</w:t>
        </w:r>
        <w:r w:rsidR="002320B3">
          <w:rPr>
            <w:noProof/>
            <w:webHidden/>
          </w:rPr>
          <w:fldChar w:fldCharType="end"/>
        </w:r>
      </w:hyperlink>
    </w:p>
    <w:p w14:paraId="2203F064" w14:textId="29C28822"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602" w:history="1">
        <w:r w:rsidR="002320B3" w:rsidRPr="00FE1B51">
          <w:rPr>
            <w:rStyle w:val="Hyperlink"/>
            <w:rFonts w:asciiTheme="majorHAnsi" w:eastAsiaTheme="majorEastAsia" w:hAnsiTheme="majorHAnsi" w:cstheme="majorHAnsi"/>
            <w:noProof/>
          </w:rPr>
          <w:t>Table 11.</w:t>
        </w:r>
        <w:r w:rsidR="00D434EB">
          <w:rPr>
            <w:rStyle w:val="Hyperlink"/>
            <w:rFonts w:asciiTheme="majorHAnsi" w:eastAsiaTheme="majorEastAsia" w:hAnsiTheme="majorHAnsi" w:cstheme="majorHAnsi"/>
            <w:bCs/>
            <w:noProof/>
          </w:rPr>
          <w:t xml:space="preserve"> </w:t>
        </w:r>
        <w:r w:rsidR="002320B3" w:rsidRPr="00FE1B51">
          <w:rPr>
            <w:rStyle w:val="Hyperlink"/>
            <w:rFonts w:asciiTheme="majorHAnsi" w:eastAsiaTheme="majorEastAsia" w:hAnsiTheme="majorHAnsi" w:cstheme="majorHAnsi"/>
            <w:bCs/>
            <w:noProof/>
          </w:rPr>
          <w:t>Principals’ and Teachers’ Perceptions on DO No.</w:t>
        </w:r>
        <w:r w:rsidR="002320B3" w:rsidRPr="00FE1B51">
          <w:rPr>
            <w:rStyle w:val="Hyperlink"/>
            <w:rFonts w:asciiTheme="majorHAnsi" w:eastAsiaTheme="majorEastAsia" w:hAnsiTheme="majorHAnsi" w:cstheme="majorHAnsi"/>
            <w:noProof/>
            <w:lang w:val="en-GB"/>
          </w:rPr>
          <w:t xml:space="preserve"> 43 s. 2017</w:t>
        </w:r>
        <w:r w:rsidR="002320B3">
          <w:rPr>
            <w:noProof/>
            <w:webHidden/>
          </w:rPr>
          <w:tab/>
        </w:r>
        <w:r w:rsidR="002320B3">
          <w:rPr>
            <w:noProof/>
            <w:webHidden/>
          </w:rPr>
          <w:fldChar w:fldCharType="begin"/>
        </w:r>
        <w:r w:rsidR="002320B3">
          <w:rPr>
            <w:noProof/>
            <w:webHidden/>
          </w:rPr>
          <w:instrText xml:space="preserve"> PAGEREF _Toc71616602 \h </w:instrText>
        </w:r>
        <w:r w:rsidR="002320B3">
          <w:rPr>
            <w:noProof/>
            <w:webHidden/>
          </w:rPr>
        </w:r>
        <w:r w:rsidR="002320B3">
          <w:rPr>
            <w:noProof/>
            <w:webHidden/>
          </w:rPr>
          <w:fldChar w:fldCharType="separate"/>
        </w:r>
        <w:r w:rsidR="00D6133D">
          <w:rPr>
            <w:noProof/>
            <w:webHidden/>
          </w:rPr>
          <w:t>68</w:t>
        </w:r>
        <w:r w:rsidR="002320B3">
          <w:rPr>
            <w:noProof/>
            <w:webHidden/>
          </w:rPr>
          <w:fldChar w:fldCharType="end"/>
        </w:r>
      </w:hyperlink>
    </w:p>
    <w:p w14:paraId="0C29F1A4" w14:textId="26ED474F"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603" w:history="1">
        <w:r w:rsidR="002320B3" w:rsidRPr="00FE1B51">
          <w:rPr>
            <w:rStyle w:val="Hyperlink"/>
            <w:rFonts w:asciiTheme="majorHAnsi" w:eastAsiaTheme="majorEastAsia" w:hAnsiTheme="majorHAnsi" w:cstheme="majorHAnsi"/>
            <w:noProof/>
          </w:rPr>
          <w:t>Table 12.</w:t>
        </w:r>
        <w:r w:rsidR="00D434EB">
          <w:rPr>
            <w:rStyle w:val="Hyperlink"/>
            <w:rFonts w:asciiTheme="majorHAnsi" w:eastAsiaTheme="majorEastAsia" w:hAnsiTheme="majorHAnsi" w:cstheme="majorHAnsi"/>
            <w:bCs/>
            <w:noProof/>
          </w:rPr>
          <w:t xml:space="preserve"> </w:t>
        </w:r>
        <w:r w:rsidR="002320B3" w:rsidRPr="00FE1B51">
          <w:rPr>
            <w:rStyle w:val="Hyperlink"/>
            <w:rFonts w:asciiTheme="majorHAnsi" w:eastAsiaTheme="majorEastAsia" w:hAnsiTheme="majorHAnsi" w:cstheme="majorHAnsi"/>
            <w:bCs/>
            <w:noProof/>
          </w:rPr>
          <w:t xml:space="preserve">Principals’ and Teachers’ Perceptions on </w:t>
        </w:r>
        <w:r w:rsidR="002320B3" w:rsidRPr="00FE1B51">
          <w:rPr>
            <w:rStyle w:val="Hyperlink"/>
            <w:rFonts w:asciiTheme="majorHAnsi" w:eastAsiaTheme="majorEastAsia" w:hAnsiTheme="majorHAnsi" w:cstheme="majorHAnsi"/>
            <w:noProof/>
          </w:rPr>
          <w:t>the TIP Modules</w:t>
        </w:r>
        <w:r w:rsidR="002320B3">
          <w:rPr>
            <w:noProof/>
            <w:webHidden/>
          </w:rPr>
          <w:tab/>
        </w:r>
        <w:r w:rsidR="002320B3">
          <w:rPr>
            <w:noProof/>
            <w:webHidden/>
          </w:rPr>
          <w:fldChar w:fldCharType="begin"/>
        </w:r>
        <w:r w:rsidR="002320B3">
          <w:rPr>
            <w:noProof/>
            <w:webHidden/>
          </w:rPr>
          <w:instrText xml:space="preserve"> PAGEREF _Toc71616603 \h </w:instrText>
        </w:r>
        <w:r w:rsidR="002320B3">
          <w:rPr>
            <w:noProof/>
            <w:webHidden/>
          </w:rPr>
        </w:r>
        <w:r w:rsidR="002320B3">
          <w:rPr>
            <w:noProof/>
            <w:webHidden/>
          </w:rPr>
          <w:fldChar w:fldCharType="separate"/>
        </w:r>
        <w:r w:rsidR="00D6133D">
          <w:rPr>
            <w:noProof/>
            <w:webHidden/>
          </w:rPr>
          <w:t>69</w:t>
        </w:r>
        <w:r w:rsidR="002320B3">
          <w:rPr>
            <w:noProof/>
            <w:webHidden/>
          </w:rPr>
          <w:fldChar w:fldCharType="end"/>
        </w:r>
      </w:hyperlink>
    </w:p>
    <w:p w14:paraId="4027D4BB" w14:textId="77D57C0F"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604" w:history="1">
        <w:r w:rsidR="002320B3" w:rsidRPr="00FE1B51">
          <w:rPr>
            <w:rStyle w:val="Hyperlink"/>
            <w:rFonts w:asciiTheme="majorHAnsi" w:eastAsiaTheme="majorEastAsia" w:hAnsiTheme="majorHAnsi" w:cstheme="majorHAnsi"/>
            <w:noProof/>
          </w:rPr>
          <w:t>Table 13.</w:t>
        </w:r>
        <w:r w:rsidR="00D434EB">
          <w:rPr>
            <w:rStyle w:val="Hyperlink"/>
            <w:rFonts w:asciiTheme="majorHAnsi" w:eastAsiaTheme="majorEastAsia" w:hAnsiTheme="majorHAnsi" w:cstheme="majorHAnsi"/>
            <w:bCs/>
            <w:noProof/>
          </w:rPr>
          <w:t xml:space="preserve"> </w:t>
        </w:r>
        <w:r w:rsidR="002320B3" w:rsidRPr="00FE1B51">
          <w:rPr>
            <w:rStyle w:val="Hyperlink"/>
            <w:rFonts w:asciiTheme="majorHAnsi" w:eastAsiaTheme="majorEastAsia" w:hAnsiTheme="majorHAnsi" w:cstheme="majorHAnsi"/>
            <w:bCs/>
            <w:noProof/>
          </w:rPr>
          <w:t xml:space="preserve">Principals, and Teachers, Perceptions on </w:t>
        </w:r>
        <w:r w:rsidR="002320B3" w:rsidRPr="00FE1B51">
          <w:rPr>
            <w:rStyle w:val="Hyperlink"/>
            <w:rFonts w:asciiTheme="majorHAnsi" w:eastAsiaTheme="majorEastAsia" w:hAnsiTheme="majorHAnsi" w:cstheme="majorHAnsi"/>
            <w:noProof/>
          </w:rPr>
          <w:t>DO No. 42, s. 2017</w:t>
        </w:r>
        <w:r w:rsidR="002320B3">
          <w:rPr>
            <w:noProof/>
            <w:webHidden/>
          </w:rPr>
          <w:tab/>
        </w:r>
        <w:r w:rsidR="002320B3">
          <w:rPr>
            <w:noProof/>
            <w:webHidden/>
          </w:rPr>
          <w:fldChar w:fldCharType="begin"/>
        </w:r>
        <w:r w:rsidR="002320B3">
          <w:rPr>
            <w:noProof/>
            <w:webHidden/>
          </w:rPr>
          <w:instrText xml:space="preserve"> PAGEREF _Toc71616604 \h </w:instrText>
        </w:r>
        <w:r w:rsidR="002320B3">
          <w:rPr>
            <w:noProof/>
            <w:webHidden/>
          </w:rPr>
        </w:r>
        <w:r w:rsidR="002320B3">
          <w:rPr>
            <w:noProof/>
            <w:webHidden/>
          </w:rPr>
          <w:fldChar w:fldCharType="separate"/>
        </w:r>
        <w:r w:rsidR="00D6133D">
          <w:rPr>
            <w:noProof/>
            <w:webHidden/>
          </w:rPr>
          <w:t>75</w:t>
        </w:r>
        <w:r w:rsidR="002320B3">
          <w:rPr>
            <w:noProof/>
            <w:webHidden/>
          </w:rPr>
          <w:fldChar w:fldCharType="end"/>
        </w:r>
      </w:hyperlink>
    </w:p>
    <w:p w14:paraId="5318CD98" w14:textId="54054DE6"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605" w:history="1">
        <w:r w:rsidR="002320B3" w:rsidRPr="00FE1B51">
          <w:rPr>
            <w:rStyle w:val="Hyperlink"/>
            <w:rFonts w:asciiTheme="majorHAnsi" w:eastAsiaTheme="majorEastAsia" w:hAnsiTheme="majorHAnsi" w:cstheme="majorHAnsi"/>
            <w:noProof/>
          </w:rPr>
          <w:t>Table 14.</w:t>
        </w:r>
        <w:r w:rsidR="00D434EB">
          <w:rPr>
            <w:rStyle w:val="Hyperlink"/>
            <w:rFonts w:asciiTheme="majorHAnsi" w:eastAsiaTheme="majorEastAsia" w:hAnsiTheme="majorHAnsi" w:cstheme="majorHAnsi"/>
            <w:bCs/>
            <w:noProof/>
          </w:rPr>
          <w:t xml:space="preserve"> </w:t>
        </w:r>
        <w:r w:rsidR="002320B3" w:rsidRPr="00FE1B51">
          <w:rPr>
            <w:rStyle w:val="Hyperlink"/>
            <w:rFonts w:asciiTheme="majorHAnsi" w:eastAsiaTheme="majorEastAsia" w:hAnsiTheme="majorHAnsi" w:cstheme="majorHAnsi"/>
            <w:bCs/>
            <w:noProof/>
          </w:rPr>
          <w:t xml:space="preserve">Principals’ and Teachers’ Perceptions on </w:t>
        </w:r>
        <w:r w:rsidR="002320B3" w:rsidRPr="00FE1B51">
          <w:rPr>
            <w:rStyle w:val="Hyperlink"/>
            <w:rFonts w:asciiTheme="majorHAnsi" w:eastAsiaTheme="majorEastAsia" w:hAnsiTheme="majorHAnsi" w:cstheme="majorHAnsi"/>
            <w:noProof/>
          </w:rPr>
          <w:t>DO No. 2, s. 2015</w:t>
        </w:r>
        <w:r w:rsidR="002320B3">
          <w:rPr>
            <w:noProof/>
            <w:webHidden/>
          </w:rPr>
          <w:tab/>
        </w:r>
        <w:r w:rsidR="002320B3">
          <w:rPr>
            <w:noProof/>
            <w:webHidden/>
          </w:rPr>
          <w:fldChar w:fldCharType="begin"/>
        </w:r>
        <w:r w:rsidR="002320B3">
          <w:rPr>
            <w:noProof/>
            <w:webHidden/>
          </w:rPr>
          <w:instrText xml:space="preserve"> PAGEREF _Toc71616605 \h </w:instrText>
        </w:r>
        <w:r w:rsidR="002320B3">
          <w:rPr>
            <w:noProof/>
            <w:webHidden/>
          </w:rPr>
        </w:r>
        <w:r w:rsidR="002320B3">
          <w:rPr>
            <w:noProof/>
            <w:webHidden/>
          </w:rPr>
          <w:fldChar w:fldCharType="separate"/>
        </w:r>
        <w:r w:rsidR="00D6133D">
          <w:rPr>
            <w:noProof/>
            <w:webHidden/>
          </w:rPr>
          <w:t>76</w:t>
        </w:r>
        <w:r w:rsidR="002320B3">
          <w:rPr>
            <w:noProof/>
            <w:webHidden/>
          </w:rPr>
          <w:fldChar w:fldCharType="end"/>
        </w:r>
      </w:hyperlink>
    </w:p>
    <w:p w14:paraId="79941AE1" w14:textId="6A8A5388"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606" w:history="1">
        <w:r w:rsidR="002320B3" w:rsidRPr="00FE1B51">
          <w:rPr>
            <w:rStyle w:val="Hyperlink"/>
            <w:rFonts w:asciiTheme="majorHAnsi" w:eastAsiaTheme="majorEastAsia" w:hAnsiTheme="majorHAnsi" w:cstheme="majorHAnsi"/>
            <w:noProof/>
          </w:rPr>
          <w:t>Table 15.</w:t>
        </w:r>
        <w:r w:rsidR="00D434EB">
          <w:rPr>
            <w:rStyle w:val="Hyperlink"/>
            <w:rFonts w:asciiTheme="majorHAnsi" w:eastAsiaTheme="majorEastAsia" w:hAnsiTheme="majorHAnsi" w:cstheme="majorHAnsi"/>
            <w:bCs/>
            <w:noProof/>
          </w:rPr>
          <w:t xml:space="preserve"> </w:t>
        </w:r>
        <w:r w:rsidR="002320B3" w:rsidRPr="00FE1B51">
          <w:rPr>
            <w:rStyle w:val="Hyperlink"/>
            <w:rFonts w:asciiTheme="majorHAnsi" w:eastAsiaTheme="majorEastAsia" w:hAnsiTheme="majorHAnsi" w:cstheme="majorHAnsi"/>
            <w:bCs/>
            <w:noProof/>
          </w:rPr>
          <w:t xml:space="preserve">Principals’ and Teachers’ Perceptions of the </w:t>
        </w:r>
        <w:r w:rsidR="002320B3" w:rsidRPr="00FE1B51">
          <w:rPr>
            <w:rStyle w:val="Hyperlink"/>
            <w:rFonts w:asciiTheme="majorHAnsi" w:eastAsiaTheme="majorEastAsia" w:hAnsiTheme="majorHAnsi" w:cstheme="majorHAnsi"/>
            <w:noProof/>
          </w:rPr>
          <w:t>COT and SAT</w:t>
        </w:r>
        <w:r w:rsidR="002320B3">
          <w:rPr>
            <w:noProof/>
            <w:webHidden/>
          </w:rPr>
          <w:tab/>
        </w:r>
        <w:r w:rsidR="002320B3">
          <w:rPr>
            <w:noProof/>
            <w:webHidden/>
          </w:rPr>
          <w:fldChar w:fldCharType="begin"/>
        </w:r>
        <w:r w:rsidR="002320B3">
          <w:rPr>
            <w:noProof/>
            <w:webHidden/>
          </w:rPr>
          <w:instrText xml:space="preserve"> PAGEREF _Toc71616606 \h </w:instrText>
        </w:r>
        <w:r w:rsidR="002320B3">
          <w:rPr>
            <w:noProof/>
            <w:webHidden/>
          </w:rPr>
        </w:r>
        <w:r w:rsidR="002320B3">
          <w:rPr>
            <w:noProof/>
            <w:webHidden/>
          </w:rPr>
          <w:fldChar w:fldCharType="separate"/>
        </w:r>
        <w:r w:rsidR="00D6133D">
          <w:rPr>
            <w:noProof/>
            <w:webHidden/>
          </w:rPr>
          <w:t>77</w:t>
        </w:r>
        <w:r w:rsidR="002320B3">
          <w:rPr>
            <w:noProof/>
            <w:webHidden/>
          </w:rPr>
          <w:fldChar w:fldCharType="end"/>
        </w:r>
      </w:hyperlink>
    </w:p>
    <w:p w14:paraId="41D821B3" w14:textId="57B38696"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607" w:history="1">
        <w:r w:rsidR="002320B3" w:rsidRPr="00FE1B51">
          <w:rPr>
            <w:rStyle w:val="Hyperlink"/>
            <w:rFonts w:asciiTheme="majorHAnsi" w:eastAsiaTheme="majorEastAsia" w:hAnsiTheme="majorHAnsi" w:cstheme="majorHAnsi"/>
            <w:noProof/>
          </w:rPr>
          <w:t>Table 16.</w:t>
        </w:r>
        <w:r w:rsidR="00D434EB">
          <w:rPr>
            <w:rStyle w:val="Hyperlink"/>
            <w:rFonts w:asciiTheme="majorHAnsi" w:eastAsiaTheme="majorEastAsia" w:hAnsiTheme="majorHAnsi" w:cstheme="majorHAnsi"/>
            <w:bCs/>
            <w:noProof/>
          </w:rPr>
          <w:t xml:space="preserve"> </w:t>
        </w:r>
        <w:r w:rsidR="002320B3" w:rsidRPr="00FE1B51">
          <w:rPr>
            <w:rStyle w:val="Hyperlink"/>
            <w:rFonts w:asciiTheme="majorHAnsi" w:eastAsiaTheme="majorEastAsia" w:hAnsiTheme="majorHAnsi" w:cstheme="majorHAnsi"/>
            <w:noProof/>
          </w:rPr>
          <w:t>Mean Scores of Classroom Observation using the TEACH Tool</w:t>
        </w:r>
        <w:r w:rsidR="002320B3">
          <w:rPr>
            <w:noProof/>
            <w:webHidden/>
          </w:rPr>
          <w:tab/>
        </w:r>
        <w:r w:rsidR="002320B3">
          <w:rPr>
            <w:noProof/>
            <w:webHidden/>
          </w:rPr>
          <w:fldChar w:fldCharType="begin"/>
        </w:r>
        <w:r w:rsidR="002320B3">
          <w:rPr>
            <w:noProof/>
            <w:webHidden/>
          </w:rPr>
          <w:instrText xml:space="preserve"> PAGEREF _Toc71616607 \h </w:instrText>
        </w:r>
        <w:r w:rsidR="002320B3">
          <w:rPr>
            <w:noProof/>
            <w:webHidden/>
          </w:rPr>
        </w:r>
        <w:r w:rsidR="002320B3">
          <w:rPr>
            <w:noProof/>
            <w:webHidden/>
          </w:rPr>
          <w:fldChar w:fldCharType="separate"/>
        </w:r>
        <w:r w:rsidR="00D6133D">
          <w:rPr>
            <w:noProof/>
            <w:webHidden/>
          </w:rPr>
          <w:t>80</w:t>
        </w:r>
        <w:r w:rsidR="002320B3">
          <w:rPr>
            <w:noProof/>
            <w:webHidden/>
          </w:rPr>
          <w:fldChar w:fldCharType="end"/>
        </w:r>
      </w:hyperlink>
    </w:p>
    <w:p w14:paraId="1B91A287" w14:textId="1D3EFDD7"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608" w:history="1">
        <w:r w:rsidR="002320B3" w:rsidRPr="00FE1B51">
          <w:rPr>
            <w:rStyle w:val="Hyperlink"/>
            <w:rFonts w:asciiTheme="majorHAnsi" w:eastAsiaTheme="majorEastAsia" w:hAnsiTheme="majorHAnsi" w:cstheme="majorHAnsi"/>
            <w:noProof/>
          </w:rPr>
          <w:t>Table 17.</w:t>
        </w:r>
        <w:r w:rsidR="00D434EB">
          <w:rPr>
            <w:rStyle w:val="Hyperlink"/>
            <w:rFonts w:asciiTheme="majorHAnsi" w:eastAsiaTheme="majorEastAsia" w:hAnsiTheme="majorHAnsi" w:cstheme="majorHAnsi"/>
            <w:bCs/>
            <w:noProof/>
          </w:rPr>
          <w:t xml:space="preserve"> </w:t>
        </w:r>
        <w:r w:rsidR="002320B3" w:rsidRPr="00FE1B51">
          <w:rPr>
            <w:rStyle w:val="Hyperlink"/>
            <w:rFonts w:asciiTheme="majorHAnsi" w:eastAsiaTheme="majorEastAsia" w:hAnsiTheme="majorHAnsi" w:cstheme="majorHAnsi"/>
            <w:noProof/>
          </w:rPr>
          <w:t>Mode of Classroom Observation Scores using the TEACH Tool</w:t>
        </w:r>
        <w:r w:rsidR="002320B3">
          <w:rPr>
            <w:noProof/>
            <w:webHidden/>
          </w:rPr>
          <w:tab/>
        </w:r>
        <w:r w:rsidR="002320B3">
          <w:rPr>
            <w:noProof/>
            <w:webHidden/>
          </w:rPr>
          <w:fldChar w:fldCharType="begin"/>
        </w:r>
        <w:r w:rsidR="002320B3">
          <w:rPr>
            <w:noProof/>
            <w:webHidden/>
          </w:rPr>
          <w:instrText xml:space="preserve"> PAGEREF _Toc71616608 \h </w:instrText>
        </w:r>
        <w:r w:rsidR="002320B3">
          <w:rPr>
            <w:noProof/>
            <w:webHidden/>
          </w:rPr>
        </w:r>
        <w:r w:rsidR="002320B3">
          <w:rPr>
            <w:noProof/>
            <w:webHidden/>
          </w:rPr>
          <w:fldChar w:fldCharType="separate"/>
        </w:r>
        <w:r w:rsidR="00D6133D">
          <w:rPr>
            <w:noProof/>
            <w:webHidden/>
          </w:rPr>
          <w:t>81</w:t>
        </w:r>
        <w:r w:rsidR="002320B3">
          <w:rPr>
            <w:noProof/>
            <w:webHidden/>
          </w:rPr>
          <w:fldChar w:fldCharType="end"/>
        </w:r>
      </w:hyperlink>
    </w:p>
    <w:p w14:paraId="3D14C7FF" w14:textId="149CD050"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609" w:history="1">
        <w:r w:rsidR="002320B3" w:rsidRPr="00FE1B51">
          <w:rPr>
            <w:rStyle w:val="Hyperlink"/>
            <w:rFonts w:asciiTheme="majorHAnsi" w:eastAsiaTheme="majorEastAsia" w:hAnsiTheme="majorHAnsi" w:cstheme="majorHAnsi"/>
            <w:noProof/>
          </w:rPr>
          <w:t>Table 18.</w:t>
        </w:r>
        <w:r w:rsidR="00D434EB">
          <w:rPr>
            <w:rStyle w:val="Hyperlink"/>
            <w:rFonts w:asciiTheme="majorHAnsi" w:eastAsiaTheme="majorEastAsia" w:hAnsiTheme="majorHAnsi" w:cstheme="majorHAnsi"/>
            <w:bCs/>
            <w:noProof/>
          </w:rPr>
          <w:t xml:space="preserve"> </w:t>
        </w:r>
        <w:r w:rsidR="002320B3" w:rsidRPr="00FE1B51">
          <w:rPr>
            <w:rStyle w:val="Hyperlink"/>
            <w:rFonts w:asciiTheme="majorHAnsi" w:eastAsiaTheme="majorEastAsia" w:hAnsiTheme="majorHAnsi" w:cstheme="majorHAnsi"/>
            <w:bCs/>
            <w:noProof/>
          </w:rPr>
          <w:t xml:space="preserve">Principals’ and Teachers’ Perceptions on </w:t>
        </w:r>
        <w:r w:rsidR="002320B3" w:rsidRPr="00FE1B51">
          <w:rPr>
            <w:rStyle w:val="Hyperlink"/>
            <w:rFonts w:asciiTheme="majorHAnsi" w:eastAsiaTheme="majorEastAsia" w:hAnsiTheme="majorHAnsi" w:cstheme="majorHAnsi"/>
            <w:noProof/>
          </w:rPr>
          <w:t>DO 55, s. 2015</w:t>
        </w:r>
        <w:r w:rsidR="002320B3">
          <w:rPr>
            <w:noProof/>
            <w:webHidden/>
          </w:rPr>
          <w:tab/>
        </w:r>
        <w:r w:rsidR="002320B3">
          <w:rPr>
            <w:noProof/>
            <w:webHidden/>
          </w:rPr>
          <w:fldChar w:fldCharType="begin"/>
        </w:r>
        <w:r w:rsidR="002320B3">
          <w:rPr>
            <w:noProof/>
            <w:webHidden/>
          </w:rPr>
          <w:instrText xml:space="preserve"> PAGEREF _Toc71616609 \h </w:instrText>
        </w:r>
        <w:r w:rsidR="002320B3">
          <w:rPr>
            <w:noProof/>
            <w:webHidden/>
          </w:rPr>
        </w:r>
        <w:r w:rsidR="002320B3">
          <w:rPr>
            <w:noProof/>
            <w:webHidden/>
          </w:rPr>
          <w:fldChar w:fldCharType="separate"/>
        </w:r>
        <w:r w:rsidR="00D6133D">
          <w:rPr>
            <w:noProof/>
            <w:webHidden/>
          </w:rPr>
          <w:t>87</w:t>
        </w:r>
        <w:r w:rsidR="002320B3">
          <w:rPr>
            <w:noProof/>
            <w:webHidden/>
          </w:rPr>
          <w:fldChar w:fldCharType="end"/>
        </w:r>
      </w:hyperlink>
    </w:p>
    <w:p w14:paraId="614948E4" w14:textId="5EF0512C"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610" w:history="1">
        <w:r w:rsidR="002320B3" w:rsidRPr="00FE1B51">
          <w:rPr>
            <w:rStyle w:val="Hyperlink"/>
            <w:rFonts w:asciiTheme="majorHAnsi" w:eastAsiaTheme="majorEastAsia" w:hAnsiTheme="majorHAnsi" w:cstheme="majorHAnsi"/>
            <w:noProof/>
          </w:rPr>
          <w:t>Table 19.</w:t>
        </w:r>
        <w:r w:rsidR="00D434EB">
          <w:rPr>
            <w:rStyle w:val="Hyperlink"/>
            <w:rFonts w:asciiTheme="majorHAnsi" w:eastAsiaTheme="majorEastAsia" w:hAnsiTheme="majorHAnsi" w:cstheme="majorHAnsi"/>
            <w:bCs/>
            <w:noProof/>
          </w:rPr>
          <w:t xml:space="preserve"> </w:t>
        </w:r>
        <w:r w:rsidR="002320B3" w:rsidRPr="00FE1B51">
          <w:rPr>
            <w:rStyle w:val="Hyperlink"/>
            <w:rFonts w:asciiTheme="majorHAnsi" w:eastAsiaTheme="majorEastAsia" w:hAnsiTheme="majorHAnsi" w:cstheme="majorHAnsi"/>
            <w:bCs/>
            <w:noProof/>
          </w:rPr>
          <w:t xml:space="preserve">Principals’ and Teachers’ Perceptions on </w:t>
        </w:r>
        <w:r w:rsidR="002320B3" w:rsidRPr="00FE1B51">
          <w:rPr>
            <w:rStyle w:val="Hyperlink"/>
            <w:rFonts w:asciiTheme="majorHAnsi" w:eastAsiaTheme="majorEastAsia" w:hAnsiTheme="majorHAnsi" w:cstheme="majorHAnsi"/>
            <w:noProof/>
          </w:rPr>
          <w:t>curriculum-related materials</w:t>
        </w:r>
        <w:r w:rsidR="002320B3">
          <w:rPr>
            <w:noProof/>
            <w:webHidden/>
          </w:rPr>
          <w:tab/>
        </w:r>
        <w:r w:rsidR="002320B3">
          <w:rPr>
            <w:noProof/>
            <w:webHidden/>
          </w:rPr>
          <w:fldChar w:fldCharType="begin"/>
        </w:r>
        <w:r w:rsidR="002320B3">
          <w:rPr>
            <w:noProof/>
            <w:webHidden/>
          </w:rPr>
          <w:instrText xml:space="preserve"> PAGEREF _Toc71616610 \h </w:instrText>
        </w:r>
        <w:r w:rsidR="002320B3">
          <w:rPr>
            <w:noProof/>
            <w:webHidden/>
          </w:rPr>
        </w:r>
        <w:r w:rsidR="002320B3">
          <w:rPr>
            <w:noProof/>
            <w:webHidden/>
          </w:rPr>
          <w:fldChar w:fldCharType="separate"/>
        </w:r>
        <w:r w:rsidR="00D6133D">
          <w:rPr>
            <w:noProof/>
            <w:webHidden/>
          </w:rPr>
          <w:t>89</w:t>
        </w:r>
        <w:r w:rsidR="002320B3">
          <w:rPr>
            <w:noProof/>
            <w:webHidden/>
          </w:rPr>
          <w:fldChar w:fldCharType="end"/>
        </w:r>
      </w:hyperlink>
    </w:p>
    <w:p w14:paraId="537E4910" w14:textId="4466E318"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611" w:history="1">
        <w:r w:rsidR="002320B3" w:rsidRPr="00FE1B51">
          <w:rPr>
            <w:rStyle w:val="Hyperlink"/>
            <w:rFonts w:asciiTheme="majorHAnsi" w:eastAsiaTheme="majorEastAsia" w:hAnsiTheme="majorHAnsi" w:cstheme="majorHAnsi"/>
            <w:noProof/>
          </w:rPr>
          <w:t>Table 20.</w:t>
        </w:r>
        <w:r w:rsidR="00D434EB">
          <w:rPr>
            <w:rStyle w:val="Hyperlink"/>
            <w:rFonts w:asciiTheme="majorHAnsi" w:eastAsiaTheme="majorEastAsia" w:hAnsiTheme="majorHAnsi" w:cstheme="majorHAnsi"/>
            <w:bCs/>
            <w:noProof/>
          </w:rPr>
          <w:t xml:space="preserve"> </w:t>
        </w:r>
        <w:r w:rsidR="002320B3" w:rsidRPr="00FE1B51">
          <w:rPr>
            <w:rStyle w:val="Hyperlink"/>
            <w:rFonts w:asciiTheme="majorHAnsi" w:eastAsiaTheme="majorEastAsia" w:hAnsiTheme="majorHAnsi" w:cstheme="majorHAnsi"/>
            <w:bCs/>
            <w:noProof/>
          </w:rPr>
          <w:t xml:space="preserve">Principals’ and Teachers’ Perceptions on </w:t>
        </w:r>
        <w:r w:rsidR="002320B3" w:rsidRPr="00FE1B51">
          <w:rPr>
            <w:rStyle w:val="Hyperlink"/>
            <w:rFonts w:asciiTheme="majorHAnsi" w:eastAsiaTheme="majorEastAsia" w:hAnsiTheme="majorHAnsi" w:cstheme="majorHAnsi"/>
            <w:noProof/>
          </w:rPr>
          <w:t>Assessment-Related Policies</w:t>
        </w:r>
        <w:r w:rsidR="002320B3">
          <w:rPr>
            <w:noProof/>
            <w:webHidden/>
          </w:rPr>
          <w:tab/>
        </w:r>
        <w:r w:rsidR="002320B3">
          <w:rPr>
            <w:noProof/>
            <w:webHidden/>
          </w:rPr>
          <w:fldChar w:fldCharType="begin"/>
        </w:r>
        <w:r w:rsidR="002320B3">
          <w:rPr>
            <w:noProof/>
            <w:webHidden/>
          </w:rPr>
          <w:instrText xml:space="preserve"> PAGEREF _Toc71616611 \h </w:instrText>
        </w:r>
        <w:r w:rsidR="002320B3">
          <w:rPr>
            <w:noProof/>
            <w:webHidden/>
          </w:rPr>
        </w:r>
        <w:r w:rsidR="002320B3">
          <w:rPr>
            <w:noProof/>
            <w:webHidden/>
          </w:rPr>
          <w:fldChar w:fldCharType="separate"/>
        </w:r>
        <w:r w:rsidR="00D6133D">
          <w:rPr>
            <w:noProof/>
            <w:webHidden/>
          </w:rPr>
          <w:t>91</w:t>
        </w:r>
        <w:r w:rsidR="002320B3">
          <w:rPr>
            <w:noProof/>
            <w:webHidden/>
          </w:rPr>
          <w:fldChar w:fldCharType="end"/>
        </w:r>
      </w:hyperlink>
    </w:p>
    <w:p w14:paraId="2EC5DCC8" w14:textId="3A22EEF4"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612" w:history="1">
        <w:r w:rsidR="002320B3" w:rsidRPr="00FE1B51">
          <w:rPr>
            <w:rStyle w:val="Hyperlink"/>
            <w:rFonts w:asciiTheme="majorHAnsi" w:eastAsiaTheme="majorEastAsia" w:hAnsiTheme="majorHAnsi" w:cstheme="majorHAnsi"/>
            <w:noProof/>
          </w:rPr>
          <w:t>Table 21.</w:t>
        </w:r>
        <w:r w:rsidR="00D434EB">
          <w:rPr>
            <w:rStyle w:val="Hyperlink"/>
            <w:rFonts w:asciiTheme="majorHAnsi" w:eastAsiaTheme="majorEastAsia" w:hAnsiTheme="majorHAnsi" w:cstheme="majorHAnsi"/>
            <w:bCs/>
            <w:noProof/>
          </w:rPr>
          <w:t xml:space="preserve"> </w:t>
        </w:r>
        <w:r w:rsidR="002320B3" w:rsidRPr="00FE1B51">
          <w:rPr>
            <w:rStyle w:val="Hyperlink"/>
            <w:rFonts w:asciiTheme="majorHAnsi" w:eastAsiaTheme="majorEastAsia" w:hAnsiTheme="majorHAnsi" w:cstheme="majorHAnsi"/>
            <w:bCs/>
            <w:noProof/>
          </w:rPr>
          <w:t xml:space="preserve">Perceptions of Principals and Teachers on </w:t>
        </w:r>
        <w:r w:rsidR="002320B3" w:rsidRPr="00FE1B51">
          <w:rPr>
            <w:rStyle w:val="Hyperlink"/>
            <w:rFonts w:asciiTheme="majorHAnsi" w:eastAsiaTheme="majorEastAsia" w:hAnsiTheme="majorHAnsi" w:cstheme="majorHAnsi"/>
            <w:noProof/>
          </w:rPr>
          <w:t>the CARB for K to Grade 10</w:t>
        </w:r>
        <w:r w:rsidR="002320B3">
          <w:rPr>
            <w:noProof/>
            <w:webHidden/>
          </w:rPr>
          <w:tab/>
        </w:r>
        <w:r w:rsidR="002320B3">
          <w:rPr>
            <w:noProof/>
            <w:webHidden/>
          </w:rPr>
          <w:fldChar w:fldCharType="begin"/>
        </w:r>
        <w:r w:rsidR="002320B3">
          <w:rPr>
            <w:noProof/>
            <w:webHidden/>
          </w:rPr>
          <w:instrText xml:space="preserve"> PAGEREF _Toc71616612 \h </w:instrText>
        </w:r>
        <w:r w:rsidR="002320B3">
          <w:rPr>
            <w:noProof/>
            <w:webHidden/>
          </w:rPr>
        </w:r>
        <w:r w:rsidR="002320B3">
          <w:rPr>
            <w:noProof/>
            <w:webHidden/>
          </w:rPr>
          <w:fldChar w:fldCharType="separate"/>
        </w:r>
        <w:r w:rsidR="00D6133D">
          <w:rPr>
            <w:noProof/>
            <w:webHidden/>
          </w:rPr>
          <w:t>92</w:t>
        </w:r>
        <w:r w:rsidR="002320B3">
          <w:rPr>
            <w:noProof/>
            <w:webHidden/>
          </w:rPr>
          <w:fldChar w:fldCharType="end"/>
        </w:r>
      </w:hyperlink>
    </w:p>
    <w:p w14:paraId="77B3A2B2" w14:textId="6935DB4F"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613" w:history="1">
        <w:r w:rsidR="002320B3" w:rsidRPr="00FE1B51">
          <w:rPr>
            <w:rStyle w:val="Hyperlink"/>
            <w:rFonts w:asciiTheme="majorHAnsi" w:eastAsiaTheme="majorEastAsia" w:hAnsiTheme="majorHAnsi" w:cstheme="majorHAnsi"/>
            <w:noProof/>
          </w:rPr>
          <w:t>Table 22.</w:t>
        </w:r>
        <w:r w:rsidR="00D434EB">
          <w:rPr>
            <w:rStyle w:val="Hyperlink"/>
            <w:rFonts w:asciiTheme="majorHAnsi" w:eastAsiaTheme="majorEastAsia" w:hAnsiTheme="majorHAnsi" w:cstheme="majorHAnsi"/>
            <w:bCs/>
            <w:noProof/>
          </w:rPr>
          <w:t xml:space="preserve"> </w:t>
        </w:r>
        <w:r w:rsidR="002320B3" w:rsidRPr="00FE1B51">
          <w:rPr>
            <w:rStyle w:val="Hyperlink"/>
            <w:rFonts w:asciiTheme="majorHAnsi" w:eastAsiaTheme="majorEastAsia" w:hAnsiTheme="majorHAnsi" w:cstheme="majorHAnsi"/>
            <w:bCs/>
            <w:noProof/>
          </w:rPr>
          <w:t>Access of Teachers to Selected BEST Program-supported Outputs</w:t>
        </w:r>
        <w:r w:rsidR="002320B3">
          <w:rPr>
            <w:noProof/>
            <w:webHidden/>
          </w:rPr>
          <w:tab/>
        </w:r>
        <w:r w:rsidR="002320B3">
          <w:rPr>
            <w:noProof/>
            <w:webHidden/>
          </w:rPr>
          <w:fldChar w:fldCharType="begin"/>
        </w:r>
        <w:r w:rsidR="002320B3">
          <w:rPr>
            <w:noProof/>
            <w:webHidden/>
          </w:rPr>
          <w:instrText xml:space="preserve"> PAGEREF _Toc71616613 \h </w:instrText>
        </w:r>
        <w:r w:rsidR="002320B3">
          <w:rPr>
            <w:noProof/>
            <w:webHidden/>
          </w:rPr>
        </w:r>
        <w:r w:rsidR="002320B3">
          <w:rPr>
            <w:noProof/>
            <w:webHidden/>
          </w:rPr>
          <w:fldChar w:fldCharType="separate"/>
        </w:r>
        <w:r w:rsidR="00D6133D">
          <w:rPr>
            <w:noProof/>
            <w:webHidden/>
          </w:rPr>
          <w:t>95</w:t>
        </w:r>
        <w:r w:rsidR="002320B3">
          <w:rPr>
            <w:noProof/>
            <w:webHidden/>
          </w:rPr>
          <w:fldChar w:fldCharType="end"/>
        </w:r>
      </w:hyperlink>
    </w:p>
    <w:p w14:paraId="41756FCA" w14:textId="522B4947"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614" w:history="1">
        <w:r w:rsidR="002320B3" w:rsidRPr="00FE1B51">
          <w:rPr>
            <w:rStyle w:val="Hyperlink"/>
            <w:rFonts w:asciiTheme="majorHAnsi" w:eastAsiaTheme="majorEastAsia" w:hAnsiTheme="majorHAnsi" w:cstheme="majorHAnsi"/>
            <w:noProof/>
          </w:rPr>
          <w:t>Table 23.</w:t>
        </w:r>
        <w:r w:rsidR="00D434EB">
          <w:rPr>
            <w:rStyle w:val="Hyperlink"/>
            <w:rFonts w:asciiTheme="majorHAnsi" w:eastAsiaTheme="majorEastAsia" w:hAnsiTheme="majorHAnsi" w:cstheme="majorHAnsi"/>
            <w:bCs/>
            <w:noProof/>
          </w:rPr>
          <w:t xml:space="preserve"> </w:t>
        </w:r>
        <w:r w:rsidR="002320B3" w:rsidRPr="00FE1B51">
          <w:rPr>
            <w:rStyle w:val="Hyperlink"/>
            <w:rFonts w:asciiTheme="majorHAnsi" w:eastAsiaTheme="majorEastAsia" w:hAnsiTheme="majorHAnsi" w:cstheme="majorHAnsi"/>
            <w:bCs/>
            <w:noProof/>
          </w:rPr>
          <w:t>DID Analyses of Change in Enrolment by Sex</w:t>
        </w:r>
        <w:r w:rsidR="002320B3">
          <w:rPr>
            <w:noProof/>
            <w:webHidden/>
          </w:rPr>
          <w:tab/>
        </w:r>
        <w:r w:rsidR="002320B3">
          <w:rPr>
            <w:noProof/>
            <w:webHidden/>
          </w:rPr>
          <w:fldChar w:fldCharType="begin"/>
        </w:r>
        <w:r w:rsidR="002320B3">
          <w:rPr>
            <w:noProof/>
            <w:webHidden/>
          </w:rPr>
          <w:instrText xml:space="preserve"> PAGEREF _Toc71616614 \h </w:instrText>
        </w:r>
        <w:r w:rsidR="002320B3">
          <w:rPr>
            <w:noProof/>
            <w:webHidden/>
          </w:rPr>
        </w:r>
        <w:r w:rsidR="002320B3">
          <w:rPr>
            <w:noProof/>
            <w:webHidden/>
          </w:rPr>
          <w:fldChar w:fldCharType="separate"/>
        </w:r>
        <w:r w:rsidR="00D6133D">
          <w:rPr>
            <w:noProof/>
            <w:webHidden/>
          </w:rPr>
          <w:t>98</w:t>
        </w:r>
        <w:r w:rsidR="002320B3">
          <w:rPr>
            <w:noProof/>
            <w:webHidden/>
          </w:rPr>
          <w:fldChar w:fldCharType="end"/>
        </w:r>
      </w:hyperlink>
    </w:p>
    <w:p w14:paraId="514E6C3A" w14:textId="61A711FE"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615" w:history="1">
        <w:r w:rsidR="002320B3" w:rsidRPr="00FE1B51">
          <w:rPr>
            <w:rStyle w:val="Hyperlink"/>
            <w:rFonts w:asciiTheme="majorHAnsi" w:eastAsiaTheme="majorEastAsia" w:hAnsiTheme="majorHAnsi" w:cstheme="majorHAnsi"/>
            <w:noProof/>
          </w:rPr>
          <w:t>Table 24.</w:t>
        </w:r>
        <w:r w:rsidR="00D434EB">
          <w:rPr>
            <w:rStyle w:val="Hyperlink"/>
            <w:rFonts w:asciiTheme="majorHAnsi" w:eastAsiaTheme="majorEastAsia" w:hAnsiTheme="majorHAnsi" w:cstheme="majorHAnsi"/>
            <w:bCs/>
            <w:noProof/>
          </w:rPr>
          <w:t xml:space="preserve"> </w:t>
        </w:r>
        <w:r w:rsidR="002320B3" w:rsidRPr="00FE1B51">
          <w:rPr>
            <w:rStyle w:val="Hyperlink"/>
            <w:rFonts w:asciiTheme="majorHAnsi" w:eastAsiaTheme="majorEastAsia" w:hAnsiTheme="majorHAnsi" w:cstheme="majorHAnsi"/>
            <w:bCs/>
            <w:noProof/>
          </w:rPr>
          <w:t>DID Analyses of Change in Enrolment by Sex</w:t>
        </w:r>
        <w:r w:rsidR="002320B3">
          <w:rPr>
            <w:noProof/>
            <w:webHidden/>
          </w:rPr>
          <w:tab/>
        </w:r>
        <w:r w:rsidR="002320B3">
          <w:rPr>
            <w:noProof/>
            <w:webHidden/>
          </w:rPr>
          <w:fldChar w:fldCharType="begin"/>
        </w:r>
        <w:r w:rsidR="002320B3">
          <w:rPr>
            <w:noProof/>
            <w:webHidden/>
          </w:rPr>
          <w:instrText xml:space="preserve"> PAGEREF _Toc71616615 \h </w:instrText>
        </w:r>
        <w:r w:rsidR="002320B3">
          <w:rPr>
            <w:noProof/>
            <w:webHidden/>
          </w:rPr>
        </w:r>
        <w:r w:rsidR="002320B3">
          <w:rPr>
            <w:noProof/>
            <w:webHidden/>
          </w:rPr>
          <w:fldChar w:fldCharType="separate"/>
        </w:r>
        <w:r w:rsidR="00D6133D">
          <w:rPr>
            <w:noProof/>
            <w:webHidden/>
          </w:rPr>
          <w:t>100</w:t>
        </w:r>
        <w:r w:rsidR="002320B3">
          <w:rPr>
            <w:noProof/>
            <w:webHidden/>
          </w:rPr>
          <w:fldChar w:fldCharType="end"/>
        </w:r>
      </w:hyperlink>
    </w:p>
    <w:p w14:paraId="489AD0BA" w14:textId="1ECA16AE"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616" w:history="1">
        <w:r w:rsidR="002320B3" w:rsidRPr="00FE1B51">
          <w:rPr>
            <w:rStyle w:val="Hyperlink"/>
            <w:rFonts w:asciiTheme="majorHAnsi" w:eastAsiaTheme="majorEastAsia" w:hAnsiTheme="majorHAnsi" w:cstheme="majorHAnsi"/>
            <w:noProof/>
          </w:rPr>
          <w:t>Table 25. Elementary School Leaver Rate by BEST and Non-BEST Regions, SY2013-2014 – SY2017-2018</w:t>
        </w:r>
        <w:r w:rsidR="002320B3">
          <w:rPr>
            <w:noProof/>
            <w:webHidden/>
          </w:rPr>
          <w:tab/>
        </w:r>
        <w:r w:rsidR="002320B3">
          <w:rPr>
            <w:noProof/>
            <w:webHidden/>
          </w:rPr>
          <w:fldChar w:fldCharType="begin"/>
        </w:r>
        <w:r w:rsidR="002320B3">
          <w:rPr>
            <w:noProof/>
            <w:webHidden/>
          </w:rPr>
          <w:instrText xml:space="preserve"> PAGEREF _Toc71616616 \h </w:instrText>
        </w:r>
        <w:r w:rsidR="002320B3">
          <w:rPr>
            <w:noProof/>
            <w:webHidden/>
          </w:rPr>
        </w:r>
        <w:r w:rsidR="002320B3">
          <w:rPr>
            <w:noProof/>
            <w:webHidden/>
          </w:rPr>
          <w:fldChar w:fldCharType="separate"/>
        </w:r>
        <w:r w:rsidR="00D6133D">
          <w:rPr>
            <w:noProof/>
            <w:webHidden/>
          </w:rPr>
          <w:t>101</w:t>
        </w:r>
        <w:r w:rsidR="002320B3">
          <w:rPr>
            <w:noProof/>
            <w:webHidden/>
          </w:rPr>
          <w:fldChar w:fldCharType="end"/>
        </w:r>
      </w:hyperlink>
    </w:p>
    <w:p w14:paraId="7646395F" w14:textId="04AC8D0B"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617" w:history="1">
        <w:r w:rsidR="002320B3" w:rsidRPr="00FE1B51">
          <w:rPr>
            <w:rStyle w:val="Hyperlink"/>
            <w:rFonts w:asciiTheme="majorHAnsi" w:eastAsiaTheme="majorEastAsia" w:hAnsiTheme="majorHAnsi" w:cstheme="majorHAnsi"/>
            <w:noProof/>
          </w:rPr>
          <w:t xml:space="preserve">Table 26. </w:t>
        </w:r>
        <w:r w:rsidR="002320B3" w:rsidRPr="00FE1B51">
          <w:rPr>
            <w:rStyle w:val="Hyperlink"/>
            <w:rFonts w:asciiTheme="majorHAnsi" w:eastAsiaTheme="majorEastAsia" w:hAnsiTheme="majorHAnsi" w:cstheme="majorHAnsi"/>
            <w:bCs/>
            <w:noProof/>
          </w:rPr>
          <w:t>Distributions of Classrooms Constructed/Construction by Region</w:t>
        </w:r>
        <w:r w:rsidR="002320B3">
          <w:rPr>
            <w:noProof/>
            <w:webHidden/>
          </w:rPr>
          <w:tab/>
        </w:r>
        <w:r w:rsidR="002320B3">
          <w:rPr>
            <w:noProof/>
            <w:webHidden/>
          </w:rPr>
          <w:fldChar w:fldCharType="begin"/>
        </w:r>
        <w:r w:rsidR="002320B3">
          <w:rPr>
            <w:noProof/>
            <w:webHidden/>
          </w:rPr>
          <w:instrText xml:space="preserve"> PAGEREF _Toc71616617 \h </w:instrText>
        </w:r>
        <w:r w:rsidR="002320B3">
          <w:rPr>
            <w:noProof/>
            <w:webHidden/>
          </w:rPr>
        </w:r>
        <w:r w:rsidR="002320B3">
          <w:rPr>
            <w:noProof/>
            <w:webHidden/>
          </w:rPr>
          <w:fldChar w:fldCharType="separate"/>
        </w:r>
        <w:r w:rsidR="00D6133D">
          <w:rPr>
            <w:noProof/>
            <w:webHidden/>
          </w:rPr>
          <w:t>104</w:t>
        </w:r>
        <w:r w:rsidR="002320B3">
          <w:rPr>
            <w:noProof/>
            <w:webHidden/>
          </w:rPr>
          <w:fldChar w:fldCharType="end"/>
        </w:r>
      </w:hyperlink>
    </w:p>
    <w:p w14:paraId="7F13EE7D" w14:textId="50B21990"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618" w:history="1">
        <w:r w:rsidR="002320B3" w:rsidRPr="00FE1B51">
          <w:rPr>
            <w:rStyle w:val="Hyperlink"/>
            <w:rFonts w:asciiTheme="majorHAnsi" w:eastAsiaTheme="majorEastAsia" w:hAnsiTheme="majorHAnsi" w:cstheme="majorHAnsi"/>
            <w:noProof/>
          </w:rPr>
          <w:t xml:space="preserve">Table 27. </w:t>
        </w:r>
        <w:r w:rsidR="002320B3" w:rsidRPr="00FE1B51">
          <w:rPr>
            <w:rStyle w:val="Hyperlink"/>
            <w:rFonts w:asciiTheme="majorHAnsi" w:eastAsiaTheme="majorEastAsia" w:hAnsiTheme="majorHAnsi" w:cstheme="majorHAnsi"/>
            <w:bCs/>
            <w:noProof/>
          </w:rPr>
          <w:t>Distributions of Beneficiaries of Classrooms Construction by Region</w:t>
        </w:r>
        <w:r w:rsidR="002320B3">
          <w:rPr>
            <w:noProof/>
            <w:webHidden/>
          </w:rPr>
          <w:tab/>
        </w:r>
        <w:r w:rsidR="002320B3">
          <w:rPr>
            <w:noProof/>
            <w:webHidden/>
          </w:rPr>
          <w:fldChar w:fldCharType="begin"/>
        </w:r>
        <w:r w:rsidR="002320B3">
          <w:rPr>
            <w:noProof/>
            <w:webHidden/>
          </w:rPr>
          <w:instrText xml:space="preserve"> PAGEREF _Toc71616618 \h </w:instrText>
        </w:r>
        <w:r w:rsidR="002320B3">
          <w:rPr>
            <w:noProof/>
            <w:webHidden/>
          </w:rPr>
        </w:r>
        <w:r w:rsidR="002320B3">
          <w:rPr>
            <w:noProof/>
            <w:webHidden/>
          </w:rPr>
          <w:fldChar w:fldCharType="separate"/>
        </w:r>
        <w:r w:rsidR="00D6133D">
          <w:rPr>
            <w:noProof/>
            <w:webHidden/>
          </w:rPr>
          <w:t>104</w:t>
        </w:r>
        <w:r w:rsidR="002320B3">
          <w:rPr>
            <w:noProof/>
            <w:webHidden/>
          </w:rPr>
          <w:fldChar w:fldCharType="end"/>
        </w:r>
      </w:hyperlink>
    </w:p>
    <w:p w14:paraId="3AB130B7" w14:textId="134CF42B"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619" w:history="1">
        <w:r w:rsidR="002320B3" w:rsidRPr="00FE1B51">
          <w:rPr>
            <w:rStyle w:val="Hyperlink"/>
            <w:rFonts w:asciiTheme="majorHAnsi" w:eastAsiaTheme="majorEastAsia" w:hAnsiTheme="majorHAnsi" w:cstheme="majorHAnsi"/>
            <w:noProof/>
          </w:rPr>
          <w:t>Table 28. Principals’ and Teachers’ Perceptions on DO 44, s. 2015</w:t>
        </w:r>
        <w:r w:rsidR="002320B3">
          <w:rPr>
            <w:noProof/>
            <w:webHidden/>
          </w:rPr>
          <w:tab/>
        </w:r>
        <w:r w:rsidR="002320B3">
          <w:rPr>
            <w:noProof/>
            <w:webHidden/>
          </w:rPr>
          <w:fldChar w:fldCharType="begin"/>
        </w:r>
        <w:r w:rsidR="002320B3">
          <w:rPr>
            <w:noProof/>
            <w:webHidden/>
          </w:rPr>
          <w:instrText xml:space="preserve"> PAGEREF _Toc71616619 \h </w:instrText>
        </w:r>
        <w:r w:rsidR="002320B3">
          <w:rPr>
            <w:noProof/>
            <w:webHidden/>
          </w:rPr>
        </w:r>
        <w:r w:rsidR="002320B3">
          <w:rPr>
            <w:noProof/>
            <w:webHidden/>
          </w:rPr>
          <w:fldChar w:fldCharType="separate"/>
        </w:r>
        <w:r w:rsidR="00D6133D">
          <w:rPr>
            <w:noProof/>
            <w:webHidden/>
          </w:rPr>
          <w:t>121</w:t>
        </w:r>
        <w:r w:rsidR="002320B3">
          <w:rPr>
            <w:noProof/>
            <w:webHidden/>
          </w:rPr>
          <w:fldChar w:fldCharType="end"/>
        </w:r>
      </w:hyperlink>
    </w:p>
    <w:p w14:paraId="3AA6A756" w14:textId="4EB8F73B"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620" w:history="1">
        <w:r w:rsidR="002320B3" w:rsidRPr="00FE1B51">
          <w:rPr>
            <w:rStyle w:val="Hyperlink"/>
            <w:rFonts w:asciiTheme="majorHAnsi" w:eastAsiaTheme="majorEastAsia" w:hAnsiTheme="majorHAnsi" w:cstheme="majorHAnsi"/>
            <w:noProof/>
          </w:rPr>
          <w:t>Table 29. Principals’ and Teachers’ Perceptions of SBM-related Outputs</w:t>
        </w:r>
        <w:r w:rsidR="002320B3">
          <w:rPr>
            <w:noProof/>
            <w:webHidden/>
          </w:rPr>
          <w:tab/>
        </w:r>
        <w:r w:rsidR="002320B3">
          <w:rPr>
            <w:noProof/>
            <w:webHidden/>
          </w:rPr>
          <w:fldChar w:fldCharType="begin"/>
        </w:r>
        <w:r w:rsidR="002320B3">
          <w:rPr>
            <w:noProof/>
            <w:webHidden/>
          </w:rPr>
          <w:instrText xml:space="preserve"> PAGEREF _Toc71616620 \h </w:instrText>
        </w:r>
        <w:r w:rsidR="002320B3">
          <w:rPr>
            <w:noProof/>
            <w:webHidden/>
          </w:rPr>
        </w:r>
        <w:r w:rsidR="002320B3">
          <w:rPr>
            <w:noProof/>
            <w:webHidden/>
          </w:rPr>
          <w:fldChar w:fldCharType="separate"/>
        </w:r>
        <w:r w:rsidR="00D6133D">
          <w:rPr>
            <w:noProof/>
            <w:webHidden/>
          </w:rPr>
          <w:t>121</w:t>
        </w:r>
        <w:r w:rsidR="002320B3">
          <w:rPr>
            <w:noProof/>
            <w:webHidden/>
          </w:rPr>
          <w:fldChar w:fldCharType="end"/>
        </w:r>
      </w:hyperlink>
    </w:p>
    <w:p w14:paraId="266E5354" w14:textId="547CA0F1"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621" w:history="1">
        <w:r w:rsidR="002320B3" w:rsidRPr="00FE1B51">
          <w:rPr>
            <w:rStyle w:val="Hyperlink"/>
            <w:rFonts w:asciiTheme="majorHAnsi" w:eastAsiaTheme="majorEastAsia" w:hAnsiTheme="majorHAnsi" w:cstheme="majorHAnsi"/>
            <w:noProof/>
          </w:rPr>
          <w:t>Table 30. SIP Training Programs conducted by BHROD-SED, 2015-2016</w:t>
        </w:r>
        <w:r w:rsidR="002320B3">
          <w:rPr>
            <w:noProof/>
            <w:webHidden/>
          </w:rPr>
          <w:tab/>
        </w:r>
        <w:r w:rsidR="002320B3">
          <w:rPr>
            <w:noProof/>
            <w:webHidden/>
          </w:rPr>
          <w:fldChar w:fldCharType="begin"/>
        </w:r>
        <w:r w:rsidR="002320B3">
          <w:rPr>
            <w:noProof/>
            <w:webHidden/>
          </w:rPr>
          <w:instrText xml:space="preserve"> PAGEREF _Toc71616621 \h </w:instrText>
        </w:r>
        <w:r w:rsidR="002320B3">
          <w:rPr>
            <w:noProof/>
            <w:webHidden/>
          </w:rPr>
        </w:r>
        <w:r w:rsidR="002320B3">
          <w:rPr>
            <w:noProof/>
            <w:webHidden/>
          </w:rPr>
          <w:fldChar w:fldCharType="separate"/>
        </w:r>
        <w:r w:rsidR="00D6133D">
          <w:rPr>
            <w:noProof/>
            <w:webHidden/>
          </w:rPr>
          <w:t>122</w:t>
        </w:r>
        <w:r w:rsidR="002320B3">
          <w:rPr>
            <w:noProof/>
            <w:webHidden/>
          </w:rPr>
          <w:fldChar w:fldCharType="end"/>
        </w:r>
      </w:hyperlink>
    </w:p>
    <w:p w14:paraId="717F831F" w14:textId="785B2B11"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622" w:history="1">
        <w:r w:rsidR="002320B3" w:rsidRPr="00FE1B51">
          <w:rPr>
            <w:rStyle w:val="Hyperlink"/>
            <w:rFonts w:asciiTheme="majorHAnsi" w:eastAsiaTheme="majorEastAsia" w:hAnsiTheme="majorHAnsi" w:cstheme="majorHAnsi"/>
            <w:noProof/>
          </w:rPr>
          <w:t>Table 31. Reports Generated from UIS Sub-systems</w:t>
        </w:r>
        <w:r w:rsidR="002320B3">
          <w:rPr>
            <w:noProof/>
            <w:webHidden/>
          </w:rPr>
          <w:tab/>
        </w:r>
        <w:r w:rsidR="002320B3">
          <w:rPr>
            <w:noProof/>
            <w:webHidden/>
          </w:rPr>
          <w:fldChar w:fldCharType="begin"/>
        </w:r>
        <w:r w:rsidR="002320B3">
          <w:rPr>
            <w:noProof/>
            <w:webHidden/>
          </w:rPr>
          <w:instrText xml:space="preserve"> PAGEREF _Toc71616622 \h </w:instrText>
        </w:r>
        <w:r w:rsidR="002320B3">
          <w:rPr>
            <w:noProof/>
            <w:webHidden/>
          </w:rPr>
        </w:r>
        <w:r w:rsidR="002320B3">
          <w:rPr>
            <w:noProof/>
            <w:webHidden/>
          </w:rPr>
          <w:fldChar w:fldCharType="separate"/>
        </w:r>
        <w:r w:rsidR="00D6133D">
          <w:rPr>
            <w:noProof/>
            <w:webHidden/>
          </w:rPr>
          <w:t>127</w:t>
        </w:r>
        <w:r w:rsidR="002320B3">
          <w:rPr>
            <w:noProof/>
            <w:webHidden/>
          </w:rPr>
          <w:fldChar w:fldCharType="end"/>
        </w:r>
      </w:hyperlink>
    </w:p>
    <w:p w14:paraId="43D632A6" w14:textId="202DCD63"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623" w:history="1">
        <w:r w:rsidR="002320B3" w:rsidRPr="00FE1B51">
          <w:rPr>
            <w:rStyle w:val="Hyperlink"/>
            <w:rFonts w:asciiTheme="majorHAnsi" w:eastAsiaTheme="majorEastAsia" w:hAnsiTheme="majorHAnsi" w:cstheme="majorHAnsi"/>
            <w:noProof/>
          </w:rPr>
          <w:t xml:space="preserve">Table 32. </w:t>
        </w:r>
        <w:r w:rsidR="002320B3" w:rsidRPr="00FE1B51">
          <w:rPr>
            <w:rStyle w:val="Hyperlink"/>
            <w:rFonts w:asciiTheme="majorHAnsi" w:eastAsiaTheme="majorEastAsia" w:hAnsiTheme="majorHAnsi" w:cstheme="majorHAnsi"/>
            <w:bCs/>
            <w:noProof/>
          </w:rPr>
          <w:t>Status of Learner Information System (LIS) Users</w:t>
        </w:r>
        <w:r w:rsidR="002320B3">
          <w:rPr>
            <w:noProof/>
            <w:webHidden/>
          </w:rPr>
          <w:tab/>
        </w:r>
        <w:r w:rsidR="002320B3">
          <w:rPr>
            <w:noProof/>
            <w:webHidden/>
          </w:rPr>
          <w:fldChar w:fldCharType="begin"/>
        </w:r>
        <w:r w:rsidR="002320B3">
          <w:rPr>
            <w:noProof/>
            <w:webHidden/>
          </w:rPr>
          <w:instrText xml:space="preserve"> PAGEREF _Toc71616623 \h </w:instrText>
        </w:r>
        <w:r w:rsidR="002320B3">
          <w:rPr>
            <w:noProof/>
            <w:webHidden/>
          </w:rPr>
        </w:r>
        <w:r w:rsidR="002320B3">
          <w:rPr>
            <w:noProof/>
            <w:webHidden/>
          </w:rPr>
          <w:fldChar w:fldCharType="separate"/>
        </w:r>
        <w:r w:rsidR="00D6133D">
          <w:rPr>
            <w:noProof/>
            <w:webHidden/>
          </w:rPr>
          <w:t>131</w:t>
        </w:r>
        <w:r w:rsidR="002320B3">
          <w:rPr>
            <w:noProof/>
            <w:webHidden/>
          </w:rPr>
          <w:fldChar w:fldCharType="end"/>
        </w:r>
      </w:hyperlink>
    </w:p>
    <w:p w14:paraId="0B61E3D9" w14:textId="136447F9"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624" w:history="1">
        <w:r w:rsidR="002320B3" w:rsidRPr="00FE1B51">
          <w:rPr>
            <w:rStyle w:val="Hyperlink"/>
            <w:rFonts w:asciiTheme="majorHAnsi" w:eastAsiaTheme="majorEastAsia" w:hAnsiTheme="majorHAnsi" w:cstheme="majorHAnsi"/>
            <w:noProof/>
          </w:rPr>
          <w:t>Table 33. School-Level Utilisation of UIS Sub-systems</w:t>
        </w:r>
        <w:r w:rsidR="002320B3">
          <w:rPr>
            <w:noProof/>
            <w:webHidden/>
          </w:rPr>
          <w:tab/>
        </w:r>
        <w:r w:rsidR="002320B3">
          <w:rPr>
            <w:noProof/>
            <w:webHidden/>
          </w:rPr>
          <w:fldChar w:fldCharType="begin"/>
        </w:r>
        <w:r w:rsidR="002320B3">
          <w:rPr>
            <w:noProof/>
            <w:webHidden/>
          </w:rPr>
          <w:instrText xml:space="preserve"> PAGEREF _Toc71616624 \h </w:instrText>
        </w:r>
        <w:r w:rsidR="002320B3">
          <w:rPr>
            <w:noProof/>
            <w:webHidden/>
          </w:rPr>
        </w:r>
        <w:r w:rsidR="002320B3">
          <w:rPr>
            <w:noProof/>
            <w:webHidden/>
          </w:rPr>
          <w:fldChar w:fldCharType="separate"/>
        </w:r>
        <w:r w:rsidR="00D6133D">
          <w:rPr>
            <w:noProof/>
            <w:webHidden/>
          </w:rPr>
          <w:t>133</w:t>
        </w:r>
        <w:r w:rsidR="002320B3">
          <w:rPr>
            <w:noProof/>
            <w:webHidden/>
          </w:rPr>
          <w:fldChar w:fldCharType="end"/>
        </w:r>
      </w:hyperlink>
    </w:p>
    <w:p w14:paraId="456EB1A1" w14:textId="2652FD36"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625" w:history="1">
        <w:r w:rsidR="002320B3" w:rsidRPr="00FE1B51">
          <w:rPr>
            <w:rStyle w:val="Hyperlink"/>
            <w:rFonts w:asciiTheme="majorHAnsi" w:eastAsiaTheme="majorEastAsia" w:hAnsiTheme="majorHAnsi" w:cstheme="majorHAnsi"/>
            <w:noProof/>
          </w:rPr>
          <w:t>Table 34. Assessment of UIS Sub-systems by School-level users</w:t>
        </w:r>
        <w:r w:rsidR="002320B3">
          <w:rPr>
            <w:noProof/>
            <w:webHidden/>
          </w:rPr>
          <w:tab/>
        </w:r>
        <w:r w:rsidR="002320B3">
          <w:rPr>
            <w:noProof/>
            <w:webHidden/>
          </w:rPr>
          <w:fldChar w:fldCharType="begin"/>
        </w:r>
        <w:r w:rsidR="002320B3">
          <w:rPr>
            <w:noProof/>
            <w:webHidden/>
          </w:rPr>
          <w:instrText xml:space="preserve"> PAGEREF _Toc71616625 \h </w:instrText>
        </w:r>
        <w:r w:rsidR="002320B3">
          <w:rPr>
            <w:noProof/>
            <w:webHidden/>
          </w:rPr>
        </w:r>
        <w:r w:rsidR="002320B3">
          <w:rPr>
            <w:noProof/>
            <w:webHidden/>
          </w:rPr>
          <w:fldChar w:fldCharType="separate"/>
        </w:r>
        <w:r w:rsidR="00D6133D">
          <w:rPr>
            <w:noProof/>
            <w:webHidden/>
          </w:rPr>
          <w:t>134</w:t>
        </w:r>
        <w:r w:rsidR="002320B3">
          <w:rPr>
            <w:noProof/>
            <w:webHidden/>
          </w:rPr>
          <w:fldChar w:fldCharType="end"/>
        </w:r>
      </w:hyperlink>
    </w:p>
    <w:p w14:paraId="42A1575D" w14:textId="288C190E"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626" w:history="1">
        <w:r w:rsidR="002320B3" w:rsidRPr="00FE1B51">
          <w:rPr>
            <w:rStyle w:val="Hyperlink"/>
            <w:rFonts w:asciiTheme="majorHAnsi" w:eastAsiaTheme="majorEastAsia" w:hAnsiTheme="majorHAnsi" w:cstheme="majorHAnsi"/>
            <w:noProof/>
          </w:rPr>
          <w:t>Table 35.</w:t>
        </w:r>
        <w:r w:rsidR="002320B3" w:rsidRPr="00FE1B51">
          <w:rPr>
            <w:rStyle w:val="Hyperlink"/>
            <w:rFonts w:asciiTheme="majorHAnsi" w:eastAsiaTheme="minorHAnsi" w:hAnsiTheme="majorHAnsi" w:cstheme="majorHAnsi"/>
            <w:noProof/>
          </w:rPr>
          <w:t xml:space="preserve"> Knowledge, Access and Usefulness of the Continuous Improvement Guidebook</w:t>
        </w:r>
        <w:r w:rsidR="002320B3">
          <w:rPr>
            <w:noProof/>
            <w:webHidden/>
          </w:rPr>
          <w:tab/>
        </w:r>
        <w:r w:rsidR="002320B3">
          <w:rPr>
            <w:noProof/>
            <w:webHidden/>
          </w:rPr>
          <w:fldChar w:fldCharType="begin"/>
        </w:r>
        <w:r w:rsidR="002320B3">
          <w:rPr>
            <w:noProof/>
            <w:webHidden/>
          </w:rPr>
          <w:instrText xml:space="preserve"> PAGEREF _Toc71616626 \h </w:instrText>
        </w:r>
        <w:r w:rsidR="002320B3">
          <w:rPr>
            <w:noProof/>
            <w:webHidden/>
          </w:rPr>
        </w:r>
        <w:r w:rsidR="002320B3">
          <w:rPr>
            <w:noProof/>
            <w:webHidden/>
          </w:rPr>
          <w:fldChar w:fldCharType="separate"/>
        </w:r>
        <w:r w:rsidR="00D6133D">
          <w:rPr>
            <w:noProof/>
            <w:webHidden/>
          </w:rPr>
          <w:t>141</w:t>
        </w:r>
        <w:r w:rsidR="002320B3">
          <w:rPr>
            <w:noProof/>
            <w:webHidden/>
          </w:rPr>
          <w:fldChar w:fldCharType="end"/>
        </w:r>
      </w:hyperlink>
    </w:p>
    <w:p w14:paraId="42A15783" w14:textId="0EC33187"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627" w:history="1">
        <w:r w:rsidR="002320B3" w:rsidRPr="00FE1B51">
          <w:rPr>
            <w:rStyle w:val="Hyperlink"/>
            <w:rFonts w:asciiTheme="majorHAnsi" w:eastAsiaTheme="majorEastAsia" w:hAnsiTheme="majorHAnsi" w:cstheme="majorHAnsi"/>
            <w:noProof/>
          </w:rPr>
          <w:t>Table 36.</w:t>
        </w:r>
        <w:r w:rsidR="002320B3" w:rsidRPr="00FE1B51">
          <w:rPr>
            <w:rStyle w:val="Hyperlink"/>
            <w:rFonts w:asciiTheme="majorHAnsi" w:eastAsiaTheme="minorHAnsi" w:hAnsiTheme="majorHAnsi" w:cstheme="majorHAnsi"/>
            <w:noProof/>
          </w:rPr>
          <w:t xml:space="preserve"> Assessment of Contributions of Systemic Reforms to EOPO 3</w:t>
        </w:r>
        <w:r w:rsidR="002320B3">
          <w:rPr>
            <w:noProof/>
            <w:webHidden/>
          </w:rPr>
          <w:tab/>
        </w:r>
        <w:r w:rsidR="002320B3">
          <w:rPr>
            <w:noProof/>
            <w:webHidden/>
          </w:rPr>
          <w:fldChar w:fldCharType="begin"/>
        </w:r>
        <w:r w:rsidR="002320B3">
          <w:rPr>
            <w:noProof/>
            <w:webHidden/>
          </w:rPr>
          <w:instrText xml:space="preserve"> PAGEREF _Toc71616627 \h </w:instrText>
        </w:r>
        <w:r w:rsidR="002320B3">
          <w:rPr>
            <w:noProof/>
            <w:webHidden/>
          </w:rPr>
        </w:r>
        <w:r w:rsidR="002320B3">
          <w:rPr>
            <w:noProof/>
            <w:webHidden/>
          </w:rPr>
          <w:fldChar w:fldCharType="separate"/>
        </w:r>
        <w:r w:rsidR="00D6133D">
          <w:rPr>
            <w:noProof/>
            <w:webHidden/>
          </w:rPr>
          <w:t>144</w:t>
        </w:r>
        <w:r w:rsidR="002320B3">
          <w:rPr>
            <w:noProof/>
            <w:webHidden/>
          </w:rPr>
          <w:fldChar w:fldCharType="end"/>
        </w:r>
      </w:hyperlink>
    </w:p>
    <w:p w14:paraId="42A7166E" w14:textId="1DA56ECA"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628" w:history="1">
        <w:r w:rsidR="002320B3" w:rsidRPr="00FE1B51">
          <w:rPr>
            <w:rStyle w:val="Hyperlink"/>
            <w:rFonts w:asciiTheme="majorHAnsi" w:eastAsiaTheme="majorEastAsia" w:hAnsiTheme="majorHAnsi" w:cstheme="majorHAnsi"/>
            <w:noProof/>
          </w:rPr>
          <w:t>Table 37.</w:t>
        </w:r>
        <w:r w:rsidR="002320B3" w:rsidRPr="00FE1B51">
          <w:rPr>
            <w:rStyle w:val="Hyperlink"/>
            <w:rFonts w:asciiTheme="majorHAnsi" w:eastAsiaTheme="minorHAnsi" w:hAnsiTheme="majorHAnsi" w:cstheme="majorHAnsi"/>
            <w:noProof/>
          </w:rPr>
          <w:t xml:space="preserve"> Summary of Facilitating and Hindering Factors</w:t>
        </w:r>
        <w:r w:rsidR="002320B3">
          <w:rPr>
            <w:noProof/>
            <w:webHidden/>
          </w:rPr>
          <w:tab/>
        </w:r>
        <w:r w:rsidR="002320B3">
          <w:rPr>
            <w:noProof/>
            <w:webHidden/>
          </w:rPr>
          <w:fldChar w:fldCharType="begin"/>
        </w:r>
        <w:r w:rsidR="002320B3">
          <w:rPr>
            <w:noProof/>
            <w:webHidden/>
          </w:rPr>
          <w:instrText xml:space="preserve"> PAGEREF _Toc71616628 \h </w:instrText>
        </w:r>
        <w:r w:rsidR="002320B3">
          <w:rPr>
            <w:noProof/>
            <w:webHidden/>
          </w:rPr>
        </w:r>
        <w:r w:rsidR="002320B3">
          <w:rPr>
            <w:noProof/>
            <w:webHidden/>
          </w:rPr>
          <w:fldChar w:fldCharType="separate"/>
        </w:r>
        <w:r w:rsidR="00D6133D">
          <w:rPr>
            <w:noProof/>
            <w:webHidden/>
          </w:rPr>
          <w:t>147</w:t>
        </w:r>
        <w:r w:rsidR="002320B3">
          <w:rPr>
            <w:noProof/>
            <w:webHidden/>
          </w:rPr>
          <w:fldChar w:fldCharType="end"/>
        </w:r>
      </w:hyperlink>
    </w:p>
    <w:p w14:paraId="1F144BA3" w14:textId="5717AF8E"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629" w:history="1">
        <w:r w:rsidR="002320B3" w:rsidRPr="00FE1B51">
          <w:rPr>
            <w:rStyle w:val="Hyperlink"/>
            <w:rFonts w:asciiTheme="majorHAnsi" w:eastAsiaTheme="majorEastAsia" w:hAnsiTheme="majorHAnsi" w:cstheme="majorHAnsi"/>
            <w:noProof/>
          </w:rPr>
          <w:t xml:space="preserve">Table 38. </w:t>
        </w:r>
        <w:r w:rsidR="002320B3" w:rsidRPr="00FE1B51">
          <w:rPr>
            <w:rStyle w:val="Hyperlink"/>
            <w:rFonts w:asciiTheme="majorHAnsi" w:eastAsiaTheme="majorEastAsia" w:hAnsiTheme="majorHAnsi" w:cstheme="majorHAnsi"/>
            <w:bCs/>
            <w:noProof/>
          </w:rPr>
          <w:t>Findings on the BEST Program interventions’ contributions to Program Outcomes</w:t>
        </w:r>
        <w:r w:rsidR="002320B3">
          <w:rPr>
            <w:noProof/>
            <w:webHidden/>
          </w:rPr>
          <w:tab/>
        </w:r>
        <w:r w:rsidR="002320B3">
          <w:rPr>
            <w:noProof/>
            <w:webHidden/>
          </w:rPr>
          <w:fldChar w:fldCharType="begin"/>
        </w:r>
        <w:r w:rsidR="002320B3">
          <w:rPr>
            <w:noProof/>
            <w:webHidden/>
          </w:rPr>
          <w:instrText xml:space="preserve"> PAGEREF _Toc71616629 \h </w:instrText>
        </w:r>
        <w:r w:rsidR="002320B3">
          <w:rPr>
            <w:noProof/>
            <w:webHidden/>
          </w:rPr>
        </w:r>
        <w:r w:rsidR="002320B3">
          <w:rPr>
            <w:noProof/>
            <w:webHidden/>
          </w:rPr>
          <w:fldChar w:fldCharType="separate"/>
        </w:r>
        <w:r w:rsidR="00D6133D">
          <w:rPr>
            <w:noProof/>
            <w:webHidden/>
          </w:rPr>
          <w:t>186</w:t>
        </w:r>
        <w:r w:rsidR="002320B3">
          <w:rPr>
            <w:noProof/>
            <w:webHidden/>
          </w:rPr>
          <w:fldChar w:fldCharType="end"/>
        </w:r>
      </w:hyperlink>
    </w:p>
    <w:p w14:paraId="68A65F3D" w14:textId="7A115EC7"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630" w:history="1">
        <w:r w:rsidR="002320B3" w:rsidRPr="00FE1B51">
          <w:rPr>
            <w:rStyle w:val="Hyperlink"/>
            <w:rFonts w:asciiTheme="majorHAnsi" w:eastAsiaTheme="majorEastAsia" w:hAnsiTheme="majorHAnsi" w:cstheme="majorHAnsi"/>
            <w:bCs/>
            <w:noProof/>
            <w:lang w:val="en-US"/>
          </w:rPr>
          <w:t>Table 39. Schools by Intervention Received (n=682)</w:t>
        </w:r>
        <w:r w:rsidR="002320B3">
          <w:rPr>
            <w:noProof/>
            <w:webHidden/>
          </w:rPr>
          <w:tab/>
        </w:r>
        <w:r w:rsidR="002320B3">
          <w:rPr>
            <w:noProof/>
            <w:webHidden/>
          </w:rPr>
          <w:fldChar w:fldCharType="begin"/>
        </w:r>
        <w:r w:rsidR="002320B3">
          <w:rPr>
            <w:noProof/>
            <w:webHidden/>
          </w:rPr>
          <w:instrText xml:space="preserve"> PAGEREF _Toc71616630 \h </w:instrText>
        </w:r>
        <w:r w:rsidR="002320B3">
          <w:rPr>
            <w:noProof/>
            <w:webHidden/>
          </w:rPr>
        </w:r>
        <w:r w:rsidR="002320B3">
          <w:rPr>
            <w:noProof/>
            <w:webHidden/>
          </w:rPr>
          <w:fldChar w:fldCharType="separate"/>
        </w:r>
        <w:r w:rsidR="00D6133D">
          <w:rPr>
            <w:noProof/>
            <w:webHidden/>
          </w:rPr>
          <w:t>240</w:t>
        </w:r>
        <w:r w:rsidR="002320B3">
          <w:rPr>
            <w:noProof/>
            <w:webHidden/>
          </w:rPr>
          <w:fldChar w:fldCharType="end"/>
        </w:r>
      </w:hyperlink>
    </w:p>
    <w:p w14:paraId="51A09BBF" w14:textId="2116AF8F"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631" w:history="1">
        <w:r w:rsidR="002320B3" w:rsidRPr="00FE1B51">
          <w:rPr>
            <w:rStyle w:val="Hyperlink"/>
            <w:rFonts w:asciiTheme="majorHAnsi" w:eastAsiaTheme="majorEastAsia" w:hAnsiTheme="majorHAnsi" w:cstheme="majorHAnsi"/>
            <w:noProof/>
            <w:lang w:val="en-US"/>
          </w:rPr>
          <w:t>Table 40. Distribution of BEST and Non-BEST Schools by Region (n=106)</w:t>
        </w:r>
        <w:r w:rsidR="002320B3">
          <w:rPr>
            <w:noProof/>
            <w:webHidden/>
          </w:rPr>
          <w:tab/>
        </w:r>
        <w:r w:rsidR="002320B3">
          <w:rPr>
            <w:noProof/>
            <w:webHidden/>
          </w:rPr>
          <w:fldChar w:fldCharType="begin"/>
        </w:r>
        <w:r w:rsidR="002320B3">
          <w:rPr>
            <w:noProof/>
            <w:webHidden/>
          </w:rPr>
          <w:instrText xml:space="preserve"> PAGEREF _Toc71616631 \h </w:instrText>
        </w:r>
        <w:r w:rsidR="002320B3">
          <w:rPr>
            <w:noProof/>
            <w:webHidden/>
          </w:rPr>
        </w:r>
        <w:r w:rsidR="002320B3">
          <w:rPr>
            <w:noProof/>
            <w:webHidden/>
          </w:rPr>
          <w:fldChar w:fldCharType="separate"/>
        </w:r>
        <w:r w:rsidR="00D6133D">
          <w:rPr>
            <w:noProof/>
            <w:webHidden/>
          </w:rPr>
          <w:t>242</w:t>
        </w:r>
        <w:r w:rsidR="002320B3">
          <w:rPr>
            <w:noProof/>
            <w:webHidden/>
          </w:rPr>
          <w:fldChar w:fldCharType="end"/>
        </w:r>
      </w:hyperlink>
    </w:p>
    <w:p w14:paraId="1983E081" w14:textId="53C75B9F"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632" w:history="1">
        <w:r w:rsidR="002320B3" w:rsidRPr="00FE1B51">
          <w:rPr>
            <w:rStyle w:val="Hyperlink"/>
            <w:rFonts w:asciiTheme="majorHAnsi" w:eastAsiaTheme="majorEastAsia" w:hAnsiTheme="majorHAnsi" w:cstheme="majorHAnsi"/>
            <w:bCs/>
            <w:noProof/>
            <w:lang w:val="en-US"/>
          </w:rPr>
          <w:t>Table 41. Schools that submitted secondary data (n=106)</w:t>
        </w:r>
        <w:r w:rsidR="002320B3">
          <w:rPr>
            <w:noProof/>
            <w:webHidden/>
          </w:rPr>
          <w:tab/>
        </w:r>
        <w:r w:rsidR="002320B3">
          <w:rPr>
            <w:noProof/>
            <w:webHidden/>
          </w:rPr>
          <w:fldChar w:fldCharType="begin"/>
        </w:r>
        <w:r w:rsidR="002320B3">
          <w:rPr>
            <w:noProof/>
            <w:webHidden/>
          </w:rPr>
          <w:instrText xml:space="preserve"> PAGEREF _Toc71616632 \h </w:instrText>
        </w:r>
        <w:r w:rsidR="002320B3">
          <w:rPr>
            <w:noProof/>
            <w:webHidden/>
          </w:rPr>
        </w:r>
        <w:r w:rsidR="002320B3">
          <w:rPr>
            <w:noProof/>
            <w:webHidden/>
          </w:rPr>
          <w:fldChar w:fldCharType="separate"/>
        </w:r>
        <w:r w:rsidR="00D6133D">
          <w:rPr>
            <w:noProof/>
            <w:webHidden/>
          </w:rPr>
          <w:t>242</w:t>
        </w:r>
        <w:r w:rsidR="002320B3">
          <w:rPr>
            <w:noProof/>
            <w:webHidden/>
          </w:rPr>
          <w:fldChar w:fldCharType="end"/>
        </w:r>
      </w:hyperlink>
    </w:p>
    <w:p w14:paraId="734880D6" w14:textId="43CEB222"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633" w:history="1">
        <w:r w:rsidR="002320B3" w:rsidRPr="00FE1B51">
          <w:rPr>
            <w:rStyle w:val="Hyperlink"/>
            <w:rFonts w:asciiTheme="majorHAnsi" w:eastAsiaTheme="majorEastAsia" w:hAnsiTheme="majorHAnsi" w:cstheme="majorHAnsi"/>
            <w:bCs/>
            <w:noProof/>
            <w:lang w:val="en-US"/>
          </w:rPr>
          <w:t>Table 42. Survey Respondents by Sex</w:t>
        </w:r>
        <w:r w:rsidR="002320B3">
          <w:rPr>
            <w:noProof/>
            <w:webHidden/>
          </w:rPr>
          <w:tab/>
        </w:r>
        <w:r w:rsidR="002320B3">
          <w:rPr>
            <w:noProof/>
            <w:webHidden/>
          </w:rPr>
          <w:fldChar w:fldCharType="begin"/>
        </w:r>
        <w:r w:rsidR="002320B3">
          <w:rPr>
            <w:noProof/>
            <w:webHidden/>
          </w:rPr>
          <w:instrText xml:space="preserve"> PAGEREF _Toc71616633 \h </w:instrText>
        </w:r>
        <w:r w:rsidR="002320B3">
          <w:rPr>
            <w:noProof/>
            <w:webHidden/>
          </w:rPr>
        </w:r>
        <w:r w:rsidR="002320B3">
          <w:rPr>
            <w:noProof/>
            <w:webHidden/>
          </w:rPr>
          <w:fldChar w:fldCharType="separate"/>
        </w:r>
        <w:r w:rsidR="00D6133D">
          <w:rPr>
            <w:noProof/>
            <w:webHidden/>
          </w:rPr>
          <w:t>245</w:t>
        </w:r>
        <w:r w:rsidR="002320B3">
          <w:rPr>
            <w:noProof/>
            <w:webHidden/>
          </w:rPr>
          <w:fldChar w:fldCharType="end"/>
        </w:r>
      </w:hyperlink>
    </w:p>
    <w:p w14:paraId="3F8398FD" w14:textId="419FF9CC"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634" w:history="1">
        <w:r w:rsidR="002320B3" w:rsidRPr="00FE1B51">
          <w:rPr>
            <w:rStyle w:val="Hyperlink"/>
            <w:rFonts w:asciiTheme="majorHAnsi" w:eastAsiaTheme="majorEastAsia" w:hAnsiTheme="majorHAnsi" w:cstheme="majorHAnsi"/>
            <w:bCs/>
            <w:noProof/>
            <w:lang w:val="en-US"/>
          </w:rPr>
          <w:t>Table 43.</w:t>
        </w:r>
        <w:r w:rsidR="002320B3" w:rsidRPr="00FE1B51">
          <w:rPr>
            <w:rStyle w:val="Hyperlink"/>
            <w:rFonts w:asciiTheme="majorHAnsi" w:eastAsiaTheme="majorEastAsia" w:hAnsiTheme="majorHAnsi" w:cstheme="majorHAnsi"/>
            <w:bCs/>
            <w:noProof/>
          </w:rPr>
          <w:t>Number of Interventions by School Year (n=673)</w:t>
        </w:r>
        <w:r w:rsidR="002320B3">
          <w:rPr>
            <w:noProof/>
            <w:webHidden/>
          </w:rPr>
          <w:tab/>
        </w:r>
        <w:r w:rsidR="002320B3">
          <w:rPr>
            <w:noProof/>
            <w:webHidden/>
          </w:rPr>
          <w:fldChar w:fldCharType="begin"/>
        </w:r>
        <w:r w:rsidR="002320B3">
          <w:rPr>
            <w:noProof/>
            <w:webHidden/>
          </w:rPr>
          <w:instrText xml:space="preserve"> PAGEREF _Toc71616634 \h </w:instrText>
        </w:r>
        <w:r w:rsidR="002320B3">
          <w:rPr>
            <w:noProof/>
            <w:webHidden/>
          </w:rPr>
        </w:r>
        <w:r w:rsidR="002320B3">
          <w:rPr>
            <w:noProof/>
            <w:webHidden/>
          </w:rPr>
          <w:fldChar w:fldCharType="separate"/>
        </w:r>
        <w:r w:rsidR="00D6133D">
          <w:rPr>
            <w:noProof/>
            <w:webHidden/>
          </w:rPr>
          <w:t>430</w:t>
        </w:r>
        <w:r w:rsidR="002320B3">
          <w:rPr>
            <w:noProof/>
            <w:webHidden/>
          </w:rPr>
          <w:fldChar w:fldCharType="end"/>
        </w:r>
      </w:hyperlink>
    </w:p>
    <w:p w14:paraId="3690F681" w14:textId="54489BF3"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635" w:history="1">
        <w:r w:rsidR="002320B3" w:rsidRPr="00FE1B51">
          <w:rPr>
            <w:rStyle w:val="Hyperlink"/>
            <w:rFonts w:asciiTheme="majorHAnsi" w:eastAsiaTheme="majorEastAsia" w:hAnsiTheme="majorHAnsi" w:cstheme="majorHAnsi"/>
            <w:bCs/>
            <w:noProof/>
            <w:lang w:val="en-US"/>
          </w:rPr>
          <w:t>Table 44.</w:t>
        </w:r>
        <w:r w:rsidR="002320B3" w:rsidRPr="00FE1B51">
          <w:rPr>
            <w:rStyle w:val="Hyperlink"/>
            <w:rFonts w:asciiTheme="majorHAnsi" w:eastAsiaTheme="majorEastAsia" w:hAnsiTheme="majorHAnsi" w:cstheme="majorHAnsi"/>
            <w:bCs/>
            <w:noProof/>
          </w:rPr>
          <w:t xml:space="preserve"> Panel DID Regression Estimates</w:t>
        </w:r>
        <w:r w:rsidR="002320B3">
          <w:rPr>
            <w:noProof/>
            <w:webHidden/>
          </w:rPr>
          <w:tab/>
        </w:r>
        <w:r w:rsidR="002320B3">
          <w:rPr>
            <w:noProof/>
            <w:webHidden/>
          </w:rPr>
          <w:fldChar w:fldCharType="begin"/>
        </w:r>
        <w:r w:rsidR="002320B3">
          <w:rPr>
            <w:noProof/>
            <w:webHidden/>
          </w:rPr>
          <w:instrText xml:space="preserve"> PAGEREF _Toc71616635 \h </w:instrText>
        </w:r>
        <w:r w:rsidR="002320B3">
          <w:rPr>
            <w:noProof/>
            <w:webHidden/>
          </w:rPr>
        </w:r>
        <w:r w:rsidR="002320B3">
          <w:rPr>
            <w:noProof/>
            <w:webHidden/>
          </w:rPr>
          <w:fldChar w:fldCharType="separate"/>
        </w:r>
        <w:r w:rsidR="00D6133D">
          <w:rPr>
            <w:noProof/>
            <w:webHidden/>
          </w:rPr>
          <w:t>434</w:t>
        </w:r>
        <w:r w:rsidR="002320B3">
          <w:rPr>
            <w:noProof/>
            <w:webHidden/>
          </w:rPr>
          <w:fldChar w:fldCharType="end"/>
        </w:r>
      </w:hyperlink>
    </w:p>
    <w:p w14:paraId="724D8F79" w14:textId="386E7859"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636" w:history="1">
        <w:r w:rsidR="002320B3" w:rsidRPr="00FE1B51">
          <w:rPr>
            <w:rStyle w:val="Hyperlink"/>
            <w:rFonts w:asciiTheme="majorHAnsi" w:eastAsiaTheme="majorEastAsia" w:hAnsiTheme="majorHAnsi" w:cstheme="majorHAnsi"/>
            <w:bCs/>
            <w:noProof/>
            <w:lang w:val="en-US"/>
          </w:rPr>
          <w:t>Table 45.Regression Model of BEST Program by Grade Level</w:t>
        </w:r>
        <w:r w:rsidR="002320B3">
          <w:rPr>
            <w:noProof/>
            <w:webHidden/>
          </w:rPr>
          <w:tab/>
        </w:r>
        <w:r w:rsidR="002320B3">
          <w:rPr>
            <w:noProof/>
            <w:webHidden/>
          </w:rPr>
          <w:fldChar w:fldCharType="begin"/>
        </w:r>
        <w:r w:rsidR="002320B3">
          <w:rPr>
            <w:noProof/>
            <w:webHidden/>
          </w:rPr>
          <w:instrText xml:space="preserve"> PAGEREF _Toc71616636 \h </w:instrText>
        </w:r>
        <w:r w:rsidR="002320B3">
          <w:rPr>
            <w:noProof/>
            <w:webHidden/>
          </w:rPr>
        </w:r>
        <w:r w:rsidR="002320B3">
          <w:rPr>
            <w:noProof/>
            <w:webHidden/>
          </w:rPr>
          <w:fldChar w:fldCharType="separate"/>
        </w:r>
        <w:r w:rsidR="00D6133D">
          <w:rPr>
            <w:noProof/>
            <w:webHidden/>
          </w:rPr>
          <w:t>436</w:t>
        </w:r>
        <w:r w:rsidR="002320B3">
          <w:rPr>
            <w:noProof/>
            <w:webHidden/>
          </w:rPr>
          <w:fldChar w:fldCharType="end"/>
        </w:r>
      </w:hyperlink>
    </w:p>
    <w:p w14:paraId="24860248" w14:textId="39EEB56F"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637" w:history="1">
        <w:r w:rsidR="002320B3" w:rsidRPr="00FE1B51">
          <w:rPr>
            <w:rStyle w:val="Hyperlink"/>
            <w:rFonts w:asciiTheme="majorHAnsi" w:eastAsiaTheme="majorEastAsia" w:hAnsiTheme="majorHAnsi" w:cstheme="majorHAnsi"/>
            <w:bCs/>
            <w:noProof/>
            <w:lang w:val="en-US"/>
          </w:rPr>
          <w:t>Table 46. Partial F-test of Categorical Variables</w:t>
        </w:r>
        <w:r w:rsidR="002320B3">
          <w:rPr>
            <w:noProof/>
            <w:webHidden/>
          </w:rPr>
          <w:tab/>
        </w:r>
        <w:r w:rsidR="002320B3">
          <w:rPr>
            <w:noProof/>
            <w:webHidden/>
          </w:rPr>
          <w:fldChar w:fldCharType="begin"/>
        </w:r>
        <w:r w:rsidR="002320B3">
          <w:rPr>
            <w:noProof/>
            <w:webHidden/>
          </w:rPr>
          <w:instrText xml:space="preserve"> PAGEREF _Toc71616637 \h </w:instrText>
        </w:r>
        <w:r w:rsidR="002320B3">
          <w:rPr>
            <w:noProof/>
            <w:webHidden/>
          </w:rPr>
        </w:r>
        <w:r w:rsidR="002320B3">
          <w:rPr>
            <w:noProof/>
            <w:webHidden/>
          </w:rPr>
          <w:fldChar w:fldCharType="separate"/>
        </w:r>
        <w:r w:rsidR="00D6133D">
          <w:rPr>
            <w:noProof/>
            <w:webHidden/>
          </w:rPr>
          <w:t>437</w:t>
        </w:r>
        <w:r w:rsidR="002320B3">
          <w:rPr>
            <w:noProof/>
            <w:webHidden/>
          </w:rPr>
          <w:fldChar w:fldCharType="end"/>
        </w:r>
      </w:hyperlink>
    </w:p>
    <w:p w14:paraId="4412383B" w14:textId="616A1803"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638" w:history="1">
        <w:r w:rsidR="002320B3" w:rsidRPr="00FE1B51">
          <w:rPr>
            <w:rStyle w:val="Hyperlink"/>
            <w:rFonts w:asciiTheme="majorHAnsi" w:eastAsiaTheme="majorEastAsia" w:hAnsiTheme="majorHAnsi" w:cstheme="majorHAnsi"/>
            <w:bCs/>
            <w:noProof/>
            <w:lang w:val="en-US"/>
          </w:rPr>
          <w:t>Table 47.</w:t>
        </w:r>
        <w:r w:rsidR="00D434EB">
          <w:rPr>
            <w:rStyle w:val="Hyperlink"/>
            <w:rFonts w:asciiTheme="majorHAnsi" w:eastAsiaTheme="majorEastAsia" w:hAnsiTheme="majorHAnsi" w:cstheme="majorHAnsi"/>
            <w:bCs/>
            <w:noProof/>
            <w:lang w:val="en-US"/>
          </w:rPr>
          <w:t xml:space="preserve"> </w:t>
        </w:r>
        <w:r w:rsidR="002320B3" w:rsidRPr="00FE1B51">
          <w:rPr>
            <w:rStyle w:val="Hyperlink"/>
            <w:rFonts w:asciiTheme="majorHAnsi" w:eastAsiaTheme="majorEastAsia" w:hAnsiTheme="majorHAnsi" w:cstheme="majorHAnsi"/>
            <w:bCs/>
            <w:noProof/>
            <w:lang w:val="en-US"/>
          </w:rPr>
          <w:t>Effects of BEST by Region</w:t>
        </w:r>
        <w:r w:rsidR="002320B3">
          <w:rPr>
            <w:noProof/>
            <w:webHidden/>
          </w:rPr>
          <w:tab/>
        </w:r>
        <w:r w:rsidR="002320B3">
          <w:rPr>
            <w:noProof/>
            <w:webHidden/>
          </w:rPr>
          <w:fldChar w:fldCharType="begin"/>
        </w:r>
        <w:r w:rsidR="002320B3">
          <w:rPr>
            <w:noProof/>
            <w:webHidden/>
          </w:rPr>
          <w:instrText xml:space="preserve"> PAGEREF _Toc71616638 \h </w:instrText>
        </w:r>
        <w:r w:rsidR="002320B3">
          <w:rPr>
            <w:noProof/>
            <w:webHidden/>
          </w:rPr>
        </w:r>
        <w:r w:rsidR="002320B3">
          <w:rPr>
            <w:noProof/>
            <w:webHidden/>
          </w:rPr>
          <w:fldChar w:fldCharType="separate"/>
        </w:r>
        <w:r w:rsidR="00D6133D">
          <w:rPr>
            <w:noProof/>
            <w:webHidden/>
          </w:rPr>
          <w:t>438</w:t>
        </w:r>
        <w:r w:rsidR="002320B3">
          <w:rPr>
            <w:noProof/>
            <w:webHidden/>
          </w:rPr>
          <w:fldChar w:fldCharType="end"/>
        </w:r>
      </w:hyperlink>
    </w:p>
    <w:p w14:paraId="0A04127E" w14:textId="6949740E"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639" w:history="1">
        <w:r w:rsidR="002320B3" w:rsidRPr="00FE1B51">
          <w:rPr>
            <w:rStyle w:val="Hyperlink"/>
            <w:rFonts w:asciiTheme="majorHAnsi" w:eastAsiaTheme="majorEastAsia" w:hAnsiTheme="majorHAnsi" w:cstheme="majorHAnsi"/>
            <w:bCs/>
            <w:noProof/>
            <w:lang w:val="en-US"/>
          </w:rPr>
          <w:t>Table 48. Overall Regression Results</w:t>
        </w:r>
        <w:r w:rsidR="002320B3">
          <w:rPr>
            <w:noProof/>
            <w:webHidden/>
          </w:rPr>
          <w:tab/>
        </w:r>
        <w:r w:rsidR="002320B3">
          <w:rPr>
            <w:noProof/>
            <w:webHidden/>
          </w:rPr>
          <w:fldChar w:fldCharType="begin"/>
        </w:r>
        <w:r w:rsidR="002320B3">
          <w:rPr>
            <w:noProof/>
            <w:webHidden/>
          </w:rPr>
          <w:instrText xml:space="preserve"> PAGEREF _Toc71616639 \h </w:instrText>
        </w:r>
        <w:r w:rsidR="002320B3">
          <w:rPr>
            <w:noProof/>
            <w:webHidden/>
          </w:rPr>
        </w:r>
        <w:r w:rsidR="002320B3">
          <w:rPr>
            <w:noProof/>
            <w:webHidden/>
          </w:rPr>
          <w:fldChar w:fldCharType="separate"/>
        </w:r>
        <w:r w:rsidR="00D6133D">
          <w:rPr>
            <w:noProof/>
            <w:webHidden/>
          </w:rPr>
          <w:t>440</w:t>
        </w:r>
        <w:r w:rsidR="002320B3">
          <w:rPr>
            <w:noProof/>
            <w:webHidden/>
          </w:rPr>
          <w:fldChar w:fldCharType="end"/>
        </w:r>
      </w:hyperlink>
    </w:p>
    <w:p w14:paraId="59462431" w14:textId="1AB1BE90"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640" w:history="1">
        <w:r w:rsidR="002320B3" w:rsidRPr="00FE1B51">
          <w:rPr>
            <w:rStyle w:val="Hyperlink"/>
            <w:rFonts w:asciiTheme="majorHAnsi" w:eastAsiaTheme="majorEastAsia" w:hAnsiTheme="majorHAnsi" w:cstheme="majorHAnsi"/>
            <w:bCs/>
            <w:noProof/>
            <w:lang w:val="en-US"/>
          </w:rPr>
          <w:t>Table 49. Regression Results for Region NCR Students</w:t>
        </w:r>
        <w:r w:rsidR="002320B3">
          <w:rPr>
            <w:noProof/>
            <w:webHidden/>
          </w:rPr>
          <w:tab/>
        </w:r>
        <w:r w:rsidR="002320B3">
          <w:rPr>
            <w:noProof/>
            <w:webHidden/>
          </w:rPr>
          <w:fldChar w:fldCharType="begin"/>
        </w:r>
        <w:r w:rsidR="002320B3">
          <w:rPr>
            <w:noProof/>
            <w:webHidden/>
          </w:rPr>
          <w:instrText xml:space="preserve"> PAGEREF _Toc71616640 \h </w:instrText>
        </w:r>
        <w:r w:rsidR="002320B3">
          <w:rPr>
            <w:noProof/>
            <w:webHidden/>
          </w:rPr>
        </w:r>
        <w:r w:rsidR="002320B3">
          <w:rPr>
            <w:noProof/>
            <w:webHidden/>
          </w:rPr>
          <w:fldChar w:fldCharType="separate"/>
        </w:r>
        <w:r w:rsidR="00D6133D">
          <w:rPr>
            <w:noProof/>
            <w:webHidden/>
          </w:rPr>
          <w:t>440</w:t>
        </w:r>
        <w:r w:rsidR="002320B3">
          <w:rPr>
            <w:noProof/>
            <w:webHidden/>
          </w:rPr>
          <w:fldChar w:fldCharType="end"/>
        </w:r>
      </w:hyperlink>
    </w:p>
    <w:p w14:paraId="72E76362" w14:textId="001F377D"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641" w:history="1">
        <w:r w:rsidR="002320B3" w:rsidRPr="00FE1B51">
          <w:rPr>
            <w:rStyle w:val="Hyperlink"/>
            <w:rFonts w:asciiTheme="majorHAnsi" w:eastAsiaTheme="majorEastAsia" w:hAnsiTheme="majorHAnsi" w:cstheme="majorHAnsi"/>
            <w:bCs/>
            <w:noProof/>
            <w:lang w:val="en-US"/>
          </w:rPr>
          <w:t>Table 50. Regression Results for Region V Students</w:t>
        </w:r>
        <w:r w:rsidR="002320B3">
          <w:rPr>
            <w:noProof/>
            <w:webHidden/>
          </w:rPr>
          <w:tab/>
        </w:r>
        <w:r w:rsidR="002320B3">
          <w:rPr>
            <w:noProof/>
            <w:webHidden/>
          </w:rPr>
          <w:fldChar w:fldCharType="begin"/>
        </w:r>
        <w:r w:rsidR="002320B3">
          <w:rPr>
            <w:noProof/>
            <w:webHidden/>
          </w:rPr>
          <w:instrText xml:space="preserve"> PAGEREF _Toc71616641 \h </w:instrText>
        </w:r>
        <w:r w:rsidR="002320B3">
          <w:rPr>
            <w:noProof/>
            <w:webHidden/>
          </w:rPr>
        </w:r>
        <w:r w:rsidR="002320B3">
          <w:rPr>
            <w:noProof/>
            <w:webHidden/>
          </w:rPr>
          <w:fldChar w:fldCharType="separate"/>
        </w:r>
        <w:r w:rsidR="00D6133D">
          <w:rPr>
            <w:noProof/>
            <w:webHidden/>
          </w:rPr>
          <w:t>441</w:t>
        </w:r>
        <w:r w:rsidR="002320B3">
          <w:rPr>
            <w:noProof/>
            <w:webHidden/>
          </w:rPr>
          <w:fldChar w:fldCharType="end"/>
        </w:r>
      </w:hyperlink>
    </w:p>
    <w:p w14:paraId="31DCA2E9" w14:textId="4A9E1712"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642" w:history="1">
        <w:r w:rsidR="002320B3" w:rsidRPr="00FE1B51">
          <w:rPr>
            <w:rStyle w:val="Hyperlink"/>
            <w:rFonts w:asciiTheme="majorHAnsi" w:eastAsiaTheme="majorEastAsia" w:hAnsiTheme="majorHAnsi" w:cstheme="majorHAnsi"/>
            <w:bCs/>
            <w:noProof/>
            <w:lang w:val="en-US"/>
          </w:rPr>
          <w:t>Table 51. Regression Results for Region VI Students</w:t>
        </w:r>
        <w:r w:rsidR="002320B3">
          <w:rPr>
            <w:noProof/>
            <w:webHidden/>
          </w:rPr>
          <w:tab/>
        </w:r>
        <w:r w:rsidR="002320B3">
          <w:rPr>
            <w:noProof/>
            <w:webHidden/>
          </w:rPr>
          <w:fldChar w:fldCharType="begin"/>
        </w:r>
        <w:r w:rsidR="002320B3">
          <w:rPr>
            <w:noProof/>
            <w:webHidden/>
          </w:rPr>
          <w:instrText xml:space="preserve"> PAGEREF _Toc71616642 \h </w:instrText>
        </w:r>
        <w:r w:rsidR="002320B3">
          <w:rPr>
            <w:noProof/>
            <w:webHidden/>
          </w:rPr>
        </w:r>
        <w:r w:rsidR="002320B3">
          <w:rPr>
            <w:noProof/>
            <w:webHidden/>
          </w:rPr>
          <w:fldChar w:fldCharType="separate"/>
        </w:r>
        <w:r w:rsidR="00D6133D">
          <w:rPr>
            <w:noProof/>
            <w:webHidden/>
          </w:rPr>
          <w:t>441</w:t>
        </w:r>
        <w:r w:rsidR="002320B3">
          <w:rPr>
            <w:noProof/>
            <w:webHidden/>
          </w:rPr>
          <w:fldChar w:fldCharType="end"/>
        </w:r>
      </w:hyperlink>
    </w:p>
    <w:p w14:paraId="7862854E" w14:textId="37E5E068"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643" w:history="1">
        <w:r w:rsidR="002320B3" w:rsidRPr="00FE1B51">
          <w:rPr>
            <w:rStyle w:val="Hyperlink"/>
            <w:rFonts w:asciiTheme="majorHAnsi" w:eastAsiaTheme="majorEastAsia" w:hAnsiTheme="majorHAnsi" w:cstheme="majorHAnsi"/>
            <w:bCs/>
            <w:noProof/>
            <w:lang w:val="en-US"/>
          </w:rPr>
          <w:t>Table 52. Regression Results for Region VII Students</w:t>
        </w:r>
        <w:r w:rsidR="002320B3">
          <w:rPr>
            <w:noProof/>
            <w:webHidden/>
          </w:rPr>
          <w:tab/>
        </w:r>
        <w:r w:rsidR="002320B3">
          <w:rPr>
            <w:noProof/>
            <w:webHidden/>
          </w:rPr>
          <w:fldChar w:fldCharType="begin"/>
        </w:r>
        <w:r w:rsidR="002320B3">
          <w:rPr>
            <w:noProof/>
            <w:webHidden/>
          </w:rPr>
          <w:instrText xml:space="preserve"> PAGEREF _Toc71616643 \h </w:instrText>
        </w:r>
        <w:r w:rsidR="002320B3">
          <w:rPr>
            <w:noProof/>
            <w:webHidden/>
          </w:rPr>
        </w:r>
        <w:r w:rsidR="002320B3">
          <w:rPr>
            <w:noProof/>
            <w:webHidden/>
          </w:rPr>
          <w:fldChar w:fldCharType="separate"/>
        </w:r>
        <w:r w:rsidR="00D6133D">
          <w:rPr>
            <w:noProof/>
            <w:webHidden/>
          </w:rPr>
          <w:t>442</w:t>
        </w:r>
        <w:r w:rsidR="002320B3">
          <w:rPr>
            <w:noProof/>
            <w:webHidden/>
          </w:rPr>
          <w:fldChar w:fldCharType="end"/>
        </w:r>
      </w:hyperlink>
    </w:p>
    <w:p w14:paraId="76A0F82B" w14:textId="65DE634C"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644" w:history="1">
        <w:r w:rsidR="002320B3" w:rsidRPr="00FE1B51">
          <w:rPr>
            <w:rStyle w:val="Hyperlink"/>
            <w:rFonts w:asciiTheme="majorHAnsi" w:eastAsiaTheme="majorEastAsia" w:hAnsiTheme="majorHAnsi" w:cstheme="majorHAnsi"/>
            <w:bCs/>
            <w:noProof/>
            <w:lang w:val="en-US"/>
          </w:rPr>
          <w:t>Table 53. Regression Results for Region VIII Students</w:t>
        </w:r>
        <w:r w:rsidR="002320B3">
          <w:rPr>
            <w:noProof/>
            <w:webHidden/>
          </w:rPr>
          <w:tab/>
        </w:r>
        <w:r w:rsidR="002320B3">
          <w:rPr>
            <w:noProof/>
            <w:webHidden/>
          </w:rPr>
          <w:fldChar w:fldCharType="begin"/>
        </w:r>
        <w:r w:rsidR="002320B3">
          <w:rPr>
            <w:noProof/>
            <w:webHidden/>
          </w:rPr>
          <w:instrText xml:space="preserve"> PAGEREF _Toc71616644 \h </w:instrText>
        </w:r>
        <w:r w:rsidR="002320B3">
          <w:rPr>
            <w:noProof/>
            <w:webHidden/>
          </w:rPr>
        </w:r>
        <w:r w:rsidR="002320B3">
          <w:rPr>
            <w:noProof/>
            <w:webHidden/>
          </w:rPr>
          <w:fldChar w:fldCharType="separate"/>
        </w:r>
        <w:r w:rsidR="00D6133D">
          <w:rPr>
            <w:noProof/>
            <w:webHidden/>
          </w:rPr>
          <w:t>442</w:t>
        </w:r>
        <w:r w:rsidR="002320B3">
          <w:rPr>
            <w:noProof/>
            <w:webHidden/>
          </w:rPr>
          <w:fldChar w:fldCharType="end"/>
        </w:r>
      </w:hyperlink>
    </w:p>
    <w:p w14:paraId="185D8D1F" w14:textId="13BE30AD"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645" w:history="1">
        <w:r w:rsidR="002320B3" w:rsidRPr="00FE1B51">
          <w:rPr>
            <w:rStyle w:val="Hyperlink"/>
            <w:rFonts w:asciiTheme="majorHAnsi" w:eastAsiaTheme="majorEastAsia" w:hAnsiTheme="majorHAnsi" w:cstheme="majorHAnsi"/>
            <w:bCs/>
            <w:noProof/>
            <w:lang w:val="en-US"/>
          </w:rPr>
          <w:t>Table 54. Regression Results for Region X Students</w:t>
        </w:r>
        <w:r w:rsidR="002320B3">
          <w:rPr>
            <w:noProof/>
            <w:webHidden/>
          </w:rPr>
          <w:tab/>
        </w:r>
        <w:r w:rsidR="002320B3">
          <w:rPr>
            <w:noProof/>
            <w:webHidden/>
          </w:rPr>
          <w:fldChar w:fldCharType="begin"/>
        </w:r>
        <w:r w:rsidR="002320B3">
          <w:rPr>
            <w:noProof/>
            <w:webHidden/>
          </w:rPr>
          <w:instrText xml:space="preserve"> PAGEREF _Toc71616645 \h </w:instrText>
        </w:r>
        <w:r w:rsidR="002320B3">
          <w:rPr>
            <w:noProof/>
            <w:webHidden/>
          </w:rPr>
        </w:r>
        <w:r w:rsidR="002320B3">
          <w:rPr>
            <w:noProof/>
            <w:webHidden/>
          </w:rPr>
          <w:fldChar w:fldCharType="separate"/>
        </w:r>
        <w:r w:rsidR="00D6133D">
          <w:rPr>
            <w:noProof/>
            <w:webHidden/>
          </w:rPr>
          <w:t>443</w:t>
        </w:r>
        <w:r w:rsidR="002320B3">
          <w:rPr>
            <w:noProof/>
            <w:webHidden/>
          </w:rPr>
          <w:fldChar w:fldCharType="end"/>
        </w:r>
      </w:hyperlink>
    </w:p>
    <w:p w14:paraId="57FBAFB5" w14:textId="6F9EFB0F"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646" w:history="1">
        <w:r w:rsidR="002320B3" w:rsidRPr="00FE1B51">
          <w:rPr>
            <w:rStyle w:val="Hyperlink"/>
            <w:rFonts w:asciiTheme="majorHAnsi" w:eastAsiaTheme="minorHAnsi" w:hAnsiTheme="majorHAnsi" w:cstheme="majorHAnsi"/>
            <w:noProof/>
            <w:lang w:val="en-US"/>
          </w:rPr>
          <w:t>Table 55. Distribution of Public Schools by Level, 2010-2017</w:t>
        </w:r>
        <w:r w:rsidR="002320B3">
          <w:rPr>
            <w:noProof/>
            <w:webHidden/>
          </w:rPr>
          <w:tab/>
        </w:r>
        <w:r w:rsidR="002320B3">
          <w:rPr>
            <w:noProof/>
            <w:webHidden/>
          </w:rPr>
          <w:fldChar w:fldCharType="begin"/>
        </w:r>
        <w:r w:rsidR="002320B3">
          <w:rPr>
            <w:noProof/>
            <w:webHidden/>
          </w:rPr>
          <w:instrText xml:space="preserve"> PAGEREF _Toc71616646 \h </w:instrText>
        </w:r>
        <w:r w:rsidR="002320B3">
          <w:rPr>
            <w:noProof/>
            <w:webHidden/>
          </w:rPr>
        </w:r>
        <w:r w:rsidR="002320B3">
          <w:rPr>
            <w:noProof/>
            <w:webHidden/>
          </w:rPr>
          <w:fldChar w:fldCharType="separate"/>
        </w:r>
        <w:r w:rsidR="00D6133D">
          <w:rPr>
            <w:noProof/>
            <w:webHidden/>
          </w:rPr>
          <w:t>464</w:t>
        </w:r>
        <w:r w:rsidR="002320B3">
          <w:rPr>
            <w:noProof/>
            <w:webHidden/>
          </w:rPr>
          <w:fldChar w:fldCharType="end"/>
        </w:r>
      </w:hyperlink>
    </w:p>
    <w:p w14:paraId="6D909D99" w14:textId="7BA49FE8"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647" w:history="1">
        <w:r w:rsidR="002320B3" w:rsidRPr="00FE1B51">
          <w:rPr>
            <w:rStyle w:val="Hyperlink"/>
            <w:rFonts w:asciiTheme="majorHAnsi" w:eastAsiaTheme="minorHAnsi" w:hAnsiTheme="majorHAnsi" w:cstheme="majorHAnsi"/>
            <w:noProof/>
            <w:lang w:val="en-US"/>
          </w:rPr>
          <w:t>Table 56. Distribution of SPED Schools in BEST-supported Regions</w:t>
        </w:r>
        <w:r w:rsidR="002320B3">
          <w:rPr>
            <w:noProof/>
            <w:webHidden/>
          </w:rPr>
          <w:tab/>
        </w:r>
        <w:r w:rsidR="002320B3">
          <w:rPr>
            <w:noProof/>
            <w:webHidden/>
          </w:rPr>
          <w:fldChar w:fldCharType="begin"/>
        </w:r>
        <w:r w:rsidR="002320B3">
          <w:rPr>
            <w:noProof/>
            <w:webHidden/>
          </w:rPr>
          <w:instrText xml:space="preserve"> PAGEREF _Toc71616647 \h </w:instrText>
        </w:r>
        <w:r w:rsidR="002320B3">
          <w:rPr>
            <w:noProof/>
            <w:webHidden/>
          </w:rPr>
        </w:r>
        <w:r w:rsidR="002320B3">
          <w:rPr>
            <w:noProof/>
            <w:webHidden/>
          </w:rPr>
          <w:fldChar w:fldCharType="separate"/>
        </w:r>
        <w:r w:rsidR="00D6133D">
          <w:rPr>
            <w:noProof/>
            <w:webHidden/>
          </w:rPr>
          <w:t>466</w:t>
        </w:r>
        <w:r w:rsidR="002320B3">
          <w:rPr>
            <w:noProof/>
            <w:webHidden/>
          </w:rPr>
          <w:fldChar w:fldCharType="end"/>
        </w:r>
      </w:hyperlink>
    </w:p>
    <w:p w14:paraId="5FFAF788" w14:textId="529701F6"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648" w:history="1">
        <w:r w:rsidR="002320B3" w:rsidRPr="00FE1B51">
          <w:rPr>
            <w:rStyle w:val="Hyperlink"/>
            <w:rFonts w:asciiTheme="majorHAnsi" w:eastAsiaTheme="minorHAnsi" w:hAnsiTheme="majorHAnsi" w:cstheme="majorHAnsi"/>
            <w:noProof/>
            <w:lang w:val="en-US"/>
          </w:rPr>
          <w:t>Table 57. Increases in Number of Elementary Teachers in BEST-supported Regions</w:t>
        </w:r>
        <w:r w:rsidR="002320B3">
          <w:rPr>
            <w:noProof/>
            <w:webHidden/>
          </w:rPr>
          <w:tab/>
        </w:r>
        <w:r w:rsidR="002320B3">
          <w:rPr>
            <w:noProof/>
            <w:webHidden/>
          </w:rPr>
          <w:fldChar w:fldCharType="begin"/>
        </w:r>
        <w:r w:rsidR="002320B3">
          <w:rPr>
            <w:noProof/>
            <w:webHidden/>
          </w:rPr>
          <w:instrText xml:space="preserve"> PAGEREF _Toc71616648 \h </w:instrText>
        </w:r>
        <w:r w:rsidR="002320B3">
          <w:rPr>
            <w:noProof/>
            <w:webHidden/>
          </w:rPr>
        </w:r>
        <w:r w:rsidR="002320B3">
          <w:rPr>
            <w:noProof/>
            <w:webHidden/>
          </w:rPr>
          <w:fldChar w:fldCharType="separate"/>
        </w:r>
        <w:r w:rsidR="00D6133D">
          <w:rPr>
            <w:noProof/>
            <w:webHidden/>
          </w:rPr>
          <w:t>469</w:t>
        </w:r>
        <w:r w:rsidR="002320B3">
          <w:rPr>
            <w:noProof/>
            <w:webHidden/>
          </w:rPr>
          <w:fldChar w:fldCharType="end"/>
        </w:r>
      </w:hyperlink>
    </w:p>
    <w:p w14:paraId="39F70D79" w14:textId="7169FD9D"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649" w:history="1">
        <w:r w:rsidR="002320B3" w:rsidRPr="00FE1B51">
          <w:rPr>
            <w:rStyle w:val="Hyperlink"/>
            <w:rFonts w:asciiTheme="majorHAnsi" w:eastAsiaTheme="minorHAnsi" w:hAnsiTheme="majorHAnsi" w:cstheme="majorHAnsi"/>
            <w:noProof/>
            <w:lang w:val="en-US"/>
          </w:rPr>
          <w:t xml:space="preserve">Table 58. </w:t>
        </w:r>
        <w:r w:rsidR="002320B3" w:rsidRPr="00FE1B51">
          <w:rPr>
            <w:rStyle w:val="Hyperlink"/>
            <w:rFonts w:asciiTheme="majorHAnsi" w:eastAsiaTheme="minorHAnsi" w:hAnsiTheme="majorHAnsi" w:cstheme="majorHAnsi"/>
            <w:bCs/>
            <w:noProof/>
            <w:lang w:val="en-US"/>
          </w:rPr>
          <w:t>Overall Enrolment, SY 2011-12 to 2017-18</w:t>
        </w:r>
        <w:r w:rsidR="002320B3">
          <w:rPr>
            <w:noProof/>
            <w:webHidden/>
          </w:rPr>
          <w:tab/>
        </w:r>
        <w:r w:rsidR="002320B3">
          <w:rPr>
            <w:noProof/>
            <w:webHidden/>
          </w:rPr>
          <w:fldChar w:fldCharType="begin"/>
        </w:r>
        <w:r w:rsidR="002320B3">
          <w:rPr>
            <w:noProof/>
            <w:webHidden/>
          </w:rPr>
          <w:instrText xml:space="preserve"> PAGEREF _Toc71616649 \h </w:instrText>
        </w:r>
        <w:r w:rsidR="002320B3">
          <w:rPr>
            <w:noProof/>
            <w:webHidden/>
          </w:rPr>
        </w:r>
        <w:r w:rsidR="002320B3">
          <w:rPr>
            <w:noProof/>
            <w:webHidden/>
          </w:rPr>
          <w:fldChar w:fldCharType="separate"/>
        </w:r>
        <w:r w:rsidR="00D6133D">
          <w:rPr>
            <w:noProof/>
            <w:webHidden/>
          </w:rPr>
          <w:t>471</w:t>
        </w:r>
        <w:r w:rsidR="002320B3">
          <w:rPr>
            <w:noProof/>
            <w:webHidden/>
          </w:rPr>
          <w:fldChar w:fldCharType="end"/>
        </w:r>
      </w:hyperlink>
    </w:p>
    <w:p w14:paraId="55CCB877" w14:textId="6E1B974F"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650" w:history="1">
        <w:r w:rsidR="002320B3" w:rsidRPr="00FE1B51">
          <w:rPr>
            <w:rStyle w:val="Hyperlink"/>
            <w:rFonts w:asciiTheme="majorHAnsi" w:eastAsiaTheme="minorHAnsi" w:hAnsiTheme="majorHAnsi" w:cstheme="majorHAnsi"/>
            <w:noProof/>
            <w:lang w:val="en-US"/>
          </w:rPr>
          <w:t xml:space="preserve">Table 59. </w:t>
        </w:r>
        <w:r w:rsidR="002320B3" w:rsidRPr="00FE1B51">
          <w:rPr>
            <w:rStyle w:val="Hyperlink"/>
            <w:rFonts w:asciiTheme="majorHAnsi" w:eastAsiaTheme="minorHAnsi" w:hAnsiTheme="majorHAnsi" w:cstheme="majorHAnsi"/>
            <w:bCs/>
            <w:noProof/>
            <w:lang w:val="en-US"/>
          </w:rPr>
          <w:t>Change in Enrollment in BEST Regions/Divisions, (SY2017-18 - SY 2013-14)</w:t>
        </w:r>
        <w:r w:rsidR="002320B3">
          <w:rPr>
            <w:noProof/>
            <w:webHidden/>
          </w:rPr>
          <w:tab/>
        </w:r>
        <w:r w:rsidR="002320B3">
          <w:rPr>
            <w:noProof/>
            <w:webHidden/>
          </w:rPr>
          <w:fldChar w:fldCharType="begin"/>
        </w:r>
        <w:r w:rsidR="002320B3">
          <w:rPr>
            <w:noProof/>
            <w:webHidden/>
          </w:rPr>
          <w:instrText xml:space="preserve"> PAGEREF _Toc71616650 \h </w:instrText>
        </w:r>
        <w:r w:rsidR="002320B3">
          <w:rPr>
            <w:noProof/>
            <w:webHidden/>
          </w:rPr>
        </w:r>
        <w:r w:rsidR="002320B3">
          <w:rPr>
            <w:noProof/>
            <w:webHidden/>
          </w:rPr>
          <w:fldChar w:fldCharType="separate"/>
        </w:r>
        <w:r w:rsidR="00D6133D">
          <w:rPr>
            <w:noProof/>
            <w:webHidden/>
          </w:rPr>
          <w:t>475</w:t>
        </w:r>
        <w:r w:rsidR="002320B3">
          <w:rPr>
            <w:noProof/>
            <w:webHidden/>
          </w:rPr>
          <w:fldChar w:fldCharType="end"/>
        </w:r>
      </w:hyperlink>
    </w:p>
    <w:p w14:paraId="29CDA172" w14:textId="198BD13A"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651" w:history="1">
        <w:r w:rsidR="002320B3" w:rsidRPr="00FE1B51">
          <w:rPr>
            <w:rStyle w:val="Hyperlink"/>
            <w:rFonts w:asciiTheme="majorHAnsi" w:eastAsiaTheme="minorHAnsi" w:hAnsiTheme="majorHAnsi" w:cstheme="majorHAnsi"/>
            <w:noProof/>
            <w:lang w:val="en-US"/>
          </w:rPr>
          <w:t xml:space="preserve">Table 60. </w:t>
        </w:r>
        <w:r w:rsidR="002320B3" w:rsidRPr="00FE1B51">
          <w:rPr>
            <w:rStyle w:val="Hyperlink"/>
            <w:rFonts w:asciiTheme="majorHAnsi" w:eastAsiaTheme="minorHAnsi" w:hAnsiTheme="majorHAnsi" w:cstheme="majorHAnsi"/>
            <w:bCs/>
            <w:noProof/>
            <w:lang w:val="en-US"/>
          </w:rPr>
          <w:t>Gross Enrollment by Regions, SY2011-2012 to SY2017-2018</w:t>
        </w:r>
        <w:r w:rsidR="002320B3">
          <w:rPr>
            <w:noProof/>
            <w:webHidden/>
          </w:rPr>
          <w:tab/>
        </w:r>
        <w:r w:rsidR="002320B3">
          <w:rPr>
            <w:noProof/>
            <w:webHidden/>
          </w:rPr>
          <w:fldChar w:fldCharType="begin"/>
        </w:r>
        <w:r w:rsidR="002320B3">
          <w:rPr>
            <w:noProof/>
            <w:webHidden/>
          </w:rPr>
          <w:instrText xml:space="preserve"> PAGEREF _Toc71616651 \h </w:instrText>
        </w:r>
        <w:r w:rsidR="002320B3">
          <w:rPr>
            <w:noProof/>
            <w:webHidden/>
          </w:rPr>
        </w:r>
        <w:r w:rsidR="002320B3">
          <w:rPr>
            <w:noProof/>
            <w:webHidden/>
          </w:rPr>
          <w:fldChar w:fldCharType="separate"/>
        </w:r>
        <w:r w:rsidR="00D6133D">
          <w:rPr>
            <w:noProof/>
            <w:webHidden/>
          </w:rPr>
          <w:t>478</w:t>
        </w:r>
        <w:r w:rsidR="002320B3">
          <w:rPr>
            <w:noProof/>
            <w:webHidden/>
          </w:rPr>
          <w:fldChar w:fldCharType="end"/>
        </w:r>
      </w:hyperlink>
    </w:p>
    <w:p w14:paraId="50B761B0" w14:textId="59E6AA96"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652" w:history="1">
        <w:r w:rsidR="002320B3" w:rsidRPr="00FE1B51">
          <w:rPr>
            <w:rStyle w:val="Hyperlink"/>
            <w:rFonts w:asciiTheme="majorHAnsi" w:eastAsiaTheme="minorHAnsi" w:hAnsiTheme="majorHAnsi" w:cstheme="majorHAnsi"/>
            <w:noProof/>
            <w:lang w:val="en-US"/>
          </w:rPr>
          <w:t xml:space="preserve">Table 61. </w:t>
        </w:r>
        <w:r w:rsidR="002320B3" w:rsidRPr="00FE1B51">
          <w:rPr>
            <w:rStyle w:val="Hyperlink"/>
            <w:rFonts w:asciiTheme="majorHAnsi" w:eastAsiaTheme="minorHAnsi" w:hAnsiTheme="majorHAnsi" w:cstheme="majorHAnsi"/>
            <w:bCs/>
            <w:noProof/>
            <w:lang w:val="en-US"/>
          </w:rPr>
          <w:t>Elementary Net Enrolment Rate, Male Students, SY 2013-2014 to SY2017-2018</w:t>
        </w:r>
        <w:r w:rsidR="002320B3">
          <w:rPr>
            <w:noProof/>
            <w:webHidden/>
          </w:rPr>
          <w:tab/>
        </w:r>
        <w:r w:rsidR="002320B3">
          <w:rPr>
            <w:noProof/>
            <w:webHidden/>
          </w:rPr>
          <w:fldChar w:fldCharType="begin"/>
        </w:r>
        <w:r w:rsidR="002320B3">
          <w:rPr>
            <w:noProof/>
            <w:webHidden/>
          </w:rPr>
          <w:instrText xml:space="preserve"> PAGEREF _Toc71616652 \h </w:instrText>
        </w:r>
        <w:r w:rsidR="002320B3">
          <w:rPr>
            <w:noProof/>
            <w:webHidden/>
          </w:rPr>
        </w:r>
        <w:r w:rsidR="002320B3">
          <w:rPr>
            <w:noProof/>
            <w:webHidden/>
          </w:rPr>
          <w:fldChar w:fldCharType="separate"/>
        </w:r>
        <w:r w:rsidR="00D6133D">
          <w:rPr>
            <w:noProof/>
            <w:webHidden/>
          </w:rPr>
          <w:t>480</w:t>
        </w:r>
        <w:r w:rsidR="002320B3">
          <w:rPr>
            <w:noProof/>
            <w:webHidden/>
          </w:rPr>
          <w:fldChar w:fldCharType="end"/>
        </w:r>
      </w:hyperlink>
    </w:p>
    <w:p w14:paraId="262B7D86" w14:textId="6CFBECF0"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653" w:history="1">
        <w:r w:rsidR="002320B3" w:rsidRPr="00FE1B51">
          <w:rPr>
            <w:rStyle w:val="Hyperlink"/>
            <w:rFonts w:asciiTheme="majorHAnsi" w:eastAsiaTheme="minorHAnsi" w:hAnsiTheme="majorHAnsi" w:cstheme="majorHAnsi"/>
            <w:noProof/>
            <w:lang w:val="en-US"/>
          </w:rPr>
          <w:t xml:space="preserve">Table 62. </w:t>
        </w:r>
        <w:r w:rsidR="002320B3" w:rsidRPr="00FE1B51">
          <w:rPr>
            <w:rStyle w:val="Hyperlink"/>
            <w:rFonts w:asciiTheme="majorHAnsi" w:eastAsiaTheme="minorHAnsi" w:hAnsiTheme="majorHAnsi" w:cstheme="majorHAnsi"/>
            <w:bCs/>
            <w:noProof/>
            <w:lang w:val="en-US"/>
          </w:rPr>
          <w:t>Elementary Net Enrolment Rate, Female Students, SY 2013-2014 to SY2017-2018</w:t>
        </w:r>
        <w:r w:rsidR="002320B3">
          <w:rPr>
            <w:noProof/>
            <w:webHidden/>
          </w:rPr>
          <w:tab/>
        </w:r>
        <w:r w:rsidR="002320B3">
          <w:rPr>
            <w:noProof/>
            <w:webHidden/>
          </w:rPr>
          <w:fldChar w:fldCharType="begin"/>
        </w:r>
        <w:r w:rsidR="002320B3">
          <w:rPr>
            <w:noProof/>
            <w:webHidden/>
          </w:rPr>
          <w:instrText xml:space="preserve"> PAGEREF _Toc71616653 \h </w:instrText>
        </w:r>
        <w:r w:rsidR="002320B3">
          <w:rPr>
            <w:noProof/>
            <w:webHidden/>
          </w:rPr>
        </w:r>
        <w:r w:rsidR="002320B3">
          <w:rPr>
            <w:noProof/>
            <w:webHidden/>
          </w:rPr>
          <w:fldChar w:fldCharType="separate"/>
        </w:r>
        <w:r w:rsidR="00D6133D">
          <w:rPr>
            <w:noProof/>
            <w:webHidden/>
          </w:rPr>
          <w:t>481</w:t>
        </w:r>
        <w:r w:rsidR="002320B3">
          <w:rPr>
            <w:noProof/>
            <w:webHidden/>
          </w:rPr>
          <w:fldChar w:fldCharType="end"/>
        </w:r>
      </w:hyperlink>
    </w:p>
    <w:p w14:paraId="6D7B3653" w14:textId="5FA12E30"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654" w:history="1">
        <w:r w:rsidR="002320B3" w:rsidRPr="00FE1B51">
          <w:rPr>
            <w:rStyle w:val="Hyperlink"/>
            <w:rFonts w:asciiTheme="majorHAnsi" w:eastAsiaTheme="minorHAnsi" w:hAnsiTheme="majorHAnsi" w:cstheme="majorHAnsi"/>
            <w:noProof/>
            <w:lang w:val="en-US"/>
          </w:rPr>
          <w:t xml:space="preserve">Table 63. </w:t>
        </w:r>
        <w:r w:rsidR="002320B3" w:rsidRPr="00FE1B51">
          <w:rPr>
            <w:rStyle w:val="Hyperlink"/>
            <w:rFonts w:asciiTheme="majorHAnsi" w:eastAsiaTheme="minorHAnsi" w:hAnsiTheme="majorHAnsi" w:cstheme="majorHAnsi"/>
            <w:bCs/>
            <w:noProof/>
            <w:lang w:val="en-US"/>
          </w:rPr>
          <w:t>Elementary Net Enrolment Rate by Region, SY 2013-2014 to SY2017-2018</w:t>
        </w:r>
        <w:r w:rsidR="002320B3">
          <w:rPr>
            <w:noProof/>
            <w:webHidden/>
          </w:rPr>
          <w:tab/>
        </w:r>
        <w:r w:rsidR="002320B3">
          <w:rPr>
            <w:noProof/>
            <w:webHidden/>
          </w:rPr>
          <w:fldChar w:fldCharType="begin"/>
        </w:r>
        <w:r w:rsidR="002320B3">
          <w:rPr>
            <w:noProof/>
            <w:webHidden/>
          </w:rPr>
          <w:instrText xml:space="preserve"> PAGEREF _Toc71616654 \h </w:instrText>
        </w:r>
        <w:r w:rsidR="002320B3">
          <w:rPr>
            <w:noProof/>
            <w:webHidden/>
          </w:rPr>
        </w:r>
        <w:r w:rsidR="002320B3">
          <w:rPr>
            <w:noProof/>
            <w:webHidden/>
          </w:rPr>
          <w:fldChar w:fldCharType="separate"/>
        </w:r>
        <w:r w:rsidR="00D6133D">
          <w:rPr>
            <w:noProof/>
            <w:webHidden/>
          </w:rPr>
          <w:t>481</w:t>
        </w:r>
        <w:r w:rsidR="002320B3">
          <w:rPr>
            <w:noProof/>
            <w:webHidden/>
          </w:rPr>
          <w:fldChar w:fldCharType="end"/>
        </w:r>
      </w:hyperlink>
    </w:p>
    <w:p w14:paraId="2ADFF448" w14:textId="5694F823"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655" w:history="1">
        <w:r w:rsidR="002320B3" w:rsidRPr="00FE1B51">
          <w:rPr>
            <w:rStyle w:val="Hyperlink"/>
            <w:rFonts w:asciiTheme="majorHAnsi" w:eastAsiaTheme="minorHAnsi" w:hAnsiTheme="majorHAnsi" w:cstheme="majorHAnsi"/>
            <w:noProof/>
            <w:lang w:val="en-US"/>
          </w:rPr>
          <w:t xml:space="preserve">Table 64. </w:t>
        </w:r>
        <w:r w:rsidR="002320B3" w:rsidRPr="00FE1B51">
          <w:rPr>
            <w:rStyle w:val="Hyperlink"/>
            <w:rFonts w:asciiTheme="majorHAnsi" w:eastAsiaTheme="minorHAnsi" w:hAnsiTheme="majorHAnsi" w:cstheme="majorHAnsi"/>
            <w:bCs/>
            <w:noProof/>
            <w:lang w:val="en-US"/>
          </w:rPr>
          <w:t>Elementary Net Enrollment Ratio in BEST supported Regions</w:t>
        </w:r>
        <w:r w:rsidR="002320B3">
          <w:rPr>
            <w:noProof/>
            <w:webHidden/>
          </w:rPr>
          <w:tab/>
        </w:r>
        <w:r w:rsidR="002320B3">
          <w:rPr>
            <w:noProof/>
            <w:webHidden/>
          </w:rPr>
          <w:fldChar w:fldCharType="begin"/>
        </w:r>
        <w:r w:rsidR="002320B3">
          <w:rPr>
            <w:noProof/>
            <w:webHidden/>
          </w:rPr>
          <w:instrText xml:space="preserve"> PAGEREF _Toc71616655 \h </w:instrText>
        </w:r>
        <w:r w:rsidR="002320B3">
          <w:rPr>
            <w:noProof/>
            <w:webHidden/>
          </w:rPr>
        </w:r>
        <w:r w:rsidR="002320B3">
          <w:rPr>
            <w:noProof/>
            <w:webHidden/>
          </w:rPr>
          <w:fldChar w:fldCharType="separate"/>
        </w:r>
        <w:r w:rsidR="00D6133D">
          <w:rPr>
            <w:noProof/>
            <w:webHidden/>
          </w:rPr>
          <w:t>482</w:t>
        </w:r>
        <w:r w:rsidR="002320B3">
          <w:rPr>
            <w:noProof/>
            <w:webHidden/>
          </w:rPr>
          <w:fldChar w:fldCharType="end"/>
        </w:r>
      </w:hyperlink>
    </w:p>
    <w:p w14:paraId="6CAB37CF" w14:textId="216FC570"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656" w:history="1">
        <w:r w:rsidR="002320B3" w:rsidRPr="00FE1B51">
          <w:rPr>
            <w:rStyle w:val="Hyperlink"/>
            <w:rFonts w:asciiTheme="majorHAnsi" w:eastAsiaTheme="minorHAnsi" w:hAnsiTheme="majorHAnsi" w:cstheme="majorHAnsi"/>
            <w:noProof/>
            <w:lang w:val="en-US"/>
          </w:rPr>
          <w:t xml:space="preserve">Table 65. </w:t>
        </w:r>
        <w:r w:rsidR="002320B3" w:rsidRPr="00FE1B51">
          <w:rPr>
            <w:rStyle w:val="Hyperlink"/>
            <w:rFonts w:asciiTheme="majorHAnsi" w:eastAsiaTheme="minorHAnsi" w:hAnsiTheme="majorHAnsi" w:cstheme="majorHAnsi"/>
            <w:bCs/>
            <w:noProof/>
            <w:lang w:val="en-US"/>
          </w:rPr>
          <w:t>Elementary Completion Rate in BEST Regions, SY 2011-12 to 2017-18</w:t>
        </w:r>
        <w:r w:rsidR="002320B3">
          <w:rPr>
            <w:noProof/>
            <w:webHidden/>
          </w:rPr>
          <w:tab/>
        </w:r>
        <w:r w:rsidR="002320B3">
          <w:rPr>
            <w:noProof/>
            <w:webHidden/>
          </w:rPr>
          <w:fldChar w:fldCharType="begin"/>
        </w:r>
        <w:r w:rsidR="002320B3">
          <w:rPr>
            <w:noProof/>
            <w:webHidden/>
          </w:rPr>
          <w:instrText xml:space="preserve"> PAGEREF _Toc71616656 \h </w:instrText>
        </w:r>
        <w:r w:rsidR="002320B3">
          <w:rPr>
            <w:noProof/>
            <w:webHidden/>
          </w:rPr>
        </w:r>
        <w:r w:rsidR="002320B3">
          <w:rPr>
            <w:noProof/>
            <w:webHidden/>
          </w:rPr>
          <w:fldChar w:fldCharType="separate"/>
        </w:r>
        <w:r w:rsidR="00D6133D">
          <w:rPr>
            <w:noProof/>
            <w:webHidden/>
          </w:rPr>
          <w:t>486</w:t>
        </w:r>
        <w:r w:rsidR="002320B3">
          <w:rPr>
            <w:noProof/>
            <w:webHidden/>
          </w:rPr>
          <w:fldChar w:fldCharType="end"/>
        </w:r>
      </w:hyperlink>
    </w:p>
    <w:p w14:paraId="7F88EF3D" w14:textId="16B9E68B"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657" w:history="1">
        <w:r w:rsidR="002320B3" w:rsidRPr="00FE1B51">
          <w:rPr>
            <w:rStyle w:val="Hyperlink"/>
            <w:rFonts w:asciiTheme="majorHAnsi" w:eastAsiaTheme="minorHAnsi" w:hAnsiTheme="majorHAnsi" w:cstheme="majorHAnsi"/>
            <w:noProof/>
            <w:lang w:val="en-US"/>
          </w:rPr>
          <w:t xml:space="preserve">Table 66. </w:t>
        </w:r>
        <w:r w:rsidR="002320B3" w:rsidRPr="00FE1B51">
          <w:rPr>
            <w:rStyle w:val="Hyperlink"/>
            <w:rFonts w:asciiTheme="majorHAnsi" w:eastAsiaTheme="minorHAnsi" w:hAnsiTheme="majorHAnsi" w:cstheme="majorHAnsi"/>
            <w:bCs/>
            <w:noProof/>
            <w:lang w:val="en-US"/>
          </w:rPr>
          <w:t>Secondary Completion Rate in BEST Regions, SY 2011-12 to 2017-18</w:t>
        </w:r>
        <w:r w:rsidR="002320B3">
          <w:rPr>
            <w:noProof/>
            <w:webHidden/>
          </w:rPr>
          <w:tab/>
        </w:r>
        <w:r w:rsidR="002320B3">
          <w:rPr>
            <w:noProof/>
            <w:webHidden/>
          </w:rPr>
          <w:fldChar w:fldCharType="begin"/>
        </w:r>
        <w:r w:rsidR="002320B3">
          <w:rPr>
            <w:noProof/>
            <w:webHidden/>
          </w:rPr>
          <w:instrText xml:space="preserve"> PAGEREF _Toc71616657 \h </w:instrText>
        </w:r>
        <w:r w:rsidR="002320B3">
          <w:rPr>
            <w:noProof/>
            <w:webHidden/>
          </w:rPr>
        </w:r>
        <w:r w:rsidR="002320B3">
          <w:rPr>
            <w:noProof/>
            <w:webHidden/>
          </w:rPr>
          <w:fldChar w:fldCharType="separate"/>
        </w:r>
        <w:r w:rsidR="00D6133D">
          <w:rPr>
            <w:noProof/>
            <w:webHidden/>
          </w:rPr>
          <w:t>487</w:t>
        </w:r>
        <w:r w:rsidR="002320B3">
          <w:rPr>
            <w:noProof/>
            <w:webHidden/>
          </w:rPr>
          <w:fldChar w:fldCharType="end"/>
        </w:r>
      </w:hyperlink>
    </w:p>
    <w:p w14:paraId="434EFEDB" w14:textId="225B958D"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658" w:history="1">
        <w:r w:rsidR="002320B3" w:rsidRPr="00FE1B51">
          <w:rPr>
            <w:rStyle w:val="Hyperlink"/>
            <w:rFonts w:asciiTheme="majorHAnsi" w:eastAsiaTheme="minorHAnsi" w:hAnsiTheme="majorHAnsi" w:cstheme="majorHAnsi"/>
            <w:noProof/>
            <w:lang w:val="en-US"/>
          </w:rPr>
          <w:t>Table 67. Elementary Retention Rate in BEST Regions, SY 2011-12 to 2017-18</w:t>
        </w:r>
        <w:r w:rsidR="002320B3">
          <w:rPr>
            <w:noProof/>
            <w:webHidden/>
          </w:rPr>
          <w:tab/>
        </w:r>
        <w:r w:rsidR="002320B3">
          <w:rPr>
            <w:noProof/>
            <w:webHidden/>
          </w:rPr>
          <w:fldChar w:fldCharType="begin"/>
        </w:r>
        <w:r w:rsidR="002320B3">
          <w:rPr>
            <w:noProof/>
            <w:webHidden/>
          </w:rPr>
          <w:instrText xml:space="preserve"> PAGEREF _Toc71616658 \h </w:instrText>
        </w:r>
        <w:r w:rsidR="002320B3">
          <w:rPr>
            <w:noProof/>
            <w:webHidden/>
          </w:rPr>
        </w:r>
        <w:r w:rsidR="002320B3">
          <w:rPr>
            <w:noProof/>
            <w:webHidden/>
          </w:rPr>
          <w:fldChar w:fldCharType="separate"/>
        </w:r>
        <w:r w:rsidR="00D6133D">
          <w:rPr>
            <w:noProof/>
            <w:webHidden/>
          </w:rPr>
          <w:t>492</w:t>
        </w:r>
        <w:r w:rsidR="002320B3">
          <w:rPr>
            <w:noProof/>
            <w:webHidden/>
          </w:rPr>
          <w:fldChar w:fldCharType="end"/>
        </w:r>
      </w:hyperlink>
    </w:p>
    <w:p w14:paraId="4893EF99" w14:textId="41E8F6A0"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659" w:history="1">
        <w:r w:rsidR="002320B3" w:rsidRPr="00FE1B51">
          <w:rPr>
            <w:rStyle w:val="Hyperlink"/>
            <w:rFonts w:asciiTheme="majorHAnsi" w:eastAsiaTheme="minorHAnsi" w:hAnsiTheme="majorHAnsi" w:cstheme="majorHAnsi"/>
            <w:noProof/>
            <w:lang w:val="en-US"/>
          </w:rPr>
          <w:t xml:space="preserve">Table 68. </w:t>
        </w:r>
        <w:r w:rsidR="002320B3" w:rsidRPr="00FE1B51">
          <w:rPr>
            <w:rStyle w:val="Hyperlink"/>
            <w:rFonts w:asciiTheme="majorHAnsi" w:eastAsiaTheme="minorHAnsi" w:hAnsiTheme="majorHAnsi" w:cstheme="majorHAnsi"/>
            <w:bCs/>
            <w:noProof/>
            <w:lang w:val="en-US"/>
          </w:rPr>
          <w:t>Secondary Retention Rate in BEST Regions, SY 2011-12 to 2017-18</w:t>
        </w:r>
        <w:r w:rsidR="002320B3">
          <w:rPr>
            <w:noProof/>
            <w:webHidden/>
          </w:rPr>
          <w:tab/>
        </w:r>
        <w:r w:rsidR="002320B3">
          <w:rPr>
            <w:noProof/>
            <w:webHidden/>
          </w:rPr>
          <w:fldChar w:fldCharType="begin"/>
        </w:r>
        <w:r w:rsidR="002320B3">
          <w:rPr>
            <w:noProof/>
            <w:webHidden/>
          </w:rPr>
          <w:instrText xml:space="preserve"> PAGEREF _Toc71616659 \h </w:instrText>
        </w:r>
        <w:r w:rsidR="002320B3">
          <w:rPr>
            <w:noProof/>
            <w:webHidden/>
          </w:rPr>
        </w:r>
        <w:r w:rsidR="002320B3">
          <w:rPr>
            <w:noProof/>
            <w:webHidden/>
          </w:rPr>
          <w:fldChar w:fldCharType="separate"/>
        </w:r>
        <w:r w:rsidR="00D6133D">
          <w:rPr>
            <w:noProof/>
            <w:webHidden/>
          </w:rPr>
          <w:t>494</w:t>
        </w:r>
        <w:r w:rsidR="002320B3">
          <w:rPr>
            <w:noProof/>
            <w:webHidden/>
          </w:rPr>
          <w:fldChar w:fldCharType="end"/>
        </w:r>
      </w:hyperlink>
    </w:p>
    <w:p w14:paraId="6E5BAAD4" w14:textId="35C4E9E7"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660" w:history="1">
        <w:r w:rsidR="002320B3" w:rsidRPr="00FE1B51">
          <w:rPr>
            <w:rStyle w:val="Hyperlink"/>
            <w:rFonts w:asciiTheme="majorHAnsi" w:eastAsiaTheme="minorHAnsi" w:hAnsiTheme="majorHAnsi" w:cstheme="majorHAnsi"/>
            <w:noProof/>
            <w:lang w:val="en-US"/>
          </w:rPr>
          <w:t xml:space="preserve">Table 69. </w:t>
        </w:r>
        <w:r w:rsidR="002320B3" w:rsidRPr="00FE1B51">
          <w:rPr>
            <w:rStyle w:val="Hyperlink"/>
            <w:rFonts w:asciiTheme="majorHAnsi" w:eastAsiaTheme="minorHAnsi" w:hAnsiTheme="majorHAnsi" w:cstheme="majorHAnsi"/>
            <w:bCs/>
            <w:noProof/>
            <w:lang w:val="en-US"/>
          </w:rPr>
          <w:t>Elementary School Leaver Rate by Regions, SY 2013-2014 to SY2017-2018</w:t>
        </w:r>
        <w:r w:rsidR="002320B3">
          <w:rPr>
            <w:noProof/>
            <w:webHidden/>
          </w:rPr>
          <w:tab/>
        </w:r>
        <w:r w:rsidR="002320B3">
          <w:rPr>
            <w:noProof/>
            <w:webHidden/>
          </w:rPr>
          <w:fldChar w:fldCharType="begin"/>
        </w:r>
        <w:r w:rsidR="002320B3">
          <w:rPr>
            <w:noProof/>
            <w:webHidden/>
          </w:rPr>
          <w:instrText xml:space="preserve"> PAGEREF _Toc71616660 \h </w:instrText>
        </w:r>
        <w:r w:rsidR="002320B3">
          <w:rPr>
            <w:noProof/>
            <w:webHidden/>
          </w:rPr>
        </w:r>
        <w:r w:rsidR="002320B3">
          <w:rPr>
            <w:noProof/>
            <w:webHidden/>
          </w:rPr>
          <w:fldChar w:fldCharType="separate"/>
        </w:r>
        <w:r w:rsidR="00D6133D">
          <w:rPr>
            <w:noProof/>
            <w:webHidden/>
          </w:rPr>
          <w:t>497</w:t>
        </w:r>
        <w:r w:rsidR="002320B3">
          <w:rPr>
            <w:noProof/>
            <w:webHidden/>
          </w:rPr>
          <w:fldChar w:fldCharType="end"/>
        </w:r>
      </w:hyperlink>
    </w:p>
    <w:p w14:paraId="4DB57695" w14:textId="76F401A9"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661" w:history="1">
        <w:r w:rsidR="002320B3" w:rsidRPr="00FE1B51">
          <w:rPr>
            <w:rStyle w:val="Hyperlink"/>
            <w:rFonts w:asciiTheme="majorHAnsi" w:eastAsiaTheme="minorHAnsi" w:hAnsiTheme="majorHAnsi" w:cstheme="majorHAnsi"/>
            <w:noProof/>
            <w:lang w:val="en-US"/>
          </w:rPr>
          <w:t xml:space="preserve">Table 70. </w:t>
        </w:r>
        <w:r w:rsidR="002320B3" w:rsidRPr="00FE1B51">
          <w:rPr>
            <w:rStyle w:val="Hyperlink"/>
            <w:rFonts w:asciiTheme="majorHAnsi" w:eastAsiaTheme="minorHAnsi" w:hAnsiTheme="majorHAnsi" w:cstheme="majorHAnsi"/>
            <w:bCs/>
            <w:noProof/>
            <w:lang w:val="en-US"/>
          </w:rPr>
          <w:t>Elementary School Leaver Rate in BEST Regions, SY2013-2014 to SY2017-18</w:t>
        </w:r>
        <w:r w:rsidR="002320B3">
          <w:rPr>
            <w:noProof/>
            <w:webHidden/>
          </w:rPr>
          <w:tab/>
        </w:r>
        <w:r w:rsidR="002320B3">
          <w:rPr>
            <w:noProof/>
            <w:webHidden/>
          </w:rPr>
          <w:fldChar w:fldCharType="begin"/>
        </w:r>
        <w:r w:rsidR="002320B3">
          <w:rPr>
            <w:noProof/>
            <w:webHidden/>
          </w:rPr>
          <w:instrText xml:space="preserve"> PAGEREF _Toc71616661 \h </w:instrText>
        </w:r>
        <w:r w:rsidR="002320B3">
          <w:rPr>
            <w:noProof/>
            <w:webHidden/>
          </w:rPr>
        </w:r>
        <w:r w:rsidR="002320B3">
          <w:rPr>
            <w:noProof/>
            <w:webHidden/>
          </w:rPr>
          <w:fldChar w:fldCharType="separate"/>
        </w:r>
        <w:r w:rsidR="00D6133D">
          <w:rPr>
            <w:noProof/>
            <w:webHidden/>
          </w:rPr>
          <w:t>498</w:t>
        </w:r>
        <w:r w:rsidR="002320B3">
          <w:rPr>
            <w:noProof/>
            <w:webHidden/>
          </w:rPr>
          <w:fldChar w:fldCharType="end"/>
        </w:r>
      </w:hyperlink>
    </w:p>
    <w:p w14:paraId="45931DCD" w14:textId="7174722C"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662" w:history="1">
        <w:r w:rsidR="002320B3" w:rsidRPr="00FE1B51">
          <w:rPr>
            <w:rStyle w:val="Hyperlink"/>
            <w:rFonts w:asciiTheme="majorHAnsi" w:eastAsiaTheme="minorHAnsi" w:hAnsiTheme="majorHAnsi" w:cstheme="majorHAnsi"/>
            <w:noProof/>
            <w:lang w:val="en-US"/>
          </w:rPr>
          <w:t xml:space="preserve">Table 71. </w:t>
        </w:r>
        <w:r w:rsidR="002320B3" w:rsidRPr="00FE1B51">
          <w:rPr>
            <w:rStyle w:val="Hyperlink"/>
            <w:rFonts w:asciiTheme="majorHAnsi" w:eastAsiaTheme="minorHAnsi" w:hAnsiTheme="majorHAnsi" w:cstheme="majorHAnsi"/>
            <w:bCs/>
            <w:noProof/>
            <w:lang w:val="en-US"/>
          </w:rPr>
          <w:t>Elementary School Leaver Rate by Divisions, SY2013-2014 to SY2017-18</w:t>
        </w:r>
        <w:r w:rsidR="002320B3">
          <w:rPr>
            <w:noProof/>
            <w:webHidden/>
          </w:rPr>
          <w:tab/>
        </w:r>
        <w:r w:rsidR="002320B3">
          <w:rPr>
            <w:noProof/>
            <w:webHidden/>
          </w:rPr>
          <w:fldChar w:fldCharType="begin"/>
        </w:r>
        <w:r w:rsidR="002320B3">
          <w:rPr>
            <w:noProof/>
            <w:webHidden/>
          </w:rPr>
          <w:instrText xml:space="preserve"> PAGEREF _Toc71616662 \h </w:instrText>
        </w:r>
        <w:r w:rsidR="002320B3">
          <w:rPr>
            <w:noProof/>
            <w:webHidden/>
          </w:rPr>
        </w:r>
        <w:r w:rsidR="002320B3">
          <w:rPr>
            <w:noProof/>
            <w:webHidden/>
          </w:rPr>
          <w:fldChar w:fldCharType="separate"/>
        </w:r>
        <w:r w:rsidR="00D6133D">
          <w:rPr>
            <w:noProof/>
            <w:webHidden/>
          </w:rPr>
          <w:t>499</w:t>
        </w:r>
        <w:r w:rsidR="002320B3">
          <w:rPr>
            <w:noProof/>
            <w:webHidden/>
          </w:rPr>
          <w:fldChar w:fldCharType="end"/>
        </w:r>
      </w:hyperlink>
    </w:p>
    <w:p w14:paraId="37EB1BFD" w14:textId="71AABC04"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663" w:history="1">
        <w:r w:rsidR="002320B3" w:rsidRPr="00FE1B51">
          <w:rPr>
            <w:rStyle w:val="Hyperlink"/>
            <w:rFonts w:asciiTheme="majorHAnsi" w:eastAsiaTheme="minorHAnsi" w:hAnsiTheme="majorHAnsi" w:cstheme="majorHAnsi"/>
            <w:noProof/>
            <w:lang w:val="en-US"/>
          </w:rPr>
          <w:t xml:space="preserve">Table 72. </w:t>
        </w:r>
        <w:r w:rsidR="002320B3" w:rsidRPr="00FE1B51">
          <w:rPr>
            <w:rStyle w:val="Hyperlink"/>
            <w:rFonts w:asciiTheme="majorHAnsi" w:eastAsiaTheme="minorHAnsi" w:hAnsiTheme="majorHAnsi" w:cstheme="majorHAnsi"/>
            <w:bCs/>
            <w:noProof/>
            <w:lang w:val="en-US"/>
          </w:rPr>
          <w:t>Learners with Exceptionalities, SY2014-2015 to SY2018-2019</w:t>
        </w:r>
        <w:r w:rsidR="002320B3">
          <w:rPr>
            <w:noProof/>
            <w:webHidden/>
          </w:rPr>
          <w:tab/>
        </w:r>
        <w:r w:rsidR="002320B3">
          <w:rPr>
            <w:noProof/>
            <w:webHidden/>
          </w:rPr>
          <w:fldChar w:fldCharType="begin"/>
        </w:r>
        <w:r w:rsidR="002320B3">
          <w:rPr>
            <w:noProof/>
            <w:webHidden/>
          </w:rPr>
          <w:instrText xml:space="preserve"> PAGEREF _Toc71616663 \h </w:instrText>
        </w:r>
        <w:r w:rsidR="002320B3">
          <w:rPr>
            <w:noProof/>
            <w:webHidden/>
          </w:rPr>
        </w:r>
        <w:r w:rsidR="002320B3">
          <w:rPr>
            <w:noProof/>
            <w:webHidden/>
          </w:rPr>
          <w:fldChar w:fldCharType="separate"/>
        </w:r>
        <w:r w:rsidR="00D6133D">
          <w:rPr>
            <w:noProof/>
            <w:webHidden/>
          </w:rPr>
          <w:t>505</w:t>
        </w:r>
        <w:r w:rsidR="002320B3">
          <w:rPr>
            <w:noProof/>
            <w:webHidden/>
          </w:rPr>
          <w:fldChar w:fldCharType="end"/>
        </w:r>
      </w:hyperlink>
    </w:p>
    <w:p w14:paraId="324A7233" w14:textId="519D7C92" w:rsidR="008D0CAD" w:rsidRPr="006802E8" w:rsidRDefault="008D0CAD" w:rsidP="002320B3">
      <w:pPr>
        <w:rPr>
          <w:rFonts w:asciiTheme="majorHAnsi" w:hAnsiTheme="majorHAnsi" w:cstheme="majorHAnsi"/>
        </w:rPr>
      </w:pPr>
      <w:r w:rsidRPr="006802E8">
        <w:rPr>
          <w:rFonts w:asciiTheme="majorHAnsi" w:hAnsiTheme="majorHAnsi" w:cstheme="majorHAnsi"/>
        </w:rPr>
        <w:fldChar w:fldCharType="end"/>
      </w:r>
    </w:p>
    <w:p w14:paraId="6D0BEC2F" w14:textId="77777777" w:rsidR="008D0CAD" w:rsidRPr="009A20A3" w:rsidRDefault="008D0CAD" w:rsidP="002320B3">
      <w:pPr>
        <w:rPr>
          <w:rFonts w:asciiTheme="majorHAnsi" w:hAnsiTheme="majorHAnsi" w:cstheme="majorHAnsi"/>
          <w:b/>
          <w:sz w:val="28"/>
          <w:szCs w:val="28"/>
        </w:rPr>
      </w:pPr>
      <w:r w:rsidRPr="009A20A3">
        <w:rPr>
          <w:rFonts w:asciiTheme="majorHAnsi" w:hAnsiTheme="majorHAnsi" w:cstheme="majorHAnsi"/>
          <w:b/>
          <w:sz w:val="28"/>
          <w:szCs w:val="28"/>
        </w:rPr>
        <w:t>Figures</w:t>
      </w:r>
    </w:p>
    <w:p w14:paraId="7D70C939" w14:textId="77777777" w:rsidR="008D0CAD" w:rsidRDefault="008D0CAD" w:rsidP="002320B3">
      <w:pPr>
        <w:rPr>
          <w:rFonts w:asciiTheme="majorHAnsi" w:hAnsiTheme="majorHAnsi" w:cstheme="majorHAnsi"/>
        </w:rPr>
      </w:pPr>
    </w:p>
    <w:p w14:paraId="222E8E71" w14:textId="01B4E63B" w:rsidR="002320B3" w:rsidRDefault="008D0CAD" w:rsidP="002320B3">
      <w:pPr>
        <w:pStyle w:val="TableofFigures"/>
        <w:tabs>
          <w:tab w:val="right" w:leader="underscore" w:pos="9010"/>
        </w:tabs>
        <w:rPr>
          <w:rFonts w:eastAsiaTheme="minorEastAsia" w:cstheme="minorBidi"/>
          <w:i w:val="0"/>
          <w:iCs w:val="0"/>
          <w:noProof/>
          <w:sz w:val="22"/>
          <w:szCs w:val="22"/>
          <w:lang w:val="en-AU" w:eastAsia="en-AU"/>
        </w:rPr>
      </w:pPr>
      <w:r>
        <w:rPr>
          <w:rFonts w:asciiTheme="majorHAnsi" w:hAnsiTheme="majorHAnsi" w:cstheme="majorHAnsi"/>
        </w:rPr>
        <w:fldChar w:fldCharType="begin"/>
      </w:r>
      <w:r>
        <w:rPr>
          <w:rFonts w:asciiTheme="majorHAnsi" w:hAnsiTheme="majorHAnsi" w:cstheme="majorHAnsi"/>
        </w:rPr>
        <w:instrText xml:space="preserve"> TOC \h \z \c "Figure" </w:instrText>
      </w:r>
      <w:r>
        <w:rPr>
          <w:rFonts w:asciiTheme="majorHAnsi" w:hAnsiTheme="majorHAnsi" w:cstheme="majorHAnsi"/>
        </w:rPr>
        <w:fldChar w:fldCharType="separate"/>
      </w:r>
      <w:hyperlink w:anchor="_Toc71616528" w:history="1">
        <w:r w:rsidR="002320B3" w:rsidRPr="0025310E">
          <w:rPr>
            <w:rStyle w:val="Hyperlink"/>
            <w:rFonts w:asciiTheme="majorHAnsi" w:eastAsiaTheme="majorEastAsia" w:hAnsiTheme="majorHAnsi" w:cstheme="majorHAnsi"/>
            <w:noProof/>
          </w:rPr>
          <w:t>Figure 1. ASEAN Key Education Figures</w:t>
        </w:r>
        <w:r w:rsidR="002320B3">
          <w:rPr>
            <w:noProof/>
            <w:webHidden/>
          </w:rPr>
          <w:tab/>
        </w:r>
        <w:r w:rsidR="002320B3">
          <w:rPr>
            <w:noProof/>
            <w:webHidden/>
          </w:rPr>
          <w:fldChar w:fldCharType="begin"/>
        </w:r>
        <w:r w:rsidR="002320B3">
          <w:rPr>
            <w:noProof/>
            <w:webHidden/>
          </w:rPr>
          <w:instrText xml:space="preserve"> PAGEREF _Toc71616528 \h </w:instrText>
        </w:r>
        <w:r w:rsidR="002320B3">
          <w:rPr>
            <w:noProof/>
            <w:webHidden/>
          </w:rPr>
        </w:r>
        <w:r w:rsidR="002320B3">
          <w:rPr>
            <w:noProof/>
            <w:webHidden/>
          </w:rPr>
          <w:fldChar w:fldCharType="separate"/>
        </w:r>
        <w:r w:rsidR="00D6133D">
          <w:rPr>
            <w:noProof/>
            <w:webHidden/>
          </w:rPr>
          <w:t>25</w:t>
        </w:r>
        <w:r w:rsidR="002320B3">
          <w:rPr>
            <w:noProof/>
            <w:webHidden/>
          </w:rPr>
          <w:fldChar w:fldCharType="end"/>
        </w:r>
      </w:hyperlink>
    </w:p>
    <w:p w14:paraId="6F1B56CC" w14:textId="22F69897"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529" w:history="1">
        <w:r w:rsidR="002320B3" w:rsidRPr="0025310E">
          <w:rPr>
            <w:rStyle w:val="Hyperlink"/>
            <w:rFonts w:asciiTheme="majorHAnsi" w:eastAsiaTheme="majorEastAsia" w:hAnsiTheme="majorHAnsi" w:cstheme="majorHAnsi"/>
            <w:noProof/>
          </w:rPr>
          <w:t>Figure 2. Results Chain leading to EOPO 1</w:t>
        </w:r>
        <w:r w:rsidR="002320B3">
          <w:rPr>
            <w:noProof/>
            <w:webHidden/>
          </w:rPr>
          <w:tab/>
        </w:r>
        <w:r w:rsidR="002320B3">
          <w:rPr>
            <w:noProof/>
            <w:webHidden/>
          </w:rPr>
          <w:fldChar w:fldCharType="begin"/>
        </w:r>
        <w:r w:rsidR="002320B3">
          <w:rPr>
            <w:noProof/>
            <w:webHidden/>
          </w:rPr>
          <w:instrText xml:space="preserve"> PAGEREF _Toc71616529 \h </w:instrText>
        </w:r>
        <w:r w:rsidR="002320B3">
          <w:rPr>
            <w:noProof/>
            <w:webHidden/>
          </w:rPr>
        </w:r>
        <w:r w:rsidR="002320B3">
          <w:rPr>
            <w:noProof/>
            <w:webHidden/>
          </w:rPr>
          <w:fldChar w:fldCharType="separate"/>
        </w:r>
        <w:r w:rsidR="00D6133D">
          <w:rPr>
            <w:noProof/>
            <w:webHidden/>
          </w:rPr>
          <w:t>47</w:t>
        </w:r>
        <w:r w:rsidR="002320B3">
          <w:rPr>
            <w:noProof/>
            <w:webHidden/>
          </w:rPr>
          <w:fldChar w:fldCharType="end"/>
        </w:r>
      </w:hyperlink>
    </w:p>
    <w:p w14:paraId="06DDB079" w14:textId="1FFFE1C2"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530" w:history="1">
        <w:r w:rsidR="002320B3" w:rsidRPr="0025310E">
          <w:rPr>
            <w:rStyle w:val="Hyperlink"/>
            <w:rFonts w:asciiTheme="majorHAnsi" w:eastAsiaTheme="majorEastAsia" w:hAnsiTheme="majorHAnsi" w:cstheme="majorHAnsi"/>
            <w:noProof/>
          </w:rPr>
          <w:t>Figure 3. Summary of DID values of Gender Grade Differentials by Grade Level and by Subject</w:t>
        </w:r>
        <w:r w:rsidR="002320B3">
          <w:rPr>
            <w:noProof/>
            <w:webHidden/>
          </w:rPr>
          <w:tab/>
        </w:r>
        <w:r w:rsidR="002320B3">
          <w:rPr>
            <w:noProof/>
            <w:webHidden/>
          </w:rPr>
          <w:fldChar w:fldCharType="begin"/>
        </w:r>
        <w:r w:rsidR="002320B3">
          <w:rPr>
            <w:noProof/>
            <w:webHidden/>
          </w:rPr>
          <w:instrText xml:space="preserve"> PAGEREF _Toc71616530 \h </w:instrText>
        </w:r>
        <w:r w:rsidR="002320B3">
          <w:rPr>
            <w:noProof/>
            <w:webHidden/>
          </w:rPr>
        </w:r>
        <w:r w:rsidR="002320B3">
          <w:rPr>
            <w:noProof/>
            <w:webHidden/>
          </w:rPr>
          <w:fldChar w:fldCharType="separate"/>
        </w:r>
        <w:r w:rsidR="00D6133D">
          <w:rPr>
            <w:noProof/>
            <w:webHidden/>
          </w:rPr>
          <w:t>51</w:t>
        </w:r>
        <w:r w:rsidR="002320B3">
          <w:rPr>
            <w:noProof/>
            <w:webHidden/>
          </w:rPr>
          <w:fldChar w:fldCharType="end"/>
        </w:r>
      </w:hyperlink>
    </w:p>
    <w:p w14:paraId="01C7B5DA" w14:textId="188EAF0D"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531" w:history="1">
        <w:r w:rsidR="002320B3" w:rsidRPr="0025310E">
          <w:rPr>
            <w:rStyle w:val="Hyperlink"/>
            <w:rFonts w:asciiTheme="majorHAnsi" w:eastAsiaTheme="majorEastAsia" w:hAnsiTheme="majorHAnsi" w:cstheme="majorHAnsi"/>
            <w:noProof/>
          </w:rPr>
          <w:t>Figure 4. Snapshot of Phil-IRI test results for Grades 4 students from SY2013-2014 - SY2017-2018</w:t>
        </w:r>
        <w:r w:rsidR="002320B3">
          <w:rPr>
            <w:noProof/>
            <w:webHidden/>
          </w:rPr>
          <w:tab/>
        </w:r>
        <w:r w:rsidR="002320B3">
          <w:rPr>
            <w:noProof/>
            <w:webHidden/>
          </w:rPr>
          <w:fldChar w:fldCharType="begin"/>
        </w:r>
        <w:r w:rsidR="002320B3">
          <w:rPr>
            <w:noProof/>
            <w:webHidden/>
          </w:rPr>
          <w:instrText xml:space="preserve"> PAGEREF _Toc71616531 \h </w:instrText>
        </w:r>
        <w:r w:rsidR="002320B3">
          <w:rPr>
            <w:noProof/>
            <w:webHidden/>
          </w:rPr>
        </w:r>
        <w:r w:rsidR="002320B3">
          <w:rPr>
            <w:noProof/>
            <w:webHidden/>
          </w:rPr>
          <w:fldChar w:fldCharType="separate"/>
        </w:r>
        <w:r w:rsidR="00D6133D">
          <w:rPr>
            <w:noProof/>
            <w:webHidden/>
          </w:rPr>
          <w:t>52</w:t>
        </w:r>
        <w:r w:rsidR="002320B3">
          <w:rPr>
            <w:noProof/>
            <w:webHidden/>
          </w:rPr>
          <w:fldChar w:fldCharType="end"/>
        </w:r>
      </w:hyperlink>
    </w:p>
    <w:p w14:paraId="65981FE5" w14:textId="4E841155"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532" w:history="1">
        <w:r w:rsidR="002320B3" w:rsidRPr="0025310E">
          <w:rPr>
            <w:rStyle w:val="Hyperlink"/>
            <w:rFonts w:asciiTheme="majorHAnsi" w:eastAsiaTheme="majorEastAsia" w:hAnsiTheme="majorHAnsi" w:cstheme="majorHAnsi"/>
            <w:noProof/>
          </w:rPr>
          <w:t xml:space="preserve">Figure 5. Snapshot of </w:t>
        </w:r>
        <w:r w:rsidR="002320B3" w:rsidRPr="0025310E">
          <w:rPr>
            <w:rStyle w:val="Hyperlink"/>
            <w:rFonts w:asciiTheme="majorHAnsi" w:eastAsiaTheme="majorEastAsia" w:hAnsiTheme="majorHAnsi" w:cstheme="majorHAnsi"/>
            <w:bCs/>
            <w:noProof/>
          </w:rPr>
          <w:t>Phil-IRI test results for Grades 5 students</w:t>
        </w:r>
        <w:r w:rsidR="002320B3" w:rsidRPr="0025310E">
          <w:rPr>
            <w:rStyle w:val="Hyperlink"/>
            <w:rFonts w:asciiTheme="majorHAnsi" w:eastAsiaTheme="majorEastAsia" w:hAnsiTheme="majorHAnsi" w:cstheme="majorHAnsi"/>
            <w:noProof/>
          </w:rPr>
          <w:t xml:space="preserve"> from SY2013-2014 - SY2017-2018</w:t>
        </w:r>
        <w:r w:rsidR="002320B3">
          <w:rPr>
            <w:noProof/>
            <w:webHidden/>
          </w:rPr>
          <w:tab/>
        </w:r>
        <w:r w:rsidR="002320B3">
          <w:rPr>
            <w:noProof/>
            <w:webHidden/>
          </w:rPr>
          <w:fldChar w:fldCharType="begin"/>
        </w:r>
        <w:r w:rsidR="002320B3">
          <w:rPr>
            <w:noProof/>
            <w:webHidden/>
          </w:rPr>
          <w:instrText xml:space="preserve"> PAGEREF _Toc71616532 \h </w:instrText>
        </w:r>
        <w:r w:rsidR="002320B3">
          <w:rPr>
            <w:noProof/>
            <w:webHidden/>
          </w:rPr>
        </w:r>
        <w:r w:rsidR="002320B3">
          <w:rPr>
            <w:noProof/>
            <w:webHidden/>
          </w:rPr>
          <w:fldChar w:fldCharType="separate"/>
        </w:r>
        <w:r w:rsidR="00D6133D">
          <w:rPr>
            <w:noProof/>
            <w:webHidden/>
          </w:rPr>
          <w:t>53</w:t>
        </w:r>
        <w:r w:rsidR="002320B3">
          <w:rPr>
            <w:noProof/>
            <w:webHidden/>
          </w:rPr>
          <w:fldChar w:fldCharType="end"/>
        </w:r>
      </w:hyperlink>
    </w:p>
    <w:p w14:paraId="180C7AC6" w14:textId="17DBDA27"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533" w:history="1">
        <w:r w:rsidR="002320B3" w:rsidRPr="0025310E">
          <w:rPr>
            <w:rStyle w:val="Hyperlink"/>
            <w:rFonts w:asciiTheme="majorHAnsi" w:eastAsiaTheme="majorEastAsia" w:hAnsiTheme="majorHAnsi" w:cstheme="majorHAnsi"/>
            <w:noProof/>
          </w:rPr>
          <w:t>Figure 6. Snapshot of Phil-IRI test results for Grades 6 students from SY2013-2014 - SY2017-2018</w:t>
        </w:r>
        <w:r w:rsidR="002320B3">
          <w:rPr>
            <w:noProof/>
            <w:webHidden/>
          </w:rPr>
          <w:tab/>
        </w:r>
        <w:r w:rsidR="002320B3">
          <w:rPr>
            <w:noProof/>
            <w:webHidden/>
          </w:rPr>
          <w:fldChar w:fldCharType="begin"/>
        </w:r>
        <w:r w:rsidR="002320B3">
          <w:rPr>
            <w:noProof/>
            <w:webHidden/>
          </w:rPr>
          <w:instrText xml:space="preserve"> PAGEREF _Toc71616533 \h </w:instrText>
        </w:r>
        <w:r w:rsidR="002320B3">
          <w:rPr>
            <w:noProof/>
            <w:webHidden/>
          </w:rPr>
        </w:r>
        <w:r w:rsidR="002320B3">
          <w:rPr>
            <w:noProof/>
            <w:webHidden/>
          </w:rPr>
          <w:fldChar w:fldCharType="separate"/>
        </w:r>
        <w:r w:rsidR="00D6133D">
          <w:rPr>
            <w:noProof/>
            <w:webHidden/>
          </w:rPr>
          <w:t>54</w:t>
        </w:r>
        <w:r w:rsidR="002320B3">
          <w:rPr>
            <w:noProof/>
            <w:webHidden/>
          </w:rPr>
          <w:fldChar w:fldCharType="end"/>
        </w:r>
      </w:hyperlink>
    </w:p>
    <w:p w14:paraId="31CEBB99" w14:textId="64A6A281"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534" w:history="1">
        <w:r w:rsidR="002320B3" w:rsidRPr="0025310E">
          <w:rPr>
            <w:rStyle w:val="Hyperlink"/>
            <w:rFonts w:asciiTheme="majorHAnsi" w:eastAsiaTheme="majorEastAsia" w:hAnsiTheme="majorHAnsi" w:cstheme="majorHAnsi"/>
            <w:noProof/>
          </w:rPr>
          <w:t>Figure 7.</w:t>
        </w:r>
        <w:r w:rsidR="002320B3" w:rsidRPr="0025310E">
          <w:rPr>
            <w:rStyle w:val="Hyperlink"/>
            <w:rFonts w:eastAsiaTheme="majorEastAsia"/>
            <w:noProof/>
            <w:kern w:val="24"/>
          </w:rPr>
          <w:t xml:space="preserve"> </w:t>
        </w:r>
        <w:r w:rsidR="002320B3" w:rsidRPr="0025310E">
          <w:rPr>
            <w:rStyle w:val="Hyperlink"/>
            <w:rFonts w:asciiTheme="majorHAnsi" w:eastAsiaTheme="majorEastAsia" w:hAnsiTheme="majorHAnsi" w:cstheme="majorHAnsi"/>
            <w:noProof/>
          </w:rPr>
          <w:t>Perceptions of changes in teachers’ competencies in the last 5 years (n=107)</w:t>
        </w:r>
        <w:r w:rsidR="002320B3">
          <w:rPr>
            <w:noProof/>
            <w:webHidden/>
          </w:rPr>
          <w:tab/>
        </w:r>
        <w:r w:rsidR="002320B3">
          <w:rPr>
            <w:noProof/>
            <w:webHidden/>
          </w:rPr>
          <w:fldChar w:fldCharType="begin"/>
        </w:r>
        <w:r w:rsidR="002320B3">
          <w:rPr>
            <w:noProof/>
            <w:webHidden/>
          </w:rPr>
          <w:instrText xml:space="preserve"> PAGEREF _Toc71616534 \h </w:instrText>
        </w:r>
        <w:r w:rsidR="002320B3">
          <w:rPr>
            <w:noProof/>
            <w:webHidden/>
          </w:rPr>
        </w:r>
        <w:r w:rsidR="002320B3">
          <w:rPr>
            <w:noProof/>
            <w:webHidden/>
          </w:rPr>
          <w:fldChar w:fldCharType="separate"/>
        </w:r>
        <w:r w:rsidR="00D6133D">
          <w:rPr>
            <w:noProof/>
            <w:webHidden/>
          </w:rPr>
          <w:t>73</w:t>
        </w:r>
        <w:r w:rsidR="002320B3">
          <w:rPr>
            <w:noProof/>
            <w:webHidden/>
          </w:rPr>
          <w:fldChar w:fldCharType="end"/>
        </w:r>
      </w:hyperlink>
    </w:p>
    <w:p w14:paraId="62FFA2DD" w14:textId="2C90B436"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535" w:history="1">
        <w:r w:rsidR="002320B3" w:rsidRPr="0025310E">
          <w:rPr>
            <w:rStyle w:val="Hyperlink"/>
            <w:rFonts w:asciiTheme="majorHAnsi" w:eastAsiaTheme="majorEastAsia" w:hAnsiTheme="majorHAnsi" w:cstheme="majorHAnsi"/>
            <w:noProof/>
          </w:rPr>
          <w:t>Figure 8.</w:t>
        </w:r>
        <w:r w:rsidR="002320B3" w:rsidRPr="0025310E">
          <w:rPr>
            <w:rStyle w:val="Hyperlink"/>
            <w:rFonts w:eastAsiaTheme="majorEastAsia"/>
            <w:noProof/>
            <w:kern w:val="24"/>
          </w:rPr>
          <w:t xml:space="preserve"> </w:t>
        </w:r>
        <w:r w:rsidR="002320B3" w:rsidRPr="0025310E">
          <w:rPr>
            <w:rStyle w:val="Hyperlink"/>
            <w:rFonts w:asciiTheme="majorHAnsi" w:eastAsiaTheme="majorEastAsia" w:hAnsiTheme="majorHAnsi" w:cstheme="majorHAnsi"/>
            <w:noProof/>
          </w:rPr>
          <w:t>Perceptions of changes in teachers’ competencies in the last 5 years (n=61)</w:t>
        </w:r>
        <w:r w:rsidR="002320B3">
          <w:rPr>
            <w:noProof/>
            <w:webHidden/>
          </w:rPr>
          <w:tab/>
        </w:r>
        <w:r w:rsidR="002320B3">
          <w:rPr>
            <w:noProof/>
            <w:webHidden/>
          </w:rPr>
          <w:fldChar w:fldCharType="begin"/>
        </w:r>
        <w:r w:rsidR="002320B3">
          <w:rPr>
            <w:noProof/>
            <w:webHidden/>
          </w:rPr>
          <w:instrText xml:space="preserve"> PAGEREF _Toc71616535 \h </w:instrText>
        </w:r>
        <w:r w:rsidR="002320B3">
          <w:rPr>
            <w:noProof/>
            <w:webHidden/>
          </w:rPr>
        </w:r>
        <w:r w:rsidR="002320B3">
          <w:rPr>
            <w:noProof/>
            <w:webHidden/>
          </w:rPr>
          <w:fldChar w:fldCharType="separate"/>
        </w:r>
        <w:r w:rsidR="00D6133D">
          <w:rPr>
            <w:noProof/>
            <w:webHidden/>
          </w:rPr>
          <w:t>74</w:t>
        </w:r>
        <w:r w:rsidR="002320B3">
          <w:rPr>
            <w:noProof/>
            <w:webHidden/>
          </w:rPr>
          <w:fldChar w:fldCharType="end"/>
        </w:r>
      </w:hyperlink>
    </w:p>
    <w:p w14:paraId="0417E0AA" w14:textId="2ABF49A9"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536" w:history="1">
        <w:r w:rsidR="002320B3" w:rsidRPr="0025310E">
          <w:rPr>
            <w:rStyle w:val="Hyperlink"/>
            <w:rFonts w:asciiTheme="majorHAnsi" w:eastAsiaTheme="majorEastAsia" w:hAnsiTheme="majorHAnsi" w:cstheme="majorHAnsi"/>
            <w:noProof/>
          </w:rPr>
          <w:t>Figure 9. Changes in Competencies of Principals (n=39)</w:t>
        </w:r>
        <w:r w:rsidR="002320B3">
          <w:rPr>
            <w:noProof/>
            <w:webHidden/>
          </w:rPr>
          <w:tab/>
        </w:r>
        <w:r w:rsidR="002320B3">
          <w:rPr>
            <w:noProof/>
            <w:webHidden/>
          </w:rPr>
          <w:fldChar w:fldCharType="begin"/>
        </w:r>
        <w:r w:rsidR="002320B3">
          <w:rPr>
            <w:noProof/>
            <w:webHidden/>
          </w:rPr>
          <w:instrText xml:space="preserve"> PAGEREF _Toc71616536 \h </w:instrText>
        </w:r>
        <w:r w:rsidR="002320B3">
          <w:rPr>
            <w:noProof/>
            <w:webHidden/>
          </w:rPr>
        </w:r>
        <w:r w:rsidR="002320B3">
          <w:rPr>
            <w:noProof/>
            <w:webHidden/>
          </w:rPr>
          <w:fldChar w:fldCharType="separate"/>
        </w:r>
        <w:r w:rsidR="00D6133D">
          <w:rPr>
            <w:noProof/>
            <w:webHidden/>
          </w:rPr>
          <w:t>84</w:t>
        </w:r>
        <w:r w:rsidR="002320B3">
          <w:rPr>
            <w:noProof/>
            <w:webHidden/>
          </w:rPr>
          <w:fldChar w:fldCharType="end"/>
        </w:r>
      </w:hyperlink>
    </w:p>
    <w:p w14:paraId="23128E36" w14:textId="62D4382C"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537" w:history="1">
        <w:r w:rsidR="002320B3" w:rsidRPr="0025310E">
          <w:rPr>
            <w:rStyle w:val="Hyperlink"/>
            <w:rFonts w:asciiTheme="majorHAnsi" w:eastAsiaTheme="majorEastAsia" w:hAnsiTheme="majorHAnsi" w:cstheme="majorHAnsi"/>
            <w:noProof/>
          </w:rPr>
          <w:t>Figure 10. Changes in Competencies of Principals (Follow-Up Study, n=11)</w:t>
        </w:r>
        <w:r w:rsidR="002320B3">
          <w:rPr>
            <w:noProof/>
            <w:webHidden/>
          </w:rPr>
          <w:tab/>
        </w:r>
        <w:r w:rsidR="002320B3">
          <w:rPr>
            <w:noProof/>
            <w:webHidden/>
          </w:rPr>
          <w:fldChar w:fldCharType="begin"/>
        </w:r>
        <w:r w:rsidR="002320B3">
          <w:rPr>
            <w:noProof/>
            <w:webHidden/>
          </w:rPr>
          <w:instrText xml:space="preserve"> PAGEREF _Toc71616537 \h </w:instrText>
        </w:r>
        <w:r w:rsidR="002320B3">
          <w:rPr>
            <w:noProof/>
            <w:webHidden/>
          </w:rPr>
        </w:r>
        <w:r w:rsidR="002320B3">
          <w:rPr>
            <w:noProof/>
            <w:webHidden/>
          </w:rPr>
          <w:fldChar w:fldCharType="separate"/>
        </w:r>
        <w:r w:rsidR="00D6133D">
          <w:rPr>
            <w:noProof/>
            <w:webHidden/>
          </w:rPr>
          <w:t>85</w:t>
        </w:r>
        <w:r w:rsidR="002320B3">
          <w:rPr>
            <w:noProof/>
            <w:webHidden/>
          </w:rPr>
          <w:fldChar w:fldCharType="end"/>
        </w:r>
      </w:hyperlink>
    </w:p>
    <w:p w14:paraId="19E666CA" w14:textId="673BB8CC"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538" w:history="1">
        <w:r w:rsidR="002320B3" w:rsidRPr="0025310E">
          <w:rPr>
            <w:rStyle w:val="Hyperlink"/>
            <w:rFonts w:asciiTheme="majorHAnsi" w:eastAsiaTheme="majorEastAsia" w:hAnsiTheme="majorHAnsi" w:cstheme="majorHAnsi"/>
            <w:noProof/>
          </w:rPr>
          <w:t>Figure 11. Results Chain for EOPO 2</w:t>
        </w:r>
        <w:r w:rsidR="002320B3">
          <w:rPr>
            <w:noProof/>
            <w:webHidden/>
          </w:rPr>
          <w:tab/>
        </w:r>
        <w:r w:rsidR="002320B3">
          <w:rPr>
            <w:noProof/>
            <w:webHidden/>
          </w:rPr>
          <w:fldChar w:fldCharType="begin"/>
        </w:r>
        <w:r w:rsidR="002320B3">
          <w:rPr>
            <w:noProof/>
            <w:webHidden/>
          </w:rPr>
          <w:instrText xml:space="preserve"> PAGEREF _Toc71616538 \h </w:instrText>
        </w:r>
        <w:r w:rsidR="002320B3">
          <w:rPr>
            <w:noProof/>
            <w:webHidden/>
          </w:rPr>
        </w:r>
        <w:r w:rsidR="002320B3">
          <w:rPr>
            <w:noProof/>
            <w:webHidden/>
          </w:rPr>
          <w:fldChar w:fldCharType="separate"/>
        </w:r>
        <w:r w:rsidR="00D6133D">
          <w:rPr>
            <w:noProof/>
            <w:webHidden/>
          </w:rPr>
          <w:t>96</w:t>
        </w:r>
        <w:r w:rsidR="002320B3">
          <w:rPr>
            <w:noProof/>
            <w:webHidden/>
          </w:rPr>
          <w:fldChar w:fldCharType="end"/>
        </w:r>
      </w:hyperlink>
    </w:p>
    <w:p w14:paraId="37021D90" w14:textId="5CB0BA9E"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539" w:history="1">
        <w:r w:rsidR="002320B3" w:rsidRPr="0025310E">
          <w:rPr>
            <w:rStyle w:val="Hyperlink"/>
            <w:rFonts w:asciiTheme="majorHAnsi" w:eastAsiaTheme="majorEastAsia" w:hAnsiTheme="majorHAnsi" w:cstheme="majorHAnsi"/>
            <w:noProof/>
          </w:rPr>
          <w:t>Figure 12. Elementary school leaver rates, SY2013 –2014 to SY2017 – 2018</w:t>
        </w:r>
        <w:r w:rsidR="002320B3">
          <w:rPr>
            <w:noProof/>
            <w:webHidden/>
          </w:rPr>
          <w:tab/>
        </w:r>
        <w:r w:rsidR="002320B3">
          <w:rPr>
            <w:noProof/>
            <w:webHidden/>
          </w:rPr>
          <w:fldChar w:fldCharType="begin"/>
        </w:r>
        <w:r w:rsidR="002320B3">
          <w:rPr>
            <w:noProof/>
            <w:webHidden/>
          </w:rPr>
          <w:instrText xml:space="preserve"> PAGEREF _Toc71616539 \h </w:instrText>
        </w:r>
        <w:r w:rsidR="002320B3">
          <w:rPr>
            <w:noProof/>
            <w:webHidden/>
          </w:rPr>
        </w:r>
        <w:r w:rsidR="002320B3">
          <w:rPr>
            <w:noProof/>
            <w:webHidden/>
          </w:rPr>
          <w:fldChar w:fldCharType="separate"/>
        </w:r>
        <w:r w:rsidR="00D6133D">
          <w:rPr>
            <w:noProof/>
            <w:webHidden/>
          </w:rPr>
          <w:t>101</w:t>
        </w:r>
        <w:r w:rsidR="002320B3">
          <w:rPr>
            <w:noProof/>
            <w:webHidden/>
          </w:rPr>
          <w:fldChar w:fldCharType="end"/>
        </w:r>
      </w:hyperlink>
    </w:p>
    <w:p w14:paraId="6734F068" w14:textId="6BFCEDDC"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540" w:history="1">
        <w:r w:rsidR="002320B3" w:rsidRPr="0025310E">
          <w:rPr>
            <w:rStyle w:val="Hyperlink"/>
            <w:rFonts w:asciiTheme="majorHAnsi" w:eastAsiaTheme="majorEastAsia" w:hAnsiTheme="majorHAnsi" w:cstheme="majorHAnsi"/>
            <w:noProof/>
          </w:rPr>
          <w:t>Figure 13. Perspectives of Principals and Teachers on GEDSI-related Policies</w:t>
        </w:r>
        <w:r w:rsidR="002320B3">
          <w:rPr>
            <w:noProof/>
            <w:webHidden/>
          </w:rPr>
          <w:tab/>
        </w:r>
        <w:r w:rsidR="002320B3">
          <w:rPr>
            <w:noProof/>
            <w:webHidden/>
          </w:rPr>
          <w:fldChar w:fldCharType="begin"/>
        </w:r>
        <w:r w:rsidR="002320B3">
          <w:rPr>
            <w:noProof/>
            <w:webHidden/>
          </w:rPr>
          <w:instrText xml:space="preserve"> PAGEREF _Toc71616540 \h </w:instrText>
        </w:r>
        <w:r w:rsidR="002320B3">
          <w:rPr>
            <w:noProof/>
            <w:webHidden/>
          </w:rPr>
        </w:r>
        <w:r w:rsidR="002320B3">
          <w:rPr>
            <w:noProof/>
            <w:webHidden/>
          </w:rPr>
          <w:fldChar w:fldCharType="separate"/>
        </w:r>
        <w:r w:rsidR="00D6133D">
          <w:rPr>
            <w:noProof/>
            <w:webHidden/>
          </w:rPr>
          <w:t>110</w:t>
        </w:r>
        <w:r w:rsidR="002320B3">
          <w:rPr>
            <w:noProof/>
            <w:webHidden/>
          </w:rPr>
          <w:fldChar w:fldCharType="end"/>
        </w:r>
      </w:hyperlink>
    </w:p>
    <w:p w14:paraId="74F7B07A" w14:textId="24B6A637"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541" w:history="1">
        <w:r w:rsidR="002320B3" w:rsidRPr="0025310E">
          <w:rPr>
            <w:rStyle w:val="Hyperlink"/>
            <w:rFonts w:asciiTheme="majorHAnsi" w:eastAsiaTheme="majorEastAsia" w:hAnsiTheme="majorHAnsi" w:cstheme="majorHAnsi"/>
            <w:noProof/>
          </w:rPr>
          <w:t>Figure 14.</w:t>
        </w:r>
        <w:r w:rsidR="002320B3" w:rsidRPr="0025310E">
          <w:rPr>
            <w:rStyle w:val="Hyperlink"/>
            <w:rFonts w:asciiTheme="majorHAnsi" w:eastAsiaTheme="majorEastAsia" w:hAnsiTheme="majorHAnsi" w:cstheme="majorHAnsi"/>
            <w:noProof/>
            <w:kern w:val="24"/>
          </w:rPr>
          <w:t xml:space="preserve"> </w:t>
        </w:r>
        <w:r w:rsidR="002320B3" w:rsidRPr="0025310E">
          <w:rPr>
            <w:rStyle w:val="Hyperlink"/>
            <w:rFonts w:asciiTheme="majorHAnsi" w:eastAsiaTheme="majorEastAsia" w:hAnsiTheme="majorHAnsi" w:cstheme="majorHAnsi"/>
            <w:noProof/>
          </w:rPr>
          <w:t>Results Chain of EOPO 3</w:t>
        </w:r>
        <w:r w:rsidR="002320B3">
          <w:rPr>
            <w:noProof/>
            <w:webHidden/>
          </w:rPr>
          <w:tab/>
        </w:r>
        <w:r w:rsidR="002320B3">
          <w:rPr>
            <w:noProof/>
            <w:webHidden/>
          </w:rPr>
          <w:fldChar w:fldCharType="begin"/>
        </w:r>
        <w:r w:rsidR="002320B3">
          <w:rPr>
            <w:noProof/>
            <w:webHidden/>
          </w:rPr>
          <w:instrText xml:space="preserve"> PAGEREF _Toc71616541 \h </w:instrText>
        </w:r>
        <w:r w:rsidR="002320B3">
          <w:rPr>
            <w:noProof/>
            <w:webHidden/>
          </w:rPr>
        </w:r>
        <w:r w:rsidR="002320B3">
          <w:rPr>
            <w:noProof/>
            <w:webHidden/>
          </w:rPr>
          <w:fldChar w:fldCharType="separate"/>
        </w:r>
        <w:r w:rsidR="00D6133D">
          <w:rPr>
            <w:noProof/>
            <w:webHidden/>
          </w:rPr>
          <w:t>112</w:t>
        </w:r>
        <w:r w:rsidR="002320B3">
          <w:rPr>
            <w:noProof/>
            <w:webHidden/>
          </w:rPr>
          <w:fldChar w:fldCharType="end"/>
        </w:r>
      </w:hyperlink>
    </w:p>
    <w:p w14:paraId="5D3A2B55" w14:textId="1841A5F5"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542" w:history="1">
        <w:r w:rsidR="002320B3" w:rsidRPr="0025310E">
          <w:rPr>
            <w:rStyle w:val="Hyperlink"/>
            <w:rFonts w:asciiTheme="majorHAnsi" w:eastAsiaTheme="majorEastAsia" w:hAnsiTheme="majorHAnsi" w:cstheme="majorHAnsi"/>
            <w:noProof/>
          </w:rPr>
          <w:t>Figure 15. Capacity Building Programs under PPMES Category</w:t>
        </w:r>
        <w:r w:rsidR="002320B3">
          <w:rPr>
            <w:noProof/>
            <w:webHidden/>
          </w:rPr>
          <w:tab/>
        </w:r>
        <w:r w:rsidR="002320B3">
          <w:rPr>
            <w:noProof/>
            <w:webHidden/>
          </w:rPr>
          <w:fldChar w:fldCharType="begin"/>
        </w:r>
        <w:r w:rsidR="002320B3">
          <w:rPr>
            <w:noProof/>
            <w:webHidden/>
          </w:rPr>
          <w:instrText xml:space="preserve"> PAGEREF _Toc71616542 \h </w:instrText>
        </w:r>
        <w:r w:rsidR="002320B3">
          <w:rPr>
            <w:noProof/>
            <w:webHidden/>
          </w:rPr>
        </w:r>
        <w:r w:rsidR="002320B3">
          <w:rPr>
            <w:noProof/>
            <w:webHidden/>
          </w:rPr>
          <w:fldChar w:fldCharType="separate"/>
        </w:r>
        <w:r w:rsidR="00D6133D">
          <w:rPr>
            <w:noProof/>
            <w:webHidden/>
          </w:rPr>
          <w:t>116</w:t>
        </w:r>
        <w:r w:rsidR="002320B3">
          <w:rPr>
            <w:noProof/>
            <w:webHidden/>
          </w:rPr>
          <w:fldChar w:fldCharType="end"/>
        </w:r>
      </w:hyperlink>
    </w:p>
    <w:p w14:paraId="1B9D5531" w14:textId="6FD9A777"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543" w:history="1">
        <w:r w:rsidR="002320B3" w:rsidRPr="0025310E">
          <w:rPr>
            <w:rStyle w:val="Hyperlink"/>
            <w:rFonts w:asciiTheme="majorHAnsi" w:eastAsiaTheme="majorEastAsia" w:hAnsiTheme="majorHAnsi" w:cstheme="majorHAnsi"/>
            <w:noProof/>
          </w:rPr>
          <w:t>Figure 16. Schools that uploaded data in EBEIS, in BEST and Non-BEST supported regions, 2015-2017</w:t>
        </w:r>
        <w:r w:rsidR="002320B3">
          <w:rPr>
            <w:noProof/>
            <w:webHidden/>
          </w:rPr>
          <w:tab/>
        </w:r>
        <w:r w:rsidR="002320B3">
          <w:rPr>
            <w:noProof/>
            <w:webHidden/>
          </w:rPr>
          <w:fldChar w:fldCharType="begin"/>
        </w:r>
        <w:r w:rsidR="002320B3">
          <w:rPr>
            <w:noProof/>
            <w:webHidden/>
          </w:rPr>
          <w:instrText xml:space="preserve"> PAGEREF _Toc71616543 \h </w:instrText>
        </w:r>
        <w:r w:rsidR="002320B3">
          <w:rPr>
            <w:noProof/>
            <w:webHidden/>
          </w:rPr>
        </w:r>
        <w:r w:rsidR="002320B3">
          <w:rPr>
            <w:noProof/>
            <w:webHidden/>
          </w:rPr>
          <w:fldChar w:fldCharType="separate"/>
        </w:r>
        <w:r w:rsidR="00D6133D">
          <w:rPr>
            <w:noProof/>
            <w:webHidden/>
          </w:rPr>
          <w:t>129</w:t>
        </w:r>
        <w:r w:rsidR="002320B3">
          <w:rPr>
            <w:noProof/>
            <w:webHidden/>
          </w:rPr>
          <w:fldChar w:fldCharType="end"/>
        </w:r>
      </w:hyperlink>
    </w:p>
    <w:p w14:paraId="7DD9EF32" w14:textId="20DF3986"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544" w:history="1">
        <w:r w:rsidR="002320B3" w:rsidRPr="0025310E">
          <w:rPr>
            <w:rStyle w:val="Hyperlink"/>
            <w:rFonts w:asciiTheme="majorHAnsi" w:eastAsiaTheme="majorEastAsia" w:hAnsiTheme="majorHAnsi" w:cstheme="majorHAnsi"/>
            <w:noProof/>
          </w:rPr>
          <w:t>Figure 17. Schools using EBEIS by BEST Regions, 2015-2017</w:t>
        </w:r>
        <w:r w:rsidR="002320B3">
          <w:rPr>
            <w:noProof/>
            <w:webHidden/>
          </w:rPr>
          <w:tab/>
        </w:r>
        <w:r w:rsidR="002320B3">
          <w:rPr>
            <w:noProof/>
            <w:webHidden/>
          </w:rPr>
          <w:fldChar w:fldCharType="begin"/>
        </w:r>
        <w:r w:rsidR="002320B3">
          <w:rPr>
            <w:noProof/>
            <w:webHidden/>
          </w:rPr>
          <w:instrText xml:space="preserve"> PAGEREF _Toc71616544 \h </w:instrText>
        </w:r>
        <w:r w:rsidR="002320B3">
          <w:rPr>
            <w:noProof/>
            <w:webHidden/>
          </w:rPr>
        </w:r>
        <w:r w:rsidR="002320B3">
          <w:rPr>
            <w:noProof/>
            <w:webHidden/>
          </w:rPr>
          <w:fldChar w:fldCharType="separate"/>
        </w:r>
        <w:r w:rsidR="00D6133D">
          <w:rPr>
            <w:noProof/>
            <w:webHidden/>
          </w:rPr>
          <w:t>129</w:t>
        </w:r>
        <w:r w:rsidR="002320B3">
          <w:rPr>
            <w:noProof/>
            <w:webHidden/>
          </w:rPr>
          <w:fldChar w:fldCharType="end"/>
        </w:r>
      </w:hyperlink>
    </w:p>
    <w:p w14:paraId="2CBA4C6C" w14:textId="794BBEF2"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545" w:history="1">
        <w:r w:rsidR="002320B3" w:rsidRPr="0025310E">
          <w:rPr>
            <w:rStyle w:val="Hyperlink"/>
            <w:rFonts w:asciiTheme="majorHAnsi" w:eastAsiaTheme="majorEastAsia" w:hAnsiTheme="majorHAnsi" w:cstheme="majorHAnsi"/>
            <w:noProof/>
          </w:rPr>
          <w:t>Figure 18. EBEIS Users, Private and Public Schools, 2015-2017</w:t>
        </w:r>
        <w:r w:rsidR="002320B3">
          <w:rPr>
            <w:noProof/>
            <w:webHidden/>
          </w:rPr>
          <w:tab/>
        </w:r>
        <w:r w:rsidR="002320B3">
          <w:rPr>
            <w:noProof/>
            <w:webHidden/>
          </w:rPr>
          <w:fldChar w:fldCharType="begin"/>
        </w:r>
        <w:r w:rsidR="002320B3">
          <w:rPr>
            <w:noProof/>
            <w:webHidden/>
          </w:rPr>
          <w:instrText xml:space="preserve"> PAGEREF _Toc71616545 \h </w:instrText>
        </w:r>
        <w:r w:rsidR="002320B3">
          <w:rPr>
            <w:noProof/>
            <w:webHidden/>
          </w:rPr>
        </w:r>
        <w:r w:rsidR="002320B3">
          <w:rPr>
            <w:noProof/>
            <w:webHidden/>
          </w:rPr>
          <w:fldChar w:fldCharType="separate"/>
        </w:r>
        <w:r w:rsidR="00D6133D">
          <w:rPr>
            <w:noProof/>
            <w:webHidden/>
          </w:rPr>
          <w:t>130</w:t>
        </w:r>
        <w:r w:rsidR="002320B3">
          <w:rPr>
            <w:noProof/>
            <w:webHidden/>
          </w:rPr>
          <w:fldChar w:fldCharType="end"/>
        </w:r>
      </w:hyperlink>
    </w:p>
    <w:p w14:paraId="02129D6F" w14:textId="36D8868B"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546" w:history="1">
        <w:r w:rsidR="002320B3" w:rsidRPr="0025310E">
          <w:rPr>
            <w:rStyle w:val="Hyperlink"/>
            <w:rFonts w:asciiTheme="majorHAnsi" w:eastAsiaTheme="majorEastAsia" w:hAnsiTheme="majorHAnsi" w:cstheme="majorHAnsi"/>
            <w:noProof/>
          </w:rPr>
          <w:t>Figure 19. LR Portal Users by Type of Users, 2016-2019</w:t>
        </w:r>
        <w:r w:rsidR="002320B3">
          <w:rPr>
            <w:noProof/>
            <w:webHidden/>
          </w:rPr>
          <w:tab/>
        </w:r>
        <w:r w:rsidR="002320B3">
          <w:rPr>
            <w:noProof/>
            <w:webHidden/>
          </w:rPr>
          <w:fldChar w:fldCharType="begin"/>
        </w:r>
        <w:r w:rsidR="002320B3">
          <w:rPr>
            <w:noProof/>
            <w:webHidden/>
          </w:rPr>
          <w:instrText xml:space="preserve"> PAGEREF _Toc71616546 \h </w:instrText>
        </w:r>
        <w:r w:rsidR="002320B3">
          <w:rPr>
            <w:noProof/>
            <w:webHidden/>
          </w:rPr>
        </w:r>
        <w:r w:rsidR="002320B3">
          <w:rPr>
            <w:noProof/>
            <w:webHidden/>
          </w:rPr>
          <w:fldChar w:fldCharType="separate"/>
        </w:r>
        <w:r w:rsidR="00D6133D">
          <w:rPr>
            <w:noProof/>
            <w:webHidden/>
          </w:rPr>
          <w:t>132</w:t>
        </w:r>
        <w:r w:rsidR="002320B3">
          <w:rPr>
            <w:noProof/>
            <w:webHidden/>
          </w:rPr>
          <w:fldChar w:fldCharType="end"/>
        </w:r>
      </w:hyperlink>
    </w:p>
    <w:p w14:paraId="1F2E68C5" w14:textId="5B16410B"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547" w:history="1">
        <w:r w:rsidR="002320B3" w:rsidRPr="0025310E">
          <w:rPr>
            <w:rStyle w:val="Hyperlink"/>
            <w:rFonts w:asciiTheme="majorHAnsi" w:eastAsiaTheme="majorEastAsia" w:hAnsiTheme="majorHAnsi" w:cstheme="majorHAnsi"/>
            <w:noProof/>
          </w:rPr>
          <w:t>Figure 20. Capacity Building Activities under BEST Program, 2015-2018</w:t>
        </w:r>
        <w:r w:rsidR="002320B3">
          <w:rPr>
            <w:noProof/>
            <w:webHidden/>
          </w:rPr>
          <w:tab/>
        </w:r>
        <w:r w:rsidR="002320B3">
          <w:rPr>
            <w:noProof/>
            <w:webHidden/>
          </w:rPr>
          <w:fldChar w:fldCharType="begin"/>
        </w:r>
        <w:r w:rsidR="002320B3">
          <w:rPr>
            <w:noProof/>
            <w:webHidden/>
          </w:rPr>
          <w:instrText xml:space="preserve"> PAGEREF _Toc71616547 \h </w:instrText>
        </w:r>
        <w:r w:rsidR="002320B3">
          <w:rPr>
            <w:noProof/>
            <w:webHidden/>
          </w:rPr>
        </w:r>
        <w:r w:rsidR="002320B3">
          <w:rPr>
            <w:noProof/>
            <w:webHidden/>
          </w:rPr>
          <w:fldChar w:fldCharType="separate"/>
        </w:r>
        <w:r w:rsidR="00D6133D">
          <w:rPr>
            <w:noProof/>
            <w:webHidden/>
          </w:rPr>
          <w:t>163</w:t>
        </w:r>
        <w:r w:rsidR="002320B3">
          <w:rPr>
            <w:noProof/>
            <w:webHidden/>
          </w:rPr>
          <w:fldChar w:fldCharType="end"/>
        </w:r>
      </w:hyperlink>
    </w:p>
    <w:p w14:paraId="5275FEF2" w14:textId="084DE915"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548" w:history="1">
        <w:r w:rsidR="002320B3" w:rsidRPr="0025310E">
          <w:rPr>
            <w:rStyle w:val="Hyperlink"/>
            <w:rFonts w:asciiTheme="majorHAnsi" w:eastAsiaTheme="majorEastAsia" w:hAnsiTheme="majorHAnsi" w:cstheme="majorHAnsi"/>
            <w:noProof/>
          </w:rPr>
          <w:t>Figure 21. BEST Program Capacity Building Activities by Regional Participants</w:t>
        </w:r>
        <w:r w:rsidR="002320B3">
          <w:rPr>
            <w:noProof/>
            <w:webHidden/>
          </w:rPr>
          <w:tab/>
        </w:r>
        <w:r w:rsidR="002320B3">
          <w:rPr>
            <w:noProof/>
            <w:webHidden/>
          </w:rPr>
          <w:fldChar w:fldCharType="begin"/>
        </w:r>
        <w:r w:rsidR="002320B3">
          <w:rPr>
            <w:noProof/>
            <w:webHidden/>
          </w:rPr>
          <w:instrText xml:space="preserve"> PAGEREF _Toc71616548 \h </w:instrText>
        </w:r>
        <w:r w:rsidR="002320B3">
          <w:rPr>
            <w:noProof/>
            <w:webHidden/>
          </w:rPr>
        </w:r>
        <w:r w:rsidR="002320B3">
          <w:rPr>
            <w:noProof/>
            <w:webHidden/>
          </w:rPr>
          <w:fldChar w:fldCharType="separate"/>
        </w:r>
        <w:r w:rsidR="00D6133D">
          <w:rPr>
            <w:noProof/>
            <w:webHidden/>
          </w:rPr>
          <w:t>164</w:t>
        </w:r>
        <w:r w:rsidR="002320B3">
          <w:rPr>
            <w:noProof/>
            <w:webHidden/>
          </w:rPr>
          <w:fldChar w:fldCharType="end"/>
        </w:r>
      </w:hyperlink>
    </w:p>
    <w:p w14:paraId="13C26F4C" w14:textId="29A73596"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549" w:history="1">
        <w:r w:rsidR="002320B3" w:rsidRPr="0025310E">
          <w:rPr>
            <w:rStyle w:val="Hyperlink"/>
            <w:rFonts w:asciiTheme="majorHAnsi" w:eastAsiaTheme="majorEastAsia" w:hAnsiTheme="majorHAnsi" w:cstheme="majorHAnsi"/>
            <w:noProof/>
          </w:rPr>
          <w:t>Figure 22. BEST Program Capacity Building Activities by Program Intervention</w:t>
        </w:r>
        <w:r w:rsidR="002320B3">
          <w:rPr>
            <w:noProof/>
            <w:webHidden/>
          </w:rPr>
          <w:tab/>
        </w:r>
        <w:r w:rsidR="002320B3">
          <w:rPr>
            <w:noProof/>
            <w:webHidden/>
          </w:rPr>
          <w:fldChar w:fldCharType="begin"/>
        </w:r>
        <w:r w:rsidR="002320B3">
          <w:rPr>
            <w:noProof/>
            <w:webHidden/>
          </w:rPr>
          <w:instrText xml:space="preserve"> PAGEREF _Toc71616549 \h </w:instrText>
        </w:r>
        <w:r w:rsidR="002320B3">
          <w:rPr>
            <w:noProof/>
            <w:webHidden/>
          </w:rPr>
        </w:r>
        <w:r w:rsidR="002320B3">
          <w:rPr>
            <w:noProof/>
            <w:webHidden/>
          </w:rPr>
          <w:fldChar w:fldCharType="separate"/>
        </w:r>
        <w:r w:rsidR="00D6133D">
          <w:rPr>
            <w:noProof/>
            <w:webHidden/>
          </w:rPr>
          <w:t>164</w:t>
        </w:r>
        <w:r w:rsidR="002320B3">
          <w:rPr>
            <w:noProof/>
            <w:webHidden/>
          </w:rPr>
          <w:fldChar w:fldCharType="end"/>
        </w:r>
      </w:hyperlink>
    </w:p>
    <w:p w14:paraId="253460DF" w14:textId="66F8EDBD"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550" w:history="1">
        <w:r w:rsidR="002320B3" w:rsidRPr="0025310E">
          <w:rPr>
            <w:rStyle w:val="Hyperlink"/>
            <w:rFonts w:asciiTheme="majorHAnsi" w:eastAsiaTheme="majorEastAsia" w:hAnsiTheme="majorHAnsi" w:cstheme="majorHAnsi"/>
            <w:bCs/>
            <w:noProof/>
            <w:lang w:val="en-US"/>
          </w:rPr>
          <w:t>Figure 23. Context, Input, Process, and Product (CIPP) Evaluation Model applied to BEST Program</w:t>
        </w:r>
        <w:r w:rsidR="002320B3">
          <w:rPr>
            <w:noProof/>
            <w:webHidden/>
          </w:rPr>
          <w:tab/>
        </w:r>
        <w:r w:rsidR="002320B3">
          <w:rPr>
            <w:noProof/>
            <w:webHidden/>
          </w:rPr>
          <w:fldChar w:fldCharType="begin"/>
        </w:r>
        <w:r w:rsidR="002320B3">
          <w:rPr>
            <w:noProof/>
            <w:webHidden/>
          </w:rPr>
          <w:instrText xml:space="preserve"> PAGEREF _Toc71616550 \h </w:instrText>
        </w:r>
        <w:r w:rsidR="002320B3">
          <w:rPr>
            <w:noProof/>
            <w:webHidden/>
          </w:rPr>
        </w:r>
        <w:r w:rsidR="002320B3">
          <w:rPr>
            <w:noProof/>
            <w:webHidden/>
          </w:rPr>
          <w:fldChar w:fldCharType="separate"/>
        </w:r>
        <w:r w:rsidR="00D6133D">
          <w:rPr>
            <w:noProof/>
            <w:webHidden/>
          </w:rPr>
          <w:t>227</w:t>
        </w:r>
        <w:r w:rsidR="002320B3">
          <w:rPr>
            <w:noProof/>
            <w:webHidden/>
          </w:rPr>
          <w:fldChar w:fldCharType="end"/>
        </w:r>
      </w:hyperlink>
    </w:p>
    <w:p w14:paraId="65750F92" w14:textId="0BD0F11A"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551" w:history="1">
        <w:r w:rsidR="002320B3" w:rsidRPr="0025310E">
          <w:rPr>
            <w:rStyle w:val="Hyperlink"/>
            <w:rFonts w:asciiTheme="majorHAnsi" w:eastAsiaTheme="majorEastAsia" w:hAnsiTheme="majorHAnsi" w:cstheme="majorHAnsi"/>
            <w:bCs/>
            <w:noProof/>
            <w:lang w:val="en-US"/>
          </w:rPr>
          <w:t>Figure 24. Survey Respondents by Age</w:t>
        </w:r>
        <w:r w:rsidR="002320B3">
          <w:rPr>
            <w:noProof/>
            <w:webHidden/>
          </w:rPr>
          <w:tab/>
        </w:r>
        <w:r w:rsidR="002320B3">
          <w:rPr>
            <w:noProof/>
            <w:webHidden/>
          </w:rPr>
          <w:fldChar w:fldCharType="begin"/>
        </w:r>
        <w:r w:rsidR="002320B3">
          <w:rPr>
            <w:noProof/>
            <w:webHidden/>
          </w:rPr>
          <w:instrText xml:space="preserve"> PAGEREF _Toc71616551 \h </w:instrText>
        </w:r>
        <w:r w:rsidR="002320B3">
          <w:rPr>
            <w:noProof/>
            <w:webHidden/>
          </w:rPr>
        </w:r>
        <w:r w:rsidR="002320B3">
          <w:rPr>
            <w:noProof/>
            <w:webHidden/>
          </w:rPr>
          <w:fldChar w:fldCharType="separate"/>
        </w:r>
        <w:r w:rsidR="00D6133D">
          <w:rPr>
            <w:noProof/>
            <w:webHidden/>
          </w:rPr>
          <w:t>245</w:t>
        </w:r>
        <w:r w:rsidR="002320B3">
          <w:rPr>
            <w:noProof/>
            <w:webHidden/>
          </w:rPr>
          <w:fldChar w:fldCharType="end"/>
        </w:r>
      </w:hyperlink>
    </w:p>
    <w:p w14:paraId="56E33598" w14:textId="40C70921"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552" w:history="1">
        <w:r w:rsidR="002320B3" w:rsidRPr="0025310E">
          <w:rPr>
            <w:rStyle w:val="Hyperlink"/>
            <w:rFonts w:asciiTheme="majorHAnsi" w:eastAsiaTheme="majorEastAsia" w:hAnsiTheme="majorHAnsi" w:cstheme="majorHAnsi"/>
            <w:bCs/>
            <w:noProof/>
            <w:lang w:val="en-US"/>
          </w:rPr>
          <w:t>Figure 25. Survey Respondents by Highest Educational Attainment</w:t>
        </w:r>
        <w:r w:rsidR="002320B3">
          <w:rPr>
            <w:noProof/>
            <w:webHidden/>
          </w:rPr>
          <w:tab/>
        </w:r>
        <w:r w:rsidR="002320B3">
          <w:rPr>
            <w:noProof/>
            <w:webHidden/>
          </w:rPr>
          <w:fldChar w:fldCharType="begin"/>
        </w:r>
        <w:r w:rsidR="002320B3">
          <w:rPr>
            <w:noProof/>
            <w:webHidden/>
          </w:rPr>
          <w:instrText xml:space="preserve"> PAGEREF _Toc71616552 \h </w:instrText>
        </w:r>
        <w:r w:rsidR="002320B3">
          <w:rPr>
            <w:noProof/>
            <w:webHidden/>
          </w:rPr>
        </w:r>
        <w:r w:rsidR="002320B3">
          <w:rPr>
            <w:noProof/>
            <w:webHidden/>
          </w:rPr>
          <w:fldChar w:fldCharType="separate"/>
        </w:r>
        <w:r w:rsidR="00D6133D">
          <w:rPr>
            <w:noProof/>
            <w:webHidden/>
          </w:rPr>
          <w:t>245</w:t>
        </w:r>
        <w:r w:rsidR="002320B3">
          <w:rPr>
            <w:noProof/>
            <w:webHidden/>
          </w:rPr>
          <w:fldChar w:fldCharType="end"/>
        </w:r>
      </w:hyperlink>
    </w:p>
    <w:p w14:paraId="658BF516" w14:textId="17B0BDB6"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553" w:history="1">
        <w:r w:rsidR="002320B3" w:rsidRPr="0025310E">
          <w:rPr>
            <w:rStyle w:val="Hyperlink"/>
            <w:rFonts w:asciiTheme="majorHAnsi" w:eastAsiaTheme="majorEastAsia" w:hAnsiTheme="majorHAnsi" w:cstheme="majorHAnsi"/>
            <w:bCs/>
            <w:noProof/>
            <w:lang w:val="en-US"/>
          </w:rPr>
          <w:t>Figure 26. Average Grades of Grade 4 Students</w:t>
        </w:r>
        <w:r w:rsidR="002320B3">
          <w:rPr>
            <w:noProof/>
            <w:webHidden/>
          </w:rPr>
          <w:tab/>
        </w:r>
        <w:r w:rsidR="002320B3">
          <w:rPr>
            <w:noProof/>
            <w:webHidden/>
          </w:rPr>
          <w:fldChar w:fldCharType="begin"/>
        </w:r>
        <w:r w:rsidR="002320B3">
          <w:rPr>
            <w:noProof/>
            <w:webHidden/>
          </w:rPr>
          <w:instrText xml:space="preserve"> PAGEREF _Toc71616553 \h </w:instrText>
        </w:r>
        <w:r w:rsidR="002320B3">
          <w:rPr>
            <w:noProof/>
            <w:webHidden/>
          </w:rPr>
        </w:r>
        <w:r w:rsidR="002320B3">
          <w:rPr>
            <w:noProof/>
            <w:webHidden/>
          </w:rPr>
          <w:fldChar w:fldCharType="separate"/>
        </w:r>
        <w:r w:rsidR="00D6133D">
          <w:rPr>
            <w:noProof/>
            <w:webHidden/>
          </w:rPr>
          <w:t>431</w:t>
        </w:r>
        <w:r w:rsidR="002320B3">
          <w:rPr>
            <w:noProof/>
            <w:webHidden/>
          </w:rPr>
          <w:fldChar w:fldCharType="end"/>
        </w:r>
      </w:hyperlink>
    </w:p>
    <w:p w14:paraId="45464A46" w14:textId="008D6BA7"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554" w:history="1">
        <w:r w:rsidR="002320B3" w:rsidRPr="0025310E">
          <w:rPr>
            <w:rStyle w:val="Hyperlink"/>
            <w:rFonts w:asciiTheme="majorHAnsi" w:eastAsiaTheme="majorEastAsia" w:hAnsiTheme="majorHAnsi" w:cstheme="majorHAnsi"/>
            <w:bCs/>
            <w:noProof/>
            <w:lang w:val="en-US"/>
          </w:rPr>
          <w:t>Figure 27. Average Grades of Grade 5 Students</w:t>
        </w:r>
        <w:r w:rsidR="002320B3">
          <w:rPr>
            <w:noProof/>
            <w:webHidden/>
          </w:rPr>
          <w:tab/>
        </w:r>
        <w:r w:rsidR="002320B3">
          <w:rPr>
            <w:noProof/>
            <w:webHidden/>
          </w:rPr>
          <w:fldChar w:fldCharType="begin"/>
        </w:r>
        <w:r w:rsidR="002320B3">
          <w:rPr>
            <w:noProof/>
            <w:webHidden/>
          </w:rPr>
          <w:instrText xml:space="preserve"> PAGEREF _Toc71616554 \h </w:instrText>
        </w:r>
        <w:r w:rsidR="002320B3">
          <w:rPr>
            <w:noProof/>
            <w:webHidden/>
          </w:rPr>
        </w:r>
        <w:r w:rsidR="002320B3">
          <w:rPr>
            <w:noProof/>
            <w:webHidden/>
          </w:rPr>
          <w:fldChar w:fldCharType="separate"/>
        </w:r>
        <w:r w:rsidR="00D6133D">
          <w:rPr>
            <w:noProof/>
            <w:webHidden/>
          </w:rPr>
          <w:t>432</w:t>
        </w:r>
        <w:r w:rsidR="002320B3">
          <w:rPr>
            <w:noProof/>
            <w:webHidden/>
          </w:rPr>
          <w:fldChar w:fldCharType="end"/>
        </w:r>
      </w:hyperlink>
    </w:p>
    <w:p w14:paraId="349C2DE1" w14:textId="3D4873AB"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555" w:history="1">
        <w:r w:rsidR="002320B3" w:rsidRPr="0025310E">
          <w:rPr>
            <w:rStyle w:val="Hyperlink"/>
            <w:rFonts w:asciiTheme="majorHAnsi" w:eastAsiaTheme="majorEastAsia" w:hAnsiTheme="majorHAnsi" w:cstheme="majorHAnsi"/>
            <w:bCs/>
            <w:noProof/>
            <w:lang w:val="en-US"/>
          </w:rPr>
          <w:t>Figure 28. Average Grades of Grade 6 Students</w:t>
        </w:r>
        <w:r w:rsidR="002320B3">
          <w:rPr>
            <w:noProof/>
            <w:webHidden/>
          </w:rPr>
          <w:tab/>
        </w:r>
        <w:r w:rsidR="002320B3">
          <w:rPr>
            <w:noProof/>
            <w:webHidden/>
          </w:rPr>
          <w:fldChar w:fldCharType="begin"/>
        </w:r>
        <w:r w:rsidR="002320B3">
          <w:rPr>
            <w:noProof/>
            <w:webHidden/>
          </w:rPr>
          <w:instrText xml:space="preserve"> PAGEREF _Toc71616555 \h </w:instrText>
        </w:r>
        <w:r w:rsidR="002320B3">
          <w:rPr>
            <w:noProof/>
            <w:webHidden/>
          </w:rPr>
        </w:r>
        <w:r w:rsidR="002320B3">
          <w:rPr>
            <w:noProof/>
            <w:webHidden/>
          </w:rPr>
          <w:fldChar w:fldCharType="separate"/>
        </w:r>
        <w:r w:rsidR="00D6133D">
          <w:rPr>
            <w:noProof/>
            <w:webHidden/>
          </w:rPr>
          <w:t>432</w:t>
        </w:r>
        <w:r w:rsidR="002320B3">
          <w:rPr>
            <w:noProof/>
            <w:webHidden/>
          </w:rPr>
          <w:fldChar w:fldCharType="end"/>
        </w:r>
      </w:hyperlink>
    </w:p>
    <w:p w14:paraId="6698F165" w14:textId="137B2B1B"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556" w:history="1">
        <w:r w:rsidR="002320B3" w:rsidRPr="0025310E">
          <w:rPr>
            <w:rStyle w:val="Hyperlink"/>
            <w:rFonts w:asciiTheme="majorHAnsi" w:eastAsiaTheme="majorEastAsia" w:hAnsiTheme="majorHAnsi" w:cstheme="majorHAnsi"/>
            <w:bCs/>
            <w:noProof/>
            <w:lang w:val="en-US"/>
          </w:rPr>
          <w:t>Figure 29. Average Change of Grades by Grade Level</w:t>
        </w:r>
        <w:r w:rsidR="002320B3">
          <w:rPr>
            <w:noProof/>
            <w:webHidden/>
          </w:rPr>
          <w:tab/>
        </w:r>
        <w:r w:rsidR="002320B3">
          <w:rPr>
            <w:noProof/>
            <w:webHidden/>
          </w:rPr>
          <w:fldChar w:fldCharType="begin"/>
        </w:r>
        <w:r w:rsidR="002320B3">
          <w:rPr>
            <w:noProof/>
            <w:webHidden/>
          </w:rPr>
          <w:instrText xml:space="preserve"> PAGEREF _Toc71616556 \h </w:instrText>
        </w:r>
        <w:r w:rsidR="002320B3">
          <w:rPr>
            <w:noProof/>
            <w:webHidden/>
          </w:rPr>
        </w:r>
        <w:r w:rsidR="002320B3">
          <w:rPr>
            <w:noProof/>
            <w:webHidden/>
          </w:rPr>
          <w:fldChar w:fldCharType="separate"/>
        </w:r>
        <w:r w:rsidR="00D6133D">
          <w:rPr>
            <w:noProof/>
            <w:webHidden/>
          </w:rPr>
          <w:t>434</w:t>
        </w:r>
        <w:r w:rsidR="002320B3">
          <w:rPr>
            <w:noProof/>
            <w:webHidden/>
          </w:rPr>
          <w:fldChar w:fldCharType="end"/>
        </w:r>
      </w:hyperlink>
    </w:p>
    <w:p w14:paraId="147195AC" w14:textId="3DB2B468"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557" w:history="1">
        <w:r w:rsidR="002320B3" w:rsidRPr="0025310E">
          <w:rPr>
            <w:rStyle w:val="Hyperlink"/>
            <w:rFonts w:asciiTheme="majorHAnsi" w:eastAsiaTheme="majorEastAsia" w:hAnsiTheme="majorHAnsi" w:cstheme="majorHAnsi"/>
            <w:bCs/>
            <w:noProof/>
            <w:lang w:val="en-US"/>
          </w:rPr>
          <w:t>Figure 30.Attendance Rate of Grade 4 Students</w:t>
        </w:r>
        <w:r w:rsidR="002320B3">
          <w:rPr>
            <w:noProof/>
            <w:webHidden/>
          </w:rPr>
          <w:tab/>
        </w:r>
        <w:r w:rsidR="002320B3">
          <w:rPr>
            <w:noProof/>
            <w:webHidden/>
          </w:rPr>
          <w:fldChar w:fldCharType="begin"/>
        </w:r>
        <w:r w:rsidR="002320B3">
          <w:rPr>
            <w:noProof/>
            <w:webHidden/>
          </w:rPr>
          <w:instrText xml:space="preserve"> PAGEREF _Toc71616557 \h </w:instrText>
        </w:r>
        <w:r w:rsidR="002320B3">
          <w:rPr>
            <w:noProof/>
            <w:webHidden/>
          </w:rPr>
        </w:r>
        <w:r w:rsidR="002320B3">
          <w:rPr>
            <w:noProof/>
            <w:webHidden/>
          </w:rPr>
          <w:fldChar w:fldCharType="separate"/>
        </w:r>
        <w:r w:rsidR="00D6133D">
          <w:rPr>
            <w:noProof/>
            <w:webHidden/>
          </w:rPr>
          <w:t>460</w:t>
        </w:r>
        <w:r w:rsidR="002320B3">
          <w:rPr>
            <w:noProof/>
            <w:webHidden/>
          </w:rPr>
          <w:fldChar w:fldCharType="end"/>
        </w:r>
      </w:hyperlink>
    </w:p>
    <w:p w14:paraId="6487A320" w14:textId="5696E9EB"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558" w:history="1">
        <w:r w:rsidR="002320B3" w:rsidRPr="0025310E">
          <w:rPr>
            <w:rStyle w:val="Hyperlink"/>
            <w:rFonts w:asciiTheme="majorHAnsi" w:eastAsiaTheme="majorEastAsia" w:hAnsiTheme="majorHAnsi" w:cstheme="majorHAnsi"/>
            <w:bCs/>
            <w:noProof/>
            <w:lang w:val="en-US"/>
          </w:rPr>
          <w:t>Figure 31.Attendance Rate of Grade 5 Students</w:t>
        </w:r>
        <w:r w:rsidR="002320B3">
          <w:rPr>
            <w:noProof/>
            <w:webHidden/>
          </w:rPr>
          <w:tab/>
        </w:r>
        <w:r w:rsidR="002320B3">
          <w:rPr>
            <w:noProof/>
            <w:webHidden/>
          </w:rPr>
          <w:fldChar w:fldCharType="begin"/>
        </w:r>
        <w:r w:rsidR="002320B3">
          <w:rPr>
            <w:noProof/>
            <w:webHidden/>
          </w:rPr>
          <w:instrText xml:space="preserve"> PAGEREF _Toc71616558 \h </w:instrText>
        </w:r>
        <w:r w:rsidR="002320B3">
          <w:rPr>
            <w:noProof/>
            <w:webHidden/>
          </w:rPr>
        </w:r>
        <w:r w:rsidR="002320B3">
          <w:rPr>
            <w:noProof/>
            <w:webHidden/>
          </w:rPr>
          <w:fldChar w:fldCharType="separate"/>
        </w:r>
        <w:r w:rsidR="00D6133D">
          <w:rPr>
            <w:noProof/>
            <w:webHidden/>
          </w:rPr>
          <w:t>461</w:t>
        </w:r>
        <w:r w:rsidR="002320B3">
          <w:rPr>
            <w:noProof/>
            <w:webHidden/>
          </w:rPr>
          <w:fldChar w:fldCharType="end"/>
        </w:r>
      </w:hyperlink>
    </w:p>
    <w:p w14:paraId="4289F2F1" w14:textId="5E562779"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559" w:history="1">
        <w:r w:rsidR="002320B3" w:rsidRPr="0025310E">
          <w:rPr>
            <w:rStyle w:val="Hyperlink"/>
            <w:rFonts w:asciiTheme="majorHAnsi" w:eastAsiaTheme="majorEastAsia" w:hAnsiTheme="majorHAnsi" w:cstheme="majorHAnsi"/>
            <w:bCs/>
            <w:noProof/>
            <w:lang w:val="en-US"/>
          </w:rPr>
          <w:t>Figure 32.Attendance Rate of Grade 6 Students</w:t>
        </w:r>
        <w:r w:rsidR="002320B3">
          <w:rPr>
            <w:noProof/>
            <w:webHidden/>
          </w:rPr>
          <w:tab/>
        </w:r>
        <w:r w:rsidR="002320B3">
          <w:rPr>
            <w:noProof/>
            <w:webHidden/>
          </w:rPr>
          <w:fldChar w:fldCharType="begin"/>
        </w:r>
        <w:r w:rsidR="002320B3">
          <w:rPr>
            <w:noProof/>
            <w:webHidden/>
          </w:rPr>
          <w:instrText xml:space="preserve"> PAGEREF _Toc71616559 \h </w:instrText>
        </w:r>
        <w:r w:rsidR="002320B3">
          <w:rPr>
            <w:noProof/>
            <w:webHidden/>
          </w:rPr>
        </w:r>
        <w:r w:rsidR="002320B3">
          <w:rPr>
            <w:noProof/>
            <w:webHidden/>
          </w:rPr>
          <w:fldChar w:fldCharType="separate"/>
        </w:r>
        <w:r w:rsidR="00D6133D">
          <w:rPr>
            <w:noProof/>
            <w:webHidden/>
          </w:rPr>
          <w:t>461</w:t>
        </w:r>
        <w:r w:rsidR="002320B3">
          <w:rPr>
            <w:noProof/>
            <w:webHidden/>
          </w:rPr>
          <w:fldChar w:fldCharType="end"/>
        </w:r>
      </w:hyperlink>
    </w:p>
    <w:p w14:paraId="4139EC1B" w14:textId="575A0C89"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560" w:history="1">
        <w:r w:rsidR="002320B3" w:rsidRPr="0025310E">
          <w:rPr>
            <w:rStyle w:val="Hyperlink"/>
            <w:rFonts w:asciiTheme="majorHAnsi" w:eastAsiaTheme="minorHAnsi" w:hAnsiTheme="majorHAnsi" w:cstheme="majorHAnsi"/>
            <w:noProof/>
            <w:lang w:val="en-US"/>
          </w:rPr>
          <w:t>Figure 33.</w:t>
        </w:r>
        <w:r w:rsidR="002320B3" w:rsidRPr="0025310E">
          <w:rPr>
            <w:rStyle w:val="Hyperlink"/>
            <w:rFonts w:asciiTheme="majorHAnsi" w:eastAsiaTheme="majorEastAsia" w:hAnsiTheme="majorHAnsi" w:cstheme="majorHAnsi"/>
            <w:noProof/>
            <w:kern w:val="24"/>
            <w:lang w:val="en-US"/>
          </w:rPr>
          <w:t xml:space="preserve"> </w:t>
        </w:r>
        <w:r w:rsidR="002320B3" w:rsidRPr="0025310E">
          <w:rPr>
            <w:rStyle w:val="Hyperlink"/>
            <w:rFonts w:asciiTheme="majorHAnsi" w:eastAsiaTheme="minorHAnsi" w:hAnsiTheme="majorHAnsi" w:cstheme="majorHAnsi"/>
            <w:noProof/>
            <w:lang w:val="en-US"/>
          </w:rPr>
          <w:t>School-Age population by education level</w:t>
        </w:r>
        <w:r w:rsidR="002320B3">
          <w:rPr>
            <w:noProof/>
            <w:webHidden/>
          </w:rPr>
          <w:tab/>
        </w:r>
        <w:r w:rsidR="002320B3">
          <w:rPr>
            <w:noProof/>
            <w:webHidden/>
          </w:rPr>
          <w:fldChar w:fldCharType="begin"/>
        </w:r>
        <w:r w:rsidR="002320B3">
          <w:rPr>
            <w:noProof/>
            <w:webHidden/>
          </w:rPr>
          <w:instrText xml:space="preserve"> PAGEREF _Toc71616560 \h </w:instrText>
        </w:r>
        <w:r w:rsidR="002320B3">
          <w:rPr>
            <w:noProof/>
            <w:webHidden/>
          </w:rPr>
        </w:r>
        <w:r w:rsidR="002320B3">
          <w:rPr>
            <w:noProof/>
            <w:webHidden/>
          </w:rPr>
          <w:fldChar w:fldCharType="separate"/>
        </w:r>
        <w:r w:rsidR="00D6133D">
          <w:rPr>
            <w:noProof/>
            <w:webHidden/>
          </w:rPr>
          <w:t>463</w:t>
        </w:r>
        <w:r w:rsidR="002320B3">
          <w:rPr>
            <w:noProof/>
            <w:webHidden/>
          </w:rPr>
          <w:fldChar w:fldCharType="end"/>
        </w:r>
      </w:hyperlink>
    </w:p>
    <w:p w14:paraId="66239881" w14:textId="6F8497FB"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561" w:history="1">
        <w:r w:rsidR="002320B3" w:rsidRPr="0025310E">
          <w:rPr>
            <w:rStyle w:val="Hyperlink"/>
            <w:rFonts w:asciiTheme="majorHAnsi" w:eastAsiaTheme="minorHAnsi" w:hAnsiTheme="majorHAnsi" w:cstheme="majorHAnsi"/>
            <w:noProof/>
            <w:lang w:val="en-US"/>
          </w:rPr>
          <w:t>Figure 34.</w:t>
        </w:r>
        <w:r w:rsidR="002320B3" w:rsidRPr="0025310E">
          <w:rPr>
            <w:rStyle w:val="Hyperlink"/>
            <w:rFonts w:asciiTheme="majorHAnsi" w:eastAsiaTheme="majorEastAsia" w:hAnsiTheme="majorHAnsi" w:cstheme="majorHAnsi"/>
            <w:noProof/>
            <w:kern w:val="24"/>
            <w:lang w:val="en-US"/>
          </w:rPr>
          <w:t xml:space="preserve"> </w:t>
        </w:r>
        <w:r w:rsidR="002320B3" w:rsidRPr="0025310E">
          <w:rPr>
            <w:rStyle w:val="Hyperlink"/>
            <w:rFonts w:asciiTheme="majorHAnsi" w:eastAsiaTheme="minorHAnsi" w:hAnsiTheme="majorHAnsi" w:cstheme="majorHAnsi"/>
            <w:noProof/>
            <w:lang w:val="en-US"/>
          </w:rPr>
          <w:t>Distribution of Schools by Level, 2013-2017</w:t>
        </w:r>
        <w:r w:rsidR="002320B3">
          <w:rPr>
            <w:noProof/>
            <w:webHidden/>
          </w:rPr>
          <w:tab/>
        </w:r>
        <w:r w:rsidR="002320B3">
          <w:rPr>
            <w:noProof/>
            <w:webHidden/>
          </w:rPr>
          <w:fldChar w:fldCharType="begin"/>
        </w:r>
        <w:r w:rsidR="002320B3">
          <w:rPr>
            <w:noProof/>
            <w:webHidden/>
          </w:rPr>
          <w:instrText xml:space="preserve"> PAGEREF _Toc71616561 \h </w:instrText>
        </w:r>
        <w:r w:rsidR="002320B3">
          <w:rPr>
            <w:noProof/>
            <w:webHidden/>
          </w:rPr>
        </w:r>
        <w:r w:rsidR="002320B3">
          <w:rPr>
            <w:noProof/>
            <w:webHidden/>
          </w:rPr>
          <w:fldChar w:fldCharType="separate"/>
        </w:r>
        <w:r w:rsidR="00D6133D">
          <w:rPr>
            <w:noProof/>
            <w:webHidden/>
          </w:rPr>
          <w:t>463</w:t>
        </w:r>
        <w:r w:rsidR="002320B3">
          <w:rPr>
            <w:noProof/>
            <w:webHidden/>
          </w:rPr>
          <w:fldChar w:fldCharType="end"/>
        </w:r>
      </w:hyperlink>
    </w:p>
    <w:p w14:paraId="7E9E7EC0" w14:textId="16C1F4FF"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562" w:history="1">
        <w:r w:rsidR="002320B3" w:rsidRPr="0025310E">
          <w:rPr>
            <w:rStyle w:val="Hyperlink"/>
            <w:rFonts w:asciiTheme="majorHAnsi" w:eastAsiaTheme="minorHAnsi" w:hAnsiTheme="majorHAnsi" w:cstheme="majorHAnsi"/>
            <w:noProof/>
            <w:lang w:val="en-US"/>
          </w:rPr>
          <w:t>Figure 35.</w:t>
        </w:r>
        <w:r w:rsidR="002320B3" w:rsidRPr="0025310E">
          <w:rPr>
            <w:rStyle w:val="Hyperlink"/>
            <w:rFonts w:asciiTheme="majorHAnsi" w:eastAsiaTheme="majorEastAsia" w:hAnsiTheme="majorHAnsi" w:cstheme="majorHAnsi"/>
            <w:noProof/>
            <w:kern w:val="24"/>
            <w:lang w:val="en-US"/>
          </w:rPr>
          <w:t xml:space="preserve"> </w:t>
        </w:r>
        <w:r w:rsidR="002320B3" w:rsidRPr="0025310E">
          <w:rPr>
            <w:rStyle w:val="Hyperlink"/>
            <w:rFonts w:asciiTheme="majorHAnsi" w:eastAsiaTheme="minorHAnsi" w:hAnsiTheme="majorHAnsi" w:cstheme="majorHAnsi"/>
            <w:noProof/>
            <w:lang w:val="en-US"/>
          </w:rPr>
          <w:t>Total Number of Public Schools by Type and by Program Participation</w:t>
        </w:r>
        <w:r w:rsidR="002320B3">
          <w:rPr>
            <w:noProof/>
            <w:webHidden/>
          </w:rPr>
          <w:tab/>
        </w:r>
        <w:r w:rsidR="002320B3">
          <w:rPr>
            <w:noProof/>
            <w:webHidden/>
          </w:rPr>
          <w:fldChar w:fldCharType="begin"/>
        </w:r>
        <w:r w:rsidR="002320B3">
          <w:rPr>
            <w:noProof/>
            <w:webHidden/>
          </w:rPr>
          <w:instrText xml:space="preserve"> PAGEREF _Toc71616562 \h </w:instrText>
        </w:r>
        <w:r w:rsidR="002320B3">
          <w:rPr>
            <w:noProof/>
            <w:webHidden/>
          </w:rPr>
        </w:r>
        <w:r w:rsidR="002320B3">
          <w:rPr>
            <w:noProof/>
            <w:webHidden/>
          </w:rPr>
          <w:fldChar w:fldCharType="separate"/>
        </w:r>
        <w:r w:rsidR="00D6133D">
          <w:rPr>
            <w:noProof/>
            <w:webHidden/>
          </w:rPr>
          <w:t>465</w:t>
        </w:r>
        <w:r w:rsidR="002320B3">
          <w:rPr>
            <w:noProof/>
            <w:webHidden/>
          </w:rPr>
          <w:fldChar w:fldCharType="end"/>
        </w:r>
      </w:hyperlink>
    </w:p>
    <w:p w14:paraId="21718F8D" w14:textId="292E43E3"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563" w:history="1">
        <w:r w:rsidR="002320B3" w:rsidRPr="0025310E">
          <w:rPr>
            <w:rStyle w:val="Hyperlink"/>
            <w:rFonts w:asciiTheme="majorHAnsi" w:eastAsiaTheme="minorHAnsi" w:hAnsiTheme="majorHAnsi" w:cstheme="majorHAnsi"/>
            <w:noProof/>
            <w:lang w:val="en-US"/>
          </w:rPr>
          <w:t>Figure 36.</w:t>
        </w:r>
        <w:r w:rsidR="002320B3" w:rsidRPr="0025310E">
          <w:rPr>
            <w:rStyle w:val="Hyperlink"/>
            <w:rFonts w:asciiTheme="majorHAnsi" w:eastAsiaTheme="majorEastAsia" w:hAnsiTheme="majorHAnsi" w:cstheme="majorHAnsi"/>
            <w:noProof/>
            <w:color w:val="3898F9" w:themeColor="hyperlink" w:themeTint="A6"/>
            <w:kern w:val="24"/>
            <w:lang w:val="en-US"/>
          </w:rPr>
          <w:t xml:space="preserve"> </w:t>
        </w:r>
        <w:r w:rsidR="002320B3" w:rsidRPr="0025310E">
          <w:rPr>
            <w:rStyle w:val="Hyperlink"/>
            <w:rFonts w:asciiTheme="majorHAnsi" w:eastAsiaTheme="minorHAnsi" w:hAnsiTheme="majorHAnsi" w:cstheme="majorHAnsi"/>
            <w:noProof/>
            <w:lang w:val="en-US"/>
          </w:rPr>
          <w:t>Distribution of Public Schools by Level and by Region, 2017</w:t>
        </w:r>
        <w:r w:rsidR="002320B3">
          <w:rPr>
            <w:noProof/>
            <w:webHidden/>
          </w:rPr>
          <w:tab/>
        </w:r>
        <w:r w:rsidR="002320B3">
          <w:rPr>
            <w:noProof/>
            <w:webHidden/>
          </w:rPr>
          <w:fldChar w:fldCharType="begin"/>
        </w:r>
        <w:r w:rsidR="002320B3">
          <w:rPr>
            <w:noProof/>
            <w:webHidden/>
          </w:rPr>
          <w:instrText xml:space="preserve"> PAGEREF _Toc71616563 \h </w:instrText>
        </w:r>
        <w:r w:rsidR="002320B3">
          <w:rPr>
            <w:noProof/>
            <w:webHidden/>
          </w:rPr>
        </w:r>
        <w:r w:rsidR="002320B3">
          <w:rPr>
            <w:noProof/>
            <w:webHidden/>
          </w:rPr>
          <w:fldChar w:fldCharType="separate"/>
        </w:r>
        <w:r w:rsidR="00D6133D">
          <w:rPr>
            <w:noProof/>
            <w:webHidden/>
          </w:rPr>
          <w:t>465</w:t>
        </w:r>
        <w:r w:rsidR="002320B3">
          <w:rPr>
            <w:noProof/>
            <w:webHidden/>
          </w:rPr>
          <w:fldChar w:fldCharType="end"/>
        </w:r>
      </w:hyperlink>
    </w:p>
    <w:p w14:paraId="1C9CDB2F" w14:textId="66C64692"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564" w:history="1">
        <w:r w:rsidR="002320B3" w:rsidRPr="0025310E">
          <w:rPr>
            <w:rStyle w:val="Hyperlink"/>
            <w:rFonts w:asciiTheme="majorHAnsi" w:eastAsiaTheme="minorHAnsi" w:hAnsiTheme="majorHAnsi" w:cstheme="majorHAnsi"/>
            <w:noProof/>
            <w:lang w:val="en-US"/>
          </w:rPr>
          <w:t>Figure 37.</w:t>
        </w:r>
        <w:r w:rsidR="002320B3" w:rsidRPr="0025310E">
          <w:rPr>
            <w:rStyle w:val="Hyperlink"/>
            <w:rFonts w:asciiTheme="majorHAnsi" w:eastAsiaTheme="majorEastAsia" w:hAnsiTheme="majorHAnsi" w:cstheme="majorHAnsi"/>
            <w:noProof/>
            <w:color w:val="3898F9" w:themeColor="hyperlink" w:themeTint="A6"/>
            <w:kern w:val="24"/>
            <w:lang w:val="en-US"/>
          </w:rPr>
          <w:t xml:space="preserve"> </w:t>
        </w:r>
        <w:r w:rsidR="002320B3" w:rsidRPr="0025310E">
          <w:rPr>
            <w:rStyle w:val="Hyperlink"/>
            <w:rFonts w:asciiTheme="majorHAnsi" w:eastAsiaTheme="minorHAnsi" w:hAnsiTheme="majorHAnsi" w:cstheme="majorHAnsi"/>
            <w:noProof/>
            <w:lang w:val="en-US"/>
          </w:rPr>
          <w:t>Distribution of SPED Schools in BEST supported regions</w:t>
        </w:r>
        <w:r w:rsidR="002320B3">
          <w:rPr>
            <w:noProof/>
            <w:webHidden/>
          </w:rPr>
          <w:tab/>
        </w:r>
        <w:r w:rsidR="002320B3">
          <w:rPr>
            <w:noProof/>
            <w:webHidden/>
          </w:rPr>
          <w:fldChar w:fldCharType="begin"/>
        </w:r>
        <w:r w:rsidR="002320B3">
          <w:rPr>
            <w:noProof/>
            <w:webHidden/>
          </w:rPr>
          <w:instrText xml:space="preserve"> PAGEREF _Toc71616564 \h </w:instrText>
        </w:r>
        <w:r w:rsidR="002320B3">
          <w:rPr>
            <w:noProof/>
            <w:webHidden/>
          </w:rPr>
        </w:r>
        <w:r w:rsidR="002320B3">
          <w:rPr>
            <w:noProof/>
            <w:webHidden/>
          </w:rPr>
          <w:fldChar w:fldCharType="separate"/>
        </w:r>
        <w:r w:rsidR="00D6133D">
          <w:rPr>
            <w:noProof/>
            <w:webHidden/>
          </w:rPr>
          <w:t>466</w:t>
        </w:r>
        <w:r w:rsidR="002320B3">
          <w:rPr>
            <w:noProof/>
            <w:webHidden/>
          </w:rPr>
          <w:fldChar w:fldCharType="end"/>
        </w:r>
      </w:hyperlink>
    </w:p>
    <w:p w14:paraId="48914E13" w14:textId="6ED0EE3B"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565" w:history="1">
        <w:r w:rsidR="002320B3" w:rsidRPr="0025310E">
          <w:rPr>
            <w:rStyle w:val="Hyperlink"/>
            <w:rFonts w:asciiTheme="majorHAnsi" w:eastAsiaTheme="minorHAnsi" w:hAnsiTheme="majorHAnsi" w:cstheme="majorHAnsi"/>
            <w:noProof/>
            <w:lang w:val="en-US"/>
          </w:rPr>
          <w:t>Figure 38.</w:t>
        </w:r>
        <w:r w:rsidR="002320B3" w:rsidRPr="0025310E">
          <w:rPr>
            <w:rStyle w:val="Hyperlink"/>
            <w:rFonts w:asciiTheme="majorHAnsi" w:eastAsiaTheme="majorEastAsia" w:hAnsiTheme="majorHAnsi" w:cstheme="majorHAnsi"/>
            <w:noProof/>
            <w:kern w:val="24"/>
            <w:lang w:val="en-US"/>
          </w:rPr>
          <w:t xml:space="preserve"> </w:t>
        </w:r>
        <w:r w:rsidR="002320B3" w:rsidRPr="0025310E">
          <w:rPr>
            <w:rStyle w:val="Hyperlink"/>
            <w:rFonts w:asciiTheme="majorHAnsi" w:eastAsiaTheme="minorHAnsi" w:hAnsiTheme="majorHAnsi" w:cstheme="majorHAnsi"/>
            <w:noProof/>
            <w:lang w:val="en-US"/>
          </w:rPr>
          <w:t>Distribution of teachers by level and by type, SY2017-18</w:t>
        </w:r>
        <w:r w:rsidR="002320B3">
          <w:rPr>
            <w:noProof/>
            <w:webHidden/>
          </w:rPr>
          <w:tab/>
        </w:r>
        <w:r w:rsidR="002320B3">
          <w:rPr>
            <w:noProof/>
            <w:webHidden/>
          </w:rPr>
          <w:fldChar w:fldCharType="begin"/>
        </w:r>
        <w:r w:rsidR="002320B3">
          <w:rPr>
            <w:noProof/>
            <w:webHidden/>
          </w:rPr>
          <w:instrText xml:space="preserve"> PAGEREF _Toc71616565 \h </w:instrText>
        </w:r>
        <w:r w:rsidR="002320B3">
          <w:rPr>
            <w:noProof/>
            <w:webHidden/>
          </w:rPr>
        </w:r>
        <w:r w:rsidR="002320B3">
          <w:rPr>
            <w:noProof/>
            <w:webHidden/>
          </w:rPr>
          <w:fldChar w:fldCharType="separate"/>
        </w:r>
        <w:r w:rsidR="00D6133D">
          <w:rPr>
            <w:noProof/>
            <w:webHidden/>
          </w:rPr>
          <w:t>468</w:t>
        </w:r>
        <w:r w:rsidR="002320B3">
          <w:rPr>
            <w:noProof/>
            <w:webHidden/>
          </w:rPr>
          <w:fldChar w:fldCharType="end"/>
        </w:r>
      </w:hyperlink>
    </w:p>
    <w:p w14:paraId="096D0AFE" w14:textId="026C073A"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566" w:history="1">
        <w:r w:rsidR="002320B3" w:rsidRPr="0025310E">
          <w:rPr>
            <w:rStyle w:val="Hyperlink"/>
            <w:rFonts w:asciiTheme="majorHAnsi" w:eastAsiaTheme="minorHAnsi" w:hAnsiTheme="majorHAnsi" w:cstheme="majorHAnsi"/>
            <w:noProof/>
            <w:lang w:val="en-US"/>
          </w:rPr>
          <w:t>Figure 39.</w:t>
        </w:r>
        <w:r w:rsidR="002320B3" w:rsidRPr="0025310E">
          <w:rPr>
            <w:rStyle w:val="Hyperlink"/>
            <w:rFonts w:asciiTheme="majorHAnsi" w:eastAsiaTheme="majorEastAsia" w:hAnsiTheme="majorHAnsi" w:cstheme="majorHAnsi"/>
            <w:noProof/>
            <w:kern w:val="24"/>
            <w:lang w:val="en-US"/>
          </w:rPr>
          <w:t xml:space="preserve"> </w:t>
        </w:r>
        <w:r w:rsidR="002320B3" w:rsidRPr="0025310E">
          <w:rPr>
            <w:rStyle w:val="Hyperlink"/>
            <w:rFonts w:asciiTheme="majorHAnsi" w:eastAsiaTheme="minorHAnsi" w:hAnsiTheme="majorHAnsi" w:cstheme="majorHAnsi"/>
            <w:noProof/>
            <w:lang w:val="en-US"/>
          </w:rPr>
          <w:t>Trend in number of teachers, 2013 - 2017</w:t>
        </w:r>
        <w:r w:rsidR="002320B3">
          <w:rPr>
            <w:noProof/>
            <w:webHidden/>
          </w:rPr>
          <w:tab/>
        </w:r>
        <w:r w:rsidR="002320B3">
          <w:rPr>
            <w:noProof/>
            <w:webHidden/>
          </w:rPr>
          <w:fldChar w:fldCharType="begin"/>
        </w:r>
        <w:r w:rsidR="002320B3">
          <w:rPr>
            <w:noProof/>
            <w:webHidden/>
          </w:rPr>
          <w:instrText xml:space="preserve"> PAGEREF _Toc71616566 \h </w:instrText>
        </w:r>
        <w:r w:rsidR="002320B3">
          <w:rPr>
            <w:noProof/>
            <w:webHidden/>
          </w:rPr>
        </w:r>
        <w:r w:rsidR="002320B3">
          <w:rPr>
            <w:noProof/>
            <w:webHidden/>
          </w:rPr>
          <w:fldChar w:fldCharType="separate"/>
        </w:r>
        <w:r w:rsidR="00D6133D">
          <w:rPr>
            <w:noProof/>
            <w:webHidden/>
          </w:rPr>
          <w:t>468</w:t>
        </w:r>
        <w:r w:rsidR="002320B3">
          <w:rPr>
            <w:noProof/>
            <w:webHidden/>
          </w:rPr>
          <w:fldChar w:fldCharType="end"/>
        </w:r>
      </w:hyperlink>
    </w:p>
    <w:p w14:paraId="374B6ED1" w14:textId="7ED889BF"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567" w:history="1">
        <w:r w:rsidR="002320B3" w:rsidRPr="0025310E">
          <w:rPr>
            <w:rStyle w:val="Hyperlink"/>
            <w:rFonts w:asciiTheme="majorHAnsi" w:eastAsiaTheme="minorHAnsi" w:hAnsiTheme="majorHAnsi" w:cstheme="majorHAnsi"/>
            <w:noProof/>
            <w:lang w:val="en-US"/>
          </w:rPr>
          <w:t>Figure 40.</w:t>
        </w:r>
        <w:r w:rsidR="002320B3" w:rsidRPr="0025310E">
          <w:rPr>
            <w:rStyle w:val="Hyperlink"/>
            <w:rFonts w:asciiTheme="majorHAnsi" w:eastAsiaTheme="majorEastAsia" w:hAnsiTheme="majorHAnsi" w:cstheme="majorHAnsi"/>
            <w:noProof/>
            <w:kern w:val="24"/>
            <w:lang w:val="en-US"/>
          </w:rPr>
          <w:t xml:space="preserve"> </w:t>
        </w:r>
        <w:r w:rsidR="002320B3" w:rsidRPr="0025310E">
          <w:rPr>
            <w:rStyle w:val="Hyperlink"/>
            <w:rFonts w:asciiTheme="majorHAnsi" w:eastAsiaTheme="minorHAnsi" w:hAnsiTheme="majorHAnsi" w:cstheme="majorHAnsi"/>
            <w:noProof/>
            <w:lang w:val="en-US"/>
          </w:rPr>
          <w:t>Increase in number of regular and SPED elementary teachers, 2013 - 2017</w:t>
        </w:r>
        <w:r w:rsidR="002320B3">
          <w:rPr>
            <w:noProof/>
            <w:webHidden/>
          </w:rPr>
          <w:tab/>
        </w:r>
        <w:r w:rsidR="002320B3">
          <w:rPr>
            <w:noProof/>
            <w:webHidden/>
          </w:rPr>
          <w:fldChar w:fldCharType="begin"/>
        </w:r>
        <w:r w:rsidR="002320B3">
          <w:rPr>
            <w:noProof/>
            <w:webHidden/>
          </w:rPr>
          <w:instrText xml:space="preserve"> PAGEREF _Toc71616567 \h </w:instrText>
        </w:r>
        <w:r w:rsidR="002320B3">
          <w:rPr>
            <w:noProof/>
            <w:webHidden/>
          </w:rPr>
        </w:r>
        <w:r w:rsidR="002320B3">
          <w:rPr>
            <w:noProof/>
            <w:webHidden/>
          </w:rPr>
          <w:fldChar w:fldCharType="separate"/>
        </w:r>
        <w:r w:rsidR="00D6133D">
          <w:rPr>
            <w:noProof/>
            <w:webHidden/>
          </w:rPr>
          <w:t>469</w:t>
        </w:r>
        <w:r w:rsidR="002320B3">
          <w:rPr>
            <w:noProof/>
            <w:webHidden/>
          </w:rPr>
          <w:fldChar w:fldCharType="end"/>
        </w:r>
      </w:hyperlink>
    </w:p>
    <w:p w14:paraId="63E718C6" w14:textId="5371A5AD"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568" w:history="1">
        <w:r w:rsidR="002320B3" w:rsidRPr="0025310E">
          <w:rPr>
            <w:rStyle w:val="Hyperlink"/>
            <w:rFonts w:asciiTheme="majorHAnsi" w:eastAsiaTheme="minorHAnsi" w:hAnsiTheme="majorHAnsi" w:cstheme="majorHAnsi"/>
            <w:noProof/>
            <w:lang w:val="en-US"/>
          </w:rPr>
          <w:t>Figure 41. Overall Enrolment Trends, 2011 – 2018</w:t>
        </w:r>
        <w:r w:rsidR="002320B3">
          <w:rPr>
            <w:noProof/>
            <w:webHidden/>
          </w:rPr>
          <w:tab/>
        </w:r>
        <w:r w:rsidR="002320B3">
          <w:rPr>
            <w:noProof/>
            <w:webHidden/>
          </w:rPr>
          <w:fldChar w:fldCharType="begin"/>
        </w:r>
        <w:r w:rsidR="002320B3">
          <w:rPr>
            <w:noProof/>
            <w:webHidden/>
          </w:rPr>
          <w:instrText xml:space="preserve"> PAGEREF _Toc71616568 \h </w:instrText>
        </w:r>
        <w:r w:rsidR="002320B3">
          <w:rPr>
            <w:noProof/>
            <w:webHidden/>
          </w:rPr>
        </w:r>
        <w:r w:rsidR="002320B3">
          <w:rPr>
            <w:noProof/>
            <w:webHidden/>
          </w:rPr>
          <w:fldChar w:fldCharType="separate"/>
        </w:r>
        <w:r w:rsidR="00D6133D">
          <w:rPr>
            <w:noProof/>
            <w:webHidden/>
          </w:rPr>
          <w:t>472</w:t>
        </w:r>
        <w:r w:rsidR="002320B3">
          <w:rPr>
            <w:noProof/>
            <w:webHidden/>
          </w:rPr>
          <w:fldChar w:fldCharType="end"/>
        </w:r>
      </w:hyperlink>
    </w:p>
    <w:p w14:paraId="33AE3D65" w14:textId="3FDD8A69"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569" w:history="1">
        <w:r w:rsidR="002320B3" w:rsidRPr="0025310E">
          <w:rPr>
            <w:rStyle w:val="Hyperlink"/>
            <w:rFonts w:asciiTheme="majorHAnsi" w:eastAsiaTheme="minorHAnsi" w:hAnsiTheme="majorHAnsi" w:cstheme="majorHAnsi"/>
            <w:noProof/>
            <w:lang w:val="en-US"/>
          </w:rPr>
          <w:t>Figure 42. Distribution of Enrollees, SY2017- 2018</w:t>
        </w:r>
        <w:r w:rsidR="002320B3">
          <w:rPr>
            <w:noProof/>
            <w:webHidden/>
          </w:rPr>
          <w:tab/>
        </w:r>
        <w:r w:rsidR="002320B3">
          <w:rPr>
            <w:noProof/>
            <w:webHidden/>
          </w:rPr>
          <w:fldChar w:fldCharType="begin"/>
        </w:r>
        <w:r w:rsidR="002320B3">
          <w:rPr>
            <w:noProof/>
            <w:webHidden/>
          </w:rPr>
          <w:instrText xml:space="preserve"> PAGEREF _Toc71616569 \h </w:instrText>
        </w:r>
        <w:r w:rsidR="002320B3">
          <w:rPr>
            <w:noProof/>
            <w:webHidden/>
          </w:rPr>
        </w:r>
        <w:r w:rsidR="002320B3">
          <w:rPr>
            <w:noProof/>
            <w:webHidden/>
          </w:rPr>
          <w:fldChar w:fldCharType="separate"/>
        </w:r>
        <w:r w:rsidR="00D6133D">
          <w:rPr>
            <w:noProof/>
            <w:webHidden/>
          </w:rPr>
          <w:t>472</w:t>
        </w:r>
        <w:r w:rsidR="002320B3">
          <w:rPr>
            <w:noProof/>
            <w:webHidden/>
          </w:rPr>
          <w:fldChar w:fldCharType="end"/>
        </w:r>
      </w:hyperlink>
    </w:p>
    <w:p w14:paraId="3E7620E3" w14:textId="5D74A57C"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570" w:history="1">
        <w:r w:rsidR="002320B3" w:rsidRPr="0025310E">
          <w:rPr>
            <w:rStyle w:val="Hyperlink"/>
            <w:rFonts w:asciiTheme="majorHAnsi" w:eastAsiaTheme="minorHAnsi" w:hAnsiTheme="majorHAnsi" w:cstheme="majorHAnsi"/>
            <w:noProof/>
            <w:lang w:val="en-US"/>
          </w:rPr>
          <w:t>Figure 43. Change in Number of Enrollees</w:t>
        </w:r>
        <w:r w:rsidR="002320B3">
          <w:rPr>
            <w:noProof/>
            <w:webHidden/>
          </w:rPr>
          <w:tab/>
        </w:r>
        <w:r w:rsidR="002320B3">
          <w:rPr>
            <w:noProof/>
            <w:webHidden/>
          </w:rPr>
          <w:fldChar w:fldCharType="begin"/>
        </w:r>
        <w:r w:rsidR="002320B3">
          <w:rPr>
            <w:noProof/>
            <w:webHidden/>
          </w:rPr>
          <w:instrText xml:space="preserve"> PAGEREF _Toc71616570 \h </w:instrText>
        </w:r>
        <w:r w:rsidR="002320B3">
          <w:rPr>
            <w:noProof/>
            <w:webHidden/>
          </w:rPr>
        </w:r>
        <w:r w:rsidR="002320B3">
          <w:rPr>
            <w:noProof/>
            <w:webHidden/>
          </w:rPr>
          <w:fldChar w:fldCharType="separate"/>
        </w:r>
        <w:r w:rsidR="00D6133D">
          <w:rPr>
            <w:noProof/>
            <w:webHidden/>
          </w:rPr>
          <w:t>473</w:t>
        </w:r>
        <w:r w:rsidR="002320B3">
          <w:rPr>
            <w:noProof/>
            <w:webHidden/>
          </w:rPr>
          <w:fldChar w:fldCharType="end"/>
        </w:r>
      </w:hyperlink>
    </w:p>
    <w:p w14:paraId="54D86C18" w14:textId="39BEB45A"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571" w:history="1">
        <w:r w:rsidR="002320B3" w:rsidRPr="0025310E">
          <w:rPr>
            <w:rStyle w:val="Hyperlink"/>
            <w:rFonts w:asciiTheme="majorHAnsi" w:eastAsiaTheme="minorHAnsi" w:hAnsiTheme="majorHAnsi" w:cstheme="majorHAnsi"/>
            <w:noProof/>
            <w:lang w:val="en-US"/>
          </w:rPr>
          <w:t>Figure 44. Distribution of Enrollees by BEST and Non-BEST supported Regions</w:t>
        </w:r>
        <w:r w:rsidR="002320B3">
          <w:rPr>
            <w:noProof/>
            <w:webHidden/>
          </w:rPr>
          <w:tab/>
        </w:r>
        <w:r w:rsidR="002320B3">
          <w:rPr>
            <w:noProof/>
            <w:webHidden/>
          </w:rPr>
          <w:fldChar w:fldCharType="begin"/>
        </w:r>
        <w:r w:rsidR="002320B3">
          <w:rPr>
            <w:noProof/>
            <w:webHidden/>
          </w:rPr>
          <w:instrText xml:space="preserve"> PAGEREF _Toc71616571 \h </w:instrText>
        </w:r>
        <w:r w:rsidR="002320B3">
          <w:rPr>
            <w:noProof/>
            <w:webHidden/>
          </w:rPr>
        </w:r>
        <w:r w:rsidR="002320B3">
          <w:rPr>
            <w:noProof/>
            <w:webHidden/>
          </w:rPr>
          <w:fldChar w:fldCharType="separate"/>
        </w:r>
        <w:r w:rsidR="00D6133D">
          <w:rPr>
            <w:noProof/>
            <w:webHidden/>
          </w:rPr>
          <w:t>474</w:t>
        </w:r>
        <w:r w:rsidR="002320B3">
          <w:rPr>
            <w:noProof/>
            <w:webHidden/>
          </w:rPr>
          <w:fldChar w:fldCharType="end"/>
        </w:r>
      </w:hyperlink>
    </w:p>
    <w:p w14:paraId="0DB7C770" w14:textId="4A2A0A89"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572" w:history="1">
        <w:r w:rsidR="002320B3" w:rsidRPr="0025310E">
          <w:rPr>
            <w:rStyle w:val="Hyperlink"/>
            <w:rFonts w:asciiTheme="majorHAnsi" w:eastAsiaTheme="minorHAnsi" w:hAnsiTheme="majorHAnsi" w:cstheme="majorHAnsi"/>
            <w:noProof/>
            <w:lang w:val="en-US"/>
          </w:rPr>
          <w:t>Figure 45. Distribution of Enrollees by Divisions in EOPE Study</w:t>
        </w:r>
        <w:r w:rsidR="002320B3">
          <w:rPr>
            <w:noProof/>
            <w:webHidden/>
          </w:rPr>
          <w:tab/>
        </w:r>
        <w:r w:rsidR="002320B3">
          <w:rPr>
            <w:noProof/>
            <w:webHidden/>
          </w:rPr>
          <w:fldChar w:fldCharType="begin"/>
        </w:r>
        <w:r w:rsidR="002320B3">
          <w:rPr>
            <w:noProof/>
            <w:webHidden/>
          </w:rPr>
          <w:instrText xml:space="preserve"> PAGEREF _Toc71616572 \h </w:instrText>
        </w:r>
        <w:r w:rsidR="002320B3">
          <w:rPr>
            <w:noProof/>
            <w:webHidden/>
          </w:rPr>
        </w:r>
        <w:r w:rsidR="002320B3">
          <w:rPr>
            <w:noProof/>
            <w:webHidden/>
          </w:rPr>
          <w:fldChar w:fldCharType="separate"/>
        </w:r>
        <w:r w:rsidR="00D6133D">
          <w:rPr>
            <w:noProof/>
            <w:webHidden/>
          </w:rPr>
          <w:t>475</w:t>
        </w:r>
        <w:r w:rsidR="002320B3">
          <w:rPr>
            <w:noProof/>
            <w:webHidden/>
          </w:rPr>
          <w:fldChar w:fldCharType="end"/>
        </w:r>
      </w:hyperlink>
    </w:p>
    <w:p w14:paraId="5E6ACAAF" w14:textId="266A19B2"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573" w:history="1">
        <w:r w:rsidR="002320B3" w:rsidRPr="0025310E">
          <w:rPr>
            <w:rStyle w:val="Hyperlink"/>
            <w:rFonts w:asciiTheme="majorHAnsi" w:eastAsiaTheme="minorHAnsi" w:hAnsiTheme="majorHAnsi" w:cstheme="majorHAnsi"/>
            <w:noProof/>
            <w:lang w:val="en-US"/>
          </w:rPr>
          <w:t>Figure 46. Elementary Gross Enrolment Ratio by Sex, SY2011-2012 to SY2017-2018</w:t>
        </w:r>
        <w:r w:rsidR="002320B3">
          <w:rPr>
            <w:noProof/>
            <w:webHidden/>
          </w:rPr>
          <w:tab/>
        </w:r>
        <w:r w:rsidR="002320B3">
          <w:rPr>
            <w:noProof/>
            <w:webHidden/>
          </w:rPr>
          <w:fldChar w:fldCharType="begin"/>
        </w:r>
        <w:r w:rsidR="002320B3">
          <w:rPr>
            <w:noProof/>
            <w:webHidden/>
          </w:rPr>
          <w:instrText xml:space="preserve"> PAGEREF _Toc71616573 \h </w:instrText>
        </w:r>
        <w:r w:rsidR="002320B3">
          <w:rPr>
            <w:noProof/>
            <w:webHidden/>
          </w:rPr>
        </w:r>
        <w:r w:rsidR="002320B3">
          <w:rPr>
            <w:noProof/>
            <w:webHidden/>
          </w:rPr>
          <w:fldChar w:fldCharType="separate"/>
        </w:r>
        <w:r w:rsidR="00D6133D">
          <w:rPr>
            <w:noProof/>
            <w:webHidden/>
          </w:rPr>
          <w:t>477</w:t>
        </w:r>
        <w:r w:rsidR="002320B3">
          <w:rPr>
            <w:noProof/>
            <w:webHidden/>
          </w:rPr>
          <w:fldChar w:fldCharType="end"/>
        </w:r>
      </w:hyperlink>
    </w:p>
    <w:p w14:paraId="41EE81DA" w14:textId="7B14162E"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574" w:history="1">
        <w:r w:rsidR="002320B3" w:rsidRPr="0025310E">
          <w:rPr>
            <w:rStyle w:val="Hyperlink"/>
            <w:rFonts w:asciiTheme="majorHAnsi" w:eastAsiaTheme="minorHAnsi" w:hAnsiTheme="majorHAnsi" w:cstheme="majorHAnsi"/>
            <w:noProof/>
            <w:lang w:val="en-US"/>
          </w:rPr>
          <w:t>Figure 47. Elementary Gross Enrolment Ratio by Region, SY2017-2018</w:t>
        </w:r>
        <w:r w:rsidR="002320B3">
          <w:rPr>
            <w:noProof/>
            <w:webHidden/>
          </w:rPr>
          <w:tab/>
        </w:r>
        <w:r w:rsidR="002320B3">
          <w:rPr>
            <w:noProof/>
            <w:webHidden/>
          </w:rPr>
          <w:fldChar w:fldCharType="begin"/>
        </w:r>
        <w:r w:rsidR="002320B3">
          <w:rPr>
            <w:noProof/>
            <w:webHidden/>
          </w:rPr>
          <w:instrText xml:space="preserve"> PAGEREF _Toc71616574 \h </w:instrText>
        </w:r>
        <w:r w:rsidR="002320B3">
          <w:rPr>
            <w:noProof/>
            <w:webHidden/>
          </w:rPr>
        </w:r>
        <w:r w:rsidR="002320B3">
          <w:rPr>
            <w:noProof/>
            <w:webHidden/>
          </w:rPr>
          <w:fldChar w:fldCharType="separate"/>
        </w:r>
        <w:r w:rsidR="00D6133D">
          <w:rPr>
            <w:noProof/>
            <w:webHidden/>
          </w:rPr>
          <w:t>478</w:t>
        </w:r>
        <w:r w:rsidR="002320B3">
          <w:rPr>
            <w:noProof/>
            <w:webHidden/>
          </w:rPr>
          <w:fldChar w:fldCharType="end"/>
        </w:r>
      </w:hyperlink>
    </w:p>
    <w:p w14:paraId="75F85FB5" w14:textId="438A7C1B"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575" w:history="1">
        <w:r w:rsidR="002320B3" w:rsidRPr="0025310E">
          <w:rPr>
            <w:rStyle w:val="Hyperlink"/>
            <w:rFonts w:asciiTheme="majorHAnsi" w:eastAsiaTheme="minorHAnsi" w:hAnsiTheme="majorHAnsi" w:cstheme="majorHAnsi"/>
            <w:noProof/>
            <w:lang w:val="en-US"/>
          </w:rPr>
          <w:t>Figure 48. Elementary Gross Enrolment Ratio by BEST/Non-BEST Regions SY2011-2012 to SY2017-2018</w:t>
        </w:r>
        <w:r w:rsidR="002320B3">
          <w:rPr>
            <w:noProof/>
            <w:webHidden/>
          </w:rPr>
          <w:tab/>
        </w:r>
        <w:r w:rsidR="002320B3">
          <w:rPr>
            <w:noProof/>
            <w:webHidden/>
          </w:rPr>
          <w:fldChar w:fldCharType="begin"/>
        </w:r>
        <w:r w:rsidR="002320B3">
          <w:rPr>
            <w:noProof/>
            <w:webHidden/>
          </w:rPr>
          <w:instrText xml:space="preserve"> PAGEREF _Toc71616575 \h </w:instrText>
        </w:r>
        <w:r w:rsidR="002320B3">
          <w:rPr>
            <w:noProof/>
            <w:webHidden/>
          </w:rPr>
        </w:r>
        <w:r w:rsidR="002320B3">
          <w:rPr>
            <w:noProof/>
            <w:webHidden/>
          </w:rPr>
          <w:fldChar w:fldCharType="separate"/>
        </w:r>
        <w:r w:rsidR="00D6133D">
          <w:rPr>
            <w:noProof/>
            <w:webHidden/>
          </w:rPr>
          <w:t>479</w:t>
        </w:r>
        <w:r w:rsidR="002320B3">
          <w:rPr>
            <w:noProof/>
            <w:webHidden/>
          </w:rPr>
          <w:fldChar w:fldCharType="end"/>
        </w:r>
      </w:hyperlink>
    </w:p>
    <w:p w14:paraId="547CA8F3" w14:textId="3C1558E6"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576" w:history="1">
        <w:r w:rsidR="002320B3" w:rsidRPr="0025310E">
          <w:rPr>
            <w:rStyle w:val="Hyperlink"/>
            <w:rFonts w:asciiTheme="majorHAnsi" w:eastAsiaTheme="minorHAnsi" w:hAnsiTheme="majorHAnsi" w:cstheme="majorHAnsi"/>
            <w:noProof/>
            <w:lang w:val="en-US"/>
          </w:rPr>
          <w:t>Figure 49. Elementary Net Enrolment Ratio</w:t>
        </w:r>
        <w:r w:rsidR="002320B3">
          <w:rPr>
            <w:noProof/>
            <w:webHidden/>
          </w:rPr>
          <w:tab/>
        </w:r>
        <w:r w:rsidR="002320B3">
          <w:rPr>
            <w:noProof/>
            <w:webHidden/>
          </w:rPr>
          <w:fldChar w:fldCharType="begin"/>
        </w:r>
        <w:r w:rsidR="002320B3">
          <w:rPr>
            <w:noProof/>
            <w:webHidden/>
          </w:rPr>
          <w:instrText xml:space="preserve"> PAGEREF _Toc71616576 \h </w:instrText>
        </w:r>
        <w:r w:rsidR="002320B3">
          <w:rPr>
            <w:noProof/>
            <w:webHidden/>
          </w:rPr>
        </w:r>
        <w:r w:rsidR="002320B3">
          <w:rPr>
            <w:noProof/>
            <w:webHidden/>
          </w:rPr>
          <w:fldChar w:fldCharType="separate"/>
        </w:r>
        <w:r w:rsidR="00D6133D">
          <w:rPr>
            <w:noProof/>
            <w:webHidden/>
          </w:rPr>
          <w:t>480</w:t>
        </w:r>
        <w:r w:rsidR="002320B3">
          <w:rPr>
            <w:noProof/>
            <w:webHidden/>
          </w:rPr>
          <w:fldChar w:fldCharType="end"/>
        </w:r>
      </w:hyperlink>
    </w:p>
    <w:p w14:paraId="4D6A5867" w14:textId="17B35D60"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577" w:history="1">
        <w:r w:rsidR="002320B3" w:rsidRPr="0025310E">
          <w:rPr>
            <w:rStyle w:val="Hyperlink"/>
            <w:rFonts w:asciiTheme="majorHAnsi" w:eastAsiaTheme="minorHAnsi" w:hAnsiTheme="majorHAnsi" w:cstheme="majorHAnsi"/>
            <w:noProof/>
            <w:lang w:val="en-US"/>
          </w:rPr>
          <w:t>Figure 50. Overall Net Enrolment Rate by EOPE Study Regions and Divisions and by Sex, (%), SY2013-2014 (Baseline)</w:t>
        </w:r>
        <w:r w:rsidR="002320B3">
          <w:rPr>
            <w:noProof/>
            <w:webHidden/>
          </w:rPr>
          <w:tab/>
        </w:r>
        <w:r w:rsidR="002320B3">
          <w:rPr>
            <w:noProof/>
            <w:webHidden/>
          </w:rPr>
          <w:fldChar w:fldCharType="begin"/>
        </w:r>
        <w:r w:rsidR="002320B3">
          <w:rPr>
            <w:noProof/>
            <w:webHidden/>
          </w:rPr>
          <w:instrText xml:space="preserve"> PAGEREF _Toc71616577 \h </w:instrText>
        </w:r>
        <w:r w:rsidR="002320B3">
          <w:rPr>
            <w:noProof/>
            <w:webHidden/>
          </w:rPr>
        </w:r>
        <w:r w:rsidR="002320B3">
          <w:rPr>
            <w:noProof/>
            <w:webHidden/>
          </w:rPr>
          <w:fldChar w:fldCharType="separate"/>
        </w:r>
        <w:r w:rsidR="00D6133D">
          <w:rPr>
            <w:noProof/>
            <w:webHidden/>
          </w:rPr>
          <w:t>484</w:t>
        </w:r>
        <w:r w:rsidR="002320B3">
          <w:rPr>
            <w:noProof/>
            <w:webHidden/>
          </w:rPr>
          <w:fldChar w:fldCharType="end"/>
        </w:r>
      </w:hyperlink>
    </w:p>
    <w:p w14:paraId="03CE575D" w14:textId="6586DC49"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578" w:history="1">
        <w:r w:rsidR="002320B3" w:rsidRPr="0025310E">
          <w:rPr>
            <w:rStyle w:val="Hyperlink"/>
            <w:rFonts w:asciiTheme="majorHAnsi" w:eastAsiaTheme="minorHAnsi" w:hAnsiTheme="majorHAnsi" w:cstheme="majorHAnsi"/>
            <w:noProof/>
            <w:lang w:val="en-US"/>
          </w:rPr>
          <w:t>Figure 51. Overall Net Enrolment Rate Overall by Divisions under EOPE Study and by Sex, (%), SY2017-2018 (Endline)</w:t>
        </w:r>
        <w:r w:rsidR="002320B3">
          <w:rPr>
            <w:noProof/>
            <w:webHidden/>
          </w:rPr>
          <w:tab/>
        </w:r>
        <w:r w:rsidR="002320B3">
          <w:rPr>
            <w:noProof/>
            <w:webHidden/>
          </w:rPr>
          <w:fldChar w:fldCharType="begin"/>
        </w:r>
        <w:r w:rsidR="002320B3">
          <w:rPr>
            <w:noProof/>
            <w:webHidden/>
          </w:rPr>
          <w:instrText xml:space="preserve"> PAGEREF _Toc71616578 \h </w:instrText>
        </w:r>
        <w:r w:rsidR="002320B3">
          <w:rPr>
            <w:noProof/>
            <w:webHidden/>
          </w:rPr>
        </w:r>
        <w:r w:rsidR="002320B3">
          <w:rPr>
            <w:noProof/>
            <w:webHidden/>
          </w:rPr>
          <w:fldChar w:fldCharType="separate"/>
        </w:r>
        <w:r w:rsidR="00D6133D">
          <w:rPr>
            <w:noProof/>
            <w:webHidden/>
          </w:rPr>
          <w:t>485</w:t>
        </w:r>
        <w:r w:rsidR="002320B3">
          <w:rPr>
            <w:noProof/>
            <w:webHidden/>
          </w:rPr>
          <w:fldChar w:fldCharType="end"/>
        </w:r>
      </w:hyperlink>
    </w:p>
    <w:p w14:paraId="1DFA4C80" w14:textId="68C9F968"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579" w:history="1">
        <w:r w:rsidR="002320B3" w:rsidRPr="0025310E">
          <w:rPr>
            <w:rStyle w:val="Hyperlink"/>
            <w:rFonts w:asciiTheme="majorHAnsi" w:eastAsiaTheme="minorHAnsi" w:hAnsiTheme="majorHAnsi" w:cstheme="majorHAnsi"/>
            <w:noProof/>
            <w:lang w:val="en-US"/>
          </w:rPr>
          <w:t>Figure 52.Completion Rate - Elementary</w:t>
        </w:r>
        <w:r w:rsidR="002320B3">
          <w:rPr>
            <w:noProof/>
            <w:webHidden/>
          </w:rPr>
          <w:tab/>
        </w:r>
        <w:r w:rsidR="002320B3">
          <w:rPr>
            <w:noProof/>
            <w:webHidden/>
          </w:rPr>
          <w:fldChar w:fldCharType="begin"/>
        </w:r>
        <w:r w:rsidR="002320B3">
          <w:rPr>
            <w:noProof/>
            <w:webHidden/>
          </w:rPr>
          <w:instrText xml:space="preserve"> PAGEREF _Toc71616579 \h </w:instrText>
        </w:r>
        <w:r w:rsidR="002320B3">
          <w:rPr>
            <w:noProof/>
            <w:webHidden/>
          </w:rPr>
        </w:r>
        <w:r w:rsidR="002320B3">
          <w:rPr>
            <w:noProof/>
            <w:webHidden/>
          </w:rPr>
          <w:fldChar w:fldCharType="separate"/>
        </w:r>
        <w:r w:rsidR="00D6133D">
          <w:rPr>
            <w:noProof/>
            <w:webHidden/>
          </w:rPr>
          <w:t>486</w:t>
        </w:r>
        <w:r w:rsidR="002320B3">
          <w:rPr>
            <w:noProof/>
            <w:webHidden/>
          </w:rPr>
          <w:fldChar w:fldCharType="end"/>
        </w:r>
      </w:hyperlink>
    </w:p>
    <w:p w14:paraId="26558971" w14:textId="5B368414"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580" w:history="1">
        <w:r w:rsidR="002320B3" w:rsidRPr="0025310E">
          <w:rPr>
            <w:rStyle w:val="Hyperlink"/>
            <w:rFonts w:asciiTheme="majorHAnsi" w:eastAsiaTheme="minorHAnsi" w:hAnsiTheme="majorHAnsi" w:cstheme="majorHAnsi"/>
            <w:noProof/>
            <w:lang w:val="en-US"/>
          </w:rPr>
          <w:t>Figure 53.Completion Rate - Secondary</w:t>
        </w:r>
        <w:r w:rsidR="002320B3">
          <w:rPr>
            <w:noProof/>
            <w:webHidden/>
          </w:rPr>
          <w:tab/>
        </w:r>
        <w:r w:rsidR="002320B3">
          <w:rPr>
            <w:noProof/>
            <w:webHidden/>
          </w:rPr>
          <w:fldChar w:fldCharType="begin"/>
        </w:r>
        <w:r w:rsidR="002320B3">
          <w:rPr>
            <w:noProof/>
            <w:webHidden/>
          </w:rPr>
          <w:instrText xml:space="preserve"> PAGEREF _Toc71616580 \h </w:instrText>
        </w:r>
        <w:r w:rsidR="002320B3">
          <w:rPr>
            <w:noProof/>
            <w:webHidden/>
          </w:rPr>
        </w:r>
        <w:r w:rsidR="002320B3">
          <w:rPr>
            <w:noProof/>
            <w:webHidden/>
          </w:rPr>
          <w:fldChar w:fldCharType="separate"/>
        </w:r>
        <w:r w:rsidR="00D6133D">
          <w:rPr>
            <w:noProof/>
            <w:webHidden/>
          </w:rPr>
          <w:t>488</w:t>
        </w:r>
        <w:r w:rsidR="002320B3">
          <w:rPr>
            <w:noProof/>
            <w:webHidden/>
          </w:rPr>
          <w:fldChar w:fldCharType="end"/>
        </w:r>
      </w:hyperlink>
    </w:p>
    <w:p w14:paraId="3A867DB5" w14:textId="22C05CB1"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581" w:history="1">
        <w:r w:rsidR="002320B3" w:rsidRPr="0025310E">
          <w:rPr>
            <w:rStyle w:val="Hyperlink"/>
            <w:rFonts w:asciiTheme="majorHAnsi" w:eastAsiaTheme="minorHAnsi" w:hAnsiTheme="majorHAnsi" w:cstheme="majorHAnsi"/>
            <w:noProof/>
            <w:lang w:val="en-US"/>
          </w:rPr>
          <w:t>Figure 54.Completion Rate by Divisions under EOPE Study (%), SY2013-2014 (Baseline)</w:t>
        </w:r>
        <w:r w:rsidR="002320B3">
          <w:rPr>
            <w:noProof/>
            <w:webHidden/>
          </w:rPr>
          <w:tab/>
        </w:r>
        <w:r w:rsidR="002320B3">
          <w:rPr>
            <w:noProof/>
            <w:webHidden/>
          </w:rPr>
          <w:fldChar w:fldCharType="begin"/>
        </w:r>
        <w:r w:rsidR="002320B3">
          <w:rPr>
            <w:noProof/>
            <w:webHidden/>
          </w:rPr>
          <w:instrText xml:space="preserve"> PAGEREF _Toc71616581 \h </w:instrText>
        </w:r>
        <w:r w:rsidR="002320B3">
          <w:rPr>
            <w:noProof/>
            <w:webHidden/>
          </w:rPr>
        </w:r>
        <w:r w:rsidR="002320B3">
          <w:rPr>
            <w:noProof/>
            <w:webHidden/>
          </w:rPr>
          <w:fldChar w:fldCharType="separate"/>
        </w:r>
        <w:r w:rsidR="00D6133D">
          <w:rPr>
            <w:noProof/>
            <w:webHidden/>
          </w:rPr>
          <w:t>489</w:t>
        </w:r>
        <w:r w:rsidR="002320B3">
          <w:rPr>
            <w:noProof/>
            <w:webHidden/>
          </w:rPr>
          <w:fldChar w:fldCharType="end"/>
        </w:r>
      </w:hyperlink>
    </w:p>
    <w:p w14:paraId="5491516F" w14:textId="3CA94B65"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582" w:history="1">
        <w:r w:rsidR="002320B3" w:rsidRPr="0025310E">
          <w:rPr>
            <w:rStyle w:val="Hyperlink"/>
            <w:rFonts w:asciiTheme="majorHAnsi" w:eastAsiaTheme="majorEastAsia" w:hAnsiTheme="majorHAnsi" w:cstheme="majorHAnsi"/>
            <w:noProof/>
            <w:lang w:val="en-US"/>
          </w:rPr>
          <w:t>Figure 55.Completion Rate by Divisions under EOPE Study (%), SY2017-2018 (Endline)</w:t>
        </w:r>
        <w:r w:rsidR="002320B3">
          <w:rPr>
            <w:noProof/>
            <w:webHidden/>
          </w:rPr>
          <w:tab/>
        </w:r>
        <w:r w:rsidR="002320B3">
          <w:rPr>
            <w:noProof/>
            <w:webHidden/>
          </w:rPr>
          <w:fldChar w:fldCharType="begin"/>
        </w:r>
        <w:r w:rsidR="002320B3">
          <w:rPr>
            <w:noProof/>
            <w:webHidden/>
          </w:rPr>
          <w:instrText xml:space="preserve"> PAGEREF _Toc71616582 \h </w:instrText>
        </w:r>
        <w:r w:rsidR="002320B3">
          <w:rPr>
            <w:noProof/>
            <w:webHidden/>
          </w:rPr>
        </w:r>
        <w:r w:rsidR="002320B3">
          <w:rPr>
            <w:noProof/>
            <w:webHidden/>
          </w:rPr>
          <w:fldChar w:fldCharType="separate"/>
        </w:r>
        <w:r w:rsidR="00D6133D">
          <w:rPr>
            <w:noProof/>
            <w:webHidden/>
          </w:rPr>
          <w:t>490</w:t>
        </w:r>
        <w:r w:rsidR="002320B3">
          <w:rPr>
            <w:noProof/>
            <w:webHidden/>
          </w:rPr>
          <w:fldChar w:fldCharType="end"/>
        </w:r>
      </w:hyperlink>
    </w:p>
    <w:p w14:paraId="65EDF081" w14:textId="2E381F7E"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583" w:history="1">
        <w:r w:rsidR="002320B3" w:rsidRPr="0025310E">
          <w:rPr>
            <w:rStyle w:val="Hyperlink"/>
            <w:rFonts w:asciiTheme="majorHAnsi" w:eastAsiaTheme="majorEastAsia" w:hAnsiTheme="majorHAnsi" w:cstheme="majorHAnsi"/>
            <w:noProof/>
            <w:lang w:val="en-US"/>
          </w:rPr>
          <w:t>Figure 56. Change in Completion Rate by Divisions under EOPE Study (%), (Endline-Baseline)</w:t>
        </w:r>
        <w:r w:rsidR="002320B3">
          <w:rPr>
            <w:noProof/>
            <w:webHidden/>
          </w:rPr>
          <w:tab/>
        </w:r>
        <w:r w:rsidR="002320B3">
          <w:rPr>
            <w:noProof/>
            <w:webHidden/>
          </w:rPr>
          <w:fldChar w:fldCharType="begin"/>
        </w:r>
        <w:r w:rsidR="002320B3">
          <w:rPr>
            <w:noProof/>
            <w:webHidden/>
          </w:rPr>
          <w:instrText xml:space="preserve"> PAGEREF _Toc71616583 \h </w:instrText>
        </w:r>
        <w:r w:rsidR="002320B3">
          <w:rPr>
            <w:noProof/>
            <w:webHidden/>
          </w:rPr>
        </w:r>
        <w:r w:rsidR="002320B3">
          <w:rPr>
            <w:noProof/>
            <w:webHidden/>
          </w:rPr>
          <w:fldChar w:fldCharType="separate"/>
        </w:r>
        <w:r w:rsidR="00D6133D">
          <w:rPr>
            <w:noProof/>
            <w:webHidden/>
          </w:rPr>
          <w:t>491</w:t>
        </w:r>
        <w:r w:rsidR="002320B3">
          <w:rPr>
            <w:noProof/>
            <w:webHidden/>
          </w:rPr>
          <w:fldChar w:fldCharType="end"/>
        </w:r>
      </w:hyperlink>
    </w:p>
    <w:p w14:paraId="74307541" w14:textId="3E2803A8"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584" w:history="1">
        <w:r w:rsidR="002320B3" w:rsidRPr="0025310E">
          <w:rPr>
            <w:rStyle w:val="Hyperlink"/>
            <w:rFonts w:asciiTheme="majorHAnsi" w:eastAsiaTheme="minorHAnsi" w:hAnsiTheme="majorHAnsi" w:cstheme="majorHAnsi"/>
            <w:noProof/>
            <w:lang w:val="en-US"/>
          </w:rPr>
          <w:t>Figure 57.</w:t>
        </w:r>
        <w:r w:rsidR="00D434EB">
          <w:rPr>
            <w:rStyle w:val="Hyperlink"/>
            <w:rFonts w:asciiTheme="majorHAnsi" w:eastAsiaTheme="minorHAnsi" w:hAnsiTheme="majorHAnsi" w:cstheme="majorHAnsi"/>
            <w:noProof/>
            <w:lang w:val="en-US"/>
          </w:rPr>
          <w:t xml:space="preserve"> </w:t>
        </w:r>
        <w:r w:rsidR="002320B3" w:rsidRPr="0025310E">
          <w:rPr>
            <w:rStyle w:val="Hyperlink"/>
            <w:rFonts w:asciiTheme="majorHAnsi" w:eastAsiaTheme="minorHAnsi" w:hAnsiTheme="majorHAnsi" w:cstheme="majorHAnsi"/>
            <w:noProof/>
            <w:lang w:val="en-US"/>
          </w:rPr>
          <w:t>Retention Rate - Elementary</w:t>
        </w:r>
        <w:r w:rsidR="002320B3">
          <w:rPr>
            <w:noProof/>
            <w:webHidden/>
          </w:rPr>
          <w:tab/>
        </w:r>
        <w:r w:rsidR="002320B3">
          <w:rPr>
            <w:noProof/>
            <w:webHidden/>
          </w:rPr>
          <w:fldChar w:fldCharType="begin"/>
        </w:r>
        <w:r w:rsidR="002320B3">
          <w:rPr>
            <w:noProof/>
            <w:webHidden/>
          </w:rPr>
          <w:instrText xml:space="preserve"> PAGEREF _Toc71616584 \h </w:instrText>
        </w:r>
        <w:r w:rsidR="002320B3">
          <w:rPr>
            <w:noProof/>
            <w:webHidden/>
          </w:rPr>
        </w:r>
        <w:r w:rsidR="002320B3">
          <w:rPr>
            <w:noProof/>
            <w:webHidden/>
          </w:rPr>
          <w:fldChar w:fldCharType="separate"/>
        </w:r>
        <w:r w:rsidR="00D6133D">
          <w:rPr>
            <w:noProof/>
            <w:webHidden/>
          </w:rPr>
          <w:t>493</w:t>
        </w:r>
        <w:r w:rsidR="002320B3">
          <w:rPr>
            <w:noProof/>
            <w:webHidden/>
          </w:rPr>
          <w:fldChar w:fldCharType="end"/>
        </w:r>
      </w:hyperlink>
    </w:p>
    <w:p w14:paraId="020F2A24" w14:textId="489E2C0A"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585" w:history="1">
        <w:r w:rsidR="002320B3" w:rsidRPr="0025310E">
          <w:rPr>
            <w:rStyle w:val="Hyperlink"/>
            <w:rFonts w:asciiTheme="majorHAnsi" w:eastAsiaTheme="minorHAnsi" w:hAnsiTheme="majorHAnsi" w:cstheme="majorHAnsi"/>
            <w:noProof/>
            <w:lang w:val="en-US"/>
          </w:rPr>
          <w:t>Figure 58. Retention Rate - Secondary</w:t>
        </w:r>
        <w:r w:rsidR="002320B3">
          <w:rPr>
            <w:noProof/>
            <w:webHidden/>
          </w:rPr>
          <w:tab/>
        </w:r>
        <w:r w:rsidR="002320B3">
          <w:rPr>
            <w:noProof/>
            <w:webHidden/>
          </w:rPr>
          <w:fldChar w:fldCharType="begin"/>
        </w:r>
        <w:r w:rsidR="002320B3">
          <w:rPr>
            <w:noProof/>
            <w:webHidden/>
          </w:rPr>
          <w:instrText xml:space="preserve"> PAGEREF _Toc71616585 \h </w:instrText>
        </w:r>
        <w:r w:rsidR="002320B3">
          <w:rPr>
            <w:noProof/>
            <w:webHidden/>
          </w:rPr>
        </w:r>
        <w:r w:rsidR="002320B3">
          <w:rPr>
            <w:noProof/>
            <w:webHidden/>
          </w:rPr>
          <w:fldChar w:fldCharType="separate"/>
        </w:r>
        <w:r w:rsidR="00D6133D">
          <w:rPr>
            <w:noProof/>
            <w:webHidden/>
          </w:rPr>
          <w:t>494</w:t>
        </w:r>
        <w:r w:rsidR="002320B3">
          <w:rPr>
            <w:noProof/>
            <w:webHidden/>
          </w:rPr>
          <w:fldChar w:fldCharType="end"/>
        </w:r>
      </w:hyperlink>
    </w:p>
    <w:p w14:paraId="1AD04D5E" w14:textId="30238A07"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586" w:history="1">
        <w:r w:rsidR="002320B3" w:rsidRPr="0025310E">
          <w:rPr>
            <w:rStyle w:val="Hyperlink"/>
            <w:rFonts w:asciiTheme="majorHAnsi" w:eastAsiaTheme="minorHAnsi" w:hAnsiTheme="majorHAnsi" w:cstheme="majorHAnsi"/>
            <w:noProof/>
            <w:lang w:val="en-US"/>
          </w:rPr>
          <w:t>Figure 59. Elementary School Leaver Rates</w:t>
        </w:r>
        <w:r w:rsidR="002320B3">
          <w:rPr>
            <w:noProof/>
            <w:webHidden/>
          </w:rPr>
          <w:tab/>
        </w:r>
        <w:r w:rsidR="002320B3">
          <w:rPr>
            <w:noProof/>
            <w:webHidden/>
          </w:rPr>
          <w:fldChar w:fldCharType="begin"/>
        </w:r>
        <w:r w:rsidR="002320B3">
          <w:rPr>
            <w:noProof/>
            <w:webHidden/>
          </w:rPr>
          <w:instrText xml:space="preserve"> PAGEREF _Toc71616586 \h </w:instrText>
        </w:r>
        <w:r w:rsidR="002320B3">
          <w:rPr>
            <w:noProof/>
            <w:webHidden/>
          </w:rPr>
        </w:r>
        <w:r w:rsidR="002320B3">
          <w:rPr>
            <w:noProof/>
            <w:webHidden/>
          </w:rPr>
          <w:fldChar w:fldCharType="separate"/>
        </w:r>
        <w:r w:rsidR="00D6133D">
          <w:rPr>
            <w:noProof/>
            <w:webHidden/>
          </w:rPr>
          <w:t>495</w:t>
        </w:r>
        <w:r w:rsidR="002320B3">
          <w:rPr>
            <w:noProof/>
            <w:webHidden/>
          </w:rPr>
          <w:fldChar w:fldCharType="end"/>
        </w:r>
      </w:hyperlink>
    </w:p>
    <w:p w14:paraId="4434E206" w14:textId="795E1F96"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587" w:history="1">
        <w:r w:rsidR="002320B3" w:rsidRPr="0025310E">
          <w:rPr>
            <w:rStyle w:val="Hyperlink"/>
            <w:rFonts w:asciiTheme="majorHAnsi" w:eastAsiaTheme="minorHAnsi" w:hAnsiTheme="majorHAnsi" w:cstheme="majorHAnsi"/>
            <w:noProof/>
            <w:lang w:val="en-US"/>
          </w:rPr>
          <w:t>Figure 60. Dropout/School Leaver Rate - Secondary</w:t>
        </w:r>
        <w:r w:rsidR="002320B3">
          <w:rPr>
            <w:noProof/>
            <w:webHidden/>
          </w:rPr>
          <w:tab/>
        </w:r>
        <w:r w:rsidR="002320B3">
          <w:rPr>
            <w:noProof/>
            <w:webHidden/>
          </w:rPr>
          <w:fldChar w:fldCharType="begin"/>
        </w:r>
        <w:r w:rsidR="002320B3">
          <w:rPr>
            <w:noProof/>
            <w:webHidden/>
          </w:rPr>
          <w:instrText xml:space="preserve"> PAGEREF _Toc71616587 \h </w:instrText>
        </w:r>
        <w:r w:rsidR="002320B3">
          <w:rPr>
            <w:noProof/>
            <w:webHidden/>
          </w:rPr>
        </w:r>
        <w:r w:rsidR="002320B3">
          <w:rPr>
            <w:noProof/>
            <w:webHidden/>
          </w:rPr>
          <w:fldChar w:fldCharType="separate"/>
        </w:r>
        <w:r w:rsidR="00D6133D">
          <w:rPr>
            <w:noProof/>
            <w:webHidden/>
          </w:rPr>
          <w:t>496</w:t>
        </w:r>
        <w:r w:rsidR="002320B3">
          <w:rPr>
            <w:noProof/>
            <w:webHidden/>
          </w:rPr>
          <w:fldChar w:fldCharType="end"/>
        </w:r>
      </w:hyperlink>
    </w:p>
    <w:p w14:paraId="3BCFC69D" w14:textId="248B606E"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588" w:history="1">
        <w:r w:rsidR="002320B3" w:rsidRPr="0025310E">
          <w:rPr>
            <w:rStyle w:val="Hyperlink"/>
            <w:rFonts w:asciiTheme="majorHAnsi" w:eastAsiaTheme="minorHAnsi" w:hAnsiTheme="majorHAnsi" w:cstheme="majorHAnsi"/>
            <w:noProof/>
            <w:lang w:val="en-US"/>
          </w:rPr>
          <w:t>Figure 61. School Leaver Rate by Divisions under EOPE Study (%), SY2013-2014 (Baseline)</w:t>
        </w:r>
        <w:r w:rsidR="002320B3">
          <w:rPr>
            <w:noProof/>
            <w:webHidden/>
          </w:rPr>
          <w:tab/>
        </w:r>
        <w:r w:rsidR="002320B3">
          <w:rPr>
            <w:noProof/>
            <w:webHidden/>
          </w:rPr>
          <w:fldChar w:fldCharType="begin"/>
        </w:r>
        <w:r w:rsidR="002320B3">
          <w:rPr>
            <w:noProof/>
            <w:webHidden/>
          </w:rPr>
          <w:instrText xml:space="preserve"> PAGEREF _Toc71616588 \h </w:instrText>
        </w:r>
        <w:r w:rsidR="002320B3">
          <w:rPr>
            <w:noProof/>
            <w:webHidden/>
          </w:rPr>
        </w:r>
        <w:r w:rsidR="002320B3">
          <w:rPr>
            <w:noProof/>
            <w:webHidden/>
          </w:rPr>
          <w:fldChar w:fldCharType="separate"/>
        </w:r>
        <w:r w:rsidR="00D6133D">
          <w:rPr>
            <w:noProof/>
            <w:webHidden/>
          </w:rPr>
          <w:t>500</w:t>
        </w:r>
        <w:r w:rsidR="002320B3">
          <w:rPr>
            <w:noProof/>
            <w:webHidden/>
          </w:rPr>
          <w:fldChar w:fldCharType="end"/>
        </w:r>
      </w:hyperlink>
    </w:p>
    <w:p w14:paraId="2D0344FC" w14:textId="031F54EC"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589" w:history="1">
        <w:r w:rsidR="002320B3" w:rsidRPr="0025310E">
          <w:rPr>
            <w:rStyle w:val="Hyperlink"/>
            <w:rFonts w:asciiTheme="majorHAnsi" w:eastAsiaTheme="minorHAnsi" w:hAnsiTheme="majorHAnsi" w:cstheme="majorHAnsi"/>
            <w:noProof/>
            <w:lang w:val="en-US"/>
          </w:rPr>
          <w:t>Figure 62. School Leaver Rate by Divisions under EOPE Study (%), SY2017-2018 (Endline)</w:t>
        </w:r>
        <w:r w:rsidR="002320B3">
          <w:rPr>
            <w:noProof/>
            <w:webHidden/>
          </w:rPr>
          <w:tab/>
        </w:r>
        <w:r w:rsidR="002320B3">
          <w:rPr>
            <w:noProof/>
            <w:webHidden/>
          </w:rPr>
          <w:fldChar w:fldCharType="begin"/>
        </w:r>
        <w:r w:rsidR="002320B3">
          <w:rPr>
            <w:noProof/>
            <w:webHidden/>
          </w:rPr>
          <w:instrText xml:space="preserve"> PAGEREF _Toc71616589 \h </w:instrText>
        </w:r>
        <w:r w:rsidR="002320B3">
          <w:rPr>
            <w:noProof/>
            <w:webHidden/>
          </w:rPr>
        </w:r>
        <w:r w:rsidR="002320B3">
          <w:rPr>
            <w:noProof/>
            <w:webHidden/>
          </w:rPr>
          <w:fldChar w:fldCharType="separate"/>
        </w:r>
        <w:r w:rsidR="00D6133D">
          <w:rPr>
            <w:noProof/>
            <w:webHidden/>
          </w:rPr>
          <w:t>501</w:t>
        </w:r>
        <w:r w:rsidR="002320B3">
          <w:rPr>
            <w:noProof/>
            <w:webHidden/>
          </w:rPr>
          <w:fldChar w:fldCharType="end"/>
        </w:r>
      </w:hyperlink>
    </w:p>
    <w:p w14:paraId="717A4A1D" w14:textId="5CDF3F1D"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590" w:history="1">
        <w:r w:rsidR="002320B3" w:rsidRPr="0025310E">
          <w:rPr>
            <w:rStyle w:val="Hyperlink"/>
            <w:rFonts w:asciiTheme="majorHAnsi" w:eastAsiaTheme="minorHAnsi" w:hAnsiTheme="majorHAnsi" w:cstheme="majorHAnsi"/>
            <w:noProof/>
            <w:lang w:val="en-US"/>
          </w:rPr>
          <w:t>Figure 63. Change in School Leaver Rate by Divisions under EOPE Study (%), (Endline-Baseline)</w:t>
        </w:r>
        <w:r w:rsidR="002320B3">
          <w:rPr>
            <w:noProof/>
            <w:webHidden/>
          </w:rPr>
          <w:tab/>
        </w:r>
        <w:r w:rsidR="002320B3">
          <w:rPr>
            <w:noProof/>
            <w:webHidden/>
          </w:rPr>
          <w:fldChar w:fldCharType="begin"/>
        </w:r>
        <w:r w:rsidR="002320B3">
          <w:rPr>
            <w:noProof/>
            <w:webHidden/>
          </w:rPr>
          <w:instrText xml:space="preserve"> PAGEREF _Toc71616590 \h </w:instrText>
        </w:r>
        <w:r w:rsidR="002320B3">
          <w:rPr>
            <w:noProof/>
            <w:webHidden/>
          </w:rPr>
        </w:r>
        <w:r w:rsidR="002320B3">
          <w:rPr>
            <w:noProof/>
            <w:webHidden/>
          </w:rPr>
          <w:fldChar w:fldCharType="separate"/>
        </w:r>
        <w:r w:rsidR="00D6133D">
          <w:rPr>
            <w:noProof/>
            <w:webHidden/>
          </w:rPr>
          <w:t>502</w:t>
        </w:r>
        <w:r w:rsidR="002320B3">
          <w:rPr>
            <w:noProof/>
            <w:webHidden/>
          </w:rPr>
          <w:fldChar w:fldCharType="end"/>
        </w:r>
      </w:hyperlink>
    </w:p>
    <w:p w14:paraId="7B7A412E" w14:textId="3AE55D4F" w:rsidR="002320B3" w:rsidRDefault="00092C0F" w:rsidP="002320B3">
      <w:pPr>
        <w:pStyle w:val="TableofFigures"/>
        <w:tabs>
          <w:tab w:val="right" w:leader="underscore" w:pos="9010"/>
        </w:tabs>
        <w:rPr>
          <w:rFonts w:eastAsiaTheme="minorEastAsia" w:cstheme="minorBidi"/>
          <w:i w:val="0"/>
          <w:iCs w:val="0"/>
          <w:noProof/>
          <w:sz w:val="22"/>
          <w:szCs w:val="22"/>
          <w:lang w:val="en-AU" w:eastAsia="en-AU"/>
        </w:rPr>
      </w:pPr>
      <w:hyperlink w:anchor="_Toc71616591" w:history="1">
        <w:r w:rsidR="002320B3" w:rsidRPr="0025310E">
          <w:rPr>
            <w:rStyle w:val="Hyperlink"/>
            <w:rFonts w:asciiTheme="majorHAnsi" w:eastAsiaTheme="minorHAnsi" w:hAnsiTheme="majorHAnsi" w:cstheme="majorHAnsi"/>
            <w:noProof/>
            <w:lang w:val="en-US"/>
          </w:rPr>
          <w:t>Figure 64. Change in Number of Learners with Exceptionalities, SY2014-2015 to SY2018-2019</w:t>
        </w:r>
        <w:r w:rsidR="002320B3">
          <w:rPr>
            <w:noProof/>
            <w:webHidden/>
          </w:rPr>
          <w:tab/>
        </w:r>
        <w:r w:rsidR="002320B3">
          <w:rPr>
            <w:noProof/>
            <w:webHidden/>
          </w:rPr>
          <w:fldChar w:fldCharType="begin"/>
        </w:r>
        <w:r w:rsidR="002320B3">
          <w:rPr>
            <w:noProof/>
            <w:webHidden/>
          </w:rPr>
          <w:instrText xml:space="preserve"> PAGEREF _Toc71616591 \h </w:instrText>
        </w:r>
        <w:r w:rsidR="002320B3">
          <w:rPr>
            <w:noProof/>
            <w:webHidden/>
          </w:rPr>
        </w:r>
        <w:r w:rsidR="002320B3">
          <w:rPr>
            <w:noProof/>
            <w:webHidden/>
          </w:rPr>
          <w:fldChar w:fldCharType="separate"/>
        </w:r>
        <w:r w:rsidR="00D6133D">
          <w:rPr>
            <w:noProof/>
            <w:webHidden/>
          </w:rPr>
          <w:t>504</w:t>
        </w:r>
        <w:r w:rsidR="002320B3">
          <w:rPr>
            <w:noProof/>
            <w:webHidden/>
          </w:rPr>
          <w:fldChar w:fldCharType="end"/>
        </w:r>
      </w:hyperlink>
    </w:p>
    <w:p w14:paraId="65C7D05A" w14:textId="1C236B4A" w:rsidR="008D0CAD" w:rsidRPr="006802E8" w:rsidRDefault="008D0CAD" w:rsidP="002320B3">
      <w:pPr>
        <w:rPr>
          <w:rFonts w:asciiTheme="majorHAnsi" w:hAnsiTheme="majorHAnsi" w:cstheme="majorHAnsi"/>
        </w:rPr>
      </w:pPr>
      <w:r>
        <w:rPr>
          <w:rFonts w:asciiTheme="majorHAnsi" w:hAnsiTheme="majorHAnsi" w:cstheme="majorHAnsi"/>
        </w:rPr>
        <w:fldChar w:fldCharType="end"/>
      </w:r>
    </w:p>
    <w:p w14:paraId="3D90F31F" w14:textId="77777777" w:rsidR="008D0CAD" w:rsidRPr="009A20A3" w:rsidRDefault="008D0CAD" w:rsidP="002320B3">
      <w:pPr>
        <w:rPr>
          <w:rFonts w:asciiTheme="majorHAnsi" w:hAnsiTheme="majorHAnsi" w:cstheme="majorHAnsi"/>
          <w:b/>
          <w:sz w:val="28"/>
          <w:szCs w:val="28"/>
        </w:rPr>
      </w:pPr>
      <w:r w:rsidRPr="009A20A3">
        <w:rPr>
          <w:rFonts w:asciiTheme="majorHAnsi" w:hAnsiTheme="majorHAnsi" w:cstheme="majorHAnsi"/>
          <w:b/>
          <w:sz w:val="28"/>
          <w:szCs w:val="28"/>
        </w:rPr>
        <w:t>Boxes</w:t>
      </w:r>
    </w:p>
    <w:p w14:paraId="7CCBD1B6" w14:textId="77777777" w:rsidR="008D0CAD" w:rsidRDefault="008D0CAD" w:rsidP="002320B3">
      <w:pPr>
        <w:rPr>
          <w:rFonts w:asciiTheme="majorHAnsi" w:hAnsiTheme="majorHAnsi" w:cstheme="majorHAnsi"/>
        </w:rPr>
      </w:pPr>
    </w:p>
    <w:p w14:paraId="32393113" w14:textId="77777777" w:rsidR="008D0CAD" w:rsidRPr="002D4672" w:rsidRDefault="008D0CAD" w:rsidP="002320B3">
      <w:pPr>
        <w:rPr>
          <w:rFonts w:asciiTheme="majorHAnsi" w:hAnsiTheme="majorHAnsi" w:cstheme="majorHAnsi"/>
          <w:sz w:val="20"/>
          <w:szCs w:val="20"/>
        </w:rPr>
      </w:pPr>
      <w:r w:rsidRPr="002D4672">
        <w:rPr>
          <w:rFonts w:asciiTheme="majorHAnsi" w:hAnsiTheme="majorHAnsi" w:cstheme="majorHAnsi"/>
          <w:sz w:val="20"/>
          <w:szCs w:val="20"/>
        </w:rPr>
        <w:t>Box 1. Using the Mother Tongue as Medium of Instruction</w:t>
      </w:r>
      <w:r>
        <w:rPr>
          <w:rFonts w:asciiTheme="majorHAnsi" w:hAnsiTheme="majorHAnsi" w:cstheme="majorHAnsi"/>
          <w:sz w:val="20"/>
          <w:szCs w:val="20"/>
        </w:rPr>
        <w:t xml:space="preserve"> </w:t>
      </w:r>
      <w:r w:rsidRPr="002D4672">
        <w:rPr>
          <w:rFonts w:asciiTheme="majorHAnsi" w:hAnsiTheme="majorHAnsi" w:cstheme="majorHAnsi"/>
          <w:sz w:val="20"/>
          <w:szCs w:val="20"/>
        </w:rPr>
        <w:t>……………………………………………………………………………. 5</w:t>
      </w:r>
      <w:r>
        <w:rPr>
          <w:rFonts w:asciiTheme="majorHAnsi" w:hAnsiTheme="majorHAnsi" w:cstheme="majorHAnsi"/>
          <w:sz w:val="20"/>
          <w:szCs w:val="20"/>
        </w:rPr>
        <w:t>7</w:t>
      </w:r>
    </w:p>
    <w:p w14:paraId="571C666A" w14:textId="77777777" w:rsidR="008D0CAD" w:rsidRPr="002D4672" w:rsidRDefault="008D0CAD" w:rsidP="002320B3">
      <w:pPr>
        <w:rPr>
          <w:rFonts w:asciiTheme="majorHAnsi" w:hAnsiTheme="majorHAnsi" w:cstheme="majorHAnsi"/>
          <w:sz w:val="20"/>
          <w:szCs w:val="20"/>
        </w:rPr>
      </w:pPr>
      <w:r w:rsidRPr="002D4672">
        <w:rPr>
          <w:rFonts w:asciiTheme="majorHAnsi" w:hAnsiTheme="majorHAnsi" w:cstheme="majorHAnsi"/>
          <w:sz w:val="20"/>
          <w:szCs w:val="20"/>
        </w:rPr>
        <w:t>Box 2. K-12 Curriculum ………</w:t>
      </w:r>
      <w:r>
        <w:rPr>
          <w:rFonts w:asciiTheme="majorHAnsi" w:hAnsiTheme="majorHAnsi" w:cstheme="majorHAnsi"/>
          <w:sz w:val="20"/>
          <w:szCs w:val="20"/>
        </w:rPr>
        <w:t>…………………………………………..</w:t>
      </w:r>
      <w:r w:rsidRPr="002D4672">
        <w:rPr>
          <w:rFonts w:asciiTheme="majorHAnsi" w:hAnsiTheme="majorHAnsi" w:cstheme="majorHAnsi"/>
          <w:sz w:val="20"/>
          <w:szCs w:val="20"/>
        </w:rPr>
        <w:t>………………………………………………………………………………. 5</w:t>
      </w:r>
      <w:r>
        <w:rPr>
          <w:rFonts w:asciiTheme="majorHAnsi" w:hAnsiTheme="majorHAnsi" w:cstheme="majorHAnsi"/>
          <w:sz w:val="20"/>
          <w:szCs w:val="20"/>
        </w:rPr>
        <w:t>9</w:t>
      </w:r>
    </w:p>
    <w:p w14:paraId="7791D968" w14:textId="77777777" w:rsidR="008D0CAD" w:rsidRPr="002D4672" w:rsidRDefault="008D0CAD" w:rsidP="002320B3">
      <w:pPr>
        <w:rPr>
          <w:rFonts w:asciiTheme="majorHAnsi" w:hAnsiTheme="majorHAnsi" w:cstheme="majorHAnsi"/>
          <w:sz w:val="20"/>
          <w:szCs w:val="20"/>
        </w:rPr>
      </w:pPr>
      <w:r w:rsidRPr="002D4672">
        <w:rPr>
          <w:rFonts w:asciiTheme="majorHAnsi" w:hAnsiTheme="majorHAnsi" w:cstheme="majorHAnsi"/>
          <w:sz w:val="20"/>
          <w:szCs w:val="20"/>
        </w:rPr>
        <w:t>Box 3. Classroom Assessment Resource Book …………………</w:t>
      </w:r>
      <w:r>
        <w:rPr>
          <w:rFonts w:asciiTheme="majorHAnsi" w:hAnsiTheme="majorHAnsi" w:cstheme="majorHAnsi"/>
          <w:sz w:val="20"/>
          <w:szCs w:val="20"/>
        </w:rPr>
        <w:t>………..</w:t>
      </w:r>
      <w:r w:rsidRPr="002D4672">
        <w:rPr>
          <w:rFonts w:asciiTheme="majorHAnsi" w:hAnsiTheme="majorHAnsi" w:cstheme="majorHAnsi"/>
          <w:sz w:val="20"/>
          <w:szCs w:val="20"/>
        </w:rPr>
        <w:t xml:space="preserve">……………………………………………………………………. </w:t>
      </w:r>
      <w:r>
        <w:rPr>
          <w:rFonts w:asciiTheme="majorHAnsi" w:hAnsiTheme="majorHAnsi" w:cstheme="majorHAnsi"/>
          <w:sz w:val="20"/>
          <w:szCs w:val="20"/>
        </w:rPr>
        <w:t>60</w:t>
      </w:r>
    </w:p>
    <w:p w14:paraId="314E5003" w14:textId="77777777" w:rsidR="008D0CAD" w:rsidRPr="002D4672" w:rsidRDefault="008D0CAD" w:rsidP="002320B3">
      <w:pPr>
        <w:rPr>
          <w:rFonts w:asciiTheme="majorHAnsi" w:hAnsiTheme="majorHAnsi" w:cstheme="majorHAnsi"/>
          <w:sz w:val="20"/>
          <w:szCs w:val="20"/>
        </w:rPr>
      </w:pPr>
      <w:r w:rsidRPr="002D4672">
        <w:rPr>
          <w:rFonts w:asciiTheme="majorHAnsi" w:hAnsiTheme="majorHAnsi" w:cstheme="majorHAnsi"/>
          <w:sz w:val="20"/>
          <w:szCs w:val="20"/>
        </w:rPr>
        <w:t>Box 4. FGD with a BEST-supported RO on MEA ………………</w:t>
      </w:r>
      <w:r>
        <w:rPr>
          <w:rFonts w:asciiTheme="majorHAnsi" w:hAnsiTheme="majorHAnsi" w:cstheme="majorHAnsi"/>
          <w:sz w:val="20"/>
          <w:szCs w:val="20"/>
        </w:rPr>
        <w:t>………</w:t>
      </w:r>
      <w:r w:rsidRPr="002D4672">
        <w:rPr>
          <w:rFonts w:asciiTheme="majorHAnsi" w:hAnsiTheme="majorHAnsi" w:cstheme="majorHAnsi"/>
          <w:sz w:val="20"/>
          <w:szCs w:val="20"/>
        </w:rPr>
        <w:t>………………………………………………………………………. 7</w:t>
      </w:r>
      <w:r>
        <w:rPr>
          <w:rFonts w:asciiTheme="majorHAnsi" w:hAnsiTheme="majorHAnsi" w:cstheme="majorHAnsi"/>
          <w:sz w:val="20"/>
          <w:szCs w:val="20"/>
        </w:rPr>
        <w:t>9</w:t>
      </w:r>
    </w:p>
    <w:p w14:paraId="246045DA" w14:textId="77777777" w:rsidR="008D0CAD" w:rsidRPr="002D4672" w:rsidRDefault="008D0CAD" w:rsidP="002320B3">
      <w:pPr>
        <w:rPr>
          <w:rFonts w:asciiTheme="majorHAnsi" w:hAnsiTheme="majorHAnsi" w:cstheme="majorHAnsi"/>
          <w:sz w:val="20"/>
          <w:szCs w:val="20"/>
        </w:rPr>
      </w:pPr>
      <w:r w:rsidRPr="002D4672">
        <w:rPr>
          <w:rFonts w:asciiTheme="majorHAnsi" w:hAnsiTheme="majorHAnsi" w:cstheme="majorHAnsi"/>
          <w:sz w:val="20"/>
          <w:szCs w:val="20"/>
        </w:rPr>
        <w:t>Box 5. FGD Responses on SBM …………………………………………</w:t>
      </w:r>
      <w:r>
        <w:rPr>
          <w:rFonts w:asciiTheme="majorHAnsi" w:hAnsiTheme="majorHAnsi" w:cstheme="majorHAnsi"/>
          <w:sz w:val="20"/>
          <w:szCs w:val="20"/>
        </w:rPr>
        <w:t>……….</w:t>
      </w:r>
      <w:r w:rsidRPr="002D4672">
        <w:rPr>
          <w:rFonts w:asciiTheme="majorHAnsi" w:hAnsiTheme="majorHAnsi" w:cstheme="majorHAnsi"/>
          <w:sz w:val="20"/>
          <w:szCs w:val="20"/>
        </w:rPr>
        <w:t>……………………………………………………………………. 8</w:t>
      </w:r>
      <w:r>
        <w:rPr>
          <w:rFonts w:asciiTheme="majorHAnsi" w:hAnsiTheme="majorHAnsi" w:cstheme="majorHAnsi"/>
          <w:sz w:val="20"/>
          <w:szCs w:val="20"/>
        </w:rPr>
        <w:t>1</w:t>
      </w:r>
    </w:p>
    <w:p w14:paraId="1C648FF8" w14:textId="77777777" w:rsidR="008D0CAD" w:rsidRPr="00EF4266" w:rsidRDefault="008D0CAD" w:rsidP="002320B3">
      <w:pPr>
        <w:spacing w:after="120"/>
        <w:ind w:left="2304" w:right="432"/>
        <w:rPr>
          <w:rFonts w:asciiTheme="majorHAnsi" w:hAnsiTheme="majorHAnsi" w:cstheme="majorHAnsi"/>
          <w:b/>
        </w:rPr>
      </w:pPr>
    </w:p>
    <w:p w14:paraId="58F3D36A" w14:textId="77777777" w:rsidR="008D0CAD" w:rsidRDefault="008D0CAD" w:rsidP="002320B3">
      <w:pPr>
        <w:rPr>
          <w:rFonts w:asciiTheme="majorHAnsi" w:hAnsiTheme="majorHAnsi" w:cstheme="majorHAnsi"/>
          <w:b/>
          <w:sz w:val="28"/>
          <w:szCs w:val="28"/>
        </w:rPr>
        <w:sectPr w:rsidR="008D0CAD" w:rsidSect="009C64E9">
          <w:headerReference w:type="default" r:id="rId17"/>
          <w:pgSz w:w="11900" w:h="16840"/>
          <w:pgMar w:top="1440" w:right="1440" w:bottom="1440" w:left="1440" w:header="720" w:footer="720" w:gutter="0"/>
          <w:pgNumType w:fmt="lowerRoman"/>
          <w:cols w:space="720"/>
          <w:docGrid w:linePitch="360"/>
        </w:sectPr>
      </w:pPr>
    </w:p>
    <w:p w14:paraId="1D027DCD" w14:textId="77777777" w:rsidR="008D0CAD" w:rsidRPr="009A20A3" w:rsidRDefault="008D0CAD" w:rsidP="002320B3">
      <w:pPr>
        <w:rPr>
          <w:rFonts w:asciiTheme="majorHAnsi" w:hAnsiTheme="majorHAnsi" w:cstheme="majorHAnsi"/>
          <w:b/>
          <w:sz w:val="28"/>
          <w:szCs w:val="28"/>
        </w:rPr>
      </w:pPr>
      <w:r>
        <w:rPr>
          <w:rFonts w:asciiTheme="majorHAnsi" w:hAnsiTheme="majorHAnsi" w:cstheme="majorHAnsi"/>
          <w:b/>
          <w:sz w:val="28"/>
          <w:szCs w:val="28"/>
        </w:rPr>
        <w:t>Annexes</w:t>
      </w:r>
    </w:p>
    <w:p w14:paraId="03A0D15B" w14:textId="77777777" w:rsidR="008D0CAD" w:rsidRDefault="008D0CAD" w:rsidP="002320B3">
      <w:pPr>
        <w:rPr>
          <w:rFonts w:asciiTheme="majorHAnsi" w:hAnsiTheme="majorHAnsi" w:cstheme="majorHAnsi"/>
        </w:rPr>
      </w:pPr>
    </w:p>
    <w:p w14:paraId="4B8C4628" w14:textId="77777777" w:rsidR="008D0CAD" w:rsidRPr="00595C60" w:rsidRDefault="008D0CAD" w:rsidP="002320B3">
      <w:pPr>
        <w:ind w:left="990" w:hanging="990"/>
        <w:rPr>
          <w:rFonts w:asciiTheme="majorHAnsi" w:hAnsiTheme="majorHAnsi" w:cstheme="majorHAnsi"/>
          <w:i/>
          <w:iCs/>
          <w:sz w:val="20"/>
          <w:szCs w:val="20"/>
        </w:rPr>
      </w:pPr>
      <w:r w:rsidRPr="00595C60">
        <w:rPr>
          <w:rFonts w:asciiTheme="majorHAnsi" w:hAnsiTheme="majorHAnsi" w:cstheme="majorHAnsi"/>
          <w:i/>
          <w:iCs/>
          <w:sz w:val="20"/>
          <w:szCs w:val="20"/>
        </w:rPr>
        <w:t>Annex A. The B</w:t>
      </w:r>
      <w:r>
        <w:rPr>
          <w:rFonts w:asciiTheme="majorHAnsi" w:hAnsiTheme="majorHAnsi" w:cstheme="majorHAnsi"/>
          <w:i/>
          <w:iCs/>
          <w:sz w:val="20"/>
          <w:szCs w:val="20"/>
        </w:rPr>
        <w:t>EST</w:t>
      </w:r>
      <w:r w:rsidRPr="00595C60">
        <w:rPr>
          <w:rFonts w:asciiTheme="majorHAnsi" w:hAnsiTheme="majorHAnsi" w:cstheme="majorHAnsi"/>
          <w:i/>
          <w:iCs/>
          <w:sz w:val="20"/>
          <w:szCs w:val="20"/>
        </w:rPr>
        <w:t xml:space="preserve"> Program’s Theory Of Change (Toc)</w:t>
      </w:r>
      <w:r w:rsidRPr="00595C60">
        <w:rPr>
          <w:rFonts w:asciiTheme="majorHAnsi" w:hAnsiTheme="majorHAnsi" w:cstheme="majorHAnsi"/>
          <w:i/>
          <w:iCs/>
          <w:sz w:val="20"/>
          <w:szCs w:val="20"/>
        </w:rPr>
        <w:tab/>
      </w:r>
    </w:p>
    <w:p w14:paraId="5F6C4BEA" w14:textId="77777777" w:rsidR="008D0CAD" w:rsidRPr="00595C60" w:rsidRDefault="008D0CAD" w:rsidP="002320B3">
      <w:pPr>
        <w:ind w:left="990" w:hanging="990"/>
        <w:rPr>
          <w:rFonts w:asciiTheme="majorHAnsi" w:hAnsiTheme="majorHAnsi" w:cstheme="majorHAnsi"/>
          <w:i/>
          <w:iCs/>
          <w:sz w:val="20"/>
          <w:szCs w:val="20"/>
        </w:rPr>
      </w:pPr>
      <w:r w:rsidRPr="00595C60">
        <w:rPr>
          <w:rFonts w:asciiTheme="majorHAnsi" w:hAnsiTheme="majorHAnsi" w:cstheme="majorHAnsi"/>
          <w:i/>
          <w:iCs/>
          <w:sz w:val="20"/>
          <w:szCs w:val="20"/>
        </w:rPr>
        <w:t>Annex B. Description Of 10 Program Interventions</w:t>
      </w:r>
      <w:r w:rsidRPr="00595C60">
        <w:rPr>
          <w:rFonts w:asciiTheme="majorHAnsi" w:hAnsiTheme="majorHAnsi" w:cstheme="majorHAnsi"/>
          <w:i/>
          <w:iCs/>
          <w:sz w:val="20"/>
          <w:szCs w:val="20"/>
        </w:rPr>
        <w:tab/>
      </w:r>
    </w:p>
    <w:p w14:paraId="58A9329D" w14:textId="77777777" w:rsidR="008D0CAD" w:rsidRPr="00595C60" w:rsidRDefault="008D0CAD" w:rsidP="002320B3">
      <w:pPr>
        <w:ind w:left="990" w:hanging="990"/>
        <w:rPr>
          <w:rFonts w:asciiTheme="majorHAnsi" w:hAnsiTheme="majorHAnsi" w:cstheme="majorHAnsi"/>
          <w:i/>
          <w:iCs/>
          <w:sz w:val="20"/>
          <w:szCs w:val="20"/>
        </w:rPr>
      </w:pPr>
      <w:r w:rsidRPr="00595C60">
        <w:rPr>
          <w:rFonts w:asciiTheme="majorHAnsi" w:hAnsiTheme="majorHAnsi" w:cstheme="majorHAnsi"/>
          <w:i/>
          <w:iCs/>
          <w:sz w:val="20"/>
          <w:szCs w:val="20"/>
        </w:rPr>
        <w:t>Annex C. Overview Of Evaluation Methodology</w:t>
      </w:r>
      <w:r w:rsidRPr="00595C60">
        <w:rPr>
          <w:rFonts w:asciiTheme="majorHAnsi" w:hAnsiTheme="majorHAnsi" w:cstheme="majorHAnsi"/>
          <w:i/>
          <w:iCs/>
          <w:sz w:val="20"/>
          <w:szCs w:val="20"/>
        </w:rPr>
        <w:tab/>
      </w:r>
    </w:p>
    <w:p w14:paraId="6E078C5F" w14:textId="77777777" w:rsidR="008D0CAD" w:rsidRPr="00595C60" w:rsidRDefault="008D0CAD" w:rsidP="002320B3">
      <w:pPr>
        <w:ind w:left="990" w:hanging="990"/>
        <w:rPr>
          <w:rFonts w:asciiTheme="majorHAnsi" w:hAnsiTheme="majorHAnsi" w:cstheme="majorHAnsi"/>
          <w:i/>
          <w:iCs/>
          <w:sz w:val="20"/>
          <w:szCs w:val="20"/>
        </w:rPr>
      </w:pPr>
      <w:r w:rsidRPr="00595C60">
        <w:rPr>
          <w:rFonts w:asciiTheme="majorHAnsi" w:hAnsiTheme="majorHAnsi" w:cstheme="majorHAnsi"/>
          <w:i/>
          <w:iCs/>
          <w:sz w:val="20"/>
          <w:szCs w:val="20"/>
        </w:rPr>
        <w:t>Annex D. Follow-Up Study Methodology</w:t>
      </w:r>
      <w:r w:rsidRPr="00595C60">
        <w:rPr>
          <w:rFonts w:asciiTheme="majorHAnsi" w:hAnsiTheme="majorHAnsi" w:cstheme="majorHAnsi"/>
          <w:i/>
          <w:iCs/>
          <w:sz w:val="20"/>
          <w:szCs w:val="20"/>
        </w:rPr>
        <w:tab/>
      </w:r>
    </w:p>
    <w:p w14:paraId="32A10276" w14:textId="77777777" w:rsidR="008D0CAD" w:rsidRPr="00595C60" w:rsidRDefault="008D0CAD" w:rsidP="002320B3">
      <w:pPr>
        <w:ind w:left="990" w:hanging="990"/>
        <w:rPr>
          <w:rFonts w:asciiTheme="majorHAnsi" w:hAnsiTheme="majorHAnsi" w:cstheme="majorHAnsi"/>
          <w:i/>
          <w:iCs/>
          <w:sz w:val="20"/>
          <w:szCs w:val="20"/>
        </w:rPr>
      </w:pPr>
      <w:r w:rsidRPr="00595C60">
        <w:rPr>
          <w:rFonts w:asciiTheme="majorHAnsi" w:hAnsiTheme="majorHAnsi" w:cstheme="majorHAnsi"/>
          <w:i/>
          <w:iCs/>
          <w:sz w:val="20"/>
          <w:szCs w:val="20"/>
        </w:rPr>
        <w:t>Annex E. Sampling And Data Collection</w:t>
      </w:r>
      <w:r w:rsidRPr="00595C60">
        <w:rPr>
          <w:rFonts w:asciiTheme="majorHAnsi" w:hAnsiTheme="majorHAnsi" w:cstheme="majorHAnsi"/>
          <w:i/>
          <w:iCs/>
          <w:sz w:val="20"/>
          <w:szCs w:val="20"/>
        </w:rPr>
        <w:tab/>
      </w:r>
    </w:p>
    <w:p w14:paraId="65E83CB6" w14:textId="77777777" w:rsidR="008D0CAD" w:rsidRPr="00595C60" w:rsidRDefault="008D0CAD" w:rsidP="002320B3">
      <w:pPr>
        <w:ind w:left="990" w:hanging="990"/>
        <w:rPr>
          <w:rFonts w:asciiTheme="majorHAnsi" w:hAnsiTheme="majorHAnsi" w:cstheme="majorHAnsi"/>
          <w:i/>
          <w:iCs/>
          <w:sz w:val="20"/>
          <w:szCs w:val="20"/>
        </w:rPr>
      </w:pPr>
      <w:r w:rsidRPr="00595C60">
        <w:rPr>
          <w:rFonts w:asciiTheme="majorHAnsi" w:hAnsiTheme="majorHAnsi" w:cstheme="majorHAnsi"/>
          <w:i/>
          <w:iCs/>
          <w:sz w:val="20"/>
          <w:szCs w:val="20"/>
        </w:rPr>
        <w:t>Annex F. List Of Direct (D</w:t>
      </w:r>
      <w:r>
        <w:rPr>
          <w:rFonts w:asciiTheme="majorHAnsi" w:hAnsiTheme="majorHAnsi" w:cstheme="majorHAnsi"/>
          <w:i/>
          <w:iCs/>
          <w:sz w:val="20"/>
          <w:szCs w:val="20"/>
        </w:rPr>
        <w:t>RS</w:t>
      </w:r>
      <w:r w:rsidRPr="00595C60">
        <w:rPr>
          <w:rFonts w:asciiTheme="majorHAnsi" w:hAnsiTheme="majorHAnsi" w:cstheme="majorHAnsi"/>
          <w:i/>
          <w:iCs/>
          <w:sz w:val="20"/>
          <w:szCs w:val="20"/>
        </w:rPr>
        <w:t>) And Indirect Recipient Schools (I</w:t>
      </w:r>
      <w:r>
        <w:rPr>
          <w:rFonts w:asciiTheme="majorHAnsi" w:hAnsiTheme="majorHAnsi" w:cstheme="majorHAnsi"/>
          <w:i/>
          <w:iCs/>
          <w:sz w:val="20"/>
          <w:szCs w:val="20"/>
        </w:rPr>
        <w:t>RS</w:t>
      </w:r>
      <w:r w:rsidRPr="00595C60">
        <w:rPr>
          <w:rFonts w:asciiTheme="majorHAnsi" w:hAnsiTheme="majorHAnsi" w:cstheme="majorHAnsi"/>
          <w:i/>
          <w:iCs/>
          <w:sz w:val="20"/>
          <w:szCs w:val="20"/>
        </w:rPr>
        <w:t>)</w:t>
      </w:r>
    </w:p>
    <w:p w14:paraId="196DF5C6" w14:textId="77777777" w:rsidR="008D0CAD" w:rsidRPr="00595C60" w:rsidRDefault="008D0CAD" w:rsidP="002320B3">
      <w:pPr>
        <w:ind w:left="990" w:hanging="990"/>
        <w:rPr>
          <w:rFonts w:asciiTheme="majorHAnsi" w:hAnsiTheme="majorHAnsi" w:cstheme="majorHAnsi"/>
          <w:i/>
          <w:iCs/>
          <w:sz w:val="20"/>
          <w:szCs w:val="20"/>
        </w:rPr>
      </w:pPr>
      <w:r w:rsidRPr="00595C60">
        <w:rPr>
          <w:rFonts w:asciiTheme="majorHAnsi" w:hAnsiTheme="majorHAnsi" w:cstheme="majorHAnsi"/>
          <w:i/>
          <w:iCs/>
          <w:sz w:val="20"/>
          <w:szCs w:val="20"/>
        </w:rPr>
        <w:t>Annex G. List Of Secondary Data Requested Per School</w:t>
      </w:r>
      <w:r w:rsidRPr="00595C60">
        <w:rPr>
          <w:rFonts w:asciiTheme="majorHAnsi" w:hAnsiTheme="majorHAnsi" w:cstheme="majorHAnsi"/>
          <w:i/>
          <w:iCs/>
          <w:sz w:val="20"/>
          <w:szCs w:val="20"/>
        </w:rPr>
        <w:tab/>
      </w:r>
    </w:p>
    <w:p w14:paraId="2A7A76BC" w14:textId="77777777" w:rsidR="008D0CAD" w:rsidRPr="00595C60" w:rsidRDefault="008D0CAD" w:rsidP="002320B3">
      <w:pPr>
        <w:ind w:left="990" w:hanging="990"/>
        <w:rPr>
          <w:rFonts w:asciiTheme="majorHAnsi" w:hAnsiTheme="majorHAnsi" w:cstheme="majorHAnsi"/>
          <w:i/>
          <w:iCs/>
          <w:sz w:val="20"/>
          <w:szCs w:val="20"/>
        </w:rPr>
      </w:pPr>
      <w:r w:rsidRPr="00595C60">
        <w:rPr>
          <w:rFonts w:asciiTheme="majorHAnsi" w:hAnsiTheme="majorHAnsi" w:cstheme="majorHAnsi"/>
          <w:i/>
          <w:iCs/>
          <w:sz w:val="20"/>
          <w:szCs w:val="20"/>
        </w:rPr>
        <w:t>Annex H. Status Of Submissions Of School</w:t>
      </w:r>
    </w:p>
    <w:p w14:paraId="3729E0EA" w14:textId="77777777" w:rsidR="008D0CAD" w:rsidRPr="00595C60" w:rsidRDefault="008D0CAD" w:rsidP="002320B3">
      <w:pPr>
        <w:ind w:left="990" w:hanging="990"/>
        <w:rPr>
          <w:rFonts w:asciiTheme="majorHAnsi" w:hAnsiTheme="majorHAnsi" w:cstheme="majorHAnsi"/>
          <w:i/>
          <w:iCs/>
          <w:sz w:val="20"/>
          <w:szCs w:val="20"/>
        </w:rPr>
      </w:pPr>
      <w:r w:rsidRPr="00595C60">
        <w:rPr>
          <w:rFonts w:asciiTheme="majorHAnsi" w:hAnsiTheme="majorHAnsi" w:cstheme="majorHAnsi"/>
          <w:i/>
          <w:iCs/>
          <w:sz w:val="20"/>
          <w:szCs w:val="20"/>
        </w:rPr>
        <w:t xml:space="preserve">Annex I. </w:t>
      </w:r>
      <w:r>
        <w:rPr>
          <w:rFonts w:asciiTheme="majorHAnsi" w:hAnsiTheme="majorHAnsi" w:cstheme="majorHAnsi"/>
          <w:i/>
          <w:iCs/>
          <w:sz w:val="20"/>
          <w:szCs w:val="20"/>
        </w:rPr>
        <w:t>KII</w:t>
      </w:r>
      <w:r w:rsidRPr="00595C60">
        <w:rPr>
          <w:rFonts w:asciiTheme="majorHAnsi" w:hAnsiTheme="majorHAnsi" w:cstheme="majorHAnsi"/>
          <w:i/>
          <w:iCs/>
          <w:sz w:val="20"/>
          <w:szCs w:val="20"/>
        </w:rPr>
        <w:t xml:space="preserve"> Respondents</w:t>
      </w:r>
      <w:r w:rsidRPr="00595C60">
        <w:rPr>
          <w:rFonts w:asciiTheme="majorHAnsi" w:hAnsiTheme="majorHAnsi" w:cstheme="majorHAnsi"/>
          <w:i/>
          <w:iCs/>
          <w:sz w:val="20"/>
          <w:szCs w:val="20"/>
        </w:rPr>
        <w:tab/>
      </w:r>
    </w:p>
    <w:p w14:paraId="5CA649F2" w14:textId="77777777" w:rsidR="008D0CAD" w:rsidRPr="00595C60" w:rsidRDefault="008D0CAD" w:rsidP="002320B3">
      <w:pPr>
        <w:ind w:left="990" w:hanging="990"/>
        <w:rPr>
          <w:rFonts w:asciiTheme="majorHAnsi" w:hAnsiTheme="majorHAnsi" w:cstheme="majorHAnsi"/>
          <w:i/>
          <w:iCs/>
          <w:sz w:val="20"/>
          <w:szCs w:val="20"/>
        </w:rPr>
      </w:pPr>
      <w:r w:rsidRPr="00595C60">
        <w:rPr>
          <w:rFonts w:asciiTheme="majorHAnsi" w:hAnsiTheme="majorHAnsi" w:cstheme="majorHAnsi"/>
          <w:i/>
          <w:iCs/>
          <w:sz w:val="20"/>
          <w:szCs w:val="20"/>
        </w:rPr>
        <w:t>Annex J. K</w:t>
      </w:r>
      <w:r>
        <w:rPr>
          <w:rFonts w:asciiTheme="majorHAnsi" w:hAnsiTheme="majorHAnsi" w:cstheme="majorHAnsi"/>
          <w:i/>
          <w:iCs/>
          <w:sz w:val="20"/>
          <w:szCs w:val="20"/>
        </w:rPr>
        <w:t>II</w:t>
      </w:r>
      <w:r w:rsidRPr="00595C60">
        <w:rPr>
          <w:rFonts w:asciiTheme="majorHAnsi" w:hAnsiTheme="majorHAnsi" w:cstheme="majorHAnsi"/>
          <w:i/>
          <w:iCs/>
          <w:sz w:val="20"/>
          <w:szCs w:val="20"/>
        </w:rPr>
        <w:t xml:space="preserve"> Guide Questions</w:t>
      </w:r>
    </w:p>
    <w:p w14:paraId="726FBA0E" w14:textId="20211255" w:rsidR="008D0CAD" w:rsidRPr="00595C60" w:rsidRDefault="008D0CAD" w:rsidP="002320B3">
      <w:pPr>
        <w:ind w:left="990" w:hanging="270"/>
        <w:rPr>
          <w:rFonts w:asciiTheme="majorHAnsi" w:hAnsiTheme="majorHAnsi" w:cstheme="majorHAnsi"/>
          <w:i/>
          <w:iCs/>
          <w:sz w:val="20"/>
          <w:szCs w:val="20"/>
        </w:rPr>
      </w:pPr>
      <w:r w:rsidRPr="00595C60">
        <w:rPr>
          <w:rFonts w:asciiTheme="majorHAnsi" w:hAnsiTheme="majorHAnsi" w:cstheme="majorHAnsi"/>
          <w:i/>
          <w:iCs/>
          <w:sz w:val="20"/>
          <w:szCs w:val="20"/>
        </w:rPr>
        <w:t>Annex J-1.</w:t>
      </w:r>
      <w:r w:rsidR="00D434EB">
        <w:rPr>
          <w:rFonts w:asciiTheme="majorHAnsi" w:hAnsiTheme="majorHAnsi" w:cstheme="majorHAnsi"/>
          <w:i/>
          <w:iCs/>
          <w:sz w:val="20"/>
          <w:szCs w:val="20"/>
        </w:rPr>
        <w:t xml:space="preserve"> </w:t>
      </w:r>
      <w:r w:rsidRPr="00595C60">
        <w:rPr>
          <w:rFonts w:asciiTheme="majorHAnsi" w:hAnsiTheme="majorHAnsi" w:cstheme="majorHAnsi"/>
          <w:i/>
          <w:iCs/>
          <w:sz w:val="20"/>
          <w:szCs w:val="20"/>
        </w:rPr>
        <w:t xml:space="preserve">Guide Questions </w:t>
      </w:r>
      <w:r>
        <w:rPr>
          <w:rFonts w:asciiTheme="majorHAnsi" w:hAnsiTheme="majorHAnsi" w:cstheme="majorHAnsi"/>
          <w:i/>
          <w:iCs/>
          <w:sz w:val="20"/>
          <w:szCs w:val="20"/>
        </w:rPr>
        <w:t>f</w:t>
      </w:r>
      <w:r w:rsidRPr="00595C60">
        <w:rPr>
          <w:rFonts w:asciiTheme="majorHAnsi" w:hAnsiTheme="majorHAnsi" w:cstheme="majorHAnsi"/>
          <w:i/>
          <w:iCs/>
          <w:sz w:val="20"/>
          <w:szCs w:val="20"/>
        </w:rPr>
        <w:t xml:space="preserve">or Former </w:t>
      </w:r>
      <w:r>
        <w:rPr>
          <w:rFonts w:asciiTheme="majorHAnsi" w:hAnsiTheme="majorHAnsi" w:cstheme="majorHAnsi"/>
          <w:i/>
          <w:iCs/>
          <w:sz w:val="20"/>
          <w:szCs w:val="20"/>
        </w:rPr>
        <w:t>a</w:t>
      </w:r>
      <w:r w:rsidRPr="00595C60">
        <w:rPr>
          <w:rFonts w:asciiTheme="majorHAnsi" w:hAnsiTheme="majorHAnsi" w:cstheme="majorHAnsi"/>
          <w:i/>
          <w:iCs/>
          <w:sz w:val="20"/>
          <w:szCs w:val="20"/>
        </w:rPr>
        <w:t>nd Current Undersecretaries</w:t>
      </w:r>
      <w:r w:rsidRPr="00595C60">
        <w:rPr>
          <w:rFonts w:asciiTheme="majorHAnsi" w:hAnsiTheme="majorHAnsi" w:cstheme="majorHAnsi"/>
          <w:i/>
          <w:iCs/>
          <w:sz w:val="20"/>
          <w:szCs w:val="20"/>
        </w:rPr>
        <w:tab/>
      </w:r>
    </w:p>
    <w:p w14:paraId="43418F91" w14:textId="2FC9199A" w:rsidR="008D0CAD" w:rsidRPr="00595C60" w:rsidRDefault="008D0CAD" w:rsidP="002320B3">
      <w:pPr>
        <w:ind w:left="990" w:hanging="270"/>
        <w:rPr>
          <w:rFonts w:asciiTheme="majorHAnsi" w:hAnsiTheme="majorHAnsi" w:cstheme="majorHAnsi"/>
          <w:i/>
          <w:iCs/>
          <w:sz w:val="20"/>
          <w:szCs w:val="20"/>
        </w:rPr>
      </w:pPr>
      <w:r w:rsidRPr="00595C60">
        <w:rPr>
          <w:rFonts w:asciiTheme="majorHAnsi" w:hAnsiTheme="majorHAnsi" w:cstheme="majorHAnsi"/>
          <w:i/>
          <w:iCs/>
          <w:sz w:val="20"/>
          <w:szCs w:val="20"/>
        </w:rPr>
        <w:t>Annex J-2.</w:t>
      </w:r>
      <w:r w:rsidR="00D434EB">
        <w:rPr>
          <w:rFonts w:asciiTheme="majorHAnsi" w:hAnsiTheme="majorHAnsi" w:cstheme="majorHAnsi"/>
          <w:i/>
          <w:iCs/>
          <w:sz w:val="20"/>
          <w:szCs w:val="20"/>
        </w:rPr>
        <w:t xml:space="preserve"> </w:t>
      </w:r>
      <w:r w:rsidRPr="00595C60">
        <w:rPr>
          <w:rFonts w:asciiTheme="majorHAnsi" w:hAnsiTheme="majorHAnsi" w:cstheme="majorHAnsi"/>
          <w:i/>
          <w:iCs/>
          <w:sz w:val="20"/>
          <w:szCs w:val="20"/>
        </w:rPr>
        <w:t xml:space="preserve">Guide Questions </w:t>
      </w:r>
      <w:r>
        <w:rPr>
          <w:rFonts w:asciiTheme="majorHAnsi" w:hAnsiTheme="majorHAnsi" w:cstheme="majorHAnsi"/>
          <w:i/>
          <w:iCs/>
          <w:sz w:val="20"/>
          <w:szCs w:val="20"/>
        </w:rPr>
        <w:t>f</w:t>
      </w:r>
      <w:r w:rsidRPr="00595C60">
        <w:rPr>
          <w:rFonts w:asciiTheme="majorHAnsi" w:hAnsiTheme="majorHAnsi" w:cstheme="majorHAnsi"/>
          <w:i/>
          <w:iCs/>
          <w:sz w:val="20"/>
          <w:szCs w:val="20"/>
        </w:rPr>
        <w:t>or Central Office Respondents</w:t>
      </w:r>
    </w:p>
    <w:p w14:paraId="452D777B" w14:textId="50E7F0CD" w:rsidR="008D0CAD" w:rsidRPr="00595C60" w:rsidRDefault="008D0CAD" w:rsidP="002320B3">
      <w:pPr>
        <w:ind w:left="990" w:hanging="270"/>
        <w:rPr>
          <w:rFonts w:asciiTheme="majorHAnsi" w:hAnsiTheme="majorHAnsi" w:cstheme="majorHAnsi"/>
          <w:i/>
          <w:iCs/>
          <w:sz w:val="20"/>
          <w:szCs w:val="20"/>
        </w:rPr>
      </w:pPr>
      <w:r w:rsidRPr="00595C60">
        <w:rPr>
          <w:rFonts w:asciiTheme="majorHAnsi" w:hAnsiTheme="majorHAnsi" w:cstheme="majorHAnsi"/>
          <w:i/>
          <w:iCs/>
          <w:sz w:val="20"/>
          <w:szCs w:val="20"/>
        </w:rPr>
        <w:t>Annex J -3.</w:t>
      </w:r>
      <w:r w:rsidR="00D434EB">
        <w:rPr>
          <w:rFonts w:asciiTheme="majorHAnsi" w:hAnsiTheme="majorHAnsi" w:cstheme="majorHAnsi"/>
          <w:i/>
          <w:iCs/>
          <w:sz w:val="20"/>
          <w:szCs w:val="20"/>
        </w:rPr>
        <w:t xml:space="preserve"> </w:t>
      </w:r>
      <w:r w:rsidRPr="00595C60">
        <w:rPr>
          <w:rFonts w:asciiTheme="majorHAnsi" w:hAnsiTheme="majorHAnsi" w:cstheme="majorHAnsi"/>
          <w:i/>
          <w:iCs/>
          <w:sz w:val="20"/>
          <w:szCs w:val="20"/>
        </w:rPr>
        <w:t xml:space="preserve">Guide Questions </w:t>
      </w:r>
      <w:r>
        <w:rPr>
          <w:rFonts w:asciiTheme="majorHAnsi" w:hAnsiTheme="majorHAnsi" w:cstheme="majorHAnsi"/>
          <w:i/>
          <w:iCs/>
          <w:sz w:val="20"/>
          <w:szCs w:val="20"/>
        </w:rPr>
        <w:t>f</w:t>
      </w:r>
      <w:r w:rsidRPr="00595C60">
        <w:rPr>
          <w:rFonts w:asciiTheme="majorHAnsi" w:hAnsiTheme="majorHAnsi" w:cstheme="majorHAnsi"/>
          <w:i/>
          <w:iCs/>
          <w:sz w:val="20"/>
          <w:szCs w:val="20"/>
        </w:rPr>
        <w:t>or Regional/Division Office Respondents</w:t>
      </w:r>
      <w:r w:rsidRPr="00595C60">
        <w:rPr>
          <w:rFonts w:asciiTheme="majorHAnsi" w:hAnsiTheme="majorHAnsi" w:cstheme="majorHAnsi"/>
          <w:i/>
          <w:iCs/>
          <w:sz w:val="20"/>
          <w:szCs w:val="20"/>
        </w:rPr>
        <w:tab/>
      </w:r>
    </w:p>
    <w:p w14:paraId="7C4D804C" w14:textId="6D0DC9BA" w:rsidR="008D0CAD" w:rsidRPr="00595C60" w:rsidRDefault="008D0CAD" w:rsidP="002320B3">
      <w:pPr>
        <w:ind w:left="990" w:hanging="270"/>
        <w:rPr>
          <w:rFonts w:asciiTheme="majorHAnsi" w:hAnsiTheme="majorHAnsi" w:cstheme="majorHAnsi"/>
          <w:i/>
          <w:iCs/>
          <w:sz w:val="20"/>
          <w:szCs w:val="20"/>
        </w:rPr>
      </w:pPr>
      <w:r w:rsidRPr="00595C60">
        <w:rPr>
          <w:rFonts w:asciiTheme="majorHAnsi" w:hAnsiTheme="majorHAnsi" w:cstheme="majorHAnsi"/>
          <w:i/>
          <w:iCs/>
          <w:sz w:val="20"/>
          <w:szCs w:val="20"/>
        </w:rPr>
        <w:t>Annex J-4.</w:t>
      </w:r>
      <w:r w:rsidR="00D434EB">
        <w:rPr>
          <w:rFonts w:asciiTheme="majorHAnsi" w:hAnsiTheme="majorHAnsi" w:cstheme="majorHAnsi"/>
          <w:i/>
          <w:iCs/>
          <w:sz w:val="20"/>
          <w:szCs w:val="20"/>
        </w:rPr>
        <w:t xml:space="preserve"> </w:t>
      </w:r>
      <w:r w:rsidRPr="00595C60">
        <w:rPr>
          <w:rFonts w:asciiTheme="majorHAnsi" w:hAnsiTheme="majorHAnsi" w:cstheme="majorHAnsi"/>
          <w:i/>
          <w:iCs/>
          <w:sz w:val="20"/>
          <w:szCs w:val="20"/>
        </w:rPr>
        <w:t xml:space="preserve">Guide Questions </w:t>
      </w:r>
      <w:r>
        <w:rPr>
          <w:rFonts w:asciiTheme="majorHAnsi" w:hAnsiTheme="majorHAnsi" w:cstheme="majorHAnsi"/>
          <w:i/>
          <w:iCs/>
          <w:sz w:val="20"/>
          <w:szCs w:val="20"/>
        </w:rPr>
        <w:t>f</w:t>
      </w:r>
      <w:r w:rsidRPr="00595C60">
        <w:rPr>
          <w:rFonts w:asciiTheme="majorHAnsi" w:hAnsiTheme="majorHAnsi" w:cstheme="majorHAnsi"/>
          <w:i/>
          <w:iCs/>
          <w:sz w:val="20"/>
          <w:szCs w:val="20"/>
        </w:rPr>
        <w:t>or B</w:t>
      </w:r>
      <w:r>
        <w:rPr>
          <w:rFonts w:asciiTheme="majorHAnsi" w:hAnsiTheme="majorHAnsi" w:cstheme="majorHAnsi"/>
          <w:i/>
          <w:iCs/>
          <w:sz w:val="20"/>
          <w:szCs w:val="20"/>
        </w:rPr>
        <w:t>EST</w:t>
      </w:r>
      <w:r w:rsidRPr="00595C60">
        <w:rPr>
          <w:rFonts w:asciiTheme="majorHAnsi" w:hAnsiTheme="majorHAnsi" w:cstheme="majorHAnsi"/>
          <w:i/>
          <w:iCs/>
          <w:sz w:val="20"/>
          <w:szCs w:val="20"/>
        </w:rPr>
        <w:t xml:space="preserve"> Partner Organisation</w:t>
      </w:r>
      <w:r w:rsidRPr="00595C60">
        <w:rPr>
          <w:rFonts w:asciiTheme="majorHAnsi" w:hAnsiTheme="majorHAnsi" w:cstheme="majorHAnsi"/>
          <w:i/>
          <w:iCs/>
          <w:sz w:val="20"/>
          <w:szCs w:val="20"/>
        </w:rPr>
        <w:tab/>
      </w:r>
    </w:p>
    <w:p w14:paraId="443FE2EA" w14:textId="77777777" w:rsidR="008D0CAD" w:rsidRPr="00595C60" w:rsidRDefault="008D0CAD" w:rsidP="002320B3">
      <w:pPr>
        <w:ind w:left="990" w:hanging="990"/>
        <w:rPr>
          <w:rFonts w:asciiTheme="majorHAnsi" w:hAnsiTheme="majorHAnsi" w:cstheme="majorHAnsi"/>
          <w:i/>
          <w:iCs/>
          <w:sz w:val="20"/>
          <w:szCs w:val="20"/>
        </w:rPr>
      </w:pPr>
      <w:r w:rsidRPr="00595C60">
        <w:rPr>
          <w:rFonts w:asciiTheme="majorHAnsi" w:hAnsiTheme="majorHAnsi" w:cstheme="majorHAnsi"/>
          <w:i/>
          <w:iCs/>
          <w:sz w:val="20"/>
          <w:szCs w:val="20"/>
        </w:rPr>
        <w:t>Annex K. F</w:t>
      </w:r>
      <w:r>
        <w:rPr>
          <w:rFonts w:asciiTheme="majorHAnsi" w:hAnsiTheme="majorHAnsi" w:cstheme="majorHAnsi"/>
          <w:i/>
          <w:iCs/>
          <w:sz w:val="20"/>
          <w:szCs w:val="20"/>
        </w:rPr>
        <w:t>GD</w:t>
      </w:r>
      <w:r w:rsidRPr="00595C60">
        <w:rPr>
          <w:rFonts w:asciiTheme="majorHAnsi" w:hAnsiTheme="majorHAnsi" w:cstheme="majorHAnsi"/>
          <w:i/>
          <w:iCs/>
          <w:sz w:val="20"/>
          <w:szCs w:val="20"/>
        </w:rPr>
        <w:t xml:space="preserve"> Respondents</w:t>
      </w:r>
      <w:r w:rsidRPr="00595C60">
        <w:rPr>
          <w:rFonts w:asciiTheme="majorHAnsi" w:hAnsiTheme="majorHAnsi" w:cstheme="majorHAnsi"/>
          <w:i/>
          <w:iCs/>
          <w:sz w:val="20"/>
          <w:szCs w:val="20"/>
        </w:rPr>
        <w:tab/>
      </w:r>
    </w:p>
    <w:p w14:paraId="61F0F5DC" w14:textId="77777777" w:rsidR="008D0CAD" w:rsidRPr="00595C60" w:rsidRDefault="008D0CAD" w:rsidP="002320B3">
      <w:pPr>
        <w:ind w:left="990" w:hanging="990"/>
        <w:rPr>
          <w:rFonts w:asciiTheme="majorHAnsi" w:hAnsiTheme="majorHAnsi" w:cstheme="majorHAnsi"/>
          <w:i/>
          <w:iCs/>
          <w:sz w:val="20"/>
          <w:szCs w:val="20"/>
        </w:rPr>
      </w:pPr>
      <w:r w:rsidRPr="00595C60">
        <w:rPr>
          <w:rFonts w:asciiTheme="majorHAnsi" w:hAnsiTheme="majorHAnsi" w:cstheme="majorHAnsi"/>
          <w:i/>
          <w:iCs/>
          <w:sz w:val="20"/>
          <w:szCs w:val="20"/>
        </w:rPr>
        <w:t>Annex L. F</w:t>
      </w:r>
      <w:r>
        <w:rPr>
          <w:rFonts w:asciiTheme="majorHAnsi" w:hAnsiTheme="majorHAnsi" w:cstheme="majorHAnsi"/>
          <w:i/>
          <w:iCs/>
          <w:sz w:val="20"/>
          <w:szCs w:val="20"/>
        </w:rPr>
        <w:t>GD</w:t>
      </w:r>
      <w:r w:rsidRPr="00595C60">
        <w:rPr>
          <w:rFonts w:asciiTheme="majorHAnsi" w:hAnsiTheme="majorHAnsi" w:cstheme="majorHAnsi"/>
          <w:i/>
          <w:iCs/>
          <w:sz w:val="20"/>
          <w:szCs w:val="20"/>
        </w:rPr>
        <w:t xml:space="preserve"> Guide Questions</w:t>
      </w:r>
      <w:r w:rsidRPr="00595C60">
        <w:rPr>
          <w:rFonts w:asciiTheme="majorHAnsi" w:hAnsiTheme="majorHAnsi" w:cstheme="majorHAnsi"/>
          <w:i/>
          <w:iCs/>
          <w:sz w:val="20"/>
          <w:szCs w:val="20"/>
        </w:rPr>
        <w:tab/>
      </w:r>
    </w:p>
    <w:p w14:paraId="7414E45E" w14:textId="4500DBEE" w:rsidR="008D0CAD" w:rsidRPr="00595C60" w:rsidRDefault="008D0CAD" w:rsidP="002320B3">
      <w:pPr>
        <w:ind w:left="990" w:hanging="270"/>
        <w:rPr>
          <w:rFonts w:asciiTheme="majorHAnsi" w:hAnsiTheme="majorHAnsi" w:cstheme="majorHAnsi"/>
          <w:i/>
          <w:iCs/>
          <w:sz w:val="20"/>
          <w:szCs w:val="20"/>
        </w:rPr>
      </w:pPr>
      <w:r w:rsidRPr="00595C60">
        <w:rPr>
          <w:rFonts w:asciiTheme="majorHAnsi" w:hAnsiTheme="majorHAnsi" w:cstheme="majorHAnsi"/>
          <w:i/>
          <w:iCs/>
          <w:sz w:val="20"/>
          <w:szCs w:val="20"/>
        </w:rPr>
        <w:t>Annex L-1.</w:t>
      </w:r>
      <w:r w:rsidR="00D434EB">
        <w:rPr>
          <w:rFonts w:asciiTheme="majorHAnsi" w:hAnsiTheme="majorHAnsi" w:cstheme="majorHAnsi"/>
          <w:i/>
          <w:iCs/>
          <w:sz w:val="20"/>
          <w:szCs w:val="20"/>
        </w:rPr>
        <w:t xml:space="preserve"> </w:t>
      </w:r>
      <w:r w:rsidRPr="00595C60">
        <w:rPr>
          <w:rFonts w:asciiTheme="majorHAnsi" w:hAnsiTheme="majorHAnsi" w:cstheme="majorHAnsi"/>
          <w:i/>
          <w:iCs/>
          <w:sz w:val="20"/>
          <w:szCs w:val="20"/>
        </w:rPr>
        <w:t xml:space="preserve">Guide Questions </w:t>
      </w:r>
      <w:r>
        <w:rPr>
          <w:rFonts w:asciiTheme="majorHAnsi" w:hAnsiTheme="majorHAnsi" w:cstheme="majorHAnsi"/>
          <w:i/>
          <w:iCs/>
          <w:sz w:val="20"/>
          <w:szCs w:val="20"/>
        </w:rPr>
        <w:t>f</w:t>
      </w:r>
      <w:r w:rsidRPr="00595C60">
        <w:rPr>
          <w:rFonts w:asciiTheme="majorHAnsi" w:hAnsiTheme="majorHAnsi" w:cstheme="majorHAnsi"/>
          <w:i/>
          <w:iCs/>
          <w:sz w:val="20"/>
          <w:szCs w:val="20"/>
        </w:rPr>
        <w:t>or Regional/Division Office Respondents</w:t>
      </w:r>
    </w:p>
    <w:p w14:paraId="6089D61E" w14:textId="4D0220F0" w:rsidR="008D0CAD" w:rsidRPr="00595C60" w:rsidRDefault="008D0CAD" w:rsidP="002320B3">
      <w:pPr>
        <w:ind w:left="990" w:hanging="270"/>
        <w:rPr>
          <w:rFonts w:asciiTheme="majorHAnsi" w:hAnsiTheme="majorHAnsi" w:cstheme="majorHAnsi"/>
          <w:i/>
          <w:iCs/>
          <w:sz w:val="20"/>
          <w:szCs w:val="20"/>
        </w:rPr>
      </w:pPr>
      <w:r w:rsidRPr="00595C60">
        <w:rPr>
          <w:rFonts w:asciiTheme="majorHAnsi" w:hAnsiTheme="majorHAnsi" w:cstheme="majorHAnsi"/>
          <w:i/>
          <w:iCs/>
          <w:sz w:val="20"/>
          <w:szCs w:val="20"/>
        </w:rPr>
        <w:t>Annex L-2.</w:t>
      </w:r>
      <w:r w:rsidR="00D434EB">
        <w:rPr>
          <w:rFonts w:asciiTheme="majorHAnsi" w:hAnsiTheme="majorHAnsi" w:cstheme="majorHAnsi"/>
          <w:i/>
          <w:iCs/>
          <w:sz w:val="20"/>
          <w:szCs w:val="20"/>
        </w:rPr>
        <w:t xml:space="preserve"> </w:t>
      </w:r>
      <w:r w:rsidRPr="00595C60">
        <w:rPr>
          <w:rFonts w:asciiTheme="majorHAnsi" w:hAnsiTheme="majorHAnsi" w:cstheme="majorHAnsi"/>
          <w:i/>
          <w:iCs/>
          <w:sz w:val="20"/>
          <w:szCs w:val="20"/>
        </w:rPr>
        <w:t xml:space="preserve">Guide Questions </w:t>
      </w:r>
      <w:r>
        <w:rPr>
          <w:rFonts w:asciiTheme="majorHAnsi" w:hAnsiTheme="majorHAnsi" w:cstheme="majorHAnsi"/>
          <w:i/>
          <w:iCs/>
          <w:sz w:val="20"/>
          <w:szCs w:val="20"/>
        </w:rPr>
        <w:t>f</w:t>
      </w:r>
      <w:r w:rsidRPr="00595C60">
        <w:rPr>
          <w:rFonts w:asciiTheme="majorHAnsi" w:hAnsiTheme="majorHAnsi" w:cstheme="majorHAnsi"/>
          <w:i/>
          <w:iCs/>
          <w:sz w:val="20"/>
          <w:szCs w:val="20"/>
        </w:rPr>
        <w:t xml:space="preserve">or Principals </w:t>
      </w:r>
      <w:r>
        <w:rPr>
          <w:rFonts w:asciiTheme="majorHAnsi" w:hAnsiTheme="majorHAnsi" w:cstheme="majorHAnsi"/>
          <w:i/>
          <w:iCs/>
          <w:sz w:val="20"/>
          <w:szCs w:val="20"/>
        </w:rPr>
        <w:t>a</w:t>
      </w:r>
      <w:r w:rsidRPr="00595C60">
        <w:rPr>
          <w:rFonts w:asciiTheme="majorHAnsi" w:hAnsiTheme="majorHAnsi" w:cstheme="majorHAnsi"/>
          <w:i/>
          <w:iCs/>
          <w:sz w:val="20"/>
          <w:szCs w:val="20"/>
        </w:rPr>
        <w:t>nd School Heads</w:t>
      </w:r>
      <w:r w:rsidRPr="00595C60">
        <w:rPr>
          <w:rFonts w:asciiTheme="majorHAnsi" w:hAnsiTheme="majorHAnsi" w:cstheme="majorHAnsi"/>
          <w:i/>
          <w:iCs/>
          <w:sz w:val="20"/>
          <w:szCs w:val="20"/>
        </w:rPr>
        <w:tab/>
      </w:r>
    </w:p>
    <w:p w14:paraId="22E8335D" w14:textId="2237D56F" w:rsidR="008D0CAD" w:rsidRPr="00595C60" w:rsidRDefault="008D0CAD" w:rsidP="002320B3">
      <w:pPr>
        <w:ind w:left="990" w:hanging="270"/>
        <w:rPr>
          <w:rFonts w:asciiTheme="majorHAnsi" w:hAnsiTheme="majorHAnsi" w:cstheme="majorHAnsi"/>
          <w:i/>
          <w:iCs/>
          <w:sz w:val="20"/>
          <w:szCs w:val="20"/>
        </w:rPr>
      </w:pPr>
      <w:r w:rsidRPr="00595C60">
        <w:rPr>
          <w:rFonts w:asciiTheme="majorHAnsi" w:hAnsiTheme="majorHAnsi" w:cstheme="majorHAnsi"/>
          <w:i/>
          <w:iCs/>
          <w:sz w:val="20"/>
          <w:szCs w:val="20"/>
        </w:rPr>
        <w:t>Annex L-3.</w:t>
      </w:r>
      <w:r w:rsidR="00D434EB">
        <w:rPr>
          <w:rFonts w:asciiTheme="majorHAnsi" w:hAnsiTheme="majorHAnsi" w:cstheme="majorHAnsi"/>
          <w:i/>
          <w:iCs/>
          <w:sz w:val="20"/>
          <w:szCs w:val="20"/>
        </w:rPr>
        <w:t xml:space="preserve"> </w:t>
      </w:r>
      <w:r w:rsidRPr="00595C60">
        <w:rPr>
          <w:rFonts w:asciiTheme="majorHAnsi" w:hAnsiTheme="majorHAnsi" w:cstheme="majorHAnsi"/>
          <w:i/>
          <w:iCs/>
          <w:sz w:val="20"/>
          <w:szCs w:val="20"/>
        </w:rPr>
        <w:t xml:space="preserve">Guide Questions </w:t>
      </w:r>
      <w:r>
        <w:rPr>
          <w:rFonts w:asciiTheme="majorHAnsi" w:hAnsiTheme="majorHAnsi" w:cstheme="majorHAnsi"/>
          <w:i/>
          <w:iCs/>
          <w:sz w:val="20"/>
          <w:szCs w:val="20"/>
        </w:rPr>
        <w:t>f</w:t>
      </w:r>
      <w:r w:rsidRPr="00595C60">
        <w:rPr>
          <w:rFonts w:asciiTheme="majorHAnsi" w:hAnsiTheme="majorHAnsi" w:cstheme="majorHAnsi"/>
          <w:i/>
          <w:iCs/>
          <w:sz w:val="20"/>
          <w:szCs w:val="20"/>
        </w:rPr>
        <w:t>or Teachers</w:t>
      </w:r>
      <w:r w:rsidRPr="00595C60">
        <w:rPr>
          <w:rFonts w:asciiTheme="majorHAnsi" w:hAnsiTheme="majorHAnsi" w:cstheme="majorHAnsi"/>
          <w:i/>
          <w:iCs/>
          <w:sz w:val="20"/>
          <w:szCs w:val="20"/>
        </w:rPr>
        <w:tab/>
      </w:r>
    </w:p>
    <w:p w14:paraId="410730EE" w14:textId="5303C902" w:rsidR="008D0CAD" w:rsidRPr="00595C60" w:rsidRDefault="008D0CAD" w:rsidP="002320B3">
      <w:pPr>
        <w:ind w:left="990" w:hanging="990"/>
        <w:rPr>
          <w:rFonts w:asciiTheme="majorHAnsi" w:hAnsiTheme="majorHAnsi" w:cstheme="majorHAnsi"/>
          <w:i/>
          <w:iCs/>
          <w:sz w:val="20"/>
          <w:szCs w:val="20"/>
        </w:rPr>
      </w:pPr>
      <w:r w:rsidRPr="00595C60">
        <w:rPr>
          <w:rFonts w:asciiTheme="majorHAnsi" w:hAnsiTheme="majorHAnsi" w:cstheme="majorHAnsi"/>
          <w:i/>
          <w:iCs/>
          <w:sz w:val="20"/>
          <w:szCs w:val="20"/>
        </w:rPr>
        <w:t>Annex M.</w:t>
      </w:r>
      <w:r w:rsidR="00D434EB">
        <w:rPr>
          <w:rFonts w:asciiTheme="majorHAnsi" w:hAnsiTheme="majorHAnsi" w:cstheme="majorHAnsi"/>
          <w:i/>
          <w:iCs/>
          <w:sz w:val="20"/>
          <w:szCs w:val="20"/>
        </w:rPr>
        <w:t xml:space="preserve"> </w:t>
      </w:r>
      <w:r w:rsidRPr="00595C60">
        <w:rPr>
          <w:rFonts w:asciiTheme="majorHAnsi" w:hAnsiTheme="majorHAnsi" w:cstheme="majorHAnsi"/>
          <w:i/>
          <w:iCs/>
          <w:sz w:val="20"/>
          <w:szCs w:val="20"/>
        </w:rPr>
        <w:t>2019 K</w:t>
      </w:r>
      <w:r>
        <w:rPr>
          <w:rFonts w:asciiTheme="majorHAnsi" w:hAnsiTheme="majorHAnsi" w:cstheme="majorHAnsi"/>
          <w:i/>
          <w:iCs/>
          <w:sz w:val="20"/>
          <w:szCs w:val="20"/>
        </w:rPr>
        <w:t>AU</w:t>
      </w:r>
      <w:r w:rsidRPr="00595C60">
        <w:rPr>
          <w:rFonts w:asciiTheme="majorHAnsi" w:hAnsiTheme="majorHAnsi" w:cstheme="majorHAnsi"/>
          <w:i/>
          <w:iCs/>
          <w:sz w:val="20"/>
          <w:szCs w:val="20"/>
        </w:rPr>
        <w:t xml:space="preserve"> Survey Tool</w:t>
      </w:r>
      <w:r w:rsidRPr="00595C60">
        <w:rPr>
          <w:rFonts w:asciiTheme="majorHAnsi" w:hAnsiTheme="majorHAnsi" w:cstheme="majorHAnsi"/>
          <w:i/>
          <w:iCs/>
          <w:sz w:val="20"/>
          <w:szCs w:val="20"/>
        </w:rPr>
        <w:tab/>
      </w:r>
    </w:p>
    <w:p w14:paraId="4BECF280" w14:textId="77777777" w:rsidR="008D0CAD" w:rsidRPr="00595C60" w:rsidRDefault="008D0CAD" w:rsidP="002320B3">
      <w:pPr>
        <w:ind w:left="990" w:hanging="270"/>
        <w:rPr>
          <w:rFonts w:asciiTheme="majorHAnsi" w:hAnsiTheme="majorHAnsi" w:cstheme="majorHAnsi"/>
          <w:i/>
          <w:iCs/>
          <w:sz w:val="20"/>
          <w:szCs w:val="20"/>
        </w:rPr>
      </w:pPr>
      <w:r w:rsidRPr="00595C60">
        <w:rPr>
          <w:rFonts w:asciiTheme="majorHAnsi" w:hAnsiTheme="majorHAnsi" w:cstheme="majorHAnsi"/>
          <w:i/>
          <w:iCs/>
          <w:sz w:val="20"/>
          <w:szCs w:val="20"/>
        </w:rPr>
        <w:t>Annex M-1: 2019 K</w:t>
      </w:r>
      <w:r>
        <w:rPr>
          <w:rFonts w:asciiTheme="majorHAnsi" w:hAnsiTheme="majorHAnsi" w:cstheme="majorHAnsi"/>
          <w:i/>
          <w:iCs/>
          <w:sz w:val="20"/>
          <w:szCs w:val="20"/>
        </w:rPr>
        <w:t>AU</w:t>
      </w:r>
      <w:r w:rsidRPr="00595C60">
        <w:rPr>
          <w:rFonts w:asciiTheme="majorHAnsi" w:hAnsiTheme="majorHAnsi" w:cstheme="majorHAnsi"/>
          <w:i/>
          <w:iCs/>
          <w:sz w:val="20"/>
          <w:szCs w:val="20"/>
        </w:rPr>
        <w:t xml:space="preserve"> Survey Tool For Principals/School Heads (</w:t>
      </w:r>
      <w:r>
        <w:rPr>
          <w:rFonts w:asciiTheme="majorHAnsi" w:hAnsiTheme="majorHAnsi" w:cstheme="majorHAnsi"/>
          <w:i/>
          <w:iCs/>
          <w:sz w:val="20"/>
          <w:szCs w:val="20"/>
        </w:rPr>
        <w:t>PSHS</w:t>
      </w:r>
      <w:r w:rsidRPr="00595C60">
        <w:rPr>
          <w:rFonts w:asciiTheme="majorHAnsi" w:hAnsiTheme="majorHAnsi" w:cstheme="majorHAnsi"/>
          <w:i/>
          <w:iCs/>
          <w:sz w:val="20"/>
          <w:szCs w:val="20"/>
        </w:rPr>
        <w:t>)</w:t>
      </w:r>
    </w:p>
    <w:p w14:paraId="5C2002BF" w14:textId="77777777" w:rsidR="008D0CAD" w:rsidRPr="00595C60" w:rsidRDefault="008D0CAD" w:rsidP="002320B3">
      <w:pPr>
        <w:ind w:left="990" w:hanging="270"/>
        <w:rPr>
          <w:rFonts w:asciiTheme="majorHAnsi" w:hAnsiTheme="majorHAnsi" w:cstheme="majorHAnsi"/>
          <w:i/>
          <w:iCs/>
          <w:sz w:val="20"/>
          <w:szCs w:val="20"/>
        </w:rPr>
      </w:pPr>
      <w:r w:rsidRPr="00595C60">
        <w:rPr>
          <w:rFonts w:asciiTheme="majorHAnsi" w:hAnsiTheme="majorHAnsi" w:cstheme="majorHAnsi"/>
          <w:i/>
          <w:iCs/>
          <w:sz w:val="20"/>
          <w:szCs w:val="20"/>
        </w:rPr>
        <w:t>Annex M-2: 2019 K</w:t>
      </w:r>
      <w:r>
        <w:rPr>
          <w:rFonts w:asciiTheme="majorHAnsi" w:hAnsiTheme="majorHAnsi" w:cstheme="majorHAnsi"/>
          <w:i/>
          <w:iCs/>
          <w:sz w:val="20"/>
          <w:szCs w:val="20"/>
        </w:rPr>
        <w:t>AU</w:t>
      </w:r>
      <w:r w:rsidRPr="00595C60">
        <w:rPr>
          <w:rFonts w:asciiTheme="majorHAnsi" w:hAnsiTheme="majorHAnsi" w:cstheme="majorHAnsi"/>
          <w:i/>
          <w:iCs/>
          <w:sz w:val="20"/>
          <w:szCs w:val="20"/>
        </w:rPr>
        <w:t xml:space="preserve"> Survey Tool For Teachers</w:t>
      </w:r>
    </w:p>
    <w:p w14:paraId="531648F4" w14:textId="77777777" w:rsidR="008D0CAD" w:rsidRPr="00595C60" w:rsidRDefault="008D0CAD" w:rsidP="002320B3">
      <w:pPr>
        <w:ind w:left="990" w:hanging="990"/>
        <w:rPr>
          <w:rFonts w:asciiTheme="majorHAnsi" w:hAnsiTheme="majorHAnsi" w:cstheme="majorHAnsi"/>
          <w:i/>
          <w:iCs/>
          <w:sz w:val="20"/>
          <w:szCs w:val="20"/>
        </w:rPr>
      </w:pPr>
      <w:r w:rsidRPr="00595C60">
        <w:rPr>
          <w:rFonts w:asciiTheme="majorHAnsi" w:hAnsiTheme="majorHAnsi" w:cstheme="majorHAnsi"/>
          <w:i/>
          <w:iCs/>
          <w:sz w:val="20"/>
          <w:szCs w:val="20"/>
        </w:rPr>
        <w:t xml:space="preserve">Annex N. 2019 Survey </w:t>
      </w:r>
      <w:r>
        <w:rPr>
          <w:rFonts w:asciiTheme="majorHAnsi" w:hAnsiTheme="majorHAnsi" w:cstheme="majorHAnsi"/>
          <w:i/>
          <w:iCs/>
          <w:sz w:val="20"/>
          <w:szCs w:val="20"/>
        </w:rPr>
        <w:t>o</w:t>
      </w:r>
      <w:r w:rsidRPr="00595C60">
        <w:rPr>
          <w:rFonts w:asciiTheme="majorHAnsi" w:hAnsiTheme="majorHAnsi" w:cstheme="majorHAnsi"/>
          <w:i/>
          <w:iCs/>
          <w:sz w:val="20"/>
          <w:szCs w:val="20"/>
        </w:rPr>
        <w:t xml:space="preserve">n </w:t>
      </w:r>
      <w:r>
        <w:rPr>
          <w:rFonts w:asciiTheme="majorHAnsi" w:hAnsiTheme="majorHAnsi" w:cstheme="majorHAnsi"/>
          <w:i/>
          <w:iCs/>
          <w:sz w:val="20"/>
          <w:szCs w:val="20"/>
        </w:rPr>
        <w:t>t</w:t>
      </w:r>
      <w:r w:rsidRPr="00595C60">
        <w:rPr>
          <w:rFonts w:asciiTheme="majorHAnsi" w:hAnsiTheme="majorHAnsi" w:cstheme="majorHAnsi"/>
          <w:i/>
          <w:iCs/>
          <w:sz w:val="20"/>
          <w:szCs w:val="20"/>
        </w:rPr>
        <w:t xml:space="preserve">he Perceptions </w:t>
      </w:r>
      <w:r>
        <w:rPr>
          <w:rFonts w:asciiTheme="majorHAnsi" w:hAnsiTheme="majorHAnsi" w:cstheme="majorHAnsi"/>
          <w:i/>
          <w:iCs/>
          <w:sz w:val="20"/>
          <w:szCs w:val="20"/>
        </w:rPr>
        <w:t>o</w:t>
      </w:r>
      <w:r w:rsidRPr="00595C60">
        <w:rPr>
          <w:rFonts w:asciiTheme="majorHAnsi" w:hAnsiTheme="majorHAnsi" w:cstheme="majorHAnsi"/>
          <w:i/>
          <w:iCs/>
          <w:sz w:val="20"/>
          <w:szCs w:val="20"/>
        </w:rPr>
        <w:t>n Program Interventions</w:t>
      </w:r>
    </w:p>
    <w:p w14:paraId="18F9A43E" w14:textId="77777777" w:rsidR="008D0CAD" w:rsidRPr="00595C60" w:rsidRDefault="008D0CAD" w:rsidP="002320B3">
      <w:pPr>
        <w:ind w:left="990" w:hanging="270"/>
        <w:rPr>
          <w:rFonts w:asciiTheme="majorHAnsi" w:hAnsiTheme="majorHAnsi" w:cstheme="majorHAnsi"/>
          <w:i/>
          <w:iCs/>
          <w:sz w:val="20"/>
          <w:szCs w:val="20"/>
        </w:rPr>
      </w:pPr>
      <w:r w:rsidRPr="00595C60">
        <w:rPr>
          <w:rFonts w:asciiTheme="majorHAnsi" w:hAnsiTheme="majorHAnsi" w:cstheme="majorHAnsi"/>
          <w:i/>
          <w:iCs/>
          <w:sz w:val="20"/>
          <w:szCs w:val="20"/>
        </w:rPr>
        <w:t xml:space="preserve">Annex N-1: 2019 Survey </w:t>
      </w:r>
      <w:r>
        <w:rPr>
          <w:rFonts w:asciiTheme="majorHAnsi" w:hAnsiTheme="majorHAnsi" w:cstheme="majorHAnsi"/>
          <w:i/>
          <w:iCs/>
          <w:sz w:val="20"/>
          <w:szCs w:val="20"/>
        </w:rPr>
        <w:t>o</w:t>
      </w:r>
      <w:r w:rsidRPr="00595C60">
        <w:rPr>
          <w:rFonts w:asciiTheme="majorHAnsi" w:hAnsiTheme="majorHAnsi" w:cstheme="majorHAnsi"/>
          <w:i/>
          <w:iCs/>
          <w:sz w:val="20"/>
          <w:szCs w:val="20"/>
        </w:rPr>
        <w:t>f Principals/School Heads (P</w:t>
      </w:r>
      <w:r>
        <w:rPr>
          <w:rFonts w:asciiTheme="majorHAnsi" w:hAnsiTheme="majorHAnsi" w:cstheme="majorHAnsi"/>
          <w:i/>
          <w:iCs/>
          <w:sz w:val="20"/>
          <w:szCs w:val="20"/>
        </w:rPr>
        <w:t>SHS</w:t>
      </w:r>
      <w:r w:rsidRPr="00595C60">
        <w:rPr>
          <w:rFonts w:asciiTheme="majorHAnsi" w:hAnsiTheme="majorHAnsi" w:cstheme="majorHAnsi"/>
          <w:i/>
          <w:iCs/>
          <w:sz w:val="20"/>
          <w:szCs w:val="20"/>
        </w:rPr>
        <w:t>)</w:t>
      </w:r>
    </w:p>
    <w:p w14:paraId="3C1E8BB5" w14:textId="77777777" w:rsidR="008D0CAD" w:rsidRPr="00595C60" w:rsidRDefault="008D0CAD" w:rsidP="002320B3">
      <w:pPr>
        <w:ind w:left="990" w:hanging="270"/>
        <w:rPr>
          <w:rFonts w:asciiTheme="majorHAnsi" w:hAnsiTheme="majorHAnsi" w:cstheme="majorHAnsi"/>
          <w:i/>
          <w:iCs/>
          <w:sz w:val="20"/>
          <w:szCs w:val="20"/>
        </w:rPr>
      </w:pPr>
      <w:r w:rsidRPr="00595C60">
        <w:rPr>
          <w:rFonts w:asciiTheme="majorHAnsi" w:hAnsiTheme="majorHAnsi" w:cstheme="majorHAnsi"/>
          <w:i/>
          <w:iCs/>
          <w:sz w:val="20"/>
          <w:szCs w:val="20"/>
        </w:rPr>
        <w:t xml:space="preserve">Annex N-2: 2019 Survey </w:t>
      </w:r>
      <w:r>
        <w:rPr>
          <w:rFonts w:asciiTheme="majorHAnsi" w:hAnsiTheme="majorHAnsi" w:cstheme="majorHAnsi"/>
          <w:i/>
          <w:iCs/>
          <w:sz w:val="20"/>
          <w:szCs w:val="20"/>
        </w:rPr>
        <w:t>o</w:t>
      </w:r>
      <w:r w:rsidRPr="00595C60">
        <w:rPr>
          <w:rFonts w:asciiTheme="majorHAnsi" w:hAnsiTheme="majorHAnsi" w:cstheme="majorHAnsi"/>
          <w:i/>
          <w:iCs/>
          <w:sz w:val="20"/>
          <w:szCs w:val="20"/>
        </w:rPr>
        <w:t>f Teachers</w:t>
      </w:r>
    </w:p>
    <w:p w14:paraId="7AE26688" w14:textId="77777777" w:rsidR="008D0CAD" w:rsidRPr="00595C60" w:rsidRDefault="008D0CAD" w:rsidP="002320B3">
      <w:pPr>
        <w:ind w:left="990" w:hanging="990"/>
        <w:rPr>
          <w:rFonts w:asciiTheme="majorHAnsi" w:hAnsiTheme="majorHAnsi" w:cstheme="majorHAnsi"/>
          <w:i/>
          <w:iCs/>
          <w:sz w:val="20"/>
          <w:szCs w:val="20"/>
        </w:rPr>
      </w:pPr>
      <w:r w:rsidRPr="00595C60">
        <w:rPr>
          <w:rFonts w:asciiTheme="majorHAnsi" w:hAnsiTheme="majorHAnsi" w:cstheme="majorHAnsi"/>
          <w:i/>
          <w:iCs/>
          <w:sz w:val="20"/>
          <w:szCs w:val="20"/>
        </w:rPr>
        <w:t>Annex O. 2020 F</w:t>
      </w:r>
      <w:r>
        <w:rPr>
          <w:rFonts w:asciiTheme="majorHAnsi" w:hAnsiTheme="majorHAnsi" w:cstheme="majorHAnsi"/>
          <w:i/>
          <w:iCs/>
          <w:sz w:val="20"/>
          <w:szCs w:val="20"/>
        </w:rPr>
        <w:t>GD</w:t>
      </w:r>
      <w:r w:rsidRPr="00595C60">
        <w:rPr>
          <w:rFonts w:asciiTheme="majorHAnsi" w:hAnsiTheme="majorHAnsi" w:cstheme="majorHAnsi"/>
          <w:i/>
          <w:iCs/>
          <w:sz w:val="20"/>
          <w:szCs w:val="20"/>
        </w:rPr>
        <w:t xml:space="preserve"> Guide Questions</w:t>
      </w:r>
    </w:p>
    <w:p w14:paraId="5A84700F" w14:textId="77777777" w:rsidR="008D0CAD" w:rsidRPr="00595C60" w:rsidRDefault="008D0CAD" w:rsidP="002320B3">
      <w:pPr>
        <w:ind w:left="990" w:hanging="270"/>
        <w:rPr>
          <w:rFonts w:asciiTheme="majorHAnsi" w:hAnsiTheme="majorHAnsi" w:cstheme="majorHAnsi"/>
          <w:i/>
          <w:iCs/>
          <w:sz w:val="20"/>
          <w:szCs w:val="20"/>
        </w:rPr>
      </w:pPr>
      <w:r w:rsidRPr="00595C60">
        <w:rPr>
          <w:rFonts w:asciiTheme="majorHAnsi" w:hAnsiTheme="majorHAnsi" w:cstheme="majorHAnsi"/>
          <w:i/>
          <w:iCs/>
          <w:sz w:val="20"/>
          <w:szCs w:val="20"/>
        </w:rPr>
        <w:t>Annex O-1: 2020 Guide Questions For Principals/School Heads (P</w:t>
      </w:r>
      <w:r>
        <w:rPr>
          <w:rFonts w:asciiTheme="majorHAnsi" w:hAnsiTheme="majorHAnsi" w:cstheme="majorHAnsi"/>
          <w:i/>
          <w:iCs/>
          <w:sz w:val="20"/>
          <w:szCs w:val="20"/>
        </w:rPr>
        <w:t>SHS</w:t>
      </w:r>
      <w:r w:rsidRPr="00595C60">
        <w:rPr>
          <w:rFonts w:asciiTheme="majorHAnsi" w:hAnsiTheme="majorHAnsi" w:cstheme="majorHAnsi"/>
          <w:i/>
          <w:iCs/>
          <w:sz w:val="20"/>
          <w:szCs w:val="20"/>
        </w:rPr>
        <w:t>)</w:t>
      </w:r>
    </w:p>
    <w:p w14:paraId="25CBC4A5" w14:textId="77777777" w:rsidR="008D0CAD" w:rsidRPr="00595C60" w:rsidRDefault="008D0CAD" w:rsidP="002320B3">
      <w:pPr>
        <w:ind w:left="990" w:hanging="270"/>
        <w:rPr>
          <w:rFonts w:asciiTheme="majorHAnsi" w:hAnsiTheme="majorHAnsi" w:cstheme="majorHAnsi"/>
          <w:i/>
          <w:iCs/>
          <w:sz w:val="20"/>
          <w:szCs w:val="20"/>
        </w:rPr>
      </w:pPr>
      <w:r w:rsidRPr="00595C60">
        <w:rPr>
          <w:rFonts w:asciiTheme="majorHAnsi" w:hAnsiTheme="majorHAnsi" w:cstheme="majorHAnsi"/>
          <w:i/>
          <w:iCs/>
          <w:sz w:val="20"/>
          <w:szCs w:val="20"/>
        </w:rPr>
        <w:t>Annex O-2: 2020 Guide Questions For Teachers</w:t>
      </w:r>
      <w:r w:rsidRPr="00595C60">
        <w:rPr>
          <w:rFonts w:asciiTheme="majorHAnsi" w:hAnsiTheme="majorHAnsi" w:cstheme="majorHAnsi"/>
          <w:i/>
          <w:iCs/>
          <w:sz w:val="20"/>
          <w:szCs w:val="20"/>
        </w:rPr>
        <w:tab/>
      </w:r>
    </w:p>
    <w:p w14:paraId="1543B593" w14:textId="534328B8" w:rsidR="008D0CAD" w:rsidRPr="00595C60" w:rsidRDefault="008D0CAD" w:rsidP="002320B3">
      <w:pPr>
        <w:ind w:left="990" w:hanging="990"/>
        <w:rPr>
          <w:rFonts w:asciiTheme="majorHAnsi" w:hAnsiTheme="majorHAnsi" w:cstheme="majorHAnsi"/>
          <w:i/>
          <w:iCs/>
          <w:sz w:val="20"/>
          <w:szCs w:val="20"/>
        </w:rPr>
      </w:pPr>
      <w:r w:rsidRPr="00595C60">
        <w:rPr>
          <w:rFonts w:asciiTheme="majorHAnsi" w:hAnsiTheme="majorHAnsi" w:cstheme="majorHAnsi"/>
          <w:i/>
          <w:iCs/>
          <w:sz w:val="20"/>
          <w:szCs w:val="20"/>
        </w:rPr>
        <w:t>Annex P.</w:t>
      </w:r>
      <w:r w:rsidR="00D434EB">
        <w:rPr>
          <w:rFonts w:asciiTheme="majorHAnsi" w:hAnsiTheme="majorHAnsi" w:cstheme="majorHAnsi"/>
          <w:i/>
          <w:iCs/>
          <w:sz w:val="20"/>
          <w:szCs w:val="20"/>
        </w:rPr>
        <w:t xml:space="preserve"> </w:t>
      </w:r>
      <w:r w:rsidRPr="00595C60">
        <w:rPr>
          <w:rFonts w:asciiTheme="majorHAnsi" w:hAnsiTheme="majorHAnsi" w:cstheme="majorHAnsi"/>
          <w:i/>
          <w:iCs/>
          <w:sz w:val="20"/>
          <w:szCs w:val="20"/>
        </w:rPr>
        <w:t>2020 K</w:t>
      </w:r>
      <w:r>
        <w:rPr>
          <w:rFonts w:asciiTheme="majorHAnsi" w:hAnsiTheme="majorHAnsi" w:cstheme="majorHAnsi"/>
          <w:i/>
          <w:iCs/>
          <w:sz w:val="20"/>
          <w:szCs w:val="20"/>
        </w:rPr>
        <w:t>AU</w:t>
      </w:r>
      <w:r w:rsidRPr="00595C60">
        <w:rPr>
          <w:rFonts w:asciiTheme="majorHAnsi" w:hAnsiTheme="majorHAnsi" w:cstheme="majorHAnsi"/>
          <w:i/>
          <w:iCs/>
          <w:sz w:val="20"/>
          <w:szCs w:val="20"/>
        </w:rPr>
        <w:t xml:space="preserve"> Survey Tool</w:t>
      </w:r>
    </w:p>
    <w:p w14:paraId="619994C1" w14:textId="77777777" w:rsidR="008D0CAD" w:rsidRPr="00595C60" w:rsidRDefault="008D0CAD" w:rsidP="002320B3">
      <w:pPr>
        <w:ind w:left="990" w:hanging="990"/>
        <w:rPr>
          <w:rFonts w:asciiTheme="majorHAnsi" w:hAnsiTheme="majorHAnsi" w:cstheme="majorHAnsi"/>
          <w:i/>
          <w:iCs/>
          <w:sz w:val="20"/>
          <w:szCs w:val="20"/>
        </w:rPr>
      </w:pPr>
      <w:r w:rsidRPr="00595C60">
        <w:rPr>
          <w:rFonts w:asciiTheme="majorHAnsi" w:hAnsiTheme="majorHAnsi" w:cstheme="majorHAnsi"/>
          <w:i/>
          <w:iCs/>
          <w:sz w:val="20"/>
          <w:szCs w:val="20"/>
        </w:rPr>
        <w:t xml:space="preserve">Annex Q. 2020 Survey </w:t>
      </w:r>
      <w:r>
        <w:rPr>
          <w:rFonts w:asciiTheme="majorHAnsi" w:hAnsiTheme="majorHAnsi" w:cstheme="majorHAnsi"/>
          <w:i/>
          <w:iCs/>
          <w:sz w:val="20"/>
          <w:szCs w:val="20"/>
        </w:rPr>
        <w:t>o</w:t>
      </w:r>
      <w:r w:rsidRPr="00595C60">
        <w:rPr>
          <w:rFonts w:asciiTheme="majorHAnsi" w:hAnsiTheme="majorHAnsi" w:cstheme="majorHAnsi"/>
          <w:i/>
          <w:iCs/>
          <w:sz w:val="20"/>
          <w:szCs w:val="20"/>
        </w:rPr>
        <w:t xml:space="preserve">n </w:t>
      </w:r>
      <w:r>
        <w:rPr>
          <w:rFonts w:asciiTheme="majorHAnsi" w:hAnsiTheme="majorHAnsi" w:cstheme="majorHAnsi"/>
          <w:i/>
          <w:iCs/>
          <w:sz w:val="20"/>
          <w:szCs w:val="20"/>
        </w:rPr>
        <w:t>t</w:t>
      </w:r>
      <w:r w:rsidRPr="00595C60">
        <w:rPr>
          <w:rFonts w:asciiTheme="majorHAnsi" w:hAnsiTheme="majorHAnsi" w:cstheme="majorHAnsi"/>
          <w:i/>
          <w:iCs/>
          <w:sz w:val="20"/>
          <w:szCs w:val="20"/>
        </w:rPr>
        <w:t xml:space="preserve">he Perceptions </w:t>
      </w:r>
      <w:r>
        <w:rPr>
          <w:rFonts w:asciiTheme="majorHAnsi" w:hAnsiTheme="majorHAnsi" w:cstheme="majorHAnsi"/>
          <w:i/>
          <w:iCs/>
          <w:sz w:val="20"/>
          <w:szCs w:val="20"/>
        </w:rPr>
        <w:t>o</w:t>
      </w:r>
      <w:r w:rsidRPr="00595C60">
        <w:rPr>
          <w:rFonts w:asciiTheme="majorHAnsi" w:hAnsiTheme="majorHAnsi" w:cstheme="majorHAnsi"/>
          <w:i/>
          <w:iCs/>
          <w:sz w:val="20"/>
          <w:szCs w:val="20"/>
        </w:rPr>
        <w:t>n Program Interventions</w:t>
      </w:r>
    </w:p>
    <w:p w14:paraId="5BEC8D79" w14:textId="77777777" w:rsidR="008D0CAD" w:rsidRPr="00595C60" w:rsidRDefault="008D0CAD" w:rsidP="002320B3">
      <w:pPr>
        <w:ind w:left="990" w:hanging="270"/>
        <w:rPr>
          <w:rFonts w:asciiTheme="majorHAnsi" w:hAnsiTheme="majorHAnsi" w:cstheme="majorHAnsi"/>
          <w:i/>
          <w:iCs/>
          <w:sz w:val="20"/>
          <w:szCs w:val="20"/>
        </w:rPr>
      </w:pPr>
      <w:r w:rsidRPr="00595C60">
        <w:rPr>
          <w:rFonts w:asciiTheme="majorHAnsi" w:hAnsiTheme="majorHAnsi" w:cstheme="majorHAnsi"/>
          <w:i/>
          <w:iCs/>
          <w:sz w:val="20"/>
          <w:szCs w:val="20"/>
        </w:rPr>
        <w:t>Annex Q-1: 2020 Survey Of Principals/School Heads (P</w:t>
      </w:r>
      <w:r>
        <w:rPr>
          <w:rFonts w:asciiTheme="majorHAnsi" w:hAnsiTheme="majorHAnsi" w:cstheme="majorHAnsi"/>
          <w:i/>
          <w:iCs/>
          <w:sz w:val="20"/>
          <w:szCs w:val="20"/>
        </w:rPr>
        <w:t>SHS</w:t>
      </w:r>
      <w:r w:rsidRPr="00595C60">
        <w:rPr>
          <w:rFonts w:asciiTheme="majorHAnsi" w:hAnsiTheme="majorHAnsi" w:cstheme="majorHAnsi"/>
          <w:i/>
          <w:iCs/>
          <w:sz w:val="20"/>
          <w:szCs w:val="20"/>
        </w:rPr>
        <w:t>)</w:t>
      </w:r>
    </w:p>
    <w:p w14:paraId="1CFC413D" w14:textId="77777777" w:rsidR="008D0CAD" w:rsidRPr="00595C60" w:rsidRDefault="008D0CAD" w:rsidP="002320B3">
      <w:pPr>
        <w:ind w:left="990" w:hanging="990"/>
        <w:rPr>
          <w:rFonts w:asciiTheme="majorHAnsi" w:hAnsiTheme="majorHAnsi" w:cstheme="majorHAnsi"/>
          <w:i/>
          <w:iCs/>
          <w:sz w:val="20"/>
          <w:szCs w:val="20"/>
        </w:rPr>
      </w:pPr>
      <w:r w:rsidRPr="00595C60">
        <w:rPr>
          <w:rFonts w:asciiTheme="majorHAnsi" w:hAnsiTheme="majorHAnsi" w:cstheme="majorHAnsi"/>
          <w:i/>
          <w:iCs/>
          <w:sz w:val="20"/>
          <w:szCs w:val="20"/>
        </w:rPr>
        <w:t xml:space="preserve">Annex R. Challenges </w:t>
      </w:r>
      <w:r>
        <w:rPr>
          <w:rFonts w:asciiTheme="majorHAnsi" w:hAnsiTheme="majorHAnsi" w:cstheme="majorHAnsi"/>
          <w:i/>
          <w:iCs/>
          <w:sz w:val="20"/>
          <w:szCs w:val="20"/>
        </w:rPr>
        <w:t>i</w:t>
      </w:r>
      <w:r w:rsidRPr="00595C60">
        <w:rPr>
          <w:rFonts w:asciiTheme="majorHAnsi" w:hAnsiTheme="majorHAnsi" w:cstheme="majorHAnsi"/>
          <w:i/>
          <w:iCs/>
          <w:sz w:val="20"/>
          <w:szCs w:val="20"/>
        </w:rPr>
        <w:t xml:space="preserve">n </w:t>
      </w:r>
      <w:r>
        <w:rPr>
          <w:rFonts w:asciiTheme="majorHAnsi" w:hAnsiTheme="majorHAnsi" w:cstheme="majorHAnsi"/>
          <w:i/>
          <w:iCs/>
          <w:sz w:val="20"/>
          <w:szCs w:val="20"/>
        </w:rPr>
        <w:t>O</w:t>
      </w:r>
      <w:r w:rsidRPr="00595C60">
        <w:rPr>
          <w:rFonts w:asciiTheme="majorHAnsi" w:hAnsiTheme="majorHAnsi" w:cstheme="majorHAnsi"/>
          <w:i/>
          <w:iCs/>
          <w:sz w:val="20"/>
          <w:szCs w:val="20"/>
        </w:rPr>
        <w:t>btaining School-Level Data</w:t>
      </w:r>
    </w:p>
    <w:p w14:paraId="145F7251" w14:textId="77777777" w:rsidR="008D0CAD" w:rsidRPr="00595C60" w:rsidRDefault="008D0CAD" w:rsidP="002320B3">
      <w:pPr>
        <w:ind w:left="990" w:hanging="990"/>
        <w:rPr>
          <w:rFonts w:asciiTheme="majorHAnsi" w:hAnsiTheme="majorHAnsi" w:cstheme="majorHAnsi"/>
          <w:i/>
          <w:iCs/>
          <w:sz w:val="20"/>
          <w:szCs w:val="20"/>
        </w:rPr>
      </w:pPr>
      <w:r w:rsidRPr="00595C60">
        <w:rPr>
          <w:rFonts w:asciiTheme="majorHAnsi" w:hAnsiTheme="majorHAnsi" w:cstheme="majorHAnsi"/>
          <w:i/>
          <w:iCs/>
          <w:sz w:val="20"/>
          <w:szCs w:val="20"/>
        </w:rPr>
        <w:t xml:space="preserve">Annex S. Relevance </w:t>
      </w:r>
      <w:r>
        <w:rPr>
          <w:rFonts w:asciiTheme="majorHAnsi" w:hAnsiTheme="majorHAnsi" w:cstheme="majorHAnsi"/>
          <w:i/>
          <w:iCs/>
          <w:sz w:val="20"/>
          <w:szCs w:val="20"/>
        </w:rPr>
        <w:t>o</w:t>
      </w:r>
      <w:r w:rsidRPr="00595C60">
        <w:rPr>
          <w:rFonts w:asciiTheme="majorHAnsi" w:hAnsiTheme="majorHAnsi" w:cstheme="majorHAnsi"/>
          <w:i/>
          <w:iCs/>
          <w:sz w:val="20"/>
          <w:szCs w:val="20"/>
        </w:rPr>
        <w:t>f B</w:t>
      </w:r>
      <w:r>
        <w:rPr>
          <w:rFonts w:asciiTheme="majorHAnsi" w:hAnsiTheme="majorHAnsi" w:cstheme="majorHAnsi"/>
          <w:i/>
          <w:iCs/>
          <w:sz w:val="20"/>
          <w:szCs w:val="20"/>
        </w:rPr>
        <w:t>EST</w:t>
      </w:r>
      <w:r w:rsidRPr="00595C60">
        <w:rPr>
          <w:rFonts w:asciiTheme="majorHAnsi" w:hAnsiTheme="majorHAnsi" w:cstheme="majorHAnsi"/>
          <w:i/>
          <w:iCs/>
          <w:sz w:val="20"/>
          <w:szCs w:val="20"/>
        </w:rPr>
        <w:t xml:space="preserve"> Program Interventions: A Literature Review</w:t>
      </w:r>
    </w:p>
    <w:p w14:paraId="2CB146E6" w14:textId="77777777" w:rsidR="008D0CAD" w:rsidRPr="00595C60" w:rsidRDefault="008D0CAD" w:rsidP="002320B3">
      <w:pPr>
        <w:ind w:left="990" w:hanging="990"/>
        <w:rPr>
          <w:rFonts w:asciiTheme="majorHAnsi" w:hAnsiTheme="majorHAnsi" w:cstheme="majorHAnsi"/>
          <w:i/>
          <w:iCs/>
          <w:sz w:val="20"/>
          <w:szCs w:val="20"/>
        </w:rPr>
      </w:pPr>
      <w:r w:rsidRPr="00595C60">
        <w:rPr>
          <w:rFonts w:asciiTheme="majorHAnsi" w:hAnsiTheme="majorHAnsi" w:cstheme="majorHAnsi"/>
          <w:i/>
          <w:iCs/>
          <w:sz w:val="20"/>
          <w:szCs w:val="20"/>
        </w:rPr>
        <w:t xml:space="preserve">Annex T. Analyses </w:t>
      </w:r>
      <w:r>
        <w:rPr>
          <w:rFonts w:asciiTheme="majorHAnsi" w:hAnsiTheme="majorHAnsi" w:cstheme="majorHAnsi"/>
          <w:i/>
          <w:iCs/>
          <w:sz w:val="20"/>
          <w:szCs w:val="20"/>
        </w:rPr>
        <w:t>o</w:t>
      </w:r>
      <w:r w:rsidRPr="00595C60">
        <w:rPr>
          <w:rFonts w:asciiTheme="majorHAnsi" w:hAnsiTheme="majorHAnsi" w:cstheme="majorHAnsi"/>
          <w:i/>
          <w:iCs/>
          <w:sz w:val="20"/>
          <w:szCs w:val="20"/>
        </w:rPr>
        <w:t>f Learning Outcomes</w:t>
      </w:r>
    </w:p>
    <w:p w14:paraId="27F9A53F" w14:textId="77777777" w:rsidR="008D0CAD" w:rsidRPr="00595C60" w:rsidRDefault="008D0CAD" w:rsidP="002320B3">
      <w:pPr>
        <w:ind w:left="990" w:hanging="270"/>
        <w:rPr>
          <w:rFonts w:asciiTheme="majorHAnsi" w:hAnsiTheme="majorHAnsi" w:cstheme="majorHAnsi"/>
          <w:i/>
          <w:iCs/>
          <w:sz w:val="20"/>
          <w:szCs w:val="20"/>
        </w:rPr>
      </w:pPr>
      <w:r w:rsidRPr="00595C60">
        <w:rPr>
          <w:rFonts w:asciiTheme="majorHAnsi" w:hAnsiTheme="majorHAnsi" w:cstheme="majorHAnsi"/>
          <w:i/>
          <w:iCs/>
          <w:sz w:val="20"/>
          <w:szCs w:val="20"/>
        </w:rPr>
        <w:t>Annex T-1. Average Grades Per Subject</w:t>
      </w:r>
      <w:r w:rsidRPr="00595C60">
        <w:rPr>
          <w:rFonts w:asciiTheme="majorHAnsi" w:hAnsiTheme="majorHAnsi" w:cstheme="majorHAnsi"/>
          <w:i/>
          <w:iCs/>
          <w:sz w:val="20"/>
          <w:szCs w:val="20"/>
        </w:rPr>
        <w:tab/>
      </w:r>
    </w:p>
    <w:p w14:paraId="2F452480" w14:textId="77777777" w:rsidR="008D0CAD" w:rsidRPr="00595C60" w:rsidRDefault="008D0CAD" w:rsidP="002320B3">
      <w:pPr>
        <w:ind w:left="990" w:hanging="270"/>
        <w:rPr>
          <w:rFonts w:asciiTheme="majorHAnsi" w:hAnsiTheme="majorHAnsi" w:cstheme="majorHAnsi"/>
          <w:i/>
          <w:iCs/>
          <w:sz w:val="20"/>
          <w:szCs w:val="20"/>
        </w:rPr>
      </w:pPr>
      <w:r w:rsidRPr="00595C60">
        <w:rPr>
          <w:rFonts w:asciiTheme="majorHAnsi" w:hAnsiTheme="majorHAnsi" w:cstheme="majorHAnsi"/>
          <w:i/>
          <w:iCs/>
          <w:sz w:val="20"/>
          <w:szCs w:val="20"/>
        </w:rPr>
        <w:t>Annex T-2. D</w:t>
      </w:r>
      <w:r>
        <w:rPr>
          <w:rFonts w:asciiTheme="majorHAnsi" w:hAnsiTheme="majorHAnsi" w:cstheme="majorHAnsi"/>
          <w:i/>
          <w:iCs/>
          <w:sz w:val="20"/>
          <w:szCs w:val="20"/>
        </w:rPr>
        <w:t>ID</w:t>
      </w:r>
      <w:r w:rsidRPr="00595C60">
        <w:rPr>
          <w:rFonts w:asciiTheme="majorHAnsi" w:hAnsiTheme="majorHAnsi" w:cstheme="majorHAnsi"/>
          <w:i/>
          <w:iCs/>
          <w:sz w:val="20"/>
          <w:szCs w:val="20"/>
        </w:rPr>
        <w:t xml:space="preserve"> Analysis </w:t>
      </w:r>
      <w:r>
        <w:rPr>
          <w:rFonts w:asciiTheme="majorHAnsi" w:hAnsiTheme="majorHAnsi" w:cstheme="majorHAnsi"/>
          <w:i/>
          <w:iCs/>
          <w:sz w:val="20"/>
          <w:szCs w:val="20"/>
        </w:rPr>
        <w:t>o</w:t>
      </w:r>
      <w:r w:rsidRPr="00595C60">
        <w:rPr>
          <w:rFonts w:asciiTheme="majorHAnsi" w:hAnsiTheme="majorHAnsi" w:cstheme="majorHAnsi"/>
          <w:i/>
          <w:iCs/>
          <w:sz w:val="20"/>
          <w:szCs w:val="20"/>
        </w:rPr>
        <w:t>n Gender Grade Differentials</w:t>
      </w:r>
    </w:p>
    <w:p w14:paraId="0A960856" w14:textId="77777777" w:rsidR="008D0CAD" w:rsidRPr="00595C60" w:rsidRDefault="008D0CAD" w:rsidP="002320B3">
      <w:pPr>
        <w:ind w:left="990" w:hanging="270"/>
        <w:rPr>
          <w:rFonts w:asciiTheme="majorHAnsi" w:hAnsiTheme="majorHAnsi" w:cstheme="majorHAnsi"/>
          <w:i/>
          <w:iCs/>
          <w:sz w:val="20"/>
          <w:szCs w:val="20"/>
        </w:rPr>
      </w:pPr>
      <w:r w:rsidRPr="00595C60">
        <w:rPr>
          <w:rFonts w:asciiTheme="majorHAnsi" w:hAnsiTheme="majorHAnsi" w:cstheme="majorHAnsi"/>
          <w:i/>
          <w:iCs/>
          <w:sz w:val="20"/>
          <w:szCs w:val="20"/>
        </w:rPr>
        <w:t>Annex T-3. Phil-I</w:t>
      </w:r>
      <w:r>
        <w:rPr>
          <w:rFonts w:asciiTheme="majorHAnsi" w:hAnsiTheme="majorHAnsi" w:cstheme="majorHAnsi"/>
          <w:i/>
          <w:iCs/>
          <w:sz w:val="20"/>
          <w:szCs w:val="20"/>
        </w:rPr>
        <w:t>RI</w:t>
      </w:r>
      <w:r w:rsidRPr="00595C60">
        <w:rPr>
          <w:rFonts w:asciiTheme="majorHAnsi" w:hAnsiTheme="majorHAnsi" w:cstheme="majorHAnsi"/>
          <w:i/>
          <w:iCs/>
          <w:sz w:val="20"/>
          <w:szCs w:val="20"/>
        </w:rPr>
        <w:t xml:space="preserve"> Test Results </w:t>
      </w:r>
      <w:r>
        <w:rPr>
          <w:rFonts w:asciiTheme="majorHAnsi" w:hAnsiTheme="majorHAnsi" w:cstheme="majorHAnsi"/>
          <w:i/>
          <w:iCs/>
          <w:sz w:val="20"/>
          <w:szCs w:val="20"/>
        </w:rPr>
        <w:t>f</w:t>
      </w:r>
      <w:r w:rsidRPr="00595C60">
        <w:rPr>
          <w:rFonts w:asciiTheme="majorHAnsi" w:hAnsiTheme="majorHAnsi" w:cstheme="majorHAnsi"/>
          <w:i/>
          <w:iCs/>
          <w:sz w:val="20"/>
          <w:szCs w:val="20"/>
        </w:rPr>
        <w:t xml:space="preserve">or Grades 4, 5 </w:t>
      </w:r>
      <w:r>
        <w:rPr>
          <w:rFonts w:asciiTheme="majorHAnsi" w:hAnsiTheme="majorHAnsi" w:cstheme="majorHAnsi"/>
          <w:i/>
          <w:iCs/>
          <w:sz w:val="20"/>
          <w:szCs w:val="20"/>
        </w:rPr>
        <w:t>a</w:t>
      </w:r>
      <w:r w:rsidRPr="00595C60">
        <w:rPr>
          <w:rFonts w:asciiTheme="majorHAnsi" w:hAnsiTheme="majorHAnsi" w:cstheme="majorHAnsi"/>
          <w:i/>
          <w:iCs/>
          <w:sz w:val="20"/>
          <w:szCs w:val="20"/>
        </w:rPr>
        <w:t>nd 6 Students</w:t>
      </w:r>
      <w:r>
        <w:rPr>
          <w:rFonts w:asciiTheme="majorHAnsi" w:hAnsiTheme="majorHAnsi" w:cstheme="majorHAnsi"/>
          <w:i/>
          <w:iCs/>
          <w:sz w:val="20"/>
          <w:szCs w:val="20"/>
        </w:rPr>
        <w:t xml:space="preserve"> f</w:t>
      </w:r>
      <w:r w:rsidRPr="00595C60">
        <w:rPr>
          <w:rFonts w:asciiTheme="majorHAnsi" w:hAnsiTheme="majorHAnsi" w:cstheme="majorHAnsi"/>
          <w:i/>
          <w:iCs/>
          <w:sz w:val="20"/>
          <w:szCs w:val="20"/>
        </w:rPr>
        <w:t>rom Sy2013-2014 To Sy2017-2018</w:t>
      </w:r>
    </w:p>
    <w:p w14:paraId="38CA89CF" w14:textId="77777777" w:rsidR="008D0CAD" w:rsidRPr="00595C60" w:rsidRDefault="008D0CAD" w:rsidP="002320B3">
      <w:pPr>
        <w:ind w:left="990" w:hanging="990"/>
        <w:rPr>
          <w:rFonts w:asciiTheme="majorHAnsi" w:hAnsiTheme="majorHAnsi" w:cstheme="majorHAnsi"/>
          <w:i/>
          <w:iCs/>
          <w:sz w:val="20"/>
          <w:szCs w:val="20"/>
        </w:rPr>
      </w:pPr>
      <w:r w:rsidRPr="00595C60">
        <w:rPr>
          <w:rFonts w:asciiTheme="majorHAnsi" w:hAnsiTheme="majorHAnsi" w:cstheme="majorHAnsi"/>
          <w:i/>
          <w:iCs/>
          <w:sz w:val="20"/>
          <w:szCs w:val="20"/>
        </w:rPr>
        <w:t xml:space="preserve">Annex U. Analysis </w:t>
      </w:r>
      <w:r>
        <w:rPr>
          <w:rFonts w:asciiTheme="majorHAnsi" w:hAnsiTheme="majorHAnsi" w:cstheme="majorHAnsi"/>
          <w:i/>
          <w:iCs/>
          <w:sz w:val="20"/>
          <w:szCs w:val="20"/>
        </w:rPr>
        <w:t>o</w:t>
      </w:r>
      <w:r w:rsidRPr="00595C60">
        <w:rPr>
          <w:rFonts w:asciiTheme="majorHAnsi" w:hAnsiTheme="majorHAnsi" w:cstheme="majorHAnsi"/>
          <w:i/>
          <w:iCs/>
          <w:sz w:val="20"/>
          <w:szCs w:val="20"/>
        </w:rPr>
        <w:t xml:space="preserve">f Classroom Observations </w:t>
      </w:r>
      <w:r>
        <w:rPr>
          <w:rFonts w:asciiTheme="majorHAnsi" w:hAnsiTheme="majorHAnsi" w:cstheme="majorHAnsi"/>
          <w:i/>
          <w:iCs/>
          <w:sz w:val="20"/>
          <w:szCs w:val="20"/>
        </w:rPr>
        <w:t>a</w:t>
      </w:r>
      <w:r w:rsidRPr="00595C60">
        <w:rPr>
          <w:rFonts w:asciiTheme="majorHAnsi" w:hAnsiTheme="majorHAnsi" w:cstheme="majorHAnsi"/>
          <w:i/>
          <w:iCs/>
          <w:sz w:val="20"/>
          <w:szCs w:val="20"/>
        </w:rPr>
        <w:t>nd Teacher Performance</w:t>
      </w:r>
      <w:r w:rsidRPr="00595C60">
        <w:rPr>
          <w:rFonts w:asciiTheme="majorHAnsi" w:hAnsiTheme="majorHAnsi" w:cstheme="majorHAnsi"/>
          <w:i/>
          <w:iCs/>
          <w:sz w:val="20"/>
          <w:szCs w:val="20"/>
        </w:rPr>
        <w:tab/>
      </w:r>
    </w:p>
    <w:p w14:paraId="4D159760" w14:textId="77777777" w:rsidR="008D0CAD" w:rsidRPr="00595C60" w:rsidRDefault="008D0CAD" w:rsidP="002320B3">
      <w:pPr>
        <w:ind w:left="990" w:hanging="990"/>
        <w:rPr>
          <w:rFonts w:asciiTheme="majorHAnsi" w:hAnsiTheme="majorHAnsi" w:cstheme="majorHAnsi"/>
          <w:i/>
          <w:iCs/>
          <w:sz w:val="20"/>
          <w:szCs w:val="20"/>
        </w:rPr>
      </w:pPr>
      <w:r w:rsidRPr="00595C60">
        <w:rPr>
          <w:rFonts w:asciiTheme="majorHAnsi" w:hAnsiTheme="majorHAnsi" w:cstheme="majorHAnsi"/>
          <w:i/>
          <w:iCs/>
          <w:sz w:val="20"/>
          <w:szCs w:val="20"/>
        </w:rPr>
        <w:t>Annex V. Selected Education Key Performance Indicators</w:t>
      </w:r>
    </w:p>
    <w:p w14:paraId="505D1B29" w14:textId="77777777" w:rsidR="008D0CAD" w:rsidRPr="00595C60" w:rsidRDefault="008D0CAD" w:rsidP="002320B3">
      <w:pPr>
        <w:ind w:left="990" w:hanging="270"/>
        <w:rPr>
          <w:rFonts w:asciiTheme="majorHAnsi" w:hAnsiTheme="majorHAnsi" w:cstheme="majorHAnsi"/>
          <w:i/>
          <w:iCs/>
          <w:sz w:val="20"/>
          <w:szCs w:val="20"/>
        </w:rPr>
      </w:pPr>
      <w:r w:rsidRPr="00595C60">
        <w:rPr>
          <w:rFonts w:asciiTheme="majorHAnsi" w:hAnsiTheme="majorHAnsi" w:cstheme="majorHAnsi"/>
          <w:i/>
          <w:iCs/>
          <w:sz w:val="20"/>
          <w:szCs w:val="20"/>
        </w:rPr>
        <w:t>Annex V-1. D</w:t>
      </w:r>
      <w:r>
        <w:rPr>
          <w:rFonts w:asciiTheme="majorHAnsi" w:hAnsiTheme="majorHAnsi" w:cstheme="majorHAnsi"/>
          <w:i/>
          <w:iCs/>
          <w:sz w:val="20"/>
          <w:szCs w:val="20"/>
        </w:rPr>
        <w:t>ID</w:t>
      </w:r>
      <w:r w:rsidRPr="00595C60">
        <w:rPr>
          <w:rFonts w:asciiTheme="majorHAnsi" w:hAnsiTheme="majorHAnsi" w:cstheme="majorHAnsi"/>
          <w:i/>
          <w:iCs/>
          <w:sz w:val="20"/>
          <w:szCs w:val="20"/>
        </w:rPr>
        <w:t xml:space="preserve"> Analysis </w:t>
      </w:r>
      <w:r>
        <w:rPr>
          <w:rFonts w:asciiTheme="majorHAnsi" w:hAnsiTheme="majorHAnsi" w:cstheme="majorHAnsi"/>
          <w:i/>
          <w:iCs/>
          <w:sz w:val="20"/>
          <w:szCs w:val="20"/>
        </w:rPr>
        <w:t>o</w:t>
      </w:r>
      <w:r w:rsidRPr="00595C60">
        <w:rPr>
          <w:rFonts w:asciiTheme="majorHAnsi" w:hAnsiTheme="majorHAnsi" w:cstheme="majorHAnsi"/>
          <w:i/>
          <w:iCs/>
          <w:sz w:val="20"/>
          <w:szCs w:val="20"/>
        </w:rPr>
        <w:t xml:space="preserve">n Change </w:t>
      </w:r>
      <w:r>
        <w:rPr>
          <w:rFonts w:asciiTheme="majorHAnsi" w:hAnsiTheme="majorHAnsi" w:cstheme="majorHAnsi"/>
          <w:i/>
          <w:iCs/>
          <w:sz w:val="20"/>
          <w:szCs w:val="20"/>
        </w:rPr>
        <w:t>i</w:t>
      </w:r>
      <w:r w:rsidRPr="00595C60">
        <w:rPr>
          <w:rFonts w:asciiTheme="majorHAnsi" w:hAnsiTheme="majorHAnsi" w:cstheme="majorHAnsi"/>
          <w:i/>
          <w:iCs/>
          <w:sz w:val="20"/>
          <w:szCs w:val="20"/>
        </w:rPr>
        <w:t>n Enrollment</w:t>
      </w:r>
      <w:r w:rsidRPr="00595C60">
        <w:rPr>
          <w:rFonts w:asciiTheme="majorHAnsi" w:hAnsiTheme="majorHAnsi" w:cstheme="majorHAnsi"/>
          <w:i/>
          <w:iCs/>
          <w:sz w:val="20"/>
          <w:szCs w:val="20"/>
        </w:rPr>
        <w:tab/>
      </w:r>
    </w:p>
    <w:p w14:paraId="1EE7D335" w14:textId="77777777" w:rsidR="008D0CAD" w:rsidRPr="00595C60" w:rsidRDefault="008D0CAD" w:rsidP="002320B3">
      <w:pPr>
        <w:ind w:left="990" w:hanging="270"/>
        <w:rPr>
          <w:rFonts w:asciiTheme="majorHAnsi" w:hAnsiTheme="majorHAnsi" w:cstheme="majorHAnsi"/>
          <w:i/>
          <w:iCs/>
          <w:sz w:val="20"/>
          <w:szCs w:val="20"/>
        </w:rPr>
      </w:pPr>
      <w:r w:rsidRPr="00595C60">
        <w:rPr>
          <w:rFonts w:asciiTheme="majorHAnsi" w:hAnsiTheme="majorHAnsi" w:cstheme="majorHAnsi"/>
          <w:i/>
          <w:iCs/>
          <w:sz w:val="20"/>
          <w:szCs w:val="20"/>
        </w:rPr>
        <w:t>Annex V-2. D</w:t>
      </w:r>
      <w:r>
        <w:rPr>
          <w:rFonts w:asciiTheme="majorHAnsi" w:hAnsiTheme="majorHAnsi" w:cstheme="majorHAnsi"/>
          <w:i/>
          <w:iCs/>
          <w:sz w:val="20"/>
          <w:szCs w:val="20"/>
        </w:rPr>
        <w:t>ID</w:t>
      </w:r>
      <w:r w:rsidRPr="00595C60">
        <w:rPr>
          <w:rFonts w:asciiTheme="majorHAnsi" w:hAnsiTheme="majorHAnsi" w:cstheme="majorHAnsi"/>
          <w:i/>
          <w:iCs/>
          <w:sz w:val="20"/>
          <w:szCs w:val="20"/>
        </w:rPr>
        <w:t xml:space="preserve"> Analysis </w:t>
      </w:r>
      <w:r>
        <w:rPr>
          <w:rFonts w:asciiTheme="majorHAnsi" w:hAnsiTheme="majorHAnsi" w:cstheme="majorHAnsi"/>
          <w:i/>
          <w:iCs/>
          <w:sz w:val="20"/>
          <w:szCs w:val="20"/>
        </w:rPr>
        <w:t>o</w:t>
      </w:r>
      <w:r w:rsidRPr="00595C60">
        <w:rPr>
          <w:rFonts w:asciiTheme="majorHAnsi" w:hAnsiTheme="majorHAnsi" w:cstheme="majorHAnsi"/>
          <w:i/>
          <w:iCs/>
          <w:sz w:val="20"/>
          <w:szCs w:val="20"/>
        </w:rPr>
        <w:t>n Attendance Rate</w:t>
      </w:r>
    </w:p>
    <w:p w14:paraId="3E9E4D87" w14:textId="77777777" w:rsidR="008D0CAD" w:rsidRPr="00595C60" w:rsidRDefault="008D0CAD" w:rsidP="002320B3">
      <w:pPr>
        <w:ind w:left="990" w:hanging="270"/>
        <w:rPr>
          <w:rFonts w:asciiTheme="majorHAnsi" w:hAnsiTheme="majorHAnsi" w:cstheme="majorHAnsi"/>
          <w:i/>
          <w:iCs/>
          <w:sz w:val="20"/>
          <w:szCs w:val="20"/>
        </w:rPr>
      </w:pPr>
      <w:r w:rsidRPr="00595C60">
        <w:rPr>
          <w:rFonts w:asciiTheme="majorHAnsi" w:hAnsiTheme="majorHAnsi" w:cstheme="majorHAnsi"/>
          <w:i/>
          <w:iCs/>
          <w:sz w:val="20"/>
          <w:szCs w:val="20"/>
        </w:rPr>
        <w:t>Annex V-3. Philippine Education Key Performance Indicators (K</w:t>
      </w:r>
      <w:r>
        <w:rPr>
          <w:rFonts w:asciiTheme="majorHAnsi" w:hAnsiTheme="majorHAnsi" w:cstheme="majorHAnsi"/>
          <w:i/>
          <w:iCs/>
          <w:sz w:val="20"/>
          <w:szCs w:val="20"/>
        </w:rPr>
        <w:t>PI</w:t>
      </w:r>
      <w:r w:rsidRPr="00595C60">
        <w:rPr>
          <w:rFonts w:asciiTheme="majorHAnsi" w:hAnsiTheme="majorHAnsi" w:cstheme="majorHAnsi"/>
          <w:i/>
          <w:iCs/>
          <w:sz w:val="20"/>
          <w:szCs w:val="20"/>
        </w:rPr>
        <w:t>s)</w:t>
      </w:r>
    </w:p>
    <w:p w14:paraId="5A111380" w14:textId="77777777" w:rsidR="008D0CAD" w:rsidRPr="00595C60" w:rsidRDefault="008D0CAD" w:rsidP="002320B3">
      <w:pPr>
        <w:ind w:left="990" w:hanging="990"/>
        <w:rPr>
          <w:rFonts w:asciiTheme="majorHAnsi" w:hAnsiTheme="majorHAnsi" w:cstheme="majorHAnsi"/>
          <w:i/>
          <w:iCs/>
          <w:sz w:val="20"/>
          <w:szCs w:val="20"/>
        </w:rPr>
      </w:pPr>
      <w:r w:rsidRPr="00595C60">
        <w:rPr>
          <w:rFonts w:asciiTheme="majorHAnsi" w:hAnsiTheme="majorHAnsi" w:cstheme="majorHAnsi"/>
          <w:i/>
          <w:iCs/>
          <w:sz w:val="20"/>
          <w:szCs w:val="20"/>
        </w:rPr>
        <w:t xml:space="preserve">Annex W. Rating Scale </w:t>
      </w:r>
      <w:r>
        <w:rPr>
          <w:rFonts w:asciiTheme="majorHAnsi" w:hAnsiTheme="majorHAnsi" w:cstheme="majorHAnsi"/>
          <w:i/>
          <w:iCs/>
          <w:sz w:val="20"/>
          <w:szCs w:val="20"/>
        </w:rPr>
        <w:t>f</w:t>
      </w:r>
      <w:r w:rsidRPr="00595C60">
        <w:rPr>
          <w:rFonts w:asciiTheme="majorHAnsi" w:hAnsiTheme="majorHAnsi" w:cstheme="majorHAnsi"/>
          <w:i/>
          <w:iCs/>
          <w:sz w:val="20"/>
          <w:szCs w:val="20"/>
        </w:rPr>
        <w:t xml:space="preserve">or Relevance, Effectiveness, Efficiency </w:t>
      </w:r>
      <w:r>
        <w:rPr>
          <w:rFonts w:asciiTheme="majorHAnsi" w:hAnsiTheme="majorHAnsi" w:cstheme="majorHAnsi"/>
          <w:i/>
          <w:iCs/>
          <w:sz w:val="20"/>
          <w:szCs w:val="20"/>
        </w:rPr>
        <w:t>a</w:t>
      </w:r>
      <w:r w:rsidRPr="00595C60">
        <w:rPr>
          <w:rFonts w:asciiTheme="majorHAnsi" w:hAnsiTheme="majorHAnsi" w:cstheme="majorHAnsi"/>
          <w:i/>
          <w:iCs/>
          <w:sz w:val="20"/>
          <w:szCs w:val="20"/>
        </w:rPr>
        <w:t>nd Sustainability</w:t>
      </w:r>
      <w:r w:rsidRPr="00595C60">
        <w:rPr>
          <w:rFonts w:asciiTheme="majorHAnsi" w:hAnsiTheme="majorHAnsi" w:cstheme="majorHAnsi"/>
          <w:i/>
          <w:iCs/>
          <w:sz w:val="20"/>
          <w:szCs w:val="20"/>
        </w:rPr>
        <w:tab/>
      </w:r>
    </w:p>
    <w:p w14:paraId="5C25FF13" w14:textId="77777777" w:rsidR="008D0CAD" w:rsidRPr="00595C60" w:rsidRDefault="008D0CAD" w:rsidP="002320B3">
      <w:pPr>
        <w:ind w:left="990" w:hanging="990"/>
        <w:rPr>
          <w:rFonts w:asciiTheme="majorHAnsi" w:hAnsiTheme="majorHAnsi" w:cstheme="majorHAnsi"/>
          <w:i/>
          <w:iCs/>
          <w:sz w:val="20"/>
          <w:szCs w:val="20"/>
        </w:rPr>
      </w:pPr>
      <w:r w:rsidRPr="00595C60">
        <w:rPr>
          <w:rFonts w:asciiTheme="majorHAnsi" w:hAnsiTheme="majorHAnsi" w:cstheme="majorHAnsi"/>
          <w:i/>
          <w:iCs/>
          <w:sz w:val="20"/>
          <w:szCs w:val="20"/>
        </w:rPr>
        <w:t>Annex X. References</w:t>
      </w:r>
    </w:p>
    <w:p w14:paraId="38B7531F" w14:textId="527DF043" w:rsidR="008D0CAD" w:rsidRPr="00595C60" w:rsidRDefault="008D0CAD" w:rsidP="002320B3">
      <w:pPr>
        <w:ind w:left="990" w:hanging="990"/>
        <w:rPr>
          <w:rFonts w:asciiTheme="majorHAnsi" w:hAnsiTheme="majorHAnsi" w:cstheme="majorHAnsi"/>
          <w:i/>
          <w:iCs/>
          <w:sz w:val="20"/>
          <w:szCs w:val="20"/>
        </w:rPr>
      </w:pPr>
      <w:r w:rsidRPr="00595C60">
        <w:rPr>
          <w:rFonts w:asciiTheme="majorHAnsi" w:hAnsiTheme="majorHAnsi" w:cstheme="majorHAnsi"/>
          <w:i/>
          <w:iCs/>
          <w:sz w:val="20"/>
          <w:szCs w:val="20"/>
        </w:rPr>
        <w:t>Annex Y.</w:t>
      </w:r>
      <w:r w:rsidR="00D434EB">
        <w:rPr>
          <w:rFonts w:asciiTheme="majorHAnsi" w:hAnsiTheme="majorHAnsi" w:cstheme="majorHAnsi"/>
          <w:i/>
          <w:iCs/>
          <w:sz w:val="20"/>
          <w:szCs w:val="20"/>
        </w:rPr>
        <w:t xml:space="preserve"> </w:t>
      </w:r>
      <w:r w:rsidRPr="00595C60">
        <w:rPr>
          <w:rFonts w:asciiTheme="majorHAnsi" w:hAnsiTheme="majorHAnsi" w:cstheme="majorHAnsi"/>
          <w:i/>
          <w:iCs/>
          <w:sz w:val="20"/>
          <w:szCs w:val="20"/>
        </w:rPr>
        <w:t>Perception Of P</w:t>
      </w:r>
      <w:r>
        <w:rPr>
          <w:rFonts w:asciiTheme="majorHAnsi" w:hAnsiTheme="majorHAnsi" w:cstheme="majorHAnsi"/>
          <w:i/>
          <w:iCs/>
          <w:sz w:val="20"/>
          <w:szCs w:val="20"/>
        </w:rPr>
        <w:t>SHS</w:t>
      </w:r>
      <w:r w:rsidRPr="00595C60">
        <w:rPr>
          <w:rFonts w:asciiTheme="majorHAnsi" w:hAnsiTheme="majorHAnsi" w:cstheme="majorHAnsi"/>
          <w:i/>
          <w:iCs/>
          <w:sz w:val="20"/>
          <w:szCs w:val="20"/>
        </w:rPr>
        <w:t xml:space="preserve"> And Teachers On Best Program-Supported Dep</w:t>
      </w:r>
      <w:r>
        <w:rPr>
          <w:rFonts w:asciiTheme="majorHAnsi" w:hAnsiTheme="majorHAnsi" w:cstheme="majorHAnsi"/>
          <w:i/>
          <w:iCs/>
          <w:sz w:val="20"/>
          <w:szCs w:val="20"/>
        </w:rPr>
        <w:t>E</w:t>
      </w:r>
      <w:r w:rsidRPr="00595C60">
        <w:rPr>
          <w:rFonts w:asciiTheme="majorHAnsi" w:hAnsiTheme="majorHAnsi" w:cstheme="majorHAnsi"/>
          <w:i/>
          <w:iCs/>
          <w:sz w:val="20"/>
          <w:szCs w:val="20"/>
        </w:rPr>
        <w:t>d Policies</w:t>
      </w:r>
    </w:p>
    <w:p w14:paraId="6BFC9038" w14:textId="77777777" w:rsidR="008D0CAD" w:rsidRPr="00595C60" w:rsidRDefault="008D0CAD" w:rsidP="002320B3">
      <w:pPr>
        <w:ind w:left="990" w:hanging="990"/>
        <w:rPr>
          <w:rFonts w:asciiTheme="majorHAnsi" w:hAnsiTheme="majorHAnsi" w:cstheme="majorHAnsi"/>
          <w:i/>
          <w:iCs/>
          <w:sz w:val="20"/>
          <w:szCs w:val="20"/>
        </w:rPr>
      </w:pPr>
      <w:r w:rsidRPr="00595C60">
        <w:rPr>
          <w:rFonts w:asciiTheme="majorHAnsi" w:hAnsiTheme="majorHAnsi" w:cstheme="majorHAnsi"/>
          <w:i/>
          <w:iCs/>
          <w:sz w:val="20"/>
          <w:szCs w:val="20"/>
        </w:rPr>
        <w:t>Annex Z. Composition Of Evaluation Team</w:t>
      </w:r>
    </w:p>
    <w:p w14:paraId="5335AAE1" w14:textId="77777777" w:rsidR="008D0CAD" w:rsidRPr="00CC685A" w:rsidRDefault="008D0CAD" w:rsidP="002320B3">
      <w:pPr>
        <w:rPr>
          <w:rFonts w:asciiTheme="majorHAnsi" w:hAnsiTheme="majorHAnsi" w:cstheme="majorHAnsi"/>
        </w:rPr>
      </w:pPr>
    </w:p>
    <w:p w14:paraId="4CE9615D" w14:textId="77777777" w:rsidR="008D0CAD" w:rsidRPr="0092295D" w:rsidRDefault="008D0CAD" w:rsidP="002320B3">
      <w:pPr>
        <w:rPr>
          <w:rFonts w:asciiTheme="majorHAnsi" w:hAnsiTheme="majorHAnsi" w:cstheme="majorHAnsi"/>
        </w:rPr>
        <w:sectPr w:rsidR="008D0CAD" w:rsidRPr="0092295D" w:rsidSect="009C64E9">
          <w:headerReference w:type="default" r:id="rId18"/>
          <w:pgSz w:w="11900" w:h="16840"/>
          <w:pgMar w:top="1440" w:right="1440" w:bottom="1440" w:left="1440" w:header="720" w:footer="720" w:gutter="0"/>
          <w:pgNumType w:fmt="lowerRoman"/>
          <w:cols w:space="720"/>
          <w:docGrid w:linePitch="360"/>
        </w:sectPr>
      </w:pPr>
      <w:r>
        <w:rPr>
          <w:rFonts w:asciiTheme="majorHAnsi" w:hAnsiTheme="majorHAnsi" w:cstheme="majorHAnsi"/>
          <w:b/>
          <w:sz w:val="28"/>
          <w:szCs w:val="28"/>
        </w:rPr>
        <w:t xml:space="preserve"> </w:t>
      </w:r>
    </w:p>
    <w:p w14:paraId="30490EA5" w14:textId="77777777" w:rsidR="008D0CAD" w:rsidRPr="00BA77FB" w:rsidRDefault="008D0CAD" w:rsidP="002320B3">
      <w:pPr>
        <w:pStyle w:val="Heading2"/>
        <w:numPr>
          <w:ilvl w:val="0"/>
          <w:numId w:val="0"/>
        </w:numPr>
        <w:spacing w:before="100" w:beforeAutospacing="1" w:after="100" w:afterAutospacing="1" w:line="360" w:lineRule="auto"/>
        <w:ind w:left="720"/>
      </w:pPr>
      <w:bookmarkStart w:id="14" w:name="_Toc69820429"/>
      <w:r w:rsidRPr="00BA77FB">
        <w:t>Executive Summary</w:t>
      </w:r>
      <w:bookmarkEnd w:id="3"/>
      <w:bookmarkEnd w:id="4"/>
      <w:bookmarkEnd w:id="14"/>
    </w:p>
    <w:p w14:paraId="7DC38BF5" w14:textId="229102E9" w:rsidR="008D0CAD" w:rsidRDefault="008D0CAD" w:rsidP="002320B3">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color w:val="000000" w:themeColor="text1"/>
        </w:rPr>
        <w:t>The</w:t>
      </w:r>
      <w:r w:rsidRPr="0035375A">
        <w:rPr>
          <w:rFonts w:asciiTheme="majorHAnsi" w:hAnsiTheme="majorHAnsi" w:cstheme="majorHAnsi"/>
          <w:color w:val="000000" w:themeColor="text1"/>
        </w:rPr>
        <w:t xml:space="preserve"> </w:t>
      </w:r>
      <w:r>
        <w:rPr>
          <w:rFonts w:asciiTheme="majorHAnsi" w:hAnsiTheme="majorHAnsi" w:cstheme="majorHAnsi"/>
          <w:color w:val="000000" w:themeColor="text1"/>
        </w:rPr>
        <w:t>three</w:t>
      </w:r>
      <w:r w:rsidRPr="0035375A">
        <w:rPr>
          <w:rFonts w:asciiTheme="majorHAnsi" w:hAnsiTheme="majorHAnsi" w:cstheme="majorHAnsi"/>
          <w:color w:val="000000" w:themeColor="text1"/>
        </w:rPr>
        <w:t xml:space="preserve"> key reforms that undergird the </w:t>
      </w:r>
      <w:r>
        <w:rPr>
          <w:rFonts w:asciiTheme="majorHAnsi" w:hAnsiTheme="majorHAnsi" w:cstheme="majorHAnsi"/>
          <w:color w:val="000000" w:themeColor="text1"/>
        </w:rPr>
        <w:t>success</w:t>
      </w:r>
      <w:r w:rsidRPr="0035375A">
        <w:rPr>
          <w:rFonts w:asciiTheme="majorHAnsi" w:hAnsiTheme="majorHAnsi" w:cstheme="majorHAnsi"/>
          <w:color w:val="000000" w:themeColor="text1"/>
        </w:rPr>
        <w:t xml:space="preserve"> of the BEST Program, </w:t>
      </w:r>
      <w:r>
        <w:rPr>
          <w:rFonts w:asciiTheme="majorHAnsi" w:hAnsiTheme="majorHAnsi" w:cstheme="majorHAnsi"/>
          <w:color w:val="000000" w:themeColor="text1"/>
        </w:rPr>
        <w:t>are</w:t>
      </w:r>
      <w:r w:rsidRPr="0035375A">
        <w:rPr>
          <w:rFonts w:asciiTheme="majorHAnsi" w:hAnsiTheme="majorHAnsi" w:cstheme="majorHAnsi"/>
          <w:color w:val="000000" w:themeColor="text1"/>
        </w:rPr>
        <w:t xml:space="preserve"> the </w:t>
      </w:r>
      <w:r>
        <w:rPr>
          <w:rFonts w:asciiTheme="majorHAnsi" w:hAnsiTheme="majorHAnsi" w:cstheme="majorHAnsi"/>
          <w:color w:val="000000" w:themeColor="text1"/>
        </w:rPr>
        <w:t>Philippine Professional Standards for Teachers (</w:t>
      </w:r>
      <w:r w:rsidRPr="0035375A">
        <w:rPr>
          <w:rFonts w:asciiTheme="majorHAnsi" w:hAnsiTheme="majorHAnsi" w:cstheme="majorHAnsi"/>
          <w:color w:val="000000" w:themeColor="text1"/>
        </w:rPr>
        <w:t>PPST</w:t>
      </w:r>
      <w:r>
        <w:rPr>
          <w:rFonts w:asciiTheme="majorHAnsi" w:hAnsiTheme="majorHAnsi" w:cstheme="majorHAnsi"/>
          <w:color w:val="000000" w:themeColor="text1"/>
        </w:rPr>
        <w:t>) (</w:t>
      </w:r>
      <w:r w:rsidRPr="0069283F">
        <w:rPr>
          <w:rFonts w:asciiTheme="majorHAnsi" w:hAnsiTheme="majorHAnsi" w:cstheme="majorHAnsi"/>
          <w:i/>
          <w:iCs/>
          <w:color w:val="000000" w:themeColor="text1"/>
        </w:rPr>
        <w:t>and the PPST-aligned tools</w:t>
      </w:r>
      <w:r>
        <w:rPr>
          <w:rFonts w:asciiTheme="majorHAnsi" w:hAnsiTheme="majorHAnsi" w:cstheme="majorHAnsi"/>
          <w:color w:val="000000" w:themeColor="text1"/>
        </w:rPr>
        <w:t>)</w:t>
      </w:r>
      <w:r w:rsidRPr="0035375A">
        <w:rPr>
          <w:rFonts w:asciiTheme="majorHAnsi" w:hAnsiTheme="majorHAnsi" w:cstheme="majorHAnsi"/>
          <w:color w:val="000000" w:themeColor="text1"/>
        </w:rPr>
        <w:t xml:space="preserve">, the </w:t>
      </w:r>
      <w:r>
        <w:rPr>
          <w:rFonts w:asciiTheme="majorHAnsi" w:hAnsiTheme="majorHAnsi" w:cstheme="majorHAnsi"/>
          <w:color w:val="000000" w:themeColor="text1"/>
        </w:rPr>
        <w:t>Curriculum and Assessment (C&amp;A)</w:t>
      </w:r>
      <w:r w:rsidRPr="0035375A">
        <w:rPr>
          <w:rFonts w:asciiTheme="majorHAnsi" w:hAnsiTheme="majorHAnsi" w:cstheme="majorHAnsi"/>
          <w:color w:val="000000" w:themeColor="text1"/>
        </w:rPr>
        <w:t xml:space="preserve"> (i.e., </w:t>
      </w:r>
      <w:r w:rsidRPr="00A5219B">
        <w:rPr>
          <w:rFonts w:asciiTheme="majorHAnsi" w:hAnsiTheme="majorHAnsi" w:cstheme="majorHAnsi"/>
          <w:i/>
          <w:iCs/>
          <w:color w:val="000000" w:themeColor="text1"/>
        </w:rPr>
        <w:t>the K-12 Curriculum Guides and Classroom Assessment</w:t>
      </w:r>
      <w:r w:rsidRPr="0035375A">
        <w:rPr>
          <w:rFonts w:asciiTheme="majorHAnsi" w:hAnsiTheme="majorHAnsi" w:cstheme="majorHAnsi"/>
          <w:color w:val="000000" w:themeColor="text1"/>
        </w:rPr>
        <w:t>)</w:t>
      </w:r>
      <w:r>
        <w:rPr>
          <w:rFonts w:asciiTheme="majorHAnsi" w:hAnsiTheme="majorHAnsi" w:cstheme="majorHAnsi"/>
          <w:color w:val="000000" w:themeColor="text1"/>
        </w:rPr>
        <w:t xml:space="preserve"> and</w:t>
      </w:r>
      <w:r w:rsidRPr="0035375A">
        <w:rPr>
          <w:rFonts w:asciiTheme="majorHAnsi" w:hAnsiTheme="majorHAnsi" w:cstheme="majorHAnsi"/>
          <w:color w:val="000000" w:themeColor="text1"/>
        </w:rPr>
        <w:t xml:space="preserve"> the </w:t>
      </w:r>
      <w:r>
        <w:rPr>
          <w:rFonts w:asciiTheme="majorHAnsi" w:hAnsiTheme="majorHAnsi" w:cstheme="majorHAnsi"/>
          <w:color w:val="000000" w:themeColor="text1"/>
        </w:rPr>
        <w:t>School Based Management (SBM) reforms, (</w:t>
      </w:r>
      <w:r>
        <w:rPr>
          <w:rFonts w:asciiTheme="majorHAnsi" w:hAnsiTheme="majorHAnsi" w:cstheme="majorHAnsi"/>
          <w:i/>
          <w:iCs/>
          <w:color w:val="000000" w:themeColor="text1"/>
        </w:rPr>
        <w:t>especially</w:t>
      </w:r>
      <w:r w:rsidRPr="0069283F">
        <w:rPr>
          <w:rFonts w:asciiTheme="majorHAnsi" w:hAnsiTheme="majorHAnsi" w:cstheme="majorHAnsi"/>
          <w:i/>
          <w:iCs/>
          <w:color w:val="000000" w:themeColor="text1"/>
        </w:rPr>
        <w:t xml:space="preserve"> the </w:t>
      </w:r>
      <w:r>
        <w:rPr>
          <w:rFonts w:asciiTheme="majorHAnsi" w:hAnsiTheme="majorHAnsi" w:cstheme="majorHAnsi"/>
          <w:i/>
          <w:iCs/>
          <w:color w:val="000000" w:themeColor="text1"/>
        </w:rPr>
        <w:t xml:space="preserve">introduction of the </w:t>
      </w:r>
      <w:r w:rsidRPr="0069283F">
        <w:rPr>
          <w:rFonts w:asciiTheme="majorHAnsi" w:hAnsiTheme="majorHAnsi" w:cstheme="majorHAnsi"/>
          <w:i/>
          <w:iCs/>
          <w:color w:val="000000" w:themeColor="text1"/>
        </w:rPr>
        <w:t>S</w:t>
      </w:r>
      <w:r>
        <w:rPr>
          <w:rFonts w:asciiTheme="majorHAnsi" w:hAnsiTheme="majorHAnsi" w:cstheme="majorHAnsi"/>
          <w:i/>
          <w:iCs/>
          <w:color w:val="000000" w:themeColor="text1"/>
        </w:rPr>
        <w:t xml:space="preserve">chool </w:t>
      </w:r>
      <w:r w:rsidRPr="0069283F">
        <w:rPr>
          <w:rFonts w:asciiTheme="majorHAnsi" w:hAnsiTheme="majorHAnsi" w:cstheme="majorHAnsi"/>
          <w:i/>
          <w:iCs/>
          <w:color w:val="000000" w:themeColor="text1"/>
        </w:rPr>
        <w:t>I</w:t>
      </w:r>
      <w:r>
        <w:rPr>
          <w:rFonts w:asciiTheme="majorHAnsi" w:hAnsiTheme="majorHAnsi" w:cstheme="majorHAnsi"/>
          <w:i/>
          <w:iCs/>
          <w:color w:val="000000" w:themeColor="text1"/>
        </w:rPr>
        <w:t xml:space="preserve">mprovement </w:t>
      </w:r>
      <w:r w:rsidRPr="0069283F">
        <w:rPr>
          <w:rFonts w:asciiTheme="majorHAnsi" w:hAnsiTheme="majorHAnsi" w:cstheme="majorHAnsi"/>
          <w:i/>
          <w:iCs/>
          <w:color w:val="000000" w:themeColor="text1"/>
        </w:rPr>
        <w:t>P</w:t>
      </w:r>
      <w:r>
        <w:rPr>
          <w:rFonts w:asciiTheme="majorHAnsi" w:hAnsiTheme="majorHAnsi" w:cstheme="majorHAnsi"/>
          <w:i/>
          <w:iCs/>
          <w:color w:val="000000" w:themeColor="text1"/>
        </w:rPr>
        <w:t>lanning</w:t>
      </w:r>
      <w:r w:rsidRPr="0069283F">
        <w:rPr>
          <w:rFonts w:asciiTheme="majorHAnsi" w:hAnsiTheme="majorHAnsi" w:cstheme="majorHAnsi"/>
          <w:i/>
          <w:iCs/>
          <w:color w:val="000000" w:themeColor="text1"/>
        </w:rPr>
        <w:t xml:space="preserve"> policy</w:t>
      </w:r>
      <w:r>
        <w:rPr>
          <w:rFonts w:asciiTheme="majorHAnsi" w:hAnsiTheme="majorHAnsi" w:cstheme="majorHAnsi"/>
          <w:color w:val="000000" w:themeColor="text1"/>
        </w:rPr>
        <w:t>)</w:t>
      </w:r>
      <w:r w:rsidRPr="0035375A">
        <w:rPr>
          <w:rFonts w:asciiTheme="majorHAnsi" w:hAnsiTheme="majorHAnsi" w:cstheme="majorHAnsi"/>
          <w:color w:val="000000" w:themeColor="text1"/>
        </w:rPr>
        <w:t>.</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If expanded to five, the Learning &amp; Development System (</w:t>
      </w:r>
      <w:r w:rsidRPr="0069283F">
        <w:rPr>
          <w:rFonts w:asciiTheme="majorHAnsi" w:hAnsiTheme="majorHAnsi" w:cstheme="majorHAnsi"/>
          <w:i/>
          <w:iCs/>
          <w:color w:val="000000" w:themeColor="text1"/>
        </w:rPr>
        <w:t xml:space="preserve">i.e., the </w:t>
      </w:r>
      <w:r>
        <w:rPr>
          <w:rFonts w:asciiTheme="majorHAnsi" w:hAnsiTheme="majorHAnsi" w:cstheme="majorHAnsi"/>
          <w:i/>
          <w:iCs/>
          <w:color w:val="000000" w:themeColor="text1"/>
        </w:rPr>
        <w:t xml:space="preserve">use of </w:t>
      </w:r>
      <w:r w:rsidRPr="0069283F">
        <w:rPr>
          <w:rFonts w:asciiTheme="majorHAnsi" w:hAnsiTheme="majorHAnsi" w:cstheme="majorHAnsi"/>
          <w:i/>
          <w:iCs/>
          <w:color w:val="000000" w:themeColor="text1"/>
        </w:rPr>
        <w:t>L</w:t>
      </w:r>
      <w:r>
        <w:rPr>
          <w:rFonts w:asciiTheme="majorHAnsi" w:hAnsiTheme="majorHAnsi" w:cstheme="majorHAnsi"/>
          <w:i/>
          <w:iCs/>
          <w:color w:val="000000" w:themeColor="text1"/>
        </w:rPr>
        <w:t xml:space="preserve">earning </w:t>
      </w:r>
      <w:r w:rsidRPr="0069283F">
        <w:rPr>
          <w:rFonts w:asciiTheme="majorHAnsi" w:hAnsiTheme="majorHAnsi" w:cstheme="majorHAnsi"/>
          <w:i/>
          <w:iCs/>
          <w:color w:val="000000" w:themeColor="text1"/>
        </w:rPr>
        <w:t>A</w:t>
      </w:r>
      <w:r>
        <w:rPr>
          <w:rFonts w:asciiTheme="majorHAnsi" w:hAnsiTheme="majorHAnsi" w:cstheme="majorHAnsi"/>
          <w:i/>
          <w:iCs/>
          <w:color w:val="000000" w:themeColor="text1"/>
        </w:rPr>
        <w:t xml:space="preserve">ction </w:t>
      </w:r>
      <w:r w:rsidRPr="0069283F">
        <w:rPr>
          <w:rFonts w:asciiTheme="majorHAnsi" w:hAnsiTheme="majorHAnsi" w:cstheme="majorHAnsi"/>
          <w:i/>
          <w:iCs/>
          <w:color w:val="000000" w:themeColor="text1"/>
        </w:rPr>
        <w:t>C</w:t>
      </w:r>
      <w:r>
        <w:rPr>
          <w:rFonts w:asciiTheme="majorHAnsi" w:hAnsiTheme="majorHAnsi" w:cstheme="majorHAnsi"/>
          <w:i/>
          <w:iCs/>
          <w:color w:val="000000" w:themeColor="text1"/>
        </w:rPr>
        <w:t>ells</w:t>
      </w:r>
      <w:r w:rsidRPr="0069283F">
        <w:rPr>
          <w:rFonts w:asciiTheme="majorHAnsi" w:hAnsiTheme="majorHAnsi" w:cstheme="majorHAnsi"/>
          <w:i/>
          <w:iCs/>
          <w:color w:val="000000" w:themeColor="text1"/>
        </w:rPr>
        <w:t xml:space="preserve"> and Action Research</w:t>
      </w:r>
      <w:r>
        <w:rPr>
          <w:rFonts w:asciiTheme="majorHAnsi" w:hAnsiTheme="majorHAnsi" w:cstheme="majorHAnsi"/>
          <w:i/>
          <w:iCs/>
          <w:color w:val="000000" w:themeColor="text1"/>
        </w:rPr>
        <w:t xml:space="preserve"> for teacher professional development</w:t>
      </w:r>
      <w:r>
        <w:rPr>
          <w:rFonts w:asciiTheme="majorHAnsi" w:hAnsiTheme="majorHAnsi" w:cstheme="majorHAnsi"/>
          <w:color w:val="000000" w:themeColor="text1"/>
        </w:rPr>
        <w:t xml:space="preserve">) and </w:t>
      </w:r>
      <w:r w:rsidRPr="0035375A">
        <w:rPr>
          <w:rFonts w:asciiTheme="majorHAnsi" w:hAnsiTheme="majorHAnsi" w:cstheme="majorHAnsi"/>
          <w:color w:val="000000" w:themeColor="text1"/>
        </w:rPr>
        <w:t xml:space="preserve">the </w:t>
      </w:r>
      <w:r w:rsidRPr="00891DF9">
        <w:rPr>
          <w:rFonts w:asciiTheme="majorHAnsi" w:hAnsiTheme="majorHAnsi" w:cstheme="majorHAnsi"/>
          <w:color w:val="000000" w:themeColor="text1"/>
        </w:rPr>
        <w:t>Unified Information System and Sub-System</w:t>
      </w:r>
      <w:r>
        <w:rPr>
          <w:rFonts w:asciiTheme="majorHAnsi" w:hAnsiTheme="majorHAnsi" w:cstheme="majorHAnsi"/>
          <w:color w:val="000000" w:themeColor="text1"/>
        </w:rPr>
        <w:t>s</w:t>
      </w:r>
      <w:r w:rsidRPr="00891DF9">
        <w:rPr>
          <w:rFonts w:asciiTheme="majorHAnsi" w:hAnsiTheme="majorHAnsi" w:cstheme="majorHAnsi"/>
          <w:color w:val="000000" w:themeColor="text1"/>
        </w:rPr>
        <w:t xml:space="preserve"> </w:t>
      </w:r>
      <w:r>
        <w:rPr>
          <w:rFonts w:asciiTheme="majorHAnsi" w:hAnsiTheme="majorHAnsi" w:cstheme="majorHAnsi"/>
          <w:color w:val="000000" w:themeColor="text1"/>
        </w:rPr>
        <w:t>(</w:t>
      </w:r>
      <w:r w:rsidRPr="0035375A">
        <w:rPr>
          <w:rFonts w:asciiTheme="majorHAnsi" w:hAnsiTheme="majorHAnsi" w:cstheme="majorHAnsi"/>
          <w:color w:val="000000" w:themeColor="text1"/>
        </w:rPr>
        <w:t>UISS</w:t>
      </w:r>
      <w:r>
        <w:rPr>
          <w:rFonts w:asciiTheme="majorHAnsi" w:hAnsiTheme="majorHAnsi" w:cstheme="majorHAnsi"/>
          <w:color w:val="000000" w:themeColor="text1"/>
        </w:rPr>
        <w:t>)</w:t>
      </w:r>
      <w:r w:rsidRPr="00025945">
        <w:rPr>
          <w:rFonts w:asciiTheme="majorHAnsi" w:hAnsiTheme="majorHAnsi" w:cstheme="majorHAnsi"/>
          <w:color w:val="000000" w:themeColor="text1"/>
        </w:rPr>
        <w:t xml:space="preserve"> </w:t>
      </w:r>
      <w:r>
        <w:rPr>
          <w:rFonts w:asciiTheme="majorHAnsi" w:hAnsiTheme="majorHAnsi" w:cstheme="majorHAnsi"/>
          <w:color w:val="000000" w:themeColor="text1"/>
        </w:rPr>
        <w:t>(i.e., the Enhanced Basic Education Information System (EBEIS) and Learner Information System (LIS)) would complete it. These are the irrefutable findings of this EOPE Study</w:t>
      </w:r>
      <w:r>
        <w:rPr>
          <w:rStyle w:val="FootnoteReference"/>
          <w:rFonts w:asciiTheme="majorHAnsi" w:eastAsia="Arial Unicode MS" w:hAnsiTheme="majorHAnsi" w:cstheme="majorHAnsi"/>
          <w:color w:val="000000" w:themeColor="text1"/>
        </w:rPr>
        <w:footnoteReference w:id="1"/>
      </w:r>
      <w:r>
        <w:rPr>
          <w:rFonts w:asciiTheme="majorHAnsi" w:hAnsiTheme="majorHAnsi" w:cstheme="majorHAnsi"/>
          <w:color w:val="000000" w:themeColor="text1"/>
        </w:rPr>
        <w:t>.</w:t>
      </w:r>
      <w:r w:rsidR="00D434EB">
        <w:rPr>
          <w:rFonts w:asciiTheme="majorHAnsi" w:hAnsiTheme="majorHAnsi" w:cstheme="majorHAnsi"/>
          <w:color w:val="000000" w:themeColor="text1"/>
        </w:rPr>
        <w:t xml:space="preserve"> </w:t>
      </w:r>
    </w:p>
    <w:p w14:paraId="51DD22CD" w14:textId="77777777" w:rsidR="008D0CAD" w:rsidRDefault="008D0CAD" w:rsidP="002320B3">
      <w:pPr>
        <w:spacing w:before="100" w:beforeAutospacing="1" w:after="100" w:afterAutospacing="1" w:line="360" w:lineRule="auto"/>
        <w:rPr>
          <w:rFonts w:asciiTheme="majorHAnsi" w:hAnsiTheme="majorHAnsi" w:cstheme="majorHAnsi"/>
          <w:color w:val="000000" w:themeColor="text1"/>
        </w:rPr>
      </w:pPr>
      <w:r w:rsidRPr="00025945">
        <w:rPr>
          <w:rFonts w:asciiTheme="majorHAnsi" w:hAnsiTheme="majorHAnsi" w:cstheme="majorHAnsi"/>
          <w:color w:val="000000" w:themeColor="text1"/>
        </w:rPr>
        <w:t xml:space="preserve">This conclusion was not derived from a cost-effectiveness analysis of the 10 </w:t>
      </w:r>
      <w:r>
        <w:rPr>
          <w:rFonts w:asciiTheme="majorHAnsi" w:hAnsiTheme="majorHAnsi" w:cstheme="majorHAnsi"/>
          <w:color w:val="000000" w:themeColor="text1"/>
        </w:rPr>
        <w:t xml:space="preserve">key BEST </w:t>
      </w:r>
      <w:r w:rsidRPr="00025945">
        <w:rPr>
          <w:rFonts w:asciiTheme="majorHAnsi" w:hAnsiTheme="majorHAnsi" w:cstheme="majorHAnsi"/>
          <w:color w:val="000000" w:themeColor="text1"/>
        </w:rPr>
        <w:t>program interventions reviewed</w:t>
      </w:r>
      <w:r>
        <w:rPr>
          <w:rFonts w:asciiTheme="majorHAnsi" w:hAnsiTheme="majorHAnsi" w:cstheme="majorHAnsi"/>
          <w:color w:val="000000" w:themeColor="text1"/>
        </w:rPr>
        <w:t>,</w:t>
      </w:r>
      <w:r w:rsidRPr="00025945">
        <w:rPr>
          <w:rFonts w:asciiTheme="majorHAnsi" w:hAnsiTheme="majorHAnsi" w:cstheme="majorHAnsi"/>
          <w:color w:val="000000" w:themeColor="text1"/>
        </w:rPr>
        <w:t xml:space="preserve"> nor a statistical analysis of planned vs. actual outputs. As </w:t>
      </w:r>
      <w:r>
        <w:rPr>
          <w:rFonts w:asciiTheme="majorHAnsi" w:hAnsiTheme="majorHAnsi" w:cstheme="majorHAnsi"/>
          <w:color w:val="000000" w:themeColor="text1"/>
        </w:rPr>
        <w:t xml:space="preserve">the report lays out in subsequent sections, the BEST Program missed several opportunities to boost its efficiency and effectiveness. The importance of the reforms lies in the extent of the transformation in the knowledge and practices they engendered among key actors in the basic education sector, particularly the school principals and teachers. </w:t>
      </w:r>
    </w:p>
    <w:p w14:paraId="2B8CE26C" w14:textId="30295772" w:rsidR="008D0CAD" w:rsidRDefault="008D0CAD" w:rsidP="002320B3">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color w:val="000000" w:themeColor="text1"/>
        </w:rPr>
        <w:t xml:space="preserve">The statement on the importance of those three to five interventions also does not in any way diminish the other significant interventions of the program (such as the </w:t>
      </w:r>
      <w:r w:rsidRPr="00963042">
        <w:rPr>
          <w:rFonts w:asciiTheme="majorHAnsi" w:hAnsiTheme="majorHAnsi" w:cstheme="majorHAnsi"/>
          <w:color w:val="000000" w:themeColor="text1"/>
        </w:rPr>
        <w:t xml:space="preserve">Policy, Planning, and Monitoring and Evaluation Systems </w:t>
      </w:r>
      <w:r>
        <w:rPr>
          <w:rFonts w:asciiTheme="majorHAnsi" w:hAnsiTheme="majorHAnsi" w:cstheme="majorHAnsi"/>
          <w:color w:val="000000" w:themeColor="text1"/>
        </w:rPr>
        <w:t>(PPMES) and the classroom construction).</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It does, however, bring to light the reality that many activities were conducted through the BEST program, which failed to transform practice.</w:t>
      </w:r>
    </w:p>
    <w:p w14:paraId="56D71BCE" w14:textId="2600E733" w:rsidR="008D0CAD" w:rsidRPr="0035375A" w:rsidRDefault="008D0CAD" w:rsidP="002320B3">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color w:val="000000" w:themeColor="text1"/>
        </w:rPr>
        <w:t xml:space="preserve">The </w:t>
      </w:r>
      <w:r w:rsidRPr="0035375A">
        <w:rPr>
          <w:rFonts w:asciiTheme="majorHAnsi" w:hAnsiTheme="majorHAnsi" w:cstheme="majorHAnsi"/>
          <w:color w:val="000000" w:themeColor="text1"/>
        </w:rPr>
        <w:t>BEST Program</w:t>
      </w:r>
      <w:r>
        <w:rPr>
          <w:rFonts w:asciiTheme="majorHAnsi" w:hAnsiTheme="majorHAnsi" w:cstheme="majorHAnsi"/>
          <w:color w:val="000000" w:themeColor="text1"/>
        </w:rPr>
        <w:t xml:space="preserve"> set out to accomplish lofty goals</w:t>
      </w:r>
      <w:r w:rsidRPr="00804E02">
        <w:rPr>
          <w:rFonts w:asciiTheme="majorHAnsi" w:hAnsiTheme="majorHAnsi" w:cstheme="majorHAnsi"/>
          <w:color w:val="000000" w:themeColor="text1"/>
        </w:rPr>
        <w:t xml:space="preserve"> </w:t>
      </w:r>
      <w:r>
        <w:rPr>
          <w:rFonts w:asciiTheme="majorHAnsi" w:hAnsiTheme="majorHAnsi" w:cstheme="majorHAnsi"/>
          <w:color w:val="000000" w:themeColor="text1"/>
        </w:rPr>
        <w:t>to transform the Philippine basic education sector in general, and the DepEd in particular.</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It was beleaguered by many challenges right from the very start, from political to financial to organisational, which inexorably reduced program efficiency and effectiveness.</w:t>
      </w:r>
      <w:r>
        <w:rPr>
          <w:rStyle w:val="FootnoteReference"/>
          <w:rFonts w:asciiTheme="majorHAnsi" w:eastAsia="Arial Unicode MS" w:hAnsiTheme="majorHAnsi" w:cstheme="majorHAnsi"/>
          <w:color w:val="000000" w:themeColor="text1"/>
        </w:rPr>
        <w:footnoteReference w:id="2"/>
      </w:r>
      <w:r>
        <w:rPr>
          <w:rFonts w:asciiTheme="majorHAnsi" w:hAnsiTheme="majorHAnsi" w:cstheme="majorHAnsi"/>
          <w:color w:val="000000" w:themeColor="text1"/>
        </w:rPr>
        <w:t xml:space="preserve"> These challenges were all mirrored in the difficulties encountered in evaluating the program.</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Yet unarguably, the BEST Program produced reforms that were transformative and enduring.</w:t>
      </w:r>
    </w:p>
    <w:p w14:paraId="15528E1F" w14:textId="77777777" w:rsidR="008D0CAD" w:rsidRDefault="008D0CAD" w:rsidP="002320B3">
      <w:pPr>
        <w:spacing w:before="100" w:beforeAutospacing="1" w:after="100" w:afterAutospacing="1" w:line="360" w:lineRule="auto"/>
        <w:rPr>
          <w:rFonts w:asciiTheme="majorHAnsi" w:hAnsiTheme="majorHAnsi" w:cstheme="majorHAnsi"/>
          <w:b/>
          <w:bCs/>
          <w:color w:val="0070C0"/>
        </w:rPr>
      </w:pPr>
      <w:r w:rsidRPr="0035375A">
        <w:rPr>
          <w:rFonts w:asciiTheme="majorHAnsi" w:hAnsiTheme="majorHAnsi" w:cstheme="majorHAnsi"/>
          <w:b/>
          <w:bCs/>
          <w:color w:val="0070C0"/>
        </w:rPr>
        <w:t>Background</w:t>
      </w:r>
    </w:p>
    <w:p w14:paraId="1B22FE66" w14:textId="437B93AF" w:rsidR="008D0CAD" w:rsidRDefault="008D0CAD" w:rsidP="002320B3">
      <w:pPr>
        <w:spacing w:before="100" w:beforeAutospacing="1" w:after="100" w:afterAutospacing="1" w:line="360" w:lineRule="auto"/>
        <w:rPr>
          <w:rFonts w:asciiTheme="majorHAnsi" w:hAnsiTheme="majorHAnsi" w:cstheme="majorHAnsi"/>
        </w:rPr>
      </w:pPr>
      <w:r w:rsidRPr="00A46DD6">
        <w:rPr>
          <w:rFonts w:asciiTheme="majorHAnsi" w:hAnsiTheme="majorHAnsi" w:cstheme="majorHAnsi"/>
        </w:rPr>
        <w:t xml:space="preserve">The BEST </w:t>
      </w:r>
      <w:r>
        <w:rPr>
          <w:rFonts w:asciiTheme="majorHAnsi" w:hAnsiTheme="majorHAnsi" w:cstheme="majorHAnsi"/>
        </w:rPr>
        <w:t>P</w:t>
      </w:r>
      <w:r w:rsidRPr="00A46DD6">
        <w:rPr>
          <w:rFonts w:asciiTheme="majorHAnsi" w:hAnsiTheme="majorHAnsi" w:cstheme="majorHAnsi"/>
        </w:rPr>
        <w:t xml:space="preserve">rogram </w:t>
      </w:r>
      <w:r>
        <w:rPr>
          <w:rFonts w:asciiTheme="majorHAnsi" w:hAnsiTheme="majorHAnsi" w:cstheme="majorHAnsi"/>
        </w:rPr>
        <w:t>was</w:t>
      </w:r>
      <w:r w:rsidRPr="00A46DD6">
        <w:rPr>
          <w:rFonts w:asciiTheme="majorHAnsi" w:hAnsiTheme="majorHAnsi" w:cstheme="majorHAnsi"/>
        </w:rPr>
        <w:t xml:space="preserve"> initially conceptuali</w:t>
      </w:r>
      <w:r>
        <w:rPr>
          <w:rFonts w:asciiTheme="majorHAnsi" w:hAnsiTheme="majorHAnsi" w:cstheme="majorHAnsi"/>
        </w:rPr>
        <w:t>s</w:t>
      </w:r>
      <w:r w:rsidRPr="00A46DD6">
        <w:rPr>
          <w:rFonts w:asciiTheme="majorHAnsi" w:hAnsiTheme="majorHAnsi" w:cstheme="majorHAnsi"/>
        </w:rPr>
        <w:t>ed to be a 12-year program</w:t>
      </w:r>
      <w:r>
        <w:rPr>
          <w:rFonts w:asciiTheme="majorHAnsi" w:hAnsiTheme="majorHAnsi" w:cstheme="majorHAnsi"/>
        </w:rPr>
        <w:t xml:space="preserve"> but a decision was taken in 2017</w:t>
      </w:r>
      <w:r w:rsidRPr="00A46DD6">
        <w:rPr>
          <w:rFonts w:asciiTheme="majorHAnsi" w:hAnsiTheme="majorHAnsi" w:cstheme="majorHAnsi"/>
        </w:rPr>
        <w:t xml:space="preserve"> to </w:t>
      </w:r>
      <w:r>
        <w:rPr>
          <w:rFonts w:asciiTheme="majorHAnsi" w:hAnsiTheme="majorHAnsi" w:cstheme="majorHAnsi"/>
        </w:rPr>
        <w:t xml:space="preserve">reduce the implementation period to five </w:t>
      </w:r>
      <w:r w:rsidRPr="00A46DD6">
        <w:rPr>
          <w:rFonts w:asciiTheme="majorHAnsi" w:hAnsiTheme="majorHAnsi" w:cstheme="majorHAnsi"/>
        </w:rPr>
        <w:t>year</w:t>
      </w:r>
      <w:r>
        <w:rPr>
          <w:rFonts w:asciiTheme="majorHAnsi" w:hAnsiTheme="majorHAnsi" w:cstheme="majorHAnsi"/>
        </w:rPr>
        <w:t>s</w:t>
      </w:r>
      <w:r w:rsidRPr="00A46DD6">
        <w:rPr>
          <w:rFonts w:asciiTheme="majorHAnsi" w:hAnsiTheme="majorHAnsi" w:cstheme="majorHAnsi"/>
        </w:rPr>
        <w:t xml:space="preserve"> </w:t>
      </w:r>
      <w:r>
        <w:rPr>
          <w:rFonts w:asciiTheme="majorHAnsi" w:hAnsiTheme="majorHAnsi" w:cstheme="majorHAnsi"/>
        </w:rPr>
        <w:t>(</w:t>
      </w:r>
      <w:r w:rsidRPr="00A46DD6">
        <w:rPr>
          <w:rFonts w:asciiTheme="majorHAnsi" w:hAnsiTheme="majorHAnsi" w:cstheme="majorHAnsi"/>
        </w:rPr>
        <w:t>201</w:t>
      </w:r>
      <w:r>
        <w:rPr>
          <w:rFonts w:asciiTheme="majorHAnsi" w:hAnsiTheme="majorHAnsi" w:cstheme="majorHAnsi"/>
        </w:rPr>
        <w:t xml:space="preserve">4 – </w:t>
      </w:r>
      <w:r w:rsidRPr="00A46DD6">
        <w:rPr>
          <w:rFonts w:asciiTheme="majorHAnsi" w:hAnsiTheme="majorHAnsi" w:cstheme="majorHAnsi"/>
        </w:rPr>
        <w:t>2019</w:t>
      </w:r>
      <w:r>
        <w:rPr>
          <w:rFonts w:asciiTheme="majorHAnsi" w:hAnsiTheme="majorHAnsi" w:cstheme="majorHAnsi"/>
        </w:rPr>
        <w:t xml:space="preserve">). </w:t>
      </w:r>
      <w:r w:rsidRPr="00A46DD6">
        <w:rPr>
          <w:rFonts w:asciiTheme="majorHAnsi" w:hAnsiTheme="majorHAnsi" w:cstheme="majorHAnsi"/>
        </w:rPr>
        <w:t>The BEST</w:t>
      </w:r>
      <w:r>
        <w:rPr>
          <w:rFonts w:asciiTheme="majorHAnsi" w:hAnsiTheme="majorHAnsi" w:cstheme="majorHAnsi"/>
        </w:rPr>
        <w:t xml:space="preserve"> Program was </w:t>
      </w:r>
      <w:r w:rsidRPr="00A46DD6">
        <w:rPr>
          <w:rFonts w:asciiTheme="majorHAnsi" w:hAnsiTheme="majorHAnsi" w:cstheme="majorHAnsi"/>
        </w:rPr>
        <w:t xml:space="preserve">the </w:t>
      </w:r>
      <w:r>
        <w:rPr>
          <w:rFonts w:asciiTheme="majorHAnsi" w:hAnsiTheme="majorHAnsi" w:cstheme="majorHAnsi"/>
        </w:rPr>
        <w:t>11</w:t>
      </w:r>
      <w:r w:rsidRPr="0070546B">
        <w:rPr>
          <w:rFonts w:asciiTheme="majorHAnsi" w:hAnsiTheme="majorHAnsi" w:cstheme="majorHAnsi"/>
          <w:vertAlign w:val="superscript"/>
        </w:rPr>
        <w:t>th</w:t>
      </w:r>
      <w:r w:rsidRPr="00A46DD6">
        <w:rPr>
          <w:rFonts w:asciiTheme="majorHAnsi" w:hAnsiTheme="majorHAnsi" w:cstheme="majorHAnsi"/>
        </w:rPr>
        <w:t xml:space="preserve"> </w:t>
      </w:r>
      <w:r>
        <w:rPr>
          <w:rFonts w:asciiTheme="majorHAnsi" w:hAnsiTheme="majorHAnsi" w:cstheme="majorHAnsi"/>
        </w:rPr>
        <w:t xml:space="preserve">education </w:t>
      </w:r>
      <w:r w:rsidRPr="00A46DD6">
        <w:rPr>
          <w:rFonts w:asciiTheme="majorHAnsi" w:hAnsiTheme="majorHAnsi" w:cstheme="majorHAnsi"/>
        </w:rPr>
        <w:t xml:space="preserve">partnership </w:t>
      </w:r>
      <w:r>
        <w:rPr>
          <w:rFonts w:asciiTheme="majorHAnsi" w:hAnsiTheme="majorHAnsi" w:cstheme="majorHAnsi"/>
        </w:rPr>
        <w:t xml:space="preserve">between the Governments of the Philippines and </w:t>
      </w:r>
      <w:r w:rsidR="002320B3">
        <w:rPr>
          <w:rFonts w:asciiTheme="majorHAnsi" w:hAnsiTheme="majorHAnsi" w:cstheme="majorHAnsi"/>
        </w:rPr>
        <w:t>Australia and</w:t>
      </w:r>
      <w:r>
        <w:rPr>
          <w:rFonts w:asciiTheme="majorHAnsi" w:hAnsiTheme="majorHAnsi" w:cstheme="majorHAnsi"/>
        </w:rPr>
        <w:t xml:space="preserve"> was originally touted as </w:t>
      </w:r>
      <w:r w:rsidRPr="00A46DD6">
        <w:rPr>
          <w:rFonts w:asciiTheme="majorHAnsi" w:hAnsiTheme="majorHAnsi" w:cstheme="majorHAnsi"/>
        </w:rPr>
        <w:t xml:space="preserve">the largest </w:t>
      </w:r>
      <w:r>
        <w:rPr>
          <w:rFonts w:asciiTheme="majorHAnsi" w:hAnsiTheme="majorHAnsi" w:cstheme="majorHAnsi"/>
        </w:rPr>
        <w:t>education program assistance in terms of funding and scope</w:t>
      </w:r>
      <w:r w:rsidRPr="00A46DD6">
        <w:rPr>
          <w:rFonts w:asciiTheme="majorHAnsi" w:hAnsiTheme="majorHAnsi" w:cstheme="majorHAnsi"/>
        </w:rPr>
        <w:t>.</w:t>
      </w:r>
      <w:r w:rsidR="00D434EB">
        <w:rPr>
          <w:rFonts w:asciiTheme="majorHAnsi" w:hAnsiTheme="majorHAnsi" w:cstheme="majorHAnsi"/>
        </w:rPr>
        <w:t xml:space="preserve"> </w:t>
      </w:r>
      <w:r>
        <w:rPr>
          <w:rFonts w:asciiTheme="majorHAnsi" w:hAnsiTheme="majorHAnsi" w:cstheme="majorHAnsi"/>
        </w:rPr>
        <w:t>The Technical Assistance grant was strategically positioned to support the impact of two comprehensive reforms in the basic education sector – the implementation of the Rationalization Plan (a comprehensive restructure of the Department of Education to improve operational efficiency) and the shift to the Kindergarten to Year 12 (K to 12) Program (the addition of three years to the Philippines previously ten-year education system).</w:t>
      </w:r>
      <w:r w:rsidR="00D434EB">
        <w:rPr>
          <w:rFonts w:asciiTheme="majorHAnsi" w:hAnsiTheme="majorHAnsi" w:cstheme="majorHAnsi"/>
        </w:rPr>
        <w:t xml:space="preserve"> </w:t>
      </w:r>
      <w:r w:rsidRPr="006108D9">
        <w:rPr>
          <w:rFonts w:asciiTheme="majorHAnsi" w:hAnsiTheme="majorHAnsi" w:cstheme="majorHAnsi"/>
        </w:rPr>
        <w:t xml:space="preserve">The objectives </w:t>
      </w:r>
      <w:r>
        <w:rPr>
          <w:rFonts w:asciiTheme="majorHAnsi" w:hAnsiTheme="majorHAnsi" w:cstheme="majorHAnsi"/>
        </w:rPr>
        <w:t xml:space="preserve">of the </w:t>
      </w:r>
      <w:r w:rsidRPr="006108D9">
        <w:rPr>
          <w:rFonts w:asciiTheme="majorHAnsi" w:hAnsiTheme="majorHAnsi" w:cstheme="majorHAnsi"/>
        </w:rPr>
        <w:t xml:space="preserve">BEST Program were basically to assist the Philippine government </w:t>
      </w:r>
      <w:r>
        <w:rPr>
          <w:rFonts w:asciiTheme="majorHAnsi" w:hAnsiTheme="majorHAnsi" w:cstheme="majorHAnsi"/>
        </w:rPr>
        <w:t>in enhancing</w:t>
      </w:r>
      <w:r w:rsidRPr="006108D9">
        <w:rPr>
          <w:rFonts w:asciiTheme="majorHAnsi" w:hAnsiTheme="majorHAnsi" w:cstheme="majorHAnsi"/>
        </w:rPr>
        <w:t xml:space="preserve"> the quality</w:t>
      </w:r>
      <w:r>
        <w:rPr>
          <w:rFonts w:asciiTheme="majorHAnsi" w:hAnsiTheme="majorHAnsi" w:cstheme="majorHAnsi"/>
        </w:rPr>
        <w:t>, access</w:t>
      </w:r>
      <w:r w:rsidRPr="006108D9">
        <w:rPr>
          <w:rFonts w:asciiTheme="majorHAnsi" w:hAnsiTheme="majorHAnsi" w:cstheme="majorHAnsi"/>
        </w:rPr>
        <w:t xml:space="preserve"> and delivery of basic education</w:t>
      </w:r>
      <w:r>
        <w:rPr>
          <w:rFonts w:asciiTheme="majorHAnsi" w:hAnsiTheme="majorHAnsi" w:cstheme="majorHAnsi"/>
        </w:rPr>
        <w:t xml:space="preserve">, while supporting the </w:t>
      </w:r>
      <w:r w:rsidRPr="006108D9">
        <w:rPr>
          <w:rFonts w:asciiTheme="majorHAnsi" w:hAnsiTheme="majorHAnsi" w:cstheme="majorHAnsi"/>
        </w:rPr>
        <w:t>implement</w:t>
      </w:r>
      <w:r>
        <w:rPr>
          <w:rFonts w:asciiTheme="majorHAnsi" w:hAnsiTheme="majorHAnsi" w:cstheme="majorHAnsi"/>
        </w:rPr>
        <w:t>ation of</w:t>
      </w:r>
      <w:r w:rsidRPr="006108D9">
        <w:rPr>
          <w:rFonts w:asciiTheme="majorHAnsi" w:hAnsiTheme="majorHAnsi" w:cstheme="majorHAnsi"/>
        </w:rPr>
        <w:t xml:space="preserve"> the K</w:t>
      </w:r>
      <w:r>
        <w:rPr>
          <w:rFonts w:asciiTheme="majorHAnsi" w:hAnsiTheme="majorHAnsi" w:cstheme="majorHAnsi"/>
        </w:rPr>
        <w:t xml:space="preserve"> to </w:t>
      </w:r>
      <w:r w:rsidRPr="006108D9">
        <w:rPr>
          <w:rFonts w:asciiTheme="majorHAnsi" w:hAnsiTheme="majorHAnsi" w:cstheme="majorHAnsi"/>
        </w:rPr>
        <w:t>12 school system.</w:t>
      </w:r>
      <w:r w:rsidR="00D434EB">
        <w:rPr>
          <w:rFonts w:asciiTheme="majorHAnsi" w:hAnsiTheme="majorHAnsi" w:cstheme="majorHAnsi"/>
        </w:rPr>
        <w:t xml:space="preserve">  </w:t>
      </w:r>
    </w:p>
    <w:p w14:paraId="28865F4E" w14:textId="29CDA4C2" w:rsidR="008D0CAD" w:rsidRDefault="008D0CAD" w:rsidP="002320B3">
      <w:pPr>
        <w:spacing w:before="100" w:beforeAutospacing="1" w:after="100" w:afterAutospacing="1" w:line="360" w:lineRule="auto"/>
        <w:rPr>
          <w:rFonts w:asciiTheme="majorHAnsi" w:hAnsiTheme="majorHAnsi" w:cstheme="majorHAnsi"/>
        </w:rPr>
      </w:pPr>
      <w:r w:rsidRPr="006108D9">
        <w:rPr>
          <w:rFonts w:asciiTheme="majorHAnsi" w:hAnsiTheme="majorHAnsi" w:cstheme="majorHAnsi"/>
        </w:rPr>
        <w:t xml:space="preserve">The </w:t>
      </w:r>
      <w:r w:rsidRPr="00A46DD6">
        <w:rPr>
          <w:rFonts w:asciiTheme="majorHAnsi" w:hAnsiTheme="majorHAnsi" w:cstheme="majorHAnsi"/>
        </w:rPr>
        <w:t>BEST</w:t>
      </w:r>
      <w:r>
        <w:rPr>
          <w:rFonts w:asciiTheme="majorHAnsi" w:hAnsiTheme="majorHAnsi" w:cstheme="majorHAnsi"/>
        </w:rPr>
        <w:t xml:space="preserve"> Program</w:t>
      </w:r>
      <w:r w:rsidRPr="006108D9">
        <w:rPr>
          <w:rFonts w:asciiTheme="majorHAnsi" w:hAnsiTheme="majorHAnsi" w:cstheme="majorHAnsi"/>
        </w:rPr>
        <w:t xml:space="preserve"> design framework </w:t>
      </w:r>
      <w:r>
        <w:rPr>
          <w:rFonts w:asciiTheme="majorHAnsi" w:hAnsiTheme="majorHAnsi" w:cstheme="majorHAnsi"/>
        </w:rPr>
        <w:t>which was intended for</w:t>
      </w:r>
      <w:r w:rsidRPr="006108D9">
        <w:rPr>
          <w:rFonts w:asciiTheme="majorHAnsi" w:hAnsiTheme="majorHAnsi" w:cstheme="majorHAnsi"/>
        </w:rPr>
        <w:t xml:space="preserve"> a 12</w:t>
      </w:r>
      <w:r>
        <w:rPr>
          <w:rFonts w:asciiTheme="majorHAnsi" w:hAnsiTheme="majorHAnsi" w:cstheme="majorHAnsi"/>
        </w:rPr>
        <w:t>-</w:t>
      </w:r>
      <w:r w:rsidRPr="006108D9">
        <w:rPr>
          <w:rFonts w:asciiTheme="majorHAnsi" w:hAnsiTheme="majorHAnsi" w:cstheme="majorHAnsi"/>
        </w:rPr>
        <w:t xml:space="preserve">year </w:t>
      </w:r>
      <w:r>
        <w:rPr>
          <w:rFonts w:asciiTheme="majorHAnsi" w:hAnsiTheme="majorHAnsi" w:cstheme="majorHAnsi"/>
        </w:rPr>
        <w:t>implementation period was to be conducted</w:t>
      </w:r>
      <w:r w:rsidRPr="006108D9">
        <w:rPr>
          <w:rFonts w:asciiTheme="majorHAnsi" w:hAnsiTheme="majorHAnsi" w:cstheme="majorHAnsi"/>
        </w:rPr>
        <w:t xml:space="preserve"> in </w:t>
      </w:r>
      <w:r>
        <w:rPr>
          <w:rFonts w:asciiTheme="majorHAnsi" w:hAnsiTheme="majorHAnsi" w:cstheme="majorHAnsi"/>
        </w:rPr>
        <w:t>two</w:t>
      </w:r>
      <w:r w:rsidRPr="006108D9">
        <w:rPr>
          <w:rFonts w:asciiTheme="majorHAnsi" w:hAnsiTheme="majorHAnsi" w:cstheme="majorHAnsi"/>
        </w:rPr>
        <w:t xml:space="preserve"> phases of </w:t>
      </w:r>
      <w:r>
        <w:rPr>
          <w:rFonts w:asciiTheme="majorHAnsi" w:hAnsiTheme="majorHAnsi" w:cstheme="majorHAnsi"/>
        </w:rPr>
        <w:t>six</w:t>
      </w:r>
      <w:r w:rsidRPr="006108D9">
        <w:rPr>
          <w:rFonts w:asciiTheme="majorHAnsi" w:hAnsiTheme="majorHAnsi" w:cstheme="majorHAnsi"/>
        </w:rPr>
        <w:t xml:space="preserve"> years each.</w:t>
      </w:r>
      <w:r w:rsidR="00D434EB">
        <w:rPr>
          <w:rFonts w:asciiTheme="majorHAnsi" w:hAnsiTheme="majorHAnsi" w:cstheme="majorHAnsi"/>
        </w:rPr>
        <w:t xml:space="preserve"> </w:t>
      </w:r>
      <w:r>
        <w:rPr>
          <w:rFonts w:asciiTheme="majorHAnsi" w:hAnsiTheme="majorHAnsi" w:cstheme="majorHAnsi"/>
        </w:rPr>
        <w:t>The three End of Program Outcomes (EOPOs) for the first six-year phase were:</w:t>
      </w:r>
    </w:p>
    <w:p w14:paraId="4602FB6B" w14:textId="513678F9" w:rsidR="008D0CAD" w:rsidRPr="009A4AE3" w:rsidRDefault="008D0CAD" w:rsidP="00DD08E3">
      <w:pPr>
        <w:pStyle w:val="ListParagraph"/>
        <w:numPr>
          <w:ilvl w:val="0"/>
          <w:numId w:val="51"/>
        </w:numPr>
        <w:spacing w:before="100" w:beforeAutospacing="1" w:after="100" w:afterAutospacing="1" w:line="360" w:lineRule="auto"/>
        <w:ind w:left="709" w:hanging="357"/>
        <w:contextualSpacing w:val="0"/>
        <w:rPr>
          <w:rFonts w:asciiTheme="majorHAnsi" w:hAnsiTheme="majorHAnsi" w:cstheme="majorHAnsi"/>
        </w:rPr>
      </w:pPr>
      <w:r w:rsidRPr="009A4AE3">
        <w:rPr>
          <w:rFonts w:asciiTheme="majorHAnsi" w:hAnsiTheme="majorHAnsi" w:cstheme="majorHAnsi"/>
        </w:rPr>
        <w:t>More children are able to demonstrate improved mastery of curriculum competencies (in English, Mathematics and Sciences) and difference in learning outcomes for boys and girls are reduced in target areas</w:t>
      </w:r>
      <w:r>
        <w:rPr>
          <w:rFonts w:asciiTheme="majorHAnsi" w:hAnsiTheme="majorHAnsi" w:cstheme="majorHAnsi"/>
        </w:rPr>
        <w:t xml:space="preserve"> (EOPO1).</w:t>
      </w:r>
      <w:r w:rsidR="00D434EB">
        <w:rPr>
          <w:rFonts w:asciiTheme="majorHAnsi" w:hAnsiTheme="majorHAnsi" w:cstheme="majorHAnsi"/>
        </w:rPr>
        <w:t xml:space="preserve"> </w:t>
      </w:r>
    </w:p>
    <w:p w14:paraId="7B7407AB" w14:textId="31CBC1C6" w:rsidR="008D0CAD" w:rsidRPr="009A4AE3" w:rsidRDefault="008D0CAD" w:rsidP="00DD08E3">
      <w:pPr>
        <w:pStyle w:val="ListParagraph"/>
        <w:numPr>
          <w:ilvl w:val="0"/>
          <w:numId w:val="51"/>
        </w:numPr>
        <w:spacing w:before="100" w:beforeAutospacing="1" w:after="100" w:afterAutospacing="1" w:line="360" w:lineRule="auto"/>
        <w:ind w:left="709" w:hanging="357"/>
        <w:contextualSpacing w:val="0"/>
        <w:rPr>
          <w:rFonts w:asciiTheme="majorHAnsi" w:hAnsiTheme="majorHAnsi" w:cstheme="majorHAnsi"/>
        </w:rPr>
      </w:pPr>
      <w:r w:rsidRPr="009A4AE3">
        <w:rPr>
          <w:rFonts w:asciiTheme="majorHAnsi" w:hAnsiTheme="majorHAnsi" w:cstheme="majorHAnsi"/>
        </w:rPr>
        <w:t>More boys and girls participate and complete a basic education in target areas</w:t>
      </w:r>
      <w:r>
        <w:rPr>
          <w:rFonts w:asciiTheme="majorHAnsi" w:hAnsiTheme="majorHAnsi" w:cstheme="majorHAnsi"/>
        </w:rPr>
        <w:t xml:space="preserve"> (EOPO2)</w:t>
      </w:r>
      <w:r w:rsidRPr="009A4AE3">
        <w:rPr>
          <w:rFonts w:asciiTheme="majorHAnsi" w:hAnsiTheme="majorHAnsi" w:cstheme="majorHAnsi"/>
        </w:rPr>
        <w:t>.</w:t>
      </w:r>
      <w:r w:rsidR="00D434EB">
        <w:rPr>
          <w:rFonts w:asciiTheme="majorHAnsi" w:hAnsiTheme="majorHAnsi" w:cstheme="majorHAnsi"/>
        </w:rPr>
        <w:t xml:space="preserve"> </w:t>
      </w:r>
    </w:p>
    <w:p w14:paraId="2D57161F" w14:textId="70D5902F" w:rsidR="008D0CAD" w:rsidRPr="009A4AE3" w:rsidRDefault="008D0CAD" w:rsidP="00DD08E3">
      <w:pPr>
        <w:pStyle w:val="ListParagraph"/>
        <w:numPr>
          <w:ilvl w:val="0"/>
          <w:numId w:val="51"/>
        </w:numPr>
        <w:spacing w:before="100" w:beforeAutospacing="1" w:after="100" w:afterAutospacing="1" w:line="360" w:lineRule="auto"/>
        <w:ind w:left="709" w:hanging="357"/>
        <w:contextualSpacing w:val="0"/>
        <w:rPr>
          <w:rFonts w:asciiTheme="majorHAnsi" w:hAnsiTheme="majorHAnsi" w:cstheme="majorHAnsi"/>
        </w:rPr>
      </w:pPr>
      <w:r w:rsidRPr="009A4AE3">
        <w:rPr>
          <w:rFonts w:asciiTheme="majorHAnsi" w:hAnsiTheme="majorHAnsi" w:cstheme="majorHAnsi"/>
        </w:rPr>
        <w:t>DepEd is better able to deliver basic education services that are more gender responsive and inclusive; and with greater decentralisation of management and accountability to the field offices and schools</w:t>
      </w:r>
      <w:r>
        <w:rPr>
          <w:rFonts w:asciiTheme="majorHAnsi" w:hAnsiTheme="majorHAnsi" w:cstheme="majorHAnsi"/>
        </w:rPr>
        <w:t xml:space="preserve"> (EOPO3)</w:t>
      </w:r>
      <w:r w:rsidRPr="009A4AE3">
        <w:rPr>
          <w:rFonts w:asciiTheme="majorHAnsi" w:hAnsiTheme="majorHAnsi" w:cstheme="majorHAnsi"/>
        </w:rPr>
        <w:t>.</w:t>
      </w:r>
      <w:r w:rsidR="00D434EB">
        <w:rPr>
          <w:rFonts w:asciiTheme="majorHAnsi" w:hAnsiTheme="majorHAnsi" w:cstheme="majorHAnsi"/>
        </w:rPr>
        <w:t xml:space="preserve"> </w:t>
      </w:r>
    </w:p>
    <w:p w14:paraId="00F8656D" w14:textId="23FA5EE8" w:rsidR="008D0CAD" w:rsidRDefault="008D0CAD" w:rsidP="002320B3">
      <w:pPr>
        <w:spacing w:before="100" w:beforeAutospacing="1" w:after="100" w:afterAutospacing="1" w:line="360" w:lineRule="auto"/>
        <w:rPr>
          <w:rFonts w:asciiTheme="majorHAnsi" w:hAnsiTheme="majorHAnsi" w:cstheme="majorHAnsi"/>
        </w:rPr>
      </w:pPr>
      <w:r w:rsidRPr="006108D9">
        <w:rPr>
          <w:rFonts w:asciiTheme="majorHAnsi" w:hAnsiTheme="majorHAnsi" w:cstheme="majorHAnsi"/>
        </w:rPr>
        <w:t>Th</w:t>
      </w:r>
      <w:r>
        <w:rPr>
          <w:rFonts w:asciiTheme="majorHAnsi" w:hAnsiTheme="majorHAnsi" w:cstheme="majorHAnsi"/>
        </w:rPr>
        <w:t>e Program’s duration was implicit in its Theory of Change, in that it initially intended to pursue a foundational outcome (EOPO3) before the other EOPOs.</w:t>
      </w:r>
      <w:r w:rsidR="00D434EB">
        <w:rPr>
          <w:rFonts w:asciiTheme="majorHAnsi" w:hAnsiTheme="majorHAnsi" w:cstheme="majorHAnsi"/>
        </w:rPr>
        <w:t xml:space="preserve"> </w:t>
      </w:r>
      <w:r>
        <w:rPr>
          <w:rFonts w:asciiTheme="majorHAnsi" w:hAnsiTheme="majorHAnsi" w:cstheme="majorHAnsi"/>
        </w:rPr>
        <w:t xml:space="preserve">Prior to and during </w:t>
      </w:r>
      <w:r w:rsidR="00476E85">
        <w:rPr>
          <w:rFonts w:asciiTheme="majorHAnsi" w:hAnsiTheme="majorHAnsi" w:cstheme="majorHAnsi"/>
        </w:rPr>
        <w:t>program implementation</w:t>
      </w:r>
      <w:r>
        <w:rPr>
          <w:rFonts w:asciiTheme="majorHAnsi" w:hAnsiTheme="majorHAnsi" w:cstheme="majorHAnsi"/>
        </w:rPr>
        <w:t>, a range of external factors – political and financial, resulted in the reduction of the Program</w:t>
      </w:r>
      <w:r w:rsidRPr="006108D9">
        <w:rPr>
          <w:rFonts w:asciiTheme="majorHAnsi" w:hAnsiTheme="majorHAnsi" w:cstheme="majorHAnsi"/>
        </w:rPr>
        <w:t xml:space="preserve"> </w:t>
      </w:r>
      <w:r>
        <w:rPr>
          <w:rFonts w:asciiTheme="majorHAnsi" w:hAnsiTheme="majorHAnsi" w:cstheme="majorHAnsi"/>
        </w:rPr>
        <w:t>duration to a little less than five years as well as reduction in funding</w:t>
      </w:r>
      <w:r w:rsidRPr="006108D9">
        <w:rPr>
          <w:rFonts w:asciiTheme="majorHAnsi" w:hAnsiTheme="majorHAnsi" w:cstheme="majorHAnsi"/>
        </w:rPr>
        <w:t>.</w:t>
      </w:r>
      <w:r w:rsidR="00D434EB">
        <w:rPr>
          <w:rFonts w:asciiTheme="majorHAnsi" w:hAnsiTheme="majorHAnsi" w:cstheme="majorHAnsi"/>
        </w:rPr>
        <w:t xml:space="preserve"> </w:t>
      </w:r>
      <w:r>
        <w:rPr>
          <w:rFonts w:asciiTheme="majorHAnsi" w:hAnsiTheme="majorHAnsi" w:cstheme="majorHAnsi"/>
        </w:rPr>
        <w:t>This necessitated a couple of revisions to the program’s Theory of Change during implementation.</w:t>
      </w:r>
    </w:p>
    <w:p w14:paraId="5457C8FC" w14:textId="411A20FE" w:rsidR="008D0CAD" w:rsidRDefault="008D0CAD" w:rsidP="002320B3">
      <w:pPr>
        <w:spacing w:before="100" w:beforeAutospacing="1" w:after="100" w:afterAutospacing="1" w:line="360" w:lineRule="auto"/>
        <w:rPr>
          <w:rFonts w:asciiTheme="majorHAnsi" w:hAnsiTheme="majorHAnsi" w:cstheme="majorHAnsi"/>
        </w:rPr>
      </w:pPr>
      <w:r w:rsidRPr="006108D9">
        <w:rPr>
          <w:rFonts w:asciiTheme="majorHAnsi" w:hAnsiTheme="majorHAnsi" w:cstheme="majorHAnsi"/>
        </w:rPr>
        <w:t xml:space="preserve">The Program was </w:t>
      </w:r>
      <w:r>
        <w:rPr>
          <w:rFonts w:asciiTheme="majorHAnsi" w:hAnsiTheme="majorHAnsi" w:cstheme="majorHAnsi"/>
        </w:rPr>
        <w:t>considered a national program, i.e., its interventions were directed primarily to support reform initiatives at the Central Office (which were intended to be implemented on a national scale).</w:t>
      </w:r>
      <w:r w:rsidR="00D434EB">
        <w:rPr>
          <w:rFonts w:asciiTheme="majorHAnsi" w:hAnsiTheme="majorHAnsi" w:cstheme="majorHAnsi"/>
        </w:rPr>
        <w:t xml:space="preserve"> </w:t>
      </w:r>
      <w:r>
        <w:rPr>
          <w:rFonts w:asciiTheme="majorHAnsi" w:hAnsiTheme="majorHAnsi" w:cstheme="majorHAnsi"/>
        </w:rPr>
        <w:t>S</w:t>
      </w:r>
      <w:r w:rsidRPr="006108D9">
        <w:rPr>
          <w:rFonts w:asciiTheme="majorHAnsi" w:hAnsiTheme="majorHAnsi" w:cstheme="majorHAnsi"/>
        </w:rPr>
        <w:t>ix regions</w:t>
      </w:r>
      <w:r>
        <w:rPr>
          <w:rFonts w:asciiTheme="majorHAnsi" w:hAnsiTheme="majorHAnsi" w:cstheme="majorHAnsi"/>
        </w:rPr>
        <w:t xml:space="preserve"> were selected as pilot implementation regions</w:t>
      </w:r>
      <w:r w:rsidRPr="006108D9">
        <w:rPr>
          <w:rFonts w:asciiTheme="majorHAnsi" w:hAnsiTheme="majorHAnsi" w:cstheme="majorHAnsi"/>
        </w:rPr>
        <w:t>: Region</w:t>
      </w:r>
      <w:r>
        <w:rPr>
          <w:rFonts w:asciiTheme="majorHAnsi" w:hAnsiTheme="majorHAnsi" w:cstheme="majorHAnsi"/>
        </w:rPr>
        <w:t xml:space="preserve"> V </w:t>
      </w:r>
      <w:r w:rsidRPr="006108D9">
        <w:rPr>
          <w:rFonts w:asciiTheme="majorHAnsi" w:hAnsiTheme="majorHAnsi" w:cstheme="majorHAnsi"/>
        </w:rPr>
        <w:t xml:space="preserve">– Bicol; Region </w:t>
      </w:r>
      <w:r>
        <w:rPr>
          <w:rFonts w:asciiTheme="majorHAnsi" w:hAnsiTheme="majorHAnsi" w:cstheme="majorHAnsi"/>
        </w:rPr>
        <w:t xml:space="preserve">VI </w:t>
      </w:r>
      <w:r w:rsidRPr="006108D9">
        <w:rPr>
          <w:rFonts w:asciiTheme="majorHAnsi" w:hAnsiTheme="majorHAnsi" w:cstheme="majorHAnsi"/>
        </w:rPr>
        <w:t xml:space="preserve">– Western Visayas; Region </w:t>
      </w:r>
      <w:r>
        <w:rPr>
          <w:rFonts w:asciiTheme="majorHAnsi" w:hAnsiTheme="majorHAnsi" w:cstheme="majorHAnsi"/>
        </w:rPr>
        <w:t>VII</w:t>
      </w:r>
      <w:r w:rsidRPr="006108D9">
        <w:rPr>
          <w:rFonts w:asciiTheme="majorHAnsi" w:hAnsiTheme="majorHAnsi" w:cstheme="majorHAnsi"/>
        </w:rPr>
        <w:t xml:space="preserve"> – Central Visayas; Region </w:t>
      </w:r>
      <w:r>
        <w:rPr>
          <w:rFonts w:asciiTheme="majorHAnsi" w:hAnsiTheme="majorHAnsi" w:cstheme="majorHAnsi"/>
        </w:rPr>
        <w:t>VIII</w:t>
      </w:r>
      <w:r w:rsidRPr="006108D9">
        <w:rPr>
          <w:rFonts w:asciiTheme="majorHAnsi" w:hAnsiTheme="majorHAnsi" w:cstheme="majorHAnsi"/>
        </w:rPr>
        <w:t xml:space="preserve"> – Eastern Visayas; Region </w:t>
      </w:r>
      <w:r>
        <w:rPr>
          <w:rFonts w:asciiTheme="majorHAnsi" w:hAnsiTheme="majorHAnsi" w:cstheme="majorHAnsi"/>
        </w:rPr>
        <w:t>X</w:t>
      </w:r>
      <w:r w:rsidRPr="006108D9">
        <w:rPr>
          <w:rFonts w:asciiTheme="majorHAnsi" w:hAnsiTheme="majorHAnsi" w:cstheme="majorHAnsi"/>
        </w:rPr>
        <w:t xml:space="preserve"> – Northern Mindanao; and the National Capital Region (NCR).</w:t>
      </w:r>
      <w:r w:rsidR="00D434EB">
        <w:rPr>
          <w:rFonts w:asciiTheme="majorHAnsi" w:hAnsiTheme="majorHAnsi" w:cstheme="majorHAnsi"/>
        </w:rPr>
        <w:t xml:space="preserve"> </w:t>
      </w:r>
      <w:r>
        <w:rPr>
          <w:rFonts w:asciiTheme="majorHAnsi" w:hAnsiTheme="majorHAnsi" w:cstheme="majorHAnsi"/>
        </w:rPr>
        <w:t>In practice, however, implementation was more diffuse, because all regions and schools benefited from many of the program’s interventions, which were rolled out nationally when policies formulated at the Central Office were issued and promulgated.</w:t>
      </w:r>
    </w:p>
    <w:p w14:paraId="46C642D7" w14:textId="51CE5373" w:rsidR="008D0CAD" w:rsidRDefault="008D0CAD" w:rsidP="002320B3">
      <w:pPr>
        <w:spacing w:before="100" w:beforeAutospacing="1" w:after="100" w:afterAutospacing="1" w:line="360" w:lineRule="auto"/>
        <w:rPr>
          <w:rFonts w:asciiTheme="majorHAnsi" w:hAnsiTheme="majorHAnsi" w:cstheme="majorHAnsi"/>
        </w:rPr>
      </w:pPr>
      <w:r>
        <w:rPr>
          <w:rFonts w:asciiTheme="majorHAnsi" w:hAnsiTheme="majorHAnsi" w:cstheme="majorHAnsi"/>
        </w:rPr>
        <w:t>This End-of-Program Evaluation (EOPE) Study was commissioned by the Facilitating Contractor of the BEST Program to assess the results of program implementation, assess performance of the various program interventions and consolidate lessons learned. The EOPE Study did not cover the entire BEST Program but was limited to ten key program interventions identified in the Request for Tender.</w:t>
      </w:r>
      <w:r w:rsidR="00D434EB">
        <w:rPr>
          <w:rFonts w:asciiTheme="majorHAnsi" w:hAnsiTheme="majorHAnsi" w:cstheme="majorHAnsi"/>
        </w:rPr>
        <w:t xml:space="preserve"> </w:t>
      </w:r>
      <w:r>
        <w:rPr>
          <w:rFonts w:asciiTheme="majorHAnsi" w:hAnsiTheme="majorHAnsi" w:cstheme="majorHAnsi"/>
        </w:rPr>
        <w:t>The EOPE Study addressed</w:t>
      </w:r>
      <w:r w:rsidRPr="006108D9">
        <w:rPr>
          <w:rFonts w:asciiTheme="majorHAnsi" w:hAnsiTheme="majorHAnsi" w:cstheme="majorHAnsi"/>
        </w:rPr>
        <w:t xml:space="preserve"> </w:t>
      </w:r>
      <w:r>
        <w:rPr>
          <w:rFonts w:asciiTheme="majorHAnsi" w:hAnsiTheme="majorHAnsi" w:cstheme="majorHAnsi"/>
        </w:rPr>
        <w:t xml:space="preserve">five key </w:t>
      </w:r>
      <w:r w:rsidRPr="006108D9">
        <w:rPr>
          <w:rFonts w:asciiTheme="majorHAnsi" w:hAnsiTheme="majorHAnsi" w:cstheme="majorHAnsi"/>
        </w:rPr>
        <w:t>evaluation questions:</w:t>
      </w:r>
      <w:r w:rsidR="00D434EB">
        <w:rPr>
          <w:rFonts w:asciiTheme="majorHAnsi" w:hAnsiTheme="majorHAnsi" w:cstheme="majorHAnsi"/>
        </w:rPr>
        <w:t xml:space="preserve"> </w:t>
      </w:r>
    </w:p>
    <w:p w14:paraId="3EFF0880" w14:textId="77777777" w:rsidR="008D0CAD" w:rsidRPr="000455E4" w:rsidRDefault="008D0CAD" w:rsidP="00DD08E3">
      <w:pPr>
        <w:pStyle w:val="ListParagraph"/>
        <w:numPr>
          <w:ilvl w:val="0"/>
          <w:numId w:val="52"/>
        </w:numPr>
        <w:spacing w:before="100" w:beforeAutospacing="1" w:after="100" w:afterAutospacing="1" w:line="360" w:lineRule="auto"/>
        <w:ind w:left="714" w:hanging="357"/>
        <w:contextualSpacing w:val="0"/>
        <w:rPr>
          <w:rFonts w:asciiTheme="majorHAnsi" w:hAnsiTheme="majorHAnsi" w:cstheme="majorHAnsi"/>
        </w:rPr>
      </w:pPr>
      <w:r w:rsidRPr="000455E4">
        <w:rPr>
          <w:rFonts w:asciiTheme="majorHAnsi" w:hAnsiTheme="majorHAnsi"/>
          <w:i/>
          <w:iCs/>
        </w:rPr>
        <w:t>To what extent and how, did the BEST interventions increase the number of children able to demonstrate mastery of curriculum competencies in Filipino, English, Math and Science in target areas?;</w:t>
      </w:r>
      <w:r w:rsidRPr="000455E4">
        <w:rPr>
          <w:rFonts w:asciiTheme="majorHAnsi" w:hAnsiTheme="majorHAnsi" w:cstheme="majorHAnsi"/>
          <w:i/>
          <w:iCs/>
        </w:rPr>
        <w:t xml:space="preserve"> </w:t>
      </w:r>
    </w:p>
    <w:p w14:paraId="58F5DA89" w14:textId="77777777" w:rsidR="008D0CAD" w:rsidRPr="000455E4" w:rsidRDefault="008D0CAD" w:rsidP="00DD08E3">
      <w:pPr>
        <w:pStyle w:val="ListParagraph"/>
        <w:numPr>
          <w:ilvl w:val="0"/>
          <w:numId w:val="52"/>
        </w:numPr>
        <w:spacing w:before="100" w:beforeAutospacing="1" w:after="100" w:afterAutospacing="1" w:line="360" w:lineRule="auto"/>
        <w:ind w:left="714" w:hanging="357"/>
        <w:contextualSpacing w:val="0"/>
        <w:rPr>
          <w:rFonts w:asciiTheme="majorHAnsi" w:hAnsiTheme="majorHAnsi" w:cstheme="majorHAnsi"/>
        </w:rPr>
      </w:pPr>
      <w:r w:rsidRPr="000455E4">
        <w:rPr>
          <w:rFonts w:asciiTheme="majorHAnsi" w:hAnsiTheme="majorHAnsi"/>
          <w:i/>
          <w:iCs/>
        </w:rPr>
        <w:t>To what extent and how, did BEST interventions reduce the differences in learning outcomes for boys and girls in target areas?;</w:t>
      </w:r>
      <w:r w:rsidRPr="000455E4">
        <w:rPr>
          <w:rFonts w:asciiTheme="majorHAnsi" w:hAnsiTheme="majorHAnsi" w:cstheme="majorHAnsi"/>
          <w:i/>
          <w:iCs/>
        </w:rPr>
        <w:t xml:space="preserve"> </w:t>
      </w:r>
    </w:p>
    <w:p w14:paraId="6ACD90E9" w14:textId="77777777" w:rsidR="008D0CAD" w:rsidRPr="000455E4" w:rsidRDefault="008D0CAD" w:rsidP="00DD08E3">
      <w:pPr>
        <w:pStyle w:val="ListParagraph"/>
        <w:numPr>
          <w:ilvl w:val="0"/>
          <w:numId w:val="52"/>
        </w:numPr>
        <w:spacing w:before="100" w:beforeAutospacing="1" w:after="100" w:afterAutospacing="1" w:line="360" w:lineRule="auto"/>
        <w:ind w:left="714" w:hanging="357"/>
        <w:contextualSpacing w:val="0"/>
        <w:rPr>
          <w:rFonts w:asciiTheme="majorHAnsi" w:hAnsiTheme="majorHAnsi" w:cstheme="majorHAnsi"/>
        </w:rPr>
      </w:pPr>
      <w:r w:rsidRPr="000455E4">
        <w:rPr>
          <w:rFonts w:asciiTheme="majorHAnsi" w:hAnsiTheme="majorHAnsi"/>
          <w:i/>
          <w:iCs/>
        </w:rPr>
        <w:t>To what extent and how, did BEST interventions increase the number of boys and girls participating and completing basic education in target areas?;</w:t>
      </w:r>
    </w:p>
    <w:p w14:paraId="6B3D1DFF" w14:textId="77777777" w:rsidR="008D0CAD" w:rsidRPr="000455E4" w:rsidRDefault="008D0CAD" w:rsidP="00DD08E3">
      <w:pPr>
        <w:pStyle w:val="ListParagraph"/>
        <w:numPr>
          <w:ilvl w:val="0"/>
          <w:numId w:val="52"/>
        </w:numPr>
        <w:spacing w:before="100" w:beforeAutospacing="1" w:after="100" w:afterAutospacing="1" w:line="360" w:lineRule="auto"/>
        <w:ind w:left="714" w:hanging="357"/>
        <w:contextualSpacing w:val="0"/>
        <w:rPr>
          <w:rFonts w:asciiTheme="majorHAnsi" w:hAnsiTheme="majorHAnsi" w:cstheme="majorHAnsi"/>
        </w:rPr>
      </w:pPr>
      <w:r w:rsidRPr="000455E4">
        <w:rPr>
          <w:rFonts w:asciiTheme="majorHAnsi" w:hAnsiTheme="majorHAnsi"/>
          <w:i/>
          <w:iCs/>
        </w:rPr>
        <w:t>To what extent and how, did BEST interventions improve DepEd’s ability to deliver inclusive and responsive basic education services with greater decentrali</w:t>
      </w:r>
      <w:r>
        <w:rPr>
          <w:rFonts w:asciiTheme="majorHAnsi" w:hAnsiTheme="majorHAnsi"/>
          <w:i/>
          <w:iCs/>
        </w:rPr>
        <w:t>s</w:t>
      </w:r>
      <w:r w:rsidRPr="000455E4">
        <w:rPr>
          <w:rFonts w:asciiTheme="majorHAnsi" w:hAnsiTheme="majorHAnsi"/>
          <w:i/>
          <w:iCs/>
        </w:rPr>
        <w:t xml:space="preserve">ation of management and accountability to the field offices and schools?; and </w:t>
      </w:r>
    </w:p>
    <w:p w14:paraId="22B4BA72" w14:textId="77777777" w:rsidR="008D0CAD" w:rsidRPr="000455E4" w:rsidRDefault="008D0CAD" w:rsidP="00DD08E3">
      <w:pPr>
        <w:pStyle w:val="ListParagraph"/>
        <w:numPr>
          <w:ilvl w:val="0"/>
          <w:numId w:val="52"/>
        </w:numPr>
        <w:spacing w:before="100" w:beforeAutospacing="1" w:after="100" w:afterAutospacing="1" w:line="360" w:lineRule="auto"/>
        <w:ind w:left="714" w:hanging="357"/>
        <w:contextualSpacing w:val="0"/>
        <w:rPr>
          <w:rFonts w:asciiTheme="majorHAnsi" w:hAnsiTheme="majorHAnsi" w:cstheme="majorHAnsi"/>
        </w:rPr>
      </w:pPr>
      <w:r w:rsidRPr="000455E4">
        <w:rPr>
          <w:rFonts w:asciiTheme="majorHAnsi" w:hAnsiTheme="majorHAnsi"/>
          <w:i/>
          <w:iCs/>
        </w:rPr>
        <w:t>What factors facilitated and hindered the achievement of the EOPOs and intermediate outcomes?</w:t>
      </w:r>
    </w:p>
    <w:p w14:paraId="0A61762B" w14:textId="677C0ACF" w:rsidR="008D0CAD" w:rsidRDefault="008D0CAD" w:rsidP="002320B3">
      <w:pPr>
        <w:spacing w:before="100" w:beforeAutospacing="1" w:after="100" w:afterAutospacing="1" w:line="360" w:lineRule="auto"/>
        <w:rPr>
          <w:rFonts w:asciiTheme="majorHAnsi" w:hAnsiTheme="majorHAnsi" w:cstheme="majorHAnsi"/>
        </w:rPr>
      </w:pPr>
      <w:r>
        <w:rPr>
          <w:rFonts w:asciiTheme="majorHAnsi" w:hAnsiTheme="majorHAnsi" w:cstheme="majorHAnsi"/>
        </w:rPr>
        <w:t>The EOPE Study was conducted from February to May 2019. Due to time constraints, the field data gathering was conducted by eight evaluation teams working simultaneously – two at the national level and one each in the six BEST supported regions.</w:t>
      </w:r>
      <w:r w:rsidR="00D434EB">
        <w:rPr>
          <w:rFonts w:asciiTheme="majorHAnsi" w:hAnsiTheme="majorHAnsi" w:cstheme="majorHAnsi"/>
        </w:rPr>
        <w:t xml:space="preserve"> </w:t>
      </w:r>
      <w:r>
        <w:rPr>
          <w:rFonts w:asciiTheme="majorHAnsi" w:hAnsiTheme="majorHAnsi" w:cstheme="majorHAnsi"/>
        </w:rPr>
        <w:t>The EOPE Team engaged 12 Operating Units (OUs) at the Central Office, six Regional Offices, 14 Division Offices and 39 principals and 193 teachers from 106 schools.</w:t>
      </w:r>
      <w:r w:rsidR="00D434EB">
        <w:rPr>
          <w:rFonts w:asciiTheme="majorHAnsi" w:hAnsiTheme="majorHAnsi" w:cstheme="majorHAnsi"/>
        </w:rPr>
        <w:t xml:space="preserve"> </w:t>
      </w:r>
      <w:r>
        <w:rPr>
          <w:rFonts w:asciiTheme="majorHAnsi" w:hAnsiTheme="majorHAnsi" w:cstheme="majorHAnsi"/>
        </w:rPr>
        <w:t>The Team conducted 60 focus group discussions and 25 key informant interviews and administered survey questionnaires to more than 250 respondents.</w:t>
      </w:r>
    </w:p>
    <w:p w14:paraId="57FEFF6D" w14:textId="77777777" w:rsidR="008D0CAD" w:rsidRPr="006E73DC" w:rsidRDefault="008D0CAD" w:rsidP="002320B3">
      <w:pPr>
        <w:spacing w:before="100" w:beforeAutospacing="1" w:after="100" w:afterAutospacing="1" w:line="360" w:lineRule="auto"/>
        <w:rPr>
          <w:rFonts w:asciiTheme="majorHAnsi" w:hAnsiTheme="majorHAnsi" w:cstheme="majorHAnsi"/>
          <w:b/>
          <w:color w:val="0070C0"/>
        </w:rPr>
      </w:pPr>
      <w:r>
        <w:rPr>
          <w:rFonts w:asciiTheme="majorHAnsi" w:hAnsiTheme="majorHAnsi" w:cstheme="majorHAnsi"/>
          <w:b/>
          <w:color w:val="0070C0"/>
        </w:rPr>
        <w:t xml:space="preserve">Key </w:t>
      </w:r>
      <w:r w:rsidRPr="006E73DC">
        <w:rPr>
          <w:rFonts w:asciiTheme="majorHAnsi" w:hAnsiTheme="majorHAnsi" w:cstheme="majorHAnsi"/>
          <w:b/>
          <w:color w:val="0070C0"/>
        </w:rPr>
        <w:t>Findings</w:t>
      </w:r>
    </w:p>
    <w:p w14:paraId="6C99CE17" w14:textId="77777777" w:rsidR="008D0CAD" w:rsidRPr="00B07D16" w:rsidRDefault="008D0CAD" w:rsidP="002320B3">
      <w:pPr>
        <w:pStyle w:val="NormalWeb"/>
        <w:spacing w:line="360" w:lineRule="auto"/>
        <w:rPr>
          <w:rFonts w:asciiTheme="majorHAnsi" w:hAnsiTheme="majorHAnsi" w:cstheme="majorHAnsi"/>
          <w:b/>
          <w:bCs/>
          <w:color w:val="000000" w:themeColor="text1"/>
        </w:rPr>
      </w:pPr>
      <w:r w:rsidRPr="00B07D16">
        <w:rPr>
          <w:rFonts w:asciiTheme="majorHAnsi" w:hAnsiTheme="majorHAnsi" w:cstheme="majorHAnsi"/>
          <w:b/>
          <w:bCs/>
          <w:color w:val="000000" w:themeColor="text1"/>
        </w:rPr>
        <w:t>On Student Mastery</w:t>
      </w:r>
      <w:r>
        <w:rPr>
          <w:rFonts w:asciiTheme="majorHAnsi" w:hAnsiTheme="majorHAnsi" w:cstheme="majorHAnsi"/>
          <w:b/>
          <w:bCs/>
          <w:color w:val="000000" w:themeColor="text1"/>
        </w:rPr>
        <w:t xml:space="preserve"> (EOPO1)</w:t>
      </w:r>
    </w:p>
    <w:p w14:paraId="63842BDC" w14:textId="698F0C6D" w:rsidR="008D0CAD" w:rsidRDefault="008D0CAD" w:rsidP="002320B3">
      <w:pPr>
        <w:pStyle w:val="NormalWeb"/>
        <w:spacing w:line="360" w:lineRule="auto"/>
        <w:rPr>
          <w:rFonts w:asciiTheme="majorHAnsi" w:hAnsiTheme="majorHAnsi" w:cstheme="majorHAnsi"/>
          <w:iCs/>
          <w:color w:val="000000"/>
        </w:rPr>
      </w:pPr>
      <w:r>
        <w:rPr>
          <w:rFonts w:asciiTheme="majorHAnsi" w:hAnsiTheme="majorHAnsi" w:cstheme="majorHAnsi"/>
          <w:iCs/>
          <w:color w:val="000000"/>
        </w:rPr>
        <w:t>The limited data obtained from schools precluded the planned difference-in-difference panel r</w:t>
      </w:r>
      <w:r w:rsidRPr="00807BA7">
        <w:rPr>
          <w:rFonts w:asciiTheme="majorHAnsi" w:hAnsiTheme="majorHAnsi" w:cstheme="majorHAnsi"/>
          <w:iCs/>
          <w:color w:val="000000"/>
        </w:rPr>
        <w:t xml:space="preserve">egression </w:t>
      </w:r>
      <w:r>
        <w:rPr>
          <w:rFonts w:asciiTheme="majorHAnsi" w:hAnsiTheme="majorHAnsi" w:cstheme="majorHAnsi"/>
          <w:iCs/>
          <w:color w:val="000000"/>
        </w:rPr>
        <w:t>analysis (Panel DID Regression), which would have enabled generalisation of findings on learning outcomes to all the BEST Program supported schools. The results, therefore, only apply to the 25 schools for which full data sets were available.</w:t>
      </w:r>
      <w:r w:rsidR="00D434EB">
        <w:rPr>
          <w:rFonts w:asciiTheme="majorHAnsi" w:hAnsiTheme="majorHAnsi" w:cstheme="majorHAnsi"/>
          <w:iCs/>
          <w:color w:val="000000"/>
        </w:rPr>
        <w:t xml:space="preserve"> </w:t>
      </w:r>
      <w:r>
        <w:rPr>
          <w:rFonts w:asciiTheme="majorHAnsi" w:hAnsiTheme="majorHAnsi" w:cstheme="majorHAnsi"/>
          <w:iCs/>
          <w:color w:val="000000"/>
        </w:rPr>
        <w:t>The results revealed</w:t>
      </w:r>
      <w:r w:rsidRPr="00807BA7">
        <w:rPr>
          <w:rFonts w:asciiTheme="majorHAnsi" w:hAnsiTheme="majorHAnsi" w:cstheme="majorHAnsi"/>
          <w:iCs/>
          <w:color w:val="000000"/>
        </w:rPr>
        <w:t xml:space="preserve"> that the overall effect of the BEST Program interventions was not statistically significant</w:t>
      </w:r>
      <w:r>
        <w:rPr>
          <w:rFonts w:asciiTheme="majorHAnsi" w:hAnsiTheme="majorHAnsi" w:cstheme="majorHAnsi"/>
          <w:iCs/>
          <w:color w:val="000000"/>
        </w:rPr>
        <w:t xml:space="preserve"> in increasing average grades</w:t>
      </w:r>
      <w:r w:rsidRPr="00807BA7">
        <w:rPr>
          <w:rFonts w:asciiTheme="majorHAnsi" w:hAnsiTheme="majorHAnsi" w:cstheme="majorHAnsi"/>
          <w:iCs/>
          <w:color w:val="000000"/>
        </w:rPr>
        <w:t xml:space="preserve"> </w:t>
      </w:r>
      <w:r>
        <w:rPr>
          <w:rFonts w:asciiTheme="majorHAnsi" w:hAnsiTheme="majorHAnsi" w:cstheme="majorHAnsi"/>
          <w:iCs/>
          <w:color w:val="000000"/>
        </w:rPr>
        <w:t>of students</w:t>
      </w:r>
      <w:r>
        <w:rPr>
          <w:rStyle w:val="FootnoteReference"/>
          <w:rFonts w:asciiTheme="majorHAnsi" w:eastAsia="Arial Unicode MS" w:hAnsiTheme="majorHAnsi" w:cstheme="majorHAnsi"/>
          <w:iCs/>
          <w:color w:val="000000"/>
        </w:rPr>
        <w:footnoteReference w:id="3"/>
      </w:r>
      <w:r>
        <w:rPr>
          <w:rFonts w:asciiTheme="majorHAnsi" w:hAnsiTheme="majorHAnsi" w:cstheme="majorHAnsi"/>
          <w:iCs/>
          <w:color w:val="000000"/>
        </w:rPr>
        <w:t xml:space="preserve"> </w:t>
      </w:r>
      <w:r w:rsidRPr="00807BA7">
        <w:rPr>
          <w:rFonts w:asciiTheme="majorHAnsi" w:hAnsiTheme="majorHAnsi" w:cstheme="majorHAnsi"/>
          <w:iCs/>
          <w:color w:val="000000"/>
        </w:rPr>
        <w:t>across all year levels</w:t>
      </w:r>
      <w:r>
        <w:rPr>
          <w:rFonts w:asciiTheme="majorHAnsi" w:hAnsiTheme="majorHAnsi" w:cstheme="majorHAnsi"/>
          <w:iCs/>
          <w:color w:val="000000"/>
        </w:rPr>
        <w:t>.</w:t>
      </w:r>
      <w:r w:rsidR="00D434EB">
        <w:rPr>
          <w:rFonts w:asciiTheme="majorHAnsi" w:hAnsiTheme="majorHAnsi" w:cstheme="majorHAnsi"/>
          <w:iCs/>
          <w:color w:val="000000"/>
        </w:rPr>
        <w:t xml:space="preserve"> </w:t>
      </w:r>
      <w:r>
        <w:rPr>
          <w:rFonts w:asciiTheme="majorHAnsi" w:hAnsiTheme="majorHAnsi" w:cstheme="majorHAnsi"/>
          <w:iCs/>
          <w:color w:val="000000"/>
        </w:rPr>
        <w:t>Stated differently</w:t>
      </w:r>
      <w:r w:rsidRPr="00807BA7">
        <w:rPr>
          <w:rFonts w:asciiTheme="majorHAnsi" w:hAnsiTheme="majorHAnsi" w:cstheme="majorHAnsi"/>
          <w:iCs/>
          <w:color w:val="000000"/>
        </w:rPr>
        <w:t>, there was no</w:t>
      </w:r>
      <w:r>
        <w:rPr>
          <w:rFonts w:asciiTheme="majorHAnsi" w:hAnsiTheme="majorHAnsi" w:cstheme="majorHAnsi"/>
          <w:iCs/>
          <w:color w:val="000000"/>
        </w:rPr>
        <w:t>t</w:t>
      </w:r>
      <w:r w:rsidRPr="00807BA7">
        <w:rPr>
          <w:rFonts w:asciiTheme="majorHAnsi" w:hAnsiTheme="majorHAnsi" w:cstheme="majorHAnsi"/>
          <w:iCs/>
          <w:color w:val="000000"/>
        </w:rPr>
        <w:t xml:space="preserve"> sufficient evidence to say that the BEST Program interventions improved the average grades of students in </w:t>
      </w:r>
      <w:r>
        <w:rPr>
          <w:rFonts w:asciiTheme="majorHAnsi" w:hAnsiTheme="majorHAnsi" w:cstheme="majorHAnsi"/>
          <w:iCs/>
          <w:color w:val="000000"/>
        </w:rPr>
        <w:t>BEST Program supported schools.</w:t>
      </w:r>
      <w:r w:rsidR="00D434EB">
        <w:rPr>
          <w:rFonts w:asciiTheme="majorHAnsi" w:hAnsiTheme="majorHAnsi" w:cstheme="majorHAnsi"/>
          <w:iCs/>
          <w:color w:val="000000"/>
        </w:rPr>
        <w:t xml:space="preserve"> </w:t>
      </w:r>
      <w:r>
        <w:rPr>
          <w:rFonts w:asciiTheme="majorHAnsi" w:hAnsiTheme="majorHAnsi" w:cstheme="majorHAnsi"/>
          <w:iCs/>
          <w:color w:val="000000"/>
        </w:rPr>
        <w:t>The main reason cited was the recency of program interventions, which did not allow time for transformation to occur.</w:t>
      </w:r>
      <w:r>
        <w:rPr>
          <w:rStyle w:val="FootnoteReference"/>
          <w:rFonts w:asciiTheme="majorHAnsi" w:eastAsia="Arial Unicode MS" w:hAnsiTheme="majorHAnsi" w:cstheme="majorHAnsi"/>
          <w:iCs/>
          <w:color w:val="000000"/>
        </w:rPr>
        <w:footnoteReference w:id="4"/>
      </w:r>
    </w:p>
    <w:p w14:paraId="60937927" w14:textId="2FDCA118" w:rsidR="008D0CAD" w:rsidRDefault="008D0CAD" w:rsidP="002320B3">
      <w:pPr>
        <w:spacing w:before="100" w:beforeAutospacing="1" w:after="100" w:afterAutospacing="1" w:line="360" w:lineRule="auto"/>
        <w:rPr>
          <w:rFonts w:asciiTheme="majorHAnsi" w:hAnsiTheme="majorHAnsi" w:cstheme="majorHAnsi"/>
          <w:color w:val="000000" w:themeColor="text1"/>
        </w:rPr>
      </w:pPr>
      <w:r w:rsidRPr="00146E21">
        <w:rPr>
          <w:rFonts w:asciiTheme="majorHAnsi" w:hAnsiTheme="majorHAnsi" w:cstheme="majorHAnsi"/>
          <w:color w:val="000000" w:themeColor="text1"/>
        </w:rPr>
        <w:t xml:space="preserve">The EOPE Study found </w:t>
      </w:r>
      <w:r>
        <w:rPr>
          <w:rFonts w:asciiTheme="majorHAnsi" w:hAnsiTheme="majorHAnsi" w:cstheme="majorHAnsi"/>
          <w:color w:val="000000" w:themeColor="text1"/>
        </w:rPr>
        <w:t>that all the BEST Program interventions were relevant in the context of the Philippine education sector as well as in terms of the development strategies of the Australian Government.</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 </w:t>
      </w:r>
    </w:p>
    <w:p w14:paraId="149BAC08" w14:textId="72FD4236" w:rsidR="008D0CAD" w:rsidRPr="00146E21" w:rsidRDefault="008D0CAD" w:rsidP="002320B3">
      <w:pPr>
        <w:spacing w:before="100" w:beforeAutospacing="1" w:after="100" w:afterAutospacing="1" w:line="360" w:lineRule="auto"/>
        <w:rPr>
          <w:rFonts w:asciiTheme="majorHAnsi" w:hAnsiTheme="majorHAnsi" w:cstheme="majorHAnsi"/>
          <w:color w:val="000000" w:themeColor="text1"/>
        </w:rPr>
      </w:pPr>
      <w:r w:rsidRPr="00146E21">
        <w:rPr>
          <w:rFonts w:asciiTheme="majorHAnsi" w:hAnsiTheme="majorHAnsi" w:cstheme="majorHAnsi"/>
          <w:color w:val="000000" w:themeColor="text1"/>
        </w:rPr>
        <w:t>The EOPE Study found no significant evidence of the attainment of EOPOs 1 and 2.</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However, there was some </w:t>
      </w:r>
      <w:r w:rsidRPr="00146E21">
        <w:rPr>
          <w:rFonts w:asciiTheme="majorHAnsi" w:hAnsiTheme="majorHAnsi" w:cstheme="majorHAnsi"/>
          <w:color w:val="000000" w:themeColor="text1"/>
        </w:rPr>
        <w:t>evidence of the attainment of EOPO</w:t>
      </w:r>
      <w:r>
        <w:rPr>
          <w:rFonts w:asciiTheme="majorHAnsi" w:hAnsiTheme="majorHAnsi" w:cstheme="majorHAnsi"/>
          <w:color w:val="000000" w:themeColor="text1"/>
        </w:rPr>
        <w:t xml:space="preserve"> 3 (refer also to Table 12).</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Moreover, while evidence of the attainment of the EOPOs and Intermediate Outcomes were not significant, there were several corroborations of attainment of Immediate Outcomes (refer also to Table 13). </w:t>
      </w:r>
      <w:r>
        <w:rPr>
          <w:rFonts w:asciiTheme="majorHAnsi" w:hAnsiTheme="majorHAnsi" w:cstheme="majorHAnsi"/>
          <w:bCs/>
          <w:color w:val="000000" w:themeColor="text1"/>
        </w:rPr>
        <w:t>However, some interventions contributed more than others to program outcomes, and some interventions may be more sustainable than others.</w:t>
      </w:r>
    </w:p>
    <w:p w14:paraId="332360BC" w14:textId="78E1FF62" w:rsidR="008D0CAD" w:rsidRDefault="008D0CAD" w:rsidP="002320B3">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color w:val="000000" w:themeColor="text1"/>
        </w:rPr>
        <w:t>Curriculum and Assessment was found to be the most Highly Relevant Program intervention leading to improvement of student mastery of the curriculum.</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Sustainability was also highest on this intervention.</w:t>
      </w:r>
    </w:p>
    <w:p w14:paraId="6F42DE1E" w14:textId="45F4754A" w:rsidR="008D0CAD" w:rsidRPr="004C1A93" w:rsidRDefault="008D0CAD" w:rsidP="002320B3">
      <w:pPr>
        <w:pStyle w:val="NormalWeb"/>
        <w:spacing w:line="360" w:lineRule="auto"/>
        <w:rPr>
          <w:rFonts w:asciiTheme="majorHAnsi" w:hAnsiTheme="majorHAnsi" w:cstheme="majorHAnsi"/>
          <w:bCs/>
          <w:color w:val="000000" w:themeColor="text1"/>
        </w:rPr>
      </w:pPr>
      <w:r w:rsidRPr="004C1A93">
        <w:rPr>
          <w:rFonts w:asciiTheme="majorHAnsi" w:hAnsiTheme="majorHAnsi" w:cstheme="majorHAnsi"/>
          <w:bCs/>
          <w:color w:val="000000" w:themeColor="text1"/>
        </w:rPr>
        <w:t xml:space="preserve">The EOPE Study found that reforms intended to improve the capacity of teachers to </w:t>
      </w:r>
      <w:r>
        <w:rPr>
          <w:rFonts w:asciiTheme="majorHAnsi" w:hAnsiTheme="majorHAnsi" w:cstheme="majorHAnsi"/>
          <w:bCs/>
          <w:color w:val="000000" w:themeColor="text1"/>
        </w:rPr>
        <w:t>support</w:t>
      </w:r>
      <w:r w:rsidRPr="004C1A93">
        <w:rPr>
          <w:rFonts w:asciiTheme="majorHAnsi" w:hAnsiTheme="majorHAnsi" w:cstheme="majorHAnsi"/>
          <w:bCs/>
          <w:color w:val="000000" w:themeColor="text1"/>
        </w:rPr>
        <w:t xml:space="preserve"> students’ mastery of the curriculum demonstrated very high potential but these were tempered by the manner with which the </w:t>
      </w:r>
      <w:r>
        <w:rPr>
          <w:rFonts w:asciiTheme="majorHAnsi" w:hAnsiTheme="majorHAnsi" w:cstheme="majorHAnsi"/>
          <w:bCs/>
          <w:color w:val="000000" w:themeColor="text1"/>
        </w:rPr>
        <w:t xml:space="preserve">teacher training was delivered through a </w:t>
      </w:r>
      <w:r w:rsidRPr="004C1A93">
        <w:rPr>
          <w:rFonts w:asciiTheme="majorHAnsi" w:hAnsiTheme="majorHAnsi" w:cstheme="majorHAnsi"/>
          <w:bCs/>
          <w:color w:val="000000" w:themeColor="text1"/>
        </w:rPr>
        <w:t>cascade</w:t>
      </w:r>
      <w:r>
        <w:rPr>
          <w:rFonts w:asciiTheme="majorHAnsi" w:hAnsiTheme="majorHAnsi" w:cstheme="majorHAnsi"/>
          <w:bCs/>
          <w:color w:val="000000" w:themeColor="text1"/>
        </w:rPr>
        <w:t xml:space="preserve"> mo</w:t>
      </w:r>
      <w:r w:rsidRPr="004C1A93">
        <w:rPr>
          <w:rFonts w:asciiTheme="majorHAnsi" w:hAnsiTheme="majorHAnsi" w:cstheme="majorHAnsi"/>
          <w:bCs/>
          <w:color w:val="000000" w:themeColor="text1"/>
        </w:rPr>
        <w:t>d</w:t>
      </w:r>
      <w:r>
        <w:rPr>
          <w:rFonts w:asciiTheme="majorHAnsi" w:hAnsiTheme="majorHAnsi" w:cstheme="majorHAnsi"/>
          <w:bCs/>
          <w:color w:val="000000" w:themeColor="text1"/>
        </w:rPr>
        <w:t>el</w:t>
      </w:r>
      <w:r w:rsidRPr="004C1A93">
        <w:rPr>
          <w:rFonts w:asciiTheme="majorHAnsi" w:hAnsiTheme="majorHAnsi" w:cstheme="majorHAnsi"/>
          <w:bCs/>
          <w:color w:val="000000" w:themeColor="text1"/>
        </w:rPr>
        <w:t xml:space="preserve">, reducing its efficacy. The experience of the </w:t>
      </w:r>
      <w:r>
        <w:rPr>
          <w:rFonts w:asciiTheme="majorHAnsi" w:hAnsiTheme="majorHAnsi" w:cstheme="majorHAnsi"/>
          <w:bCs/>
          <w:color w:val="000000" w:themeColor="text1"/>
        </w:rPr>
        <w:t>‘</w:t>
      </w:r>
      <w:r w:rsidRPr="004C1A93">
        <w:rPr>
          <w:rFonts w:asciiTheme="majorHAnsi" w:hAnsiTheme="majorHAnsi" w:cstheme="majorHAnsi"/>
          <w:bCs/>
          <w:color w:val="000000" w:themeColor="text1"/>
        </w:rPr>
        <w:t>cascading</w:t>
      </w:r>
      <w:r>
        <w:rPr>
          <w:rFonts w:asciiTheme="majorHAnsi" w:hAnsiTheme="majorHAnsi" w:cstheme="majorHAnsi"/>
          <w:bCs/>
          <w:color w:val="000000" w:themeColor="text1"/>
        </w:rPr>
        <w:t>’</w:t>
      </w:r>
      <w:r w:rsidRPr="004C1A93">
        <w:rPr>
          <w:rFonts w:asciiTheme="majorHAnsi" w:hAnsiTheme="majorHAnsi" w:cstheme="majorHAnsi"/>
          <w:bCs/>
          <w:color w:val="000000" w:themeColor="text1"/>
        </w:rPr>
        <w:t xml:space="preserve"> of the PPST-aligned </w:t>
      </w:r>
      <w:r>
        <w:rPr>
          <w:rFonts w:asciiTheme="majorHAnsi" w:hAnsiTheme="majorHAnsi" w:cstheme="majorHAnsi"/>
          <w:bCs/>
          <w:color w:val="000000" w:themeColor="text1"/>
        </w:rPr>
        <w:t>Results-based Performance Management System (</w:t>
      </w:r>
      <w:r w:rsidRPr="004C1A93">
        <w:rPr>
          <w:rFonts w:asciiTheme="majorHAnsi" w:hAnsiTheme="majorHAnsi" w:cstheme="majorHAnsi"/>
          <w:bCs/>
          <w:color w:val="000000" w:themeColor="text1"/>
        </w:rPr>
        <w:t>RPMS</w:t>
      </w:r>
      <w:r>
        <w:rPr>
          <w:rFonts w:asciiTheme="majorHAnsi" w:hAnsiTheme="majorHAnsi" w:cstheme="majorHAnsi"/>
          <w:bCs/>
          <w:color w:val="000000" w:themeColor="text1"/>
        </w:rPr>
        <w:t>)</w:t>
      </w:r>
      <w:r w:rsidRPr="004C1A93">
        <w:rPr>
          <w:rFonts w:asciiTheme="majorHAnsi" w:hAnsiTheme="majorHAnsi" w:cstheme="majorHAnsi"/>
          <w:bCs/>
          <w:color w:val="000000" w:themeColor="text1"/>
        </w:rPr>
        <w:t xml:space="preserve"> tools and the application of </w:t>
      </w:r>
      <w:r>
        <w:rPr>
          <w:rFonts w:asciiTheme="majorHAnsi" w:hAnsiTheme="majorHAnsi" w:cstheme="majorHAnsi"/>
          <w:bCs/>
          <w:color w:val="000000" w:themeColor="text1"/>
        </w:rPr>
        <w:t>Learning Acti</w:t>
      </w:r>
      <w:r w:rsidR="005805AC">
        <w:rPr>
          <w:rFonts w:asciiTheme="majorHAnsi" w:hAnsiTheme="majorHAnsi" w:cstheme="majorHAnsi"/>
          <w:bCs/>
          <w:color w:val="000000" w:themeColor="text1"/>
        </w:rPr>
        <w:t>o</w:t>
      </w:r>
      <w:r>
        <w:rPr>
          <w:rFonts w:asciiTheme="majorHAnsi" w:hAnsiTheme="majorHAnsi" w:cstheme="majorHAnsi"/>
          <w:bCs/>
          <w:color w:val="000000" w:themeColor="text1"/>
        </w:rPr>
        <w:t>n Cells (</w:t>
      </w:r>
      <w:r w:rsidRPr="004C1A93">
        <w:rPr>
          <w:rFonts w:asciiTheme="majorHAnsi" w:hAnsiTheme="majorHAnsi" w:cstheme="majorHAnsi"/>
          <w:bCs/>
          <w:color w:val="000000" w:themeColor="text1"/>
        </w:rPr>
        <w:t>LACs</w:t>
      </w:r>
      <w:r>
        <w:rPr>
          <w:rFonts w:asciiTheme="majorHAnsi" w:hAnsiTheme="majorHAnsi" w:cstheme="majorHAnsi"/>
          <w:bCs/>
          <w:color w:val="000000" w:themeColor="text1"/>
        </w:rPr>
        <w:t>) also</w:t>
      </w:r>
      <w:r w:rsidRPr="004C1A93">
        <w:rPr>
          <w:rFonts w:asciiTheme="majorHAnsi" w:hAnsiTheme="majorHAnsi" w:cstheme="majorHAnsi"/>
          <w:bCs/>
          <w:color w:val="000000" w:themeColor="text1"/>
        </w:rPr>
        <w:t xml:space="preserve"> both </w:t>
      </w:r>
      <w:r>
        <w:rPr>
          <w:rFonts w:asciiTheme="majorHAnsi" w:hAnsiTheme="majorHAnsi" w:cstheme="majorHAnsi"/>
          <w:bCs/>
          <w:color w:val="000000" w:themeColor="text1"/>
        </w:rPr>
        <w:t>illustrate</w:t>
      </w:r>
      <w:r w:rsidRPr="004C1A93">
        <w:rPr>
          <w:rFonts w:asciiTheme="majorHAnsi" w:hAnsiTheme="majorHAnsi" w:cstheme="majorHAnsi"/>
          <w:bCs/>
          <w:color w:val="000000" w:themeColor="text1"/>
        </w:rPr>
        <w:t xml:space="preserve"> this point. </w:t>
      </w:r>
    </w:p>
    <w:p w14:paraId="73500C39" w14:textId="77777777" w:rsidR="008D0CAD" w:rsidRPr="004C1A93" w:rsidRDefault="008D0CAD" w:rsidP="002320B3">
      <w:pPr>
        <w:pStyle w:val="NormalWeb"/>
        <w:spacing w:line="360" w:lineRule="auto"/>
        <w:rPr>
          <w:rFonts w:asciiTheme="majorHAnsi" w:hAnsiTheme="majorHAnsi" w:cstheme="majorHAnsi"/>
          <w:bCs/>
          <w:color w:val="000000" w:themeColor="text1"/>
        </w:rPr>
      </w:pPr>
      <w:r w:rsidRPr="004C1A93">
        <w:rPr>
          <w:rFonts w:asciiTheme="majorHAnsi" w:hAnsiTheme="majorHAnsi" w:cstheme="majorHAnsi"/>
          <w:bCs/>
          <w:color w:val="000000" w:themeColor="text1"/>
        </w:rPr>
        <w:t xml:space="preserve">In contrast, the EOPE Study found that the </w:t>
      </w:r>
      <w:r>
        <w:rPr>
          <w:rFonts w:asciiTheme="majorHAnsi" w:hAnsiTheme="majorHAnsi" w:cstheme="majorHAnsi"/>
          <w:bCs/>
          <w:color w:val="000000" w:themeColor="text1"/>
        </w:rPr>
        <w:t xml:space="preserve">PPST-aligned </w:t>
      </w:r>
      <w:r w:rsidRPr="004C1A93">
        <w:rPr>
          <w:rFonts w:asciiTheme="majorHAnsi" w:hAnsiTheme="majorHAnsi" w:cstheme="majorHAnsi"/>
          <w:bCs/>
          <w:color w:val="000000" w:themeColor="text1"/>
        </w:rPr>
        <w:t>Classroom Observation Tool</w:t>
      </w:r>
      <w:r>
        <w:rPr>
          <w:rFonts w:asciiTheme="majorHAnsi" w:hAnsiTheme="majorHAnsi" w:cstheme="majorHAnsi"/>
          <w:bCs/>
          <w:color w:val="000000" w:themeColor="text1"/>
        </w:rPr>
        <w:t xml:space="preserve"> introduced through the BEST program</w:t>
      </w:r>
      <w:r w:rsidRPr="004C1A93">
        <w:rPr>
          <w:rFonts w:asciiTheme="majorHAnsi" w:hAnsiTheme="majorHAnsi" w:cstheme="majorHAnsi"/>
          <w:bCs/>
          <w:color w:val="000000" w:themeColor="text1"/>
        </w:rPr>
        <w:t xml:space="preserve"> was a reliable tool for assessing teacher performance in the classroom.</w:t>
      </w:r>
    </w:p>
    <w:p w14:paraId="60F1D320" w14:textId="110F56DA" w:rsidR="008D0CAD" w:rsidRPr="004C1A93" w:rsidRDefault="008D0CAD" w:rsidP="002320B3">
      <w:pPr>
        <w:pStyle w:val="NormalWeb"/>
        <w:spacing w:line="360" w:lineRule="auto"/>
        <w:rPr>
          <w:rFonts w:asciiTheme="majorHAnsi" w:hAnsiTheme="majorHAnsi" w:cstheme="majorHAnsi"/>
          <w:bCs/>
          <w:color w:val="000000" w:themeColor="text1"/>
        </w:rPr>
      </w:pPr>
      <w:r w:rsidRPr="004C1A93">
        <w:rPr>
          <w:rFonts w:asciiTheme="majorHAnsi" w:hAnsiTheme="majorHAnsi" w:cstheme="majorHAnsi"/>
          <w:bCs/>
          <w:color w:val="000000" w:themeColor="text1"/>
        </w:rPr>
        <w:t>The rush to drive reforms down to school</w:t>
      </w:r>
      <w:r>
        <w:rPr>
          <w:rFonts w:asciiTheme="majorHAnsi" w:hAnsiTheme="majorHAnsi" w:cstheme="majorHAnsi"/>
          <w:bCs/>
          <w:color w:val="000000" w:themeColor="text1"/>
        </w:rPr>
        <w:t xml:space="preserve"> level</w:t>
      </w:r>
      <w:r w:rsidRPr="004C1A93">
        <w:rPr>
          <w:rFonts w:asciiTheme="majorHAnsi" w:hAnsiTheme="majorHAnsi" w:cstheme="majorHAnsi"/>
          <w:bCs/>
          <w:color w:val="000000" w:themeColor="text1"/>
        </w:rPr>
        <w:t xml:space="preserve"> appeared to have been a response to a recommendation of the I</w:t>
      </w:r>
      <w:r>
        <w:rPr>
          <w:rFonts w:asciiTheme="majorHAnsi" w:hAnsiTheme="majorHAnsi" w:cstheme="majorHAnsi"/>
          <w:bCs/>
          <w:color w:val="000000" w:themeColor="text1"/>
        </w:rPr>
        <w:t xml:space="preserve">mplementation </w:t>
      </w:r>
      <w:r w:rsidRPr="004C1A93">
        <w:rPr>
          <w:rFonts w:asciiTheme="majorHAnsi" w:hAnsiTheme="majorHAnsi" w:cstheme="majorHAnsi"/>
          <w:bCs/>
          <w:color w:val="000000" w:themeColor="text1"/>
        </w:rPr>
        <w:t>P</w:t>
      </w:r>
      <w:r>
        <w:rPr>
          <w:rFonts w:asciiTheme="majorHAnsi" w:hAnsiTheme="majorHAnsi" w:cstheme="majorHAnsi"/>
          <w:bCs/>
          <w:color w:val="000000" w:themeColor="text1"/>
        </w:rPr>
        <w:t xml:space="preserve">rogress </w:t>
      </w:r>
      <w:r w:rsidRPr="004C1A93">
        <w:rPr>
          <w:rFonts w:asciiTheme="majorHAnsi" w:hAnsiTheme="majorHAnsi" w:cstheme="majorHAnsi"/>
          <w:bCs/>
          <w:color w:val="000000" w:themeColor="text1"/>
        </w:rPr>
        <w:t>R</w:t>
      </w:r>
      <w:r>
        <w:rPr>
          <w:rFonts w:asciiTheme="majorHAnsi" w:hAnsiTheme="majorHAnsi" w:cstheme="majorHAnsi"/>
          <w:bCs/>
          <w:color w:val="000000" w:themeColor="text1"/>
        </w:rPr>
        <w:t>eview undertaken on the BEST program in 2017</w:t>
      </w:r>
      <w:r w:rsidRPr="004C1A93">
        <w:rPr>
          <w:rFonts w:asciiTheme="majorHAnsi" w:hAnsiTheme="majorHAnsi" w:cstheme="majorHAnsi"/>
          <w:bCs/>
          <w:color w:val="000000" w:themeColor="text1"/>
        </w:rPr>
        <w:t xml:space="preserve">. However, </w:t>
      </w:r>
      <w:r>
        <w:rPr>
          <w:rFonts w:asciiTheme="majorHAnsi" w:hAnsiTheme="majorHAnsi" w:cstheme="majorHAnsi"/>
          <w:bCs/>
          <w:color w:val="000000" w:themeColor="text1"/>
        </w:rPr>
        <w:t>the shift to school-level implementation</w:t>
      </w:r>
      <w:r w:rsidRPr="004C1A93">
        <w:rPr>
          <w:rFonts w:asciiTheme="majorHAnsi" w:hAnsiTheme="majorHAnsi" w:cstheme="majorHAnsi"/>
          <w:bCs/>
          <w:color w:val="000000" w:themeColor="text1"/>
        </w:rPr>
        <w:t xml:space="preserve"> might have been too sudden (downloading of interventions peaked in 2018), </w:t>
      </w:r>
      <w:r>
        <w:rPr>
          <w:rFonts w:asciiTheme="majorHAnsi" w:hAnsiTheme="majorHAnsi" w:cstheme="majorHAnsi"/>
          <w:bCs/>
          <w:color w:val="000000" w:themeColor="text1"/>
        </w:rPr>
        <w:t>and</w:t>
      </w:r>
      <w:r w:rsidRPr="004C1A93">
        <w:rPr>
          <w:rFonts w:asciiTheme="majorHAnsi" w:hAnsiTheme="majorHAnsi" w:cstheme="majorHAnsi"/>
          <w:bCs/>
          <w:color w:val="000000" w:themeColor="text1"/>
        </w:rPr>
        <w:t xml:space="preserve"> overwhelmed principals/school heads and teachers.</w:t>
      </w:r>
      <w:r w:rsidR="00D434EB">
        <w:rPr>
          <w:rFonts w:asciiTheme="majorHAnsi" w:hAnsiTheme="majorHAnsi" w:cstheme="majorHAnsi"/>
          <w:bCs/>
          <w:color w:val="000000" w:themeColor="text1"/>
        </w:rPr>
        <w:t xml:space="preserve"> </w:t>
      </w:r>
      <w:r w:rsidRPr="004C1A93">
        <w:rPr>
          <w:rFonts w:asciiTheme="majorHAnsi" w:hAnsiTheme="majorHAnsi" w:cstheme="majorHAnsi"/>
          <w:bCs/>
          <w:color w:val="000000" w:themeColor="text1"/>
        </w:rPr>
        <w:t>The cost of this rush was born</w:t>
      </w:r>
      <w:r>
        <w:rPr>
          <w:rFonts w:asciiTheme="majorHAnsi" w:hAnsiTheme="majorHAnsi" w:cstheme="majorHAnsi"/>
          <w:bCs/>
          <w:color w:val="000000" w:themeColor="text1"/>
        </w:rPr>
        <w:t>e</w:t>
      </w:r>
      <w:r w:rsidRPr="004C1A93">
        <w:rPr>
          <w:rFonts w:asciiTheme="majorHAnsi" w:hAnsiTheme="majorHAnsi" w:cstheme="majorHAnsi"/>
          <w:bCs/>
          <w:color w:val="000000" w:themeColor="text1"/>
        </w:rPr>
        <w:t xml:space="preserve"> by the students.</w:t>
      </w:r>
    </w:p>
    <w:p w14:paraId="069E9975" w14:textId="2C541E77" w:rsidR="007846B1" w:rsidRDefault="008D0CAD" w:rsidP="007846B1">
      <w:pPr>
        <w:pStyle w:val="NormalWeb"/>
        <w:spacing w:line="360" w:lineRule="auto"/>
        <w:rPr>
          <w:rFonts w:asciiTheme="majorHAnsi" w:hAnsiTheme="majorHAnsi" w:cstheme="majorHAnsi"/>
          <w:bCs/>
          <w:color w:val="000000" w:themeColor="text1"/>
        </w:rPr>
      </w:pPr>
      <w:r w:rsidRPr="004C1A93">
        <w:rPr>
          <w:rFonts w:asciiTheme="majorHAnsi" w:hAnsiTheme="majorHAnsi" w:cstheme="majorHAnsi"/>
          <w:bCs/>
          <w:color w:val="000000" w:themeColor="text1"/>
        </w:rPr>
        <w:t xml:space="preserve">The EOPE Study also found that </w:t>
      </w:r>
      <w:r>
        <w:rPr>
          <w:rFonts w:asciiTheme="majorHAnsi" w:hAnsiTheme="majorHAnsi" w:cstheme="majorHAnsi"/>
          <w:bCs/>
          <w:color w:val="000000" w:themeColor="text1"/>
        </w:rPr>
        <w:t xml:space="preserve">the BEST program made significant contributions to development of teaching materials, namely the </w:t>
      </w:r>
      <w:r w:rsidRPr="004C1A93">
        <w:rPr>
          <w:rFonts w:asciiTheme="majorHAnsi" w:hAnsiTheme="majorHAnsi" w:cstheme="majorHAnsi"/>
          <w:bCs/>
          <w:color w:val="000000" w:themeColor="text1"/>
        </w:rPr>
        <w:t>12 curriculum guides and the classroom assessment</w:t>
      </w:r>
      <w:r>
        <w:rPr>
          <w:rFonts w:asciiTheme="majorHAnsi" w:hAnsiTheme="majorHAnsi" w:cstheme="majorHAnsi"/>
          <w:bCs/>
          <w:color w:val="000000" w:themeColor="text1"/>
        </w:rPr>
        <w:t xml:space="preserve"> tool</w:t>
      </w:r>
      <w:r w:rsidRPr="004C1A93">
        <w:rPr>
          <w:rFonts w:asciiTheme="majorHAnsi" w:hAnsiTheme="majorHAnsi" w:cstheme="majorHAnsi"/>
          <w:bCs/>
          <w:color w:val="000000" w:themeColor="text1"/>
        </w:rPr>
        <w:t>s</w:t>
      </w:r>
      <w:r>
        <w:rPr>
          <w:rFonts w:asciiTheme="majorHAnsi" w:hAnsiTheme="majorHAnsi" w:cstheme="majorHAnsi"/>
          <w:bCs/>
          <w:color w:val="000000" w:themeColor="text1"/>
        </w:rPr>
        <w:t>.</w:t>
      </w:r>
      <w:r w:rsidR="00D434EB">
        <w:rPr>
          <w:rFonts w:asciiTheme="majorHAnsi" w:hAnsiTheme="majorHAnsi" w:cstheme="majorHAnsi"/>
          <w:bCs/>
          <w:color w:val="000000" w:themeColor="text1"/>
        </w:rPr>
        <w:t xml:space="preserve"> </w:t>
      </w:r>
      <w:r>
        <w:rPr>
          <w:rFonts w:asciiTheme="majorHAnsi" w:hAnsiTheme="majorHAnsi" w:cstheme="majorHAnsi"/>
          <w:bCs/>
          <w:color w:val="000000" w:themeColor="text1"/>
        </w:rPr>
        <w:t xml:space="preserve">However, </w:t>
      </w:r>
      <w:r w:rsidRPr="004C1A93">
        <w:rPr>
          <w:rFonts w:asciiTheme="majorHAnsi" w:hAnsiTheme="majorHAnsi" w:cstheme="majorHAnsi"/>
          <w:bCs/>
          <w:color w:val="000000" w:themeColor="text1"/>
        </w:rPr>
        <w:t>some of the teaching and learning materials were not widely used simply because of the high cost i</w:t>
      </w:r>
      <w:r>
        <w:rPr>
          <w:rFonts w:asciiTheme="majorHAnsi" w:hAnsiTheme="majorHAnsi" w:cstheme="majorHAnsi"/>
          <w:bCs/>
          <w:color w:val="000000" w:themeColor="text1"/>
        </w:rPr>
        <w:t>t</w:t>
      </w:r>
      <w:r w:rsidRPr="004C1A93">
        <w:rPr>
          <w:rFonts w:asciiTheme="majorHAnsi" w:hAnsiTheme="majorHAnsi" w:cstheme="majorHAnsi"/>
          <w:bCs/>
          <w:color w:val="000000" w:themeColor="text1"/>
        </w:rPr>
        <w:t xml:space="preserve"> exacted on teachers </w:t>
      </w:r>
      <w:r>
        <w:rPr>
          <w:rFonts w:asciiTheme="majorHAnsi" w:hAnsiTheme="majorHAnsi" w:cstheme="majorHAnsi"/>
          <w:bCs/>
          <w:color w:val="000000" w:themeColor="text1"/>
        </w:rPr>
        <w:t>(to access these from DepEd’s online</w:t>
      </w:r>
      <w:r w:rsidR="00D434EB">
        <w:rPr>
          <w:rFonts w:asciiTheme="majorHAnsi" w:hAnsiTheme="majorHAnsi" w:cstheme="majorHAnsi"/>
          <w:bCs/>
          <w:color w:val="000000" w:themeColor="text1"/>
        </w:rPr>
        <w:t xml:space="preserve"> </w:t>
      </w:r>
      <w:r>
        <w:rPr>
          <w:rFonts w:asciiTheme="majorHAnsi" w:hAnsiTheme="majorHAnsi" w:cstheme="majorHAnsi"/>
          <w:bCs/>
          <w:color w:val="000000" w:themeColor="text1"/>
        </w:rPr>
        <w:t xml:space="preserve">Learning Resources Portal) </w:t>
      </w:r>
      <w:r w:rsidRPr="004C1A93">
        <w:rPr>
          <w:rFonts w:asciiTheme="majorHAnsi" w:hAnsiTheme="majorHAnsi" w:cstheme="majorHAnsi"/>
          <w:bCs/>
          <w:color w:val="000000" w:themeColor="text1"/>
        </w:rPr>
        <w:t xml:space="preserve">and the </w:t>
      </w:r>
      <w:r>
        <w:rPr>
          <w:rFonts w:asciiTheme="majorHAnsi" w:hAnsiTheme="majorHAnsi" w:cstheme="majorHAnsi"/>
          <w:bCs/>
          <w:color w:val="000000" w:themeColor="text1"/>
        </w:rPr>
        <w:t>relative ease</w:t>
      </w:r>
      <w:r w:rsidRPr="004C1A93">
        <w:rPr>
          <w:rFonts w:asciiTheme="majorHAnsi" w:hAnsiTheme="majorHAnsi" w:cstheme="majorHAnsi"/>
          <w:bCs/>
          <w:color w:val="000000" w:themeColor="text1"/>
        </w:rPr>
        <w:t xml:space="preserve"> of</w:t>
      </w:r>
      <w:r>
        <w:rPr>
          <w:rFonts w:asciiTheme="majorHAnsi" w:hAnsiTheme="majorHAnsi" w:cstheme="majorHAnsi"/>
          <w:bCs/>
          <w:color w:val="000000" w:themeColor="text1"/>
        </w:rPr>
        <w:t xml:space="preserve"> accessing</w:t>
      </w:r>
      <w:r w:rsidRPr="004C1A93">
        <w:rPr>
          <w:rFonts w:asciiTheme="majorHAnsi" w:hAnsiTheme="majorHAnsi" w:cstheme="majorHAnsi"/>
          <w:bCs/>
          <w:color w:val="000000" w:themeColor="text1"/>
        </w:rPr>
        <w:t xml:space="preserve"> alternatives</w:t>
      </w:r>
      <w:r>
        <w:rPr>
          <w:rFonts w:asciiTheme="majorHAnsi" w:hAnsiTheme="majorHAnsi" w:cstheme="majorHAnsi"/>
          <w:bCs/>
          <w:color w:val="000000" w:themeColor="text1"/>
        </w:rPr>
        <w:t xml:space="preserve"> (from other social media platforms)</w:t>
      </w:r>
      <w:r w:rsidRPr="004C1A93">
        <w:rPr>
          <w:rFonts w:asciiTheme="majorHAnsi" w:hAnsiTheme="majorHAnsi" w:cstheme="majorHAnsi"/>
          <w:bCs/>
          <w:color w:val="000000" w:themeColor="text1"/>
        </w:rPr>
        <w:t>.</w:t>
      </w:r>
      <w:r w:rsidR="00D434EB">
        <w:rPr>
          <w:rFonts w:asciiTheme="majorHAnsi" w:hAnsiTheme="majorHAnsi" w:cstheme="majorHAnsi"/>
          <w:bCs/>
          <w:color w:val="000000" w:themeColor="text1"/>
        </w:rPr>
        <w:t xml:space="preserve"> </w:t>
      </w:r>
      <w:r w:rsidRPr="004C1A93">
        <w:rPr>
          <w:rFonts w:asciiTheme="majorHAnsi" w:hAnsiTheme="majorHAnsi" w:cstheme="majorHAnsi"/>
          <w:bCs/>
          <w:color w:val="000000" w:themeColor="text1"/>
        </w:rPr>
        <w:t>On the other hand, the K to 12 curriculum guides and the classroom assessment</w:t>
      </w:r>
      <w:r>
        <w:rPr>
          <w:rFonts w:asciiTheme="majorHAnsi" w:hAnsiTheme="majorHAnsi" w:cstheme="majorHAnsi"/>
          <w:bCs/>
          <w:color w:val="000000" w:themeColor="text1"/>
        </w:rPr>
        <w:t xml:space="preserve"> tool</w:t>
      </w:r>
      <w:r w:rsidRPr="004C1A93">
        <w:rPr>
          <w:rFonts w:asciiTheme="majorHAnsi" w:hAnsiTheme="majorHAnsi" w:cstheme="majorHAnsi"/>
          <w:bCs/>
          <w:color w:val="000000" w:themeColor="text1"/>
        </w:rPr>
        <w:t>s, which did not have substitutes</w:t>
      </w:r>
      <w:r>
        <w:rPr>
          <w:rFonts w:asciiTheme="majorHAnsi" w:hAnsiTheme="majorHAnsi" w:cstheme="majorHAnsi"/>
          <w:bCs/>
          <w:color w:val="000000" w:themeColor="text1"/>
        </w:rPr>
        <w:t>,</w:t>
      </w:r>
      <w:r w:rsidRPr="004C1A93">
        <w:rPr>
          <w:rFonts w:asciiTheme="majorHAnsi" w:hAnsiTheme="majorHAnsi" w:cstheme="majorHAnsi"/>
          <w:bCs/>
          <w:color w:val="000000" w:themeColor="text1"/>
        </w:rPr>
        <w:t xml:space="preserve"> were </w:t>
      </w:r>
      <w:r>
        <w:rPr>
          <w:rFonts w:asciiTheme="majorHAnsi" w:hAnsiTheme="majorHAnsi" w:cstheme="majorHAnsi"/>
          <w:bCs/>
          <w:color w:val="000000" w:themeColor="text1"/>
        </w:rPr>
        <w:t>widely</w:t>
      </w:r>
      <w:r w:rsidRPr="004C1A93">
        <w:rPr>
          <w:rFonts w:asciiTheme="majorHAnsi" w:hAnsiTheme="majorHAnsi" w:cstheme="majorHAnsi"/>
          <w:bCs/>
          <w:color w:val="000000" w:themeColor="text1"/>
        </w:rPr>
        <w:t xml:space="preserve"> utili</w:t>
      </w:r>
      <w:r>
        <w:rPr>
          <w:rFonts w:asciiTheme="majorHAnsi" w:hAnsiTheme="majorHAnsi" w:cstheme="majorHAnsi"/>
          <w:bCs/>
          <w:color w:val="000000" w:themeColor="text1"/>
        </w:rPr>
        <w:t>s</w:t>
      </w:r>
      <w:r w:rsidRPr="004C1A93">
        <w:rPr>
          <w:rFonts w:asciiTheme="majorHAnsi" w:hAnsiTheme="majorHAnsi" w:cstheme="majorHAnsi"/>
          <w:bCs/>
          <w:color w:val="000000" w:themeColor="text1"/>
        </w:rPr>
        <w:t>ed.</w:t>
      </w:r>
    </w:p>
    <w:p w14:paraId="27798B8D" w14:textId="3DA88FBA" w:rsidR="008D0CAD" w:rsidRPr="00706F89" w:rsidRDefault="008D0CAD" w:rsidP="007846B1">
      <w:pPr>
        <w:pStyle w:val="NormalWeb"/>
        <w:spacing w:line="360" w:lineRule="auto"/>
        <w:rPr>
          <w:rFonts w:asciiTheme="majorHAnsi" w:hAnsiTheme="majorHAnsi" w:cstheme="majorHAnsi"/>
          <w:b/>
          <w:bCs/>
          <w:color w:val="000000" w:themeColor="text1"/>
        </w:rPr>
      </w:pPr>
      <w:r w:rsidRPr="00706F89">
        <w:rPr>
          <w:rFonts w:asciiTheme="majorHAnsi" w:hAnsiTheme="majorHAnsi" w:cstheme="majorHAnsi"/>
          <w:b/>
          <w:bCs/>
          <w:color w:val="000000" w:themeColor="text1"/>
        </w:rPr>
        <w:t xml:space="preserve">On Student </w:t>
      </w:r>
      <w:r>
        <w:rPr>
          <w:rFonts w:asciiTheme="majorHAnsi" w:hAnsiTheme="majorHAnsi" w:cstheme="majorHAnsi"/>
          <w:b/>
          <w:bCs/>
          <w:color w:val="000000" w:themeColor="text1"/>
        </w:rPr>
        <w:t>Participation (EOPO2)</w:t>
      </w:r>
    </w:p>
    <w:p w14:paraId="7CEB7A82" w14:textId="32218902" w:rsidR="008D0CAD" w:rsidRDefault="008D0CAD" w:rsidP="002320B3">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color w:val="000000" w:themeColor="text1"/>
        </w:rPr>
        <w:t>School-based Management (or particularly the School Improvement Plan) was found to be the most Highly Relevant BEST program intervention leading to the improvement of student participation.</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It was also the intervention with the highest likelihood of sustainability.</w:t>
      </w:r>
    </w:p>
    <w:p w14:paraId="70C7C8B5" w14:textId="4B91DA08" w:rsidR="008D0CAD" w:rsidRPr="00807BA7" w:rsidRDefault="008D0CAD" w:rsidP="002320B3">
      <w:pPr>
        <w:pStyle w:val="NormalWeb"/>
        <w:spacing w:line="360" w:lineRule="auto"/>
        <w:rPr>
          <w:rFonts w:asciiTheme="majorHAnsi" w:hAnsiTheme="majorHAnsi" w:cstheme="majorHAnsi"/>
          <w:bCs/>
          <w:color w:val="000000" w:themeColor="text1"/>
        </w:rPr>
      </w:pPr>
      <w:r>
        <w:rPr>
          <w:rFonts w:asciiTheme="majorHAnsi" w:hAnsiTheme="majorHAnsi" w:cstheme="majorHAnsi"/>
          <w:iCs/>
          <w:color w:val="000000"/>
        </w:rPr>
        <w:t>In terms of student participation, data from DepEd (taken from the EBEIS) revealed that there were significant increases in the number of students enrolled in basic education in the six BEST supported regions and the trend was evident for both males and females.</w:t>
      </w:r>
      <w:r w:rsidR="00D434EB">
        <w:rPr>
          <w:rFonts w:asciiTheme="majorHAnsi" w:hAnsiTheme="majorHAnsi" w:cstheme="majorHAnsi"/>
          <w:iCs/>
          <w:color w:val="000000"/>
        </w:rPr>
        <w:t xml:space="preserve"> </w:t>
      </w:r>
      <w:r>
        <w:rPr>
          <w:rFonts w:asciiTheme="majorHAnsi" w:hAnsiTheme="majorHAnsi" w:cstheme="majorHAnsi"/>
          <w:iCs/>
          <w:color w:val="000000"/>
        </w:rPr>
        <w:t>However, the Study could not find solid evidence that this increase was due to the BEST Program interventions.</w:t>
      </w:r>
    </w:p>
    <w:p w14:paraId="3B6BAEC8" w14:textId="3022C44F" w:rsidR="008D0CAD" w:rsidRDefault="008D0CAD" w:rsidP="002320B3">
      <w:pPr>
        <w:pStyle w:val="BodyText"/>
        <w:spacing w:before="100" w:beforeAutospacing="1" w:after="100" w:afterAutospacing="1" w:line="360" w:lineRule="auto"/>
        <w:rPr>
          <w:rFonts w:asciiTheme="majorHAnsi" w:hAnsiTheme="majorHAnsi" w:cstheme="majorHAnsi"/>
          <w:bCs/>
          <w:color w:val="000000" w:themeColor="text1"/>
          <w:sz w:val="24"/>
          <w:szCs w:val="24"/>
        </w:rPr>
      </w:pPr>
      <w:r>
        <w:rPr>
          <w:rFonts w:asciiTheme="majorHAnsi" w:hAnsiTheme="majorHAnsi" w:cstheme="majorHAnsi"/>
          <w:bCs/>
          <w:color w:val="000000" w:themeColor="text1"/>
          <w:sz w:val="24"/>
          <w:szCs w:val="24"/>
        </w:rPr>
        <w:t>The EOPE Study found that the</w:t>
      </w:r>
      <w:r w:rsidRPr="00F01A3F">
        <w:rPr>
          <w:rFonts w:asciiTheme="majorHAnsi" w:hAnsiTheme="majorHAnsi" w:cstheme="majorHAnsi"/>
          <w:bCs/>
          <w:color w:val="000000" w:themeColor="text1"/>
          <w:sz w:val="24"/>
          <w:szCs w:val="24"/>
        </w:rPr>
        <w:t xml:space="preserve"> 288 “disaster-resilient, gender-sensitive and </w:t>
      </w:r>
      <w:r>
        <w:rPr>
          <w:rFonts w:asciiTheme="majorHAnsi" w:hAnsiTheme="majorHAnsi" w:cstheme="majorHAnsi"/>
          <w:bCs/>
          <w:color w:val="000000" w:themeColor="text1"/>
          <w:sz w:val="24"/>
          <w:szCs w:val="24"/>
        </w:rPr>
        <w:t>disability accessible</w:t>
      </w:r>
      <w:r w:rsidRPr="00F01A3F">
        <w:rPr>
          <w:rFonts w:asciiTheme="majorHAnsi" w:hAnsiTheme="majorHAnsi" w:cstheme="majorHAnsi"/>
          <w:bCs/>
          <w:color w:val="000000" w:themeColor="text1"/>
          <w:sz w:val="24"/>
          <w:szCs w:val="24"/>
        </w:rPr>
        <w:t xml:space="preserve">” classrooms constructed by the BEST Program and </w:t>
      </w:r>
      <w:r>
        <w:rPr>
          <w:rFonts w:asciiTheme="majorHAnsi" w:hAnsiTheme="majorHAnsi" w:cstheme="majorHAnsi"/>
          <w:bCs/>
          <w:color w:val="000000" w:themeColor="text1"/>
          <w:sz w:val="24"/>
          <w:szCs w:val="24"/>
        </w:rPr>
        <w:t>in</w:t>
      </w:r>
      <w:r w:rsidRPr="00F01A3F">
        <w:rPr>
          <w:rFonts w:asciiTheme="majorHAnsi" w:hAnsiTheme="majorHAnsi" w:cstheme="majorHAnsi"/>
          <w:bCs/>
          <w:color w:val="000000" w:themeColor="text1"/>
          <w:sz w:val="24"/>
          <w:szCs w:val="24"/>
        </w:rPr>
        <w:t xml:space="preserve"> 82 schools in the BEST supported regions </w:t>
      </w:r>
      <w:r w:rsidRPr="00E05A04">
        <w:rPr>
          <w:rFonts w:asciiTheme="majorHAnsi" w:hAnsiTheme="majorHAnsi" w:cstheme="majorHAnsi"/>
          <w:bCs/>
          <w:color w:val="000000" w:themeColor="text1"/>
          <w:sz w:val="24"/>
          <w:szCs w:val="24"/>
        </w:rPr>
        <w:t>(80</w:t>
      </w:r>
      <w:r>
        <w:rPr>
          <w:rFonts w:asciiTheme="majorHAnsi" w:hAnsiTheme="majorHAnsi" w:cstheme="majorHAnsi"/>
          <w:bCs/>
          <w:color w:val="000000" w:themeColor="text1"/>
          <w:sz w:val="24"/>
          <w:szCs w:val="24"/>
        </w:rPr>
        <w:t xml:space="preserve"> per cent of which were per cent</w:t>
      </w:r>
      <w:r w:rsidRPr="00E05A04">
        <w:rPr>
          <w:rFonts w:asciiTheme="majorHAnsi" w:hAnsiTheme="majorHAnsi" w:cstheme="majorHAnsi"/>
          <w:bCs/>
          <w:color w:val="000000" w:themeColor="text1"/>
          <w:sz w:val="24"/>
          <w:szCs w:val="24"/>
        </w:rPr>
        <w:t xml:space="preserve"> in rural areas) </w:t>
      </w:r>
      <w:r>
        <w:rPr>
          <w:rFonts w:asciiTheme="majorHAnsi" w:hAnsiTheme="majorHAnsi" w:cstheme="majorHAnsi"/>
          <w:bCs/>
          <w:color w:val="000000" w:themeColor="text1"/>
          <w:sz w:val="24"/>
          <w:szCs w:val="24"/>
        </w:rPr>
        <w:t>provided</w:t>
      </w:r>
      <w:r w:rsidRPr="00E05A04">
        <w:rPr>
          <w:rFonts w:asciiTheme="majorHAnsi" w:hAnsiTheme="majorHAnsi" w:cstheme="majorHAnsi"/>
          <w:bCs/>
          <w:color w:val="000000" w:themeColor="text1"/>
          <w:sz w:val="24"/>
          <w:szCs w:val="24"/>
        </w:rPr>
        <w:t xml:space="preserve"> sufficient evidence of the </w:t>
      </w:r>
      <w:r>
        <w:rPr>
          <w:rFonts w:asciiTheme="majorHAnsi" w:hAnsiTheme="majorHAnsi" w:cstheme="majorHAnsi"/>
          <w:bCs/>
          <w:color w:val="000000" w:themeColor="text1"/>
          <w:sz w:val="24"/>
          <w:szCs w:val="24"/>
        </w:rPr>
        <w:t>contribution to providing</w:t>
      </w:r>
      <w:r w:rsidRPr="00E05A04">
        <w:rPr>
          <w:rFonts w:asciiTheme="majorHAnsi" w:hAnsiTheme="majorHAnsi" w:cstheme="majorHAnsi"/>
          <w:bCs/>
          <w:color w:val="000000" w:themeColor="text1"/>
          <w:sz w:val="24"/>
          <w:szCs w:val="24"/>
        </w:rPr>
        <w:t xml:space="preserve"> </w:t>
      </w:r>
      <w:r w:rsidRPr="00686259">
        <w:rPr>
          <w:rFonts w:asciiTheme="majorHAnsi" w:hAnsiTheme="majorHAnsi" w:cstheme="majorHAnsi"/>
          <w:bCs/>
          <w:color w:val="000000" w:themeColor="text1"/>
          <w:sz w:val="24"/>
          <w:szCs w:val="24"/>
        </w:rPr>
        <w:t>e</w:t>
      </w:r>
      <w:r w:rsidRPr="00686259">
        <w:rPr>
          <w:rFonts w:asciiTheme="majorHAnsi" w:hAnsiTheme="majorHAnsi" w:cstheme="majorHAnsi"/>
          <w:color w:val="000000"/>
          <w:sz w:val="24"/>
          <w:szCs w:val="24"/>
        </w:rPr>
        <w:t>ducation facilities that were built within appropriate standards and in the right places</w:t>
      </w:r>
      <w:r w:rsidRPr="00E05A04">
        <w:rPr>
          <w:rFonts w:asciiTheme="majorHAnsi" w:hAnsiTheme="majorHAnsi" w:cstheme="majorHAnsi"/>
          <w:color w:val="000000"/>
          <w:sz w:val="24"/>
          <w:szCs w:val="24"/>
        </w:rPr>
        <w:t>.</w:t>
      </w:r>
      <w:r w:rsidR="00D434EB">
        <w:rPr>
          <w:rFonts w:asciiTheme="majorHAnsi" w:hAnsiTheme="majorHAnsi" w:cstheme="majorHAnsi"/>
          <w:color w:val="000000"/>
          <w:sz w:val="24"/>
          <w:szCs w:val="24"/>
        </w:rPr>
        <w:t xml:space="preserve"> </w:t>
      </w:r>
      <w:r>
        <w:rPr>
          <w:rFonts w:asciiTheme="majorHAnsi" w:hAnsiTheme="majorHAnsi" w:cstheme="majorHAnsi"/>
          <w:bCs/>
          <w:color w:val="000000" w:themeColor="text1"/>
          <w:sz w:val="24"/>
          <w:szCs w:val="24"/>
        </w:rPr>
        <w:t xml:space="preserve">However, it was not possible to associate the </w:t>
      </w:r>
      <w:r w:rsidRPr="00E05A04">
        <w:rPr>
          <w:rFonts w:asciiTheme="majorHAnsi" w:hAnsiTheme="majorHAnsi" w:cstheme="majorHAnsi"/>
          <w:bCs/>
          <w:color w:val="000000" w:themeColor="text1"/>
          <w:sz w:val="24"/>
          <w:szCs w:val="24"/>
        </w:rPr>
        <w:t>increase</w:t>
      </w:r>
      <w:r>
        <w:rPr>
          <w:rFonts w:asciiTheme="majorHAnsi" w:hAnsiTheme="majorHAnsi" w:cstheme="majorHAnsi"/>
          <w:bCs/>
          <w:color w:val="000000" w:themeColor="text1"/>
          <w:sz w:val="24"/>
          <w:szCs w:val="24"/>
        </w:rPr>
        <w:t>d student participation with</w:t>
      </w:r>
      <w:r w:rsidRPr="00E05A04">
        <w:rPr>
          <w:rFonts w:asciiTheme="majorHAnsi" w:hAnsiTheme="majorHAnsi" w:cstheme="majorHAnsi"/>
          <w:bCs/>
          <w:color w:val="000000" w:themeColor="text1"/>
          <w:sz w:val="24"/>
          <w:szCs w:val="24"/>
        </w:rPr>
        <w:t xml:space="preserve"> the </w:t>
      </w:r>
      <w:r>
        <w:rPr>
          <w:rFonts w:asciiTheme="majorHAnsi" w:hAnsiTheme="majorHAnsi" w:cstheme="majorHAnsi"/>
          <w:bCs/>
          <w:color w:val="000000" w:themeColor="text1"/>
          <w:sz w:val="24"/>
          <w:szCs w:val="24"/>
        </w:rPr>
        <w:t>additional</w:t>
      </w:r>
      <w:r w:rsidRPr="00E05A04">
        <w:rPr>
          <w:rFonts w:asciiTheme="majorHAnsi" w:hAnsiTheme="majorHAnsi" w:cstheme="majorHAnsi"/>
          <w:bCs/>
          <w:color w:val="000000" w:themeColor="text1"/>
          <w:sz w:val="24"/>
          <w:szCs w:val="24"/>
        </w:rPr>
        <w:t xml:space="preserve"> classrooms </w:t>
      </w:r>
      <w:r>
        <w:rPr>
          <w:rFonts w:asciiTheme="majorHAnsi" w:hAnsiTheme="majorHAnsi" w:cstheme="majorHAnsi"/>
          <w:bCs/>
          <w:color w:val="000000" w:themeColor="text1"/>
          <w:sz w:val="24"/>
          <w:szCs w:val="24"/>
        </w:rPr>
        <w:t xml:space="preserve">provided through the BEST Program. </w:t>
      </w:r>
    </w:p>
    <w:p w14:paraId="2D1CFF35" w14:textId="79C62F4A" w:rsidR="008D0CAD" w:rsidRPr="00686259" w:rsidRDefault="008D0CAD" w:rsidP="002320B3">
      <w:pPr>
        <w:pStyle w:val="BodyText"/>
        <w:spacing w:before="100" w:beforeAutospacing="1" w:after="100" w:afterAutospacing="1" w:line="360" w:lineRule="auto"/>
        <w:rPr>
          <w:rFonts w:asciiTheme="majorHAnsi" w:hAnsiTheme="majorHAnsi" w:cstheme="majorHAnsi"/>
          <w:sz w:val="24"/>
          <w:szCs w:val="24"/>
        </w:rPr>
      </w:pPr>
      <w:r w:rsidRPr="00686259">
        <w:rPr>
          <w:rFonts w:asciiTheme="majorHAnsi" w:hAnsiTheme="majorHAnsi" w:cstheme="majorHAnsi"/>
          <w:bCs/>
          <w:color w:val="000000" w:themeColor="text1"/>
          <w:sz w:val="24"/>
          <w:szCs w:val="24"/>
        </w:rPr>
        <w:t xml:space="preserve">The EOPE Study also found that </w:t>
      </w:r>
      <w:r>
        <w:rPr>
          <w:rFonts w:asciiTheme="majorHAnsi" w:hAnsiTheme="majorHAnsi" w:cstheme="majorHAnsi"/>
          <w:bCs/>
          <w:color w:val="000000" w:themeColor="text1"/>
          <w:sz w:val="24"/>
          <w:szCs w:val="24"/>
        </w:rPr>
        <w:t xml:space="preserve">the </w:t>
      </w:r>
      <w:r w:rsidRPr="00686259">
        <w:rPr>
          <w:rFonts w:asciiTheme="majorHAnsi" w:hAnsiTheme="majorHAnsi" w:cstheme="majorHAnsi"/>
          <w:sz w:val="24"/>
          <w:szCs w:val="24"/>
        </w:rPr>
        <w:t>various capacity building</w:t>
      </w:r>
      <w:r>
        <w:rPr>
          <w:rFonts w:asciiTheme="majorHAnsi" w:hAnsiTheme="majorHAnsi" w:cstheme="majorHAnsi"/>
          <w:sz w:val="24"/>
          <w:szCs w:val="24"/>
        </w:rPr>
        <w:t xml:space="preserve"> interventions</w:t>
      </w:r>
      <w:r w:rsidRPr="00686259">
        <w:rPr>
          <w:rFonts w:asciiTheme="majorHAnsi" w:hAnsiTheme="majorHAnsi" w:cstheme="majorHAnsi"/>
          <w:sz w:val="24"/>
          <w:szCs w:val="24"/>
        </w:rPr>
        <w:t xml:space="preserve"> on formulation of the School Improvement Plans and the </w:t>
      </w:r>
      <w:r>
        <w:rPr>
          <w:rFonts w:asciiTheme="majorHAnsi" w:hAnsiTheme="majorHAnsi" w:cstheme="majorHAnsi"/>
          <w:sz w:val="24"/>
          <w:szCs w:val="24"/>
        </w:rPr>
        <w:t>development</w:t>
      </w:r>
      <w:r w:rsidRPr="00686259">
        <w:rPr>
          <w:rFonts w:asciiTheme="majorHAnsi" w:hAnsiTheme="majorHAnsi" w:cstheme="majorHAnsi"/>
          <w:sz w:val="24"/>
          <w:szCs w:val="24"/>
        </w:rPr>
        <w:t xml:space="preserve"> of the SIPs</w:t>
      </w:r>
      <w:r>
        <w:rPr>
          <w:rFonts w:asciiTheme="majorHAnsi" w:hAnsiTheme="majorHAnsi" w:cstheme="majorHAnsi"/>
          <w:sz w:val="24"/>
          <w:szCs w:val="24"/>
        </w:rPr>
        <w:t xml:space="preserve"> themselves</w:t>
      </w:r>
      <w:r w:rsidRPr="00686259">
        <w:rPr>
          <w:rFonts w:asciiTheme="majorHAnsi" w:hAnsiTheme="majorHAnsi" w:cstheme="majorHAnsi"/>
          <w:sz w:val="24"/>
          <w:szCs w:val="24"/>
        </w:rPr>
        <w:t xml:space="preserve"> were critical in moving towards increased student participation and completion.</w:t>
      </w:r>
      <w:r w:rsidR="00D434EB">
        <w:rPr>
          <w:rFonts w:asciiTheme="majorHAnsi" w:hAnsiTheme="majorHAnsi" w:cstheme="majorHAnsi"/>
          <w:sz w:val="24"/>
          <w:szCs w:val="24"/>
        </w:rPr>
        <w:t xml:space="preserve"> </w:t>
      </w:r>
      <w:r w:rsidRPr="00686259">
        <w:rPr>
          <w:rFonts w:asciiTheme="majorHAnsi" w:hAnsiTheme="majorHAnsi" w:cstheme="majorHAnsi"/>
          <w:color w:val="000000" w:themeColor="text1"/>
          <w:sz w:val="24"/>
          <w:szCs w:val="24"/>
        </w:rPr>
        <w:t>Although the actual assessment of the SIPs was not undertaken during Program implementation, the likelihood that it will be done is high.</w:t>
      </w:r>
      <w:r w:rsidR="00D434EB">
        <w:rPr>
          <w:rFonts w:asciiTheme="majorHAnsi" w:hAnsiTheme="majorHAnsi" w:cstheme="majorHAnsi"/>
          <w:color w:val="000000" w:themeColor="text1"/>
          <w:sz w:val="24"/>
          <w:szCs w:val="24"/>
        </w:rPr>
        <w:t xml:space="preserve"> </w:t>
      </w:r>
      <w:r w:rsidRPr="00686259">
        <w:rPr>
          <w:rFonts w:asciiTheme="majorHAnsi" w:hAnsiTheme="majorHAnsi" w:cstheme="majorHAnsi"/>
          <w:color w:val="000000" w:themeColor="text1"/>
          <w:sz w:val="24"/>
          <w:szCs w:val="24"/>
        </w:rPr>
        <w:t>The evidence is the completion of the SIP Q</w:t>
      </w:r>
      <w:r>
        <w:rPr>
          <w:rFonts w:asciiTheme="majorHAnsi" w:hAnsiTheme="majorHAnsi" w:cstheme="majorHAnsi"/>
          <w:color w:val="000000" w:themeColor="text1"/>
          <w:sz w:val="24"/>
          <w:szCs w:val="24"/>
        </w:rPr>
        <w:t xml:space="preserve">uality </w:t>
      </w:r>
      <w:r w:rsidRPr="00686259">
        <w:rPr>
          <w:rFonts w:asciiTheme="majorHAnsi" w:hAnsiTheme="majorHAnsi" w:cstheme="majorHAnsi"/>
          <w:color w:val="000000" w:themeColor="text1"/>
          <w:sz w:val="24"/>
          <w:szCs w:val="24"/>
        </w:rPr>
        <w:t>A</w:t>
      </w:r>
      <w:r>
        <w:rPr>
          <w:rFonts w:asciiTheme="majorHAnsi" w:hAnsiTheme="majorHAnsi" w:cstheme="majorHAnsi"/>
          <w:color w:val="000000" w:themeColor="text1"/>
          <w:sz w:val="24"/>
          <w:szCs w:val="24"/>
        </w:rPr>
        <w:t>ssurance</w:t>
      </w:r>
      <w:r w:rsidRPr="00686259">
        <w:rPr>
          <w:rFonts w:asciiTheme="majorHAnsi" w:hAnsiTheme="majorHAnsi" w:cstheme="majorHAnsi"/>
          <w:color w:val="000000" w:themeColor="text1"/>
          <w:sz w:val="24"/>
          <w:szCs w:val="24"/>
        </w:rPr>
        <w:t xml:space="preserve"> Tool, which c</w:t>
      </w:r>
      <w:r>
        <w:rPr>
          <w:rFonts w:asciiTheme="majorHAnsi" w:hAnsiTheme="majorHAnsi" w:cstheme="majorHAnsi"/>
          <w:color w:val="000000" w:themeColor="text1"/>
          <w:sz w:val="24"/>
          <w:szCs w:val="24"/>
        </w:rPr>
        <w:t>an</w:t>
      </w:r>
      <w:r w:rsidRPr="00686259">
        <w:rPr>
          <w:rFonts w:asciiTheme="majorHAnsi" w:hAnsiTheme="majorHAnsi" w:cstheme="majorHAnsi"/>
          <w:color w:val="000000" w:themeColor="text1"/>
          <w:sz w:val="24"/>
          <w:szCs w:val="24"/>
        </w:rPr>
        <w:t xml:space="preserve"> be used to assess SIPs and collect</w:t>
      </w:r>
      <w:r w:rsidRPr="00686259">
        <w:rPr>
          <w:rFonts w:asciiTheme="majorHAnsi" w:hAnsiTheme="majorHAnsi" w:cstheme="majorHAnsi"/>
          <w:bCs/>
          <w:color w:val="000000" w:themeColor="text1"/>
          <w:sz w:val="24"/>
          <w:szCs w:val="24"/>
        </w:rPr>
        <w:t xml:space="preserve"> evidence on </w:t>
      </w:r>
      <w:r>
        <w:rPr>
          <w:rFonts w:asciiTheme="majorHAnsi" w:hAnsiTheme="majorHAnsi" w:cstheme="majorHAnsi"/>
          <w:bCs/>
          <w:color w:val="000000" w:themeColor="text1"/>
          <w:sz w:val="24"/>
          <w:szCs w:val="24"/>
        </w:rPr>
        <w:t>their</w:t>
      </w:r>
      <w:r w:rsidRPr="00686259">
        <w:rPr>
          <w:rFonts w:asciiTheme="majorHAnsi" w:hAnsiTheme="majorHAnsi" w:cstheme="majorHAnsi"/>
          <w:bCs/>
          <w:color w:val="000000" w:themeColor="text1"/>
          <w:sz w:val="24"/>
          <w:szCs w:val="24"/>
        </w:rPr>
        <w:t xml:space="preserve"> adherence to </w:t>
      </w:r>
      <w:r>
        <w:rPr>
          <w:rFonts w:asciiTheme="majorHAnsi" w:hAnsiTheme="majorHAnsi" w:cstheme="majorHAnsi"/>
          <w:bCs/>
          <w:color w:val="000000" w:themeColor="text1"/>
          <w:sz w:val="24"/>
          <w:szCs w:val="24"/>
        </w:rPr>
        <w:t>the policy (</w:t>
      </w:r>
      <w:r w:rsidRPr="00686259">
        <w:rPr>
          <w:rFonts w:asciiTheme="majorHAnsi" w:hAnsiTheme="majorHAnsi" w:cstheme="majorHAnsi"/>
          <w:sz w:val="24"/>
          <w:szCs w:val="24"/>
        </w:rPr>
        <w:t>44, s. 2015</w:t>
      </w:r>
      <w:r>
        <w:rPr>
          <w:rFonts w:asciiTheme="majorHAnsi" w:hAnsiTheme="majorHAnsi" w:cstheme="majorHAnsi"/>
          <w:sz w:val="24"/>
          <w:szCs w:val="24"/>
        </w:rPr>
        <w:t>)</w:t>
      </w:r>
      <w:r w:rsidRPr="00686259">
        <w:rPr>
          <w:rFonts w:asciiTheme="majorHAnsi" w:hAnsiTheme="majorHAnsi" w:cstheme="majorHAnsi"/>
          <w:bCs/>
          <w:color w:val="000000" w:themeColor="text1"/>
          <w:sz w:val="24"/>
          <w:szCs w:val="24"/>
        </w:rPr>
        <w:t xml:space="preserve"> on eSIPs and </w:t>
      </w:r>
      <w:r w:rsidRPr="00866FBE">
        <w:rPr>
          <w:rFonts w:asciiTheme="majorHAnsi" w:hAnsiTheme="majorHAnsi" w:cstheme="majorHAnsi"/>
          <w:bCs/>
          <w:color w:val="000000" w:themeColor="text1"/>
          <w:sz w:val="24"/>
          <w:szCs w:val="24"/>
        </w:rPr>
        <w:t>S</w:t>
      </w:r>
      <w:r>
        <w:rPr>
          <w:rFonts w:asciiTheme="majorHAnsi" w:hAnsiTheme="majorHAnsi" w:cstheme="majorHAnsi"/>
          <w:bCs/>
          <w:color w:val="000000" w:themeColor="text1"/>
          <w:sz w:val="24"/>
          <w:szCs w:val="24"/>
        </w:rPr>
        <w:t xml:space="preserve">chool </w:t>
      </w:r>
      <w:r w:rsidRPr="00866FBE">
        <w:rPr>
          <w:rFonts w:asciiTheme="majorHAnsi" w:hAnsiTheme="majorHAnsi" w:cstheme="majorHAnsi"/>
          <w:bCs/>
          <w:color w:val="000000" w:themeColor="text1"/>
          <w:sz w:val="24"/>
          <w:szCs w:val="24"/>
        </w:rPr>
        <w:t>R</w:t>
      </w:r>
      <w:r>
        <w:rPr>
          <w:rFonts w:asciiTheme="majorHAnsi" w:hAnsiTheme="majorHAnsi" w:cstheme="majorHAnsi"/>
          <w:bCs/>
          <w:color w:val="000000" w:themeColor="text1"/>
          <w:sz w:val="24"/>
          <w:szCs w:val="24"/>
        </w:rPr>
        <w:t xml:space="preserve">eport </w:t>
      </w:r>
      <w:r w:rsidRPr="00866FBE">
        <w:rPr>
          <w:rFonts w:asciiTheme="majorHAnsi" w:hAnsiTheme="majorHAnsi" w:cstheme="majorHAnsi"/>
          <w:bCs/>
          <w:color w:val="000000" w:themeColor="text1"/>
          <w:sz w:val="24"/>
          <w:szCs w:val="24"/>
        </w:rPr>
        <w:t>C</w:t>
      </w:r>
      <w:r>
        <w:rPr>
          <w:rFonts w:asciiTheme="majorHAnsi" w:hAnsiTheme="majorHAnsi" w:cstheme="majorHAnsi"/>
          <w:bCs/>
          <w:color w:val="000000" w:themeColor="text1"/>
          <w:sz w:val="24"/>
          <w:szCs w:val="24"/>
        </w:rPr>
        <w:t>ard</w:t>
      </w:r>
      <w:r w:rsidRPr="00866FBE">
        <w:rPr>
          <w:rFonts w:asciiTheme="majorHAnsi" w:hAnsiTheme="majorHAnsi" w:cstheme="majorHAnsi"/>
          <w:bCs/>
          <w:color w:val="000000" w:themeColor="text1"/>
          <w:sz w:val="24"/>
          <w:szCs w:val="24"/>
        </w:rPr>
        <w:t>s</w:t>
      </w:r>
      <w:r w:rsidRPr="00686259">
        <w:rPr>
          <w:rFonts w:asciiTheme="majorHAnsi" w:hAnsiTheme="majorHAnsi" w:cstheme="majorHAnsi"/>
          <w:bCs/>
          <w:color w:val="000000" w:themeColor="text1"/>
          <w:sz w:val="24"/>
          <w:szCs w:val="24"/>
        </w:rPr>
        <w:t>.</w:t>
      </w:r>
      <w:r w:rsidR="00D434EB">
        <w:rPr>
          <w:rFonts w:asciiTheme="majorHAnsi" w:hAnsiTheme="majorHAnsi" w:cstheme="majorHAnsi"/>
          <w:color w:val="000000" w:themeColor="text1"/>
          <w:sz w:val="24"/>
          <w:szCs w:val="24"/>
        </w:rPr>
        <w:t xml:space="preserve"> </w:t>
      </w:r>
      <w:r>
        <w:rPr>
          <w:rFonts w:asciiTheme="majorHAnsi" w:hAnsiTheme="majorHAnsi" w:cstheme="majorHAnsi"/>
          <w:color w:val="000000" w:themeColor="text1"/>
          <w:sz w:val="24"/>
          <w:szCs w:val="24"/>
        </w:rPr>
        <w:t>There</w:t>
      </w:r>
      <w:r w:rsidRPr="00686259">
        <w:rPr>
          <w:rFonts w:asciiTheme="majorHAnsi" w:hAnsiTheme="majorHAnsi" w:cstheme="majorHAnsi"/>
          <w:color w:val="000000" w:themeColor="text1"/>
          <w:sz w:val="24"/>
          <w:szCs w:val="24"/>
        </w:rPr>
        <w:t xml:space="preserve"> </w:t>
      </w:r>
      <w:r>
        <w:rPr>
          <w:rFonts w:asciiTheme="majorHAnsi" w:hAnsiTheme="majorHAnsi" w:cstheme="majorHAnsi"/>
          <w:color w:val="000000" w:themeColor="text1"/>
          <w:sz w:val="24"/>
          <w:szCs w:val="24"/>
        </w:rPr>
        <w:t>remains a</w:t>
      </w:r>
      <w:r w:rsidRPr="00686259">
        <w:rPr>
          <w:rFonts w:asciiTheme="majorHAnsi" w:hAnsiTheme="majorHAnsi" w:cstheme="majorHAnsi"/>
          <w:color w:val="000000" w:themeColor="text1"/>
          <w:sz w:val="24"/>
          <w:szCs w:val="24"/>
        </w:rPr>
        <w:t xml:space="preserve"> high demand for capacity building </w:t>
      </w:r>
      <w:r>
        <w:rPr>
          <w:rFonts w:asciiTheme="majorHAnsi" w:hAnsiTheme="majorHAnsi" w:cstheme="majorHAnsi"/>
          <w:color w:val="000000" w:themeColor="text1"/>
          <w:sz w:val="24"/>
          <w:szCs w:val="24"/>
        </w:rPr>
        <w:t>o</w:t>
      </w:r>
      <w:r w:rsidRPr="00686259">
        <w:rPr>
          <w:rFonts w:asciiTheme="majorHAnsi" w:hAnsiTheme="majorHAnsi" w:cstheme="majorHAnsi"/>
          <w:color w:val="000000" w:themeColor="text1"/>
          <w:sz w:val="24"/>
          <w:szCs w:val="24"/>
        </w:rPr>
        <w:t>n S</w:t>
      </w:r>
      <w:r>
        <w:rPr>
          <w:rFonts w:asciiTheme="majorHAnsi" w:hAnsiTheme="majorHAnsi" w:cstheme="majorHAnsi"/>
          <w:color w:val="000000" w:themeColor="text1"/>
          <w:sz w:val="24"/>
          <w:szCs w:val="24"/>
        </w:rPr>
        <w:t xml:space="preserve">chool </w:t>
      </w:r>
      <w:r w:rsidRPr="00686259">
        <w:rPr>
          <w:rFonts w:asciiTheme="majorHAnsi" w:hAnsiTheme="majorHAnsi" w:cstheme="majorHAnsi"/>
          <w:color w:val="000000" w:themeColor="text1"/>
          <w:sz w:val="24"/>
          <w:szCs w:val="24"/>
        </w:rPr>
        <w:t>B</w:t>
      </w:r>
      <w:r>
        <w:rPr>
          <w:rFonts w:asciiTheme="majorHAnsi" w:hAnsiTheme="majorHAnsi" w:cstheme="majorHAnsi"/>
          <w:color w:val="000000" w:themeColor="text1"/>
          <w:sz w:val="24"/>
          <w:szCs w:val="24"/>
        </w:rPr>
        <w:t xml:space="preserve">ased </w:t>
      </w:r>
      <w:r w:rsidRPr="00686259">
        <w:rPr>
          <w:rFonts w:asciiTheme="majorHAnsi" w:hAnsiTheme="majorHAnsi" w:cstheme="majorHAnsi"/>
          <w:color w:val="000000" w:themeColor="text1"/>
          <w:sz w:val="24"/>
          <w:szCs w:val="24"/>
        </w:rPr>
        <w:t>M</w:t>
      </w:r>
      <w:r>
        <w:rPr>
          <w:rFonts w:asciiTheme="majorHAnsi" w:hAnsiTheme="majorHAnsi" w:cstheme="majorHAnsi"/>
          <w:color w:val="000000" w:themeColor="text1"/>
          <w:sz w:val="24"/>
          <w:szCs w:val="24"/>
        </w:rPr>
        <w:t>anagement</w:t>
      </w:r>
      <w:r w:rsidRPr="00686259">
        <w:rPr>
          <w:rFonts w:asciiTheme="majorHAnsi" w:hAnsiTheme="majorHAnsi" w:cstheme="majorHAnsi"/>
          <w:color w:val="000000" w:themeColor="text1"/>
          <w:sz w:val="24"/>
          <w:szCs w:val="24"/>
        </w:rPr>
        <w:t xml:space="preserve"> </w:t>
      </w:r>
      <w:r>
        <w:rPr>
          <w:rFonts w:asciiTheme="majorHAnsi" w:hAnsiTheme="majorHAnsi" w:cstheme="majorHAnsi"/>
          <w:color w:val="000000" w:themeColor="text1"/>
          <w:sz w:val="24"/>
          <w:szCs w:val="24"/>
        </w:rPr>
        <w:t>from</w:t>
      </w:r>
      <w:r w:rsidRPr="00686259">
        <w:rPr>
          <w:rFonts w:asciiTheme="majorHAnsi" w:hAnsiTheme="majorHAnsi" w:cstheme="majorHAnsi"/>
          <w:color w:val="000000" w:themeColor="text1"/>
          <w:sz w:val="24"/>
          <w:szCs w:val="24"/>
        </w:rPr>
        <w:t xml:space="preserve"> schools.</w:t>
      </w:r>
      <w:r w:rsidR="00D434EB">
        <w:rPr>
          <w:rFonts w:asciiTheme="majorHAnsi" w:hAnsiTheme="majorHAnsi" w:cstheme="majorHAnsi"/>
          <w:bCs/>
          <w:color w:val="000000" w:themeColor="text1"/>
          <w:sz w:val="24"/>
          <w:szCs w:val="24"/>
        </w:rPr>
        <w:t xml:space="preserve"> </w:t>
      </w:r>
    </w:p>
    <w:p w14:paraId="188BB126" w14:textId="1D7FD6DF" w:rsidR="00193857" w:rsidRDefault="008D0CAD" w:rsidP="002320B3">
      <w:pPr>
        <w:spacing w:before="100" w:beforeAutospacing="1" w:after="100" w:afterAutospacing="1" w:line="360" w:lineRule="auto"/>
        <w:rPr>
          <w:rFonts w:asciiTheme="majorHAnsi" w:hAnsiTheme="majorHAnsi" w:cstheme="majorHAnsi"/>
        </w:rPr>
      </w:pPr>
      <w:r w:rsidRPr="005729D7">
        <w:rPr>
          <w:rFonts w:asciiTheme="majorHAnsi" w:hAnsiTheme="majorHAnsi" w:cstheme="majorHAnsi"/>
          <w:color w:val="000000"/>
        </w:rPr>
        <w:t xml:space="preserve">In terms of Gender Responsive Basic Education (GBRE), </w:t>
      </w:r>
      <w:r w:rsidRPr="0070546B">
        <w:rPr>
          <w:rFonts w:asciiTheme="majorHAnsi" w:hAnsiTheme="majorHAnsi" w:cstheme="majorHAnsi"/>
          <w:color w:val="000000"/>
        </w:rPr>
        <w:t xml:space="preserve">the Study found different perspectives. </w:t>
      </w:r>
      <w:r w:rsidRPr="0070546B">
        <w:rPr>
          <w:rFonts w:asciiTheme="majorHAnsi" w:hAnsiTheme="majorHAnsi" w:cstheme="majorHAnsi"/>
        </w:rPr>
        <w:t>On the one hand, some survey respondents (Division Offices and schools) noted that they were already undertaking various interventions on GRBE without assistance of the BEST Program. They stated that the Commission on Audit (COA) was the primary driver for the implementation of GRBE-related activities at the Division Office and school levels since COA reviews Gender and Development (GAD) Plans prior to approval of budgets. On the other</w:t>
      </w:r>
      <w:r>
        <w:rPr>
          <w:rFonts w:asciiTheme="majorHAnsi" w:hAnsiTheme="majorHAnsi" w:cstheme="majorHAnsi"/>
        </w:rPr>
        <w:t xml:space="preserve"> hand</w:t>
      </w:r>
      <w:r w:rsidRPr="0070546B">
        <w:rPr>
          <w:rFonts w:asciiTheme="majorHAnsi" w:hAnsiTheme="majorHAnsi" w:cstheme="majorHAnsi"/>
        </w:rPr>
        <w:t>, some survey respondents said that the issuance of the GRBE Policy levelled their understanding of the concept in the context of basic education and guided their succeeding GRBE activities.</w:t>
      </w:r>
    </w:p>
    <w:p w14:paraId="6743AE2E" w14:textId="77777777" w:rsidR="008D0CAD" w:rsidRPr="00C9565C" w:rsidRDefault="008D0CAD" w:rsidP="002320B3">
      <w:pPr>
        <w:spacing w:before="100" w:beforeAutospacing="1" w:after="100" w:afterAutospacing="1" w:line="360" w:lineRule="auto"/>
        <w:rPr>
          <w:rFonts w:asciiTheme="majorHAnsi" w:hAnsiTheme="majorHAnsi" w:cstheme="majorHAnsi"/>
          <w:b/>
          <w:bCs/>
          <w:color w:val="000000" w:themeColor="text1"/>
        </w:rPr>
      </w:pPr>
      <w:r w:rsidRPr="00C9565C">
        <w:rPr>
          <w:rFonts w:asciiTheme="majorHAnsi" w:hAnsiTheme="majorHAnsi" w:cstheme="majorHAnsi"/>
          <w:b/>
          <w:bCs/>
          <w:color w:val="000000" w:themeColor="text1"/>
        </w:rPr>
        <w:t xml:space="preserve">On Enhancing </w:t>
      </w:r>
      <w:r>
        <w:rPr>
          <w:rFonts w:asciiTheme="majorHAnsi" w:hAnsiTheme="majorHAnsi" w:cstheme="majorHAnsi"/>
          <w:b/>
          <w:bCs/>
          <w:color w:val="000000" w:themeColor="text1"/>
        </w:rPr>
        <w:t>DepEd</w:t>
      </w:r>
      <w:r w:rsidRPr="00C9565C">
        <w:rPr>
          <w:rFonts w:asciiTheme="majorHAnsi" w:hAnsiTheme="majorHAnsi" w:cstheme="majorHAnsi"/>
          <w:b/>
          <w:bCs/>
          <w:color w:val="000000" w:themeColor="text1"/>
        </w:rPr>
        <w:t xml:space="preserve"> capacity on Planning</w:t>
      </w:r>
      <w:r>
        <w:rPr>
          <w:rFonts w:asciiTheme="majorHAnsi" w:hAnsiTheme="majorHAnsi" w:cstheme="majorHAnsi"/>
          <w:b/>
          <w:bCs/>
          <w:color w:val="000000" w:themeColor="text1"/>
        </w:rPr>
        <w:t xml:space="preserve"> (EOPO3)</w:t>
      </w:r>
    </w:p>
    <w:p w14:paraId="2A7DF97F" w14:textId="431135ED" w:rsidR="008D0CAD" w:rsidRDefault="008D0CAD" w:rsidP="002320B3">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color w:val="000000" w:themeColor="text1"/>
        </w:rPr>
        <w:t>Although all three Program interventions under this EOPO (PPMES, UISS and OD) were found to be relevant, UISS was the most significant BEST program intervention contributing to EOPO 3.</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It was also the intervention with the highest likelihood of sustainability.</w:t>
      </w:r>
    </w:p>
    <w:p w14:paraId="3DD94E5C" w14:textId="77777777" w:rsidR="008D0CAD" w:rsidRDefault="008D0CAD" w:rsidP="002320B3">
      <w:pPr>
        <w:pStyle w:val="BodyText"/>
        <w:spacing w:before="100" w:beforeAutospacing="1" w:after="100" w:afterAutospacing="1" w:line="360" w:lineRule="auto"/>
        <w:rPr>
          <w:rFonts w:asciiTheme="majorHAnsi" w:hAnsiTheme="majorHAnsi" w:cstheme="majorHAnsi"/>
          <w:bCs/>
          <w:color w:val="000000" w:themeColor="text1"/>
          <w:sz w:val="24"/>
          <w:szCs w:val="24"/>
        </w:rPr>
      </w:pPr>
      <w:r w:rsidRPr="00201588">
        <w:rPr>
          <w:rFonts w:asciiTheme="majorHAnsi" w:hAnsiTheme="majorHAnsi" w:cstheme="majorHAnsi"/>
          <w:bCs/>
          <w:color w:val="000000" w:themeColor="text1"/>
          <w:sz w:val="24"/>
          <w:szCs w:val="24"/>
        </w:rPr>
        <w:t xml:space="preserve">The EOPE Study </w:t>
      </w:r>
      <w:r>
        <w:rPr>
          <w:rFonts w:asciiTheme="majorHAnsi" w:hAnsiTheme="majorHAnsi" w:cstheme="majorHAnsi"/>
          <w:bCs/>
          <w:color w:val="000000" w:themeColor="text1"/>
          <w:sz w:val="24"/>
          <w:szCs w:val="24"/>
        </w:rPr>
        <w:t xml:space="preserve">found that </w:t>
      </w:r>
      <w:r>
        <w:rPr>
          <w:rFonts w:asciiTheme="majorHAnsi" w:hAnsiTheme="majorHAnsi" w:cstheme="majorHAnsi"/>
          <w:bCs/>
          <w:i/>
          <w:color w:val="000000" w:themeColor="text1"/>
          <w:sz w:val="24"/>
          <w:szCs w:val="24"/>
        </w:rPr>
        <w:t>DepEd</w:t>
      </w:r>
      <w:r w:rsidRPr="00FD64CC">
        <w:rPr>
          <w:rFonts w:asciiTheme="majorHAnsi" w:hAnsiTheme="majorHAnsi" w:cstheme="majorHAnsi"/>
          <w:bCs/>
          <w:i/>
          <w:color w:val="000000" w:themeColor="text1"/>
          <w:sz w:val="24"/>
          <w:szCs w:val="24"/>
        </w:rPr>
        <w:t>’s ability to deliver inclusive and responsive basic education services with greater decentrali</w:t>
      </w:r>
      <w:r>
        <w:rPr>
          <w:rFonts w:asciiTheme="majorHAnsi" w:hAnsiTheme="majorHAnsi" w:cstheme="majorHAnsi"/>
          <w:bCs/>
          <w:i/>
          <w:color w:val="000000" w:themeColor="text1"/>
          <w:sz w:val="24"/>
          <w:szCs w:val="24"/>
        </w:rPr>
        <w:t>s</w:t>
      </w:r>
      <w:r w:rsidRPr="00FD64CC">
        <w:rPr>
          <w:rFonts w:asciiTheme="majorHAnsi" w:hAnsiTheme="majorHAnsi" w:cstheme="majorHAnsi"/>
          <w:bCs/>
          <w:i/>
          <w:color w:val="000000" w:themeColor="text1"/>
          <w:sz w:val="24"/>
          <w:szCs w:val="24"/>
        </w:rPr>
        <w:t>ation of management and accountability to the field offices and schools</w:t>
      </w:r>
      <w:r>
        <w:rPr>
          <w:rFonts w:asciiTheme="majorHAnsi" w:hAnsiTheme="majorHAnsi" w:cstheme="majorHAnsi"/>
          <w:bCs/>
          <w:color w:val="000000" w:themeColor="text1"/>
          <w:sz w:val="24"/>
          <w:szCs w:val="24"/>
        </w:rPr>
        <w:t xml:space="preserve"> significantly increased with the support of the BEST Program, although levels of capacity increases varied by Operating Units (OUs) and by Region and Division Offices.</w:t>
      </w:r>
    </w:p>
    <w:p w14:paraId="549FF55D" w14:textId="3DE627F5" w:rsidR="008D0CAD" w:rsidRDefault="008D0CAD" w:rsidP="002320B3">
      <w:pPr>
        <w:pStyle w:val="BodyText"/>
        <w:spacing w:before="100" w:beforeAutospacing="1" w:after="100" w:afterAutospacing="1" w:line="360" w:lineRule="auto"/>
        <w:rPr>
          <w:rFonts w:asciiTheme="majorHAnsi" w:hAnsiTheme="majorHAnsi" w:cstheme="majorHAnsi"/>
          <w:bCs/>
          <w:color w:val="000000" w:themeColor="text1"/>
          <w:sz w:val="24"/>
          <w:szCs w:val="24"/>
        </w:rPr>
      </w:pPr>
      <w:r>
        <w:rPr>
          <w:rFonts w:asciiTheme="majorHAnsi" w:hAnsiTheme="majorHAnsi" w:cstheme="majorHAnsi"/>
          <w:bCs/>
          <w:color w:val="000000" w:themeColor="text1"/>
          <w:sz w:val="24"/>
          <w:szCs w:val="24"/>
        </w:rPr>
        <w:t>Unquestionably, the capacity of DepEd to undertake evidenced-based planning and monitoring was strengthened with the operationalisation of the EBEIS and LIS.</w:t>
      </w:r>
      <w:r w:rsidR="00D434EB">
        <w:rPr>
          <w:rFonts w:asciiTheme="majorHAnsi" w:hAnsiTheme="majorHAnsi" w:cstheme="majorHAnsi"/>
          <w:bCs/>
          <w:color w:val="000000" w:themeColor="text1"/>
          <w:sz w:val="24"/>
          <w:szCs w:val="24"/>
        </w:rPr>
        <w:t xml:space="preserve"> </w:t>
      </w:r>
      <w:r>
        <w:rPr>
          <w:rFonts w:asciiTheme="majorHAnsi" w:hAnsiTheme="majorHAnsi" w:cstheme="majorHAnsi"/>
          <w:bCs/>
          <w:color w:val="000000" w:themeColor="text1"/>
          <w:sz w:val="24"/>
          <w:szCs w:val="24"/>
        </w:rPr>
        <w:t>These reforms were uniformly high across all OUs and field units since the sub-systems were available to all.</w:t>
      </w:r>
      <w:r w:rsidR="00D434EB">
        <w:rPr>
          <w:rFonts w:asciiTheme="majorHAnsi" w:hAnsiTheme="majorHAnsi" w:cstheme="majorHAnsi"/>
          <w:bCs/>
          <w:color w:val="000000" w:themeColor="text1"/>
          <w:sz w:val="24"/>
          <w:szCs w:val="24"/>
        </w:rPr>
        <w:t xml:space="preserve"> </w:t>
      </w:r>
      <w:r>
        <w:rPr>
          <w:rFonts w:asciiTheme="majorHAnsi" w:hAnsiTheme="majorHAnsi" w:cstheme="majorHAnsi"/>
          <w:bCs/>
          <w:color w:val="000000" w:themeColor="text1"/>
          <w:sz w:val="24"/>
          <w:szCs w:val="24"/>
        </w:rPr>
        <w:t>It is clear that the systems are already fully embedded in the DepEd operations, driving strong sustainability.</w:t>
      </w:r>
      <w:r w:rsidR="00D434EB">
        <w:rPr>
          <w:rFonts w:asciiTheme="majorHAnsi" w:hAnsiTheme="majorHAnsi" w:cstheme="majorHAnsi"/>
          <w:bCs/>
          <w:color w:val="000000" w:themeColor="text1"/>
          <w:sz w:val="24"/>
          <w:szCs w:val="24"/>
        </w:rPr>
        <w:t xml:space="preserve"> </w:t>
      </w:r>
      <w:r>
        <w:rPr>
          <w:rFonts w:asciiTheme="majorHAnsi" w:hAnsiTheme="majorHAnsi" w:cstheme="majorHAnsi"/>
          <w:bCs/>
          <w:color w:val="000000" w:themeColor="text1"/>
          <w:sz w:val="24"/>
          <w:szCs w:val="24"/>
        </w:rPr>
        <w:t xml:space="preserve"> </w:t>
      </w:r>
    </w:p>
    <w:p w14:paraId="1794D7BD" w14:textId="75DA35F5" w:rsidR="008D0CAD" w:rsidRDefault="008D0CAD" w:rsidP="002320B3">
      <w:pPr>
        <w:tabs>
          <w:tab w:val="num" w:pos="720"/>
        </w:tabs>
        <w:spacing w:before="100" w:beforeAutospacing="1" w:after="100" w:afterAutospacing="1" w:line="360" w:lineRule="auto"/>
        <w:rPr>
          <w:rFonts w:asciiTheme="majorHAnsi" w:hAnsiTheme="majorHAnsi" w:cstheme="majorHAnsi"/>
          <w:color w:val="000000"/>
        </w:rPr>
      </w:pPr>
      <w:r>
        <w:rPr>
          <w:rFonts w:asciiTheme="majorHAnsi" w:hAnsiTheme="majorHAnsi" w:cstheme="majorHAnsi"/>
          <w:color w:val="000000"/>
        </w:rPr>
        <w:t>On the other hand, strengthening of the Gender Focal Point System (</w:t>
      </w:r>
      <w:r w:rsidRPr="00642448">
        <w:rPr>
          <w:rFonts w:asciiTheme="majorHAnsi" w:hAnsiTheme="majorHAnsi" w:cstheme="majorHAnsi"/>
          <w:color w:val="000000"/>
        </w:rPr>
        <w:t>GFPS</w:t>
      </w:r>
      <w:r>
        <w:rPr>
          <w:rFonts w:asciiTheme="majorHAnsi" w:hAnsiTheme="majorHAnsi" w:cstheme="majorHAnsi"/>
          <w:color w:val="000000"/>
        </w:rPr>
        <w:t>)</w:t>
      </w:r>
      <w:r w:rsidRPr="00124801">
        <w:rPr>
          <w:rFonts w:asciiTheme="majorHAnsi" w:hAnsiTheme="majorHAnsi" w:cstheme="majorHAnsi"/>
          <w:color w:val="000000"/>
        </w:rPr>
        <w:t xml:space="preserve"> </w:t>
      </w:r>
      <w:r>
        <w:rPr>
          <w:rFonts w:asciiTheme="majorHAnsi" w:hAnsiTheme="majorHAnsi" w:cstheme="majorHAnsi"/>
          <w:color w:val="000000"/>
        </w:rPr>
        <w:t>both at the Central Office and at the field unit levels did not result in significant changes in GAD practices.</w:t>
      </w:r>
      <w:r w:rsidR="00D434EB">
        <w:rPr>
          <w:rFonts w:asciiTheme="majorHAnsi" w:hAnsiTheme="majorHAnsi" w:cstheme="majorHAnsi"/>
          <w:color w:val="000000"/>
        </w:rPr>
        <w:t xml:space="preserve"> </w:t>
      </w:r>
      <w:r>
        <w:rPr>
          <w:rFonts w:asciiTheme="majorHAnsi" w:hAnsiTheme="majorHAnsi" w:cstheme="majorHAnsi"/>
          <w:color w:val="000000"/>
        </w:rPr>
        <w:t>The EOPE Study Team found that the GFPS at the Central Office was not activated as evidenced by difficulty in identifying any official able to explain the operation of the system.</w:t>
      </w:r>
      <w:r w:rsidR="00D434EB">
        <w:rPr>
          <w:rFonts w:asciiTheme="majorHAnsi" w:hAnsiTheme="majorHAnsi" w:cstheme="majorHAnsi"/>
          <w:color w:val="000000"/>
        </w:rPr>
        <w:t xml:space="preserve"> </w:t>
      </w:r>
      <w:r>
        <w:rPr>
          <w:rFonts w:asciiTheme="majorHAnsi" w:hAnsiTheme="majorHAnsi" w:cstheme="majorHAnsi"/>
          <w:color w:val="000000"/>
        </w:rPr>
        <w:t xml:space="preserve"> Most of the </w:t>
      </w:r>
      <w:r>
        <w:rPr>
          <w:rFonts w:asciiTheme="majorHAnsi" w:hAnsiTheme="majorHAnsi" w:cstheme="majorHAnsi"/>
          <w:bCs/>
          <w:color w:val="000000" w:themeColor="text1"/>
        </w:rPr>
        <w:t>Region and Division Offices</w:t>
      </w:r>
      <w:r w:rsidDel="00393361">
        <w:rPr>
          <w:rFonts w:asciiTheme="majorHAnsi" w:hAnsiTheme="majorHAnsi" w:cstheme="majorHAnsi"/>
          <w:color w:val="000000"/>
        </w:rPr>
        <w:t xml:space="preserve"> </w:t>
      </w:r>
      <w:r>
        <w:rPr>
          <w:rFonts w:asciiTheme="majorHAnsi" w:hAnsiTheme="majorHAnsi" w:cstheme="majorHAnsi"/>
          <w:color w:val="000000"/>
        </w:rPr>
        <w:t xml:space="preserve">and schools maintained the traditional practice of assigning GAD focal persons (in schools this is added to the responsibilities of the designated teacher). Knowledge of the GFPS (and consequently on the Magna Carta of Women law that mandated it) remained low. </w:t>
      </w:r>
    </w:p>
    <w:p w14:paraId="4425372A" w14:textId="37644D3E" w:rsidR="008D0CAD" w:rsidRDefault="008D0CAD" w:rsidP="002320B3">
      <w:pPr>
        <w:pStyle w:val="NormalWeb"/>
        <w:spacing w:line="360" w:lineRule="auto"/>
        <w:rPr>
          <w:rFonts w:asciiTheme="majorHAnsi" w:hAnsiTheme="majorHAnsi" w:cstheme="majorHAnsi"/>
        </w:rPr>
      </w:pPr>
      <w:r>
        <w:rPr>
          <w:rFonts w:asciiTheme="majorHAnsi" w:hAnsiTheme="majorHAnsi" w:cstheme="majorHAnsi"/>
          <w:color w:val="000000"/>
        </w:rPr>
        <w:t>Lastly</w:t>
      </w:r>
      <w:r w:rsidRPr="00CF7336">
        <w:rPr>
          <w:rFonts w:asciiTheme="majorHAnsi" w:hAnsiTheme="majorHAnsi" w:cstheme="majorHAnsi"/>
          <w:color w:val="000000"/>
        </w:rPr>
        <w:t>, the EOPE Study found somewhat</w:t>
      </w:r>
      <w:r>
        <w:rPr>
          <w:rFonts w:asciiTheme="majorHAnsi" w:hAnsiTheme="majorHAnsi" w:cstheme="majorHAnsi"/>
          <w:color w:val="000000"/>
        </w:rPr>
        <w:t xml:space="preserve"> of</w:t>
      </w:r>
      <w:r w:rsidRPr="00CF7336">
        <w:rPr>
          <w:rFonts w:asciiTheme="majorHAnsi" w:hAnsiTheme="majorHAnsi" w:cstheme="majorHAnsi"/>
          <w:color w:val="000000"/>
        </w:rPr>
        <w:t xml:space="preserve"> an incongruity in Program implementation.</w:t>
      </w:r>
      <w:r w:rsidR="00D434EB">
        <w:rPr>
          <w:rFonts w:asciiTheme="majorHAnsi" w:hAnsiTheme="majorHAnsi" w:cstheme="majorHAnsi"/>
          <w:color w:val="000000"/>
        </w:rPr>
        <w:t xml:space="preserve"> </w:t>
      </w:r>
      <w:r w:rsidRPr="00CF7336">
        <w:rPr>
          <w:rFonts w:asciiTheme="majorHAnsi" w:hAnsiTheme="majorHAnsi" w:cstheme="majorHAnsi"/>
          <w:color w:val="000000"/>
        </w:rPr>
        <w:t xml:space="preserve">The Program was implemented using a large-scale approach which meant that </w:t>
      </w:r>
      <w:r>
        <w:rPr>
          <w:rFonts w:asciiTheme="majorHAnsi" w:hAnsiTheme="majorHAnsi" w:cstheme="majorHAnsi"/>
          <w:color w:val="000000"/>
        </w:rPr>
        <w:t>“</w:t>
      </w:r>
      <w:r>
        <w:rPr>
          <w:rFonts w:asciiTheme="majorHAnsi" w:hAnsiTheme="majorHAnsi" w:cstheme="majorHAnsi"/>
          <w:i/>
        </w:rPr>
        <w:t>l</w:t>
      </w:r>
      <w:r w:rsidRPr="00CF7336">
        <w:rPr>
          <w:rFonts w:asciiTheme="majorHAnsi" w:hAnsiTheme="majorHAnsi" w:cstheme="majorHAnsi"/>
          <w:i/>
        </w:rPr>
        <w:t>arge systems change is a confluence of interventions that aims for total systems change</w:t>
      </w:r>
      <w:r>
        <w:rPr>
          <w:rFonts w:asciiTheme="majorHAnsi" w:hAnsiTheme="majorHAnsi" w:cstheme="majorHAnsi"/>
          <w:i/>
        </w:rPr>
        <w:t>…</w:t>
      </w:r>
      <w:r w:rsidRPr="00CF7336">
        <w:rPr>
          <w:rFonts w:asciiTheme="majorHAnsi" w:hAnsiTheme="majorHAnsi" w:cstheme="majorHAnsi"/>
          <w:i/>
        </w:rPr>
        <w:t>of how education is crafted and delivered in the Philippines.”</w:t>
      </w:r>
      <w:r w:rsidR="00D434EB">
        <w:rPr>
          <w:rFonts w:asciiTheme="majorHAnsi" w:hAnsiTheme="majorHAnsi" w:cstheme="majorHAnsi"/>
        </w:rPr>
        <w:t xml:space="preserve"> </w:t>
      </w:r>
      <w:r>
        <w:rPr>
          <w:rFonts w:asciiTheme="majorHAnsi" w:hAnsiTheme="majorHAnsi" w:cstheme="majorHAnsi"/>
        </w:rPr>
        <w:t>However, the Program simultaneously implemented a pilot testing approach (with the six BEST Regions) while cascading reforms nationwide (through the interventions of the various DepEd OUs).</w:t>
      </w:r>
      <w:r w:rsidR="00D434EB">
        <w:rPr>
          <w:rFonts w:asciiTheme="majorHAnsi" w:hAnsiTheme="majorHAnsi" w:cstheme="majorHAnsi"/>
        </w:rPr>
        <w:t xml:space="preserve"> </w:t>
      </w:r>
      <w:r>
        <w:rPr>
          <w:rFonts w:asciiTheme="majorHAnsi" w:hAnsiTheme="majorHAnsi" w:cstheme="majorHAnsi"/>
        </w:rPr>
        <w:t>This dispersed implementation approach appears to have contributed to the lack of significant, measurable effects of the Program on the direct recipient schools when compared with the indirect recipient schools.</w:t>
      </w:r>
    </w:p>
    <w:p w14:paraId="62C2275D" w14:textId="77777777" w:rsidR="008D0CAD" w:rsidRDefault="008D0CAD" w:rsidP="002320B3">
      <w:pPr>
        <w:spacing w:before="100" w:beforeAutospacing="1" w:after="100" w:afterAutospacing="1" w:line="360" w:lineRule="auto"/>
        <w:rPr>
          <w:rFonts w:asciiTheme="majorHAnsi" w:hAnsiTheme="majorHAnsi" w:cstheme="majorHAnsi"/>
          <w:b/>
          <w:bCs/>
          <w:color w:val="000000" w:themeColor="text1"/>
        </w:rPr>
      </w:pPr>
      <w:r w:rsidRPr="00C9565C">
        <w:rPr>
          <w:rFonts w:asciiTheme="majorHAnsi" w:hAnsiTheme="majorHAnsi" w:cstheme="majorHAnsi"/>
          <w:b/>
          <w:bCs/>
          <w:color w:val="000000" w:themeColor="text1"/>
        </w:rPr>
        <w:t xml:space="preserve">On </w:t>
      </w:r>
      <w:r>
        <w:rPr>
          <w:rFonts w:asciiTheme="majorHAnsi" w:hAnsiTheme="majorHAnsi" w:cstheme="majorHAnsi"/>
          <w:b/>
          <w:bCs/>
          <w:color w:val="000000" w:themeColor="text1"/>
        </w:rPr>
        <w:t>Program Governance and Management</w:t>
      </w:r>
    </w:p>
    <w:p w14:paraId="4D6D0435" w14:textId="77777777" w:rsidR="008D0CAD" w:rsidRDefault="008D0CAD" w:rsidP="002320B3">
      <w:pPr>
        <w:pStyle w:val="NormalWeb"/>
        <w:spacing w:line="360" w:lineRule="auto"/>
        <w:rPr>
          <w:rFonts w:asciiTheme="majorHAnsi" w:hAnsiTheme="majorHAnsi" w:cstheme="majorHAnsi"/>
        </w:rPr>
      </w:pPr>
      <w:r>
        <w:rPr>
          <w:rFonts w:asciiTheme="majorHAnsi" w:hAnsiTheme="majorHAnsi" w:cstheme="majorHAnsi"/>
          <w:color w:val="000000"/>
        </w:rPr>
        <w:t>The BEST Program experienced significant challenges over its lifetime</w:t>
      </w:r>
      <w:r>
        <w:rPr>
          <w:rFonts w:asciiTheme="majorHAnsi" w:hAnsiTheme="majorHAnsi" w:cstheme="majorHAnsi"/>
        </w:rPr>
        <w:t>. The EOPE Study found that the Program was originally well-designed and had appropriate components to support its Theory of Change. It initially also had systems and procedures in the design that would have guided better implementation.</w:t>
      </w:r>
    </w:p>
    <w:p w14:paraId="6A4754E5" w14:textId="77777777" w:rsidR="008D0CAD" w:rsidRPr="00B07D16" w:rsidRDefault="008D0CAD" w:rsidP="002320B3">
      <w:pPr>
        <w:pStyle w:val="NormalWeb"/>
        <w:spacing w:line="360" w:lineRule="auto"/>
        <w:rPr>
          <w:rFonts w:asciiTheme="majorHAnsi" w:hAnsiTheme="majorHAnsi" w:cstheme="majorHAnsi"/>
          <w:color w:val="000000" w:themeColor="text1"/>
        </w:rPr>
      </w:pPr>
      <w:r>
        <w:rPr>
          <w:rFonts w:asciiTheme="majorHAnsi" w:hAnsiTheme="majorHAnsi" w:cstheme="majorHAnsi"/>
        </w:rPr>
        <w:t xml:space="preserve">However, the Study found that the program governance and management structures were not fully in place at the start of </w:t>
      </w:r>
      <w:r w:rsidRPr="00B07D16">
        <w:rPr>
          <w:rFonts w:asciiTheme="majorHAnsi" w:hAnsiTheme="majorHAnsi" w:cstheme="majorHAnsi"/>
          <w:color w:val="000000" w:themeColor="text1"/>
        </w:rPr>
        <w:t>implementation and were only improved after the results of the Independent Progress Review came out, leaving effectively about 18 months of implementation to finali</w:t>
      </w:r>
      <w:r>
        <w:rPr>
          <w:rFonts w:asciiTheme="majorHAnsi" w:hAnsiTheme="majorHAnsi" w:cstheme="majorHAnsi"/>
          <w:color w:val="000000" w:themeColor="text1"/>
        </w:rPr>
        <w:t>s</w:t>
      </w:r>
      <w:r w:rsidRPr="00B07D16">
        <w:rPr>
          <w:rFonts w:asciiTheme="majorHAnsi" w:hAnsiTheme="majorHAnsi" w:cstheme="majorHAnsi"/>
          <w:color w:val="000000" w:themeColor="text1"/>
        </w:rPr>
        <w:t>e all planned deliverables.</w:t>
      </w:r>
    </w:p>
    <w:p w14:paraId="4D90C7C2" w14:textId="77777777" w:rsidR="008D0CAD" w:rsidRPr="00B9496F" w:rsidRDefault="008D0CAD" w:rsidP="002320B3">
      <w:pPr>
        <w:spacing w:before="100" w:beforeAutospacing="1" w:after="100" w:afterAutospacing="1" w:line="360" w:lineRule="auto"/>
        <w:rPr>
          <w:rFonts w:asciiTheme="majorHAnsi" w:hAnsiTheme="majorHAnsi" w:cstheme="majorHAnsi"/>
          <w:b/>
          <w:color w:val="0070C0"/>
        </w:rPr>
      </w:pPr>
      <w:r>
        <w:rPr>
          <w:rFonts w:asciiTheme="majorHAnsi" w:hAnsiTheme="majorHAnsi" w:cstheme="majorHAnsi"/>
          <w:b/>
          <w:color w:val="0070C0"/>
        </w:rPr>
        <w:t>Contribution of BEST Program to Intended Outcomes</w:t>
      </w:r>
    </w:p>
    <w:p w14:paraId="464C2CE7" w14:textId="363D2B4F" w:rsidR="008D0CAD" w:rsidRDefault="008D0CAD" w:rsidP="002320B3">
      <w:pPr>
        <w:spacing w:before="100" w:beforeAutospacing="1" w:after="100" w:afterAutospacing="1" w:line="360" w:lineRule="auto"/>
        <w:rPr>
          <w:rFonts w:asciiTheme="majorHAnsi" w:hAnsiTheme="majorHAnsi" w:cstheme="majorHAnsi"/>
          <w:color w:val="000000" w:themeColor="text1"/>
        </w:rPr>
      </w:pPr>
      <w:r w:rsidRPr="00146E21">
        <w:rPr>
          <w:rFonts w:asciiTheme="majorHAnsi" w:hAnsiTheme="majorHAnsi" w:cstheme="majorHAnsi"/>
          <w:color w:val="000000" w:themeColor="text1"/>
        </w:rPr>
        <w:t xml:space="preserve">The EOPE Study </w:t>
      </w:r>
      <w:r>
        <w:rPr>
          <w:rFonts w:asciiTheme="majorHAnsi" w:hAnsiTheme="majorHAnsi" w:cstheme="majorHAnsi"/>
          <w:color w:val="000000" w:themeColor="text1"/>
        </w:rPr>
        <w:t>did not rate the BEST Program as a whole in terms of its Relevance, Efficiency, Effectiveness and Sustainability (REES) since some Program interventions were excluded from the Study (e.g., Innovation Fund) as well as another segment of the beneficiaries (i.e., secondary schools – the Study focused on elementary schools).</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Instead, each of the 10 BEST Program interventions were assessed and rated in terms of the extent of their contributions to the Program’s three EOPOs and their attendant Intermediate Outcomes (InOs) and Immediate Outcomes (IOs).</w:t>
      </w:r>
      <w:r w:rsidR="00D434EB">
        <w:rPr>
          <w:rFonts w:asciiTheme="majorHAnsi" w:hAnsiTheme="majorHAnsi" w:cstheme="majorHAnsi"/>
          <w:color w:val="000000" w:themeColor="text1"/>
        </w:rPr>
        <w:t xml:space="preserve"> </w:t>
      </w:r>
    </w:p>
    <w:p w14:paraId="73636212" w14:textId="63B333AA" w:rsidR="008D0CAD" w:rsidRDefault="008D0CAD" w:rsidP="002320B3">
      <w:pPr>
        <w:spacing w:before="100" w:beforeAutospacing="1" w:after="100" w:afterAutospacing="1" w:line="360" w:lineRule="auto"/>
        <w:rPr>
          <w:rFonts w:asciiTheme="majorHAnsi" w:hAnsiTheme="majorHAnsi" w:cstheme="majorHAnsi"/>
          <w:bCs/>
          <w:color w:val="000000" w:themeColor="text1"/>
        </w:rPr>
      </w:pPr>
      <w:r>
        <w:rPr>
          <w:rFonts w:asciiTheme="majorHAnsi" w:hAnsiTheme="majorHAnsi" w:cstheme="majorHAnsi"/>
          <w:bCs/>
          <w:color w:val="000000" w:themeColor="text1"/>
        </w:rPr>
        <w:t xml:space="preserve">Four BEST Program interventions contributed to EOPO1 (Student </w:t>
      </w:r>
      <w:r w:rsidRPr="00642448">
        <w:rPr>
          <w:rFonts w:asciiTheme="majorHAnsi" w:hAnsiTheme="majorHAnsi" w:cstheme="majorHAnsi"/>
          <w:bCs/>
          <w:color w:val="000000" w:themeColor="text1"/>
        </w:rPr>
        <w:t xml:space="preserve">Mastery), InO1 and its four Immediate </w:t>
      </w:r>
      <w:r w:rsidRPr="00D365C8">
        <w:rPr>
          <w:rFonts w:asciiTheme="majorHAnsi" w:hAnsiTheme="majorHAnsi" w:cstheme="majorHAnsi"/>
          <w:bCs/>
          <w:color w:val="000000" w:themeColor="text1"/>
        </w:rPr>
        <w:t>Outcomes (IO1 to IO4): L&amp;D System; PPST; C&amp;A; and TPQI (Teacher Pre-Service Quality Improvement).</w:t>
      </w:r>
      <w:r w:rsidR="00D434EB">
        <w:rPr>
          <w:rFonts w:asciiTheme="majorHAnsi" w:hAnsiTheme="majorHAnsi" w:cstheme="majorHAnsi"/>
          <w:bCs/>
          <w:color w:val="000000" w:themeColor="text1"/>
        </w:rPr>
        <w:t xml:space="preserve"> </w:t>
      </w:r>
    </w:p>
    <w:p w14:paraId="46B649AB" w14:textId="4AFB02E6" w:rsidR="008D0CAD" w:rsidRPr="00AD355A" w:rsidRDefault="008D0CAD" w:rsidP="002320B3">
      <w:pPr>
        <w:pStyle w:val="NormalWeb"/>
        <w:spacing w:line="360" w:lineRule="auto"/>
        <w:rPr>
          <w:rFonts w:asciiTheme="majorHAnsi" w:hAnsiTheme="majorHAnsi" w:cstheme="majorHAnsi"/>
          <w:color w:val="000000" w:themeColor="text1"/>
        </w:rPr>
      </w:pPr>
      <w:r>
        <w:rPr>
          <w:rFonts w:asciiTheme="majorHAnsi" w:hAnsiTheme="majorHAnsi" w:cstheme="majorHAnsi"/>
          <w:color w:val="000000" w:themeColor="text1"/>
        </w:rPr>
        <w:t>Curriculum and Assessment was found to be h</w:t>
      </w:r>
      <w:r w:rsidRPr="00AD355A">
        <w:rPr>
          <w:rFonts w:asciiTheme="majorHAnsi" w:hAnsiTheme="majorHAnsi" w:cstheme="majorHAnsi"/>
          <w:color w:val="000000" w:themeColor="text1"/>
        </w:rPr>
        <w:t>ighly relevant</w:t>
      </w:r>
      <w:r>
        <w:rPr>
          <w:rFonts w:asciiTheme="majorHAnsi" w:hAnsiTheme="majorHAnsi" w:cstheme="majorHAnsi"/>
          <w:color w:val="000000" w:themeColor="text1"/>
        </w:rPr>
        <w:t xml:space="preserve"> and have h</w:t>
      </w:r>
      <w:r w:rsidRPr="00AD355A">
        <w:rPr>
          <w:rFonts w:asciiTheme="majorHAnsi" w:hAnsiTheme="majorHAnsi" w:cstheme="majorHAnsi"/>
          <w:color w:val="000000" w:themeColor="text1"/>
        </w:rPr>
        <w:t>ighly significant</w:t>
      </w:r>
      <w:r>
        <w:rPr>
          <w:rFonts w:asciiTheme="majorHAnsi" w:hAnsiTheme="majorHAnsi" w:cstheme="majorHAnsi"/>
          <w:color w:val="000000" w:themeColor="text1"/>
        </w:rPr>
        <w:t xml:space="preserve"> contributions to the attainment of Program outcomes.</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It likewise was gauged as having </w:t>
      </w:r>
      <w:r w:rsidRPr="00AD355A">
        <w:rPr>
          <w:rFonts w:asciiTheme="majorHAnsi" w:hAnsiTheme="majorHAnsi" w:cstheme="majorHAnsi"/>
          <w:color w:val="000000" w:themeColor="text1"/>
        </w:rPr>
        <w:t>very High Likelihood</w:t>
      </w:r>
      <w:r>
        <w:rPr>
          <w:rFonts w:asciiTheme="majorHAnsi" w:hAnsiTheme="majorHAnsi" w:cstheme="majorHAnsi"/>
          <w:color w:val="000000" w:themeColor="text1"/>
        </w:rPr>
        <w:t xml:space="preserve"> of Sustainability. </w:t>
      </w:r>
      <w:r w:rsidRPr="00AD355A">
        <w:rPr>
          <w:rFonts w:asciiTheme="majorHAnsi" w:hAnsiTheme="majorHAnsi" w:cstheme="majorHAnsi"/>
          <w:bCs/>
          <w:color w:val="000000" w:themeColor="text1"/>
        </w:rPr>
        <w:t xml:space="preserve">The L&amp;D System </w:t>
      </w:r>
      <w:r>
        <w:rPr>
          <w:rFonts w:asciiTheme="majorHAnsi" w:hAnsiTheme="majorHAnsi" w:cstheme="majorHAnsi"/>
          <w:bCs/>
          <w:color w:val="000000" w:themeColor="text1"/>
        </w:rPr>
        <w:t xml:space="preserve">and PPST were both </w:t>
      </w:r>
      <w:r w:rsidRPr="00AD355A">
        <w:rPr>
          <w:rFonts w:asciiTheme="majorHAnsi" w:hAnsiTheme="majorHAnsi" w:cstheme="majorHAnsi"/>
          <w:bCs/>
          <w:color w:val="000000" w:themeColor="text1"/>
        </w:rPr>
        <w:t xml:space="preserve">assessed as </w:t>
      </w:r>
      <w:r>
        <w:rPr>
          <w:rFonts w:asciiTheme="majorHAnsi" w:hAnsiTheme="majorHAnsi" w:cstheme="majorHAnsi"/>
          <w:bCs/>
          <w:color w:val="000000" w:themeColor="text1"/>
        </w:rPr>
        <w:t>h</w:t>
      </w:r>
      <w:r w:rsidRPr="00AD355A">
        <w:rPr>
          <w:rFonts w:asciiTheme="majorHAnsi" w:hAnsiTheme="majorHAnsi" w:cstheme="majorHAnsi"/>
          <w:bCs/>
          <w:color w:val="000000" w:themeColor="text1"/>
        </w:rPr>
        <w:t>ighly relevant, contribut</w:t>
      </w:r>
      <w:r>
        <w:rPr>
          <w:rFonts w:asciiTheme="majorHAnsi" w:hAnsiTheme="majorHAnsi" w:cstheme="majorHAnsi"/>
          <w:bCs/>
          <w:color w:val="000000" w:themeColor="text1"/>
        </w:rPr>
        <w:t>ing</w:t>
      </w:r>
      <w:r w:rsidRPr="00AD355A">
        <w:rPr>
          <w:rFonts w:asciiTheme="majorHAnsi" w:hAnsiTheme="majorHAnsi" w:cstheme="majorHAnsi"/>
          <w:bCs/>
          <w:color w:val="000000" w:themeColor="text1"/>
        </w:rPr>
        <w:t xml:space="preserve"> significantly to Program outcomes</w:t>
      </w:r>
      <w:r>
        <w:rPr>
          <w:rFonts w:asciiTheme="majorHAnsi" w:hAnsiTheme="majorHAnsi" w:cstheme="majorHAnsi"/>
          <w:bCs/>
          <w:color w:val="000000" w:themeColor="text1"/>
        </w:rPr>
        <w:t>. The</w:t>
      </w:r>
      <w:r w:rsidRPr="00AD355A">
        <w:rPr>
          <w:rFonts w:asciiTheme="majorHAnsi" w:hAnsiTheme="majorHAnsi" w:cstheme="majorHAnsi"/>
          <w:bCs/>
          <w:color w:val="000000" w:themeColor="text1"/>
        </w:rPr>
        <w:t xml:space="preserve"> L&amp;D System </w:t>
      </w:r>
      <w:r>
        <w:rPr>
          <w:rFonts w:asciiTheme="majorHAnsi" w:hAnsiTheme="majorHAnsi" w:cstheme="majorHAnsi"/>
          <w:bCs/>
          <w:color w:val="000000" w:themeColor="text1"/>
        </w:rPr>
        <w:t>was assessed as having a H</w:t>
      </w:r>
      <w:r w:rsidRPr="00AD355A">
        <w:rPr>
          <w:rFonts w:asciiTheme="majorHAnsi" w:hAnsiTheme="majorHAnsi" w:cstheme="majorHAnsi"/>
          <w:bCs/>
          <w:color w:val="000000" w:themeColor="text1"/>
        </w:rPr>
        <w:t xml:space="preserve">igh </w:t>
      </w:r>
      <w:r>
        <w:rPr>
          <w:rFonts w:asciiTheme="majorHAnsi" w:hAnsiTheme="majorHAnsi" w:cstheme="majorHAnsi"/>
          <w:bCs/>
          <w:color w:val="000000" w:themeColor="text1"/>
        </w:rPr>
        <w:t>L</w:t>
      </w:r>
      <w:r w:rsidRPr="00AD355A">
        <w:rPr>
          <w:rFonts w:asciiTheme="majorHAnsi" w:hAnsiTheme="majorHAnsi" w:cstheme="majorHAnsi"/>
          <w:bCs/>
          <w:color w:val="000000" w:themeColor="text1"/>
        </w:rPr>
        <w:t xml:space="preserve">ikelihood of </w:t>
      </w:r>
      <w:r>
        <w:rPr>
          <w:rFonts w:asciiTheme="majorHAnsi" w:hAnsiTheme="majorHAnsi" w:cstheme="majorHAnsi"/>
          <w:bCs/>
          <w:color w:val="000000" w:themeColor="text1"/>
        </w:rPr>
        <w:t>S</w:t>
      </w:r>
      <w:r w:rsidRPr="00AD355A">
        <w:rPr>
          <w:rFonts w:asciiTheme="majorHAnsi" w:hAnsiTheme="majorHAnsi" w:cstheme="majorHAnsi"/>
          <w:bCs/>
          <w:color w:val="000000" w:themeColor="text1"/>
        </w:rPr>
        <w:t>ustainability</w:t>
      </w:r>
      <w:r>
        <w:rPr>
          <w:rFonts w:asciiTheme="majorHAnsi" w:hAnsiTheme="majorHAnsi" w:cstheme="majorHAnsi"/>
          <w:bCs/>
          <w:color w:val="000000" w:themeColor="text1"/>
        </w:rPr>
        <w:t>, and the PPST as having a Very H</w:t>
      </w:r>
      <w:r w:rsidRPr="00AD355A">
        <w:rPr>
          <w:rFonts w:asciiTheme="majorHAnsi" w:hAnsiTheme="majorHAnsi" w:cstheme="majorHAnsi"/>
          <w:bCs/>
          <w:color w:val="000000" w:themeColor="text1"/>
        </w:rPr>
        <w:t xml:space="preserve">igh </w:t>
      </w:r>
      <w:r>
        <w:rPr>
          <w:rFonts w:asciiTheme="majorHAnsi" w:hAnsiTheme="majorHAnsi" w:cstheme="majorHAnsi"/>
          <w:bCs/>
          <w:color w:val="000000" w:themeColor="text1"/>
        </w:rPr>
        <w:t>L</w:t>
      </w:r>
      <w:r w:rsidRPr="00AD355A">
        <w:rPr>
          <w:rFonts w:asciiTheme="majorHAnsi" w:hAnsiTheme="majorHAnsi" w:cstheme="majorHAnsi"/>
          <w:bCs/>
          <w:color w:val="000000" w:themeColor="text1"/>
        </w:rPr>
        <w:t xml:space="preserve">ikelihood of </w:t>
      </w:r>
      <w:r>
        <w:rPr>
          <w:rFonts w:asciiTheme="majorHAnsi" w:hAnsiTheme="majorHAnsi" w:cstheme="majorHAnsi"/>
          <w:bCs/>
          <w:color w:val="000000" w:themeColor="text1"/>
        </w:rPr>
        <w:t>S</w:t>
      </w:r>
      <w:r w:rsidRPr="00AD355A">
        <w:rPr>
          <w:rFonts w:asciiTheme="majorHAnsi" w:hAnsiTheme="majorHAnsi" w:cstheme="majorHAnsi"/>
          <w:bCs/>
          <w:color w:val="000000" w:themeColor="text1"/>
        </w:rPr>
        <w:t>ustainability</w:t>
      </w:r>
      <w:r>
        <w:rPr>
          <w:rFonts w:asciiTheme="majorHAnsi" w:hAnsiTheme="majorHAnsi" w:cstheme="majorHAnsi"/>
          <w:bCs/>
          <w:color w:val="000000" w:themeColor="text1"/>
        </w:rPr>
        <w:t>.</w:t>
      </w:r>
      <w:r w:rsidR="00D434EB">
        <w:rPr>
          <w:rFonts w:asciiTheme="majorHAnsi" w:hAnsiTheme="majorHAnsi" w:cstheme="majorHAnsi"/>
          <w:color w:val="000000" w:themeColor="text1"/>
        </w:rPr>
        <w:t xml:space="preserve"> </w:t>
      </w:r>
      <w:r w:rsidRPr="00AD355A">
        <w:rPr>
          <w:rFonts w:asciiTheme="majorHAnsi" w:hAnsiTheme="majorHAnsi" w:cstheme="majorHAnsi"/>
          <w:color w:val="000000" w:themeColor="text1"/>
        </w:rPr>
        <w:t xml:space="preserve">TPQI </w:t>
      </w:r>
      <w:r>
        <w:rPr>
          <w:rFonts w:asciiTheme="majorHAnsi" w:hAnsiTheme="majorHAnsi" w:cstheme="majorHAnsi"/>
          <w:color w:val="000000" w:themeColor="text1"/>
        </w:rPr>
        <w:t>was rated</w:t>
      </w:r>
      <w:r w:rsidRPr="00AD355A">
        <w:rPr>
          <w:rFonts w:asciiTheme="majorHAnsi" w:hAnsiTheme="majorHAnsi" w:cstheme="majorHAnsi"/>
          <w:color w:val="000000" w:themeColor="text1"/>
        </w:rPr>
        <w:t xml:space="preserve"> Relevant</w:t>
      </w:r>
      <w:r>
        <w:rPr>
          <w:rFonts w:asciiTheme="majorHAnsi" w:hAnsiTheme="majorHAnsi" w:cstheme="majorHAnsi"/>
          <w:color w:val="000000" w:themeColor="text1"/>
        </w:rPr>
        <w:t xml:space="preserve">, its contribution to Program outcomes </w:t>
      </w:r>
      <w:r w:rsidRPr="00AD355A">
        <w:rPr>
          <w:rFonts w:asciiTheme="majorHAnsi" w:hAnsiTheme="majorHAnsi" w:cstheme="majorHAnsi"/>
          <w:color w:val="000000" w:themeColor="text1"/>
        </w:rPr>
        <w:t>considerable</w:t>
      </w:r>
      <w:r>
        <w:rPr>
          <w:rFonts w:asciiTheme="majorHAnsi" w:hAnsiTheme="majorHAnsi" w:cstheme="majorHAnsi"/>
          <w:color w:val="000000" w:themeColor="text1"/>
        </w:rPr>
        <w:t xml:space="preserve"> and its </w:t>
      </w:r>
      <w:r w:rsidRPr="00AD355A">
        <w:rPr>
          <w:rFonts w:asciiTheme="majorHAnsi" w:hAnsiTheme="majorHAnsi" w:cstheme="majorHAnsi"/>
          <w:color w:val="000000" w:themeColor="text1"/>
        </w:rPr>
        <w:t>likelihood</w:t>
      </w:r>
      <w:r>
        <w:rPr>
          <w:rFonts w:asciiTheme="majorHAnsi" w:hAnsiTheme="majorHAnsi" w:cstheme="majorHAnsi"/>
          <w:color w:val="000000" w:themeColor="text1"/>
        </w:rPr>
        <w:t xml:space="preserve"> to sustain program gains was Moderate.</w:t>
      </w:r>
    </w:p>
    <w:p w14:paraId="5A350C25" w14:textId="2C3F2075" w:rsidR="008D0CAD" w:rsidRPr="001C1C92" w:rsidRDefault="008D0CAD" w:rsidP="002320B3">
      <w:pPr>
        <w:spacing w:before="100" w:beforeAutospacing="1" w:after="100" w:afterAutospacing="1" w:line="360" w:lineRule="auto"/>
        <w:rPr>
          <w:rFonts w:asciiTheme="majorHAnsi" w:hAnsiTheme="majorHAnsi" w:cstheme="majorHAnsi"/>
          <w:b/>
          <w:bCs/>
          <w:color w:val="000000" w:themeColor="text1"/>
        </w:rPr>
      </w:pPr>
      <w:r w:rsidRPr="00B07D16">
        <w:rPr>
          <w:rFonts w:asciiTheme="majorHAnsi" w:hAnsiTheme="majorHAnsi" w:cstheme="majorHAnsi"/>
          <w:bCs/>
          <w:color w:val="000000" w:themeColor="text1"/>
        </w:rPr>
        <w:t xml:space="preserve">Classroom Construction, SBM and GEDSI were the three Program interventions </w:t>
      </w:r>
      <w:r>
        <w:rPr>
          <w:rFonts w:asciiTheme="majorHAnsi" w:hAnsiTheme="majorHAnsi" w:cstheme="majorHAnsi"/>
          <w:bCs/>
          <w:color w:val="000000" w:themeColor="text1"/>
        </w:rPr>
        <w:t xml:space="preserve">designed to </w:t>
      </w:r>
      <w:r w:rsidRPr="00B07D16">
        <w:rPr>
          <w:rFonts w:asciiTheme="majorHAnsi" w:hAnsiTheme="majorHAnsi" w:cstheme="majorHAnsi"/>
          <w:bCs/>
          <w:color w:val="000000" w:themeColor="text1"/>
        </w:rPr>
        <w:t>contribut</w:t>
      </w:r>
      <w:r>
        <w:rPr>
          <w:rFonts w:asciiTheme="majorHAnsi" w:hAnsiTheme="majorHAnsi" w:cstheme="majorHAnsi"/>
          <w:bCs/>
          <w:color w:val="000000" w:themeColor="text1"/>
        </w:rPr>
        <w:t>e</w:t>
      </w:r>
      <w:r w:rsidRPr="00B07D16">
        <w:rPr>
          <w:rFonts w:asciiTheme="majorHAnsi" w:hAnsiTheme="majorHAnsi" w:cstheme="majorHAnsi"/>
          <w:bCs/>
          <w:color w:val="000000" w:themeColor="text1"/>
        </w:rPr>
        <w:t xml:space="preserve"> to EOPO2 (Student Participation),</w:t>
      </w:r>
      <w:r>
        <w:rPr>
          <w:rFonts w:asciiTheme="majorHAnsi" w:hAnsiTheme="majorHAnsi" w:cstheme="majorHAnsi"/>
          <w:bCs/>
          <w:color w:val="000000" w:themeColor="text1"/>
        </w:rPr>
        <w:t xml:space="preserve"> along with</w:t>
      </w:r>
      <w:r w:rsidRPr="00B07D16">
        <w:rPr>
          <w:rFonts w:asciiTheme="majorHAnsi" w:hAnsiTheme="majorHAnsi" w:cstheme="majorHAnsi"/>
          <w:bCs/>
          <w:color w:val="000000" w:themeColor="text1"/>
        </w:rPr>
        <w:t xml:space="preserve"> InO2 and IO5 and IO7.</w:t>
      </w:r>
      <w:r w:rsidR="00D434EB">
        <w:rPr>
          <w:rFonts w:asciiTheme="majorHAnsi" w:hAnsiTheme="majorHAnsi" w:cstheme="majorHAnsi"/>
          <w:bCs/>
          <w:color w:val="000000" w:themeColor="text1"/>
        </w:rPr>
        <w:t xml:space="preserve"> </w:t>
      </w:r>
      <w:r w:rsidRPr="00487AFA">
        <w:rPr>
          <w:rFonts w:asciiTheme="majorHAnsi" w:hAnsiTheme="majorHAnsi" w:cstheme="majorHAnsi"/>
          <w:color w:val="000000" w:themeColor="text1"/>
        </w:rPr>
        <w:t xml:space="preserve">SBM was assessed as </w:t>
      </w:r>
      <w:r>
        <w:rPr>
          <w:rFonts w:asciiTheme="majorHAnsi" w:hAnsiTheme="majorHAnsi" w:cstheme="majorHAnsi"/>
          <w:color w:val="000000" w:themeColor="text1"/>
        </w:rPr>
        <w:t>H</w:t>
      </w:r>
      <w:r w:rsidRPr="00487AFA">
        <w:rPr>
          <w:rFonts w:asciiTheme="majorHAnsi" w:hAnsiTheme="majorHAnsi" w:cstheme="majorHAnsi"/>
          <w:color w:val="000000" w:themeColor="text1"/>
        </w:rPr>
        <w:t xml:space="preserve">ighly </w:t>
      </w:r>
      <w:r>
        <w:rPr>
          <w:rFonts w:asciiTheme="majorHAnsi" w:hAnsiTheme="majorHAnsi" w:cstheme="majorHAnsi"/>
          <w:color w:val="000000" w:themeColor="text1"/>
        </w:rPr>
        <w:t>R</w:t>
      </w:r>
      <w:r w:rsidRPr="00487AFA">
        <w:rPr>
          <w:rFonts w:asciiTheme="majorHAnsi" w:hAnsiTheme="majorHAnsi" w:cstheme="majorHAnsi"/>
          <w:color w:val="000000" w:themeColor="text1"/>
        </w:rPr>
        <w:t xml:space="preserve">elevant </w:t>
      </w:r>
      <w:r>
        <w:rPr>
          <w:rFonts w:asciiTheme="majorHAnsi" w:hAnsiTheme="majorHAnsi" w:cstheme="majorHAnsi"/>
          <w:color w:val="000000" w:themeColor="text1"/>
        </w:rPr>
        <w:t>and Classroom Construction and Gender Equality, Disability and Social Inclusion (</w:t>
      </w:r>
      <w:r w:rsidRPr="00642448">
        <w:rPr>
          <w:rFonts w:asciiTheme="majorHAnsi" w:hAnsiTheme="majorHAnsi" w:cstheme="majorHAnsi"/>
          <w:color w:val="000000" w:themeColor="text1"/>
        </w:rPr>
        <w:t>GEDSI</w:t>
      </w:r>
      <w:r>
        <w:rPr>
          <w:rFonts w:asciiTheme="majorHAnsi" w:hAnsiTheme="majorHAnsi" w:cstheme="majorHAnsi"/>
          <w:color w:val="000000" w:themeColor="text1"/>
        </w:rPr>
        <w:t>) interventions</w:t>
      </w:r>
      <w:r w:rsidRPr="00487AFA">
        <w:rPr>
          <w:rFonts w:asciiTheme="majorHAnsi" w:hAnsiTheme="majorHAnsi" w:cstheme="majorHAnsi"/>
          <w:color w:val="000000" w:themeColor="text1"/>
        </w:rPr>
        <w:t xml:space="preserve"> were</w:t>
      </w:r>
      <w:r>
        <w:rPr>
          <w:rFonts w:asciiTheme="majorHAnsi" w:hAnsiTheme="majorHAnsi" w:cstheme="majorHAnsi"/>
          <w:color w:val="000000" w:themeColor="text1"/>
        </w:rPr>
        <w:t xml:space="preserve"> rated</w:t>
      </w:r>
      <w:r w:rsidRPr="00487AFA">
        <w:rPr>
          <w:rFonts w:asciiTheme="majorHAnsi" w:hAnsiTheme="majorHAnsi" w:cstheme="majorHAnsi"/>
          <w:color w:val="000000" w:themeColor="text1"/>
        </w:rPr>
        <w:t xml:space="preserve"> </w:t>
      </w:r>
      <w:r>
        <w:rPr>
          <w:rFonts w:asciiTheme="majorHAnsi" w:hAnsiTheme="majorHAnsi" w:cstheme="majorHAnsi"/>
          <w:color w:val="000000" w:themeColor="text1"/>
        </w:rPr>
        <w:t>R</w:t>
      </w:r>
      <w:r w:rsidRPr="00487AFA">
        <w:rPr>
          <w:rFonts w:asciiTheme="majorHAnsi" w:hAnsiTheme="majorHAnsi" w:cstheme="majorHAnsi"/>
          <w:color w:val="000000" w:themeColor="text1"/>
        </w:rPr>
        <w:t>elevant.</w:t>
      </w:r>
      <w:r w:rsidR="00D434EB">
        <w:rPr>
          <w:rFonts w:asciiTheme="majorHAnsi" w:hAnsiTheme="majorHAnsi" w:cstheme="majorHAnsi"/>
          <w:color w:val="000000" w:themeColor="text1"/>
        </w:rPr>
        <w:t xml:space="preserve"> </w:t>
      </w:r>
      <w:r w:rsidRPr="00487AFA">
        <w:rPr>
          <w:rFonts w:asciiTheme="majorHAnsi" w:hAnsiTheme="majorHAnsi" w:cstheme="majorHAnsi"/>
          <w:color w:val="000000" w:themeColor="text1"/>
        </w:rPr>
        <w:t>SBM and Classroom Construction significantly contributed to Program outcomes but GEDSI’s contrib</w:t>
      </w:r>
      <w:r w:rsidRPr="001C1C92">
        <w:rPr>
          <w:rFonts w:asciiTheme="majorHAnsi" w:hAnsiTheme="majorHAnsi" w:cstheme="majorHAnsi"/>
          <w:color w:val="000000" w:themeColor="text1"/>
        </w:rPr>
        <w:t>utions were considerable.</w:t>
      </w:r>
      <w:r w:rsidR="00D434EB">
        <w:rPr>
          <w:rFonts w:asciiTheme="majorHAnsi" w:hAnsiTheme="majorHAnsi" w:cstheme="majorHAnsi"/>
          <w:color w:val="000000" w:themeColor="text1"/>
        </w:rPr>
        <w:t xml:space="preserve"> </w:t>
      </w:r>
      <w:r w:rsidRPr="001C1C92">
        <w:rPr>
          <w:rFonts w:asciiTheme="majorHAnsi" w:hAnsiTheme="majorHAnsi" w:cstheme="majorHAnsi"/>
          <w:color w:val="000000" w:themeColor="text1"/>
        </w:rPr>
        <w:t xml:space="preserve">SBM had </w:t>
      </w:r>
      <w:r>
        <w:rPr>
          <w:rFonts w:asciiTheme="majorHAnsi" w:hAnsiTheme="majorHAnsi" w:cstheme="majorHAnsi"/>
          <w:color w:val="000000" w:themeColor="text1"/>
        </w:rPr>
        <w:t>H</w:t>
      </w:r>
      <w:r w:rsidRPr="001C1C92">
        <w:rPr>
          <w:rFonts w:asciiTheme="majorHAnsi" w:hAnsiTheme="majorHAnsi" w:cstheme="majorHAnsi"/>
          <w:color w:val="000000" w:themeColor="text1"/>
        </w:rPr>
        <w:t xml:space="preserve">igh </w:t>
      </w:r>
      <w:r>
        <w:rPr>
          <w:rFonts w:asciiTheme="majorHAnsi" w:hAnsiTheme="majorHAnsi" w:cstheme="majorHAnsi"/>
          <w:color w:val="000000" w:themeColor="text1"/>
        </w:rPr>
        <w:t>L</w:t>
      </w:r>
      <w:r w:rsidRPr="001C1C92">
        <w:rPr>
          <w:rFonts w:asciiTheme="majorHAnsi" w:hAnsiTheme="majorHAnsi" w:cstheme="majorHAnsi"/>
          <w:color w:val="000000" w:themeColor="text1"/>
        </w:rPr>
        <w:t xml:space="preserve">ikelihood of </w:t>
      </w:r>
      <w:r>
        <w:rPr>
          <w:rFonts w:asciiTheme="majorHAnsi" w:hAnsiTheme="majorHAnsi" w:cstheme="majorHAnsi"/>
          <w:color w:val="000000" w:themeColor="text1"/>
        </w:rPr>
        <w:t>S</w:t>
      </w:r>
      <w:r w:rsidRPr="001C1C92">
        <w:rPr>
          <w:rFonts w:asciiTheme="majorHAnsi" w:hAnsiTheme="majorHAnsi" w:cstheme="majorHAnsi"/>
          <w:color w:val="000000" w:themeColor="text1"/>
        </w:rPr>
        <w:t xml:space="preserve">ustainability while both Classroom </w:t>
      </w:r>
      <w:r>
        <w:rPr>
          <w:rFonts w:asciiTheme="majorHAnsi" w:hAnsiTheme="majorHAnsi" w:cstheme="majorHAnsi"/>
          <w:color w:val="000000" w:themeColor="text1"/>
        </w:rPr>
        <w:t>C</w:t>
      </w:r>
      <w:r w:rsidRPr="001C1C92">
        <w:rPr>
          <w:rFonts w:asciiTheme="majorHAnsi" w:hAnsiTheme="majorHAnsi" w:cstheme="majorHAnsi"/>
          <w:color w:val="000000" w:themeColor="text1"/>
        </w:rPr>
        <w:t xml:space="preserve">onstruction and GEDSI had </w:t>
      </w:r>
      <w:r>
        <w:rPr>
          <w:rFonts w:asciiTheme="majorHAnsi" w:hAnsiTheme="majorHAnsi" w:cstheme="majorHAnsi"/>
          <w:color w:val="000000" w:themeColor="text1"/>
        </w:rPr>
        <w:t>M</w:t>
      </w:r>
      <w:r w:rsidRPr="001C1C92">
        <w:rPr>
          <w:rFonts w:asciiTheme="majorHAnsi" w:hAnsiTheme="majorHAnsi" w:cstheme="majorHAnsi"/>
          <w:color w:val="000000" w:themeColor="text1"/>
        </w:rPr>
        <w:t xml:space="preserve">oderate </w:t>
      </w:r>
      <w:r>
        <w:rPr>
          <w:rFonts w:asciiTheme="majorHAnsi" w:hAnsiTheme="majorHAnsi" w:cstheme="majorHAnsi"/>
          <w:color w:val="000000" w:themeColor="text1"/>
        </w:rPr>
        <w:t>L</w:t>
      </w:r>
      <w:r w:rsidRPr="001C1C92">
        <w:rPr>
          <w:rFonts w:asciiTheme="majorHAnsi" w:hAnsiTheme="majorHAnsi" w:cstheme="majorHAnsi"/>
          <w:color w:val="000000" w:themeColor="text1"/>
        </w:rPr>
        <w:t>ikelihood</w:t>
      </w:r>
      <w:r w:rsidRPr="003615B8">
        <w:rPr>
          <w:rFonts w:asciiTheme="majorHAnsi" w:hAnsiTheme="majorHAnsi" w:cstheme="majorHAnsi"/>
          <w:color w:val="000000" w:themeColor="text1"/>
        </w:rPr>
        <w:t xml:space="preserve"> </w:t>
      </w:r>
      <w:r w:rsidRPr="001C1C92">
        <w:rPr>
          <w:rFonts w:asciiTheme="majorHAnsi" w:hAnsiTheme="majorHAnsi" w:cstheme="majorHAnsi"/>
          <w:color w:val="000000" w:themeColor="text1"/>
        </w:rPr>
        <w:t xml:space="preserve">of </w:t>
      </w:r>
      <w:r>
        <w:rPr>
          <w:rFonts w:asciiTheme="majorHAnsi" w:hAnsiTheme="majorHAnsi" w:cstheme="majorHAnsi"/>
          <w:color w:val="000000" w:themeColor="text1"/>
        </w:rPr>
        <w:t>S</w:t>
      </w:r>
      <w:r w:rsidRPr="001C1C92">
        <w:rPr>
          <w:rFonts w:asciiTheme="majorHAnsi" w:hAnsiTheme="majorHAnsi" w:cstheme="majorHAnsi"/>
          <w:color w:val="000000" w:themeColor="text1"/>
        </w:rPr>
        <w:t>ustainability</w:t>
      </w:r>
      <w:r w:rsidRPr="001C1C92">
        <w:rPr>
          <w:rFonts w:asciiTheme="majorHAnsi" w:hAnsiTheme="majorHAnsi" w:cstheme="majorHAnsi"/>
          <w:b/>
          <w:bCs/>
          <w:color w:val="000000" w:themeColor="text1"/>
        </w:rPr>
        <w:t>.</w:t>
      </w:r>
    </w:p>
    <w:p w14:paraId="401FDE47" w14:textId="300AD9B4" w:rsidR="008D0CAD" w:rsidRPr="00AD355A" w:rsidRDefault="008D0CAD" w:rsidP="002320B3">
      <w:pPr>
        <w:spacing w:before="100" w:beforeAutospacing="1" w:after="100" w:afterAutospacing="1" w:line="360" w:lineRule="auto"/>
        <w:rPr>
          <w:rFonts w:asciiTheme="majorHAnsi" w:hAnsiTheme="majorHAnsi" w:cstheme="majorHAnsi"/>
          <w:bCs/>
          <w:color w:val="000000" w:themeColor="text1"/>
        </w:rPr>
      </w:pPr>
      <w:r w:rsidRPr="00AD355A">
        <w:rPr>
          <w:rFonts w:asciiTheme="majorHAnsi" w:hAnsiTheme="majorHAnsi" w:cstheme="majorHAnsi"/>
          <w:bCs/>
          <w:color w:val="000000" w:themeColor="text1"/>
        </w:rPr>
        <w:t xml:space="preserve">Five Program interventions contributed to EOPO3 (Systemic Reforms), InO3 and its three Immediate Outcomes (IO8, IO9 </w:t>
      </w:r>
      <w:r w:rsidRPr="003215AA">
        <w:rPr>
          <w:rFonts w:asciiTheme="majorHAnsi" w:hAnsiTheme="majorHAnsi" w:cstheme="majorHAnsi"/>
          <w:bCs/>
          <w:color w:val="000000" w:themeColor="text1"/>
        </w:rPr>
        <w:t>and IO11): PPMES; SBM; UISS; GEDSI; and OD.</w:t>
      </w:r>
      <w:r w:rsidR="00D434EB">
        <w:rPr>
          <w:rFonts w:asciiTheme="majorHAnsi" w:hAnsiTheme="majorHAnsi" w:cstheme="majorHAnsi"/>
          <w:bCs/>
          <w:color w:val="000000" w:themeColor="text1"/>
        </w:rPr>
        <w:t xml:space="preserve"> </w:t>
      </w:r>
      <w:r w:rsidRPr="003215AA">
        <w:rPr>
          <w:rFonts w:asciiTheme="majorHAnsi" w:hAnsiTheme="majorHAnsi" w:cstheme="majorHAnsi"/>
          <w:bCs/>
          <w:color w:val="000000" w:themeColor="text1"/>
        </w:rPr>
        <w:t xml:space="preserve">The assessments were as follows: PPMES </w:t>
      </w:r>
      <w:r>
        <w:rPr>
          <w:rFonts w:asciiTheme="majorHAnsi" w:hAnsiTheme="majorHAnsi" w:cstheme="majorHAnsi"/>
          <w:bCs/>
          <w:color w:val="000000" w:themeColor="text1"/>
        </w:rPr>
        <w:t>was</w:t>
      </w:r>
      <w:r w:rsidRPr="003215AA">
        <w:rPr>
          <w:rFonts w:asciiTheme="majorHAnsi" w:hAnsiTheme="majorHAnsi" w:cstheme="majorHAnsi"/>
          <w:bCs/>
          <w:color w:val="000000" w:themeColor="text1"/>
        </w:rPr>
        <w:t xml:space="preserve"> </w:t>
      </w:r>
      <w:r>
        <w:rPr>
          <w:rFonts w:asciiTheme="majorHAnsi" w:hAnsiTheme="majorHAnsi" w:cstheme="majorHAnsi"/>
          <w:bCs/>
          <w:color w:val="000000" w:themeColor="text1"/>
        </w:rPr>
        <w:t>rated R</w:t>
      </w:r>
      <w:r w:rsidRPr="003215AA">
        <w:rPr>
          <w:rFonts w:asciiTheme="majorHAnsi" w:hAnsiTheme="majorHAnsi" w:cstheme="majorHAnsi"/>
          <w:bCs/>
          <w:color w:val="000000" w:themeColor="text1"/>
        </w:rPr>
        <w:t xml:space="preserve">elevant, with significant contributions to program outcomes, </w:t>
      </w:r>
      <w:r>
        <w:rPr>
          <w:rFonts w:asciiTheme="majorHAnsi" w:hAnsiTheme="majorHAnsi" w:cstheme="majorHAnsi"/>
          <w:bCs/>
          <w:color w:val="000000" w:themeColor="text1"/>
        </w:rPr>
        <w:t>and H</w:t>
      </w:r>
      <w:r w:rsidRPr="003215AA">
        <w:rPr>
          <w:rFonts w:asciiTheme="majorHAnsi" w:hAnsiTheme="majorHAnsi" w:cstheme="majorHAnsi"/>
          <w:bCs/>
          <w:color w:val="000000" w:themeColor="text1"/>
        </w:rPr>
        <w:t xml:space="preserve">igh </w:t>
      </w:r>
      <w:r>
        <w:rPr>
          <w:rFonts w:asciiTheme="majorHAnsi" w:hAnsiTheme="majorHAnsi" w:cstheme="majorHAnsi"/>
          <w:bCs/>
          <w:color w:val="000000" w:themeColor="text1"/>
        </w:rPr>
        <w:t>L</w:t>
      </w:r>
      <w:r w:rsidRPr="003215AA">
        <w:rPr>
          <w:rFonts w:asciiTheme="majorHAnsi" w:hAnsiTheme="majorHAnsi" w:cstheme="majorHAnsi"/>
          <w:bCs/>
          <w:color w:val="000000" w:themeColor="text1"/>
        </w:rPr>
        <w:t xml:space="preserve">ikelihood of </w:t>
      </w:r>
      <w:r>
        <w:rPr>
          <w:rFonts w:asciiTheme="majorHAnsi" w:hAnsiTheme="majorHAnsi" w:cstheme="majorHAnsi"/>
          <w:bCs/>
          <w:color w:val="000000" w:themeColor="text1"/>
        </w:rPr>
        <w:t>S</w:t>
      </w:r>
      <w:r w:rsidRPr="003215AA">
        <w:rPr>
          <w:rFonts w:asciiTheme="majorHAnsi" w:hAnsiTheme="majorHAnsi" w:cstheme="majorHAnsi"/>
          <w:bCs/>
          <w:color w:val="000000" w:themeColor="text1"/>
        </w:rPr>
        <w:t>ustainability;</w:t>
      </w:r>
      <w:r>
        <w:rPr>
          <w:rFonts w:asciiTheme="majorHAnsi" w:hAnsiTheme="majorHAnsi" w:cstheme="majorHAnsi"/>
          <w:bCs/>
          <w:color w:val="000000" w:themeColor="text1"/>
        </w:rPr>
        <w:t xml:space="preserve"> </w:t>
      </w:r>
      <w:r w:rsidRPr="003215AA">
        <w:rPr>
          <w:rFonts w:asciiTheme="majorHAnsi" w:hAnsiTheme="majorHAnsi" w:cstheme="majorHAnsi"/>
          <w:bCs/>
          <w:color w:val="000000" w:themeColor="text1"/>
        </w:rPr>
        <w:t xml:space="preserve">UISS </w:t>
      </w:r>
      <w:r>
        <w:rPr>
          <w:rFonts w:asciiTheme="majorHAnsi" w:hAnsiTheme="majorHAnsi" w:cstheme="majorHAnsi"/>
          <w:bCs/>
          <w:color w:val="000000" w:themeColor="text1"/>
        </w:rPr>
        <w:t>was</w:t>
      </w:r>
      <w:r w:rsidRPr="003215AA">
        <w:rPr>
          <w:rFonts w:asciiTheme="majorHAnsi" w:hAnsiTheme="majorHAnsi" w:cstheme="majorHAnsi"/>
          <w:bCs/>
          <w:color w:val="000000" w:themeColor="text1"/>
        </w:rPr>
        <w:t xml:space="preserve"> </w:t>
      </w:r>
      <w:r>
        <w:rPr>
          <w:rFonts w:asciiTheme="majorHAnsi" w:hAnsiTheme="majorHAnsi" w:cstheme="majorHAnsi"/>
          <w:bCs/>
          <w:color w:val="000000" w:themeColor="text1"/>
        </w:rPr>
        <w:t>R</w:t>
      </w:r>
      <w:r w:rsidRPr="003215AA">
        <w:rPr>
          <w:rFonts w:asciiTheme="majorHAnsi" w:hAnsiTheme="majorHAnsi" w:cstheme="majorHAnsi"/>
          <w:bCs/>
          <w:color w:val="000000" w:themeColor="text1"/>
        </w:rPr>
        <w:t xml:space="preserve">elevant, </w:t>
      </w:r>
      <w:r>
        <w:rPr>
          <w:rFonts w:asciiTheme="majorHAnsi" w:hAnsiTheme="majorHAnsi" w:cstheme="majorHAnsi"/>
          <w:bCs/>
          <w:color w:val="000000" w:themeColor="text1"/>
        </w:rPr>
        <w:t>with h</w:t>
      </w:r>
      <w:r w:rsidRPr="003215AA">
        <w:rPr>
          <w:rFonts w:asciiTheme="majorHAnsi" w:hAnsiTheme="majorHAnsi" w:cstheme="majorHAnsi"/>
          <w:bCs/>
          <w:color w:val="000000" w:themeColor="text1"/>
        </w:rPr>
        <w:t xml:space="preserve">igh significant contributions to program outcomes and </w:t>
      </w:r>
      <w:r>
        <w:rPr>
          <w:rFonts w:asciiTheme="majorHAnsi" w:hAnsiTheme="majorHAnsi" w:cstheme="majorHAnsi"/>
          <w:bCs/>
          <w:color w:val="000000" w:themeColor="text1"/>
        </w:rPr>
        <w:t>H</w:t>
      </w:r>
      <w:r w:rsidRPr="003215AA">
        <w:rPr>
          <w:rFonts w:asciiTheme="majorHAnsi" w:hAnsiTheme="majorHAnsi" w:cstheme="majorHAnsi"/>
          <w:bCs/>
          <w:color w:val="000000" w:themeColor="text1"/>
        </w:rPr>
        <w:t xml:space="preserve">igh </w:t>
      </w:r>
      <w:r>
        <w:rPr>
          <w:rFonts w:asciiTheme="majorHAnsi" w:hAnsiTheme="majorHAnsi" w:cstheme="majorHAnsi"/>
          <w:bCs/>
          <w:color w:val="000000" w:themeColor="text1"/>
        </w:rPr>
        <w:t>L</w:t>
      </w:r>
      <w:r w:rsidRPr="003215AA">
        <w:rPr>
          <w:rFonts w:asciiTheme="majorHAnsi" w:hAnsiTheme="majorHAnsi" w:cstheme="majorHAnsi"/>
          <w:bCs/>
          <w:color w:val="000000" w:themeColor="text1"/>
        </w:rPr>
        <w:t xml:space="preserve">ikelihood of </w:t>
      </w:r>
      <w:r>
        <w:rPr>
          <w:rFonts w:asciiTheme="majorHAnsi" w:hAnsiTheme="majorHAnsi" w:cstheme="majorHAnsi"/>
          <w:bCs/>
          <w:color w:val="000000" w:themeColor="text1"/>
        </w:rPr>
        <w:t>S</w:t>
      </w:r>
      <w:r w:rsidRPr="003215AA">
        <w:rPr>
          <w:rFonts w:asciiTheme="majorHAnsi" w:hAnsiTheme="majorHAnsi" w:cstheme="majorHAnsi"/>
          <w:bCs/>
          <w:color w:val="000000" w:themeColor="text1"/>
        </w:rPr>
        <w:t>ustainability</w:t>
      </w:r>
      <w:r>
        <w:rPr>
          <w:rFonts w:asciiTheme="majorHAnsi" w:hAnsiTheme="majorHAnsi" w:cstheme="majorHAnsi"/>
          <w:bCs/>
          <w:color w:val="000000" w:themeColor="text1"/>
        </w:rPr>
        <w:t>; and</w:t>
      </w:r>
      <w:r w:rsidR="00D434EB">
        <w:rPr>
          <w:rFonts w:asciiTheme="majorHAnsi" w:hAnsiTheme="majorHAnsi" w:cstheme="majorHAnsi"/>
          <w:bCs/>
          <w:color w:val="000000" w:themeColor="text1"/>
        </w:rPr>
        <w:t xml:space="preserve"> </w:t>
      </w:r>
      <w:r w:rsidRPr="003215AA">
        <w:rPr>
          <w:rFonts w:asciiTheme="majorHAnsi" w:hAnsiTheme="majorHAnsi" w:cstheme="majorHAnsi"/>
          <w:bCs/>
          <w:color w:val="000000" w:themeColor="text1"/>
        </w:rPr>
        <w:t xml:space="preserve">OD </w:t>
      </w:r>
      <w:r>
        <w:rPr>
          <w:rFonts w:asciiTheme="majorHAnsi" w:hAnsiTheme="majorHAnsi" w:cstheme="majorHAnsi"/>
          <w:bCs/>
          <w:color w:val="000000" w:themeColor="text1"/>
        </w:rPr>
        <w:t>was rated r</w:t>
      </w:r>
      <w:r w:rsidRPr="003215AA">
        <w:rPr>
          <w:rFonts w:asciiTheme="majorHAnsi" w:hAnsiTheme="majorHAnsi" w:cstheme="majorHAnsi"/>
          <w:bCs/>
          <w:color w:val="000000" w:themeColor="text1"/>
        </w:rPr>
        <w:t xml:space="preserve">elevant, with significant contributions to program outcomes, </w:t>
      </w:r>
      <w:r>
        <w:rPr>
          <w:rFonts w:asciiTheme="majorHAnsi" w:hAnsiTheme="majorHAnsi" w:cstheme="majorHAnsi"/>
          <w:bCs/>
          <w:color w:val="000000" w:themeColor="text1"/>
        </w:rPr>
        <w:t>and H</w:t>
      </w:r>
      <w:r w:rsidRPr="003215AA">
        <w:rPr>
          <w:rFonts w:asciiTheme="majorHAnsi" w:hAnsiTheme="majorHAnsi" w:cstheme="majorHAnsi"/>
          <w:bCs/>
          <w:color w:val="000000" w:themeColor="text1"/>
        </w:rPr>
        <w:t xml:space="preserve">igh </w:t>
      </w:r>
      <w:r>
        <w:rPr>
          <w:rFonts w:asciiTheme="majorHAnsi" w:hAnsiTheme="majorHAnsi" w:cstheme="majorHAnsi"/>
          <w:bCs/>
          <w:color w:val="000000" w:themeColor="text1"/>
        </w:rPr>
        <w:t>L</w:t>
      </w:r>
      <w:r w:rsidRPr="003215AA">
        <w:rPr>
          <w:rFonts w:asciiTheme="majorHAnsi" w:hAnsiTheme="majorHAnsi" w:cstheme="majorHAnsi"/>
          <w:bCs/>
          <w:color w:val="000000" w:themeColor="text1"/>
        </w:rPr>
        <w:t xml:space="preserve">ikelihood of </w:t>
      </w:r>
      <w:r>
        <w:rPr>
          <w:rFonts w:asciiTheme="majorHAnsi" w:hAnsiTheme="majorHAnsi" w:cstheme="majorHAnsi"/>
          <w:bCs/>
          <w:color w:val="000000" w:themeColor="text1"/>
        </w:rPr>
        <w:t>S</w:t>
      </w:r>
      <w:r w:rsidRPr="003215AA">
        <w:rPr>
          <w:rFonts w:asciiTheme="majorHAnsi" w:hAnsiTheme="majorHAnsi" w:cstheme="majorHAnsi"/>
          <w:bCs/>
          <w:color w:val="000000" w:themeColor="text1"/>
        </w:rPr>
        <w:t>ustainability</w:t>
      </w:r>
      <w:r>
        <w:rPr>
          <w:rFonts w:asciiTheme="majorHAnsi" w:hAnsiTheme="majorHAnsi" w:cstheme="majorHAnsi"/>
          <w:bCs/>
          <w:color w:val="000000" w:themeColor="text1"/>
        </w:rPr>
        <w:t>.</w:t>
      </w:r>
    </w:p>
    <w:p w14:paraId="219F26C8" w14:textId="77777777" w:rsidR="008D0CAD" w:rsidRDefault="008D0CAD" w:rsidP="002320B3">
      <w:pPr>
        <w:spacing w:before="100" w:beforeAutospacing="1" w:after="100" w:afterAutospacing="1" w:line="360" w:lineRule="auto"/>
        <w:rPr>
          <w:rFonts w:asciiTheme="majorHAnsi" w:hAnsiTheme="majorHAnsi" w:cstheme="majorHAnsi"/>
          <w:bCs/>
          <w:color w:val="000000" w:themeColor="text1"/>
        </w:rPr>
      </w:pPr>
      <w:r>
        <w:rPr>
          <w:rFonts w:asciiTheme="majorHAnsi" w:hAnsiTheme="majorHAnsi" w:cstheme="majorHAnsi"/>
          <w:b/>
          <w:color w:val="0070C0"/>
        </w:rPr>
        <w:t>Conclusions and Implications</w:t>
      </w:r>
    </w:p>
    <w:p w14:paraId="719F8A17" w14:textId="0003BA5D" w:rsidR="008D0CAD" w:rsidRPr="0028443F" w:rsidRDefault="008D0CAD" w:rsidP="002320B3">
      <w:pPr>
        <w:spacing w:before="100" w:beforeAutospacing="1" w:after="100" w:afterAutospacing="1" w:line="360" w:lineRule="auto"/>
        <w:rPr>
          <w:rFonts w:asciiTheme="majorHAnsi" w:hAnsiTheme="majorHAnsi" w:cstheme="majorHAnsi"/>
          <w:color w:val="000000" w:themeColor="text1"/>
        </w:rPr>
      </w:pPr>
      <w:r w:rsidRPr="0028443F">
        <w:rPr>
          <w:rFonts w:asciiTheme="majorHAnsi" w:hAnsiTheme="majorHAnsi" w:cstheme="majorHAnsi"/>
          <w:color w:val="000000" w:themeColor="text1"/>
        </w:rPr>
        <w:t xml:space="preserve">From the findings and conclusions, the EOPE Study presents eight implications for the consideration of </w:t>
      </w:r>
      <w:r>
        <w:rPr>
          <w:rFonts w:asciiTheme="majorHAnsi" w:hAnsiTheme="majorHAnsi" w:cstheme="majorHAnsi"/>
          <w:color w:val="000000" w:themeColor="text1"/>
        </w:rPr>
        <w:t>DepEd</w:t>
      </w:r>
      <w:r w:rsidRPr="0028443F">
        <w:rPr>
          <w:rFonts w:asciiTheme="majorHAnsi" w:hAnsiTheme="majorHAnsi" w:cstheme="majorHAnsi"/>
          <w:color w:val="000000" w:themeColor="text1"/>
        </w:rPr>
        <w:t xml:space="preserve"> and DFAT.</w:t>
      </w:r>
      <w:r w:rsidR="00D434EB">
        <w:rPr>
          <w:rFonts w:asciiTheme="majorHAnsi" w:hAnsiTheme="majorHAnsi" w:cstheme="majorHAnsi"/>
          <w:color w:val="000000" w:themeColor="text1"/>
        </w:rPr>
        <w:t xml:space="preserve"> </w:t>
      </w:r>
    </w:p>
    <w:p w14:paraId="1081807B" w14:textId="2A113F14" w:rsidR="008D0CAD" w:rsidRPr="00EE29A0" w:rsidRDefault="008D0CAD" w:rsidP="002320B3">
      <w:pPr>
        <w:pStyle w:val="ListParagraph"/>
        <w:numPr>
          <w:ilvl w:val="0"/>
          <w:numId w:val="49"/>
        </w:numPr>
        <w:spacing w:before="100" w:beforeAutospacing="1" w:after="100" w:afterAutospacing="1" w:line="360" w:lineRule="auto"/>
        <w:contextualSpacing w:val="0"/>
        <w:rPr>
          <w:rFonts w:asciiTheme="majorHAnsi" w:hAnsiTheme="majorHAnsi" w:cstheme="majorHAnsi"/>
          <w:b/>
          <w:color w:val="000000" w:themeColor="text1"/>
        </w:rPr>
      </w:pPr>
      <w:r w:rsidRPr="00EE29A0">
        <w:rPr>
          <w:rFonts w:asciiTheme="majorHAnsi" w:hAnsiTheme="majorHAnsi" w:cstheme="majorHAnsi"/>
          <w:b/>
          <w:color w:val="000000" w:themeColor="text1"/>
        </w:rPr>
        <w:t>Implication No.</w:t>
      </w:r>
      <w:r w:rsidR="00D434EB">
        <w:rPr>
          <w:rFonts w:asciiTheme="majorHAnsi" w:hAnsiTheme="majorHAnsi" w:cstheme="majorHAnsi"/>
          <w:b/>
          <w:color w:val="000000" w:themeColor="text1"/>
        </w:rPr>
        <w:t xml:space="preserve"> </w:t>
      </w:r>
      <w:r w:rsidRPr="00EE29A0">
        <w:rPr>
          <w:rFonts w:asciiTheme="majorHAnsi" w:hAnsiTheme="majorHAnsi" w:cstheme="majorHAnsi"/>
          <w:b/>
          <w:color w:val="000000" w:themeColor="text1"/>
        </w:rPr>
        <w:t xml:space="preserve">1: </w:t>
      </w:r>
      <w:r w:rsidRPr="00EE29A0">
        <w:rPr>
          <w:rFonts w:asciiTheme="majorHAnsi" w:hAnsiTheme="majorHAnsi" w:cstheme="majorHAnsi"/>
          <w:b/>
          <w:iCs/>
          <w:color w:val="000000" w:themeColor="text1"/>
        </w:rPr>
        <w:t>Give sufficient time for r</w:t>
      </w:r>
      <w:r w:rsidRPr="00EE29A0">
        <w:rPr>
          <w:rFonts w:asciiTheme="majorHAnsi" w:hAnsiTheme="majorHAnsi" w:cstheme="majorHAnsi"/>
          <w:b/>
          <w:color w:val="000000" w:themeColor="text1"/>
        </w:rPr>
        <w:t xml:space="preserve">eforms </w:t>
      </w:r>
      <w:r w:rsidRPr="00EE29A0">
        <w:rPr>
          <w:rFonts w:asciiTheme="majorHAnsi" w:hAnsiTheme="majorHAnsi" w:cstheme="majorHAnsi"/>
          <w:b/>
          <w:iCs/>
          <w:color w:val="000000" w:themeColor="text1"/>
        </w:rPr>
        <w:t>or new practices to mature before assessing its outcomes</w:t>
      </w:r>
      <w:r w:rsidRPr="00EE29A0">
        <w:rPr>
          <w:rFonts w:asciiTheme="majorHAnsi" w:hAnsiTheme="majorHAnsi" w:cstheme="majorHAnsi"/>
          <w:b/>
          <w:color w:val="000000" w:themeColor="text1"/>
        </w:rPr>
        <w:t xml:space="preserve"> [</w:t>
      </w:r>
      <w:r>
        <w:rPr>
          <w:rFonts w:asciiTheme="majorHAnsi" w:hAnsiTheme="majorHAnsi" w:cstheme="majorHAnsi"/>
          <w:b/>
          <w:color w:val="000000" w:themeColor="text1"/>
        </w:rPr>
        <w:t>DepEd</w:t>
      </w:r>
      <w:r w:rsidRPr="00EE29A0">
        <w:rPr>
          <w:rFonts w:asciiTheme="majorHAnsi" w:hAnsiTheme="majorHAnsi" w:cstheme="majorHAnsi"/>
          <w:b/>
          <w:color w:val="000000" w:themeColor="text1"/>
        </w:rPr>
        <w:t>]</w:t>
      </w:r>
    </w:p>
    <w:p w14:paraId="532AA65B" w14:textId="72ADAC12" w:rsidR="008D0CAD" w:rsidRPr="001D3581" w:rsidRDefault="008D0CAD" w:rsidP="002320B3">
      <w:pPr>
        <w:spacing w:before="100" w:beforeAutospacing="1" w:after="100" w:afterAutospacing="1" w:line="360" w:lineRule="auto"/>
        <w:ind w:left="720"/>
        <w:rPr>
          <w:rFonts w:asciiTheme="majorHAnsi" w:hAnsiTheme="majorHAnsi" w:cstheme="majorHAnsi"/>
          <w:bCs/>
          <w:color w:val="000000" w:themeColor="text1"/>
        </w:rPr>
      </w:pPr>
      <w:r w:rsidRPr="001D3581">
        <w:rPr>
          <w:rFonts w:asciiTheme="majorHAnsi" w:hAnsiTheme="majorHAnsi" w:cstheme="majorHAnsi"/>
          <w:bCs/>
          <w:color w:val="000000" w:themeColor="text1"/>
        </w:rPr>
        <w:t xml:space="preserve">At the time of the </w:t>
      </w:r>
      <w:r>
        <w:rPr>
          <w:rFonts w:asciiTheme="majorHAnsi" w:hAnsiTheme="majorHAnsi" w:cstheme="majorHAnsi"/>
          <w:bCs/>
          <w:color w:val="000000" w:themeColor="text1"/>
        </w:rPr>
        <w:t>EOPE Study</w:t>
      </w:r>
      <w:r w:rsidRPr="001D3581">
        <w:rPr>
          <w:rFonts w:asciiTheme="majorHAnsi" w:hAnsiTheme="majorHAnsi" w:cstheme="majorHAnsi"/>
          <w:bCs/>
          <w:color w:val="000000" w:themeColor="text1"/>
        </w:rPr>
        <w:t xml:space="preserve">, the school and learning outcomes were not yet evident mainly because </w:t>
      </w:r>
      <w:r>
        <w:rPr>
          <w:rFonts w:asciiTheme="majorHAnsi" w:hAnsiTheme="majorHAnsi" w:cstheme="majorHAnsi"/>
          <w:bCs/>
          <w:color w:val="000000" w:themeColor="text1"/>
        </w:rPr>
        <w:t>in</w:t>
      </w:r>
      <w:r w:rsidRPr="001D3581">
        <w:rPr>
          <w:rFonts w:asciiTheme="majorHAnsi" w:hAnsiTheme="majorHAnsi" w:cstheme="majorHAnsi"/>
          <w:bCs/>
          <w:color w:val="000000" w:themeColor="text1"/>
        </w:rPr>
        <w:t>sufficient time has passed for the reforms to mature.</w:t>
      </w:r>
      <w:r w:rsidR="00D434EB">
        <w:rPr>
          <w:rFonts w:asciiTheme="majorHAnsi" w:hAnsiTheme="majorHAnsi" w:cstheme="majorHAnsi"/>
          <w:bCs/>
          <w:color w:val="000000" w:themeColor="text1"/>
        </w:rPr>
        <w:t xml:space="preserve"> </w:t>
      </w:r>
      <w:r w:rsidRPr="001D3581">
        <w:rPr>
          <w:rFonts w:asciiTheme="majorHAnsi" w:hAnsiTheme="majorHAnsi" w:cstheme="majorHAnsi"/>
          <w:bCs/>
          <w:color w:val="000000" w:themeColor="text1"/>
        </w:rPr>
        <w:t>Only immediate outcomes were clearly evident, which were related to increases in competencies as a result of capability building programs and availability of teaching-learning materials produced with assistance from the Program.</w:t>
      </w:r>
    </w:p>
    <w:p w14:paraId="263CC953" w14:textId="0BAF12FC" w:rsidR="008D0CAD" w:rsidRPr="00EE29A0" w:rsidRDefault="008D0CAD" w:rsidP="002320B3">
      <w:pPr>
        <w:pStyle w:val="ListParagraph"/>
        <w:numPr>
          <w:ilvl w:val="0"/>
          <w:numId w:val="49"/>
        </w:numPr>
        <w:spacing w:before="100" w:beforeAutospacing="1" w:after="100" w:afterAutospacing="1" w:line="360" w:lineRule="auto"/>
        <w:contextualSpacing w:val="0"/>
        <w:rPr>
          <w:rFonts w:asciiTheme="majorHAnsi" w:hAnsiTheme="majorHAnsi" w:cstheme="majorHAnsi"/>
          <w:b/>
          <w:color w:val="000000" w:themeColor="text1"/>
        </w:rPr>
      </w:pPr>
      <w:r w:rsidRPr="00EE29A0">
        <w:rPr>
          <w:rFonts w:asciiTheme="majorHAnsi" w:hAnsiTheme="majorHAnsi" w:cstheme="majorHAnsi"/>
          <w:b/>
          <w:color w:val="000000" w:themeColor="text1"/>
        </w:rPr>
        <w:t>Implication No.</w:t>
      </w:r>
      <w:r w:rsidR="00D434EB">
        <w:rPr>
          <w:rFonts w:asciiTheme="majorHAnsi" w:hAnsiTheme="majorHAnsi" w:cstheme="majorHAnsi"/>
          <w:b/>
          <w:color w:val="000000" w:themeColor="text1"/>
        </w:rPr>
        <w:t xml:space="preserve"> </w:t>
      </w:r>
      <w:r w:rsidRPr="00EE29A0">
        <w:rPr>
          <w:rFonts w:asciiTheme="majorHAnsi" w:hAnsiTheme="majorHAnsi" w:cstheme="majorHAnsi"/>
          <w:b/>
          <w:color w:val="000000" w:themeColor="text1"/>
        </w:rPr>
        <w:t xml:space="preserve">2: </w:t>
      </w:r>
      <w:r w:rsidRPr="00EE29A0">
        <w:rPr>
          <w:rFonts w:asciiTheme="majorHAnsi" w:hAnsiTheme="majorHAnsi" w:cstheme="majorHAnsi"/>
          <w:b/>
          <w:iCs/>
          <w:color w:val="000000" w:themeColor="text1"/>
        </w:rPr>
        <w:t>F</w:t>
      </w:r>
      <w:r w:rsidRPr="00EE29A0">
        <w:rPr>
          <w:rFonts w:asciiTheme="majorHAnsi" w:hAnsiTheme="majorHAnsi" w:cstheme="majorHAnsi"/>
          <w:b/>
          <w:color w:val="000000" w:themeColor="text1"/>
        </w:rPr>
        <w:t xml:space="preserve">ocus on </w:t>
      </w:r>
      <w:r w:rsidRPr="00EE29A0">
        <w:rPr>
          <w:rFonts w:asciiTheme="majorHAnsi" w:hAnsiTheme="majorHAnsi" w:cstheme="majorHAnsi"/>
          <w:b/>
          <w:iCs/>
          <w:color w:val="000000" w:themeColor="text1"/>
        </w:rPr>
        <w:t>responding to</w:t>
      </w:r>
      <w:r w:rsidRPr="00EE29A0">
        <w:rPr>
          <w:rFonts w:asciiTheme="majorHAnsi" w:hAnsiTheme="majorHAnsi" w:cstheme="majorHAnsi"/>
          <w:b/>
          <w:color w:val="000000" w:themeColor="text1"/>
        </w:rPr>
        <w:t xml:space="preserve"> the barriers </w:t>
      </w:r>
      <w:r w:rsidRPr="00EE29A0">
        <w:rPr>
          <w:rFonts w:asciiTheme="majorHAnsi" w:hAnsiTheme="majorHAnsi" w:cstheme="majorHAnsi"/>
          <w:b/>
          <w:iCs/>
          <w:color w:val="000000" w:themeColor="text1"/>
        </w:rPr>
        <w:t>to the sustainability of the reforms</w:t>
      </w:r>
      <w:r w:rsidRPr="00EE29A0">
        <w:rPr>
          <w:rFonts w:asciiTheme="majorHAnsi" w:hAnsiTheme="majorHAnsi" w:cstheme="majorHAnsi"/>
          <w:b/>
          <w:color w:val="000000" w:themeColor="text1"/>
        </w:rPr>
        <w:t xml:space="preserve"> [</w:t>
      </w:r>
      <w:r>
        <w:rPr>
          <w:rFonts w:asciiTheme="majorHAnsi" w:hAnsiTheme="majorHAnsi" w:cstheme="majorHAnsi"/>
          <w:b/>
          <w:color w:val="000000" w:themeColor="text1"/>
        </w:rPr>
        <w:t>DepEd</w:t>
      </w:r>
      <w:r w:rsidRPr="00EE29A0">
        <w:rPr>
          <w:rFonts w:asciiTheme="majorHAnsi" w:hAnsiTheme="majorHAnsi" w:cstheme="majorHAnsi"/>
          <w:b/>
          <w:color w:val="000000" w:themeColor="text1"/>
        </w:rPr>
        <w:t>]</w:t>
      </w:r>
    </w:p>
    <w:p w14:paraId="05044DF2" w14:textId="567800B9" w:rsidR="008D0CAD" w:rsidRPr="001D3581" w:rsidRDefault="008D0CAD" w:rsidP="002320B3">
      <w:pPr>
        <w:pStyle w:val="Caption"/>
        <w:spacing w:before="100" w:beforeAutospacing="1" w:after="100" w:afterAutospacing="1" w:line="360" w:lineRule="auto"/>
        <w:ind w:left="720"/>
        <w:rPr>
          <w:rFonts w:asciiTheme="majorHAnsi" w:hAnsiTheme="majorHAnsi" w:cstheme="majorHAnsi"/>
          <w:bCs/>
          <w:i w:val="0"/>
          <w:iCs w:val="0"/>
          <w:color w:val="000000" w:themeColor="text1"/>
          <w:sz w:val="24"/>
          <w:szCs w:val="24"/>
        </w:rPr>
      </w:pPr>
      <w:r>
        <w:rPr>
          <w:rFonts w:asciiTheme="majorHAnsi" w:hAnsiTheme="majorHAnsi" w:cstheme="majorHAnsi"/>
          <w:i w:val="0"/>
          <w:iCs w:val="0"/>
          <w:color w:val="000000" w:themeColor="text1"/>
          <w:sz w:val="24"/>
          <w:szCs w:val="24"/>
        </w:rPr>
        <w:t xml:space="preserve">The EOPE Study found evidence of reforms for which practices were already sustained. However, there were also </w:t>
      </w:r>
      <w:r w:rsidRPr="001D3581">
        <w:rPr>
          <w:rFonts w:asciiTheme="majorHAnsi" w:hAnsiTheme="majorHAnsi" w:cstheme="majorHAnsi"/>
          <w:i w:val="0"/>
          <w:iCs w:val="0"/>
          <w:color w:val="000000" w:themeColor="text1"/>
          <w:sz w:val="24"/>
          <w:szCs w:val="24"/>
        </w:rPr>
        <w:t xml:space="preserve">clear manifestations of hindrances to the attainment of </w:t>
      </w:r>
      <w:r>
        <w:rPr>
          <w:rFonts w:asciiTheme="majorHAnsi" w:hAnsiTheme="majorHAnsi" w:cstheme="majorHAnsi"/>
          <w:i w:val="0"/>
          <w:iCs w:val="0"/>
          <w:color w:val="000000" w:themeColor="text1"/>
          <w:sz w:val="24"/>
          <w:szCs w:val="24"/>
        </w:rPr>
        <w:t xml:space="preserve">the Program outcomes relative to </w:t>
      </w:r>
      <w:r w:rsidRPr="001D3581">
        <w:rPr>
          <w:rFonts w:asciiTheme="majorHAnsi" w:hAnsiTheme="majorHAnsi" w:cstheme="majorHAnsi"/>
          <w:i w:val="0"/>
          <w:iCs w:val="0"/>
          <w:color w:val="000000" w:themeColor="text1"/>
          <w:sz w:val="24"/>
          <w:szCs w:val="24"/>
        </w:rPr>
        <w:t>Student Mastery</w:t>
      </w:r>
      <w:r>
        <w:rPr>
          <w:rFonts w:asciiTheme="majorHAnsi" w:hAnsiTheme="majorHAnsi" w:cstheme="majorHAnsi"/>
          <w:bCs/>
          <w:i w:val="0"/>
          <w:iCs w:val="0"/>
          <w:color w:val="000000" w:themeColor="text1"/>
          <w:sz w:val="24"/>
          <w:szCs w:val="24"/>
        </w:rPr>
        <w:t>, foremost of which was the lack of ICT infrastructure (e.g., internet) and capacity (for the older teachers).</w:t>
      </w:r>
      <w:r w:rsidR="00D434EB">
        <w:rPr>
          <w:rFonts w:asciiTheme="majorHAnsi" w:hAnsiTheme="majorHAnsi" w:cstheme="majorHAnsi"/>
          <w:bCs/>
          <w:i w:val="0"/>
          <w:iCs w:val="0"/>
          <w:color w:val="000000" w:themeColor="text1"/>
          <w:sz w:val="24"/>
          <w:szCs w:val="24"/>
        </w:rPr>
        <w:t xml:space="preserve"> </w:t>
      </w:r>
      <w:r>
        <w:rPr>
          <w:rFonts w:asciiTheme="majorHAnsi" w:hAnsiTheme="majorHAnsi" w:cstheme="majorHAnsi"/>
          <w:bCs/>
          <w:i w:val="0"/>
          <w:iCs w:val="0"/>
          <w:color w:val="000000" w:themeColor="text1"/>
          <w:sz w:val="24"/>
          <w:szCs w:val="24"/>
        </w:rPr>
        <w:t>Since many of the reforms introduced by BEST were ICT-enabled, focusing on these barriers will increase the sustainability of the reforms and thus, the Program’s Return on Investment.</w:t>
      </w:r>
    </w:p>
    <w:p w14:paraId="112EF9C2" w14:textId="3CF21631" w:rsidR="008D0CAD" w:rsidRPr="00EE29A0" w:rsidRDefault="008D0CAD" w:rsidP="002320B3">
      <w:pPr>
        <w:pStyle w:val="Caption"/>
        <w:numPr>
          <w:ilvl w:val="0"/>
          <w:numId w:val="49"/>
        </w:numPr>
        <w:spacing w:before="100" w:beforeAutospacing="1" w:after="100" w:afterAutospacing="1" w:line="360" w:lineRule="auto"/>
        <w:rPr>
          <w:rFonts w:asciiTheme="majorHAnsi" w:hAnsiTheme="majorHAnsi" w:cstheme="majorHAnsi"/>
          <w:b/>
          <w:i w:val="0"/>
          <w:iCs w:val="0"/>
          <w:color w:val="000000" w:themeColor="text1"/>
          <w:sz w:val="24"/>
          <w:szCs w:val="24"/>
        </w:rPr>
      </w:pPr>
      <w:r w:rsidRPr="00EE29A0">
        <w:rPr>
          <w:rFonts w:asciiTheme="majorHAnsi" w:hAnsiTheme="majorHAnsi" w:cstheme="majorHAnsi"/>
          <w:b/>
          <w:i w:val="0"/>
          <w:iCs w:val="0"/>
          <w:color w:val="000000" w:themeColor="text1"/>
          <w:sz w:val="24"/>
          <w:szCs w:val="24"/>
        </w:rPr>
        <w:t>Implication No.</w:t>
      </w:r>
      <w:r w:rsidR="00D434EB">
        <w:rPr>
          <w:rFonts w:asciiTheme="majorHAnsi" w:hAnsiTheme="majorHAnsi" w:cstheme="majorHAnsi"/>
          <w:b/>
          <w:i w:val="0"/>
          <w:iCs w:val="0"/>
          <w:color w:val="000000" w:themeColor="text1"/>
          <w:sz w:val="24"/>
          <w:szCs w:val="24"/>
        </w:rPr>
        <w:t xml:space="preserve"> </w:t>
      </w:r>
      <w:r w:rsidR="006E1437">
        <w:rPr>
          <w:rFonts w:asciiTheme="majorHAnsi" w:hAnsiTheme="majorHAnsi" w:cstheme="majorHAnsi"/>
          <w:b/>
          <w:i w:val="0"/>
          <w:iCs w:val="0"/>
          <w:color w:val="000000" w:themeColor="text1"/>
          <w:sz w:val="24"/>
          <w:szCs w:val="24"/>
        </w:rPr>
        <w:t>3</w:t>
      </w:r>
      <w:r w:rsidRPr="00EE29A0">
        <w:rPr>
          <w:rFonts w:asciiTheme="majorHAnsi" w:hAnsiTheme="majorHAnsi" w:cstheme="majorHAnsi"/>
          <w:b/>
          <w:i w:val="0"/>
          <w:iCs w:val="0"/>
          <w:color w:val="000000" w:themeColor="text1"/>
          <w:sz w:val="24"/>
          <w:szCs w:val="24"/>
        </w:rPr>
        <w:t>: In lieu of the “one-size fits all” approach to systemic reforms, a segmented or strategic approach to reforming systems may increase effectiveness [</w:t>
      </w:r>
      <w:r>
        <w:rPr>
          <w:rFonts w:asciiTheme="majorHAnsi" w:hAnsiTheme="majorHAnsi" w:cstheme="majorHAnsi"/>
          <w:b/>
          <w:i w:val="0"/>
          <w:iCs w:val="0"/>
          <w:color w:val="000000" w:themeColor="text1"/>
          <w:sz w:val="24"/>
          <w:szCs w:val="24"/>
        </w:rPr>
        <w:t>DepEd</w:t>
      </w:r>
      <w:r w:rsidRPr="00EE29A0">
        <w:rPr>
          <w:rFonts w:asciiTheme="majorHAnsi" w:hAnsiTheme="majorHAnsi" w:cstheme="majorHAnsi"/>
          <w:b/>
          <w:i w:val="0"/>
          <w:iCs w:val="0"/>
          <w:color w:val="000000" w:themeColor="text1"/>
          <w:sz w:val="24"/>
          <w:szCs w:val="24"/>
        </w:rPr>
        <w:t>]</w:t>
      </w:r>
    </w:p>
    <w:p w14:paraId="52304DD5" w14:textId="5A12AFE8" w:rsidR="008D0CAD" w:rsidRPr="001D3581" w:rsidRDefault="008D0CAD" w:rsidP="002320B3">
      <w:pPr>
        <w:spacing w:before="100" w:beforeAutospacing="1" w:after="100" w:afterAutospacing="1" w:line="360" w:lineRule="auto"/>
        <w:ind w:left="720"/>
        <w:rPr>
          <w:rFonts w:asciiTheme="majorHAnsi" w:hAnsiTheme="majorHAnsi" w:cstheme="majorHAnsi"/>
          <w:color w:val="000000" w:themeColor="text1"/>
        </w:rPr>
      </w:pPr>
      <w:r>
        <w:rPr>
          <w:rFonts w:asciiTheme="majorHAnsi" w:hAnsiTheme="majorHAnsi" w:cstheme="majorHAnsi"/>
          <w:color w:val="000000"/>
        </w:rPr>
        <w:t>Many of t</w:t>
      </w:r>
      <w:r w:rsidRPr="001D3581">
        <w:rPr>
          <w:rFonts w:asciiTheme="majorHAnsi" w:hAnsiTheme="majorHAnsi" w:cstheme="majorHAnsi"/>
          <w:color w:val="000000"/>
        </w:rPr>
        <w:t>he reforms introduced through the BEST Program</w:t>
      </w:r>
      <w:r>
        <w:rPr>
          <w:rFonts w:asciiTheme="majorHAnsi" w:hAnsiTheme="majorHAnsi" w:cstheme="majorHAnsi"/>
          <w:color w:val="000000"/>
        </w:rPr>
        <w:t>,</w:t>
      </w:r>
      <w:r w:rsidRPr="001D3581">
        <w:rPr>
          <w:rFonts w:asciiTheme="majorHAnsi" w:hAnsiTheme="majorHAnsi" w:cstheme="majorHAnsi"/>
          <w:color w:val="000000"/>
        </w:rPr>
        <w:t xml:space="preserve"> such as the PPST and the SBM</w:t>
      </w:r>
      <w:r>
        <w:rPr>
          <w:rFonts w:asciiTheme="majorHAnsi" w:hAnsiTheme="majorHAnsi" w:cstheme="majorHAnsi"/>
          <w:color w:val="000000"/>
        </w:rPr>
        <w:t>,</w:t>
      </w:r>
      <w:r w:rsidRPr="001D3581">
        <w:rPr>
          <w:rFonts w:asciiTheme="majorHAnsi" w:hAnsiTheme="majorHAnsi" w:cstheme="majorHAnsi"/>
          <w:color w:val="000000"/>
        </w:rPr>
        <w:t xml:space="preserve"> were rolled</w:t>
      </w:r>
      <w:r>
        <w:rPr>
          <w:rFonts w:asciiTheme="majorHAnsi" w:hAnsiTheme="majorHAnsi" w:cstheme="majorHAnsi"/>
          <w:color w:val="000000"/>
        </w:rPr>
        <w:t xml:space="preserve"> </w:t>
      </w:r>
      <w:r w:rsidRPr="001D3581">
        <w:rPr>
          <w:rFonts w:asciiTheme="majorHAnsi" w:hAnsiTheme="majorHAnsi" w:cstheme="majorHAnsi"/>
          <w:color w:val="000000"/>
        </w:rPr>
        <w:t>out across all schools.</w:t>
      </w:r>
      <w:r w:rsidR="00D434EB">
        <w:rPr>
          <w:rFonts w:asciiTheme="majorHAnsi" w:hAnsiTheme="majorHAnsi" w:cstheme="majorHAnsi"/>
          <w:color w:val="000000"/>
        </w:rPr>
        <w:t xml:space="preserve"> </w:t>
      </w:r>
      <w:r w:rsidRPr="001D3581">
        <w:rPr>
          <w:rFonts w:asciiTheme="majorHAnsi" w:hAnsiTheme="majorHAnsi" w:cstheme="majorHAnsi"/>
          <w:color w:val="000000"/>
        </w:rPr>
        <w:t xml:space="preserve">However, </w:t>
      </w:r>
      <w:r>
        <w:rPr>
          <w:rFonts w:asciiTheme="majorHAnsi" w:hAnsiTheme="majorHAnsi" w:cstheme="majorHAnsi"/>
          <w:color w:val="000000" w:themeColor="text1"/>
        </w:rPr>
        <w:t>t</w:t>
      </w:r>
      <w:r w:rsidRPr="001D3581">
        <w:rPr>
          <w:rFonts w:asciiTheme="majorHAnsi" w:hAnsiTheme="majorHAnsi" w:cstheme="majorHAnsi"/>
          <w:color w:val="000000" w:themeColor="text1"/>
        </w:rPr>
        <w:t xml:space="preserve">he EOPE Study found </w:t>
      </w:r>
      <w:r>
        <w:rPr>
          <w:rFonts w:asciiTheme="majorHAnsi" w:hAnsiTheme="majorHAnsi" w:cstheme="majorHAnsi"/>
          <w:color w:val="000000" w:themeColor="text1"/>
        </w:rPr>
        <w:t>that some</w:t>
      </w:r>
      <w:r w:rsidRPr="001D3581">
        <w:rPr>
          <w:rFonts w:asciiTheme="majorHAnsi" w:hAnsiTheme="majorHAnsi" w:cstheme="majorHAnsi"/>
          <w:color w:val="000000" w:themeColor="text1"/>
        </w:rPr>
        <w:t xml:space="preserve"> reforms</w:t>
      </w:r>
      <w:r>
        <w:rPr>
          <w:rFonts w:asciiTheme="majorHAnsi" w:hAnsiTheme="majorHAnsi" w:cstheme="majorHAnsi"/>
          <w:color w:val="000000" w:themeColor="text1"/>
        </w:rPr>
        <w:t xml:space="preserve"> </w:t>
      </w:r>
      <w:r w:rsidRPr="001D3581">
        <w:rPr>
          <w:rFonts w:asciiTheme="majorHAnsi" w:hAnsiTheme="majorHAnsi" w:cstheme="majorHAnsi"/>
          <w:color w:val="000000"/>
        </w:rPr>
        <w:t xml:space="preserve">were not appropriate for such a widespread approach and instead could have benefited from a </w:t>
      </w:r>
      <w:r>
        <w:rPr>
          <w:rFonts w:asciiTheme="majorHAnsi" w:hAnsiTheme="majorHAnsi" w:cstheme="majorHAnsi"/>
          <w:color w:val="000000"/>
        </w:rPr>
        <w:t>more targeted,</w:t>
      </w:r>
      <w:r w:rsidRPr="001D3581">
        <w:rPr>
          <w:rFonts w:asciiTheme="majorHAnsi" w:hAnsiTheme="majorHAnsi" w:cstheme="majorHAnsi"/>
          <w:color w:val="000000"/>
        </w:rPr>
        <w:t xml:space="preserve"> strategic approach</w:t>
      </w:r>
      <w:r>
        <w:rPr>
          <w:rFonts w:asciiTheme="majorHAnsi" w:hAnsiTheme="majorHAnsi" w:cstheme="majorHAnsi"/>
          <w:color w:val="000000"/>
        </w:rPr>
        <w:t>.</w:t>
      </w:r>
      <w:r w:rsidR="00D434EB">
        <w:rPr>
          <w:rFonts w:asciiTheme="majorHAnsi" w:hAnsiTheme="majorHAnsi" w:cstheme="majorHAnsi"/>
          <w:color w:val="000000"/>
        </w:rPr>
        <w:t xml:space="preserve"> </w:t>
      </w:r>
      <w:r>
        <w:rPr>
          <w:rFonts w:asciiTheme="majorHAnsi" w:hAnsiTheme="majorHAnsi" w:cstheme="majorHAnsi"/>
          <w:color w:val="000000"/>
        </w:rPr>
        <w:t>Key examples are the Mother Tongue-Based Multilingual Education (MTB-MLE) policy, and Inclusive Education interventions.</w:t>
      </w:r>
    </w:p>
    <w:p w14:paraId="2226D3B9" w14:textId="71208095" w:rsidR="008D0CAD" w:rsidRPr="00EE29A0" w:rsidRDefault="008D0CAD" w:rsidP="002320B3">
      <w:pPr>
        <w:pStyle w:val="ListParagraph"/>
        <w:numPr>
          <w:ilvl w:val="0"/>
          <w:numId w:val="49"/>
        </w:numPr>
        <w:spacing w:before="100" w:beforeAutospacing="1" w:after="100" w:afterAutospacing="1" w:line="360" w:lineRule="auto"/>
        <w:contextualSpacing w:val="0"/>
        <w:rPr>
          <w:rFonts w:asciiTheme="majorHAnsi" w:hAnsiTheme="majorHAnsi" w:cstheme="majorHAnsi"/>
          <w:b/>
          <w:color w:val="000000" w:themeColor="text1"/>
        </w:rPr>
      </w:pPr>
      <w:r w:rsidRPr="00EE29A0">
        <w:rPr>
          <w:rFonts w:asciiTheme="majorHAnsi" w:hAnsiTheme="majorHAnsi" w:cstheme="majorHAnsi"/>
          <w:b/>
          <w:color w:val="000000" w:themeColor="text1"/>
        </w:rPr>
        <w:t>Implication No.</w:t>
      </w:r>
      <w:r w:rsidR="00D434EB">
        <w:rPr>
          <w:rFonts w:asciiTheme="majorHAnsi" w:hAnsiTheme="majorHAnsi" w:cstheme="majorHAnsi"/>
          <w:b/>
          <w:color w:val="000000" w:themeColor="text1"/>
        </w:rPr>
        <w:t xml:space="preserve"> </w:t>
      </w:r>
      <w:r w:rsidR="006E1437">
        <w:rPr>
          <w:rFonts w:asciiTheme="majorHAnsi" w:hAnsiTheme="majorHAnsi" w:cstheme="majorHAnsi"/>
          <w:b/>
          <w:color w:val="000000" w:themeColor="text1"/>
        </w:rPr>
        <w:t>4</w:t>
      </w:r>
      <w:r w:rsidRPr="00EE29A0">
        <w:rPr>
          <w:rFonts w:asciiTheme="majorHAnsi" w:hAnsiTheme="majorHAnsi" w:cstheme="majorHAnsi"/>
          <w:b/>
          <w:color w:val="000000" w:themeColor="text1"/>
        </w:rPr>
        <w:t xml:space="preserve">: Reinforce capacity </w:t>
      </w:r>
      <w:r w:rsidRPr="00EE29A0">
        <w:rPr>
          <w:rFonts w:asciiTheme="majorHAnsi" w:hAnsiTheme="majorHAnsi" w:cstheme="majorHAnsi"/>
          <w:b/>
          <w:iCs/>
          <w:color w:val="000000" w:themeColor="text1"/>
        </w:rPr>
        <w:t xml:space="preserve">of </w:t>
      </w:r>
      <w:r>
        <w:rPr>
          <w:rFonts w:asciiTheme="majorHAnsi" w:hAnsiTheme="majorHAnsi" w:cstheme="majorHAnsi"/>
          <w:b/>
          <w:iCs/>
          <w:color w:val="000000" w:themeColor="text1"/>
        </w:rPr>
        <w:t>DepEd</w:t>
      </w:r>
      <w:r w:rsidRPr="00EE29A0">
        <w:rPr>
          <w:rFonts w:asciiTheme="majorHAnsi" w:hAnsiTheme="majorHAnsi" w:cstheme="majorHAnsi"/>
          <w:b/>
          <w:iCs/>
          <w:color w:val="000000" w:themeColor="text1"/>
        </w:rPr>
        <w:t xml:space="preserve"> (ROs/DOs/schools) and external stakeholders in Participatory Planning and Development</w:t>
      </w:r>
      <w:r w:rsidRPr="00EE29A0">
        <w:rPr>
          <w:rFonts w:asciiTheme="majorHAnsi" w:hAnsiTheme="majorHAnsi" w:cstheme="majorHAnsi"/>
          <w:b/>
          <w:color w:val="000000" w:themeColor="text1"/>
        </w:rPr>
        <w:t xml:space="preserve"> [</w:t>
      </w:r>
      <w:r>
        <w:rPr>
          <w:rFonts w:asciiTheme="majorHAnsi" w:hAnsiTheme="majorHAnsi" w:cstheme="majorHAnsi"/>
          <w:b/>
          <w:color w:val="000000" w:themeColor="text1"/>
        </w:rPr>
        <w:t>DepEd</w:t>
      </w:r>
      <w:r w:rsidRPr="00EE29A0">
        <w:rPr>
          <w:rFonts w:asciiTheme="majorHAnsi" w:hAnsiTheme="majorHAnsi" w:cstheme="majorHAnsi"/>
          <w:b/>
          <w:color w:val="000000" w:themeColor="text1"/>
        </w:rPr>
        <w:t>]</w:t>
      </w:r>
    </w:p>
    <w:p w14:paraId="469536E6" w14:textId="46DA6935" w:rsidR="008D0CAD" w:rsidRPr="00693EEE" w:rsidRDefault="008D0CAD" w:rsidP="002320B3">
      <w:pPr>
        <w:spacing w:before="100" w:beforeAutospacing="1" w:after="100" w:afterAutospacing="1" w:line="360" w:lineRule="auto"/>
        <w:ind w:left="720"/>
        <w:rPr>
          <w:rFonts w:asciiTheme="majorHAnsi" w:hAnsiTheme="majorHAnsi" w:cstheme="majorHAnsi"/>
          <w:bCs/>
          <w:color w:val="000000" w:themeColor="text1"/>
        </w:rPr>
      </w:pPr>
      <w:r w:rsidRPr="00693EEE">
        <w:rPr>
          <w:rFonts w:asciiTheme="majorHAnsi" w:hAnsiTheme="majorHAnsi" w:cstheme="majorHAnsi"/>
          <w:color w:val="000000"/>
        </w:rPr>
        <w:t xml:space="preserve">Inherent in the use of the participatory approach to development is </w:t>
      </w:r>
      <w:r>
        <w:rPr>
          <w:rFonts w:asciiTheme="majorHAnsi" w:hAnsiTheme="majorHAnsi" w:cstheme="majorHAnsi"/>
          <w:color w:val="000000"/>
        </w:rPr>
        <w:t xml:space="preserve">supporting </w:t>
      </w:r>
      <w:r w:rsidRPr="00693EEE">
        <w:rPr>
          <w:rFonts w:asciiTheme="majorHAnsi" w:hAnsiTheme="majorHAnsi" w:cstheme="majorHAnsi"/>
          <w:color w:val="000000"/>
        </w:rPr>
        <w:t xml:space="preserve">capacity </w:t>
      </w:r>
      <w:r>
        <w:rPr>
          <w:rFonts w:asciiTheme="majorHAnsi" w:hAnsiTheme="majorHAnsi" w:cstheme="majorHAnsi"/>
          <w:color w:val="000000"/>
        </w:rPr>
        <w:t xml:space="preserve">of all stakeholders </w:t>
      </w:r>
      <w:r w:rsidRPr="00693EEE">
        <w:rPr>
          <w:rFonts w:asciiTheme="majorHAnsi" w:hAnsiTheme="majorHAnsi" w:cstheme="majorHAnsi"/>
          <w:color w:val="000000"/>
        </w:rPr>
        <w:t>to participate ––</w:t>
      </w:r>
      <w:r>
        <w:rPr>
          <w:rFonts w:asciiTheme="majorHAnsi" w:hAnsiTheme="majorHAnsi" w:cstheme="majorHAnsi"/>
          <w:color w:val="000000"/>
        </w:rPr>
        <w:t xml:space="preserve"> </w:t>
      </w:r>
      <w:r w:rsidRPr="00693EEE">
        <w:rPr>
          <w:rFonts w:asciiTheme="majorHAnsi" w:hAnsiTheme="majorHAnsi" w:cstheme="majorHAnsi"/>
          <w:color w:val="000000"/>
        </w:rPr>
        <w:t xml:space="preserve">both external stakeholders and </w:t>
      </w:r>
      <w:r>
        <w:rPr>
          <w:rFonts w:asciiTheme="majorHAnsi" w:hAnsiTheme="majorHAnsi" w:cstheme="majorHAnsi"/>
          <w:color w:val="000000"/>
        </w:rPr>
        <w:t>DepEd</w:t>
      </w:r>
      <w:r w:rsidRPr="00693EEE">
        <w:rPr>
          <w:rFonts w:asciiTheme="majorHAnsi" w:hAnsiTheme="majorHAnsi" w:cstheme="majorHAnsi"/>
          <w:color w:val="000000"/>
        </w:rPr>
        <w:t xml:space="preserve"> –– to avoid power dominance.</w:t>
      </w:r>
      <w:r w:rsidR="00D434EB">
        <w:rPr>
          <w:rFonts w:asciiTheme="majorHAnsi" w:hAnsiTheme="majorHAnsi" w:cstheme="majorHAnsi"/>
          <w:color w:val="000000"/>
        </w:rPr>
        <w:t xml:space="preserve"> </w:t>
      </w:r>
      <w:r>
        <w:rPr>
          <w:rFonts w:asciiTheme="majorHAnsi" w:hAnsiTheme="majorHAnsi" w:cstheme="majorHAnsi"/>
          <w:color w:val="000000"/>
        </w:rPr>
        <w:t xml:space="preserve">Building the capacity of </w:t>
      </w:r>
      <w:r w:rsidRPr="00693EEE">
        <w:rPr>
          <w:rFonts w:asciiTheme="majorHAnsi" w:hAnsiTheme="majorHAnsi" w:cstheme="majorHAnsi"/>
          <w:color w:val="000000"/>
        </w:rPr>
        <w:t xml:space="preserve">both school stakeholders and </w:t>
      </w:r>
      <w:r>
        <w:rPr>
          <w:rFonts w:asciiTheme="majorHAnsi" w:hAnsiTheme="majorHAnsi" w:cstheme="majorHAnsi"/>
          <w:color w:val="000000"/>
        </w:rPr>
        <w:t>DepEd</w:t>
      </w:r>
      <w:r w:rsidRPr="00693EEE">
        <w:rPr>
          <w:rFonts w:asciiTheme="majorHAnsi" w:hAnsiTheme="majorHAnsi" w:cstheme="majorHAnsi"/>
          <w:color w:val="000000"/>
        </w:rPr>
        <w:t xml:space="preserve"> </w:t>
      </w:r>
      <w:r>
        <w:rPr>
          <w:rFonts w:asciiTheme="majorHAnsi" w:hAnsiTheme="majorHAnsi" w:cstheme="majorHAnsi"/>
          <w:color w:val="000000"/>
        </w:rPr>
        <w:t>officials</w:t>
      </w:r>
      <w:r w:rsidRPr="00693EEE">
        <w:rPr>
          <w:rFonts w:asciiTheme="majorHAnsi" w:hAnsiTheme="majorHAnsi" w:cstheme="majorHAnsi"/>
          <w:color w:val="000000"/>
        </w:rPr>
        <w:t> in the principles and methods of participat</w:t>
      </w:r>
      <w:r>
        <w:rPr>
          <w:rFonts w:asciiTheme="majorHAnsi" w:hAnsiTheme="majorHAnsi" w:cstheme="majorHAnsi"/>
          <w:color w:val="000000"/>
        </w:rPr>
        <w:t>ory approaches</w:t>
      </w:r>
      <w:r w:rsidRPr="00693EEE">
        <w:rPr>
          <w:rFonts w:asciiTheme="majorHAnsi" w:hAnsiTheme="majorHAnsi" w:cstheme="majorHAnsi"/>
          <w:color w:val="000000"/>
        </w:rPr>
        <w:t xml:space="preserve"> would reduce tokenism in participation and </w:t>
      </w:r>
      <w:r>
        <w:rPr>
          <w:rFonts w:asciiTheme="majorHAnsi" w:hAnsiTheme="majorHAnsi" w:cstheme="majorHAnsi"/>
          <w:color w:val="000000"/>
        </w:rPr>
        <w:t xml:space="preserve">a range of participatory processes, such as the development of </w:t>
      </w:r>
      <w:r w:rsidRPr="00693EEE">
        <w:rPr>
          <w:rFonts w:asciiTheme="majorHAnsi" w:hAnsiTheme="majorHAnsi" w:cstheme="majorHAnsi"/>
          <w:color w:val="000000"/>
        </w:rPr>
        <w:t>S</w:t>
      </w:r>
      <w:r>
        <w:rPr>
          <w:rFonts w:asciiTheme="majorHAnsi" w:hAnsiTheme="majorHAnsi" w:cstheme="majorHAnsi"/>
          <w:color w:val="000000"/>
        </w:rPr>
        <w:t xml:space="preserve">chool </w:t>
      </w:r>
      <w:r w:rsidRPr="00693EEE">
        <w:rPr>
          <w:rFonts w:asciiTheme="majorHAnsi" w:hAnsiTheme="majorHAnsi" w:cstheme="majorHAnsi"/>
          <w:color w:val="000000"/>
        </w:rPr>
        <w:t>I</w:t>
      </w:r>
      <w:r>
        <w:rPr>
          <w:rFonts w:asciiTheme="majorHAnsi" w:hAnsiTheme="majorHAnsi" w:cstheme="majorHAnsi"/>
          <w:color w:val="000000"/>
        </w:rPr>
        <w:t xml:space="preserve">mprovement </w:t>
      </w:r>
      <w:r w:rsidRPr="00693EEE">
        <w:rPr>
          <w:rFonts w:asciiTheme="majorHAnsi" w:hAnsiTheme="majorHAnsi" w:cstheme="majorHAnsi"/>
          <w:color w:val="000000"/>
        </w:rPr>
        <w:t>P</w:t>
      </w:r>
      <w:r>
        <w:rPr>
          <w:rFonts w:asciiTheme="majorHAnsi" w:hAnsiTheme="majorHAnsi" w:cstheme="majorHAnsi"/>
          <w:color w:val="000000"/>
        </w:rPr>
        <w:t>lan</w:t>
      </w:r>
      <w:r w:rsidRPr="00693EEE">
        <w:rPr>
          <w:rFonts w:asciiTheme="majorHAnsi" w:hAnsiTheme="majorHAnsi" w:cstheme="majorHAnsi"/>
          <w:color w:val="000000"/>
        </w:rPr>
        <w:t>s</w:t>
      </w:r>
      <w:r>
        <w:rPr>
          <w:rFonts w:asciiTheme="majorHAnsi" w:hAnsiTheme="majorHAnsi" w:cstheme="majorHAnsi"/>
          <w:color w:val="000000"/>
        </w:rPr>
        <w:t xml:space="preserve">, </w:t>
      </w:r>
      <w:r w:rsidRPr="00693EEE">
        <w:rPr>
          <w:rFonts w:asciiTheme="majorHAnsi" w:hAnsiTheme="majorHAnsi" w:cstheme="majorHAnsi"/>
          <w:color w:val="000000"/>
        </w:rPr>
        <w:t>would become more meaningful to the users.</w:t>
      </w:r>
      <w:r w:rsidR="00D434EB">
        <w:rPr>
          <w:rFonts w:asciiTheme="majorHAnsi" w:hAnsiTheme="majorHAnsi" w:cstheme="majorHAnsi"/>
          <w:color w:val="000000"/>
        </w:rPr>
        <w:t xml:space="preserve"> </w:t>
      </w:r>
      <w:r w:rsidRPr="00693EEE">
        <w:rPr>
          <w:rFonts w:asciiTheme="majorHAnsi" w:hAnsiTheme="majorHAnsi" w:cstheme="majorHAnsi"/>
          <w:color w:val="000000"/>
        </w:rPr>
        <w:t>Thus</w:t>
      </w:r>
      <w:r>
        <w:rPr>
          <w:rFonts w:asciiTheme="majorHAnsi" w:hAnsiTheme="majorHAnsi" w:cstheme="majorHAnsi"/>
          <w:color w:val="000000"/>
        </w:rPr>
        <w:t>,</w:t>
      </w:r>
      <w:r w:rsidRPr="00693EEE">
        <w:rPr>
          <w:rFonts w:asciiTheme="majorHAnsi" w:hAnsiTheme="majorHAnsi" w:cstheme="majorHAnsi"/>
          <w:color w:val="000000"/>
        </w:rPr>
        <w:t xml:space="preserve"> the conduct of capacity building on </w:t>
      </w:r>
      <w:r>
        <w:rPr>
          <w:rFonts w:asciiTheme="majorHAnsi" w:hAnsiTheme="majorHAnsi" w:cstheme="majorHAnsi"/>
          <w:color w:val="000000"/>
        </w:rPr>
        <w:t xml:space="preserve">the </w:t>
      </w:r>
      <w:r w:rsidRPr="00693EEE">
        <w:rPr>
          <w:rFonts w:asciiTheme="majorHAnsi" w:hAnsiTheme="majorHAnsi" w:cstheme="majorHAnsi"/>
          <w:color w:val="000000"/>
        </w:rPr>
        <w:t>participatory approach to development is critical.</w:t>
      </w:r>
      <w:r w:rsidR="00D434EB">
        <w:rPr>
          <w:rFonts w:asciiTheme="majorHAnsi" w:hAnsiTheme="majorHAnsi" w:cstheme="majorHAnsi"/>
          <w:color w:val="000000"/>
        </w:rPr>
        <w:t xml:space="preserve"> </w:t>
      </w:r>
    </w:p>
    <w:p w14:paraId="6567F576" w14:textId="02919EEA" w:rsidR="008D0CAD" w:rsidRPr="00EE29A0" w:rsidRDefault="008D0CAD" w:rsidP="002320B3">
      <w:pPr>
        <w:pStyle w:val="ListParagraph"/>
        <w:numPr>
          <w:ilvl w:val="0"/>
          <w:numId w:val="49"/>
        </w:numPr>
        <w:spacing w:before="100" w:beforeAutospacing="1" w:after="100" w:afterAutospacing="1" w:line="360" w:lineRule="auto"/>
        <w:contextualSpacing w:val="0"/>
        <w:rPr>
          <w:rFonts w:asciiTheme="majorHAnsi" w:hAnsiTheme="majorHAnsi" w:cstheme="majorHAnsi"/>
          <w:b/>
          <w:color w:val="000000" w:themeColor="text1"/>
        </w:rPr>
      </w:pPr>
      <w:r w:rsidRPr="00EE29A0">
        <w:rPr>
          <w:rFonts w:asciiTheme="majorHAnsi" w:hAnsiTheme="majorHAnsi" w:cstheme="majorHAnsi"/>
          <w:b/>
          <w:color w:val="000000" w:themeColor="text1"/>
        </w:rPr>
        <w:t>Implication No.</w:t>
      </w:r>
      <w:r w:rsidR="00D434EB">
        <w:rPr>
          <w:rFonts w:asciiTheme="majorHAnsi" w:hAnsiTheme="majorHAnsi" w:cstheme="majorHAnsi"/>
          <w:b/>
          <w:color w:val="000000" w:themeColor="text1"/>
        </w:rPr>
        <w:t xml:space="preserve"> </w:t>
      </w:r>
      <w:r w:rsidR="006E1437">
        <w:rPr>
          <w:rFonts w:asciiTheme="majorHAnsi" w:hAnsiTheme="majorHAnsi" w:cstheme="majorHAnsi"/>
          <w:b/>
          <w:color w:val="000000" w:themeColor="text1"/>
        </w:rPr>
        <w:t>5</w:t>
      </w:r>
      <w:r w:rsidRPr="00EE29A0">
        <w:rPr>
          <w:rFonts w:asciiTheme="majorHAnsi" w:hAnsiTheme="majorHAnsi" w:cstheme="majorHAnsi"/>
          <w:b/>
          <w:color w:val="000000" w:themeColor="text1"/>
        </w:rPr>
        <w:t>:</w:t>
      </w:r>
      <w:r w:rsidR="00D434EB">
        <w:rPr>
          <w:rFonts w:asciiTheme="majorHAnsi" w:hAnsiTheme="majorHAnsi" w:cstheme="majorHAnsi"/>
          <w:b/>
          <w:color w:val="000000" w:themeColor="text1"/>
        </w:rPr>
        <w:t xml:space="preserve"> </w:t>
      </w:r>
      <w:r w:rsidRPr="00EE29A0">
        <w:rPr>
          <w:rFonts w:asciiTheme="majorHAnsi" w:hAnsiTheme="majorHAnsi" w:cstheme="majorHAnsi"/>
          <w:b/>
          <w:color w:val="000000" w:themeColor="text1"/>
        </w:rPr>
        <w:t>GEDSI-related reforms must be backed by strong research</w:t>
      </w:r>
      <w:r>
        <w:rPr>
          <w:rFonts w:asciiTheme="majorHAnsi" w:hAnsiTheme="majorHAnsi" w:cstheme="majorHAnsi"/>
          <w:b/>
          <w:color w:val="000000" w:themeColor="text1"/>
        </w:rPr>
        <w:t>,</w:t>
      </w:r>
      <w:r w:rsidRPr="00EE29A0">
        <w:rPr>
          <w:rFonts w:asciiTheme="majorHAnsi" w:hAnsiTheme="majorHAnsi" w:cstheme="majorHAnsi"/>
          <w:b/>
          <w:color w:val="000000" w:themeColor="text1"/>
        </w:rPr>
        <w:t xml:space="preserve"> led by the GFPS [</w:t>
      </w:r>
      <w:r>
        <w:rPr>
          <w:rFonts w:asciiTheme="majorHAnsi" w:hAnsiTheme="majorHAnsi" w:cstheme="majorHAnsi"/>
          <w:b/>
          <w:color w:val="000000" w:themeColor="text1"/>
        </w:rPr>
        <w:t>DepEd</w:t>
      </w:r>
      <w:r w:rsidRPr="00EE29A0">
        <w:rPr>
          <w:rFonts w:asciiTheme="majorHAnsi" w:hAnsiTheme="majorHAnsi" w:cstheme="majorHAnsi"/>
          <w:b/>
          <w:color w:val="000000" w:themeColor="text1"/>
        </w:rPr>
        <w:t xml:space="preserve"> and </w:t>
      </w:r>
      <w:r w:rsidRPr="00EE29A0">
        <w:rPr>
          <w:rFonts w:asciiTheme="majorHAnsi" w:hAnsiTheme="majorHAnsi" w:cstheme="majorHAnsi"/>
          <w:b/>
          <w:iCs/>
          <w:color w:val="000000" w:themeColor="text1"/>
        </w:rPr>
        <w:t>DFAT]</w:t>
      </w:r>
    </w:p>
    <w:p w14:paraId="60409CE3" w14:textId="09097C93" w:rsidR="008D0CAD" w:rsidRPr="00693EEE" w:rsidRDefault="008D0CAD" w:rsidP="002320B3">
      <w:pPr>
        <w:spacing w:before="100" w:beforeAutospacing="1" w:after="100" w:afterAutospacing="1" w:line="360" w:lineRule="auto"/>
        <w:ind w:left="720"/>
        <w:rPr>
          <w:rFonts w:asciiTheme="majorHAnsi" w:hAnsiTheme="majorHAnsi" w:cstheme="majorHAnsi"/>
          <w:color w:val="000000" w:themeColor="text1"/>
        </w:rPr>
      </w:pPr>
      <w:r w:rsidRPr="00693EEE">
        <w:rPr>
          <w:rFonts w:asciiTheme="majorHAnsi" w:hAnsiTheme="majorHAnsi" w:cstheme="majorHAnsi"/>
          <w:bCs/>
          <w:color w:val="000000" w:themeColor="text1"/>
        </w:rPr>
        <w:t xml:space="preserve">Similar to the PPST and Classroom Assessments, which benefitted from strong research </w:t>
      </w:r>
      <w:r>
        <w:rPr>
          <w:rFonts w:asciiTheme="majorHAnsi" w:hAnsiTheme="majorHAnsi" w:cstheme="majorHAnsi"/>
          <w:bCs/>
          <w:color w:val="000000" w:themeColor="text1"/>
        </w:rPr>
        <w:t>conducted by</w:t>
      </w:r>
      <w:r w:rsidRPr="00693EEE">
        <w:rPr>
          <w:rFonts w:asciiTheme="majorHAnsi" w:hAnsiTheme="majorHAnsi" w:cstheme="majorHAnsi"/>
          <w:bCs/>
          <w:color w:val="000000" w:themeColor="text1"/>
        </w:rPr>
        <w:t xml:space="preserve"> RCTQ and ACTRC, the design of future GEDSI-related programs </w:t>
      </w:r>
      <w:r w:rsidRPr="00693EEE">
        <w:rPr>
          <w:rFonts w:asciiTheme="majorHAnsi" w:hAnsiTheme="majorHAnsi" w:cstheme="majorHAnsi"/>
          <w:color w:val="000000" w:themeColor="text1"/>
        </w:rPr>
        <w:t xml:space="preserve">would </w:t>
      </w:r>
      <w:r>
        <w:rPr>
          <w:rFonts w:asciiTheme="majorHAnsi" w:hAnsiTheme="majorHAnsi" w:cstheme="majorHAnsi"/>
          <w:color w:val="000000" w:themeColor="text1"/>
        </w:rPr>
        <w:t>greatly</w:t>
      </w:r>
      <w:r w:rsidRPr="00693EEE">
        <w:rPr>
          <w:rFonts w:asciiTheme="majorHAnsi" w:hAnsiTheme="majorHAnsi" w:cstheme="majorHAnsi"/>
          <w:color w:val="000000" w:themeColor="text1"/>
        </w:rPr>
        <w:t xml:space="preserve"> benefit from </w:t>
      </w:r>
      <w:r>
        <w:rPr>
          <w:rFonts w:asciiTheme="majorHAnsi" w:hAnsiTheme="majorHAnsi" w:cstheme="majorHAnsi"/>
          <w:color w:val="000000" w:themeColor="text1"/>
        </w:rPr>
        <w:t xml:space="preserve">such </w:t>
      </w:r>
      <w:r w:rsidRPr="00693EEE">
        <w:rPr>
          <w:rFonts w:asciiTheme="majorHAnsi" w:hAnsiTheme="majorHAnsi" w:cstheme="majorHAnsi"/>
          <w:color w:val="000000" w:themeColor="text1"/>
        </w:rPr>
        <w:t>comprehensive studies.</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These initiatives should be spearheaded by the GAD Focal Point System (GFPS) of DepEd.</w:t>
      </w:r>
    </w:p>
    <w:p w14:paraId="29CF9552" w14:textId="3AB9FF2C" w:rsidR="008D0CAD" w:rsidRPr="00EE29A0" w:rsidRDefault="008D0CAD" w:rsidP="002320B3">
      <w:pPr>
        <w:pStyle w:val="Caption"/>
        <w:numPr>
          <w:ilvl w:val="0"/>
          <w:numId w:val="49"/>
        </w:numPr>
        <w:spacing w:before="100" w:beforeAutospacing="1" w:after="100" w:afterAutospacing="1" w:line="360" w:lineRule="auto"/>
        <w:rPr>
          <w:rFonts w:asciiTheme="majorHAnsi" w:hAnsiTheme="majorHAnsi" w:cstheme="majorHAnsi"/>
          <w:b/>
          <w:i w:val="0"/>
          <w:iCs w:val="0"/>
          <w:color w:val="000000" w:themeColor="text1"/>
          <w:sz w:val="24"/>
          <w:szCs w:val="24"/>
        </w:rPr>
      </w:pPr>
      <w:r w:rsidRPr="00EE29A0">
        <w:rPr>
          <w:rFonts w:asciiTheme="majorHAnsi" w:hAnsiTheme="majorHAnsi" w:cstheme="majorHAnsi"/>
          <w:b/>
          <w:i w:val="0"/>
          <w:iCs w:val="0"/>
          <w:color w:val="000000" w:themeColor="text1"/>
          <w:sz w:val="24"/>
          <w:szCs w:val="24"/>
        </w:rPr>
        <w:t>Implication No.</w:t>
      </w:r>
      <w:r w:rsidR="00D434EB">
        <w:rPr>
          <w:rFonts w:asciiTheme="majorHAnsi" w:hAnsiTheme="majorHAnsi" w:cstheme="majorHAnsi"/>
          <w:b/>
          <w:i w:val="0"/>
          <w:iCs w:val="0"/>
          <w:color w:val="000000" w:themeColor="text1"/>
          <w:sz w:val="24"/>
          <w:szCs w:val="24"/>
        </w:rPr>
        <w:t xml:space="preserve"> </w:t>
      </w:r>
      <w:r w:rsidRPr="00EE29A0">
        <w:rPr>
          <w:rFonts w:asciiTheme="majorHAnsi" w:hAnsiTheme="majorHAnsi" w:cstheme="majorHAnsi"/>
          <w:b/>
          <w:i w:val="0"/>
          <w:iCs w:val="0"/>
          <w:color w:val="000000" w:themeColor="text1"/>
          <w:sz w:val="24"/>
          <w:szCs w:val="24"/>
        </w:rPr>
        <w:t>6:</w:t>
      </w:r>
      <w:r w:rsidR="00D434EB">
        <w:rPr>
          <w:rFonts w:asciiTheme="majorHAnsi" w:hAnsiTheme="majorHAnsi" w:cstheme="majorHAnsi"/>
          <w:b/>
          <w:i w:val="0"/>
          <w:iCs w:val="0"/>
          <w:color w:val="000000" w:themeColor="text1"/>
          <w:sz w:val="24"/>
          <w:szCs w:val="24"/>
        </w:rPr>
        <w:t xml:space="preserve"> </w:t>
      </w:r>
      <w:r w:rsidRPr="00EE29A0">
        <w:rPr>
          <w:rFonts w:asciiTheme="majorHAnsi" w:hAnsiTheme="majorHAnsi" w:cstheme="majorHAnsi"/>
          <w:b/>
          <w:i w:val="0"/>
          <w:iCs w:val="0"/>
          <w:color w:val="000000" w:themeColor="text1"/>
          <w:sz w:val="24"/>
          <w:szCs w:val="24"/>
        </w:rPr>
        <w:t>Strengthen both institutional and program/project results-based monitoring and evaluation [</w:t>
      </w:r>
      <w:r>
        <w:rPr>
          <w:rFonts w:asciiTheme="majorHAnsi" w:hAnsiTheme="majorHAnsi" w:cstheme="majorHAnsi"/>
          <w:b/>
          <w:i w:val="0"/>
          <w:iCs w:val="0"/>
          <w:color w:val="000000" w:themeColor="text1"/>
          <w:sz w:val="24"/>
          <w:szCs w:val="24"/>
        </w:rPr>
        <w:t>DepEd</w:t>
      </w:r>
      <w:r w:rsidRPr="00EE29A0">
        <w:rPr>
          <w:rFonts w:asciiTheme="majorHAnsi" w:hAnsiTheme="majorHAnsi" w:cstheme="majorHAnsi"/>
          <w:b/>
          <w:i w:val="0"/>
          <w:iCs w:val="0"/>
          <w:color w:val="000000" w:themeColor="text1"/>
          <w:sz w:val="24"/>
          <w:szCs w:val="24"/>
        </w:rPr>
        <w:t>]</w:t>
      </w:r>
    </w:p>
    <w:p w14:paraId="1BA03100" w14:textId="0C7EFF19" w:rsidR="008D0CAD" w:rsidRPr="00EE29A0" w:rsidRDefault="008D0CAD" w:rsidP="002320B3">
      <w:pPr>
        <w:spacing w:before="100" w:beforeAutospacing="1" w:after="100" w:afterAutospacing="1" w:line="360" w:lineRule="auto"/>
        <w:ind w:left="720"/>
        <w:rPr>
          <w:rFonts w:asciiTheme="majorHAnsi" w:hAnsiTheme="majorHAnsi" w:cstheme="majorHAnsi"/>
          <w:bCs/>
          <w:color w:val="000000" w:themeColor="text1"/>
        </w:rPr>
      </w:pPr>
      <w:r w:rsidRPr="00EE29A0">
        <w:rPr>
          <w:rFonts w:asciiTheme="majorHAnsi" w:hAnsiTheme="majorHAnsi" w:cstheme="majorHAnsi"/>
          <w:bCs/>
          <w:iCs/>
          <w:color w:val="000000" w:themeColor="text1"/>
        </w:rPr>
        <w:t>Strengthening results-based monitoring and evaluation undergirds effective evidence-based policy and decision-making, across all governance levels. The evaluation of the BEST Program highlighted large gaps in the practice of M&amp;E both at the institutional level and program level.</w:t>
      </w:r>
      <w:r w:rsidR="00D434EB">
        <w:rPr>
          <w:rFonts w:asciiTheme="majorHAnsi" w:hAnsiTheme="majorHAnsi" w:cstheme="majorHAnsi"/>
          <w:bCs/>
          <w:iCs/>
          <w:color w:val="000000" w:themeColor="text1"/>
        </w:rPr>
        <w:t xml:space="preserve"> </w:t>
      </w:r>
      <w:r w:rsidRPr="00EE29A0">
        <w:rPr>
          <w:rFonts w:asciiTheme="majorHAnsi" w:hAnsiTheme="majorHAnsi" w:cstheme="majorHAnsi"/>
          <w:bCs/>
          <w:iCs/>
          <w:color w:val="000000" w:themeColor="text1"/>
        </w:rPr>
        <w:t>It is vital that these gaps be addressed.</w:t>
      </w:r>
    </w:p>
    <w:p w14:paraId="6B84880B" w14:textId="7F0D19D3" w:rsidR="008D0CAD" w:rsidRPr="00EE29A0" w:rsidRDefault="008D0CAD" w:rsidP="002320B3">
      <w:pPr>
        <w:pStyle w:val="ListParagraph"/>
        <w:numPr>
          <w:ilvl w:val="0"/>
          <w:numId w:val="49"/>
        </w:numPr>
        <w:spacing w:before="100" w:beforeAutospacing="1" w:after="100" w:afterAutospacing="1" w:line="360" w:lineRule="auto"/>
        <w:contextualSpacing w:val="0"/>
        <w:rPr>
          <w:rFonts w:asciiTheme="majorHAnsi" w:hAnsiTheme="majorHAnsi" w:cstheme="majorHAnsi"/>
          <w:b/>
          <w:color w:val="000000" w:themeColor="text1"/>
        </w:rPr>
      </w:pPr>
      <w:r w:rsidRPr="00EE29A0">
        <w:rPr>
          <w:rFonts w:asciiTheme="majorHAnsi" w:hAnsiTheme="majorHAnsi" w:cstheme="majorHAnsi"/>
          <w:b/>
          <w:color w:val="000000" w:themeColor="text1"/>
        </w:rPr>
        <w:t>Implication No.</w:t>
      </w:r>
      <w:r w:rsidR="00D434EB">
        <w:rPr>
          <w:rFonts w:asciiTheme="majorHAnsi" w:hAnsiTheme="majorHAnsi" w:cstheme="majorHAnsi"/>
          <w:b/>
          <w:color w:val="000000" w:themeColor="text1"/>
        </w:rPr>
        <w:t xml:space="preserve"> </w:t>
      </w:r>
      <w:r w:rsidRPr="00EE29A0">
        <w:rPr>
          <w:rFonts w:asciiTheme="majorHAnsi" w:hAnsiTheme="majorHAnsi" w:cstheme="majorHAnsi"/>
          <w:b/>
          <w:color w:val="000000" w:themeColor="text1"/>
        </w:rPr>
        <w:t>7: Future reforms should propel</w:t>
      </w:r>
      <w:r>
        <w:rPr>
          <w:rFonts w:asciiTheme="majorHAnsi" w:hAnsiTheme="majorHAnsi" w:cstheme="majorHAnsi"/>
          <w:b/>
          <w:color w:val="000000" w:themeColor="text1"/>
        </w:rPr>
        <w:t xml:space="preserve"> school</w:t>
      </w:r>
      <w:r w:rsidRPr="00EE29A0">
        <w:rPr>
          <w:rFonts w:asciiTheme="majorHAnsi" w:hAnsiTheme="majorHAnsi" w:cstheme="majorHAnsi"/>
          <w:b/>
          <w:color w:val="000000" w:themeColor="text1"/>
        </w:rPr>
        <w:t xml:space="preserve"> </w:t>
      </w:r>
      <w:r>
        <w:rPr>
          <w:rFonts w:asciiTheme="majorHAnsi" w:hAnsiTheme="majorHAnsi" w:cstheme="majorHAnsi"/>
          <w:b/>
          <w:color w:val="000000" w:themeColor="text1"/>
        </w:rPr>
        <w:t>principal</w:t>
      </w:r>
      <w:r w:rsidRPr="00EE29A0">
        <w:rPr>
          <w:rFonts w:asciiTheme="majorHAnsi" w:hAnsiTheme="majorHAnsi" w:cstheme="majorHAnsi"/>
          <w:b/>
          <w:color w:val="000000" w:themeColor="text1"/>
        </w:rPr>
        <w:t xml:space="preserve"> and teachers to success, and be mindful of not complicating their tasks and roles [</w:t>
      </w:r>
      <w:r>
        <w:rPr>
          <w:rFonts w:asciiTheme="majorHAnsi" w:hAnsiTheme="majorHAnsi" w:cstheme="majorHAnsi"/>
          <w:b/>
          <w:color w:val="000000" w:themeColor="text1"/>
        </w:rPr>
        <w:t>DepEd</w:t>
      </w:r>
      <w:r w:rsidRPr="00EE29A0">
        <w:rPr>
          <w:rFonts w:asciiTheme="majorHAnsi" w:hAnsiTheme="majorHAnsi" w:cstheme="majorHAnsi"/>
          <w:b/>
          <w:color w:val="000000" w:themeColor="text1"/>
        </w:rPr>
        <w:t xml:space="preserve"> and DFAT]</w:t>
      </w:r>
    </w:p>
    <w:p w14:paraId="5663ECEE" w14:textId="77777777" w:rsidR="008D0CAD" w:rsidRPr="00EE29A0" w:rsidRDefault="008D0CAD" w:rsidP="002320B3">
      <w:pPr>
        <w:spacing w:before="100" w:beforeAutospacing="1" w:after="100" w:afterAutospacing="1" w:line="360" w:lineRule="auto"/>
        <w:ind w:left="720"/>
        <w:rPr>
          <w:rFonts w:asciiTheme="majorHAnsi" w:hAnsiTheme="majorHAnsi" w:cstheme="majorHAnsi"/>
          <w:iCs/>
          <w:color w:val="000000" w:themeColor="text1"/>
        </w:rPr>
      </w:pPr>
      <w:r w:rsidRPr="00EE29A0">
        <w:rPr>
          <w:rFonts w:asciiTheme="majorHAnsi" w:hAnsiTheme="majorHAnsi" w:cstheme="majorHAnsi"/>
          <w:iCs/>
          <w:color w:val="000000" w:themeColor="text1"/>
        </w:rPr>
        <w:t xml:space="preserve">For </w:t>
      </w:r>
      <w:r>
        <w:rPr>
          <w:rFonts w:asciiTheme="majorHAnsi" w:hAnsiTheme="majorHAnsi" w:cstheme="majorHAnsi"/>
          <w:iCs/>
          <w:color w:val="000000" w:themeColor="text1"/>
        </w:rPr>
        <w:t>school principal</w:t>
      </w:r>
      <w:r w:rsidRPr="00EE29A0">
        <w:rPr>
          <w:rFonts w:asciiTheme="majorHAnsi" w:hAnsiTheme="majorHAnsi" w:cstheme="majorHAnsi"/>
          <w:iCs/>
          <w:color w:val="000000" w:themeColor="text1"/>
        </w:rPr>
        <w:t>s, reforms should help</w:t>
      </w:r>
      <w:r>
        <w:rPr>
          <w:rFonts w:asciiTheme="majorHAnsi" w:hAnsiTheme="majorHAnsi" w:cstheme="majorHAnsi"/>
          <w:iCs/>
          <w:color w:val="000000" w:themeColor="text1"/>
        </w:rPr>
        <w:t xml:space="preserve"> </w:t>
      </w:r>
      <w:r w:rsidRPr="00EE29A0">
        <w:rPr>
          <w:rFonts w:asciiTheme="majorHAnsi" w:hAnsiTheme="majorHAnsi" w:cstheme="majorHAnsi"/>
          <w:iCs/>
          <w:color w:val="000000" w:themeColor="text1"/>
        </w:rPr>
        <w:t>the</w:t>
      </w:r>
      <w:r>
        <w:rPr>
          <w:rFonts w:asciiTheme="majorHAnsi" w:hAnsiTheme="majorHAnsi" w:cstheme="majorHAnsi"/>
          <w:iCs/>
          <w:color w:val="000000" w:themeColor="text1"/>
        </w:rPr>
        <w:t>m to</w:t>
      </w:r>
      <w:r w:rsidRPr="00EE29A0">
        <w:rPr>
          <w:rFonts w:asciiTheme="majorHAnsi" w:hAnsiTheme="majorHAnsi" w:cstheme="majorHAnsi"/>
          <w:iCs/>
          <w:color w:val="000000" w:themeColor="text1"/>
        </w:rPr>
        <w:t xml:space="preserve"> balance their roles as leaders and as managers. For teachers, reforms should not contribut</w:t>
      </w:r>
      <w:r>
        <w:rPr>
          <w:rFonts w:asciiTheme="majorHAnsi" w:hAnsiTheme="majorHAnsi" w:cstheme="majorHAnsi"/>
          <w:iCs/>
          <w:color w:val="000000" w:themeColor="text1"/>
        </w:rPr>
        <w:t>e</w:t>
      </w:r>
      <w:r w:rsidRPr="00EE29A0">
        <w:rPr>
          <w:rFonts w:asciiTheme="majorHAnsi" w:hAnsiTheme="majorHAnsi" w:cstheme="majorHAnsi"/>
          <w:iCs/>
          <w:color w:val="000000" w:themeColor="text1"/>
        </w:rPr>
        <w:t xml:space="preserve"> to reducing teacher contact time with students. </w:t>
      </w:r>
      <w:r w:rsidRPr="00EE29A0">
        <w:rPr>
          <w:rFonts w:asciiTheme="majorHAnsi" w:hAnsiTheme="majorHAnsi" w:cstheme="majorHAnsi"/>
          <w:bCs/>
          <w:color w:val="000000" w:themeColor="text1"/>
        </w:rPr>
        <w:t>This may be done through better programming (scheduling) of interventions or through strategic focus, i.e., segmentation of recipients of interventions.</w:t>
      </w:r>
    </w:p>
    <w:p w14:paraId="528545B2" w14:textId="34A4B940" w:rsidR="008D0CAD" w:rsidRPr="00EE29A0" w:rsidRDefault="008D0CAD" w:rsidP="002320B3">
      <w:pPr>
        <w:pStyle w:val="ListParagraph"/>
        <w:numPr>
          <w:ilvl w:val="0"/>
          <w:numId w:val="49"/>
        </w:numPr>
        <w:spacing w:before="100" w:beforeAutospacing="1" w:after="100" w:afterAutospacing="1" w:line="360" w:lineRule="auto"/>
        <w:contextualSpacing w:val="0"/>
        <w:rPr>
          <w:rFonts w:asciiTheme="majorHAnsi" w:hAnsiTheme="majorHAnsi" w:cstheme="majorHAnsi"/>
          <w:b/>
          <w:color w:val="000000" w:themeColor="text1"/>
        </w:rPr>
      </w:pPr>
      <w:r w:rsidRPr="00EE29A0">
        <w:rPr>
          <w:rFonts w:asciiTheme="majorHAnsi" w:hAnsiTheme="majorHAnsi" w:cstheme="majorHAnsi"/>
          <w:b/>
          <w:color w:val="000000" w:themeColor="text1"/>
        </w:rPr>
        <w:t>Implication No.</w:t>
      </w:r>
      <w:r w:rsidR="00D434EB">
        <w:rPr>
          <w:rFonts w:asciiTheme="majorHAnsi" w:hAnsiTheme="majorHAnsi" w:cstheme="majorHAnsi"/>
          <w:b/>
          <w:color w:val="000000" w:themeColor="text1"/>
        </w:rPr>
        <w:t xml:space="preserve"> </w:t>
      </w:r>
      <w:r w:rsidRPr="00EE29A0">
        <w:rPr>
          <w:rFonts w:asciiTheme="majorHAnsi" w:hAnsiTheme="majorHAnsi" w:cstheme="majorHAnsi"/>
          <w:b/>
          <w:color w:val="000000" w:themeColor="text1"/>
        </w:rPr>
        <w:t>8: In implementing programs and projects, attention to the tenets and principles of program/project management is indispensable [</w:t>
      </w:r>
      <w:r>
        <w:rPr>
          <w:rFonts w:asciiTheme="majorHAnsi" w:hAnsiTheme="majorHAnsi" w:cstheme="majorHAnsi"/>
          <w:b/>
          <w:color w:val="000000" w:themeColor="text1"/>
        </w:rPr>
        <w:t>DepEd</w:t>
      </w:r>
      <w:r w:rsidRPr="00EE29A0">
        <w:rPr>
          <w:rFonts w:asciiTheme="majorHAnsi" w:hAnsiTheme="majorHAnsi" w:cstheme="majorHAnsi"/>
          <w:b/>
          <w:color w:val="000000" w:themeColor="text1"/>
        </w:rPr>
        <w:t xml:space="preserve"> and DFAT]</w:t>
      </w:r>
    </w:p>
    <w:p w14:paraId="7F2DAA74" w14:textId="3F241AD2" w:rsidR="008D0CAD" w:rsidRPr="002320B3" w:rsidRDefault="008D0CAD" w:rsidP="002320B3">
      <w:pPr>
        <w:spacing w:before="100" w:beforeAutospacing="1" w:after="100" w:afterAutospacing="1" w:line="360" w:lineRule="auto"/>
        <w:ind w:left="720"/>
        <w:rPr>
          <w:rFonts w:asciiTheme="majorHAnsi" w:hAnsiTheme="majorHAnsi" w:cstheme="majorHAnsi"/>
          <w:bCs/>
          <w:color w:val="000000" w:themeColor="text1"/>
        </w:rPr>
      </w:pPr>
      <w:r w:rsidRPr="00EE29A0">
        <w:rPr>
          <w:rFonts w:asciiTheme="majorHAnsi" w:hAnsiTheme="majorHAnsi" w:cstheme="majorHAnsi"/>
          <w:color w:val="000000" w:themeColor="text1"/>
        </w:rPr>
        <w:t xml:space="preserve">One of the main reflections </w:t>
      </w:r>
      <w:r>
        <w:rPr>
          <w:rFonts w:asciiTheme="majorHAnsi" w:hAnsiTheme="majorHAnsi" w:cstheme="majorHAnsi"/>
          <w:color w:val="000000" w:themeColor="text1"/>
        </w:rPr>
        <w:t>in the Study</w:t>
      </w:r>
      <w:r w:rsidRPr="00EE29A0">
        <w:rPr>
          <w:rFonts w:asciiTheme="majorHAnsi" w:hAnsiTheme="majorHAnsi" w:cstheme="majorHAnsi"/>
          <w:color w:val="000000" w:themeColor="text1"/>
        </w:rPr>
        <w:t xml:space="preserve"> was the lack of an integrative mindset of the Program</w:t>
      </w:r>
      <w:r>
        <w:rPr>
          <w:rFonts w:asciiTheme="majorHAnsi" w:hAnsiTheme="majorHAnsi" w:cstheme="majorHAnsi"/>
          <w:color w:val="000000" w:themeColor="text1"/>
        </w:rPr>
        <w:t>, resulting in disconnects</w:t>
      </w:r>
      <w:r w:rsidRPr="00EE29A0">
        <w:rPr>
          <w:rFonts w:asciiTheme="majorHAnsi" w:hAnsiTheme="majorHAnsi" w:cstheme="majorHAnsi"/>
          <w:color w:val="000000" w:themeColor="text1"/>
        </w:rPr>
        <w:t xml:space="preserve"> of the different program interventions </w:t>
      </w:r>
      <w:r>
        <w:rPr>
          <w:rFonts w:asciiTheme="majorHAnsi" w:hAnsiTheme="majorHAnsi" w:cstheme="majorHAnsi"/>
          <w:color w:val="000000" w:themeColor="text1"/>
        </w:rPr>
        <w:t>and thus failing to capitalise on</w:t>
      </w:r>
      <w:r w:rsidRPr="00EE29A0">
        <w:rPr>
          <w:rFonts w:asciiTheme="majorHAnsi" w:hAnsiTheme="majorHAnsi" w:cstheme="majorHAnsi"/>
          <w:color w:val="000000" w:themeColor="text1"/>
        </w:rPr>
        <w:t xml:space="preserve"> </w:t>
      </w:r>
      <w:r>
        <w:rPr>
          <w:rFonts w:asciiTheme="majorHAnsi" w:hAnsiTheme="majorHAnsi" w:cstheme="majorHAnsi"/>
          <w:color w:val="000000" w:themeColor="text1"/>
        </w:rPr>
        <w:t>synergy</w:t>
      </w:r>
      <w:r w:rsidRPr="00EE29A0">
        <w:rPr>
          <w:rFonts w:asciiTheme="majorHAnsi" w:hAnsiTheme="majorHAnsi" w:cstheme="majorHAnsi"/>
          <w:color w:val="000000" w:themeColor="text1"/>
        </w:rPr>
        <w:t xml:space="preserve">. </w:t>
      </w:r>
      <w:r>
        <w:rPr>
          <w:rFonts w:asciiTheme="majorHAnsi" w:hAnsiTheme="majorHAnsi" w:cstheme="majorHAnsi"/>
          <w:color w:val="000000" w:themeColor="text1"/>
        </w:rPr>
        <w:t>Some interventions were implemented independently even if there were complementation.</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The approach was more project-based than programmatic. The </w:t>
      </w:r>
      <w:r>
        <w:rPr>
          <w:rFonts w:asciiTheme="majorHAnsi" w:hAnsiTheme="majorHAnsi" w:cstheme="majorHAnsi"/>
          <w:bCs/>
          <w:color w:val="000000" w:themeColor="text1"/>
        </w:rPr>
        <w:t>c</w:t>
      </w:r>
      <w:r w:rsidRPr="00EE29A0">
        <w:rPr>
          <w:rFonts w:asciiTheme="majorHAnsi" w:hAnsiTheme="majorHAnsi" w:cstheme="majorHAnsi"/>
          <w:bCs/>
          <w:color w:val="000000" w:themeColor="text1"/>
        </w:rPr>
        <w:t>onvergence approach is more strategic</w:t>
      </w:r>
      <w:r>
        <w:rPr>
          <w:rFonts w:asciiTheme="majorHAnsi" w:hAnsiTheme="majorHAnsi" w:cstheme="majorHAnsi"/>
          <w:bCs/>
          <w:color w:val="000000" w:themeColor="text1"/>
        </w:rPr>
        <w:t>. Also, the c</w:t>
      </w:r>
      <w:r w:rsidRPr="00EE29A0">
        <w:rPr>
          <w:rFonts w:asciiTheme="majorHAnsi" w:hAnsiTheme="majorHAnsi" w:cstheme="majorHAnsi"/>
          <w:color w:val="000000" w:themeColor="text1"/>
        </w:rPr>
        <w:t>hange management</w:t>
      </w:r>
      <w:r>
        <w:rPr>
          <w:rFonts w:asciiTheme="majorHAnsi" w:hAnsiTheme="majorHAnsi" w:cstheme="majorHAnsi"/>
          <w:color w:val="000000" w:themeColor="text1"/>
        </w:rPr>
        <w:t>, especially in large systems reforms,</w:t>
      </w:r>
      <w:r w:rsidRPr="00EE29A0">
        <w:rPr>
          <w:rFonts w:asciiTheme="majorHAnsi" w:hAnsiTheme="majorHAnsi" w:cstheme="majorHAnsi"/>
          <w:color w:val="000000" w:themeColor="text1"/>
        </w:rPr>
        <w:t xml:space="preserve"> in indispensable</w:t>
      </w:r>
      <w:r>
        <w:rPr>
          <w:rFonts w:asciiTheme="majorHAnsi" w:hAnsiTheme="majorHAnsi" w:cstheme="majorHAnsi"/>
          <w:color w:val="000000" w:themeColor="text1"/>
        </w:rPr>
        <w:t>.</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Many challenges would be avoided with effective communications and change management interventions.</w:t>
      </w:r>
    </w:p>
    <w:p w14:paraId="15F133B5" w14:textId="77777777" w:rsidR="008D0CAD" w:rsidRDefault="008D0CAD" w:rsidP="002320B3">
      <w:pPr>
        <w:spacing w:before="100" w:beforeAutospacing="1" w:after="100" w:afterAutospacing="1" w:line="360" w:lineRule="auto"/>
        <w:rPr>
          <w:rFonts w:asciiTheme="majorHAnsi" w:hAnsiTheme="majorHAnsi" w:cstheme="majorHAnsi"/>
          <w:bCs/>
          <w:color w:val="000000" w:themeColor="text1"/>
        </w:rPr>
      </w:pPr>
      <w:r>
        <w:rPr>
          <w:rFonts w:asciiTheme="majorHAnsi" w:hAnsiTheme="majorHAnsi" w:cstheme="majorHAnsi"/>
          <w:b/>
          <w:color w:val="0070C0"/>
        </w:rPr>
        <w:t>Implications in the light of the COVID-19 Scenarios</w:t>
      </w:r>
    </w:p>
    <w:p w14:paraId="3C09D98E" w14:textId="4B28F362" w:rsidR="008D0CAD" w:rsidRPr="00C62124" w:rsidRDefault="008D0CAD" w:rsidP="002320B3">
      <w:pPr>
        <w:spacing w:before="100" w:beforeAutospacing="1" w:after="100" w:afterAutospacing="1" w:line="360" w:lineRule="auto"/>
        <w:rPr>
          <w:rFonts w:asciiTheme="majorHAnsi" w:hAnsiTheme="majorHAnsi" w:cstheme="majorHAnsi"/>
          <w:lang w:val="en-US"/>
        </w:rPr>
      </w:pPr>
      <w:r w:rsidRPr="00C62124">
        <w:rPr>
          <w:rFonts w:asciiTheme="majorHAnsi" w:hAnsiTheme="majorHAnsi" w:cstheme="majorHAnsi"/>
          <w:lang w:val="en-US"/>
        </w:rPr>
        <w:t xml:space="preserve">The Study has identified three </w:t>
      </w:r>
      <w:r>
        <w:rPr>
          <w:rFonts w:asciiTheme="majorHAnsi" w:hAnsiTheme="majorHAnsi" w:cstheme="majorHAnsi"/>
          <w:lang w:val="en-US"/>
        </w:rPr>
        <w:t xml:space="preserve">main reforms </w:t>
      </w:r>
      <w:r w:rsidRPr="00C62124">
        <w:rPr>
          <w:rFonts w:asciiTheme="majorHAnsi" w:hAnsiTheme="majorHAnsi" w:cstheme="majorHAnsi"/>
          <w:lang w:val="en-US"/>
        </w:rPr>
        <w:t xml:space="preserve">that are on </w:t>
      </w:r>
      <w:r>
        <w:rPr>
          <w:rFonts w:asciiTheme="majorHAnsi" w:hAnsiTheme="majorHAnsi" w:cstheme="majorHAnsi"/>
          <w:lang w:val="en-US"/>
        </w:rPr>
        <w:t>track</w:t>
      </w:r>
      <w:r w:rsidRPr="00C62124">
        <w:rPr>
          <w:rFonts w:asciiTheme="majorHAnsi" w:hAnsiTheme="majorHAnsi" w:cstheme="majorHAnsi"/>
          <w:lang w:val="en-US"/>
        </w:rPr>
        <w:t xml:space="preserve"> to attaining outcomes and sustainability</w:t>
      </w:r>
      <w:r>
        <w:rPr>
          <w:rFonts w:asciiTheme="majorHAnsi" w:hAnsiTheme="majorHAnsi" w:cstheme="majorHAnsi"/>
          <w:lang w:val="en-US"/>
        </w:rPr>
        <w:t xml:space="preserve"> and</w:t>
      </w:r>
      <w:r w:rsidRPr="00C62124">
        <w:rPr>
          <w:rFonts w:asciiTheme="majorHAnsi" w:hAnsiTheme="majorHAnsi" w:cstheme="majorHAnsi"/>
          <w:lang w:val="en-US"/>
        </w:rPr>
        <w:t xml:space="preserve"> two systemic </w:t>
      </w:r>
      <w:r>
        <w:rPr>
          <w:rFonts w:asciiTheme="majorHAnsi" w:hAnsiTheme="majorHAnsi" w:cstheme="majorHAnsi"/>
          <w:lang w:val="en-US"/>
        </w:rPr>
        <w:t xml:space="preserve">reforms that have a high likelihood of </w:t>
      </w:r>
      <w:r w:rsidRPr="00C62124">
        <w:rPr>
          <w:rFonts w:asciiTheme="majorHAnsi" w:hAnsiTheme="majorHAnsi" w:cstheme="majorHAnsi"/>
          <w:lang w:val="en-US"/>
        </w:rPr>
        <w:t>sustainability.</w:t>
      </w:r>
      <w:r w:rsidR="00D434EB">
        <w:rPr>
          <w:rFonts w:asciiTheme="majorHAnsi" w:hAnsiTheme="majorHAnsi" w:cstheme="majorHAnsi"/>
          <w:lang w:val="en-US"/>
        </w:rPr>
        <w:t xml:space="preserve"> </w:t>
      </w:r>
      <w:r>
        <w:rPr>
          <w:rFonts w:asciiTheme="majorHAnsi" w:hAnsiTheme="majorHAnsi" w:cstheme="majorHAnsi"/>
          <w:lang w:val="en-US"/>
        </w:rPr>
        <w:t xml:space="preserve">The </w:t>
      </w:r>
      <w:r w:rsidRPr="00C62124">
        <w:rPr>
          <w:rFonts w:asciiTheme="majorHAnsi" w:hAnsiTheme="majorHAnsi" w:cstheme="majorHAnsi"/>
          <w:lang w:val="en-US"/>
        </w:rPr>
        <w:t xml:space="preserve">BEST </w:t>
      </w:r>
      <w:r>
        <w:rPr>
          <w:rFonts w:asciiTheme="majorHAnsi" w:hAnsiTheme="majorHAnsi" w:cstheme="majorHAnsi"/>
          <w:lang w:val="en-US"/>
        </w:rPr>
        <w:t xml:space="preserve">Program </w:t>
      </w:r>
      <w:r w:rsidRPr="00C62124">
        <w:rPr>
          <w:rFonts w:asciiTheme="majorHAnsi" w:hAnsiTheme="majorHAnsi" w:cstheme="majorHAnsi"/>
          <w:lang w:val="en-US"/>
        </w:rPr>
        <w:t xml:space="preserve">was </w:t>
      </w:r>
      <w:r>
        <w:rPr>
          <w:rFonts w:asciiTheme="majorHAnsi" w:hAnsiTheme="majorHAnsi" w:cstheme="majorHAnsi"/>
          <w:lang w:val="en-US"/>
        </w:rPr>
        <w:t>implemented</w:t>
      </w:r>
      <w:r w:rsidRPr="00C62124">
        <w:rPr>
          <w:rFonts w:asciiTheme="majorHAnsi" w:hAnsiTheme="majorHAnsi" w:cstheme="majorHAnsi"/>
          <w:lang w:val="en-US"/>
        </w:rPr>
        <w:t xml:space="preserve"> pre-COVID</w:t>
      </w:r>
      <w:r>
        <w:rPr>
          <w:rFonts w:asciiTheme="majorHAnsi" w:hAnsiTheme="majorHAnsi" w:cstheme="majorHAnsi"/>
          <w:lang w:val="en-US"/>
        </w:rPr>
        <w:t>-</w:t>
      </w:r>
      <w:r w:rsidRPr="00C62124">
        <w:rPr>
          <w:rFonts w:asciiTheme="majorHAnsi" w:hAnsiTheme="majorHAnsi" w:cstheme="majorHAnsi"/>
          <w:lang w:val="en-US"/>
        </w:rPr>
        <w:t>19</w:t>
      </w:r>
      <w:r>
        <w:rPr>
          <w:rFonts w:asciiTheme="majorHAnsi" w:hAnsiTheme="majorHAnsi" w:cstheme="majorHAnsi"/>
          <w:lang w:val="en-US"/>
        </w:rPr>
        <w:t>.</w:t>
      </w:r>
      <w:r w:rsidRPr="00C62124">
        <w:rPr>
          <w:rFonts w:asciiTheme="majorHAnsi" w:hAnsiTheme="majorHAnsi" w:cstheme="majorHAnsi"/>
          <w:lang w:val="en-US"/>
        </w:rPr>
        <w:t xml:space="preserve"> </w:t>
      </w:r>
      <w:r>
        <w:rPr>
          <w:rFonts w:asciiTheme="majorHAnsi" w:hAnsiTheme="majorHAnsi" w:cstheme="majorHAnsi"/>
          <w:lang w:val="en-US"/>
        </w:rPr>
        <w:t>Likewise, the</w:t>
      </w:r>
      <w:r w:rsidRPr="00C62124">
        <w:rPr>
          <w:rFonts w:asciiTheme="majorHAnsi" w:hAnsiTheme="majorHAnsi" w:cstheme="majorHAnsi"/>
          <w:lang w:val="en-US"/>
        </w:rPr>
        <w:t xml:space="preserve"> </w:t>
      </w:r>
      <w:r>
        <w:rPr>
          <w:rFonts w:asciiTheme="majorHAnsi" w:hAnsiTheme="majorHAnsi" w:cstheme="majorHAnsi"/>
          <w:lang w:val="en-US"/>
        </w:rPr>
        <w:t>EOPE</w:t>
      </w:r>
      <w:r w:rsidRPr="00C62124">
        <w:rPr>
          <w:rFonts w:asciiTheme="majorHAnsi" w:hAnsiTheme="majorHAnsi" w:cstheme="majorHAnsi"/>
          <w:lang w:val="en-US"/>
        </w:rPr>
        <w:t xml:space="preserve"> Study.</w:t>
      </w:r>
      <w:r w:rsidR="00D434EB">
        <w:rPr>
          <w:rFonts w:asciiTheme="majorHAnsi" w:hAnsiTheme="majorHAnsi" w:cstheme="majorHAnsi"/>
          <w:lang w:val="en-US"/>
        </w:rPr>
        <w:t xml:space="preserve"> </w:t>
      </w:r>
      <w:r>
        <w:rPr>
          <w:rFonts w:asciiTheme="majorHAnsi" w:hAnsiTheme="majorHAnsi" w:cstheme="majorHAnsi"/>
          <w:lang w:val="en-US"/>
        </w:rPr>
        <w:t>And although the</w:t>
      </w:r>
      <w:r w:rsidRPr="00C62124">
        <w:rPr>
          <w:rFonts w:asciiTheme="majorHAnsi" w:hAnsiTheme="majorHAnsi" w:cstheme="majorHAnsi"/>
          <w:lang w:val="en-US"/>
        </w:rPr>
        <w:t xml:space="preserve"> Follow-</w:t>
      </w:r>
      <w:r>
        <w:rPr>
          <w:rFonts w:asciiTheme="majorHAnsi" w:hAnsiTheme="majorHAnsi" w:cstheme="majorHAnsi"/>
          <w:lang w:val="en-US"/>
        </w:rPr>
        <w:t>U</w:t>
      </w:r>
      <w:r w:rsidRPr="00C62124">
        <w:rPr>
          <w:rFonts w:asciiTheme="majorHAnsi" w:hAnsiTheme="majorHAnsi" w:cstheme="majorHAnsi"/>
          <w:lang w:val="en-US"/>
        </w:rPr>
        <w:t xml:space="preserve">p </w:t>
      </w:r>
      <w:r>
        <w:rPr>
          <w:rFonts w:asciiTheme="majorHAnsi" w:hAnsiTheme="majorHAnsi" w:cstheme="majorHAnsi"/>
          <w:lang w:val="en-US"/>
        </w:rPr>
        <w:t>Study</w:t>
      </w:r>
      <w:r w:rsidRPr="00C62124">
        <w:rPr>
          <w:rFonts w:asciiTheme="majorHAnsi" w:hAnsiTheme="majorHAnsi" w:cstheme="majorHAnsi"/>
          <w:lang w:val="en-US"/>
        </w:rPr>
        <w:t xml:space="preserve"> was </w:t>
      </w:r>
      <w:r>
        <w:rPr>
          <w:rFonts w:asciiTheme="majorHAnsi" w:hAnsiTheme="majorHAnsi" w:cstheme="majorHAnsi"/>
          <w:lang w:val="en-US"/>
        </w:rPr>
        <w:t>undertaken</w:t>
      </w:r>
      <w:r w:rsidRPr="00C62124">
        <w:rPr>
          <w:rFonts w:asciiTheme="majorHAnsi" w:hAnsiTheme="majorHAnsi" w:cstheme="majorHAnsi"/>
          <w:lang w:val="en-US"/>
        </w:rPr>
        <w:t xml:space="preserve"> </w:t>
      </w:r>
      <w:r>
        <w:rPr>
          <w:rFonts w:asciiTheme="majorHAnsi" w:hAnsiTheme="majorHAnsi" w:cstheme="majorHAnsi"/>
          <w:lang w:val="en-US"/>
        </w:rPr>
        <w:t xml:space="preserve">during the period of </w:t>
      </w:r>
      <w:r w:rsidRPr="00C62124">
        <w:rPr>
          <w:rFonts w:asciiTheme="majorHAnsi" w:hAnsiTheme="majorHAnsi" w:cstheme="majorHAnsi"/>
          <w:lang w:val="en-US"/>
        </w:rPr>
        <w:t>Enhanced Community Quarantine (ECQ)</w:t>
      </w:r>
      <w:r>
        <w:rPr>
          <w:rFonts w:asciiTheme="majorHAnsi" w:hAnsiTheme="majorHAnsi" w:cstheme="majorHAnsi"/>
          <w:lang w:val="en-US"/>
        </w:rPr>
        <w:t>, its implications were not integrated into this Report</w:t>
      </w:r>
      <w:r w:rsidRPr="00C62124">
        <w:rPr>
          <w:rFonts w:asciiTheme="majorHAnsi" w:hAnsiTheme="majorHAnsi" w:cstheme="majorHAnsi"/>
          <w:lang w:val="en-US"/>
        </w:rPr>
        <w:t>.</w:t>
      </w:r>
      <w:r w:rsidR="00D434EB">
        <w:rPr>
          <w:rFonts w:asciiTheme="majorHAnsi" w:hAnsiTheme="majorHAnsi" w:cstheme="majorHAnsi"/>
          <w:lang w:val="en-US"/>
        </w:rPr>
        <w:t xml:space="preserve"> </w:t>
      </w:r>
      <w:r>
        <w:rPr>
          <w:rFonts w:asciiTheme="majorHAnsi" w:hAnsiTheme="majorHAnsi" w:cstheme="majorHAnsi"/>
          <w:lang w:val="en-US"/>
        </w:rPr>
        <w:t>This addendum provides a quick look at</w:t>
      </w:r>
      <w:r w:rsidRPr="00C62124">
        <w:rPr>
          <w:rFonts w:asciiTheme="majorHAnsi" w:hAnsiTheme="majorHAnsi" w:cstheme="majorHAnsi"/>
          <w:lang w:val="en-US"/>
        </w:rPr>
        <w:t xml:space="preserve"> the implication</w:t>
      </w:r>
      <w:r>
        <w:rPr>
          <w:rFonts w:asciiTheme="majorHAnsi" w:hAnsiTheme="majorHAnsi" w:cstheme="majorHAnsi"/>
          <w:lang w:val="en-US"/>
        </w:rPr>
        <w:t>s</w:t>
      </w:r>
      <w:r w:rsidRPr="00C62124">
        <w:rPr>
          <w:rFonts w:asciiTheme="majorHAnsi" w:hAnsiTheme="majorHAnsi" w:cstheme="majorHAnsi"/>
          <w:lang w:val="en-US"/>
        </w:rPr>
        <w:t xml:space="preserve"> </w:t>
      </w:r>
      <w:r>
        <w:rPr>
          <w:rFonts w:asciiTheme="majorHAnsi" w:hAnsiTheme="majorHAnsi" w:cstheme="majorHAnsi"/>
          <w:lang w:val="en-US"/>
        </w:rPr>
        <w:t>of the BEST Program-assisted reforms</w:t>
      </w:r>
      <w:r w:rsidRPr="00C62124">
        <w:rPr>
          <w:rFonts w:asciiTheme="majorHAnsi" w:hAnsiTheme="majorHAnsi" w:cstheme="majorHAnsi"/>
          <w:lang w:val="en-US"/>
        </w:rPr>
        <w:t xml:space="preserve"> in the new normal.</w:t>
      </w:r>
    </w:p>
    <w:p w14:paraId="60EBEAE2" w14:textId="77777777" w:rsidR="008D0CAD" w:rsidRPr="00C62124" w:rsidRDefault="008D0CAD" w:rsidP="00DD08E3">
      <w:pPr>
        <w:pStyle w:val="ListParagraph"/>
        <w:numPr>
          <w:ilvl w:val="0"/>
          <w:numId w:val="50"/>
        </w:numPr>
        <w:spacing w:before="100" w:beforeAutospacing="1" w:after="100" w:afterAutospacing="1" w:line="360" w:lineRule="auto"/>
        <w:ind w:left="357" w:hanging="357"/>
        <w:contextualSpacing w:val="0"/>
        <w:rPr>
          <w:rFonts w:asciiTheme="majorHAnsi" w:hAnsiTheme="majorHAnsi" w:cstheme="majorHAnsi"/>
          <w:lang w:val="en-US"/>
        </w:rPr>
      </w:pPr>
      <w:r w:rsidRPr="00C62124">
        <w:rPr>
          <w:rFonts w:asciiTheme="majorHAnsi" w:hAnsiTheme="majorHAnsi" w:cstheme="majorHAnsi"/>
          <w:lang w:val="en-US"/>
        </w:rPr>
        <w:t>PPST</w:t>
      </w:r>
      <w:r>
        <w:rPr>
          <w:rFonts w:asciiTheme="majorHAnsi" w:hAnsiTheme="majorHAnsi" w:cstheme="majorHAnsi"/>
          <w:lang w:val="en-US"/>
        </w:rPr>
        <w:t xml:space="preserve">-aligned </w:t>
      </w:r>
      <w:r w:rsidRPr="00C62124">
        <w:rPr>
          <w:rFonts w:asciiTheme="majorHAnsi" w:hAnsiTheme="majorHAnsi" w:cstheme="majorHAnsi"/>
          <w:lang w:val="en-US"/>
        </w:rPr>
        <w:t>RPM</w:t>
      </w:r>
      <w:r>
        <w:rPr>
          <w:rFonts w:asciiTheme="majorHAnsi" w:hAnsiTheme="majorHAnsi" w:cstheme="majorHAnsi"/>
          <w:lang w:val="en-US"/>
        </w:rPr>
        <w:t>S</w:t>
      </w:r>
      <w:r w:rsidRPr="00C62124">
        <w:rPr>
          <w:rFonts w:asciiTheme="majorHAnsi" w:hAnsiTheme="majorHAnsi" w:cstheme="majorHAnsi"/>
          <w:lang w:val="en-US"/>
        </w:rPr>
        <w:t xml:space="preserve"> </w:t>
      </w:r>
    </w:p>
    <w:p w14:paraId="559ED92F" w14:textId="32B3F799" w:rsidR="008D0CAD" w:rsidRDefault="008D0CAD" w:rsidP="002320B3">
      <w:pPr>
        <w:spacing w:before="100" w:beforeAutospacing="1" w:after="100" w:afterAutospacing="1" w:line="360" w:lineRule="auto"/>
        <w:ind w:left="357"/>
        <w:rPr>
          <w:rFonts w:asciiTheme="majorHAnsi" w:hAnsiTheme="majorHAnsi" w:cstheme="majorHAnsi"/>
          <w:lang w:val="en-US"/>
        </w:rPr>
      </w:pPr>
      <w:r w:rsidRPr="00C62124">
        <w:rPr>
          <w:rFonts w:asciiTheme="majorHAnsi" w:hAnsiTheme="majorHAnsi" w:cstheme="majorHAnsi"/>
          <w:lang w:val="en-US"/>
        </w:rPr>
        <w:t xml:space="preserve">The </w:t>
      </w:r>
      <w:r>
        <w:rPr>
          <w:rFonts w:asciiTheme="majorHAnsi" w:hAnsiTheme="majorHAnsi" w:cstheme="majorHAnsi"/>
          <w:lang w:val="en-US"/>
        </w:rPr>
        <w:t>most significant</w:t>
      </w:r>
      <w:r w:rsidRPr="00C62124">
        <w:rPr>
          <w:rFonts w:asciiTheme="majorHAnsi" w:hAnsiTheme="majorHAnsi" w:cstheme="majorHAnsi"/>
          <w:lang w:val="en-US"/>
        </w:rPr>
        <w:t xml:space="preserve"> </w:t>
      </w:r>
      <w:r>
        <w:rPr>
          <w:rFonts w:asciiTheme="majorHAnsi" w:hAnsiTheme="majorHAnsi" w:cstheme="majorHAnsi"/>
          <w:lang w:val="en-US"/>
        </w:rPr>
        <w:t>outcome</w:t>
      </w:r>
      <w:r w:rsidRPr="00C62124">
        <w:rPr>
          <w:rFonts w:asciiTheme="majorHAnsi" w:hAnsiTheme="majorHAnsi" w:cstheme="majorHAnsi"/>
          <w:lang w:val="en-US"/>
        </w:rPr>
        <w:t xml:space="preserve"> of the PPST </w:t>
      </w:r>
      <w:r>
        <w:rPr>
          <w:rFonts w:asciiTheme="majorHAnsi" w:hAnsiTheme="majorHAnsi" w:cstheme="majorHAnsi"/>
          <w:lang w:val="en-US"/>
        </w:rPr>
        <w:t xml:space="preserve">from the perspective of the </w:t>
      </w:r>
      <w:r w:rsidRPr="00C62124">
        <w:rPr>
          <w:rFonts w:asciiTheme="majorHAnsi" w:hAnsiTheme="majorHAnsi" w:cstheme="majorHAnsi"/>
          <w:lang w:val="en-US"/>
        </w:rPr>
        <w:t xml:space="preserve">teachers </w:t>
      </w:r>
      <w:r>
        <w:rPr>
          <w:rFonts w:asciiTheme="majorHAnsi" w:hAnsiTheme="majorHAnsi" w:cstheme="majorHAnsi"/>
          <w:lang w:val="en-US"/>
        </w:rPr>
        <w:t>was that it provided them an objective</w:t>
      </w:r>
      <w:r w:rsidRPr="00C62124">
        <w:rPr>
          <w:rFonts w:asciiTheme="majorHAnsi" w:hAnsiTheme="majorHAnsi" w:cstheme="majorHAnsi"/>
          <w:lang w:val="en-US"/>
        </w:rPr>
        <w:t xml:space="preserve"> </w:t>
      </w:r>
      <w:r>
        <w:rPr>
          <w:rFonts w:asciiTheme="majorHAnsi" w:hAnsiTheme="majorHAnsi" w:cstheme="majorHAnsi"/>
          <w:lang w:val="en-US"/>
        </w:rPr>
        <w:t>means to</w:t>
      </w:r>
      <w:r w:rsidRPr="00C62124">
        <w:rPr>
          <w:rFonts w:asciiTheme="majorHAnsi" w:hAnsiTheme="majorHAnsi" w:cstheme="majorHAnsi"/>
          <w:lang w:val="en-US"/>
        </w:rPr>
        <w:t xml:space="preserve"> </w:t>
      </w:r>
      <w:r>
        <w:rPr>
          <w:rFonts w:asciiTheme="majorHAnsi" w:hAnsiTheme="majorHAnsi" w:cstheme="majorHAnsi"/>
          <w:lang w:val="en-US"/>
        </w:rPr>
        <w:t>assess their levels in DepEd’s ranking</w:t>
      </w:r>
      <w:r w:rsidRPr="00C62124">
        <w:rPr>
          <w:rFonts w:asciiTheme="majorHAnsi" w:hAnsiTheme="majorHAnsi" w:cstheme="majorHAnsi"/>
          <w:lang w:val="en-US"/>
        </w:rPr>
        <w:t>.</w:t>
      </w:r>
      <w:r w:rsidR="00D434EB">
        <w:rPr>
          <w:rFonts w:asciiTheme="majorHAnsi" w:hAnsiTheme="majorHAnsi" w:cstheme="majorHAnsi"/>
          <w:lang w:val="en-US"/>
        </w:rPr>
        <w:t xml:space="preserve"> </w:t>
      </w:r>
      <w:r>
        <w:rPr>
          <w:rFonts w:asciiTheme="majorHAnsi" w:hAnsiTheme="majorHAnsi" w:cstheme="majorHAnsi"/>
          <w:lang w:val="en-US"/>
        </w:rPr>
        <w:t>T</w:t>
      </w:r>
      <w:r w:rsidRPr="00C62124">
        <w:rPr>
          <w:rFonts w:asciiTheme="majorHAnsi" w:hAnsiTheme="majorHAnsi" w:cstheme="majorHAnsi"/>
          <w:lang w:val="en-US"/>
        </w:rPr>
        <w:t>he Results-based Performance Management System</w:t>
      </w:r>
      <w:r>
        <w:rPr>
          <w:rFonts w:asciiTheme="majorHAnsi" w:hAnsiTheme="majorHAnsi" w:cstheme="majorHAnsi"/>
          <w:lang w:val="en-US"/>
        </w:rPr>
        <w:t xml:space="preserve"> </w:t>
      </w:r>
      <w:r w:rsidRPr="00C62124">
        <w:rPr>
          <w:rFonts w:asciiTheme="majorHAnsi" w:hAnsiTheme="majorHAnsi" w:cstheme="majorHAnsi"/>
          <w:lang w:val="en-US"/>
        </w:rPr>
        <w:t xml:space="preserve">was </w:t>
      </w:r>
      <w:r>
        <w:rPr>
          <w:rFonts w:asciiTheme="majorHAnsi" w:hAnsiTheme="majorHAnsi" w:cstheme="majorHAnsi"/>
          <w:lang w:val="en-US"/>
        </w:rPr>
        <w:t>re</w:t>
      </w:r>
      <w:r w:rsidRPr="00C62124">
        <w:rPr>
          <w:rFonts w:asciiTheme="majorHAnsi" w:hAnsiTheme="majorHAnsi" w:cstheme="majorHAnsi"/>
          <w:lang w:val="en-US"/>
        </w:rPr>
        <w:t xml:space="preserve">designed to </w:t>
      </w:r>
      <w:r>
        <w:rPr>
          <w:rFonts w:asciiTheme="majorHAnsi" w:hAnsiTheme="majorHAnsi" w:cstheme="majorHAnsi"/>
          <w:lang w:val="en-US"/>
        </w:rPr>
        <w:t>align with the PPST</w:t>
      </w:r>
      <w:r w:rsidRPr="00C62124">
        <w:rPr>
          <w:rFonts w:asciiTheme="majorHAnsi" w:hAnsiTheme="majorHAnsi" w:cstheme="majorHAnsi"/>
          <w:lang w:val="en-US"/>
        </w:rPr>
        <w:t>.</w:t>
      </w:r>
      <w:r w:rsidR="00D434EB">
        <w:rPr>
          <w:rFonts w:asciiTheme="majorHAnsi" w:hAnsiTheme="majorHAnsi" w:cstheme="majorHAnsi"/>
          <w:lang w:val="en-US"/>
        </w:rPr>
        <w:t xml:space="preserve"> </w:t>
      </w:r>
      <w:r w:rsidRPr="00C62124">
        <w:rPr>
          <w:rFonts w:asciiTheme="majorHAnsi" w:hAnsiTheme="majorHAnsi" w:cstheme="majorHAnsi"/>
          <w:lang w:val="en-US"/>
        </w:rPr>
        <w:t xml:space="preserve">However, the RPMS was based on the old classroom systems where the students go to school </w:t>
      </w:r>
      <w:r>
        <w:rPr>
          <w:rFonts w:asciiTheme="majorHAnsi" w:hAnsiTheme="majorHAnsi" w:cstheme="majorHAnsi"/>
          <w:lang w:val="en-US"/>
        </w:rPr>
        <w:t>daily</w:t>
      </w:r>
      <w:r w:rsidRPr="00C62124">
        <w:rPr>
          <w:rFonts w:asciiTheme="majorHAnsi" w:hAnsiTheme="majorHAnsi" w:cstheme="majorHAnsi"/>
          <w:lang w:val="en-US"/>
        </w:rPr>
        <w:t>.</w:t>
      </w:r>
      <w:r w:rsidR="00D434EB">
        <w:rPr>
          <w:rFonts w:asciiTheme="majorHAnsi" w:hAnsiTheme="majorHAnsi" w:cstheme="majorHAnsi"/>
          <w:lang w:val="en-US"/>
        </w:rPr>
        <w:t xml:space="preserve"> </w:t>
      </w:r>
      <w:r>
        <w:rPr>
          <w:rFonts w:asciiTheme="majorHAnsi" w:hAnsiTheme="majorHAnsi" w:cstheme="majorHAnsi"/>
          <w:lang w:val="en-US"/>
        </w:rPr>
        <w:t>With the requirement of</w:t>
      </w:r>
      <w:r w:rsidRPr="00C62124">
        <w:rPr>
          <w:rFonts w:asciiTheme="majorHAnsi" w:hAnsiTheme="majorHAnsi" w:cstheme="majorHAnsi"/>
          <w:lang w:val="en-US"/>
        </w:rPr>
        <w:t xml:space="preserve"> social distancing </w:t>
      </w:r>
      <w:r>
        <w:rPr>
          <w:rFonts w:asciiTheme="majorHAnsi" w:hAnsiTheme="majorHAnsi" w:cstheme="majorHAnsi"/>
          <w:lang w:val="en-US"/>
        </w:rPr>
        <w:t>still in place</w:t>
      </w:r>
      <w:r w:rsidRPr="00C62124">
        <w:rPr>
          <w:rFonts w:asciiTheme="majorHAnsi" w:hAnsiTheme="majorHAnsi" w:cstheme="majorHAnsi"/>
          <w:lang w:val="en-US"/>
        </w:rPr>
        <w:t xml:space="preserve"> </w:t>
      </w:r>
      <w:r>
        <w:rPr>
          <w:rFonts w:asciiTheme="majorHAnsi" w:hAnsiTheme="majorHAnsi" w:cstheme="majorHAnsi"/>
          <w:lang w:val="en-US"/>
        </w:rPr>
        <w:t xml:space="preserve">and the likelihood of online classes looms large, the manner of assessing teacher performance, now in a virtual classroom, changes. </w:t>
      </w:r>
    </w:p>
    <w:p w14:paraId="49FECE4B" w14:textId="3A852F78" w:rsidR="008D0CAD" w:rsidRPr="00C62124" w:rsidRDefault="008D0CAD" w:rsidP="002320B3">
      <w:pPr>
        <w:spacing w:before="100" w:beforeAutospacing="1" w:after="100" w:afterAutospacing="1" w:line="360" w:lineRule="auto"/>
        <w:ind w:left="360"/>
        <w:rPr>
          <w:rFonts w:asciiTheme="majorHAnsi" w:hAnsiTheme="majorHAnsi" w:cstheme="majorHAnsi"/>
          <w:lang w:val="en-US"/>
        </w:rPr>
      </w:pPr>
      <w:r>
        <w:rPr>
          <w:rFonts w:asciiTheme="majorHAnsi" w:hAnsiTheme="majorHAnsi" w:cstheme="majorHAnsi"/>
          <w:lang w:val="en-US"/>
        </w:rPr>
        <w:t xml:space="preserve">Currently, the </w:t>
      </w:r>
      <w:r w:rsidRPr="00C62124">
        <w:rPr>
          <w:rFonts w:asciiTheme="majorHAnsi" w:hAnsiTheme="majorHAnsi" w:cstheme="majorHAnsi"/>
          <w:lang w:val="en-US"/>
        </w:rPr>
        <w:t xml:space="preserve">RPMS does not capture the skills and competencies </w:t>
      </w:r>
      <w:r>
        <w:rPr>
          <w:rFonts w:asciiTheme="majorHAnsi" w:hAnsiTheme="majorHAnsi" w:cstheme="majorHAnsi"/>
          <w:lang w:val="en-US"/>
        </w:rPr>
        <w:t xml:space="preserve">required </w:t>
      </w:r>
      <w:r w:rsidRPr="00C62124">
        <w:rPr>
          <w:rFonts w:asciiTheme="majorHAnsi" w:hAnsiTheme="majorHAnsi" w:cstheme="majorHAnsi"/>
          <w:lang w:val="en-US"/>
        </w:rPr>
        <w:t xml:space="preserve">for </w:t>
      </w:r>
      <w:r>
        <w:rPr>
          <w:rFonts w:asciiTheme="majorHAnsi" w:hAnsiTheme="majorHAnsi" w:cstheme="majorHAnsi"/>
          <w:lang w:val="en-US"/>
        </w:rPr>
        <w:t xml:space="preserve">implementing </w:t>
      </w:r>
      <w:r w:rsidRPr="00C62124">
        <w:rPr>
          <w:rFonts w:asciiTheme="majorHAnsi" w:hAnsiTheme="majorHAnsi" w:cstheme="majorHAnsi"/>
          <w:lang w:val="en-US"/>
        </w:rPr>
        <w:t xml:space="preserve">blended learning delivery </w:t>
      </w:r>
      <w:r>
        <w:rPr>
          <w:rFonts w:asciiTheme="majorHAnsi" w:hAnsiTheme="majorHAnsi" w:cstheme="majorHAnsi"/>
          <w:lang w:val="en-US"/>
        </w:rPr>
        <w:t>as well as</w:t>
      </w:r>
      <w:r w:rsidRPr="00C62124">
        <w:rPr>
          <w:rFonts w:asciiTheme="majorHAnsi" w:hAnsiTheme="majorHAnsi" w:cstheme="majorHAnsi"/>
          <w:lang w:val="en-US"/>
        </w:rPr>
        <w:t xml:space="preserve"> online delivery.</w:t>
      </w:r>
      <w:r w:rsidR="00D434EB">
        <w:rPr>
          <w:rFonts w:asciiTheme="majorHAnsi" w:hAnsiTheme="majorHAnsi" w:cstheme="majorHAnsi"/>
          <w:lang w:val="en-US"/>
        </w:rPr>
        <w:t xml:space="preserve"> </w:t>
      </w:r>
      <w:r w:rsidRPr="00C62124">
        <w:rPr>
          <w:rFonts w:asciiTheme="majorHAnsi" w:hAnsiTheme="majorHAnsi" w:cstheme="majorHAnsi"/>
          <w:lang w:val="en-US"/>
        </w:rPr>
        <w:t xml:space="preserve">The RPMS, which </w:t>
      </w:r>
      <w:r>
        <w:rPr>
          <w:rFonts w:asciiTheme="majorHAnsi" w:hAnsiTheme="majorHAnsi" w:cstheme="majorHAnsi"/>
          <w:lang w:val="en-US"/>
        </w:rPr>
        <w:t>includes</w:t>
      </w:r>
      <w:r w:rsidRPr="00C62124">
        <w:rPr>
          <w:rFonts w:asciiTheme="majorHAnsi" w:hAnsiTheme="majorHAnsi" w:cstheme="majorHAnsi"/>
          <w:lang w:val="en-US"/>
        </w:rPr>
        <w:t xml:space="preserve"> the C</w:t>
      </w:r>
      <w:r>
        <w:rPr>
          <w:rFonts w:asciiTheme="majorHAnsi" w:hAnsiTheme="majorHAnsi" w:cstheme="majorHAnsi"/>
          <w:lang w:val="en-US"/>
        </w:rPr>
        <w:t xml:space="preserve">lassroom </w:t>
      </w:r>
      <w:r w:rsidRPr="00C62124">
        <w:rPr>
          <w:rFonts w:asciiTheme="majorHAnsi" w:hAnsiTheme="majorHAnsi" w:cstheme="majorHAnsi"/>
          <w:lang w:val="en-US"/>
        </w:rPr>
        <w:t>O</w:t>
      </w:r>
      <w:r>
        <w:rPr>
          <w:rFonts w:asciiTheme="majorHAnsi" w:hAnsiTheme="majorHAnsi" w:cstheme="majorHAnsi"/>
          <w:lang w:val="en-US"/>
        </w:rPr>
        <w:t xml:space="preserve">bservation </w:t>
      </w:r>
      <w:r w:rsidRPr="00C62124">
        <w:rPr>
          <w:rFonts w:asciiTheme="majorHAnsi" w:hAnsiTheme="majorHAnsi" w:cstheme="majorHAnsi"/>
          <w:lang w:val="en-US"/>
        </w:rPr>
        <w:t>T</w:t>
      </w:r>
      <w:r>
        <w:rPr>
          <w:rFonts w:asciiTheme="majorHAnsi" w:hAnsiTheme="majorHAnsi" w:cstheme="majorHAnsi"/>
          <w:lang w:val="en-US"/>
        </w:rPr>
        <w:t>ool</w:t>
      </w:r>
      <w:r w:rsidRPr="00C62124">
        <w:rPr>
          <w:rFonts w:asciiTheme="majorHAnsi" w:hAnsiTheme="majorHAnsi" w:cstheme="majorHAnsi"/>
          <w:lang w:val="en-US"/>
        </w:rPr>
        <w:t xml:space="preserve"> can</w:t>
      </w:r>
      <w:r>
        <w:rPr>
          <w:rFonts w:asciiTheme="majorHAnsi" w:hAnsiTheme="majorHAnsi" w:cstheme="majorHAnsi"/>
          <w:lang w:val="en-US"/>
        </w:rPr>
        <w:t xml:space="preserve"> </w:t>
      </w:r>
      <w:r w:rsidRPr="00C62124">
        <w:rPr>
          <w:rFonts w:asciiTheme="majorHAnsi" w:hAnsiTheme="majorHAnsi" w:cstheme="majorHAnsi"/>
          <w:lang w:val="en-US"/>
        </w:rPr>
        <w:t>no</w:t>
      </w:r>
      <w:r>
        <w:rPr>
          <w:rFonts w:asciiTheme="majorHAnsi" w:hAnsiTheme="majorHAnsi" w:cstheme="majorHAnsi"/>
          <w:lang w:val="en-US"/>
        </w:rPr>
        <w:t xml:space="preserve"> longer </w:t>
      </w:r>
      <w:r w:rsidRPr="00C62124">
        <w:rPr>
          <w:rFonts w:asciiTheme="majorHAnsi" w:hAnsiTheme="majorHAnsi" w:cstheme="majorHAnsi"/>
          <w:lang w:val="en-US"/>
        </w:rPr>
        <w:t>be done at this time</w:t>
      </w:r>
      <w:r>
        <w:rPr>
          <w:rFonts w:asciiTheme="majorHAnsi" w:hAnsiTheme="majorHAnsi" w:cstheme="majorHAnsi"/>
          <w:lang w:val="en-US"/>
        </w:rPr>
        <w:t xml:space="preserve"> and</w:t>
      </w:r>
      <w:r w:rsidRPr="00C62124">
        <w:rPr>
          <w:rFonts w:asciiTheme="majorHAnsi" w:hAnsiTheme="majorHAnsi" w:cstheme="majorHAnsi"/>
          <w:lang w:val="en-US"/>
        </w:rPr>
        <w:t xml:space="preserve"> the token inclusion of IT integration will be a limited measure of teacher performance.</w:t>
      </w:r>
      <w:r w:rsidR="00D434EB">
        <w:rPr>
          <w:rFonts w:asciiTheme="majorHAnsi" w:hAnsiTheme="majorHAnsi" w:cstheme="majorHAnsi"/>
          <w:lang w:val="en-US"/>
        </w:rPr>
        <w:t xml:space="preserve"> </w:t>
      </w:r>
      <w:r>
        <w:rPr>
          <w:rFonts w:asciiTheme="majorHAnsi" w:hAnsiTheme="majorHAnsi" w:cstheme="majorHAnsi"/>
          <w:lang w:val="en-US"/>
        </w:rPr>
        <w:t>Thus, a</w:t>
      </w:r>
      <w:r w:rsidRPr="00C62124">
        <w:rPr>
          <w:rFonts w:asciiTheme="majorHAnsi" w:hAnsiTheme="majorHAnsi" w:cstheme="majorHAnsi"/>
          <w:lang w:val="en-US"/>
        </w:rPr>
        <w:t xml:space="preserve"> more responsive and relevant RPMS and PPST will have to be developed based on the required competencies and performance of teachers that are required into the new normal</w:t>
      </w:r>
      <w:r>
        <w:rPr>
          <w:rFonts w:asciiTheme="majorHAnsi" w:hAnsiTheme="majorHAnsi" w:cstheme="majorHAnsi"/>
          <w:lang w:val="en-US"/>
        </w:rPr>
        <w:t>.</w:t>
      </w:r>
    </w:p>
    <w:p w14:paraId="4F3CF481" w14:textId="77777777" w:rsidR="008D0CAD" w:rsidRPr="00C62124" w:rsidRDefault="008D0CAD" w:rsidP="00DD08E3">
      <w:pPr>
        <w:pStyle w:val="ListParagraph"/>
        <w:pageBreakBefore/>
        <w:numPr>
          <w:ilvl w:val="0"/>
          <w:numId w:val="50"/>
        </w:numPr>
        <w:spacing w:before="100" w:beforeAutospacing="1" w:after="100" w:afterAutospacing="1" w:line="360" w:lineRule="auto"/>
        <w:ind w:left="357" w:hanging="357"/>
        <w:contextualSpacing w:val="0"/>
        <w:rPr>
          <w:rFonts w:asciiTheme="majorHAnsi" w:hAnsiTheme="majorHAnsi" w:cstheme="majorHAnsi"/>
          <w:lang w:val="en-US"/>
        </w:rPr>
      </w:pPr>
      <w:r w:rsidRPr="00C62124">
        <w:rPr>
          <w:rFonts w:asciiTheme="majorHAnsi" w:hAnsiTheme="majorHAnsi" w:cstheme="majorHAnsi"/>
          <w:lang w:val="en-US"/>
        </w:rPr>
        <w:t>Curriculum and Assessment</w:t>
      </w:r>
      <w:r>
        <w:rPr>
          <w:rFonts w:asciiTheme="majorHAnsi" w:hAnsiTheme="majorHAnsi" w:cstheme="majorHAnsi"/>
          <w:lang w:val="en-US"/>
        </w:rPr>
        <w:t xml:space="preserve"> (C&amp;A)</w:t>
      </w:r>
    </w:p>
    <w:p w14:paraId="707CC9DC" w14:textId="60985778" w:rsidR="008D0CAD" w:rsidRPr="00C62124" w:rsidRDefault="008D0CAD" w:rsidP="002320B3">
      <w:pPr>
        <w:spacing w:before="100" w:beforeAutospacing="1" w:after="100" w:afterAutospacing="1" w:line="360" w:lineRule="auto"/>
        <w:ind w:left="357"/>
        <w:rPr>
          <w:rFonts w:asciiTheme="majorHAnsi" w:hAnsiTheme="majorHAnsi" w:cstheme="majorHAnsi"/>
          <w:lang w:val="en-US"/>
        </w:rPr>
      </w:pPr>
      <w:r w:rsidRPr="003476EE">
        <w:rPr>
          <w:rFonts w:asciiTheme="majorHAnsi" w:hAnsiTheme="majorHAnsi" w:cstheme="majorHAnsi"/>
          <w:lang w:val="en-US"/>
        </w:rPr>
        <w:t>The current system also has to consider the adjustments that have to be made in the content (curriculum) and in the assessment of student outcomes.</w:t>
      </w:r>
      <w:r w:rsidR="00D434EB">
        <w:rPr>
          <w:rFonts w:asciiTheme="majorHAnsi" w:hAnsiTheme="majorHAnsi" w:cstheme="majorHAnsi"/>
          <w:lang w:val="en-US"/>
        </w:rPr>
        <w:t xml:space="preserve"> </w:t>
      </w:r>
      <w:r w:rsidRPr="003476EE">
        <w:rPr>
          <w:rFonts w:asciiTheme="majorHAnsi" w:hAnsiTheme="majorHAnsi" w:cstheme="majorHAnsi"/>
          <w:lang w:val="en-US"/>
        </w:rPr>
        <w:t>The spiral system may be difficult to implement given the different options of delivery and measurement of student learning.</w:t>
      </w:r>
      <w:r w:rsidR="00D434EB">
        <w:rPr>
          <w:rFonts w:asciiTheme="majorHAnsi" w:hAnsiTheme="majorHAnsi" w:cstheme="majorHAnsi"/>
          <w:lang w:val="en-US"/>
        </w:rPr>
        <w:t xml:space="preserve"> </w:t>
      </w:r>
    </w:p>
    <w:p w14:paraId="7E58E452" w14:textId="77777777" w:rsidR="008D0CAD" w:rsidRPr="00C62124" w:rsidRDefault="008D0CAD" w:rsidP="00DD08E3">
      <w:pPr>
        <w:pStyle w:val="ListParagraph"/>
        <w:numPr>
          <w:ilvl w:val="0"/>
          <w:numId w:val="50"/>
        </w:numPr>
        <w:spacing w:before="100" w:beforeAutospacing="1" w:after="100" w:afterAutospacing="1" w:line="360" w:lineRule="auto"/>
        <w:ind w:left="357" w:hanging="357"/>
        <w:contextualSpacing w:val="0"/>
        <w:rPr>
          <w:rFonts w:asciiTheme="majorHAnsi" w:hAnsiTheme="majorHAnsi" w:cstheme="majorHAnsi"/>
          <w:lang w:val="en-US"/>
        </w:rPr>
      </w:pPr>
      <w:r>
        <w:rPr>
          <w:rFonts w:asciiTheme="majorHAnsi" w:hAnsiTheme="majorHAnsi" w:cstheme="majorHAnsi"/>
          <w:lang w:val="en-US"/>
        </w:rPr>
        <w:t>School-Based Management (</w:t>
      </w:r>
      <w:r w:rsidRPr="00C62124">
        <w:rPr>
          <w:rFonts w:asciiTheme="majorHAnsi" w:hAnsiTheme="majorHAnsi" w:cstheme="majorHAnsi"/>
          <w:lang w:val="en-US"/>
        </w:rPr>
        <w:t>SBM</w:t>
      </w:r>
      <w:r>
        <w:rPr>
          <w:rFonts w:asciiTheme="majorHAnsi" w:hAnsiTheme="majorHAnsi" w:cstheme="majorHAnsi"/>
          <w:lang w:val="en-US"/>
        </w:rPr>
        <w:t>)</w:t>
      </w:r>
    </w:p>
    <w:p w14:paraId="333C111B" w14:textId="431674DD" w:rsidR="008D0CAD" w:rsidRPr="00C62124" w:rsidRDefault="008D0CAD" w:rsidP="002320B3">
      <w:pPr>
        <w:spacing w:before="100" w:beforeAutospacing="1" w:after="100" w:afterAutospacing="1" w:line="360" w:lineRule="auto"/>
        <w:ind w:left="357"/>
        <w:rPr>
          <w:rFonts w:asciiTheme="majorHAnsi" w:hAnsiTheme="majorHAnsi" w:cstheme="majorHAnsi"/>
          <w:lang w:val="en-US"/>
        </w:rPr>
      </w:pPr>
      <w:r w:rsidRPr="00C62124">
        <w:rPr>
          <w:rFonts w:asciiTheme="majorHAnsi" w:hAnsiTheme="majorHAnsi" w:cstheme="majorHAnsi"/>
          <w:lang w:val="en-US"/>
        </w:rPr>
        <w:t xml:space="preserve">The </w:t>
      </w:r>
      <w:r>
        <w:rPr>
          <w:rFonts w:asciiTheme="majorHAnsi" w:hAnsiTheme="majorHAnsi" w:cstheme="majorHAnsi"/>
          <w:lang w:val="en-US"/>
        </w:rPr>
        <w:t xml:space="preserve">EOPE Study underscored the role of the school principals as the </w:t>
      </w:r>
      <w:r w:rsidRPr="00C62124">
        <w:rPr>
          <w:rFonts w:asciiTheme="majorHAnsi" w:hAnsiTheme="majorHAnsi" w:cstheme="majorHAnsi"/>
          <w:lang w:val="en-US"/>
        </w:rPr>
        <w:t xml:space="preserve">lynchpin or catalyst for change </w:t>
      </w:r>
      <w:r>
        <w:rPr>
          <w:rFonts w:asciiTheme="majorHAnsi" w:hAnsiTheme="majorHAnsi" w:cstheme="majorHAnsi"/>
          <w:lang w:val="en-US"/>
        </w:rPr>
        <w:t xml:space="preserve">at the school level. They are likewise </w:t>
      </w:r>
      <w:r w:rsidRPr="00C62124">
        <w:rPr>
          <w:rFonts w:asciiTheme="majorHAnsi" w:hAnsiTheme="majorHAnsi" w:cstheme="majorHAnsi"/>
          <w:lang w:val="en-US"/>
        </w:rPr>
        <w:t>critical in pivoting the schools to the new normal.</w:t>
      </w:r>
      <w:r w:rsidR="00D434EB">
        <w:rPr>
          <w:rFonts w:asciiTheme="majorHAnsi" w:hAnsiTheme="majorHAnsi" w:cstheme="majorHAnsi"/>
          <w:lang w:val="en-US"/>
        </w:rPr>
        <w:t xml:space="preserve"> </w:t>
      </w:r>
      <w:r w:rsidRPr="00C62124">
        <w:rPr>
          <w:rFonts w:asciiTheme="majorHAnsi" w:hAnsiTheme="majorHAnsi" w:cstheme="majorHAnsi"/>
          <w:lang w:val="en-US"/>
        </w:rPr>
        <w:t xml:space="preserve">A dynamic </w:t>
      </w:r>
      <w:r>
        <w:rPr>
          <w:rFonts w:asciiTheme="majorHAnsi" w:hAnsiTheme="majorHAnsi" w:cstheme="majorHAnsi"/>
          <w:lang w:val="en-US"/>
        </w:rPr>
        <w:t>principal,</w:t>
      </w:r>
      <w:r w:rsidRPr="00C62124">
        <w:rPr>
          <w:rFonts w:asciiTheme="majorHAnsi" w:hAnsiTheme="majorHAnsi" w:cstheme="majorHAnsi"/>
          <w:lang w:val="en-US"/>
        </w:rPr>
        <w:t xml:space="preserve"> steeped in the competencies provided in SBM, </w:t>
      </w:r>
      <w:r>
        <w:rPr>
          <w:rFonts w:asciiTheme="majorHAnsi" w:hAnsiTheme="majorHAnsi" w:cstheme="majorHAnsi"/>
          <w:lang w:val="en-US"/>
        </w:rPr>
        <w:t xml:space="preserve">could usher in a smoother more effective </w:t>
      </w:r>
      <w:r w:rsidRPr="00C62124">
        <w:rPr>
          <w:rFonts w:asciiTheme="majorHAnsi" w:hAnsiTheme="majorHAnsi" w:cstheme="majorHAnsi"/>
          <w:lang w:val="en-US"/>
        </w:rPr>
        <w:t>enabling environment to explore contextual possibilities in delivery.</w:t>
      </w:r>
      <w:r w:rsidR="00D434EB">
        <w:rPr>
          <w:rFonts w:asciiTheme="majorHAnsi" w:hAnsiTheme="majorHAnsi" w:cstheme="majorHAnsi"/>
          <w:lang w:val="en-US"/>
        </w:rPr>
        <w:t xml:space="preserve"> </w:t>
      </w:r>
    </w:p>
    <w:p w14:paraId="22690144" w14:textId="77777777" w:rsidR="008D0CAD" w:rsidRPr="00C62124" w:rsidRDefault="008D0CAD" w:rsidP="00DD08E3">
      <w:pPr>
        <w:pStyle w:val="ListParagraph"/>
        <w:numPr>
          <w:ilvl w:val="0"/>
          <w:numId w:val="50"/>
        </w:numPr>
        <w:spacing w:before="100" w:beforeAutospacing="1" w:after="100" w:afterAutospacing="1" w:line="360" w:lineRule="auto"/>
        <w:ind w:left="357" w:hanging="357"/>
        <w:contextualSpacing w:val="0"/>
        <w:rPr>
          <w:rFonts w:asciiTheme="majorHAnsi" w:hAnsiTheme="majorHAnsi" w:cstheme="majorHAnsi"/>
          <w:lang w:val="en-US"/>
        </w:rPr>
      </w:pPr>
      <w:r>
        <w:rPr>
          <w:rFonts w:asciiTheme="majorHAnsi" w:hAnsiTheme="majorHAnsi" w:cstheme="majorHAnsi"/>
          <w:lang w:val="en-US"/>
        </w:rPr>
        <w:t>Learning Action Cell (</w:t>
      </w:r>
      <w:r w:rsidRPr="00C62124">
        <w:rPr>
          <w:rFonts w:asciiTheme="majorHAnsi" w:hAnsiTheme="majorHAnsi" w:cstheme="majorHAnsi"/>
          <w:lang w:val="en-US"/>
        </w:rPr>
        <w:t>LAC</w:t>
      </w:r>
      <w:r>
        <w:rPr>
          <w:rFonts w:asciiTheme="majorHAnsi" w:hAnsiTheme="majorHAnsi" w:cstheme="majorHAnsi"/>
          <w:lang w:val="en-US"/>
        </w:rPr>
        <w:t>) under the Learning and Development System</w:t>
      </w:r>
      <w:r w:rsidRPr="00C62124">
        <w:rPr>
          <w:rFonts w:asciiTheme="majorHAnsi" w:hAnsiTheme="majorHAnsi" w:cstheme="majorHAnsi"/>
          <w:lang w:val="en-US"/>
        </w:rPr>
        <w:t xml:space="preserve"> </w:t>
      </w:r>
    </w:p>
    <w:p w14:paraId="316259FB" w14:textId="1C43CD7F" w:rsidR="008D0CAD" w:rsidRPr="00C62124" w:rsidRDefault="008D0CAD" w:rsidP="002320B3">
      <w:pPr>
        <w:spacing w:before="100" w:beforeAutospacing="1" w:after="100" w:afterAutospacing="1" w:line="360" w:lineRule="auto"/>
        <w:ind w:left="357"/>
        <w:rPr>
          <w:rFonts w:asciiTheme="majorHAnsi" w:hAnsiTheme="majorHAnsi" w:cstheme="majorHAnsi"/>
          <w:lang w:val="en-US"/>
        </w:rPr>
      </w:pPr>
      <w:r w:rsidRPr="00C62124">
        <w:rPr>
          <w:rFonts w:asciiTheme="majorHAnsi" w:hAnsiTheme="majorHAnsi" w:cstheme="majorHAnsi"/>
          <w:lang w:val="en-US"/>
        </w:rPr>
        <w:t xml:space="preserve">This has been identified by teachers </w:t>
      </w:r>
      <w:r>
        <w:rPr>
          <w:rFonts w:asciiTheme="majorHAnsi" w:hAnsiTheme="majorHAnsi" w:cstheme="majorHAnsi"/>
          <w:lang w:val="en-US"/>
        </w:rPr>
        <w:t>as</w:t>
      </w:r>
      <w:r w:rsidRPr="00C62124">
        <w:rPr>
          <w:rFonts w:asciiTheme="majorHAnsi" w:hAnsiTheme="majorHAnsi" w:cstheme="majorHAnsi"/>
          <w:lang w:val="en-US"/>
        </w:rPr>
        <w:t xml:space="preserve"> the most significan</w:t>
      </w:r>
      <w:r>
        <w:rPr>
          <w:rFonts w:asciiTheme="majorHAnsi" w:hAnsiTheme="majorHAnsi" w:cstheme="majorHAnsi"/>
          <w:lang w:val="en-US"/>
        </w:rPr>
        <w:t>t modality</w:t>
      </w:r>
      <w:r w:rsidRPr="00C62124">
        <w:rPr>
          <w:rFonts w:asciiTheme="majorHAnsi" w:hAnsiTheme="majorHAnsi" w:cstheme="majorHAnsi"/>
          <w:lang w:val="en-US"/>
        </w:rPr>
        <w:t xml:space="preserve"> in building their capacity.</w:t>
      </w:r>
      <w:r w:rsidR="00D434EB">
        <w:rPr>
          <w:rFonts w:asciiTheme="majorHAnsi" w:hAnsiTheme="majorHAnsi" w:cstheme="majorHAnsi"/>
          <w:lang w:val="en-US"/>
        </w:rPr>
        <w:t xml:space="preserve"> </w:t>
      </w:r>
      <w:r w:rsidRPr="00C62124">
        <w:rPr>
          <w:rFonts w:asciiTheme="majorHAnsi" w:hAnsiTheme="majorHAnsi" w:cstheme="majorHAnsi"/>
          <w:lang w:val="en-US"/>
        </w:rPr>
        <w:t>LAC can be used to further enhance competencies of teachers in curriculum, assessment and instructional design given the new normal.</w:t>
      </w:r>
      <w:r w:rsidR="00D434EB">
        <w:rPr>
          <w:rFonts w:asciiTheme="majorHAnsi" w:hAnsiTheme="majorHAnsi" w:cstheme="majorHAnsi"/>
          <w:lang w:val="en-US"/>
        </w:rPr>
        <w:t xml:space="preserve"> </w:t>
      </w:r>
      <w:r w:rsidRPr="00C62124">
        <w:rPr>
          <w:rFonts w:asciiTheme="majorHAnsi" w:hAnsiTheme="majorHAnsi" w:cstheme="majorHAnsi"/>
          <w:lang w:val="en-US"/>
        </w:rPr>
        <w:t xml:space="preserve">The learning has to be in small groups, done in the school system because it will take a long time </w:t>
      </w:r>
      <w:r>
        <w:rPr>
          <w:rFonts w:asciiTheme="majorHAnsi" w:hAnsiTheme="majorHAnsi" w:cstheme="majorHAnsi"/>
          <w:lang w:val="en-US"/>
        </w:rPr>
        <w:t>with</w:t>
      </w:r>
      <w:r w:rsidRPr="00C62124">
        <w:rPr>
          <w:rFonts w:asciiTheme="majorHAnsi" w:hAnsiTheme="majorHAnsi" w:cstheme="majorHAnsi"/>
          <w:lang w:val="en-US"/>
        </w:rPr>
        <w:t xml:space="preserve"> large resource</w:t>
      </w:r>
      <w:r>
        <w:rPr>
          <w:rFonts w:asciiTheme="majorHAnsi" w:hAnsiTheme="majorHAnsi" w:cstheme="majorHAnsi"/>
          <w:lang w:val="en-US"/>
        </w:rPr>
        <w:t>s</w:t>
      </w:r>
      <w:r w:rsidRPr="00C62124">
        <w:rPr>
          <w:rFonts w:asciiTheme="majorHAnsi" w:hAnsiTheme="majorHAnsi" w:cstheme="majorHAnsi"/>
          <w:lang w:val="en-US"/>
        </w:rPr>
        <w:t xml:space="preserve"> </w:t>
      </w:r>
      <w:r>
        <w:rPr>
          <w:rFonts w:asciiTheme="majorHAnsi" w:hAnsiTheme="majorHAnsi" w:cstheme="majorHAnsi"/>
          <w:lang w:val="en-US"/>
        </w:rPr>
        <w:t xml:space="preserve">required </w:t>
      </w:r>
      <w:r w:rsidRPr="00C62124">
        <w:rPr>
          <w:rFonts w:asciiTheme="majorHAnsi" w:hAnsiTheme="majorHAnsi" w:cstheme="majorHAnsi"/>
          <w:lang w:val="en-US"/>
        </w:rPr>
        <w:t>for this initiative to come from the central office.</w:t>
      </w:r>
    </w:p>
    <w:p w14:paraId="2522C894" w14:textId="77777777" w:rsidR="008D0CAD" w:rsidRPr="00C62124" w:rsidRDefault="008D0CAD" w:rsidP="00DD08E3">
      <w:pPr>
        <w:pStyle w:val="ListParagraph"/>
        <w:numPr>
          <w:ilvl w:val="0"/>
          <w:numId w:val="50"/>
        </w:numPr>
        <w:spacing w:before="100" w:beforeAutospacing="1" w:after="100" w:afterAutospacing="1" w:line="360" w:lineRule="auto"/>
        <w:ind w:left="357" w:hanging="357"/>
        <w:contextualSpacing w:val="0"/>
        <w:rPr>
          <w:rFonts w:asciiTheme="majorHAnsi" w:hAnsiTheme="majorHAnsi" w:cstheme="majorHAnsi"/>
          <w:lang w:val="en-US"/>
        </w:rPr>
      </w:pPr>
      <w:r>
        <w:rPr>
          <w:rFonts w:asciiTheme="majorHAnsi" w:hAnsiTheme="majorHAnsi" w:cstheme="majorHAnsi"/>
          <w:lang w:val="en-US"/>
        </w:rPr>
        <w:t>Unified Integrated System and sub-systems (</w:t>
      </w:r>
      <w:r w:rsidRPr="00C62124">
        <w:rPr>
          <w:rFonts w:asciiTheme="majorHAnsi" w:hAnsiTheme="majorHAnsi" w:cstheme="majorHAnsi"/>
          <w:lang w:val="en-US"/>
        </w:rPr>
        <w:t>UISS</w:t>
      </w:r>
      <w:r>
        <w:rPr>
          <w:rFonts w:asciiTheme="majorHAnsi" w:hAnsiTheme="majorHAnsi" w:cstheme="majorHAnsi"/>
          <w:lang w:val="en-US"/>
        </w:rPr>
        <w:t>)</w:t>
      </w:r>
    </w:p>
    <w:p w14:paraId="427599CD" w14:textId="702F307D" w:rsidR="008D0CAD" w:rsidRPr="00C62124" w:rsidRDefault="008D0CAD" w:rsidP="002320B3">
      <w:pPr>
        <w:spacing w:before="100" w:beforeAutospacing="1" w:after="100" w:afterAutospacing="1" w:line="360" w:lineRule="auto"/>
        <w:ind w:left="357"/>
        <w:rPr>
          <w:rFonts w:asciiTheme="majorHAnsi" w:hAnsiTheme="majorHAnsi" w:cstheme="majorHAnsi"/>
          <w:lang w:val="en-US"/>
        </w:rPr>
      </w:pPr>
      <w:r w:rsidRPr="00C62124">
        <w:rPr>
          <w:rFonts w:asciiTheme="majorHAnsi" w:hAnsiTheme="majorHAnsi" w:cstheme="majorHAnsi"/>
          <w:lang w:val="en-US"/>
        </w:rPr>
        <w:t xml:space="preserve">For </w:t>
      </w:r>
      <w:r>
        <w:rPr>
          <w:rFonts w:asciiTheme="majorHAnsi" w:hAnsiTheme="majorHAnsi" w:cstheme="majorHAnsi"/>
          <w:lang w:val="en-US"/>
        </w:rPr>
        <w:t>evidence</w:t>
      </w:r>
      <w:r w:rsidRPr="00C62124">
        <w:rPr>
          <w:rFonts w:asciiTheme="majorHAnsi" w:hAnsiTheme="majorHAnsi" w:cstheme="majorHAnsi"/>
          <w:lang w:val="en-US"/>
        </w:rPr>
        <w:t>-based decision-making at the division, district and school level, data found in the UISS is critical for the schools to determine what delivery systems will work best given their size, geographical area, resources, technology</w:t>
      </w:r>
      <w:r>
        <w:rPr>
          <w:rFonts w:asciiTheme="majorHAnsi" w:hAnsiTheme="majorHAnsi" w:cstheme="majorHAnsi"/>
          <w:lang w:val="en-US"/>
        </w:rPr>
        <w:t>, among others</w:t>
      </w:r>
      <w:r w:rsidRPr="00C62124">
        <w:rPr>
          <w:rFonts w:asciiTheme="majorHAnsi" w:hAnsiTheme="majorHAnsi" w:cstheme="majorHAnsi"/>
          <w:lang w:val="en-US"/>
        </w:rPr>
        <w:t>.</w:t>
      </w:r>
      <w:r w:rsidR="00D434EB">
        <w:rPr>
          <w:rFonts w:asciiTheme="majorHAnsi" w:hAnsiTheme="majorHAnsi" w:cstheme="majorHAnsi"/>
          <w:lang w:val="en-US"/>
        </w:rPr>
        <w:t xml:space="preserve"> </w:t>
      </w:r>
      <w:r w:rsidRPr="00C62124">
        <w:rPr>
          <w:rFonts w:asciiTheme="majorHAnsi" w:hAnsiTheme="majorHAnsi" w:cstheme="majorHAnsi"/>
          <w:lang w:val="en-US"/>
        </w:rPr>
        <w:t>The data will be critical in planning how they will adapt and pivot to the new normal.</w:t>
      </w:r>
    </w:p>
    <w:p w14:paraId="349A249E" w14:textId="5D6423D2" w:rsidR="008D0CAD" w:rsidRPr="005D1EEA" w:rsidRDefault="008D0CAD" w:rsidP="002320B3">
      <w:pPr>
        <w:spacing w:before="100" w:beforeAutospacing="1" w:after="100" w:afterAutospacing="1" w:line="360" w:lineRule="auto"/>
        <w:rPr>
          <w:rFonts w:asciiTheme="majorHAnsi" w:hAnsiTheme="majorHAnsi" w:cstheme="majorHAnsi"/>
        </w:rPr>
        <w:sectPr w:rsidR="008D0CAD" w:rsidRPr="005D1EEA" w:rsidSect="009C64E9">
          <w:headerReference w:type="default" r:id="rId19"/>
          <w:pgSz w:w="11900" w:h="16840"/>
          <w:pgMar w:top="1440" w:right="1440" w:bottom="1440" w:left="1440" w:header="720" w:footer="720" w:gutter="0"/>
          <w:pgNumType w:fmt="lowerRoman"/>
          <w:cols w:space="720"/>
          <w:docGrid w:linePitch="360"/>
        </w:sectPr>
      </w:pPr>
      <w:r w:rsidRPr="00C62124">
        <w:rPr>
          <w:rFonts w:asciiTheme="majorHAnsi" w:hAnsiTheme="majorHAnsi" w:cstheme="majorHAnsi"/>
          <w:lang w:val="en-US"/>
        </w:rPr>
        <w:t xml:space="preserve">Implications for investments should be along </w:t>
      </w:r>
      <w:r>
        <w:rPr>
          <w:rFonts w:asciiTheme="majorHAnsi" w:hAnsiTheme="majorHAnsi" w:cstheme="majorHAnsi"/>
          <w:lang w:val="en-US"/>
        </w:rPr>
        <w:t>this main</w:t>
      </w:r>
      <w:r w:rsidRPr="00C62124">
        <w:rPr>
          <w:rFonts w:asciiTheme="majorHAnsi" w:hAnsiTheme="majorHAnsi" w:cstheme="majorHAnsi"/>
          <w:lang w:val="en-US"/>
        </w:rPr>
        <w:t xml:space="preserve"> direction:</w:t>
      </w:r>
      <w:r w:rsidR="00D434EB">
        <w:rPr>
          <w:rFonts w:asciiTheme="majorHAnsi" w:hAnsiTheme="majorHAnsi" w:cstheme="majorHAnsi"/>
          <w:lang w:val="en-US"/>
        </w:rPr>
        <w:t xml:space="preserve"> </w:t>
      </w:r>
      <w:r>
        <w:rPr>
          <w:rFonts w:asciiTheme="majorHAnsi" w:hAnsiTheme="majorHAnsi" w:cstheme="majorHAnsi"/>
          <w:lang w:val="en-US"/>
        </w:rPr>
        <w:t>preventing the</w:t>
      </w:r>
      <w:r w:rsidRPr="00C62124">
        <w:rPr>
          <w:rFonts w:asciiTheme="majorHAnsi" w:hAnsiTheme="majorHAnsi" w:cstheme="majorHAnsi"/>
          <w:lang w:val="en-US"/>
        </w:rPr>
        <w:t xml:space="preserve"> los</w:t>
      </w:r>
      <w:r>
        <w:rPr>
          <w:rFonts w:asciiTheme="majorHAnsi" w:hAnsiTheme="majorHAnsi" w:cstheme="majorHAnsi"/>
          <w:lang w:val="en-US"/>
        </w:rPr>
        <w:t>s of</w:t>
      </w:r>
      <w:r w:rsidRPr="00C62124">
        <w:rPr>
          <w:rFonts w:asciiTheme="majorHAnsi" w:hAnsiTheme="majorHAnsi" w:cstheme="majorHAnsi"/>
          <w:lang w:val="en-US"/>
        </w:rPr>
        <w:t xml:space="preserve"> the gains of </w:t>
      </w:r>
      <w:r>
        <w:rPr>
          <w:rFonts w:asciiTheme="majorHAnsi" w:hAnsiTheme="majorHAnsi" w:cstheme="majorHAnsi"/>
          <w:lang w:val="en-US"/>
        </w:rPr>
        <w:t xml:space="preserve">the </w:t>
      </w:r>
      <w:r w:rsidRPr="00C62124">
        <w:rPr>
          <w:rFonts w:asciiTheme="majorHAnsi" w:hAnsiTheme="majorHAnsi" w:cstheme="majorHAnsi"/>
          <w:lang w:val="en-US"/>
        </w:rPr>
        <w:t xml:space="preserve">BEST Program </w:t>
      </w:r>
      <w:r>
        <w:rPr>
          <w:rFonts w:asciiTheme="majorHAnsi" w:hAnsiTheme="majorHAnsi" w:cstheme="majorHAnsi"/>
          <w:lang w:val="en-US"/>
        </w:rPr>
        <w:t>and</w:t>
      </w:r>
      <w:r w:rsidRPr="00C62124">
        <w:rPr>
          <w:rFonts w:asciiTheme="majorHAnsi" w:hAnsiTheme="majorHAnsi" w:cstheme="majorHAnsi"/>
          <w:lang w:val="en-US"/>
        </w:rPr>
        <w:t xml:space="preserve"> enhancing the systems and gains to fit the new normal brought about </w:t>
      </w:r>
      <w:r>
        <w:rPr>
          <w:rFonts w:asciiTheme="majorHAnsi" w:hAnsiTheme="majorHAnsi" w:cstheme="majorHAnsi"/>
          <w:lang w:val="en-US"/>
        </w:rPr>
        <w:t xml:space="preserve">by the impacts of </w:t>
      </w:r>
      <w:r w:rsidRPr="00C62124">
        <w:rPr>
          <w:rFonts w:asciiTheme="majorHAnsi" w:hAnsiTheme="majorHAnsi" w:cstheme="majorHAnsi"/>
          <w:lang w:val="en-US"/>
        </w:rPr>
        <w:t>COVID</w:t>
      </w:r>
      <w:r>
        <w:rPr>
          <w:rFonts w:asciiTheme="majorHAnsi" w:hAnsiTheme="majorHAnsi" w:cstheme="majorHAnsi"/>
          <w:lang w:val="en-US"/>
        </w:rPr>
        <w:t>-</w:t>
      </w:r>
      <w:r w:rsidRPr="00C62124">
        <w:rPr>
          <w:rFonts w:asciiTheme="majorHAnsi" w:hAnsiTheme="majorHAnsi" w:cstheme="majorHAnsi"/>
          <w:lang w:val="en-US"/>
        </w:rPr>
        <w:t>19.</w:t>
      </w:r>
    </w:p>
    <w:p w14:paraId="187B7E65" w14:textId="4F7FDCB1" w:rsidR="008D0CAD" w:rsidRDefault="008D0CAD" w:rsidP="00DD08E3">
      <w:pPr>
        <w:pStyle w:val="Heading2"/>
        <w:numPr>
          <w:ilvl w:val="0"/>
          <w:numId w:val="161"/>
        </w:numPr>
        <w:spacing w:before="100" w:beforeAutospacing="1" w:after="100" w:afterAutospacing="1" w:line="360" w:lineRule="auto"/>
      </w:pPr>
      <w:bookmarkStart w:id="15" w:name="_Toc12711971"/>
      <w:bookmarkStart w:id="16" w:name="_Toc13216250"/>
      <w:bookmarkStart w:id="17" w:name="_Toc69820430"/>
      <w:r w:rsidRPr="001C6C2A">
        <w:t>Background</w:t>
      </w:r>
      <w:bookmarkEnd w:id="15"/>
      <w:bookmarkEnd w:id="16"/>
      <w:bookmarkEnd w:id="17"/>
    </w:p>
    <w:p w14:paraId="54AC969F" w14:textId="65BF053B" w:rsidR="008D0CAD" w:rsidRDefault="008D0CAD" w:rsidP="000440D6">
      <w:pPr>
        <w:pStyle w:val="NormalWeb"/>
        <w:spacing w:line="360" w:lineRule="auto"/>
        <w:rPr>
          <w:rFonts w:asciiTheme="majorHAnsi" w:hAnsiTheme="majorHAnsi" w:cstheme="majorHAnsi"/>
        </w:rPr>
      </w:pPr>
      <w:r>
        <w:rPr>
          <w:rFonts w:asciiTheme="majorHAnsi" w:hAnsiTheme="majorHAnsi" w:cstheme="majorHAnsi"/>
        </w:rPr>
        <w:t xml:space="preserve">In 2012, during the design stage of the BEST Program, </w:t>
      </w:r>
      <w:r w:rsidRPr="00FE2174">
        <w:rPr>
          <w:rFonts w:asciiTheme="majorHAnsi" w:hAnsiTheme="majorHAnsi" w:cstheme="majorHAnsi"/>
        </w:rPr>
        <w:t>there were 45,051 elementary schools (37,967 public and 7</w:t>
      </w:r>
      <w:r>
        <w:rPr>
          <w:rFonts w:asciiTheme="majorHAnsi" w:hAnsiTheme="majorHAnsi" w:cstheme="majorHAnsi"/>
        </w:rPr>
        <w:t>,</w:t>
      </w:r>
      <w:r w:rsidRPr="00FE2174">
        <w:rPr>
          <w:rFonts w:asciiTheme="majorHAnsi" w:hAnsiTheme="majorHAnsi" w:cstheme="majorHAnsi"/>
        </w:rPr>
        <w:t>084 private) and 9,969 secondary schools (5</w:t>
      </w:r>
      <w:r>
        <w:rPr>
          <w:rFonts w:asciiTheme="majorHAnsi" w:hAnsiTheme="majorHAnsi" w:cstheme="majorHAnsi"/>
        </w:rPr>
        <w:t>,</w:t>
      </w:r>
      <w:r w:rsidRPr="00FE2174">
        <w:rPr>
          <w:rFonts w:asciiTheme="majorHAnsi" w:hAnsiTheme="majorHAnsi" w:cstheme="majorHAnsi"/>
        </w:rPr>
        <w:t>262 public and 4</w:t>
      </w:r>
      <w:r>
        <w:rPr>
          <w:rFonts w:asciiTheme="majorHAnsi" w:hAnsiTheme="majorHAnsi" w:cstheme="majorHAnsi"/>
        </w:rPr>
        <w:t>,</w:t>
      </w:r>
      <w:r w:rsidRPr="00FE2174">
        <w:rPr>
          <w:rFonts w:asciiTheme="majorHAnsi" w:hAnsiTheme="majorHAnsi" w:cstheme="majorHAnsi"/>
        </w:rPr>
        <w:t xml:space="preserve">707 private) </w:t>
      </w:r>
      <w:r>
        <w:rPr>
          <w:rFonts w:asciiTheme="majorHAnsi" w:hAnsiTheme="majorHAnsi" w:cstheme="majorHAnsi"/>
        </w:rPr>
        <w:t xml:space="preserve">in the Philippines, </w:t>
      </w:r>
      <w:r w:rsidRPr="00FE2174">
        <w:rPr>
          <w:rFonts w:asciiTheme="majorHAnsi" w:hAnsiTheme="majorHAnsi" w:cstheme="majorHAnsi"/>
        </w:rPr>
        <w:t>spread across the country’s more than 7,000 islands.</w:t>
      </w:r>
      <w:r w:rsidR="00D434EB">
        <w:rPr>
          <w:rFonts w:asciiTheme="majorHAnsi" w:hAnsiTheme="majorHAnsi" w:cstheme="majorHAnsi"/>
        </w:rPr>
        <w:t xml:space="preserve"> </w:t>
      </w:r>
      <w:r w:rsidRPr="00FE2174">
        <w:rPr>
          <w:rFonts w:asciiTheme="majorHAnsi" w:hAnsiTheme="majorHAnsi" w:cstheme="majorHAnsi"/>
        </w:rPr>
        <w:t xml:space="preserve">Populating these schools were an estimated 20,438,000 students being taught by approximately 500,444 teachers (358,458 elementary and 141,986 secondary) </w:t>
      </w:r>
      <w:r>
        <w:rPr>
          <w:rFonts w:asciiTheme="majorHAnsi" w:hAnsiTheme="majorHAnsi" w:cstheme="majorHAnsi"/>
        </w:rPr>
        <w:t xml:space="preserve">(BEST, 2012). Compared to several neighboring countries in the ASEAN region, the challenges facing the management of the Philippine education sector was indeed humongous. </w:t>
      </w:r>
    </w:p>
    <w:p w14:paraId="7C1B38DC" w14:textId="77777777" w:rsidR="008D0CAD" w:rsidRDefault="008D0CAD" w:rsidP="000440D6">
      <w:pPr>
        <w:pStyle w:val="NormalWeb"/>
        <w:spacing w:line="360" w:lineRule="auto"/>
        <w:rPr>
          <w:rFonts w:asciiTheme="majorHAnsi" w:hAnsiTheme="majorHAnsi" w:cstheme="majorHAnsi"/>
          <w:lang w:val="en-US"/>
        </w:rPr>
      </w:pPr>
      <w:r>
        <w:rPr>
          <w:rFonts w:asciiTheme="majorHAnsi" w:hAnsiTheme="majorHAnsi" w:cstheme="majorHAnsi"/>
        </w:rPr>
        <w:t xml:space="preserve">For instance, in 2010, </w:t>
      </w:r>
      <w:r w:rsidRPr="00772A85">
        <w:rPr>
          <w:rFonts w:asciiTheme="majorHAnsi" w:hAnsiTheme="majorHAnsi" w:cstheme="majorHAnsi"/>
          <w:lang w:val="en-US"/>
        </w:rPr>
        <w:t xml:space="preserve">the Philippines was ahead of </w:t>
      </w:r>
      <w:r>
        <w:rPr>
          <w:rFonts w:asciiTheme="majorHAnsi" w:hAnsiTheme="majorHAnsi" w:cstheme="majorHAnsi"/>
          <w:lang w:val="en-US"/>
        </w:rPr>
        <w:t xml:space="preserve">five countries in terms of </w:t>
      </w:r>
      <w:r w:rsidRPr="00772A85">
        <w:rPr>
          <w:rFonts w:asciiTheme="majorHAnsi" w:hAnsiTheme="majorHAnsi" w:cstheme="majorHAnsi"/>
          <w:lang w:val="en-US"/>
        </w:rPr>
        <w:t xml:space="preserve">net enrolment rate in primary education </w:t>
      </w:r>
      <w:r>
        <w:rPr>
          <w:rFonts w:asciiTheme="majorHAnsi" w:hAnsiTheme="majorHAnsi" w:cstheme="majorHAnsi"/>
          <w:lang w:val="en-US"/>
        </w:rPr>
        <w:t xml:space="preserve">(i.e., </w:t>
      </w:r>
      <w:r w:rsidRPr="00772A85">
        <w:rPr>
          <w:rFonts w:asciiTheme="majorHAnsi" w:hAnsiTheme="majorHAnsi" w:cstheme="majorHAnsi"/>
          <w:lang w:val="en-US"/>
        </w:rPr>
        <w:t>Cambodia, Indonesia, Lao PDR,</w:t>
      </w:r>
      <w:r>
        <w:rPr>
          <w:rFonts w:asciiTheme="majorHAnsi" w:hAnsiTheme="majorHAnsi" w:cstheme="majorHAnsi"/>
          <w:lang w:val="en-US"/>
        </w:rPr>
        <w:t xml:space="preserve"> </w:t>
      </w:r>
      <w:r w:rsidRPr="00772A85">
        <w:rPr>
          <w:rFonts w:asciiTheme="majorHAnsi" w:hAnsiTheme="majorHAnsi" w:cstheme="majorHAnsi"/>
          <w:lang w:val="en-US"/>
        </w:rPr>
        <w:t>Myanmar and Vietnam</w:t>
      </w:r>
      <w:r>
        <w:rPr>
          <w:rFonts w:asciiTheme="majorHAnsi" w:hAnsiTheme="majorHAnsi" w:cstheme="majorHAnsi"/>
          <w:lang w:val="en-US"/>
        </w:rPr>
        <w:t>) (Figure 1)</w:t>
      </w:r>
      <w:r w:rsidRPr="00772A85">
        <w:rPr>
          <w:rFonts w:asciiTheme="majorHAnsi" w:hAnsiTheme="majorHAnsi" w:cstheme="majorHAnsi"/>
          <w:lang w:val="en-US"/>
        </w:rPr>
        <w:t xml:space="preserve">. </w:t>
      </w:r>
      <w:r>
        <w:rPr>
          <w:rFonts w:asciiTheme="majorHAnsi" w:hAnsiTheme="majorHAnsi" w:cstheme="majorHAnsi"/>
          <w:lang w:val="en-US"/>
        </w:rPr>
        <w:t xml:space="preserve">By </w:t>
      </w:r>
      <w:r w:rsidRPr="00772A85">
        <w:rPr>
          <w:rFonts w:asciiTheme="majorHAnsi" w:hAnsiTheme="majorHAnsi" w:cstheme="majorHAnsi"/>
          <w:lang w:val="en-US"/>
        </w:rPr>
        <w:t>2017</w:t>
      </w:r>
      <w:r>
        <w:rPr>
          <w:rFonts w:asciiTheme="majorHAnsi" w:hAnsiTheme="majorHAnsi" w:cstheme="majorHAnsi"/>
          <w:lang w:val="en-US"/>
        </w:rPr>
        <w:t xml:space="preserve">, the country was </w:t>
      </w:r>
      <w:r w:rsidRPr="00772A85">
        <w:rPr>
          <w:rFonts w:asciiTheme="majorHAnsi" w:hAnsiTheme="majorHAnsi" w:cstheme="majorHAnsi"/>
          <w:lang w:val="en-US"/>
        </w:rPr>
        <w:t>only ahead of Cambodia</w:t>
      </w:r>
      <w:r>
        <w:rPr>
          <w:rFonts w:asciiTheme="majorHAnsi" w:hAnsiTheme="majorHAnsi" w:cstheme="majorHAnsi"/>
          <w:lang w:val="en-US"/>
        </w:rPr>
        <w:t xml:space="preserve">. </w:t>
      </w:r>
      <w:r>
        <w:rPr>
          <w:rFonts w:asciiTheme="majorHAnsi" w:hAnsiTheme="majorHAnsi" w:cstheme="majorHAnsi"/>
        </w:rPr>
        <w:t xml:space="preserve">In terms of </w:t>
      </w:r>
      <w:r w:rsidRPr="00772A85">
        <w:rPr>
          <w:rFonts w:asciiTheme="majorHAnsi" w:hAnsiTheme="majorHAnsi" w:cstheme="majorHAnsi"/>
          <w:lang w:val="en-US"/>
        </w:rPr>
        <w:t>pupil-teacher ratio</w:t>
      </w:r>
      <w:r>
        <w:rPr>
          <w:rFonts w:asciiTheme="majorHAnsi" w:hAnsiTheme="majorHAnsi" w:cstheme="majorHAnsi"/>
          <w:lang w:val="en-US"/>
        </w:rPr>
        <w:t xml:space="preserve">, </w:t>
      </w:r>
      <w:r w:rsidRPr="00772A85">
        <w:rPr>
          <w:rFonts w:asciiTheme="majorHAnsi" w:hAnsiTheme="majorHAnsi" w:cstheme="majorHAnsi"/>
          <w:lang w:val="en-US"/>
        </w:rPr>
        <w:t xml:space="preserve">the Philippines was </w:t>
      </w:r>
      <w:r>
        <w:rPr>
          <w:rFonts w:asciiTheme="majorHAnsi" w:hAnsiTheme="majorHAnsi" w:cstheme="majorHAnsi"/>
          <w:lang w:val="en-US"/>
        </w:rPr>
        <w:t xml:space="preserve">only </w:t>
      </w:r>
      <w:r w:rsidRPr="00772A85">
        <w:rPr>
          <w:rFonts w:asciiTheme="majorHAnsi" w:hAnsiTheme="majorHAnsi" w:cstheme="majorHAnsi"/>
          <w:lang w:val="en-US"/>
        </w:rPr>
        <w:t>ahead</w:t>
      </w:r>
      <w:r>
        <w:rPr>
          <w:rFonts w:asciiTheme="majorHAnsi" w:hAnsiTheme="majorHAnsi" w:cstheme="majorHAnsi"/>
          <w:lang w:val="en-US"/>
        </w:rPr>
        <w:t xml:space="preserve"> of Cambodia since 2010.</w:t>
      </w:r>
    </w:p>
    <w:p w14:paraId="3B614DBA" w14:textId="7E47CF42" w:rsidR="008D0CAD" w:rsidRPr="004054A9" w:rsidRDefault="008D0CAD" w:rsidP="000440D6">
      <w:pPr>
        <w:pStyle w:val="Caption"/>
        <w:spacing w:before="100" w:beforeAutospacing="1" w:after="100" w:afterAutospacing="1" w:line="360" w:lineRule="auto"/>
        <w:rPr>
          <w:rFonts w:asciiTheme="majorHAnsi" w:hAnsiTheme="majorHAnsi" w:cstheme="majorHAnsi"/>
          <w:sz w:val="22"/>
          <w:szCs w:val="22"/>
        </w:rPr>
      </w:pPr>
      <w:bookmarkStart w:id="18" w:name="_Toc71616528"/>
      <w:r w:rsidRPr="00CB41E9">
        <w:rPr>
          <w:rFonts w:asciiTheme="majorHAnsi" w:hAnsiTheme="majorHAnsi" w:cstheme="majorHAnsi"/>
          <w:sz w:val="22"/>
          <w:szCs w:val="22"/>
        </w:rPr>
        <w:t xml:space="preserve">Figure </w:t>
      </w:r>
      <w:r w:rsidRPr="00CB41E9">
        <w:rPr>
          <w:rFonts w:asciiTheme="majorHAnsi" w:hAnsiTheme="majorHAnsi" w:cstheme="majorHAnsi"/>
          <w:sz w:val="22"/>
          <w:szCs w:val="22"/>
        </w:rPr>
        <w:fldChar w:fldCharType="begin"/>
      </w:r>
      <w:r w:rsidRPr="00CB41E9">
        <w:rPr>
          <w:rFonts w:asciiTheme="majorHAnsi" w:hAnsiTheme="majorHAnsi" w:cstheme="majorHAnsi"/>
          <w:sz w:val="22"/>
          <w:szCs w:val="22"/>
        </w:rPr>
        <w:instrText xml:space="preserve"> SEQ Figure \* ARABIC </w:instrText>
      </w:r>
      <w:r w:rsidRPr="00CB41E9">
        <w:rPr>
          <w:rFonts w:asciiTheme="majorHAnsi" w:hAnsiTheme="majorHAnsi" w:cstheme="majorHAnsi"/>
          <w:sz w:val="22"/>
          <w:szCs w:val="22"/>
        </w:rPr>
        <w:fldChar w:fldCharType="separate"/>
      </w:r>
      <w:r w:rsidR="00D6133D">
        <w:rPr>
          <w:rFonts w:asciiTheme="majorHAnsi" w:hAnsiTheme="majorHAnsi" w:cstheme="majorHAnsi"/>
          <w:noProof/>
          <w:sz w:val="22"/>
          <w:szCs w:val="22"/>
        </w:rPr>
        <w:t>1</w:t>
      </w:r>
      <w:r w:rsidRPr="00CB41E9">
        <w:rPr>
          <w:rFonts w:asciiTheme="majorHAnsi" w:hAnsiTheme="majorHAnsi" w:cstheme="majorHAnsi"/>
          <w:sz w:val="22"/>
          <w:szCs w:val="22"/>
        </w:rPr>
        <w:fldChar w:fldCharType="end"/>
      </w:r>
      <w:r w:rsidRPr="00CB41E9">
        <w:rPr>
          <w:rFonts w:asciiTheme="majorHAnsi" w:hAnsiTheme="majorHAnsi" w:cstheme="majorHAnsi"/>
          <w:sz w:val="22"/>
          <w:szCs w:val="22"/>
        </w:rPr>
        <w:t>.</w:t>
      </w:r>
      <w:r>
        <w:rPr>
          <w:rFonts w:asciiTheme="majorHAnsi" w:hAnsiTheme="majorHAnsi" w:cstheme="majorHAnsi"/>
          <w:sz w:val="22"/>
          <w:szCs w:val="22"/>
        </w:rPr>
        <w:t xml:space="preserve"> ASEAN Key Education Figures</w:t>
      </w:r>
      <w:bookmarkEnd w:id="18"/>
    </w:p>
    <w:p w14:paraId="1EEFB183" w14:textId="77777777" w:rsidR="008D0CAD" w:rsidRPr="004054A9" w:rsidRDefault="008D0CAD" w:rsidP="000440D6">
      <w:pPr>
        <w:spacing w:before="100" w:beforeAutospacing="1" w:after="100" w:afterAutospacing="1" w:line="360" w:lineRule="auto"/>
        <w:rPr>
          <w:rFonts w:asciiTheme="majorHAnsi" w:hAnsiTheme="majorHAnsi" w:cstheme="majorHAnsi"/>
        </w:rPr>
      </w:pPr>
      <w:r>
        <w:rPr>
          <w:rFonts w:asciiTheme="majorHAnsi" w:hAnsiTheme="majorHAnsi" w:cstheme="majorHAnsi"/>
          <w:noProof/>
          <w:lang w:val="en-AU" w:eastAsia="en-AU"/>
        </w:rPr>
        <w:drawing>
          <wp:inline distT="0" distB="0" distL="0" distR="0" wp14:anchorId="26D1CE76" wp14:editId="62D66754">
            <wp:extent cx="5726929" cy="2016177"/>
            <wp:effectExtent l="0" t="0" r="7620" b="3175"/>
            <wp:docPr id="95" name="Picture 95" descr="Two bar charts on (i) Net enrolment rate and pupil-teacher ration across ASEAN member states from 2006 to 2017- highest rates, Singapore; and Pupil-Teacher ratio in primary education by ASEAN member states, 2007 to 2017 - highest rates, Cambod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Two bar charts on (i) Net enrolment rate and pupil-teacher ration across ASEAN member states from 2006 to 2017- highest rates, Singapore; and Pupil-Teacher ratio in primary education by ASEAN member states, 2007 to 2017 - highest rates, Cambodia "/>
                    <pic:cNvPicPr/>
                  </pic:nvPicPr>
                  <pic:blipFill rotWithShape="1">
                    <a:blip r:embed="rId20" cstate="print">
                      <a:extLst>
                        <a:ext uri="{28A0092B-C50C-407E-A947-70E740481C1C}">
                          <a14:useLocalDpi xmlns:a14="http://schemas.microsoft.com/office/drawing/2010/main" val="0"/>
                        </a:ext>
                      </a:extLst>
                    </a:blip>
                    <a:srcRect t="5024" b="38653"/>
                    <a:stretch/>
                  </pic:blipFill>
                  <pic:spPr bwMode="auto">
                    <a:xfrm>
                      <a:off x="0" y="0"/>
                      <a:ext cx="5726929" cy="2016177"/>
                    </a:xfrm>
                    <a:prstGeom prst="rect">
                      <a:avLst/>
                    </a:prstGeom>
                    <a:ln>
                      <a:noFill/>
                    </a:ln>
                    <a:extLst>
                      <a:ext uri="{53640926-AAD7-44D8-BBD7-CCE9431645EC}">
                        <a14:shadowObscured xmlns:a14="http://schemas.microsoft.com/office/drawing/2010/main"/>
                      </a:ext>
                    </a:extLst>
                  </pic:spPr>
                </pic:pic>
              </a:graphicData>
            </a:graphic>
          </wp:inline>
        </w:drawing>
      </w:r>
    </w:p>
    <w:p w14:paraId="14C92FA1" w14:textId="61BF1767" w:rsidR="008D0CAD" w:rsidRPr="000440D6" w:rsidRDefault="008D0CAD" w:rsidP="000440D6">
      <w:pPr>
        <w:spacing w:before="100" w:beforeAutospacing="1" w:after="100" w:afterAutospacing="1" w:line="360" w:lineRule="auto"/>
        <w:rPr>
          <w:rFonts w:asciiTheme="majorHAnsi" w:hAnsiTheme="majorHAnsi" w:cstheme="majorHAnsi"/>
          <w:sz w:val="20"/>
          <w:szCs w:val="20"/>
        </w:rPr>
      </w:pPr>
      <w:r w:rsidRPr="004054A9">
        <w:rPr>
          <w:rFonts w:asciiTheme="majorHAnsi" w:hAnsiTheme="majorHAnsi" w:cstheme="majorHAnsi"/>
          <w:sz w:val="20"/>
          <w:szCs w:val="20"/>
        </w:rPr>
        <w:t>Source: ASEAN Secretariat. 2019. ASEAN Key Figures 2019. Jakarta: The ASEAN Secretariat.</w:t>
      </w:r>
    </w:p>
    <w:p w14:paraId="0534FD4C" w14:textId="6C388F62" w:rsidR="008D0CAD" w:rsidRPr="00486E89" w:rsidRDefault="008D0CAD" w:rsidP="000440D6">
      <w:pPr>
        <w:pStyle w:val="NormalWeb"/>
        <w:spacing w:line="360" w:lineRule="auto"/>
        <w:rPr>
          <w:rFonts w:asciiTheme="majorHAnsi" w:hAnsiTheme="majorHAnsi" w:cstheme="majorHAnsi"/>
          <w:color w:val="000000" w:themeColor="text1"/>
        </w:rPr>
      </w:pPr>
      <w:r>
        <w:rPr>
          <w:rFonts w:asciiTheme="majorHAnsi" w:hAnsiTheme="majorHAnsi" w:cstheme="majorHAnsi"/>
          <w:color w:val="000000" w:themeColor="text1"/>
        </w:rPr>
        <w:t>Moreover,</w:t>
      </w:r>
      <w:r w:rsidRPr="00486E89">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a 2016 </w:t>
      </w:r>
      <w:r w:rsidRPr="00486E89">
        <w:rPr>
          <w:rFonts w:asciiTheme="majorHAnsi" w:hAnsiTheme="majorHAnsi" w:cstheme="majorHAnsi"/>
          <w:color w:val="000000" w:themeColor="text1"/>
        </w:rPr>
        <w:t xml:space="preserve">World Bank study on basic education service delivery in the </w:t>
      </w:r>
      <w:r>
        <w:rPr>
          <w:rFonts w:asciiTheme="majorHAnsi" w:hAnsiTheme="majorHAnsi" w:cstheme="majorHAnsi"/>
          <w:color w:val="000000" w:themeColor="text1"/>
        </w:rPr>
        <w:t xml:space="preserve">Philippines, </w:t>
      </w:r>
      <w:r w:rsidRPr="00486E89">
        <w:rPr>
          <w:rFonts w:asciiTheme="majorHAnsi" w:hAnsiTheme="majorHAnsi" w:cstheme="majorHAnsi"/>
          <w:color w:val="000000" w:themeColor="text1"/>
        </w:rPr>
        <w:t>found that “</w:t>
      </w:r>
      <w:r w:rsidRPr="00335C1B">
        <w:rPr>
          <w:rFonts w:asciiTheme="majorHAnsi" w:hAnsiTheme="majorHAnsi" w:cstheme="majorHAnsi"/>
          <w:i/>
          <w:iCs/>
          <w:color w:val="000000" w:themeColor="text1"/>
        </w:rPr>
        <w:t>the average elementary or high school teacher could answer fewer than half of the questions on the subject content tests correctly</w:t>
      </w:r>
      <w:r w:rsidRPr="00486E89">
        <w:rPr>
          <w:rFonts w:asciiTheme="majorHAnsi" w:hAnsiTheme="majorHAnsi" w:cstheme="majorHAnsi"/>
          <w:color w:val="000000" w:themeColor="text1"/>
        </w:rPr>
        <w:t>”, which suggests that these</w:t>
      </w:r>
      <w:r w:rsidRPr="001806B4">
        <w:rPr>
          <w:rFonts w:asciiTheme="majorHAnsi" w:hAnsiTheme="majorHAnsi" w:cstheme="majorHAnsi"/>
          <w:color w:val="000000" w:themeColor="text1"/>
        </w:rPr>
        <w:t xml:space="preserve"> teachers </w:t>
      </w:r>
      <w:r w:rsidRPr="00486E89">
        <w:rPr>
          <w:rFonts w:asciiTheme="majorHAnsi" w:hAnsiTheme="majorHAnsi" w:cstheme="majorHAnsi"/>
          <w:color w:val="000000" w:themeColor="text1"/>
        </w:rPr>
        <w:t>“</w:t>
      </w:r>
      <w:r w:rsidRPr="00335C1B">
        <w:rPr>
          <w:rFonts w:asciiTheme="majorHAnsi" w:hAnsiTheme="majorHAnsi" w:cstheme="majorHAnsi"/>
          <w:i/>
          <w:iCs/>
          <w:color w:val="000000" w:themeColor="text1"/>
        </w:rPr>
        <w:t>face significant challenges in teaching a considerable portion of the current curriculum</w:t>
      </w:r>
      <w:r w:rsidRPr="00486E89">
        <w:rPr>
          <w:rFonts w:asciiTheme="majorHAnsi" w:hAnsiTheme="majorHAnsi" w:cstheme="majorHAnsi"/>
          <w:color w:val="000000" w:themeColor="text1"/>
        </w:rPr>
        <w:t>” (p. xviii)</w:t>
      </w:r>
      <w:r w:rsidRPr="001806B4">
        <w:rPr>
          <w:rFonts w:asciiTheme="majorHAnsi" w:hAnsiTheme="majorHAnsi" w:cstheme="majorHAnsi"/>
          <w:color w:val="000000" w:themeColor="text1"/>
        </w:rPr>
        <w:t>.</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I</w:t>
      </w:r>
      <w:r w:rsidRPr="00486E89">
        <w:rPr>
          <w:rFonts w:asciiTheme="majorHAnsi" w:hAnsiTheme="majorHAnsi" w:cstheme="majorHAnsi"/>
          <w:color w:val="000000" w:themeColor="text1"/>
        </w:rPr>
        <w:t>t was noted that “</w:t>
      </w:r>
      <w:r w:rsidRPr="00335C1B">
        <w:rPr>
          <w:rFonts w:asciiTheme="majorHAnsi" w:hAnsiTheme="majorHAnsi" w:cstheme="majorHAnsi"/>
          <w:i/>
          <w:iCs/>
          <w:color w:val="000000" w:themeColor="text1"/>
        </w:rPr>
        <w:t>there are substantial differences in the quality of education services across the Philippine</w:t>
      </w:r>
      <w:r w:rsidRPr="00DC71CC">
        <w:rPr>
          <w:rFonts w:asciiTheme="majorHAnsi" w:hAnsiTheme="majorHAnsi" w:cstheme="majorHAnsi"/>
          <w:i/>
          <w:iCs/>
          <w:color w:val="000000" w:themeColor="text1"/>
        </w:rPr>
        <w:t>s</w:t>
      </w:r>
      <w:r>
        <w:rPr>
          <w:rFonts w:asciiTheme="majorHAnsi" w:hAnsiTheme="majorHAnsi" w:cstheme="majorHAnsi"/>
          <w:color w:val="000000" w:themeColor="text1"/>
        </w:rPr>
        <w:t>”</w:t>
      </w:r>
      <w:r w:rsidRPr="001806B4">
        <w:rPr>
          <w:rFonts w:asciiTheme="majorHAnsi" w:hAnsiTheme="majorHAnsi" w:cstheme="majorHAnsi"/>
          <w:color w:val="000000" w:themeColor="text1"/>
        </w:rPr>
        <w:t xml:space="preserve">. The factors associated with the distribution of quality vary, and there is no clear and consistent pattern. </w:t>
      </w:r>
      <w:r w:rsidRPr="00486E89">
        <w:rPr>
          <w:rFonts w:asciiTheme="majorHAnsi" w:hAnsiTheme="majorHAnsi" w:cstheme="majorHAnsi"/>
          <w:color w:val="000000" w:themeColor="text1"/>
        </w:rPr>
        <w:t>T</w:t>
      </w:r>
      <w:r w:rsidRPr="001806B4">
        <w:rPr>
          <w:rFonts w:asciiTheme="majorHAnsi" w:hAnsiTheme="majorHAnsi" w:cstheme="majorHAnsi"/>
          <w:color w:val="000000" w:themeColor="text1"/>
        </w:rPr>
        <w:t xml:space="preserve">he </w:t>
      </w:r>
      <w:r w:rsidRPr="00486E89">
        <w:rPr>
          <w:rFonts w:asciiTheme="majorHAnsi" w:hAnsiTheme="majorHAnsi" w:cstheme="majorHAnsi"/>
          <w:color w:val="000000" w:themeColor="text1"/>
        </w:rPr>
        <w:t xml:space="preserve">(uneven) </w:t>
      </w:r>
      <w:r w:rsidRPr="001806B4">
        <w:rPr>
          <w:rFonts w:asciiTheme="majorHAnsi" w:hAnsiTheme="majorHAnsi" w:cstheme="majorHAnsi"/>
          <w:color w:val="000000" w:themeColor="text1"/>
        </w:rPr>
        <w:t>distribution of education quality reinforces existing inequalities.</w:t>
      </w:r>
      <w:r w:rsidRPr="00486E89">
        <w:rPr>
          <w:rFonts w:asciiTheme="majorHAnsi" w:hAnsiTheme="majorHAnsi" w:cstheme="majorHAnsi"/>
          <w:color w:val="000000" w:themeColor="text1"/>
        </w:rPr>
        <w:t xml:space="preserve"> </w:t>
      </w:r>
      <w:r w:rsidRPr="001806B4">
        <w:rPr>
          <w:rFonts w:asciiTheme="majorHAnsi" w:hAnsiTheme="majorHAnsi" w:cstheme="majorHAnsi"/>
          <w:color w:val="000000" w:themeColor="text1"/>
        </w:rPr>
        <w:t>Significant differences in levels of education spending and the quality of the learning environment exist across regions and provinces.</w:t>
      </w:r>
    </w:p>
    <w:p w14:paraId="5CE5FCDD" w14:textId="5FBC67FA" w:rsidR="008D0CAD" w:rsidRPr="00AF0D18" w:rsidRDefault="00BB05F1" w:rsidP="000440D6">
      <w:pPr>
        <w:pStyle w:val="Heading3"/>
        <w:spacing w:before="100" w:beforeAutospacing="1" w:after="100" w:afterAutospacing="1" w:line="360" w:lineRule="auto"/>
        <w:ind w:left="1276" w:hanging="567"/>
      </w:pPr>
      <w:bookmarkStart w:id="19" w:name="_Toc10722970"/>
      <w:bookmarkStart w:id="20" w:name="_Toc12711972"/>
      <w:bookmarkStart w:id="21" w:name="_Toc13216251"/>
      <w:bookmarkStart w:id="22" w:name="_Toc69820431"/>
      <w:r>
        <w:t xml:space="preserve">1.1. </w:t>
      </w:r>
      <w:r w:rsidR="008D0CAD" w:rsidRPr="00AF0D18">
        <w:t>Philippine Basic Education Sector</w:t>
      </w:r>
      <w:bookmarkEnd w:id="19"/>
      <w:bookmarkEnd w:id="20"/>
      <w:bookmarkEnd w:id="21"/>
      <w:bookmarkEnd w:id="22"/>
    </w:p>
    <w:p w14:paraId="7E228339" w14:textId="50E19278" w:rsidR="008D0CAD" w:rsidRPr="006651C0" w:rsidRDefault="00BB05F1" w:rsidP="000440D6">
      <w:pPr>
        <w:pStyle w:val="Heading4"/>
        <w:spacing w:before="100" w:beforeAutospacing="1" w:after="100" w:afterAutospacing="1" w:line="360" w:lineRule="auto"/>
        <w:ind w:left="1418" w:hanging="709"/>
      </w:pPr>
      <w:bookmarkStart w:id="23" w:name="_Toc10722971"/>
      <w:bookmarkStart w:id="24" w:name="_Toc12711973"/>
      <w:bookmarkStart w:id="25" w:name="_Toc13216252"/>
      <w:r>
        <w:t>1.1.1.</w:t>
      </w:r>
      <w:r w:rsidR="00D434EB">
        <w:t xml:space="preserve"> </w:t>
      </w:r>
      <w:r w:rsidR="008D0CAD" w:rsidRPr="006651C0">
        <w:t>Reforms in the Education Sector</w:t>
      </w:r>
      <w:bookmarkEnd w:id="23"/>
      <w:bookmarkEnd w:id="24"/>
      <w:bookmarkEnd w:id="25"/>
    </w:p>
    <w:p w14:paraId="0D1112DA" w14:textId="131D83FF" w:rsidR="008D0CAD" w:rsidRDefault="008D0CAD" w:rsidP="000440D6">
      <w:pPr>
        <w:pStyle w:val="NormalWeb"/>
        <w:spacing w:line="360" w:lineRule="auto"/>
        <w:rPr>
          <w:rFonts w:asciiTheme="majorHAnsi" w:hAnsiTheme="majorHAnsi" w:cstheme="majorHAnsi"/>
        </w:rPr>
      </w:pPr>
      <w:r w:rsidRPr="00E65F12">
        <w:rPr>
          <w:rFonts w:asciiTheme="majorHAnsi" w:hAnsiTheme="majorHAnsi" w:cstheme="majorHAnsi"/>
        </w:rPr>
        <w:t>The Governance of Basic Education Act of 2001 (RA</w:t>
      </w:r>
      <w:r>
        <w:rPr>
          <w:rFonts w:asciiTheme="majorHAnsi" w:hAnsiTheme="majorHAnsi" w:cstheme="majorHAnsi"/>
        </w:rPr>
        <w:t xml:space="preserve"> </w:t>
      </w:r>
      <w:r w:rsidRPr="00E65F12">
        <w:rPr>
          <w:rFonts w:asciiTheme="majorHAnsi" w:hAnsiTheme="majorHAnsi" w:cstheme="majorHAnsi"/>
        </w:rPr>
        <w:t>9155) provide</w:t>
      </w:r>
      <w:r>
        <w:rPr>
          <w:rFonts w:asciiTheme="majorHAnsi" w:hAnsiTheme="majorHAnsi" w:cstheme="majorHAnsi"/>
        </w:rPr>
        <w:t>d</w:t>
      </w:r>
      <w:r w:rsidRPr="00E65F12">
        <w:rPr>
          <w:rFonts w:asciiTheme="majorHAnsi" w:hAnsiTheme="majorHAnsi" w:cstheme="majorHAnsi"/>
        </w:rPr>
        <w:t xml:space="preserve"> the overall framework for</w:t>
      </w:r>
      <w:r>
        <w:rPr>
          <w:rFonts w:asciiTheme="majorHAnsi" w:hAnsiTheme="majorHAnsi" w:cstheme="majorHAnsi"/>
        </w:rPr>
        <w:t xml:space="preserve"> </w:t>
      </w:r>
      <w:r w:rsidRPr="00E65F12">
        <w:rPr>
          <w:rFonts w:asciiTheme="majorHAnsi" w:hAnsiTheme="majorHAnsi" w:cstheme="majorHAnsi"/>
        </w:rPr>
        <w:t>decentrali</w:t>
      </w:r>
      <w:r>
        <w:rPr>
          <w:rFonts w:asciiTheme="majorHAnsi" w:hAnsiTheme="majorHAnsi" w:cstheme="majorHAnsi"/>
        </w:rPr>
        <w:t>s</w:t>
      </w:r>
      <w:r w:rsidRPr="00E65F12">
        <w:rPr>
          <w:rFonts w:asciiTheme="majorHAnsi" w:hAnsiTheme="majorHAnsi" w:cstheme="majorHAnsi"/>
        </w:rPr>
        <w:t>ation</w:t>
      </w:r>
      <w:r w:rsidRPr="00E65F12">
        <w:rPr>
          <w:rFonts w:asciiTheme="majorHAnsi" w:hAnsiTheme="majorHAnsi" w:cstheme="majorHAnsi"/>
          <w:position w:val="12"/>
        </w:rPr>
        <w:t xml:space="preserve"> </w:t>
      </w:r>
      <w:r w:rsidRPr="00E65F12">
        <w:rPr>
          <w:rFonts w:asciiTheme="majorHAnsi" w:hAnsiTheme="majorHAnsi" w:cstheme="majorHAnsi"/>
        </w:rPr>
        <w:t xml:space="preserve">of education </w:t>
      </w:r>
      <w:r w:rsidR="00AF0D18">
        <w:rPr>
          <w:rFonts w:asciiTheme="majorHAnsi" w:hAnsiTheme="majorHAnsi" w:cstheme="majorHAnsi"/>
        </w:rPr>
        <w:t>management</w:t>
      </w:r>
      <w:r w:rsidRPr="00E65F12">
        <w:rPr>
          <w:rFonts w:asciiTheme="majorHAnsi" w:hAnsiTheme="majorHAnsi" w:cstheme="majorHAnsi"/>
        </w:rPr>
        <w:t>, focusing on: (i) school head empowerment by strengthening their leadership roles; and (ii) school-based management within the context of transparency and local accountability. It specifie</w:t>
      </w:r>
      <w:r>
        <w:rPr>
          <w:rFonts w:asciiTheme="majorHAnsi" w:hAnsiTheme="majorHAnsi" w:cstheme="majorHAnsi"/>
        </w:rPr>
        <w:t>d</w:t>
      </w:r>
      <w:r w:rsidRPr="00E65F12">
        <w:rPr>
          <w:rFonts w:asciiTheme="majorHAnsi" w:hAnsiTheme="majorHAnsi" w:cstheme="majorHAnsi"/>
        </w:rPr>
        <w:t xml:space="preserve"> the goal of basic education which is to provide</w:t>
      </w:r>
      <w:r>
        <w:rPr>
          <w:rFonts w:asciiTheme="majorHAnsi" w:hAnsiTheme="majorHAnsi" w:cstheme="majorHAnsi"/>
        </w:rPr>
        <w:t xml:space="preserve"> the</w:t>
      </w:r>
      <w:r w:rsidRPr="00E65F12">
        <w:rPr>
          <w:rFonts w:asciiTheme="majorHAnsi" w:hAnsiTheme="majorHAnsi" w:cstheme="majorHAnsi"/>
        </w:rPr>
        <w:t xml:space="preserve"> school age population and young adults with skills, knowledge, and values to become caring, self-reliant, </w:t>
      </w:r>
      <w:r w:rsidR="000440D6" w:rsidRPr="00E65F12">
        <w:rPr>
          <w:rFonts w:asciiTheme="majorHAnsi" w:hAnsiTheme="majorHAnsi" w:cstheme="majorHAnsi"/>
        </w:rPr>
        <w:t>productive,</w:t>
      </w:r>
      <w:r w:rsidRPr="00E65F12">
        <w:rPr>
          <w:rFonts w:asciiTheme="majorHAnsi" w:hAnsiTheme="majorHAnsi" w:cstheme="majorHAnsi"/>
        </w:rPr>
        <w:t xml:space="preserve"> and patriotic citizens.</w:t>
      </w:r>
      <w:r w:rsidR="00D434EB">
        <w:rPr>
          <w:rFonts w:asciiTheme="majorHAnsi" w:hAnsiTheme="majorHAnsi" w:cstheme="majorHAnsi"/>
        </w:rPr>
        <w:t xml:space="preserve"> </w:t>
      </w:r>
    </w:p>
    <w:p w14:paraId="630CF375" w14:textId="77777777" w:rsidR="008D0CAD" w:rsidRDefault="008D0CAD" w:rsidP="000440D6">
      <w:pPr>
        <w:pStyle w:val="NormalWeb"/>
        <w:spacing w:line="360" w:lineRule="auto"/>
        <w:rPr>
          <w:rFonts w:asciiTheme="majorHAnsi" w:hAnsiTheme="majorHAnsi" w:cstheme="majorHAnsi"/>
        </w:rPr>
      </w:pPr>
      <w:r>
        <w:rPr>
          <w:rFonts w:asciiTheme="majorHAnsi" w:hAnsiTheme="majorHAnsi" w:cstheme="majorHAnsi"/>
        </w:rPr>
        <w:t xml:space="preserve">As noted in the BEST Independent Progress Review, </w:t>
      </w:r>
      <w:r w:rsidRPr="00E65F12">
        <w:rPr>
          <w:rFonts w:asciiTheme="majorHAnsi" w:hAnsiTheme="majorHAnsi" w:cstheme="majorHAnsi"/>
        </w:rPr>
        <w:t>“</w:t>
      </w:r>
      <w:r>
        <w:rPr>
          <w:rFonts w:asciiTheme="majorHAnsi" w:hAnsiTheme="majorHAnsi" w:cstheme="majorHAnsi"/>
        </w:rPr>
        <w:t>d</w:t>
      </w:r>
      <w:r w:rsidRPr="00E65F12">
        <w:rPr>
          <w:rFonts w:asciiTheme="majorHAnsi" w:hAnsiTheme="majorHAnsi" w:cstheme="majorHAnsi"/>
        </w:rPr>
        <w:t>ecentrali</w:t>
      </w:r>
      <w:r>
        <w:rPr>
          <w:rFonts w:asciiTheme="majorHAnsi" w:hAnsiTheme="majorHAnsi" w:cstheme="majorHAnsi"/>
        </w:rPr>
        <w:t>s</w:t>
      </w:r>
      <w:r w:rsidRPr="00E65F12">
        <w:rPr>
          <w:rFonts w:asciiTheme="majorHAnsi" w:hAnsiTheme="majorHAnsi" w:cstheme="majorHAnsi"/>
        </w:rPr>
        <w:t xml:space="preserve">ation” in the Philippine context </w:t>
      </w:r>
      <w:r>
        <w:rPr>
          <w:rFonts w:asciiTheme="majorHAnsi" w:hAnsiTheme="majorHAnsi" w:cstheme="majorHAnsi"/>
        </w:rPr>
        <w:t>was</w:t>
      </w:r>
      <w:r w:rsidRPr="00E65F12">
        <w:rPr>
          <w:rFonts w:asciiTheme="majorHAnsi" w:hAnsiTheme="majorHAnsi" w:cstheme="majorHAnsi"/>
        </w:rPr>
        <w:t xml:space="preserve"> one of administrative decentrali</w:t>
      </w:r>
      <w:r>
        <w:rPr>
          <w:rFonts w:asciiTheme="majorHAnsi" w:hAnsiTheme="majorHAnsi" w:cstheme="majorHAnsi"/>
        </w:rPr>
        <w:t>s</w:t>
      </w:r>
      <w:r w:rsidRPr="00E65F12">
        <w:rPr>
          <w:rFonts w:asciiTheme="majorHAnsi" w:hAnsiTheme="majorHAnsi" w:cstheme="majorHAnsi"/>
        </w:rPr>
        <w:t>ation which redistribute</w:t>
      </w:r>
      <w:r>
        <w:rPr>
          <w:rFonts w:asciiTheme="majorHAnsi" w:hAnsiTheme="majorHAnsi" w:cstheme="majorHAnsi"/>
        </w:rPr>
        <w:t>d</w:t>
      </w:r>
      <w:r w:rsidRPr="00E65F12">
        <w:rPr>
          <w:rFonts w:asciiTheme="majorHAnsi" w:hAnsiTheme="majorHAnsi" w:cstheme="majorHAnsi"/>
        </w:rPr>
        <w:t xml:space="preserve"> decision-making authority and financial and management responsibility among levels of the central government and </w:t>
      </w:r>
      <w:r>
        <w:rPr>
          <w:rFonts w:asciiTheme="majorHAnsi" w:hAnsiTheme="majorHAnsi" w:cstheme="majorHAnsi"/>
        </w:rPr>
        <w:t xml:space="preserve">did not include </w:t>
      </w:r>
      <w:r w:rsidRPr="00E65F12">
        <w:rPr>
          <w:rFonts w:asciiTheme="majorHAnsi" w:hAnsiTheme="majorHAnsi" w:cstheme="majorHAnsi"/>
        </w:rPr>
        <w:t>a</w:t>
      </w:r>
      <w:r>
        <w:rPr>
          <w:rFonts w:asciiTheme="majorHAnsi" w:hAnsiTheme="majorHAnsi" w:cstheme="majorHAnsi"/>
        </w:rPr>
        <w:t xml:space="preserve"> </w:t>
      </w:r>
      <w:r w:rsidRPr="00E65F12">
        <w:rPr>
          <w:rFonts w:asciiTheme="majorHAnsi" w:hAnsiTheme="majorHAnsi" w:cstheme="majorHAnsi"/>
        </w:rPr>
        <w:t>real transfer of authority between levels of government. It involve</w:t>
      </w:r>
      <w:r>
        <w:rPr>
          <w:rFonts w:asciiTheme="majorHAnsi" w:hAnsiTheme="majorHAnsi" w:cstheme="majorHAnsi"/>
        </w:rPr>
        <w:t>d</w:t>
      </w:r>
      <w:r w:rsidRPr="00E65F12">
        <w:rPr>
          <w:rFonts w:asciiTheme="majorHAnsi" w:hAnsiTheme="majorHAnsi" w:cstheme="majorHAnsi"/>
        </w:rPr>
        <w:t xml:space="preserve"> only a shift of responsibilities from </w:t>
      </w:r>
      <w:r>
        <w:rPr>
          <w:rFonts w:asciiTheme="majorHAnsi" w:hAnsiTheme="majorHAnsi" w:cstheme="majorHAnsi"/>
        </w:rPr>
        <w:t xml:space="preserve">DepEd </w:t>
      </w:r>
      <w:r w:rsidRPr="00E65F12">
        <w:rPr>
          <w:rFonts w:asciiTheme="majorHAnsi" w:hAnsiTheme="majorHAnsi" w:cstheme="majorHAnsi"/>
        </w:rPr>
        <w:t xml:space="preserve">Central officials to those stationed in Regions, Divisions and Schools. </w:t>
      </w:r>
    </w:p>
    <w:p w14:paraId="02E4CD8A" w14:textId="457BEED7" w:rsidR="008D0CAD" w:rsidRPr="00316910" w:rsidRDefault="008D0CAD" w:rsidP="000440D6">
      <w:pPr>
        <w:pStyle w:val="NormalWeb"/>
        <w:spacing w:line="360" w:lineRule="auto"/>
        <w:rPr>
          <w:rFonts w:asciiTheme="majorHAnsi" w:hAnsiTheme="majorHAnsi" w:cstheme="majorHAnsi"/>
        </w:rPr>
      </w:pPr>
      <w:r w:rsidRPr="00350FA1">
        <w:rPr>
          <w:rFonts w:asciiTheme="majorHAnsi" w:hAnsiTheme="majorHAnsi" w:cstheme="majorHAnsi"/>
        </w:rPr>
        <w:t xml:space="preserve">In 2005, the Philippine Government inaugurated a comprehensive policy reform program under its Basic Education Sector Reform Agenda (BESRA) to arrest the significant decline in key education sector indicators, which had begun in the 1990s. The </w:t>
      </w:r>
      <w:r>
        <w:rPr>
          <w:rFonts w:asciiTheme="majorHAnsi" w:hAnsiTheme="majorHAnsi" w:cstheme="majorHAnsi"/>
        </w:rPr>
        <w:t>P</w:t>
      </w:r>
      <w:r w:rsidRPr="00350FA1">
        <w:rPr>
          <w:rFonts w:asciiTheme="majorHAnsi" w:hAnsiTheme="majorHAnsi" w:cstheme="majorHAnsi"/>
        </w:rPr>
        <w:t xml:space="preserve">rogram included five key reform thrusts (KRTs) directly supporting the objectives of the </w:t>
      </w:r>
      <w:r>
        <w:rPr>
          <w:rFonts w:asciiTheme="majorHAnsi" w:hAnsiTheme="majorHAnsi" w:cstheme="majorHAnsi"/>
        </w:rPr>
        <w:t>Philippine Development Plan (</w:t>
      </w:r>
      <w:r w:rsidRPr="00350FA1">
        <w:rPr>
          <w:rFonts w:asciiTheme="majorHAnsi" w:hAnsiTheme="majorHAnsi" w:cstheme="majorHAnsi"/>
        </w:rPr>
        <w:t>PDP</w:t>
      </w:r>
      <w:r>
        <w:rPr>
          <w:rFonts w:asciiTheme="majorHAnsi" w:hAnsiTheme="majorHAnsi" w:cstheme="majorHAnsi"/>
        </w:rPr>
        <w:t>):</w:t>
      </w:r>
      <w:r w:rsidR="00D434EB">
        <w:rPr>
          <w:rFonts w:asciiTheme="majorHAnsi" w:hAnsiTheme="majorHAnsi" w:cstheme="majorHAnsi"/>
        </w:rPr>
        <w:t xml:space="preserve"> </w:t>
      </w:r>
      <w:r w:rsidRPr="00350FA1">
        <w:rPr>
          <w:rFonts w:asciiTheme="majorHAnsi" w:hAnsiTheme="majorHAnsi" w:cstheme="majorHAnsi"/>
        </w:rPr>
        <w:t>KRT 1: Get all schools to continuously improve</w:t>
      </w:r>
      <w:r>
        <w:rPr>
          <w:rFonts w:asciiTheme="majorHAnsi" w:hAnsiTheme="majorHAnsi" w:cstheme="majorHAnsi"/>
        </w:rPr>
        <w:t xml:space="preserve">; </w:t>
      </w:r>
      <w:r w:rsidRPr="00350FA1">
        <w:rPr>
          <w:rFonts w:asciiTheme="majorHAnsi" w:hAnsiTheme="majorHAnsi" w:cstheme="majorHAnsi"/>
        </w:rPr>
        <w:t>KRT 2: Enable teachers to further enhance their contribution to learning outcomes</w:t>
      </w:r>
      <w:r>
        <w:rPr>
          <w:rFonts w:asciiTheme="majorHAnsi" w:hAnsiTheme="majorHAnsi" w:cstheme="majorHAnsi"/>
        </w:rPr>
        <w:t xml:space="preserve">; </w:t>
      </w:r>
      <w:r w:rsidRPr="00350FA1">
        <w:rPr>
          <w:rFonts w:asciiTheme="majorHAnsi" w:hAnsiTheme="majorHAnsi" w:cstheme="majorHAnsi"/>
        </w:rPr>
        <w:t>KRT 3: Increase social support to attainment of desired learning outcomes</w:t>
      </w:r>
      <w:r>
        <w:rPr>
          <w:rFonts w:asciiTheme="majorHAnsi" w:hAnsiTheme="majorHAnsi" w:cstheme="majorHAnsi"/>
        </w:rPr>
        <w:t xml:space="preserve">; </w:t>
      </w:r>
      <w:r w:rsidRPr="00350FA1">
        <w:rPr>
          <w:rFonts w:asciiTheme="majorHAnsi" w:hAnsiTheme="majorHAnsi" w:cstheme="majorHAnsi"/>
        </w:rPr>
        <w:t>KRT 4: Improve impact on outcomes from complementary early childhood education, alternative learning systems and private sector participation</w:t>
      </w:r>
      <w:r>
        <w:rPr>
          <w:rFonts w:asciiTheme="majorHAnsi" w:hAnsiTheme="majorHAnsi" w:cstheme="majorHAnsi"/>
        </w:rPr>
        <w:t xml:space="preserve">; and </w:t>
      </w:r>
      <w:r w:rsidRPr="00350FA1">
        <w:rPr>
          <w:rFonts w:asciiTheme="majorHAnsi" w:hAnsiTheme="majorHAnsi" w:cstheme="majorHAnsi"/>
        </w:rPr>
        <w:t xml:space="preserve">KRT 5: Change institutional culture of </w:t>
      </w:r>
      <w:r>
        <w:rPr>
          <w:rFonts w:asciiTheme="majorHAnsi" w:hAnsiTheme="majorHAnsi" w:cstheme="majorHAnsi"/>
        </w:rPr>
        <w:t>DepEd</w:t>
      </w:r>
      <w:r w:rsidRPr="00350FA1">
        <w:rPr>
          <w:rFonts w:asciiTheme="majorHAnsi" w:hAnsiTheme="majorHAnsi" w:cstheme="majorHAnsi"/>
        </w:rPr>
        <w:t xml:space="preserve"> to better support these key reform thrusts. </w:t>
      </w:r>
    </w:p>
    <w:p w14:paraId="1EADC82E" w14:textId="77777777" w:rsidR="008D0CAD" w:rsidRDefault="008D0CAD" w:rsidP="000440D6">
      <w:pPr>
        <w:spacing w:before="100" w:beforeAutospacing="1" w:after="100" w:afterAutospacing="1" w:line="360" w:lineRule="auto"/>
        <w:rPr>
          <w:rFonts w:asciiTheme="majorHAnsi" w:hAnsiTheme="majorHAnsi" w:cstheme="majorHAnsi"/>
        </w:rPr>
      </w:pPr>
      <w:r>
        <w:rPr>
          <w:rFonts w:asciiTheme="majorHAnsi" w:hAnsiTheme="majorHAnsi" w:cstheme="majorHAnsi"/>
        </w:rPr>
        <w:t>DepEd</w:t>
      </w:r>
      <w:r w:rsidRPr="001C6C2A">
        <w:rPr>
          <w:rFonts w:asciiTheme="majorHAnsi" w:hAnsiTheme="majorHAnsi" w:cstheme="majorHAnsi"/>
        </w:rPr>
        <w:t xml:space="preserve"> is the largest government agency in the Philippines and receives the largest budget allocation. </w:t>
      </w:r>
      <w:r>
        <w:rPr>
          <w:rFonts w:asciiTheme="majorHAnsi" w:hAnsiTheme="majorHAnsi" w:cstheme="majorHAnsi"/>
        </w:rPr>
        <w:t xml:space="preserve">It </w:t>
      </w:r>
      <w:r w:rsidRPr="001C6C2A">
        <w:rPr>
          <w:rFonts w:asciiTheme="majorHAnsi" w:hAnsiTheme="majorHAnsi" w:cstheme="majorHAnsi"/>
        </w:rPr>
        <w:t xml:space="preserve">exercises reasonable supervision and regulation of all educational institutions as basic education is not devolved to Local Governments. </w:t>
      </w:r>
    </w:p>
    <w:p w14:paraId="0BE5442A" w14:textId="47AD3C85" w:rsidR="008D0CAD" w:rsidRPr="00350FA1" w:rsidRDefault="008D0CAD" w:rsidP="000440D6">
      <w:pPr>
        <w:spacing w:before="100" w:beforeAutospacing="1" w:after="100" w:afterAutospacing="1" w:line="360" w:lineRule="auto"/>
        <w:rPr>
          <w:rFonts w:asciiTheme="majorHAnsi" w:hAnsiTheme="majorHAnsi" w:cstheme="majorHAnsi"/>
        </w:rPr>
      </w:pPr>
      <w:r w:rsidRPr="001C6C2A">
        <w:rPr>
          <w:rFonts w:asciiTheme="majorHAnsi" w:hAnsiTheme="majorHAnsi" w:cstheme="majorHAnsi"/>
        </w:rPr>
        <w:t>RA</w:t>
      </w:r>
      <w:r>
        <w:rPr>
          <w:rFonts w:asciiTheme="majorHAnsi" w:hAnsiTheme="majorHAnsi" w:cstheme="majorHAnsi"/>
        </w:rPr>
        <w:t xml:space="preserve"> </w:t>
      </w:r>
      <w:r w:rsidRPr="001C6C2A">
        <w:rPr>
          <w:rFonts w:asciiTheme="majorHAnsi" w:hAnsiTheme="majorHAnsi" w:cstheme="majorHAnsi"/>
        </w:rPr>
        <w:t>9155</w:t>
      </w:r>
      <w:r>
        <w:rPr>
          <w:rFonts w:asciiTheme="majorHAnsi" w:hAnsiTheme="majorHAnsi" w:cstheme="majorHAnsi"/>
        </w:rPr>
        <w:t xml:space="preserve"> or t</w:t>
      </w:r>
      <w:r w:rsidRPr="001C6C2A">
        <w:rPr>
          <w:rFonts w:asciiTheme="majorHAnsi" w:hAnsiTheme="majorHAnsi" w:cstheme="majorHAnsi"/>
        </w:rPr>
        <w:t>he Governance of Basic Education Act of 2001 provide</w:t>
      </w:r>
      <w:r>
        <w:rPr>
          <w:rFonts w:asciiTheme="majorHAnsi" w:hAnsiTheme="majorHAnsi" w:cstheme="majorHAnsi"/>
        </w:rPr>
        <w:t>s</w:t>
      </w:r>
      <w:r w:rsidRPr="001C6C2A">
        <w:rPr>
          <w:rFonts w:asciiTheme="majorHAnsi" w:hAnsiTheme="majorHAnsi" w:cstheme="majorHAnsi"/>
        </w:rPr>
        <w:t xml:space="preserve"> the overall framework for </w:t>
      </w:r>
      <w:r>
        <w:rPr>
          <w:rFonts w:asciiTheme="majorHAnsi" w:hAnsiTheme="majorHAnsi" w:cstheme="majorHAnsi"/>
        </w:rPr>
        <w:t xml:space="preserve">the governance of the sector following a strategy of </w:t>
      </w:r>
      <w:r w:rsidRPr="001C6C2A">
        <w:rPr>
          <w:rFonts w:asciiTheme="majorHAnsi" w:hAnsiTheme="majorHAnsi" w:cstheme="majorHAnsi"/>
        </w:rPr>
        <w:t>decentrali</w:t>
      </w:r>
      <w:r>
        <w:rPr>
          <w:rFonts w:asciiTheme="majorHAnsi" w:hAnsiTheme="majorHAnsi" w:cstheme="majorHAnsi"/>
        </w:rPr>
        <w:t>s</w:t>
      </w:r>
      <w:r w:rsidRPr="001C6C2A">
        <w:rPr>
          <w:rFonts w:asciiTheme="majorHAnsi" w:hAnsiTheme="majorHAnsi" w:cstheme="majorHAnsi"/>
        </w:rPr>
        <w:t>ation</w:t>
      </w:r>
      <w:r w:rsidRPr="001C6C2A">
        <w:rPr>
          <w:rFonts w:asciiTheme="majorHAnsi" w:hAnsiTheme="majorHAnsi" w:cstheme="majorHAnsi"/>
          <w:position w:val="12"/>
        </w:rPr>
        <w:t xml:space="preserve"> </w:t>
      </w:r>
      <w:r w:rsidRPr="001C6C2A">
        <w:rPr>
          <w:rFonts w:asciiTheme="majorHAnsi" w:hAnsiTheme="majorHAnsi" w:cstheme="majorHAnsi"/>
        </w:rPr>
        <w:t>of education management</w:t>
      </w:r>
      <w:r>
        <w:rPr>
          <w:rFonts w:asciiTheme="majorHAnsi" w:hAnsiTheme="majorHAnsi" w:cstheme="majorHAnsi"/>
        </w:rPr>
        <w:t>. This decentralisation centered</w:t>
      </w:r>
      <w:r w:rsidRPr="001C6C2A">
        <w:rPr>
          <w:rFonts w:asciiTheme="majorHAnsi" w:hAnsiTheme="majorHAnsi" w:cstheme="majorHAnsi"/>
        </w:rPr>
        <w:t xml:space="preserve"> on</w:t>
      </w:r>
      <w:r>
        <w:rPr>
          <w:rFonts w:asciiTheme="majorHAnsi" w:hAnsiTheme="majorHAnsi" w:cstheme="majorHAnsi"/>
        </w:rPr>
        <w:t xml:space="preserve"> the </w:t>
      </w:r>
      <w:r w:rsidRPr="001C6C2A">
        <w:rPr>
          <w:rFonts w:asciiTheme="majorHAnsi" w:hAnsiTheme="majorHAnsi" w:cstheme="majorHAnsi"/>
        </w:rPr>
        <w:t xml:space="preserve">empowerment </w:t>
      </w:r>
      <w:r>
        <w:rPr>
          <w:rFonts w:asciiTheme="majorHAnsi" w:hAnsiTheme="majorHAnsi" w:cstheme="majorHAnsi"/>
        </w:rPr>
        <w:t xml:space="preserve">and the </w:t>
      </w:r>
      <w:r w:rsidRPr="001C6C2A">
        <w:rPr>
          <w:rFonts w:asciiTheme="majorHAnsi" w:hAnsiTheme="majorHAnsi" w:cstheme="majorHAnsi"/>
        </w:rPr>
        <w:t xml:space="preserve">strengthening </w:t>
      </w:r>
      <w:r>
        <w:rPr>
          <w:rFonts w:asciiTheme="majorHAnsi" w:hAnsiTheme="majorHAnsi" w:cstheme="majorHAnsi"/>
        </w:rPr>
        <w:t xml:space="preserve">of </w:t>
      </w:r>
      <w:r w:rsidRPr="001C6C2A">
        <w:rPr>
          <w:rFonts w:asciiTheme="majorHAnsi" w:hAnsiTheme="majorHAnsi" w:cstheme="majorHAnsi"/>
        </w:rPr>
        <w:t xml:space="preserve">the leadership roles </w:t>
      </w:r>
      <w:r>
        <w:rPr>
          <w:rFonts w:asciiTheme="majorHAnsi" w:hAnsiTheme="majorHAnsi" w:cstheme="majorHAnsi"/>
        </w:rPr>
        <w:t>of S</w:t>
      </w:r>
      <w:r w:rsidRPr="001C6C2A">
        <w:rPr>
          <w:rFonts w:asciiTheme="majorHAnsi" w:hAnsiTheme="majorHAnsi" w:cstheme="majorHAnsi"/>
        </w:rPr>
        <w:t xml:space="preserve">chool </w:t>
      </w:r>
      <w:r>
        <w:rPr>
          <w:rFonts w:asciiTheme="majorHAnsi" w:hAnsiTheme="majorHAnsi" w:cstheme="majorHAnsi"/>
        </w:rPr>
        <w:t>H</w:t>
      </w:r>
      <w:r w:rsidRPr="001C6C2A">
        <w:rPr>
          <w:rFonts w:asciiTheme="majorHAnsi" w:hAnsiTheme="majorHAnsi" w:cstheme="majorHAnsi"/>
        </w:rPr>
        <w:t>ead</w:t>
      </w:r>
      <w:r>
        <w:rPr>
          <w:rFonts w:asciiTheme="majorHAnsi" w:hAnsiTheme="majorHAnsi" w:cstheme="majorHAnsi"/>
        </w:rPr>
        <w:t>s</w:t>
      </w:r>
      <w:r w:rsidRPr="001C6C2A">
        <w:rPr>
          <w:rFonts w:asciiTheme="majorHAnsi" w:hAnsiTheme="majorHAnsi" w:cstheme="majorHAnsi"/>
        </w:rPr>
        <w:t xml:space="preserve"> and </w:t>
      </w:r>
      <w:r>
        <w:rPr>
          <w:rFonts w:asciiTheme="majorHAnsi" w:hAnsiTheme="majorHAnsi" w:cstheme="majorHAnsi"/>
        </w:rPr>
        <w:t>the establishment of</w:t>
      </w:r>
      <w:r w:rsidRPr="001C6C2A">
        <w:rPr>
          <w:rFonts w:asciiTheme="majorHAnsi" w:hAnsiTheme="majorHAnsi" w:cstheme="majorHAnsi"/>
        </w:rPr>
        <w:t xml:space="preserve"> school-based management within the context of transparency and local accountability.</w:t>
      </w:r>
      <w:r w:rsidR="00D434EB">
        <w:rPr>
          <w:rFonts w:asciiTheme="majorHAnsi" w:hAnsiTheme="majorHAnsi" w:cstheme="majorHAnsi"/>
        </w:rPr>
        <w:t xml:space="preserve"> </w:t>
      </w:r>
      <w:r>
        <w:rPr>
          <w:rFonts w:asciiTheme="majorHAnsi" w:hAnsiTheme="majorHAnsi" w:cstheme="majorHAnsi"/>
        </w:rPr>
        <w:t>At the beginning of the BEST Program implementation, t</w:t>
      </w:r>
      <w:r w:rsidRPr="008B613B">
        <w:rPr>
          <w:rFonts w:asciiTheme="majorHAnsi" w:hAnsiTheme="majorHAnsi" w:cstheme="majorHAnsi"/>
        </w:rPr>
        <w:t xml:space="preserve">he entire </w:t>
      </w:r>
      <w:r>
        <w:rPr>
          <w:rFonts w:asciiTheme="majorHAnsi" w:hAnsiTheme="majorHAnsi" w:cstheme="majorHAnsi"/>
        </w:rPr>
        <w:t>basic education sector</w:t>
      </w:r>
      <w:r w:rsidRPr="008B613B">
        <w:rPr>
          <w:rFonts w:asciiTheme="majorHAnsi" w:hAnsiTheme="majorHAnsi" w:cstheme="majorHAnsi"/>
        </w:rPr>
        <w:t xml:space="preserve"> </w:t>
      </w:r>
      <w:r>
        <w:rPr>
          <w:rFonts w:asciiTheme="majorHAnsi" w:hAnsiTheme="majorHAnsi" w:cstheme="majorHAnsi"/>
        </w:rPr>
        <w:t>was</w:t>
      </w:r>
      <w:r w:rsidRPr="008B613B">
        <w:rPr>
          <w:rFonts w:asciiTheme="majorHAnsi" w:hAnsiTheme="majorHAnsi" w:cstheme="majorHAnsi"/>
        </w:rPr>
        <w:t xml:space="preserve"> managed by 28,350 administrative and support staff across 17 regional offices, 198 school divisions, and 2,437 school districts.</w:t>
      </w:r>
      <w:r>
        <w:rPr>
          <w:rStyle w:val="FootnoteReference"/>
          <w:rFonts w:asciiTheme="majorHAnsi" w:eastAsia="Arial Unicode MS" w:hAnsiTheme="majorHAnsi" w:cstheme="majorHAnsi"/>
        </w:rPr>
        <w:footnoteReference w:id="5"/>
      </w:r>
    </w:p>
    <w:p w14:paraId="7574B341" w14:textId="20FF7EC2" w:rsidR="008D0CAD" w:rsidRPr="00350FA1" w:rsidRDefault="008D0CAD" w:rsidP="00DD08E3">
      <w:pPr>
        <w:pStyle w:val="Heading4"/>
        <w:numPr>
          <w:ilvl w:val="2"/>
          <w:numId w:val="161"/>
        </w:numPr>
        <w:spacing w:before="100" w:beforeAutospacing="1" w:after="100" w:afterAutospacing="1" w:line="360" w:lineRule="auto"/>
      </w:pPr>
      <w:bookmarkStart w:id="26" w:name="_Toc10722972"/>
      <w:bookmarkStart w:id="27" w:name="_Toc12711974"/>
      <w:bookmarkStart w:id="28" w:name="_Toc13216253"/>
      <w:r>
        <w:t xml:space="preserve">The </w:t>
      </w:r>
      <w:r w:rsidRPr="00350FA1">
        <w:t>K</w:t>
      </w:r>
      <w:r>
        <w:t xml:space="preserve"> - </w:t>
      </w:r>
      <w:r w:rsidRPr="00350FA1">
        <w:t>12</w:t>
      </w:r>
      <w:bookmarkEnd w:id="26"/>
      <w:bookmarkEnd w:id="27"/>
      <w:bookmarkEnd w:id="28"/>
      <w:r>
        <w:t xml:space="preserve"> Curriculum</w:t>
      </w:r>
    </w:p>
    <w:p w14:paraId="190DC711" w14:textId="5BF79B7F" w:rsidR="008D0CAD" w:rsidRPr="00DA2784" w:rsidRDefault="008D0CAD" w:rsidP="000440D6">
      <w:pPr>
        <w:pStyle w:val="NormalWeb"/>
        <w:spacing w:line="360" w:lineRule="auto"/>
        <w:rPr>
          <w:rFonts w:asciiTheme="majorHAnsi" w:hAnsiTheme="majorHAnsi" w:cstheme="majorHAnsi"/>
          <w:color w:val="000000" w:themeColor="text1"/>
        </w:rPr>
      </w:pPr>
      <w:r>
        <w:rPr>
          <w:rFonts w:asciiTheme="majorHAnsi" w:hAnsiTheme="majorHAnsi" w:cstheme="majorHAnsi"/>
        </w:rPr>
        <w:t xml:space="preserve">Although the shift to the K–12 basic education system was not directly mentioned in the </w:t>
      </w:r>
      <w:r w:rsidRPr="00350FA1">
        <w:rPr>
          <w:rFonts w:asciiTheme="majorHAnsi" w:hAnsiTheme="majorHAnsi" w:cstheme="majorHAnsi"/>
        </w:rPr>
        <w:t>BESRA</w:t>
      </w:r>
      <w:r>
        <w:rPr>
          <w:rFonts w:asciiTheme="majorHAnsi" w:hAnsiTheme="majorHAnsi" w:cstheme="majorHAnsi"/>
        </w:rPr>
        <w:t xml:space="preserve">, it became the centerpiece for </w:t>
      </w:r>
      <w:r w:rsidRPr="00DA2784">
        <w:rPr>
          <w:rFonts w:asciiTheme="majorHAnsi" w:hAnsiTheme="majorHAnsi" w:cstheme="majorHAnsi"/>
          <w:color w:val="000000" w:themeColor="text1"/>
        </w:rPr>
        <w:t>education reform in the Philippines in the last six years, spanning two administrations.</w:t>
      </w:r>
      <w:r w:rsidR="00D434EB">
        <w:rPr>
          <w:rFonts w:asciiTheme="majorHAnsi" w:hAnsiTheme="majorHAnsi" w:cstheme="majorHAnsi"/>
          <w:color w:val="000000" w:themeColor="text1"/>
        </w:rPr>
        <w:t xml:space="preserve"> </w:t>
      </w:r>
      <w:r w:rsidRPr="00DA2784">
        <w:rPr>
          <w:rFonts w:asciiTheme="majorHAnsi" w:hAnsiTheme="majorHAnsi" w:cstheme="majorHAnsi"/>
          <w:color w:val="000000" w:themeColor="text1"/>
        </w:rPr>
        <w:t xml:space="preserve">Prior to </w:t>
      </w:r>
      <w:r>
        <w:rPr>
          <w:rFonts w:asciiTheme="majorHAnsi" w:hAnsiTheme="majorHAnsi" w:cstheme="majorHAnsi"/>
        </w:rPr>
        <w:t>K–12</w:t>
      </w:r>
      <w:r w:rsidRPr="00DA2784">
        <w:rPr>
          <w:rFonts w:asciiTheme="majorHAnsi" w:hAnsiTheme="majorHAnsi" w:cstheme="majorHAnsi"/>
          <w:color w:val="000000" w:themeColor="text1"/>
        </w:rPr>
        <w:t xml:space="preserve">, the Philippines was only one of the three remaining countries in the world that had </w:t>
      </w:r>
      <w:r>
        <w:rPr>
          <w:rFonts w:asciiTheme="majorHAnsi" w:hAnsiTheme="majorHAnsi" w:cstheme="majorHAnsi"/>
          <w:color w:val="000000" w:themeColor="text1"/>
        </w:rPr>
        <w:t xml:space="preserve">only </w:t>
      </w:r>
      <w:r w:rsidRPr="00DA2784">
        <w:rPr>
          <w:rFonts w:asciiTheme="majorHAnsi" w:hAnsiTheme="majorHAnsi" w:cstheme="majorHAnsi"/>
          <w:color w:val="000000" w:themeColor="text1"/>
        </w:rPr>
        <w:t>10 years of basic education.</w:t>
      </w:r>
    </w:p>
    <w:p w14:paraId="409A93CB" w14:textId="45154787" w:rsidR="008D0CAD" w:rsidRPr="00DA2784" w:rsidRDefault="008D0CAD" w:rsidP="000440D6">
      <w:pPr>
        <w:pStyle w:val="NormalWeb"/>
        <w:spacing w:line="360" w:lineRule="auto"/>
        <w:rPr>
          <w:rFonts w:asciiTheme="majorHAnsi" w:hAnsiTheme="majorHAnsi" w:cstheme="majorHAnsi"/>
        </w:rPr>
      </w:pPr>
      <w:r w:rsidRPr="00350FA1">
        <w:rPr>
          <w:rFonts w:asciiTheme="majorHAnsi" w:hAnsiTheme="majorHAnsi" w:cstheme="majorHAnsi"/>
        </w:rPr>
        <w:t xml:space="preserve">With the institution of the </w:t>
      </w:r>
      <w:r>
        <w:rPr>
          <w:rFonts w:asciiTheme="majorHAnsi" w:hAnsiTheme="majorHAnsi" w:cstheme="majorHAnsi"/>
        </w:rPr>
        <w:t xml:space="preserve">K–12 </w:t>
      </w:r>
      <w:r w:rsidRPr="00350FA1">
        <w:rPr>
          <w:rFonts w:asciiTheme="majorHAnsi" w:hAnsiTheme="majorHAnsi" w:cstheme="majorHAnsi"/>
        </w:rPr>
        <w:t xml:space="preserve">reform, the </w:t>
      </w:r>
      <w:r w:rsidRPr="00B12CBB">
        <w:rPr>
          <w:rFonts w:asciiTheme="majorHAnsi" w:hAnsiTheme="majorHAnsi" w:cstheme="majorHAnsi"/>
        </w:rPr>
        <w:t xml:space="preserve">Philippines education system </w:t>
      </w:r>
      <w:r w:rsidRPr="00E65F12">
        <w:rPr>
          <w:rFonts w:asciiTheme="majorHAnsi" w:hAnsiTheme="majorHAnsi" w:cstheme="majorHAnsi"/>
        </w:rPr>
        <w:t xml:space="preserve">expanded to 13 years </w:t>
      </w:r>
      <w:r>
        <w:rPr>
          <w:rFonts w:asciiTheme="majorHAnsi" w:hAnsiTheme="majorHAnsi" w:cstheme="majorHAnsi"/>
        </w:rPr>
        <w:t xml:space="preserve">of basic school, i.e., from </w:t>
      </w:r>
      <w:r w:rsidRPr="00B12CBB">
        <w:rPr>
          <w:rFonts w:asciiTheme="majorHAnsi" w:hAnsiTheme="majorHAnsi" w:cstheme="majorHAnsi"/>
        </w:rPr>
        <w:t xml:space="preserve">Kindergarten </w:t>
      </w:r>
      <w:r>
        <w:rPr>
          <w:rFonts w:asciiTheme="majorHAnsi" w:hAnsiTheme="majorHAnsi" w:cstheme="majorHAnsi"/>
        </w:rPr>
        <w:t>(starting at age 6) followed by</w:t>
      </w:r>
      <w:r w:rsidRPr="00B12CBB">
        <w:rPr>
          <w:rFonts w:asciiTheme="majorHAnsi" w:hAnsiTheme="majorHAnsi" w:cstheme="majorHAnsi"/>
        </w:rPr>
        <w:t xml:space="preserve"> 12 years of basic education </w:t>
      </w:r>
      <w:r>
        <w:rPr>
          <w:rFonts w:asciiTheme="majorHAnsi" w:hAnsiTheme="majorHAnsi" w:cstheme="majorHAnsi"/>
        </w:rPr>
        <w:t xml:space="preserve">consisting of </w:t>
      </w:r>
      <w:r w:rsidRPr="00B12CBB">
        <w:rPr>
          <w:rFonts w:asciiTheme="majorHAnsi" w:hAnsiTheme="majorHAnsi" w:cstheme="majorHAnsi"/>
        </w:rPr>
        <w:t>six years of primary education</w:t>
      </w:r>
      <w:r>
        <w:rPr>
          <w:rFonts w:asciiTheme="majorHAnsi" w:hAnsiTheme="majorHAnsi" w:cstheme="majorHAnsi"/>
        </w:rPr>
        <w:t xml:space="preserve"> (Grades 1 to 6)</w:t>
      </w:r>
      <w:r w:rsidRPr="00B12CBB">
        <w:rPr>
          <w:rFonts w:asciiTheme="majorHAnsi" w:hAnsiTheme="majorHAnsi" w:cstheme="majorHAnsi"/>
        </w:rPr>
        <w:t>, four years of Junior High School</w:t>
      </w:r>
      <w:r>
        <w:rPr>
          <w:rFonts w:asciiTheme="majorHAnsi" w:hAnsiTheme="majorHAnsi" w:cstheme="majorHAnsi"/>
        </w:rPr>
        <w:t xml:space="preserve"> (Grades 7 to 10)</w:t>
      </w:r>
      <w:r w:rsidRPr="00B12CBB">
        <w:rPr>
          <w:rFonts w:asciiTheme="majorHAnsi" w:hAnsiTheme="majorHAnsi" w:cstheme="majorHAnsi"/>
        </w:rPr>
        <w:t xml:space="preserve"> and two years of Senior High School</w:t>
      </w:r>
      <w:r>
        <w:rPr>
          <w:rFonts w:asciiTheme="majorHAnsi" w:hAnsiTheme="majorHAnsi" w:cstheme="majorHAnsi"/>
        </w:rPr>
        <w:t xml:space="preserve"> (Grades 11 to 12</w:t>
      </w:r>
      <w:r w:rsidRPr="00B12CBB">
        <w:rPr>
          <w:rFonts w:asciiTheme="majorHAnsi" w:hAnsiTheme="majorHAnsi" w:cstheme="majorHAnsi"/>
        </w:rPr>
        <w:t>)</w:t>
      </w:r>
      <w:r>
        <w:rPr>
          <w:rFonts w:asciiTheme="majorHAnsi" w:hAnsiTheme="majorHAnsi" w:cstheme="majorHAnsi"/>
        </w:rPr>
        <w:t>.</w:t>
      </w:r>
      <w:r w:rsidR="00D434EB">
        <w:rPr>
          <w:rFonts w:asciiTheme="majorHAnsi" w:hAnsiTheme="majorHAnsi" w:cstheme="majorHAnsi"/>
        </w:rPr>
        <w:t xml:space="preserve"> </w:t>
      </w:r>
      <w:r>
        <w:rPr>
          <w:rFonts w:asciiTheme="majorHAnsi" w:hAnsiTheme="majorHAnsi" w:cstheme="majorHAnsi"/>
        </w:rPr>
        <w:t>The expanded curriculum was expected</w:t>
      </w:r>
      <w:r w:rsidRPr="00B12CBB">
        <w:rPr>
          <w:rFonts w:asciiTheme="majorHAnsi" w:hAnsiTheme="majorHAnsi" w:cstheme="majorHAnsi"/>
        </w:rPr>
        <w:t xml:space="preserve"> to </w:t>
      </w:r>
      <w:r w:rsidRPr="00DA2784">
        <w:rPr>
          <w:rFonts w:asciiTheme="majorHAnsi" w:hAnsiTheme="majorHAnsi" w:cstheme="majorHAnsi"/>
        </w:rPr>
        <w:t>provide sufficient time for mastery of concepts and skills, develop lifelong learners, and prepare graduates for tertiary education, middle-level skills development, employment, and entrepreneurship</w:t>
      </w:r>
      <w:r w:rsidRPr="00FF4CA3">
        <w:rPr>
          <w:rFonts w:asciiTheme="majorHAnsi" w:hAnsiTheme="majorHAnsi" w:cstheme="majorHAnsi"/>
        </w:rPr>
        <w:t>.</w:t>
      </w:r>
      <w:r w:rsidRPr="00DA2784">
        <w:rPr>
          <w:rFonts w:asciiTheme="majorHAnsi" w:hAnsiTheme="majorHAnsi" w:cstheme="majorHAnsi"/>
        </w:rPr>
        <w:t xml:space="preserve"> </w:t>
      </w:r>
    </w:p>
    <w:p w14:paraId="0524AA91" w14:textId="658F26CD" w:rsidR="008D0CAD" w:rsidRPr="00350FA1" w:rsidRDefault="008D0CAD" w:rsidP="000440D6">
      <w:pPr>
        <w:pStyle w:val="NormalWeb"/>
        <w:spacing w:line="360" w:lineRule="auto"/>
        <w:rPr>
          <w:rFonts w:asciiTheme="majorHAnsi" w:hAnsiTheme="majorHAnsi" w:cstheme="majorHAnsi"/>
        </w:rPr>
      </w:pPr>
      <w:r w:rsidRPr="00E65F12">
        <w:rPr>
          <w:rFonts w:asciiTheme="majorHAnsi" w:hAnsiTheme="majorHAnsi" w:cstheme="majorHAnsi"/>
        </w:rPr>
        <w:t>The</w:t>
      </w:r>
      <w:r>
        <w:rPr>
          <w:rFonts w:asciiTheme="majorHAnsi" w:hAnsiTheme="majorHAnsi" w:cstheme="majorHAnsi"/>
        </w:rPr>
        <w:t xml:space="preserve">se reforms were supported by </w:t>
      </w:r>
      <w:r w:rsidRPr="00E65F12">
        <w:rPr>
          <w:rFonts w:asciiTheme="majorHAnsi" w:hAnsiTheme="majorHAnsi" w:cstheme="majorHAnsi"/>
        </w:rPr>
        <w:t>Republic Act 10157 which made Kindergarten mandatory in order to promote physical, social, intellectual, emotional and skills stimulation and values formation to sufficiently prepare them for formal elementary schooling</w:t>
      </w:r>
      <w:r>
        <w:rPr>
          <w:rFonts w:asciiTheme="majorHAnsi" w:hAnsiTheme="majorHAnsi" w:cstheme="majorHAnsi"/>
        </w:rPr>
        <w:t xml:space="preserve">. Another vital legislative support was </w:t>
      </w:r>
      <w:r w:rsidRPr="00E65F12">
        <w:rPr>
          <w:rFonts w:asciiTheme="majorHAnsi" w:hAnsiTheme="majorHAnsi" w:cstheme="majorHAnsi"/>
        </w:rPr>
        <w:t xml:space="preserve">Republic Act 10533 or the Enhanced Basic Education Act of 2013, </w:t>
      </w:r>
      <w:r>
        <w:rPr>
          <w:rFonts w:asciiTheme="majorHAnsi" w:hAnsiTheme="majorHAnsi" w:cstheme="majorHAnsi"/>
        </w:rPr>
        <w:t xml:space="preserve">which </w:t>
      </w:r>
      <w:r w:rsidRPr="00E65F12">
        <w:rPr>
          <w:rFonts w:asciiTheme="majorHAnsi" w:hAnsiTheme="majorHAnsi" w:cstheme="majorHAnsi"/>
        </w:rPr>
        <w:t>established the universal kindergarten program, introduced Grades 11 and 12 to high school education in public and private schools and provide</w:t>
      </w:r>
      <w:r>
        <w:rPr>
          <w:rFonts w:asciiTheme="majorHAnsi" w:hAnsiTheme="majorHAnsi" w:cstheme="majorHAnsi"/>
        </w:rPr>
        <w:t>d</w:t>
      </w:r>
      <w:r w:rsidRPr="00E65F12">
        <w:rPr>
          <w:rFonts w:asciiTheme="majorHAnsi" w:hAnsiTheme="majorHAnsi" w:cstheme="majorHAnsi"/>
        </w:rPr>
        <w:t xml:space="preserve"> a policy for achieving better quality education. </w:t>
      </w:r>
    </w:p>
    <w:p w14:paraId="6AB02BA7" w14:textId="7178F549" w:rsidR="008D0CAD" w:rsidRPr="001C2FA7" w:rsidRDefault="008D0CAD" w:rsidP="00DD08E3">
      <w:pPr>
        <w:pStyle w:val="Heading3"/>
        <w:numPr>
          <w:ilvl w:val="1"/>
          <w:numId w:val="161"/>
        </w:numPr>
        <w:spacing w:before="100" w:beforeAutospacing="1" w:after="100" w:afterAutospacing="1" w:line="360" w:lineRule="auto"/>
      </w:pPr>
      <w:bookmarkStart w:id="29" w:name="_Toc10722974"/>
      <w:bookmarkStart w:id="30" w:name="_Toc12711976"/>
      <w:bookmarkStart w:id="31" w:name="_Toc13216255"/>
      <w:bookmarkStart w:id="32" w:name="_Toc69820432"/>
      <w:r w:rsidRPr="00350FA1">
        <w:t>Basic Education Sector Transformation (BEST) Program</w:t>
      </w:r>
      <w:bookmarkEnd w:id="29"/>
      <w:bookmarkEnd w:id="30"/>
      <w:bookmarkEnd w:id="31"/>
      <w:bookmarkEnd w:id="32"/>
    </w:p>
    <w:p w14:paraId="0387A19A" w14:textId="5C65F190" w:rsidR="008D0CAD" w:rsidRPr="00DA2784" w:rsidRDefault="008D0CAD" w:rsidP="000440D6">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rPr>
        <w:t xml:space="preserve">The </w:t>
      </w:r>
      <w:r w:rsidRPr="00CE3743">
        <w:rPr>
          <w:rFonts w:asciiTheme="majorHAnsi" w:hAnsiTheme="majorHAnsi" w:cstheme="majorHAnsi"/>
        </w:rPr>
        <w:t>Australia-Philippines: Basic Education Sector Transformation Program</w:t>
      </w:r>
      <w:r>
        <w:rPr>
          <w:rFonts w:asciiTheme="majorHAnsi" w:hAnsiTheme="majorHAnsi" w:cstheme="majorHAnsi"/>
        </w:rPr>
        <w:t xml:space="preserve"> (</w:t>
      </w:r>
      <w:r w:rsidRPr="00CE3743">
        <w:rPr>
          <w:rFonts w:asciiTheme="majorHAnsi" w:hAnsiTheme="majorHAnsi" w:cstheme="majorHAnsi"/>
        </w:rPr>
        <w:t>BEST</w:t>
      </w:r>
      <w:r>
        <w:rPr>
          <w:rFonts w:asciiTheme="majorHAnsi" w:hAnsiTheme="majorHAnsi" w:cstheme="majorHAnsi"/>
        </w:rPr>
        <w:t>) was</w:t>
      </w:r>
      <w:r w:rsidRPr="00CE3743">
        <w:rPr>
          <w:rFonts w:asciiTheme="majorHAnsi" w:hAnsiTheme="majorHAnsi" w:cstheme="majorHAnsi"/>
        </w:rPr>
        <w:t xml:space="preserve"> one of three initiatives identified in the Education Delivery Strategy 2013-2023, supporting the shared commitment between the two countries </w:t>
      </w:r>
      <w:r w:rsidRPr="00DA2784">
        <w:rPr>
          <w:rFonts w:asciiTheme="majorHAnsi" w:hAnsiTheme="majorHAnsi" w:cstheme="majorHAnsi"/>
        </w:rPr>
        <w:t xml:space="preserve">to reduce poverty through improved </w:t>
      </w:r>
      <w:r>
        <w:rPr>
          <w:rFonts w:asciiTheme="majorHAnsi" w:hAnsiTheme="majorHAnsi" w:cstheme="majorHAnsi"/>
        </w:rPr>
        <w:t xml:space="preserve">education </w:t>
      </w:r>
      <w:r w:rsidRPr="00DA2784">
        <w:rPr>
          <w:rFonts w:asciiTheme="majorHAnsi" w:hAnsiTheme="majorHAnsi" w:cstheme="majorHAnsi"/>
        </w:rPr>
        <w:t>service delivery</w:t>
      </w:r>
      <w:r>
        <w:rPr>
          <w:rFonts w:asciiTheme="majorHAnsi" w:hAnsiTheme="majorHAnsi" w:cstheme="majorHAnsi"/>
        </w:rPr>
        <w:t xml:space="preserve"> </w:t>
      </w:r>
      <w:r w:rsidRPr="00A46DD6">
        <w:rPr>
          <w:rFonts w:asciiTheme="majorHAnsi" w:hAnsiTheme="majorHAnsi" w:cstheme="majorHAnsi"/>
        </w:rPr>
        <w:t>(BEST, 2012)</w:t>
      </w:r>
      <w:r w:rsidRPr="00DA2784">
        <w:rPr>
          <w:rFonts w:asciiTheme="majorHAnsi" w:hAnsiTheme="majorHAnsi" w:cstheme="majorHAnsi"/>
        </w:rPr>
        <w:t>.</w:t>
      </w:r>
      <w:r w:rsidR="00D434EB">
        <w:rPr>
          <w:rFonts w:asciiTheme="majorHAnsi" w:hAnsiTheme="majorHAnsi" w:cstheme="majorHAnsi"/>
        </w:rPr>
        <w:t xml:space="preserve"> </w:t>
      </w:r>
    </w:p>
    <w:p w14:paraId="054F550F" w14:textId="34A2CD84" w:rsidR="008D0CAD" w:rsidRPr="001C2FA7" w:rsidRDefault="008D0CAD" w:rsidP="000440D6">
      <w:pPr>
        <w:spacing w:before="100" w:beforeAutospacing="1" w:after="100" w:afterAutospacing="1" w:line="360" w:lineRule="auto"/>
        <w:rPr>
          <w:rFonts w:asciiTheme="majorHAnsi" w:hAnsiTheme="majorHAnsi" w:cstheme="majorHAnsi"/>
        </w:rPr>
      </w:pPr>
      <w:r w:rsidRPr="00A46DD6">
        <w:rPr>
          <w:rFonts w:asciiTheme="majorHAnsi" w:hAnsiTheme="majorHAnsi" w:cstheme="majorHAnsi"/>
        </w:rPr>
        <w:t>The Basic Education Sector Transformation (BEST)</w:t>
      </w:r>
      <w:r>
        <w:rPr>
          <w:rFonts w:asciiTheme="majorHAnsi" w:hAnsiTheme="majorHAnsi" w:cstheme="majorHAnsi"/>
        </w:rPr>
        <w:t xml:space="preserve"> wa</w:t>
      </w:r>
      <w:r w:rsidRPr="00A46DD6">
        <w:rPr>
          <w:rFonts w:asciiTheme="majorHAnsi" w:hAnsiTheme="majorHAnsi" w:cstheme="majorHAnsi"/>
        </w:rPr>
        <w:t xml:space="preserve">s the </w:t>
      </w:r>
      <w:r>
        <w:rPr>
          <w:rFonts w:asciiTheme="majorHAnsi" w:hAnsiTheme="majorHAnsi" w:cstheme="majorHAnsi"/>
        </w:rPr>
        <w:t>eleventh</w:t>
      </w:r>
      <w:r w:rsidRPr="00A46DD6">
        <w:rPr>
          <w:rFonts w:asciiTheme="majorHAnsi" w:hAnsiTheme="majorHAnsi" w:cstheme="majorHAnsi"/>
        </w:rPr>
        <w:t xml:space="preserve"> partnership </w:t>
      </w:r>
      <w:r>
        <w:rPr>
          <w:rFonts w:asciiTheme="majorHAnsi" w:hAnsiTheme="majorHAnsi" w:cstheme="majorHAnsi"/>
        </w:rPr>
        <w:t xml:space="preserve">between the government of Australia and the Philippines </w:t>
      </w:r>
      <w:r w:rsidRPr="00A46DD6">
        <w:rPr>
          <w:rFonts w:asciiTheme="majorHAnsi" w:hAnsiTheme="majorHAnsi" w:cstheme="majorHAnsi"/>
        </w:rPr>
        <w:t xml:space="preserve">and </w:t>
      </w:r>
      <w:r>
        <w:rPr>
          <w:rFonts w:asciiTheme="majorHAnsi" w:hAnsiTheme="majorHAnsi" w:cstheme="majorHAnsi"/>
        </w:rPr>
        <w:t xml:space="preserve">was touted as </w:t>
      </w:r>
      <w:r w:rsidRPr="00A46DD6">
        <w:rPr>
          <w:rFonts w:asciiTheme="majorHAnsi" w:hAnsiTheme="majorHAnsi" w:cstheme="majorHAnsi"/>
        </w:rPr>
        <w:t>the largest project</w:t>
      </w:r>
      <w:r>
        <w:rPr>
          <w:rFonts w:asciiTheme="majorHAnsi" w:hAnsiTheme="majorHAnsi" w:cstheme="majorHAnsi"/>
        </w:rPr>
        <w:t xml:space="preserve"> in terms of funding and scope</w:t>
      </w:r>
      <w:r w:rsidRPr="00A46DD6">
        <w:rPr>
          <w:rFonts w:asciiTheme="majorHAnsi" w:hAnsiTheme="majorHAnsi" w:cstheme="majorHAnsi"/>
        </w:rPr>
        <w:t>.</w:t>
      </w:r>
      <w:r w:rsidR="00D434EB">
        <w:rPr>
          <w:rFonts w:asciiTheme="majorHAnsi" w:hAnsiTheme="majorHAnsi" w:cstheme="majorHAnsi"/>
        </w:rPr>
        <w:t xml:space="preserve"> </w:t>
      </w:r>
      <w:r w:rsidRPr="00A46DD6">
        <w:rPr>
          <w:rFonts w:asciiTheme="majorHAnsi" w:hAnsiTheme="majorHAnsi" w:cstheme="majorHAnsi"/>
        </w:rPr>
        <w:t xml:space="preserve">The intentions of the program were geared towards aiding the </w:t>
      </w:r>
      <w:r>
        <w:rPr>
          <w:rFonts w:asciiTheme="majorHAnsi" w:hAnsiTheme="majorHAnsi" w:cstheme="majorHAnsi"/>
        </w:rPr>
        <w:t>Philippine</w:t>
      </w:r>
      <w:r w:rsidRPr="00A46DD6">
        <w:rPr>
          <w:rFonts w:asciiTheme="majorHAnsi" w:hAnsiTheme="majorHAnsi" w:cstheme="majorHAnsi"/>
        </w:rPr>
        <w:t xml:space="preserve"> government</w:t>
      </w:r>
      <w:r>
        <w:rPr>
          <w:rFonts w:asciiTheme="majorHAnsi" w:hAnsiTheme="majorHAnsi" w:cstheme="majorHAnsi"/>
        </w:rPr>
        <w:t xml:space="preserve"> to</w:t>
      </w:r>
      <w:r w:rsidRPr="00A46DD6">
        <w:rPr>
          <w:rFonts w:asciiTheme="majorHAnsi" w:hAnsiTheme="majorHAnsi" w:cstheme="majorHAnsi"/>
        </w:rPr>
        <w:t xml:space="preserve"> improve the quality and delivery of basic education by providing technical assistance</w:t>
      </w:r>
      <w:r>
        <w:rPr>
          <w:rFonts w:asciiTheme="majorHAnsi" w:hAnsiTheme="majorHAnsi" w:cstheme="majorHAnsi"/>
        </w:rPr>
        <w:t xml:space="preserve">, infrastructure, </w:t>
      </w:r>
      <w:r w:rsidRPr="00A46DD6">
        <w:rPr>
          <w:rFonts w:asciiTheme="majorHAnsi" w:hAnsiTheme="majorHAnsi" w:cstheme="majorHAnsi"/>
        </w:rPr>
        <w:t>materials</w:t>
      </w:r>
      <w:r>
        <w:rPr>
          <w:rFonts w:asciiTheme="majorHAnsi" w:hAnsiTheme="majorHAnsi" w:cstheme="majorHAnsi"/>
        </w:rPr>
        <w:t xml:space="preserve">, small grants, scholarships related to </w:t>
      </w:r>
      <w:r w:rsidRPr="00A46DD6">
        <w:rPr>
          <w:rFonts w:asciiTheme="majorHAnsi" w:hAnsiTheme="majorHAnsi" w:cstheme="majorHAnsi"/>
        </w:rPr>
        <w:t xml:space="preserve">the implementation of the K to 12 system of education. </w:t>
      </w:r>
    </w:p>
    <w:p w14:paraId="4F7ED832" w14:textId="6AECF382" w:rsidR="008D0CAD" w:rsidRPr="00350FA1" w:rsidRDefault="00BB05F1" w:rsidP="000440D6">
      <w:pPr>
        <w:pStyle w:val="Heading4"/>
        <w:spacing w:before="100" w:beforeAutospacing="1" w:after="100" w:afterAutospacing="1" w:line="360" w:lineRule="auto"/>
        <w:ind w:left="1418" w:hanging="709"/>
      </w:pPr>
      <w:bookmarkStart w:id="33" w:name="_Toc10722975"/>
      <w:bookmarkStart w:id="34" w:name="_Toc12711977"/>
      <w:bookmarkStart w:id="35" w:name="_Toc13216256"/>
      <w:r>
        <w:t xml:space="preserve">1.2.1. </w:t>
      </w:r>
      <w:r w:rsidR="008D0CAD" w:rsidRPr="00350FA1">
        <w:t>Program Design</w:t>
      </w:r>
      <w:bookmarkEnd w:id="33"/>
      <w:bookmarkEnd w:id="34"/>
      <w:bookmarkEnd w:id="35"/>
    </w:p>
    <w:p w14:paraId="5038D566" w14:textId="78635DD7" w:rsidR="008D0CAD" w:rsidRDefault="008D0CAD" w:rsidP="000440D6">
      <w:pPr>
        <w:spacing w:before="100" w:beforeAutospacing="1" w:after="100" w:afterAutospacing="1" w:line="360" w:lineRule="auto"/>
        <w:rPr>
          <w:rFonts w:asciiTheme="majorHAnsi" w:hAnsiTheme="majorHAnsi" w:cstheme="majorHAnsi"/>
        </w:rPr>
      </w:pPr>
      <w:r w:rsidRPr="00A46DD6">
        <w:rPr>
          <w:rFonts w:asciiTheme="majorHAnsi" w:hAnsiTheme="majorHAnsi" w:cstheme="majorHAnsi"/>
        </w:rPr>
        <w:t xml:space="preserve">The BEST </w:t>
      </w:r>
      <w:r>
        <w:rPr>
          <w:rFonts w:asciiTheme="majorHAnsi" w:hAnsiTheme="majorHAnsi" w:cstheme="majorHAnsi"/>
        </w:rPr>
        <w:t>P</w:t>
      </w:r>
      <w:r w:rsidRPr="00A46DD6">
        <w:rPr>
          <w:rFonts w:asciiTheme="majorHAnsi" w:hAnsiTheme="majorHAnsi" w:cstheme="majorHAnsi"/>
        </w:rPr>
        <w:t xml:space="preserve">rogram </w:t>
      </w:r>
      <w:r>
        <w:rPr>
          <w:rFonts w:asciiTheme="majorHAnsi" w:hAnsiTheme="majorHAnsi" w:cstheme="majorHAnsi"/>
        </w:rPr>
        <w:t>was</w:t>
      </w:r>
      <w:r w:rsidRPr="00A46DD6">
        <w:rPr>
          <w:rFonts w:asciiTheme="majorHAnsi" w:hAnsiTheme="majorHAnsi" w:cstheme="majorHAnsi"/>
        </w:rPr>
        <w:t xml:space="preserve"> initially conceptuali</w:t>
      </w:r>
      <w:r>
        <w:rPr>
          <w:rFonts w:asciiTheme="majorHAnsi" w:hAnsiTheme="majorHAnsi" w:cstheme="majorHAnsi"/>
        </w:rPr>
        <w:t>s</w:t>
      </w:r>
      <w:r w:rsidRPr="00A46DD6">
        <w:rPr>
          <w:rFonts w:asciiTheme="majorHAnsi" w:hAnsiTheme="majorHAnsi" w:cstheme="majorHAnsi"/>
        </w:rPr>
        <w:t xml:space="preserve">ed to be a 12-year </w:t>
      </w:r>
      <w:r w:rsidR="00BB05F1" w:rsidRPr="00A46DD6">
        <w:rPr>
          <w:rFonts w:asciiTheme="majorHAnsi" w:hAnsiTheme="majorHAnsi" w:cstheme="majorHAnsi"/>
        </w:rPr>
        <w:t>program,</w:t>
      </w:r>
      <w:r>
        <w:rPr>
          <w:rFonts w:asciiTheme="majorHAnsi" w:hAnsiTheme="majorHAnsi" w:cstheme="majorHAnsi"/>
        </w:rPr>
        <w:t xml:space="preserve"> but a decision was taken in 2017</w:t>
      </w:r>
      <w:r w:rsidRPr="00A46DD6">
        <w:rPr>
          <w:rFonts w:asciiTheme="majorHAnsi" w:hAnsiTheme="majorHAnsi" w:cstheme="majorHAnsi"/>
        </w:rPr>
        <w:t xml:space="preserve"> to </w:t>
      </w:r>
      <w:r>
        <w:rPr>
          <w:rFonts w:asciiTheme="majorHAnsi" w:hAnsiTheme="majorHAnsi" w:cstheme="majorHAnsi"/>
        </w:rPr>
        <w:t xml:space="preserve">reduce the implementation period to five </w:t>
      </w:r>
      <w:r w:rsidRPr="00A46DD6">
        <w:rPr>
          <w:rFonts w:asciiTheme="majorHAnsi" w:hAnsiTheme="majorHAnsi" w:cstheme="majorHAnsi"/>
        </w:rPr>
        <w:t>year</w:t>
      </w:r>
      <w:r>
        <w:rPr>
          <w:rFonts w:asciiTheme="majorHAnsi" w:hAnsiTheme="majorHAnsi" w:cstheme="majorHAnsi"/>
        </w:rPr>
        <w:t>s</w:t>
      </w:r>
      <w:r w:rsidRPr="00A46DD6">
        <w:rPr>
          <w:rFonts w:asciiTheme="majorHAnsi" w:hAnsiTheme="majorHAnsi" w:cstheme="majorHAnsi"/>
        </w:rPr>
        <w:t xml:space="preserve"> </w:t>
      </w:r>
      <w:r>
        <w:rPr>
          <w:rFonts w:asciiTheme="majorHAnsi" w:hAnsiTheme="majorHAnsi" w:cstheme="majorHAnsi"/>
        </w:rPr>
        <w:t>(</w:t>
      </w:r>
      <w:r w:rsidRPr="00A46DD6">
        <w:rPr>
          <w:rFonts w:asciiTheme="majorHAnsi" w:hAnsiTheme="majorHAnsi" w:cstheme="majorHAnsi"/>
        </w:rPr>
        <w:t>201</w:t>
      </w:r>
      <w:r>
        <w:rPr>
          <w:rFonts w:asciiTheme="majorHAnsi" w:hAnsiTheme="majorHAnsi" w:cstheme="majorHAnsi"/>
        </w:rPr>
        <w:t xml:space="preserve">4 – </w:t>
      </w:r>
      <w:r w:rsidRPr="00A46DD6">
        <w:rPr>
          <w:rFonts w:asciiTheme="majorHAnsi" w:hAnsiTheme="majorHAnsi" w:cstheme="majorHAnsi"/>
        </w:rPr>
        <w:t>2019</w:t>
      </w:r>
      <w:r>
        <w:rPr>
          <w:rFonts w:asciiTheme="majorHAnsi" w:hAnsiTheme="majorHAnsi" w:cstheme="majorHAnsi"/>
        </w:rPr>
        <w:t xml:space="preserve">). </w:t>
      </w:r>
    </w:p>
    <w:p w14:paraId="2F5F7EBA" w14:textId="77777777" w:rsidR="008D0CAD" w:rsidRPr="006B0F07" w:rsidRDefault="008D0CAD" w:rsidP="000440D6">
      <w:pPr>
        <w:spacing w:before="100" w:beforeAutospacing="1" w:after="100" w:afterAutospacing="1" w:line="360" w:lineRule="auto"/>
        <w:rPr>
          <w:rFonts w:asciiTheme="majorHAnsi" w:hAnsiTheme="majorHAnsi" w:cstheme="majorHAnsi"/>
          <w:color w:val="000000" w:themeColor="text1"/>
        </w:rPr>
      </w:pPr>
      <w:r w:rsidRPr="00DA2784">
        <w:rPr>
          <w:rFonts w:asciiTheme="majorHAnsi" w:hAnsiTheme="majorHAnsi" w:cstheme="majorHAnsi"/>
          <w:color w:val="000000" w:themeColor="text1"/>
        </w:rPr>
        <w:t xml:space="preserve">As a Technical Assistance Program, the BEST Program </w:t>
      </w:r>
      <w:r>
        <w:rPr>
          <w:rFonts w:asciiTheme="majorHAnsi" w:hAnsiTheme="majorHAnsi" w:cstheme="majorHAnsi"/>
          <w:color w:val="000000" w:themeColor="text1"/>
        </w:rPr>
        <w:t>was</w:t>
      </w:r>
      <w:r w:rsidRPr="00DA2784">
        <w:rPr>
          <w:rFonts w:asciiTheme="majorHAnsi" w:hAnsiTheme="majorHAnsi" w:cstheme="majorHAnsi"/>
          <w:color w:val="000000" w:themeColor="text1"/>
        </w:rPr>
        <w:t xml:space="preserve"> designed to directly </w:t>
      </w:r>
      <w:r>
        <w:rPr>
          <w:rFonts w:asciiTheme="majorHAnsi" w:hAnsiTheme="majorHAnsi" w:cstheme="majorHAnsi"/>
          <w:color w:val="000000" w:themeColor="text1"/>
        </w:rPr>
        <w:t>strengthen</w:t>
      </w:r>
      <w:r w:rsidRPr="00DA2784">
        <w:rPr>
          <w:rFonts w:asciiTheme="majorHAnsi" w:hAnsiTheme="majorHAnsi" w:cstheme="majorHAnsi"/>
          <w:color w:val="000000" w:themeColor="text1"/>
        </w:rPr>
        <w:t xml:space="preserve"> </w:t>
      </w:r>
      <w:r>
        <w:rPr>
          <w:rFonts w:asciiTheme="majorHAnsi" w:hAnsiTheme="majorHAnsi" w:cstheme="majorHAnsi"/>
          <w:color w:val="000000" w:themeColor="text1"/>
        </w:rPr>
        <w:t>DepEd’s</w:t>
      </w:r>
      <w:r w:rsidRPr="00DA2784">
        <w:rPr>
          <w:rFonts w:asciiTheme="majorHAnsi" w:hAnsiTheme="majorHAnsi" w:cstheme="majorHAnsi"/>
          <w:color w:val="000000" w:themeColor="text1"/>
        </w:rPr>
        <w:t xml:space="preserve"> capacity for organi</w:t>
      </w:r>
      <w:r>
        <w:rPr>
          <w:rFonts w:asciiTheme="majorHAnsi" w:hAnsiTheme="majorHAnsi" w:cstheme="majorHAnsi"/>
          <w:color w:val="000000" w:themeColor="text1"/>
        </w:rPr>
        <w:t>s</w:t>
      </w:r>
      <w:r w:rsidRPr="00DA2784">
        <w:rPr>
          <w:rFonts w:asciiTheme="majorHAnsi" w:hAnsiTheme="majorHAnsi" w:cstheme="majorHAnsi"/>
          <w:color w:val="000000" w:themeColor="text1"/>
        </w:rPr>
        <w:t xml:space="preserve">ational learning, change management, and research and innovation to inform policy development and implementation. </w:t>
      </w:r>
      <w:r>
        <w:rPr>
          <w:rFonts w:asciiTheme="majorHAnsi" w:hAnsiTheme="majorHAnsi" w:cstheme="majorHAnsi"/>
          <w:color w:val="000000" w:themeColor="text1"/>
        </w:rPr>
        <w:t>At the same time,</w:t>
      </w:r>
      <w:r w:rsidRPr="00DA2784">
        <w:rPr>
          <w:rFonts w:asciiTheme="majorHAnsi" w:hAnsiTheme="majorHAnsi" w:cstheme="majorHAnsi"/>
          <w:color w:val="000000" w:themeColor="text1"/>
        </w:rPr>
        <w:t xml:space="preserve"> </w:t>
      </w:r>
      <w:r>
        <w:rPr>
          <w:rFonts w:asciiTheme="majorHAnsi" w:hAnsiTheme="majorHAnsi" w:cstheme="majorHAnsi"/>
          <w:color w:val="000000" w:themeColor="text1"/>
        </w:rPr>
        <w:t>it</w:t>
      </w:r>
      <w:r w:rsidRPr="00DA2784">
        <w:rPr>
          <w:rFonts w:asciiTheme="majorHAnsi" w:hAnsiTheme="majorHAnsi" w:cstheme="majorHAnsi"/>
          <w:color w:val="000000" w:themeColor="text1"/>
        </w:rPr>
        <w:t xml:space="preserve"> </w:t>
      </w:r>
      <w:r>
        <w:rPr>
          <w:rFonts w:asciiTheme="majorHAnsi" w:hAnsiTheme="majorHAnsi" w:cstheme="majorHAnsi"/>
          <w:color w:val="000000" w:themeColor="text1"/>
        </w:rPr>
        <w:t>was</w:t>
      </w:r>
      <w:r w:rsidRPr="00DA2784">
        <w:rPr>
          <w:rFonts w:asciiTheme="majorHAnsi" w:hAnsiTheme="majorHAnsi" w:cstheme="majorHAnsi"/>
          <w:color w:val="000000" w:themeColor="text1"/>
        </w:rPr>
        <w:t xml:space="preserve"> designed to</w:t>
      </w:r>
      <w:r>
        <w:rPr>
          <w:rFonts w:asciiTheme="majorHAnsi" w:hAnsiTheme="majorHAnsi" w:cstheme="majorHAnsi"/>
          <w:color w:val="000000" w:themeColor="text1"/>
        </w:rPr>
        <w:t xml:space="preserve"> optimise </w:t>
      </w:r>
      <w:r w:rsidRPr="006B0F07">
        <w:rPr>
          <w:rFonts w:asciiTheme="majorHAnsi" w:hAnsiTheme="majorHAnsi" w:cstheme="majorHAnsi"/>
          <w:color w:val="000000" w:themeColor="text1"/>
        </w:rPr>
        <w:t xml:space="preserve">the interaction of various inputs including provision of </w:t>
      </w:r>
      <w:r>
        <w:rPr>
          <w:rFonts w:asciiTheme="majorHAnsi" w:hAnsiTheme="majorHAnsi" w:cstheme="majorHAnsi"/>
          <w:color w:val="000000" w:themeColor="text1"/>
        </w:rPr>
        <w:t xml:space="preserve">the </w:t>
      </w:r>
      <w:r w:rsidRPr="006B0F07">
        <w:rPr>
          <w:rFonts w:asciiTheme="majorHAnsi" w:hAnsiTheme="majorHAnsi" w:cstheme="majorHAnsi"/>
          <w:color w:val="000000" w:themeColor="text1"/>
        </w:rPr>
        <w:t>U</w:t>
      </w:r>
      <w:r>
        <w:rPr>
          <w:rFonts w:asciiTheme="majorHAnsi" w:hAnsiTheme="majorHAnsi" w:cstheme="majorHAnsi"/>
          <w:color w:val="000000" w:themeColor="text1"/>
        </w:rPr>
        <w:t xml:space="preserve">nified </w:t>
      </w:r>
      <w:r w:rsidRPr="006B0F07">
        <w:rPr>
          <w:rFonts w:asciiTheme="majorHAnsi" w:hAnsiTheme="majorHAnsi" w:cstheme="majorHAnsi"/>
          <w:color w:val="000000" w:themeColor="text1"/>
        </w:rPr>
        <w:t>I</w:t>
      </w:r>
      <w:r>
        <w:rPr>
          <w:rFonts w:asciiTheme="majorHAnsi" w:hAnsiTheme="majorHAnsi" w:cstheme="majorHAnsi"/>
          <w:color w:val="000000" w:themeColor="text1"/>
        </w:rPr>
        <w:t xml:space="preserve">nformation </w:t>
      </w:r>
      <w:r w:rsidRPr="006B0F07">
        <w:rPr>
          <w:rFonts w:asciiTheme="majorHAnsi" w:hAnsiTheme="majorHAnsi" w:cstheme="majorHAnsi"/>
          <w:color w:val="000000" w:themeColor="text1"/>
        </w:rPr>
        <w:t>S</w:t>
      </w:r>
      <w:r>
        <w:rPr>
          <w:rFonts w:asciiTheme="majorHAnsi" w:hAnsiTheme="majorHAnsi" w:cstheme="majorHAnsi"/>
          <w:color w:val="000000" w:themeColor="text1"/>
        </w:rPr>
        <w:t>ystem</w:t>
      </w:r>
      <w:r w:rsidRPr="006B0F07">
        <w:rPr>
          <w:rFonts w:asciiTheme="majorHAnsi" w:hAnsiTheme="majorHAnsi" w:cstheme="majorHAnsi"/>
          <w:color w:val="000000" w:themeColor="text1"/>
        </w:rPr>
        <w:t xml:space="preserve"> as management tool</w:t>
      </w:r>
      <w:r>
        <w:rPr>
          <w:rFonts w:asciiTheme="majorHAnsi" w:hAnsiTheme="majorHAnsi" w:cstheme="majorHAnsi"/>
          <w:color w:val="000000" w:themeColor="text1"/>
        </w:rPr>
        <w:t xml:space="preserve"> to aid planning, monitoring and evaluation, and other program interventions.</w:t>
      </w:r>
    </w:p>
    <w:p w14:paraId="7D8D62C9" w14:textId="77777777" w:rsidR="008D0CAD" w:rsidRPr="006B0F07" w:rsidRDefault="008D0CAD" w:rsidP="000440D6">
      <w:pPr>
        <w:spacing w:before="100" w:beforeAutospacing="1" w:after="100" w:afterAutospacing="1" w:line="360" w:lineRule="auto"/>
        <w:rPr>
          <w:rFonts w:asciiTheme="majorHAnsi" w:hAnsiTheme="majorHAnsi" w:cstheme="majorHAnsi"/>
        </w:rPr>
      </w:pPr>
      <w:r w:rsidRPr="006B0F07">
        <w:rPr>
          <w:rFonts w:asciiTheme="majorHAnsi" w:hAnsiTheme="majorHAnsi" w:cstheme="majorHAnsi"/>
          <w:lang w:val="en-AU"/>
        </w:rPr>
        <w:t xml:space="preserve">BEST was a multi-modality program implemented by seven partner organisations, namely: </w:t>
      </w:r>
    </w:p>
    <w:p w14:paraId="3413A238" w14:textId="77777777" w:rsidR="008D0CAD" w:rsidRPr="006B0F07" w:rsidRDefault="008D0CAD" w:rsidP="000440D6">
      <w:pPr>
        <w:pStyle w:val="ListBullet"/>
        <w:numPr>
          <w:ilvl w:val="0"/>
          <w:numId w:val="36"/>
        </w:numPr>
        <w:spacing w:before="100" w:beforeAutospacing="1" w:after="100" w:afterAutospacing="1" w:line="360" w:lineRule="auto"/>
        <w:rPr>
          <w:rFonts w:asciiTheme="majorHAnsi" w:hAnsiTheme="majorHAnsi" w:cstheme="majorHAnsi"/>
          <w:sz w:val="24"/>
          <w:szCs w:val="24"/>
          <w:lang w:val="en-AU"/>
        </w:rPr>
      </w:pPr>
      <w:r>
        <w:rPr>
          <w:rFonts w:asciiTheme="majorHAnsi" w:hAnsiTheme="majorHAnsi" w:cstheme="majorHAnsi"/>
          <w:sz w:val="24"/>
          <w:szCs w:val="24"/>
          <w:lang w:val="en-AU"/>
        </w:rPr>
        <w:t>DepEd,</w:t>
      </w:r>
      <w:r w:rsidRPr="006B0F07">
        <w:rPr>
          <w:rFonts w:asciiTheme="majorHAnsi" w:hAnsiTheme="majorHAnsi" w:cstheme="majorHAnsi"/>
          <w:sz w:val="24"/>
          <w:szCs w:val="24"/>
          <w:lang w:val="en-AU"/>
        </w:rPr>
        <w:t xml:space="preserve"> as the main beneficiary and strategic lead agency; </w:t>
      </w:r>
    </w:p>
    <w:p w14:paraId="70431914" w14:textId="77777777" w:rsidR="008D0CAD" w:rsidRPr="006B0F07" w:rsidRDefault="008D0CAD" w:rsidP="000440D6">
      <w:pPr>
        <w:pStyle w:val="ListBullet"/>
        <w:numPr>
          <w:ilvl w:val="0"/>
          <w:numId w:val="36"/>
        </w:numPr>
        <w:spacing w:before="100" w:beforeAutospacing="1" w:after="100" w:afterAutospacing="1" w:line="360" w:lineRule="auto"/>
        <w:rPr>
          <w:rFonts w:asciiTheme="majorHAnsi" w:hAnsiTheme="majorHAnsi" w:cstheme="majorHAnsi"/>
          <w:sz w:val="24"/>
          <w:szCs w:val="24"/>
          <w:lang w:val="en-AU"/>
        </w:rPr>
      </w:pPr>
      <w:r w:rsidRPr="006B0F07">
        <w:rPr>
          <w:rFonts w:asciiTheme="majorHAnsi" w:hAnsiTheme="majorHAnsi" w:cstheme="majorHAnsi"/>
          <w:sz w:val="24"/>
          <w:szCs w:val="24"/>
          <w:lang w:val="en-AU"/>
        </w:rPr>
        <w:t xml:space="preserve">Philippine Business for Education (PBEd) for pre-service teacher scholarships; </w:t>
      </w:r>
    </w:p>
    <w:p w14:paraId="59261331" w14:textId="77777777" w:rsidR="008D0CAD" w:rsidRPr="006B0F07" w:rsidRDefault="008D0CAD" w:rsidP="000440D6">
      <w:pPr>
        <w:pStyle w:val="ListBullet"/>
        <w:numPr>
          <w:ilvl w:val="0"/>
          <w:numId w:val="36"/>
        </w:numPr>
        <w:spacing w:before="100" w:beforeAutospacing="1" w:after="100" w:afterAutospacing="1" w:line="360" w:lineRule="auto"/>
        <w:rPr>
          <w:rFonts w:asciiTheme="majorHAnsi" w:hAnsiTheme="majorHAnsi" w:cstheme="majorHAnsi"/>
          <w:sz w:val="24"/>
          <w:szCs w:val="24"/>
          <w:lang w:val="en-AU"/>
        </w:rPr>
      </w:pPr>
      <w:r w:rsidRPr="006B0F07">
        <w:rPr>
          <w:rFonts w:asciiTheme="majorHAnsi" w:hAnsiTheme="majorHAnsi" w:cstheme="majorHAnsi"/>
          <w:sz w:val="24"/>
          <w:szCs w:val="24"/>
          <w:lang w:val="en-AU"/>
        </w:rPr>
        <w:t xml:space="preserve">Philippine Business for Social Progress (PBSP) for construction of educational facilities; </w:t>
      </w:r>
    </w:p>
    <w:p w14:paraId="24BB339E" w14:textId="77777777" w:rsidR="008D0CAD" w:rsidRPr="006B0F07" w:rsidRDefault="008D0CAD" w:rsidP="000440D6">
      <w:pPr>
        <w:pStyle w:val="ListBullet"/>
        <w:numPr>
          <w:ilvl w:val="0"/>
          <w:numId w:val="36"/>
        </w:numPr>
        <w:spacing w:before="100" w:beforeAutospacing="1" w:after="100" w:afterAutospacing="1" w:line="360" w:lineRule="auto"/>
        <w:rPr>
          <w:rFonts w:asciiTheme="majorHAnsi" w:hAnsiTheme="majorHAnsi" w:cstheme="majorHAnsi"/>
          <w:sz w:val="24"/>
          <w:szCs w:val="24"/>
          <w:lang w:val="en-AU"/>
        </w:rPr>
      </w:pPr>
      <w:r w:rsidRPr="006B0F07">
        <w:rPr>
          <w:rFonts w:asciiTheme="majorHAnsi" w:hAnsiTheme="majorHAnsi" w:cstheme="majorHAnsi"/>
          <w:sz w:val="24"/>
          <w:szCs w:val="24"/>
          <w:lang w:val="en-AU"/>
        </w:rPr>
        <w:t xml:space="preserve">Research Centre for Teacher Quality, a research partnership between the Philippine Normal University and the University of New England, for evidence-based advice on teacher quality; </w:t>
      </w:r>
    </w:p>
    <w:p w14:paraId="3CB7EEB1" w14:textId="77777777" w:rsidR="008D0CAD" w:rsidRPr="006B0F07" w:rsidRDefault="008D0CAD" w:rsidP="000440D6">
      <w:pPr>
        <w:pStyle w:val="ListBullet"/>
        <w:numPr>
          <w:ilvl w:val="0"/>
          <w:numId w:val="36"/>
        </w:numPr>
        <w:spacing w:before="100" w:beforeAutospacing="1" w:after="100" w:afterAutospacing="1" w:line="360" w:lineRule="auto"/>
        <w:rPr>
          <w:rFonts w:asciiTheme="majorHAnsi" w:hAnsiTheme="majorHAnsi" w:cstheme="majorHAnsi"/>
          <w:sz w:val="24"/>
          <w:szCs w:val="24"/>
          <w:lang w:val="en-AU"/>
        </w:rPr>
      </w:pPr>
      <w:r w:rsidRPr="006B0F07">
        <w:rPr>
          <w:rFonts w:asciiTheme="majorHAnsi" w:hAnsiTheme="majorHAnsi" w:cstheme="majorHAnsi"/>
          <w:sz w:val="24"/>
          <w:szCs w:val="24"/>
          <w:lang w:val="en-AU"/>
        </w:rPr>
        <w:t xml:space="preserve">Assessment, Curriculum, Technology Research Centre (ACTRC), a research partnership between the University of the Philippines and University of Melbourne, for evidence-based advice on curriculum and assessment; </w:t>
      </w:r>
    </w:p>
    <w:p w14:paraId="774CE246" w14:textId="77777777" w:rsidR="008D0CAD" w:rsidRPr="006B0F07" w:rsidRDefault="008D0CAD" w:rsidP="000440D6">
      <w:pPr>
        <w:pStyle w:val="ListBullet"/>
        <w:numPr>
          <w:ilvl w:val="0"/>
          <w:numId w:val="36"/>
        </w:numPr>
        <w:spacing w:before="100" w:beforeAutospacing="1" w:after="100" w:afterAutospacing="1" w:line="360" w:lineRule="auto"/>
        <w:rPr>
          <w:rFonts w:asciiTheme="majorHAnsi" w:hAnsiTheme="majorHAnsi" w:cstheme="majorHAnsi"/>
          <w:sz w:val="24"/>
          <w:szCs w:val="24"/>
          <w:lang w:val="en-AU"/>
        </w:rPr>
      </w:pPr>
      <w:r w:rsidRPr="006B0F07">
        <w:rPr>
          <w:rFonts w:asciiTheme="majorHAnsi" w:hAnsiTheme="majorHAnsi" w:cstheme="majorHAnsi"/>
          <w:sz w:val="24"/>
          <w:szCs w:val="24"/>
          <w:lang w:val="en-AU"/>
        </w:rPr>
        <w:t xml:space="preserve">Commission on Higher Education for pre-service teacher development; and </w:t>
      </w:r>
    </w:p>
    <w:p w14:paraId="5B919FCC" w14:textId="77777777" w:rsidR="008D0CAD" w:rsidRDefault="008D0CAD" w:rsidP="000440D6">
      <w:pPr>
        <w:pStyle w:val="ListBullet"/>
        <w:numPr>
          <w:ilvl w:val="0"/>
          <w:numId w:val="36"/>
        </w:numPr>
        <w:spacing w:before="100" w:beforeAutospacing="1" w:after="100" w:afterAutospacing="1" w:line="360" w:lineRule="auto"/>
        <w:rPr>
          <w:rFonts w:asciiTheme="majorHAnsi" w:hAnsiTheme="majorHAnsi" w:cstheme="majorHAnsi"/>
          <w:sz w:val="24"/>
          <w:szCs w:val="24"/>
          <w:lang w:val="en-AU"/>
        </w:rPr>
      </w:pPr>
      <w:r w:rsidRPr="006B0F07">
        <w:rPr>
          <w:rFonts w:asciiTheme="majorHAnsi" w:hAnsiTheme="majorHAnsi" w:cstheme="majorHAnsi"/>
          <w:sz w:val="24"/>
          <w:szCs w:val="24"/>
          <w:lang w:val="en-AU"/>
        </w:rPr>
        <w:t>Cardno Emerging Markets (Australia) Pty Ltd (Cardno) as the facilitating contractor for the delivery of core program activities and overall program</w:t>
      </w:r>
      <w:r>
        <w:rPr>
          <w:rFonts w:asciiTheme="majorHAnsi" w:hAnsiTheme="majorHAnsi" w:cstheme="majorHAnsi"/>
          <w:sz w:val="24"/>
          <w:szCs w:val="24"/>
          <w:lang w:val="en-AU"/>
        </w:rPr>
        <w:t xml:space="preserve"> management and monitoring.</w:t>
      </w:r>
    </w:p>
    <w:p w14:paraId="7CAC456C" w14:textId="03F7DF28" w:rsidR="008D0CAD" w:rsidRPr="001C2FA7" w:rsidRDefault="008D0CAD" w:rsidP="000440D6">
      <w:pPr>
        <w:spacing w:before="100" w:beforeAutospacing="1" w:after="100" w:afterAutospacing="1" w:line="360" w:lineRule="auto"/>
        <w:rPr>
          <w:rFonts w:asciiTheme="majorHAnsi" w:hAnsiTheme="majorHAnsi" w:cstheme="majorHAnsi"/>
        </w:rPr>
      </w:pPr>
      <w:r w:rsidRPr="00BF4ED8">
        <w:rPr>
          <w:rFonts w:asciiTheme="majorHAnsi" w:hAnsiTheme="majorHAnsi" w:cstheme="majorHAnsi"/>
        </w:rPr>
        <w:t xml:space="preserve">In </w:t>
      </w:r>
      <w:r>
        <w:rPr>
          <w:rFonts w:asciiTheme="majorHAnsi" w:hAnsiTheme="majorHAnsi" w:cstheme="majorHAnsi"/>
        </w:rPr>
        <w:t>previous</w:t>
      </w:r>
      <w:r w:rsidRPr="00BF4ED8">
        <w:rPr>
          <w:rFonts w:asciiTheme="majorHAnsi" w:hAnsiTheme="majorHAnsi" w:cstheme="majorHAnsi"/>
        </w:rPr>
        <w:t xml:space="preserve"> large-scale foreign-assisted projects (FAPs), the traditional approach has been to introduce reforms as pilot projects, documenting changes and lessons learned before rolling out these reforms to other parts of the system through Department Orders or </w:t>
      </w:r>
      <w:r>
        <w:rPr>
          <w:rFonts w:asciiTheme="majorHAnsi" w:hAnsiTheme="majorHAnsi" w:cstheme="majorHAnsi"/>
        </w:rPr>
        <w:t>DepEd</w:t>
      </w:r>
      <w:r w:rsidRPr="00BF4ED8">
        <w:rPr>
          <w:rFonts w:asciiTheme="majorHAnsi" w:hAnsiTheme="majorHAnsi" w:cstheme="majorHAnsi"/>
        </w:rPr>
        <w:t xml:space="preserve"> Memos.</w:t>
      </w:r>
      <w:r w:rsidR="00D434EB">
        <w:rPr>
          <w:rFonts w:asciiTheme="majorHAnsi" w:hAnsiTheme="majorHAnsi" w:cstheme="majorHAnsi"/>
        </w:rPr>
        <w:t xml:space="preserve"> </w:t>
      </w:r>
      <w:r w:rsidRPr="00BF4ED8">
        <w:rPr>
          <w:rFonts w:asciiTheme="majorHAnsi" w:hAnsiTheme="majorHAnsi" w:cstheme="majorHAnsi"/>
        </w:rPr>
        <w:t>The formali</w:t>
      </w:r>
      <w:r>
        <w:rPr>
          <w:rFonts w:asciiTheme="majorHAnsi" w:hAnsiTheme="majorHAnsi" w:cstheme="majorHAnsi"/>
        </w:rPr>
        <w:t>s</w:t>
      </w:r>
      <w:r w:rsidRPr="00BF4ED8">
        <w:rPr>
          <w:rFonts w:asciiTheme="majorHAnsi" w:hAnsiTheme="majorHAnsi" w:cstheme="majorHAnsi"/>
        </w:rPr>
        <w:t>ation of these reforms through such instruments was the manner by which changes were institutionali</w:t>
      </w:r>
      <w:r>
        <w:rPr>
          <w:rFonts w:asciiTheme="majorHAnsi" w:hAnsiTheme="majorHAnsi" w:cstheme="majorHAnsi"/>
        </w:rPr>
        <w:t>s</w:t>
      </w:r>
      <w:r w:rsidRPr="00BF4ED8">
        <w:rPr>
          <w:rFonts w:asciiTheme="majorHAnsi" w:hAnsiTheme="majorHAnsi" w:cstheme="majorHAnsi"/>
        </w:rPr>
        <w:t>ed throughout the system.</w:t>
      </w:r>
      <w:r w:rsidR="00D434EB">
        <w:rPr>
          <w:rFonts w:asciiTheme="majorHAnsi" w:hAnsiTheme="majorHAnsi" w:cstheme="majorHAnsi"/>
        </w:rPr>
        <w:t xml:space="preserve"> </w:t>
      </w:r>
      <w:r w:rsidRPr="00BF4ED8">
        <w:rPr>
          <w:rFonts w:asciiTheme="majorHAnsi" w:hAnsiTheme="majorHAnsi" w:cstheme="majorHAnsi"/>
        </w:rPr>
        <w:t>This was the modus operandi under previous FAPs such as TEEP (Third Elementary Education Project, World Bank) and SEDIP (Secondary Education Development Program, Asian Development Bank).</w:t>
      </w:r>
      <w:r w:rsidR="00D434EB">
        <w:rPr>
          <w:rFonts w:asciiTheme="majorHAnsi" w:hAnsiTheme="majorHAnsi" w:cstheme="majorHAnsi"/>
        </w:rPr>
        <w:t xml:space="preserve"> </w:t>
      </w:r>
      <w:r w:rsidRPr="00BF4ED8">
        <w:rPr>
          <w:rFonts w:asciiTheme="majorHAnsi" w:hAnsiTheme="majorHAnsi" w:cstheme="majorHAnsi"/>
        </w:rPr>
        <w:t>The sequence followed by such FAPs was as follows:</w:t>
      </w:r>
      <w:r>
        <w:rPr>
          <w:rFonts w:asciiTheme="majorHAnsi" w:hAnsiTheme="majorHAnsi" w:cstheme="majorHAnsi"/>
        </w:rPr>
        <w:t xml:space="preserve"> </w:t>
      </w:r>
      <w:r w:rsidRPr="001C2FA7">
        <w:rPr>
          <w:rFonts w:asciiTheme="majorHAnsi" w:hAnsiTheme="majorHAnsi" w:cstheme="majorHAnsi"/>
        </w:rPr>
        <w:t>FAP as a pilot (design, testing, documenting in target schools/districts/divisions/regions)</w:t>
      </w:r>
      <w:r>
        <w:rPr>
          <w:rFonts w:asciiTheme="majorHAnsi" w:hAnsiTheme="majorHAnsi" w:cstheme="majorHAnsi"/>
        </w:rPr>
        <w:t xml:space="preserve">; </w:t>
      </w:r>
      <w:r w:rsidRPr="001C2FA7">
        <w:rPr>
          <w:rFonts w:asciiTheme="majorHAnsi" w:hAnsiTheme="majorHAnsi" w:cstheme="majorHAnsi"/>
        </w:rPr>
        <w:t>Expansion to other schools within the targeted division, region</w:t>
      </w:r>
      <w:r>
        <w:rPr>
          <w:rFonts w:asciiTheme="majorHAnsi" w:hAnsiTheme="majorHAnsi" w:cstheme="majorHAnsi"/>
        </w:rPr>
        <w:t xml:space="preserve">; </w:t>
      </w:r>
      <w:r w:rsidRPr="001C2FA7">
        <w:rPr>
          <w:rFonts w:asciiTheme="majorHAnsi" w:hAnsiTheme="majorHAnsi" w:cstheme="majorHAnsi"/>
        </w:rPr>
        <w:t>Preparation of a policy instrument (</w:t>
      </w:r>
      <w:r>
        <w:rPr>
          <w:rFonts w:asciiTheme="majorHAnsi" w:hAnsiTheme="majorHAnsi" w:cstheme="majorHAnsi"/>
        </w:rPr>
        <w:t>DepEd</w:t>
      </w:r>
      <w:r w:rsidRPr="001C2FA7">
        <w:rPr>
          <w:rFonts w:asciiTheme="majorHAnsi" w:hAnsiTheme="majorHAnsi" w:cstheme="majorHAnsi"/>
        </w:rPr>
        <w:t xml:space="preserve"> Memo or Order)</w:t>
      </w:r>
      <w:r>
        <w:rPr>
          <w:rFonts w:asciiTheme="majorHAnsi" w:hAnsiTheme="majorHAnsi" w:cstheme="majorHAnsi"/>
        </w:rPr>
        <w:t xml:space="preserve">; </w:t>
      </w:r>
      <w:r w:rsidRPr="001C2FA7">
        <w:rPr>
          <w:rFonts w:asciiTheme="majorHAnsi" w:hAnsiTheme="majorHAnsi" w:cstheme="majorHAnsi"/>
        </w:rPr>
        <w:t xml:space="preserve">Roll-out across the </w:t>
      </w:r>
      <w:r>
        <w:rPr>
          <w:rFonts w:asciiTheme="majorHAnsi" w:hAnsiTheme="majorHAnsi" w:cstheme="majorHAnsi"/>
        </w:rPr>
        <w:t>DepEd</w:t>
      </w:r>
      <w:r w:rsidRPr="001C2FA7">
        <w:rPr>
          <w:rFonts w:asciiTheme="majorHAnsi" w:hAnsiTheme="majorHAnsi" w:cstheme="majorHAnsi"/>
        </w:rPr>
        <w:t xml:space="preserve"> system to all regions</w:t>
      </w:r>
      <w:r>
        <w:rPr>
          <w:rFonts w:asciiTheme="majorHAnsi" w:hAnsiTheme="majorHAnsi" w:cstheme="majorHAnsi"/>
        </w:rPr>
        <w:t xml:space="preserve">; and </w:t>
      </w:r>
      <w:r w:rsidRPr="001C2FA7">
        <w:rPr>
          <w:rFonts w:asciiTheme="majorHAnsi" w:hAnsiTheme="majorHAnsi" w:cstheme="majorHAnsi"/>
        </w:rPr>
        <w:t>Training and Development (other non-FAP regions)</w:t>
      </w:r>
      <w:r>
        <w:rPr>
          <w:rFonts w:asciiTheme="majorHAnsi" w:hAnsiTheme="majorHAnsi" w:cstheme="majorHAnsi"/>
        </w:rPr>
        <w:t>.</w:t>
      </w:r>
    </w:p>
    <w:p w14:paraId="77F04B26" w14:textId="283919D9" w:rsidR="008D0CAD" w:rsidRDefault="008D0CAD" w:rsidP="000440D6">
      <w:pPr>
        <w:spacing w:before="100" w:beforeAutospacing="1" w:after="100" w:afterAutospacing="1" w:line="360" w:lineRule="auto"/>
        <w:rPr>
          <w:rFonts w:asciiTheme="majorHAnsi" w:hAnsiTheme="majorHAnsi" w:cstheme="majorHAnsi"/>
        </w:rPr>
      </w:pPr>
      <w:r w:rsidRPr="00BF4ED8">
        <w:rPr>
          <w:rFonts w:asciiTheme="majorHAnsi" w:hAnsiTheme="majorHAnsi" w:cstheme="majorHAnsi"/>
        </w:rPr>
        <w:t xml:space="preserve">The </w:t>
      </w:r>
      <w:r>
        <w:rPr>
          <w:rFonts w:asciiTheme="majorHAnsi" w:hAnsiTheme="majorHAnsi" w:cstheme="majorHAnsi"/>
        </w:rPr>
        <w:t>DepEd</w:t>
      </w:r>
      <w:r w:rsidRPr="00BF4ED8">
        <w:rPr>
          <w:rFonts w:asciiTheme="majorHAnsi" w:hAnsiTheme="majorHAnsi" w:cstheme="majorHAnsi"/>
        </w:rPr>
        <w:t xml:space="preserve"> under the leadership of </w:t>
      </w:r>
      <w:r>
        <w:rPr>
          <w:rFonts w:asciiTheme="majorHAnsi" w:hAnsiTheme="majorHAnsi" w:cstheme="majorHAnsi"/>
        </w:rPr>
        <w:t xml:space="preserve">the former Education </w:t>
      </w:r>
      <w:r w:rsidRPr="00B24DCA">
        <w:rPr>
          <w:rFonts w:asciiTheme="majorHAnsi" w:hAnsiTheme="majorHAnsi" w:cstheme="majorHAnsi"/>
          <w:color w:val="000000" w:themeColor="text1"/>
        </w:rPr>
        <w:t xml:space="preserve">Department Secretary </w:t>
      </w:r>
      <w:r>
        <w:rPr>
          <w:rFonts w:asciiTheme="majorHAnsi" w:hAnsiTheme="majorHAnsi" w:cstheme="majorHAnsi"/>
          <w:color w:val="000000" w:themeColor="text1"/>
        </w:rPr>
        <w:t>introduced</w:t>
      </w:r>
      <w:r w:rsidRPr="00B24DCA">
        <w:rPr>
          <w:rFonts w:asciiTheme="majorHAnsi" w:hAnsiTheme="majorHAnsi" w:cstheme="majorHAnsi"/>
          <w:color w:val="000000" w:themeColor="text1"/>
        </w:rPr>
        <w:t xml:space="preserve"> a different sequence as part of their strategy.</w:t>
      </w:r>
      <w:r w:rsidR="00D434EB">
        <w:rPr>
          <w:rFonts w:asciiTheme="majorHAnsi" w:hAnsiTheme="majorHAnsi" w:cstheme="majorHAnsi"/>
          <w:color w:val="000000" w:themeColor="text1"/>
        </w:rPr>
        <w:t xml:space="preserve"> </w:t>
      </w:r>
      <w:r w:rsidRPr="00B24DCA">
        <w:rPr>
          <w:rFonts w:asciiTheme="majorHAnsi" w:hAnsiTheme="majorHAnsi" w:cstheme="majorHAnsi"/>
          <w:color w:val="000000" w:themeColor="text1"/>
        </w:rPr>
        <w:t xml:space="preserve">Because there was a political mandate from </w:t>
      </w:r>
      <w:r>
        <w:rPr>
          <w:rFonts w:asciiTheme="majorHAnsi" w:hAnsiTheme="majorHAnsi" w:cstheme="majorHAnsi"/>
        </w:rPr>
        <w:t xml:space="preserve">the Philippine </w:t>
      </w:r>
      <w:r w:rsidRPr="00BF4ED8">
        <w:rPr>
          <w:rFonts w:asciiTheme="majorHAnsi" w:hAnsiTheme="majorHAnsi" w:cstheme="majorHAnsi"/>
        </w:rPr>
        <w:t>President to introduce two additional years to the basic education cycle</w:t>
      </w:r>
      <w:r w:rsidRPr="00BF4ED8">
        <w:rPr>
          <w:rStyle w:val="FootnoteReference"/>
          <w:rFonts w:asciiTheme="majorHAnsi" w:eastAsia="Arial Unicode MS" w:hAnsiTheme="majorHAnsi" w:cstheme="majorHAnsi"/>
        </w:rPr>
        <w:footnoteReference w:id="6"/>
      </w:r>
      <w:r w:rsidRPr="00BF4ED8">
        <w:rPr>
          <w:rFonts w:asciiTheme="majorHAnsi" w:hAnsiTheme="majorHAnsi" w:cstheme="majorHAnsi"/>
        </w:rPr>
        <w:t>, the K</w:t>
      </w:r>
      <w:r>
        <w:rPr>
          <w:rFonts w:asciiTheme="majorHAnsi" w:hAnsiTheme="majorHAnsi" w:cstheme="majorHAnsi"/>
        </w:rPr>
        <w:t>-</w:t>
      </w:r>
      <w:r w:rsidRPr="00BF4ED8">
        <w:rPr>
          <w:rFonts w:asciiTheme="majorHAnsi" w:hAnsiTheme="majorHAnsi" w:cstheme="majorHAnsi"/>
        </w:rPr>
        <w:t>12 reform</w:t>
      </w:r>
      <w:r>
        <w:rPr>
          <w:rFonts w:asciiTheme="majorHAnsi" w:hAnsiTheme="majorHAnsi" w:cstheme="majorHAnsi"/>
        </w:rPr>
        <w:t xml:space="preserve"> (</w:t>
      </w:r>
      <w:r w:rsidRPr="00BF4ED8">
        <w:rPr>
          <w:rFonts w:asciiTheme="majorHAnsi" w:hAnsiTheme="majorHAnsi" w:cstheme="majorHAnsi"/>
        </w:rPr>
        <w:t>introduction of Universal Kindergarten and Senior High School (Grades 11 and 12)</w:t>
      </w:r>
      <w:r>
        <w:rPr>
          <w:rFonts w:asciiTheme="majorHAnsi" w:hAnsiTheme="majorHAnsi" w:cstheme="majorHAnsi"/>
        </w:rPr>
        <w:t>)</w:t>
      </w:r>
      <w:r w:rsidRPr="00BF4ED8">
        <w:rPr>
          <w:rFonts w:asciiTheme="majorHAnsi" w:hAnsiTheme="majorHAnsi" w:cstheme="majorHAnsi"/>
        </w:rPr>
        <w:t xml:space="preserve"> became the overarching framework for reforming the basic education system.</w:t>
      </w:r>
      <w:r w:rsidR="00D434EB">
        <w:rPr>
          <w:rFonts w:asciiTheme="majorHAnsi" w:hAnsiTheme="majorHAnsi" w:cstheme="majorHAnsi"/>
        </w:rPr>
        <w:t xml:space="preserve"> </w:t>
      </w:r>
      <w:r>
        <w:rPr>
          <w:rFonts w:asciiTheme="majorHAnsi" w:hAnsiTheme="majorHAnsi" w:cstheme="majorHAnsi"/>
        </w:rPr>
        <w:t xml:space="preserve">DepEd took a </w:t>
      </w:r>
      <w:r w:rsidRPr="00BF4ED8">
        <w:rPr>
          <w:rFonts w:asciiTheme="majorHAnsi" w:hAnsiTheme="majorHAnsi" w:cstheme="majorHAnsi"/>
        </w:rPr>
        <w:t xml:space="preserve">practical approach to reforms in </w:t>
      </w:r>
      <w:r>
        <w:rPr>
          <w:rFonts w:asciiTheme="majorHAnsi" w:hAnsiTheme="majorHAnsi" w:cstheme="majorHAnsi"/>
        </w:rPr>
        <w:t>DepEd</w:t>
      </w:r>
      <w:r w:rsidRPr="00BF4ED8">
        <w:rPr>
          <w:rFonts w:asciiTheme="majorHAnsi" w:hAnsiTheme="majorHAnsi" w:cstheme="majorHAnsi"/>
        </w:rPr>
        <w:t xml:space="preserve"> and the entire basic education system.</w:t>
      </w:r>
      <w:r w:rsidRPr="00BF4ED8">
        <w:rPr>
          <w:rStyle w:val="FootnoteReference"/>
          <w:rFonts w:asciiTheme="majorHAnsi" w:eastAsia="Arial Unicode MS" w:hAnsiTheme="majorHAnsi" w:cstheme="majorHAnsi"/>
        </w:rPr>
        <w:footnoteReference w:id="7"/>
      </w:r>
      <w:r w:rsidR="00D434EB">
        <w:rPr>
          <w:rFonts w:asciiTheme="majorHAnsi" w:hAnsiTheme="majorHAnsi" w:cstheme="majorHAnsi"/>
        </w:rPr>
        <w:t xml:space="preserve"> </w:t>
      </w:r>
      <w:r w:rsidRPr="00BF4ED8">
        <w:rPr>
          <w:rFonts w:asciiTheme="majorHAnsi" w:hAnsiTheme="majorHAnsi" w:cstheme="majorHAnsi"/>
        </w:rPr>
        <w:t>This was premised on the following management conclusions about the system and the context</w:t>
      </w:r>
      <w:r>
        <w:rPr>
          <w:rFonts w:asciiTheme="majorHAnsi" w:hAnsiTheme="majorHAnsi" w:cstheme="majorHAnsi"/>
        </w:rPr>
        <w:t>:</w:t>
      </w:r>
    </w:p>
    <w:p w14:paraId="587FE804" w14:textId="1575B1FC" w:rsidR="008D0CAD" w:rsidRPr="00BF4ED8" w:rsidRDefault="008D0CAD" w:rsidP="000440D6">
      <w:pPr>
        <w:pStyle w:val="ListParagraph"/>
        <w:numPr>
          <w:ilvl w:val="0"/>
          <w:numId w:val="14"/>
        </w:numPr>
        <w:spacing w:before="100" w:beforeAutospacing="1" w:after="100" w:afterAutospacing="1" w:line="360" w:lineRule="auto"/>
        <w:rPr>
          <w:rFonts w:asciiTheme="majorHAnsi" w:hAnsiTheme="majorHAnsi" w:cstheme="majorHAnsi"/>
        </w:rPr>
      </w:pPr>
      <w:r w:rsidRPr="00BF4ED8">
        <w:rPr>
          <w:rFonts w:asciiTheme="majorHAnsi" w:hAnsiTheme="majorHAnsi" w:cstheme="majorHAnsi"/>
        </w:rPr>
        <w:t>The Administration had a window of only six years to introduce and put in place structural reform</w:t>
      </w:r>
      <w:r>
        <w:rPr>
          <w:rFonts w:asciiTheme="majorHAnsi" w:hAnsiTheme="majorHAnsi" w:cstheme="majorHAnsi"/>
        </w:rPr>
        <w:t>s</w:t>
      </w:r>
      <w:r w:rsidRPr="00BF4ED8">
        <w:rPr>
          <w:rFonts w:asciiTheme="majorHAnsi" w:hAnsiTheme="majorHAnsi" w:cstheme="majorHAnsi"/>
        </w:rPr>
        <w:t>.</w:t>
      </w:r>
      <w:r w:rsidR="00D434EB">
        <w:rPr>
          <w:rFonts w:asciiTheme="majorHAnsi" w:hAnsiTheme="majorHAnsi" w:cstheme="majorHAnsi"/>
        </w:rPr>
        <w:t xml:space="preserve"> </w:t>
      </w:r>
      <w:r w:rsidRPr="00BF4ED8">
        <w:rPr>
          <w:rFonts w:asciiTheme="majorHAnsi" w:hAnsiTheme="majorHAnsi" w:cstheme="majorHAnsi"/>
        </w:rPr>
        <w:t>This window was actually shorte</w:t>
      </w:r>
      <w:r>
        <w:rPr>
          <w:rFonts w:asciiTheme="majorHAnsi" w:hAnsiTheme="majorHAnsi" w:cstheme="majorHAnsi"/>
        </w:rPr>
        <w:t>ned</w:t>
      </w:r>
      <w:r w:rsidRPr="00BF4ED8">
        <w:rPr>
          <w:rFonts w:asciiTheme="majorHAnsi" w:hAnsiTheme="majorHAnsi" w:cstheme="majorHAnsi"/>
        </w:rPr>
        <w:t xml:space="preserve"> by </w:t>
      </w:r>
      <w:r>
        <w:rPr>
          <w:rFonts w:asciiTheme="majorHAnsi" w:hAnsiTheme="majorHAnsi" w:cstheme="majorHAnsi"/>
        </w:rPr>
        <w:t>one to two</w:t>
      </w:r>
      <w:r w:rsidRPr="00BF4ED8">
        <w:rPr>
          <w:rFonts w:asciiTheme="majorHAnsi" w:hAnsiTheme="majorHAnsi" w:cstheme="majorHAnsi"/>
        </w:rPr>
        <w:t xml:space="preserve"> years depending on how fast budgetary support could be </w:t>
      </w:r>
      <w:r>
        <w:rPr>
          <w:rFonts w:asciiTheme="majorHAnsi" w:hAnsiTheme="majorHAnsi" w:cstheme="majorHAnsi"/>
        </w:rPr>
        <w:t>mobilised</w:t>
      </w:r>
      <w:r w:rsidRPr="00BF4ED8">
        <w:rPr>
          <w:rFonts w:asciiTheme="majorHAnsi" w:hAnsiTheme="majorHAnsi" w:cstheme="majorHAnsi"/>
        </w:rPr>
        <w:t xml:space="preserve"> for the </w:t>
      </w:r>
      <w:r>
        <w:rPr>
          <w:rFonts w:asciiTheme="majorHAnsi" w:hAnsiTheme="majorHAnsi" w:cstheme="majorHAnsi"/>
        </w:rPr>
        <w:t>planned</w:t>
      </w:r>
      <w:r w:rsidRPr="00BF4ED8">
        <w:rPr>
          <w:rFonts w:asciiTheme="majorHAnsi" w:hAnsiTheme="majorHAnsi" w:cstheme="majorHAnsi"/>
        </w:rPr>
        <w:t xml:space="preserve"> reforms.</w:t>
      </w:r>
      <w:r w:rsidR="00D434EB">
        <w:rPr>
          <w:rFonts w:asciiTheme="majorHAnsi" w:hAnsiTheme="majorHAnsi" w:cstheme="majorHAnsi"/>
        </w:rPr>
        <w:t xml:space="preserve"> </w:t>
      </w:r>
      <w:r w:rsidRPr="00BF4ED8">
        <w:rPr>
          <w:rFonts w:asciiTheme="majorHAnsi" w:hAnsiTheme="majorHAnsi" w:cstheme="majorHAnsi"/>
        </w:rPr>
        <w:t xml:space="preserve">To meet the Administration’s goal, </w:t>
      </w:r>
      <w:r>
        <w:rPr>
          <w:rFonts w:asciiTheme="majorHAnsi" w:hAnsiTheme="majorHAnsi" w:cstheme="majorHAnsi"/>
        </w:rPr>
        <w:t>DepEd</w:t>
      </w:r>
      <w:r w:rsidRPr="00BF4ED8">
        <w:rPr>
          <w:rFonts w:asciiTheme="majorHAnsi" w:hAnsiTheme="majorHAnsi" w:cstheme="majorHAnsi"/>
        </w:rPr>
        <w:t xml:space="preserve"> had to have a more normative approach with a tight timeline.</w:t>
      </w:r>
    </w:p>
    <w:p w14:paraId="3DF4BAFE" w14:textId="474FBE46" w:rsidR="008D0CAD" w:rsidRPr="00BF4ED8" w:rsidRDefault="008D0CAD" w:rsidP="000440D6">
      <w:pPr>
        <w:pStyle w:val="ListParagraph"/>
        <w:numPr>
          <w:ilvl w:val="0"/>
          <w:numId w:val="14"/>
        </w:numPr>
        <w:spacing w:before="100" w:beforeAutospacing="1" w:after="100" w:afterAutospacing="1" w:line="360" w:lineRule="auto"/>
        <w:rPr>
          <w:rFonts w:asciiTheme="majorHAnsi" w:hAnsiTheme="majorHAnsi" w:cstheme="majorHAnsi"/>
        </w:rPr>
      </w:pPr>
      <w:r w:rsidRPr="00BF4ED8">
        <w:rPr>
          <w:rFonts w:asciiTheme="majorHAnsi" w:hAnsiTheme="majorHAnsi" w:cstheme="majorHAnsi"/>
        </w:rPr>
        <w:t xml:space="preserve">In the inventory of partners (and programs initiated </w:t>
      </w:r>
      <w:r>
        <w:rPr>
          <w:rFonts w:asciiTheme="majorHAnsi" w:hAnsiTheme="majorHAnsi" w:cstheme="majorHAnsi"/>
        </w:rPr>
        <w:t xml:space="preserve">by </w:t>
      </w:r>
      <w:r w:rsidRPr="00BF4ED8">
        <w:rPr>
          <w:rFonts w:asciiTheme="majorHAnsi" w:hAnsiTheme="majorHAnsi" w:cstheme="majorHAnsi"/>
        </w:rPr>
        <w:t xml:space="preserve">or with partners), the conclusion of the </w:t>
      </w:r>
      <w:r>
        <w:rPr>
          <w:rFonts w:asciiTheme="majorHAnsi" w:hAnsiTheme="majorHAnsi" w:cstheme="majorHAnsi"/>
        </w:rPr>
        <w:t>DepEd</w:t>
      </w:r>
      <w:r w:rsidRPr="00BF4ED8">
        <w:rPr>
          <w:rFonts w:asciiTheme="majorHAnsi" w:hAnsiTheme="majorHAnsi" w:cstheme="majorHAnsi"/>
        </w:rPr>
        <w:t xml:space="preserve"> leadership team was that there were too many partners not collaborating with each other which was pulling the Department in too many directions.</w:t>
      </w:r>
      <w:r w:rsidR="00D434EB">
        <w:rPr>
          <w:rFonts w:asciiTheme="majorHAnsi" w:hAnsiTheme="majorHAnsi" w:cstheme="majorHAnsi"/>
        </w:rPr>
        <w:t xml:space="preserve"> </w:t>
      </w:r>
      <w:r w:rsidRPr="00BF4ED8">
        <w:rPr>
          <w:rFonts w:asciiTheme="majorHAnsi" w:hAnsiTheme="majorHAnsi" w:cstheme="majorHAnsi"/>
        </w:rPr>
        <w:t>The problem was characteri</w:t>
      </w:r>
      <w:r>
        <w:rPr>
          <w:rFonts w:asciiTheme="majorHAnsi" w:hAnsiTheme="majorHAnsi" w:cstheme="majorHAnsi"/>
        </w:rPr>
        <w:t>s</w:t>
      </w:r>
      <w:r w:rsidRPr="00BF4ED8">
        <w:rPr>
          <w:rFonts w:asciiTheme="majorHAnsi" w:hAnsiTheme="majorHAnsi" w:cstheme="majorHAnsi"/>
        </w:rPr>
        <w:t>ed as “</w:t>
      </w:r>
      <w:r w:rsidRPr="00DC71CC">
        <w:rPr>
          <w:rFonts w:asciiTheme="majorHAnsi" w:hAnsiTheme="majorHAnsi" w:cstheme="majorHAnsi"/>
          <w:i/>
          <w:iCs/>
        </w:rPr>
        <w:t>too much piloting</w:t>
      </w:r>
      <w:r w:rsidRPr="00BF4ED8">
        <w:rPr>
          <w:rFonts w:asciiTheme="majorHAnsi" w:hAnsiTheme="majorHAnsi" w:cstheme="majorHAnsi"/>
        </w:rPr>
        <w:t>”.</w:t>
      </w:r>
      <w:r w:rsidR="00D434EB">
        <w:rPr>
          <w:rFonts w:asciiTheme="majorHAnsi" w:hAnsiTheme="majorHAnsi" w:cstheme="majorHAnsi"/>
        </w:rPr>
        <w:t xml:space="preserve"> </w:t>
      </w:r>
      <w:r w:rsidRPr="00BF4ED8">
        <w:rPr>
          <w:rFonts w:asciiTheme="majorHAnsi" w:hAnsiTheme="majorHAnsi" w:cstheme="majorHAnsi"/>
        </w:rPr>
        <w:t xml:space="preserve">Pilot projects were carving up the </w:t>
      </w:r>
      <w:r>
        <w:rPr>
          <w:rFonts w:asciiTheme="majorHAnsi" w:hAnsiTheme="majorHAnsi" w:cstheme="majorHAnsi"/>
        </w:rPr>
        <w:t>DepEd</w:t>
      </w:r>
      <w:r w:rsidRPr="00BF4ED8">
        <w:rPr>
          <w:rFonts w:asciiTheme="majorHAnsi" w:hAnsiTheme="majorHAnsi" w:cstheme="majorHAnsi"/>
        </w:rPr>
        <w:t xml:space="preserve"> space by geography, literally.</w:t>
      </w:r>
    </w:p>
    <w:p w14:paraId="70B67E6F" w14:textId="06B1A503" w:rsidR="008D0CAD" w:rsidRPr="00BF4ED8" w:rsidRDefault="008D0CAD" w:rsidP="000440D6">
      <w:pPr>
        <w:pStyle w:val="ListParagraph"/>
        <w:numPr>
          <w:ilvl w:val="0"/>
          <w:numId w:val="14"/>
        </w:numPr>
        <w:spacing w:before="100" w:beforeAutospacing="1" w:after="100" w:afterAutospacing="1" w:line="360" w:lineRule="auto"/>
        <w:rPr>
          <w:rFonts w:asciiTheme="majorHAnsi" w:hAnsiTheme="majorHAnsi" w:cstheme="majorHAnsi"/>
        </w:rPr>
      </w:pPr>
      <w:r>
        <w:rPr>
          <w:rFonts w:asciiTheme="majorHAnsi" w:hAnsiTheme="majorHAnsi" w:cstheme="majorHAnsi"/>
        </w:rPr>
        <w:t>DepEd</w:t>
      </w:r>
      <w:r w:rsidRPr="00BF4ED8">
        <w:rPr>
          <w:rFonts w:asciiTheme="majorHAnsi" w:hAnsiTheme="majorHAnsi" w:cstheme="majorHAnsi"/>
        </w:rPr>
        <w:t xml:space="preserve"> had a long history of FAPs and policy &amp; program recommendations from these that would benefit the Department, or which had already been used in different parts of the system.</w:t>
      </w:r>
      <w:r w:rsidR="00D434EB">
        <w:rPr>
          <w:rFonts w:asciiTheme="majorHAnsi" w:hAnsiTheme="majorHAnsi" w:cstheme="majorHAnsi"/>
        </w:rPr>
        <w:t xml:space="preserve"> </w:t>
      </w:r>
      <w:r w:rsidRPr="00BF4ED8">
        <w:rPr>
          <w:rFonts w:asciiTheme="majorHAnsi" w:hAnsiTheme="majorHAnsi" w:cstheme="majorHAnsi"/>
        </w:rPr>
        <w:t>What could be expanded and/or institutionali</w:t>
      </w:r>
      <w:r>
        <w:rPr>
          <w:rFonts w:asciiTheme="majorHAnsi" w:hAnsiTheme="majorHAnsi" w:cstheme="majorHAnsi"/>
        </w:rPr>
        <w:t>s</w:t>
      </w:r>
      <w:r w:rsidRPr="00BF4ED8">
        <w:rPr>
          <w:rFonts w:asciiTheme="majorHAnsi" w:hAnsiTheme="majorHAnsi" w:cstheme="majorHAnsi"/>
        </w:rPr>
        <w:t>ed would be retained.</w:t>
      </w:r>
      <w:r w:rsidR="00D434EB">
        <w:rPr>
          <w:rFonts w:asciiTheme="majorHAnsi" w:hAnsiTheme="majorHAnsi" w:cstheme="majorHAnsi"/>
        </w:rPr>
        <w:t xml:space="preserve"> </w:t>
      </w:r>
      <w:r w:rsidRPr="00BF4ED8">
        <w:rPr>
          <w:rFonts w:asciiTheme="majorHAnsi" w:hAnsiTheme="majorHAnsi" w:cstheme="majorHAnsi"/>
        </w:rPr>
        <w:t>What could not be expanded was dropped.</w:t>
      </w:r>
    </w:p>
    <w:p w14:paraId="241D5233" w14:textId="759F9086" w:rsidR="008D0CAD" w:rsidRDefault="008D0CAD" w:rsidP="000440D6">
      <w:pPr>
        <w:spacing w:before="100" w:beforeAutospacing="1" w:after="100" w:afterAutospacing="1" w:line="360" w:lineRule="auto"/>
        <w:rPr>
          <w:rFonts w:asciiTheme="majorHAnsi" w:hAnsiTheme="majorHAnsi" w:cstheme="majorHAnsi"/>
        </w:rPr>
      </w:pPr>
      <w:r w:rsidRPr="00BF4ED8">
        <w:rPr>
          <w:rFonts w:asciiTheme="majorHAnsi" w:hAnsiTheme="majorHAnsi" w:cstheme="majorHAnsi"/>
        </w:rPr>
        <w:t xml:space="preserve">Thus, </w:t>
      </w:r>
      <w:r>
        <w:rPr>
          <w:rFonts w:asciiTheme="majorHAnsi" w:hAnsiTheme="majorHAnsi" w:cstheme="majorHAnsi"/>
        </w:rPr>
        <w:t>DepEd then had</w:t>
      </w:r>
      <w:r w:rsidRPr="00BF4ED8">
        <w:rPr>
          <w:rFonts w:asciiTheme="majorHAnsi" w:hAnsiTheme="majorHAnsi" w:cstheme="majorHAnsi"/>
        </w:rPr>
        <w:t xml:space="preserve"> no time to engage in time-consuming pilot projects.</w:t>
      </w:r>
      <w:r w:rsidR="00D434EB">
        <w:rPr>
          <w:rFonts w:asciiTheme="majorHAnsi" w:hAnsiTheme="majorHAnsi" w:cstheme="majorHAnsi"/>
        </w:rPr>
        <w:t xml:space="preserve"> </w:t>
      </w:r>
      <w:r w:rsidRPr="00BF4ED8">
        <w:rPr>
          <w:rFonts w:asciiTheme="majorHAnsi" w:hAnsiTheme="majorHAnsi" w:cstheme="majorHAnsi"/>
        </w:rPr>
        <w:t xml:space="preserve">There were enough lessons from within </w:t>
      </w:r>
      <w:r>
        <w:rPr>
          <w:rFonts w:asciiTheme="majorHAnsi" w:hAnsiTheme="majorHAnsi" w:cstheme="majorHAnsi"/>
        </w:rPr>
        <w:t>DepEd</w:t>
      </w:r>
      <w:r w:rsidRPr="00BF4ED8">
        <w:rPr>
          <w:rFonts w:asciiTheme="majorHAnsi" w:hAnsiTheme="majorHAnsi" w:cstheme="majorHAnsi"/>
        </w:rPr>
        <w:t xml:space="preserve"> and from outside to use to bolster the new reforms.</w:t>
      </w:r>
      <w:r w:rsidR="00D434EB">
        <w:rPr>
          <w:rFonts w:asciiTheme="majorHAnsi" w:hAnsiTheme="majorHAnsi" w:cstheme="majorHAnsi"/>
        </w:rPr>
        <w:t xml:space="preserve"> </w:t>
      </w:r>
      <w:r w:rsidRPr="00BF4ED8">
        <w:rPr>
          <w:rFonts w:asciiTheme="majorHAnsi" w:hAnsiTheme="majorHAnsi" w:cstheme="majorHAnsi"/>
        </w:rPr>
        <w:t>But it also meant a change in the role of FAPs and the sequence of reform.</w:t>
      </w:r>
      <w:r w:rsidR="00D434EB">
        <w:rPr>
          <w:rFonts w:asciiTheme="majorHAnsi" w:hAnsiTheme="majorHAnsi" w:cstheme="majorHAnsi"/>
        </w:rPr>
        <w:t xml:space="preserve"> </w:t>
      </w:r>
      <w:r w:rsidRPr="00BF4ED8">
        <w:rPr>
          <w:rFonts w:asciiTheme="majorHAnsi" w:hAnsiTheme="majorHAnsi" w:cstheme="majorHAnsi"/>
        </w:rPr>
        <w:t>With K</w:t>
      </w:r>
      <w:r>
        <w:rPr>
          <w:rFonts w:asciiTheme="majorHAnsi" w:hAnsiTheme="majorHAnsi" w:cstheme="majorHAnsi"/>
        </w:rPr>
        <w:t>-</w:t>
      </w:r>
      <w:r w:rsidRPr="00BF4ED8">
        <w:rPr>
          <w:rFonts w:asciiTheme="majorHAnsi" w:hAnsiTheme="majorHAnsi" w:cstheme="majorHAnsi"/>
        </w:rPr>
        <w:t>12 as the overarching framework, donor agencies had to “</w:t>
      </w:r>
      <w:r w:rsidRPr="00BF4ED8">
        <w:rPr>
          <w:rFonts w:asciiTheme="majorHAnsi" w:hAnsiTheme="majorHAnsi" w:cstheme="majorHAnsi"/>
          <w:i/>
        </w:rPr>
        <w:t xml:space="preserve">consult </w:t>
      </w:r>
      <w:r>
        <w:rPr>
          <w:rFonts w:asciiTheme="majorHAnsi" w:hAnsiTheme="majorHAnsi" w:cstheme="majorHAnsi"/>
          <w:i/>
        </w:rPr>
        <w:t>DepEd</w:t>
      </w:r>
      <w:r w:rsidRPr="00BF4ED8">
        <w:rPr>
          <w:rFonts w:asciiTheme="majorHAnsi" w:hAnsiTheme="majorHAnsi" w:cstheme="majorHAnsi"/>
          <w:i/>
        </w:rPr>
        <w:t>, listen to our needs and adjust to what the Department needed</w:t>
      </w:r>
      <w:r w:rsidRPr="00BF4ED8">
        <w:rPr>
          <w:rFonts w:asciiTheme="majorHAnsi" w:hAnsiTheme="majorHAnsi" w:cstheme="majorHAnsi"/>
        </w:rPr>
        <w:t>.</w:t>
      </w:r>
      <w:r w:rsidR="00D434EB">
        <w:rPr>
          <w:rFonts w:asciiTheme="majorHAnsi" w:hAnsiTheme="majorHAnsi" w:cstheme="majorHAnsi"/>
        </w:rPr>
        <w:t xml:space="preserve"> </w:t>
      </w:r>
      <w:r w:rsidRPr="00335C1B">
        <w:rPr>
          <w:rFonts w:asciiTheme="majorHAnsi" w:hAnsiTheme="majorHAnsi" w:cstheme="majorHAnsi"/>
          <w:i/>
          <w:iCs/>
        </w:rPr>
        <w:t>The K</w:t>
      </w:r>
      <w:r>
        <w:rPr>
          <w:rFonts w:asciiTheme="majorHAnsi" w:hAnsiTheme="majorHAnsi" w:cstheme="majorHAnsi"/>
          <w:i/>
          <w:iCs/>
        </w:rPr>
        <w:t>-</w:t>
      </w:r>
      <w:r w:rsidRPr="00335C1B">
        <w:rPr>
          <w:rFonts w:asciiTheme="majorHAnsi" w:hAnsiTheme="majorHAnsi" w:cstheme="majorHAnsi"/>
          <w:i/>
          <w:iCs/>
        </w:rPr>
        <w:t>12 program was work in progress and we were constantly adjusting our planning, what we were doing.</w:t>
      </w:r>
      <w:r w:rsidR="00D434EB">
        <w:rPr>
          <w:rFonts w:asciiTheme="majorHAnsi" w:hAnsiTheme="majorHAnsi" w:cstheme="majorHAnsi"/>
          <w:i/>
          <w:iCs/>
        </w:rPr>
        <w:t xml:space="preserve"> </w:t>
      </w:r>
      <w:r w:rsidRPr="00335C1B">
        <w:rPr>
          <w:rFonts w:asciiTheme="majorHAnsi" w:hAnsiTheme="majorHAnsi" w:cstheme="majorHAnsi"/>
          <w:i/>
          <w:iCs/>
        </w:rPr>
        <w:t>FAPs had to keep up, not dictate the pace</w:t>
      </w:r>
      <w:r>
        <w:rPr>
          <w:rFonts w:asciiTheme="majorHAnsi" w:hAnsiTheme="majorHAnsi" w:cstheme="majorHAnsi"/>
        </w:rPr>
        <w:t>”</w:t>
      </w:r>
      <w:r w:rsidRPr="00BF4ED8">
        <w:rPr>
          <w:rFonts w:asciiTheme="majorHAnsi" w:hAnsiTheme="majorHAnsi" w:cstheme="majorHAnsi"/>
        </w:rPr>
        <w:t>.</w:t>
      </w:r>
      <w:r w:rsidRPr="006D5791">
        <w:rPr>
          <w:rStyle w:val="FootnoteReference"/>
          <w:rFonts w:asciiTheme="majorHAnsi" w:eastAsia="Arial Unicode MS" w:hAnsiTheme="majorHAnsi" w:cstheme="majorHAnsi"/>
        </w:rPr>
        <w:t xml:space="preserve"> </w:t>
      </w:r>
      <w:r w:rsidRPr="00BF4ED8">
        <w:rPr>
          <w:rStyle w:val="FootnoteReference"/>
          <w:rFonts w:asciiTheme="majorHAnsi" w:eastAsia="Arial Unicode MS" w:hAnsiTheme="majorHAnsi" w:cstheme="majorHAnsi"/>
        </w:rPr>
        <w:footnoteReference w:id="8"/>
      </w:r>
      <w:r w:rsidR="00D434EB">
        <w:rPr>
          <w:rFonts w:asciiTheme="majorHAnsi" w:hAnsiTheme="majorHAnsi" w:cstheme="majorHAnsi"/>
        </w:rPr>
        <w:t xml:space="preserve"> </w:t>
      </w:r>
    </w:p>
    <w:p w14:paraId="13E73B55" w14:textId="77777777" w:rsidR="008D0CAD" w:rsidRDefault="008D0CAD" w:rsidP="000440D6">
      <w:pPr>
        <w:spacing w:before="100" w:beforeAutospacing="1" w:after="100" w:afterAutospacing="1" w:line="360" w:lineRule="auto"/>
        <w:rPr>
          <w:rFonts w:asciiTheme="majorHAnsi" w:hAnsiTheme="majorHAnsi" w:cstheme="majorHAnsi"/>
        </w:rPr>
      </w:pPr>
      <w:r w:rsidRPr="00BF4ED8">
        <w:rPr>
          <w:rFonts w:asciiTheme="majorHAnsi" w:hAnsiTheme="majorHAnsi" w:cstheme="majorHAnsi"/>
        </w:rPr>
        <w:t>The role of FAPs and the sequence of reform was thus altered:</w:t>
      </w:r>
    </w:p>
    <w:p w14:paraId="28DBE653" w14:textId="77777777" w:rsidR="008D0CAD" w:rsidRPr="00BF4ED8" w:rsidRDefault="008D0CAD" w:rsidP="000440D6">
      <w:pPr>
        <w:pStyle w:val="ListParagraph"/>
        <w:numPr>
          <w:ilvl w:val="0"/>
          <w:numId w:val="16"/>
        </w:numPr>
        <w:spacing w:before="100" w:beforeAutospacing="1" w:after="100" w:afterAutospacing="1" w:line="360" w:lineRule="auto"/>
        <w:rPr>
          <w:rFonts w:asciiTheme="majorHAnsi" w:hAnsiTheme="majorHAnsi" w:cstheme="majorHAnsi"/>
        </w:rPr>
      </w:pPr>
      <w:r w:rsidRPr="00BF4ED8">
        <w:rPr>
          <w:rFonts w:asciiTheme="majorHAnsi" w:hAnsiTheme="majorHAnsi" w:cstheme="majorHAnsi"/>
        </w:rPr>
        <w:t xml:space="preserve">An overarching plan and design for </w:t>
      </w:r>
      <w:r>
        <w:rPr>
          <w:rFonts w:asciiTheme="majorHAnsi" w:hAnsiTheme="majorHAnsi" w:cstheme="majorHAnsi"/>
        </w:rPr>
        <w:t>DepEd</w:t>
      </w:r>
      <w:r w:rsidRPr="00BF4ED8">
        <w:rPr>
          <w:rFonts w:asciiTheme="majorHAnsi" w:hAnsiTheme="majorHAnsi" w:cstheme="majorHAnsi"/>
        </w:rPr>
        <w:t xml:space="preserve"> (program design from the center)</w:t>
      </w:r>
      <w:r>
        <w:rPr>
          <w:rFonts w:asciiTheme="majorHAnsi" w:hAnsiTheme="majorHAnsi" w:cstheme="majorHAnsi"/>
        </w:rPr>
        <w:t xml:space="preserve">; </w:t>
      </w:r>
    </w:p>
    <w:p w14:paraId="171FCBB5" w14:textId="77777777" w:rsidR="008D0CAD" w:rsidRPr="00BF4ED8" w:rsidRDefault="008D0CAD" w:rsidP="000440D6">
      <w:pPr>
        <w:pStyle w:val="ListParagraph"/>
        <w:numPr>
          <w:ilvl w:val="0"/>
          <w:numId w:val="15"/>
        </w:numPr>
        <w:spacing w:before="100" w:beforeAutospacing="1" w:after="100" w:afterAutospacing="1" w:line="360" w:lineRule="auto"/>
        <w:rPr>
          <w:rFonts w:asciiTheme="majorHAnsi" w:hAnsiTheme="majorHAnsi" w:cstheme="majorHAnsi"/>
        </w:rPr>
      </w:pPr>
      <w:r w:rsidRPr="00BF4ED8">
        <w:rPr>
          <w:rFonts w:asciiTheme="majorHAnsi" w:hAnsiTheme="majorHAnsi" w:cstheme="majorHAnsi"/>
        </w:rPr>
        <w:t>FAP as budgetary support</w:t>
      </w:r>
      <w:r>
        <w:rPr>
          <w:rFonts w:asciiTheme="majorHAnsi" w:hAnsiTheme="majorHAnsi" w:cstheme="majorHAnsi"/>
        </w:rPr>
        <w:t>;</w:t>
      </w:r>
      <w:r w:rsidRPr="00BF4ED8">
        <w:rPr>
          <w:rStyle w:val="FootnoteReference"/>
          <w:rFonts w:asciiTheme="majorHAnsi" w:eastAsia="Arial Unicode MS" w:hAnsiTheme="majorHAnsi" w:cstheme="majorHAnsi"/>
        </w:rPr>
        <w:footnoteReference w:id="9"/>
      </w:r>
    </w:p>
    <w:p w14:paraId="39D69228" w14:textId="77777777" w:rsidR="008D0CAD" w:rsidRPr="00BF4ED8" w:rsidRDefault="008D0CAD" w:rsidP="000440D6">
      <w:pPr>
        <w:pStyle w:val="ListParagraph"/>
        <w:numPr>
          <w:ilvl w:val="0"/>
          <w:numId w:val="15"/>
        </w:numPr>
        <w:spacing w:before="100" w:beforeAutospacing="1" w:after="100" w:afterAutospacing="1" w:line="360" w:lineRule="auto"/>
        <w:rPr>
          <w:rFonts w:asciiTheme="majorHAnsi" w:hAnsiTheme="majorHAnsi" w:cstheme="majorHAnsi"/>
        </w:rPr>
      </w:pPr>
      <w:r w:rsidRPr="00BF4ED8">
        <w:rPr>
          <w:rFonts w:asciiTheme="majorHAnsi" w:hAnsiTheme="majorHAnsi" w:cstheme="majorHAnsi"/>
        </w:rPr>
        <w:t>Prepare policy or instructions (Department Order or Memo)</w:t>
      </w:r>
      <w:r>
        <w:rPr>
          <w:rFonts w:asciiTheme="majorHAnsi" w:hAnsiTheme="majorHAnsi" w:cstheme="majorHAnsi"/>
        </w:rPr>
        <w:t>;</w:t>
      </w:r>
    </w:p>
    <w:p w14:paraId="77B1D33B" w14:textId="05785D65" w:rsidR="008D0CAD" w:rsidRPr="00BF4ED8" w:rsidRDefault="008D0CAD" w:rsidP="000440D6">
      <w:pPr>
        <w:pStyle w:val="ListParagraph"/>
        <w:numPr>
          <w:ilvl w:val="0"/>
          <w:numId w:val="15"/>
        </w:numPr>
        <w:spacing w:before="100" w:beforeAutospacing="1" w:after="100" w:afterAutospacing="1" w:line="360" w:lineRule="auto"/>
        <w:rPr>
          <w:rFonts w:asciiTheme="majorHAnsi" w:hAnsiTheme="majorHAnsi" w:cstheme="majorHAnsi"/>
        </w:rPr>
      </w:pPr>
      <w:r w:rsidRPr="00BF4ED8">
        <w:rPr>
          <w:rFonts w:asciiTheme="majorHAnsi" w:hAnsiTheme="majorHAnsi" w:cstheme="majorHAnsi"/>
        </w:rPr>
        <w:t>Cascade throughout the system</w:t>
      </w:r>
      <w:r>
        <w:rPr>
          <w:rFonts w:asciiTheme="majorHAnsi" w:hAnsiTheme="majorHAnsi" w:cstheme="majorHAnsi"/>
        </w:rPr>
        <w:t>;</w:t>
      </w:r>
      <w:r w:rsidR="00D434EB">
        <w:rPr>
          <w:rFonts w:asciiTheme="majorHAnsi" w:hAnsiTheme="majorHAnsi" w:cstheme="majorHAnsi"/>
        </w:rPr>
        <w:t xml:space="preserve"> </w:t>
      </w:r>
    </w:p>
    <w:p w14:paraId="7C01824E" w14:textId="77777777" w:rsidR="008D0CAD" w:rsidRPr="00BF4ED8" w:rsidRDefault="008D0CAD" w:rsidP="000440D6">
      <w:pPr>
        <w:pStyle w:val="ListParagraph"/>
        <w:numPr>
          <w:ilvl w:val="0"/>
          <w:numId w:val="15"/>
        </w:numPr>
        <w:spacing w:before="100" w:beforeAutospacing="1" w:after="100" w:afterAutospacing="1" w:line="360" w:lineRule="auto"/>
        <w:rPr>
          <w:rFonts w:asciiTheme="majorHAnsi" w:hAnsiTheme="majorHAnsi" w:cstheme="majorHAnsi"/>
        </w:rPr>
      </w:pPr>
      <w:r w:rsidRPr="00BF4ED8">
        <w:rPr>
          <w:rFonts w:asciiTheme="majorHAnsi" w:hAnsiTheme="majorHAnsi" w:cstheme="majorHAnsi"/>
        </w:rPr>
        <w:t>Training and Development (Learning and Development)</w:t>
      </w:r>
      <w:r>
        <w:rPr>
          <w:rFonts w:asciiTheme="majorHAnsi" w:hAnsiTheme="majorHAnsi" w:cstheme="majorHAnsi"/>
        </w:rPr>
        <w:t>; and</w:t>
      </w:r>
    </w:p>
    <w:p w14:paraId="13969693" w14:textId="315A96A9" w:rsidR="008D0CAD" w:rsidRPr="000440D6" w:rsidRDefault="008D0CAD" w:rsidP="000440D6">
      <w:pPr>
        <w:pStyle w:val="ListParagraph"/>
        <w:numPr>
          <w:ilvl w:val="0"/>
          <w:numId w:val="15"/>
        </w:numPr>
        <w:spacing w:before="100" w:beforeAutospacing="1" w:after="100" w:afterAutospacing="1" w:line="360" w:lineRule="auto"/>
        <w:rPr>
          <w:rFonts w:asciiTheme="majorHAnsi" w:hAnsiTheme="majorHAnsi" w:cstheme="majorHAnsi"/>
        </w:rPr>
      </w:pPr>
      <w:r w:rsidRPr="00BF4ED8">
        <w:rPr>
          <w:rFonts w:asciiTheme="majorHAnsi" w:hAnsiTheme="majorHAnsi" w:cstheme="majorHAnsi"/>
        </w:rPr>
        <w:t>Practice (subject to Monitoring &amp; Evaluation)</w:t>
      </w:r>
      <w:r>
        <w:rPr>
          <w:rFonts w:asciiTheme="majorHAnsi" w:hAnsiTheme="majorHAnsi" w:cstheme="majorHAnsi"/>
        </w:rPr>
        <w:t>.</w:t>
      </w:r>
    </w:p>
    <w:p w14:paraId="131B4698" w14:textId="1770A1B5" w:rsidR="008D0CAD" w:rsidRPr="00316910" w:rsidRDefault="008D0CAD" w:rsidP="000440D6">
      <w:pPr>
        <w:spacing w:before="100" w:beforeAutospacing="1" w:after="100" w:afterAutospacing="1" w:line="360" w:lineRule="auto"/>
        <w:rPr>
          <w:rFonts w:asciiTheme="majorHAnsi" w:hAnsiTheme="majorHAnsi" w:cstheme="majorHAnsi"/>
        </w:rPr>
      </w:pPr>
      <w:r w:rsidRPr="00BF4ED8">
        <w:rPr>
          <w:rFonts w:asciiTheme="majorHAnsi" w:hAnsiTheme="majorHAnsi" w:cstheme="majorHAnsi"/>
        </w:rPr>
        <w:t xml:space="preserve">Thus, following the logical framework approach, a number of steps were pursued by </w:t>
      </w:r>
      <w:r>
        <w:rPr>
          <w:rFonts w:asciiTheme="majorHAnsi" w:hAnsiTheme="majorHAnsi" w:cstheme="majorHAnsi"/>
        </w:rPr>
        <w:t xml:space="preserve">DepEd </w:t>
      </w:r>
      <w:r w:rsidRPr="00BF4ED8">
        <w:rPr>
          <w:rFonts w:asciiTheme="majorHAnsi" w:hAnsiTheme="majorHAnsi" w:cstheme="majorHAnsi"/>
        </w:rPr>
        <w:t>to get reforms as widely and as deeply dispersed as possible.</w:t>
      </w:r>
      <w:r w:rsidR="00D434EB">
        <w:rPr>
          <w:rFonts w:asciiTheme="majorHAnsi" w:hAnsiTheme="majorHAnsi" w:cstheme="majorHAnsi"/>
        </w:rPr>
        <w:t xml:space="preserve"> </w:t>
      </w:r>
      <w:r w:rsidRPr="00BF4ED8">
        <w:rPr>
          <w:rFonts w:asciiTheme="majorHAnsi" w:hAnsiTheme="majorHAnsi" w:cstheme="majorHAnsi"/>
        </w:rPr>
        <w:t>Wide dispersal meant spreading reforms across all regions of the country to all types of schools.</w:t>
      </w:r>
      <w:r w:rsidR="00D434EB">
        <w:rPr>
          <w:rFonts w:asciiTheme="majorHAnsi" w:hAnsiTheme="majorHAnsi" w:cstheme="majorHAnsi"/>
        </w:rPr>
        <w:t xml:space="preserve"> </w:t>
      </w:r>
      <w:r w:rsidRPr="00BF4ED8">
        <w:rPr>
          <w:rFonts w:asciiTheme="majorHAnsi" w:hAnsiTheme="majorHAnsi" w:cstheme="majorHAnsi"/>
        </w:rPr>
        <w:t xml:space="preserve">Deep dispersal meant driving reforms down through three levels below the central office: </w:t>
      </w:r>
      <w:r w:rsidR="00DB0B65">
        <w:rPr>
          <w:rFonts w:asciiTheme="majorHAnsi" w:hAnsiTheme="majorHAnsi" w:cstheme="majorHAnsi"/>
        </w:rPr>
        <w:t>t</w:t>
      </w:r>
      <w:r w:rsidRPr="00BF4ED8">
        <w:rPr>
          <w:rFonts w:asciiTheme="majorHAnsi" w:hAnsiTheme="majorHAnsi" w:cstheme="majorHAnsi"/>
        </w:rPr>
        <w:t>o regions, divisions and schools.</w:t>
      </w:r>
      <w:r w:rsidR="00D434EB">
        <w:rPr>
          <w:rFonts w:asciiTheme="majorHAnsi" w:hAnsiTheme="majorHAnsi" w:cstheme="majorHAnsi"/>
        </w:rPr>
        <w:t xml:space="preserve"> </w:t>
      </w:r>
      <w:r w:rsidRPr="00BF4ED8">
        <w:rPr>
          <w:rFonts w:asciiTheme="majorHAnsi" w:hAnsiTheme="majorHAnsi" w:cstheme="majorHAnsi"/>
        </w:rPr>
        <w:t xml:space="preserve">In keeping with the no pilot philosophy, BEST may have identified key regions to focus attention on, but in fact, the reform interventions were rolled out by </w:t>
      </w:r>
      <w:r>
        <w:rPr>
          <w:rFonts w:asciiTheme="majorHAnsi" w:hAnsiTheme="majorHAnsi" w:cstheme="majorHAnsi"/>
        </w:rPr>
        <w:t>DepEd</w:t>
      </w:r>
      <w:r w:rsidRPr="00BF4ED8">
        <w:rPr>
          <w:rFonts w:asciiTheme="majorHAnsi" w:hAnsiTheme="majorHAnsi" w:cstheme="majorHAnsi"/>
        </w:rPr>
        <w:t xml:space="preserve"> across all regions of the country.</w:t>
      </w:r>
      <w:r w:rsidRPr="00BF4ED8">
        <w:rPr>
          <w:rStyle w:val="FootnoteReference"/>
          <w:rFonts w:asciiTheme="majorHAnsi" w:eastAsia="Arial Unicode MS" w:hAnsiTheme="majorHAnsi" w:cstheme="majorHAnsi"/>
        </w:rPr>
        <w:footnoteReference w:id="10"/>
      </w:r>
    </w:p>
    <w:p w14:paraId="186FE9BF" w14:textId="269C4C77" w:rsidR="008D0CAD" w:rsidRPr="00350FA1" w:rsidRDefault="008D0CAD" w:rsidP="00DD08E3">
      <w:pPr>
        <w:pStyle w:val="Heading4"/>
        <w:numPr>
          <w:ilvl w:val="2"/>
          <w:numId w:val="161"/>
        </w:numPr>
        <w:spacing w:before="100" w:beforeAutospacing="1" w:after="100" w:afterAutospacing="1" w:line="360" w:lineRule="auto"/>
      </w:pPr>
      <w:bookmarkStart w:id="36" w:name="_Toc10722976"/>
      <w:bookmarkStart w:id="37" w:name="_Toc12711978"/>
      <w:bookmarkStart w:id="38" w:name="_Toc13216257"/>
      <w:r w:rsidRPr="00350FA1">
        <w:t xml:space="preserve">Program Theory of Change </w:t>
      </w:r>
      <w:r>
        <w:t>and</w:t>
      </w:r>
      <w:r w:rsidRPr="00350FA1">
        <w:t xml:space="preserve"> Results Framework</w:t>
      </w:r>
      <w:bookmarkEnd w:id="36"/>
      <w:bookmarkEnd w:id="37"/>
      <w:bookmarkEnd w:id="38"/>
    </w:p>
    <w:p w14:paraId="18670487" w14:textId="77777777" w:rsidR="008D0CAD" w:rsidRDefault="008D0CAD" w:rsidP="000440D6">
      <w:pPr>
        <w:spacing w:before="100" w:beforeAutospacing="1" w:after="100" w:afterAutospacing="1" w:line="360" w:lineRule="auto"/>
        <w:rPr>
          <w:rFonts w:asciiTheme="majorHAnsi" w:hAnsiTheme="majorHAnsi" w:cstheme="majorHAnsi"/>
        </w:rPr>
      </w:pPr>
      <w:r>
        <w:rPr>
          <w:rFonts w:asciiTheme="majorHAnsi" w:hAnsiTheme="majorHAnsi" w:cstheme="majorHAnsi"/>
        </w:rPr>
        <w:t xml:space="preserve">The </w:t>
      </w:r>
      <w:r w:rsidRPr="00350FA1">
        <w:rPr>
          <w:rFonts w:asciiTheme="majorHAnsi" w:hAnsiTheme="majorHAnsi" w:cstheme="majorHAnsi"/>
        </w:rPr>
        <w:t xml:space="preserve">BEST </w:t>
      </w:r>
      <w:r>
        <w:rPr>
          <w:rFonts w:asciiTheme="majorHAnsi" w:hAnsiTheme="majorHAnsi" w:cstheme="majorHAnsi"/>
        </w:rPr>
        <w:t>Program intended to attain three</w:t>
      </w:r>
      <w:r w:rsidRPr="00350FA1">
        <w:rPr>
          <w:rFonts w:asciiTheme="majorHAnsi" w:hAnsiTheme="majorHAnsi" w:cstheme="majorHAnsi"/>
        </w:rPr>
        <w:t xml:space="preserve"> program outcomes namely:</w:t>
      </w:r>
    </w:p>
    <w:p w14:paraId="4325751A" w14:textId="77777777" w:rsidR="008D0CAD" w:rsidRPr="00742043" w:rsidRDefault="008D0CAD" w:rsidP="000440D6">
      <w:pPr>
        <w:numPr>
          <w:ilvl w:val="0"/>
          <w:numId w:val="7"/>
        </w:numPr>
        <w:spacing w:before="100" w:beforeAutospacing="1" w:after="100" w:afterAutospacing="1" w:line="360" w:lineRule="auto"/>
        <w:ind w:left="714" w:hanging="357"/>
        <w:rPr>
          <w:rFonts w:asciiTheme="majorHAnsi" w:hAnsiTheme="majorHAnsi" w:cstheme="majorHAnsi"/>
          <w:color w:val="000000" w:themeColor="text1"/>
        </w:rPr>
      </w:pPr>
      <w:r w:rsidRPr="00742043">
        <w:rPr>
          <w:rFonts w:asciiTheme="majorHAnsi" w:hAnsiTheme="majorHAnsi" w:cstheme="majorHAnsi"/>
          <w:color w:val="000000" w:themeColor="text1"/>
        </w:rPr>
        <w:t>EOPO 1: More children are able to demonstrate improved mastery of curriculum competencies in (English, Mathematics and Science) and differences in learning outcomes for boys and girls are reduced in target areas</w:t>
      </w:r>
    </w:p>
    <w:p w14:paraId="0F0A39EB" w14:textId="77777777" w:rsidR="008D0CAD" w:rsidRPr="00742043" w:rsidRDefault="008D0CAD" w:rsidP="000440D6">
      <w:pPr>
        <w:numPr>
          <w:ilvl w:val="0"/>
          <w:numId w:val="7"/>
        </w:numPr>
        <w:spacing w:before="100" w:beforeAutospacing="1" w:after="100" w:afterAutospacing="1" w:line="360" w:lineRule="auto"/>
        <w:ind w:left="714" w:hanging="357"/>
        <w:rPr>
          <w:rFonts w:asciiTheme="majorHAnsi" w:hAnsiTheme="majorHAnsi" w:cstheme="majorHAnsi"/>
          <w:color w:val="000000" w:themeColor="text1"/>
        </w:rPr>
      </w:pPr>
      <w:r w:rsidRPr="00742043">
        <w:rPr>
          <w:rFonts w:asciiTheme="majorHAnsi" w:hAnsiTheme="majorHAnsi" w:cstheme="majorHAnsi"/>
          <w:color w:val="000000" w:themeColor="text1"/>
        </w:rPr>
        <w:t xml:space="preserve">EOPO 2: More boys and girls participate and complete a basic education in target areas. </w:t>
      </w:r>
    </w:p>
    <w:p w14:paraId="165CAD30" w14:textId="77777777" w:rsidR="008D0CAD" w:rsidRPr="00742043" w:rsidRDefault="008D0CAD" w:rsidP="000440D6">
      <w:pPr>
        <w:numPr>
          <w:ilvl w:val="0"/>
          <w:numId w:val="7"/>
        </w:numPr>
        <w:spacing w:before="100" w:beforeAutospacing="1" w:after="100" w:afterAutospacing="1" w:line="360" w:lineRule="auto"/>
        <w:ind w:left="714" w:hanging="357"/>
        <w:rPr>
          <w:rFonts w:asciiTheme="majorHAnsi" w:hAnsiTheme="majorHAnsi" w:cstheme="majorHAnsi"/>
          <w:color w:val="000000" w:themeColor="text1"/>
        </w:rPr>
      </w:pPr>
      <w:r w:rsidRPr="00742043">
        <w:rPr>
          <w:rFonts w:asciiTheme="majorHAnsi" w:hAnsiTheme="majorHAnsi" w:cstheme="majorHAnsi"/>
          <w:color w:val="000000" w:themeColor="text1"/>
        </w:rPr>
        <w:t xml:space="preserve">EOPO 3: </w:t>
      </w:r>
      <w:r>
        <w:rPr>
          <w:rFonts w:asciiTheme="majorHAnsi" w:hAnsiTheme="majorHAnsi" w:cstheme="majorHAnsi"/>
          <w:color w:val="000000" w:themeColor="text1"/>
        </w:rPr>
        <w:t>DepEd</w:t>
      </w:r>
      <w:r w:rsidRPr="00742043">
        <w:rPr>
          <w:rFonts w:asciiTheme="majorHAnsi" w:hAnsiTheme="majorHAnsi" w:cstheme="majorHAnsi"/>
          <w:color w:val="000000" w:themeColor="text1"/>
        </w:rPr>
        <w:t xml:space="preserve"> is better able to deliver basic education services, and that are more gender responsive and inclusive; and with greater decentrali</w:t>
      </w:r>
      <w:r>
        <w:rPr>
          <w:rFonts w:asciiTheme="majorHAnsi" w:hAnsiTheme="majorHAnsi" w:cstheme="majorHAnsi"/>
          <w:color w:val="000000" w:themeColor="text1"/>
        </w:rPr>
        <w:t>s</w:t>
      </w:r>
      <w:r w:rsidRPr="00742043">
        <w:rPr>
          <w:rFonts w:asciiTheme="majorHAnsi" w:hAnsiTheme="majorHAnsi" w:cstheme="majorHAnsi"/>
          <w:color w:val="000000" w:themeColor="text1"/>
        </w:rPr>
        <w:t xml:space="preserve">ation of management and accountability to the field offices and schools. </w:t>
      </w:r>
    </w:p>
    <w:p w14:paraId="7C6CC27B" w14:textId="31F38840" w:rsidR="008D0CAD" w:rsidRPr="00DA2784" w:rsidRDefault="008D0CAD" w:rsidP="000440D6">
      <w:pPr>
        <w:spacing w:before="100" w:beforeAutospacing="1" w:after="100" w:afterAutospacing="1" w:line="360" w:lineRule="auto"/>
        <w:rPr>
          <w:rFonts w:asciiTheme="majorHAnsi" w:hAnsiTheme="majorHAnsi" w:cstheme="majorHAnsi"/>
        </w:rPr>
      </w:pPr>
      <w:r w:rsidRPr="00DA2784">
        <w:rPr>
          <w:rFonts w:asciiTheme="majorHAnsi" w:hAnsiTheme="majorHAnsi" w:cstheme="majorHAnsi"/>
        </w:rPr>
        <w:t xml:space="preserve">Thus, two major components were </w:t>
      </w:r>
      <w:r>
        <w:rPr>
          <w:rFonts w:asciiTheme="majorHAnsi" w:hAnsiTheme="majorHAnsi" w:cstheme="majorHAnsi"/>
        </w:rPr>
        <w:t>designed</w:t>
      </w:r>
      <w:r w:rsidRPr="00DA2784">
        <w:rPr>
          <w:rFonts w:asciiTheme="majorHAnsi" w:hAnsiTheme="majorHAnsi" w:cstheme="majorHAnsi"/>
        </w:rPr>
        <w:t xml:space="preserve"> to achieve these outcomes. The long-term goals of the Program that </w:t>
      </w:r>
      <w:r>
        <w:rPr>
          <w:rFonts w:asciiTheme="majorHAnsi" w:hAnsiTheme="majorHAnsi" w:cstheme="majorHAnsi"/>
        </w:rPr>
        <w:t>would</w:t>
      </w:r>
      <w:r w:rsidRPr="00DA2784">
        <w:rPr>
          <w:rFonts w:asciiTheme="majorHAnsi" w:hAnsiTheme="majorHAnsi" w:cstheme="majorHAnsi"/>
        </w:rPr>
        <w:t xml:space="preserve"> contribute towards the goals of other Australian Government supported initiatives, the work of the Department of Education and other development partners.</w:t>
      </w:r>
      <w:r w:rsidR="00D434EB">
        <w:rPr>
          <w:rFonts w:asciiTheme="majorHAnsi" w:hAnsiTheme="majorHAnsi" w:cstheme="majorHAnsi"/>
        </w:rPr>
        <w:t xml:space="preserve"> </w:t>
      </w:r>
      <w:r w:rsidRPr="00DA2784">
        <w:rPr>
          <w:rFonts w:asciiTheme="majorHAnsi" w:hAnsiTheme="majorHAnsi" w:cstheme="majorHAnsi"/>
        </w:rPr>
        <w:t>The program outcomes represent</w:t>
      </w:r>
      <w:r>
        <w:rPr>
          <w:rFonts w:asciiTheme="majorHAnsi" w:hAnsiTheme="majorHAnsi" w:cstheme="majorHAnsi"/>
        </w:rPr>
        <w:t>ed</w:t>
      </w:r>
      <w:r w:rsidRPr="00DA2784">
        <w:rPr>
          <w:rFonts w:asciiTheme="majorHAnsi" w:hAnsiTheme="majorHAnsi" w:cstheme="majorHAnsi"/>
        </w:rPr>
        <w:t xml:space="preserve"> what BEST Program Phase 1 aim</w:t>
      </w:r>
      <w:r>
        <w:rPr>
          <w:rFonts w:asciiTheme="majorHAnsi" w:hAnsiTheme="majorHAnsi" w:cstheme="majorHAnsi"/>
        </w:rPr>
        <w:t>ed</w:t>
      </w:r>
      <w:r w:rsidRPr="00DA2784">
        <w:rPr>
          <w:rFonts w:asciiTheme="majorHAnsi" w:hAnsiTheme="majorHAnsi" w:cstheme="majorHAnsi"/>
        </w:rPr>
        <w:t xml:space="preserve"> to achieve by the </w:t>
      </w:r>
      <w:r w:rsidRPr="004054A9">
        <w:rPr>
          <w:rFonts w:asciiTheme="majorHAnsi" w:hAnsiTheme="majorHAnsi" w:cstheme="majorHAnsi"/>
          <w:color w:val="000000" w:themeColor="text1"/>
        </w:rPr>
        <w:t>end of Year Six. The intermediate outcomes were the preconditions for the program outcomes, i.e. these outcomes needed to happen in order to reali</w:t>
      </w:r>
      <w:r>
        <w:rPr>
          <w:rFonts w:asciiTheme="majorHAnsi" w:hAnsiTheme="majorHAnsi" w:cstheme="majorHAnsi"/>
          <w:color w:val="000000" w:themeColor="text1"/>
        </w:rPr>
        <w:t>s</w:t>
      </w:r>
      <w:r w:rsidRPr="004054A9">
        <w:rPr>
          <w:rFonts w:asciiTheme="majorHAnsi" w:hAnsiTheme="majorHAnsi" w:cstheme="majorHAnsi"/>
          <w:color w:val="000000" w:themeColor="text1"/>
        </w:rPr>
        <w:t xml:space="preserve">e the program outcomes (see Annex A. BEST Program’s Theory of Change). The implementation strategies were what was needed to achieve these outcomes. Foundation outcomes </w:t>
      </w:r>
      <w:r w:rsidRPr="00DA2784">
        <w:rPr>
          <w:rFonts w:asciiTheme="majorHAnsi" w:hAnsiTheme="majorHAnsi" w:cstheme="majorHAnsi"/>
        </w:rPr>
        <w:t>and related foundation</w:t>
      </w:r>
      <w:r>
        <w:rPr>
          <w:rFonts w:asciiTheme="majorHAnsi" w:hAnsiTheme="majorHAnsi" w:cstheme="majorHAnsi"/>
        </w:rPr>
        <w:t>-</w:t>
      </w:r>
      <w:r w:rsidRPr="00DA2784">
        <w:rPr>
          <w:rFonts w:asciiTheme="majorHAnsi" w:hAnsiTheme="majorHAnsi" w:cstheme="majorHAnsi"/>
        </w:rPr>
        <w:t>work support</w:t>
      </w:r>
      <w:r>
        <w:rPr>
          <w:rFonts w:asciiTheme="majorHAnsi" w:hAnsiTheme="majorHAnsi" w:cstheme="majorHAnsi"/>
        </w:rPr>
        <w:t>ed</w:t>
      </w:r>
      <w:r w:rsidRPr="00DA2784">
        <w:rPr>
          <w:rFonts w:asciiTheme="majorHAnsi" w:hAnsiTheme="majorHAnsi" w:cstheme="majorHAnsi"/>
        </w:rPr>
        <w:t xml:space="preserve"> the end of program outcomes. </w:t>
      </w:r>
    </w:p>
    <w:p w14:paraId="736DE3CA" w14:textId="4D291487" w:rsidR="008D0CAD" w:rsidRPr="005778B6" w:rsidRDefault="008D0CAD" w:rsidP="000440D6">
      <w:pPr>
        <w:spacing w:before="100" w:beforeAutospacing="1" w:after="100" w:afterAutospacing="1" w:line="360" w:lineRule="auto"/>
        <w:rPr>
          <w:rFonts w:asciiTheme="majorHAnsi" w:hAnsiTheme="majorHAnsi" w:cstheme="majorHAnsi"/>
          <w:color w:val="000000" w:themeColor="text1"/>
        </w:rPr>
      </w:pPr>
      <w:r w:rsidRPr="00DA2784">
        <w:rPr>
          <w:rFonts w:asciiTheme="majorHAnsi" w:hAnsiTheme="majorHAnsi" w:cstheme="majorHAnsi"/>
        </w:rPr>
        <w:t xml:space="preserve">The first component focused on the improvement of teaching </w:t>
      </w:r>
      <w:r>
        <w:rPr>
          <w:rFonts w:asciiTheme="majorHAnsi" w:hAnsiTheme="majorHAnsi" w:cstheme="majorHAnsi"/>
        </w:rPr>
        <w:t>and</w:t>
      </w:r>
      <w:r w:rsidRPr="00DA2784">
        <w:rPr>
          <w:rFonts w:asciiTheme="majorHAnsi" w:hAnsiTheme="majorHAnsi" w:cstheme="majorHAnsi"/>
        </w:rPr>
        <w:t xml:space="preserve"> learning while the second </w:t>
      </w:r>
      <w:r>
        <w:rPr>
          <w:rFonts w:asciiTheme="majorHAnsi" w:hAnsiTheme="majorHAnsi" w:cstheme="majorHAnsi"/>
        </w:rPr>
        <w:t xml:space="preserve">component </w:t>
      </w:r>
      <w:r w:rsidRPr="00DA2784">
        <w:rPr>
          <w:rFonts w:asciiTheme="majorHAnsi" w:hAnsiTheme="majorHAnsi" w:cstheme="majorHAnsi"/>
        </w:rPr>
        <w:t>focused on the strengthening of systems that use</w:t>
      </w:r>
      <w:r>
        <w:rPr>
          <w:rFonts w:asciiTheme="majorHAnsi" w:hAnsiTheme="majorHAnsi" w:cstheme="majorHAnsi"/>
        </w:rPr>
        <w:t>d</w:t>
      </w:r>
      <w:r w:rsidRPr="00DA2784">
        <w:rPr>
          <w:rFonts w:asciiTheme="majorHAnsi" w:hAnsiTheme="majorHAnsi" w:cstheme="majorHAnsi"/>
        </w:rPr>
        <w:t xml:space="preserve"> evidence-based policy and planning and organi</w:t>
      </w:r>
      <w:r>
        <w:rPr>
          <w:rFonts w:asciiTheme="majorHAnsi" w:hAnsiTheme="majorHAnsi" w:cstheme="majorHAnsi"/>
        </w:rPr>
        <w:t>s</w:t>
      </w:r>
      <w:r w:rsidRPr="00DA2784">
        <w:rPr>
          <w:rFonts w:asciiTheme="majorHAnsi" w:hAnsiTheme="majorHAnsi" w:cstheme="majorHAnsi"/>
        </w:rPr>
        <w:t>ation development.</w:t>
      </w:r>
      <w:r w:rsidR="00D434EB">
        <w:rPr>
          <w:rFonts w:asciiTheme="majorHAnsi" w:hAnsiTheme="majorHAnsi" w:cstheme="majorHAnsi"/>
        </w:rPr>
        <w:t xml:space="preserve"> </w:t>
      </w:r>
      <w:r w:rsidRPr="00DA2784">
        <w:rPr>
          <w:rFonts w:asciiTheme="majorHAnsi" w:hAnsiTheme="majorHAnsi" w:cstheme="majorHAnsi"/>
        </w:rPr>
        <w:t xml:space="preserve">These outcomes </w:t>
      </w:r>
      <w:r>
        <w:rPr>
          <w:rFonts w:asciiTheme="majorHAnsi" w:hAnsiTheme="majorHAnsi" w:cstheme="majorHAnsi"/>
        </w:rPr>
        <w:t>were</w:t>
      </w:r>
      <w:r w:rsidRPr="00DA2784">
        <w:rPr>
          <w:rFonts w:asciiTheme="majorHAnsi" w:hAnsiTheme="majorHAnsi" w:cstheme="majorHAnsi"/>
        </w:rPr>
        <w:t xml:space="preserve"> very </w:t>
      </w:r>
      <w:r>
        <w:rPr>
          <w:rFonts w:asciiTheme="majorHAnsi" w:hAnsiTheme="majorHAnsi" w:cstheme="majorHAnsi"/>
        </w:rPr>
        <w:t xml:space="preserve">much </w:t>
      </w:r>
      <w:r w:rsidRPr="00DA2784">
        <w:rPr>
          <w:rFonts w:asciiTheme="majorHAnsi" w:hAnsiTheme="majorHAnsi" w:cstheme="majorHAnsi"/>
        </w:rPr>
        <w:t xml:space="preserve">aligned with the priorities of the Philippine Government to find ways to boost the economy and make it more inclusive. Moreover, the aligning of the Philippine Education systems to international standards will </w:t>
      </w:r>
      <w:r>
        <w:rPr>
          <w:rFonts w:asciiTheme="majorHAnsi" w:hAnsiTheme="majorHAnsi" w:cstheme="majorHAnsi"/>
          <w:color w:val="000000" w:themeColor="text1"/>
        </w:rPr>
        <w:t>build</w:t>
      </w:r>
      <w:r w:rsidRPr="005778B6">
        <w:rPr>
          <w:rFonts w:asciiTheme="majorHAnsi" w:hAnsiTheme="majorHAnsi" w:cstheme="majorHAnsi"/>
          <w:color w:val="000000" w:themeColor="text1"/>
        </w:rPr>
        <w:t xml:space="preserve"> a competitive workforce necessary to take part in various economic agreements.</w:t>
      </w:r>
      <w:r w:rsidR="00D434EB">
        <w:rPr>
          <w:rFonts w:asciiTheme="majorHAnsi" w:hAnsiTheme="majorHAnsi" w:cstheme="majorHAnsi"/>
          <w:color w:val="000000" w:themeColor="text1"/>
        </w:rPr>
        <w:t xml:space="preserve"> </w:t>
      </w:r>
    </w:p>
    <w:p w14:paraId="59C8A701" w14:textId="3C055583" w:rsidR="008D0CAD" w:rsidRPr="00CB2567" w:rsidRDefault="008D0CAD" w:rsidP="000440D6">
      <w:pPr>
        <w:spacing w:before="100" w:beforeAutospacing="1" w:after="100" w:afterAutospacing="1" w:line="360" w:lineRule="auto"/>
        <w:rPr>
          <w:rFonts w:asciiTheme="majorHAnsi" w:hAnsiTheme="majorHAnsi" w:cstheme="majorHAnsi"/>
          <w:color w:val="000000" w:themeColor="text1"/>
        </w:rPr>
      </w:pPr>
      <w:r w:rsidRPr="005778B6">
        <w:rPr>
          <w:rFonts w:asciiTheme="majorHAnsi" w:hAnsiTheme="majorHAnsi" w:cstheme="majorHAnsi"/>
          <w:color w:val="000000" w:themeColor="text1"/>
        </w:rPr>
        <w:t xml:space="preserve">The Program Theory of Change was revised mid-project to reflect the priorities of the new administration of </w:t>
      </w:r>
      <w:r>
        <w:rPr>
          <w:rFonts w:asciiTheme="majorHAnsi" w:hAnsiTheme="majorHAnsi" w:cstheme="majorHAnsi"/>
          <w:color w:val="000000" w:themeColor="text1"/>
        </w:rPr>
        <w:t>DepEd</w:t>
      </w:r>
      <w:r w:rsidRPr="005778B6">
        <w:rPr>
          <w:rFonts w:asciiTheme="majorHAnsi" w:hAnsiTheme="majorHAnsi" w:cstheme="majorHAnsi"/>
          <w:color w:val="000000" w:themeColor="text1"/>
        </w:rPr>
        <w:t>.</w:t>
      </w:r>
      <w:r w:rsidR="00D434EB">
        <w:rPr>
          <w:rFonts w:asciiTheme="majorHAnsi" w:hAnsiTheme="majorHAnsi" w:cstheme="majorHAnsi"/>
          <w:color w:val="000000" w:themeColor="text1"/>
        </w:rPr>
        <w:t xml:space="preserve"> </w:t>
      </w:r>
      <w:r w:rsidRPr="000006E2">
        <w:rPr>
          <w:rFonts w:asciiTheme="majorHAnsi" w:hAnsiTheme="majorHAnsi" w:cstheme="majorHAnsi"/>
          <w:color w:val="000000" w:themeColor="text1"/>
        </w:rPr>
        <w:t xml:space="preserve">Refer also to Annex A </w:t>
      </w:r>
      <w:r>
        <w:rPr>
          <w:rFonts w:asciiTheme="majorHAnsi" w:hAnsiTheme="majorHAnsi" w:cstheme="majorHAnsi"/>
          <w:color w:val="000000" w:themeColor="text1"/>
        </w:rPr>
        <w:t>for the</w:t>
      </w:r>
      <w:r w:rsidRPr="005778B6">
        <w:rPr>
          <w:rFonts w:asciiTheme="majorHAnsi" w:hAnsiTheme="majorHAnsi" w:cstheme="majorHAnsi"/>
          <w:color w:val="000000" w:themeColor="text1"/>
        </w:rPr>
        <w:t xml:space="preserve"> revised BEST Program’s </w:t>
      </w:r>
      <w:r>
        <w:rPr>
          <w:rFonts w:asciiTheme="majorHAnsi" w:hAnsiTheme="majorHAnsi" w:cstheme="majorHAnsi"/>
          <w:color w:val="000000" w:themeColor="text1"/>
        </w:rPr>
        <w:t>Theory of Change</w:t>
      </w:r>
      <w:r w:rsidRPr="005778B6">
        <w:rPr>
          <w:rFonts w:asciiTheme="majorHAnsi" w:hAnsiTheme="majorHAnsi" w:cstheme="majorHAnsi"/>
          <w:color w:val="000000" w:themeColor="text1"/>
        </w:rPr>
        <w:t xml:space="preserve">. The </w:t>
      </w:r>
      <w:r>
        <w:rPr>
          <w:rFonts w:asciiTheme="majorHAnsi" w:hAnsiTheme="majorHAnsi" w:cstheme="majorHAnsi"/>
        </w:rPr>
        <w:t xml:space="preserve">Program </w:t>
      </w:r>
      <w:r w:rsidRPr="00DA2784">
        <w:rPr>
          <w:rFonts w:asciiTheme="majorHAnsi" w:hAnsiTheme="majorHAnsi" w:cstheme="majorHAnsi"/>
        </w:rPr>
        <w:t xml:space="preserve">intended to provide seven types of inputs: </w:t>
      </w:r>
    </w:p>
    <w:p w14:paraId="01BBBD7D" w14:textId="77777777" w:rsidR="008D0CAD" w:rsidRPr="00DA2784" w:rsidRDefault="008D0CAD" w:rsidP="000440D6">
      <w:pPr>
        <w:pStyle w:val="ListParagraph"/>
        <w:numPr>
          <w:ilvl w:val="0"/>
          <w:numId w:val="8"/>
        </w:numPr>
        <w:spacing w:before="100" w:beforeAutospacing="1" w:after="100" w:afterAutospacing="1" w:line="360" w:lineRule="auto"/>
        <w:ind w:left="714" w:hanging="357"/>
        <w:contextualSpacing w:val="0"/>
        <w:rPr>
          <w:rFonts w:asciiTheme="majorHAnsi" w:hAnsiTheme="majorHAnsi" w:cstheme="majorHAnsi"/>
        </w:rPr>
      </w:pPr>
      <w:r w:rsidRPr="00DA2784">
        <w:rPr>
          <w:rFonts w:asciiTheme="majorHAnsi" w:hAnsiTheme="majorHAnsi" w:cstheme="majorHAnsi"/>
        </w:rPr>
        <w:t>Provision of technical expertise through specialist consultants;</w:t>
      </w:r>
    </w:p>
    <w:p w14:paraId="1A611C02" w14:textId="77777777" w:rsidR="008D0CAD" w:rsidRPr="00DA2784" w:rsidRDefault="008D0CAD" w:rsidP="000440D6">
      <w:pPr>
        <w:pStyle w:val="ListParagraph"/>
        <w:numPr>
          <w:ilvl w:val="0"/>
          <w:numId w:val="8"/>
        </w:numPr>
        <w:spacing w:before="100" w:beforeAutospacing="1" w:after="100" w:afterAutospacing="1" w:line="360" w:lineRule="auto"/>
        <w:ind w:left="714" w:hanging="357"/>
        <w:contextualSpacing w:val="0"/>
        <w:rPr>
          <w:rFonts w:asciiTheme="majorHAnsi" w:hAnsiTheme="majorHAnsi" w:cstheme="majorHAnsi"/>
        </w:rPr>
      </w:pPr>
      <w:r w:rsidRPr="00DA2784">
        <w:rPr>
          <w:rFonts w:asciiTheme="majorHAnsi" w:hAnsiTheme="majorHAnsi" w:cstheme="majorHAnsi"/>
        </w:rPr>
        <w:t>Capacity development through the conduct of training and provision of mentoring and coaching; this likewise includes the provision of scholarships to promote the teaching profession</w:t>
      </w:r>
    </w:p>
    <w:p w14:paraId="1A7C4A07" w14:textId="77777777" w:rsidR="008D0CAD" w:rsidRDefault="008D0CAD" w:rsidP="000440D6">
      <w:pPr>
        <w:pStyle w:val="ListParagraph"/>
        <w:numPr>
          <w:ilvl w:val="0"/>
          <w:numId w:val="8"/>
        </w:numPr>
        <w:spacing w:before="100" w:beforeAutospacing="1" w:after="100" w:afterAutospacing="1" w:line="360" w:lineRule="auto"/>
        <w:ind w:left="714" w:hanging="357"/>
        <w:contextualSpacing w:val="0"/>
        <w:rPr>
          <w:rFonts w:asciiTheme="majorHAnsi" w:hAnsiTheme="majorHAnsi" w:cstheme="majorHAnsi"/>
        </w:rPr>
      </w:pPr>
      <w:r>
        <w:rPr>
          <w:rFonts w:asciiTheme="majorHAnsi" w:hAnsiTheme="majorHAnsi" w:cstheme="majorHAnsi"/>
        </w:rPr>
        <w:t>P</w:t>
      </w:r>
      <w:r w:rsidRPr="00742043">
        <w:rPr>
          <w:rFonts w:asciiTheme="majorHAnsi" w:hAnsiTheme="majorHAnsi" w:cstheme="majorHAnsi"/>
        </w:rPr>
        <w:t xml:space="preserve">rovision of </w:t>
      </w:r>
      <w:r>
        <w:rPr>
          <w:rFonts w:asciiTheme="majorHAnsi" w:hAnsiTheme="majorHAnsi" w:cstheme="majorHAnsi"/>
        </w:rPr>
        <w:t>i</w:t>
      </w:r>
      <w:r w:rsidRPr="00742043">
        <w:rPr>
          <w:rFonts w:asciiTheme="majorHAnsi" w:hAnsiTheme="majorHAnsi" w:cstheme="majorHAnsi"/>
        </w:rPr>
        <w:t>nfrastructure</w:t>
      </w:r>
      <w:r>
        <w:rPr>
          <w:rFonts w:asciiTheme="majorHAnsi" w:hAnsiTheme="majorHAnsi" w:cstheme="majorHAnsi"/>
        </w:rPr>
        <w:t xml:space="preserve"> mainly c</w:t>
      </w:r>
      <w:r w:rsidRPr="00742043">
        <w:rPr>
          <w:rFonts w:asciiTheme="majorHAnsi" w:hAnsiTheme="majorHAnsi" w:cstheme="majorHAnsi"/>
        </w:rPr>
        <w:t xml:space="preserve">onstruction of </w:t>
      </w:r>
      <w:r>
        <w:rPr>
          <w:rFonts w:asciiTheme="majorHAnsi" w:hAnsiTheme="majorHAnsi" w:cstheme="majorHAnsi"/>
        </w:rPr>
        <w:t>classrooms, with attendant facilities for Inclusive Education</w:t>
      </w:r>
      <w:r w:rsidRPr="00742043">
        <w:rPr>
          <w:rFonts w:asciiTheme="majorHAnsi" w:hAnsiTheme="majorHAnsi" w:cstheme="majorHAnsi"/>
        </w:rPr>
        <w:t xml:space="preserve"> </w:t>
      </w:r>
    </w:p>
    <w:p w14:paraId="2D30BC18" w14:textId="77777777" w:rsidR="008D0CAD" w:rsidRDefault="008D0CAD" w:rsidP="000440D6">
      <w:pPr>
        <w:pStyle w:val="ListParagraph"/>
        <w:numPr>
          <w:ilvl w:val="0"/>
          <w:numId w:val="8"/>
        </w:numPr>
        <w:spacing w:before="100" w:beforeAutospacing="1" w:after="100" w:afterAutospacing="1" w:line="360" w:lineRule="auto"/>
        <w:ind w:left="714" w:hanging="357"/>
        <w:contextualSpacing w:val="0"/>
        <w:rPr>
          <w:rFonts w:asciiTheme="majorHAnsi" w:hAnsiTheme="majorHAnsi" w:cstheme="majorHAnsi"/>
        </w:rPr>
      </w:pPr>
      <w:r w:rsidRPr="00B84BED">
        <w:rPr>
          <w:rFonts w:asciiTheme="majorHAnsi" w:hAnsiTheme="majorHAnsi" w:cstheme="majorHAnsi"/>
        </w:rPr>
        <w:t>Procurement of ICT assets</w:t>
      </w:r>
      <w:r>
        <w:rPr>
          <w:rFonts w:asciiTheme="majorHAnsi" w:hAnsiTheme="majorHAnsi" w:cstheme="majorHAnsi"/>
        </w:rPr>
        <w:t xml:space="preserve"> </w:t>
      </w:r>
      <w:r w:rsidRPr="00B84BED">
        <w:rPr>
          <w:rFonts w:asciiTheme="majorHAnsi" w:hAnsiTheme="majorHAnsi" w:cstheme="majorHAnsi"/>
        </w:rPr>
        <w:t>such as servers, hardware, software, ICT infrastructure, furniture and other necessities to support operations</w:t>
      </w:r>
      <w:r>
        <w:rPr>
          <w:rFonts w:asciiTheme="majorHAnsi" w:hAnsiTheme="majorHAnsi" w:cstheme="majorHAnsi"/>
        </w:rPr>
        <w:t>;</w:t>
      </w:r>
    </w:p>
    <w:p w14:paraId="41ACBE7C" w14:textId="77777777" w:rsidR="008D0CAD" w:rsidRDefault="008D0CAD" w:rsidP="000440D6">
      <w:pPr>
        <w:pStyle w:val="ListParagraph"/>
        <w:numPr>
          <w:ilvl w:val="0"/>
          <w:numId w:val="8"/>
        </w:numPr>
        <w:spacing w:before="100" w:beforeAutospacing="1" w:after="100" w:afterAutospacing="1" w:line="360" w:lineRule="auto"/>
        <w:ind w:left="714" w:hanging="357"/>
        <w:contextualSpacing w:val="0"/>
        <w:rPr>
          <w:rFonts w:asciiTheme="majorHAnsi" w:hAnsiTheme="majorHAnsi" w:cstheme="majorHAnsi"/>
        </w:rPr>
      </w:pPr>
      <w:r w:rsidRPr="00B84BED">
        <w:rPr>
          <w:rFonts w:asciiTheme="majorHAnsi" w:hAnsiTheme="majorHAnsi" w:cstheme="majorHAnsi"/>
        </w:rPr>
        <w:t xml:space="preserve">Research Management </w:t>
      </w:r>
      <w:r>
        <w:rPr>
          <w:rFonts w:asciiTheme="majorHAnsi" w:hAnsiTheme="majorHAnsi" w:cstheme="majorHAnsi"/>
        </w:rPr>
        <w:t>or the c</w:t>
      </w:r>
      <w:r w:rsidRPr="00B84BED">
        <w:rPr>
          <w:rFonts w:asciiTheme="majorHAnsi" w:hAnsiTheme="majorHAnsi" w:cstheme="majorHAnsi"/>
        </w:rPr>
        <w:t xml:space="preserve">onduct or commission of research </w:t>
      </w:r>
      <w:r>
        <w:rPr>
          <w:rFonts w:asciiTheme="majorHAnsi" w:hAnsiTheme="majorHAnsi" w:cstheme="majorHAnsi"/>
        </w:rPr>
        <w:t>to inform policy</w:t>
      </w:r>
    </w:p>
    <w:p w14:paraId="1B1465C1" w14:textId="77777777" w:rsidR="008D0CAD" w:rsidRDefault="008D0CAD" w:rsidP="000440D6">
      <w:pPr>
        <w:pStyle w:val="ListParagraph"/>
        <w:numPr>
          <w:ilvl w:val="0"/>
          <w:numId w:val="8"/>
        </w:numPr>
        <w:spacing w:before="100" w:beforeAutospacing="1" w:after="100" w:afterAutospacing="1" w:line="360" w:lineRule="auto"/>
        <w:ind w:left="714" w:hanging="357"/>
        <w:contextualSpacing w:val="0"/>
        <w:rPr>
          <w:rFonts w:asciiTheme="majorHAnsi" w:hAnsiTheme="majorHAnsi" w:cstheme="majorHAnsi"/>
        </w:rPr>
      </w:pPr>
      <w:r w:rsidRPr="00B84BED">
        <w:rPr>
          <w:rFonts w:asciiTheme="majorHAnsi" w:hAnsiTheme="majorHAnsi" w:cstheme="majorHAnsi"/>
        </w:rPr>
        <w:t>Small Grants Management</w:t>
      </w:r>
      <w:r>
        <w:rPr>
          <w:rFonts w:asciiTheme="majorHAnsi" w:hAnsiTheme="majorHAnsi" w:cstheme="majorHAnsi"/>
        </w:rPr>
        <w:t xml:space="preserve"> or the</w:t>
      </w:r>
      <w:r w:rsidRPr="00B84BED">
        <w:rPr>
          <w:rFonts w:asciiTheme="majorHAnsi" w:hAnsiTheme="majorHAnsi" w:cstheme="majorHAnsi"/>
        </w:rPr>
        <w:t xml:space="preserve"> </w:t>
      </w:r>
      <w:r>
        <w:rPr>
          <w:rFonts w:asciiTheme="majorHAnsi" w:hAnsiTheme="majorHAnsi" w:cstheme="majorHAnsi"/>
        </w:rPr>
        <w:t>provision of financial assistance</w:t>
      </w:r>
      <w:r w:rsidRPr="00B84BED">
        <w:rPr>
          <w:rFonts w:asciiTheme="majorHAnsi" w:hAnsiTheme="majorHAnsi" w:cstheme="majorHAnsi"/>
        </w:rPr>
        <w:t xml:space="preserve"> </w:t>
      </w:r>
      <w:r>
        <w:rPr>
          <w:rFonts w:asciiTheme="majorHAnsi" w:hAnsiTheme="majorHAnsi" w:cstheme="majorHAnsi"/>
        </w:rPr>
        <w:t>(in the amount of Php</w:t>
      </w:r>
      <w:r w:rsidRPr="00B84BED">
        <w:rPr>
          <w:rFonts w:asciiTheme="majorHAnsi" w:hAnsiTheme="majorHAnsi" w:cstheme="majorHAnsi"/>
        </w:rPr>
        <w:t>50,000-</w:t>
      </w:r>
      <w:r>
        <w:rPr>
          <w:rFonts w:asciiTheme="majorHAnsi" w:hAnsiTheme="majorHAnsi" w:cstheme="majorHAnsi"/>
        </w:rPr>
        <w:t>Php</w:t>
      </w:r>
      <w:r w:rsidRPr="00B84BED">
        <w:rPr>
          <w:rFonts w:asciiTheme="majorHAnsi" w:hAnsiTheme="majorHAnsi" w:cstheme="majorHAnsi"/>
        </w:rPr>
        <w:t>200,</w:t>
      </w:r>
      <w:r>
        <w:rPr>
          <w:rFonts w:asciiTheme="majorHAnsi" w:hAnsiTheme="majorHAnsi" w:cstheme="majorHAnsi"/>
        </w:rPr>
        <w:t>0</w:t>
      </w:r>
      <w:r w:rsidRPr="00B84BED">
        <w:rPr>
          <w:rFonts w:asciiTheme="majorHAnsi" w:hAnsiTheme="majorHAnsi" w:cstheme="majorHAnsi"/>
        </w:rPr>
        <w:t xml:space="preserve">00) provided directly to regions, divisions </w:t>
      </w:r>
      <w:r>
        <w:rPr>
          <w:rFonts w:asciiTheme="majorHAnsi" w:hAnsiTheme="majorHAnsi" w:cstheme="majorHAnsi"/>
        </w:rPr>
        <w:t>or</w:t>
      </w:r>
      <w:r w:rsidRPr="00B84BED">
        <w:rPr>
          <w:rFonts w:asciiTheme="majorHAnsi" w:hAnsiTheme="majorHAnsi" w:cstheme="majorHAnsi"/>
        </w:rPr>
        <w:t xml:space="preserve"> schools communities as incentives </w:t>
      </w:r>
      <w:r>
        <w:rPr>
          <w:rFonts w:asciiTheme="majorHAnsi" w:hAnsiTheme="majorHAnsi" w:cstheme="majorHAnsi"/>
        </w:rPr>
        <w:t>for the pursuit of innovations; and</w:t>
      </w:r>
    </w:p>
    <w:p w14:paraId="78905442" w14:textId="77777777" w:rsidR="008D0CAD" w:rsidRPr="00D90C28" w:rsidRDefault="008D0CAD" w:rsidP="000440D6">
      <w:pPr>
        <w:pStyle w:val="ListParagraph"/>
        <w:numPr>
          <w:ilvl w:val="0"/>
          <w:numId w:val="8"/>
        </w:numPr>
        <w:spacing w:before="100" w:beforeAutospacing="1" w:after="100" w:afterAutospacing="1" w:line="360" w:lineRule="auto"/>
        <w:ind w:left="714" w:hanging="357"/>
        <w:contextualSpacing w:val="0"/>
        <w:rPr>
          <w:rFonts w:asciiTheme="majorHAnsi" w:hAnsiTheme="majorHAnsi" w:cstheme="majorHAnsi"/>
        </w:rPr>
      </w:pPr>
      <w:r w:rsidRPr="00B84BED">
        <w:rPr>
          <w:rFonts w:asciiTheme="majorHAnsi" w:hAnsiTheme="majorHAnsi" w:cstheme="majorHAnsi"/>
        </w:rPr>
        <w:t>Program Management Support</w:t>
      </w:r>
      <w:r>
        <w:rPr>
          <w:rFonts w:asciiTheme="majorHAnsi" w:hAnsiTheme="majorHAnsi" w:cstheme="majorHAnsi"/>
        </w:rPr>
        <w:t>, which includes</w:t>
      </w:r>
      <w:r w:rsidRPr="00B84BED">
        <w:rPr>
          <w:rFonts w:asciiTheme="majorHAnsi" w:hAnsiTheme="majorHAnsi" w:cstheme="majorHAnsi"/>
        </w:rPr>
        <w:t xml:space="preserve"> </w:t>
      </w:r>
      <w:r>
        <w:rPr>
          <w:rFonts w:asciiTheme="majorHAnsi" w:hAnsiTheme="majorHAnsi" w:cstheme="majorHAnsi"/>
        </w:rPr>
        <w:t>Monitoring and Evaluation</w:t>
      </w:r>
      <w:r w:rsidRPr="00B84BED">
        <w:rPr>
          <w:rFonts w:asciiTheme="majorHAnsi" w:hAnsiTheme="majorHAnsi" w:cstheme="majorHAnsi"/>
        </w:rPr>
        <w:t xml:space="preserve">, quality assurance, sub-contracting, procurement and other support services for efficient and effective implementation. </w:t>
      </w:r>
    </w:p>
    <w:p w14:paraId="53FD5C31" w14:textId="77777777" w:rsidR="008D0CAD" w:rsidRPr="00AC59D5" w:rsidRDefault="008D0CAD" w:rsidP="000440D6">
      <w:pPr>
        <w:spacing w:before="100" w:beforeAutospacing="1" w:after="100" w:afterAutospacing="1" w:line="360" w:lineRule="auto"/>
        <w:rPr>
          <w:rFonts w:asciiTheme="majorHAnsi" w:hAnsiTheme="majorHAnsi" w:cstheme="majorHAnsi"/>
          <w:color w:val="FF0000"/>
        </w:rPr>
      </w:pPr>
      <w:r>
        <w:rPr>
          <w:rFonts w:asciiTheme="majorHAnsi" w:hAnsiTheme="majorHAnsi" w:cstheme="majorHAnsi"/>
        </w:rPr>
        <w:t>All but one of the seven</w:t>
      </w:r>
      <w:r w:rsidRPr="00742043">
        <w:rPr>
          <w:rFonts w:asciiTheme="majorHAnsi" w:hAnsiTheme="majorHAnsi" w:cstheme="majorHAnsi"/>
        </w:rPr>
        <w:t xml:space="preserve"> inputs</w:t>
      </w:r>
      <w:r>
        <w:rPr>
          <w:rFonts w:asciiTheme="majorHAnsi" w:hAnsiTheme="majorHAnsi" w:cstheme="majorHAnsi"/>
        </w:rPr>
        <w:t xml:space="preserve"> were provided directly to DepEd and DepEd personnel. The exception was the teacher education scholarships. Limited TA was also provided to the Commission on Higher Education (CHED) in relation to pre-service teacher education. The original design of the TA had two main components: </w:t>
      </w:r>
      <w:r w:rsidRPr="00D90C28">
        <w:rPr>
          <w:rFonts w:asciiTheme="majorHAnsi" w:hAnsiTheme="majorHAnsi" w:cstheme="majorHAnsi"/>
        </w:rPr>
        <w:t>Component 1</w:t>
      </w:r>
      <w:r>
        <w:rPr>
          <w:rFonts w:asciiTheme="majorHAnsi" w:hAnsiTheme="majorHAnsi" w:cstheme="majorHAnsi"/>
        </w:rPr>
        <w:t>:</w:t>
      </w:r>
      <w:r w:rsidRPr="00D90C28">
        <w:rPr>
          <w:rFonts w:asciiTheme="majorHAnsi" w:hAnsiTheme="majorHAnsi" w:cstheme="majorHAnsi"/>
        </w:rPr>
        <w:t xml:space="preserve"> Improving teaching and learning</w:t>
      </w:r>
      <w:r w:rsidRPr="00AC59D5">
        <w:rPr>
          <w:rFonts w:asciiTheme="majorHAnsi" w:hAnsiTheme="majorHAnsi" w:cstheme="majorHAnsi"/>
        </w:rPr>
        <w:t xml:space="preserve"> and Component </w:t>
      </w:r>
      <w:r>
        <w:rPr>
          <w:rFonts w:asciiTheme="majorHAnsi" w:hAnsiTheme="majorHAnsi" w:cstheme="majorHAnsi"/>
        </w:rPr>
        <w:t xml:space="preserve">2: </w:t>
      </w:r>
      <w:r w:rsidRPr="00AC59D5">
        <w:rPr>
          <w:rFonts w:asciiTheme="majorHAnsi" w:hAnsiTheme="majorHAnsi" w:cstheme="majorHAnsi"/>
        </w:rPr>
        <w:t>Strengthening systems</w:t>
      </w:r>
      <w:r>
        <w:rPr>
          <w:rFonts w:asciiTheme="majorHAnsi" w:hAnsiTheme="majorHAnsi" w:cstheme="majorHAnsi"/>
        </w:rPr>
        <w:t>.</w:t>
      </w:r>
    </w:p>
    <w:p w14:paraId="39C69327" w14:textId="12347AA5" w:rsidR="008D0CAD" w:rsidRPr="00B810F6" w:rsidRDefault="008D0CAD" w:rsidP="00DD08E3">
      <w:pPr>
        <w:pStyle w:val="Heading4"/>
        <w:numPr>
          <w:ilvl w:val="2"/>
          <w:numId w:val="161"/>
        </w:numPr>
        <w:spacing w:before="100" w:beforeAutospacing="1" w:after="100" w:afterAutospacing="1" w:line="360" w:lineRule="auto"/>
      </w:pPr>
      <w:bookmarkStart w:id="39" w:name="_Toc10722977"/>
      <w:bookmarkStart w:id="40" w:name="_Toc12711979"/>
      <w:bookmarkStart w:id="41" w:name="_Toc13216258"/>
      <w:r>
        <w:t>Program Implementation</w:t>
      </w:r>
      <w:bookmarkEnd w:id="39"/>
      <w:bookmarkEnd w:id="40"/>
      <w:bookmarkEnd w:id="41"/>
      <w:r>
        <w:t xml:space="preserve"> </w:t>
      </w:r>
    </w:p>
    <w:p w14:paraId="1208005C" w14:textId="77777777" w:rsidR="008D0CAD" w:rsidRPr="00681815" w:rsidRDefault="008D0CAD" w:rsidP="000440D6">
      <w:pPr>
        <w:pStyle w:val="NormalWeb"/>
        <w:spacing w:line="360" w:lineRule="auto"/>
        <w:rPr>
          <w:rFonts w:asciiTheme="majorHAnsi" w:hAnsiTheme="majorHAnsi" w:cstheme="majorHAnsi"/>
          <w:color w:val="000000" w:themeColor="text1"/>
        </w:rPr>
      </w:pPr>
      <w:r w:rsidRPr="00681815">
        <w:rPr>
          <w:rFonts w:asciiTheme="majorHAnsi" w:hAnsiTheme="majorHAnsi" w:cstheme="majorHAnsi"/>
          <w:color w:val="000000" w:themeColor="text1"/>
          <w:lang w:val="en-AU"/>
        </w:rPr>
        <w:t xml:space="preserve">BEST was a national program that supported the conceptualisation, design, and implementation of policies and processes at the </w:t>
      </w:r>
      <w:r>
        <w:rPr>
          <w:rFonts w:asciiTheme="majorHAnsi" w:hAnsiTheme="majorHAnsi" w:cstheme="majorHAnsi"/>
          <w:color w:val="000000" w:themeColor="text1"/>
          <w:lang w:val="en-AU"/>
        </w:rPr>
        <w:t>DepEd</w:t>
      </w:r>
      <w:r w:rsidRPr="00681815">
        <w:rPr>
          <w:rFonts w:asciiTheme="majorHAnsi" w:hAnsiTheme="majorHAnsi" w:cstheme="majorHAnsi"/>
          <w:color w:val="000000" w:themeColor="text1"/>
          <w:lang w:val="en-AU"/>
        </w:rPr>
        <w:t xml:space="preserve"> Central Office level while subsequently supporting the differentiated mainstreaming of central office policies and processes in six priority regions Region V (Bicol); Region VI (Western Visayas); Region VII (Central Visayas); Region VIII (Eastern Visayas); Region X (Northern Mindanao); and the National Capital Region (NCR). Parallel to BEST interventions in the six regions, </w:t>
      </w:r>
      <w:r>
        <w:rPr>
          <w:rFonts w:asciiTheme="majorHAnsi" w:hAnsiTheme="majorHAnsi" w:cstheme="majorHAnsi"/>
          <w:color w:val="000000" w:themeColor="text1"/>
          <w:lang w:val="en-AU"/>
        </w:rPr>
        <w:t>DepEd</w:t>
      </w:r>
      <w:r w:rsidRPr="00681815">
        <w:rPr>
          <w:rFonts w:asciiTheme="majorHAnsi" w:hAnsiTheme="majorHAnsi" w:cstheme="majorHAnsi"/>
          <w:color w:val="000000" w:themeColor="text1"/>
          <w:lang w:val="en-AU"/>
        </w:rPr>
        <w:t xml:space="preserve"> used its own budget and other funding sources to roll-out policies and processes</w:t>
      </w:r>
      <w:r w:rsidRPr="00EA439B">
        <w:rPr>
          <w:rFonts w:asciiTheme="majorHAnsi" w:hAnsiTheme="majorHAnsi" w:cstheme="majorHAnsi"/>
          <w:color w:val="000000" w:themeColor="text1"/>
          <w:lang w:val="en-AU"/>
        </w:rPr>
        <w:t xml:space="preserve"> </w:t>
      </w:r>
      <w:r w:rsidRPr="00681815">
        <w:rPr>
          <w:rFonts w:asciiTheme="majorHAnsi" w:hAnsiTheme="majorHAnsi" w:cstheme="majorHAnsi"/>
          <w:color w:val="000000" w:themeColor="text1"/>
          <w:lang w:val="en-AU"/>
        </w:rPr>
        <w:t xml:space="preserve">nationally, some developed by </w:t>
      </w:r>
      <w:r>
        <w:rPr>
          <w:rFonts w:asciiTheme="majorHAnsi" w:hAnsiTheme="majorHAnsi" w:cstheme="majorHAnsi"/>
          <w:color w:val="000000" w:themeColor="text1"/>
          <w:lang w:val="en-AU"/>
        </w:rPr>
        <w:t>DepEd</w:t>
      </w:r>
      <w:r w:rsidRPr="00681815">
        <w:rPr>
          <w:rFonts w:asciiTheme="majorHAnsi" w:hAnsiTheme="majorHAnsi" w:cstheme="majorHAnsi"/>
          <w:color w:val="000000" w:themeColor="text1"/>
          <w:lang w:val="en-AU"/>
        </w:rPr>
        <w:t xml:space="preserve"> with BEST support, to non-BEST target regions. BEST also used the six priority regions as demonstration models to trial policies and processes to inform </w:t>
      </w:r>
      <w:r>
        <w:rPr>
          <w:rFonts w:asciiTheme="majorHAnsi" w:hAnsiTheme="majorHAnsi" w:cstheme="majorHAnsi"/>
          <w:color w:val="000000" w:themeColor="text1"/>
          <w:lang w:val="en-AU"/>
        </w:rPr>
        <w:t>DepEd</w:t>
      </w:r>
      <w:r w:rsidRPr="00681815">
        <w:rPr>
          <w:rFonts w:asciiTheme="majorHAnsi" w:hAnsiTheme="majorHAnsi" w:cstheme="majorHAnsi"/>
          <w:color w:val="000000" w:themeColor="text1"/>
          <w:lang w:val="en-AU"/>
        </w:rPr>
        <w:t xml:space="preserve"> central office policy development and implementation. As such, the program implemented both a top-down and bottom-up approach, depending on the needs and priorities expressed by </w:t>
      </w:r>
      <w:r>
        <w:rPr>
          <w:rFonts w:asciiTheme="majorHAnsi" w:hAnsiTheme="majorHAnsi" w:cstheme="majorHAnsi"/>
          <w:color w:val="000000" w:themeColor="text1"/>
          <w:lang w:val="en-AU"/>
        </w:rPr>
        <w:t>DepEd</w:t>
      </w:r>
      <w:r w:rsidRPr="00681815">
        <w:rPr>
          <w:rFonts w:asciiTheme="majorHAnsi" w:hAnsiTheme="majorHAnsi" w:cstheme="majorHAnsi"/>
          <w:color w:val="000000" w:themeColor="text1"/>
          <w:lang w:val="en-AU"/>
        </w:rPr>
        <w:t xml:space="preserve">. </w:t>
      </w:r>
    </w:p>
    <w:p w14:paraId="58027DF2" w14:textId="75946EE3" w:rsidR="008D0CAD" w:rsidRPr="007F36FA" w:rsidRDefault="008D0CAD" w:rsidP="000440D6">
      <w:pPr>
        <w:pStyle w:val="NormalWeb"/>
        <w:spacing w:line="360" w:lineRule="auto"/>
        <w:rPr>
          <w:rFonts w:asciiTheme="majorHAnsi" w:hAnsiTheme="majorHAnsi" w:cstheme="majorHAnsi"/>
          <w:color w:val="000000" w:themeColor="text1"/>
        </w:rPr>
      </w:pPr>
      <w:r w:rsidRPr="007F36FA">
        <w:rPr>
          <w:rFonts w:asciiTheme="majorHAnsi" w:hAnsiTheme="majorHAnsi" w:cstheme="majorHAnsi"/>
          <w:color w:val="000000" w:themeColor="text1"/>
        </w:rPr>
        <w:t>Determination of the regions to participate in the implementation of the BEST Program was based on “equity considerations as well as the following readiness indicators:</w:t>
      </w:r>
      <w:r w:rsidR="00D434EB">
        <w:rPr>
          <w:rFonts w:asciiTheme="majorHAnsi" w:hAnsiTheme="majorHAnsi" w:cstheme="majorHAnsi"/>
          <w:color w:val="000000" w:themeColor="text1"/>
        </w:rPr>
        <w:t xml:space="preserve"> </w:t>
      </w:r>
      <w:r w:rsidRPr="007F36FA">
        <w:rPr>
          <w:rFonts w:asciiTheme="majorHAnsi" w:hAnsiTheme="majorHAnsi" w:cstheme="majorHAnsi"/>
          <w:color w:val="000000" w:themeColor="text1"/>
        </w:rPr>
        <w:t>Leadership support; Absorptive capacity;</w:t>
      </w:r>
      <w:r w:rsidR="00D434EB">
        <w:rPr>
          <w:rFonts w:asciiTheme="majorHAnsi" w:hAnsiTheme="majorHAnsi" w:cstheme="majorHAnsi"/>
          <w:color w:val="000000" w:themeColor="text1"/>
        </w:rPr>
        <w:t xml:space="preserve"> </w:t>
      </w:r>
      <w:r w:rsidRPr="007F36FA">
        <w:rPr>
          <w:rFonts w:asciiTheme="majorHAnsi" w:hAnsiTheme="majorHAnsi" w:cstheme="majorHAnsi"/>
          <w:color w:val="000000" w:themeColor="text1"/>
        </w:rPr>
        <w:t>Commitment and ability to sustain reforms;</w:t>
      </w:r>
      <w:r w:rsidR="00D434EB">
        <w:rPr>
          <w:rFonts w:asciiTheme="majorHAnsi" w:hAnsiTheme="majorHAnsi" w:cstheme="majorHAnsi"/>
          <w:color w:val="000000" w:themeColor="text1"/>
        </w:rPr>
        <w:t xml:space="preserve"> </w:t>
      </w:r>
      <w:r w:rsidRPr="007F36FA">
        <w:rPr>
          <w:rFonts w:asciiTheme="majorHAnsi" w:hAnsiTheme="majorHAnsi" w:cstheme="majorHAnsi"/>
          <w:color w:val="000000" w:themeColor="text1"/>
        </w:rPr>
        <w:t>Demonstrated commitment to addressing issues of equity and the educational needs of the most ‘disadvantaged’ of the population including the poor and marginali</w:t>
      </w:r>
      <w:r>
        <w:rPr>
          <w:rFonts w:asciiTheme="majorHAnsi" w:hAnsiTheme="majorHAnsi" w:cstheme="majorHAnsi"/>
          <w:color w:val="000000" w:themeColor="text1"/>
        </w:rPr>
        <w:t>s</w:t>
      </w:r>
      <w:r w:rsidRPr="007F36FA">
        <w:rPr>
          <w:rFonts w:asciiTheme="majorHAnsi" w:hAnsiTheme="majorHAnsi" w:cstheme="majorHAnsi"/>
          <w:color w:val="000000" w:themeColor="text1"/>
        </w:rPr>
        <w:t>ed, males and females, and students with special needs, (High dropout and low participation); and Promising practices (emergent/mature innovations) that needed assistance to be sustained” (BEST, 2012).</w:t>
      </w:r>
    </w:p>
    <w:p w14:paraId="72A6936A" w14:textId="77777777" w:rsidR="008D0CAD" w:rsidRPr="007F36FA" w:rsidRDefault="008D0CAD" w:rsidP="000440D6">
      <w:pPr>
        <w:pStyle w:val="NormalWeb"/>
        <w:spacing w:line="360" w:lineRule="auto"/>
        <w:rPr>
          <w:rFonts w:asciiTheme="majorHAnsi" w:hAnsiTheme="majorHAnsi" w:cstheme="majorHAnsi"/>
          <w:color w:val="000000" w:themeColor="text1"/>
        </w:rPr>
      </w:pPr>
      <w:r w:rsidRPr="007F36FA">
        <w:rPr>
          <w:rFonts w:asciiTheme="majorHAnsi" w:hAnsiTheme="majorHAnsi" w:cstheme="majorHAnsi"/>
          <w:color w:val="000000" w:themeColor="text1"/>
        </w:rPr>
        <w:t>While the six selected regions were not the poorest in the country, nor posted the worst education indicators, they were selected because the “</w:t>
      </w:r>
      <w:r w:rsidRPr="00335C1B">
        <w:rPr>
          <w:rFonts w:asciiTheme="majorHAnsi" w:hAnsiTheme="majorHAnsi" w:cstheme="majorHAnsi"/>
          <w:i/>
          <w:iCs/>
          <w:color w:val="000000" w:themeColor="text1"/>
        </w:rPr>
        <w:t>poverty incidences in these regions</w:t>
      </w:r>
      <w:r w:rsidRPr="007F36FA">
        <w:rPr>
          <w:rFonts w:asciiTheme="majorHAnsi" w:hAnsiTheme="majorHAnsi" w:cstheme="majorHAnsi"/>
          <w:color w:val="000000" w:themeColor="text1"/>
        </w:rPr>
        <w:t xml:space="preserve"> </w:t>
      </w:r>
      <w:r w:rsidRPr="00335C1B">
        <w:rPr>
          <w:rFonts w:asciiTheme="majorHAnsi" w:hAnsiTheme="majorHAnsi" w:cstheme="majorHAnsi"/>
          <w:i/>
          <w:iCs/>
          <w:color w:val="000000" w:themeColor="text1"/>
        </w:rPr>
        <w:t>included many areas in the two lowest bands (band 4 – 30</w:t>
      </w:r>
      <w:r>
        <w:rPr>
          <w:rFonts w:asciiTheme="majorHAnsi" w:hAnsiTheme="majorHAnsi" w:cstheme="majorHAnsi"/>
          <w:i/>
          <w:iCs/>
          <w:color w:val="000000" w:themeColor="text1"/>
        </w:rPr>
        <w:t xml:space="preserve"> per cent</w:t>
      </w:r>
      <w:r w:rsidRPr="00335C1B">
        <w:rPr>
          <w:rFonts w:asciiTheme="majorHAnsi" w:hAnsiTheme="majorHAnsi" w:cstheme="majorHAnsi"/>
          <w:i/>
          <w:iCs/>
          <w:color w:val="000000" w:themeColor="text1"/>
        </w:rPr>
        <w:t xml:space="preserve"> to 40</w:t>
      </w:r>
      <w:r>
        <w:rPr>
          <w:rFonts w:asciiTheme="majorHAnsi" w:hAnsiTheme="majorHAnsi" w:cstheme="majorHAnsi"/>
          <w:i/>
          <w:iCs/>
          <w:color w:val="000000" w:themeColor="text1"/>
        </w:rPr>
        <w:t xml:space="preserve"> per cent</w:t>
      </w:r>
      <w:r w:rsidRPr="00335C1B">
        <w:rPr>
          <w:rFonts w:asciiTheme="majorHAnsi" w:hAnsiTheme="majorHAnsi" w:cstheme="majorHAnsi"/>
          <w:i/>
          <w:iCs/>
          <w:color w:val="000000" w:themeColor="text1"/>
        </w:rPr>
        <w:t>; band 5 – 40</w:t>
      </w:r>
      <w:r>
        <w:rPr>
          <w:rFonts w:asciiTheme="majorHAnsi" w:hAnsiTheme="majorHAnsi" w:cstheme="majorHAnsi"/>
          <w:i/>
          <w:iCs/>
          <w:color w:val="000000" w:themeColor="text1"/>
        </w:rPr>
        <w:t xml:space="preserve"> per cent</w:t>
      </w:r>
      <w:r w:rsidRPr="00335C1B">
        <w:rPr>
          <w:rFonts w:asciiTheme="majorHAnsi" w:hAnsiTheme="majorHAnsi" w:cstheme="majorHAnsi"/>
          <w:i/>
          <w:iCs/>
          <w:color w:val="000000" w:themeColor="text1"/>
        </w:rPr>
        <w:t xml:space="preserve"> to 50</w:t>
      </w:r>
      <w:r>
        <w:rPr>
          <w:rFonts w:asciiTheme="majorHAnsi" w:hAnsiTheme="majorHAnsi" w:cstheme="majorHAnsi"/>
          <w:i/>
          <w:iCs/>
          <w:color w:val="000000" w:themeColor="text1"/>
        </w:rPr>
        <w:t xml:space="preserve"> per cent</w:t>
      </w:r>
      <w:r w:rsidRPr="00335C1B">
        <w:rPr>
          <w:rFonts w:asciiTheme="majorHAnsi" w:hAnsiTheme="majorHAnsi" w:cstheme="majorHAnsi"/>
          <w:i/>
          <w:iCs/>
          <w:color w:val="000000" w:themeColor="text1"/>
        </w:rPr>
        <w:t>)</w:t>
      </w:r>
      <w:r>
        <w:rPr>
          <w:rFonts w:asciiTheme="majorHAnsi" w:hAnsiTheme="majorHAnsi" w:cstheme="majorHAnsi"/>
          <w:color w:val="000000" w:themeColor="text1"/>
        </w:rPr>
        <w:t>”</w:t>
      </w:r>
      <w:r w:rsidRPr="007F36FA">
        <w:rPr>
          <w:rFonts w:asciiTheme="majorHAnsi" w:hAnsiTheme="majorHAnsi" w:cstheme="majorHAnsi"/>
          <w:color w:val="000000" w:themeColor="text1"/>
        </w:rPr>
        <w:t xml:space="preserve"> (BEST, 2012). It was further noted that 41 per</w:t>
      </w:r>
      <w:r>
        <w:rPr>
          <w:rFonts w:asciiTheme="majorHAnsi" w:hAnsiTheme="majorHAnsi" w:cstheme="majorHAnsi"/>
          <w:color w:val="000000" w:themeColor="text1"/>
        </w:rPr>
        <w:t xml:space="preserve"> </w:t>
      </w:r>
      <w:r w:rsidRPr="007F36FA">
        <w:rPr>
          <w:rFonts w:asciiTheme="majorHAnsi" w:hAnsiTheme="majorHAnsi" w:cstheme="majorHAnsi"/>
          <w:color w:val="000000" w:themeColor="text1"/>
        </w:rPr>
        <w:t xml:space="preserve">cent of the poorest provinces in the Philippines were in these BEST-supported regions. </w:t>
      </w:r>
    </w:p>
    <w:p w14:paraId="7B7235ED" w14:textId="77777777" w:rsidR="008D0CAD" w:rsidRPr="007F36FA" w:rsidRDefault="008D0CAD" w:rsidP="000440D6">
      <w:pPr>
        <w:pStyle w:val="NormalWeb"/>
        <w:spacing w:line="360" w:lineRule="auto"/>
        <w:rPr>
          <w:rFonts w:asciiTheme="majorHAnsi" w:hAnsiTheme="majorHAnsi" w:cstheme="majorHAnsi"/>
          <w:color w:val="000000" w:themeColor="text1"/>
        </w:rPr>
      </w:pPr>
      <w:r w:rsidRPr="007F36FA">
        <w:rPr>
          <w:rFonts w:asciiTheme="majorHAnsi" w:hAnsiTheme="majorHAnsi" w:cstheme="majorHAnsi"/>
          <w:color w:val="000000" w:themeColor="text1"/>
        </w:rPr>
        <w:t xml:space="preserve">There </w:t>
      </w:r>
      <w:r>
        <w:rPr>
          <w:rFonts w:asciiTheme="majorHAnsi" w:hAnsiTheme="majorHAnsi" w:cstheme="majorHAnsi"/>
          <w:color w:val="000000" w:themeColor="text1"/>
        </w:rPr>
        <w:t>was,</w:t>
      </w:r>
      <w:r w:rsidRPr="007F36FA">
        <w:rPr>
          <w:rFonts w:asciiTheme="majorHAnsi" w:hAnsiTheme="majorHAnsi" w:cstheme="majorHAnsi"/>
          <w:color w:val="000000" w:themeColor="text1"/>
        </w:rPr>
        <w:t xml:space="preserve"> throughout </w:t>
      </w:r>
      <w:r>
        <w:rPr>
          <w:rFonts w:asciiTheme="majorHAnsi" w:hAnsiTheme="majorHAnsi" w:cstheme="majorHAnsi"/>
          <w:color w:val="000000" w:themeColor="text1"/>
        </w:rPr>
        <w:t xml:space="preserve">the design, </w:t>
      </w:r>
      <w:r w:rsidRPr="007F36FA">
        <w:rPr>
          <w:rFonts w:asciiTheme="majorHAnsi" w:hAnsiTheme="majorHAnsi" w:cstheme="majorHAnsi"/>
          <w:color w:val="000000" w:themeColor="text1"/>
        </w:rPr>
        <w:t>a</w:t>
      </w:r>
      <w:r>
        <w:rPr>
          <w:rFonts w:asciiTheme="majorHAnsi" w:hAnsiTheme="majorHAnsi" w:cstheme="majorHAnsi"/>
          <w:color w:val="000000" w:themeColor="text1"/>
        </w:rPr>
        <w:t xml:space="preserve">n intention that </w:t>
      </w:r>
      <w:r w:rsidRPr="007F36FA">
        <w:rPr>
          <w:rFonts w:asciiTheme="majorHAnsi" w:hAnsiTheme="majorHAnsi" w:cstheme="majorHAnsi"/>
          <w:color w:val="000000" w:themeColor="text1"/>
        </w:rPr>
        <w:t>all schools w</w:t>
      </w:r>
      <w:r>
        <w:rPr>
          <w:rFonts w:asciiTheme="majorHAnsi" w:hAnsiTheme="majorHAnsi" w:cstheme="majorHAnsi"/>
          <w:color w:val="000000" w:themeColor="text1"/>
        </w:rPr>
        <w:t>ould</w:t>
      </w:r>
      <w:r w:rsidRPr="007F36FA">
        <w:rPr>
          <w:rFonts w:asciiTheme="majorHAnsi" w:hAnsiTheme="majorHAnsi" w:cstheme="majorHAnsi"/>
          <w:color w:val="000000" w:themeColor="text1"/>
        </w:rPr>
        <w:t xml:space="preserve"> benefit from policy and system improvements. Equity required that the BEST Program worked across the performance range. </w:t>
      </w:r>
    </w:p>
    <w:p w14:paraId="678BBF01" w14:textId="035A4F1C" w:rsidR="008D0CAD" w:rsidRPr="007F36FA" w:rsidRDefault="008D0CAD" w:rsidP="000440D6">
      <w:pPr>
        <w:pStyle w:val="NormalWeb"/>
        <w:spacing w:line="360" w:lineRule="auto"/>
        <w:rPr>
          <w:rFonts w:asciiTheme="majorHAnsi" w:hAnsiTheme="majorHAnsi" w:cstheme="majorHAnsi"/>
          <w:color w:val="000000" w:themeColor="text1"/>
        </w:rPr>
      </w:pPr>
      <w:r w:rsidRPr="007F36FA">
        <w:rPr>
          <w:rFonts w:asciiTheme="majorHAnsi" w:hAnsiTheme="majorHAnsi" w:cstheme="majorHAnsi"/>
          <w:color w:val="000000" w:themeColor="text1"/>
        </w:rPr>
        <w:t xml:space="preserve">The BEST Program adopted a program approach that allowed for </w:t>
      </w:r>
      <w:r w:rsidRPr="007F36FA">
        <w:rPr>
          <w:rFonts w:asciiTheme="majorHAnsi" w:hAnsiTheme="majorHAnsi" w:cstheme="majorHAnsi"/>
          <w:bCs/>
          <w:color w:val="000000" w:themeColor="text1"/>
        </w:rPr>
        <w:t xml:space="preserve">flexible and responsive assistance </w:t>
      </w:r>
      <w:r w:rsidRPr="007F36FA">
        <w:rPr>
          <w:rFonts w:asciiTheme="majorHAnsi" w:hAnsiTheme="majorHAnsi" w:cstheme="majorHAnsi"/>
          <w:color w:val="000000" w:themeColor="text1"/>
        </w:rPr>
        <w:t xml:space="preserve">to support the achievement of the established goals and strategic objectives of </w:t>
      </w:r>
      <w:r>
        <w:rPr>
          <w:rFonts w:asciiTheme="majorHAnsi" w:hAnsiTheme="majorHAnsi" w:cstheme="majorHAnsi"/>
          <w:color w:val="000000" w:themeColor="text1"/>
        </w:rPr>
        <w:t>DepEd</w:t>
      </w:r>
      <w:r w:rsidRPr="007F36FA">
        <w:rPr>
          <w:rFonts w:asciiTheme="majorHAnsi" w:hAnsiTheme="majorHAnsi" w:cstheme="majorHAnsi"/>
          <w:color w:val="000000" w:themeColor="text1"/>
        </w:rPr>
        <w:t xml:space="preserve"> and DFAT.</w:t>
      </w:r>
      <w:r w:rsidR="00D434EB">
        <w:rPr>
          <w:rFonts w:asciiTheme="majorHAnsi" w:hAnsiTheme="majorHAnsi" w:cstheme="majorHAnsi"/>
          <w:color w:val="000000" w:themeColor="text1"/>
        </w:rPr>
        <w:t xml:space="preserve"> </w:t>
      </w:r>
      <w:r w:rsidRPr="007F36FA">
        <w:rPr>
          <w:rFonts w:asciiTheme="majorHAnsi" w:hAnsiTheme="majorHAnsi" w:cstheme="majorHAnsi"/>
          <w:color w:val="000000" w:themeColor="text1"/>
        </w:rPr>
        <w:t>The Program prepared Annual Plan</w:t>
      </w:r>
      <w:r>
        <w:rPr>
          <w:rFonts w:asciiTheme="majorHAnsi" w:hAnsiTheme="majorHAnsi" w:cstheme="majorHAnsi"/>
          <w:color w:val="000000" w:themeColor="text1"/>
        </w:rPr>
        <w:t>s</w:t>
      </w:r>
      <w:r w:rsidRPr="007F36FA">
        <w:rPr>
          <w:rFonts w:asciiTheme="majorHAnsi" w:hAnsiTheme="majorHAnsi" w:cstheme="majorHAnsi"/>
          <w:color w:val="000000" w:themeColor="text1"/>
        </w:rPr>
        <w:t xml:space="preserve"> prior to the start of each implementation year.</w:t>
      </w:r>
      <w:r w:rsidR="00D434EB">
        <w:rPr>
          <w:rFonts w:asciiTheme="majorHAnsi" w:hAnsiTheme="majorHAnsi" w:cstheme="majorHAnsi"/>
          <w:color w:val="000000" w:themeColor="text1"/>
        </w:rPr>
        <w:t xml:space="preserve"> </w:t>
      </w:r>
      <w:r w:rsidRPr="007F36FA">
        <w:rPr>
          <w:rFonts w:asciiTheme="majorHAnsi" w:hAnsiTheme="majorHAnsi" w:cstheme="majorHAnsi"/>
          <w:color w:val="000000" w:themeColor="text1"/>
        </w:rPr>
        <w:t xml:space="preserve">The activities included in the Annual Plans were identified </w:t>
      </w:r>
      <w:r>
        <w:rPr>
          <w:rFonts w:asciiTheme="majorHAnsi" w:hAnsiTheme="majorHAnsi" w:cstheme="majorHAnsi"/>
          <w:color w:val="000000" w:themeColor="text1"/>
        </w:rPr>
        <w:t>by</w:t>
      </w:r>
      <w:r w:rsidRPr="007F36FA">
        <w:rPr>
          <w:rFonts w:asciiTheme="majorHAnsi" w:hAnsiTheme="majorHAnsi" w:cstheme="majorHAnsi"/>
          <w:color w:val="000000" w:themeColor="text1"/>
        </w:rPr>
        <w:t xml:space="preserve"> </w:t>
      </w:r>
      <w:r>
        <w:rPr>
          <w:rFonts w:asciiTheme="majorHAnsi" w:hAnsiTheme="majorHAnsi" w:cstheme="majorHAnsi"/>
          <w:color w:val="000000" w:themeColor="text1"/>
        </w:rPr>
        <w:t>DepEd</w:t>
      </w:r>
      <w:r w:rsidRPr="007F36FA">
        <w:rPr>
          <w:rFonts w:asciiTheme="majorHAnsi" w:hAnsiTheme="majorHAnsi" w:cstheme="majorHAnsi"/>
          <w:color w:val="000000" w:themeColor="text1"/>
        </w:rPr>
        <w:t xml:space="preserve"> and other key stakeholders. This arrangement was intended to accommodate emerging priorities in line with the overall strategic directions of the program.</w:t>
      </w:r>
      <w:r w:rsidR="00D434EB">
        <w:rPr>
          <w:rFonts w:asciiTheme="majorHAnsi" w:hAnsiTheme="majorHAnsi" w:cstheme="majorHAnsi"/>
          <w:color w:val="000000" w:themeColor="text1"/>
        </w:rPr>
        <w:t xml:space="preserve"> </w:t>
      </w:r>
      <w:r w:rsidRPr="007F36FA">
        <w:rPr>
          <w:rFonts w:asciiTheme="majorHAnsi" w:hAnsiTheme="majorHAnsi" w:cstheme="majorHAnsi"/>
          <w:color w:val="000000" w:themeColor="text1"/>
        </w:rPr>
        <w:t xml:space="preserve"> </w:t>
      </w:r>
    </w:p>
    <w:p w14:paraId="772B7794" w14:textId="5FC1A7CB" w:rsidR="008D0CAD" w:rsidRPr="005371BE" w:rsidRDefault="008D0CAD" w:rsidP="00DD08E3">
      <w:pPr>
        <w:pStyle w:val="Heading4"/>
        <w:numPr>
          <w:ilvl w:val="2"/>
          <w:numId w:val="161"/>
        </w:numPr>
        <w:spacing w:before="100" w:beforeAutospacing="1" w:after="100" w:afterAutospacing="1" w:line="360" w:lineRule="auto"/>
      </w:pPr>
      <w:bookmarkStart w:id="42" w:name="_Toc13216259"/>
      <w:r w:rsidRPr="005371BE">
        <w:t>Governance and Management Arrangements</w:t>
      </w:r>
      <w:bookmarkEnd w:id="42"/>
      <w:r w:rsidRPr="005371BE">
        <w:t xml:space="preserve"> </w:t>
      </w:r>
    </w:p>
    <w:p w14:paraId="59977062" w14:textId="3A99A456" w:rsidR="008D0CAD" w:rsidRDefault="008D0CAD" w:rsidP="000440D6">
      <w:pPr>
        <w:spacing w:before="100" w:beforeAutospacing="1" w:after="100" w:afterAutospacing="1" w:line="360" w:lineRule="auto"/>
        <w:rPr>
          <w:rFonts w:asciiTheme="majorHAnsi" w:hAnsiTheme="majorHAnsi" w:cstheme="majorHAnsi"/>
        </w:rPr>
      </w:pPr>
      <w:r>
        <w:rPr>
          <w:rFonts w:asciiTheme="majorHAnsi" w:hAnsiTheme="majorHAnsi" w:cstheme="majorHAnsi"/>
        </w:rPr>
        <w:t xml:space="preserve">The </w:t>
      </w:r>
      <w:r w:rsidRPr="00784E6E">
        <w:rPr>
          <w:rFonts w:asciiTheme="majorHAnsi" w:hAnsiTheme="majorHAnsi" w:cstheme="majorHAnsi"/>
        </w:rPr>
        <w:t xml:space="preserve">Governance and Management Arrangements </w:t>
      </w:r>
      <w:r>
        <w:rPr>
          <w:rFonts w:asciiTheme="majorHAnsi" w:hAnsiTheme="majorHAnsi" w:cstheme="majorHAnsi"/>
        </w:rPr>
        <w:t xml:space="preserve">of the BEST Program were well-designed and involved setting up a </w:t>
      </w:r>
      <w:r w:rsidRPr="00784E6E">
        <w:rPr>
          <w:rFonts w:asciiTheme="majorHAnsi" w:hAnsiTheme="majorHAnsi" w:cstheme="majorHAnsi"/>
        </w:rPr>
        <w:t>Program Steering Committee (PSC)</w:t>
      </w:r>
      <w:r>
        <w:rPr>
          <w:rFonts w:asciiTheme="majorHAnsi" w:hAnsiTheme="majorHAnsi" w:cstheme="majorHAnsi"/>
        </w:rPr>
        <w:t>,</w:t>
      </w:r>
      <w:r w:rsidRPr="00784E6E">
        <w:rPr>
          <w:rFonts w:asciiTheme="majorHAnsi" w:hAnsiTheme="majorHAnsi" w:cstheme="majorHAnsi"/>
        </w:rPr>
        <w:t xml:space="preserve"> Program Management Committee (PMC) </w:t>
      </w:r>
      <w:r>
        <w:rPr>
          <w:rFonts w:asciiTheme="majorHAnsi" w:hAnsiTheme="majorHAnsi" w:cstheme="majorHAnsi"/>
        </w:rPr>
        <w:t xml:space="preserve">and a </w:t>
      </w:r>
      <w:r w:rsidRPr="00784E6E">
        <w:rPr>
          <w:rFonts w:asciiTheme="majorHAnsi" w:hAnsiTheme="majorHAnsi" w:cstheme="majorHAnsi"/>
        </w:rPr>
        <w:t>Program Support and Coordinating Office (PSCO)</w:t>
      </w:r>
      <w:r>
        <w:rPr>
          <w:rFonts w:asciiTheme="majorHAnsi" w:hAnsiTheme="majorHAnsi" w:cstheme="majorHAnsi"/>
        </w:rPr>
        <w:t>.</w:t>
      </w:r>
      <w:r w:rsidR="00D434EB">
        <w:rPr>
          <w:rFonts w:asciiTheme="majorHAnsi" w:hAnsiTheme="majorHAnsi" w:cstheme="majorHAnsi"/>
        </w:rPr>
        <w:t xml:space="preserve"> </w:t>
      </w:r>
    </w:p>
    <w:p w14:paraId="21BF571D" w14:textId="77777777" w:rsidR="008D0CAD" w:rsidRDefault="008D0CAD" w:rsidP="000440D6">
      <w:pPr>
        <w:spacing w:before="100" w:beforeAutospacing="1" w:after="100" w:afterAutospacing="1" w:line="360" w:lineRule="auto"/>
        <w:rPr>
          <w:rFonts w:asciiTheme="majorHAnsi" w:hAnsiTheme="majorHAnsi" w:cstheme="majorHAnsi"/>
        </w:rPr>
      </w:pPr>
      <w:r w:rsidRPr="00784E6E">
        <w:rPr>
          <w:rFonts w:asciiTheme="majorHAnsi" w:hAnsiTheme="majorHAnsi" w:cstheme="majorHAnsi"/>
        </w:rPr>
        <w:t xml:space="preserve">The Program Steering Committee (PSC) </w:t>
      </w:r>
      <w:r>
        <w:rPr>
          <w:rFonts w:asciiTheme="majorHAnsi" w:hAnsiTheme="majorHAnsi" w:cstheme="majorHAnsi"/>
        </w:rPr>
        <w:t>was</w:t>
      </w:r>
      <w:r w:rsidRPr="00784E6E">
        <w:rPr>
          <w:rFonts w:asciiTheme="majorHAnsi" w:hAnsiTheme="majorHAnsi" w:cstheme="majorHAnsi"/>
        </w:rPr>
        <w:t xml:space="preserve"> the Leadership Group of the Program and ha</w:t>
      </w:r>
      <w:r>
        <w:rPr>
          <w:rFonts w:asciiTheme="majorHAnsi" w:hAnsiTheme="majorHAnsi" w:cstheme="majorHAnsi"/>
        </w:rPr>
        <w:t>d</w:t>
      </w:r>
      <w:r w:rsidRPr="00784E6E">
        <w:rPr>
          <w:rFonts w:asciiTheme="majorHAnsi" w:hAnsiTheme="majorHAnsi" w:cstheme="majorHAnsi"/>
        </w:rPr>
        <w:t xml:space="preserve"> overall responsibility for setting the policy guidance, strategic direction and approach taken in</w:t>
      </w:r>
      <w:r>
        <w:rPr>
          <w:rFonts w:asciiTheme="majorHAnsi" w:hAnsiTheme="majorHAnsi" w:cstheme="majorHAnsi"/>
        </w:rPr>
        <w:t xml:space="preserve"> </w:t>
      </w:r>
      <w:r w:rsidRPr="00784E6E">
        <w:rPr>
          <w:rFonts w:asciiTheme="majorHAnsi" w:hAnsiTheme="majorHAnsi" w:cstheme="majorHAnsi"/>
        </w:rPr>
        <w:t>the Program and maintain</w:t>
      </w:r>
      <w:r>
        <w:rPr>
          <w:rFonts w:asciiTheme="majorHAnsi" w:hAnsiTheme="majorHAnsi" w:cstheme="majorHAnsi"/>
        </w:rPr>
        <w:t>ed</w:t>
      </w:r>
      <w:r w:rsidRPr="00784E6E">
        <w:rPr>
          <w:rFonts w:asciiTheme="majorHAnsi" w:hAnsiTheme="majorHAnsi" w:cstheme="majorHAnsi"/>
        </w:rPr>
        <w:t xml:space="preserve"> strategic oversight of the outcomes of the Program. The PSC met at least twice a year. A mechanism </w:t>
      </w:r>
      <w:r>
        <w:rPr>
          <w:rFonts w:asciiTheme="majorHAnsi" w:hAnsiTheme="majorHAnsi" w:cstheme="majorHAnsi"/>
        </w:rPr>
        <w:t>was</w:t>
      </w:r>
      <w:r w:rsidRPr="00784E6E">
        <w:rPr>
          <w:rFonts w:asciiTheme="majorHAnsi" w:hAnsiTheme="majorHAnsi" w:cstheme="majorHAnsi"/>
        </w:rPr>
        <w:t xml:space="preserve"> established to allow decision-making for urgent requirements out of session, if necessary. </w:t>
      </w:r>
    </w:p>
    <w:p w14:paraId="447DC282" w14:textId="77777777" w:rsidR="008D0CAD" w:rsidRDefault="008D0CAD" w:rsidP="000440D6">
      <w:pPr>
        <w:spacing w:before="100" w:beforeAutospacing="1" w:after="100" w:afterAutospacing="1" w:line="360" w:lineRule="auto"/>
        <w:rPr>
          <w:rFonts w:asciiTheme="majorHAnsi" w:hAnsiTheme="majorHAnsi" w:cstheme="majorHAnsi"/>
        </w:rPr>
      </w:pPr>
      <w:r w:rsidRPr="00784E6E">
        <w:rPr>
          <w:rFonts w:asciiTheme="majorHAnsi" w:hAnsiTheme="majorHAnsi" w:cstheme="majorHAnsi"/>
        </w:rPr>
        <w:t xml:space="preserve">The Program Management Committee (PMC) or the Management Team of the Program </w:t>
      </w:r>
      <w:r>
        <w:rPr>
          <w:rFonts w:asciiTheme="majorHAnsi" w:hAnsiTheme="majorHAnsi" w:cstheme="majorHAnsi"/>
        </w:rPr>
        <w:t xml:space="preserve">was </w:t>
      </w:r>
      <w:r w:rsidRPr="00784E6E">
        <w:rPr>
          <w:rFonts w:asciiTheme="majorHAnsi" w:hAnsiTheme="majorHAnsi" w:cstheme="majorHAnsi"/>
        </w:rPr>
        <w:t xml:space="preserve">responsible for operational oversight, guided by the directions set by the PSC. The PMC </w:t>
      </w:r>
      <w:r>
        <w:rPr>
          <w:rFonts w:asciiTheme="majorHAnsi" w:hAnsiTheme="majorHAnsi" w:cstheme="majorHAnsi"/>
        </w:rPr>
        <w:t>over-saw</w:t>
      </w:r>
      <w:r w:rsidRPr="00784E6E">
        <w:rPr>
          <w:rFonts w:asciiTheme="majorHAnsi" w:hAnsiTheme="majorHAnsi" w:cstheme="majorHAnsi"/>
        </w:rPr>
        <w:t xml:space="preserve"> the implementation teams in ensuring effective and efficient delivery of the program. The PMC </w:t>
      </w:r>
      <w:r>
        <w:rPr>
          <w:rFonts w:asciiTheme="majorHAnsi" w:hAnsiTheme="majorHAnsi" w:cstheme="majorHAnsi"/>
        </w:rPr>
        <w:t>met</w:t>
      </w:r>
      <w:r w:rsidRPr="00784E6E">
        <w:rPr>
          <w:rFonts w:asciiTheme="majorHAnsi" w:hAnsiTheme="majorHAnsi" w:cstheme="majorHAnsi"/>
        </w:rPr>
        <w:t xml:space="preserve"> at least 4 times a year. A mechanism </w:t>
      </w:r>
      <w:r>
        <w:rPr>
          <w:rFonts w:asciiTheme="majorHAnsi" w:hAnsiTheme="majorHAnsi" w:cstheme="majorHAnsi"/>
        </w:rPr>
        <w:t>was</w:t>
      </w:r>
      <w:r w:rsidRPr="00784E6E">
        <w:rPr>
          <w:rFonts w:asciiTheme="majorHAnsi" w:hAnsiTheme="majorHAnsi" w:cstheme="majorHAnsi"/>
        </w:rPr>
        <w:t xml:space="preserve"> established to allow decision-making for urgent requirements out of session, if necessary. </w:t>
      </w:r>
    </w:p>
    <w:p w14:paraId="279BE04D" w14:textId="77777777" w:rsidR="008D0CAD" w:rsidRDefault="008D0CAD" w:rsidP="000440D6">
      <w:pPr>
        <w:spacing w:before="100" w:beforeAutospacing="1" w:after="100" w:afterAutospacing="1" w:line="360" w:lineRule="auto"/>
        <w:rPr>
          <w:rFonts w:asciiTheme="majorHAnsi" w:hAnsiTheme="majorHAnsi" w:cstheme="majorHAnsi"/>
        </w:rPr>
      </w:pPr>
      <w:r w:rsidRPr="00784E6E">
        <w:rPr>
          <w:rFonts w:asciiTheme="majorHAnsi" w:hAnsiTheme="majorHAnsi" w:cstheme="majorHAnsi"/>
        </w:rPr>
        <w:t xml:space="preserve">A Program Support and Coordinating Office (PSCO) </w:t>
      </w:r>
      <w:r>
        <w:rPr>
          <w:rFonts w:asciiTheme="majorHAnsi" w:hAnsiTheme="majorHAnsi" w:cstheme="majorHAnsi"/>
        </w:rPr>
        <w:t>was</w:t>
      </w:r>
      <w:r w:rsidRPr="00784E6E">
        <w:rPr>
          <w:rFonts w:asciiTheme="majorHAnsi" w:hAnsiTheme="majorHAnsi" w:cstheme="majorHAnsi"/>
        </w:rPr>
        <w:t xml:space="preserve"> established in </w:t>
      </w:r>
      <w:r>
        <w:rPr>
          <w:rFonts w:asciiTheme="majorHAnsi" w:hAnsiTheme="majorHAnsi" w:cstheme="majorHAnsi"/>
        </w:rPr>
        <w:t>DepEd</w:t>
      </w:r>
      <w:r w:rsidRPr="00784E6E">
        <w:rPr>
          <w:rFonts w:asciiTheme="majorHAnsi" w:hAnsiTheme="majorHAnsi" w:cstheme="majorHAnsi"/>
        </w:rPr>
        <w:t xml:space="preserve"> Central Office and in Regional Offices of the target regions to support operations, monitoring and evaluation of the program. The PSCO </w:t>
      </w:r>
      <w:r>
        <w:rPr>
          <w:rFonts w:asciiTheme="majorHAnsi" w:hAnsiTheme="majorHAnsi" w:cstheme="majorHAnsi"/>
        </w:rPr>
        <w:t xml:space="preserve">was </w:t>
      </w:r>
      <w:r w:rsidRPr="00784E6E">
        <w:rPr>
          <w:rFonts w:asciiTheme="majorHAnsi" w:hAnsiTheme="majorHAnsi" w:cstheme="majorHAnsi"/>
        </w:rPr>
        <w:t xml:space="preserve">composed of the Facilitating Contractor and </w:t>
      </w:r>
      <w:r>
        <w:rPr>
          <w:rFonts w:asciiTheme="majorHAnsi" w:hAnsiTheme="majorHAnsi" w:cstheme="majorHAnsi"/>
        </w:rPr>
        <w:t>DepEd</w:t>
      </w:r>
      <w:r w:rsidRPr="00784E6E">
        <w:rPr>
          <w:rFonts w:asciiTheme="majorHAnsi" w:hAnsiTheme="majorHAnsi" w:cstheme="majorHAnsi"/>
        </w:rPr>
        <w:t xml:space="preserve"> counterparts. </w:t>
      </w:r>
    </w:p>
    <w:p w14:paraId="21F8B31B" w14:textId="37BFF590" w:rsidR="008D0CAD" w:rsidRDefault="008D0CAD" w:rsidP="00DD08E3">
      <w:pPr>
        <w:pStyle w:val="Heading4"/>
        <w:numPr>
          <w:ilvl w:val="2"/>
          <w:numId w:val="161"/>
        </w:numPr>
        <w:spacing w:before="100" w:beforeAutospacing="1" w:after="100" w:afterAutospacing="1" w:line="360" w:lineRule="auto"/>
      </w:pPr>
      <w:r>
        <w:t>The 10 BEST Program Interventions Assessed</w:t>
      </w:r>
    </w:p>
    <w:p w14:paraId="43909D92" w14:textId="5C6110E2" w:rsidR="008D0CAD" w:rsidRPr="000440D6" w:rsidRDefault="008D0CAD" w:rsidP="000440D6">
      <w:pPr>
        <w:spacing w:before="100" w:beforeAutospacing="1" w:after="100" w:afterAutospacing="1" w:line="360" w:lineRule="auto"/>
        <w:rPr>
          <w:rFonts w:asciiTheme="majorHAnsi" w:hAnsiTheme="majorHAnsi" w:cstheme="majorHAnsi"/>
          <w:color w:val="000000" w:themeColor="text1"/>
        </w:rPr>
      </w:pPr>
      <w:r w:rsidRPr="004054A9">
        <w:rPr>
          <w:rFonts w:asciiTheme="majorHAnsi" w:hAnsiTheme="majorHAnsi" w:cstheme="majorHAnsi"/>
          <w:color w:val="000000" w:themeColor="text1"/>
        </w:rPr>
        <w:t>BEST Program activities were clustered under three pillars and under each pillar were sub-clusters. The EOPE Study was directed to review only 10 themes (refer to the RFT documents) called Program interventions namely (see Annex B. Descriptions of 10 BEST Program Interventions):</w:t>
      </w:r>
    </w:p>
    <w:p w14:paraId="1DF9B173" w14:textId="77777777" w:rsidR="008D0CAD" w:rsidRPr="001D1BFB" w:rsidRDefault="008D0CAD" w:rsidP="000440D6">
      <w:pPr>
        <w:pStyle w:val="BodyText"/>
        <w:numPr>
          <w:ilvl w:val="0"/>
          <w:numId w:val="2"/>
        </w:numPr>
        <w:spacing w:before="100" w:beforeAutospacing="1" w:after="100" w:afterAutospacing="1" w:line="360" w:lineRule="auto"/>
        <w:ind w:right="245"/>
        <w:rPr>
          <w:rFonts w:asciiTheme="majorHAnsi" w:hAnsiTheme="majorHAnsi" w:cstheme="majorHAnsi"/>
          <w:sz w:val="24"/>
          <w:szCs w:val="24"/>
        </w:rPr>
      </w:pPr>
      <w:r w:rsidRPr="001D1BFB">
        <w:rPr>
          <w:rFonts w:asciiTheme="majorHAnsi" w:eastAsia="Times New Roman" w:hAnsiTheme="majorHAnsi" w:cstheme="majorHAnsi"/>
          <w:sz w:val="24"/>
          <w:szCs w:val="24"/>
        </w:rPr>
        <w:t>Learning and Development (L&amp;D) system</w:t>
      </w:r>
    </w:p>
    <w:p w14:paraId="0F19403A" w14:textId="77777777" w:rsidR="008D0CAD" w:rsidRPr="001D1BFB" w:rsidRDefault="008D0CAD" w:rsidP="000440D6">
      <w:pPr>
        <w:pStyle w:val="BodyText"/>
        <w:numPr>
          <w:ilvl w:val="0"/>
          <w:numId w:val="2"/>
        </w:numPr>
        <w:spacing w:before="100" w:beforeAutospacing="1" w:after="100" w:afterAutospacing="1" w:line="360" w:lineRule="auto"/>
        <w:ind w:right="245"/>
        <w:rPr>
          <w:rFonts w:asciiTheme="majorHAnsi" w:hAnsiTheme="majorHAnsi" w:cstheme="majorHAnsi"/>
          <w:sz w:val="24"/>
          <w:szCs w:val="24"/>
        </w:rPr>
      </w:pPr>
      <w:r w:rsidRPr="001D1BFB">
        <w:rPr>
          <w:rFonts w:asciiTheme="majorHAnsi" w:eastAsia="Times New Roman" w:hAnsiTheme="majorHAnsi" w:cstheme="majorHAnsi"/>
          <w:sz w:val="24"/>
          <w:szCs w:val="24"/>
        </w:rPr>
        <w:t>Philippine Professional Standards for Teachers (PPST)</w:t>
      </w:r>
    </w:p>
    <w:p w14:paraId="56C1B46E" w14:textId="77777777" w:rsidR="008D0CAD" w:rsidRPr="001D1BFB" w:rsidRDefault="008D0CAD" w:rsidP="000440D6">
      <w:pPr>
        <w:pStyle w:val="BodyText"/>
        <w:numPr>
          <w:ilvl w:val="0"/>
          <w:numId w:val="2"/>
        </w:numPr>
        <w:spacing w:before="100" w:beforeAutospacing="1" w:after="100" w:afterAutospacing="1" w:line="360" w:lineRule="auto"/>
        <w:ind w:right="245"/>
        <w:rPr>
          <w:rFonts w:asciiTheme="majorHAnsi" w:hAnsiTheme="majorHAnsi" w:cstheme="majorHAnsi"/>
          <w:sz w:val="24"/>
          <w:szCs w:val="24"/>
        </w:rPr>
      </w:pPr>
      <w:r w:rsidRPr="001D1BFB">
        <w:rPr>
          <w:rFonts w:asciiTheme="majorHAnsi" w:eastAsia="Times New Roman" w:hAnsiTheme="majorHAnsi" w:cstheme="majorHAnsi"/>
          <w:sz w:val="24"/>
          <w:szCs w:val="24"/>
        </w:rPr>
        <w:t>Curriculum and assessment (C</w:t>
      </w:r>
      <w:r>
        <w:rPr>
          <w:rFonts w:asciiTheme="majorHAnsi" w:eastAsia="Times New Roman" w:hAnsiTheme="majorHAnsi" w:cstheme="majorHAnsi"/>
          <w:sz w:val="24"/>
          <w:szCs w:val="24"/>
        </w:rPr>
        <w:t>&amp;</w:t>
      </w:r>
      <w:r w:rsidRPr="001D1BFB">
        <w:rPr>
          <w:rFonts w:asciiTheme="majorHAnsi" w:eastAsia="Times New Roman" w:hAnsiTheme="majorHAnsi" w:cstheme="majorHAnsi"/>
          <w:sz w:val="24"/>
          <w:szCs w:val="24"/>
        </w:rPr>
        <w:t>A)</w:t>
      </w:r>
    </w:p>
    <w:p w14:paraId="6033C51D" w14:textId="77777777" w:rsidR="008D0CAD" w:rsidRPr="001D1BFB" w:rsidRDefault="008D0CAD" w:rsidP="000440D6">
      <w:pPr>
        <w:pStyle w:val="BodyText"/>
        <w:numPr>
          <w:ilvl w:val="0"/>
          <w:numId w:val="2"/>
        </w:numPr>
        <w:spacing w:before="100" w:beforeAutospacing="1" w:after="100" w:afterAutospacing="1" w:line="360" w:lineRule="auto"/>
        <w:ind w:right="245"/>
        <w:rPr>
          <w:rFonts w:asciiTheme="majorHAnsi" w:hAnsiTheme="majorHAnsi" w:cstheme="majorHAnsi"/>
          <w:sz w:val="24"/>
          <w:szCs w:val="24"/>
        </w:rPr>
      </w:pPr>
      <w:r w:rsidRPr="001D1BFB">
        <w:rPr>
          <w:rFonts w:asciiTheme="majorHAnsi" w:eastAsia="Times New Roman" w:hAnsiTheme="majorHAnsi" w:cstheme="majorHAnsi"/>
          <w:sz w:val="24"/>
          <w:szCs w:val="24"/>
        </w:rPr>
        <w:t>Teacher pre-service quality improvement (TPQI)</w:t>
      </w:r>
    </w:p>
    <w:p w14:paraId="3D1DCB9E" w14:textId="77777777" w:rsidR="008D0CAD" w:rsidRPr="001D1BFB" w:rsidRDefault="008D0CAD" w:rsidP="000440D6">
      <w:pPr>
        <w:pStyle w:val="BodyText"/>
        <w:numPr>
          <w:ilvl w:val="0"/>
          <w:numId w:val="2"/>
        </w:numPr>
        <w:spacing w:before="100" w:beforeAutospacing="1" w:after="100" w:afterAutospacing="1" w:line="360" w:lineRule="auto"/>
        <w:ind w:right="245"/>
        <w:rPr>
          <w:rFonts w:asciiTheme="majorHAnsi" w:hAnsiTheme="majorHAnsi" w:cstheme="majorHAnsi"/>
          <w:sz w:val="24"/>
          <w:szCs w:val="24"/>
        </w:rPr>
      </w:pPr>
      <w:r w:rsidRPr="001D1BFB">
        <w:rPr>
          <w:rFonts w:asciiTheme="majorHAnsi" w:eastAsia="Times New Roman" w:hAnsiTheme="majorHAnsi" w:cstheme="majorHAnsi"/>
          <w:sz w:val="24"/>
          <w:szCs w:val="24"/>
        </w:rPr>
        <w:t>School-based Management (SBM)</w:t>
      </w:r>
    </w:p>
    <w:p w14:paraId="3B193D52" w14:textId="77777777" w:rsidR="008D0CAD" w:rsidRPr="001D1BFB" w:rsidRDefault="008D0CAD" w:rsidP="000440D6">
      <w:pPr>
        <w:pStyle w:val="BodyText"/>
        <w:numPr>
          <w:ilvl w:val="0"/>
          <w:numId w:val="2"/>
        </w:numPr>
        <w:spacing w:before="100" w:beforeAutospacing="1" w:after="100" w:afterAutospacing="1" w:line="360" w:lineRule="auto"/>
        <w:ind w:right="245"/>
        <w:rPr>
          <w:rFonts w:asciiTheme="majorHAnsi" w:hAnsiTheme="majorHAnsi" w:cstheme="majorHAnsi"/>
          <w:sz w:val="24"/>
          <w:szCs w:val="24"/>
        </w:rPr>
      </w:pPr>
      <w:r w:rsidRPr="001D1BFB">
        <w:rPr>
          <w:rFonts w:asciiTheme="majorHAnsi" w:eastAsia="Times New Roman" w:hAnsiTheme="majorHAnsi" w:cstheme="majorHAnsi"/>
          <w:sz w:val="24"/>
          <w:szCs w:val="24"/>
        </w:rPr>
        <w:t xml:space="preserve">Policy, and planning and monitoring and evaluation systems (PPMES) </w:t>
      </w:r>
    </w:p>
    <w:p w14:paraId="52525339" w14:textId="77777777" w:rsidR="008D0CAD" w:rsidRPr="001D1BFB" w:rsidRDefault="008D0CAD" w:rsidP="000440D6">
      <w:pPr>
        <w:pStyle w:val="BodyText"/>
        <w:numPr>
          <w:ilvl w:val="0"/>
          <w:numId w:val="2"/>
        </w:numPr>
        <w:spacing w:before="100" w:beforeAutospacing="1" w:after="100" w:afterAutospacing="1" w:line="360" w:lineRule="auto"/>
        <w:ind w:right="245"/>
        <w:rPr>
          <w:rFonts w:asciiTheme="majorHAnsi" w:hAnsiTheme="majorHAnsi" w:cstheme="majorHAnsi"/>
          <w:sz w:val="24"/>
          <w:szCs w:val="24"/>
        </w:rPr>
      </w:pPr>
      <w:r w:rsidRPr="001D1BFB">
        <w:rPr>
          <w:rFonts w:asciiTheme="majorHAnsi" w:eastAsia="Times New Roman" w:hAnsiTheme="majorHAnsi" w:cstheme="majorHAnsi"/>
          <w:sz w:val="24"/>
          <w:szCs w:val="24"/>
        </w:rPr>
        <w:t>Unified information system and sub-systems (UISS)</w:t>
      </w:r>
    </w:p>
    <w:p w14:paraId="3B4F82C8" w14:textId="77777777" w:rsidR="008D0CAD" w:rsidRPr="001D1BFB" w:rsidRDefault="008D0CAD" w:rsidP="000440D6">
      <w:pPr>
        <w:pStyle w:val="BodyText"/>
        <w:numPr>
          <w:ilvl w:val="0"/>
          <w:numId w:val="2"/>
        </w:numPr>
        <w:spacing w:before="100" w:beforeAutospacing="1" w:after="100" w:afterAutospacing="1" w:line="360" w:lineRule="auto"/>
        <w:ind w:right="245"/>
        <w:rPr>
          <w:rFonts w:asciiTheme="majorHAnsi" w:hAnsiTheme="majorHAnsi" w:cstheme="majorHAnsi"/>
          <w:sz w:val="24"/>
          <w:szCs w:val="24"/>
        </w:rPr>
      </w:pPr>
      <w:r w:rsidRPr="001D1BFB">
        <w:rPr>
          <w:rFonts w:asciiTheme="majorHAnsi" w:eastAsia="Times New Roman" w:hAnsiTheme="majorHAnsi" w:cstheme="majorHAnsi"/>
          <w:sz w:val="24"/>
          <w:szCs w:val="24"/>
        </w:rPr>
        <w:t>Gender, disability and social inclusion (GEDSI)</w:t>
      </w:r>
    </w:p>
    <w:p w14:paraId="7458FAA9" w14:textId="77777777" w:rsidR="008D0CAD" w:rsidRPr="001D1BFB" w:rsidRDefault="008D0CAD" w:rsidP="000440D6">
      <w:pPr>
        <w:pStyle w:val="BodyText"/>
        <w:numPr>
          <w:ilvl w:val="0"/>
          <w:numId w:val="2"/>
        </w:numPr>
        <w:spacing w:before="100" w:beforeAutospacing="1" w:after="100" w:afterAutospacing="1" w:line="360" w:lineRule="auto"/>
        <w:ind w:right="245"/>
        <w:rPr>
          <w:rFonts w:asciiTheme="majorHAnsi" w:hAnsiTheme="majorHAnsi" w:cstheme="majorHAnsi"/>
          <w:sz w:val="24"/>
          <w:szCs w:val="24"/>
        </w:rPr>
      </w:pPr>
      <w:r w:rsidRPr="001D1BFB">
        <w:rPr>
          <w:rFonts w:asciiTheme="majorHAnsi" w:eastAsia="Times New Roman" w:hAnsiTheme="majorHAnsi" w:cstheme="majorHAnsi"/>
          <w:sz w:val="24"/>
          <w:szCs w:val="24"/>
        </w:rPr>
        <w:t>Organizational Development (OD)</w:t>
      </w:r>
    </w:p>
    <w:p w14:paraId="14951497" w14:textId="77777777" w:rsidR="008D0CAD" w:rsidRPr="00FF3614" w:rsidRDefault="008D0CAD" w:rsidP="000440D6">
      <w:pPr>
        <w:pStyle w:val="BodyText"/>
        <w:numPr>
          <w:ilvl w:val="0"/>
          <w:numId w:val="2"/>
        </w:numPr>
        <w:spacing w:before="100" w:beforeAutospacing="1" w:after="100" w:afterAutospacing="1" w:line="360" w:lineRule="auto"/>
        <w:ind w:right="245"/>
        <w:rPr>
          <w:rFonts w:asciiTheme="majorHAnsi" w:eastAsia="Times New Roman" w:hAnsiTheme="majorHAnsi" w:cstheme="majorHAnsi"/>
          <w:sz w:val="24"/>
          <w:szCs w:val="24"/>
        </w:rPr>
      </w:pPr>
      <w:r w:rsidRPr="001D1BFB">
        <w:rPr>
          <w:rFonts w:asciiTheme="majorHAnsi" w:eastAsia="Times New Roman" w:hAnsiTheme="majorHAnsi" w:cstheme="majorHAnsi"/>
          <w:sz w:val="24"/>
          <w:szCs w:val="24"/>
        </w:rPr>
        <w:t>Classroom Construction (CC)</w:t>
      </w:r>
    </w:p>
    <w:p w14:paraId="3643AD9D" w14:textId="12E27C28" w:rsidR="008D0CAD" w:rsidRDefault="008D0CAD" w:rsidP="000440D6">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rPr>
        <w:t xml:space="preserve">It should be noted that </w:t>
      </w:r>
      <w:r w:rsidRPr="00FF3614">
        <w:rPr>
          <w:rFonts w:asciiTheme="majorHAnsi" w:hAnsiTheme="majorHAnsi" w:cstheme="majorHAnsi"/>
        </w:rPr>
        <w:t xml:space="preserve">these 10 interventions </w:t>
      </w:r>
      <w:r>
        <w:rPr>
          <w:rFonts w:asciiTheme="majorHAnsi" w:hAnsiTheme="majorHAnsi" w:cstheme="majorHAnsi"/>
        </w:rPr>
        <w:t>did not comprise the entire BEST Program but were</w:t>
      </w:r>
      <w:r w:rsidRPr="00FF3614">
        <w:rPr>
          <w:rFonts w:asciiTheme="majorHAnsi" w:hAnsiTheme="majorHAnsi" w:cstheme="majorHAnsi"/>
        </w:rPr>
        <w:t xml:space="preserve"> a sub-set of the range of interventions </w:t>
      </w:r>
      <w:r>
        <w:rPr>
          <w:rFonts w:asciiTheme="majorHAnsi" w:hAnsiTheme="majorHAnsi" w:cstheme="majorHAnsi"/>
        </w:rPr>
        <w:t>undertaken</w:t>
      </w:r>
      <w:r w:rsidRPr="00FF3614">
        <w:rPr>
          <w:rFonts w:asciiTheme="majorHAnsi" w:hAnsiTheme="majorHAnsi" w:cstheme="majorHAnsi"/>
        </w:rPr>
        <w:t xml:space="preserve"> by </w:t>
      </w:r>
      <w:r>
        <w:rPr>
          <w:rFonts w:asciiTheme="majorHAnsi" w:hAnsiTheme="majorHAnsi" w:cstheme="majorHAnsi"/>
        </w:rPr>
        <w:t>the Program.</w:t>
      </w:r>
      <w:r w:rsidRPr="00FF3614">
        <w:rPr>
          <w:rFonts w:asciiTheme="majorHAnsi" w:hAnsiTheme="majorHAnsi" w:cstheme="majorHAnsi"/>
        </w:rPr>
        <w:t xml:space="preserve"> </w:t>
      </w:r>
      <w:r>
        <w:rPr>
          <w:rFonts w:asciiTheme="majorHAnsi" w:hAnsiTheme="majorHAnsi" w:cstheme="majorHAnsi"/>
        </w:rPr>
        <w:t>There were other interventions not included such as the Innovation Grants. T</w:t>
      </w:r>
      <w:r w:rsidRPr="00FF3614">
        <w:rPr>
          <w:rFonts w:asciiTheme="majorHAnsi" w:hAnsiTheme="majorHAnsi" w:cstheme="majorHAnsi"/>
        </w:rPr>
        <w:t xml:space="preserve">he </w:t>
      </w:r>
      <w:r>
        <w:rPr>
          <w:rFonts w:asciiTheme="majorHAnsi" w:hAnsiTheme="majorHAnsi" w:cstheme="majorHAnsi"/>
        </w:rPr>
        <w:t>focus</w:t>
      </w:r>
      <w:r w:rsidRPr="00FF3614">
        <w:rPr>
          <w:rFonts w:asciiTheme="majorHAnsi" w:hAnsiTheme="majorHAnsi" w:cstheme="majorHAnsi"/>
        </w:rPr>
        <w:t xml:space="preserve"> o</w:t>
      </w:r>
      <w:r>
        <w:rPr>
          <w:rFonts w:asciiTheme="majorHAnsi" w:hAnsiTheme="majorHAnsi" w:cstheme="majorHAnsi"/>
        </w:rPr>
        <w:t>n</w:t>
      </w:r>
      <w:r w:rsidRPr="00FF3614">
        <w:rPr>
          <w:rFonts w:asciiTheme="majorHAnsi" w:hAnsiTheme="majorHAnsi" w:cstheme="majorHAnsi"/>
        </w:rPr>
        <w:t xml:space="preserve"> the </w:t>
      </w:r>
      <w:r>
        <w:rPr>
          <w:rFonts w:asciiTheme="majorHAnsi" w:hAnsiTheme="majorHAnsi" w:cstheme="majorHAnsi"/>
        </w:rPr>
        <w:t>ten</w:t>
      </w:r>
      <w:r w:rsidRPr="00FF3614">
        <w:rPr>
          <w:rFonts w:asciiTheme="majorHAnsi" w:hAnsiTheme="majorHAnsi" w:cstheme="majorHAnsi"/>
        </w:rPr>
        <w:t xml:space="preserve"> </w:t>
      </w:r>
      <w:r>
        <w:rPr>
          <w:rFonts w:asciiTheme="majorHAnsi" w:hAnsiTheme="majorHAnsi" w:cstheme="majorHAnsi"/>
        </w:rPr>
        <w:t>program interventions was a decision made by the Facilitating Contractor mainly for</w:t>
      </w:r>
      <w:r w:rsidRPr="00FF3614">
        <w:rPr>
          <w:rFonts w:asciiTheme="majorHAnsi" w:hAnsiTheme="majorHAnsi" w:cstheme="majorHAnsi"/>
        </w:rPr>
        <w:t xml:space="preserve"> the purposes of the evaluation study</w:t>
      </w:r>
      <w:r>
        <w:rPr>
          <w:rFonts w:asciiTheme="majorHAnsi" w:hAnsiTheme="majorHAnsi" w:cstheme="majorHAnsi"/>
        </w:rPr>
        <w:t xml:space="preserve"> as indicated in the RFT </w:t>
      </w:r>
      <w:r w:rsidRPr="00001C09">
        <w:rPr>
          <w:rFonts w:asciiTheme="majorHAnsi" w:hAnsiTheme="majorHAnsi" w:cstheme="majorHAnsi"/>
          <w:color w:val="000000" w:themeColor="text1"/>
        </w:rPr>
        <w:t>document</w:t>
      </w:r>
      <w:r>
        <w:rPr>
          <w:rFonts w:asciiTheme="majorHAnsi" w:hAnsiTheme="majorHAnsi" w:cstheme="majorHAnsi"/>
          <w:color w:val="000000" w:themeColor="text1"/>
        </w:rPr>
        <w:t>s</w:t>
      </w:r>
      <w:r w:rsidRPr="00001C09">
        <w:rPr>
          <w:rFonts w:asciiTheme="majorHAnsi" w:hAnsiTheme="majorHAnsi" w:cstheme="majorHAnsi"/>
          <w:color w:val="000000" w:themeColor="text1"/>
        </w:rPr>
        <w:t xml:space="preserve"> (</w:t>
      </w:r>
      <w:r>
        <w:rPr>
          <w:rFonts w:asciiTheme="majorHAnsi" w:hAnsiTheme="majorHAnsi" w:cstheme="majorHAnsi"/>
          <w:color w:val="000000" w:themeColor="text1"/>
        </w:rPr>
        <w:t>Cardno</w:t>
      </w:r>
      <w:r w:rsidRPr="00001C09">
        <w:rPr>
          <w:rFonts w:asciiTheme="majorHAnsi" w:hAnsiTheme="majorHAnsi" w:cstheme="majorHAnsi"/>
          <w:color w:val="000000" w:themeColor="text1"/>
        </w:rPr>
        <w:t>,</w:t>
      </w:r>
      <w:r>
        <w:rPr>
          <w:rFonts w:asciiTheme="majorHAnsi" w:hAnsiTheme="majorHAnsi" w:cstheme="majorHAnsi"/>
          <w:color w:val="000000" w:themeColor="text1"/>
        </w:rPr>
        <w:t xml:space="preserve"> 2018,</w:t>
      </w:r>
      <w:r w:rsidRPr="00001C09">
        <w:rPr>
          <w:rFonts w:asciiTheme="majorHAnsi" w:hAnsiTheme="majorHAnsi" w:cstheme="majorHAnsi"/>
          <w:color w:val="000000" w:themeColor="text1"/>
        </w:rPr>
        <w:t xml:space="preserve"> p. 6).</w:t>
      </w:r>
      <w:r w:rsidR="00D434EB">
        <w:rPr>
          <w:rFonts w:asciiTheme="majorHAnsi" w:hAnsiTheme="majorHAnsi" w:cstheme="majorHAnsi"/>
          <w:color w:val="000000" w:themeColor="text1"/>
        </w:rPr>
        <w:t xml:space="preserve"> </w:t>
      </w:r>
    </w:p>
    <w:p w14:paraId="5D6821D2" w14:textId="77777777" w:rsidR="008D0CAD" w:rsidRDefault="008D0CAD" w:rsidP="002320B3">
      <w:pPr>
        <w:rPr>
          <w:rFonts w:asciiTheme="majorHAnsi" w:hAnsiTheme="majorHAnsi" w:cstheme="majorHAnsi"/>
        </w:rPr>
      </w:pPr>
    </w:p>
    <w:p w14:paraId="7EE6618F" w14:textId="2A42AA5B" w:rsidR="008D0CAD" w:rsidRPr="00600FF9" w:rsidRDefault="008D0CAD" w:rsidP="00DD08E3">
      <w:pPr>
        <w:pStyle w:val="Heading2"/>
        <w:pageBreakBefore/>
        <w:numPr>
          <w:ilvl w:val="0"/>
          <w:numId w:val="161"/>
        </w:numPr>
        <w:spacing w:before="100" w:beforeAutospacing="1" w:after="100" w:afterAutospacing="1" w:line="360" w:lineRule="auto"/>
        <w:ind w:left="1077" w:hanging="357"/>
      </w:pPr>
      <w:bookmarkStart w:id="43" w:name="_Toc12711980"/>
      <w:bookmarkStart w:id="44" w:name="_Toc13216261"/>
      <w:bookmarkStart w:id="45" w:name="_Toc69820433"/>
      <w:r w:rsidRPr="007932D9">
        <w:t>Methodology</w:t>
      </w:r>
      <w:bookmarkEnd w:id="43"/>
      <w:bookmarkEnd w:id="44"/>
      <w:bookmarkEnd w:id="45"/>
    </w:p>
    <w:p w14:paraId="673996D8" w14:textId="47BCE88D" w:rsidR="008D0CAD" w:rsidRDefault="008D0CAD" w:rsidP="000479A3">
      <w:pPr>
        <w:pStyle w:val="NormalWeb"/>
        <w:spacing w:line="360" w:lineRule="auto"/>
        <w:rPr>
          <w:rFonts w:asciiTheme="majorHAnsi" w:hAnsiTheme="majorHAnsi" w:cstheme="majorHAnsi"/>
          <w:color w:val="000000" w:themeColor="text1"/>
        </w:rPr>
      </w:pPr>
      <w:bookmarkStart w:id="46" w:name="_Toc12711981"/>
      <w:bookmarkStart w:id="47" w:name="_Toc13216262"/>
      <w:r>
        <w:rPr>
          <w:rFonts w:asciiTheme="majorHAnsi" w:hAnsiTheme="majorHAnsi" w:cstheme="majorHAnsi"/>
        </w:rPr>
        <w:t>T</w:t>
      </w:r>
      <w:r w:rsidRPr="001D1BFB">
        <w:rPr>
          <w:rFonts w:asciiTheme="majorHAnsi" w:hAnsiTheme="majorHAnsi" w:cstheme="majorHAnsi"/>
        </w:rPr>
        <w:t>h</w:t>
      </w:r>
      <w:r>
        <w:rPr>
          <w:rFonts w:asciiTheme="majorHAnsi" w:hAnsiTheme="majorHAnsi" w:cstheme="majorHAnsi"/>
        </w:rPr>
        <w:t>e</w:t>
      </w:r>
      <w:r w:rsidRPr="001D1BFB">
        <w:rPr>
          <w:rFonts w:asciiTheme="majorHAnsi" w:hAnsiTheme="majorHAnsi" w:cstheme="majorHAnsi"/>
        </w:rPr>
        <w:t xml:space="preserve"> </w:t>
      </w:r>
      <w:r>
        <w:rPr>
          <w:rFonts w:asciiTheme="majorHAnsi" w:hAnsiTheme="majorHAnsi" w:cstheme="majorHAnsi"/>
        </w:rPr>
        <w:t xml:space="preserve">End-of-Program </w:t>
      </w:r>
      <w:r w:rsidRPr="001D1BFB">
        <w:rPr>
          <w:rFonts w:asciiTheme="majorHAnsi" w:hAnsiTheme="majorHAnsi" w:cstheme="majorHAnsi"/>
        </w:rPr>
        <w:t>Evaluation</w:t>
      </w:r>
      <w:r>
        <w:rPr>
          <w:rFonts w:asciiTheme="majorHAnsi" w:hAnsiTheme="majorHAnsi" w:cstheme="majorHAnsi"/>
        </w:rPr>
        <w:t xml:space="preserve"> (EOPE)</w:t>
      </w:r>
      <w:r w:rsidRPr="001D1BFB">
        <w:rPr>
          <w:rFonts w:asciiTheme="majorHAnsi" w:hAnsiTheme="majorHAnsi" w:cstheme="majorHAnsi"/>
        </w:rPr>
        <w:t xml:space="preserve"> Study</w:t>
      </w:r>
      <w:r>
        <w:rPr>
          <w:rFonts w:asciiTheme="majorHAnsi" w:hAnsiTheme="majorHAnsi" w:cstheme="majorHAnsi"/>
          <w:color w:val="000000" w:themeColor="text1"/>
        </w:rPr>
        <w:t xml:space="preserve"> consisted of two phases.</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Phase 1 was the larger study, which included </w:t>
      </w:r>
      <w:r w:rsidRPr="009017F5">
        <w:rPr>
          <w:rFonts w:asciiTheme="majorHAnsi" w:hAnsiTheme="majorHAnsi" w:cstheme="majorHAnsi"/>
        </w:rPr>
        <w:t>106 schools in the sample study</w:t>
      </w:r>
      <w:r>
        <w:rPr>
          <w:rFonts w:asciiTheme="majorHAnsi" w:hAnsiTheme="majorHAnsi" w:cstheme="majorHAnsi"/>
        </w:rPr>
        <w:t>.</w:t>
      </w:r>
      <w:r w:rsidR="00D434EB">
        <w:rPr>
          <w:rFonts w:asciiTheme="majorHAnsi" w:hAnsiTheme="majorHAnsi" w:cstheme="majorHAnsi"/>
        </w:rPr>
        <w:t xml:space="preserve"> </w:t>
      </w:r>
      <w:r>
        <w:rPr>
          <w:rFonts w:asciiTheme="majorHAnsi" w:hAnsiTheme="majorHAnsi" w:cstheme="majorHAnsi"/>
        </w:rPr>
        <w:t xml:space="preserve">Data gathering was undertaken in </w:t>
      </w:r>
      <w:r w:rsidRPr="004054A9">
        <w:rPr>
          <w:rFonts w:asciiTheme="majorHAnsi" w:hAnsiTheme="majorHAnsi" w:cstheme="majorHAnsi"/>
          <w:color w:val="000000" w:themeColor="text1"/>
        </w:rPr>
        <w:t xml:space="preserve">March – May </w:t>
      </w:r>
      <w:r>
        <w:rPr>
          <w:rFonts w:asciiTheme="majorHAnsi" w:hAnsiTheme="majorHAnsi" w:cstheme="majorHAnsi"/>
        </w:rPr>
        <w:t>2019, while several interventions were still in full steam.</w:t>
      </w:r>
      <w:r w:rsidR="00D434EB">
        <w:rPr>
          <w:rFonts w:asciiTheme="majorHAnsi" w:hAnsiTheme="majorHAnsi" w:cstheme="majorHAnsi"/>
        </w:rPr>
        <w:t xml:space="preserve"> </w:t>
      </w:r>
      <w:r>
        <w:rPr>
          <w:rFonts w:asciiTheme="majorHAnsi" w:hAnsiTheme="majorHAnsi" w:cstheme="majorHAnsi"/>
        </w:rPr>
        <w:t xml:space="preserve">Note that the </w:t>
      </w:r>
      <w:r>
        <w:rPr>
          <w:rFonts w:asciiTheme="majorHAnsi" w:hAnsiTheme="majorHAnsi" w:cstheme="majorHAnsi"/>
          <w:color w:val="000000" w:themeColor="text1"/>
        </w:rPr>
        <w:t>BEST Program closed in June 2019</w:t>
      </w:r>
      <w:r w:rsidRPr="009017F5">
        <w:rPr>
          <w:rFonts w:asciiTheme="majorHAnsi" w:hAnsiTheme="majorHAnsi" w:cstheme="majorHAnsi"/>
        </w:rPr>
        <w:t>.</w:t>
      </w:r>
      <w:r w:rsidR="00D434EB">
        <w:rPr>
          <w:rFonts w:asciiTheme="majorHAnsi" w:hAnsiTheme="majorHAnsi" w:cstheme="majorHAnsi"/>
        </w:rPr>
        <w:t xml:space="preserve"> </w:t>
      </w:r>
      <w:r>
        <w:rPr>
          <w:rFonts w:asciiTheme="majorHAnsi" w:hAnsiTheme="majorHAnsi" w:cstheme="majorHAnsi"/>
        </w:rPr>
        <w:t>For brevity, this Study will be called the EOPE Study.</w:t>
      </w:r>
    </w:p>
    <w:p w14:paraId="275CCBE4" w14:textId="77777777" w:rsidR="008D0CAD" w:rsidRPr="00B868B9" w:rsidRDefault="008D0CAD" w:rsidP="000479A3">
      <w:pPr>
        <w:pStyle w:val="NormalWeb"/>
        <w:spacing w:line="360" w:lineRule="auto"/>
        <w:rPr>
          <w:rFonts w:asciiTheme="majorHAnsi" w:hAnsiTheme="majorHAnsi" w:cstheme="majorHAnsi"/>
        </w:rPr>
      </w:pPr>
      <w:r>
        <w:rPr>
          <w:rFonts w:asciiTheme="majorHAnsi" w:hAnsiTheme="majorHAnsi" w:cstheme="majorHAnsi"/>
          <w:spacing w:val="-1"/>
        </w:rPr>
        <w:t xml:space="preserve">The field data gathering for </w:t>
      </w:r>
      <w:r>
        <w:rPr>
          <w:rFonts w:asciiTheme="majorHAnsi" w:hAnsiTheme="majorHAnsi" w:cstheme="majorHAnsi"/>
          <w:color w:val="000000" w:themeColor="text1"/>
        </w:rPr>
        <w:t xml:space="preserve">Phase 2 </w:t>
      </w:r>
      <w:r>
        <w:rPr>
          <w:rFonts w:asciiTheme="majorHAnsi" w:hAnsiTheme="majorHAnsi" w:cstheme="majorHAnsi"/>
          <w:spacing w:val="-1"/>
        </w:rPr>
        <w:t xml:space="preserve">was conducted from </w:t>
      </w:r>
      <w:r>
        <w:rPr>
          <w:rFonts w:asciiTheme="majorHAnsi" w:hAnsiTheme="majorHAnsi" w:cstheme="majorHAnsi"/>
        </w:rPr>
        <w:t xml:space="preserve">March – May </w:t>
      </w:r>
      <w:r>
        <w:rPr>
          <w:rFonts w:asciiTheme="majorHAnsi" w:hAnsiTheme="majorHAnsi" w:cstheme="majorHAnsi"/>
          <w:spacing w:val="-1"/>
        </w:rPr>
        <w:t>2020</w:t>
      </w:r>
      <w:r>
        <w:rPr>
          <w:rFonts w:asciiTheme="majorHAnsi" w:hAnsiTheme="majorHAnsi" w:cstheme="majorHAnsi"/>
          <w:color w:val="000000" w:themeColor="text1"/>
        </w:rPr>
        <w:t xml:space="preserve">, seven months after the end of </w:t>
      </w:r>
      <w:r>
        <w:rPr>
          <w:rFonts w:asciiTheme="majorHAnsi" w:hAnsiTheme="majorHAnsi" w:cstheme="majorHAnsi"/>
        </w:rPr>
        <w:t xml:space="preserve">the </w:t>
      </w:r>
      <w:r>
        <w:rPr>
          <w:rFonts w:asciiTheme="majorHAnsi" w:hAnsiTheme="majorHAnsi" w:cstheme="majorHAnsi"/>
          <w:color w:val="000000" w:themeColor="text1"/>
        </w:rPr>
        <w:t>BEST Program, and involved only 12 schools.</w:t>
      </w:r>
      <w:r w:rsidRPr="001F2542">
        <w:rPr>
          <w:rFonts w:asciiTheme="majorHAnsi" w:hAnsiTheme="majorHAnsi" w:cstheme="majorHAnsi"/>
        </w:rPr>
        <w:t xml:space="preserve"> </w:t>
      </w:r>
      <w:r>
        <w:rPr>
          <w:rFonts w:asciiTheme="majorHAnsi" w:hAnsiTheme="majorHAnsi" w:cstheme="majorHAnsi"/>
        </w:rPr>
        <w:t>For brevity, this Study will be called the Follow-up Study.</w:t>
      </w:r>
    </w:p>
    <w:p w14:paraId="2E06A120" w14:textId="0F29F2E9" w:rsidR="008D0CAD" w:rsidRPr="00600FF9" w:rsidRDefault="008D0CAD" w:rsidP="00DD08E3">
      <w:pPr>
        <w:pStyle w:val="Heading3"/>
        <w:numPr>
          <w:ilvl w:val="1"/>
          <w:numId w:val="161"/>
        </w:numPr>
        <w:spacing w:before="100" w:beforeAutospacing="1" w:after="100" w:afterAutospacing="1" w:line="360" w:lineRule="auto"/>
        <w:contextualSpacing/>
      </w:pPr>
      <w:bookmarkStart w:id="48" w:name="_Toc69820434"/>
      <w:r w:rsidRPr="007932D9">
        <w:t>Evaluation Framework</w:t>
      </w:r>
      <w:bookmarkEnd w:id="46"/>
      <w:bookmarkEnd w:id="47"/>
      <w:bookmarkEnd w:id="48"/>
    </w:p>
    <w:p w14:paraId="4F602469" w14:textId="264B60B2" w:rsidR="008D0CAD" w:rsidRPr="004054A9" w:rsidRDefault="008D0CAD" w:rsidP="000479A3">
      <w:pPr>
        <w:pStyle w:val="NormalWeb"/>
        <w:spacing w:line="360" w:lineRule="auto"/>
        <w:contextualSpacing/>
        <w:rPr>
          <w:rFonts w:asciiTheme="majorHAnsi" w:hAnsiTheme="majorHAnsi" w:cstheme="majorHAnsi"/>
          <w:color w:val="000000" w:themeColor="text1"/>
        </w:rPr>
      </w:pPr>
      <w:r w:rsidRPr="001F2542">
        <w:rPr>
          <w:rFonts w:asciiTheme="majorHAnsi" w:hAnsiTheme="majorHAnsi" w:cstheme="majorHAnsi"/>
          <w:b/>
          <w:bCs/>
        </w:rPr>
        <w:t>EOPE Study</w:t>
      </w:r>
      <w:r>
        <w:rPr>
          <w:rFonts w:asciiTheme="majorHAnsi" w:hAnsiTheme="majorHAnsi" w:cstheme="majorHAnsi"/>
        </w:rPr>
        <w:t>. T</w:t>
      </w:r>
      <w:r w:rsidRPr="001D1BFB">
        <w:rPr>
          <w:rFonts w:asciiTheme="majorHAnsi" w:hAnsiTheme="majorHAnsi" w:cstheme="majorHAnsi"/>
        </w:rPr>
        <w:t>h</w:t>
      </w:r>
      <w:r>
        <w:rPr>
          <w:rFonts w:asciiTheme="majorHAnsi" w:hAnsiTheme="majorHAnsi" w:cstheme="majorHAnsi"/>
        </w:rPr>
        <w:t>e</w:t>
      </w:r>
      <w:r w:rsidRPr="001D1BFB">
        <w:rPr>
          <w:rFonts w:asciiTheme="majorHAnsi" w:hAnsiTheme="majorHAnsi" w:cstheme="majorHAnsi"/>
        </w:rPr>
        <w:t xml:space="preserve"> </w:t>
      </w:r>
      <w:r>
        <w:rPr>
          <w:rFonts w:asciiTheme="majorHAnsi" w:hAnsiTheme="majorHAnsi" w:cstheme="majorHAnsi"/>
        </w:rPr>
        <w:t xml:space="preserve">approved methodology for the Evaluation was the </w:t>
      </w:r>
      <w:r w:rsidRPr="00077665">
        <w:rPr>
          <w:rFonts w:asciiTheme="majorHAnsi" w:hAnsiTheme="majorHAnsi" w:cstheme="majorHAnsi"/>
          <w:color w:val="000000" w:themeColor="text1"/>
        </w:rPr>
        <w:t>Context, Input, Process, and Product (CIPP) Evaluation Model.</w:t>
      </w:r>
      <w:r w:rsidR="00D434EB">
        <w:rPr>
          <w:rFonts w:asciiTheme="majorHAnsi" w:hAnsiTheme="majorHAnsi" w:cstheme="majorHAnsi"/>
          <w:color w:val="000000" w:themeColor="text1"/>
        </w:rPr>
        <w:t xml:space="preserve"> </w:t>
      </w:r>
      <w:r w:rsidRPr="00077665">
        <w:rPr>
          <w:rFonts w:asciiTheme="majorHAnsi" w:hAnsiTheme="majorHAnsi" w:cstheme="majorHAnsi"/>
          <w:color w:val="000000" w:themeColor="text1"/>
        </w:rPr>
        <w:t xml:space="preserve">The CIPP Framework was </w:t>
      </w:r>
      <w:r>
        <w:rPr>
          <w:rFonts w:asciiTheme="majorHAnsi" w:hAnsiTheme="majorHAnsi" w:cstheme="majorHAnsi"/>
          <w:color w:val="000000" w:themeColor="text1"/>
        </w:rPr>
        <w:t xml:space="preserve">intended to be </w:t>
      </w:r>
      <w:r w:rsidRPr="00077665">
        <w:rPr>
          <w:rFonts w:asciiTheme="majorHAnsi" w:hAnsiTheme="majorHAnsi" w:cstheme="majorHAnsi"/>
          <w:color w:val="000000" w:themeColor="text1"/>
        </w:rPr>
        <w:t>applied to the BEST Program</w:t>
      </w:r>
      <w:r>
        <w:rPr>
          <w:rFonts w:asciiTheme="majorHAnsi" w:hAnsiTheme="majorHAnsi" w:cstheme="majorHAnsi"/>
          <w:color w:val="000000" w:themeColor="text1"/>
        </w:rPr>
        <w:t>.</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However, due to data and time </w:t>
      </w:r>
      <w:r w:rsidRPr="004054A9">
        <w:rPr>
          <w:rFonts w:asciiTheme="majorHAnsi" w:hAnsiTheme="majorHAnsi" w:cstheme="majorHAnsi"/>
          <w:color w:val="000000" w:themeColor="text1"/>
        </w:rPr>
        <w:t xml:space="preserve">limitations, the full framework could not be fully </w:t>
      </w:r>
      <w:r w:rsidR="00647DE5" w:rsidRPr="004054A9">
        <w:rPr>
          <w:rFonts w:asciiTheme="majorHAnsi" w:hAnsiTheme="majorHAnsi" w:cstheme="majorHAnsi"/>
          <w:color w:val="000000" w:themeColor="text1"/>
        </w:rPr>
        <w:t>applied,</w:t>
      </w:r>
      <w:r w:rsidRPr="004054A9">
        <w:rPr>
          <w:rFonts w:asciiTheme="majorHAnsi" w:hAnsiTheme="majorHAnsi" w:cstheme="majorHAnsi"/>
          <w:color w:val="000000" w:themeColor="text1"/>
        </w:rPr>
        <w:t xml:space="preserve"> and adjustments had to be undertaken (see Annex C. Overview of Evaluation Methodology).</w:t>
      </w:r>
    </w:p>
    <w:p w14:paraId="3661BD8A" w14:textId="34C94982" w:rsidR="008D0CAD" w:rsidRDefault="008D0CAD" w:rsidP="000479A3">
      <w:pPr>
        <w:pStyle w:val="NormalWeb"/>
        <w:spacing w:line="360" w:lineRule="auto"/>
        <w:contextualSpacing/>
        <w:rPr>
          <w:rFonts w:asciiTheme="majorHAnsi" w:hAnsiTheme="majorHAnsi" w:cstheme="majorHAnsi"/>
        </w:rPr>
      </w:pPr>
      <w:r>
        <w:rPr>
          <w:rFonts w:asciiTheme="majorHAnsi" w:hAnsiTheme="majorHAnsi" w:cstheme="majorHAnsi"/>
          <w:color w:val="000000" w:themeColor="text1"/>
        </w:rPr>
        <w:t xml:space="preserve">A major adjustment was dropping </w:t>
      </w:r>
      <w:r>
        <w:rPr>
          <w:rFonts w:asciiTheme="majorHAnsi" w:hAnsiTheme="majorHAnsi" w:cstheme="majorHAnsi"/>
        </w:rPr>
        <w:t>t</w:t>
      </w:r>
      <w:r w:rsidRPr="009017F5">
        <w:rPr>
          <w:rFonts w:asciiTheme="majorHAnsi" w:hAnsiTheme="majorHAnsi" w:cstheme="majorHAnsi"/>
        </w:rPr>
        <w:t xml:space="preserve">he </w:t>
      </w:r>
      <w:r>
        <w:rPr>
          <w:rFonts w:asciiTheme="majorHAnsi" w:hAnsiTheme="majorHAnsi" w:cstheme="majorHAnsi"/>
        </w:rPr>
        <w:t>planned r</w:t>
      </w:r>
      <w:r w:rsidRPr="009017F5">
        <w:rPr>
          <w:rFonts w:asciiTheme="majorHAnsi" w:hAnsiTheme="majorHAnsi" w:cstheme="majorHAnsi"/>
        </w:rPr>
        <w:t>egression analysis</w:t>
      </w:r>
      <w:r>
        <w:rPr>
          <w:rFonts w:asciiTheme="majorHAnsi" w:hAnsiTheme="majorHAnsi" w:cstheme="majorHAnsi"/>
        </w:rPr>
        <w:t>, due to</w:t>
      </w:r>
      <w:r w:rsidRPr="009017F5">
        <w:rPr>
          <w:rFonts w:asciiTheme="majorHAnsi" w:hAnsiTheme="majorHAnsi" w:cstheme="majorHAnsi"/>
        </w:rPr>
        <w:t xml:space="preserve"> </w:t>
      </w:r>
      <w:r>
        <w:rPr>
          <w:rFonts w:asciiTheme="majorHAnsi" w:hAnsiTheme="majorHAnsi" w:cstheme="majorHAnsi"/>
        </w:rPr>
        <w:t>the limited number of schools (</w:t>
      </w:r>
      <w:r w:rsidRPr="009017F5">
        <w:rPr>
          <w:rFonts w:asciiTheme="majorHAnsi" w:hAnsiTheme="majorHAnsi" w:cstheme="majorHAnsi"/>
        </w:rPr>
        <w:t>only 2</w:t>
      </w:r>
      <w:r>
        <w:rPr>
          <w:rFonts w:asciiTheme="majorHAnsi" w:hAnsiTheme="majorHAnsi" w:cstheme="majorHAnsi"/>
        </w:rPr>
        <w:t>5</w:t>
      </w:r>
      <w:r w:rsidRPr="009017F5">
        <w:rPr>
          <w:rFonts w:asciiTheme="majorHAnsi" w:hAnsiTheme="majorHAnsi" w:cstheme="majorHAnsi"/>
        </w:rPr>
        <w:t xml:space="preserve"> out of the 106 schools</w:t>
      </w:r>
      <w:r>
        <w:rPr>
          <w:rFonts w:asciiTheme="majorHAnsi" w:hAnsiTheme="majorHAnsi" w:cstheme="majorHAnsi"/>
        </w:rPr>
        <w:t>)</w:t>
      </w:r>
      <w:r w:rsidRPr="009017F5">
        <w:rPr>
          <w:rFonts w:asciiTheme="majorHAnsi" w:hAnsiTheme="majorHAnsi" w:cstheme="majorHAnsi"/>
        </w:rPr>
        <w:t xml:space="preserve"> </w:t>
      </w:r>
      <w:r>
        <w:rPr>
          <w:rFonts w:asciiTheme="majorHAnsi" w:hAnsiTheme="majorHAnsi" w:cstheme="majorHAnsi"/>
        </w:rPr>
        <w:t>that were able to provide</w:t>
      </w:r>
      <w:r w:rsidRPr="009017F5">
        <w:rPr>
          <w:rFonts w:asciiTheme="majorHAnsi" w:hAnsiTheme="majorHAnsi" w:cstheme="majorHAnsi"/>
        </w:rPr>
        <w:t xml:space="preserve"> complete set</w:t>
      </w:r>
      <w:r>
        <w:rPr>
          <w:rFonts w:asciiTheme="majorHAnsi" w:hAnsiTheme="majorHAnsi" w:cstheme="majorHAnsi"/>
        </w:rPr>
        <w:t>s</w:t>
      </w:r>
      <w:r w:rsidRPr="009017F5">
        <w:rPr>
          <w:rFonts w:asciiTheme="majorHAnsi" w:hAnsiTheme="majorHAnsi" w:cstheme="majorHAnsi"/>
        </w:rPr>
        <w:t xml:space="preserve"> of average individual grades by grade level and by subject for the five years under review.</w:t>
      </w:r>
      <w:r w:rsidR="00D434EB">
        <w:rPr>
          <w:rFonts w:asciiTheme="majorHAnsi" w:hAnsiTheme="majorHAnsi" w:cstheme="majorHAnsi"/>
        </w:rPr>
        <w:t xml:space="preserve"> </w:t>
      </w:r>
      <w:r w:rsidRPr="009017F5">
        <w:rPr>
          <w:rFonts w:asciiTheme="majorHAnsi" w:hAnsiTheme="majorHAnsi" w:cstheme="majorHAnsi"/>
        </w:rPr>
        <w:t>In</w:t>
      </w:r>
      <w:r>
        <w:rPr>
          <w:rFonts w:asciiTheme="majorHAnsi" w:hAnsiTheme="majorHAnsi" w:cstheme="majorHAnsi"/>
        </w:rPr>
        <w:t xml:space="preserve"> lieu</w:t>
      </w:r>
      <w:r w:rsidRPr="009017F5">
        <w:rPr>
          <w:rFonts w:asciiTheme="majorHAnsi" w:hAnsiTheme="majorHAnsi" w:cstheme="majorHAnsi"/>
        </w:rPr>
        <w:t xml:space="preserve"> of</w:t>
      </w:r>
      <w:r>
        <w:rPr>
          <w:rFonts w:asciiTheme="majorHAnsi" w:hAnsiTheme="majorHAnsi" w:cstheme="majorHAnsi"/>
        </w:rPr>
        <w:t xml:space="preserve"> the</w:t>
      </w:r>
      <w:r w:rsidRPr="009017F5">
        <w:rPr>
          <w:rFonts w:asciiTheme="majorHAnsi" w:hAnsiTheme="majorHAnsi" w:cstheme="majorHAnsi"/>
        </w:rPr>
        <w:t xml:space="preserve"> regression analysis, pooled difference-in-difference (DID) analysis</w:t>
      </w:r>
      <w:r>
        <w:rPr>
          <w:rFonts w:asciiTheme="majorHAnsi" w:hAnsiTheme="majorHAnsi" w:cstheme="majorHAnsi"/>
        </w:rPr>
        <w:t xml:space="preserve"> was used</w:t>
      </w:r>
      <w:r w:rsidRPr="009017F5">
        <w:rPr>
          <w:rFonts w:asciiTheme="majorHAnsi" w:hAnsiTheme="majorHAnsi" w:cstheme="majorHAnsi"/>
        </w:rPr>
        <w:t>.</w:t>
      </w:r>
    </w:p>
    <w:p w14:paraId="5EB13877" w14:textId="77777777" w:rsidR="008D0CAD" w:rsidRPr="000006E2" w:rsidRDefault="008D0CAD" w:rsidP="000479A3">
      <w:pPr>
        <w:pStyle w:val="NormalWeb"/>
        <w:spacing w:line="360" w:lineRule="auto"/>
        <w:contextualSpacing/>
        <w:rPr>
          <w:rFonts w:asciiTheme="majorHAnsi" w:hAnsiTheme="majorHAnsi" w:cstheme="majorHAnsi"/>
          <w:color w:val="000000" w:themeColor="text1"/>
        </w:rPr>
      </w:pPr>
      <w:r>
        <w:rPr>
          <w:rFonts w:asciiTheme="majorHAnsi" w:hAnsiTheme="majorHAnsi" w:cstheme="majorHAnsi"/>
          <w:color w:val="000000"/>
        </w:rPr>
        <w:t>Planned</w:t>
      </w:r>
      <w:r w:rsidRPr="009017F5">
        <w:rPr>
          <w:rFonts w:asciiTheme="majorHAnsi" w:hAnsiTheme="majorHAnsi" w:cstheme="majorHAnsi"/>
          <w:color w:val="000000"/>
        </w:rPr>
        <w:t xml:space="preserve"> cost-effectiveness analysis </w:t>
      </w:r>
      <w:r>
        <w:rPr>
          <w:rFonts w:asciiTheme="majorHAnsi" w:hAnsiTheme="majorHAnsi" w:cstheme="majorHAnsi"/>
          <w:color w:val="000000"/>
        </w:rPr>
        <w:t xml:space="preserve">was also not undertaken primarily due to the following reasons: (i) BEST Program </w:t>
      </w:r>
      <w:r w:rsidRPr="009017F5">
        <w:rPr>
          <w:rFonts w:asciiTheme="majorHAnsi" w:hAnsiTheme="majorHAnsi" w:cstheme="majorHAnsi"/>
          <w:color w:val="000000"/>
        </w:rPr>
        <w:t>financial reports in the S</w:t>
      </w:r>
      <w:r>
        <w:rPr>
          <w:rFonts w:asciiTheme="majorHAnsi" w:hAnsiTheme="majorHAnsi" w:cstheme="majorHAnsi"/>
          <w:color w:val="000000"/>
        </w:rPr>
        <w:t xml:space="preserve">ix </w:t>
      </w:r>
      <w:r w:rsidRPr="009017F5">
        <w:rPr>
          <w:rFonts w:asciiTheme="majorHAnsi" w:hAnsiTheme="majorHAnsi" w:cstheme="majorHAnsi"/>
          <w:color w:val="000000"/>
        </w:rPr>
        <w:t>M</w:t>
      </w:r>
      <w:r>
        <w:rPr>
          <w:rFonts w:asciiTheme="majorHAnsi" w:hAnsiTheme="majorHAnsi" w:cstheme="majorHAnsi"/>
          <w:color w:val="000000"/>
        </w:rPr>
        <w:t xml:space="preserve">onthly </w:t>
      </w:r>
      <w:r w:rsidRPr="009017F5">
        <w:rPr>
          <w:rFonts w:asciiTheme="majorHAnsi" w:hAnsiTheme="majorHAnsi" w:cstheme="majorHAnsi"/>
          <w:color w:val="000000"/>
        </w:rPr>
        <w:t>P</w:t>
      </w:r>
      <w:r>
        <w:rPr>
          <w:rFonts w:asciiTheme="majorHAnsi" w:hAnsiTheme="majorHAnsi" w:cstheme="majorHAnsi"/>
          <w:color w:val="000000"/>
        </w:rPr>
        <w:t xml:space="preserve">rogress </w:t>
      </w:r>
      <w:r w:rsidRPr="009017F5">
        <w:rPr>
          <w:rFonts w:asciiTheme="majorHAnsi" w:hAnsiTheme="majorHAnsi" w:cstheme="majorHAnsi"/>
          <w:color w:val="000000"/>
        </w:rPr>
        <w:t>R</w:t>
      </w:r>
      <w:r>
        <w:rPr>
          <w:rFonts w:asciiTheme="majorHAnsi" w:hAnsiTheme="majorHAnsi" w:cstheme="majorHAnsi"/>
          <w:color w:val="000000"/>
        </w:rPr>
        <w:t>eport</w:t>
      </w:r>
      <w:r w:rsidRPr="009017F5">
        <w:rPr>
          <w:rFonts w:asciiTheme="majorHAnsi" w:hAnsiTheme="majorHAnsi" w:cstheme="majorHAnsi"/>
          <w:color w:val="000000"/>
        </w:rPr>
        <w:t>s and A</w:t>
      </w:r>
      <w:r>
        <w:rPr>
          <w:rFonts w:asciiTheme="majorHAnsi" w:hAnsiTheme="majorHAnsi" w:cstheme="majorHAnsi"/>
          <w:color w:val="000000"/>
        </w:rPr>
        <w:t xml:space="preserve">nnual </w:t>
      </w:r>
      <w:r w:rsidRPr="009017F5">
        <w:rPr>
          <w:rFonts w:asciiTheme="majorHAnsi" w:hAnsiTheme="majorHAnsi" w:cstheme="majorHAnsi"/>
          <w:color w:val="000000"/>
        </w:rPr>
        <w:t>P</w:t>
      </w:r>
      <w:r>
        <w:rPr>
          <w:rFonts w:asciiTheme="majorHAnsi" w:hAnsiTheme="majorHAnsi" w:cstheme="majorHAnsi"/>
          <w:color w:val="000000"/>
        </w:rPr>
        <w:t>lan</w:t>
      </w:r>
      <w:r w:rsidRPr="009017F5">
        <w:rPr>
          <w:rFonts w:asciiTheme="majorHAnsi" w:hAnsiTheme="majorHAnsi" w:cstheme="majorHAnsi"/>
          <w:color w:val="000000"/>
        </w:rPr>
        <w:t xml:space="preserve">s did not </w:t>
      </w:r>
      <w:r>
        <w:rPr>
          <w:rFonts w:asciiTheme="majorHAnsi" w:hAnsiTheme="majorHAnsi" w:cstheme="majorHAnsi"/>
          <w:color w:val="000000"/>
        </w:rPr>
        <w:t>provide</w:t>
      </w:r>
      <w:r w:rsidRPr="009017F5">
        <w:rPr>
          <w:rFonts w:asciiTheme="majorHAnsi" w:hAnsiTheme="majorHAnsi" w:cstheme="majorHAnsi"/>
          <w:color w:val="000000"/>
        </w:rPr>
        <w:t xml:space="preserve"> sufficient detail to match the outputs</w:t>
      </w:r>
      <w:r>
        <w:rPr>
          <w:rFonts w:asciiTheme="majorHAnsi" w:hAnsiTheme="majorHAnsi" w:cstheme="majorHAnsi"/>
          <w:color w:val="000000"/>
        </w:rPr>
        <w:t xml:space="preserve"> to </w:t>
      </w:r>
      <w:r w:rsidRPr="009017F5">
        <w:rPr>
          <w:rFonts w:asciiTheme="majorHAnsi" w:hAnsiTheme="majorHAnsi" w:cstheme="majorHAnsi"/>
          <w:color w:val="000000"/>
        </w:rPr>
        <w:t>benefits identified</w:t>
      </w:r>
      <w:r>
        <w:rPr>
          <w:rFonts w:asciiTheme="majorHAnsi" w:hAnsiTheme="majorHAnsi" w:cstheme="majorHAnsi"/>
          <w:color w:val="000000"/>
        </w:rPr>
        <w:t>; (ii) no</w:t>
      </w:r>
      <w:r w:rsidRPr="009017F5">
        <w:rPr>
          <w:rFonts w:asciiTheme="majorHAnsi" w:hAnsiTheme="majorHAnsi" w:cstheme="majorHAnsi"/>
          <w:color w:val="000000"/>
        </w:rPr>
        <w:t xml:space="preserve"> separate financial statements of the program</w:t>
      </w:r>
      <w:r>
        <w:rPr>
          <w:rFonts w:asciiTheme="majorHAnsi" w:hAnsiTheme="majorHAnsi" w:cstheme="majorHAnsi"/>
          <w:color w:val="000000"/>
        </w:rPr>
        <w:t xml:space="preserve"> were provided since</w:t>
      </w:r>
      <w:r w:rsidRPr="009017F5">
        <w:rPr>
          <w:rFonts w:asciiTheme="majorHAnsi" w:hAnsiTheme="majorHAnsi" w:cstheme="majorHAnsi"/>
          <w:color w:val="000000"/>
        </w:rPr>
        <w:t xml:space="preserve"> a separate firm was conducting </w:t>
      </w:r>
      <w:r>
        <w:rPr>
          <w:rFonts w:asciiTheme="majorHAnsi" w:hAnsiTheme="majorHAnsi" w:cstheme="majorHAnsi"/>
          <w:color w:val="000000"/>
        </w:rPr>
        <w:t>the</w:t>
      </w:r>
      <w:r w:rsidRPr="009017F5">
        <w:rPr>
          <w:rFonts w:asciiTheme="majorHAnsi" w:hAnsiTheme="majorHAnsi" w:cstheme="majorHAnsi"/>
          <w:color w:val="000000"/>
        </w:rPr>
        <w:t xml:space="preserve"> financial evaluation</w:t>
      </w:r>
      <w:r>
        <w:rPr>
          <w:rFonts w:asciiTheme="majorHAnsi" w:hAnsiTheme="majorHAnsi" w:cstheme="majorHAnsi"/>
          <w:color w:val="000000"/>
        </w:rPr>
        <w:t xml:space="preserve"> of the Program; (iii) due to the </w:t>
      </w:r>
      <w:r w:rsidRPr="004E77E0">
        <w:rPr>
          <w:rFonts w:asciiTheme="majorHAnsi" w:hAnsiTheme="majorHAnsi" w:cstheme="majorHAnsi"/>
          <w:i/>
          <w:iCs/>
          <w:color w:val="000000"/>
        </w:rPr>
        <w:t>rolling targets</w:t>
      </w:r>
      <w:r>
        <w:rPr>
          <w:rFonts w:asciiTheme="majorHAnsi" w:hAnsiTheme="majorHAnsi" w:cstheme="majorHAnsi"/>
          <w:color w:val="000000"/>
        </w:rPr>
        <w:t>, the Study</w:t>
      </w:r>
      <w:r w:rsidRPr="00BE2761">
        <w:rPr>
          <w:rFonts w:asciiTheme="majorHAnsi" w:hAnsiTheme="majorHAnsi" w:cstheme="majorHAnsi"/>
          <w:color w:val="000000"/>
        </w:rPr>
        <w:t xml:space="preserve"> was only able to find evidence of completion of 70 </w:t>
      </w:r>
      <w:r>
        <w:rPr>
          <w:rFonts w:asciiTheme="majorHAnsi" w:hAnsiTheme="majorHAnsi" w:cstheme="majorHAnsi"/>
          <w:color w:val="000000"/>
        </w:rPr>
        <w:t>per cent</w:t>
      </w:r>
      <w:r w:rsidRPr="00BE2761">
        <w:rPr>
          <w:rFonts w:asciiTheme="majorHAnsi" w:hAnsiTheme="majorHAnsi" w:cstheme="majorHAnsi"/>
          <w:color w:val="000000"/>
        </w:rPr>
        <w:t xml:space="preserve"> of the planned activities identified in the A</w:t>
      </w:r>
      <w:r>
        <w:rPr>
          <w:rFonts w:asciiTheme="majorHAnsi" w:hAnsiTheme="majorHAnsi" w:cstheme="majorHAnsi"/>
          <w:color w:val="000000"/>
        </w:rPr>
        <w:t xml:space="preserve">nnual </w:t>
      </w:r>
      <w:r w:rsidRPr="00BE2761">
        <w:rPr>
          <w:rFonts w:asciiTheme="majorHAnsi" w:hAnsiTheme="majorHAnsi" w:cstheme="majorHAnsi"/>
          <w:color w:val="000000"/>
        </w:rPr>
        <w:t>P</w:t>
      </w:r>
      <w:r>
        <w:rPr>
          <w:rFonts w:asciiTheme="majorHAnsi" w:hAnsiTheme="majorHAnsi" w:cstheme="majorHAnsi"/>
          <w:color w:val="000000"/>
        </w:rPr>
        <w:t>lan</w:t>
      </w:r>
      <w:r w:rsidRPr="00BE2761">
        <w:rPr>
          <w:rFonts w:asciiTheme="majorHAnsi" w:hAnsiTheme="majorHAnsi" w:cstheme="majorHAnsi"/>
          <w:color w:val="000000"/>
        </w:rPr>
        <w:t>s</w:t>
      </w:r>
      <w:r>
        <w:rPr>
          <w:rFonts w:asciiTheme="majorHAnsi" w:hAnsiTheme="majorHAnsi" w:cstheme="majorHAnsi"/>
          <w:color w:val="000000"/>
        </w:rPr>
        <w:t>; and (iv) there</w:t>
      </w:r>
      <w:r w:rsidRPr="00BE2761">
        <w:rPr>
          <w:rFonts w:asciiTheme="majorHAnsi" w:hAnsiTheme="majorHAnsi" w:cstheme="majorHAnsi"/>
          <w:color w:val="000000"/>
        </w:rPr>
        <w:t xml:space="preserve"> </w:t>
      </w:r>
      <w:r>
        <w:rPr>
          <w:rFonts w:asciiTheme="majorHAnsi" w:hAnsiTheme="majorHAnsi" w:cstheme="majorHAnsi"/>
          <w:color w:val="000000"/>
        </w:rPr>
        <w:t xml:space="preserve">was no existing </w:t>
      </w:r>
      <w:r w:rsidRPr="00BE2761">
        <w:rPr>
          <w:rFonts w:asciiTheme="majorHAnsi" w:hAnsiTheme="majorHAnsi" w:cstheme="majorHAnsi"/>
          <w:color w:val="000000"/>
        </w:rPr>
        <w:t xml:space="preserve">master list </w:t>
      </w:r>
      <w:r>
        <w:rPr>
          <w:rFonts w:asciiTheme="majorHAnsi" w:hAnsiTheme="majorHAnsi" w:cstheme="majorHAnsi"/>
          <w:color w:val="000000"/>
        </w:rPr>
        <w:t xml:space="preserve">of all </w:t>
      </w:r>
      <w:r w:rsidRPr="000006E2">
        <w:rPr>
          <w:rFonts w:asciiTheme="majorHAnsi" w:hAnsiTheme="majorHAnsi" w:cstheme="majorHAnsi"/>
          <w:color w:val="000000" w:themeColor="text1"/>
        </w:rPr>
        <w:t>participants trained (either primary or secondary</w:t>
      </w:r>
      <w:r w:rsidRPr="000006E2">
        <w:rPr>
          <w:rStyle w:val="FootnoteReference"/>
          <w:rFonts w:asciiTheme="majorHAnsi" w:eastAsia="Arial Unicode MS" w:hAnsiTheme="majorHAnsi" w:cstheme="majorHAnsi"/>
          <w:color w:val="000000" w:themeColor="text1"/>
        </w:rPr>
        <w:footnoteReference w:id="11"/>
      </w:r>
      <w:r w:rsidRPr="000006E2">
        <w:rPr>
          <w:rFonts w:asciiTheme="majorHAnsi" w:hAnsiTheme="majorHAnsi" w:cstheme="majorHAnsi"/>
          <w:color w:val="000000" w:themeColor="text1"/>
        </w:rPr>
        <w:t>) under the Program. These</w:t>
      </w:r>
      <w:r>
        <w:rPr>
          <w:rFonts w:asciiTheme="majorHAnsi" w:hAnsiTheme="majorHAnsi" w:cstheme="majorHAnsi"/>
          <w:color w:val="000000" w:themeColor="text1"/>
        </w:rPr>
        <w:t xml:space="preserve"> issues</w:t>
      </w:r>
      <w:r w:rsidRPr="000006E2">
        <w:rPr>
          <w:rFonts w:asciiTheme="majorHAnsi" w:hAnsiTheme="majorHAnsi" w:cstheme="majorHAnsi"/>
          <w:color w:val="000000" w:themeColor="text1"/>
        </w:rPr>
        <w:t xml:space="preserve"> are discussed further in Annex C.</w:t>
      </w:r>
    </w:p>
    <w:p w14:paraId="4FD00532" w14:textId="77777777" w:rsidR="008D0CAD" w:rsidRPr="00C51011" w:rsidRDefault="008D0CAD" w:rsidP="000479A3">
      <w:pPr>
        <w:pStyle w:val="NormalWeb"/>
        <w:spacing w:line="360" w:lineRule="auto"/>
        <w:contextualSpacing/>
        <w:rPr>
          <w:rFonts w:asciiTheme="majorHAnsi" w:hAnsiTheme="majorHAnsi" w:cstheme="majorHAnsi"/>
          <w:color w:val="000000" w:themeColor="text1"/>
        </w:rPr>
      </w:pPr>
      <w:r>
        <w:rPr>
          <w:rFonts w:asciiTheme="majorHAnsi" w:hAnsiTheme="majorHAnsi" w:cstheme="majorHAnsi"/>
        </w:rPr>
        <w:t>Nevertheless, the EOPE Study</w:t>
      </w:r>
      <w:r w:rsidRPr="001D1BFB">
        <w:rPr>
          <w:rFonts w:asciiTheme="majorHAnsi" w:hAnsiTheme="majorHAnsi" w:cstheme="majorHAnsi"/>
        </w:rPr>
        <w:t xml:space="preserve"> </w:t>
      </w:r>
      <w:r>
        <w:rPr>
          <w:rFonts w:asciiTheme="majorHAnsi" w:hAnsiTheme="majorHAnsi" w:cstheme="majorHAnsi"/>
        </w:rPr>
        <w:t>was able to address five Key</w:t>
      </w:r>
      <w:r w:rsidRPr="001D1BFB">
        <w:rPr>
          <w:rFonts w:asciiTheme="majorHAnsi" w:hAnsiTheme="majorHAnsi" w:cstheme="majorHAnsi"/>
        </w:rPr>
        <w:t xml:space="preserve"> </w:t>
      </w:r>
      <w:r>
        <w:rPr>
          <w:rFonts w:asciiTheme="majorHAnsi" w:hAnsiTheme="majorHAnsi" w:cstheme="majorHAnsi"/>
        </w:rPr>
        <w:t xml:space="preserve">Evaluation </w:t>
      </w:r>
      <w:r w:rsidRPr="001D1BFB">
        <w:rPr>
          <w:rFonts w:asciiTheme="majorHAnsi" w:hAnsiTheme="majorHAnsi" w:cstheme="majorHAnsi"/>
        </w:rPr>
        <w:t>Questions</w:t>
      </w:r>
      <w:r>
        <w:rPr>
          <w:rFonts w:asciiTheme="majorHAnsi" w:hAnsiTheme="majorHAnsi" w:cstheme="majorHAnsi"/>
        </w:rPr>
        <w:t xml:space="preserve"> (KEQs), namely</w:t>
      </w:r>
      <w:r w:rsidRPr="001D1BFB">
        <w:rPr>
          <w:rFonts w:asciiTheme="majorHAnsi" w:hAnsiTheme="majorHAnsi" w:cstheme="majorHAnsi"/>
        </w:rPr>
        <w:t>:</w:t>
      </w:r>
    </w:p>
    <w:p w14:paraId="7A643271" w14:textId="77777777" w:rsidR="008D0CAD" w:rsidRPr="001D1BFB" w:rsidRDefault="008D0CAD" w:rsidP="000479A3">
      <w:pPr>
        <w:pStyle w:val="BodyText"/>
        <w:numPr>
          <w:ilvl w:val="0"/>
          <w:numId w:val="3"/>
        </w:numPr>
        <w:spacing w:before="100" w:beforeAutospacing="1" w:after="100" w:afterAutospacing="1" w:line="360" w:lineRule="auto"/>
        <w:ind w:left="714" w:right="244" w:hanging="357"/>
        <w:contextualSpacing/>
        <w:rPr>
          <w:rFonts w:asciiTheme="majorHAnsi" w:hAnsiTheme="majorHAnsi" w:cstheme="majorHAnsi"/>
          <w:bCs/>
          <w:color w:val="000000" w:themeColor="text1"/>
          <w:sz w:val="24"/>
          <w:szCs w:val="24"/>
        </w:rPr>
      </w:pPr>
      <w:r w:rsidRPr="001D1BFB">
        <w:rPr>
          <w:rFonts w:asciiTheme="majorHAnsi" w:hAnsiTheme="majorHAnsi" w:cstheme="majorHAnsi"/>
          <w:bCs/>
          <w:sz w:val="24"/>
          <w:szCs w:val="24"/>
        </w:rPr>
        <w:t>To what extent</w:t>
      </w:r>
      <w:r>
        <w:rPr>
          <w:rFonts w:asciiTheme="majorHAnsi" w:hAnsiTheme="majorHAnsi" w:cstheme="majorHAnsi"/>
          <w:bCs/>
          <w:sz w:val="24"/>
          <w:szCs w:val="24"/>
        </w:rPr>
        <w:t xml:space="preserve"> and how</w:t>
      </w:r>
      <w:r w:rsidRPr="001D1BFB">
        <w:rPr>
          <w:rFonts w:asciiTheme="majorHAnsi" w:hAnsiTheme="majorHAnsi" w:cstheme="majorHAnsi"/>
          <w:bCs/>
          <w:sz w:val="24"/>
          <w:szCs w:val="24"/>
        </w:rPr>
        <w:t xml:space="preserve"> did </w:t>
      </w:r>
      <w:r w:rsidRPr="001D1BFB">
        <w:rPr>
          <w:rFonts w:asciiTheme="majorHAnsi" w:hAnsiTheme="majorHAnsi" w:cstheme="majorHAnsi"/>
          <w:bCs/>
          <w:color w:val="000000" w:themeColor="text1"/>
          <w:sz w:val="24"/>
          <w:szCs w:val="24"/>
        </w:rPr>
        <w:t>the BEST interventions increase the number of children able to demonstrate mastery of curriculum competencies in Filipino, English, Math and Science in target areas?</w:t>
      </w:r>
    </w:p>
    <w:p w14:paraId="70F00CBD" w14:textId="77777777" w:rsidR="008D0CAD" w:rsidRPr="001D1BFB" w:rsidRDefault="008D0CAD" w:rsidP="000479A3">
      <w:pPr>
        <w:pStyle w:val="BodyText"/>
        <w:numPr>
          <w:ilvl w:val="0"/>
          <w:numId w:val="3"/>
        </w:numPr>
        <w:spacing w:before="100" w:beforeAutospacing="1" w:after="100" w:afterAutospacing="1" w:line="360" w:lineRule="auto"/>
        <w:ind w:left="714" w:right="244" w:hanging="357"/>
        <w:contextualSpacing/>
        <w:rPr>
          <w:rFonts w:asciiTheme="majorHAnsi" w:hAnsiTheme="majorHAnsi" w:cstheme="majorHAnsi"/>
          <w:bCs/>
          <w:color w:val="000000" w:themeColor="text1"/>
          <w:sz w:val="24"/>
          <w:szCs w:val="24"/>
        </w:rPr>
      </w:pPr>
      <w:r w:rsidRPr="001D1BFB">
        <w:rPr>
          <w:rFonts w:asciiTheme="majorHAnsi" w:hAnsiTheme="majorHAnsi" w:cstheme="majorHAnsi"/>
          <w:bCs/>
          <w:sz w:val="24"/>
          <w:szCs w:val="24"/>
        </w:rPr>
        <w:t>To what extent</w:t>
      </w:r>
      <w:r>
        <w:rPr>
          <w:rFonts w:asciiTheme="majorHAnsi" w:hAnsiTheme="majorHAnsi" w:cstheme="majorHAnsi"/>
          <w:bCs/>
          <w:sz w:val="24"/>
          <w:szCs w:val="24"/>
        </w:rPr>
        <w:t xml:space="preserve"> and how</w:t>
      </w:r>
      <w:r w:rsidRPr="001D1BFB">
        <w:rPr>
          <w:rFonts w:asciiTheme="majorHAnsi" w:hAnsiTheme="majorHAnsi" w:cstheme="majorHAnsi"/>
          <w:bCs/>
          <w:sz w:val="24"/>
          <w:szCs w:val="24"/>
        </w:rPr>
        <w:t xml:space="preserve"> did </w:t>
      </w:r>
      <w:r w:rsidRPr="001D1BFB">
        <w:rPr>
          <w:rFonts w:asciiTheme="majorHAnsi" w:hAnsiTheme="majorHAnsi" w:cstheme="majorHAnsi"/>
          <w:bCs/>
          <w:color w:val="000000" w:themeColor="text1"/>
          <w:sz w:val="24"/>
          <w:szCs w:val="24"/>
        </w:rPr>
        <w:t>BEST interventions reduce the differences in learning outcomes for boys and girls in target areas?</w:t>
      </w:r>
    </w:p>
    <w:p w14:paraId="442599E2" w14:textId="77777777" w:rsidR="008D0CAD" w:rsidRPr="001D1BFB" w:rsidRDefault="008D0CAD" w:rsidP="000479A3">
      <w:pPr>
        <w:pStyle w:val="BodyText"/>
        <w:numPr>
          <w:ilvl w:val="0"/>
          <w:numId w:val="3"/>
        </w:numPr>
        <w:spacing w:before="100" w:beforeAutospacing="1" w:after="100" w:afterAutospacing="1" w:line="360" w:lineRule="auto"/>
        <w:ind w:left="714" w:right="244" w:hanging="357"/>
        <w:contextualSpacing/>
        <w:rPr>
          <w:rFonts w:asciiTheme="majorHAnsi" w:hAnsiTheme="majorHAnsi" w:cstheme="majorHAnsi"/>
          <w:bCs/>
          <w:color w:val="000000" w:themeColor="text1"/>
          <w:sz w:val="24"/>
          <w:szCs w:val="24"/>
        </w:rPr>
      </w:pPr>
      <w:r w:rsidRPr="001D1BFB">
        <w:rPr>
          <w:rFonts w:asciiTheme="majorHAnsi" w:hAnsiTheme="majorHAnsi" w:cstheme="majorHAnsi"/>
          <w:bCs/>
          <w:sz w:val="24"/>
          <w:szCs w:val="24"/>
        </w:rPr>
        <w:t>To what extent</w:t>
      </w:r>
      <w:r>
        <w:rPr>
          <w:rFonts w:asciiTheme="majorHAnsi" w:hAnsiTheme="majorHAnsi" w:cstheme="majorHAnsi"/>
          <w:bCs/>
          <w:sz w:val="24"/>
          <w:szCs w:val="24"/>
        </w:rPr>
        <w:t xml:space="preserve"> and how</w:t>
      </w:r>
      <w:r w:rsidRPr="001D1BFB">
        <w:rPr>
          <w:rFonts w:asciiTheme="majorHAnsi" w:hAnsiTheme="majorHAnsi" w:cstheme="majorHAnsi"/>
          <w:bCs/>
          <w:sz w:val="24"/>
          <w:szCs w:val="24"/>
        </w:rPr>
        <w:t xml:space="preserve"> did </w:t>
      </w:r>
      <w:r w:rsidRPr="001D1BFB">
        <w:rPr>
          <w:rFonts w:asciiTheme="majorHAnsi" w:hAnsiTheme="majorHAnsi" w:cstheme="majorHAnsi"/>
          <w:bCs/>
          <w:color w:val="000000" w:themeColor="text1"/>
          <w:sz w:val="24"/>
          <w:szCs w:val="24"/>
        </w:rPr>
        <w:t>BEST interventions increase the number of boys and girls participating and completing basic education in target areas?</w:t>
      </w:r>
    </w:p>
    <w:p w14:paraId="718D4A3E" w14:textId="77777777" w:rsidR="008D0CAD" w:rsidRPr="001D1BFB" w:rsidRDefault="008D0CAD" w:rsidP="000479A3">
      <w:pPr>
        <w:pStyle w:val="BodyText"/>
        <w:numPr>
          <w:ilvl w:val="0"/>
          <w:numId w:val="3"/>
        </w:numPr>
        <w:spacing w:before="100" w:beforeAutospacing="1" w:after="100" w:afterAutospacing="1" w:line="360" w:lineRule="auto"/>
        <w:ind w:left="714" w:right="244" w:hanging="357"/>
        <w:contextualSpacing/>
        <w:rPr>
          <w:rFonts w:asciiTheme="majorHAnsi" w:hAnsiTheme="majorHAnsi" w:cstheme="majorHAnsi"/>
          <w:bCs/>
          <w:color w:val="000000" w:themeColor="text1"/>
          <w:sz w:val="24"/>
          <w:szCs w:val="24"/>
        </w:rPr>
      </w:pPr>
      <w:r w:rsidRPr="001D1BFB">
        <w:rPr>
          <w:rFonts w:asciiTheme="majorHAnsi" w:hAnsiTheme="majorHAnsi" w:cstheme="majorHAnsi"/>
          <w:bCs/>
          <w:sz w:val="24"/>
          <w:szCs w:val="24"/>
        </w:rPr>
        <w:t>To what extent</w:t>
      </w:r>
      <w:r>
        <w:rPr>
          <w:rFonts w:asciiTheme="majorHAnsi" w:hAnsiTheme="majorHAnsi" w:cstheme="majorHAnsi"/>
          <w:bCs/>
          <w:sz w:val="24"/>
          <w:szCs w:val="24"/>
        </w:rPr>
        <w:t xml:space="preserve"> and how</w:t>
      </w:r>
      <w:r w:rsidRPr="001D1BFB">
        <w:rPr>
          <w:rFonts w:asciiTheme="majorHAnsi" w:hAnsiTheme="majorHAnsi" w:cstheme="majorHAnsi"/>
          <w:bCs/>
          <w:sz w:val="24"/>
          <w:szCs w:val="24"/>
        </w:rPr>
        <w:t xml:space="preserve"> did </w:t>
      </w:r>
      <w:r w:rsidRPr="001D1BFB">
        <w:rPr>
          <w:rFonts w:asciiTheme="majorHAnsi" w:hAnsiTheme="majorHAnsi" w:cstheme="majorHAnsi"/>
          <w:bCs/>
          <w:color w:val="000000" w:themeColor="text1"/>
          <w:sz w:val="24"/>
          <w:szCs w:val="24"/>
        </w:rPr>
        <w:t xml:space="preserve">BEST interventions improve </w:t>
      </w:r>
      <w:r>
        <w:rPr>
          <w:rFonts w:asciiTheme="majorHAnsi" w:hAnsiTheme="majorHAnsi" w:cstheme="majorHAnsi"/>
          <w:bCs/>
          <w:color w:val="000000" w:themeColor="text1"/>
          <w:sz w:val="24"/>
          <w:szCs w:val="24"/>
        </w:rPr>
        <w:t>DepEd</w:t>
      </w:r>
      <w:r w:rsidRPr="001D1BFB">
        <w:rPr>
          <w:rFonts w:asciiTheme="majorHAnsi" w:hAnsiTheme="majorHAnsi" w:cstheme="majorHAnsi"/>
          <w:bCs/>
          <w:color w:val="000000" w:themeColor="text1"/>
          <w:sz w:val="24"/>
          <w:szCs w:val="24"/>
        </w:rPr>
        <w:t>’s ability to deliver inclusive and responsive basic education services with greater decentrali</w:t>
      </w:r>
      <w:r>
        <w:rPr>
          <w:rFonts w:asciiTheme="majorHAnsi" w:hAnsiTheme="majorHAnsi" w:cstheme="majorHAnsi"/>
          <w:bCs/>
          <w:color w:val="000000" w:themeColor="text1"/>
          <w:sz w:val="24"/>
          <w:szCs w:val="24"/>
        </w:rPr>
        <w:t>s</w:t>
      </w:r>
      <w:r w:rsidRPr="001D1BFB">
        <w:rPr>
          <w:rFonts w:asciiTheme="majorHAnsi" w:hAnsiTheme="majorHAnsi" w:cstheme="majorHAnsi"/>
          <w:bCs/>
          <w:color w:val="000000" w:themeColor="text1"/>
          <w:sz w:val="24"/>
          <w:szCs w:val="24"/>
        </w:rPr>
        <w:t>ation of management and accountability to the field offices and schools?</w:t>
      </w:r>
    </w:p>
    <w:p w14:paraId="54660FE1" w14:textId="77777777" w:rsidR="008D0CAD" w:rsidRPr="005D379C" w:rsidRDefault="008D0CAD" w:rsidP="000479A3">
      <w:pPr>
        <w:pStyle w:val="BodyText"/>
        <w:numPr>
          <w:ilvl w:val="0"/>
          <w:numId w:val="3"/>
        </w:numPr>
        <w:spacing w:before="100" w:beforeAutospacing="1" w:after="100" w:afterAutospacing="1" w:line="360" w:lineRule="auto"/>
        <w:ind w:right="245"/>
        <w:contextualSpacing/>
        <w:rPr>
          <w:rFonts w:asciiTheme="majorHAnsi" w:hAnsiTheme="majorHAnsi" w:cstheme="majorHAnsi"/>
          <w:bCs/>
          <w:color w:val="000000" w:themeColor="text1"/>
          <w:sz w:val="24"/>
          <w:szCs w:val="24"/>
        </w:rPr>
      </w:pPr>
      <w:r w:rsidRPr="0039136E">
        <w:rPr>
          <w:rFonts w:asciiTheme="majorHAnsi" w:hAnsiTheme="majorHAnsi" w:cstheme="majorHAnsi"/>
          <w:sz w:val="24"/>
          <w:szCs w:val="24"/>
        </w:rPr>
        <w:t>What factors facilitated and hindered the achievement of the EOPOs and intermediate outcomes?</w:t>
      </w:r>
    </w:p>
    <w:p w14:paraId="6A7BFF2E" w14:textId="2915C696" w:rsidR="008D0CAD" w:rsidRPr="00812F91" w:rsidRDefault="008D0CAD" w:rsidP="000479A3">
      <w:pPr>
        <w:pStyle w:val="NormalWeb"/>
        <w:spacing w:line="360" w:lineRule="auto"/>
        <w:contextualSpacing/>
        <w:rPr>
          <w:rFonts w:asciiTheme="majorHAnsi" w:hAnsiTheme="majorHAnsi" w:cstheme="majorHAnsi"/>
        </w:rPr>
      </w:pPr>
      <w:r>
        <w:rPr>
          <w:rFonts w:asciiTheme="majorHAnsi" w:hAnsiTheme="majorHAnsi" w:cstheme="majorHAnsi"/>
          <w:b/>
          <w:bCs/>
        </w:rPr>
        <w:t>Follow-up</w:t>
      </w:r>
      <w:r w:rsidRPr="00D22A07">
        <w:rPr>
          <w:rFonts w:asciiTheme="majorHAnsi" w:hAnsiTheme="majorHAnsi" w:cstheme="majorHAnsi"/>
          <w:b/>
          <w:bCs/>
        </w:rPr>
        <w:t xml:space="preserve"> Study</w:t>
      </w:r>
      <w:r w:rsidRPr="00D22A07">
        <w:rPr>
          <w:rFonts w:asciiTheme="majorHAnsi" w:hAnsiTheme="majorHAnsi" w:cstheme="majorHAnsi"/>
        </w:rPr>
        <w:t xml:space="preserve">. The methodology used for Phase 2 of the study was </w:t>
      </w:r>
      <w:r w:rsidRPr="00D22A07">
        <w:rPr>
          <w:rFonts w:asciiTheme="majorHAnsi" w:hAnsiTheme="majorHAnsi" w:cstheme="majorHAnsi"/>
          <w:color w:val="000000" w:themeColor="text1"/>
        </w:rPr>
        <w:t>case study research</w:t>
      </w:r>
      <w:r w:rsidRPr="00D22A07">
        <w:rPr>
          <w:rFonts w:asciiTheme="majorHAnsi" w:hAnsiTheme="majorHAnsi" w:cstheme="majorHAnsi"/>
        </w:rPr>
        <w:t xml:space="preserve">. </w:t>
      </w:r>
      <w:r w:rsidRPr="00D22A07">
        <w:rPr>
          <w:rFonts w:asciiTheme="majorHAnsi" w:hAnsiTheme="majorHAnsi" w:cstheme="majorHAnsi"/>
          <w:color w:val="000000" w:themeColor="text1"/>
        </w:rPr>
        <w:t xml:space="preserve">The Case Study approach </w:t>
      </w:r>
      <w:r>
        <w:rPr>
          <w:rFonts w:asciiTheme="majorHAnsi" w:hAnsiTheme="majorHAnsi" w:cstheme="majorHAnsi"/>
          <w:color w:val="000000" w:themeColor="text1"/>
        </w:rPr>
        <w:t xml:space="preserve">was used to </w:t>
      </w:r>
      <w:r w:rsidRPr="00D22A07">
        <w:rPr>
          <w:rFonts w:asciiTheme="majorHAnsi" w:hAnsiTheme="majorHAnsi" w:cstheme="majorHAnsi"/>
          <w:color w:val="000000" w:themeColor="text1"/>
        </w:rPr>
        <w:t>assess the effects of BEST Program interventions in identified schools before the BEST Program interventions were introduced (</w:t>
      </w:r>
      <w:r w:rsidRPr="00D22A07">
        <w:rPr>
          <w:rFonts w:asciiTheme="majorHAnsi" w:hAnsiTheme="majorHAnsi" w:cstheme="majorHAnsi"/>
          <w:i/>
          <w:iCs/>
          <w:color w:val="000000" w:themeColor="text1"/>
        </w:rPr>
        <w:t>i.e., at baseline</w:t>
      </w:r>
      <w:r w:rsidRPr="00D22A07">
        <w:rPr>
          <w:rFonts w:asciiTheme="majorHAnsi" w:hAnsiTheme="majorHAnsi" w:cstheme="majorHAnsi"/>
          <w:color w:val="000000" w:themeColor="text1"/>
        </w:rPr>
        <w:t>) and at the end of the Program (</w:t>
      </w:r>
      <w:r w:rsidRPr="00D22A07">
        <w:rPr>
          <w:rFonts w:asciiTheme="majorHAnsi" w:hAnsiTheme="majorHAnsi" w:cstheme="majorHAnsi"/>
          <w:i/>
          <w:iCs/>
          <w:color w:val="000000" w:themeColor="text1"/>
        </w:rPr>
        <w:t>i.e., at endline or after intervention was introduced</w:t>
      </w:r>
      <w:r w:rsidRPr="00D22A07">
        <w:rPr>
          <w:rFonts w:asciiTheme="majorHAnsi" w:hAnsiTheme="majorHAnsi" w:cstheme="majorHAnsi"/>
          <w:color w:val="000000" w:themeColor="text1"/>
        </w:rPr>
        <w:t>).</w:t>
      </w:r>
      <w:r w:rsidR="00D434EB">
        <w:rPr>
          <w:rFonts w:asciiTheme="majorHAnsi" w:hAnsiTheme="majorHAnsi" w:cstheme="majorHAnsi"/>
          <w:color w:val="000000" w:themeColor="text1"/>
        </w:rPr>
        <w:t xml:space="preserve"> </w:t>
      </w:r>
      <w:r w:rsidRPr="00D22A07">
        <w:rPr>
          <w:rFonts w:asciiTheme="majorHAnsi" w:hAnsiTheme="majorHAnsi" w:cstheme="majorHAnsi"/>
        </w:rPr>
        <w:t>Specifically, it examined three levels of effects of the BEST Program interventions: (</w:t>
      </w:r>
      <w:r w:rsidRPr="00D365C8">
        <w:rPr>
          <w:rFonts w:asciiTheme="majorHAnsi" w:hAnsiTheme="majorHAnsi" w:cstheme="majorHAnsi"/>
        </w:rPr>
        <w:t xml:space="preserve">1) Effects of Program interventions on school leadership and management (i.e., changes in knowledge, skills, behaviors and practices of principals and school heads); (2) Effects of Program interventions on teaching delivery (i.e., </w:t>
      </w:r>
      <w:r w:rsidRPr="00D365C8">
        <w:rPr>
          <w:rFonts w:asciiTheme="majorHAnsi" w:hAnsiTheme="majorHAnsi" w:cstheme="majorHAnsi"/>
          <w:color w:val="000000" w:themeColor="text1"/>
        </w:rPr>
        <w:t>changes in teacher knowledge, skills, behaviors and practices); and (3) Effects of the changes in school leadership and management and teaching delivery on school (organi</w:t>
      </w:r>
      <w:r>
        <w:rPr>
          <w:rFonts w:asciiTheme="majorHAnsi" w:hAnsiTheme="majorHAnsi" w:cstheme="majorHAnsi"/>
          <w:color w:val="000000" w:themeColor="text1"/>
        </w:rPr>
        <w:t>s</w:t>
      </w:r>
      <w:r w:rsidRPr="00D365C8">
        <w:rPr>
          <w:rFonts w:asciiTheme="majorHAnsi" w:hAnsiTheme="majorHAnsi" w:cstheme="majorHAnsi"/>
          <w:color w:val="000000" w:themeColor="text1"/>
        </w:rPr>
        <w:t>ational) outcomes (see Annex D. Follow-up Evaluation Study Methodology).</w:t>
      </w:r>
      <w:r w:rsidRPr="00D22A07">
        <w:rPr>
          <w:rFonts w:asciiTheme="majorHAnsi" w:hAnsiTheme="majorHAnsi" w:cstheme="majorHAnsi"/>
          <w:color w:val="000000" w:themeColor="text1"/>
        </w:rPr>
        <w:t xml:space="preserve">The KEQ of the </w:t>
      </w:r>
      <w:r w:rsidRPr="00382058">
        <w:rPr>
          <w:rFonts w:asciiTheme="majorHAnsi" w:hAnsiTheme="majorHAnsi" w:cstheme="majorHAnsi"/>
        </w:rPr>
        <w:t>Follow-up</w:t>
      </w:r>
      <w:r w:rsidRPr="00D22A07">
        <w:rPr>
          <w:rFonts w:asciiTheme="majorHAnsi" w:hAnsiTheme="majorHAnsi" w:cstheme="majorHAnsi"/>
          <w:b/>
          <w:bCs/>
        </w:rPr>
        <w:t xml:space="preserve"> </w:t>
      </w:r>
      <w:r w:rsidRPr="00D22A07">
        <w:rPr>
          <w:rFonts w:asciiTheme="majorHAnsi" w:hAnsiTheme="majorHAnsi" w:cstheme="majorHAnsi"/>
          <w:color w:val="000000" w:themeColor="text1"/>
        </w:rPr>
        <w:t>Study was actually KEQ No. 4 of the</w:t>
      </w:r>
      <w:r>
        <w:rPr>
          <w:rFonts w:asciiTheme="majorHAnsi" w:hAnsiTheme="majorHAnsi" w:cstheme="majorHAnsi"/>
          <w:color w:val="000000" w:themeColor="text1"/>
        </w:rPr>
        <w:t xml:space="preserve"> original</w:t>
      </w:r>
      <w:r w:rsidRPr="00D22A07">
        <w:rPr>
          <w:rFonts w:asciiTheme="majorHAnsi" w:hAnsiTheme="majorHAnsi" w:cstheme="majorHAnsi"/>
          <w:color w:val="000000" w:themeColor="text1"/>
        </w:rPr>
        <w:t xml:space="preserve"> EOPE Study, i.e., “</w:t>
      </w:r>
      <w:r w:rsidRPr="00382058">
        <w:rPr>
          <w:rFonts w:asciiTheme="majorHAnsi" w:hAnsiTheme="majorHAnsi" w:cstheme="majorHAnsi"/>
          <w:i/>
          <w:iCs/>
          <w:spacing w:val="-1"/>
        </w:rPr>
        <w:t xml:space="preserve">To what extent and how did </w:t>
      </w:r>
      <w:r w:rsidRPr="00382058">
        <w:rPr>
          <w:rFonts w:asciiTheme="majorHAnsi" w:eastAsia="Calibri" w:hAnsiTheme="majorHAnsi" w:cstheme="majorHAnsi"/>
          <w:i/>
          <w:iCs/>
          <w:lang w:val="en-GB"/>
        </w:rPr>
        <w:t xml:space="preserve">BEST Program interventions improve the </w:t>
      </w:r>
      <w:r w:rsidRPr="00382058">
        <w:rPr>
          <w:rFonts w:asciiTheme="majorHAnsi" w:hAnsiTheme="majorHAnsi" w:cstheme="majorHAnsi"/>
          <w:i/>
          <w:iCs/>
          <w:spacing w:val="-1"/>
        </w:rPr>
        <w:t xml:space="preserve">ability of selected </w:t>
      </w:r>
      <w:r w:rsidRPr="00382058">
        <w:rPr>
          <w:rFonts w:asciiTheme="majorHAnsi" w:eastAsia="Calibri" w:hAnsiTheme="majorHAnsi" w:cstheme="majorHAnsi"/>
          <w:i/>
          <w:iCs/>
          <w:lang w:val="en-GB"/>
        </w:rPr>
        <w:t xml:space="preserve">elementary schools </w:t>
      </w:r>
      <w:r w:rsidRPr="00382058">
        <w:rPr>
          <w:rFonts w:asciiTheme="majorHAnsi" w:hAnsiTheme="majorHAnsi" w:cstheme="majorHAnsi"/>
          <w:i/>
          <w:iCs/>
          <w:spacing w:val="-1"/>
        </w:rPr>
        <w:t xml:space="preserve">to deliver </w:t>
      </w:r>
      <w:r w:rsidRPr="00382058">
        <w:rPr>
          <w:rFonts w:asciiTheme="majorHAnsi" w:hAnsiTheme="majorHAnsi" w:cstheme="majorHAnsi"/>
          <w:i/>
          <w:iCs/>
          <w:color w:val="000000" w:themeColor="text1"/>
        </w:rPr>
        <w:t xml:space="preserve">inclusive and </w:t>
      </w:r>
      <w:r w:rsidRPr="00382058">
        <w:rPr>
          <w:rFonts w:asciiTheme="majorHAnsi" w:hAnsiTheme="majorHAnsi" w:cstheme="majorHAnsi"/>
          <w:i/>
          <w:iCs/>
          <w:spacing w:val="-1"/>
        </w:rPr>
        <w:t>responsive basic education services</w:t>
      </w:r>
      <w:r w:rsidRPr="00382058">
        <w:rPr>
          <w:rFonts w:asciiTheme="majorHAnsi" w:eastAsia="Calibri" w:hAnsiTheme="majorHAnsi" w:cstheme="majorHAnsi"/>
          <w:i/>
          <w:iCs/>
          <w:lang w:val="en-GB"/>
        </w:rPr>
        <w:t>?</w:t>
      </w:r>
      <w:r w:rsidRPr="00D22A07">
        <w:rPr>
          <w:rFonts w:asciiTheme="majorHAnsi" w:eastAsia="Calibri" w:hAnsiTheme="majorHAnsi" w:cstheme="majorHAnsi"/>
          <w:lang w:val="en-GB"/>
        </w:rPr>
        <w:t xml:space="preserve">” Specifically, the </w:t>
      </w:r>
      <w:r w:rsidRPr="00382058">
        <w:rPr>
          <w:rFonts w:asciiTheme="majorHAnsi" w:hAnsiTheme="majorHAnsi" w:cstheme="majorHAnsi"/>
        </w:rPr>
        <w:t>Follow-up</w:t>
      </w:r>
      <w:r w:rsidRPr="00D22A07">
        <w:rPr>
          <w:rFonts w:asciiTheme="majorHAnsi" w:hAnsiTheme="majorHAnsi" w:cstheme="majorHAnsi"/>
          <w:b/>
          <w:bCs/>
        </w:rPr>
        <w:t xml:space="preserve"> </w:t>
      </w:r>
      <w:r w:rsidRPr="00D22A07">
        <w:rPr>
          <w:rFonts w:asciiTheme="majorHAnsi" w:hAnsiTheme="majorHAnsi" w:cstheme="majorHAnsi"/>
          <w:color w:val="000000" w:themeColor="text1"/>
        </w:rPr>
        <w:t>Study answered five research questions:</w:t>
      </w:r>
    </w:p>
    <w:p w14:paraId="31F97CC0" w14:textId="4226C5A6" w:rsidR="008D0CAD" w:rsidRPr="00D22A07" w:rsidRDefault="008D0CAD" w:rsidP="000479A3">
      <w:pPr>
        <w:pStyle w:val="BodyText"/>
        <w:numPr>
          <w:ilvl w:val="0"/>
          <w:numId w:val="33"/>
        </w:numPr>
        <w:tabs>
          <w:tab w:val="left" w:pos="838"/>
        </w:tabs>
        <w:spacing w:before="100" w:beforeAutospacing="1" w:after="100" w:afterAutospacing="1" w:line="360" w:lineRule="auto"/>
        <w:ind w:left="709" w:hanging="284"/>
        <w:contextualSpacing/>
        <w:rPr>
          <w:rFonts w:asciiTheme="majorHAnsi" w:hAnsiTheme="majorHAnsi" w:cstheme="majorHAnsi"/>
          <w:color w:val="000000" w:themeColor="text1"/>
          <w:sz w:val="24"/>
          <w:szCs w:val="24"/>
        </w:rPr>
      </w:pPr>
      <w:r w:rsidRPr="00D22A07">
        <w:rPr>
          <w:rFonts w:asciiTheme="majorHAnsi" w:hAnsiTheme="majorHAnsi" w:cstheme="majorHAnsi"/>
          <w:color w:val="000000" w:themeColor="text1"/>
          <w:sz w:val="24"/>
          <w:szCs w:val="24"/>
        </w:rPr>
        <w:t>What</w:t>
      </w:r>
      <w:r w:rsidRPr="00D22A07">
        <w:rPr>
          <w:rFonts w:asciiTheme="majorHAnsi" w:hAnsiTheme="majorHAnsi" w:cstheme="majorHAnsi"/>
          <w:color w:val="000000" w:themeColor="text1"/>
          <w:spacing w:val="15"/>
          <w:sz w:val="24"/>
          <w:szCs w:val="24"/>
        </w:rPr>
        <w:t xml:space="preserve"> </w:t>
      </w:r>
      <w:r w:rsidRPr="00D22A07">
        <w:rPr>
          <w:rFonts w:asciiTheme="majorHAnsi" w:hAnsiTheme="majorHAnsi" w:cstheme="majorHAnsi"/>
          <w:color w:val="000000" w:themeColor="text1"/>
          <w:spacing w:val="-1"/>
          <w:sz w:val="24"/>
          <w:szCs w:val="24"/>
        </w:rPr>
        <w:t>were</w:t>
      </w:r>
      <w:r w:rsidRPr="00D22A07">
        <w:rPr>
          <w:rFonts w:asciiTheme="majorHAnsi" w:hAnsiTheme="majorHAnsi" w:cstheme="majorHAnsi"/>
          <w:color w:val="000000" w:themeColor="text1"/>
          <w:spacing w:val="19"/>
          <w:sz w:val="24"/>
          <w:szCs w:val="24"/>
        </w:rPr>
        <w:t xml:space="preserve"> </w:t>
      </w:r>
      <w:r w:rsidRPr="00D22A07">
        <w:rPr>
          <w:rFonts w:asciiTheme="majorHAnsi" w:hAnsiTheme="majorHAnsi" w:cstheme="majorHAnsi"/>
          <w:color w:val="000000" w:themeColor="text1"/>
          <w:spacing w:val="-1"/>
          <w:sz w:val="24"/>
          <w:szCs w:val="24"/>
        </w:rPr>
        <w:t>the</w:t>
      </w:r>
      <w:r w:rsidRPr="00D22A07">
        <w:rPr>
          <w:rFonts w:asciiTheme="majorHAnsi" w:hAnsiTheme="majorHAnsi" w:cstheme="majorHAnsi"/>
          <w:color w:val="000000" w:themeColor="text1"/>
          <w:spacing w:val="19"/>
          <w:sz w:val="24"/>
          <w:szCs w:val="24"/>
        </w:rPr>
        <w:t xml:space="preserve"> </w:t>
      </w:r>
      <w:r w:rsidRPr="00D22A07">
        <w:rPr>
          <w:rFonts w:asciiTheme="majorHAnsi" w:hAnsiTheme="majorHAnsi" w:cstheme="majorHAnsi"/>
          <w:color w:val="000000" w:themeColor="text1"/>
          <w:spacing w:val="-1"/>
          <w:sz w:val="24"/>
          <w:szCs w:val="24"/>
        </w:rPr>
        <w:t>effects</w:t>
      </w:r>
      <w:r w:rsidRPr="00D22A07">
        <w:rPr>
          <w:rFonts w:asciiTheme="majorHAnsi" w:hAnsiTheme="majorHAnsi" w:cstheme="majorHAnsi"/>
          <w:color w:val="000000" w:themeColor="text1"/>
          <w:spacing w:val="16"/>
          <w:sz w:val="24"/>
          <w:szCs w:val="24"/>
        </w:rPr>
        <w:t xml:space="preserve"> </w:t>
      </w:r>
      <w:r w:rsidRPr="00D22A07">
        <w:rPr>
          <w:rFonts w:asciiTheme="majorHAnsi" w:hAnsiTheme="majorHAnsi" w:cstheme="majorHAnsi"/>
          <w:color w:val="000000" w:themeColor="text1"/>
          <w:spacing w:val="-1"/>
          <w:sz w:val="24"/>
          <w:szCs w:val="24"/>
        </w:rPr>
        <w:t>of</w:t>
      </w:r>
      <w:r w:rsidRPr="00D22A07">
        <w:rPr>
          <w:rFonts w:asciiTheme="majorHAnsi" w:hAnsiTheme="majorHAnsi" w:cstheme="majorHAnsi"/>
          <w:color w:val="000000" w:themeColor="text1"/>
          <w:spacing w:val="18"/>
          <w:sz w:val="24"/>
          <w:szCs w:val="24"/>
        </w:rPr>
        <w:t xml:space="preserve"> </w:t>
      </w:r>
      <w:r w:rsidRPr="00D22A07">
        <w:rPr>
          <w:rFonts w:asciiTheme="majorHAnsi" w:hAnsiTheme="majorHAnsi" w:cstheme="majorHAnsi"/>
          <w:color w:val="000000" w:themeColor="text1"/>
          <w:spacing w:val="-1"/>
          <w:sz w:val="24"/>
          <w:szCs w:val="24"/>
        </w:rPr>
        <w:t>BEST</w:t>
      </w:r>
      <w:r w:rsidRPr="00D22A07">
        <w:rPr>
          <w:rFonts w:asciiTheme="majorHAnsi" w:hAnsiTheme="majorHAnsi" w:cstheme="majorHAnsi"/>
          <w:color w:val="000000" w:themeColor="text1"/>
          <w:spacing w:val="17"/>
          <w:sz w:val="24"/>
          <w:szCs w:val="24"/>
        </w:rPr>
        <w:t xml:space="preserve"> </w:t>
      </w:r>
      <w:r w:rsidRPr="00D22A07">
        <w:rPr>
          <w:rFonts w:asciiTheme="majorHAnsi" w:hAnsiTheme="majorHAnsi" w:cstheme="majorHAnsi"/>
          <w:color w:val="000000" w:themeColor="text1"/>
          <w:spacing w:val="-1"/>
          <w:sz w:val="24"/>
          <w:szCs w:val="24"/>
        </w:rPr>
        <w:t>Program</w:t>
      </w:r>
      <w:r w:rsidRPr="00D22A07">
        <w:rPr>
          <w:rFonts w:asciiTheme="majorHAnsi" w:hAnsiTheme="majorHAnsi" w:cstheme="majorHAnsi"/>
          <w:color w:val="000000" w:themeColor="text1"/>
          <w:spacing w:val="19"/>
          <w:sz w:val="24"/>
          <w:szCs w:val="24"/>
        </w:rPr>
        <w:t xml:space="preserve"> </w:t>
      </w:r>
      <w:r w:rsidRPr="00D22A07">
        <w:rPr>
          <w:rFonts w:asciiTheme="majorHAnsi" w:hAnsiTheme="majorHAnsi" w:cstheme="majorHAnsi"/>
          <w:color w:val="000000" w:themeColor="text1"/>
          <w:spacing w:val="-1"/>
          <w:sz w:val="24"/>
          <w:szCs w:val="24"/>
        </w:rPr>
        <w:t>interventions</w:t>
      </w:r>
      <w:r w:rsidRPr="00D22A07">
        <w:rPr>
          <w:rFonts w:asciiTheme="majorHAnsi" w:hAnsiTheme="majorHAnsi" w:cstheme="majorHAnsi"/>
          <w:color w:val="000000" w:themeColor="text1"/>
          <w:spacing w:val="16"/>
          <w:sz w:val="24"/>
          <w:szCs w:val="24"/>
        </w:rPr>
        <w:t xml:space="preserve"> </w:t>
      </w:r>
      <w:r w:rsidRPr="00D22A07">
        <w:rPr>
          <w:rFonts w:asciiTheme="majorHAnsi" w:hAnsiTheme="majorHAnsi" w:cstheme="majorHAnsi"/>
          <w:color w:val="000000" w:themeColor="text1"/>
          <w:spacing w:val="-1"/>
          <w:sz w:val="24"/>
          <w:szCs w:val="24"/>
        </w:rPr>
        <w:t>on</w:t>
      </w:r>
      <w:r w:rsidRPr="00D22A07">
        <w:rPr>
          <w:rFonts w:asciiTheme="majorHAnsi" w:hAnsiTheme="majorHAnsi" w:cstheme="majorHAnsi"/>
          <w:color w:val="000000" w:themeColor="text1"/>
          <w:spacing w:val="18"/>
          <w:sz w:val="24"/>
          <w:szCs w:val="24"/>
        </w:rPr>
        <w:t xml:space="preserve"> </w:t>
      </w:r>
      <w:r w:rsidRPr="00D22A07">
        <w:rPr>
          <w:rFonts w:asciiTheme="majorHAnsi" w:hAnsiTheme="majorHAnsi" w:cstheme="majorHAnsi"/>
          <w:color w:val="000000" w:themeColor="text1"/>
          <w:spacing w:val="-1"/>
          <w:sz w:val="24"/>
          <w:szCs w:val="24"/>
        </w:rPr>
        <w:t>school</w:t>
      </w:r>
      <w:r w:rsidRPr="00D22A07">
        <w:rPr>
          <w:rFonts w:asciiTheme="majorHAnsi" w:hAnsiTheme="majorHAnsi" w:cstheme="majorHAnsi"/>
          <w:color w:val="000000" w:themeColor="text1"/>
          <w:spacing w:val="18"/>
          <w:sz w:val="24"/>
          <w:szCs w:val="24"/>
        </w:rPr>
        <w:t xml:space="preserve"> </w:t>
      </w:r>
      <w:r w:rsidRPr="00D22A07">
        <w:rPr>
          <w:rFonts w:asciiTheme="majorHAnsi" w:hAnsiTheme="majorHAnsi" w:cstheme="majorHAnsi"/>
          <w:color w:val="000000" w:themeColor="text1"/>
          <w:spacing w:val="-1"/>
          <w:sz w:val="24"/>
          <w:szCs w:val="24"/>
        </w:rPr>
        <w:t>leadership</w:t>
      </w:r>
      <w:r w:rsidRPr="00D22A07">
        <w:rPr>
          <w:rFonts w:asciiTheme="majorHAnsi" w:hAnsiTheme="majorHAnsi" w:cstheme="majorHAnsi"/>
          <w:color w:val="000000" w:themeColor="text1"/>
          <w:spacing w:val="75"/>
          <w:w w:val="99"/>
          <w:sz w:val="24"/>
          <w:szCs w:val="24"/>
        </w:rPr>
        <w:t xml:space="preserve"> </w:t>
      </w:r>
      <w:r w:rsidRPr="00D22A07">
        <w:rPr>
          <w:rFonts w:asciiTheme="majorHAnsi" w:hAnsiTheme="majorHAnsi" w:cstheme="majorHAnsi"/>
          <w:color w:val="000000" w:themeColor="text1"/>
          <w:sz w:val="24"/>
          <w:szCs w:val="24"/>
        </w:rPr>
        <w:t>and</w:t>
      </w:r>
      <w:r w:rsidRPr="00D22A07">
        <w:rPr>
          <w:rFonts w:asciiTheme="majorHAnsi" w:hAnsiTheme="majorHAnsi" w:cstheme="majorHAnsi"/>
          <w:color w:val="000000" w:themeColor="text1"/>
          <w:spacing w:val="-6"/>
          <w:sz w:val="24"/>
          <w:szCs w:val="24"/>
        </w:rPr>
        <w:t xml:space="preserve"> </w:t>
      </w:r>
      <w:r w:rsidRPr="00D22A07">
        <w:rPr>
          <w:rFonts w:asciiTheme="majorHAnsi" w:hAnsiTheme="majorHAnsi" w:cstheme="majorHAnsi"/>
          <w:color w:val="000000" w:themeColor="text1"/>
          <w:sz w:val="24"/>
          <w:szCs w:val="24"/>
        </w:rPr>
        <w:t>management</w:t>
      </w:r>
      <w:r w:rsidRPr="00D22A07">
        <w:rPr>
          <w:rFonts w:asciiTheme="majorHAnsi" w:hAnsiTheme="majorHAnsi" w:cstheme="majorHAnsi"/>
          <w:color w:val="000000" w:themeColor="text1"/>
          <w:spacing w:val="-7"/>
          <w:sz w:val="24"/>
          <w:szCs w:val="24"/>
        </w:rPr>
        <w:t xml:space="preserve"> in selected elementary schools</w:t>
      </w:r>
      <w:r w:rsidRPr="00D22A07">
        <w:rPr>
          <w:rFonts w:asciiTheme="majorHAnsi" w:hAnsiTheme="majorHAnsi" w:cstheme="majorHAnsi"/>
          <w:color w:val="000000" w:themeColor="text1"/>
          <w:spacing w:val="-1"/>
          <w:sz w:val="24"/>
          <w:szCs w:val="24"/>
        </w:rPr>
        <w:t xml:space="preserve"> in</w:t>
      </w:r>
      <w:r w:rsidRPr="00D22A07">
        <w:rPr>
          <w:rFonts w:asciiTheme="majorHAnsi" w:hAnsiTheme="majorHAnsi" w:cstheme="majorHAnsi"/>
          <w:color w:val="000000" w:themeColor="text1"/>
          <w:spacing w:val="-5"/>
          <w:sz w:val="24"/>
          <w:szCs w:val="24"/>
        </w:rPr>
        <w:t xml:space="preserve"> </w:t>
      </w:r>
      <w:r w:rsidRPr="00D22A07">
        <w:rPr>
          <w:rFonts w:asciiTheme="majorHAnsi" w:hAnsiTheme="majorHAnsi" w:cstheme="majorHAnsi"/>
          <w:color w:val="000000" w:themeColor="text1"/>
          <w:spacing w:val="-1"/>
          <w:sz w:val="24"/>
          <w:szCs w:val="24"/>
        </w:rPr>
        <w:t>terms</w:t>
      </w:r>
      <w:r w:rsidRPr="00D22A07">
        <w:rPr>
          <w:rFonts w:asciiTheme="majorHAnsi" w:hAnsiTheme="majorHAnsi" w:cstheme="majorHAnsi"/>
          <w:color w:val="000000" w:themeColor="text1"/>
          <w:spacing w:val="-8"/>
          <w:sz w:val="24"/>
          <w:szCs w:val="24"/>
        </w:rPr>
        <w:t xml:space="preserve"> </w:t>
      </w:r>
      <w:r w:rsidRPr="00D22A07">
        <w:rPr>
          <w:rFonts w:asciiTheme="majorHAnsi" w:hAnsiTheme="majorHAnsi" w:cstheme="majorHAnsi"/>
          <w:color w:val="000000" w:themeColor="text1"/>
          <w:spacing w:val="-1"/>
          <w:sz w:val="24"/>
          <w:szCs w:val="24"/>
        </w:rPr>
        <w:t>of</w:t>
      </w:r>
      <w:r w:rsidRPr="00D22A07">
        <w:rPr>
          <w:rFonts w:asciiTheme="majorHAnsi" w:hAnsiTheme="majorHAnsi" w:cstheme="majorHAnsi"/>
          <w:color w:val="000000" w:themeColor="text1"/>
          <w:spacing w:val="-5"/>
          <w:sz w:val="24"/>
          <w:szCs w:val="24"/>
        </w:rPr>
        <w:t xml:space="preserve"> </w:t>
      </w:r>
      <w:r w:rsidRPr="00D22A07">
        <w:rPr>
          <w:rFonts w:asciiTheme="majorHAnsi" w:hAnsiTheme="majorHAnsi" w:cstheme="majorHAnsi"/>
          <w:color w:val="000000" w:themeColor="text1"/>
          <w:sz w:val="24"/>
          <w:szCs w:val="24"/>
        </w:rPr>
        <w:t>level</w:t>
      </w:r>
      <w:r w:rsidRPr="00D22A07">
        <w:rPr>
          <w:rFonts w:asciiTheme="majorHAnsi" w:hAnsiTheme="majorHAnsi" w:cstheme="majorHAnsi"/>
          <w:color w:val="000000" w:themeColor="text1"/>
          <w:spacing w:val="-5"/>
          <w:sz w:val="24"/>
          <w:szCs w:val="24"/>
        </w:rPr>
        <w:t xml:space="preserve"> </w:t>
      </w:r>
      <w:r w:rsidRPr="00D22A07">
        <w:rPr>
          <w:rFonts w:asciiTheme="majorHAnsi" w:hAnsiTheme="majorHAnsi" w:cstheme="majorHAnsi"/>
          <w:color w:val="000000" w:themeColor="text1"/>
          <w:spacing w:val="-1"/>
          <w:sz w:val="24"/>
          <w:szCs w:val="24"/>
        </w:rPr>
        <w:t>of</w:t>
      </w:r>
      <w:r w:rsidRPr="00D22A07">
        <w:rPr>
          <w:rFonts w:asciiTheme="majorHAnsi" w:hAnsiTheme="majorHAnsi" w:cstheme="majorHAnsi"/>
          <w:color w:val="000000" w:themeColor="text1"/>
          <w:spacing w:val="-6"/>
          <w:sz w:val="24"/>
          <w:szCs w:val="24"/>
        </w:rPr>
        <w:t xml:space="preserve"> </w:t>
      </w:r>
      <w:r w:rsidRPr="00D22A07">
        <w:rPr>
          <w:rFonts w:asciiTheme="majorHAnsi" w:hAnsiTheme="majorHAnsi" w:cstheme="majorHAnsi"/>
          <w:color w:val="000000" w:themeColor="text1"/>
          <w:spacing w:val="-1"/>
          <w:sz w:val="24"/>
          <w:szCs w:val="24"/>
        </w:rPr>
        <w:t>knowledge,</w:t>
      </w:r>
      <w:r w:rsidRPr="00D22A07">
        <w:rPr>
          <w:rFonts w:asciiTheme="majorHAnsi" w:hAnsiTheme="majorHAnsi" w:cstheme="majorHAnsi"/>
          <w:color w:val="000000" w:themeColor="text1"/>
          <w:spacing w:val="-4"/>
          <w:sz w:val="24"/>
          <w:szCs w:val="24"/>
        </w:rPr>
        <w:t xml:space="preserve"> </w:t>
      </w:r>
      <w:r w:rsidRPr="00D22A07">
        <w:rPr>
          <w:rFonts w:asciiTheme="majorHAnsi" w:hAnsiTheme="majorHAnsi" w:cstheme="majorHAnsi"/>
          <w:color w:val="000000" w:themeColor="text1"/>
          <w:spacing w:val="-1"/>
          <w:sz w:val="24"/>
          <w:szCs w:val="24"/>
        </w:rPr>
        <w:t>skills,</w:t>
      </w:r>
      <w:r w:rsidRPr="00D22A07">
        <w:rPr>
          <w:rFonts w:asciiTheme="majorHAnsi" w:hAnsiTheme="majorHAnsi" w:cstheme="majorHAnsi"/>
          <w:color w:val="000000" w:themeColor="text1"/>
          <w:spacing w:val="-8"/>
          <w:sz w:val="24"/>
          <w:szCs w:val="24"/>
        </w:rPr>
        <w:t xml:space="preserve"> </w:t>
      </w:r>
      <w:r w:rsidRPr="00D22A07">
        <w:rPr>
          <w:rFonts w:asciiTheme="majorHAnsi" w:hAnsiTheme="majorHAnsi" w:cstheme="majorHAnsi"/>
          <w:color w:val="000000" w:themeColor="text1"/>
          <w:spacing w:val="-1"/>
          <w:sz w:val="24"/>
          <w:szCs w:val="24"/>
        </w:rPr>
        <w:t>behaviors</w:t>
      </w:r>
      <w:r w:rsidRPr="00D22A07">
        <w:rPr>
          <w:rFonts w:asciiTheme="majorHAnsi" w:hAnsiTheme="majorHAnsi" w:cstheme="majorHAnsi"/>
          <w:color w:val="000000" w:themeColor="text1"/>
          <w:spacing w:val="22"/>
          <w:sz w:val="24"/>
          <w:szCs w:val="24"/>
        </w:rPr>
        <w:t xml:space="preserve"> </w:t>
      </w:r>
      <w:r w:rsidRPr="00D22A07">
        <w:rPr>
          <w:rFonts w:asciiTheme="majorHAnsi" w:hAnsiTheme="majorHAnsi" w:cstheme="majorHAnsi"/>
          <w:color w:val="000000" w:themeColor="text1"/>
          <w:spacing w:val="1"/>
          <w:sz w:val="24"/>
          <w:szCs w:val="24"/>
        </w:rPr>
        <w:t xml:space="preserve">and </w:t>
      </w:r>
      <w:r w:rsidRPr="00D22A07">
        <w:rPr>
          <w:rFonts w:asciiTheme="majorHAnsi" w:hAnsiTheme="majorHAnsi" w:cstheme="majorHAnsi"/>
          <w:color w:val="000000" w:themeColor="text1"/>
          <w:spacing w:val="-1"/>
          <w:sz w:val="24"/>
          <w:szCs w:val="24"/>
        </w:rPr>
        <w:t>practices?</w:t>
      </w:r>
      <w:r w:rsidR="00D434EB">
        <w:rPr>
          <w:rFonts w:asciiTheme="majorHAnsi" w:hAnsiTheme="majorHAnsi" w:cstheme="majorHAnsi"/>
          <w:color w:val="000000" w:themeColor="text1"/>
          <w:spacing w:val="-1"/>
          <w:sz w:val="24"/>
          <w:szCs w:val="24"/>
        </w:rPr>
        <w:t xml:space="preserve"> </w:t>
      </w:r>
    </w:p>
    <w:p w14:paraId="4B33A0F3" w14:textId="1D2D71A4" w:rsidR="008D0CAD" w:rsidRPr="00D22A07" w:rsidRDefault="008D0CAD" w:rsidP="000479A3">
      <w:pPr>
        <w:pStyle w:val="BodyText"/>
        <w:numPr>
          <w:ilvl w:val="0"/>
          <w:numId w:val="33"/>
        </w:numPr>
        <w:tabs>
          <w:tab w:val="left" w:pos="838"/>
        </w:tabs>
        <w:spacing w:before="100" w:beforeAutospacing="1" w:after="100" w:afterAutospacing="1" w:line="360" w:lineRule="auto"/>
        <w:ind w:left="709" w:hanging="284"/>
        <w:contextualSpacing/>
        <w:rPr>
          <w:rFonts w:asciiTheme="majorHAnsi" w:hAnsiTheme="majorHAnsi" w:cstheme="majorHAnsi"/>
          <w:color w:val="000000" w:themeColor="text1"/>
          <w:sz w:val="24"/>
          <w:szCs w:val="24"/>
        </w:rPr>
      </w:pPr>
      <w:r w:rsidRPr="00D22A07">
        <w:rPr>
          <w:rFonts w:asciiTheme="majorHAnsi" w:hAnsiTheme="majorHAnsi" w:cstheme="majorHAnsi"/>
          <w:color w:val="000000" w:themeColor="text1"/>
          <w:sz w:val="24"/>
          <w:szCs w:val="24"/>
        </w:rPr>
        <w:t>What</w:t>
      </w:r>
      <w:r w:rsidRPr="00D22A07">
        <w:rPr>
          <w:rFonts w:asciiTheme="majorHAnsi" w:hAnsiTheme="majorHAnsi" w:cstheme="majorHAnsi"/>
          <w:color w:val="000000" w:themeColor="text1"/>
          <w:spacing w:val="6"/>
          <w:sz w:val="24"/>
          <w:szCs w:val="24"/>
        </w:rPr>
        <w:t xml:space="preserve"> </w:t>
      </w:r>
      <w:r w:rsidRPr="00D22A07">
        <w:rPr>
          <w:rFonts w:asciiTheme="majorHAnsi" w:hAnsiTheme="majorHAnsi" w:cstheme="majorHAnsi"/>
          <w:color w:val="000000" w:themeColor="text1"/>
          <w:spacing w:val="-1"/>
          <w:sz w:val="24"/>
          <w:szCs w:val="24"/>
        </w:rPr>
        <w:t>were</w:t>
      </w:r>
      <w:r w:rsidRPr="00D22A07">
        <w:rPr>
          <w:rFonts w:asciiTheme="majorHAnsi" w:hAnsiTheme="majorHAnsi" w:cstheme="majorHAnsi"/>
          <w:color w:val="000000" w:themeColor="text1"/>
          <w:spacing w:val="11"/>
          <w:sz w:val="24"/>
          <w:szCs w:val="24"/>
        </w:rPr>
        <w:t xml:space="preserve"> </w:t>
      </w:r>
      <w:r w:rsidRPr="00D22A07">
        <w:rPr>
          <w:rFonts w:asciiTheme="majorHAnsi" w:hAnsiTheme="majorHAnsi" w:cstheme="majorHAnsi"/>
          <w:color w:val="000000" w:themeColor="text1"/>
          <w:spacing w:val="-1"/>
          <w:sz w:val="24"/>
          <w:szCs w:val="24"/>
        </w:rPr>
        <w:t>the</w:t>
      </w:r>
      <w:r w:rsidRPr="00D22A07">
        <w:rPr>
          <w:rFonts w:asciiTheme="majorHAnsi" w:hAnsiTheme="majorHAnsi" w:cstheme="majorHAnsi"/>
          <w:color w:val="000000" w:themeColor="text1"/>
          <w:spacing w:val="15"/>
          <w:sz w:val="24"/>
          <w:szCs w:val="24"/>
        </w:rPr>
        <w:t xml:space="preserve"> </w:t>
      </w:r>
      <w:r w:rsidRPr="00D22A07">
        <w:rPr>
          <w:rFonts w:asciiTheme="majorHAnsi" w:hAnsiTheme="majorHAnsi" w:cstheme="majorHAnsi"/>
          <w:color w:val="000000" w:themeColor="text1"/>
          <w:spacing w:val="-1"/>
          <w:sz w:val="24"/>
          <w:szCs w:val="24"/>
        </w:rPr>
        <w:t>effects</w:t>
      </w:r>
      <w:r w:rsidRPr="00D22A07">
        <w:rPr>
          <w:rFonts w:asciiTheme="majorHAnsi" w:hAnsiTheme="majorHAnsi" w:cstheme="majorHAnsi"/>
          <w:color w:val="000000" w:themeColor="text1"/>
          <w:spacing w:val="12"/>
          <w:sz w:val="24"/>
          <w:szCs w:val="24"/>
        </w:rPr>
        <w:t xml:space="preserve"> </w:t>
      </w:r>
      <w:r w:rsidRPr="00D22A07">
        <w:rPr>
          <w:rFonts w:asciiTheme="majorHAnsi" w:hAnsiTheme="majorHAnsi" w:cstheme="majorHAnsi"/>
          <w:color w:val="000000" w:themeColor="text1"/>
          <w:spacing w:val="-1"/>
          <w:sz w:val="24"/>
          <w:szCs w:val="24"/>
        </w:rPr>
        <w:t>of</w:t>
      </w:r>
      <w:r w:rsidRPr="00D22A07">
        <w:rPr>
          <w:rFonts w:asciiTheme="majorHAnsi" w:hAnsiTheme="majorHAnsi" w:cstheme="majorHAnsi"/>
          <w:color w:val="000000" w:themeColor="text1"/>
          <w:spacing w:val="15"/>
          <w:sz w:val="24"/>
          <w:szCs w:val="24"/>
        </w:rPr>
        <w:t xml:space="preserve"> </w:t>
      </w:r>
      <w:r w:rsidRPr="00D22A07">
        <w:rPr>
          <w:rFonts w:asciiTheme="majorHAnsi" w:hAnsiTheme="majorHAnsi" w:cstheme="majorHAnsi"/>
          <w:color w:val="000000" w:themeColor="text1"/>
          <w:sz w:val="24"/>
          <w:szCs w:val="24"/>
        </w:rPr>
        <w:t>BEST</w:t>
      </w:r>
      <w:r w:rsidRPr="00D22A07">
        <w:rPr>
          <w:rFonts w:asciiTheme="majorHAnsi" w:hAnsiTheme="majorHAnsi" w:cstheme="majorHAnsi"/>
          <w:color w:val="000000" w:themeColor="text1"/>
          <w:spacing w:val="13"/>
          <w:sz w:val="24"/>
          <w:szCs w:val="24"/>
        </w:rPr>
        <w:t xml:space="preserve"> </w:t>
      </w:r>
      <w:r w:rsidRPr="00D22A07">
        <w:rPr>
          <w:rFonts w:asciiTheme="majorHAnsi" w:hAnsiTheme="majorHAnsi" w:cstheme="majorHAnsi"/>
          <w:color w:val="000000" w:themeColor="text1"/>
          <w:spacing w:val="-2"/>
          <w:sz w:val="24"/>
          <w:szCs w:val="24"/>
        </w:rPr>
        <w:t>Program</w:t>
      </w:r>
      <w:r w:rsidRPr="00D22A07">
        <w:rPr>
          <w:rFonts w:asciiTheme="majorHAnsi" w:hAnsiTheme="majorHAnsi" w:cstheme="majorHAnsi"/>
          <w:color w:val="000000" w:themeColor="text1"/>
          <w:spacing w:val="11"/>
          <w:sz w:val="24"/>
          <w:szCs w:val="24"/>
        </w:rPr>
        <w:t xml:space="preserve"> </w:t>
      </w:r>
      <w:r w:rsidRPr="00D22A07">
        <w:rPr>
          <w:rFonts w:asciiTheme="majorHAnsi" w:hAnsiTheme="majorHAnsi" w:cstheme="majorHAnsi"/>
          <w:color w:val="000000" w:themeColor="text1"/>
          <w:spacing w:val="-1"/>
          <w:sz w:val="24"/>
          <w:szCs w:val="24"/>
        </w:rPr>
        <w:t>interventions</w:t>
      </w:r>
      <w:r w:rsidRPr="00D22A07">
        <w:rPr>
          <w:rFonts w:asciiTheme="majorHAnsi" w:hAnsiTheme="majorHAnsi" w:cstheme="majorHAnsi"/>
          <w:color w:val="000000" w:themeColor="text1"/>
          <w:spacing w:val="13"/>
          <w:sz w:val="24"/>
          <w:szCs w:val="24"/>
        </w:rPr>
        <w:t xml:space="preserve"> </w:t>
      </w:r>
      <w:r w:rsidRPr="00D22A07">
        <w:rPr>
          <w:rFonts w:asciiTheme="majorHAnsi" w:hAnsiTheme="majorHAnsi" w:cstheme="majorHAnsi"/>
          <w:color w:val="000000" w:themeColor="text1"/>
          <w:spacing w:val="-1"/>
          <w:sz w:val="24"/>
          <w:szCs w:val="24"/>
        </w:rPr>
        <w:t>on</w:t>
      </w:r>
      <w:r w:rsidRPr="00D22A07">
        <w:rPr>
          <w:rFonts w:asciiTheme="majorHAnsi" w:hAnsiTheme="majorHAnsi" w:cstheme="majorHAnsi"/>
          <w:color w:val="000000" w:themeColor="text1"/>
          <w:spacing w:val="13"/>
          <w:sz w:val="24"/>
          <w:szCs w:val="24"/>
        </w:rPr>
        <w:t xml:space="preserve"> </w:t>
      </w:r>
      <w:r w:rsidRPr="00D22A07">
        <w:rPr>
          <w:rFonts w:asciiTheme="majorHAnsi" w:hAnsiTheme="majorHAnsi" w:cstheme="majorHAnsi"/>
          <w:color w:val="000000" w:themeColor="text1"/>
          <w:spacing w:val="-1"/>
          <w:sz w:val="24"/>
          <w:szCs w:val="24"/>
        </w:rPr>
        <w:t>selected</w:t>
      </w:r>
      <w:r w:rsidRPr="00D22A07">
        <w:rPr>
          <w:rFonts w:asciiTheme="majorHAnsi" w:hAnsiTheme="majorHAnsi" w:cstheme="majorHAnsi"/>
          <w:color w:val="000000" w:themeColor="text1"/>
          <w:spacing w:val="13"/>
          <w:sz w:val="24"/>
          <w:szCs w:val="24"/>
        </w:rPr>
        <w:t xml:space="preserve"> </w:t>
      </w:r>
      <w:r w:rsidRPr="00D22A07">
        <w:rPr>
          <w:rFonts w:asciiTheme="majorHAnsi" w:hAnsiTheme="majorHAnsi" w:cstheme="majorHAnsi"/>
          <w:color w:val="000000" w:themeColor="text1"/>
          <w:spacing w:val="-1"/>
          <w:sz w:val="24"/>
          <w:szCs w:val="24"/>
        </w:rPr>
        <w:t>teachers’</w:t>
      </w:r>
      <w:r w:rsidRPr="00D22A07">
        <w:rPr>
          <w:rFonts w:asciiTheme="majorHAnsi" w:hAnsiTheme="majorHAnsi" w:cstheme="majorHAnsi"/>
          <w:color w:val="000000" w:themeColor="text1"/>
          <w:spacing w:val="77"/>
          <w:w w:val="99"/>
          <w:sz w:val="24"/>
          <w:szCs w:val="24"/>
        </w:rPr>
        <w:t xml:space="preserve"> </w:t>
      </w:r>
      <w:r w:rsidRPr="00D22A07">
        <w:rPr>
          <w:rFonts w:asciiTheme="majorHAnsi" w:hAnsiTheme="majorHAnsi" w:cstheme="majorHAnsi"/>
          <w:color w:val="000000" w:themeColor="text1"/>
          <w:spacing w:val="-1"/>
          <w:sz w:val="24"/>
          <w:szCs w:val="24"/>
        </w:rPr>
        <w:t>teaching</w:t>
      </w:r>
      <w:r w:rsidRPr="00D22A07">
        <w:rPr>
          <w:rFonts w:asciiTheme="majorHAnsi" w:hAnsiTheme="majorHAnsi" w:cstheme="majorHAnsi"/>
          <w:color w:val="000000" w:themeColor="text1"/>
          <w:spacing w:val="21"/>
          <w:sz w:val="24"/>
          <w:szCs w:val="24"/>
        </w:rPr>
        <w:t xml:space="preserve"> </w:t>
      </w:r>
      <w:r w:rsidRPr="00D22A07">
        <w:rPr>
          <w:rFonts w:asciiTheme="majorHAnsi" w:hAnsiTheme="majorHAnsi" w:cstheme="majorHAnsi"/>
          <w:color w:val="000000" w:themeColor="text1"/>
          <w:spacing w:val="-1"/>
          <w:sz w:val="24"/>
          <w:szCs w:val="24"/>
        </w:rPr>
        <w:t>delivery</w:t>
      </w:r>
      <w:r w:rsidRPr="00D22A07">
        <w:rPr>
          <w:rFonts w:asciiTheme="majorHAnsi" w:hAnsiTheme="majorHAnsi" w:cstheme="majorHAnsi"/>
          <w:color w:val="000000" w:themeColor="text1"/>
          <w:spacing w:val="23"/>
          <w:sz w:val="24"/>
          <w:szCs w:val="24"/>
        </w:rPr>
        <w:t xml:space="preserve"> </w:t>
      </w:r>
      <w:r w:rsidRPr="00D22A07">
        <w:rPr>
          <w:rFonts w:asciiTheme="majorHAnsi" w:hAnsiTheme="majorHAnsi" w:cstheme="majorHAnsi"/>
          <w:color w:val="000000" w:themeColor="text1"/>
          <w:spacing w:val="-7"/>
          <w:sz w:val="24"/>
          <w:szCs w:val="24"/>
        </w:rPr>
        <w:t>in selected elementary schools</w:t>
      </w:r>
      <w:r w:rsidRPr="00D22A07">
        <w:rPr>
          <w:rFonts w:asciiTheme="majorHAnsi" w:hAnsiTheme="majorHAnsi" w:cstheme="majorHAnsi"/>
          <w:color w:val="000000" w:themeColor="text1"/>
          <w:spacing w:val="-1"/>
          <w:sz w:val="24"/>
          <w:szCs w:val="24"/>
        </w:rPr>
        <w:t xml:space="preserve"> in</w:t>
      </w:r>
      <w:r w:rsidRPr="00D22A07">
        <w:rPr>
          <w:rFonts w:asciiTheme="majorHAnsi" w:hAnsiTheme="majorHAnsi" w:cstheme="majorHAnsi"/>
          <w:color w:val="000000" w:themeColor="text1"/>
          <w:spacing w:val="24"/>
          <w:sz w:val="24"/>
          <w:szCs w:val="24"/>
        </w:rPr>
        <w:t xml:space="preserve"> </w:t>
      </w:r>
      <w:r w:rsidRPr="00D22A07">
        <w:rPr>
          <w:rFonts w:asciiTheme="majorHAnsi" w:hAnsiTheme="majorHAnsi" w:cstheme="majorHAnsi"/>
          <w:color w:val="000000" w:themeColor="text1"/>
          <w:spacing w:val="-1"/>
          <w:sz w:val="24"/>
          <w:szCs w:val="24"/>
        </w:rPr>
        <w:t>terms</w:t>
      </w:r>
      <w:r w:rsidRPr="00D22A07">
        <w:rPr>
          <w:rFonts w:asciiTheme="majorHAnsi" w:hAnsiTheme="majorHAnsi" w:cstheme="majorHAnsi"/>
          <w:color w:val="000000" w:themeColor="text1"/>
          <w:spacing w:val="22"/>
          <w:sz w:val="24"/>
          <w:szCs w:val="24"/>
        </w:rPr>
        <w:t xml:space="preserve"> </w:t>
      </w:r>
      <w:r w:rsidRPr="00D22A07">
        <w:rPr>
          <w:rFonts w:asciiTheme="majorHAnsi" w:hAnsiTheme="majorHAnsi" w:cstheme="majorHAnsi"/>
          <w:color w:val="000000" w:themeColor="text1"/>
          <w:spacing w:val="-1"/>
          <w:sz w:val="24"/>
          <w:szCs w:val="24"/>
        </w:rPr>
        <w:t>of</w:t>
      </w:r>
      <w:r w:rsidRPr="00D22A07">
        <w:rPr>
          <w:rFonts w:asciiTheme="majorHAnsi" w:hAnsiTheme="majorHAnsi" w:cstheme="majorHAnsi"/>
          <w:color w:val="000000" w:themeColor="text1"/>
          <w:spacing w:val="24"/>
          <w:sz w:val="24"/>
          <w:szCs w:val="24"/>
        </w:rPr>
        <w:t xml:space="preserve"> </w:t>
      </w:r>
      <w:r w:rsidRPr="00D22A07">
        <w:rPr>
          <w:rFonts w:asciiTheme="majorHAnsi" w:hAnsiTheme="majorHAnsi" w:cstheme="majorHAnsi"/>
          <w:color w:val="000000" w:themeColor="text1"/>
          <w:sz w:val="24"/>
          <w:szCs w:val="24"/>
        </w:rPr>
        <w:t>level</w:t>
      </w:r>
      <w:r w:rsidRPr="00D22A07">
        <w:rPr>
          <w:rFonts w:asciiTheme="majorHAnsi" w:hAnsiTheme="majorHAnsi" w:cstheme="majorHAnsi"/>
          <w:color w:val="000000" w:themeColor="text1"/>
          <w:spacing w:val="23"/>
          <w:sz w:val="24"/>
          <w:szCs w:val="24"/>
        </w:rPr>
        <w:t xml:space="preserve"> </w:t>
      </w:r>
      <w:r w:rsidRPr="00D22A07">
        <w:rPr>
          <w:rFonts w:asciiTheme="majorHAnsi" w:hAnsiTheme="majorHAnsi" w:cstheme="majorHAnsi"/>
          <w:color w:val="000000" w:themeColor="text1"/>
          <w:spacing w:val="-1"/>
          <w:sz w:val="24"/>
          <w:szCs w:val="24"/>
        </w:rPr>
        <w:t>of</w:t>
      </w:r>
      <w:r w:rsidRPr="00D22A07">
        <w:rPr>
          <w:rFonts w:asciiTheme="majorHAnsi" w:hAnsiTheme="majorHAnsi" w:cstheme="majorHAnsi"/>
          <w:color w:val="000000" w:themeColor="text1"/>
          <w:spacing w:val="24"/>
          <w:sz w:val="24"/>
          <w:szCs w:val="24"/>
        </w:rPr>
        <w:t xml:space="preserve"> </w:t>
      </w:r>
      <w:r w:rsidRPr="00D22A07">
        <w:rPr>
          <w:rFonts w:asciiTheme="majorHAnsi" w:hAnsiTheme="majorHAnsi" w:cstheme="majorHAnsi"/>
          <w:color w:val="000000" w:themeColor="text1"/>
          <w:spacing w:val="-1"/>
          <w:sz w:val="24"/>
          <w:szCs w:val="24"/>
        </w:rPr>
        <w:t>knowledge</w:t>
      </w:r>
      <w:r w:rsidRPr="00D22A07">
        <w:rPr>
          <w:rFonts w:asciiTheme="majorHAnsi" w:hAnsiTheme="majorHAnsi" w:cstheme="majorHAnsi"/>
          <w:color w:val="000000" w:themeColor="text1"/>
          <w:spacing w:val="25"/>
          <w:sz w:val="24"/>
          <w:szCs w:val="24"/>
        </w:rPr>
        <w:t xml:space="preserve">, </w:t>
      </w:r>
      <w:r w:rsidRPr="00D22A07">
        <w:rPr>
          <w:rFonts w:asciiTheme="majorHAnsi" w:hAnsiTheme="majorHAnsi" w:cstheme="majorHAnsi"/>
          <w:color w:val="000000" w:themeColor="text1"/>
          <w:spacing w:val="-1"/>
          <w:sz w:val="24"/>
          <w:szCs w:val="24"/>
        </w:rPr>
        <w:t>skills</w:t>
      </w:r>
      <w:r w:rsidRPr="00D22A07">
        <w:rPr>
          <w:rFonts w:asciiTheme="majorHAnsi" w:hAnsiTheme="majorHAnsi" w:cstheme="majorHAnsi"/>
          <w:color w:val="000000" w:themeColor="text1"/>
          <w:spacing w:val="21"/>
          <w:sz w:val="24"/>
          <w:szCs w:val="24"/>
        </w:rPr>
        <w:t xml:space="preserve">, </w:t>
      </w:r>
      <w:r w:rsidRPr="00D22A07">
        <w:rPr>
          <w:rFonts w:asciiTheme="majorHAnsi" w:hAnsiTheme="majorHAnsi" w:cstheme="majorHAnsi"/>
          <w:color w:val="000000" w:themeColor="text1"/>
          <w:spacing w:val="-1"/>
          <w:sz w:val="24"/>
          <w:szCs w:val="24"/>
        </w:rPr>
        <w:t>behaviors</w:t>
      </w:r>
      <w:r w:rsidRPr="00D22A07">
        <w:rPr>
          <w:rFonts w:asciiTheme="majorHAnsi" w:hAnsiTheme="majorHAnsi" w:cstheme="majorHAnsi"/>
          <w:color w:val="000000" w:themeColor="text1"/>
          <w:spacing w:val="22"/>
          <w:sz w:val="24"/>
          <w:szCs w:val="24"/>
        </w:rPr>
        <w:t xml:space="preserve"> </w:t>
      </w:r>
      <w:r w:rsidRPr="00D22A07">
        <w:rPr>
          <w:rFonts w:asciiTheme="majorHAnsi" w:hAnsiTheme="majorHAnsi" w:cstheme="majorHAnsi"/>
          <w:color w:val="000000" w:themeColor="text1"/>
          <w:sz w:val="24"/>
          <w:szCs w:val="24"/>
        </w:rPr>
        <w:t>and</w:t>
      </w:r>
      <w:r w:rsidRPr="00D22A07">
        <w:rPr>
          <w:rFonts w:asciiTheme="majorHAnsi" w:hAnsiTheme="majorHAnsi" w:cstheme="majorHAnsi"/>
          <w:color w:val="000000" w:themeColor="text1"/>
          <w:spacing w:val="77"/>
          <w:w w:val="99"/>
          <w:sz w:val="24"/>
          <w:szCs w:val="24"/>
        </w:rPr>
        <w:t xml:space="preserve"> </w:t>
      </w:r>
      <w:r w:rsidRPr="00D22A07">
        <w:rPr>
          <w:rFonts w:asciiTheme="majorHAnsi" w:hAnsiTheme="majorHAnsi" w:cstheme="majorHAnsi"/>
          <w:color w:val="000000" w:themeColor="text1"/>
          <w:spacing w:val="-1"/>
          <w:sz w:val="24"/>
          <w:szCs w:val="24"/>
        </w:rPr>
        <w:t>practices?</w:t>
      </w:r>
      <w:r w:rsidR="00D434EB">
        <w:rPr>
          <w:rFonts w:asciiTheme="majorHAnsi" w:hAnsiTheme="majorHAnsi" w:cstheme="majorHAnsi"/>
          <w:color w:val="000000" w:themeColor="text1"/>
          <w:spacing w:val="-1"/>
          <w:sz w:val="24"/>
          <w:szCs w:val="24"/>
        </w:rPr>
        <w:t xml:space="preserve"> </w:t>
      </w:r>
    </w:p>
    <w:p w14:paraId="16B263E5" w14:textId="45E4FBBF" w:rsidR="008D0CAD" w:rsidRPr="00D22A07" w:rsidRDefault="008D0CAD" w:rsidP="000479A3">
      <w:pPr>
        <w:pStyle w:val="BodyText"/>
        <w:numPr>
          <w:ilvl w:val="0"/>
          <w:numId w:val="33"/>
        </w:numPr>
        <w:tabs>
          <w:tab w:val="left" w:pos="838"/>
        </w:tabs>
        <w:spacing w:before="100" w:beforeAutospacing="1" w:after="100" w:afterAutospacing="1" w:line="360" w:lineRule="auto"/>
        <w:ind w:left="709" w:hanging="284"/>
        <w:contextualSpacing/>
        <w:rPr>
          <w:rFonts w:asciiTheme="majorHAnsi" w:hAnsiTheme="majorHAnsi" w:cstheme="majorHAnsi"/>
          <w:color w:val="000000" w:themeColor="text1"/>
          <w:sz w:val="24"/>
          <w:szCs w:val="24"/>
        </w:rPr>
      </w:pPr>
      <w:r w:rsidRPr="00D22A07">
        <w:rPr>
          <w:rFonts w:asciiTheme="majorHAnsi" w:hAnsiTheme="majorHAnsi" w:cstheme="majorHAnsi"/>
          <w:color w:val="000000" w:themeColor="text1"/>
          <w:spacing w:val="-1"/>
          <w:sz w:val="24"/>
          <w:szCs w:val="24"/>
        </w:rPr>
        <w:t>How did the changes in knowledge</w:t>
      </w:r>
      <w:r w:rsidRPr="00D22A07">
        <w:rPr>
          <w:rFonts w:asciiTheme="majorHAnsi" w:hAnsiTheme="majorHAnsi" w:cstheme="majorHAnsi"/>
          <w:color w:val="000000" w:themeColor="text1"/>
          <w:spacing w:val="25"/>
          <w:sz w:val="24"/>
          <w:szCs w:val="24"/>
        </w:rPr>
        <w:t xml:space="preserve">, </w:t>
      </w:r>
      <w:r w:rsidRPr="00D22A07">
        <w:rPr>
          <w:rFonts w:asciiTheme="majorHAnsi" w:hAnsiTheme="majorHAnsi" w:cstheme="majorHAnsi"/>
          <w:color w:val="000000" w:themeColor="text1"/>
          <w:spacing w:val="-1"/>
          <w:sz w:val="24"/>
          <w:szCs w:val="24"/>
        </w:rPr>
        <w:t>skills</w:t>
      </w:r>
      <w:r w:rsidRPr="00D22A07">
        <w:rPr>
          <w:rFonts w:asciiTheme="majorHAnsi" w:hAnsiTheme="majorHAnsi" w:cstheme="majorHAnsi"/>
          <w:color w:val="000000" w:themeColor="text1"/>
          <w:spacing w:val="21"/>
          <w:sz w:val="24"/>
          <w:szCs w:val="24"/>
        </w:rPr>
        <w:t xml:space="preserve">, </w:t>
      </w:r>
      <w:r w:rsidRPr="00D22A07">
        <w:rPr>
          <w:rFonts w:asciiTheme="majorHAnsi" w:hAnsiTheme="majorHAnsi" w:cstheme="majorHAnsi"/>
          <w:color w:val="000000" w:themeColor="text1"/>
          <w:spacing w:val="-1"/>
          <w:sz w:val="24"/>
          <w:szCs w:val="24"/>
        </w:rPr>
        <w:t>behaviors</w:t>
      </w:r>
      <w:r w:rsidRPr="00D22A07">
        <w:rPr>
          <w:rFonts w:asciiTheme="majorHAnsi" w:hAnsiTheme="majorHAnsi" w:cstheme="majorHAnsi"/>
          <w:color w:val="000000" w:themeColor="text1"/>
          <w:spacing w:val="22"/>
          <w:sz w:val="24"/>
          <w:szCs w:val="24"/>
        </w:rPr>
        <w:t xml:space="preserve"> </w:t>
      </w:r>
      <w:r w:rsidRPr="00D22A07">
        <w:rPr>
          <w:rFonts w:asciiTheme="majorHAnsi" w:hAnsiTheme="majorHAnsi" w:cstheme="majorHAnsi"/>
          <w:color w:val="000000" w:themeColor="text1"/>
          <w:sz w:val="24"/>
          <w:szCs w:val="24"/>
        </w:rPr>
        <w:t>and</w:t>
      </w:r>
      <w:r w:rsidRPr="00D22A07">
        <w:rPr>
          <w:rFonts w:asciiTheme="majorHAnsi" w:hAnsiTheme="majorHAnsi" w:cstheme="majorHAnsi"/>
          <w:color w:val="000000" w:themeColor="text1"/>
          <w:spacing w:val="77"/>
          <w:w w:val="99"/>
          <w:sz w:val="24"/>
          <w:szCs w:val="24"/>
        </w:rPr>
        <w:t xml:space="preserve"> </w:t>
      </w:r>
      <w:r w:rsidRPr="00D22A07">
        <w:rPr>
          <w:rFonts w:asciiTheme="majorHAnsi" w:hAnsiTheme="majorHAnsi" w:cstheme="majorHAnsi"/>
          <w:color w:val="000000" w:themeColor="text1"/>
          <w:spacing w:val="-1"/>
          <w:sz w:val="24"/>
          <w:szCs w:val="24"/>
        </w:rPr>
        <w:t>practices in school</w:t>
      </w:r>
      <w:r w:rsidRPr="00D22A07">
        <w:rPr>
          <w:rFonts w:asciiTheme="majorHAnsi" w:hAnsiTheme="majorHAnsi" w:cstheme="majorHAnsi"/>
          <w:color w:val="000000" w:themeColor="text1"/>
          <w:spacing w:val="18"/>
          <w:sz w:val="24"/>
          <w:szCs w:val="24"/>
        </w:rPr>
        <w:t xml:space="preserve"> </w:t>
      </w:r>
      <w:r w:rsidRPr="00D22A07">
        <w:rPr>
          <w:rFonts w:asciiTheme="majorHAnsi" w:hAnsiTheme="majorHAnsi" w:cstheme="majorHAnsi"/>
          <w:color w:val="000000" w:themeColor="text1"/>
          <w:spacing w:val="-1"/>
          <w:sz w:val="24"/>
          <w:szCs w:val="24"/>
        </w:rPr>
        <w:t>leadership</w:t>
      </w:r>
      <w:r w:rsidRPr="00D22A07">
        <w:rPr>
          <w:rFonts w:asciiTheme="majorHAnsi" w:hAnsiTheme="majorHAnsi" w:cstheme="majorHAnsi"/>
          <w:color w:val="000000" w:themeColor="text1"/>
          <w:spacing w:val="75"/>
          <w:w w:val="99"/>
          <w:sz w:val="24"/>
          <w:szCs w:val="24"/>
        </w:rPr>
        <w:t xml:space="preserve"> </w:t>
      </w:r>
      <w:r w:rsidRPr="00D22A07">
        <w:rPr>
          <w:rFonts w:asciiTheme="majorHAnsi" w:hAnsiTheme="majorHAnsi" w:cstheme="majorHAnsi"/>
          <w:color w:val="000000" w:themeColor="text1"/>
          <w:sz w:val="24"/>
          <w:szCs w:val="24"/>
        </w:rPr>
        <w:t>and</w:t>
      </w:r>
      <w:r w:rsidRPr="00D22A07">
        <w:rPr>
          <w:rFonts w:asciiTheme="majorHAnsi" w:hAnsiTheme="majorHAnsi" w:cstheme="majorHAnsi"/>
          <w:color w:val="000000" w:themeColor="text1"/>
          <w:spacing w:val="-6"/>
          <w:sz w:val="24"/>
          <w:szCs w:val="24"/>
        </w:rPr>
        <w:t xml:space="preserve"> </w:t>
      </w:r>
      <w:r w:rsidRPr="00D22A07">
        <w:rPr>
          <w:rFonts w:asciiTheme="majorHAnsi" w:hAnsiTheme="majorHAnsi" w:cstheme="majorHAnsi"/>
          <w:color w:val="000000" w:themeColor="text1"/>
          <w:sz w:val="24"/>
          <w:szCs w:val="24"/>
        </w:rPr>
        <w:t xml:space="preserve">management and </w:t>
      </w:r>
      <w:r w:rsidRPr="00D22A07">
        <w:rPr>
          <w:rFonts w:asciiTheme="majorHAnsi" w:hAnsiTheme="majorHAnsi" w:cstheme="majorHAnsi"/>
          <w:color w:val="000000" w:themeColor="text1"/>
          <w:spacing w:val="-1"/>
          <w:sz w:val="24"/>
          <w:szCs w:val="24"/>
        </w:rPr>
        <w:t>teaching</w:t>
      </w:r>
      <w:r w:rsidRPr="00D22A07">
        <w:rPr>
          <w:rFonts w:asciiTheme="majorHAnsi" w:hAnsiTheme="majorHAnsi" w:cstheme="majorHAnsi"/>
          <w:color w:val="000000" w:themeColor="text1"/>
          <w:spacing w:val="21"/>
          <w:sz w:val="24"/>
          <w:szCs w:val="24"/>
        </w:rPr>
        <w:t xml:space="preserve"> </w:t>
      </w:r>
      <w:r w:rsidRPr="00D22A07">
        <w:rPr>
          <w:rFonts w:asciiTheme="majorHAnsi" w:hAnsiTheme="majorHAnsi" w:cstheme="majorHAnsi"/>
          <w:color w:val="000000" w:themeColor="text1"/>
          <w:spacing w:val="-1"/>
          <w:sz w:val="24"/>
          <w:szCs w:val="24"/>
        </w:rPr>
        <w:t xml:space="preserve">delivery </w:t>
      </w:r>
      <w:r w:rsidRPr="00D22A07">
        <w:rPr>
          <w:rFonts w:asciiTheme="majorHAnsi" w:hAnsiTheme="majorHAnsi" w:cstheme="majorHAnsi"/>
          <w:color w:val="000000" w:themeColor="text1"/>
          <w:spacing w:val="-7"/>
          <w:sz w:val="24"/>
          <w:szCs w:val="24"/>
        </w:rPr>
        <w:t>in selected elementary schools</w:t>
      </w:r>
      <w:r w:rsidRPr="00D22A07">
        <w:rPr>
          <w:rFonts w:asciiTheme="majorHAnsi" w:hAnsiTheme="majorHAnsi" w:cstheme="majorHAnsi"/>
          <w:color w:val="000000" w:themeColor="text1"/>
          <w:spacing w:val="-1"/>
          <w:sz w:val="24"/>
          <w:szCs w:val="24"/>
        </w:rPr>
        <w:t xml:space="preserve"> improve the inclusiveness and responsiveness of basic education services?</w:t>
      </w:r>
      <w:r w:rsidR="00D434EB">
        <w:rPr>
          <w:rFonts w:asciiTheme="majorHAnsi" w:hAnsiTheme="majorHAnsi" w:cstheme="majorHAnsi"/>
          <w:color w:val="000000" w:themeColor="text1"/>
          <w:spacing w:val="-1"/>
          <w:sz w:val="24"/>
          <w:szCs w:val="24"/>
        </w:rPr>
        <w:t xml:space="preserve"> </w:t>
      </w:r>
    </w:p>
    <w:p w14:paraId="54AF04F5" w14:textId="7C9AAFDD" w:rsidR="008D0CAD" w:rsidRPr="00D22A07" w:rsidRDefault="008D0CAD" w:rsidP="000479A3">
      <w:pPr>
        <w:pStyle w:val="BodyText"/>
        <w:numPr>
          <w:ilvl w:val="0"/>
          <w:numId w:val="33"/>
        </w:numPr>
        <w:tabs>
          <w:tab w:val="left" w:pos="838"/>
        </w:tabs>
        <w:spacing w:before="100" w:beforeAutospacing="1" w:after="100" w:afterAutospacing="1" w:line="360" w:lineRule="auto"/>
        <w:ind w:left="709" w:hanging="284"/>
        <w:contextualSpacing/>
        <w:rPr>
          <w:rFonts w:asciiTheme="majorHAnsi" w:hAnsiTheme="majorHAnsi" w:cstheme="majorHAnsi"/>
          <w:color w:val="000000" w:themeColor="text1"/>
          <w:sz w:val="24"/>
          <w:szCs w:val="24"/>
        </w:rPr>
      </w:pPr>
      <w:r w:rsidRPr="00D22A07">
        <w:rPr>
          <w:rFonts w:asciiTheme="majorHAnsi" w:hAnsiTheme="majorHAnsi" w:cstheme="majorHAnsi"/>
          <w:color w:val="000000" w:themeColor="text1"/>
          <w:spacing w:val="-1"/>
          <w:sz w:val="24"/>
          <w:szCs w:val="24"/>
        </w:rPr>
        <w:t>How did external factors and conditions affect school</w:t>
      </w:r>
      <w:r w:rsidRPr="00D22A07">
        <w:rPr>
          <w:rFonts w:asciiTheme="majorHAnsi" w:hAnsiTheme="majorHAnsi" w:cstheme="majorHAnsi"/>
          <w:color w:val="000000" w:themeColor="text1"/>
          <w:spacing w:val="18"/>
          <w:sz w:val="24"/>
          <w:szCs w:val="24"/>
        </w:rPr>
        <w:t xml:space="preserve"> </w:t>
      </w:r>
      <w:r w:rsidRPr="00D22A07">
        <w:rPr>
          <w:rFonts w:asciiTheme="majorHAnsi" w:hAnsiTheme="majorHAnsi" w:cstheme="majorHAnsi"/>
          <w:color w:val="000000" w:themeColor="text1"/>
          <w:spacing w:val="-1"/>
          <w:sz w:val="24"/>
          <w:szCs w:val="24"/>
        </w:rPr>
        <w:t xml:space="preserve">leadership </w:t>
      </w:r>
      <w:r w:rsidRPr="00D22A07">
        <w:rPr>
          <w:rFonts w:asciiTheme="majorHAnsi" w:hAnsiTheme="majorHAnsi" w:cstheme="majorHAnsi"/>
          <w:color w:val="000000" w:themeColor="text1"/>
          <w:sz w:val="24"/>
          <w:szCs w:val="24"/>
        </w:rPr>
        <w:t>and</w:t>
      </w:r>
      <w:r w:rsidRPr="00D22A07">
        <w:rPr>
          <w:rFonts w:asciiTheme="majorHAnsi" w:hAnsiTheme="majorHAnsi" w:cstheme="majorHAnsi"/>
          <w:color w:val="000000" w:themeColor="text1"/>
          <w:spacing w:val="-6"/>
          <w:sz w:val="24"/>
          <w:szCs w:val="24"/>
        </w:rPr>
        <w:t xml:space="preserve"> </w:t>
      </w:r>
      <w:r w:rsidRPr="00D22A07">
        <w:rPr>
          <w:rFonts w:asciiTheme="majorHAnsi" w:hAnsiTheme="majorHAnsi" w:cstheme="majorHAnsi"/>
          <w:color w:val="000000" w:themeColor="text1"/>
          <w:sz w:val="24"/>
          <w:szCs w:val="24"/>
        </w:rPr>
        <w:t xml:space="preserve">management and </w:t>
      </w:r>
      <w:r w:rsidRPr="00D22A07">
        <w:rPr>
          <w:rFonts w:asciiTheme="majorHAnsi" w:hAnsiTheme="majorHAnsi" w:cstheme="majorHAnsi"/>
          <w:color w:val="000000" w:themeColor="text1"/>
          <w:spacing w:val="-1"/>
          <w:sz w:val="24"/>
          <w:szCs w:val="24"/>
        </w:rPr>
        <w:t>teaching</w:t>
      </w:r>
      <w:r w:rsidRPr="00D22A07">
        <w:rPr>
          <w:rFonts w:asciiTheme="majorHAnsi" w:hAnsiTheme="majorHAnsi" w:cstheme="majorHAnsi"/>
          <w:color w:val="000000" w:themeColor="text1"/>
          <w:spacing w:val="21"/>
          <w:sz w:val="24"/>
          <w:szCs w:val="24"/>
        </w:rPr>
        <w:t xml:space="preserve"> </w:t>
      </w:r>
      <w:r w:rsidRPr="00D22A07">
        <w:rPr>
          <w:rFonts w:asciiTheme="majorHAnsi" w:hAnsiTheme="majorHAnsi" w:cstheme="majorHAnsi"/>
          <w:color w:val="000000" w:themeColor="text1"/>
          <w:spacing w:val="-1"/>
          <w:sz w:val="24"/>
          <w:szCs w:val="24"/>
        </w:rPr>
        <w:t xml:space="preserve">delivery </w:t>
      </w:r>
      <w:r w:rsidRPr="00D22A07">
        <w:rPr>
          <w:rFonts w:asciiTheme="majorHAnsi" w:hAnsiTheme="majorHAnsi" w:cstheme="majorHAnsi"/>
          <w:color w:val="000000" w:themeColor="text1"/>
          <w:spacing w:val="-7"/>
          <w:sz w:val="24"/>
          <w:szCs w:val="24"/>
        </w:rPr>
        <w:t>in selected elementary schools</w:t>
      </w:r>
      <w:r w:rsidRPr="00D22A07">
        <w:rPr>
          <w:rFonts w:asciiTheme="majorHAnsi" w:hAnsiTheme="majorHAnsi" w:cstheme="majorHAnsi"/>
          <w:color w:val="000000" w:themeColor="text1"/>
          <w:sz w:val="24"/>
          <w:szCs w:val="24"/>
          <w:lang w:val="en-GB"/>
        </w:rPr>
        <w:t>?</w:t>
      </w:r>
      <w:r w:rsidR="00D434EB">
        <w:rPr>
          <w:rFonts w:asciiTheme="majorHAnsi" w:hAnsiTheme="majorHAnsi" w:cstheme="majorHAnsi"/>
          <w:color w:val="000000" w:themeColor="text1"/>
          <w:sz w:val="24"/>
          <w:szCs w:val="24"/>
          <w:lang w:val="en-GB"/>
        </w:rPr>
        <w:t xml:space="preserve"> </w:t>
      </w:r>
    </w:p>
    <w:p w14:paraId="595E10C1" w14:textId="5559BD8D" w:rsidR="008D0CAD" w:rsidRPr="005D379C" w:rsidRDefault="008D0CAD" w:rsidP="000479A3">
      <w:pPr>
        <w:pStyle w:val="ListParagraph"/>
        <w:numPr>
          <w:ilvl w:val="0"/>
          <w:numId w:val="33"/>
        </w:numPr>
        <w:spacing w:before="100" w:beforeAutospacing="1" w:after="100" w:afterAutospacing="1" w:line="360" w:lineRule="auto"/>
        <w:ind w:left="709" w:hanging="284"/>
        <w:rPr>
          <w:rFonts w:asciiTheme="majorHAnsi" w:hAnsiTheme="majorHAnsi" w:cstheme="majorHAnsi"/>
          <w:color w:val="000000" w:themeColor="text1"/>
        </w:rPr>
      </w:pPr>
      <w:r w:rsidRPr="00D22A07">
        <w:rPr>
          <w:rFonts w:asciiTheme="majorHAnsi" w:hAnsiTheme="majorHAnsi" w:cstheme="majorHAnsi"/>
          <w:color w:val="000000" w:themeColor="text1"/>
        </w:rPr>
        <w:t>What</w:t>
      </w:r>
      <w:r w:rsidRPr="00D22A07">
        <w:rPr>
          <w:rFonts w:asciiTheme="majorHAnsi" w:hAnsiTheme="majorHAnsi" w:cstheme="majorHAnsi"/>
          <w:color w:val="000000" w:themeColor="text1"/>
          <w:spacing w:val="-14"/>
        </w:rPr>
        <w:t xml:space="preserve"> </w:t>
      </w:r>
      <w:r w:rsidRPr="00D22A07">
        <w:rPr>
          <w:rFonts w:asciiTheme="majorHAnsi" w:hAnsiTheme="majorHAnsi" w:cstheme="majorHAnsi"/>
          <w:color w:val="000000" w:themeColor="text1"/>
        </w:rPr>
        <w:t>models</w:t>
      </w:r>
      <w:r w:rsidRPr="00D22A07">
        <w:rPr>
          <w:rFonts w:asciiTheme="majorHAnsi" w:hAnsiTheme="majorHAnsi" w:cstheme="majorHAnsi"/>
          <w:color w:val="000000" w:themeColor="text1"/>
          <w:spacing w:val="-12"/>
        </w:rPr>
        <w:t xml:space="preserve"> </w:t>
      </w:r>
      <w:r w:rsidRPr="00D22A07">
        <w:rPr>
          <w:rFonts w:asciiTheme="majorHAnsi" w:hAnsiTheme="majorHAnsi" w:cstheme="majorHAnsi"/>
          <w:color w:val="000000" w:themeColor="text1"/>
          <w:spacing w:val="-1"/>
        </w:rPr>
        <w:t>or</w:t>
      </w:r>
      <w:r w:rsidRPr="00D22A07">
        <w:rPr>
          <w:rFonts w:asciiTheme="majorHAnsi" w:hAnsiTheme="majorHAnsi" w:cstheme="majorHAnsi"/>
          <w:color w:val="000000" w:themeColor="text1"/>
          <w:spacing w:val="-13"/>
        </w:rPr>
        <w:t xml:space="preserve"> </w:t>
      </w:r>
      <w:r w:rsidRPr="00D22A07">
        <w:rPr>
          <w:rFonts w:asciiTheme="majorHAnsi" w:hAnsiTheme="majorHAnsi" w:cstheme="majorHAnsi"/>
          <w:color w:val="000000" w:themeColor="text1"/>
          <w:spacing w:val="-1"/>
        </w:rPr>
        <w:t>combinations</w:t>
      </w:r>
      <w:r w:rsidRPr="00D22A07">
        <w:rPr>
          <w:rFonts w:asciiTheme="majorHAnsi" w:hAnsiTheme="majorHAnsi" w:cstheme="majorHAnsi"/>
          <w:color w:val="000000" w:themeColor="text1"/>
          <w:spacing w:val="-13"/>
        </w:rPr>
        <w:t xml:space="preserve"> </w:t>
      </w:r>
      <w:r w:rsidRPr="00D22A07">
        <w:rPr>
          <w:rFonts w:asciiTheme="majorHAnsi" w:hAnsiTheme="majorHAnsi" w:cstheme="majorHAnsi"/>
          <w:color w:val="000000" w:themeColor="text1"/>
          <w:spacing w:val="-1"/>
        </w:rPr>
        <w:t>of</w:t>
      </w:r>
      <w:r w:rsidRPr="00D22A07">
        <w:rPr>
          <w:rFonts w:asciiTheme="majorHAnsi" w:hAnsiTheme="majorHAnsi" w:cstheme="majorHAnsi"/>
          <w:color w:val="000000" w:themeColor="text1"/>
          <w:spacing w:val="-10"/>
        </w:rPr>
        <w:t xml:space="preserve"> </w:t>
      </w:r>
      <w:r w:rsidRPr="00D22A07">
        <w:rPr>
          <w:rFonts w:asciiTheme="majorHAnsi" w:hAnsiTheme="majorHAnsi" w:cstheme="majorHAnsi"/>
          <w:color w:val="000000" w:themeColor="text1"/>
          <w:spacing w:val="-1"/>
        </w:rPr>
        <w:t>interventions</w:t>
      </w:r>
      <w:r w:rsidRPr="00D22A07">
        <w:rPr>
          <w:rFonts w:asciiTheme="majorHAnsi" w:hAnsiTheme="majorHAnsi" w:cstheme="majorHAnsi"/>
          <w:color w:val="000000" w:themeColor="text1"/>
          <w:spacing w:val="-9"/>
        </w:rPr>
        <w:t xml:space="preserve"> </w:t>
      </w:r>
      <w:r w:rsidRPr="00D22A07">
        <w:rPr>
          <w:rFonts w:asciiTheme="majorHAnsi" w:hAnsiTheme="majorHAnsi" w:cstheme="majorHAnsi"/>
          <w:color w:val="000000" w:themeColor="text1"/>
          <w:spacing w:val="-1"/>
        </w:rPr>
        <w:t>resulted</w:t>
      </w:r>
      <w:r w:rsidRPr="00D22A07">
        <w:rPr>
          <w:rFonts w:asciiTheme="majorHAnsi" w:hAnsiTheme="majorHAnsi" w:cstheme="majorHAnsi"/>
          <w:color w:val="000000" w:themeColor="text1"/>
          <w:spacing w:val="-12"/>
        </w:rPr>
        <w:t xml:space="preserve"> </w:t>
      </w:r>
      <w:r w:rsidRPr="00D22A07">
        <w:rPr>
          <w:rFonts w:asciiTheme="majorHAnsi" w:hAnsiTheme="majorHAnsi" w:cstheme="majorHAnsi"/>
          <w:color w:val="000000" w:themeColor="text1"/>
          <w:spacing w:val="-1"/>
        </w:rPr>
        <w:t>in</w:t>
      </w:r>
      <w:r w:rsidRPr="00D22A07">
        <w:rPr>
          <w:rFonts w:asciiTheme="majorHAnsi" w:hAnsiTheme="majorHAnsi" w:cstheme="majorHAnsi"/>
          <w:color w:val="000000" w:themeColor="text1"/>
          <w:spacing w:val="-12"/>
        </w:rPr>
        <w:t xml:space="preserve"> </w:t>
      </w:r>
      <w:r w:rsidRPr="00D22A07">
        <w:rPr>
          <w:rFonts w:asciiTheme="majorHAnsi" w:hAnsiTheme="majorHAnsi" w:cstheme="majorHAnsi"/>
          <w:color w:val="000000" w:themeColor="text1"/>
          <w:spacing w:val="-1"/>
        </w:rPr>
        <w:t>the</w:t>
      </w:r>
      <w:r w:rsidRPr="00D22A07">
        <w:rPr>
          <w:rFonts w:asciiTheme="majorHAnsi" w:hAnsiTheme="majorHAnsi" w:cstheme="majorHAnsi"/>
          <w:color w:val="000000" w:themeColor="text1"/>
          <w:spacing w:val="-9"/>
        </w:rPr>
        <w:t xml:space="preserve"> </w:t>
      </w:r>
      <w:r w:rsidRPr="00D22A07">
        <w:rPr>
          <w:rFonts w:asciiTheme="majorHAnsi" w:hAnsiTheme="majorHAnsi" w:cstheme="majorHAnsi"/>
          <w:color w:val="000000" w:themeColor="text1"/>
          <w:spacing w:val="-1"/>
        </w:rPr>
        <w:t>most significant</w:t>
      </w:r>
      <w:r w:rsidRPr="00D22A07">
        <w:rPr>
          <w:rFonts w:asciiTheme="majorHAnsi" w:hAnsiTheme="majorHAnsi" w:cstheme="majorHAnsi"/>
          <w:color w:val="000000" w:themeColor="text1"/>
          <w:spacing w:val="-14"/>
        </w:rPr>
        <w:t xml:space="preserve"> </w:t>
      </w:r>
      <w:r w:rsidRPr="00D22A07">
        <w:rPr>
          <w:rFonts w:asciiTheme="majorHAnsi" w:hAnsiTheme="majorHAnsi" w:cstheme="majorHAnsi"/>
          <w:color w:val="000000" w:themeColor="text1"/>
          <w:spacing w:val="-1"/>
        </w:rPr>
        <w:t>results, instructive</w:t>
      </w:r>
      <w:r w:rsidRPr="00D22A07">
        <w:rPr>
          <w:rFonts w:asciiTheme="majorHAnsi" w:hAnsiTheme="majorHAnsi" w:cstheme="majorHAnsi"/>
          <w:color w:val="000000" w:themeColor="text1"/>
          <w:spacing w:val="-6"/>
        </w:rPr>
        <w:t xml:space="preserve"> </w:t>
      </w:r>
      <w:r w:rsidRPr="00D22A07">
        <w:rPr>
          <w:rFonts w:asciiTheme="majorHAnsi" w:hAnsiTheme="majorHAnsi" w:cstheme="majorHAnsi"/>
          <w:color w:val="000000" w:themeColor="text1"/>
          <w:spacing w:val="-1"/>
        </w:rPr>
        <w:t>for</w:t>
      </w:r>
      <w:r w:rsidRPr="00D22A07">
        <w:rPr>
          <w:rFonts w:asciiTheme="majorHAnsi" w:hAnsiTheme="majorHAnsi" w:cstheme="majorHAnsi"/>
          <w:color w:val="000000" w:themeColor="text1"/>
          <w:spacing w:val="-7"/>
        </w:rPr>
        <w:t xml:space="preserve"> </w:t>
      </w:r>
      <w:r w:rsidRPr="00D22A07">
        <w:rPr>
          <w:rFonts w:asciiTheme="majorHAnsi" w:hAnsiTheme="majorHAnsi" w:cstheme="majorHAnsi"/>
          <w:color w:val="000000" w:themeColor="text1"/>
          <w:spacing w:val="-1"/>
        </w:rPr>
        <w:t>replication</w:t>
      </w:r>
      <w:r w:rsidRPr="00D22A07">
        <w:rPr>
          <w:rFonts w:asciiTheme="majorHAnsi" w:hAnsiTheme="majorHAnsi" w:cstheme="majorHAnsi"/>
          <w:color w:val="000000" w:themeColor="text1"/>
          <w:spacing w:val="-2"/>
        </w:rPr>
        <w:t xml:space="preserve"> </w:t>
      </w:r>
      <w:r w:rsidRPr="00D22A07">
        <w:rPr>
          <w:rFonts w:asciiTheme="majorHAnsi" w:hAnsiTheme="majorHAnsi" w:cstheme="majorHAnsi"/>
          <w:color w:val="000000" w:themeColor="text1"/>
        </w:rPr>
        <w:t>and</w:t>
      </w:r>
      <w:r w:rsidRPr="00D22A07">
        <w:rPr>
          <w:rFonts w:asciiTheme="majorHAnsi" w:hAnsiTheme="majorHAnsi" w:cstheme="majorHAnsi"/>
          <w:color w:val="000000" w:themeColor="text1"/>
          <w:spacing w:val="-7"/>
        </w:rPr>
        <w:t xml:space="preserve"> </w:t>
      </w:r>
      <w:r w:rsidRPr="00D22A07">
        <w:rPr>
          <w:rFonts w:asciiTheme="majorHAnsi" w:hAnsiTheme="majorHAnsi" w:cstheme="majorHAnsi"/>
          <w:color w:val="000000" w:themeColor="text1"/>
          <w:spacing w:val="-1"/>
        </w:rPr>
        <w:t>overall</w:t>
      </w:r>
      <w:r w:rsidRPr="00D22A07">
        <w:rPr>
          <w:rFonts w:asciiTheme="majorHAnsi" w:hAnsiTheme="majorHAnsi" w:cstheme="majorHAnsi"/>
          <w:color w:val="000000" w:themeColor="text1"/>
          <w:spacing w:val="-7"/>
        </w:rPr>
        <w:t xml:space="preserve"> </w:t>
      </w:r>
      <w:r w:rsidRPr="00D22A07">
        <w:rPr>
          <w:rFonts w:asciiTheme="majorHAnsi" w:hAnsiTheme="majorHAnsi" w:cstheme="majorHAnsi"/>
          <w:color w:val="000000" w:themeColor="text1"/>
          <w:spacing w:val="-2"/>
        </w:rPr>
        <w:t>systems</w:t>
      </w:r>
      <w:r w:rsidRPr="00D22A07">
        <w:rPr>
          <w:rFonts w:asciiTheme="majorHAnsi" w:hAnsiTheme="majorHAnsi" w:cstheme="majorHAnsi"/>
          <w:color w:val="000000" w:themeColor="text1"/>
          <w:spacing w:val="-5"/>
        </w:rPr>
        <w:t xml:space="preserve"> </w:t>
      </w:r>
      <w:r w:rsidRPr="00D22A07">
        <w:rPr>
          <w:rFonts w:asciiTheme="majorHAnsi" w:hAnsiTheme="majorHAnsi" w:cstheme="majorHAnsi"/>
          <w:color w:val="000000" w:themeColor="text1"/>
          <w:spacing w:val="-1"/>
        </w:rPr>
        <w:t>improvement?</w:t>
      </w:r>
      <w:r w:rsidR="00D434EB">
        <w:rPr>
          <w:rFonts w:asciiTheme="majorHAnsi" w:hAnsiTheme="majorHAnsi" w:cstheme="majorHAnsi"/>
          <w:color w:val="000000" w:themeColor="text1"/>
          <w:spacing w:val="-1"/>
        </w:rPr>
        <w:t xml:space="preserve"> </w:t>
      </w:r>
    </w:p>
    <w:p w14:paraId="08B5AF95" w14:textId="4ADA9E8A" w:rsidR="008D0CAD" w:rsidRPr="0039136E" w:rsidRDefault="008D0CAD" w:rsidP="00DD08E3">
      <w:pPr>
        <w:pStyle w:val="Heading3"/>
        <w:numPr>
          <w:ilvl w:val="1"/>
          <w:numId w:val="161"/>
        </w:numPr>
        <w:spacing w:before="100" w:beforeAutospacing="1" w:after="100" w:afterAutospacing="1" w:line="360" w:lineRule="auto"/>
      </w:pPr>
      <w:bookmarkStart w:id="49" w:name="_Toc10722980"/>
      <w:bookmarkStart w:id="50" w:name="_Toc12711982"/>
      <w:bookmarkStart w:id="51" w:name="_Toc13216263"/>
      <w:bookmarkStart w:id="52" w:name="_Toc69820435"/>
      <w:r w:rsidRPr="0039136E">
        <w:t>Sampling Design</w:t>
      </w:r>
      <w:bookmarkEnd w:id="49"/>
      <w:bookmarkEnd w:id="50"/>
      <w:bookmarkEnd w:id="51"/>
      <w:bookmarkEnd w:id="52"/>
      <w:r w:rsidRPr="0039136E">
        <w:t xml:space="preserve"> </w:t>
      </w:r>
    </w:p>
    <w:p w14:paraId="3D1D9715" w14:textId="48D5C96A" w:rsidR="008D0CAD" w:rsidRDefault="008D0CAD" w:rsidP="000479A3">
      <w:pPr>
        <w:pStyle w:val="NormalWeb"/>
        <w:spacing w:line="360" w:lineRule="auto"/>
        <w:rPr>
          <w:rFonts w:asciiTheme="majorHAnsi" w:hAnsiTheme="majorHAnsi" w:cstheme="majorHAnsi"/>
        </w:rPr>
      </w:pPr>
      <w:r w:rsidRPr="00D36054">
        <w:rPr>
          <w:rFonts w:asciiTheme="majorHAnsi" w:hAnsiTheme="majorHAnsi" w:cstheme="majorHAnsi"/>
          <w:b/>
          <w:bCs/>
        </w:rPr>
        <w:t>EOPE Study.</w:t>
      </w:r>
      <w:r>
        <w:rPr>
          <w:rFonts w:asciiTheme="majorHAnsi" w:hAnsiTheme="majorHAnsi" w:cstheme="majorHAnsi"/>
        </w:rPr>
        <w:t xml:space="preserve"> All concerned Operational Units (OUs) at the DepEd Central Office (such as bureaus, divisions and services) and the six Regional Offices</w:t>
      </w:r>
      <w:r w:rsidRPr="00006103">
        <w:rPr>
          <w:rFonts w:asciiTheme="majorHAnsi" w:hAnsiTheme="majorHAnsi" w:cstheme="majorHAnsi"/>
        </w:rPr>
        <w:t xml:space="preserve"> </w:t>
      </w:r>
      <w:r>
        <w:rPr>
          <w:rFonts w:asciiTheme="majorHAnsi" w:hAnsiTheme="majorHAnsi" w:cstheme="majorHAnsi"/>
        </w:rPr>
        <w:t>(ROs) supported by the BEST Program were asked to participate in the data collection activities.</w:t>
      </w:r>
      <w:r w:rsidR="00D434EB">
        <w:rPr>
          <w:rFonts w:asciiTheme="majorHAnsi" w:hAnsiTheme="majorHAnsi" w:cstheme="majorHAnsi"/>
        </w:rPr>
        <w:t xml:space="preserve"> </w:t>
      </w:r>
      <w:r>
        <w:rPr>
          <w:rFonts w:asciiTheme="majorHAnsi" w:hAnsiTheme="majorHAnsi" w:cstheme="majorHAnsi"/>
        </w:rPr>
        <w:t>However, given the timing and scheduling issues, not all OUs were able to commit time for interviews.</w:t>
      </w:r>
      <w:r w:rsidR="00D434EB">
        <w:rPr>
          <w:rFonts w:asciiTheme="majorHAnsi" w:hAnsiTheme="majorHAnsi" w:cstheme="majorHAnsi"/>
        </w:rPr>
        <w:t xml:space="preserve"> </w:t>
      </w:r>
      <w:r>
        <w:rPr>
          <w:rFonts w:asciiTheme="majorHAnsi" w:hAnsiTheme="majorHAnsi" w:cstheme="majorHAnsi"/>
        </w:rPr>
        <w:t>In addition, for logistical purposes, the EOPE Study Team selected 14 Division Offices (DOs) within the BEST supported region to be part of the study and all the schools that were included in sample study came from these Divisions, which were:</w:t>
      </w:r>
    </w:p>
    <w:p w14:paraId="3339E40F" w14:textId="77777777" w:rsidR="008D0CAD" w:rsidRPr="0071236D" w:rsidRDefault="008D0CAD" w:rsidP="000479A3">
      <w:pPr>
        <w:pStyle w:val="NormalWeb"/>
        <w:numPr>
          <w:ilvl w:val="0"/>
          <w:numId w:val="1"/>
        </w:numPr>
        <w:spacing w:line="360" w:lineRule="auto"/>
        <w:rPr>
          <w:rFonts w:asciiTheme="majorHAnsi" w:hAnsiTheme="majorHAnsi" w:cstheme="majorHAnsi"/>
        </w:rPr>
      </w:pPr>
      <w:r w:rsidRPr="0071236D">
        <w:rPr>
          <w:rFonts w:asciiTheme="majorHAnsi" w:hAnsiTheme="majorHAnsi" w:cstheme="majorHAnsi"/>
        </w:rPr>
        <w:t xml:space="preserve">Region NCR </w:t>
      </w:r>
      <w:r>
        <w:rPr>
          <w:rFonts w:asciiTheme="majorHAnsi" w:hAnsiTheme="majorHAnsi" w:cstheme="majorHAnsi"/>
        </w:rPr>
        <w:t>–</w:t>
      </w:r>
      <w:r w:rsidRPr="0071236D">
        <w:rPr>
          <w:rFonts w:asciiTheme="majorHAnsi" w:hAnsiTheme="majorHAnsi" w:cstheme="majorHAnsi"/>
        </w:rPr>
        <w:t xml:space="preserve"> Quezon City, Manila, Paranaque and Las Pi</w:t>
      </w:r>
      <w:r>
        <w:rPr>
          <w:rFonts w:asciiTheme="majorHAnsi" w:hAnsiTheme="majorHAnsi" w:cstheme="majorHAnsi"/>
        </w:rPr>
        <w:t>ñ</w:t>
      </w:r>
      <w:r w:rsidRPr="0071236D">
        <w:rPr>
          <w:rFonts w:asciiTheme="majorHAnsi" w:hAnsiTheme="majorHAnsi" w:cstheme="majorHAnsi"/>
        </w:rPr>
        <w:t>as</w:t>
      </w:r>
    </w:p>
    <w:p w14:paraId="4EEEEEB6" w14:textId="77777777" w:rsidR="008D0CAD" w:rsidRPr="00006103" w:rsidRDefault="008D0CAD" w:rsidP="000479A3">
      <w:pPr>
        <w:pStyle w:val="NormalWeb"/>
        <w:numPr>
          <w:ilvl w:val="0"/>
          <w:numId w:val="1"/>
        </w:numPr>
        <w:spacing w:line="360" w:lineRule="auto"/>
        <w:rPr>
          <w:rFonts w:asciiTheme="majorHAnsi" w:hAnsiTheme="majorHAnsi" w:cstheme="majorHAnsi"/>
        </w:rPr>
      </w:pPr>
      <w:r w:rsidRPr="0071236D">
        <w:rPr>
          <w:rFonts w:asciiTheme="majorHAnsi" w:hAnsiTheme="majorHAnsi" w:cstheme="majorHAnsi"/>
        </w:rPr>
        <w:t xml:space="preserve">Region </w:t>
      </w:r>
      <w:r>
        <w:rPr>
          <w:rFonts w:asciiTheme="majorHAnsi" w:hAnsiTheme="majorHAnsi" w:cstheme="majorHAnsi"/>
        </w:rPr>
        <w:t>V</w:t>
      </w:r>
      <w:r w:rsidRPr="0071236D">
        <w:rPr>
          <w:rFonts w:asciiTheme="majorHAnsi" w:hAnsiTheme="majorHAnsi" w:cstheme="majorHAnsi"/>
        </w:rPr>
        <w:t xml:space="preserve"> </w:t>
      </w:r>
      <w:r>
        <w:rPr>
          <w:rFonts w:asciiTheme="majorHAnsi" w:hAnsiTheme="majorHAnsi" w:cstheme="majorHAnsi"/>
        </w:rPr>
        <w:t>–</w:t>
      </w:r>
      <w:r w:rsidRPr="0071236D">
        <w:rPr>
          <w:rFonts w:asciiTheme="majorHAnsi" w:hAnsiTheme="majorHAnsi" w:cstheme="majorHAnsi"/>
        </w:rPr>
        <w:t xml:space="preserve"> S</w:t>
      </w:r>
      <w:r w:rsidRPr="00006103">
        <w:rPr>
          <w:rFonts w:asciiTheme="majorHAnsi" w:hAnsiTheme="majorHAnsi" w:cstheme="majorHAnsi"/>
        </w:rPr>
        <w:t>orsogon and Camarines Sur</w:t>
      </w:r>
    </w:p>
    <w:p w14:paraId="3F489F19" w14:textId="77777777" w:rsidR="008D0CAD" w:rsidRPr="0071236D" w:rsidRDefault="008D0CAD" w:rsidP="000479A3">
      <w:pPr>
        <w:pStyle w:val="NormalWeb"/>
        <w:numPr>
          <w:ilvl w:val="0"/>
          <w:numId w:val="1"/>
        </w:numPr>
        <w:spacing w:line="360" w:lineRule="auto"/>
        <w:rPr>
          <w:rFonts w:asciiTheme="majorHAnsi" w:hAnsiTheme="majorHAnsi" w:cstheme="majorHAnsi"/>
        </w:rPr>
      </w:pPr>
      <w:r w:rsidRPr="0071236D">
        <w:rPr>
          <w:rFonts w:asciiTheme="majorHAnsi" w:hAnsiTheme="majorHAnsi" w:cstheme="majorHAnsi"/>
        </w:rPr>
        <w:t xml:space="preserve">Region </w:t>
      </w:r>
      <w:r>
        <w:rPr>
          <w:rFonts w:asciiTheme="majorHAnsi" w:hAnsiTheme="majorHAnsi" w:cstheme="majorHAnsi"/>
        </w:rPr>
        <w:t>VI</w:t>
      </w:r>
      <w:r w:rsidRPr="0071236D">
        <w:rPr>
          <w:rFonts w:asciiTheme="majorHAnsi" w:hAnsiTheme="majorHAnsi" w:cstheme="majorHAnsi"/>
        </w:rPr>
        <w:t xml:space="preserve"> </w:t>
      </w:r>
      <w:r>
        <w:rPr>
          <w:rFonts w:asciiTheme="majorHAnsi" w:hAnsiTheme="majorHAnsi" w:cstheme="majorHAnsi"/>
        </w:rPr>
        <w:t>–</w:t>
      </w:r>
      <w:r w:rsidRPr="0071236D">
        <w:rPr>
          <w:rFonts w:asciiTheme="majorHAnsi" w:hAnsiTheme="majorHAnsi" w:cstheme="majorHAnsi"/>
        </w:rPr>
        <w:t xml:space="preserve"> Antique</w:t>
      </w:r>
      <w:r>
        <w:rPr>
          <w:rFonts w:asciiTheme="majorHAnsi" w:hAnsiTheme="majorHAnsi" w:cstheme="majorHAnsi"/>
        </w:rPr>
        <w:t xml:space="preserve"> </w:t>
      </w:r>
      <w:r w:rsidRPr="0071236D">
        <w:rPr>
          <w:rFonts w:asciiTheme="majorHAnsi" w:hAnsiTheme="majorHAnsi" w:cstheme="majorHAnsi"/>
        </w:rPr>
        <w:t>and loilo</w:t>
      </w:r>
    </w:p>
    <w:p w14:paraId="600C59E5" w14:textId="77777777" w:rsidR="008D0CAD" w:rsidRPr="0071236D" w:rsidRDefault="008D0CAD" w:rsidP="000479A3">
      <w:pPr>
        <w:pStyle w:val="NormalWeb"/>
        <w:numPr>
          <w:ilvl w:val="0"/>
          <w:numId w:val="1"/>
        </w:numPr>
        <w:spacing w:line="360" w:lineRule="auto"/>
        <w:rPr>
          <w:rFonts w:asciiTheme="majorHAnsi" w:hAnsiTheme="majorHAnsi" w:cstheme="majorHAnsi"/>
        </w:rPr>
      </w:pPr>
      <w:r w:rsidRPr="0071236D">
        <w:rPr>
          <w:rFonts w:asciiTheme="majorHAnsi" w:hAnsiTheme="majorHAnsi" w:cstheme="majorHAnsi"/>
        </w:rPr>
        <w:t xml:space="preserve">Region </w:t>
      </w:r>
      <w:r>
        <w:rPr>
          <w:rFonts w:asciiTheme="majorHAnsi" w:hAnsiTheme="majorHAnsi" w:cstheme="majorHAnsi"/>
        </w:rPr>
        <w:t>VII</w:t>
      </w:r>
      <w:r w:rsidRPr="0071236D">
        <w:rPr>
          <w:rFonts w:asciiTheme="majorHAnsi" w:hAnsiTheme="majorHAnsi" w:cstheme="majorHAnsi"/>
        </w:rPr>
        <w:t xml:space="preserve"> </w:t>
      </w:r>
      <w:r>
        <w:rPr>
          <w:rFonts w:asciiTheme="majorHAnsi" w:hAnsiTheme="majorHAnsi" w:cstheme="majorHAnsi"/>
        </w:rPr>
        <w:t>–</w:t>
      </w:r>
      <w:r w:rsidRPr="0071236D">
        <w:rPr>
          <w:rFonts w:asciiTheme="majorHAnsi" w:hAnsiTheme="majorHAnsi" w:cstheme="majorHAnsi"/>
        </w:rPr>
        <w:t xml:space="preserve"> Cebu and Bohol</w:t>
      </w:r>
    </w:p>
    <w:p w14:paraId="54E1A1E6" w14:textId="77777777" w:rsidR="008D0CAD" w:rsidRDefault="008D0CAD" w:rsidP="000479A3">
      <w:pPr>
        <w:pStyle w:val="NormalWeb"/>
        <w:numPr>
          <w:ilvl w:val="0"/>
          <w:numId w:val="1"/>
        </w:numPr>
        <w:spacing w:line="360" w:lineRule="auto"/>
        <w:rPr>
          <w:rFonts w:asciiTheme="majorHAnsi" w:hAnsiTheme="majorHAnsi" w:cstheme="majorHAnsi"/>
        </w:rPr>
      </w:pPr>
      <w:r w:rsidRPr="0071236D">
        <w:rPr>
          <w:rFonts w:asciiTheme="majorHAnsi" w:hAnsiTheme="majorHAnsi" w:cstheme="majorHAnsi"/>
        </w:rPr>
        <w:t xml:space="preserve">Region </w:t>
      </w:r>
      <w:r>
        <w:rPr>
          <w:rFonts w:asciiTheme="majorHAnsi" w:hAnsiTheme="majorHAnsi" w:cstheme="majorHAnsi"/>
        </w:rPr>
        <w:t>VIII</w:t>
      </w:r>
      <w:r w:rsidRPr="0071236D">
        <w:rPr>
          <w:rFonts w:asciiTheme="majorHAnsi" w:hAnsiTheme="majorHAnsi" w:cstheme="majorHAnsi"/>
        </w:rPr>
        <w:t xml:space="preserve"> </w:t>
      </w:r>
      <w:r>
        <w:rPr>
          <w:rFonts w:asciiTheme="majorHAnsi" w:hAnsiTheme="majorHAnsi" w:cstheme="majorHAnsi"/>
        </w:rPr>
        <w:t>–</w:t>
      </w:r>
      <w:r w:rsidRPr="0071236D">
        <w:rPr>
          <w:rFonts w:asciiTheme="majorHAnsi" w:hAnsiTheme="majorHAnsi" w:cstheme="majorHAnsi"/>
        </w:rPr>
        <w:t xml:space="preserve"> Eastern Samar and Leyte</w:t>
      </w:r>
    </w:p>
    <w:p w14:paraId="6F0CCA1F" w14:textId="77777777" w:rsidR="008D0CAD" w:rsidRPr="004054A9" w:rsidRDefault="008D0CAD" w:rsidP="000479A3">
      <w:pPr>
        <w:pStyle w:val="NormalWeb"/>
        <w:numPr>
          <w:ilvl w:val="0"/>
          <w:numId w:val="1"/>
        </w:numPr>
        <w:spacing w:line="360" w:lineRule="auto"/>
        <w:rPr>
          <w:rFonts w:asciiTheme="majorHAnsi" w:hAnsiTheme="majorHAnsi" w:cstheme="majorHAnsi"/>
        </w:rPr>
      </w:pPr>
      <w:r w:rsidRPr="00625046">
        <w:rPr>
          <w:rFonts w:asciiTheme="majorHAnsi" w:hAnsiTheme="majorHAnsi" w:cstheme="majorHAnsi"/>
        </w:rPr>
        <w:t xml:space="preserve">Region </w:t>
      </w:r>
      <w:r>
        <w:rPr>
          <w:rFonts w:asciiTheme="majorHAnsi" w:hAnsiTheme="majorHAnsi" w:cstheme="majorHAnsi"/>
        </w:rPr>
        <w:t>X</w:t>
      </w:r>
      <w:r w:rsidRPr="00625046">
        <w:rPr>
          <w:rFonts w:asciiTheme="majorHAnsi" w:hAnsiTheme="majorHAnsi" w:cstheme="majorHAnsi"/>
        </w:rPr>
        <w:t xml:space="preserve"> </w:t>
      </w:r>
      <w:r>
        <w:rPr>
          <w:rFonts w:asciiTheme="majorHAnsi" w:hAnsiTheme="majorHAnsi" w:cstheme="majorHAnsi"/>
        </w:rPr>
        <w:t>–</w:t>
      </w:r>
      <w:r w:rsidRPr="00625046">
        <w:rPr>
          <w:rFonts w:asciiTheme="majorHAnsi" w:hAnsiTheme="majorHAnsi" w:cstheme="majorHAnsi"/>
        </w:rPr>
        <w:t xml:space="preserve"> Cagayan de Oro </w:t>
      </w:r>
      <w:r>
        <w:rPr>
          <w:rFonts w:asciiTheme="majorHAnsi" w:hAnsiTheme="majorHAnsi" w:cstheme="majorHAnsi"/>
        </w:rPr>
        <w:t>and</w:t>
      </w:r>
      <w:r w:rsidRPr="00625046">
        <w:rPr>
          <w:rFonts w:asciiTheme="majorHAnsi" w:hAnsiTheme="majorHAnsi" w:cstheme="majorHAnsi"/>
        </w:rPr>
        <w:t xml:space="preserve"> Misamis Oriental</w:t>
      </w:r>
    </w:p>
    <w:p w14:paraId="58B2F1BC" w14:textId="4C9CCBD6" w:rsidR="008D0CAD" w:rsidRPr="004054A9" w:rsidRDefault="008D0CAD" w:rsidP="000479A3">
      <w:pPr>
        <w:pStyle w:val="NormalWeb"/>
        <w:spacing w:line="360" w:lineRule="auto"/>
        <w:rPr>
          <w:rFonts w:asciiTheme="majorHAnsi" w:hAnsiTheme="majorHAnsi" w:cstheme="majorHAnsi"/>
          <w:color w:val="000000" w:themeColor="text1"/>
        </w:rPr>
      </w:pPr>
      <w:r w:rsidRPr="004054A9">
        <w:rPr>
          <w:rFonts w:asciiTheme="majorHAnsi" w:hAnsiTheme="majorHAnsi" w:cstheme="majorHAnsi"/>
          <w:color w:val="000000" w:themeColor="text1"/>
        </w:rPr>
        <w:t xml:space="preserve">From these Divisions, the schools (both treatment and comparison schools) were identified resulting in the selection of 106 elementary schools, that is, 80 elementary schools that were direct recipients of BEST Program interventions (called direct recipient schools) and 26 schools that did not receive any direct support from the BEST Program although these are also recipients and users of </w:t>
      </w:r>
      <w:r>
        <w:rPr>
          <w:rFonts w:asciiTheme="majorHAnsi" w:hAnsiTheme="majorHAnsi" w:cstheme="majorHAnsi"/>
          <w:color w:val="000000" w:themeColor="text1"/>
        </w:rPr>
        <w:t>DepEd</w:t>
      </w:r>
      <w:r w:rsidRPr="004054A9">
        <w:rPr>
          <w:rFonts w:asciiTheme="majorHAnsi" w:hAnsiTheme="majorHAnsi" w:cstheme="majorHAnsi"/>
          <w:color w:val="000000" w:themeColor="text1"/>
        </w:rPr>
        <w:t xml:space="preserve"> system reforms (referred to as indirect recipient schools). Refer also to Annex E. Sampling and Data Collection and Annex F. List of Direct (Treatment Schools) and Indirect (Comparison Schools) Recipient Schools included in the study.</w:t>
      </w:r>
      <w:r w:rsidR="00D434EB">
        <w:rPr>
          <w:rFonts w:asciiTheme="majorHAnsi" w:hAnsiTheme="majorHAnsi" w:cstheme="majorHAnsi"/>
          <w:color w:val="000000" w:themeColor="text1"/>
        </w:rPr>
        <w:t xml:space="preserve"> </w:t>
      </w:r>
      <w:r w:rsidRPr="004054A9">
        <w:rPr>
          <w:rFonts w:asciiTheme="majorHAnsi" w:hAnsiTheme="majorHAnsi" w:cstheme="majorHAnsi"/>
          <w:color w:val="000000" w:themeColor="text1"/>
        </w:rPr>
        <w:t>However, only 25 out of the 106 schools participated in the Study due to various limitations.</w:t>
      </w:r>
    </w:p>
    <w:p w14:paraId="63F0977B" w14:textId="3644B2E6" w:rsidR="008D0CAD" w:rsidRPr="004054A9" w:rsidRDefault="008D0CAD" w:rsidP="000479A3">
      <w:pPr>
        <w:pStyle w:val="NormalWeb"/>
        <w:spacing w:line="360" w:lineRule="auto"/>
        <w:rPr>
          <w:rFonts w:asciiTheme="majorHAnsi" w:hAnsiTheme="majorHAnsi" w:cstheme="majorHAnsi"/>
          <w:color w:val="000000" w:themeColor="text1"/>
        </w:rPr>
      </w:pPr>
      <w:r w:rsidRPr="004054A9">
        <w:rPr>
          <w:rFonts w:asciiTheme="majorHAnsi" w:hAnsiTheme="majorHAnsi" w:cstheme="majorHAnsi"/>
          <w:b/>
          <w:bCs/>
          <w:color w:val="000000" w:themeColor="text1"/>
        </w:rPr>
        <w:t>Follow-up Study</w:t>
      </w:r>
      <w:r w:rsidRPr="004054A9">
        <w:rPr>
          <w:rFonts w:asciiTheme="majorHAnsi" w:hAnsiTheme="majorHAnsi" w:cstheme="majorHAnsi"/>
          <w:color w:val="000000" w:themeColor="text1"/>
        </w:rPr>
        <w:t xml:space="preserve">. </w:t>
      </w:r>
      <w:r w:rsidRPr="004054A9">
        <w:rPr>
          <w:rFonts w:asciiTheme="majorHAnsi" w:hAnsiTheme="majorHAnsi" w:cstheme="majorHAnsi"/>
          <w:color w:val="000000" w:themeColor="text1"/>
          <w:spacing w:val="-1"/>
        </w:rPr>
        <w:t xml:space="preserve">Twelve elementary schools were included in the </w:t>
      </w:r>
      <w:r w:rsidRPr="004054A9">
        <w:rPr>
          <w:rFonts w:asciiTheme="majorHAnsi" w:hAnsiTheme="majorHAnsi" w:cstheme="majorHAnsi"/>
          <w:color w:val="000000" w:themeColor="text1"/>
        </w:rPr>
        <w:t>Follow-up</w:t>
      </w:r>
      <w:r w:rsidRPr="004054A9">
        <w:rPr>
          <w:rFonts w:asciiTheme="majorHAnsi" w:hAnsiTheme="majorHAnsi" w:cstheme="majorHAnsi"/>
          <w:b/>
          <w:bCs/>
          <w:color w:val="000000" w:themeColor="text1"/>
        </w:rPr>
        <w:t xml:space="preserve"> </w:t>
      </w:r>
      <w:r w:rsidRPr="004054A9">
        <w:rPr>
          <w:rFonts w:asciiTheme="majorHAnsi" w:hAnsiTheme="majorHAnsi" w:cstheme="majorHAnsi"/>
          <w:color w:val="000000" w:themeColor="text1"/>
          <w:spacing w:val="-1"/>
        </w:rPr>
        <w:t>Study.</w:t>
      </w:r>
      <w:r w:rsidR="00D434EB">
        <w:rPr>
          <w:rFonts w:asciiTheme="majorHAnsi" w:hAnsiTheme="majorHAnsi" w:cstheme="majorHAnsi"/>
          <w:color w:val="000000" w:themeColor="text1"/>
          <w:spacing w:val="-1"/>
        </w:rPr>
        <w:t xml:space="preserve"> </w:t>
      </w:r>
      <w:r w:rsidRPr="004054A9">
        <w:rPr>
          <w:rFonts w:asciiTheme="majorHAnsi" w:hAnsiTheme="majorHAnsi" w:cstheme="majorHAnsi"/>
          <w:color w:val="000000" w:themeColor="text1"/>
          <w:spacing w:val="-1"/>
        </w:rPr>
        <w:t>Refer</w:t>
      </w:r>
      <w:r w:rsidRPr="004054A9">
        <w:rPr>
          <w:rFonts w:asciiTheme="majorHAnsi" w:hAnsiTheme="majorHAnsi" w:cstheme="majorHAnsi"/>
          <w:color w:val="000000" w:themeColor="text1"/>
        </w:rPr>
        <w:t xml:space="preserve"> also to Annex D for the steps undertaken in identifying the 12 participating schools.</w:t>
      </w:r>
    </w:p>
    <w:p w14:paraId="1FF02FE3" w14:textId="7C73D66D" w:rsidR="008D0CAD" w:rsidRDefault="008D0CAD" w:rsidP="00DD08E3">
      <w:pPr>
        <w:pStyle w:val="Heading3"/>
        <w:numPr>
          <w:ilvl w:val="1"/>
          <w:numId w:val="161"/>
        </w:numPr>
        <w:spacing w:before="100" w:beforeAutospacing="1" w:after="100" w:afterAutospacing="1" w:line="360" w:lineRule="auto"/>
      </w:pPr>
      <w:bookmarkStart w:id="53" w:name="_Toc10722983"/>
      <w:bookmarkStart w:id="54" w:name="_Toc12711983"/>
      <w:bookmarkStart w:id="55" w:name="_Toc13216264"/>
      <w:bookmarkStart w:id="56" w:name="_Toc69820436"/>
      <w:r w:rsidRPr="00B36801">
        <w:t xml:space="preserve">Data Collection </w:t>
      </w:r>
      <w:r>
        <w:t>Methods</w:t>
      </w:r>
      <w:bookmarkEnd w:id="53"/>
      <w:bookmarkEnd w:id="54"/>
      <w:bookmarkEnd w:id="55"/>
      <w:bookmarkEnd w:id="56"/>
    </w:p>
    <w:p w14:paraId="5C69E803" w14:textId="226166BA" w:rsidR="008D0CAD" w:rsidRPr="004054A9" w:rsidRDefault="008D0CAD" w:rsidP="000479A3">
      <w:pPr>
        <w:spacing w:before="100" w:beforeAutospacing="1" w:after="100" w:afterAutospacing="1" w:line="360" w:lineRule="auto"/>
        <w:rPr>
          <w:rFonts w:asciiTheme="majorHAnsi" w:hAnsiTheme="majorHAnsi" w:cstheme="majorHAnsi"/>
          <w:color w:val="000000" w:themeColor="text1"/>
        </w:rPr>
      </w:pPr>
      <w:r w:rsidRPr="00D36054">
        <w:rPr>
          <w:rFonts w:asciiTheme="majorHAnsi" w:hAnsiTheme="majorHAnsi" w:cstheme="majorHAnsi"/>
          <w:b/>
          <w:bCs/>
        </w:rPr>
        <w:t>EOPE Study.</w:t>
      </w:r>
      <w:r>
        <w:rPr>
          <w:rFonts w:asciiTheme="majorHAnsi" w:hAnsiTheme="majorHAnsi" w:cstheme="majorHAnsi"/>
          <w:b/>
          <w:bCs/>
        </w:rPr>
        <w:t xml:space="preserve"> </w:t>
      </w:r>
      <w:r>
        <w:rPr>
          <w:rFonts w:asciiTheme="majorHAnsi" w:hAnsiTheme="majorHAnsi" w:cstheme="majorHAnsi"/>
        </w:rPr>
        <w:t xml:space="preserve">The </w:t>
      </w:r>
      <w:r w:rsidRPr="004054A9">
        <w:rPr>
          <w:rFonts w:asciiTheme="majorHAnsi" w:hAnsiTheme="majorHAnsi" w:cstheme="majorHAnsi"/>
          <w:color w:val="000000" w:themeColor="text1"/>
        </w:rPr>
        <w:t>EOPE Study requested school-level data from all the 106 schools</w:t>
      </w:r>
      <w:r w:rsidRPr="004054A9">
        <w:rPr>
          <w:rStyle w:val="FootnoteReference"/>
          <w:rFonts w:asciiTheme="majorHAnsi" w:eastAsia="Arial Unicode MS" w:hAnsiTheme="majorHAnsi" w:cstheme="majorHAnsi"/>
          <w:color w:val="000000" w:themeColor="text1"/>
        </w:rPr>
        <w:footnoteReference w:id="12"/>
      </w:r>
      <w:r w:rsidRPr="004054A9">
        <w:rPr>
          <w:rFonts w:asciiTheme="majorHAnsi" w:hAnsiTheme="majorHAnsi" w:cstheme="majorHAnsi"/>
          <w:color w:val="000000" w:themeColor="text1"/>
        </w:rPr>
        <w:t xml:space="preserve"> included in the sample study (see Annex G. List of secondary data requested from each of the 106 schools).</w:t>
      </w:r>
      <w:r w:rsidR="00D434EB">
        <w:rPr>
          <w:rFonts w:asciiTheme="majorHAnsi" w:hAnsiTheme="majorHAnsi" w:cstheme="majorHAnsi"/>
          <w:color w:val="000000" w:themeColor="text1"/>
        </w:rPr>
        <w:t xml:space="preserve"> </w:t>
      </w:r>
      <w:r w:rsidRPr="004054A9">
        <w:rPr>
          <w:rFonts w:asciiTheme="majorHAnsi" w:hAnsiTheme="majorHAnsi" w:cstheme="majorHAnsi"/>
          <w:color w:val="000000" w:themeColor="text1"/>
        </w:rPr>
        <w:t>However, complete secondary data</w:t>
      </w:r>
      <w:r w:rsidRPr="004054A9">
        <w:rPr>
          <w:rStyle w:val="FootnoteReference"/>
          <w:rFonts w:asciiTheme="majorHAnsi" w:eastAsia="Arial Unicode MS" w:hAnsiTheme="majorHAnsi" w:cstheme="majorHAnsi"/>
          <w:color w:val="000000" w:themeColor="text1"/>
        </w:rPr>
        <w:footnoteReference w:id="13"/>
      </w:r>
      <w:r w:rsidRPr="004054A9">
        <w:rPr>
          <w:rFonts w:asciiTheme="majorHAnsi" w:hAnsiTheme="majorHAnsi" w:cstheme="majorHAnsi"/>
          <w:color w:val="000000" w:themeColor="text1"/>
        </w:rPr>
        <w:t xml:space="preserve"> was obtained only from 2</w:t>
      </w:r>
      <w:r>
        <w:rPr>
          <w:rFonts w:asciiTheme="majorHAnsi" w:hAnsiTheme="majorHAnsi" w:cstheme="majorHAnsi"/>
          <w:color w:val="000000" w:themeColor="text1"/>
        </w:rPr>
        <w:t>5</w:t>
      </w:r>
      <w:r w:rsidRPr="004054A9">
        <w:rPr>
          <w:rFonts w:asciiTheme="majorHAnsi" w:hAnsiTheme="majorHAnsi" w:cstheme="majorHAnsi"/>
          <w:color w:val="000000" w:themeColor="text1"/>
        </w:rPr>
        <w:t xml:space="preserve"> schools (out of 106 or 23.5</w:t>
      </w:r>
      <w:r>
        <w:rPr>
          <w:rFonts w:asciiTheme="majorHAnsi" w:hAnsiTheme="majorHAnsi" w:cstheme="majorHAnsi"/>
          <w:color w:val="000000" w:themeColor="text1"/>
        </w:rPr>
        <w:t xml:space="preserve"> per cent</w:t>
      </w:r>
      <w:r w:rsidRPr="004054A9">
        <w:rPr>
          <w:rFonts w:asciiTheme="majorHAnsi" w:hAnsiTheme="majorHAnsi" w:cstheme="majorHAnsi"/>
          <w:color w:val="000000" w:themeColor="text1"/>
        </w:rPr>
        <w:t>) – 15 direct recipient schools and 9 indirect recipient schools. Data were also collected from 37 other schools (out of 106 or 34.9</w:t>
      </w:r>
      <w:r>
        <w:rPr>
          <w:rFonts w:asciiTheme="majorHAnsi" w:hAnsiTheme="majorHAnsi" w:cstheme="majorHAnsi"/>
          <w:color w:val="000000" w:themeColor="text1"/>
        </w:rPr>
        <w:t xml:space="preserve"> per cent</w:t>
      </w:r>
      <w:r w:rsidRPr="004054A9">
        <w:rPr>
          <w:rFonts w:asciiTheme="majorHAnsi" w:hAnsiTheme="majorHAnsi" w:cstheme="majorHAnsi"/>
          <w:color w:val="000000" w:themeColor="text1"/>
        </w:rPr>
        <w:t>) – 31 direct recipient schools and 6 indirect recipient schools</w:t>
      </w:r>
      <w:bookmarkStart w:id="57" w:name="_Toc11229186"/>
      <w:r w:rsidRPr="004054A9">
        <w:rPr>
          <w:rFonts w:asciiTheme="majorHAnsi" w:hAnsiTheme="majorHAnsi" w:cstheme="majorHAnsi"/>
          <w:color w:val="000000" w:themeColor="text1"/>
        </w:rPr>
        <w:t xml:space="preserve"> but the data was incomplete</w:t>
      </w:r>
      <w:r w:rsidRPr="004054A9">
        <w:rPr>
          <w:rStyle w:val="FootnoteReference"/>
          <w:rFonts w:asciiTheme="majorHAnsi" w:eastAsia="Arial Unicode MS" w:hAnsiTheme="majorHAnsi" w:cstheme="majorHAnsi"/>
          <w:color w:val="000000" w:themeColor="text1"/>
        </w:rPr>
        <w:footnoteReference w:id="14"/>
      </w:r>
      <w:r w:rsidRPr="004054A9">
        <w:rPr>
          <w:rFonts w:asciiTheme="majorHAnsi" w:hAnsiTheme="majorHAnsi" w:cstheme="majorHAnsi"/>
          <w:color w:val="000000" w:themeColor="text1"/>
        </w:rPr>
        <w:t xml:space="preserve"> and could not be included in the DID analysis.</w:t>
      </w:r>
      <w:r w:rsidR="00D434EB">
        <w:rPr>
          <w:rFonts w:asciiTheme="majorHAnsi" w:hAnsiTheme="majorHAnsi" w:cstheme="majorHAnsi"/>
          <w:color w:val="000000" w:themeColor="text1"/>
        </w:rPr>
        <w:t xml:space="preserve"> </w:t>
      </w:r>
      <w:r w:rsidRPr="004054A9">
        <w:rPr>
          <w:rFonts w:asciiTheme="majorHAnsi" w:hAnsiTheme="majorHAnsi" w:cstheme="majorHAnsi"/>
          <w:color w:val="000000" w:themeColor="text1"/>
        </w:rPr>
        <w:t>There were 44 schools (out of the 106 or 41.6</w:t>
      </w:r>
      <w:r>
        <w:rPr>
          <w:rFonts w:asciiTheme="majorHAnsi" w:hAnsiTheme="majorHAnsi" w:cstheme="majorHAnsi"/>
          <w:color w:val="000000" w:themeColor="text1"/>
        </w:rPr>
        <w:t xml:space="preserve"> per cent</w:t>
      </w:r>
      <w:r w:rsidRPr="004054A9">
        <w:rPr>
          <w:rFonts w:asciiTheme="majorHAnsi" w:hAnsiTheme="majorHAnsi" w:cstheme="majorHAnsi"/>
          <w:color w:val="000000" w:themeColor="text1"/>
        </w:rPr>
        <w:t>) that did not submit any data (see Annex H. Status of Submissions of School).</w:t>
      </w:r>
    </w:p>
    <w:p w14:paraId="65F69F0B" w14:textId="0DAEBF05" w:rsidR="008D0CAD" w:rsidRPr="004054A9" w:rsidRDefault="008D0CAD" w:rsidP="000479A3">
      <w:pPr>
        <w:spacing w:before="100" w:beforeAutospacing="1" w:after="100" w:afterAutospacing="1" w:line="360" w:lineRule="auto"/>
        <w:rPr>
          <w:rFonts w:asciiTheme="majorHAnsi" w:hAnsiTheme="majorHAnsi" w:cstheme="majorHAnsi"/>
          <w:color w:val="000000" w:themeColor="text1"/>
        </w:rPr>
      </w:pPr>
      <w:r w:rsidRPr="004054A9">
        <w:rPr>
          <w:rFonts w:asciiTheme="majorHAnsi" w:hAnsiTheme="majorHAnsi" w:cstheme="majorHAnsi"/>
          <w:color w:val="000000" w:themeColor="text1"/>
        </w:rPr>
        <w:t>Twelve Key Informant Interviews (KIIs) with Regional Directors and Superintendents and 18 respondents were conducted at the Central Office.</w:t>
      </w:r>
      <w:r w:rsidR="00D434EB">
        <w:rPr>
          <w:rFonts w:asciiTheme="majorHAnsi" w:hAnsiTheme="majorHAnsi" w:cstheme="majorHAnsi"/>
          <w:color w:val="000000" w:themeColor="text1"/>
        </w:rPr>
        <w:t xml:space="preserve"> </w:t>
      </w:r>
      <w:r w:rsidRPr="004054A9">
        <w:rPr>
          <w:rFonts w:asciiTheme="majorHAnsi" w:hAnsiTheme="majorHAnsi" w:cstheme="majorHAnsi"/>
          <w:color w:val="000000" w:themeColor="text1"/>
        </w:rPr>
        <w:t>All of the BEST Partners were also interviewed. See Annex I. List of KII Respondents and Annex J. KII Guide Questions.</w:t>
      </w:r>
      <w:bookmarkStart w:id="58" w:name="_Toc11229187"/>
      <w:bookmarkEnd w:id="57"/>
    </w:p>
    <w:p w14:paraId="41404EAD" w14:textId="77777777" w:rsidR="008D0CAD" w:rsidRPr="004054A9" w:rsidRDefault="008D0CAD" w:rsidP="000479A3">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rPr>
        <w:t xml:space="preserve">Moreover, </w:t>
      </w:r>
      <w:r w:rsidRPr="009E7F62">
        <w:rPr>
          <w:rFonts w:asciiTheme="majorHAnsi" w:hAnsiTheme="majorHAnsi" w:cstheme="majorHAnsi"/>
        </w:rPr>
        <w:t>40 Focus Group Discussions (FGDs)</w:t>
      </w:r>
      <w:r>
        <w:rPr>
          <w:rFonts w:asciiTheme="majorHAnsi" w:hAnsiTheme="majorHAnsi" w:cstheme="majorHAnsi"/>
        </w:rPr>
        <w:t xml:space="preserve"> with ROs, DOs, principals and teachers were completed</w:t>
      </w:r>
      <w:r w:rsidRPr="009E7F62">
        <w:rPr>
          <w:rFonts w:asciiTheme="majorHAnsi" w:hAnsiTheme="majorHAnsi" w:cstheme="majorHAnsi"/>
        </w:rPr>
        <w:t xml:space="preserve">: 6 FGDs with Regional Office </w:t>
      </w:r>
      <w:r w:rsidRPr="00077665">
        <w:rPr>
          <w:rFonts w:asciiTheme="majorHAnsi" w:hAnsiTheme="majorHAnsi" w:cstheme="majorHAnsi"/>
          <w:color w:val="000000" w:themeColor="text1"/>
        </w:rPr>
        <w:t xml:space="preserve">personnel; 6 FGDs with Division Office personnel; 6 FGDs with </w:t>
      </w:r>
      <w:r>
        <w:rPr>
          <w:rFonts w:asciiTheme="majorHAnsi" w:hAnsiTheme="majorHAnsi" w:cstheme="majorHAnsi"/>
          <w:color w:val="000000" w:themeColor="text1"/>
        </w:rPr>
        <w:t>principal</w:t>
      </w:r>
      <w:r w:rsidRPr="00077665">
        <w:rPr>
          <w:rFonts w:asciiTheme="majorHAnsi" w:hAnsiTheme="majorHAnsi" w:cstheme="majorHAnsi"/>
          <w:color w:val="000000" w:themeColor="text1"/>
        </w:rPr>
        <w:t xml:space="preserve">s from direct recipient schools; 6 FGDs with </w:t>
      </w:r>
      <w:r>
        <w:rPr>
          <w:rFonts w:asciiTheme="majorHAnsi" w:hAnsiTheme="majorHAnsi" w:cstheme="majorHAnsi"/>
          <w:color w:val="000000" w:themeColor="text1"/>
        </w:rPr>
        <w:t>principal</w:t>
      </w:r>
      <w:r w:rsidRPr="00077665">
        <w:rPr>
          <w:rFonts w:asciiTheme="majorHAnsi" w:hAnsiTheme="majorHAnsi" w:cstheme="majorHAnsi"/>
          <w:color w:val="000000" w:themeColor="text1"/>
        </w:rPr>
        <w:t xml:space="preserve">s from indirect recipient schools; 10 FGDs with </w:t>
      </w:r>
      <w:r>
        <w:rPr>
          <w:rFonts w:asciiTheme="majorHAnsi" w:hAnsiTheme="majorHAnsi" w:cstheme="majorHAnsi"/>
          <w:color w:val="000000" w:themeColor="text1"/>
        </w:rPr>
        <w:t>teacher</w:t>
      </w:r>
      <w:r w:rsidRPr="00077665">
        <w:rPr>
          <w:rFonts w:asciiTheme="majorHAnsi" w:hAnsiTheme="majorHAnsi" w:cstheme="majorHAnsi"/>
          <w:color w:val="000000" w:themeColor="text1"/>
        </w:rPr>
        <w:t xml:space="preserve">s from direct recipient schools; and 6 FGDs with </w:t>
      </w:r>
      <w:r>
        <w:rPr>
          <w:rFonts w:asciiTheme="majorHAnsi" w:hAnsiTheme="majorHAnsi" w:cstheme="majorHAnsi"/>
          <w:color w:val="000000" w:themeColor="text1"/>
        </w:rPr>
        <w:t>teacher</w:t>
      </w:r>
      <w:r w:rsidRPr="00077665">
        <w:rPr>
          <w:rFonts w:asciiTheme="majorHAnsi" w:hAnsiTheme="majorHAnsi" w:cstheme="majorHAnsi"/>
          <w:color w:val="000000" w:themeColor="text1"/>
        </w:rPr>
        <w:t xml:space="preserve">s from indirect recipient schools. </w:t>
      </w:r>
      <w:r>
        <w:rPr>
          <w:rFonts w:asciiTheme="majorHAnsi" w:hAnsiTheme="majorHAnsi" w:cstheme="majorHAnsi"/>
          <w:color w:val="000000" w:themeColor="text1"/>
        </w:rPr>
        <w:t xml:space="preserve">There were 60 schools (out of 106 or 56.6 per cent) that </w:t>
      </w:r>
      <w:r w:rsidRPr="004054A9">
        <w:rPr>
          <w:rFonts w:asciiTheme="majorHAnsi" w:hAnsiTheme="majorHAnsi" w:cstheme="majorHAnsi"/>
          <w:color w:val="000000" w:themeColor="text1"/>
        </w:rPr>
        <w:t>participated in the FGDs. See Annex K. List of FGD Respondents and Annex L. FGD Guide Questions.</w:t>
      </w:r>
      <w:bookmarkStart w:id="59" w:name="_Toc11229188"/>
      <w:bookmarkEnd w:id="58"/>
    </w:p>
    <w:p w14:paraId="5B1708FB" w14:textId="1EA39756" w:rsidR="008D0CAD" w:rsidRPr="004054A9" w:rsidRDefault="008D0CAD" w:rsidP="000479A3">
      <w:pPr>
        <w:spacing w:before="100" w:beforeAutospacing="1" w:after="100" w:afterAutospacing="1" w:line="360" w:lineRule="auto"/>
        <w:rPr>
          <w:rFonts w:asciiTheme="majorHAnsi" w:hAnsiTheme="majorHAnsi" w:cstheme="majorHAnsi"/>
          <w:color w:val="000000" w:themeColor="text1"/>
        </w:rPr>
      </w:pPr>
      <w:r w:rsidRPr="004054A9">
        <w:rPr>
          <w:rFonts w:asciiTheme="majorHAnsi" w:hAnsiTheme="majorHAnsi" w:cstheme="majorHAnsi"/>
          <w:color w:val="000000" w:themeColor="text1"/>
        </w:rPr>
        <w:t xml:space="preserve">In addition, 32 principals and 126 teachers accomplished the Knowledge-Access-Usefulness (KAU) Survey, which listed the different outputs of the BEST Program (see Annex M. 2019 KAU Survey Tool for </w:t>
      </w:r>
      <w:r>
        <w:rPr>
          <w:rFonts w:asciiTheme="majorHAnsi" w:hAnsiTheme="majorHAnsi" w:cstheme="majorHAnsi"/>
          <w:color w:val="000000" w:themeColor="text1"/>
        </w:rPr>
        <w:t>principals</w:t>
      </w:r>
      <w:r w:rsidRPr="004054A9">
        <w:rPr>
          <w:rFonts w:asciiTheme="majorHAnsi" w:hAnsiTheme="majorHAnsi" w:cstheme="majorHAnsi"/>
          <w:color w:val="000000" w:themeColor="text1"/>
        </w:rPr>
        <w:t xml:space="preserve"> (Annex M-1) and for teachers (Annex M-2).</w:t>
      </w:r>
      <w:bookmarkEnd w:id="59"/>
      <w:r w:rsidR="00D434EB">
        <w:rPr>
          <w:rFonts w:asciiTheme="majorHAnsi" w:hAnsiTheme="majorHAnsi" w:cstheme="majorHAnsi"/>
          <w:color w:val="000000" w:themeColor="text1"/>
        </w:rPr>
        <w:t xml:space="preserve"> </w:t>
      </w:r>
      <w:r w:rsidRPr="004054A9">
        <w:rPr>
          <w:rFonts w:asciiTheme="majorHAnsi" w:hAnsiTheme="majorHAnsi" w:cstheme="majorHAnsi"/>
          <w:color w:val="000000" w:themeColor="text1"/>
        </w:rPr>
        <w:t xml:space="preserve">For the Survey of the Perceptions of </w:t>
      </w:r>
      <w:r>
        <w:rPr>
          <w:rFonts w:asciiTheme="majorHAnsi" w:hAnsiTheme="majorHAnsi" w:cstheme="majorHAnsi"/>
          <w:color w:val="000000" w:themeColor="text1"/>
        </w:rPr>
        <w:t>principals</w:t>
      </w:r>
      <w:r w:rsidRPr="004054A9">
        <w:rPr>
          <w:rFonts w:asciiTheme="majorHAnsi" w:hAnsiTheme="majorHAnsi" w:cstheme="majorHAnsi"/>
          <w:color w:val="000000" w:themeColor="text1"/>
        </w:rPr>
        <w:t xml:space="preserve"> and teachers on the different Program Interventions, 39 principals (59</w:t>
      </w:r>
      <w:r>
        <w:rPr>
          <w:rFonts w:asciiTheme="majorHAnsi" w:hAnsiTheme="majorHAnsi" w:cstheme="majorHAnsi"/>
          <w:color w:val="000000" w:themeColor="text1"/>
        </w:rPr>
        <w:t xml:space="preserve"> per cent</w:t>
      </w:r>
      <w:r w:rsidRPr="004054A9">
        <w:rPr>
          <w:rFonts w:asciiTheme="majorHAnsi" w:hAnsiTheme="majorHAnsi" w:cstheme="majorHAnsi"/>
          <w:color w:val="000000" w:themeColor="text1"/>
        </w:rPr>
        <w:t xml:space="preserve"> female) and 193 teachers responded (81</w:t>
      </w:r>
      <w:r>
        <w:rPr>
          <w:rFonts w:asciiTheme="majorHAnsi" w:hAnsiTheme="majorHAnsi" w:cstheme="majorHAnsi"/>
          <w:color w:val="000000" w:themeColor="text1"/>
        </w:rPr>
        <w:t xml:space="preserve"> per cent</w:t>
      </w:r>
      <w:r w:rsidRPr="004054A9">
        <w:rPr>
          <w:rFonts w:asciiTheme="majorHAnsi" w:hAnsiTheme="majorHAnsi" w:cstheme="majorHAnsi"/>
          <w:color w:val="000000" w:themeColor="text1"/>
        </w:rPr>
        <w:t xml:space="preserve"> female).</w:t>
      </w:r>
      <w:bookmarkStart w:id="60" w:name="_Toc11229189"/>
      <w:r w:rsidR="00D434EB">
        <w:rPr>
          <w:rFonts w:asciiTheme="majorHAnsi" w:hAnsiTheme="majorHAnsi" w:cstheme="majorHAnsi"/>
          <w:color w:val="000000" w:themeColor="text1"/>
        </w:rPr>
        <w:t xml:space="preserve"> </w:t>
      </w:r>
      <w:r w:rsidRPr="004054A9">
        <w:rPr>
          <w:rFonts w:asciiTheme="majorHAnsi" w:hAnsiTheme="majorHAnsi" w:cstheme="majorHAnsi"/>
          <w:color w:val="000000" w:themeColor="text1"/>
        </w:rPr>
        <w:t xml:space="preserve">See Annex N-1. 2019 Survey of </w:t>
      </w:r>
      <w:r>
        <w:rPr>
          <w:rFonts w:asciiTheme="majorHAnsi" w:hAnsiTheme="majorHAnsi" w:cstheme="majorHAnsi"/>
          <w:color w:val="000000" w:themeColor="text1"/>
        </w:rPr>
        <w:t>principals</w:t>
      </w:r>
      <w:r w:rsidRPr="004054A9">
        <w:rPr>
          <w:rFonts w:asciiTheme="majorHAnsi" w:hAnsiTheme="majorHAnsi" w:cstheme="majorHAnsi"/>
          <w:color w:val="000000" w:themeColor="text1"/>
        </w:rPr>
        <w:t xml:space="preserve"> and Annex N-2 2019 Survey of </w:t>
      </w:r>
      <w:r>
        <w:rPr>
          <w:rFonts w:asciiTheme="majorHAnsi" w:hAnsiTheme="majorHAnsi" w:cstheme="majorHAnsi"/>
          <w:color w:val="000000" w:themeColor="text1"/>
        </w:rPr>
        <w:t>Principals</w:t>
      </w:r>
      <w:r w:rsidRPr="004054A9">
        <w:rPr>
          <w:rFonts w:asciiTheme="majorHAnsi" w:hAnsiTheme="majorHAnsi" w:cstheme="majorHAnsi"/>
          <w:color w:val="000000" w:themeColor="text1"/>
        </w:rPr>
        <w:t>.</w:t>
      </w:r>
      <w:bookmarkEnd w:id="60"/>
      <w:r w:rsidR="00D434EB">
        <w:rPr>
          <w:rFonts w:asciiTheme="majorHAnsi" w:hAnsiTheme="majorHAnsi" w:cstheme="majorHAnsi"/>
          <w:color w:val="000000" w:themeColor="text1"/>
        </w:rPr>
        <w:t xml:space="preserve"> </w:t>
      </w:r>
    </w:p>
    <w:p w14:paraId="1DC05FA0" w14:textId="77777777" w:rsidR="008D0CAD" w:rsidRPr="00B07D16" w:rsidRDefault="008D0CAD" w:rsidP="000479A3">
      <w:pPr>
        <w:spacing w:before="100" w:beforeAutospacing="1" w:after="100" w:afterAutospacing="1" w:line="360" w:lineRule="auto"/>
        <w:rPr>
          <w:rFonts w:asciiTheme="majorHAnsi" w:hAnsiTheme="majorHAnsi" w:cstheme="majorHAnsi"/>
          <w:bCs/>
          <w:color w:val="000000" w:themeColor="text1"/>
        </w:rPr>
      </w:pPr>
      <w:r w:rsidRPr="004054A9">
        <w:rPr>
          <w:rFonts w:asciiTheme="majorHAnsi" w:hAnsiTheme="majorHAnsi" w:cstheme="majorHAnsi"/>
          <w:color w:val="000000" w:themeColor="text1"/>
        </w:rPr>
        <w:t>Data collected on the COTs, complemented by TEACH tool, was used to measure teaching practice as a variable affecting learners’ outcome. The EOPE Study conducted 69 classroom observations using the TEACH Tool</w:t>
      </w:r>
      <w:r w:rsidRPr="004054A9">
        <w:rPr>
          <w:rStyle w:val="FootnoteReference"/>
          <w:rFonts w:asciiTheme="majorHAnsi" w:eastAsia="Arial Unicode MS" w:hAnsiTheme="majorHAnsi" w:cstheme="majorHAnsi"/>
          <w:color w:val="000000" w:themeColor="text1"/>
        </w:rPr>
        <w:footnoteReference w:id="15"/>
      </w:r>
      <w:r w:rsidRPr="004054A9">
        <w:rPr>
          <w:rFonts w:asciiTheme="majorHAnsi" w:hAnsiTheme="majorHAnsi" w:cstheme="majorHAnsi"/>
          <w:color w:val="000000" w:themeColor="text1"/>
        </w:rPr>
        <w:t xml:space="preserve">; and 18 classroom observations on the process of the use of the Classroom Observation Tool (COT) in direct recipient schools. Previous COTs were also collected from the 18 schools where the COT process was observed. </w:t>
      </w:r>
      <w:r w:rsidRPr="00B07D16">
        <w:rPr>
          <w:rFonts w:asciiTheme="majorHAnsi" w:hAnsiTheme="majorHAnsi" w:cstheme="majorHAnsi"/>
          <w:bCs/>
          <w:color w:val="000000" w:themeColor="text1"/>
        </w:rPr>
        <w:t>The classroom observation tools can be found in the PPST Study, which is an accompanying document of the Main EOPE Study Report.</w:t>
      </w:r>
    </w:p>
    <w:p w14:paraId="782139D0" w14:textId="0B862453" w:rsidR="008D0CAD" w:rsidRPr="004054A9" w:rsidRDefault="008D0CAD" w:rsidP="000479A3">
      <w:pPr>
        <w:spacing w:before="100" w:beforeAutospacing="1" w:after="100" w:afterAutospacing="1" w:line="360" w:lineRule="auto"/>
        <w:rPr>
          <w:rFonts w:asciiTheme="majorHAnsi" w:hAnsiTheme="majorHAnsi" w:cstheme="majorHAnsi"/>
          <w:color w:val="000000" w:themeColor="text1"/>
        </w:rPr>
      </w:pPr>
      <w:r w:rsidRPr="004054A9">
        <w:rPr>
          <w:rFonts w:asciiTheme="majorHAnsi" w:hAnsiTheme="majorHAnsi" w:cstheme="majorHAnsi"/>
          <w:b/>
          <w:bCs/>
          <w:color w:val="000000" w:themeColor="text1"/>
        </w:rPr>
        <w:t>Follow-up Study</w:t>
      </w:r>
      <w:r w:rsidRPr="004054A9">
        <w:rPr>
          <w:rFonts w:asciiTheme="majorHAnsi" w:hAnsiTheme="majorHAnsi" w:cstheme="majorHAnsi"/>
          <w:color w:val="000000" w:themeColor="text1"/>
        </w:rPr>
        <w:t xml:space="preserve">. </w:t>
      </w:r>
      <w:r w:rsidRPr="004054A9">
        <w:rPr>
          <w:rFonts w:asciiTheme="majorHAnsi" w:hAnsiTheme="majorHAnsi" w:cstheme="majorHAnsi"/>
          <w:color w:val="000000" w:themeColor="text1"/>
          <w:spacing w:val="-1"/>
        </w:rPr>
        <w:t>All the 12 elementary schools participated. However, only</w:t>
      </w:r>
      <w:r w:rsidRPr="004054A9">
        <w:rPr>
          <w:rFonts w:asciiTheme="majorHAnsi" w:hAnsiTheme="majorHAnsi" w:cstheme="majorHAnsi"/>
          <w:color w:val="000000" w:themeColor="text1"/>
        </w:rPr>
        <w:t xml:space="preserve"> 10 </w:t>
      </w:r>
      <w:r>
        <w:rPr>
          <w:rFonts w:asciiTheme="majorHAnsi" w:hAnsiTheme="majorHAnsi" w:cstheme="majorHAnsi"/>
          <w:color w:val="000000" w:themeColor="text1"/>
        </w:rPr>
        <w:t>school principals</w:t>
      </w:r>
      <w:r w:rsidRPr="004054A9">
        <w:rPr>
          <w:rFonts w:asciiTheme="majorHAnsi" w:hAnsiTheme="majorHAnsi" w:cstheme="majorHAnsi"/>
          <w:color w:val="000000" w:themeColor="text1"/>
          <w:spacing w:val="-1"/>
        </w:rPr>
        <w:t xml:space="preserve"> were </w:t>
      </w:r>
      <w:r w:rsidRPr="004054A9">
        <w:rPr>
          <w:rFonts w:asciiTheme="majorHAnsi" w:hAnsiTheme="majorHAnsi" w:cstheme="majorHAnsi"/>
          <w:color w:val="000000" w:themeColor="text1"/>
        </w:rPr>
        <w:t>interviewed</w:t>
      </w:r>
      <w:r>
        <w:rPr>
          <w:rFonts w:asciiTheme="majorHAnsi" w:hAnsiTheme="majorHAnsi" w:cstheme="majorHAnsi"/>
          <w:color w:val="000000" w:themeColor="text1"/>
        </w:rPr>
        <w:t>. In</w:t>
      </w:r>
      <w:r w:rsidRPr="004054A9">
        <w:rPr>
          <w:rFonts w:asciiTheme="majorHAnsi" w:hAnsiTheme="majorHAnsi" w:cstheme="majorHAnsi"/>
          <w:color w:val="000000" w:themeColor="text1"/>
          <w:spacing w:val="-1"/>
        </w:rPr>
        <w:t xml:space="preserve"> one school, a Master Teacher (MT) </w:t>
      </w:r>
      <w:r>
        <w:rPr>
          <w:rFonts w:asciiTheme="majorHAnsi" w:hAnsiTheme="majorHAnsi" w:cstheme="majorHAnsi"/>
          <w:color w:val="000000" w:themeColor="text1"/>
          <w:spacing w:val="-1"/>
        </w:rPr>
        <w:t>participated alongside</w:t>
      </w:r>
      <w:r w:rsidRPr="004054A9">
        <w:rPr>
          <w:rFonts w:asciiTheme="majorHAnsi" w:hAnsiTheme="majorHAnsi" w:cstheme="majorHAnsi"/>
          <w:color w:val="000000" w:themeColor="text1"/>
          <w:spacing w:val="-1"/>
        </w:rPr>
        <w:t xml:space="preserve"> the new </w:t>
      </w:r>
      <w:r>
        <w:rPr>
          <w:rFonts w:asciiTheme="majorHAnsi" w:hAnsiTheme="majorHAnsi" w:cstheme="majorHAnsi"/>
          <w:color w:val="000000" w:themeColor="text1"/>
          <w:spacing w:val="-1"/>
        </w:rPr>
        <w:t>p</w:t>
      </w:r>
      <w:r w:rsidRPr="004054A9">
        <w:rPr>
          <w:rFonts w:asciiTheme="majorHAnsi" w:hAnsiTheme="majorHAnsi" w:cstheme="majorHAnsi"/>
          <w:color w:val="000000" w:themeColor="text1"/>
          <w:spacing w:val="-1"/>
        </w:rPr>
        <w:t xml:space="preserve">rincipal </w:t>
      </w:r>
      <w:r>
        <w:rPr>
          <w:rFonts w:asciiTheme="majorHAnsi" w:hAnsiTheme="majorHAnsi" w:cstheme="majorHAnsi"/>
          <w:color w:val="000000" w:themeColor="text1"/>
          <w:spacing w:val="-1"/>
        </w:rPr>
        <w:t xml:space="preserve">of the school </w:t>
      </w:r>
      <w:r w:rsidRPr="004054A9">
        <w:rPr>
          <w:rFonts w:asciiTheme="majorHAnsi" w:hAnsiTheme="majorHAnsi" w:cstheme="majorHAnsi"/>
          <w:color w:val="000000" w:themeColor="text1"/>
          <w:spacing w:val="-1"/>
        </w:rPr>
        <w:t xml:space="preserve">thus </w:t>
      </w:r>
      <w:r>
        <w:rPr>
          <w:rFonts w:asciiTheme="majorHAnsi" w:hAnsiTheme="majorHAnsi" w:cstheme="majorHAnsi"/>
          <w:color w:val="000000" w:themeColor="text1"/>
          <w:spacing w:val="-1"/>
        </w:rPr>
        <w:t>bringing</w:t>
      </w:r>
      <w:r w:rsidRPr="004054A9">
        <w:rPr>
          <w:rFonts w:asciiTheme="majorHAnsi" w:hAnsiTheme="majorHAnsi" w:cstheme="majorHAnsi"/>
          <w:color w:val="000000" w:themeColor="text1"/>
          <w:spacing w:val="-1"/>
        </w:rPr>
        <w:t xml:space="preserve"> total KII respondents to 11.</w:t>
      </w:r>
      <w:r w:rsidR="00D434EB">
        <w:rPr>
          <w:rFonts w:asciiTheme="majorHAnsi" w:hAnsiTheme="majorHAnsi" w:cstheme="majorHAnsi"/>
          <w:color w:val="000000" w:themeColor="text1"/>
          <w:spacing w:val="-1"/>
        </w:rPr>
        <w:t xml:space="preserve"> </w:t>
      </w:r>
      <w:r w:rsidRPr="004054A9">
        <w:rPr>
          <w:rFonts w:asciiTheme="majorHAnsi" w:hAnsiTheme="majorHAnsi" w:cstheme="majorHAnsi"/>
          <w:color w:val="000000" w:themeColor="text1"/>
          <w:spacing w:val="-1"/>
        </w:rPr>
        <w:t>A total of 69 teachers participated in the school FGDs.</w:t>
      </w:r>
      <w:r w:rsidR="00D434EB">
        <w:rPr>
          <w:rFonts w:asciiTheme="majorHAnsi" w:hAnsiTheme="majorHAnsi" w:cstheme="majorHAnsi"/>
          <w:color w:val="000000" w:themeColor="text1"/>
          <w:spacing w:val="-1"/>
        </w:rPr>
        <w:t xml:space="preserve"> </w:t>
      </w:r>
      <w:r w:rsidRPr="004054A9">
        <w:rPr>
          <w:rFonts w:asciiTheme="majorHAnsi" w:hAnsiTheme="majorHAnsi" w:cstheme="majorHAnsi"/>
          <w:color w:val="000000" w:themeColor="text1"/>
          <w:spacing w:val="-1"/>
        </w:rPr>
        <w:t xml:space="preserve">All these respondents also answered the </w:t>
      </w:r>
      <w:r w:rsidRPr="004054A9">
        <w:rPr>
          <w:rFonts w:asciiTheme="majorHAnsi" w:hAnsiTheme="majorHAnsi" w:cstheme="majorHAnsi"/>
          <w:color w:val="000000" w:themeColor="text1"/>
        </w:rPr>
        <w:t>Survey on the Perceptions on the Program Interventions</w:t>
      </w:r>
      <w:r w:rsidRPr="004054A9">
        <w:rPr>
          <w:rFonts w:asciiTheme="majorHAnsi" w:hAnsiTheme="majorHAnsi" w:cstheme="majorHAnsi"/>
          <w:color w:val="000000" w:themeColor="text1"/>
          <w:spacing w:val="-1"/>
        </w:rPr>
        <w:t xml:space="preserve"> (see Annex O. 2020 Survey of </w:t>
      </w:r>
      <w:r>
        <w:rPr>
          <w:rFonts w:asciiTheme="majorHAnsi" w:hAnsiTheme="majorHAnsi" w:cstheme="majorHAnsi"/>
          <w:color w:val="000000" w:themeColor="text1"/>
          <w:spacing w:val="-1"/>
        </w:rPr>
        <w:t>Principals</w:t>
      </w:r>
      <w:r w:rsidRPr="004054A9">
        <w:rPr>
          <w:rFonts w:asciiTheme="majorHAnsi" w:hAnsiTheme="majorHAnsi" w:cstheme="majorHAnsi"/>
          <w:color w:val="000000" w:themeColor="text1"/>
          <w:spacing w:val="-1"/>
        </w:rPr>
        <w:t xml:space="preserve"> and </w:t>
      </w:r>
      <w:r>
        <w:rPr>
          <w:rFonts w:asciiTheme="majorHAnsi" w:hAnsiTheme="majorHAnsi" w:cstheme="majorHAnsi"/>
          <w:color w:val="000000" w:themeColor="text1"/>
          <w:spacing w:val="-1"/>
        </w:rPr>
        <w:t>T</w:t>
      </w:r>
      <w:r w:rsidRPr="004054A9">
        <w:rPr>
          <w:rFonts w:asciiTheme="majorHAnsi" w:hAnsiTheme="majorHAnsi" w:cstheme="majorHAnsi"/>
          <w:color w:val="000000" w:themeColor="text1"/>
          <w:spacing w:val="-1"/>
        </w:rPr>
        <w:t>eachers).</w:t>
      </w:r>
      <w:r w:rsidR="00D434EB">
        <w:rPr>
          <w:rFonts w:asciiTheme="majorHAnsi" w:hAnsiTheme="majorHAnsi" w:cstheme="majorHAnsi"/>
          <w:color w:val="000000" w:themeColor="text1"/>
          <w:spacing w:val="-1"/>
        </w:rPr>
        <w:t xml:space="preserve"> </w:t>
      </w:r>
      <w:r w:rsidRPr="004054A9">
        <w:rPr>
          <w:rFonts w:asciiTheme="majorHAnsi" w:hAnsiTheme="majorHAnsi" w:cstheme="majorHAnsi"/>
          <w:color w:val="000000" w:themeColor="text1"/>
          <w:spacing w:val="-1"/>
        </w:rPr>
        <w:t>However, only 61 teachers answered the 2020 Knowledge-Access-Usefulness (KAU) Survey (see Annex P. 2020 KAU Survey)</w:t>
      </w:r>
      <w:r w:rsidRPr="004054A9">
        <w:rPr>
          <w:rFonts w:asciiTheme="majorHAnsi" w:hAnsiTheme="majorHAnsi" w:cstheme="majorHAnsi"/>
          <w:color w:val="000000" w:themeColor="text1"/>
        </w:rPr>
        <w:t>.</w:t>
      </w:r>
      <w:r w:rsidR="00D434EB">
        <w:rPr>
          <w:rFonts w:asciiTheme="majorHAnsi" w:hAnsiTheme="majorHAnsi" w:cstheme="majorHAnsi"/>
          <w:color w:val="000000" w:themeColor="text1"/>
        </w:rPr>
        <w:t xml:space="preserve"> </w:t>
      </w:r>
      <w:r w:rsidRPr="004054A9">
        <w:rPr>
          <w:rFonts w:asciiTheme="majorHAnsi" w:hAnsiTheme="majorHAnsi" w:cstheme="majorHAnsi"/>
          <w:color w:val="000000" w:themeColor="text1"/>
        </w:rPr>
        <w:t xml:space="preserve"> </w:t>
      </w:r>
    </w:p>
    <w:p w14:paraId="2DB3E5B6" w14:textId="5F5895CB" w:rsidR="008D0CAD" w:rsidRPr="00C01827" w:rsidRDefault="008D0CAD" w:rsidP="00F4751F">
      <w:pPr>
        <w:pStyle w:val="Heading3"/>
        <w:numPr>
          <w:ilvl w:val="1"/>
          <w:numId w:val="161"/>
        </w:numPr>
        <w:tabs>
          <w:tab w:val="left" w:pos="6379"/>
        </w:tabs>
        <w:spacing w:before="100" w:beforeAutospacing="1" w:after="100" w:afterAutospacing="1" w:line="360" w:lineRule="auto"/>
      </w:pPr>
      <w:bookmarkStart w:id="61" w:name="_Toc10722982"/>
      <w:bookmarkStart w:id="62" w:name="_Toc12711984"/>
      <w:bookmarkStart w:id="63" w:name="_Toc13216265"/>
      <w:bookmarkStart w:id="64" w:name="_Toc69820437"/>
      <w:r>
        <w:t xml:space="preserve">Study </w:t>
      </w:r>
      <w:r w:rsidRPr="00B810F6">
        <w:t>Limitations</w:t>
      </w:r>
      <w:bookmarkEnd w:id="61"/>
      <w:bookmarkEnd w:id="62"/>
      <w:bookmarkEnd w:id="63"/>
      <w:bookmarkEnd w:id="64"/>
    </w:p>
    <w:p w14:paraId="6980486A" w14:textId="342C4438" w:rsidR="008D0CAD" w:rsidRPr="004054A9" w:rsidRDefault="008D0CAD" w:rsidP="000479A3">
      <w:pPr>
        <w:pStyle w:val="NormalWeb"/>
        <w:spacing w:line="360" w:lineRule="auto"/>
        <w:rPr>
          <w:rFonts w:asciiTheme="majorHAnsi" w:hAnsiTheme="majorHAnsi" w:cstheme="majorHAnsi"/>
          <w:color w:val="000000" w:themeColor="text1"/>
        </w:rPr>
      </w:pPr>
      <w:r w:rsidRPr="004054A9">
        <w:rPr>
          <w:rFonts w:asciiTheme="majorHAnsi" w:hAnsiTheme="majorHAnsi" w:cstheme="majorHAnsi"/>
          <w:b/>
          <w:bCs/>
          <w:color w:val="000000" w:themeColor="text1"/>
        </w:rPr>
        <w:t>EOPE Study</w:t>
      </w:r>
      <w:r w:rsidRPr="004054A9">
        <w:rPr>
          <w:rFonts w:asciiTheme="majorHAnsi" w:hAnsiTheme="majorHAnsi" w:cstheme="majorHAnsi"/>
          <w:color w:val="000000" w:themeColor="text1"/>
        </w:rPr>
        <w:t>.</w:t>
      </w:r>
      <w:r w:rsidR="00D434EB">
        <w:rPr>
          <w:rFonts w:asciiTheme="majorHAnsi" w:hAnsiTheme="majorHAnsi" w:cstheme="majorHAnsi"/>
          <w:color w:val="000000" w:themeColor="text1"/>
        </w:rPr>
        <w:t xml:space="preserve"> </w:t>
      </w:r>
      <w:r w:rsidRPr="004054A9">
        <w:rPr>
          <w:rFonts w:asciiTheme="majorHAnsi" w:hAnsiTheme="majorHAnsi" w:cstheme="majorHAnsi"/>
          <w:color w:val="000000" w:themeColor="text1"/>
        </w:rPr>
        <w:t xml:space="preserve">At the very beginning of the EOPE Study, </w:t>
      </w:r>
      <w:r>
        <w:rPr>
          <w:rFonts w:asciiTheme="majorHAnsi" w:hAnsiTheme="majorHAnsi" w:cstheme="majorHAnsi"/>
          <w:color w:val="000000" w:themeColor="text1"/>
        </w:rPr>
        <w:t>the study team raised a number of</w:t>
      </w:r>
      <w:r w:rsidRPr="004054A9">
        <w:rPr>
          <w:rFonts w:asciiTheme="majorHAnsi" w:hAnsiTheme="majorHAnsi" w:cstheme="majorHAnsi"/>
          <w:color w:val="000000" w:themeColor="text1"/>
        </w:rPr>
        <w:t xml:space="preserve"> constraints</w:t>
      </w:r>
      <w:r>
        <w:rPr>
          <w:rFonts w:asciiTheme="majorHAnsi" w:hAnsiTheme="majorHAnsi" w:cstheme="majorHAnsi"/>
          <w:color w:val="000000" w:themeColor="text1"/>
        </w:rPr>
        <w:t>,</w:t>
      </w:r>
      <w:r w:rsidRPr="004054A9">
        <w:rPr>
          <w:rFonts w:asciiTheme="majorHAnsi" w:hAnsiTheme="majorHAnsi" w:cstheme="majorHAnsi"/>
          <w:color w:val="000000" w:themeColor="text1"/>
        </w:rPr>
        <w:t xml:space="preserve"> namely that it was too early to assess program/learning outcomes (considering that the Program was still rushing to complete many activities) and the timing of data gathering activities (considering that it was almost end of school year). These concerns were communicated to the BEST Program Team and options were suggested. However, the Study Team was given the approval to proceed and exert best efforts. To provide appropriate context, these challenges are discussed in detail in Annex Q. </w:t>
      </w:r>
      <w:r>
        <w:rPr>
          <w:rFonts w:asciiTheme="majorHAnsi" w:hAnsiTheme="majorHAnsi" w:cstheme="majorHAnsi"/>
          <w:color w:val="000000" w:themeColor="text1"/>
        </w:rPr>
        <w:t xml:space="preserve">on </w:t>
      </w:r>
      <w:r w:rsidRPr="004054A9">
        <w:rPr>
          <w:rFonts w:asciiTheme="majorHAnsi" w:hAnsiTheme="majorHAnsi" w:cstheme="majorHAnsi"/>
          <w:color w:val="000000" w:themeColor="text1"/>
        </w:rPr>
        <w:t>Challenges in obtaining school-level data.</w:t>
      </w:r>
    </w:p>
    <w:p w14:paraId="7966E76A" w14:textId="2141D770" w:rsidR="008D0CAD" w:rsidRPr="00E56B13" w:rsidRDefault="008D0CAD" w:rsidP="000479A3">
      <w:pPr>
        <w:pStyle w:val="NormalWeb"/>
        <w:spacing w:line="360" w:lineRule="auto"/>
        <w:rPr>
          <w:rFonts w:asciiTheme="majorHAnsi" w:hAnsiTheme="majorHAnsi" w:cstheme="majorHAnsi"/>
          <w:color w:val="000000" w:themeColor="text1"/>
        </w:rPr>
      </w:pPr>
      <w:r>
        <w:rPr>
          <w:rFonts w:asciiTheme="majorHAnsi" w:hAnsiTheme="majorHAnsi" w:cstheme="majorHAnsi"/>
          <w:b/>
          <w:bCs/>
        </w:rPr>
        <w:t>Follow-up</w:t>
      </w:r>
      <w:r w:rsidRPr="00D22A07">
        <w:rPr>
          <w:rFonts w:asciiTheme="majorHAnsi" w:hAnsiTheme="majorHAnsi" w:cstheme="majorHAnsi"/>
          <w:b/>
          <w:bCs/>
        </w:rPr>
        <w:t xml:space="preserve"> </w:t>
      </w:r>
      <w:r w:rsidRPr="00F863C5">
        <w:rPr>
          <w:rFonts w:asciiTheme="majorHAnsi" w:hAnsiTheme="majorHAnsi" w:cstheme="majorHAnsi"/>
          <w:b/>
          <w:bCs/>
          <w:color w:val="000000" w:themeColor="text1"/>
        </w:rPr>
        <w:t>Study</w:t>
      </w:r>
      <w:r w:rsidRPr="00E56B13">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The only constraint experienced by the </w:t>
      </w:r>
      <w:r w:rsidRPr="00CD3F47">
        <w:rPr>
          <w:rFonts w:asciiTheme="majorHAnsi" w:hAnsiTheme="majorHAnsi" w:cstheme="majorHAnsi"/>
        </w:rPr>
        <w:t>Follow-up</w:t>
      </w:r>
      <w:r w:rsidRPr="00D22A07">
        <w:rPr>
          <w:rFonts w:asciiTheme="majorHAnsi" w:hAnsiTheme="majorHAnsi" w:cstheme="majorHAnsi"/>
          <w:b/>
          <w:bCs/>
        </w:rPr>
        <w:t xml:space="preserve"> </w:t>
      </w:r>
      <w:r>
        <w:rPr>
          <w:rFonts w:asciiTheme="majorHAnsi" w:hAnsiTheme="majorHAnsi" w:cstheme="majorHAnsi"/>
          <w:color w:val="000000" w:themeColor="text1"/>
        </w:rPr>
        <w:t>Study was the very tight schedule allocated for the field data gathering, due to an internal requirement of the funder.</w:t>
      </w:r>
      <w:r w:rsidR="00D434EB">
        <w:rPr>
          <w:rFonts w:asciiTheme="majorHAnsi" w:hAnsiTheme="majorHAnsi" w:cstheme="majorHAnsi"/>
          <w:color w:val="000000" w:themeColor="text1"/>
        </w:rPr>
        <w:t xml:space="preserve"> </w:t>
      </w:r>
    </w:p>
    <w:p w14:paraId="62E18158" w14:textId="77777777" w:rsidR="008D0CAD" w:rsidRDefault="008D0CAD" w:rsidP="002320B3">
      <w:pPr>
        <w:pStyle w:val="NormalWeb"/>
        <w:spacing w:before="0" w:beforeAutospacing="0" w:after="120" w:afterAutospacing="0"/>
        <w:rPr>
          <w:rFonts w:asciiTheme="majorHAnsi" w:hAnsiTheme="majorHAnsi" w:cstheme="majorHAnsi"/>
          <w:color w:val="C00000"/>
        </w:rPr>
      </w:pPr>
      <w:r>
        <w:rPr>
          <w:rFonts w:asciiTheme="majorHAnsi" w:hAnsiTheme="majorHAnsi" w:cstheme="majorHAnsi"/>
          <w:color w:val="C00000"/>
        </w:rPr>
        <w:t xml:space="preserve"> </w:t>
      </w:r>
    </w:p>
    <w:p w14:paraId="002BF19A" w14:textId="77777777" w:rsidR="008D0CAD" w:rsidRPr="000C77E0" w:rsidRDefault="008D0CAD" w:rsidP="002320B3">
      <w:pPr>
        <w:spacing w:after="240" w:line="276" w:lineRule="auto"/>
        <w:rPr>
          <w:rFonts w:asciiTheme="majorHAnsi" w:hAnsiTheme="majorHAnsi" w:cstheme="majorHAnsi"/>
          <w:color w:val="000000" w:themeColor="text1"/>
        </w:rPr>
        <w:sectPr w:rsidR="008D0CAD" w:rsidRPr="000C77E0" w:rsidSect="009C64E9">
          <w:headerReference w:type="default" r:id="rId21"/>
          <w:pgSz w:w="11900" w:h="16840"/>
          <w:pgMar w:top="1440" w:right="1440" w:bottom="1440" w:left="1440" w:header="720" w:footer="720" w:gutter="0"/>
          <w:cols w:space="720"/>
          <w:docGrid w:linePitch="360"/>
        </w:sectPr>
      </w:pPr>
    </w:p>
    <w:p w14:paraId="30E05240" w14:textId="404FF012" w:rsidR="008D0CAD" w:rsidRPr="007674E2" w:rsidRDefault="008D0CAD" w:rsidP="000479A3">
      <w:pPr>
        <w:pStyle w:val="Heading2"/>
        <w:pageBreakBefore/>
        <w:numPr>
          <w:ilvl w:val="0"/>
          <w:numId w:val="17"/>
        </w:numPr>
        <w:spacing w:before="100" w:beforeAutospacing="1" w:after="100" w:afterAutospacing="1" w:line="360" w:lineRule="auto"/>
        <w:ind w:left="714" w:hanging="357"/>
      </w:pPr>
      <w:bookmarkStart w:id="65" w:name="_Toc69820438"/>
      <w:r>
        <w:t>Study Findings</w:t>
      </w:r>
      <w:bookmarkEnd w:id="65"/>
    </w:p>
    <w:p w14:paraId="28C028A9" w14:textId="0249C08C" w:rsidR="008D0CAD" w:rsidRPr="00516D58" w:rsidRDefault="008D0CAD" w:rsidP="000479A3">
      <w:pPr>
        <w:pStyle w:val="Heading3"/>
        <w:numPr>
          <w:ilvl w:val="1"/>
          <w:numId w:val="17"/>
        </w:numPr>
        <w:spacing w:before="100" w:beforeAutospacing="1" w:after="100" w:afterAutospacing="1" w:line="360" w:lineRule="auto"/>
      </w:pPr>
      <w:bookmarkStart w:id="66" w:name="_Toc69820439"/>
      <w:bookmarkStart w:id="67" w:name="_Toc12711986"/>
      <w:bookmarkStart w:id="68" w:name="_Toc13216267"/>
      <w:r w:rsidRPr="00516D58">
        <w:t>Design of the BEST Program</w:t>
      </w:r>
      <w:bookmarkEnd w:id="66"/>
      <w:r w:rsidRPr="00516D58">
        <w:t xml:space="preserve"> </w:t>
      </w:r>
    </w:p>
    <w:p w14:paraId="6EE4A13A" w14:textId="33A1D658" w:rsidR="008D0CAD" w:rsidRPr="0019799C" w:rsidRDefault="0019799C" w:rsidP="00FF4CA3">
      <w:pPr>
        <w:pStyle w:val="Heading4"/>
      </w:pPr>
      <w:r w:rsidRPr="0019799C">
        <w:t>T</w:t>
      </w:r>
      <w:r w:rsidR="008D0CAD" w:rsidRPr="0019799C">
        <w:t>heory of Change</w:t>
      </w:r>
    </w:p>
    <w:p w14:paraId="540A12FF" w14:textId="75F294EA" w:rsidR="008D0CAD" w:rsidRDefault="008D0CAD" w:rsidP="000479A3">
      <w:pPr>
        <w:pStyle w:val="BodyText"/>
        <w:spacing w:before="100" w:beforeAutospacing="1" w:after="100" w:afterAutospacing="1" w:line="360" w:lineRule="auto"/>
        <w:ind w:right="20"/>
        <w:rPr>
          <w:rFonts w:asciiTheme="majorHAnsi" w:hAnsiTheme="majorHAnsi" w:cstheme="majorHAnsi"/>
          <w:bCs/>
          <w:color w:val="000000" w:themeColor="text1"/>
          <w:sz w:val="24"/>
          <w:szCs w:val="24"/>
        </w:rPr>
      </w:pPr>
      <w:r w:rsidRPr="0060647C">
        <w:rPr>
          <w:rFonts w:asciiTheme="majorHAnsi" w:hAnsiTheme="majorHAnsi" w:cstheme="majorHAnsi"/>
          <w:bCs/>
          <w:color w:val="000000" w:themeColor="text1"/>
          <w:sz w:val="24"/>
          <w:szCs w:val="24"/>
        </w:rPr>
        <w:t xml:space="preserve">The EOPE Study assessed 10 Program interventions </w:t>
      </w:r>
      <w:r>
        <w:rPr>
          <w:rFonts w:asciiTheme="majorHAnsi" w:hAnsiTheme="majorHAnsi" w:cstheme="majorHAnsi"/>
          <w:bCs/>
          <w:color w:val="000000" w:themeColor="text1"/>
          <w:sz w:val="24"/>
          <w:szCs w:val="24"/>
        </w:rPr>
        <w:t xml:space="preserve">of the </w:t>
      </w:r>
      <w:r w:rsidRPr="0060647C">
        <w:rPr>
          <w:rFonts w:asciiTheme="majorHAnsi" w:hAnsiTheme="majorHAnsi" w:cstheme="majorHAnsi"/>
          <w:bCs/>
          <w:color w:val="000000" w:themeColor="text1"/>
          <w:sz w:val="24"/>
          <w:szCs w:val="24"/>
        </w:rPr>
        <w:t xml:space="preserve">BEST </w:t>
      </w:r>
      <w:r>
        <w:rPr>
          <w:rFonts w:asciiTheme="majorHAnsi" w:hAnsiTheme="majorHAnsi" w:cstheme="majorHAnsi"/>
          <w:bCs/>
          <w:color w:val="000000" w:themeColor="text1"/>
          <w:sz w:val="24"/>
          <w:szCs w:val="24"/>
        </w:rPr>
        <w:t xml:space="preserve">Program </w:t>
      </w:r>
      <w:r w:rsidRPr="0060647C">
        <w:rPr>
          <w:rFonts w:asciiTheme="majorHAnsi" w:hAnsiTheme="majorHAnsi" w:cstheme="majorHAnsi"/>
          <w:bCs/>
          <w:color w:val="000000" w:themeColor="text1"/>
          <w:sz w:val="24"/>
          <w:szCs w:val="24"/>
        </w:rPr>
        <w:t xml:space="preserve">to determine the </w:t>
      </w:r>
      <w:r w:rsidRPr="0060647C">
        <w:rPr>
          <w:rFonts w:asciiTheme="majorHAnsi" w:hAnsiTheme="majorHAnsi" w:cstheme="majorHAnsi"/>
          <w:color w:val="000000"/>
          <w:sz w:val="24"/>
          <w:szCs w:val="24"/>
        </w:rPr>
        <w:t>relevance of these interventions to the Philippine education reform context and also to appraise “</w:t>
      </w:r>
      <w:r w:rsidRPr="0060647C">
        <w:rPr>
          <w:rFonts w:asciiTheme="majorHAnsi" w:hAnsiTheme="majorHAnsi" w:cstheme="majorHAnsi"/>
          <w:bCs/>
          <w:i/>
          <w:color w:val="000000"/>
          <w:sz w:val="24"/>
          <w:szCs w:val="24"/>
        </w:rPr>
        <w:t xml:space="preserve">the </w:t>
      </w:r>
      <w:r w:rsidRPr="0060647C">
        <w:rPr>
          <w:rFonts w:asciiTheme="majorHAnsi" w:hAnsiTheme="majorHAnsi" w:cstheme="majorHAnsi"/>
          <w:bCs/>
          <w:i/>
          <w:color w:val="000000" w:themeColor="text1"/>
          <w:sz w:val="24"/>
          <w:szCs w:val="24"/>
        </w:rPr>
        <w:t>efficacy of BEST’s choice of systemic interventions for improving learning</w:t>
      </w:r>
      <w:r w:rsidRPr="003E5F12">
        <w:rPr>
          <w:rFonts w:asciiTheme="majorHAnsi" w:hAnsiTheme="majorHAnsi" w:cstheme="majorHAnsi"/>
          <w:color w:val="000000" w:themeColor="text1"/>
          <w:sz w:val="24"/>
          <w:szCs w:val="24"/>
        </w:rPr>
        <w:t>”</w:t>
      </w:r>
      <w:r w:rsidRPr="0060647C">
        <w:rPr>
          <w:rFonts w:asciiTheme="majorHAnsi" w:hAnsiTheme="majorHAnsi" w:cstheme="majorHAnsi"/>
          <w:b/>
          <w:bCs/>
          <w:color w:val="000000" w:themeColor="text1"/>
          <w:sz w:val="24"/>
          <w:szCs w:val="24"/>
        </w:rPr>
        <w:t xml:space="preserve"> </w:t>
      </w:r>
      <w:r w:rsidRPr="0060647C">
        <w:rPr>
          <w:rFonts w:asciiTheme="majorHAnsi" w:hAnsiTheme="majorHAnsi" w:cstheme="majorHAnsi"/>
          <w:bCs/>
          <w:color w:val="000000" w:themeColor="text1"/>
          <w:sz w:val="24"/>
          <w:szCs w:val="24"/>
        </w:rPr>
        <w:t>(refer to RFT documents).</w:t>
      </w:r>
      <w:r w:rsidR="00D434EB">
        <w:rPr>
          <w:rFonts w:asciiTheme="majorHAnsi" w:hAnsiTheme="majorHAnsi" w:cstheme="majorHAnsi"/>
          <w:bCs/>
          <w:color w:val="000000" w:themeColor="text1"/>
          <w:sz w:val="24"/>
          <w:szCs w:val="24"/>
        </w:rPr>
        <w:t xml:space="preserve"> </w:t>
      </w:r>
      <w:r>
        <w:rPr>
          <w:rFonts w:asciiTheme="majorHAnsi" w:hAnsiTheme="majorHAnsi" w:cstheme="majorHAnsi"/>
          <w:bCs/>
          <w:color w:val="000000" w:themeColor="text1"/>
          <w:sz w:val="24"/>
          <w:szCs w:val="24"/>
        </w:rPr>
        <w:t xml:space="preserve">For context, the </w:t>
      </w:r>
      <w:r w:rsidRPr="0060647C">
        <w:rPr>
          <w:rFonts w:asciiTheme="majorHAnsi" w:hAnsiTheme="majorHAnsi" w:cstheme="majorHAnsi"/>
          <w:bCs/>
          <w:color w:val="000000" w:themeColor="text1"/>
          <w:sz w:val="24"/>
          <w:szCs w:val="24"/>
        </w:rPr>
        <w:t>EOPE Study</w:t>
      </w:r>
      <w:r>
        <w:rPr>
          <w:rFonts w:asciiTheme="majorHAnsi" w:hAnsiTheme="majorHAnsi" w:cstheme="majorHAnsi"/>
          <w:bCs/>
          <w:color w:val="000000" w:themeColor="text1"/>
          <w:sz w:val="24"/>
          <w:szCs w:val="24"/>
        </w:rPr>
        <w:t xml:space="preserve"> reviewed the Program’s </w:t>
      </w:r>
      <w:r w:rsidRPr="0060647C">
        <w:rPr>
          <w:rFonts w:asciiTheme="majorHAnsi" w:hAnsiTheme="majorHAnsi" w:cstheme="majorHAnsi"/>
          <w:bCs/>
          <w:color w:val="000000" w:themeColor="text1"/>
          <w:sz w:val="24"/>
          <w:szCs w:val="24"/>
        </w:rPr>
        <w:t>Theory of Change</w:t>
      </w:r>
      <w:r>
        <w:rPr>
          <w:rFonts w:asciiTheme="majorHAnsi" w:hAnsiTheme="majorHAnsi" w:cstheme="majorHAnsi"/>
          <w:bCs/>
          <w:color w:val="000000" w:themeColor="text1"/>
          <w:sz w:val="24"/>
          <w:szCs w:val="24"/>
        </w:rPr>
        <w:t xml:space="preserve"> and undertook a literature review to examine past educational reforms vis-à-vis the BEST initiated reforms.</w:t>
      </w:r>
    </w:p>
    <w:p w14:paraId="2187B441" w14:textId="7647BBCE" w:rsidR="008D0CAD" w:rsidRPr="00A9790F" w:rsidRDefault="008D0CAD" w:rsidP="000479A3">
      <w:pPr>
        <w:pStyle w:val="BodyText"/>
        <w:spacing w:before="100" w:beforeAutospacing="1" w:after="100" w:afterAutospacing="1" w:line="360" w:lineRule="auto"/>
        <w:ind w:right="20"/>
        <w:rPr>
          <w:rFonts w:asciiTheme="majorHAnsi" w:hAnsiTheme="majorHAnsi" w:cstheme="majorHAnsi"/>
          <w:color w:val="000000" w:themeColor="text1"/>
          <w:sz w:val="24"/>
          <w:szCs w:val="24"/>
        </w:rPr>
      </w:pPr>
      <w:r w:rsidRPr="0060647C">
        <w:rPr>
          <w:rFonts w:asciiTheme="majorHAnsi" w:hAnsiTheme="majorHAnsi" w:cstheme="majorHAnsi"/>
          <w:sz w:val="24"/>
          <w:szCs w:val="24"/>
        </w:rPr>
        <w:t xml:space="preserve">The BEST Program’s Theory of Change (TOC) </w:t>
      </w:r>
      <w:r w:rsidRPr="00A9790F">
        <w:rPr>
          <w:rFonts w:asciiTheme="majorHAnsi" w:hAnsiTheme="majorHAnsi" w:cstheme="majorHAnsi"/>
          <w:color w:val="000000" w:themeColor="text1"/>
          <w:sz w:val="24"/>
          <w:szCs w:val="24"/>
        </w:rPr>
        <w:t>underwent at least three revisions during the lifetime of program implementation (refer also to Annex A. BEST Program TOC).</w:t>
      </w:r>
      <w:r w:rsidR="00D434EB">
        <w:rPr>
          <w:rFonts w:asciiTheme="majorHAnsi" w:hAnsiTheme="majorHAnsi" w:cstheme="majorHAnsi"/>
          <w:color w:val="000000" w:themeColor="text1"/>
          <w:sz w:val="24"/>
          <w:szCs w:val="24"/>
        </w:rPr>
        <w:t xml:space="preserve"> </w:t>
      </w:r>
    </w:p>
    <w:p w14:paraId="6E1ADF80" w14:textId="38FCD622" w:rsidR="008D0CAD" w:rsidRPr="006F07B7" w:rsidRDefault="008D0CAD" w:rsidP="000479A3">
      <w:pPr>
        <w:pStyle w:val="BodyText"/>
        <w:spacing w:before="100" w:beforeAutospacing="1" w:after="100" w:afterAutospacing="1" w:line="360" w:lineRule="auto"/>
        <w:ind w:right="20"/>
        <w:rPr>
          <w:rFonts w:asciiTheme="majorHAnsi" w:hAnsiTheme="majorHAnsi" w:cstheme="majorHAnsi"/>
          <w:sz w:val="24"/>
          <w:szCs w:val="24"/>
        </w:rPr>
      </w:pPr>
      <w:r w:rsidRPr="006F07B7">
        <w:rPr>
          <w:rFonts w:asciiTheme="majorHAnsi" w:hAnsiTheme="majorHAnsi" w:cstheme="majorHAnsi"/>
          <w:sz w:val="24"/>
          <w:szCs w:val="24"/>
        </w:rPr>
        <w:t>In the original version of the TOC, there were three Program Outcomes and seven intermediate outcomes (PDD, p. 38).</w:t>
      </w:r>
      <w:r w:rsidR="00D434EB">
        <w:rPr>
          <w:rFonts w:asciiTheme="majorHAnsi" w:hAnsiTheme="majorHAnsi" w:cstheme="majorHAnsi"/>
          <w:sz w:val="24"/>
          <w:szCs w:val="24"/>
        </w:rPr>
        <w:t xml:space="preserve"> </w:t>
      </w:r>
      <w:r w:rsidRPr="006F07B7">
        <w:rPr>
          <w:rFonts w:asciiTheme="majorHAnsi" w:hAnsiTheme="majorHAnsi" w:cstheme="majorHAnsi"/>
          <w:sz w:val="24"/>
          <w:szCs w:val="24"/>
        </w:rPr>
        <w:t xml:space="preserve">What was key to this design was that as a foundational Outcome, </w:t>
      </w:r>
      <w:r w:rsidRPr="003E5F12">
        <w:rPr>
          <w:rFonts w:asciiTheme="majorHAnsi" w:hAnsiTheme="majorHAnsi" w:cstheme="majorHAnsi"/>
          <w:bCs/>
          <w:sz w:val="24"/>
          <w:szCs w:val="24"/>
        </w:rPr>
        <w:t>EOPO 3</w:t>
      </w:r>
      <w:r>
        <w:rPr>
          <w:rFonts w:asciiTheme="majorHAnsi" w:hAnsiTheme="majorHAnsi" w:cstheme="majorHAnsi"/>
          <w:sz w:val="24"/>
          <w:szCs w:val="24"/>
        </w:rPr>
        <w:t xml:space="preserve"> stated as </w:t>
      </w:r>
      <w:r w:rsidRPr="006F07B7">
        <w:rPr>
          <w:rFonts w:asciiTheme="majorHAnsi" w:hAnsiTheme="majorHAnsi" w:cstheme="majorHAnsi"/>
          <w:sz w:val="24"/>
          <w:szCs w:val="24"/>
        </w:rPr>
        <w:t>“</w:t>
      </w:r>
      <w:r>
        <w:rPr>
          <w:rFonts w:asciiTheme="majorHAnsi" w:hAnsiTheme="majorHAnsi" w:cstheme="majorHAnsi"/>
          <w:i/>
          <w:sz w:val="24"/>
          <w:szCs w:val="24"/>
        </w:rPr>
        <w:t>DepEd</w:t>
      </w:r>
      <w:r w:rsidRPr="006F07B7">
        <w:rPr>
          <w:rFonts w:asciiTheme="majorHAnsi" w:hAnsiTheme="majorHAnsi" w:cstheme="majorHAnsi"/>
          <w:i/>
          <w:sz w:val="24"/>
          <w:szCs w:val="24"/>
        </w:rPr>
        <w:t xml:space="preserve"> is better able to deliver basic education services that is more gender responsive and inclusive and greater decentrali</w:t>
      </w:r>
      <w:r>
        <w:rPr>
          <w:rFonts w:asciiTheme="majorHAnsi" w:hAnsiTheme="majorHAnsi" w:cstheme="majorHAnsi"/>
          <w:i/>
          <w:sz w:val="24"/>
          <w:szCs w:val="24"/>
        </w:rPr>
        <w:t>s</w:t>
      </w:r>
      <w:r w:rsidRPr="006F07B7">
        <w:rPr>
          <w:rFonts w:asciiTheme="majorHAnsi" w:hAnsiTheme="majorHAnsi" w:cstheme="majorHAnsi"/>
          <w:i/>
          <w:sz w:val="24"/>
          <w:szCs w:val="24"/>
        </w:rPr>
        <w:t xml:space="preserve">ation of management and accountability to the field offices and schools” </w:t>
      </w:r>
      <w:r w:rsidRPr="00B07D16">
        <w:rPr>
          <w:rFonts w:asciiTheme="majorHAnsi" w:hAnsiTheme="majorHAnsi" w:cstheme="majorHAnsi"/>
          <w:bCs/>
          <w:sz w:val="24"/>
          <w:szCs w:val="24"/>
        </w:rPr>
        <w:t>was shown as a pre-condition to the attainment of the two other Program Outcomes</w:t>
      </w:r>
      <w:r w:rsidRPr="004539C3">
        <w:rPr>
          <w:rFonts w:asciiTheme="majorHAnsi" w:hAnsiTheme="majorHAnsi" w:cstheme="majorHAnsi"/>
          <w:b/>
          <w:sz w:val="24"/>
          <w:szCs w:val="24"/>
        </w:rPr>
        <w:t xml:space="preserve"> </w:t>
      </w:r>
      <w:r w:rsidRPr="006F07B7">
        <w:rPr>
          <w:rFonts w:asciiTheme="majorHAnsi" w:hAnsiTheme="majorHAnsi" w:cstheme="majorHAnsi"/>
          <w:sz w:val="24"/>
          <w:szCs w:val="24"/>
        </w:rPr>
        <w:t xml:space="preserve">namely: </w:t>
      </w:r>
      <w:r w:rsidRPr="006F07B7">
        <w:rPr>
          <w:rFonts w:asciiTheme="majorHAnsi" w:hAnsiTheme="majorHAnsi" w:cstheme="majorHAnsi"/>
          <w:bCs/>
          <w:color w:val="000000" w:themeColor="text1"/>
          <w:sz w:val="24"/>
          <w:szCs w:val="24"/>
        </w:rPr>
        <w:t>EOPO1</w:t>
      </w:r>
      <w:r>
        <w:rPr>
          <w:rFonts w:asciiTheme="majorHAnsi" w:hAnsiTheme="majorHAnsi" w:cstheme="majorHAnsi"/>
          <w:bCs/>
          <w:color w:val="000000" w:themeColor="text1"/>
          <w:sz w:val="24"/>
          <w:szCs w:val="24"/>
        </w:rPr>
        <w:t xml:space="preserve"> stated as</w:t>
      </w:r>
      <w:r w:rsidRPr="006F07B7">
        <w:rPr>
          <w:rFonts w:asciiTheme="majorHAnsi" w:hAnsiTheme="majorHAnsi" w:cstheme="majorHAnsi"/>
          <w:bCs/>
          <w:color w:val="000000" w:themeColor="text1"/>
          <w:sz w:val="24"/>
          <w:szCs w:val="24"/>
        </w:rPr>
        <w:t xml:space="preserve"> </w:t>
      </w:r>
      <w:r>
        <w:rPr>
          <w:rFonts w:asciiTheme="majorHAnsi" w:hAnsiTheme="majorHAnsi" w:cstheme="majorHAnsi"/>
          <w:bCs/>
          <w:color w:val="000000" w:themeColor="text1"/>
          <w:sz w:val="24"/>
          <w:szCs w:val="24"/>
        </w:rPr>
        <w:t>“</w:t>
      </w:r>
      <w:r w:rsidRPr="00DC71CC">
        <w:rPr>
          <w:rFonts w:asciiTheme="majorHAnsi" w:hAnsiTheme="majorHAnsi" w:cstheme="majorHAnsi"/>
          <w:bCs/>
          <w:i/>
          <w:iCs/>
          <w:color w:val="000000" w:themeColor="text1"/>
          <w:sz w:val="24"/>
          <w:szCs w:val="24"/>
        </w:rPr>
        <w:t>More children are able to demonstrate improved mastery of curriculum competencies in (English, Mathematics and Science)</w:t>
      </w:r>
      <w:r>
        <w:rPr>
          <w:rFonts w:asciiTheme="majorHAnsi" w:hAnsiTheme="majorHAnsi" w:cstheme="majorHAnsi"/>
          <w:bCs/>
          <w:color w:val="000000" w:themeColor="text1"/>
          <w:sz w:val="24"/>
          <w:szCs w:val="24"/>
        </w:rPr>
        <w:t>”</w:t>
      </w:r>
      <w:r w:rsidRPr="006F07B7">
        <w:rPr>
          <w:rFonts w:asciiTheme="majorHAnsi" w:hAnsiTheme="majorHAnsi" w:cstheme="majorHAnsi"/>
          <w:bCs/>
          <w:color w:val="000000" w:themeColor="text1"/>
          <w:sz w:val="24"/>
          <w:szCs w:val="24"/>
        </w:rPr>
        <w:t xml:space="preserve"> and </w:t>
      </w:r>
      <w:r>
        <w:rPr>
          <w:rFonts w:asciiTheme="majorHAnsi" w:hAnsiTheme="majorHAnsi" w:cstheme="majorHAnsi"/>
          <w:bCs/>
          <w:color w:val="000000" w:themeColor="text1"/>
          <w:sz w:val="24"/>
          <w:szCs w:val="24"/>
        </w:rPr>
        <w:t>“</w:t>
      </w:r>
      <w:r w:rsidRPr="00DC71CC">
        <w:rPr>
          <w:rFonts w:asciiTheme="majorHAnsi" w:hAnsiTheme="majorHAnsi" w:cstheme="majorHAnsi"/>
          <w:bCs/>
          <w:i/>
          <w:iCs/>
          <w:color w:val="000000" w:themeColor="text1"/>
          <w:sz w:val="24"/>
          <w:szCs w:val="24"/>
        </w:rPr>
        <w:t>difference in learning outcomes for boys and girls are reduced in target areas</w:t>
      </w:r>
      <w:r>
        <w:rPr>
          <w:rFonts w:asciiTheme="majorHAnsi" w:hAnsiTheme="majorHAnsi" w:cstheme="majorHAnsi"/>
          <w:bCs/>
          <w:color w:val="000000" w:themeColor="text1"/>
          <w:sz w:val="24"/>
          <w:szCs w:val="24"/>
        </w:rPr>
        <w:t>”</w:t>
      </w:r>
      <w:r w:rsidRPr="006F07B7">
        <w:rPr>
          <w:rFonts w:asciiTheme="majorHAnsi" w:hAnsiTheme="majorHAnsi" w:cstheme="majorHAnsi"/>
          <w:bCs/>
          <w:color w:val="000000" w:themeColor="text1"/>
          <w:sz w:val="24"/>
          <w:szCs w:val="24"/>
        </w:rPr>
        <w:t>; and EOPO2</w:t>
      </w:r>
      <w:r>
        <w:rPr>
          <w:rFonts w:asciiTheme="majorHAnsi" w:hAnsiTheme="majorHAnsi" w:cstheme="majorHAnsi"/>
          <w:bCs/>
          <w:color w:val="000000" w:themeColor="text1"/>
          <w:sz w:val="24"/>
          <w:szCs w:val="24"/>
        </w:rPr>
        <w:t xml:space="preserve"> stated as</w:t>
      </w:r>
      <w:r w:rsidRPr="006F07B7">
        <w:rPr>
          <w:rFonts w:asciiTheme="majorHAnsi" w:hAnsiTheme="majorHAnsi" w:cstheme="majorHAnsi"/>
          <w:bCs/>
          <w:color w:val="000000" w:themeColor="text1"/>
          <w:sz w:val="24"/>
          <w:szCs w:val="24"/>
        </w:rPr>
        <w:t xml:space="preserve"> </w:t>
      </w:r>
      <w:r>
        <w:rPr>
          <w:rFonts w:asciiTheme="majorHAnsi" w:hAnsiTheme="majorHAnsi" w:cstheme="majorHAnsi"/>
          <w:bCs/>
          <w:color w:val="000000" w:themeColor="text1"/>
          <w:sz w:val="24"/>
          <w:szCs w:val="24"/>
        </w:rPr>
        <w:t>“</w:t>
      </w:r>
      <w:r w:rsidRPr="00B07D16">
        <w:rPr>
          <w:rFonts w:asciiTheme="majorHAnsi" w:hAnsiTheme="majorHAnsi" w:cstheme="majorHAnsi"/>
          <w:bCs/>
          <w:i/>
          <w:iCs/>
          <w:color w:val="000000" w:themeColor="text1"/>
          <w:sz w:val="24"/>
          <w:szCs w:val="24"/>
        </w:rPr>
        <w:t>More boys and girls participate and complete a basic education in target areas</w:t>
      </w:r>
      <w:r>
        <w:rPr>
          <w:rFonts w:asciiTheme="majorHAnsi" w:hAnsiTheme="majorHAnsi" w:cstheme="majorHAnsi"/>
          <w:bCs/>
          <w:color w:val="000000" w:themeColor="text1"/>
          <w:sz w:val="24"/>
          <w:szCs w:val="24"/>
        </w:rPr>
        <w:t>”</w:t>
      </w:r>
      <w:r w:rsidRPr="006F07B7">
        <w:rPr>
          <w:rFonts w:asciiTheme="majorHAnsi" w:hAnsiTheme="majorHAnsi" w:cstheme="majorHAnsi"/>
          <w:bCs/>
          <w:color w:val="000000" w:themeColor="text1"/>
          <w:sz w:val="24"/>
          <w:szCs w:val="24"/>
        </w:rPr>
        <w:t>.</w:t>
      </w:r>
      <w:r>
        <w:rPr>
          <w:rFonts w:asciiTheme="majorHAnsi" w:hAnsiTheme="majorHAnsi" w:cstheme="majorHAnsi"/>
          <w:bCs/>
          <w:color w:val="000000" w:themeColor="text1"/>
          <w:sz w:val="24"/>
          <w:szCs w:val="24"/>
        </w:rPr>
        <w:t xml:space="preserve"> This TOC was found to be logical and aligned with what was in extant literature.</w:t>
      </w:r>
    </w:p>
    <w:p w14:paraId="17FD330E" w14:textId="56AF9969" w:rsidR="008D0CAD" w:rsidRDefault="008D0CAD" w:rsidP="000479A3">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color w:val="000000" w:themeColor="text1"/>
        </w:rPr>
        <w:t xml:space="preserve">For instance, </w:t>
      </w:r>
      <w:r w:rsidRPr="00937C05">
        <w:rPr>
          <w:rFonts w:asciiTheme="majorHAnsi" w:hAnsiTheme="majorHAnsi" w:cstheme="majorHAnsi"/>
          <w:color w:val="000000" w:themeColor="text1"/>
        </w:rPr>
        <w:t>Conley (1993) proposed that any kind of education restructuring need</w:t>
      </w:r>
      <w:r>
        <w:rPr>
          <w:rFonts w:asciiTheme="majorHAnsi" w:hAnsiTheme="majorHAnsi" w:cstheme="majorHAnsi"/>
          <w:color w:val="000000" w:themeColor="text1"/>
        </w:rPr>
        <w:t>ed</w:t>
      </w:r>
      <w:r w:rsidRPr="00937C05">
        <w:rPr>
          <w:rFonts w:asciiTheme="majorHAnsi" w:hAnsiTheme="majorHAnsi" w:cstheme="majorHAnsi"/>
          <w:color w:val="000000" w:themeColor="text1"/>
        </w:rPr>
        <w:t xml:space="preserve"> to align with the broader goals of systemic reforms and offered an educational restructuring framework consisting of twelve dimensions grouped into three subsets: central, enabling, and</w:t>
      </w:r>
      <w:r w:rsidRPr="00557694">
        <w:rPr>
          <w:rFonts w:asciiTheme="majorHAnsi" w:hAnsiTheme="majorHAnsi" w:cstheme="majorHAnsi"/>
          <w:color w:val="000000" w:themeColor="text1"/>
        </w:rPr>
        <w:t xml:space="preserve"> supporting variables. </w:t>
      </w:r>
      <w:r>
        <w:rPr>
          <w:rFonts w:asciiTheme="majorHAnsi" w:hAnsiTheme="majorHAnsi" w:cstheme="majorHAnsi"/>
          <w:color w:val="000000" w:themeColor="text1"/>
        </w:rPr>
        <w:t xml:space="preserve">He identified </w:t>
      </w:r>
      <w:r w:rsidRPr="00C8195E">
        <w:rPr>
          <w:rFonts w:asciiTheme="majorHAnsi" w:hAnsiTheme="majorHAnsi" w:cstheme="majorHAnsi"/>
          <w:color w:val="000000" w:themeColor="text1"/>
        </w:rPr>
        <w:t>the central variables</w:t>
      </w:r>
      <w:r>
        <w:rPr>
          <w:rFonts w:asciiTheme="majorHAnsi" w:hAnsiTheme="majorHAnsi" w:cstheme="majorHAnsi"/>
          <w:color w:val="000000" w:themeColor="text1"/>
        </w:rPr>
        <w:t xml:space="preserve"> (i.e., variables that </w:t>
      </w:r>
      <w:r w:rsidRPr="00C8195E">
        <w:rPr>
          <w:rFonts w:asciiTheme="majorHAnsi" w:hAnsiTheme="majorHAnsi" w:cstheme="majorHAnsi"/>
          <w:color w:val="000000" w:themeColor="text1"/>
        </w:rPr>
        <w:t>have direct effects on student learning</w:t>
      </w:r>
      <w:r>
        <w:rPr>
          <w:rFonts w:asciiTheme="majorHAnsi" w:hAnsiTheme="majorHAnsi" w:cstheme="majorHAnsi"/>
          <w:color w:val="000000" w:themeColor="text1"/>
        </w:rPr>
        <w:t>)</w:t>
      </w:r>
      <w:r w:rsidRPr="00C8195E">
        <w:rPr>
          <w:rFonts w:asciiTheme="majorHAnsi" w:hAnsiTheme="majorHAnsi" w:cstheme="majorHAnsi"/>
          <w:color w:val="000000" w:themeColor="text1"/>
        </w:rPr>
        <w:t xml:space="preserve"> </w:t>
      </w:r>
      <w:r>
        <w:rPr>
          <w:rFonts w:asciiTheme="majorHAnsi" w:hAnsiTheme="majorHAnsi" w:cstheme="majorHAnsi"/>
          <w:color w:val="000000" w:themeColor="text1"/>
        </w:rPr>
        <w:t>as: l</w:t>
      </w:r>
      <w:r w:rsidRPr="00C8195E">
        <w:rPr>
          <w:rFonts w:asciiTheme="majorHAnsi" w:hAnsiTheme="majorHAnsi" w:cstheme="majorHAnsi"/>
          <w:color w:val="000000" w:themeColor="text1"/>
        </w:rPr>
        <w:t>earner outcomes</w:t>
      </w:r>
      <w:r>
        <w:rPr>
          <w:rFonts w:asciiTheme="majorHAnsi" w:hAnsiTheme="majorHAnsi" w:cstheme="majorHAnsi"/>
          <w:color w:val="000000" w:themeColor="text1"/>
        </w:rPr>
        <w:t>;</w:t>
      </w:r>
      <w:r w:rsidRPr="00C8195E">
        <w:rPr>
          <w:rFonts w:asciiTheme="majorHAnsi" w:hAnsiTheme="majorHAnsi" w:cstheme="majorHAnsi"/>
          <w:color w:val="000000" w:themeColor="text1"/>
        </w:rPr>
        <w:t xml:space="preserve"> curriculum</w:t>
      </w:r>
      <w:r>
        <w:rPr>
          <w:rFonts w:asciiTheme="majorHAnsi" w:hAnsiTheme="majorHAnsi" w:cstheme="majorHAnsi"/>
          <w:color w:val="000000" w:themeColor="text1"/>
        </w:rPr>
        <w:t>;</w:t>
      </w:r>
      <w:r w:rsidRPr="00C8195E">
        <w:rPr>
          <w:rFonts w:asciiTheme="majorHAnsi" w:hAnsiTheme="majorHAnsi" w:cstheme="majorHAnsi"/>
          <w:color w:val="000000" w:themeColor="text1"/>
        </w:rPr>
        <w:t xml:space="preserve"> instruction</w:t>
      </w:r>
      <w:r>
        <w:rPr>
          <w:rFonts w:asciiTheme="majorHAnsi" w:hAnsiTheme="majorHAnsi" w:cstheme="majorHAnsi"/>
          <w:color w:val="000000" w:themeColor="text1"/>
        </w:rPr>
        <w:t>;</w:t>
      </w:r>
      <w:r w:rsidRPr="00C8195E">
        <w:rPr>
          <w:rFonts w:asciiTheme="majorHAnsi" w:hAnsiTheme="majorHAnsi" w:cstheme="majorHAnsi"/>
          <w:color w:val="000000" w:themeColor="text1"/>
        </w:rPr>
        <w:t xml:space="preserve"> and assessment.</w:t>
      </w:r>
      <w:r w:rsidR="00D434EB">
        <w:rPr>
          <w:rFonts w:asciiTheme="majorHAnsi" w:hAnsiTheme="majorHAnsi" w:cstheme="majorHAnsi"/>
          <w:color w:val="000000" w:themeColor="text1"/>
        </w:rPr>
        <w:t xml:space="preserve"> </w:t>
      </w:r>
      <w:r w:rsidRPr="00C8195E">
        <w:rPr>
          <w:rFonts w:asciiTheme="majorHAnsi" w:hAnsiTheme="majorHAnsi" w:cstheme="majorHAnsi"/>
          <w:color w:val="000000" w:themeColor="text1"/>
        </w:rPr>
        <w:t>Enabling variables</w:t>
      </w:r>
      <w:r>
        <w:rPr>
          <w:rFonts w:asciiTheme="majorHAnsi" w:hAnsiTheme="majorHAnsi" w:cstheme="majorHAnsi"/>
          <w:color w:val="000000" w:themeColor="text1"/>
        </w:rPr>
        <w:t xml:space="preserve"> (</w:t>
      </w:r>
      <w:r w:rsidRPr="00C8195E">
        <w:rPr>
          <w:rFonts w:asciiTheme="majorHAnsi" w:hAnsiTheme="majorHAnsi" w:cstheme="majorHAnsi"/>
          <w:color w:val="000000" w:themeColor="text1"/>
        </w:rPr>
        <w:t>closely related to instruction</w:t>
      </w:r>
      <w:r>
        <w:rPr>
          <w:rFonts w:asciiTheme="majorHAnsi" w:hAnsiTheme="majorHAnsi" w:cstheme="majorHAnsi"/>
          <w:color w:val="000000" w:themeColor="text1"/>
        </w:rPr>
        <w:t>)</w:t>
      </w:r>
      <w:r w:rsidRPr="00C8195E">
        <w:rPr>
          <w:rFonts w:asciiTheme="majorHAnsi" w:hAnsiTheme="majorHAnsi" w:cstheme="majorHAnsi"/>
          <w:color w:val="000000" w:themeColor="text1"/>
        </w:rPr>
        <w:t xml:space="preserve"> consist</w:t>
      </w:r>
      <w:r>
        <w:rPr>
          <w:rFonts w:asciiTheme="majorHAnsi" w:hAnsiTheme="majorHAnsi" w:cstheme="majorHAnsi"/>
          <w:color w:val="000000" w:themeColor="text1"/>
        </w:rPr>
        <w:t>ed</w:t>
      </w:r>
      <w:r w:rsidRPr="00C8195E">
        <w:rPr>
          <w:rFonts w:asciiTheme="majorHAnsi" w:hAnsiTheme="majorHAnsi" w:cstheme="majorHAnsi"/>
          <w:color w:val="000000" w:themeColor="text1"/>
        </w:rPr>
        <w:t xml:space="preserve"> of</w:t>
      </w:r>
      <w:r>
        <w:rPr>
          <w:rFonts w:asciiTheme="majorHAnsi" w:hAnsiTheme="majorHAnsi" w:cstheme="majorHAnsi"/>
          <w:color w:val="000000" w:themeColor="text1"/>
        </w:rPr>
        <w:t>:</w:t>
      </w:r>
      <w:r w:rsidRPr="00C8195E">
        <w:rPr>
          <w:rFonts w:asciiTheme="majorHAnsi" w:hAnsiTheme="majorHAnsi" w:cstheme="majorHAnsi"/>
          <w:color w:val="000000" w:themeColor="text1"/>
        </w:rPr>
        <w:t xml:space="preserve"> learning environment</w:t>
      </w:r>
      <w:r>
        <w:rPr>
          <w:rFonts w:asciiTheme="majorHAnsi" w:hAnsiTheme="majorHAnsi" w:cstheme="majorHAnsi"/>
          <w:color w:val="000000" w:themeColor="text1"/>
        </w:rPr>
        <w:t>;</w:t>
      </w:r>
      <w:r w:rsidRPr="00C8195E">
        <w:rPr>
          <w:rFonts w:asciiTheme="majorHAnsi" w:hAnsiTheme="majorHAnsi" w:cstheme="majorHAnsi"/>
          <w:color w:val="000000" w:themeColor="text1"/>
        </w:rPr>
        <w:t xml:space="preserve"> technology</w:t>
      </w:r>
      <w:r>
        <w:rPr>
          <w:rFonts w:asciiTheme="majorHAnsi" w:hAnsiTheme="majorHAnsi" w:cstheme="majorHAnsi"/>
          <w:color w:val="000000" w:themeColor="text1"/>
        </w:rPr>
        <w:t>;</w:t>
      </w:r>
      <w:r w:rsidRPr="00C8195E">
        <w:rPr>
          <w:rFonts w:asciiTheme="majorHAnsi" w:hAnsiTheme="majorHAnsi" w:cstheme="majorHAnsi"/>
          <w:color w:val="000000" w:themeColor="text1"/>
        </w:rPr>
        <w:t xml:space="preserve"> school-community relations</w:t>
      </w:r>
      <w:r>
        <w:rPr>
          <w:rFonts w:asciiTheme="majorHAnsi" w:hAnsiTheme="majorHAnsi" w:cstheme="majorHAnsi"/>
          <w:color w:val="000000" w:themeColor="text1"/>
        </w:rPr>
        <w:t>;</w:t>
      </w:r>
      <w:r w:rsidRPr="00C8195E">
        <w:rPr>
          <w:rFonts w:asciiTheme="majorHAnsi" w:hAnsiTheme="majorHAnsi" w:cstheme="majorHAnsi"/>
          <w:color w:val="000000" w:themeColor="text1"/>
        </w:rPr>
        <w:t xml:space="preserve"> and time.</w:t>
      </w:r>
      <w:r>
        <w:rPr>
          <w:rFonts w:asciiTheme="majorHAnsi" w:hAnsiTheme="majorHAnsi" w:cstheme="majorHAnsi"/>
          <w:color w:val="000000" w:themeColor="text1"/>
        </w:rPr>
        <w:t xml:space="preserve"> S</w:t>
      </w:r>
      <w:r w:rsidRPr="00FC6488">
        <w:rPr>
          <w:rFonts w:asciiTheme="majorHAnsi" w:hAnsiTheme="majorHAnsi" w:cstheme="majorHAnsi"/>
          <w:color w:val="000000" w:themeColor="text1"/>
        </w:rPr>
        <w:t>upporting variables</w:t>
      </w:r>
      <w:r>
        <w:rPr>
          <w:rFonts w:asciiTheme="majorHAnsi" w:hAnsiTheme="majorHAnsi" w:cstheme="majorHAnsi"/>
          <w:color w:val="000000" w:themeColor="text1"/>
        </w:rPr>
        <w:t xml:space="preserve"> (or variables that are further</w:t>
      </w:r>
      <w:r w:rsidRPr="00FC6488">
        <w:rPr>
          <w:rFonts w:asciiTheme="majorHAnsi" w:hAnsiTheme="majorHAnsi" w:cstheme="majorHAnsi"/>
          <w:color w:val="000000" w:themeColor="text1"/>
        </w:rPr>
        <w:t xml:space="preserve"> removed from the classroom</w:t>
      </w:r>
      <w:r>
        <w:rPr>
          <w:rFonts w:asciiTheme="majorHAnsi" w:hAnsiTheme="majorHAnsi" w:cstheme="majorHAnsi"/>
          <w:color w:val="000000" w:themeColor="text1"/>
        </w:rPr>
        <w:t>)</w:t>
      </w:r>
      <w:r w:rsidRPr="00FC6488">
        <w:rPr>
          <w:rFonts w:asciiTheme="majorHAnsi" w:hAnsiTheme="majorHAnsi" w:cstheme="majorHAnsi"/>
          <w:color w:val="000000" w:themeColor="text1"/>
        </w:rPr>
        <w:t xml:space="preserve"> </w:t>
      </w:r>
      <w:r>
        <w:rPr>
          <w:rFonts w:asciiTheme="majorHAnsi" w:hAnsiTheme="majorHAnsi" w:cstheme="majorHAnsi"/>
          <w:color w:val="000000" w:themeColor="text1"/>
        </w:rPr>
        <w:t>were identified as:</w:t>
      </w:r>
      <w:r w:rsidRPr="00FC6488">
        <w:rPr>
          <w:rFonts w:asciiTheme="majorHAnsi" w:hAnsiTheme="majorHAnsi" w:cstheme="majorHAnsi"/>
          <w:color w:val="000000" w:themeColor="text1"/>
        </w:rPr>
        <w:t xml:space="preserve"> governance</w:t>
      </w:r>
      <w:r>
        <w:rPr>
          <w:rFonts w:asciiTheme="majorHAnsi" w:hAnsiTheme="majorHAnsi" w:cstheme="majorHAnsi"/>
          <w:color w:val="000000" w:themeColor="text1"/>
        </w:rPr>
        <w:t>;</w:t>
      </w:r>
      <w:r w:rsidRPr="00FC6488">
        <w:rPr>
          <w:rFonts w:asciiTheme="majorHAnsi" w:hAnsiTheme="majorHAnsi" w:cstheme="majorHAnsi"/>
          <w:color w:val="000000" w:themeColor="text1"/>
        </w:rPr>
        <w:t xml:space="preserve"> teacher leadership</w:t>
      </w:r>
      <w:r>
        <w:rPr>
          <w:rFonts w:asciiTheme="majorHAnsi" w:hAnsiTheme="majorHAnsi" w:cstheme="majorHAnsi"/>
          <w:color w:val="000000" w:themeColor="text1"/>
        </w:rPr>
        <w:t>;</w:t>
      </w:r>
      <w:r w:rsidRPr="00FC6488">
        <w:rPr>
          <w:rFonts w:asciiTheme="majorHAnsi" w:hAnsiTheme="majorHAnsi" w:cstheme="majorHAnsi"/>
          <w:color w:val="000000" w:themeColor="text1"/>
        </w:rPr>
        <w:t xml:space="preserve"> personnel structures</w:t>
      </w:r>
      <w:r>
        <w:rPr>
          <w:rFonts w:asciiTheme="majorHAnsi" w:hAnsiTheme="majorHAnsi" w:cstheme="majorHAnsi"/>
          <w:color w:val="000000" w:themeColor="text1"/>
        </w:rPr>
        <w:t>;</w:t>
      </w:r>
      <w:r w:rsidRPr="00FC6488">
        <w:rPr>
          <w:rFonts w:asciiTheme="majorHAnsi" w:hAnsiTheme="majorHAnsi" w:cstheme="majorHAnsi"/>
          <w:color w:val="000000" w:themeColor="text1"/>
        </w:rPr>
        <w:t xml:space="preserve"> and working relationships. </w:t>
      </w:r>
    </w:p>
    <w:p w14:paraId="679C55CF" w14:textId="299D40CA" w:rsidR="008D0CAD" w:rsidRDefault="008D0CAD" w:rsidP="000479A3">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color w:val="000000" w:themeColor="text1"/>
        </w:rPr>
        <w:t>In the TOC, all of these 12 dimensions except for GEDSI were clearly articulated in the Program albeit given varying weight.</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However, as an intervention, GEDSI could be assumed to be part of learner outcomes and learning environment. S</w:t>
      </w:r>
      <w:r w:rsidRPr="00FC6488">
        <w:rPr>
          <w:rFonts w:asciiTheme="majorHAnsi" w:hAnsiTheme="majorHAnsi" w:cstheme="majorHAnsi"/>
          <w:color w:val="000000" w:themeColor="text1"/>
        </w:rPr>
        <w:t>upporting variables</w:t>
      </w:r>
      <w:r>
        <w:rPr>
          <w:rFonts w:asciiTheme="majorHAnsi" w:hAnsiTheme="majorHAnsi" w:cstheme="majorHAnsi"/>
          <w:color w:val="000000" w:themeColor="text1"/>
        </w:rPr>
        <w:t xml:space="preserve"> clearly corresponded to the foundational outcome.</w:t>
      </w:r>
    </w:p>
    <w:p w14:paraId="7394C91A" w14:textId="10CB5197" w:rsidR="008D0CAD" w:rsidRPr="004539C3" w:rsidRDefault="008D0CAD" w:rsidP="000479A3">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color w:val="000000" w:themeColor="text1"/>
        </w:rPr>
        <w:t xml:space="preserve">However, when the TOC was revised in 2015 (AP2) and then again in 2016 (AP3), the logic of </w:t>
      </w:r>
      <w:r w:rsidRPr="004539C3">
        <w:rPr>
          <w:rFonts w:asciiTheme="majorHAnsi" w:hAnsiTheme="majorHAnsi" w:cstheme="majorHAnsi"/>
          <w:color w:val="000000" w:themeColor="text1"/>
        </w:rPr>
        <w:t xml:space="preserve">having a foundational outcome was weakened or diluted </w:t>
      </w:r>
      <w:r>
        <w:rPr>
          <w:rFonts w:asciiTheme="majorHAnsi" w:hAnsiTheme="majorHAnsi" w:cstheme="majorHAnsi"/>
          <w:color w:val="000000" w:themeColor="text1"/>
        </w:rPr>
        <w:t>since</w:t>
      </w:r>
      <w:r w:rsidRPr="004539C3">
        <w:rPr>
          <w:rFonts w:asciiTheme="majorHAnsi" w:hAnsiTheme="majorHAnsi" w:cstheme="majorHAnsi"/>
          <w:color w:val="000000" w:themeColor="text1"/>
        </w:rPr>
        <w:t xml:space="preserve"> all three outcomes were pursued simultaneously.</w:t>
      </w:r>
      <w:r w:rsidR="00D434EB">
        <w:rPr>
          <w:rFonts w:asciiTheme="majorHAnsi" w:hAnsiTheme="majorHAnsi" w:cstheme="majorHAnsi"/>
          <w:color w:val="000000" w:themeColor="text1"/>
        </w:rPr>
        <w:t xml:space="preserve"> </w:t>
      </w:r>
      <w:r w:rsidRPr="004539C3">
        <w:rPr>
          <w:rFonts w:asciiTheme="majorHAnsi" w:hAnsiTheme="majorHAnsi" w:cstheme="majorHAnsi"/>
          <w:color w:val="000000" w:themeColor="text1"/>
        </w:rPr>
        <w:t xml:space="preserve">This created </w:t>
      </w:r>
      <w:r>
        <w:rPr>
          <w:rFonts w:asciiTheme="majorHAnsi" w:hAnsiTheme="majorHAnsi" w:cstheme="majorHAnsi"/>
          <w:color w:val="000000" w:themeColor="text1"/>
        </w:rPr>
        <w:t>a problem with disproportionate program outputs as noted by one of the key respondents from the Central Office who said that the unevenness of leadership capacity among its various Bureaus and Operating Units (OUs) were a given at the start of implementation:</w:t>
      </w:r>
    </w:p>
    <w:p w14:paraId="2DF3E1A8" w14:textId="5C449ACF" w:rsidR="008D0CAD" w:rsidRDefault="008D0CAD" w:rsidP="002320B3">
      <w:pPr>
        <w:spacing w:after="120"/>
        <w:ind w:left="432" w:right="432"/>
        <w:rPr>
          <w:rFonts w:asciiTheme="majorHAnsi" w:hAnsiTheme="majorHAnsi" w:cstheme="majorHAnsi"/>
          <w:i/>
        </w:rPr>
      </w:pPr>
      <w:r w:rsidRPr="004539C3">
        <w:rPr>
          <w:rFonts w:asciiTheme="majorHAnsi" w:hAnsiTheme="majorHAnsi" w:cstheme="majorHAnsi"/>
          <w:i/>
        </w:rPr>
        <w:t xml:space="preserve">“If our units are weak, then you can anticipate they </w:t>
      </w:r>
      <w:r>
        <w:rPr>
          <w:rFonts w:asciiTheme="majorHAnsi" w:hAnsiTheme="majorHAnsi" w:cstheme="majorHAnsi"/>
          <w:i/>
        </w:rPr>
        <w:t xml:space="preserve">[meaning BEST] </w:t>
      </w:r>
      <w:r w:rsidRPr="004539C3">
        <w:rPr>
          <w:rFonts w:asciiTheme="majorHAnsi" w:hAnsiTheme="majorHAnsi" w:cstheme="majorHAnsi"/>
          <w:i/>
        </w:rPr>
        <w:t>over-determine</w:t>
      </w:r>
      <w:r>
        <w:rPr>
          <w:rFonts w:asciiTheme="majorHAnsi" w:hAnsiTheme="majorHAnsi" w:cstheme="majorHAnsi"/>
          <w:i/>
        </w:rPr>
        <w:t>d [the program outputs]</w:t>
      </w:r>
      <w:r w:rsidRPr="004539C3">
        <w:rPr>
          <w:rFonts w:asciiTheme="majorHAnsi" w:hAnsiTheme="majorHAnsi" w:cstheme="majorHAnsi"/>
          <w:i/>
        </w:rPr>
        <w:t xml:space="preserve"> but if our units are strong, then the</w:t>
      </w:r>
      <w:r>
        <w:rPr>
          <w:rFonts w:asciiTheme="majorHAnsi" w:hAnsiTheme="majorHAnsi" w:cstheme="majorHAnsi"/>
          <w:i/>
        </w:rPr>
        <w:t>y would be</w:t>
      </w:r>
      <w:r w:rsidRPr="004539C3">
        <w:rPr>
          <w:rFonts w:asciiTheme="majorHAnsi" w:hAnsiTheme="majorHAnsi" w:cstheme="majorHAnsi"/>
          <w:i/>
        </w:rPr>
        <w:t xml:space="preserve"> able to impose on the direction</w:t>
      </w:r>
      <w:r>
        <w:rPr>
          <w:rFonts w:asciiTheme="majorHAnsi" w:hAnsiTheme="majorHAnsi" w:cstheme="majorHAnsi"/>
          <w:i/>
        </w:rPr>
        <w:t xml:space="preserve"> [of the BEST Program implementation]</w:t>
      </w:r>
      <w:r w:rsidRPr="004539C3">
        <w:rPr>
          <w:rFonts w:asciiTheme="majorHAnsi" w:hAnsiTheme="majorHAnsi" w:cstheme="majorHAnsi"/>
          <w:i/>
        </w:rPr>
        <w:t>.</w:t>
      </w:r>
      <w:r w:rsidR="00D434EB">
        <w:rPr>
          <w:rFonts w:asciiTheme="majorHAnsi" w:hAnsiTheme="majorHAnsi" w:cstheme="majorHAnsi"/>
          <w:i/>
        </w:rPr>
        <w:t xml:space="preserve"> </w:t>
      </w:r>
      <w:r w:rsidRPr="004539C3">
        <w:rPr>
          <w:rFonts w:asciiTheme="majorHAnsi" w:hAnsiTheme="majorHAnsi" w:cstheme="majorHAnsi"/>
          <w:i/>
        </w:rPr>
        <w:t xml:space="preserve">So, </w:t>
      </w:r>
      <w:r>
        <w:rPr>
          <w:rFonts w:asciiTheme="majorHAnsi" w:hAnsiTheme="majorHAnsi" w:cstheme="majorHAnsi"/>
          <w:i/>
        </w:rPr>
        <w:t>we cannot expect it to be</w:t>
      </w:r>
      <w:r w:rsidRPr="004539C3">
        <w:rPr>
          <w:rFonts w:asciiTheme="majorHAnsi" w:hAnsiTheme="majorHAnsi" w:cstheme="majorHAnsi"/>
          <w:i/>
        </w:rPr>
        <w:t xml:space="preserve"> even.</w:t>
      </w:r>
      <w:r w:rsidR="00D434EB">
        <w:rPr>
          <w:rFonts w:asciiTheme="majorHAnsi" w:hAnsiTheme="majorHAnsi" w:cstheme="majorHAnsi"/>
          <w:i/>
        </w:rPr>
        <w:t xml:space="preserve"> </w:t>
      </w:r>
      <w:r>
        <w:rPr>
          <w:rFonts w:asciiTheme="majorHAnsi" w:hAnsiTheme="majorHAnsi" w:cstheme="majorHAnsi"/>
          <w:i/>
        </w:rPr>
        <w:t>I didn’t expect it to be [equal]</w:t>
      </w:r>
      <w:r w:rsidRPr="004539C3">
        <w:rPr>
          <w:rFonts w:asciiTheme="majorHAnsi" w:hAnsiTheme="majorHAnsi" w:cstheme="majorHAnsi"/>
          <w:i/>
        </w:rPr>
        <w:t>.</w:t>
      </w:r>
      <w:r w:rsidR="00D434EB">
        <w:rPr>
          <w:rFonts w:asciiTheme="majorHAnsi" w:hAnsiTheme="majorHAnsi" w:cstheme="majorHAnsi"/>
          <w:i/>
        </w:rPr>
        <w:t xml:space="preserve"> </w:t>
      </w:r>
      <w:r>
        <w:rPr>
          <w:rFonts w:asciiTheme="majorHAnsi" w:hAnsiTheme="majorHAnsi" w:cstheme="majorHAnsi"/>
          <w:i/>
        </w:rPr>
        <w:t>But the i</w:t>
      </w:r>
      <w:r w:rsidRPr="004539C3">
        <w:rPr>
          <w:rFonts w:asciiTheme="majorHAnsi" w:hAnsiTheme="majorHAnsi" w:cstheme="majorHAnsi"/>
          <w:i/>
        </w:rPr>
        <w:t xml:space="preserve">dea is </w:t>
      </w:r>
      <w:r>
        <w:rPr>
          <w:rFonts w:asciiTheme="majorHAnsi" w:hAnsiTheme="majorHAnsi" w:cstheme="majorHAnsi"/>
          <w:i/>
        </w:rPr>
        <w:t>p</w:t>
      </w:r>
      <w:r w:rsidRPr="004539C3">
        <w:rPr>
          <w:rFonts w:asciiTheme="majorHAnsi" w:hAnsiTheme="majorHAnsi" w:cstheme="majorHAnsi"/>
          <w:i/>
        </w:rPr>
        <w:t>artnership.</w:t>
      </w:r>
      <w:r>
        <w:rPr>
          <w:rFonts w:asciiTheme="majorHAnsi" w:hAnsiTheme="majorHAnsi" w:cstheme="majorHAnsi"/>
          <w:i/>
        </w:rPr>
        <w:t xml:space="preserve"> [The BEST Program] should have provided stronger technical assistance.</w:t>
      </w:r>
      <w:r w:rsidRPr="004539C3">
        <w:rPr>
          <w:rFonts w:asciiTheme="majorHAnsi" w:hAnsiTheme="majorHAnsi" w:cstheme="majorHAnsi"/>
          <w:i/>
        </w:rPr>
        <w:t>”</w:t>
      </w:r>
      <w:r>
        <w:rPr>
          <w:rStyle w:val="FootnoteReference"/>
          <w:rFonts w:asciiTheme="majorHAnsi" w:eastAsia="Arial Unicode MS" w:hAnsiTheme="majorHAnsi" w:cstheme="majorHAnsi"/>
          <w:i/>
        </w:rPr>
        <w:footnoteReference w:id="16"/>
      </w:r>
    </w:p>
    <w:p w14:paraId="0024C393" w14:textId="77777777" w:rsidR="008D0CAD" w:rsidRPr="006C2CD6" w:rsidRDefault="008D0CAD" w:rsidP="000479A3">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color w:val="000000" w:themeColor="text1"/>
        </w:rPr>
        <w:t>The simultaneous pursuit of the three EOPOs may also have been the reason why two respondents from the CO OUs</w:t>
      </w:r>
      <w:r>
        <w:rPr>
          <w:rStyle w:val="FootnoteReference"/>
          <w:rFonts w:asciiTheme="majorHAnsi" w:eastAsia="Arial Unicode MS" w:hAnsiTheme="majorHAnsi" w:cstheme="majorHAnsi"/>
          <w:color w:val="000000" w:themeColor="text1"/>
        </w:rPr>
        <w:footnoteReference w:id="17"/>
      </w:r>
      <w:r>
        <w:rPr>
          <w:rFonts w:asciiTheme="majorHAnsi" w:hAnsiTheme="majorHAnsi" w:cstheme="majorHAnsi"/>
          <w:color w:val="000000" w:themeColor="text1"/>
        </w:rPr>
        <w:t xml:space="preserve"> noted that they were not aware of how the different program interventions were interlinked</w:t>
      </w:r>
    </w:p>
    <w:p w14:paraId="1D6F9434" w14:textId="112B2549" w:rsidR="008D0CAD" w:rsidRPr="0030073D" w:rsidRDefault="008D0CAD" w:rsidP="00FF4CA3">
      <w:pPr>
        <w:pStyle w:val="Heading4"/>
      </w:pPr>
      <w:r w:rsidRPr="009E153C">
        <w:t>BEST</w:t>
      </w:r>
      <w:r w:rsidRPr="0060647C">
        <w:t xml:space="preserve"> Program </w:t>
      </w:r>
      <w:r>
        <w:t>I</w:t>
      </w:r>
      <w:r w:rsidRPr="0060647C">
        <w:t>nterventions</w:t>
      </w:r>
    </w:p>
    <w:p w14:paraId="5C955267" w14:textId="4EF3DE3A" w:rsidR="008D0CAD" w:rsidRPr="004054A9" w:rsidRDefault="008D0CAD" w:rsidP="000479A3">
      <w:pPr>
        <w:pStyle w:val="BodyText"/>
        <w:spacing w:before="100" w:beforeAutospacing="1" w:after="100" w:afterAutospacing="1" w:line="360" w:lineRule="auto"/>
        <w:ind w:right="20"/>
        <w:rPr>
          <w:rFonts w:asciiTheme="majorHAnsi" w:hAnsiTheme="majorHAnsi" w:cstheme="majorHAnsi"/>
          <w:color w:val="000000" w:themeColor="text1"/>
          <w:sz w:val="24"/>
          <w:szCs w:val="24"/>
        </w:rPr>
      </w:pPr>
      <w:r w:rsidRPr="00B07D16">
        <w:rPr>
          <w:rFonts w:asciiTheme="majorHAnsi" w:hAnsiTheme="majorHAnsi" w:cstheme="majorHAnsi"/>
          <w:color w:val="000000" w:themeColor="text1"/>
          <w:sz w:val="24"/>
          <w:szCs w:val="24"/>
        </w:rPr>
        <w:t>Relevance of the BEST Program was found to be high</w:t>
      </w:r>
      <w:r>
        <w:rPr>
          <w:rFonts w:asciiTheme="majorHAnsi" w:hAnsiTheme="majorHAnsi" w:cstheme="majorHAnsi"/>
          <w:color w:val="000000" w:themeColor="text1"/>
          <w:sz w:val="24"/>
          <w:szCs w:val="24"/>
        </w:rPr>
        <w:t xml:space="preserve"> for</w:t>
      </w:r>
      <w:r w:rsidRPr="004F28FD">
        <w:rPr>
          <w:rFonts w:asciiTheme="majorHAnsi" w:hAnsiTheme="majorHAnsi" w:cstheme="majorHAnsi"/>
          <w:color w:val="000000" w:themeColor="text1"/>
          <w:sz w:val="24"/>
          <w:szCs w:val="24"/>
        </w:rPr>
        <w:t xml:space="preserve"> both the Government</w:t>
      </w:r>
      <w:r>
        <w:rPr>
          <w:rFonts w:asciiTheme="majorHAnsi" w:hAnsiTheme="majorHAnsi" w:cstheme="majorHAnsi"/>
          <w:color w:val="000000" w:themeColor="text1"/>
          <w:sz w:val="24"/>
          <w:szCs w:val="24"/>
        </w:rPr>
        <w:t>s</w:t>
      </w:r>
      <w:r w:rsidRPr="004F28FD">
        <w:rPr>
          <w:rFonts w:asciiTheme="majorHAnsi" w:hAnsiTheme="majorHAnsi" w:cstheme="majorHAnsi"/>
          <w:color w:val="000000" w:themeColor="text1"/>
          <w:sz w:val="24"/>
          <w:szCs w:val="24"/>
        </w:rPr>
        <w:t xml:space="preserve"> of Philippines and </w:t>
      </w:r>
      <w:r>
        <w:rPr>
          <w:rFonts w:asciiTheme="majorHAnsi" w:hAnsiTheme="majorHAnsi" w:cstheme="majorHAnsi"/>
          <w:color w:val="000000" w:themeColor="text1"/>
          <w:sz w:val="24"/>
          <w:szCs w:val="24"/>
        </w:rPr>
        <w:t>that</w:t>
      </w:r>
      <w:r w:rsidRPr="004F28FD">
        <w:rPr>
          <w:rFonts w:asciiTheme="majorHAnsi" w:hAnsiTheme="majorHAnsi" w:cstheme="majorHAnsi"/>
          <w:color w:val="000000" w:themeColor="text1"/>
          <w:sz w:val="24"/>
          <w:szCs w:val="24"/>
        </w:rPr>
        <w:t xml:space="preserve"> of Australia. In particular, </w:t>
      </w:r>
      <w:r>
        <w:rPr>
          <w:rFonts w:asciiTheme="majorHAnsi" w:hAnsiTheme="majorHAnsi" w:cstheme="majorHAnsi"/>
          <w:color w:val="000000" w:themeColor="text1"/>
          <w:sz w:val="24"/>
          <w:szCs w:val="24"/>
        </w:rPr>
        <w:t>its</w:t>
      </w:r>
      <w:r w:rsidRPr="004F28FD">
        <w:rPr>
          <w:rFonts w:asciiTheme="majorHAnsi" w:hAnsiTheme="majorHAnsi" w:cstheme="majorHAnsi"/>
          <w:color w:val="000000" w:themeColor="text1"/>
          <w:sz w:val="24"/>
          <w:szCs w:val="24"/>
        </w:rPr>
        <w:t xml:space="preserve"> objectives </w:t>
      </w:r>
      <w:r w:rsidRPr="00B07D16">
        <w:rPr>
          <w:rFonts w:asciiTheme="majorHAnsi" w:hAnsiTheme="majorHAnsi" w:cstheme="majorHAnsi"/>
          <w:color w:val="000000" w:themeColor="text1"/>
          <w:sz w:val="24"/>
          <w:szCs w:val="24"/>
        </w:rPr>
        <w:t xml:space="preserve">were aligned </w:t>
      </w:r>
      <w:r>
        <w:rPr>
          <w:rFonts w:asciiTheme="majorHAnsi" w:hAnsiTheme="majorHAnsi" w:cstheme="majorHAnsi"/>
          <w:color w:val="000000" w:themeColor="text1"/>
          <w:sz w:val="24"/>
          <w:szCs w:val="24"/>
        </w:rPr>
        <w:t>with</w:t>
      </w:r>
      <w:r w:rsidRPr="00B07D16">
        <w:rPr>
          <w:rFonts w:asciiTheme="majorHAnsi" w:hAnsiTheme="majorHAnsi" w:cstheme="majorHAnsi"/>
          <w:color w:val="000000" w:themeColor="text1"/>
          <w:sz w:val="24"/>
          <w:szCs w:val="24"/>
        </w:rPr>
        <w:t xml:space="preserve"> overall strategic goals</w:t>
      </w:r>
      <w:r>
        <w:rPr>
          <w:rFonts w:asciiTheme="majorHAnsi" w:hAnsiTheme="majorHAnsi" w:cstheme="majorHAnsi"/>
          <w:color w:val="000000" w:themeColor="text1"/>
          <w:sz w:val="24"/>
          <w:szCs w:val="24"/>
        </w:rPr>
        <w:t xml:space="preserve"> as these </w:t>
      </w:r>
      <w:r w:rsidRPr="004F28FD">
        <w:rPr>
          <w:rFonts w:asciiTheme="majorHAnsi" w:hAnsiTheme="majorHAnsi" w:cstheme="majorHAnsi"/>
          <w:color w:val="000000" w:themeColor="text1"/>
          <w:sz w:val="24"/>
          <w:szCs w:val="24"/>
        </w:rPr>
        <w:t xml:space="preserve">aimed to contribute to: (1) improved quality of education outcomes; (2) more equitable access of all people at all levels of education; and (3) improved service delivery through better governance. </w:t>
      </w:r>
      <w:r>
        <w:rPr>
          <w:rFonts w:asciiTheme="majorHAnsi" w:hAnsiTheme="majorHAnsi" w:cstheme="majorHAnsi"/>
          <w:color w:val="000000" w:themeColor="text1"/>
          <w:sz w:val="24"/>
          <w:szCs w:val="24"/>
        </w:rPr>
        <w:t>F</w:t>
      </w:r>
      <w:r w:rsidRPr="004F28FD">
        <w:rPr>
          <w:rFonts w:asciiTheme="majorHAnsi" w:hAnsiTheme="majorHAnsi" w:cstheme="majorHAnsi"/>
          <w:color w:val="000000" w:themeColor="text1"/>
          <w:sz w:val="24"/>
          <w:szCs w:val="24"/>
        </w:rPr>
        <w:t>rom a systemic perspective</w:t>
      </w:r>
      <w:r>
        <w:rPr>
          <w:rFonts w:asciiTheme="majorHAnsi" w:hAnsiTheme="majorHAnsi" w:cstheme="majorHAnsi"/>
          <w:color w:val="000000" w:themeColor="text1"/>
          <w:sz w:val="24"/>
          <w:szCs w:val="24"/>
        </w:rPr>
        <w:t>, t</w:t>
      </w:r>
      <w:r w:rsidRPr="004F28FD">
        <w:rPr>
          <w:rFonts w:asciiTheme="majorHAnsi" w:hAnsiTheme="majorHAnsi" w:cstheme="majorHAnsi"/>
          <w:color w:val="000000" w:themeColor="text1"/>
          <w:sz w:val="24"/>
          <w:szCs w:val="24"/>
        </w:rPr>
        <w:t xml:space="preserve">he Philippine Basic Education sector </w:t>
      </w:r>
      <w:r>
        <w:rPr>
          <w:rFonts w:asciiTheme="majorHAnsi" w:hAnsiTheme="majorHAnsi" w:cstheme="majorHAnsi"/>
          <w:color w:val="000000" w:themeColor="text1"/>
          <w:sz w:val="24"/>
          <w:szCs w:val="24"/>
        </w:rPr>
        <w:t>is populated with</w:t>
      </w:r>
      <w:r w:rsidRPr="004F28FD">
        <w:rPr>
          <w:rFonts w:asciiTheme="majorHAnsi" w:hAnsiTheme="majorHAnsi" w:cstheme="majorHAnsi"/>
          <w:color w:val="000000" w:themeColor="text1"/>
          <w:sz w:val="24"/>
          <w:szCs w:val="24"/>
        </w:rPr>
        <w:t xml:space="preserve"> a range of actors and institutions, each with their own history, reform processes and </w:t>
      </w:r>
      <w:r w:rsidRPr="004054A9">
        <w:rPr>
          <w:rFonts w:asciiTheme="majorHAnsi" w:hAnsiTheme="majorHAnsi" w:cstheme="majorHAnsi"/>
          <w:color w:val="000000" w:themeColor="text1"/>
          <w:sz w:val="24"/>
          <w:szCs w:val="24"/>
        </w:rPr>
        <w:t>interests. Largely, it was assessed that the BEST Program operated effectively within this context. However, the communication of reforms to both internal and external stakeholders was found to be inadequate. This review concentrated only on ten (10) BEST Program interventions (refer also to Annex B).</w:t>
      </w:r>
      <w:r w:rsidR="00D434EB">
        <w:rPr>
          <w:rFonts w:asciiTheme="majorHAnsi" w:hAnsiTheme="majorHAnsi" w:cstheme="majorHAnsi"/>
          <w:color w:val="000000" w:themeColor="text1"/>
          <w:sz w:val="24"/>
          <w:szCs w:val="24"/>
        </w:rPr>
        <w:t xml:space="preserve"> </w:t>
      </w:r>
      <w:r w:rsidRPr="004054A9">
        <w:rPr>
          <w:rFonts w:asciiTheme="majorHAnsi" w:hAnsiTheme="majorHAnsi" w:cstheme="majorHAnsi"/>
          <w:color w:val="000000" w:themeColor="text1"/>
          <w:sz w:val="24"/>
          <w:szCs w:val="24"/>
        </w:rPr>
        <w:t>A full discussion on the relevance of the BEST Program interventions is attached as Annex R. Relevance of BEST Program Interventions: A Literature Review</w:t>
      </w:r>
      <w:r w:rsidRPr="004054A9">
        <w:rPr>
          <w:rFonts w:asciiTheme="majorHAnsi" w:hAnsiTheme="majorHAnsi" w:cstheme="majorHAnsi"/>
          <w:i/>
          <w:iCs/>
          <w:color w:val="000000" w:themeColor="text1"/>
        </w:rPr>
        <w:t>.</w:t>
      </w:r>
    </w:p>
    <w:p w14:paraId="67871487" w14:textId="6780B36D" w:rsidR="008D0CAD" w:rsidRPr="007A5C44" w:rsidRDefault="008D0CAD" w:rsidP="000479A3">
      <w:pPr>
        <w:pStyle w:val="Heading5"/>
        <w:numPr>
          <w:ilvl w:val="3"/>
          <w:numId w:val="17"/>
        </w:numPr>
        <w:spacing w:before="100" w:beforeAutospacing="1" w:after="100" w:afterAutospacing="1" w:line="360" w:lineRule="auto"/>
      </w:pPr>
      <w:r w:rsidRPr="007A5C44">
        <w:t xml:space="preserve">Towards Increasing Student Mastery </w:t>
      </w:r>
    </w:p>
    <w:p w14:paraId="442B7A73" w14:textId="77777777" w:rsidR="008D0CAD" w:rsidRDefault="008D0CAD" w:rsidP="000479A3">
      <w:pPr>
        <w:pStyle w:val="NormalWeb"/>
        <w:shd w:val="clear" w:color="auto" w:fill="FFFFFF"/>
        <w:spacing w:line="360" w:lineRule="auto"/>
        <w:rPr>
          <w:rFonts w:asciiTheme="majorHAnsi" w:hAnsiTheme="majorHAnsi" w:cstheme="majorHAnsi"/>
          <w:color w:val="000000" w:themeColor="text1"/>
        </w:rPr>
      </w:pPr>
      <w:r w:rsidRPr="00DE7318">
        <w:rPr>
          <w:rStyle w:val="Strong"/>
          <w:rFonts w:asciiTheme="majorHAnsi" w:eastAsiaTheme="majorEastAsia" w:hAnsiTheme="majorHAnsi" w:cstheme="majorHAnsi"/>
          <w:color w:val="000000" w:themeColor="text1"/>
          <w:spacing w:val="2"/>
        </w:rPr>
        <w:t>Four BEST Program interventions directly contributed to</w:t>
      </w:r>
      <w:r w:rsidRPr="00D00B78">
        <w:rPr>
          <w:rStyle w:val="Strong"/>
          <w:rFonts w:eastAsiaTheme="majorEastAsia" w:cstheme="majorHAnsi"/>
          <w:color w:val="000000" w:themeColor="text1"/>
          <w:spacing w:val="2"/>
        </w:rPr>
        <w:t xml:space="preserve"> </w:t>
      </w:r>
      <w:r w:rsidRPr="0035250B">
        <w:rPr>
          <w:rFonts w:asciiTheme="majorHAnsi" w:hAnsiTheme="majorHAnsi" w:cstheme="majorHAnsi"/>
          <w:color w:val="000000" w:themeColor="text1"/>
        </w:rPr>
        <w:t>increasing student mastery of the curriculum</w:t>
      </w:r>
      <w:r w:rsidRPr="00D00B78">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(refers to EOPO 1) </w:t>
      </w:r>
      <w:r w:rsidRPr="00D00B78">
        <w:rPr>
          <w:rFonts w:asciiTheme="majorHAnsi" w:hAnsiTheme="majorHAnsi" w:cstheme="majorHAnsi"/>
          <w:color w:val="000000" w:themeColor="text1"/>
        </w:rPr>
        <w:t xml:space="preserve">as shown in the Program Theory of Change (refer also to Annex B). These interventions were: Learning and Development (L&amp;D); </w:t>
      </w:r>
      <w:r>
        <w:rPr>
          <w:rFonts w:asciiTheme="majorHAnsi" w:hAnsiTheme="majorHAnsi" w:cstheme="majorHAnsi"/>
          <w:color w:val="000000" w:themeColor="text1"/>
        </w:rPr>
        <w:t>Philippine Professional Standards of Teachers (</w:t>
      </w:r>
      <w:r w:rsidRPr="00D00B78">
        <w:rPr>
          <w:rFonts w:asciiTheme="majorHAnsi" w:hAnsiTheme="majorHAnsi" w:cstheme="majorHAnsi"/>
          <w:color w:val="000000" w:themeColor="text1"/>
        </w:rPr>
        <w:t>PPST</w:t>
      </w:r>
      <w:r>
        <w:rPr>
          <w:rFonts w:asciiTheme="majorHAnsi" w:hAnsiTheme="majorHAnsi" w:cstheme="majorHAnsi"/>
          <w:color w:val="000000" w:themeColor="text1"/>
        </w:rPr>
        <w:t>)</w:t>
      </w:r>
      <w:r w:rsidRPr="00D00B78">
        <w:rPr>
          <w:rFonts w:asciiTheme="majorHAnsi" w:hAnsiTheme="majorHAnsi" w:cstheme="majorHAnsi"/>
          <w:color w:val="000000" w:themeColor="text1"/>
        </w:rPr>
        <w:t>; Curriculum and Assessment</w:t>
      </w:r>
      <w:r>
        <w:rPr>
          <w:rFonts w:asciiTheme="majorHAnsi" w:hAnsiTheme="majorHAnsi" w:cstheme="majorHAnsi"/>
          <w:color w:val="000000" w:themeColor="text1"/>
        </w:rPr>
        <w:t xml:space="preserve"> (C&amp;A)</w:t>
      </w:r>
      <w:r w:rsidRPr="00D00B78">
        <w:rPr>
          <w:rFonts w:asciiTheme="majorHAnsi" w:hAnsiTheme="majorHAnsi" w:cstheme="majorHAnsi"/>
          <w:color w:val="000000" w:themeColor="text1"/>
        </w:rPr>
        <w:t xml:space="preserve">; and </w:t>
      </w:r>
      <w:r>
        <w:rPr>
          <w:rFonts w:asciiTheme="majorHAnsi" w:hAnsiTheme="majorHAnsi" w:cstheme="majorHAnsi"/>
          <w:color w:val="000000" w:themeColor="text1"/>
        </w:rPr>
        <w:t>Teacher Pre-service Quality Improvement (</w:t>
      </w:r>
      <w:r w:rsidRPr="00D00B78">
        <w:rPr>
          <w:rFonts w:asciiTheme="majorHAnsi" w:hAnsiTheme="majorHAnsi" w:cstheme="majorHAnsi"/>
          <w:color w:val="000000" w:themeColor="text1"/>
        </w:rPr>
        <w:t>TPQI</w:t>
      </w:r>
      <w:r>
        <w:rPr>
          <w:rFonts w:asciiTheme="majorHAnsi" w:hAnsiTheme="majorHAnsi" w:cstheme="majorHAnsi"/>
          <w:color w:val="000000" w:themeColor="text1"/>
        </w:rPr>
        <w:t>)</w:t>
      </w:r>
      <w:r w:rsidRPr="00D00B78">
        <w:rPr>
          <w:rFonts w:asciiTheme="majorHAnsi" w:hAnsiTheme="majorHAnsi" w:cstheme="majorHAnsi"/>
          <w:color w:val="000000" w:themeColor="text1"/>
        </w:rPr>
        <w:t xml:space="preserve">. </w:t>
      </w:r>
      <w:r>
        <w:rPr>
          <w:rFonts w:asciiTheme="majorHAnsi" w:hAnsiTheme="majorHAnsi" w:cstheme="majorHAnsi"/>
          <w:color w:val="000000" w:themeColor="text1"/>
        </w:rPr>
        <w:t>The four interventions, each corresponding to one Immediate Outcome, are collectively expected to strengthen the capacity of “</w:t>
      </w:r>
      <w:r w:rsidRPr="0067479C">
        <w:rPr>
          <w:rFonts w:asciiTheme="majorHAnsi" w:hAnsiTheme="majorHAnsi" w:cstheme="majorHAnsi"/>
          <w:i/>
          <w:iCs/>
          <w:color w:val="000000" w:themeColor="text1"/>
          <w:lang w:val="en-US"/>
        </w:rPr>
        <w:t>education leaders, managers and teachers in applying gender responsive evidence-based, contextualised approaches, methods and materials for student learning</w:t>
      </w:r>
      <w:r>
        <w:rPr>
          <w:rFonts w:asciiTheme="majorHAnsi" w:hAnsiTheme="majorHAnsi" w:cstheme="majorHAnsi"/>
          <w:color w:val="000000" w:themeColor="text1"/>
          <w:lang w:val="en-US"/>
        </w:rPr>
        <w:t>”</w:t>
      </w:r>
      <w:r>
        <w:rPr>
          <w:rFonts w:asciiTheme="majorHAnsi" w:hAnsiTheme="majorHAnsi" w:cstheme="majorHAnsi"/>
          <w:color w:val="000000" w:themeColor="text1"/>
        </w:rPr>
        <w:t xml:space="preserve"> (refers to Intermediate Outcome 1).</w:t>
      </w:r>
    </w:p>
    <w:p w14:paraId="53056DD6" w14:textId="7CA1278A" w:rsidR="008D0CAD" w:rsidRPr="00787936" w:rsidRDefault="008D0CAD" w:rsidP="000479A3">
      <w:pPr>
        <w:pStyle w:val="NormalWeb"/>
        <w:shd w:val="clear" w:color="auto" w:fill="FFFFFF"/>
        <w:spacing w:line="360" w:lineRule="auto"/>
        <w:rPr>
          <w:rFonts w:asciiTheme="majorHAnsi" w:hAnsiTheme="majorHAnsi" w:cstheme="majorHAnsi"/>
          <w:color w:val="000000" w:themeColor="text1"/>
        </w:rPr>
      </w:pPr>
      <w:r w:rsidRPr="00D00B78">
        <w:rPr>
          <w:rFonts w:asciiTheme="majorHAnsi" w:hAnsiTheme="majorHAnsi" w:cstheme="majorHAnsi"/>
          <w:color w:val="000000" w:themeColor="text1"/>
        </w:rPr>
        <w:t xml:space="preserve">The literature review on education reforms all justify the inclusion of the four program interventions in the BEST Program. </w:t>
      </w:r>
      <w:r>
        <w:rPr>
          <w:rFonts w:asciiTheme="majorHAnsi" w:hAnsiTheme="majorHAnsi" w:cstheme="majorHAnsi"/>
          <w:color w:val="000000" w:themeColor="text1"/>
        </w:rPr>
        <w:t xml:space="preserve">However, the most significant of the four in terms of alignment with the priorities of the Philippine Government (i.e., the shift to K to 12 curriculum) were the interventions in </w:t>
      </w:r>
      <w:r w:rsidRPr="00D00B78">
        <w:rPr>
          <w:rFonts w:asciiTheme="majorHAnsi" w:hAnsiTheme="majorHAnsi" w:cstheme="majorHAnsi"/>
          <w:color w:val="000000" w:themeColor="text1"/>
        </w:rPr>
        <w:t>Curriculum and Assessment</w:t>
      </w:r>
      <w:r>
        <w:rPr>
          <w:rFonts w:asciiTheme="majorHAnsi" w:hAnsiTheme="majorHAnsi" w:cstheme="majorHAnsi"/>
          <w:color w:val="000000" w:themeColor="text1"/>
        </w:rPr>
        <w:t>.</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It was the Program outputs under Curriculum (i.e., K to 12 Curriculum Guides) and under Assessment (i.e., </w:t>
      </w:r>
      <w:r w:rsidRPr="00787936">
        <w:rPr>
          <w:rFonts w:asciiTheme="majorHAnsi" w:hAnsiTheme="majorHAnsi" w:cstheme="majorHAnsi"/>
          <w:color w:val="000000" w:themeColor="text1"/>
        </w:rPr>
        <w:t>classroom assessment and national assessment) that were found to be highly relevant from the perspectives of field units. The effects of the Learning and Development (L&amp;D)</w:t>
      </w:r>
      <w:r>
        <w:rPr>
          <w:rFonts w:asciiTheme="majorHAnsi" w:hAnsiTheme="majorHAnsi" w:cstheme="majorHAnsi"/>
          <w:color w:val="000000" w:themeColor="text1"/>
        </w:rPr>
        <w:t xml:space="preserve"> system</w:t>
      </w:r>
      <w:r w:rsidRPr="00787936">
        <w:rPr>
          <w:rFonts w:asciiTheme="majorHAnsi" w:hAnsiTheme="majorHAnsi" w:cstheme="majorHAnsi"/>
          <w:color w:val="000000" w:themeColor="text1"/>
        </w:rPr>
        <w:t xml:space="preserve">, the </w:t>
      </w:r>
      <w:r w:rsidRPr="00787936">
        <w:rPr>
          <w:rFonts w:asciiTheme="majorHAnsi" w:hAnsiTheme="majorHAnsi" w:cstheme="majorHAnsi"/>
          <w:color w:val="000000" w:themeColor="text1"/>
          <w:lang w:eastAsia="en-PH"/>
        </w:rPr>
        <w:t>Philippines Professional Standards for Teachers</w:t>
      </w:r>
      <w:r w:rsidRPr="00787936">
        <w:rPr>
          <w:rFonts w:asciiTheme="majorHAnsi" w:hAnsiTheme="majorHAnsi" w:cstheme="majorHAnsi"/>
          <w:color w:val="000000" w:themeColor="text1"/>
        </w:rPr>
        <w:t xml:space="preserve"> (PPST) and the </w:t>
      </w:r>
      <w:r w:rsidRPr="00787936">
        <w:rPr>
          <w:rFonts w:asciiTheme="majorHAnsi" w:hAnsiTheme="majorHAnsi" w:cstheme="majorHAnsi"/>
          <w:color w:val="000000" w:themeColor="text1"/>
          <w:lang w:eastAsia="en-PH"/>
        </w:rPr>
        <w:t>Teacher Pre-Service Quality Improvement</w:t>
      </w:r>
      <w:r w:rsidRPr="00787936">
        <w:rPr>
          <w:rFonts w:asciiTheme="majorHAnsi" w:hAnsiTheme="majorHAnsi" w:cstheme="majorHAnsi"/>
          <w:color w:val="000000" w:themeColor="text1"/>
        </w:rPr>
        <w:t xml:space="preserve"> (TPQI), while relevant in the long-term, did not have the immediate efficacy of the </w:t>
      </w:r>
      <w:r>
        <w:rPr>
          <w:rFonts w:asciiTheme="majorHAnsi" w:hAnsiTheme="majorHAnsi" w:cstheme="majorHAnsi"/>
          <w:color w:val="000000" w:themeColor="text1"/>
        </w:rPr>
        <w:t>C&amp;A</w:t>
      </w:r>
      <w:r w:rsidRPr="00787936">
        <w:rPr>
          <w:rFonts w:asciiTheme="majorHAnsi" w:hAnsiTheme="majorHAnsi" w:cstheme="majorHAnsi"/>
          <w:color w:val="000000" w:themeColor="text1"/>
        </w:rPr>
        <w:t xml:space="preserve"> interventions.</w:t>
      </w:r>
    </w:p>
    <w:p w14:paraId="12537F57" w14:textId="7B6A968D" w:rsidR="008D0CAD" w:rsidRPr="007A5C44" w:rsidRDefault="008D0CAD" w:rsidP="000479A3">
      <w:pPr>
        <w:pStyle w:val="Heading5"/>
        <w:numPr>
          <w:ilvl w:val="3"/>
          <w:numId w:val="17"/>
        </w:numPr>
        <w:spacing w:before="100" w:beforeAutospacing="1" w:after="100" w:afterAutospacing="1" w:line="360" w:lineRule="auto"/>
      </w:pPr>
      <w:r w:rsidRPr="007A5C44">
        <w:t>Towards Increasing Student Participation</w:t>
      </w:r>
    </w:p>
    <w:p w14:paraId="2848E2DB" w14:textId="77777777" w:rsidR="008D0CAD" w:rsidRDefault="008D0CAD" w:rsidP="000479A3">
      <w:pPr>
        <w:pStyle w:val="NormalWeb"/>
        <w:shd w:val="clear" w:color="auto" w:fill="FFFFFF"/>
        <w:spacing w:line="360" w:lineRule="auto"/>
        <w:rPr>
          <w:rFonts w:asciiTheme="majorHAnsi" w:hAnsiTheme="majorHAnsi" w:cstheme="majorHAnsi"/>
        </w:rPr>
      </w:pPr>
      <w:r w:rsidRPr="00DE7318">
        <w:rPr>
          <w:rStyle w:val="Strong"/>
          <w:rFonts w:asciiTheme="majorHAnsi" w:eastAsiaTheme="majorEastAsia" w:hAnsiTheme="majorHAnsi" w:cstheme="majorHAnsi"/>
          <w:color w:val="000000" w:themeColor="text1"/>
          <w:spacing w:val="2"/>
        </w:rPr>
        <w:t>Two BEST Program interventions directly contributed</w:t>
      </w:r>
      <w:r>
        <w:rPr>
          <w:rStyle w:val="Strong"/>
          <w:rFonts w:eastAsiaTheme="majorEastAsia" w:cstheme="majorHAnsi"/>
          <w:color w:val="000000" w:themeColor="text1"/>
          <w:spacing w:val="2"/>
        </w:rPr>
        <w:t xml:space="preserve"> to </w:t>
      </w:r>
      <w:r w:rsidRPr="00B07D16">
        <w:rPr>
          <w:rFonts w:asciiTheme="majorHAnsi" w:hAnsiTheme="majorHAnsi" w:cstheme="majorHAnsi"/>
        </w:rPr>
        <w:t xml:space="preserve">increasing participation of students </w:t>
      </w:r>
      <w:r w:rsidRPr="00B07D16">
        <w:rPr>
          <w:rFonts w:asciiTheme="majorHAnsi" w:hAnsiTheme="majorHAnsi" w:cstheme="majorHAnsi"/>
          <w:i/>
          <w:iCs/>
        </w:rPr>
        <w:t>from all segments of society</w:t>
      </w:r>
      <w:r>
        <w:rPr>
          <w:rFonts w:asciiTheme="majorHAnsi" w:hAnsiTheme="majorHAnsi" w:cstheme="majorHAnsi"/>
        </w:rPr>
        <w:t xml:space="preserve"> (refers to EOPO 2) namely: Gender Equity, Disability and Social Inclusion (GEDSI); and Classroom Construction. </w:t>
      </w:r>
    </w:p>
    <w:p w14:paraId="0F33B285" w14:textId="63F5448E" w:rsidR="008D0CAD" w:rsidRPr="006C613C" w:rsidRDefault="008D0CAD" w:rsidP="000479A3">
      <w:pPr>
        <w:pStyle w:val="NormalWeb"/>
        <w:shd w:val="clear" w:color="auto" w:fill="FFFFFF"/>
        <w:spacing w:line="360" w:lineRule="auto"/>
        <w:rPr>
          <w:rFonts w:asciiTheme="majorHAnsi" w:hAnsiTheme="majorHAnsi" w:cstheme="majorHAnsi"/>
          <w:color w:val="000000" w:themeColor="text1"/>
        </w:rPr>
      </w:pPr>
      <w:r w:rsidRPr="0035250B">
        <w:rPr>
          <w:rFonts w:asciiTheme="majorHAnsi" w:hAnsiTheme="majorHAnsi" w:cstheme="majorHAnsi"/>
          <w:color w:val="000000" w:themeColor="text1"/>
        </w:rPr>
        <w:t xml:space="preserve">The review of literature undertaken by the EOPE Study </w:t>
      </w:r>
      <w:r>
        <w:rPr>
          <w:rFonts w:asciiTheme="majorHAnsi" w:hAnsiTheme="majorHAnsi" w:cstheme="majorHAnsi"/>
          <w:color w:val="000000" w:themeColor="text1"/>
        </w:rPr>
        <w:t xml:space="preserve">highlight the appropriateness and relevance of the interventions on Classroom Construction and GEDSI in increasing student participation. Prior to the start of the implementation of the BEST Program, </w:t>
      </w:r>
      <w:r w:rsidRPr="00751A28">
        <w:rPr>
          <w:rFonts w:asciiTheme="majorHAnsi" w:hAnsiTheme="majorHAnsi" w:cstheme="majorHAnsi"/>
          <w:color w:val="000000" w:themeColor="text1"/>
        </w:rPr>
        <w:t xml:space="preserve">classroom requirements for basic education was pegged at </w:t>
      </w:r>
      <w:r>
        <w:rPr>
          <w:rFonts w:asciiTheme="majorHAnsi" w:hAnsiTheme="majorHAnsi" w:cstheme="majorHAnsi"/>
          <w:color w:val="000000" w:themeColor="text1"/>
        </w:rPr>
        <w:t xml:space="preserve">around </w:t>
      </w:r>
      <w:r w:rsidRPr="00751A28">
        <w:rPr>
          <w:rFonts w:asciiTheme="majorHAnsi" w:hAnsiTheme="majorHAnsi" w:cstheme="majorHAnsi"/>
          <w:color w:val="000000" w:themeColor="text1"/>
        </w:rPr>
        <w:t>8,000 classrooms</w:t>
      </w:r>
      <w:r>
        <w:rPr>
          <w:rFonts w:asciiTheme="majorHAnsi" w:hAnsiTheme="majorHAnsi" w:cstheme="majorHAnsi"/>
          <w:color w:val="000000" w:themeColor="text1"/>
        </w:rPr>
        <w:t xml:space="preserve"> </w:t>
      </w:r>
      <w:r w:rsidRPr="00751A28">
        <w:rPr>
          <w:rFonts w:asciiTheme="majorHAnsi" w:hAnsiTheme="majorHAnsi" w:cstheme="majorHAnsi"/>
          <w:color w:val="000000" w:themeColor="text1"/>
        </w:rPr>
        <w:t>nationwide</w:t>
      </w:r>
      <w:r>
        <w:rPr>
          <w:rFonts w:asciiTheme="majorHAnsi" w:hAnsiTheme="majorHAnsi" w:cstheme="majorHAnsi"/>
          <w:color w:val="000000" w:themeColor="text1"/>
        </w:rPr>
        <w:t xml:space="preserve"> </w:t>
      </w:r>
      <w:r w:rsidRPr="00751A28">
        <w:rPr>
          <w:rFonts w:asciiTheme="majorHAnsi" w:hAnsiTheme="majorHAnsi" w:cstheme="majorHAnsi"/>
          <w:color w:val="000000" w:themeColor="text1"/>
        </w:rPr>
        <w:t>(2012</w:t>
      </w:r>
      <w:r>
        <w:rPr>
          <w:rFonts w:asciiTheme="majorHAnsi" w:hAnsiTheme="majorHAnsi" w:cstheme="majorHAnsi"/>
          <w:color w:val="000000" w:themeColor="text1"/>
        </w:rPr>
        <w:t xml:space="preserve"> data</w:t>
      </w:r>
      <w:r w:rsidRPr="00751A28">
        <w:rPr>
          <w:rFonts w:asciiTheme="majorHAnsi" w:hAnsiTheme="majorHAnsi" w:cstheme="majorHAnsi"/>
          <w:color w:val="000000" w:themeColor="text1"/>
        </w:rPr>
        <w:t>).</w:t>
      </w:r>
      <w:r>
        <w:rPr>
          <w:rStyle w:val="FootnoteReference"/>
          <w:rFonts w:asciiTheme="majorHAnsi" w:eastAsia="Arial Unicode MS" w:hAnsiTheme="majorHAnsi" w:cstheme="majorHAnsi"/>
          <w:color w:val="000000" w:themeColor="text1"/>
        </w:rPr>
        <w:footnoteReference w:id="18"/>
      </w:r>
      <w:r w:rsidR="00D434EB">
        <w:rPr>
          <w:rFonts w:asciiTheme="majorHAnsi" w:hAnsiTheme="majorHAnsi" w:cstheme="majorHAnsi"/>
          <w:color w:val="000000" w:themeColor="text1"/>
        </w:rPr>
        <w:t xml:space="preserve"> </w:t>
      </w:r>
      <w:r w:rsidRPr="006C613C">
        <w:rPr>
          <w:rFonts w:asciiTheme="majorHAnsi" w:hAnsiTheme="majorHAnsi" w:cstheme="majorHAnsi"/>
          <w:color w:val="000000" w:themeColor="text1"/>
        </w:rPr>
        <w:t xml:space="preserve">Thus, the additional 509 classrooms provided by the Program was </w:t>
      </w:r>
      <w:r>
        <w:rPr>
          <w:rFonts w:asciiTheme="majorHAnsi" w:hAnsiTheme="majorHAnsi" w:cstheme="majorHAnsi"/>
          <w:color w:val="000000" w:themeColor="text1"/>
        </w:rPr>
        <w:t xml:space="preserve">relevant and </w:t>
      </w:r>
      <w:r w:rsidRPr="006C613C">
        <w:rPr>
          <w:rFonts w:asciiTheme="majorHAnsi" w:hAnsiTheme="majorHAnsi" w:cstheme="majorHAnsi"/>
          <w:color w:val="000000" w:themeColor="text1"/>
        </w:rPr>
        <w:t>substantial.</w:t>
      </w:r>
      <w:r w:rsidR="00D434EB">
        <w:rPr>
          <w:rFonts w:asciiTheme="majorHAnsi" w:hAnsiTheme="majorHAnsi" w:cstheme="majorHAnsi"/>
          <w:color w:val="000000" w:themeColor="text1"/>
        </w:rPr>
        <w:t xml:space="preserve"> </w:t>
      </w:r>
    </w:p>
    <w:p w14:paraId="4D544C51" w14:textId="77777777" w:rsidR="008D0CAD" w:rsidRPr="003E5F12" w:rsidRDefault="008D0CAD" w:rsidP="000479A3">
      <w:pPr>
        <w:pStyle w:val="NormalWeb"/>
        <w:shd w:val="clear" w:color="auto" w:fill="FFFFFF"/>
        <w:spacing w:line="360" w:lineRule="auto"/>
        <w:rPr>
          <w:rFonts w:asciiTheme="majorHAnsi" w:hAnsiTheme="majorHAnsi" w:cstheme="majorHAnsi"/>
          <w:color w:val="000000" w:themeColor="text1"/>
        </w:rPr>
      </w:pPr>
      <w:r w:rsidRPr="003E5F12">
        <w:rPr>
          <w:rFonts w:asciiTheme="majorHAnsi" w:hAnsiTheme="majorHAnsi" w:cstheme="majorHAnsi"/>
          <w:color w:val="000000" w:themeColor="text1"/>
        </w:rPr>
        <w:t>Although not aptly reflected in the Results Framework, the Study found that two BEST Program interventions significantly contribute to EOPO 2, i.e., SBM and L&amp;D.</w:t>
      </w:r>
      <w:r>
        <w:rPr>
          <w:rFonts w:asciiTheme="majorHAnsi" w:hAnsiTheme="majorHAnsi" w:cstheme="majorHAnsi"/>
          <w:color w:val="000000" w:themeColor="text1"/>
        </w:rPr>
        <w:t xml:space="preserve"> In fact, while the necessity of the </w:t>
      </w:r>
      <w:r>
        <w:rPr>
          <w:rFonts w:asciiTheme="majorHAnsi" w:hAnsiTheme="majorHAnsi" w:cstheme="majorHAnsi"/>
        </w:rPr>
        <w:t xml:space="preserve">Classroom Construction </w:t>
      </w:r>
      <w:r>
        <w:rPr>
          <w:rFonts w:asciiTheme="majorHAnsi" w:hAnsiTheme="majorHAnsi" w:cstheme="majorHAnsi"/>
          <w:color w:val="000000" w:themeColor="text1"/>
        </w:rPr>
        <w:t xml:space="preserve">interventions </w:t>
      </w:r>
      <w:r>
        <w:rPr>
          <w:rFonts w:asciiTheme="majorHAnsi" w:hAnsiTheme="majorHAnsi" w:cstheme="majorHAnsi"/>
        </w:rPr>
        <w:t>cannot be denied</w:t>
      </w:r>
      <w:r w:rsidRPr="003E5F12">
        <w:rPr>
          <w:rFonts w:asciiTheme="majorHAnsi" w:hAnsiTheme="majorHAnsi" w:cstheme="majorHAnsi"/>
          <w:color w:val="000000" w:themeColor="text1"/>
        </w:rPr>
        <w:t>, interventions on SBM and L&amp;D were seen as equally</w:t>
      </w:r>
      <w:r>
        <w:rPr>
          <w:rFonts w:asciiTheme="majorHAnsi" w:hAnsiTheme="majorHAnsi" w:cstheme="majorHAnsi"/>
          <w:color w:val="000000" w:themeColor="text1"/>
        </w:rPr>
        <w:t>,</w:t>
      </w:r>
      <w:r w:rsidRPr="003E5F12">
        <w:rPr>
          <w:rFonts w:asciiTheme="majorHAnsi" w:hAnsiTheme="majorHAnsi" w:cstheme="majorHAnsi"/>
          <w:color w:val="000000" w:themeColor="text1"/>
        </w:rPr>
        <w:t xml:space="preserve"> if not more substantial in increasing student participation</w:t>
      </w:r>
      <w:r>
        <w:rPr>
          <w:rFonts w:asciiTheme="majorHAnsi" w:hAnsiTheme="majorHAnsi" w:cstheme="majorHAnsi"/>
          <w:color w:val="000000" w:themeColor="text1"/>
        </w:rPr>
        <w:t xml:space="preserve"> from the perspectives of school-level respondents</w:t>
      </w:r>
      <w:r w:rsidRPr="003E5F12">
        <w:rPr>
          <w:rFonts w:asciiTheme="majorHAnsi" w:hAnsiTheme="majorHAnsi" w:cstheme="majorHAnsi"/>
          <w:color w:val="000000" w:themeColor="text1"/>
        </w:rPr>
        <w:t xml:space="preserve">. </w:t>
      </w:r>
    </w:p>
    <w:p w14:paraId="36009B83" w14:textId="6268FFCD" w:rsidR="008D0CAD" w:rsidRPr="004F28FD" w:rsidRDefault="008D0CAD" w:rsidP="00DD08E3">
      <w:pPr>
        <w:pStyle w:val="Heading5"/>
        <w:numPr>
          <w:ilvl w:val="4"/>
          <w:numId w:val="162"/>
        </w:numPr>
        <w:spacing w:before="100" w:beforeAutospacing="1" w:after="100" w:afterAutospacing="1" w:line="360" w:lineRule="auto"/>
      </w:pPr>
      <w:r w:rsidRPr="007A5C44">
        <w:t>Toward</w:t>
      </w:r>
      <w:r>
        <w:t>s</w:t>
      </w:r>
      <w:r w:rsidRPr="007A5C44">
        <w:t xml:space="preserve"> increasing </w:t>
      </w:r>
      <w:r>
        <w:t>DepEd’s</w:t>
      </w:r>
      <w:r w:rsidRPr="007A5C44">
        <w:t xml:space="preserve"> capacity to deliver responsive and inclusive education services </w:t>
      </w:r>
      <w:r>
        <w:t>with greater</w:t>
      </w:r>
      <w:r w:rsidRPr="007A5C44">
        <w:t xml:space="preserve"> </w:t>
      </w:r>
      <w:r>
        <w:t>d</w:t>
      </w:r>
      <w:r w:rsidRPr="007A5C44">
        <w:t>ecentrali</w:t>
      </w:r>
      <w:r>
        <w:t>sation</w:t>
      </w:r>
    </w:p>
    <w:p w14:paraId="505AD37F" w14:textId="5353EEAD" w:rsidR="008D0CAD" w:rsidRPr="009D1AFC" w:rsidRDefault="008D0CAD" w:rsidP="000479A3">
      <w:pPr>
        <w:pStyle w:val="NormalWeb"/>
        <w:shd w:val="clear" w:color="auto" w:fill="FFFFFF"/>
        <w:spacing w:line="360" w:lineRule="auto"/>
        <w:rPr>
          <w:rFonts w:asciiTheme="majorHAnsi" w:hAnsiTheme="majorHAnsi" w:cstheme="majorHAnsi"/>
          <w:color w:val="000000" w:themeColor="text1"/>
        </w:rPr>
      </w:pPr>
      <w:r w:rsidRPr="00DE7318">
        <w:rPr>
          <w:rStyle w:val="Strong"/>
          <w:rFonts w:asciiTheme="majorHAnsi" w:eastAsiaTheme="majorEastAsia" w:hAnsiTheme="majorHAnsi" w:cstheme="majorHAnsi"/>
          <w:color w:val="000000" w:themeColor="text1"/>
          <w:spacing w:val="2"/>
        </w:rPr>
        <w:t>The remaining four BEST Program interventions directly contributed to</w:t>
      </w:r>
      <w:r>
        <w:rPr>
          <w:rStyle w:val="Strong"/>
          <w:rFonts w:eastAsiaTheme="majorEastAsia" w:cstheme="majorHAnsi"/>
          <w:color w:val="000000" w:themeColor="text1"/>
          <w:spacing w:val="2"/>
        </w:rPr>
        <w:t xml:space="preserve"> </w:t>
      </w:r>
      <w:r>
        <w:rPr>
          <w:rFonts w:asciiTheme="majorHAnsi" w:hAnsiTheme="majorHAnsi" w:cstheme="majorHAnsi"/>
        </w:rPr>
        <w:t>increasing DepEd’s capacity to deliver responsive and inclusive basic education services with greater decentralisation of management and accountability.</w:t>
      </w:r>
      <w:r w:rsidR="00D434EB">
        <w:rPr>
          <w:rFonts w:asciiTheme="majorHAnsi" w:hAnsiTheme="majorHAnsi" w:cstheme="majorHAnsi"/>
        </w:rPr>
        <w:t xml:space="preserve"> </w:t>
      </w:r>
      <w:r>
        <w:rPr>
          <w:rFonts w:asciiTheme="majorHAnsi" w:hAnsiTheme="majorHAnsi" w:cstheme="majorHAnsi"/>
        </w:rPr>
        <w:t xml:space="preserve">These are: Policy, Planning and </w:t>
      </w:r>
      <w:r w:rsidRPr="00F8205A">
        <w:rPr>
          <w:rFonts w:asciiTheme="majorHAnsi" w:hAnsiTheme="majorHAnsi" w:cstheme="majorHAnsi"/>
        </w:rPr>
        <w:t xml:space="preserve">Monitoring and Evaluation System (PPMES); </w:t>
      </w:r>
      <w:r>
        <w:rPr>
          <w:rFonts w:asciiTheme="majorHAnsi" w:hAnsiTheme="majorHAnsi" w:cstheme="majorHAnsi"/>
        </w:rPr>
        <w:t xml:space="preserve">School-Based Management (SBM); </w:t>
      </w:r>
      <w:r w:rsidRPr="00F8205A">
        <w:rPr>
          <w:rFonts w:asciiTheme="majorHAnsi" w:hAnsiTheme="majorHAnsi" w:cstheme="majorHAnsi"/>
        </w:rPr>
        <w:t xml:space="preserve">Unified Information System and its Sub-Systems </w:t>
      </w:r>
      <w:r w:rsidRPr="009D1AFC">
        <w:rPr>
          <w:rFonts w:asciiTheme="majorHAnsi" w:hAnsiTheme="majorHAnsi" w:cstheme="majorHAnsi"/>
          <w:color w:val="000000" w:themeColor="text1"/>
        </w:rPr>
        <w:t>(UISS); and Organizational Development (OD)</w:t>
      </w:r>
      <w:r>
        <w:rPr>
          <w:rFonts w:asciiTheme="majorHAnsi" w:hAnsiTheme="majorHAnsi" w:cstheme="majorHAnsi"/>
          <w:color w:val="000000" w:themeColor="text1"/>
        </w:rPr>
        <w:t xml:space="preserve"> support</w:t>
      </w:r>
      <w:r w:rsidRPr="009D1AFC">
        <w:rPr>
          <w:rFonts w:asciiTheme="majorHAnsi" w:hAnsiTheme="majorHAnsi" w:cstheme="majorHAnsi"/>
          <w:color w:val="000000" w:themeColor="text1"/>
        </w:rPr>
        <w:t>.</w:t>
      </w:r>
    </w:p>
    <w:p w14:paraId="47707FFC" w14:textId="1E68AA63" w:rsidR="008D0CAD" w:rsidRPr="00751A28" w:rsidRDefault="008D0CAD" w:rsidP="000479A3">
      <w:pPr>
        <w:pStyle w:val="NormalWeb"/>
        <w:shd w:val="clear" w:color="auto" w:fill="FFFFFF"/>
        <w:spacing w:line="360" w:lineRule="auto"/>
        <w:rPr>
          <w:rFonts w:asciiTheme="majorHAnsi" w:hAnsiTheme="majorHAnsi" w:cstheme="majorHAnsi"/>
          <w:color w:val="000000" w:themeColor="text1"/>
        </w:rPr>
      </w:pPr>
      <w:r w:rsidRPr="009D1AFC">
        <w:rPr>
          <w:rFonts w:asciiTheme="majorHAnsi" w:hAnsiTheme="majorHAnsi" w:cstheme="majorHAnsi"/>
          <w:color w:val="000000" w:themeColor="text1"/>
        </w:rPr>
        <w:t>The review of literature justifies the necessity and appropriateness of these interventions.</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Of the three interventions, the UISS was viewed as the most critical since it serves as the requisite platform for an </w:t>
      </w:r>
      <w:r w:rsidR="000479A3">
        <w:rPr>
          <w:rFonts w:asciiTheme="majorHAnsi" w:hAnsiTheme="majorHAnsi" w:cstheme="majorHAnsi"/>
          <w:color w:val="000000" w:themeColor="text1"/>
        </w:rPr>
        <w:t>evidence based</w:t>
      </w:r>
      <w:r>
        <w:rPr>
          <w:rFonts w:asciiTheme="majorHAnsi" w:hAnsiTheme="majorHAnsi" w:cstheme="majorHAnsi"/>
          <w:color w:val="000000" w:themeColor="text1"/>
        </w:rPr>
        <w:t xml:space="preserve"> PPMES and for programming of human resource requirements.</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DepEd literature showed that prior to the operationalisation of the EBEIS, the Agency used two-year old data for policy making and development planning.</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This was because during that time, it took more than a year for the Agency to organise a complete set of education indicators for one school year</w:t>
      </w:r>
      <w:r w:rsidRPr="00751A28">
        <w:rPr>
          <w:rFonts w:asciiTheme="majorHAnsi" w:hAnsiTheme="majorHAnsi" w:cstheme="majorHAnsi"/>
          <w:color w:val="000000" w:themeColor="text1"/>
        </w:rPr>
        <w:t>.</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On the other hand</w:t>
      </w:r>
      <w:r w:rsidRPr="00751A28">
        <w:rPr>
          <w:rFonts w:asciiTheme="majorHAnsi" w:hAnsiTheme="majorHAnsi" w:cstheme="majorHAnsi"/>
          <w:color w:val="000000" w:themeColor="text1"/>
        </w:rPr>
        <w:t>, from the perspectives of respondent</w:t>
      </w:r>
      <w:r>
        <w:rPr>
          <w:rFonts w:asciiTheme="majorHAnsi" w:hAnsiTheme="majorHAnsi" w:cstheme="majorHAnsi"/>
          <w:color w:val="000000" w:themeColor="text1"/>
        </w:rPr>
        <w:t>-</w:t>
      </w:r>
      <w:r w:rsidRPr="00751A28">
        <w:rPr>
          <w:rFonts w:asciiTheme="majorHAnsi" w:hAnsiTheme="majorHAnsi" w:cstheme="majorHAnsi"/>
          <w:color w:val="000000" w:themeColor="text1"/>
        </w:rPr>
        <w:t xml:space="preserve">schools, SBM was the </w:t>
      </w:r>
      <w:r>
        <w:rPr>
          <w:rFonts w:asciiTheme="majorHAnsi" w:hAnsiTheme="majorHAnsi" w:cstheme="majorHAnsi"/>
          <w:color w:val="000000" w:themeColor="text1"/>
        </w:rPr>
        <w:t xml:space="preserve">main </w:t>
      </w:r>
      <w:r w:rsidRPr="00751A28">
        <w:rPr>
          <w:rFonts w:asciiTheme="majorHAnsi" w:hAnsiTheme="majorHAnsi" w:cstheme="majorHAnsi"/>
          <w:color w:val="000000" w:themeColor="text1"/>
        </w:rPr>
        <w:t>impetus</w:t>
      </w:r>
      <w:r w:rsidRPr="00751A28">
        <w:rPr>
          <w:rFonts w:asciiTheme="majorHAnsi" w:hAnsiTheme="majorHAnsi" w:cstheme="majorHAnsi"/>
          <w:b/>
          <w:bCs/>
          <w:color w:val="000000" w:themeColor="text1"/>
        </w:rPr>
        <w:t xml:space="preserve"> </w:t>
      </w:r>
      <w:r>
        <w:rPr>
          <w:rFonts w:asciiTheme="majorHAnsi" w:hAnsiTheme="majorHAnsi" w:cstheme="majorHAnsi"/>
          <w:color w:val="000000" w:themeColor="text1"/>
        </w:rPr>
        <w:t>for improved</w:t>
      </w:r>
      <w:r w:rsidRPr="00751A28">
        <w:rPr>
          <w:rFonts w:asciiTheme="majorHAnsi" w:hAnsiTheme="majorHAnsi" w:cstheme="majorHAnsi"/>
          <w:color w:val="000000" w:themeColor="text1"/>
        </w:rPr>
        <w:t xml:space="preserve"> planning capacity among </w:t>
      </w:r>
      <w:r>
        <w:rPr>
          <w:rFonts w:asciiTheme="majorHAnsi" w:hAnsiTheme="majorHAnsi" w:cstheme="majorHAnsi"/>
          <w:color w:val="000000" w:themeColor="text1"/>
        </w:rPr>
        <w:t>principals</w:t>
      </w:r>
      <w:r w:rsidRPr="00751A28">
        <w:rPr>
          <w:rFonts w:asciiTheme="majorHAnsi" w:hAnsiTheme="majorHAnsi" w:cstheme="majorHAnsi"/>
          <w:color w:val="000000" w:themeColor="text1"/>
        </w:rPr>
        <w:t xml:space="preserve"> and teachers.</w:t>
      </w:r>
    </w:p>
    <w:p w14:paraId="41EAC003" w14:textId="305D63F2" w:rsidR="008D0CAD" w:rsidRDefault="008D0CAD" w:rsidP="000479A3">
      <w:pPr>
        <w:pStyle w:val="NormalWeb"/>
        <w:shd w:val="clear" w:color="auto" w:fill="FFFFFF"/>
        <w:spacing w:line="360" w:lineRule="auto"/>
        <w:rPr>
          <w:rFonts w:asciiTheme="majorHAnsi" w:hAnsiTheme="majorHAnsi" w:cstheme="majorHAnsi"/>
          <w:color w:val="000000" w:themeColor="text1"/>
        </w:rPr>
      </w:pPr>
      <w:r>
        <w:rPr>
          <w:rFonts w:asciiTheme="majorHAnsi" w:hAnsiTheme="majorHAnsi" w:cstheme="majorHAnsi"/>
          <w:color w:val="000000" w:themeColor="text1"/>
        </w:rPr>
        <w:t xml:space="preserve">Under the </w:t>
      </w:r>
      <w:r w:rsidRPr="009D1AFC">
        <w:rPr>
          <w:rFonts w:asciiTheme="majorHAnsi" w:hAnsiTheme="majorHAnsi" w:cstheme="majorHAnsi"/>
          <w:color w:val="000000" w:themeColor="text1"/>
        </w:rPr>
        <w:t>Organi</w:t>
      </w:r>
      <w:r>
        <w:rPr>
          <w:rFonts w:asciiTheme="majorHAnsi" w:hAnsiTheme="majorHAnsi" w:cstheme="majorHAnsi"/>
          <w:color w:val="000000" w:themeColor="text1"/>
        </w:rPr>
        <w:t>s</w:t>
      </w:r>
      <w:r w:rsidRPr="009D1AFC">
        <w:rPr>
          <w:rFonts w:asciiTheme="majorHAnsi" w:hAnsiTheme="majorHAnsi" w:cstheme="majorHAnsi"/>
          <w:color w:val="000000" w:themeColor="text1"/>
        </w:rPr>
        <w:t>ational Development (OD)</w:t>
      </w:r>
      <w:r>
        <w:rPr>
          <w:rFonts w:asciiTheme="majorHAnsi" w:hAnsiTheme="majorHAnsi" w:cstheme="majorHAnsi"/>
          <w:color w:val="000000" w:themeColor="text1"/>
        </w:rPr>
        <w:t xml:space="preserve"> work stream, </w:t>
      </w:r>
      <w:r w:rsidRPr="00DE7318">
        <w:rPr>
          <w:rStyle w:val="Strong"/>
          <w:rFonts w:asciiTheme="majorHAnsi" w:eastAsiaTheme="majorEastAsia" w:hAnsiTheme="majorHAnsi" w:cstheme="majorHAnsi"/>
          <w:color w:val="000000" w:themeColor="text1"/>
          <w:spacing w:val="2"/>
        </w:rPr>
        <w:t xml:space="preserve">BEST Program interventions aimed to assist DepEd to transition to its newly approved organisational structure (as part of the implementation of the Rationalization Plan), </w:t>
      </w:r>
      <w:r>
        <w:rPr>
          <w:rFonts w:asciiTheme="majorHAnsi" w:hAnsiTheme="majorHAnsi" w:cstheme="majorHAnsi"/>
          <w:color w:val="000000"/>
        </w:rPr>
        <w:t>in line</w:t>
      </w:r>
      <w:r w:rsidRPr="008F2FB7">
        <w:rPr>
          <w:rFonts w:asciiTheme="majorHAnsi" w:hAnsiTheme="majorHAnsi" w:cstheme="majorHAnsi"/>
          <w:color w:val="000000"/>
        </w:rPr>
        <w:t xml:space="preserve"> with country development priorities</w:t>
      </w:r>
      <w:r>
        <w:rPr>
          <w:rFonts w:asciiTheme="majorHAnsi" w:hAnsiTheme="majorHAnsi" w:cstheme="majorHAnsi"/>
          <w:color w:val="000000"/>
        </w:rPr>
        <w:t>.</w:t>
      </w:r>
      <w:r w:rsidR="00D434EB">
        <w:rPr>
          <w:rFonts w:asciiTheme="majorHAnsi" w:hAnsiTheme="majorHAnsi" w:cstheme="majorHAnsi"/>
          <w:color w:val="000000"/>
        </w:rPr>
        <w:t xml:space="preserve"> </w:t>
      </w:r>
      <w:r>
        <w:rPr>
          <w:rFonts w:asciiTheme="majorHAnsi" w:hAnsiTheme="majorHAnsi" w:cstheme="majorHAnsi"/>
          <w:color w:val="000000"/>
        </w:rPr>
        <w:t>DepEd could not move forward with its other work unless and until the organisational changes had been settled.</w:t>
      </w:r>
    </w:p>
    <w:p w14:paraId="65D50848" w14:textId="77777777" w:rsidR="008D0CAD" w:rsidRDefault="008D0CAD" w:rsidP="00DD08E3">
      <w:pPr>
        <w:pStyle w:val="Heading2"/>
        <w:numPr>
          <w:ilvl w:val="1"/>
          <w:numId w:val="161"/>
        </w:numPr>
        <w:sectPr w:rsidR="008D0CAD" w:rsidSect="009C64E9">
          <w:headerReference w:type="default" r:id="rId22"/>
          <w:pgSz w:w="11900" w:h="16840"/>
          <w:pgMar w:top="1440" w:right="1440" w:bottom="1440" w:left="1440" w:header="720" w:footer="720" w:gutter="0"/>
          <w:cols w:space="720"/>
          <w:docGrid w:linePitch="360"/>
        </w:sectPr>
      </w:pPr>
    </w:p>
    <w:p w14:paraId="38ABA027" w14:textId="1557E3D5" w:rsidR="008D0CAD" w:rsidRDefault="008D0CAD" w:rsidP="00DD08E3">
      <w:pPr>
        <w:pStyle w:val="Heading3"/>
        <w:pageBreakBefore/>
        <w:numPr>
          <w:ilvl w:val="1"/>
          <w:numId w:val="162"/>
        </w:numPr>
      </w:pPr>
      <w:bookmarkStart w:id="69" w:name="_Toc69820440"/>
      <w:r>
        <w:t>On Student Mastery of the K - 12 Curricula</w:t>
      </w:r>
      <w:bookmarkEnd w:id="67"/>
      <w:bookmarkEnd w:id="68"/>
      <w:bookmarkEnd w:id="69"/>
    </w:p>
    <w:p w14:paraId="2B2BC486" w14:textId="77777777" w:rsidR="008D0CAD" w:rsidRDefault="008D0CAD" w:rsidP="000479A3">
      <w:pPr>
        <w:pStyle w:val="BodyText"/>
        <w:spacing w:before="100" w:beforeAutospacing="1" w:after="100" w:afterAutospacing="1" w:line="360" w:lineRule="auto"/>
        <w:ind w:right="20"/>
        <w:rPr>
          <w:rFonts w:asciiTheme="majorHAnsi" w:hAnsiTheme="majorHAnsi" w:cstheme="majorHAnsi"/>
          <w:bCs/>
          <w:color w:val="000000" w:themeColor="text1"/>
          <w:sz w:val="24"/>
          <w:szCs w:val="24"/>
        </w:rPr>
      </w:pPr>
      <w:r>
        <w:rPr>
          <w:rFonts w:asciiTheme="majorHAnsi" w:hAnsiTheme="majorHAnsi" w:cstheme="majorHAnsi"/>
          <w:bCs/>
          <w:color w:val="000000" w:themeColor="text1"/>
          <w:sz w:val="24"/>
          <w:szCs w:val="24"/>
        </w:rPr>
        <w:t>T</w:t>
      </w:r>
      <w:r w:rsidRPr="00CB41E9">
        <w:rPr>
          <w:rFonts w:asciiTheme="majorHAnsi" w:hAnsiTheme="majorHAnsi" w:cstheme="majorHAnsi"/>
          <w:bCs/>
          <w:color w:val="000000" w:themeColor="text1"/>
          <w:sz w:val="24"/>
          <w:szCs w:val="24"/>
        </w:rPr>
        <w:t xml:space="preserve">o </w:t>
      </w:r>
      <w:r>
        <w:rPr>
          <w:rFonts w:asciiTheme="majorHAnsi" w:hAnsiTheme="majorHAnsi" w:cstheme="majorHAnsi"/>
          <w:bCs/>
          <w:color w:val="000000" w:themeColor="text1"/>
          <w:sz w:val="24"/>
          <w:szCs w:val="24"/>
        </w:rPr>
        <w:t xml:space="preserve">gauge </w:t>
      </w:r>
      <w:r w:rsidRPr="00CB41E9">
        <w:rPr>
          <w:rFonts w:asciiTheme="majorHAnsi" w:hAnsiTheme="majorHAnsi" w:cstheme="majorHAnsi"/>
          <w:bCs/>
          <w:color w:val="000000" w:themeColor="text1"/>
          <w:sz w:val="24"/>
          <w:szCs w:val="24"/>
        </w:rPr>
        <w:t>the attainment of the End-of-Program Outcome (EOPO)</w:t>
      </w:r>
      <w:r>
        <w:rPr>
          <w:rFonts w:asciiTheme="majorHAnsi" w:hAnsiTheme="majorHAnsi" w:cstheme="majorHAnsi"/>
          <w:bCs/>
          <w:color w:val="000000" w:themeColor="text1"/>
          <w:sz w:val="24"/>
          <w:szCs w:val="24"/>
        </w:rPr>
        <w:t xml:space="preserve"> 1 of the BEST</w:t>
      </w:r>
      <w:r w:rsidRPr="00CB41E9">
        <w:rPr>
          <w:rFonts w:asciiTheme="majorHAnsi" w:hAnsiTheme="majorHAnsi" w:cstheme="majorHAnsi"/>
          <w:bCs/>
          <w:color w:val="000000" w:themeColor="text1"/>
          <w:sz w:val="24"/>
          <w:szCs w:val="24"/>
        </w:rPr>
        <w:t xml:space="preserve"> Program</w:t>
      </w:r>
      <w:r>
        <w:rPr>
          <w:rFonts w:asciiTheme="majorHAnsi" w:hAnsiTheme="majorHAnsi" w:cstheme="majorHAnsi"/>
          <w:bCs/>
          <w:color w:val="000000" w:themeColor="text1"/>
          <w:sz w:val="24"/>
          <w:szCs w:val="24"/>
        </w:rPr>
        <w:t>,</w:t>
      </w:r>
      <w:r w:rsidRPr="00CB41E9">
        <w:rPr>
          <w:rFonts w:asciiTheme="majorHAnsi" w:hAnsiTheme="majorHAnsi" w:cstheme="majorHAnsi"/>
          <w:bCs/>
          <w:color w:val="000000" w:themeColor="text1"/>
          <w:sz w:val="24"/>
          <w:szCs w:val="24"/>
        </w:rPr>
        <w:t xml:space="preserve"> </w:t>
      </w:r>
      <w:r>
        <w:rPr>
          <w:rFonts w:asciiTheme="majorHAnsi" w:hAnsiTheme="majorHAnsi" w:cstheme="majorHAnsi"/>
          <w:bCs/>
          <w:color w:val="000000" w:themeColor="text1"/>
          <w:sz w:val="24"/>
          <w:szCs w:val="24"/>
        </w:rPr>
        <w:t>t</w:t>
      </w:r>
      <w:r w:rsidRPr="008C1C82">
        <w:rPr>
          <w:rFonts w:asciiTheme="majorHAnsi" w:hAnsiTheme="majorHAnsi" w:cstheme="majorHAnsi"/>
          <w:bCs/>
          <w:color w:val="000000" w:themeColor="text1"/>
          <w:sz w:val="24"/>
          <w:szCs w:val="24"/>
        </w:rPr>
        <w:t xml:space="preserve">he Study </w:t>
      </w:r>
      <w:r>
        <w:rPr>
          <w:rFonts w:asciiTheme="majorHAnsi" w:hAnsiTheme="majorHAnsi" w:cstheme="majorHAnsi"/>
          <w:bCs/>
          <w:color w:val="000000" w:themeColor="text1"/>
          <w:sz w:val="24"/>
          <w:szCs w:val="24"/>
        </w:rPr>
        <w:t>sought answers to the first two Key Evaluation Questions (KEQs):</w:t>
      </w:r>
    </w:p>
    <w:p w14:paraId="491EFFAD" w14:textId="77777777" w:rsidR="008D0CAD" w:rsidRDefault="008D0CAD" w:rsidP="000479A3">
      <w:pPr>
        <w:pStyle w:val="BodyText"/>
        <w:numPr>
          <w:ilvl w:val="0"/>
          <w:numId w:val="34"/>
        </w:numPr>
        <w:spacing w:before="100" w:beforeAutospacing="1" w:after="100" w:afterAutospacing="1" w:line="360" w:lineRule="auto"/>
        <w:ind w:right="244"/>
        <w:rPr>
          <w:rFonts w:asciiTheme="majorHAnsi" w:hAnsiTheme="majorHAnsi" w:cstheme="majorHAnsi"/>
          <w:bCs/>
          <w:i/>
          <w:iCs/>
          <w:color w:val="000000" w:themeColor="text1"/>
          <w:sz w:val="24"/>
          <w:szCs w:val="24"/>
        </w:rPr>
      </w:pPr>
      <w:r w:rsidRPr="003732AD">
        <w:rPr>
          <w:rFonts w:asciiTheme="majorHAnsi" w:hAnsiTheme="majorHAnsi" w:cstheme="majorHAnsi"/>
          <w:bCs/>
          <w:i/>
          <w:iCs/>
          <w:sz w:val="24"/>
          <w:szCs w:val="24"/>
        </w:rPr>
        <w:t xml:space="preserve">To what extent and how did </w:t>
      </w:r>
      <w:r w:rsidRPr="003732AD">
        <w:rPr>
          <w:rFonts w:asciiTheme="majorHAnsi" w:hAnsiTheme="majorHAnsi" w:cstheme="majorHAnsi"/>
          <w:bCs/>
          <w:i/>
          <w:iCs/>
          <w:color w:val="000000" w:themeColor="text1"/>
          <w:sz w:val="24"/>
          <w:szCs w:val="24"/>
        </w:rPr>
        <w:t>the BEST interventions increase the number of children able to demonstrate mastery of curriculum competencies in Filipino, English, Math and Science in target areas?</w:t>
      </w:r>
    </w:p>
    <w:p w14:paraId="45437620" w14:textId="77777777" w:rsidR="008D0CAD" w:rsidRPr="00F72EA3" w:rsidRDefault="008D0CAD" w:rsidP="000479A3">
      <w:pPr>
        <w:pStyle w:val="BodyText"/>
        <w:numPr>
          <w:ilvl w:val="0"/>
          <w:numId w:val="34"/>
        </w:numPr>
        <w:spacing w:before="100" w:beforeAutospacing="1" w:after="100" w:afterAutospacing="1" w:line="360" w:lineRule="auto"/>
        <w:ind w:left="714" w:right="244" w:hanging="357"/>
        <w:rPr>
          <w:rFonts w:asciiTheme="majorHAnsi" w:hAnsiTheme="majorHAnsi" w:cstheme="majorHAnsi"/>
          <w:bCs/>
          <w:i/>
          <w:iCs/>
          <w:color w:val="000000" w:themeColor="text1"/>
          <w:sz w:val="24"/>
          <w:szCs w:val="24"/>
        </w:rPr>
      </w:pPr>
      <w:r w:rsidRPr="005775C9">
        <w:rPr>
          <w:rFonts w:asciiTheme="majorHAnsi" w:hAnsiTheme="majorHAnsi" w:cstheme="majorHAnsi"/>
          <w:bCs/>
          <w:i/>
          <w:iCs/>
          <w:sz w:val="24"/>
          <w:szCs w:val="24"/>
        </w:rPr>
        <w:t xml:space="preserve">To what extent and how did </w:t>
      </w:r>
      <w:r w:rsidRPr="005775C9">
        <w:rPr>
          <w:rFonts w:asciiTheme="majorHAnsi" w:hAnsiTheme="majorHAnsi" w:cstheme="majorHAnsi"/>
          <w:bCs/>
          <w:i/>
          <w:iCs/>
          <w:color w:val="000000" w:themeColor="text1"/>
          <w:sz w:val="24"/>
          <w:szCs w:val="24"/>
        </w:rPr>
        <w:t>BEST interventions reduce the differences in learning outcomes for boys and girls in target areas?</w:t>
      </w:r>
    </w:p>
    <w:p w14:paraId="48178124" w14:textId="7DD9CD67" w:rsidR="008D0CAD" w:rsidRPr="009D670A" w:rsidRDefault="008D0CAD" w:rsidP="000479A3">
      <w:pPr>
        <w:pStyle w:val="Caption"/>
        <w:spacing w:before="100" w:beforeAutospacing="1" w:after="100" w:afterAutospacing="1" w:line="360" w:lineRule="auto"/>
        <w:rPr>
          <w:rFonts w:asciiTheme="majorHAnsi" w:hAnsiTheme="majorHAnsi" w:cstheme="majorHAnsi"/>
          <w:sz w:val="22"/>
          <w:szCs w:val="22"/>
        </w:rPr>
      </w:pPr>
      <w:bookmarkStart w:id="70" w:name="_Toc14028917"/>
      <w:bookmarkStart w:id="71" w:name="_Toc71616529"/>
      <w:r w:rsidRPr="00CB41E9">
        <w:rPr>
          <w:rFonts w:asciiTheme="majorHAnsi" w:hAnsiTheme="majorHAnsi" w:cstheme="majorHAnsi"/>
          <w:sz w:val="22"/>
          <w:szCs w:val="22"/>
        </w:rPr>
        <w:t xml:space="preserve">Figure </w:t>
      </w:r>
      <w:r w:rsidRPr="00CB41E9">
        <w:rPr>
          <w:rFonts w:asciiTheme="majorHAnsi" w:hAnsiTheme="majorHAnsi" w:cstheme="majorHAnsi"/>
          <w:sz w:val="22"/>
          <w:szCs w:val="22"/>
        </w:rPr>
        <w:fldChar w:fldCharType="begin"/>
      </w:r>
      <w:r w:rsidRPr="00CB41E9">
        <w:rPr>
          <w:rFonts w:asciiTheme="majorHAnsi" w:hAnsiTheme="majorHAnsi" w:cstheme="majorHAnsi"/>
          <w:sz w:val="22"/>
          <w:szCs w:val="22"/>
        </w:rPr>
        <w:instrText xml:space="preserve"> SEQ Figure \* ARABIC </w:instrText>
      </w:r>
      <w:r w:rsidRPr="00CB41E9">
        <w:rPr>
          <w:rFonts w:asciiTheme="majorHAnsi" w:hAnsiTheme="majorHAnsi" w:cstheme="majorHAnsi"/>
          <w:sz w:val="22"/>
          <w:szCs w:val="22"/>
        </w:rPr>
        <w:fldChar w:fldCharType="separate"/>
      </w:r>
      <w:r w:rsidR="00D6133D">
        <w:rPr>
          <w:rFonts w:asciiTheme="majorHAnsi" w:hAnsiTheme="majorHAnsi" w:cstheme="majorHAnsi"/>
          <w:noProof/>
          <w:sz w:val="22"/>
          <w:szCs w:val="22"/>
        </w:rPr>
        <w:t>2</w:t>
      </w:r>
      <w:r w:rsidRPr="00CB41E9">
        <w:rPr>
          <w:rFonts w:asciiTheme="majorHAnsi" w:hAnsiTheme="majorHAnsi" w:cstheme="majorHAnsi"/>
          <w:sz w:val="22"/>
          <w:szCs w:val="22"/>
        </w:rPr>
        <w:fldChar w:fldCharType="end"/>
      </w:r>
      <w:r w:rsidRPr="00CB41E9">
        <w:rPr>
          <w:rFonts w:asciiTheme="majorHAnsi" w:hAnsiTheme="majorHAnsi" w:cstheme="majorHAnsi"/>
          <w:sz w:val="22"/>
          <w:szCs w:val="22"/>
        </w:rPr>
        <w:t>.</w:t>
      </w:r>
      <w:r>
        <w:rPr>
          <w:rFonts w:asciiTheme="majorHAnsi" w:hAnsiTheme="majorHAnsi" w:cstheme="majorHAnsi"/>
          <w:sz w:val="22"/>
          <w:szCs w:val="22"/>
        </w:rPr>
        <w:t xml:space="preserve"> Results Chain leading to EOPO 1</w:t>
      </w:r>
      <w:bookmarkEnd w:id="70"/>
      <w:bookmarkEnd w:id="71"/>
    </w:p>
    <w:p w14:paraId="48C221E9" w14:textId="77777777" w:rsidR="008D0CAD" w:rsidRDefault="008D0CAD" w:rsidP="000479A3">
      <w:pPr>
        <w:pStyle w:val="BodyText"/>
        <w:spacing w:before="100" w:beforeAutospacing="1" w:after="100" w:afterAutospacing="1" w:line="360" w:lineRule="auto"/>
        <w:ind w:right="20"/>
        <w:rPr>
          <w:rFonts w:asciiTheme="majorHAnsi" w:hAnsiTheme="majorHAnsi" w:cstheme="majorHAnsi"/>
          <w:bCs/>
          <w:color w:val="000000" w:themeColor="text1"/>
          <w:sz w:val="24"/>
          <w:szCs w:val="24"/>
        </w:rPr>
      </w:pPr>
      <w:r>
        <w:rPr>
          <w:rFonts w:asciiTheme="majorHAnsi" w:hAnsiTheme="majorHAnsi" w:cstheme="majorHAnsi"/>
          <w:bCs/>
          <w:noProof/>
          <w:color w:val="C00000"/>
          <w:sz w:val="24"/>
          <w:szCs w:val="24"/>
          <w:lang w:val="en-AU" w:eastAsia="en-AU"/>
        </w:rPr>
        <w:drawing>
          <wp:inline distT="0" distB="0" distL="0" distR="0" wp14:anchorId="0DB08968" wp14:editId="48940B2F">
            <wp:extent cx="3458210" cy="1955165"/>
            <wp:effectExtent l="0" t="0" r="8890" b="6985"/>
            <wp:docPr id="14" name="Picture 14" descr="BEST Theory of Change Illustration for End of Program Objective (EOPO1), with corresponding immediate and intermediate outco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EST Theory of Change Illustration for End of Program Objective (EOPO1), with corresponding immediate and intermediate outcomes. "/>
                    <pic:cNvPicPr/>
                  </pic:nvPicPr>
                  <pic:blipFill rotWithShape="1">
                    <a:blip r:embed="rId23" cstate="print">
                      <a:extLst>
                        <a:ext uri="{28A0092B-C50C-407E-A947-70E740481C1C}">
                          <a14:useLocalDpi xmlns:a14="http://schemas.microsoft.com/office/drawing/2010/main" val="0"/>
                        </a:ext>
                      </a:extLst>
                    </a:blip>
                    <a:srcRect l="35952" t="6645" b="35417"/>
                    <a:stretch/>
                  </pic:blipFill>
                  <pic:spPr bwMode="auto">
                    <a:xfrm>
                      <a:off x="0" y="0"/>
                      <a:ext cx="3458210" cy="1955165"/>
                    </a:xfrm>
                    <a:prstGeom prst="rect">
                      <a:avLst/>
                    </a:prstGeom>
                    <a:ln>
                      <a:noFill/>
                    </a:ln>
                    <a:extLst>
                      <a:ext uri="{53640926-AAD7-44D8-BBD7-CCE9431645EC}">
                        <a14:shadowObscured xmlns:a14="http://schemas.microsoft.com/office/drawing/2010/main"/>
                      </a:ext>
                    </a:extLst>
                  </pic:spPr>
                </pic:pic>
              </a:graphicData>
            </a:graphic>
          </wp:inline>
        </w:drawing>
      </w:r>
    </w:p>
    <w:p w14:paraId="5A9BCDB2" w14:textId="76236FA2" w:rsidR="008D0CAD" w:rsidRDefault="008D0CAD" w:rsidP="000479A3">
      <w:pPr>
        <w:pStyle w:val="BodyText"/>
        <w:spacing w:before="100" w:beforeAutospacing="1" w:after="100" w:afterAutospacing="1" w:line="360" w:lineRule="auto"/>
        <w:ind w:right="20"/>
        <w:rPr>
          <w:rFonts w:asciiTheme="majorHAnsi" w:hAnsiTheme="majorHAnsi" w:cstheme="majorHAnsi"/>
          <w:bCs/>
          <w:color w:val="000000" w:themeColor="text1"/>
          <w:sz w:val="24"/>
          <w:szCs w:val="24"/>
        </w:rPr>
      </w:pPr>
      <w:r>
        <w:rPr>
          <w:rFonts w:asciiTheme="majorHAnsi" w:hAnsiTheme="majorHAnsi" w:cstheme="majorHAnsi"/>
          <w:bCs/>
          <w:color w:val="000000" w:themeColor="text1"/>
          <w:sz w:val="24"/>
          <w:szCs w:val="24"/>
        </w:rPr>
        <w:t>The BEST</w:t>
      </w:r>
      <w:r w:rsidRPr="00CB41E9">
        <w:rPr>
          <w:rFonts w:asciiTheme="majorHAnsi" w:hAnsiTheme="majorHAnsi" w:cstheme="majorHAnsi"/>
          <w:bCs/>
          <w:color w:val="000000" w:themeColor="text1"/>
          <w:sz w:val="24"/>
          <w:szCs w:val="24"/>
        </w:rPr>
        <w:t xml:space="preserve"> Program </w:t>
      </w:r>
      <w:r>
        <w:rPr>
          <w:rFonts w:asciiTheme="majorHAnsi" w:hAnsiTheme="majorHAnsi" w:cstheme="majorHAnsi"/>
          <w:bCs/>
          <w:color w:val="000000" w:themeColor="text1"/>
          <w:sz w:val="24"/>
          <w:szCs w:val="24"/>
        </w:rPr>
        <w:t xml:space="preserve">intended to achieve </w:t>
      </w:r>
      <w:r w:rsidRPr="00CB41E9">
        <w:rPr>
          <w:rFonts w:asciiTheme="majorHAnsi" w:hAnsiTheme="majorHAnsi" w:cstheme="majorHAnsi"/>
          <w:bCs/>
          <w:color w:val="000000" w:themeColor="text1"/>
          <w:sz w:val="24"/>
          <w:szCs w:val="24"/>
        </w:rPr>
        <w:t>EOPO</w:t>
      </w:r>
      <w:r>
        <w:rPr>
          <w:rFonts w:asciiTheme="majorHAnsi" w:hAnsiTheme="majorHAnsi" w:cstheme="majorHAnsi"/>
          <w:bCs/>
          <w:color w:val="000000" w:themeColor="text1"/>
          <w:sz w:val="24"/>
          <w:szCs w:val="24"/>
        </w:rPr>
        <w:t xml:space="preserve"> 1 through attainment of Intermediate Outcome 1 (InO1) (Figure 2). InO1, in turn, was to be realised with attainment of four Immediate Outcomes (IOs), each of which corresponds to a set of Program interventions.</w:t>
      </w:r>
      <w:r w:rsidR="00D434EB">
        <w:rPr>
          <w:rFonts w:asciiTheme="majorHAnsi" w:hAnsiTheme="majorHAnsi" w:cstheme="majorHAnsi"/>
          <w:bCs/>
          <w:color w:val="000000" w:themeColor="text1"/>
          <w:sz w:val="24"/>
          <w:szCs w:val="24"/>
        </w:rPr>
        <w:t xml:space="preserve"> </w:t>
      </w:r>
    </w:p>
    <w:p w14:paraId="262F0EA4" w14:textId="6ACFD8F2" w:rsidR="008D0CAD" w:rsidRDefault="00647DE5" w:rsidP="000479A3">
      <w:pPr>
        <w:pStyle w:val="Heading4"/>
        <w:spacing w:before="100" w:beforeAutospacing="1" w:after="100" w:afterAutospacing="1" w:line="360" w:lineRule="auto"/>
        <w:ind w:left="1418" w:hanging="709"/>
      </w:pPr>
      <w:r>
        <w:t xml:space="preserve">3.2.1. </w:t>
      </w:r>
      <w:r w:rsidR="008D0CAD">
        <w:t xml:space="preserve">Learning </w:t>
      </w:r>
      <w:r w:rsidR="008D0CAD" w:rsidRPr="00DE7318">
        <w:t>Outcomes</w:t>
      </w:r>
      <w:r w:rsidR="008D0CAD">
        <w:t xml:space="preserve"> </w:t>
      </w:r>
    </w:p>
    <w:p w14:paraId="4A136C2D" w14:textId="77777777" w:rsidR="00DE7318" w:rsidRDefault="008D0CAD" w:rsidP="000479A3">
      <w:pPr>
        <w:pStyle w:val="BodyText"/>
        <w:spacing w:before="100" w:beforeAutospacing="1" w:after="100" w:afterAutospacing="1" w:line="360" w:lineRule="auto"/>
        <w:ind w:right="20"/>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 xml:space="preserve">A </w:t>
      </w:r>
      <w:r w:rsidRPr="00A03851">
        <w:rPr>
          <w:rFonts w:asciiTheme="majorHAnsi" w:hAnsiTheme="majorHAnsi" w:cstheme="majorHAnsi"/>
          <w:color w:val="000000" w:themeColor="text1"/>
          <w:sz w:val="24"/>
          <w:szCs w:val="24"/>
        </w:rPr>
        <w:t>demonstrat</w:t>
      </w:r>
      <w:r>
        <w:rPr>
          <w:rFonts w:asciiTheme="majorHAnsi" w:hAnsiTheme="majorHAnsi" w:cstheme="majorHAnsi"/>
          <w:color w:val="000000" w:themeColor="text1"/>
          <w:sz w:val="24"/>
          <w:szCs w:val="24"/>
        </w:rPr>
        <w:t>ion of the</w:t>
      </w:r>
      <w:r w:rsidRPr="00A03851">
        <w:rPr>
          <w:rFonts w:asciiTheme="majorHAnsi" w:hAnsiTheme="majorHAnsi" w:cstheme="majorHAnsi"/>
          <w:color w:val="000000" w:themeColor="text1"/>
          <w:sz w:val="24"/>
          <w:szCs w:val="24"/>
        </w:rPr>
        <w:t xml:space="preserve"> contributions of the </w:t>
      </w:r>
      <w:r>
        <w:rPr>
          <w:rFonts w:asciiTheme="majorHAnsi" w:hAnsiTheme="majorHAnsi" w:cstheme="majorHAnsi"/>
          <w:color w:val="000000" w:themeColor="text1"/>
          <w:sz w:val="24"/>
          <w:szCs w:val="24"/>
        </w:rPr>
        <w:t xml:space="preserve">BEST </w:t>
      </w:r>
      <w:r w:rsidRPr="00A03851">
        <w:rPr>
          <w:rFonts w:asciiTheme="majorHAnsi" w:hAnsiTheme="majorHAnsi" w:cstheme="majorHAnsi"/>
          <w:color w:val="000000" w:themeColor="text1"/>
          <w:sz w:val="24"/>
          <w:szCs w:val="24"/>
        </w:rPr>
        <w:t xml:space="preserve">Program to the attainment of learning </w:t>
      </w:r>
      <w:r w:rsidRPr="00077665">
        <w:rPr>
          <w:rFonts w:asciiTheme="majorHAnsi" w:hAnsiTheme="majorHAnsi" w:cstheme="majorHAnsi"/>
          <w:color w:val="000000" w:themeColor="text1"/>
          <w:sz w:val="24"/>
          <w:szCs w:val="24"/>
        </w:rPr>
        <w:t>outcomes</w:t>
      </w:r>
      <w:r>
        <w:rPr>
          <w:rFonts w:asciiTheme="majorHAnsi" w:hAnsiTheme="majorHAnsi" w:cstheme="majorHAnsi"/>
          <w:color w:val="000000" w:themeColor="text1"/>
          <w:sz w:val="24"/>
          <w:szCs w:val="24"/>
        </w:rPr>
        <w:t xml:space="preserve"> is presented by analysing</w:t>
      </w:r>
      <w:r w:rsidRPr="00077665">
        <w:rPr>
          <w:rFonts w:asciiTheme="majorHAnsi" w:hAnsiTheme="majorHAnsi" w:cstheme="majorHAnsi"/>
          <w:color w:val="000000" w:themeColor="text1"/>
          <w:sz w:val="24"/>
          <w:szCs w:val="24"/>
        </w:rPr>
        <w:t xml:space="preserve"> average grades of students and gender grade differentials</w:t>
      </w:r>
      <w:r>
        <w:rPr>
          <w:rFonts w:asciiTheme="majorHAnsi" w:hAnsiTheme="majorHAnsi" w:cstheme="majorHAnsi"/>
          <w:color w:val="000000" w:themeColor="text1"/>
          <w:sz w:val="24"/>
          <w:szCs w:val="24"/>
        </w:rPr>
        <w:t xml:space="preserve"> of the 25 schools in the study </w:t>
      </w:r>
      <w:r w:rsidRPr="00077665">
        <w:rPr>
          <w:rFonts w:asciiTheme="majorHAnsi" w:hAnsiTheme="majorHAnsi" w:cstheme="majorHAnsi"/>
          <w:color w:val="000000" w:themeColor="text1"/>
          <w:sz w:val="24"/>
          <w:szCs w:val="24"/>
        </w:rPr>
        <w:t xml:space="preserve">sample. </w:t>
      </w:r>
      <w:r>
        <w:rPr>
          <w:rFonts w:asciiTheme="majorHAnsi" w:hAnsiTheme="majorHAnsi" w:cstheme="majorHAnsi"/>
          <w:color w:val="000000" w:themeColor="text1"/>
          <w:sz w:val="24"/>
          <w:szCs w:val="24"/>
        </w:rPr>
        <w:t xml:space="preserve">The </w:t>
      </w:r>
      <w:r w:rsidRPr="00BD7901">
        <w:rPr>
          <w:rFonts w:asciiTheme="majorHAnsi" w:hAnsiTheme="majorHAnsi" w:cstheme="majorHAnsi"/>
          <w:bCs/>
          <w:color w:val="000000" w:themeColor="text1"/>
          <w:sz w:val="24"/>
          <w:szCs w:val="24"/>
        </w:rPr>
        <w:t>difference-in-difference</w:t>
      </w:r>
      <w:r>
        <w:rPr>
          <w:rFonts w:asciiTheme="majorHAnsi" w:hAnsiTheme="majorHAnsi" w:cstheme="majorHAnsi"/>
          <w:bCs/>
          <w:color w:val="000000" w:themeColor="text1"/>
          <w:sz w:val="24"/>
          <w:szCs w:val="24"/>
        </w:rPr>
        <w:t xml:space="preserve"> (DID) method was used.</w:t>
      </w:r>
      <w:r w:rsidRPr="00BD7901">
        <w:rPr>
          <w:rFonts w:asciiTheme="majorHAnsi" w:hAnsiTheme="majorHAnsi" w:cstheme="majorHAnsi"/>
          <w:bCs/>
          <w:color w:val="000000" w:themeColor="text1"/>
          <w:sz w:val="24"/>
          <w:szCs w:val="24"/>
        </w:rPr>
        <w:t xml:space="preserve"> </w:t>
      </w:r>
      <w:r>
        <w:rPr>
          <w:rFonts w:asciiTheme="majorHAnsi" w:hAnsiTheme="majorHAnsi" w:cstheme="majorHAnsi"/>
          <w:color w:val="000000" w:themeColor="text1"/>
          <w:sz w:val="24"/>
          <w:szCs w:val="24"/>
        </w:rPr>
        <w:t>A more</w:t>
      </w:r>
      <w:r w:rsidRPr="00077665">
        <w:rPr>
          <w:rFonts w:asciiTheme="majorHAnsi" w:hAnsiTheme="majorHAnsi" w:cstheme="majorHAnsi"/>
          <w:color w:val="000000" w:themeColor="text1"/>
          <w:sz w:val="24"/>
          <w:szCs w:val="24"/>
        </w:rPr>
        <w:t xml:space="preserve"> detailed </w:t>
      </w:r>
      <w:r>
        <w:rPr>
          <w:rFonts w:asciiTheme="majorHAnsi" w:hAnsiTheme="majorHAnsi" w:cstheme="majorHAnsi"/>
          <w:color w:val="000000" w:themeColor="text1"/>
          <w:sz w:val="24"/>
          <w:szCs w:val="24"/>
        </w:rPr>
        <w:t>presentation</w:t>
      </w:r>
      <w:r w:rsidRPr="00077665">
        <w:rPr>
          <w:rFonts w:asciiTheme="majorHAnsi" w:hAnsiTheme="majorHAnsi" w:cstheme="majorHAnsi"/>
          <w:color w:val="000000" w:themeColor="text1"/>
          <w:sz w:val="24"/>
          <w:szCs w:val="24"/>
        </w:rPr>
        <w:t xml:space="preserve"> o</w:t>
      </w:r>
      <w:r>
        <w:rPr>
          <w:rFonts w:asciiTheme="majorHAnsi" w:hAnsiTheme="majorHAnsi" w:cstheme="majorHAnsi"/>
          <w:color w:val="000000" w:themeColor="text1"/>
          <w:sz w:val="24"/>
          <w:szCs w:val="24"/>
        </w:rPr>
        <w:t>f</w:t>
      </w:r>
      <w:r w:rsidRPr="00077665">
        <w:rPr>
          <w:rFonts w:asciiTheme="majorHAnsi" w:hAnsiTheme="majorHAnsi" w:cstheme="majorHAnsi"/>
          <w:color w:val="000000" w:themeColor="text1"/>
          <w:sz w:val="24"/>
          <w:szCs w:val="24"/>
        </w:rPr>
        <w:t xml:space="preserve"> the results is provided </w:t>
      </w:r>
      <w:r w:rsidRPr="00B07D16">
        <w:rPr>
          <w:rFonts w:asciiTheme="majorHAnsi" w:hAnsiTheme="majorHAnsi" w:cstheme="majorHAnsi"/>
          <w:color w:val="000000" w:themeColor="text1"/>
          <w:sz w:val="24"/>
          <w:szCs w:val="24"/>
        </w:rPr>
        <w:t>in Annex S. Analyses of Learning Outcomes.</w:t>
      </w:r>
    </w:p>
    <w:p w14:paraId="2D2BF413" w14:textId="31987B0C" w:rsidR="008D0CAD" w:rsidRPr="00DE7318" w:rsidRDefault="008D0CAD" w:rsidP="00DD08E3">
      <w:pPr>
        <w:pStyle w:val="Heading5"/>
        <w:numPr>
          <w:ilvl w:val="3"/>
          <w:numId w:val="162"/>
        </w:numPr>
        <w:spacing w:before="100" w:beforeAutospacing="1" w:after="100" w:afterAutospacing="1" w:line="360" w:lineRule="auto"/>
        <w:rPr>
          <w:color w:val="000000" w:themeColor="text1"/>
        </w:rPr>
      </w:pPr>
      <w:r>
        <w:t>Average Grades by Subject</w:t>
      </w:r>
    </w:p>
    <w:p w14:paraId="0A3F4A28" w14:textId="2DFED8C5" w:rsidR="008D0CAD" w:rsidRPr="00B07D16" w:rsidRDefault="008D0CAD" w:rsidP="000479A3">
      <w:pPr>
        <w:pStyle w:val="NormalWeb"/>
        <w:spacing w:line="360" w:lineRule="auto"/>
        <w:rPr>
          <w:rFonts w:asciiTheme="majorHAnsi" w:hAnsiTheme="majorHAnsi" w:cstheme="majorHAnsi"/>
          <w:color w:val="000000" w:themeColor="text1"/>
        </w:rPr>
      </w:pPr>
      <w:r>
        <w:rPr>
          <w:rFonts w:asciiTheme="majorHAnsi" w:hAnsiTheme="majorHAnsi" w:cstheme="majorHAnsi"/>
          <w:bCs/>
          <w:color w:val="000000" w:themeColor="text1"/>
        </w:rPr>
        <w:t>I</w:t>
      </w:r>
      <w:r w:rsidRPr="008C1C82">
        <w:rPr>
          <w:rFonts w:asciiTheme="majorHAnsi" w:hAnsiTheme="majorHAnsi" w:cstheme="majorHAnsi"/>
          <w:bCs/>
          <w:color w:val="000000" w:themeColor="text1"/>
        </w:rPr>
        <w:t xml:space="preserve">ndividual grades of Grades 4, 5 and 6 students in the </w:t>
      </w:r>
      <w:r>
        <w:rPr>
          <w:rFonts w:asciiTheme="majorHAnsi" w:hAnsiTheme="majorHAnsi" w:cstheme="majorHAnsi"/>
          <w:bCs/>
          <w:color w:val="000000" w:themeColor="text1"/>
        </w:rPr>
        <w:t>case of 25</w:t>
      </w:r>
      <w:r w:rsidRPr="008C1C82">
        <w:rPr>
          <w:rFonts w:asciiTheme="majorHAnsi" w:hAnsiTheme="majorHAnsi" w:cstheme="majorHAnsi"/>
          <w:bCs/>
          <w:color w:val="000000" w:themeColor="text1"/>
        </w:rPr>
        <w:t xml:space="preserve"> schools, in the four subjects (Filipino, English, Math and Science) </w:t>
      </w:r>
      <w:r>
        <w:rPr>
          <w:rFonts w:asciiTheme="majorHAnsi" w:hAnsiTheme="majorHAnsi" w:cstheme="majorHAnsi"/>
          <w:bCs/>
          <w:color w:val="000000" w:themeColor="text1"/>
        </w:rPr>
        <w:t xml:space="preserve">were examined to determine the changes in </w:t>
      </w:r>
      <w:r w:rsidRPr="008C1C82">
        <w:rPr>
          <w:rFonts w:asciiTheme="majorHAnsi" w:hAnsiTheme="majorHAnsi" w:cstheme="majorHAnsi"/>
          <w:bCs/>
          <w:color w:val="000000" w:themeColor="text1"/>
        </w:rPr>
        <w:t>average grades from the baseline year (SY2014-2015) to the end-line year (SY2017-2018).</w:t>
      </w:r>
      <w:r>
        <w:rPr>
          <w:rStyle w:val="FootnoteReference"/>
          <w:rFonts w:asciiTheme="majorHAnsi" w:eastAsia="Arial Unicode MS" w:hAnsiTheme="majorHAnsi" w:cstheme="majorHAnsi"/>
          <w:bCs/>
          <w:color w:val="000000" w:themeColor="text1"/>
        </w:rPr>
        <w:footnoteReference w:id="19"/>
      </w:r>
      <w:r w:rsidR="00D434EB">
        <w:rPr>
          <w:rFonts w:asciiTheme="majorHAnsi" w:hAnsiTheme="majorHAnsi" w:cstheme="majorHAnsi"/>
          <w:bCs/>
          <w:color w:val="000000" w:themeColor="text1"/>
        </w:rPr>
        <w:t xml:space="preserve"> </w:t>
      </w:r>
      <w:r>
        <w:rPr>
          <w:rFonts w:asciiTheme="majorHAnsi" w:hAnsiTheme="majorHAnsi" w:cstheme="majorHAnsi"/>
          <w:bCs/>
          <w:color w:val="000000" w:themeColor="text1"/>
        </w:rPr>
        <w:t xml:space="preserve">The results of analyses revealed significant positive effects of the BEST Program interventions on student </w:t>
      </w:r>
      <w:r w:rsidRPr="001D1BFB">
        <w:rPr>
          <w:rFonts w:asciiTheme="majorHAnsi" w:hAnsiTheme="majorHAnsi" w:cstheme="majorHAnsi"/>
          <w:bCs/>
          <w:color w:val="000000" w:themeColor="text1"/>
        </w:rPr>
        <w:t>mastery</w:t>
      </w:r>
      <w:r>
        <w:rPr>
          <w:rFonts w:asciiTheme="majorHAnsi" w:hAnsiTheme="majorHAnsi" w:cstheme="majorHAnsi"/>
          <w:bCs/>
          <w:color w:val="000000" w:themeColor="text1"/>
        </w:rPr>
        <w:t xml:space="preserve"> of Grade 6 students </w:t>
      </w:r>
      <w:r w:rsidRPr="00B07D16">
        <w:rPr>
          <w:rFonts w:asciiTheme="majorHAnsi" w:hAnsiTheme="majorHAnsi" w:cstheme="majorHAnsi"/>
          <w:color w:val="000000" w:themeColor="text1"/>
        </w:rPr>
        <w:t>albeit</w:t>
      </w:r>
      <w:r w:rsidRPr="00B07D16">
        <w:rPr>
          <w:rFonts w:asciiTheme="majorHAnsi" w:hAnsiTheme="majorHAnsi" w:cstheme="majorHAnsi"/>
        </w:rPr>
        <w:t xml:space="preserve"> these observations </w:t>
      </w:r>
      <w:r>
        <w:rPr>
          <w:rFonts w:asciiTheme="majorHAnsi" w:hAnsiTheme="majorHAnsi" w:cstheme="majorHAnsi"/>
        </w:rPr>
        <w:t>cannot be</w:t>
      </w:r>
      <w:r w:rsidRPr="00B07D16">
        <w:rPr>
          <w:rFonts w:asciiTheme="majorHAnsi" w:hAnsiTheme="majorHAnsi" w:cstheme="majorHAnsi"/>
        </w:rPr>
        <w:t xml:space="preserve"> generali</w:t>
      </w:r>
      <w:r>
        <w:rPr>
          <w:rFonts w:asciiTheme="majorHAnsi" w:hAnsiTheme="majorHAnsi" w:cstheme="majorHAnsi"/>
        </w:rPr>
        <w:t>s</w:t>
      </w:r>
      <w:r w:rsidRPr="00B07D16">
        <w:rPr>
          <w:rFonts w:asciiTheme="majorHAnsi" w:hAnsiTheme="majorHAnsi" w:cstheme="majorHAnsi"/>
        </w:rPr>
        <w:t>e</w:t>
      </w:r>
      <w:r>
        <w:rPr>
          <w:rFonts w:asciiTheme="majorHAnsi" w:hAnsiTheme="majorHAnsi" w:cstheme="majorHAnsi"/>
        </w:rPr>
        <w:t>d beyond</w:t>
      </w:r>
      <w:r w:rsidRPr="00B07D16">
        <w:rPr>
          <w:rFonts w:asciiTheme="majorHAnsi" w:hAnsiTheme="majorHAnsi" w:cstheme="majorHAnsi"/>
        </w:rPr>
        <w:t xml:space="preserve"> the 25 sample schools.</w:t>
      </w:r>
      <w:r w:rsidR="00D434EB">
        <w:rPr>
          <w:rFonts w:asciiTheme="majorHAnsi" w:hAnsiTheme="majorHAnsi" w:cstheme="majorHAnsi"/>
        </w:rPr>
        <w:t xml:space="preserve"> </w:t>
      </w:r>
    </w:p>
    <w:p w14:paraId="390C9E6C" w14:textId="77777777" w:rsidR="008D0CAD" w:rsidRDefault="008D0CAD" w:rsidP="000479A3">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color w:val="000000" w:themeColor="text1"/>
        </w:rPr>
        <w:t xml:space="preserve">Data showed that at baseline, </w:t>
      </w:r>
      <w:r w:rsidRPr="00751A95">
        <w:rPr>
          <w:rFonts w:asciiTheme="majorHAnsi" w:hAnsiTheme="majorHAnsi" w:cstheme="majorHAnsi"/>
          <w:color w:val="000000" w:themeColor="text1"/>
        </w:rPr>
        <w:t xml:space="preserve">average </w:t>
      </w:r>
      <w:r>
        <w:rPr>
          <w:rFonts w:asciiTheme="majorHAnsi" w:hAnsiTheme="majorHAnsi" w:cstheme="majorHAnsi"/>
          <w:color w:val="000000" w:themeColor="text1"/>
        </w:rPr>
        <w:t>grades</w:t>
      </w:r>
      <w:r w:rsidRPr="00751A95">
        <w:rPr>
          <w:rFonts w:asciiTheme="majorHAnsi" w:hAnsiTheme="majorHAnsi" w:cstheme="majorHAnsi"/>
          <w:color w:val="000000" w:themeColor="text1"/>
        </w:rPr>
        <w:t xml:space="preserve"> of students</w:t>
      </w:r>
      <w:r>
        <w:rPr>
          <w:rFonts w:asciiTheme="majorHAnsi" w:hAnsiTheme="majorHAnsi" w:cstheme="majorHAnsi"/>
          <w:color w:val="000000" w:themeColor="text1"/>
        </w:rPr>
        <w:t xml:space="preserve"> at all grade levels in the indirect recipient schools (IRS)</w:t>
      </w:r>
      <w:r>
        <w:rPr>
          <w:rStyle w:val="FootnoteReference"/>
          <w:rFonts w:asciiTheme="majorHAnsi" w:eastAsia="Arial Unicode MS" w:hAnsiTheme="majorHAnsi" w:cstheme="majorHAnsi"/>
          <w:color w:val="000000" w:themeColor="text1"/>
        </w:rPr>
        <w:footnoteReference w:id="20"/>
      </w:r>
      <w:r>
        <w:rPr>
          <w:rFonts w:asciiTheme="majorHAnsi" w:hAnsiTheme="majorHAnsi" w:cstheme="majorHAnsi"/>
          <w:color w:val="000000" w:themeColor="text1"/>
        </w:rPr>
        <w:t xml:space="preserve"> were higher than their counterparts in the direct recipient schools (DRS). At endline, </w:t>
      </w:r>
      <w:r w:rsidRPr="00751A95">
        <w:rPr>
          <w:rFonts w:asciiTheme="majorHAnsi" w:hAnsiTheme="majorHAnsi" w:cstheme="majorHAnsi"/>
          <w:color w:val="000000" w:themeColor="text1"/>
        </w:rPr>
        <w:t xml:space="preserve">average </w:t>
      </w:r>
      <w:r>
        <w:rPr>
          <w:rFonts w:asciiTheme="majorHAnsi" w:hAnsiTheme="majorHAnsi" w:cstheme="majorHAnsi"/>
          <w:color w:val="000000" w:themeColor="text1"/>
        </w:rPr>
        <w:t>grades</w:t>
      </w:r>
      <w:r w:rsidRPr="00751A95">
        <w:rPr>
          <w:rFonts w:asciiTheme="majorHAnsi" w:hAnsiTheme="majorHAnsi" w:cstheme="majorHAnsi"/>
          <w:color w:val="000000" w:themeColor="text1"/>
        </w:rPr>
        <w:t xml:space="preserve"> of students</w:t>
      </w:r>
      <w:r>
        <w:rPr>
          <w:rFonts w:asciiTheme="majorHAnsi" w:hAnsiTheme="majorHAnsi" w:cstheme="majorHAnsi"/>
          <w:color w:val="000000" w:themeColor="text1"/>
        </w:rPr>
        <w:t xml:space="preserve"> in the IRS remained higher than their counterparts in the DRS</w:t>
      </w:r>
      <w:r w:rsidRPr="00681DF4">
        <w:rPr>
          <w:rFonts w:asciiTheme="majorHAnsi" w:hAnsiTheme="majorHAnsi" w:cstheme="majorHAnsi"/>
          <w:color w:val="000000" w:themeColor="text1"/>
        </w:rPr>
        <w:t xml:space="preserve"> </w:t>
      </w:r>
      <w:r w:rsidRPr="00B07D16">
        <w:rPr>
          <w:rFonts w:asciiTheme="majorHAnsi" w:hAnsiTheme="majorHAnsi" w:cstheme="majorHAnsi"/>
          <w:i/>
          <w:iCs/>
          <w:color w:val="000000" w:themeColor="text1"/>
        </w:rPr>
        <w:t>except</w:t>
      </w:r>
      <w:r>
        <w:rPr>
          <w:rFonts w:asciiTheme="majorHAnsi" w:hAnsiTheme="majorHAnsi" w:cstheme="majorHAnsi"/>
          <w:color w:val="000000" w:themeColor="text1"/>
        </w:rPr>
        <w:t xml:space="preserve"> for the </w:t>
      </w:r>
      <w:r w:rsidRPr="00751A95">
        <w:rPr>
          <w:rFonts w:asciiTheme="majorHAnsi" w:hAnsiTheme="majorHAnsi" w:cstheme="majorHAnsi"/>
          <w:color w:val="000000" w:themeColor="text1"/>
        </w:rPr>
        <w:t xml:space="preserve">average </w:t>
      </w:r>
      <w:r>
        <w:rPr>
          <w:rFonts w:asciiTheme="majorHAnsi" w:hAnsiTheme="majorHAnsi" w:cstheme="majorHAnsi"/>
          <w:color w:val="000000" w:themeColor="text1"/>
        </w:rPr>
        <w:t>grades</w:t>
      </w:r>
      <w:r w:rsidRPr="00751A95">
        <w:rPr>
          <w:rFonts w:asciiTheme="majorHAnsi" w:hAnsiTheme="majorHAnsi" w:cstheme="majorHAnsi"/>
          <w:color w:val="000000" w:themeColor="text1"/>
        </w:rPr>
        <w:t xml:space="preserve"> of </w:t>
      </w:r>
      <w:r>
        <w:rPr>
          <w:rFonts w:asciiTheme="majorHAnsi" w:hAnsiTheme="majorHAnsi" w:cstheme="majorHAnsi"/>
          <w:color w:val="000000" w:themeColor="text1"/>
        </w:rPr>
        <w:t>Grade 4 students in Filipino and Science, and Grade 5 students in Math and Filipino.</w:t>
      </w:r>
    </w:p>
    <w:p w14:paraId="3426706C" w14:textId="24CEBF21" w:rsidR="008D0CAD" w:rsidRDefault="008D0CAD" w:rsidP="000479A3">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color w:val="000000" w:themeColor="text1"/>
        </w:rPr>
        <w:t xml:space="preserve">In addition, </w:t>
      </w:r>
      <w:r w:rsidRPr="00751A95">
        <w:rPr>
          <w:rFonts w:asciiTheme="majorHAnsi" w:hAnsiTheme="majorHAnsi" w:cstheme="majorHAnsi"/>
          <w:color w:val="000000" w:themeColor="text1"/>
        </w:rPr>
        <w:t xml:space="preserve">average </w:t>
      </w:r>
      <w:r>
        <w:rPr>
          <w:rFonts w:asciiTheme="majorHAnsi" w:hAnsiTheme="majorHAnsi" w:cstheme="majorHAnsi"/>
          <w:color w:val="000000" w:themeColor="text1"/>
        </w:rPr>
        <w:t>grades</w:t>
      </w:r>
      <w:r w:rsidRPr="00751A95">
        <w:rPr>
          <w:rFonts w:asciiTheme="majorHAnsi" w:hAnsiTheme="majorHAnsi" w:cstheme="majorHAnsi"/>
          <w:color w:val="000000" w:themeColor="text1"/>
        </w:rPr>
        <w:t xml:space="preserve"> of students in the </w:t>
      </w:r>
      <w:r>
        <w:rPr>
          <w:rFonts w:asciiTheme="majorHAnsi" w:hAnsiTheme="majorHAnsi" w:cstheme="majorHAnsi"/>
          <w:color w:val="000000" w:themeColor="text1"/>
        </w:rPr>
        <w:t>DRS</w:t>
      </w:r>
      <w:r w:rsidRPr="00751A95">
        <w:rPr>
          <w:rFonts w:asciiTheme="majorHAnsi" w:hAnsiTheme="majorHAnsi" w:cstheme="majorHAnsi"/>
          <w:color w:val="000000" w:themeColor="text1"/>
        </w:rPr>
        <w:t xml:space="preserve"> increased from baseline (SY2016-2017) to end-line (SY2017-2018) in all grade levels and subjects </w:t>
      </w:r>
      <w:r w:rsidRPr="00EF2632">
        <w:rPr>
          <w:rFonts w:asciiTheme="majorHAnsi" w:hAnsiTheme="majorHAnsi" w:cstheme="majorHAnsi"/>
          <w:b/>
          <w:bCs/>
          <w:i/>
          <w:iCs/>
          <w:color w:val="000000" w:themeColor="text1"/>
        </w:rPr>
        <w:t xml:space="preserve">except </w:t>
      </w:r>
      <w:r w:rsidRPr="00EF2632">
        <w:rPr>
          <w:rFonts w:asciiTheme="majorHAnsi" w:hAnsiTheme="majorHAnsi" w:cstheme="majorHAnsi"/>
          <w:color w:val="000000" w:themeColor="text1"/>
        </w:rPr>
        <w:t>for</w:t>
      </w:r>
      <w:r>
        <w:rPr>
          <w:rFonts w:asciiTheme="majorHAnsi" w:hAnsiTheme="majorHAnsi" w:cstheme="majorHAnsi"/>
          <w:color w:val="000000" w:themeColor="text1"/>
        </w:rPr>
        <w:t xml:space="preserve"> </w:t>
      </w:r>
      <w:r w:rsidRPr="00751A95">
        <w:rPr>
          <w:rFonts w:asciiTheme="majorHAnsi" w:hAnsiTheme="majorHAnsi" w:cstheme="majorHAnsi"/>
          <w:color w:val="000000" w:themeColor="text1"/>
        </w:rPr>
        <w:t>Grade 4 students in Math</w:t>
      </w:r>
      <w:r>
        <w:rPr>
          <w:rFonts w:asciiTheme="majorHAnsi" w:hAnsiTheme="majorHAnsi" w:cstheme="majorHAnsi"/>
          <w:color w:val="000000" w:themeColor="text1"/>
        </w:rPr>
        <w:t>, and</w:t>
      </w:r>
      <w:r w:rsidRPr="00751A95">
        <w:rPr>
          <w:rFonts w:asciiTheme="majorHAnsi" w:hAnsiTheme="majorHAnsi" w:cstheme="majorHAnsi"/>
          <w:bCs/>
          <w:color w:val="000000" w:themeColor="text1"/>
        </w:rPr>
        <w:t xml:space="preserve"> </w:t>
      </w:r>
      <w:r w:rsidRPr="00751A95">
        <w:rPr>
          <w:rFonts w:asciiTheme="majorHAnsi" w:hAnsiTheme="majorHAnsi" w:cstheme="majorHAnsi"/>
          <w:color w:val="000000" w:themeColor="text1"/>
        </w:rPr>
        <w:t>Grade 6 students in Math and Filipino.</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A fourth result showed drastic declines in the average grades of students in the IRS that were not paralleled by their counterparts in the DRS. This trend was observed in the grades of students in Grades 4 students in Filipino, English and Science and among Grade 6 students in Math and Science.</w:t>
      </w:r>
    </w:p>
    <w:p w14:paraId="41B3BB3F" w14:textId="2A872C5B" w:rsidR="008D0CAD" w:rsidRPr="00FA291E" w:rsidRDefault="008D0CAD" w:rsidP="000479A3">
      <w:pPr>
        <w:spacing w:before="100" w:beforeAutospacing="1" w:after="100" w:afterAutospacing="1" w:line="360" w:lineRule="auto"/>
        <w:rPr>
          <w:rFonts w:asciiTheme="majorHAnsi" w:hAnsiTheme="majorHAnsi" w:cstheme="majorHAnsi"/>
          <w:color w:val="000000" w:themeColor="text1"/>
        </w:rPr>
      </w:pPr>
      <w:r w:rsidRPr="00FA291E">
        <w:rPr>
          <w:rFonts w:asciiTheme="majorHAnsi" w:hAnsiTheme="majorHAnsi" w:cstheme="majorHAnsi"/>
          <w:color w:val="000000" w:themeColor="text1"/>
        </w:rPr>
        <w:t>At the time of the Study, there were no direct factors that could explain the trends in average grades of these two groups of schools.</w:t>
      </w:r>
      <w:r w:rsidR="00D434EB">
        <w:rPr>
          <w:rFonts w:asciiTheme="majorHAnsi" w:hAnsiTheme="majorHAnsi" w:cstheme="majorHAnsi"/>
          <w:color w:val="000000" w:themeColor="text1"/>
        </w:rPr>
        <w:t xml:space="preserve"> </w:t>
      </w:r>
      <w:r w:rsidRPr="00FA291E">
        <w:rPr>
          <w:rFonts w:asciiTheme="majorHAnsi" w:hAnsiTheme="majorHAnsi" w:cstheme="majorHAnsi"/>
          <w:color w:val="000000" w:themeColor="text1"/>
        </w:rPr>
        <w:t>For instance, there were no specific criteria used by D</w:t>
      </w:r>
      <w:r>
        <w:rPr>
          <w:rFonts w:asciiTheme="majorHAnsi" w:hAnsiTheme="majorHAnsi" w:cstheme="majorHAnsi"/>
          <w:color w:val="000000" w:themeColor="text1"/>
        </w:rPr>
        <w:t xml:space="preserve">ivision </w:t>
      </w:r>
      <w:r w:rsidRPr="00FA291E">
        <w:rPr>
          <w:rFonts w:asciiTheme="majorHAnsi" w:hAnsiTheme="majorHAnsi" w:cstheme="majorHAnsi"/>
          <w:color w:val="000000" w:themeColor="text1"/>
        </w:rPr>
        <w:t>O</w:t>
      </w:r>
      <w:r>
        <w:rPr>
          <w:rFonts w:asciiTheme="majorHAnsi" w:hAnsiTheme="majorHAnsi" w:cstheme="majorHAnsi"/>
          <w:color w:val="000000" w:themeColor="text1"/>
        </w:rPr>
        <w:t>ffice</w:t>
      </w:r>
      <w:r w:rsidRPr="00FA291E">
        <w:rPr>
          <w:rFonts w:asciiTheme="majorHAnsi" w:hAnsiTheme="majorHAnsi" w:cstheme="majorHAnsi"/>
          <w:color w:val="000000" w:themeColor="text1"/>
        </w:rPr>
        <w:t>s for choosing the direct recipient schools and thus the fact that these schools had lower average grades at baseline could not be explained.</w:t>
      </w:r>
    </w:p>
    <w:p w14:paraId="27233BD3" w14:textId="1EBD70F5" w:rsidR="008D0CAD" w:rsidRDefault="008D0CAD" w:rsidP="000479A3">
      <w:pPr>
        <w:spacing w:before="100" w:beforeAutospacing="1" w:after="100" w:afterAutospacing="1" w:line="360" w:lineRule="auto"/>
        <w:rPr>
          <w:rFonts w:asciiTheme="majorHAnsi" w:hAnsiTheme="majorHAnsi" w:cstheme="majorHAnsi"/>
        </w:rPr>
      </w:pPr>
      <w:r>
        <w:rPr>
          <w:rFonts w:asciiTheme="majorHAnsi" w:hAnsiTheme="majorHAnsi" w:cstheme="majorHAnsi"/>
          <w:color w:val="000000" w:themeColor="text1"/>
        </w:rPr>
        <w:t>A</w:t>
      </w:r>
      <w:r w:rsidRPr="00D34AB5">
        <w:rPr>
          <w:rFonts w:asciiTheme="majorHAnsi" w:hAnsiTheme="majorHAnsi" w:cstheme="majorHAnsi"/>
        </w:rPr>
        <w:t xml:space="preserve">ll </w:t>
      </w:r>
      <w:r w:rsidRPr="00BD7901">
        <w:rPr>
          <w:rFonts w:asciiTheme="majorHAnsi" w:hAnsiTheme="majorHAnsi" w:cstheme="majorHAnsi"/>
          <w:bCs/>
          <w:color w:val="000000" w:themeColor="text1"/>
        </w:rPr>
        <w:t xml:space="preserve">difference-in-difference </w:t>
      </w:r>
      <w:r>
        <w:rPr>
          <w:rFonts w:asciiTheme="majorHAnsi" w:hAnsiTheme="majorHAnsi" w:cstheme="majorHAnsi"/>
          <w:bCs/>
          <w:color w:val="000000" w:themeColor="text1"/>
        </w:rPr>
        <w:t>(</w:t>
      </w:r>
      <w:r w:rsidRPr="00D34AB5">
        <w:rPr>
          <w:rFonts w:asciiTheme="majorHAnsi" w:hAnsiTheme="majorHAnsi" w:cstheme="majorHAnsi"/>
        </w:rPr>
        <w:t>DID</w:t>
      </w:r>
      <w:r>
        <w:rPr>
          <w:rFonts w:asciiTheme="majorHAnsi" w:hAnsiTheme="majorHAnsi" w:cstheme="majorHAnsi"/>
        </w:rPr>
        <w:t>) value</w:t>
      </w:r>
      <w:r w:rsidRPr="00D34AB5">
        <w:rPr>
          <w:rFonts w:asciiTheme="majorHAnsi" w:hAnsiTheme="majorHAnsi" w:cstheme="majorHAnsi"/>
        </w:rPr>
        <w:t xml:space="preserve">s </w:t>
      </w:r>
      <w:r>
        <w:rPr>
          <w:rFonts w:asciiTheme="majorHAnsi" w:hAnsiTheme="majorHAnsi" w:cstheme="majorHAnsi"/>
        </w:rPr>
        <w:t xml:space="preserve">calculated were positive, indicating that </w:t>
      </w:r>
      <w:r w:rsidRPr="00187DF6">
        <w:rPr>
          <w:rFonts w:asciiTheme="majorHAnsi" w:hAnsiTheme="majorHAnsi" w:cstheme="majorHAnsi"/>
        </w:rPr>
        <w:t xml:space="preserve">the increases of average grades of students in direct recipient schools were higher than that of their counterpart students in the indirect recipient schools, from baseline to endline </w:t>
      </w:r>
      <w:r w:rsidRPr="00187DF6">
        <w:rPr>
          <w:rFonts w:asciiTheme="majorHAnsi" w:hAnsiTheme="majorHAnsi" w:cstheme="majorHAnsi"/>
          <w:color w:val="000000" w:themeColor="text1"/>
        </w:rPr>
        <w:t>(Table 1).</w:t>
      </w:r>
      <w:r w:rsidR="00D434EB">
        <w:rPr>
          <w:rFonts w:asciiTheme="majorHAnsi" w:hAnsiTheme="majorHAnsi" w:cstheme="majorHAnsi"/>
          <w:color w:val="000000" w:themeColor="text1"/>
        </w:rPr>
        <w:t xml:space="preserve"> </w:t>
      </w:r>
      <w:r w:rsidRPr="00CB41E9">
        <w:rPr>
          <w:rFonts w:asciiTheme="majorHAnsi" w:hAnsiTheme="majorHAnsi" w:cstheme="majorHAnsi"/>
          <w:color w:val="000000" w:themeColor="text1"/>
        </w:rPr>
        <w:t xml:space="preserve">In </w:t>
      </w:r>
      <w:r>
        <w:rPr>
          <w:rFonts w:asciiTheme="majorHAnsi" w:hAnsiTheme="majorHAnsi" w:cstheme="majorHAnsi"/>
        </w:rPr>
        <w:t xml:space="preserve">the case of the three cohorts of students in the direct recipient schools (namely </w:t>
      </w:r>
      <w:r w:rsidRPr="00751A95">
        <w:rPr>
          <w:rFonts w:asciiTheme="majorHAnsi" w:hAnsiTheme="majorHAnsi" w:cstheme="majorHAnsi"/>
          <w:color w:val="000000" w:themeColor="text1"/>
        </w:rPr>
        <w:t>Grade 4 students in Math</w:t>
      </w:r>
      <w:r>
        <w:rPr>
          <w:rFonts w:asciiTheme="majorHAnsi" w:hAnsiTheme="majorHAnsi" w:cstheme="majorHAnsi"/>
          <w:color w:val="000000" w:themeColor="text1"/>
        </w:rPr>
        <w:t xml:space="preserve"> and</w:t>
      </w:r>
      <w:r w:rsidRPr="00751A95">
        <w:rPr>
          <w:rFonts w:asciiTheme="majorHAnsi" w:hAnsiTheme="majorHAnsi" w:cstheme="majorHAnsi"/>
          <w:bCs/>
          <w:color w:val="000000" w:themeColor="text1"/>
        </w:rPr>
        <w:t xml:space="preserve"> </w:t>
      </w:r>
      <w:r w:rsidRPr="00751A95">
        <w:rPr>
          <w:rFonts w:asciiTheme="majorHAnsi" w:hAnsiTheme="majorHAnsi" w:cstheme="majorHAnsi"/>
          <w:color w:val="000000" w:themeColor="text1"/>
        </w:rPr>
        <w:t>Grade 6 students in Math and Filipino</w:t>
      </w:r>
      <w:r>
        <w:rPr>
          <w:rFonts w:asciiTheme="majorHAnsi" w:hAnsiTheme="majorHAnsi" w:cstheme="majorHAnsi"/>
          <w:color w:val="000000" w:themeColor="text1"/>
        </w:rPr>
        <w:t>)</w:t>
      </w:r>
      <w:r>
        <w:rPr>
          <w:rFonts w:asciiTheme="majorHAnsi" w:hAnsiTheme="majorHAnsi" w:cstheme="majorHAnsi"/>
        </w:rPr>
        <w:t xml:space="preserve">, the DID values were still positive even though there was a decline in their average grades because the decline in the </w:t>
      </w:r>
      <w:r w:rsidRPr="00D34AB5">
        <w:rPr>
          <w:rFonts w:asciiTheme="majorHAnsi" w:hAnsiTheme="majorHAnsi" w:cstheme="majorHAnsi"/>
        </w:rPr>
        <w:t xml:space="preserve">average </w:t>
      </w:r>
      <w:r>
        <w:rPr>
          <w:rFonts w:asciiTheme="majorHAnsi" w:hAnsiTheme="majorHAnsi" w:cstheme="majorHAnsi"/>
        </w:rPr>
        <w:t>grades</w:t>
      </w:r>
      <w:r w:rsidRPr="00D34AB5">
        <w:rPr>
          <w:rFonts w:asciiTheme="majorHAnsi" w:hAnsiTheme="majorHAnsi" w:cstheme="majorHAnsi"/>
        </w:rPr>
        <w:t xml:space="preserve"> of </w:t>
      </w:r>
      <w:r>
        <w:rPr>
          <w:rFonts w:asciiTheme="majorHAnsi" w:hAnsiTheme="majorHAnsi" w:cstheme="majorHAnsi"/>
        </w:rPr>
        <w:t>students in IRS during the same period,</w:t>
      </w:r>
      <w:r w:rsidRPr="00416390">
        <w:rPr>
          <w:rFonts w:asciiTheme="majorHAnsi" w:hAnsiTheme="majorHAnsi" w:cstheme="majorHAnsi"/>
        </w:rPr>
        <w:t xml:space="preserve"> </w:t>
      </w:r>
      <w:r>
        <w:rPr>
          <w:rFonts w:asciiTheme="majorHAnsi" w:hAnsiTheme="majorHAnsi" w:cstheme="majorHAnsi"/>
        </w:rPr>
        <w:t>were steeper.</w:t>
      </w:r>
    </w:p>
    <w:p w14:paraId="0DBAE2A0" w14:textId="64A32EEF" w:rsidR="008D0CAD" w:rsidRPr="00CB41E9" w:rsidRDefault="008D0CAD" w:rsidP="000479A3">
      <w:pPr>
        <w:pStyle w:val="Caption"/>
        <w:spacing w:before="100" w:beforeAutospacing="1" w:after="100" w:afterAutospacing="1" w:line="360" w:lineRule="auto"/>
        <w:rPr>
          <w:rFonts w:asciiTheme="majorHAnsi" w:hAnsiTheme="majorHAnsi" w:cstheme="majorHAnsi"/>
          <w:bCs/>
          <w:sz w:val="22"/>
          <w:szCs w:val="22"/>
        </w:rPr>
      </w:pPr>
      <w:r>
        <w:rPr>
          <w:rFonts w:asciiTheme="majorHAnsi" w:hAnsiTheme="majorHAnsi" w:cstheme="majorHAnsi"/>
          <w:sz w:val="22"/>
          <w:szCs w:val="22"/>
        </w:rPr>
        <w:t xml:space="preserve"> </w:t>
      </w:r>
      <w:bookmarkStart w:id="72" w:name="_Toc71616592"/>
      <w:r w:rsidRPr="00CB41E9">
        <w:rPr>
          <w:rFonts w:asciiTheme="majorHAnsi" w:hAnsiTheme="majorHAnsi" w:cstheme="majorHAnsi"/>
          <w:sz w:val="22"/>
          <w:szCs w:val="22"/>
        </w:rPr>
        <w:t xml:space="preserve">Table </w:t>
      </w:r>
      <w:r w:rsidRPr="00CB41E9">
        <w:rPr>
          <w:rFonts w:asciiTheme="majorHAnsi" w:hAnsiTheme="majorHAnsi" w:cstheme="majorHAnsi"/>
          <w:sz w:val="22"/>
          <w:szCs w:val="22"/>
        </w:rPr>
        <w:fldChar w:fldCharType="begin"/>
      </w:r>
      <w:r w:rsidRPr="00CB41E9">
        <w:rPr>
          <w:rFonts w:asciiTheme="majorHAnsi" w:hAnsiTheme="majorHAnsi" w:cstheme="majorHAnsi"/>
          <w:sz w:val="22"/>
          <w:szCs w:val="22"/>
        </w:rPr>
        <w:instrText xml:space="preserve"> SEQ Table \* ARABIC </w:instrText>
      </w:r>
      <w:r w:rsidRPr="00CB41E9">
        <w:rPr>
          <w:rFonts w:asciiTheme="majorHAnsi" w:hAnsiTheme="majorHAnsi" w:cstheme="majorHAnsi"/>
          <w:sz w:val="22"/>
          <w:szCs w:val="22"/>
        </w:rPr>
        <w:fldChar w:fldCharType="separate"/>
      </w:r>
      <w:r w:rsidR="00D6133D">
        <w:rPr>
          <w:rFonts w:asciiTheme="majorHAnsi" w:hAnsiTheme="majorHAnsi" w:cstheme="majorHAnsi"/>
          <w:noProof/>
          <w:sz w:val="22"/>
          <w:szCs w:val="22"/>
        </w:rPr>
        <w:t>1</w:t>
      </w:r>
      <w:r w:rsidRPr="00CB41E9">
        <w:rPr>
          <w:rFonts w:asciiTheme="majorHAnsi" w:hAnsiTheme="majorHAnsi" w:cstheme="majorHAnsi"/>
          <w:sz w:val="22"/>
          <w:szCs w:val="22"/>
        </w:rPr>
        <w:fldChar w:fldCharType="end"/>
      </w:r>
      <w:r w:rsidRPr="00CB41E9">
        <w:rPr>
          <w:rFonts w:asciiTheme="majorHAnsi" w:hAnsiTheme="majorHAnsi" w:cstheme="majorHAnsi"/>
          <w:sz w:val="22"/>
          <w:szCs w:val="22"/>
        </w:rPr>
        <w:t>.</w:t>
      </w:r>
      <w:r w:rsidR="00D434EB">
        <w:rPr>
          <w:rFonts w:asciiTheme="majorHAnsi" w:hAnsiTheme="majorHAnsi" w:cstheme="majorHAnsi"/>
          <w:bCs/>
          <w:sz w:val="22"/>
          <w:szCs w:val="22"/>
        </w:rPr>
        <w:t xml:space="preserve"> </w:t>
      </w:r>
      <w:r w:rsidRPr="00590012">
        <w:rPr>
          <w:rFonts w:asciiTheme="majorHAnsi" w:hAnsiTheme="majorHAnsi" w:cstheme="majorHAnsi"/>
          <w:sz w:val="22"/>
          <w:szCs w:val="22"/>
        </w:rPr>
        <w:t xml:space="preserve">DID values </w:t>
      </w:r>
      <w:r>
        <w:rPr>
          <w:rFonts w:asciiTheme="majorHAnsi" w:hAnsiTheme="majorHAnsi" w:cstheme="majorHAnsi"/>
          <w:sz w:val="22"/>
          <w:szCs w:val="22"/>
        </w:rPr>
        <w:t>for</w:t>
      </w:r>
      <w:r>
        <w:rPr>
          <w:rFonts w:asciiTheme="majorHAnsi" w:hAnsiTheme="majorHAnsi" w:cstheme="majorHAnsi"/>
          <w:bCs/>
          <w:sz w:val="22"/>
          <w:szCs w:val="22"/>
        </w:rPr>
        <w:t xml:space="preserve"> Average Grades by Subject</w:t>
      </w:r>
      <w:bookmarkEnd w:id="72"/>
    </w:p>
    <w:tbl>
      <w:tblPr>
        <w:tblStyle w:val="TableGrid"/>
        <w:tblpPr w:leftFromText="180" w:rightFromText="180" w:vertAnchor="text" w:horzAnchor="margin" w:tblpY="99"/>
        <w:tblW w:w="4854" w:type="dxa"/>
        <w:tblLook w:val="04A0" w:firstRow="1" w:lastRow="0" w:firstColumn="1" w:lastColumn="0" w:noHBand="0" w:noVBand="1"/>
      </w:tblPr>
      <w:tblGrid>
        <w:gridCol w:w="1213"/>
        <w:gridCol w:w="1213"/>
        <w:gridCol w:w="1214"/>
        <w:gridCol w:w="1214"/>
      </w:tblGrid>
      <w:tr w:rsidR="0073544F" w14:paraId="4911CFE2" w14:textId="77777777" w:rsidTr="00ED33AB">
        <w:trPr>
          <w:trHeight w:val="279"/>
        </w:trPr>
        <w:tc>
          <w:tcPr>
            <w:tcW w:w="1213" w:type="dxa"/>
          </w:tcPr>
          <w:p w14:paraId="5594C6DA" w14:textId="77777777" w:rsidR="0073544F" w:rsidRPr="004B064D" w:rsidRDefault="0073544F" w:rsidP="000479A3">
            <w:pPr>
              <w:spacing w:before="100" w:beforeAutospacing="1" w:after="100" w:afterAutospacing="1" w:line="360" w:lineRule="auto"/>
              <w:rPr>
                <w:rFonts w:asciiTheme="majorHAnsi" w:hAnsiTheme="majorHAnsi" w:cstheme="majorHAnsi"/>
                <w:b/>
                <w:bCs/>
                <w:sz w:val="20"/>
                <w:szCs w:val="20"/>
              </w:rPr>
            </w:pPr>
            <w:r w:rsidRPr="004B064D">
              <w:rPr>
                <w:rFonts w:asciiTheme="majorHAnsi" w:hAnsiTheme="majorHAnsi" w:cstheme="majorHAnsi"/>
                <w:b/>
                <w:bCs/>
                <w:sz w:val="20"/>
                <w:szCs w:val="20"/>
              </w:rPr>
              <w:t>Subject</w:t>
            </w:r>
          </w:p>
        </w:tc>
        <w:tc>
          <w:tcPr>
            <w:tcW w:w="1213" w:type="dxa"/>
          </w:tcPr>
          <w:p w14:paraId="479D71E9" w14:textId="77777777" w:rsidR="0073544F" w:rsidRPr="004B064D" w:rsidRDefault="0073544F" w:rsidP="000479A3">
            <w:pPr>
              <w:spacing w:before="100" w:beforeAutospacing="1" w:after="100" w:afterAutospacing="1" w:line="360" w:lineRule="auto"/>
              <w:rPr>
                <w:rFonts w:asciiTheme="majorHAnsi" w:hAnsiTheme="majorHAnsi" w:cstheme="majorHAnsi"/>
                <w:b/>
                <w:bCs/>
                <w:sz w:val="20"/>
                <w:szCs w:val="20"/>
              </w:rPr>
            </w:pPr>
            <w:r w:rsidRPr="004B064D">
              <w:rPr>
                <w:rFonts w:asciiTheme="majorHAnsi" w:hAnsiTheme="majorHAnsi" w:cstheme="majorHAnsi"/>
                <w:b/>
                <w:bCs/>
                <w:sz w:val="20"/>
                <w:szCs w:val="20"/>
              </w:rPr>
              <w:t>Grade 4</w:t>
            </w:r>
          </w:p>
        </w:tc>
        <w:tc>
          <w:tcPr>
            <w:tcW w:w="1214" w:type="dxa"/>
          </w:tcPr>
          <w:p w14:paraId="7E27D3E1" w14:textId="77777777" w:rsidR="0073544F" w:rsidRPr="004B064D" w:rsidRDefault="0073544F" w:rsidP="000479A3">
            <w:pPr>
              <w:spacing w:before="100" w:beforeAutospacing="1" w:after="100" w:afterAutospacing="1" w:line="360" w:lineRule="auto"/>
              <w:rPr>
                <w:rFonts w:asciiTheme="majorHAnsi" w:hAnsiTheme="majorHAnsi" w:cstheme="majorHAnsi"/>
                <w:b/>
                <w:bCs/>
                <w:sz w:val="20"/>
                <w:szCs w:val="20"/>
              </w:rPr>
            </w:pPr>
            <w:r w:rsidRPr="004B064D">
              <w:rPr>
                <w:rFonts w:asciiTheme="majorHAnsi" w:hAnsiTheme="majorHAnsi" w:cstheme="majorHAnsi"/>
                <w:b/>
                <w:bCs/>
                <w:sz w:val="20"/>
                <w:szCs w:val="20"/>
              </w:rPr>
              <w:t>Grade 5</w:t>
            </w:r>
          </w:p>
        </w:tc>
        <w:tc>
          <w:tcPr>
            <w:tcW w:w="1214" w:type="dxa"/>
          </w:tcPr>
          <w:p w14:paraId="58F84F94" w14:textId="77777777" w:rsidR="0073544F" w:rsidRPr="004B064D" w:rsidRDefault="0073544F" w:rsidP="000479A3">
            <w:pPr>
              <w:spacing w:before="100" w:beforeAutospacing="1" w:after="100" w:afterAutospacing="1" w:line="360" w:lineRule="auto"/>
              <w:rPr>
                <w:rFonts w:asciiTheme="majorHAnsi" w:hAnsiTheme="majorHAnsi" w:cstheme="majorHAnsi"/>
                <w:b/>
                <w:bCs/>
                <w:sz w:val="20"/>
                <w:szCs w:val="20"/>
              </w:rPr>
            </w:pPr>
            <w:r w:rsidRPr="004B064D">
              <w:rPr>
                <w:rFonts w:asciiTheme="majorHAnsi" w:hAnsiTheme="majorHAnsi" w:cstheme="majorHAnsi"/>
                <w:b/>
                <w:bCs/>
                <w:sz w:val="20"/>
                <w:szCs w:val="20"/>
              </w:rPr>
              <w:t>Grade 6</w:t>
            </w:r>
          </w:p>
        </w:tc>
      </w:tr>
      <w:tr w:rsidR="0073544F" w14:paraId="099BC3EF" w14:textId="77777777" w:rsidTr="00ED33AB">
        <w:trPr>
          <w:trHeight w:val="279"/>
        </w:trPr>
        <w:tc>
          <w:tcPr>
            <w:tcW w:w="1213" w:type="dxa"/>
          </w:tcPr>
          <w:p w14:paraId="4B60F940" w14:textId="77777777" w:rsidR="0073544F" w:rsidRDefault="0073544F" w:rsidP="000479A3">
            <w:pPr>
              <w:spacing w:before="100" w:beforeAutospacing="1" w:after="100" w:afterAutospacing="1" w:line="360" w:lineRule="auto"/>
              <w:rPr>
                <w:rFonts w:asciiTheme="majorHAnsi" w:hAnsiTheme="majorHAnsi" w:cstheme="majorHAnsi"/>
                <w:sz w:val="20"/>
                <w:szCs w:val="20"/>
              </w:rPr>
            </w:pPr>
            <w:r>
              <w:rPr>
                <w:rFonts w:asciiTheme="majorHAnsi" w:hAnsiTheme="majorHAnsi" w:cstheme="majorHAnsi"/>
                <w:sz w:val="20"/>
                <w:szCs w:val="20"/>
              </w:rPr>
              <w:t>English</w:t>
            </w:r>
          </w:p>
        </w:tc>
        <w:tc>
          <w:tcPr>
            <w:tcW w:w="1213" w:type="dxa"/>
          </w:tcPr>
          <w:p w14:paraId="6246F885" w14:textId="77777777" w:rsidR="0073544F" w:rsidRDefault="0073544F" w:rsidP="000479A3">
            <w:pPr>
              <w:spacing w:before="100" w:beforeAutospacing="1" w:after="100" w:afterAutospacing="1" w:line="360" w:lineRule="auto"/>
              <w:rPr>
                <w:rFonts w:asciiTheme="majorHAnsi" w:hAnsiTheme="majorHAnsi" w:cstheme="majorHAnsi"/>
                <w:sz w:val="20"/>
                <w:szCs w:val="20"/>
              </w:rPr>
            </w:pPr>
            <w:r>
              <w:rPr>
                <w:rFonts w:asciiTheme="majorHAnsi" w:hAnsiTheme="majorHAnsi" w:cstheme="majorHAnsi"/>
                <w:sz w:val="20"/>
                <w:szCs w:val="20"/>
              </w:rPr>
              <w:t>0.77</w:t>
            </w:r>
          </w:p>
        </w:tc>
        <w:tc>
          <w:tcPr>
            <w:tcW w:w="1214" w:type="dxa"/>
          </w:tcPr>
          <w:p w14:paraId="57B8F236" w14:textId="77777777" w:rsidR="0073544F" w:rsidRDefault="0073544F" w:rsidP="000479A3">
            <w:pPr>
              <w:spacing w:before="100" w:beforeAutospacing="1" w:after="100" w:afterAutospacing="1" w:line="360" w:lineRule="auto"/>
              <w:rPr>
                <w:rFonts w:asciiTheme="majorHAnsi" w:hAnsiTheme="majorHAnsi" w:cstheme="majorHAnsi"/>
                <w:sz w:val="20"/>
                <w:szCs w:val="20"/>
              </w:rPr>
            </w:pPr>
            <w:r>
              <w:rPr>
                <w:rFonts w:asciiTheme="majorHAnsi" w:hAnsiTheme="majorHAnsi" w:cstheme="majorHAnsi"/>
                <w:sz w:val="20"/>
                <w:szCs w:val="20"/>
              </w:rPr>
              <w:t>0.76</w:t>
            </w:r>
          </w:p>
        </w:tc>
        <w:tc>
          <w:tcPr>
            <w:tcW w:w="1214" w:type="dxa"/>
          </w:tcPr>
          <w:p w14:paraId="6D30F108" w14:textId="77777777" w:rsidR="0073544F" w:rsidRDefault="0073544F" w:rsidP="000479A3">
            <w:pPr>
              <w:spacing w:before="100" w:beforeAutospacing="1" w:after="100" w:afterAutospacing="1" w:line="360" w:lineRule="auto"/>
              <w:rPr>
                <w:rFonts w:asciiTheme="majorHAnsi" w:hAnsiTheme="majorHAnsi" w:cstheme="majorHAnsi"/>
                <w:sz w:val="20"/>
                <w:szCs w:val="20"/>
              </w:rPr>
            </w:pPr>
            <w:r>
              <w:rPr>
                <w:rFonts w:asciiTheme="majorHAnsi" w:hAnsiTheme="majorHAnsi" w:cstheme="majorHAnsi"/>
                <w:sz w:val="20"/>
                <w:szCs w:val="20"/>
              </w:rPr>
              <w:t>1.13</w:t>
            </w:r>
          </w:p>
        </w:tc>
      </w:tr>
      <w:tr w:rsidR="0073544F" w14:paraId="4C4A61E4" w14:textId="77777777" w:rsidTr="00ED33AB">
        <w:trPr>
          <w:trHeight w:val="279"/>
        </w:trPr>
        <w:tc>
          <w:tcPr>
            <w:tcW w:w="1213" w:type="dxa"/>
          </w:tcPr>
          <w:p w14:paraId="37B85D66" w14:textId="77777777" w:rsidR="0073544F" w:rsidRDefault="0073544F" w:rsidP="000479A3">
            <w:pPr>
              <w:spacing w:before="100" w:beforeAutospacing="1" w:after="100" w:afterAutospacing="1" w:line="360" w:lineRule="auto"/>
              <w:rPr>
                <w:rFonts w:asciiTheme="majorHAnsi" w:hAnsiTheme="majorHAnsi" w:cstheme="majorHAnsi"/>
                <w:sz w:val="20"/>
                <w:szCs w:val="20"/>
              </w:rPr>
            </w:pPr>
            <w:r>
              <w:rPr>
                <w:rFonts w:asciiTheme="majorHAnsi" w:hAnsiTheme="majorHAnsi" w:cstheme="majorHAnsi"/>
                <w:sz w:val="20"/>
                <w:szCs w:val="20"/>
              </w:rPr>
              <w:t>Filipino</w:t>
            </w:r>
          </w:p>
        </w:tc>
        <w:tc>
          <w:tcPr>
            <w:tcW w:w="1213" w:type="dxa"/>
          </w:tcPr>
          <w:p w14:paraId="36E3E706" w14:textId="77777777" w:rsidR="0073544F" w:rsidRDefault="0073544F" w:rsidP="000479A3">
            <w:pPr>
              <w:spacing w:before="100" w:beforeAutospacing="1" w:after="100" w:afterAutospacing="1" w:line="360" w:lineRule="auto"/>
              <w:rPr>
                <w:rFonts w:asciiTheme="majorHAnsi" w:hAnsiTheme="majorHAnsi" w:cstheme="majorHAnsi"/>
                <w:sz w:val="20"/>
                <w:szCs w:val="20"/>
              </w:rPr>
            </w:pPr>
            <w:r>
              <w:rPr>
                <w:rFonts w:asciiTheme="majorHAnsi" w:hAnsiTheme="majorHAnsi" w:cstheme="majorHAnsi"/>
                <w:sz w:val="20"/>
                <w:szCs w:val="20"/>
              </w:rPr>
              <w:t>0.62</w:t>
            </w:r>
          </w:p>
        </w:tc>
        <w:tc>
          <w:tcPr>
            <w:tcW w:w="1214" w:type="dxa"/>
          </w:tcPr>
          <w:p w14:paraId="6022AA45" w14:textId="77777777" w:rsidR="0073544F" w:rsidRDefault="0073544F" w:rsidP="000479A3">
            <w:pPr>
              <w:spacing w:before="100" w:beforeAutospacing="1" w:after="100" w:afterAutospacing="1" w:line="360" w:lineRule="auto"/>
              <w:rPr>
                <w:rFonts w:asciiTheme="majorHAnsi" w:hAnsiTheme="majorHAnsi" w:cstheme="majorHAnsi"/>
                <w:sz w:val="20"/>
                <w:szCs w:val="20"/>
              </w:rPr>
            </w:pPr>
            <w:r>
              <w:rPr>
                <w:rFonts w:asciiTheme="majorHAnsi" w:hAnsiTheme="majorHAnsi" w:cstheme="majorHAnsi"/>
                <w:sz w:val="20"/>
                <w:szCs w:val="20"/>
              </w:rPr>
              <w:t>1.58</w:t>
            </w:r>
          </w:p>
        </w:tc>
        <w:tc>
          <w:tcPr>
            <w:tcW w:w="1214" w:type="dxa"/>
          </w:tcPr>
          <w:p w14:paraId="2CEAF1C8" w14:textId="77777777" w:rsidR="0073544F" w:rsidRDefault="0073544F" w:rsidP="000479A3">
            <w:pPr>
              <w:spacing w:before="100" w:beforeAutospacing="1" w:after="100" w:afterAutospacing="1" w:line="360" w:lineRule="auto"/>
              <w:rPr>
                <w:rFonts w:asciiTheme="majorHAnsi" w:hAnsiTheme="majorHAnsi" w:cstheme="majorHAnsi"/>
                <w:sz w:val="20"/>
                <w:szCs w:val="20"/>
              </w:rPr>
            </w:pPr>
            <w:r>
              <w:rPr>
                <w:rFonts w:asciiTheme="majorHAnsi" w:hAnsiTheme="majorHAnsi" w:cstheme="majorHAnsi"/>
                <w:sz w:val="20"/>
                <w:szCs w:val="20"/>
              </w:rPr>
              <w:t>1.92</w:t>
            </w:r>
          </w:p>
        </w:tc>
      </w:tr>
      <w:tr w:rsidR="0073544F" w14:paraId="5071FE96" w14:textId="77777777" w:rsidTr="00ED33AB">
        <w:trPr>
          <w:trHeight w:val="279"/>
        </w:trPr>
        <w:tc>
          <w:tcPr>
            <w:tcW w:w="1213" w:type="dxa"/>
          </w:tcPr>
          <w:p w14:paraId="5C9A58AB" w14:textId="77777777" w:rsidR="0073544F" w:rsidRDefault="0073544F" w:rsidP="000479A3">
            <w:pPr>
              <w:spacing w:before="100" w:beforeAutospacing="1" w:after="100" w:afterAutospacing="1" w:line="360" w:lineRule="auto"/>
              <w:rPr>
                <w:rFonts w:asciiTheme="majorHAnsi" w:hAnsiTheme="majorHAnsi" w:cstheme="majorHAnsi"/>
                <w:sz w:val="20"/>
                <w:szCs w:val="20"/>
              </w:rPr>
            </w:pPr>
            <w:r>
              <w:rPr>
                <w:rFonts w:asciiTheme="majorHAnsi" w:hAnsiTheme="majorHAnsi" w:cstheme="majorHAnsi"/>
                <w:sz w:val="20"/>
                <w:szCs w:val="20"/>
              </w:rPr>
              <w:t>Math</w:t>
            </w:r>
          </w:p>
        </w:tc>
        <w:tc>
          <w:tcPr>
            <w:tcW w:w="1213" w:type="dxa"/>
          </w:tcPr>
          <w:p w14:paraId="28488717" w14:textId="77777777" w:rsidR="0073544F" w:rsidRDefault="0073544F" w:rsidP="000479A3">
            <w:pPr>
              <w:spacing w:before="100" w:beforeAutospacing="1" w:after="100" w:afterAutospacing="1" w:line="360" w:lineRule="auto"/>
              <w:rPr>
                <w:rFonts w:asciiTheme="majorHAnsi" w:hAnsiTheme="majorHAnsi" w:cstheme="majorHAnsi"/>
                <w:sz w:val="20"/>
                <w:szCs w:val="20"/>
              </w:rPr>
            </w:pPr>
            <w:r>
              <w:rPr>
                <w:rFonts w:asciiTheme="majorHAnsi" w:hAnsiTheme="majorHAnsi" w:cstheme="majorHAnsi"/>
                <w:sz w:val="20"/>
                <w:szCs w:val="20"/>
              </w:rPr>
              <w:t>0.17</w:t>
            </w:r>
          </w:p>
        </w:tc>
        <w:tc>
          <w:tcPr>
            <w:tcW w:w="1214" w:type="dxa"/>
          </w:tcPr>
          <w:p w14:paraId="01735793" w14:textId="77777777" w:rsidR="0073544F" w:rsidRDefault="0073544F" w:rsidP="000479A3">
            <w:pPr>
              <w:spacing w:before="100" w:beforeAutospacing="1" w:after="100" w:afterAutospacing="1" w:line="360" w:lineRule="auto"/>
              <w:rPr>
                <w:rFonts w:asciiTheme="majorHAnsi" w:hAnsiTheme="majorHAnsi" w:cstheme="majorHAnsi"/>
                <w:sz w:val="20"/>
                <w:szCs w:val="20"/>
              </w:rPr>
            </w:pPr>
            <w:r>
              <w:rPr>
                <w:rFonts w:asciiTheme="majorHAnsi" w:hAnsiTheme="majorHAnsi" w:cstheme="majorHAnsi"/>
                <w:sz w:val="20"/>
                <w:szCs w:val="20"/>
              </w:rPr>
              <w:t>1.15</w:t>
            </w:r>
          </w:p>
        </w:tc>
        <w:tc>
          <w:tcPr>
            <w:tcW w:w="1214" w:type="dxa"/>
          </w:tcPr>
          <w:p w14:paraId="40F34A31" w14:textId="77777777" w:rsidR="0073544F" w:rsidRDefault="0073544F" w:rsidP="000479A3">
            <w:pPr>
              <w:spacing w:before="100" w:beforeAutospacing="1" w:after="100" w:afterAutospacing="1" w:line="360" w:lineRule="auto"/>
              <w:rPr>
                <w:rFonts w:asciiTheme="majorHAnsi" w:hAnsiTheme="majorHAnsi" w:cstheme="majorHAnsi"/>
                <w:sz w:val="20"/>
                <w:szCs w:val="20"/>
              </w:rPr>
            </w:pPr>
            <w:r>
              <w:rPr>
                <w:rFonts w:asciiTheme="majorHAnsi" w:hAnsiTheme="majorHAnsi" w:cstheme="majorHAnsi"/>
                <w:sz w:val="20"/>
                <w:szCs w:val="20"/>
              </w:rPr>
              <w:t>2.40</w:t>
            </w:r>
          </w:p>
        </w:tc>
      </w:tr>
      <w:tr w:rsidR="0073544F" w14:paraId="18BDDA95" w14:textId="77777777" w:rsidTr="00ED33AB">
        <w:trPr>
          <w:trHeight w:val="59"/>
        </w:trPr>
        <w:tc>
          <w:tcPr>
            <w:tcW w:w="1213" w:type="dxa"/>
          </w:tcPr>
          <w:p w14:paraId="40409C0E" w14:textId="77777777" w:rsidR="0073544F" w:rsidRDefault="0073544F" w:rsidP="000479A3">
            <w:pPr>
              <w:spacing w:before="100" w:beforeAutospacing="1" w:after="100" w:afterAutospacing="1" w:line="360" w:lineRule="auto"/>
              <w:rPr>
                <w:rFonts w:asciiTheme="majorHAnsi" w:hAnsiTheme="majorHAnsi" w:cstheme="majorHAnsi"/>
                <w:sz w:val="20"/>
                <w:szCs w:val="20"/>
              </w:rPr>
            </w:pPr>
            <w:r>
              <w:rPr>
                <w:rFonts w:asciiTheme="majorHAnsi" w:hAnsiTheme="majorHAnsi" w:cstheme="majorHAnsi"/>
                <w:sz w:val="20"/>
                <w:szCs w:val="20"/>
              </w:rPr>
              <w:t>Science</w:t>
            </w:r>
          </w:p>
        </w:tc>
        <w:tc>
          <w:tcPr>
            <w:tcW w:w="1213" w:type="dxa"/>
          </w:tcPr>
          <w:p w14:paraId="09AF9D94" w14:textId="77777777" w:rsidR="0073544F" w:rsidRDefault="0073544F" w:rsidP="000479A3">
            <w:pPr>
              <w:spacing w:before="100" w:beforeAutospacing="1" w:after="100" w:afterAutospacing="1" w:line="360" w:lineRule="auto"/>
              <w:rPr>
                <w:rFonts w:asciiTheme="majorHAnsi" w:hAnsiTheme="majorHAnsi" w:cstheme="majorHAnsi"/>
                <w:sz w:val="20"/>
                <w:szCs w:val="20"/>
              </w:rPr>
            </w:pPr>
            <w:r>
              <w:rPr>
                <w:rFonts w:asciiTheme="majorHAnsi" w:hAnsiTheme="majorHAnsi" w:cstheme="majorHAnsi"/>
                <w:sz w:val="20"/>
                <w:szCs w:val="20"/>
              </w:rPr>
              <w:t>1.13</w:t>
            </w:r>
          </w:p>
        </w:tc>
        <w:tc>
          <w:tcPr>
            <w:tcW w:w="1214" w:type="dxa"/>
          </w:tcPr>
          <w:p w14:paraId="313CFE19" w14:textId="77777777" w:rsidR="0073544F" w:rsidRDefault="0073544F" w:rsidP="000479A3">
            <w:pPr>
              <w:spacing w:before="100" w:beforeAutospacing="1" w:after="100" w:afterAutospacing="1" w:line="360" w:lineRule="auto"/>
              <w:rPr>
                <w:rFonts w:asciiTheme="majorHAnsi" w:hAnsiTheme="majorHAnsi" w:cstheme="majorHAnsi"/>
                <w:sz w:val="20"/>
                <w:szCs w:val="20"/>
              </w:rPr>
            </w:pPr>
            <w:r>
              <w:rPr>
                <w:rFonts w:asciiTheme="majorHAnsi" w:hAnsiTheme="majorHAnsi" w:cstheme="majorHAnsi"/>
                <w:sz w:val="20"/>
                <w:szCs w:val="20"/>
              </w:rPr>
              <w:t>0.93</w:t>
            </w:r>
          </w:p>
        </w:tc>
        <w:tc>
          <w:tcPr>
            <w:tcW w:w="1214" w:type="dxa"/>
          </w:tcPr>
          <w:p w14:paraId="0BECDBED" w14:textId="77777777" w:rsidR="0073544F" w:rsidRDefault="0073544F" w:rsidP="000479A3">
            <w:pPr>
              <w:spacing w:before="100" w:beforeAutospacing="1" w:after="100" w:afterAutospacing="1" w:line="360" w:lineRule="auto"/>
              <w:rPr>
                <w:rFonts w:asciiTheme="majorHAnsi" w:hAnsiTheme="majorHAnsi" w:cstheme="majorHAnsi"/>
                <w:sz w:val="20"/>
                <w:szCs w:val="20"/>
              </w:rPr>
            </w:pPr>
            <w:r>
              <w:rPr>
                <w:rFonts w:asciiTheme="majorHAnsi" w:hAnsiTheme="majorHAnsi" w:cstheme="majorHAnsi"/>
                <w:sz w:val="20"/>
                <w:szCs w:val="20"/>
              </w:rPr>
              <w:t>1.68</w:t>
            </w:r>
          </w:p>
        </w:tc>
      </w:tr>
    </w:tbl>
    <w:p w14:paraId="4677448B" w14:textId="77777777" w:rsidR="00572BB5" w:rsidRDefault="00572BB5" w:rsidP="000479A3">
      <w:pPr>
        <w:spacing w:before="100" w:beforeAutospacing="1" w:after="100" w:afterAutospacing="1" w:line="360" w:lineRule="auto"/>
        <w:rPr>
          <w:rFonts w:asciiTheme="majorHAnsi" w:hAnsiTheme="majorHAnsi" w:cstheme="majorHAnsi"/>
        </w:rPr>
      </w:pPr>
    </w:p>
    <w:p w14:paraId="688D6E19" w14:textId="77777777" w:rsidR="00572BB5" w:rsidRDefault="00572BB5" w:rsidP="000479A3">
      <w:pPr>
        <w:spacing w:before="100" w:beforeAutospacing="1" w:after="100" w:afterAutospacing="1" w:line="360" w:lineRule="auto"/>
        <w:rPr>
          <w:rFonts w:asciiTheme="majorHAnsi" w:hAnsiTheme="majorHAnsi" w:cstheme="majorHAnsi"/>
        </w:rPr>
      </w:pPr>
    </w:p>
    <w:p w14:paraId="14C59A9D" w14:textId="77777777" w:rsidR="00572BB5" w:rsidRDefault="00572BB5" w:rsidP="000479A3">
      <w:pPr>
        <w:spacing w:before="100" w:beforeAutospacing="1" w:after="100" w:afterAutospacing="1" w:line="360" w:lineRule="auto"/>
        <w:rPr>
          <w:rFonts w:asciiTheme="majorHAnsi" w:hAnsiTheme="majorHAnsi" w:cstheme="majorHAnsi"/>
        </w:rPr>
      </w:pPr>
    </w:p>
    <w:p w14:paraId="0FA50EE2" w14:textId="2530384B" w:rsidR="00295508" w:rsidRPr="000479A3" w:rsidRDefault="008D0CAD" w:rsidP="000479A3">
      <w:pPr>
        <w:spacing w:before="100" w:beforeAutospacing="1" w:after="100" w:afterAutospacing="1" w:line="360" w:lineRule="auto"/>
        <w:rPr>
          <w:rFonts w:asciiTheme="majorHAnsi" w:hAnsiTheme="majorHAnsi" w:cstheme="majorHAnsi"/>
          <w:bCs/>
          <w:color w:val="000000" w:themeColor="text1"/>
        </w:rPr>
      </w:pPr>
      <w:r>
        <w:rPr>
          <w:rFonts w:asciiTheme="majorHAnsi" w:hAnsiTheme="majorHAnsi" w:cstheme="majorHAnsi"/>
        </w:rPr>
        <w:t>On the other hand, the DID values of students in English and Science declined from Grade 4 to Grade 5 but increased again from Grade 5 to Grade 6.</w:t>
      </w:r>
      <w:r w:rsidR="00D434EB">
        <w:rPr>
          <w:rFonts w:asciiTheme="majorHAnsi" w:hAnsiTheme="majorHAnsi" w:cstheme="majorHAnsi"/>
        </w:rPr>
        <w:t xml:space="preserve"> </w:t>
      </w:r>
      <w:r>
        <w:rPr>
          <w:rFonts w:asciiTheme="majorHAnsi" w:hAnsiTheme="majorHAnsi" w:cstheme="majorHAnsi"/>
          <w:bCs/>
          <w:color w:val="000000" w:themeColor="text1"/>
        </w:rPr>
        <w:t>Despite the fluctuation, the increases in average grades among students in DRS were still higher than their counterparts resulting in positive DID values.</w:t>
      </w:r>
    </w:p>
    <w:p w14:paraId="4A38A4BB" w14:textId="45EC49FF" w:rsidR="008D0CAD" w:rsidRPr="00C7704D" w:rsidRDefault="008D0CAD" w:rsidP="000479A3">
      <w:pPr>
        <w:spacing w:before="100" w:beforeAutospacing="1" w:after="100" w:afterAutospacing="1" w:line="360" w:lineRule="auto"/>
        <w:rPr>
          <w:rFonts w:asciiTheme="majorHAnsi" w:hAnsiTheme="majorHAnsi" w:cstheme="majorHAnsi"/>
        </w:rPr>
      </w:pPr>
      <w:r>
        <w:rPr>
          <w:rFonts w:asciiTheme="majorHAnsi" w:hAnsiTheme="majorHAnsi" w:cstheme="majorHAnsi"/>
        </w:rPr>
        <w:t>One of the potential</w:t>
      </w:r>
      <w:r w:rsidRPr="00D34AB5">
        <w:rPr>
          <w:rFonts w:asciiTheme="majorHAnsi" w:hAnsiTheme="majorHAnsi" w:cstheme="majorHAnsi"/>
        </w:rPr>
        <w:t xml:space="preserve"> explanations </w:t>
      </w:r>
      <w:r>
        <w:rPr>
          <w:rFonts w:asciiTheme="majorHAnsi" w:hAnsiTheme="majorHAnsi" w:cstheme="majorHAnsi"/>
        </w:rPr>
        <w:t>for the</w:t>
      </w:r>
      <w:r w:rsidRPr="00D34AB5">
        <w:rPr>
          <w:rFonts w:asciiTheme="majorHAnsi" w:hAnsiTheme="majorHAnsi" w:cstheme="majorHAnsi"/>
        </w:rPr>
        <w:t xml:space="preserve"> positive DID</w:t>
      </w:r>
      <w:r>
        <w:rPr>
          <w:rFonts w:asciiTheme="majorHAnsi" w:hAnsiTheme="majorHAnsi" w:cstheme="majorHAnsi"/>
        </w:rPr>
        <w:t xml:space="preserve"> values</w:t>
      </w:r>
      <w:r w:rsidRPr="00D34AB5">
        <w:rPr>
          <w:rFonts w:asciiTheme="majorHAnsi" w:hAnsiTheme="majorHAnsi" w:cstheme="majorHAnsi"/>
        </w:rPr>
        <w:t xml:space="preserve"> </w:t>
      </w:r>
      <w:r>
        <w:rPr>
          <w:rFonts w:asciiTheme="majorHAnsi" w:hAnsiTheme="majorHAnsi" w:cstheme="majorHAnsi"/>
        </w:rPr>
        <w:t>was</w:t>
      </w:r>
      <w:r w:rsidRPr="00D34AB5">
        <w:rPr>
          <w:rFonts w:asciiTheme="majorHAnsi" w:hAnsiTheme="majorHAnsi" w:cstheme="majorHAnsi"/>
        </w:rPr>
        <w:t xml:space="preserve"> </w:t>
      </w:r>
      <w:r>
        <w:rPr>
          <w:rFonts w:asciiTheme="majorHAnsi" w:hAnsiTheme="majorHAnsi" w:cstheme="majorHAnsi"/>
        </w:rPr>
        <w:t>that the BEST Program interventions may have mitigated the external forces that caused the general decline in students’ average grades in all schools and thus helped the DRS to</w:t>
      </w:r>
      <w:r w:rsidRPr="00D37811">
        <w:rPr>
          <w:rFonts w:asciiTheme="majorHAnsi" w:hAnsiTheme="majorHAnsi" w:cstheme="majorHAnsi"/>
        </w:rPr>
        <w:t xml:space="preserve"> cope better.</w:t>
      </w:r>
      <w:r w:rsidR="00D434EB">
        <w:rPr>
          <w:rFonts w:asciiTheme="majorHAnsi" w:hAnsiTheme="majorHAnsi" w:cstheme="majorHAnsi"/>
        </w:rPr>
        <w:t xml:space="preserve"> </w:t>
      </w:r>
      <w:r>
        <w:rPr>
          <w:rFonts w:asciiTheme="majorHAnsi" w:hAnsiTheme="majorHAnsi" w:cstheme="majorHAnsi"/>
        </w:rPr>
        <w:t>However, these factors could not be identified during this Study and may require further investigation.</w:t>
      </w:r>
    </w:p>
    <w:p w14:paraId="7A146F59" w14:textId="0A460FFD" w:rsidR="008D0CAD" w:rsidRPr="00854CFA" w:rsidRDefault="008D0CAD" w:rsidP="00DD08E3">
      <w:pPr>
        <w:pStyle w:val="Heading5"/>
        <w:numPr>
          <w:ilvl w:val="3"/>
          <w:numId w:val="162"/>
        </w:numPr>
        <w:spacing w:before="100" w:beforeAutospacing="1" w:after="100" w:afterAutospacing="1" w:line="360" w:lineRule="auto"/>
      </w:pPr>
      <w:bookmarkStart w:id="73" w:name="_Toc13216270"/>
      <w:r w:rsidRPr="00854CFA">
        <w:t>Gender Grade Differentials</w:t>
      </w:r>
      <w:bookmarkEnd w:id="73"/>
    </w:p>
    <w:p w14:paraId="7D00AC3A" w14:textId="5FBE4344" w:rsidR="008D0CAD" w:rsidRPr="00077665" w:rsidRDefault="008D0CAD" w:rsidP="000479A3">
      <w:pPr>
        <w:pStyle w:val="BodyText"/>
        <w:spacing w:before="100" w:beforeAutospacing="1" w:after="100" w:afterAutospacing="1" w:line="360" w:lineRule="auto"/>
        <w:rPr>
          <w:rFonts w:asciiTheme="majorHAnsi" w:hAnsiTheme="majorHAnsi" w:cstheme="majorHAnsi"/>
          <w:color w:val="000000" w:themeColor="text1"/>
          <w:sz w:val="24"/>
          <w:szCs w:val="24"/>
        </w:rPr>
      </w:pPr>
      <w:r>
        <w:rPr>
          <w:rFonts w:asciiTheme="majorHAnsi" w:hAnsiTheme="majorHAnsi" w:cstheme="majorHAnsi"/>
          <w:bCs/>
          <w:color w:val="000000" w:themeColor="text1"/>
          <w:sz w:val="24"/>
          <w:szCs w:val="24"/>
        </w:rPr>
        <w:t>G</w:t>
      </w:r>
      <w:r w:rsidRPr="00BD7901">
        <w:rPr>
          <w:rFonts w:asciiTheme="majorHAnsi" w:hAnsiTheme="majorHAnsi" w:cstheme="majorHAnsi"/>
          <w:bCs/>
          <w:color w:val="000000" w:themeColor="text1"/>
          <w:sz w:val="24"/>
          <w:szCs w:val="24"/>
        </w:rPr>
        <w:t xml:space="preserve">ender grade differentials by subject </w:t>
      </w:r>
      <w:r>
        <w:rPr>
          <w:rFonts w:asciiTheme="majorHAnsi" w:hAnsiTheme="majorHAnsi" w:cstheme="majorHAnsi"/>
          <w:bCs/>
          <w:color w:val="000000" w:themeColor="text1"/>
          <w:sz w:val="24"/>
          <w:szCs w:val="24"/>
        </w:rPr>
        <w:t>were</w:t>
      </w:r>
      <w:r w:rsidRPr="00BD7901">
        <w:rPr>
          <w:rFonts w:asciiTheme="majorHAnsi" w:hAnsiTheme="majorHAnsi" w:cstheme="majorHAnsi"/>
          <w:bCs/>
          <w:color w:val="000000" w:themeColor="text1"/>
          <w:sz w:val="24"/>
          <w:szCs w:val="24"/>
        </w:rPr>
        <w:t xml:space="preserve"> </w:t>
      </w:r>
      <w:r>
        <w:rPr>
          <w:rFonts w:asciiTheme="majorHAnsi" w:hAnsiTheme="majorHAnsi" w:cstheme="majorHAnsi"/>
          <w:bCs/>
          <w:color w:val="000000" w:themeColor="text1"/>
          <w:sz w:val="24"/>
          <w:szCs w:val="24"/>
        </w:rPr>
        <w:t>also calculated</w:t>
      </w:r>
      <w:r w:rsidRPr="00BD7901">
        <w:rPr>
          <w:rFonts w:asciiTheme="majorHAnsi" w:hAnsiTheme="majorHAnsi" w:cstheme="majorHAnsi"/>
          <w:bCs/>
          <w:color w:val="000000" w:themeColor="text1"/>
          <w:sz w:val="24"/>
          <w:szCs w:val="24"/>
        </w:rPr>
        <w:t xml:space="preserve"> using the difference-in-difference approach. </w:t>
      </w:r>
      <w:r>
        <w:rPr>
          <w:rFonts w:asciiTheme="majorHAnsi" w:hAnsiTheme="majorHAnsi" w:cstheme="majorHAnsi"/>
          <w:bCs/>
          <w:color w:val="000000" w:themeColor="text1"/>
          <w:sz w:val="24"/>
          <w:szCs w:val="24"/>
        </w:rPr>
        <w:t>G</w:t>
      </w:r>
      <w:r w:rsidRPr="00BD7901">
        <w:rPr>
          <w:rFonts w:asciiTheme="majorHAnsi" w:hAnsiTheme="majorHAnsi" w:cstheme="majorHAnsi"/>
          <w:bCs/>
          <w:color w:val="000000" w:themeColor="text1"/>
          <w:sz w:val="24"/>
          <w:szCs w:val="24"/>
        </w:rPr>
        <w:t xml:space="preserve">ender grade differential was </w:t>
      </w:r>
      <w:r>
        <w:rPr>
          <w:rFonts w:asciiTheme="majorHAnsi" w:hAnsiTheme="majorHAnsi" w:cstheme="majorHAnsi"/>
          <w:bCs/>
          <w:color w:val="000000" w:themeColor="text1"/>
          <w:sz w:val="24"/>
          <w:szCs w:val="24"/>
        </w:rPr>
        <w:t xml:space="preserve">derived by obtaining </w:t>
      </w:r>
      <w:r w:rsidRPr="00BD7901">
        <w:rPr>
          <w:rFonts w:asciiTheme="majorHAnsi" w:hAnsiTheme="majorHAnsi" w:cstheme="majorHAnsi"/>
          <w:bCs/>
          <w:color w:val="000000" w:themeColor="text1"/>
          <w:sz w:val="24"/>
          <w:szCs w:val="24"/>
        </w:rPr>
        <w:t>the difference between the grades of female and male students.</w:t>
      </w:r>
      <w:r w:rsidR="00D434EB">
        <w:rPr>
          <w:rFonts w:asciiTheme="majorHAnsi" w:hAnsiTheme="majorHAnsi" w:cstheme="majorHAnsi"/>
          <w:bCs/>
          <w:color w:val="000000" w:themeColor="text1"/>
          <w:sz w:val="24"/>
          <w:szCs w:val="24"/>
        </w:rPr>
        <w:t xml:space="preserve"> </w:t>
      </w:r>
      <w:r w:rsidRPr="00BD7901">
        <w:rPr>
          <w:rFonts w:asciiTheme="majorHAnsi" w:hAnsiTheme="majorHAnsi" w:cstheme="majorHAnsi"/>
          <w:bCs/>
          <w:color w:val="000000" w:themeColor="text1"/>
          <w:sz w:val="24"/>
          <w:szCs w:val="24"/>
        </w:rPr>
        <w:t>A positive gender grade differential implied that average grades of girls were higher than that of boys.</w:t>
      </w:r>
      <w:r w:rsidR="00D434EB">
        <w:rPr>
          <w:rFonts w:asciiTheme="majorHAnsi" w:hAnsiTheme="majorHAnsi" w:cstheme="majorHAnsi"/>
          <w:bCs/>
          <w:color w:val="000000" w:themeColor="text1"/>
          <w:sz w:val="24"/>
          <w:szCs w:val="24"/>
        </w:rPr>
        <w:t xml:space="preserve"> </w:t>
      </w:r>
      <w:r>
        <w:rPr>
          <w:rFonts w:asciiTheme="majorHAnsi" w:hAnsiTheme="majorHAnsi" w:cstheme="majorHAnsi"/>
          <w:bCs/>
          <w:color w:val="000000" w:themeColor="text1"/>
          <w:sz w:val="24"/>
          <w:szCs w:val="24"/>
        </w:rPr>
        <w:t>The desired outcome, however, is a</w:t>
      </w:r>
      <w:r w:rsidRPr="00BD7901">
        <w:rPr>
          <w:rFonts w:asciiTheme="majorHAnsi" w:hAnsiTheme="majorHAnsi" w:cstheme="majorHAnsi"/>
          <w:bCs/>
          <w:color w:val="000000" w:themeColor="text1"/>
          <w:sz w:val="24"/>
          <w:szCs w:val="24"/>
        </w:rPr>
        <w:t xml:space="preserve"> negative</w:t>
      </w:r>
      <w:r w:rsidRPr="00BD7901">
        <w:rPr>
          <w:rFonts w:asciiTheme="majorHAnsi" w:hAnsiTheme="majorHAnsi" w:cstheme="majorHAnsi"/>
          <w:b/>
          <w:bCs/>
          <w:color w:val="000000" w:themeColor="text1"/>
          <w:sz w:val="24"/>
          <w:szCs w:val="24"/>
        </w:rPr>
        <w:t xml:space="preserve"> </w:t>
      </w:r>
      <w:r w:rsidRPr="00BD7901">
        <w:rPr>
          <w:rFonts w:asciiTheme="majorHAnsi" w:hAnsiTheme="majorHAnsi" w:cstheme="majorHAnsi"/>
          <w:bCs/>
          <w:color w:val="000000" w:themeColor="text1"/>
          <w:sz w:val="24"/>
          <w:szCs w:val="24"/>
        </w:rPr>
        <w:t>DID</w:t>
      </w:r>
      <w:r>
        <w:rPr>
          <w:rFonts w:asciiTheme="majorHAnsi" w:hAnsiTheme="majorHAnsi" w:cstheme="majorHAnsi"/>
          <w:bCs/>
          <w:color w:val="000000" w:themeColor="text1"/>
          <w:sz w:val="24"/>
          <w:szCs w:val="24"/>
        </w:rPr>
        <w:t xml:space="preserve"> value which </w:t>
      </w:r>
      <w:r w:rsidRPr="00BD7901">
        <w:rPr>
          <w:rFonts w:asciiTheme="majorHAnsi" w:hAnsiTheme="majorHAnsi" w:cstheme="majorHAnsi"/>
          <w:bCs/>
          <w:color w:val="000000" w:themeColor="text1"/>
          <w:sz w:val="24"/>
          <w:szCs w:val="24"/>
        </w:rPr>
        <w:t>impl</w:t>
      </w:r>
      <w:r>
        <w:rPr>
          <w:rFonts w:asciiTheme="majorHAnsi" w:hAnsiTheme="majorHAnsi" w:cstheme="majorHAnsi"/>
          <w:bCs/>
          <w:color w:val="000000" w:themeColor="text1"/>
          <w:sz w:val="24"/>
          <w:szCs w:val="24"/>
        </w:rPr>
        <w:t>ied</w:t>
      </w:r>
      <w:r w:rsidRPr="00BD7901">
        <w:rPr>
          <w:rFonts w:asciiTheme="majorHAnsi" w:hAnsiTheme="majorHAnsi" w:cstheme="majorHAnsi"/>
          <w:bCs/>
          <w:color w:val="000000" w:themeColor="text1"/>
          <w:sz w:val="24"/>
          <w:szCs w:val="24"/>
        </w:rPr>
        <w:t xml:space="preserve"> </w:t>
      </w:r>
      <w:r>
        <w:rPr>
          <w:rFonts w:asciiTheme="majorHAnsi" w:hAnsiTheme="majorHAnsi" w:cstheme="majorHAnsi"/>
          <w:bCs/>
          <w:color w:val="000000" w:themeColor="text1"/>
          <w:sz w:val="24"/>
          <w:szCs w:val="24"/>
        </w:rPr>
        <w:t xml:space="preserve">that </w:t>
      </w:r>
      <w:r w:rsidRPr="00BD7901">
        <w:rPr>
          <w:rFonts w:asciiTheme="majorHAnsi" w:hAnsiTheme="majorHAnsi" w:cstheme="majorHAnsi"/>
          <w:bCs/>
          <w:color w:val="000000" w:themeColor="text1"/>
          <w:sz w:val="24"/>
          <w:szCs w:val="24"/>
        </w:rPr>
        <w:t xml:space="preserve">the Program </w:t>
      </w:r>
      <w:r>
        <w:rPr>
          <w:rFonts w:asciiTheme="majorHAnsi" w:hAnsiTheme="majorHAnsi" w:cstheme="majorHAnsi"/>
          <w:bCs/>
          <w:color w:val="000000" w:themeColor="text1"/>
          <w:sz w:val="24"/>
          <w:szCs w:val="24"/>
        </w:rPr>
        <w:t xml:space="preserve">had </w:t>
      </w:r>
      <w:r w:rsidRPr="00BD7901">
        <w:rPr>
          <w:rFonts w:asciiTheme="majorHAnsi" w:hAnsiTheme="majorHAnsi" w:cstheme="majorHAnsi"/>
          <w:bCs/>
          <w:color w:val="000000" w:themeColor="text1"/>
          <w:sz w:val="24"/>
          <w:szCs w:val="24"/>
        </w:rPr>
        <w:t xml:space="preserve">a positive </w:t>
      </w:r>
      <w:r w:rsidRPr="00077665">
        <w:rPr>
          <w:rFonts w:asciiTheme="majorHAnsi" w:hAnsiTheme="majorHAnsi" w:cstheme="majorHAnsi"/>
          <w:bCs/>
          <w:color w:val="000000" w:themeColor="text1"/>
          <w:sz w:val="24"/>
          <w:szCs w:val="24"/>
        </w:rPr>
        <w:t xml:space="preserve">effect in reducing the gender grade differentials in </w:t>
      </w:r>
      <w:r w:rsidRPr="00077665">
        <w:rPr>
          <w:rFonts w:asciiTheme="majorHAnsi" w:hAnsiTheme="majorHAnsi" w:cstheme="majorHAnsi"/>
          <w:color w:val="000000" w:themeColor="text1"/>
          <w:sz w:val="24"/>
          <w:szCs w:val="24"/>
        </w:rPr>
        <w:t xml:space="preserve">direct recipient </w:t>
      </w:r>
      <w:r w:rsidRPr="00077665">
        <w:rPr>
          <w:rFonts w:asciiTheme="majorHAnsi" w:hAnsiTheme="majorHAnsi" w:cstheme="majorHAnsi"/>
          <w:bCs/>
          <w:color w:val="000000" w:themeColor="text1"/>
          <w:sz w:val="24"/>
          <w:szCs w:val="24"/>
        </w:rPr>
        <w:t xml:space="preserve">schools relative to their counterpart </w:t>
      </w:r>
      <w:r w:rsidRPr="00077665">
        <w:rPr>
          <w:rFonts w:asciiTheme="majorHAnsi" w:hAnsiTheme="majorHAnsi" w:cstheme="majorHAnsi"/>
          <w:color w:val="000000" w:themeColor="text1"/>
          <w:sz w:val="24"/>
          <w:szCs w:val="24"/>
        </w:rPr>
        <w:t xml:space="preserve">indirect recipient </w:t>
      </w:r>
      <w:r w:rsidRPr="00077665">
        <w:rPr>
          <w:rFonts w:asciiTheme="majorHAnsi" w:hAnsiTheme="majorHAnsi" w:cstheme="majorHAnsi"/>
          <w:bCs/>
          <w:color w:val="000000" w:themeColor="text1"/>
          <w:sz w:val="24"/>
          <w:szCs w:val="24"/>
        </w:rPr>
        <w:t>schools</w:t>
      </w:r>
      <w:r w:rsidRPr="00077665">
        <w:rPr>
          <w:rFonts w:asciiTheme="majorHAnsi" w:hAnsiTheme="majorHAnsi" w:cstheme="majorHAnsi"/>
          <w:color w:val="000000" w:themeColor="text1"/>
          <w:sz w:val="24"/>
          <w:szCs w:val="24"/>
        </w:rPr>
        <w:t>.</w:t>
      </w:r>
    </w:p>
    <w:p w14:paraId="1DDC39DD" w14:textId="212782AA" w:rsidR="008D0CAD" w:rsidRPr="00765145" w:rsidRDefault="008D0CAD" w:rsidP="000479A3">
      <w:pPr>
        <w:spacing w:before="100" w:beforeAutospacing="1" w:after="100" w:afterAutospacing="1" w:line="360" w:lineRule="auto"/>
        <w:rPr>
          <w:rFonts w:asciiTheme="majorHAnsi" w:hAnsiTheme="majorHAnsi" w:cstheme="majorHAnsi"/>
        </w:rPr>
      </w:pPr>
      <w:r>
        <w:rPr>
          <w:rFonts w:asciiTheme="majorHAnsi" w:hAnsiTheme="majorHAnsi" w:cstheme="majorHAnsi"/>
          <w:bCs/>
          <w:color w:val="000000" w:themeColor="text1"/>
        </w:rPr>
        <w:t xml:space="preserve">Similar to the first data presented, the observations on the gender grade </w:t>
      </w:r>
      <w:r w:rsidRPr="00590012">
        <w:rPr>
          <w:rFonts w:asciiTheme="majorHAnsi" w:hAnsiTheme="majorHAnsi" w:cstheme="majorHAnsi"/>
          <w:bCs/>
          <w:color w:val="000000" w:themeColor="text1"/>
        </w:rPr>
        <w:t xml:space="preserve">differentials </w:t>
      </w:r>
      <w:r>
        <w:rPr>
          <w:rFonts w:asciiTheme="majorHAnsi" w:hAnsiTheme="majorHAnsi" w:cstheme="majorHAnsi"/>
          <w:bCs/>
          <w:color w:val="000000" w:themeColor="text1"/>
        </w:rPr>
        <w:t>cannot be</w:t>
      </w:r>
      <w:r w:rsidRPr="00590012">
        <w:rPr>
          <w:rFonts w:asciiTheme="majorHAnsi" w:hAnsiTheme="majorHAnsi" w:cstheme="majorHAnsi"/>
          <w:bCs/>
        </w:rPr>
        <w:t xml:space="preserve"> generali</w:t>
      </w:r>
      <w:r>
        <w:rPr>
          <w:rFonts w:asciiTheme="majorHAnsi" w:hAnsiTheme="majorHAnsi" w:cstheme="majorHAnsi"/>
          <w:bCs/>
        </w:rPr>
        <w:t>s</w:t>
      </w:r>
      <w:r w:rsidRPr="00590012">
        <w:rPr>
          <w:rFonts w:asciiTheme="majorHAnsi" w:hAnsiTheme="majorHAnsi" w:cstheme="majorHAnsi"/>
          <w:bCs/>
        </w:rPr>
        <w:t xml:space="preserve">ed </w:t>
      </w:r>
      <w:r>
        <w:rPr>
          <w:rFonts w:asciiTheme="majorHAnsi" w:hAnsiTheme="majorHAnsi" w:cstheme="majorHAnsi"/>
          <w:bCs/>
        </w:rPr>
        <w:t xml:space="preserve">beyond </w:t>
      </w:r>
      <w:r w:rsidRPr="00590012">
        <w:rPr>
          <w:rFonts w:asciiTheme="majorHAnsi" w:hAnsiTheme="majorHAnsi" w:cstheme="majorHAnsi"/>
          <w:bCs/>
        </w:rPr>
        <w:t>the 25 sample schools.</w:t>
      </w:r>
      <w:r w:rsidR="00D434EB">
        <w:rPr>
          <w:rFonts w:asciiTheme="majorHAnsi" w:hAnsiTheme="majorHAnsi" w:cstheme="majorHAnsi"/>
          <w:bCs/>
        </w:rPr>
        <w:t xml:space="preserve"> </w:t>
      </w:r>
      <w:r w:rsidRPr="00590012">
        <w:rPr>
          <w:rFonts w:asciiTheme="majorHAnsi" w:hAnsiTheme="majorHAnsi" w:cstheme="majorHAnsi"/>
          <w:bCs/>
          <w:color w:val="000000" w:themeColor="text1"/>
        </w:rPr>
        <w:t>The results revealed several patterns</w:t>
      </w:r>
      <w:r>
        <w:rPr>
          <w:rFonts w:asciiTheme="majorHAnsi" w:hAnsiTheme="majorHAnsi" w:cstheme="majorHAnsi"/>
          <w:color w:val="000000" w:themeColor="text1"/>
        </w:rPr>
        <w:t xml:space="preserve"> in the </w:t>
      </w:r>
      <w:r>
        <w:rPr>
          <w:rFonts w:asciiTheme="majorHAnsi" w:hAnsiTheme="majorHAnsi" w:cstheme="majorHAnsi"/>
          <w:bCs/>
          <w:color w:val="000000" w:themeColor="text1"/>
        </w:rPr>
        <w:t>gender grade differentials among schools.</w:t>
      </w:r>
    </w:p>
    <w:p w14:paraId="24A49274" w14:textId="03CC6A03" w:rsidR="008D0CAD" w:rsidRDefault="008D0CAD" w:rsidP="000479A3">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color w:val="000000" w:themeColor="text1"/>
        </w:rPr>
        <w:t>First, the gender grade differentials among Grade 4 students in DRS in all subjects were higher than that of the IRS both at baseline and endline.</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In other words, the </w:t>
      </w:r>
      <w:r w:rsidRPr="00BD7901">
        <w:rPr>
          <w:rFonts w:asciiTheme="majorHAnsi" w:hAnsiTheme="majorHAnsi" w:cstheme="majorHAnsi"/>
          <w:bCs/>
          <w:color w:val="000000" w:themeColor="text1"/>
        </w:rPr>
        <w:t xml:space="preserve">average grades of </w:t>
      </w:r>
      <w:r>
        <w:rPr>
          <w:rFonts w:asciiTheme="majorHAnsi" w:hAnsiTheme="majorHAnsi" w:cstheme="majorHAnsi"/>
          <w:bCs/>
          <w:color w:val="000000" w:themeColor="text1"/>
        </w:rPr>
        <w:t>female Grade 4 students</w:t>
      </w:r>
      <w:r w:rsidRPr="00BD7901">
        <w:rPr>
          <w:rFonts w:asciiTheme="majorHAnsi" w:hAnsiTheme="majorHAnsi" w:cstheme="majorHAnsi"/>
          <w:bCs/>
          <w:color w:val="000000" w:themeColor="text1"/>
        </w:rPr>
        <w:t xml:space="preserve"> were higher than that of </w:t>
      </w:r>
      <w:r>
        <w:rPr>
          <w:rFonts w:asciiTheme="majorHAnsi" w:hAnsiTheme="majorHAnsi" w:cstheme="majorHAnsi"/>
          <w:bCs/>
          <w:color w:val="000000" w:themeColor="text1"/>
        </w:rPr>
        <w:t xml:space="preserve">the </w:t>
      </w:r>
      <w:r w:rsidRPr="00BD7901">
        <w:rPr>
          <w:rFonts w:asciiTheme="majorHAnsi" w:hAnsiTheme="majorHAnsi" w:cstheme="majorHAnsi"/>
          <w:bCs/>
          <w:color w:val="000000" w:themeColor="text1"/>
        </w:rPr>
        <w:t>boys</w:t>
      </w:r>
      <w:r>
        <w:rPr>
          <w:rFonts w:asciiTheme="majorHAnsi" w:hAnsiTheme="majorHAnsi" w:cstheme="majorHAnsi"/>
          <w:bCs/>
          <w:color w:val="000000" w:themeColor="text1"/>
        </w:rPr>
        <w:t xml:space="preserve"> </w:t>
      </w:r>
      <w:r>
        <w:rPr>
          <w:rFonts w:asciiTheme="majorHAnsi" w:hAnsiTheme="majorHAnsi" w:cstheme="majorHAnsi"/>
          <w:color w:val="000000" w:themeColor="text1"/>
        </w:rPr>
        <w:t>in the DRS</w:t>
      </w:r>
      <w:r>
        <w:rPr>
          <w:rFonts w:asciiTheme="majorHAnsi" w:hAnsiTheme="majorHAnsi" w:cstheme="majorHAnsi"/>
          <w:bCs/>
          <w:color w:val="000000" w:themeColor="text1"/>
        </w:rPr>
        <w:t>.</w:t>
      </w:r>
    </w:p>
    <w:p w14:paraId="58932456" w14:textId="77777777" w:rsidR="008D0CAD" w:rsidRDefault="008D0CAD" w:rsidP="000479A3">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color w:val="000000" w:themeColor="text1"/>
        </w:rPr>
        <w:t>In contrast, gender grade differentials among Grade 6 students in the IRS in all subjects were higher than that of the DRS both at baseline and endline.</w:t>
      </w:r>
      <w:r w:rsidRPr="0007035E">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This meant that the </w:t>
      </w:r>
      <w:r w:rsidRPr="00BD7901">
        <w:rPr>
          <w:rFonts w:asciiTheme="majorHAnsi" w:hAnsiTheme="majorHAnsi" w:cstheme="majorHAnsi"/>
          <w:bCs/>
          <w:color w:val="000000" w:themeColor="text1"/>
        </w:rPr>
        <w:t xml:space="preserve">average grades of </w:t>
      </w:r>
      <w:r>
        <w:rPr>
          <w:rFonts w:asciiTheme="majorHAnsi" w:hAnsiTheme="majorHAnsi" w:cstheme="majorHAnsi"/>
          <w:bCs/>
          <w:color w:val="000000" w:themeColor="text1"/>
        </w:rPr>
        <w:t>female Grade 4 students</w:t>
      </w:r>
      <w:r w:rsidRPr="00BD7901">
        <w:rPr>
          <w:rFonts w:asciiTheme="majorHAnsi" w:hAnsiTheme="majorHAnsi" w:cstheme="majorHAnsi"/>
          <w:bCs/>
          <w:color w:val="000000" w:themeColor="text1"/>
        </w:rPr>
        <w:t xml:space="preserve"> were higher than that of </w:t>
      </w:r>
      <w:r>
        <w:rPr>
          <w:rFonts w:asciiTheme="majorHAnsi" w:hAnsiTheme="majorHAnsi" w:cstheme="majorHAnsi"/>
          <w:bCs/>
          <w:color w:val="000000" w:themeColor="text1"/>
        </w:rPr>
        <w:t xml:space="preserve">the </w:t>
      </w:r>
      <w:r w:rsidRPr="00BD7901">
        <w:rPr>
          <w:rFonts w:asciiTheme="majorHAnsi" w:hAnsiTheme="majorHAnsi" w:cstheme="majorHAnsi"/>
          <w:bCs/>
          <w:color w:val="000000" w:themeColor="text1"/>
        </w:rPr>
        <w:t>boys</w:t>
      </w:r>
      <w:r>
        <w:rPr>
          <w:rFonts w:asciiTheme="majorHAnsi" w:hAnsiTheme="majorHAnsi" w:cstheme="majorHAnsi"/>
          <w:bCs/>
          <w:color w:val="000000" w:themeColor="text1"/>
        </w:rPr>
        <w:t xml:space="preserve"> in the </w:t>
      </w:r>
      <w:r>
        <w:rPr>
          <w:rFonts w:asciiTheme="majorHAnsi" w:hAnsiTheme="majorHAnsi" w:cstheme="majorHAnsi"/>
          <w:color w:val="000000" w:themeColor="text1"/>
        </w:rPr>
        <w:t>IRS</w:t>
      </w:r>
      <w:r>
        <w:rPr>
          <w:rFonts w:asciiTheme="majorHAnsi" w:hAnsiTheme="majorHAnsi" w:cstheme="majorHAnsi"/>
          <w:bCs/>
          <w:color w:val="000000" w:themeColor="text1"/>
        </w:rPr>
        <w:t>.</w:t>
      </w:r>
    </w:p>
    <w:p w14:paraId="1FE5D9ED" w14:textId="7A4DB745" w:rsidR="008D0CAD" w:rsidRDefault="008D0CAD" w:rsidP="000479A3">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color w:val="000000" w:themeColor="text1"/>
        </w:rPr>
        <w:t xml:space="preserve">Among Grade 5 students, </w:t>
      </w:r>
      <w:r w:rsidRPr="00751A95">
        <w:rPr>
          <w:rFonts w:asciiTheme="majorHAnsi" w:hAnsiTheme="majorHAnsi" w:cstheme="majorHAnsi"/>
          <w:color w:val="000000" w:themeColor="text1"/>
        </w:rPr>
        <w:t xml:space="preserve">the </w:t>
      </w:r>
      <w:r>
        <w:rPr>
          <w:rFonts w:asciiTheme="majorHAnsi" w:hAnsiTheme="majorHAnsi" w:cstheme="majorHAnsi"/>
          <w:color w:val="000000" w:themeColor="text1"/>
        </w:rPr>
        <w:t xml:space="preserve">gender grade differentials </w:t>
      </w:r>
      <w:r w:rsidRPr="00751A95">
        <w:rPr>
          <w:rFonts w:asciiTheme="majorHAnsi" w:hAnsiTheme="majorHAnsi" w:cstheme="majorHAnsi"/>
          <w:color w:val="000000" w:themeColor="text1"/>
        </w:rPr>
        <w:t xml:space="preserve">in the </w:t>
      </w:r>
      <w:r>
        <w:rPr>
          <w:rFonts w:asciiTheme="majorHAnsi" w:hAnsiTheme="majorHAnsi" w:cstheme="majorHAnsi"/>
          <w:color w:val="000000" w:themeColor="text1"/>
        </w:rPr>
        <w:t>IRS</w:t>
      </w:r>
      <w:r w:rsidRPr="00751A95">
        <w:rPr>
          <w:rFonts w:asciiTheme="majorHAnsi" w:hAnsiTheme="majorHAnsi" w:cstheme="majorHAnsi"/>
          <w:color w:val="000000" w:themeColor="text1"/>
        </w:rPr>
        <w:t xml:space="preserve"> </w:t>
      </w:r>
      <w:r>
        <w:rPr>
          <w:rFonts w:asciiTheme="majorHAnsi" w:hAnsiTheme="majorHAnsi" w:cstheme="majorHAnsi"/>
          <w:color w:val="000000" w:themeColor="text1"/>
        </w:rPr>
        <w:t>were higher at</w:t>
      </w:r>
      <w:r w:rsidRPr="00751A95">
        <w:rPr>
          <w:rFonts w:asciiTheme="majorHAnsi" w:hAnsiTheme="majorHAnsi" w:cstheme="majorHAnsi"/>
          <w:color w:val="000000" w:themeColor="text1"/>
        </w:rPr>
        <w:t xml:space="preserve"> baseline </w:t>
      </w:r>
      <w:r>
        <w:rPr>
          <w:rFonts w:asciiTheme="majorHAnsi" w:hAnsiTheme="majorHAnsi" w:cstheme="majorHAnsi"/>
          <w:color w:val="000000" w:themeColor="text1"/>
        </w:rPr>
        <w:t>in all subjects</w:t>
      </w:r>
      <w:r w:rsidRPr="00751A95">
        <w:rPr>
          <w:rFonts w:asciiTheme="majorHAnsi" w:hAnsiTheme="majorHAnsi" w:cstheme="majorHAnsi"/>
          <w:color w:val="000000" w:themeColor="text1"/>
        </w:rPr>
        <w:t>.</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However, at baseline, the gender grade differentials declined in all subjects except Science.</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In Science, gender grade differentials of both groups increased from baseline to endline indicating that the </w:t>
      </w:r>
      <w:r w:rsidRPr="00BD7901">
        <w:rPr>
          <w:rFonts w:asciiTheme="majorHAnsi" w:hAnsiTheme="majorHAnsi" w:cstheme="majorHAnsi"/>
          <w:bCs/>
          <w:color w:val="000000" w:themeColor="text1"/>
        </w:rPr>
        <w:t xml:space="preserve">average grades of </w:t>
      </w:r>
      <w:r>
        <w:rPr>
          <w:rFonts w:asciiTheme="majorHAnsi" w:hAnsiTheme="majorHAnsi" w:cstheme="majorHAnsi"/>
          <w:bCs/>
          <w:color w:val="000000" w:themeColor="text1"/>
        </w:rPr>
        <w:t>female students continued to be</w:t>
      </w:r>
      <w:r w:rsidRPr="00BD7901">
        <w:rPr>
          <w:rFonts w:asciiTheme="majorHAnsi" w:hAnsiTheme="majorHAnsi" w:cstheme="majorHAnsi"/>
          <w:bCs/>
          <w:color w:val="000000" w:themeColor="text1"/>
        </w:rPr>
        <w:t xml:space="preserve"> higher than that of boys</w:t>
      </w:r>
      <w:r>
        <w:rPr>
          <w:rFonts w:asciiTheme="majorHAnsi" w:hAnsiTheme="majorHAnsi" w:cstheme="majorHAnsi"/>
          <w:bCs/>
          <w:color w:val="000000" w:themeColor="text1"/>
        </w:rPr>
        <w:t>.</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 Again, the Study was not able to ascertain direct factors that could explain these trends in gender grade differentials of the two groups of schools.</w:t>
      </w:r>
    </w:p>
    <w:p w14:paraId="4FE6150A" w14:textId="127CDB57" w:rsidR="008D0CAD" w:rsidRPr="00925474" w:rsidRDefault="008D0CAD" w:rsidP="000479A3">
      <w:pPr>
        <w:spacing w:before="100" w:beforeAutospacing="1" w:after="100" w:afterAutospacing="1" w:line="360" w:lineRule="auto"/>
        <w:rPr>
          <w:rFonts w:asciiTheme="majorHAnsi" w:hAnsiTheme="majorHAnsi" w:cstheme="majorHAnsi"/>
          <w:color w:val="000000" w:themeColor="text1"/>
        </w:rPr>
      </w:pPr>
      <w:r w:rsidRPr="002F5E8C">
        <w:rPr>
          <w:rFonts w:asciiTheme="majorHAnsi" w:hAnsiTheme="majorHAnsi" w:cstheme="majorHAnsi"/>
          <w:iCs/>
          <w:color w:val="000000" w:themeColor="text1"/>
        </w:rPr>
        <w:t>In sum, the results of analys</w:t>
      </w:r>
      <w:r>
        <w:rPr>
          <w:rFonts w:asciiTheme="majorHAnsi" w:hAnsiTheme="majorHAnsi" w:cstheme="majorHAnsi"/>
          <w:iCs/>
          <w:color w:val="000000" w:themeColor="text1"/>
        </w:rPr>
        <w:t>e</w:t>
      </w:r>
      <w:r w:rsidRPr="002F5E8C">
        <w:rPr>
          <w:rFonts w:asciiTheme="majorHAnsi" w:hAnsiTheme="majorHAnsi" w:cstheme="majorHAnsi"/>
          <w:iCs/>
          <w:color w:val="000000" w:themeColor="text1"/>
        </w:rPr>
        <w:t xml:space="preserve">s revealed that there was a reduction in gender grade differentials among </w:t>
      </w:r>
      <w:r w:rsidRPr="009F57A0">
        <w:rPr>
          <w:rFonts w:asciiTheme="majorHAnsi" w:hAnsiTheme="majorHAnsi" w:cstheme="majorHAnsi"/>
          <w:iCs/>
          <w:color w:val="000000" w:themeColor="text1"/>
        </w:rPr>
        <w:t>Grade 4 and Grade 6 students in DRS in all subjects, as indicated by the negative DID values (Table 2).</w:t>
      </w:r>
      <w:r w:rsidR="00D434EB">
        <w:rPr>
          <w:rFonts w:asciiTheme="majorHAnsi" w:hAnsiTheme="majorHAnsi" w:cstheme="majorHAnsi"/>
          <w:iCs/>
          <w:color w:val="000000" w:themeColor="text1"/>
        </w:rPr>
        <w:t xml:space="preserve"> </w:t>
      </w:r>
    </w:p>
    <w:p w14:paraId="48C20676" w14:textId="650F3A87" w:rsidR="008D0CAD" w:rsidRPr="00590012" w:rsidRDefault="008D0CAD" w:rsidP="000479A3">
      <w:pPr>
        <w:pStyle w:val="Caption"/>
        <w:spacing w:before="100" w:beforeAutospacing="1" w:after="100" w:afterAutospacing="1" w:line="360" w:lineRule="auto"/>
        <w:rPr>
          <w:rFonts w:asciiTheme="majorHAnsi" w:hAnsiTheme="majorHAnsi" w:cstheme="majorHAnsi"/>
          <w:sz w:val="22"/>
          <w:szCs w:val="22"/>
        </w:rPr>
      </w:pPr>
      <w:r w:rsidRPr="00590012">
        <w:rPr>
          <w:rFonts w:asciiTheme="majorHAnsi" w:hAnsiTheme="majorHAnsi" w:cstheme="majorHAnsi"/>
          <w:sz w:val="22"/>
          <w:szCs w:val="22"/>
        </w:rPr>
        <w:t xml:space="preserve"> </w:t>
      </w:r>
      <w:bookmarkStart w:id="74" w:name="_Toc71616593"/>
      <w:r w:rsidRPr="00590012">
        <w:rPr>
          <w:rFonts w:asciiTheme="majorHAnsi" w:hAnsiTheme="majorHAnsi" w:cstheme="majorHAnsi"/>
          <w:sz w:val="22"/>
          <w:szCs w:val="22"/>
        </w:rPr>
        <w:t xml:space="preserve">Table </w:t>
      </w:r>
      <w:r w:rsidRPr="00590012">
        <w:rPr>
          <w:rFonts w:asciiTheme="majorHAnsi" w:hAnsiTheme="majorHAnsi" w:cstheme="majorHAnsi"/>
          <w:sz w:val="22"/>
          <w:szCs w:val="22"/>
        </w:rPr>
        <w:fldChar w:fldCharType="begin"/>
      </w:r>
      <w:r w:rsidRPr="00590012">
        <w:rPr>
          <w:rFonts w:asciiTheme="majorHAnsi" w:hAnsiTheme="majorHAnsi" w:cstheme="majorHAnsi"/>
          <w:sz w:val="22"/>
          <w:szCs w:val="22"/>
        </w:rPr>
        <w:instrText xml:space="preserve"> SEQ Table \* ARABIC </w:instrText>
      </w:r>
      <w:r w:rsidRPr="00590012">
        <w:rPr>
          <w:rFonts w:asciiTheme="majorHAnsi" w:hAnsiTheme="majorHAnsi" w:cstheme="majorHAnsi"/>
          <w:sz w:val="22"/>
          <w:szCs w:val="22"/>
        </w:rPr>
        <w:fldChar w:fldCharType="separate"/>
      </w:r>
      <w:r w:rsidR="00D6133D">
        <w:rPr>
          <w:rFonts w:asciiTheme="majorHAnsi" w:hAnsiTheme="majorHAnsi" w:cstheme="majorHAnsi"/>
          <w:noProof/>
          <w:sz w:val="22"/>
          <w:szCs w:val="22"/>
        </w:rPr>
        <w:t>2</w:t>
      </w:r>
      <w:r w:rsidRPr="00590012">
        <w:rPr>
          <w:rFonts w:asciiTheme="majorHAnsi" w:hAnsiTheme="majorHAnsi" w:cstheme="majorHAnsi"/>
          <w:sz w:val="22"/>
          <w:szCs w:val="22"/>
        </w:rPr>
        <w:fldChar w:fldCharType="end"/>
      </w:r>
      <w:r w:rsidRPr="00590012">
        <w:rPr>
          <w:rFonts w:asciiTheme="majorHAnsi" w:hAnsiTheme="majorHAnsi" w:cstheme="majorHAnsi"/>
          <w:sz w:val="22"/>
          <w:szCs w:val="22"/>
        </w:rPr>
        <w:t xml:space="preserve">. DID values </w:t>
      </w:r>
      <w:r>
        <w:rPr>
          <w:rFonts w:asciiTheme="majorHAnsi" w:hAnsiTheme="majorHAnsi" w:cstheme="majorHAnsi"/>
          <w:sz w:val="22"/>
          <w:szCs w:val="22"/>
        </w:rPr>
        <w:t>for</w:t>
      </w:r>
      <w:r w:rsidRPr="00590012">
        <w:rPr>
          <w:rFonts w:asciiTheme="majorHAnsi" w:hAnsiTheme="majorHAnsi" w:cstheme="majorHAnsi"/>
          <w:sz w:val="22"/>
          <w:szCs w:val="22"/>
        </w:rPr>
        <w:t xml:space="preserve"> Gender Grade Differentials by Subject</w:t>
      </w:r>
      <w:bookmarkEnd w:id="74"/>
      <w:r w:rsidRPr="00590012">
        <w:rPr>
          <w:rFonts w:asciiTheme="majorHAnsi" w:hAnsiTheme="majorHAnsi" w:cstheme="majorHAnsi"/>
          <w:sz w:val="22"/>
          <w:szCs w:val="22"/>
        </w:rPr>
        <w:t xml:space="preserve"> </w:t>
      </w:r>
    </w:p>
    <w:tbl>
      <w:tblPr>
        <w:tblStyle w:val="TableGrid"/>
        <w:tblpPr w:leftFromText="180" w:rightFromText="180" w:vertAnchor="text" w:horzAnchor="margin" w:tblpY="80"/>
        <w:tblW w:w="0" w:type="auto"/>
        <w:tblLook w:val="04A0" w:firstRow="1" w:lastRow="0" w:firstColumn="1" w:lastColumn="0" w:noHBand="0" w:noVBand="1"/>
      </w:tblPr>
      <w:tblGrid>
        <w:gridCol w:w="1314"/>
        <w:gridCol w:w="1314"/>
        <w:gridCol w:w="1315"/>
        <w:gridCol w:w="1317"/>
      </w:tblGrid>
      <w:tr w:rsidR="00ED33AB" w14:paraId="7F4A0779" w14:textId="77777777" w:rsidTr="00ED33AB">
        <w:trPr>
          <w:trHeight w:val="214"/>
        </w:trPr>
        <w:tc>
          <w:tcPr>
            <w:tcW w:w="1314" w:type="dxa"/>
          </w:tcPr>
          <w:p w14:paraId="5E89833D" w14:textId="1284A194" w:rsidR="00ED33AB" w:rsidRPr="00ED33AB" w:rsidRDefault="00ED33AB" w:rsidP="00ED33AB">
            <w:pPr>
              <w:spacing w:before="100" w:beforeAutospacing="1" w:after="100" w:afterAutospacing="1" w:line="360" w:lineRule="auto"/>
              <w:rPr>
                <w:rFonts w:asciiTheme="majorHAnsi" w:hAnsiTheme="majorHAnsi" w:cstheme="majorHAnsi"/>
                <w:b/>
                <w:bCs/>
                <w:iCs/>
              </w:rPr>
            </w:pPr>
            <w:r w:rsidRPr="00ED33AB">
              <w:rPr>
                <w:rFonts w:asciiTheme="majorHAnsi" w:hAnsiTheme="majorHAnsi" w:cstheme="majorHAnsi"/>
                <w:b/>
                <w:bCs/>
                <w:iCs/>
              </w:rPr>
              <w:t>Subjects</w:t>
            </w:r>
          </w:p>
        </w:tc>
        <w:tc>
          <w:tcPr>
            <w:tcW w:w="1314" w:type="dxa"/>
          </w:tcPr>
          <w:p w14:paraId="5C7CA1E3" w14:textId="024A89BD" w:rsidR="00ED33AB" w:rsidRDefault="00ED33AB" w:rsidP="00ED33AB">
            <w:pPr>
              <w:spacing w:before="100" w:beforeAutospacing="1" w:after="100" w:afterAutospacing="1" w:line="360" w:lineRule="auto"/>
              <w:rPr>
                <w:rFonts w:asciiTheme="majorHAnsi" w:hAnsiTheme="majorHAnsi" w:cstheme="majorHAnsi"/>
                <w:iCs/>
              </w:rPr>
            </w:pPr>
            <w:r w:rsidRPr="0073544F">
              <w:rPr>
                <w:rFonts w:asciiTheme="majorHAnsi" w:hAnsiTheme="majorHAnsi" w:cstheme="majorHAnsi"/>
                <w:b/>
                <w:iCs/>
              </w:rPr>
              <w:t>Grade 4</w:t>
            </w:r>
          </w:p>
        </w:tc>
        <w:tc>
          <w:tcPr>
            <w:tcW w:w="1315" w:type="dxa"/>
          </w:tcPr>
          <w:p w14:paraId="345B5C6E" w14:textId="0092C7FE" w:rsidR="00ED33AB" w:rsidRDefault="00ED33AB" w:rsidP="00ED33AB">
            <w:pPr>
              <w:spacing w:before="100" w:beforeAutospacing="1" w:after="100" w:afterAutospacing="1" w:line="360" w:lineRule="auto"/>
              <w:rPr>
                <w:rFonts w:asciiTheme="majorHAnsi" w:hAnsiTheme="majorHAnsi" w:cstheme="majorHAnsi"/>
                <w:iCs/>
              </w:rPr>
            </w:pPr>
            <w:r w:rsidRPr="0073544F">
              <w:rPr>
                <w:rFonts w:asciiTheme="majorHAnsi" w:hAnsiTheme="majorHAnsi" w:cstheme="majorHAnsi"/>
                <w:b/>
                <w:iCs/>
              </w:rPr>
              <w:t>Grade 5</w:t>
            </w:r>
          </w:p>
        </w:tc>
        <w:tc>
          <w:tcPr>
            <w:tcW w:w="1317" w:type="dxa"/>
          </w:tcPr>
          <w:p w14:paraId="2FF5AF12" w14:textId="1A0F14D3" w:rsidR="00ED33AB" w:rsidRDefault="00ED33AB" w:rsidP="00ED33AB">
            <w:pPr>
              <w:spacing w:before="100" w:beforeAutospacing="1" w:after="100" w:afterAutospacing="1" w:line="360" w:lineRule="auto"/>
              <w:rPr>
                <w:rFonts w:asciiTheme="majorHAnsi" w:hAnsiTheme="majorHAnsi" w:cstheme="majorHAnsi"/>
                <w:iCs/>
              </w:rPr>
            </w:pPr>
            <w:r w:rsidRPr="0073544F">
              <w:rPr>
                <w:rFonts w:asciiTheme="majorHAnsi" w:hAnsiTheme="majorHAnsi" w:cstheme="majorHAnsi"/>
                <w:b/>
                <w:iCs/>
              </w:rPr>
              <w:t>Grade 6</w:t>
            </w:r>
          </w:p>
        </w:tc>
      </w:tr>
      <w:tr w:rsidR="003E309D" w14:paraId="723ACDCC" w14:textId="77777777" w:rsidTr="00ED33AB">
        <w:trPr>
          <w:trHeight w:val="214"/>
        </w:trPr>
        <w:tc>
          <w:tcPr>
            <w:tcW w:w="1314" w:type="dxa"/>
          </w:tcPr>
          <w:p w14:paraId="60811D31" w14:textId="77777777" w:rsidR="003E309D" w:rsidRDefault="003E309D" w:rsidP="000479A3">
            <w:pPr>
              <w:spacing w:before="100" w:beforeAutospacing="1" w:after="100" w:afterAutospacing="1" w:line="360" w:lineRule="auto"/>
              <w:rPr>
                <w:rFonts w:asciiTheme="majorHAnsi" w:hAnsiTheme="majorHAnsi" w:cstheme="majorHAnsi"/>
                <w:iCs/>
              </w:rPr>
            </w:pPr>
            <w:r>
              <w:rPr>
                <w:rFonts w:asciiTheme="majorHAnsi" w:hAnsiTheme="majorHAnsi" w:cstheme="majorHAnsi"/>
                <w:iCs/>
              </w:rPr>
              <w:t>English</w:t>
            </w:r>
          </w:p>
        </w:tc>
        <w:tc>
          <w:tcPr>
            <w:tcW w:w="1314" w:type="dxa"/>
          </w:tcPr>
          <w:p w14:paraId="5449C55B" w14:textId="77777777" w:rsidR="003E309D" w:rsidRDefault="003E309D" w:rsidP="000479A3">
            <w:pPr>
              <w:spacing w:before="100" w:beforeAutospacing="1" w:after="100" w:afterAutospacing="1" w:line="360" w:lineRule="auto"/>
              <w:rPr>
                <w:rFonts w:asciiTheme="majorHAnsi" w:hAnsiTheme="majorHAnsi" w:cstheme="majorHAnsi"/>
                <w:iCs/>
              </w:rPr>
            </w:pPr>
            <w:r>
              <w:rPr>
                <w:rFonts w:asciiTheme="majorHAnsi" w:hAnsiTheme="majorHAnsi" w:cstheme="majorHAnsi"/>
                <w:iCs/>
              </w:rPr>
              <w:t>-0.57</w:t>
            </w:r>
          </w:p>
        </w:tc>
        <w:tc>
          <w:tcPr>
            <w:tcW w:w="1315" w:type="dxa"/>
          </w:tcPr>
          <w:p w14:paraId="2D2504C2" w14:textId="77777777" w:rsidR="003E309D" w:rsidRDefault="003E309D" w:rsidP="000479A3">
            <w:pPr>
              <w:spacing w:before="100" w:beforeAutospacing="1" w:after="100" w:afterAutospacing="1" w:line="360" w:lineRule="auto"/>
              <w:rPr>
                <w:rFonts w:asciiTheme="majorHAnsi" w:hAnsiTheme="majorHAnsi" w:cstheme="majorHAnsi"/>
                <w:iCs/>
              </w:rPr>
            </w:pPr>
            <w:r>
              <w:rPr>
                <w:rFonts w:asciiTheme="majorHAnsi" w:hAnsiTheme="majorHAnsi" w:cstheme="majorHAnsi"/>
                <w:iCs/>
              </w:rPr>
              <w:t>1.62</w:t>
            </w:r>
          </w:p>
        </w:tc>
        <w:tc>
          <w:tcPr>
            <w:tcW w:w="1317" w:type="dxa"/>
          </w:tcPr>
          <w:p w14:paraId="00345202" w14:textId="77777777" w:rsidR="003E309D" w:rsidRDefault="003E309D" w:rsidP="000479A3">
            <w:pPr>
              <w:spacing w:before="100" w:beforeAutospacing="1" w:after="100" w:afterAutospacing="1" w:line="360" w:lineRule="auto"/>
              <w:rPr>
                <w:rFonts w:asciiTheme="majorHAnsi" w:hAnsiTheme="majorHAnsi" w:cstheme="majorHAnsi"/>
                <w:iCs/>
              </w:rPr>
            </w:pPr>
            <w:r>
              <w:rPr>
                <w:rFonts w:asciiTheme="majorHAnsi" w:hAnsiTheme="majorHAnsi" w:cstheme="majorHAnsi"/>
                <w:iCs/>
              </w:rPr>
              <w:t>-2.52</w:t>
            </w:r>
          </w:p>
        </w:tc>
      </w:tr>
      <w:tr w:rsidR="003E309D" w14:paraId="7A080995" w14:textId="77777777" w:rsidTr="00ED33AB">
        <w:trPr>
          <w:trHeight w:val="206"/>
        </w:trPr>
        <w:tc>
          <w:tcPr>
            <w:tcW w:w="1314" w:type="dxa"/>
          </w:tcPr>
          <w:p w14:paraId="54F5F85B" w14:textId="77777777" w:rsidR="003E309D" w:rsidRDefault="003E309D" w:rsidP="000479A3">
            <w:pPr>
              <w:spacing w:before="100" w:beforeAutospacing="1" w:after="100" w:afterAutospacing="1" w:line="360" w:lineRule="auto"/>
              <w:rPr>
                <w:rFonts w:asciiTheme="majorHAnsi" w:hAnsiTheme="majorHAnsi" w:cstheme="majorHAnsi"/>
                <w:iCs/>
              </w:rPr>
            </w:pPr>
            <w:r>
              <w:rPr>
                <w:rFonts w:asciiTheme="majorHAnsi" w:hAnsiTheme="majorHAnsi" w:cstheme="majorHAnsi"/>
                <w:iCs/>
              </w:rPr>
              <w:t>Filipino</w:t>
            </w:r>
          </w:p>
        </w:tc>
        <w:tc>
          <w:tcPr>
            <w:tcW w:w="1314" w:type="dxa"/>
          </w:tcPr>
          <w:p w14:paraId="7B459CD6" w14:textId="77777777" w:rsidR="003E309D" w:rsidRDefault="003E309D" w:rsidP="000479A3">
            <w:pPr>
              <w:spacing w:before="100" w:beforeAutospacing="1" w:after="100" w:afterAutospacing="1" w:line="360" w:lineRule="auto"/>
              <w:rPr>
                <w:rFonts w:asciiTheme="majorHAnsi" w:hAnsiTheme="majorHAnsi" w:cstheme="majorHAnsi"/>
                <w:iCs/>
              </w:rPr>
            </w:pPr>
            <w:r>
              <w:rPr>
                <w:rFonts w:asciiTheme="majorHAnsi" w:hAnsiTheme="majorHAnsi" w:cstheme="majorHAnsi"/>
                <w:iCs/>
              </w:rPr>
              <w:t>-1.10</w:t>
            </w:r>
          </w:p>
        </w:tc>
        <w:tc>
          <w:tcPr>
            <w:tcW w:w="1315" w:type="dxa"/>
          </w:tcPr>
          <w:p w14:paraId="389EBF85" w14:textId="77777777" w:rsidR="003E309D" w:rsidRDefault="003E309D" w:rsidP="000479A3">
            <w:pPr>
              <w:spacing w:before="100" w:beforeAutospacing="1" w:after="100" w:afterAutospacing="1" w:line="360" w:lineRule="auto"/>
              <w:rPr>
                <w:rFonts w:asciiTheme="majorHAnsi" w:hAnsiTheme="majorHAnsi" w:cstheme="majorHAnsi"/>
                <w:iCs/>
              </w:rPr>
            </w:pPr>
            <w:r>
              <w:rPr>
                <w:rFonts w:asciiTheme="majorHAnsi" w:hAnsiTheme="majorHAnsi" w:cstheme="majorHAnsi"/>
                <w:iCs/>
              </w:rPr>
              <w:t>0.79</w:t>
            </w:r>
          </w:p>
        </w:tc>
        <w:tc>
          <w:tcPr>
            <w:tcW w:w="1317" w:type="dxa"/>
          </w:tcPr>
          <w:p w14:paraId="3D261BDF" w14:textId="77777777" w:rsidR="003E309D" w:rsidRDefault="003E309D" w:rsidP="000479A3">
            <w:pPr>
              <w:spacing w:before="100" w:beforeAutospacing="1" w:after="100" w:afterAutospacing="1" w:line="360" w:lineRule="auto"/>
              <w:rPr>
                <w:rFonts w:asciiTheme="majorHAnsi" w:hAnsiTheme="majorHAnsi" w:cstheme="majorHAnsi"/>
                <w:iCs/>
              </w:rPr>
            </w:pPr>
            <w:r>
              <w:rPr>
                <w:rFonts w:asciiTheme="majorHAnsi" w:hAnsiTheme="majorHAnsi" w:cstheme="majorHAnsi"/>
                <w:iCs/>
              </w:rPr>
              <w:t>-1.72</w:t>
            </w:r>
          </w:p>
        </w:tc>
      </w:tr>
      <w:tr w:rsidR="003E309D" w14:paraId="6228EFD8" w14:textId="77777777" w:rsidTr="00ED33AB">
        <w:trPr>
          <w:trHeight w:val="206"/>
        </w:trPr>
        <w:tc>
          <w:tcPr>
            <w:tcW w:w="1314" w:type="dxa"/>
          </w:tcPr>
          <w:p w14:paraId="21649596" w14:textId="77777777" w:rsidR="003E309D" w:rsidRDefault="003E309D" w:rsidP="000479A3">
            <w:pPr>
              <w:spacing w:before="100" w:beforeAutospacing="1" w:after="100" w:afterAutospacing="1" w:line="360" w:lineRule="auto"/>
              <w:rPr>
                <w:rFonts w:asciiTheme="majorHAnsi" w:hAnsiTheme="majorHAnsi" w:cstheme="majorHAnsi"/>
                <w:iCs/>
              </w:rPr>
            </w:pPr>
            <w:r>
              <w:rPr>
                <w:rFonts w:asciiTheme="majorHAnsi" w:hAnsiTheme="majorHAnsi" w:cstheme="majorHAnsi"/>
                <w:iCs/>
              </w:rPr>
              <w:t>Math</w:t>
            </w:r>
          </w:p>
        </w:tc>
        <w:tc>
          <w:tcPr>
            <w:tcW w:w="1314" w:type="dxa"/>
          </w:tcPr>
          <w:p w14:paraId="2ACB6A18" w14:textId="77777777" w:rsidR="003E309D" w:rsidRDefault="003E309D" w:rsidP="000479A3">
            <w:pPr>
              <w:spacing w:before="100" w:beforeAutospacing="1" w:after="100" w:afterAutospacing="1" w:line="360" w:lineRule="auto"/>
              <w:rPr>
                <w:rFonts w:asciiTheme="majorHAnsi" w:hAnsiTheme="majorHAnsi" w:cstheme="majorHAnsi"/>
                <w:iCs/>
              </w:rPr>
            </w:pPr>
            <w:r>
              <w:rPr>
                <w:rFonts w:asciiTheme="majorHAnsi" w:hAnsiTheme="majorHAnsi" w:cstheme="majorHAnsi"/>
                <w:iCs/>
              </w:rPr>
              <w:t>-1.10</w:t>
            </w:r>
          </w:p>
        </w:tc>
        <w:tc>
          <w:tcPr>
            <w:tcW w:w="1315" w:type="dxa"/>
          </w:tcPr>
          <w:p w14:paraId="58B1E2F3" w14:textId="77777777" w:rsidR="003E309D" w:rsidRDefault="003E309D" w:rsidP="000479A3">
            <w:pPr>
              <w:spacing w:before="100" w:beforeAutospacing="1" w:after="100" w:afterAutospacing="1" w:line="360" w:lineRule="auto"/>
              <w:rPr>
                <w:rFonts w:asciiTheme="majorHAnsi" w:hAnsiTheme="majorHAnsi" w:cstheme="majorHAnsi"/>
                <w:iCs/>
              </w:rPr>
            </w:pPr>
            <w:r>
              <w:rPr>
                <w:rFonts w:asciiTheme="majorHAnsi" w:hAnsiTheme="majorHAnsi" w:cstheme="majorHAnsi"/>
                <w:iCs/>
              </w:rPr>
              <w:t>0.10</w:t>
            </w:r>
          </w:p>
        </w:tc>
        <w:tc>
          <w:tcPr>
            <w:tcW w:w="1317" w:type="dxa"/>
          </w:tcPr>
          <w:p w14:paraId="3B5C6203" w14:textId="77777777" w:rsidR="003E309D" w:rsidRDefault="003E309D" w:rsidP="000479A3">
            <w:pPr>
              <w:spacing w:before="100" w:beforeAutospacing="1" w:after="100" w:afterAutospacing="1" w:line="360" w:lineRule="auto"/>
              <w:rPr>
                <w:rFonts w:asciiTheme="majorHAnsi" w:hAnsiTheme="majorHAnsi" w:cstheme="majorHAnsi"/>
                <w:iCs/>
              </w:rPr>
            </w:pPr>
            <w:r>
              <w:rPr>
                <w:rFonts w:asciiTheme="majorHAnsi" w:hAnsiTheme="majorHAnsi" w:cstheme="majorHAnsi"/>
                <w:iCs/>
              </w:rPr>
              <w:t>-1.20</w:t>
            </w:r>
          </w:p>
        </w:tc>
      </w:tr>
      <w:tr w:rsidR="003E309D" w14:paraId="521DA135" w14:textId="77777777" w:rsidTr="00ED33AB">
        <w:trPr>
          <w:trHeight w:val="206"/>
        </w:trPr>
        <w:tc>
          <w:tcPr>
            <w:tcW w:w="1314" w:type="dxa"/>
          </w:tcPr>
          <w:p w14:paraId="57861ABE" w14:textId="77777777" w:rsidR="003E309D" w:rsidRDefault="003E309D" w:rsidP="000479A3">
            <w:pPr>
              <w:spacing w:before="100" w:beforeAutospacing="1" w:after="100" w:afterAutospacing="1" w:line="360" w:lineRule="auto"/>
              <w:rPr>
                <w:rFonts w:asciiTheme="majorHAnsi" w:hAnsiTheme="majorHAnsi" w:cstheme="majorHAnsi"/>
                <w:iCs/>
              </w:rPr>
            </w:pPr>
            <w:r>
              <w:rPr>
                <w:rFonts w:asciiTheme="majorHAnsi" w:hAnsiTheme="majorHAnsi" w:cstheme="majorHAnsi"/>
                <w:iCs/>
              </w:rPr>
              <w:t>Science</w:t>
            </w:r>
          </w:p>
        </w:tc>
        <w:tc>
          <w:tcPr>
            <w:tcW w:w="1314" w:type="dxa"/>
          </w:tcPr>
          <w:p w14:paraId="4EBCCCBB" w14:textId="77777777" w:rsidR="003E309D" w:rsidRDefault="003E309D" w:rsidP="000479A3">
            <w:pPr>
              <w:spacing w:before="100" w:beforeAutospacing="1" w:after="100" w:afterAutospacing="1" w:line="360" w:lineRule="auto"/>
              <w:rPr>
                <w:rFonts w:asciiTheme="majorHAnsi" w:hAnsiTheme="majorHAnsi" w:cstheme="majorHAnsi"/>
                <w:iCs/>
              </w:rPr>
            </w:pPr>
            <w:r>
              <w:rPr>
                <w:rFonts w:asciiTheme="majorHAnsi" w:hAnsiTheme="majorHAnsi" w:cstheme="majorHAnsi"/>
                <w:iCs/>
              </w:rPr>
              <w:t>-1.64</w:t>
            </w:r>
          </w:p>
        </w:tc>
        <w:tc>
          <w:tcPr>
            <w:tcW w:w="1315" w:type="dxa"/>
          </w:tcPr>
          <w:p w14:paraId="3C06F661" w14:textId="77777777" w:rsidR="003E309D" w:rsidRDefault="003E309D" w:rsidP="000479A3">
            <w:pPr>
              <w:spacing w:before="100" w:beforeAutospacing="1" w:after="100" w:afterAutospacing="1" w:line="360" w:lineRule="auto"/>
              <w:rPr>
                <w:rFonts w:asciiTheme="majorHAnsi" w:hAnsiTheme="majorHAnsi" w:cstheme="majorHAnsi"/>
                <w:iCs/>
              </w:rPr>
            </w:pPr>
            <w:r>
              <w:rPr>
                <w:rFonts w:asciiTheme="majorHAnsi" w:hAnsiTheme="majorHAnsi" w:cstheme="majorHAnsi"/>
                <w:iCs/>
              </w:rPr>
              <w:t>0.62</w:t>
            </w:r>
          </w:p>
        </w:tc>
        <w:tc>
          <w:tcPr>
            <w:tcW w:w="1317" w:type="dxa"/>
          </w:tcPr>
          <w:p w14:paraId="7226B5E9" w14:textId="77777777" w:rsidR="003E309D" w:rsidRDefault="003E309D" w:rsidP="000479A3">
            <w:pPr>
              <w:spacing w:before="100" w:beforeAutospacing="1" w:after="100" w:afterAutospacing="1" w:line="360" w:lineRule="auto"/>
              <w:rPr>
                <w:rFonts w:asciiTheme="majorHAnsi" w:hAnsiTheme="majorHAnsi" w:cstheme="majorHAnsi"/>
                <w:iCs/>
              </w:rPr>
            </w:pPr>
            <w:r>
              <w:rPr>
                <w:rFonts w:asciiTheme="majorHAnsi" w:hAnsiTheme="majorHAnsi" w:cstheme="majorHAnsi"/>
                <w:iCs/>
              </w:rPr>
              <w:t>-1.80</w:t>
            </w:r>
          </w:p>
        </w:tc>
      </w:tr>
    </w:tbl>
    <w:p w14:paraId="55BE47F1" w14:textId="77777777" w:rsidR="00572BB5" w:rsidRDefault="00572BB5" w:rsidP="000479A3">
      <w:pPr>
        <w:spacing w:before="100" w:beforeAutospacing="1" w:after="100" w:afterAutospacing="1" w:line="360" w:lineRule="auto"/>
        <w:rPr>
          <w:rFonts w:asciiTheme="majorHAnsi" w:hAnsiTheme="majorHAnsi" w:cstheme="majorHAnsi"/>
          <w:iCs/>
          <w:color w:val="000000" w:themeColor="text1"/>
        </w:rPr>
      </w:pPr>
    </w:p>
    <w:p w14:paraId="7FDAD2A5" w14:textId="77777777" w:rsidR="00572BB5" w:rsidRDefault="00572BB5" w:rsidP="000479A3">
      <w:pPr>
        <w:spacing w:before="100" w:beforeAutospacing="1" w:after="100" w:afterAutospacing="1" w:line="360" w:lineRule="auto"/>
        <w:rPr>
          <w:rFonts w:asciiTheme="majorHAnsi" w:hAnsiTheme="majorHAnsi" w:cstheme="majorHAnsi"/>
          <w:iCs/>
          <w:color w:val="000000" w:themeColor="text1"/>
        </w:rPr>
      </w:pPr>
    </w:p>
    <w:p w14:paraId="08D00BF1" w14:textId="77777777" w:rsidR="00572BB5" w:rsidRDefault="00572BB5" w:rsidP="000479A3">
      <w:pPr>
        <w:spacing w:before="100" w:beforeAutospacing="1" w:after="100" w:afterAutospacing="1" w:line="360" w:lineRule="auto"/>
        <w:rPr>
          <w:rFonts w:asciiTheme="majorHAnsi" w:hAnsiTheme="majorHAnsi" w:cstheme="majorHAnsi"/>
          <w:iCs/>
          <w:color w:val="000000" w:themeColor="text1"/>
        </w:rPr>
      </w:pPr>
    </w:p>
    <w:p w14:paraId="3066C3BD" w14:textId="77777777" w:rsidR="00572BB5" w:rsidRDefault="00572BB5" w:rsidP="000479A3">
      <w:pPr>
        <w:spacing w:before="100" w:beforeAutospacing="1" w:after="100" w:afterAutospacing="1" w:line="360" w:lineRule="auto"/>
        <w:rPr>
          <w:rFonts w:asciiTheme="majorHAnsi" w:hAnsiTheme="majorHAnsi" w:cstheme="majorHAnsi"/>
          <w:iCs/>
          <w:color w:val="000000" w:themeColor="text1"/>
        </w:rPr>
      </w:pPr>
    </w:p>
    <w:p w14:paraId="7170036C" w14:textId="77777777" w:rsidR="00572BB5" w:rsidRDefault="00572BB5" w:rsidP="000479A3">
      <w:pPr>
        <w:spacing w:before="100" w:beforeAutospacing="1" w:after="100" w:afterAutospacing="1" w:line="360" w:lineRule="auto"/>
        <w:rPr>
          <w:rFonts w:asciiTheme="majorHAnsi" w:hAnsiTheme="majorHAnsi" w:cstheme="majorHAnsi"/>
          <w:iCs/>
          <w:color w:val="000000" w:themeColor="text1"/>
        </w:rPr>
      </w:pPr>
    </w:p>
    <w:p w14:paraId="4796628F" w14:textId="77777777" w:rsidR="00572BB5" w:rsidRDefault="00572BB5" w:rsidP="000479A3">
      <w:pPr>
        <w:spacing w:before="100" w:beforeAutospacing="1" w:after="100" w:afterAutospacing="1" w:line="360" w:lineRule="auto"/>
        <w:rPr>
          <w:rFonts w:asciiTheme="majorHAnsi" w:hAnsiTheme="majorHAnsi" w:cstheme="majorHAnsi"/>
          <w:iCs/>
          <w:color w:val="000000" w:themeColor="text1"/>
        </w:rPr>
      </w:pPr>
    </w:p>
    <w:p w14:paraId="22F3C72A" w14:textId="5AF74317" w:rsidR="00572BB5" w:rsidRPr="000479A3" w:rsidRDefault="008D0CAD" w:rsidP="000479A3">
      <w:pPr>
        <w:pageBreakBefore/>
        <w:spacing w:before="100" w:beforeAutospacing="1" w:after="100" w:afterAutospacing="1" w:line="360" w:lineRule="auto"/>
        <w:rPr>
          <w:rFonts w:asciiTheme="majorHAnsi" w:hAnsiTheme="majorHAnsi" w:cstheme="majorHAnsi"/>
          <w:iCs/>
        </w:rPr>
      </w:pPr>
      <w:r w:rsidRPr="002F5E8C">
        <w:rPr>
          <w:rFonts w:asciiTheme="majorHAnsi" w:hAnsiTheme="majorHAnsi" w:cstheme="majorHAnsi"/>
          <w:iCs/>
          <w:color w:val="000000" w:themeColor="text1"/>
        </w:rPr>
        <w:t xml:space="preserve">This </w:t>
      </w:r>
      <w:r>
        <w:rPr>
          <w:rFonts w:asciiTheme="majorHAnsi" w:hAnsiTheme="majorHAnsi" w:cstheme="majorHAnsi"/>
          <w:iCs/>
          <w:color w:val="000000" w:themeColor="text1"/>
        </w:rPr>
        <w:t>implied</w:t>
      </w:r>
      <w:r w:rsidRPr="002F5E8C">
        <w:rPr>
          <w:rFonts w:asciiTheme="majorHAnsi" w:hAnsiTheme="majorHAnsi" w:cstheme="majorHAnsi"/>
          <w:iCs/>
          <w:color w:val="000000" w:themeColor="text1"/>
        </w:rPr>
        <w:t xml:space="preserve"> that the gap</w:t>
      </w:r>
      <w:r>
        <w:rPr>
          <w:rFonts w:asciiTheme="majorHAnsi" w:hAnsiTheme="majorHAnsi" w:cstheme="majorHAnsi"/>
          <w:iCs/>
          <w:color w:val="000000" w:themeColor="text1"/>
        </w:rPr>
        <w:t>s</w:t>
      </w:r>
      <w:r w:rsidRPr="002F5E8C">
        <w:rPr>
          <w:rFonts w:asciiTheme="majorHAnsi" w:hAnsiTheme="majorHAnsi" w:cstheme="majorHAnsi"/>
          <w:iCs/>
          <w:color w:val="000000" w:themeColor="text1"/>
        </w:rPr>
        <w:t xml:space="preserve"> in the average grades between boys and girls in Grades 4 and 6 declined from baseline to endline. The reduction was more pronounced among the Grade 6 students in the </w:t>
      </w:r>
      <w:r w:rsidR="000479A3" w:rsidRPr="002F5E8C">
        <w:rPr>
          <w:rFonts w:asciiTheme="majorHAnsi" w:hAnsiTheme="majorHAnsi" w:cstheme="majorHAnsi"/>
          <w:iCs/>
          <w:color w:val="000000" w:themeColor="text1"/>
        </w:rPr>
        <w:t>English since</w:t>
      </w:r>
      <w:r w:rsidRPr="002F5E8C">
        <w:rPr>
          <w:rFonts w:asciiTheme="majorHAnsi" w:hAnsiTheme="majorHAnsi" w:cstheme="majorHAnsi"/>
          <w:iCs/>
          <w:color w:val="000000" w:themeColor="text1"/>
        </w:rPr>
        <w:t xml:space="preserve"> it had the highest reduction in gender grade differentials</w:t>
      </w:r>
      <w:r>
        <w:rPr>
          <w:rFonts w:asciiTheme="majorHAnsi" w:hAnsiTheme="majorHAnsi" w:cstheme="majorHAnsi"/>
          <w:iCs/>
          <w:color w:val="000000" w:themeColor="text1"/>
        </w:rPr>
        <w:t>.</w:t>
      </w:r>
      <w:r w:rsidR="00D434EB">
        <w:rPr>
          <w:rFonts w:asciiTheme="majorHAnsi" w:hAnsiTheme="majorHAnsi" w:cstheme="majorHAnsi"/>
          <w:iCs/>
          <w:color w:val="000000" w:themeColor="text1"/>
        </w:rPr>
        <w:t xml:space="preserve"> </w:t>
      </w:r>
      <w:r w:rsidRPr="002F5E8C">
        <w:rPr>
          <w:rFonts w:asciiTheme="majorHAnsi" w:hAnsiTheme="majorHAnsi" w:cstheme="majorHAnsi"/>
          <w:iCs/>
          <w:color w:val="000000" w:themeColor="text1"/>
        </w:rPr>
        <w:t xml:space="preserve">The reduction in differences in </w:t>
      </w:r>
      <w:r>
        <w:rPr>
          <w:rFonts w:asciiTheme="majorHAnsi" w:hAnsiTheme="majorHAnsi" w:cstheme="majorHAnsi"/>
          <w:iCs/>
        </w:rPr>
        <w:t>average grades of students was least pronounced in the Math subject.</w:t>
      </w:r>
      <w:bookmarkStart w:id="75" w:name="_Toc14028918"/>
    </w:p>
    <w:p w14:paraId="7D2C6441" w14:textId="4D5542CA" w:rsidR="008D0CAD" w:rsidRPr="00020D54" w:rsidRDefault="008D0CAD" w:rsidP="000479A3">
      <w:pPr>
        <w:pStyle w:val="Caption"/>
        <w:spacing w:before="100" w:beforeAutospacing="1" w:after="100" w:afterAutospacing="1" w:line="360" w:lineRule="auto"/>
        <w:rPr>
          <w:rFonts w:asciiTheme="majorHAnsi" w:hAnsiTheme="majorHAnsi" w:cstheme="majorHAnsi"/>
          <w:sz w:val="22"/>
          <w:szCs w:val="22"/>
        </w:rPr>
      </w:pPr>
      <w:bookmarkStart w:id="76" w:name="_Toc71616530"/>
      <w:r w:rsidRPr="00020D54">
        <w:rPr>
          <w:rFonts w:asciiTheme="majorHAnsi" w:hAnsiTheme="majorHAnsi" w:cstheme="majorHAnsi"/>
          <w:sz w:val="22"/>
          <w:szCs w:val="22"/>
        </w:rPr>
        <w:t xml:space="preserve">Figure </w:t>
      </w:r>
      <w:r w:rsidRPr="00020D54">
        <w:rPr>
          <w:rFonts w:asciiTheme="majorHAnsi" w:hAnsiTheme="majorHAnsi" w:cstheme="majorHAnsi"/>
          <w:sz w:val="22"/>
          <w:szCs w:val="22"/>
        </w:rPr>
        <w:fldChar w:fldCharType="begin"/>
      </w:r>
      <w:r w:rsidRPr="00020D54">
        <w:rPr>
          <w:rFonts w:asciiTheme="majorHAnsi" w:hAnsiTheme="majorHAnsi" w:cstheme="majorHAnsi"/>
          <w:sz w:val="22"/>
          <w:szCs w:val="22"/>
        </w:rPr>
        <w:instrText xml:space="preserve"> SEQ Figure \* ARABIC </w:instrText>
      </w:r>
      <w:r w:rsidRPr="00020D54">
        <w:rPr>
          <w:rFonts w:asciiTheme="majorHAnsi" w:hAnsiTheme="majorHAnsi" w:cstheme="majorHAnsi"/>
          <w:sz w:val="22"/>
          <w:szCs w:val="22"/>
        </w:rPr>
        <w:fldChar w:fldCharType="separate"/>
      </w:r>
      <w:r w:rsidR="00D6133D">
        <w:rPr>
          <w:rFonts w:asciiTheme="majorHAnsi" w:hAnsiTheme="majorHAnsi" w:cstheme="majorHAnsi"/>
          <w:noProof/>
          <w:sz w:val="22"/>
          <w:szCs w:val="22"/>
        </w:rPr>
        <w:t>3</w:t>
      </w:r>
      <w:r w:rsidRPr="00020D54">
        <w:rPr>
          <w:rFonts w:asciiTheme="majorHAnsi" w:hAnsiTheme="majorHAnsi" w:cstheme="majorHAnsi"/>
          <w:sz w:val="22"/>
          <w:szCs w:val="22"/>
        </w:rPr>
        <w:fldChar w:fldCharType="end"/>
      </w:r>
      <w:r w:rsidRPr="00020D54">
        <w:rPr>
          <w:rFonts w:asciiTheme="majorHAnsi" w:hAnsiTheme="majorHAnsi" w:cstheme="majorHAnsi"/>
          <w:sz w:val="22"/>
          <w:szCs w:val="22"/>
        </w:rPr>
        <w:t>. Summary of DID values of Gender Grade</w:t>
      </w:r>
      <w:r w:rsidR="003C3C4E" w:rsidRPr="00020D54">
        <w:rPr>
          <w:rFonts w:asciiTheme="majorHAnsi" w:hAnsiTheme="majorHAnsi" w:cstheme="majorHAnsi"/>
          <w:sz w:val="22"/>
          <w:szCs w:val="22"/>
        </w:rPr>
        <w:t xml:space="preserve"> </w:t>
      </w:r>
      <w:r w:rsidRPr="00020D54">
        <w:rPr>
          <w:rFonts w:asciiTheme="majorHAnsi" w:hAnsiTheme="majorHAnsi" w:cstheme="majorHAnsi"/>
          <w:sz w:val="22"/>
          <w:szCs w:val="22"/>
        </w:rPr>
        <w:t>Differentials by Grade Level and by Subject</w:t>
      </w:r>
      <w:bookmarkEnd w:id="75"/>
      <w:bookmarkEnd w:id="76"/>
    </w:p>
    <w:p w14:paraId="2B0F1530" w14:textId="77777777" w:rsidR="00572BB5" w:rsidRDefault="003C3C4E" w:rsidP="000479A3">
      <w:pPr>
        <w:spacing w:before="100" w:beforeAutospacing="1" w:after="100" w:afterAutospacing="1" w:line="360" w:lineRule="auto"/>
        <w:rPr>
          <w:rFonts w:asciiTheme="majorHAnsi" w:hAnsiTheme="majorHAnsi" w:cstheme="majorHAnsi"/>
          <w:iCs/>
        </w:rPr>
      </w:pPr>
      <w:r>
        <w:rPr>
          <w:rFonts w:asciiTheme="majorHAnsi" w:hAnsiTheme="majorHAnsi" w:cstheme="majorHAnsi"/>
          <w:noProof/>
          <w:lang w:val="en-AU" w:eastAsia="en-AU"/>
        </w:rPr>
        <w:drawing>
          <wp:inline distT="0" distB="0" distL="0" distR="0" wp14:anchorId="727DF0F3" wp14:editId="135E9BC0">
            <wp:extent cx="3033395" cy="1697990"/>
            <wp:effectExtent l="0" t="0" r="14605" b="16510"/>
            <wp:docPr id="4" name="Chart 4" descr="Summary of difference-in-difference (DID) values of Gender Grade Differentials by Grade Level and by Subject - Highest range, English; lowest, Filipino"/>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CACAAC6" w14:textId="5AD5A2D2" w:rsidR="008D0CAD" w:rsidRPr="00BF7741" w:rsidRDefault="008D0CAD" w:rsidP="000479A3">
      <w:pPr>
        <w:spacing w:before="100" w:beforeAutospacing="1" w:after="100" w:afterAutospacing="1" w:line="360" w:lineRule="auto"/>
      </w:pPr>
      <w:r>
        <w:rPr>
          <w:rFonts w:asciiTheme="majorHAnsi" w:hAnsiTheme="majorHAnsi" w:cstheme="majorHAnsi"/>
          <w:iCs/>
        </w:rPr>
        <w:t xml:space="preserve">It was interesting to note that </w:t>
      </w:r>
      <w:r w:rsidRPr="00E47296">
        <w:rPr>
          <w:rFonts w:asciiTheme="majorHAnsi" w:hAnsiTheme="majorHAnsi" w:cstheme="majorHAnsi"/>
          <w:iCs/>
        </w:rPr>
        <w:t xml:space="preserve">gender </w:t>
      </w:r>
      <w:r w:rsidRPr="001F5CC3">
        <w:rPr>
          <w:rFonts w:asciiTheme="majorHAnsi" w:hAnsiTheme="majorHAnsi" w:cstheme="majorHAnsi"/>
          <w:iCs/>
          <w:color w:val="000000" w:themeColor="text1"/>
        </w:rPr>
        <w:t xml:space="preserve">grade differentials worsened for Grade 5 students in </w:t>
      </w:r>
      <w:r>
        <w:rPr>
          <w:rFonts w:asciiTheme="majorHAnsi" w:hAnsiTheme="majorHAnsi" w:cstheme="majorHAnsi"/>
          <w:iCs/>
          <w:color w:val="000000" w:themeColor="text1"/>
        </w:rPr>
        <w:t>DRS</w:t>
      </w:r>
      <w:r w:rsidRPr="001F5CC3">
        <w:rPr>
          <w:rFonts w:asciiTheme="majorHAnsi" w:hAnsiTheme="majorHAnsi" w:cstheme="majorHAnsi"/>
          <w:iCs/>
          <w:color w:val="000000" w:themeColor="text1"/>
        </w:rPr>
        <w:t xml:space="preserve"> in all </w:t>
      </w:r>
      <w:r w:rsidRPr="003A5B11">
        <w:rPr>
          <w:rFonts w:asciiTheme="majorHAnsi" w:hAnsiTheme="majorHAnsi" w:cstheme="majorHAnsi"/>
          <w:iCs/>
          <w:color w:val="000000" w:themeColor="text1"/>
        </w:rPr>
        <w:t>subjects (Figure 3).</w:t>
      </w:r>
      <w:r w:rsidR="00D434EB">
        <w:rPr>
          <w:rFonts w:asciiTheme="majorHAnsi" w:hAnsiTheme="majorHAnsi" w:cstheme="majorHAnsi"/>
          <w:iCs/>
          <w:color w:val="000000" w:themeColor="text1"/>
        </w:rPr>
        <w:t xml:space="preserve"> </w:t>
      </w:r>
      <w:r w:rsidRPr="001F5CC3">
        <w:rPr>
          <w:rFonts w:asciiTheme="majorHAnsi" w:hAnsiTheme="majorHAnsi" w:cstheme="majorHAnsi"/>
          <w:iCs/>
          <w:color w:val="000000" w:themeColor="text1"/>
        </w:rPr>
        <w:t xml:space="preserve">One possible explanation was that the roll-out of the K to 12 curricula might have coincided </w:t>
      </w:r>
      <w:r>
        <w:rPr>
          <w:rFonts w:asciiTheme="majorHAnsi" w:hAnsiTheme="majorHAnsi" w:cstheme="majorHAnsi"/>
          <w:iCs/>
        </w:rPr>
        <w:t xml:space="preserve">with this school year. Another possible explanation is that the </w:t>
      </w:r>
      <w:r w:rsidRPr="00E47296">
        <w:rPr>
          <w:rFonts w:asciiTheme="majorHAnsi" w:hAnsiTheme="majorHAnsi" w:cstheme="majorHAnsi"/>
          <w:iCs/>
        </w:rPr>
        <w:t xml:space="preserve">BEST </w:t>
      </w:r>
      <w:r>
        <w:rPr>
          <w:rFonts w:asciiTheme="majorHAnsi" w:hAnsiTheme="majorHAnsi" w:cstheme="majorHAnsi"/>
          <w:iCs/>
        </w:rPr>
        <w:t xml:space="preserve">Program interventions may have </w:t>
      </w:r>
      <w:r w:rsidRPr="00E47296">
        <w:rPr>
          <w:rFonts w:asciiTheme="majorHAnsi" w:hAnsiTheme="majorHAnsi" w:cstheme="majorHAnsi"/>
          <w:iCs/>
        </w:rPr>
        <w:t xml:space="preserve">benefitted </w:t>
      </w:r>
      <w:r>
        <w:rPr>
          <w:rFonts w:asciiTheme="majorHAnsi" w:hAnsiTheme="majorHAnsi" w:cstheme="majorHAnsi"/>
          <w:iCs/>
        </w:rPr>
        <w:t xml:space="preserve">the </w:t>
      </w:r>
      <w:r w:rsidRPr="00E47296">
        <w:rPr>
          <w:rFonts w:asciiTheme="majorHAnsi" w:hAnsiTheme="majorHAnsi" w:cstheme="majorHAnsi"/>
          <w:iCs/>
        </w:rPr>
        <w:t xml:space="preserve">Grade 6 </w:t>
      </w:r>
      <w:r>
        <w:rPr>
          <w:rFonts w:asciiTheme="majorHAnsi" w:hAnsiTheme="majorHAnsi" w:cstheme="majorHAnsi"/>
          <w:iCs/>
        </w:rPr>
        <w:t xml:space="preserve">students in the DRS </w:t>
      </w:r>
      <w:r w:rsidRPr="00E47296">
        <w:rPr>
          <w:rFonts w:asciiTheme="majorHAnsi" w:hAnsiTheme="majorHAnsi" w:cstheme="majorHAnsi"/>
          <w:iCs/>
        </w:rPr>
        <w:t>more than the other grade levels</w:t>
      </w:r>
      <w:r>
        <w:rPr>
          <w:rFonts w:asciiTheme="majorHAnsi" w:hAnsiTheme="majorHAnsi" w:cstheme="majorHAnsi"/>
          <w:iCs/>
        </w:rPr>
        <w:t>. Again, it may be beneficial for DepEd to conduct further studies and investigate the factors that affected the average grades as well as gender grade differentials among Grade 5 students.</w:t>
      </w:r>
    </w:p>
    <w:p w14:paraId="0720740E" w14:textId="33118A19" w:rsidR="008D0CAD" w:rsidRPr="00854CFA" w:rsidRDefault="008D0CAD" w:rsidP="00DD08E3">
      <w:pPr>
        <w:pStyle w:val="Heading5"/>
        <w:numPr>
          <w:ilvl w:val="3"/>
          <w:numId w:val="162"/>
        </w:numPr>
        <w:spacing w:before="100" w:beforeAutospacing="1" w:after="100" w:afterAutospacing="1" w:line="360" w:lineRule="auto"/>
      </w:pPr>
      <w:r>
        <w:t>Philippines Informal Reading Inventory (Phil-IRI) Test Results</w:t>
      </w:r>
    </w:p>
    <w:p w14:paraId="0310F5F6" w14:textId="75FB87AD" w:rsidR="008D0CAD" w:rsidRDefault="008D0CAD" w:rsidP="000479A3">
      <w:pPr>
        <w:pStyle w:val="BodyText"/>
        <w:spacing w:before="100" w:beforeAutospacing="1" w:after="100" w:afterAutospacing="1" w:line="360" w:lineRule="auto"/>
        <w:ind w:right="20"/>
        <w:rPr>
          <w:rFonts w:asciiTheme="majorHAnsi" w:hAnsiTheme="majorHAnsi" w:cstheme="majorHAnsi"/>
          <w:bCs/>
          <w:color w:val="000000" w:themeColor="text1"/>
          <w:sz w:val="24"/>
          <w:szCs w:val="24"/>
        </w:rPr>
      </w:pPr>
      <w:r w:rsidRPr="00787936">
        <w:rPr>
          <w:rFonts w:asciiTheme="majorHAnsi" w:hAnsiTheme="majorHAnsi" w:cstheme="majorHAnsi"/>
          <w:bCs/>
          <w:color w:val="000000" w:themeColor="text1"/>
          <w:sz w:val="24"/>
          <w:szCs w:val="24"/>
        </w:rPr>
        <w:t>The EOPE Study attempted to obtain data on the results of the Phil-IRI tests in the last five years from the schools included in the sample study. Only 16 schools</w:t>
      </w:r>
      <w:r>
        <w:rPr>
          <w:rStyle w:val="FootnoteReference"/>
          <w:rFonts w:asciiTheme="majorHAnsi" w:hAnsiTheme="majorHAnsi" w:cstheme="majorHAnsi"/>
          <w:bCs/>
          <w:color w:val="000000" w:themeColor="text1"/>
          <w:sz w:val="24"/>
          <w:szCs w:val="24"/>
        </w:rPr>
        <w:footnoteReference w:id="21"/>
      </w:r>
      <w:r w:rsidRPr="00787936">
        <w:rPr>
          <w:rFonts w:asciiTheme="majorHAnsi" w:hAnsiTheme="majorHAnsi" w:cstheme="majorHAnsi"/>
          <w:bCs/>
          <w:color w:val="000000" w:themeColor="text1"/>
          <w:sz w:val="24"/>
          <w:szCs w:val="24"/>
        </w:rPr>
        <w:t xml:space="preserve"> were able to provide data on Phil-IRI test results</w:t>
      </w:r>
      <w:r>
        <w:rPr>
          <w:rFonts w:asciiTheme="majorHAnsi" w:hAnsiTheme="majorHAnsi" w:cstheme="majorHAnsi"/>
          <w:bCs/>
          <w:color w:val="000000" w:themeColor="text1"/>
          <w:sz w:val="24"/>
          <w:szCs w:val="24"/>
        </w:rPr>
        <w:t xml:space="preserve"> for Grades 4, 5 and 6 students</w:t>
      </w:r>
      <w:r w:rsidRPr="00BF7741">
        <w:rPr>
          <w:rFonts w:asciiTheme="majorHAnsi" w:hAnsiTheme="majorHAnsi" w:cstheme="majorHAnsi"/>
          <w:bCs/>
          <w:color w:val="C00000"/>
          <w:sz w:val="24"/>
          <w:szCs w:val="24"/>
        </w:rPr>
        <w:t>.</w:t>
      </w:r>
      <w:r w:rsidR="00D434EB">
        <w:rPr>
          <w:rFonts w:asciiTheme="majorHAnsi" w:hAnsiTheme="majorHAnsi" w:cstheme="majorHAnsi"/>
          <w:bCs/>
          <w:color w:val="C00000"/>
          <w:sz w:val="24"/>
          <w:szCs w:val="24"/>
        </w:rPr>
        <w:t xml:space="preserve"> </w:t>
      </w:r>
      <w:r w:rsidRPr="00787936">
        <w:rPr>
          <w:rFonts w:asciiTheme="majorHAnsi" w:hAnsiTheme="majorHAnsi" w:cstheme="majorHAnsi"/>
          <w:bCs/>
          <w:color w:val="000000" w:themeColor="text1"/>
          <w:sz w:val="24"/>
          <w:szCs w:val="24"/>
        </w:rPr>
        <w:t>Similar to the average grades by subject and gender grade differentials, the limited data obtained could not provide conclusive findings.</w:t>
      </w:r>
      <w:r w:rsidR="00D434EB">
        <w:rPr>
          <w:rFonts w:asciiTheme="majorHAnsi" w:hAnsiTheme="majorHAnsi" w:cstheme="majorHAnsi"/>
          <w:bCs/>
          <w:color w:val="000000" w:themeColor="text1"/>
          <w:sz w:val="24"/>
          <w:szCs w:val="24"/>
        </w:rPr>
        <w:t xml:space="preserve"> </w:t>
      </w:r>
      <w:r w:rsidRPr="00787936">
        <w:rPr>
          <w:rFonts w:asciiTheme="majorHAnsi" w:hAnsiTheme="majorHAnsi" w:cstheme="majorHAnsi"/>
          <w:bCs/>
          <w:color w:val="000000" w:themeColor="text1"/>
          <w:sz w:val="24"/>
          <w:szCs w:val="24"/>
        </w:rPr>
        <w:t xml:space="preserve">However, data on the 16 schools are presented as a </w:t>
      </w:r>
      <w:r>
        <w:rPr>
          <w:rFonts w:asciiTheme="majorHAnsi" w:hAnsiTheme="majorHAnsi" w:cstheme="majorHAnsi"/>
          <w:bCs/>
          <w:color w:val="000000" w:themeColor="text1"/>
          <w:sz w:val="24"/>
          <w:szCs w:val="24"/>
        </w:rPr>
        <w:t>snapshot</w:t>
      </w:r>
      <w:r w:rsidRPr="00787936">
        <w:rPr>
          <w:rFonts w:asciiTheme="majorHAnsi" w:hAnsiTheme="majorHAnsi" w:cstheme="majorHAnsi"/>
          <w:bCs/>
          <w:color w:val="000000" w:themeColor="text1"/>
          <w:sz w:val="24"/>
          <w:szCs w:val="24"/>
        </w:rPr>
        <w:t>.</w:t>
      </w:r>
    </w:p>
    <w:p w14:paraId="3CB88CAC" w14:textId="77777777" w:rsidR="008D0CAD" w:rsidRPr="00941FBA" w:rsidRDefault="008D0CAD" w:rsidP="000479A3">
      <w:pPr>
        <w:pStyle w:val="BodyText"/>
        <w:spacing w:before="100" w:beforeAutospacing="1" w:after="100" w:afterAutospacing="1" w:line="360" w:lineRule="auto"/>
        <w:ind w:right="20"/>
        <w:rPr>
          <w:rFonts w:asciiTheme="majorHAnsi" w:hAnsiTheme="majorHAnsi" w:cstheme="majorHAnsi"/>
          <w:bCs/>
          <w:color w:val="000000" w:themeColor="text1"/>
          <w:sz w:val="24"/>
          <w:szCs w:val="24"/>
        </w:rPr>
      </w:pPr>
      <w:r w:rsidRPr="00941FBA">
        <w:rPr>
          <w:rFonts w:asciiTheme="majorHAnsi" w:hAnsiTheme="majorHAnsi" w:cstheme="majorHAnsi"/>
          <w:bCs/>
          <w:color w:val="000000" w:themeColor="text1"/>
          <w:sz w:val="24"/>
          <w:szCs w:val="24"/>
        </w:rPr>
        <w:t>The results revealed the following:</w:t>
      </w:r>
    </w:p>
    <w:p w14:paraId="0EF98612" w14:textId="4D90EA90" w:rsidR="008D0CAD" w:rsidRPr="00941FBA" w:rsidRDefault="008D0CAD" w:rsidP="000479A3">
      <w:pPr>
        <w:pStyle w:val="BodyText"/>
        <w:numPr>
          <w:ilvl w:val="0"/>
          <w:numId w:val="42"/>
        </w:numPr>
        <w:spacing w:before="100" w:beforeAutospacing="1" w:after="100" w:afterAutospacing="1" w:line="360" w:lineRule="auto"/>
        <w:ind w:right="20"/>
        <w:rPr>
          <w:rFonts w:asciiTheme="majorHAnsi" w:hAnsiTheme="majorHAnsi" w:cstheme="majorHAnsi"/>
          <w:bCs/>
          <w:color w:val="000000" w:themeColor="text1"/>
          <w:sz w:val="24"/>
          <w:szCs w:val="24"/>
        </w:rPr>
      </w:pPr>
      <w:r w:rsidRPr="00076D06">
        <w:rPr>
          <w:rFonts w:asciiTheme="majorHAnsi" w:hAnsiTheme="majorHAnsi" w:cstheme="majorHAnsi"/>
          <w:color w:val="000000" w:themeColor="text1"/>
          <w:sz w:val="24"/>
          <w:szCs w:val="24"/>
        </w:rPr>
        <w:t xml:space="preserve">In SY2013-2014, </w:t>
      </w:r>
      <w:r w:rsidRPr="00941FBA">
        <w:rPr>
          <w:rFonts w:asciiTheme="majorHAnsi" w:hAnsiTheme="majorHAnsi" w:cstheme="majorHAnsi"/>
          <w:color w:val="000000" w:themeColor="text1"/>
          <w:sz w:val="24"/>
          <w:szCs w:val="24"/>
        </w:rPr>
        <w:t>among the</w:t>
      </w:r>
      <w:r w:rsidRPr="00076D06">
        <w:rPr>
          <w:rFonts w:asciiTheme="majorHAnsi" w:hAnsiTheme="majorHAnsi" w:cstheme="majorHAnsi"/>
          <w:color w:val="000000" w:themeColor="text1"/>
          <w:sz w:val="24"/>
          <w:szCs w:val="24"/>
        </w:rPr>
        <w:t xml:space="preserve"> 1,273 Grade 4 students</w:t>
      </w:r>
      <w:r w:rsidRPr="00941FBA">
        <w:rPr>
          <w:rFonts w:asciiTheme="majorHAnsi" w:hAnsiTheme="majorHAnsi" w:cstheme="majorHAnsi"/>
          <w:color w:val="000000" w:themeColor="text1"/>
          <w:sz w:val="24"/>
          <w:szCs w:val="24"/>
        </w:rPr>
        <w:t>,</w:t>
      </w:r>
      <w:r w:rsidRPr="00076D06">
        <w:rPr>
          <w:rFonts w:asciiTheme="majorHAnsi" w:hAnsiTheme="majorHAnsi" w:cstheme="majorHAnsi"/>
          <w:color w:val="000000" w:themeColor="text1"/>
          <w:sz w:val="24"/>
          <w:szCs w:val="24"/>
        </w:rPr>
        <w:t xml:space="preserve"> 48</w:t>
      </w:r>
      <w:r w:rsidRPr="00941FBA">
        <w:rPr>
          <w:rFonts w:asciiTheme="majorHAnsi" w:hAnsiTheme="majorHAnsi" w:cstheme="majorHAnsi"/>
          <w:color w:val="000000" w:themeColor="text1"/>
          <w:sz w:val="24"/>
          <w:szCs w:val="24"/>
        </w:rPr>
        <w:t xml:space="preserve"> </w:t>
      </w:r>
      <w:r>
        <w:rPr>
          <w:rFonts w:asciiTheme="majorHAnsi" w:hAnsiTheme="majorHAnsi" w:cstheme="majorHAnsi"/>
          <w:color w:val="000000" w:themeColor="text1"/>
          <w:sz w:val="24"/>
          <w:szCs w:val="24"/>
        </w:rPr>
        <w:t>per cent</w:t>
      </w:r>
      <w:r w:rsidRPr="00941FBA">
        <w:rPr>
          <w:rFonts w:asciiTheme="majorHAnsi" w:hAnsiTheme="majorHAnsi" w:cstheme="majorHAnsi"/>
          <w:color w:val="000000" w:themeColor="text1"/>
          <w:sz w:val="24"/>
          <w:szCs w:val="24"/>
        </w:rPr>
        <w:t xml:space="preserve"> were</w:t>
      </w:r>
      <w:r w:rsidRPr="00076D06">
        <w:rPr>
          <w:rFonts w:asciiTheme="majorHAnsi" w:hAnsiTheme="majorHAnsi" w:cstheme="majorHAnsi"/>
          <w:color w:val="000000" w:themeColor="text1"/>
          <w:sz w:val="24"/>
          <w:szCs w:val="24"/>
        </w:rPr>
        <w:t xml:space="preserve"> </w:t>
      </w:r>
      <w:r w:rsidRPr="00941FBA">
        <w:rPr>
          <w:rFonts w:asciiTheme="majorHAnsi" w:hAnsiTheme="majorHAnsi" w:cstheme="majorHAnsi"/>
          <w:color w:val="000000" w:themeColor="text1"/>
          <w:sz w:val="24"/>
          <w:szCs w:val="24"/>
        </w:rPr>
        <w:t>girls</w:t>
      </w:r>
      <w:r w:rsidRPr="00076D06">
        <w:rPr>
          <w:rFonts w:asciiTheme="majorHAnsi" w:hAnsiTheme="majorHAnsi" w:cstheme="majorHAnsi"/>
          <w:color w:val="000000" w:themeColor="text1"/>
          <w:sz w:val="24"/>
          <w:szCs w:val="24"/>
        </w:rPr>
        <w:t>.</w:t>
      </w:r>
      <w:bookmarkStart w:id="77" w:name="OLE_LINK6"/>
      <w:r w:rsidR="00D434EB">
        <w:rPr>
          <w:rFonts w:asciiTheme="majorHAnsi" w:hAnsiTheme="majorHAnsi" w:cstheme="majorHAnsi"/>
          <w:color w:val="000000" w:themeColor="text1"/>
          <w:sz w:val="24"/>
          <w:szCs w:val="24"/>
        </w:rPr>
        <w:t xml:space="preserve"> </w:t>
      </w:r>
      <w:r w:rsidRPr="00941FBA">
        <w:rPr>
          <w:rFonts w:asciiTheme="majorHAnsi" w:hAnsiTheme="majorHAnsi" w:cstheme="majorHAnsi"/>
          <w:bCs/>
          <w:color w:val="000000" w:themeColor="text1"/>
          <w:sz w:val="24"/>
          <w:szCs w:val="24"/>
        </w:rPr>
        <w:t>Phil-IRI test results</w:t>
      </w:r>
      <w:bookmarkEnd w:id="77"/>
      <w:r w:rsidRPr="00941FBA">
        <w:rPr>
          <w:rFonts w:asciiTheme="majorHAnsi" w:hAnsiTheme="majorHAnsi" w:cstheme="majorHAnsi"/>
          <w:bCs/>
          <w:color w:val="000000" w:themeColor="text1"/>
          <w:sz w:val="24"/>
          <w:szCs w:val="24"/>
        </w:rPr>
        <w:t xml:space="preserve"> showed that among the </w:t>
      </w:r>
      <w:r w:rsidRPr="00941FBA">
        <w:rPr>
          <w:rFonts w:asciiTheme="majorHAnsi" w:hAnsiTheme="majorHAnsi" w:cstheme="majorHAnsi"/>
          <w:color w:val="000000" w:themeColor="text1"/>
          <w:sz w:val="24"/>
          <w:szCs w:val="24"/>
        </w:rPr>
        <w:t>female students,</w:t>
      </w:r>
      <w:r w:rsidRPr="00076D06">
        <w:rPr>
          <w:rFonts w:asciiTheme="majorHAnsi" w:hAnsiTheme="majorHAnsi" w:cstheme="majorHAnsi"/>
          <w:color w:val="000000" w:themeColor="text1"/>
          <w:sz w:val="24"/>
          <w:szCs w:val="24"/>
        </w:rPr>
        <w:t xml:space="preserve"> 10</w:t>
      </w:r>
      <w:r w:rsidRPr="00941FBA">
        <w:rPr>
          <w:rFonts w:asciiTheme="majorHAnsi" w:hAnsiTheme="majorHAnsi" w:cstheme="majorHAnsi"/>
          <w:color w:val="000000" w:themeColor="text1"/>
          <w:sz w:val="24"/>
          <w:szCs w:val="24"/>
        </w:rPr>
        <w:t xml:space="preserve"> </w:t>
      </w:r>
      <w:r>
        <w:rPr>
          <w:rFonts w:asciiTheme="majorHAnsi" w:hAnsiTheme="majorHAnsi" w:cstheme="majorHAnsi"/>
          <w:color w:val="000000" w:themeColor="text1"/>
          <w:sz w:val="24"/>
          <w:szCs w:val="24"/>
        </w:rPr>
        <w:t>per cent</w:t>
      </w:r>
      <w:r w:rsidRPr="00941FBA">
        <w:rPr>
          <w:rFonts w:asciiTheme="majorHAnsi" w:hAnsiTheme="majorHAnsi" w:cstheme="majorHAnsi"/>
          <w:color w:val="000000" w:themeColor="text1"/>
          <w:sz w:val="24"/>
          <w:szCs w:val="24"/>
        </w:rPr>
        <w:t xml:space="preserve"> were in Frustration level, </w:t>
      </w:r>
      <w:r w:rsidRPr="00076D06">
        <w:rPr>
          <w:rFonts w:asciiTheme="majorHAnsi" w:hAnsiTheme="majorHAnsi" w:cstheme="majorHAnsi"/>
          <w:color w:val="000000" w:themeColor="text1"/>
          <w:sz w:val="24"/>
          <w:szCs w:val="24"/>
        </w:rPr>
        <w:t>42</w:t>
      </w:r>
      <w:r w:rsidRPr="00941FBA">
        <w:rPr>
          <w:rFonts w:asciiTheme="majorHAnsi" w:hAnsiTheme="majorHAnsi" w:cstheme="majorHAnsi"/>
          <w:color w:val="000000" w:themeColor="text1"/>
          <w:sz w:val="24"/>
          <w:szCs w:val="24"/>
        </w:rPr>
        <w:t xml:space="preserve"> </w:t>
      </w:r>
      <w:r>
        <w:rPr>
          <w:rFonts w:asciiTheme="majorHAnsi" w:hAnsiTheme="majorHAnsi" w:cstheme="majorHAnsi"/>
          <w:color w:val="000000" w:themeColor="text1"/>
          <w:sz w:val="24"/>
          <w:szCs w:val="24"/>
        </w:rPr>
        <w:t>per cent</w:t>
      </w:r>
      <w:r w:rsidRPr="00941FBA">
        <w:rPr>
          <w:rFonts w:asciiTheme="majorHAnsi" w:hAnsiTheme="majorHAnsi" w:cstheme="majorHAnsi"/>
          <w:color w:val="000000" w:themeColor="text1"/>
          <w:sz w:val="24"/>
          <w:szCs w:val="24"/>
        </w:rPr>
        <w:t xml:space="preserve"> in Instructional level and </w:t>
      </w:r>
      <w:r w:rsidRPr="00076D06">
        <w:rPr>
          <w:rFonts w:asciiTheme="majorHAnsi" w:hAnsiTheme="majorHAnsi" w:cstheme="majorHAnsi"/>
          <w:color w:val="000000" w:themeColor="text1"/>
          <w:sz w:val="24"/>
          <w:szCs w:val="24"/>
        </w:rPr>
        <w:t>48</w:t>
      </w:r>
      <w:r w:rsidRPr="00941FBA">
        <w:rPr>
          <w:rFonts w:asciiTheme="majorHAnsi" w:hAnsiTheme="majorHAnsi" w:cstheme="majorHAnsi"/>
          <w:color w:val="000000" w:themeColor="text1"/>
          <w:sz w:val="24"/>
          <w:szCs w:val="24"/>
        </w:rPr>
        <w:t xml:space="preserve"> </w:t>
      </w:r>
      <w:r>
        <w:rPr>
          <w:rFonts w:asciiTheme="majorHAnsi" w:hAnsiTheme="majorHAnsi" w:cstheme="majorHAnsi"/>
          <w:color w:val="000000" w:themeColor="text1"/>
          <w:sz w:val="24"/>
          <w:szCs w:val="24"/>
        </w:rPr>
        <w:t>per cent</w:t>
      </w:r>
      <w:r w:rsidRPr="00941FBA">
        <w:rPr>
          <w:rFonts w:asciiTheme="majorHAnsi" w:hAnsiTheme="majorHAnsi" w:cstheme="majorHAnsi"/>
          <w:color w:val="000000" w:themeColor="text1"/>
          <w:sz w:val="24"/>
          <w:szCs w:val="24"/>
        </w:rPr>
        <w:t xml:space="preserve"> Independent level (Figure </w:t>
      </w:r>
      <w:r>
        <w:rPr>
          <w:rFonts w:asciiTheme="majorHAnsi" w:hAnsiTheme="majorHAnsi" w:cstheme="majorHAnsi"/>
          <w:color w:val="000000" w:themeColor="text1"/>
          <w:sz w:val="24"/>
          <w:szCs w:val="24"/>
        </w:rPr>
        <w:t>4</w:t>
      </w:r>
      <w:r w:rsidRPr="00941FBA">
        <w:rPr>
          <w:rFonts w:asciiTheme="majorHAnsi" w:hAnsiTheme="majorHAnsi" w:cstheme="majorHAnsi"/>
          <w:color w:val="000000" w:themeColor="text1"/>
          <w:sz w:val="24"/>
          <w:szCs w:val="24"/>
        </w:rPr>
        <w:t xml:space="preserve">). Among the male students, the levels were </w:t>
      </w:r>
      <w:r w:rsidRPr="00076D06">
        <w:rPr>
          <w:rFonts w:asciiTheme="majorHAnsi" w:hAnsiTheme="majorHAnsi" w:cstheme="majorHAnsi"/>
          <w:color w:val="000000" w:themeColor="text1"/>
          <w:sz w:val="24"/>
          <w:szCs w:val="24"/>
        </w:rPr>
        <w:t>16</w:t>
      </w:r>
      <w:r w:rsidRPr="00941FBA">
        <w:rPr>
          <w:rFonts w:asciiTheme="majorHAnsi" w:hAnsiTheme="majorHAnsi" w:cstheme="majorHAnsi"/>
          <w:color w:val="000000" w:themeColor="text1"/>
          <w:sz w:val="24"/>
          <w:szCs w:val="24"/>
        </w:rPr>
        <w:t xml:space="preserve"> </w:t>
      </w:r>
      <w:r>
        <w:rPr>
          <w:rFonts w:asciiTheme="majorHAnsi" w:hAnsiTheme="majorHAnsi" w:cstheme="majorHAnsi"/>
          <w:color w:val="000000" w:themeColor="text1"/>
          <w:sz w:val="24"/>
          <w:szCs w:val="24"/>
        </w:rPr>
        <w:t>per cent</w:t>
      </w:r>
      <w:r w:rsidRPr="00941FBA">
        <w:rPr>
          <w:rFonts w:asciiTheme="majorHAnsi" w:hAnsiTheme="majorHAnsi" w:cstheme="majorHAnsi"/>
          <w:color w:val="000000" w:themeColor="text1"/>
          <w:sz w:val="24"/>
          <w:szCs w:val="24"/>
        </w:rPr>
        <w:t xml:space="preserve">, </w:t>
      </w:r>
      <w:r w:rsidRPr="00076D06">
        <w:rPr>
          <w:rFonts w:asciiTheme="majorHAnsi" w:hAnsiTheme="majorHAnsi" w:cstheme="majorHAnsi"/>
          <w:color w:val="000000" w:themeColor="text1"/>
          <w:sz w:val="24"/>
          <w:szCs w:val="24"/>
        </w:rPr>
        <w:t>48</w:t>
      </w:r>
      <w:r w:rsidRPr="00941FBA">
        <w:rPr>
          <w:rFonts w:asciiTheme="majorHAnsi" w:hAnsiTheme="majorHAnsi" w:cstheme="majorHAnsi"/>
          <w:color w:val="000000" w:themeColor="text1"/>
          <w:sz w:val="24"/>
          <w:szCs w:val="24"/>
        </w:rPr>
        <w:t xml:space="preserve"> </w:t>
      </w:r>
      <w:r>
        <w:rPr>
          <w:rFonts w:asciiTheme="majorHAnsi" w:hAnsiTheme="majorHAnsi" w:cstheme="majorHAnsi"/>
          <w:color w:val="000000" w:themeColor="text1"/>
          <w:sz w:val="24"/>
          <w:szCs w:val="24"/>
        </w:rPr>
        <w:t>per cent</w:t>
      </w:r>
      <w:r w:rsidRPr="00941FBA">
        <w:rPr>
          <w:rFonts w:asciiTheme="majorHAnsi" w:hAnsiTheme="majorHAnsi" w:cstheme="majorHAnsi"/>
          <w:color w:val="000000" w:themeColor="text1"/>
          <w:sz w:val="24"/>
          <w:szCs w:val="24"/>
        </w:rPr>
        <w:t xml:space="preserve">, and </w:t>
      </w:r>
      <w:r w:rsidRPr="00076D06">
        <w:rPr>
          <w:rFonts w:asciiTheme="majorHAnsi" w:hAnsiTheme="majorHAnsi" w:cstheme="majorHAnsi"/>
          <w:color w:val="000000" w:themeColor="text1"/>
          <w:sz w:val="24"/>
          <w:szCs w:val="24"/>
        </w:rPr>
        <w:t>37</w:t>
      </w:r>
      <w:r w:rsidRPr="00941FBA">
        <w:rPr>
          <w:rFonts w:asciiTheme="majorHAnsi" w:hAnsiTheme="majorHAnsi" w:cstheme="majorHAnsi"/>
          <w:color w:val="000000" w:themeColor="text1"/>
          <w:sz w:val="24"/>
          <w:szCs w:val="24"/>
        </w:rPr>
        <w:t xml:space="preserve"> </w:t>
      </w:r>
      <w:r>
        <w:rPr>
          <w:rFonts w:asciiTheme="majorHAnsi" w:hAnsiTheme="majorHAnsi" w:cstheme="majorHAnsi"/>
          <w:color w:val="000000" w:themeColor="text1"/>
          <w:sz w:val="24"/>
          <w:szCs w:val="24"/>
        </w:rPr>
        <w:t>per cent</w:t>
      </w:r>
      <w:r w:rsidRPr="00941FBA">
        <w:rPr>
          <w:rFonts w:asciiTheme="majorHAnsi" w:hAnsiTheme="majorHAnsi" w:cstheme="majorHAnsi"/>
          <w:color w:val="000000" w:themeColor="text1"/>
          <w:sz w:val="24"/>
          <w:szCs w:val="24"/>
        </w:rPr>
        <w:t xml:space="preserve"> respectively.</w:t>
      </w:r>
    </w:p>
    <w:p w14:paraId="15991405" w14:textId="0A7A8081" w:rsidR="008D0CAD" w:rsidRPr="00941FBA" w:rsidRDefault="008D0CAD" w:rsidP="000479A3">
      <w:pPr>
        <w:pStyle w:val="BodyText"/>
        <w:numPr>
          <w:ilvl w:val="0"/>
          <w:numId w:val="42"/>
        </w:numPr>
        <w:spacing w:before="100" w:beforeAutospacing="1" w:after="100" w:afterAutospacing="1" w:line="360" w:lineRule="auto"/>
        <w:ind w:right="20"/>
        <w:rPr>
          <w:rFonts w:asciiTheme="majorHAnsi" w:hAnsiTheme="majorHAnsi" w:cstheme="majorHAnsi"/>
          <w:bCs/>
          <w:color w:val="000000" w:themeColor="text1"/>
          <w:sz w:val="24"/>
          <w:szCs w:val="24"/>
        </w:rPr>
      </w:pPr>
      <w:r w:rsidRPr="00941FBA">
        <w:rPr>
          <w:rFonts w:asciiTheme="majorHAnsi" w:hAnsiTheme="majorHAnsi" w:cstheme="majorHAnsi"/>
          <w:color w:val="000000" w:themeColor="text1"/>
          <w:sz w:val="24"/>
          <w:szCs w:val="24"/>
        </w:rPr>
        <w:t>By</w:t>
      </w:r>
      <w:r w:rsidRPr="00076D06">
        <w:rPr>
          <w:rFonts w:asciiTheme="majorHAnsi" w:hAnsiTheme="majorHAnsi" w:cstheme="majorHAnsi"/>
          <w:color w:val="000000" w:themeColor="text1"/>
          <w:sz w:val="24"/>
          <w:szCs w:val="24"/>
        </w:rPr>
        <w:t xml:space="preserve"> SY2017-2018, there were</w:t>
      </w:r>
      <w:r w:rsidRPr="00941FBA">
        <w:rPr>
          <w:rFonts w:asciiTheme="majorHAnsi" w:hAnsiTheme="majorHAnsi" w:cstheme="majorHAnsi"/>
          <w:color w:val="000000" w:themeColor="text1"/>
          <w:sz w:val="24"/>
          <w:szCs w:val="24"/>
        </w:rPr>
        <w:t xml:space="preserve"> only</w:t>
      </w:r>
      <w:r w:rsidRPr="00076D06">
        <w:rPr>
          <w:rFonts w:asciiTheme="majorHAnsi" w:hAnsiTheme="majorHAnsi" w:cstheme="majorHAnsi"/>
          <w:color w:val="000000" w:themeColor="text1"/>
          <w:sz w:val="24"/>
          <w:szCs w:val="24"/>
        </w:rPr>
        <w:t xml:space="preserve"> Grade 4 students</w:t>
      </w:r>
      <w:r w:rsidRPr="00941FBA">
        <w:rPr>
          <w:rFonts w:asciiTheme="majorHAnsi" w:hAnsiTheme="majorHAnsi" w:cstheme="majorHAnsi"/>
          <w:color w:val="000000" w:themeColor="text1"/>
          <w:sz w:val="24"/>
          <w:szCs w:val="24"/>
        </w:rPr>
        <w:t xml:space="preserve"> enrolled in the 16 schools,</w:t>
      </w:r>
      <w:r w:rsidRPr="00076D06">
        <w:rPr>
          <w:rFonts w:asciiTheme="majorHAnsi" w:hAnsiTheme="majorHAnsi" w:cstheme="majorHAnsi"/>
          <w:color w:val="000000" w:themeColor="text1"/>
          <w:sz w:val="24"/>
          <w:szCs w:val="24"/>
        </w:rPr>
        <w:t xml:space="preserve"> 4</w:t>
      </w:r>
      <w:r w:rsidRPr="00941FBA">
        <w:rPr>
          <w:rFonts w:asciiTheme="majorHAnsi" w:hAnsiTheme="majorHAnsi" w:cstheme="majorHAnsi"/>
          <w:color w:val="000000" w:themeColor="text1"/>
          <w:sz w:val="24"/>
          <w:szCs w:val="24"/>
        </w:rPr>
        <w:t xml:space="preserve">9 </w:t>
      </w:r>
      <w:r>
        <w:rPr>
          <w:rFonts w:asciiTheme="majorHAnsi" w:hAnsiTheme="majorHAnsi" w:cstheme="majorHAnsi"/>
          <w:color w:val="000000" w:themeColor="text1"/>
          <w:sz w:val="24"/>
          <w:szCs w:val="24"/>
        </w:rPr>
        <w:t>per cent</w:t>
      </w:r>
      <w:r w:rsidRPr="00941FBA">
        <w:rPr>
          <w:rFonts w:asciiTheme="majorHAnsi" w:hAnsiTheme="majorHAnsi" w:cstheme="majorHAnsi"/>
          <w:color w:val="000000" w:themeColor="text1"/>
          <w:sz w:val="24"/>
          <w:szCs w:val="24"/>
        </w:rPr>
        <w:t xml:space="preserve"> were</w:t>
      </w:r>
      <w:r w:rsidRPr="00076D06">
        <w:rPr>
          <w:rFonts w:asciiTheme="majorHAnsi" w:hAnsiTheme="majorHAnsi" w:cstheme="majorHAnsi"/>
          <w:color w:val="000000" w:themeColor="text1"/>
          <w:sz w:val="24"/>
          <w:szCs w:val="24"/>
        </w:rPr>
        <w:t xml:space="preserve"> </w:t>
      </w:r>
      <w:r w:rsidRPr="00941FBA">
        <w:rPr>
          <w:rFonts w:asciiTheme="majorHAnsi" w:hAnsiTheme="majorHAnsi" w:cstheme="majorHAnsi"/>
          <w:color w:val="000000" w:themeColor="text1"/>
          <w:sz w:val="24"/>
          <w:szCs w:val="24"/>
        </w:rPr>
        <w:t>girls.</w:t>
      </w:r>
      <w:r w:rsidRPr="00076D06">
        <w:rPr>
          <w:rFonts w:asciiTheme="majorHAnsi" w:hAnsiTheme="majorHAnsi" w:cstheme="majorHAnsi"/>
          <w:color w:val="000000" w:themeColor="text1"/>
          <w:sz w:val="24"/>
          <w:szCs w:val="24"/>
        </w:rPr>
        <w:t xml:space="preserve"> </w:t>
      </w:r>
      <w:r w:rsidRPr="00941FBA">
        <w:rPr>
          <w:rFonts w:asciiTheme="majorHAnsi" w:hAnsiTheme="majorHAnsi" w:cstheme="majorHAnsi"/>
          <w:color w:val="000000" w:themeColor="text1"/>
          <w:sz w:val="24"/>
          <w:szCs w:val="24"/>
        </w:rPr>
        <w:t>For female students, while share of girls in Frustration level</w:t>
      </w:r>
      <w:r w:rsidRPr="00941FBA">
        <w:rPr>
          <w:rFonts w:asciiTheme="majorHAnsi" w:hAnsiTheme="majorHAnsi" w:cstheme="majorHAnsi"/>
          <w:bCs/>
          <w:color w:val="000000" w:themeColor="text1"/>
          <w:sz w:val="24"/>
          <w:szCs w:val="24"/>
        </w:rPr>
        <w:t xml:space="preserve"> remained at 10 </w:t>
      </w:r>
      <w:r>
        <w:rPr>
          <w:rFonts w:asciiTheme="majorHAnsi" w:hAnsiTheme="majorHAnsi" w:cstheme="majorHAnsi"/>
          <w:bCs/>
          <w:color w:val="000000" w:themeColor="text1"/>
          <w:sz w:val="24"/>
          <w:szCs w:val="24"/>
        </w:rPr>
        <w:t>per cent</w:t>
      </w:r>
      <w:r w:rsidRPr="00941FBA">
        <w:rPr>
          <w:rFonts w:asciiTheme="majorHAnsi" w:hAnsiTheme="majorHAnsi" w:cstheme="majorHAnsi"/>
          <w:bCs/>
          <w:color w:val="000000" w:themeColor="text1"/>
          <w:sz w:val="24"/>
          <w:szCs w:val="24"/>
        </w:rPr>
        <w:t xml:space="preserve">, the share of girls in </w:t>
      </w:r>
      <w:r w:rsidRPr="00941FBA">
        <w:rPr>
          <w:rFonts w:asciiTheme="majorHAnsi" w:hAnsiTheme="majorHAnsi" w:cstheme="majorHAnsi"/>
          <w:color w:val="000000" w:themeColor="text1"/>
          <w:sz w:val="24"/>
          <w:szCs w:val="24"/>
        </w:rPr>
        <w:t>Independent level increased to 5</w:t>
      </w:r>
      <w:r w:rsidRPr="00076D06">
        <w:rPr>
          <w:rFonts w:asciiTheme="majorHAnsi" w:hAnsiTheme="majorHAnsi" w:cstheme="majorHAnsi"/>
          <w:color w:val="000000" w:themeColor="text1"/>
          <w:sz w:val="24"/>
          <w:szCs w:val="24"/>
        </w:rPr>
        <w:t>8</w:t>
      </w:r>
      <w:r w:rsidRPr="00941FBA">
        <w:rPr>
          <w:rFonts w:asciiTheme="majorHAnsi" w:hAnsiTheme="majorHAnsi" w:cstheme="majorHAnsi"/>
          <w:color w:val="000000" w:themeColor="text1"/>
          <w:sz w:val="24"/>
          <w:szCs w:val="24"/>
        </w:rPr>
        <w:t xml:space="preserve"> </w:t>
      </w:r>
      <w:r>
        <w:rPr>
          <w:rFonts w:asciiTheme="majorHAnsi" w:hAnsiTheme="majorHAnsi" w:cstheme="majorHAnsi"/>
          <w:color w:val="000000" w:themeColor="text1"/>
          <w:sz w:val="24"/>
          <w:szCs w:val="24"/>
        </w:rPr>
        <w:t>per cent</w:t>
      </w:r>
      <w:r w:rsidRPr="00941FBA">
        <w:rPr>
          <w:rFonts w:asciiTheme="majorHAnsi" w:hAnsiTheme="majorHAnsi" w:cstheme="majorHAnsi"/>
          <w:color w:val="000000" w:themeColor="text1"/>
          <w:sz w:val="24"/>
          <w:szCs w:val="24"/>
        </w:rPr>
        <w:t>.</w:t>
      </w:r>
      <w:r w:rsidR="00D434EB">
        <w:rPr>
          <w:rFonts w:asciiTheme="majorHAnsi" w:hAnsiTheme="majorHAnsi" w:cstheme="majorHAnsi"/>
          <w:color w:val="000000" w:themeColor="text1"/>
          <w:sz w:val="24"/>
          <w:szCs w:val="24"/>
        </w:rPr>
        <w:t xml:space="preserve"> </w:t>
      </w:r>
      <w:r w:rsidRPr="00941FBA">
        <w:rPr>
          <w:rFonts w:asciiTheme="majorHAnsi" w:hAnsiTheme="majorHAnsi" w:cstheme="majorHAnsi"/>
          <w:color w:val="000000" w:themeColor="text1"/>
          <w:sz w:val="24"/>
          <w:szCs w:val="24"/>
        </w:rPr>
        <w:t xml:space="preserve">There was a similar trend among the male students, </w:t>
      </w:r>
      <w:r w:rsidRPr="00941FBA">
        <w:rPr>
          <w:rFonts w:asciiTheme="majorHAnsi" w:hAnsiTheme="majorHAnsi" w:cstheme="majorHAnsi"/>
          <w:bCs/>
          <w:color w:val="000000" w:themeColor="text1"/>
          <w:sz w:val="24"/>
          <w:szCs w:val="24"/>
        </w:rPr>
        <w:t>reading</w:t>
      </w:r>
      <w:r w:rsidRPr="00941FBA">
        <w:rPr>
          <w:rFonts w:asciiTheme="majorHAnsi" w:hAnsiTheme="majorHAnsi" w:cstheme="majorHAnsi"/>
          <w:color w:val="000000" w:themeColor="text1"/>
          <w:sz w:val="24"/>
          <w:szCs w:val="24"/>
        </w:rPr>
        <w:t xml:space="preserve"> levels were </w:t>
      </w:r>
      <w:r w:rsidRPr="00076D06">
        <w:rPr>
          <w:rFonts w:asciiTheme="majorHAnsi" w:hAnsiTheme="majorHAnsi" w:cstheme="majorHAnsi"/>
          <w:color w:val="000000" w:themeColor="text1"/>
          <w:sz w:val="24"/>
          <w:szCs w:val="24"/>
        </w:rPr>
        <w:t>1</w:t>
      </w:r>
      <w:r w:rsidRPr="00941FBA">
        <w:rPr>
          <w:rFonts w:asciiTheme="majorHAnsi" w:hAnsiTheme="majorHAnsi" w:cstheme="majorHAnsi"/>
          <w:color w:val="000000" w:themeColor="text1"/>
          <w:sz w:val="24"/>
          <w:szCs w:val="24"/>
        </w:rPr>
        <w:t xml:space="preserve">5 </w:t>
      </w:r>
      <w:r>
        <w:rPr>
          <w:rFonts w:asciiTheme="majorHAnsi" w:hAnsiTheme="majorHAnsi" w:cstheme="majorHAnsi"/>
          <w:color w:val="000000" w:themeColor="text1"/>
          <w:sz w:val="24"/>
          <w:szCs w:val="24"/>
        </w:rPr>
        <w:t>per cent</w:t>
      </w:r>
      <w:r w:rsidRPr="00941FBA">
        <w:rPr>
          <w:rFonts w:asciiTheme="majorHAnsi" w:hAnsiTheme="majorHAnsi" w:cstheme="majorHAnsi"/>
          <w:color w:val="000000" w:themeColor="text1"/>
          <w:sz w:val="24"/>
          <w:szCs w:val="24"/>
        </w:rPr>
        <w:t xml:space="preserve">, </w:t>
      </w:r>
      <w:r w:rsidRPr="00076D06">
        <w:rPr>
          <w:rFonts w:asciiTheme="majorHAnsi" w:hAnsiTheme="majorHAnsi" w:cstheme="majorHAnsi"/>
          <w:color w:val="000000" w:themeColor="text1"/>
          <w:sz w:val="24"/>
          <w:szCs w:val="24"/>
        </w:rPr>
        <w:t>4</w:t>
      </w:r>
      <w:r w:rsidRPr="00941FBA">
        <w:rPr>
          <w:rFonts w:asciiTheme="majorHAnsi" w:hAnsiTheme="majorHAnsi" w:cstheme="majorHAnsi"/>
          <w:color w:val="000000" w:themeColor="text1"/>
          <w:sz w:val="24"/>
          <w:szCs w:val="24"/>
        </w:rPr>
        <w:t xml:space="preserve">4 </w:t>
      </w:r>
      <w:r>
        <w:rPr>
          <w:rFonts w:asciiTheme="majorHAnsi" w:hAnsiTheme="majorHAnsi" w:cstheme="majorHAnsi"/>
          <w:color w:val="000000" w:themeColor="text1"/>
          <w:sz w:val="24"/>
          <w:szCs w:val="24"/>
        </w:rPr>
        <w:t>per cent</w:t>
      </w:r>
      <w:r w:rsidRPr="00941FBA">
        <w:rPr>
          <w:rFonts w:asciiTheme="majorHAnsi" w:hAnsiTheme="majorHAnsi" w:cstheme="majorHAnsi"/>
          <w:color w:val="000000" w:themeColor="text1"/>
          <w:sz w:val="24"/>
          <w:szCs w:val="24"/>
        </w:rPr>
        <w:t xml:space="preserve">, and 42 </w:t>
      </w:r>
      <w:r>
        <w:rPr>
          <w:rFonts w:asciiTheme="majorHAnsi" w:hAnsiTheme="majorHAnsi" w:cstheme="majorHAnsi"/>
          <w:color w:val="000000" w:themeColor="text1"/>
          <w:sz w:val="24"/>
          <w:szCs w:val="24"/>
        </w:rPr>
        <w:t>per cent</w:t>
      </w:r>
      <w:r w:rsidRPr="00941FBA">
        <w:rPr>
          <w:rFonts w:asciiTheme="majorHAnsi" w:hAnsiTheme="majorHAnsi" w:cstheme="majorHAnsi"/>
          <w:color w:val="000000" w:themeColor="text1"/>
          <w:sz w:val="24"/>
          <w:szCs w:val="24"/>
        </w:rPr>
        <w:t xml:space="preserve"> respectively.</w:t>
      </w:r>
    </w:p>
    <w:p w14:paraId="02AC0DBD" w14:textId="18515260" w:rsidR="00572BB5" w:rsidRPr="000479A3" w:rsidRDefault="008D0CAD" w:rsidP="000479A3">
      <w:pPr>
        <w:pStyle w:val="BodyText"/>
        <w:numPr>
          <w:ilvl w:val="0"/>
          <w:numId w:val="42"/>
        </w:numPr>
        <w:spacing w:before="100" w:beforeAutospacing="1" w:after="100" w:afterAutospacing="1" w:line="360" w:lineRule="auto"/>
        <w:ind w:right="20"/>
        <w:rPr>
          <w:rFonts w:asciiTheme="majorHAnsi" w:hAnsiTheme="majorHAnsi" w:cstheme="majorHAnsi"/>
          <w:bCs/>
          <w:color w:val="000000" w:themeColor="text1"/>
          <w:sz w:val="24"/>
          <w:szCs w:val="24"/>
        </w:rPr>
      </w:pPr>
      <w:r w:rsidRPr="00941FBA">
        <w:rPr>
          <w:rFonts w:asciiTheme="majorHAnsi" w:hAnsiTheme="majorHAnsi" w:cstheme="majorHAnsi"/>
          <w:color w:val="000000" w:themeColor="text1"/>
          <w:sz w:val="24"/>
          <w:szCs w:val="24"/>
        </w:rPr>
        <w:t>Evidence show that reading results improved for Grade 4 students, both males and females, overtime but the improvements in females was greater.</w:t>
      </w:r>
      <w:bookmarkStart w:id="78" w:name="OLE_LINK4"/>
    </w:p>
    <w:p w14:paraId="1D97BAF1" w14:textId="370AD2BA" w:rsidR="008D0CAD" w:rsidRPr="00362BE7" w:rsidRDefault="008D0CAD" w:rsidP="000479A3">
      <w:pPr>
        <w:pStyle w:val="Caption"/>
        <w:spacing w:before="100" w:beforeAutospacing="1" w:after="100" w:afterAutospacing="1" w:line="360" w:lineRule="auto"/>
        <w:rPr>
          <w:rFonts w:asciiTheme="majorHAnsi" w:hAnsiTheme="majorHAnsi" w:cstheme="majorHAnsi"/>
          <w:sz w:val="22"/>
          <w:szCs w:val="22"/>
        </w:rPr>
      </w:pPr>
      <w:bookmarkStart w:id="79" w:name="_Toc71616531"/>
      <w:r w:rsidRPr="003A5B11">
        <w:rPr>
          <w:rFonts w:asciiTheme="majorHAnsi" w:hAnsiTheme="majorHAnsi" w:cstheme="majorHAnsi"/>
          <w:sz w:val="22"/>
          <w:szCs w:val="22"/>
        </w:rPr>
        <w:t xml:space="preserve">Figure </w:t>
      </w:r>
      <w:r w:rsidRPr="003A5B11">
        <w:rPr>
          <w:rFonts w:asciiTheme="majorHAnsi" w:hAnsiTheme="majorHAnsi" w:cstheme="majorHAnsi"/>
          <w:sz w:val="22"/>
          <w:szCs w:val="22"/>
        </w:rPr>
        <w:fldChar w:fldCharType="begin"/>
      </w:r>
      <w:r w:rsidRPr="003A5B11">
        <w:rPr>
          <w:rFonts w:asciiTheme="majorHAnsi" w:hAnsiTheme="majorHAnsi" w:cstheme="majorHAnsi"/>
          <w:sz w:val="22"/>
          <w:szCs w:val="22"/>
        </w:rPr>
        <w:instrText xml:space="preserve"> SEQ Figure \* ARABIC </w:instrText>
      </w:r>
      <w:r w:rsidRPr="003A5B11">
        <w:rPr>
          <w:rFonts w:asciiTheme="majorHAnsi" w:hAnsiTheme="majorHAnsi" w:cstheme="majorHAnsi"/>
          <w:sz w:val="22"/>
          <w:szCs w:val="22"/>
        </w:rPr>
        <w:fldChar w:fldCharType="separate"/>
      </w:r>
      <w:r w:rsidR="00D6133D">
        <w:rPr>
          <w:rFonts w:asciiTheme="majorHAnsi" w:hAnsiTheme="majorHAnsi" w:cstheme="majorHAnsi"/>
          <w:noProof/>
          <w:sz w:val="22"/>
          <w:szCs w:val="22"/>
        </w:rPr>
        <w:t>4</w:t>
      </w:r>
      <w:r w:rsidRPr="003A5B11">
        <w:rPr>
          <w:rFonts w:asciiTheme="majorHAnsi" w:hAnsiTheme="majorHAnsi" w:cstheme="majorHAnsi"/>
          <w:sz w:val="22"/>
          <w:szCs w:val="22"/>
        </w:rPr>
        <w:fldChar w:fldCharType="end"/>
      </w:r>
      <w:r w:rsidRPr="003A5B11">
        <w:rPr>
          <w:rFonts w:asciiTheme="majorHAnsi" w:hAnsiTheme="majorHAnsi" w:cstheme="majorHAnsi"/>
          <w:sz w:val="22"/>
          <w:szCs w:val="22"/>
        </w:rPr>
        <w:t xml:space="preserve">. </w:t>
      </w:r>
      <w:r w:rsidRPr="00362BE7">
        <w:rPr>
          <w:rFonts w:asciiTheme="majorHAnsi" w:hAnsiTheme="majorHAnsi" w:cstheme="majorHAnsi"/>
          <w:sz w:val="22"/>
          <w:szCs w:val="22"/>
        </w:rPr>
        <w:t>Snapshot of Phil-IRI test results for Grades 4 students from SY2013-2014 - SY2017-2018</w:t>
      </w:r>
      <w:bookmarkEnd w:id="79"/>
    </w:p>
    <w:p w14:paraId="60EB7AA1" w14:textId="77777777" w:rsidR="008D0CAD" w:rsidRPr="00DA0DB3" w:rsidRDefault="008D0CAD" w:rsidP="000479A3">
      <w:pPr>
        <w:spacing w:before="100" w:beforeAutospacing="1" w:after="100" w:afterAutospacing="1" w:line="360" w:lineRule="auto"/>
        <w:rPr>
          <w:b/>
          <w:bCs/>
        </w:rPr>
      </w:pPr>
      <w:r>
        <w:rPr>
          <w:noProof/>
          <w:lang w:val="en-AU" w:eastAsia="en-AU"/>
        </w:rPr>
        <w:drawing>
          <wp:inline distT="0" distB="0" distL="0" distR="0" wp14:anchorId="3D623A94" wp14:editId="5DF82B7B">
            <wp:extent cx="4349750" cy="2396066"/>
            <wp:effectExtent l="0" t="0" r="12700" b="4445"/>
            <wp:docPr id="7" name="Chart 7" descr="Snapshot of the Philippines Informal Reading Inventory (Phil-IRI) test results for Grade 4 students from School years 2013-2014 to 2017-2018 - highest - F independent.">
              <a:extLst xmlns:a="http://schemas.openxmlformats.org/drawingml/2006/main">
                <a:ext uri="{FF2B5EF4-FFF2-40B4-BE49-F238E27FC236}">
                  <a16:creationId xmlns:a16="http://schemas.microsoft.com/office/drawing/2014/main" id="{EAA9E60A-6AA4-1F4F-8A3E-5B69B48AC1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bookmarkEnd w:id="78"/>
    <w:p w14:paraId="70113C39" w14:textId="02D1ED3E" w:rsidR="008D0CAD" w:rsidRPr="000479A3" w:rsidRDefault="008D0CAD" w:rsidP="000479A3">
      <w:pPr>
        <w:pStyle w:val="Caption"/>
        <w:spacing w:before="100" w:beforeAutospacing="1" w:after="100" w:afterAutospacing="1" w:line="360" w:lineRule="auto"/>
        <w:rPr>
          <w:rFonts w:asciiTheme="majorHAnsi" w:hAnsiTheme="majorHAnsi" w:cstheme="majorHAnsi"/>
          <w:sz w:val="14"/>
          <w:szCs w:val="14"/>
        </w:rPr>
      </w:pPr>
      <w:r w:rsidRPr="00020D54">
        <w:rPr>
          <w:rFonts w:asciiTheme="majorHAnsi" w:hAnsiTheme="majorHAnsi" w:cstheme="majorHAnsi"/>
          <w:sz w:val="14"/>
          <w:szCs w:val="14"/>
        </w:rPr>
        <w:t>Source: Data from Participating Schools, 2019</w:t>
      </w:r>
    </w:p>
    <w:p w14:paraId="60404F0A" w14:textId="77777777" w:rsidR="008D0CAD" w:rsidRPr="00F95E8F" w:rsidRDefault="008D0CAD" w:rsidP="000479A3">
      <w:pPr>
        <w:pStyle w:val="BodyText"/>
        <w:numPr>
          <w:ilvl w:val="0"/>
          <w:numId w:val="42"/>
        </w:numPr>
        <w:spacing w:before="100" w:beforeAutospacing="1" w:after="100" w:afterAutospacing="1" w:line="360" w:lineRule="auto"/>
        <w:ind w:right="20"/>
        <w:rPr>
          <w:rFonts w:asciiTheme="majorHAnsi" w:hAnsiTheme="majorHAnsi" w:cstheme="majorHAnsi"/>
          <w:bCs/>
          <w:color w:val="000000" w:themeColor="text1"/>
          <w:sz w:val="24"/>
          <w:szCs w:val="24"/>
        </w:rPr>
      </w:pPr>
      <w:r w:rsidRPr="00941FBA">
        <w:rPr>
          <w:rFonts w:asciiTheme="majorHAnsi" w:hAnsiTheme="majorHAnsi" w:cstheme="majorHAnsi"/>
          <w:color w:val="000000" w:themeColor="text1"/>
          <w:sz w:val="24"/>
          <w:szCs w:val="24"/>
        </w:rPr>
        <w:t>For Grade 5 students, reading levels among boys (</w:t>
      </w:r>
      <w:r>
        <w:rPr>
          <w:rFonts w:asciiTheme="majorHAnsi" w:hAnsiTheme="majorHAnsi" w:cstheme="majorHAnsi"/>
          <w:color w:val="000000" w:themeColor="text1"/>
          <w:sz w:val="24"/>
          <w:szCs w:val="24"/>
        </w:rPr>
        <w:t>in</w:t>
      </w:r>
      <w:r w:rsidRPr="00941FBA">
        <w:rPr>
          <w:rFonts w:asciiTheme="majorHAnsi" w:hAnsiTheme="majorHAnsi" w:cstheme="majorHAnsi"/>
          <w:color w:val="000000" w:themeColor="text1"/>
          <w:sz w:val="24"/>
          <w:szCs w:val="24"/>
        </w:rPr>
        <w:t xml:space="preserve"> </w:t>
      </w:r>
      <w:r w:rsidRPr="00076D06">
        <w:rPr>
          <w:rFonts w:asciiTheme="majorHAnsi" w:hAnsiTheme="majorHAnsi" w:cstheme="majorHAnsi"/>
          <w:color w:val="000000" w:themeColor="text1"/>
          <w:sz w:val="24"/>
          <w:szCs w:val="24"/>
        </w:rPr>
        <w:t>SY2013-201</w:t>
      </w:r>
      <w:r w:rsidRPr="00941FBA">
        <w:rPr>
          <w:rFonts w:asciiTheme="majorHAnsi" w:hAnsiTheme="majorHAnsi" w:cstheme="majorHAnsi"/>
          <w:color w:val="000000" w:themeColor="text1"/>
          <w:sz w:val="24"/>
          <w:szCs w:val="24"/>
        </w:rPr>
        <w:t>4)</w:t>
      </w:r>
      <w:r>
        <w:rPr>
          <w:rFonts w:asciiTheme="majorHAnsi" w:hAnsiTheme="majorHAnsi" w:cstheme="majorHAnsi"/>
          <w:color w:val="000000" w:themeColor="text1"/>
          <w:sz w:val="24"/>
          <w:szCs w:val="24"/>
        </w:rPr>
        <w:t xml:space="preserve"> showed that</w:t>
      </w:r>
      <w:r w:rsidRPr="00941FBA">
        <w:rPr>
          <w:rFonts w:asciiTheme="majorHAnsi" w:hAnsiTheme="majorHAnsi" w:cstheme="majorHAnsi"/>
          <w:color w:val="000000" w:themeColor="text1"/>
          <w:sz w:val="24"/>
          <w:szCs w:val="24"/>
        </w:rPr>
        <w:t xml:space="preserve"> 25 </w:t>
      </w:r>
      <w:r>
        <w:rPr>
          <w:rFonts w:asciiTheme="majorHAnsi" w:hAnsiTheme="majorHAnsi" w:cstheme="majorHAnsi"/>
          <w:color w:val="000000" w:themeColor="text1"/>
          <w:sz w:val="24"/>
          <w:szCs w:val="24"/>
        </w:rPr>
        <w:t>per cent</w:t>
      </w:r>
      <w:r w:rsidRPr="00941FBA">
        <w:rPr>
          <w:rFonts w:asciiTheme="majorHAnsi" w:hAnsiTheme="majorHAnsi" w:cstheme="majorHAnsi"/>
          <w:color w:val="000000" w:themeColor="text1"/>
          <w:sz w:val="24"/>
          <w:szCs w:val="24"/>
        </w:rPr>
        <w:t xml:space="preserve"> </w:t>
      </w:r>
      <w:r>
        <w:rPr>
          <w:rFonts w:asciiTheme="majorHAnsi" w:hAnsiTheme="majorHAnsi" w:cstheme="majorHAnsi"/>
          <w:color w:val="000000" w:themeColor="text1"/>
          <w:sz w:val="24"/>
          <w:szCs w:val="24"/>
        </w:rPr>
        <w:t xml:space="preserve">were at </w:t>
      </w:r>
      <w:r w:rsidRPr="00941FBA">
        <w:rPr>
          <w:rFonts w:asciiTheme="majorHAnsi" w:hAnsiTheme="majorHAnsi" w:cstheme="majorHAnsi"/>
          <w:color w:val="000000" w:themeColor="text1"/>
          <w:sz w:val="24"/>
          <w:szCs w:val="24"/>
        </w:rPr>
        <w:t>Frustration</w:t>
      </w:r>
      <w:r>
        <w:rPr>
          <w:rFonts w:asciiTheme="majorHAnsi" w:hAnsiTheme="majorHAnsi" w:cstheme="majorHAnsi"/>
          <w:color w:val="000000" w:themeColor="text1"/>
          <w:sz w:val="24"/>
          <w:szCs w:val="24"/>
        </w:rPr>
        <w:t xml:space="preserve"> level</w:t>
      </w:r>
      <w:r w:rsidRPr="00941FBA">
        <w:rPr>
          <w:rFonts w:asciiTheme="majorHAnsi" w:hAnsiTheme="majorHAnsi" w:cstheme="majorHAnsi"/>
          <w:color w:val="000000" w:themeColor="text1"/>
          <w:sz w:val="24"/>
          <w:szCs w:val="24"/>
        </w:rPr>
        <w:t>, 43</w:t>
      </w:r>
      <w:r>
        <w:rPr>
          <w:rFonts w:asciiTheme="majorHAnsi" w:hAnsiTheme="majorHAnsi" w:cstheme="majorHAnsi"/>
          <w:color w:val="000000" w:themeColor="text1"/>
          <w:sz w:val="24"/>
          <w:szCs w:val="24"/>
        </w:rPr>
        <w:t xml:space="preserve"> per cent</w:t>
      </w:r>
      <w:r w:rsidRPr="00941FBA">
        <w:rPr>
          <w:rFonts w:asciiTheme="majorHAnsi" w:hAnsiTheme="majorHAnsi" w:cstheme="majorHAnsi"/>
          <w:color w:val="000000" w:themeColor="text1"/>
          <w:sz w:val="24"/>
          <w:szCs w:val="24"/>
        </w:rPr>
        <w:t xml:space="preserve"> </w:t>
      </w:r>
      <w:r>
        <w:rPr>
          <w:rFonts w:asciiTheme="majorHAnsi" w:hAnsiTheme="majorHAnsi" w:cstheme="majorHAnsi"/>
          <w:color w:val="000000" w:themeColor="text1"/>
          <w:sz w:val="24"/>
          <w:szCs w:val="24"/>
        </w:rPr>
        <w:t xml:space="preserve">at </w:t>
      </w:r>
      <w:r w:rsidRPr="00941FBA">
        <w:rPr>
          <w:rFonts w:asciiTheme="majorHAnsi" w:hAnsiTheme="majorHAnsi" w:cstheme="majorHAnsi"/>
          <w:color w:val="000000" w:themeColor="text1"/>
          <w:sz w:val="24"/>
          <w:szCs w:val="24"/>
        </w:rPr>
        <w:t xml:space="preserve">Instructional </w:t>
      </w:r>
      <w:r>
        <w:rPr>
          <w:rFonts w:asciiTheme="majorHAnsi" w:hAnsiTheme="majorHAnsi" w:cstheme="majorHAnsi"/>
          <w:color w:val="000000" w:themeColor="text1"/>
          <w:sz w:val="24"/>
          <w:szCs w:val="24"/>
        </w:rPr>
        <w:t>level</w:t>
      </w:r>
      <w:r w:rsidRPr="00941FBA">
        <w:rPr>
          <w:rFonts w:asciiTheme="majorHAnsi" w:hAnsiTheme="majorHAnsi" w:cstheme="majorHAnsi"/>
          <w:color w:val="000000" w:themeColor="text1"/>
          <w:sz w:val="24"/>
          <w:szCs w:val="24"/>
        </w:rPr>
        <w:t xml:space="preserve"> and 32 </w:t>
      </w:r>
      <w:r>
        <w:rPr>
          <w:rFonts w:asciiTheme="majorHAnsi" w:hAnsiTheme="majorHAnsi" w:cstheme="majorHAnsi"/>
          <w:color w:val="000000" w:themeColor="text1"/>
          <w:sz w:val="24"/>
          <w:szCs w:val="24"/>
        </w:rPr>
        <w:t>per cent</w:t>
      </w:r>
      <w:r w:rsidRPr="00941FBA">
        <w:rPr>
          <w:rFonts w:asciiTheme="majorHAnsi" w:hAnsiTheme="majorHAnsi" w:cstheme="majorHAnsi"/>
          <w:color w:val="000000" w:themeColor="text1"/>
          <w:sz w:val="24"/>
          <w:szCs w:val="24"/>
        </w:rPr>
        <w:t xml:space="preserve"> </w:t>
      </w:r>
      <w:r>
        <w:rPr>
          <w:rFonts w:asciiTheme="majorHAnsi" w:hAnsiTheme="majorHAnsi" w:cstheme="majorHAnsi"/>
          <w:color w:val="000000" w:themeColor="text1"/>
          <w:sz w:val="24"/>
          <w:szCs w:val="24"/>
        </w:rPr>
        <w:t xml:space="preserve">at </w:t>
      </w:r>
      <w:r w:rsidRPr="00941FBA">
        <w:rPr>
          <w:rFonts w:asciiTheme="majorHAnsi" w:hAnsiTheme="majorHAnsi" w:cstheme="majorHAnsi"/>
          <w:color w:val="000000" w:themeColor="text1"/>
          <w:sz w:val="24"/>
          <w:szCs w:val="24"/>
        </w:rPr>
        <w:t xml:space="preserve">Independent </w:t>
      </w:r>
      <w:r>
        <w:rPr>
          <w:rFonts w:asciiTheme="majorHAnsi" w:hAnsiTheme="majorHAnsi" w:cstheme="majorHAnsi"/>
          <w:color w:val="000000" w:themeColor="text1"/>
          <w:sz w:val="24"/>
          <w:szCs w:val="24"/>
        </w:rPr>
        <w:t>level (Figure 5).</w:t>
      </w:r>
      <w:r w:rsidRPr="00941FBA">
        <w:rPr>
          <w:rFonts w:asciiTheme="majorHAnsi" w:hAnsiTheme="majorHAnsi" w:cstheme="majorHAnsi"/>
          <w:color w:val="000000" w:themeColor="text1"/>
          <w:sz w:val="24"/>
          <w:szCs w:val="24"/>
        </w:rPr>
        <w:t xml:space="preserve"> </w:t>
      </w:r>
      <w:r>
        <w:rPr>
          <w:rFonts w:asciiTheme="majorHAnsi" w:hAnsiTheme="majorHAnsi" w:cstheme="majorHAnsi"/>
          <w:color w:val="000000" w:themeColor="text1"/>
          <w:sz w:val="24"/>
          <w:szCs w:val="24"/>
        </w:rPr>
        <w:t>Twelve</w:t>
      </w:r>
      <w:r w:rsidRPr="00941FBA">
        <w:rPr>
          <w:rFonts w:asciiTheme="majorHAnsi" w:hAnsiTheme="majorHAnsi" w:cstheme="majorHAnsi"/>
          <w:color w:val="000000" w:themeColor="text1"/>
          <w:sz w:val="24"/>
          <w:szCs w:val="24"/>
        </w:rPr>
        <w:t xml:space="preserve"> </w:t>
      </w:r>
      <w:r>
        <w:rPr>
          <w:rFonts w:asciiTheme="majorHAnsi" w:hAnsiTheme="majorHAnsi" w:cstheme="majorHAnsi"/>
          <w:color w:val="000000" w:themeColor="text1"/>
          <w:sz w:val="24"/>
          <w:szCs w:val="24"/>
        </w:rPr>
        <w:t>per cent</w:t>
      </w:r>
      <w:r w:rsidRPr="00941FBA">
        <w:rPr>
          <w:rFonts w:asciiTheme="majorHAnsi" w:hAnsiTheme="majorHAnsi" w:cstheme="majorHAnsi"/>
          <w:color w:val="000000" w:themeColor="text1"/>
          <w:sz w:val="24"/>
          <w:szCs w:val="24"/>
        </w:rPr>
        <w:t xml:space="preserve"> </w:t>
      </w:r>
      <w:r>
        <w:rPr>
          <w:rFonts w:asciiTheme="majorHAnsi" w:hAnsiTheme="majorHAnsi" w:cstheme="majorHAnsi"/>
          <w:color w:val="000000" w:themeColor="text1"/>
          <w:sz w:val="24"/>
          <w:szCs w:val="24"/>
        </w:rPr>
        <w:t xml:space="preserve">of </w:t>
      </w:r>
      <w:r w:rsidRPr="00941FBA">
        <w:rPr>
          <w:rFonts w:asciiTheme="majorHAnsi" w:hAnsiTheme="majorHAnsi" w:cstheme="majorHAnsi"/>
          <w:color w:val="000000" w:themeColor="text1"/>
          <w:sz w:val="24"/>
          <w:szCs w:val="24"/>
        </w:rPr>
        <w:t xml:space="preserve">Grade 5 </w:t>
      </w:r>
      <w:r>
        <w:rPr>
          <w:rFonts w:asciiTheme="majorHAnsi" w:hAnsiTheme="majorHAnsi" w:cstheme="majorHAnsi"/>
          <w:color w:val="000000" w:themeColor="text1"/>
          <w:sz w:val="24"/>
          <w:szCs w:val="24"/>
        </w:rPr>
        <w:t xml:space="preserve">female </w:t>
      </w:r>
      <w:r w:rsidRPr="00941FBA">
        <w:rPr>
          <w:rFonts w:asciiTheme="majorHAnsi" w:hAnsiTheme="majorHAnsi" w:cstheme="majorHAnsi"/>
          <w:color w:val="000000" w:themeColor="text1"/>
          <w:sz w:val="24"/>
          <w:szCs w:val="24"/>
        </w:rPr>
        <w:t xml:space="preserve">students </w:t>
      </w:r>
      <w:r>
        <w:rPr>
          <w:rFonts w:asciiTheme="majorHAnsi" w:hAnsiTheme="majorHAnsi" w:cstheme="majorHAnsi"/>
          <w:color w:val="000000" w:themeColor="text1"/>
          <w:sz w:val="24"/>
          <w:szCs w:val="24"/>
        </w:rPr>
        <w:t xml:space="preserve">for the same year were at </w:t>
      </w:r>
      <w:r w:rsidRPr="00941FBA">
        <w:rPr>
          <w:rFonts w:asciiTheme="majorHAnsi" w:hAnsiTheme="majorHAnsi" w:cstheme="majorHAnsi"/>
          <w:color w:val="000000" w:themeColor="text1"/>
          <w:sz w:val="24"/>
          <w:szCs w:val="24"/>
        </w:rPr>
        <w:t>Frustration</w:t>
      </w:r>
      <w:r>
        <w:rPr>
          <w:rFonts w:asciiTheme="majorHAnsi" w:hAnsiTheme="majorHAnsi" w:cstheme="majorHAnsi"/>
          <w:color w:val="000000" w:themeColor="text1"/>
          <w:sz w:val="24"/>
          <w:szCs w:val="24"/>
        </w:rPr>
        <w:t xml:space="preserve"> level, while those at </w:t>
      </w:r>
      <w:r w:rsidRPr="00941FBA">
        <w:rPr>
          <w:rFonts w:asciiTheme="majorHAnsi" w:hAnsiTheme="majorHAnsi" w:cstheme="majorHAnsi"/>
          <w:color w:val="000000" w:themeColor="text1"/>
          <w:sz w:val="24"/>
          <w:szCs w:val="24"/>
        </w:rPr>
        <w:t xml:space="preserve">Instructional and Independent </w:t>
      </w:r>
      <w:r>
        <w:rPr>
          <w:rFonts w:asciiTheme="majorHAnsi" w:hAnsiTheme="majorHAnsi" w:cstheme="majorHAnsi"/>
          <w:color w:val="000000" w:themeColor="text1"/>
          <w:sz w:val="24"/>
          <w:szCs w:val="24"/>
        </w:rPr>
        <w:t xml:space="preserve">levels were </w:t>
      </w:r>
      <w:r w:rsidRPr="00941FBA">
        <w:rPr>
          <w:rFonts w:asciiTheme="majorHAnsi" w:hAnsiTheme="majorHAnsi" w:cstheme="majorHAnsi"/>
          <w:color w:val="000000" w:themeColor="text1"/>
          <w:sz w:val="24"/>
          <w:szCs w:val="24"/>
        </w:rPr>
        <w:t>at</w:t>
      </w:r>
      <w:r>
        <w:rPr>
          <w:rFonts w:asciiTheme="majorHAnsi" w:hAnsiTheme="majorHAnsi" w:cstheme="majorHAnsi"/>
          <w:color w:val="000000" w:themeColor="text1"/>
          <w:sz w:val="24"/>
          <w:szCs w:val="24"/>
        </w:rPr>
        <w:t xml:space="preserve"> 52 per cent and 36 per cent </w:t>
      </w:r>
      <w:r w:rsidRPr="00941FBA">
        <w:rPr>
          <w:rFonts w:asciiTheme="majorHAnsi" w:hAnsiTheme="majorHAnsi" w:cstheme="majorHAnsi"/>
          <w:color w:val="000000" w:themeColor="text1"/>
          <w:sz w:val="24"/>
          <w:szCs w:val="24"/>
        </w:rPr>
        <w:t xml:space="preserve">respectively. </w:t>
      </w:r>
    </w:p>
    <w:p w14:paraId="1E25280C" w14:textId="77777777" w:rsidR="008D0CAD" w:rsidRPr="00941FBA" w:rsidRDefault="008D0CAD" w:rsidP="000479A3">
      <w:pPr>
        <w:pStyle w:val="BodyText"/>
        <w:numPr>
          <w:ilvl w:val="0"/>
          <w:numId w:val="42"/>
        </w:numPr>
        <w:spacing w:before="100" w:beforeAutospacing="1" w:after="100" w:afterAutospacing="1" w:line="360" w:lineRule="auto"/>
        <w:ind w:right="20"/>
        <w:rPr>
          <w:rFonts w:asciiTheme="majorHAnsi" w:hAnsiTheme="majorHAnsi" w:cstheme="majorHAnsi"/>
          <w:bCs/>
          <w:color w:val="000000" w:themeColor="text1"/>
          <w:sz w:val="24"/>
          <w:szCs w:val="24"/>
        </w:rPr>
      </w:pPr>
      <w:r>
        <w:rPr>
          <w:rFonts w:asciiTheme="majorHAnsi" w:hAnsiTheme="majorHAnsi" w:cstheme="majorHAnsi"/>
          <w:color w:val="000000" w:themeColor="text1"/>
          <w:sz w:val="24"/>
          <w:szCs w:val="24"/>
        </w:rPr>
        <w:t>Five years later</w:t>
      </w:r>
      <w:r w:rsidRPr="00941FBA">
        <w:rPr>
          <w:rFonts w:asciiTheme="majorHAnsi" w:hAnsiTheme="majorHAnsi" w:cstheme="majorHAnsi"/>
          <w:color w:val="000000" w:themeColor="text1"/>
          <w:sz w:val="24"/>
          <w:szCs w:val="24"/>
        </w:rPr>
        <w:t xml:space="preserve"> </w:t>
      </w:r>
      <w:r>
        <w:rPr>
          <w:rFonts w:asciiTheme="majorHAnsi" w:hAnsiTheme="majorHAnsi" w:cstheme="majorHAnsi"/>
          <w:color w:val="000000" w:themeColor="text1"/>
          <w:sz w:val="24"/>
          <w:szCs w:val="24"/>
        </w:rPr>
        <w:t>(</w:t>
      </w:r>
      <w:r w:rsidRPr="00941FBA">
        <w:rPr>
          <w:rFonts w:asciiTheme="majorHAnsi" w:hAnsiTheme="majorHAnsi" w:cstheme="majorHAnsi"/>
          <w:color w:val="000000"/>
          <w:sz w:val="24"/>
          <w:szCs w:val="24"/>
        </w:rPr>
        <w:t>SY2017-2018</w:t>
      </w:r>
      <w:r>
        <w:rPr>
          <w:rFonts w:asciiTheme="majorHAnsi" w:hAnsiTheme="majorHAnsi" w:cstheme="majorHAnsi"/>
          <w:color w:val="000000"/>
          <w:sz w:val="24"/>
          <w:szCs w:val="24"/>
        </w:rPr>
        <w:t>)</w:t>
      </w:r>
      <w:r w:rsidRPr="00941FBA">
        <w:rPr>
          <w:rFonts w:asciiTheme="majorHAnsi" w:hAnsiTheme="majorHAnsi" w:cstheme="majorHAnsi"/>
          <w:color w:val="000000"/>
          <w:sz w:val="24"/>
          <w:szCs w:val="24"/>
        </w:rPr>
        <w:t xml:space="preserve">, </w:t>
      </w:r>
      <w:r>
        <w:rPr>
          <w:rFonts w:asciiTheme="majorHAnsi" w:hAnsiTheme="majorHAnsi" w:cstheme="majorHAnsi"/>
          <w:color w:val="000000"/>
          <w:sz w:val="24"/>
          <w:szCs w:val="24"/>
        </w:rPr>
        <w:t xml:space="preserve">reading levels for </w:t>
      </w:r>
      <w:r w:rsidRPr="00941FBA">
        <w:rPr>
          <w:rFonts w:asciiTheme="majorHAnsi" w:hAnsiTheme="majorHAnsi" w:cstheme="majorHAnsi"/>
          <w:color w:val="000000"/>
          <w:sz w:val="24"/>
          <w:szCs w:val="24"/>
        </w:rPr>
        <w:t xml:space="preserve">boys were 15 </w:t>
      </w:r>
      <w:r>
        <w:rPr>
          <w:rFonts w:asciiTheme="majorHAnsi" w:hAnsiTheme="majorHAnsi" w:cstheme="majorHAnsi"/>
          <w:color w:val="000000" w:themeColor="text1"/>
          <w:sz w:val="24"/>
          <w:szCs w:val="24"/>
        </w:rPr>
        <w:t xml:space="preserve">per cent, </w:t>
      </w:r>
      <w:r w:rsidRPr="00941FBA">
        <w:rPr>
          <w:rFonts w:asciiTheme="majorHAnsi" w:hAnsiTheme="majorHAnsi" w:cstheme="majorHAnsi"/>
          <w:color w:val="000000"/>
          <w:sz w:val="24"/>
          <w:szCs w:val="24"/>
        </w:rPr>
        <w:t xml:space="preserve">44 </w:t>
      </w:r>
      <w:r>
        <w:rPr>
          <w:rFonts w:asciiTheme="majorHAnsi" w:hAnsiTheme="majorHAnsi" w:cstheme="majorHAnsi"/>
          <w:color w:val="000000" w:themeColor="text1"/>
          <w:sz w:val="24"/>
          <w:szCs w:val="24"/>
        </w:rPr>
        <w:t xml:space="preserve">per cent, and </w:t>
      </w:r>
      <w:r w:rsidRPr="00941FBA">
        <w:rPr>
          <w:rFonts w:asciiTheme="majorHAnsi" w:hAnsiTheme="majorHAnsi" w:cstheme="majorHAnsi"/>
          <w:color w:val="000000"/>
          <w:sz w:val="24"/>
          <w:szCs w:val="24"/>
        </w:rPr>
        <w:t xml:space="preserve">42 </w:t>
      </w:r>
      <w:r>
        <w:rPr>
          <w:rFonts w:asciiTheme="majorHAnsi" w:hAnsiTheme="majorHAnsi" w:cstheme="majorHAnsi"/>
          <w:color w:val="000000" w:themeColor="text1"/>
          <w:sz w:val="24"/>
          <w:szCs w:val="24"/>
        </w:rPr>
        <w:t xml:space="preserve">per cent corresponding to </w:t>
      </w:r>
      <w:r w:rsidRPr="00941FBA">
        <w:rPr>
          <w:rFonts w:asciiTheme="majorHAnsi" w:hAnsiTheme="majorHAnsi" w:cstheme="majorHAnsi"/>
          <w:color w:val="000000" w:themeColor="text1"/>
          <w:sz w:val="24"/>
          <w:szCs w:val="24"/>
        </w:rPr>
        <w:t>Frustration</w:t>
      </w:r>
      <w:r>
        <w:rPr>
          <w:rFonts w:asciiTheme="majorHAnsi" w:hAnsiTheme="majorHAnsi" w:cstheme="majorHAnsi"/>
          <w:color w:val="000000" w:themeColor="text1"/>
          <w:sz w:val="24"/>
          <w:szCs w:val="24"/>
        </w:rPr>
        <w:t xml:space="preserve">, </w:t>
      </w:r>
      <w:r w:rsidRPr="00941FBA">
        <w:rPr>
          <w:rFonts w:asciiTheme="majorHAnsi" w:hAnsiTheme="majorHAnsi" w:cstheme="majorHAnsi"/>
          <w:color w:val="000000" w:themeColor="text1"/>
          <w:sz w:val="24"/>
          <w:szCs w:val="24"/>
        </w:rPr>
        <w:t xml:space="preserve">Instructional and Independent </w:t>
      </w:r>
      <w:r>
        <w:rPr>
          <w:rFonts w:asciiTheme="majorHAnsi" w:hAnsiTheme="majorHAnsi" w:cstheme="majorHAnsi"/>
          <w:color w:val="000000" w:themeColor="text1"/>
          <w:sz w:val="24"/>
          <w:szCs w:val="24"/>
        </w:rPr>
        <w:t>levels. For girls, the distribution was</w:t>
      </w:r>
      <w:r w:rsidRPr="00941FBA">
        <w:rPr>
          <w:rFonts w:asciiTheme="majorHAnsi" w:hAnsiTheme="majorHAnsi" w:cstheme="majorHAnsi"/>
          <w:color w:val="000000"/>
          <w:sz w:val="24"/>
          <w:szCs w:val="24"/>
        </w:rPr>
        <w:t xml:space="preserve"> 10 </w:t>
      </w:r>
      <w:r>
        <w:rPr>
          <w:rFonts w:asciiTheme="majorHAnsi" w:hAnsiTheme="majorHAnsi" w:cstheme="majorHAnsi"/>
          <w:color w:val="000000" w:themeColor="text1"/>
          <w:sz w:val="24"/>
          <w:szCs w:val="24"/>
        </w:rPr>
        <w:t xml:space="preserve">per cent, </w:t>
      </w:r>
      <w:r w:rsidRPr="00941FBA">
        <w:rPr>
          <w:rFonts w:asciiTheme="majorHAnsi" w:hAnsiTheme="majorHAnsi" w:cstheme="majorHAnsi"/>
          <w:color w:val="000000"/>
          <w:sz w:val="24"/>
          <w:szCs w:val="24"/>
        </w:rPr>
        <w:t xml:space="preserve">32 </w:t>
      </w:r>
      <w:r>
        <w:rPr>
          <w:rFonts w:asciiTheme="majorHAnsi" w:hAnsiTheme="majorHAnsi" w:cstheme="majorHAnsi"/>
          <w:color w:val="000000" w:themeColor="text1"/>
          <w:sz w:val="24"/>
          <w:szCs w:val="24"/>
        </w:rPr>
        <w:t xml:space="preserve">per cent, and </w:t>
      </w:r>
      <w:r w:rsidRPr="00941FBA">
        <w:rPr>
          <w:rFonts w:asciiTheme="majorHAnsi" w:hAnsiTheme="majorHAnsi" w:cstheme="majorHAnsi"/>
          <w:color w:val="000000"/>
          <w:sz w:val="24"/>
          <w:szCs w:val="24"/>
        </w:rPr>
        <w:t>58</w:t>
      </w:r>
      <w:r>
        <w:rPr>
          <w:rFonts w:asciiTheme="majorHAnsi" w:hAnsiTheme="majorHAnsi" w:cstheme="majorHAnsi"/>
          <w:color w:val="000000"/>
          <w:sz w:val="24"/>
          <w:szCs w:val="24"/>
        </w:rPr>
        <w:t xml:space="preserve"> </w:t>
      </w:r>
      <w:r>
        <w:rPr>
          <w:rFonts w:asciiTheme="majorHAnsi" w:hAnsiTheme="majorHAnsi" w:cstheme="majorHAnsi"/>
          <w:color w:val="000000" w:themeColor="text1"/>
          <w:sz w:val="24"/>
          <w:szCs w:val="24"/>
        </w:rPr>
        <w:t xml:space="preserve">per cent </w:t>
      </w:r>
      <w:r>
        <w:rPr>
          <w:rFonts w:asciiTheme="majorHAnsi" w:hAnsiTheme="majorHAnsi" w:cstheme="majorHAnsi"/>
          <w:color w:val="000000"/>
          <w:sz w:val="24"/>
          <w:szCs w:val="24"/>
        </w:rPr>
        <w:t>respectively.</w:t>
      </w:r>
    </w:p>
    <w:p w14:paraId="127E200A" w14:textId="18A0808D" w:rsidR="008D0CAD" w:rsidRPr="00941FBA" w:rsidRDefault="008D0CAD" w:rsidP="000479A3">
      <w:pPr>
        <w:pStyle w:val="BodyText"/>
        <w:numPr>
          <w:ilvl w:val="0"/>
          <w:numId w:val="42"/>
        </w:numPr>
        <w:spacing w:before="100" w:beforeAutospacing="1" w:after="100" w:afterAutospacing="1" w:line="360" w:lineRule="auto"/>
        <w:ind w:right="20"/>
        <w:rPr>
          <w:rFonts w:asciiTheme="majorHAnsi" w:hAnsiTheme="majorHAnsi" w:cstheme="majorHAnsi"/>
          <w:bCs/>
          <w:color w:val="000000" w:themeColor="text1"/>
          <w:sz w:val="24"/>
          <w:szCs w:val="24"/>
        </w:rPr>
      </w:pPr>
      <w:r>
        <w:rPr>
          <w:rFonts w:asciiTheme="majorHAnsi" w:hAnsiTheme="majorHAnsi" w:cstheme="majorHAnsi"/>
          <w:bCs/>
          <w:color w:val="000000" w:themeColor="text1"/>
          <w:sz w:val="24"/>
          <w:szCs w:val="24"/>
        </w:rPr>
        <w:t>Thus, the evidence shows that girls posted better results at the start and overtime.</w:t>
      </w:r>
      <w:r w:rsidR="00D434EB">
        <w:rPr>
          <w:rFonts w:asciiTheme="majorHAnsi" w:hAnsiTheme="majorHAnsi" w:cstheme="majorHAnsi"/>
          <w:bCs/>
          <w:color w:val="000000" w:themeColor="text1"/>
          <w:sz w:val="24"/>
          <w:szCs w:val="24"/>
        </w:rPr>
        <w:t xml:space="preserve"> </w:t>
      </w:r>
    </w:p>
    <w:p w14:paraId="0B9FE4A5" w14:textId="1C3936B3" w:rsidR="008D0CAD" w:rsidRPr="00DD6E21" w:rsidRDefault="008D0CAD" w:rsidP="000479A3">
      <w:pPr>
        <w:pStyle w:val="Caption"/>
        <w:spacing w:before="100" w:beforeAutospacing="1" w:after="100" w:afterAutospacing="1" w:line="360" w:lineRule="auto"/>
        <w:rPr>
          <w:rFonts w:asciiTheme="majorHAnsi" w:hAnsiTheme="majorHAnsi" w:cstheme="majorHAnsi"/>
          <w:sz w:val="22"/>
          <w:szCs w:val="22"/>
        </w:rPr>
      </w:pPr>
      <w:bookmarkStart w:id="80" w:name="_Toc71616532"/>
      <w:r w:rsidRPr="00DD6E21">
        <w:rPr>
          <w:rFonts w:asciiTheme="majorHAnsi" w:hAnsiTheme="majorHAnsi" w:cstheme="majorHAnsi"/>
          <w:sz w:val="22"/>
          <w:szCs w:val="22"/>
        </w:rPr>
        <w:t xml:space="preserve">Figure </w:t>
      </w:r>
      <w:r w:rsidRPr="00DD6E21">
        <w:rPr>
          <w:rFonts w:asciiTheme="majorHAnsi" w:hAnsiTheme="majorHAnsi" w:cstheme="majorHAnsi"/>
          <w:sz w:val="22"/>
          <w:szCs w:val="22"/>
        </w:rPr>
        <w:fldChar w:fldCharType="begin"/>
      </w:r>
      <w:r w:rsidRPr="00DD6E21">
        <w:rPr>
          <w:rFonts w:asciiTheme="majorHAnsi" w:hAnsiTheme="majorHAnsi" w:cstheme="majorHAnsi"/>
          <w:sz w:val="22"/>
          <w:szCs w:val="22"/>
        </w:rPr>
        <w:instrText xml:space="preserve"> SEQ Figure \* ARABIC </w:instrText>
      </w:r>
      <w:r w:rsidRPr="00DD6E21">
        <w:rPr>
          <w:rFonts w:asciiTheme="majorHAnsi" w:hAnsiTheme="majorHAnsi" w:cstheme="majorHAnsi"/>
          <w:sz w:val="22"/>
          <w:szCs w:val="22"/>
        </w:rPr>
        <w:fldChar w:fldCharType="separate"/>
      </w:r>
      <w:r w:rsidR="00D6133D">
        <w:rPr>
          <w:rFonts w:asciiTheme="majorHAnsi" w:hAnsiTheme="majorHAnsi" w:cstheme="majorHAnsi"/>
          <w:noProof/>
          <w:sz w:val="22"/>
          <w:szCs w:val="22"/>
        </w:rPr>
        <w:t>5</w:t>
      </w:r>
      <w:r w:rsidRPr="00DD6E21">
        <w:rPr>
          <w:rFonts w:asciiTheme="majorHAnsi" w:hAnsiTheme="majorHAnsi" w:cstheme="majorHAnsi"/>
          <w:sz w:val="22"/>
          <w:szCs w:val="22"/>
        </w:rPr>
        <w:fldChar w:fldCharType="end"/>
      </w:r>
      <w:r w:rsidRPr="00DD6E21">
        <w:rPr>
          <w:rFonts w:asciiTheme="majorHAnsi" w:hAnsiTheme="majorHAnsi" w:cstheme="majorHAnsi"/>
          <w:sz w:val="22"/>
          <w:szCs w:val="22"/>
        </w:rPr>
        <w:t xml:space="preserve">. Snapshot of </w:t>
      </w:r>
      <w:r w:rsidRPr="00DD6E21">
        <w:rPr>
          <w:rFonts w:asciiTheme="majorHAnsi" w:hAnsiTheme="majorHAnsi" w:cstheme="majorHAnsi"/>
          <w:bCs/>
          <w:sz w:val="22"/>
          <w:szCs w:val="22"/>
        </w:rPr>
        <w:t>Phil-IRI test results for Grades 5 students</w:t>
      </w:r>
      <w:r w:rsidRPr="00DD6E21">
        <w:rPr>
          <w:rFonts w:asciiTheme="majorHAnsi" w:hAnsiTheme="majorHAnsi" w:cstheme="majorHAnsi"/>
          <w:sz w:val="22"/>
          <w:szCs w:val="22"/>
        </w:rPr>
        <w:t xml:space="preserve"> from SY2013-2014 - SY2017-2018</w:t>
      </w:r>
      <w:bookmarkEnd w:id="80"/>
    </w:p>
    <w:p w14:paraId="10134C96" w14:textId="77777777" w:rsidR="008D0CAD" w:rsidRDefault="008D0CAD" w:rsidP="000479A3">
      <w:pPr>
        <w:pStyle w:val="BodyText"/>
        <w:spacing w:before="100" w:beforeAutospacing="1" w:after="100" w:afterAutospacing="1" w:line="360" w:lineRule="auto"/>
        <w:ind w:right="20"/>
        <w:rPr>
          <w:rFonts w:asciiTheme="majorHAnsi" w:hAnsiTheme="majorHAnsi" w:cstheme="majorHAnsi"/>
          <w:bCs/>
          <w:color w:val="C00000"/>
          <w:sz w:val="24"/>
          <w:szCs w:val="24"/>
        </w:rPr>
      </w:pPr>
      <w:r>
        <w:rPr>
          <w:noProof/>
          <w:lang w:val="en-AU" w:eastAsia="en-AU"/>
        </w:rPr>
        <w:drawing>
          <wp:inline distT="0" distB="0" distL="0" distR="0" wp14:anchorId="2360E8F2" wp14:editId="7D82428A">
            <wp:extent cx="4324350" cy="2260600"/>
            <wp:effectExtent l="0" t="0" r="6350" b="12700"/>
            <wp:docPr id="21" name="Chart 21" descr="Snapshot of the Philippines Informal Reading Inventory (Phil-IRI) test results for Grades 5 students from School years 2013-2014 to 2017-2018, Highest, F - independent">
              <a:extLst xmlns:a="http://schemas.openxmlformats.org/drawingml/2006/main">
                <a:ext uri="{FF2B5EF4-FFF2-40B4-BE49-F238E27FC236}">
                  <a16:creationId xmlns:a16="http://schemas.microsoft.com/office/drawing/2014/main" id="{9B875F8B-4B1D-634A-AFF4-802095C0E1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10F8A98" w14:textId="4A87181F" w:rsidR="008D0CAD" w:rsidRPr="000479A3" w:rsidRDefault="008D0CAD" w:rsidP="000479A3">
      <w:pPr>
        <w:pStyle w:val="Caption"/>
        <w:spacing w:before="100" w:beforeAutospacing="1" w:after="100" w:afterAutospacing="1" w:line="360" w:lineRule="auto"/>
        <w:rPr>
          <w:rFonts w:asciiTheme="majorHAnsi" w:hAnsiTheme="majorHAnsi" w:cstheme="majorHAnsi"/>
          <w:sz w:val="14"/>
          <w:szCs w:val="14"/>
        </w:rPr>
      </w:pPr>
      <w:r w:rsidRPr="00020D54">
        <w:rPr>
          <w:rFonts w:asciiTheme="majorHAnsi" w:hAnsiTheme="majorHAnsi" w:cstheme="majorHAnsi"/>
          <w:sz w:val="14"/>
          <w:szCs w:val="14"/>
        </w:rPr>
        <w:t>Source: Data from Participating Schools, 2019</w:t>
      </w:r>
    </w:p>
    <w:p w14:paraId="0C44C8E8" w14:textId="607050BA" w:rsidR="008D0CAD" w:rsidRPr="00CE5F63" w:rsidRDefault="008D0CAD" w:rsidP="000479A3">
      <w:pPr>
        <w:pStyle w:val="BodyText"/>
        <w:numPr>
          <w:ilvl w:val="0"/>
          <w:numId w:val="42"/>
        </w:numPr>
        <w:spacing w:before="100" w:beforeAutospacing="1" w:after="100" w:afterAutospacing="1" w:line="360" w:lineRule="auto"/>
        <w:ind w:right="20"/>
        <w:rPr>
          <w:rFonts w:asciiTheme="majorHAnsi" w:hAnsiTheme="majorHAnsi" w:cstheme="majorHAnsi"/>
          <w:bCs/>
          <w:color w:val="000000" w:themeColor="text1"/>
          <w:sz w:val="24"/>
          <w:szCs w:val="24"/>
        </w:rPr>
      </w:pPr>
      <w:r>
        <w:rPr>
          <w:rFonts w:asciiTheme="majorHAnsi" w:hAnsiTheme="majorHAnsi" w:cstheme="majorHAnsi"/>
          <w:color w:val="000000" w:themeColor="text1"/>
          <w:sz w:val="24"/>
          <w:szCs w:val="24"/>
        </w:rPr>
        <w:t>Similar trends appear for Grade 6 students. R</w:t>
      </w:r>
      <w:r w:rsidRPr="00CE5F63">
        <w:rPr>
          <w:rFonts w:asciiTheme="majorHAnsi" w:hAnsiTheme="majorHAnsi" w:cstheme="majorHAnsi"/>
          <w:color w:val="000000" w:themeColor="text1"/>
          <w:sz w:val="24"/>
          <w:szCs w:val="24"/>
        </w:rPr>
        <w:t xml:space="preserve">eading levels among boys (in </w:t>
      </w:r>
      <w:r w:rsidRPr="00076D06">
        <w:rPr>
          <w:rFonts w:asciiTheme="majorHAnsi" w:hAnsiTheme="majorHAnsi" w:cstheme="majorHAnsi"/>
          <w:color w:val="000000" w:themeColor="text1"/>
          <w:sz w:val="24"/>
          <w:szCs w:val="24"/>
        </w:rPr>
        <w:t>SY2013-201</w:t>
      </w:r>
      <w:r w:rsidRPr="00CE5F63">
        <w:rPr>
          <w:rFonts w:asciiTheme="majorHAnsi" w:hAnsiTheme="majorHAnsi" w:cstheme="majorHAnsi"/>
          <w:color w:val="000000" w:themeColor="text1"/>
          <w:sz w:val="24"/>
          <w:szCs w:val="24"/>
        </w:rPr>
        <w:t xml:space="preserve">4) </w:t>
      </w:r>
      <w:r>
        <w:rPr>
          <w:rFonts w:asciiTheme="majorHAnsi" w:hAnsiTheme="majorHAnsi" w:cstheme="majorHAnsi"/>
          <w:color w:val="000000" w:themeColor="text1"/>
          <w:sz w:val="24"/>
          <w:szCs w:val="24"/>
        </w:rPr>
        <w:t>were: 12</w:t>
      </w:r>
      <w:r w:rsidRPr="00CE5F63">
        <w:rPr>
          <w:rFonts w:asciiTheme="majorHAnsi" w:hAnsiTheme="majorHAnsi" w:cstheme="majorHAnsi"/>
          <w:color w:val="000000" w:themeColor="text1"/>
          <w:sz w:val="24"/>
          <w:szCs w:val="24"/>
        </w:rPr>
        <w:t xml:space="preserve"> </w:t>
      </w:r>
      <w:r>
        <w:rPr>
          <w:rFonts w:asciiTheme="majorHAnsi" w:hAnsiTheme="majorHAnsi" w:cstheme="majorHAnsi"/>
          <w:color w:val="000000" w:themeColor="text1"/>
          <w:sz w:val="24"/>
          <w:szCs w:val="24"/>
        </w:rPr>
        <w:t>per cent</w:t>
      </w:r>
      <w:r w:rsidRPr="00CE5F63">
        <w:rPr>
          <w:rFonts w:asciiTheme="majorHAnsi" w:hAnsiTheme="majorHAnsi" w:cstheme="majorHAnsi"/>
          <w:color w:val="000000" w:themeColor="text1"/>
          <w:sz w:val="24"/>
          <w:szCs w:val="24"/>
        </w:rPr>
        <w:t xml:space="preserve"> Frustration level</w:t>
      </w:r>
      <w:r>
        <w:rPr>
          <w:rFonts w:asciiTheme="majorHAnsi" w:hAnsiTheme="majorHAnsi" w:cstheme="majorHAnsi"/>
          <w:color w:val="000000" w:themeColor="text1"/>
          <w:sz w:val="24"/>
          <w:szCs w:val="24"/>
        </w:rPr>
        <w:t>;</w:t>
      </w:r>
      <w:r w:rsidRPr="00CE5F63">
        <w:rPr>
          <w:rFonts w:asciiTheme="majorHAnsi" w:hAnsiTheme="majorHAnsi" w:cstheme="majorHAnsi"/>
          <w:color w:val="000000" w:themeColor="text1"/>
          <w:sz w:val="24"/>
          <w:szCs w:val="24"/>
        </w:rPr>
        <w:t xml:space="preserve"> 43</w:t>
      </w:r>
      <w:r>
        <w:rPr>
          <w:rFonts w:asciiTheme="majorHAnsi" w:hAnsiTheme="majorHAnsi" w:cstheme="majorHAnsi"/>
          <w:color w:val="000000" w:themeColor="text1"/>
          <w:sz w:val="24"/>
          <w:szCs w:val="24"/>
        </w:rPr>
        <w:t xml:space="preserve"> per cent</w:t>
      </w:r>
      <w:r w:rsidRPr="00CE5F63">
        <w:rPr>
          <w:rFonts w:asciiTheme="majorHAnsi" w:hAnsiTheme="majorHAnsi" w:cstheme="majorHAnsi"/>
          <w:color w:val="000000" w:themeColor="text1"/>
          <w:sz w:val="24"/>
          <w:szCs w:val="24"/>
        </w:rPr>
        <w:t xml:space="preserve"> Instructional level</w:t>
      </w:r>
      <w:r>
        <w:rPr>
          <w:rFonts w:asciiTheme="majorHAnsi" w:hAnsiTheme="majorHAnsi" w:cstheme="majorHAnsi"/>
          <w:color w:val="000000" w:themeColor="text1"/>
          <w:sz w:val="24"/>
          <w:szCs w:val="24"/>
        </w:rPr>
        <w:t>;</w:t>
      </w:r>
      <w:r w:rsidRPr="00CE5F63">
        <w:rPr>
          <w:rFonts w:asciiTheme="majorHAnsi" w:hAnsiTheme="majorHAnsi" w:cstheme="majorHAnsi"/>
          <w:color w:val="000000" w:themeColor="text1"/>
          <w:sz w:val="24"/>
          <w:szCs w:val="24"/>
        </w:rPr>
        <w:t xml:space="preserve"> and </w:t>
      </w:r>
      <w:r>
        <w:rPr>
          <w:rFonts w:asciiTheme="majorHAnsi" w:hAnsiTheme="majorHAnsi" w:cstheme="majorHAnsi"/>
          <w:color w:val="000000" w:themeColor="text1"/>
          <w:sz w:val="24"/>
          <w:szCs w:val="24"/>
        </w:rPr>
        <w:t>46</w:t>
      </w:r>
      <w:r w:rsidRPr="00CE5F63">
        <w:rPr>
          <w:rFonts w:asciiTheme="majorHAnsi" w:hAnsiTheme="majorHAnsi" w:cstheme="majorHAnsi"/>
          <w:color w:val="000000" w:themeColor="text1"/>
          <w:sz w:val="24"/>
          <w:szCs w:val="24"/>
        </w:rPr>
        <w:t xml:space="preserve"> </w:t>
      </w:r>
      <w:r>
        <w:rPr>
          <w:rFonts w:asciiTheme="majorHAnsi" w:hAnsiTheme="majorHAnsi" w:cstheme="majorHAnsi"/>
          <w:color w:val="000000" w:themeColor="text1"/>
          <w:sz w:val="24"/>
          <w:szCs w:val="24"/>
        </w:rPr>
        <w:t>per cent</w:t>
      </w:r>
      <w:r w:rsidRPr="00CE5F63">
        <w:rPr>
          <w:rFonts w:asciiTheme="majorHAnsi" w:hAnsiTheme="majorHAnsi" w:cstheme="majorHAnsi"/>
          <w:color w:val="000000" w:themeColor="text1"/>
          <w:sz w:val="24"/>
          <w:szCs w:val="24"/>
        </w:rPr>
        <w:t xml:space="preserve"> Independent level (Figure </w:t>
      </w:r>
      <w:r>
        <w:rPr>
          <w:rFonts w:asciiTheme="majorHAnsi" w:hAnsiTheme="majorHAnsi" w:cstheme="majorHAnsi"/>
          <w:color w:val="000000" w:themeColor="text1"/>
          <w:sz w:val="24"/>
          <w:szCs w:val="24"/>
        </w:rPr>
        <w:t>6</w:t>
      </w:r>
      <w:r w:rsidRPr="00CE5F63">
        <w:rPr>
          <w:rFonts w:asciiTheme="majorHAnsi" w:hAnsiTheme="majorHAnsi" w:cstheme="majorHAnsi"/>
          <w:color w:val="000000" w:themeColor="text1"/>
          <w:sz w:val="24"/>
          <w:szCs w:val="24"/>
        </w:rPr>
        <w:t xml:space="preserve">). </w:t>
      </w:r>
      <w:r>
        <w:rPr>
          <w:rFonts w:asciiTheme="majorHAnsi" w:hAnsiTheme="majorHAnsi" w:cstheme="majorHAnsi"/>
          <w:color w:val="000000" w:themeColor="text1"/>
          <w:sz w:val="24"/>
          <w:szCs w:val="24"/>
        </w:rPr>
        <w:t>Note that the share of those in the Independent level has markedly increased.</w:t>
      </w:r>
      <w:r w:rsidR="00D434EB">
        <w:rPr>
          <w:rFonts w:asciiTheme="majorHAnsi" w:hAnsiTheme="majorHAnsi" w:cstheme="majorHAnsi"/>
          <w:color w:val="000000" w:themeColor="text1"/>
          <w:sz w:val="24"/>
          <w:szCs w:val="24"/>
        </w:rPr>
        <w:t xml:space="preserve"> </w:t>
      </w:r>
      <w:r>
        <w:rPr>
          <w:rFonts w:asciiTheme="majorHAnsi" w:hAnsiTheme="majorHAnsi" w:cstheme="majorHAnsi"/>
          <w:color w:val="000000" w:themeColor="text1"/>
          <w:sz w:val="24"/>
          <w:szCs w:val="24"/>
        </w:rPr>
        <w:t xml:space="preserve">By SY2017-2018, while the share of those at the </w:t>
      </w:r>
      <w:r w:rsidRPr="00CE5F63">
        <w:rPr>
          <w:rFonts w:asciiTheme="majorHAnsi" w:hAnsiTheme="majorHAnsi" w:cstheme="majorHAnsi"/>
          <w:color w:val="000000" w:themeColor="text1"/>
          <w:sz w:val="24"/>
          <w:szCs w:val="24"/>
        </w:rPr>
        <w:t>Independent level</w:t>
      </w:r>
      <w:r>
        <w:rPr>
          <w:rFonts w:asciiTheme="majorHAnsi" w:hAnsiTheme="majorHAnsi" w:cstheme="majorHAnsi"/>
          <w:color w:val="000000" w:themeColor="text1"/>
          <w:sz w:val="24"/>
          <w:szCs w:val="24"/>
        </w:rPr>
        <w:t xml:space="preserve"> increased to 49</w:t>
      </w:r>
      <w:r w:rsidRPr="00CE5F63">
        <w:rPr>
          <w:rFonts w:asciiTheme="majorHAnsi" w:hAnsiTheme="majorHAnsi" w:cstheme="majorHAnsi"/>
          <w:color w:val="000000" w:themeColor="text1"/>
          <w:sz w:val="24"/>
          <w:szCs w:val="24"/>
        </w:rPr>
        <w:t xml:space="preserve"> </w:t>
      </w:r>
      <w:r>
        <w:rPr>
          <w:rFonts w:asciiTheme="majorHAnsi" w:hAnsiTheme="majorHAnsi" w:cstheme="majorHAnsi"/>
          <w:color w:val="000000" w:themeColor="text1"/>
          <w:sz w:val="24"/>
          <w:szCs w:val="24"/>
        </w:rPr>
        <w:t xml:space="preserve">per cent, those in the </w:t>
      </w:r>
      <w:r w:rsidRPr="00CE5F63">
        <w:rPr>
          <w:rFonts w:asciiTheme="majorHAnsi" w:hAnsiTheme="majorHAnsi" w:cstheme="majorHAnsi"/>
          <w:color w:val="000000" w:themeColor="text1"/>
          <w:sz w:val="24"/>
          <w:szCs w:val="24"/>
        </w:rPr>
        <w:t>Frustration level</w:t>
      </w:r>
      <w:r>
        <w:rPr>
          <w:rFonts w:asciiTheme="majorHAnsi" w:hAnsiTheme="majorHAnsi" w:cstheme="majorHAnsi"/>
          <w:color w:val="000000" w:themeColor="text1"/>
          <w:sz w:val="24"/>
          <w:szCs w:val="24"/>
        </w:rPr>
        <w:t xml:space="preserve"> also increased to 23</w:t>
      </w:r>
      <w:r w:rsidRPr="00CE5F63">
        <w:rPr>
          <w:rFonts w:asciiTheme="majorHAnsi" w:hAnsiTheme="majorHAnsi" w:cstheme="majorHAnsi"/>
          <w:color w:val="000000" w:themeColor="text1"/>
          <w:sz w:val="24"/>
          <w:szCs w:val="24"/>
        </w:rPr>
        <w:t xml:space="preserve"> </w:t>
      </w:r>
      <w:r>
        <w:rPr>
          <w:rFonts w:asciiTheme="majorHAnsi" w:hAnsiTheme="majorHAnsi" w:cstheme="majorHAnsi"/>
          <w:color w:val="000000" w:themeColor="text1"/>
          <w:sz w:val="24"/>
          <w:szCs w:val="24"/>
        </w:rPr>
        <w:t>per cent.</w:t>
      </w:r>
    </w:p>
    <w:p w14:paraId="45DC1E09" w14:textId="046FFA2E" w:rsidR="008D0CAD" w:rsidRPr="00362BE7" w:rsidRDefault="008D0CAD" w:rsidP="000479A3">
      <w:pPr>
        <w:pStyle w:val="Caption"/>
        <w:pageBreakBefore/>
        <w:spacing w:before="100" w:beforeAutospacing="1" w:after="100" w:afterAutospacing="1" w:line="360" w:lineRule="auto"/>
        <w:rPr>
          <w:rFonts w:asciiTheme="majorHAnsi" w:hAnsiTheme="majorHAnsi" w:cstheme="majorHAnsi"/>
          <w:sz w:val="22"/>
          <w:szCs w:val="22"/>
        </w:rPr>
      </w:pPr>
      <w:bookmarkStart w:id="81" w:name="_Toc71616533"/>
      <w:r w:rsidRPr="003A5B11">
        <w:rPr>
          <w:rFonts w:asciiTheme="majorHAnsi" w:hAnsiTheme="majorHAnsi" w:cstheme="majorHAnsi"/>
          <w:sz w:val="22"/>
          <w:szCs w:val="22"/>
        </w:rPr>
        <w:t xml:space="preserve">Figure </w:t>
      </w:r>
      <w:r w:rsidRPr="003A5B11">
        <w:rPr>
          <w:rFonts w:asciiTheme="majorHAnsi" w:hAnsiTheme="majorHAnsi" w:cstheme="majorHAnsi"/>
          <w:sz w:val="22"/>
          <w:szCs w:val="22"/>
        </w:rPr>
        <w:fldChar w:fldCharType="begin"/>
      </w:r>
      <w:r w:rsidRPr="003A5B11">
        <w:rPr>
          <w:rFonts w:asciiTheme="majorHAnsi" w:hAnsiTheme="majorHAnsi" w:cstheme="majorHAnsi"/>
          <w:sz w:val="22"/>
          <w:szCs w:val="22"/>
        </w:rPr>
        <w:instrText xml:space="preserve"> SEQ Figure \* ARABIC </w:instrText>
      </w:r>
      <w:r w:rsidRPr="003A5B11">
        <w:rPr>
          <w:rFonts w:asciiTheme="majorHAnsi" w:hAnsiTheme="majorHAnsi" w:cstheme="majorHAnsi"/>
          <w:sz w:val="22"/>
          <w:szCs w:val="22"/>
        </w:rPr>
        <w:fldChar w:fldCharType="separate"/>
      </w:r>
      <w:r w:rsidR="00D6133D">
        <w:rPr>
          <w:rFonts w:asciiTheme="majorHAnsi" w:hAnsiTheme="majorHAnsi" w:cstheme="majorHAnsi"/>
          <w:noProof/>
          <w:sz w:val="22"/>
          <w:szCs w:val="22"/>
        </w:rPr>
        <w:t>6</w:t>
      </w:r>
      <w:r w:rsidRPr="003A5B11">
        <w:rPr>
          <w:rFonts w:asciiTheme="majorHAnsi" w:hAnsiTheme="majorHAnsi" w:cstheme="majorHAnsi"/>
          <w:sz w:val="22"/>
          <w:szCs w:val="22"/>
        </w:rPr>
        <w:fldChar w:fldCharType="end"/>
      </w:r>
      <w:r w:rsidRPr="003A5B11">
        <w:rPr>
          <w:rFonts w:asciiTheme="majorHAnsi" w:hAnsiTheme="majorHAnsi" w:cstheme="majorHAnsi"/>
          <w:sz w:val="22"/>
          <w:szCs w:val="22"/>
        </w:rPr>
        <w:t xml:space="preserve">. </w:t>
      </w:r>
      <w:r w:rsidRPr="00362BE7">
        <w:rPr>
          <w:rFonts w:asciiTheme="majorHAnsi" w:hAnsiTheme="majorHAnsi" w:cstheme="majorHAnsi"/>
          <w:sz w:val="22"/>
          <w:szCs w:val="22"/>
        </w:rPr>
        <w:t>Snapshot of Phil-IRI test results for Grades 6 students from SY2013-2014 - SY2017-2018</w:t>
      </w:r>
      <w:bookmarkEnd w:id="81"/>
    </w:p>
    <w:p w14:paraId="28790A20" w14:textId="77777777" w:rsidR="008D0CAD" w:rsidRDefault="008D0CAD" w:rsidP="000479A3">
      <w:pPr>
        <w:pStyle w:val="BodyText"/>
        <w:spacing w:before="100" w:beforeAutospacing="1" w:after="100" w:afterAutospacing="1" w:line="360" w:lineRule="auto"/>
        <w:ind w:right="20"/>
        <w:rPr>
          <w:rFonts w:asciiTheme="majorHAnsi" w:hAnsiTheme="majorHAnsi" w:cstheme="majorHAnsi"/>
          <w:bCs/>
          <w:color w:val="C00000"/>
          <w:sz w:val="24"/>
          <w:szCs w:val="24"/>
        </w:rPr>
      </w:pPr>
      <w:r>
        <w:rPr>
          <w:noProof/>
          <w:lang w:val="en-AU" w:eastAsia="en-AU"/>
        </w:rPr>
        <w:drawing>
          <wp:inline distT="0" distB="0" distL="0" distR="0" wp14:anchorId="2BFBE4D8" wp14:editId="13707897">
            <wp:extent cx="4318000" cy="2472267"/>
            <wp:effectExtent l="0" t="0" r="12700" b="17145"/>
            <wp:docPr id="22" name="Chart 22" descr="Snapshot of the Philippines Informal Reading Inventory (Phil-IRI) test results for Grades 6 students from School years 2013-2014 to 2017-2018 - highest, F, Independent">
              <a:extLst xmlns:a="http://schemas.openxmlformats.org/drawingml/2006/main">
                <a:ext uri="{FF2B5EF4-FFF2-40B4-BE49-F238E27FC236}">
                  <a16:creationId xmlns:a16="http://schemas.microsoft.com/office/drawing/2014/main" id="{F786DB82-7025-244C-AB8C-AA94DCF60F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A9DF098" w14:textId="65D259EC" w:rsidR="00362BE7" w:rsidRPr="000479A3" w:rsidRDefault="008D0CAD" w:rsidP="000479A3">
      <w:pPr>
        <w:pStyle w:val="Caption"/>
        <w:spacing w:before="100" w:beforeAutospacing="1" w:after="100" w:afterAutospacing="1" w:line="360" w:lineRule="auto"/>
        <w:rPr>
          <w:rFonts w:asciiTheme="majorHAnsi" w:hAnsiTheme="majorHAnsi" w:cstheme="majorHAnsi"/>
          <w:sz w:val="20"/>
          <w:szCs w:val="20"/>
        </w:rPr>
      </w:pPr>
      <w:r w:rsidRPr="00362BE7">
        <w:rPr>
          <w:rFonts w:asciiTheme="majorHAnsi" w:hAnsiTheme="majorHAnsi" w:cstheme="majorHAnsi"/>
          <w:sz w:val="14"/>
          <w:szCs w:val="14"/>
        </w:rPr>
        <w:t>Source: Data from Participating Schools, 2019</w:t>
      </w:r>
    </w:p>
    <w:p w14:paraId="0823D0C3" w14:textId="77777777" w:rsidR="008D0CAD" w:rsidRDefault="008D0CAD" w:rsidP="000479A3">
      <w:pPr>
        <w:pStyle w:val="BodyText"/>
        <w:numPr>
          <w:ilvl w:val="0"/>
          <w:numId w:val="42"/>
        </w:numPr>
        <w:spacing w:before="100" w:beforeAutospacing="1" w:after="100" w:afterAutospacing="1" w:line="360" w:lineRule="auto"/>
        <w:ind w:right="20"/>
        <w:rPr>
          <w:rFonts w:asciiTheme="majorHAnsi" w:hAnsiTheme="majorHAnsi" w:cstheme="majorHAnsi"/>
          <w:bCs/>
          <w:color w:val="000000" w:themeColor="text1"/>
          <w:sz w:val="24"/>
          <w:szCs w:val="24"/>
        </w:rPr>
      </w:pPr>
      <w:r>
        <w:rPr>
          <w:rFonts w:asciiTheme="majorHAnsi" w:hAnsiTheme="majorHAnsi" w:cstheme="majorHAnsi"/>
          <w:color w:val="000000" w:themeColor="text1"/>
          <w:sz w:val="24"/>
          <w:szCs w:val="24"/>
        </w:rPr>
        <w:t>R</w:t>
      </w:r>
      <w:r w:rsidRPr="00CE5F63">
        <w:rPr>
          <w:rFonts w:asciiTheme="majorHAnsi" w:hAnsiTheme="majorHAnsi" w:cstheme="majorHAnsi"/>
          <w:color w:val="000000" w:themeColor="text1"/>
          <w:sz w:val="24"/>
          <w:szCs w:val="24"/>
        </w:rPr>
        <w:t xml:space="preserve">eading levels among </w:t>
      </w:r>
      <w:r>
        <w:rPr>
          <w:rFonts w:asciiTheme="majorHAnsi" w:hAnsiTheme="majorHAnsi" w:cstheme="majorHAnsi"/>
          <w:color w:val="000000" w:themeColor="text1"/>
          <w:sz w:val="24"/>
          <w:szCs w:val="24"/>
        </w:rPr>
        <w:t xml:space="preserve">girls </w:t>
      </w:r>
      <w:r w:rsidRPr="00CE5F63">
        <w:rPr>
          <w:rFonts w:asciiTheme="majorHAnsi" w:hAnsiTheme="majorHAnsi" w:cstheme="majorHAnsi"/>
          <w:color w:val="000000" w:themeColor="text1"/>
          <w:sz w:val="24"/>
          <w:szCs w:val="24"/>
        </w:rPr>
        <w:t xml:space="preserve">(in </w:t>
      </w:r>
      <w:r w:rsidRPr="00076D06">
        <w:rPr>
          <w:rFonts w:asciiTheme="majorHAnsi" w:hAnsiTheme="majorHAnsi" w:cstheme="majorHAnsi"/>
          <w:color w:val="000000" w:themeColor="text1"/>
          <w:sz w:val="24"/>
          <w:szCs w:val="24"/>
        </w:rPr>
        <w:t>SY2013-201</w:t>
      </w:r>
      <w:r w:rsidRPr="00CE5F63">
        <w:rPr>
          <w:rFonts w:asciiTheme="majorHAnsi" w:hAnsiTheme="majorHAnsi" w:cstheme="majorHAnsi"/>
          <w:color w:val="000000" w:themeColor="text1"/>
          <w:sz w:val="24"/>
          <w:szCs w:val="24"/>
        </w:rPr>
        <w:t xml:space="preserve">4) </w:t>
      </w:r>
      <w:r>
        <w:rPr>
          <w:rFonts w:asciiTheme="majorHAnsi" w:hAnsiTheme="majorHAnsi" w:cstheme="majorHAnsi"/>
          <w:color w:val="000000" w:themeColor="text1"/>
          <w:sz w:val="24"/>
          <w:szCs w:val="24"/>
        </w:rPr>
        <w:t>were: 8</w:t>
      </w:r>
      <w:r w:rsidRPr="00CE5F63">
        <w:rPr>
          <w:rFonts w:asciiTheme="majorHAnsi" w:hAnsiTheme="majorHAnsi" w:cstheme="majorHAnsi"/>
          <w:color w:val="000000" w:themeColor="text1"/>
          <w:sz w:val="24"/>
          <w:szCs w:val="24"/>
        </w:rPr>
        <w:t xml:space="preserve"> </w:t>
      </w:r>
      <w:r>
        <w:rPr>
          <w:rFonts w:asciiTheme="majorHAnsi" w:hAnsiTheme="majorHAnsi" w:cstheme="majorHAnsi"/>
          <w:color w:val="000000" w:themeColor="text1"/>
          <w:sz w:val="24"/>
          <w:szCs w:val="24"/>
        </w:rPr>
        <w:t>per cent</w:t>
      </w:r>
      <w:r w:rsidRPr="00CE5F63">
        <w:rPr>
          <w:rFonts w:asciiTheme="majorHAnsi" w:hAnsiTheme="majorHAnsi" w:cstheme="majorHAnsi"/>
          <w:color w:val="000000" w:themeColor="text1"/>
          <w:sz w:val="24"/>
          <w:szCs w:val="24"/>
        </w:rPr>
        <w:t xml:space="preserve"> Frustration level</w:t>
      </w:r>
      <w:r>
        <w:rPr>
          <w:rFonts w:asciiTheme="majorHAnsi" w:hAnsiTheme="majorHAnsi" w:cstheme="majorHAnsi"/>
          <w:color w:val="000000" w:themeColor="text1"/>
          <w:sz w:val="24"/>
          <w:szCs w:val="24"/>
        </w:rPr>
        <w:t>; 30 per cent</w:t>
      </w:r>
      <w:r w:rsidRPr="00CE5F63">
        <w:rPr>
          <w:rFonts w:asciiTheme="majorHAnsi" w:hAnsiTheme="majorHAnsi" w:cstheme="majorHAnsi"/>
          <w:color w:val="000000" w:themeColor="text1"/>
          <w:sz w:val="24"/>
          <w:szCs w:val="24"/>
        </w:rPr>
        <w:t xml:space="preserve"> Instructional level</w:t>
      </w:r>
      <w:r>
        <w:rPr>
          <w:rFonts w:asciiTheme="majorHAnsi" w:hAnsiTheme="majorHAnsi" w:cstheme="majorHAnsi"/>
          <w:color w:val="000000" w:themeColor="text1"/>
          <w:sz w:val="24"/>
          <w:szCs w:val="24"/>
        </w:rPr>
        <w:t>;</w:t>
      </w:r>
      <w:r w:rsidRPr="00CE5F63">
        <w:rPr>
          <w:rFonts w:asciiTheme="majorHAnsi" w:hAnsiTheme="majorHAnsi" w:cstheme="majorHAnsi"/>
          <w:color w:val="000000" w:themeColor="text1"/>
          <w:sz w:val="24"/>
          <w:szCs w:val="24"/>
        </w:rPr>
        <w:t xml:space="preserve"> and </w:t>
      </w:r>
      <w:r>
        <w:rPr>
          <w:rFonts w:asciiTheme="majorHAnsi" w:hAnsiTheme="majorHAnsi" w:cstheme="majorHAnsi"/>
          <w:color w:val="000000" w:themeColor="text1"/>
          <w:sz w:val="24"/>
          <w:szCs w:val="24"/>
        </w:rPr>
        <w:t>49</w:t>
      </w:r>
      <w:r w:rsidRPr="00CE5F63">
        <w:rPr>
          <w:rFonts w:asciiTheme="majorHAnsi" w:hAnsiTheme="majorHAnsi" w:cstheme="majorHAnsi"/>
          <w:color w:val="000000" w:themeColor="text1"/>
          <w:sz w:val="24"/>
          <w:szCs w:val="24"/>
        </w:rPr>
        <w:t xml:space="preserve"> </w:t>
      </w:r>
      <w:r>
        <w:rPr>
          <w:rFonts w:asciiTheme="majorHAnsi" w:hAnsiTheme="majorHAnsi" w:cstheme="majorHAnsi"/>
          <w:color w:val="000000" w:themeColor="text1"/>
          <w:sz w:val="24"/>
          <w:szCs w:val="24"/>
        </w:rPr>
        <w:t>per cent</w:t>
      </w:r>
      <w:r w:rsidRPr="00CE5F63">
        <w:rPr>
          <w:rFonts w:asciiTheme="majorHAnsi" w:hAnsiTheme="majorHAnsi" w:cstheme="majorHAnsi"/>
          <w:color w:val="000000" w:themeColor="text1"/>
          <w:sz w:val="24"/>
          <w:szCs w:val="24"/>
        </w:rPr>
        <w:t xml:space="preserve"> Independent level</w:t>
      </w:r>
      <w:r>
        <w:rPr>
          <w:rFonts w:asciiTheme="majorHAnsi" w:hAnsiTheme="majorHAnsi" w:cstheme="majorHAnsi"/>
          <w:color w:val="000000" w:themeColor="text1"/>
          <w:sz w:val="24"/>
          <w:szCs w:val="24"/>
        </w:rPr>
        <w:t>. By SY2017-2018, the distribution improved to: 15</w:t>
      </w:r>
      <w:r w:rsidRPr="00CE5F63">
        <w:rPr>
          <w:rFonts w:asciiTheme="majorHAnsi" w:hAnsiTheme="majorHAnsi" w:cstheme="majorHAnsi"/>
          <w:color w:val="000000" w:themeColor="text1"/>
          <w:sz w:val="24"/>
          <w:szCs w:val="24"/>
        </w:rPr>
        <w:t xml:space="preserve"> </w:t>
      </w:r>
      <w:r>
        <w:rPr>
          <w:rFonts w:asciiTheme="majorHAnsi" w:hAnsiTheme="majorHAnsi" w:cstheme="majorHAnsi"/>
          <w:color w:val="000000" w:themeColor="text1"/>
          <w:sz w:val="24"/>
          <w:szCs w:val="24"/>
        </w:rPr>
        <w:t>per cent</w:t>
      </w:r>
      <w:r w:rsidRPr="00CE5F63">
        <w:rPr>
          <w:rFonts w:asciiTheme="majorHAnsi" w:hAnsiTheme="majorHAnsi" w:cstheme="majorHAnsi"/>
          <w:color w:val="000000" w:themeColor="text1"/>
          <w:sz w:val="24"/>
          <w:szCs w:val="24"/>
        </w:rPr>
        <w:t xml:space="preserve"> Frustration level</w:t>
      </w:r>
      <w:r>
        <w:rPr>
          <w:rFonts w:asciiTheme="majorHAnsi" w:hAnsiTheme="majorHAnsi" w:cstheme="majorHAnsi"/>
          <w:color w:val="000000" w:themeColor="text1"/>
          <w:sz w:val="24"/>
          <w:szCs w:val="24"/>
        </w:rPr>
        <w:t>; 23 per cent</w:t>
      </w:r>
      <w:r w:rsidRPr="00CE5F63">
        <w:rPr>
          <w:rFonts w:asciiTheme="majorHAnsi" w:hAnsiTheme="majorHAnsi" w:cstheme="majorHAnsi"/>
          <w:color w:val="000000" w:themeColor="text1"/>
          <w:sz w:val="24"/>
          <w:szCs w:val="24"/>
        </w:rPr>
        <w:t xml:space="preserve"> Instructional level</w:t>
      </w:r>
      <w:r>
        <w:rPr>
          <w:rFonts w:asciiTheme="majorHAnsi" w:hAnsiTheme="majorHAnsi" w:cstheme="majorHAnsi"/>
          <w:color w:val="000000" w:themeColor="text1"/>
          <w:sz w:val="24"/>
          <w:szCs w:val="24"/>
        </w:rPr>
        <w:t>;</w:t>
      </w:r>
      <w:r w:rsidRPr="00CE5F63">
        <w:rPr>
          <w:rFonts w:asciiTheme="majorHAnsi" w:hAnsiTheme="majorHAnsi" w:cstheme="majorHAnsi"/>
          <w:color w:val="000000" w:themeColor="text1"/>
          <w:sz w:val="24"/>
          <w:szCs w:val="24"/>
        </w:rPr>
        <w:t xml:space="preserve"> and </w:t>
      </w:r>
      <w:r>
        <w:rPr>
          <w:rFonts w:asciiTheme="majorHAnsi" w:hAnsiTheme="majorHAnsi" w:cstheme="majorHAnsi"/>
          <w:color w:val="000000" w:themeColor="text1"/>
          <w:sz w:val="24"/>
          <w:szCs w:val="24"/>
        </w:rPr>
        <w:t>62</w:t>
      </w:r>
      <w:r w:rsidRPr="00CE5F63">
        <w:rPr>
          <w:rFonts w:asciiTheme="majorHAnsi" w:hAnsiTheme="majorHAnsi" w:cstheme="majorHAnsi"/>
          <w:color w:val="000000" w:themeColor="text1"/>
          <w:sz w:val="24"/>
          <w:szCs w:val="24"/>
        </w:rPr>
        <w:t xml:space="preserve"> </w:t>
      </w:r>
      <w:r>
        <w:rPr>
          <w:rFonts w:asciiTheme="majorHAnsi" w:hAnsiTheme="majorHAnsi" w:cstheme="majorHAnsi"/>
          <w:color w:val="000000" w:themeColor="text1"/>
          <w:sz w:val="24"/>
          <w:szCs w:val="24"/>
        </w:rPr>
        <w:t>per cent</w:t>
      </w:r>
      <w:r w:rsidRPr="00CE5F63">
        <w:rPr>
          <w:rFonts w:asciiTheme="majorHAnsi" w:hAnsiTheme="majorHAnsi" w:cstheme="majorHAnsi"/>
          <w:color w:val="000000" w:themeColor="text1"/>
          <w:sz w:val="24"/>
          <w:szCs w:val="24"/>
        </w:rPr>
        <w:t xml:space="preserve"> Independent level</w:t>
      </w:r>
      <w:r>
        <w:rPr>
          <w:rFonts w:asciiTheme="majorHAnsi" w:hAnsiTheme="majorHAnsi" w:cstheme="majorHAnsi"/>
          <w:color w:val="000000" w:themeColor="text1"/>
          <w:sz w:val="24"/>
          <w:szCs w:val="24"/>
        </w:rPr>
        <w:t>.</w:t>
      </w:r>
    </w:p>
    <w:p w14:paraId="37631D17" w14:textId="44ECA037" w:rsidR="008D0CAD" w:rsidRPr="000479A3" w:rsidRDefault="008D0CAD" w:rsidP="000479A3">
      <w:pPr>
        <w:pStyle w:val="BodyText"/>
        <w:numPr>
          <w:ilvl w:val="0"/>
          <w:numId w:val="42"/>
        </w:numPr>
        <w:spacing w:before="100" w:beforeAutospacing="1" w:after="100" w:afterAutospacing="1" w:line="360" w:lineRule="auto"/>
        <w:ind w:right="20"/>
        <w:rPr>
          <w:rFonts w:asciiTheme="majorHAnsi" w:hAnsiTheme="majorHAnsi" w:cstheme="majorHAnsi"/>
          <w:bCs/>
          <w:color w:val="000000" w:themeColor="text1"/>
          <w:sz w:val="24"/>
          <w:szCs w:val="24"/>
        </w:rPr>
      </w:pPr>
      <w:r>
        <w:rPr>
          <w:rFonts w:asciiTheme="majorHAnsi" w:hAnsiTheme="majorHAnsi" w:cstheme="majorHAnsi"/>
          <w:bCs/>
          <w:color w:val="000000" w:themeColor="text1"/>
          <w:sz w:val="24"/>
          <w:szCs w:val="24"/>
        </w:rPr>
        <w:t>Grade 6 student girls still outperformed boys in terms of reading skills.</w:t>
      </w:r>
    </w:p>
    <w:p w14:paraId="258BA778" w14:textId="44CB3B0B" w:rsidR="008D0CAD" w:rsidRPr="000479A3" w:rsidRDefault="008D0CAD" w:rsidP="000479A3">
      <w:pPr>
        <w:pStyle w:val="BodyText"/>
        <w:spacing w:before="100" w:beforeAutospacing="1" w:after="100" w:afterAutospacing="1" w:line="360" w:lineRule="auto"/>
        <w:ind w:right="20"/>
        <w:rPr>
          <w:rFonts w:asciiTheme="majorHAnsi" w:hAnsiTheme="majorHAnsi" w:cstheme="majorHAnsi"/>
          <w:color w:val="000000" w:themeColor="text1"/>
          <w:sz w:val="24"/>
          <w:szCs w:val="24"/>
        </w:rPr>
      </w:pPr>
      <w:r w:rsidRPr="00C17290">
        <w:rPr>
          <w:rFonts w:asciiTheme="majorHAnsi" w:hAnsiTheme="majorHAnsi" w:cstheme="majorHAnsi"/>
          <w:bCs/>
          <w:color w:val="000000" w:themeColor="text1"/>
          <w:sz w:val="24"/>
          <w:szCs w:val="24"/>
        </w:rPr>
        <w:t>See Annex T. Phil-IRI test results for Grades 4, 5 and 6 students</w:t>
      </w:r>
      <w:r w:rsidRPr="00C17290">
        <w:rPr>
          <w:rFonts w:asciiTheme="majorHAnsi" w:hAnsiTheme="majorHAnsi" w:cstheme="majorHAnsi"/>
          <w:color w:val="000000" w:themeColor="text1"/>
          <w:sz w:val="24"/>
          <w:szCs w:val="24"/>
        </w:rPr>
        <w:t xml:space="preserve"> from SY2013-2014 to SY2017-2018.</w:t>
      </w:r>
    </w:p>
    <w:tbl>
      <w:tblPr>
        <w:tblStyle w:val="TableGrid"/>
        <w:tblW w:w="0" w:type="auto"/>
        <w:tblLook w:val="04A0" w:firstRow="1" w:lastRow="0" w:firstColumn="1" w:lastColumn="0" w:noHBand="0" w:noVBand="1"/>
      </w:tblPr>
      <w:tblGrid>
        <w:gridCol w:w="9010"/>
      </w:tblGrid>
      <w:tr w:rsidR="008D0CAD" w14:paraId="016CC061" w14:textId="77777777" w:rsidTr="009C64E9">
        <w:tc>
          <w:tcPr>
            <w:tcW w:w="9010" w:type="dxa"/>
            <w:shd w:val="clear" w:color="auto" w:fill="D9D9D9" w:themeFill="background1" w:themeFillShade="D9"/>
          </w:tcPr>
          <w:p w14:paraId="79A47856" w14:textId="4FD5CF8E" w:rsidR="008D0CAD" w:rsidRDefault="008D0CAD" w:rsidP="000479A3">
            <w:pPr>
              <w:pStyle w:val="BodyText"/>
              <w:spacing w:before="100" w:beforeAutospacing="1" w:after="100" w:afterAutospacing="1" w:line="360" w:lineRule="auto"/>
              <w:ind w:right="23"/>
              <w:rPr>
                <w:rFonts w:asciiTheme="majorHAnsi" w:eastAsiaTheme="minorHAnsi" w:hAnsiTheme="majorHAnsi" w:cstheme="majorHAnsi"/>
                <w:sz w:val="24"/>
                <w:szCs w:val="24"/>
              </w:rPr>
            </w:pPr>
            <w:r w:rsidRPr="00FF4CA3">
              <w:rPr>
                <w:rFonts w:asciiTheme="majorHAnsi" w:eastAsiaTheme="minorHAnsi" w:hAnsiTheme="majorHAnsi" w:cstheme="majorHAnsi"/>
                <w:b/>
                <w:bCs/>
                <w:sz w:val="24"/>
                <w:szCs w:val="24"/>
              </w:rPr>
              <w:t>Summary</w:t>
            </w:r>
            <w:r>
              <w:rPr>
                <w:rFonts w:asciiTheme="majorHAnsi" w:eastAsiaTheme="minorHAnsi" w:hAnsiTheme="majorHAnsi" w:cstheme="majorHAnsi"/>
                <w:sz w:val="24"/>
                <w:szCs w:val="24"/>
              </w:rPr>
              <w:t>.</w:t>
            </w:r>
            <w:r w:rsidR="00D434EB">
              <w:rPr>
                <w:rFonts w:asciiTheme="majorHAnsi" w:eastAsiaTheme="minorHAnsi" w:hAnsiTheme="majorHAnsi" w:cstheme="majorHAnsi"/>
                <w:sz w:val="24"/>
                <w:szCs w:val="24"/>
              </w:rPr>
              <w:t xml:space="preserve"> </w:t>
            </w:r>
          </w:p>
          <w:p w14:paraId="35A981F7" w14:textId="77777777" w:rsidR="008D0CAD" w:rsidRPr="00300192" w:rsidRDefault="008D0CAD" w:rsidP="000479A3">
            <w:pPr>
              <w:pStyle w:val="BodyText"/>
              <w:spacing w:before="100" w:beforeAutospacing="1" w:after="100" w:afterAutospacing="1" w:line="360" w:lineRule="auto"/>
              <w:ind w:right="23"/>
              <w:rPr>
                <w:rFonts w:asciiTheme="majorHAnsi" w:hAnsiTheme="majorHAnsi" w:cstheme="majorHAnsi"/>
                <w:color w:val="000000" w:themeColor="text1"/>
                <w:sz w:val="24"/>
                <w:szCs w:val="24"/>
              </w:rPr>
            </w:pPr>
            <w:r>
              <w:rPr>
                <w:rFonts w:asciiTheme="majorHAnsi" w:eastAsiaTheme="minorHAnsi" w:hAnsiTheme="majorHAnsi" w:cstheme="majorHAnsi"/>
                <w:sz w:val="24"/>
                <w:szCs w:val="24"/>
              </w:rPr>
              <w:t>D</w:t>
            </w:r>
            <w:r>
              <w:rPr>
                <w:rFonts w:asciiTheme="majorHAnsi" w:hAnsiTheme="majorHAnsi" w:cstheme="majorHAnsi"/>
                <w:color w:val="000000" w:themeColor="text1"/>
                <w:sz w:val="24"/>
                <w:szCs w:val="24"/>
              </w:rPr>
              <w:t>ata limitations</w:t>
            </w:r>
            <w:r w:rsidRPr="00300192">
              <w:rPr>
                <w:rFonts w:asciiTheme="majorHAnsi" w:hAnsiTheme="majorHAnsi" w:cstheme="majorHAnsi"/>
                <w:color w:val="000000" w:themeColor="text1"/>
                <w:sz w:val="24"/>
                <w:szCs w:val="24"/>
              </w:rPr>
              <w:t xml:space="preserve"> </w:t>
            </w:r>
            <w:r>
              <w:rPr>
                <w:rFonts w:asciiTheme="majorHAnsi" w:hAnsiTheme="majorHAnsi" w:cstheme="majorHAnsi"/>
                <w:color w:val="000000" w:themeColor="text1"/>
                <w:sz w:val="24"/>
                <w:szCs w:val="24"/>
              </w:rPr>
              <w:t xml:space="preserve">prevented the Study from better </w:t>
            </w:r>
            <w:r w:rsidRPr="00300192">
              <w:rPr>
                <w:rFonts w:asciiTheme="majorHAnsi" w:eastAsiaTheme="minorHAnsi" w:hAnsiTheme="majorHAnsi" w:cstheme="majorHAnsi"/>
                <w:sz w:val="24"/>
                <w:szCs w:val="24"/>
              </w:rPr>
              <w:t>illustrat</w:t>
            </w:r>
            <w:r>
              <w:rPr>
                <w:rFonts w:asciiTheme="majorHAnsi" w:eastAsiaTheme="minorHAnsi" w:hAnsiTheme="majorHAnsi" w:cstheme="majorHAnsi"/>
                <w:sz w:val="24"/>
                <w:szCs w:val="24"/>
              </w:rPr>
              <w:t>ing</w:t>
            </w:r>
            <w:r w:rsidRPr="00300192">
              <w:rPr>
                <w:rFonts w:asciiTheme="majorHAnsi" w:eastAsiaTheme="minorHAnsi" w:hAnsiTheme="majorHAnsi" w:cstheme="majorHAnsi"/>
                <w:sz w:val="24"/>
                <w:szCs w:val="24"/>
              </w:rPr>
              <w:t xml:space="preserve"> the extent </w:t>
            </w:r>
            <w:r>
              <w:rPr>
                <w:rFonts w:asciiTheme="majorHAnsi" w:eastAsiaTheme="minorHAnsi" w:hAnsiTheme="majorHAnsi" w:cstheme="majorHAnsi"/>
                <w:sz w:val="24"/>
                <w:szCs w:val="24"/>
              </w:rPr>
              <w:t xml:space="preserve">to which </w:t>
            </w:r>
            <w:r w:rsidRPr="00300192">
              <w:rPr>
                <w:rFonts w:asciiTheme="majorHAnsi" w:hAnsiTheme="majorHAnsi" w:cstheme="majorHAnsi"/>
                <w:bCs/>
                <w:color w:val="000000" w:themeColor="text1"/>
                <w:sz w:val="24"/>
                <w:szCs w:val="24"/>
              </w:rPr>
              <w:t xml:space="preserve">BEST </w:t>
            </w:r>
            <w:r>
              <w:rPr>
                <w:rFonts w:asciiTheme="majorHAnsi" w:hAnsiTheme="majorHAnsi" w:cstheme="majorHAnsi"/>
                <w:bCs/>
                <w:color w:val="000000" w:themeColor="text1"/>
                <w:sz w:val="24"/>
                <w:szCs w:val="24"/>
              </w:rPr>
              <w:t xml:space="preserve">Program </w:t>
            </w:r>
            <w:r w:rsidRPr="00300192">
              <w:rPr>
                <w:rFonts w:asciiTheme="majorHAnsi" w:hAnsiTheme="majorHAnsi" w:cstheme="majorHAnsi"/>
                <w:bCs/>
                <w:color w:val="000000" w:themeColor="text1"/>
                <w:sz w:val="24"/>
                <w:szCs w:val="24"/>
              </w:rPr>
              <w:t xml:space="preserve">interventions </w:t>
            </w:r>
            <w:r>
              <w:rPr>
                <w:rFonts w:asciiTheme="majorHAnsi" w:hAnsiTheme="majorHAnsi" w:cstheme="majorHAnsi"/>
                <w:bCs/>
                <w:color w:val="000000" w:themeColor="text1"/>
                <w:sz w:val="24"/>
                <w:szCs w:val="24"/>
              </w:rPr>
              <w:t>improved student mastery. Nevertheless, t</w:t>
            </w:r>
            <w:r w:rsidRPr="00300192">
              <w:rPr>
                <w:rFonts w:asciiTheme="majorHAnsi" w:hAnsiTheme="majorHAnsi" w:cstheme="majorHAnsi"/>
                <w:color w:val="000000" w:themeColor="text1"/>
                <w:sz w:val="24"/>
                <w:szCs w:val="24"/>
              </w:rPr>
              <w:t>he case of the 25 schools</w:t>
            </w:r>
            <w:r>
              <w:rPr>
                <w:rFonts w:asciiTheme="majorHAnsi" w:hAnsiTheme="majorHAnsi" w:cstheme="majorHAnsi"/>
                <w:color w:val="000000" w:themeColor="text1"/>
                <w:sz w:val="24"/>
                <w:szCs w:val="24"/>
              </w:rPr>
              <w:t xml:space="preserve"> did present some trends such as</w:t>
            </w:r>
            <w:r w:rsidRPr="00300192">
              <w:rPr>
                <w:rFonts w:asciiTheme="majorHAnsi" w:hAnsiTheme="majorHAnsi" w:cstheme="majorHAnsi"/>
                <w:color w:val="000000" w:themeColor="text1"/>
                <w:sz w:val="24"/>
                <w:szCs w:val="24"/>
              </w:rPr>
              <w:t>:</w:t>
            </w:r>
          </w:p>
          <w:p w14:paraId="42EBAAFC" w14:textId="7F472059" w:rsidR="008D0CAD" w:rsidRPr="00300192" w:rsidRDefault="008D0CAD" w:rsidP="000479A3">
            <w:pPr>
              <w:pStyle w:val="BodyText"/>
              <w:numPr>
                <w:ilvl w:val="0"/>
                <w:numId w:val="29"/>
              </w:numPr>
              <w:spacing w:before="100" w:beforeAutospacing="1" w:after="100" w:afterAutospacing="1" w:line="360" w:lineRule="auto"/>
              <w:ind w:right="14"/>
              <w:rPr>
                <w:rFonts w:asciiTheme="majorHAnsi" w:hAnsiTheme="majorHAnsi" w:cstheme="majorHAnsi"/>
                <w:bCs/>
                <w:color w:val="000000" w:themeColor="text1"/>
                <w:sz w:val="24"/>
                <w:szCs w:val="24"/>
              </w:rPr>
            </w:pPr>
            <w:r w:rsidRPr="00300192">
              <w:rPr>
                <w:rFonts w:asciiTheme="majorHAnsi" w:hAnsiTheme="majorHAnsi" w:cstheme="majorHAnsi"/>
                <w:bCs/>
                <w:color w:val="000000" w:themeColor="text1"/>
                <w:sz w:val="24"/>
                <w:szCs w:val="24"/>
              </w:rPr>
              <w:t xml:space="preserve">Increases in average grades among students in BEST Program-supported schools </w:t>
            </w:r>
            <w:r>
              <w:rPr>
                <w:rFonts w:asciiTheme="majorHAnsi" w:hAnsiTheme="majorHAnsi" w:cstheme="majorHAnsi"/>
                <w:bCs/>
                <w:color w:val="000000" w:themeColor="text1"/>
                <w:sz w:val="24"/>
                <w:szCs w:val="24"/>
              </w:rPr>
              <w:t xml:space="preserve">over the period in review </w:t>
            </w:r>
            <w:r w:rsidRPr="00300192">
              <w:rPr>
                <w:rFonts w:asciiTheme="majorHAnsi" w:hAnsiTheme="majorHAnsi" w:cstheme="majorHAnsi"/>
                <w:bCs/>
                <w:color w:val="000000" w:themeColor="text1"/>
                <w:sz w:val="24"/>
                <w:szCs w:val="24"/>
              </w:rPr>
              <w:t>were generally higher than in the compar</w:t>
            </w:r>
            <w:r>
              <w:rPr>
                <w:rFonts w:asciiTheme="majorHAnsi" w:hAnsiTheme="majorHAnsi" w:cstheme="majorHAnsi"/>
                <w:bCs/>
                <w:color w:val="000000" w:themeColor="text1"/>
                <w:sz w:val="24"/>
                <w:szCs w:val="24"/>
              </w:rPr>
              <w:t>ison</w:t>
            </w:r>
            <w:r w:rsidRPr="00300192">
              <w:rPr>
                <w:rFonts w:asciiTheme="majorHAnsi" w:hAnsiTheme="majorHAnsi" w:cstheme="majorHAnsi"/>
                <w:bCs/>
                <w:color w:val="000000" w:themeColor="text1"/>
                <w:sz w:val="24"/>
                <w:szCs w:val="24"/>
              </w:rPr>
              <w:t xml:space="preserve"> schools;</w:t>
            </w:r>
            <w:r w:rsidR="00D434EB">
              <w:rPr>
                <w:rFonts w:asciiTheme="majorHAnsi" w:hAnsiTheme="majorHAnsi" w:cstheme="majorHAnsi"/>
                <w:bCs/>
                <w:color w:val="000000" w:themeColor="text1"/>
                <w:sz w:val="24"/>
                <w:szCs w:val="24"/>
              </w:rPr>
              <w:t xml:space="preserve"> </w:t>
            </w:r>
          </w:p>
          <w:p w14:paraId="660B5F9C" w14:textId="77777777" w:rsidR="008D0CAD" w:rsidRPr="00300192" w:rsidRDefault="008D0CAD" w:rsidP="000479A3">
            <w:pPr>
              <w:pStyle w:val="BodyText"/>
              <w:numPr>
                <w:ilvl w:val="0"/>
                <w:numId w:val="29"/>
              </w:numPr>
              <w:spacing w:before="100" w:beforeAutospacing="1" w:after="100" w:afterAutospacing="1" w:line="360" w:lineRule="auto"/>
              <w:ind w:right="14"/>
              <w:rPr>
                <w:rFonts w:asciiTheme="majorHAnsi" w:hAnsiTheme="majorHAnsi" w:cstheme="majorHAnsi"/>
                <w:iCs/>
                <w:sz w:val="24"/>
                <w:szCs w:val="24"/>
              </w:rPr>
            </w:pPr>
            <w:r w:rsidRPr="00300192">
              <w:rPr>
                <w:rFonts w:asciiTheme="majorHAnsi" w:hAnsiTheme="majorHAnsi" w:cstheme="majorHAnsi"/>
                <w:iCs/>
                <w:color w:val="000000" w:themeColor="text1"/>
                <w:sz w:val="24"/>
                <w:szCs w:val="24"/>
              </w:rPr>
              <w:t xml:space="preserve">Reduction in gender grade differentials among Grade 4 and Grade 6 students in </w:t>
            </w:r>
            <w:r w:rsidRPr="00300192">
              <w:rPr>
                <w:rFonts w:asciiTheme="majorHAnsi" w:hAnsiTheme="majorHAnsi" w:cstheme="majorHAnsi"/>
                <w:bCs/>
                <w:color w:val="000000" w:themeColor="text1"/>
                <w:sz w:val="24"/>
                <w:szCs w:val="24"/>
              </w:rPr>
              <w:t xml:space="preserve">BEST Program-supported schools </w:t>
            </w:r>
            <w:r w:rsidRPr="00300192">
              <w:rPr>
                <w:rFonts w:asciiTheme="majorHAnsi" w:hAnsiTheme="majorHAnsi" w:cstheme="majorHAnsi"/>
                <w:iCs/>
                <w:color w:val="000000" w:themeColor="text1"/>
                <w:sz w:val="24"/>
                <w:szCs w:val="24"/>
              </w:rPr>
              <w:t>in all subjects were more pronounced</w:t>
            </w:r>
            <w:r>
              <w:rPr>
                <w:rFonts w:asciiTheme="majorHAnsi" w:hAnsiTheme="majorHAnsi" w:cstheme="majorHAnsi"/>
                <w:iCs/>
                <w:color w:val="000000" w:themeColor="text1"/>
                <w:sz w:val="24"/>
                <w:szCs w:val="24"/>
              </w:rPr>
              <w:t xml:space="preserve"> </w:t>
            </w:r>
            <w:r w:rsidRPr="00300192">
              <w:rPr>
                <w:rFonts w:asciiTheme="majorHAnsi" w:hAnsiTheme="majorHAnsi" w:cstheme="majorHAnsi"/>
                <w:bCs/>
                <w:color w:val="000000" w:themeColor="text1"/>
                <w:sz w:val="24"/>
                <w:szCs w:val="24"/>
              </w:rPr>
              <w:t>than in the compar</w:t>
            </w:r>
            <w:r>
              <w:rPr>
                <w:rFonts w:asciiTheme="majorHAnsi" w:hAnsiTheme="majorHAnsi" w:cstheme="majorHAnsi"/>
                <w:bCs/>
                <w:color w:val="000000" w:themeColor="text1"/>
                <w:sz w:val="24"/>
                <w:szCs w:val="24"/>
              </w:rPr>
              <w:t>ison</w:t>
            </w:r>
            <w:r w:rsidRPr="00300192">
              <w:rPr>
                <w:rFonts w:asciiTheme="majorHAnsi" w:hAnsiTheme="majorHAnsi" w:cstheme="majorHAnsi"/>
                <w:bCs/>
                <w:color w:val="000000" w:themeColor="text1"/>
                <w:sz w:val="24"/>
                <w:szCs w:val="24"/>
              </w:rPr>
              <w:t xml:space="preserve"> schools</w:t>
            </w:r>
            <w:r w:rsidRPr="00300192">
              <w:rPr>
                <w:rFonts w:asciiTheme="majorHAnsi" w:hAnsiTheme="majorHAnsi" w:cstheme="majorHAnsi"/>
                <w:iCs/>
                <w:sz w:val="24"/>
                <w:szCs w:val="24"/>
              </w:rPr>
              <w:t xml:space="preserve">; </w:t>
            </w:r>
          </w:p>
          <w:p w14:paraId="5D5FCA3F" w14:textId="77777777" w:rsidR="008D0CAD" w:rsidRPr="00300192" w:rsidRDefault="008D0CAD" w:rsidP="000479A3">
            <w:pPr>
              <w:pStyle w:val="BodyText"/>
              <w:numPr>
                <w:ilvl w:val="0"/>
                <w:numId w:val="29"/>
              </w:numPr>
              <w:spacing w:before="100" w:beforeAutospacing="1" w:after="100" w:afterAutospacing="1" w:line="360" w:lineRule="auto"/>
              <w:ind w:right="14"/>
              <w:rPr>
                <w:rFonts w:asciiTheme="majorHAnsi" w:hAnsiTheme="majorHAnsi" w:cstheme="majorHAnsi"/>
                <w:iCs/>
                <w:sz w:val="24"/>
                <w:szCs w:val="24"/>
              </w:rPr>
            </w:pPr>
            <w:r w:rsidRPr="00300192">
              <w:rPr>
                <w:rFonts w:asciiTheme="majorHAnsi" w:hAnsiTheme="majorHAnsi" w:cstheme="majorHAnsi"/>
                <w:iCs/>
                <w:sz w:val="24"/>
                <w:szCs w:val="24"/>
              </w:rPr>
              <w:t xml:space="preserve">Gender </w:t>
            </w:r>
            <w:r w:rsidRPr="00300192">
              <w:rPr>
                <w:rFonts w:asciiTheme="majorHAnsi" w:hAnsiTheme="majorHAnsi" w:cstheme="majorHAnsi"/>
                <w:iCs/>
                <w:color w:val="000000" w:themeColor="text1"/>
                <w:sz w:val="24"/>
                <w:szCs w:val="24"/>
              </w:rPr>
              <w:t xml:space="preserve">grade differentials worsened for Grade 5 students in </w:t>
            </w:r>
            <w:r w:rsidRPr="00300192">
              <w:rPr>
                <w:rFonts w:asciiTheme="majorHAnsi" w:hAnsiTheme="majorHAnsi" w:cstheme="majorHAnsi"/>
                <w:bCs/>
                <w:color w:val="000000" w:themeColor="text1"/>
                <w:sz w:val="24"/>
                <w:szCs w:val="24"/>
              </w:rPr>
              <w:t>BEST Program-supported schools</w:t>
            </w:r>
            <w:r w:rsidRPr="00300192">
              <w:rPr>
                <w:rFonts w:asciiTheme="majorHAnsi" w:hAnsiTheme="majorHAnsi" w:cstheme="majorHAnsi"/>
                <w:iCs/>
                <w:color w:val="000000" w:themeColor="text1"/>
                <w:sz w:val="24"/>
                <w:szCs w:val="24"/>
              </w:rPr>
              <w:t xml:space="preserve"> in all subjects; </w:t>
            </w:r>
            <w:r w:rsidRPr="00300192">
              <w:rPr>
                <w:rFonts w:asciiTheme="majorHAnsi" w:hAnsiTheme="majorHAnsi" w:cstheme="majorHAnsi"/>
                <w:iCs/>
                <w:sz w:val="24"/>
                <w:szCs w:val="24"/>
              </w:rPr>
              <w:t>and</w:t>
            </w:r>
          </w:p>
          <w:p w14:paraId="3EDEC647" w14:textId="77777777" w:rsidR="008D0CAD" w:rsidRPr="00047ACB" w:rsidRDefault="008D0CAD" w:rsidP="000479A3">
            <w:pPr>
              <w:pStyle w:val="BodyText"/>
              <w:numPr>
                <w:ilvl w:val="0"/>
                <w:numId w:val="29"/>
              </w:numPr>
              <w:spacing w:before="100" w:beforeAutospacing="1" w:after="100" w:afterAutospacing="1" w:line="360" w:lineRule="auto"/>
              <w:ind w:right="20"/>
              <w:rPr>
                <w:rFonts w:asciiTheme="majorHAnsi" w:hAnsiTheme="majorHAnsi" w:cstheme="majorHAnsi"/>
                <w:color w:val="000000" w:themeColor="text1"/>
                <w:sz w:val="24"/>
                <w:szCs w:val="24"/>
              </w:rPr>
            </w:pPr>
            <w:r w:rsidRPr="00047ACB">
              <w:rPr>
                <w:rFonts w:asciiTheme="majorHAnsi" w:hAnsiTheme="majorHAnsi" w:cstheme="majorHAnsi"/>
                <w:bCs/>
                <w:color w:val="000000" w:themeColor="text1"/>
                <w:sz w:val="24"/>
                <w:szCs w:val="24"/>
              </w:rPr>
              <w:t>The limited data on Phil-IRI test results among students from 16 schools (both directly and indirectly supported schools) showed three patterns: there were generally more girls at the Independent level than boys for all grade levels; over</w:t>
            </w:r>
            <w:r>
              <w:rPr>
                <w:rFonts w:asciiTheme="majorHAnsi" w:hAnsiTheme="majorHAnsi" w:cstheme="majorHAnsi"/>
                <w:bCs/>
                <w:color w:val="000000" w:themeColor="text1"/>
                <w:sz w:val="24"/>
                <w:szCs w:val="24"/>
              </w:rPr>
              <w:t xml:space="preserve"> </w:t>
            </w:r>
            <w:r w:rsidRPr="00047ACB">
              <w:rPr>
                <w:rFonts w:asciiTheme="majorHAnsi" w:hAnsiTheme="majorHAnsi" w:cstheme="majorHAnsi"/>
                <w:bCs/>
                <w:color w:val="000000" w:themeColor="text1"/>
                <w:sz w:val="24"/>
                <w:szCs w:val="24"/>
              </w:rPr>
              <w:t>time, the reading levels of both boys and girls improved from Grade 4 to Grade 6; and improvement in reading skills of girls was greater than that of boys.</w:t>
            </w:r>
          </w:p>
          <w:p w14:paraId="03696125" w14:textId="2B0BF8D4" w:rsidR="008D0CAD" w:rsidRDefault="008D0CAD" w:rsidP="000479A3">
            <w:pPr>
              <w:pStyle w:val="BodyText"/>
              <w:spacing w:before="100" w:beforeAutospacing="1" w:after="100" w:afterAutospacing="1" w:line="360" w:lineRule="auto"/>
              <w:ind w:right="23"/>
              <w:rPr>
                <w:rFonts w:asciiTheme="majorHAnsi" w:eastAsiaTheme="minorHAnsi" w:hAnsiTheme="majorHAnsi" w:cstheme="majorHAnsi"/>
                <w:sz w:val="24"/>
                <w:szCs w:val="24"/>
              </w:rPr>
            </w:pPr>
            <w:r w:rsidRPr="00300192">
              <w:rPr>
                <w:rFonts w:asciiTheme="majorHAnsi" w:hAnsiTheme="majorHAnsi" w:cstheme="majorHAnsi"/>
                <w:color w:val="000000" w:themeColor="text1"/>
                <w:sz w:val="24"/>
                <w:szCs w:val="24"/>
              </w:rPr>
              <w:t xml:space="preserve">Note that all findings apply only to the set of </w:t>
            </w:r>
            <w:r>
              <w:rPr>
                <w:rFonts w:asciiTheme="majorHAnsi" w:hAnsiTheme="majorHAnsi" w:cstheme="majorHAnsi"/>
                <w:color w:val="000000" w:themeColor="text1"/>
                <w:sz w:val="24"/>
                <w:szCs w:val="24"/>
              </w:rPr>
              <w:t xml:space="preserve">25 </w:t>
            </w:r>
            <w:r w:rsidRPr="00300192">
              <w:rPr>
                <w:rFonts w:asciiTheme="majorHAnsi" w:hAnsiTheme="majorHAnsi" w:cstheme="majorHAnsi"/>
                <w:color w:val="000000" w:themeColor="text1"/>
                <w:sz w:val="24"/>
                <w:szCs w:val="24"/>
              </w:rPr>
              <w:t>schools that provided data.</w:t>
            </w:r>
            <w:r w:rsidR="00D434EB">
              <w:rPr>
                <w:rFonts w:asciiTheme="majorHAnsi" w:hAnsiTheme="majorHAnsi" w:cstheme="majorHAnsi"/>
                <w:color w:val="000000" w:themeColor="text1"/>
                <w:sz w:val="24"/>
                <w:szCs w:val="24"/>
              </w:rPr>
              <w:t xml:space="preserve"> </w:t>
            </w:r>
            <w:r>
              <w:rPr>
                <w:rFonts w:asciiTheme="majorHAnsi" w:hAnsiTheme="majorHAnsi" w:cstheme="majorHAnsi"/>
                <w:color w:val="000000" w:themeColor="text1"/>
                <w:sz w:val="24"/>
                <w:szCs w:val="24"/>
              </w:rPr>
              <w:t>D</w:t>
            </w:r>
            <w:r w:rsidRPr="00300192">
              <w:rPr>
                <w:rFonts w:asciiTheme="majorHAnsi" w:hAnsiTheme="majorHAnsi" w:cstheme="majorHAnsi"/>
                <w:color w:val="000000" w:themeColor="text1"/>
                <w:sz w:val="24"/>
                <w:szCs w:val="24"/>
              </w:rPr>
              <w:t xml:space="preserve">ata limitations and the recency of </w:t>
            </w:r>
            <w:r>
              <w:rPr>
                <w:rFonts w:asciiTheme="majorHAnsi" w:hAnsiTheme="majorHAnsi" w:cstheme="majorHAnsi"/>
                <w:color w:val="000000" w:themeColor="text1"/>
                <w:sz w:val="24"/>
                <w:szCs w:val="24"/>
              </w:rPr>
              <w:t xml:space="preserve">key </w:t>
            </w:r>
            <w:r w:rsidRPr="00300192">
              <w:rPr>
                <w:rFonts w:asciiTheme="majorHAnsi" w:hAnsiTheme="majorHAnsi" w:cstheme="majorHAnsi"/>
                <w:color w:val="000000" w:themeColor="text1"/>
                <w:sz w:val="24"/>
                <w:szCs w:val="24"/>
              </w:rPr>
              <w:t>program interventions</w:t>
            </w:r>
            <w:r>
              <w:rPr>
                <w:rFonts w:asciiTheme="majorHAnsi" w:hAnsiTheme="majorHAnsi" w:cstheme="majorHAnsi"/>
                <w:color w:val="000000" w:themeColor="text1"/>
                <w:sz w:val="24"/>
                <w:szCs w:val="24"/>
              </w:rPr>
              <w:t xml:space="preserve"> (</w:t>
            </w:r>
            <w:r w:rsidRPr="00466581">
              <w:rPr>
                <w:rFonts w:asciiTheme="majorHAnsi" w:hAnsiTheme="majorHAnsi" w:cstheme="majorHAnsi"/>
                <w:i/>
                <w:iCs/>
                <w:color w:val="000000" w:themeColor="text1"/>
                <w:sz w:val="24"/>
                <w:szCs w:val="24"/>
              </w:rPr>
              <w:t>school-level interventions generally started only in 2018</w:t>
            </w:r>
            <w:r>
              <w:rPr>
                <w:rFonts w:asciiTheme="majorHAnsi" w:hAnsiTheme="majorHAnsi" w:cstheme="majorHAnsi"/>
                <w:color w:val="000000" w:themeColor="text1"/>
                <w:sz w:val="24"/>
                <w:szCs w:val="24"/>
              </w:rPr>
              <w:t>)</w:t>
            </w:r>
            <w:r w:rsidRPr="00300192">
              <w:rPr>
                <w:rFonts w:asciiTheme="majorHAnsi" w:hAnsiTheme="majorHAnsi" w:cstheme="majorHAnsi"/>
                <w:color w:val="000000" w:themeColor="text1"/>
                <w:sz w:val="24"/>
                <w:szCs w:val="24"/>
              </w:rPr>
              <w:t xml:space="preserve">, the EOPE Study </w:t>
            </w:r>
            <w:r w:rsidRPr="00300192">
              <w:rPr>
                <w:rFonts w:asciiTheme="majorHAnsi" w:hAnsiTheme="majorHAnsi" w:cstheme="majorHAnsi"/>
                <w:bCs/>
                <w:color w:val="000000" w:themeColor="text1"/>
                <w:sz w:val="24"/>
                <w:szCs w:val="24"/>
              </w:rPr>
              <w:t>finds that the results were not sufficient to determine the contributions of the Program</w:t>
            </w:r>
            <w:r w:rsidRPr="00300192">
              <w:rPr>
                <w:rFonts w:asciiTheme="majorHAnsi" w:eastAsiaTheme="minorHAnsi" w:hAnsiTheme="majorHAnsi" w:cstheme="majorHAnsi"/>
                <w:sz w:val="24"/>
                <w:szCs w:val="24"/>
              </w:rPr>
              <w:t xml:space="preserve"> interventions to improving student mastery.</w:t>
            </w:r>
            <w:r w:rsidR="00D434EB">
              <w:rPr>
                <w:rFonts w:asciiTheme="majorHAnsi" w:eastAsiaTheme="minorHAnsi" w:hAnsiTheme="majorHAnsi" w:cstheme="majorHAnsi"/>
                <w:sz w:val="24"/>
                <w:szCs w:val="24"/>
              </w:rPr>
              <w:t xml:space="preserve"> </w:t>
            </w:r>
            <w:r w:rsidRPr="00300192">
              <w:rPr>
                <w:rFonts w:asciiTheme="majorHAnsi" w:eastAsiaTheme="minorHAnsi" w:hAnsiTheme="majorHAnsi" w:cstheme="majorHAnsi"/>
                <w:sz w:val="24"/>
                <w:szCs w:val="24"/>
              </w:rPr>
              <w:t xml:space="preserve">Moreover, </w:t>
            </w:r>
            <w:r>
              <w:rPr>
                <w:rFonts w:asciiTheme="majorHAnsi" w:eastAsiaTheme="minorHAnsi" w:hAnsiTheme="majorHAnsi" w:cstheme="majorHAnsi"/>
                <w:sz w:val="24"/>
                <w:szCs w:val="24"/>
              </w:rPr>
              <w:t>outcomes of reforms</w:t>
            </w:r>
            <w:r w:rsidRPr="00300192">
              <w:rPr>
                <w:rFonts w:asciiTheme="majorHAnsi" w:eastAsiaTheme="minorHAnsi" w:hAnsiTheme="majorHAnsi" w:cstheme="majorHAnsi"/>
                <w:sz w:val="24"/>
                <w:szCs w:val="24"/>
              </w:rPr>
              <w:t xml:space="preserve"> take time to </w:t>
            </w:r>
            <w:r>
              <w:rPr>
                <w:rFonts w:asciiTheme="majorHAnsi" w:eastAsiaTheme="minorHAnsi" w:hAnsiTheme="majorHAnsi" w:cstheme="majorHAnsi"/>
                <w:sz w:val="24"/>
                <w:szCs w:val="24"/>
              </w:rPr>
              <w:t>manifest. The timing of the EOPE Study was not conducive to assessing contributions of the Program to learning outcomes.</w:t>
            </w:r>
          </w:p>
          <w:p w14:paraId="7CC089A0" w14:textId="77777777" w:rsidR="008D0CAD" w:rsidRDefault="008D0CAD" w:rsidP="000479A3">
            <w:pPr>
              <w:pStyle w:val="BodyText"/>
              <w:spacing w:before="100" w:beforeAutospacing="1" w:after="100" w:afterAutospacing="1" w:line="360" w:lineRule="auto"/>
              <w:ind w:right="23"/>
              <w:rPr>
                <w:rFonts w:asciiTheme="majorHAnsi" w:eastAsiaTheme="minorHAnsi" w:hAnsiTheme="majorHAnsi" w:cstheme="majorHAnsi"/>
                <w:sz w:val="24"/>
                <w:szCs w:val="24"/>
              </w:rPr>
            </w:pPr>
          </w:p>
        </w:tc>
      </w:tr>
    </w:tbl>
    <w:p w14:paraId="441D0974" w14:textId="77777777" w:rsidR="008D0CAD" w:rsidRDefault="008D0CAD" w:rsidP="000479A3">
      <w:pPr>
        <w:pStyle w:val="BodyText"/>
        <w:spacing w:before="100" w:beforeAutospacing="1" w:after="100" w:afterAutospacing="1" w:line="360" w:lineRule="auto"/>
        <w:ind w:right="23"/>
        <w:rPr>
          <w:rFonts w:asciiTheme="majorHAnsi" w:eastAsiaTheme="minorHAnsi" w:hAnsiTheme="majorHAnsi" w:cstheme="majorHAnsi"/>
          <w:sz w:val="24"/>
          <w:szCs w:val="24"/>
        </w:rPr>
      </w:pPr>
    </w:p>
    <w:p w14:paraId="2900742B" w14:textId="77777777" w:rsidR="008D0CAD" w:rsidRPr="00FB574A" w:rsidRDefault="008D0CAD" w:rsidP="002320B3">
      <w:pPr>
        <w:rPr>
          <w:rFonts w:asciiTheme="majorHAnsi" w:hAnsiTheme="majorHAnsi" w:cstheme="majorHAnsi"/>
          <w:bCs/>
        </w:rPr>
        <w:sectPr w:rsidR="008D0CAD" w:rsidRPr="00FB574A" w:rsidSect="009C64E9">
          <w:headerReference w:type="default" r:id="rId28"/>
          <w:pgSz w:w="11900" w:h="16840"/>
          <w:pgMar w:top="1440" w:right="1440" w:bottom="1440" w:left="1440" w:header="720" w:footer="720" w:gutter="0"/>
          <w:cols w:space="720"/>
          <w:docGrid w:linePitch="360"/>
        </w:sectPr>
      </w:pPr>
      <w:bookmarkStart w:id="82" w:name="_Toc12711989"/>
    </w:p>
    <w:p w14:paraId="11757070" w14:textId="24219935" w:rsidR="008D0CAD" w:rsidRPr="00A71B4A" w:rsidRDefault="008D0CAD" w:rsidP="00017229">
      <w:pPr>
        <w:pStyle w:val="Heading6"/>
      </w:pPr>
      <w:r>
        <w:t>Enhancing t</w:t>
      </w:r>
      <w:r w:rsidRPr="009067D2">
        <w:t xml:space="preserve">eacher </w:t>
      </w:r>
      <w:r>
        <w:t>p</w:t>
      </w:r>
      <w:r w:rsidRPr="009067D2">
        <w:t>erformance</w:t>
      </w:r>
    </w:p>
    <w:p w14:paraId="616731DB" w14:textId="441863F2" w:rsidR="008D0CAD" w:rsidRDefault="008D0CAD" w:rsidP="000479A3">
      <w:pPr>
        <w:spacing w:before="100" w:beforeAutospacing="1" w:after="100" w:afterAutospacing="1" w:line="360" w:lineRule="auto"/>
        <w:rPr>
          <w:rFonts w:asciiTheme="majorHAnsi" w:hAnsiTheme="majorHAnsi" w:cstheme="majorHAnsi"/>
        </w:rPr>
      </w:pPr>
      <w:r>
        <w:rPr>
          <w:rFonts w:asciiTheme="majorHAnsi" w:hAnsiTheme="majorHAnsi" w:cstheme="majorHAnsi"/>
        </w:rPr>
        <w:t xml:space="preserve">Four </w:t>
      </w:r>
      <w:r w:rsidRPr="00D60EFC">
        <w:rPr>
          <w:rFonts w:asciiTheme="majorHAnsi" w:hAnsiTheme="majorHAnsi" w:cstheme="majorHAnsi"/>
        </w:rPr>
        <w:t xml:space="preserve">inputs </w:t>
      </w:r>
      <w:r>
        <w:rPr>
          <w:rFonts w:asciiTheme="majorHAnsi" w:hAnsiTheme="majorHAnsi" w:cstheme="majorHAnsi"/>
        </w:rPr>
        <w:t>were identified as</w:t>
      </w:r>
      <w:r w:rsidRPr="00D60EFC">
        <w:rPr>
          <w:rFonts w:asciiTheme="majorHAnsi" w:hAnsiTheme="majorHAnsi" w:cstheme="majorHAnsi"/>
        </w:rPr>
        <w:t xml:space="preserve"> </w:t>
      </w:r>
      <w:r>
        <w:rPr>
          <w:rFonts w:asciiTheme="majorHAnsi" w:hAnsiTheme="majorHAnsi" w:cstheme="majorHAnsi"/>
        </w:rPr>
        <w:t>influencers</w:t>
      </w:r>
      <w:r w:rsidRPr="00D60EFC">
        <w:rPr>
          <w:rFonts w:asciiTheme="majorHAnsi" w:hAnsiTheme="majorHAnsi" w:cstheme="majorHAnsi"/>
        </w:rPr>
        <w:t xml:space="preserve"> of learning achievement </w:t>
      </w:r>
      <w:r>
        <w:rPr>
          <w:rFonts w:asciiTheme="majorHAnsi" w:hAnsiTheme="majorHAnsi" w:cstheme="majorHAnsi"/>
        </w:rPr>
        <w:t>namely</w:t>
      </w:r>
      <w:r w:rsidRPr="00D60EFC">
        <w:rPr>
          <w:rFonts w:asciiTheme="majorHAnsi" w:hAnsiTheme="majorHAnsi" w:cstheme="majorHAnsi"/>
        </w:rPr>
        <w:t xml:space="preserve">: the number and quality of teachers; </w:t>
      </w:r>
      <w:r>
        <w:rPr>
          <w:rFonts w:asciiTheme="majorHAnsi" w:hAnsiTheme="majorHAnsi" w:cstheme="majorHAnsi"/>
        </w:rPr>
        <w:t>the competency of</w:t>
      </w:r>
      <w:r w:rsidRPr="00D60EFC">
        <w:rPr>
          <w:rFonts w:asciiTheme="majorHAnsi" w:hAnsiTheme="majorHAnsi" w:cstheme="majorHAnsi"/>
        </w:rPr>
        <w:t xml:space="preserve"> principal</w:t>
      </w:r>
      <w:r>
        <w:rPr>
          <w:rFonts w:asciiTheme="majorHAnsi" w:hAnsiTheme="majorHAnsi" w:cstheme="majorHAnsi"/>
        </w:rPr>
        <w:t>s or school heads</w:t>
      </w:r>
      <w:r w:rsidRPr="00D60EFC">
        <w:rPr>
          <w:rFonts w:asciiTheme="majorHAnsi" w:hAnsiTheme="majorHAnsi" w:cstheme="majorHAnsi"/>
        </w:rPr>
        <w:t xml:space="preserve">; </w:t>
      </w:r>
      <w:r>
        <w:rPr>
          <w:rFonts w:asciiTheme="majorHAnsi" w:hAnsiTheme="majorHAnsi" w:cstheme="majorHAnsi"/>
        </w:rPr>
        <w:t xml:space="preserve">adequacy of </w:t>
      </w:r>
      <w:r w:rsidRPr="00D60EFC">
        <w:rPr>
          <w:rFonts w:asciiTheme="majorHAnsi" w:hAnsiTheme="majorHAnsi" w:cstheme="majorHAnsi"/>
        </w:rPr>
        <w:t>classrooms; and access to quality teaching and learning materials</w:t>
      </w:r>
      <w:r>
        <w:rPr>
          <w:rFonts w:asciiTheme="majorHAnsi" w:hAnsiTheme="majorHAnsi" w:cstheme="majorHAnsi"/>
        </w:rPr>
        <w:t>.</w:t>
      </w:r>
      <w:r>
        <w:rPr>
          <w:rStyle w:val="FootnoteReference"/>
          <w:rFonts w:asciiTheme="majorHAnsi" w:eastAsia="Arial Unicode MS" w:hAnsiTheme="majorHAnsi" w:cstheme="majorHAnsi"/>
        </w:rPr>
        <w:footnoteReference w:id="22"/>
      </w:r>
      <w:r w:rsidR="00D434EB">
        <w:rPr>
          <w:rFonts w:asciiTheme="majorHAnsi" w:hAnsiTheme="majorHAnsi" w:cstheme="majorHAnsi"/>
        </w:rPr>
        <w:t xml:space="preserve"> </w:t>
      </w:r>
      <w:r>
        <w:rPr>
          <w:rFonts w:asciiTheme="majorHAnsi" w:hAnsiTheme="majorHAnsi" w:cstheme="majorHAnsi"/>
        </w:rPr>
        <w:t xml:space="preserve"> Each of the inputs corresponded to a specific set of program intervention.</w:t>
      </w:r>
      <w:r w:rsidR="00D434EB">
        <w:rPr>
          <w:rFonts w:asciiTheme="majorHAnsi" w:hAnsiTheme="majorHAnsi" w:cstheme="majorHAnsi"/>
        </w:rPr>
        <w:t xml:space="preserve"> </w:t>
      </w:r>
      <w:r>
        <w:rPr>
          <w:rFonts w:asciiTheme="majorHAnsi" w:hAnsiTheme="majorHAnsi" w:cstheme="majorHAnsi"/>
        </w:rPr>
        <w:t>This Section presents the first input.</w:t>
      </w:r>
    </w:p>
    <w:p w14:paraId="4EF08F1A" w14:textId="65C306A2" w:rsidR="008D0CAD" w:rsidRPr="00353FF9" w:rsidRDefault="008D0CAD" w:rsidP="00DD08E3">
      <w:pPr>
        <w:pStyle w:val="Heading5"/>
        <w:numPr>
          <w:ilvl w:val="3"/>
          <w:numId w:val="163"/>
        </w:numPr>
        <w:spacing w:before="100" w:beforeAutospacing="1" w:after="100" w:afterAutospacing="1" w:line="360" w:lineRule="auto"/>
      </w:pPr>
      <w:r w:rsidRPr="009067D2">
        <w:t>Pre-service teacher development</w:t>
      </w:r>
    </w:p>
    <w:p w14:paraId="7DAEAB8A" w14:textId="1CF3519F" w:rsidR="008D0CAD" w:rsidRDefault="008D0CAD" w:rsidP="000479A3">
      <w:pPr>
        <w:spacing w:before="100" w:beforeAutospacing="1" w:after="100" w:afterAutospacing="1" w:line="360" w:lineRule="auto"/>
        <w:rPr>
          <w:rFonts w:asciiTheme="majorHAnsi" w:hAnsiTheme="majorHAnsi" w:cstheme="majorHAnsi"/>
          <w:color w:val="000000" w:themeColor="text1"/>
          <w:lang w:val="en-US"/>
        </w:rPr>
      </w:pPr>
      <w:r w:rsidRPr="00DD6E21">
        <w:rPr>
          <w:rStyle w:val="Hyperlink"/>
          <w:rFonts w:asciiTheme="majorHAnsi" w:eastAsiaTheme="majorEastAsia" w:hAnsiTheme="majorHAnsi" w:cstheme="majorHAnsi"/>
          <w:color w:val="000000" w:themeColor="text1"/>
        </w:rPr>
        <w:t>Under Teacher Pre-service Quality Improvement (TPQI), the BEST Program</w:t>
      </w:r>
      <w:r>
        <w:rPr>
          <w:rStyle w:val="Hyperlink"/>
          <w:rFonts w:eastAsiaTheme="majorEastAsia" w:cstheme="majorHAnsi"/>
          <w:color w:val="000000" w:themeColor="text1"/>
        </w:rPr>
        <w:t xml:space="preserve"> </w:t>
      </w:r>
      <w:r w:rsidRPr="002611EB">
        <w:rPr>
          <w:rFonts w:asciiTheme="majorHAnsi" w:hAnsiTheme="majorHAnsi" w:cstheme="majorHAnsi"/>
          <w:color w:val="000000" w:themeColor="text1"/>
        </w:rPr>
        <w:t>aim</w:t>
      </w:r>
      <w:r>
        <w:rPr>
          <w:rFonts w:asciiTheme="majorHAnsi" w:hAnsiTheme="majorHAnsi" w:cstheme="majorHAnsi"/>
          <w:color w:val="000000" w:themeColor="text1"/>
        </w:rPr>
        <w:t>ed</w:t>
      </w:r>
      <w:r w:rsidRPr="002611EB">
        <w:rPr>
          <w:rFonts w:asciiTheme="majorHAnsi" w:hAnsiTheme="majorHAnsi" w:cstheme="majorHAnsi"/>
          <w:color w:val="000000" w:themeColor="text1"/>
        </w:rPr>
        <w:t xml:space="preserve"> to contribute to </w:t>
      </w:r>
      <w:r w:rsidRPr="0067479C">
        <w:rPr>
          <w:rFonts w:asciiTheme="majorHAnsi" w:hAnsiTheme="majorHAnsi" w:cstheme="majorHAnsi"/>
          <w:color w:val="000000" w:themeColor="text1"/>
        </w:rPr>
        <w:t>increasing the number and quality future teachers</w:t>
      </w:r>
      <w:r w:rsidRPr="002611EB">
        <w:rPr>
          <w:rFonts w:asciiTheme="majorHAnsi" w:hAnsiTheme="majorHAnsi" w:cstheme="majorHAnsi"/>
          <w:color w:val="000000" w:themeColor="text1"/>
        </w:rPr>
        <w:t xml:space="preserve">. </w:t>
      </w:r>
      <w:r>
        <w:rPr>
          <w:rFonts w:asciiTheme="majorHAnsi" w:hAnsiTheme="majorHAnsi" w:cstheme="majorHAnsi"/>
          <w:color w:val="000000" w:themeColor="text1"/>
        </w:rPr>
        <w:t>Interventions included the following: development and implementation of a</w:t>
      </w:r>
      <w:r w:rsidRPr="004876B4">
        <w:rPr>
          <w:rFonts w:asciiTheme="majorHAnsi" w:hAnsiTheme="majorHAnsi" w:cstheme="majorHAnsi"/>
          <w:color w:val="000000" w:themeColor="text1"/>
          <w:lang w:val="en-US"/>
        </w:rPr>
        <w:t xml:space="preserve"> National T</w:t>
      </w:r>
      <w:r>
        <w:rPr>
          <w:rFonts w:asciiTheme="majorHAnsi" w:hAnsiTheme="majorHAnsi" w:cstheme="majorHAnsi"/>
          <w:color w:val="000000" w:themeColor="text1"/>
          <w:lang w:val="en-US"/>
        </w:rPr>
        <w:t xml:space="preserve">eacher </w:t>
      </w:r>
      <w:r w:rsidRPr="004876B4">
        <w:rPr>
          <w:rFonts w:asciiTheme="majorHAnsi" w:hAnsiTheme="majorHAnsi" w:cstheme="majorHAnsi"/>
          <w:color w:val="000000" w:themeColor="text1"/>
          <w:lang w:val="en-US"/>
        </w:rPr>
        <w:t>E</w:t>
      </w:r>
      <w:r>
        <w:rPr>
          <w:rFonts w:asciiTheme="majorHAnsi" w:hAnsiTheme="majorHAnsi" w:cstheme="majorHAnsi"/>
          <w:color w:val="000000" w:themeColor="text1"/>
          <w:lang w:val="en-US"/>
        </w:rPr>
        <w:t xml:space="preserve">ducation </w:t>
      </w:r>
      <w:r w:rsidRPr="004876B4">
        <w:rPr>
          <w:rFonts w:asciiTheme="majorHAnsi" w:hAnsiTheme="majorHAnsi" w:cstheme="majorHAnsi"/>
          <w:color w:val="000000" w:themeColor="text1"/>
          <w:lang w:val="en-US"/>
        </w:rPr>
        <w:t>I</w:t>
      </w:r>
      <w:r>
        <w:rPr>
          <w:rFonts w:asciiTheme="majorHAnsi" w:hAnsiTheme="majorHAnsi" w:cstheme="majorHAnsi"/>
          <w:color w:val="000000" w:themeColor="text1"/>
          <w:lang w:val="en-US"/>
        </w:rPr>
        <w:t>nstitution (TEI)</w:t>
      </w:r>
      <w:r w:rsidRPr="004876B4">
        <w:rPr>
          <w:rFonts w:asciiTheme="majorHAnsi" w:hAnsiTheme="majorHAnsi" w:cstheme="majorHAnsi"/>
          <w:color w:val="000000" w:themeColor="text1"/>
          <w:lang w:val="en-US"/>
        </w:rPr>
        <w:t xml:space="preserve"> Curriculum Quality Audit</w:t>
      </w:r>
      <w:r>
        <w:rPr>
          <w:rFonts w:asciiTheme="majorHAnsi" w:hAnsiTheme="majorHAnsi" w:cstheme="majorHAnsi"/>
          <w:color w:val="000000" w:themeColor="text1"/>
          <w:lang w:val="en-US"/>
        </w:rPr>
        <w:t xml:space="preserve"> (an assessment of the degree of alignment of pre-service training with PPST competencies to help TEIs improve the relevance of their teaching degrees); </w:t>
      </w:r>
      <w:r>
        <w:rPr>
          <w:rFonts w:asciiTheme="majorHAnsi" w:hAnsiTheme="majorHAnsi" w:cstheme="majorHAnsi"/>
          <w:color w:val="000000" w:themeColor="text1"/>
        </w:rPr>
        <w:t xml:space="preserve">development of the </w:t>
      </w:r>
      <w:r w:rsidRPr="001E3867">
        <w:rPr>
          <w:rFonts w:asciiTheme="majorHAnsi" w:hAnsiTheme="majorHAnsi" w:cstheme="majorHAnsi"/>
          <w:color w:val="000000" w:themeColor="text1"/>
          <w:lang w:val="en-US"/>
        </w:rPr>
        <w:t>Philippine Professional Standards for Teachers</w:t>
      </w:r>
      <w:r>
        <w:rPr>
          <w:rFonts w:asciiTheme="majorHAnsi" w:hAnsiTheme="majorHAnsi" w:cstheme="majorHAnsi"/>
          <w:color w:val="000000" w:themeColor="text1"/>
          <w:lang w:val="en-US"/>
        </w:rPr>
        <w:t xml:space="preserve"> (PPST); capability building of Teaching Education Institutions (</w:t>
      </w:r>
      <w:r w:rsidRPr="004876B4">
        <w:rPr>
          <w:rFonts w:asciiTheme="majorHAnsi" w:hAnsiTheme="majorHAnsi" w:cstheme="majorHAnsi"/>
          <w:color w:val="000000" w:themeColor="text1"/>
          <w:lang w:val="en-US"/>
        </w:rPr>
        <w:t>TEI</w:t>
      </w:r>
      <w:r>
        <w:rPr>
          <w:rFonts w:asciiTheme="majorHAnsi" w:hAnsiTheme="majorHAnsi" w:cstheme="majorHAnsi"/>
          <w:color w:val="000000" w:themeColor="text1"/>
          <w:lang w:val="en-US"/>
        </w:rPr>
        <w:t>s)</w:t>
      </w:r>
      <w:r w:rsidRPr="004876B4">
        <w:rPr>
          <w:rFonts w:asciiTheme="majorHAnsi" w:hAnsiTheme="majorHAnsi" w:cstheme="majorHAnsi"/>
          <w:color w:val="000000" w:themeColor="text1"/>
          <w:lang w:val="en-US"/>
        </w:rPr>
        <w:t xml:space="preserve"> pre-service teacher educators on competencies aligned to </w:t>
      </w:r>
      <w:r>
        <w:rPr>
          <w:rFonts w:asciiTheme="majorHAnsi" w:hAnsiTheme="majorHAnsi" w:cstheme="majorHAnsi"/>
          <w:color w:val="000000" w:themeColor="text1"/>
          <w:lang w:val="en-US"/>
        </w:rPr>
        <w:t xml:space="preserve">the developed PPST; </w:t>
      </w:r>
      <w:r>
        <w:rPr>
          <w:rFonts w:asciiTheme="majorHAnsi" w:hAnsiTheme="majorHAnsi" w:cstheme="majorHAnsi"/>
          <w:color w:val="000000" w:themeColor="text1"/>
        </w:rPr>
        <w:t xml:space="preserve">development of the </w:t>
      </w:r>
      <w:r w:rsidRPr="004876B4">
        <w:rPr>
          <w:rFonts w:asciiTheme="majorHAnsi" w:hAnsiTheme="majorHAnsi" w:cstheme="majorHAnsi"/>
          <w:color w:val="000000" w:themeColor="text1"/>
          <w:lang w:val="en-US"/>
        </w:rPr>
        <w:t>CHED Research Agenda for Teacher Education</w:t>
      </w:r>
      <w:r>
        <w:rPr>
          <w:rFonts w:asciiTheme="majorHAnsi" w:hAnsiTheme="majorHAnsi" w:cstheme="majorHAnsi"/>
          <w:color w:val="000000" w:themeColor="text1"/>
          <w:lang w:val="en-US"/>
        </w:rPr>
        <w:t>;</w:t>
      </w:r>
      <w:r w:rsidR="00D434EB">
        <w:rPr>
          <w:rFonts w:asciiTheme="majorHAnsi" w:hAnsiTheme="majorHAnsi" w:cstheme="majorHAnsi"/>
          <w:color w:val="000000" w:themeColor="text1"/>
          <w:lang w:val="en-US"/>
        </w:rPr>
        <w:t xml:space="preserve"> </w:t>
      </w:r>
      <w:r>
        <w:rPr>
          <w:rFonts w:asciiTheme="majorHAnsi" w:hAnsiTheme="majorHAnsi" w:cstheme="majorHAnsi"/>
          <w:color w:val="000000" w:themeColor="text1"/>
          <w:lang w:val="en-US"/>
        </w:rPr>
        <w:t>and provision of 950 education scholarships in the partner TEIs.</w:t>
      </w:r>
      <w:r>
        <w:rPr>
          <w:rStyle w:val="FootnoteReference"/>
          <w:rFonts w:asciiTheme="majorHAnsi" w:eastAsia="Arial Unicode MS" w:hAnsiTheme="majorHAnsi" w:cstheme="majorHAnsi"/>
          <w:color w:val="000000" w:themeColor="text1"/>
        </w:rPr>
        <w:footnoteReference w:id="23"/>
      </w:r>
      <w:r>
        <w:rPr>
          <w:rFonts w:asciiTheme="majorHAnsi" w:hAnsiTheme="majorHAnsi" w:cstheme="majorHAnsi"/>
          <w:color w:val="000000" w:themeColor="text1"/>
          <w:lang w:val="en-US"/>
        </w:rPr>
        <w:t xml:space="preserve"> </w:t>
      </w:r>
    </w:p>
    <w:p w14:paraId="30F7B7D5" w14:textId="3D4E57A8" w:rsidR="008D0CAD" w:rsidRPr="009F7C5B" w:rsidRDefault="008D0CAD" w:rsidP="008C061C">
      <w:pPr>
        <w:pStyle w:val="Heading6"/>
      </w:pPr>
      <w:r w:rsidRPr="009F7C5B">
        <w:t>The National TEI Curriculum Quality Audit</w:t>
      </w:r>
    </w:p>
    <w:p w14:paraId="2A543308" w14:textId="3D8F09D1" w:rsidR="008D0CAD" w:rsidRDefault="008D0CAD" w:rsidP="000479A3">
      <w:pPr>
        <w:spacing w:before="100" w:beforeAutospacing="1" w:after="100" w:afterAutospacing="1" w:line="360" w:lineRule="auto"/>
        <w:rPr>
          <w:rFonts w:asciiTheme="majorHAnsi" w:hAnsiTheme="majorHAnsi" w:cstheme="majorHAnsi"/>
          <w:color w:val="1C1E21"/>
        </w:rPr>
      </w:pPr>
      <w:r>
        <w:rPr>
          <w:rFonts w:asciiTheme="majorHAnsi" w:eastAsiaTheme="minorHAnsi" w:hAnsiTheme="majorHAnsi" w:cstheme="majorHAnsi"/>
        </w:rPr>
        <w:t>I</w:t>
      </w:r>
      <w:r w:rsidRPr="00594721">
        <w:rPr>
          <w:rFonts w:asciiTheme="majorHAnsi" w:eastAsiaTheme="minorHAnsi" w:hAnsiTheme="majorHAnsi" w:cstheme="majorHAnsi"/>
        </w:rPr>
        <w:t xml:space="preserve">n partnership with </w:t>
      </w:r>
      <w:r>
        <w:rPr>
          <w:rFonts w:asciiTheme="majorHAnsi" w:hAnsiTheme="majorHAnsi" w:cstheme="majorHAnsi"/>
          <w:color w:val="000000"/>
        </w:rPr>
        <w:t>the Research Center for Teacher Quality (RCTQ)</w:t>
      </w:r>
      <w:r>
        <w:rPr>
          <w:rFonts w:asciiTheme="majorHAnsi" w:eastAsiaTheme="minorHAnsi" w:hAnsiTheme="majorHAnsi" w:cstheme="majorHAnsi"/>
        </w:rPr>
        <w:t>, the BEST Program</w:t>
      </w:r>
      <w:r w:rsidRPr="00594721">
        <w:rPr>
          <w:rFonts w:asciiTheme="majorHAnsi" w:eastAsiaTheme="minorHAnsi" w:hAnsiTheme="majorHAnsi" w:cstheme="majorHAnsi"/>
        </w:rPr>
        <w:t xml:space="preserve"> </w:t>
      </w:r>
      <w:r>
        <w:rPr>
          <w:rFonts w:asciiTheme="majorHAnsi" w:eastAsiaTheme="minorHAnsi" w:hAnsiTheme="majorHAnsi" w:cstheme="majorHAnsi"/>
        </w:rPr>
        <w:t>facilitated the d</w:t>
      </w:r>
      <w:r w:rsidRPr="00594721">
        <w:rPr>
          <w:rFonts w:asciiTheme="majorHAnsi" w:eastAsiaTheme="minorHAnsi" w:hAnsiTheme="majorHAnsi" w:cstheme="majorHAnsi"/>
        </w:rPr>
        <w:t>esign and implement</w:t>
      </w:r>
      <w:r>
        <w:rPr>
          <w:rFonts w:asciiTheme="majorHAnsi" w:eastAsiaTheme="minorHAnsi" w:hAnsiTheme="majorHAnsi" w:cstheme="majorHAnsi"/>
        </w:rPr>
        <w:t>ation of</w:t>
      </w:r>
      <w:r w:rsidRPr="00594721">
        <w:rPr>
          <w:rFonts w:asciiTheme="majorHAnsi" w:eastAsiaTheme="minorHAnsi" w:hAnsiTheme="majorHAnsi" w:cstheme="majorHAnsi"/>
        </w:rPr>
        <w:t xml:space="preserve"> a National TEI Curriculum Quality Audit (CQA), which included a Resource Package containing 11 session guides for the conduct of the CQA process </w:t>
      </w:r>
      <w:r>
        <w:rPr>
          <w:rFonts w:asciiTheme="majorHAnsi" w:eastAsiaTheme="minorHAnsi" w:hAnsiTheme="majorHAnsi" w:cstheme="majorHAnsi"/>
        </w:rPr>
        <w:t>as well as</w:t>
      </w:r>
      <w:r w:rsidRPr="00594721">
        <w:rPr>
          <w:rFonts w:asciiTheme="majorHAnsi" w:eastAsiaTheme="minorHAnsi" w:hAnsiTheme="majorHAnsi" w:cstheme="majorHAnsi"/>
        </w:rPr>
        <w:t xml:space="preserve"> reference materials for the review and design of teacher education curricula.</w:t>
      </w:r>
      <w:r>
        <w:rPr>
          <w:rFonts w:asciiTheme="majorHAnsi" w:hAnsiTheme="majorHAnsi" w:cstheme="majorHAnsi"/>
          <w:color w:val="000000"/>
        </w:rPr>
        <w:t xml:space="preserve"> </w:t>
      </w:r>
      <w:r w:rsidRPr="005239BB">
        <w:rPr>
          <w:rFonts w:asciiTheme="majorHAnsi" w:hAnsiTheme="majorHAnsi" w:cstheme="majorHAnsi"/>
          <w:color w:val="1C1E21"/>
        </w:rPr>
        <w:t xml:space="preserve">The CQA process </w:t>
      </w:r>
      <w:r>
        <w:rPr>
          <w:rFonts w:asciiTheme="majorHAnsi" w:hAnsiTheme="majorHAnsi" w:cstheme="majorHAnsi"/>
          <w:color w:val="1C1E21"/>
        </w:rPr>
        <w:t>was designed to encourage</w:t>
      </w:r>
      <w:r w:rsidRPr="005239BB">
        <w:rPr>
          <w:rFonts w:asciiTheme="majorHAnsi" w:hAnsiTheme="majorHAnsi" w:cstheme="majorHAnsi"/>
          <w:color w:val="1C1E21"/>
        </w:rPr>
        <w:t xml:space="preserve"> </w:t>
      </w:r>
      <w:r>
        <w:rPr>
          <w:rFonts w:asciiTheme="majorHAnsi" w:hAnsiTheme="majorHAnsi" w:cstheme="majorHAnsi"/>
          <w:color w:val="1C1E21"/>
        </w:rPr>
        <w:t>TEIs to</w:t>
      </w:r>
      <w:r w:rsidRPr="005239BB">
        <w:rPr>
          <w:rFonts w:asciiTheme="majorHAnsi" w:hAnsiTheme="majorHAnsi" w:cstheme="majorHAnsi"/>
          <w:color w:val="1C1E21"/>
        </w:rPr>
        <w:t xml:space="preserve"> align their respective teacher education curricula with the new teacher quality standards </w:t>
      </w:r>
      <w:r>
        <w:rPr>
          <w:rFonts w:asciiTheme="majorHAnsi" w:hAnsiTheme="majorHAnsi" w:cstheme="majorHAnsi"/>
          <w:color w:val="1C1E21"/>
        </w:rPr>
        <w:t>elucidated in the</w:t>
      </w:r>
      <w:r w:rsidRPr="005239BB">
        <w:rPr>
          <w:rFonts w:asciiTheme="majorHAnsi" w:hAnsiTheme="majorHAnsi" w:cstheme="majorHAnsi"/>
          <w:color w:val="1C1E21"/>
        </w:rPr>
        <w:t xml:space="preserve"> Philippine Professional Standards for Teachers (PPST).</w:t>
      </w:r>
      <w:r w:rsidR="00D434EB">
        <w:rPr>
          <w:rFonts w:asciiTheme="majorHAnsi" w:hAnsiTheme="majorHAnsi" w:cstheme="majorHAnsi"/>
          <w:color w:val="1C1E21"/>
        </w:rPr>
        <w:t xml:space="preserve"> </w:t>
      </w:r>
    </w:p>
    <w:p w14:paraId="7B368CC6" w14:textId="33787496" w:rsidR="008D0CAD" w:rsidRDefault="008D0CAD" w:rsidP="000479A3">
      <w:pPr>
        <w:spacing w:before="100" w:beforeAutospacing="1" w:after="100" w:afterAutospacing="1" w:line="360" w:lineRule="auto"/>
        <w:rPr>
          <w:rFonts w:asciiTheme="majorHAnsi" w:hAnsiTheme="majorHAnsi" w:cstheme="majorHAnsi"/>
        </w:rPr>
      </w:pPr>
      <w:r>
        <w:rPr>
          <w:rFonts w:asciiTheme="majorHAnsi" w:eastAsiaTheme="minorHAnsi" w:hAnsiTheme="majorHAnsi" w:cstheme="majorHAnsi"/>
        </w:rPr>
        <w:t>The BEST Program reported that</w:t>
      </w:r>
      <w:r w:rsidRPr="00594721">
        <w:rPr>
          <w:rFonts w:asciiTheme="majorHAnsi" w:eastAsiaTheme="minorHAnsi" w:hAnsiTheme="majorHAnsi" w:cstheme="majorHAnsi"/>
        </w:rPr>
        <w:t xml:space="preserve"> 46 </w:t>
      </w:r>
      <w:r w:rsidRPr="00594721">
        <w:rPr>
          <w:rFonts w:asciiTheme="majorHAnsi" w:hAnsiTheme="majorHAnsi" w:cstheme="majorHAnsi"/>
        </w:rPr>
        <w:t xml:space="preserve">specialists (10 </w:t>
      </w:r>
      <w:r>
        <w:rPr>
          <w:rFonts w:asciiTheme="majorHAnsi" w:hAnsiTheme="majorHAnsi" w:cstheme="majorHAnsi"/>
        </w:rPr>
        <w:t>males</w:t>
      </w:r>
      <w:r w:rsidRPr="00594721">
        <w:rPr>
          <w:rFonts w:asciiTheme="majorHAnsi" w:hAnsiTheme="majorHAnsi" w:cstheme="majorHAnsi"/>
        </w:rPr>
        <w:t xml:space="preserve">) from </w:t>
      </w:r>
      <w:r w:rsidRPr="00594721">
        <w:rPr>
          <w:rFonts w:asciiTheme="majorHAnsi" w:eastAsiaTheme="minorHAnsi" w:hAnsiTheme="majorHAnsi" w:cstheme="majorHAnsi"/>
        </w:rPr>
        <w:t xml:space="preserve">23 TEIs </w:t>
      </w:r>
      <w:r>
        <w:rPr>
          <w:rFonts w:asciiTheme="majorHAnsi" w:eastAsiaTheme="minorHAnsi" w:hAnsiTheme="majorHAnsi" w:cstheme="majorHAnsi"/>
        </w:rPr>
        <w:t>were trained in</w:t>
      </w:r>
      <w:r w:rsidRPr="00594721">
        <w:rPr>
          <w:rFonts w:asciiTheme="majorHAnsi" w:eastAsiaTheme="minorHAnsi" w:hAnsiTheme="majorHAnsi" w:cstheme="majorHAnsi"/>
        </w:rPr>
        <w:t xml:space="preserve"> CQA, who</w:t>
      </w:r>
      <w:r w:rsidRPr="00594721">
        <w:rPr>
          <w:rFonts w:asciiTheme="majorHAnsi" w:hAnsiTheme="majorHAnsi" w:cstheme="majorHAnsi"/>
        </w:rPr>
        <w:t xml:space="preserve"> in turn trained other TEI faculty members</w:t>
      </w:r>
      <w:r>
        <w:rPr>
          <w:rFonts w:asciiTheme="majorHAnsi" w:hAnsiTheme="majorHAnsi" w:cstheme="majorHAnsi"/>
        </w:rPr>
        <w:t>.</w:t>
      </w:r>
      <w:r w:rsidR="00D434EB">
        <w:rPr>
          <w:rFonts w:asciiTheme="majorHAnsi" w:hAnsiTheme="majorHAnsi" w:cstheme="majorHAnsi"/>
        </w:rPr>
        <w:t xml:space="preserve"> </w:t>
      </w:r>
      <w:r>
        <w:rPr>
          <w:rFonts w:asciiTheme="majorHAnsi" w:hAnsiTheme="majorHAnsi" w:cstheme="majorHAnsi"/>
        </w:rPr>
        <w:t xml:space="preserve">It was also reported that </w:t>
      </w:r>
      <w:r w:rsidRPr="00594721">
        <w:rPr>
          <w:rFonts w:asciiTheme="majorHAnsi" w:hAnsiTheme="majorHAnsi" w:cstheme="majorHAnsi"/>
        </w:rPr>
        <w:t>15 TEIs complet</w:t>
      </w:r>
      <w:r>
        <w:rPr>
          <w:rFonts w:asciiTheme="majorHAnsi" w:hAnsiTheme="majorHAnsi" w:cstheme="majorHAnsi"/>
        </w:rPr>
        <w:t>ed the</w:t>
      </w:r>
      <w:r w:rsidRPr="00594721">
        <w:rPr>
          <w:rFonts w:asciiTheme="majorHAnsi" w:hAnsiTheme="majorHAnsi" w:cstheme="majorHAnsi"/>
        </w:rPr>
        <w:t xml:space="preserve"> CQA process workshops and two TEIs successfully revis</w:t>
      </w:r>
      <w:r>
        <w:rPr>
          <w:rFonts w:asciiTheme="majorHAnsi" w:hAnsiTheme="majorHAnsi" w:cstheme="majorHAnsi"/>
        </w:rPr>
        <w:t>ed</w:t>
      </w:r>
      <w:r w:rsidRPr="00594721">
        <w:rPr>
          <w:rFonts w:asciiTheme="majorHAnsi" w:hAnsiTheme="majorHAnsi" w:cstheme="majorHAnsi"/>
        </w:rPr>
        <w:t xml:space="preserve"> their teacher education curricula to align these with PPST.</w:t>
      </w:r>
    </w:p>
    <w:p w14:paraId="76C38415" w14:textId="77777777" w:rsidR="008D0CAD" w:rsidRDefault="008D0CAD" w:rsidP="000479A3">
      <w:pPr>
        <w:spacing w:before="100" w:beforeAutospacing="1" w:after="100" w:afterAutospacing="1" w:line="360" w:lineRule="auto"/>
        <w:rPr>
          <w:rFonts w:asciiTheme="majorHAnsi" w:hAnsiTheme="majorHAnsi" w:cstheme="majorHAnsi"/>
        </w:rPr>
      </w:pPr>
      <w:r>
        <w:rPr>
          <w:rFonts w:asciiTheme="majorHAnsi" w:hAnsiTheme="majorHAnsi" w:cstheme="majorHAnsi"/>
        </w:rPr>
        <w:t>However, due to time limitations, no interviews were conducted with the TEIs that participated in the workshops.</w:t>
      </w:r>
    </w:p>
    <w:p w14:paraId="45AF1915" w14:textId="08ED9758" w:rsidR="008D0CAD" w:rsidRPr="00146AED" w:rsidRDefault="008D0CAD" w:rsidP="008C061C">
      <w:pPr>
        <w:pStyle w:val="Heading6"/>
        <w:rPr>
          <w:bCs/>
        </w:rPr>
      </w:pPr>
      <w:r>
        <w:rPr>
          <w:bCs/>
        </w:rPr>
        <w:t xml:space="preserve">The </w:t>
      </w:r>
      <w:r w:rsidRPr="00660BB4">
        <w:t>Professional</w:t>
      </w:r>
      <w:r w:rsidRPr="001E3867">
        <w:t xml:space="preserve"> Standards for Teachers</w:t>
      </w:r>
      <w:r w:rsidRPr="00146AED">
        <w:t xml:space="preserve"> (PPST)</w:t>
      </w:r>
    </w:p>
    <w:p w14:paraId="728FD313" w14:textId="1E68DD22" w:rsidR="008D0CAD" w:rsidRPr="007C1A2E" w:rsidRDefault="008D0CAD" w:rsidP="000479A3">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color w:val="000000"/>
        </w:rPr>
        <w:t>The RCTQ conducted</w:t>
      </w:r>
      <w:r w:rsidRPr="00C071AC">
        <w:rPr>
          <w:rFonts w:asciiTheme="majorHAnsi" w:hAnsiTheme="majorHAnsi" w:cstheme="majorHAnsi"/>
          <w:color w:val="000000"/>
        </w:rPr>
        <w:t xml:space="preserve"> </w:t>
      </w:r>
      <w:r>
        <w:rPr>
          <w:rFonts w:asciiTheme="majorHAnsi" w:hAnsiTheme="majorHAnsi" w:cstheme="majorHAnsi"/>
          <w:color w:val="000000"/>
        </w:rPr>
        <w:t>a</w:t>
      </w:r>
      <w:r w:rsidRPr="00C071AC">
        <w:rPr>
          <w:rFonts w:asciiTheme="majorHAnsi" w:hAnsiTheme="majorHAnsi" w:cstheme="majorHAnsi"/>
          <w:color w:val="000000"/>
        </w:rPr>
        <w:t xml:space="preserve"> Pre-Service Teacher Development Needs Study (PTDNS)</w:t>
      </w:r>
      <w:r>
        <w:rPr>
          <w:rFonts w:asciiTheme="majorHAnsi" w:hAnsiTheme="majorHAnsi" w:cstheme="majorHAnsi"/>
          <w:color w:val="000000"/>
        </w:rPr>
        <w:t xml:space="preserve">, which </w:t>
      </w:r>
      <w:r>
        <w:rPr>
          <w:rFonts w:asciiTheme="majorHAnsi" w:hAnsiTheme="majorHAnsi" w:cstheme="majorHAnsi"/>
        </w:rPr>
        <w:t>assessed</w:t>
      </w:r>
      <w:r w:rsidRPr="00C071AC">
        <w:rPr>
          <w:rFonts w:asciiTheme="majorHAnsi" w:hAnsiTheme="majorHAnsi" w:cstheme="majorHAnsi"/>
        </w:rPr>
        <w:t xml:space="preserve"> graduating students from </w:t>
      </w:r>
      <w:r>
        <w:rPr>
          <w:rFonts w:asciiTheme="majorHAnsi" w:hAnsiTheme="majorHAnsi" w:cstheme="majorHAnsi"/>
        </w:rPr>
        <w:t>various</w:t>
      </w:r>
      <w:r w:rsidRPr="00C071AC">
        <w:rPr>
          <w:rFonts w:asciiTheme="majorHAnsi" w:hAnsiTheme="majorHAnsi" w:cstheme="majorHAnsi"/>
        </w:rPr>
        <w:t xml:space="preserve"> TEIs on their content knowledge in Mathematics, Science, English and Filipino. </w:t>
      </w:r>
      <w:r>
        <w:rPr>
          <w:rFonts w:asciiTheme="majorHAnsi" w:hAnsiTheme="majorHAnsi" w:cstheme="majorHAnsi"/>
        </w:rPr>
        <w:t>Similarly,</w:t>
      </w:r>
      <w:r w:rsidRPr="00C071AC">
        <w:rPr>
          <w:rFonts w:asciiTheme="majorHAnsi" w:hAnsiTheme="majorHAnsi" w:cstheme="majorHAnsi"/>
        </w:rPr>
        <w:t xml:space="preserve"> </w:t>
      </w:r>
      <w:r>
        <w:rPr>
          <w:rFonts w:asciiTheme="majorHAnsi" w:hAnsiTheme="majorHAnsi" w:cstheme="majorHAnsi"/>
        </w:rPr>
        <w:t>a</w:t>
      </w:r>
      <w:r w:rsidRPr="00C071AC">
        <w:rPr>
          <w:rFonts w:asciiTheme="majorHAnsi" w:hAnsiTheme="majorHAnsi" w:cstheme="majorHAnsi"/>
        </w:rPr>
        <w:t xml:space="preserve"> Teachers’ Strengths and Needs Assessment</w:t>
      </w:r>
      <w:r>
        <w:rPr>
          <w:rFonts w:asciiTheme="majorHAnsi" w:hAnsiTheme="majorHAnsi" w:cstheme="majorHAnsi"/>
        </w:rPr>
        <w:t xml:space="preserve">, </w:t>
      </w:r>
      <w:r w:rsidRPr="00C071AC">
        <w:rPr>
          <w:rFonts w:asciiTheme="majorHAnsi" w:hAnsiTheme="majorHAnsi" w:cstheme="majorHAnsi"/>
        </w:rPr>
        <w:t xml:space="preserve">was administered to assess perceived pedagogical knowledge, skills and attitudes. </w:t>
      </w:r>
      <w:r>
        <w:rPr>
          <w:rFonts w:asciiTheme="majorHAnsi" w:hAnsiTheme="majorHAnsi" w:cstheme="majorHAnsi"/>
        </w:rPr>
        <w:t>The</w:t>
      </w:r>
      <w:r w:rsidRPr="00C071AC">
        <w:rPr>
          <w:rFonts w:asciiTheme="majorHAnsi" w:hAnsiTheme="majorHAnsi" w:cstheme="majorHAnsi"/>
        </w:rPr>
        <w:t xml:space="preserve"> PTDNS results were </w:t>
      </w:r>
      <w:r>
        <w:rPr>
          <w:rFonts w:asciiTheme="majorHAnsi" w:hAnsiTheme="majorHAnsi" w:cstheme="majorHAnsi"/>
        </w:rPr>
        <w:t>used in</w:t>
      </w:r>
      <w:r w:rsidRPr="00C071AC">
        <w:rPr>
          <w:rFonts w:asciiTheme="majorHAnsi" w:hAnsiTheme="majorHAnsi" w:cstheme="majorHAnsi"/>
        </w:rPr>
        <w:t xml:space="preserve"> the design and subsequent development of </w:t>
      </w:r>
      <w:r w:rsidRPr="007E5FFD">
        <w:rPr>
          <w:rFonts w:asciiTheme="majorHAnsi" w:hAnsiTheme="majorHAnsi" w:cstheme="majorHAnsi"/>
          <w:color w:val="000000" w:themeColor="text1"/>
        </w:rPr>
        <w:t>programs to strengthen the capabilities of the beginning teachers as they were integrated to the K to</w:t>
      </w:r>
      <w:r>
        <w:rPr>
          <w:rFonts w:asciiTheme="majorHAnsi" w:hAnsiTheme="majorHAnsi" w:cstheme="majorHAnsi"/>
          <w:color w:val="000000" w:themeColor="text1"/>
        </w:rPr>
        <w:t xml:space="preserve"> </w:t>
      </w:r>
      <w:r w:rsidRPr="007E5FFD">
        <w:rPr>
          <w:rFonts w:asciiTheme="majorHAnsi" w:hAnsiTheme="majorHAnsi" w:cstheme="majorHAnsi"/>
          <w:color w:val="000000" w:themeColor="text1"/>
        </w:rPr>
        <w:t>12 system</w:t>
      </w:r>
      <w:r>
        <w:rPr>
          <w:rFonts w:asciiTheme="majorHAnsi" w:hAnsiTheme="majorHAnsi" w:cstheme="majorHAnsi"/>
          <w:color w:val="000000" w:themeColor="text1"/>
        </w:rPr>
        <w:t xml:space="preserve"> and as</w:t>
      </w:r>
      <w:r w:rsidRPr="00C071AC">
        <w:rPr>
          <w:rFonts w:asciiTheme="majorHAnsi" w:hAnsiTheme="majorHAnsi" w:cstheme="majorHAnsi"/>
          <w:color w:val="000000"/>
        </w:rPr>
        <w:t xml:space="preserve"> curriculum inputs. </w:t>
      </w:r>
      <w:r w:rsidRPr="00FB574A">
        <w:rPr>
          <w:rFonts w:asciiTheme="majorHAnsi" w:hAnsiTheme="majorHAnsi" w:cstheme="majorHAnsi"/>
          <w:color w:val="000000" w:themeColor="text1"/>
        </w:rPr>
        <w:t>Refer also to Section 3.2.2.5.</w:t>
      </w:r>
    </w:p>
    <w:p w14:paraId="12A16CA0" w14:textId="19874DFC" w:rsidR="008D0CAD" w:rsidRPr="00146AED" w:rsidRDefault="008D0CAD" w:rsidP="008C061C">
      <w:pPr>
        <w:pStyle w:val="Heading6"/>
        <w:rPr>
          <w:bCs/>
        </w:rPr>
      </w:pPr>
      <w:r w:rsidRPr="00146AED">
        <w:t>Capability Building of Teaching Education Institutions</w:t>
      </w:r>
      <w:r>
        <w:t xml:space="preserve"> (TEIs)</w:t>
      </w:r>
    </w:p>
    <w:p w14:paraId="55D0FF2E" w14:textId="2F1D7A48" w:rsidR="008D0CAD" w:rsidRDefault="008D0CAD" w:rsidP="000479A3">
      <w:pPr>
        <w:spacing w:before="100" w:beforeAutospacing="1" w:after="100" w:afterAutospacing="1" w:line="360" w:lineRule="auto"/>
        <w:rPr>
          <w:rFonts w:asciiTheme="majorHAnsi" w:hAnsiTheme="majorHAnsi" w:cstheme="majorHAnsi"/>
        </w:rPr>
      </w:pPr>
      <w:r>
        <w:rPr>
          <w:rFonts w:asciiTheme="majorHAnsi" w:hAnsiTheme="majorHAnsi" w:cstheme="majorHAnsi"/>
          <w:color w:val="000000"/>
        </w:rPr>
        <w:t xml:space="preserve">In 2018, the </w:t>
      </w:r>
      <w:r w:rsidRPr="00C071AC">
        <w:rPr>
          <w:rFonts w:asciiTheme="majorHAnsi" w:hAnsiTheme="majorHAnsi" w:cstheme="majorHAnsi"/>
          <w:color w:val="000000"/>
        </w:rPr>
        <w:t xml:space="preserve">BEST </w:t>
      </w:r>
      <w:r>
        <w:rPr>
          <w:rFonts w:asciiTheme="majorHAnsi" w:hAnsiTheme="majorHAnsi" w:cstheme="majorHAnsi"/>
          <w:color w:val="000000"/>
        </w:rPr>
        <w:t xml:space="preserve">Program </w:t>
      </w:r>
      <w:r w:rsidRPr="00C071AC">
        <w:rPr>
          <w:rFonts w:asciiTheme="majorHAnsi" w:hAnsiTheme="majorHAnsi" w:cstheme="majorHAnsi"/>
          <w:color w:val="000000"/>
        </w:rPr>
        <w:t>also implemented a Capability Building Series for facult</w:t>
      </w:r>
      <w:r>
        <w:rPr>
          <w:rFonts w:asciiTheme="majorHAnsi" w:hAnsiTheme="majorHAnsi" w:cstheme="majorHAnsi"/>
          <w:color w:val="000000"/>
        </w:rPr>
        <w:t>ies</w:t>
      </w:r>
      <w:r w:rsidRPr="00C071AC">
        <w:rPr>
          <w:rFonts w:asciiTheme="majorHAnsi" w:hAnsiTheme="majorHAnsi" w:cstheme="majorHAnsi"/>
          <w:color w:val="000000"/>
        </w:rPr>
        <w:t xml:space="preserve"> </w:t>
      </w:r>
      <w:r>
        <w:rPr>
          <w:rFonts w:asciiTheme="majorHAnsi" w:hAnsiTheme="majorHAnsi" w:cstheme="majorHAnsi"/>
          <w:color w:val="000000"/>
        </w:rPr>
        <w:t>of participating</w:t>
      </w:r>
      <w:r w:rsidRPr="00C071AC">
        <w:rPr>
          <w:rFonts w:asciiTheme="majorHAnsi" w:hAnsiTheme="majorHAnsi" w:cstheme="majorHAnsi"/>
          <w:color w:val="000000"/>
        </w:rPr>
        <w:t xml:space="preserve"> TEIs to offer specific inputs and updates on a range of teaching and learning issues such as Inclusive Education, Action Research and Formative Assessment.</w:t>
      </w:r>
      <w:r w:rsidR="00D434EB">
        <w:rPr>
          <w:rFonts w:asciiTheme="majorHAnsi" w:hAnsiTheme="majorHAnsi" w:cstheme="majorHAnsi"/>
          <w:color w:val="000000"/>
        </w:rPr>
        <w:t xml:space="preserve"> </w:t>
      </w:r>
      <w:r>
        <w:rPr>
          <w:rFonts w:asciiTheme="majorHAnsi" w:eastAsiaTheme="minorHAnsi" w:hAnsiTheme="majorHAnsi" w:cstheme="majorHAnsi"/>
        </w:rPr>
        <w:t>In addition, the Program supported the c</w:t>
      </w:r>
      <w:r w:rsidRPr="00594721">
        <w:rPr>
          <w:rFonts w:asciiTheme="majorHAnsi" w:eastAsiaTheme="minorHAnsi" w:hAnsiTheme="majorHAnsi" w:cstheme="majorHAnsi"/>
        </w:rPr>
        <w:t>apacity building of 344 (57</w:t>
      </w:r>
      <w:r>
        <w:rPr>
          <w:rFonts w:asciiTheme="majorHAnsi" w:eastAsiaTheme="minorHAnsi" w:hAnsiTheme="majorHAnsi" w:cstheme="majorHAnsi"/>
        </w:rPr>
        <w:t xml:space="preserve"> per cent</w:t>
      </w:r>
      <w:r w:rsidRPr="00594721">
        <w:rPr>
          <w:rFonts w:asciiTheme="majorHAnsi" w:eastAsiaTheme="minorHAnsi" w:hAnsiTheme="majorHAnsi" w:cstheme="majorHAnsi"/>
        </w:rPr>
        <w:t xml:space="preserve"> females) </w:t>
      </w:r>
      <w:r w:rsidRPr="00594721">
        <w:rPr>
          <w:rFonts w:asciiTheme="majorHAnsi" w:hAnsiTheme="majorHAnsi" w:cstheme="majorHAnsi"/>
        </w:rPr>
        <w:t xml:space="preserve">deans and faculty members from various TEIs </w:t>
      </w:r>
      <w:r>
        <w:rPr>
          <w:rFonts w:asciiTheme="majorHAnsi" w:hAnsiTheme="majorHAnsi" w:cstheme="majorHAnsi"/>
        </w:rPr>
        <w:t xml:space="preserve">on various topics such as </w:t>
      </w:r>
      <w:r w:rsidRPr="00594721">
        <w:rPr>
          <w:rFonts w:asciiTheme="majorHAnsi" w:hAnsiTheme="majorHAnsi" w:cstheme="majorHAnsi"/>
        </w:rPr>
        <w:t>action research, pedagogical content knowledge and assessment in</w:t>
      </w:r>
      <w:r>
        <w:rPr>
          <w:rFonts w:asciiTheme="majorHAnsi" w:hAnsiTheme="majorHAnsi" w:cstheme="majorHAnsi"/>
        </w:rPr>
        <w:t xml:space="preserve"> Science, Math, English and Filipino</w:t>
      </w:r>
      <w:r w:rsidRPr="00594721">
        <w:rPr>
          <w:rFonts w:asciiTheme="majorHAnsi" w:hAnsiTheme="majorHAnsi" w:cstheme="majorHAnsi"/>
        </w:rPr>
        <w:t xml:space="preserve"> </w:t>
      </w:r>
      <w:r>
        <w:rPr>
          <w:rFonts w:asciiTheme="majorHAnsi" w:hAnsiTheme="majorHAnsi" w:cstheme="majorHAnsi"/>
        </w:rPr>
        <w:t>(</w:t>
      </w:r>
      <w:r w:rsidRPr="00594721">
        <w:rPr>
          <w:rFonts w:asciiTheme="majorHAnsi" w:hAnsiTheme="majorHAnsi" w:cstheme="majorHAnsi"/>
        </w:rPr>
        <w:t>SMEF</w:t>
      </w:r>
      <w:r>
        <w:rPr>
          <w:rFonts w:asciiTheme="majorHAnsi" w:hAnsiTheme="majorHAnsi" w:cstheme="majorHAnsi"/>
        </w:rPr>
        <w:t>)</w:t>
      </w:r>
      <w:r w:rsidRPr="00594721">
        <w:rPr>
          <w:rFonts w:asciiTheme="majorHAnsi" w:hAnsiTheme="majorHAnsi" w:cstheme="majorHAnsi"/>
        </w:rPr>
        <w:t>, and curriculum contextuali</w:t>
      </w:r>
      <w:r>
        <w:rPr>
          <w:rFonts w:asciiTheme="majorHAnsi" w:hAnsiTheme="majorHAnsi" w:cstheme="majorHAnsi"/>
        </w:rPr>
        <w:t>s</w:t>
      </w:r>
      <w:r w:rsidRPr="00594721">
        <w:rPr>
          <w:rFonts w:asciiTheme="majorHAnsi" w:hAnsiTheme="majorHAnsi" w:cstheme="majorHAnsi"/>
        </w:rPr>
        <w:t xml:space="preserve">ation. </w:t>
      </w:r>
    </w:p>
    <w:p w14:paraId="4DDA655F" w14:textId="77777777" w:rsidR="008D0CAD" w:rsidRPr="00444F66" w:rsidRDefault="008D0CAD" w:rsidP="000479A3">
      <w:pPr>
        <w:spacing w:before="100" w:beforeAutospacing="1" w:after="100" w:afterAutospacing="1" w:line="360" w:lineRule="auto"/>
        <w:rPr>
          <w:rFonts w:asciiTheme="majorHAnsi" w:hAnsiTheme="majorHAnsi" w:cstheme="majorHAnsi"/>
          <w:color w:val="000000"/>
        </w:rPr>
      </w:pPr>
      <w:r w:rsidRPr="006D0C95">
        <w:rPr>
          <w:rFonts w:asciiTheme="majorHAnsi" w:hAnsiTheme="majorHAnsi" w:cstheme="majorHAnsi"/>
          <w:color w:val="000000" w:themeColor="text1"/>
        </w:rPr>
        <w:t xml:space="preserve">As a result of the capacity building, it was reported that 38 TEI course syllabi were enhanced in the areas of research, field study, SMEF, and teacher education. </w:t>
      </w:r>
    </w:p>
    <w:p w14:paraId="4E6FC94C" w14:textId="77777777" w:rsidR="008D0CAD" w:rsidRPr="00146AED" w:rsidRDefault="008D0CAD" w:rsidP="008C061C">
      <w:pPr>
        <w:pStyle w:val="Heading6"/>
        <w:rPr>
          <w:bCs/>
        </w:rPr>
      </w:pPr>
      <w:r>
        <w:t>Commission on Higher Education (</w:t>
      </w:r>
      <w:r w:rsidRPr="00146AED">
        <w:t>CHED</w:t>
      </w:r>
      <w:r>
        <w:t>)</w:t>
      </w:r>
      <w:r w:rsidRPr="00146AED">
        <w:t xml:space="preserve"> Research Agenda for Teacher Education</w:t>
      </w:r>
    </w:p>
    <w:p w14:paraId="318A5602" w14:textId="18E8E331" w:rsidR="008D0CAD" w:rsidRDefault="008D0CAD" w:rsidP="000479A3">
      <w:pPr>
        <w:spacing w:before="100" w:beforeAutospacing="1" w:after="100" w:afterAutospacing="1" w:line="360" w:lineRule="auto"/>
        <w:rPr>
          <w:rFonts w:asciiTheme="majorHAnsi" w:hAnsiTheme="majorHAnsi" w:cstheme="majorHAnsi"/>
        </w:rPr>
      </w:pPr>
      <w:r w:rsidRPr="00A3107E">
        <w:rPr>
          <w:rFonts w:asciiTheme="majorHAnsi" w:hAnsiTheme="majorHAnsi" w:cstheme="majorHAnsi"/>
          <w:color w:val="000000"/>
        </w:rPr>
        <w:t>At a policy level, the BEST Program supported CHED in the development of a National Research Agenda for Teacher Education (NRATE)</w:t>
      </w:r>
      <w:r>
        <w:rPr>
          <w:rFonts w:asciiTheme="majorHAnsi" w:hAnsiTheme="majorHAnsi" w:cstheme="majorHAnsi"/>
          <w:color w:val="000000"/>
        </w:rPr>
        <w:t xml:space="preserve"> </w:t>
      </w:r>
      <w:r w:rsidRPr="00594721">
        <w:rPr>
          <w:rFonts w:asciiTheme="majorHAnsi" w:hAnsiTheme="majorHAnsi" w:cstheme="majorHAnsi"/>
        </w:rPr>
        <w:t xml:space="preserve">intended to </w:t>
      </w:r>
      <w:r>
        <w:rPr>
          <w:rFonts w:asciiTheme="majorHAnsi" w:hAnsiTheme="majorHAnsi" w:cstheme="majorHAnsi"/>
        </w:rPr>
        <w:t>guide</w:t>
      </w:r>
      <w:r w:rsidRPr="00594721">
        <w:rPr>
          <w:rFonts w:asciiTheme="majorHAnsi" w:hAnsiTheme="majorHAnsi" w:cstheme="majorHAnsi"/>
        </w:rPr>
        <w:t xml:space="preserve"> TEIs </w:t>
      </w:r>
      <w:r>
        <w:rPr>
          <w:rFonts w:asciiTheme="majorHAnsi" w:hAnsiTheme="majorHAnsi" w:cstheme="majorHAnsi"/>
        </w:rPr>
        <w:t>in the</w:t>
      </w:r>
      <w:r w:rsidRPr="00594721">
        <w:rPr>
          <w:rFonts w:asciiTheme="majorHAnsi" w:hAnsiTheme="majorHAnsi" w:cstheme="majorHAnsi"/>
        </w:rPr>
        <w:t xml:space="preserve"> conduct </w:t>
      </w:r>
      <w:r>
        <w:rPr>
          <w:rFonts w:asciiTheme="majorHAnsi" w:hAnsiTheme="majorHAnsi" w:cstheme="majorHAnsi"/>
        </w:rPr>
        <w:t xml:space="preserve">of </w:t>
      </w:r>
      <w:r w:rsidRPr="00594721">
        <w:rPr>
          <w:rFonts w:asciiTheme="majorHAnsi" w:hAnsiTheme="majorHAnsi" w:cstheme="majorHAnsi"/>
        </w:rPr>
        <w:t>research studies aligned with national directions for quality teacher education</w:t>
      </w:r>
      <w:r w:rsidRPr="00B2355E">
        <w:rPr>
          <w:rStyle w:val="FootnoteReference"/>
          <w:rFonts w:asciiTheme="majorHAnsi" w:eastAsia="Arial Unicode MS" w:hAnsiTheme="majorHAnsi" w:cstheme="majorHAnsi"/>
          <w:iCs/>
          <w:color w:val="000000"/>
        </w:rPr>
        <w:footnoteReference w:id="24"/>
      </w:r>
      <w:r w:rsidRPr="00594721">
        <w:rPr>
          <w:rFonts w:asciiTheme="majorHAnsi" w:hAnsiTheme="majorHAnsi" w:cstheme="majorHAnsi"/>
        </w:rPr>
        <w:t>.</w:t>
      </w:r>
      <w:r>
        <w:rPr>
          <w:rFonts w:asciiTheme="majorHAnsi" w:hAnsiTheme="majorHAnsi" w:cstheme="majorHAnsi"/>
          <w:color w:val="000000"/>
        </w:rPr>
        <w:t xml:space="preserve"> </w:t>
      </w:r>
      <w:r w:rsidRPr="00A3107E">
        <w:rPr>
          <w:rFonts w:asciiTheme="majorHAnsi" w:hAnsiTheme="majorHAnsi" w:cstheme="majorHAnsi"/>
          <w:color w:val="000000"/>
        </w:rPr>
        <w:t xml:space="preserve">This provided direction and priorities </w:t>
      </w:r>
      <w:r>
        <w:rPr>
          <w:rFonts w:asciiTheme="majorHAnsi" w:hAnsiTheme="majorHAnsi" w:cstheme="majorHAnsi"/>
          <w:color w:val="000000"/>
        </w:rPr>
        <w:t>for</w:t>
      </w:r>
      <w:r w:rsidRPr="00A3107E">
        <w:rPr>
          <w:rFonts w:asciiTheme="majorHAnsi" w:hAnsiTheme="majorHAnsi" w:cstheme="majorHAnsi"/>
          <w:color w:val="000000"/>
        </w:rPr>
        <w:t xml:space="preserve"> research </w:t>
      </w:r>
      <w:r>
        <w:rPr>
          <w:rFonts w:asciiTheme="majorHAnsi" w:hAnsiTheme="majorHAnsi" w:cstheme="majorHAnsi"/>
          <w:color w:val="000000"/>
        </w:rPr>
        <w:t>o</w:t>
      </w:r>
      <w:r w:rsidRPr="00A3107E">
        <w:rPr>
          <w:rFonts w:asciiTheme="majorHAnsi" w:hAnsiTheme="majorHAnsi" w:cstheme="majorHAnsi"/>
          <w:color w:val="000000"/>
        </w:rPr>
        <w:t xml:space="preserve">n teacher education to inform policies, planning and programs in the medium-term. </w:t>
      </w:r>
      <w:r w:rsidRPr="00594721">
        <w:rPr>
          <w:rFonts w:asciiTheme="majorHAnsi" w:hAnsiTheme="majorHAnsi" w:cstheme="majorHAnsi"/>
        </w:rPr>
        <w:t>The NRATE was finali</w:t>
      </w:r>
      <w:r>
        <w:rPr>
          <w:rFonts w:asciiTheme="majorHAnsi" w:hAnsiTheme="majorHAnsi" w:cstheme="majorHAnsi"/>
        </w:rPr>
        <w:t>s</w:t>
      </w:r>
      <w:r w:rsidRPr="00594721">
        <w:rPr>
          <w:rFonts w:asciiTheme="majorHAnsi" w:hAnsiTheme="majorHAnsi" w:cstheme="majorHAnsi"/>
        </w:rPr>
        <w:t>ed for promulgation but was not institutionali</w:t>
      </w:r>
      <w:r>
        <w:rPr>
          <w:rFonts w:asciiTheme="majorHAnsi" w:hAnsiTheme="majorHAnsi" w:cstheme="majorHAnsi"/>
        </w:rPr>
        <w:t>s</w:t>
      </w:r>
      <w:r w:rsidRPr="00594721">
        <w:rPr>
          <w:rFonts w:asciiTheme="majorHAnsi" w:hAnsiTheme="majorHAnsi" w:cstheme="majorHAnsi"/>
        </w:rPr>
        <w:t>ed through a CHED Memo Order.</w:t>
      </w:r>
      <w:r w:rsidR="00D434EB">
        <w:rPr>
          <w:rFonts w:asciiTheme="majorHAnsi" w:hAnsiTheme="majorHAnsi" w:cstheme="majorHAnsi"/>
        </w:rPr>
        <w:t xml:space="preserve"> </w:t>
      </w:r>
      <w:r>
        <w:rPr>
          <w:rFonts w:asciiTheme="majorHAnsi" w:hAnsiTheme="majorHAnsi" w:cstheme="majorHAnsi"/>
        </w:rPr>
        <w:t>Therefore, TEIs are not mandated to follow the agenda.</w:t>
      </w:r>
    </w:p>
    <w:p w14:paraId="231245B2" w14:textId="77777777" w:rsidR="008D0CAD" w:rsidRPr="00530418" w:rsidRDefault="008D0CAD" w:rsidP="000479A3">
      <w:pPr>
        <w:shd w:val="clear" w:color="auto" w:fill="FFFFFF"/>
        <w:spacing w:before="100" w:beforeAutospacing="1" w:after="100" w:afterAutospacing="1" w:line="360" w:lineRule="auto"/>
        <w:rPr>
          <w:rFonts w:asciiTheme="majorHAnsi" w:hAnsiTheme="majorHAnsi" w:cstheme="majorHAnsi"/>
          <w:color w:val="000000"/>
        </w:rPr>
      </w:pPr>
      <w:r>
        <w:rPr>
          <w:rFonts w:asciiTheme="majorHAnsi" w:hAnsiTheme="majorHAnsi" w:cstheme="majorHAnsi"/>
          <w:color w:val="000000"/>
        </w:rPr>
        <w:t xml:space="preserve">The EOPE Study noted that the Program’s partnership with CHED (or the lack of it) was a key missing element. </w:t>
      </w:r>
      <w:r>
        <w:rPr>
          <w:rFonts w:asciiTheme="majorHAnsi" w:hAnsiTheme="majorHAnsi" w:cstheme="majorHAnsi"/>
          <w:color w:val="000000" w:themeColor="text1"/>
        </w:rPr>
        <w:t>U</w:t>
      </w:r>
      <w:r w:rsidRPr="002611EB">
        <w:rPr>
          <w:rFonts w:asciiTheme="majorHAnsi" w:hAnsiTheme="majorHAnsi" w:cstheme="majorHAnsi"/>
          <w:color w:val="000000" w:themeColor="text1"/>
        </w:rPr>
        <w:t xml:space="preserve">nlike the other nine interventions, </w:t>
      </w:r>
      <w:r>
        <w:rPr>
          <w:rFonts w:asciiTheme="majorHAnsi" w:hAnsiTheme="majorHAnsi" w:cstheme="majorHAnsi"/>
          <w:color w:val="000000" w:themeColor="text1"/>
        </w:rPr>
        <w:t xml:space="preserve">the success of </w:t>
      </w:r>
      <w:r w:rsidRPr="002611EB">
        <w:rPr>
          <w:rFonts w:asciiTheme="majorHAnsi" w:hAnsiTheme="majorHAnsi" w:cstheme="majorHAnsi"/>
          <w:color w:val="000000" w:themeColor="text1"/>
        </w:rPr>
        <w:t xml:space="preserve">TPQI highly necessitated the participation of another national agency, CHED, and universities and colleges offering degree courses in education, which were not under the supervision of </w:t>
      </w:r>
      <w:r>
        <w:rPr>
          <w:rFonts w:asciiTheme="majorHAnsi" w:hAnsiTheme="majorHAnsi" w:cstheme="majorHAnsi"/>
          <w:color w:val="000000" w:themeColor="text1"/>
        </w:rPr>
        <w:t>DepEd</w:t>
      </w:r>
      <w:r w:rsidRPr="002611EB">
        <w:rPr>
          <w:rFonts w:asciiTheme="majorHAnsi" w:hAnsiTheme="majorHAnsi" w:cstheme="majorHAnsi"/>
          <w:color w:val="000000" w:themeColor="text1"/>
        </w:rPr>
        <w:t xml:space="preserve">. </w:t>
      </w:r>
      <w:r>
        <w:rPr>
          <w:rFonts w:asciiTheme="majorHAnsi" w:hAnsiTheme="majorHAnsi" w:cstheme="majorHAnsi"/>
          <w:color w:val="000000" w:themeColor="text1"/>
        </w:rPr>
        <w:t>This made it difficult for the Program to coordinate the activities under TPQI and work arounds had to be implemented.</w:t>
      </w:r>
      <w:r>
        <w:rPr>
          <w:rStyle w:val="FootnoteReference"/>
          <w:rFonts w:asciiTheme="majorHAnsi" w:eastAsia="Arial Unicode MS" w:hAnsiTheme="majorHAnsi" w:cstheme="majorHAnsi"/>
          <w:color w:val="000000" w:themeColor="text1"/>
        </w:rPr>
        <w:footnoteReference w:id="25"/>
      </w:r>
    </w:p>
    <w:p w14:paraId="0F0895A2" w14:textId="396089C5" w:rsidR="008D0CAD" w:rsidRDefault="008D0CAD" w:rsidP="000479A3">
      <w:pPr>
        <w:spacing w:before="100" w:beforeAutospacing="1" w:after="100" w:afterAutospacing="1" w:line="360" w:lineRule="auto"/>
        <w:rPr>
          <w:rFonts w:asciiTheme="majorHAnsi" w:hAnsiTheme="majorHAnsi" w:cstheme="majorHAnsi"/>
        </w:rPr>
      </w:pPr>
      <w:r>
        <w:rPr>
          <w:rFonts w:asciiTheme="majorHAnsi" w:hAnsiTheme="majorHAnsi" w:cstheme="majorHAnsi"/>
          <w:color w:val="000000"/>
        </w:rPr>
        <w:t>CHED being an equal national government agency, a different partnership strategy was required.</w:t>
      </w:r>
      <w:r w:rsidR="00D434EB">
        <w:rPr>
          <w:rFonts w:asciiTheme="majorHAnsi" w:hAnsiTheme="majorHAnsi" w:cstheme="majorHAnsi"/>
          <w:color w:val="000000"/>
        </w:rPr>
        <w:t xml:space="preserve"> </w:t>
      </w:r>
      <w:r>
        <w:rPr>
          <w:rFonts w:asciiTheme="majorHAnsi" w:hAnsiTheme="majorHAnsi" w:cstheme="majorHAnsi"/>
          <w:color w:val="000000"/>
        </w:rPr>
        <w:t xml:space="preserve">The coordination mechanism, i.e., the Teacher Education Council (TEC), while effective for normal situations could have benefitted from a different strategic approach that would have enabled the integration of PPST in the CHED Memorandum Order on the revised education curricula issued on the same year that the PPST was formalised by DepEd. Moreover, stronger endorsement from CHED would have compelled more TEIs to </w:t>
      </w:r>
      <w:r w:rsidRPr="00594721">
        <w:rPr>
          <w:rFonts w:asciiTheme="majorHAnsi" w:hAnsiTheme="majorHAnsi" w:cstheme="majorHAnsi"/>
        </w:rPr>
        <w:t>revis</w:t>
      </w:r>
      <w:r>
        <w:rPr>
          <w:rFonts w:asciiTheme="majorHAnsi" w:hAnsiTheme="majorHAnsi" w:cstheme="majorHAnsi"/>
        </w:rPr>
        <w:t>e</w:t>
      </w:r>
      <w:r w:rsidRPr="00594721">
        <w:rPr>
          <w:rFonts w:asciiTheme="majorHAnsi" w:hAnsiTheme="majorHAnsi" w:cstheme="majorHAnsi"/>
        </w:rPr>
        <w:t xml:space="preserve"> their teacher education curricula to align with PPST</w:t>
      </w:r>
      <w:r>
        <w:rPr>
          <w:rFonts w:asciiTheme="majorHAnsi" w:hAnsiTheme="majorHAnsi" w:cstheme="majorHAnsi"/>
        </w:rPr>
        <w:t>.</w:t>
      </w:r>
    </w:p>
    <w:p w14:paraId="576124C4" w14:textId="77777777" w:rsidR="008D0CAD" w:rsidRDefault="008D0CAD" w:rsidP="000479A3">
      <w:pPr>
        <w:spacing w:before="100" w:beforeAutospacing="1" w:after="100" w:afterAutospacing="1" w:line="360" w:lineRule="auto"/>
        <w:rPr>
          <w:rFonts w:asciiTheme="majorHAnsi" w:hAnsiTheme="majorHAnsi" w:cstheme="majorHAnsi"/>
        </w:rPr>
      </w:pPr>
      <w:r>
        <w:rPr>
          <w:rFonts w:asciiTheme="majorHAnsi" w:hAnsiTheme="majorHAnsi" w:cstheme="majorHAnsi"/>
        </w:rPr>
        <w:t>Due to the difficulties of securing appointments, no interviews were conducted with CHED representatives to validate this process.</w:t>
      </w:r>
    </w:p>
    <w:p w14:paraId="44CC66E4" w14:textId="77777777" w:rsidR="008D0CAD" w:rsidRPr="00444F66" w:rsidRDefault="008D0CAD" w:rsidP="008C061C">
      <w:pPr>
        <w:pStyle w:val="Heading6"/>
        <w:rPr>
          <w:bCs/>
        </w:rPr>
      </w:pPr>
      <w:r w:rsidRPr="00146AED">
        <w:t>Scholarships to promote the teaching profession</w:t>
      </w:r>
    </w:p>
    <w:p w14:paraId="7094240C" w14:textId="47922288" w:rsidR="008D0CAD" w:rsidRPr="00922AC7" w:rsidRDefault="008D0CAD" w:rsidP="000479A3">
      <w:pPr>
        <w:spacing w:before="100" w:beforeAutospacing="1" w:after="100" w:afterAutospacing="1" w:line="360" w:lineRule="auto"/>
        <w:rPr>
          <w:rFonts w:asciiTheme="majorHAnsi" w:hAnsiTheme="majorHAnsi" w:cstheme="majorHAnsi"/>
          <w:bCs/>
        </w:rPr>
      </w:pPr>
      <w:r w:rsidRPr="00C071AC">
        <w:rPr>
          <w:rFonts w:asciiTheme="majorHAnsi" w:hAnsiTheme="majorHAnsi" w:cstheme="majorHAnsi"/>
          <w:color w:val="000000"/>
        </w:rPr>
        <w:t>Philippines Business for Education (PBE</w:t>
      </w:r>
      <w:r>
        <w:rPr>
          <w:rFonts w:asciiTheme="majorHAnsi" w:hAnsiTheme="majorHAnsi" w:cstheme="majorHAnsi"/>
          <w:color w:val="000000"/>
        </w:rPr>
        <w:t>d</w:t>
      </w:r>
      <w:r w:rsidRPr="00C071AC">
        <w:rPr>
          <w:rFonts w:asciiTheme="majorHAnsi" w:hAnsiTheme="majorHAnsi" w:cstheme="majorHAnsi"/>
          <w:color w:val="000000"/>
        </w:rPr>
        <w:t>)</w:t>
      </w:r>
      <w:r>
        <w:rPr>
          <w:rFonts w:asciiTheme="majorHAnsi" w:hAnsiTheme="majorHAnsi" w:cstheme="majorHAnsi"/>
          <w:color w:val="000000"/>
        </w:rPr>
        <w:t xml:space="preserve">, a BEST implementing partner, </w:t>
      </w:r>
      <w:r w:rsidRPr="00C071AC">
        <w:rPr>
          <w:rFonts w:asciiTheme="majorHAnsi" w:hAnsiTheme="majorHAnsi" w:cstheme="majorHAnsi"/>
          <w:color w:val="000000"/>
        </w:rPr>
        <w:t xml:space="preserve">managed </w:t>
      </w:r>
      <w:r>
        <w:rPr>
          <w:rFonts w:asciiTheme="majorHAnsi" w:hAnsiTheme="majorHAnsi" w:cstheme="majorHAnsi"/>
          <w:color w:val="000000"/>
        </w:rPr>
        <w:t>a</w:t>
      </w:r>
      <w:r w:rsidRPr="00C071AC">
        <w:rPr>
          <w:rFonts w:asciiTheme="majorHAnsi" w:hAnsiTheme="majorHAnsi" w:cstheme="majorHAnsi"/>
          <w:color w:val="000000"/>
        </w:rPr>
        <w:t xml:space="preserve"> local scholarship program</w:t>
      </w:r>
      <w:r>
        <w:rPr>
          <w:rFonts w:asciiTheme="majorHAnsi" w:hAnsiTheme="majorHAnsi" w:cstheme="majorHAnsi"/>
          <w:color w:val="000000"/>
        </w:rPr>
        <w:t xml:space="preserve"> called the</w:t>
      </w:r>
      <w:r w:rsidRPr="00A87355">
        <w:rPr>
          <w:rFonts w:asciiTheme="majorHAnsi" w:hAnsiTheme="majorHAnsi" w:cstheme="majorHAnsi"/>
          <w:bCs/>
        </w:rPr>
        <w:t xml:space="preserve"> </w:t>
      </w:r>
      <w:r w:rsidRPr="00C071AC">
        <w:rPr>
          <w:rFonts w:asciiTheme="majorHAnsi" w:hAnsiTheme="majorHAnsi" w:cstheme="majorHAnsi"/>
          <w:bCs/>
        </w:rPr>
        <w:t>Teacher Education Programs to Uplift Teacher Quality in the Philippines (STEP UP)</w:t>
      </w:r>
      <w:r>
        <w:rPr>
          <w:rFonts w:asciiTheme="majorHAnsi" w:hAnsiTheme="majorHAnsi" w:cstheme="majorHAnsi"/>
          <w:bCs/>
        </w:rPr>
        <w:t>.</w:t>
      </w:r>
      <w:r w:rsidR="00D434EB">
        <w:rPr>
          <w:rFonts w:asciiTheme="majorHAnsi" w:hAnsiTheme="majorHAnsi" w:cstheme="majorHAnsi"/>
          <w:bCs/>
        </w:rPr>
        <w:t xml:space="preserve"> </w:t>
      </w:r>
      <w:r>
        <w:rPr>
          <w:rFonts w:asciiTheme="majorHAnsi" w:hAnsiTheme="majorHAnsi" w:cstheme="majorHAnsi"/>
          <w:bCs/>
        </w:rPr>
        <w:t>The STEP UP responds to two development gaps: (i) to improve the perception of the teaching profession among the general public, and thus attract more capable young people to choose a degree in education as a first option (as compared to a no other option) and (ii) to respond to the scarcity of qualified teachers in basic education. The education scholarship program was intended to be a model that can be replicated in the future.</w:t>
      </w:r>
    </w:p>
    <w:p w14:paraId="7E37DDC9" w14:textId="592B9343" w:rsidR="008D0CAD" w:rsidRPr="00A53436" w:rsidRDefault="008D0CAD" w:rsidP="000479A3">
      <w:pPr>
        <w:spacing w:before="100" w:beforeAutospacing="1" w:after="100" w:afterAutospacing="1" w:line="360" w:lineRule="auto"/>
        <w:rPr>
          <w:rFonts w:asciiTheme="majorHAnsi" w:hAnsiTheme="majorHAnsi" w:cstheme="majorHAnsi"/>
          <w:color w:val="000000" w:themeColor="text1"/>
        </w:rPr>
      </w:pPr>
      <w:r w:rsidRPr="00C071AC">
        <w:rPr>
          <w:rFonts w:asciiTheme="majorHAnsi" w:hAnsiTheme="majorHAnsi" w:cstheme="majorHAnsi"/>
          <w:color w:val="000000"/>
        </w:rPr>
        <w:t>PBE</w:t>
      </w:r>
      <w:r>
        <w:rPr>
          <w:rFonts w:asciiTheme="majorHAnsi" w:hAnsiTheme="majorHAnsi" w:cstheme="majorHAnsi"/>
          <w:color w:val="000000"/>
        </w:rPr>
        <w:t>d</w:t>
      </w:r>
      <w:r w:rsidRPr="00C071AC">
        <w:rPr>
          <w:rFonts w:asciiTheme="majorHAnsi" w:hAnsiTheme="majorHAnsi" w:cstheme="majorHAnsi"/>
          <w:color w:val="000000"/>
        </w:rPr>
        <w:t xml:space="preserve"> targeted </w:t>
      </w:r>
      <w:r>
        <w:rPr>
          <w:rFonts w:asciiTheme="majorHAnsi" w:hAnsiTheme="majorHAnsi" w:cstheme="majorHAnsi"/>
          <w:color w:val="000000"/>
        </w:rPr>
        <w:t xml:space="preserve">950 </w:t>
      </w:r>
      <w:r w:rsidRPr="00C071AC">
        <w:rPr>
          <w:rFonts w:asciiTheme="majorHAnsi" w:hAnsiTheme="majorHAnsi" w:cstheme="majorHAnsi"/>
          <w:color w:val="000000"/>
        </w:rPr>
        <w:t>teaching scholarships for the duration of the BEST Program. PBE</w:t>
      </w:r>
      <w:r>
        <w:rPr>
          <w:rFonts w:asciiTheme="majorHAnsi" w:hAnsiTheme="majorHAnsi" w:cstheme="majorHAnsi"/>
          <w:color w:val="000000"/>
        </w:rPr>
        <w:t>d</w:t>
      </w:r>
      <w:r w:rsidRPr="00C071AC">
        <w:rPr>
          <w:rFonts w:asciiTheme="majorHAnsi" w:hAnsiTheme="majorHAnsi" w:cstheme="majorHAnsi"/>
          <w:color w:val="000000"/>
        </w:rPr>
        <w:t xml:space="preserve"> also implemented a campaign to </w:t>
      </w:r>
      <w:r>
        <w:rPr>
          <w:rFonts w:asciiTheme="majorHAnsi" w:hAnsiTheme="majorHAnsi" w:cstheme="majorHAnsi"/>
          <w:color w:val="000000"/>
        </w:rPr>
        <w:t xml:space="preserve">influence policy makers on related laws, </w:t>
      </w:r>
      <w:r w:rsidRPr="00C071AC">
        <w:rPr>
          <w:rFonts w:asciiTheme="majorHAnsi" w:hAnsiTheme="majorHAnsi" w:cstheme="majorHAnsi"/>
          <w:color w:val="000000"/>
        </w:rPr>
        <w:t xml:space="preserve">raise the </w:t>
      </w:r>
      <w:r>
        <w:rPr>
          <w:rFonts w:asciiTheme="majorHAnsi" w:hAnsiTheme="majorHAnsi" w:cstheme="majorHAnsi"/>
          <w:color w:val="000000"/>
        </w:rPr>
        <w:t xml:space="preserve">reputation of teachers </w:t>
      </w:r>
      <w:r w:rsidRPr="00C071AC">
        <w:rPr>
          <w:rFonts w:asciiTheme="majorHAnsi" w:hAnsiTheme="majorHAnsi" w:cstheme="majorHAnsi"/>
          <w:color w:val="000000"/>
        </w:rPr>
        <w:t xml:space="preserve">and attract qualified individuals to </w:t>
      </w:r>
      <w:r>
        <w:rPr>
          <w:rFonts w:asciiTheme="majorHAnsi" w:hAnsiTheme="majorHAnsi" w:cstheme="majorHAnsi"/>
          <w:color w:val="000000"/>
        </w:rPr>
        <w:t>enter</w:t>
      </w:r>
      <w:r w:rsidRPr="00C071AC">
        <w:rPr>
          <w:rFonts w:asciiTheme="majorHAnsi" w:hAnsiTheme="majorHAnsi" w:cstheme="majorHAnsi"/>
          <w:color w:val="000000"/>
        </w:rPr>
        <w:t xml:space="preserve"> the teaching profession.</w:t>
      </w:r>
      <w:r w:rsidR="00D434EB">
        <w:rPr>
          <w:rFonts w:asciiTheme="majorHAnsi" w:hAnsiTheme="majorHAnsi" w:cstheme="majorHAnsi"/>
          <w:color w:val="000000"/>
        </w:rPr>
        <w:t xml:space="preserve"> </w:t>
      </w:r>
      <w:r>
        <w:rPr>
          <w:rFonts w:asciiTheme="majorHAnsi" w:hAnsiTheme="majorHAnsi" w:cstheme="majorHAnsi"/>
          <w:color w:val="000000"/>
        </w:rPr>
        <w:t xml:space="preserve">The scholarship program included a mentoring program that was designed to hand hold scholars as they go through their program </w:t>
      </w:r>
      <w:r w:rsidRPr="00A53436">
        <w:rPr>
          <w:rFonts w:asciiTheme="majorHAnsi" w:hAnsiTheme="majorHAnsi" w:cstheme="majorHAnsi"/>
          <w:color w:val="000000" w:themeColor="text1"/>
        </w:rPr>
        <w:t>and graduate as “</w:t>
      </w:r>
      <w:r>
        <w:rPr>
          <w:rFonts w:asciiTheme="majorHAnsi" w:hAnsiTheme="majorHAnsi" w:cstheme="majorHAnsi"/>
          <w:color w:val="000000" w:themeColor="text1"/>
        </w:rPr>
        <w:t>DepEd</w:t>
      </w:r>
      <w:r w:rsidRPr="00A53436">
        <w:rPr>
          <w:rFonts w:asciiTheme="majorHAnsi" w:hAnsiTheme="majorHAnsi" w:cstheme="majorHAnsi"/>
          <w:color w:val="000000" w:themeColor="text1"/>
        </w:rPr>
        <w:t>-ready” or “K</w:t>
      </w:r>
      <w:r>
        <w:rPr>
          <w:rFonts w:asciiTheme="majorHAnsi" w:hAnsiTheme="majorHAnsi" w:cstheme="majorHAnsi"/>
          <w:color w:val="000000" w:themeColor="text1"/>
        </w:rPr>
        <w:t>-</w:t>
      </w:r>
      <w:r w:rsidRPr="00A53436">
        <w:rPr>
          <w:rFonts w:asciiTheme="majorHAnsi" w:hAnsiTheme="majorHAnsi" w:cstheme="majorHAnsi"/>
          <w:color w:val="000000" w:themeColor="text1"/>
        </w:rPr>
        <w:t>12-ready” teachers.</w:t>
      </w:r>
    </w:p>
    <w:p w14:paraId="40446AEB" w14:textId="2BB41249" w:rsidR="008D0CAD" w:rsidRPr="00A53436" w:rsidRDefault="008D0CAD" w:rsidP="000479A3">
      <w:pPr>
        <w:shd w:val="clear" w:color="auto" w:fill="FFFFFF"/>
        <w:spacing w:before="100" w:beforeAutospacing="1" w:after="100" w:afterAutospacing="1" w:line="360" w:lineRule="auto"/>
        <w:rPr>
          <w:rFonts w:asciiTheme="majorHAnsi" w:hAnsiTheme="majorHAnsi" w:cstheme="majorHAnsi"/>
          <w:color w:val="000000" w:themeColor="text1"/>
        </w:rPr>
      </w:pPr>
      <w:r w:rsidRPr="00A53436">
        <w:rPr>
          <w:rFonts w:asciiTheme="majorHAnsi" w:hAnsiTheme="majorHAnsi" w:cstheme="majorHAnsi"/>
          <w:color w:val="000000" w:themeColor="text1"/>
        </w:rPr>
        <w:t>By the end of the Program, 981 scholars had taken part in the program – 300 males (31</w:t>
      </w:r>
      <w:r>
        <w:rPr>
          <w:rFonts w:asciiTheme="majorHAnsi" w:hAnsiTheme="majorHAnsi" w:cstheme="majorHAnsi"/>
          <w:color w:val="000000" w:themeColor="text1"/>
        </w:rPr>
        <w:t xml:space="preserve"> per cent</w:t>
      </w:r>
      <w:r w:rsidRPr="00A53436">
        <w:rPr>
          <w:rFonts w:asciiTheme="majorHAnsi" w:hAnsiTheme="majorHAnsi" w:cstheme="majorHAnsi"/>
          <w:color w:val="000000" w:themeColor="text1"/>
        </w:rPr>
        <w:t>) and 681 females (69</w:t>
      </w:r>
      <w:r>
        <w:rPr>
          <w:rFonts w:asciiTheme="majorHAnsi" w:hAnsiTheme="majorHAnsi" w:cstheme="majorHAnsi"/>
          <w:color w:val="000000" w:themeColor="text1"/>
        </w:rPr>
        <w:t xml:space="preserve"> per cent</w:t>
      </w:r>
      <w:r w:rsidRPr="00A53436">
        <w:rPr>
          <w:rFonts w:asciiTheme="majorHAnsi" w:hAnsiTheme="majorHAnsi" w:cstheme="majorHAnsi"/>
          <w:color w:val="000000" w:themeColor="text1"/>
        </w:rPr>
        <w:t xml:space="preserve">) (Table </w:t>
      </w:r>
      <w:r>
        <w:rPr>
          <w:rFonts w:asciiTheme="majorHAnsi" w:hAnsiTheme="majorHAnsi" w:cstheme="majorHAnsi"/>
          <w:color w:val="000000" w:themeColor="text1"/>
        </w:rPr>
        <w:t>3</w:t>
      </w:r>
      <w:r w:rsidRPr="00A53436">
        <w:rPr>
          <w:rFonts w:asciiTheme="majorHAnsi" w:hAnsiTheme="majorHAnsi" w:cstheme="majorHAnsi"/>
          <w:color w:val="000000" w:themeColor="text1"/>
        </w:rPr>
        <w:t xml:space="preserve">). Eighty </w:t>
      </w:r>
      <w:r>
        <w:rPr>
          <w:rFonts w:asciiTheme="majorHAnsi" w:hAnsiTheme="majorHAnsi" w:cstheme="majorHAnsi"/>
          <w:color w:val="000000" w:themeColor="text1"/>
        </w:rPr>
        <w:t>per cent</w:t>
      </w:r>
      <w:r w:rsidRPr="00A53436">
        <w:rPr>
          <w:rFonts w:asciiTheme="majorHAnsi" w:hAnsiTheme="majorHAnsi" w:cstheme="majorHAnsi"/>
          <w:color w:val="000000" w:themeColor="text1"/>
        </w:rPr>
        <w:t xml:space="preserve"> of the scholars (788) c</w:t>
      </w:r>
      <w:r>
        <w:rPr>
          <w:rFonts w:asciiTheme="majorHAnsi" w:hAnsiTheme="majorHAnsi" w:cstheme="majorHAnsi"/>
          <w:color w:val="000000" w:themeColor="text1"/>
        </w:rPr>
        <w:t>a</w:t>
      </w:r>
      <w:r w:rsidRPr="00A53436">
        <w:rPr>
          <w:rFonts w:asciiTheme="majorHAnsi" w:hAnsiTheme="majorHAnsi" w:cstheme="majorHAnsi"/>
          <w:color w:val="000000" w:themeColor="text1"/>
        </w:rPr>
        <w:t xml:space="preserve">me from BEST </w:t>
      </w:r>
      <w:r>
        <w:rPr>
          <w:rFonts w:asciiTheme="majorHAnsi" w:hAnsiTheme="majorHAnsi" w:cstheme="majorHAnsi"/>
          <w:color w:val="000000" w:themeColor="text1"/>
        </w:rPr>
        <w:t>Program-</w:t>
      </w:r>
      <w:r w:rsidRPr="00A53436">
        <w:rPr>
          <w:rFonts w:asciiTheme="majorHAnsi" w:hAnsiTheme="majorHAnsi" w:cstheme="majorHAnsi"/>
          <w:color w:val="000000" w:themeColor="text1"/>
        </w:rPr>
        <w:t xml:space="preserve">supported regions. Of the total scholars, 87 </w:t>
      </w:r>
      <w:r>
        <w:rPr>
          <w:rFonts w:asciiTheme="majorHAnsi" w:hAnsiTheme="majorHAnsi" w:cstheme="majorHAnsi"/>
          <w:color w:val="000000" w:themeColor="text1"/>
        </w:rPr>
        <w:t>per cent</w:t>
      </w:r>
      <w:r w:rsidRPr="00A53436">
        <w:rPr>
          <w:rFonts w:asciiTheme="majorHAnsi" w:hAnsiTheme="majorHAnsi" w:cstheme="majorHAnsi"/>
          <w:color w:val="000000" w:themeColor="text1"/>
        </w:rPr>
        <w:t xml:space="preserve"> </w:t>
      </w:r>
      <w:r w:rsidRPr="009F57A0">
        <w:rPr>
          <w:rFonts w:asciiTheme="majorHAnsi" w:hAnsiTheme="majorHAnsi" w:cstheme="majorHAnsi"/>
          <w:color w:val="000000" w:themeColor="text1"/>
        </w:rPr>
        <w:t>completed their course requirement</w:t>
      </w:r>
      <w:r w:rsidR="002B7E23">
        <w:rPr>
          <w:rFonts w:asciiTheme="majorHAnsi" w:hAnsiTheme="majorHAnsi" w:cstheme="majorHAnsi"/>
          <w:color w:val="000000" w:themeColor="text1"/>
        </w:rPr>
        <w:t>s while 88 were still in school</w:t>
      </w:r>
      <w:r w:rsidRPr="009F57A0">
        <w:rPr>
          <w:rFonts w:asciiTheme="majorHAnsi" w:hAnsiTheme="majorHAnsi" w:cstheme="majorHAnsi"/>
          <w:color w:val="000000" w:themeColor="text1"/>
        </w:rPr>
        <w:t xml:space="preserve"> and 43 had dropped </w:t>
      </w:r>
      <w:r>
        <w:rPr>
          <w:rFonts w:asciiTheme="majorHAnsi" w:hAnsiTheme="majorHAnsi" w:cstheme="majorHAnsi"/>
          <w:color w:val="000000" w:themeColor="text1"/>
        </w:rPr>
        <w:t>out of</w:t>
      </w:r>
      <w:r w:rsidRPr="009F57A0">
        <w:rPr>
          <w:rFonts w:asciiTheme="majorHAnsi" w:hAnsiTheme="majorHAnsi" w:cstheme="majorHAnsi"/>
          <w:color w:val="000000" w:themeColor="text1"/>
        </w:rPr>
        <w:t xml:space="preserve"> the Program (Table </w:t>
      </w:r>
      <w:r>
        <w:rPr>
          <w:rFonts w:asciiTheme="majorHAnsi" w:hAnsiTheme="majorHAnsi" w:cstheme="majorHAnsi"/>
          <w:color w:val="000000" w:themeColor="text1"/>
        </w:rPr>
        <w:t>4</w:t>
      </w:r>
      <w:r w:rsidRPr="009F57A0">
        <w:rPr>
          <w:rFonts w:asciiTheme="majorHAnsi" w:hAnsiTheme="majorHAnsi" w:cstheme="majorHAnsi"/>
          <w:color w:val="000000" w:themeColor="text1"/>
        </w:rPr>
        <w:t>).</w:t>
      </w:r>
    </w:p>
    <w:p w14:paraId="1BC69FCD" w14:textId="793E11C3" w:rsidR="008D0CAD" w:rsidRDefault="008D0CAD" w:rsidP="000479A3">
      <w:pPr>
        <w:pStyle w:val="Caption"/>
        <w:spacing w:before="100" w:beforeAutospacing="1" w:after="100" w:afterAutospacing="1" w:line="360" w:lineRule="auto"/>
        <w:rPr>
          <w:rFonts w:asciiTheme="majorHAnsi" w:hAnsiTheme="majorHAnsi" w:cstheme="majorHAnsi"/>
          <w:sz w:val="22"/>
          <w:szCs w:val="22"/>
        </w:rPr>
      </w:pPr>
      <w:bookmarkStart w:id="83" w:name="_Toc71616594"/>
      <w:r w:rsidRPr="00CB41E9">
        <w:rPr>
          <w:rFonts w:asciiTheme="majorHAnsi" w:hAnsiTheme="majorHAnsi" w:cstheme="majorHAnsi"/>
          <w:sz w:val="22"/>
          <w:szCs w:val="22"/>
        </w:rPr>
        <w:t xml:space="preserve">Table </w:t>
      </w:r>
      <w:r w:rsidRPr="00CB41E9">
        <w:rPr>
          <w:rFonts w:asciiTheme="majorHAnsi" w:hAnsiTheme="majorHAnsi" w:cstheme="majorHAnsi"/>
          <w:sz w:val="22"/>
          <w:szCs w:val="22"/>
        </w:rPr>
        <w:fldChar w:fldCharType="begin"/>
      </w:r>
      <w:r w:rsidRPr="00CB41E9">
        <w:rPr>
          <w:rFonts w:asciiTheme="majorHAnsi" w:hAnsiTheme="majorHAnsi" w:cstheme="majorHAnsi"/>
          <w:sz w:val="22"/>
          <w:szCs w:val="22"/>
        </w:rPr>
        <w:instrText xml:space="preserve"> SEQ Table \* ARABIC </w:instrText>
      </w:r>
      <w:r w:rsidRPr="00CB41E9">
        <w:rPr>
          <w:rFonts w:asciiTheme="majorHAnsi" w:hAnsiTheme="majorHAnsi" w:cstheme="majorHAnsi"/>
          <w:sz w:val="22"/>
          <w:szCs w:val="22"/>
        </w:rPr>
        <w:fldChar w:fldCharType="separate"/>
      </w:r>
      <w:r w:rsidR="00D6133D">
        <w:rPr>
          <w:rFonts w:asciiTheme="majorHAnsi" w:hAnsiTheme="majorHAnsi" w:cstheme="majorHAnsi"/>
          <w:noProof/>
          <w:sz w:val="22"/>
          <w:szCs w:val="22"/>
        </w:rPr>
        <w:t>3</w:t>
      </w:r>
      <w:r w:rsidRPr="00CB41E9">
        <w:rPr>
          <w:rFonts w:asciiTheme="majorHAnsi" w:hAnsiTheme="majorHAnsi" w:cstheme="majorHAnsi"/>
          <w:sz w:val="22"/>
          <w:szCs w:val="22"/>
        </w:rPr>
        <w:fldChar w:fldCharType="end"/>
      </w:r>
      <w:r w:rsidRPr="00CB41E9">
        <w:rPr>
          <w:rFonts w:asciiTheme="majorHAnsi" w:hAnsiTheme="majorHAnsi" w:cstheme="majorHAnsi"/>
          <w:sz w:val="22"/>
          <w:szCs w:val="22"/>
        </w:rPr>
        <w:t xml:space="preserve">. </w:t>
      </w:r>
      <w:r>
        <w:rPr>
          <w:rFonts w:asciiTheme="majorHAnsi" w:hAnsiTheme="majorHAnsi" w:cstheme="majorHAnsi"/>
          <w:sz w:val="22"/>
          <w:szCs w:val="22"/>
        </w:rPr>
        <w:t>Distribution of STEP-UP Scholarships, 2015-2018</w:t>
      </w:r>
      <w:bookmarkEnd w:id="83"/>
    </w:p>
    <w:tbl>
      <w:tblPr>
        <w:tblStyle w:val="TableGrid11"/>
        <w:tblW w:w="9306" w:type="dxa"/>
        <w:tblLayout w:type="fixed"/>
        <w:tblLook w:val="04A0" w:firstRow="1" w:lastRow="0" w:firstColumn="1" w:lastColumn="0" w:noHBand="0" w:noVBand="1"/>
      </w:tblPr>
      <w:tblGrid>
        <w:gridCol w:w="846"/>
        <w:gridCol w:w="3685"/>
        <w:gridCol w:w="709"/>
        <w:gridCol w:w="709"/>
        <w:gridCol w:w="709"/>
        <w:gridCol w:w="708"/>
        <w:gridCol w:w="851"/>
        <w:gridCol w:w="1089"/>
      </w:tblGrid>
      <w:tr w:rsidR="008D631B" w:rsidRPr="004B064D" w14:paraId="68FD990D" w14:textId="77777777" w:rsidTr="0017212A">
        <w:tc>
          <w:tcPr>
            <w:tcW w:w="846" w:type="dxa"/>
          </w:tcPr>
          <w:p w14:paraId="2DED3A90" w14:textId="77777777" w:rsidR="008D631B" w:rsidRPr="004B064D" w:rsidRDefault="008D631B" w:rsidP="000479A3">
            <w:pPr>
              <w:spacing w:before="100" w:beforeAutospacing="1" w:after="100" w:afterAutospacing="1" w:line="360" w:lineRule="auto"/>
              <w:rPr>
                <w:rFonts w:asciiTheme="minorHAnsi" w:hAnsiTheme="minorHAnsi"/>
                <w:b/>
                <w:bCs/>
                <w:sz w:val="20"/>
              </w:rPr>
            </w:pPr>
            <w:r w:rsidRPr="004B064D">
              <w:rPr>
                <w:rFonts w:asciiTheme="minorHAnsi" w:hAnsiTheme="minorHAnsi"/>
                <w:b/>
                <w:bCs/>
                <w:sz w:val="20"/>
              </w:rPr>
              <w:t>Region</w:t>
            </w:r>
          </w:p>
        </w:tc>
        <w:tc>
          <w:tcPr>
            <w:tcW w:w="3685" w:type="dxa"/>
          </w:tcPr>
          <w:p w14:paraId="00EC7DE8" w14:textId="77777777" w:rsidR="008D631B" w:rsidRPr="004B064D" w:rsidRDefault="008D631B" w:rsidP="000479A3">
            <w:pPr>
              <w:spacing w:before="100" w:beforeAutospacing="1" w:after="100" w:afterAutospacing="1" w:line="360" w:lineRule="auto"/>
              <w:rPr>
                <w:rFonts w:asciiTheme="minorHAnsi" w:hAnsiTheme="minorHAnsi"/>
                <w:b/>
                <w:bCs/>
                <w:sz w:val="20"/>
              </w:rPr>
            </w:pPr>
            <w:r w:rsidRPr="004B064D">
              <w:rPr>
                <w:rFonts w:asciiTheme="minorHAnsi" w:hAnsiTheme="minorHAnsi"/>
                <w:b/>
                <w:bCs/>
                <w:sz w:val="20"/>
              </w:rPr>
              <w:t>TEI</w:t>
            </w:r>
          </w:p>
        </w:tc>
        <w:tc>
          <w:tcPr>
            <w:tcW w:w="709" w:type="dxa"/>
          </w:tcPr>
          <w:p w14:paraId="0BA6EDB9" w14:textId="77777777" w:rsidR="008D631B" w:rsidRPr="004B064D" w:rsidRDefault="008D631B" w:rsidP="000479A3">
            <w:pPr>
              <w:spacing w:before="100" w:beforeAutospacing="1" w:after="100" w:afterAutospacing="1" w:line="360" w:lineRule="auto"/>
              <w:rPr>
                <w:rFonts w:asciiTheme="minorHAnsi" w:hAnsiTheme="minorHAnsi"/>
                <w:b/>
                <w:bCs/>
                <w:sz w:val="20"/>
              </w:rPr>
            </w:pPr>
            <w:r w:rsidRPr="004B064D">
              <w:rPr>
                <w:rFonts w:asciiTheme="minorHAnsi" w:hAnsiTheme="minorHAnsi"/>
                <w:b/>
                <w:bCs/>
                <w:sz w:val="20"/>
              </w:rPr>
              <w:t>2015</w:t>
            </w:r>
          </w:p>
        </w:tc>
        <w:tc>
          <w:tcPr>
            <w:tcW w:w="709" w:type="dxa"/>
          </w:tcPr>
          <w:p w14:paraId="1DFA8DC7" w14:textId="77777777" w:rsidR="008D631B" w:rsidRPr="004B064D" w:rsidRDefault="008D631B" w:rsidP="000479A3">
            <w:pPr>
              <w:spacing w:before="100" w:beforeAutospacing="1" w:after="100" w:afterAutospacing="1" w:line="360" w:lineRule="auto"/>
              <w:rPr>
                <w:rFonts w:asciiTheme="minorHAnsi" w:hAnsiTheme="minorHAnsi"/>
                <w:b/>
                <w:bCs/>
                <w:sz w:val="20"/>
              </w:rPr>
            </w:pPr>
            <w:r w:rsidRPr="004B064D">
              <w:rPr>
                <w:rFonts w:asciiTheme="minorHAnsi" w:hAnsiTheme="minorHAnsi"/>
                <w:b/>
                <w:bCs/>
                <w:sz w:val="20"/>
              </w:rPr>
              <w:t>2016</w:t>
            </w:r>
          </w:p>
        </w:tc>
        <w:tc>
          <w:tcPr>
            <w:tcW w:w="709" w:type="dxa"/>
          </w:tcPr>
          <w:p w14:paraId="301DD9C8" w14:textId="77777777" w:rsidR="008D631B" w:rsidRPr="004B064D" w:rsidRDefault="008D631B" w:rsidP="000479A3">
            <w:pPr>
              <w:spacing w:before="100" w:beforeAutospacing="1" w:after="100" w:afterAutospacing="1" w:line="360" w:lineRule="auto"/>
              <w:rPr>
                <w:rFonts w:asciiTheme="minorHAnsi" w:hAnsiTheme="minorHAnsi"/>
                <w:b/>
                <w:bCs/>
                <w:sz w:val="20"/>
              </w:rPr>
            </w:pPr>
            <w:r w:rsidRPr="004B064D">
              <w:rPr>
                <w:rFonts w:asciiTheme="minorHAnsi" w:hAnsiTheme="minorHAnsi"/>
                <w:b/>
                <w:bCs/>
                <w:sz w:val="20"/>
              </w:rPr>
              <w:t>2017</w:t>
            </w:r>
          </w:p>
        </w:tc>
        <w:tc>
          <w:tcPr>
            <w:tcW w:w="708" w:type="dxa"/>
          </w:tcPr>
          <w:p w14:paraId="04389E9F" w14:textId="77777777" w:rsidR="008D631B" w:rsidRPr="004B064D" w:rsidRDefault="008D631B" w:rsidP="000479A3">
            <w:pPr>
              <w:spacing w:before="100" w:beforeAutospacing="1" w:after="100" w:afterAutospacing="1" w:line="360" w:lineRule="auto"/>
              <w:rPr>
                <w:rFonts w:asciiTheme="minorHAnsi" w:hAnsiTheme="minorHAnsi"/>
                <w:b/>
                <w:bCs/>
                <w:sz w:val="20"/>
              </w:rPr>
            </w:pPr>
            <w:r w:rsidRPr="004B064D">
              <w:rPr>
                <w:rFonts w:asciiTheme="minorHAnsi" w:hAnsiTheme="minorHAnsi"/>
                <w:b/>
                <w:bCs/>
                <w:sz w:val="20"/>
              </w:rPr>
              <w:t>2018</w:t>
            </w:r>
          </w:p>
        </w:tc>
        <w:tc>
          <w:tcPr>
            <w:tcW w:w="851" w:type="dxa"/>
          </w:tcPr>
          <w:p w14:paraId="0B29E423" w14:textId="77777777" w:rsidR="008D631B" w:rsidRPr="004B064D" w:rsidRDefault="008D631B" w:rsidP="000479A3">
            <w:pPr>
              <w:spacing w:before="100" w:beforeAutospacing="1" w:after="100" w:afterAutospacing="1" w:line="360" w:lineRule="auto"/>
              <w:rPr>
                <w:rFonts w:asciiTheme="minorHAnsi" w:hAnsiTheme="minorHAnsi"/>
                <w:b/>
                <w:bCs/>
                <w:sz w:val="20"/>
              </w:rPr>
            </w:pPr>
            <w:r w:rsidRPr="004B064D">
              <w:rPr>
                <w:rFonts w:asciiTheme="minorHAnsi" w:hAnsiTheme="minorHAnsi"/>
                <w:b/>
                <w:bCs/>
                <w:sz w:val="20"/>
              </w:rPr>
              <w:t>Grand Total</w:t>
            </w:r>
          </w:p>
        </w:tc>
        <w:tc>
          <w:tcPr>
            <w:tcW w:w="1089" w:type="dxa"/>
          </w:tcPr>
          <w:p w14:paraId="6121CE8B" w14:textId="77777777" w:rsidR="008D631B" w:rsidRPr="004B064D" w:rsidRDefault="008D631B" w:rsidP="000479A3">
            <w:pPr>
              <w:spacing w:before="100" w:beforeAutospacing="1" w:after="100" w:afterAutospacing="1" w:line="360" w:lineRule="auto"/>
              <w:rPr>
                <w:rFonts w:asciiTheme="minorHAnsi" w:hAnsiTheme="minorHAnsi"/>
                <w:b/>
                <w:bCs/>
                <w:sz w:val="20"/>
              </w:rPr>
            </w:pPr>
            <w:r w:rsidRPr="004B064D">
              <w:rPr>
                <w:rFonts w:asciiTheme="minorHAnsi" w:hAnsiTheme="minorHAnsi"/>
                <w:b/>
                <w:bCs/>
                <w:sz w:val="20"/>
              </w:rPr>
              <w:t>%</w:t>
            </w:r>
          </w:p>
        </w:tc>
      </w:tr>
      <w:tr w:rsidR="008D631B" w:rsidRPr="00092FAE" w14:paraId="0E316F09" w14:textId="77777777" w:rsidTr="0017212A">
        <w:tc>
          <w:tcPr>
            <w:tcW w:w="846" w:type="dxa"/>
          </w:tcPr>
          <w:p w14:paraId="63E5751E" w14:textId="77777777" w:rsidR="008D631B" w:rsidRPr="00092FAE" w:rsidRDefault="008D631B" w:rsidP="000479A3">
            <w:pPr>
              <w:spacing w:before="100" w:beforeAutospacing="1" w:after="100" w:afterAutospacing="1" w:line="360" w:lineRule="auto"/>
              <w:rPr>
                <w:rFonts w:asciiTheme="minorHAnsi" w:hAnsiTheme="minorHAnsi"/>
                <w:sz w:val="20"/>
              </w:rPr>
            </w:pPr>
            <w:r w:rsidRPr="00092FAE">
              <w:rPr>
                <w:rFonts w:asciiTheme="minorHAnsi" w:hAnsiTheme="minorHAnsi"/>
                <w:sz w:val="20"/>
              </w:rPr>
              <w:t>I</w:t>
            </w:r>
          </w:p>
        </w:tc>
        <w:tc>
          <w:tcPr>
            <w:tcW w:w="3685" w:type="dxa"/>
          </w:tcPr>
          <w:p w14:paraId="74CAE13A" w14:textId="77777777" w:rsidR="008D631B" w:rsidRPr="00092FAE" w:rsidRDefault="008D631B" w:rsidP="000479A3">
            <w:pPr>
              <w:spacing w:before="100" w:beforeAutospacing="1" w:after="100" w:afterAutospacing="1" w:line="360" w:lineRule="auto"/>
              <w:rPr>
                <w:rFonts w:asciiTheme="minorHAnsi" w:hAnsiTheme="minorHAnsi"/>
                <w:sz w:val="20"/>
              </w:rPr>
            </w:pPr>
            <w:r w:rsidRPr="00092FAE">
              <w:rPr>
                <w:rFonts w:asciiTheme="minorHAnsi" w:hAnsiTheme="minorHAnsi"/>
                <w:sz w:val="20"/>
              </w:rPr>
              <w:t>Mariano Marcos State University</w:t>
            </w:r>
          </w:p>
        </w:tc>
        <w:tc>
          <w:tcPr>
            <w:tcW w:w="709" w:type="dxa"/>
          </w:tcPr>
          <w:p w14:paraId="262F6C67" w14:textId="77777777" w:rsidR="008D631B" w:rsidRPr="00092FAE" w:rsidRDefault="008D631B" w:rsidP="000479A3">
            <w:pPr>
              <w:spacing w:before="100" w:beforeAutospacing="1" w:after="100" w:afterAutospacing="1" w:line="360" w:lineRule="auto"/>
              <w:rPr>
                <w:rFonts w:asciiTheme="minorHAnsi" w:hAnsiTheme="minorHAnsi"/>
                <w:sz w:val="20"/>
              </w:rPr>
            </w:pPr>
            <w:r w:rsidRPr="00092FAE">
              <w:rPr>
                <w:rFonts w:asciiTheme="minorHAnsi" w:hAnsiTheme="minorHAnsi"/>
                <w:sz w:val="20"/>
              </w:rPr>
              <w:t>4</w:t>
            </w:r>
          </w:p>
        </w:tc>
        <w:tc>
          <w:tcPr>
            <w:tcW w:w="709" w:type="dxa"/>
          </w:tcPr>
          <w:p w14:paraId="045E687D" w14:textId="77777777" w:rsidR="008D631B" w:rsidRPr="00092FAE" w:rsidRDefault="008D631B" w:rsidP="000479A3">
            <w:pPr>
              <w:spacing w:before="100" w:beforeAutospacing="1" w:after="100" w:afterAutospacing="1" w:line="360" w:lineRule="auto"/>
              <w:rPr>
                <w:rFonts w:asciiTheme="minorHAnsi" w:hAnsiTheme="minorHAnsi"/>
                <w:sz w:val="20"/>
              </w:rPr>
            </w:pPr>
            <w:r w:rsidRPr="00092FAE">
              <w:rPr>
                <w:rFonts w:asciiTheme="minorHAnsi" w:hAnsiTheme="minorHAnsi"/>
                <w:sz w:val="20"/>
              </w:rPr>
              <w:t>16</w:t>
            </w:r>
          </w:p>
        </w:tc>
        <w:tc>
          <w:tcPr>
            <w:tcW w:w="709" w:type="dxa"/>
          </w:tcPr>
          <w:p w14:paraId="34DB384F" w14:textId="77777777" w:rsidR="008D631B" w:rsidRPr="00092FAE" w:rsidRDefault="008D631B" w:rsidP="000479A3">
            <w:pPr>
              <w:spacing w:before="100" w:beforeAutospacing="1" w:after="100" w:afterAutospacing="1" w:line="360" w:lineRule="auto"/>
              <w:rPr>
                <w:rFonts w:asciiTheme="minorHAnsi" w:hAnsiTheme="minorHAnsi"/>
                <w:sz w:val="20"/>
              </w:rPr>
            </w:pPr>
            <w:r w:rsidRPr="00092FAE">
              <w:rPr>
                <w:rFonts w:asciiTheme="minorHAnsi" w:hAnsiTheme="minorHAnsi"/>
                <w:sz w:val="20"/>
              </w:rPr>
              <w:t>9</w:t>
            </w:r>
          </w:p>
        </w:tc>
        <w:tc>
          <w:tcPr>
            <w:tcW w:w="708" w:type="dxa"/>
          </w:tcPr>
          <w:p w14:paraId="590C11AE" w14:textId="77777777" w:rsidR="008D631B" w:rsidRPr="00092FAE" w:rsidRDefault="008D631B" w:rsidP="000479A3">
            <w:pPr>
              <w:spacing w:before="100" w:beforeAutospacing="1" w:after="100" w:afterAutospacing="1" w:line="360" w:lineRule="auto"/>
              <w:rPr>
                <w:rFonts w:asciiTheme="minorHAnsi" w:hAnsiTheme="minorHAnsi"/>
                <w:sz w:val="20"/>
              </w:rPr>
            </w:pPr>
          </w:p>
        </w:tc>
        <w:tc>
          <w:tcPr>
            <w:tcW w:w="851" w:type="dxa"/>
          </w:tcPr>
          <w:p w14:paraId="3F0F1807" w14:textId="77777777" w:rsidR="008D631B" w:rsidRPr="00092FAE" w:rsidRDefault="008D631B" w:rsidP="000479A3">
            <w:pPr>
              <w:spacing w:before="100" w:beforeAutospacing="1" w:after="100" w:afterAutospacing="1" w:line="360" w:lineRule="auto"/>
              <w:rPr>
                <w:rFonts w:asciiTheme="minorHAnsi" w:hAnsiTheme="minorHAnsi"/>
                <w:sz w:val="20"/>
              </w:rPr>
            </w:pPr>
            <w:r w:rsidRPr="00092FAE">
              <w:rPr>
                <w:rFonts w:asciiTheme="minorHAnsi" w:hAnsiTheme="minorHAnsi"/>
                <w:sz w:val="20"/>
              </w:rPr>
              <w:t>30</w:t>
            </w:r>
          </w:p>
        </w:tc>
        <w:tc>
          <w:tcPr>
            <w:tcW w:w="1089" w:type="dxa"/>
          </w:tcPr>
          <w:p w14:paraId="411999E3" w14:textId="77777777" w:rsidR="008D631B" w:rsidRPr="00092FAE" w:rsidRDefault="008D631B" w:rsidP="000479A3">
            <w:pPr>
              <w:spacing w:before="100" w:beforeAutospacing="1" w:after="100" w:afterAutospacing="1" w:line="360" w:lineRule="auto"/>
              <w:rPr>
                <w:rFonts w:asciiTheme="minorHAnsi" w:hAnsiTheme="minorHAnsi"/>
                <w:sz w:val="20"/>
              </w:rPr>
            </w:pPr>
            <w:r w:rsidRPr="00092FAE">
              <w:rPr>
                <w:rFonts w:asciiTheme="minorHAnsi" w:hAnsiTheme="minorHAnsi"/>
                <w:sz w:val="20"/>
              </w:rPr>
              <w:t>3%</w:t>
            </w:r>
          </w:p>
        </w:tc>
      </w:tr>
      <w:tr w:rsidR="008D631B" w:rsidRPr="00092FAE" w14:paraId="507AAA01" w14:textId="77777777" w:rsidTr="0017212A">
        <w:tc>
          <w:tcPr>
            <w:tcW w:w="846" w:type="dxa"/>
          </w:tcPr>
          <w:p w14:paraId="197D7062" w14:textId="77777777" w:rsidR="008D631B" w:rsidRPr="00092FAE" w:rsidRDefault="008D631B" w:rsidP="000479A3">
            <w:pPr>
              <w:spacing w:before="100" w:beforeAutospacing="1" w:after="100" w:afterAutospacing="1" w:line="360" w:lineRule="auto"/>
              <w:rPr>
                <w:rFonts w:asciiTheme="minorHAnsi" w:hAnsiTheme="minorHAnsi"/>
                <w:sz w:val="20"/>
              </w:rPr>
            </w:pPr>
            <w:r w:rsidRPr="00092FAE">
              <w:rPr>
                <w:rFonts w:asciiTheme="minorHAnsi" w:hAnsiTheme="minorHAnsi"/>
                <w:sz w:val="20"/>
              </w:rPr>
              <w:t>V</w:t>
            </w:r>
          </w:p>
        </w:tc>
        <w:tc>
          <w:tcPr>
            <w:tcW w:w="3685" w:type="dxa"/>
          </w:tcPr>
          <w:p w14:paraId="7C4D1758" w14:textId="77777777" w:rsidR="008D631B" w:rsidRPr="00092FAE" w:rsidRDefault="008D631B" w:rsidP="000479A3">
            <w:pPr>
              <w:spacing w:before="100" w:beforeAutospacing="1" w:after="100" w:afterAutospacing="1" w:line="360" w:lineRule="auto"/>
              <w:rPr>
                <w:rFonts w:asciiTheme="minorHAnsi" w:hAnsiTheme="minorHAnsi"/>
                <w:sz w:val="20"/>
              </w:rPr>
            </w:pPr>
            <w:r w:rsidRPr="00092FAE">
              <w:rPr>
                <w:rFonts w:asciiTheme="minorHAnsi" w:hAnsiTheme="minorHAnsi"/>
                <w:sz w:val="20"/>
              </w:rPr>
              <w:t>Ateneo De Naga University</w:t>
            </w:r>
          </w:p>
        </w:tc>
        <w:tc>
          <w:tcPr>
            <w:tcW w:w="709" w:type="dxa"/>
          </w:tcPr>
          <w:p w14:paraId="34859091" w14:textId="77777777" w:rsidR="008D631B" w:rsidRPr="00092FAE" w:rsidRDefault="008D631B" w:rsidP="000479A3">
            <w:pPr>
              <w:spacing w:before="100" w:beforeAutospacing="1" w:after="100" w:afterAutospacing="1" w:line="360" w:lineRule="auto"/>
              <w:rPr>
                <w:rFonts w:asciiTheme="minorHAnsi" w:hAnsiTheme="minorHAnsi"/>
                <w:sz w:val="20"/>
              </w:rPr>
            </w:pPr>
            <w:r w:rsidRPr="00092FAE">
              <w:rPr>
                <w:rFonts w:asciiTheme="minorHAnsi" w:hAnsiTheme="minorHAnsi"/>
                <w:sz w:val="20"/>
              </w:rPr>
              <w:t>41</w:t>
            </w:r>
          </w:p>
        </w:tc>
        <w:tc>
          <w:tcPr>
            <w:tcW w:w="709" w:type="dxa"/>
          </w:tcPr>
          <w:p w14:paraId="0307DF6C" w14:textId="77777777" w:rsidR="008D631B" w:rsidRPr="00092FAE" w:rsidRDefault="008D631B" w:rsidP="000479A3">
            <w:pPr>
              <w:spacing w:before="100" w:beforeAutospacing="1" w:after="100" w:afterAutospacing="1" w:line="360" w:lineRule="auto"/>
              <w:rPr>
                <w:rFonts w:asciiTheme="minorHAnsi" w:hAnsiTheme="minorHAnsi"/>
                <w:sz w:val="20"/>
              </w:rPr>
            </w:pPr>
            <w:r w:rsidRPr="00092FAE">
              <w:rPr>
                <w:rFonts w:asciiTheme="minorHAnsi" w:hAnsiTheme="minorHAnsi"/>
                <w:sz w:val="20"/>
              </w:rPr>
              <w:t>32</w:t>
            </w:r>
          </w:p>
        </w:tc>
        <w:tc>
          <w:tcPr>
            <w:tcW w:w="709" w:type="dxa"/>
          </w:tcPr>
          <w:p w14:paraId="6012F66B" w14:textId="77777777" w:rsidR="008D631B" w:rsidRPr="00092FAE" w:rsidRDefault="008D631B" w:rsidP="000479A3">
            <w:pPr>
              <w:spacing w:before="100" w:beforeAutospacing="1" w:after="100" w:afterAutospacing="1" w:line="360" w:lineRule="auto"/>
              <w:rPr>
                <w:rFonts w:asciiTheme="minorHAnsi" w:hAnsiTheme="minorHAnsi"/>
                <w:sz w:val="20"/>
              </w:rPr>
            </w:pPr>
            <w:r w:rsidRPr="00092FAE">
              <w:rPr>
                <w:rFonts w:asciiTheme="minorHAnsi" w:hAnsiTheme="minorHAnsi"/>
                <w:sz w:val="20"/>
              </w:rPr>
              <w:t>35</w:t>
            </w:r>
          </w:p>
        </w:tc>
        <w:tc>
          <w:tcPr>
            <w:tcW w:w="708" w:type="dxa"/>
          </w:tcPr>
          <w:p w14:paraId="52844BF3" w14:textId="77777777" w:rsidR="008D631B" w:rsidRPr="00092FAE" w:rsidRDefault="008D631B" w:rsidP="000479A3">
            <w:pPr>
              <w:spacing w:before="100" w:beforeAutospacing="1" w:after="100" w:afterAutospacing="1" w:line="360" w:lineRule="auto"/>
              <w:rPr>
                <w:rFonts w:asciiTheme="minorHAnsi" w:hAnsiTheme="minorHAnsi"/>
                <w:sz w:val="20"/>
              </w:rPr>
            </w:pPr>
            <w:r w:rsidRPr="00092FAE">
              <w:rPr>
                <w:rFonts w:asciiTheme="minorHAnsi" w:hAnsiTheme="minorHAnsi"/>
                <w:sz w:val="20"/>
              </w:rPr>
              <w:t>7</w:t>
            </w:r>
          </w:p>
        </w:tc>
        <w:tc>
          <w:tcPr>
            <w:tcW w:w="851" w:type="dxa"/>
          </w:tcPr>
          <w:p w14:paraId="38629B65" w14:textId="77777777" w:rsidR="008D631B" w:rsidRPr="00092FAE" w:rsidRDefault="008D631B" w:rsidP="000479A3">
            <w:pPr>
              <w:spacing w:before="100" w:beforeAutospacing="1" w:after="100" w:afterAutospacing="1" w:line="360" w:lineRule="auto"/>
              <w:rPr>
                <w:rFonts w:asciiTheme="minorHAnsi" w:hAnsiTheme="minorHAnsi"/>
                <w:sz w:val="20"/>
              </w:rPr>
            </w:pPr>
            <w:r w:rsidRPr="00092FAE">
              <w:rPr>
                <w:rFonts w:asciiTheme="minorHAnsi" w:hAnsiTheme="minorHAnsi"/>
                <w:sz w:val="20"/>
              </w:rPr>
              <w:t>115</w:t>
            </w:r>
          </w:p>
        </w:tc>
        <w:tc>
          <w:tcPr>
            <w:tcW w:w="1089" w:type="dxa"/>
          </w:tcPr>
          <w:p w14:paraId="39F03DAB" w14:textId="77777777" w:rsidR="008D631B" w:rsidRPr="00092FAE" w:rsidRDefault="008D631B" w:rsidP="000479A3">
            <w:pPr>
              <w:spacing w:before="100" w:beforeAutospacing="1" w:after="100" w:afterAutospacing="1" w:line="360" w:lineRule="auto"/>
              <w:rPr>
                <w:rFonts w:asciiTheme="minorHAnsi" w:hAnsiTheme="minorHAnsi"/>
                <w:sz w:val="20"/>
              </w:rPr>
            </w:pPr>
            <w:r w:rsidRPr="00092FAE">
              <w:rPr>
                <w:rFonts w:asciiTheme="minorHAnsi" w:hAnsiTheme="minorHAnsi"/>
                <w:sz w:val="20"/>
              </w:rPr>
              <w:t>12%</w:t>
            </w:r>
          </w:p>
        </w:tc>
      </w:tr>
      <w:tr w:rsidR="008D631B" w:rsidRPr="00092FAE" w14:paraId="0555914C" w14:textId="77777777" w:rsidTr="0017212A">
        <w:tc>
          <w:tcPr>
            <w:tcW w:w="846" w:type="dxa"/>
          </w:tcPr>
          <w:p w14:paraId="0CD8BCE3" w14:textId="77777777" w:rsidR="008D631B" w:rsidRPr="00092FAE" w:rsidRDefault="008D631B" w:rsidP="000479A3">
            <w:pPr>
              <w:spacing w:before="100" w:beforeAutospacing="1" w:after="100" w:afterAutospacing="1" w:line="360" w:lineRule="auto"/>
              <w:rPr>
                <w:rFonts w:asciiTheme="minorHAnsi" w:hAnsiTheme="minorHAnsi"/>
                <w:sz w:val="20"/>
              </w:rPr>
            </w:pPr>
            <w:r w:rsidRPr="00092FAE">
              <w:rPr>
                <w:rFonts w:asciiTheme="minorHAnsi" w:hAnsiTheme="minorHAnsi"/>
                <w:sz w:val="20"/>
              </w:rPr>
              <w:t>VII</w:t>
            </w:r>
          </w:p>
        </w:tc>
        <w:tc>
          <w:tcPr>
            <w:tcW w:w="3685" w:type="dxa"/>
          </w:tcPr>
          <w:p w14:paraId="71D2FFBE" w14:textId="77777777" w:rsidR="008D631B" w:rsidRPr="00092FAE" w:rsidRDefault="008D631B" w:rsidP="000479A3">
            <w:pPr>
              <w:spacing w:before="100" w:beforeAutospacing="1" w:after="100" w:afterAutospacing="1" w:line="360" w:lineRule="auto"/>
              <w:rPr>
                <w:rFonts w:asciiTheme="minorHAnsi" w:hAnsiTheme="minorHAnsi"/>
                <w:sz w:val="20"/>
              </w:rPr>
            </w:pPr>
            <w:r w:rsidRPr="00092FAE">
              <w:rPr>
                <w:rFonts w:asciiTheme="minorHAnsi" w:hAnsiTheme="minorHAnsi"/>
                <w:sz w:val="20"/>
              </w:rPr>
              <w:t>Cebu Normal University</w:t>
            </w:r>
          </w:p>
        </w:tc>
        <w:tc>
          <w:tcPr>
            <w:tcW w:w="709" w:type="dxa"/>
          </w:tcPr>
          <w:p w14:paraId="46AA0D77" w14:textId="77777777" w:rsidR="008D631B" w:rsidRPr="00092FAE" w:rsidRDefault="008D631B" w:rsidP="000479A3">
            <w:pPr>
              <w:spacing w:before="100" w:beforeAutospacing="1" w:after="100" w:afterAutospacing="1" w:line="360" w:lineRule="auto"/>
              <w:rPr>
                <w:rFonts w:asciiTheme="minorHAnsi" w:hAnsiTheme="minorHAnsi"/>
                <w:sz w:val="20"/>
              </w:rPr>
            </w:pPr>
            <w:r w:rsidRPr="00092FAE">
              <w:rPr>
                <w:rFonts w:asciiTheme="minorHAnsi" w:hAnsiTheme="minorHAnsi"/>
                <w:sz w:val="20"/>
              </w:rPr>
              <w:t>32</w:t>
            </w:r>
          </w:p>
        </w:tc>
        <w:tc>
          <w:tcPr>
            <w:tcW w:w="709" w:type="dxa"/>
          </w:tcPr>
          <w:p w14:paraId="04D36860" w14:textId="77777777" w:rsidR="008D631B" w:rsidRPr="00092FAE" w:rsidRDefault="008D631B" w:rsidP="000479A3">
            <w:pPr>
              <w:spacing w:before="100" w:beforeAutospacing="1" w:after="100" w:afterAutospacing="1" w:line="360" w:lineRule="auto"/>
              <w:rPr>
                <w:rFonts w:asciiTheme="minorHAnsi" w:hAnsiTheme="minorHAnsi"/>
                <w:sz w:val="20"/>
              </w:rPr>
            </w:pPr>
            <w:r w:rsidRPr="00092FAE">
              <w:rPr>
                <w:rFonts w:asciiTheme="minorHAnsi" w:hAnsiTheme="minorHAnsi"/>
                <w:sz w:val="20"/>
              </w:rPr>
              <w:t>31</w:t>
            </w:r>
          </w:p>
        </w:tc>
        <w:tc>
          <w:tcPr>
            <w:tcW w:w="709" w:type="dxa"/>
          </w:tcPr>
          <w:p w14:paraId="3D57CBB2" w14:textId="77777777" w:rsidR="008D631B" w:rsidRPr="00092FAE" w:rsidRDefault="008D631B" w:rsidP="000479A3">
            <w:pPr>
              <w:spacing w:before="100" w:beforeAutospacing="1" w:after="100" w:afterAutospacing="1" w:line="360" w:lineRule="auto"/>
              <w:rPr>
                <w:rFonts w:asciiTheme="minorHAnsi" w:hAnsiTheme="minorHAnsi"/>
                <w:sz w:val="20"/>
              </w:rPr>
            </w:pPr>
            <w:r w:rsidRPr="00092FAE">
              <w:rPr>
                <w:rFonts w:asciiTheme="minorHAnsi" w:hAnsiTheme="minorHAnsi"/>
                <w:sz w:val="20"/>
              </w:rPr>
              <w:t>44</w:t>
            </w:r>
          </w:p>
        </w:tc>
        <w:tc>
          <w:tcPr>
            <w:tcW w:w="708" w:type="dxa"/>
          </w:tcPr>
          <w:p w14:paraId="6C2E3491" w14:textId="77777777" w:rsidR="008D631B" w:rsidRPr="00092FAE" w:rsidRDefault="008D631B" w:rsidP="000479A3">
            <w:pPr>
              <w:spacing w:before="100" w:beforeAutospacing="1" w:after="100" w:afterAutospacing="1" w:line="360" w:lineRule="auto"/>
              <w:rPr>
                <w:rFonts w:asciiTheme="minorHAnsi" w:hAnsiTheme="minorHAnsi"/>
                <w:sz w:val="20"/>
              </w:rPr>
            </w:pPr>
          </w:p>
        </w:tc>
        <w:tc>
          <w:tcPr>
            <w:tcW w:w="851" w:type="dxa"/>
          </w:tcPr>
          <w:p w14:paraId="43A394C3" w14:textId="77777777" w:rsidR="008D631B" w:rsidRPr="00092FAE" w:rsidRDefault="008D631B" w:rsidP="000479A3">
            <w:pPr>
              <w:spacing w:before="100" w:beforeAutospacing="1" w:after="100" w:afterAutospacing="1" w:line="360" w:lineRule="auto"/>
              <w:rPr>
                <w:rFonts w:asciiTheme="minorHAnsi" w:hAnsiTheme="minorHAnsi"/>
                <w:sz w:val="20"/>
              </w:rPr>
            </w:pPr>
            <w:r w:rsidRPr="00092FAE">
              <w:rPr>
                <w:rFonts w:asciiTheme="minorHAnsi" w:hAnsiTheme="minorHAnsi"/>
                <w:sz w:val="20"/>
              </w:rPr>
              <w:t>107</w:t>
            </w:r>
          </w:p>
        </w:tc>
        <w:tc>
          <w:tcPr>
            <w:tcW w:w="1089" w:type="dxa"/>
          </w:tcPr>
          <w:p w14:paraId="758EE0DE" w14:textId="77777777" w:rsidR="008D631B" w:rsidRPr="00092FAE" w:rsidRDefault="008D631B" w:rsidP="000479A3">
            <w:pPr>
              <w:spacing w:before="100" w:beforeAutospacing="1" w:after="100" w:afterAutospacing="1" w:line="360" w:lineRule="auto"/>
              <w:rPr>
                <w:rFonts w:asciiTheme="minorHAnsi" w:hAnsiTheme="minorHAnsi"/>
                <w:sz w:val="20"/>
              </w:rPr>
            </w:pPr>
            <w:r w:rsidRPr="00092FAE">
              <w:rPr>
                <w:rFonts w:asciiTheme="minorHAnsi" w:hAnsiTheme="minorHAnsi"/>
                <w:sz w:val="20"/>
              </w:rPr>
              <w:t>11%</w:t>
            </w:r>
          </w:p>
        </w:tc>
      </w:tr>
      <w:tr w:rsidR="008D631B" w:rsidRPr="00092FAE" w14:paraId="075196A3" w14:textId="77777777" w:rsidTr="0017212A">
        <w:tc>
          <w:tcPr>
            <w:tcW w:w="846" w:type="dxa"/>
          </w:tcPr>
          <w:p w14:paraId="3EB3D2C5" w14:textId="77777777" w:rsidR="008D631B" w:rsidRPr="00092FAE" w:rsidRDefault="008D631B" w:rsidP="000479A3">
            <w:pPr>
              <w:spacing w:before="100" w:beforeAutospacing="1" w:after="100" w:afterAutospacing="1" w:line="360" w:lineRule="auto"/>
              <w:rPr>
                <w:rFonts w:asciiTheme="minorHAnsi" w:hAnsiTheme="minorHAnsi"/>
                <w:sz w:val="20"/>
              </w:rPr>
            </w:pPr>
            <w:r w:rsidRPr="00092FAE">
              <w:rPr>
                <w:rFonts w:asciiTheme="minorHAnsi" w:hAnsiTheme="minorHAnsi"/>
                <w:sz w:val="20"/>
              </w:rPr>
              <w:t>VIII</w:t>
            </w:r>
          </w:p>
        </w:tc>
        <w:tc>
          <w:tcPr>
            <w:tcW w:w="3685" w:type="dxa"/>
          </w:tcPr>
          <w:p w14:paraId="13A9B852" w14:textId="77777777" w:rsidR="008D631B" w:rsidRPr="00092FAE" w:rsidRDefault="008D631B" w:rsidP="000479A3">
            <w:pPr>
              <w:spacing w:before="100" w:beforeAutospacing="1" w:after="100" w:afterAutospacing="1" w:line="360" w:lineRule="auto"/>
              <w:rPr>
                <w:rFonts w:asciiTheme="minorHAnsi" w:hAnsiTheme="minorHAnsi"/>
                <w:sz w:val="20"/>
              </w:rPr>
            </w:pPr>
            <w:r w:rsidRPr="00092FAE">
              <w:rPr>
                <w:rFonts w:asciiTheme="minorHAnsi" w:hAnsiTheme="minorHAnsi"/>
                <w:sz w:val="20"/>
              </w:rPr>
              <w:t>West Visay</w:t>
            </w:r>
            <w:r w:rsidR="00092FAE">
              <w:rPr>
                <w:rFonts w:asciiTheme="minorHAnsi" w:hAnsiTheme="minorHAnsi"/>
                <w:sz w:val="20"/>
              </w:rPr>
              <w:t>a</w:t>
            </w:r>
            <w:r w:rsidRPr="00092FAE">
              <w:rPr>
                <w:rFonts w:asciiTheme="minorHAnsi" w:hAnsiTheme="minorHAnsi"/>
                <w:sz w:val="20"/>
              </w:rPr>
              <w:t>s State University</w:t>
            </w:r>
          </w:p>
        </w:tc>
        <w:tc>
          <w:tcPr>
            <w:tcW w:w="709" w:type="dxa"/>
          </w:tcPr>
          <w:p w14:paraId="7110D2B7" w14:textId="77777777" w:rsidR="008D631B" w:rsidRPr="00092FAE" w:rsidRDefault="008D631B" w:rsidP="000479A3">
            <w:pPr>
              <w:spacing w:before="100" w:beforeAutospacing="1" w:after="100" w:afterAutospacing="1" w:line="360" w:lineRule="auto"/>
              <w:rPr>
                <w:rFonts w:asciiTheme="minorHAnsi" w:hAnsiTheme="minorHAnsi"/>
                <w:sz w:val="20"/>
              </w:rPr>
            </w:pPr>
            <w:r w:rsidRPr="00092FAE">
              <w:rPr>
                <w:rFonts w:asciiTheme="minorHAnsi" w:hAnsiTheme="minorHAnsi"/>
                <w:sz w:val="20"/>
              </w:rPr>
              <w:t>51</w:t>
            </w:r>
          </w:p>
        </w:tc>
        <w:tc>
          <w:tcPr>
            <w:tcW w:w="709" w:type="dxa"/>
          </w:tcPr>
          <w:p w14:paraId="2D70A7C6" w14:textId="77777777" w:rsidR="008D631B" w:rsidRPr="00092FAE" w:rsidRDefault="008D631B" w:rsidP="000479A3">
            <w:pPr>
              <w:spacing w:before="100" w:beforeAutospacing="1" w:after="100" w:afterAutospacing="1" w:line="360" w:lineRule="auto"/>
              <w:rPr>
                <w:rFonts w:asciiTheme="minorHAnsi" w:hAnsiTheme="minorHAnsi"/>
                <w:sz w:val="20"/>
              </w:rPr>
            </w:pPr>
            <w:r w:rsidRPr="00092FAE">
              <w:rPr>
                <w:rFonts w:asciiTheme="minorHAnsi" w:hAnsiTheme="minorHAnsi"/>
                <w:sz w:val="20"/>
              </w:rPr>
              <w:t>58</w:t>
            </w:r>
          </w:p>
        </w:tc>
        <w:tc>
          <w:tcPr>
            <w:tcW w:w="709" w:type="dxa"/>
          </w:tcPr>
          <w:p w14:paraId="55E122FB" w14:textId="77777777" w:rsidR="008D631B" w:rsidRPr="00092FAE" w:rsidRDefault="008D631B" w:rsidP="000479A3">
            <w:pPr>
              <w:spacing w:before="100" w:beforeAutospacing="1" w:after="100" w:afterAutospacing="1" w:line="360" w:lineRule="auto"/>
              <w:rPr>
                <w:rFonts w:asciiTheme="minorHAnsi" w:hAnsiTheme="minorHAnsi"/>
                <w:sz w:val="20"/>
              </w:rPr>
            </w:pPr>
            <w:r w:rsidRPr="00092FAE">
              <w:rPr>
                <w:rFonts w:asciiTheme="minorHAnsi" w:hAnsiTheme="minorHAnsi"/>
                <w:sz w:val="20"/>
              </w:rPr>
              <w:t>52</w:t>
            </w:r>
          </w:p>
        </w:tc>
        <w:tc>
          <w:tcPr>
            <w:tcW w:w="708" w:type="dxa"/>
          </w:tcPr>
          <w:p w14:paraId="3907DF09" w14:textId="77777777" w:rsidR="008D631B" w:rsidRPr="00092FAE" w:rsidRDefault="008D631B" w:rsidP="000479A3">
            <w:pPr>
              <w:spacing w:before="100" w:beforeAutospacing="1" w:after="100" w:afterAutospacing="1" w:line="360" w:lineRule="auto"/>
              <w:rPr>
                <w:rFonts w:asciiTheme="minorHAnsi" w:hAnsiTheme="minorHAnsi"/>
                <w:sz w:val="20"/>
              </w:rPr>
            </w:pPr>
          </w:p>
        </w:tc>
        <w:tc>
          <w:tcPr>
            <w:tcW w:w="851" w:type="dxa"/>
          </w:tcPr>
          <w:p w14:paraId="7E042CAA" w14:textId="77777777" w:rsidR="008D631B" w:rsidRPr="00092FAE" w:rsidRDefault="008D631B" w:rsidP="000479A3">
            <w:pPr>
              <w:spacing w:before="100" w:beforeAutospacing="1" w:after="100" w:afterAutospacing="1" w:line="360" w:lineRule="auto"/>
              <w:rPr>
                <w:rFonts w:asciiTheme="minorHAnsi" w:hAnsiTheme="minorHAnsi"/>
                <w:sz w:val="20"/>
              </w:rPr>
            </w:pPr>
            <w:r w:rsidRPr="00092FAE">
              <w:rPr>
                <w:rFonts w:asciiTheme="minorHAnsi" w:hAnsiTheme="minorHAnsi"/>
                <w:sz w:val="20"/>
              </w:rPr>
              <w:t>161</w:t>
            </w:r>
          </w:p>
        </w:tc>
        <w:tc>
          <w:tcPr>
            <w:tcW w:w="1089" w:type="dxa"/>
          </w:tcPr>
          <w:p w14:paraId="01327225" w14:textId="77777777" w:rsidR="008D631B" w:rsidRPr="00092FAE" w:rsidRDefault="008D631B" w:rsidP="000479A3">
            <w:pPr>
              <w:spacing w:before="100" w:beforeAutospacing="1" w:after="100" w:afterAutospacing="1" w:line="360" w:lineRule="auto"/>
              <w:rPr>
                <w:rFonts w:asciiTheme="minorHAnsi" w:hAnsiTheme="minorHAnsi"/>
                <w:sz w:val="20"/>
              </w:rPr>
            </w:pPr>
            <w:r w:rsidRPr="00092FAE">
              <w:rPr>
                <w:rFonts w:asciiTheme="minorHAnsi" w:hAnsiTheme="minorHAnsi"/>
                <w:sz w:val="20"/>
              </w:rPr>
              <w:t>16%</w:t>
            </w:r>
          </w:p>
        </w:tc>
      </w:tr>
      <w:tr w:rsidR="008D631B" w:rsidRPr="00092FAE" w14:paraId="54940332" w14:textId="77777777" w:rsidTr="0017212A">
        <w:tc>
          <w:tcPr>
            <w:tcW w:w="846" w:type="dxa"/>
          </w:tcPr>
          <w:p w14:paraId="600CB099" w14:textId="77777777" w:rsidR="008D631B" w:rsidRPr="00092FAE" w:rsidRDefault="008D631B" w:rsidP="000479A3">
            <w:pPr>
              <w:spacing w:before="100" w:beforeAutospacing="1" w:after="100" w:afterAutospacing="1" w:line="360" w:lineRule="auto"/>
              <w:rPr>
                <w:rFonts w:asciiTheme="minorHAnsi" w:hAnsiTheme="minorHAnsi"/>
                <w:sz w:val="20"/>
              </w:rPr>
            </w:pPr>
            <w:r w:rsidRPr="00092FAE">
              <w:rPr>
                <w:rFonts w:asciiTheme="minorHAnsi" w:hAnsiTheme="minorHAnsi"/>
                <w:sz w:val="20"/>
              </w:rPr>
              <w:t>IX</w:t>
            </w:r>
          </w:p>
        </w:tc>
        <w:tc>
          <w:tcPr>
            <w:tcW w:w="3685" w:type="dxa"/>
          </w:tcPr>
          <w:p w14:paraId="61DFCA90" w14:textId="77777777" w:rsidR="008D631B" w:rsidRPr="00092FAE" w:rsidRDefault="008D631B" w:rsidP="000479A3">
            <w:pPr>
              <w:spacing w:before="100" w:beforeAutospacing="1" w:after="100" w:afterAutospacing="1" w:line="360" w:lineRule="auto"/>
              <w:rPr>
                <w:rFonts w:asciiTheme="minorHAnsi" w:hAnsiTheme="minorHAnsi"/>
                <w:sz w:val="20"/>
              </w:rPr>
            </w:pPr>
            <w:r w:rsidRPr="00092FAE">
              <w:rPr>
                <w:rFonts w:asciiTheme="minorHAnsi" w:hAnsiTheme="minorHAnsi"/>
                <w:sz w:val="20"/>
              </w:rPr>
              <w:t>Ateneo De Zamboanga University</w:t>
            </w:r>
          </w:p>
        </w:tc>
        <w:tc>
          <w:tcPr>
            <w:tcW w:w="709" w:type="dxa"/>
          </w:tcPr>
          <w:p w14:paraId="616AEAE6" w14:textId="77777777" w:rsidR="008D631B" w:rsidRPr="00092FAE" w:rsidRDefault="008D631B" w:rsidP="000479A3">
            <w:pPr>
              <w:spacing w:before="100" w:beforeAutospacing="1" w:after="100" w:afterAutospacing="1" w:line="360" w:lineRule="auto"/>
              <w:rPr>
                <w:rFonts w:asciiTheme="minorHAnsi" w:hAnsiTheme="minorHAnsi"/>
                <w:sz w:val="20"/>
              </w:rPr>
            </w:pPr>
          </w:p>
        </w:tc>
        <w:tc>
          <w:tcPr>
            <w:tcW w:w="709" w:type="dxa"/>
          </w:tcPr>
          <w:p w14:paraId="5DC26BAB" w14:textId="77777777" w:rsidR="008D631B" w:rsidRPr="00092FAE" w:rsidRDefault="008D631B" w:rsidP="000479A3">
            <w:pPr>
              <w:spacing w:before="100" w:beforeAutospacing="1" w:after="100" w:afterAutospacing="1" w:line="360" w:lineRule="auto"/>
              <w:rPr>
                <w:rFonts w:asciiTheme="minorHAnsi" w:hAnsiTheme="minorHAnsi"/>
                <w:sz w:val="20"/>
              </w:rPr>
            </w:pPr>
          </w:p>
        </w:tc>
        <w:tc>
          <w:tcPr>
            <w:tcW w:w="709" w:type="dxa"/>
          </w:tcPr>
          <w:p w14:paraId="06A97177" w14:textId="77777777" w:rsidR="008D631B" w:rsidRPr="00092FAE" w:rsidRDefault="008D631B" w:rsidP="000479A3">
            <w:pPr>
              <w:spacing w:before="100" w:beforeAutospacing="1" w:after="100" w:afterAutospacing="1" w:line="360" w:lineRule="auto"/>
              <w:rPr>
                <w:rFonts w:asciiTheme="minorHAnsi" w:hAnsiTheme="minorHAnsi"/>
                <w:sz w:val="20"/>
              </w:rPr>
            </w:pPr>
            <w:r w:rsidRPr="00092FAE">
              <w:rPr>
                <w:rFonts w:asciiTheme="minorHAnsi" w:hAnsiTheme="minorHAnsi"/>
                <w:sz w:val="20"/>
              </w:rPr>
              <w:t>13</w:t>
            </w:r>
          </w:p>
        </w:tc>
        <w:tc>
          <w:tcPr>
            <w:tcW w:w="708" w:type="dxa"/>
          </w:tcPr>
          <w:p w14:paraId="2D729CC0" w14:textId="77777777" w:rsidR="008D631B" w:rsidRPr="00092FAE" w:rsidRDefault="008D631B" w:rsidP="000479A3">
            <w:pPr>
              <w:spacing w:before="100" w:beforeAutospacing="1" w:after="100" w:afterAutospacing="1" w:line="360" w:lineRule="auto"/>
              <w:rPr>
                <w:rFonts w:asciiTheme="minorHAnsi" w:hAnsiTheme="minorHAnsi"/>
                <w:sz w:val="20"/>
              </w:rPr>
            </w:pPr>
          </w:p>
        </w:tc>
        <w:tc>
          <w:tcPr>
            <w:tcW w:w="851" w:type="dxa"/>
          </w:tcPr>
          <w:p w14:paraId="20F44645" w14:textId="77777777" w:rsidR="008D631B" w:rsidRPr="00092FAE" w:rsidRDefault="008D631B" w:rsidP="000479A3">
            <w:pPr>
              <w:spacing w:before="100" w:beforeAutospacing="1" w:after="100" w:afterAutospacing="1" w:line="360" w:lineRule="auto"/>
              <w:rPr>
                <w:rFonts w:asciiTheme="minorHAnsi" w:hAnsiTheme="minorHAnsi"/>
                <w:sz w:val="20"/>
              </w:rPr>
            </w:pPr>
            <w:r w:rsidRPr="00092FAE">
              <w:rPr>
                <w:rFonts w:asciiTheme="minorHAnsi" w:hAnsiTheme="minorHAnsi"/>
                <w:sz w:val="20"/>
              </w:rPr>
              <w:t>13</w:t>
            </w:r>
          </w:p>
        </w:tc>
        <w:tc>
          <w:tcPr>
            <w:tcW w:w="1089" w:type="dxa"/>
          </w:tcPr>
          <w:p w14:paraId="56389AB5" w14:textId="77777777" w:rsidR="008D631B" w:rsidRPr="00092FAE" w:rsidRDefault="008D631B" w:rsidP="000479A3">
            <w:pPr>
              <w:spacing w:before="100" w:beforeAutospacing="1" w:after="100" w:afterAutospacing="1" w:line="360" w:lineRule="auto"/>
              <w:rPr>
                <w:rFonts w:asciiTheme="minorHAnsi" w:hAnsiTheme="minorHAnsi"/>
                <w:sz w:val="20"/>
              </w:rPr>
            </w:pPr>
            <w:r w:rsidRPr="00092FAE">
              <w:rPr>
                <w:rFonts w:asciiTheme="minorHAnsi" w:hAnsiTheme="minorHAnsi"/>
                <w:sz w:val="20"/>
              </w:rPr>
              <w:t>1%</w:t>
            </w:r>
          </w:p>
        </w:tc>
      </w:tr>
      <w:tr w:rsidR="008D631B" w:rsidRPr="00092FAE" w14:paraId="173737CD" w14:textId="77777777" w:rsidTr="0017212A">
        <w:tc>
          <w:tcPr>
            <w:tcW w:w="846" w:type="dxa"/>
          </w:tcPr>
          <w:p w14:paraId="4D4B6F27" w14:textId="77777777" w:rsidR="008D631B" w:rsidRPr="00092FAE" w:rsidRDefault="008D631B" w:rsidP="000479A3">
            <w:pPr>
              <w:spacing w:before="100" w:beforeAutospacing="1" w:after="100" w:afterAutospacing="1" w:line="360" w:lineRule="auto"/>
              <w:rPr>
                <w:rFonts w:asciiTheme="minorHAnsi" w:hAnsiTheme="minorHAnsi"/>
                <w:sz w:val="20"/>
              </w:rPr>
            </w:pPr>
            <w:r w:rsidRPr="00092FAE">
              <w:rPr>
                <w:rFonts w:asciiTheme="minorHAnsi" w:hAnsiTheme="minorHAnsi"/>
                <w:sz w:val="20"/>
              </w:rPr>
              <w:t>X</w:t>
            </w:r>
          </w:p>
        </w:tc>
        <w:tc>
          <w:tcPr>
            <w:tcW w:w="3685" w:type="dxa"/>
          </w:tcPr>
          <w:p w14:paraId="61F40AC6" w14:textId="77777777" w:rsidR="008D631B" w:rsidRPr="00092FAE" w:rsidRDefault="008D631B" w:rsidP="000479A3">
            <w:pPr>
              <w:spacing w:before="100" w:beforeAutospacing="1" w:after="100" w:afterAutospacing="1" w:line="360" w:lineRule="auto"/>
              <w:rPr>
                <w:rFonts w:asciiTheme="minorHAnsi" w:hAnsiTheme="minorHAnsi"/>
                <w:sz w:val="20"/>
              </w:rPr>
            </w:pPr>
            <w:r w:rsidRPr="00092FAE">
              <w:rPr>
                <w:rFonts w:asciiTheme="minorHAnsi" w:hAnsiTheme="minorHAnsi"/>
                <w:sz w:val="20"/>
              </w:rPr>
              <w:t>Xavier University-Ateneo De Cagayan</w:t>
            </w:r>
          </w:p>
        </w:tc>
        <w:tc>
          <w:tcPr>
            <w:tcW w:w="709" w:type="dxa"/>
          </w:tcPr>
          <w:p w14:paraId="6A4E4570" w14:textId="77777777" w:rsidR="008D631B" w:rsidRPr="00092FAE" w:rsidRDefault="008D631B" w:rsidP="000479A3">
            <w:pPr>
              <w:spacing w:before="100" w:beforeAutospacing="1" w:after="100" w:afterAutospacing="1" w:line="360" w:lineRule="auto"/>
              <w:rPr>
                <w:rFonts w:asciiTheme="minorHAnsi" w:hAnsiTheme="minorHAnsi"/>
                <w:sz w:val="20"/>
              </w:rPr>
            </w:pPr>
            <w:r w:rsidRPr="00092FAE">
              <w:rPr>
                <w:rFonts w:asciiTheme="minorHAnsi" w:hAnsiTheme="minorHAnsi"/>
                <w:sz w:val="20"/>
              </w:rPr>
              <w:t>30</w:t>
            </w:r>
          </w:p>
        </w:tc>
        <w:tc>
          <w:tcPr>
            <w:tcW w:w="709" w:type="dxa"/>
          </w:tcPr>
          <w:p w14:paraId="57CACF06" w14:textId="77777777" w:rsidR="008D631B" w:rsidRPr="00092FAE" w:rsidRDefault="008D631B" w:rsidP="000479A3">
            <w:pPr>
              <w:spacing w:before="100" w:beforeAutospacing="1" w:after="100" w:afterAutospacing="1" w:line="360" w:lineRule="auto"/>
              <w:rPr>
                <w:rFonts w:asciiTheme="minorHAnsi" w:hAnsiTheme="minorHAnsi"/>
                <w:sz w:val="20"/>
              </w:rPr>
            </w:pPr>
            <w:r w:rsidRPr="00092FAE">
              <w:rPr>
                <w:rFonts w:asciiTheme="minorHAnsi" w:hAnsiTheme="minorHAnsi"/>
                <w:sz w:val="20"/>
              </w:rPr>
              <w:t>25</w:t>
            </w:r>
          </w:p>
        </w:tc>
        <w:tc>
          <w:tcPr>
            <w:tcW w:w="709" w:type="dxa"/>
          </w:tcPr>
          <w:p w14:paraId="1A750441" w14:textId="77777777" w:rsidR="008D631B" w:rsidRPr="00092FAE" w:rsidRDefault="008D631B" w:rsidP="000479A3">
            <w:pPr>
              <w:spacing w:before="100" w:beforeAutospacing="1" w:after="100" w:afterAutospacing="1" w:line="360" w:lineRule="auto"/>
              <w:rPr>
                <w:rFonts w:asciiTheme="minorHAnsi" w:hAnsiTheme="minorHAnsi"/>
                <w:sz w:val="20"/>
              </w:rPr>
            </w:pPr>
            <w:r w:rsidRPr="00092FAE">
              <w:rPr>
                <w:rFonts w:asciiTheme="minorHAnsi" w:hAnsiTheme="minorHAnsi"/>
                <w:sz w:val="20"/>
              </w:rPr>
              <w:t>27</w:t>
            </w:r>
          </w:p>
        </w:tc>
        <w:tc>
          <w:tcPr>
            <w:tcW w:w="708" w:type="dxa"/>
          </w:tcPr>
          <w:p w14:paraId="1630FABF" w14:textId="77777777" w:rsidR="008D631B" w:rsidRPr="00092FAE" w:rsidRDefault="008D631B" w:rsidP="000479A3">
            <w:pPr>
              <w:spacing w:before="100" w:beforeAutospacing="1" w:after="100" w:afterAutospacing="1" w:line="360" w:lineRule="auto"/>
              <w:rPr>
                <w:rFonts w:asciiTheme="minorHAnsi" w:hAnsiTheme="minorHAnsi"/>
                <w:sz w:val="20"/>
              </w:rPr>
            </w:pPr>
          </w:p>
        </w:tc>
        <w:tc>
          <w:tcPr>
            <w:tcW w:w="851" w:type="dxa"/>
          </w:tcPr>
          <w:p w14:paraId="70102FA6" w14:textId="77777777" w:rsidR="008D631B" w:rsidRPr="00092FAE" w:rsidRDefault="008D631B" w:rsidP="000479A3">
            <w:pPr>
              <w:spacing w:before="100" w:beforeAutospacing="1" w:after="100" w:afterAutospacing="1" w:line="360" w:lineRule="auto"/>
              <w:rPr>
                <w:rFonts w:asciiTheme="minorHAnsi" w:hAnsiTheme="minorHAnsi"/>
                <w:sz w:val="20"/>
              </w:rPr>
            </w:pPr>
            <w:r w:rsidRPr="00092FAE">
              <w:rPr>
                <w:rFonts w:asciiTheme="minorHAnsi" w:hAnsiTheme="minorHAnsi"/>
                <w:sz w:val="20"/>
              </w:rPr>
              <w:t>82</w:t>
            </w:r>
          </w:p>
        </w:tc>
        <w:tc>
          <w:tcPr>
            <w:tcW w:w="1089" w:type="dxa"/>
          </w:tcPr>
          <w:p w14:paraId="3800F156" w14:textId="77777777" w:rsidR="008D631B" w:rsidRPr="00092FAE" w:rsidRDefault="008D631B" w:rsidP="000479A3">
            <w:pPr>
              <w:spacing w:before="100" w:beforeAutospacing="1" w:after="100" w:afterAutospacing="1" w:line="360" w:lineRule="auto"/>
              <w:rPr>
                <w:rFonts w:asciiTheme="minorHAnsi" w:hAnsiTheme="minorHAnsi"/>
                <w:sz w:val="20"/>
              </w:rPr>
            </w:pPr>
            <w:r w:rsidRPr="00092FAE">
              <w:rPr>
                <w:rFonts w:asciiTheme="minorHAnsi" w:hAnsiTheme="minorHAnsi"/>
                <w:sz w:val="20"/>
              </w:rPr>
              <w:t>8%</w:t>
            </w:r>
          </w:p>
        </w:tc>
      </w:tr>
      <w:tr w:rsidR="008D631B" w:rsidRPr="00092FAE" w14:paraId="164214EF" w14:textId="77777777" w:rsidTr="0017212A">
        <w:tc>
          <w:tcPr>
            <w:tcW w:w="846" w:type="dxa"/>
          </w:tcPr>
          <w:p w14:paraId="3C6478DB" w14:textId="77777777" w:rsidR="008D631B" w:rsidRPr="00092FAE" w:rsidRDefault="008D631B" w:rsidP="000479A3">
            <w:pPr>
              <w:spacing w:before="100" w:beforeAutospacing="1" w:after="100" w:afterAutospacing="1" w:line="360" w:lineRule="auto"/>
              <w:rPr>
                <w:rFonts w:asciiTheme="minorHAnsi" w:hAnsiTheme="minorHAnsi"/>
                <w:sz w:val="20"/>
              </w:rPr>
            </w:pPr>
            <w:r w:rsidRPr="00092FAE">
              <w:rPr>
                <w:rFonts w:asciiTheme="minorHAnsi" w:hAnsiTheme="minorHAnsi"/>
                <w:sz w:val="20"/>
              </w:rPr>
              <w:t>XI</w:t>
            </w:r>
          </w:p>
        </w:tc>
        <w:tc>
          <w:tcPr>
            <w:tcW w:w="3685" w:type="dxa"/>
          </w:tcPr>
          <w:p w14:paraId="757D4B0A" w14:textId="77777777" w:rsidR="008D631B" w:rsidRPr="00092FAE" w:rsidRDefault="008D631B" w:rsidP="000479A3">
            <w:pPr>
              <w:spacing w:before="100" w:beforeAutospacing="1" w:after="100" w:afterAutospacing="1" w:line="360" w:lineRule="auto"/>
              <w:rPr>
                <w:rFonts w:asciiTheme="minorHAnsi" w:hAnsiTheme="minorHAnsi"/>
                <w:sz w:val="20"/>
              </w:rPr>
            </w:pPr>
            <w:r w:rsidRPr="00092FAE">
              <w:rPr>
                <w:rFonts w:asciiTheme="minorHAnsi" w:hAnsiTheme="minorHAnsi"/>
                <w:sz w:val="20"/>
              </w:rPr>
              <w:t>University of Southeastern Philippines-Obrero</w:t>
            </w:r>
          </w:p>
        </w:tc>
        <w:tc>
          <w:tcPr>
            <w:tcW w:w="709" w:type="dxa"/>
          </w:tcPr>
          <w:p w14:paraId="62B4A489" w14:textId="77777777" w:rsidR="008D631B" w:rsidRPr="00092FAE" w:rsidRDefault="008D631B" w:rsidP="000479A3">
            <w:pPr>
              <w:spacing w:before="100" w:beforeAutospacing="1" w:after="100" w:afterAutospacing="1" w:line="360" w:lineRule="auto"/>
              <w:rPr>
                <w:rFonts w:asciiTheme="minorHAnsi" w:hAnsiTheme="minorHAnsi"/>
                <w:sz w:val="20"/>
              </w:rPr>
            </w:pPr>
            <w:r w:rsidRPr="00092FAE">
              <w:rPr>
                <w:rFonts w:asciiTheme="minorHAnsi" w:hAnsiTheme="minorHAnsi"/>
                <w:sz w:val="20"/>
              </w:rPr>
              <w:t>21</w:t>
            </w:r>
          </w:p>
        </w:tc>
        <w:tc>
          <w:tcPr>
            <w:tcW w:w="709" w:type="dxa"/>
          </w:tcPr>
          <w:p w14:paraId="4718F6CF" w14:textId="77777777" w:rsidR="008D631B" w:rsidRPr="00092FAE" w:rsidRDefault="008D631B" w:rsidP="000479A3">
            <w:pPr>
              <w:spacing w:before="100" w:beforeAutospacing="1" w:after="100" w:afterAutospacing="1" w:line="360" w:lineRule="auto"/>
              <w:rPr>
                <w:rFonts w:asciiTheme="minorHAnsi" w:hAnsiTheme="minorHAnsi"/>
                <w:sz w:val="20"/>
              </w:rPr>
            </w:pPr>
            <w:r w:rsidRPr="00092FAE">
              <w:rPr>
                <w:rFonts w:asciiTheme="minorHAnsi" w:hAnsiTheme="minorHAnsi"/>
                <w:sz w:val="20"/>
              </w:rPr>
              <w:t>35</w:t>
            </w:r>
          </w:p>
        </w:tc>
        <w:tc>
          <w:tcPr>
            <w:tcW w:w="709" w:type="dxa"/>
          </w:tcPr>
          <w:p w14:paraId="23C13147" w14:textId="77777777" w:rsidR="008D631B" w:rsidRPr="00092FAE" w:rsidRDefault="008D631B" w:rsidP="000479A3">
            <w:pPr>
              <w:spacing w:before="100" w:beforeAutospacing="1" w:after="100" w:afterAutospacing="1" w:line="360" w:lineRule="auto"/>
              <w:rPr>
                <w:rFonts w:asciiTheme="minorHAnsi" w:hAnsiTheme="minorHAnsi"/>
                <w:sz w:val="20"/>
              </w:rPr>
            </w:pPr>
            <w:r w:rsidRPr="00092FAE">
              <w:rPr>
                <w:rFonts w:asciiTheme="minorHAnsi" w:hAnsiTheme="minorHAnsi"/>
                <w:sz w:val="20"/>
              </w:rPr>
              <w:t>40</w:t>
            </w:r>
          </w:p>
        </w:tc>
        <w:tc>
          <w:tcPr>
            <w:tcW w:w="708" w:type="dxa"/>
          </w:tcPr>
          <w:p w14:paraId="458C2E9C" w14:textId="77777777" w:rsidR="008D631B" w:rsidRPr="00092FAE" w:rsidRDefault="008D631B" w:rsidP="000479A3">
            <w:pPr>
              <w:spacing w:before="100" w:beforeAutospacing="1" w:after="100" w:afterAutospacing="1" w:line="360" w:lineRule="auto"/>
              <w:rPr>
                <w:rFonts w:asciiTheme="minorHAnsi" w:hAnsiTheme="minorHAnsi"/>
                <w:sz w:val="20"/>
              </w:rPr>
            </w:pPr>
          </w:p>
        </w:tc>
        <w:tc>
          <w:tcPr>
            <w:tcW w:w="851" w:type="dxa"/>
          </w:tcPr>
          <w:p w14:paraId="2DE4EAE5" w14:textId="77777777" w:rsidR="008D631B" w:rsidRPr="00092FAE" w:rsidRDefault="008D631B" w:rsidP="000479A3">
            <w:pPr>
              <w:spacing w:before="100" w:beforeAutospacing="1" w:after="100" w:afterAutospacing="1" w:line="360" w:lineRule="auto"/>
              <w:rPr>
                <w:rFonts w:asciiTheme="minorHAnsi" w:hAnsiTheme="minorHAnsi"/>
                <w:sz w:val="20"/>
              </w:rPr>
            </w:pPr>
            <w:r w:rsidRPr="00092FAE">
              <w:rPr>
                <w:rFonts w:asciiTheme="minorHAnsi" w:hAnsiTheme="minorHAnsi"/>
                <w:sz w:val="20"/>
              </w:rPr>
              <w:t>96</w:t>
            </w:r>
          </w:p>
        </w:tc>
        <w:tc>
          <w:tcPr>
            <w:tcW w:w="1089" w:type="dxa"/>
          </w:tcPr>
          <w:p w14:paraId="42140CF6" w14:textId="77777777" w:rsidR="008D631B" w:rsidRPr="00092FAE" w:rsidRDefault="008D631B" w:rsidP="000479A3">
            <w:pPr>
              <w:spacing w:before="100" w:beforeAutospacing="1" w:after="100" w:afterAutospacing="1" w:line="360" w:lineRule="auto"/>
              <w:rPr>
                <w:rFonts w:asciiTheme="minorHAnsi" w:hAnsiTheme="minorHAnsi"/>
                <w:sz w:val="20"/>
              </w:rPr>
            </w:pPr>
            <w:r w:rsidRPr="00092FAE">
              <w:rPr>
                <w:rFonts w:asciiTheme="minorHAnsi" w:hAnsiTheme="minorHAnsi"/>
                <w:sz w:val="20"/>
              </w:rPr>
              <w:t>10%</w:t>
            </w:r>
          </w:p>
        </w:tc>
      </w:tr>
      <w:tr w:rsidR="008D631B" w:rsidRPr="00092FAE" w14:paraId="547660F5" w14:textId="77777777" w:rsidTr="0017212A">
        <w:tc>
          <w:tcPr>
            <w:tcW w:w="846" w:type="dxa"/>
          </w:tcPr>
          <w:p w14:paraId="0029C6F5" w14:textId="77777777" w:rsidR="008D631B" w:rsidRPr="00092FAE" w:rsidRDefault="00092FAE" w:rsidP="000479A3">
            <w:pPr>
              <w:spacing w:before="100" w:beforeAutospacing="1" w:after="100" w:afterAutospacing="1" w:line="360" w:lineRule="auto"/>
              <w:rPr>
                <w:rFonts w:asciiTheme="minorHAnsi" w:hAnsiTheme="minorHAnsi"/>
                <w:sz w:val="20"/>
              </w:rPr>
            </w:pPr>
            <w:r w:rsidRPr="00092FAE">
              <w:rPr>
                <w:rFonts w:asciiTheme="minorHAnsi" w:hAnsiTheme="minorHAnsi"/>
                <w:sz w:val="20"/>
              </w:rPr>
              <w:t>XI</w:t>
            </w:r>
          </w:p>
        </w:tc>
        <w:tc>
          <w:tcPr>
            <w:tcW w:w="3685" w:type="dxa"/>
          </w:tcPr>
          <w:p w14:paraId="5DC245F9" w14:textId="77777777" w:rsidR="008D631B" w:rsidRPr="00092FAE" w:rsidRDefault="00092FAE" w:rsidP="000479A3">
            <w:pPr>
              <w:spacing w:before="100" w:beforeAutospacing="1" w:after="100" w:afterAutospacing="1" w:line="360" w:lineRule="auto"/>
              <w:rPr>
                <w:rFonts w:asciiTheme="minorHAnsi" w:hAnsiTheme="minorHAnsi"/>
                <w:sz w:val="20"/>
              </w:rPr>
            </w:pPr>
            <w:r w:rsidRPr="00092FAE">
              <w:rPr>
                <w:rFonts w:asciiTheme="minorHAnsi" w:hAnsiTheme="minorHAnsi"/>
                <w:sz w:val="20"/>
              </w:rPr>
              <w:t>University of Southeastern Philippines-Tagum</w:t>
            </w:r>
          </w:p>
        </w:tc>
        <w:tc>
          <w:tcPr>
            <w:tcW w:w="709" w:type="dxa"/>
          </w:tcPr>
          <w:p w14:paraId="0103384E" w14:textId="77777777" w:rsidR="008D631B" w:rsidRPr="00092FAE" w:rsidRDefault="00092FAE" w:rsidP="000479A3">
            <w:pPr>
              <w:spacing w:before="100" w:beforeAutospacing="1" w:after="100" w:afterAutospacing="1" w:line="360" w:lineRule="auto"/>
              <w:rPr>
                <w:rFonts w:asciiTheme="minorHAnsi" w:hAnsiTheme="minorHAnsi"/>
                <w:sz w:val="20"/>
              </w:rPr>
            </w:pPr>
            <w:r w:rsidRPr="00092FAE">
              <w:rPr>
                <w:rFonts w:asciiTheme="minorHAnsi" w:hAnsiTheme="minorHAnsi"/>
                <w:sz w:val="20"/>
              </w:rPr>
              <w:t>18</w:t>
            </w:r>
          </w:p>
        </w:tc>
        <w:tc>
          <w:tcPr>
            <w:tcW w:w="709" w:type="dxa"/>
          </w:tcPr>
          <w:p w14:paraId="7393B7D6" w14:textId="77777777" w:rsidR="008D631B" w:rsidRPr="00092FAE" w:rsidRDefault="00092FAE" w:rsidP="000479A3">
            <w:pPr>
              <w:spacing w:before="100" w:beforeAutospacing="1" w:after="100" w:afterAutospacing="1" w:line="360" w:lineRule="auto"/>
              <w:rPr>
                <w:rFonts w:asciiTheme="minorHAnsi" w:hAnsiTheme="minorHAnsi"/>
                <w:sz w:val="20"/>
              </w:rPr>
            </w:pPr>
            <w:r w:rsidRPr="00092FAE">
              <w:rPr>
                <w:rFonts w:asciiTheme="minorHAnsi" w:hAnsiTheme="minorHAnsi"/>
                <w:sz w:val="20"/>
              </w:rPr>
              <w:t>17</w:t>
            </w:r>
          </w:p>
        </w:tc>
        <w:tc>
          <w:tcPr>
            <w:tcW w:w="709" w:type="dxa"/>
          </w:tcPr>
          <w:p w14:paraId="05009318" w14:textId="77777777" w:rsidR="008D631B" w:rsidRPr="00092FAE" w:rsidRDefault="00092FAE" w:rsidP="000479A3">
            <w:pPr>
              <w:spacing w:before="100" w:beforeAutospacing="1" w:after="100" w:afterAutospacing="1" w:line="360" w:lineRule="auto"/>
              <w:rPr>
                <w:rFonts w:asciiTheme="minorHAnsi" w:hAnsiTheme="minorHAnsi"/>
                <w:sz w:val="20"/>
              </w:rPr>
            </w:pPr>
            <w:r w:rsidRPr="00092FAE">
              <w:rPr>
                <w:rFonts w:asciiTheme="minorHAnsi" w:hAnsiTheme="minorHAnsi"/>
                <w:sz w:val="20"/>
              </w:rPr>
              <w:t>18</w:t>
            </w:r>
          </w:p>
        </w:tc>
        <w:tc>
          <w:tcPr>
            <w:tcW w:w="708" w:type="dxa"/>
          </w:tcPr>
          <w:p w14:paraId="0217B299" w14:textId="77777777" w:rsidR="008D631B" w:rsidRPr="00092FAE" w:rsidRDefault="00092FAE" w:rsidP="000479A3">
            <w:pPr>
              <w:spacing w:before="100" w:beforeAutospacing="1" w:after="100" w:afterAutospacing="1" w:line="360" w:lineRule="auto"/>
              <w:rPr>
                <w:rFonts w:asciiTheme="minorHAnsi" w:hAnsiTheme="minorHAnsi"/>
                <w:sz w:val="20"/>
              </w:rPr>
            </w:pPr>
            <w:r w:rsidRPr="00092FAE">
              <w:rPr>
                <w:rFonts w:asciiTheme="minorHAnsi" w:hAnsiTheme="minorHAnsi"/>
                <w:sz w:val="20"/>
              </w:rPr>
              <w:t>1</w:t>
            </w:r>
          </w:p>
        </w:tc>
        <w:tc>
          <w:tcPr>
            <w:tcW w:w="851" w:type="dxa"/>
          </w:tcPr>
          <w:p w14:paraId="622B57DE" w14:textId="77777777" w:rsidR="008D631B" w:rsidRPr="00092FAE" w:rsidRDefault="00092FAE" w:rsidP="000479A3">
            <w:pPr>
              <w:spacing w:before="100" w:beforeAutospacing="1" w:after="100" w:afterAutospacing="1" w:line="360" w:lineRule="auto"/>
              <w:rPr>
                <w:rFonts w:asciiTheme="minorHAnsi" w:hAnsiTheme="minorHAnsi"/>
                <w:sz w:val="20"/>
              </w:rPr>
            </w:pPr>
            <w:r w:rsidRPr="00092FAE">
              <w:rPr>
                <w:rFonts w:asciiTheme="minorHAnsi" w:hAnsiTheme="minorHAnsi"/>
                <w:sz w:val="20"/>
              </w:rPr>
              <w:t>54</w:t>
            </w:r>
          </w:p>
        </w:tc>
        <w:tc>
          <w:tcPr>
            <w:tcW w:w="1089" w:type="dxa"/>
          </w:tcPr>
          <w:p w14:paraId="33D6DA02" w14:textId="77777777" w:rsidR="008D631B" w:rsidRPr="00092FAE" w:rsidRDefault="00092FAE" w:rsidP="000479A3">
            <w:pPr>
              <w:spacing w:before="100" w:beforeAutospacing="1" w:after="100" w:afterAutospacing="1" w:line="360" w:lineRule="auto"/>
              <w:rPr>
                <w:rFonts w:asciiTheme="minorHAnsi" w:hAnsiTheme="minorHAnsi"/>
                <w:sz w:val="20"/>
              </w:rPr>
            </w:pPr>
            <w:r w:rsidRPr="00092FAE">
              <w:rPr>
                <w:rFonts w:asciiTheme="minorHAnsi" w:hAnsiTheme="minorHAnsi"/>
                <w:sz w:val="20"/>
              </w:rPr>
              <w:t>6%</w:t>
            </w:r>
          </w:p>
        </w:tc>
      </w:tr>
      <w:tr w:rsidR="008D631B" w:rsidRPr="00092FAE" w14:paraId="64A220B8" w14:textId="77777777" w:rsidTr="0017212A">
        <w:tc>
          <w:tcPr>
            <w:tcW w:w="846" w:type="dxa"/>
          </w:tcPr>
          <w:p w14:paraId="5C7275DD" w14:textId="77777777" w:rsidR="008D631B" w:rsidRPr="00092FAE" w:rsidRDefault="00092FAE" w:rsidP="000479A3">
            <w:pPr>
              <w:spacing w:before="100" w:beforeAutospacing="1" w:after="100" w:afterAutospacing="1" w:line="360" w:lineRule="auto"/>
              <w:rPr>
                <w:rFonts w:asciiTheme="minorHAnsi" w:hAnsiTheme="minorHAnsi"/>
                <w:sz w:val="20"/>
              </w:rPr>
            </w:pPr>
            <w:r w:rsidRPr="00092FAE">
              <w:rPr>
                <w:rFonts w:asciiTheme="minorHAnsi" w:hAnsiTheme="minorHAnsi"/>
                <w:sz w:val="20"/>
              </w:rPr>
              <w:t>NCR</w:t>
            </w:r>
          </w:p>
        </w:tc>
        <w:tc>
          <w:tcPr>
            <w:tcW w:w="3685" w:type="dxa"/>
          </w:tcPr>
          <w:p w14:paraId="2E20777A" w14:textId="77777777" w:rsidR="008D631B" w:rsidRPr="00092FAE" w:rsidRDefault="00092FAE" w:rsidP="000479A3">
            <w:pPr>
              <w:spacing w:before="100" w:beforeAutospacing="1" w:after="100" w:afterAutospacing="1" w:line="360" w:lineRule="auto"/>
              <w:rPr>
                <w:rFonts w:asciiTheme="minorHAnsi" w:hAnsiTheme="minorHAnsi"/>
                <w:sz w:val="20"/>
              </w:rPr>
            </w:pPr>
            <w:r w:rsidRPr="00092FAE">
              <w:rPr>
                <w:rFonts w:asciiTheme="minorHAnsi" w:hAnsiTheme="minorHAnsi"/>
                <w:sz w:val="20"/>
              </w:rPr>
              <w:t>Philippine Normal University</w:t>
            </w:r>
          </w:p>
        </w:tc>
        <w:tc>
          <w:tcPr>
            <w:tcW w:w="709" w:type="dxa"/>
          </w:tcPr>
          <w:p w14:paraId="2E945525" w14:textId="77777777" w:rsidR="008D631B" w:rsidRPr="00092FAE" w:rsidRDefault="00092FAE" w:rsidP="000479A3">
            <w:pPr>
              <w:spacing w:before="100" w:beforeAutospacing="1" w:after="100" w:afterAutospacing="1" w:line="360" w:lineRule="auto"/>
              <w:rPr>
                <w:rFonts w:asciiTheme="minorHAnsi" w:hAnsiTheme="minorHAnsi"/>
                <w:sz w:val="20"/>
              </w:rPr>
            </w:pPr>
            <w:r w:rsidRPr="00092FAE">
              <w:rPr>
                <w:rFonts w:asciiTheme="minorHAnsi" w:hAnsiTheme="minorHAnsi"/>
                <w:sz w:val="20"/>
              </w:rPr>
              <w:t>21</w:t>
            </w:r>
          </w:p>
        </w:tc>
        <w:tc>
          <w:tcPr>
            <w:tcW w:w="709" w:type="dxa"/>
          </w:tcPr>
          <w:p w14:paraId="0B932D68" w14:textId="77777777" w:rsidR="008D631B" w:rsidRPr="00092FAE" w:rsidRDefault="00092FAE" w:rsidP="000479A3">
            <w:pPr>
              <w:spacing w:before="100" w:beforeAutospacing="1" w:after="100" w:afterAutospacing="1" w:line="360" w:lineRule="auto"/>
              <w:rPr>
                <w:rFonts w:asciiTheme="minorHAnsi" w:hAnsiTheme="minorHAnsi"/>
                <w:sz w:val="20"/>
              </w:rPr>
            </w:pPr>
            <w:r w:rsidRPr="00092FAE">
              <w:rPr>
                <w:rFonts w:asciiTheme="minorHAnsi" w:hAnsiTheme="minorHAnsi"/>
                <w:sz w:val="20"/>
              </w:rPr>
              <w:t>38</w:t>
            </w:r>
          </w:p>
        </w:tc>
        <w:tc>
          <w:tcPr>
            <w:tcW w:w="709" w:type="dxa"/>
          </w:tcPr>
          <w:p w14:paraId="2841B4C4" w14:textId="77777777" w:rsidR="008D631B" w:rsidRPr="00092FAE" w:rsidRDefault="00092FAE" w:rsidP="000479A3">
            <w:pPr>
              <w:spacing w:before="100" w:beforeAutospacing="1" w:after="100" w:afterAutospacing="1" w:line="360" w:lineRule="auto"/>
              <w:rPr>
                <w:rFonts w:asciiTheme="minorHAnsi" w:hAnsiTheme="minorHAnsi"/>
                <w:sz w:val="20"/>
              </w:rPr>
            </w:pPr>
            <w:r w:rsidRPr="00092FAE">
              <w:rPr>
                <w:rFonts w:asciiTheme="minorHAnsi" w:hAnsiTheme="minorHAnsi"/>
                <w:sz w:val="20"/>
              </w:rPr>
              <w:t>55</w:t>
            </w:r>
          </w:p>
        </w:tc>
        <w:tc>
          <w:tcPr>
            <w:tcW w:w="708" w:type="dxa"/>
          </w:tcPr>
          <w:p w14:paraId="7BC08FB4" w14:textId="77777777" w:rsidR="008D631B" w:rsidRPr="00092FAE" w:rsidRDefault="00092FAE" w:rsidP="000479A3">
            <w:pPr>
              <w:spacing w:before="100" w:beforeAutospacing="1" w:after="100" w:afterAutospacing="1" w:line="360" w:lineRule="auto"/>
              <w:rPr>
                <w:rFonts w:asciiTheme="minorHAnsi" w:hAnsiTheme="minorHAnsi"/>
                <w:sz w:val="20"/>
              </w:rPr>
            </w:pPr>
            <w:r w:rsidRPr="00092FAE">
              <w:rPr>
                <w:rFonts w:asciiTheme="minorHAnsi" w:hAnsiTheme="minorHAnsi"/>
                <w:sz w:val="20"/>
              </w:rPr>
              <w:t>8</w:t>
            </w:r>
          </w:p>
        </w:tc>
        <w:tc>
          <w:tcPr>
            <w:tcW w:w="851" w:type="dxa"/>
          </w:tcPr>
          <w:p w14:paraId="2555D7B1" w14:textId="77777777" w:rsidR="008D631B" w:rsidRPr="00092FAE" w:rsidRDefault="00092FAE" w:rsidP="000479A3">
            <w:pPr>
              <w:spacing w:before="100" w:beforeAutospacing="1" w:after="100" w:afterAutospacing="1" w:line="360" w:lineRule="auto"/>
              <w:rPr>
                <w:rFonts w:asciiTheme="minorHAnsi" w:hAnsiTheme="minorHAnsi"/>
                <w:sz w:val="20"/>
              </w:rPr>
            </w:pPr>
            <w:r w:rsidRPr="00092FAE">
              <w:rPr>
                <w:rFonts w:asciiTheme="minorHAnsi" w:hAnsiTheme="minorHAnsi"/>
                <w:sz w:val="20"/>
              </w:rPr>
              <w:t>122</w:t>
            </w:r>
          </w:p>
        </w:tc>
        <w:tc>
          <w:tcPr>
            <w:tcW w:w="1089" w:type="dxa"/>
          </w:tcPr>
          <w:p w14:paraId="694058F8" w14:textId="77777777" w:rsidR="008D631B" w:rsidRPr="00092FAE" w:rsidRDefault="00092FAE" w:rsidP="000479A3">
            <w:pPr>
              <w:spacing w:before="100" w:beforeAutospacing="1" w:after="100" w:afterAutospacing="1" w:line="360" w:lineRule="auto"/>
              <w:rPr>
                <w:rFonts w:asciiTheme="minorHAnsi" w:hAnsiTheme="minorHAnsi"/>
                <w:sz w:val="20"/>
              </w:rPr>
            </w:pPr>
            <w:r w:rsidRPr="00092FAE">
              <w:rPr>
                <w:rFonts w:asciiTheme="minorHAnsi" w:hAnsiTheme="minorHAnsi"/>
                <w:sz w:val="20"/>
              </w:rPr>
              <w:t>12%</w:t>
            </w:r>
          </w:p>
        </w:tc>
      </w:tr>
      <w:tr w:rsidR="008D631B" w:rsidRPr="00092FAE" w14:paraId="42E26DCD" w14:textId="77777777" w:rsidTr="0017212A">
        <w:tc>
          <w:tcPr>
            <w:tcW w:w="846" w:type="dxa"/>
          </w:tcPr>
          <w:p w14:paraId="3ACE31FF" w14:textId="77777777" w:rsidR="008D631B" w:rsidRPr="00092FAE" w:rsidRDefault="00092FAE" w:rsidP="000479A3">
            <w:pPr>
              <w:spacing w:before="100" w:beforeAutospacing="1" w:after="100" w:afterAutospacing="1" w:line="360" w:lineRule="auto"/>
              <w:rPr>
                <w:rFonts w:asciiTheme="minorHAnsi" w:hAnsiTheme="minorHAnsi"/>
                <w:sz w:val="20"/>
              </w:rPr>
            </w:pPr>
            <w:r w:rsidRPr="00092FAE">
              <w:rPr>
                <w:rFonts w:asciiTheme="minorHAnsi" w:hAnsiTheme="minorHAnsi"/>
                <w:sz w:val="20"/>
              </w:rPr>
              <w:t>NCR</w:t>
            </w:r>
          </w:p>
        </w:tc>
        <w:tc>
          <w:tcPr>
            <w:tcW w:w="3685" w:type="dxa"/>
          </w:tcPr>
          <w:p w14:paraId="1360E6D8" w14:textId="77777777" w:rsidR="008D631B" w:rsidRPr="00092FAE" w:rsidRDefault="00092FAE" w:rsidP="000479A3">
            <w:pPr>
              <w:spacing w:before="100" w:beforeAutospacing="1" w:after="100" w:afterAutospacing="1" w:line="360" w:lineRule="auto"/>
              <w:rPr>
                <w:rFonts w:asciiTheme="minorHAnsi" w:hAnsiTheme="minorHAnsi"/>
                <w:sz w:val="20"/>
              </w:rPr>
            </w:pPr>
            <w:r w:rsidRPr="00092FAE">
              <w:rPr>
                <w:rFonts w:asciiTheme="minorHAnsi" w:hAnsiTheme="minorHAnsi"/>
                <w:sz w:val="20"/>
              </w:rPr>
              <w:t>University of Santo Tomas</w:t>
            </w:r>
          </w:p>
        </w:tc>
        <w:tc>
          <w:tcPr>
            <w:tcW w:w="709" w:type="dxa"/>
          </w:tcPr>
          <w:p w14:paraId="0784B2D5" w14:textId="77777777" w:rsidR="008D631B" w:rsidRPr="00092FAE" w:rsidRDefault="00092FAE" w:rsidP="000479A3">
            <w:pPr>
              <w:spacing w:before="100" w:beforeAutospacing="1" w:after="100" w:afterAutospacing="1" w:line="360" w:lineRule="auto"/>
              <w:rPr>
                <w:rFonts w:asciiTheme="minorHAnsi" w:hAnsiTheme="minorHAnsi"/>
                <w:sz w:val="20"/>
              </w:rPr>
            </w:pPr>
            <w:r w:rsidRPr="00092FAE">
              <w:rPr>
                <w:rFonts w:asciiTheme="minorHAnsi" w:hAnsiTheme="minorHAnsi"/>
                <w:sz w:val="20"/>
              </w:rPr>
              <w:t>21</w:t>
            </w:r>
          </w:p>
        </w:tc>
        <w:tc>
          <w:tcPr>
            <w:tcW w:w="709" w:type="dxa"/>
          </w:tcPr>
          <w:p w14:paraId="08CD3800" w14:textId="77777777" w:rsidR="008D631B" w:rsidRPr="00092FAE" w:rsidRDefault="00092FAE" w:rsidP="000479A3">
            <w:pPr>
              <w:spacing w:before="100" w:beforeAutospacing="1" w:after="100" w:afterAutospacing="1" w:line="360" w:lineRule="auto"/>
              <w:rPr>
                <w:rFonts w:asciiTheme="minorHAnsi" w:hAnsiTheme="minorHAnsi"/>
                <w:sz w:val="20"/>
              </w:rPr>
            </w:pPr>
            <w:r w:rsidRPr="00092FAE">
              <w:rPr>
                <w:rFonts w:asciiTheme="minorHAnsi" w:hAnsiTheme="minorHAnsi"/>
                <w:sz w:val="20"/>
              </w:rPr>
              <w:t>62</w:t>
            </w:r>
          </w:p>
        </w:tc>
        <w:tc>
          <w:tcPr>
            <w:tcW w:w="709" w:type="dxa"/>
          </w:tcPr>
          <w:p w14:paraId="43EA0854" w14:textId="77777777" w:rsidR="008D631B" w:rsidRPr="00092FAE" w:rsidRDefault="00092FAE" w:rsidP="000479A3">
            <w:pPr>
              <w:spacing w:before="100" w:beforeAutospacing="1" w:after="100" w:afterAutospacing="1" w:line="360" w:lineRule="auto"/>
              <w:rPr>
                <w:rFonts w:asciiTheme="minorHAnsi" w:hAnsiTheme="minorHAnsi"/>
                <w:sz w:val="20"/>
              </w:rPr>
            </w:pPr>
            <w:r w:rsidRPr="00092FAE">
              <w:rPr>
                <w:rFonts w:asciiTheme="minorHAnsi" w:hAnsiTheme="minorHAnsi"/>
                <w:sz w:val="20"/>
              </w:rPr>
              <w:t>118</w:t>
            </w:r>
          </w:p>
        </w:tc>
        <w:tc>
          <w:tcPr>
            <w:tcW w:w="708" w:type="dxa"/>
          </w:tcPr>
          <w:p w14:paraId="044E5E6E" w14:textId="77777777" w:rsidR="008D631B" w:rsidRPr="00092FAE" w:rsidRDefault="008D631B" w:rsidP="000479A3">
            <w:pPr>
              <w:spacing w:before="100" w:beforeAutospacing="1" w:after="100" w:afterAutospacing="1" w:line="360" w:lineRule="auto"/>
              <w:rPr>
                <w:rFonts w:asciiTheme="minorHAnsi" w:hAnsiTheme="minorHAnsi"/>
                <w:sz w:val="20"/>
              </w:rPr>
            </w:pPr>
          </w:p>
        </w:tc>
        <w:tc>
          <w:tcPr>
            <w:tcW w:w="851" w:type="dxa"/>
          </w:tcPr>
          <w:p w14:paraId="4D894241" w14:textId="77777777" w:rsidR="008D631B" w:rsidRPr="00092FAE" w:rsidRDefault="00092FAE" w:rsidP="000479A3">
            <w:pPr>
              <w:spacing w:before="100" w:beforeAutospacing="1" w:after="100" w:afterAutospacing="1" w:line="360" w:lineRule="auto"/>
              <w:rPr>
                <w:rFonts w:asciiTheme="minorHAnsi" w:hAnsiTheme="minorHAnsi"/>
                <w:sz w:val="20"/>
              </w:rPr>
            </w:pPr>
            <w:r w:rsidRPr="00092FAE">
              <w:rPr>
                <w:rFonts w:asciiTheme="minorHAnsi" w:hAnsiTheme="minorHAnsi"/>
                <w:sz w:val="20"/>
              </w:rPr>
              <w:t>201</w:t>
            </w:r>
          </w:p>
        </w:tc>
        <w:tc>
          <w:tcPr>
            <w:tcW w:w="1089" w:type="dxa"/>
          </w:tcPr>
          <w:p w14:paraId="25BF9C78" w14:textId="77777777" w:rsidR="008D631B" w:rsidRPr="00092FAE" w:rsidRDefault="00092FAE" w:rsidP="000479A3">
            <w:pPr>
              <w:spacing w:before="100" w:beforeAutospacing="1" w:after="100" w:afterAutospacing="1" w:line="360" w:lineRule="auto"/>
              <w:rPr>
                <w:rFonts w:asciiTheme="minorHAnsi" w:hAnsiTheme="minorHAnsi"/>
                <w:sz w:val="20"/>
              </w:rPr>
            </w:pPr>
            <w:r w:rsidRPr="00092FAE">
              <w:rPr>
                <w:rFonts w:asciiTheme="minorHAnsi" w:hAnsiTheme="minorHAnsi"/>
                <w:sz w:val="20"/>
              </w:rPr>
              <w:t>20%</w:t>
            </w:r>
          </w:p>
        </w:tc>
      </w:tr>
      <w:tr w:rsidR="008D631B" w:rsidRPr="00092FAE" w14:paraId="0B6FB135" w14:textId="77777777" w:rsidTr="0017212A">
        <w:tc>
          <w:tcPr>
            <w:tcW w:w="846" w:type="dxa"/>
          </w:tcPr>
          <w:p w14:paraId="039B32E2" w14:textId="77777777" w:rsidR="008D631B" w:rsidRPr="00092FAE" w:rsidRDefault="008D631B" w:rsidP="000479A3">
            <w:pPr>
              <w:spacing w:before="100" w:beforeAutospacing="1" w:after="100" w:afterAutospacing="1" w:line="360" w:lineRule="auto"/>
              <w:rPr>
                <w:rFonts w:asciiTheme="minorHAnsi" w:hAnsiTheme="minorHAnsi"/>
                <w:sz w:val="20"/>
              </w:rPr>
            </w:pPr>
          </w:p>
        </w:tc>
        <w:tc>
          <w:tcPr>
            <w:tcW w:w="3685" w:type="dxa"/>
          </w:tcPr>
          <w:p w14:paraId="73FBC0AB" w14:textId="77777777" w:rsidR="008D631B" w:rsidRPr="00092FAE" w:rsidRDefault="00092FAE" w:rsidP="000479A3">
            <w:pPr>
              <w:spacing w:before="100" w:beforeAutospacing="1" w:after="100" w:afterAutospacing="1" w:line="360" w:lineRule="auto"/>
              <w:rPr>
                <w:rFonts w:asciiTheme="minorHAnsi" w:hAnsiTheme="minorHAnsi"/>
                <w:b/>
                <w:sz w:val="20"/>
              </w:rPr>
            </w:pPr>
            <w:r w:rsidRPr="00092FAE">
              <w:rPr>
                <w:rFonts w:asciiTheme="minorHAnsi" w:hAnsiTheme="minorHAnsi"/>
                <w:b/>
                <w:sz w:val="20"/>
              </w:rPr>
              <w:t>Grand Total</w:t>
            </w:r>
          </w:p>
        </w:tc>
        <w:tc>
          <w:tcPr>
            <w:tcW w:w="709" w:type="dxa"/>
          </w:tcPr>
          <w:p w14:paraId="1C1B65A5" w14:textId="77777777" w:rsidR="008D631B" w:rsidRPr="00092FAE" w:rsidRDefault="00092FAE" w:rsidP="000479A3">
            <w:pPr>
              <w:spacing w:before="100" w:beforeAutospacing="1" w:after="100" w:afterAutospacing="1" w:line="360" w:lineRule="auto"/>
              <w:rPr>
                <w:rFonts w:asciiTheme="minorHAnsi" w:hAnsiTheme="minorHAnsi"/>
                <w:b/>
                <w:sz w:val="20"/>
              </w:rPr>
            </w:pPr>
            <w:r w:rsidRPr="00092FAE">
              <w:rPr>
                <w:rFonts w:asciiTheme="minorHAnsi" w:hAnsiTheme="minorHAnsi"/>
                <w:b/>
                <w:sz w:val="20"/>
              </w:rPr>
              <w:t>239</w:t>
            </w:r>
          </w:p>
        </w:tc>
        <w:tc>
          <w:tcPr>
            <w:tcW w:w="709" w:type="dxa"/>
          </w:tcPr>
          <w:p w14:paraId="621738CA" w14:textId="77777777" w:rsidR="008D631B" w:rsidRPr="00092FAE" w:rsidRDefault="00092FAE" w:rsidP="000479A3">
            <w:pPr>
              <w:spacing w:before="100" w:beforeAutospacing="1" w:after="100" w:afterAutospacing="1" w:line="360" w:lineRule="auto"/>
              <w:rPr>
                <w:rFonts w:asciiTheme="minorHAnsi" w:hAnsiTheme="minorHAnsi"/>
                <w:b/>
                <w:sz w:val="20"/>
              </w:rPr>
            </w:pPr>
            <w:r w:rsidRPr="00092FAE">
              <w:rPr>
                <w:rFonts w:asciiTheme="minorHAnsi" w:hAnsiTheme="minorHAnsi"/>
                <w:b/>
                <w:sz w:val="20"/>
              </w:rPr>
              <w:t>315</w:t>
            </w:r>
          </w:p>
        </w:tc>
        <w:tc>
          <w:tcPr>
            <w:tcW w:w="709" w:type="dxa"/>
          </w:tcPr>
          <w:p w14:paraId="2FEA9306" w14:textId="77777777" w:rsidR="008D631B" w:rsidRPr="00092FAE" w:rsidRDefault="00092FAE" w:rsidP="000479A3">
            <w:pPr>
              <w:spacing w:before="100" w:beforeAutospacing="1" w:after="100" w:afterAutospacing="1" w:line="360" w:lineRule="auto"/>
              <w:rPr>
                <w:rFonts w:asciiTheme="minorHAnsi" w:hAnsiTheme="minorHAnsi"/>
                <w:b/>
                <w:sz w:val="20"/>
              </w:rPr>
            </w:pPr>
            <w:r w:rsidRPr="00092FAE">
              <w:rPr>
                <w:rFonts w:asciiTheme="minorHAnsi" w:hAnsiTheme="minorHAnsi"/>
                <w:b/>
                <w:sz w:val="20"/>
              </w:rPr>
              <w:t>411</w:t>
            </w:r>
          </w:p>
        </w:tc>
        <w:tc>
          <w:tcPr>
            <w:tcW w:w="708" w:type="dxa"/>
          </w:tcPr>
          <w:p w14:paraId="55170766" w14:textId="77777777" w:rsidR="008D631B" w:rsidRPr="00092FAE" w:rsidRDefault="00092FAE" w:rsidP="000479A3">
            <w:pPr>
              <w:spacing w:before="100" w:beforeAutospacing="1" w:after="100" w:afterAutospacing="1" w:line="360" w:lineRule="auto"/>
              <w:rPr>
                <w:rFonts w:asciiTheme="minorHAnsi" w:hAnsiTheme="minorHAnsi"/>
                <w:b/>
                <w:sz w:val="20"/>
              </w:rPr>
            </w:pPr>
            <w:r w:rsidRPr="00092FAE">
              <w:rPr>
                <w:rFonts w:asciiTheme="minorHAnsi" w:hAnsiTheme="minorHAnsi"/>
                <w:b/>
                <w:sz w:val="20"/>
              </w:rPr>
              <w:t>16</w:t>
            </w:r>
          </w:p>
        </w:tc>
        <w:tc>
          <w:tcPr>
            <w:tcW w:w="851" w:type="dxa"/>
          </w:tcPr>
          <w:p w14:paraId="6F83B310" w14:textId="77777777" w:rsidR="008D631B" w:rsidRPr="00092FAE" w:rsidRDefault="00092FAE" w:rsidP="000479A3">
            <w:pPr>
              <w:spacing w:before="100" w:beforeAutospacing="1" w:after="100" w:afterAutospacing="1" w:line="360" w:lineRule="auto"/>
              <w:rPr>
                <w:rFonts w:asciiTheme="minorHAnsi" w:hAnsiTheme="minorHAnsi"/>
                <w:b/>
                <w:sz w:val="20"/>
              </w:rPr>
            </w:pPr>
            <w:r w:rsidRPr="00092FAE">
              <w:rPr>
                <w:rFonts w:asciiTheme="minorHAnsi" w:hAnsiTheme="minorHAnsi"/>
                <w:b/>
                <w:sz w:val="20"/>
              </w:rPr>
              <w:t>981</w:t>
            </w:r>
          </w:p>
        </w:tc>
        <w:tc>
          <w:tcPr>
            <w:tcW w:w="1089" w:type="dxa"/>
          </w:tcPr>
          <w:p w14:paraId="2A7952F1" w14:textId="77777777" w:rsidR="008D631B" w:rsidRPr="00092FAE" w:rsidRDefault="00092FAE" w:rsidP="000479A3">
            <w:pPr>
              <w:spacing w:before="100" w:beforeAutospacing="1" w:after="100" w:afterAutospacing="1" w:line="360" w:lineRule="auto"/>
              <w:rPr>
                <w:rFonts w:asciiTheme="minorHAnsi" w:hAnsiTheme="minorHAnsi"/>
                <w:b/>
                <w:sz w:val="20"/>
              </w:rPr>
            </w:pPr>
            <w:r w:rsidRPr="00092FAE">
              <w:rPr>
                <w:rFonts w:asciiTheme="minorHAnsi" w:hAnsiTheme="minorHAnsi"/>
                <w:b/>
                <w:sz w:val="20"/>
              </w:rPr>
              <w:t>100%</w:t>
            </w:r>
          </w:p>
        </w:tc>
      </w:tr>
    </w:tbl>
    <w:p w14:paraId="56EE06EF" w14:textId="77777777" w:rsidR="008D631B" w:rsidRPr="008D631B" w:rsidRDefault="008D631B" w:rsidP="000479A3">
      <w:pPr>
        <w:spacing w:before="100" w:beforeAutospacing="1" w:after="100" w:afterAutospacing="1" w:line="360" w:lineRule="auto"/>
      </w:pPr>
    </w:p>
    <w:p w14:paraId="048CE003" w14:textId="362E32A4" w:rsidR="008D0CAD" w:rsidRDefault="008D0CAD" w:rsidP="000479A3">
      <w:pPr>
        <w:shd w:val="clear" w:color="auto" w:fill="FFFFFF"/>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bCs/>
          <w:color w:val="000000" w:themeColor="text1"/>
        </w:rPr>
        <w:t>I</w:t>
      </w:r>
      <w:r w:rsidRPr="00E9279A">
        <w:rPr>
          <w:rFonts w:asciiTheme="majorHAnsi" w:hAnsiTheme="majorHAnsi" w:cstheme="majorHAnsi"/>
          <w:bCs/>
          <w:color w:val="000000" w:themeColor="text1"/>
        </w:rPr>
        <w:t xml:space="preserve">n terms of achievements in the </w:t>
      </w:r>
      <w:r w:rsidRPr="00E9279A">
        <w:rPr>
          <w:rFonts w:asciiTheme="majorHAnsi" w:hAnsiTheme="majorHAnsi" w:cstheme="majorHAnsi"/>
          <w:color w:val="000000" w:themeColor="text1"/>
        </w:rPr>
        <w:t>licensure exam</w:t>
      </w:r>
      <w:r>
        <w:rPr>
          <w:rFonts w:asciiTheme="majorHAnsi" w:hAnsiTheme="majorHAnsi" w:cstheme="majorHAnsi"/>
          <w:color w:val="000000" w:themeColor="text1"/>
        </w:rPr>
        <w:t xml:space="preserve"> for teachers (LET)</w:t>
      </w:r>
      <w:r w:rsidRPr="00E9279A">
        <w:rPr>
          <w:rFonts w:asciiTheme="majorHAnsi" w:hAnsiTheme="majorHAnsi" w:cstheme="majorHAnsi"/>
          <w:color w:val="000000" w:themeColor="text1"/>
        </w:rPr>
        <w:t xml:space="preserve">, </w:t>
      </w:r>
      <w:r>
        <w:rPr>
          <w:rFonts w:asciiTheme="majorHAnsi" w:hAnsiTheme="majorHAnsi" w:cstheme="majorHAnsi"/>
          <w:color w:val="000000" w:themeColor="text1"/>
        </w:rPr>
        <w:t>of the 850 scholars that graduated, 694 or 82 per cent passed the licensure exam. These consisted of</w:t>
      </w:r>
      <w:r w:rsidRPr="00E9279A">
        <w:rPr>
          <w:rFonts w:asciiTheme="majorHAnsi" w:hAnsiTheme="majorHAnsi" w:cstheme="majorHAnsi"/>
          <w:color w:val="000000" w:themeColor="text1"/>
        </w:rPr>
        <w:t xml:space="preserve"> 196 male</w:t>
      </w:r>
      <w:r>
        <w:rPr>
          <w:rFonts w:asciiTheme="majorHAnsi" w:hAnsiTheme="majorHAnsi" w:cstheme="majorHAnsi"/>
          <w:color w:val="000000" w:themeColor="text1"/>
        </w:rPr>
        <w:t>s</w:t>
      </w:r>
      <w:r w:rsidRPr="00E9279A">
        <w:rPr>
          <w:rFonts w:asciiTheme="majorHAnsi" w:hAnsiTheme="majorHAnsi" w:cstheme="majorHAnsi"/>
          <w:color w:val="000000" w:themeColor="text1"/>
        </w:rPr>
        <w:t>, 4</w:t>
      </w:r>
      <w:r>
        <w:rPr>
          <w:rFonts w:asciiTheme="majorHAnsi" w:hAnsiTheme="majorHAnsi" w:cstheme="majorHAnsi"/>
          <w:color w:val="000000" w:themeColor="text1"/>
        </w:rPr>
        <w:t>7</w:t>
      </w:r>
      <w:r w:rsidRPr="00E9279A">
        <w:rPr>
          <w:rFonts w:asciiTheme="majorHAnsi" w:hAnsiTheme="majorHAnsi" w:cstheme="majorHAnsi"/>
          <w:color w:val="000000" w:themeColor="text1"/>
        </w:rPr>
        <w:t>8 females</w:t>
      </w:r>
      <w:r>
        <w:rPr>
          <w:rFonts w:asciiTheme="majorHAnsi" w:hAnsiTheme="majorHAnsi" w:cstheme="majorHAnsi"/>
          <w:color w:val="000000" w:themeColor="text1"/>
        </w:rPr>
        <w:t>, of whom</w:t>
      </w:r>
      <w:r w:rsidRPr="00E9279A">
        <w:rPr>
          <w:rFonts w:asciiTheme="majorHAnsi" w:hAnsiTheme="majorHAnsi" w:cstheme="majorHAnsi"/>
          <w:color w:val="000000" w:themeColor="text1"/>
        </w:rPr>
        <w:t xml:space="preserve"> 7</w:t>
      </w:r>
      <w:r>
        <w:rPr>
          <w:rFonts w:asciiTheme="majorHAnsi" w:hAnsiTheme="majorHAnsi" w:cstheme="majorHAnsi"/>
          <w:color w:val="000000" w:themeColor="text1"/>
        </w:rPr>
        <w:t xml:space="preserve"> were</w:t>
      </w:r>
      <w:r w:rsidRPr="00E9279A">
        <w:rPr>
          <w:rFonts w:asciiTheme="majorHAnsi" w:hAnsiTheme="majorHAnsi" w:cstheme="majorHAnsi"/>
          <w:color w:val="000000" w:themeColor="text1"/>
        </w:rPr>
        <w:t xml:space="preserve"> </w:t>
      </w:r>
      <w:r>
        <w:rPr>
          <w:rFonts w:asciiTheme="majorHAnsi" w:hAnsiTheme="majorHAnsi" w:cstheme="majorHAnsi"/>
          <w:color w:val="000000" w:themeColor="text1"/>
        </w:rPr>
        <w:t>people with disabilities and</w:t>
      </w:r>
      <w:r w:rsidRPr="00E9279A">
        <w:rPr>
          <w:rFonts w:asciiTheme="majorHAnsi" w:hAnsiTheme="majorHAnsi" w:cstheme="majorHAnsi"/>
          <w:color w:val="000000" w:themeColor="text1"/>
        </w:rPr>
        <w:t xml:space="preserve"> 13 </w:t>
      </w:r>
      <w:r>
        <w:rPr>
          <w:rFonts w:asciiTheme="majorHAnsi" w:hAnsiTheme="majorHAnsi" w:cstheme="majorHAnsi"/>
          <w:color w:val="000000" w:themeColor="text1"/>
        </w:rPr>
        <w:t xml:space="preserve">identified as indigenous. </w:t>
      </w:r>
      <w:r w:rsidRPr="00E9279A">
        <w:rPr>
          <w:rFonts w:asciiTheme="majorHAnsi" w:hAnsiTheme="majorHAnsi" w:cstheme="majorHAnsi"/>
          <w:color w:val="000000" w:themeColor="text1"/>
        </w:rPr>
        <w:t>Th</w:t>
      </w:r>
      <w:r>
        <w:rPr>
          <w:rFonts w:asciiTheme="majorHAnsi" w:hAnsiTheme="majorHAnsi" w:cstheme="majorHAnsi"/>
          <w:color w:val="000000" w:themeColor="text1"/>
        </w:rPr>
        <w:t>is</w:t>
      </w:r>
      <w:r w:rsidRPr="00E9279A">
        <w:rPr>
          <w:rFonts w:asciiTheme="majorHAnsi" w:hAnsiTheme="majorHAnsi" w:cstheme="majorHAnsi"/>
          <w:color w:val="000000" w:themeColor="text1"/>
        </w:rPr>
        <w:t xml:space="preserve"> passing rate was significantly higher than the 31</w:t>
      </w:r>
      <w:r>
        <w:rPr>
          <w:rFonts w:asciiTheme="majorHAnsi" w:hAnsiTheme="majorHAnsi" w:cstheme="majorHAnsi"/>
          <w:color w:val="000000" w:themeColor="text1"/>
        </w:rPr>
        <w:t xml:space="preserve"> per cent</w:t>
      </w:r>
      <w:r w:rsidRPr="00E9279A">
        <w:rPr>
          <w:rFonts w:asciiTheme="majorHAnsi" w:hAnsiTheme="majorHAnsi" w:cstheme="majorHAnsi"/>
          <w:color w:val="000000" w:themeColor="text1"/>
        </w:rPr>
        <w:t xml:space="preserve"> national average.</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Moreover</w:t>
      </w:r>
      <w:r w:rsidRPr="00E9279A">
        <w:rPr>
          <w:rFonts w:asciiTheme="majorHAnsi" w:hAnsiTheme="majorHAnsi" w:cstheme="majorHAnsi"/>
          <w:color w:val="000000" w:themeColor="text1"/>
        </w:rPr>
        <w:t xml:space="preserve">, five of the </w:t>
      </w:r>
      <w:r>
        <w:rPr>
          <w:rFonts w:asciiTheme="majorHAnsi" w:hAnsiTheme="majorHAnsi" w:cstheme="majorHAnsi"/>
          <w:color w:val="000000" w:themeColor="text1"/>
        </w:rPr>
        <w:t xml:space="preserve">STEP-UP </w:t>
      </w:r>
      <w:r w:rsidRPr="00E9279A">
        <w:rPr>
          <w:rFonts w:asciiTheme="majorHAnsi" w:hAnsiTheme="majorHAnsi" w:cstheme="majorHAnsi"/>
          <w:color w:val="000000" w:themeColor="text1"/>
        </w:rPr>
        <w:t>scholars made it to the top 10 passers of the LET in 2018 while another three made it in 2019.</w:t>
      </w:r>
    </w:p>
    <w:p w14:paraId="2B7A76C2" w14:textId="795A924E" w:rsidR="008D0CAD" w:rsidRDefault="008D0CAD" w:rsidP="000479A3">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color w:val="000000" w:themeColor="text1"/>
        </w:rPr>
        <w:t>O</w:t>
      </w:r>
      <w:r w:rsidRPr="00E9279A">
        <w:rPr>
          <w:rFonts w:asciiTheme="majorHAnsi" w:hAnsiTheme="majorHAnsi" w:cstheme="majorHAnsi"/>
          <w:color w:val="000000" w:themeColor="text1"/>
        </w:rPr>
        <w:t xml:space="preserve">ut of </w:t>
      </w:r>
      <w:r>
        <w:rPr>
          <w:rFonts w:asciiTheme="majorHAnsi" w:hAnsiTheme="majorHAnsi" w:cstheme="majorHAnsi"/>
          <w:color w:val="000000" w:themeColor="text1"/>
        </w:rPr>
        <w:t xml:space="preserve">694 LET passers, </w:t>
      </w:r>
      <w:r w:rsidRPr="00E9279A">
        <w:rPr>
          <w:rFonts w:asciiTheme="majorHAnsi" w:hAnsiTheme="majorHAnsi" w:cstheme="majorHAnsi"/>
          <w:color w:val="000000" w:themeColor="text1"/>
        </w:rPr>
        <w:t xml:space="preserve">58 scholars </w:t>
      </w:r>
      <w:r>
        <w:rPr>
          <w:rFonts w:asciiTheme="majorHAnsi" w:hAnsiTheme="majorHAnsi" w:cstheme="majorHAnsi"/>
          <w:color w:val="000000" w:themeColor="text1"/>
        </w:rPr>
        <w:t>were able to</w:t>
      </w:r>
      <w:r w:rsidRPr="00E9279A">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become </w:t>
      </w:r>
      <w:r w:rsidRPr="00E9279A">
        <w:rPr>
          <w:rFonts w:asciiTheme="majorHAnsi" w:hAnsiTheme="majorHAnsi" w:cstheme="majorHAnsi"/>
          <w:color w:val="000000" w:themeColor="text1"/>
        </w:rPr>
        <w:t>eligible for the registry of qualified applicants</w:t>
      </w:r>
      <w:r>
        <w:rPr>
          <w:rFonts w:asciiTheme="majorHAnsi" w:hAnsiTheme="majorHAnsi" w:cstheme="majorHAnsi"/>
          <w:color w:val="000000" w:themeColor="text1"/>
        </w:rPr>
        <w:t xml:space="preserve"> in DepEd.</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Moreover, 19 per cent (134) of LET passers were recorded as employed by the STEP-UP.</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Of these employed scholars, 28 per cent (38) were employed in non-teaching work, 70 per cent (94) were employed in SUCs and private schools, while 17 per cent (23) were employed in DepEd schools. </w:t>
      </w:r>
    </w:p>
    <w:p w14:paraId="142AB5A3" w14:textId="1D032557" w:rsidR="008D0CAD" w:rsidRPr="00E035C2" w:rsidRDefault="008D0CAD" w:rsidP="000479A3">
      <w:pPr>
        <w:pStyle w:val="Caption"/>
        <w:spacing w:before="100" w:beforeAutospacing="1" w:after="100" w:afterAutospacing="1" w:line="360" w:lineRule="auto"/>
        <w:rPr>
          <w:rFonts w:asciiTheme="majorHAnsi" w:hAnsiTheme="majorHAnsi" w:cstheme="majorHAnsi"/>
          <w:sz w:val="22"/>
          <w:szCs w:val="22"/>
        </w:rPr>
      </w:pPr>
      <w:bookmarkStart w:id="84" w:name="_Toc71616595"/>
      <w:r w:rsidRPr="00CB41E9">
        <w:rPr>
          <w:rFonts w:asciiTheme="majorHAnsi" w:hAnsiTheme="majorHAnsi" w:cstheme="majorHAnsi"/>
          <w:sz w:val="22"/>
          <w:szCs w:val="22"/>
        </w:rPr>
        <w:t xml:space="preserve">Table </w:t>
      </w:r>
      <w:r w:rsidRPr="00CB41E9">
        <w:rPr>
          <w:rFonts w:asciiTheme="majorHAnsi" w:hAnsiTheme="majorHAnsi" w:cstheme="majorHAnsi"/>
          <w:sz w:val="22"/>
          <w:szCs w:val="22"/>
        </w:rPr>
        <w:fldChar w:fldCharType="begin"/>
      </w:r>
      <w:r w:rsidRPr="00CB41E9">
        <w:rPr>
          <w:rFonts w:asciiTheme="majorHAnsi" w:hAnsiTheme="majorHAnsi" w:cstheme="majorHAnsi"/>
          <w:sz w:val="22"/>
          <w:szCs w:val="22"/>
        </w:rPr>
        <w:instrText xml:space="preserve"> SEQ Table \* ARABIC </w:instrText>
      </w:r>
      <w:r w:rsidRPr="00CB41E9">
        <w:rPr>
          <w:rFonts w:asciiTheme="majorHAnsi" w:hAnsiTheme="majorHAnsi" w:cstheme="majorHAnsi"/>
          <w:sz w:val="22"/>
          <w:szCs w:val="22"/>
        </w:rPr>
        <w:fldChar w:fldCharType="separate"/>
      </w:r>
      <w:r w:rsidR="00D6133D">
        <w:rPr>
          <w:rFonts w:asciiTheme="majorHAnsi" w:hAnsiTheme="majorHAnsi" w:cstheme="majorHAnsi"/>
          <w:noProof/>
          <w:sz w:val="22"/>
          <w:szCs w:val="22"/>
        </w:rPr>
        <w:t>4</w:t>
      </w:r>
      <w:r w:rsidRPr="00CB41E9">
        <w:rPr>
          <w:rFonts w:asciiTheme="majorHAnsi" w:hAnsiTheme="majorHAnsi" w:cstheme="majorHAnsi"/>
          <w:sz w:val="22"/>
          <w:szCs w:val="22"/>
        </w:rPr>
        <w:fldChar w:fldCharType="end"/>
      </w:r>
      <w:r w:rsidRPr="00CB41E9">
        <w:rPr>
          <w:rFonts w:asciiTheme="majorHAnsi" w:hAnsiTheme="majorHAnsi" w:cstheme="majorHAnsi"/>
          <w:sz w:val="22"/>
          <w:szCs w:val="22"/>
        </w:rPr>
        <w:t xml:space="preserve">. </w:t>
      </w:r>
      <w:r>
        <w:rPr>
          <w:rFonts w:asciiTheme="majorHAnsi" w:hAnsiTheme="majorHAnsi" w:cstheme="majorHAnsi"/>
          <w:sz w:val="22"/>
          <w:szCs w:val="22"/>
        </w:rPr>
        <w:t>Status of STEP-UP Scholarships (as of April 2019)</w:t>
      </w:r>
      <w:bookmarkEnd w:id="84"/>
      <w:r>
        <w:rPr>
          <w:rFonts w:asciiTheme="majorHAnsi" w:hAnsiTheme="majorHAnsi" w:cstheme="majorHAnsi"/>
          <w:sz w:val="22"/>
          <w:szCs w:val="22"/>
        </w:rPr>
        <w:t xml:space="preserve"> </w:t>
      </w:r>
    </w:p>
    <w:tbl>
      <w:tblPr>
        <w:tblStyle w:val="TableGrid1"/>
        <w:tblW w:w="9498" w:type="dxa"/>
        <w:tblInd w:w="-5" w:type="dxa"/>
        <w:tblLayout w:type="fixed"/>
        <w:tblLook w:val="04A0" w:firstRow="1" w:lastRow="0" w:firstColumn="1" w:lastColumn="0" w:noHBand="0" w:noVBand="1"/>
      </w:tblPr>
      <w:tblGrid>
        <w:gridCol w:w="2127"/>
        <w:gridCol w:w="992"/>
        <w:gridCol w:w="850"/>
        <w:gridCol w:w="709"/>
        <w:gridCol w:w="851"/>
        <w:gridCol w:w="708"/>
        <w:gridCol w:w="851"/>
        <w:gridCol w:w="709"/>
        <w:gridCol w:w="850"/>
        <w:gridCol w:w="851"/>
      </w:tblGrid>
      <w:tr w:rsidR="003C3956" w:rsidRPr="004B064D" w14:paraId="441B2FDC" w14:textId="77777777" w:rsidTr="00F4751F">
        <w:trPr>
          <w:trHeight w:val="811"/>
          <w:tblHeader/>
        </w:trPr>
        <w:tc>
          <w:tcPr>
            <w:tcW w:w="2127" w:type="dxa"/>
            <w:vAlign w:val="center"/>
          </w:tcPr>
          <w:p w14:paraId="4586FACB" w14:textId="77777777" w:rsidR="008F573F" w:rsidRPr="004B064D" w:rsidRDefault="008F573F" w:rsidP="000479A3">
            <w:pPr>
              <w:spacing w:before="100" w:beforeAutospacing="1" w:after="100" w:afterAutospacing="1" w:line="360" w:lineRule="auto"/>
              <w:rPr>
                <w:rFonts w:asciiTheme="minorHAnsi" w:hAnsiTheme="minorHAnsi"/>
                <w:b/>
                <w:bCs/>
                <w:sz w:val="14"/>
                <w:szCs w:val="22"/>
              </w:rPr>
            </w:pPr>
            <w:r w:rsidRPr="004B064D">
              <w:rPr>
                <w:rFonts w:asciiTheme="minorHAnsi" w:hAnsiTheme="minorHAnsi"/>
                <w:b/>
                <w:bCs/>
                <w:sz w:val="14"/>
                <w:szCs w:val="22"/>
              </w:rPr>
              <w:t>TEI</w:t>
            </w:r>
          </w:p>
        </w:tc>
        <w:tc>
          <w:tcPr>
            <w:tcW w:w="992" w:type="dxa"/>
            <w:vAlign w:val="center"/>
          </w:tcPr>
          <w:p w14:paraId="665009A5" w14:textId="77777777" w:rsidR="008F573F" w:rsidRPr="004B064D" w:rsidRDefault="008F573F" w:rsidP="000479A3">
            <w:pPr>
              <w:spacing w:before="100" w:beforeAutospacing="1" w:after="100" w:afterAutospacing="1" w:line="360" w:lineRule="auto"/>
              <w:rPr>
                <w:rFonts w:asciiTheme="minorHAnsi" w:hAnsiTheme="minorHAnsi"/>
                <w:b/>
                <w:bCs/>
                <w:sz w:val="14"/>
                <w:szCs w:val="22"/>
              </w:rPr>
            </w:pPr>
            <w:r w:rsidRPr="004B064D">
              <w:rPr>
                <w:rFonts w:asciiTheme="minorHAnsi" w:hAnsiTheme="minorHAnsi"/>
                <w:b/>
                <w:bCs/>
                <w:sz w:val="14"/>
                <w:szCs w:val="22"/>
              </w:rPr>
              <w:t>TOTAL Onboarded</w:t>
            </w:r>
          </w:p>
        </w:tc>
        <w:tc>
          <w:tcPr>
            <w:tcW w:w="850" w:type="dxa"/>
            <w:vAlign w:val="center"/>
          </w:tcPr>
          <w:p w14:paraId="278EFF38" w14:textId="77777777" w:rsidR="008F573F" w:rsidRPr="004B064D" w:rsidRDefault="008F573F" w:rsidP="000479A3">
            <w:pPr>
              <w:spacing w:before="100" w:beforeAutospacing="1" w:after="100" w:afterAutospacing="1" w:line="360" w:lineRule="auto"/>
              <w:rPr>
                <w:rFonts w:asciiTheme="minorHAnsi" w:hAnsiTheme="minorHAnsi"/>
                <w:b/>
                <w:bCs/>
                <w:sz w:val="14"/>
                <w:szCs w:val="22"/>
              </w:rPr>
            </w:pPr>
            <w:r w:rsidRPr="004B064D">
              <w:rPr>
                <w:rFonts w:asciiTheme="minorHAnsi" w:hAnsiTheme="minorHAnsi"/>
                <w:b/>
                <w:bCs/>
                <w:sz w:val="14"/>
                <w:szCs w:val="22"/>
              </w:rPr>
              <w:t>Course Completer</w:t>
            </w:r>
          </w:p>
        </w:tc>
        <w:tc>
          <w:tcPr>
            <w:tcW w:w="709" w:type="dxa"/>
            <w:vAlign w:val="center"/>
          </w:tcPr>
          <w:p w14:paraId="33E1DFFC" w14:textId="77777777" w:rsidR="008F573F" w:rsidRPr="004B064D" w:rsidRDefault="008F573F" w:rsidP="000479A3">
            <w:pPr>
              <w:spacing w:before="100" w:beforeAutospacing="1" w:after="100" w:afterAutospacing="1" w:line="360" w:lineRule="auto"/>
              <w:rPr>
                <w:rFonts w:asciiTheme="minorHAnsi" w:hAnsiTheme="minorHAnsi"/>
                <w:b/>
                <w:bCs/>
                <w:sz w:val="14"/>
                <w:szCs w:val="22"/>
              </w:rPr>
            </w:pPr>
            <w:r w:rsidRPr="004B064D">
              <w:rPr>
                <w:rFonts w:asciiTheme="minorHAnsi" w:hAnsiTheme="minorHAnsi"/>
                <w:b/>
                <w:bCs/>
                <w:sz w:val="14"/>
                <w:szCs w:val="22"/>
              </w:rPr>
              <w:t>In-school</w:t>
            </w:r>
          </w:p>
        </w:tc>
        <w:tc>
          <w:tcPr>
            <w:tcW w:w="851" w:type="dxa"/>
            <w:vAlign w:val="center"/>
          </w:tcPr>
          <w:p w14:paraId="7B5A9BD0" w14:textId="77777777" w:rsidR="008F573F" w:rsidRPr="004B064D" w:rsidRDefault="008F573F" w:rsidP="000479A3">
            <w:pPr>
              <w:spacing w:before="100" w:beforeAutospacing="1" w:after="100" w:afterAutospacing="1" w:line="360" w:lineRule="auto"/>
              <w:rPr>
                <w:rFonts w:asciiTheme="minorHAnsi" w:hAnsiTheme="minorHAnsi"/>
                <w:b/>
                <w:bCs/>
                <w:sz w:val="14"/>
                <w:szCs w:val="22"/>
              </w:rPr>
            </w:pPr>
            <w:r w:rsidRPr="004B064D">
              <w:rPr>
                <w:rFonts w:asciiTheme="minorHAnsi" w:hAnsiTheme="minorHAnsi"/>
                <w:b/>
                <w:bCs/>
                <w:sz w:val="14"/>
                <w:szCs w:val="22"/>
              </w:rPr>
              <w:t>Dropped</w:t>
            </w:r>
          </w:p>
        </w:tc>
        <w:tc>
          <w:tcPr>
            <w:tcW w:w="708" w:type="dxa"/>
            <w:vAlign w:val="center"/>
          </w:tcPr>
          <w:p w14:paraId="5E186F86" w14:textId="77777777" w:rsidR="008F573F" w:rsidRPr="004B064D" w:rsidRDefault="008F573F" w:rsidP="000479A3">
            <w:pPr>
              <w:spacing w:before="100" w:beforeAutospacing="1" w:after="100" w:afterAutospacing="1" w:line="360" w:lineRule="auto"/>
              <w:rPr>
                <w:rFonts w:asciiTheme="minorHAnsi" w:hAnsiTheme="minorHAnsi"/>
                <w:b/>
                <w:bCs/>
                <w:sz w:val="14"/>
                <w:szCs w:val="22"/>
              </w:rPr>
            </w:pPr>
            <w:r w:rsidRPr="004B064D">
              <w:rPr>
                <w:rFonts w:asciiTheme="minorHAnsi" w:hAnsiTheme="minorHAnsi"/>
                <w:b/>
                <w:bCs/>
                <w:sz w:val="14"/>
                <w:szCs w:val="22"/>
              </w:rPr>
              <w:t>BLEPT Passer</w:t>
            </w:r>
          </w:p>
        </w:tc>
        <w:tc>
          <w:tcPr>
            <w:tcW w:w="851" w:type="dxa"/>
            <w:vAlign w:val="center"/>
          </w:tcPr>
          <w:p w14:paraId="6A7B5659" w14:textId="77777777" w:rsidR="008F573F" w:rsidRPr="004B064D" w:rsidRDefault="008F573F" w:rsidP="000479A3">
            <w:pPr>
              <w:spacing w:before="100" w:beforeAutospacing="1" w:after="100" w:afterAutospacing="1" w:line="360" w:lineRule="auto"/>
              <w:rPr>
                <w:rFonts w:asciiTheme="minorHAnsi" w:hAnsiTheme="minorHAnsi"/>
                <w:b/>
                <w:bCs/>
                <w:sz w:val="14"/>
                <w:szCs w:val="22"/>
              </w:rPr>
            </w:pPr>
            <w:r w:rsidRPr="004B064D">
              <w:rPr>
                <w:rFonts w:asciiTheme="minorHAnsi" w:hAnsiTheme="minorHAnsi"/>
                <w:b/>
                <w:bCs/>
                <w:sz w:val="14"/>
                <w:szCs w:val="22"/>
              </w:rPr>
              <w:t>Total Employed</w:t>
            </w:r>
          </w:p>
        </w:tc>
        <w:tc>
          <w:tcPr>
            <w:tcW w:w="709" w:type="dxa"/>
            <w:vAlign w:val="center"/>
          </w:tcPr>
          <w:p w14:paraId="18AC790A" w14:textId="77777777" w:rsidR="008F573F" w:rsidRPr="004B064D" w:rsidRDefault="008F573F" w:rsidP="000479A3">
            <w:pPr>
              <w:spacing w:before="100" w:beforeAutospacing="1" w:after="100" w:afterAutospacing="1" w:line="360" w:lineRule="auto"/>
              <w:rPr>
                <w:rFonts w:asciiTheme="minorHAnsi" w:hAnsiTheme="minorHAnsi"/>
                <w:b/>
                <w:bCs/>
                <w:sz w:val="14"/>
                <w:szCs w:val="22"/>
              </w:rPr>
            </w:pPr>
            <w:r w:rsidRPr="004B064D">
              <w:rPr>
                <w:rFonts w:asciiTheme="minorHAnsi" w:hAnsiTheme="minorHAnsi"/>
                <w:b/>
                <w:bCs/>
                <w:sz w:val="14"/>
                <w:szCs w:val="22"/>
              </w:rPr>
              <w:t>Non-teaching</w:t>
            </w:r>
          </w:p>
        </w:tc>
        <w:tc>
          <w:tcPr>
            <w:tcW w:w="850" w:type="dxa"/>
            <w:vAlign w:val="center"/>
          </w:tcPr>
          <w:p w14:paraId="2BAC2CE8" w14:textId="77777777" w:rsidR="008F573F" w:rsidRPr="004B064D" w:rsidRDefault="008F573F" w:rsidP="000479A3">
            <w:pPr>
              <w:spacing w:before="100" w:beforeAutospacing="1" w:after="100" w:afterAutospacing="1" w:line="360" w:lineRule="auto"/>
              <w:rPr>
                <w:rFonts w:asciiTheme="minorHAnsi" w:hAnsiTheme="minorHAnsi"/>
                <w:b/>
                <w:bCs/>
                <w:sz w:val="14"/>
                <w:szCs w:val="22"/>
              </w:rPr>
            </w:pPr>
            <w:r w:rsidRPr="004B064D">
              <w:rPr>
                <w:rFonts w:asciiTheme="minorHAnsi" w:hAnsiTheme="minorHAnsi"/>
                <w:b/>
                <w:bCs/>
                <w:sz w:val="14"/>
                <w:szCs w:val="22"/>
              </w:rPr>
              <w:t>Teaching</w:t>
            </w:r>
          </w:p>
        </w:tc>
        <w:tc>
          <w:tcPr>
            <w:tcW w:w="851" w:type="dxa"/>
            <w:vAlign w:val="center"/>
          </w:tcPr>
          <w:p w14:paraId="07438392" w14:textId="77777777" w:rsidR="008F573F" w:rsidRPr="004B064D" w:rsidRDefault="008F573F" w:rsidP="000479A3">
            <w:pPr>
              <w:spacing w:before="100" w:beforeAutospacing="1" w:after="100" w:afterAutospacing="1" w:line="360" w:lineRule="auto"/>
              <w:rPr>
                <w:rFonts w:asciiTheme="minorHAnsi" w:hAnsiTheme="minorHAnsi"/>
                <w:b/>
                <w:bCs/>
                <w:sz w:val="14"/>
                <w:szCs w:val="22"/>
              </w:rPr>
            </w:pPr>
            <w:r w:rsidRPr="004B064D">
              <w:rPr>
                <w:rFonts w:asciiTheme="minorHAnsi" w:hAnsiTheme="minorHAnsi"/>
                <w:b/>
                <w:bCs/>
                <w:sz w:val="14"/>
                <w:szCs w:val="22"/>
              </w:rPr>
              <w:t>Teaching-Public (DepEd)</w:t>
            </w:r>
          </w:p>
        </w:tc>
      </w:tr>
      <w:tr w:rsidR="003C3956" w:rsidRPr="00EB29BE" w14:paraId="0CE595D5" w14:textId="77777777" w:rsidTr="00EB29BE">
        <w:trPr>
          <w:trHeight w:val="268"/>
        </w:trPr>
        <w:tc>
          <w:tcPr>
            <w:tcW w:w="2127" w:type="dxa"/>
          </w:tcPr>
          <w:p w14:paraId="6207F11F" w14:textId="77777777" w:rsidR="008F573F" w:rsidRPr="00EB29BE" w:rsidRDefault="008F573F"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Ateneo De Naga University</w:t>
            </w:r>
          </w:p>
        </w:tc>
        <w:tc>
          <w:tcPr>
            <w:tcW w:w="992" w:type="dxa"/>
          </w:tcPr>
          <w:p w14:paraId="65BA292C"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115</w:t>
            </w:r>
          </w:p>
        </w:tc>
        <w:tc>
          <w:tcPr>
            <w:tcW w:w="850" w:type="dxa"/>
          </w:tcPr>
          <w:p w14:paraId="31CA60F1"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88</w:t>
            </w:r>
          </w:p>
        </w:tc>
        <w:tc>
          <w:tcPr>
            <w:tcW w:w="709" w:type="dxa"/>
          </w:tcPr>
          <w:p w14:paraId="3BF5BCDE"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24</w:t>
            </w:r>
          </w:p>
        </w:tc>
        <w:tc>
          <w:tcPr>
            <w:tcW w:w="851" w:type="dxa"/>
          </w:tcPr>
          <w:p w14:paraId="5D5B56C8"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3</w:t>
            </w:r>
          </w:p>
        </w:tc>
        <w:tc>
          <w:tcPr>
            <w:tcW w:w="708" w:type="dxa"/>
          </w:tcPr>
          <w:p w14:paraId="141D1119"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70</w:t>
            </w:r>
          </w:p>
        </w:tc>
        <w:tc>
          <w:tcPr>
            <w:tcW w:w="851" w:type="dxa"/>
          </w:tcPr>
          <w:p w14:paraId="3A25A8C6"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51</w:t>
            </w:r>
          </w:p>
        </w:tc>
        <w:tc>
          <w:tcPr>
            <w:tcW w:w="709" w:type="dxa"/>
          </w:tcPr>
          <w:p w14:paraId="51C892B7"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26</w:t>
            </w:r>
          </w:p>
        </w:tc>
        <w:tc>
          <w:tcPr>
            <w:tcW w:w="850" w:type="dxa"/>
          </w:tcPr>
          <w:p w14:paraId="16B147B5"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25</w:t>
            </w:r>
          </w:p>
        </w:tc>
        <w:tc>
          <w:tcPr>
            <w:tcW w:w="851" w:type="dxa"/>
          </w:tcPr>
          <w:p w14:paraId="2A189A56"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5</w:t>
            </w:r>
          </w:p>
        </w:tc>
      </w:tr>
      <w:tr w:rsidR="003C3956" w:rsidRPr="00EB29BE" w14:paraId="576D83CC" w14:textId="77777777" w:rsidTr="00EB29BE">
        <w:trPr>
          <w:trHeight w:val="273"/>
        </w:trPr>
        <w:tc>
          <w:tcPr>
            <w:tcW w:w="2127" w:type="dxa"/>
          </w:tcPr>
          <w:p w14:paraId="5EB1D5E2" w14:textId="77777777" w:rsidR="008F573F" w:rsidRPr="00EB29BE" w:rsidRDefault="008F573F"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Ateneo De Zamboanga University</w:t>
            </w:r>
          </w:p>
        </w:tc>
        <w:tc>
          <w:tcPr>
            <w:tcW w:w="992" w:type="dxa"/>
          </w:tcPr>
          <w:p w14:paraId="67672035"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13</w:t>
            </w:r>
          </w:p>
        </w:tc>
        <w:tc>
          <w:tcPr>
            <w:tcW w:w="850" w:type="dxa"/>
          </w:tcPr>
          <w:p w14:paraId="7A4B7AAD"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12</w:t>
            </w:r>
          </w:p>
        </w:tc>
        <w:tc>
          <w:tcPr>
            <w:tcW w:w="709" w:type="dxa"/>
          </w:tcPr>
          <w:p w14:paraId="3CAE2E7E"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0</w:t>
            </w:r>
          </w:p>
        </w:tc>
        <w:tc>
          <w:tcPr>
            <w:tcW w:w="851" w:type="dxa"/>
          </w:tcPr>
          <w:p w14:paraId="013A6421"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1</w:t>
            </w:r>
          </w:p>
        </w:tc>
        <w:tc>
          <w:tcPr>
            <w:tcW w:w="708" w:type="dxa"/>
          </w:tcPr>
          <w:p w14:paraId="381FFCFD"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10</w:t>
            </w:r>
          </w:p>
        </w:tc>
        <w:tc>
          <w:tcPr>
            <w:tcW w:w="851" w:type="dxa"/>
          </w:tcPr>
          <w:p w14:paraId="3E3935D3"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1</w:t>
            </w:r>
          </w:p>
        </w:tc>
        <w:tc>
          <w:tcPr>
            <w:tcW w:w="709" w:type="dxa"/>
          </w:tcPr>
          <w:p w14:paraId="33D2C2A2"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0</w:t>
            </w:r>
          </w:p>
        </w:tc>
        <w:tc>
          <w:tcPr>
            <w:tcW w:w="850" w:type="dxa"/>
          </w:tcPr>
          <w:p w14:paraId="378198AB"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1</w:t>
            </w:r>
          </w:p>
        </w:tc>
        <w:tc>
          <w:tcPr>
            <w:tcW w:w="851" w:type="dxa"/>
          </w:tcPr>
          <w:p w14:paraId="01CAAD78"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0</w:t>
            </w:r>
          </w:p>
        </w:tc>
      </w:tr>
      <w:tr w:rsidR="003C3956" w:rsidRPr="00EB29BE" w14:paraId="06AC8ED3" w14:textId="77777777" w:rsidTr="00EB29BE">
        <w:trPr>
          <w:trHeight w:val="277"/>
        </w:trPr>
        <w:tc>
          <w:tcPr>
            <w:tcW w:w="2127" w:type="dxa"/>
          </w:tcPr>
          <w:p w14:paraId="1F661396" w14:textId="77777777" w:rsidR="008F573F" w:rsidRPr="00EB29BE" w:rsidRDefault="008F573F"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Cebu Normal University</w:t>
            </w:r>
          </w:p>
        </w:tc>
        <w:tc>
          <w:tcPr>
            <w:tcW w:w="992" w:type="dxa"/>
          </w:tcPr>
          <w:p w14:paraId="2A0A303E"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107</w:t>
            </w:r>
          </w:p>
        </w:tc>
        <w:tc>
          <w:tcPr>
            <w:tcW w:w="850" w:type="dxa"/>
          </w:tcPr>
          <w:p w14:paraId="63E990B0"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102</w:t>
            </w:r>
          </w:p>
        </w:tc>
        <w:tc>
          <w:tcPr>
            <w:tcW w:w="709" w:type="dxa"/>
          </w:tcPr>
          <w:p w14:paraId="1260ABCC"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2</w:t>
            </w:r>
          </w:p>
        </w:tc>
        <w:tc>
          <w:tcPr>
            <w:tcW w:w="851" w:type="dxa"/>
          </w:tcPr>
          <w:p w14:paraId="21AB6E41"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3</w:t>
            </w:r>
          </w:p>
        </w:tc>
        <w:tc>
          <w:tcPr>
            <w:tcW w:w="708" w:type="dxa"/>
          </w:tcPr>
          <w:p w14:paraId="48B16F7B"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80</w:t>
            </w:r>
          </w:p>
        </w:tc>
        <w:tc>
          <w:tcPr>
            <w:tcW w:w="851" w:type="dxa"/>
          </w:tcPr>
          <w:p w14:paraId="5A0EA08B"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5</w:t>
            </w:r>
          </w:p>
        </w:tc>
        <w:tc>
          <w:tcPr>
            <w:tcW w:w="709" w:type="dxa"/>
          </w:tcPr>
          <w:p w14:paraId="7E31CCAF"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0</w:t>
            </w:r>
          </w:p>
        </w:tc>
        <w:tc>
          <w:tcPr>
            <w:tcW w:w="850" w:type="dxa"/>
          </w:tcPr>
          <w:p w14:paraId="57864DC2"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2</w:t>
            </w:r>
          </w:p>
        </w:tc>
        <w:tc>
          <w:tcPr>
            <w:tcW w:w="851" w:type="dxa"/>
          </w:tcPr>
          <w:p w14:paraId="5661F2CD"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1</w:t>
            </w:r>
          </w:p>
        </w:tc>
      </w:tr>
      <w:tr w:rsidR="003C3956" w:rsidRPr="00EB29BE" w14:paraId="6544F047" w14:textId="77777777" w:rsidTr="00EB29BE">
        <w:trPr>
          <w:trHeight w:val="267"/>
        </w:trPr>
        <w:tc>
          <w:tcPr>
            <w:tcW w:w="2127" w:type="dxa"/>
          </w:tcPr>
          <w:p w14:paraId="24EFDACB" w14:textId="77777777" w:rsidR="008F573F" w:rsidRPr="00EB29BE" w:rsidRDefault="008F573F"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Mariano Ma</w:t>
            </w:r>
            <w:r w:rsidR="003C3956" w:rsidRPr="00EB29BE">
              <w:rPr>
                <w:rFonts w:asciiTheme="minorHAnsi" w:hAnsiTheme="minorHAnsi"/>
                <w:sz w:val="14"/>
                <w:szCs w:val="22"/>
              </w:rPr>
              <w:t>r</w:t>
            </w:r>
            <w:r w:rsidRPr="00EB29BE">
              <w:rPr>
                <w:rFonts w:asciiTheme="minorHAnsi" w:hAnsiTheme="minorHAnsi"/>
                <w:sz w:val="14"/>
                <w:szCs w:val="22"/>
              </w:rPr>
              <w:t>cos State University</w:t>
            </w:r>
          </w:p>
        </w:tc>
        <w:tc>
          <w:tcPr>
            <w:tcW w:w="992" w:type="dxa"/>
          </w:tcPr>
          <w:p w14:paraId="20A962AF"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30</w:t>
            </w:r>
          </w:p>
        </w:tc>
        <w:tc>
          <w:tcPr>
            <w:tcW w:w="850" w:type="dxa"/>
          </w:tcPr>
          <w:p w14:paraId="1D3B8B40"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26</w:t>
            </w:r>
          </w:p>
        </w:tc>
        <w:tc>
          <w:tcPr>
            <w:tcW w:w="709" w:type="dxa"/>
          </w:tcPr>
          <w:p w14:paraId="1059C828"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4</w:t>
            </w:r>
          </w:p>
        </w:tc>
        <w:tc>
          <w:tcPr>
            <w:tcW w:w="851" w:type="dxa"/>
          </w:tcPr>
          <w:p w14:paraId="5F6058F5"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0</w:t>
            </w:r>
          </w:p>
        </w:tc>
        <w:tc>
          <w:tcPr>
            <w:tcW w:w="708" w:type="dxa"/>
          </w:tcPr>
          <w:p w14:paraId="0E419236"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23</w:t>
            </w:r>
          </w:p>
        </w:tc>
        <w:tc>
          <w:tcPr>
            <w:tcW w:w="851" w:type="dxa"/>
          </w:tcPr>
          <w:p w14:paraId="0492E7FB"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5</w:t>
            </w:r>
          </w:p>
        </w:tc>
        <w:tc>
          <w:tcPr>
            <w:tcW w:w="709" w:type="dxa"/>
          </w:tcPr>
          <w:p w14:paraId="12DA2ACE"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0</w:t>
            </w:r>
          </w:p>
        </w:tc>
        <w:tc>
          <w:tcPr>
            <w:tcW w:w="850" w:type="dxa"/>
          </w:tcPr>
          <w:p w14:paraId="56A8D12A"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2</w:t>
            </w:r>
          </w:p>
        </w:tc>
        <w:tc>
          <w:tcPr>
            <w:tcW w:w="851" w:type="dxa"/>
          </w:tcPr>
          <w:p w14:paraId="256D182B"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1</w:t>
            </w:r>
          </w:p>
        </w:tc>
      </w:tr>
      <w:tr w:rsidR="003C3956" w:rsidRPr="00EB29BE" w14:paraId="7FFF23EC" w14:textId="77777777" w:rsidTr="00EB29BE">
        <w:trPr>
          <w:trHeight w:val="285"/>
        </w:trPr>
        <w:tc>
          <w:tcPr>
            <w:tcW w:w="2127" w:type="dxa"/>
          </w:tcPr>
          <w:p w14:paraId="20C2B8A6" w14:textId="77777777" w:rsidR="008F573F" w:rsidRPr="00EB29BE" w:rsidRDefault="008F573F"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Philippine Normal University</w:t>
            </w:r>
          </w:p>
        </w:tc>
        <w:tc>
          <w:tcPr>
            <w:tcW w:w="992" w:type="dxa"/>
          </w:tcPr>
          <w:p w14:paraId="69327E83"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122</w:t>
            </w:r>
          </w:p>
        </w:tc>
        <w:tc>
          <w:tcPr>
            <w:tcW w:w="850" w:type="dxa"/>
          </w:tcPr>
          <w:p w14:paraId="512C48FF"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97</w:t>
            </w:r>
          </w:p>
        </w:tc>
        <w:tc>
          <w:tcPr>
            <w:tcW w:w="709" w:type="dxa"/>
          </w:tcPr>
          <w:p w14:paraId="2AF93D93"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21</w:t>
            </w:r>
          </w:p>
        </w:tc>
        <w:tc>
          <w:tcPr>
            <w:tcW w:w="851" w:type="dxa"/>
          </w:tcPr>
          <w:p w14:paraId="36BBE933"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4</w:t>
            </w:r>
          </w:p>
        </w:tc>
        <w:tc>
          <w:tcPr>
            <w:tcW w:w="708" w:type="dxa"/>
          </w:tcPr>
          <w:p w14:paraId="61EE173A"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73</w:t>
            </w:r>
          </w:p>
        </w:tc>
        <w:tc>
          <w:tcPr>
            <w:tcW w:w="851" w:type="dxa"/>
          </w:tcPr>
          <w:p w14:paraId="05FDF3C6"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47</w:t>
            </w:r>
          </w:p>
        </w:tc>
        <w:tc>
          <w:tcPr>
            <w:tcW w:w="709" w:type="dxa"/>
          </w:tcPr>
          <w:p w14:paraId="7A7DB563"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7</w:t>
            </w:r>
          </w:p>
        </w:tc>
        <w:tc>
          <w:tcPr>
            <w:tcW w:w="850" w:type="dxa"/>
          </w:tcPr>
          <w:p w14:paraId="43A49B97"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41</w:t>
            </w:r>
          </w:p>
        </w:tc>
        <w:tc>
          <w:tcPr>
            <w:tcW w:w="851" w:type="dxa"/>
          </w:tcPr>
          <w:p w14:paraId="1CF1B6D1"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6</w:t>
            </w:r>
          </w:p>
        </w:tc>
      </w:tr>
      <w:tr w:rsidR="003C3956" w:rsidRPr="00EB29BE" w14:paraId="6AAAD1E1" w14:textId="77777777" w:rsidTr="00EB29BE">
        <w:trPr>
          <w:trHeight w:val="275"/>
        </w:trPr>
        <w:tc>
          <w:tcPr>
            <w:tcW w:w="2127" w:type="dxa"/>
          </w:tcPr>
          <w:p w14:paraId="7A12172E" w14:textId="77777777" w:rsidR="008F573F" w:rsidRPr="00EB29BE" w:rsidRDefault="008F573F"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University of Santo Tomas</w:t>
            </w:r>
          </w:p>
        </w:tc>
        <w:tc>
          <w:tcPr>
            <w:tcW w:w="992" w:type="dxa"/>
          </w:tcPr>
          <w:p w14:paraId="2310490E"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201</w:t>
            </w:r>
          </w:p>
        </w:tc>
        <w:tc>
          <w:tcPr>
            <w:tcW w:w="850" w:type="dxa"/>
          </w:tcPr>
          <w:p w14:paraId="42CF75FA"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191</w:t>
            </w:r>
          </w:p>
        </w:tc>
        <w:tc>
          <w:tcPr>
            <w:tcW w:w="709" w:type="dxa"/>
          </w:tcPr>
          <w:p w14:paraId="2BEDD422"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0</w:t>
            </w:r>
          </w:p>
        </w:tc>
        <w:tc>
          <w:tcPr>
            <w:tcW w:w="851" w:type="dxa"/>
          </w:tcPr>
          <w:p w14:paraId="5DEFEDCC"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10</w:t>
            </w:r>
          </w:p>
        </w:tc>
        <w:tc>
          <w:tcPr>
            <w:tcW w:w="708" w:type="dxa"/>
          </w:tcPr>
          <w:p w14:paraId="588295F5"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162</w:t>
            </w:r>
          </w:p>
        </w:tc>
        <w:tc>
          <w:tcPr>
            <w:tcW w:w="851" w:type="dxa"/>
          </w:tcPr>
          <w:p w14:paraId="24BFB298"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2</w:t>
            </w:r>
          </w:p>
        </w:tc>
        <w:tc>
          <w:tcPr>
            <w:tcW w:w="709" w:type="dxa"/>
          </w:tcPr>
          <w:p w14:paraId="69333BD8"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0</w:t>
            </w:r>
          </w:p>
        </w:tc>
        <w:tc>
          <w:tcPr>
            <w:tcW w:w="850" w:type="dxa"/>
          </w:tcPr>
          <w:p w14:paraId="6D8BCA5F"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2</w:t>
            </w:r>
          </w:p>
        </w:tc>
        <w:tc>
          <w:tcPr>
            <w:tcW w:w="851" w:type="dxa"/>
          </w:tcPr>
          <w:p w14:paraId="26DF96D9"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1</w:t>
            </w:r>
          </w:p>
        </w:tc>
      </w:tr>
      <w:tr w:rsidR="003C3956" w:rsidRPr="00EB29BE" w14:paraId="20CDBEAE" w14:textId="77777777" w:rsidTr="00EB29BE">
        <w:trPr>
          <w:trHeight w:val="434"/>
        </w:trPr>
        <w:tc>
          <w:tcPr>
            <w:tcW w:w="2127" w:type="dxa"/>
          </w:tcPr>
          <w:p w14:paraId="364296C8" w14:textId="77777777" w:rsidR="008F573F" w:rsidRPr="00EB29BE" w:rsidRDefault="008F573F"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University of Southeastern Philippines-Obrero</w:t>
            </w:r>
          </w:p>
        </w:tc>
        <w:tc>
          <w:tcPr>
            <w:tcW w:w="992" w:type="dxa"/>
          </w:tcPr>
          <w:p w14:paraId="339F3BAB"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96</w:t>
            </w:r>
          </w:p>
        </w:tc>
        <w:tc>
          <w:tcPr>
            <w:tcW w:w="850" w:type="dxa"/>
          </w:tcPr>
          <w:p w14:paraId="7EC0CDC2"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86</w:t>
            </w:r>
          </w:p>
        </w:tc>
        <w:tc>
          <w:tcPr>
            <w:tcW w:w="709" w:type="dxa"/>
          </w:tcPr>
          <w:p w14:paraId="45A285FC"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6</w:t>
            </w:r>
          </w:p>
        </w:tc>
        <w:tc>
          <w:tcPr>
            <w:tcW w:w="851" w:type="dxa"/>
          </w:tcPr>
          <w:p w14:paraId="06FAEDCA"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4</w:t>
            </w:r>
          </w:p>
        </w:tc>
        <w:tc>
          <w:tcPr>
            <w:tcW w:w="708" w:type="dxa"/>
          </w:tcPr>
          <w:p w14:paraId="63811EAB"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77</w:t>
            </w:r>
          </w:p>
        </w:tc>
        <w:tc>
          <w:tcPr>
            <w:tcW w:w="851" w:type="dxa"/>
          </w:tcPr>
          <w:p w14:paraId="6B82807A"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0</w:t>
            </w:r>
          </w:p>
        </w:tc>
        <w:tc>
          <w:tcPr>
            <w:tcW w:w="709" w:type="dxa"/>
          </w:tcPr>
          <w:p w14:paraId="0887B9EA"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0</w:t>
            </w:r>
          </w:p>
        </w:tc>
        <w:tc>
          <w:tcPr>
            <w:tcW w:w="850" w:type="dxa"/>
          </w:tcPr>
          <w:p w14:paraId="59F40792"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0</w:t>
            </w:r>
          </w:p>
        </w:tc>
        <w:tc>
          <w:tcPr>
            <w:tcW w:w="851" w:type="dxa"/>
          </w:tcPr>
          <w:p w14:paraId="01D34369"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0</w:t>
            </w:r>
          </w:p>
        </w:tc>
      </w:tr>
      <w:tr w:rsidR="003C3956" w:rsidRPr="00EB29BE" w14:paraId="2B3ECB78" w14:textId="77777777" w:rsidTr="00EB29BE">
        <w:trPr>
          <w:trHeight w:val="398"/>
        </w:trPr>
        <w:tc>
          <w:tcPr>
            <w:tcW w:w="2127" w:type="dxa"/>
          </w:tcPr>
          <w:p w14:paraId="1018E126" w14:textId="77777777" w:rsidR="008F573F" w:rsidRPr="00EB29BE" w:rsidRDefault="008F573F"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University of Southeastern Philippines-Tagum</w:t>
            </w:r>
          </w:p>
        </w:tc>
        <w:tc>
          <w:tcPr>
            <w:tcW w:w="992" w:type="dxa"/>
          </w:tcPr>
          <w:p w14:paraId="2582214F"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54</w:t>
            </w:r>
          </w:p>
        </w:tc>
        <w:tc>
          <w:tcPr>
            <w:tcW w:w="850" w:type="dxa"/>
          </w:tcPr>
          <w:p w14:paraId="0C449783"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42</w:t>
            </w:r>
          </w:p>
        </w:tc>
        <w:tc>
          <w:tcPr>
            <w:tcW w:w="709" w:type="dxa"/>
          </w:tcPr>
          <w:p w14:paraId="3E753ED4"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8</w:t>
            </w:r>
          </w:p>
        </w:tc>
        <w:tc>
          <w:tcPr>
            <w:tcW w:w="851" w:type="dxa"/>
          </w:tcPr>
          <w:p w14:paraId="32F8145F"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4</w:t>
            </w:r>
          </w:p>
        </w:tc>
        <w:tc>
          <w:tcPr>
            <w:tcW w:w="708" w:type="dxa"/>
          </w:tcPr>
          <w:p w14:paraId="723253AE"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34</w:t>
            </w:r>
          </w:p>
        </w:tc>
        <w:tc>
          <w:tcPr>
            <w:tcW w:w="851" w:type="dxa"/>
          </w:tcPr>
          <w:p w14:paraId="0FC12BE1"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9</w:t>
            </w:r>
          </w:p>
        </w:tc>
        <w:tc>
          <w:tcPr>
            <w:tcW w:w="709" w:type="dxa"/>
          </w:tcPr>
          <w:p w14:paraId="00BD1F59"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4</w:t>
            </w:r>
          </w:p>
        </w:tc>
        <w:tc>
          <w:tcPr>
            <w:tcW w:w="850" w:type="dxa"/>
          </w:tcPr>
          <w:p w14:paraId="72684D2E"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5</w:t>
            </w:r>
          </w:p>
        </w:tc>
        <w:tc>
          <w:tcPr>
            <w:tcW w:w="851" w:type="dxa"/>
          </w:tcPr>
          <w:p w14:paraId="2665D23A"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1</w:t>
            </w:r>
          </w:p>
        </w:tc>
      </w:tr>
      <w:tr w:rsidR="003C3956" w:rsidRPr="00EB29BE" w14:paraId="2702CE0D" w14:textId="77777777" w:rsidTr="00EB29BE">
        <w:trPr>
          <w:trHeight w:val="265"/>
        </w:trPr>
        <w:tc>
          <w:tcPr>
            <w:tcW w:w="2127" w:type="dxa"/>
          </w:tcPr>
          <w:p w14:paraId="2310909D" w14:textId="77777777" w:rsidR="008F573F" w:rsidRPr="00EB29BE" w:rsidRDefault="008F573F"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West Visayas State University</w:t>
            </w:r>
          </w:p>
        </w:tc>
        <w:tc>
          <w:tcPr>
            <w:tcW w:w="992" w:type="dxa"/>
          </w:tcPr>
          <w:p w14:paraId="4D889E97"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161</w:t>
            </w:r>
          </w:p>
        </w:tc>
        <w:tc>
          <w:tcPr>
            <w:tcW w:w="850" w:type="dxa"/>
          </w:tcPr>
          <w:p w14:paraId="0D38F29B"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148</w:t>
            </w:r>
          </w:p>
        </w:tc>
        <w:tc>
          <w:tcPr>
            <w:tcW w:w="709" w:type="dxa"/>
          </w:tcPr>
          <w:p w14:paraId="5CBFDF6D"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8</w:t>
            </w:r>
          </w:p>
        </w:tc>
        <w:tc>
          <w:tcPr>
            <w:tcW w:w="851" w:type="dxa"/>
          </w:tcPr>
          <w:p w14:paraId="47EB3E80"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5</w:t>
            </w:r>
          </w:p>
        </w:tc>
        <w:tc>
          <w:tcPr>
            <w:tcW w:w="708" w:type="dxa"/>
          </w:tcPr>
          <w:p w14:paraId="26C98F8A"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120</w:t>
            </w:r>
          </w:p>
        </w:tc>
        <w:tc>
          <w:tcPr>
            <w:tcW w:w="851" w:type="dxa"/>
          </w:tcPr>
          <w:p w14:paraId="1D946F36"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0</w:t>
            </w:r>
          </w:p>
        </w:tc>
        <w:tc>
          <w:tcPr>
            <w:tcW w:w="709" w:type="dxa"/>
          </w:tcPr>
          <w:p w14:paraId="627B286E"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0</w:t>
            </w:r>
          </w:p>
        </w:tc>
        <w:tc>
          <w:tcPr>
            <w:tcW w:w="850" w:type="dxa"/>
          </w:tcPr>
          <w:p w14:paraId="29CAFE8C"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0</w:t>
            </w:r>
          </w:p>
        </w:tc>
        <w:tc>
          <w:tcPr>
            <w:tcW w:w="851" w:type="dxa"/>
          </w:tcPr>
          <w:p w14:paraId="6B93FAA0"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0</w:t>
            </w:r>
          </w:p>
        </w:tc>
      </w:tr>
      <w:tr w:rsidR="003C3956" w:rsidRPr="00EB29BE" w14:paraId="5F4A6800" w14:textId="77777777" w:rsidTr="00EB29BE">
        <w:trPr>
          <w:trHeight w:val="269"/>
        </w:trPr>
        <w:tc>
          <w:tcPr>
            <w:tcW w:w="2127" w:type="dxa"/>
          </w:tcPr>
          <w:p w14:paraId="31A7A15D" w14:textId="77777777" w:rsidR="008F573F" w:rsidRPr="00EB29BE" w:rsidRDefault="008F573F"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Xavier University-Ateneo De Cagayan</w:t>
            </w:r>
          </w:p>
        </w:tc>
        <w:tc>
          <w:tcPr>
            <w:tcW w:w="992" w:type="dxa"/>
          </w:tcPr>
          <w:p w14:paraId="06E6420F"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82</w:t>
            </w:r>
          </w:p>
        </w:tc>
        <w:tc>
          <w:tcPr>
            <w:tcW w:w="850" w:type="dxa"/>
          </w:tcPr>
          <w:p w14:paraId="4A80E1AF"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58</w:t>
            </w:r>
          </w:p>
        </w:tc>
        <w:tc>
          <w:tcPr>
            <w:tcW w:w="709" w:type="dxa"/>
          </w:tcPr>
          <w:p w14:paraId="4D5EE52B"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15</w:t>
            </w:r>
          </w:p>
        </w:tc>
        <w:tc>
          <w:tcPr>
            <w:tcW w:w="851" w:type="dxa"/>
          </w:tcPr>
          <w:p w14:paraId="4C8A805B"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9</w:t>
            </w:r>
          </w:p>
        </w:tc>
        <w:tc>
          <w:tcPr>
            <w:tcW w:w="708" w:type="dxa"/>
          </w:tcPr>
          <w:p w14:paraId="786B05D0"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45</w:t>
            </w:r>
          </w:p>
        </w:tc>
        <w:tc>
          <w:tcPr>
            <w:tcW w:w="851" w:type="dxa"/>
          </w:tcPr>
          <w:p w14:paraId="3CCAE5D6"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14</w:t>
            </w:r>
          </w:p>
        </w:tc>
        <w:tc>
          <w:tcPr>
            <w:tcW w:w="709" w:type="dxa"/>
          </w:tcPr>
          <w:p w14:paraId="4EE02486"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1</w:t>
            </w:r>
          </w:p>
        </w:tc>
        <w:tc>
          <w:tcPr>
            <w:tcW w:w="850" w:type="dxa"/>
          </w:tcPr>
          <w:p w14:paraId="07E60419"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13</w:t>
            </w:r>
          </w:p>
        </w:tc>
        <w:tc>
          <w:tcPr>
            <w:tcW w:w="851" w:type="dxa"/>
          </w:tcPr>
          <w:p w14:paraId="1E37D746" w14:textId="77777777" w:rsidR="008F573F" w:rsidRPr="00EB29BE" w:rsidRDefault="00E035C2" w:rsidP="000479A3">
            <w:pPr>
              <w:spacing w:before="100" w:beforeAutospacing="1" w:after="100" w:afterAutospacing="1" w:line="360" w:lineRule="auto"/>
              <w:rPr>
                <w:rFonts w:asciiTheme="minorHAnsi" w:hAnsiTheme="minorHAnsi"/>
                <w:sz w:val="14"/>
                <w:szCs w:val="22"/>
              </w:rPr>
            </w:pPr>
            <w:r w:rsidRPr="00EB29BE">
              <w:rPr>
                <w:rFonts w:asciiTheme="minorHAnsi" w:hAnsiTheme="minorHAnsi"/>
                <w:sz w:val="14"/>
                <w:szCs w:val="22"/>
              </w:rPr>
              <w:t>4</w:t>
            </w:r>
          </w:p>
        </w:tc>
      </w:tr>
      <w:tr w:rsidR="003C3956" w:rsidRPr="00EB29BE" w14:paraId="3D3BFE48" w14:textId="77777777" w:rsidTr="00EB29BE">
        <w:trPr>
          <w:trHeight w:val="287"/>
        </w:trPr>
        <w:tc>
          <w:tcPr>
            <w:tcW w:w="2127" w:type="dxa"/>
          </w:tcPr>
          <w:p w14:paraId="4484C475" w14:textId="77777777" w:rsidR="008F573F" w:rsidRPr="00EB29BE" w:rsidRDefault="008F573F" w:rsidP="000479A3">
            <w:pPr>
              <w:spacing w:before="100" w:beforeAutospacing="1" w:after="100" w:afterAutospacing="1" w:line="360" w:lineRule="auto"/>
              <w:rPr>
                <w:rFonts w:asciiTheme="minorHAnsi" w:hAnsiTheme="minorHAnsi"/>
                <w:b/>
                <w:sz w:val="14"/>
                <w:szCs w:val="22"/>
              </w:rPr>
            </w:pPr>
            <w:r w:rsidRPr="00EB29BE">
              <w:rPr>
                <w:rFonts w:asciiTheme="minorHAnsi" w:hAnsiTheme="minorHAnsi"/>
                <w:b/>
                <w:sz w:val="14"/>
                <w:szCs w:val="22"/>
              </w:rPr>
              <w:t>Grand Total</w:t>
            </w:r>
          </w:p>
        </w:tc>
        <w:tc>
          <w:tcPr>
            <w:tcW w:w="992" w:type="dxa"/>
          </w:tcPr>
          <w:p w14:paraId="34718B08" w14:textId="77777777" w:rsidR="008F573F" w:rsidRPr="00EB29BE" w:rsidRDefault="00E035C2" w:rsidP="000479A3">
            <w:pPr>
              <w:spacing w:before="100" w:beforeAutospacing="1" w:after="100" w:afterAutospacing="1" w:line="360" w:lineRule="auto"/>
              <w:rPr>
                <w:rFonts w:asciiTheme="minorHAnsi" w:hAnsiTheme="minorHAnsi"/>
                <w:b/>
                <w:sz w:val="14"/>
                <w:szCs w:val="22"/>
              </w:rPr>
            </w:pPr>
            <w:r w:rsidRPr="00EB29BE">
              <w:rPr>
                <w:rFonts w:asciiTheme="minorHAnsi" w:hAnsiTheme="minorHAnsi"/>
                <w:b/>
                <w:sz w:val="14"/>
                <w:szCs w:val="22"/>
              </w:rPr>
              <w:t>981</w:t>
            </w:r>
          </w:p>
        </w:tc>
        <w:tc>
          <w:tcPr>
            <w:tcW w:w="850" w:type="dxa"/>
          </w:tcPr>
          <w:p w14:paraId="02EF732C" w14:textId="77777777" w:rsidR="008F573F" w:rsidRPr="00EB29BE" w:rsidRDefault="00E035C2" w:rsidP="000479A3">
            <w:pPr>
              <w:spacing w:before="100" w:beforeAutospacing="1" w:after="100" w:afterAutospacing="1" w:line="360" w:lineRule="auto"/>
              <w:rPr>
                <w:rFonts w:asciiTheme="minorHAnsi" w:hAnsiTheme="minorHAnsi"/>
                <w:b/>
                <w:sz w:val="14"/>
                <w:szCs w:val="22"/>
              </w:rPr>
            </w:pPr>
            <w:r w:rsidRPr="00EB29BE">
              <w:rPr>
                <w:rFonts w:asciiTheme="minorHAnsi" w:hAnsiTheme="minorHAnsi"/>
                <w:b/>
                <w:sz w:val="14"/>
                <w:szCs w:val="22"/>
              </w:rPr>
              <w:t>850</w:t>
            </w:r>
          </w:p>
        </w:tc>
        <w:tc>
          <w:tcPr>
            <w:tcW w:w="709" w:type="dxa"/>
          </w:tcPr>
          <w:p w14:paraId="37221A7A" w14:textId="77777777" w:rsidR="008F573F" w:rsidRPr="00EB29BE" w:rsidRDefault="00E035C2" w:rsidP="000479A3">
            <w:pPr>
              <w:spacing w:before="100" w:beforeAutospacing="1" w:after="100" w:afterAutospacing="1" w:line="360" w:lineRule="auto"/>
              <w:rPr>
                <w:rFonts w:asciiTheme="minorHAnsi" w:hAnsiTheme="minorHAnsi"/>
                <w:b/>
                <w:sz w:val="14"/>
                <w:szCs w:val="22"/>
              </w:rPr>
            </w:pPr>
            <w:r w:rsidRPr="00EB29BE">
              <w:rPr>
                <w:rFonts w:asciiTheme="minorHAnsi" w:hAnsiTheme="minorHAnsi"/>
                <w:b/>
                <w:sz w:val="14"/>
                <w:szCs w:val="22"/>
              </w:rPr>
              <w:t>88</w:t>
            </w:r>
          </w:p>
        </w:tc>
        <w:tc>
          <w:tcPr>
            <w:tcW w:w="851" w:type="dxa"/>
          </w:tcPr>
          <w:p w14:paraId="325E9CB4" w14:textId="77777777" w:rsidR="008F573F" w:rsidRPr="00EB29BE" w:rsidRDefault="00E035C2" w:rsidP="000479A3">
            <w:pPr>
              <w:spacing w:before="100" w:beforeAutospacing="1" w:after="100" w:afterAutospacing="1" w:line="360" w:lineRule="auto"/>
              <w:rPr>
                <w:rFonts w:asciiTheme="minorHAnsi" w:hAnsiTheme="minorHAnsi"/>
                <w:b/>
                <w:sz w:val="14"/>
                <w:szCs w:val="22"/>
              </w:rPr>
            </w:pPr>
            <w:r w:rsidRPr="00EB29BE">
              <w:rPr>
                <w:rFonts w:asciiTheme="minorHAnsi" w:hAnsiTheme="minorHAnsi"/>
                <w:b/>
                <w:sz w:val="14"/>
                <w:szCs w:val="22"/>
              </w:rPr>
              <w:t>43</w:t>
            </w:r>
          </w:p>
        </w:tc>
        <w:tc>
          <w:tcPr>
            <w:tcW w:w="708" w:type="dxa"/>
          </w:tcPr>
          <w:p w14:paraId="72AE82D3" w14:textId="77777777" w:rsidR="008F573F" w:rsidRPr="00EB29BE" w:rsidRDefault="00E035C2" w:rsidP="000479A3">
            <w:pPr>
              <w:spacing w:before="100" w:beforeAutospacing="1" w:after="100" w:afterAutospacing="1" w:line="360" w:lineRule="auto"/>
              <w:rPr>
                <w:rFonts w:asciiTheme="minorHAnsi" w:hAnsiTheme="minorHAnsi"/>
                <w:b/>
                <w:sz w:val="14"/>
                <w:szCs w:val="22"/>
              </w:rPr>
            </w:pPr>
            <w:r w:rsidRPr="00EB29BE">
              <w:rPr>
                <w:rFonts w:asciiTheme="minorHAnsi" w:hAnsiTheme="minorHAnsi"/>
                <w:b/>
                <w:sz w:val="14"/>
                <w:szCs w:val="22"/>
              </w:rPr>
              <w:t>694</w:t>
            </w:r>
          </w:p>
        </w:tc>
        <w:tc>
          <w:tcPr>
            <w:tcW w:w="851" w:type="dxa"/>
          </w:tcPr>
          <w:p w14:paraId="2BDDC5E6" w14:textId="77777777" w:rsidR="008F573F" w:rsidRPr="00EB29BE" w:rsidRDefault="00E035C2" w:rsidP="000479A3">
            <w:pPr>
              <w:spacing w:before="100" w:beforeAutospacing="1" w:after="100" w:afterAutospacing="1" w:line="360" w:lineRule="auto"/>
              <w:rPr>
                <w:rFonts w:asciiTheme="minorHAnsi" w:hAnsiTheme="minorHAnsi"/>
                <w:b/>
                <w:sz w:val="14"/>
                <w:szCs w:val="22"/>
              </w:rPr>
            </w:pPr>
            <w:r w:rsidRPr="00EB29BE">
              <w:rPr>
                <w:rFonts w:asciiTheme="minorHAnsi" w:hAnsiTheme="minorHAnsi"/>
                <w:b/>
                <w:sz w:val="14"/>
                <w:szCs w:val="22"/>
              </w:rPr>
              <w:t>134</w:t>
            </w:r>
          </w:p>
        </w:tc>
        <w:tc>
          <w:tcPr>
            <w:tcW w:w="709" w:type="dxa"/>
          </w:tcPr>
          <w:p w14:paraId="75FDDC19" w14:textId="77777777" w:rsidR="008F573F" w:rsidRPr="00EB29BE" w:rsidRDefault="00E035C2" w:rsidP="000479A3">
            <w:pPr>
              <w:spacing w:before="100" w:beforeAutospacing="1" w:after="100" w:afterAutospacing="1" w:line="360" w:lineRule="auto"/>
              <w:rPr>
                <w:rFonts w:asciiTheme="minorHAnsi" w:hAnsiTheme="minorHAnsi"/>
                <w:b/>
                <w:sz w:val="14"/>
                <w:szCs w:val="22"/>
              </w:rPr>
            </w:pPr>
            <w:r w:rsidRPr="00EB29BE">
              <w:rPr>
                <w:rFonts w:asciiTheme="minorHAnsi" w:hAnsiTheme="minorHAnsi"/>
                <w:b/>
                <w:sz w:val="14"/>
                <w:szCs w:val="22"/>
              </w:rPr>
              <w:t>38</w:t>
            </w:r>
          </w:p>
        </w:tc>
        <w:tc>
          <w:tcPr>
            <w:tcW w:w="850" w:type="dxa"/>
          </w:tcPr>
          <w:p w14:paraId="26F1993A" w14:textId="77777777" w:rsidR="008F573F" w:rsidRPr="00EB29BE" w:rsidRDefault="00E035C2" w:rsidP="000479A3">
            <w:pPr>
              <w:spacing w:before="100" w:beforeAutospacing="1" w:after="100" w:afterAutospacing="1" w:line="360" w:lineRule="auto"/>
              <w:rPr>
                <w:rFonts w:asciiTheme="minorHAnsi" w:hAnsiTheme="minorHAnsi"/>
                <w:b/>
                <w:sz w:val="14"/>
                <w:szCs w:val="22"/>
              </w:rPr>
            </w:pPr>
            <w:r w:rsidRPr="00EB29BE">
              <w:rPr>
                <w:rFonts w:asciiTheme="minorHAnsi" w:hAnsiTheme="minorHAnsi"/>
                <w:b/>
                <w:sz w:val="14"/>
                <w:szCs w:val="22"/>
              </w:rPr>
              <w:t>94</w:t>
            </w:r>
          </w:p>
        </w:tc>
        <w:tc>
          <w:tcPr>
            <w:tcW w:w="851" w:type="dxa"/>
          </w:tcPr>
          <w:p w14:paraId="1D902083" w14:textId="77777777" w:rsidR="008F573F" w:rsidRPr="00EB29BE" w:rsidRDefault="00E035C2" w:rsidP="000479A3">
            <w:pPr>
              <w:spacing w:before="100" w:beforeAutospacing="1" w:after="100" w:afterAutospacing="1" w:line="360" w:lineRule="auto"/>
              <w:rPr>
                <w:rFonts w:asciiTheme="minorHAnsi" w:hAnsiTheme="minorHAnsi"/>
                <w:b/>
                <w:sz w:val="14"/>
                <w:szCs w:val="22"/>
              </w:rPr>
            </w:pPr>
            <w:r w:rsidRPr="00EB29BE">
              <w:rPr>
                <w:rFonts w:asciiTheme="minorHAnsi" w:hAnsiTheme="minorHAnsi"/>
                <w:b/>
                <w:sz w:val="14"/>
                <w:szCs w:val="22"/>
              </w:rPr>
              <w:t>23</w:t>
            </w:r>
          </w:p>
        </w:tc>
      </w:tr>
      <w:tr w:rsidR="00E035C2" w:rsidRPr="00EB29BE" w14:paraId="574E23B4" w14:textId="77777777" w:rsidTr="00EB29BE">
        <w:trPr>
          <w:trHeight w:val="287"/>
        </w:trPr>
        <w:tc>
          <w:tcPr>
            <w:tcW w:w="2127" w:type="dxa"/>
          </w:tcPr>
          <w:p w14:paraId="4196EEF1" w14:textId="77777777" w:rsidR="00E035C2" w:rsidRPr="00EB29BE" w:rsidRDefault="00E035C2" w:rsidP="000479A3">
            <w:pPr>
              <w:spacing w:before="100" w:beforeAutospacing="1" w:after="100" w:afterAutospacing="1" w:line="360" w:lineRule="auto"/>
              <w:rPr>
                <w:rFonts w:asciiTheme="minorHAnsi" w:hAnsiTheme="minorHAnsi"/>
                <w:b/>
                <w:sz w:val="14"/>
                <w:szCs w:val="22"/>
              </w:rPr>
            </w:pPr>
          </w:p>
        </w:tc>
        <w:tc>
          <w:tcPr>
            <w:tcW w:w="992" w:type="dxa"/>
          </w:tcPr>
          <w:p w14:paraId="565964C6" w14:textId="77777777" w:rsidR="00E035C2" w:rsidRPr="00EB29BE" w:rsidRDefault="00E035C2" w:rsidP="000479A3">
            <w:pPr>
              <w:spacing w:before="100" w:beforeAutospacing="1" w:after="100" w:afterAutospacing="1" w:line="360" w:lineRule="auto"/>
              <w:rPr>
                <w:rFonts w:asciiTheme="minorHAnsi" w:hAnsiTheme="minorHAnsi"/>
                <w:b/>
                <w:sz w:val="14"/>
                <w:szCs w:val="22"/>
              </w:rPr>
            </w:pPr>
          </w:p>
        </w:tc>
        <w:tc>
          <w:tcPr>
            <w:tcW w:w="850" w:type="dxa"/>
          </w:tcPr>
          <w:p w14:paraId="3E7BD5DF" w14:textId="77777777" w:rsidR="00E035C2" w:rsidRPr="00EB29BE" w:rsidRDefault="00E035C2" w:rsidP="000479A3">
            <w:pPr>
              <w:spacing w:before="100" w:beforeAutospacing="1" w:after="100" w:afterAutospacing="1" w:line="360" w:lineRule="auto"/>
              <w:rPr>
                <w:rFonts w:asciiTheme="minorHAnsi" w:hAnsiTheme="minorHAnsi"/>
                <w:b/>
                <w:sz w:val="14"/>
                <w:szCs w:val="22"/>
              </w:rPr>
            </w:pPr>
            <w:r w:rsidRPr="00EB29BE">
              <w:rPr>
                <w:rFonts w:asciiTheme="minorHAnsi" w:hAnsiTheme="minorHAnsi"/>
                <w:b/>
                <w:sz w:val="14"/>
                <w:szCs w:val="22"/>
              </w:rPr>
              <w:t>87%</w:t>
            </w:r>
          </w:p>
        </w:tc>
        <w:tc>
          <w:tcPr>
            <w:tcW w:w="709" w:type="dxa"/>
          </w:tcPr>
          <w:p w14:paraId="2FC8B2F7" w14:textId="77777777" w:rsidR="00E035C2" w:rsidRPr="00EB29BE" w:rsidRDefault="00E035C2" w:rsidP="000479A3">
            <w:pPr>
              <w:spacing w:before="100" w:beforeAutospacing="1" w:after="100" w:afterAutospacing="1" w:line="360" w:lineRule="auto"/>
              <w:rPr>
                <w:rFonts w:asciiTheme="minorHAnsi" w:hAnsiTheme="minorHAnsi"/>
                <w:b/>
                <w:sz w:val="14"/>
                <w:szCs w:val="22"/>
              </w:rPr>
            </w:pPr>
          </w:p>
        </w:tc>
        <w:tc>
          <w:tcPr>
            <w:tcW w:w="851" w:type="dxa"/>
          </w:tcPr>
          <w:p w14:paraId="4186773C" w14:textId="77777777" w:rsidR="00E035C2" w:rsidRPr="00EB29BE" w:rsidRDefault="00E035C2" w:rsidP="000479A3">
            <w:pPr>
              <w:spacing w:before="100" w:beforeAutospacing="1" w:after="100" w:afterAutospacing="1" w:line="360" w:lineRule="auto"/>
              <w:rPr>
                <w:rFonts w:asciiTheme="minorHAnsi" w:hAnsiTheme="minorHAnsi"/>
                <w:b/>
                <w:sz w:val="14"/>
                <w:szCs w:val="22"/>
              </w:rPr>
            </w:pPr>
            <w:r w:rsidRPr="00EB29BE">
              <w:rPr>
                <w:rFonts w:asciiTheme="minorHAnsi" w:hAnsiTheme="minorHAnsi"/>
                <w:b/>
                <w:sz w:val="14"/>
                <w:szCs w:val="22"/>
              </w:rPr>
              <w:t>4%</w:t>
            </w:r>
          </w:p>
        </w:tc>
        <w:tc>
          <w:tcPr>
            <w:tcW w:w="708" w:type="dxa"/>
          </w:tcPr>
          <w:p w14:paraId="5E9919E7" w14:textId="77777777" w:rsidR="00E035C2" w:rsidRPr="00EB29BE" w:rsidRDefault="00E035C2" w:rsidP="000479A3">
            <w:pPr>
              <w:spacing w:before="100" w:beforeAutospacing="1" w:after="100" w:afterAutospacing="1" w:line="360" w:lineRule="auto"/>
              <w:rPr>
                <w:rFonts w:asciiTheme="minorHAnsi" w:hAnsiTheme="minorHAnsi"/>
                <w:b/>
                <w:sz w:val="14"/>
                <w:szCs w:val="22"/>
              </w:rPr>
            </w:pPr>
            <w:r w:rsidRPr="00EB29BE">
              <w:rPr>
                <w:rFonts w:asciiTheme="minorHAnsi" w:hAnsiTheme="minorHAnsi"/>
                <w:b/>
                <w:sz w:val="14"/>
                <w:szCs w:val="22"/>
              </w:rPr>
              <w:t>82%</w:t>
            </w:r>
          </w:p>
        </w:tc>
        <w:tc>
          <w:tcPr>
            <w:tcW w:w="851" w:type="dxa"/>
          </w:tcPr>
          <w:p w14:paraId="32839C58" w14:textId="77777777" w:rsidR="00E035C2" w:rsidRPr="00EB29BE" w:rsidRDefault="00E035C2" w:rsidP="000479A3">
            <w:pPr>
              <w:spacing w:before="100" w:beforeAutospacing="1" w:after="100" w:afterAutospacing="1" w:line="360" w:lineRule="auto"/>
              <w:rPr>
                <w:rFonts w:asciiTheme="minorHAnsi" w:hAnsiTheme="minorHAnsi"/>
                <w:b/>
                <w:sz w:val="14"/>
                <w:szCs w:val="22"/>
              </w:rPr>
            </w:pPr>
            <w:r w:rsidRPr="00EB29BE">
              <w:rPr>
                <w:rFonts w:asciiTheme="minorHAnsi" w:hAnsiTheme="minorHAnsi"/>
                <w:b/>
                <w:sz w:val="14"/>
                <w:szCs w:val="22"/>
              </w:rPr>
              <w:t>16%</w:t>
            </w:r>
          </w:p>
        </w:tc>
        <w:tc>
          <w:tcPr>
            <w:tcW w:w="709" w:type="dxa"/>
          </w:tcPr>
          <w:p w14:paraId="7E11A53F" w14:textId="77777777" w:rsidR="00E035C2" w:rsidRPr="00EB29BE" w:rsidRDefault="00E035C2" w:rsidP="000479A3">
            <w:pPr>
              <w:spacing w:before="100" w:beforeAutospacing="1" w:after="100" w:afterAutospacing="1" w:line="360" w:lineRule="auto"/>
              <w:rPr>
                <w:rFonts w:asciiTheme="minorHAnsi" w:hAnsiTheme="minorHAnsi"/>
                <w:b/>
                <w:sz w:val="14"/>
                <w:szCs w:val="22"/>
              </w:rPr>
            </w:pPr>
            <w:r w:rsidRPr="00EB29BE">
              <w:rPr>
                <w:rFonts w:asciiTheme="minorHAnsi" w:hAnsiTheme="minorHAnsi"/>
                <w:b/>
                <w:sz w:val="14"/>
                <w:szCs w:val="22"/>
              </w:rPr>
              <w:t>4%</w:t>
            </w:r>
          </w:p>
        </w:tc>
        <w:tc>
          <w:tcPr>
            <w:tcW w:w="850" w:type="dxa"/>
          </w:tcPr>
          <w:p w14:paraId="05FD5475" w14:textId="77777777" w:rsidR="00E035C2" w:rsidRPr="00EB29BE" w:rsidRDefault="00E035C2" w:rsidP="000479A3">
            <w:pPr>
              <w:spacing w:before="100" w:beforeAutospacing="1" w:after="100" w:afterAutospacing="1" w:line="360" w:lineRule="auto"/>
              <w:rPr>
                <w:rFonts w:asciiTheme="minorHAnsi" w:hAnsiTheme="minorHAnsi"/>
                <w:b/>
                <w:sz w:val="14"/>
                <w:szCs w:val="22"/>
              </w:rPr>
            </w:pPr>
            <w:r w:rsidRPr="00EB29BE">
              <w:rPr>
                <w:rFonts w:asciiTheme="minorHAnsi" w:hAnsiTheme="minorHAnsi"/>
                <w:b/>
                <w:sz w:val="14"/>
                <w:szCs w:val="22"/>
              </w:rPr>
              <w:t>11%</w:t>
            </w:r>
          </w:p>
        </w:tc>
        <w:tc>
          <w:tcPr>
            <w:tcW w:w="851" w:type="dxa"/>
          </w:tcPr>
          <w:p w14:paraId="629DB5A3" w14:textId="77777777" w:rsidR="00E035C2" w:rsidRPr="00EB29BE" w:rsidRDefault="00E035C2" w:rsidP="000479A3">
            <w:pPr>
              <w:spacing w:before="100" w:beforeAutospacing="1" w:after="100" w:afterAutospacing="1" w:line="360" w:lineRule="auto"/>
              <w:rPr>
                <w:rFonts w:asciiTheme="minorHAnsi" w:hAnsiTheme="minorHAnsi"/>
                <w:b/>
                <w:sz w:val="14"/>
                <w:szCs w:val="22"/>
              </w:rPr>
            </w:pPr>
            <w:r w:rsidRPr="00EB29BE">
              <w:rPr>
                <w:rFonts w:asciiTheme="minorHAnsi" w:hAnsiTheme="minorHAnsi"/>
                <w:b/>
                <w:sz w:val="14"/>
                <w:szCs w:val="22"/>
              </w:rPr>
              <w:t>3%</w:t>
            </w:r>
          </w:p>
        </w:tc>
      </w:tr>
    </w:tbl>
    <w:p w14:paraId="39FBD785" w14:textId="77777777" w:rsidR="008D0CAD" w:rsidRDefault="008D0CAD" w:rsidP="000479A3">
      <w:pPr>
        <w:shd w:val="clear" w:color="auto" w:fill="FFFFFF"/>
        <w:spacing w:before="100" w:beforeAutospacing="1" w:after="100" w:afterAutospacing="1" w:line="360" w:lineRule="auto"/>
        <w:rPr>
          <w:rFonts w:asciiTheme="majorHAnsi" w:hAnsiTheme="majorHAnsi" w:cstheme="majorHAnsi"/>
          <w:color w:val="000000"/>
        </w:rPr>
      </w:pPr>
      <w:r w:rsidRPr="00092FAE">
        <w:rPr>
          <w:rFonts w:asciiTheme="majorHAnsi" w:hAnsiTheme="majorHAnsi" w:cstheme="majorHAnsi"/>
          <w:color w:val="000000"/>
        </w:rPr>
        <w:t>The contributions of STEP UP Program in improving pre-service teacher education were considered</w:t>
      </w:r>
      <w:r>
        <w:rPr>
          <w:rFonts w:asciiTheme="majorHAnsi" w:hAnsiTheme="majorHAnsi" w:cstheme="majorHAnsi"/>
          <w:color w:val="000000"/>
        </w:rPr>
        <w:t xml:space="preserve"> significant for two reasons. The first reason was the process of screening and selecting scholars using systematic tools developed with assistance from the BEST Program. The second was the inclusion of mentoring for all the scholars while covered by the scholarship. Because of the STEP UP initiative, an additional 694 competent teachers can be deducted from the more than 60,000 vacant teaching positions posted by DepEd</w:t>
      </w:r>
      <w:r>
        <w:rPr>
          <w:rStyle w:val="FootnoteReference"/>
          <w:rFonts w:asciiTheme="majorHAnsi" w:eastAsia="Arial Unicode MS" w:hAnsiTheme="majorHAnsi" w:cstheme="majorHAnsi"/>
          <w:color w:val="000000"/>
        </w:rPr>
        <w:footnoteReference w:id="26"/>
      </w:r>
      <w:r>
        <w:rPr>
          <w:rFonts w:asciiTheme="majorHAnsi" w:hAnsiTheme="majorHAnsi" w:cstheme="majorHAnsi"/>
          <w:color w:val="000000"/>
        </w:rPr>
        <w:t xml:space="preserve">. </w:t>
      </w:r>
    </w:p>
    <w:p w14:paraId="0D87EED9" w14:textId="32DD9DE9" w:rsidR="008D0CAD" w:rsidRDefault="008D0CAD" w:rsidP="000479A3">
      <w:pPr>
        <w:shd w:val="clear" w:color="auto" w:fill="FFFFFF"/>
        <w:spacing w:before="100" w:beforeAutospacing="1" w:after="100" w:afterAutospacing="1" w:line="360" w:lineRule="auto"/>
        <w:rPr>
          <w:rFonts w:asciiTheme="majorHAnsi" w:hAnsiTheme="majorHAnsi" w:cstheme="majorHAnsi"/>
          <w:color w:val="000000"/>
        </w:rPr>
      </w:pPr>
      <w:r>
        <w:rPr>
          <w:rFonts w:asciiTheme="majorHAnsi" w:hAnsiTheme="majorHAnsi" w:cstheme="majorHAnsi"/>
          <w:color w:val="000000"/>
        </w:rPr>
        <w:t>However, the EOPE Study noted several gaps in program implementation. First, despite the Memorandum of Agreement forged by PBEd with DepEd for the post-education component of the scholarship program, only 17 per cent of the LET passers were hired by DepEd.</w:t>
      </w:r>
      <w:r w:rsidR="00D434EB">
        <w:rPr>
          <w:rFonts w:asciiTheme="majorHAnsi" w:hAnsiTheme="majorHAnsi" w:cstheme="majorHAnsi"/>
          <w:color w:val="000000"/>
        </w:rPr>
        <w:t xml:space="preserve"> </w:t>
      </w:r>
      <w:r>
        <w:rPr>
          <w:rFonts w:asciiTheme="majorHAnsi" w:hAnsiTheme="majorHAnsi" w:cstheme="majorHAnsi"/>
          <w:color w:val="000000"/>
        </w:rPr>
        <w:t>This was considered to be a serious flaw in implementation considering that the STEP UP was created to fill the significant requirements</w:t>
      </w:r>
      <w:r w:rsidRPr="00FC3155">
        <w:rPr>
          <w:rFonts w:asciiTheme="majorHAnsi" w:hAnsiTheme="majorHAnsi" w:cstheme="majorHAnsi"/>
          <w:color w:val="000000"/>
        </w:rPr>
        <w:t xml:space="preserve"> </w:t>
      </w:r>
      <w:r>
        <w:rPr>
          <w:rFonts w:asciiTheme="majorHAnsi" w:hAnsiTheme="majorHAnsi" w:cstheme="majorHAnsi"/>
          <w:color w:val="000000"/>
        </w:rPr>
        <w:t>of DepEd</w:t>
      </w:r>
      <w:r w:rsidRPr="00FC3155">
        <w:rPr>
          <w:rFonts w:asciiTheme="majorHAnsi" w:hAnsiTheme="majorHAnsi" w:cstheme="majorHAnsi"/>
          <w:color w:val="000000"/>
        </w:rPr>
        <w:t xml:space="preserve"> </w:t>
      </w:r>
      <w:r>
        <w:rPr>
          <w:rFonts w:asciiTheme="majorHAnsi" w:hAnsiTheme="majorHAnsi" w:cstheme="majorHAnsi"/>
          <w:color w:val="000000"/>
        </w:rPr>
        <w:t>for teachers, both in terms of overall numbers and in terms of the quality of competencies possessed.</w:t>
      </w:r>
      <w:r w:rsidR="00D434EB">
        <w:rPr>
          <w:rFonts w:asciiTheme="majorHAnsi" w:hAnsiTheme="majorHAnsi" w:cstheme="majorHAnsi"/>
          <w:color w:val="000000"/>
        </w:rPr>
        <w:t xml:space="preserve"> </w:t>
      </w:r>
    </w:p>
    <w:p w14:paraId="32E2B308" w14:textId="4A500FDE" w:rsidR="008D0CAD" w:rsidRPr="00D847FC" w:rsidRDefault="008D0CAD" w:rsidP="000479A3">
      <w:pPr>
        <w:shd w:val="clear" w:color="auto" w:fill="FFFFFF"/>
        <w:spacing w:before="100" w:beforeAutospacing="1" w:after="100" w:afterAutospacing="1" w:line="360" w:lineRule="auto"/>
        <w:rPr>
          <w:rFonts w:asciiTheme="majorHAnsi" w:hAnsiTheme="majorHAnsi" w:cstheme="majorHAnsi"/>
          <w:color w:val="000000"/>
        </w:rPr>
      </w:pPr>
      <w:r>
        <w:rPr>
          <w:rFonts w:asciiTheme="majorHAnsi" w:hAnsiTheme="majorHAnsi" w:cstheme="majorHAnsi"/>
          <w:color w:val="000000"/>
        </w:rPr>
        <w:t>The second gap pertains to the sustainability of the scholarship program itself.</w:t>
      </w:r>
      <w:r w:rsidR="00D434EB">
        <w:rPr>
          <w:rFonts w:asciiTheme="majorHAnsi" w:hAnsiTheme="majorHAnsi" w:cstheme="majorHAnsi"/>
          <w:color w:val="000000"/>
        </w:rPr>
        <w:t xml:space="preserve"> </w:t>
      </w:r>
      <w:r>
        <w:rPr>
          <w:rFonts w:asciiTheme="majorHAnsi" w:hAnsiTheme="majorHAnsi" w:cstheme="majorHAnsi"/>
          <w:color w:val="000000"/>
        </w:rPr>
        <w:t>First, it was not clear how the Program addressed the incidence of 43 scholars that dropped out of the program and the 25 scholars who did not pass the LET.</w:t>
      </w:r>
      <w:r>
        <w:rPr>
          <w:rStyle w:val="FootnoteReference"/>
          <w:rFonts w:asciiTheme="majorHAnsi" w:eastAsia="Arial Unicode MS" w:hAnsiTheme="majorHAnsi" w:cstheme="majorHAnsi"/>
          <w:color w:val="000000"/>
        </w:rPr>
        <w:footnoteReference w:id="27"/>
      </w:r>
      <w:r w:rsidR="00D434EB">
        <w:rPr>
          <w:rFonts w:asciiTheme="majorHAnsi" w:hAnsiTheme="majorHAnsi" w:cstheme="majorHAnsi"/>
          <w:color w:val="000000"/>
        </w:rPr>
        <w:t xml:space="preserve"> </w:t>
      </w:r>
      <w:r>
        <w:rPr>
          <w:rFonts w:asciiTheme="majorHAnsi" w:hAnsiTheme="majorHAnsi" w:cstheme="majorHAnsi"/>
          <w:color w:val="000000"/>
        </w:rPr>
        <w:t>Third, the Study found that a weakness in the mentoring aspect of the STEP-UP Program, one of its key features. It was noted that mentoring was highly driven by the honoraria paid to the faculty, who conducted the mentoring of scholars.</w:t>
      </w:r>
      <w:r w:rsidR="00D434EB">
        <w:rPr>
          <w:rFonts w:asciiTheme="majorHAnsi" w:hAnsiTheme="majorHAnsi" w:cstheme="majorHAnsi"/>
          <w:color w:val="000000"/>
        </w:rPr>
        <w:t xml:space="preserve"> </w:t>
      </w:r>
      <w:r>
        <w:rPr>
          <w:rFonts w:asciiTheme="majorHAnsi" w:hAnsiTheme="majorHAnsi" w:cstheme="majorHAnsi"/>
          <w:color w:val="000000"/>
        </w:rPr>
        <w:t>It was not clear whether all the TEIs would continue the mentoring interventions to its students taking up education courses although at least one university has replicated and expanded it. Fourth, it was not clear from the PBEd documents how inroads were made in changing the public perception of the teaching profession.</w:t>
      </w:r>
      <w:r w:rsidR="00D434EB">
        <w:rPr>
          <w:rFonts w:asciiTheme="majorHAnsi" w:hAnsiTheme="majorHAnsi" w:cstheme="majorHAnsi"/>
          <w:color w:val="000000"/>
        </w:rPr>
        <w:t xml:space="preserve"> </w:t>
      </w:r>
      <w:r>
        <w:rPr>
          <w:rFonts w:asciiTheme="majorHAnsi" w:hAnsiTheme="majorHAnsi" w:cstheme="majorHAnsi"/>
          <w:color w:val="000000"/>
        </w:rPr>
        <w:t>While there were testimonies and feedback collected, a systematic study on the public perception of the teaching profession prior to and after the scholarship program would have provided a stronger evidence.</w:t>
      </w:r>
      <w:bookmarkEnd w:id="82"/>
    </w:p>
    <w:p w14:paraId="3DFAF639" w14:textId="0CE02BB3" w:rsidR="008D0CAD" w:rsidRPr="005F5DF4" w:rsidRDefault="008D0CAD" w:rsidP="00DD08E3">
      <w:pPr>
        <w:pStyle w:val="Heading5"/>
        <w:numPr>
          <w:ilvl w:val="3"/>
          <w:numId w:val="163"/>
        </w:numPr>
        <w:spacing w:before="100" w:beforeAutospacing="1" w:after="100" w:afterAutospacing="1" w:line="360" w:lineRule="auto"/>
      </w:pPr>
      <w:bookmarkStart w:id="85" w:name="_Toc13216272"/>
      <w:r w:rsidRPr="009067D2">
        <w:t>In-service teacher development</w:t>
      </w:r>
      <w:bookmarkEnd w:id="85"/>
    </w:p>
    <w:p w14:paraId="5FC4CB03" w14:textId="17FEF637" w:rsidR="008D0CAD" w:rsidRDefault="008D0CAD" w:rsidP="000479A3">
      <w:pPr>
        <w:spacing w:before="100" w:beforeAutospacing="1" w:after="100" w:afterAutospacing="1" w:line="360" w:lineRule="auto"/>
        <w:rPr>
          <w:rFonts w:asciiTheme="majorHAnsi" w:hAnsiTheme="majorHAnsi" w:cstheme="majorHAnsi"/>
          <w:color w:val="000000" w:themeColor="text1"/>
        </w:rPr>
      </w:pPr>
      <w:r w:rsidRPr="0052063C">
        <w:rPr>
          <w:rFonts w:asciiTheme="majorHAnsi" w:hAnsiTheme="majorHAnsi" w:cstheme="majorHAnsi"/>
          <w:color w:val="000000" w:themeColor="text1"/>
        </w:rPr>
        <w:t xml:space="preserve">Under the </w:t>
      </w:r>
      <w:r w:rsidRPr="0052063C">
        <w:rPr>
          <w:rFonts w:asciiTheme="majorHAnsi" w:eastAsia="Garamond" w:hAnsiTheme="majorHAnsi" w:cstheme="majorHAnsi"/>
          <w:color w:val="000000" w:themeColor="text1"/>
        </w:rPr>
        <w:t>L&amp;D System</w:t>
      </w:r>
      <w:r>
        <w:rPr>
          <w:rFonts w:asciiTheme="majorHAnsi" w:eastAsia="Garamond" w:hAnsiTheme="majorHAnsi" w:cstheme="majorHAnsi"/>
          <w:color w:val="000000" w:themeColor="text1"/>
        </w:rPr>
        <w:t xml:space="preserve"> trialed in 2018-19 with support from the BEST Program</w:t>
      </w:r>
      <w:r w:rsidRPr="0052063C">
        <w:rPr>
          <w:rFonts w:asciiTheme="majorHAnsi" w:hAnsiTheme="majorHAnsi" w:cstheme="majorHAnsi"/>
          <w:color w:val="000000" w:themeColor="text1"/>
        </w:rPr>
        <w:t xml:space="preserve">, </w:t>
      </w:r>
      <w:r>
        <w:rPr>
          <w:rFonts w:asciiTheme="majorHAnsi" w:hAnsiTheme="majorHAnsi" w:cstheme="majorHAnsi"/>
          <w:color w:val="000000" w:themeColor="text1"/>
        </w:rPr>
        <w:t>three</w:t>
      </w:r>
      <w:r w:rsidRPr="0052063C">
        <w:rPr>
          <w:rFonts w:asciiTheme="majorHAnsi" w:hAnsiTheme="majorHAnsi" w:cstheme="majorHAnsi"/>
          <w:color w:val="000000" w:themeColor="text1"/>
        </w:rPr>
        <w:t xml:space="preserve"> modalities </w:t>
      </w:r>
      <w:r>
        <w:rPr>
          <w:rFonts w:asciiTheme="majorHAnsi" w:hAnsiTheme="majorHAnsi" w:cstheme="majorHAnsi"/>
          <w:color w:val="000000" w:themeColor="text1"/>
        </w:rPr>
        <w:t>for</w:t>
      </w:r>
      <w:r w:rsidRPr="0052063C">
        <w:rPr>
          <w:rFonts w:asciiTheme="majorHAnsi" w:hAnsiTheme="majorHAnsi" w:cstheme="majorHAnsi"/>
          <w:color w:val="000000" w:themeColor="text1"/>
        </w:rPr>
        <w:t xml:space="preserve"> in-service training were </w:t>
      </w:r>
      <w:r>
        <w:rPr>
          <w:rFonts w:asciiTheme="majorHAnsi" w:hAnsiTheme="majorHAnsi" w:cstheme="majorHAnsi"/>
          <w:color w:val="000000" w:themeColor="text1"/>
        </w:rPr>
        <w:t>advocated for current teachers</w:t>
      </w:r>
      <w:r w:rsidRPr="0052063C">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the </w:t>
      </w:r>
      <w:r w:rsidRPr="00F96E34">
        <w:rPr>
          <w:rFonts w:asciiTheme="majorHAnsi" w:hAnsiTheme="majorHAnsi" w:cstheme="majorHAnsi"/>
          <w:color w:val="000000"/>
          <w:lang w:eastAsia="en-PH"/>
        </w:rPr>
        <w:t>Pedagogical Retooling In Mathematics, Languages, and Science</w:t>
      </w:r>
      <w:r w:rsidRPr="00F96E34">
        <w:rPr>
          <w:rFonts w:asciiTheme="majorHAnsi" w:hAnsiTheme="majorHAnsi" w:cstheme="majorHAnsi"/>
        </w:rPr>
        <w:t xml:space="preserve"> </w:t>
      </w:r>
      <w:r>
        <w:rPr>
          <w:rFonts w:asciiTheme="majorHAnsi" w:hAnsiTheme="majorHAnsi" w:cstheme="majorHAnsi"/>
        </w:rPr>
        <w:t>(</w:t>
      </w:r>
      <w:r w:rsidRPr="00F96E34">
        <w:rPr>
          <w:rFonts w:asciiTheme="majorHAnsi" w:hAnsiTheme="majorHAnsi" w:cstheme="majorHAnsi"/>
        </w:rPr>
        <w:t>PRIMALS</w:t>
      </w:r>
      <w:r>
        <w:rPr>
          <w:rFonts w:asciiTheme="majorHAnsi" w:hAnsiTheme="majorHAnsi" w:cstheme="majorHAnsi"/>
        </w:rPr>
        <w:t>)</w:t>
      </w:r>
      <w:r w:rsidRPr="00F96E34">
        <w:rPr>
          <w:rFonts w:asciiTheme="majorHAnsi" w:hAnsiTheme="majorHAnsi" w:cstheme="majorHAnsi"/>
        </w:rPr>
        <w:t>; Action Research</w:t>
      </w:r>
      <w:r>
        <w:rPr>
          <w:rFonts w:asciiTheme="majorHAnsi" w:hAnsiTheme="majorHAnsi" w:cstheme="majorHAnsi"/>
        </w:rPr>
        <w:t xml:space="preserve"> (AR)</w:t>
      </w:r>
      <w:r w:rsidRPr="00F96E34">
        <w:rPr>
          <w:rFonts w:asciiTheme="majorHAnsi" w:hAnsiTheme="majorHAnsi" w:cstheme="majorHAnsi"/>
        </w:rPr>
        <w:t>; and Learning Action Cells (LAC)</w:t>
      </w:r>
      <w:r>
        <w:rPr>
          <w:rFonts w:asciiTheme="majorHAnsi" w:hAnsiTheme="majorHAnsi" w:cstheme="majorHAnsi"/>
          <w:color w:val="000000" w:themeColor="text1"/>
        </w:rPr>
        <w:t>.</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T</w:t>
      </w:r>
      <w:r w:rsidRPr="0052063C">
        <w:rPr>
          <w:rFonts w:asciiTheme="majorHAnsi" w:hAnsiTheme="majorHAnsi" w:cstheme="majorHAnsi"/>
          <w:color w:val="000000" w:themeColor="text1"/>
        </w:rPr>
        <w:t xml:space="preserve">hese </w:t>
      </w:r>
      <w:r>
        <w:rPr>
          <w:rFonts w:asciiTheme="majorHAnsi" w:hAnsiTheme="majorHAnsi" w:cstheme="majorHAnsi"/>
          <w:color w:val="000000" w:themeColor="text1"/>
        </w:rPr>
        <w:t xml:space="preserve">were touted as </w:t>
      </w:r>
      <w:r w:rsidRPr="0052063C">
        <w:rPr>
          <w:rFonts w:asciiTheme="majorHAnsi" w:hAnsiTheme="majorHAnsi" w:cstheme="majorHAnsi"/>
          <w:color w:val="000000" w:themeColor="text1"/>
        </w:rPr>
        <w:t xml:space="preserve">demand-driven mechanisms for professional development, enabling teachers to make their own choices for developing their </w:t>
      </w:r>
      <w:r>
        <w:rPr>
          <w:rFonts w:asciiTheme="majorHAnsi" w:hAnsiTheme="majorHAnsi" w:cstheme="majorHAnsi"/>
          <w:color w:val="000000" w:themeColor="text1"/>
        </w:rPr>
        <w:t>respective knowledge</w:t>
      </w:r>
      <w:r w:rsidRPr="0052063C">
        <w:rPr>
          <w:rFonts w:asciiTheme="majorHAnsi" w:hAnsiTheme="majorHAnsi" w:cstheme="majorHAnsi"/>
          <w:color w:val="000000" w:themeColor="text1"/>
        </w:rPr>
        <w:t xml:space="preserve"> and skills. </w:t>
      </w:r>
      <w:r>
        <w:rPr>
          <w:rFonts w:asciiTheme="majorHAnsi" w:hAnsiTheme="majorHAnsi" w:cstheme="majorHAnsi"/>
          <w:color w:val="000000" w:themeColor="text1"/>
        </w:rPr>
        <w:t>Under TPQI,</w:t>
      </w:r>
      <w:r w:rsidRPr="00990771">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the </w:t>
      </w:r>
      <w:r>
        <w:rPr>
          <w:rFonts w:asciiTheme="majorHAnsi" w:hAnsiTheme="majorHAnsi" w:cstheme="majorHAnsi"/>
          <w:color w:val="000000"/>
        </w:rPr>
        <w:t>Teacher Induction Program modules was provided for beginning teachers.</w:t>
      </w:r>
      <w:r>
        <w:rPr>
          <w:rStyle w:val="FootnoteReference"/>
          <w:rFonts w:asciiTheme="majorHAnsi" w:eastAsia="Arial Unicode MS" w:hAnsiTheme="majorHAnsi" w:cstheme="majorHAnsi"/>
          <w:color w:val="000000"/>
        </w:rPr>
        <w:footnoteReference w:id="28"/>
      </w:r>
    </w:p>
    <w:p w14:paraId="1BAD17EC" w14:textId="77777777" w:rsidR="008D0CAD" w:rsidRPr="0073191B" w:rsidRDefault="008D0CAD" w:rsidP="008C061C">
      <w:pPr>
        <w:pStyle w:val="Heading6"/>
      </w:pPr>
      <w:r w:rsidRPr="005700B3">
        <w:t>PRIMALS</w:t>
      </w:r>
      <w:r>
        <w:t xml:space="preserve"> </w:t>
      </w:r>
    </w:p>
    <w:p w14:paraId="5A7B6670" w14:textId="2B3861E4" w:rsidR="008D0CAD" w:rsidRPr="00471E45" w:rsidRDefault="008D0CAD" w:rsidP="000479A3">
      <w:pPr>
        <w:spacing w:before="100" w:beforeAutospacing="1" w:after="100" w:afterAutospacing="1" w:line="360" w:lineRule="auto"/>
        <w:rPr>
          <w:rFonts w:asciiTheme="majorHAnsi" w:hAnsiTheme="majorHAnsi" w:cstheme="majorHAnsi"/>
          <w:color w:val="000000" w:themeColor="text1"/>
        </w:rPr>
      </w:pPr>
      <w:r w:rsidRPr="00471E45">
        <w:rPr>
          <w:rFonts w:asciiTheme="majorHAnsi" w:hAnsiTheme="majorHAnsi" w:cstheme="majorHAnsi"/>
        </w:rPr>
        <w:t>With assistance from the BEST Program, training programs on PRIMALS were provided for teachers handling Grades 4 to 6.</w:t>
      </w:r>
      <w:r w:rsidR="00D434EB">
        <w:rPr>
          <w:rFonts w:asciiTheme="majorHAnsi" w:hAnsiTheme="majorHAnsi" w:cstheme="majorHAnsi"/>
        </w:rPr>
        <w:t xml:space="preserve"> </w:t>
      </w:r>
      <w:r w:rsidRPr="00471E45">
        <w:rPr>
          <w:rFonts w:asciiTheme="majorHAnsi" w:hAnsiTheme="majorHAnsi" w:cstheme="majorHAnsi"/>
        </w:rPr>
        <w:t xml:space="preserve">It was cited as one of </w:t>
      </w:r>
      <w:r>
        <w:rPr>
          <w:rFonts w:asciiTheme="majorHAnsi" w:hAnsiTheme="majorHAnsi" w:cstheme="majorHAnsi"/>
        </w:rPr>
        <w:t>the</w:t>
      </w:r>
      <w:r w:rsidRPr="00471E45">
        <w:rPr>
          <w:rFonts w:asciiTheme="majorHAnsi" w:hAnsiTheme="majorHAnsi" w:cstheme="majorHAnsi"/>
        </w:rPr>
        <w:t xml:space="preserve"> key accomplishments</w:t>
      </w:r>
      <w:r>
        <w:rPr>
          <w:rFonts w:asciiTheme="majorHAnsi" w:hAnsiTheme="majorHAnsi" w:cstheme="majorHAnsi"/>
        </w:rPr>
        <w:t xml:space="preserve"> mentioned in the Program reports</w:t>
      </w:r>
      <w:r w:rsidRPr="00471E45">
        <w:rPr>
          <w:rFonts w:asciiTheme="majorHAnsi" w:hAnsiTheme="majorHAnsi" w:cstheme="majorHAnsi"/>
        </w:rPr>
        <w:t xml:space="preserve">. </w:t>
      </w:r>
      <w:r w:rsidRPr="00471E45">
        <w:rPr>
          <w:rFonts w:asciiTheme="majorHAnsi" w:hAnsiTheme="majorHAnsi" w:cstheme="majorHAnsi"/>
          <w:color w:val="000000" w:themeColor="text1"/>
        </w:rPr>
        <w:t xml:space="preserve">Survey </w:t>
      </w:r>
      <w:r>
        <w:rPr>
          <w:rFonts w:asciiTheme="majorHAnsi" w:hAnsiTheme="majorHAnsi" w:cstheme="majorHAnsi"/>
          <w:color w:val="000000" w:themeColor="text1"/>
        </w:rPr>
        <w:t xml:space="preserve">results revealed that </w:t>
      </w:r>
      <w:r w:rsidRPr="00471E45">
        <w:rPr>
          <w:rFonts w:asciiTheme="majorHAnsi" w:hAnsiTheme="majorHAnsi" w:cstheme="majorHAnsi"/>
          <w:color w:val="000000" w:themeColor="text1"/>
        </w:rPr>
        <w:t xml:space="preserve">12 </w:t>
      </w:r>
      <w:r>
        <w:rPr>
          <w:rFonts w:asciiTheme="majorHAnsi" w:hAnsiTheme="majorHAnsi" w:cstheme="majorHAnsi"/>
          <w:color w:val="000000" w:themeColor="text1"/>
        </w:rPr>
        <w:t>per cent</w:t>
      </w:r>
      <w:r w:rsidRPr="00471E45">
        <w:rPr>
          <w:rFonts w:asciiTheme="majorHAnsi" w:hAnsiTheme="majorHAnsi" w:cstheme="majorHAnsi"/>
          <w:color w:val="000000" w:themeColor="text1"/>
        </w:rPr>
        <w:t xml:space="preserve"> of teachers (n=193)</w:t>
      </w:r>
      <w:r>
        <w:rPr>
          <w:rStyle w:val="FootnoteReference"/>
          <w:rFonts w:asciiTheme="majorHAnsi" w:eastAsia="Arial Unicode MS" w:hAnsiTheme="majorHAnsi" w:cstheme="majorHAnsi"/>
          <w:color w:val="000000" w:themeColor="text1"/>
        </w:rPr>
        <w:footnoteReference w:id="29"/>
      </w:r>
      <w:r w:rsidRPr="00471E45">
        <w:rPr>
          <w:rFonts w:asciiTheme="majorHAnsi" w:hAnsiTheme="majorHAnsi" w:cstheme="majorHAnsi"/>
          <w:color w:val="000000" w:themeColor="text1"/>
        </w:rPr>
        <w:t xml:space="preserve"> mentioned PRIMALS as one of the training activities </w:t>
      </w:r>
      <w:r>
        <w:rPr>
          <w:rFonts w:asciiTheme="majorHAnsi" w:hAnsiTheme="majorHAnsi" w:cstheme="majorHAnsi"/>
          <w:color w:val="000000" w:themeColor="text1"/>
        </w:rPr>
        <w:t>that they attended</w:t>
      </w:r>
      <w:r w:rsidRPr="00471E45">
        <w:rPr>
          <w:rFonts w:asciiTheme="majorHAnsi" w:hAnsiTheme="majorHAnsi" w:cstheme="majorHAnsi"/>
          <w:color w:val="000000" w:themeColor="text1"/>
        </w:rPr>
        <w:t xml:space="preserve"> that responded to their professional development needs as teachers.</w:t>
      </w:r>
    </w:p>
    <w:p w14:paraId="4B15CF3F" w14:textId="2D102D5D" w:rsidR="008D0CAD" w:rsidRDefault="008D0CAD" w:rsidP="000479A3">
      <w:pPr>
        <w:spacing w:before="100" w:beforeAutospacing="1" w:after="100" w:afterAutospacing="1" w:line="360" w:lineRule="auto"/>
        <w:rPr>
          <w:rFonts w:asciiTheme="majorHAnsi" w:hAnsiTheme="majorHAnsi" w:cstheme="majorHAnsi"/>
          <w:color w:val="000000" w:themeColor="text1"/>
        </w:rPr>
      </w:pPr>
      <w:r w:rsidRPr="00471E45">
        <w:rPr>
          <w:rFonts w:asciiTheme="majorHAnsi" w:hAnsiTheme="majorHAnsi" w:cstheme="majorHAnsi"/>
        </w:rPr>
        <w:t xml:space="preserve">A PRIMALS Trainers’ Resource Package was also developed by the BEST Program. </w:t>
      </w:r>
      <w:r w:rsidRPr="00471E45">
        <w:rPr>
          <w:rFonts w:asciiTheme="majorHAnsi" w:hAnsiTheme="majorHAnsi" w:cstheme="majorHAnsi"/>
          <w:color w:val="000000" w:themeColor="text1"/>
        </w:rPr>
        <w:t>Nearly half</w:t>
      </w:r>
      <w:r>
        <w:rPr>
          <w:rFonts w:asciiTheme="majorHAnsi" w:hAnsiTheme="majorHAnsi" w:cstheme="majorHAnsi"/>
          <w:color w:val="000000" w:themeColor="text1"/>
        </w:rPr>
        <w:t xml:space="preserve"> of teachers who </w:t>
      </w:r>
      <w:r w:rsidRPr="009F57A0">
        <w:rPr>
          <w:rFonts w:asciiTheme="majorHAnsi" w:hAnsiTheme="majorHAnsi" w:cstheme="majorHAnsi"/>
          <w:color w:val="000000" w:themeColor="text1"/>
        </w:rPr>
        <w:t>answered the survey</w:t>
      </w:r>
      <w:r w:rsidRPr="009F57A0">
        <w:rPr>
          <w:rStyle w:val="FootnoteReference"/>
          <w:rFonts w:asciiTheme="majorHAnsi" w:eastAsia="Arial Unicode MS" w:hAnsiTheme="majorHAnsi" w:cstheme="majorHAnsi"/>
          <w:color w:val="000000" w:themeColor="text1"/>
        </w:rPr>
        <w:footnoteReference w:id="30"/>
      </w:r>
      <w:r w:rsidRPr="009F57A0">
        <w:rPr>
          <w:rFonts w:asciiTheme="majorHAnsi" w:hAnsiTheme="majorHAnsi" w:cstheme="majorHAnsi"/>
          <w:color w:val="000000" w:themeColor="text1"/>
        </w:rPr>
        <w:t xml:space="preserve"> stated that they have good knowledge about the PRIMALS (46</w:t>
      </w:r>
      <w:r>
        <w:rPr>
          <w:rFonts w:asciiTheme="majorHAnsi" w:hAnsiTheme="majorHAnsi" w:cstheme="majorHAnsi"/>
          <w:color w:val="000000" w:themeColor="text1"/>
        </w:rPr>
        <w:t xml:space="preserve"> per cent</w:t>
      </w:r>
      <w:r w:rsidRPr="009F57A0">
        <w:rPr>
          <w:rFonts w:asciiTheme="majorHAnsi" w:hAnsiTheme="majorHAnsi" w:cstheme="majorHAnsi"/>
          <w:color w:val="000000" w:themeColor="text1"/>
        </w:rPr>
        <w:t>)</w:t>
      </w:r>
      <w:r w:rsidRPr="009F57A0">
        <w:rPr>
          <w:color w:val="000000" w:themeColor="text1"/>
        </w:rPr>
        <w:t xml:space="preserve"> </w:t>
      </w:r>
      <w:r w:rsidRPr="009F57A0">
        <w:rPr>
          <w:rFonts w:asciiTheme="majorHAnsi" w:hAnsiTheme="majorHAnsi" w:cstheme="majorHAnsi"/>
          <w:color w:val="000000" w:themeColor="text1"/>
        </w:rPr>
        <w:t>and about the same percentage (48</w:t>
      </w:r>
      <w:r>
        <w:rPr>
          <w:rFonts w:asciiTheme="majorHAnsi" w:hAnsiTheme="majorHAnsi" w:cstheme="majorHAnsi"/>
          <w:color w:val="000000" w:themeColor="text1"/>
        </w:rPr>
        <w:t xml:space="preserve"> per cent</w:t>
      </w:r>
      <w:r w:rsidRPr="009F57A0">
        <w:rPr>
          <w:rFonts w:asciiTheme="majorHAnsi" w:hAnsiTheme="majorHAnsi" w:cstheme="majorHAnsi"/>
          <w:color w:val="000000" w:themeColor="text1"/>
        </w:rPr>
        <w:t xml:space="preserve">) find these useful in enhancing their classroom performance (Table </w:t>
      </w:r>
      <w:r>
        <w:rPr>
          <w:rFonts w:asciiTheme="majorHAnsi" w:hAnsiTheme="majorHAnsi" w:cstheme="majorHAnsi"/>
          <w:color w:val="000000" w:themeColor="text1"/>
        </w:rPr>
        <w:t>5</w:t>
      </w:r>
      <w:r w:rsidRPr="009F57A0">
        <w:rPr>
          <w:rFonts w:asciiTheme="majorHAnsi" w:hAnsiTheme="majorHAnsi" w:cstheme="majorHAnsi"/>
          <w:color w:val="000000" w:themeColor="text1"/>
        </w:rPr>
        <w:t>).</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However, fewer teachers (40 per cent) said they had full access to it.</w:t>
      </w:r>
      <w:r w:rsidRPr="00C6225A">
        <w:rPr>
          <w:rFonts w:asciiTheme="majorHAnsi" w:hAnsiTheme="majorHAnsi" w:cstheme="majorHAnsi"/>
          <w:color w:val="000000" w:themeColor="text1"/>
        </w:rPr>
        <w:t xml:space="preserve"> </w:t>
      </w:r>
      <w:r>
        <w:rPr>
          <w:rFonts w:asciiTheme="majorHAnsi" w:hAnsiTheme="majorHAnsi" w:cstheme="majorHAnsi"/>
          <w:color w:val="000000" w:themeColor="text1"/>
        </w:rPr>
        <w:t>This may be related to the teachers’ observation that one of the reasons for low access to learning materials was that key materials were not distributed during training, workshops or orientations.</w:t>
      </w:r>
    </w:p>
    <w:p w14:paraId="1EBC87B2" w14:textId="10F434FE" w:rsidR="008D0CAD" w:rsidRDefault="008D0CAD" w:rsidP="007C1A2E">
      <w:pPr>
        <w:spacing w:before="100" w:beforeAutospacing="1" w:after="100" w:afterAutospacing="1" w:line="360" w:lineRule="auto"/>
        <w:rPr>
          <w:rFonts w:asciiTheme="majorHAnsi" w:hAnsiTheme="majorHAnsi" w:cstheme="majorHAnsi"/>
          <w:color w:val="000000" w:themeColor="text1"/>
        </w:rPr>
      </w:pPr>
      <w:r w:rsidRPr="004F546B">
        <w:rPr>
          <w:rFonts w:asciiTheme="majorHAnsi" w:hAnsiTheme="majorHAnsi" w:cstheme="majorHAnsi"/>
        </w:rPr>
        <w:t xml:space="preserve">However, since the PRIMALS is one of the key interventions to enhance teacher performance, it </w:t>
      </w:r>
      <w:r>
        <w:rPr>
          <w:rFonts w:asciiTheme="majorHAnsi" w:hAnsiTheme="majorHAnsi" w:cstheme="majorHAnsi"/>
        </w:rPr>
        <w:t>should be</w:t>
      </w:r>
      <w:r w:rsidRPr="004F546B">
        <w:rPr>
          <w:rFonts w:asciiTheme="majorHAnsi" w:hAnsiTheme="majorHAnsi" w:cstheme="majorHAnsi"/>
        </w:rPr>
        <w:t xml:space="preserve"> note</w:t>
      </w:r>
      <w:r>
        <w:rPr>
          <w:rFonts w:asciiTheme="majorHAnsi" w:hAnsiTheme="majorHAnsi" w:cstheme="majorHAnsi"/>
        </w:rPr>
        <w:t>d</w:t>
      </w:r>
      <w:r w:rsidRPr="004F546B">
        <w:rPr>
          <w:rFonts w:asciiTheme="majorHAnsi" w:hAnsiTheme="majorHAnsi" w:cstheme="majorHAnsi"/>
        </w:rPr>
        <w:t xml:space="preserve"> that, at that time</w:t>
      </w:r>
      <w:r>
        <w:rPr>
          <w:rFonts w:asciiTheme="majorHAnsi" w:hAnsiTheme="majorHAnsi" w:cstheme="majorHAnsi"/>
        </w:rPr>
        <w:t xml:space="preserve"> of the evaluation</w:t>
      </w:r>
      <w:r w:rsidRPr="004F546B">
        <w:rPr>
          <w:rFonts w:asciiTheme="majorHAnsi" w:hAnsiTheme="majorHAnsi" w:cstheme="majorHAnsi"/>
        </w:rPr>
        <w:t xml:space="preserve">, </w:t>
      </w:r>
      <w:r>
        <w:rPr>
          <w:rFonts w:asciiTheme="majorHAnsi" w:hAnsiTheme="majorHAnsi" w:cstheme="majorHAnsi"/>
        </w:rPr>
        <w:t>about</w:t>
      </w:r>
      <w:r w:rsidRPr="004F546B">
        <w:rPr>
          <w:rFonts w:asciiTheme="majorHAnsi" w:hAnsiTheme="majorHAnsi" w:cstheme="majorHAnsi"/>
        </w:rPr>
        <w:t xml:space="preserve"> half of the teachers</w:t>
      </w:r>
      <w:r>
        <w:rPr>
          <w:rFonts w:asciiTheme="majorHAnsi" w:hAnsiTheme="majorHAnsi" w:cstheme="majorHAnsi"/>
        </w:rPr>
        <w:t xml:space="preserve"> from BEST Program-supported schools</w:t>
      </w:r>
      <w:r w:rsidRPr="004F546B">
        <w:rPr>
          <w:rFonts w:asciiTheme="majorHAnsi" w:hAnsiTheme="majorHAnsi" w:cstheme="majorHAnsi"/>
        </w:rPr>
        <w:t xml:space="preserve"> still had no knowledge </w:t>
      </w:r>
      <w:r>
        <w:rPr>
          <w:rFonts w:asciiTheme="majorHAnsi" w:hAnsiTheme="majorHAnsi" w:cstheme="majorHAnsi"/>
        </w:rPr>
        <w:t>or</w:t>
      </w:r>
      <w:r w:rsidRPr="004F546B">
        <w:rPr>
          <w:rFonts w:asciiTheme="majorHAnsi" w:hAnsiTheme="majorHAnsi" w:cstheme="majorHAnsi"/>
        </w:rPr>
        <w:t xml:space="preserve"> access to it</w:t>
      </w:r>
      <w:r w:rsidRPr="004F546B">
        <w:rPr>
          <w:rFonts w:asciiTheme="majorHAnsi" w:hAnsiTheme="majorHAnsi" w:cstheme="majorHAnsi"/>
          <w:color w:val="000000" w:themeColor="text1"/>
        </w:rPr>
        <w:t>.</w:t>
      </w:r>
      <w:r w:rsidR="00D434EB">
        <w:rPr>
          <w:rFonts w:asciiTheme="majorHAnsi" w:hAnsiTheme="majorHAnsi" w:cstheme="majorHAnsi"/>
          <w:color w:val="000000" w:themeColor="text1"/>
        </w:rPr>
        <w:t xml:space="preserve"> </w:t>
      </w:r>
      <w:r w:rsidRPr="004F546B">
        <w:rPr>
          <w:rFonts w:asciiTheme="majorHAnsi" w:hAnsiTheme="majorHAnsi" w:cstheme="majorHAnsi"/>
          <w:color w:val="000000" w:themeColor="text1"/>
        </w:rPr>
        <w:t>One of the possible reasons for this was that the PRIMALS was introduced to schools only in 2018 (and interventions were provided mostly to high school teachers).</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Another</w:t>
      </w:r>
      <w:r w:rsidRPr="004F546B">
        <w:rPr>
          <w:rFonts w:asciiTheme="majorHAnsi" w:hAnsiTheme="majorHAnsi" w:cstheme="majorHAnsi"/>
          <w:color w:val="000000" w:themeColor="text1"/>
        </w:rPr>
        <w:t xml:space="preserve"> reason given by teachers was that the materials was mostly suitable for certain teachers (such as Math teachers).</w:t>
      </w:r>
      <w:r w:rsidR="00D434EB">
        <w:rPr>
          <w:rFonts w:asciiTheme="majorHAnsi" w:hAnsiTheme="majorHAnsi" w:cstheme="majorHAnsi"/>
          <w:color w:val="000000" w:themeColor="text1"/>
        </w:rPr>
        <w:t xml:space="preserve"> </w:t>
      </w:r>
    </w:p>
    <w:p w14:paraId="41AE690B" w14:textId="03A1BB4F" w:rsidR="008D0CAD" w:rsidRPr="00DD6E21" w:rsidRDefault="008D0CAD" w:rsidP="007C1A2E">
      <w:pPr>
        <w:pageBreakBefore/>
        <w:spacing w:before="100" w:beforeAutospacing="1" w:after="100" w:afterAutospacing="1" w:line="360" w:lineRule="auto"/>
        <w:rPr>
          <w:rFonts w:asciiTheme="majorHAnsi" w:hAnsiTheme="majorHAnsi" w:cstheme="majorHAnsi"/>
          <w:i/>
          <w:iCs/>
          <w:color w:val="44546A" w:themeColor="text2"/>
          <w:sz w:val="22"/>
          <w:szCs w:val="22"/>
        </w:rPr>
      </w:pPr>
      <w:bookmarkStart w:id="86" w:name="_Toc71616596"/>
      <w:r w:rsidRPr="00DD6E21">
        <w:rPr>
          <w:rFonts w:asciiTheme="majorHAnsi" w:hAnsiTheme="majorHAnsi" w:cstheme="majorHAnsi"/>
          <w:i/>
          <w:iCs/>
          <w:color w:val="44546A" w:themeColor="text2"/>
          <w:sz w:val="22"/>
          <w:szCs w:val="22"/>
        </w:rPr>
        <w:t xml:space="preserve">Table </w:t>
      </w:r>
      <w:r w:rsidRPr="00DD6E21">
        <w:rPr>
          <w:rFonts w:asciiTheme="majorHAnsi" w:hAnsiTheme="majorHAnsi" w:cstheme="majorHAnsi"/>
          <w:i/>
          <w:iCs/>
          <w:color w:val="44546A" w:themeColor="text2"/>
          <w:sz w:val="22"/>
          <w:szCs w:val="22"/>
        </w:rPr>
        <w:fldChar w:fldCharType="begin"/>
      </w:r>
      <w:r w:rsidRPr="00DD6E21">
        <w:rPr>
          <w:rFonts w:asciiTheme="majorHAnsi" w:hAnsiTheme="majorHAnsi" w:cstheme="majorHAnsi"/>
          <w:i/>
          <w:iCs/>
          <w:color w:val="44546A" w:themeColor="text2"/>
          <w:sz w:val="22"/>
          <w:szCs w:val="22"/>
        </w:rPr>
        <w:instrText xml:space="preserve"> SEQ Table \* ARABIC </w:instrText>
      </w:r>
      <w:r w:rsidRPr="00DD6E21">
        <w:rPr>
          <w:rFonts w:asciiTheme="majorHAnsi" w:hAnsiTheme="majorHAnsi" w:cstheme="majorHAnsi"/>
          <w:i/>
          <w:iCs/>
          <w:color w:val="44546A" w:themeColor="text2"/>
          <w:sz w:val="22"/>
          <w:szCs w:val="22"/>
        </w:rPr>
        <w:fldChar w:fldCharType="separate"/>
      </w:r>
      <w:r w:rsidR="00D6133D">
        <w:rPr>
          <w:rFonts w:asciiTheme="majorHAnsi" w:hAnsiTheme="majorHAnsi" w:cstheme="majorHAnsi"/>
          <w:i/>
          <w:iCs/>
          <w:noProof/>
          <w:color w:val="44546A" w:themeColor="text2"/>
          <w:sz w:val="22"/>
          <w:szCs w:val="22"/>
        </w:rPr>
        <w:t>5</w:t>
      </w:r>
      <w:r w:rsidRPr="00DD6E21">
        <w:rPr>
          <w:rFonts w:asciiTheme="majorHAnsi" w:hAnsiTheme="majorHAnsi" w:cstheme="majorHAnsi"/>
          <w:i/>
          <w:iCs/>
          <w:color w:val="44546A" w:themeColor="text2"/>
          <w:sz w:val="22"/>
          <w:szCs w:val="22"/>
        </w:rPr>
        <w:fldChar w:fldCharType="end"/>
      </w:r>
      <w:r w:rsidRPr="00DD6E21">
        <w:rPr>
          <w:rFonts w:asciiTheme="majorHAnsi" w:hAnsiTheme="majorHAnsi" w:cstheme="majorHAnsi"/>
          <w:i/>
          <w:iCs/>
          <w:color w:val="44546A" w:themeColor="text2"/>
          <w:sz w:val="22"/>
          <w:szCs w:val="22"/>
        </w:rPr>
        <w:t>.</w:t>
      </w:r>
      <w:r w:rsidR="00D434EB">
        <w:rPr>
          <w:rFonts w:asciiTheme="majorHAnsi" w:hAnsiTheme="majorHAnsi" w:cstheme="majorHAnsi"/>
          <w:bCs/>
          <w:i/>
          <w:iCs/>
          <w:color w:val="44546A" w:themeColor="text2"/>
          <w:sz w:val="22"/>
          <w:szCs w:val="22"/>
        </w:rPr>
        <w:t xml:space="preserve"> </w:t>
      </w:r>
      <w:r w:rsidRPr="00DD6E21">
        <w:rPr>
          <w:rFonts w:asciiTheme="majorHAnsi" w:hAnsiTheme="majorHAnsi" w:cstheme="majorHAnsi"/>
          <w:bCs/>
          <w:i/>
          <w:iCs/>
          <w:color w:val="44546A" w:themeColor="text2"/>
          <w:sz w:val="22"/>
          <w:szCs w:val="22"/>
        </w:rPr>
        <w:t xml:space="preserve">Principals’ and Teachers’ Perceptions of </w:t>
      </w:r>
      <w:r w:rsidRPr="00DD6E21">
        <w:rPr>
          <w:rFonts w:asciiTheme="majorHAnsi" w:hAnsiTheme="majorHAnsi" w:cstheme="majorHAnsi"/>
          <w:i/>
          <w:iCs/>
          <w:color w:val="44546A" w:themeColor="text2"/>
          <w:sz w:val="22"/>
          <w:szCs w:val="22"/>
        </w:rPr>
        <w:t>the PRIMALS Trainers’ Resource Packages</w:t>
      </w:r>
      <w:bookmarkEnd w:id="86"/>
    </w:p>
    <w:tbl>
      <w:tblPr>
        <w:tblStyle w:val="TableGrid"/>
        <w:tblW w:w="0" w:type="auto"/>
        <w:tblLook w:val="04A0" w:firstRow="1" w:lastRow="0" w:firstColumn="1" w:lastColumn="0" w:noHBand="0" w:noVBand="1"/>
      </w:tblPr>
      <w:tblGrid>
        <w:gridCol w:w="1696"/>
        <w:gridCol w:w="1247"/>
        <w:gridCol w:w="1600"/>
        <w:gridCol w:w="1138"/>
        <w:gridCol w:w="948"/>
        <w:gridCol w:w="1223"/>
        <w:gridCol w:w="1158"/>
      </w:tblGrid>
      <w:tr w:rsidR="00C82D12" w:rsidRPr="00020D54" w14:paraId="6CA2AC6E" w14:textId="77777777" w:rsidTr="00F4751F">
        <w:trPr>
          <w:tblHeader/>
        </w:trPr>
        <w:tc>
          <w:tcPr>
            <w:tcW w:w="1696" w:type="dxa"/>
          </w:tcPr>
          <w:p w14:paraId="049CADA1" w14:textId="77777777" w:rsidR="00EB29BE" w:rsidRPr="00020D54" w:rsidRDefault="00EB29BE" w:rsidP="000479A3">
            <w:pPr>
              <w:spacing w:before="100" w:beforeAutospacing="1" w:after="100" w:afterAutospacing="1" w:line="360" w:lineRule="auto"/>
              <w:rPr>
                <w:rFonts w:asciiTheme="majorHAnsi" w:hAnsiTheme="majorHAnsi" w:cstheme="majorHAnsi"/>
                <w:color w:val="000000" w:themeColor="text1"/>
                <w:sz w:val="18"/>
                <w:szCs w:val="18"/>
              </w:rPr>
            </w:pPr>
          </w:p>
        </w:tc>
        <w:tc>
          <w:tcPr>
            <w:tcW w:w="1247" w:type="dxa"/>
          </w:tcPr>
          <w:p w14:paraId="09BDB4C3" w14:textId="77777777" w:rsidR="00EB29BE" w:rsidRPr="00020D54" w:rsidRDefault="00EB29BE" w:rsidP="000479A3">
            <w:pPr>
              <w:spacing w:before="100" w:beforeAutospacing="1" w:after="100" w:afterAutospacing="1" w:line="360" w:lineRule="auto"/>
              <w:rPr>
                <w:rFonts w:asciiTheme="majorHAnsi" w:hAnsiTheme="majorHAnsi" w:cstheme="majorHAnsi"/>
                <w:b/>
                <w:bCs/>
                <w:color w:val="000000" w:themeColor="text1"/>
                <w:sz w:val="18"/>
                <w:szCs w:val="18"/>
              </w:rPr>
            </w:pPr>
            <w:r w:rsidRPr="00020D54">
              <w:rPr>
                <w:rFonts w:asciiTheme="majorHAnsi" w:hAnsiTheme="majorHAnsi" w:cstheme="majorHAnsi"/>
                <w:b/>
                <w:bCs/>
                <w:color w:val="000000" w:themeColor="text1"/>
                <w:sz w:val="18"/>
                <w:szCs w:val="18"/>
              </w:rPr>
              <w:t>% Sufficient knowledge</w:t>
            </w:r>
          </w:p>
        </w:tc>
        <w:tc>
          <w:tcPr>
            <w:tcW w:w="1600" w:type="dxa"/>
          </w:tcPr>
          <w:p w14:paraId="4DCC43F4" w14:textId="77777777" w:rsidR="00EB29BE" w:rsidRPr="00020D54" w:rsidRDefault="00EB29BE" w:rsidP="000479A3">
            <w:pPr>
              <w:spacing w:before="100" w:beforeAutospacing="1" w:after="100" w:afterAutospacing="1" w:line="360" w:lineRule="auto"/>
              <w:rPr>
                <w:rFonts w:asciiTheme="majorHAnsi" w:hAnsiTheme="majorHAnsi" w:cstheme="majorHAnsi"/>
                <w:b/>
                <w:bCs/>
                <w:color w:val="000000" w:themeColor="text1"/>
                <w:sz w:val="18"/>
                <w:szCs w:val="18"/>
              </w:rPr>
            </w:pPr>
            <w:r w:rsidRPr="00020D54">
              <w:rPr>
                <w:rFonts w:asciiTheme="majorHAnsi" w:hAnsiTheme="majorHAnsi" w:cstheme="majorHAnsi"/>
                <w:b/>
                <w:bCs/>
                <w:color w:val="000000" w:themeColor="text1"/>
                <w:sz w:val="18"/>
                <w:szCs w:val="18"/>
              </w:rPr>
              <w:t>% Comprehensive knowledge</w:t>
            </w:r>
          </w:p>
        </w:tc>
        <w:tc>
          <w:tcPr>
            <w:tcW w:w="1138" w:type="dxa"/>
          </w:tcPr>
          <w:p w14:paraId="3057BA70" w14:textId="77777777" w:rsidR="00EB29BE" w:rsidRPr="00020D54" w:rsidRDefault="00EB29BE" w:rsidP="000479A3">
            <w:pPr>
              <w:spacing w:before="100" w:beforeAutospacing="1" w:after="100" w:afterAutospacing="1" w:line="360" w:lineRule="auto"/>
              <w:rPr>
                <w:rFonts w:asciiTheme="majorHAnsi" w:hAnsiTheme="majorHAnsi" w:cstheme="majorHAnsi"/>
                <w:b/>
                <w:bCs/>
                <w:color w:val="000000" w:themeColor="text1"/>
                <w:sz w:val="18"/>
                <w:szCs w:val="18"/>
              </w:rPr>
            </w:pPr>
            <w:r w:rsidRPr="00020D54">
              <w:rPr>
                <w:rFonts w:asciiTheme="majorHAnsi" w:hAnsiTheme="majorHAnsi" w:cstheme="majorHAnsi"/>
                <w:b/>
                <w:bCs/>
                <w:color w:val="000000" w:themeColor="text1"/>
                <w:sz w:val="18"/>
                <w:szCs w:val="18"/>
              </w:rPr>
              <w:t>% Full access – Individual</w:t>
            </w:r>
          </w:p>
        </w:tc>
        <w:tc>
          <w:tcPr>
            <w:tcW w:w="948" w:type="dxa"/>
          </w:tcPr>
          <w:p w14:paraId="30982983" w14:textId="77777777" w:rsidR="00EB29BE" w:rsidRPr="00020D54" w:rsidRDefault="00EB29BE" w:rsidP="000479A3">
            <w:pPr>
              <w:spacing w:before="100" w:beforeAutospacing="1" w:after="100" w:afterAutospacing="1" w:line="360" w:lineRule="auto"/>
              <w:rPr>
                <w:rFonts w:asciiTheme="majorHAnsi" w:hAnsiTheme="majorHAnsi" w:cstheme="majorHAnsi"/>
                <w:b/>
                <w:bCs/>
                <w:color w:val="000000" w:themeColor="text1"/>
                <w:sz w:val="18"/>
                <w:szCs w:val="18"/>
              </w:rPr>
            </w:pPr>
            <w:r w:rsidRPr="00020D54">
              <w:rPr>
                <w:rFonts w:asciiTheme="majorHAnsi" w:hAnsiTheme="majorHAnsi" w:cstheme="majorHAnsi"/>
                <w:b/>
                <w:bCs/>
                <w:color w:val="000000" w:themeColor="text1"/>
                <w:sz w:val="18"/>
                <w:szCs w:val="18"/>
              </w:rPr>
              <w:t>% Full access School</w:t>
            </w:r>
          </w:p>
        </w:tc>
        <w:tc>
          <w:tcPr>
            <w:tcW w:w="1223" w:type="dxa"/>
          </w:tcPr>
          <w:p w14:paraId="587D63B9" w14:textId="77777777" w:rsidR="00EB29BE" w:rsidRPr="00020D54" w:rsidRDefault="00EB29BE" w:rsidP="000479A3">
            <w:pPr>
              <w:spacing w:before="100" w:beforeAutospacing="1" w:after="100" w:afterAutospacing="1" w:line="360" w:lineRule="auto"/>
              <w:rPr>
                <w:rFonts w:asciiTheme="majorHAnsi" w:hAnsiTheme="majorHAnsi" w:cstheme="majorHAnsi"/>
                <w:b/>
                <w:bCs/>
                <w:color w:val="000000" w:themeColor="text1"/>
                <w:sz w:val="18"/>
                <w:szCs w:val="18"/>
              </w:rPr>
            </w:pPr>
            <w:r w:rsidRPr="00020D54">
              <w:rPr>
                <w:rFonts w:asciiTheme="majorHAnsi" w:hAnsiTheme="majorHAnsi" w:cstheme="majorHAnsi"/>
                <w:b/>
                <w:bCs/>
                <w:color w:val="000000" w:themeColor="text1"/>
                <w:sz w:val="18"/>
                <w:szCs w:val="18"/>
              </w:rPr>
              <w:t>% Sufficiently useful</w:t>
            </w:r>
          </w:p>
        </w:tc>
        <w:tc>
          <w:tcPr>
            <w:tcW w:w="1158" w:type="dxa"/>
          </w:tcPr>
          <w:p w14:paraId="5D67A7F1" w14:textId="77777777" w:rsidR="00EB29BE" w:rsidRPr="00020D54" w:rsidRDefault="00EB29BE" w:rsidP="000479A3">
            <w:pPr>
              <w:spacing w:before="100" w:beforeAutospacing="1" w:after="100" w:afterAutospacing="1" w:line="360" w:lineRule="auto"/>
              <w:rPr>
                <w:rFonts w:asciiTheme="majorHAnsi" w:hAnsiTheme="majorHAnsi" w:cstheme="majorHAnsi"/>
                <w:b/>
                <w:bCs/>
                <w:color w:val="000000" w:themeColor="text1"/>
                <w:sz w:val="18"/>
                <w:szCs w:val="18"/>
              </w:rPr>
            </w:pPr>
            <w:r w:rsidRPr="00020D54">
              <w:rPr>
                <w:rFonts w:asciiTheme="majorHAnsi" w:hAnsiTheme="majorHAnsi" w:cstheme="majorHAnsi"/>
                <w:b/>
                <w:bCs/>
                <w:color w:val="000000" w:themeColor="text1"/>
                <w:sz w:val="18"/>
                <w:szCs w:val="18"/>
              </w:rPr>
              <w:t>% Extremely useful</w:t>
            </w:r>
          </w:p>
        </w:tc>
      </w:tr>
      <w:tr w:rsidR="00C82D12" w:rsidRPr="00020D54" w14:paraId="4ABB8E39" w14:textId="77777777" w:rsidTr="00ED33AB">
        <w:tc>
          <w:tcPr>
            <w:tcW w:w="1696" w:type="dxa"/>
          </w:tcPr>
          <w:p w14:paraId="37BDD6AC" w14:textId="77777777" w:rsidR="00EB29BE" w:rsidRPr="00020D54" w:rsidRDefault="00EB29BE"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Main Study*</w:t>
            </w:r>
          </w:p>
        </w:tc>
        <w:tc>
          <w:tcPr>
            <w:tcW w:w="1247" w:type="dxa"/>
          </w:tcPr>
          <w:p w14:paraId="08E14EBE" w14:textId="77777777" w:rsidR="00EB29BE" w:rsidRPr="00020D54" w:rsidRDefault="00EB29BE" w:rsidP="000479A3">
            <w:pPr>
              <w:spacing w:before="100" w:beforeAutospacing="1" w:after="100" w:afterAutospacing="1" w:line="360" w:lineRule="auto"/>
              <w:rPr>
                <w:rFonts w:asciiTheme="majorHAnsi" w:hAnsiTheme="majorHAnsi" w:cstheme="majorHAnsi"/>
                <w:color w:val="000000" w:themeColor="text1"/>
                <w:sz w:val="18"/>
                <w:szCs w:val="18"/>
              </w:rPr>
            </w:pPr>
          </w:p>
        </w:tc>
        <w:tc>
          <w:tcPr>
            <w:tcW w:w="1600" w:type="dxa"/>
          </w:tcPr>
          <w:p w14:paraId="469682B9" w14:textId="77777777" w:rsidR="00EB29BE" w:rsidRPr="00020D54" w:rsidRDefault="00EB29BE" w:rsidP="000479A3">
            <w:pPr>
              <w:spacing w:before="100" w:beforeAutospacing="1" w:after="100" w:afterAutospacing="1" w:line="360" w:lineRule="auto"/>
              <w:rPr>
                <w:rFonts w:asciiTheme="majorHAnsi" w:hAnsiTheme="majorHAnsi" w:cstheme="majorHAnsi"/>
                <w:color w:val="000000" w:themeColor="text1"/>
                <w:sz w:val="18"/>
                <w:szCs w:val="18"/>
              </w:rPr>
            </w:pPr>
          </w:p>
        </w:tc>
        <w:tc>
          <w:tcPr>
            <w:tcW w:w="1138" w:type="dxa"/>
          </w:tcPr>
          <w:p w14:paraId="1721D9C9" w14:textId="77777777" w:rsidR="00EB29BE" w:rsidRPr="00020D54" w:rsidRDefault="00EB29BE" w:rsidP="000479A3">
            <w:pPr>
              <w:spacing w:before="100" w:beforeAutospacing="1" w:after="100" w:afterAutospacing="1" w:line="360" w:lineRule="auto"/>
              <w:rPr>
                <w:rFonts w:asciiTheme="majorHAnsi" w:hAnsiTheme="majorHAnsi" w:cstheme="majorHAnsi"/>
                <w:color w:val="000000" w:themeColor="text1"/>
                <w:sz w:val="18"/>
                <w:szCs w:val="18"/>
              </w:rPr>
            </w:pPr>
          </w:p>
        </w:tc>
        <w:tc>
          <w:tcPr>
            <w:tcW w:w="948" w:type="dxa"/>
          </w:tcPr>
          <w:p w14:paraId="08ACC10D" w14:textId="77777777" w:rsidR="00EB29BE" w:rsidRPr="00020D54" w:rsidRDefault="00EB29BE" w:rsidP="000479A3">
            <w:pPr>
              <w:spacing w:before="100" w:beforeAutospacing="1" w:after="100" w:afterAutospacing="1" w:line="360" w:lineRule="auto"/>
              <w:rPr>
                <w:rFonts w:asciiTheme="majorHAnsi" w:hAnsiTheme="majorHAnsi" w:cstheme="majorHAnsi"/>
                <w:color w:val="000000" w:themeColor="text1"/>
                <w:sz w:val="18"/>
                <w:szCs w:val="18"/>
              </w:rPr>
            </w:pPr>
          </w:p>
        </w:tc>
        <w:tc>
          <w:tcPr>
            <w:tcW w:w="1223" w:type="dxa"/>
          </w:tcPr>
          <w:p w14:paraId="6676B8B5" w14:textId="77777777" w:rsidR="00EB29BE" w:rsidRPr="00020D54" w:rsidRDefault="00EB29BE" w:rsidP="000479A3">
            <w:pPr>
              <w:spacing w:before="100" w:beforeAutospacing="1" w:after="100" w:afterAutospacing="1" w:line="360" w:lineRule="auto"/>
              <w:rPr>
                <w:rFonts w:asciiTheme="majorHAnsi" w:hAnsiTheme="majorHAnsi" w:cstheme="majorHAnsi"/>
                <w:color w:val="000000" w:themeColor="text1"/>
                <w:sz w:val="18"/>
                <w:szCs w:val="18"/>
              </w:rPr>
            </w:pPr>
          </w:p>
        </w:tc>
        <w:tc>
          <w:tcPr>
            <w:tcW w:w="1158" w:type="dxa"/>
          </w:tcPr>
          <w:p w14:paraId="7398DF4D" w14:textId="77777777" w:rsidR="00EB29BE" w:rsidRPr="00020D54" w:rsidRDefault="00EB29BE" w:rsidP="000479A3">
            <w:pPr>
              <w:spacing w:before="100" w:beforeAutospacing="1" w:after="100" w:afterAutospacing="1" w:line="360" w:lineRule="auto"/>
              <w:rPr>
                <w:rFonts w:asciiTheme="majorHAnsi" w:hAnsiTheme="majorHAnsi" w:cstheme="majorHAnsi"/>
                <w:color w:val="000000" w:themeColor="text1"/>
                <w:sz w:val="18"/>
                <w:szCs w:val="18"/>
              </w:rPr>
            </w:pPr>
          </w:p>
        </w:tc>
      </w:tr>
      <w:tr w:rsidR="00C82D12" w:rsidRPr="00020D54" w14:paraId="432C2DB5" w14:textId="77777777" w:rsidTr="00ED33AB">
        <w:tc>
          <w:tcPr>
            <w:tcW w:w="1696" w:type="dxa"/>
          </w:tcPr>
          <w:p w14:paraId="184C0749" w14:textId="77777777" w:rsidR="00EB29BE" w:rsidRPr="00020D54" w:rsidRDefault="00EB29BE"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PSHs (n=26)</w:t>
            </w:r>
          </w:p>
        </w:tc>
        <w:tc>
          <w:tcPr>
            <w:tcW w:w="1247" w:type="dxa"/>
          </w:tcPr>
          <w:p w14:paraId="37C0488C" w14:textId="77777777" w:rsidR="00EB29BE" w:rsidRPr="00020D54" w:rsidRDefault="00EB29BE"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35</w:t>
            </w:r>
            <w:r w:rsidR="00C82D12" w:rsidRPr="00020D54">
              <w:rPr>
                <w:rFonts w:asciiTheme="majorHAnsi" w:hAnsiTheme="majorHAnsi" w:cstheme="majorHAnsi"/>
                <w:color w:val="000000" w:themeColor="text1"/>
                <w:sz w:val="18"/>
                <w:szCs w:val="18"/>
              </w:rPr>
              <w:t>%</w:t>
            </w:r>
          </w:p>
        </w:tc>
        <w:tc>
          <w:tcPr>
            <w:tcW w:w="1600" w:type="dxa"/>
          </w:tcPr>
          <w:p w14:paraId="66ABF235" w14:textId="77777777" w:rsidR="00EB29BE" w:rsidRPr="00020D54" w:rsidRDefault="00EB29BE"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19</w:t>
            </w:r>
            <w:r w:rsidR="00C82D12" w:rsidRPr="00020D54">
              <w:rPr>
                <w:rFonts w:asciiTheme="majorHAnsi" w:hAnsiTheme="majorHAnsi" w:cstheme="majorHAnsi"/>
                <w:color w:val="000000" w:themeColor="text1"/>
                <w:sz w:val="18"/>
                <w:szCs w:val="18"/>
              </w:rPr>
              <w:t>%</w:t>
            </w:r>
          </w:p>
        </w:tc>
        <w:tc>
          <w:tcPr>
            <w:tcW w:w="1138" w:type="dxa"/>
          </w:tcPr>
          <w:p w14:paraId="6D77C2CD" w14:textId="77777777" w:rsidR="00EB29BE" w:rsidRPr="00020D54" w:rsidRDefault="00EB29BE"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35</w:t>
            </w:r>
            <w:r w:rsidR="00C82D12" w:rsidRPr="00020D54">
              <w:rPr>
                <w:rFonts w:asciiTheme="majorHAnsi" w:hAnsiTheme="majorHAnsi" w:cstheme="majorHAnsi"/>
                <w:color w:val="000000" w:themeColor="text1"/>
                <w:sz w:val="18"/>
                <w:szCs w:val="18"/>
              </w:rPr>
              <w:t>%</w:t>
            </w:r>
          </w:p>
        </w:tc>
        <w:tc>
          <w:tcPr>
            <w:tcW w:w="948" w:type="dxa"/>
          </w:tcPr>
          <w:p w14:paraId="267933BA" w14:textId="77777777" w:rsidR="00EB29BE" w:rsidRPr="00020D54" w:rsidRDefault="00EB29BE"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19</w:t>
            </w:r>
            <w:r w:rsidR="00C82D12" w:rsidRPr="00020D54">
              <w:rPr>
                <w:rFonts w:asciiTheme="majorHAnsi" w:hAnsiTheme="majorHAnsi" w:cstheme="majorHAnsi"/>
                <w:color w:val="000000" w:themeColor="text1"/>
                <w:sz w:val="18"/>
                <w:szCs w:val="18"/>
              </w:rPr>
              <w:t>%</w:t>
            </w:r>
          </w:p>
        </w:tc>
        <w:tc>
          <w:tcPr>
            <w:tcW w:w="1223" w:type="dxa"/>
          </w:tcPr>
          <w:p w14:paraId="12C226C9" w14:textId="77777777" w:rsidR="00EB29BE" w:rsidRPr="00020D54" w:rsidRDefault="00EB29BE"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50</w:t>
            </w:r>
            <w:r w:rsidR="00C82D12" w:rsidRPr="00020D54">
              <w:rPr>
                <w:rFonts w:asciiTheme="majorHAnsi" w:hAnsiTheme="majorHAnsi" w:cstheme="majorHAnsi"/>
                <w:color w:val="000000" w:themeColor="text1"/>
                <w:sz w:val="18"/>
                <w:szCs w:val="18"/>
              </w:rPr>
              <w:t>%</w:t>
            </w:r>
          </w:p>
        </w:tc>
        <w:tc>
          <w:tcPr>
            <w:tcW w:w="1158" w:type="dxa"/>
          </w:tcPr>
          <w:p w14:paraId="3D56BA0C" w14:textId="77777777" w:rsidR="00EB29BE" w:rsidRPr="00020D54" w:rsidRDefault="00EB29BE"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19</w:t>
            </w:r>
            <w:r w:rsidR="00C82D12" w:rsidRPr="00020D54">
              <w:rPr>
                <w:rFonts w:asciiTheme="majorHAnsi" w:hAnsiTheme="majorHAnsi" w:cstheme="majorHAnsi"/>
                <w:color w:val="000000" w:themeColor="text1"/>
                <w:sz w:val="18"/>
                <w:szCs w:val="18"/>
              </w:rPr>
              <w:t>%</w:t>
            </w:r>
          </w:p>
        </w:tc>
      </w:tr>
      <w:tr w:rsidR="00C82D12" w:rsidRPr="00020D54" w14:paraId="603278CD" w14:textId="77777777" w:rsidTr="00ED33AB">
        <w:tc>
          <w:tcPr>
            <w:tcW w:w="1696" w:type="dxa"/>
          </w:tcPr>
          <w:p w14:paraId="10E2604F" w14:textId="77777777" w:rsidR="00EB29BE" w:rsidRPr="00020D54" w:rsidRDefault="00EB29BE"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Teachers (n=107)</w:t>
            </w:r>
          </w:p>
        </w:tc>
        <w:tc>
          <w:tcPr>
            <w:tcW w:w="1247" w:type="dxa"/>
          </w:tcPr>
          <w:p w14:paraId="57956B39" w14:textId="77777777" w:rsidR="00EB29BE" w:rsidRPr="00020D54" w:rsidRDefault="00EB29BE"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35</w:t>
            </w:r>
            <w:r w:rsidR="00C82D12" w:rsidRPr="00020D54">
              <w:rPr>
                <w:rFonts w:asciiTheme="majorHAnsi" w:hAnsiTheme="majorHAnsi" w:cstheme="majorHAnsi"/>
                <w:color w:val="000000" w:themeColor="text1"/>
                <w:sz w:val="18"/>
                <w:szCs w:val="18"/>
              </w:rPr>
              <w:t>%</w:t>
            </w:r>
          </w:p>
        </w:tc>
        <w:tc>
          <w:tcPr>
            <w:tcW w:w="1600" w:type="dxa"/>
          </w:tcPr>
          <w:p w14:paraId="1A3F5036" w14:textId="77777777" w:rsidR="00EB29BE" w:rsidRPr="00020D54" w:rsidRDefault="00EB29BE"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11</w:t>
            </w:r>
            <w:r w:rsidR="00C82D12" w:rsidRPr="00020D54">
              <w:rPr>
                <w:rFonts w:asciiTheme="majorHAnsi" w:hAnsiTheme="majorHAnsi" w:cstheme="majorHAnsi"/>
                <w:color w:val="000000" w:themeColor="text1"/>
                <w:sz w:val="18"/>
                <w:szCs w:val="18"/>
              </w:rPr>
              <w:t>%</w:t>
            </w:r>
          </w:p>
        </w:tc>
        <w:tc>
          <w:tcPr>
            <w:tcW w:w="1138" w:type="dxa"/>
          </w:tcPr>
          <w:p w14:paraId="09F4EDAE" w14:textId="77777777" w:rsidR="00EB29BE" w:rsidRPr="00020D54" w:rsidRDefault="00EB29BE"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28</w:t>
            </w:r>
            <w:r w:rsidR="00C82D12" w:rsidRPr="00020D54">
              <w:rPr>
                <w:rFonts w:asciiTheme="majorHAnsi" w:hAnsiTheme="majorHAnsi" w:cstheme="majorHAnsi"/>
                <w:color w:val="000000" w:themeColor="text1"/>
                <w:sz w:val="18"/>
                <w:szCs w:val="18"/>
              </w:rPr>
              <w:t>%</w:t>
            </w:r>
          </w:p>
        </w:tc>
        <w:tc>
          <w:tcPr>
            <w:tcW w:w="948" w:type="dxa"/>
          </w:tcPr>
          <w:p w14:paraId="144ED952" w14:textId="77777777" w:rsidR="00EB29BE" w:rsidRPr="00020D54" w:rsidRDefault="00EB29BE"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12</w:t>
            </w:r>
            <w:r w:rsidR="00C82D12" w:rsidRPr="00020D54">
              <w:rPr>
                <w:rFonts w:asciiTheme="majorHAnsi" w:hAnsiTheme="majorHAnsi" w:cstheme="majorHAnsi"/>
                <w:color w:val="000000" w:themeColor="text1"/>
                <w:sz w:val="18"/>
                <w:szCs w:val="18"/>
              </w:rPr>
              <w:t>%</w:t>
            </w:r>
          </w:p>
        </w:tc>
        <w:tc>
          <w:tcPr>
            <w:tcW w:w="1223" w:type="dxa"/>
          </w:tcPr>
          <w:p w14:paraId="2FF3DF9A" w14:textId="77777777" w:rsidR="00EB29BE" w:rsidRPr="00020D54" w:rsidRDefault="00EB29BE"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30</w:t>
            </w:r>
            <w:r w:rsidR="00C82D12" w:rsidRPr="00020D54">
              <w:rPr>
                <w:rFonts w:asciiTheme="majorHAnsi" w:hAnsiTheme="majorHAnsi" w:cstheme="majorHAnsi"/>
                <w:color w:val="000000" w:themeColor="text1"/>
                <w:sz w:val="18"/>
                <w:szCs w:val="18"/>
              </w:rPr>
              <w:t>%</w:t>
            </w:r>
          </w:p>
        </w:tc>
        <w:tc>
          <w:tcPr>
            <w:tcW w:w="1158" w:type="dxa"/>
          </w:tcPr>
          <w:p w14:paraId="39D5F55B" w14:textId="77777777" w:rsidR="00EB29BE" w:rsidRPr="00020D54" w:rsidRDefault="00EB29BE"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18</w:t>
            </w:r>
            <w:r w:rsidR="00C82D12" w:rsidRPr="00020D54">
              <w:rPr>
                <w:rFonts w:asciiTheme="majorHAnsi" w:hAnsiTheme="majorHAnsi" w:cstheme="majorHAnsi"/>
                <w:color w:val="000000" w:themeColor="text1"/>
                <w:sz w:val="18"/>
                <w:szCs w:val="18"/>
              </w:rPr>
              <w:t>%</w:t>
            </w:r>
          </w:p>
        </w:tc>
      </w:tr>
      <w:tr w:rsidR="00C82D12" w:rsidRPr="00020D54" w14:paraId="0ADBCB9B" w14:textId="77777777" w:rsidTr="00ED33AB">
        <w:tc>
          <w:tcPr>
            <w:tcW w:w="1696" w:type="dxa"/>
          </w:tcPr>
          <w:p w14:paraId="0B513B06" w14:textId="77777777" w:rsidR="00EB29BE" w:rsidRPr="00020D54" w:rsidRDefault="00EB29BE"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Follow-Up Study **</w:t>
            </w:r>
          </w:p>
        </w:tc>
        <w:tc>
          <w:tcPr>
            <w:tcW w:w="1247" w:type="dxa"/>
          </w:tcPr>
          <w:p w14:paraId="465213E5" w14:textId="77777777" w:rsidR="00EB29BE" w:rsidRPr="00020D54" w:rsidRDefault="00EB29BE" w:rsidP="000479A3">
            <w:pPr>
              <w:spacing w:before="100" w:beforeAutospacing="1" w:after="100" w:afterAutospacing="1" w:line="360" w:lineRule="auto"/>
              <w:rPr>
                <w:rFonts w:asciiTheme="majorHAnsi" w:hAnsiTheme="majorHAnsi" w:cstheme="majorHAnsi"/>
                <w:color w:val="000000" w:themeColor="text1"/>
                <w:sz w:val="18"/>
                <w:szCs w:val="18"/>
              </w:rPr>
            </w:pPr>
          </w:p>
        </w:tc>
        <w:tc>
          <w:tcPr>
            <w:tcW w:w="1600" w:type="dxa"/>
          </w:tcPr>
          <w:p w14:paraId="55D2134E" w14:textId="77777777" w:rsidR="00EB29BE" w:rsidRPr="00020D54" w:rsidRDefault="00EB29BE" w:rsidP="000479A3">
            <w:pPr>
              <w:spacing w:before="100" w:beforeAutospacing="1" w:after="100" w:afterAutospacing="1" w:line="360" w:lineRule="auto"/>
              <w:rPr>
                <w:rFonts w:asciiTheme="majorHAnsi" w:hAnsiTheme="majorHAnsi" w:cstheme="majorHAnsi"/>
                <w:color w:val="000000" w:themeColor="text1"/>
                <w:sz w:val="18"/>
                <w:szCs w:val="18"/>
              </w:rPr>
            </w:pPr>
          </w:p>
        </w:tc>
        <w:tc>
          <w:tcPr>
            <w:tcW w:w="1138" w:type="dxa"/>
          </w:tcPr>
          <w:p w14:paraId="773B6C60" w14:textId="77777777" w:rsidR="00EB29BE" w:rsidRPr="00020D54" w:rsidRDefault="00EB29BE" w:rsidP="000479A3">
            <w:pPr>
              <w:spacing w:before="100" w:beforeAutospacing="1" w:after="100" w:afterAutospacing="1" w:line="360" w:lineRule="auto"/>
              <w:rPr>
                <w:rFonts w:asciiTheme="majorHAnsi" w:hAnsiTheme="majorHAnsi" w:cstheme="majorHAnsi"/>
                <w:color w:val="000000" w:themeColor="text1"/>
                <w:sz w:val="18"/>
                <w:szCs w:val="18"/>
              </w:rPr>
            </w:pPr>
          </w:p>
        </w:tc>
        <w:tc>
          <w:tcPr>
            <w:tcW w:w="948" w:type="dxa"/>
          </w:tcPr>
          <w:p w14:paraId="3DB9A54C" w14:textId="77777777" w:rsidR="00EB29BE" w:rsidRPr="00020D54" w:rsidRDefault="00EB29BE" w:rsidP="000479A3">
            <w:pPr>
              <w:spacing w:before="100" w:beforeAutospacing="1" w:after="100" w:afterAutospacing="1" w:line="360" w:lineRule="auto"/>
              <w:rPr>
                <w:rFonts w:asciiTheme="majorHAnsi" w:hAnsiTheme="majorHAnsi" w:cstheme="majorHAnsi"/>
                <w:color w:val="000000" w:themeColor="text1"/>
                <w:sz w:val="18"/>
                <w:szCs w:val="18"/>
              </w:rPr>
            </w:pPr>
          </w:p>
        </w:tc>
        <w:tc>
          <w:tcPr>
            <w:tcW w:w="1223" w:type="dxa"/>
          </w:tcPr>
          <w:p w14:paraId="1607295B" w14:textId="77777777" w:rsidR="00EB29BE" w:rsidRPr="00020D54" w:rsidRDefault="00EB29BE" w:rsidP="000479A3">
            <w:pPr>
              <w:spacing w:before="100" w:beforeAutospacing="1" w:after="100" w:afterAutospacing="1" w:line="360" w:lineRule="auto"/>
              <w:rPr>
                <w:rFonts w:asciiTheme="majorHAnsi" w:hAnsiTheme="majorHAnsi" w:cstheme="majorHAnsi"/>
                <w:color w:val="000000" w:themeColor="text1"/>
                <w:sz w:val="18"/>
                <w:szCs w:val="18"/>
              </w:rPr>
            </w:pPr>
          </w:p>
        </w:tc>
        <w:tc>
          <w:tcPr>
            <w:tcW w:w="1158" w:type="dxa"/>
          </w:tcPr>
          <w:p w14:paraId="2BCA4C3F" w14:textId="77777777" w:rsidR="00EB29BE" w:rsidRPr="00020D54" w:rsidRDefault="00EB29BE" w:rsidP="000479A3">
            <w:pPr>
              <w:spacing w:before="100" w:beforeAutospacing="1" w:after="100" w:afterAutospacing="1" w:line="360" w:lineRule="auto"/>
              <w:rPr>
                <w:rFonts w:asciiTheme="majorHAnsi" w:hAnsiTheme="majorHAnsi" w:cstheme="majorHAnsi"/>
                <w:color w:val="000000" w:themeColor="text1"/>
                <w:sz w:val="18"/>
                <w:szCs w:val="18"/>
              </w:rPr>
            </w:pPr>
          </w:p>
        </w:tc>
      </w:tr>
      <w:tr w:rsidR="00C82D12" w:rsidRPr="00020D54" w14:paraId="1650DCBD" w14:textId="77777777" w:rsidTr="00ED33AB">
        <w:tc>
          <w:tcPr>
            <w:tcW w:w="1696" w:type="dxa"/>
          </w:tcPr>
          <w:p w14:paraId="2D1EAE0F" w14:textId="77777777" w:rsidR="00EB29BE" w:rsidRPr="00020D54" w:rsidRDefault="00EB29BE"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PSHs (n=11)</w:t>
            </w:r>
          </w:p>
        </w:tc>
        <w:tc>
          <w:tcPr>
            <w:tcW w:w="1247" w:type="dxa"/>
          </w:tcPr>
          <w:p w14:paraId="0D084A7F" w14:textId="77777777" w:rsidR="00EB29BE" w:rsidRPr="00020D54" w:rsidRDefault="00EB29BE"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27</w:t>
            </w:r>
            <w:r w:rsidR="00C82D12" w:rsidRPr="00020D54">
              <w:rPr>
                <w:rFonts w:asciiTheme="majorHAnsi" w:hAnsiTheme="majorHAnsi" w:cstheme="majorHAnsi"/>
                <w:color w:val="000000" w:themeColor="text1"/>
                <w:sz w:val="18"/>
                <w:szCs w:val="18"/>
              </w:rPr>
              <w:t>%</w:t>
            </w:r>
          </w:p>
        </w:tc>
        <w:tc>
          <w:tcPr>
            <w:tcW w:w="1600" w:type="dxa"/>
          </w:tcPr>
          <w:p w14:paraId="121EA3D6" w14:textId="77777777" w:rsidR="00EB29BE" w:rsidRPr="00020D54" w:rsidRDefault="00EB29BE"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36</w:t>
            </w:r>
            <w:r w:rsidR="00C82D12" w:rsidRPr="00020D54">
              <w:rPr>
                <w:rFonts w:asciiTheme="majorHAnsi" w:hAnsiTheme="majorHAnsi" w:cstheme="majorHAnsi"/>
                <w:color w:val="000000" w:themeColor="text1"/>
                <w:sz w:val="18"/>
                <w:szCs w:val="18"/>
              </w:rPr>
              <w:t>%</w:t>
            </w:r>
          </w:p>
        </w:tc>
        <w:tc>
          <w:tcPr>
            <w:tcW w:w="1138" w:type="dxa"/>
          </w:tcPr>
          <w:p w14:paraId="3C7FF6F9" w14:textId="77777777" w:rsidR="00EB29BE" w:rsidRPr="00020D54" w:rsidRDefault="00EB29BE"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27</w:t>
            </w:r>
            <w:r w:rsidR="00C82D12" w:rsidRPr="00020D54">
              <w:rPr>
                <w:rFonts w:asciiTheme="majorHAnsi" w:hAnsiTheme="majorHAnsi" w:cstheme="majorHAnsi"/>
                <w:color w:val="000000" w:themeColor="text1"/>
                <w:sz w:val="18"/>
                <w:szCs w:val="18"/>
              </w:rPr>
              <w:t>%</w:t>
            </w:r>
          </w:p>
        </w:tc>
        <w:tc>
          <w:tcPr>
            <w:tcW w:w="948" w:type="dxa"/>
          </w:tcPr>
          <w:p w14:paraId="14328B12" w14:textId="77777777" w:rsidR="00EB29BE" w:rsidRPr="00020D54" w:rsidRDefault="00EB29BE"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27</w:t>
            </w:r>
            <w:r w:rsidR="00C82D12" w:rsidRPr="00020D54">
              <w:rPr>
                <w:rFonts w:asciiTheme="majorHAnsi" w:hAnsiTheme="majorHAnsi" w:cstheme="majorHAnsi"/>
                <w:color w:val="000000" w:themeColor="text1"/>
                <w:sz w:val="18"/>
                <w:szCs w:val="18"/>
              </w:rPr>
              <w:t>%</w:t>
            </w:r>
          </w:p>
        </w:tc>
        <w:tc>
          <w:tcPr>
            <w:tcW w:w="1223" w:type="dxa"/>
          </w:tcPr>
          <w:p w14:paraId="720DF87E" w14:textId="77777777" w:rsidR="00EB29BE" w:rsidRPr="00020D54" w:rsidRDefault="00EB29BE"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18</w:t>
            </w:r>
            <w:r w:rsidR="00C82D12" w:rsidRPr="00020D54">
              <w:rPr>
                <w:rFonts w:asciiTheme="majorHAnsi" w:hAnsiTheme="majorHAnsi" w:cstheme="majorHAnsi"/>
                <w:color w:val="000000" w:themeColor="text1"/>
                <w:sz w:val="18"/>
                <w:szCs w:val="18"/>
              </w:rPr>
              <w:t>%</w:t>
            </w:r>
          </w:p>
        </w:tc>
        <w:tc>
          <w:tcPr>
            <w:tcW w:w="1158" w:type="dxa"/>
          </w:tcPr>
          <w:p w14:paraId="1D02FA81" w14:textId="77777777" w:rsidR="00EB29BE" w:rsidRPr="00020D54" w:rsidRDefault="00EB29BE"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18</w:t>
            </w:r>
            <w:r w:rsidR="00C82D12" w:rsidRPr="00020D54">
              <w:rPr>
                <w:rFonts w:asciiTheme="majorHAnsi" w:hAnsiTheme="majorHAnsi" w:cstheme="majorHAnsi"/>
                <w:color w:val="000000" w:themeColor="text1"/>
                <w:sz w:val="18"/>
                <w:szCs w:val="18"/>
              </w:rPr>
              <w:t>%</w:t>
            </w:r>
          </w:p>
        </w:tc>
      </w:tr>
      <w:tr w:rsidR="00C82D12" w:rsidRPr="00020D54" w14:paraId="2BFC168B" w14:textId="77777777" w:rsidTr="00ED33AB">
        <w:tc>
          <w:tcPr>
            <w:tcW w:w="1696" w:type="dxa"/>
          </w:tcPr>
          <w:p w14:paraId="37310924" w14:textId="77777777" w:rsidR="00EB29BE" w:rsidRPr="00020D54" w:rsidRDefault="00EB29BE"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Teachers (n=61)</w:t>
            </w:r>
          </w:p>
        </w:tc>
        <w:tc>
          <w:tcPr>
            <w:tcW w:w="1247" w:type="dxa"/>
          </w:tcPr>
          <w:p w14:paraId="6F3872AE" w14:textId="77777777" w:rsidR="00EB29BE" w:rsidRPr="00020D54" w:rsidRDefault="00EB29BE"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39</w:t>
            </w:r>
            <w:r w:rsidR="00C82D12" w:rsidRPr="00020D54">
              <w:rPr>
                <w:rFonts w:asciiTheme="majorHAnsi" w:hAnsiTheme="majorHAnsi" w:cstheme="majorHAnsi"/>
                <w:color w:val="000000" w:themeColor="text1"/>
                <w:sz w:val="18"/>
                <w:szCs w:val="18"/>
              </w:rPr>
              <w:t>%</w:t>
            </w:r>
          </w:p>
        </w:tc>
        <w:tc>
          <w:tcPr>
            <w:tcW w:w="1600" w:type="dxa"/>
          </w:tcPr>
          <w:p w14:paraId="63947DC9" w14:textId="77777777" w:rsidR="00EB29BE" w:rsidRPr="00020D54" w:rsidRDefault="00EB29BE"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16</w:t>
            </w:r>
            <w:r w:rsidR="00C82D12" w:rsidRPr="00020D54">
              <w:rPr>
                <w:rFonts w:asciiTheme="majorHAnsi" w:hAnsiTheme="majorHAnsi" w:cstheme="majorHAnsi"/>
                <w:color w:val="000000" w:themeColor="text1"/>
                <w:sz w:val="18"/>
                <w:szCs w:val="18"/>
              </w:rPr>
              <w:t>%</w:t>
            </w:r>
          </w:p>
        </w:tc>
        <w:tc>
          <w:tcPr>
            <w:tcW w:w="1138" w:type="dxa"/>
          </w:tcPr>
          <w:p w14:paraId="52AA7C88" w14:textId="77777777" w:rsidR="00EB29BE" w:rsidRPr="00020D54" w:rsidRDefault="00EB29BE"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23</w:t>
            </w:r>
            <w:r w:rsidR="00C82D12" w:rsidRPr="00020D54">
              <w:rPr>
                <w:rFonts w:asciiTheme="majorHAnsi" w:hAnsiTheme="majorHAnsi" w:cstheme="majorHAnsi"/>
                <w:color w:val="000000" w:themeColor="text1"/>
                <w:sz w:val="18"/>
                <w:szCs w:val="18"/>
              </w:rPr>
              <w:t>%</w:t>
            </w:r>
          </w:p>
        </w:tc>
        <w:tc>
          <w:tcPr>
            <w:tcW w:w="948" w:type="dxa"/>
          </w:tcPr>
          <w:p w14:paraId="7178588D" w14:textId="77777777" w:rsidR="00EB29BE" w:rsidRPr="00020D54" w:rsidRDefault="00EB29BE"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23</w:t>
            </w:r>
            <w:r w:rsidR="00C82D12" w:rsidRPr="00020D54">
              <w:rPr>
                <w:rFonts w:asciiTheme="majorHAnsi" w:hAnsiTheme="majorHAnsi" w:cstheme="majorHAnsi"/>
                <w:color w:val="000000" w:themeColor="text1"/>
                <w:sz w:val="18"/>
                <w:szCs w:val="18"/>
              </w:rPr>
              <w:t>%</w:t>
            </w:r>
          </w:p>
        </w:tc>
        <w:tc>
          <w:tcPr>
            <w:tcW w:w="1223" w:type="dxa"/>
          </w:tcPr>
          <w:p w14:paraId="30EA0FAF" w14:textId="77777777" w:rsidR="00EB29BE" w:rsidRPr="00020D54" w:rsidRDefault="00EB29BE"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31</w:t>
            </w:r>
            <w:r w:rsidR="00C82D12" w:rsidRPr="00020D54">
              <w:rPr>
                <w:rFonts w:asciiTheme="majorHAnsi" w:hAnsiTheme="majorHAnsi" w:cstheme="majorHAnsi"/>
                <w:color w:val="000000" w:themeColor="text1"/>
                <w:sz w:val="18"/>
                <w:szCs w:val="18"/>
              </w:rPr>
              <w:t>%</w:t>
            </w:r>
          </w:p>
        </w:tc>
        <w:tc>
          <w:tcPr>
            <w:tcW w:w="1158" w:type="dxa"/>
          </w:tcPr>
          <w:p w14:paraId="1E688D29" w14:textId="77777777" w:rsidR="00EB29BE" w:rsidRPr="00020D54" w:rsidRDefault="00EB29BE"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18</w:t>
            </w:r>
            <w:r w:rsidR="00C82D12" w:rsidRPr="00020D54">
              <w:rPr>
                <w:rFonts w:asciiTheme="majorHAnsi" w:hAnsiTheme="majorHAnsi" w:cstheme="majorHAnsi"/>
                <w:color w:val="000000" w:themeColor="text1"/>
                <w:sz w:val="18"/>
                <w:szCs w:val="18"/>
              </w:rPr>
              <w:t>%</w:t>
            </w:r>
          </w:p>
        </w:tc>
      </w:tr>
    </w:tbl>
    <w:p w14:paraId="00F99244" w14:textId="77777777" w:rsidR="008D0CAD" w:rsidRPr="00020D54" w:rsidRDefault="00C82D12" w:rsidP="000479A3">
      <w:pPr>
        <w:spacing w:before="100" w:beforeAutospacing="1" w:after="100" w:afterAutospacing="1" w:line="360" w:lineRule="auto"/>
        <w:rPr>
          <w:rFonts w:asciiTheme="majorHAnsi" w:hAnsiTheme="majorHAnsi" w:cstheme="majorHAnsi"/>
          <w:color w:val="000000" w:themeColor="text1"/>
          <w:sz w:val="14"/>
          <w:szCs w:val="14"/>
        </w:rPr>
      </w:pPr>
      <w:r w:rsidRPr="00020D54">
        <w:rPr>
          <w:rFonts w:asciiTheme="majorHAnsi" w:hAnsiTheme="majorHAnsi" w:cstheme="majorHAnsi"/>
          <w:color w:val="000000" w:themeColor="text1"/>
          <w:sz w:val="14"/>
          <w:szCs w:val="14"/>
        </w:rPr>
        <w:t>*2019 KAU Survey **2020 KAU Survey</w:t>
      </w:r>
    </w:p>
    <w:p w14:paraId="016CDDEC" w14:textId="3DDDA3C9" w:rsidR="008D0CAD" w:rsidRPr="002A2CF9" w:rsidRDefault="008D0CAD" w:rsidP="000479A3">
      <w:pPr>
        <w:spacing w:before="100" w:beforeAutospacing="1" w:after="100" w:afterAutospacing="1" w:line="360" w:lineRule="auto"/>
        <w:rPr>
          <w:rFonts w:asciiTheme="majorHAnsi" w:hAnsiTheme="majorHAnsi" w:cstheme="majorHAnsi"/>
        </w:rPr>
      </w:pPr>
      <w:r>
        <w:rPr>
          <w:rFonts w:asciiTheme="majorHAnsi" w:hAnsiTheme="majorHAnsi" w:cstheme="majorHAnsi"/>
          <w:color w:val="000000" w:themeColor="text1"/>
        </w:rPr>
        <w:t>I</w:t>
      </w:r>
      <w:r w:rsidRPr="004F546B">
        <w:rPr>
          <w:rFonts w:asciiTheme="majorHAnsi" w:hAnsiTheme="majorHAnsi" w:cstheme="majorHAnsi"/>
          <w:color w:val="000000" w:themeColor="text1"/>
        </w:rPr>
        <w:t xml:space="preserve">n the Follow-up Study, </w:t>
      </w:r>
      <w:r>
        <w:rPr>
          <w:rFonts w:asciiTheme="majorHAnsi" w:hAnsiTheme="majorHAnsi" w:cstheme="majorHAnsi"/>
          <w:color w:val="000000" w:themeColor="text1"/>
        </w:rPr>
        <w:t>91 per cent of teachers stated that their school used the PRIMALS.</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This was a similar share of teachers as in the main study: only about</w:t>
      </w:r>
      <w:r w:rsidRPr="004F546B">
        <w:rPr>
          <w:rFonts w:asciiTheme="majorHAnsi" w:hAnsiTheme="majorHAnsi" w:cstheme="majorHAnsi"/>
          <w:color w:val="000000" w:themeColor="text1"/>
        </w:rPr>
        <w:t xml:space="preserve"> half of teachers ha</w:t>
      </w:r>
      <w:r>
        <w:rPr>
          <w:rFonts w:asciiTheme="majorHAnsi" w:hAnsiTheme="majorHAnsi" w:cstheme="majorHAnsi"/>
          <w:color w:val="000000" w:themeColor="text1"/>
        </w:rPr>
        <w:t>d</w:t>
      </w:r>
      <w:r w:rsidRPr="004F546B">
        <w:rPr>
          <w:rFonts w:asciiTheme="majorHAnsi" w:hAnsiTheme="majorHAnsi" w:cstheme="majorHAnsi"/>
          <w:color w:val="000000" w:themeColor="text1"/>
        </w:rPr>
        <w:t xml:space="preserve"> good knowledge (</w:t>
      </w:r>
      <w:r>
        <w:rPr>
          <w:rFonts w:asciiTheme="majorHAnsi" w:hAnsiTheme="majorHAnsi" w:cstheme="majorHAnsi"/>
          <w:color w:val="000000" w:themeColor="text1"/>
        </w:rPr>
        <w:t>56 per cent</w:t>
      </w:r>
      <w:r w:rsidRPr="004F546B">
        <w:rPr>
          <w:rFonts w:asciiTheme="majorHAnsi" w:hAnsiTheme="majorHAnsi" w:cstheme="majorHAnsi"/>
          <w:color w:val="000000" w:themeColor="text1"/>
        </w:rPr>
        <w:t>)</w:t>
      </w:r>
      <w:r>
        <w:rPr>
          <w:rFonts w:asciiTheme="majorHAnsi" w:hAnsiTheme="majorHAnsi" w:cstheme="majorHAnsi"/>
          <w:color w:val="000000" w:themeColor="text1"/>
        </w:rPr>
        <w:t xml:space="preserve">, </w:t>
      </w:r>
      <w:r w:rsidRPr="004F546B">
        <w:rPr>
          <w:rFonts w:asciiTheme="majorHAnsi" w:hAnsiTheme="majorHAnsi" w:cstheme="majorHAnsi"/>
          <w:color w:val="000000" w:themeColor="text1"/>
        </w:rPr>
        <w:t>access (</w:t>
      </w:r>
      <w:r>
        <w:rPr>
          <w:rFonts w:asciiTheme="majorHAnsi" w:hAnsiTheme="majorHAnsi" w:cstheme="majorHAnsi"/>
          <w:color w:val="000000" w:themeColor="text1"/>
        </w:rPr>
        <w:t>46 per cent</w:t>
      </w:r>
      <w:r w:rsidRPr="004F546B">
        <w:rPr>
          <w:rFonts w:asciiTheme="majorHAnsi" w:hAnsiTheme="majorHAnsi" w:cstheme="majorHAnsi"/>
          <w:color w:val="000000" w:themeColor="text1"/>
        </w:rPr>
        <w:t>) and f</w:t>
      </w:r>
      <w:r>
        <w:rPr>
          <w:rFonts w:asciiTheme="majorHAnsi" w:hAnsiTheme="majorHAnsi" w:cstheme="majorHAnsi"/>
          <w:color w:val="000000" w:themeColor="text1"/>
        </w:rPr>
        <w:t>ou</w:t>
      </w:r>
      <w:r w:rsidRPr="004F546B">
        <w:rPr>
          <w:rFonts w:asciiTheme="majorHAnsi" w:hAnsiTheme="majorHAnsi" w:cstheme="majorHAnsi"/>
          <w:color w:val="000000" w:themeColor="text1"/>
        </w:rPr>
        <w:t>nd the PRIMALS useful (4</w:t>
      </w:r>
      <w:r>
        <w:rPr>
          <w:rFonts w:asciiTheme="majorHAnsi" w:hAnsiTheme="majorHAnsi" w:cstheme="majorHAnsi"/>
          <w:color w:val="000000" w:themeColor="text1"/>
        </w:rPr>
        <w:t>9 per cent</w:t>
      </w:r>
      <w:r w:rsidRPr="004F546B">
        <w:rPr>
          <w:rFonts w:asciiTheme="majorHAnsi" w:hAnsiTheme="majorHAnsi" w:cstheme="majorHAnsi"/>
          <w:color w:val="000000" w:themeColor="text1"/>
        </w:rPr>
        <w:t>).</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This shows that dissemination and adoption of PRIMALS did not improve significantly after the end of the Program.</w:t>
      </w:r>
    </w:p>
    <w:p w14:paraId="488A6873" w14:textId="7AE11B7A" w:rsidR="008D0CAD" w:rsidRPr="00B07D16" w:rsidRDefault="008D0CAD" w:rsidP="000479A3">
      <w:pPr>
        <w:spacing w:before="100" w:beforeAutospacing="1" w:after="100" w:afterAutospacing="1" w:line="360" w:lineRule="auto"/>
        <w:rPr>
          <w:rFonts w:asciiTheme="majorHAnsi" w:hAnsiTheme="majorHAnsi" w:cstheme="majorHAnsi"/>
          <w:color w:val="000000" w:themeColor="text1"/>
        </w:rPr>
      </w:pPr>
      <w:r w:rsidRPr="004F546B">
        <w:rPr>
          <w:rFonts w:asciiTheme="majorHAnsi" w:hAnsiTheme="majorHAnsi" w:cstheme="majorHAnsi"/>
          <w:color w:val="000000" w:themeColor="text1"/>
        </w:rPr>
        <w:t xml:space="preserve">Nevertheless, for those teachers who did use the PRIMALS, </w:t>
      </w:r>
      <w:r>
        <w:rPr>
          <w:rFonts w:asciiTheme="majorHAnsi" w:hAnsiTheme="majorHAnsi" w:cstheme="majorHAnsi"/>
          <w:color w:val="000000" w:themeColor="text1"/>
        </w:rPr>
        <w:t>about</w:t>
      </w:r>
      <w:r w:rsidRPr="004F546B">
        <w:rPr>
          <w:rFonts w:asciiTheme="majorHAnsi" w:hAnsiTheme="majorHAnsi" w:cstheme="majorHAnsi"/>
          <w:color w:val="000000" w:themeColor="text1"/>
        </w:rPr>
        <w:t xml:space="preserve"> 8</w:t>
      </w:r>
      <w:r>
        <w:rPr>
          <w:rFonts w:asciiTheme="majorHAnsi" w:hAnsiTheme="majorHAnsi" w:cstheme="majorHAnsi"/>
          <w:color w:val="000000" w:themeColor="text1"/>
        </w:rPr>
        <w:t>3</w:t>
      </w:r>
      <w:r w:rsidRPr="004F546B">
        <w:rPr>
          <w:rFonts w:asciiTheme="majorHAnsi" w:hAnsiTheme="majorHAnsi" w:cstheme="majorHAnsi"/>
          <w:color w:val="000000" w:themeColor="text1"/>
        </w:rPr>
        <w:t xml:space="preserve"> </w:t>
      </w:r>
      <w:r>
        <w:rPr>
          <w:rFonts w:asciiTheme="majorHAnsi" w:hAnsiTheme="majorHAnsi" w:cstheme="majorHAnsi"/>
          <w:color w:val="000000" w:themeColor="text1"/>
        </w:rPr>
        <w:t>per cent</w:t>
      </w:r>
      <w:r w:rsidRPr="004F546B">
        <w:rPr>
          <w:rFonts w:asciiTheme="majorHAnsi" w:hAnsiTheme="majorHAnsi" w:cstheme="majorHAnsi"/>
          <w:color w:val="000000" w:themeColor="text1"/>
        </w:rPr>
        <w:t xml:space="preserve"> rated it as High to Very High in terms of</w:t>
      </w:r>
      <w:r>
        <w:rPr>
          <w:rFonts w:asciiTheme="majorHAnsi" w:hAnsiTheme="majorHAnsi" w:cstheme="majorHAnsi"/>
          <w:color w:val="000000" w:themeColor="text1"/>
        </w:rPr>
        <w:t>: a</w:t>
      </w:r>
      <w:r w:rsidRPr="004F546B">
        <w:rPr>
          <w:rFonts w:ascii="Calibri Light" w:hAnsi="Calibri Light" w:cs="Calibri Light"/>
          <w:color w:val="000000"/>
        </w:rPr>
        <w:t xml:space="preserve">ppropriateness as a teaching tool for teachers; </w:t>
      </w:r>
      <w:r>
        <w:rPr>
          <w:rFonts w:ascii="Calibri Light" w:hAnsi="Calibri Light" w:cs="Calibri Light"/>
          <w:color w:val="000000"/>
        </w:rPr>
        <w:t>a</w:t>
      </w:r>
      <w:r w:rsidRPr="004F546B">
        <w:rPr>
          <w:rFonts w:ascii="Calibri Light" w:hAnsi="Calibri Light" w:cs="Calibri Light"/>
          <w:color w:val="000000"/>
        </w:rPr>
        <w:t xml:space="preserve">cceptability of the tool to teachers; and </w:t>
      </w:r>
      <w:r>
        <w:rPr>
          <w:rFonts w:ascii="Calibri Light" w:hAnsi="Calibri Light" w:cs="Calibri Light"/>
          <w:color w:val="000000"/>
        </w:rPr>
        <w:t>u</w:t>
      </w:r>
      <w:r w:rsidRPr="004F546B">
        <w:rPr>
          <w:rFonts w:ascii="Calibri Light" w:hAnsi="Calibri Light" w:cs="Calibri Light"/>
          <w:color w:val="000000"/>
        </w:rPr>
        <w:t>sefulness of the tool to teachers.</w:t>
      </w:r>
      <w:r>
        <w:rPr>
          <w:rStyle w:val="FootnoteReference"/>
          <w:rFonts w:ascii="Calibri Light" w:eastAsia="Arial Unicode MS" w:hAnsi="Calibri Light" w:cs="Calibri Light"/>
          <w:color w:val="000000"/>
        </w:rPr>
        <w:footnoteReference w:id="31"/>
      </w:r>
      <w:r w:rsidR="00D434EB">
        <w:rPr>
          <w:rFonts w:ascii="Calibri Light" w:hAnsi="Calibri Light" w:cs="Calibri Light"/>
          <w:color w:val="000000"/>
        </w:rPr>
        <w:t xml:space="preserve"> </w:t>
      </w:r>
      <w:r w:rsidRPr="00B07D16">
        <w:rPr>
          <w:rFonts w:ascii="Calibri Light" w:hAnsi="Calibri Light" w:cs="Calibri Light"/>
          <w:color w:val="000000" w:themeColor="text1"/>
        </w:rPr>
        <w:t>This finding provides sufficient evidence to pursue more extensive training on PRIMALS.</w:t>
      </w:r>
    </w:p>
    <w:p w14:paraId="00D5CE38" w14:textId="77777777" w:rsidR="008D0CAD" w:rsidRDefault="008D0CAD" w:rsidP="008C061C">
      <w:pPr>
        <w:pStyle w:val="Heading6"/>
      </w:pPr>
      <w:r w:rsidRPr="005700B3">
        <w:t>Action Research</w:t>
      </w:r>
      <w:r>
        <w:t xml:space="preserve"> (AR)</w:t>
      </w:r>
    </w:p>
    <w:p w14:paraId="2554FBAF" w14:textId="28E7FFC6" w:rsidR="008D0CAD" w:rsidRDefault="008D0CAD" w:rsidP="000479A3">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rPr>
        <w:t>T</w:t>
      </w:r>
      <w:r w:rsidRPr="00EA2D58">
        <w:rPr>
          <w:rFonts w:asciiTheme="majorHAnsi" w:hAnsiTheme="majorHAnsi" w:cstheme="majorHAnsi"/>
          <w:color w:val="000000" w:themeColor="text1"/>
        </w:rPr>
        <w:t xml:space="preserve">eachers were encouraged to conduct </w:t>
      </w:r>
      <w:r w:rsidRPr="00A02605">
        <w:rPr>
          <w:rFonts w:asciiTheme="majorHAnsi" w:hAnsiTheme="majorHAnsi" w:cstheme="majorHAnsi"/>
          <w:bCs/>
          <w:color w:val="000000" w:themeColor="text1"/>
        </w:rPr>
        <w:t>Action Research</w:t>
      </w:r>
      <w:r w:rsidRPr="00EA2D58">
        <w:rPr>
          <w:rFonts w:asciiTheme="majorHAnsi" w:hAnsiTheme="majorHAnsi" w:cstheme="majorHAnsi"/>
          <w:color w:val="000000" w:themeColor="text1"/>
        </w:rPr>
        <w:t xml:space="preserve"> by submitting proposals focused on areas of weakness</w:t>
      </w:r>
      <w:r>
        <w:rPr>
          <w:rFonts w:asciiTheme="majorHAnsi" w:hAnsiTheme="majorHAnsi" w:cstheme="majorHAnsi"/>
          <w:color w:val="000000" w:themeColor="text1"/>
        </w:rPr>
        <w:t>es</w:t>
      </w:r>
      <w:r w:rsidRPr="00EA2D58">
        <w:rPr>
          <w:rFonts w:asciiTheme="majorHAnsi" w:hAnsiTheme="majorHAnsi" w:cstheme="majorHAnsi"/>
          <w:color w:val="000000" w:themeColor="text1"/>
        </w:rPr>
        <w:t xml:space="preserve"> identified </w:t>
      </w:r>
      <w:r>
        <w:rPr>
          <w:rFonts w:asciiTheme="majorHAnsi" w:hAnsiTheme="majorHAnsi" w:cstheme="majorHAnsi"/>
          <w:color w:val="000000" w:themeColor="text1"/>
        </w:rPr>
        <w:t>in</w:t>
      </w:r>
      <w:r w:rsidRPr="00EA2D58">
        <w:rPr>
          <w:rFonts w:asciiTheme="majorHAnsi" w:hAnsiTheme="majorHAnsi" w:cstheme="majorHAnsi"/>
          <w:color w:val="000000" w:themeColor="text1"/>
        </w:rPr>
        <w:t xml:space="preserve"> the </w:t>
      </w:r>
      <w:r w:rsidRPr="0024402D">
        <w:rPr>
          <w:rFonts w:asciiTheme="majorHAnsi" w:hAnsiTheme="majorHAnsi" w:cstheme="majorHAnsi"/>
        </w:rPr>
        <w:t>Teacher Development Needs Study</w:t>
      </w:r>
      <w:r>
        <w:rPr>
          <w:rFonts w:asciiTheme="majorHAnsi" w:hAnsiTheme="majorHAnsi" w:cstheme="majorHAnsi"/>
          <w:color w:val="000000" w:themeColor="text1"/>
        </w:rPr>
        <w:t xml:space="preserve">. </w:t>
      </w:r>
      <w:r w:rsidRPr="004F546B">
        <w:rPr>
          <w:rFonts w:asciiTheme="majorHAnsi" w:hAnsiTheme="majorHAnsi" w:cstheme="majorHAnsi"/>
          <w:color w:val="000000" w:themeColor="text1"/>
        </w:rPr>
        <w:t>Feedback during the FGDs revealed that teachers viewed this training modality as more expensive to conduct and more time consuming and thus were not as popular</w:t>
      </w:r>
      <w:r>
        <w:rPr>
          <w:rFonts w:asciiTheme="majorHAnsi" w:hAnsiTheme="majorHAnsi" w:cstheme="majorHAnsi"/>
          <w:color w:val="000000" w:themeColor="text1"/>
        </w:rPr>
        <w:t xml:space="preserve"> as the LAC</w:t>
      </w:r>
      <w:r w:rsidRPr="004F546B">
        <w:rPr>
          <w:rFonts w:asciiTheme="majorHAnsi" w:hAnsiTheme="majorHAnsi" w:cstheme="majorHAnsi"/>
          <w:color w:val="000000" w:themeColor="text1"/>
        </w:rPr>
        <w:t>.</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In the </w:t>
      </w:r>
      <w:r w:rsidRPr="004F546B">
        <w:rPr>
          <w:rFonts w:asciiTheme="majorHAnsi" w:hAnsiTheme="majorHAnsi" w:cstheme="majorHAnsi"/>
          <w:color w:val="000000" w:themeColor="text1"/>
        </w:rPr>
        <w:t>Follow-up Study</w:t>
      </w:r>
      <w:r>
        <w:rPr>
          <w:rFonts w:asciiTheme="majorHAnsi" w:hAnsiTheme="majorHAnsi" w:cstheme="majorHAnsi"/>
          <w:color w:val="000000" w:themeColor="text1"/>
        </w:rPr>
        <w:t>, it was confirmed that all Master Teachers (MTs) undertake Action Research annually as part of their portfolio requirements.</w:t>
      </w:r>
    </w:p>
    <w:p w14:paraId="48482B09" w14:textId="674C0A7F" w:rsidR="008D0CAD" w:rsidRPr="004F546B" w:rsidRDefault="008D0CAD" w:rsidP="000479A3">
      <w:pPr>
        <w:spacing w:before="100" w:beforeAutospacing="1" w:after="100" w:afterAutospacing="1" w:line="360" w:lineRule="auto"/>
        <w:rPr>
          <w:rFonts w:asciiTheme="majorHAnsi" w:hAnsiTheme="majorHAnsi" w:cstheme="majorHAnsi"/>
          <w:color w:val="000000" w:themeColor="text1"/>
        </w:rPr>
      </w:pPr>
      <w:r w:rsidRPr="004F546B">
        <w:rPr>
          <w:rFonts w:asciiTheme="majorHAnsi" w:hAnsiTheme="majorHAnsi" w:cstheme="majorHAnsi"/>
        </w:rPr>
        <w:t>On the part of RO/DO respondents (from the FGDs), action research was generally equated with Continuous Improvement (CI) initiatives conducted for the purpose of improving learning outcomes particularly for those students with learning difficulties or those not regularly in school.</w:t>
      </w:r>
      <w:r w:rsidR="00D434EB">
        <w:rPr>
          <w:rFonts w:asciiTheme="majorHAnsi" w:hAnsiTheme="majorHAnsi" w:cstheme="majorHAnsi"/>
        </w:rPr>
        <w:t xml:space="preserve"> </w:t>
      </w:r>
    </w:p>
    <w:p w14:paraId="13A7E209" w14:textId="6B3B937C" w:rsidR="008D0CAD" w:rsidRDefault="008D0CAD" w:rsidP="000479A3">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color w:val="000000" w:themeColor="text1"/>
        </w:rPr>
        <w:t>C</w:t>
      </w:r>
      <w:r w:rsidRPr="004F546B">
        <w:rPr>
          <w:rFonts w:asciiTheme="majorHAnsi" w:hAnsiTheme="majorHAnsi" w:cstheme="majorHAnsi"/>
          <w:color w:val="000000" w:themeColor="text1"/>
        </w:rPr>
        <w:t>ompared to other competencies, Conducting Action Research was perceived by teachers as the</w:t>
      </w:r>
      <w:r>
        <w:rPr>
          <w:rFonts w:asciiTheme="majorHAnsi" w:hAnsiTheme="majorHAnsi" w:cstheme="majorHAnsi"/>
          <w:color w:val="000000" w:themeColor="text1"/>
        </w:rPr>
        <w:t>ir</w:t>
      </w:r>
      <w:r w:rsidRPr="004F546B">
        <w:rPr>
          <w:rFonts w:asciiTheme="majorHAnsi" w:hAnsiTheme="majorHAnsi" w:cstheme="majorHAnsi"/>
          <w:color w:val="000000" w:themeColor="text1"/>
        </w:rPr>
        <w:t xml:space="preserve"> least improved competencies in the last five years</w:t>
      </w:r>
      <w:r>
        <w:rPr>
          <w:rFonts w:asciiTheme="majorHAnsi" w:hAnsiTheme="majorHAnsi" w:cstheme="majorHAnsi"/>
          <w:color w:val="000000" w:themeColor="text1"/>
        </w:rPr>
        <w:t>.</w:t>
      </w:r>
      <w:r w:rsidRPr="004F546B">
        <w:rPr>
          <w:rFonts w:asciiTheme="majorHAnsi" w:hAnsiTheme="majorHAnsi" w:cstheme="majorHAnsi"/>
          <w:color w:val="000000" w:themeColor="text1"/>
        </w:rPr>
        <w:t xml:space="preserve"> </w:t>
      </w:r>
      <w:r>
        <w:rPr>
          <w:rFonts w:asciiTheme="majorHAnsi" w:hAnsiTheme="majorHAnsi" w:cstheme="majorHAnsi"/>
          <w:color w:val="000000" w:themeColor="text1"/>
        </w:rPr>
        <w:t>Fifty-one</w:t>
      </w:r>
      <w:r w:rsidRPr="004F546B">
        <w:rPr>
          <w:rFonts w:asciiTheme="majorHAnsi" w:hAnsiTheme="majorHAnsi" w:cstheme="majorHAnsi"/>
          <w:color w:val="000000" w:themeColor="text1"/>
        </w:rPr>
        <w:t xml:space="preserve"> </w:t>
      </w:r>
      <w:r>
        <w:rPr>
          <w:rFonts w:asciiTheme="majorHAnsi" w:hAnsiTheme="majorHAnsi" w:cstheme="majorHAnsi"/>
          <w:color w:val="000000" w:themeColor="text1"/>
        </w:rPr>
        <w:t>per cent</w:t>
      </w:r>
      <w:r w:rsidRPr="004F546B">
        <w:rPr>
          <w:rFonts w:asciiTheme="majorHAnsi" w:hAnsiTheme="majorHAnsi" w:cstheme="majorHAnsi"/>
          <w:color w:val="000000" w:themeColor="text1"/>
        </w:rPr>
        <w:t xml:space="preserve"> stat</w:t>
      </w:r>
      <w:r>
        <w:rPr>
          <w:rFonts w:asciiTheme="majorHAnsi" w:hAnsiTheme="majorHAnsi" w:cstheme="majorHAnsi"/>
          <w:color w:val="000000" w:themeColor="text1"/>
        </w:rPr>
        <w:t>ed</w:t>
      </w:r>
      <w:r w:rsidRPr="004F546B">
        <w:rPr>
          <w:rFonts w:asciiTheme="majorHAnsi" w:hAnsiTheme="majorHAnsi" w:cstheme="majorHAnsi"/>
          <w:color w:val="000000" w:themeColor="text1"/>
        </w:rPr>
        <w:t xml:space="preserve"> </w:t>
      </w:r>
      <w:r>
        <w:rPr>
          <w:rFonts w:asciiTheme="majorHAnsi" w:hAnsiTheme="majorHAnsi" w:cstheme="majorHAnsi"/>
          <w:color w:val="000000" w:themeColor="text1"/>
        </w:rPr>
        <w:t>that their</w:t>
      </w:r>
      <w:r w:rsidRPr="004F546B">
        <w:rPr>
          <w:rFonts w:asciiTheme="majorHAnsi" w:hAnsiTheme="majorHAnsi" w:cstheme="majorHAnsi"/>
          <w:color w:val="000000" w:themeColor="text1"/>
        </w:rPr>
        <w:t xml:space="preserve"> competency </w:t>
      </w:r>
      <w:r>
        <w:rPr>
          <w:rFonts w:asciiTheme="majorHAnsi" w:hAnsiTheme="majorHAnsi" w:cstheme="majorHAnsi"/>
          <w:color w:val="000000" w:themeColor="text1"/>
        </w:rPr>
        <w:t xml:space="preserve">in </w:t>
      </w:r>
      <w:r w:rsidRPr="004F546B">
        <w:rPr>
          <w:rFonts w:asciiTheme="majorHAnsi" w:hAnsiTheme="majorHAnsi" w:cstheme="majorHAnsi"/>
          <w:color w:val="000000" w:themeColor="text1"/>
        </w:rPr>
        <w:t xml:space="preserve">Action </w:t>
      </w:r>
      <w:r w:rsidRPr="00FB574A">
        <w:rPr>
          <w:rFonts w:asciiTheme="majorHAnsi" w:hAnsiTheme="majorHAnsi" w:cstheme="majorHAnsi"/>
          <w:color w:val="000000" w:themeColor="text1"/>
        </w:rPr>
        <w:t>Research was better today than five years ago while only 5 per</w:t>
      </w:r>
      <w:r>
        <w:rPr>
          <w:rFonts w:asciiTheme="majorHAnsi" w:hAnsiTheme="majorHAnsi" w:cstheme="majorHAnsi"/>
          <w:color w:val="000000" w:themeColor="text1"/>
        </w:rPr>
        <w:t xml:space="preserve"> </w:t>
      </w:r>
      <w:r w:rsidRPr="00FB574A">
        <w:rPr>
          <w:rFonts w:asciiTheme="majorHAnsi" w:hAnsiTheme="majorHAnsi" w:cstheme="majorHAnsi"/>
          <w:color w:val="000000" w:themeColor="text1"/>
        </w:rPr>
        <w:t>cent said that it was significantly better (refer also to Section 3.2.2.4 and 3.2.3.2).</w:t>
      </w:r>
      <w:r w:rsidR="00D434EB">
        <w:rPr>
          <w:rFonts w:asciiTheme="majorHAnsi" w:hAnsiTheme="majorHAnsi" w:cstheme="majorHAnsi"/>
          <w:color w:val="000000" w:themeColor="text1"/>
        </w:rPr>
        <w:t xml:space="preserve"> </w:t>
      </w:r>
      <w:r w:rsidRPr="00FB574A">
        <w:rPr>
          <w:rFonts w:asciiTheme="majorHAnsi" w:hAnsiTheme="majorHAnsi" w:cstheme="majorHAnsi"/>
          <w:color w:val="000000" w:themeColor="text1"/>
        </w:rPr>
        <w:t>The Follow</w:t>
      </w:r>
      <w:r w:rsidRPr="004F546B">
        <w:rPr>
          <w:rFonts w:asciiTheme="majorHAnsi" w:hAnsiTheme="majorHAnsi" w:cstheme="majorHAnsi"/>
          <w:color w:val="000000" w:themeColor="text1"/>
        </w:rPr>
        <w:t>-up Study</w:t>
      </w:r>
      <w:r>
        <w:rPr>
          <w:rFonts w:asciiTheme="majorHAnsi" w:hAnsiTheme="majorHAnsi" w:cstheme="majorHAnsi"/>
          <w:color w:val="000000" w:themeColor="text1"/>
        </w:rPr>
        <w:t xml:space="preserve"> confirmed this finding as</w:t>
      </w:r>
      <w:r w:rsidRPr="004F546B">
        <w:rPr>
          <w:rFonts w:asciiTheme="majorHAnsi" w:hAnsiTheme="majorHAnsi" w:cstheme="majorHAnsi"/>
          <w:color w:val="000000" w:themeColor="text1"/>
        </w:rPr>
        <w:t xml:space="preserve"> only 10 </w:t>
      </w:r>
      <w:r>
        <w:rPr>
          <w:rFonts w:asciiTheme="majorHAnsi" w:hAnsiTheme="majorHAnsi" w:cstheme="majorHAnsi"/>
          <w:color w:val="000000" w:themeColor="text1"/>
        </w:rPr>
        <w:t>per cent</w:t>
      </w:r>
      <w:r w:rsidRPr="004F546B">
        <w:rPr>
          <w:rFonts w:asciiTheme="majorHAnsi" w:hAnsiTheme="majorHAnsi" w:cstheme="majorHAnsi"/>
          <w:color w:val="000000" w:themeColor="text1"/>
        </w:rPr>
        <w:t xml:space="preserve"> of teachers said that their competency in “</w:t>
      </w:r>
      <w:r w:rsidRPr="00B07D16">
        <w:rPr>
          <w:rFonts w:ascii="Calibri Light" w:hAnsi="Calibri Light" w:cs="Calibri Light"/>
          <w:i/>
          <w:iCs/>
          <w:color w:val="000000"/>
        </w:rPr>
        <w:t>Research-based knowledge and principles of teaching and learning</w:t>
      </w:r>
      <w:r w:rsidRPr="004F546B">
        <w:rPr>
          <w:rFonts w:ascii="Calibri Light" w:hAnsi="Calibri Light" w:cs="Calibri Light"/>
          <w:color w:val="000000"/>
        </w:rPr>
        <w:t>” significantly increased</w:t>
      </w:r>
      <w:r>
        <w:rPr>
          <w:rFonts w:ascii="Calibri Light" w:hAnsi="Calibri Light" w:cs="Calibri Light"/>
          <w:color w:val="000000"/>
        </w:rPr>
        <w:t xml:space="preserve"> within the same period</w:t>
      </w:r>
      <w:r w:rsidRPr="004F546B">
        <w:rPr>
          <w:rFonts w:asciiTheme="majorHAnsi" w:hAnsiTheme="majorHAnsi" w:cstheme="majorHAnsi"/>
          <w:color w:val="000000" w:themeColor="text1"/>
        </w:rPr>
        <w:t>.</w:t>
      </w:r>
    </w:p>
    <w:p w14:paraId="2A972253" w14:textId="7C745D9A" w:rsidR="00C82D12" w:rsidRDefault="008D0CAD" w:rsidP="007C1A2E">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color w:val="000000" w:themeColor="text1"/>
        </w:rPr>
        <w:t xml:space="preserve">Teachers were also asked about their familiarity with and use of the Action Research Toolkit, developed with assistance from the BEST Program to serve as a manual in the conduct action research. </w:t>
      </w:r>
      <w:r>
        <w:rPr>
          <w:rFonts w:asciiTheme="majorHAnsi" w:hAnsiTheme="majorHAnsi" w:cstheme="majorHAnsi"/>
        </w:rPr>
        <w:t xml:space="preserve">Survey </w:t>
      </w:r>
      <w:r w:rsidRPr="009F57A0">
        <w:rPr>
          <w:rFonts w:asciiTheme="majorHAnsi" w:hAnsiTheme="majorHAnsi" w:cstheme="majorHAnsi"/>
          <w:color w:val="000000" w:themeColor="text1"/>
        </w:rPr>
        <w:t>results showed that less than a third of teachers in BEST Program-supported schools said they ha</w:t>
      </w:r>
      <w:r>
        <w:rPr>
          <w:rFonts w:asciiTheme="majorHAnsi" w:hAnsiTheme="majorHAnsi" w:cstheme="majorHAnsi"/>
          <w:color w:val="000000" w:themeColor="text1"/>
        </w:rPr>
        <w:t>d</w:t>
      </w:r>
      <w:r w:rsidRPr="009F57A0">
        <w:rPr>
          <w:rFonts w:asciiTheme="majorHAnsi" w:hAnsiTheme="majorHAnsi" w:cstheme="majorHAnsi"/>
          <w:color w:val="000000" w:themeColor="text1"/>
        </w:rPr>
        <w:t xml:space="preserve"> good knowledge (28</w:t>
      </w:r>
      <w:r>
        <w:rPr>
          <w:rFonts w:asciiTheme="majorHAnsi" w:hAnsiTheme="majorHAnsi" w:cstheme="majorHAnsi"/>
          <w:color w:val="000000" w:themeColor="text1"/>
        </w:rPr>
        <w:t xml:space="preserve"> per cent</w:t>
      </w:r>
      <w:r w:rsidRPr="009F57A0">
        <w:rPr>
          <w:rFonts w:asciiTheme="majorHAnsi" w:hAnsiTheme="majorHAnsi" w:cstheme="majorHAnsi"/>
          <w:color w:val="000000" w:themeColor="text1"/>
        </w:rPr>
        <w:t>) about the Action Research Toolkit and ha</w:t>
      </w:r>
      <w:r>
        <w:rPr>
          <w:rFonts w:asciiTheme="majorHAnsi" w:hAnsiTheme="majorHAnsi" w:cstheme="majorHAnsi"/>
          <w:color w:val="000000" w:themeColor="text1"/>
        </w:rPr>
        <w:t>d</w:t>
      </w:r>
      <w:r w:rsidRPr="009F57A0">
        <w:rPr>
          <w:rFonts w:asciiTheme="majorHAnsi" w:hAnsiTheme="majorHAnsi" w:cstheme="majorHAnsi"/>
          <w:color w:val="000000" w:themeColor="text1"/>
        </w:rPr>
        <w:t xml:space="preserve"> access (22</w:t>
      </w:r>
      <w:r>
        <w:rPr>
          <w:rFonts w:asciiTheme="majorHAnsi" w:hAnsiTheme="majorHAnsi" w:cstheme="majorHAnsi"/>
          <w:color w:val="000000" w:themeColor="text1"/>
        </w:rPr>
        <w:t xml:space="preserve"> per cent</w:t>
      </w:r>
      <w:r w:rsidRPr="009F57A0">
        <w:rPr>
          <w:rFonts w:asciiTheme="majorHAnsi" w:hAnsiTheme="majorHAnsi" w:cstheme="majorHAnsi"/>
          <w:color w:val="000000" w:themeColor="text1"/>
        </w:rPr>
        <w:t xml:space="preserve">) to it (Table </w:t>
      </w:r>
      <w:r>
        <w:rPr>
          <w:rFonts w:asciiTheme="majorHAnsi" w:hAnsiTheme="majorHAnsi" w:cstheme="majorHAnsi"/>
          <w:color w:val="000000" w:themeColor="text1"/>
        </w:rPr>
        <w:t>6</w:t>
      </w:r>
      <w:r w:rsidRPr="009F57A0">
        <w:rPr>
          <w:rFonts w:asciiTheme="majorHAnsi" w:hAnsiTheme="majorHAnsi" w:cstheme="majorHAnsi"/>
          <w:color w:val="000000" w:themeColor="text1"/>
        </w:rPr>
        <w:t>).</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More of them, however, found it useful (36 per cent).</w:t>
      </w:r>
      <w:r w:rsidR="00D434EB">
        <w:rPr>
          <w:rFonts w:asciiTheme="majorHAnsi" w:hAnsiTheme="majorHAnsi" w:cstheme="majorHAnsi"/>
          <w:color w:val="000000" w:themeColor="text1"/>
        </w:rPr>
        <w:t xml:space="preserve"> </w:t>
      </w:r>
    </w:p>
    <w:p w14:paraId="1763944B" w14:textId="1737D954" w:rsidR="008D0CAD" w:rsidRPr="00DD6E21" w:rsidRDefault="008D0CAD" w:rsidP="007C1A2E">
      <w:pPr>
        <w:spacing w:before="100" w:beforeAutospacing="1" w:after="100" w:afterAutospacing="1" w:line="360" w:lineRule="auto"/>
        <w:rPr>
          <w:rFonts w:asciiTheme="majorHAnsi" w:hAnsiTheme="majorHAnsi" w:cstheme="majorHAnsi"/>
          <w:i/>
          <w:iCs/>
          <w:color w:val="44546A" w:themeColor="text2"/>
          <w:sz w:val="40"/>
          <w:szCs w:val="40"/>
        </w:rPr>
      </w:pPr>
      <w:bookmarkStart w:id="87" w:name="_Toc71616597"/>
      <w:r w:rsidRPr="00DD6E21">
        <w:rPr>
          <w:rFonts w:asciiTheme="majorHAnsi" w:hAnsiTheme="majorHAnsi" w:cstheme="majorHAnsi"/>
          <w:i/>
          <w:iCs/>
          <w:color w:val="44546A" w:themeColor="text2"/>
          <w:sz w:val="22"/>
          <w:szCs w:val="22"/>
        </w:rPr>
        <w:t xml:space="preserve">Table </w:t>
      </w:r>
      <w:r w:rsidRPr="00DD6E21">
        <w:rPr>
          <w:rFonts w:asciiTheme="majorHAnsi" w:hAnsiTheme="majorHAnsi" w:cstheme="majorHAnsi"/>
          <w:i/>
          <w:iCs/>
          <w:color w:val="44546A" w:themeColor="text2"/>
          <w:sz w:val="22"/>
          <w:szCs w:val="22"/>
        </w:rPr>
        <w:fldChar w:fldCharType="begin"/>
      </w:r>
      <w:r w:rsidRPr="00DD6E21">
        <w:rPr>
          <w:rFonts w:asciiTheme="majorHAnsi" w:hAnsiTheme="majorHAnsi" w:cstheme="majorHAnsi"/>
          <w:i/>
          <w:iCs/>
          <w:color w:val="44546A" w:themeColor="text2"/>
          <w:sz w:val="22"/>
          <w:szCs w:val="22"/>
        </w:rPr>
        <w:instrText xml:space="preserve"> SEQ Table \* ARABIC </w:instrText>
      </w:r>
      <w:r w:rsidRPr="00DD6E21">
        <w:rPr>
          <w:rFonts w:asciiTheme="majorHAnsi" w:hAnsiTheme="majorHAnsi" w:cstheme="majorHAnsi"/>
          <w:i/>
          <w:iCs/>
          <w:color w:val="44546A" w:themeColor="text2"/>
          <w:sz w:val="22"/>
          <w:szCs w:val="22"/>
        </w:rPr>
        <w:fldChar w:fldCharType="separate"/>
      </w:r>
      <w:r w:rsidR="00D6133D">
        <w:rPr>
          <w:rFonts w:asciiTheme="majorHAnsi" w:hAnsiTheme="majorHAnsi" w:cstheme="majorHAnsi"/>
          <w:i/>
          <w:iCs/>
          <w:noProof/>
          <w:color w:val="44546A" w:themeColor="text2"/>
          <w:sz w:val="22"/>
          <w:szCs w:val="22"/>
        </w:rPr>
        <w:t>6</w:t>
      </w:r>
      <w:r w:rsidRPr="00DD6E21">
        <w:rPr>
          <w:rFonts w:asciiTheme="majorHAnsi" w:hAnsiTheme="majorHAnsi" w:cstheme="majorHAnsi"/>
          <w:i/>
          <w:iCs/>
          <w:color w:val="44546A" w:themeColor="text2"/>
          <w:sz w:val="22"/>
          <w:szCs w:val="22"/>
        </w:rPr>
        <w:fldChar w:fldCharType="end"/>
      </w:r>
      <w:r w:rsidRPr="00DD6E21">
        <w:rPr>
          <w:rFonts w:asciiTheme="majorHAnsi" w:hAnsiTheme="majorHAnsi" w:cstheme="majorHAnsi"/>
          <w:i/>
          <w:iCs/>
          <w:color w:val="44546A" w:themeColor="text2"/>
          <w:sz w:val="22"/>
          <w:szCs w:val="22"/>
        </w:rPr>
        <w:t>.</w:t>
      </w:r>
      <w:r w:rsidR="00D434EB">
        <w:rPr>
          <w:rFonts w:asciiTheme="majorHAnsi" w:hAnsiTheme="majorHAnsi" w:cstheme="majorHAnsi"/>
          <w:bCs/>
          <w:i/>
          <w:iCs/>
          <w:color w:val="44546A" w:themeColor="text2"/>
          <w:sz w:val="22"/>
          <w:szCs w:val="22"/>
        </w:rPr>
        <w:t xml:space="preserve"> </w:t>
      </w:r>
      <w:r w:rsidRPr="00DD6E21">
        <w:rPr>
          <w:rFonts w:asciiTheme="majorHAnsi" w:hAnsiTheme="majorHAnsi" w:cstheme="majorHAnsi"/>
          <w:bCs/>
          <w:i/>
          <w:iCs/>
          <w:color w:val="44546A" w:themeColor="text2"/>
          <w:sz w:val="22"/>
          <w:szCs w:val="22"/>
        </w:rPr>
        <w:t xml:space="preserve">Principals’ and Teachers’ Perceptions of </w:t>
      </w:r>
      <w:r w:rsidRPr="00DD6E21">
        <w:rPr>
          <w:rFonts w:asciiTheme="majorHAnsi" w:hAnsiTheme="majorHAnsi" w:cstheme="majorHAnsi"/>
          <w:i/>
          <w:iCs/>
          <w:color w:val="44546A" w:themeColor="text2"/>
          <w:sz w:val="22"/>
          <w:szCs w:val="22"/>
        </w:rPr>
        <w:t>the Action Research Toolkit</w:t>
      </w:r>
      <w:bookmarkEnd w:id="87"/>
    </w:p>
    <w:tbl>
      <w:tblPr>
        <w:tblStyle w:val="TableGrid"/>
        <w:tblW w:w="0" w:type="auto"/>
        <w:tblLook w:val="04A0" w:firstRow="1" w:lastRow="0" w:firstColumn="1" w:lastColumn="0" w:noHBand="0" w:noVBand="1"/>
      </w:tblPr>
      <w:tblGrid>
        <w:gridCol w:w="1626"/>
        <w:gridCol w:w="1249"/>
        <w:gridCol w:w="1693"/>
        <w:gridCol w:w="1136"/>
        <w:gridCol w:w="849"/>
        <w:gridCol w:w="1264"/>
        <w:gridCol w:w="1170"/>
      </w:tblGrid>
      <w:tr w:rsidR="00C82D12" w:rsidRPr="00020D54" w14:paraId="5FD28723" w14:textId="77777777" w:rsidTr="00F4751F">
        <w:trPr>
          <w:trHeight w:val="551"/>
          <w:tblHeader/>
        </w:trPr>
        <w:tc>
          <w:tcPr>
            <w:tcW w:w="1626" w:type="dxa"/>
          </w:tcPr>
          <w:p w14:paraId="747224A5" w14:textId="77777777" w:rsidR="00C82D12" w:rsidRPr="00020D54" w:rsidRDefault="00C82D12" w:rsidP="000479A3">
            <w:pPr>
              <w:spacing w:before="100" w:beforeAutospacing="1" w:after="100" w:afterAutospacing="1" w:line="360" w:lineRule="auto"/>
              <w:rPr>
                <w:rFonts w:asciiTheme="majorHAnsi" w:hAnsiTheme="majorHAnsi" w:cstheme="majorHAnsi"/>
                <w:color w:val="000000" w:themeColor="text1"/>
                <w:sz w:val="18"/>
                <w:szCs w:val="18"/>
              </w:rPr>
            </w:pPr>
          </w:p>
        </w:tc>
        <w:tc>
          <w:tcPr>
            <w:tcW w:w="1249" w:type="dxa"/>
          </w:tcPr>
          <w:p w14:paraId="59F4B438" w14:textId="77777777" w:rsidR="00C82D12" w:rsidRPr="00020D54" w:rsidRDefault="00C82D12" w:rsidP="000479A3">
            <w:pPr>
              <w:spacing w:before="100" w:beforeAutospacing="1" w:after="100" w:afterAutospacing="1" w:line="360" w:lineRule="auto"/>
              <w:rPr>
                <w:rFonts w:asciiTheme="majorHAnsi" w:hAnsiTheme="majorHAnsi" w:cstheme="majorHAnsi"/>
                <w:b/>
                <w:bCs/>
                <w:color w:val="000000" w:themeColor="text1"/>
                <w:sz w:val="18"/>
                <w:szCs w:val="18"/>
              </w:rPr>
            </w:pPr>
            <w:r w:rsidRPr="00020D54">
              <w:rPr>
                <w:rFonts w:asciiTheme="majorHAnsi" w:hAnsiTheme="majorHAnsi" w:cstheme="majorHAnsi"/>
                <w:b/>
                <w:bCs/>
                <w:color w:val="000000" w:themeColor="text1"/>
                <w:sz w:val="18"/>
                <w:szCs w:val="18"/>
              </w:rPr>
              <w:t>% Sufficient knowledge</w:t>
            </w:r>
          </w:p>
        </w:tc>
        <w:tc>
          <w:tcPr>
            <w:tcW w:w="1693" w:type="dxa"/>
          </w:tcPr>
          <w:p w14:paraId="1BB29FF0" w14:textId="77777777" w:rsidR="00C82D12" w:rsidRPr="00020D54" w:rsidRDefault="00C82D12" w:rsidP="000479A3">
            <w:pPr>
              <w:spacing w:before="100" w:beforeAutospacing="1" w:after="100" w:afterAutospacing="1" w:line="360" w:lineRule="auto"/>
              <w:rPr>
                <w:rFonts w:asciiTheme="majorHAnsi" w:hAnsiTheme="majorHAnsi" w:cstheme="majorHAnsi"/>
                <w:b/>
                <w:bCs/>
                <w:color w:val="000000" w:themeColor="text1"/>
                <w:sz w:val="18"/>
                <w:szCs w:val="18"/>
              </w:rPr>
            </w:pPr>
            <w:r w:rsidRPr="00020D54">
              <w:rPr>
                <w:rFonts w:asciiTheme="majorHAnsi" w:hAnsiTheme="majorHAnsi" w:cstheme="majorHAnsi"/>
                <w:b/>
                <w:bCs/>
                <w:color w:val="000000" w:themeColor="text1"/>
                <w:sz w:val="18"/>
                <w:szCs w:val="18"/>
              </w:rPr>
              <w:t>% Comprehensive knowledge</w:t>
            </w:r>
          </w:p>
        </w:tc>
        <w:tc>
          <w:tcPr>
            <w:tcW w:w="1136" w:type="dxa"/>
          </w:tcPr>
          <w:p w14:paraId="2EAE7AA1" w14:textId="77777777" w:rsidR="00C82D12" w:rsidRPr="00020D54" w:rsidRDefault="00C82D12" w:rsidP="000479A3">
            <w:pPr>
              <w:spacing w:before="100" w:beforeAutospacing="1" w:after="100" w:afterAutospacing="1" w:line="360" w:lineRule="auto"/>
              <w:rPr>
                <w:rFonts w:asciiTheme="majorHAnsi" w:hAnsiTheme="majorHAnsi" w:cstheme="majorHAnsi"/>
                <w:b/>
                <w:bCs/>
                <w:color w:val="000000" w:themeColor="text1"/>
                <w:sz w:val="18"/>
                <w:szCs w:val="18"/>
              </w:rPr>
            </w:pPr>
            <w:r w:rsidRPr="00020D54">
              <w:rPr>
                <w:rFonts w:asciiTheme="majorHAnsi" w:hAnsiTheme="majorHAnsi" w:cstheme="majorHAnsi"/>
                <w:b/>
                <w:bCs/>
                <w:color w:val="000000" w:themeColor="text1"/>
                <w:sz w:val="18"/>
                <w:szCs w:val="18"/>
              </w:rPr>
              <w:t>% Full access – Individual</w:t>
            </w:r>
          </w:p>
        </w:tc>
        <w:tc>
          <w:tcPr>
            <w:tcW w:w="849" w:type="dxa"/>
          </w:tcPr>
          <w:p w14:paraId="76A32E0E" w14:textId="77777777" w:rsidR="00C82D12" w:rsidRPr="00020D54" w:rsidRDefault="00C82D12" w:rsidP="000479A3">
            <w:pPr>
              <w:spacing w:before="100" w:beforeAutospacing="1" w:after="100" w:afterAutospacing="1" w:line="360" w:lineRule="auto"/>
              <w:rPr>
                <w:rFonts w:asciiTheme="majorHAnsi" w:hAnsiTheme="majorHAnsi" w:cstheme="majorHAnsi"/>
                <w:b/>
                <w:bCs/>
                <w:color w:val="000000" w:themeColor="text1"/>
                <w:sz w:val="18"/>
                <w:szCs w:val="18"/>
              </w:rPr>
            </w:pPr>
            <w:r w:rsidRPr="00020D54">
              <w:rPr>
                <w:rFonts w:asciiTheme="majorHAnsi" w:hAnsiTheme="majorHAnsi" w:cstheme="majorHAnsi"/>
                <w:b/>
                <w:bCs/>
                <w:color w:val="000000" w:themeColor="text1"/>
                <w:sz w:val="18"/>
                <w:szCs w:val="18"/>
              </w:rPr>
              <w:t>% Full access School</w:t>
            </w:r>
          </w:p>
        </w:tc>
        <w:tc>
          <w:tcPr>
            <w:tcW w:w="1264" w:type="dxa"/>
          </w:tcPr>
          <w:p w14:paraId="6D2AB86F" w14:textId="77777777" w:rsidR="00C82D12" w:rsidRPr="00020D54" w:rsidRDefault="00C82D12" w:rsidP="000479A3">
            <w:pPr>
              <w:spacing w:before="100" w:beforeAutospacing="1" w:after="100" w:afterAutospacing="1" w:line="360" w:lineRule="auto"/>
              <w:rPr>
                <w:rFonts w:asciiTheme="majorHAnsi" w:hAnsiTheme="majorHAnsi" w:cstheme="majorHAnsi"/>
                <w:b/>
                <w:bCs/>
                <w:color w:val="000000" w:themeColor="text1"/>
                <w:sz w:val="18"/>
                <w:szCs w:val="18"/>
              </w:rPr>
            </w:pPr>
            <w:r w:rsidRPr="00020D54">
              <w:rPr>
                <w:rFonts w:asciiTheme="majorHAnsi" w:hAnsiTheme="majorHAnsi" w:cstheme="majorHAnsi"/>
                <w:b/>
                <w:bCs/>
                <w:color w:val="000000" w:themeColor="text1"/>
                <w:sz w:val="18"/>
                <w:szCs w:val="18"/>
              </w:rPr>
              <w:t>% Sufficiently useful</w:t>
            </w:r>
          </w:p>
        </w:tc>
        <w:tc>
          <w:tcPr>
            <w:tcW w:w="1170" w:type="dxa"/>
          </w:tcPr>
          <w:p w14:paraId="1AF26327" w14:textId="77777777" w:rsidR="00C82D12" w:rsidRPr="00020D54" w:rsidRDefault="00C82D12" w:rsidP="000479A3">
            <w:pPr>
              <w:spacing w:before="100" w:beforeAutospacing="1" w:after="100" w:afterAutospacing="1" w:line="360" w:lineRule="auto"/>
              <w:rPr>
                <w:rFonts w:asciiTheme="majorHAnsi" w:hAnsiTheme="majorHAnsi" w:cstheme="majorHAnsi"/>
                <w:b/>
                <w:bCs/>
                <w:color w:val="000000" w:themeColor="text1"/>
                <w:sz w:val="18"/>
                <w:szCs w:val="18"/>
              </w:rPr>
            </w:pPr>
            <w:r w:rsidRPr="00020D54">
              <w:rPr>
                <w:rFonts w:asciiTheme="majorHAnsi" w:hAnsiTheme="majorHAnsi" w:cstheme="majorHAnsi"/>
                <w:b/>
                <w:bCs/>
                <w:color w:val="000000" w:themeColor="text1"/>
                <w:sz w:val="18"/>
                <w:szCs w:val="18"/>
              </w:rPr>
              <w:t>% Extremely useful</w:t>
            </w:r>
          </w:p>
        </w:tc>
      </w:tr>
      <w:tr w:rsidR="00C82D12" w:rsidRPr="00020D54" w14:paraId="6BCD0210" w14:textId="77777777" w:rsidTr="00ED33AB">
        <w:trPr>
          <w:trHeight w:val="168"/>
        </w:trPr>
        <w:tc>
          <w:tcPr>
            <w:tcW w:w="1626" w:type="dxa"/>
          </w:tcPr>
          <w:p w14:paraId="2A973DDB" w14:textId="77777777" w:rsidR="00C82D12" w:rsidRPr="00020D54" w:rsidRDefault="00C82D12"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Main Study*</w:t>
            </w:r>
          </w:p>
        </w:tc>
        <w:tc>
          <w:tcPr>
            <w:tcW w:w="1249" w:type="dxa"/>
          </w:tcPr>
          <w:p w14:paraId="072CC2DE" w14:textId="77777777" w:rsidR="00C82D12" w:rsidRPr="00020D54" w:rsidRDefault="00C82D12" w:rsidP="000479A3">
            <w:pPr>
              <w:spacing w:before="100" w:beforeAutospacing="1" w:after="100" w:afterAutospacing="1" w:line="360" w:lineRule="auto"/>
              <w:rPr>
                <w:rFonts w:asciiTheme="majorHAnsi" w:hAnsiTheme="majorHAnsi" w:cstheme="majorHAnsi"/>
                <w:color w:val="000000" w:themeColor="text1"/>
                <w:sz w:val="18"/>
                <w:szCs w:val="18"/>
              </w:rPr>
            </w:pPr>
          </w:p>
        </w:tc>
        <w:tc>
          <w:tcPr>
            <w:tcW w:w="1693" w:type="dxa"/>
          </w:tcPr>
          <w:p w14:paraId="5B3C7CFD" w14:textId="77777777" w:rsidR="00C82D12" w:rsidRPr="00020D54" w:rsidRDefault="00C82D12" w:rsidP="000479A3">
            <w:pPr>
              <w:spacing w:before="100" w:beforeAutospacing="1" w:after="100" w:afterAutospacing="1" w:line="360" w:lineRule="auto"/>
              <w:rPr>
                <w:rFonts w:asciiTheme="majorHAnsi" w:hAnsiTheme="majorHAnsi" w:cstheme="majorHAnsi"/>
                <w:color w:val="000000" w:themeColor="text1"/>
                <w:sz w:val="18"/>
                <w:szCs w:val="18"/>
              </w:rPr>
            </w:pPr>
          </w:p>
        </w:tc>
        <w:tc>
          <w:tcPr>
            <w:tcW w:w="1136" w:type="dxa"/>
          </w:tcPr>
          <w:p w14:paraId="3A93D48C" w14:textId="77777777" w:rsidR="00C82D12" w:rsidRPr="00020D54" w:rsidRDefault="00C82D12" w:rsidP="000479A3">
            <w:pPr>
              <w:spacing w:before="100" w:beforeAutospacing="1" w:after="100" w:afterAutospacing="1" w:line="360" w:lineRule="auto"/>
              <w:rPr>
                <w:rFonts w:asciiTheme="majorHAnsi" w:hAnsiTheme="majorHAnsi" w:cstheme="majorHAnsi"/>
                <w:color w:val="000000" w:themeColor="text1"/>
                <w:sz w:val="18"/>
                <w:szCs w:val="18"/>
              </w:rPr>
            </w:pPr>
          </w:p>
        </w:tc>
        <w:tc>
          <w:tcPr>
            <w:tcW w:w="849" w:type="dxa"/>
          </w:tcPr>
          <w:p w14:paraId="544DC225" w14:textId="77777777" w:rsidR="00C82D12" w:rsidRPr="00020D54" w:rsidRDefault="00C82D12" w:rsidP="000479A3">
            <w:pPr>
              <w:spacing w:before="100" w:beforeAutospacing="1" w:after="100" w:afterAutospacing="1" w:line="360" w:lineRule="auto"/>
              <w:rPr>
                <w:rFonts w:asciiTheme="majorHAnsi" w:hAnsiTheme="majorHAnsi" w:cstheme="majorHAnsi"/>
                <w:color w:val="000000" w:themeColor="text1"/>
                <w:sz w:val="18"/>
                <w:szCs w:val="18"/>
              </w:rPr>
            </w:pPr>
          </w:p>
        </w:tc>
        <w:tc>
          <w:tcPr>
            <w:tcW w:w="1264" w:type="dxa"/>
          </w:tcPr>
          <w:p w14:paraId="461DE3A0" w14:textId="77777777" w:rsidR="00C82D12" w:rsidRPr="00020D54" w:rsidRDefault="00C82D12" w:rsidP="000479A3">
            <w:pPr>
              <w:spacing w:before="100" w:beforeAutospacing="1" w:after="100" w:afterAutospacing="1" w:line="360" w:lineRule="auto"/>
              <w:rPr>
                <w:rFonts w:asciiTheme="majorHAnsi" w:hAnsiTheme="majorHAnsi" w:cstheme="majorHAnsi"/>
                <w:color w:val="000000" w:themeColor="text1"/>
                <w:sz w:val="18"/>
                <w:szCs w:val="18"/>
              </w:rPr>
            </w:pPr>
          </w:p>
        </w:tc>
        <w:tc>
          <w:tcPr>
            <w:tcW w:w="1170" w:type="dxa"/>
          </w:tcPr>
          <w:p w14:paraId="03B25755" w14:textId="77777777" w:rsidR="00C82D12" w:rsidRPr="00020D54" w:rsidRDefault="00C82D12" w:rsidP="000479A3">
            <w:pPr>
              <w:spacing w:before="100" w:beforeAutospacing="1" w:after="100" w:afterAutospacing="1" w:line="360" w:lineRule="auto"/>
              <w:rPr>
                <w:rFonts w:asciiTheme="majorHAnsi" w:hAnsiTheme="majorHAnsi" w:cstheme="majorHAnsi"/>
                <w:color w:val="000000" w:themeColor="text1"/>
                <w:sz w:val="18"/>
                <w:szCs w:val="18"/>
              </w:rPr>
            </w:pPr>
          </w:p>
        </w:tc>
      </w:tr>
      <w:tr w:rsidR="00C82D12" w:rsidRPr="00020D54" w14:paraId="5C60E208" w14:textId="77777777" w:rsidTr="00ED33AB">
        <w:trPr>
          <w:trHeight w:val="78"/>
        </w:trPr>
        <w:tc>
          <w:tcPr>
            <w:tcW w:w="1626" w:type="dxa"/>
          </w:tcPr>
          <w:p w14:paraId="32D503C5" w14:textId="77777777" w:rsidR="00C82D12" w:rsidRPr="00020D54" w:rsidRDefault="00C82D12"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PSHs (n=26)</w:t>
            </w:r>
          </w:p>
        </w:tc>
        <w:tc>
          <w:tcPr>
            <w:tcW w:w="1249" w:type="dxa"/>
          </w:tcPr>
          <w:p w14:paraId="30FE5C08" w14:textId="77777777" w:rsidR="00C82D12" w:rsidRPr="00020D54" w:rsidRDefault="00C82D12"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15%</w:t>
            </w:r>
          </w:p>
        </w:tc>
        <w:tc>
          <w:tcPr>
            <w:tcW w:w="1693" w:type="dxa"/>
          </w:tcPr>
          <w:p w14:paraId="291D72FA" w14:textId="77777777" w:rsidR="00C82D12" w:rsidRPr="00020D54" w:rsidRDefault="00C82D12"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15%</w:t>
            </w:r>
          </w:p>
        </w:tc>
        <w:tc>
          <w:tcPr>
            <w:tcW w:w="1136" w:type="dxa"/>
          </w:tcPr>
          <w:p w14:paraId="69D0B304" w14:textId="77777777" w:rsidR="00C82D12" w:rsidRPr="00020D54" w:rsidRDefault="00C82D12"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19%</w:t>
            </w:r>
          </w:p>
        </w:tc>
        <w:tc>
          <w:tcPr>
            <w:tcW w:w="849" w:type="dxa"/>
          </w:tcPr>
          <w:p w14:paraId="06708443" w14:textId="77777777" w:rsidR="00C82D12" w:rsidRPr="00020D54" w:rsidRDefault="00C82D12"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4%</w:t>
            </w:r>
          </w:p>
        </w:tc>
        <w:tc>
          <w:tcPr>
            <w:tcW w:w="1264" w:type="dxa"/>
          </w:tcPr>
          <w:p w14:paraId="258EAFB8" w14:textId="77777777" w:rsidR="00C82D12" w:rsidRPr="00020D54" w:rsidRDefault="00C82D12"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38%</w:t>
            </w:r>
          </w:p>
        </w:tc>
        <w:tc>
          <w:tcPr>
            <w:tcW w:w="1170" w:type="dxa"/>
          </w:tcPr>
          <w:p w14:paraId="6DF7F437" w14:textId="77777777" w:rsidR="00C82D12" w:rsidRPr="00020D54" w:rsidRDefault="00C82D12"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19%</w:t>
            </w:r>
          </w:p>
        </w:tc>
      </w:tr>
      <w:tr w:rsidR="00C82D12" w:rsidRPr="00020D54" w14:paraId="337D8D50" w14:textId="77777777" w:rsidTr="00ED33AB">
        <w:trPr>
          <w:trHeight w:val="244"/>
        </w:trPr>
        <w:tc>
          <w:tcPr>
            <w:tcW w:w="1626" w:type="dxa"/>
          </w:tcPr>
          <w:p w14:paraId="0BCC3715" w14:textId="77777777" w:rsidR="00C82D12" w:rsidRPr="00020D54" w:rsidRDefault="00C82D12"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Teachers (n=107)</w:t>
            </w:r>
          </w:p>
        </w:tc>
        <w:tc>
          <w:tcPr>
            <w:tcW w:w="1249" w:type="dxa"/>
          </w:tcPr>
          <w:p w14:paraId="3469E2DE" w14:textId="77777777" w:rsidR="00C82D12" w:rsidRPr="00020D54" w:rsidRDefault="00C82D12"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25%</w:t>
            </w:r>
          </w:p>
        </w:tc>
        <w:tc>
          <w:tcPr>
            <w:tcW w:w="1693" w:type="dxa"/>
          </w:tcPr>
          <w:p w14:paraId="5D312800" w14:textId="77777777" w:rsidR="00C82D12" w:rsidRPr="00020D54" w:rsidRDefault="00C82D12"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3%</w:t>
            </w:r>
          </w:p>
        </w:tc>
        <w:tc>
          <w:tcPr>
            <w:tcW w:w="1136" w:type="dxa"/>
          </w:tcPr>
          <w:p w14:paraId="41D88189" w14:textId="77777777" w:rsidR="00C82D12" w:rsidRPr="00020D54" w:rsidRDefault="00C82D12"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18%</w:t>
            </w:r>
          </w:p>
        </w:tc>
        <w:tc>
          <w:tcPr>
            <w:tcW w:w="849" w:type="dxa"/>
          </w:tcPr>
          <w:p w14:paraId="29EE3013" w14:textId="77777777" w:rsidR="00C82D12" w:rsidRPr="00020D54" w:rsidRDefault="00C82D12"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5%</w:t>
            </w:r>
          </w:p>
        </w:tc>
        <w:tc>
          <w:tcPr>
            <w:tcW w:w="1264" w:type="dxa"/>
          </w:tcPr>
          <w:p w14:paraId="31B7116F" w14:textId="77777777" w:rsidR="00C82D12" w:rsidRPr="00020D54" w:rsidRDefault="00C82D12"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27%</w:t>
            </w:r>
          </w:p>
        </w:tc>
        <w:tc>
          <w:tcPr>
            <w:tcW w:w="1170" w:type="dxa"/>
          </w:tcPr>
          <w:p w14:paraId="5724A292" w14:textId="77777777" w:rsidR="00C82D12" w:rsidRPr="00020D54" w:rsidRDefault="00C82D12"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8%</w:t>
            </w:r>
          </w:p>
        </w:tc>
      </w:tr>
      <w:tr w:rsidR="00C82D12" w:rsidRPr="00020D54" w14:paraId="30D66BB8" w14:textId="77777777" w:rsidTr="00ED33AB">
        <w:trPr>
          <w:trHeight w:val="342"/>
        </w:trPr>
        <w:tc>
          <w:tcPr>
            <w:tcW w:w="1626" w:type="dxa"/>
          </w:tcPr>
          <w:p w14:paraId="72A2FA78" w14:textId="77777777" w:rsidR="00C82D12" w:rsidRPr="00020D54" w:rsidRDefault="00C82D12"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Follow-Up Study **</w:t>
            </w:r>
          </w:p>
        </w:tc>
        <w:tc>
          <w:tcPr>
            <w:tcW w:w="1249" w:type="dxa"/>
          </w:tcPr>
          <w:p w14:paraId="716FC793" w14:textId="77777777" w:rsidR="00C82D12" w:rsidRPr="00020D54" w:rsidRDefault="00C82D12" w:rsidP="000479A3">
            <w:pPr>
              <w:spacing w:before="100" w:beforeAutospacing="1" w:after="100" w:afterAutospacing="1" w:line="360" w:lineRule="auto"/>
              <w:rPr>
                <w:rFonts w:asciiTheme="majorHAnsi" w:hAnsiTheme="majorHAnsi" w:cstheme="majorHAnsi"/>
                <w:color w:val="000000" w:themeColor="text1"/>
                <w:sz w:val="18"/>
                <w:szCs w:val="18"/>
              </w:rPr>
            </w:pPr>
          </w:p>
        </w:tc>
        <w:tc>
          <w:tcPr>
            <w:tcW w:w="1693" w:type="dxa"/>
          </w:tcPr>
          <w:p w14:paraId="68484783" w14:textId="77777777" w:rsidR="00C82D12" w:rsidRPr="00020D54" w:rsidRDefault="00C82D12" w:rsidP="000479A3">
            <w:pPr>
              <w:spacing w:before="100" w:beforeAutospacing="1" w:after="100" w:afterAutospacing="1" w:line="360" w:lineRule="auto"/>
              <w:rPr>
                <w:rFonts w:asciiTheme="majorHAnsi" w:hAnsiTheme="majorHAnsi" w:cstheme="majorHAnsi"/>
                <w:color w:val="000000" w:themeColor="text1"/>
                <w:sz w:val="18"/>
                <w:szCs w:val="18"/>
              </w:rPr>
            </w:pPr>
          </w:p>
        </w:tc>
        <w:tc>
          <w:tcPr>
            <w:tcW w:w="1136" w:type="dxa"/>
          </w:tcPr>
          <w:p w14:paraId="37EC6932" w14:textId="77777777" w:rsidR="00C82D12" w:rsidRPr="00020D54" w:rsidRDefault="00C82D12" w:rsidP="000479A3">
            <w:pPr>
              <w:spacing w:before="100" w:beforeAutospacing="1" w:after="100" w:afterAutospacing="1" w:line="360" w:lineRule="auto"/>
              <w:rPr>
                <w:rFonts w:asciiTheme="majorHAnsi" w:hAnsiTheme="majorHAnsi" w:cstheme="majorHAnsi"/>
                <w:color w:val="000000" w:themeColor="text1"/>
                <w:sz w:val="18"/>
                <w:szCs w:val="18"/>
              </w:rPr>
            </w:pPr>
          </w:p>
        </w:tc>
        <w:tc>
          <w:tcPr>
            <w:tcW w:w="849" w:type="dxa"/>
          </w:tcPr>
          <w:p w14:paraId="038C7FA1" w14:textId="77777777" w:rsidR="00C82D12" w:rsidRPr="00020D54" w:rsidRDefault="00C82D12" w:rsidP="000479A3">
            <w:pPr>
              <w:spacing w:before="100" w:beforeAutospacing="1" w:after="100" w:afterAutospacing="1" w:line="360" w:lineRule="auto"/>
              <w:rPr>
                <w:rFonts w:asciiTheme="majorHAnsi" w:hAnsiTheme="majorHAnsi" w:cstheme="majorHAnsi"/>
                <w:color w:val="000000" w:themeColor="text1"/>
                <w:sz w:val="18"/>
                <w:szCs w:val="18"/>
              </w:rPr>
            </w:pPr>
          </w:p>
        </w:tc>
        <w:tc>
          <w:tcPr>
            <w:tcW w:w="1264" w:type="dxa"/>
          </w:tcPr>
          <w:p w14:paraId="4008FC82" w14:textId="77777777" w:rsidR="00C82D12" w:rsidRPr="00020D54" w:rsidRDefault="00C82D12" w:rsidP="000479A3">
            <w:pPr>
              <w:spacing w:before="100" w:beforeAutospacing="1" w:after="100" w:afterAutospacing="1" w:line="360" w:lineRule="auto"/>
              <w:rPr>
                <w:rFonts w:asciiTheme="majorHAnsi" w:hAnsiTheme="majorHAnsi" w:cstheme="majorHAnsi"/>
                <w:color w:val="000000" w:themeColor="text1"/>
                <w:sz w:val="18"/>
                <w:szCs w:val="18"/>
              </w:rPr>
            </w:pPr>
          </w:p>
        </w:tc>
        <w:tc>
          <w:tcPr>
            <w:tcW w:w="1170" w:type="dxa"/>
          </w:tcPr>
          <w:p w14:paraId="33CBE9D5" w14:textId="77777777" w:rsidR="00C82D12" w:rsidRPr="00020D54" w:rsidRDefault="00C82D12" w:rsidP="000479A3">
            <w:pPr>
              <w:spacing w:before="100" w:beforeAutospacing="1" w:after="100" w:afterAutospacing="1" w:line="360" w:lineRule="auto"/>
              <w:rPr>
                <w:rFonts w:asciiTheme="majorHAnsi" w:hAnsiTheme="majorHAnsi" w:cstheme="majorHAnsi"/>
                <w:color w:val="000000" w:themeColor="text1"/>
                <w:sz w:val="18"/>
                <w:szCs w:val="18"/>
              </w:rPr>
            </w:pPr>
          </w:p>
        </w:tc>
      </w:tr>
      <w:tr w:rsidR="00C82D12" w:rsidRPr="00020D54" w14:paraId="07C99962" w14:textId="77777777" w:rsidTr="00ED33AB">
        <w:trPr>
          <w:trHeight w:val="138"/>
        </w:trPr>
        <w:tc>
          <w:tcPr>
            <w:tcW w:w="1626" w:type="dxa"/>
          </w:tcPr>
          <w:p w14:paraId="2CEF356E" w14:textId="77777777" w:rsidR="00C82D12" w:rsidRPr="00020D54" w:rsidRDefault="00C82D12"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PSHs (n=11)</w:t>
            </w:r>
          </w:p>
        </w:tc>
        <w:tc>
          <w:tcPr>
            <w:tcW w:w="1249" w:type="dxa"/>
          </w:tcPr>
          <w:p w14:paraId="6FE190A7" w14:textId="77777777" w:rsidR="00C82D12" w:rsidRPr="00020D54" w:rsidRDefault="00C82D12"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8%</w:t>
            </w:r>
          </w:p>
        </w:tc>
        <w:tc>
          <w:tcPr>
            <w:tcW w:w="1693" w:type="dxa"/>
          </w:tcPr>
          <w:p w14:paraId="3B7752C0" w14:textId="77777777" w:rsidR="00C82D12" w:rsidRPr="00020D54" w:rsidRDefault="00C82D12"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8%</w:t>
            </w:r>
          </w:p>
        </w:tc>
        <w:tc>
          <w:tcPr>
            <w:tcW w:w="1136" w:type="dxa"/>
          </w:tcPr>
          <w:p w14:paraId="6BAE61CB" w14:textId="77777777" w:rsidR="00C82D12" w:rsidRPr="00020D54" w:rsidRDefault="00C82D12"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0%</w:t>
            </w:r>
          </w:p>
        </w:tc>
        <w:tc>
          <w:tcPr>
            <w:tcW w:w="849" w:type="dxa"/>
          </w:tcPr>
          <w:p w14:paraId="1BEAA4FB" w14:textId="77777777" w:rsidR="00C82D12" w:rsidRPr="00020D54" w:rsidRDefault="00C82D12"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8%</w:t>
            </w:r>
          </w:p>
        </w:tc>
        <w:tc>
          <w:tcPr>
            <w:tcW w:w="1264" w:type="dxa"/>
          </w:tcPr>
          <w:p w14:paraId="13C7EAF5" w14:textId="77777777" w:rsidR="00C82D12" w:rsidRPr="00020D54" w:rsidRDefault="00C82D12"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0%</w:t>
            </w:r>
          </w:p>
        </w:tc>
        <w:tc>
          <w:tcPr>
            <w:tcW w:w="1170" w:type="dxa"/>
          </w:tcPr>
          <w:p w14:paraId="778D6E33" w14:textId="77777777" w:rsidR="00C82D12" w:rsidRPr="00020D54" w:rsidRDefault="00C82D12"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8%</w:t>
            </w:r>
          </w:p>
        </w:tc>
      </w:tr>
      <w:tr w:rsidR="00C82D12" w:rsidRPr="00020D54" w14:paraId="798600FF" w14:textId="77777777" w:rsidTr="00ED33AB">
        <w:trPr>
          <w:trHeight w:val="78"/>
        </w:trPr>
        <w:tc>
          <w:tcPr>
            <w:tcW w:w="1626" w:type="dxa"/>
          </w:tcPr>
          <w:p w14:paraId="5C0E0C02" w14:textId="77777777" w:rsidR="00C82D12" w:rsidRPr="00020D54" w:rsidRDefault="00C82D12"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Teachers (n=61)</w:t>
            </w:r>
          </w:p>
        </w:tc>
        <w:tc>
          <w:tcPr>
            <w:tcW w:w="1249" w:type="dxa"/>
          </w:tcPr>
          <w:p w14:paraId="21EF868A" w14:textId="77777777" w:rsidR="00C82D12" w:rsidRPr="00020D54" w:rsidRDefault="00C82D12"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21%</w:t>
            </w:r>
          </w:p>
        </w:tc>
        <w:tc>
          <w:tcPr>
            <w:tcW w:w="1693" w:type="dxa"/>
          </w:tcPr>
          <w:p w14:paraId="7D091F7D" w14:textId="77777777" w:rsidR="00C82D12" w:rsidRPr="00020D54" w:rsidRDefault="00C82D12"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7%</w:t>
            </w:r>
          </w:p>
        </w:tc>
        <w:tc>
          <w:tcPr>
            <w:tcW w:w="1136" w:type="dxa"/>
          </w:tcPr>
          <w:p w14:paraId="620A09ED" w14:textId="77777777" w:rsidR="00C82D12" w:rsidRPr="00020D54" w:rsidRDefault="00C82D12"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16%</w:t>
            </w:r>
          </w:p>
        </w:tc>
        <w:tc>
          <w:tcPr>
            <w:tcW w:w="849" w:type="dxa"/>
          </w:tcPr>
          <w:p w14:paraId="362BAB54" w14:textId="77777777" w:rsidR="00C82D12" w:rsidRPr="00020D54" w:rsidRDefault="00C82D12"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3%</w:t>
            </w:r>
          </w:p>
        </w:tc>
        <w:tc>
          <w:tcPr>
            <w:tcW w:w="1264" w:type="dxa"/>
          </w:tcPr>
          <w:p w14:paraId="44589460" w14:textId="77777777" w:rsidR="00C82D12" w:rsidRPr="00020D54" w:rsidRDefault="00C82D12"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13%</w:t>
            </w:r>
          </w:p>
        </w:tc>
        <w:tc>
          <w:tcPr>
            <w:tcW w:w="1170" w:type="dxa"/>
          </w:tcPr>
          <w:p w14:paraId="1540FF12" w14:textId="77777777" w:rsidR="00C82D12" w:rsidRPr="00020D54" w:rsidRDefault="00C82D12"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5%</w:t>
            </w:r>
          </w:p>
        </w:tc>
      </w:tr>
    </w:tbl>
    <w:p w14:paraId="24E11DF7" w14:textId="77777777" w:rsidR="00C82D12" w:rsidRPr="00984A9E" w:rsidRDefault="00C82D12" w:rsidP="000479A3">
      <w:pPr>
        <w:spacing w:before="100" w:beforeAutospacing="1" w:after="100" w:afterAutospacing="1" w:line="360" w:lineRule="auto"/>
        <w:rPr>
          <w:rFonts w:asciiTheme="majorHAnsi" w:hAnsiTheme="majorHAnsi" w:cstheme="majorHAnsi"/>
          <w:color w:val="000000" w:themeColor="text1"/>
          <w:sz w:val="14"/>
          <w:szCs w:val="14"/>
        </w:rPr>
      </w:pPr>
      <w:r w:rsidRPr="00C82D12">
        <w:rPr>
          <w:rFonts w:asciiTheme="majorHAnsi" w:hAnsiTheme="majorHAnsi" w:cstheme="majorHAnsi"/>
          <w:color w:val="000000" w:themeColor="text1"/>
          <w:sz w:val="14"/>
          <w:szCs w:val="14"/>
        </w:rPr>
        <w:t>*2019 KAU Survey **2020 KAU Survey</w:t>
      </w:r>
    </w:p>
    <w:p w14:paraId="6B4752C9" w14:textId="77777777" w:rsidR="008D0CAD" w:rsidRPr="00193857" w:rsidRDefault="008D0CAD" w:rsidP="000479A3">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color w:val="000000" w:themeColor="text1"/>
        </w:rPr>
        <w:t>This finding is again validated in the</w:t>
      </w:r>
      <w:r w:rsidRPr="002D649B">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Follow-up Study, where although 49 per cent of teachers found the Action Research Toolkit useful, </w:t>
      </w:r>
      <w:r w:rsidRPr="009C6ACA">
        <w:rPr>
          <w:rFonts w:asciiTheme="majorHAnsi" w:hAnsiTheme="majorHAnsi" w:cstheme="majorHAnsi"/>
          <w:color w:val="000000" w:themeColor="text1"/>
        </w:rPr>
        <w:t xml:space="preserve">only 28 </w:t>
      </w:r>
      <w:r>
        <w:rPr>
          <w:rFonts w:asciiTheme="majorHAnsi" w:hAnsiTheme="majorHAnsi" w:cstheme="majorHAnsi"/>
          <w:color w:val="000000" w:themeColor="text1"/>
        </w:rPr>
        <w:t>per cent</w:t>
      </w:r>
      <w:r w:rsidRPr="009C6ACA">
        <w:rPr>
          <w:rFonts w:asciiTheme="majorHAnsi" w:hAnsiTheme="majorHAnsi" w:cstheme="majorHAnsi"/>
          <w:color w:val="000000" w:themeColor="text1"/>
        </w:rPr>
        <w:t xml:space="preserve"> </w:t>
      </w:r>
      <w:r>
        <w:rPr>
          <w:rFonts w:asciiTheme="majorHAnsi" w:hAnsiTheme="majorHAnsi" w:cstheme="majorHAnsi"/>
          <w:color w:val="000000" w:themeColor="text1"/>
        </w:rPr>
        <w:t>said</w:t>
      </w:r>
      <w:r w:rsidRPr="009C6ACA">
        <w:rPr>
          <w:rFonts w:asciiTheme="majorHAnsi" w:hAnsiTheme="majorHAnsi" w:cstheme="majorHAnsi"/>
          <w:color w:val="000000" w:themeColor="text1"/>
        </w:rPr>
        <w:t xml:space="preserve"> that they ha</w:t>
      </w:r>
      <w:r>
        <w:rPr>
          <w:rFonts w:asciiTheme="majorHAnsi" w:hAnsiTheme="majorHAnsi" w:cstheme="majorHAnsi"/>
          <w:color w:val="000000" w:themeColor="text1"/>
        </w:rPr>
        <w:t>d</w:t>
      </w:r>
      <w:r w:rsidRPr="009C6ACA">
        <w:rPr>
          <w:rFonts w:asciiTheme="majorHAnsi" w:hAnsiTheme="majorHAnsi" w:cstheme="majorHAnsi"/>
          <w:color w:val="000000" w:themeColor="text1"/>
        </w:rPr>
        <w:t xml:space="preserve"> good knowledge of it</w:t>
      </w:r>
      <w:r>
        <w:rPr>
          <w:rFonts w:asciiTheme="majorHAnsi" w:hAnsiTheme="majorHAnsi" w:cstheme="majorHAnsi"/>
          <w:color w:val="000000" w:themeColor="text1"/>
        </w:rPr>
        <w:t xml:space="preserve"> and 41 per cent said they had full access to it</w:t>
      </w:r>
      <w:r w:rsidRPr="009C6ACA">
        <w:rPr>
          <w:rFonts w:asciiTheme="majorHAnsi" w:hAnsiTheme="majorHAnsi" w:cstheme="majorHAnsi"/>
          <w:color w:val="000000" w:themeColor="text1"/>
        </w:rPr>
        <w:t>.</w:t>
      </w:r>
    </w:p>
    <w:p w14:paraId="2A3FE2DB" w14:textId="77777777" w:rsidR="008D0CAD" w:rsidRDefault="008D0CAD" w:rsidP="008C061C">
      <w:pPr>
        <w:pStyle w:val="Heading6"/>
      </w:pPr>
      <w:r w:rsidRPr="005700B3">
        <w:t xml:space="preserve">Learning Action Cells </w:t>
      </w:r>
    </w:p>
    <w:p w14:paraId="6FEEAC85" w14:textId="6D5B0771" w:rsidR="008D0CAD" w:rsidRDefault="008D0CAD" w:rsidP="000479A3">
      <w:pPr>
        <w:spacing w:before="100" w:beforeAutospacing="1" w:after="100" w:afterAutospacing="1" w:line="360" w:lineRule="auto"/>
        <w:rPr>
          <w:rFonts w:asciiTheme="majorHAnsi" w:hAnsiTheme="majorHAnsi" w:cstheme="majorHAnsi"/>
          <w:lang w:val="en-GB"/>
        </w:rPr>
      </w:pPr>
      <w:r w:rsidRPr="005700B3">
        <w:rPr>
          <w:rFonts w:asciiTheme="majorHAnsi" w:hAnsiTheme="majorHAnsi" w:cstheme="majorHAnsi"/>
          <w:color w:val="000000" w:themeColor="text1"/>
        </w:rPr>
        <w:t xml:space="preserve">Learning Action Cells (LACs) are </w:t>
      </w:r>
      <w:r w:rsidRPr="005700B3">
        <w:rPr>
          <w:rFonts w:asciiTheme="majorHAnsi" w:hAnsiTheme="majorHAnsi" w:cstheme="majorHAnsi"/>
          <w:color w:val="000000" w:themeColor="text1"/>
          <w:lang w:val="en-GB"/>
        </w:rPr>
        <w:t xml:space="preserve">professional learning communities within schools that are </w:t>
      </w:r>
      <w:r w:rsidRPr="00606527">
        <w:rPr>
          <w:rFonts w:asciiTheme="majorHAnsi" w:hAnsiTheme="majorHAnsi" w:cstheme="majorHAnsi"/>
          <w:lang w:val="en-GB"/>
        </w:rPr>
        <w:t>organi</w:t>
      </w:r>
      <w:r>
        <w:rPr>
          <w:rFonts w:asciiTheme="majorHAnsi" w:hAnsiTheme="majorHAnsi" w:cstheme="majorHAnsi"/>
          <w:lang w:val="en-GB"/>
        </w:rPr>
        <w:t>s</w:t>
      </w:r>
      <w:r w:rsidRPr="00606527">
        <w:rPr>
          <w:rFonts w:asciiTheme="majorHAnsi" w:hAnsiTheme="majorHAnsi" w:cstheme="majorHAnsi"/>
          <w:lang w:val="en-GB"/>
        </w:rPr>
        <w:t>ed for “</w:t>
      </w:r>
      <w:r w:rsidRPr="00FC22E1">
        <w:rPr>
          <w:rFonts w:asciiTheme="majorHAnsi" w:hAnsiTheme="majorHAnsi" w:cstheme="majorHAnsi"/>
          <w:i/>
          <w:iCs/>
          <w:lang w:val="en-GB"/>
        </w:rPr>
        <w:t>bottom-up teacher professional development… where colleagues study content and pedagogies together, plan lessons collaboratively, and conduct action research as a group</w:t>
      </w:r>
      <w:r w:rsidRPr="00606527">
        <w:rPr>
          <w:rFonts w:asciiTheme="majorHAnsi" w:hAnsiTheme="majorHAnsi" w:cstheme="majorHAnsi"/>
          <w:lang w:val="en-GB"/>
        </w:rPr>
        <w:t>”</w:t>
      </w:r>
      <w:r>
        <w:rPr>
          <w:rFonts w:asciiTheme="majorHAnsi" w:hAnsiTheme="majorHAnsi" w:cstheme="majorHAnsi"/>
          <w:lang w:val="en-GB"/>
        </w:rPr>
        <w:t xml:space="preserve"> (DO 35, 2016)</w:t>
      </w:r>
      <w:r w:rsidRPr="00606527">
        <w:rPr>
          <w:rFonts w:asciiTheme="majorHAnsi" w:hAnsiTheme="majorHAnsi" w:cstheme="majorHAnsi"/>
          <w:lang w:val="en-GB"/>
        </w:rPr>
        <w:t>.</w:t>
      </w:r>
      <w:r w:rsidR="00D434EB">
        <w:rPr>
          <w:rFonts w:asciiTheme="majorHAnsi" w:hAnsiTheme="majorHAnsi" w:cstheme="majorHAnsi"/>
          <w:lang w:val="en-GB"/>
        </w:rPr>
        <w:t xml:space="preserve"> </w:t>
      </w:r>
      <w:r>
        <w:rPr>
          <w:rFonts w:asciiTheme="majorHAnsi" w:hAnsiTheme="majorHAnsi" w:cstheme="majorHAnsi"/>
          <w:lang w:val="en-GB"/>
        </w:rPr>
        <w:t>It</w:t>
      </w:r>
      <w:r w:rsidRPr="00606527">
        <w:rPr>
          <w:rFonts w:asciiTheme="majorHAnsi" w:hAnsiTheme="majorHAnsi" w:cstheme="majorHAnsi"/>
          <w:lang w:val="en-GB"/>
        </w:rPr>
        <w:t xml:space="preserve"> </w:t>
      </w:r>
      <w:r>
        <w:rPr>
          <w:rFonts w:asciiTheme="majorHAnsi" w:hAnsiTheme="majorHAnsi" w:cstheme="majorHAnsi"/>
          <w:lang w:val="en-GB"/>
        </w:rPr>
        <w:t>provides</w:t>
      </w:r>
      <w:r w:rsidRPr="00606527">
        <w:rPr>
          <w:rFonts w:asciiTheme="majorHAnsi" w:hAnsiTheme="majorHAnsi" w:cstheme="majorHAnsi"/>
          <w:lang w:val="en-GB"/>
        </w:rPr>
        <w:t xml:space="preserve"> a community of practice, which is </w:t>
      </w:r>
      <w:r>
        <w:rPr>
          <w:rFonts w:asciiTheme="majorHAnsi" w:hAnsiTheme="majorHAnsi" w:cstheme="majorHAnsi"/>
          <w:lang w:val="en-GB"/>
        </w:rPr>
        <w:t>designed</w:t>
      </w:r>
      <w:r w:rsidRPr="00606527">
        <w:rPr>
          <w:rFonts w:asciiTheme="majorHAnsi" w:hAnsiTheme="majorHAnsi" w:cstheme="majorHAnsi"/>
          <w:lang w:val="en-GB"/>
        </w:rPr>
        <w:t xml:space="preserve"> to contribute to improved content knowledge and pedagogical skills, assessment strategies and professional ethics, which then contributes to improved student learning and development. Topics for LAC sessions are determined by teachers themselves, based on their perceived development needs.</w:t>
      </w:r>
      <w:r w:rsidR="00D434EB">
        <w:rPr>
          <w:rFonts w:asciiTheme="majorHAnsi" w:hAnsiTheme="majorHAnsi" w:cstheme="majorHAnsi"/>
          <w:lang w:val="en-GB"/>
        </w:rPr>
        <w:t xml:space="preserve"> </w:t>
      </w:r>
      <w:r>
        <w:rPr>
          <w:rFonts w:asciiTheme="majorHAnsi" w:hAnsiTheme="majorHAnsi" w:cstheme="majorHAnsi"/>
          <w:lang w:val="en-GB"/>
        </w:rPr>
        <w:t xml:space="preserve"> </w:t>
      </w:r>
      <w:r w:rsidRPr="00606527">
        <w:rPr>
          <w:rFonts w:asciiTheme="majorHAnsi" w:hAnsiTheme="majorHAnsi" w:cstheme="majorHAnsi"/>
          <w:lang w:val="en-GB"/>
        </w:rPr>
        <w:t>LAC sessions are usually facilitated by principals or master teachers. In Region VIII, extra points in the portfolio are given to teachers who organi</w:t>
      </w:r>
      <w:r>
        <w:rPr>
          <w:rFonts w:asciiTheme="majorHAnsi" w:hAnsiTheme="majorHAnsi" w:cstheme="majorHAnsi"/>
          <w:lang w:val="en-GB"/>
        </w:rPr>
        <w:t>s</w:t>
      </w:r>
      <w:r w:rsidRPr="00606527">
        <w:rPr>
          <w:rFonts w:asciiTheme="majorHAnsi" w:hAnsiTheme="majorHAnsi" w:cstheme="majorHAnsi"/>
          <w:lang w:val="en-GB"/>
        </w:rPr>
        <w:t>e LAC sessions.</w:t>
      </w:r>
    </w:p>
    <w:p w14:paraId="325D56AA" w14:textId="2DCF3B7C" w:rsidR="008D0CAD" w:rsidRDefault="008D0CAD" w:rsidP="000479A3">
      <w:pPr>
        <w:spacing w:before="100" w:beforeAutospacing="1" w:after="100" w:afterAutospacing="1" w:line="360" w:lineRule="auto"/>
        <w:rPr>
          <w:rFonts w:asciiTheme="majorHAnsi" w:hAnsiTheme="majorHAnsi" w:cstheme="majorHAnsi"/>
          <w:lang w:val="en-GB"/>
        </w:rPr>
      </w:pPr>
      <w:r>
        <w:rPr>
          <w:rFonts w:asciiTheme="majorHAnsi" w:hAnsiTheme="majorHAnsi" w:cstheme="majorHAnsi"/>
          <w:lang w:val="en-GB"/>
        </w:rPr>
        <w:t>T</w:t>
      </w:r>
      <w:r w:rsidRPr="00EA2D58">
        <w:rPr>
          <w:rFonts w:asciiTheme="majorHAnsi" w:hAnsiTheme="majorHAnsi" w:cstheme="majorHAnsi"/>
          <w:color w:val="000000" w:themeColor="text1"/>
        </w:rPr>
        <w:t>he EOPE Study agree</w:t>
      </w:r>
      <w:r>
        <w:rPr>
          <w:rFonts w:asciiTheme="majorHAnsi" w:hAnsiTheme="majorHAnsi" w:cstheme="majorHAnsi"/>
          <w:color w:val="000000" w:themeColor="text1"/>
        </w:rPr>
        <w:t>s</w:t>
      </w:r>
      <w:r w:rsidRPr="00EA2D58">
        <w:rPr>
          <w:rFonts w:asciiTheme="majorHAnsi" w:hAnsiTheme="majorHAnsi" w:cstheme="majorHAnsi"/>
          <w:color w:val="000000" w:themeColor="text1"/>
        </w:rPr>
        <w:t xml:space="preserve"> with the finding of the IPR that the support provided by the BEST Program in enhancing LACs was </w:t>
      </w:r>
      <w:r>
        <w:rPr>
          <w:rFonts w:asciiTheme="majorHAnsi" w:hAnsiTheme="majorHAnsi" w:cstheme="majorHAnsi"/>
          <w:color w:val="000000" w:themeColor="text1"/>
        </w:rPr>
        <w:t xml:space="preserve">very relevant and </w:t>
      </w:r>
      <w:r w:rsidRPr="00EA2D58">
        <w:rPr>
          <w:rFonts w:asciiTheme="majorHAnsi" w:hAnsiTheme="majorHAnsi" w:cstheme="majorHAnsi"/>
          <w:color w:val="000000" w:themeColor="text1"/>
        </w:rPr>
        <w:t>significant to teacher development.</w:t>
      </w:r>
      <w:r w:rsidR="00D434EB">
        <w:rPr>
          <w:rFonts w:asciiTheme="majorHAnsi" w:hAnsiTheme="majorHAnsi" w:cstheme="majorHAnsi"/>
          <w:color w:val="000000" w:themeColor="text1"/>
        </w:rPr>
        <w:t xml:space="preserve"> </w:t>
      </w:r>
      <w:r>
        <w:rPr>
          <w:rFonts w:asciiTheme="majorHAnsi" w:hAnsiTheme="majorHAnsi" w:cstheme="majorHAnsi"/>
          <w:lang w:val="en-GB"/>
        </w:rPr>
        <w:t xml:space="preserve">The diffusion of its practice was impressive. </w:t>
      </w:r>
    </w:p>
    <w:p w14:paraId="41D28469" w14:textId="0229D8DF" w:rsidR="008D0CAD" w:rsidRPr="00DD6E21" w:rsidRDefault="008D0CAD" w:rsidP="000479A3">
      <w:pPr>
        <w:spacing w:before="100" w:beforeAutospacing="1" w:after="100" w:afterAutospacing="1" w:line="360" w:lineRule="auto"/>
        <w:ind w:right="2924"/>
        <w:rPr>
          <w:rFonts w:asciiTheme="majorHAnsi" w:hAnsiTheme="majorHAnsi" w:cstheme="majorHAnsi"/>
          <w:bCs/>
          <w:i/>
          <w:iCs/>
          <w:color w:val="44546A" w:themeColor="text2"/>
          <w:sz w:val="22"/>
          <w:szCs w:val="22"/>
        </w:rPr>
      </w:pPr>
      <w:bookmarkStart w:id="88" w:name="_Toc71616598"/>
      <w:r w:rsidRPr="00DD6E21">
        <w:rPr>
          <w:rFonts w:asciiTheme="majorHAnsi" w:hAnsiTheme="majorHAnsi" w:cstheme="majorHAnsi"/>
          <w:i/>
          <w:iCs/>
          <w:color w:val="44546A" w:themeColor="text2"/>
          <w:sz w:val="22"/>
          <w:szCs w:val="22"/>
        </w:rPr>
        <w:t xml:space="preserve">Table </w:t>
      </w:r>
      <w:r w:rsidRPr="00DD6E21">
        <w:rPr>
          <w:rFonts w:asciiTheme="majorHAnsi" w:hAnsiTheme="majorHAnsi" w:cstheme="majorHAnsi"/>
          <w:i/>
          <w:iCs/>
          <w:color w:val="44546A" w:themeColor="text2"/>
          <w:sz w:val="22"/>
          <w:szCs w:val="22"/>
        </w:rPr>
        <w:fldChar w:fldCharType="begin"/>
      </w:r>
      <w:r w:rsidRPr="00DD6E21">
        <w:rPr>
          <w:rFonts w:asciiTheme="majorHAnsi" w:hAnsiTheme="majorHAnsi" w:cstheme="majorHAnsi"/>
          <w:i/>
          <w:iCs/>
          <w:color w:val="44546A" w:themeColor="text2"/>
          <w:sz w:val="22"/>
          <w:szCs w:val="22"/>
        </w:rPr>
        <w:instrText xml:space="preserve"> SEQ Table \* ARABIC </w:instrText>
      </w:r>
      <w:r w:rsidRPr="00DD6E21">
        <w:rPr>
          <w:rFonts w:asciiTheme="majorHAnsi" w:hAnsiTheme="majorHAnsi" w:cstheme="majorHAnsi"/>
          <w:i/>
          <w:iCs/>
          <w:color w:val="44546A" w:themeColor="text2"/>
          <w:sz w:val="22"/>
          <w:szCs w:val="22"/>
        </w:rPr>
        <w:fldChar w:fldCharType="separate"/>
      </w:r>
      <w:r w:rsidR="00D6133D">
        <w:rPr>
          <w:rFonts w:asciiTheme="majorHAnsi" w:hAnsiTheme="majorHAnsi" w:cstheme="majorHAnsi"/>
          <w:i/>
          <w:iCs/>
          <w:noProof/>
          <w:color w:val="44546A" w:themeColor="text2"/>
          <w:sz w:val="22"/>
          <w:szCs w:val="22"/>
        </w:rPr>
        <w:t>7</w:t>
      </w:r>
      <w:r w:rsidRPr="00DD6E21">
        <w:rPr>
          <w:rFonts w:asciiTheme="majorHAnsi" w:hAnsiTheme="majorHAnsi" w:cstheme="majorHAnsi"/>
          <w:i/>
          <w:iCs/>
          <w:color w:val="44546A" w:themeColor="text2"/>
          <w:sz w:val="22"/>
          <w:szCs w:val="22"/>
        </w:rPr>
        <w:fldChar w:fldCharType="end"/>
      </w:r>
      <w:r w:rsidRPr="00DD6E21">
        <w:rPr>
          <w:rFonts w:asciiTheme="majorHAnsi" w:hAnsiTheme="majorHAnsi" w:cstheme="majorHAnsi"/>
          <w:i/>
          <w:iCs/>
          <w:color w:val="44546A" w:themeColor="text2"/>
          <w:sz w:val="22"/>
          <w:szCs w:val="22"/>
        </w:rPr>
        <w:t>.</w:t>
      </w:r>
      <w:r w:rsidR="00D434EB">
        <w:rPr>
          <w:rFonts w:asciiTheme="majorHAnsi" w:hAnsiTheme="majorHAnsi" w:cstheme="majorHAnsi"/>
          <w:bCs/>
          <w:i/>
          <w:iCs/>
          <w:color w:val="44546A" w:themeColor="text2"/>
          <w:sz w:val="22"/>
          <w:szCs w:val="22"/>
        </w:rPr>
        <w:t xml:space="preserve"> </w:t>
      </w:r>
      <w:r w:rsidRPr="00DD6E21">
        <w:rPr>
          <w:rFonts w:asciiTheme="majorHAnsi" w:hAnsiTheme="majorHAnsi" w:cstheme="majorHAnsi"/>
          <w:bCs/>
          <w:i/>
          <w:iCs/>
          <w:color w:val="44546A" w:themeColor="text2"/>
          <w:sz w:val="22"/>
          <w:szCs w:val="22"/>
        </w:rPr>
        <w:t>Principals’ and Teachers’ Perceptions of DO No. 55, s.</w:t>
      </w:r>
      <w:r w:rsidR="00024B11" w:rsidRPr="00DD6E21">
        <w:rPr>
          <w:rFonts w:asciiTheme="majorHAnsi" w:hAnsiTheme="majorHAnsi" w:cstheme="majorHAnsi"/>
          <w:bCs/>
          <w:i/>
          <w:iCs/>
          <w:color w:val="44546A" w:themeColor="text2"/>
          <w:sz w:val="22"/>
          <w:szCs w:val="22"/>
        </w:rPr>
        <w:t xml:space="preserve"> </w:t>
      </w:r>
      <w:r w:rsidRPr="00DD6E21">
        <w:rPr>
          <w:rFonts w:asciiTheme="majorHAnsi" w:hAnsiTheme="majorHAnsi" w:cstheme="majorHAnsi"/>
          <w:bCs/>
          <w:i/>
          <w:iCs/>
          <w:color w:val="44546A" w:themeColor="text2"/>
          <w:sz w:val="22"/>
          <w:szCs w:val="22"/>
        </w:rPr>
        <w:t>2016</w:t>
      </w:r>
      <w:bookmarkEnd w:id="88"/>
      <w:r w:rsidRPr="00DD6E21">
        <w:rPr>
          <w:rFonts w:asciiTheme="majorHAnsi" w:hAnsiTheme="majorHAnsi" w:cstheme="majorHAnsi"/>
          <w:bCs/>
          <w:i/>
          <w:iCs/>
          <w:color w:val="44546A" w:themeColor="text2"/>
          <w:sz w:val="22"/>
          <w:szCs w:val="22"/>
        </w:rPr>
        <w:t xml:space="preserve"> </w:t>
      </w:r>
      <w:r w:rsidR="00ED33AB" w:rsidRPr="00ED33AB">
        <w:rPr>
          <w:rFonts w:asciiTheme="majorHAnsi" w:hAnsiTheme="majorHAnsi" w:cstheme="majorHAnsi"/>
          <w:bCs/>
          <w:i/>
          <w:iCs/>
          <w:color w:val="44546A" w:themeColor="text2"/>
          <w:sz w:val="22"/>
          <w:szCs w:val="22"/>
        </w:rPr>
        <w:t>DO No. 55, s. 2016 on The Learning Action Cell as a K to 12 Basic Education Program School-Based Continuing professional Development Strategy for the Improvement of Teaching and Learning</w:t>
      </w:r>
    </w:p>
    <w:tbl>
      <w:tblPr>
        <w:tblStyle w:val="TableGrid"/>
        <w:tblW w:w="0" w:type="auto"/>
        <w:tblLook w:val="04A0" w:firstRow="1" w:lastRow="0" w:firstColumn="1" w:lastColumn="0" w:noHBand="0" w:noVBand="1"/>
      </w:tblPr>
      <w:tblGrid>
        <w:gridCol w:w="2552"/>
        <w:gridCol w:w="1428"/>
        <w:gridCol w:w="1981"/>
        <w:gridCol w:w="1515"/>
        <w:gridCol w:w="1448"/>
      </w:tblGrid>
      <w:tr w:rsidR="00C82D12" w:rsidRPr="00193857" w14:paraId="63A75119" w14:textId="77777777" w:rsidTr="00F4751F">
        <w:trPr>
          <w:trHeight w:val="542"/>
          <w:tblHeader/>
        </w:trPr>
        <w:tc>
          <w:tcPr>
            <w:tcW w:w="2552" w:type="dxa"/>
          </w:tcPr>
          <w:p w14:paraId="09AD77E8" w14:textId="77777777" w:rsidR="00C82D12" w:rsidRPr="00193857" w:rsidRDefault="00C82D12" w:rsidP="000479A3">
            <w:pPr>
              <w:spacing w:before="100" w:beforeAutospacing="1" w:after="100" w:afterAutospacing="1" w:line="360" w:lineRule="auto"/>
              <w:rPr>
                <w:rFonts w:asciiTheme="majorHAnsi" w:hAnsiTheme="majorHAnsi" w:cstheme="majorHAnsi"/>
                <w:color w:val="000000" w:themeColor="text1"/>
                <w:sz w:val="16"/>
                <w:szCs w:val="16"/>
              </w:rPr>
            </w:pPr>
          </w:p>
        </w:tc>
        <w:tc>
          <w:tcPr>
            <w:tcW w:w="1428" w:type="dxa"/>
          </w:tcPr>
          <w:p w14:paraId="5EDDAAAA" w14:textId="77777777" w:rsidR="00C82D12" w:rsidRPr="00193857" w:rsidRDefault="00C82D12" w:rsidP="000479A3">
            <w:pPr>
              <w:spacing w:before="100" w:beforeAutospacing="1" w:after="100" w:afterAutospacing="1" w:line="360" w:lineRule="auto"/>
              <w:rPr>
                <w:rFonts w:asciiTheme="majorHAnsi" w:hAnsiTheme="majorHAnsi" w:cstheme="majorHAnsi"/>
                <w:b/>
                <w:bCs/>
                <w:color w:val="000000" w:themeColor="text1"/>
                <w:sz w:val="16"/>
                <w:szCs w:val="16"/>
              </w:rPr>
            </w:pPr>
            <w:r w:rsidRPr="00193857">
              <w:rPr>
                <w:rFonts w:asciiTheme="majorHAnsi" w:hAnsiTheme="majorHAnsi" w:cstheme="majorHAnsi"/>
                <w:b/>
                <w:bCs/>
                <w:color w:val="000000" w:themeColor="text1"/>
                <w:sz w:val="16"/>
                <w:szCs w:val="16"/>
              </w:rPr>
              <w:t>% Sufficient knowledge</w:t>
            </w:r>
          </w:p>
        </w:tc>
        <w:tc>
          <w:tcPr>
            <w:tcW w:w="1981" w:type="dxa"/>
          </w:tcPr>
          <w:p w14:paraId="78E91C1D" w14:textId="77777777" w:rsidR="00C82D12" w:rsidRPr="00193857" w:rsidRDefault="00C82D12" w:rsidP="000479A3">
            <w:pPr>
              <w:spacing w:before="100" w:beforeAutospacing="1" w:after="100" w:afterAutospacing="1" w:line="360" w:lineRule="auto"/>
              <w:rPr>
                <w:rFonts w:asciiTheme="majorHAnsi" w:hAnsiTheme="majorHAnsi" w:cstheme="majorHAnsi"/>
                <w:b/>
                <w:bCs/>
                <w:color w:val="000000" w:themeColor="text1"/>
                <w:sz w:val="16"/>
                <w:szCs w:val="16"/>
              </w:rPr>
            </w:pPr>
            <w:r w:rsidRPr="00193857">
              <w:rPr>
                <w:rFonts w:asciiTheme="majorHAnsi" w:hAnsiTheme="majorHAnsi" w:cstheme="majorHAnsi"/>
                <w:b/>
                <w:bCs/>
                <w:color w:val="000000" w:themeColor="text1"/>
                <w:sz w:val="16"/>
                <w:szCs w:val="16"/>
              </w:rPr>
              <w:t>% Comprehensive knowledge</w:t>
            </w:r>
          </w:p>
        </w:tc>
        <w:tc>
          <w:tcPr>
            <w:tcW w:w="1515" w:type="dxa"/>
          </w:tcPr>
          <w:p w14:paraId="21E87501" w14:textId="77777777" w:rsidR="00C82D12" w:rsidRPr="00193857" w:rsidRDefault="00C82D12" w:rsidP="000479A3">
            <w:pPr>
              <w:spacing w:before="100" w:beforeAutospacing="1" w:after="100" w:afterAutospacing="1" w:line="360" w:lineRule="auto"/>
              <w:rPr>
                <w:rFonts w:asciiTheme="majorHAnsi" w:hAnsiTheme="majorHAnsi" w:cstheme="majorHAnsi"/>
                <w:b/>
                <w:bCs/>
                <w:color w:val="000000" w:themeColor="text1"/>
                <w:sz w:val="16"/>
                <w:szCs w:val="16"/>
              </w:rPr>
            </w:pPr>
            <w:r w:rsidRPr="00193857">
              <w:rPr>
                <w:rFonts w:asciiTheme="majorHAnsi" w:hAnsiTheme="majorHAnsi" w:cstheme="majorHAnsi"/>
                <w:b/>
                <w:bCs/>
                <w:color w:val="000000" w:themeColor="text1"/>
                <w:sz w:val="16"/>
                <w:szCs w:val="16"/>
              </w:rPr>
              <w:t>% Sufficiently useful</w:t>
            </w:r>
          </w:p>
        </w:tc>
        <w:tc>
          <w:tcPr>
            <w:tcW w:w="1448" w:type="dxa"/>
          </w:tcPr>
          <w:p w14:paraId="6DDD7390" w14:textId="77777777" w:rsidR="00C82D12" w:rsidRPr="00193857" w:rsidRDefault="00C82D12" w:rsidP="000479A3">
            <w:pPr>
              <w:spacing w:before="100" w:beforeAutospacing="1" w:after="100" w:afterAutospacing="1" w:line="360" w:lineRule="auto"/>
              <w:rPr>
                <w:rFonts w:asciiTheme="majorHAnsi" w:hAnsiTheme="majorHAnsi" w:cstheme="majorHAnsi"/>
                <w:b/>
                <w:bCs/>
                <w:color w:val="000000" w:themeColor="text1"/>
                <w:sz w:val="16"/>
                <w:szCs w:val="16"/>
              </w:rPr>
            </w:pPr>
            <w:r w:rsidRPr="00193857">
              <w:rPr>
                <w:rFonts w:asciiTheme="majorHAnsi" w:hAnsiTheme="majorHAnsi" w:cstheme="majorHAnsi"/>
                <w:b/>
                <w:bCs/>
                <w:color w:val="000000" w:themeColor="text1"/>
                <w:sz w:val="16"/>
                <w:szCs w:val="16"/>
              </w:rPr>
              <w:t>% Extremely useful</w:t>
            </w:r>
          </w:p>
        </w:tc>
      </w:tr>
      <w:tr w:rsidR="00C82D12" w:rsidRPr="00193857" w14:paraId="48D5E2AB" w14:textId="77777777" w:rsidTr="00ED33AB">
        <w:trPr>
          <w:trHeight w:val="169"/>
        </w:trPr>
        <w:tc>
          <w:tcPr>
            <w:tcW w:w="2552" w:type="dxa"/>
            <w:shd w:val="clear" w:color="auto" w:fill="BFBFBF" w:themeFill="background1" w:themeFillShade="BF"/>
          </w:tcPr>
          <w:p w14:paraId="24DF1A9A" w14:textId="77777777" w:rsidR="00C82D12" w:rsidRPr="00193857" w:rsidRDefault="00C82D12" w:rsidP="000479A3">
            <w:pPr>
              <w:spacing w:before="100" w:beforeAutospacing="1" w:after="100" w:afterAutospacing="1" w:line="360" w:lineRule="auto"/>
              <w:rPr>
                <w:rFonts w:asciiTheme="majorHAnsi" w:hAnsiTheme="majorHAnsi" w:cstheme="majorHAnsi"/>
                <w:color w:val="000000" w:themeColor="text1"/>
                <w:sz w:val="16"/>
                <w:szCs w:val="16"/>
              </w:rPr>
            </w:pPr>
            <w:r w:rsidRPr="00193857">
              <w:rPr>
                <w:rFonts w:asciiTheme="majorHAnsi" w:hAnsiTheme="majorHAnsi" w:cstheme="majorHAnsi"/>
                <w:color w:val="000000" w:themeColor="text1"/>
                <w:sz w:val="16"/>
                <w:szCs w:val="16"/>
              </w:rPr>
              <w:t>Main Study*</w:t>
            </w:r>
          </w:p>
        </w:tc>
        <w:tc>
          <w:tcPr>
            <w:tcW w:w="1428" w:type="dxa"/>
            <w:shd w:val="clear" w:color="auto" w:fill="BFBFBF" w:themeFill="background1" w:themeFillShade="BF"/>
          </w:tcPr>
          <w:p w14:paraId="1E0C5CB7" w14:textId="77777777" w:rsidR="00C82D12" w:rsidRPr="00193857" w:rsidRDefault="00C82D12" w:rsidP="000479A3">
            <w:pPr>
              <w:spacing w:before="100" w:beforeAutospacing="1" w:after="100" w:afterAutospacing="1" w:line="360" w:lineRule="auto"/>
              <w:rPr>
                <w:rFonts w:asciiTheme="majorHAnsi" w:hAnsiTheme="majorHAnsi" w:cstheme="majorHAnsi"/>
                <w:color w:val="000000" w:themeColor="text1"/>
                <w:sz w:val="16"/>
                <w:szCs w:val="16"/>
              </w:rPr>
            </w:pPr>
          </w:p>
        </w:tc>
        <w:tc>
          <w:tcPr>
            <w:tcW w:w="1981" w:type="dxa"/>
            <w:shd w:val="clear" w:color="auto" w:fill="BFBFBF" w:themeFill="background1" w:themeFillShade="BF"/>
          </w:tcPr>
          <w:p w14:paraId="5B4D98FE" w14:textId="77777777" w:rsidR="00C82D12" w:rsidRPr="00193857" w:rsidRDefault="00C82D12" w:rsidP="000479A3">
            <w:pPr>
              <w:spacing w:before="100" w:beforeAutospacing="1" w:after="100" w:afterAutospacing="1" w:line="360" w:lineRule="auto"/>
              <w:rPr>
                <w:rFonts w:asciiTheme="majorHAnsi" w:hAnsiTheme="majorHAnsi" w:cstheme="majorHAnsi"/>
                <w:color w:val="000000" w:themeColor="text1"/>
                <w:sz w:val="16"/>
                <w:szCs w:val="16"/>
              </w:rPr>
            </w:pPr>
          </w:p>
        </w:tc>
        <w:tc>
          <w:tcPr>
            <w:tcW w:w="1515" w:type="dxa"/>
            <w:shd w:val="clear" w:color="auto" w:fill="BFBFBF" w:themeFill="background1" w:themeFillShade="BF"/>
          </w:tcPr>
          <w:p w14:paraId="4AF3312C" w14:textId="77777777" w:rsidR="00C82D12" w:rsidRPr="00193857" w:rsidRDefault="00C82D12" w:rsidP="000479A3">
            <w:pPr>
              <w:spacing w:before="100" w:beforeAutospacing="1" w:after="100" w:afterAutospacing="1" w:line="360" w:lineRule="auto"/>
              <w:rPr>
                <w:rFonts w:asciiTheme="majorHAnsi" w:hAnsiTheme="majorHAnsi" w:cstheme="majorHAnsi"/>
                <w:color w:val="000000" w:themeColor="text1"/>
                <w:sz w:val="16"/>
                <w:szCs w:val="16"/>
              </w:rPr>
            </w:pPr>
          </w:p>
        </w:tc>
        <w:tc>
          <w:tcPr>
            <w:tcW w:w="1448" w:type="dxa"/>
            <w:shd w:val="clear" w:color="auto" w:fill="BFBFBF" w:themeFill="background1" w:themeFillShade="BF"/>
          </w:tcPr>
          <w:p w14:paraId="6EB24A36" w14:textId="77777777" w:rsidR="00C82D12" w:rsidRPr="00193857" w:rsidRDefault="00C82D12" w:rsidP="000479A3">
            <w:pPr>
              <w:spacing w:before="100" w:beforeAutospacing="1" w:after="100" w:afterAutospacing="1" w:line="360" w:lineRule="auto"/>
              <w:rPr>
                <w:rFonts w:asciiTheme="majorHAnsi" w:hAnsiTheme="majorHAnsi" w:cstheme="majorHAnsi"/>
                <w:color w:val="000000" w:themeColor="text1"/>
                <w:sz w:val="16"/>
                <w:szCs w:val="16"/>
              </w:rPr>
            </w:pPr>
          </w:p>
        </w:tc>
      </w:tr>
      <w:tr w:rsidR="00C82D12" w:rsidRPr="00193857" w14:paraId="468DA3D7" w14:textId="77777777" w:rsidTr="00ED33AB">
        <w:trPr>
          <w:trHeight w:val="155"/>
        </w:trPr>
        <w:tc>
          <w:tcPr>
            <w:tcW w:w="2552" w:type="dxa"/>
          </w:tcPr>
          <w:p w14:paraId="50658712" w14:textId="77777777" w:rsidR="00C82D12" w:rsidRPr="00193857" w:rsidRDefault="00C82D12" w:rsidP="000479A3">
            <w:pPr>
              <w:spacing w:before="100" w:beforeAutospacing="1" w:after="100" w:afterAutospacing="1" w:line="360" w:lineRule="auto"/>
              <w:rPr>
                <w:rFonts w:asciiTheme="majorHAnsi" w:hAnsiTheme="majorHAnsi" w:cstheme="majorHAnsi"/>
                <w:color w:val="000000" w:themeColor="text1"/>
                <w:sz w:val="16"/>
                <w:szCs w:val="16"/>
              </w:rPr>
            </w:pPr>
            <w:r w:rsidRPr="00193857">
              <w:rPr>
                <w:rFonts w:asciiTheme="majorHAnsi" w:hAnsiTheme="majorHAnsi" w:cstheme="majorHAnsi"/>
                <w:color w:val="000000" w:themeColor="text1"/>
                <w:sz w:val="16"/>
                <w:szCs w:val="16"/>
              </w:rPr>
              <w:t>PSHs (n=26)</w:t>
            </w:r>
          </w:p>
        </w:tc>
        <w:tc>
          <w:tcPr>
            <w:tcW w:w="1428" w:type="dxa"/>
          </w:tcPr>
          <w:p w14:paraId="61FBAC48" w14:textId="77777777" w:rsidR="00C82D12" w:rsidRPr="00193857" w:rsidRDefault="00024B11" w:rsidP="000479A3">
            <w:pPr>
              <w:spacing w:before="100" w:beforeAutospacing="1" w:after="100" w:afterAutospacing="1" w:line="360" w:lineRule="auto"/>
              <w:rPr>
                <w:rFonts w:asciiTheme="majorHAnsi" w:hAnsiTheme="majorHAnsi" w:cstheme="majorHAnsi"/>
                <w:color w:val="000000" w:themeColor="text1"/>
                <w:sz w:val="16"/>
                <w:szCs w:val="16"/>
              </w:rPr>
            </w:pPr>
            <w:r w:rsidRPr="00193857">
              <w:rPr>
                <w:rFonts w:asciiTheme="majorHAnsi" w:hAnsiTheme="majorHAnsi" w:cstheme="majorHAnsi"/>
                <w:color w:val="000000" w:themeColor="text1"/>
                <w:sz w:val="16"/>
                <w:szCs w:val="16"/>
              </w:rPr>
              <w:t>31</w:t>
            </w:r>
            <w:r w:rsidR="00C82D12" w:rsidRPr="00193857">
              <w:rPr>
                <w:rFonts w:asciiTheme="majorHAnsi" w:hAnsiTheme="majorHAnsi" w:cstheme="majorHAnsi"/>
                <w:color w:val="000000" w:themeColor="text1"/>
                <w:sz w:val="16"/>
                <w:szCs w:val="16"/>
              </w:rPr>
              <w:t>%</w:t>
            </w:r>
          </w:p>
        </w:tc>
        <w:tc>
          <w:tcPr>
            <w:tcW w:w="1981" w:type="dxa"/>
          </w:tcPr>
          <w:p w14:paraId="0F0D31D5" w14:textId="77777777" w:rsidR="00C82D12" w:rsidRPr="00193857" w:rsidRDefault="00024B11" w:rsidP="000479A3">
            <w:pPr>
              <w:spacing w:before="100" w:beforeAutospacing="1" w:after="100" w:afterAutospacing="1" w:line="360" w:lineRule="auto"/>
              <w:rPr>
                <w:rFonts w:asciiTheme="majorHAnsi" w:hAnsiTheme="majorHAnsi" w:cstheme="majorHAnsi"/>
                <w:color w:val="000000" w:themeColor="text1"/>
                <w:sz w:val="16"/>
                <w:szCs w:val="16"/>
              </w:rPr>
            </w:pPr>
            <w:r w:rsidRPr="00193857">
              <w:rPr>
                <w:rFonts w:asciiTheme="majorHAnsi" w:hAnsiTheme="majorHAnsi" w:cstheme="majorHAnsi"/>
                <w:color w:val="000000" w:themeColor="text1"/>
                <w:sz w:val="16"/>
                <w:szCs w:val="16"/>
              </w:rPr>
              <w:t>58</w:t>
            </w:r>
            <w:r w:rsidR="00C82D12" w:rsidRPr="00193857">
              <w:rPr>
                <w:rFonts w:asciiTheme="majorHAnsi" w:hAnsiTheme="majorHAnsi" w:cstheme="majorHAnsi"/>
                <w:color w:val="000000" w:themeColor="text1"/>
                <w:sz w:val="16"/>
                <w:szCs w:val="16"/>
              </w:rPr>
              <w:t>%</w:t>
            </w:r>
          </w:p>
        </w:tc>
        <w:tc>
          <w:tcPr>
            <w:tcW w:w="1515" w:type="dxa"/>
          </w:tcPr>
          <w:p w14:paraId="083D6C88" w14:textId="77777777" w:rsidR="00C82D12" w:rsidRPr="00193857" w:rsidRDefault="00024B11" w:rsidP="000479A3">
            <w:pPr>
              <w:spacing w:before="100" w:beforeAutospacing="1" w:after="100" w:afterAutospacing="1" w:line="360" w:lineRule="auto"/>
              <w:rPr>
                <w:rFonts w:asciiTheme="majorHAnsi" w:hAnsiTheme="majorHAnsi" w:cstheme="majorHAnsi"/>
                <w:color w:val="000000" w:themeColor="text1"/>
                <w:sz w:val="16"/>
                <w:szCs w:val="16"/>
              </w:rPr>
            </w:pPr>
            <w:r w:rsidRPr="00193857">
              <w:rPr>
                <w:rFonts w:asciiTheme="majorHAnsi" w:hAnsiTheme="majorHAnsi" w:cstheme="majorHAnsi"/>
                <w:color w:val="000000" w:themeColor="text1"/>
                <w:sz w:val="16"/>
                <w:szCs w:val="16"/>
              </w:rPr>
              <w:t>23</w:t>
            </w:r>
            <w:r w:rsidR="00C82D12" w:rsidRPr="00193857">
              <w:rPr>
                <w:rFonts w:asciiTheme="majorHAnsi" w:hAnsiTheme="majorHAnsi" w:cstheme="majorHAnsi"/>
                <w:color w:val="000000" w:themeColor="text1"/>
                <w:sz w:val="16"/>
                <w:szCs w:val="16"/>
              </w:rPr>
              <w:t>%</w:t>
            </w:r>
          </w:p>
        </w:tc>
        <w:tc>
          <w:tcPr>
            <w:tcW w:w="1448" w:type="dxa"/>
          </w:tcPr>
          <w:p w14:paraId="37796111" w14:textId="77777777" w:rsidR="00C82D12" w:rsidRPr="00193857" w:rsidRDefault="00024B11" w:rsidP="000479A3">
            <w:pPr>
              <w:spacing w:before="100" w:beforeAutospacing="1" w:after="100" w:afterAutospacing="1" w:line="360" w:lineRule="auto"/>
              <w:rPr>
                <w:rFonts w:asciiTheme="majorHAnsi" w:hAnsiTheme="majorHAnsi" w:cstheme="majorHAnsi"/>
                <w:color w:val="000000" w:themeColor="text1"/>
                <w:sz w:val="16"/>
                <w:szCs w:val="16"/>
              </w:rPr>
            </w:pPr>
            <w:r w:rsidRPr="00193857">
              <w:rPr>
                <w:rFonts w:asciiTheme="majorHAnsi" w:hAnsiTheme="majorHAnsi" w:cstheme="majorHAnsi"/>
                <w:color w:val="000000" w:themeColor="text1"/>
                <w:sz w:val="16"/>
                <w:szCs w:val="16"/>
              </w:rPr>
              <w:t>65</w:t>
            </w:r>
            <w:r w:rsidR="00C82D12" w:rsidRPr="00193857">
              <w:rPr>
                <w:rFonts w:asciiTheme="majorHAnsi" w:hAnsiTheme="majorHAnsi" w:cstheme="majorHAnsi"/>
                <w:color w:val="000000" w:themeColor="text1"/>
                <w:sz w:val="16"/>
                <w:szCs w:val="16"/>
              </w:rPr>
              <w:t>%</w:t>
            </w:r>
          </w:p>
        </w:tc>
      </w:tr>
      <w:tr w:rsidR="00C82D12" w:rsidRPr="00193857" w14:paraId="4F137556" w14:textId="77777777" w:rsidTr="00ED33AB">
        <w:trPr>
          <w:trHeight w:val="207"/>
        </w:trPr>
        <w:tc>
          <w:tcPr>
            <w:tcW w:w="2552" w:type="dxa"/>
          </w:tcPr>
          <w:p w14:paraId="42D340B4" w14:textId="77777777" w:rsidR="00C82D12" w:rsidRPr="00193857" w:rsidRDefault="00C82D12" w:rsidP="000479A3">
            <w:pPr>
              <w:spacing w:before="100" w:beforeAutospacing="1" w:after="100" w:afterAutospacing="1" w:line="360" w:lineRule="auto"/>
              <w:rPr>
                <w:rFonts w:asciiTheme="majorHAnsi" w:hAnsiTheme="majorHAnsi" w:cstheme="majorHAnsi"/>
                <w:color w:val="000000" w:themeColor="text1"/>
                <w:sz w:val="16"/>
                <w:szCs w:val="16"/>
              </w:rPr>
            </w:pPr>
            <w:r w:rsidRPr="00193857">
              <w:rPr>
                <w:rFonts w:asciiTheme="majorHAnsi" w:hAnsiTheme="majorHAnsi" w:cstheme="majorHAnsi"/>
                <w:color w:val="000000" w:themeColor="text1"/>
                <w:sz w:val="16"/>
                <w:szCs w:val="16"/>
              </w:rPr>
              <w:t>Teachers (n=107)</w:t>
            </w:r>
          </w:p>
        </w:tc>
        <w:tc>
          <w:tcPr>
            <w:tcW w:w="1428" w:type="dxa"/>
          </w:tcPr>
          <w:p w14:paraId="3D660BD0" w14:textId="77777777" w:rsidR="00C82D12" w:rsidRPr="00193857" w:rsidRDefault="00024B11" w:rsidP="000479A3">
            <w:pPr>
              <w:spacing w:before="100" w:beforeAutospacing="1" w:after="100" w:afterAutospacing="1" w:line="360" w:lineRule="auto"/>
              <w:rPr>
                <w:rFonts w:asciiTheme="majorHAnsi" w:hAnsiTheme="majorHAnsi" w:cstheme="majorHAnsi"/>
                <w:color w:val="000000" w:themeColor="text1"/>
                <w:sz w:val="16"/>
                <w:szCs w:val="16"/>
              </w:rPr>
            </w:pPr>
            <w:r w:rsidRPr="00193857">
              <w:rPr>
                <w:rFonts w:asciiTheme="majorHAnsi" w:hAnsiTheme="majorHAnsi" w:cstheme="majorHAnsi"/>
                <w:color w:val="000000" w:themeColor="text1"/>
                <w:sz w:val="16"/>
                <w:szCs w:val="16"/>
              </w:rPr>
              <w:t>46</w:t>
            </w:r>
            <w:r w:rsidR="00C82D12" w:rsidRPr="00193857">
              <w:rPr>
                <w:rFonts w:asciiTheme="majorHAnsi" w:hAnsiTheme="majorHAnsi" w:cstheme="majorHAnsi"/>
                <w:color w:val="000000" w:themeColor="text1"/>
                <w:sz w:val="16"/>
                <w:szCs w:val="16"/>
              </w:rPr>
              <w:t>%</w:t>
            </w:r>
          </w:p>
        </w:tc>
        <w:tc>
          <w:tcPr>
            <w:tcW w:w="1981" w:type="dxa"/>
          </w:tcPr>
          <w:p w14:paraId="0EDFFCE9" w14:textId="77777777" w:rsidR="00C82D12" w:rsidRPr="00193857" w:rsidRDefault="00024B11" w:rsidP="000479A3">
            <w:pPr>
              <w:spacing w:before="100" w:beforeAutospacing="1" w:after="100" w:afterAutospacing="1" w:line="360" w:lineRule="auto"/>
              <w:rPr>
                <w:rFonts w:asciiTheme="majorHAnsi" w:hAnsiTheme="majorHAnsi" w:cstheme="majorHAnsi"/>
                <w:color w:val="000000" w:themeColor="text1"/>
                <w:sz w:val="16"/>
                <w:szCs w:val="16"/>
              </w:rPr>
            </w:pPr>
            <w:r w:rsidRPr="00193857">
              <w:rPr>
                <w:rFonts w:asciiTheme="majorHAnsi" w:hAnsiTheme="majorHAnsi" w:cstheme="majorHAnsi"/>
                <w:color w:val="000000" w:themeColor="text1"/>
                <w:sz w:val="16"/>
                <w:szCs w:val="16"/>
              </w:rPr>
              <w:t>27</w:t>
            </w:r>
            <w:r w:rsidR="00C82D12" w:rsidRPr="00193857">
              <w:rPr>
                <w:rFonts w:asciiTheme="majorHAnsi" w:hAnsiTheme="majorHAnsi" w:cstheme="majorHAnsi"/>
                <w:color w:val="000000" w:themeColor="text1"/>
                <w:sz w:val="16"/>
                <w:szCs w:val="16"/>
              </w:rPr>
              <w:t>%</w:t>
            </w:r>
          </w:p>
        </w:tc>
        <w:tc>
          <w:tcPr>
            <w:tcW w:w="1515" w:type="dxa"/>
          </w:tcPr>
          <w:p w14:paraId="41F64206" w14:textId="77777777" w:rsidR="00C82D12" w:rsidRPr="00193857" w:rsidRDefault="00024B11" w:rsidP="000479A3">
            <w:pPr>
              <w:spacing w:before="100" w:beforeAutospacing="1" w:after="100" w:afterAutospacing="1" w:line="360" w:lineRule="auto"/>
              <w:rPr>
                <w:rFonts w:asciiTheme="majorHAnsi" w:hAnsiTheme="majorHAnsi" w:cstheme="majorHAnsi"/>
                <w:color w:val="000000" w:themeColor="text1"/>
                <w:sz w:val="16"/>
                <w:szCs w:val="16"/>
              </w:rPr>
            </w:pPr>
            <w:r w:rsidRPr="00193857">
              <w:rPr>
                <w:rFonts w:asciiTheme="majorHAnsi" w:hAnsiTheme="majorHAnsi" w:cstheme="majorHAnsi"/>
                <w:color w:val="000000" w:themeColor="text1"/>
                <w:sz w:val="16"/>
                <w:szCs w:val="16"/>
              </w:rPr>
              <w:t>42</w:t>
            </w:r>
            <w:r w:rsidR="00C82D12" w:rsidRPr="00193857">
              <w:rPr>
                <w:rFonts w:asciiTheme="majorHAnsi" w:hAnsiTheme="majorHAnsi" w:cstheme="majorHAnsi"/>
                <w:color w:val="000000" w:themeColor="text1"/>
                <w:sz w:val="16"/>
                <w:szCs w:val="16"/>
              </w:rPr>
              <w:t>%</w:t>
            </w:r>
          </w:p>
        </w:tc>
        <w:tc>
          <w:tcPr>
            <w:tcW w:w="1448" w:type="dxa"/>
          </w:tcPr>
          <w:p w14:paraId="1F4FAFAE" w14:textId="77777777" w:rsidR="00C82D12" w:rsidRPr="00193857" w:rsidRDefault="00024B11" w:rsidP="000479A3">
            <w:pPr>
              <w:spacing w:before="100" w:beforeAutospacing="1" w:after="100" w:afterAutospacing="1" w:line="360" w:lineRule="auto"/>
              <w:rPr>
                <w:rFonts w:asciiTheme="majorHAnsi" w:hAnsiTheme="majorHAnsi" w:cstheme="majorHAnsi"/>
                <w:color w:val="000000" w:themeColor="text1"/>
                <w:sz w:val="16"/>
                <w:szCs w:val="16"/>
              </w:rPr>
            </w:pPr>
            <w:r w:rsidRPr="00193857">
              <w:rPr>
                <w:rFonts w:asciiTheme="majorHAnsi" w:hAnsiTheme="majorHAnsi" w:cstheme="majorHAnsi"/>
                <w:color w:val="000000" w:themeColor="text1"/>
                <w:sz w:val="16"/>
                <w:szCs w:val="16"/>
              </w:rPr>
              <w:t>34</w:t>
            </w:r>
            <w:r w:rsidR="00C82D12" w:rsidRPr="00193857">
              <w:rPr>
                <w:rFonts w:asciiTheme="majorHAnsi" w:hAnsiTheme="majorHAnsi" w:cstheme="majorHAnsi"/>
                <w:color w:val="000000" w:themeColor="text1"/>
                <w:sz w:val="16"/>
                <w:szCs w:val="16"/>
              </w:rPr>
              <w:t>%</w:t>
            </w:r>
          </w:p>
        </w:tc>
      </w:tr>
      <w:tr w:rsidR="00C82D12" w:rsidRPr="00193857" w14:paraId="62641B98" w14:textId="77777777" w:rsidTr="00ED33AB">
        <w:trPr>
          <w:trHeight w:val="143"/>
        </w:trPr>
        <w:tc>
          <w:tcPr>
            <w:tcW w:w="2552" w:type="dxa"/>
            <w:shd w:val="clear" w:color="auto" w:fill="BFBFBF" w:themeFill="background1" w:themeFillShade="BF"/>
          </w:tcPr>
          <w:p w14:paraId="388936E4" w14:textId="77777777" w:rsidR="00C82D12" w:rsidRPr="00193857" w:rsidRDefault="00C82D12" w:rsidP="000479A3">
            <w:pPr>
              <w:spacing w:before="100" w:beforeAutospacing="1" w:after="100" w:afterAutospacing="1" w:line="360" w:lineRule="auto"/>
              <w:rPr>
                <w:rFonts w:asciiTheme="majorHAnsi" w:hAnsiTheme="majorHAnsi" w:cstheme="majorHAnsi"/>
                <w:color w:val="000000" w:themeColor="text1"/>
                <w:sz w:val="16"/>
                <w:szCs w:val="16"/>
              </w:rPr>
            </w:pPr>
            <w:r w:rsidRPr="00193857">
              <w:rPr>
                <w:rFonts w:asciiTheme="majorHAnsi" w:hAnsiTheme="majorHAnsi" w:cstheme="majorHAnsi"/>
                <w:color w:val="000000" w:themeColor="text1"/>
                <w:sz w:val="16"/>
                <w:szCs w:val="16"/>
              </w:rPr>
              <w:t>Follow-Up Study **</w:t>
            </w:r>
          </w:p>
        </w:tc>
        <w:tc>
          <w:tcPr>
            <w:tcW w:w="1428" w:type="dxa"/>
            <w:shd w:val="clear" w:color="auto" w:fill="BFBFBF" w:themeFill="background1" w:themeFillShade="BF"/>
          </w:tcPr>
          <w:p w14:paraId="030B89B8" w14:textId="77777777" w:rsidR="00C82D12" w:rsidRPr="00193857" w:rsidRDefault="00C82D12" w:rsidP="000479A3">
            <w:pPr>
              <w:spacing w:before="100" w:beforeAutospacing="1" w:after="100" w:afterAutospacing="1" w:line="360" w:lineRule="auto"/>
              <w:rPr>
                <w:rFonts w:asciiTheme="majorHAnsi" w:hAnsiTheme="majorHAnsi" w:cstheme="majorHAnsi"/>
                <w:color w:val="000000" w:themeColor="text1"/>
                <w:sz w:val="16"/>
                <w:szCs w:val="16"/>
              </w:rPr>
            </w:pPr>
          </w:p>
        </w:tc>
        <w:tc>
          <w:tcPr>
            <w:tcW w:w="1981" w:type="dxa"/>
            <w:shd w:val="clear" w:color="auto" w:fill="BFBFBF" w:themeFill="background1" w:themeFillShade="BF"/>
          </w:tcPr>
          <w:p w14:paraId="6CAF16DB" w14:textId="77777777" w:rsidR="00C82D12" w:rsidRPr="00193857" w:rsidRDefault="00C82D12" w:rsidP="000479A3">
            <w:pPr>
              <w:spacing w:before="100" w:beforeAutospacing="1" w:after="100" w:afterAutospacing="1" w:line="360" w:lineRule="auto"/>
              <w:rPr>
                <w:rFonts w:asciiTheme="majorHAnsi" w:hAnsiTheme="majorHAnsi" w:cstheme="majorHAnsi"/>
                <w:color w:val="000000" w:themeColor="text1"/>
                <w:sz w:val="16"/>
                <w:szCs w:val="16"/>
              </w:rPr>
            </w:pPr>
          </w:p>
        </w:tc>
        <w:tc>
          <w:tcPr>
            <w:tcW w:w="1515" w:type="dxa"/>
            <w:shd w:val="clear" w:color="auto" w:fill="BFBFBF" w:themeFill="background1" w:themeFillShade="BF"/>
          </w:tcPr>
          <w:p w14:paraId="140CC68D" w14:textId="77777777" w:rsidR="00C82D12" w:rsidRPr="00193857" w:rsidRDefault="00C82D12" w:rsidP="000479A3">
            <w:pPr>
              <w:spacing w:before="100" w:beforeAutospacing="1" w:after="100" w:afterAutospacing="1" w:line="360" w:lineRule="auto"/>
              <w:rPr>
                <w:rFonts w:asciiTheme="majorHAnsi" w:hAnsiTheme="majorHAnsi" w:cstheme="majorHAnsi"/>
                <w:color w:val="000000" w:themeColor="text1"/>
                <w:sz w:val="16"/>
                <w:szCs w:val="16"/>
              </w:rPr>
            </w:pPr>
          </w:p>
        </w:tc>
        <w:tc>
          <w:tcPr>
            <w:tcW w:w="1448" w:type="dxa"/>
            <w:shd w:val="clear" w:color="auto" w:fill="BFBFBF" w:themeFill="background1" w:themeFillShade="BF"/>
          </w:tcPr>
          <w:p w14:paraId="4929C47F" w14:textId="77777777" w:rsidR="00C82D12" w:rsidRPr="00193857" w:rsidRDefault="00C82D12" w:rsidP="000479A3">
            <w:pPr>
              <w:spacing w:before="100" w:beforeAutospacing="1" w:after="100" w:afterAutospacing="1" w:line="360" w:lineRule="auto"/>
              <w:rPr>
                <w:rFonts w:asciiTheme="majorHAnsi" w:hAnsiTheme="majorHAnsi" w:cstheme="majorHAnsi"/>
                <w:color w:val="000000" w:themeColor="text1"/>
                <w:sz w:val="16"/>
                <w:szCs w:val="16"/>
              </w:rPr>
            </w:pPr>
          </w:p>
        </w:tc>
      </w:tr>
      <w:tr w:rsidR="00C82D12" w:rsidRPr="00193857" w14:paraId="4B6A993E" w14:textId="77777777" w:rsidTr="00ED33AB">
        <w:trPr>
          <w:trHeight w:val="274"/>
        </w:trPr>
        <w:tc>
          <w:tcPr>
            <w:tcW w:w="2552" w:type="dxa"/>
          </w:tcPr>
          <w:p w14:paraId="35837FCB" w14:textId="77777777" w:rsidR="00C82D12" w:rsidRPr="00193857" w:rsidRDefault="00C82D12" w:rsidP="000479A3">
            <w:pPr>
              <w:spacing w:before="100" w:beforeAutospacing="1" w:after="100" w:afterAutospacing="1" w:line="360" w:lineRule="auto"/>
              <w:rPr>
                <w:rFonts w:asciiTheme="majorHAnsi" w:hAnsiTheme="majorHAnsi" w:cstheme="majorHAnsi"/>
                <w:color w:val="000000" w:themeColor="text1"/>
                <w:sz w:val="16"/>
                <w:szCs w:val="16"/>
              </w:rPr>
            </w:pPr>
            <w:r w:rsidRPr="00193857">
              <w:rPr>
                <w:rFonts w:asciiTheme="majorHAnsi" w:hAnsiTheme="majorHAnsi" w:cstheme="majorHAnsi"/>
                <w:color w:val="000000" w:themeColor="text1"/>
                <w:sz w:val="16"/>
                <w:szCs w:val="16"/>
              </w:rPr>
              <w:t>PSHs (n=11)</w:t>
            </w:r>
          </w:p>
        </w:tc>
        <w:tc>
          <w:tcPr>
            <w:tcW w:w="1428" w:type="dxa"/>
          </w:tcPr>
          <w:p w14:paraId="10CA65F7" w14:textId="77777777" w:rsidR="00C82D12" w:rsidRPr="00193857" w:rsidRDefault="00024B11" w:rsidP="000479A3">
            <w:pPr>
              <w:spacing w:before="100" w:beforeAutospacing="1" w:after="100" w:afterAutospacing="1" w:line="360" w:lineRule="auto"/>
              <w:rPr>
                <w:rFonts w:asciiTheme="majorHAnsi" w:hAnsiTheme="majorHAnsi" w:cstheme="majorHAnsi"/>
                <w:color w:val="000000" w:themeColor="text1"/>
                <w:sz w:val="16"/>
                <w:szCs w:val="16"/>
              </w:rPr>
            </w:pPr>
            <w:r w:rsidRPr="00193857">
              <w:rPr>
                <w:rFonts w:asciiTheme="majorHAnsi" w:hAnsiTheme="majorHAnsi" w:cstheme="majorHAnsi"/>
                <w:color w:val="000000" w:themeColor="text1"/>
                <w:sz w:val="16"/>
                <w:szCs w:val="16"/>
              </w:rPr>
              <w:t>33</w:t>
            </w:r>
            <w:r w:rsidR="00C82D12" w:rsidRPr="00193857">
              <w:rPr>
                <w:rFonts w:asciiTheme="majorHAnsi" w:hAnsiTheme="majorHAnsi" w:cstheme="majorHAnsi"/>
                <w:color w:val="000000" w:themeColor="text1"/>
                <w:sz w:val="16"/>
                <w:szCs w:val="16"/>
              </w:rPr>
              <w:t>%</w:t>
            </w:r>
          </w:p>
        </w:tc>
        <w:tc>
          <w:tcPr>
            <w:tcW w:w="1981" w:type="dxa"/>
          </w:tcPr>
          <w:p w14:paraId="3FB678B1" w14:textId="77777777" w:rsidR="00C82D12" w:rsidRPr="00193857" w:rsidRDefault="00024B11" w:rsidP="000479A3">
            <w:pPr>
              <w:spacing w:before="100" w:beforeAutospacing="1" w:after="100" w:afterAutospacing="1" w:line="360" w:lineRule="auto"/>
              <w:rPr>
                <w:rFonts w:asciiTheme="majorHAnsi" w:hAnsiTheme="majorHAnsi" w:cstheme="majorHAnsi"/>
                <w:color w:val="000000" w:themeColor="text1"/>
                <w:sz w:val="16"/>
                <w:szCs w:val="16"/>
              </w:rPr>
            </w:pPr>
            <w:r w:rsidRPr="00193857">
              <w:rPr>
                <w:rFonts w:asciiTheme="majorHAnsi" w:hAnsiTheme="majorHAnsi" w:cstheme="majorHAnsi"/>
                <w:color w:val="000000" w:themeColor="text1"/>
                <w:sz w:val="16"/>
                <w:szCs w:val="16"/>
              </w:rPr>
              <w:t>33</w:t>
            </w:r>
            <w:r w:rsidR="00C82D12" w:rsidRPr="00193857">
              <w:rPr>
                <w:rFonts w:asciiTheme="majorHAnsi" w:hAnsiTheme="majorHAnsi" w:cstheme="majorHAnsi"/>
                <w:color w:val="000000" w:themeColor="text1"/>
                <w:sz w:val="16"/>
                <w:szCs w:val="16"/>
              </w:rPr>
              <w:t>%</w:t>
            </w:r>
          </w:p>
        </w:tc>
        <w:tc>
          <w:tcPr>
            <w:tcW w:w="1515" w:type="dxa"/>
          </w:tcPr>
          <w:p w14:paraId="5640EE79" w14:textId="77777777" w:rsidR="00C82D12" w:rsidRPr="00193857" w:rsidRDefault="00024B11" w:rsidP="000479A3">
            <w:pPr>
              <w:spacing w:before="100" w:beforeAutospacing="1" w:after="100" w:afterAutospacing="1" w:line="360" w:lineRule="auto"/>
              <w:rPr>
                <w:rFonts w:asciiTheme="majorHAnsi" w:hAnsiTheme="majorHAnsi" w:cstheme="majorHAnsi"/>
                <w:color w:val="000000" w:themeColor="text1"/>
                <w:sz w:val="16"/>
                <w:szCs w:val="16"/>
              </w:rPr>
            </w:pPr>
            <w:r w:rsidRPr="00193857">
              <w:rPr>
                <w:rFonts w:asciiTheme="majorHAnsi" w:hAnsiTheme="majorHAnsi" w:cstheme="majorHAnsi"/>
                <w:color w:val="000000" w:themeColor="text1"/>
                <w:sz w:val="16"/>
                <w:szCs w:val="16"/>
              </w:rPr>
              <w:t>25</w:t>
            </w:r>
            <w:r w:rsidR="00C82D12" w:rsidRPr="00193857">
              <w:rPr>
                <w:rFonts w:asciiTheme="majorHAnsi" w:hAnsiTheme="majorHAnsi" w:cstheme="majorHAnsi"/>
                <w:color w:val="000000" w:themeColor="text1"/>
                <w:sz w:val="16"/>
                <w:szCs w:val="16"/>
              </w:rPr>
              <w:t>%</w:t>
            </w:r>
          </w:p>
        </w:tc>
        <w:tc>
          <w:tcPr>
            <w:tcW w:w="1448" w:type="dxa"/>
          </w:tcPr>
          <w:p w14:paraId="14097F70" w14:textId="77777777" w:rsidR="00C82D12" w:rsidRPr="00193857" w:rsidRDefault="00024B11" w:rsidP="000479A3">
            <w:pPr>
              <w:spacing w:before="100" w:beforeAutospacing="1" w:after="100" w:afterAutospacing="1" w:line="360" w:lineRule="auto"/>
              <w:rPr>
                <w:rFonts w:asciiTheme="majorHAnsi" w:hAnsiTheme="majorHAnsi" w:cstheme="majorHAnsi"/>
                <w:color w:val="000000" w:themeColor="text1"/>
                <w:sz w:val="16"/>
                <w:szCs w:val="16"/>
              </w:rPr>
            </w:pPr>
            <w:r w:rsidRPr="00193857">
              <w:rPr>
                <w:rFonts w:asciiTheme="majorHAnsi" w:hAnsiTheme="majorHAnsi" w:cstheme="majorHAnsi"/>
                <w:color w:val="000000" w:themeColor="text1"/>
                <w:sz w:val="16"/>
                <w:szCs w:val="16"/>
              </w:rPr>
              <w:t>33</w:t>
            </w:r>
            <w:r w:rsidR="00C82D12" w:rsidRPr="00193857">
              <w:rPr>
                <w:rFonts w:asciiTheme="majorHAnsi" w:hAnsiTheme="majorHAnsi" w:cstheme="majorHAnsi"/>
                <w:color w:val="000000" w:themeColor="text1"/>
                <w:sz w:val="16"/>
                <w:szCs w:val="16"/>
              </w:rPr>
              <w:t>%</w:t>
            </w:r>
          </w:p>
        </w:tc>
      </w:tr>
      <w:tr w:rsidR="00C82D12" w:rsidRPr="00193857" w14:paraId="57F96738" w14:textId="77777777" w:rsidTr="00ED33AB">
        <w:trPr>
          <w:trHeight w:val="155"/>
        </w:trPr>
        <w:tc>
          <w:tcPr>
            <w:tcW w:w="2552" w:type="dxa"/>
          </w:tcPr>
          <w:p w14:paraId="5385CA25" w14:textId="77777777" w:rsidR="00C82D12" w:rsidRPr="00193857" w:rsidRDefault="00C82D12" w:rsidP="000479A3">
            <w:pPr>
              <w:spacing w:before="100" w:beforeAutospacing="1" w:after="100" w:afterAutospacing="1" w:line="360" w:lineRule="auto"/>
              <w:rPr>
                <w:rFonts w:asciiTheme="majorHAnsi" w:hAnsiTheme="majorHAnsi" w:cstheme="majorHAnsi"/>
                <w:color w:val="000000" w:themeColor="text1"/>
                <w:sz w:val="16"/>
                <w:szCs w:val="16"/>
              </w:rPr>
            </w:pPr>
            <w:r w:rsidRPr="00193857">
              <w:rPr>
                <w:rFonts w:asciiTheme="majorHAnsi" w:hAnsiTheme="majorHAnsi" w:cstheme="majorHAnsi"/>
                <w:color w:val="000000" w:themeColor="text1"/>
                <w:sz w:val="16"/>
                <w:szCs w:val="16"/>
              </w:rPr>
              <w:t>Teachers (n=61)</w:t>
            </w:r>
          </w:p>
        </w:tc>
        <w:tc>
          <w:tcPr>
            <w:tcW w:w="1428" w:type="dxa"/>
          </w:tcPr>
          <w:p w14:paraId="4EA8D97D" w14:textId="77777777" w:rsidR="00C82D12" w:rsidRPr="00193857" w:rsidRDefault="00024B11" w:rsidP="000479A3">
            <w:pPr>
              <w:spacing w:before="100" w:beforeAutospacing="1" w:after="100" w:afterAutospacing="1" w:line="360" w:lineRule="auto"/>
              <w:rPr>
                <w:rFonts w:asciiTheme="majorHAnsi" w:hAnsiTheme="majorHAnsi" w:cstheme="majorHAnsi"/>
                <w:color w:val="000000" w:themeColor="text1"/>
                <w:sz w:val="16"/>
                <w:szCs w:val="16"/>
              </w:rPr>
            </w:pPr>
            <w:r w:rsidRPr="00193857">
              <w:rPr>
                <w:rFonts w:asciiTheme="majorHAnsi" w:hAnsiTheme="majorHAnsi" w:cstheme="majorHAnsi"/>
                <w:color w:val="000000" w:themeColor="text1"/>
                <w:sz w:val="16"/>
                <w:szCs w:val="16"/>
              </w:rPr>
              <w:t>44</w:t>
            </w:r>
            <w:r w:rsidR="00C82D12" w:rsidRPr="00193857">
              <w:rPr>
                <w:rFonts w:asciiTheme="majorHAnsi" w:hAnsiTheme="majorHAnsi" w:cstheme="majorHAnsi"/>
                <w:color w:val="000000" w:themeColor="text1"/>
                <w:sz w:val="16"/>
                <w:szCs w:val="16"/>
              </w:rPr>
              <w:t>%</w:t>
            </w:r>
          </w:p>
        </w:tc>
        <w:tc>
          <w:tcPr>
            <w:tcW w:w="1981" w:type="dxa"/>
          </w:tcPr>
          <w:p w14:paraId="3EAC6767" w14:textId="77777777" w:rsidR="00C82D12" w:rsidRPr="00193857" w:rsidRDefault="00024B11" w:rsidP="000479A3">
            <w:pPr>
              <w:spacing w:before="100" w:beforeAutospacing="1" w:after="100" w:afterAutospacing="1" w:line="360" w:lineRule="auto"/>
              <w:rPr>
                <w:rFonts w:asciiTheme="majorHAnsi" w:hAnsiTheme="majorHAnsi" w:cstheme="majorHAnsi"/>
                <w:color w:val="000000" w:themeColor="text1"/>
                <w:sz w:val="16"/>
                <w:szCs w:val="16"/>
              </w:rPr>
            </w:pPr>
            <w:r w:rsidRPr="00193857">
              <w:rPr>
                <w:rFonts w:asciiTheme="majorHAnsi" w:hAnsiTheme="majorHAnsi" w:cstheme="majorHAnsi"/>
                <w:color w:val="000000" w:themeColor="text1"/>
                <w:sz w:val="16"/>
                <w:szCs w:val="16"/>
              </w:rPr>
              <w:t>43</w:t>
            </w:r>
            <w:r w:rsidR="00C82D12" w:rsidRPr="00193857">
              <w:rPr>
                <w:rFonts w:asciiTheme="majorHAnsi" w:hAnsiTheme="majorHAnsi" w:cstheme="majorHAnsi"/>
                <w:color w:val="000000" w:themeColor="text1"/>
                <w:sz w:val="16"/>
                <w:szCs w:val="16"/>
              </w:rPr>
              <w:t>%</w:t>
            </w:r>
          </w:p>
        </w:tc>
        <w:tc>
          <w:tcPr>
            <w:tcW w:w="1515" w:type="dxa"/>
          </w:tcPr>
          <w:p w14:paraId="7707AFD5" w14:textId="77777777" w:rsidR="00C82D12" w:rsidRPr="00193857" w:rsidRDefault="00024B11" w:rsidP="000479A3">
            <w:pPr>
              <w:spacing w:before="100" w:beforeAutospacing="1" w:after="100" w:afterAutospacing="1" w:line="360" w:lineRule="auto"/>
              <w:rPr>
                <w:rFonts w:asciiTheme="majorHAnsi" w:hAnsiTheme="majorHAnsi" w:cstheme="majorHAnsi"/>
                <w:color w:val="000000" w:themeColor="text1"/>
                <w:sz w:val="16"/>
                <w:szCs w:val="16"/>
              </w:rPr>
            </w:pPr>
            <w:r w:rsidRPr="00193857">
              <w:rPr>
                <w:rFonts w:asciiTheme="majorHAnsi" w:hAnsiTheme="majorHAnsi" w:cstheme="majorHAnsi"/>
                <w:color w:val="000000" w:themeColor="text1"/>
                <w:sz w:val="16"/>
                <w:szCs w:val="16"/>
              </w:rPr>
              <w:t>36</w:t>
            </w:r>
            <w:r w:rsidR="00C82D12" w:rsidRPr="00193857">
              <w:rPr>
                <w:rFonts w:asciiTheme="majorHAnsi" w:hAnsiTheme="majorHAnsi" w:cstheme="majorHAnsi"/>
                <w:color w:val="000000" w:themeColor="text1"/>
                <w:sz w:val="16"/>
                <w:szCs w:val="16"/>
              </w:rPr>
              <w:t>%</w:t>
            </w:r>
          </w:p>
        </w:tc>
        <w:tc>
          <w:tcPr>
            <w:tcW w:w="1448" w:type="dxa"/>
          </w:tcPr>
          <w:p w14:paraId="7CF18146" w14:textId="77777777" w:rsidR="00C82D12" w:rsidRPr="00193857" w:rsidRDefault="00024B11" w:rsidP="000479A3">
            <w:pPr>
              <w:spacing w:before="100" w:beforeAutospacing="1" w:after="100" w:afterAutospacing="1" w:line="360" w:lineRule="auto"/>
              <w:rPr>
                <w:rFonts w:asciiTheme="majorHAnsi" w:hAnsiTheme="majorHAnsi" w:cstheme="majorHAnsi"/>
                <w:color w:val="000000" w:themeColor="text1"/>
                <w:sz w:val="16"/>
                <w:szCs w:val="16"/>
              </w:rPr>
            </w:pPr>
            <w:r w:rsidRPr="00193857">
              <w:rPr>
                <w:rFonts w:asciiTheme="majorHAnsi" w:hAnsiTheme="majorHAnsi" w:cstheme="majorHAnsi"/>
                <w:color w:val="000000" w:themeColor="text1"/>
                <w:sz w:val="16"/>
                <w:szCs w:val="16"/>
              </w:rPr>
              <w:t>48</w:t>
            </w:r>
            <w:r w:rsidR="00C82D12" w:rsidRPr="00193857">
              <w:rPr>
                <w:rFonts w:asciiTheme="majorHAnsi" w:hAnsiTheme="majorHAnsi" w:cstheme="majorHAnsi"/>
                <w:color w:val="000000" w:themeColor="text1"/>
                <w:sz w:val="16"/>
                <w:szCs w:val="16"/>
              </w:rPr>
              <w:t>%</w:t>
            </w:r>
          </w:p>
        </w:tc>
      </w:tr>
    </w:tbl>
    <w:p w14:paraId="279CAD93" w14:textId="7F7FBEE7" w:rsidR="008D0CAD" w:rsidRPr="007C1A2E" w:rsidRDefault="00C82D12" w:rsidP="000479A3">
      <w:pPr>
        <w:spacing w:before="100" w:beforeAutospacing="1" w:after="100" w:afterAutospacing="1" w:line="360" w:lineRule="auto"/>
        <w:rPr>
          <w:rFonts w:asciiTheme="majorHAnsi" w:hAnsiTheme="majorHAnsi" w:cstheme="majorHAnsi"/>
          <w:color w:val="000000" w:themeColor="text1"/>
          <w:sz w:val="14"/>
          <w:szCs w:val="14"/>
        </w:rPr>
      </w:pPr>
      <w:r w:rsidRPr="00193857">
        <w:rPr>
          <w:rFonts w:asciiTheme="majorHAnsi" w:hAnsiTheme="majorHAnsi" w:cstheme="majorHAnsi"/>
          <w:color w:val="000000" w:themeColor="text1"/>
          <w:sz w:val="14"/>
          <w:szCs w:val="14"/>
        </w:rPr>
        <w:t>*2019 KAU Survey **2020 KAU Survey</w:t>
      </w:r>
    </w:p>
    <w:p w14:paraId="40BB9CB8" w14:textId="5914F87E" w:rsidR="008D0CAD" w:rsidRDefault="008D0CAD" w:rsidP="000479A3">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lang w:val="en-GB"/>
        </w:rPr>
        <w:t>For instance, s</w:t>
      </w:r>
      <w:r w:rsidRPr="003C75A6">
        <w:rPr>
          <w:rFonts w:asciiTheme="majorHAnsi" w:hAnsiTheme="majorHAnsi" w:cstheme="majorHAnsi"/>
          <w:lang w:val="en-GB"/>
        </w:rPr>
        <w:t xml:space="preserve">chool-level </w:t>
      </w:r>
      <w:r>
        <w:rPr>
          <w:rFonts w:asciiTheme="majorHAnsi" w:hAnsiTheme="majorHAnsi" w:cstheme="majorHAnsi"/>
          <w:lang w:val="en-GB"/>
        </w:rPr>
        <w:t xml:space="preserve">knowledge </w:t>
      </w:r>
      <w:r w:rsidRPr="003C75A6">
        <w:rPr>
          <w:rFonts w:asciiTheme="majorHAnsi" w:hAnsiTheme="majorHAnsi" w:cstheme="majorHAnsi"/>
          <w:lang w:val="en-GB"/>
        </w:rPr>
        <w:t xml:space="preserve">of </w:t>
      </w:r>
      <w:r w:rsidRPr="003C75A6">
        <w:rPr>
          <w:rFonts w:asciiTheme="majorHAnsi" w:hAnsiTheme="majorHAnsi" w:cstheme="majorHAnsi"/>
          <w:color w:val="000000" w:themeColor="text1"/>
        </w:rPr>
        <w:t>DO No. 35, s. 2016 on “</w:t>
      </w:r>
      <w:r w:rsidRPr="00B07D16">
        <w:rPr>
          <w:rFonts w:asciiTheme="majorHAnsi" w:hAnsiTheme="majorHAnsi" w:cstheme="majorHAnsi"/>
          <w:i/>
          <w:iCs/>
          <w:color w:val="000000" w:themeColor="text1"/>
        </w:rPr>
        <w:t>The Learning Action Cell as a K to 12 Basic Education Program School-Based Continuing professional Development Strategy for the Improvement of Teaching and Learning</w:t>
      </w:r>
      <w:r w:rsidRPr="003C75A6">
        <w:rPr>
          <w:rFonts w:asciiTheme="majorHAnsi" w:hAnsiTheme="majorHAnsi" w:cstheme="majorHAnsi"/>
          <w:color w:val="000000" w:themeColor="text1"/>
        </w:rPr>
        <w:t>”</w:t>
      </w:r>
      <w:r>
        <w:rPr>
          <w:rFonts w:asciiTheme="majorHAnsi" w:hAnsiTheme="majorHAnsi" w:cstheme="majorHAnsi"/>
          <w:color w:val="000000" w:themeColor="text1"/>
        </w:rPr>
        <w:t xml:space="preserve"> was high for both principals (88 per cent) and teachers (68 per cent) </w:t>
      </w:r>
      <w:r w:rsidRPr="00D250E6">
        <w:rPr>
          <w:rFonts w:asciiTheme="majorHAnsi" w:hAnsiTheme="majorHAnsi" w:cstheme="majorHAnsi"/>
          <w:color w:val="000000" w:themeColor="text1"/>
          <w:lang w:val="en-GB"/>
        </w:rPr>
        <w:t xml:space="preserve">(Table </w:t>
      </w:r>
      <w:r>
        <w:rPr>
          <w:rFonts w:asciiTheme="majorHAnsi" w:hAnsiTheme="majorHAnsi" w:cstheme="majorHAnsi"/>
          <w:color w:val="000000" w:themeColor="text1"/>
          <w:lang w:val="en-GB"/>
        </w:rPr>
        <w:t>7</w:t>
      </w:r>
      <w:r>
        <w:rPr>
          <w:rFonts w:asciiTheme="majorHAnsi" w:hAnsiTheme="majorHAnsi" w:cstheme="majorHAnsi"/>
          <w:lang w:val="en-GB"/>
        </w:rPr>
        <w:t>)</w:t>
      </w:r>
      <w:r>
        <w:rPr>
          <w:rFonts w:asciiTheme="majorHAnsi" w:hAnsiTheme="majorHAnsi" w:cstheme="majorHAnsi"/>
          <w:color w:val="000000" w:themeColor="text1"/>
        </w:rPr>
        <w:t>.</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Both groups, principals (88 per cent) and teachers (76 per cent), also highly appreciated its utility.</w:t>
      </w:r>
    </w:p>
    <w:p w14:paraId="339C94A2" w14:textId="148DCD06" w:rsidR="008D0CAD" w:rsidRPr="007C1A2E" w:rsidRDefault="008D0CAD" w:rsidP="000479A3">
      <w:pPr>
        <w:spacing w:before="100" w:beforeAutospacing="1" w:after="100" w:afterAutospacing="1" w:line="360" w:lineRule="auto"/>
        <w:rPr>
          <w:rFonts w:asciiTheme="majorHAnsi" w:hAnsiTheme="majorHAnsi" w:cstheme="majorHAnsi"/>
          <w:lang w:val="en-GB"/>
        </w:rPr>
      </w:pPr>
      <w:r>
        <w:rPr>
          <w:rFonts w:asciiTheme="majorHAnsi" w:hAnsiTheme="majorHAnsi" w:cstheme="majorHAnsi"/>
          <w:lang w:val="en-GB"/>
        </w:rPr>
        <w:t>Participation in LAC sessions was found to be ubiquitously high among respondents. Survey results showed that both principals and teachers from BEST and non-</w:t>
      </w:r>
      <w:r w:rsidRPr="00D250E6">
        <w:rPr>
          <w:rFonts w:asciiTheme="majorHAnsi" w:hAnsiTheme="majorHAnsi" w:cstheme="majorHAnsi"/>
          <w:color w:val="000000" w:themeColor="text1"/>
          <w:lang w:val="en-GB"/>
        </w:rPr>
        <w:t>BEST Program</w:t>
      </w:r>
      <w:r>
        <w:rPr>
          <w:rFonts w:asciiTheme="majorHAnsi" w:hAnsiTheme="majorHAnsi" w:cstheme="majorHAnsi"/>
          <w:color w:val="000000" w:themeColor="text1"/>
          <w:lang w:val="en-GB"/>
        </w:rPr>
        <w:t>-</w:t>
      </w:r>
      <w:r w:rsidRPr="00D250E6">
        <w:rPr>
          <w:rFonts w:asciiTheme="majorHAnsi" w:hAnsiTheme="majorHAnsi" w:cstheme="majorHAnsi"/>
          <w:color w:val="000000" w:themeColor="text1"/>
          <w:lang w:val="en-GB"/>
        </w:rPr>
        <w:t>supported schools recorded</w:t>
      </w:r>
      <w:r>
        <w:rPr>
          <w:rFonts w:asciiTheme="majorHAnsi" w:hAnsiTheme="majorHAnsi" w:cstheme="majorHAnsi"/>
          <w:color w:val="000000" w:themeColor="text1"/>
          <w:lang w:val="en-GB"/>
        </w:rPr>
        <w:t xml:space="preserve"> </w:t>
      </w:r>
      <w:r w:rsidRPr="00D250E6">
        <w:rPr>
          <w:rFonts w:asciiTheme="majorHAnsi" w:hAnsiTheme="majorHAnsi" w:cstheme="majorHAnsi"/>
          <w:color w:val="000000" w:themeColor="text1"/>
          <w:lang w:val="en-GB"/>
        </w:rPr>
        <w:t xml:space="preserve">high </w:t>
      </w:r>
      <w:r>
        <w:rPr>
          <w:rFonts w:asciiTheme="majorHAnsi" w:hAnsiTheme="majorHAnsi" w:cstheme="majorHAnsi"/>
          <w:color w:val="000000" w:themeColor="text1"/>
          <w:lang w:val="en-GB"/>
        </w:rPr>
        <w:t>percentage</w:t>
      </w:r>
      <w:r w:rsidRPr="00D250E6">
        <w:rPr>
          <w:rFonts w:asciiTheme="majorHAnsi" w:hAnsiTheme="majorHAnsi" w:cstheme="majorHAnsi"/>
          <w:color w:val="000000" w:themeColor="text1"/>
          <w:lang w:val="en-GB"/>
        </w:rPr>
        <w:t xml:space="preserve">s of participation in LAC sessions (Table </w:t>
      </w:r>
      <w:r>
        <w:rPr>
          <w:rFonts w:asciiTheme="majorHAnsi" w:hAnsiTheme="majorHAnsi" w:cstheme="majorHAnsi"/>
          <w:color w:val="000000" w:themeColor="text1"/>
          <w:lang w:val="en-GB"/>
        </w:rPr>
        <w:t>8</w:t>
      </w:r>
      <w:r>
        <w:rPr>
          <w:rFonts w:asciiTheme="majorHAnsi" w:hAnsiTheme="majorHAnsi" w:cstheme="majorHAnsi"/>
          <w:lang w:val="en-GB"/>
        </w:rPr>
        <w:t>).</w:t>
      </w:r>
      <w:r w:rsidR="00D434EB">
        <w:rPr>
          <w:rFonts w:asciiTheme="majorHAnsi" w:hAnsiTheme="majorHAnsi" w:cstheme="majorHAnsi"/>
          <w:lang w:val="en-GB"/>
        </w:rPr>
        <w:t xml:space="preserve"> </w:t>
      </w:r>
      <w:r w:rsidRPr="00B07D16">
        <w:rPr>
          <w:rFonts w:asciiTheme="majorHAnsi" w:hAnsiTheme="majorHAnsi" w:cstheme="majorHAnsi"/>
          <w:lang w:val="en-GB"/>
        </w:rPr>
        <w:t>This is clear evidence that the contribution of the BEST Program intervention on LAC went beyond the Program-supported DOs and schools.</w:t>
      </w:r>
    </w:p>
    <w:p w14:paraId="18FEDF00" w14:textId="1EFF0B17" w:rsidR="008D0CAD" w:rsidRPr="00DD6E21" w:rsidRDefault="008D0CAD" w:rsidP="000479A3">
      <w:pPr>
        <w:spacing w:before="100" w:beforeAutospacing="1" w:after="100" w:afterAutospacing="1" w:line="360" w:lineRule="auto"/>
        <w:rPr>
          <w:rFonts w:asciiTheme="majorHAnsi" w:hAnsiTheme="majorHAnsi" w:cstheme="majorHAnsi"/>
          <w:i/>
          <w:iCs/>
          <w:color w:val="44546A" w:themeColor="text2"/>
          <w:sz w:val="22"/>
          <w:szCs w:val="22"/>
        </w:rPr>
      </w:pPr>
      <w:r w:rsidRPr="00DD6E21">
        <w:rPr>
          <w:rFonts w:asciiTheme="majorHAnsi" w:hAnsiTheme="majorHAnsi" w:cstheme="majorHAnsi"/>
          <w:i/>
          <w:iCs/>
          <w:color w:val="44546A" w:themeColor="text2"/>
          <w:sz w:val="22"/>
          <w:szCs w:val="22"/>
        </w:rPr>
        <w:t xml:space="preserve"> </w:t>
      </w:r>
      <w:bookmarkStart w:id="89" w:name="_Toc71616599"/>
      <w:r w:rsidRPr="00DD6E21">
        <w:rPr>
          <w:rFonts w:asciiTheme="majorHAnsi" w:hAnsiTheme="majorHAnsi" w:cstheme="majorHAnsi"/>
          <w:i/>
          <w:iCs/>
          <w:color w:val="44546A" w:themeColor="text2"/>
          <w:sz w:val="22"/>
          <w:szCs w:val="22"/>
        </w:rPr>
        <w:t xml:space="preserve">Table </w:t>
      </w:r>
      <w:r w:rsidRPr="00DD6E21">
        <w:rPr>
          <w:rFonts w:asciiTheme="majorHAnsi" w:hAnsiTheme="majorHAnsi" w:cstheme="majorHAnsi"/>
          <w:i/>
          <w:iCs/>
          <w:color w:val="44546A" w:themeColor="text2"/>
          <w:sz w:val="22"/>
          <w:szCs w:val="22"/>
        </w:rPr>
        <w:fldChar w:fldCharType="begin"/>
      </w:r>
      <w:r w:rsidRPr="00DD6E21">
        <w:rPr>
          <w:rFonts w:asciiTheme="majorHAnsi" w:hAnsiTheme="majorHAnsi" w:cstheme="majorHAnsi"/>
          <w:i/>
          <w:iCs/>
          <w:color w:val="44546A" w:themeColor="text2"/>
          <w:sz w:val="22"/>
          <w:szCs w:val="22"/>
        </w:rPr>
        <w:instrText xml:space="preserve"> SEQ Table \* ARABIC </w:instrText>
      </w:r>
      <w:r w:rsidRPr="00DD6E21">
        <w:rPr>
          <w:rFonts w:asciiTheme="majorHAnsi" w:hAnsiTheme="majorHAnsi" w:cstheme="majorHAnsi"/>
          <w:i/>
          <w:iCs/>
          <w:color w:val="44546A" w:themeColor="text2"/>
          <w:sz w:val="22"/>
          <w:szCs w:val="22"/>
        </w:rPr>
        <w:fldChar w:fldCharType="separate"/>
      </w:r>
      <w:r w:rsidR="00D6133D">
        <w:rPr>
          <w:rFonts w:asciiTheme="majorHAnsi" w:hAnsiTheme="majorHAnsi" w:cstheme="majorHAnsi"/>
          <w:i/>
          <w:iCs/>
          <w:noProof/>
          <w:color w:val="44546A" w:themeColor="text2"/>
          <w:sz w:val="22"/>
          <w:szCs w:val="22"/>
        </w:rPr>
        <w:t>8</w:t>
      </w:r>
      <w:r w:rsidRPr="00DD6E21">
        <w:rPr>
          <w:rFonts w:asciiTheme="majorHAnsi" w:hAnsiTheme="majorHAnsi" w:cstheme="majorHAnsi"/>
          <w:i/>
          <w:iCs/>
          <w:color w:val="44546A" w:themeColor="text2"/>
          <w:sz w:val="22"/>
          <w:szCs w:val="22"/>
        </w:rPr>
        <w:fldChar w:fldCharType="end"/>
      </w:r>
      <w:r w:rsidRPr="00DD6E21">
        <w:rPr>
          <w:rFonts w:asciiTheme="majorHAnsi" w:hAnsiTheme="majorHAnsi" w:cstheme="majorHAnsi"/>
          <w:i/>
          <w:iCs/>
          <w:color w:val="44546A" w:themeColor="text2"/>
          <w:sz w:val="22"/>
          <w:szCs w:val="22"/>
        </w:rPr>
        <w:t>.</w:t>
      </w:r>
      <w:r w:rsidR="00D434EB">
        <w:rPr>
          <w:rFonts w:asciiTheme="majorHAnsi" w:hAnsiTheme="majorHAnsi" w:cstheme="majorHAnsi"/>
          <w:bCs/>
          <w:i/>
          <w:iCs/>
          <w:color w:val="44546A" w:themeColor="text2"/>
          <w:sz w:val="22"/>
          <w:szCs w:val="22"/>
        </w:rPr>
        <w:t xml:space="preserve"> </w:t>
      </w:r>
      <w:r w:rsidRPr="00DD6E21">
        <w:rPr>
          <w:rFonts w:asciiTheme="majorHAnsi" w:hAnsiTheme="majorHAnsi" w:cstheme="majorHAnsi"/>
          <w:bCs/>
          <w:i/>
          <w:iCs/>
          <w:color w:val="44546A" w:themeColor="text2"/>
          <w:sz w:val="22"/>
          <w:szCs w:val="22"/>
        </w:rPr>
        <w:t xml:space="preserve">Share of Principals and Teachers that participated </w:t>
      </w:r>
      <w:r w:rsidRPr="00DD6E21">
        <w:rPr>
          <w:rFonts w:asciiTheme="majorHAnsi" w:hAnsiTheme="majorHAnsi" w:cstheme="majorHAnsi"/>
          <w:i/>
          <w:iCs/>
          <w:color w:val="44546A" w:themeColor="text2"/>
          <w:sz w:val="22"/>
          <w:szCs w:val="22"/>
        </w:rPr>
        <w:t>in LAC Sessions</w:t>
      </w:r>
      <w:bookmarkEnd w:id="89"/>
    </w:p>
    <w:tbl>
      <w:tblPr>
        <w:tblStyle w:val="TableGrid"/>
        <w:tblW w:w="7771" w:type="dxa"/>
        <w:tblInd w:w="-5" w:type="dxa"/>
        <w:tblLayout w:type="fixed"/>
        <w:tblLook w:val="04A0" w:firstRow="1" w:lastRow="0" w:firstColumn="1" w:lastColumn="0" w:noHBand="0" w:noVBand="1"/>
      </w:tblPr>
      <w:tblGrid>
        <w:gridCol w:w="3402"/>
        <w:gridCol w:w="1092"/>
        <w:gridCol w:w="1092"/>
        <w:gridCol w:w="1092"/>
        <w:gridCol w:w="1093"/>
      </w:tblGrid>
      <w:tr w:rsidR="00ED33AB" w:rsidRPr="004B064D" w14:paraId="7C3ED4FF" w14:textId="77777777" w:rsidTr="00903EAD">
        <w:trPr>
          <w:tblHeader/>
        </w:trPr>
        <w:tc>
          <w:tcPr>
            <w:tcW w:w="3402" w:type="dxa"/>
          </w:tcPr>
          <w:p w14:paraId="44B5B8D3" w14:textId="77777777" w:rsidR="00ED33AB" w:rsidRPr="004B064D" w:rsidRDefault="00ED33AB" w:rsidP="000479A3">
            <w:pPr>
              <w:spacing w:before="100" w:beforeAutospacing="1" w:after="100" w:afterAutospacing="1" w:line="360" w:lineRule="auto"/>
              <w:rPr>
                <w:rFonts w:asciiTheme="majorHAnsi" w:hAnsiTheme="majorHAnsi" w:cstheme="majorHAnsi"/>
                <w:b/>
                <w:bCs/>
                <w:sz w:val="22"/>
                <w:szCs w:val="22"/>
              </w:rPr>
            </w:pPr>
          </w:p>
        </w:tc>
        <w:tc>
          <w:tcPr>
            <w:tcW w:w="1092" w:type="dxa"/>
          </w:tcPr>
          <w:p w14:paraId="0A805C2F" w14:textId="19BE68ED" w:rsidR="00ED33AB" w:rsidRPr="004B064D" w:rsidRDefault="00ED33AB" w:rsidP="00ED33AB">
            <w:pPr>
              <w:spacing w:before="100" w:beforeAutospacing="1" w:after="100" w:afterAutospacing="1" w:line="360" w:lineRule="auto"/>
              <w:jc w:val="center"/>
              <w:rPr>
                <w:rFonts w:asciiTheme="majorHAnsi" w:hAnsiTheme="majorHAnsi" w:cstheme="majorHAnsi"/>
                <w:b/>
                <w:bCs/>
                <w:sz w:val="22"/>
                <w:szCs w:val="22"/>
              </w:rPr>
            </w:pPr>
            <w:r w:rsidRPr="004B064D">
              <w:rPr>
                <w:rFonts w:asciiTheme="majorHAnsi" w:hAnsiTheme="majorHAnsi" w:cstheme="majorHAnsi"/>
                <w:b/>
                <w:bCs/>
                <w:sz w:val="22"/>
                <w:szCs w:val="22"/>
              </w:rPr>
              <w:t>2019</w:t>
            </w:r>
          </w:p>
        </w:tc>
        <w:tc>
          <w:tcPr>
            <w:tcW w:w="1092" w:type="dxa"/>
          </w:tcPr>
          <w:p w14:paraId="795D2F44" w14:textId="7E2CDE7F" w:rsidR="00ED33AB" w:rsidRPr="004B064D" w:rsidRDefault="00ED33AB" w:rsidP="00ED33AB">
            <w:pPr>
              <w:spacing w:before="100" w:beforeAutospacing="1" w:after="100" w:afterAutospacing="1" w:line="360" w:lineRule="auto"/>
              <w:jc w:val="center"/>
              <w:rPr>
                <w:rFonts w:asciiTheme="majorHAnsi" w:hAnsiTheme="majorHAnsi" w:cstheme="majorHAnsi"/>
                <w:b/>
                <w:bCs/>
                <w:sz w:val="22"/>
                <w:szCs w:val="22"/>
              </w:rPr>
            </w:pPr>
            <w:r w:rsidRPr="004B064D">
              <w:rPr>
                <w:rFonts w:asciiTheme="majorHAnsi" w:hAnsiTheme="majorHAnsi" w:cstheme="majorHAnsi"/>
                <w:b/>
                <w:bCs/>
                <w:sz w:val="22"/>
                <w:szCs w:val="22"/>
              </w:rPr>
              <w:t>2019</w:t>
            </w:r>
          </w:p>
        </w:tc>
        <w:tc>
          <w:tcPr>
            <w:tcW w:w="1092" w:type="dxa"/>
          </w:tcPr>
          <w:p w14:paraId="06EB4CC0" w14:textId="4B009DB7" w:rsidR="00ED33AB" w:rsidRPr="004B064D" w:rsidRDefault="00ED33AB" w:rsidP="00ED33AB">
            <w:pPr>
              <w:spacing w:before="100" w:beforeAutospacing="1" w:after="100" w:afterAutospacing="1" w:line="360" w:lineRule="auto"/>
              <w:jc w:val="center"/>
              <w:rPr>
                <w:rFonts w:asciiTheme="majorHAnsi" w:hAnsiTheme="majorHAnsi" w:cstheme="majorHAnsi"/>
                <w:b/>
                <w:bCs/>
                <w:sz w:val="22"/>
                <w:szCs w:val="22"/>
              </w:rPr>
            </w:pPr>
            <w:r w:rsidRPr="004B064D">
              <w:rPr>
                <w:rFonts w:asciiTheme="majorHAnsi" w:hAnsiTheme="majorHAnsi" w:cstheme="majorHAnsi"/>
                <w:b/>
                <w:bCs/>
                <w:sz w:val="22"/>
                <w:szCs w:val="22"/>
              </w:rPr>
              <w:t>2020</w:t>
            </w:r>
          </w:p>
        </w:tc>
        <w:tc>
          <w:tcPr>
            <w:tcW w:w="1093" w:type="dxa"/>
          </w:tcPr>
          <w:p w14:paraId="0BEC1DC5" w14:textId="4F13F1A4" w:rsidR="00ED33AB" w:rsidRPr="004B064D" w:rsidRDefault="00ED33AB" w:rsidP="00ED33AB">
            <w:pPr>
              <w:spacing w:before="100" w:beforeAutospacing="1" w:after="100" w:afterAutospacing="1" w:line="360" w:lineRule="auto"/>
              <w:jc w:val="center"/>
              <w:rPr>
                <w:rFonts w:asciiTheme="majorHAnsi" w:hAnsiTheme="majorHAnsi" w:cstheme="majorHAnsi"/>
                <w:b/>
                <w:bCs/>
                <w:sz w:val="22"/>
                <w:szCs w:val="22"/>
              </w:rPr>
            </w:pPr>
            <w:r w:rsidRPr="004B064D">
              <w:rPr>
                <w:rFonts w:asciiTheme="majorHAnsi" w:hAnsiTheme="majorHAnsi" w:cstheme="majorHAnsi"/>
                <w:b/>
                <w:bCs/>
                <w:sz w:val="22"/>
                <w:szCs w:val="22"/>
              </w:rPr>
              <w:t>2020</w:t>
            </w:r>
          </w:p>
        </w:tc>
      </w:tr>
      <w:tr w:rsidR="00024B11" w14:paraId="3D1F8DEA" w14:textId="77777777" w:rsidTr="00903EAD">
        <w:trPr>
          <w:tblHeader/>
        </w:trPr>
        <w:tc>
          <w:tcPr>
            <w:tcW w:w="3402" w:type="dxa"/>
          </w:tcPr>
          <w:p w14:paraId="1439CBFB" w14:textId="6FA8537C" w:rsidR="00024B11" w:rsidRDefault="00903EAD" w:rsidP="000479A3">
            <w:pPr>
              <w:spacing w:before="100" w:beforeAutospacing="1" w:after="100" w:afterAutospacing="1" w:line="360" w:lineRule="auto"/>
              <w:rPr>
                <w:rFonts w:asciiTheme="majorHAnsi" w:hAnsiTheme="majorHAnsi" w:cstheme="majorHAnsi"/>
                <w:sz w:val="22"/>
                <w:szCs w:val="22"/>
              </w:rPr>
            </w:pPr>
            <w:r>
              <w:rPr>
                <w:rFonts w:asciiTheme="majorHAnsi" w:hAnsiTheme="majorHAnsi" w:cstheme="majorHAnsi"/>
                <w:sz w:val="22"/>
                <w:szCs w:val="22"/>
              </w:rPr>
              <w:t>Type of School (BEST and non-BEST)</w:t>
            </w:r>
          </w:p>
        </w:tc>
        <w:tc>
          <w:tcPr>
            <w:tcW w:w="1092" w:type="dxa"/>
          </w:tcPr>
          <w:p w14:paraId="085321CC" w14:textId="77777777" w:rsidR="00024B11" w:rsidRDefault="00024B11" w:rsidP="00ED33AB">
            <w:pPr>
              <w:spacing w:before="100" w:beforeAutospacing="1" w:after="100" w:afterAutospacing="1" w:line="360" w:lineRule="auto"/>
              <w:jc w:val="center"/>
              <w:rPr>
                <w:rFonts w:asciiTheme="majorHAnsi" w:hAnsiTheme="majorHAnsi" w:cstheme="majorHAnsi"/>
                <w:sz w:val="22"/>
                <w:szCs w:val="22"/>
              </w:rPr>
            </w:pPr>
            <w:r>
              <w:rPr>
                <w:rFonts w:asciiTheme="majorHAnsi" w:hAnsiTheme="majorHAnsi" w:cstheme="majorHAnsi"/>
                <w:sz w:val="22"/>
                <w:szCs w:val="22"/>
              </w:rPr>
              <w:t>PSHs</w:t>
            </w:r>
          </w:p>
        </w:tc>
        <w:tc>
          <w:tcPr>
            <w:tcW w:w="1092" w:type="dxa"/>
          </w:tcPr>
          <w:p w14:paraId="784438C4" w14:textId="77777777" w:rsidR="00024B11" w:rsidRDefault="00024B11" w:rsidP="00ED33AB">
            <w:pPr>
              <w:spacing w:before="100" w:beforeAutospacing="1" w:after="100" w:afterAutospacing="1" w:line="360" w:lineRule="auto"/>
              <w:jc w:val="center"/>
              <w:rPr>
                <w:rFonts w:asciiTheme="majorHAnsi" w:hAnsiTheme="majorHAnsi" w:cstheme="majorHAnsi"/>
                <w:sz w:val="22"/>
                <w:szCs w:val="22"/>
              </w:rPr>
            </w:pPr>
            <w:r>
              <w:rPr>
                <w:rFonts w:asciiTheme="majorHAnsi" w:hAnsiTheme="majorHAnsi" w:cstheme="majorHAnsi"/>
                <w:sz w:val="22"/>
                <w:szCs w:val="22"/>
              </w:rPr>
              <w:t>Teachers</w:t>
            </w:r>
          </w:p>
        </w:tc>
        <w:tc>
          <w:tcPr>
            <w:tcW w:w="1092" w:type="dxa"/>
          </w:tcPr>
          <w:p w14:paraId="6C42B71A" w14:textId="77777777" w:rsidR="00024B11" w:rsidRDefault="00024B11" w:rsidP="00ED33AB">
            <w:pPr>
              <w:spacing w:before="100" w:beforeAutospacing="1" w:after="100" w:afterAutospacing="1" w:line="360" w:lineRule="auto"/>
              <w:jc w:val="center"/>
              <w:rPr>
                <w:rFonts w:asciiTheme="majorHAnsi" w:hAnsiTheme="majorHAnsi" w:cstheme="majorHAnsi"/>
                <w:sz w:val="22"/>
                <w:szCs w:val="22"/>
              </w:rPr>
            </w:pPr>
            <w:r>
              <w:rPr>
                <w:rFonts w:asciiTheme="majorHAnsi" w:hAnsiTheme="majorHAnsi" w:cstheme="majorHAnsi"/>
                <w:sz w:val="22"/>
                <w:szCs w:val="22"/>
              </w:rPr>
              <w:t>PSHs</w:t>
            </w:r>
          </w:p>
        </w:tc>
        <w:tc>
          <w:tcPr>
            <w:tcW w:w="1093" w:type="dxa"/>
          </w:tcPr>
          <w:p w14:paraId="5677630B" w14:textId="77777777" w:rsidR="00024B11" w:rsidRDefault="00024B11" w:rsidP="00ED33AB">
            <w:pPr>
              <w:spacing w:before="100" w:beforeAutospacing="1" w:after="100" w:afterAutospacing="1" w:line="360" w:lineRule="auto"/>
              <w:jc w:val="center"/>
              <w:rPr>
                <w:rFonts w:asciiTheme="majorHAnsi" w:hAnsiTheme="majorHAnsi" w:cstheme="majorHAnsi"/>
                <w:sz w:val="22"/>
                <w:szCs w:val="22"/>
              </w:rPr>
            </w:pPr>
            <w:r>
              <w:rPr>
                <w:rFonts w:asciiTheme="majorHAnsi" w:hAnsiTheme="majorHAnsi" w:cstheme="majorHAnsi"/>
                <w:sz w:val="22"/>
                <w:szCs w:val="22"/>
              </w:rPr>
              <w:t>Teachers</w:t>
            </w:r>
          </w:p>
        </w:tc>
      </w:tr>
      <w:tr w:rsidR="00024B11" w14:paraId="11E502FF" w14:textId="77777777" w:rsidTr="00903EAD">
        <w:tc>
          <w:tcPr>
            <w:tcW w:w="3402" w:type="dxa"/>
          </w:tcPr>
          <w:p w14:paraId="7E941994" w14:textId="77777777" w:rsidR="00024B11" w:rsidRDefault="00024B11" w:rsidP="000479A3">
            <w:pPr>
              <w:spacing w:before="100" w:beforeAutospacing="1" w:after="100" w:afterAutospacing="1" w:line="360" w:lineRule="auto"/>
              <w:rPr>
                <w:rFonts w:asciiTheme="majorHAnsi" w:hAnsiTheme="majorHAnsi" w:cstheme="majorHAnsi"/>
                <w:sz w:val="22"/>
                <w:szCs w:val="22"/>
              </w:rPr>
            </w:pPr>
            <w:r>
              <w:rPr>
                <w:rFonts w:asciiTheme="majorHAnsi" w:hAnsiTheme="majorHAnsi" w:cstheme="majorHAnsi"/>
                <w:sz w:val="22"/>
                <w:szCs w:val="22"/>
              </w:rPr>
              <w:t>BEST Program supported Schools</w:t>
            </w:r>
          </w:p>
        </w:tc>
        <w:tc>
          <w:tcPr>
            <w:tcW w:w="1092" w:type="dxa"/>
          </w:tcPr>
          <w:p w14:paraId="12A63F3A" w14:textId="77777777" w:rsidR="00024B11" w:rsidRDefault="00024B11" w:rsidP="000479A3">
            <w:pPr>
              <w:spacing w:before="100" w:beforeAutospacing="1" w:after="100" w:afterAutospacing="1" w:line="360" w:lineRule="auto"/>
              <w:rPr>
                <w:rFonts w:asciiTheme="majorHAnsi" w:hAnsiTheme="majorHAnsi" w:cstheme="majorHAnsi"/>
                <w:sz w:val="22"/>
                <w:szCs w:val="22"/>
              </w:rPr>
            </w:pPr>
            <w:r>
              <w:rPr>
                <w:rFonts w:asciiTheme="majorHAnsi" w:hAnsiTheme="majorHAnsi" w:cstheme="majorHAnsi"/>
                <w:sz w:val="22"/>
                <w:szCs w:val="22"/>
              </w:rPr>
              <w:t>81%</w:t>
            </w:r>
          </w:p>
        </w:tc>
        <w:tc>
          <w:tcPr>
            <w:tcW w:w="1092" w:type="dxa"/>
          </w:tcPr>
          <w:p w14:paraId="0ED43C4F" w14:textId="77777777" w:rsidR="00024B11" w:rsidRDefault="00024B11" w:rsidP="000479A3">
            <w:pPr>
              <w:spacing w:before="100" w:beforeAutospacing="1" w:after="100" w:afterAutospacing="1" w:line="360" w:lineRule="auto"/>
              <w:rPr>
                <w:rFonts w:asciiTheme="majorHAnsi" w:hAnsiTheme="majorHAnsi" w:cstheme="majorHAnsi"/>
                <w:sz w:val="22"/>
                <w:szCs w:val="22"/>
              </w:rPr>
            </w:pPr>
            <w:r>
              <w:rPr>
                <w:rFonts w:asciiTheme="majorHAnsi" w:hAnsiTheme="majorHAnsi" w:cstheme="majorHAnsi"/>
                <w:sz w:val="22"/>
                <w:szCs w:val="22"/>
              </w:rPr>
              <w:t>90%</w:t>
            </w:r>
          </w:p>
        </w:tc>
        <w:tc>
          <w:tcPr>
            <w:tcW w:w="1092" w:type="dxa"/>
          </w:tcPr>
          <w:p w14:paraId="7F1A6AED" w14:textId="77777777" w:rsidR="00024B11" w:rsidRDefault="00024B11" w:rsidP="000479A3">
            <w:pPr>
              <w:spacing w:before="100" w:beforeAutospacing="1" w:after="100" w:afterAutospacing="1" w:line="360" w:lineRule="auto"/>
              <w:rPr>
                <w:rFonts w:asciiTheme="majorHAnsi" w:hAnsiTheme="majorHAnsi" w:cstheme="majorHAnsi"/>
                <w:sz w:val="22"/>
                <w:szCs w:val="22"/>
              </w:rPr>
            </w:pPr>
            <w:r>
              <w:rPr>
                <w:rFonts w:asciiTheme="majorHAnsi" w:hAnsiTheme="majorHAnsi" w:cstheme="majorHAnsi"/>
                <w:sz w:val="22"/>
                <w:szCs w:val="22"/>
              </w:rPr>
              <w:t>100%</w:t>
            </w:r>
          </w:p>
        </w:tc>
        <w:tc>
          <w:tcPr>
            <w:tcW w:w="1093" w:type="dxa"/>
          </w:tcPr>
          <w:p w14:paraId="33850A33" w14:textId="77777777" w:rsidR="00024B11" w:rsidRDefault="00024B11" w:rsidP="000479A3">
            <w:pPr>
              <w:spacing w:before="100" w:beforeAutospacing="1" w:after="100" w:afterAutospacing="1" w:line="360" w:lineRule="auto"/>
              <w:rPr>
                <w:rFonts w:asciiTheme="majorHAnsi" w:hAnsiTheme="majorHAnsi" w:cstheme="majorHAnsi"/>
                <w:sz w:val="22"/>
                <w:szCs w:val="22"/>
              </w:rPr>
            </w:pPr>
            <w:r>
              <w:rPr>
                <w:rFonts w:asciiTheme="majorHAnsi" w:hAnsiTheme="majorHAnsi" w:cstheme="majorHAnsi"/>
                <w:sz w:val="22"/>
                <w:szCs w:val="22"/>
              </w:rPr>
              <w:t>84%</w:t>
            </w:r>
          </w:p>
        </w:tc>
      </w:tr>
      <w:tr w:rsidR="00024B11" w14:paraId="568F54E1" w14:textId="77777777" w:rsidTr="00903EAD">
        <w:tc>
          <w:tcPr>
            <w:tcW w:w="3402" w:type="dxa"/>
          </w:tcPr>
          <w:p w14:paraId="19B0BA85" w14:textId="77777777" w:rsidR="00024B11" w:rsidRDefault="00024B11" w:rsidP="000479A3">
            <w:pPr>
              <w:spacing w:before="100" w:beforeAutospacing="1" w:after="100" w:afterAutospacing="1" w:line="360" w:lineRule="auto"/>
              <w:rPr>
                <w:rFonts w:asciiTheme="majorHAnsi" w:hAnsiTheme="majorHAnsi" w:cstheme="majorHAnsi"/>
                <w:sz w:val="22"/>
                <w:szCs w:val="22"/>
              </w:rPr>
            </w:pPr>
            <w:r>
              <w:rPr>
                <w:rFonts w:asciiTheme="majorHAnsi" w:hAnsiTheme="majorHAnsi" w:cstheme="majorHAnsi"/>
                <w:sz w:val="22"/>
                <w:szCs w:val="22"/>
              </w:rPr>
              <w:t>Non-BEST Program Supported Schools</w:t>
            </w:r>
          </w:p>
        </w:tc>
        <w:tc>
          <w:tcPr>
            <w:tcW w:w="1092" w:type="dxa"/>
          </w:tcPr>
          <w:p w14:paraId="2BF0378A" w14:textId="77777777" w:rsidR="00024B11" w:rsidRDefault="00024B11" w:rsidP="000479A3">
            <w:pPr>
              <w:spacing w:before="100" w:beforeAutospacing="1" w:after="100" w:afterAutospacing="1" w:line="360" w:lineRule="auto"/>
              <w:rPr>
                <w:rFonts w:asciiTheme="majorHAnsi" w:hAnsiTheme="majorHAnsi" w:cstheme="majorHAnsi"/>
                <w:sz w:val="22"/>
                <w:szCs w:val="22"/>
              </w:rPr>
            </w:pPr>
            <w:r>
              <w:rPr>
                <w:rFonts w:asciiTheme="majorHAnsi" w:hAnsiTheme="majorHAnsi" w:cstheme="majorHAnsi"/>
                <w:sz w:val="22"/>
                <w:szCs w:val="22"/>
              </w:rPr>
              <w:t>85%</w:t>
            </w:r>
          </w:p>
        </w:tc>
        <w:tc>
          <w:tcPr>
            <w:tcW w:w="1092" w:type="dxa"/>
          </w:tcPr>
          <w:p w14:paraId="398F7DF4" w14:textId="77777777" w:rsidR="00024B11" w:rsidRDefault="00024B11" w:rsidP="000479A3">
            <w:pPr>
              <w:spacing w:before="100" w:beforeAutospacing="1" w:after="100" w:afterAutospacing="1" w:line="360" w:lineRule="auto"/>
              <w:rPr>
                <w:rFonts w:asciiTheme="majorHAnsi" w:hAnsiTheme="majorHAnsi" w:cstheme="majorHAnsi"/>
                <w:sz w:val="22"/>
                <w:szCs w:val="22"/>
              </w:rPr>
            </w:pPr>
            <w:r>
              <w:rPr>
                <w:rFonts w:asciiTheme="majorHAnsi" w:hAnsiTheme="majorHAnsi" w:cstheme="majorHAnsi"/>
                <w:sz w:val="22"/>
                <w:szCs w:val="22"/>
              </w:rPr>
              <w:t>89%</w:t>
            </w:r>
          </w:p>
        </w:tc>
        <w:tc>
          <w:tcPr>
            <w:tcW w:w="1092" w:type="dxa"/>
          </w:tcPr>
          <w:p w14:paraId="50DFC4CB" w14:textId="77777777" w:rsidR="00024B11" w:rsidRDefault="00024B11" w:rsidP="000479A3">
            <w:pPr>
              <w:spacing w:before="100" w:beforeAutospacing="1" w:after="100" w:afterAutospacing="1" w:line="360" w:lineRule="auto"/>
              <w:rPr>
                <w:rFonts w:asciiTheme="majorHAnsi" w:hAnsiTheme="majorHAnsi" w:cstheme="majorHAnsi"/>
                <w:sz w:val="22"/>
                <w:szCs w:val="22"/>
              </w:rPr>
            </w:pPr>
          </w:p>
        </w:tc>
        <w:tc>
          <w:tcPr>
            <w:tcW w:w="1093" w:type="dxa"/>
          </w:tcPr>
          <w:p w14:paraId="338D80B4" w14:textId="77777777" w:rsidR="00024B11" w:rsidRDefault="00024B11" w:rsidP="000479A3">
            <w:pPr>
              <w:spacing w:before="100" w:beforeAutospacing="1" w:after="100" w:afterAutospacing="1" w:line="360" w:lineRule="auto"/>
              <w:rPr>
                <w:rFonts w:asciiTheme="majorHAnsi" w:hAnsiTheme="majorHAnsi" w:cstheme="majorHAnsi"/>
                <w:sz w:val="22"/>
                <w:szCs w:val="22"/>
              </w:rPr>
            </w:pPr>
          </w:p>
        </w:tc>
      </w:tr>
    </w:tbl>
    <w:p w14:paraId="53B80D42" w14:textId="77777777" w:rsidR="008D0CAD" w:rsidRPr="00020D54" w:rsidRDefault="00024B11" w:rsidP="000479A3">
      <w:pPr>
        <w:spacing w:before="100" w:beforeAutospacing="1" w:after="100" w:afterAutospacing="1" w:line="360" w:lineRule="auto"/>
        <w:rPr>
          <w:rFonts w:asciiTheme="majorHAnsi" w:hAnsiTheme="majorHAnsi" w:cstheme="majorHAnsi"/>
          <w:sz w:val="14"/>
          <w:szCs w:val="14"/>
        </w:rPr>
      </w:pPr>
      <w:r w:rsidRPr="00020D54">
        <w:rPr>
          <w:rFonts w:asciiTheme="majorHAnsi" w:hAnsiTheme="majorHAnsi" w:cstheme="majorHAnsi"/>
          <w:sz w:val="14"/>
          <w:szCs w:val="14"/>
        </w:rPr>
        <w:t>Source: 2019 and 2020 Survey of PSHs and Teachers</w:t>
      </w:r>
    </w:p>
    <w:p w14:paraId="56E18ECB" w14:textId="3BFECDA3" w:rsidR="008D0CAD" w:rsidRPr="003C0EB4" w:rsidRDefault="008D0CAD" w:rsidP="000479A3">
      <w:pPr>
        <w:spacing w:before="100" w:beforeAutospacing="1" w:after="100" w:afterAutospacing="1" w:line="360" w:lineRule="auto"/>
        <w:rPr>
          <w:rFonts w:asciiTheme="majorHAnsi" w:hAnsiTheme="majorHAnsi" w:cstheme="majorHAnsi"/>
          <w:color w:val="000000" w:themeColor="text1"/>
          <w:lang w:val="en-GB"/>
        </w:rPr>
      </w:pPr>
      <w:r w:rsidRPr="003C0EB4">
        <w:rPr>
          <w:rFonts w:asciiTheme="majorHAnsi" w:hAnsiTheme="majorHAnsi" w:cstheme="majorHAnsi"/>
          <w:color w:val="000000" w:themeColor="text1"/>
          <w:lang w:val="en-GB"/>
        </w:rPr>
        <w:t>Moreover,</w:t>
      </w:r>
      <w:r>
        <w:rPr>
          <w:rFonts w:asciiTheme="majorHAnsi" w:hAnsiTheme="majorHAnsi" w:cstheme="majorHAnsi"/>
          <w:color w:val="000000" w:themeColor="text1"/>
          <w:lang w:val="en-GB"/>
        </w:rPr>
        <w:t xml:space="preserve"> principals and teachers rated the LAC as Very High in terms of its appropriateness as a learning modality for teachers and usefulness to enhancing teacher performance (46 per cent of principals and 29 per cent of teachers) </w:t>
      </w:r>
      <w:r w:rsidRPr="00D250E6">
        <w:rPr>
          <w:rFonts w:asciiTheme="majorHAnsi" w:hAnsiTheme="majorHAnsi" w:cstheme="majorHAnsi"/>
          <w:color w:val="000000" w:themeColor="text1"/>
          <w:lang w:val="en-GB"/>
        </w:rPr>
        <w:t xml:space="preserve">(Table </w:t>
      </w:r>
      <w:r>
        <w:rPr>
          <w:rFonts w:asciiTheme="majorHAnsi" w:hAnsiTheme="majorHAnsi" w:cstheme="majorHAnsi"/>
          <w:color w:val="000000" w:themeColor="text1"/>
          <w:lang w:val="en-GB"/>
        </w:rPr>
        <w:t>9</w:t>
      </w:r>
      <w:r>
        <w:rPr>
          <w:rFonts w:asciiTheme="majorHAnsi" w:hAnsiTheme="majorHAnsi" w:cstheme="majorHAnsi"/>
          <w:lang w:val="en-GB"/>
        </w:rPr>
        <w:t>).</w:t>
      </w:r>
      <w:r w:rsidR="00D434EB">
        <w:rPr>
          <w:rFonts w:asciiTheme="majorHAnsi" w:hAnsiTheme="majorHAnsi" w:cstheme="majorHAnsi"/>
          <w:lang w:val="en-GB"/>
        </w:rPr>
        <w:t xml:space="preserve"> </w:t>
      </w:r>
      <w:r>
        <w:rPr>
          <w:rFonts w:asciiTheme="majorHAnsi" w:hAnsiTheme="majorHAnsi" w:cstheme="majorHAnsi"/>
          <w:lang w:val="en-GB"/>
        </w:rPr>
        <w:t xml:space="preserve">High ratings were also given by </w:t>
      </w:r>
      <w:r>
        <w:rPr>
          <w:rFonts w:asciiTheme="majorHAnsi" w:hAnsiTheme="majorHAnsi" w:cstheme="majorHAnsi"/>
          <w:color w:val="000000" w:themeColor="text1"/>
          <w:lang w:val="en-GB"/>
        </w:rPr>
        <w:t>principal</w:t>
      </w:r>
      <w:r>
        <w:rPr>
          <w:rFonts w:asciiTheme="majorHAnsi" w:hAnsiTheme="majorHAnsi" w:cstheme="majorHAnsi"/>
          <w:lang w:val="en-GB"/>
        </w:rPr>
        <w:t>s and teachers in the Follow-Up Study.</w:t>
      </w:r>
    </w:p>
    <w:p w14:paraId="262FD837" w14:textId="04EC2267" w:rsidR="008D0CAD" w:rsidRPr="00DD6E21" w:rsidRDefault="00D434EB" w:rsidP="000479A3">
      <w:pPr>
        <w:spacing w:before="100" w:beforeAutospacing="1" w:after="100" w:afterAutospacing="1" w:line="360" w:lineRule="auto"/>
        <w:ind w:left="-142" w:hanging="175"/>
        <w:rPr>
          <w:rFonts w:asciiTheme="majorHAnsi" w:hAnsiTheme="majorHAnsi" w:cstheme="majorHAnsi"/>
          <w:i/>
          <w:iCs/>
          <w:color w:val="44546A" w:themeColor="text2"/>
          <w:sz w:val="22"/>
          <w:szCs w:val="22"/>
        </w:rPr>
      </w:pPr>
      <w:r>
        <w:rPr>
          <w:rFonts w:asciiTheme="majorHAnsi" w:hAnsiTheme="majorHAnsi" w:cstheme="majorHAnsi"/>
          <w:i/>
          <w:iCs/>
          <w:color w:val="44546A" w:themeColor="text2"/>
          <w:sz w:val="28"/>
          <w:szCs w:val="28"/>
        </w:rPr>
        <w:t xml:space="preserve">    </w:t>
      </w:r>
      <w:r w:rsidR="008D0CAD" w:rsidRPr="00DD6E21">
        <w:rPr>
          <w:rFonts w:asciiTheme="majorHAnsi" w:hAnsiTheme="majorHAnsi" w:cstheme="majorHAnsi"/>
          <w:i/>
          <w:iCs/>
          <w:color w:val="44546A" w:themeColor="text2"/>
          <w:sz w:val="28"/>
          <w:szCs w:val="28"/>
        </w:rPr>
        <w:t xml:space="preserve"> </w:t>
      </w:r>
      <w:bookmarkStart w:id="90" w:name="_Toc71616600"/>
      <w:r w:rsidR="008D0CAD" w:rsidRPr="00DD6E21">
        <w:rPr>
          <w:rFonts w:asciiTheme="majorHAnsi" w:hAnsiTheme="majorHAnsi" w:cstheme="majorHAnsi"/>
          <w:i/>
          <w:iCs/>
          <w:color w:val="44546A" w:themeColor="text2"/>
          <w:sz w:val="22"/>
          <w:szCs w:val="22"/>
        </w:rPr>
        <w:t xml:space="preserve">Table </w:t>
      </w:r>
      <w:r w:rsidR="008D0CAD" w:rsidRPr="00DD6E21">
        <w:rPr>
          <w:rFonts w:asciiTheme="majorHAnsi" w:hAnsiTheme="majorHAnsi" w:cstheme="majorHAnsi"/>
          <w:i/>
          <w:iCs/>
          <w:color w:val="44546A" w:themeColor="text2"/>
          <w:sz w:val="22"/>
          <w:szCs w:val="22"/>
        </w:rPr>
        <w:fldChar w:fldCharType="begin"/>
      </w:r>
      <w:r w:rsidR="008D0CAD" w:rsidRPr="00DD6E21">
        <w:rPr>
          <w:rFonts w:asciiTheme="majorHAnsi" w:hAnsiTheme="majorHAnsi" w:cstheme="majorHAnsi"/>
          <w:i/>
          <w:iCs/>
          <w:color w:val="44546A" w:themeColor="text2"/>
          <w:sz w:val="22"/>
          <w:szCs w:val="22"/>
        </w:rPr>
        <w:instrText xml:space="preserve"> SEQ Table \* ARABIC </w:instrText>
      </w:r>
      <w:r w:rsidR="008D0CAD" w:rsidRPr="00DD6E21">
        <w:rPr>
          <w:rFonts w:asciiTheme="majorHAnsi" w:hAnsiTheme="majorHAnsi" w:cstheme="majorHAnsi"/>
          <w:i/>
          <w:iCs/>
          <w:color w:val="44546A" w:themeColor="text2"/>
          <w:sz w:val="22"/>
          <w:szCs w:val="22"/>
        </w:rPr>
        <w:fldChar w:fldCharType="separate"/>
      </w:r>
      <w:r w:rsidR="00D6133D">
        <w:rPr>
          <w:rFonts w:asciiTheme="majorHAnsi" w:hAnsiTheme="majorHAnsi" w:cstheme="majorHAnsi"/>
          <w:i/>
          <w:iCs/>
          <w:noProof/>
          <w:color w:val="44546A" w:themeColor="text2"/>
          <w:sz w:val="22"/>
          <w:szCs w:val="22"/>
        </w:rPr>
        <w:t>9</w:t>
      </w:r>
      <w:r w:rsidR="008D0CAD" w:rsidRPr="00DD6E21">
        <w:rPr>
          <w:rFonts w:asciiTheme="majorHAnsi" w:hAnsiTheme="majorHAnsi" w:cstheme="majorHAnsi"/>
          <w:i/>
          <w:iCs/>
          <w:color w:val="44546A" w:themeColor="text2"/>
          <w:sz w:val="22"/>
          <w:szCs w:val="22"/>
        </w:rPr>
        <w:fldChar w:fldCharType="end"/>
      </w:r>
      <w:r w:rsidR="008D0CAD" w:rsidRPr="00DD6E21">
        <w:rPr>
          <w:rFonts w:asciiTheme="majorHAnsi" w:hAnsiTheme="majorHAnsi" w:cstheme="majorHAnsi"/>
          <w:i/>
          <w:iCs/>
          <w:color w:val="44546A" w:themeColor="text2"/>
          <w:sz w:val="22"/>
          <w:szCs w:val="22"/>
        </w:rPr>
        <w:t>.</w:t>
      </w:r>
      <w:r>
        <w:rPr>
          <w:rFonts w:asciiTheme="majorHAnsi" w:hAnsiTheme="majorHAnsi" w:cstheme="majorHAnsi"/>
          <w:bCs/>
          <w:i/>
          <w:iCs/>
          <w:color w:val="44546A" w:themeColor="text2"/>
          <w:sz w:val="22"/>
          <w:szCs w:val="22"/>
        </w:rPr>
        <w:t xml:space="preserve"> </w:t>
      </w:r>
      <w:r w:rsidR="008D0CAD" w:rsidRPr="00DD6E21">
        <w:rPr>
          <w:rFonts w:asciiTheme="majorHAnsi" w:hAnsiTheme="majorHAnsi" w:cstheme="majorHAnsi"/>
          <w:bCs/>
          <w:i/>
          <w:iCs/>
          <w:color w:val="44546A" w:themeColor="text2"/>
          <w:sz w:val="22"/>
          <w:szCs w:val="22"/>
        </w:rPr>
        <w:t xml:space="preserve">Principals’ and Teachers’ Assessment of </w:t>
      </w:r>
      <w:r w:rsidR="008D0CAD" w:rsidRPr="00DD6E21">
        <w:rPr>
          <w:rFonts w:asciiTheme="majorHAnsi" w:hAnsiTheme="majorHAnsi" w:cstheme="majorHAnsi"/>
          <w:i/>
          <w:iCs/>
          <w:color w:val="44546A" w:themeColor="text2"/>
          <w:sz w:val="22"/>
          <w:szCs w:val="22"/>
        </w:rPr>
        <w:t>LAC as a Learning Modality</w:t>
      </w:r>
      <w:bookmarkEnd w:id="90"/>
    </w:p>
    <w:tbl>
      <w:tblPr>
        <w:tblStyle w:val="TableGrid"/>
        <w:tblW w:w="9493" w:type="dxa"/>
        <w:tblLayout w:type="fixed"/>
        <w:tblLook w:val="04E0" w:firstRow="1" w:lastRow="1" w:firstColumn="1" w:lastColumn="0" w:noHBand="0" w:noVBand="1"/>
      </w:tblPr>
      <w:tblGrid>
        <w:gridCol w:w="2122"/>
        <w:gridCol w:w="921"/>
        <w:gridCol w:w="921"/>
        <w:gridCol w:w="922"/>
        <w:gridCol w:w="921"/>
        <w:gridCol w:w="921"/>
        <w:gridCol w:w="922"/>
        <w:gridCol w:w="921"/>
        <w:gridCol w:w="922"/>
      </w:tblGrid>
      <w:tr w:rsidR="00EF19F0" w:rsidRPr="00984A9E" w14:paraId="642DB2D2" w14:textId="77777777" w:rsidTr="00F4751F">
        <w:trPr>
          <w:trHeight w:val="333"/>
          <w:tblHeader/>
        </w:trPr>
        <w:tc>
          <w:tcPr>
            <w:tcW w:w="2122" w:type="dxa"/>
          </w:tcPr>
          <w:p w14:paraId="193F6E30" w14:textId="70AEC3DB" w:rsidR="00EF19F0" w:rsidRPr="00EF19F0" w:rsidRDefault="00EF19F0" w:rsidP="00EF19F0">
            <w:pPr>
              <w:spacing w:before="100" w:beforeAutospacing="1" w:after="100" w:afterAutospacing="1" w:line="360" w:lineRule="auto"/>
              <w:rPr>
                <w:rFonts w:asciiTheme="majorHAnsi" w:hAnsiTheme="majorHAnsi" w:cstheme="majorHAnsi"/>
                <w:b/>
                <w:bCs/>
                <w:sz w:val="18"/>
                <w:szCs w:val="18"/>
              </w:rPr>
            </w:pPr>
            <w:r w:rsidRPr="00EF19F0">
              <w:rPr>
                <w:rFonts w:asciiTheme="majorHAnsi" w:hAnsiTheme="majorHAnsi" w:cstheme="majorHAnsi"/>
                <w:b/>
                <w:bCs/>
                <w:sz w:val="18"/>
                <w:szCs w:val="18"/>
              </w:rPr>
              <w:t>Criteria</w:t>
            </w:r>
          </w:p>
        </w:tc>
        <w:tc>
          <w:tcPr>
            <w:tcW w:w="921" w:type="dxa"/>
          </w:tcPr>
          <w:p w14:paraId="3172EAB9" w14:textId="00FDE617" w:rsidR="00EF19F0" w:rsidRPr="00EF19F0" w:rsidRDefault="00EF19F0" w:rsidP="00EF19F0">
            <w:pPr>
              <w:spacing w:before="100" w:beforeAutospacing="1" w:after="100" w:afterAutospacing="1" w:line="360" w:lineRule="auto"/>
              <w:jc w:val="center"/>
              <w:rPr>
                <w:rFonts w:asciiTheme="majorHAnsi" w:hAnsiTheme="majorHAnsi" w:cstheme="majorHAnsi"/>
                <w:b/>
                <w:bCs/>
                <w:sz w:val="18"/>
                <w:szCs w:val="18"/>
              </w:rPr>
            </w:pPr>
            <w:r w:rsidRPr="00EF19F0">
              <w:rPr>
                <w:rFonts w:asciiTheme="majorHAnsi" w:hAnsiTheme="majorHAnsi" w:cstheme="majorHAnsi"/>
                <w:b/>
                <w:bCs/>
                <w:sz w:val="18"/>
                <w:szCs w:val="18"/>
              </w:rPr>
              <w:t>2019</w:t>
            </w:r>
          </w:p>
        </w:tc>
        <w:tc>
          <w:tcPr>
            <w:tcW w:w="921" w:type="dxa"/>
          </w:tcPr>
          <w:p w14:paraId="20A39965" w14:textId="2770B089" w:rsidR="00EF19F0" w:rsidRPr="00EF19F0" w:rsidRDefault="00EF19F0" w:rsidP="00EF19F0">
            <w:pPr>
              <w:spacing w:before="100" w:beforeAutospacing="1" w:after="100" w:afterAutospacing="1" w:line="360" w:lineRule="auto"/>
              <w:jc w:val="center"/>
              <w:rPr>
                <w:rFonts w:asciiTheme="majorHAnsi" w:hAnsiTheme="majorHAnsi" w:cstheme="majorHAnsi"/>
                <w:b/>
                <w:bCs/>
                <w:sz w:val="18"/>
                <w:szCs w:val="18"/>
              </w:rPr>
            </w:pPr>
            <w:r w:rsidRPr="00EF19F0">
              <w:rPr>
                <w:rFonts w:asciiTheme="majorHAnsi" w:hAnsiTheme="majorHAnsi" w:cstheme="majorHAnsi"/>
                <w:b/>
                <w:bCs/>
                <w:sz w:val="18"/>
                <w:szCs w:val="18"/>
              </w:rPr>
              <w:t>2019</w:t>
            </w:r>
          </w:p>
        </w:tc>
        <w:tc>
          <w:tcPr>
            <w:tcW w:w="922" w:type="dxa"/>
          </w:tcPr>
          <w:p w14:paraId="3F407788" w14:textId="293149BE" w:rsidR="00EF19F0" w:rsidRPr="00EF19F0" w:rsidRDefault="00EF19F0" w:rsidP="00EF19F0">
            <w:pPr>
              <w:spacing w:before="100" w:beforeAutospacing="1" w:after="100" w:afterAutospacing="1" w:line="360" w:lineRule="auto"/>
              <w:jc w:val="center"/>
              <w:rPr>
                <w:rFonts w:asciiTheme="majorHAnsi" w:hAnsiTheme="majorHAnsi" w:cstheme="majorHAnsi"/>
                <w:b/>
                <w:bCs/>
                <w:sz w:val="18"/>
                <w:szCs w:val="18"/>
              </w:rPr>
            </w:pPr>
            <w:r w:rsidRPr="00EF19F0">
              <w:rPr>
                <w:rFonts w:asciiTheme="majorHAnsi" w:hAnsiTheme="majorHAnsi" w:cstheme="majorHAnsi"/>
                <w:b/>
                <w:bCs/>
                <w:sz w:val="18"/>
                <w:szCs w:val="18"/>
              </w:rPr>
              <w:t>2019</w:t>
            </w:r>
          </w:p>
        </w:tc>
        <w:tc>
          <w:tcPr>
            <w:tcW w:w="921" w:type="dxa"/>
          </w:tcPr>
          <w:p w14:paraId="27366CF5" w14:textId="62E6D86C" w:rsidR="00EF19F0" w:rsidRPr="00EF19F0" w:rsidRDefault="00EF19F0" w:rsidP="00EF19F0">
            <w:pPr>
              <w:spacing w:before="100" w:beforeAutospacing="1" w:after="100" w:afterAutospacing="1" w:line="360" w:lineRule="auto"/>
              <w:jc w:val="center"/>
              <w:rPr>
                <w:rFonts w:asciiTheme="majorHAnsi" w:hAnsiTheme="majorHAnsi" w:cstheme="majorHAnsi"/>
                <w:b/>
                <w:bCs/>
                <w:sz w:val="18"/>
                <w:szCs w:val="18"/>
              </w:rPr>
            </w:pPr>
            <w:r w:rsidRPr="00EF19F0">
              <w:rPr>
                <w:rFonts w:asciiTheme="majorHAnsi" w:hAnsiTheme="majorHAnsi" w:cstheme="majorHAnsi"/>
                <w:b/>
                <w:bCs/>
                <w:sz w:val="18"/>
                <w:szCs w:val="18"/>
              </w:rPr>
              <w:t>2019</w:t>
            </w:r>
          </w:p>
        </w:tc>
        <w:tc>
          <w:tcPr>
            <w:tcW w:w="921" w:type="dxa"/>
          </w:tcPr>
          <w:p w14:paraId="6DFEB098" w14:textId="4D0999FD" w:rsidR="00EF19F0" w:rsidRPr="00EF19F0" w:rsidRDefault="00EF19F0" w:rsidP="00EF19F0">
            <w:pPr>
              <w:spacing w:before="100" w:beforeAutospacing="1" w:after="100" w:afterAutospacing="1" w:line="360" w:lineRule="auto"/>
              <w:jc w:val="center"/>
              <w:rPr>
                <w:rFonts w:asciiTheme="majorHAnsi" w:hAnsiTheme="majorHAnsi" w:cstheme="majorHAnsi"/>
                <w:b/>
                <w:bCs/>
                <w:sz w:val="18"/>
                <w:szCs w:val="18"/>
              </w:rPr>
            </w:pPr>
            <w:r w:rsidRPr="00EF19F0">
              <w:rPr>
                <w:rFonts w:asciiTheme="majorHAnsi" w:hAnsiTheme="majorHAnsi" w:cstheme="majorHAnsi"/>
                <w:b/>
                <w:bCs/>
                <w:sz w:val="18"/>
                <w:szCs w:val="18"/>
              </w:rPr>
              <w:t>2020</w:t>
            </w:r>
          </w:p>
        </w:tc>
        <w:tc>
          <w:tcPr>
            <w:tcW w:w="922" w:type="dxa"/>
          </w:tcPr>
          <w:p w14:paraId="5EC99CE5" w14:textId="04654C8A" w:rsidR="00EF19F0" w:rsidRPr="00EF19F0" w:rsidRDefault="00EF19F0" w:rsidP="00EF19F0">
            <w:pPr>
              <w:spacing w:before="100" w:beforeAutospacing="1" w:after="100" w:afterAutospacing="1" w:line="360" w:lineRule="auto"/>
              <w:jc w:val="center"/>
              <w:rPr>
                <w:rFonts w:asciiTheme="majorHAnsi" w:hAnsiTheme="majorHAnsi" w:cstheme="majorHAnsi"/>
                <w:b/>
                <w:bCs/>
                <w:sz w:val="18"/>
                <w:szCs w:val="18"/>
              </w:rPr>
            </w:pPr>
            <w:r w:rsidRPr="00EF19F0">
              <w:rPr>
                <w:rFonts w:asciiTheme="majorHAnsi" w:hAnsiTheme="majorHAnsi" w:cstheme="majorHAnsi"/>
                <w:b/>
                <w:bCs/>
                <w:sz w:val="18"/>
                <w:szCs w:val="18"/>
              </w:rPr>
              <w:t>2020</w:t>
            </w:r>
          </w:p>
        </w:tc>
        <w:tc>
          <w:tcPr>
            <w:tcW w:w="921" w:type="dxa"/>
          </w:tcPr>
          <w:p w14:paraId="7794E9C2" w14:textId="3D360481" w:rsidR="00EF19F0" w:rsidRPr="00EF19F0" w:rsidRDefault="00EF19F0" w:rsidP="00EF19F0">
            <w:pPr>
              <w:spacing w:before="100" w:beforeAutospacing="1" w:after="100" w:afterAutospacing="1" w:line="360" w:lineRule="auto"/>
              <w:jc w:val="center"/>
              <w:rPr>
                <w:rFonts w:asciiTheme="majorHAnsi" w:hAnsiTheme="majorHAnsi" w:cstheme="majorHAnsi"/>
                <w:b/>
                <w:bCs/>
                <w:sz w:val="18"/>
                <w:szCs w:val="18"/>
              </w:rPr>
            </w:pPr>
            <w:r w:rsidRPr="00EF19F0">
              <w:rPr>
                <w:rFonts w:asciiTheme="majorHAnsi" w:hAnsiTheme="majorHAnsi" w:cstheme="majorHAnsi"/>
                <w:b/>
                <w:bCs/>
                <w:sz w:val="18"/>
                <w:szCs w:val="18"/>
              </w:rPr>
              <w:t>2020</w:t>
            </w:r>
          </w:p>
        </w:tc>
        <w:tc>
          <w:tcPr>
            <w:tcW w:w="922" w:type="dxa"/>
          </w:tcPr>
          <w:p w14:paraId="26D8BF40" w14:textId="5C578F72" w:rsidR="00EF19F0" w:rsidRPr="00EF19F0" w:rsidRDefault="00EF19F0" w:rsidP="00EF19F0">
            <w:pPr>
              <w:spacing w:before="100" w:beforeAutospacing="1" w:after="100" w:afterAutospacing="1" w:line="360" w:lineRule="auto"/>
              <w:jc w:val="center"/>
              <w:rPr>
                <w:rFonts w:asciiTheme="majorHAnsi" w:hAnsiTheme="majorHAnsi" w:cstheme="majorHAnsi"/>
                <w:b/>
                <w:bCs/>
                <w:sz w:val="18"/>
                <w:szCs w:val="18"/>
              </w:rPr>
            </w:pPr>
            <w:r w:rsidRPr="00EF19F0">
              <w:rPr>
                <w:rFonts w:asciiTheme="majorHAnsi" w:hAnsiTheme="majorHAnsi" w:cstheme="majorHAnsi"/>
                <w:b/>
                <w:bCs/>
                <w:sz w:val="18"/>
                <w:szCs w:val="18"/>
              </w:rPr>
              <w:t>2020</w:t>
            </w:r>
          </w:p>
        </w:tc>
      </w:tr>
      <w:tr w:rsidR="00ED33AB" w:rsidRPr="00984A9E" w14:paraId="50B99CCA" w14:textId="77777777" w:rsidTr="00F4751F">
        <w:trPr>
          <w:trHeight w:val="333"/>
          <w:tblHeader/>
        </w:trPr>
        <w:tc>
          <w:tcPr>
            <w:tcW w:w="2122" w:type="dxa"/>
          </w:tcPr>
          <w:p w14:paraId="081E354B" w14:textId="59C14596" w:rsidR="00ED33AB" w:rsidRPr="00984A9E" w:rsidRDefault="00ED33AB" w:rsidP="00ED33AB">
            <w:pPr>
              <w:spacing w:before="100" w:beforeAutospacing="1" w:after="100" w:afterAutospacing="1" w:line="360" w:lineRule="auto"/>
              <w:rPr>
                <w:rFonts w:asciiTheme="majorHAnsi" w:hAnsiTheme="majorHAnsi" w:cstheme="majorHAnsi"/>
                <w:sz w:val="18"/>
                <w:szCs w:val="18"/>
              </w:rPr>
            </w:pPr>
          </w:p>
        </w:tc>
        <w:tc>
          <w:tcPr>
            <w:tcW w:w="921" w:type="dxa"/>
          </w:tcPr>
          <w:p w14:paraId="09EF2C08" w14:textId="2E18DD31" w:rsidR="00ED33AB" w:rsidRPr="00EF19F0" w:rsidRDefault="00ED33AB" w:rsidP="00EF19F0">
            <w:pPr>
              <w:spacing w:before="100" w:beforeAutospacing="1" w:after="100" w:afterAutospacing="1" w:line="360" w:lineRule="auto"/>
              <w:jc w:val="center"/>
              <w:rPr>
                <w:rFonts w:asciiTheme="majorHAnsi" w:hAnsiTheme="majorHAnsi" w:cstheme="majorHAnsi"/>
                <w:b/>
                <w:bCs/>
                <w:sz w:val="18"/>
                <w:szCs w:val="18"/>
              </w:rPr>
            </w:pPr>
            <w:r w:rsidRPr="00EF19F0">
              <w:rPr>
                <w:rFonts w:asciiTheme="majorHAnsi" w:hAnsiTheme="majorHAnsi" w:cstheme="majorHAnsi"/>
                <w:b/>
                <w:bCs/>
                <w:sz w:val="18"/>
                <w:szCs w:val="18"/>
              </w:rPr>
              <w:t>PSHs</w:t>
            </w:r>
          </w:p>
        </w:tc>
        <w:tc>
          <w:tcPr>
            <w:tcW w:w="921" w:type="dxa"/>
          </w:tcPr>
          <w:p w14:paraId="3778E1B5" w14:textId="0AEA6729" w:rsidR="00ED33AB" w:rsidRPr="00EF19F0" w:rsidRDefault="00ED33AB" w:rsidP="00EF19F0">
            <w:pPr>
              <w:spacing w:before="100" w:beforeAutospacing="1" w:after="100" w:afterAutospacing="1" w:line="360" w:lineRule="auto"/>
              <w:jc w:val="center"/>
              <w:rPr>
                <w:rFonts w:asciiTheme="majorHAnsi" w:hAnsiTheme="majorHAnsi" w:cstheme="majorHAnsi"/>
                <w:b/>
                <w:bCs/>
                <w:sz w:val="18"/>
                <w:szCs w:val="18"/>
              </w:rPr>
            </w:pPr>
            <w:r w:rsidRPr="00EF19F0">
              <w:rPr>
                <w:rFonts w:asciiTheme="majorHAnsi" w:hAnsiTheme="majorHAnsi" w:cstheme="majorHAnsi"/>
                <w:b/>
                <w:bCs/>
                <w:sz w:val="18"/>
                <w:szCs w:val="18"/>
              </w:rPr>
              <w:t>PSHs</w:t>
            </w:r>
          </w:p>
        </w:tc>
        <w:tc>
          <w:tcPr>
            <w:tcW w:w="922" w:type="dxa"/>
          </w:tcPr>
          <w:p w14:paraId="3377BC70" w14:textId="283C4C16" w:rsidR="00ED33AB" w:rsidRPr="00EF19F0" w:rsidRDefault="00ED33AB" w:rsidP="00EF19F0">
            <w:pPr>
              <w:spacing w:before="100" w:beforeAutospacing="1" w:after="100" w:afterAutospacing="1" w:line="360" w:lineRule="auto"/>
              <w:jc w:val="center"/>
              <w:rPr>
                <w:rFonts w:asciiTheme="majorHAnsi" w:hAnsiTheme="majorHAnsi" w:cstheme="majorHAnsi"/>
                <w:b/>
                <w:bCs/>
                <w:sz w:val="18"/>
                <w:szCs w:val="18"/>
              </w:rPr>
            </w:pPr>
            <w:r w:rsidRPr="00EF19F0">
              <w:rPr>
                <w:rFonts w:asciiTheme="majorHAnsi" w:hAnsiTheme="majorHAnsi" w:cstheme="majorHAnsi"/>
                <w:b/>
                <w:bCs/>
                <w:sz w:val="18"/>
                <w:szCs w:val="18"/>
              </w:rPr>
              <w:t>Teachers</w:t>
            </w:r>
          </w:p>
        </w:tc>
        <w:tc>
          <w:tcPr>
            <w:tcW w:w="921" w:type="dxa"/>
          </w:tcPr>
          <w:p w14:paraId="1384ECCE" w14:textId="2C3FAEA7" w:rsidR="00ED33AB" w:rsidRPr="00EF19F0" w:rsidRDefault="00ED33AB" w:rsidP="00EF19F0">
            <w:pPr>
              <w:spacing w:before="100" w:beforeAutospacing="1" w:after="100" w:afterAutospacing="1" w:line="360" w:lineRule="auto"/>
              <w:jc w:val="center"/>
              <w:rPr>
                <w:rFonts w:asciiTheme="majorHAnsi" w:hAnsiTheme="majorHAnsi" w:cstheme="majorHAnsi"/>
                <w:b/>
                <w:bCs/>
                <w:sz w:val="18"/>
                <w:szCs w:val="18"/>
              </w:rPr>
            </w:pPr>
            <w:r w:rsidRPr="00EF19F0">
              <w:rPr>
                <w:rFonts w:asciiTheme="majorHAnsi" w:hAnsiTheme="majorHAnsi" w:cstheme="majorHAnsi"/>
                <w:b/>
                <w:bCs/>
                <w:sz w:val="18"/>
                <w:szCs w:val="18"/>
              </w:rPr>
              <w:t>Teachers</w:t>
            </w:r>
          </w:p>
        </w:tc>
        <w:tc>
          <w:tcPr>
            <w:tcW w:w="921" w:type="dxa"/>
          </w:tcPr>
          <w:p w14:paraId="6D7D65B0" w14:textId="764C3B88" w:rsidR="00ED33AB" w:rsidRPr="00EF19F0" w:rsidRDefault="00ED33AB" w:rsidP="00EF19F0">
            <w:pPr>
              <w:spacing w:before="100" w:beforeAutospacing="1" w:after="100" w:afterAutospacing="1" w:line="360" w:lineRule="auto"/>
              <w:jc w:val="center"/>
              <w:rPr>
                <w:rFonts w:asciiTheme="majorHAnsi" w:hAnsiTheme="majorHAnsi" w:cstheme="majorHAnsi"/>
                <w:b/>
                <w:bCs/>
                <w:sz w:val="18"/>
                <w:szCs w:val="18"/>
              </w:rPr>
            </w:pPr>
            <w:r w:rsidRPr="00EF19F0">
              <w:rPr>
                <w:rFonts w:asciiTheme="majorHAnsi" w:hAnsiTheme="majorHAnsi" w:cstheme="majorHAnsi"/>
                <w:b/>
                <w:bCs/>
                <w:sz w:val="18"/>
                <w:szCs w:val="18"/>
              </w:rPr>
              <w:t>PSHs</w:t>
            </w:r>
          </w:p>
        </w:tc>
        <w:tc>
          <w:tcPr>
            <w:tcW w:w="922" w:type="dxa"/>
          </w:tcPr>
          <w:p w14:paraId="7EB2FC62" w14:textId="6594C538" w:rsidR="00ED33AB" w:rsidRPr="00EF19F0" w:rsidRDefault="00ED33AB" w:rsidP="00EF19F0">
            <w:pPr>
              <w:spacing w:before="100" w:beforeAutospacing="1" w:after="100" w:afterAutospacing="1" w:line="360" w:lineRule="auto"/>
              <w:jc w:val="center"/>
              <w:rPr>
                <w:rFonts w:asciiTheme="majorHAnsi" w:hAnsiTheme="majorHAnsi" w:cstheme="majorHAnsi"/>
                <w:b/>
                <w:bCs/>
                <w:sz w:val="18"/>
                <w:szCs w:val="18"/>
              </w:rPr>
            </w:pPr>
            <w:r w:rsidRPr="00EF19F0">
              <w:rPr>
                <w:rFonts w:asciiTheme="majorHAnsi" w:hAnsiTheme="majorHAnsi" w:cstheme="majorHAnsi"/>
                <w:b/>
                <w:bCs/>
                <w:sz w:val="18"/>
                <w:szCs w:val="18"/>
              </w:rPr>
              <w:t>PSHs</w:t>
            </w:r>
          </w:p>
        </w:tc>
        <w:tc>
          <w:tcPr>
            <w:tcW w:w="921" w:type="dxa"/>
          </w:tcPr>
          <w:p w14:paraId="338927B9" w14:textId="19344E63" w:rsidR="00ED33AB" w:rsidRPr="00EF19F0" w:rsidRDefault="00ED33AB" w:rsidP="00EF19F0">
            <w:pPr>
              <w:spacing w:before="100" w:beforeAutospacing="1" w:after="100" w:afterAutospacing="1" w:line="360" w:lineRule="auto"/>
              <w:jc w:val="center"/>
              <w:rPr>
                <w:rFonts w:asciiTheme="majorHAnsi" w:hAnsiTheme="majorHAnsi" w:cstheme="majorHAnsi"/>
                <w:b/>
                <w:bCs/>
                <w:sz w:val="18"/>
                <w:szCs w:val="18"/>
              </w:rPr>
            </w:pPr>
            <w:r w:rsidRPr="00EF19F0">
              <w:rPr>
                <w:rFonts w:asciiTheme="majorHAnsi" w:hAnsiTheme="majorHAnsi" w:cstheme="majorHAnsi"/>
                <w:b/>
                <w:bCs/>
                <w:sz w:val="18"/>
                <w:szCs w:val="18"/>
              </w:rPr>
              <w:t>Teachers</w:t>
            </w:r>
          </w:p>
        </w:tc>
        <w:tc>
          <w:tcPr>
            <w:tcW w:w="922" w:type="dxa"/>
          </w:tcPr>
          <w:p w14:paraId="2FC5C23E" w14:textId="06AFE25E" w:rsidR="00ED33AB" w:rsidRPr="00EF19F0" w:rsidRDefault="00ED33AB" w:rsidP="00EF19F0">
            <w:pPr>
              <w:spacing w:before="100" w:beforeAutospacing="1" w:after="100" w:afterAutospacing="1" w:line="360" w:lineRule="auto"/>
              <w:jc w:val="center"/>
              <w:rPr>
                <w:rFonts w:asciiTheme="majorHAnsi" w:hAnsiTheme="majorHAnsi" w:cstheme="majorHAnsi"/>
                <w:b/>
                <w:bCs/>
                <w:sz w:val="18"/>
                <w:szCs w:val="18"/>
              </w:rPr>
            </w:pPr>
            <w:r w:rsidRPr="00EF19F0">
              <w:rPr>
                <w:rFonts w:asciiTheme="majorHAnsi" w:hAnsiTheme="majorHAnsi" w:cstheme="majorHAnsi"/>
                <w:b/>
                <w:bCs/>
                <w:sz w:val="18"/>
                <w:szCs w:val="18"/>
              </w:rPr>
              <w:t>Teachers</w:t>
            </w:r>
          </w:p>
        </w:tc>
      </w:tr>
      <w:tr w:rsidR="00ED33AB" w:rsidRPr="00984A9E" w14:paraId="723834CF" w14:textId="77777777" w:rsidTr="00F4751F">
        <w:trPr>
          <w:trHeight w:val="333"/>
          <w:tblHeader/>
        </w:trPr>
        <w:tc>
          <w:tcPr>
            <w:tcW w:w="2122" w:type="dxa"/>
          </w:tcPr>
          <w:p w14:paraId="08BF835B" w14:textId="77777777" w:rsidR="00ED33AB" w:rsidRPr="00984A9E" w:rsidRDefault="00ED33AB" w:rsidP="00ED33AB">
            <w:pPr>
              <w:spacing w:before="100" w:beforeAutospacing="1" w:after="100" w:afterAutospacing="1" w:line="360" w:lineRule="auto"/>
              <w:rPr>
                <w:rFonts w:asciiTheme="majorHAnsi" w:hAnsiTheme="majorHAnsi" w:cstheme="majorHAnsi"/>
                <w:sz w:val="18"/>
                <w:szCs w:val="18"/>
              </w:rPr>
            </w:pPr>
          </w:p>
        </w:tc>
        <w:tc>
          <w:tcPr>
            <w:tcW w:w="921" w:type="dxa"/>
          </w:tcPr>
          <w:p w14:paraId="361EF2EE" w14:textId="3B66973A" w:rsidR="00ED33AB" w:rsidRPr="00EF19F0" w:rsidRDefault="00ED33AB" w:rsidP="00EF19F0">
            <w:pPr>
              <w:spacing w:before="100" w:beforeAutospacing="1" w:after="100" w:afterAutospacing="1" w:line="360" w:lineRule="auto"/>
              <w:jc w:val="center"/>
              <w:rPr>
                <w:rFonts w:asciiTheme="majorHAnsi" w:hAnsiTheme="majorHAnsi" w:cstheme="majorHAnsi"/>
                <w:b/>
                <w:bCs/>
                <w:sz w:val="18"/>
                <w:szCs w:val="18"/>
              </w:rPr>
            </w:pPr>
            <w:r w:rsidRPr="00EF19F0">
              <w:rPr>
                <w:rFonts w:asciiTheme="majorHAnsi" w:hAnsiTheme="majorHAnsi" w:cstheme="majorHAnsi"/>
                <w:b/>
                <w:bCs/>
                <w:sz w:val="18"/>
                <w:szCs w:val="18"/>
              </w:rPr>
              <w:t>High</w:t>
            </w:r>
          </w:p>
        </w:tc>
        <w:tc>
          <w:tcPr>
            <w:tcW w:w="921" w:type="dxa"/>
          </w:tcPr>
          <w:p w14:paraId="5C5A6921" w14:textId="69C452E0" w:rsidR="00ED33AB" w:rsidRPr="00EF19F0" w:rsidRDefault="00ED33AB" w:rsidP="00EF19F0">
            <w:pPr>
              <w:spacing w:before="100" w:beforeAutospacing="1" w:after="100" w:afterAutospacing="1" w:line="360" w:lineRule="auto"/>
              <w:jc w:val="center"/>
              <w:rPr>
                <w:rFonts w:asciiTheme="majorHAnsi" w:hAnsiTheme="majorHAnsi" w:cstheme="majorHAnsi"/>
                <w:b/>
                <w:bCs/>
                <w:sz w:val="18"/>
                <w:szCs w:val="18"/>
              </w:rPr>
            </w:pPr>
            <w:r w:rsidRPr="00EF19F0">
              <w:rPr>
                <w:rFonts w:asciiTheme="majorHAnsi" w:hAnsiTheme="majorHAnsi" w:cstheme="majorHAnsi"/>
                <w:b/>
                <w:bCs/>
                <w:sz w:val="18"/>
                <w:szCs w:val="18"/>
              </w:rPr>
              <w:t>Very High</w:t>
            </w:r>
          </w:p>
        </w:tc>
        <w:tc>
          <w:tcPr>
            <w:tcW w:w="922" w:type="dxa"/>
          </w:tcPr>
          <w:p w14:paraId="137FFA92" w14:textId="2BAC4E2B" w:rsidR="00ED33AB" w:rsidRPr="00EF19F0" w:rsidRDefault="00ED33AB" w:rsidP="00EF19F0">
            <w:pPr>
              <w:spacing w:before="100" w:beforeAutospacing="1" w:after="100" w:afterAutospacing="1" w:line="360" w:lineRule="auto"/>
              <w:jc w:val="center"/>
              <w:rPr>
                <w:rFonts w:asciiTheme="majorHAnsi" w:hAnsiTheme="majorHAnsi" w:cstheme="majorHAnsi"/>
                <w:b/>
                <w:bCs/>
                <w:sz w:val="18"/>
                <w:szCs w:val="18"/>
              </w:rPr>
            </w:pPr>
            <w:r w:rsidRPr="00EF19F0">
              <w:rPr>
                <w:rFonts w:asciiTheme="majorHAnsi" w:hAnsiTheme="majorHAnsi" w:cstheme="majorHAnsi"/>
                <w:b/>
                <w:bCs/>
                <w:sz w:val="18"/>
                <w:szCs w:val="18"/>
              </w:rPr>
              <w:t>High</w:t>
            </w:r>
          </w:p>
        </w:tc>
        <w:tc>
          <w:tcPr>
            <w:tcW w:w="921" w:type="dxa"/>
          </w:tcPr>
          <w:p w14:paraId="2FBC75E0" w14:textId="0C3F8597" w:rsidR="00ED33AB" w:rsidRPr="00EF19F0" w:rsidRDefault="00ED33AB" w:rsidP="00EF19F0">
            <w:pPr>
              <w:spacing w:before="100" w:beforeAutospacing="1" w:after="100" w:afterAutospacing="1" w:line="360" w:lineRule="auto"/>
              <w:jc w:val="center"/>
              <w:rPr>
                <w:rFonts w:asciiTheme="majorHAnsi" w:hAnsiTheme="majorHAnsi" w:cstheme="majorHAnsi"/>
                <w:b/>
                <w:bCs/>
                <w:sz w:val="18"/>
                <w:szCs w:val="18"/>
              </w:rPr>
            </w:pPr>
            <w:r w:rsidRPr="00EF19F0">
              <w:rPr>
                <w:rFonts w:asciiTheme="majorHAnsi" w:hAnsiTheme="majorHAnsi" w:cstheme="majorHAnsi"/>
                <w:b/>
                <w:bCs/>
                <w:sz w:val="18"/>
                <w:szCs w:val="18"/>
              </w:rPr>
              <w:t>Very High</w:t>
            </w:r>
          </w:p>
        </w:tc>
        <w:tc>
          <w:tcPr>
            <w:tcW w:w="921" w:type="dxa"/>
          </w:tcPr>
          <w:p w14:paraId="6C02ED1C" w14:textId="7BF4ADA5" w:rsidR="00ED33AB" w:rsidRPr="00EF19F0" w:rsidRDefault="00ED33AB" w:rsidP="00EF19F0">
            <w:pPr>
              <w:spacing w:before="100" w:beforeAutospacing="1" w:after="100" w:afterAutospacing="1" w:line="360" w:lineRule="auto"/>
              <w:jc w:val="center"/>
              <w:rPr>
                <w:rFonts w:asciiTheme="majorHAnsi" w:hAnsiTheme="majorHAnsi" w:cstheme="majorHAnsi"/>
                <w:b/>
                <w:bCs/>
                <w:sz w:val="18"/>
                <w:szCs w:val="18"/>
              </w:rPr>
            </w:pPr>
            <w:r w:rsidRPr="00EF19F0">
              <w:rPr>
                <w:rFonts w:asciiTheme="majorHAnsi" w:hAnsiTheme="majorHAnsi" w:cstheme="majorHAnsi"/>
                <w:b/>
                <w:bCs/>
                <w:sz w:val="18"/>
                <w:szCs w:val="18"/>
              </w:rPr>
              <w:t>High</w:t>
            </w:r>
          </w:p>
        </w:tc>
        <w:tc>
          <w:tcPr>
            <w:tcW w:w="922" w:type="dxa"/>
          </w:tcPr>
          <w:p w14:paraId="474F4A1A" w14:textId="74B69131" w:rsidR="00ED33AB" w:rsidRPr="00EF19F0" w:rsidRDefault="00ED33AB" w:rsidP="00EF19F0">
            <w:pPr>
              <w:spacing w:before="100" w:beforeAutospacing="1" w:after="100" w:afterAutospacing="1" w:line="360" w:lineRule="auto"/>
              <w:jc w:val="center"/>
              <w:rPr>
                <w:rFonts w:asciiTheme="majorHAnsi" w:hAnsiTheme="majorHAnsi" w:cstheme="majorHAnsi"/>
                <w:b/>
                <w:bCs/>
                <w:sz w:val="18"/>
                <w:szCs w:val="18"/>
              </w:rPr>
            </w:pPr>
            <w:r w:rsidRPr="00EF19F0">
              <w:rPr>
                <w:rFonts w:asciiTheme="majorHAnsi" w:hAnsiTheme="majorHAnsi" w:cstheme="majorHAnsi"/>
                <w:b/>
                <w:bCs/>
                <w:sz w:val="18"/>
                <w:szCs w:val="18"/>
              </w:rPr>
              <w:t>Very High</w:t>
            </w:r>
          </w:p>
        </w:tc>
        <w:tc>
          <w:tcPr>
            <w:tcW w:w="921" w:type="dxa"/>
          </w:tcPr>
          <w:p w14:paraId="47DA95E5" w14:textId="1AED078E" w:rsidR="00ED33AB" w:rsidRPr="00EF19F0" w:rsidRDefault="00ED33AB" w:rsidP="00EF19F0">
            <w:pPr>
              <w:spacing w:before="100" w:beforeAutospacing="1" w:after="100" w:afterAutospacing="1" w:line="360" w:lineRule="auto"/>
              <w:jc w:val="center"/>
              <w:rPr>
                <w:rFonts w:asciiTheme="majorHAnsi" w:hAnsiTheme="majorHAnsi" w:cstheme="majorHAnsi"/>
                <w:b/>
                <w:bCs/>
                <w:sz w:val="18"/>
                <w:szCs w:val="18"/>
              </w:rPr>
            </w:pPr>
            <w:r w:rsidRPr="00EF19F0">
              <w:rPr>
                <w:rFonts w:asciiTheme="majorHAnsi" w:hAnsiTheme="majorHAnsi" w:cstheme="majorHAnsi"/>
                <w:b/>
                <w:bCs/>
                <w:sz w:val="18"/>
                <w:szCs w:val="18"/>
              </w:rPr>
              <w:t>High</w:t>
            </w:r>
          </w:p>
        </w:tc>
        <w:tc>
          <w:tcPr>
            <w:tcW w:w="922" w:type="dxa"/>
          </w:tcPr>
          <w:p w14:paraId="27B552DA" w14:textId="124784B7" w:rsidR="00ED33AB" w:rsidRPr="00EF19F0" w:rsidRDefault="00ED33AB" w:rsidP="00EF19F0">
            <w:pPr>
              <w:spacing w:before="100" w:beforeAutospacing="1" w:after="100" w:afterAutospacing="1" w:line="360" w:lineRule="auto"/>
              <w:jc w:val="center"/>
              <w:rPr>
                <w:rFonts w:asciiTheme="majorHAnsi" w:hAnsiTheme="majorHAnsi" w:cstheme="majorHAnsi"/>
                <w:b/>
                <w:bCs/>
                <w:sz w:val="18"/>
                <w:szCs w:val="18"/>
              </w:rPr>
            </w:pPr>
            <w:r w:rsidRPr="00EF19F0">
              <w:rPr>
                <w:rFonts w:asciiTheme="majorHAnsi" w:hAnsiTheme="majorHAnsi" w:cstheme="majorHAnsi"/>
                <w:b/>
                <w:bCs/>
                <w:sz w:val="18"/>
                <w:szCs w:val="18"/>
              </w:rPr>
              <w:t>Very High</w:t>
            </w:r>
          </w:p>
        </w:tc>
      </w:tr>
      <w:tr w:rsidR="00351B33" w:rsidRPr="00984A9E" w14:paraId="49CEBC55" w14:textId="77777777" w:rsidTr="00F4751F">
        <w:trPr>
          <w:trHeight w:val="333"/>
        </w:trPr>
        <w:tc>
          <w:tcPr>
            <w:tcW w:w="2122" w:type="dxa"/>
          </w:tcPr>
          <w:p w14:paraId="6E79604E" w14:textId="77777777" w:rsidR="00351B33" w:rsidRPr="00984A9E" w:rsidRDefault="00351B33" w:rsidP="000479A3">
            <w:pPr>
              <w:spacing w:before="100" w:beforeAutospacing="1" w:after="100" w:afterAutospacing="1" w:line="360" w:lineRule="auto"/>
              <w:rPr>
                <w:rFonts w:asciiTheme="majorHAnsi" w:hAnsiTheme="majorHAnsi" w:cstheme="majorHAnsi"/>
                <w:sz w:val="18"/>
                <w:szCs w:val="18"/>
              </w:rPr>
            </w:pPr>
            <w:r w:rsidRPr="00984A9E">
              <w:rPr>
                <w:rFonts w:asciiTheme="majorHAnsi" w:hAnsiTheme="majorHAnsi" w:cstheme="majorHAnsi"/>
                <w:sz w:val="18"/>
                <w:szCs w:val="18"/>
              </w:rPr>
              <w:t>Appropriateness (fit) as a learning modality for teachers</w:t>
            </w:r>
          </w:p>
        </w:tc>
        <w:tc>
          <w:tcPr>
            <w:tcW w:w="921" w:type="dxa"/>
          </w:tcPr>
          <w:p w14:paraId="41708C6B" w14:textId="77777777" w:rsidR="00351B33" w:rsidRPr="00984A9E" w:rsidRDefault="00351B33" w:rsidP="00EF19F0">
            <w:pPr>
              <w:spacing w:before="100" w:beforeAutospacing="1" w:after="100" w:afterAutospacing="1" w:line="360" w:lineRule="auto"/>
              <w:jc w:val="center"/>
              <w:rPr>
                <w:rFonts w:asciiTheme="majorHAnsi" w:hAnsiTheme="majorHAnsi" w:cstheme="majorHAnsi"/>
                <w:sz w:val="18"/>
                <w:szCs w:val="18"/>
              </w:rPr>
            </w:pPr>
            <w:r w:rsidRPr="00984A9E">
              <w:rPr>
                <w:rFonts w:asciiTheme="majorHAnsi" w:hAnsiTheme="majorHAnsi" w:cstheme="majorHAnsi"/>
                <w:sz w:val="18"/>
                <w:szCs w:val="18"/>
              </w:rPr>
              <w:t>46%</w:t>
            </w:r>
          </w:p>
        </w:tc>
        <w:tc>
          <w:tcPr>
            <w:tcW w:w="921" w:type="dxa"/>
          </w:tcPr>
          <w:p w14:paraId="15C7B6EC" w14:textId="77777777" w:rsidR="00351B33" w:rsidRPr="00984A9E" w:rsidRDefault="00351B33" w:rsidP="00EF19F0">
            <w:pPr>
              <w:spacing w:before="100" w:beforeAutospacing="1" w:after="100" w:afterAutospacing="1" w:line="360" w:lineRule="auto"/>
              <w:jc w:val="center"/>
              <w:rPr>
                <w:rFonts w:asciiTheme="majorHAnsi" w:hAnsiTheme="majorHAnsi" w:cstheme="majorHAnsi"/>
                <w:sz w:val="18"/>
                <w:szCs w:val="18"/>
              </w:rPr>
            </w:pPr>
            <w:r w:rsidRPr="00984A9E">
              <w:rPr>
                <w:rFonts w:asciiTheme="majorHAnsi" w:hAnsiTheme="majorHAnsi" w:cstheme="majorHAnsi"/>
                <w:sz w:val="18"/>
                <w:szCs w:val="18"/>
              </w:rPr>
              <w:t>28%</w:t>
            </w:r>
          </w:p>
        </w:tc>
        <w:tc>
          <w:tcPr>
            <w:tcW w:w="922" w:type="dxa"/>
          </w:tcPr>
          <w:p w14:paraId="29C12B3E" w14:textId="77777777" w:rsidR="00351B33" w:rsidRPr="00984A9E" w:rsidRDefault="00351B33" w:rsidP="00EF19F0">
            <w:pPr>
              <w:spacing w:before="100" w:beforeAutospacing="1" w:after="100" w:afterAutospacing="1" w:line="360" w:lineRule="auto"/>
              <w:jc w:val="center"/>
              <w:rPr>
                <w:rFonts w:asciiTheme="majorHAnsi" w:hAnsiTheme="majorHAnsi" w:cstheme="majorHAnsi"/>
                <w:sz w:val="18"/>
                <w:szCs w:val="18"/>
              </w:rPr>
            </w:pPr>
            <w:r w:rsidRPr="00984A9E">
              <w:rPr>
                <w:rFonts w:asciiTheme="majorHAnsi" w:hAnsiTheme="majorHAnsi" w:cstheme="majorHAnsi"/>
                <w:sz w:val="18"/>
                <w:szCs w:val="18"/>
              </w:rPr>
              <w:t>58%</w:t>
            </w:r>
          </w:p>
        </w:tc>
        <w:tc>
          <w:tcPr>
            <w:tcW w:w="921" w:type="dxa"/>
          </w:tcPr>
          <w:p w14:paraId="72A4A324" w14:textId="77777777" w:rsidR="00351B33" w:rsidRPr="00984A9E" w:rsidRDefault="00351B33" w:rsidP="00EF19F0">
            <w:pPr>
              <w:spacing w:before="100" w:beforeAutospacing="1" w:after="100" w:afterAutospacing="1" w:line="360" w:lineRule="auto"/>
              <w:jc w:val="center"/>
              <w:rPr>
                <w:rFonts w:asciiTheme="majorHAnsi" w:hAnsiTheme="majorHAnsi" w:cstheme="majorHAnsi"/>
                <w:sz w:val="18"/>
                <w:szCs w:val="18"/>
              </w:rPr>
            </w:pPr>
            <w:r w:rsidRPr="00984A9E">
              <w:rPr>
                <w:rFonts w:asciiTheme="majorHAnsi" w:hAnsiTheme="majorHAnsi" w:cstheme="majorHAnsi"/>
                <w:sz w:val="18"/>
                <w:szCs w:val="18"/>
              </w:rPr>
              <w:t>23%</w:t>
            </w:r>
          </w:p>
        </w:tc>
        <w:tc>
          <w:tcPr>
            <w:tcW w:w="921" w:type="dxa"/>
          </w:tcPr>
          <w:p w14:paraId="31139011" w14:textId="77777777" w:rsidR="00351B33" w:rsidRPr="00984A9E" w:rsidRDefault="00351B33" w:rsidP="00EF19F0">
            <w:pPr>
              <w:spacing w:before="100" w:beforeAutospacing="1" w:after="100" w:afterAutospacing="1" w:line="360" w:lineRule="auto"/>
              <w:jc w:val="center"/>
              <w:rPr>
                <w:rFonts w:asciiTheme="majorHAnsi" w:hAnsiTheme="majorHAnsi" w:cstheme="majorHAnsi"/>
                <w:sz w:val="18"/>
                <w:szCs w:val="18"/>
              </w:rPr>
            </w:pPr>
            <w:r w:rsidRPr="00984A9E">
              <w:rPr>
                <w:rFonts w:asciiTheme="majorHAnsi" w:hAnsiTheme="majorHAnsi" w:cstheme="majorHAnsi"/>
                <w:sz w:val="18"/>
                <w:szCs w:val="18"/>
              </w:rPr>
              <w:t>70%</w:t>
            </w:r>
          </w:p>
        </w:tc>
        <w:tc>
          <w:tcPr>
            <w:tcW w:w="922" w:type="dxa"/>
          </w:tcPr>
          <w:p w14:paraId="568ABCE8" w14:textId="77777777" w:rsidR="00351B33" w:rsidRPr="00984A9E" w:rsidRDefault="00351B33" w:rsidP="00EF19F0">
            <w:pPr>
              <w:spacing w:before="100" w:beforeAutospacing="1" w:after="100" w:afterAutospacing="1" w:line="360" w:lineRule="auto"/>
              <w:jc w:val="center"/>
              <w:rPr>
                <w:rFonts w:asciiTheme="majorHAnsi" w:hAnsiTheme="majorHAnsi" w:cstheme="majorHAnsi"/>
                <w:sz w:val="18"/>
                <w:szCs w:val="18"/>
              </w:rPr>
            </w:pPr>
            <w:r w:rsidRPr="00984A9E">
              <w:rPr>
                <w:rFonts w:asciiTheme="majorHAnsi" w:hAnsiTheme="majorHAnsi" w:cstheme="majorHAnsi"/>
                <w:sz w:val="18"/>
                <w:szCs w:val="18"/>
              </w:rPr>
              <w:t>20%</w:t>
            </w:r>
          </w:p>
        </w:tc>
        <w:tc>
          <w:tcPr>
            <w:tcW w:w="921" w:type="dxa"/>
          </w:tcPr>
          <w:p w14:paraId="237DFD3B" w14:textId="77777777" w:rsidR="00351B33" w:rsidRPr="00984A9E" w:rsidRDefault="00351B33" w:rsidP="00EF19F0">
            <w:pPr>
              <w:spacing w:before="100" w:beforeAutospacing="1" w:after="100" w:afterAutospacing="1" w:line="360" w:lineRule="auto"/>
              <w:jc w:val="center"/>
              <w:rPr>
                <w:rFonts w:asciiTheme="majorHAnsi" w:hAnsiTheme="majorHAnsi" w:cstheme="majorHAnsi"/>
                <w:sz w:val="18"/>
                <w:szCs w:val="18"/>
              </w:rPr>
            </w:pPr>
            <w:r w:rsidRPr="00984A9E">
              <w:rPr>
                <w:rFonts w:asciiTheme="majorHAnsi" w:hAnsiTheme="majorHAnsi" w:cstheme="majorHAnsi"/>
                <w:sz w:val="18"/>
                <w:szCs w:val="18"/>
              </w:rPr>
              <w:t>68%</w:t>
            </w:r>
          </w:p>
        </w:tc>
        <w:tc>
          <w:tcPr>
            <w:tcW w:w="922" w:type="dxa"/>
          </w:tcPr>
          <w:p w14:paraId="336877F5" w14:textId="77777777" w:rsidR="00351B33" w:rsidRPr="00984A9E" w:rsidRDefault="00351B33" w:rsidP="00EF19F0">
            <w:pPr>
              <w:spacing w:before="100" w:beforeAutospacing="1" w:after="100" w:afterAutospacing="1" w:line="360" w:lineRule="auto"/>
              <w:jc w:val="center"/>
              <w:rPr>
                <w:rFonts w:asciiTheme="majorHAnsi" w:hAnsiTheme="majorHAnsi" w:cstheme="majorHAnsi"/>
                <w:sz w:val="18"/>
                <w:szCs w:val="18"/>
              </w:rPr>
            </w:pPr>
            <w:r w:rsidRPr="00984A9E">
              <w:rPr>
                <w:rFonts w:asciiTheme="majorHAnsi" w:hAnsiTheme="majorHAnsi" w:cstheme="majorHAnsi"/>
                <w:sz w:val="18"/>
                <w:szCs w:val="18"/>
              </w:rPr>
              <w:t>17%</w:t>
            </w:r>
          </w:p>
        </w:tc>
      </w:tr>
      <w:tr w:rsidR="00351B33" w:rsidRPr="00984A9E" w14:paraId="2BADF629" w14:textId="77777777" w:rsidTr="00F4751F">
        <w:trPr>
          <w:trHeight w:val="155"/>
        </w:trPr>
        <w:tc>
          <w:tcPr>
            <w:tcW w:w="2122" w:type="dxa"/>
          </w:tcPr>
          <w:p w14:paraId="1B1BE9EA" w14:textId="77777777" w:rsidR="00351B33" w:rsidRPr="00984A9E" w:rsidRDefault="00351B33" w:rsidP="000479A3">
            <w:pPr>
              <w:spacing w:before="100" w:beforeAutospacing="1" w:after="100" w:afterAutospacing="1" w:line="360" w:lineRule="auto"/>
              <w:rPr>
                <w:rFonts w:asciiTheme="majorHAnsi" w:hAnsiTheme="majorHAnsi" w:cstheme="majorHAnsi"/>
                <w:sz w:val="18"/>
                <w:szCs w:val="18"/>
              </w:rPr>
            </w:pPr>
            <w:r w:rsidRPr="00984A9E">
              <w:rPr>
                <w:rFonts w:asciiTheme="majorHAnsi" w:hAnsiTheme="majorHAnsi" w:cstheme="majorHAnsi"/>
                <w:sz w:val="18"/>
                <w:szCs w:val="18"/>
              </w:rPr>
              <w:t>Ease of access to LAC resources</w:t>
            </w:r>
          </w:p>
        </w:tc>
        <w:tc>
          <w:tcPr>
            <w:tcW w:w="921" w:type="dxa"/>
          </w:tcPr>
          <w:p w14:paraId="18E9721A" w14:textId="77777777" w:rsidR="00351B33" w:rsidRPr="00984A9E" w:rsidRDefault="00351B33" w:rsidP="00EF19F0">
            <w:pPr>
              <w:spacing w:before="100" w:beforeAutospacing="1" w:after="100" w:afterAutospacing="1" w:line="360" w:lineRule="auto"/>
              <w:jc w:val="center"/>
              <w:rPr>
                <w:rFonts w:asciiTheme="majorHAnsi" w:hAnsiTheme="majorHAnsi" w:cstheme="majorHAnsi"/>
                <w:sz w:val="18"/>
                <w:szCs w:val="18"/>
              </w:rPr>
            </w:pPr>
            <w:r w:rsidRPr="00984A9E">
              <w:rPr>
                <w:rFonts w:asciiTheme="majorHAnsi" w:hAnsiTheme="majorHAnsi" w:cstheme="majorHAnsi"/>
                <w:sz w:val="18"/>
                <w:szCs w:val="18"/>
              </w:rPr>
              <w:t>50%</w:t>
            </w:r>
          </w:p>
        </w:tc>
        <w:tc>
          <w:tcPr>
            <w:tcW w:w="921" w:type="dxa"/>
          </w:tcPr>
          <w:p w14:paraId="4ECB1CD8" w14:textId="77777777" w:rsidR="00351B33" w:rsidRPr="00984A9E" w:rsidRDefault="00351B33" w:rsidP="00EF19F0">
            <w:pPr>
              <w:spacing w:before="100" w:beforeAutospacing="1" w:after="100" w:afterAutospacing="1" w:line="360" w:lineRule="auto"/>
              <w:jc w:val="center"/>
              <w:rPr>
                <w:rFonts w:asciiTheme="majorHAnsi" w:hAnsiTheme="majorHAnsi" w:cstheme="majorHAnsi"/>
                <w:sz w:val="18"/>
                <w:szCs w:val="18"/>
              </w:rPr>
            </w:pPr>
            <w:r w:rsidRPr="00984A9E">
              <w:rPr>
                <w:rFonts w:asciiTheme="majorHAnsi" w:hAnsiTheme="majorHAnsi" w:cstheme="majorHAnsi"/>
                <w:sz w:val="18"/>
                <w:szCs w:val="18"/>
              </w:rPr>
              <w:t>15%</w:t>
            </w:r>
          </w:p>
        </w:tc>
        <w:tc>
          <w:tcPr>
            <w:tcW w:w="922" w:type="dxa"/>
          </w:tcPr>
          <w:p w14:paraId="611E7CA8" w14:textId="77777777" w:rsidR="00351B33" w:rsidRPr="00984A9E" w:rsidRDefault="00351B33" w:rsidP="00EF19F0">
            <w:pPr>
              <w:spacing w:before="100" w:beforeAutospacing="1" w:after="100" w:afterAutospacing="1" w:line="360" w:lineRule="auto"/>
              <w:jc w:val="center"/>
              <w:rPr>
                <w:rFonts w:asciiTheme="majorHAnsi" w:hAnsiTheme="majorHAnsi" w:cstheme="majorHAnsi"/>
                <w:sz w:val="18"/>
                <w:szCs w:val="18"/>
              </w:rPr>
            </w:pPr>
            <w:r w:rsidRPr="00984A9E">
              <w:rPr>
                <w:rFonts w:asciiTheme="majorHAnsi" w:hAnsiTheme="majorHAnsi" w:cstheme="majorHAnsi"/>
                <w:sz w:val="18"/>
                <w:szCs w:val="18"/>
              </w:rPr>
              <w:t>48%</w:t>
            </w:r>
          </w:p>
        </w:tc>
        <w:tc>
          <w:tcPr>
            <w:tcW w:w="921" w:type="dxa"/>
          </w:tcPr>
          <w:p w14:paraId="69A13257" w14:textId="77777777" w:rsidR="00351B33" w:rsidRPr="00984A9E" w:rsidRDefault="00351B33" w:rsidP="00EF19F0">
            <w:pPr>
              <w:spacing w:before="100" w:beforeAutospacing="1" w:after="100" w:afterAutospacing="1" w:line="360" w:lineRule="auto"/>
              <w:jc w:val="center"/>
              <w:rPr>
                <w:rFonts w:asciiTheme="majorHAnsi" w:hAnsiTheme="majorHAnsi" w:cstheme="majorHAnsi"/>
                <w:sz w:val="18"/>
                <w:szCs w:val="18"/>
              </w:rPr>
            </w:pPr>
            <w:r w:rsidRPr="00984A9E">
              <w:rPr>
                <w:rFonts w:asciiTheme="majorHAnsi" w:hAnsiTheme="majorHAnsi" w:cstheme="majorHAnsi"/>
                <w:sz w:val="18"/>
                <w:szCs w:val="18"/>
              </w:rPr>
              <w:t>17%</w:t>
            </w:r>
          </w:p>
        </w:tc>
        <w:tc>
          <w:tcPr>
            <w:tcW w:w="921" w:type="dxa"/>
          </w:tcPr>
          <w:p w14:paraId="6815105D" w14:textId="77777777" w:rsidR="00351B33" w:rsidRPr="00984A9E" w:rsidRDefault="00351B33" w:rsidP="00EF19F0">
            <w:pPr>
              <w:spacing w:before="100" w:beforeAutospacing="1" w:after="100" w:afterAutospacing="1" w:line="360" w:lineRule="auto"/>
              <w:jc w:val="center"/>
              <w:rPr>
                <w:rFonts w:asciiTheme="majorHAnsi" w:hAnsiTheme="majorHAnsi" w:cstheme="majorHAnsi"/>
                <w:sz w:val="18"/>
                <w:szCs w:val="18"/>
              </w:rPr>
            </w:pPr>
          </w:p>
        </w:tc>
        <w:tc>
          <w:tcPr>
            <w:tcW w:w="922" w:type="dxa"/>
          </w:tcPr>
          <w:p w14:paraId="0B21BB0C" w14:textId="77777777" w:rsidR="00351B33" w:rsidRPr="00984A9E" w:rsidRDefault="00351B33" w:rsidP="00EF19F0">
            <w:pPr>
              <w:spacing w:before="100" w:beforeAutospacing="1" w:after="100" w:afterAutospacing="1" w:line="360" w:lineRule="auto"/>
              <w:jc w:val="center"/>
              <w:rPr>
                <w:rFonts w:asciiTheme="majorHAnsi" w:hAnsiTheme="majorHAnsi" w:cstheme="majorHAnsi"/>
                <w:sz w:val="18"/>
                <w:szCs w:val="18"/>
              </w:rPr>
            </w:pPr>
          </w:p>
        </w:tc>
        <w:tc>
          <w:tcPr>
            <w:tcW w:w="921" w:type="dxa"/>
          </w:tcPr>
          <w:p w14:paraId="2811671F" w14:textId="77777777" w:rsidR="00351B33" w:rsidRPr="00984A9E" w:rsidRDefault="00351B33" w:rsidP="00EF19F0">
            <w:pPr>
              <w:spacing w:before="100" w:beforeAutospacing="1" w:after="100" w:afterAutospacing="1" w:line="360" w:lineRule="auto"/>
              <w:jc w:val="center"/>
              <w:rPr>
                <w:rFonts w:asciiTheme="majorHAnsi" w:hAnsiTheme="majorHAnsi" w:cstheme="majorHAnsi"/>
                <w:sz w:val="18"/>
                <w:szCs w:val="18"/>
              </w:rPr>
            </w:pPr>
          </w:p>
        </w:tc>
        <w:tc>
          <w:tcPr>
            <w:tcW w:w="922" w:type="dxa"/>
          </w:tcPr>
          <w:p w14:paraId="3EADC6BC" w14:textId="77777777" w:rsidR="00351B33" w:rsidRPr="00984A9E" w:rsidRDefault="00351B33" w:rsidP="00EF19F0">
            <w:pPr>
              <w:spacing w:before="100" w:beforeAutospacing="1" w:after="100" w:afterAutospacing="1" w:line="360" w:lineRule="auto"/>
              <w:jc w:val="center"/>
              <w:rPr>
                <w:rFonts w:asciiTheme="majorHAnsi" w:hAnsiTheme="majorHAnsi" w:cstheme="majorHAnsi"/>
                <w:sz w:val="18"/>
                <w:szCs w:val="18"/>
              </w:rPr>
            </w:pPr>
          </w:p>
        </w:tc>
      </w:tr>
      <w:tr w:rsidR="00351B33" w:rsidRPr="00984A9E" w14:paraId="405D05CB" w14:textId="77777777" w:rsidTr="00F4751F">
        <w:trPr>
          <w:trHeight w:val="295"/>
        </w:trPr>
        <w:tc>
          <w:tcPr>
            <w:tcW w:w="2122" w:type="dxa"/>
          </w:tcPr>
          <w:p w14:paraId="4BC950E5" w14:textId="77777777" w:rsidR="00351B33" w:rsidRPr="00984A9E" w:rsidRDefault="00351B33" w:rsidP="000479A3">
            <w:pPr>
              <w:spacing w:before="100" w:beforeAutospacing="1" w:after="100" w:afterAutospacing="1" w:line="360" w:lineRule="auto"/>
              <w:rPr>
                <w:rFonts w:asciiTheme="majorHAnsi" w:hAnsiTheme="majorHAnsi" w:cstheme="majorHAnsi"/>
                <w:sz w:val="18"/>
                <w:szCs w:val="18"/>
              </w:rPr>
            </w:pPr>
            <w:r w:rsidRPr="00984A9E">
              <w:rPr>
                <w:rFonts w:asciiTheme="majorHAnsi" w:hAnsiTheme="majorHAnsi" w:cstheme="majorHAnsi"/>
                <w:sz w:val="18"/>
                <w:szCs w:val="18"/>
              </w:rPr>
              <w:t>Usefulness of the learning modality to teachers</w:t>
            </w:r>
          </w:p>
        </w:tc>
        <w:tc>
          <w:tcPr>
            <w:tcW w:w="921" w:type="dxa"/>
          </w:tcPr>
          <w:p w14:paraId="05313E68" w14:textId="77777777" w:rsidR="00351B33" w:rsidRPr="00984A9E" w:rsidRDefault="00351B33" w:rsidP="00EF19F0">
            <w:pPr>
              <w:spacing w:before="100" w:beforeAutospacing="1" w:after="100" w:afterAutospacing="1" w:line="360" w:lineRule="auto"/>
              <w:jc w:val="center"/>
              <w:rPr>
                <w:rFonts w:asciiTheme="majorHAnsi" w:hAnsiTheme="majorHAnsi" w:cstheme="majorHAnsi"/>
                <w:sz w:val="18"/>
                <w:szCs w:val="18"/>
              </w:rPr>
            </w:pPr>
            <w:r w:rsidRPr="00984A9E">
              <w:rPr>
                <w:rFonts w:asciiTheme="majorHAnsi" w:hAnsiTheme="majorHAnsi" w:cstheme="majorHAnsi"/>
                <w:sz w:val="18"/>
                <w:szCs w:val="18"/>
              </w:rPr>
              <w:t>35%</w:t>
            </w:r>
          </w:p>
        </w:tc>
        <w:tc>
          <w:tcPr>
            <w:tcW w:w="921" w:type="dxa"/>
          </w:tcPr>
          <w:p w14:paraId="4D33CDC2" w14:textId="77777777" w:rsidR="00351B33" w:rsidRPr="00984A9E" w:rsidRDefault="00351B33" w:rsidP="00EF19F0">
            <w:pPr>
              <w:spacing w:before="100" w:beforeAutospacing="1" w:after="100" w:afterAutospacing="1" w:line="360" w:lineRule="auto"/>
              <w:jc w:val="center"/>
              <w:rPr>
                <w:rFonts w:asciiTheme="majorHAnsi" w:hAnsiTheme="majorHAnsi" w:cstheme="majorHAnsi"/>
                <w:sz w:val="18"/>
                <w:szCs w:val="18"/>
              </w:rPr>
            </w:pPr>
            <w:r w:rsidRPr="00984A9E">
              <w:rPr>
                <w:rFonts w:asciiTheme="majorHAnsi" w:hAnsiTheme="majorHAnsi" w:cstheme="majorHAnsi"/>
                <w:sz w:val="18"/>
                <w:szCs w:val="18"/>
              </w:rPr>
              <w:t>46%</w:t>
            </w:r>
          </w:p>
        </w:tc>
        <w:tc>
          <w:tcPr>
            <w:tcW w:w="922" w:type="dxa"/>
          </w:tcPr>
          <w:p w14:paraId="57696B3C" w14:textId="77777777" w:rsidR="00351B33" w:rsidRPr="00984A9E" w:rsidRDefault="00351B33" w:rsidP="00EF19F0">
            <w:pPr>
              <w:spacing w:before="100" w:beforeAutospacing="1" w:after="100" w:afterAutospacing="1" w:line="360" w:lineRule="auto"/>
              <w:jc w:val="center"/>
              <w:rPr>
                <w:rFonts w:asciiTheme="majorHAnsi" w:hAnsiTheme="majorHAnsi" w:cstheme="majorHAnsi"/>
                <w:sz w:val="18"/>
                <w:szCs w:val="18"/>
              </w:rPr>
            </w:pPr>
            <w:r w:rsidRPr="00984A9E">
              <w:rPr>
                <w:rFonts w:asciiTheme="majorHAnsi" w:hAnsiTheme="majorHAnsi" w:cstheme="majorHAnsi"/>
                <w:sz w:val="18"/>
                <w:szCs w:val="18"/>
              </w:rPr>
              <w:t>57%</w:t>
            </w:r>
          </w:p>
        </w:tc>
        <w:tc>
          <w:tcPr>
            <w:tcW w:w="921" w:type="dxa"/>
          </w:tcPr>
          <w:p w14:paraId="0243BBE3" w14:textId="77777777" w:rsidR="00351B33" w:rsidRPr="00984A9E" w:rsidRDefault="00351B33" w:rsidP="00EF19F0">
            <w:pPr>
              <w:spacing w:before="100" w:beforeAutospacing="1" w:after="100" w:afterAutospacing="1" w:line="360" w:lineRule="auto"/>
              <w:jc w:val="center"/>
              <w:rPr>
                <w:rFonts w:asciiTheme="majorHAnsi" w:hAnsiTheme="majorHAnsi" w:cstheme="majorHAnsi"/>
                <w:sz w:val="18"/>
                <w:szCs w:val="18"/>
              </w:rPr>
            </w:pPr>
            <w:r w:rsidRPr="00984A9E">
              <w:rPr>
                <w:rFonts w:asciiTheme="majorHAnsi" w:hAnsiTheme="majorHAnsi" w:cstheme="majorHAnsi"/>
                <w:sz w:val="18"/>
                <w:szCs w:val="18"/>
              </w:rPr>
              <w:t>29%</w:t>
            </w:r>
          </w:p>
        </w:tc>
        <w:tc>
          <w:tcPr>
            <w:tcW w:w="921" w:type="dxa"/>
          </w:tcPr>
          <w:p w14:paraId="7B8B93D5" w14:textId="77777777" w:rsidR="00351B33" w:rsidRPr="00984A9E" w:rsidRDefault="00351B33" w:rsidP="00EF19F0">
            <w:pPr>
              <w:spacing w:before="100" w:beforeAutospacing="1" w:after="100" w:afterAutospacing="1" w:line="360" w:lineRule="auto"/>
              <w:jc w:val="center"/>
              <w:rPr>
                <w:rFonts w:asciiTheme="majorHAnsi" w:hAnsiTheme="majorHAnsi" w:cstheme="majorHAnsi"/>
                <w:sz w:val="18"/>
                <w:szCs w:val="18"/>
              </w:rPr>
            </w:pPr>
            <w:r w:rsidRPr="00984A9E">
              <w:rPr>
                <w:rFonts w:asciiTheme="majorHAnsi" w:hAnsiTheme="majorHAnsi" w:cstheme="majorHAnsi"/>
                <w:sz w:val="18"/>
                <w:szCs w:val="18"/>
              </w:rPr>
              <w:t>60%</w:t>
            </w:r>
          </w:p>
        </w:tc>
        <w:tc>
          <w:tcPr>
            <w:tcW w:w="922" w:type="dxa"/>
          </w:tcPr>
          <w:p w14:paraId="34B33E34" w14:textId="77777777" w:rsidR="00351B33" w:rsidRPr="00984A9E" w:rsidRDefault="00351B33" w:rsidP="00EF19F0">
            <w:pPr>
              <w:spacing w:before="100" w:beforeAutospacing="1" w:after="100" w:afterAutospacing="1" w:line="360" w:lineRule="auto"/>
              <w:jc w:val="center"/>
              <w:rPr>
                <w:rFonts w:asciiTheme="majorHAnsi" w:hAnsiTheme="majorHAnsi" w:cstheme="majorHAnsi"/>
                <w:sz w:val="18"/>
                <w:szCs w:val="18"/>
              </w:rPr>
            </w:pPr>
            <w:r w:rsidRPr="00984A9E">
              <w:rPr>
                <w:rFonts w:asciiTheme="majorHAnsi" w:hAnsiTheme="majorHAnsi" w:cstheme="majorHAnsi"/>
                <w:sz w:val="18"/>
                <w:szCs w:val="18"/>
              </w:rPr>
              <w:t>40%</w:t>
            </w:r>
          </w:p>
        </w:tc>
        <w:tc>
          <w:tcPr>
            <w:tcW w:w="921" w:type="dxa"/>
          </w:tcPr>
          <w:p w14:paraId="5B6629FB" w14:textId="77777777" w:rsidR="00351B33" w:rsidRPr="00984A9E" w:rsidRDefault="00351B33" w:rsidP="00EF19F0">
            <w:pPr>
              <w:spacing w:before="100" w:beforeAutospacing="1" w:after="100" w:afterAutospacing="1" w:line="360" w:lineRule="auto"/>
              <w:jc w:val="center"/>
              <w:rPr>
                <w:rFonts w:asciiTheme="majorHAnsi" w:hAnsiTheme="majorHAnsi" w:cstheme="majorHAnsi"/>
                <w:sz w:val="18"/>
                <w:szCs w:val="18"/>
              </w:rPr>
            </w:pPr>
            <w:r w:rsidRPr="00984A9E">
              <w:rPr>
                <w:rFonts w:asciiTheme="majorHAnsi" w:hAnsiTheme="majorHAnsi" w:cstheme="majorHAnsi"/>
                <w:sz w:val="18"/>
                <w:szCs w:val="18"/>
              </w:rPr>
              <w:t>68%</w:t>
            </w:r>
          </w:p>
        </w:tc>
        <w:tc>
          <w:tcPr>
            <w:tcW w:w="922" w:type="dxa"/>
          </w:tcPr>
          <w:p w14:paraId="79655AE5" w14:textId="77777777" w:rsidR="00351B33" w:rsidRPr="00984A9E" w:rsidRDefault="00351B33" w:rsidP="00EF19F0">
            <w:pPr>
              <w:spacing w:before="100" w:beforeAutospacing="1" w:after="100" w:afterAutospacing="1" w:line="360" w:lineRule="auto"/>
              <w:jc w:val="center"/>
              <w:rPr>
                <w:rFonts w:asciiTheme="majorHAnsi" w:hAnsiTheme="majorHAnsi" w:cstheme="majorHAnsi"/>
                <w:sz w:val="18"/>
                <w:szCs w:val="18"/>
              </w:rPr>
            </w:pPr>
            <w:r w:rsidRPr="00984A9E">
              <w:rPr>
                <w:rFonts w:asciiTheme="majorHAnsi" w:hAnsiTheme="majorHAnsi" w:cstheme="majorHAnsi"/>
                <w:sz w:val="18"/>
                <w:szCs w:val="18"/>
              </w:rPr>
              <w:t>13%</w:t>
            </w:r>
          </w:p>
        </w:tc>
      </w:tr>
      <w:tr w:rsidR="00351B33" w:rsidRPr="00984A9E" w14:paraId="3C87E4D3" w14:textId="77777777" w:rsidTr="00F4751F">
        <w:trPr>
          <w:trHeight w:val="295"/>
        </w:trPr>
        <w:tc>
          <w:tcPr>
            <w:tcW w:w="2122" w:type="dxa"/>
          </w:tcPr>
          <w:p w14:paraId="4BB4074D" w14:textId="77777777" w:rsidR="00351B33" w:rsidRPr="00984A9E" w:rsidRDefault="00351B33" w:rsidP="000479A3">
            <w:pPr>
              <w:spacing w:before="100" w:beforeAutospacing="1" w:after="100" w:afterAutospacing="1" w:line="360" w:lineRule="auto"/>
              <w:rPr>
                <w:rFonts w:asciiTheme="majorHAnsi" w:hAnsiTheme="majorHAnsi" w:cstheme="majorHAnsi"/>
                <w:sz w:val="18"/>
                <w:szCs w:val="18"/>
              </w:rPr>
            </w:pPr>
            <w:r w:rsidRPr="00984A9E">
              <w:rPr>
                <w:rFonts w:asciiTheme="majorHAnsi" w:hAnsiTheme="majorHAnsi" w:cstheme="majorHAnsi"/>
                <w:sz w:val="18"/>
                <w:szCs w:val="18"/>
              </w:rPr>
              <w:t>Teachers’ acceptance of the learning modality</w:t>
            </w:r>
          </w:p>
        </w:tc>
        <w:tc>
          <w:tcPr>
            <w:tcW w:w="921" w:type="dxa"/>
          </w:tcPr>
          <w:p w14:paraId="5488E48C" w14:textId="77777777" w:rsidR="00351B33" w:rsidRPr="00984A9E" w:rsidRDefault="00351B33" w:rsidP="00EF19F0">
            <w:pPr>
              <w:spacing w:before="100" w:beforeAutospacing="1" w:after="100" w:afterAutospacing="1" w:line="360" w:lineRule="auto"/>
              <w:jc w:val="center"/>
              <w:rPr>
                <w:rFonts w:asciiTheme="majorHAnsi" w:hAnsiTheme="majorHAnsi" w:cstheme="majorHAnsi"/>
                <w:sz w:val="18"/>
                <w:szCs w:val="18"/>
              </w:rPr>
            </w:pPr>
          </w:p>
        </w:tc>
        <w:tc>
          <w:tcPr>
            <w:tcW w:w="921" w:type="dxa"/>
          </w:tcPr>
          <w:p w14:paraId="22B4A4F4" w14:textId="77777777" w:rsidR="00351B33" w:rsidRPr="00984A9E" w:rsidRDefault="00351B33" w:rsidP="00EF19F0">
            <w:pPr>
              <w:spacing w:before="100" w:beforeAutospacing="1" w:after="100" w:afterAutospacing="1" w:line="360" w:lineRule="auto"/>
              <w:jc w:val="center"/>
              <w:rPr>
                <w:rFonts w:asciiTheme="majorHAnsi" w:hAnsiTheme="majorHAnsi" w:cstheme="majorHAnsi"/>
                <w:sz w:val="18"/>
                <w:szCs w:val="18"/>
              </w:rPr>
            </w:pPr>
          </w:p>
        </w:tc>
        <w:tc>
          <w:tcPr>
            <w:tcW w:w="922" w:type="dxa"/>
          </w:tcPr>
          <w:p w14:paraId="0728F32B" w14:textId="77777777" w:rsidR="00351B33" w:rsidRPr="00984A9E" w:rsidRDefault="00351B33" w:rsidP="00EF19F0">
            <w:pPr>
              <w:spacing w:before="100" w:beforeAutospacing="1" w:after="100" w:afterAutospacing="1" w:line="360" w:lineRule="auto"/>
              <w:jc w:val="center"/>
              <w:rPr>
                <w:rFonts w:asciiTheme="majorHAnsi" w:hAnsiTheme="majorHAnsi" w:cstheme="majorHAnsi"/>
                <w:sz w:val="18"/>
                <w:szCs w:val="18"/>
              </w:rPr>
            </w:pPr>
          </w:p>
        </w:tc>
        <w:tc>
          <w:tcPr>
            <w:tcW w:w="921" w:type="dxa"/>
          </w:tcPr>
          <w:p w14:paraId="490579E2" w14:textId="77777777" w:rsidR="00351B33" w:rsidRPr="00984A9E" w:rsidRDefault="00351B33" w:rsidP="00EF19F0">
            <w:pPr>
              <w:spacing w:before="100" w:beforeAutospacing="1" w:after="100" w:afterAutospacing="1" w:line="360" w:lineRule="auto"/>
              <w:jc w:val="center"/>
              <w:rPr>
                <w:rFonts w:asciiTheme="majorHAnsi" w:hAnsiTheme="majorHAnsi" w:cstheme="majorHAnsi"/>
                <w:sz w:val="18"/>
                <w:szCs w:val="18"/>
              </w:rPr>
            </w:pPr>
          </w:p>
        </w:tc>
        <w:tc>
          <w:tcPr>
            <w:tcW w:w="921" w:type="dxa"/>
          </w:tcPr>
          <w:p w14:paraId="7221B4F5" w14:textId="77777777" w:rsidR="00351B33" w:rsidRPr="00984A9E" w:rsidRDefault="00351B33" w:rsidP="00EF19F0">
            <w:pPr>
              <w:spacing w:before="100" w:beforeAutospacing="1" w:after="100" w:afterAutospacing="1" w:line="360" w:lineRule="auto"/>
              <w:jc w:val="center"/>
              <w:rPr>
                <w:rFonts w:asciiTheme="majorHAnsi" w:hAnsiTheme="majorHAnsi" w:cstheme="majorHAnsi"/>
                <w:sz w:val="18"/>
                <w:szCs w:val="18"/>
              </w:rPr>
            </w:pPr>
            <w:r w:rsidRPr="00984A9E">
              <w:rPr>
                <w:rFonts w:asciiTheme="majorHAnsi" w:hAnsiTheme="majorHAnsi" w:cstheme="majorHAnsi"/>
                <w:sz w:val="18"/>
                <w:szCs w:val="18"/>
              </w:rPr>
              <w:t>60%</w:t>
            </w:r>
          </w:p>
        </w:tc>
        <w:tc>
          <w:tcPr>
            <w:tcW w:w="922" w:type="dxa"/>
          </w:tcPr>
          <w:p w14:paraId="1227FD63" w14:textId="77777777" w:rsidR="00351B33" w:rsidRPr="00984A9E" w:rsidRDefault="00351B33" w:rsidP="00EF19F0">
            <w:pPr>
              <w:spacing w:before="100" w:beforeAutospacing="1" w:after="100" w:afterAutospacing="1" w:line="360" w:lineRule="auto"/>
              <w:jc w:val="center"/>
              <w:rPr>
                <w:rFonts w:asciiTheme="majorHAnsi" w:hAnsiTheme="majorHAnsi" w:cstheme="majorHAnsi"/>
                <w:sz w:val="18"/>
                <w:szCs w:val="18"/>
              </w:rPr>
            </w:pPr>
            <w:r w:rsidRPr="00984A9E">
              <w:rPr>
                <w:rFonts w:asciiTheme="majorHAnsi" w:hAnsiTheme="majorHAnsi" w:cstheme="majorHAnsi"/>
                <w:sz w:val="18"/>
                <w:szCs w:val="18"/>
              </w:rPr>
              <w:t>20%</w:t>
            </w:r>
          </w:p>
        </w:tc>
        <w:tc>
          <w:tcPr>
            <w:tcW w:w="921" w:type="dxa"/>
          </w:tcPr>
          <w:p w14:paraId="23308579" w14:textId="77777777" w:rsidR="00351B33" w:rsidRPr="00984A9E" w:rsidRDefault="00351B33" w:rsidP="00EF19F0">
            <w:pPr>
              <w:spacing w:before="100" w:beforeAutospacing="1" w:after="100" w:afterAutospacing="1" w:line="360" w:lineRule="auto"/>
              <w:jc w:val="center"/>
              <w:rPr>
                <w:rFonts w:asciiTheme="majorHAnsi" w:hAnsiTheme="majorHAnsi" w:cstheme="majorHAnsi"/>
                <w:sz w:val="18"/>
                <w:szCs w:val="18"/>
              </w:rPr>
            </w:pPr>
            <w:r w:rsidRPr="00984A9E">
              <w:rPr>
                <w:rFonts w:asciiTheme="majorHAnsi" w:hAnsiTheme="majorHAnsi" w:cstheme="majorHAnsi"/>
                <w:sz w:val="18"/>
                <w:szCs w:val="18"/>
              </w:rPr>
              <w:t>75%</w:t>
            </w:r>
          </w:p>
        </w:tc>
        <w:tc>
          <w:tcPr>
            <w:tcW w:w="922" w:type="dxa"/>
          </w:tcPr>
          <w:p w14:paraId="177D49E0" w14:textId="77777777" w:rsidR="00351B33" w:rsidRPr="00984A9E" w:rsidRDefault="00351B33" w:rsidP="00EF19F0">
            <w:pPr>
              <w:spacing w:before="100" w:beforeAutospacing="1" w:after="100" w:afterAutospacing="1" w:line="360" w:lineRule="auto"/>
              <w:jc w:val="center"/>
              <w:rPr>
                <w:rFonts w:asciiTheme="majorHAnsi" w:hAnsiTheme="majorHAnsi" w:cstheme="majorHAnsi"/>
                <w:sz w:val="18"/>
                <w:szCs w:val="18"/>
              </w:rPr>
            </w:pPr>
            <w:r w:rsidRPr="00984A9E">
              <w:rPr>
                <w:rFonts w:asciiTheme="majorHAnsi" w:hAnsiTheme="majorHAnsi" w:cstheme="majorHAnsi"/>
                <w:sz w:val="18"/>
                <w:szCs w:val="18"/>
              </w:rPr>
              <w:t>10%</w:t>
            </w:r>
          </w:p>
        </w:tc>
      </w:tr>
    </w:tbl>
    <w:p w14:paraId="4462534F" w14:textId="77777777" w:rsidR="00024B11" w:rsidRPr="00193857" w:rsidRDefault="00984A9E" w:rsidP="000479A3">
      <w:pPr>
        <w:spacing w:before="100" w:beforeAutospacing="1" w:after="100" w:afterAutospacing="1" w:line="360" w:lineRule="auto"/>
        <w:rPr>
          <w:rFonts w:asciiTheme="majorHAnsi" w:hAnsiTheme="majorHAnsi" w:cstheme="majorHAnsi"/>
          <w:sz w:val="14"/>
          <w:szCs w:val="14"/>
        </w:rPr>
      </w:pPr>
      <w:r w:rsidRPr="00193857">
        <w:rPr>
          <w:rFonts w:asciiTheme="majorHAnsi" w:hAnsiTheme="majorHAnsi" w:cstheme="majorHAnsi"/>
          <w:sz w:val="14"/>
          <w:szCs w:val="14"/>
        </w:rPr>
        <w:t>Source: 2019 and 2020 Survey of PSHs and Teachers</w:t>
      </w:r>
    </w:p>
    <w:p w14:paraId="0B22E3AE" w14:textId="77777777" w:rsidR="008D0CAD" w:rsidRPr="00984A9E" w:rsidRDefault="008D0CAD" w:rsidP="000479A3">
      <w:pPr>
        <w:spacing w:before="100" w:beforeAutospacing="1" w:after="100" w:afterAutospacing="1" w:line="360" w:lineRule="auto"/>
        <w:rPr>
          <w:rFonts w:asciiTheme="majorHAnsi" w:hAnsiTheme="majorHAnsi" w:cstheme="majorHAnsi"/>
          <w:color w:val="C00000"/>
          <w:sz w:val="18"/>
          <w:szCs w:val="18"/>
          <w:lang w:val="en-GB"/>
        </w:rPr>
      </w:pPr>
    </w:p>
    <w:p w14:paraId="548545DA" w14:textId="2805F889" w:rsidR="00193857" w:rsidRPr="00020D54" w:rsidRDefault="008D0CAD" w:rsidP="000479A3">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lang w:val="en-GB"/>
        </w:rPr>
        <w:t xml:space="preserve">Respondents were also asked to assess the </w:t>
      </w:r>
      <w:r w:rsidRPr="00B07D16">
        <w:rPr>
          <w:rFonts w:asciiTheme="majorHAnsi" w:hAnsiTheme="majorHAnsi" w:cstheme="majorHAnsi"/>
          <w:color w:val="000000" w:themeColor="text1"/>
        </w:rPr>
        <w:t>Learning Action Cell Toolkit</w:t>
      </w:r>
      <w:r>
        <w:rPr>
          <w:rFonts w:asciiTheme="majorHAnsi" w:hAnsiTheme="majorHAnsi" w:cstheme="majorHAnsi"/>
          <w:lang w:val="en-GB"/>
        </w:rPr>
        <w:t xml:space="preserve"> that supported the mainstreaming of the training approach. </w:t>
      </w:r>
      <w:r>
        <w:rPr>
          <w:rFonts w:asciiTheme="majorHAnsi" w:hAnsiTheme="majorHAnsi" w:cstheme="majorHAnsi"/>
        </w:rPr>
        <w:t>About two-</w:t>
      </w:r>
      <w:r>
        <w:rPr>
          <w:rFonts w:asciiTheme="majorHAnsi" w:hAnsiTheme="majorHAnsi" w:cstheme="majorHAnsi"/>
          <w:color w:val="000000" w:themeColor="text1"/>
        </w:rPr>
        <w:t>thirds of teachers in BEST Program-supported schools said they had good knowledge (67 per cent) of the LAC Toolkit and found it useful (62 per cent) (</w:t>
      </w:r>
      <w:r w:rsidRPr="00D250E6">
        <w:rPr>
          <w:rFonts w:asciiTheme="majorHAnsi" w:hAnsiTheme="majorHAnsi" w:cstheme="majorHAnsi"/>
          <w:color w:val="000000" w:themeColor="text1"/>
        </w:rPr>
        <w:t>Table 1</w:t>
      </w:r>
      <w:r>
        <w:rPr>
          <w:rFonts w:asciiTheme="majorHAnsi" w:hAnsiTheme="majorHAnsi" w:cstheme="majorHAnsi"/>
          <w:color w:val="000000" w:themeColor="text1"/>
        </w:rPr>
        <w:t>0).</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Less, however, had access to it (59 per cent).</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In the Follow-Up Study, the share of teachers who had access to the LAC Toolkit decreased, indicating remaining gaps in its dissemination.</w:t>
      </w:r>
    </w:p>
    <w:p w14:paraId="17D5AC84" w14:textId="081C7AF6" w:rsidR="008D0CAD" w:rsidRPr="00DD6E21" w:rsidRDefault="008D0CAD" w:rsidP="000479A3">
      <w:pPr>
        <w:spacing w:before="100" w:beforeAutospacing="1" w:after="100" w:afterAutospacing="1" w:line="360" w:lineRule="auto"/>
        <w:ind w:left="851" w:right="89" w:hanging="850"/>
        <w:rPr>
          <w:rFonts w:asciiTheme="majorHAnsi" w:hAnsiTheme="majorHAnsi" w:cstheme="majorHAnsi"/>
          <w:i/>
          <w:iCs/>
          <w:color w:val="44546A" w:themeColor="text2"/>
          <w:sz w:val="22"/>
          <w:szCs w:val="22"/>
        </w:rPr>
      </w:pPr>
      <w:bookmarkStart w:id="91" w:name="_Toc71616601"/>
      <w:r w:rsidRPr="00DD6E21">
        <w:rPr>
          <w:rFonts w:asciiTheme="majorHAnsi" w:hAnsiTheme="majorHAnsi" w:cstheme="majorHAnsi"/>
          <w:i/>
          <w:iCs/>
          <w:color w:val="44546A" w:themeColor="text2"/>
          <w:sz w:val="22"/>
          <w:szCs w:val="22"/>
        </w:rPr>
        <w:t xml:space="preserve">Table </w:t>
      </w:r>
      <w:r w:rsidRPr="00DD6E21">
        <w:rPr>
          <w:rFonts w:asciiTheme="majorHAnsi" w:hAnsiTheme="majorHAnsi" w:cstheme="majorHAnsi"/>
          <w:i/>
          <w:iCs/>
          <w:color w:val="44546A" w:themeColor="text2"/>
          <w:sz w:val="22"/>
          <w:szCs w:val="22"/>
        </w:rPr>
        <w:fldChar w:fldCharType="begin"/>
      </w:r>
      <w:r w:rsidRPr="00DD6E21">
        <w:rPr>
          <w:rFonts w:asciiTheme="majorHAnsi" w:hAnsiTheme="majorHAnsi" w:cstheme="majorHAnsi"/>
          <w:i/>
          <w:iCs/>
          <w:color w:val="44546A" w:themeColor="text2"/>
          <w:sz w:val="22"/>
          <w:szCs w:val="22"/>
        </w:rPr>
        <w:instrText xml:space="preserve"> SEQ Table \* ARABIC </w:instrText>
      </w:r>
      <w:r w:rsidRPr="00DD6E21">
        <w:rPr>
          <w:rFonts w:asciiTheme="majorHAnsi" w:hAnsiTheme="majorHAnsi" w:cstheme="majorHAnsi"/>
          <w:i/>
          <w:iCs/>
          <w:color w:val="44546A" w:themeColor="text2"/>
          <w:sz w:val="22"/>
          <w:szCs w:val="22"/>
        </w:rPr>
        <w:fldChar w:fldCharType="separate"/>
      </w:r>
      <w:r w:rsidR="00D6133D">
        <w:rPr>
          <w:rFonts w:asciiTheme="majorHAnsi" w:hAnsiTheme="majorHAnsi" w:cstheme="majorHAnsi"/>
          <w:i/>
          <w:iCs/>
          <w:noProof/>
          <w:color w:val="44546A" w:themeColor="text2"/>
          <w:sz w:val="22"/>
          <w:szCs w:val="22"/>
        </w:rPr>
        <w:t>10</w:t>
      </w:r>
      <w:r w:rsidRPr="00DD6E21">
        <w:rPr>
          <w:rFonts w:asciiTheme="majorHAnsi" w:hAnsiTheme="majorHAnsi" w:cstheme="majorHAnsi"/>
          <w:i/>
          <w:iCs/>
          <w:color w:val="44546A" w:themeColor="text2"/>
          <w:sz w:val="22"/>
          <w:szCs w:val="22"/>
        </w:rPr>
        <w:fldChar w:fldCharType="end"/>
      </w:r>
      <w:r w:rsidRPr="00DD6E21">
        <w:rPr>
          <w:rFonts w:asciiTheme="majorHAnsi" w:hAnsiTheme="majorHAnsi" w:cstheme="majorHAnsi"/>
          <w:i/>
          <w:iCs/>
          <w:color w:val="44546A" w:themeColor="text2"/>
          <w:sz w:val="22"/>
          <w:szCs w:val="22"/>
        </w:rPr>
        <w:t>.</w:t>
      </w:r>
      <w:r w:rsidR="00D434EB">
        <w:rPr>
          <w:rFonts w:asciiTheme="majorHAnsi" w:hAnsiTheme="majorHAnsi" w:cstheme="majorHAnsi"/>
          <w:bCs/>
          <w:i/>
          <w:iCs/>
          <w:color w:val="44546A" w:themeColor="text2"/>
          <w:sz w:val="22"/>
          <w:szCs w:val="22"/>
        </w:rPr>
        <w:t xml:space="preserve"> </w:t>
      </w:r>
      <w:r w:rsidRPr="00DD6E21">
        <w:rPr>
          <w:rFonts w:asciiTheme="majorHAnsi" w:hAnsiTheme="majorHAnsi" w:cstheme="majorHAnsi"/>
          <w:bCs/>
          <w:i/>
          <w:iCs/>
          <w:color w:val="44546A" w:themeColor="text2"/>
          <w:sz w:val="22"/>
          <w:szCs w:val="22"/>
        </w:rPr>
        <w:t xml:space="preserve">Principals’ and Teachers’ Perceptions on </w:t>
      </w:r>
      <w:r w:rsidRPr="00DD6E21">
        <w:rPr>
          <w:rFonts w:asciiTheme="majorHAnsi" w:hAnsiTheme="majorHAnsi" w:cstheme="majorHAnsi"/>
          <w:i/>
          <w:iCs/>
          <w:color w:val="44546A" w:themeColor="text2"/>
          <w:sz w:val="22"/>
          <w:szCs w:val="22"/>
        </w:rPr>
        <w:t>the Learning Action Cell Toolkit</w:t>
      </w:r>
      <w:bookmarkEnd w:id="91"/>
    </w:p>
    <w:tbl>
      <w:tblPr>
        <w:tblStyle w:val="TableGrid"/>
        <w:tblW w:w="0" w:type="auto"/>
        <w:tblLook w:val="04A0" w:firstRow="1" w:lastRow="0" w:firstColumn="1" w:lastColumn="0" w:noHBand="0" w:noVBand="1"/>
      </w:tblPr>
      <w:tblGrid>
        <w:gridCol w:w="1696"/>
        <w:gridCol w:w="1114"/>
        <w:gridCol w:w="1725"/>
        <w:gridCol w:w="1152"/>
        <w:gridCol w:w="856"/>
        <w:gridCol w:w="1284"/>
        <w:gridCol w:w="1183"/>
      </w:tblGrid>
      <w:tr w:rsidR="00984A9E" w:rsidRPr="00020D54" w14:paraId="203C5A4C" w14:textId="77777777" w:rsidTr="00F4751F">
        <w:trPr>
          <w:trHeight w:val="268"/>
          <w:tblHeader/>
        </w:trPr>
        <w:tc>
          <w:tcPr>
            <w:tcW w:w="1696" w:type="dxa"/>
          </w:tcPr>
          <w:p w14:paraId="1D692EAF" w14:textId="0C74F81E" w:rsidR="00984A9E" w:rsidRPr="00020D54" w:rsidRDefault="00EF19F0" w:rsidP="000479A3">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br/>
            </w:r>
          </w:p>
        </w:tc>
        <w:tc>
          <w:tcPr>
            <w:tcW w:w="1114" w:type="dxa"/>
          </w:tcPr>
          <w:p w14:paraId="6730AD9D" w14:textId="77777777" w:rsidR="00984A9E" w:rsidRPr="00020D54" w:rsidRDefault="00984A9E" w:rsidP="000479A3">
            <w:pPr>
              <w:spacing w:before="100" w:beforeAutospacing="1" w:after="100" w:afterAutospacing="1" w:line="360" w:lineRule="auto"/>
              <w:rPr>
                <w:rFonts w:asciiTheme="majorHAnsi" w:hAnsiTheme="majorHAnsi" w:cstheme="majorHAnsi"/>
                <w:b/>
                <w:bCs/>
                <w:color w:val="000000" w:themeColor="text1"/>
                <w:sz w:val="18"/>
                <w:szCs w:val="18"/>
              </w:rPr>
            </w:pPr>
            <w:r w:rsidRPr="00020D54">
              <w:rPr>
                <w:rFonts w:asciiTheme="majorHAnsi" w:hAnsiTheme="majorHAnsi" w:cstheme="majorHAnsi"/>
                <w:b/>
                <w:bCs/>
                <w:color w:val="000000" w:themeColor="text1"/>
                <w:sz w:val="18"/>
                <w:szCs w:val="18"/>
              </w:rPr>
              <w:t>% Sufficient knowledge</w:t>
            </w:r>
          </w:p>
        </w:tc>
        <w:tc>
          <w:tcPr>
            <w:tcW w:w="1725" w:type="dxa"/>
          </w:tcPr>
          <w:p w14:paraId="51814929" w14:textId="77777777" w:rsidR="00984A9E" w:rsidRPr="00020D54" w:rsidRDefault="00984A9E" w:rsidP="000479A3">
            <w:pPr>
              <w:spacing w:before="100" w:beforeAutospacing="1" w:after="100" w:afterAutospacing="1" w:line="360" w:lineRule="auto"/>
              <w:rPr>
                <w:rFonts w:asciiTheme="majorHAnsi" w:hAnsiTheme="majorHAnsi" w:cstheme="majorHAnsi"/>
                <w:b/>
                <w:bCs/>
                <w:color w:val="000000" w:themeColor="text1"/>
                <w:sz w:val="18"/>
                <w:szCs w:val="18"/>
              </w:rPr>
            </w:pPr>
            <w:r w:rsidRPr="00020D54">
              <w:rPr>
                <w:rFonts w:asciiTheme="majorHAnsi" w:hAnsiTheme="majorHAnsi" w:cstheme="majorHAnsi"/>
                <w:b/>
                <w:bCs/>
                <w:color w:val="000000" w:themeColor="text1"/>
                <w:sz w:val="18"/>
                <w:szCs w:val="18"/>
              </w:rPr>
              <w:t>% Comprehensive knowledge</w:t>
            </w:r>
          </w:p>
        </w:tc>
        <w:tc>
          <w:tcPr>
            <w:tcW w:w="1152" w:type="dxa"/>
          </w:tcPr>
          <w:p w14:paraId="67E07DAA" w14:textId="77777777" w:rsidR="00984A9E" w:rsidRPr="00020D54" w:rsidRDefault="00984A9E" w:rsidP="000479A3">
            <w:pPr>
              <w:spacing w:before="100" w:beforeAutospacing="1" w:after="100" w:afterAutospacing="1" w:line="360" w:lineRule="auto"/>
              <w:rPr>
                <w:rFonts w:asciiTheme="majorHAnsi" w:hAnsiTheme="majorHAnsi" w:cstheme="majorHAnsi"/>
                <w:b/>
                <w:bCs/>
                <w:color w:val="000000" w:themeColor="text1"/>
                <w:sz w:val="18"/>
                <w:szCs w:val="18"/>
              </w:rPr>
            </w:pPr>
            <w:r w:rsidRPr="00020D54">
              <w:rPr>
                <w:rFonts w:asciiTheme="majorHAnsi" w:hAnsiTheme="majorHAnsi" w:cstheme="majorHAnsi"/>
                <w:b/>
                <w:bCs/>
                <w:color w:val="000000" w:themeColor="text1"/>
                <w:sz w:val="18"/>
                <w:szCs w:val="18"/>
              </w:rPr>
              <w:t>% Full access – Individual</w:t>
            </w:r>
          </w:p>
        </w:tc>
        <w:tc>
          <w:tcPr>
            <w:tcW w:w="856" w:type="dxa"/>
          </w:tcPr>
          <w:p w14:paraId="2A41BF72" w14:textId="77777777" w:rsidR="00984A9E" w:rsidRPr="00020D54" w:rsidRDefault="00984A9E" w:rsidP="000479A3">
            <w:pPr>
              <w:spacing w:before="100" w:beforeAutospacing="1" w:after="100" w:afterAutospacing="1" w:line="360" w:lineRule="auto"/>
              <w:rPr>
                <w:rFonts w:asciiTheme="majorHAnsi" w:hAnsiTheme="majorHAnsi" w:cstheme="majorHAnsi"/>
                <w:b/>
                <w:bCs/>
                <w:color w:val="000000" w:themeColor="text1"/>
                <w:sz w:val="18"/>
                <w:szCs w:val="18"/>
              </w:rPr>
            </w:pPr>
            <w:r w:rsidRPr="00020D54">
              <w:rPr>
                <w:rFonts w:asciiTheme="majorHAnsi" w:hAnsiTheme="majorHAnsi" w:cstheme="majorHAnsi"/>
                <w:b/>
                <w:bCs/>
                <w:color w:val="000000" w:themeColor="text1"/>
                <w:sz w:val="18"/>
                <w:szCs w:val="18"/>
              </w:rPr>
              <w:t>% Full access School</w:t>
            </w:r>
          </w:p>
        </w:tc>
        <w:tc>
          <w:tcPr>
            <w:tcW w:w="1284" w:type="dxa"/>
          </w:tcPr>
          <w:p w14:paraId="375A4657" w14:textId="77777777" w:rsidR="00984A9E" w:rsidRPr="00020D54" w:rsidRDefault="00984A9E" w:rsidP="000479A3">
            <w:pPr>
              <w:spacing w:before="100" w:beforeAutospacing="1" w:after="100" w:afterAutospacing="1" w:line="360" w:lineRule="auto"/>
              <w:rPr>
                <w:rFonts w:asciiTheme="majorHAnsi" w:hAnsiTheme="majorHAnsi" w:cstheme="majorHAnsi"/>
                <w:b/>
                <w:bCs/>
                <w:color w:val="000000" w:themeColor="text1"/>
                <w:sz w:val="18"/>
                <w:szCs w:val="18"/>
              </w:rPr>
            </w:pPr>
            <w:r w:rsidRPr="00020D54">
              <w:rPr>
                <w:rFonts w:asciiTheme="majorHAnsi" w:hAnsiTheme="majorHAnsi" w:cstheme="majorHAnsi"/>
                <w:b/>
                <w:bCs/>
                <w:color w:val="000000" w:themeColor="text1"/>
                <w:sz w:val="18"/>
                <w:szCs w:val="18"/>
              </w:rPr>
              <w:t>% Sufficiently useful</w:t>
            </w:r>
          </w:p>
        </w:tc>
        <w:tc>
          <w:tcPr>
            <w:tcW w:w="1183" w:type="dxa"/>
          </w:tcPr>
          <w:p w14:paraId="1D494DDA" w14:textId="77777777" w:rsidR="00984A9E" w:rsidRPr="00020D54" w:rsidRDefault="00984A9E" w:rsidP="000479A3">
            <w:pPr>
              <w:spacing w:before="100" w:beforeAutospacing="1" w:after="100" w:afterAutospacing="1" w:line="360" w:lineRule="auto"/>
              <w:rPr>
                <w:rFonts w:asciiTheme="majorHAnsi" w:hAnsiTheme="majorHAnsi" w:cstheme="majorHAnsi"/>
                <w:b/>
                <w:bCs/>
                <w:color w:val="000000" w:themeColor="text1"/>
                <w:sz w:val="18"/>
                <w:szCs w:val="18"/>
              </w:rPr>
            </w:pPr>
            <w:r w:rsidRPr="00020D54">
              <w:rPr>
                <w:rFonts w:asciiTheme="majorHAnsi" w:hAnsiTheme="majorHAnsi" w:cstheme="majorHAnsi"/>
                <w:b/>
                <w:bCs/>
                <w:color w:val="000000" w:themeColor="text1"/>
                <w:sz w:val="18"/>
                <w:szCs w:val="18"/>
              </w:rPr>
              <w:t>% Extremely useful</w:t>
            </w:r>
          </w:p>
        </w:tc>
      </w:tr>
      <w:tr w:rsidR="00193857" w:rsidRPr="00020D54" w14:paraId="41767285" w14:textId="77777777" w:rsidTr="0017212A">
        <w:trPr>
          <w:trHeight w:val="82"/>
        </w:trPr>
        <w:tc>
          <w:tcPr>
            <w:tcW w:w="1696" w:type="dxa"/>
          </w:tcPr>
          <w:p w14:paraId="4660CEA1" w14:textId="77777777" w:rsidR="00984A9E" w:rsidRPr="00020D54" w:rsidRDefault="00984A9E"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Main Study*</w:t>
            </w:r>
          </w:p>
        </w:tc>
        <w:tc>
          <w:tcPr>
            <w:tcW w:w="1114" w:type="dxa"/>
          </w:tcPr>
          <w:p w14:paraId="0AE3D919" w14:textId="77777777" w:rsidR="00984A9E" w:rsidRPr="00020D54" w:rsidRDefault="00984A9E" w:rsidP="000479A3">
            <w:pPr>
              <w:spacing w:before="100" w:beforeAutospacing="1" w:after="100" w:afterAutospacing="1" w:line="360" w:lineRule="auto"/>
              <w:rPr>
                <w:rFonts w:asciiTheme="majorHAnsi" w:hAnsiTheme="majorHAnsi" w:cstheme="majorHAnsi"/>
                <w:color w:val="000000" w:themeColor="text1"/>
                <w:sz w:val="18"/>
                <w:szCs w:val="18"/>
              </w:rPr>
            </w:pPr>
          </w:p>
        </w:tc>
        <w:tc>
          <w:tcPr>
            <w:tcW w:w="1725" w:type="dxa"/>
          </w:tcPr>
          <w:p w14:paraId="620C490E" w14:textId="77777777" w:rsidR="00984A9E" w:rsidRPr="00020D54" w:rsidRDefault="00984A9E" w:rsidP="000479A3">
            <w:pPr>
              <w:spacing w:before="100" w:beforeAutospacing="1" w:after="100" w:afterAutospacing="1" w:line="360" w:lineRule="auto"/>
              <w:rPr>
                <w:rFonts w:asciiTheme="majorHAnsi" w:hAnsiTheme="majorHAnsi" w:cstheme="majorHAnsi"/>
                <w:color w:val="000000" w:themeColor="text1"/>
                <w:sz w:val="18"/>
                <w:szCs w:val="18"/>
              </w:rPr>
            </w:pPr>
          </w:p>
        </w:tc>
        <w:tc>
          <w:tcPr>
            <w:tcW w:w="1152" w:type="dxa"/>
          </w:tcPr>
          <w:p w14:paraId="0C5B880A" w14:textId="77777777" w:rsidR="00984A9E" w:rsidRPr="00020D54" w:rsidRDefault="00984A9E" w:rsidP="000479A3">
            <w:pPr>
              <w:spacing w:before="100" w:beforeAutospacing="1" w:after="100" w:afterAutospacing="1" w:line="360" w:lineRule="auto"/>
              <w:rPr>
                <w:rFonts w:asciiTheme="majorHAnsi" w:hAnsiTheme="majorHAnsi" w:cstheme="majorHAnsi"/>
                <w:color w:val="000000" w:themeColor="text1"/>
                <w:sz w:val="18"/>
                <w:szCs w:val="18"/>
              </w:rPr>
            </w:pPr>
          </w:p>
        </w:tc>
        <w:tc>
          <w:tcPr>
            <w:tcW w:w="856" w:type="dxa"/>
          </w:tcPr>
          <w:p w14:paraId="2E7E94F7" w14:textId="77777777" w:rsidR="00984A9E" w:rsidRPr="00020D54" w:rsidRDefault="00984A9E" w:rsidP="000479A3">
            <w:pPr>
              <w:spacing w:before="100" w:beforeAutospacing="1" w:after="100" w:afterAutospacing="1" w:line="360" w:lineRule="auto"/>
              <w:rPr>
                <w:rFonts w:asciiTheme="majorHAnsi" w:hAnsiTheme="majorHAnsi" w:cstheme="majorHAnsi"/>
                <w:color w:val="000000" w:themeColor="text1"/>
                <w:sz w:val="18"/>
                <w:szCs w:val="18"/>
              </w:rPr>
            </w:pPr>
          </w:p>
        </w:tc>
        <w:tc>
          <w:tcPr>
            <w:tcW w:w="1284" w:type="dxa"/>
          </w:tcPr>
          <w:p w14:paraId="49259D73" w14:textId="77777777" w:rsidR="00984A9E" w:rsidRPr="00020D54" w:rsidRDefault="00984A9E" w:rsidP="000479A3">
            <w:pPr>
              <w:spacing w:before="100" w:beforeAutospacing="1" w:after="100" w:afterAutospacing="1" w:line="360" w:lineRule="auto"/>
              <w:rPr>
                <w:rFonts w:asciiTheme="majorHAnsi" w:hAnsiTheme="majorHAnsi" w:cstheme="majorHAnsi"/>
                <w:color w:val="000000" w:themeColor="text1"/>
                <w:sz w:val="18"/>
                <w:szCs w:val="18"/>
              </w:rPr>
            </w:pPr>
          </w:p>
        </w:tc>
        <w:tc>
          <w:tcPr>
            <w:tcW w:w="1183" w:type="dxa"/>
          </w:tcPr>
          <w:p w14:paraId="431616D3" w14:textId="77777777" w:rsidR="00984A9E" w:rsidRPr="00020D54" w:rsidRDefault="00984A9E" w:rsidP="000479A3">
            <w:pPr>
              <w:spacing w:before="100" w:beforeAutospacing="1" w:after="100" w:afterAutospacing="1" w:line="360" w:lineRule="auto"/>
              <w:rPr>
                <w:rFonts w:asciiTheme="majorHAnsi" w:hAnsiTheme="majorHAnsi" w:cstheme="majorHAnsi"/>
                <w:color w:val="000000" w:themeColor="text1"/>
                <w:sz w:val="18"/>
                <w:szCs w:val="18"/>
              </w:rPr>
            </w:pPr>
          </w:p>
        </w:tc>
      </w:tr>
      <w:tr w:rsidR="00984A9E" w:rsidRPr="00020D54" w14:paraId="761811D8" w14:textId="77777777" w:rsidTr="0017212A">
        <w:trPr>
          <w:trHeight w:val="39"/>
        </w:trPr>
        <w:tc>
          <w:tcPr>
            <w:tcW w:w="1696" w:type="dxa"/>
          </w:tcPr>
          <w:p w14:paraId="7814384C" w14:textId="77777777" w:rsidR="00984A9E" w:rsidRPr="00020D54" w:rsidRDefault="00984A9E"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PSHs (n=26)</w:t>
            </w:r>
          </w:p>
        </w:tc>
        <w:tc>
          <w:tcPr>
            <w:tcW w:w="1114" w:type="dxa"/>
          </w:tcPr>
          <w:p w14:paraId="3AC0AF99" w14:textId="77777777" w:rsidR="00984A9E" w:rsidRPr="00020D54" w:rsidRDefault="00984A9E"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31%</w:t>
            </w:r>
          </w:p>
        </w:tc>
        <w:tc>
          <w:tcPr>
            <w:tcW w:w="1725" w:type="dxa"/>
          </w:tcPr>
          <w:p w14:paraId="0D1D6151" w14:textId="77777777" w:rsidR="00984A9E" w:rsidRPr="00020D54" w:rsidRDefault="00984A9E"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42%</w:t>
            </w:r>
          </w:p>
        </w:tc>
        <w:tc>
          <w:tcPr>
            <w:tcW w:w="1152" w:type="dxa"/>
          </w:tcPr>
          <w:p w14:paraId="3B2B2702" w14:textId="77777777" w:rsidR="00984A9E" w:rsidRPr="00020D54" w:rsidRDefault="00F049BA"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31</w:t>
            </w:r>
            <w:r w:rsidR="00984A9E" w:rsidRPr="00020D54">
              <w:rPr>
                <w:rFonts w:asciiTheme="majorHAnsi" w:hAnsiTheme="majorHAnsi" w:cstheme="majorHAnsi"/>
                <w:color w:val="000000" w:themeColor="text1"/>
                <w:sz w:val="18"/>
                <w:szCs w:val="18"/>
              </w:rPr>
              <w:t>%</w:t>
            </w:r>
          </w:p>
        </w:tc>
        <w:tc>
          <w:tcPr>
            <w:tcW w:w="856" w:type="dxa"/>
          </w:tcPr>
          <w:p w14:paraId="0184559E" w14:textId="77777777" w:rsidR="00984A9E" w:rsidRPr="00020D54" w:rsidRDefault="00F049BA"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38</w:t>
            </w:r>
            <w:r w:rsidR="00984A9E" w:rsidRPr="00020D54">
              <w:rPr>
                <w:rFonts w:asciiTheme="majorHAnsi" w:hAnsiTheme="majorHAnsi" w:cstheme="majorHAnsi"/>
                <w:color w:val="000000" w:themeColor="text1"/>
                <w:sz w:val="18"/>
                <w:szCs w:val="18"/>
              </w:rPr>
              <w:t>%</w:t>
            </w:r>
          </w:p>
        </w:tc>
        <w:tc>
          <w:tcPr>
            <w:tcW w:w="1284" w:type="dxa"/>
          </w:tcPr>
          <w:p w14:paraId="4CD5325D" w14:textId="77777777" w:rsidR="00984A9E" w:rsidRPr="00020D54" w:rsidRDefault="00984A9E"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3</w:t>
            </w:r>
            <w:r w:rsidR="00F049BA" w:rsidRPr="00020D54">
              <w:rPr>
                <w:rFonts w:asciiTheme="majorHAnsi" w:hAnsiTheme="majorHAnsi" w:cstheme="majorHAnsi"/>
                <w:color w:val="000000" w:themeColor="text1"/>
                <w:sz w:val="18"/>
                <w:szCs w:val="18"/>
              </w:rPr>
              <w:t>1</w:t>
            </w:r>
            <w:r w:rsidRPr="00020D54">
              <w:rPr>
                <w:rFonts w:asciiTheme="majorHAnsi" w:hAnsiTheme="majorHAnsi" w:cstheme="majorHAnsi"/>
                <w:color w:val="000000" w:themeColor="text1"/>
                <w:sz w:val="18"/>
                <w:szCs w:val="18"/>
              </w:rPr>
              <w:t>%</w:t>
            </w:r>
          </w:p>
        </w:tc>
        <w:tc>
          <w:tcPr>
            <w:tcW w:w="1183" w:type="dxa"/>
          </w:tcPr>
          <w:p w14:paraId="29F9FAD2" w14:textId="77777777" w:rsidR="00984A9E" w:rsidRPr="00020D54" w:rsidRDefault="00F049BA"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58</w:t>
            </w:r>
            <w:r w:rsidR="00984A9E" w:rsidRPr="00020D54">
              <w:rPr>
                <w:rFonts w:asciiTheme="majorHAnsi" w:hAnsiTheme="majorHAnsi" w:cstheme="majorHAnsi"/>
                <w:color w:val="000000" w:themeColor="text1"/>
                <w:sz w:val="18"/>
                <w:szCs w:val="18"/>
              </w:rPr>
              <w:t>%</w:t>
            </w:r>
          </w:p>
        </w:tc>
      </w:tr>
      <w:tr w:rsidR="00984A9E" w:rsidRPr="00020D54" w14:paraId="5DCCCED1" w14:textId="77777777" w:rsidTr="0017212A">
        <w:trPr>
          <w:trHeight w:val="183"/>
        </w:trPr>
        <w:tc>
          <w:tcPr>
            <w:tcW w:w="1696" w:type="dxa"/>
          </w:tcPr>
          <w:p w14:paraId="14717738" w14:textId="77777777" w:rsidR="00984A9E" w:rsidRPr="00020D54" w:rsidRDefault="00984A9E"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Teachers (n=107)</w:t>
            </w:r>
          </w:p>
        </w:tc>
        <w:tc>
          <w:tcPr>
            <w:tcW w:w="1114" w:type="dxa"/>
          </w:tcPr>
          <w:p w14:paraId="5FF75A9C" w14:textId="77777777" w:rsidR="00984A9E" w:rsidRPr="00020D54" w:rsidRDefault="00F049BA"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55</w:t>
            </w:r>
            <w:r w:rsidR="00984A9E" w:rsidRPr="00020D54">
              <w:rPr>
                <w:rFonts w:asciiTheme="majorHAnsi" w:hAnsiTheme="majorHAnsi" w:cstheme="majorHAnsi"/>
                <w:color w:val="000000" w:themeColor="text1"/>
                <w:sz w:val="18"/>
                <w:szCs w:val="18"/>
              </w:rPr>
              <w:t>%</w:t>
            </w:r>
          </w:p>
        </w:tc>
        <w:tc>
          <w:tcPr>
            <w:tcW w:w="1725" w:type="dxa"/>
          </w:tcPr>
          <w:p w14:paraId="2F5C0683" w14:textId="77777777" w:rsidR="00984A9E" w:rsidRPr="00020D54" w:rsidRDefault="00F049BA"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12</w:t>
            </w:r>
            <w:r w:rsidR="00984A9E" w:rsidRPr="00020D54">
              <w:rPr>
                <w:rFonts w:asciiTheme="majorHAnsi" w:hAnsiTheme="majorHAnsi" w:cstheme="majorHAnsi"/>
                <w:color w:val="000000" w:themeColor="text1"/>
                <w:sz w:val="18"/>
                <w:szCs w:val="18"/>
              </w:rPr>
              <w:t>%</w:t>
            </w:r>
          </w:p>
        </w:tc>
        <w:tc>
          <w:tcPr>
            <w:tcW w:w="1152" w:type="dxa"/>
          </w:tcPr>
          <w:p w14:paraId="7872A262" w14:textId="77777777" w:rsidR="00984A9E" w:rsidRPr="00020D54" w:rsidRDefault="00F049BA"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39</w:t>
            </w:r>
            <w:r w:rsidR="00984A9E" w:rsidRPr="00020D54">
              <w:rPr>
                <w:rFonts w:asciiTheme="majorHAnsi" w:hAnsiTheme="majorHAnsi" w:cstheme="majorHAnsi"/>
                <w:color w:val="000000" w:themeColor="text1"/>
                <w:sz w:val="18"/>
                <w:szCs w:val="18"/>
              </w:rPr>
              <w:t>%</w:t>
            </w:r>
          </w:p>
        </w:tc>
        <w:tc>
          <w:tcPr>
            <w:tcW w:w="856" w:type="dxa"/>
          </w:tcPr>
          <w:p w14:paraId="60CC7ECA" w14:textId="77777777" w:rsidR="00984A9E" w:rsidRPr="00020D54" w:rsidRDefault="00F049BA"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20</w:t>
            </w:r>
            <w:r w:rsidR="00984A9E" w:rsidRPr="00020D54">
              <w:rPr>
                <w:rFonts w:asciiTheme="majorHAnsi" w:hAnsiTheme="majorHAnsi" w:cstheme="majorHAnsi"/>
                <w:color w:val="000000" w:themeColor="text1"/>
                <w:sz w:val="18"/>
                <w:szCs w:val="18"/>
              </w:rPr>
              <w:t>%</w:t>
            </w:r>
          </w:p>
        </w:tc>
        <w:tc>
          <w:tcPr>
            <w:tcW w:w="1284" w:type="dxa"/>
          </w:tcPr>
          <w:p w14:paraId="2028E885" w14:textId="77777777" w:rsidR="00984A9E" w:rsidRPr="00020D54" w:rsidRDefault="00F049BA"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40</w:t>
            </w:r>
            <w:r w:rsidR="00984A9E" w:rsidRPr="00020D54">
              <w:rPr>
                <w:rFonts w:asciiTheme="majorHAnsi" w:hAnsiTheme="majorHAnsi" w:cstheme="majorHAnsi"/>
                <w:color w:val="000000" w:themeColor="text1"/>
                <w:sz w:val="18"/>
                <w:szCs w:val="18"/>
              </w:rPr>
              <w:t>%</w:t>
            </w:r>
          </w:p>
        </w:tc>
        <w:tc>
          <w:tcPr>
            <w:tcW w:w="1183" w:type="dxa"/>
          </w:tcPr>
          <w:p w14:paraId="5C6D07B0" w14:textId="77777777" w:rsidR="00984A9E" w:rsidRPr="00020D54" w:rsidRDefault="00F049BA"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21</w:t>
            </w:r>
            <w:r w:rsidR="00984A9E" w:rsidRPr="00020D54">
              <w:rPr>
                <w:rFonts w:asciiTheme="majorHAnsi" w:hAnsiTheme="majorHAnsi" w:cstheme="majorHAnsi"/>
                <w:color w:val="000000" w:themeColor="text1"/>
                <w:sz w:val="18"/>
                <w:szCs w:val="18"/>
              </w:rPr>
              <w:t>%</w:t>
            </w:r>
          </w:p>
        </w:tc>
      </w:tr>
      <w:tr w:rsidR="00193857" w:rsidRPr="00020D54" w14:paraId="74A9B6A2" w14:textId="77777777" w:rsidTr="0017212A">
        <w:trPr>
          <w:trHeight w:val="167"/>
        </w:trPr>
        <w:tc>
          <w:tcPr>
            <w:tcW w:w="1696" w:type="dxa"/>
          </w:tcPr>
          <w:p w14:paraId="152706A3" w14:textId="77777777" w:rsidR="00984A9E" w:rsidRPr="00020D54" w:rsidRDefault="00984A9E"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Follow-Up Study **</w:t>
            </w:r>
          </w:p>
        </w:tc>
        <w:tc>
          <w:tcPr>
            <w:tcW w:w="1114" w:type="dxa"/>
          </w:tcPr>
          <w:p w14:paraId="15366579" w14:textId="77777777" w:rsidR="00984A9E" w:rsidRPr="00020D54" w:rsidRDefault="00984A9E" w:rsidP="000479A3">
            <w:pPr>
              <w:spacing w:before="100" w:beforeAutospacing="1" w:after="100" w:afterAutospacing="1" w:line="360" w:lineRule="auto"/>
              <w:rPr>
                <w:rFonts w:asciiTheme="majorHAnsi" w:hAnsiTheme="majorHAnsi" w:cstheme="majorHAnsi"/>
                <w:color w:val="000000" w:themeColor="text1"/>
                <w:sz w:val="18"/>
                <w:szCs w:val="18"/>
              </w:rPr>
            </w:pPr>
          </w:p>
        </w:tc>
        <w:tc>
          <w:tcPr>
            <w:tcW w:w="1725" w:type="dxa"/>
          </w:tcPr>
          <w:p w14:paraId="62DF86A8" w14:textId="77777777" w:rsidR="00984A9E" w:rsidRPr="00020D54" w:rsidRDefault="00984A9E" w:rsidP="000479A3">
            <w:pPr>
              <w:spacing w:before="100" w:beforeAutospacing="1" w:after="100" w:afterAutospacing="1" w:line="360" w:lineRule="auto"/>
              <w:rPr>
                <w:rFonts w:asciiTheme="majorHAnsi" w:hAnsiTheme="majorHAnsi" w:cstheme="majorHAnsi"/>
                <w:color w:val="000000" w:themeColor="text1"/>
                <w:sz w:val="18"/>
                <w:szCs w:val="18"/>
              </w:rPr>
            </w:pPr>
          </w:p>
        </w:tc>
        <w:tc>
          <w:tcPr>
            <w:tcW w:w="1152" w:type="dxa"/>
          </w:tcPr>
          <w:p w14:paraId="343DC19C" w14:textId="77777777" w:rsidR="00984A9E" w:rsidRPr="00020D54" w:rsidRDefault="00984A9E" w:rsidP="000479A3">
            <w:pPr>
              <w:spacing w:before="100" w:beforeAutospacing="1" w:after="100" w:afterAutospacing="1" w:line="360" w:lineRule="auto"/>
              <w:rPr>
                <w:rFonts w:asciiTheme="majorHAnsi" w:hAnsiTheme="majorHAnsi" w:cstheme="majorHAnsi"/>
                <w:color w:val="000000" w:themeColor="text1"/>
                <w:sz w:val="18"/>
                <w:szCs w:val="18"/>
              </w:rPr>
            </w:pPr>
          </w:p>
        </w:tc>
        <w:tc>
          <w:tcPr>
            <w:tcW w:w="856" w:type="dxa"/>
          </w:tcPr>
          <w:p w14:paraId="40394AB3" w14:textId="77777777" w:rsidR="00984A9E" w:rsidRPr="00020D54" w:rsidRDefault="00984A9E" w:rsidP="000479A3">
            <w:pPr>
              <w:spacing w:before="100" w:beforeAutospacing="1" w:after="100" w:afterAutospacing="1" w:line="360" w:lineRule="auto"/>
              <w:rPr>
                <w:rFonts w:asciiTheme="majorHAnsi" w:hAnsiTheme="majorHAnsi" w:cstheme="majorHAnsi"/>
                <w:color w:val="000000" w:themeColor="text1"/>
                <w:sz w:val="18"/>
                <w:szCs w:val="18"/>
              </w:rPr>
            </w:pPr>
          </w:p>
        </w:tc>
        <w:tc>
          <w:tcPr>
            <w:tcW w:w="1284" w:type="dxa"/>
          </w:tcPr>
          <w:p w14:paraId="70F38460" w14:textId="77777777" w:rsidR="00984A9E" w:rsidRPr="00020D54" w:rsidRDefault="00984A9E" w:rsidP="000479A3">
            <w:pPr>
              <w:spacing w:before="100" w:beforeAutospacing="1" w:after="100" w:afterAutospacing="1" w:line="360" w:lineRule="auto"/>
              <w:rPr>
                <w:rFonts w:asciiTheme="majorHAnsi" w:hAnsiTheme="majorHAnsi" w:cstheme="majorHAnsi"/>
                <w:color w:val="000000" w:themeColor="text1"/>
                <w:sz w:val="18"/>
                <w:szCs w:val="18"/>
              </w:rPr>
            </w:pPr>
          </w:p>
        </w:tc>
        <w:tc>
          <w:tcPr>
            <w:tcW w:w="1183" w:type="dxa"/>
          </w:tcPr>
          <w:p w14:paraId="492A3E6D" w14:textId="77777777" w:rsidR="00984A9E" w:rsidRPr="00020D54" w:rsidRDefault="00984A9E" w:rsidP="000479A3">
            <w:pPr>
              <w:spacing w:before="100" w:beforeAutospacing="1" w:after="100" w:afterAutospacing="1" w:line="360" w:lineRule="auto"/>
              <w:rPr>
                <w:rFonts w:asciiTheme="majorHAnsi" w:hAnsiTheme="majorHAnsi" w:cstheme="majorHAnsi"/>
                <w:color w:val="000000" w:themeColor="text1"/>
                <w:sz w:val="18"/>
                <w:szCs w:val="18"/>
              </w:rPr>
            </w:pPr>
          </w:p>
        </w:tc>
      </w:tr>
      <w:tr w:rsidR="00984A9E" w:rsidRPr="00020D54" w14:paraId="1DC43CF0" w14:textId="77777777" w:rsidTr="0017212A">
        <w:trPr>
          <w:trHeight w:val="68"/>
        </w:trPr>
        <w:tc>
          <w:tcPr>
            <w:tcW w:w="1696" w:type="dxa"/>
          </w:tcPr>
          <w:p w14:paraId="2DD0594B" w14:textId="77777777" w:rsidR="00984A9E" w:rsidRPr="00020D54" w:rsidRDefault="00984A9E"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PSHs (n=11)</w:t>
            </w:r>
          </w:p>
        </w:tc>
        <w:tc>
          <w:tcPr>
            <w:tcW w:w="1114" w:type="dxa"/>
          </w:tcPr>
          <w:p w14:paraId="2CFE5037" w14:textId="77777777" w:rsidR="00984A9E" w:rsidRPr="00020D54" w:rsidRDefault="00F049BA"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42</w:t>
            </w:r>
            <w:r w:rsidR="00984A9E" w:rsidRPr="00020D54">
              <w:rPr>
                <w:rFonts w:asciiTheme="majorHAnsi" w:hAnsiTheme="majorHAnsi" w:cstheme="majorHAnsi"/>
                <w:color w:val="000000" w:themeColor="text1"/>
                <w:sz w:val="18"/>
                <w:szCs w:val="18"/>
              </w:rPr>
              <w:t>%</w:t>
            </w:r>
          </w:p>
        </w:tc>
        <w:tc>
          <w:tcPr>
            <w:tcW w:w="1725" w:type="dxa"/>
          </w:tcPr>
          <w:p w14:paraId="335809C6" w14:textId="77777777" w:rsidR="00984A9E" w:rsidRPr="00020D54" w:rsidRDefault="00F049BA"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33</w:t>
            </w:r>
            <w:r w:rsidR="00984A9E" w:rsidRPr="00020D54">
              <w:rPr>
                <w:rFonts w:asciiTheme="majorHAnsi" w:hAnsiTheme="majorHAnsi" w:cstheme="majorHAnsi"/>
                <w:color w:val="000000" w:themeColor="text1"/>
                <w:sz w:val="18"/>
                <w:szCs w:val="18"/>
              </w:rPr>
              <w:t>%</w:t>
            </w:r>
          </w:p>
        </w:tc>
        <w:tc>
          <w:tcPr>
            <w:tcW w:w="1152" w:type="dxa"/>
          </w:tcPr>
          <w:p w14:paraId="537BC8D2" w14:textId="77777777" w:rsidR="00984A9E" w:rsidRPr="00020D54" w:rsidRDefault="00F049BA"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33</w:t>
            </w:r>
            <w:r w:rsidR="00984A9E" w:rsidRPr="00020D54">
              <w:rPr>
                <w:rFonts w:asciiTheme="majorHAnsi" w:hAnsiTheme="majorHAnsi" w:cstheme="majorHAnsi"/>
                <w:color w:val="000000" w:themeColor="text1"/>
                <w:sz w:val="18"/>
                <w:szCs w:val="18"/>
              </w:rPr>
              <w:t>%</w:t>
            </w:r>
          </w:p>
        </w:tc>
        <w:tc>
          <w:tcPr>
            <w:tcW w:w="856" w:type="dxa"/>
          </w:tcPr>
          <w:p w14:paraId="4ED3FC9A" w14:textId="77777777" w:rsidR="00984A9E" w:rsidRPr="00020D54" w:rsidRDefault="00F049BA"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33</w:t>
            </w:r>
            <w:r w:rsidR="00984A9E" w:rsidRPr="00020D54">
              <w:rPr>
                <w:rFonts w:asciiTheme="majorHAnsi" w:hAnsiTheme="majorHAnsi" w:cstheme="majorHAnsi"/>
                <w:color w:val="000000" w:themeColor="text1"/>
                <w:sz w:val="18"/>
                <w:szCs w:val="18"/>
              </w:rPr>
              <w:t>%</w:t>
            </w:r>
          </w:p>
        </w:tc>
        <w:tc>
          <w:tcPr>
            <w:tcW w:w="1284" w:type="dxa"/>
          </w:tcPr>
          <w:p w14:paraId="358E7165" w14:textId="77777777" w:rsidR="00984A9E" w:rsidRPr="00020D54" w:rsidRDefault="00F049BA"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33</w:t>
            </w:r>
            <w:r w:rsidR="00984A9E" w:rsidRPr="00020D54">
              <w:rPr>
                <w:rFonts w:asciiTheme="majorHAnsi" w:hAnsiTheme="majorHAnsi" w:cstheme="majorHAnsi"/>
                <w:color w:val="000000" w:themeColor="text1"/>
                <w:sz w:val="18"/>
                <w:szCs w:val="18"/>
              </w:rPr>
              <w:t>%</w:t>
            </w:r>
          </w:p>
        </w:tc>
        <w:tc>
          <w:tcPr>
            <w:tcW w:w="1183" w:type="dxa"/>
          </w:tcPr>
          <w:p w14:paraId="34A0F42D" w14:textId="77777777" w:rsidR="00984A9E" w:rsidRPr="00020D54" w:rsidRDefault="00F049BA"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33</w:t>
            </w:r>
            <w:r w:rsidR="00984A9E" w:rsidRPr="00020D54">
              <w:rPr>
                <w:rFonts w:asciiTheme="majorHAnsi" w:hAnsiTheme="majorHAnsi" w:cstheme="majorHAnsi"/>
                <w:color w:val="000000" w:themeColor="text1"/>
                <w:sz w:val="18"/>
                <w:szCs w:val="18"/>
              </w:rPr>
              <w:t>%</w:t>
            </w:r>
          </w:p>
        </w:tc>
      </w:tr>
      <w:tr w:rsidR="00984A9E" w:rsidRPr="00020D54" w14:paraId="6990F875" w14:textId="77777777" w:rsidTr="0017212A">
        <w:trPr>
          <w:trHeight w:val="39"/>
        </w:trPr>
        <w:tc>
          <w:tcPr>
            <w:tcW w:w="1696" w:type="dxa"/>
          </w:tcPr>
          <w:p w14:paraId="0C628DD2" w14:textId="77777777" w:rsidR="00984A9E" w:rsidRPr="00020D54" w:rsidRDefault="00984A9E"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Teachers (n=61)</w:t>
            </w:r>
          </w:p>
        </w:tc>
        <w:tc>
          <w:tcPr>
            <w:tcW w:w="1114" w:type="dxa"/>
          </w:tcPr>
          <w:p w14:paraId="3BE76178" w14:textId="77777777" w:rsidR="00984A9E" w:rsidRPr="00020D54" w:rsidRDefault="00F049BA"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49</w:t>
            </w:r>
            <w:r w:rsidR="00984A9E" w:rsidRPr="00020D54">
              <w:rPr>
                <w:rFonts w:asciiTheme="majorHAnsi" w:hAnsiTheme="majorHAnsi" w:cstheme="majorHAnsi"/>
                <w:color w:val="000000" w:themeColor="text1"/>
                <w:sz w:val="18"/>
                <w:szCs w:val="18"/>
              </w:rPr>
              <w:t>%</w:t>
            </w:r>
          </w:p>
        </w:tc>
        <w:tc>
          <w:tcPr>
            <w:tcW w:w="1725" w:type="dxa"/>
          </w:tcPr>
          <w:p w14:paraId="36930A91" w14:textId="77777777" w:rsidR="00984A9E" w:rsidRPr="00020D54" w:rsidRDefault="00F049BA"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20</w:t>
            </w:r>
            <w:r w:rsidR="00984A9E" w:rsidRPr="00020D54">
              <w:rPr>
                <w:rFonts w:asciiTheme="majorHAnsi" w:hAnsiTheme="majorHAnsi" w:cstheme="majorHAnsi"/>
                <w:color w:val="000000" w:themeColor="text1"/>
                <w:sz w:val="18"/>
                <w:szCs w:val="18"/>
              </w:rPr>
              <w:t>%</w:t>
            </w:r>
          </w:p>
        </w:tc>
        <w:tc>
          <w:tcPr>
            <w:tcW w:w="1152" w:type="dxa"/>
          </w:tcPr>
          <w:p w14:paraId="42092B93" w14:textId="77777777" w:rsidR="00984A9E" w:rsidRPr="00020D54" w:rsidRDefault="00F049BA"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33</w:t>
            </w:r>
            <w:r w:rsidR="00984A9E" w:rsidRPr="00020D54">
              <w:rPr>
                <w:rFonts w:asciiTheme="majorHAnsi" w:hAnsiTheme="majorHAnsi" w:cstheme="majorHAnsi"/>
                <w:color w:val="000000" w:themeColor="text1"/>
                <w:sz w:val="18"/>
                <w:szCs w:val="18"/>
              </w:rPr>
              <w:t>%</w:t>
            </w:r>
          </w:p>
        </w:tc>
        <w:tc>
          <w:tcPr>
            <w:tcW w:w="856" w:type="dxa"/>
          </w:tcPr>
          <w:p w14:paraId="74D98A81" w14:textId="77777777" w:rsidR="00984A9E" w:rsidRPr="00020D54" w:rsidRDefault="00F049BA"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18</w:t>
            </w:r>
            <w:r w:rsidR="00984A9E" w:rsidRPr="00020D54">
              <w:rPr>
                <w:rFonts w:asciiTheme="majorHAnsi" w:hAnsiTheme="majorHAnsi" w:cstheme="majorHAnsi"/>
                <w:color w:val="000000" w:themeColor="text1"/>
                <w:sz w:val="18"/>
                <w:szCs w:val="18"/>
              </w:rPr>
              <w:t>%</w:t>
            </w:r>
          </w:p>
        </w:tc>
        <w:tc>
          <w:tcPr>
            <w:tcW w:w="1284" w:type="dxa"/>
          </w:tcPr>
          <w:p w14:paraId="58A36A7A" w14:textId="77777777" w:rsidR="00984A9E" w:rsidRPr="00020D54" w:rsidRDefault="00F049BA"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31</w:t>
            </w:r>
            <w:r w:rsidR="00984A9E" w:rsidRPr="00020D54">
              <w:rPr>
                <w:rFonts w:asciiTheme="majorHAnsi" w:hAnsiTheme="majorHAnsi" w:cstheme="majorHAnsi"/>
                <w:color w:val="000000" w:themeColor="text1"/>
                <w:sz w:val="18"/>
                <w:szCs w:val="18"/>
              </w:rPr>
              <w:t>%</w:t>
            </w:r>
          </w:p>
        </w:tc>
        <w:tc>
          <w:tcPr>
            <w:tcW w:w="1183" w:type="dxa"/>
          </w:tcPr>
          <w:p w14:paraId="1038AEA7" w14:textId="77777777" w:rsidR="00984A9E" w:rsidRPr="00020D54" w:rsidRDefault="00F049BA"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21</w:t>
            </w:r>
            <w:r w:rsidR="00984A9E" w:rsidRPr="00020D54">
              <w:rPr>
                <w:rFonts w:asciiTheme="majorHAnsi" w:hAnsiTheme="majorHAnsi" w:cstheme="majorHAnsi"/>
                <w:color w:val="000000" w:themeColor="text1"/>
                <w:sz w:val="18"/>
                <w:szCs w:val="18"/>
              </w:rPr>
              <w:t>%</w:t>
            </w:r>
          </w:p>
        </w:tc>
      </w:tr>
    </w:tbl>
    <w:p w14:paraId="6F0F54C9" w14:textId="38C31240" w:rsidR="008D0CAD" w:rsidRPr="007C1A2E" w:rsidRDefault="00F049BA" w:rsidP="007C1A2E">
      <w:pPr>
        <w:spacing w:before="100" w:beforeAutospacing="1" w:after="100" w:afterAutospacing="1" w:line="360" w:lineRule="auto"/>
        <w:ind w:left="851" w:right="89" w:hanging="850"/>
        <w:rPr>
          <w:rFonts w:asciiTheme="majorHAnsi" w:hAnsiTheme="majorHAnsi" w:cstheme="majorHAnsi"/>
          <w:sz w:val="14"/>
          <w:szCs w:val="14"/>
        </w:rPr>
      </w:pPr>
      <w:r w:rsidRPr="00193857">
        <w:rPr>
          <w:rFonts w:asciiTheme="majorHAnsi" w:hAnsiTheme="majorHAnsi" w:cstheme="majorHAnsi"/>
          <w:sz w:val="14"/>
          <w:szCs w:val="14"/>
        </w:rPr>
        <w:t>*2019 KAU Survey **2020 KAU Survey</w:t>
      </w:r>
    </w:p>
    <w:p w14:paraId="3A349AD5" w14:textId="778FE91E" w:rsidR="008D0CAD" w:rsidRDefault="008D0CAD" w:rsidP="000479A3">
      <w:pPr>
        <w:spacing w:before="100" w:beforeAutospacing="1" w:after="100" w:afterAutospacing="1" w:line="360" w:lineRule="auto"/>
        <w:rPr>
          <w:rFonts w:asciiTheme="majorHAnsi" w:hAnsiTheme="majorHAnsi" w:cstheme="majorHAnsi"/>
          <w:lang w:val="en-GB"/>
        </w:rPr>
      </w:pPr>
      <w:r w:rsidRPr="00606527">
        <w:rPr>
          <w:rFonts w:asciiTheme="majorHAnsi" w:hAnsiTheme="majorHAnsi" w:cstheme="majorHAnsi"/>
          <w:lang w:val="en-GB"/>
        </w:rPr>
        <w:t xml:space="preserve">While </w:t>
      </w:r>
      <w:r>
        <w:rPr>
          <w:rFonts w:asciiTheme="majorHAnsi" w:hAnsiTheme="majorHAnsi" w:cstheme="majorHAnsi"/>
          <w:lang w:val="en-GB"/>
        </w:rPr>
        <w:t xml:space="preserve">LAC sessions were considered </w:t>
      </w:r>
      <w:r w:rsidRPr="00606527">
        <w:rPr>
          <w:rFonts w:asciiTheme="majorHAnsi" w:hAnsiTheme="majorHAnsi" w:cstheme="majorHAnsi"/>
          <w:lang w:val="en-GB"/>
        </w:rPr>
        <w:t>helpful across all regions, respondent</w:t>
      </w:r>
      <w:r>
        <w:rPr>
          <w:rFonts w:asciiTheme="majorHAnsi" w:hAnsiTheme="majorHAnsi" w:cstheme="majorHAnsi"/>
          <w:lang w:val="en-GB"/>
        </w:rPr>
        <w:t xml:space="preserve"> teacher</w:t>
      </w:r>
      <w:r w:rsidRPr="00606527">
        <w:rPr>
          <w:rFonts w:asciiTheme="majorHAnsi" w:hAnsiTheme="majorHAnsi" w:cstheme="majorHAnsi"/>
          <w:lang w:val="en-GB"/>
        </w:rPr>
        <w:t>s lamented the amount of time they spen</w:t>
      </w:r>
      <w:r>
        <w:rPr>
          <w:rFonts w:asciiTheme="majorHAnsi" w:hAnsiTheme="majorHAnsi" w:cstheme="majorHAnsi"/>
          <w:lang w:val="en-GB"/>
        </w:rPr>
        <w:t>t</w:t>
      </w:r>
      <w:r w:rsidRPr="00606527">
        <w:rPr>
          <w:rFonts w:asciiTheme="majorHAnsi" w:hAnsiTheme="majorHAnsi" w:cstheme="majorHAnsi"/>
          <w:lang w:val="en-GB"/>
        </w:rPr>
        <w:t xml:space="preserve"> in LAC sessions</w:t>
      </w:r>
      <w:r>
        <w:rPr>
          <w:rFonts w:asciiTheme="majorHAnsi" w:hAnsiTheme="majorHAnsi" w:cstheme="majorHAnsi"/>
          <w:lang w:val="en-GB"/>
        </w:rPr>
        <w:t>, especially during the initial implementation</w:t>
      </w:r>
      <w:r w:rsidRPr="00606527">
        <w:rPr>
          <w:rFonts w:asciiTheme="majorHAnsi" w:hAnsiTheme="majorHAnsi" w:cstheme="majorHAnsi"/>
          <w:lang w:val="en-GB"/>
        </w:rPr>
        <w:t xml:space="preserve">. </w:t>
      </w:r>
      <w:r>
        <w:rPr>
          <w:rFonts w:asciiTheme="majorHAnsi" w:hAnsiTheme="majorHAnsi" w:cstheme="majorHAnsi"/>
          <w:lang w:val="en-GB"/>
        </w:rPr>
        <w:t>The main contention was</w:t>
      </w:r>
      <w:r w:rsidRPr="00606527">
        <w:rPr>
          <w:rFonts w:asciiTheme="majorHAnsi" w:hAnsiTheme="majorHAnsi" w:cstheme="majorHAnsi"/>
          <w:lang w:val="en-GB"/>
        </w:rPr>
        <w:t xml:space="preserve"> that LAC sessions </w:t>
      </w:r>
      <w:r>
        <w:rPr>
          <w:rFonts w:asciiTheme="majorHAnsi" w:hAnsiTheme="majorHAnsi" w:cstheme="majorHAnsi"/>
          <w:lang w:val="en-GB"/>
        </w:rPr>
        <w:t>reduced</w:t>
      </w:r>
      <w:r w:rsidRPr="00606527">
        <w:rPr>
          <w:rFonts w:asciiTheme="majorHAnsi" w:hAnsiTheme="majorHAnsi" w:cstheme="majorHAnsi"/>
          <w:lang w:val="en-GB"/>
        </w:rPr>
        <w:t xml:space="preserve"> classroom time </w:t>
      </w:r>
      <w:r>
        <w:rPr>
          <w:rFonts w:asciiTheme="majorHAnsi" w:hAnsiTheme="majorHAnsi" w:cstheme="majorHAnsi"/>
          <w:lang w:val="en-GB"/>
        </w:rPr>
        <w:t>or time spent with</w:t>
      </w:r>
      <w:r w:rsidRPr="00606527">
        <w:rPr>
          <w:rFonts w:asciiTheme="majorHAnsi" w:hAnsiTheme="majorHAnsi" w:cstheme="majorHAnsi"/>
          <w:lang w:val="en-GB"/>
        </w:rPr>
        <w:t xml:space="preserve"> their families</w:t>
      </w:r>
      <w:r>
        <w:rPr>
          <w:rFonts w:asciiTheme="majorHAnsi" w:hAnsiTheme="majorHAnsi" w:cstheme="majorHAnsi"/>
          <w:lang w:val="en-GB"/>
        </w:rPr>
        <w:t xml:space="preserve"> (as some LAC sessions were held on Saturdays)</w:t>
      </w:r>
      <w:r w:rsidRPr="00606527">
        <w:rPr>
          <w:rFonts w:asciiTheme="majorHAnsi" w:hAnsiTheme="majorHAnsi" w:cstheme="majorHAnsi"/>
          <w:lang w:val="en-GB"/>
        </w:rPr>
        <w:t>.</w:t>
      </w:r>
      <w:r>
        <w:rPr>
          <w:rFonts w:asciiTheme="majorHAnsi" w:hAnsiTheme="majorHAnsi" w:cstheme="majorHAnsi"/>
          <w:lang w:val="en-GB"/>
        </w:rPr>
        <w:t xml:space="preserve"> In the policy, LAC session were supposed to be held once a month.</w:t>
      </w:r>
      <w:r w:rsidR="00D434EB">
        <w:rPr>
          <w:rFonts w:asciiTheme="majorHAnsi" w:hAnsiTheme="majorHAnsi" w:cstheme="majorHAnsi"/>
          <w:lang w:val="en-GB"/>
        </w:rPr>
        <w:t xml:space="preserve"> </w:t>
      </w:r>
      <w:r>
        <w:rPr>
          <w:rFonts w:asciiTheme="majorHAnsi" w:hAnsiTheme="majorHAnsi" w:cstheme="majorHAnsi"/>
          <w:lang w:val="en-GB"/>
        </w:rPr>
        <w:t>In practice, however, the frequency of LAC sessions was varied across regions.</w:t>
      </w:r>
      <w:r w:rsidRPr="00606527">
        <w:rPr>
          <w:rFonts w:asciiTheme="majorHAnsi" w:hAnsiTheme="majorHAnsi" w:cstheme="majorHAnsi"/>
          <w:lang w:val="en-GB"/>
        </w:rPr>
        <w:t xml:space="preserve"> </w:t>
      </w:r>
      <w:r>
        <w:rPr>
          <w:rFonts w:asciiTheme="majorHAnsi" w:hAnsiTheme="majorHAnsi" w:cstheme="majorHAnsi"/>
          <w:lang w:val="en-GB"/>
        </w:rPr>
        <w:t xml:space="preserve">Some conducted LAC sessions weekly while other schools conduct it monthly. </w:t>
      </w:r>
    </w:p>
    <w:p w14:paraId="0F24A1F1" w14:textId="77777777" w:rsidR="008D0CAD" w:rsidRDefault="008D0CAD" w:rsidP="000479A3">
      <w:pPr>
        <w:spacing w:before="100" w:beforeAutospacing="1" w:after="100" w:afterAutospacing="1" w:line="360" w:lineRule="auto"/>
        <w:rPr>
          <w:rFonts w:asciiTheme="majorHAnsi" w:hAnsiTheme="majorHAnsi" w:cstheme="majorHAnsi"/>
          <w:lang w:val="en-GB"/>
        </w:rPr>
      </w:pPr>
      <w:r>
        <w:rPr>
          <w:rFonts w:asciiTheme="majorHAnsi" w:hAnsiTheme="majorHAnsi" w:cstheme="majorHAnsi"/>
          <w:lang w:val="en-GB"/>
        </w:rPr>
        <w:t xml:space="preserve">Other teachers </w:t>
      </w:r>
      <w:r w:rsidRPr="00606527">
        <w:rPr>
          <w:rFonts w:asciiTheme="majorHAnsi" w:hAnsiTheme="majorHAnsi" w:cstheme="majorHAnsi"/>
          <w:lang w:val="en-GB"/>
        </w:rPr>
        <w:t xml:space="preserve">pointed out </w:t>
      </w:r>
      <w:r>
        <w:rPr>
          <w:rFonts w:asciiTheme="majorHAnsi" w:hAnsiTheme="majorHAnsi" w:cstheme="majorHAnsi"/>
          <w:lang w:val="en-GB"/>
        </w:rPr>
        <w:t xml:space="preserve">that </w:t>
      </w:r>
      <w:r w:rsidRPr="00606527">
        <w:rPr>
          <w:rFonts w:asciiTheme="majorHAnsi" w:hAnsiTheme="majorHAnsi" w:cstheme="majorHAnsi"/>
          <w:lang w:val="en-GB"/>
        </w:rPr>
        <w:t>spend</w:t>
      </w:r>
      <w:r>
        <w:rPr>
          <w:rFonts w:asciiTheme="majorHAnsi" w:hAnsiTheme="majorHAnsi" w:cstheme="majorHAnsi"/>
          <w:lang w:val="en-GB"/>
        </w:rPr>
        <w:t>ing</w:t>
      </w:r>
      <w:r w:rsidRPr="00606527">
        <w:rPr>
          <w:rFonts w:asciiTheme="majorHAnsi" w:hAnsiTheme="majorHAnsi" w:cstheme="majorHAnsi"/>
          <w:lang w:val="en-GB"/>
        </w:rPr>
        <w:t xml:space="preserve"> two to three hours more in LAC sessions</w:t>
      </w:r>
      <w:r>
        <w:rPr>
          <w:rFonts w:asciiTheme="majorHAnsi" w:hAnsiTheme="majorHAnsi" w:cstheme="majorHAnsi"/>
          <w:lang w:val="en-GB"/>
        </w:rPr>
        <w:t xml:space="preserve"> were not the burden</w:t>
      </w:r>
      <w:r w:rsidRPr="00606527">
        <w:rPr>
          <w:rFonts w:asciiTheme="majorHAnsi" w:hAnsiTheme="majorHAnsi" w:cstheme="majorHAnsi"/>
          <w:lang w:val="en-GB"/>
        </w:rPr>
        <w:t xml:space="preserve">, but </w:t>
      </w:r>
      <w:r>
        <w:rPr>
          <w:rFonts w:asciiTheme="majorHAnsi" w:hAnsiTheme="majorHAnsi" w:cstheme="majorHAnsi"/>
          <w:lang w:val="en-GB"/>
        </w:rPr>
        <w:t xml:space="preserve">the </w:t>
      </w:r>
      <w:r w:rsidRPr="00606527">
        <w:rPr>
          <w:rFonts w:asciiTheme="majorHAnsi" w:hAnsiTheme="majorHAnsi" w:cstheme="majorHAnsi"/>
          <w:lang w:val="en-GB"/>
        </w:rPr>
        <w:t xml:space="preserve">other non-teaching responsibilities that took up chunks </w:t>
      </w:r>
      <w:r w:rsidRPr="00190D64">
        <w:rPr>
          <w:rFonts w:asciiTheme="majorHAnsi" w:hAnsiTheme="majorHAnsi" w:cstheme="majorHAnsi"/>
          <w:lang w:val="en-GB"/>
        </w:rPr>
        <w:t xml:space="preserve">of their time every week. These responsibilities included heading committees, being appointed as coordinators of certain projects, and attending to non-curricular activities such as school nutrition programs and preparing reports prescribed by Departments with projects in schools. </w:t>
      </w:r>
    </w:p>
    <w:p w14:paraId="0B6555BF" w14:textId="77777777" w:rsidR="008D0CAD" w:rsidRDefault="008D0CAD" w:rsidP="008C061C">
      <w:pPr>
        <w:pStyle w:val="Heading6"/>
      </w:pPr>
      <w:r w:rsidRPr="00D66A3A">
        <w:t>Teacher Induction Program (TIP)</w:t>
      </w:r>
      <w:r>
        <w:t xml:space="preserve"> </w:t>
      </w:r>
      <w:r w:rsidRPr="00D66A3A">
        <w:t>Modules</w:t>
      </w:r>
    </w:p>
    <w:p w14:paraId="499746E5" w14:textId="7E7414C2" w:rsidR="008D0CAD" w:rsidRDefault="008D0CAD" w:rsidP="000479A3">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color w:val="000000"/>
        </w:rPr>
        <w:t>T</w:t>
      </w:r>
      <w:r w:rsidRPr="00F318E4">
        <w:rPr>
          <w:rFonts w:asciiTheme="majorHAnsi" w:hAnsiTheme="majorHAnsi" w:cstheme="majorHAnsi"/>
          <w:color w:val="000000"/>
        </w:rPr>
        <w:t>o prepare beginning teachers to transition</w:t>
      </w:r>
      <w:r>
        <w:rPr>
          <w:rFonts w:asciiTheme="majorHAnsi" w:hAnsiTheme="majorHAnsi" w:cstheme="majorHAnsi"/>
          <w:color w:val="000000"/>
        </w:rPr>
        <w:t xml:space="preserve"> teaching</w:t>
      </w:r>
      <w:r w:rsidRPr="00F318E4">
        <w:rPr>
          <w:rFonts w:asciiTheme="majorHAnsi" w:hAnsiTheme="majorHAnsi" w:cstheme="majorHAnsi"/>
          <w:color w:val="000000"/>
        </w:rPr>
        <w:t xml:space="preserve"> at </w:t>
      </w:r>
      <w:r>
        <w:rPr>
          <w:rFonts w:asciiTheme="majorHAnsi" w:hAnsiTheme="majorHAnsi" w:cstheme="majorHAnsi"/>
          <w:color w:val="000000"/>
        </w:rPr>
        <w:t>DepEd (whether as new teachers or new to the public sector)</w:t>
      </w:r>
      <w:r w:rsidRPr="00F318E4">
        <w:rPr>
          <w:rFonts w:asciiTheme="majorHAnsi" w:hAnsiTheme="majorHAnsi" w:cstheme="majorHAnsi"/>
          <w:color w:val="000000"/>
        </w:rPr>
        <w:t xml:space="preserve">, </w:t>
      </w:r>
      <w:r>
        <w:rPr>
          <w:rFonts w:asciiTheme="majorHAnsi" w:hAnsiTheme="majorHAnsi" w:cstheme="majorHAnsi"/>
          <w:color w:val="000000"/>
        </w:rPr>
        <w:t xml:space="preserve">a set of </w:t>
      </w:r>
      <w:r w:rsidRPr="00F318E4">
        <w:rPr>
          <w:rFonts w:asciiTheme="majorHAnsi" w:hAnsiTheme="majorHAnsi" w:cstheme="majorHAnsi"/>
          <w:color w:val="000000"/>
        </w:rPr>
        <w:t>self-paced learning module</w:t>
      </w:r>
      <w:r>
        <w:rPr>
          <w:rFonts w:asciiTheme="majorHAnsi" w:hAnsiTheme="majorHAnsi" w:cstheme="majorHAnsi"/>
          <w:color w:val="000000"/>
        </w:rPr>
        <w:t>s called the Teacher Induction Program (TIP) was developed with assistance from the Program.</w:t>
      </w:r>
      <w:r w:rsidR="00D434EB">
        <w:rPr>
          <w:rFonts w:asciiTheme="majorHAnsi" w:hAnsiTheme="majorHAnsi" w:cstheme="majorHAnsi"/>
          <w:color w:val="000000"/>
        </w:rPr>
        <w:t xml:space="preserve"> </w:t>
      </w:r>
      <w:r>
        <w:rPr>
          <w:rFonts w:asciiTheme="majorHAnsi" w:hAnsiTheme="majorHAnsi" w:cstheme="majorHAnsi"/>
          <w:color w:val="000000"/>
        </w:rPr>
        <w:t>The six TIP modules were intended for teachers at</w:t>
      </w:r>
      <w:r w:rsidRPr="00F318E4">
        <w:rPr>
          <w:rFonts w:asciiTheme="majorHAnsi" w:hAnsiTheme="majorHAnsi" w:cstheme="majorHAnsi"/>
          <w:color w:val="000000"/>
        </w:rPr>
        <w:t xml:space="preserve"> the beginning teaching stage </w:t>
      </w:r>
      <w:r>
        <w:rPr>
          <w:rFonts w:asciiTheme="majorHAnsi" w:hAnsiTheme="majorHAnsi" w:cstheme="majorHAnsi"/>
          <w:color w:val="000000"/>
        </w:rPr>
        <w:t xml:space="preserve">of their careers at DepEd </w:t>
      </w:r>
      <w:r w:rsidRPr="00F318E4">
        <w:rPr>
          <w:rFonts w:asciiTheme="majorHAnsi" w:hAnsiTheme="majorHAnsi" w:cstheme="majorHAnsi"/>
          <w:color w:val="000000"/>
        </w:rPr>
        <w:t xml:space="preserve">(0-3 </w:t>
      </w:r>
      <w:r w:rsidRPr="002D3E1A">
        <w:rPr>
          <w:rFonts w:asciiTheme="majorHAnsi" w:hAnsiTheme="majorHAnsi" w:cstheme="majorHAnsi"/>
          <w:color w:val="000000"/>
        </w:rPr>
        <w:t>years stage).</w:t>
      </w:r>
      <w:r w:rsidR="00D434EB">
        <w:rPr>
          <w:rFonts w:asciiTheme="majorHAnsi" w:hAnsiTheme="majorHAnsi" w:cstheme="majorHAnsi"/>
          <w:color w:val="000000"/>
        </w:rPr>
        <w:t xml:space="preserve"> </w:t>
      </w:r>
      <w:r w:rsidRPr="002D3E1A">
        <w:rPr>
          <w:rFonts w:asciiTheme="majorHAnsi" w:hAnsiTheme="majorHAnsi" w:cstheme="majorHAnsi"/>
          <w:color w:val="000000"/>
        </w:rPr>
        <w:t xml:space="preserve"> The value add of these modules was its alignment with the standards in the PPST. The use of the TIP Modules was </w:t>
      </w:r>
      <w:r w:rsidRPr="002D3E1A">
        <w:rPr>
          <w:rFonts w:asciiTheme="majorHAnsi" w:hAnsiTheme="majorHAnsi" w:cstheme="majorHAnsi"/>
          <w:lang w:val="en-GB"/>
        </w:rPr>
        <w:t>institutionali</w:t>
      </w:r>
      <w:r>
        <w:rPr>
          <w:rFonts w:asciiTheme="majorHAnsi" w:hAnsiTheme="majorHAnsi" w:cstheme="majorHAnsi"/>
          <w:lang w:val="en-GB"/>
        </w:rPr>
        <w:t>s</w:t>
      </w:r>
      <w:r w:rsidRPr="002D3E1A">
        <w:rPr>
          <w:rFonts w:asciiTheme="majorHAnsi" w:hAnsiTheme="majorHAnsi" w:cstheme="majorHAnsi"/>
          <w:lang w:val="en-GB"/>
        </w:rPr>
        <w:t xml:space="preserve">ed through </w:t>
      </w:r>
      <w:r>
        <w:rPr>
          <w:rFonts w:asciiTheme="majorHAnsi" w:hAnsiTheme="majorHAnsi" w:cstheme="majorHAnsi"/>
          <w:lang w:val="en-GB"/>
        </w:rPr>
        <w:t>DepEd</w:t>
      </w:r>
      <w:r w:rsidRPr="002D3E1A">
        <w:rPr>
          <w:rFonts w:asciiTheme="majorHAnsi" w:hAnsiTheme="majorHAnsi" w:cstheme="majorHAnsi"/>
          <w:lang w:val="en-GB"/>
        </w:rPr>
        <w:t xml:space="preserve"> Order 43 s. 2017 </w:t>
      </w:r>
      <w:r w:rsidRPr="000831D8">
        <w:rPr>
          <w:rFonts w:asciiTheme="majorHAnsi" w:hAnsiTheme="majorHAnsi" w:cstheme="majorHAnsi"/>
          <w:color w:val="000000" w:themeColor="text1"/>
        </w:rPr>
        <w:t>on the “Teacher Induction Program Policy”</w:t>
      </w:r>
      <w:r>
        <w:rPr>
          <w:rFonts w:asciiTheme="majorHAnsi" w:hAnsiTheme="majorHAnsi" w:cstheme="majorHAnsi"/>
          <w:color w:val="000000" w:themeColor="text1"/>
        </w:rPr>
        <w:t>.</w:t>
      </w:r>
    </w:p>
    <w:p w14:paraId="4B87961C" w14:textId="464D5B40" w:rsidR="00193857" w:rsidRDefault="008D0CAD" w:rsidP="000479A3">
      <w:pPr>
        <w:spacing w:before="100" w:beforeAutospacing="1" w:after="100" w:afterAutospacing="1" w:line="360" w:lineRule="auto"/>
        <w:rPr>
          <w:rFonts w:asciiTheme="majorHAnsi" w:hAnsiTheme="majorHAnsi" w:cstheme="majorHAnsi"/>
          <w:color w:val="000000" w:themeColor="text1"/>
        </w:rPr>
      </w:pPr>
      <w:r w:rsidRPr="009A101E">
        <w:rPr>
          <w:rFonts w:asciiTheme="majorHAnsi" w:hAnsiTheme="majorHAnsi" w:cstheme="majorHAnsi"/>
          <w:color w:val="000000" w:themeColor="text1"/>
          <w:lang w:val="en-GB"/>
        </w:rPr>
        <w:t xml:space="preserve">School-level awareness of the TIP policy was </w:t>
      </w:r>
      <w:r>
        <w:rPr>
          <w:rFonts w:asciiTheme="majorHAnsi" w:hAnsiTheme="majorHAnsi" w:cstheme="majorHAnsi"/>
          <w:color w:val="000000" w:themeColor="text1"/>
          <w:lang w:val="en-GB"/>
        </w:rPr>
        <w:t xml:space="preserve">found to be </w:t>
      </w:r>
      <w:r w:rsidRPr="009A101E">
        <w:rPr>
          <w:rFonts w:asciiTheme="majorHAnsi" w:hAnsiTheme="majorHAnsi" w:cstheme="majorHAnsi"/>
          <w:color w:val="000000" w:themeColor="text1"/>
          <w:lang w:val="en-GB"/>
        </w:rPr>
        <w:t>moderate both during the Main Study and the Follow-Up Study (Table 1</w:t>
      </w:r>
      <w:r>
        <w:rPr>
          <w:rFonts w:asciiTheme="majorHAnsi" w:hAnsiTheme="majorHAnsi" w:cstheme="majorHAnsi"/>
          <w:color w:val="000000" w:themeColor="text1"/>
          <w:lang w:val="en-GB"/>
        </w:rPr>
        <w:t>1</w:t>
      </w:r>
      <w:r w:rsidRPr="009A101E">
        <w:rPr>
          <w:rFonts w:asciiTheme="majorHAnsi" w:hAnsiTheme="majorHAnsi" w:cstheme="majorHAnsi"/>
          <w:color w:val="000000" w:themeColor="text1"/>
          <w:lang w:val="en-GB"/>
        </w:rPr>
        <w:t xml:space="preserve">). </w:t>
      </w:r>
      <w:r w:rsidRPr="009A101E">
        <w:rPr>
          <w:rFonts w:asciiTheme="majorHAnsi" w:hAnsiTheme="majorHAnsi" w:cstheme="majorHAnsi"/>
          <w:color w:val="000000" w:themeColor="text1"/>
        </w:rPr>
        <w:t xml:space="preserve">About two-thirds of </w:t>
      </w:r>
      <w:r>
        <w:rPr>
          <w:rFonts w:asciiTheme="majorHAnsi" w:hAnsiTheme="majorHAnsi" w:cstheme="majorHAnsi"/>
          <w:color w:val="000000" w:themeColor="text1"/>
          <w:lang w:val="en-GB"/>
        </w:rPr>
        <w:t>principal</w:t>
      </w:r>
      <w:r>
        <w:rPr>
          <w:rFonts w:asciiTheme="majorHAnsi" w:hAnsiTheme="majorHAnsi" w:cstheme="majorHAnsi"/>
          <w:color w:val="000000" w:themeColor="text1"/>
        </w:rPr>
        <w:t>s</w:t>
      </w:r>
      <w:r w:rsidRPr="009A101E">
        <w:rPr>
          <w:rFonts w:asciiTheme="majorHAnsi" w:hAnsiTheme="majorHAnsi" w:cstheme="majorHAnsi"/>
          <w:color w:val="000000" w:themeColor="text1"/>
        </w:rPr>
        <w:t xml:space="preserve"> (66</w:t>
      </w:r>
      <w:r>
        <w:rPr>
          <w:rFonts w:asciiTheme="majorHAnsi" w:hAnsiTheme="majorHAnsi" w:cstheme="majorHAnsi"/>
          <w:color w:val="000000" w:themeColor="text1"/>
        </w:rPr>
        <w:t xml:space="preserve"> per cent</w:t>
      </w:r>
      <w:r w:rsidRPr="009A101E">
        <w:rPr>
          <w:rFonts w:asciiTheme="majorHAnsi" w:hAnsiTheme="majorHAnsi" w:cstheme="majorHAnsi"/>
          <w:color w:val="000000" w:themeColor="text1"/>
        </w:rPr>
        <w:t>) and 47</w:t>
      </w:r>
      <w:r>
        <w:rPr>
          <w:rFonts w:asciiTheme="majorHAnsi" w:hAnsiTheme="majorHAnsi" w:cstheme="majorHAnsi"/>
          <w:color w:val="000000" w:themeColor="text1"/>
        </w:rPr>
        <w:t xml:space="preserve"> per cent</w:t>
      </w:r>
      <w:r w:rsidRPr="009A101E">
        <w:rPr>
          <w:rFonts w:asciiTheme="majorHAnsi" w:hAnsiTheme="majorHAnsi" w:cstheme="majorHAnsi"/>
          <w:color w:val="000000" w:themeColor="text1"/>
        </w:rPr>
        <w:t xml:space="preserve"> of teachers have good knowledge of the TIP Policy.</w:t>
      </w:r>
      <w:r w:rsidR="00D434EB">
        <w:rPr>
          <w:rFonts w:asciiTheme="majorHAnsi" w:hAnsiTheme="majorHAnsi" w:cstheme="majorHAnsi"/>
          <w:color w:val="000000" w:themeColor="text1"/>
        </w:rPr>
        <w:t xml:space="preserve"> </w:t>
      </w:r>
    </w:p>
    <w:p w14:paraId="2B967EA0" w14:textId="20B27AFF" w:rsidR="008D0CAD" w:rsidRPr="00DD6E21" w:rsidRDefault="008D0CAD" w:rsidP="000479A3">
      <w:pPr>
        <w:spacing w:before="100" w:beforeAutospacing="1" w:after="100" w:afterAutospacing="1" w:line="360" w:lineRule="auto"/>
        <w:ind w:right="2499"/>
        <w:rPr>
          <w:rFonts w:asciiTheme="majorHAnsi" w:hAnsiTheme="majorHAnsi" w:cstheme="majorHAnsi"/>
          <w:i/>
          <w:iCs/>
          <w:color w:val="44546A" w:themeColor="text2"/>
          <w:sz w:val="22"/>
          <w:szCs w:val="22"/>
        </w:rPr>
      </w:pPr>
      <w:bookmarkStart w:id="92" w:name="_Toc71616602"/>
      <w:r w:rsidRPr="00DD6E21">
        <w:rPr>
          <w:rFonts w:asciiTheme="majorHAnsi" w:hAnsiTheme="majorHAnsi" w:cstheme="majorHAnsi"/>
          <w:i/>
          <w:iCs/>
          <w:color w:val="44546A" w:themeColor="text2"/>
          <w:sz w:val="22"/>
          <w:szCs w:val="22"/>
        </w:rPr>
        <w:t xml:space="preserve">Table </w:t>
      </w:r>
      <w:r w:rsidRPr="00DD6E21">
        <w:rPr>
          <w:rFonts w:asciiTheme="majorHAnsi" w:hAnsiTheme="majorHAnsi" w:cstheme="majorHAnsi"/>
          <w:i/>
          <w:iCs/>
          <w:color w:val="44546A" w:themeColor="text2"/>
          <w:sz w:val="22"/>
          <w:szCs w:val="22"/>
        </w:rPr>
        <w:fldChar w:fldCharType="begin"/>
      </w:r>
      <w:r w:rsidRPr="00DD6E21">
        <w:rPr>
          <w:rFonts w:asciiTheme="majorHAnsi" w:hAnsiTheme="majorHAnsi" w:cstheme="majorHAnsi"/>
          <w:i/>
          <w:iCs/>
          <w:color w:val="44546A" w:themeColor="text2"/>
          <w:sz w:val="22"/>
          <w:szCs w:val="22"/>
        </w:rPr>
        <w:instrText xml:space="preserve"> SEQ Table \* ARABIC </w:instrText>
      </w:r>
      <w:r w:rsidRPr="00DD6E21">
        <w:rPr>
          <w:rFonts w:asciiTheme="majorHAnsi" w:hAnsiTheme="majorHAnsi" w:cstheme="majorHAnsi"/>
          <w:i/>
          <w:iCs/>
          <w:color w:val="44546A" w:themeColor="text2"/>
          <w:sz w:val="22"/>
          <w:szCs w:val="22"/>
        </w:rPr>
        <w:fldChar w:fldCharType="separate"/>
      </w:r>
      <w:r w:rsidR="00D6133D">
        <w:rPr>
          <w:rFonts w:asciiTheme="majorHAnsi" w:hAnsiTheme="majorHAnsi" w:cstheme="majorHAnsi"/>
          <w:i/>
          <w:iCs/>
          <w:noProof/>
          <w:color w:val="44546A" w:themeColor="text2"/>
          <w:sz w:val="22"/>
          <w:szCs w:val="22"/>
        </w:rPr>
        <w:t>11</w:t>
      </w:r>
      <w:r w:rsidRPr="00DD6E21">
        <w:rPr>
          <w:rFonts w:asciiTheme="majorHAnsi" w:hAnsiTheme="majorHAnsi" w:cstheme="majorHAnsi"/>
          <w:i/>
          <w:iCs/>
          <w:color w:val="44546A" w:themeColor="text2"/>
          <w:sz w:val="22"/>
          <w:szCs w:val="22"/>
        </w:rPr>
        <w:fldChar w:fldCharType="end"/>
      </w:r>
      <w:r w:rsidRPr="00DD6E21">
        <w:rPr>
          <w:rFonts w:asciiTheme="majorHAnsi" w:hAnsiTheme="majorHAnsi" w:cstheme="majorHAnsi"/>
          <w:i/>
          <w:iCs/>
          <w:color w:val="44546A" w:themeColor="text2"/>
          <w:sz w:val="22"/>
          <w:szCs w:val="22"/>
        </w:rPr>
        <w:t>.</w:t>
      </w:r>
      <w:r w:rsidR="00D434EB">
        <w:rPr>
          <w:rFonts w:asciiTheme="majorHAnsi" w:hAnsiTheme="majorHAnsi" w:cstheme="majorHAnsi"/>
          <w:bCs/>
          <w:i/>
          <w:iCs/>
          <w:color w:val="44546A" w:themeColor="text2"/>
          <w:sz w:val="22"/>
          <w:szCs w:val="22"/>
        </w:rPr>
        <w:t xml:space="preserve"> </w:t>
      </w:r>
      <w:r w:rsidRPr="00DD6E21">
        <w:rPr>
          <w:rFonts w:asciiTheme="majorHAnsi" w:hAnsiTheme="majorHAnsi" w:cstheme="majorHAnsi"/>
          <w:bCs/>
          <w:i/>
          <w:iCs/>
          <w:color w:val="44546A" w:themeColor="text2"/>
          <w:sz w:val="22"/>
          <w:szCs w:val="22"/>
        </w:rPr>
        <w:t>Principals’ and Teachers’ Perceptions on DO No.</w:t>
      </w:r>
      <w:r w:rsidRPr="00DD6E21">
        <w:rPr>
          <w:rFonts w:asciiTheme="majorHAnsi" w:hAnsiTheme="majorHAnsi" w:cstheme="majorHAnsi"/>
          <w:i/>
          <w:iCs/>
          <w:color w:val="44546A" w:themeColor="text2"/>
          <w:sz w:val="22"/>
          <w:szCs w:val="22"/>
          <w:lang w:val="en-GB"/>
        </w:rPr>
        <w:t xml:space="preserve"> 43 s. 2017</w:t>
      </w:r>
      <w:bookmarkEnd w:id="92"/>
      <w:r w:rsidR="00EF19F0">
        <w:rPr>
          <w:rFonts w:asciiTheme="majorHAnsi" w:hAnsiTheme="majorHAnsi" w:cstheme="majorHAnsi"/>
          <w:i/>
          <w:iCs/>
          <w:color w:val="44546A" w:themeColor="text2"/>
          <w:sz w:val="22"/>
          <w:szCs w:val="22"/>
          <w:lang w:val="en-GB"/>
        </w:rPr>
        <w:t xml:space="preserve"> </w:t>
      </w:r>
      <w:r w:rsidR="00EF19F0" w:rsidRPr="00EF19F0">
        <w:rPr>
          <w:rFonts w:asciiTheme="majorHAnsi" w:hAnsiTheme="majorHAnsi" w:cstheme="majorHAnsi"/>
          <w:i/>
          <w:iCs/>
          <w:color w:val="44546A" w:themeColor="text2"/>
          <w:sz w:val="22"/>
          <w:szCs w:val="22"/>
          <w:lang w:val="en-GB"/>
        </w:rPr>
        <w:t>Teacher Induction Program Policy</w:t>
      </w:r>
      <w:r w:rsidRPr="00DD6E21">
        <w:rPr>
          <w:rFonts w:asciiTheme="majorHAnsi" w:hAnsiTheme="majorHAnsi" w:cstheme="majorHAnsi"/>
          <w:i/>
          <w:iCs/>
          <w:color w:val="44546A" w:themeColor="text2"/>
          <w:sz w:val="22"/>
          <w:szCs w:val="22"/>
        </w:rPr>
        <w:t xml:space="preserve"> </w:t>
      </w:r>
    </w:p>
    <w:tbl>
      <w:tblPr>
        <w:tblStyle w:val="TableGrid"/>
        <w:tblW w:w="0" w:type="auto"/>
        <w:tblLook w:val="04A0" w:firstRow="1" w:lastRow="0" w:firstColumn="1" w:lastColumn="0" w:noHBand="0" w:noVBand="1"/>
      </w:tblPr>
      <w:tblGrid>
        <w:gridCol w:w="1625"/>
        <w:gridCol w:w="1391"/>
        <w:gridCol w:w="1868"/>
        <w:gridCol w:w="1409"/>
        <w:gridCol w:w="1306"/>
      </w:tblGrid>
      <w:tr w:rsidR="009D738E" w:rsidRPr="009D738E" w14:paraId="3D0CA70B" w14:textId="77777777" w:rsidTr="00F4751F">
        <w:trPr>
          <w:trHeight w:val="267"/>
          <w:tblHeader/>
        </w:trPr>
        <w:tc>
          <w:tcPr>
            <w:tcW w:w="1625" w:type="dxa"/>
          </w:tcPr>
          <w:p w14:paraId="3B19A6D7" w14:textId="77777777" w:rsidR="009D738E" w:rsidRPr="009D738E" w:rsidRDefault="009D738E" w:rsidP="000479A3">
            <w:pPr>
              <w:spacing w:before="100" w:beforeAutospacing="1" w:after="100" w:afterAutospacing="1" w:line="360" w:lineRule="auto"/>
              <w:rPr>
                <w:rFonts w:asciiTheme="majorHAnsi" w:hAnsiTheme="majorHAnsi" w:cstheme="majorHAnsi"/>
                <w:color w:val="000000" w:themeColor="text1"/>
                <w:sz w:val="18"/>
                <w:szCs w:val="18"/>
              </w:rPr>
            </w:pPr>
          </w:p>
        </w:tc>
        <w:tc>
          <w:tcPr>
            <w:tcW w:w="1391" w:type="dxa"/>
          </w:tcPr>
          <w:p w14:paraId="6222500F" w14:textId="77777777" w:rsidR="009D738E" w:rsidRPr="009D738E" w:rsidRDefault="009D738E" w:rsidP="000479A3">
            <w:pPr>
              <w:spacing w:before="100" w:beforeAutospacing="1" w:after="100" w:afterAutospacing="1" w:line="360" w:lineRule="auto"/>
              <w:rPr>
                <w:rFonts w:asciiTheme="majorHAnsi" w:hAnsiTheme="majorHAnsi" w:cstheme="majorHAnsi"/>
                <w:b/>
                <w:bCs/>
                <w:color w:val="000000" w:themeColor="text1"/>
                <w:sz w:val="18"/>
                <w:szCs w:val="18"/>
              </w:rPr>
            </w:pPr>
            <w:r w:rsidRPr="009D738E">
              <w:rPr>
                <w:rFonts w:asciiTheme="majorHAnsi" w:hAnsiTheme="majorHAnsi" w:cstheme="majorHAnsi"/>
                <w:b/>
                <w:bCs/>
                <w:color w:val="000000" w:themeColor="text1"/>
                <w:sz w:val="18"/>
                <w:szCs w:val="18"/>
              </w:rPr>
              <w:t>% Sufficient knowledge</w:t>
            </w:r>
          </w:p>
        </w:tc>
        <w:tc>
          <w:tcPr>
            <w:tcW w:w="1868" w:type="dxa"/>
          </w:tcPr>
          <w:p w14:paraId="59663400" w14:textId="77777777" w:rsidR="009D738E" w:rsidRPr="009D738E" w:rsidRDefault="009D738E" w:rsidP="000479A3">
            <w:pPr>
              <w:spacing w:before="100" w:beforeAutospacing="1" w:after="100" w:afterAutospacing="1" w:line="360" w:lineRule="auto"/>
              <w:rPr>
                <w:rFonts w:asciiTheme="majorHAnsi" w:hAnsiTheme="majorHAnsi" w:cstheme="majorHAnsi"/>
                <w:b/>
                <w:bCs/>
                <w:color w:val="000000" w:themeColor="text1"/>
                <w:sz w:val="18"/>
                <w:szCs w:val="18"/>
              </w:rPr>
            </w:pPr>
            <w:r w:rsidRPr="009D738E">
              <w:rPr>
                <w:rFonts w:asciiTheme="majorHAnsi" w:hAnsiTheme="majorHAnsi" w:cstheme="majorHAnsi"/>
                <w:b/>
                <w:bCs/>
                <w:color w:val="000000" w:themeColor="text1"/>
                <w:sz w:val="18"/>
                <w:szCs w:val="18"/>
              </w:rPr>
              <w:t>% Comprehensive knowledge</w:t>
            </w:r>
          </w:p>
        </w:tc>
        <w:tc>
          <w:tcPr>
            <w:tcW w:w="1409" w:type="dxa"/>
          </w:tcPr>
          <w:p w14:paraId="40E5DB10" w14:textId="77777777" w:rsidR="009D738E" w:rsidRPr="009D738E" w:rsidRDefault="009D738E" w:rsidP="000479A3">
            <w:pPr>
              <w:spacing w:before="100" w:beforeAutospacing="1" w:after="100" w:afterAutospacing="1" w:line="360" w:lineRule="auto"/>
              <w:rPr>
                <w:rFonts w:asciiTheme="majorHAnsi" w:hAnsiTheme="majorHAnsi" w:cstheme="majorHAnsi"/>
                <w:b/>
                <w:bCs/>
                <w:color w:val="000000" w:themeColor="text1"/>
                <w:sz w:val="18"/>
                <w:szCs w:val="18"/>
              </w:rPr>
            </w:pPr>
            <w:r w:rsidRPr="009D738E">
              <w:rPr>
                <w:rFonts w:asciiTheme="majorHAnsi" w:hAnsiTheme="majorHAnsi" w:cstheme="majorHAnsi"/>
                <w:b/>
                <w:bCs/>
                <w:color w:val="000000" w:themeColor="text1"/>
                <w:sz w:val="18"/>
                <w:szCs w:val="18"/>
              </w:rPr>
              <w:t>% Sufficiently useful</w:t>
            </w:r>
          </w:p>
        </w:tc>
        <w:tc>
          <w:tcPr>
            <w:tcW w:w="1306" w:type="dxa"/>
          </w:tcPr>
          <w:p w14:paraId="4D11C057" w14:textId="77777777" w:rsidR="009D738E" w:rsidRPr="009D738E" w:rsidRDefault="009D738E" w:rsidP="000479A3">
            <w:pPr>
              <w:spacing w:before="100" w:beforeAutospacing="1" w:after="100" w:afterAutospacing="1" w:line="360" w:lineRule="auto"/>
              <w:rPr>
                <w:rFonts w:asciiTheme="majorHAnsi" w:hAnsiTheme="majorHAnsi" w:cstheme="majorHAnsi"/>
                <w:b/>
                <w:bCs/>
                <w:color w:val="000000" w:themeColor="text1"/>
                <w:sz w:val="18"/>
                <w:szCs w:val="18"/>
              </w:rPr>
            </w:pPr>
            <w:r w:rsidRPr="009D738E">
              <w:rPr>
                <w:rFonts w:asciiTheme="majorHAnsi" w:hAnsiTheme="majorHAnsi" w:cstheme="majorHAnsi"/>
                <w:b/>
                <w:bCs/>
                <w:color w:val="000000" w:themeColor="text1"/>
                <w:sz w:val="18"/>
                <w:szCs w:val="18"/>
              </w:rPr>
              <w:t>% Extremely useful</w:t>
            </w:r>
          </w:p>
        </w:tc>
      </w:tr>
      <w:tr w:rsidR="009D738E" w:rsidRPr="009D738E" w14:paraId="3CF9A5CB" w14:textId="77777777" w:rsidTr="00EF19F0">
        <w:trPr>
          <w:trHeight w:val="81"/>
        </w:trPr>
        <w:tc>
          <w:tcPr>
            <w:tcW w:w="1625" w:type="dxa"/>
            <w:shd w:val="clear" w:color="auto" w:fill="BFBFBF" w:themeFill="background1" w:themeFillShade="BF"/>
          </w:tcPr>
          <w:p w14:paraId="297117E1" w14:textId="77777777" w:rsidR="009D738E" w:rsidRPr="009D738E" w:rsidRDefault="009D738E" w:rsidP="000479A3">
            <w:pPr>
              <w:spacing w:before="100" w:beforeAutospacing="1" w:after="100" w:afterAutospacing="1" w:line="360" w:lineRule="auto"/>
              <w:rPr>
                <w:rFonts w:asciiTheme="majorHAnsi" w:hAnsiTheme="majorHAnsi" w:cstheme="majorHAnsi"/>
                <w:color w:val="000000" w:themeColor="text1"/>
                <w:sz w:val="18"/>
                <w:szCs w:val="18"/>
              </w:rPr>
            </w:pPr>
            <w:r w:rsidRPr="009D738E">
              <w:rPr>
                <w:rFonts w:asciiTheme="majorHAnsi" w:hAnsiTheme="majorHAnsi" w:cstheme="majorHAnsi"/>
                <w:color w:val="000000" w:themeColor="text1"/>
                <w:sz w:val="18"/>
                <w:szCs w:val="18"/>
              </w:rPr>
              <w:t>Main Study*</w:t>
            </w:r>
          </w:p>
        </w:tc>
        <w:tc>
          <w:tcPr>
            <w:tcW w:w="1391" w:type="dxa"/>
            <w:shd w:val="clear" w:color="auto" w:fill="BFBFBF" w:themeFill="background1" w:themeFillShade="BF"/>
          </w:tcPr>
          <w:p w14:paraId="72ADE621" w14:textId="77777777" w:rsidR="009D738E" w:rsidRPr="009D738E" w:rsidRDefault="009D738E" w:rsidP="000479A3">
            <w:pPr>
              <w:spacing w:before="100" w:beforeAutospacing="1" w:after="100" w:afterAutospacing="1" w:line="360" w:lineRule="auto"/>
              <w:rPr>
                <w:rFonts w:asciiTheme="majorHAnsi" w:hAnsiTheme="majorHAnsi" w:cstheme="majorHAnsi"/>
                <w:color w:val="000000" w:themeColor="text1"/>
                <w:sz w:val="18"/>
                <w:szCs w:val="18"/>
              </w:rPr>
            </w:pPr>
          </w:p>
        </w:tc>
        <w:tc>
          <w:tcPr>
            <w:tcW w:w="1868" w:type="dxa"/>
            <w:shd w:val="clear" w:color="auto" w:fill="BFBFBF" w:themeFill="background1" w:themeFillShade="BF"/>
          </w:tcPr>
          <w:p w14:paraId="14628690" w14:textId="77777777" w:rsidR="009D738E" w:rsidRPr="009D738E" w:rsidRDefault="009D738E" w:rsidP="000479A3">
            <w:pPr>
              <w:spacing w:before="100" w:beforeAutospacing="1" w:after="100" w:afterAutospacing="1" w:line="360" w:lineRule="auto"/>
              <w:rPr>
                <w:rFonts w:asciiTheme="majorHAnsi" w:hAnsiTheme="majorHAnsi" w:cstheme="majorHAnsi"/>
                <w:color w:val="000000" w:themeColor="text1"/>
                <w:sz w:val="18"/>
                <w:szCs w:val="18"/>
              </w:rPr>
            </w:pPr>
          </w:p>
        </w:tc>
        <w:tc>
          <w:tcPr>
            <w:tcW w:w="1409" w:type="dxa"/>
            <w:shd w:val="clear" w:color="auto" w:fill="BFBFBF" w:themeFill="background1" w:themeFillShade="BF"/>
          </w:tcPr>
          <w:p w14:paraId="22D0FE7B" w14:textId="77777777" w:rsidR="009D738E" w:rsidRPr="009D738E" w:rsidRDefault="009D738E" w:rsidP="000479A3">
            <w:pPr>
              <w:spacing w:before="100" w:beforeAutospacing="1" w:after="100" w:afterAutospacing="1" w:line="360" w:lineRule="auto"/>
              <w:rPr>
                <w:rFonts w:asciiTheme="majorHAnsi" w:hAnsiTheme="majorHAnsi" w:cstheme="majorHAnsi"/>
                <w:color w:val="000000" w:themeColor="text1"/>
                <w:sz w:val="18"/>
                <w:szCs w:val="18"/>
              </w:rPr>
            </w:pPr>
          </w:p>
        </w:tc>
        <w:tc>
          <w:tcPr>
            <w:tcW w:w="1306" w:type="dxa"/>
            <w:shd w:val="clear" w:color="auto" w:fill="BFBFBF" w:themeFill="background1" w:themeFillShade="BF"/>
          </w:tcPr>
          <w:p w14:paraId="46BF890E" w14:textId="77777777" w:rsidR="009D738E" w:rsidRPr="009D738E" w:rsidRDefault="009D738E" w:rsidP="000479A3">
            <w:pPr>
              <w:spacing w:before="100" w:beforeAutospacing="1" w:after="100" w:afterAutospacing="1" w:line="360" w:lineRule="auto"/>
              <w:rPr>
                <w:rFonts w:asciiTheme="majorHAnsi" w:hAnsiTheme="majorHAnsi" w:cstheme="majorHAnsi"/>
                <w:color w:val="000000" w:themeColor="text1"/>
                <w:sz w:val="18"/>
                <w:szCs w:val="18"/>
              </w:rPr>
            </w:pPr>
          </w:p>
        </w:tc>
      </w:tr>
      <w:tr w:rsidR="009D738E" w:rsidRPr="009D738E" w14:paraId="1629E904" w14:textId="77777777" w:rsidTr="00EF19F0">
        <w:trPr>
          <w:trHeight w:val="38"/>
        </w:trPr>
        <w:tc>
          <w:tcPr>
            <w:tcW w:w="1625" w:type="dxa"/>
          </w:tcPr>
          <w:p w14:paraId="505A3011" w14:textId="77777777" w:rsidR="009D738E" w:rsidRPr="009D738E" w:rsidRDefault="009D738E" w:rsidP="000479A3">
            <w:pPr>
              <w:spacing w:before="100" w:beforeAutospacing="1" w:after="100" w:afterAutospacing="1" w:line="360" w:lineRule="auto"/>
              <w:rPr>
                <w:rFonts w:asciiTheme="majorHAnsi" w:hAnsiTheme="majorHAnsi" w:cstheme="majorHAnsi"/>
                <w:color w:val="000000" w:themeColor="text1"/>
                <w:sz w:val="18"/>
                <w:szCs w:val="18"/>
              </w:rPr>
            </w:pPr>
            <w:r w:rsidRPr="009D738E">
              <w:rPr>
                <w:rFonts w:asciiTheme="majorHAnsi" w:hAnsiTheme="majorHAnsi" w:cstheme="majorHAnsi"/>
                <w:color w:val="000000" w:themeColor="text1"/>
                <w:sz w:val="18"/>
                <w:szCs w:val="18"/>
              </w:rPr>
              <w:t>PSHs (n=26)</w:t>
            </w:r>
          </w:p>
        </w:tc>
        <w:tc>
          <w:tcPr>
            <w:tcW w:w="1391" w:type="dxa"/>
          </w:tcPr>
          <w:p w14:paraId="2EF2D56B" w14:textId="77777777" w:rsidR="009D738E" w:rsidRPr="009D738E" w:rsidRDefault="009D738E" w:rsidP="000479A3">
            <w:pPr>
              <w:spacing w:before="100" w:beforeAutospacing="1" w:after="100" w:afterAutospacing="1" w:line="360" w:lineRule="auto"/>
              <w:rPr>
                <w:rFonts w:asciiTheme="majorHAnsi" w:hAnsiTheme="majorHAnsi" w:cstheme="majorHAnsi"/>
                <w:color w:val="000000" w:themeColor="text1"/>
                <w:sz w:val="18"/>
                <w:szCs w:val="18"/>
              </w:rPr>
            </w:pPr>
            <w:r w:rsidRPr="009D738E">
              <w:rPr>
                <w:rFonts w:asciiTheme="majorHAnsi" w:hAnsiTheme="majorHAnsi" w:cstheme="majorHAnsi"/>
                <w:color w:val="000000" w:themeColor="text1"/>
                <w:sz w:val="18"/>
                <w:szCs w:val="18"/>
              </w:rPr>
              <w:t>35%</w:t>
            </w:r>
          </w:p>
        </w:tc>
        <w:tc>
          <w:tcPr>
            <w:tcW w:w="1868" w:type="dxa"/>
          </w:tcPr>
          <w:p w14:paraId="34F22A29" w14:textId="77777777" w:rsidR="009D738E" w:rsidRPr="009D738E" w:rsidRDefault="009D738E" w:rsidP="000479A3">
            <w:pPr>
              <w:spacing w:before="100" w:beforeAutospacing="1" w:after="100" w:afterAutospacing="1" w:line="360" w:lineRule="auto"/>
              <w:rPr>
                <w:rFonts w:asciiTheme="majorHAnsi" w:hAnsiTheme="majorHAnsi" w:cstheme="majorHAnsi"/>
                <w:color w:val="000000" w:themeColor="text1"/>
                <w:sz w:val="18"/>
                <w:szCs w:val="18"/>
              </w:rPr>
            </w:pPr>
            <w:r w:rsidRPr="009D738E">
              <w:rPr>
                <w:rFonts w:asciiTheme="majorHAnsi" w:hAnsiTheme="majorHAnsi" w:cstheme="majorHAnsi"/>
                <w:color w:val="000000" w:themeColor="text1"/>
                <w:sz w:val="18"/>
                <w:szCs w:val="18"/>
              </w:rPr>
              <w:t>31%</w:t>
            </w:r>
          </w:p>
        </w:tc>
        <w:tc>
          <w:tcPr>
            <w:tcW w:w="1409" w:type="dxa"/>
          </w:tcPr>
          <w:p w14:paraId="49483AE4" w14:textId="77777777" w:rsidR="009D738E" w:rsidRPr="009D738E" w:rsidRDefault="009D738E" w:rsidP="000479A3">
            <w:pPr>
              <w:spacing w:before="100" w:beforeAutospacing="1" w:after="100" w:afterAutospacing="1" w:line="360" w:lineRule="auto"/>
              <w:rPr>
                <w:rFonts w:asciiTheme="majorHAnsi" w:hAnsiTheme="majorHAnsi" w:cstheme="majorHAnsi"/>
                <w:color w:val="000000" w:themeColor="text1"/>
                <w:sz w:val="18"/>
                <w:szCs w:val="18"/>
              </w:rPr>
            </w:pPr>
            <w:r w:rsidRPr="009D738E">
              <w:rPr>
                <w:rFonts w:asciiTheme="majorHAnsi" w:hAnsiTheme="majorHAnsi" w:cstheme="majorHAnsi"/>
                <w:color w:val="000000" w:themeColor="text1"/>
                <w:sz w:val="18"/>
                <w:szCs w:val="18"/>
              </w:rPr>
              <w:t>23%</w:t>
            </w:r>
          </w:p>
        </w:tc>
        <w:tc>
          <w:tcPr>
            <w:tcW w:w="1306" w:type="dxa"/>
          </w:tcPr>
          <w:p w14:paraId="7308080E" w14:textId="77777777" w:rsidR="009D738E" w:rsidRPr="009D738E" w:rsidRDefault="009D738E" w:rsidP="000479A3">
            <w:pPr>
              <w:spacing w:before="100" w:beforeAutospacing="1" w:after="100" w:afterAutospacing="1" w:line="360" w:lineRule="auto"/>
              <w:rPr>
                <w:rFonts w:asciiTheme="majorHAnsi" w:hAnsiTheme="majorHAnsi" w:cstheme="majorHAnsi"/>
                <w:color w:val="000000" w:themeColor="text1"/>
                <w:sz w:val="18"/>
                <w:szCs w:val="18"/>
              </w:rPr>
            </w:pPr>
            <w:r w:rsidRPr="009D738E">
              <w:rPr>
                <w:rFonts w:asciiTheme="majorHAnsi" w:hAnsiTheme="majorHAnsi" w:cstheme="majorHAnsi"/>
                <w:color w:val="000000" w:themeColor="text1"/>
                <w:sz w:val="18"/>
                <w:szCs w:val="18"/>
              </w:rPr>
              <w:t>46%</w:t>
            </w:r>
          </w:p>
        </w:tc>
      </w:tr>
      <w:tr w:rsidR="009D738E" w:rsidRPr="009D738E" w14:paraId="1C8E5969" w14:textId="77777777" w:rsidTr="00EF19F0">
        <w:trPr>
          <w:trHeight w:val="181"/>
        </w:trPr>
        <w:tc>
          <w:tcPr>
            <w:tcW w:w="1625" w:type="dxa"/>
          </w:tcPr>
          <w:p w14:paraId="60DCEF88" w14:textId="77777777" w:rsidR="009D738E" w:rsidRPr="009D738E" w:rsidRDefault="009D738E" w:rsidP="000479A3">
            <w:pPr>
              <w:spacing w:before="100" w:beforeAutospacing="1" w:after="100" w:afterAutospacing="1" w:line="360" w:lineRule="auto"/>
              <w:rPr>
                <w:rFonts w:asciiTheme="majorHAnsi" w:hAnsiTheme="majorHAnsi" w:cstheme="majorHAnsi"/>
                <w:color w:val="000000" w:themeColor="text1"/>
                <w:sz w:val="18"/>
                <w:szCs w:val="18"/>
              </w:rPr>
            </w:pPr>
            <w:r w:rsidRPr="009D738E">
              <w:rPr>
                <w:rFonts w:asciiTheme="majorHAnsi" w:hAnsiTheme="majorHAnsi" w:cstheme="majorHAnsi"/>
                <w:color w:val="000000" w:themeColor="text1"/>
                <w:sz w:val="18"/>
                <w:szCs w:val="18"/>
              </w:rPr>
              <w:t>Teachers (n=107)</w:t>
            </w:r>
          </w:p>
        </w:tc>
        <w:tc>
          <w:tcPr>
            <w:tcW w:w="1391" w:type="dxa"/>
          </w:tcPr>
          <w:p w14:paraId="16DE0D46" w14:textId="77777777" w:rsidR="009D738E" w:rsidRPr="009D738E" w:rsidRDefault="009D738E" w:rsidP="000479A3">
            <w:pPr>
              <w:spacing w:before="100" w:beforeAutospacing="1" w:after="100" w:afterAutospacing="1" w:line="360" w:lineRule="auto"/>
              <w:rPr>
                <w:rFonts w:asciiTheme="majorHAnsi" w:hAnsiTheme="majorHAnsi" w:cstheme="majorHAnsi"/>
                <w:color w:val="000000" w:themeColor="text1"/>
                <w:sz w:val="18"/>
                <w:szCs w:val="18"/>
              </w:rPr>
            </w:pPr>
            <w:r w:rsidRPr="009D738E">
              <w:rPr>
                <w:rFonts w:asciiTheme="majorHAnsi" w:hAnsiTheme="majorHAnsi" w:cstheme="majorHAnsi"/>
                <w:color w:val="000000" w:themeColor="text1"/>
                <w:sz w:val="18"/>
                <w:szCs w:val="18"/>
              </w:rPr>
              <w:t>46%</w:t>
            </w:r>
          </w:p>
        </w:tc>
        <w:tc>
          <w:tcPr>
            <w:tcW w:w="1868" w:type="dxa"/>
          </w:tcPr>
          <w:p w14:paraId="5FAFFA3D" w14:textId="77777777" w:rsidR="009D738E" w:rsidRPr="009D738E" w:rsidRDefault="009D738E" w:rsidP="000479A3">
            <w:pPr>
              <w:spacing w:before="100" w:beforeAutospacing="1" w:after="100" w:afterAutospacing="1" w:line="360" w:lineRule="auto"/>
              <w:rPr>
                <w:rFonts w:asciiTheme="majorHAnsi" w:hAnsiTheme="majorHAnsi" w:cstheme="majorHAnsi"/>
                <w:color w:val="000000" w:themeColor="text1"/>
                <w:sz w:val="18"/>
                <w:szCs w:val="18"/>
              </w:rPr>
            </w:pPr>
            <w:r w:rsidRPr="009D738E">
              <w:rPr>
                <w:rFonts w:asciiTheme="majorHAnsi" w:hAnsiTheme="majorHAnsi" w:cstheme="majorHAnsi"/>
                <w:color w:val="000000" w:themeColor="text1"/>
                <w:sz w:val="18"/>
                <w:szCs w:val="18"/>
              </w:rPr>
              <w:t>11%</w:t>
            </w:r>
          </w:p>
        </w:tc>
        <w:tc>
          <w:tcPr>
            <w:tcW w:w="1409" w:type="dxa"/>
          </w:tcPr>
          <w:p w14:paraId="7D1FDEC2" w14:textId="77777777" w:rsidR="009D738E" w:rsidRPr="009D738E" w:rsidRDefault="009D738E" w:rsidP="000479A3">
            <w:pPr>
              <w:spacing w:before="100" w:beforeAutospacing="1" w:after="100" w:afterAutospacing="1" w:line="360" w:lineRule="auto"/>
              <w:rPr>
                <w:rFonts w:asciiTheme="majorHAnsi" w:hAnsiTheme="majorHAnsi" w:cstheme="majorHAnsi"/>
                <w:color w:val="000000" w:themeColor="text1"/>
                <w:sz w:val="18"/>
                <w:szCs w:val="18"/>
              </w:rPr>
            </w:pPr>
            <w:r w:rsidRPr="009D738E">
              <w:rPr>
                <w:rFonts w:asciiTheme="majorHAnsi" w:hAnsiTheme="majorHAnsi" w:cstheme="majorHAnsi"/>
                <w:color w:val="000000" w:themeColor="text1"/>
                <w:sz w:val="18"/>
                <w:szCs w:val="18"/>
              </w:rPr>
              <w:t>33%</w:t>
            </w:r>
          </w:p>
        </w:tc>
        <w:tc>
          <w:tcPr>
            <w:tcW w:w="1306" w:type="dxa"/>
          </w:tcPr>
          <w:p w14:paraId="4AB1A832" w14:textId="77777777" w:rsidR="009D738E" w:rsidRPr="009D738E" w:rsidRDefault="009D738E" w:rsidP="000479A3">
            <w:pPr>
              <w:spacing w:before="100" w:beforeAutospacing="1" w:after="100" w:afterAutospacing="1" w:line="360" w:lineRule="auto"/>
              <w:rPr>
                <w:rFonts w:asciiTheme="majorHAnsi" w:hAnsiTheme="majorHAnsi" w:cstheme="majorHAnsi"/>
                <w:color w:val="000000" w:themeColor="text1"/>
                <w:sz w:val="18"/>
                <w:szCs w:val="18"/>
              </w:rPr>
            </w:pPr>
            <w:r w:rsidRPr="009D738E">
              <w:rPr>
                <w:rFonts w:asciiTheme="majorHAnsi" w:hAnsiTheme="majorHAnsi" w:cstheme="majorHAnsi"/>
                <w:color w:val="000000" w:themeColor="text1"/>
                <w:sz w:val="18"/>
                <w:szCs w:val="18"/>
              </w:rPr>
              <w:t>21%</w:t>
            </w:r>
          </w:p>
        </w:tc>
      </w:tr>
      <w:tr w:rsidR="009D738E" w:rsidRPr="009D738E" w14:paraId="011E2AC1" w14:textId="77777777" w:rsidTr="00EF19F0">
        <w:trPr>
          <w:trHeight w:val="166"/>
        </w:trPr>
        <w:tc>
          <w:tcPr>
            <w:tcW w:w="1625" w:type="dxa"/>
            <w:shd w:val="clear" w:color="auto" w:fill="BFBFBF" w:themeFill="background1" w:themeFillShade="BF"/>
          </w:tcPr>
          <w:p w14:paraId="1C08E36B" w14:textId="77777777" w:rsidR="009D738E" w:rsidRPr="009D738E" w:rsidRDefault="009D738E" w:rsidP="000479A3">
            <w:pPr>
              <w:spacing w:before="100" w:beforeAutospacing="1" w:after="100" w:afterAutospacing="1" w:line="360" w:lineRule="auto"/>
              <w:rPr>
                <w:rFonts w:asciiTheme="majorHAnsi" w:hAnsiTheme="majorHAnsi" w:cstheme="majorHAnsi"/>
                <w:color w:val="000000" w:themeColor="text1"/>
                <w:sz w:val="18"/>
                <w:szCs w:val="18"/>
              </w:rPr>
            </w:pPr>
            <w:r w:rsidRPr="009D738E">
              <w:rPr>
                <w:rFonts w:asciiTheme="majorHAnsi" w:hAnsiTheme="majorHAnsi" w:cstheme="majorHAnsi"/>
                <w:color w:val="000000" w:themeColor="text1"/>
                <w:sz w:val="18"/>
                <w:szCs w:val="18"/>
              </w:rPr>
              <w:t>Follow-Up Study **</w:t>
            </w:r>
          </w:p>
        </w:tc>
        <w:tc>
          <w:tcPr>
            <w:tcW w:w="1391" w:type="dxa"/>
            <w:shd w:val="clear" w:color="auto" w:fill="BFBFBF" w:themeFill="background1" w:themeFillShade="BF"/>
          </w:tcPr>
          <w:p w14:paraId="1C094448" w14:textId="77777777" w:rsidR="009D738E" w:rsidRPr="009D738E" w:rsidRDefault="009D738E" w:rsidP="000479A3">
            <w:pPr>
              <w:spacing w:before="100" w:beforeAutospacing="1" w:after="100" w:afterAutospacing="1" w:line="360" w:lineRule="auto"/>
              <w:rPr>
                <w:rFonts w:asciiTheme="majorHAnsi" w:hAnsiTheme="majorHAnsi" w:cstheme="majorHAnsi"/>
                <w:color w:val="000000" w:themeColor="text1"/>
                <w:sz w:val="18"/>
                <w:szCs w:val="18"/>
              </w:rPr>
            </w:pPr>
          </w:p>
        </w:tc>
        <w:tc>
          <w:tcPr>
            <w:tcW w:w="1868" w:type="dxa"/>
            <w:shd w:val="clear" w:color="auto" w:fill="BFBFBF" w:themeFill="background1" w:themeFillShade="BF"/>
          </w:tcPr>
          <w:p w14:paraId="2A8D51C7" w14:textId="77777777" w:rsidR="009D738E" w:rsidRPr="009D738E" w:rsidRDefault="009D738E" w:rsidP="000479A3">
            <w:pPr>
              <w:spacing w:before="100" w:beforeAutospacing="1" w:after="100" w:afterAutospacing="1" w:line="360" w:lineRule="auto"/>
              <w:rPr>
                <w:rFonts w:asciiTheme="majorHAnsi" w:hAnsiTheme="majorHAnsi" w:cstheme="majorHAnsi"/>
                <w:color w:val="000000" w:themeColor="text1"/>
                <w:sz w:val="18"/>
                <w:szCs w:val="18"/>
              </w:rPr>
            </w:pPr>
          </w:p>
        </w:tc>
        <w:tc>
          <w:tcPr>
            <w:tcW w:w="1409" w:type="dxa"/>
            <w:shd w:val="clear" w:color="auto" w:fill="BFBFBF" w:themeFill="background1" w:themeFillShade="BF"/>
          </w:tcPr>
          <w:p w14:paraId="0A870E0C" w14:textId="77777777" w:rsidR="009D738E" w:rsidRPr="009D738E" w:rsidRDefault="009D738E" w:rsidP="000479A3">
            <w:pPr>
              <w:spacing w:before="100" w:beforeAutospacing="1" w:after="100" w:afterAutospacing="1" w:line="360" w:lineRule="auto"/>
              <w:rPr>
                <w:rFonts w:asciiTheme="majorHAnsi" w:hAnsiTheme="majorHAnsi" w:cstheme="majorHAnsi"/>
                <w:color w:val="000000" w:themeColor="text1"/>
                <w:sz w:val="18"/>
                <w:szCs w:val="18"/>
              </w:rPr>
            </w:pPr>
          </w:p>
        </w:tc>
        <w:tc>
          <w:tcPr>
            <w:tcW w:w="1306" w:type="dxa"/>
            <w:shd w:val="clear" w:color="auto" w:fill="BFBFBF" w:themeFill="background1" w:themeFillShade="BF"/>
          </w:tcPr>
          <w:p w14:paraId="7A329229" w14:textId="77777777" w:rsidR="009D738E" w:rsidRPr="009D738E" w:rsidRDefault="009D738E" w:rsidP="000479A3">
            <w:pPr>
              <w:spacing w:before="100" w:beforeAutospacing="1" w:after="100" w:afterAutospacing="1" w:line="360" w:lineRule="auto"/>
              <w:rPr>
                <w:rFonts w:asciiTheme="majorHAnsi" w:hAnsiTheme="majorHAnsi" w:cstheme="majorHAnsi"/>
                <w:color w:val="000000" w:themeColor="text1"/>
                <w:sz w:val="18"/>
                <w:szCs w:val="18"/>
              </w:rPr>
            </w:pPr>
          </w:p>
        </w:tc>
      </w:tr>
      <w:tr w:rsidR="009D738E" w:rsidRPr="009D738E" w14:paraId="13A1EAF0" w14:textId="77777777" w:rsidTr="00EF19F0">
        <w:trPr>
          <w:trHeight w:val="67"/>
        </w:trPr>
        <w:tc>
          <w:tcPr>
            <w:tcW w:w="1625" w:type="dxa"/>
          </w:tcPr>
          <w:p w14:paraId="7D5AEB54" w14:textId="77777777" w:rsidR="009D738E" w:rsidRPr="009D738E" w:rsidRDefault="009D738E" w:rsidP="000479A3">
            <w:pPr>
              <w:spacing w:before="100" w:beforeAutospacing="1" w:after="100" w:afterAutospacing="1" w:line="360" w:lineRule="auto"/>
              <w:rPr>
                <w:rFonts w:asciiTheme="majorHAnsi" w:hAnsiTheme="majorHAnsi" w:cstheme="majorHAnsi"/>
                <w:color w:val="000000" w:themeColor="text1"/>
                <w:sz w:val="18"/>
                <w:szCs w:val="18"/>
              </w:rPr>
            </w:pPr>
            <w:r w:rsidRPr="009D738E">
              <w:rPr>
                <w:rFonts w:asciiTheme="majorHAnsi" w:hAnsiTheme="majorHAnsi" w:cstheme="majorHAnsi"/>
                <w:color w:val="000000" w:themeColor="text1"/>
                <w:sz w:val="18"/>
                <w:szCs w:val="18"/>
              </w:rPr>
              <w:t>PSHs (n=11)</w:t>
            </w:r>
          </w:p>
        </w:tc>
        <w:tc>
          <w:tcPr>
            <w:tcW w:w="1391" w:type="dxa"/>
          </w:tcPr>
          <w:p w14:paraId="2402DEB8" w14:textId="77777777" w:rsidR="009D738E" w:rsidRPr="009D738E" w:rsidRDefault="009D738E" w:rsidP="000479A3">
            <w:pPr>
              <w:spacing w:before="100" w:beforeAutospacing="1" w:after="100" w:afterAutospacing="1" w:line="360" w:lineRule="auto"/>
              <w:rPr>
                <w:rFonts w:asciiTheme="majorHAnsi" w:hAnsiTheme="majorHAnsi" w:cstheme="majorHAnsi"/>
                <w:color w:val="000000" w:themeColor="text1"/>
                <w:sz w:val="18"/>
                <w:szCs w:val="18"/>
              </w:rPr>
            </w:pPr>
            <w:r w:rsidRPr="009D738E">
              <w:rPr>
                <w:rFonts w:asciiTheme="majorHAnsi" w:hAnsiTheme="majorHAnsi" w:cstheme="majorHAnsi"/>
                <w:color w:val="000000" w:themeColor="text1"/>
                <w:sz w:val="18"/>
                <w:szCs w:val="18"/>
              </w:rPr>
              <w:t>42%</w:t>
            </w:r>
          </w:p>
        </w:tc>
        <w:tc>
          <w:tcPr>
            <w:tcW w:w="1868" w:type="dxa"/>
          </w:tcPr>
          <w:p w14:paraId="1D26F8C3" w14:textId="77777777" w:rsidR="009D738E" w:rsidRPr="009D738E" w:rsidRDefault="009D738E" w:rsidP="000479A3">
            <w:pPr>
              <w:spacing w:before="100" w:beforeAutospacing="1" w:after="100" w:afterAutospacing="1" w:line="360" w:lineRule="auto"/>
              <w:rPr>
                <w:rFonts w:asciiTheme="majorHAnsi" w:hAnsiTheme="majorHAnsi" w:cstheme="majorHAnsi"/>
                <w:color w:val="000000" w:themeColor="text1"/>
                <w:sz w:val="18"/>
                <w:szCs w:val="18"/>
              </w:rPr>
            </w:pPr>
            <w:r w:rsidRPr="009D738E">
              <w:rPr>
                <w:rFonts w:asciiTheme="majorHAnsi" w:hAnsiTheme="majorHAnsi" w:cstheme="majorHAnsi"/>
                <w:color w:val="000000" w:themeColor="text1"/>
                <w:sz w:val="18"/>
                <w:szCs w:val="18"/>
              </w:rPr>
              <w:t>17%</w:t>
            </w:r>
          </w:p>
        </w:tc>
        <w:tc>
          <w:tcPr>
            <w:tcW w:w="1409" w:type="dxa"/>
          </w:tcPr>
          <w:p w14:paraId="7B2201FD" w14:textId="77777777" w:rsidR="009D738E" w:rsidRPr="009D738E" w:rsidRDefault="009D738E" w:rsidP="000479A3">
            <w:pPr>
              <w:spacing w:before="100" w:beforeAutospacing="1" w:after="100" w:afterAutospacing="1" w:line="360" w:lineRule="auto"/>
              <w:rPr>
                <w:rFonts w:asciiTheme="majorHAnsi" w:hAnsiTheme="majorHAnsi" w:cstheme="majorHAnsi"/>
                <w:color w:val="000000" w:themeColor="text1"/>
                <w:sz w:val="18"/>
                <w:szCs w:val="18"/>
              </w:rPr>
            </w:pPr>
            <w:r w:rsidRPr="009D738E">
              <w:rPr>
                <w:rFonts w:asciiTheme="majorHAnsi" w:hAnsiTheme="majorHAnsi" w:cstheme="majorHAnsi"/>
                <w:color w:val="000000" w:themeColor="text1"/>
                <w:sz w:val="18"/>
                <w:szCs w:val="18"/>
              </w:rPr>
              <w:t>42%</w:t>
            </w:r>
          </w:p>
        </w:tc>
        <w:tc>
          <w:tcPr>
            <w:tcW w:w="1306" w:type="dxa"/>
          </w:tcPr>
          <w:p w14:paraId="62B34D1B" w14:textId="77777777" w:rsidR="009D738E" w:rsidRPr="009D738E" w:rsidRDefault="009D738E" w:rsidP="000479A3">
            <w:pPr>
              <w:spacing w:before="100" w:beforeAutospacing="1" w:after="100" w:afterAutospacing="1" w:line="360" w:lineRule="auto"/>
              <w:rPr>
                <w:rFonts w:asciiTheme="majorHAnsi" w:hAnsiTheme="majorHAnsi" w:cstheme="majorHAnsi"/>
                <w:color w:val="000000" w:themeColor="text1"/>
                <w:sz w:val="18"/>
                <w:szCs w:val="18"/>
              </w:rPr>
            </w:pPr>
            <w:r w:rsidRPr="009D738E">
              <w:rPr>
                <w:rFonts w:asciiTheme="majorHAnsi" w:hAnsiTheme="majorHAnsi" w:cstheme="majorHAnsi"/>
                <w:color w:val="000000" w:themeColor="text1"/>
                <w:sz w:val="18"/>
                <w:szCs w:val="18"/>
              </w:rPr>
              <w:t>25%</w:t>
            </w:r>
          </w:p>
        </w:tc>
      </w:tr>
      <w:tr w:rsidR="009D738E" w:rsidRPr="009D738E" w14:paraId="6911BFC9" w14:textId="77777777" w:rsidTr="00EF19F0">
        <w:trPr>
          <w:trHeight w:val="38"/>
        </w:trPr>
        <w:tc>
          <w:tcPr>
            <w:tcW w:w="1625" w:type="dxa"/>
          </w:tcPr>
          <w:p w14:paraId="45BEC2C4" w14:textId="77777777" w:rsidR="009D738E" w:rsidRPr="009D738E" w:rsidRDefault="009D738E" w:rsidP="000479A3">
            <w:pPr>
              <w:spacing w:before="100" w:beforeAutospacing="1" w:after="100" w:afterAutospacing="1" w:line="360" w:lineRule="auto"/>
              <w:rPr>
                <w:rFonts w:asciiTheme="majorHAnsi" w:hAnsiTheme="majorHAnsi" w:cstheme="majorHAnsi"/>
                <w:color w:val="000000" w:themeColor="text1"/>
                <w:sz w:val="18"/>
                <w:szCs w:val="18"/>
              </w:rPr>
            </w:pPr>
            <w:r w:rsidRPr="009D738E">
              <w:rPr>
                <w:rFonts w:asciiTheme="majorHAnsi" w:hAnsiTheme="majorHAnsi" w:cstheme="majorHAnsi"/>
                <w:color w:val="000000" w:themeColor="text1"/>
                <w:sz w:val="18"/>
                <w:szCs w:val="18"/>
              </w:rPr>
              <w:t>Teachers (n=61)</w:t>
            </w:r>
          </w:p>
        </w:tc>
        <w:tc>
          <w:tcPr>
            <w:tcW w:w="1391" w:type="dxa"/>
          </w:tcPr>
          <w:p w14:paraId="4242C147" w14:textId="77777777" w:rsidR="009D738E" w:rsidRPr="009D738E" w:rsidRDefault="009D738E" w:rsidP="000479A3">
            <w:pPr>
              <w:spacing w:before="100" w:beforeAutospacing="1" w:after="100" w:afterAutospacing="1" w:line="360" w:lineRule="auto"/>
              <w:rPr>
                <w:rFonts w:asciiTheme="majorHAnsi" w:hAnsiTheme="majorHAnsi" w:cstheme="majorHAnsi"/>
                <w:color w:val="000000" w:themeColor="text1"/>
                <w:sz w:val="18"/>
                <w:szCs w:val="18"/>
              </w:rPr>
            </w:pPr>
            <w:r w:rsidRPr="009D738E">
              <w:rPr>
                <w:rFonts w:asciiTheme="majorHAnsi" w:hAnsiTheme="majorHAnsi" w:cstheme="majorHAnsi"/>
                <w:color w:val="000000" w:themeColor="text1"/>
                <w:sz w:val="18"/>
                <w:szCs w:val="18"/>
              </w:rPr>
              <w:t>28%</w:t>
            </w:r>
          </w:p>
        </w:tc>
        <w:tc>
          <w:tcPr>
            <w:tcW w:w="1868" w:type="dxa"/>
          </w:tcPr>
          <w:p w14:paraId="15FDA619" w14:textId="77777777" w:rsidR="009D738E" w:rsidRPr="009D738E" w:rsidRDefault="009D738E" w:rsidP="000479A3">
            <w:pPr>
              <w:spacing w:before="100" w:beforeAutospacing="1" w:after="100" w:afterAutospacing="1" w:line="360" w:lineRule="auto"/>
              <w:rPr>
                <w:rFonts w:asciiTheme="majorHAnsi" w:hAnsiTheme="majorHAnsi" w:cstheme="majorHAnsi"/>
                <w:color w:val="000000" w:themeColor="text1"/>
                <w:sz w:val="18"/>
                <w:szCs w:val="18"/>
              </w:rPr>
            </w:pPr>
            <w:r w:rsidRPr="009D738E">
              <w:rPr>
                <w:rFonts w:asciiTheme="majorHAnsi" w:hAnsiTheme="majorHAnsi" w:cstheme="majorHAnsi"/>
                <w:color w:val="000000" w:themeColor="text1"/>
                <w:sz w:val="18"/>
                <w:szCs w:val="18"/>
              </w:rPr>
              <w:t>39%</w:t>
            </w:r>
          </w:p>
        </w:tc>
        <w:tc>
          <w:tcPr>
            <w:tcW w:w="1409" w:type="dxa"/>
          </w:tcPr>
          <w:p w14:paraId="3ED9D6BD" w14:textId="77777777" w:rsidR="009D738E" w:rsidRPr="009D738E" w:rsidRDefault="009D738E" w:rsidP="000479A3">
            <w:pPr>
              <w:spacing w:before="100" w:beforeAutospacing="1" w:after="100" w:afterAutospacing="1" w:line="360" w:lineRule="auto"/>
              <w:rPr>
                <w:rFonts w:asciiTheme="majorHAnsi" w:hAnsiTheme="majorHAnsi" w:cstheme="majorHAnsi"/>
                <w:color w:val="000000" w:themeColor="text1"/>
                <w:sz w:val="18"/>
                <w:szCs w:val="18"/>
              </w:rPr>
            </w:pPr>
            <w:r w:rsidRPr="009D738E">
              <w:rPr>
                <w:rFonts w:asciiTheme="majorHAnsi" w:hAnsiTheme="majorHAnsi" w:cstheme="majorHAnsi"/>
                <w:color w:val="000000" w:themeColor="text1"/>
                <w:sz w:val="18"/>
                <w:szCs w:val="18"/>
              </w:rPr>
              <w:t>30%</w:t>
            </w:r>
          </w:p>
        </w:tc>
        <w:tc>
          <w:tcPr>
            <w:tcW w:w="1306" w:type="dxa"/>
          </w:tcPr>
          <w:p w14:paraId="460FD957" w14:textId="77777777" w:rsidR="009D738E" w:rsidRPr="009D738E" w:rsidRDefault="009D738E" w:rsidP="000479A3">
            <w:pPr>
              <w:spacing w:before="100" w:beforeAutospacing="1" w:after="100" w:afterAutospacing="1" w:line="360" w:lineRule="auto"/>
              <w:rPr>
                <w:rFonts w:asciiTheme="majorHAnsi" w:hAnsiTheme="majorHAnsi" w:cstheme="majorHAnsi"/>
                <w:color w:val="000000" w:themeColor="text1"/>
                <w:sz w:val="18"/>
                <w:szCs w:val="18"/>
              </w:rPr>
            </w:pPr>
            <w:r w:rsidRPr="009D738E">
              <w:rPr>
                <w:rFonts w:asciiTheme="majorHAnsi" w:hAnsiTheme="majorHAnsi" w:cstheme="majorHAnsi"/>
                <w:color w:val="000000" w:themeColor="text1"/>
                <w:sz w:val="18"/>
                <w:szCs w:val="18"/>
              </w:rPr>
              <w:t>41%</w:t>
            </w:r>
          </w:p>
        </w:tc>
      </w:tr>
    </w:tbl>
    <w:p w14:paraId="77ED11AA" w14:textId="2EA00235" w:rsidR="009D738E" w:rsidRPr="007C1A2E" w:rsidRDefault="009D738E" w:rsidP="007C1A2E">
      <w:pPr>
        <w:spacing w:before="100" w:beforeAutospacing="1" w:after="100" w:afterAutospacing="1" w:line="360" w:lineRule="auto"/>
        <w:ind w:right="2499"/>
        <w:rPr>
          <w:rFonts w:asciiTheme="majorHAnsi" w:hAnsiTheme="majorHAnsi" w:cstheme="majorHAnsi"/>
          <w:color w:val="000000" w:themeColor="text1"/>
          <w:sz w:val="14"/>
          <w:szCs w:val="14"/>
        </w:rPr>
      </w:pPr>
      <w:r w:rsidRPr="00020D54">
        <w:rPr>
          <w:rFonts w:asciiTheme="majorHAnsi" w:hAnsiTheme="majorHAnsi" w:cstheme="majorHAnsi"/>
          <w:color w:val="000000" w:themeColor="text1"/>
          <w:sz w:val="14"/>
          <w:szCs w:val="14"/>
        </w:rPr>
        <w:t>*2019 KAU Survey **2020 KAU Survey</w:t>
      </w:r>
    </w:p>
    <w:p w14:paraId="5CCB99B2" w14:textId="77777777" w:rsidR="008D0CAD" w:rsidRPr="009D7826" w:rsidRDefault="008D0CAD" w:rsidP="000479A3">
      <w:pPr>
        <w:spacing w:before="100" w:beforeAutospacing="1" w:after="100" w:afterAutospacing="1" w:line="360" w:lineRule="auto"/>
        <w:rPr>
          <w:rFonts w:asciiTheme="majorHAnsi" w:hAnsiTheme="majorHAnsi" w:cstheme="majorHAnsi"/>
          <w:color w:val="000000" w:themeColor="text1"/>
          <w:lang w:val="en-GB"/>
        </w:rPr>
      </w:pPr>
      <w:r w:rsidRPr="009A101E">
        <w:rPr>
          <w:rFonts w:asciiTheme="majorHAnsi" w:hAnsiTheme="majorHAnsi" w:cstheme="majorHAnsi"/>
          <w:color w:val="000000" w:themeColor="text1"/>
        </w:rPr>
        <w:t>On the other hand, more than half find these useful.</w:t>
      </w:r>
      <w:r>
        <w:rPr>
          <w:rFonts w:asciiTheme="majorHAnsi" w:hAnsiTheme="majorHAnsi" w:cstheme="majorHAnsi"/>
          <w:color w:val="000000" w:themeColor="text1"/>
        </w:rPr>
        <w:t xml:space="preserve"> In the Follow-Up Study, the share of </w:t>
      </w:r>
      <w:r>
        <w:rPr>
          <w:rFonts w:asciiTheme="majorHAnsi" w:hAnsiTheme="majorHAnsi" w:cstheme="majorHAnsi"/>
          <w:color w:val="000000" w:themeColor="text1"/>
          <w:lang w:val="en-GB"/>
        </w:rPr>
        <w:t>principal</w:t>
      </w:r>
      <w:r>
        <w:rPr>
          <w:rFonts w:asciiTheme="majorHAnsi" w:hAnsiTheme="majorHAnsi" w:cstheme="majorHAnsi"/>
          <w:color w:val="000000" w:themeColor="text1"/>
        </w:rPr>
        <w:t>s who had knowledge and access of and used the TIP Modules increased. This suggests that over time, the utility of the TIP Modules is starting to be recognised.</w:t>
      </w:r>
    </w:p>
    <w:p w14:paraId="09D43415" w14:textId="7527DBD7" w:rsidR="008D0CAD" w:rsidRPr="001A544F" w:rsidRDefault="008D0CAD" w:rsidP="000479A3">
      <w:pPr>
        <w:spacing w:before="100" w:beforeAutospacing="1" w:after="100" w:afterAutospacing="1" w:line="360" w:lineRule="auto"/>
        <w:rPr>
          <w:rFonts w:asciiTheme="majorHAnsi" w:hAnsiTheme="majorHAnsi" w:cstheme="majorHAnsi"/>
          <w:lang w:val="en-GB"/>
        </w:rPr>
      </w:pPr>
      <w:r>
        <w:rPr>
          <w:rFonts w:asciiTheme="majorHAnsi" w:hAnsiTheme="majorHAnsi" w:cstheme="majorHAnsi"/>
          <w:color w:val="000000" w:themeColor="text1"/>
        </w:rPr>
        <w:t>Knowledge, access and utility of the TIP Modules among teachers was significantly lower and the reason for this is that the TIP Modules are only for beginning teachers.</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In the Main Study, most of the teachers who participated in the surveys and FGDs were those with long years of experience (Table 12). In the Follow-Up Study, at least four schools had teachers who had been teaching for less than five years.</w:t>
      </w:r>
    </w:p>
    <w:p w14:paraId="2CDECB1E" w14:textId="1529C67D" w:rsidR="008D0CAD" w:rsidRPr="00DD6E21" w:rsidRDefault="008D0CAD" w:rsidP="000479A3">
      <w:pPr>
        <w:spacing w:before="100" w:beforeAutospacing="1" w:after="100" w:afterAutospacing="1" w:line="360" w:lineRule="auto"/>
        <w:ind w:right="3066"/>
        <w:rPr>
          <w:rFonts w:asciiTheme="majorHAnsi" w:hAnsiTheme="majorHAnsi" w:cstheme="majorHAnsi"/>
          <w:i/>
          <w:iCs/>
          <w:color w:val="44546A" w:themeColor="text2"/>
          <w:sz w:val="22"/>
          <w:szCs w:val="22"/>
        </w:rPr>
      </w:pPr>
      <w:bookmarkStart w:id="93" w:name="_Toc71616603"/>
      <w:r w:rsidRPr="00DD6E21">
        <w:rPr>
          <w:rFonts w:asciiTheme="majorHAnsi" w:hAnsiTheme="majorHAnsi" w:cstheme="majorHAnsi"/>
          <w:i/>
          <w:iCs/>
          <w:color w:val="44546A" w:themeColor="text2"/>
          <w:sz w:val="22"/>
          <w:szCs w:val="22"/>
        </w:rPr>
        <w:t xml:space="preserve">Table </w:t>
      </w:r>
      <w:r w:rsidRPr="00DD6E21">
        <w:rPr>
          <w:rFonts w:asciiTheme="majorHAnsi" w:hAnsiTheme="majorHAnsi" w:cstheme="majorHAnsi"/>
          <w:i/>
          <w:iCs/>
          <w:color w:val="44546A" w:themeColor="text2"/>
          <w:sz w:val="22"/>
          <w:szCs w:val="22"/>
        </w:rPr>
        <w:fldChar w:fldCharType="begin"/>
      </w:r>
      <w:r w:rsidRPr="00DD6E21">
        <w:rPr>
          <w:rFonts w:asciiTheme="majorHAnsi" w:hAnsiTheme="majorHAnsi" w:cstheme="majorHAnsi"/>
          <w:i/>
          <w:iCs/>
          <w:color w:val="44546A" w:themeColor="text2"/>
          <w:sz w:val="22"/>
          <w:szCs w:val="22"/>
        </w:rPr>
        <w:instrText xml:space="preserve"> SEQ Table \* ARABIC </w:instrText>
      </w:r>
      <w:r w:rsidRPr="00DD6E21">
        <w:rPr>
          <w:rFonts w:asciiTheme="majorHAnsi" w:hAnsiTheme="majorHAnsi" w:cstheme="majorHAnsi"/>
          <w:i/>
          <w:iCs/>
          <w:color w:val="44546A" w:themeColor="text2"/>
          <w:sz w:val="22"/>
          <w:szCs w:val="22"/>
        </w:rPr>
        <w:fldChar w:fldCharType="separate"/>
      </w:r>
      <w:r w:rsidR="00D6133D">
        <w:rPr>
          <w:rFonts w:asciiTheme="majorHAnsi" w:hAnsiTheme="majorHAnsi" w:cstheme="majorHAnsi"/>
          <w:i/>
          <w:iCs/>
          <w:noProof/>
          <w:color w:val="44546A" w:themeColor="text2"/>
          <w:sz w:val="22"/>
          <w:szCs w:val="22"/>
        </w:rPr>
        <w:t>12</w:t>
      </w:r>
      <w:r w:rsidRPr="00DD6E21">
        <w:rPr>
          <w:rFonts w:asciiTheme="majorHAnsi" w:hAnsiTheme="majorHAnsi" w:cstheme="majorHAnsi"/>
          <w:i/>
          <w:iCs/>
          <w:color w:val="44546A" w:themeColor="text2"/>
          <w:sz w:val="22"/>
          <w:szCs w:val="22"/>
        </w:rPr>
        <w:fldChar w:fldCharType="end"/>
      </w:r>
      <w:r w:rsidRPr="00DD6E21">
        <w:rPr>
          <w:rFonts w:asciiTheme="majorHAnsi" w:hAnsiTheme="majorHAnsi" w:cstheme="majorHAnsi"/>
          <w:i/>
          <w:iCs/>
          <w:color w:val="44546A" w:themeColor="text2"/>
          <w:sz w:val="22"/>
          <w:szCs w:val="22"/>
        </w:rPr>
        <w:t>.</w:t>
      </w:r>
      <w:r w:rsidR="00D434EB">
        <w:rPr>
          <w:rFonts w:asciiTheme="majorHAnsi" w:hAnsiTheme="majorHAnsi" w:cstheme="majorHAnsi"/>
          <w:bCs/>
          <w:i/>
          <w:iCs/>
          <w:color w:val="44546A" w:themeColor="text2"/>
          <w:sz w:val="22"/>
          <w:szCs w:val="22"/>
        </w:rPr>
        <w:t xml:space="preserve"> </w:t>
      </w:r>
      <w:r w:rsidRPr="00DD6E21">
        <w:rPr>
          <w:rFonts w:asciiTheme="majorHAnsi" w:hAnsiTheme="majorHAnsi" w:cstheme="majorHAnsi"/>
          <w:bCs/>
          <w:i/>
          <w:iCs/>
          <w:color w:val="44546A" w:themeColor="text2"/>
          <w:sz w:val="22"/>
          <w:szCs w:val="22"/>
        </w:rPr>
        <w:t xml:space="preserve">Principals’ and Teachers’ Perceptions on </w:t>
      </w:r>
      <w:r w:rsidRPr="00DD6E21">
        <w:rPr>
          <w:rFonts w:asciiTheme="majorHAnsi" w:hAnsiTheme="majorHAnsi" w:cstheme="majorHAnsi"/>
          <w:i/>
          <w:iCs/>
          <w:color w:val="44546A" w:themeColor="text2"/>
          <w:sz w:val="22"/>
          <w:szCs w:val="22"/>
        </w:rPr>
        <w:t>the TIP Modules</w:t>
      </w:r>
      <w:bookmarkEnd w:id="93"/>
    </w:p>
    <w:tbl>
      <w:tblPr>
        <w:tblStyle w:val="TableGrid"/>
        <w:tblW w:w="0" w:type="auto"/>
        <w:tblLayout w:type="fixed"/>
        <w:tblLook w:val="04A0" w:firstRow="1" w:lastRow="0" w:firstColumn="1" w:lastColumn="0" w:noHBand="0" w:noVBand="1"/>
      </w:tblPr>
      <w:tblGrid>
        <w:gridCol w:w="1696"/>
        <w:gridCol w:w="1276"/>
        <w:gridCol w:w="1559"/>
        <w:gridCol w:w="1001"/>
        <w:gridCol w:w="842"/>
        <w:gridCol w:w="1262"/>
        <w:gridCol w:w="1165"/>
      </w:tblGrid>
      <w:tr w:rsidR="00193857" w:rsidRPr="00020D54" w14:paraId="6FAD374C" w14:textId="77777777" w:rsidTr="00F4751F">
        <w:trPr>
          <w:trHeight w:val="412"/>
          <w:tblHeader/>
        </w:trPr>
        <w:tc>
          <w:tcPr>
            <w:tcW w:w="1696" w:type="dxa"/>
          </w:tcPr>
          <w:p w14:paraId="44439B0B" w14:textId="77777777" w:rsidR="009D738E" w:rsidRPr="00020D54" w:rsidRDefault="009D738E" w:rsidP="000479A3">
            <w:pPr>
              <w:spacing w:before="100" w:beforeAutospacing="1" w:after="100" w:afterAutospacing="1" w:line="360" w:lineRule="auto"/>
              <w:rPr>
                <w:rFonts w:asciiTheme="majorHAnsi" w:hAnsiTheme="majorHAnsi" w:cstheme="majorHAnsi"/>
                <w:color w:val="000000" w:themeColor="text1"/>
                <w:sz w:val="18"/>
                <w:szCs w:val="18"/>
              </w:rPr>
            </w:pPr>
          </w:p>
        </w:tc>
        <w:tc>
          <w:tcPr>
            <w:tcW w:w="1276" w:type="dxa"/>
          </w:tcPr>
          <w:p w14:paraId="709FE0BE" w14:textId="77777777" w:rsidR="009D738E" w:rsidRPr="00020D54" w:rsidRDefault="009D738E" w:rsidP="000479A3">
            <w:pPr>
              <w:spacing w:before="100" w:beforeAutospacing="1" w:after="100" w:afterAutospacing="1" w:line="360" w:lineRule="auto"/>
              <w:rPr>
                <w:rFonts w:asciiTheme="majorHAnsi" w:hAnsiTheme="majorHAnsi" w:cstheme="majorHAnsi"/>
                <w:b/>
                <w:bCs/>
                <w:color w:val="000000" w:themeColor="text1"/>
                <w:sz w:val="18"/>
                <w:szCs w:val="18"/>
              </w:rPr>
            </w:pPr>
            <w:r w:rsidRPr="00020D54">
              <w:rPr>
                <w:rFonts w:asciiTheme="majorHAnsi" w:hAnsiTheme="majorHAnsi" w:cstheme="majorHAnsi"/>
                <w:b/>
                <w:bCs/>
                <w:color w:val="000000" w:themeColor="text1"/>
                <w:sz w:val="18"/>
                <w:szCs w:val="18"/>
              </w:rPr>
              <w:t>% Sufficient knowledge</w:t>
            </w:r>
          </w:p>
        </w:tc>
        <w:tc>
          <w:tcPr>
            <w:tcW w:w="1559" w:type="dxa"/>
          </w:tcPr>
          <w:p w14:paraId="407DBA81" w14:textId="77777777" w:rsidR="009D738E" w:rsidRPr="00020D54" w:rsidRDefault="009D738E" w:rsidP="000479A3">
            <w:pPr>
              <w:spacing w:before="100" w:beforeAutospacing="1" w:after="100" w:afterAutospacing="1" w:line="360" w:lineRule="auto"/>
              <w:rPr>
                <w:rFonts w:asciiTheme="majorHAnsi" w:hAnsiTheme="majorHAnsi" w:cstheme="majorHAnsi"/>
                <w:b/>
                <w:bCs/>
                <w:color w:val="000000" w:themeColor="text1"/>
                <w:sz w:val="18"/>
                <w:szCs w:val="18"/>
              </w:rPr>
            </w:pPr>
            <w:r w:rsidRPr="00020D54">
              <w:rPr>
                <w:rFonts w:asciiTheme="majorHAnsi" w:hAnsiTheme="majorHAnsi" w:cstheme="majorHAnsi"/>
                <w:b/>
                <w:bCs/>
                <w:color w:val="000000" w:themeColor="text1"/>
                <w:sz w:val="18"/>
                <w:szCs w:val="18"/>
              </w:rPr>
              <w:t>% Comprehensive knowledge</w:t>
            </w:r>
          </w:p>
        </w:tc>
        <w:tc>
          <w:tcPr>
            <w:tcW w:w="1001" w:type="dxa"/>
          </w:tcPr>
          <w:p w14:paraId="3268CCD8" w14:textId="77777777" w:rsidR="009D738E" w:rsidRPr="00020D54" w:rsidRDefault="009D738E" w:rsidP="000479A3">
            <w:pPr>
              <w:spacing w:before="100" w:beforeAutospacing="1" w:after="100" w:afterAutospacing="1" w:line="360" w:lineRule="auto"/>
              <w:rPr>
                <w:rFonts w:asciiTheme="majorHAnsi" w:hAnsiTheme="majorHAnsi" w:cstheme="majorHAnsi"/>
                <w:b/>
                <w:bCs/>
                <w:color w:val="000000" w:themeColor="text1"/>
                <w:sz w:val="18"/>
                <w:szCs w:val="18"/>
              </w:rPr>
            </w:pPr>
            <w:r w:rsidRPr="00020D54">
              <w:rPr>
                <w:rFonts w:asciiTheme="majorHAnsi" w:hAnsiTheme="majorHAnsi" w:cstheme="majorHAnsi"/>
                <w:b/>
                <w:bCs/>
                <w:color w:val="000000" w:themeColor="text1"/>
                <w:sz w:val="18"/>
                <w:szCs w:val="18"/>
              </w:rPr>
              <w:t>% Full access – Individual</w:t>
            </w:r>
          </w:p>
        </w:tc>
        <w:tc>
          <w:tcPr>
            <w:tcW w:w="842" w:type="dxa"/>
          </w:tcPr>
          <w:p w14:paraId="7987361C" w14:textId="77777777" w:rsidR="009D738E" w:rsidRPr="00020D54" w:rsidRDefault="009D738E" w:rsidP="000479A3">
            <w:pPr>
              <w:spacing w:before="100" w:beforeAutospacing="1" w:after="100" w:afterAutospacing="1" w:line="360" w:lineRule="auto"/>
              <w:rPr>
                <w:rFonts w:asciiTheme="majorHAnsi" w:hAnsiTheme="majorHAnsi" w:cstheme="majorHAnsi"/>
                <w:b/>
                <w:bCs/>
                <w:color w:val="000000" w:themeColor="text1"/>
                <w:sz w:val="18"/>
                <w:szCs w:val="18"/>
              </w:rPr>
            </w:pPr>
            <w:r w:rsidRPr="00020D54">
              <w:rPr>
                <w:rFonts w:asciiTheme="majorHAnsi" w:hAnsiTheme="majorHAnsi" w:cstheme="majorHAnsi"/>
                <w:b/>
                <w:bCs/>
                <w:color w:val="000000" w:themeColor="text1"/>
                <w:sz w:val="18"/>
                <w:szCs w:val="18"/>
              </w:rPr>
              <w:t>% Full access School</w:t>
            </w:r>
          </w:p>
        </w:tc>
        <w:tc>
          <w:tcPr>
            <w:tcW w:w="1262" w:type="dxa"/>
          </w:tcPr>
          <w:p w14:paraId="5333C07D" w14:textId="77777777" w:rsidR="009D738E" w:rsidRPr="00020D54" w:rsidRDefault="009D738E" w:rsidP="000479A3">
            <w:pPr>
              <w:spacing w:before="100" w:beforeAutospacing="1" w:after="100" w:afterAutospacing="1" w:line="360" w:lineRule="auto"/>
              <w:rPr>
                <w:rFonts w:asciiTheme="majorHAnsi" w:hAnsiTheme="majorHAnsi" w:cstheme="majorHAnsi"/>
                <w:b/>
                <w:bCs/>
                <w:color w:val="000000" w:themeColor="text1"/>
                <w:sz w:val="18"/>
                <w:szCs w:val="18"/>
              </w:rPr>
            </w:pPr>
            <w:r w:rsidRPr="00020D54">
              <w:rPr>
                <w:rFonts w:asciiTheme="majorHAnsi" w:hAnsiTheme="majorHAnsi" w:cstheme="majorHAnsi"/>
                <w:b/>
                <w:bCs/>
                <w:color w:val="000000" w:themeColor="text1"/>
                <w:sz w:val="18"/>
                <w:szCs w:val="18"/>
              </w:rPr>
              <w:t>% Sufficiently useful</w:t>
            </w:r>
          </w:p>
        </w:tc>
        <w:tc>
          <w:tcPr>
            <w:tcW w:w="1165" w:type="dxa"/>
          </w:tcPr>
          <w:p w14:paraId="036C600B" w14:textId="77777777" w:rsidR="009D738E" w:rsidRPr="00020D54" w:rsidRDefault="009D738E" w:rsidP="000479A3">
            <w:pPr>
              <w:spacing w:before="100" w:beforeAutospacing="1" w:after="100" w:afterAutospacing="1" w:line="360" w:lineRule="auto"/>
              <w:rPr>
                <w:rFonts w:asciiTheme="majorHAnsi" w:hAnsiTheme="majorHAnsi" w:cstheme="majorHAnsi"/>
                <w:b/>
                <w:bCs/>
                <w:color w:val="000000" w:themeColor="text1"/>
                <w:sz w:val="18"/>
                <w:szCs w:val="18"/>
              </w:rPr>
            </w:pPr>
            <w:r w:rsidRPr="00020D54">
              <w:rPr>
                <w:rFonts w:asciiTheme="majorHAnsi" w:hAnsiTheme="majorHAnsi" w:cstheme="majorHAnsi"/>
                <w:b/>
                <w:bCs/>
                <w:color w:val="000000" w:themeColor="text1"/>
                <w:sz w:val="18"/>
                <w:szCs w:val="18"/>
              </w:rPr>
              <w:t>% Extremely useful</w:t>
            </w:r>
          </w:p>
        </w:tc>
      </w:tr>
      <w:tr w:rsidR="00193857" w:rsidRPr="00020D54" w14:paraId="09A68D53" w14:textId="77777777" w:rsidTr="0017212A">
        <w:trPr>
          <w:trHeight w:val="77"/>
        </w:trPr>
        <w:tc>
          <w:tcPr>
            <w:tcW w:w="1696" w:type="dxa"/>
          </w:tcPr>
          <w:p w14:paraId="632F4C61" w14:textId="77777777" w:rsidR="009D738E" w:rsidRPr="00020D54" w:rsidRDefault="009D738E"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Main Study*</w:t>
            </w:r>
          </w:p>
        </w:tc>
        <w:tc>
          <w:tcPr>
            <w:tcW w:w="1276" w:type="dxa"/>
          </w:tcPr>
          <w:p w14:paraId="28920320" w14:textId="77777777" w:rsidR="009D738E" w:rsidRPr="00020D54" w:rsidRDefault="009D738E" w:rsidP="000479A3">
            <w:pPr>
              <w:spacing w:before="100" w:beforeAutospacing="1" w:after="100" w:afterAutospacing="1" w:line="360" w:lineRule="auto"/>
              <w:rPr>
                <w:rFonts w:asciiTheme="majorHAnsi" w:hAnsiTheme="majorHAnsi" w:cstheme="majorHAnsi"/>
                <w:color w:val="000000" w:themeColor="text1"/>
                <w:sz w:val="18"/>
                <w:szCs w:val="18"/>
              </w:rPr>
            </w:pPr>
          </w:p>
        </w:tc>
        <w:tc>
          <w:tcPr>
            <w:tcW w:w="1559" w:type="dxa"/>
          </w:tcPr>
          <w:p w14:paraId="048EACF5" w14:textId="77777777" w:rsidR="009D738E" w:rsidRPr="00020D54" w:rsidRDefault="009D738E" w:rsidP="000479A3">
            <w:pPr>
              <w:spacing w:before="100" w:beforeAutospacing="1" w:after="100" w:afterAutospacing="1" w:line="360" w:lineRule="auto"/>
              <w:rPr>
                <w:rFonts w:asciiTheme="majorHAnsi" w:hAnsiTheme="majorHAnsi" w:cstheme="majorHAnsi"/>
                <w:color w:val="000000" w:themeColor="text1"/>
                <w:sz w:val="18"/>
                <w:szCs w:val="18"/>
              </w:rPr>
            </w:pPr>
          </w:p>
        </w:tc>
        <w:tc>
          <w:tcPr>
            <w:tcW w:w="1001" w:type="dxa"/>
          </w:tcPr>
          <w:p w14:paraId="708DEDAC" w14:textId="77777777" w:rsidR="009D738E" w:rsidRPr="00020D54" w:rsidRDefault="009D738E" w:rsidP="000479A3">
            <w:pPr>
              <w:spacing w:before="100" w:beforeAutospacing="1" w:after="100" w:afterAutospacing="1" w:line="360" w:lineRule="auto"/>
              <w:rPr>
                <w:rFonts w:asciiTheme="majorHAnsi" w:hAnsiTheme="majorHAnsi" w:cstheme="majorHAnsi"/>
                <w:color w:val="000000" w:themeColor="text1"/>
                <w:sz w:val="18"/>
                <w:szCs w:val="18"/>
              </w:rPr>
            </w:pPr>
          </w:p>
        </w:tc>
        <w:tc>
          <w:tcPr>
            <w:tcW w:w="842" w:type="dxa"/>
          </w:tcPr>
          <w:p w14:paraId="0FE3C1F2" w14:textId="77777777" w:rsidR="009D738E" w:rsidRPr="00020D54" w:rsidRDefault="009D738E" w:rsidP="000479A3">
            <w:pPr>
              <w:spacing w:before="100" w:beforeAutospacing="1" w:after="100" w:afterAutospacing="1" w:line="360" w:lineRule="auto"/>
              <w:rPr>
                <w:rFonts w:asciiTheme="majorHAnsi" w:hAnsiTheme="majorHAnsi" w:cstheme="majorHAnsi"/>
                <w:color w:val="000000" w:themeColor="text1"/>
                <w:sz w:val="18"/>
                <w:szCs w:val="18"/>
              </w:rPr>
            </w:pPr>
          </w:p>
        </w:tc>
        <w:tc>
          <w:tcPr>
            <w:tcW w:w="1262" w:type="dxa"/>
          </w:tcPr>
          <w:p w14:paraId="2F94081A" w14:textId="77777777" w:rsidR="009D738E" w:rsidRPr="00020D54" w:rsidRDefault="009D738E" w:rsidP="000479A3">
            <w:pPr>
              <w:spacing w:before="100" w:beforeAutospacing="1" w:after="100" w:afterAutospacing="1" w:line="360" w:lineRule="auto"/>
              <w:rPr>
                <w:rFonts w:asciiTheme="majorHAnsi" w:hAnsiTheme="majorHAnsi" w:cstheme="majorHAnsi"/>
                <w:color w:val="000000" w:themeColor="text1"/>
                <w:sz w:val="18"/>
                <w:szCs w:val="18"/>
              </w:rPr>
            </w:pPr>
          </w:p>
        </w:tc>
        <w:tc>
          <w:tcPr>
            <w:tcW w:w="1165" w:type="dxa"/>
          </w:tcPr>
          <w:p w14:paraId="5D07A735" w14:textId="77777777" w:rsidR="009D738E" w:rsidRPr="00020D54" w:rsidRDefault="009D738E" w:rsidP="000479A3">
            <w:pPr>
              <w:spacing w:before="100" w:beforeAutospacing="1" w:after="100" w:afterAutospacing="1" w:line="360" w:lineRule="auto"/>
              <w:rPr>
                <w:rFonts w:asciiTheme="majorHAnsi" w:hAnsiTheme="majorHAnsi" w:cstheme="majorHAnsi"/>
                <w:color w:val="000000" w:themeColor="text1"/>
                <w:sz w:val="18"/>
                <w:szCs w:val="18"/>
              </w:rPr>
            </w:pPr>
          </w:p>
        </w:tc>
      </w:tr>
      <w:tr w:rsidR="00193857" w:rsidRPr="00020D54" w14:paraId="77773D94" w14:textId="77777777" w:rsidTr="0017212A">
        <w:trPr>
          <w:trHeight w:val="36"/>
        </w:trPr>
        <w:tc>
          <w:tcPr>
            <w:tcW w:w="1696" w:type="dxa"/>
          </w:tcPr>
          <w:p w14:paraId="5588604C" w14:textId="77777777" w:rsidR="009D738E" w:rsidRPr="00020D54" w:rsidRDefault="009D738E"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PSHs (n=26)</w:t>
            </w:r>
          </w:p>
        </w:tc>
        <w:tc>
          <w:tcPr>
            <w:tcW w:w="1276" w:type="dxa"/>
          </w:tcPr>
          <w:p w14:paraId="6BE337D2" w14:textId="77777777" w:rsidR="009D738E" w:rsidRPr="00020D54" w:rsidRDefault="009D738E"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31%</w:t>
            </w:r>
          </w:p>
        </w:tc>
        <w:tc>
          <w:tcPr>
            <w:tcW w:w="1559" w:type="dxa"/>
          </w:tcPr>
          <w:p w14:paraId="06E168EE" w14:textId="77777777" w:rsidR="009D738E" w:rsidRPr="00020D54" w:rsidRDefault="009D738E"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15%</w:t>
            </w:r>
          </w:p>
        </w:tc>
        <w:tc>
          <w:tcPr>
            <w:tcW w:w="1001" w:type="dxa"/>
          </w:tcPr>
          <w:p w14:paraId="10832CD5" w14:textId="77777777" w:rsidR="009D738E" w:rsidRPr="00020D54" w:rsidRDefault="009D738E"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38%</w:t>
            </w:r>
          </w:p>
        </w:tc>
        <w:tc>
          <w:tcPr>
            <w:tcW w:w="842" w:type="dxa"/>
          </w:tcPr>
          <w:p w14:paraId="135BADF7" w14:textId="77777777" w:rsidR="009D738E" w:rsidRPr="00020D54" w:rsidRDefault="00717132"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12</w:t>
            </w:r>
            <w:r w:rsidR="009D738E" w:rsidRPr="00020D54">
              <w:rPr>
                <w:rFonts w:asciiTheme="majorHAnsi" w:hAnsiTheme="majorHAnsi" w:cstheme="majorHAnsi"/>
                <w:color w:val="000000" w:themeColor="text1"/>
                <w:sz w:val="18"/>
                <w:szCs w:val="18"/>
              </w:rPr>
              <w:t>%</w:t>
            </w:r>
          </w:p>
        </w:tc>
        <w:tc>
          <w:tcPr>
            <w:tcW w:w="1262" w:type="dxa"/>
          </w:tcPr>
          <w:p w14:paraId="3F2D9441" w14:textId="77777777" w:rsidR="009D738E" w:rsidRPr="00020D54" w:rsidRDefault="00717132"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42</w:t>
            </w:r>
            <w:r w:rsidR="009D738E" w:rsidRPr="00020D54">
              <w:rPr>
                <w:rFonts w:asciiTheme="majorHAnsi" w:hAnsiTheme="majorHAnsi" w:cstheme="majorHAnsi"/>
                <w:color w:val="000000" w:themeColor="text1"/>
                <w:sz w:val="18"/>
                <w:szCs w:val="18"/>
              </w:rPr>
              <w:t>%</w:t>
            </w:r>
          </w:p>
        </w:tc>
        <w:tc>
          <w:tcPr>
            <w:tcW w:w="1165" w:type="dxa"/>
          </w:tcPr>
          <w:p w14:paraId="529D4BF1" w14:textId="77777777" w:rsidR="009D738E" w:rsidRPr="00020D54" w:rsidRDefault="00717132"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19</w:t>
            </w:r>
            <w:r w:rsidR="009D738E" w:rsidRPr="00020D54">
              <w:rPr>
                <w:rFonts w:asciiTheme="majorHAnsi" w:hAnsiTheme="majorHAnsi" w:cstheme="majorHAnsi"/>
                <w:color w:val="000000" w:themeColor="text1"/>
                <w:sz w:val="18"/>
                <w:szCs w:val="18"/>
              </w:rPr>
              <w:t>%</w:t>
            </w:r>
          </w:p>
        </w:tc>
      </w:tr>
      <w:tr w:rsidR="00193857" w:rsidRPr="00020D54" w14:paraId="43AC0637" w14:textId="77777777" w:rsidTr="0017212A">
        <w:trPr>
          <w:trHeight w:val="174"/>
        </w:trPr>
        <w:tc>
          <w:tcPr>
            <w:tcW w:w="1696" w:type="dxa"/>
          </w:tcPr>
          <w:p w14:paraId="34825F96" w14:textId="77777777" w:rsidR="009D738E" w:rsidRPr="00020D54" w:rsidRDefault="009D738E"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Teachers (n=107)</w:t>
            </w:r>
          </w:p>
        </w:tc>
        <w:tc>
          <w:tcPr>
            <w:tcW w:w="1276" w:type="dxa"/>
          </w:tcPr>
          <w:p w14:paraId="0899CB0C" w14:textId="77777777" w:rsidR="009D738E" w:rsidRPr="00020D54" w:rsidRDefault="009D738E"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37%</w:t>
            </w:r>
          </w:p>
        </w:tc>
        <w:tc>
          <w:tcPr>
            <w:tcW w:w="1559" w:type="dxa"/>
          </w:tcPr>
          <w:p w14:paraId="0F0F3EC3" w14:textId="77777777" w:rsidR="009D738E" w:rsidRPr="00020D54" w:rsidRDefault="009D738E"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7%</w:t>
            </w:r>
          </w:p>
        </w:tc>
        <w:tc>
          <w:tcPr>
            <w:tcW w:w="1001" w:type="dxa"/>
          </w:tcPr>
          <w:p w14:paraId="56E7898B" w14:textId="77777777" w:rsidR="009D738E" w:rsidRPr="00020D54" w:rsidRDefault="009D738E"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27%</w:t>
            </w:r>
          </w:p>
        </w:tc>
        <w:tc>
          <w:tcPr>
            <w:tcW w:w="842" w:type="dxa"/>
          </w:tcPr>
          <w:p w14:paraId="0B947703" w14:textId="77777777" w:rsidR="009D738E" w:rsidRPr="00020D54" w:rsidRDefault="00717132"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14</w:t>
            </w:r>
            <w:r w:rsidR="009D738E" w:rsidRPr="00020D54">
              <w:rPr>
                <w:rFonts w:asciiTheme="majorHAnsi" w:hAnsiTheme="majorHAnsi" w:cstheme="majorHAnsi"/>
                <w:color w:val="000000" w:themeColor="text1"/>
                <w:sz w:val="18"/>
                <w:szCs w:val="18"/>
              </w:rPr>
              <w:t>%</w:t>
            </w:r>
          </w:p>
        </w:tc>
        <w:tc>
          <w:tcPr>
            <w:tcW w:w="1262" w:type="dxa"/>
          </w:tcPr>
          <w:p w14:paraId="59A65593" w14:textId="77777777" w:rsidR="009D738E" w:rsidRPr="00020D54" w:rsidRDefault="00717132"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36</w:t>
            </w:r>
            <w:r w:rsidR="009D738E" w:rsidRPr="00020D54">
              <w:rPr>
                <w:rFonts w:asciiTheme="majorHAnsi" w:hAnsiTheme="majorHAnsi" w:cstheme="majorHAnsi"/>
                <w:color w:val="000000" w:themeColor="text1"/>
                <w:sz w:val="18"/>
                <w:szCs w:val="18"/>
              </w:rPr>
              <w:t>%</w:t>
            </w:r>
          </w:p>
        </w:tc>
        <w:tc>
          <w:tcPr>
            <w:tcW w:w="1165" w:type="dxa"/>
          </w:tcPr>
          <w:p w14:paraId="5D2DDE0A" w14:textId="77777777" w:rsidR="009D738E" w:rsidRPr="00020D54" w:rsidRDefault="00717132"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10</w:t>
            </w:r>
            <w:r w:rsidR="009D738E" w:rsidRPr="00020D54">
              <w:rPr>
                <w:rFonts w:asciiTheme="majorHAnsi" w:hAnsiTheme="majorHAnsi" w:cstheme="majorHAnsi"/>
                <w:color w:val="000000" w:themeColor="text1"/>
                <w:sz w:val="18"/>
                <w:szCs w:val="18"/>
              </w:rPr>
              <w:t>%</w:t>
            </w:r>
          </w:p>
        </w:tc>
      </w:tr>
      <w:tr w:rsidR="00193857" w:rsidRPr="00020D54" w14:paraId="17110B6C" w14:textId="77777777" w:rsidTr="0017212A">
        <w:trPr>
          <w:trHeight w:val="159"/>
        </w:trPr>
        <w:tc>
          <w:tcPr>
            <w:tcW w:w="1696" w:type="dxa"/>
          </w:tcPr>
          <w:p w14:paraId="39774AFE" w14:textId="77777777" w:rsidR="009D738E" w:rsidRPr="00020D54" w:rsidRDefault="009D738E"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Follow-Up Study **</w:t>
            </w:r>
          </w:p>
        </w:tc>
        <w:tc>
          <w:tcPr>
            <w:tcW w:w="1276" w:type="dxa"/>
          </w:tcPr>
          <w:p w14:paraId="3084B20A" w14:textId="77777777" w:rsidR="009D738E" w:rsidRPr="00020D54" w:rsidRDefault="009D738E" w:rsidP="000479A3">
            <w:pPr>
              <w:spacing w:before="100" w:beforeAutospacing="1" w:after="100" w:afterAutospacing="1" w:line="360" w:lineRule="auto"/>
              <w:rPr>
                <w:rFonts w:asciiTheme="majorHAnsi" w:hAnsiTheme="majorHAnsi" w:cstheme="majorHAnsi"/>
                <w:color w:val="000000" w:themeColor="text1"/>
                <w:sz w:val="18"/>
                <w:szCs w:val="18"/>
              </w:rPr>
            </w:pPr>
          </w:p>
        </w:tc>
        <w:tc>
          <w:tcPr>
            <w:tcW w:w="1559" w:type="dxa"/>
          </w:tcPr>
          <w:p w14:paraId="6DAEF336" w14:textId="77777777" w:rsidR="009D738E" w:rsidRPr="00020D54" w:rsidRDefault="009D738E" w:rsidP="000479A3">
            <w:pPr>
              <w:spacing w:before="100" w:beforeAutospacing="1" w:after="100" w:afterAutospacing="1" w:line="360" w:lineRule="auto"/>
              <w:rPr>
                <w:rFonts w:asciiTheme="majorHAnsi" w:hAnsiTheme="majorHAnsi" w:cstheme="majorHAnsi"/>
                <w:color w:val="000000" w:themeColor="text1"/>
                <w:sz w:val="18"/>
                <w:szCs w:val="18"/>
              </w:rPr>
            </w:pPr>
          </w:p>
        </w:tc>
        <w:tc>
          <w:tcPr>
            <w:tcW w:w="1001" w:type="dxa"/>
          </w:tcPr>
          <w:p w14:paraId="6BB546B1" w14:textId="77777777" w:rsidR="009D738E" w:rsidRPr="00020D54" w:rsidRDefault="009D738E" w:rsidP="000479A3">
            <w:pPr>
              <w:spacing w:before="100" w:beforeAutospacing="1" w:after="100" w:afterAutospacing="1" w:line="360" w:lineRule="auto"/>
              <w:rPr>
                <w:rFonts w:asciiTheme="majorHAnsi" w:hAnsiTheme="majorHAnsi" w:cstheme="majorHAnsi"/>
                <w:color w:val="000000" w:themeColor="text1"/>
                <w:sz w:val="18"/>
                <w:szCs w:val="18"/>
              </w:rPr>
            </w:pPr>
          </w:p>
        </w:tc>
        <w:tc>
          <w:tcPr>
            <w:tcW w:w="842" w:type="dxa"/>
          </w:tcPr>
          <w:p w14:paraId="2465D9AE" w14:textId="77777777" w:rsidR="009D738E" w:rsidRPr="00020D54" w:rsidRDefault="009D738E" w:rsidP="000479A3">
            <w:pPr>
              <w:spacing w:before="100" w:beforeAutospacing="1" w:after="100" w:afterAutospacing="1" w:line="360" w:lineRule="auto"/>
              <w:rPr>
                <w:rFonts w:asciiTheme="majorHAnsi" w:hAnsiTheme="majorHAnsi" w:cstheme="majorHAnsi"/>
                <w:color w:val="000000" w:themeColor="text1"/>
                <w:sz w:val="18"/>
                <w:szCs w:val="18"/>
              </w:rPr>
            </w:pPr>
          </w:p>
        </w:tc>
        <w:tc>
          <w:tcPr>
            <w:tcW w:w="1262" w:type="dxa"/>
          </w:tcPr>
          <w:p w14:paraId="725CB8E8" w14:textId="77777777" w:rsidR="009D738E" w:rsidRPr="00020D54" w:rsidRDefault="009D738E" w:rsidP="000479A3">
            <w:pPr>
              <w:spacing w:before="100" w:beforeAutospacing="1" w:after="100" w:afterAutospacing="1" w:line="360" w:lineRule="auto"/>
              <w:rPr>
                <w:rFonts w:asciiTheme="majorHAnsi" w:hAnsiTheme="majorHAnsi" w:cstheme="majorHAnsi"/>
                <w:color w:val="000000" w:themeColor="text1"/>
                <w:sz w:val="18"/>
                <w:szCs w:val="18"/>
              </w:rPr>
            </w:pPr>
          </w:p>
        </w:tc>
        <w:tc>
          <w:tcPr>
            <w:tcW w:w="1165" w:type="dxa"/>
          </w:tcPr>
          <w:p w14:paraId="6A2E8E2C" w14:textId="77777777" w:rsidR="009D738E" w:rsidRPr="00020D54" w:rsidRDefault="009D738E" w:rsidP="000479A3">
            <w:pPr>
              <w:spacing w:before="100" w:beforeAutospacing="1" w:after="100" w:afterAutospacing="1" w:line="360" w:lineRule="auto"/>
              <w:rPr>
                <w:rFonts w:asciiTheme="majorHAnsi" w:hAnsiTheme="majorHAnsi" w:cstheme="majorHAnsi"/>
                <w:color w:val="000000" w:themeColor="text1"/>
                <w:sz w:val="18"/>
                <w:szCs w:val="18"/>
              </w:rPr>
            </w:pPr>
          </w:p>
        </w:tc>
      </w:tr>
      <w:tr w:rsidR="00193857" w:rsidRPr="00020D54" w14:paraId="2520CE6C" w14:textId="77777777" w:rsidTr="0017212A">
        <w:trPr>
          <w:trHeight w:val="64"/>
        </w:trPr>
        <w:tc>
          <w:tcPr>
            <w:tcW w:w="1696" w:type="dxa"/>
          </w:tcPr>
          <w:p w14:paraId="03EFF51F" w14:textId="77777777" w:rsidR="009D738E" w:rsidRPr="00020D54" w:rsidRDefault="009D738E"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PSHs (n=11)</w:t>
            </w:r>
          </w:p>
        </w:tc>
        <w:tc>
          <w:tcPr>
            <w:tcW w:w="1276" w:type="dxa"/>
          </w:tcPr>
          <w:p w14:paraId="279B534C" w14:textId="77777777" w:rsidR="009D738E" w:rsidRPr="00020D54" w:rsidRDefault="009D738E"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33%</w:t>
            </w:r>
          </w:p>
        </w:tc>
        <w:tc>
          <w:tcPr>
            <w:tcW w:w="1559" w:type="dxa"/>
          </w:tcPr>
          <w:p w14:paraId="0CD74475" w14:textId="77777777" w:rsidR="009D738E" w:rsidRPr="00020D54" w:rsidRDefault="009D738E"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25%</w:t>
            </w:r>
          </w:p>
        </w:tc>
        <w:tc>
          <w:tcPr>
            <w:tcW w:w="1001" w:type="dxa"/>
          </w:tcPr>
          <w:p w14:paraId="3969F8AC" w14:textId="77777777" w:rsidR="009D738E" w:rsidRPr="00020D54" w:rsidRDefault="009D738E"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42%</w:t>
            </w:r>
          </w:p>
        </w:tc>
        <w:tc>
          <w:tcPr>
            <w:tcW w:w="842" w:type="dxa"/>
          </w:tcPr>
          <w:p w14:paraId="3175B2DB" w14:textId="77777777" w:rsidR="009D738E" w:rsidRPr="00020D54" w:rsidRDefault="00717132"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17</w:t>
            </w:r>
            <w:r w:rsidR="009D738E" w:rsidRPr="00020D54">
              <w:rPr>
                <w:rFonts w:asciiTheme="majorHAnsi" w:hAnsiTheme="majorHAnsi" w:cstheme="majorHAnsi"/>
                <w:color w:val="000000" w:themeColor="text1"/>
                <w:sz w:val="18"/>
                <w:szCs w:val="18"/>
              </w:rPr>
              <w:t>%</w:t>
            </w:r>
          </w:p>
        </w:tc>
        <w:tc>
          <w:tcPr>
            <w:tcW w:w="1262" w:type="dxa"/>
          </w:tcPr>
          <w:p w14:paraId="0B5B4345" w14:textId="77777777" w:rsidR="009D738E" w:rsidRPr="00020D54" w:rsidRDefault="00717132"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42</w:t>
            </w:r>
            <w:r w:rsidR="009D738E" w:rsidRPr="00020D54">
              <w:rPr>
                <w:rFonts w:asciiTheme="majorHAnsi" w:hAnsiTheme="majorHAnsi" w:cstheme="majorHAnsi"/>
                <w:color w:val="000000" w:themeColor="text1"/>
                <w:sz w:val="18"/>
                <w:szCs w:val="18"/>
              </w:rPr>
              <w:t>%</w:t>
            </w:r>
          </w:p>
        </w:tc>
        <w:tc>
          <w:tcPr>
            <w:tcW w:w="1165" w:type="dxa"/>
          </w:tcPr>
          <w:p w14:paraId="47305B06" w14:textId="77777777" w:rsidR="009D738E" w:rsidRPr="00020D54" w:rsidRDefault="00717132"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8</w:t>
            </w:r>
            <w:r w:rsidR="009D738E" w:rsidRPr="00020D54">
              <w:rPr>
                <w:rFonts w:asciiTheme="majorHAnsi" w:hAnsiTheme="majorHAnsi" w:cstheme="majorHAnsi"/>
                <w:color w:val="000000" w:themeColor="text1"/>
                <w:sz w:val="18"/>
                <w:szCs w:val="18"/>
              </w:rPr>
              <w:t>%</w:t>
            </w:r>
          </w:p>
        </w:tc>
      </w:tr>
      <w:tr w:rsidR="00193857" w:rsidRPr="00020D54" w14:paraId="0F9B02D6" w14:textId="77777777" w:rsidTr="0017212A">
        <w:trPr>
          <w:trHeight w:val="36"/>
        </w:trPr>
        <w:tc>
          <w:tcPr>
            <w:tcW w:w="1696" w:type="dxa"/>
          </w:tcPr>
          <w:p w14:paraId="769BC585" w14:textId="77777777" w:rsidR="009D738E" w:rsidRPr="00020D54" w:rsidRDefault="009D738E"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Teachers (n=61)</w:t>
            </w:r>
          </w:p>
        </w:tc>
        <w:tc>
          <w:tcPr>
            <w:tcW w:w="1276" w:type="dxa"/>
          </w:tcPr>
          <w:p w14:paraId="50F579AC" w14:textId="77777777" w:rsidR="009D738E" w:rsidRPr="00020D54" w:rsidRDefault="009D738E"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21%</w:t>
            </w:r>
          </w:p>
        </w:tc>
        <w:tc>
          <w:tcPr>
            <w:tcW w:w="1559" w:type="dxa"/>
          </w:tcPr>
          <w:p w14:paraId="7449AD26" w14:textId="77777777" w:rsidR="009D738E" w:rsidRPr="00020D54" w:rsidRDefault="009D738E"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26%</w:t>
            </w:r>
          </w:p>
        </w:tc>
        <w:tc>
          <w:tcPr>
            <w:tcW w:w="1001" w:type="dxa"/>
          </w:tcPr>
          <w:p w14:paraId="498479B3" w14:textId="77777777" w:rsidR="009D738E" w:rsidRPr="00020D54" w:rsidRDefault="009D738E"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23%</w:t>
            </w:r>
          </w:p>
        </w:tc>
        <w:tc>
          <w:tcPr>
            <w:tcW w:w="842" w:type="dxa"/>
          </w:tcPr>
          <w:p w14:paraId="7A3D9B45" w14:textId="77777777" w:rsidR="009D738E" w:rsidRPr="00020D54" w:rsidRDefault="00717132"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28</w:t>
            </w:r>
            <w:r w:rsidR="009D738E" w:rsidRPr="00020D54">
              <w:rPr>
                <w:rFonts w:asciiTheme="majorHAnsi" w:hAnsiTheme="majorHAnsi" w:cstheme="majorHAnsi"/>
                <w:color w:val="000000" w:themeColor="text1"/>
                <w:sz w:val="18"/>
                <w:szCs w:val="18"/>
              </w:rPr>
              <w:t>%</w:t>
            </w:r>
          </w:p>
        </w:tc>
        <w:tc>
          <w:tcPr>
            <w:tcW w:w="1262" w:type="dxa"/>
          </w:tcPr>
          <w:p w14:paraId="287A9EB4" w14:textId="77777777" w:rsidR="009D738E" w:rsidRPr="00020D54" w:rsidRDefault="00717132"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23</w:t>
            </w:r>
            <w:r w:rsidR="009D738E" w:rsidRPr="00020D54">
              <w:rPr>
                <w:rFonts w:asciiTheme="majorHAnsi" w:hAnsiTheme="majorHAnsi" w:cstheme="majorHAnsi"/>
                <w:color w:val="000000" w:themeColor="text1"/>
                <w:sz w:val="18"/>
                <w:szCs w:val="18"/>
              </w:rPr>
              <w:t>%</w:t>
            </w:r>
          </w:p>
        </w:tc>
        <w:tc>
          <w:tcPr>
            <w:tcW w:w="1165" w:type="dxa"/>
          </w:tcPr>
          <w:p w14:paraId="032723F4" w14:textId="77777777" w:rsidR="009D738E" w:rsidRPr="00020D54" w:rsidRDefault="00717132" w:rsidP="000479A3">
            <w:pPr>
              <w:spacing w:before="100" w:beforeAutospacing="1" w:after="100" w:afterAutospacing="1" w:line="360" w:lineRule="auto"/>
              <w:rPr>
                <w:rFonts w:asciiTheme="majorHAnsi" w:hAnsiTheme="majorHAnsi" w:cstheme="majorHAnsi"/>
                <w:color w:val="000000" w:themeColor="text1"/>
                <w:sz w:val="18"/>
                <w:szCs w:val="18"/>
              </w:rPr>
            </w:pPr>
            <w:r w:rsidRPr="00020D54">
              <w:rPr>
                <w:rFonts w:asciiTheme="majorHAnsi" w:hAnsiTheme="majorHAnsi" w:cstheme="majorHAnsi"/>
                <w:color w:val="000000" w:themeColor="text1"/>
                <w:sz w:val="18"/>
                <w:szCs w:val="18"/>
              </w:rPr>
              <w:t>26</w:t>
            </w:r>
            <w:r w:rsidR="009D738E" w:rsidRPr="00020D54">
              <w:rPr>
                <w:rFonts w:asciiTheme="majorHAnsi" w:hAnsiTheme="majorHAnsi" w:cstheme="majorHAnsi"/>
                <w:color w:val="000000" w:themeColor="text1"/>
                <w:sz w:val="18"/>
                <w:szCs w:val="18"/>
              </w:rPr>
              <w:t>%</w:t>
            </w:r>
          </w:p>
        </w:tc>
      </w:tr>
    </w:tbl>
    <w:p w14:paraId="48C89240" w14:textId="77777777" w:rsidR="009D738E" w:rsidRPr="007A4F32" w:rsidRDefault="00717132" w:rsidP="000479A3">
      <w:pPr>
        <w:spacing w:before="100" w:beforeAutospacing="1" w:after="100" w:afterAutospacing="1" w:line="360" w:lineRule="auto"/>
        <w:rPr>
          <w:rFonts w:asciiTheme="majorHAnsi" w:hAnsiTheme="majorHAnsi" w:cstheme="majorHAnsi"/>
          <w:sz w:val="14"/>
          <w:szCs w:val="14"/>
          <w:lang w:val="en-GB"/>
        </w:rPr>
      </w:pPr>
      <w:r w:rsidRPr="007A4F32">
        <w:rPr>
          <w:rFonts w:asciiTheme="majorHAnsi" w:hAnsiTheme="majorHAnsi" w:cstheme="majorHAnsi"/>
          <w:sz w:val="14"/>
          <w:szCs w:val="14"/>
          <w:lang w:val="en-GB"/>
        </w:rPr>
        <w:t>*2019 KAU Survey **2020 KAU Survey</w:t>
      </w:r>
    </w:p>
    <w:p w14:paraId="7144505E" w14:textId="205B8F2A" w:rsidR="008D0CAD" w:rsidRPr="004A6C31" w:rsidRDefault="008D0CAD" w:rsidP="000479A3">
      <w:pPr>
        <w:spacing w:before="100" w:beforeAutospacing="1" w:after="100" w:afterAutospacing="1" w:line="360" w:lineRule="auto"/>
        <w:rPr>
          <w:rFonts w:asciiTheme="majorHAnsi" w:hAnsiTheme="majorHAnsi" w:cstheme="majorHAnsi"/>
          <w:lang w:val="en-GB"/>
        </w:rPr>
      </w:pPr>
      <w:r>
        <w:rPr>
          <w:rFonts w:asciiTheme="majorHAnsi" w:hAnsiTheme="majorHAnsi" w:cstheme="majorHAnsi"/>
          <w:lang w:val="en-GB"/>
        </w:rPr>
        <w:t xml:space="preserve">Although KAU of the TIP Modules was generally moderate, utilisation was not as extensive. Only 27 per cent of </w:t>
      </w:r>
      <w:r>
        <w:rPr>
          <w:rFonts w:asciiTheme="majorHAnsi" w:hAnsiTheme="majorHAnsi" w:cstheme="majorHAnsi"/>
          <w:color w:val="000000" w:themeColor="text1"/>
          <w:lang w:val="en-GB"/>
        </w:rPr>
        <w:t>principal</w:t>
      </w:r>
      <w:r>
        <w:rPr>
          <w:rFonts w:asciiTheme="majorHAnsi" w:hAnsiTheme="majorHAnsi" w:cstheme="majorHAnsi"/>
          <w:lang w:val="en-GB"/>
        </w:rPr>
        <w:t xml:space="preserve">s in Program-supported schools stated that they actually used the TIP Modules compared to 31 per cent of </w:t>
      </w:r>
      <w:r>
        <w:rPr>
          <w:rFonts w:asciiTheme="majorHAnsi" w:hAnsiTheme="majorHAnsi" w:cstheme="majorHAnsi"/>
          <w:color w:val="000000" w:themeColor="text1"/>
          <w:lang w:val="en-GB"/>
        </w:rPr>
        <w:t>principal</w:t>
      </w:r>
      <w:r>
        <w:rPr>
          <w:rFonts w:asciiTheme="majorHAnsi" w:hAnsiTheme="majorHAnsi" w:cstheme="majorHAnsi"/>
          <w:lang w:val="en-GB"/>
        </w:rPr>
        <w:t>s in comparison schools.</w:t>
      </w:r>
      <w:r w:rsidR="00D434EB">
        <w:rPr>
          <w:rFonts w:asciiTheme="majorHAnsi" w:hAnsiTheme="majorHAnsi" w:cstheme="majorHAnsi"/>
          <w:lang w:val="en-GB"/>
        </w:rPr>
        <w:t xml:space="preserve"> </w:t>
      </w:r>
      <w:r>
        <w:rPr>
          <w:rFonts w:asciiTheme="majorHAnsi" w:hAnsiTheme="majorHAnsi" w:cstheme="majorHAnsi"/>
          <w:lang w:val="en-GB"/>
        </w:rPr>
        <w:t xml:space="preserve">In the Follow-Up Study, 70 per cent of </w:t>
      </w:r>
      <w:r>
        <w:rPr>
          <w:rFonts w:asciiTheme="majorHAnsi" w:hAnsiTheme="majorHAnsi" w:cstheme="majorHAnsi"/>
          <w:color w:val="000000" w:themeColor="text1"/>
          <w:lang w:val="en-GB"/>
        </w:rPr>
        <w:t>principal</w:t>
      </w:r>
      <w:r>
        <w:rPr>
          <w:rFonts w:asciiTheme="majorHAnsi" w:hAnsiTheme="majorHAnsi" w:cstheme="majorHAnsi"/>
          <w:lang w:val="en-GB"/>
        </w:rPr>
        <w:t>s (7) said that they actually used the Modules.</w:t>
      </w:r>
    </w:p>
    <w:tbl>
      <w:tblPr>
        <w:tblStyle w:val="TableGrid"/>
        <w:tblW w:w="0" w:type="auto"/>
        <w:shd w:val="clear" w:color="auto" w:fill="D9D9D9" w:themeFill="background1" w:themeFillShade="D9"/>
        <w:tblLook w:val="04A0" w:firstRow="1" w:lastRow="0" w:firstColumn="1" w:lastColumn="0" w:noHBand="0" w:noVBand="1"/>
      </w:tblPr>
      <w:tblGrid>
        <w:gridCol w:w="9010"/>
      </w:tblGrid>
      <w:tr w:rsidR="008D0CAD" w14:paraId="6E0314B8" w14:textId="77777777" w:rsidTr="009C64E9">
        <w:tc>
          <w:tcPr>
            <w:tcW w:w="9010" w:type="dxa"/>
            <w:shd w:val="clear" w:color="auto" w:fill="D9D9D9" w:themeFill="background1" w:themeFillShade="D9"/>
          </w:tcPr>
          <w:p w14:paraId="64CC07A1" w14:textId="77777777" w:rsidR="008D0CAD" w:rsidRPr="00B07D16" w:rsidRDefault="008D0CAD" w:rsidP="000479A3">
            <w:pPr>
              <w:spacing w:before="100" w:beforeAutospacing="1" w:after="100" w:afterAutospacing="1" w:line="360" w:lineRule="auto"/>
              <w:rPr>
                <w:rFonts w:asciiTheme="majorHAnsi" w:hAnsiTheme="majorHAnsi" w:cstheme="majorHAnsi"/>
                <w:color w:val="0070C0"/>
                <w:lang w:val="en-GB"/>
              </w:rPr>
            </w:pPr>
            <w:r w:rsidRPr="00FF4CA3">
              <w:rPr>
                <w:rFonts w:asciiTheme="majorHAnsi" w:hAnsiTheme="majorHAnsi" w:cstheme="majorHAnsi"/>
                <w:b/>
                <w:bCs/>
                <w:lang w:val="en-GB"/>
              </w:rPr>
              <w:t>Summary</w:t>
            </w:r>
            <w:r w:rsidRPr="00FF4CA3">
              <w:rPr>
                <w:rFonts w:asciiTheme="majorHAnsi" w:hAnsiTheme="majorHAnsi" w:cstheme="majorHAnsi"/>
                <w:lang w:val="en-GB"/>
              </w:rPr>
              <w:t xml:space="preserve">. </w:t>
            </w:r>
          </w:p>
          <w:p w14:paraId="74D2643C" w14:textId="502CE326" w:rsidR="008D0CAD" w:rsidRDefault="008D0CAD" w:rsidP="000479A3">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color w:val="000000" w:themeColor="text1"/>
              </w:rPr>
              <w:t>Both the PRIMALS and the LACs were observed to have contributed significantly to increasing teacher competencies to deliver the K to 12 curricula.</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In particular, the LACs turned out to be more transformative despite the view that a similar process was being used prior to the BEST Program (termed Quality Circles).</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This may be attributed to the greater efforts placed on this particular intervention.</w:t>
            </w:r>
            <w:r w:rsidR="00D434EB">
              <w:rPr>
                <w:rFonts w:asciiTheme="majorHAnsi" w:hAnsiTheme="majorHAnsi" w:cstheme="majorHAnsi"/>
                <w:color w:val="000000" w:themeColor="text1"/>
              </w:rPr>
              <w:t xml:space="preserve"> </w:t>
            </w:r>
          </w:p>
          <w:p w14:paraId="5C614E17" w14:textId="7CBDDE4F" w:rsidR="008D0CAD" w:rsidRDefault="008D0CAD" w:rsidP="000479A3">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color w:val="000000" w:themeColor="text1"/>
              </w:rPr>
              <w:t>The PRIMALS was generally viewed as very useful by teachers, but knowledge of it is low, indicating the lesser focus (i.e., capacity building interventions) devoted to it by the Program.</w:t>
            </w:r>
          </w:p>
          <w:p w14:paraId="6F49670B" w14:textId="1B067988" w:rsidR="008D0CAD" w:rsidRPr="007C1A2E" w:rsidRDefault="008D0CAD" w:rsidP="000479A3">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color w:val="000000" w:themeColor="text1"/>
              </w:rPr>
              <w:t>In contrast, the contributions of Action Research as a training modality was moderate in terms of improving teacher competencies and/or teacher performance.</w:t>
            </w:r>
          </w:p>
        </w:tc>
      </w:tr>
    </w:tbl>
    <w:p w14:paraId="0CEFE599" w14:textId="5EBCBBB9" w:rsidR="008D0CAD" w:rsidRPr="00031FEC" w:rsidRDefault="008D0CAD" w:rsidP="00DD08E3">
      <w:pPr>
        <w:pStyle w:val="Heading5"/>
        <w:pageBreakBefore/>
        <w:numPr>
          <w:ilvl w:val="3"/>
          <w:numId w:val="163"/>
        </w:numPr>
        <w:spacing w:before="100" w:beforeAutospacing="1" w:after="100" w:afterAutospacing="1" w:line="360" w:lineRule="auto"/>
        <w:ind w:left="1219" w:hanging="1077"/>
      </w:pPr>
      <w:r>
        <w:t>Mainstreaming GRBE and IE in the classroom</w:t>
      </w:r>
    </w:p>
    <w:p w14:paraId="6A47D6C7" w14:textId="651307BD" w:rsidR="008D0CAD" w:rsidRDefault="008D0CAD" w:rsidP="007C1A2E">
      <w:pPr>
        <w:spacing w:before="100" w:beforeAutospacing="1" w:after="100" w:afterAutospacing="1" w:line="360" w:lineRule="auto"/>
        <w:rPr>
          <w:rFonts w:asciiTheme="majorHAnsi" w:hAnsiTheme="majorHAnsi" w:cstheme="majorHAnsi"/>
          <w:color w:val="000000"/>
        </w:rPr>
      </w:pPr>
      <w:r>
        <w:rPr>
          <w:rFonts w:asciiTheme="majorHAnsi" w:hAnsiTheme="majorHAnsi" w:cstheme="majorHAnsi"/>
          <w:color w:val="000000"/>
        </w:rPr>
        <w:t>In support of the objectives of GEDSI, the BEST Program undertook several key interventions to strengthen gender-responsive and inclusive basic education.</w:t>
      </w:r>
      <w:r w:rsidR="00D434EB">
        <w:rPr>
          <w:rFonts w:asciiTheme="majorHAnsi" w:hAnsiTheme="majorHAnsi" w:cstheme="majorHAnsi"/>
          <w:color w:val="000000"/>
        </w:rPr>
        <w:t xml:space="preserve"> </w:t>
      </w:r>
      <w:r>
        <w:rPr>
          <w:rFonts w:asciiTheme="majorHAnsi" w:hAnsiTheme="majorHAnsi" w:cstheme="majorHAnsi"/>
          <w:color w:val="000000"/>
        </w:rPr>
        <w:t xml:space="preserve">These included technical assistance in the development of policies, capacity building of teachers and massive training on the development of accessible materials such as </w:t>
      </w:r>
      <w:r w:rsidRPr="00443DAB">
        <w:rPr>
          <w:rFonts w:asciiTheme="majorHAnsi" w:hAnsiTheme="majorHAnsi" w:cstheme="majorHAnsi"/>
          <w:color w:val="000000"/>
        </w:rPr>
        <w:t>Braille</w:t>
      </w:r>
      <w:r>
        <w:rPr>
          <w:rFonts w:asciiTheme="majorHAnsi" w:hAnsiTheme="majorHAnsi" w:cstheme="majorHAnsi"/>
          <w:color w:val="000000"/>
        </w:rPr>
        <w:t>.</w:t>
      </w:r>
      <w:r>
        <w:rPr>
          <w:rStyle w:val="FootnoteReference"/>
          <w:rFonts w:asciiTheme="majorHAnsi" w:eastAsia="Arial Unicode MS" w:hAnsiTheme="majorHAnsi" w:cstheme="majorHAnsi"/>
          <w:color w:val="000000"/>
        </w:rPr>
        <w:footnoteReference w:id="32"/>
      </w:r>
    </w:p>
    <w:p w14:paraId="610772F9" w14:textId="261CBCD2" w:rsidR="008D0CAD" w:rsidRDefault="008D0CAD" w:rsidP="008C061C">
      <w:pPr>
        <w:pStyle w:val="Heading6"/>
      </w:pPr>
      <w:r w:rsidRPr="001760F5">
        <w:t>GEDSI-related Policies</w:t>
      </w:r>
      <w:r w:rsidR="00D434EB">
        <w:t xml:space="preserve"> </w:t>
      </w:r>
    </w:p>
    <w:p w14:paraId="75D29CC3" w14:textId="73E17E9C" w:rsidR="008D0CAD" w:rsidRPr="00C5003D" w:rsidRDefault="008D0CAD" w:rsidP="007C1A2E">
      <w:pPr>
        <w:spacing w:before="100" w:beforeAutospacing="1" w:after="100" w:afterAutospacing="1" w:line="360" w:lineRule="auto"/>
        <w:rPr>
          <w:rFonts w:asciiTheme="majorHAnsi" w:hAnsiTheme="majorHAnsi" w:cstheme="majorHAnsi"/>
          <w:color w:val="000000" w:themeColor="text1"/>
        </w:rPr>
      </w:pPr>
      <w:r w:rsidRPr="001760F5">
        <w:rPr>
          <w:rFonts w:asciiTheme="majorHAnsi" w:hAnsiTheme="majorHAnsi" w:cstheme="majorHAnsi"/>
          <w:color w:val="000000"/>
        </w:rPr>
        <w:t xml:space="preserve">The BEST Program assisted in the </w:t>
      </w:r>
      <w:r>
        <w:rPr>
          <w:rFonts w:asciiTheme="majorHAnsi" w:hAnsiTheme="majorHAnsi" w:cstheme="majorHAnsi"/>
          <w:color w:val="000000"/>
        </w:rPr>
        <w:t>development and adoption</w:t>
      </w:r>
      <w:r w:rsidRPr="001760F5">
        <w:rPr>
          <w:rFonts w:asciiTheme="majorHAnsi" w:hAnsiTheme="majorHAnsi" w:cstheme="majorHAnsi"/>
          <w:color w:val="000000"/>
        </w:rPr>
        <w:t xml:space="preserve"> of three</w:t>
      </w:r>
      <w:r w:rsidRPr="001760F5">
        <w:rPr>
          <w:rFonts w:asciiTheme="majorHAnsi" w:hAnsiTheme="majorHAnsi" w:cstheme="majorHAnsi"/>
          <w:lang w:val="en-GB"/>
        </w:rPr>
        <w:t xml:space="preserve"> GEDSI-related </w:t>
      </w:r>
      <w:r>
        <w:rPr>
          <w:rFonts w:asciiTheme="majorHAnsi" w:hAnsiTheme="majorHAnsi" w:cstheme="majorHAnsi"/>
          <w:lang w:val="en-GB"/>
        </w:rPr>
        <w:t>p</w:t>
      </w:r>
      <w:r w:rsidRPr="001760F5">
        <w:rPr>
          <w:rFonts w:asciiTheme="majorHAnsi" w:hAnsiTheme="majorHAnsi" w:cstheme="majorHAnsi"/>
          <w:lang w:val="en-GB"/>
        </w:rPr>
        <w:t>olicies.</w:t>
      </w:r>
      <w:r w:rsidR="00D434EB">
        <w:rPr>
          <w:rFonts w:asciiTheme="majorHAnsi" w:hAnsiTheme="majorHAnsi" w:cstheme="majorHAnsi"/>
          <w:lang w:val="en-GB"/>
        </w:rPr>
        <w:t xml:space="preserve"> </w:t>
      </w:r>
      <w:r w:rsidRPr="001760F5">
        <w:rPr>
          <w:rFonts w:asciiTheme="majorHAnsi" w:hAnsiTheme="majorHAnsi" w:cstheme="majorHAnsi"/>
          <w:lang w:val="en-GB"/>
        </w:rPr>
        <w:t xml:space="preserve">All three policies, however, were revealed to be the least known among all the policies </w:t>
      </w:r>
      <w:r w:rsidRPr="00C5003D">
        <w:rPr>
          <w:rFonts w:asciiTheme="majorHAnsi" w:hAnsiTheme="majorHAnsi" w:cstheme="majorHAnsi"/>
          <w:color w:val="000000" w:themeColor="text1"/>
          <w:lang w:val="en-GB"/>
        </w:rPr>
        <w:t>under the BEST Program (refer also to Section 3.3.3).</w:t>
      </w:r>
      <w:r w:rsidR="00D434EB">
        <w:rPr>
          <w:rFonts w:asciiTheme="majorHAnsi" w:hAnsiTheme="majorHAnsi" w:cstheme="majorHAnsi"/>
          <w:color w:val="000000" w:themeColor="text1"/>
          <w:lang w:val="en-GB"/>
        </w:rPr>
        <w:t xml:space="preserve"> </w:t>
      </w:r>
      <w:r w:rsidRPr="00C5003D">
        <w:rPr>
          <w:rFonts w:asciiTheme="majorHAnsi" w:hAnsiTheme="majorHAnsi" w:cstheme="majorHAnsi"/>
          <w:color w:val="000000" w:themeColor="text1"/>
          <w:lang w:val="en-GB"/>
        </w:rPr>
        <w:t>This finding was validated in the Follow-Up Study, which showed similar trends in knowledge and usefulness of these three policies (refer also to Annex Y).</w:t>
      </w:r>
    </w:p>
    <w:p w14:paraId="2BD4CAAB" w14:textId="2CC30F80" w:rsidR="008D0CAD" w:rsidRPr="001760F5" w:rsidRDefault="008D0CAD" w:rsidP="007C1A2E">
      <w:pPr>
        <w:tabs>
          <w:tab w:val="num" w:pos="720"/>
        </w:tabs>
        <w:spacing w:before="100" w:beforeAutospacing="1" w:after="100" w:afterAutospacing="1" w:line="360" w:lineRule="auto"/>
        <w:rPr>
          <w:rFonts w:asciiTheme="majorHAnsi" w:hAnsiTheme="majorHAnsi" w:cstheme="majorHAnsi"/>
          <w:color w:val="000000" w:themeColor="text1"/>
        </w:rPr>
      </w:pPr>
      <w:r w:rsidRPr="001760F5">
        <w:rPr>
          <w:rFonts w:asciiTheme="majorHAnsi" w:hAnsiTheme="majorHAnsi" w:cstheme="majorHAnsi"/>
        </w:rPr>
        <w:t xml:space="preserve">Thus, the </w:t>
      </w:r>
      <w:r>
        <w:rPr>
          <w:rFonts w:asciiTheme="majorHAnsi" w:hAnsiTheme="majorHAnsi" w:cstheme="majorHAnsi"/>
        </w:rPr>
        <w:t xml:space="preserve">overall </w:t>
      </w:r>
      <w:r w:rsidRPr="001760F5">
        <w:rPr>
          <w:rFonts w:asciiTheme="majorHAnsi" w:hAnsiTheme="majorHAnsi" w:cstheme="majorHAnsi"/>
        </w:rPr>
        <w:t xml:space="preserve">contributions of GEDSI interventions to enhancing the </w:t>
      </w:r>
      <w:r>
        <w:rPr>
          <w:rFonts w:asciiTheme="majorHAnsi" w:hAnsiTheme="majorHAnsi" w:cstheme="majorHAnsi"/>
        </w:rPr>
        <w:t>capacity of schools to deliver</w:t>
      </w:r>
      <w:r w:rsidRPr="001760F5">
        <w:rPr>
          <w:rFonts w:asciiTheme="majorHAnsi" w:hAnsiTheme="majorHAnsi" w:cstheme="majorHAnsi"/>
        </w:rPr>
        <w:t xml:space="preserve"> inclusive education and gender equity were deemed moderate.</w:t>
      </w:r>
      <w:r w:rsidR="00D434EB">
        <w:rPr>
          <w:rFonts w:asciiTheme="majorHAnsi" w:hAnsiTheme="majorHAnsi" w:cstheme="majorHAnsi"/>
          <w:color w:val="000000" w:themeColor="text1"/>
        </w:rPr>
        <w:t xml:space="preserve"> </w:t>
      </w:r>
    </w:p>
    <w:p w14:paraId="1D6FD645" w14:textId="77777777" w:rsidR="008D0CAD" w:rsidRPr="0073191B" w:rsidRDefault="008D0CAD" w:rsidP="008C061C">
      <w:pPr>
        <w:pStyle w:val="Heading6"/>
      </w:pPr>
      <w:r w:rsidRPr="0073191B">
        <w:t>Gender Equity</w:t>
      </w:r>
    </w:p>
    <w:p w14:paraId="667BC7DE" w14:textId="6B9100A6" w:rsidR="008D0CAD" w:rsidRDefault="008D0CAD" w:rsidP="007C1A2E">
      <w:pPr>
        <w:spacing w:before="100" w:beforeAutospacing="1" w:after="100" w:afterAutospacing="1" w:line="360" w:lineRule="auto"/>
        <w:rPr>
          <w:rFonts w:asciiTheme="majorHAnsi" w:hAnsiTheme="majorHAnsi" w:cstheme="majorHAnsi"/>
          <w:color w:val="000000"/>
        </w:rPr>
      </w:pPr>
      <w:r w:rsidRPr="006B79EF">
        <w:rPr>
          <w:rFonts w:asciiTheme="majorHAnsi" w:hAnsiTheme="majorHAnsi" w:cstheme="majorHAnsi"/>
          <w:bCs/>
          <w:color w:val="000000"/>
        </w:rPr>
        <w:t>S</w:t>
      </w:r>
      <w:r>
        <w:rPr>
          <w:rFonts w:asciiTheme="majorHAnsi" w:hAnsiTheme="majorHAnsi" w:cstheme="majorHAnsi"/>
          <w:bCs/>
          <w:color w:val="000000"/>
        </w:rPr>
        <w:t xml:space="preserve">chool-level implementation (i.e., </w:t>
      </w:r>
      <w:r w:rsidRPr="006B1DF4">
        <w:rPr>
          <w:rFonts w:asciiTheme="majorHAnsi" w:hAnsiTheme="majorHAnsi" w:cstheme="majorHAnsi"/>
          <w:color w:val="000000" w:themeColor="text1"/>
        </w:rPr>
        <w:t xml:space="preserve">knowledge </w:t>
      </w:r>
      <w:r>
        <w:rPr>
          <w:rFonts w:asciiTheme="majorHAnsi" w:hAnsiTheme="majorHAnsi" w:cstheme="majorHAnsi"/>
          <w:color w:val="000000" w:themeColor="text1"/>
        </w:rPr>
        <w:t xml:space="preserve">and practices) </w:t>
      </w:r>
      <w:r>
        <w:rPr>
          <w:rFonts w:asciiTheme="majorHAnsi" w:hAnsiTheme="majorHAnsi" w:cstheme="majorHAnsi"/>
          <w:bCs/>
          <w:color w:val="000000"/>
        </w:rPr>
        <w:t>on GRBE was quite diverse. S</w:t>
      </w:r>
      <w:r w:rsidRPr="006B79EF">
        <w:rPr>
          <w:rFonts w:asciiTheme="majorHAnsi" w:hAnsiTheme="majorHAnsi" w:cstheme="majorHAnsi"/>
          <w:bCs/>
          <w:color w:val="000000"/>
        </w:rPr>
        <w:t xml:space="preserve">urvey results showed that </w:t>
      </w:r>
      <w:r>
        <w:rPr>
          <w:rFonts w:asciiTheme="majorHAnsi" w:hAnsiTheme="majorHAnsi" w:cstheme="majorHAnsi"/>
          <w:bCs/>
          <w:color w:val="000000"/>
        </w:rPr>
        <w:t>less than half of principal</w:t>
      </w:r>
      <w:r w:rsidRPr="006B79EF">
        <w:rPr>
          <w:rFonts w:asciiTheme="majorHAnsi" w:hAnsiTheme="majorHAnsi" w:cstheme="majorHAnsi"/>
          <w:bCs/>
          <w:color w:val="000000"/>
        </w:rPr>
        <w:t xml:space="preserve">s </w:t>
      </w:r>
      <w:r>
        <w:rPr>
          <w:rFonts w:asciiTheme="majorHAnsi" w:hAnsiTheme="majorHAnsi" w:cstheme="majorHAnsi"/>
          <w:bCs/>
          <w:color w:val="000000"/>
        </w:rPr>
        <w:t>(</w:t>
      </w:r>
      <w:r w:rsidRPr="006B79EF">
        <w:rPr>
          <w:rFonts w:asciiTheme="majorHAnsi" w:hAnsiTheme="majorHAnsi" w:cstheme="majorHAnsi"/>
          <w:bCs/>
          <w:color w:val="000000"/>
        </w:rPr>
        <w:t>46</w:t>
      </w:r>
      <w:r>
        <w:rPr>
          <w:rFonts w:asciiTheme="majorHAnsi" w:hAnsiTheme="majorHAnsi" w:cstheme="majorHAnsi"/>
          <w:bCs/>
          <w:color w:val="000000"/>
        </w:rPr>
        <w:t xml:space="preserve"> per cent) </w:t>
      </w:r>
      <w:r w:rsidRPr="006B79EF">
        <w:rPr>
          <w:rFonts w:asciiTheme="majorHAnsi" w:hAnsiTheme="majorHAnsi" w:cstheme="majorHAnsi"/>
          <w:bCs/>
          <w:color w:val="000000"/>
        </w:rPr>
        <w:t xml:space="preserve">and teachers </w:t>
      </w:r>
      <w:r>
        <w:rPr>
          <w:rFonts w:asciiTheme="majorHAnsi" w:hAnsiTheme="majorHAnsi" w:cstheme="majorHAnsi"/>
          <w:bCs/>
          <w:color w:val="000000"/>
        </w:rPr>
        <w:t>(</w:t>
      </w:r>
      <w:r w:rsidRPr="006B79EF">
        <w:rPr>
          <w:rFonts w:asciiTheme="majorHAnsi" w:hAnsiTheme="majorHAnsi" w:cstheme="majorHAnsi"/>
          <w:bCs/>
          <w:color w:val="000000"/>
        </w:rPr>
        <w:t>48</w:t>
      </w:r>
      <w:r>
        <w:rPr>
          <w:rFonts w:asciiTheme="majorHAnsi" w:hAnsiTheme="majorHAnsi" w:cstheme="majorHAnsi"/>
          <w:bCs/>
          <w:color w:val="000000"/>
        </w:rPr>
        <w:t xml:space="preserve"> per cent)</w:t>
      </w:r>
      <w:r w:rsidRPr="006B79EF">
        <w:rPr>
          <w:rFonts w:asciiTheme="majorHAnsi" w:hAnsiTheme="majorHAnsi" w:cstheme="majorHAnsi"/>
          <w:bCs/>
          <w:color w:val="000000"/>
        </w:rPr>
        <w:t xml:space="preserve"> </w:t>
      </w:r>
      <w:r>
        <w:rPr>
          <w:rFonts w:asciiTheme="majorHAnsi" w:hAnsiTheme="majorHAnsi" w:cstheme="majorHAnsi"/>
          <w:bCs/>
          <w:color w:val="000000"/>
        </w:rPr>
        <w:t>from</w:t>
      </w:r>
      <w:r w:rsidRPr="006B79EF">
        <w:rPr>
          <w:rFonts w:asciiTheme="majorHAnsi" w:hAnsiTheme="majorHAnsi" w:cstheme="majorHAnsi"/>
          <w:bCs/>
          <w:color w:val="000000"/>
        </w:rPr>
        <w:t xml:space="preserve"> Program–supported schools </w:t>
      </w:r>
      <w:r w:rsidRPr="0010045A">
        <w:rPr>
          <w:rFonts w:asciiTheme="majorHAnsi" w:hAnsiTheme="majorHAnsi" w:cstheme="majorHAnsi"/>
          <w:bCs/>
          <w:color w:val="000000"/>
        </w:rPr>
        <w:t>ha</w:t>
      </w:r>
      <w:r>
        <w:rPr>
          <w:rFonts w:asciiTheme="majorHAnsi" w:hAnsiTheme="majorHAnsi" w:cstheme="majorHAnsi"/>
          <w:bCs/>
          <w:color w:val="000000"/>
        </w:rPr>
        <w:t>d</w:t>
      </w:r>
      <w:r w:rsidRPr="0010045A">
        <w:rPr>
          <w:rFonts w:asciiTheme="majorHAnsi" w:hAnsiTheme="majorHAnsi" w:cstheme="majorHAnsi"/>
          <w:bCs/>
          <w:color w:val="000000"/>
        </w:rPr>
        <w:t xml:space="preserve"> participated in GRBE processes or activities</w:t>
      </w:r>
      <w:r w:rsidRPr="006B79EF">
        <w:rPr>
          <w:rFonts w:asciiTheme="majorHAnsi" w:hAnsiTheme="majorHAnsi" w:cstheme="majorHAnsi"/>
          <w:color w:val="000000"/>
        </w:rPr>
        <w:t xml:space="preserve"> during the Program implementation period.</w:t>
      </w:r>
      <w:r w:rsidR="00D434EB">
        <w:rPr>
          <w:rFonts w:asciiTheme="majorHAnsi" w:hAnsiTheme="majorHAnsi" w:cstheme="majorHAnsi"/>
          <w:color w:val="000000"/>
        </w:rPr>
        <w:t xml:space="preserve"> </w:t>
      </w:r>
      <w:r>
        <w:rPr>
          <w:rFonts w:asciiTheme="majorHAnsi" w:hAnsiTheme="majorHAnsi" w:cstheme="majorHAnsi"/>
          <w:color w:val="000000"/>
        </w:rPr>
        <w:t>This is just slightly higher than the respondents from</w:t>
      </w:r>
      <w:r w:rsidRPr="006B79EF">
        <w:rPr>
          <w:rFonts w:asciiTheme="majorHAnsi" w:hAnsiTheme="majorHAnsi" w:cstheme="majorHAnsi"/>
          <w:color w:val="000000"/>
        </w:rPr>
        <w:t xml:space="preserve"> </w:t>
      </w:r>
      <w:r w:rsidRPr="006B79EF">
        <w:rPr>
          <w:rFonts w:asciiTheme="majorHAnsi" w:hAnsiTheme="majorHAnsi" w:cstheme="majorHAnsi"/>
          <w:bCs/>
          <w:color w:val="000000"/>
        </w:rPr>
        <w:t xml:space="preserve">non-Program– supported schools </w:t>
      </w:r>
      <w:r>
        <w:rPr>
          <w:rFonts w:asciiTheme="majorHAnsi" w:hAnsiTheme="majorHAnsi" w:cstheme="majorHAnsi"/>
          <w:bCs/>
          <w:color w:val="000000"/>
        </w:rPr>
        <w:t>(</w:t>
      </w:r>
      <w:r w:rsidRPr="006B79EF">
        <w:rPr>
          <w:rFonts w:asciiTheme="majorHAnsi" w:hAnsiTheme="majorHAnsi" w:cstheme="majorHAnsi"/>
          <w:bCs/>
          <w:color w:val="000000"/>
        </w:rPr>
        <w:t>31</w:t>
      </w:r>
      <w:r>
        <w:rPr>
          <w:rFonts w:asciiTheme="majorHAnsi" w:hAnsiTheme="majorHAnsi" w:cstheme="majorHAnsi"/>
          <w:bCs/>
          <w:color w:val="000000"/>
        </w:rPr>
        <w:t xml:space="preserve"> per cent principal</w:t>
      </w:r>
      <w:r w:rsidRPr="006B79EF">
        <w:rPr>
          <w:rFonts w:asciiTheme="majorHAnsi" w:hAnsiTheme="majorHAnsi" w:cstheme="majorHAnsi"/>
          <w:bCs/>
          <w:color w:val="000000"/>
        </w:rPr>
        <w:t>s and 30</w:t>
      </w:r>
      <w:r>
        <w:rPr>
          <w:rFonts w:asciiTheme="majorHAnsi" w:hAnsiTheme="majorHAnsi" w:cstheme="majorHAnsi"/>
          <w:bCs/>
          <w:color w:val="000000"/>
        </w:rPr>
        <w:t xml:space="preserve"> per cent </w:t>
      </w:r>
      <w:r w:rsidRPr="006B79EF">
        <w:rPr>
          <w:rFonts w:asciiTheme="majorHAnsi" w:hAnsiTheme="majorHAnsi" w:cstheme="majorHAnsi"/>
          <w:bCs/>
          <w:color w:val="000000"/>
        </w:rPr>
        <w:t>teachers</w:t>
      </w:r>
      <w:r>
        <w:rPr>
          <w:rFonts w:asciiTheme="majorHAnsi" w:hAnsiTheme="majorHAnsi" w:cstheme="majorHAnsi"/>
          <w:bCs/>
          <w:color w:val="000000"/>
        </w:rPr>
        <w:t>).</w:t>
      </w:r>
      <w:r w:rsidR="00D434EB">
        <w:rPr>
          <w:rFonts w:asciiTheme="majorHAnsi" w:hAnsiTheme="majorHAnsi" w:cstheme="majorHAnsi"/>
          <w:bCs/>
          <w:color w:val="000000"/>
        </w:rPr>
        <w:t xml:space="preserve"> </w:t>
      </w:r>
      <w:r>
        <w:rPr>
          <w:rFonts w:asciiTheme="majorHAnsi" w:hAnsiTheme="majorHAnsi" w:cstheme="majorHAnsi"/>
          <w:color w:val="000000"/>
        </w:rPr>
        <w:t>Thus, there appears to be no marked distinction on the practices of GRBE between the two groups of schools.</w:t>
      </w:r>
    </w:p>
    <w:p w14:paraId="35AF6F55" w14:textId="77777777" w:rsidR="008D0CAD" w:rsidRPr="001760F5" w:rsidRDefault="008D0CAD" w:rsidP="007C1A2E">
      <w:pPr>
        <w:spacing w:before="100" w:beforeAutospacing="1" w:after="100" w:afterAutospacing="1" w:line="360" w:lineRule="auto"/>
        <w:rPr>
          <w:rFonts w:asciiTheme="majorHAnsi" w:hAnsiTheme="majorHAnsi" w:cstheme="majorHAnsi"/>
          <w:color w:val="000000"/>
        </w:rPr>
      </w:pPr>
      <w:r>
        <w:rPr>
          <w:rFonts w:asciiTheme="majorHAnsi" w:hAnsiTheme="majorHAnsi" w:cstheme="majorHAnsi"/>
          <w:bCs/>
          <w:color w:val="000000"/>
        </w:rPr>
        <w:t>Moreover,</w:t>
      </w:r>
      <w:r w:rsidRPr="006B79EF">
        <w:rPr>
          <w:rFonts w:asciiTheme="majorHAnsi" w:hAnsiTheme="majorHAnsi" w:cstheme="majorHAnsi"/>
          <w:bCs/>
          <w:color w:val="000000"/>
        </w:rPr>
        <w:t xml:space="preserve"> </w:t>
      </w:r>
      <w:r w:rsidRPr="0010045A">
        <w:rPr>
          <w:rFonts w:asciiTheme="majorHAnsi" w:hAnsiTheme="majorHAnsi" w:cstheme="majorHAnsi"/>
          <w:bCs/>
          <w:color w:val="000000"/>
        </w:rPr>
        <w:t xml:space="preserve">only 38 </w:t>
      </w:r>
      <w:r>
        <w:rPr>
          <w:rFonts w:asciiTheme="majorHAnsi" w:hAnsiTheme="majorHAnsi" w:cstheme="majorHAnsi"/>
          <w:bCs/>
          <w:color w:val="000000"/>
        </w:rPr>
        <w:t>per cent</w:t>
      </w:r>
      <w:r w:rsidRPr="0010045A">
        <w:rPr>
          <w:rFonts w:asciiTheme="majorHAnsi" w:hAnsiTheme="majorHAnsi" w:cstheme="majorHAnsi"/>
          <w:bCs/>
          <w:color w:val="000000"/>
        </w:rPr>
        <w:t xml:space="preserve"> of </w:t>
      </w:r>
      <w:r>
        <w:rPr>
          <w:rFonts w:asciiTheme="majorHAnsi" w:hAnsiTheme="majorHAnsi" w:cstheme="majorHAnsi"/>
          <w:bCs/>
          <w:color w:val="000000"/>
        </w:rPr>
        <w:t>principal</w:t>
      </w:r>
      <w:r w:rsidRPr="0010045A">
        <w:rPr>
          <w:rFonts w:asciiTheme="majorHAnsi" w:hAnsiTheme="majorHAnsi" w:cstheme="majorHAnsi"/>
          <w:bCs/>
          <w:color w:val="000000"/>
        </w:rPr>
        <w:t xml:space="preserve">s and 53 </w:t>
      </w:r>
      <w:r>
        <w:rPr>
          <w:rFonts w:asciiTheme="majorHAnsi" w:hAnsiTheme="majorHAnsi" w:cstheme="majorHAnsi"/>
          <w:bCs/>
          <w:color w:val="000000"/>
        </w:rPr>
        <w:t>per cent</w:t>
      </w:r>
      <w:r w:rsidRPr="0010045A">
        <w:rPr>
          <w:rFonts w:asciiTheme="majorHAnsi" w:hAnsiTheme="majorHAnsi" w:cstheme="majorHAnsi"/>
          <w:bCs/>
          <w:color w:val="000000"/>
        </w:rPr>
        <w:t xml:space="preserve"> of teachers in Program–supported schools stated that their schools use gender-sensitive learning materials while 46 </w:t>
      </w:r>
      <w:r>
        <w:rPr>
          <w:rFonts w:asciiTheme="majorHAnsi" w:hAnsiTheme="majorHAnsi" w:cstheme="majorHAnsi"/>
          <w:bCs/>
          <w:color w:val="000000"/>
        </w:rPr>
        <w:t>per cent</w:t>
      </w:r>
      <w:r w:rsidRPr="0010045A">
        <w:rPr>
          <w:rFonts w:asciiTheme="majorHAnsi" w:hAnsiTheme="majorHAnsi" w:cstheme="majorHAnsi"/>
          <w:bCs/>
          <w:color w:val="000000"/>
        </w:rPr>
        <w:t xml:space="preserve"> and 37 </w:t>
      </w:r>
      <w:r>
        <w:rPr>
          <w:rFonts w:asciiTheme="majorHAnsi" w:hAnsiTheme="majorHAnsi" w:cstheme="majorHAnsi"/>
          <w:bCs/>
          <w:color w:val="000000"/>
        </w:rPr>
        <w:t>per cent</w:t>
      </w:r>
      <w:r w:rsidRPr="0010045A">
        <w:rPr>
          <w:rFonts w:asciiTheme="majorHAnsi" w:hAnsiTheme="majorHAnsi" w:cstheme="majorHAnsi"/>
          <w:bCs/>
          <w:color w:val="000000"/>
        </w:rPr>
        <w:t xml:space="preserve"> of </w:t>
      </w:r>
      <w:r>
        <w:rPr>
          <w:rFonts w:asciiTheme="majorHAnsi" w:hAnsiTheme="majorHAnsi" w:cstheme="majorHAnsi"/>
          <w:bCs/>
          <w:color w:val="000000"/>
        </w:rPr>
        <w:t>principals</w:t>
      </w:r>
      <w:r w:rsidRPr="0010045A">
        <w:rPr>
          <w:rFonts w:asciiTheme="majorHAnsi" w:hAnsiTheme="majorHAnsi" w:cstheme="majorHAnsi"/>
          <w:bCs/>
          <w:color w:val="000000"/>
        </w:rPr>
        <w:t xml:space="preserve"> and teachers respectively from non-Program supported</w:t>
      </w:r>
      <w:r w:rsidRPr="001760F5">
        <w:rPr>
          <w:rFonts w:asciiTheme="majorHAnsi" w:hAnsiTheme="majorHAnsi" w:cstheme="majorHAnsi"/>
          <w:color w:val="000000"/>
        </w:rPr>
        <w:t xml:space="preserve"> schools</w:t>
      </w:r>
      <w:r>
        <w:rPr>
          <w:rFonts w:asciiTheme="majorHAnsi" w:hAnsiTheme="majorHAnsi" w:cstheme="majorHAnsi"/>
          <w:color w:val="000000"/>
        </w:rPr>
        <w:t xml:space="preserve"> said the same</w:t>
      </w:r>
      <w:r w:rsidRPr="001760F5">
        <w:rPr>
          <w:rFonts w:asciiTheme="majorHAnsi" w:hAnsiTheme="majorHAnsi" w:cstheme="majorHAnsi"/>
          <w:color w:val="000000"/>
        </w:rPr>
        <w:t>.</w:t>
      </w:r>
    </w:p>
    <w:p w14:paraId="264EE7FF" w14:textId="34D2BEF1" w:rsidR="008D0CAD" w:rsidRPr="001760F5" w:rsidRDefault="008D0CAD" w:rsidP="007C1A2E">
      <w:pPr>
        <w:tabs>
          <w:tab w:val="num" w:pos="720"/>
        </w:tabs>
        <w:spacing w:before="100" w:beforeAutospacing="1" w:after="100" w:afterAutospacing="1" w:line="360" w:lineRule="auto"/>
        <w:rPr>
          <w:rFonts w:asciiTheme="majorHAnsi" w:hAnsiTheme="majorHAnsi" w:cstheme="majorHAnsi"/>
          <w:color w:val="000000"/>
        </w:rPr>
      </w:pPr>
      <w:r>
        <w:rPr>
          <w:rFonts w:asciiTheme="majorHAnsi" w:hAnsiTheme="majorHAnsi" w:cstheme="majorHAnsi"/>
          <w:color w:val="000000"/>
        </w:rPr>
        <w:t>Teachers noted that</w:t>
      </w:r>
      <w:r w:rsidRPr="001760F5">
        <w:rPr>
          <w:rFonts w:asciiTheme="majorHAnsi" w:hAnsiTheme="majorHAnsi" w:cstheme="majorHAnsi"/>
          <w:color w:val="000000"/>
        </w:rPr>
        <w:t xml:space="preserve"> the factors </w:t>
      </w:r>
      <w:r>
        <w:rPr>
          <w:rFonts w:asciiTheme="majorHAnsi" w:hAnsiTheme="majorHAnsi" w:cstheme="majorHAnsi"/>
          <w:color w:val="000000"/>
        </w:rPr>
        <w:t>that helped in promoting gender-responsive education were:</w:t>
      </w:r>
      <w:r w:rsidRPr="001760F5">
        <w:rPr>
          <w:rFonts w:asciiTheme="majorHAnsi" w:hAnsiTheme="majorHAnsi" w:cstheme="majorHAnsi"/>
          <w:color w:val="000000"/>
        </w:rPr>
        <w:t xml:space="preserve"> their training (19</w:t>
      </w:r>
      <w:r>
        <w:rPr>
          <w:rFonts w:asciiTheme="majorHAnsi" w:hAnsiTheme="majorHAnsi" w:cstheme="majorHAnsi"/>
          <w:color w:val="000000"/>
        </w:rPr>
        <w:t xml:space="preserve"> per cent</w:t>
      </w:r>
      <w:r w:rsidRPr="001760F5">
        <w:rPr>
          <w:rFonts w:asciiTheme="majorHAnsi" w:hAnsiTheme="majorHAnsi" w:cstheme="majorHAnsi"/>
          <w:color w:val="000000"/>
        </w:rPr>
        <w:t>), attitude (10</w:t>
      </w:r>
      <w:r>
        <w:rPr>
          <w:rFonts w:asciiTheme="majorHAnsi" w:hAnsiTheme="majorHAnsi" w:cstheme="majorHAnsi"/>
          <w:color w:val="000000"/>
        </w:rPr>
        <w:t xml:space="preserve"> per cent</w:t>
      </w:r>
      <w:r w:rsidRPr="001760F5">
        <w:rPr>
          <w:rFonts w:asciiTheme="majorHAnsi" w:hAnsiTheme="majorHAnsi" w:cstheme="majorHAnsi"/>
          <w:color w:val="000000"/>
        </w:rPr>
        <w:t>), principals/school heads (3</w:t>
      </w:r>
      <w:r>
        <w:rPr>
          <w:rFonts w:asciiTheme="majorHAnsi" w:hAnsiTheme="majorHAnsi" w:cstheme="majorHAnsi"/>
          <w:color w:val="000000"/>
        </w:rPr>
        <w:t xml:space="preserve"> per cent</w:t>
      </w:r>
      <w:r w:rsidRPr="001760F5">
        <w:rPr>
          <w:rFonts w:asciiTheme="majorHAnsi" w:hAnsiTheme="majorHAnsi" w:cstheme="majorHAnsi"/>
          <w:color w:val="000000"/>
        </w:rPr>
        <w:t>) and resources (3</w:t>
      </w:r>
      <w:r>
        <w:rPr>
          <w:rFonts w:asciiTheme="majorHAnsi" w:hAnsiTheme="majorHAnsi" w:cstheme="majorHAnsi"/>
          <w:color w:val="000000"/>
        </w:rPr>
        <w:t xml:space="preserve"> per cent</w:t>
      </w:r>
      <w:r w:rsidRPr="001760F5">
        <w:rPr>
          <w:rFonts w:asciiTheme="majorHAnsi" w:hAnsiTheme="majorHAnsi" w:cstheme="majorHAnsi"/>
          <w:color w:val="000000"/>
        </w:rPr>
        <w:t>).</w:t>
      </w:r>
      <w:r w:rsidR="00D434EB">
        <w:rPr>
          <w:rFonts w:asciiTheme="majorHAnsi" w:hAnsiTheme="majorHAnsi" w:cstheme="majorHAnsi"/>
          <w:color w:val="000000"/>
        </w:rPr>
        <w:t xml:space="preserve"> </w:t>
      </w:r>
      <w:r>
        <w:rPr>
          <w:rFonts w:asciiTheme="majorHAnsi" w:hAnsiTheme="majorHAnsi" w:cstheme="majorHAnsi"/>
          <w:color w:val="000000"/>
        </w:rPr>
        <w:t>Others noted</w:t>
      </w:r>
      <w:r w:rsidRPr="001760F5">
        <w:rPr>
          <w:rFonts w:asciiTheme="majorHAnsi" w:hAnsiTheme="majorHAnsi" w:cstheme="majorHAnsi"/>
          <w:color w:val="000000"/>
        </w:rPr>
        <w:t>: the community's total involvement; stronger monitoring and evaluation of SIPs; and improv</w:t>
      </w:r>
      <w:r>
        <w:rPr>
          <w:rFonts w:asciiTheme="majorHAnsi" w:hAnsiTheme="majorHAnsi" w:cstheme="majorHAnsi"/>
          <w:color w:val="000000"/>
        </w:rPr>
        <w:t>ement of</w:t>
      </w:r>
      <w:r w:rsidRPr="001760F5">
        <w:rPr>
          <w:rFonts w:asciiTheme="majorHAnsi" w:hAnsiTheme="majorHAnsi" w:cstheme="majorHAnsi"/>
          <w:color w:val="000000"/>
        </w:rPr>
        <w:t xml:space="preserve"> the teacher-student ratio.</w:t>
      </w:r>
    </w:p>
    <w:p w14:paraId="3C26EC7E" w14:textId="69913D30" w:rsidR="008D0CAD" w:rsidRPr="001760F5" w:rsidRDefault="008D0CAD" w:rsidP="007C1A2E">
      <w:pPr>
        <w:tabs>
          <w:tab w:val="num" w:pos="720"/>
        </w:tabs>
        <w:spacing w:before="100" w:beforeAutospacing="1" w:after="100" w:afterAutospacing="1" w:line="360" w:lineRule="auto"/>
        <w:rPr>
          <w:rFonts w:asciiTheme="majorHAnsi" w:hAnsiTheme="majorHAnsi" w:cstheme="majorHAnsi"/>
          <w:color w:val="000000"/>
        </w:rPr>
      </w:pPr>
      <w:r w:rsidRPr="001760F5">
        <w:rPr>
          <w:rFonts w:asciiTheme="majorHAnsi" w:hAnsiTheme="majorHAnsi" w:cstheme="majorHAnsi"/>
          <w:color w:val="000000"/>
        </w:rPr>
        <w:t>On the other hand, 17 per</w:t>
      </w:r>
      <w:r>
        <w:rPr>
          <w:rFonts w:asciiTheme="majorHAnsi" w:hAnsiTheme="majorHAnsi" w:cstheme="majorHAnsi"/>
          <w:color w:val="000000"/>
        </w:rPr>
        <w:t xml:space="preserve"> </w:t>
      </w:r>
      <w:r w:rsidRPr="001760F5">
        <w:rPr>
          <w:rFonts w:asciiTheme="majorHAnsi" w:hAnsiTheme="majorHAnsi" w:cstheme="majorHAnsi"/>
          <w:color w:val="000000"/>
        </w:rPr>
        <w:t>cent</w:t>
      </w:r>
      <w:r>
        <w:rPr>
          <w:rFonts w:asciiTheme="majorHAnsi" w:hAnsiTheme="majorHAnsi" w:cstheme="majorHAnsi"/>
          <w:color w:val="000000"/>
        </w:rPr>
        <w:t xml:space="preserve"> of all teachers</w:t>
      </w:r>
      <w:r w:rsidRPr="001760F5">
        <w:rPr>
          <w:rFonts w:asciiTheme="majorHAnsi" w:hAnsiTheme="majorHAnsi" w:cstheme="majorHAnsi"/>
          <w:color w:val="000000"/>
        </w:rPr>
        <w:t xml:space="preserve"> identified </w:t>
      </w:r>
      <w:r>
        <w:rPr>
          <w:rFonts w:asciiTheme="majorHAnsi" w:hAnsiTheme="majorHAnsi" w:cstheme="majorHAnsi"/>
          <w:color w:val="000000"/>
        </w:rPr>
        <w:t xml:space="preserve">hindering </w:t>
      </w:r>
      <w:r w:rsidRPr="001760F5">
        <w:rPr>
          <w:rFonts w:asciiTheme="majorHAnsi" w:hAnsiTheme="majorHAnsi" w:cstheme="majorHAnsi"/>
          <w:color w:val="000000"/>
        </w:rPr>
        <w:t xml:space="preserve">factors related to attitude of teachers and parents. In the case of </w:t>
      </w:r>
      <w:r>
        <w:rPr>
          <w:rFonts w:asciiTheme="majorHAnsi" w:hAnsiTheme="majorHAnsi" w:cstheme="majorHAnsi"/>
          <w:color w:val="000000"/>
        </w:rPr>
        <w:t>children with disabilities</w:t>
      </w:r>
      <w:r w:rsidRPr="001760F5">
        <w:rPr>
          <w:rFonts w:asciiTheme="majorHAnsi" w:hAnsiTheme="majorHAnsi" w:cstheme="majorHAnsi"/>
          <w:color w:val="000000"/>
        </w:rPr>
        <w:t>, it was noted that many parents do not accept that their children have learning disabilities.</w:t>
      </w:r>
      <w:r w:rsidR="00D434EB">
        <w:rPr>
          <w:rFonts w:asciiTheme="majorHAnsi" w:hAnsiTheme="majorHAnsi" w:cstheme="majorHAnsi"/>
          <w:color w:val="000000"/>
        </w:rPr>
        <w:t xml:space="preserve"> </w:t>
      </w:r>
      <w:r w:rsidRPr="001760F5">
        <w:rPr>
          <w:rFonts w:asciiTheme="majorHAnsi" w:hAnsiTheme="majorHAnsi" w:cstheme="majorHAnsi"/>
          <w:color w:val="000000"/>
        </w:rPr>
        <w:t xml:space="preserve">Other teachers do not want to take on the additional responsibility of teaching </w:t>
      </w:r>
      <w:r>
        <w:rPr>
          <w:rFonts w:asciiTheme="majorHAnsi" w:hAnsiTheme="majorHAnsi" w:cstheme="majorHAnsi"/>
          <w:color w:val="000000"/>
        </w:rPr>
        <w:t xml:space="preserve">children with disabilities </w:t>
      </w:r>
      <w:r w:rsidRPr="001760F5">
        <w:rPr>
          <w:rFonts w:asciiTheme="majorHAnsi" w:hAnsiTheme="majorHAnsi" w:cstheme="majorHAnsi"/>
          <w:color w:val="000000"/>
        </w:rPr>
        <w:t>and they believe</w:t>
      </w:r>
      <w:r>
        <w:rPr>
          <w:rFonts w:asciiTheme="majorHAnsi" w:hAnsiTheme="majorHAnsi" w:cstheme="majorHAnsi"/>
          <w:color w:val="000000"/>
        </w:rPr>
        <w:t>d</w:t>
      </w:r>
      <w:r w:rsidRPr="001760F5">
        <w:rPr>
          <w:rFonts w:asciiTheme="majorHAnsi" w:hAnsiTheme="majorHAnsi" w:cstheme="majorHAnsi"/>
          <w:color w:val="000000"/>
        </w:rPr>
        <w:t xml:space="preserve"> that these learners should be </w:t>
      </w:r>
      <w:r>
        <w:rPr>
          <w:rFonts w:asciiTheme="majorHAnsi" w:hAnsiTheme="majorHAnsi" w:cstheme="majorHAnsi"/>
          <w:color w:val="000000"/>
        </w:rPr>
        <w:t>taught</w:t>
      </w:r>
      <w:r w:rsidRPr="001760F5">
        <w:rPr>
          <w:rFonts w:asciiTheme="majorHAnsi" w:hAnsiTheme="majorHAnsi" w:cstheme="majorHAnsi"/>
          <w:color w:val="000000"/>
        </w:rPr>
        <w:t xml:space="preserve"> by specially trained teachers (e.g. S</w:t>
      </w:r>
      <w:r>
        <w:rPr>
          <w:rFonts w:asciiTheme="majorHAnsi" w:hAnsiTheme="majorHAnsi" w:cstheme="majorHAnsi"/>
          <w:color w:val="000000"/>
        </w:rPr>
        <w:t xml:space="preserve">pecial </w:t>
      </w:r>
      <w:r w:rsidRPr="001760F5">
        <w:rPr>
          <w:rFonts w:asciiTheme="majorHAnsi" w:hAnsiTheme="majorHAnsi" w:cstheme="majorHAnsi"/>
          <w:color w:val="000000"/>
        </w:rPr>
        <w:t>E</w:t>
      </w:r>
      <w:r>
        <w:rPr>
          <w:rFonts w:asciiTheme="majorHAnsi" w:hAnsiTheme="majorHAnsi" w:cstheme="majorHAnsi"/>
          <w:color w:val="000000"/>
        </w:rPr>
        <w:t>ducation</w:t>
      </w:r>
      <w:r w:rsidRPr="001760F5">
        <w:rPr>
          <w:rFonts w:asciiTheme="majorHAnsi" w:hAnsiTheme="majorHAnsi" w:cstheme="majorHAnsi"/>
          <w:color w:val="000000"/>
        </w:rPr>
        <w:t xml:space="preserve"> teachers).</w:t>
      </w:r>
      <w:r w:rsidR="00D434EB">
        <w:rPr>
          <w:rFonts w:asciiTheme="majorHAnsi" w:hAnsiTheme="majorHAnsi" w:cstheme="majorHAnsi"/>
          <w:color w:val="000000"/>
        </w:rPr>
        <w:t xml:space="preserve"> </w:t>
      </w:r>
      <w:r w:rsidRPr="001760F5">
        <w:rPr>
          <w:rFonts w:asciiTheme="majorHAnsi" w:hAnsiTheme="majorHAnsi" w:cstheme="majorHAnsi"/>
          <w:color w:val="000000"/>
        </w:rPr>
        <w:t>Other teachers stated their hesitancy to take on GEDSI</w:t>
      </w:r>
      <w:r>
        <w:rPr>
          <w:rFonts w:asciiTheme="majorHAnsi" w:hAnsiTheme="majorHAnsi" w:cstheme="majorHAnsi"/>
          <w:color w:val="000000"/>
        </w:rPr>
        <w:t xml:space="preserve"> activities</w:t>
      </w:r>
      <w:r w:rsidRPr="001760F5">
        <w:rPr>
          <w:rFonts w:asciiTheme="majorHAnsi" w:hAnsiTheme="majorHAnsi" w:cstheme="majorHAnsi"/>
          <w:color w:val="000000"/>
        </w:rPr>
        <w:t xml:space="preserve"> due to overlapping of work activities.</w:t>
      </w:r>
      <w:r w:rsidR="00D434EB">
        <w:rPr>
          <w:rFonts w:asciiTheme="majorHAnsi" w:hAnsiTheme="majorHAnsi" w:cstheme="majorHAnsi"/>
          <w:color w:val="000000"/>
        </w:rPr>
        <w:t xml:space="preserve"> </w:t>
      </w:r>
      <w:r w:rsidRPr="001760F5">
        <w:rPr>
          <w:rFonts w:asciiTheme="majorHAnsi" w:hAnsiTheme="majorHAnsi" w:cstheme="majorHAnsi"/>
          <w:color w:val="000000"/>
        </w:rPr>
        <w:t xml:space="preserve">They consider GEDSI as additional work. Attitudes of </w:t>
      </w:r>
      <w:r>
        <w:rPr>
          <w:rFonts w:asciiTheme="majorHAnsi" w:hAnsiTheme="majorHAnsi" w:cstheme="majorHAnsi"/>
          <w:color w:val="000000"/>
        </w:rPr>
        <w:t>students</w:t>
      </w:r>
      <w:r w:rsidRPr="001760F5">
        <w:rPr>
          <w:rFonts w:asciiTheme="majorHAnsi" w:hAnsiTheme="majorHAnsi" w:cstheme="majorHAnsi"/>
          <w:color w:val="000000"/>
        </w:rPr>
        <w:t xml:space="preserve"> w</w:t>
      </w:r>
      <w:r>
        <w:rPr>
          <w:rFonts w:asciiTheme="majorHAnsi" w:hAnsiTheme="majorHAnsi" w:cstheme="majorHAnsi"/>
          <w:color w:val="000000"/>
        </w:rPr>
        <w:t>as</w:t>
      </w:r>
      <w:r w:rsidRPr="001760F5">
        <w:rPr>
          <w:rFonts w:asciiTheme="majorHAnsi" w:hAnsiTheme="majorHAnsi" w:cstheme="majorHAnsi"/>
          <w:color w:val="000000"/>
        </w:rPr>
        <w:t xml:space="preserve"> also identified as </w:t>
      </w:r>
      <w:r>
        <w:rPr>
          <w:rFonts w:asciiTheme="majorHAnsi" w:hAnsiTheme="majorHAnsi" w:cstheme="majorHAnsi"/>
          <w:color w:val="000000"/>
        </w:rPr>
        <w:t xml:space="preserve">a </w:t>
      </w:r>
      <w:r w:rsidRPr="001760F5">
        <w:rPr>
          <w:rFonts w:asciiTheme="majorHAnsi" w:hAnsiTheme="majorHAnsi" w:cstheme="majorHAnsi"/>
          <w:color w:val="000000"/>
        </w:rPr>
        <w:t>factor hindering GEDSI in the classroom.</w:t>
      </w:r>
    </w:p>
    <w:p w14:paraId="3C4B62DC" w14:textId="77777777" w:rsidR="008D0CAD" w:rsidRDefault="008D0CAD" w:rsidP="007C1A2E">
      <w:pPr>
        <w:tabs>
          <w:tab w:val="num" w:pos="720"/>
        </w:tabs>
        <w:spacing w:before="100" w:beforeAutospacing="1" w:after="100" w:afterAutospacing="1" w:line="360" w:lineRule="auto"/>
        <w:rPr>
          <w:rFonts w:asciiTheme="majorHAnsi" w:hAnsiTheme="majorHAnsi" w:cstheme="majorHAnsi"/>
          <w:color w:val="000000"/>
        </w:rPr>
      </w:pPr>
      <w:r w:rsidRPr="001760F5">
        <w:rPr>
          <w:rFonts w:asciiTheme="majorHAnsi" w:hAnsiTheme="majorHAnsi" w:cstheme="majorHAnsi"/>
          <w:color w:val="000000"/>
        </w:rPr>
        <w:t>Sixteen per</w:t>
      </w:r>
      <w:r>
        <w:rPr>
          <w:rFonts w:asciiTheme="majorHAnsi" w:hAnsiTheme="majorHAnsi" w:cstheme="majorHAnsi"/>
          <w:color w:val="000000"/>
        </w:rPr>
        <w:t xml:space="preserve"> </w:t>
      </w:r>
      <w:r w:rsidRPr="001760F5">
        <w:rPr>
          <w:rFonts w:asciiTheme="majorHAnsi" w:hAnsiTheme="majorHAnsi" w:cstheme="majorHAnsi"/>
          <w:color w:val="000000"/>
        </w:rPr>
        <w:t xml:space="preserve">cent of </w:t>
      </w:r>
      <w:r>
        <w:rPr>
          <w:rFonts w:asciiTheme="majorHAnsi" w:hAnsiTheme="majorHAnsi" w:cstheme="majorHAnsi"/>
          <w:color w:val="000000"/>
        </w:rPr>
        <w:t xml:space="preserve">all </w:t>
      </w:r>
      <w:r w:rsidRPr="001760F5">
        <w:rPr>
          <w:rFonts w:asciiTheme="majorHAnsi" w:hAnsiTheme="majorHAnsi" w:cstheme="majorHAnsi"/>
          <w:color w:val="000000"/>
        </w:rPr>
        <w:t xml:space="preserve">teachers </w:t>
      </w:r>
      <w:r>
        <w:rPr>
          <w:rFonts w:asciiTheme="majorHAnsi" w:hAnsiTheme="majorHAnsi" w:cstheme="majorHAnsi"/>
          <w:color w:val="000000"/>
        </w:rPr>
        <w:t xml:space="preserve">also </w:t>
      </w:r>
      <w:r w:rsidRPr="001760F5">
        <w:rPr>
          <w:rFonts w:asciiTheme="majorHAnsi" w:hAnsiTheme="majorHAnsi" w:cstheme="majorHAnsi"/>
          <w:color w:val="000000"/>
        </w:rPr>
        <w:t>identified resource-related factors as hindering GEDSI mainstreaming which included among others the lack of facilities, lack of learning materials and lack of funds for capacity building.</w:t>
      </w:r>
    </w:p>
    <w:p w14:paraId="331C5788" w14:textId="77777777" w:rsidR="008D0CAD" w:rsidRPr="0073191B" w:rsidRDefault="008D0CAD" w:rsidP="008C061C">
      <w:pPr>
        <w:pStyle w:val="Heading6"/>
      </w:pPr>
      <w:r w:rsidRPr="0073191B">
        <w:t>Inclusive Education (IE)</w:t>
      </w:r>
    </w:p>
    <w:p w14:paraId="6156CC6E" w14:textId="77777777" w:rsidR="008D0CAD" w:rsidRDefault="008D0CAD" w:rsidP="007C1A2E">
      <w:pPr>
        <w:spacing w:before="100" w:beforeAutospacing="1" w:after="100" w:afterAutospacing="1" w:line="360" w:lineRule="auto"/>
        <w:rPr>
          <w:rFonts w:asciiTheme="majorHAnsi" w:hAnsiTheme="majorHAnsi" w:cstheme="majorHAnsi"/>
          <w:color w:val="000000"/>
        </w:rPr>
      </w:pPr>
      <w:r>
        <w:rPr>
          <w:rFonts w:asciiTheme="majorHAnsi" w:hAnsiTheme="majorHAnsi" w:cstheme="majorHAnsi"/>
          <w:color w:val="000000"/>
        </w:rPr>
        <w:t>BEST Program interventions</w:t>
      </w:r>
      <w:r w:rsidRPr="002905E9">
        <w:rPr>
          <w:rFonts w:asciiTheme="majorHAnsi" w:hAnsiTheme="majorHAnsi" w:cstheme="majorHAnsi"/>
          <w:color w:val="000000"/>
        </w:rPr>
        <w:t xml:space="preserve"> </w:t>
      </w:r>
      <w:r>
        <w:rPr>
          <w:rFonts w:asciiTheme="majorHAnsi" w:hAnsiTheme="majorHAnsi" w:cstheme="majorHAnsi"/>
          <w:color w:val="000000"/>
        </w:rPr>
        <w:t xml:space="preserve">on IE focused </w:t>
      </w:r>
      <w:r>
        <w:rPr>
          <w:rFonts w:asciiTheme="majorHAnsi" w:hAnsiTheme="majorHAnsi" w:cstheme="majorHAnsi"/>
          <w:bCs/>
          <w:color w:val="000000" w:themeColor="text1"/>
        </w:rPr>
        <w:t>on</w:t>
      </w:r>
      <w:r w:rsidRPr="00F32597">
        <w:rPr>
          <w:rFonts w:asciiTheme="majorHAnsi" w:hAnsiTheme="majorHAnsi" w:cstheme="majorHAnsi"/>
          <w:bCs/>
          <w:color w:val="000000" w:themeColor="text1"/>
        </w:rPr>
        <w:t xml:space="preserve"> </w:t>
      </w:r>
      <w:r w:rsidRPr="00F32597">
        <w:rPr>
          <w:rFonts w:asciiTheme="majorHAnsi" w:hAnsiTheme="majorHAnsi" w:cstheme="majorHAnsi"/>
          <w:bCs/>
          <w:color w:val="000000"/>
        </w:rPr>
        <w:t>Children with Disabilities</w:t>
      </w:r>
      <w:r>
        <w:rPr>
          <w:rFonts w:asciiTheme="majorHAnsi" w:hAnsiTheme="majorHAnsi" w:cstheme="majorHAnsi"/>
          <w:bCs/>
          <w:color w:val="000000" w:themeColor="text1"/>
        </w:rPr>
        <w:t xml:space="preserve">, </w:t>
      </w:r>
      <w:r>
        <w:rPr>
          <w:rFonts w:asciiTheme="majorHAnsi" w:hAnsiTheme="majorHAnsi" w:cstheme="majorHAnsi"/>
          <w:color w:val="000000"/>
        </w:rPr>
        <w:t>Madrasah education and indigenous learners.</w:t>
      </w:r>
    </w:p>
    <w:p w14:paraId="59ED7180" w14:textId="03E551BA" w:rsidR="008D0CAD" w:rsidRPr="001341F8" w:rsidRDefault="008D0CAD" w:rsidP="007C1A2E">
      <w:pPr>
        <w:tabs>
          <w:tab w:val="num" w:pos="720"/>
        </w:tabs>
        <w:spacing w:before="100" w:beforeAutospacing="1" w:after="100" w:afterAutospacing="1" w:line="360" w:lineRule="auto"/>
        <w:rPr>
          <w:rFonts w:asciiTheme="majorHAnsi" w:hAnsiTheme="majorHAnsi" w:cstheme="majorHAnsi"/>
          <w:color w:val="000000" w:themeColor="text1"/>
        </w:rPr>
      </w:pPr>
      <w:r w:rsidRPr="00CF0187">
        <w:rPr>
          <w:rFonts w:asciiTheme="majorHAnsi" w:hAnsiTheme="majorHAnsi" w:cstheme="majorHAnsi"/>
          <w:color w:val="000000" w:themeColor="text1"/>
        </w:rPr>
        <w:t xml:space="preserve">According to </w:t>
      </w:r>
      <w:r>
        <w:rPr>
          <w:rFonts w:asciiTheme="majorHAnsi" w:hAnsiTheme="majorHAnsi" w:cstheme="majorHAnsi"/>
          <w:color w:val="000000" w:themeColor="text1"/>
        </w:rPr>
        <w:t>DepEd</w:t>
      </w:r>
      <w:r w:rsidRPr="00CF0187">
        <w:rPr>
          <w:rFonts w:asciiTheme="majorHAnsi" w:hAnsiTheme="majorHAnsi" w:cstheme="majorHAnsi"/>
          <w:color w:val="000000" w:themeColor="text1"/>
        </w:rPr>
        <w:t xml:space="preserve"> Central Office respondents, IE-related </w:t>
      </w:r>
      <w:r w:rsidRPr="001341F8">
        <w:rPr>
          <w:rFonts w:asciiTheme="majorHAnsi" w:hAnsiTheme="majorHAnsi" w:cstheme="majorHAnsi"/>
          <w:color w:val="000000" w:themeColor="text1"/>
        </w:rPr>
        <w:t xml:space="preserve">teaching and learning resources were significant contributions of the Program for two reasons: it would have taken </w:t>
      </w:r>
      <w:r>
        <w:rPr>
          <w:rFonts w:asciiTheme="majorHAnsi" w:hAnsiTheme="majorHAnsi" w:cstheme="majorHAnsi"/>
          <w:color w:val="000000" w:themeColor="text1"/>
        </w:rPr>
        <w:t>DepEd</w:t>
      </w:r>
      <w:r w:rsidRPr="001341F8">
        <w:rPr>
          <w:rFonts w:asciiTheme="majorHAnsi" w:hAnsiTheme="majorHAnsi" w:cstheme="majorHAnsi"/>
          <w:color w:val="000000" w:themeColor="text1"/>
        </w:rPr>
        <w:t xml:space="preserve"> at least two more years to develop the materials itself; and the quality of technical competency provided by the Program was over the reach of </w:t>
      </w:r>
      <w:r>
        <w:rPr>
          <w:rFonts w:asciiTheme="majorHAnsi" w:hAnsiTheme="majorHAnsi" w:cstheme="majorHAnsi"/>
          <w:color w:val="000000" w:themeColor="text1"/>
        </w:rPr>
        <w:t>DepEd</w:t>
      </w:r>
      <w:r w:rsidRPr="001341F8">
        <w:rPr>
          <w:rFonts w:asciiTheme="majorHAnsi" w:hAnsiTheme="majorHAnsi" w:cstheme="majorHAnsi"/>
          <w:color w:val="000000" w:themeColor="text1"/>
        </w:rPr>
        <w:t>.</w:t>
      </w:r>
      <w:r w:rsidR="00D434EB">
        <w:rPr>
          <w:rFonts w:asciiTheme="majorHAnsi" w:hAnsiTheme="majorHAnsi" w:cstheme="majorHAnsi"/>
          <w:color w:val="000000" w:themeColor="text1"/>
        </w:rPr>
        <w:t xml:space="preserve"> </w:t>
      </w:r>
    </w:p>
    <w:p w14:paraId="052817AA" w14:textId="0F7D06A5" w:rsidR="008D0CAD" w:rsidRDefault="008D0CAD" w:rsidP="007C1A2E">
      <w:pPr>
        <w:spacing w:before="100" w:beforeAutospacing="1" w:after="100" w:afterAutospacing="1" w:line="360" w:lineRule="auto"/>
        <w:rPr>
          <w:rFonts w:asciiTheme="majorHAnsi" w:hAnsiTheme="majorHAnsi" w:cstheme="majorHAnsi"/>
          <w:color w:val="000000"/>
        </w:rPr>
      </w:pPr>
      <w:r>
        <w:rPr>
          <w:rFonts w:asciiTheme="majorHAnsi" w:hAnsiTheme="majorHAnsi" w:cstheme="majorHAnsi"/>
          <w:color w:val="000000"/>
        </w:rPr>
        <w:t xml:space="preserve">At the school-level, contributions of the Program to the delivery of centered on the availability of </w:t>
      </w:r>
      <w:r w:rsidRPr="00CF0187">
        <w:rPr>
          <w:rFonts w:asciiTheme="majorHAnsi" w:hAnsiTheme="majorHAnsi" w:cstheme="majorHAnsi"/>
          <w:color w:val="000000" w:themeColor="text1"/>
        </w:rPr>
        <w:t>IE-related teaching and learning resources</w:t>
      </w:r>
      <w:r>
        <w:rPr>
          <w:rFonts w:asciiTheme="majorHAnsi" w:hAnsiTheme="majorHAnsi" w:cstheme="majorHAnsi"/>
          <w:color w:val="000000" w:themeColor="text1"/>
        </w:rPr>
        <w:t>.</w:t>
      </w:r>
      <w:r w:rsidRPr="00CF0187">
        <w:rPr>
          <w:rFonts w:asciiTheme="majorHAnsi" w:hAnsiTheme="majorHAnsi" w:cstheme="majorHAnsi"/>
          <w:color w:val="000000" w:themeColor="text1"/>
        </w:rPr>
        <w:t xml:space="preserve"> </w:t>
      </w:r>
      <w:r>
        <w:rPr>
          <w:rFonts w:asciiTheme="majorHAnsi" w:hAnsiTheme="majorHAnsi" w:cstheme="majorHAnsi"/>
          <w:color w:val="000000"/>
        </w:rPr>
        <w:t>Survey results showed that only 54 per cent of principals and 41 per cent of teachers in Program-supported schools had participated in IE activities during the Program period.</w:t>
      </w:r>
      <w:r>
        <w:rPr>
          <w:rStyle w:val="FootnoteReference"/>
          <w:rFonts w:asciiTheme="majorHAnsi" w:eastAsia="Arial Unicode MS" w:hAnsiTheme="majorHAnsi" w:cstheme="majorHAnsi"/>
          <w:color w:val="000000"/>
        </w:rPr>
        <w:footnoteReference w:id="33"/>
      </w:r>
      <w:r w:rsidR="00D434EB">
        <w:rPr>
          <w:rFonts w:asciiTheme="majorHAnsi" w:hAnsiTheme="majorHAnsi" w:cstheme="majorHAnsi"/>
          <w:color w:val="000000"/>
        </w:rPr>
        <w:t xml:space="preserve"> </w:t>
      </w:r>
      <w:r>
        <w:rPr>
          <w:rFonts w:asciiTheme="majorHAnsi" w:hAnsiTheme="majorHAnsi" w:cstheme="majorHAnsi"/>
          <w:color w:val="000000"/>
        </w:rPr>
        <w:t xml:space="preserve">However, only 31 per cent of principals and 41 per cent of teachers said that their schools actually use IE learning materials. Similarly, 15 per cent of principals and 59 per cent of teachers in non-Program-supported schools stated that their schools use IE learning materials. </w:t>
      </w:r>
    </w:p>
    <w:p w14:paraId="6E209844" w14:textId="752AD8AC" w:rsidR="008D0CAD" w:rsidRDefault="008D0CAD" w:rsidP="007C1A2E">
      <w:pPr>
        <w:spacing w:before="100" w:beforeAutospacing="1" w:after="100" w:afterAutospacing="1" w:line="360" w:lineRule="auto"/>
        <w:rPr>
          <w:rFonts w:asciiTheme="majorHAnsi" w:hAnsiTheme="majorHAnsi" w:cstheme="majorHAnsi"/>
        </w:rPr>
      </w:pPr>
      <w:r>
        <w:rPr>
          <w:rFonts w:asciiTheme="majorHAnsi" w:hAnsiTheme="majorHAnsi" w:cstheme="majorHAnsi"/>
          <w:color w:val="000000" w:themeColor="text1"/>
        </w:rPr>
        <w:t>IE</w:t>
      </w:r>
      <w:r w:rsidRPr="009D311C">
        <w:rPr>
          <w:rFonts w:asciiTheme="majorHAnsi" w:hAnsiTheme="majorHAnsi" w:cstheme="majorHAnsi"/>
          <w:color w:val="000000" w:themeColor="text1"/>
        </w:rPr>
        <w:t xml:space="preserve"> </w:t>
      </w:r>
      <w:r>
        <w:rPr>
          <w:rFonts w:asciiTheme="majorHAnsi" w:hAnsiTheme="majorHAnsi" w:cstheme="majorHAnsi"/>
          <w:color w:val="000000" w:themeColor="text1"/>
        </w:rPr>
        <w:t>materials used in schools included, among others</w:t>
      </w:r>
      <w:r w:rsidRPr="009D311C">
        <w:rPr>
          <w:rFonts w:asciiTheme="majorHAnsi" w:hAnsiTheme="majorHAnsi" w:cstheme="majorHAnsi"/>
          <w:color w:val="000000" w:themeColor="text1"/>
        </w:rPr>
        <w:t>: Braille</w:t>
      </w:r>
      <w:r>
        <w:rPr>
          <w:rFonts w:asciiTheme="majorHAnsi" w:hAnsiTheme="majorHAnsi" w:cstheme="majorHAnsi"/>
          <w:color w:val="000000" w:themeColor="text1"/>
        </w:rPr>
        <w:t xml:space="preserve"> materials</w:t>
      </w:r>
      <w:r w:rsidRPr="009D311C">
        <w:rPr>
          <w:rFonts w:asciiTheme="majorHAnsi" w:hAnsiTheme="majorHAnsi" w:cstheme="majorHAnsi"/>
          <w:color w:val="000000" w:themeColor="text1"/>
        </w:rPr>
        <w:t>, Visual Materials, ICT, counting blocks, games, videos.</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Most common r</w:t>
      </w:r>
      <w:r w:rsidRPr="009D311C">
        <w:rPr>
          <w:rFonts w:asciiTheme="majorHAnsi" w:hAnsiTheme="majorHAnsi" w:cstheme="majorHAnsi"/>
          <w:color w:val="000000" w:themeColor="text1"/>
        </w:rPr>
        <w:t>easons given by those who d</w:t>
      </w:r>
      <w:r>
        <w:rPr>
          <w:rFonts w:asciiTheme="majorHAnsi" w:hAnsiTheme="majorHAnsi" w:cstheme="majorHAnsi"/>
          <w:color w:val="000000" w:themeColor="text1"/>
        </w:rPr>
        <w:t>id</w:t>
      </w:r>
      <w:r w:rsidRPr="009D311C">
        <w:rPr>
          <w:rFonts w:asciiTheme="majorHAnsi" w:hAnsiTheme="majorHAnsi" w:cstheme="majorHAnsi"/>
          <w:color w:val="000000" w:themeColor="text1"/>
        </w:rPr>
        <w:t xml:space="preserve"> not use IE materials in school </w:t>
      </w:r>
      <w:r>
        <w:rPr>
          <w:rFonts w:asciiTheme="majorHAnsi" w:hAnsiTheme="majorHAnsi" w:cstheme="majorHAnsi"/>
        </w:rPr>
        <w:t>were</w:t>
      </w:r>
      <w:r w:rsidRPr="005153D4">
        <w:rPr>
          <w:rFonts w:asciiTheme="majorHAnsi" w:hAnsiTheme="majorHAnsi" w:cstheme="majorHAnsi"/>
        </w:rPr>
        <w:t xml:space="preserve">: lack of materials; lack </w:t>
      </w:r>
      <w:r>
        <w:rPr>
          <w:rFonts w:asciiTheme="majorHAnsi" w:hAnsiTheme="majorHAnsi" w:cstheme="majorHAnsi"/>
        </w:rPr>
        <w:t>of</w:t>
      </w:r>
      <w:r w:rsidRPr="005153D4">
        <w:rPr>
          <w:rFonts w:asciiTheme="majorHAnsi" w:hAnsiTheme="majorHAnsi" w:cstheme="majorHAnsi"/>
        </w:rPr>
        <w:t xml:space="preserve"> funds to acquire these materials; and lack of access to these materials.</w:t>
      </w:r>
      <w:r w:rsidR="00D434EB">
        <w:rPr>
          <w:rFonts w:asciiTheme="majorHAnsi" w:hAnsiTheme="majorHAnsi" w:cstheme="majorHAnsi"/>
        </w:rPr>
        <w:t xml:space="preserve"> </w:t>
      </w:r>
      <w:r>
        <w:rPr>
          <w:rFonts w:asciiTheme="majorHAnsi" w:hAnsiTheme="majorHAnsi" w:cstheme="majorHAnsi"/>
        </w:rPr>
        <w:t xml:space="preserve"> </w:t>
      </w:r>
    </w:p>
    <w:p w14:paraId="737E5BCA" w14:textId="7F3034F6" w:rsidR="008D0CAD" w:rsidRDefault="008D0CAD" w:rsidP="007C1A2E">
      <w:pPr>
        <w:tabs>
          <w:tab w:val="num" w:pos="720"/>
        </w:tabs>
        <w:spacing w:before="100" w:beforeAutospacing="1" w:after="100" w:afterAutospacing="1" w:line="360" w:lineRule="auto"/>
        <w:rPr>
          <w:rFonts w:asciiTheme="majorHAnsi" w:hAnsiTheme="majorHAnsi" w:cstheme="majorHAnsi"/>
        </w:rPr>
      </w:pPr>
      <w:r w:rsidRPr="00CF0187">
        <w:rPr>
          <w:rFonts w:asciiTheme="majorHAnsi" w:hAnsiTheme="majorHAnsi" w:cstheme="majorHAnsi"/>
          <w:color w:val="000000" w:themeColor="text1"/>
        </w:rPr>
        <w:t>Utili</w:t>
      </w:r>
      <w:r>
        <w:rPr>
          <w:rFonts w:asciiTheme="majorHAnsi" w:hAnsiTheme="majorHAnsi" w:cstheme="majorHAnsi"/>
          <w:color w:val="000000" w:themeColor="text1"/>
        </w:rPr>
        <w:t>s</w:t>
      </w:r>
      <w:r w:rsidRPr="00CF0187">
        <w:rPr>
          <w:rFonts w:asciiTheme="majorHAnsi" w:hAnsiTheme="majorHAnsi" w:cstheme="majorHAnsi"/>
          <w:color w:val="000000" w:themeColor="text1"/>
        </w:rPr>
        <w:t xml:space="preserve">ation of four </w:t>
      </w:r>
      <w:r>
        <w:rPr>
          <w:rFonts w:asciiTheme="majorHAnsi" w:hAnsiTheme="majorHAnsi" w:cstheme="majorHAnsi"/>
          <w:color w:val="000000" w:themeColor="text1"/>
        </w:rPr>
        <w:t xml:space="preserve">Program-produced </w:t>
      </w:r>
      <w:r w:rsidRPr="00CF0187">
        <w:rPr>
          <w:rFonts w:asciiTheme="majorHAnsi" w:hAnsiTheme="majorHAnsi" w:cstheme="majorHAnsi"/>
          <w:color w:val="000000" w:themeColor="text1"/>
        </w:rPr>
        <w:t xml:space="preserve">outputs were </w:t>
      </w:r>
      <w:r>
        <w:rPr>
          <w:rFonts w:asciiTheme="majorHAnsi" w:hAnsiTheme="majorHAnsi" w:cstheme="majorHAnsi"/>
          <w:color w:val="000000" w:themeColor="text1"/>
        </w:rPr>
        <w:t xml:space="preserve">also </w:t>
      </w:r>
      <w:r w:rsidRPr="001341F8">
        <w:rPr>
          <w:rFonts w:asciiTheme="majorHAnsi" w:hAnsiTheme="majorHAnsi" w:cstheme="majorHAnsi"/>
          <w:color w:val="000000" w:themeColor="text1"/>
        </w:rPr>
        <w:t xml:space="preserve">assessed at school-level. In the case of the LAC Session Guides in Inclusive Education Value Series, 38 </w:t>
      </w:r>
      <w:r>
        <w:rPr>
          <w:rFonts w:asciiTheme="majorHAnsi" w:hAnsiTheme="majorHAnsi" w:cstheme="majorHAnsi"/>
          <w:color w:val="000000" w:themeColor="text1"/>
        </w:rPr>
        <w:t>per cent</w:t>
      </w:r>
      <w:r w:rsidRPr="001341F8">
        <w:rPr>
          <w:rFonts w:asciiTheme="majorHAnsi" w:hAnsiTheme="majorHAnsi" w:cstheme="majorHAnsi"/>
          <w:color w:val="000000" w:themeColor="text1"/>
        </w:rPr>
        <w:t xml:space="preserve"> of </w:t>
      </w:r>
      <w:r>
        <w:rPr>
          <w:rFonts w:asciiTheme="majorHAnsi" w:hAnsiTheme="majorHAnsi" w:cstheme="majorHAnsi"/>
          <w:color w:val="000000" w:themeColor="text1"/>
        </w:rPr>
        <w:t>principal</w:t>
      </w:r>
      <w:r w:rsidRPr="001341F8">
        <w:rPr>
          <w:rFonts w:asciiTheme="majorHAnsi" w:hAnsiTheme="majorHAnsi" w:cstheme="majorHAnsi"/>
          <w:color w:val="000000" w:themeColor="text1"/>
        </w:rPr>
        <w:t>s and 46 per</w:t>
      </w:r>
      <w:r>
        <w:rPr>
          <w:rFonts w:asciiTheme="majorHAnsi" w:hAnsiTheme="majorHAnsi" w:cstheme="majorHAnsi"/>
          <w:color w:val="000000" w:themeColor="text1"/>
        </w:rPr>
        <w:t xml:space="preserve"> </w:t>
      </w:r>
      <w:r w:rsidRPr="001341F8">
        <w:rPr>
          <w:rFonts w:asciiTheme="majorHAnsi" w:hAnsiTheme="majorHAnsi" w:cstheme="majorHAnsi"/>
          <w:color w:val="000000" w:themeColor="text1"/>
        </w:rPr>
        <w:t>cent of teachers had good knowledge about the materials (refer to Section 3.</w:t>
      </w:r>
      <w:r>
        <w:rPr>
          <w:rFonts w:asciiTheme="majorHAnsi" w:hAnsiTheme="majorHAnsi" w:cstheme="majorHAnsi"/>
          <w:color w:val="000000" w:themeColor="text1"/>
        </w:rPr>
        <w:t>3</w:t>
      </w:r>
      <w:r w:rsidRPr="001341F8">
        <w:rPr>
          <w:rFonts w:asciiTheme="majorHAnsi" w:hAnsiTheme="majorHAnsi" w:cstheme="majorHAnsi"/>
          <w:color w:val="000000" w:themeColor="text1"/>
        </w:rPr>
        <w:t>.</w:t>
      </w:r>
      <w:r>
        <w:rPr>
          <w:rFonts w:asciiTheme="majorHAnsi" w:hAnsiTheme="majorHAnsi" w:cstheme="majorHAnsi"/>
          <w:color w:val="000000" w:themeColor="text1"/>
        </w:rPr>
        <w:t>3</w:t>
      </w:r>
      <w:r w:rsidRPr="001341F8">
        <w:rPr>
          <w:rFonts w:asciiTheme="majorHAnsi" w:hAnsiTheme="majorHAnsi" w:cstheme="majorHAnsi"/>
          <w:color w:val="000000" w:themeColor="text1"/>
        </w:rPr>
        <w:t>). These materials were also found to be accessible (by 46</w:t>
      </w:r>
      <w:r>
        <w:rPr>
          <w:rFonts w:asciiTheme="majorHAnsi" w:hAnsiTheme="majorHAnsi" w:cstheme="majorHAnsi"/>
          <w:color w:val="000000" w:themeColor="text1"/>
        </w:rPr>
        <w:t xml:space="preserve"> per cent</w:t>
      </w:r>
      <w:r w:rsidRPr="001341F8">
        <w:rPr>
          <w:rFonts w:asciiTheme="majorHAnsi" w:hAnsiTheme="majorHAnsi" w:cstheme="majorHAnsi"/>
          <w:color w:val="000000" w:themeColor="text1"/>
        </w:rPr>
        <w:t xml:space="preserve"> of </w:t>
      </w:r>
      <w:r>
        <w:rPr>
          <w:rFonts w:asciiTheme="majorHAnsi" w:hAnsiTheme="majorHAnsi" w:cstheme="majorHAnsi"/>
          <w:color w:val="000000" w:themeColor="text1"/>
        </w:rPr>
        <w:t>principals</w:t>
      </w:r>
      <w:r w:rsidRPr="001341F8">
        <w:rPr>
          <w:rFonts w:asciiTheme="majorHAnsi" w:hAnsiTheme="majorHAnsi" w:cstheme="majorHAnsi"/>
          <w:color w:val="000000" w:themeColor="text1"/>
        </w:rPr>
        <w:t xml:space="preserve"> and 37</w:t>
      </w:r>
      <w:r>
        <w:rPr>
          <w:rFonts w:asciiTheme="majorHAnsi" w:hAnsiTheme="majorHAnsi" w:cstheme="majorHAnsi"/>
          <w:color w:val="000000" w:themeColor="text1"/>
        </w:rPr>
        <w:t xml:space="preserve"> per cent</w:t>
      </w:r>
      <w:r w:rsidRPr="001341F8">
        <w:rPr>
          <w:rFonts w:asciiTheme="majorHAnsi" w:hAnsiTheme="majorHAnsi" w:cstheme="majorHAnsi"/>
          <w:color w:val="000000" w:themeColor="text1"/>
        </w:rPr>
        <w:t xml:space="preserve"> of teachers) and useful </w:t>
      </w:r>
      <w:r w:rsidRPr="00CF0187">
        <w:rPr>
          <w:rFonts w:asciiTheme="majorHAnsi" w:hAnsiTheme="majorHAnsi" w:cstheme="majorHAnsi"/>
          <w:color w:val="000000" w:themeColor="text1"/>
        </w:rPr>
        <w:t>(by 46</w:t>
      </w:r>
      <w:r>
        <w:rPr>
          <w:rFonts w:asciiTheme="majorHAnsi" w:hAnsiTheme="majorHAnsi" w:cstheme="majorHAnsi"/>
          <w:color w:val="000000" w:themeColor="text1"/>
        </w:rPr>
        <w:t xml:space="preserve"> per cent</w:t>
      </w:r>
      <w:r w:rsidRPr="00CF0187">
        <w:rPr>
          <w:rFonts w:asciiTheme="majorHAnsi" w:hAnsiTheme="majorHAnsi" w:cstheme="majorHAnsi"/>
          <w:color w:val="000000" w:themeColor="text1"/>
        </w:rPr>
        <w:t xml:space="preserve"> of </w:t>
      </w:r>
      <w:r>
        <w:rPr>
          <w:rFonts w:asciiTheme="majorHAnsi" w:hAnsiTheme="majorHAnsi" w:cstheme="majorHAnsi"/>
          <w:color w:val="000000" w:themeColor="text1"/>
        </w:rPr>
        <w:t>principals</w:t>
      </w:r>
      <w:r w:rsidRPr="00CF0187">
        <w:rPr>
          <w:rFonts w:asciiTheme="majorHAnsi" w:hAnsiTheme="majorHAnsi" w:cstheme="majorHAnsi"/>
          <w:color w:val="000000" w:themeColor="text1"/>
        </w:rPr>
        <w:t xml:space="preserve"> and 37</w:t>
      </w:r>
      <w:r>
        <w:rPr>
          <w:rFonts w:asciiTheme="majorHAnsi" w:hAnsiTheme="majorHAnsi" w:cstheme="majorHAnsi"/>
          <w:color w:val="000000" w:themeColor="text1"/>
        </w:rPr>
        <w:t xml:space="preserve"> per cent</w:t>
      </w:r>
      <w:r w:rsidRPr="00CF0187">
        <w:rPr>
          <w:rFonts w:asciiTheme="majorHAnsi" w:hAnsiTheme="majorHAnsi" w:cstheme="majorHAnsi"/>
          <w:color w:val="000000" w:themeColor="text1"/>
        </w:rPr>
        <w:t xml:space="preserve"> of teachers).</w:t>
      </w:r>
      <w:r w:rsidR="00D434EB">
        <w:rPr>
          <w:rFonts w:asciiTheme="majorHAnsi" w:hAnsiTheme="majorHAnsi" w:cstheme="majorHAnsi"/>
          <w:color w:val="000000" w:themeColor="text1"/>
        </w:rPr>
        <w:t xml:space="preserve"> </w:t>
      </w:r>
      <w:r>
        <w:rPr>
          <w:rFonts w:asciiTheme="majorHAnsi" w:hAnsiTheme="majorHAnsi" w:cstheme="majorHAnsi"/>
        </w:rPr>
        <w:t>It should be emphasised, however, that t</w:t>
      </w:r>
      <w:r w:rsidRPr="00B910A7">
        <w:rPr>
          <w:rFonts w:asciiTheme="majorHAnsi" w:hAnsiTheme="majorHAnsi" w:cstheme="majorHAnsi"/>
        </w:rPr>
        <w:t xml:space="preserve">hese Guides were only </w:t>
      </w:r>
      <w:r>
        <w:rPr>
          <w:rFonts w:asciiTheme="majorHAnsi" w:hAnsiTheme="majorHAnsi" w:cstheme="majorHAnsi"/>
        </w:rPr>
        <w:t>made available during the conduct of</w:t>
      </w:r>
      <w:r w:rsidRPr="00B910A7">
        <w:rPr>
          <w:rFonts w:asciiTheme="majorHAnsi" w:hAnsiTheme="majorHAnsi" w:cstheme="majorHAnsi"/>
        </w:rPr>
        <w:t xml:space="preserve"> workshops</w:t>
      </w:r>
      <w:r>
        <w:rPr>
          <w:rFonts w:asciiTheme="majorHAnsi" w:hAnsiTheme="majorHAnsi" w:cstheme="majorHAnsi"/>
        </w:rPr>
        <w:t xml:space="preserve"> and actual </w:t>
      </w:r>
      <w:r w:rsidRPr="00B910A7">
        <w:rPr>
          <w:rFonts w:asciiTheme="majorHAnsi" w:hAnsiTheme="majorHAnsi" w:cstheme="majorHAnsi"/>
        </w:rPr>
        <w:t>print</w:t>
      </w:r>
      <w:r>
        <w:rPr>
          <w:rFonts w:asciiTheme="majorHAnsi" w:hAnsiTheme="majorHAnsi" w:cstheme="majorHAnsi"/>
        </w:rPr>
        <w:t>ing of materials was only completed</w:t>
      </w:r>
      <w:r w:rsidRPr="00B910A7">
        <w:rPr>
          <w:rFonts w:asciiTheme="majorHAnsi" w:hAnsiTheme="majorHAnsi" w:cstheme="majorHAnsi"/>
        </w:rPr>
        <w:t xml:space="preserve"> </w:t>
      </w:r>
      <w:r>
        <w:rPr>
          <w:rFonts w:asciiTheme="majorHAnsi" w:hAnsiTheme="majorHAnsi" w:cstheme="majorHAnsi"/>
        </w:rPr>
        <w:t>one month before the end of the Program (</w:t>
      </w:r>
      <w:r w:rsidRPr="00B910A7">
        <w:rPr>
          <w:rFonts w:asciiTheme="majorHAnsi" w:hAnsiTheme="majorHAnsi" w:cstheme="majorHAnsi"/>
        </w:rPr>
        <w:t>May 2019</w:t>
      </w:r>
      <w:r>
        <w:rPr>
          <w:rFonts w:asciiTheme="majorHAnsi" w:hAnsiTheme="majorHAnsi" w:cstheme="majorHAnsi"/>
        </w:rPr>
        <w:t>).</w:t>
      </w:r>
      <w:r w:rsidRPr="00B910A7">
        <w:rPr>
          <w:rFonts w:asciiTheme="majorHAnsi" w:hAnsiTheme="majorHAnsi" w:cstheme="majorHAnsi"/>
        </w:rPr>
        <w:t xml:space="preserve"> </w:t>
      </w:r>
    </w:p>
    <w:p w14:paraId="51945496" w14:textId="77777777" w:rsidR="008D0CAD" w:rsidRDefault="008D0CAD" w:rsidP="007C1A2E">
      <w:pPr>
        <w:tabs>
          <w:tab w:val="num" w:pos="720"/>
        </w:tabs>
        <w:spacing w:before="100" w:beforeAutospacing="1" w:after="100" w:afterAutospacing="1" w:line="360" w:lineRule="auto"/>
        <w:rPr>
          <w:rFonts w:asciiTheme="majorHAnsi" w:hAnsiTheme="majorHAnsi" w:cstheme="majorHAnsi"/>
          <w:color w:val="000000" w:themeColor="text1"/>
        </w:rPr>
      </w:pPr>
      <w:r w:rsidRPr="00CF0187">
        <w:rPr>
          <w:rFonts w:asciiTheme="majorHAnsi" w:hAnsiTheme="majorHAnsi" w:cstheme="majorHAnsi"/>
          <w:color w:val="000000" w:themeColor="text1"/>
        </w:rPr>
        <w:t xml:space="preserve">In contrast, less than </w:t>
      </w:r>
      <w:r>
        <w:rPr>
          <w:rFonts w:asciiTheme="majorHAnsi" w:hAnsiTheme="majorHAnsi" w:cstheme="majorHAnsi"/>
          <w:color w:val="000000" w:themeColor="text1"/>
        </w:rPr>
        <w:t xml:space="preserve">one </w:t>
      </w:r>
      <w:r w:rsidRPr="00CF0187">
        <w:rPr>
          <w:rFonts w:asciiTheme="majorHAnsi" w:hAnsiTheme="majorHAnsi" w:cstheme="majorHAnsi"/>
          <w:color w:val="000000" w:themeColor="text1"/>
        </w:rPr>
        <w:t xml:space="preserve">third of </w:t>
      </w:r>
      <w:r>
        <w:rPr>
          <w:rFonts w:asciiTheme="majorHAnsi" w:hAnsiTheme="majorHAnsi" w:cstheme="majorHAnsi"/>
          <w:color w:val="000000" w:themeColor="text1"/>
        </w:rPr>
        <w:t>principals</w:t>
      </w:r>
      <w:r w:rsidRPr="00CF0187">
        <w:rPr>
          <w:rFonts w:asciiTheme="majorHAnsi" w:hAnsiTheme="majorHAnsi" w:cstheme="majorHAnsi"/>
          <w:color w:val="000000" w:themeColor="text1"/>
        </w:rPr>
        <w:t xml:space="preserve"> and teachers had good knowledge</w:t>
      </w:r>
      <w:r>
        <w:rPr>
          <w:rFonts w:asciiTheme="majorHAnsi" w:hAnsiTheme="majorHAnsi" w:cstheme="majorHAnsi"/>
          <w:color w:val="000000" w:themeColor="text1"/>
        </w:rPr>
        <w:t xml:space="preserve"> of and</w:t>
      </w:r>
      <w:r w:rsidRPr="00CF0187">
        <w:rPr>
          <w:rFonts w:asciiTheme="majorHAnsi" w:hAnsiTheme="majorHAnsi" w:cstheme="majorHAnsi"/>
          <w:color w:val="000000" w:themeColor="text1"/>
        </w:rPr>
        <w:t xml:space="preserve"> access</w:t>
      </w:r>
      <w:r>
        <w:rPr>
          <w:rFonts w:asciiTheme="majorHAnsi" w:hAnsiTheme="majorHAnsi" w:cstheme="majorHAnsi"/>
          <w:color w:val="000000" w:themeColor="text1"/>
        </w:rPr>
        <w:t xml:space="preserve"> to</w:t>
      </w:r>
      <w:r w:rsidRPr="00CF0187">
        <w:rPr>
          <w:rFonts w:asciiTheme="majorHAnsi" w:hAnsiTheme="majorHAnsi" w:cstheme="majorHAnsi"/>
          <w:color w:val="000000" w:themeColor="text1"/>
        </w:rPr>
        <w:t xml:space="preserve"> the Inclusive Education Video Series Learning Resource for Visually impaired</w:t>
      </w:r>
      <w:r>
        <w:rPr>
          <w:rFonts w:asciiTheme="majorHAnsi" w:hAnsiTheme="majorHAnsi" w:cstheme="majorHAnsi"/>
          <w:color w:val="000000" w:themeColor="text1"/>
        </w:rPr>
        <w:t xml:space="preserve"> and found it useful</w:t>
      </w:r>
      <w:r w:rsidRPr="00CF0187">
        <w:rPr>
          <w:rFonts w:asciiTheme="majorHAnsi" w:hAnsiTheme="majorHAnsi" w:cstheme="majorHAnsi"/>
          <w:color w:val="000000" w:themeColor="text1"/>
        </w:rPr>
        <w:t xml:space="preserve">. </w:t>
      </w:r>
    </w:p>
    <w:p w14:paraId="427DD03D" w14:textId="6692319C" w:rsidR="008D0CAD" w:rsidRPr="00D60AD2" w:rsidRDefault="008D0CAD" w:rsidP="007C1A2E">
      <w:pPr>
        <w:tabs>
          <w:tab w:val="num" w:pos="720"/>
        </w:tabs>
        <w:spacing w:before="100" w:beforeAutospacing="1" w:after="100" w:afterAutospacing="1" w:line="360" w:lineRule="auto"/>
        <w:rPr>
          <w:rFonts w:asciiTheme="majorHAnsi" w:hAnsiTheme="majorHAnsi" w:cstheme="majorHAnsi"/>
          <w:color w:val="000000"/>
        </w:rPr>
      </w:pPr>
      <w:r>
        <w:rPr>
          <w:rFonts w:asciiTheme="majorHAnsi" w:hAnsiTheme="majorHAnsi" w:cstheme="majorHAnsi"/>
          <w:color w:val="000000"/>
        </w:rPr>
        <w:t xml:space="preserve">Twenty-six per cent of all teachers (BEST and non-BEST) stated that the primary hindrance to mainstreaming IE in schools was the lack of capacity of teachers and the lack of interventions to train the teachers. More specifically, they noted the lack of competencies of teachers in conducting </w:t>
      </w:r>
      <w:r w:rsidRPr="001D2216">
        <w:rPr>
          <w:rFonts w:asciiTheme="majorHAnsi" w:hAnsiTheme="majorHAnsi" w:cstheme="majorHAnsi"/>
          <w:color w:val="000000"/>
        </w:rPr>
        <w:t>clinical assessment</w:t>
      </w:r>
      <w:r>
        <w:rPr>
          <w:rFonts w:asciiTheme="majorHAnsi" w:hAnsiTheme="majorHAnsi" w:cstheme="majorHAnsi"/>
          <w:color w:val="000000"/>
        </w:rPr>
        <w:t>s of learning disabilities of children with disabilities prior to enrolment as well as competency in supporting the learning of</w:t>
      </w:r>
      <w:r w:rsidRPr="004312CF">
        <w:rPr>
          <w:rFonts w:asciiTheme="majorHAnsi" w:hAnsiTheme="majorHAnsi" w:cstheme="majorHAnsi"/>
          <w:color w:val="000000"/>
        </w:rPr>
        <w:t xml:space="preserve"> </w:t>
      </w:r>
      <w:r>
        <w:rPr>
          <w:rFonts w:asciiTheme="majorHAnsi" w:hAnsiTheme="majorHAnsi" w:cstheme="majorHAnsi"/>
          <w:color w:val="000000"/>
        </w:rPr>
        <w:t xml:space="preserve">children with </w:t>
      </w:r>
      <w:r w:rsidR="00DD6E21">
        <w:rPr>
          <w:rFonts w:asciiTheme="majorHAnsi" w:hAnsiTheme="majorHAnsi" w:cstheme="majorHAnsi"/>
          <w:color w:val="000000"/>
        </w:rPr>
        <w:t>disabilities mainstreamed</w:t>
      </w:r>
      <w:r>
        <w:rPr>
          <w:rFonts w:asciiTheme="majorHAnsi" w:hAnsiTheme="majorHAnsi" w:cstheme="majorHAnsi"/>
          <w:color w:val="000000"/>
        </w:rPr>
        <w:t xml:space="preserve"> in regular classrooms.</w:t>
      </w:r>
    </w:p>
    <w:p w14:paraId="6FAA9484" w14:textId="776CCFE1" w:rsidR="008D0CAD" w:rsidRDefault="008D0CAD" w:rsidP="007C1A2E">
      <w:pPr>
        <w:tabs>
          <w:tab w:val="num" w:pos="720"/>
        </w:tabs>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color w:val="000000" w:themeColor="text1"/>
        </w:rPr>
        <w:t>In the Follow-Up Study, one of the coping mechanisms used by teachers was the use of LAC sessions to provide orientation or basic training for regular teachers.</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The training is done by the school’s Special Education teacher, who served as the Resource Person.</w:t>
      </w:r>
    </w:p>
    <w:p w14:paraId="7E107C6B" w14:textId="2AA781FA" w:rsidR="008D0CAD" w:rsidRPr="00353FF9" w:rsidRDefault="008D0CAD" w:rsidP="00DD08E3">
      <w:pPr>
        <w:pStyle w:val="Heading5"/>
        <w:numPr>
          <w:ilvl w:val="3"/>
          <w:numId w:val="163"/>
        </w:numPr>
        <w:spacing w:before="100" w:beforeAutospacing="1" w:after="100" w:afterAutospacing="1" w:line="360" w:lineRule="auto"/>
      </w:pPr>
      <w:r>
        <w:t>Changes in Teachers’ Competencies</w:t>
      </w:r>
    </w:p>
    <w:p w14:paraId="5982076F" w14:textId="719E1370" w:rsidR="008D0CAD" w:rsidRDefault="008D0CAD" w:rsidP="007C1A2E">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color w:val="000000" w:themeColor="text1"/>
        </w:rPr>
        <w:t>With the numerous reforms seeking to support teacher development, the EOPE Study obtained the perception of teachers as to the improvements in their competencies over the period of the BEST Program implementation</w:t>
      </w:r>
      <w:r w:rsidRPr="00EA2D58">
        <w:rPr>
          <w:rFonts w:asciiTheme="majorHAnsi" w:hAnsiTheme="majorHAnsi" w:cstheme="majorHAnsi"/>
          <w:color w:val="000000" w:themeColor="text1"/>
        </w:rPr>
        <w:t>.</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Survey results showed that teachers perceived the most significant increases in their competencies </w:t>
      </w:r>
      <w:r w:rsidRPr="00B756F1">
        <w:rPr>
          <w:rFonts w:asciiTheme="majorHAnsi" w:hAnsiTheme="majorHAnsi" w:cstheme="majorHAnsi"/>
          <w:color w:val="000000" w:themeColor="text1"/>
        </w:rPr>
        <w:t xml:space="preserve">in the areas of </w:t>
      </w:r>
      <w:r>
        <w:rPr>
          <w:rFonts w:asciiTheme="majorHAnsi" w:hAnsiTheme="majorHAnsi" w:cstheme="majorHAnsi"/>
          <w:color w:val="000000" w:themeColor="text1"/>
        </w:rPr>
        <w:t>“</w:t>
      </w:r>
      <w:r w:rsidRPr="00B756F1">
        <w:rPr>
          <w:rFonts w:asciiTheme="majorHAnsi" w:hAnsiTheme="majorHAnsi" w:cstheme="majorHAnsi"/>
          <w:color w:val="000000" w:themeColor="text1"/>
        </w:rPr>
        <w:t>Deliver lessons effectively</w:t>
      </w:r>
      <w:r>
        <w:rPr>
          <w:rFonts w:asciiTheme="majorHAnsi" w:hAnsiTheme="majorHAnsi" w:cstheme="majorHAnsi"/>
          <w:color w:val="000000" w:themeColor="text1"/>
        </w:rPr>
        <w:t>”</w:t>
      </w:r>
      <w:r w:rsidRPr="00B756F1">
        <w:rPr>
          <w:rFonts w:asciiTheme="majorHAnsi" w:hAnsiTheme="majorHAnsi" w:cstheme="majorHAnsi"/>
          <w:color w:val="000000" w:themeColor="text1"/>
        </w:rPr>
        <w:t xml:space="preserve"> (27</w:t>
      </w:r>
      <w:r>
        <w:rPr>
          <w:rFonts w:asciiTheme="majorHAnsi" w:hAnsiTheme="majorHAnsi" w:cstheme="majorHAnsi"/>
          <w:color w:val="000000" w:themeColor="text1"/>
        </w:rPr>
        <w:t xml:space="preserve"> per cent</w:t>
      </w:r>
      <w:r w:rsidRPr="00B756F1">
        <w:rPr>
          <w:rFonts w:asciiTheme="majorHAnsi" w:hAnsiTheme="majorHAnsi" w:cstheme="majorHAnsi"/>
          <w:color w:val="000000" w:themeColor="text1"/>
        </w:rPr>
        <w:t xml:space="preserve">) and </w:t>
      </w:r>
      <w:r>
        <w:rPr>
          <w:rFonts w:asciiTheme="majorHAnsi" w:hAnsiTheme="majorHAnsi" w:cstheme="majorHAnsi"/>
          <w:color w:val="000000" w:themeColor="text1"/>
        </w:rPr>
        <w:t>“</w:t>
      </w:r>
      <w:r w:rsidRPr="00B756F1">
        <w:rPr>
          <w:rFonts w:asciiTheme="majorHAnsi" w:hAnsiTheme="majorHAnsi" w:cstheme="majorHAnsi"/>
          <w:color w:val="000000" w:themeColor="text1"/>
        </w:rPr>
        <w:t>Assess student learning outcomes</w:t>
      </w:r>
      <w:r>
        <w:rPr>
          <w:rFonts w:asciiTheme="majorHAnsi" w:hAnsiTheme="majorHAnsi" w:cstheme="majorHAnsi"/>
          <w:color w:val="000000" w:themeColor="text1"/>
        </w:rPr>
        <w:t>”</w:t>
      </w:r>
      <w:r w:rsidRPr="00B756F1">
        <w:rPr>
          <w:rFonts w:asciiTheme="majorHAnsi" w:hAnsiTheme="majorHAnsi" w:cstheme="majorHAnsi"/>
          <w:color w:val="000000" w:themeColor="text1"/>
        </w:rPr>
        <w:t xml:space="preserve"> (</w:t>
      </w:r>
      <w:r w:rsidRPr="001341F8">
        <w:rPr>
          <w:rFonts w:asciiTheme="majorHAnsi" w:hAnsiTheme="majorHAnsi" w:cstheme="majorHAnsi"/>
          <w:color w:val="000000" w:themeColor="text1"/>
        </w:rPr>
        <w:t>21</w:t>
      </w:r>
      <w:r>
        <w:rPr>
          <w:rFonts w:asciiTheme="majorHAnsi" w:hAnsiTheme="majorHAnsi" w:cstheme="majorHAnsi"/>
          <w:color w:val="000000" w:themeColor="text1"/>
        </w:rPr>
        <w:t xml:space="preserve"> per cent</w:t>
      </w:r>
      <w:r w:rsidRPr="001341F8">
        <w:rPr>
          <w:rFonts w:asciiTheme="majorHAnsi" w:hAnsiTheme="majorHAnsi" w:cstheme="majorHAnsi"/>
          <w:color w:val="000000" w:themeColor="text1"/>
        </w:rPr>
        <w:t xml:space="preserve">) (Figure </w:t>
      </w:r>
      <w:r>
        <w:rPr>
          <w:rFonts w:asciiTheme="majorHAnsi" w:hAnsiTheme="majorHAnsi" w:cstheme="majorHAnsi"/>
          <w:color w:val="000000" w:themeColor="text1"/>
        </w:rPr>
        <w:t>7</w:t>
      </w:r>
      <w:r w:rsidRPr="001341F8">
        <w:rPr>
          <w:rFonts w:asciiTheme="majorHAnsi" w:hAnsiTheme="majorHAnsi" w:cstheme="majorHAnsi"/>
          <w:color w:val="000000" w:themeColor="text1"/>
        </w:rPr>
        <w:t>).</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Results of </w:t>
      </w:r>
      <w:r w:rsidR="00DD6E21" w:rsidRPr="001341F8">
        <w:rPr>
          <w:rFonts w:asciiTheme="majorHAnsi" w:hAnsiTheme="majorHAnsi" w:cstheme="majorHAnsi"/>
          <w:color w:val="000000" w:themeColor="text1"/>
        </w:rPr>
        <w:t>FGD</w:t>
      </w:r>
      <w:r w:rsidR="00DD6E21">
        <w:rPr>
          <w:rFonts w:asciiTheme="majorHAnsi" w:hAnsiTheme="majorHAnsi" w:cstheme="majorHAnsi"/>
          <w:color w:val="000000" w:themeColor="text1"/>
        </w:rPr>
        <w:t>s with</w:t>
      </w:r>
      <w:r>
        <w:rPr>
          <w:rFonts w:asciiTheme="majorHAnsi" w:hAnsiTheme="majorHAnsi" w:cstheme="majorHAnsi"/>
          <w:color w:val="000000" w:themeColor="text1"/>
        </w:rPr>
        <w:t xml:space="preserve"> teachers link these positive developments mainly to two Program interventions, namely, the K-12 Curriculum Guides and the classroom assessment tools.</w:t>
      </w:r>
    </w:p>
    <w:p w14:paraId="761AB1FD" w14:textId="585C9DD5" w:rsidR="00020D54" w:rsidRDefault="008D0CAD" w:rsidP="007C1A2E">
      <w:pPr>
        <w:spacing w:before="100" w:beforeAutospacing="1" w:after="100" w:afterAutospacing="1" w:line="360" w:lineRule="auto"/>
        <w:rPr>
          <w:rFonts w:asciiTheme="majorHAnsi" w:hAnsiTheme="majorHAnsi" w:cstheme="majorHAnsi"/>
          <w:color w:val="000000" w:themeColor="text1"/>
        </w:rPr>
      </w:pPr>
      <w:r w:rsidRPr="00B756F1">
        <w:rPr>
          <w:rFonts w:asciiTheme="majorHAnsi" w:hAnsiTheme="majorHAnsi" w:cstheme="majorHAnsi"/>
          <w:color w:val="000000" w:themeColor="text1"/>
        </w:rPr>
        <w:t>T</w:t>
      </w:r>
      <w:r>
        <w:rPr>
          <w:rFonts w:asciiTheme="majorHAnsi" w:hAnsiTheme="majorHAnsi" w:cstheme="majorHAnsi"/>
          <w:color w:val="000000" w:themeColor="text1"/>
        </w:rPr>
        <w:t>eacher competency with the</w:t>
      </w:r>
      <w:r w:rsidRPr="00B756F1">
        <w:rPr>
          <w:rFonts w:asciiTheme="majorHAnsi" w:hAnsiTheme="majorHAnsi" w:cstheme="majorHAnsi"/>
          <w:color w:val="000000" w:themeColor="text1"/>
        </w:rPr>
        <w:t xml:space="preserve"> least change </w:t>
      </w:r>
      <w:r>
        <w:rPr>
          <w:rFonts w:asciiTheme="majorHAnsi" w:hAnsiTheme="majorHAnsi" w:cstheme="majorHAnsi"/>
          <w:color w:val="000000" w:themeColor="text1"/>
        </w:rPr>
        <w:t>was</w:t>
      </w:r>
      <w:r w:rsidRPr="00B756F1">
        <w:rPr>
          <w:rFonts w:asciiTheme="majorHAnsi" w:hAnsiTheme="majorHAnsi" w:cstheme="majorHAnsi"/>
          <w:color w:val="000000" w:themeColor="text1"/>
        </w:rPr>
        <w:t xml:space="preserve"> </w:t>
      </w:r>
      <w:r>
        <w:rPr>
          <w:rFonts w:asciiTheme="majorHAnsi" w:hAnsiTheme="majorHAnsi" w:cstheme="majorHAnsi"/>
          <w:color w:val="000000" w:themeColor="text1"/>
        </w:rPr>
        <w:t>“</w:t>
      </w:r>
      <w:r w:rsidRPr="0080387C">
        <w:rPr>
          <w:rFonts w:asciiTheme="majorHAnsi" w:hAnsiTheme="majorHAnsi" w:cstheme="majorHAnsi"/>
          <w:i/>
          <w:iCs/>
          <w:color w:val="000000" w:themeColor="text1"/>
        </w:rPr>
        <w:t>Conduct action research</w:t>
      </w:r>
      <w:r>
        <w:rPr>
          <w:rFonts w:asciiTheme="majorHAnsi" w:hAnsiTheme="majorHAnsi" w:cstheme="majorHAnsi"/>
          <w:color w:val="000000" w:themeColor="text1"/>
        </w:rPr>
        <w:t>”,</w:t>
      </w:r>
      <w:r w:rsidRPr="00B756F1">
        <w:rPr>
          <w:rFonts w:asciiTheme="majorHAnsi" w:hAnsiTheme="majorHAnsi" w:cstheme="majorHAnsi"/>
          <w:color w:val="000000" w:themeColor="text1"/>
        </w:rPr>
        <w:t xml:space="preserve"> </w:t>
      </w:r>
      <w:r>
        <w:rPr>
          <w:rFonts w:asciiTheme="majorHAnsi" w:hAnsiTheme="majorHAnsi" w:cstheme="majorHAnsi"/>
          <w:color w:val="000000" w:themeColor="text1"/>
        </w:rPr>
        <w:t>in which</w:t>
      </w:r>
      <w:r w:rsidRPr="00B756F1">
        <w:rPr>
          <w:rFonts w:asciiTheme="majorHAnsi" w:hAnsiTheme="majorHAnsi" w:cstheme="majorHAnsi"/>
          <w:color w:val="000000" w:themeColor="text1"/>
        </w:rPr>
        <w:t xml:space="preserve"> 1</w:t>
      </w:r>
      <w:r>
        <w:rPr>
          <w:rFonts w:asciiTheme="majorHAnsi" w:hAnsiTheme="majorHAnsi" w:cstheme="majorHAnsi"/>
          <w:color w:val="000000" w:themeColor="text1"/>
        </w:rPr>
        <w:t>7</w:t>
      </w:r>
      <w:r w:rsidRPr="00B756F1">
        <w:rPr>
          <w:rFonts w:asciiTheme="majorHAnsi" w:hAnsiTheme="majorHAnsi" w:cstheme="majorHAnsi"/>
          <w:color w:val="000000" w:themeColor="text1"/>
        </w:rPr>
        <w:t xml:space="preserve"> per</w:t>
      </w:r>
      <w:r>
        <w:rPr>
          <w:rFonts w:asciiTheme="majorHAnsi" w:hAnsiTheme="majorHAnsi" w:cstheme="majorHAnsi"/>
          <w:color w:val="000000" w:themeColor="text1"/>
        </w:rPr>
        <w:t xml:space="preserve"> </w:t>
      </w:r>
      <w:r w:rsidRPr="00B756F1">
        <w:rPr>
          <w:rFonts w:asciiTheme="majorHAnsi" w:hAnsiTheme="majorHAnsi" w:cstheme="majorHAnsi"/>
          <w:color w:val="000000" w:themeColor="text1"/>
        </w:rPr>
        <w:t xml:space="preserve">cent </w:t>
      </w:r>
      <w:r w:rsidRPr="001341F8">
        <w:rPr>
          <w:rFonts w:asciiTheme="majorHAnsi" w:hAnsiTheme="majorHAnsi" w:cstheme="majorHAnsi"/>
          <w:color w:val="000000" w:themeColor="text1"/>
        </w:rPr>
        <w:t>indicated no change in the last five years and only 5 per</w:t>
      </w:r>
      <w:r>
        <w:rPr>
          <w:rFonts w:asciiTheme="majorHAnsi" w:hAnsiTheme="majorHAnsi" w:cstheme="majorHAnsi"/>
          <w:color w:val="000000" w:themeColor="text1"/>
        </w:rPr>
        <w:t xml:space="preserve"> </w:t>
      </w:r>
      <w:r w:rsidRPr="001341F8">
        <w:rPr>
          <w:rFonts w:asciiTheme="majorHAnsi" w:hAnsiTheme="majorHAnsi" w:cstheme="majorHAnsi"/>
          <w:color w:val="000000" w:themeColor="text1"/>
        </w:rPr>
        <w:t>cent indicated significant change.</w:t>
      </w:r>
      <w:r w:rsidR="00D434EB">
        <w:rPr>
          <w:rFonts w:asciiTheme="majorHAnsi" w:hAnsiTheme="majorHAnsi" w:cstheme="majorHAnsi"/>
          <w:color w:val="000000" w:themeColor="text1"/>
        </w:rPr>
        <w:t xml:space="preserve"> </w:t>
      </w:r>
      <w:r w:rsidRPr="001341F8">
        <w:rPr>
          <w:rFonts w:asciiTheme="majorHAnsi" w:hAnsiTheme="majorHAnsi" w:cstheme="majorHAnsi"/>
          <w:color w:val="000000" w:themeColor="text1"/>
        </w:rPr>
        <w:t xml:space="preserve">This was validated in the FGDs </w:t>
      </w:r>
      <w:r>
        <w:rPr>
          <w:rFonts w:asciiTheme="majorHAnsi" w:hAnsiTheme="majorHAnsi" w:cstheme="majorHAnsi"/>
          <w:color w:val="000000" w:themeColor="text1"/>
        </w:rPr>
        <w:t>in which</w:t>
      </w:r>
      <w:r w:rsidRPr="001341F8">
        <w:rPr>
          <w:rFonts w:asciiTheme="majorHAnsi" w:hAnsiTheme="majorHAnsi" w:cstheme="majorHAnsi"/>
          <w:color w:val="000000" w:themeColor="text1"/>
        </w:rPr>
        <w:t xml:space="preserve"> teachers admitted that only a few conduct</w:t>
      </w:r>
      <w:r>
        <w:rPr>
          <w:rFonts w:asciiTheme="majorHAnsi" w:hAnsiTheme="majorHAnsi" w:cstheme="majorHAnsi"/>
          <w:color w:val="000000" w:themeColor="text1"/>
        </w:rPr>
        <w:t>ed</w:t>
      </w:r>
      <w:r w:rsidRPr="001341F8">
        <w:rPr>
          <w:rFonts w:asciiTheme="majorHAnsi" w:hAnsiTheme="majorHAnsi" w:cstheme="majorHAnsi"/>
          <w:color w:val="000000" w:themeColor="text1"/>
        </w:rPr>
        <w:t xml:space="preserve"> action research (see also Section 3.2.2.2. on Action Research).</w:t>
      </w:r>
    </w:p>
    <w:p w14:paraId="792B2DE5" w14:textId="2FB8F3E8" w:rsidR="008D0CAD" w:rsidRPr="00DD6E21" w:rsidRDefault="008D0CAD" w:rsidP="007C1A2E">
      <w:pPr>
        <w:pStyle w:val="Caption"/>
        <w:spacing w:before="100" w:beforeAutospacing="1" w:after="100" w:afterAutospacing="1" w:line="360" w:lineRule="auto"/>
        <w:rPr>
          <w:rFonts w:asciiTheme="majorHAnsi" w:hAnsiTheme="majorHAnsi" w:cstheme="majorHAnsi"/>
          <w:iCs w:val="0"/>
          <w:sz w:val="22"/>
          <w:szCs w:val="22"/>
        </w:rPr>
      </w:pPr>
      <w:bookmarkStart w:id="94" w:name="_Toc14028926"/>
      <w:bookmarkStart w:id="95" w:name="_Toc71616534"/>
      <w:r w:rsidRPr="00DD6E21">
        <w:rPr>
          <w:rFonts w:asciiTheme="majorHAnsi" w:hAnsiTheme="majorHAnsi" w:cstheme="majorHAnsi"/>
          <w:iCs w:val="0"/>
          <w:sz w:val="22"/>
          <w:szCs w:val="22"/>
        </w:rPr>
        <w:t xml:space="preserve">Figure </w:t>
      </w:r>
      <w:r w:rsidRPr="00DD6E21">
        <w:rPr>
          <w:rFonts w:asciiTheme="majorHAnsi" w:hAnsiTheme="majorHAnsi" w:cstheme="majorHAnsi"/>
          <w:iCs w:val="0"/>
          <w:sz w:val="22"/>
          <w:szCs w:val="22"/>
        </w:rPr>
        <w:fldChar w:fldCharType="begin"/>
      </w:r>
      <w:r w:rsidRPr="00DD6E21">
        <w:rPr>
          <w:rFonts w:asciiTheme="majorHAnsi" w:hAnsiTheme="majorHAnsi" w:cstheme="majorHAnsi"/>
          <w:iCs w:val="0"/>
          <w:sz w:val="22"/>
          <w:szCs w:val="22"/>
        </w:rPr>
        <w:instrText xml:space="preserve"> SEQ Figure \* ARABIC </w:instrText>
      </w:r>
      <w:r w:rsidRPr="00DD6E21">
        <w:rPr>
          <w:rFonts w:asciiTheme="majorHAnsi" w:hAnsiTheme="majorHAnsi" w:cstheme="majorHAnsi"/>
          <w:iCs w:val="0"/>
          <w:sz w:val="22"/>
          <w:szCs w:val="22"/>
        </w:rPr>
        <w:fldChar w:fldCharType="separate"/>
      </w:r>
      <w:r w:rsidR="00D6133D">
        <w:rPr>
          <w:rFonts w:asciiTheme="majorHAnsi" w:hAnsiTheme="majorHAnsi" w:cstheme="majorHAnsi"/>
          <w:iCs w:val="0"/>
          <w:noProof/>
          <w:sz w:val="22"/>
          <w:szCs w:val="22"/>
        </w:rPr>
        <w:t>7</w:t>
      </w:r>
      <w:r w:rsidRPr="00DD6E21">
        <w:rPr>
          <w:rFonts w:asciiTheme="majorHAnsi" w:hAnsiTheme="majorHAnsi" w:cstheme="majorHAnsi"/>
          <w:iCs w:val="0"/>
          <w:sz w:val="22"/>
          <w:szCs w:val="22"/>
        </w:rPr>
        <w:fldChar w:fldCharType="end"/>
      </w:r>
      <w:r w:rsidRPr="00DD6E21">
        <w:rPr>
          <w:rFonts w:asciiTheme="majorHAnsi" w:hAnsiTheme="majorHAnsi" w:cstheme="majorHAnsi"/>
          <w:iCs w:val="0"/>
          <w:sz w:val="22"/>
          <w:szCs w:val="22"/>
        </w:rPr>
        <w:t>.</w:t>
      </w:r>
      <w:r w:rsidRPr="00DD6E21">
        <w:rPr>
          <w:rFonts w:asciiTheme="minorHAnsi" w:eastAsiaTheme="minorEastAsia" w:cstheme="minorBidi"/>
          <w:iCs w:val="0"/>
          <w:kern w:val="24"/>
          <w:sz w:val="22"/>
          <w:szCs w:val="22"/>
        </w:rPr>
        <w:t xml:space="preserve"> </w:t>
      </w:r>
      <w:r w:rsidRPr="00DD6E21">
        <w:rPr>
          <w:rFonts w:asciiTheme="majorHAnsi" w:hAnsiTheme="majorHAnsi" w:cstheme="majorHAnsi"/>
          <w:iCs w:val="0"/>
          <w:sz w:val="22"/>
          <w:szCs w:val="22"/>
        </w:rPr>
        <w:t>Perceptions of changes in teachers’ competencies in the last 5 years</w:t>
      </w:r>
      <w:bookmarkEnd w:id="94"/>
      <w:r w:rsidRPr="00DD6E21">
        <w:rPr>
          <w:rFonts w:asciiTheme="majorHAnsi" w:hAnsiTheme="majorHAnsi" w:cstheme="majorHAnsi"/>
          <w:iCs w:val="0"/>
          <w:sz w:val="22"/>
          <w:szCs w:val="22"/>
        </w:rPr>
        <w:t xml:space="preserve"> (n=107)</w:t>
      </w:r>
      <w:bookmarkEnd w:id="95"/>
    </w:p>
    <w:p w14:paraId="088C951E" w14:textId="77777777" w:rsidR="008D0CAD" w:rsidRPr="000B6E7E" w:rsidRDefault="008D0CAD" w:rsidP="007C1A2E">
      <w:pPr>
        <w:spacing w:before="100" w:beforeAutospacing="1" w:after="100" w:afterAutospacing="1" w:line="360" w:lineRule="auto"/>
      </w:pPr>
      <w:r w:rsidRPr="000B6E7E">
        <w:rPr>
          <w:noProof/>
          <w:lang w:val="en-AU" w:eastAsia="en-AU"/>
        </w:rPr>
        <w:drawing>
          <wp:inline distT="0" distB="0" distL="0" distR="0" wp14:anchorId="4C4F0B9D" wp14:editId="46CF2D92">
            <wp:extent cx="4624503" cy="2429933"/>
            <wp:effectExtent l="0" t="0" r="0" b="0"/>
            <wp:docPr id="3" name="Picture 2" descr="Perceptions of changes in teachers' competencies in the last five years (n=107) ">
              <a:extLst xmlns:a="http://schemas.openxmlformats.org/drawingml/2006/main">
                <a:ext uri="{FF2B5EF4-FFF2-40B4-BE49-F238E27FC236}">
                  <a16:creationId xmlns:a16="http://schemas.microsoft.com/office/drawing/2014/main" id="{3447DFF6-A265-384F-8211-CBBEA753B6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Perceptions of changes in teachers' competencies in the last five years (n=107) ">
                      <a:extLst>
                        <a:ext uri="{FF2B5EF4-FFF2-40B4-BE49-F238E27FC236}">
                          <a16:creationId xmlns:a16="http://schemas.microsoft.com/office/drawing/2014/main" id="{3447DFF6-A265-384F-8211-CBBEA753B693}"/>
                        </a:ext>
                      </a:extLst>
                    </pic:cNvPr>
                    <pic:cNvPicPr>
                      <a:picLocks noChangeAspect="1"/>
                    </pic:cNvPicPr>
                  </pic:nvPicPr>
                  <pic:blipFill rotWithShape="1">
                    <a:blip r:embed="rId29"/>
                    <a:srcRect l="21326" t="25997" r="22357" b="26651"/>
                    <a:stretch/>
                  </pic:blipFill>
                  <pic:spPr bwMode="auto">
                    <a:xfrm>
                      <a:off x="0" y="0"/>
                      <a:ext cx="4694711" cy="2466823"/>
                    </a:xfrm>
                    <a:prstGeom prst="rect">
                      <a:avLst/>
                    </a:prstGeom>
                    <a:ln>
                      <a:noFill/>
                    </a:ln>
                    <a:extLst>
                      <a:ext uri="{53640926-AAD7-44D8-BBD7-CCE9431645EC}">
                        <a14:shadowObscured xmlns:a14="http://schemas.microsoft.com/office/drawing/2010/main"/>
                      </a:ext>
                    </a:extLst>
                  </pic:spPr>
                </pic:pic>
              </a:graphicData>
            </a:graphic>
          </wp:inline>
        </w:drawing>
      </w:r>
    </w:p>
    <w:p w14:paraId="14415B2B" w14:textId="77777777" w:rsidR="008D0CAD" w:rsidRPr="00020D54" w:rsidRDefault="008D0CAD" w:rsidP="007C1A2E">
      <w:pPr>
        <w:spacing w:before="100" w:beforeAutospacing="1" w:after="100" w:afterAutospacing="1" w:line="360" w:lineRule="auto"/>
        <w:rPr>
          <w:rFonts w:asciiTheme="majorHAnsi" w:eastAsiaTheme="minorHAnsi" w:hAnsiTheme="majorHAnsi" w:cstheme="majorHAnsi"/>
          <w:i/>
          <w:iCs/>
          <w:sz w:val="14"/>
          <w:szCs w:val="14"/>
        </w:rPr>
      </w:pPr>
      <w:r w:rsidRPr="00020D54">
        <w:rPr>
          <w:rFonts w:asciiTheme="majorHAnsi" w:eastAsiaTheme="minorHAnsi" w:hAnsiTheme="majorHAnsi" w:cstheme="majorHAnsi"/>
          <w:i/>
          <w:iCs/>
          <w:sz w:val="14"/>
          <w:szCs w:val="14"/>
        </w:rPr>
        <w:t>Note: Competencies were based on BEST Program interventions. Totals do not reach 100 per cent due to skipped answers.</w:t>
      </w:r>
    </w:p>
    <w:p w14:paraId="451B029C" w14:textId="77777777" w:rsidR="007C1A2E" w:rsidRDefault="008D0CAD" w:rsidP="007C1A2E">
      <w:pPr>
        <w:spacing w:before="100" w:beforeAutospacing="1" w:after="100" w:afterAutospacing="1" w:line="360" w:lineRule="auto"/>
        <w:rPr>
          <w:rFonts w:asciiTheme="majorHAnsi" w:eastAsiaTheme="minorHAnsi" w:hAnsiTheme="majorHAnsi" w:cstheme="majorHAnsi"/>
          <w:i/>
          <w:iCs/>
          <w:sz w:val="14"/>
          <w:szCs w:val="14"/>
        </w:rPr>
      </w:pPr>
      <w:r w:rsidRPr="00020D54">
        <w:rPr>
          <w:rFonts w:asciiTheme="majorHAnsi" w:eastAsiaTheme="minorHAnsi" w:hAnsiTheme="majorHAnsi" w:cstheme="majorHAnsi"/>
          <w:i/>
          <w:iCs/>
          <w:sz w:val="14"/>
          <w:szCs w:val="14"/>
        </w:rPr>
        <w:t>Source: 2019 Survey of Teachers</w:t>
      </w:r>
    </w:p>
    <w:p w14:paraId="53B77190" w14:textId="034E0AFC" w:rsidR="008D0CAD" w:rsidRPr="007C1A2E" w:rsidRDefault="008D0CAD" w:rsidP="007C1A2E">
      <w:pPr>
        <w:spacing w:before="100" w:beforeAutospacing="1" w:after="100" w:afterAutospacing="1" w:line="360" w:lineRule="auto"/>
        <w:rPr>
          <w:rFonts w:asciiTheme="majorHAnsi" w:eastAsiaTheme="minorHAnsi" w:hAnsiTheme="majorHAnsi" w:cstheme="majorHAnsi"/>
          <w:i/>
          <w:iCs/>
          <w:sz w:val="14"/>
          <w:szCs w:val="14"/>
        </w:rPr>
      </w:pPr>
      <w:r w:rsidRPr="001341F8">
        <w:rPr>
          <w:rFonts w:asciiTheme="majorHAnsi" w:hAnsiTheme="majorHAnsi" w:cstheme="majorHAnsi"/>
          <w:color w:val="000000" w:themeColor="text1"/>
        </w:rPr>
        <w:t>The finding was validated in a similar survey conducted during the Follow-Up Study.</w:t>
      </w:r>
      <w:r w:rsidR="00D434EB">
        <w:rPr>
          <w:rFonts w:asciiTheme="majorHAnsi" w:hAnsiTheme="majorHAnsi" w:cstheme="majorHAnsi"/>
          <w:color w:val="000000" w:themeColor="text1"/>
        </w:rPr>
        <w:t xml:space="preserve"> </w:t>
      </w:r>
      <w:r w:rsidRPr="001341F8">
        <w:rPr>
          <w:rFonts w:asciiTheme="majorHAnsi" w:hAnsiTheme="majorHAnsi" w:cstheme="majorHAnsi"/>
          <w:color w:val="000000" w:themeColor="text1"/>
        </w:rPr>
        <w:t>Survey results revealed that the least changed competency of teachers was in the area of “</w:t>
      </w:r>
      <w:r w:rsidRPr="0080387C">
        <w:rPr>
          <w:rFonts w:asciiTheme="majorHAnsi" w:hAnsiTheme="majorHAnsi" w:cstheme="majorHAnsi"/>
          <w:i/>
          <w:iCs/>
          <w:color w:val="000000" w:themeColor="text1"/>
        </w:rPr>
        <w:t>Research-based knowledge and principles of teaching and learning</w:t>
      </w:r>
      <w:r w:rsidRPr="001341F8">
        <w:rPr>
          <w:rFonts w:asciiTheme="majorHAnsi" w:hAnsiTheme="majorHAnsi" w:cstheme="majorHAnsi"/>
          <w:color w:val="000000" w:themeColor="text1"/>
        </w:rPr>
        <w:t>”, where only 10 per</w:t>
      </w:r>
      <w:r>
        <w:rPr>
          <w:rFonts w:asciiTheme="majorHAnsi" w:hAnsiTheme="majorHAnsi" w:cstheme="majorHAnsi"/>
          <w:color w:val="000000" w:themeColor="text1"/>
        </w:rPr>
        <w:t xml:space="preserve"> </w:t>
      </w:r>
      <w:r w:rsidRPr="001341F8">
        <w:rPr>
          <w:rFonts w:asciiTheme="majorHAnsi" w:hAnsiTheme="majorHAnsi" w:cstheme="majorHAnsi"/>
          <w:color w:val="000000" w:themeColor="text1"/>
        </w:rPr>
        <w:t xml:space="preserve">cent indicated significant increase (Figure </w:t>
      </w:r>
      <w:r>
        <w:rPr>
          <w:rFonts w:asciiTheme="majorHAnsi" w:hAnsiTheme="majorHAnsi" w:cstheme="majorHAnsi"/>
          <w:color w:val="000000" w:themeColor="text1"/>
        </w:rPr>
        <w:t>8</w:t>
      </w:r>
      <w:r w:rsidRPr="001341F8">
        <w:rPr>
          <w:rFonts w:asciiTheme="majorHAnsi" w:hAnsiTheme="majorHAnsi" w:cstheme="majorHAnsi"/>
          <w:color w:val="000000" w:themeColor="text1"/>
        </w:rPr>
        <w:t>).</w:t>
      </w:r>
      <w:r w:rsidR="00D434EB">
        <w:rPr>
          <w:rFonts w:asciiTheme="majorHAnsi" w:hAnsiTheme="majorHAnsi" w:cstheme="majorHAnsi"/>
          <w:color w:val="000000" w:themeColor="text1"/>
        </w:rPr>
        <w:t xml:space="preserve"> </w:t>
      </w:r>
      <w:r w:rsidRPr="001341F8">
        <w:rPr>
          <w:rFonts w:asciiTheme="majorHAnsi" w:hAnsiTheme="majorHAnsi" w:cstheme="majorHAnsi"/>
          <w:color w:val="000000" w:themeColor="text1"/>
        </w:rPr>
        <w:t>In contrast, 43 per</w:t>
      </w:r>
      <w:r>
        <w:rPr>
          <w:rFonts w:asciiTheme="majorHAnsi" w:hAnsiTheme="majorHAnsi" w:cstheme="majorHAnsi"/>
          <w:color w:val="000000" w:themeColor="text1"/>
        </w:rPr>
        <w:t xml:space="preserve"> </w:t>
      </w:r>
      <w:r w:rsidRPr="001341F8">
        <w:rPr>
          <w:rFonts w:asciiTheme="majorHAnsi" w:hAnsiTheme="majorHAnsi" w:cstheme="majorHAnsi"/>
          <w:color w:val="000000" w:themeColor="text1"/>
        </w:rPr>
        <w:t>cent of teachers</w:t>
      </w:r>
      <w:r>
        <w:rPr>
          <w:rFonts w:asciiTheme="majorHAnsi" w:hAnsiTheme="majorHAnsi" w:cstheme="majorHAnsi"/>
          <w:color w:val="000000" w:themeColor="text1"/>
        </w:rPr>
        <w:t xml:space="preserve"> no</w:t>
      </w:r>
      <w:r w:rsidRPr="001341F8">
        <w:rPr>
          <w:rFonts w:asciiTheme="majorHAnsi" w:hAnsiTheme="majorHAnsi" w:cstheme="majorHAnsi"/>
          <w:color w:val="000000" w:themeColor="text1"/>
        </w:rPr>
        <w:t xml:space="preserve">ted significant increases in their competencies </w:t>
      </w:r>
      <w:r>
        <w:rPr>
          <w:rFonts w:asciiTheme="majorHAnsi" w:hAnsiTheme="majorHAnsi" w:cstheme="majorHAnsi"/>
          <w:color w:val="000000" w:themeColor="text1"/>
        </w:rPr>
        <w:t>in “</w:t>
      </w:r>
      <w:r w:rsidRPr="00306B60">
        <w:rPr>
          <w:rFonts w:asciiTheme="majorHAnsi" w:hAnsiTheme="majorHAnsi" w:cstheme="majorHAnsi"/>
          <w:i/>
          <w:iCs/>
          <w:color w:val="000000" w:themeColor="text1"/>
        </w:rPr>
        <w:t>Management of classroom structure and activitie</w:t>
      </w:r>
      <w:r w:rsidRPr="00FA4EDC">
        <w:rPr>
          <w:rFonts w:asciiTheme="majorHAnsi" w:hAnsiTheme="majorHAnsi" w:cstheme="majorHAnsi"/>
          <w:color w:val="000000" w:themeColor="text1"/>
        </w:rPr>
        <w:t>s</w:t>
      </w:r>
      <w:r>
        <w:rPr>
          <w:rFonts w:asciiTheme="majorHAnsi" w:hAnsiTheme="majorHAnsi" w:cstheme="majorHAnsi"/>
          <w:color w:val="000000" w:themeColor="text1"/>
        </w:rPr>
        <w:t>” while</w:t>
      </w:r>
      <w:r w:rsidRPr="001341F8">
        <w:rPr>
          <w:rFonts w:asciiTheme="majorHAnsi" w:hAnsiTheme="majorHAnsi" w:cstheme="majorHAnsi"/>
          <w:color w:val="000000" w:themeColor="text1"/>
        </w:rPr>
        <w:t xml:space="preserve"> 42 per</w:t>
      </w:r>
      <w:r>
        <w:rPr>
          <w:rFonts w:asciiTheme="majorHAnsi" w:hAnsiTheme="majorHAnsi" w:cstheme="majorHAnsi"/>
          <w:color w:val="000000" w:themeColor="text1"/>
        </w:rPr>
        <w:t xml:space="preserve"> </w:t>
      </w:r>
      <w:r w:rsidRPr="001341F8">
        <w:rPr>
          <w:rFonts w:asciiTheme="majorHAnsi" w:hAnsiTheme="majorHAnsi" w:cstheme="majorHAnsi"/>
          <w:color w:val="000000" w:themeColor="text1"/>
        </w:rPr>
        <w:t xml:space="preserve">cent </w:t>
      </w:r>
      <w:r>
        <w:rPr>
          <w:rFonts w:asciiTheme="majorHAnsi" w:hAnsiTheme="majorHAnsi" w:cstheme="majorHAnsi"/>
          <w:color w:val="000000" w:themeColor="text1"/>
        </w:rPr>
        <w:t>said the same in the case of “</w:t>
      </w:r>
      <w:r w:rsidRPr="00306B60">
        <w:rPr>
          <w:rFonts w:asciiTheme="majorHAnsi" w:hAnsiTheme="majorHAnsi" w:cstheme="majorHAnsi"/>
          <w:i/>
          <w:iCs/>
          <w:color w:val="000000" w:themeColor="text1"/>
        </w:rPr>
        <w:t>Positive use of ICT</w:t>
      </w:r>
      <w:r>
        <w:rPr>
          <w:rFonts w:asciiTheme="majorHAnsi" w:hAnsiTheme="majorHAnsi" w:cstheme="majorHAnsi"/>
          <w:color w:val="000000" w:themeColor="text1"/>
        </w:rPr>
        <w:t>”.</w:t>
      </w:r>
    </w:p>
    <w:p w14:paraId="3F8C7E73" w14:textId="72CBD340" w:rsidR="008D0CAD" w:rsidRPr="00DD6E21" w:rsidRDefault="008D0CAD" w:rsidP="007C1A2E">
      <w:pPr>
        <w:pStyle w:val="Caption"/>
        <w:spacing w:before="100" w:beforeAutospacing="1" w:after="100" w:afterAutospacing="1" w:line="360" w:lineRule="auto"/>
        <w:rPr>
          <w:rFonts w:asciiTheme="majorHAnsi" w:hAnsiTheme="majorHAnsi" w:cstheme="majorHAnsi"/>
          <w:iCs w:val="0"/>
          <w:sz w:val="22"/>
          <w:szCs w:val="22"/>
        </w:rPr>
      </w:pPr>
      <w:bookmarkStart w:id="96" w:name="_Toc71616535"/>
      <w:r w:rsidRPr="00DD6E21">
        <w:rPr>
          <w:rFonts w:asciiTheme="majorHAnsi" w:hAnsiTheme="majorHAnsi" w:cstheme="majorHAnsi"/>
          <w:iCs w:val="0"/>
          <w:sz w:val="22"/>
          <w:szCs w:val="22"/>
        </w:rPr>
        <w:t xml:space="preserve">Figure </w:t>
      </w:r>
      <w:r w:rsidRPr="00DD6E21">
        <w:rPr>
          <w:rFonts w:asciiTheme="majorHAnsi" w:hAnsiTheme="majorHAnsi" w:cstheme="majorHAnsi"/>
          <w:iCs w:val="0"/>
          <w:sz w:val="22"/>
          <w:szCs w:val="22"/>
        </w:rPr>
        <w:fldChar w:fldCharType="begin"/>
      </w:r>
      <w:r w:rsidRPr="00DD6E21">
        <w:rPr>
          <w:rFonts w:asciiTheme="majorHAnsi" w:hAnsiTheme="majorHAnsi" w:cstheme="majorHAnsi"/>
          <w:iCs w:val="0"/>
          <w:sz w:val="22"/>
          <w:szCs w:val="22"/>
        </w:rPr>
        <w:instrText xml:space="preserve"> SEQ Figure \* ARABIC </w:instrText>
      </w:r>
      <w:r w:rsidRPr="00DD6E21">
        <w:rPr>
          <w:rFonts w:asciiTheme="majorHAnsi" w:hAnsiTheme="majorHAnsi" w:cstheme="majorHAnsi"/>
          <w:iCs w:val="0"/>
          <w:sz w:val="22"/>
          <w:szCs w:val="22"/>
        </w:rPr>
        <w:fldChar w:fldCharType="separate"/>
      </w:r>
      <w:r w:rsidR="00D6133D">
        <w:rPr>
          <w:rFonts w:asciiTheme="majorHAnsi" w:hAnsiTheme="majorHAnsi" w:cstheme="majorHAnsi"/>
          <w:iCs w:val="0"/>
          <w:noProof/>
          <w:sz w:val="22"/>
          <w:szCs w:val="22"/>
        </w:rPr>
        <w:t>8</w:t>
      </w:r>
      <w:r w:rsidRPr="00DD6E21">
        <w:rPr>
          <w:rFonts w:asciiTheme="majorHAnsi" w:hAnsiTheme="majorHAnsi" w:cstheme="majorHAnsi"/>
          <w:iCs w:val="0"/>
          <w:sz w:val="22"/>
          <w:szCs w:val="22"/>
        </w:rPr>
        <w:fldChar w:fldCharType="end"/>
      </w:r>
      <w:r w:rsidRPr="00DD6E21">
        <w:rPr>
          <w:rFonts w:asciiTheme="majorHAnsi" w:hAnsiTheme="majorHAnsi" w:cstheme="majorHAnsi"/>
          <w:iCs w:val="0"/>
          <w:sz w:val="22"/>
          <w:szCs w:val="22"/>
        </w:rPr>
        <w:t>.</w:t>
      </w:r>
      <w:r w:rsidRPr="00DD6E21">
        <w:rPr>
          <w:rFonts w:asciiTheme="minorHAnsi" w:eastAsiaTheme="minorEastAsia" w:cstheme="minorBidi"/>
          <w:iCs w:val="0"/>
          <w:kern w:val="24"/>
          <w:sz w:val="22"/>
          <w:szCs w:val="22"/>
        </w:rPr>
        <w:t xml:space="preserve"> </w:t>
      </w:r>
      <w:r w:rsidRPr="00DD6E21">
        <w:rPr>
          <w:rFonts w:asciiTheme="majorHAnsi" w:hAnsiTheme="majorHAnsi" w:cstheme="majorHAnsi"/>
          <w:iCs w:val="0"/>
          <w:sz w:val="22"/>
          <w:szCs w:val="22"/>
        </w:rPr>
        <w:t>Perceptions of changes in teachers’ competencies in the last 5 years (n=61)</w:t>
      </w:r>
      <w:bookmarkEnd w:id="96"/>
    </w:p>
    <w:p w14:paraId="0BDBD327" w14:textId="77777777" w:rsidR="008D0CAD" w:rsidRPr="00ED69F0" w:rsidRDefault="008D0CAD" w:rsidP="007C1A2E">
      <w:pPr>
        <w:spacing w:before="100" w:beforeAutospacing="1" w:after="100" w:afterAutospacing="1" w:line="360" w:lineRule="auto"/>
        <w:rPr>
          <w:rFonts w:asciiTheme="majorHAnsi" w:hAnsiTheme="majorHAnsi" w:cstheme="majorHAnsi"/>
          <w:color w:val="000000" w:themeColor="text1"/>
        </w:rPr>
      </w:pPr>
      <w:r w:rsidRPr="00FA4EDC">
        <w:rPr>
          <w:rFonts w:asciiTheme="majorHAnsi" w:hAnsiTheme="majorHAnsi" w:cstheme="majorHAnsi"/>
          <w:noProof/>
          <w:color w:val="000000" w:themeColor="text1"/>
          <w:lang w:val="en-AU" w:eastAsia="en-AU"/>
        </w:rPr>
        <w:drawing>
          <wp:inline distT="0" distB="0" distL="0" distR="0" wp14:anchorId="57DF6587" wp14:editId="118A8F8F">
            <wp:extent cx="5727700" cy="2628900"/>
            <wp:effectExtent l="0" t="0" r="0" b="0"/>
            <wp:docPr id="5" name="Picture 4" descr="Perceptions of changes in teachers’ competencies in the last 5 years (n=61) ; highest increase is for research-based knowledge and principles of teaching and learning at 86%">
              <a:extLst xmlns:a="http://schemas.openxmlformats.org/drawingml/2006/main">
                <a:ext uri="{FF2B5EF4-FFF2-40B4-BE49-F238E27FC236}">
                  <a16:creationId xmlns:a16="http://schemas.microsoft.com/office/drawing/2014/main" id="{C4F74316-84DC-C141-8D07-A6063A34E9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Perceptions of changes in teachers’ competencies in the last 5 years (n=61) ; highest increase is for research-based knowledge and principles of teaching and learning at 86%">
                      <a:extLst>
                        <a:ext uri="{FF2B5EF4-FFF2-40B4-BE49-F238E27FC236}">
                          <a16:creationId xmlns:a16="http://schemas.microsoft.com/office/drawing/2014/main" id="{C4F74316-84DC-C141-8D07-A6063A34E9E6}"/>
                        </a:ext>
                      </a:extLst>
                    </pic:cNvPr>
                    <pic:cNvPicPr>
                      <a:picLocks noChangeAspect="1"/>
                    </pic:cNvPicPr>
                  </pic:nvPicPr>
                  <pic:blipFill rotWithShape="1">
                    <a:blip r:embed="rId30"/>
                    <a:srcRect l="6433" t="18086" r="7265" b="18534"/>
                    <a:stretch/>
                  </pic:blipFill>
                  <pic:spPr>
                    <a:xfrm>
                      <a:off x="0" y="0"/>
                      <a:ext cx="5727700" cy="2628900"/>
                    </a:xfrm>
                    <a:prstGeom prst="rect">
                      <a:avLst/>
                    </a:prstGeom>
                  </pic:spPr>
                </pic:pic>
              </a:graphicData>
            </a:graphic>
          </wp:inline>
        </w:drawing>
      </w:r>
      <w:r>
        <w:rPr>
          <w:rFonts w:asciiTheme="majorHAnsi" w:hAnsiTheme="majorHAnsi" w:cstheme="majorHAnsi"/>
          <w:color w:val="000000" w:themeColor="text1"/>
        </w:rPr>
        <w:t xml:space="preserve"> </w:t>
      </w:r>
    </w:p>
    <w:p w14:paraId="0B403CB0" w14:textId="77777777" w:rsidR="008D0CAD" w:rsidRPr="00020D54" w:rsidRDefault="008D0CAD" w:rsidP="007C1A2E">
      <w:pPr>
        <w:spacing w:before="100" w:beforeAutospacing="1" w:after="100" w:afterAutospacing="1" w:line="360" w:lineRule="auto"/>
        <w:rPr>
          <w:rFonts w:asciiTheme="majorHAnsi" w:eastAsiaTheme="minorHAnsi" w:hAnsiTheme="majorHAnsi" w:cstheme="majorHAnsi"/>
          <w:i/>
          <w:iCs/>
          <w:sz w:val="14"/>
          <w:szCs w:val="14"/>
        </w:rPr>
      </w:pPr>
      <w:r w:rsidRPr="00020D54">
        <w:rPr>
          <w:rFonts w:asciiTheme="majorHAnsi" w:eastAsiaTheme="minorHAnsi" w:hAnsiTheme="majorHAnsi" w:cstheme="majorHAnsi"/>
          <w:i/>
          <w:iCs/>
          <w:sz w:val="14"/>
          <w:szCs w:val="14"/>
        </w:rPr>
        <w:t>Note:</w:t>
      </w:r>
      <w:r w:rsidR="00020D54" w:rsidRPr="00020D54">
        <w:rPr>
          <w:rFonts w:asciiTheme="majorHAnsi" w:eastAsiaTheme="minorHAnsi" w:hAnsiTheme="majorHAnsi" w:cstheme="majorHAnsi"/>
          <w:i/>
          <w:iCs/>
          <w:sz w:val="14"/>
          <w:szCs w:val="14"/>
        </w:rPr>
        <w:t xml:space="preserve"> </w:t>
      </w:r>
      <w:r w:rsidRPr="00020D54">
        <w:rPr>
          <w:rFonts w:asciiTheme="majorHAnsi" w:eastAsiaTheme="minorHAnsi" w:hAnsiTheme="majorHAnsi" w:cstheme="majorHAnsi"/>
          <w:i/>
          <w:iCs/>
          <w:sz w:val="14"/>
          <w:szCs w:val="14"/>
        </w:rPr>
        <w:t>Competencies were based on the PPST. Skipped answers were added to No change.</w:t>
      </w:r>
    </w:p>
    <w:p w14:paraId="4B968EC6" w14:textId="383FF4BD" w:rsidR="008D0CAD" w:rsidRPr="007C1A2E" w:rsidRDefault="008D0CAD" w:rsidP="007C1A2E">
      <w:pPr>
        <w:spacing w:before="100" w:beforeAutospacing="1" w:after="100" w:afterAutospacing="1" w:line="360" w:lineRule="auto"/>
        <w:rPr>
          <w:rFonts w:asciiTheme="majorHAnsi" w:eastAsiaTheme="minorHAnsi" w:hAnsiTheme="majorHAnsi" w:cstheme="majorHAnsi"/>
          <w:i/>
          <w:iCs/>
          <w:sz w:val="14"/>
          <w:szCs w:val="14"/>
        </w:rPr>
      </w:pPr>
      <w:r w:rsidRPr="00020D54">
        <w:rPr>
          <w:rFonts w:asciiTheme="majorHAnsi" w:eastAsiaTheme="minorHAnsi" w:hAnsiTheme="majorHAnsi" w:cstheme="majorHAnsi"/>
          <w:i/>
          <w:iCs/>
          <w:sz w:val="14"/>
          <w:szCs w:val="14"/>
        </w:rPr>
        <w:t>Source: 2020 Survey of Teachers</w:t>
      </w:r>
    </w:p>
    <w:p w14:paraId="69F01BFE" w14:textId="15F444AB" w:rsidR="008D0CAD" w:rsidRPr="009A1064" w:rsidRDefault="008D0CAD" w:rsidP="00DD08E3">
      <w:pPr>
        <w:pStyle w:val="Heading5"/>
        <w:numPr>
          <w:ilvl w:val="3"/>
          <w:numId w:val="163"/>
        </w:numPr>
        <w:spacing w:before="100" w:beforeAutospacing="1" w:after="100" w:afterAutospacing="1" w:line="360" w:lineRule="auto"/>
      </w:pPr>
      <w:r>
        <w:t>Competency Standards for</w:t>
      </w:r>
      <w:r w:rsidRPr="003F0B9A">
        <w:t xml:space="preserve"> </w:t>
      </w:r>
      <w:r>
        <w:t>Teachers</w:t>
      </w:r>
    </w:p>
    <w:p w14:paraId="3B6EC5DA" w14:textId="64081E1E" w:rsidR="008D0CAD" w:rsidRPr="00ED69F0" w:rsidRDefault="008D0CAD" w:rsidP="007C1A2E">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color w:val="000000" w:themeColor="text1"/>
        </w:rPr>
        <w:t xml:space="preserve">The BEST Program produced the </w:t>
      </w:r>
      <w:r w:rsidRPr="0024402D">
        <w:rPr>
          <w:rFonts w:asciiTheme="majorHAnsi" w:hAnsiTheme="majorHAnsi" w:cstheme="majorHAnsi"/>
        </w:rPr>
        <w:t>Philippine Professional Standards for Teachers (PPST)</w:t>
      </w:r>
      <w:r>
        <w:rPr>
          <w:rFonts w:asciiTheme="majorHAnsi" w:hAnsiTheme="majorHAnsi" w:cstheme="majorHAnsi"/>
        </w:rPr>
        <w:t xml:space="preserve">, in partnership with RCTQ. The PPST served as the basis </w:t>
      </w:r>
      <w:r>
        <w:rPr>
          <w:rFonts w:asciiTheme="majorHAnsi" w:hAnsiTheme="majorHAnsi" w:cstheme="majorHAnsi"/>
          <w:color w:val="000000" w:themeColor="text1"/>
        </w:rPr>
        <w:t>for various other Program interventions such as the enhancement of the</w:t>
      </w:r>
      <w:r w:rsidRPr="00ED69F0">
        <w:rPr>
          <w:rFonts w:asciiTheme="majorHAnsi" w:hAnsiTheme="majorHAnsi" w:cstheme="majorHAnsi"/>
          <w:color w:val="000000" w:themeColor="text1"/>
        </w:rPr>
        <w:t xml:space="preserve"> RPMS tools</w:t>
      </w:r>
      <w:r>
        <w:rPr>
          <w:rFonts w:asciiTheme="majorHAnsi" w:hAnsiTheme="majorHAnsi" w:cstheme="majorHAnsi"/>
          <w:color w:val="000000" w:themeColor="text1"/>
        </w:rPr>
        <w:t xml:space="preserve"> and the curriculum audit of TEIs, among others</w:t>
      </w:r>
      <w:r w:rsidRPr="00ED69F0">
        <w:rPr>
          <w:rFonts w:asciiTheme="majorHAnsi" w:hAnsiTheme="majorHAnsi" w:cstheme="majorHAnsi"/>
          <w:i/>
          <w:color w:val="000000" w:themeColor="text1"/>
        </w:rPr>
        <w:t>.</w:t>
      </w:r>
      <w:r w:rsidR="00D434EB">
        <w:rPr>
          <w:rFonts w:asciiTheme="majorHAnsi" w:hAnsiTheme="majorHAnsi" w:cstheme="majorHAnsi"/>
          <w:color w:val="000000" w:themeColor="text1"/>
        </w:rPr>
        <w:t xml:space="preserve"> </w:t>
      </w:r>
    </w:p>
    <w:p w14:paraId="23A90939" w14:textId="77777777" w:rsidR="008D0CAD" w:rsidRPr="0040377C" w:rsidRDefault="008D0CAD" w:rsidP="008C061C">
      <w:pPr>
        <w:pStyle w:val="Heading6"/>
      </w:pPr>
      <w:r w:rsidRPr="0040377C">
        <w:t>PPST</w:t>
      </w:r>
      <w:r>
        <w:t xml:space="preserve">: A Framework </w:t>
      </w:r>
    </w:p>
    <w:p w14:paraId="26D39F0F" w14:textId="6ED7D826" w:rsidR="008D0CAD" w:rsidRPr="00B46D9B" w:rsidRDefault="008D0CAD" w:rsidP="007C1A2E">
      <w:pPr>
        <w:spacing w:before="100" w:beforeAutospacing="1" w:after="100" w:afterAutospacing="1" w:line="360" w:lineRule="auto"/>
        <w:rPr>
          <w:rFonts w:asciiTheme="majorHAnsi" w:hAnsiTheme="majorHAnsi" w:cstheme="majorHAnsi"/>
          <w:color w:val="000000" w:themeColor="text1"/>
          <w:shd w:val="clear" w:color="auto" w:fill="FFFFFF"/>
        </w:rPr>
      </w:pPr>
      <w:r w:rsidRPr="0024402D">
        <w:rPr>
          <w:rFonts w:asciiTheme="majorHAnsi" w:hAnsiTheme="majorHAnsi" w:cstheme="majorHAnsi"/>
        </w:rPr>
        <w:t>The Philippine Professional Standards for Teachers (PPST) is a competency framework for teachers developed by RCTQ, one of the BEST partner research institutes.</w:t>
      </w:r>
      <w:r w:rsidR="00D434EB">
        <w:rPr>
          <w:rFonts w:asciiTheme="majorHAnsi" w:hAnsiTheme="majorHAnsi" w:cstheme="majorHAnsi"/>
        </w:rPr>
        <w:t xml:space="preserve"> </w:t>
      </w:r>
      <w:r w:rsidRPr="0024402D">
        <w:rPr>
          <w:rFonts w:asciiTheme="majorHAnsi" w:hAnsiTheme="majorHAnsi" w:cstheme="majorHAnsi"/>
        </w:rPr>
        <w:t xml:space="preserve">It </w:t>
      </w:r>
      <w:r w:rsidRPr="0024402D">
        <w:rPr>
          <w:rFonts w:asciiTheme="majorHAnsi" w:hAnsiTheme="majorHAnsi" w:cstheme="majorHAnsi"/>
          <w:color w:val="0A0A0A"/>
          <w:shd w:val="clear" w:color="auto" w:fill="FFFFFF"/>
        </w:rPr>
        <w:t xml:space="preserve">outlines the required skills and competencies of quality teachers to enable them to cope with the various emerging global </w:t>
      </w:r>
      <w:r>
        <w:rPr>
          <w:rFonts w:asciiTheme="majorHAnsi" w:hAnsiTheme="majorHAnsi" w:cstheme="majorHAnsi"/>
          <w:color w:val="0A0A0A"/>
          <w:shd w:val="clear" w:color="auto" w:fill="FFFFFF"/>
        </w:rPr>
        <w:t xml:space="preserve">transformations affecting the education sector such as </w:t>
      </w:r>
      <w:r w:rsidRPr="0024402D">
        <w:rPr>
          <w:rFonts w:asciiTheme="majorHAnsi" w:hAnsiTheme="majorHAnsi" w:cstheme="majorHAnsi"/>
          <w:color w:val="0A0A0A"/>
          <w:shd w:val="clear" w:color="auto" w:fill="FFFFFF"/>
        </w:rPr>
        <w:t>the</w:t>
      </w:r>
      <w:r>
        <w:rPr>
          <w:rFonts w:asciiTheme="majorHAnsi" w:hAnsiTheme="majorHAnsi" w:cstheme="majorHAnsi"/>
          <w:color w:val="0A0A0A"/>
          <w:shd w:val="clear" w:color="auto" w:fill="FFFFFF"/>
        </w:rPr>
        <w:t xml:space="preserve"> shift to</w:t>
      </w:r>
      <w:r w:rsidRPr="0024402D">
        <w:rPr>
          <w:rFonts w:asciiTheme="majorHAnsi" w:hAnsiTheme="majorHAnsi" w:cstheme="majorHAnsi"/>
          <w:color w:val="0A0A0A"/>
          <w:shd w:val="clear" w:color="auto" w:fill="FFFFFF"/>
        </w:rPr>
        <w:t xml:space="preserve"> K </w:t>
      </w:r>
      <w:r w:rsidRPr="00B46D9B">
        <w:rPr>
          <w:rFonts w:asciiTheme="majorHAnsi" w:hAnsiTheme="majorHAnsi" w:cstheme="majorHAnsi"/>
          <w:color w:val="000000" w:themeColor="text1"/>
          <w:shd w:val="clear" w:color="auto" w:fill="FFFFFF"/>
        </w:rPr>
        <w:t>to 12 curriculum, the ASEAN integration, globali</w:t>
      </w:r>
      <w:r>
        <w:rPr>
          <w:rFonts w:asciiTheme="majorHAnsi" w:hAnsiTheme="majorHAnsi" w:cstheme="majorHAnsi"/>
          <w:color w:val="000000" w:themeColor="text1"/>
          <w:shd w:val="clear" w:color="auto" w:fill="FFFFFF"/>
        </w:rPr>
        <w:t>s</w:t>
      </w:r>
      <w:r w:rsidRPr="00B46D9B">
        <w:rPr>
          <w:rFonts w:asciiTheme="majorHAnsi" w:hAnsiTheme="majorHAnsi" w:cstheme="majorHAnsi"/>
          <w:color w:val="000000" w:themeColor="text1"/>
          <w:shd w:val="clear" w:color="auto" w:fill="FFFFFF"/>
        </w:rPr>
        <w:t>ation, and the changing competency requirements of the 21</w:t>
      </w:r>
      <w:r w:rsidRPr="00B46D9B">
        <w:rPr>
          <w:rFonts w:asciiTheme="majorHAnsi" w:hAnsiTheme="majorHAnsi" w:cstheme="majorHAnsi"/>
          <w:color w:val="000000" w:themeColor="text1"/>
          <w:shd w:val="clear" w:color="auto" w:fill="FFFFFF"/>
          <w:vertAlign w:val="superscript"/>
        </w:rPr>
        <w:t>st</w:t>
      </w:r>
      <w:r w:rsidRPr="00B46D9B">
        <w:rPr>
          <w:rFonts w:asciiTheme="majorHAnsi" w:hAnsiTheme="majorHAnsi" w:cstheme="majorHAnsi"/>
          <w:color w:val="000000" w:themeColor="text1"/>
          <w:shd w:val="clear" w:color="auto" w:fill="FFFFFF"/>
        </w:rPr>
        <w:t xml:space="preserve"> century learners</w:t>
      </w:r>
      <w:r w:rsidRPr="00B46D9B">
        <w:rPr>
          <w:rStyle w:val="apple-converted-space"/>
          <w:rFonts w:asciiTheme="majorHAnsi" w:hAnsiTheme="majorHAnsi" w:cstheme="majorHAnsi"/>
          <w:color w:val="000000" w:themeColor="text1"/>
          <w:shd w:val="clear" w:color="auto" w:fill="FFFFFF"/>
        </w:rPr>
        <w:t>.</w:t>
      </w:r>
      <w:r w:rsidR="00D434EB">
        <w:rPr>
          <w:rFonts w:asciiTheme="majorHAnsi" w:hAnsiTheme="majorHAnsi" w:cstheme="majorHAnsi"/>
          <w:color w:val="000000" w:themeColor="text1"/>
          <w:shd w:val="clear" w:color="auto" w:fill="FFFFFF"/>
        </w:rPr>
        <w:t xml:space="preserve"> </w:t>
      </w:r>
      <w:r w:rsidRPr="00B46D9B">
        <w:rPr>
          <w:rFonts w:asciiTheme="majorHAnsi" w:hAnsiTheme="majorHAnsi"/>
          <w:color w:val="000000" w:themeColor="text1"/>
          <w:lang w:val="en-GB"/>
        </w:rPr>
        <w:t>A more detailed description of the PPST is presented in the PPST Study, which is an accompanying document to this EOPE Study.</w:t>
      </w:r>
    </w:p>
    <w:p w14:paraId="1F89C3A4" w14:textId="698C2ECD" w:rsidR="008D0CAD" w:rsidRDefault="008D0CAD" w:rsidP="007C1A2E">
      <w:pPr>
        <w:spacing w:before="100" w:beforeAutospacing="1" w:after="100" w:afterAutospacing="1" w:line="360" w:lineRule="auto"/>
        <w:rPr>
          <w:rFonts w:asciiTheme="majorHAnsi" w:hAnsiTheme="majorHAnsi" w:cstheme="majorHAnsi"/>
          <w:color w:val="000000" w:themeColor="text1"/>
          <w:shd w:val="clear" w:color="auto" w:fill="FFFFFF"/>
        </w:rPr>
      </w:pPr>
      <w:r>
        <w:rPr>
          <w:rFonts w:asciiTheme="majorHAnsi" w:hAnsiTheme="majorHAnsi" w:cstheme="majorHAnsi"/>
          <w:color w:val="000000" w:themeColor="text1"/>
          <w:shd w:val="clear" w:color="auto" w:fill="FFFFFF"/>
        </w:rPr>
        <w:t xml:space="preserve">The development of the </w:t>
      </w:r>
      <w:r w:rsidRPr="00B46D9B">
        <w:rPr>
          <w:rFonts w:asciiTheme="majorHAnsi" w:hAnsiTheme="majorHAnsi" w:cstheme="majorHAnsi"/>
          <w:color w:val="000000" w:themeColor="text1"/>
          <w:shd w:val="clear" w:color="auto" w:fill="FFFFFF"/>
        </w:rPr>
        <w:t xml:space="preserve">PPST </w:t>
      </w:r>
      <w:r>
        <w:rPr>
          <w:rFonts w:asciiTheme="majorHAnsi" w:hAnsiTheme="majorHAnsi" w:cstheme="majorHAnsi"/>
          <w:color w:val="000000" w:themeColor="text1"/>
          <w:shd w:val="clear" w:color="auto" w:fill="FFFFFF"/>
        </w:rPr>
        <w:t>was informed by</w:t>
      </w:r>
      <w:r w:rsidRPr="00B46D9B">
        <w:rPr>
          <w:rFonts w:asciiTheme="majorHAnsi" w:hAnsiTheme="majorHAnsi" w:cstheme="majorHAnsi"/>
          <w:color w:val="000000" w:themeColor="text1"/>
          <w:shd w:val="clear" w:color="auto" w:fill="FFFFFF"/>
        </w:rPr>
        <w:t xml:space="preserve"> the </w:t>
      </w:r>
      <w:r w:rsidRPr="00B46D9B">
        <w:rPr>
          <w:rFonts w:asciiTheme="majorHAnsi" w:hAnsiTheme="majorHAnsi" w:cstheme="majorHAnsi"/>
          <w:color w:val="000000" w:themeColor="text1"/>
        </w:rPr>
        <w:t xml:space="preserve">Teacher Development Needs Study (TDNS) conducted by RCTQ to assess teachers’ competency and knowledge in the K-12 curriculum subjects </w:t>
      </w:r>
      <w:r>
        <w:rPr>
          <w:rFonts w:asciiTheme="majorHAnsi" w:hAnsiTheme="majorHAnsi" w:cstheme="majorHAnsi"/>
          <w:color w:val="000000" w:themeColor="text1"/>
        </w:rPr>
        <w:t xml:space="preserve">(focused on </w:t>
      </w:r>
      <w:r w:rsidRPr="00B46D9B">
        <w:rPr>
          <w:rFonts w:asciiTheme="majorHAnsi" w:hAnsiTheme="majorHAnsi" w:cstheme="majorHAnsi"/>
          <w:color w:val="000000" w:themeColor="text1"/>
        </w:rPr>
        <w:t>English, Filipino, Maths and Science at the Grades 6, 8 and 10 levels</w:t>
      </w:r>
      <w:r>
        <w:rPr>
          <w:rFonts w:asciiTheme="majorHAnsi" w:hAnsiTheme="majorHAnsi" w:cstheme="majorHAnsi"/>
          <w:color w:val="000000" w:themeColor="text1"/>
        </w:rPr>
        <w:t>)</w:t>
      </w:r>
      <w:r w:rsidRPr="00B46D9B">
        <w:rPr>
          <w:rFonts w:asciiTheme="majorHAnsi" w:hAnsiTheme="majorHAnsi" w:cstheme="majorHAnsi"/>
          <w:color w:val="000000" w:themeColor="text1"/>
        </w:rPr>
        <w:t>.</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The development and validation of the standards</w:t>
      </w:r>
      <w:r w:rsidRPr="00B46D9B">
        <w:rPr>
          <w:rFonts w:asciiTheme="majorHAnsi" w:hAnsiTheme="majorHAnsi" w:cstheme="majorHAnsi"/>
          <w:color w:val="000000" w:themeColor="text1"/>
        </w:rPr>
        <w:t xml:space="preserve"> </w:t>
      </w:r>
      <w:r>
        <w:rPr>
          <w:rFonts w:asciiTheme="majorHAnsi" w:hAnsiTheme="majorHAnsi" w:cstheme="majorHAnsi"/>
          <w:color w:val="000000" w:themeColor="text1"/>
        </w:rPr>
        <w:t>involved</w:t>
      </w:r>
      <w:r w:rsidRPr="00B46D9B">
        <w:rPr>
          <w:rFonts w:asciiTheme="majorHAnsi" w:hAnsiTheme="majorHAnsi" w:cstheme="majorHAnsi"/>
          <w:color w:val="000000" w:themeColor="text1"/>
          <w:shd w:val="clear" w:color="auto" w:fill="FFFFFF"/>
        </w:rPr>
        <w:t xml:space="preserve"> massive consultation process</w:t>
      </w:r>
      <w:r>
        <w:rPr>
          <w:rFonts w:asciiTheme="majorHAnsi" w:hAnsiTheme="majorHAnsi" w:cstheme="majorHAnsi"/>
          <w:color w:val="000000" w:themeColor="text1"/>
          <w:shd w:val="clear" w:color="auto" w:fill="FFFFFF"/>
        </w:rPr>
        <w:t>es</w:t>
      </w:r>
      <w:r w:rsidRPr="00B46D9B">
        <w:rPr>
          <w:rFonts w:asciiTheme="majorHAnsi" w:hAnsiTheme="majorHAnsi" w:cstheme="majorHAnsi"/>
          <w:color w:val="000000" w:themeColor="text1"/>
          <w:shd w:val="clear" w:color="auto" w:fill="FFFFFF"/>
        </w:rPr>
        <w:t xml:space="preserve"> </w:t>
      </w:r>
      <w:r>
        <w:rPr>
          <w:rFonts w:asciiTheme="majorHAnsi" w:hAnsiTheme="majorHAnsi" w:cstheme="majorHAnsi"/>
          <w:color w:val="000000" w:themeColor="text1"/>
          <w:shd w:val="clear" w:color="auto" w:fill="FFFFFF"/>
        </w:rPr>
        <w:t xml:space="preserve">with </w:t>
      </w:r>
      <w:r w:rsidRPr="00B46D9B">
        <w:rPr>
          <w:rFonts w:asciiTheme="majorHAnsi" w:hAnsiTheme="majorHAnsi" w:cstheme="majorHAnsi"/>
          <w:color w:val="000000" w:themeColor="text1"/>
          <w:shd w:val="clear" w:color="auto" w:fill="FFFFFF"/>
        </w:rPr>
        <w:t xml:space="preserve">over 10,000 pre- and in-service teachers, principals, supervisors, regional directors and </w:t>
      </w:r>
      <w:r>
        <w:rPr>
          <w:rFonts w:asciiTheme="majorHAnsi" w:hAnsiTheme="majorHAnsi" w:cstheme="majorHAnsi"/>
          <w:color w:val="000000" w:themeColor="text1"/>
          <w:shd w:val="clear" w:color="auto" w:fill="FFFFFF"/>
        </w:rPr>
        <w:t xml:space="preserve">other </w:t>
      </w:r>
      <w:r w:rsidRPr="00B46D9B">
        <w:rPr>
          <w:rFonts w:asciiTheme="majorHAnsi" w:hAnsiTheme="majorHAnsi" w:cstheme="majorHAnsi"/>
          <w:color w:val="000000" w:themeColor="text1"/>
          <w:shd w:val="clear" w:color="auto" w:fill="FFFFFF"/>
        </w:rPr>
        <w:t>educators, a</w:t>
      </w:r>
      <w:r>
        <w:rPr>
          <w:rFonts w:asciiTheme="majorHAnsi" w:hAnsiTheme="majorHAnsi" w:cstheme="majorHAnsi"/>
          <w:color w:val="000000" w:themeColor="text1"/>
          <w:shd w:val="clear" w:color="auto" w:fill="FFFFFF"/>
        </w:rPr>
        <w:t>s well as</w:t>
      </w:r>
      <w:r w:rsidRPr="00B46D9B">
        <w:rPr>
          <w:rFonts w:asciiTheme="majorHAnsi" w:hAnsiTheme="majorHAnsi" w:cstheme="majorHAnsi"/>
          <w:color w:val="000000" w:themeColor="text1"/>
          <w:shd w:val="clear" w:color="auto" w:fill="FFFFFF"/>
        </w:rPr>
        <w:t xml:space="preserve"> representatives from government agencies and non-government organi</w:t>
      </w:r>
      <w:r>
        <w:rPr>
          <w:rFonts w:asciiTheme="majorHAnsi" w:hAnsiTheme="majorHAnsi" w:cstheme="majorHAnsi"/>
          <w:color w:val="000000" w:themeColor="text1"/>
          <w:shd w:val="clear" w:color="auto" w:fill="FFFFFF"/>
        </w:rPr>
        <w:t>s</w:t>
      </w:r>
      <w:r w:rsidRPr="00B46D9B">
        <w:rPr>
          <w:rFonts w:asciiTheme="majorHAnsi" w:hAnsiTheme="majorHAnsi" w:cstheme="majorHAnsi"/>
          <w:color w:val="000000" w:themeColor="text1"/>
          <w:shd w:val="clear" w:color="auto" w:fill="FFFFFF"/>
        </w:rPr>
        <w:t>ations</w:t>
      </w:r>
      <w:r>
        <w:rPr>
          <w:rFonts w:asciiTheme="majorHAnsi" w:hAnsiTheme="majorHAnsi" w:cstheme="majorHAnsi"/>
          <w:color w:val="000000" w:themeColor="text1"/>
          <w:shd w:val="clear" w:color="auto" w:fill="FFFFFF"/>
        </w:rPr>
        <w:t>.</w:t>
      </w:r>
      <w:r w:rsidRPr="00B46D9B">
        <w:rPr>
          <w:rStyle w:val="FootnoteReference"/>
          <w:rFonts w:asciiTheme="majorHAnsi" w:eastAsia="Arial Unicode MS" w:hAnsiTheme="majorHAnsi" w:cstheme="majorHAnsi"/>
          <w:color w:val="000000" w:themeColor="text1"/>
          <w:shd w:val="clear" w:color="auto" w:fill="FFFFFF"/>
        </w:rPr>
        <w:footnoteReference w:id="34"/>
      </w:r>
    </w:p>
    <w:p w14:paraId="03231F1B" w14:textId="41EC5832" w:rsidR="00020D54" w:rsidRPr="00020D54" w:rsidRDefault="008D0CAD" w:rsidP="007C1A2E">
      <w:pPr>
        <w:spacing w:before="100" w:beforeAutospacing="1" w:after="100" w:afterAutospacing="1" w:line="360" w:lineRule="auto"/>
        <w:rPr>
          <w:rFonts w:asciiTheme="majorHAnsi" w:hAnsiTheme="majorHAnsi" w:cstheme="majorHAnsi"/>
          <w:color w:val="000000" w:themeColor="text1"/>
        </w:rPr>
      </w:pPr>
      <w:r w:rsidRPr="00CC0C83">
        <w:rPr>
          <w:rFonts w:asciiTheme="majorHAnsi" w:hAnsiTheme="majorHAnsi" w:cstheme="majorHAnsi"/>
          <w:color w:val="000000" w:themeColor="text1"/>
          <w:shd w:val="clear" w:color="auto" w:fill="FFFFFF"/>
        </w:rPr>
        <w:t xml:space="preserve">The impetus for the </w:t>
      </w:r>
      <w:r>
        <w:rPr>
          <w:rFonts w:asciiTheme="majorHAnsi" w:hAnsiTheme="majorHAnsi" w:cstheme="majorHAnsi"/>
          <w:color w:val="000000" w:themeColor="text1"/>
          <w:shd w:val="clear" w:color="auto" w:fill="FFFFFF"/>
        </w:rPr>
        <w:t>adoption</w:t>
      </w:r>
      <w:r w:rsidRPr="00CC0C83">
        <w:rPr>
          <w:rFonts w:asciiTheme="majorHAnsi" w:hAnsiTheme="majorHAnsi" w:cstheme="majorHAnsi"/>
          <w:color w:val="000000" w:themeColor="text1"/>
          <w:shd w:val="clear" w:color="auto" w:fill="FFFFFF"/>
        </w:rPr>
        <w:t xml:space="preserve"> of the PPST was the </w:t>
      </w:r>
      <w:r>
        <w:rPr>
          <w:rFonts w:asciiTheme="majorHAnsi" w:hAnsiTheme="majorHAnsi" w:cstheme="majorHAnsi"/>
          <w:color w:val="000000" w:themeColor="text1"/>
          <w:shd w:val="clear" w:color="auto" w:fill="FFFFFF"/>
        </w:rPr>
        <w:t>formalised through</w:t>
      </w:r>
      <w:r w:rsidRPr="00CC0C83">
        <w:rPr>
          <w:rFonts w:asciiTheme="majorHAnsi" w:hAnsiTheme="majorHAnsi" w:cstheme="majorHAnsi"/>
          <w:color w:val="000000" w:themeColor="text1"/>
          <w:shd w:val="clear" w:color="auto" w:fill="FFFFFF"/>
        </w:rPr>
        <w:t xml:space="preserve"> D</w:t>
      </w:r>
      <w:r>
        <w:rPr>
          <w:rFonts w:asciiTheme="majorHAnsi" w:hAnsiTheme="majorHAnsi" w:cstheme="majorHAnsi"/>
          <w:color w:val="000000" w:themeColor="text1"/>
          <w:shd w:val="clear" w:color="auto" w:fill="FFFFFF"/>
        </w:rPr>
        <w:t xml:space="preserve">epartment </w:t>
      </w:r>
      <w:r w:rsidRPr="00CC0C83">
        <w:rPr>
          <w:rFonts w:asciiTheme="majorHAnsi" w:hAnsiTheme="majorHAnsi" w:cstheme="majorHAnsi"/>
          <w:color w:val="000000" w:themeColor="text1"/>
          <w:shd w:val="clear" w:color="auto" w:fill="FFFFFF"/>
        </w:rPr>
        <w:t>O</w:t>
      </w:r>
      <w:r>
        <w:rPr>
          <w:rFonts w:asciiTheme="majorHAnsi" w:hAnsiTheme="majorHAnsi" w:cstheme="majorHAnsi"/>
          <w:color w:val="000000" w:themeColor="text1"/>
          <w:shd w:val="clear" w:color="auto" w:fill="FFFFFF"/>
        </w:rPr>
        <w:t>rder</w:t>
      </w:r>
      <w:r w:rsidRPr="00CC0C83">
        <w:rPr>
          <w:rFonts w:asciiTheme="majorHAnsi" w:hAnsiTheme="majorHAnsi" w:cstheme="majorHAnsi"/>
          <w:color w:val="000000" w:themeColor="text1"/>
          <w:shd w:val="clear" w:color="auto" w:fill="FFFFFF"/>
        </w:rPr>
        <w:t xml:space="preserve"> No. 42</w:t>
      </w:r>
      <w:r w:rsidRPr="00CC0C83">
        <w:rPr>
          <w:rFonts w:asciiTheme="majorHAnsi" w:hAnsiTheme="majorHAnsi" w:cstheme="majorHAnsi"/>
          <w:color w:val="000000" w:themeColor="text1"/>
        </w:rPr>
        <w:t xml:space="preserve"> </w:t>
      </w:r>
      <w:r>
        <w:rPr>
          <w:rFonts w:asciiTheme="majorHAnsi" w:hAnsiTheme="majorHAnsi" w:cstheme="majorHAnsi"/>
          <w:color w:val="000000" w:themeColor="text1"/>
        </w:rPr>
        <w:t>on the “</w:t>
      </w:r>
      <w:r w:rsidRPr="0080387C">
        <w:rPr>
          <w:rFonts w:asciiTheme="majorHAnsi" w:hAnsiTheme="majorHAnsi" w:cstheme="majorHAnsi"/>
          <w:i/>
          <w:iCs/>
          <w:color w:val="000000" w:themeColor="text1"/>
        </w:rPr>
        <w:t>National Adoption and Implementation of the Philippine Professional Standards for Teachers</w:t>
      </w:r>
      <w:r w:rsidRPr="00CC0C83">
        <w:rPr>
          <w:rFonts w:asciiTheme="majorHAnsi" w:hAnsiTheme="majorHAnsi" w:cstheme="majorHAnsi"/>
          <w:color w:val="000000" w:themeColor="text1"/>
        </w:rPr>
        <w:t>” issued in 2017.</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Survey respondents from BEST Program-supported schools showed high to very high knowledge and perceived utility (Table 13). This trend was also true of respondents from schools not directly supported by the Program, since DepEd rolled out the standards nationally. This finding was echoed in the Follow-Up Study.</w:t>
      </w:r>
    </w:p>
    <w:p w14:paraId="756D0EF2" w14:textId="23005B52" w:rsidR="008D0CAD" w:rsidRPr="00DD6E21" w:rsidRDefault="008D0CAD" w:rsidP="007C1A2E">
      <w:pPr>
        <w:spacing w:before="100" w:beforeAutospacing="1" w:after="100" w:afterAutospacing="1" w:line="360" w:lineRule="auto"/>
        <w:rPr>
          <w:rFonts w:asciiTheme="majorHAnsi" w:hAnsiTheme="majorHAnsi" w:cstheme="majorHAnsi"/>
          <w:i/>
          <w:iCs/>
          <w:color w:val="44546A" w:themeColor="text2"/>
        </w:rPr>
      </w:pPr>
      <w:bookmarkStart w:id="97" w:name="_Toc71616604"/>
      <w:r w:rsidRPr="00DD6E21">
        <w:rPr>
          <w:rFonts w:asciiTheme="majorHAnsi" w:hAnsiTheme="majorHAnsi" w:cstheme="majorHAnsi"/>
          <w:i/>
          <w:iCs/>
          <w:color w:val="44546A" w:themeColor="text2"/>
          <w:sz w:val="22"/>
          <w:szCs w:val="22"/>
        </w:rPr>
        <w:t xml:space="preserve">Table </w:t>
      </w:r>
      <w:r w:rsidRPr="00DD6E21">
        <w:rPr>
          <w:rFonts w:asciiTheme="majorHAnsi" w:hAnsiTheme="majorHAnsi" w:cstheme="majorHAnsi"/>
          <w:i/>
          <w:iCs/>
          <w:color w:val="44546A" w:themeColor="text2"/>
          <w:sz w:val="22"/>
          <w:szCs w:val="22"/>
        </w:rPr>
        <w:fldChar w:fldCharType="begin"/>
      </w:r>
      <w:r w:rsidRPr="00DD6E21">
        <w:rPr>
          <w:rFonts w:asciiTheme="majorHAnsi" w:hAnsiTheme="majorHAnsi" w:cstheme="majorHAnsi"/>
          <w:i/>
          <w:iCs/>
          <w:color w:val="44546A" w:themeColor="text2"/>
          <w:sz w:val="22"/>
          <w:szCs w:val="22"/>
        </w:rPr>
        <w:instrText xml:space="preserve"> SEQ Table \* ARABIC </w:instrText>
      </w:r>
      <w:r w:rsidRPr="00DD6E21">
        <w:rPr>
          <w:rFonts w:asciiTheme="majorHAnsi" w:hAnsiTheme="majorHAnsi" w:cstheme="majorHAnsi"/>
          <w:i/>
          <w:iCs/>
          <w:color w:val="44546A" w:themeColor="text2"/>
          <w:sz w:val="22"/>
          <w:szCs w:val="22"/>
        </w:rPr>
        <w:fldChar w:fldCharType="separate"/>
      </w:r>
      <w:r w:rsidR="00D6133D">
        <w:rPr>
          <w:rFonts w:asciiTheme="majorHAnsi" w:hAnsiTheme="majorHAnsi" w:cstheme="majorHAnsi"/>
          <w:i/>
          <w:iCs/>
          <w:noProof/>
          <w:color w:val="44546A" w:themeColor="text2"/>
          <w:sz w:val="22"/>
          <w:szCs w:val="22"/>
        </w:rPr>
        <w:t>13</w:t>
      </w:r>
      <w:r w:rsidRPr="00DD6E21">
        <w:rPr>
          <w:rFonts w:asciiTheme="majorHAnsi" w:hAnsiTheme="majorHAnsi" w:cstheme="majorHAnsi"/>
          <w:i/>
          <w:iCs/>
          <w:color w:val="44546A" w:themeColor="text2"/>
          <w:sz w:val="22"/>
          <w:szCs w:val="22"/>
        </w:rPr>
        <w:fldChar w:fldCharType="end"/>
      </w:r>
      <w:r w:rsidRPr="00DD6E21">
        <w:rPr>
          <w:rFonts w:asciiTheme="majorHAnsi" w:hAnsiTheme="majorHAnsi" w:cstheme="majorHAnsi"/>
          <w:i/>
          <w:iCs/>
          <w:color w:val="44546A" w:themeColor="text2"/>
          <w:sz w:val="22"/>
          <w:szCs w:val="22"/>
        </w:rPr>
        <w:t>.</w:t>
      </w:r>
      <w:r w:rsidR="00D434EB">
        <w:rPr>
          <w:rFonts w:asciiTheme="majorHAnsi" w:hAnsiTheme="majorHAnsi" w:cstheme="majorHAnsi"/>
          <w:bCs/>
          <w:i/>
          <w:iCs/>
          <w:color w:val="44546A" w:themeColor="text2"/>
          <w:sz w:val="22"/>
          <w:szCs w:val="22"/>
        </w:rPr>
        <w:t xml:space="preserve"> </w:t>
      </w:r>
      <w:r w:rsidRPr="00DD6E21">
        <w:rPr>
          <w:rFonts w:asciiTheme="majorHAnsi" w:hAnsiTheme="majorHAnsi" w:cstheme="majorHAnsi"/>
          <w:bCs/>
          <w:i/>
          <w:iCs/>
          <w:color w:val="44546A" w:themeColor="text2"/>
          <w:sz w:val="22"/>
          <w:szCs w:val="22"/>
        </w:rPr>
        <w:t xml:space="preserve">Principals, and Teachers, Perceptions on </w:t>
      </w:r>
      <w:r w:rsidRPr="00DD6E21">
        <w:rPr>
          <w:rFonts w:asciiTheme="majorHAnsi" w:hAnsiTheme="majorHAnsi" w:cstheme="majorHAnsi"/>
          <w:i/>
          <w:iCs/>
          <w:color w:val="44546A" w:themeColor="text2"/>
          <w:sz w:val="22"/>
          <w:szCs w:val="22"/>
        </w:rPr>
        <w:t>DO No. 42, s. 2017</w:t>
      </w:r>
      <w:bookmarkEnd w:id="97"/>
      <w:r w:rsidR="00EF19F0">
        <w:rPr>
          <w:rFonts w:asciiTheme="majorHAnsi" w:hAnsiTheme="majorHAnsi" w:cstheme="majorHAnsi"/>
          <w:i/>
          <w:iCs/>
          <w:color w:val="44546A" w:themeColor="text2"/>
          <w:sz w:val="22"/>
          <w:szCs w:val="22"/>
        </w:rPr>
        <w:t xml:space="preserve"> </w:t>
      </w:r>
      <w:r w:rsidR="00EF19F0" w:rsidRPr="00EF19F0">
        <w:rPr>
          <w:rFonts w:asciiTheme="majorHAnsi" w:hAnsiTheme="majorHAnsi" w:cstheme="majorHAnsi"/>
          <w:i/>
          <w:iCs/>
          <w:color w:val="44546A" w:themeColor="text2"/>
          <w:sz w:val="22"/>
          <w:szCs w:val="22"/>
        </w:rPr>
        <w:t>“National Adoption and Implementation of the Philippine Professional Standards for Teachers</w:t>
      </w:r>
    </w:p>
    <w:tbl>
      <w:tblPr>
        <w:tblStyle w:val="TableGrid"/>
        <w:tblpPr w:leftFromText="180" w:rightFromText="180" w:vertAnchor="text" w:tblpY="140"/>
        <w:tblW w:w="0" w:type="auto"/>
        <w:tblLayout w:type="fixed"/>
        <w:tblLook w:val="04A0" w:firstRow="1" w:lastRow="0" w:firstColumn="1" w:lastColumn="0" w:noHBand="0" w:noVBand="1"/>
      </w:tblPr>
      <w:tblGrid>
        <w:gridCol w:w="1571"/>
        <w:gridCol w:w="1484"/>
        <w:gridCol w:w="1484"/>
        <w:gridCol w:w="1484"/>
        <w:gridCol w:w="1485"/>
      </w:tblGrid>
      <w:tr w:rsidR="00717132" w:rsidRPr="00020D54" w14:paraId="622509DC" w14:textId="77777777" w:rsidTr="00F4751F">
        <w:trPr>
          <w:trHeight w:val="269"/>
          <w:tblHeader/>
        </w:trPr>
        <w:tc>
          <w:tcPr>
            <w:tcW w:w="1571" w:type="dxa"/>
          </w:tcPr>
          <w:p w14:paraId="4A15B9AA" w14:textId="77777777" w:rsidR="00717132" w:rsidRPr="00020D54" w:rsidRDefault="00717132" w:rsidP="007C1A2E">
            <w:pPr>
              <w:spacing w:before="100" w:beforeAutospacing="1" w:after="100" w:afterAutospacing="1" w:line="360" w:lineRule="auto"/>
              <w:rPr>
                <w:rFonts w:asciiTheme="majorHAnsi" w:hAnsiTheme="majorHAnsi" w:cstheme="majorHAnsi"/>
                <w:color w:val="000000" w:themeColor="text1"/>
                <w:sz w:val="16"/>
                <w:szCs w:val="16"/>
              </w:rPr>
            </w:pPr>
          </w:p>
        </w:tc>
        <w:tc>
          <w:tcPr>
            <w:tcW w:w="1484" w:type="dxa"/>
          </w:tcPr>
          <w:p w14:paraId="3E809509" w14:textId="77777777" w:rsidR="00717132" w:rsidRPr="00020D54" w:rsidRDefault="00717132" w:rsidP="007C1A2E">
            <w:pPr>
              <w:spacing w:before="100" w:beforeAutospacing="1" w:after="100" w:afterAutospacing="1" w:line="360" w:lineRule="auto"/>
              <w:rPr>
                <w:rFonts w:asciiTheme="majorHAnsi" w:hAnsiTheme="majorHAnsi" w:cstheme="majorHAnsi"/>
                <w:b/>
                <w:bCs/>
                <w:color w:val="000000" w:themeColor="text1"/>
                <w:sz w:val="16"/>
                <w:szCs w:val="16"/>
              </w:rPr>
            </w:pPr>
            <w:r w:rsidRPr="00020D54">
              <w:rPr>
                <w:rFonts w:asciiTheme="majorHAnsi" w:hAnsiTheme="majorHAnsi" w:cstheme="majorHAnsi"/>
                <w:b/>
                <w:bCs/>
                <w:color w:val="000000" w:themeColor="text1"/>
                <w:sz w:val="16"/>
                <w:szCs w:val="16"/>
              </w:rPr>
              <w:t>% Sufficient knowledge</w:t>
            </w:r>
          </w:p>
        </w:tc>
        <w:tc>
          <w:tcPr>
            <w:tcW w:w="1484" w:type="dxa"/>
          </w:tcPr>
          <w:p w14:paraId="65E251C9" w14:textId="77777777" w:rsidR="00717132" w:rsidRPr="00020D54" w:rsidRDefault="00717132" w:rsidP="007C1A2E">
            <w:pPr>
              <w:spacing w:before="100" w:beforeAutospacing="1" w:after="100" w:afterAutospacing="1" w:line="360" w:lineRule="auto"/>
              <w:rPr>
                <w:rFonts w:asciiTheme="majorHAnsi" w:hAnsiTheme="majorHAnsi" w:cstheme="majorHAnsi"/>
                <w:b/>
                <w:bCs/>
                <w:color w:val="000000" w:themeColor="text1"/>
                <w:sz w:val="16"/>
                <w:szCs w:val="16"/>
              </w:rPr>
            </w:pPr>
            <w:r w:rsidRPr="00020D54">
              <w:rPr>
                <w:rFonts w:asciiTheme="majorHAnsi" w:hAnsiTheme="majorHAnsi" w:cstheme="majorHAnsi"/>
                <w:b/>
                <w:bCs/>
                <w:color w:val="000000" w:themeColor="text1"/>
                <w:sz w:val="16"/>
                <w:szCs w:val="16"/>
              </w:rPr>
              <w:t>% Comprehensive knowledge</w:t>
            </w:r>
          </w:p>
        </w:tc>
        <w:tc>
          <w:tcPr>
            <w:tcW w:w="1484" w:type="dxa"/>
          </w:tcPr>
          <w:p w14:paraId="36686BDB" w14:textId="77777777" w:rsidR="00717132" w:rsidRPr="00020D54" w:rsidRDefault="00717132" w:rsidP="007C1A2E">
            <w:pPr>
              <w:spacing w:before="100" w:beforeAutospacing="1" w:after="100" w:afterAutospacing="1" w:line="360" w:lineRule="auto"/>
              <w:rPr>
                <w:rFonts w:asciiTheme="majorHAnsi" w:hAnsiTheme="majorHAnsi" w:cstheme="majorHAnsi"/>
                <w:b/>
                <w:bCs/>
                <w:color w:val="000000" w:themeColor="text1"/>
                <w:sz w:val="16"/>
                <w:szCs w:val="16"/>
              </w:rPr>
            </w:pPr>
            <w:r w:rsidRPr="00020D54">
              <w:rPr>
                <w:rFonts w:asciiTheme="majorHAnsi" w:hAnsiTheme="majorHAnsi" w:cstheme="majorHAnsi"/>
                <w:b/>
                <w:bCs/>
                <w:color w:val="000000" w:themeColor="text1"/>
                <w:sz w:val="16"/>
                <w:szCs w:val="16"/>
              </w:rPr>
              <w:t>% Sufficiently useful</w:t>
            </w:r>
          </w:p>
        </w:tc>
        <w:tc>
          <w:tcPr>
            <w:tcW w:w="1485" w:type="dxa"/>
          </w:tcPr>
          <w:p w14:paraId="5EFE703F" w14:textId="77777777" w:rsidR="00717132" w:rsidRPr="00020D54" w:rsidRDefault="00717132" w:rsidP="007C1A2E">
            <w:pPr>
              <w:spacing w:before="100" w:beforeAutospacing="1" w:after="100" w:afterAutospacing="1" w:line="360" w:lineRule="auto"/>
              <w:rPr>
                <w:rFonts w:asciiTheme="majorHAnsi" w:hAnsiTheme="majorHAnsi" w:cstheme="majorHAnsi"/>
                <w:b/>
                <w:bCs/>
                <w:color w:val="000000" w:themeColor="text1"/>
                <w:sz w:val="16"/>
                <w:szCs w:val="16"/>
              </w:rPr>
            </w:pPr>
            <w:r w:rsidRPr="00020D54">
              <w:rPr>
                <w:rFonts w:asciiTheme="majorHAnsi" w:hAnsiTheme="majorHAnsi" w:cstheme="majorHAnsi"/>
                <w:b/>
                <w:bCs/>
                <w:color w:val="000000" w:themeColor="text1"/>
                <w:sz w:val="16"/>
                <w:szCs w:val="16"/>
              </w:rPr>
              <w:t>% Extremely useful</w:t>
            </w:r>
          </w:p>
        </w:tc>
      </w:tr>
      <w:tr w:rsidR="00717132" w:rsidRPr="00020D54" w14:paraId="6628439C" w14:textId="77777777" w:rsidTr="00EF19F0">
        <w:trPr>
          <w:trHeight w:val="80"/>
        </w:trPr>
        <w:tc>
          <w:tcPr>
            <w:tcW w:w="1571" w:type="dxa"/>
            <w:shd w:val="clear" w:color="auto" w:fill="BFBFBF" w:themeFill="background1" w:themeFillShade="BF"/>
          </w:tcPr>
          <w:p w14:paraId="41F8291E" w14:textId="77777777" w:rsidR="00717132" w:rsidRPr="00020D54" w:rsidRDefault="00717132" w:rsidP="007C1A2E">
            <w:pPr>
              <w:spacing w:before="100" w:beforeAutospacing="1" w:after="100" w:afterAutospacing="1" w:line="360" w:lineRule="auto"/>
              <w:rPr>
                <w:rFonts w:asciiTheme="majorHAnsi" w:hAnsiTheme="majorHAnsi" w:cstheme="majorHAnsi"/>
                <w:color w:val="000000" w:themeColor="text1"/>
                <w:sz w:val="16"/>
                <w:szCs w:val="16"/>
              </w:rPr>
            </w:pPr>
            <w:r w:rsidRPr="00020D54">
              <w:rPr>
                <w:rFonts w:asciiTheme="majorHAnsi" w:hAnsiTheme="majorHAnsi" w:cstheme="majorHAnsi"/>
                <w:color w:val="000000" w:themeColor="text1"/>
                <w:sz w:val="16"/>
                <w:szCs w:val="16"/>
              </w:rPr>
              <w:t>Main Study*</w:t>
            </w:r>
          </w:p>
        </w:tc>
        <w:tc>
          <w:tcPr>
            <w:tcW w:w="1484" w:type="dxa"/>
            <w:shd w:val="clear" w:color="auto" w:fill="BFBFBF" w:themeFill="background1" w:themeFillShade="BF"/>
          </w:tcPr>
          <w:p w14:paraId="684E48D3" w14:textId="77777777" w:rsidR="00717132" w:rsidRPr="00020D54" w:rsidRDefault="00717132" w:rsidP="007C1A2E">
            <w:pPr>
              <w:spacing w:before="100" w:beforeAutospacing="1" w:after="100" w:afterAutospacing="1" w:line="360" w:lineRule="auto"/>
              <w:rPr>
                <w:rFonts w:asciiTheme="majorHAnsi" w:hAnsiTheme="majorHAnsi" w:cstheme="majorHAnsi"/>
                <w:color w:val="000000" w:themeColor="text1"/>
                <w:sz w:val="16"/>
                <w:szCs w:val="16"/>
              </w:rPr>
            </w:pPr>
          </w:p>
        </w:tc>
        <w:tc>
          <w:tcPr>
            <w:tcW w:w="1484" w:type="dxa"/>
            <w:shd w:val="clear" w:color="auto" w:fill="BFBFBF" w:themeFill="background1" w:themeFillShade="BF"/>
          </w:tcPr>
          <w:p w14:paraId="1E4CBA32" w14:textId="77777777" w:rsidR="00717132" w:rsidRPr="00020D54" w:rsidRDefault="00717132" w:rsidP="007C1A2E">
            <w:pPr>
              <w:spacing w:before="100" w:beforeAutospacing="1" w:after="100" w:afterAutospacing="1" w:line="360" w:lineRule="auto"/>
              <w:rPr>
                <w:rFonts w:asciiTheme="majorHAnsi" w:hAnsiTheme="majorHAnsi" w:cstheme="majorHAnsi"/>
                <w:color w:val="000000" w:themeColor="text1"/>
                <w:sz w:val="16"/>
                <w:szCs w:val="16"/>
              </w:rPr>
            </w:pPr>
          </w:p>
        </w:tc>
        <w:tc>
          <w:tcPr>
            <w:tcW w:w="1484" w:type="dxa"/>
            <w:shd w:val="clear" w:color="auto" w:fill="BFBFBF" w:themeFill="background1" w:themeFillShade="BF"/>
          </w:tcPr>
          <w:p w14:paraId="008FC717" w14:textId="77777777" w:rsidR="00717132" w:rsidRPr="00020D54" w:rsidRDefault="00717132" w:rsidP="007C1A2E">
            <w:pPr>
              <w:spacing w:before="100" w:beforeAutospacing="1" w:after="100" w:afterAutospacing="1" w:line="360" w:lineRule="auto"/>
              <w:rPr>
                <w:rFonts w:asciiTheme="majorHAnsi" w:hAnsiTheme="majorHAnsi" w:cstheme="majorHAnsi"/>
                <w:color w:val="000000" w:themeColor="text1"/>
                <w:sz w:val="16"/>
                <w:szCs w:val="16"/>
              </w:rPr>
            </w:pPr>
          </w:p>
        </w:tc>
        <w:tc>
          <w:tcPr>
            <w:tcW w:w="1485" w:type="dxa"/>
            <w:shd w:val="clear" w:color="auto" w:fill="BFBFBF" w:themeFill="background1" w:themeFillShade="BF"/>
          </w:tcPr>
          <w:p w14:paraId="26D5764E" w14:textId="77777777" w:rsidR="00717132" w:rsidRPr="00020D54" w:rsidRDefault="00717132" w:rsidP="007C1A2E">
            <w:pPr>
              <w:spacing w:before="100" w:beforeAutospacing="1" w:after="100" w:afterAutospacing="1" w:line="360" w:lineRule="auto"/>
              <w:rPr>
                <w:rFonts w:asciiTheme="majorHAnsi" w:hAnsiTheme="majorHAnsi" w:cstheme="majorHAnsi"/>
                <w:color w:val="000000" w:themeColor="text1"/>
                <w:sz w:val="16"/>
                <w:szCs w:val="16"/>
              </w:rPr>
            </w:pPr>
          </w:p>
        </w:tc>
      </w:tr>
      <w:tr w:rsidR="00717132" w:rsidRPr="00020D54" w14:paraId="3C3D2BCB" w14:textId="77777777" w:rsidTr="00EF19F0">
        <w:trPr>
          <w:trHeight w:val="36"/>
        </w:trPr>
        <w:tc>
          <w:tcPr>
            <w:tcW w:w="1571" w:type="dxa"/>
          </w:tcPr>
          <w:p w14:paraId="31B6A2A2" w14:textId="77777777" w:rsidR="00717132" w:rsidRPr="00020D54" w:rsidRDefault="00717132" w:rsidP="007C1A2E">
            <w:pPr>
              <w:spacing w:before="100" w:beforeAutospacing="1" w:after="100" w:afterAutospacing="1" w:line="360" w:lineRule="auto"/>
              <w:rPr>
                <w:rFonts w:asciiTheme="majorHAnsi" w:hAnsiTheme="majorHAnsi" w:cstheme="majorHAnsi"/>
                <w:color w:val="000000" w:themeColor="text1"/>
                <w:sz w:val="16"/>
                <w:szCs w:val="16"/>
              </w:rPr>
            </w:pPr>
            <w:r w:rsidRPr="00020D54">
              <w:rPr>
                <w:rFonts w:asciiTheme="majorHAnsi" w:hAnsiTheme="majorHAnsi" w:cstheme="majorHAnsi"/>
                <w:color w:val="000000" w:themeColor="text1"/>
                <w:sz w:val="16"/>
                <w:szCs w:val="16"/>
              </w:rPr>
              <w:t>PSHs (n=26)</w:t>
            </w:r>
          </w:p>
        </w:tc>
        <w:tc>
          <w:tcPr>
            <w:tcW w:w="1484" w:type="dxa"/>
          </w:tcPr>
          <w:p w14:paraId="4689F2AC" w14:textId="77777777" w:rsidR="00717132" w:rsidRPr="00020D54" w:rsidRDefault="00717132" w:rsidP="007C1A2E">
            <w:pPr>
              <w:spacing w:before="100" w:beforeAutospacing="1" w:after="100" w:afterAutospacing="1" w:line="360" w:lineRule="auto"/>
              <w:rPr>
                <w:rFonts w:asciiTheme="majorHAnsi" w:hAnsiTheme="majorHAnsi" w:cstheme="majorHAnsi"/>
                <w:color w:val="000000" w:themeColor="text1"/>
                <w:sz w:val="16"/>
                <w:szCs w:val="16"/>
              </w:rPr>
            </w:pPr>
            <w:r w:rsidRPr="00020D54">
              <w:rPr>
                <w:rFonts w:asciiTheme="majorHAnsi" w:hAnsiTheme="majorHAnsi" w:cstheme="majorHAnsi"/>
                <w:color w:val="000000" w:themeColor="text1"/>
                <w:sz w:val="16"/>
                <w:szCs w:val="16"/>
              </w:rPr>
              <w:t>46%</w:t>
            </w:r>
          </w:p>
        </w:tc>
        <w:tc>
          <w:tcPr>
            <w:tcW w:w="1484" w:type="dxa"/>
          </w:tcPr>
          <w:p w14:paraId="352F97D0" w14:textId="77777777" w:rsidR="00717132" w:rsidRPr="00020D54" w:rsidRDefault="00717132" w:rsidP="007C1A2E">
            <w:pPr>
              <w:spacing w:before="100" w:beforeAutospacing="1" w:after="100" w:afterAutospacing="1" w:line="360" w:lineRule="auto"/>
              <w:rPr>
                <w:rFonts w:asciiTheme="majorHAnsi" w:hAnsiTheme="majorHAnsi" w:cstheme="majorHAnsi"/>
                <w:color w:val="000000" w:themeColor="text1"/>
                <w:sz w:val="16"/>
                <w:szCs w:val="16"/>
              </w:rPr>
            </w:pPr>
            <w:r w:rsidRPr="00020D54">
              <w:rPr>
                <w:rFonts w:asciiTheme="majorHAnsi" w:hAnsiTheme="majorHAnsi" w:cstheme="majorHAnsi"/>
                <w:color w:val="000000" w:themeColor="text1"/>
                <w:sz w:val="16"/>
                <w:szCs w:val="16"/>
              </w:rPr>
              <w:t>50%</w:t>
            </w:r>
          </w:p>
        </w:tc>
        <w:tc>
          <w:tcPr>
            <w:tcW w:w="1484" w:type="dxa"/>
          </w:tcPr>
          <w:p w14:paraId="7DDFCC8B" w14:textId="77777777" w:rsidR="00717132" w:rsidRPr="00020D54" w:rsidRDefault="00717132" w:rsidP="007C1A2E">
            <w:pPr>
              <w:spacing w:before="100" w:beforeAutospacing="1" w:after="100" w:afterAutospacing="1" w:line="360" w:lineRule="auto"/>
              <w:rPr>
                <w:rFonts w:asciiTheme="majorHAnsi" w:hAnsiTheme="majorHAnsi" w:cstheme="majorHAnsi"/>
                <w:color w:val="000000" w:themeColor="text1"/>
                <w:sz w:val="16"/>
                <w:szCs w:val="16"/>
              </w:rPr>
            </w:pPr>
            <w:r w:rsidRPr="00020D54">
              <w:rPr>
                <w:rFonts w:asciiTheme="majorHAnsi" w:hAnsiTheme="majorHAnsi" w:cstheme="majorHAnsi"/>
                <w:color w:val="000000" w:themeColor="text1"/>
                <w:sz w:val="16"/>
                <w:szCs w:val="16"/>
              </w:rPr>
              <w:t>46%</w:t>
            </w:r>
          </w:p>
        </w:tc>
        <w:tc>
          <w:tcPr>
            <w:tcW w:w="1485" w:type="dxa"/>
          </w:tcPr>
          <w:p w14:paraId="0DB6E35D" w14:textId="77777777" w:rsidR="00717132" w:rsidRPr="00020D54" w:rsidRDefault="00717132" w:rsidP="007C1A2E">
            <w:pPr>
              <w:spacing w:before="100" w:beforeAutospacing="1" w:after="100" w:afterAutospacing="1" w:line="360" w:lineRule="auto"/>
              <w:rPr>
                <w:rFonts w:asciiTheme="majorHAnsi" w:hAnsiTheme="majorHAnsi" w:cstheme="majorHAnsi"/>
                <w:color w:val="000000" w:themeColor="text1"/>
                <w:sz w:val="16"/>
                <w:szCs w:val="16"/>
              </w:rPr>
            </w:pPr>
            <w:r w:rsidRPr="00020D54">
              <w:rPr>
                <w:rFonts w:asciiTheme="majorHAnsi" w:hAnsiTheme="majorHAnsi" w:cstheme="majorHAnsi"/>
                <w:color w:val="000000" w:themeColor="text1"/>
                <w:sz w:val="16"/>
                <w:szCs w:val="16"/>
              </w:rPr>
              <w:t>38%</w:t>
            </w:r>
          </w:p>
        </w:tc>
      </w:tr>
      <w:tr w:rsidR="00717132" w:rsidRPr="00020D54" w14:paraId="197480B7" w14:textId="77777777" w:rsidTr="00EF19F0">
        <w:trPr>
          <w:trHeight w:val="182"/>
        </w:trPr>
        <w:tc>
          <w:tcPr>
            <w:tcW w:w="1571" w:type="dxa"/>
          </w:tcPr>
          <w:p w14:paraId="11C5EFC1" w14:textId="77777777" w:rsidR="00717132" w:rsidRPr="00020D54" w:rsidRDefault="00717132" w:rsidP="007C1A2E">
            <w:pPr>
              <w:spacing w:before="100" w:beforeAutospacing="1" w:after="100" w:afterAutospacing="1" w:line="360" w:lineRule="auto"/>
              <w:rPr>
                <w:rFonts w:asciiTheme="majorHAnsi" w:hAnsiTheme="majorHAnsi" w:cstheme="majorHAnsi"/>
                <w:color w:val="000000" w:themeColor="text1"/>
                <w:sz w:val="16"/>
                <w:szCs w:val="16"/>
              </w:rPr>
            </w:pPr>
            <w:r w:rsidRPr="00020D54">
              <w:rPr>
                <w:rFonts w:asciiTheme="majorHAnsi" w:hAnsiTheme="majorHAnsi" w:cstheme="majorHAnsi"/>
                <w:color w:val="000000" w:themeColor="text1"/>
                <w:sz w:val="16"/>
                <w:szCs w:val="16"/>
              </w:rPr>
              <w:t>Teachers (n=107)</w:t>
            </w:r>
          </w:p>
        </w:tc>
        <w:tc>
          <w:tcPr>
            <w:tcW w:w="1484" w:type="dxa"/>
          </w:tcPr>
          <w:p w14:paraId="718B6CE4" w14:textId="77777777" w:rsidR="00717132" w:rsidRPr="00020D54" w:rsidRDefault="00717132" w:rsidP="007C1A2E">
            <w:pPr>
              <w:spacing w:before="100" w:beforeAutospacing="1" w:after="100" w:afterAutospacing="1" w:line="360" w:lineRule="auto"/>
              <w:rPr>
                <w:rFonts w:asciiTheme="majorHAnsi" w:hAnsiTheme="majorHAnsi" w:cstheme="majorHAnsi"/>
                <w:color w:val="000000" w:themeColor="text1"/>
                <w:sz w:val="16"/>
                <w:szCs w:val="16"/>
              </w:rPr>
            </w:pPr>
            <w:r w:rsidRPr="00020D54">
              <w:rPr>
                <w:rFonts w:asciiTheme="majorHAnsi" w:hAnsiTheme="majorHAnsi" w:cstheme="majorHAnsi"/>
                <w:color w:val="000000" w:themeColor="text1"/>
                <w:sz w:val="16"/>
                <w:szCs w:val="16"/>
              </w:rPr>
              <w:t>52%</w:t>
            </w:r>
          </w:p>
        </w:tc>
        <w:tc>
          <w:tcPr>
            <w:tcW w:w="1484" w:type="dxa"/>
          </w:tcPr>
          <w:p w14:paraId="0CDD665C" w14:textId="77777777" w:rsidR="00717132" w:rsidRPr="00020D54" w:rsidRDefault="00717132" w:rsidP="007C1A2E">
            <w:pPr>
              <w:spacing w:before="100" w:beforeAutospacing="1" w:after="100" w:afterAutospacing="1" w:line="360" w:lineRule="auto"/>
              <w:rPr>
                <w:rFonts w:asciiTheme="majorHAnsi" w:hAnsiTheme="majorHAnsi" w:cstheme="majorHAnsi"/>
                <w:color w:val="000000" w:themeColor="text1"/>
                <w:sz w:val="16"/>
                <w:szCs w:val="16"/>
              </w:rPr>
            </w:pPr>
            <w:r w:rsidRPr="00020D54">
              <w:rPr>
                <w:rFonts w:asciiTheme="majorHAnsi" w:hAnsiTheme="majorHAnsi" w:cstheme="majorHAnsi"/>
                <w:color w:val="000000" w:themeColor="text1"/>
                <w:sz w:val="16"/>
                <w:szCs w:val="16"/>
              </w:rPr>
              <w:t>14%</w:t>
            </w:r>
          </w:p>
        </w:tc>
        <w:tc>
          <w:tcPr>
            <w:tcW w:w="1484" w:type="dxa"/>
          </w:tcPr>
          <w:p w14:paraId="24AC90E5" w14:textId="77777777" w:rsidR="00717132" w:rsidRPr="00020D54" w:rsidRDefault="00717132" w:rsidP="007C1A2E">
            <w:pPr>
              <w:spacing w:before="100" w:beforeAutospacing="1" w:after="100" w:afterAutospacing="1" w:line="360" w:lineRule="auto"/>
              <w:rPr>
                <w:rFonts w:asciiTheme="majorHAnsi" w:hAnsiTheme="majorHAnsi" w:cstheme="majorHAnsi"/>
                <w:color w:val="000000" w:themeColor="text1"/>
                <w:sz w:val="16"/>
                <w:szCs w:val="16"/>
              </w:rPr>
            </w:pPr>
            <w:r w:rsidRPr="00020D54">
              <w:rPr>
                <w:rFonts w:asciiTheme="majorHAnsi" w:hAnsiTheme="majorHAnsi" w:cstheme="majorHAnsi"/>
                <w:color w:val="000000" w:themeColor="text1"/>
                <w:sz w:val="16"/>
                <w:szCs w:val="16"/>
              </w:rPr>
              <w:t>42%</w:t>
            </w:r>
          </w:p>
        </w:tc>
        <w:tc>
          <w:tcPr>
            <w:tcW w:w="1485" w:type="dxa"/>
          </w:tcPr>
          <w:p w14:paraId="0B3F60E2" w14:textId="77777777" w:rsidR="00717132" w:rsidRPr="00020D54" w:rsidRDefault="00717132" w:rsidP="007C1A2E">
            <w:pPr>
              <w:spacing w:before="100" w:beforeAutospacing="1" w:after="100" w:afterAutospacing="1" w:line="360" w:lineRule="auto"/>
              <w:rPr>
                <w:rFonts w:asciiTheme="majorHAnsi" w:hAnsiTheme="majorHAnsi" w:cstheme="majorHAnsi"/>
                <w:color w:val="000000" w:themeColor="text1"/>
                <w:sz w:val="16"/>
                <w:szCs w:val="16"/>
              </w:rPr>
            </w:pPr>
            <w:r w:rsidRPr="00020D54">
              <w:rPr>
                <w:rFonts w:asciiTheme="majorHAnsi" w:hAnsiTheme="majorHAnsi" w:cstheme="majorHAnsi"/>
                <w:color w:val="000000" w:themeColor="text1"/>
                <w:sz w:val="16"/>
                <w:szCs w:val="16"/>
              </w:rPr>
              <w:t>25%</w:t>
            </w:r>
          </w:p>
        </w:tc>
      </w:tr>
      <w:tr w:rsidR="00717132" w:rsidRPr="00020D54" w14:paraId="314DB28D" w14:textId="77777777" w:rsidTr="00EF19F0">
        <w:trPr>
          <w:trHeight w:val="166"/>
        </w:trPr>
        <w:tc>
          <w:tcPr>
            <w:tcW w:w="1571" w:type="dxa"/>
            <w:shd w:val="clear" w:color="auto" w:fill="BFBFBF" w:themeFill="background1" w:themeFillShade="BF"/>
          </w:tcPr>
          <w:p w14:paraId="257AB251" w14:textId="77777777" w:rsidR="00717132" w:rsidRPr="00020D54" w:rsidRDefault="00717132" w:rsidP="007C1A2E">
            <w:pPr>
              <w:spacing w:before="100" w:beforeAutospacing="1" w:after="100" w:afterAutospacing="1" w:line="360" w:lineRule="auto"/>
              <w:rPr>
                <w:rFonts w:asciiTheme="majorHAnsi" w:hAnsiTheme="majorHAnsi" w:cstheme="majorHAnsi"/>
                <w:color w:val="000000" w:themeColor="text1"/>
                <w:sz w:val="16"/>
                <w:szCs w:val="16"/>
              </w:rPr>
            </w:pPr>
            <w:r w:rsidRPr="00020D54">
              <w:rPr>
                <w:rFonts w:asciiTheme="majorHAnsi" w:hAnsiTheme="majorHAnsi" w:cstheme="majorHAnsi"/>
                <w:color w:val="000000" w:themeColor="text1"/>
                <w:sz w:val="16"/>
                <w:szCs w:val="16"/>
              </w:rPr>
              <w:t>Follow-Up Study **</w:t>
            </w:r>
          </w:p>
        </w:tc>
        <w:tc>
          <w:tcPr>
            <w:tcW w:w="1484" w:type="dxa"/>
            <w:shd w:val="clear" w:color="auto" w:fill="BFBFBF" w:themeFill="background1" w:themeFillShade="BF"/>
          </w:tcPr>
          <w:p w14:paraId="6F178BFD" w14:textId="77777777" w:rsidR="00717132" w:rsidRPr="00020D54" w:rsidRDefault="00717132" w:rsidP="007C1A2E">
            <w:pPr>
              <w:spacing w:before="100" w:beforeAutospacing="1" w:after="100" w:afterAutospacing="1" w:line="360" w:lineRule="auto"/>
              <w:rPr>
                <w:rFonts w:asciiTheme="majorHAnsi" w:hAnsiTheme="majorHAnsi" w:cstheme="majorHAnsi"/>
                <w:color w:val="000000" w:themeColor="text1"/>
                <w:sz w:val="16"/>
                <w:szCs w:val="16"/>
              </w:rPr>
            </w:pPr>
          </w:p>
        </w:tc>
        <w:tc>
          <w:tcPr>
            <w:tcW w:w="1484" w:type="dxa"/>
            <w:shd w:val="clear" w:color="auto" w:fill="BFBFBF" w:themeFill="background1" w:themeFillShade="BF"/>
          </w:tcPr>
          <w:p w14:paraId="75625C72" w14:textId="77777777" w:rsidR="00717132" w:rsidRPr="00020D54" w:rsidRDefault="00717132" w:rsidP="007C1A2E">
            <w:pPr>
              <w:spacing w:before="100" w:beforeAutospacing="1" w:after="100" w:afterAutospacing="1" w:line="360" w:lineRule="auto"/>
              <w:rPr>
                <w:rFonts w:asciiTheme="majorHAnsi" w:hAnsiTheme="majorHAnsi" w:cstheme="majorHAnsi"/>
                <w:color w:val="000000" w:themeColor="text1"/>
                <w:sz w:val="16"/>
                <w:szCs w:val="16"/>
              </w:rPr>
            </w:pPr>
          </w:p>
        </w:tc>
        <w:tc>
          <w:tcPr>
            <w:tcW w:w="1484" w:type="dxa"/>
            <w:shd w:val="clear" w:color="auto" w:fill="BFBFBF" w:themeFill="background1" w:themeFillShade="BF"/>
          </w:tcPr>
          <w:p w14:paraId="59818536" w14:textId="77777777" w:rsidR="00717132" w:rsidRPr="00020D54" w:rsidRDefault="00717132" w:rsidP="007C1A2E">
            <w:pPr>
              <w:spacing w:before="100" w:beforeAutospacing="1" w:after="100" w:afterAutospacing="1" w:line="360" w:lineRule="auto"/>
              <w:rPr>
                <w:rFonts w:asciiTheme="majorHAnsi" w:hAnsiTheme="majorHAnsi" w:cstheme="majorHAnsi"/>
                <w:color w:val="000000" w:themeColor="text1"/>
                <w:sz w:val="16"/>
                <w:szCs w:val="16"/>
              </w:rPr>
            </w:pPr>
          </w:p>
        </w:tc>
        <w:tc>
          <w:tcPr>
            <w:tcW w:w="1485" w:type="dxa"/>
            <w:shd w:val="clear" w:color="auto" w:fill="BFBFBF" w:themeFill="background1" w:themeFillShade="BF"/>
          </w:tcPr>
          <w:p w14:paraId="58E055F0" w14:textId="77777777" w:rsidR="00717132" w:rsidRPr="00020D54" w:rsidRDefault="00717132" w:rsidP="007C1A2E">
            <w:pPr>
              <w:spacing w:before="100" w:beforeAutospacing="1" w:after="100" w:afterAutospacing="1" w:line="360" w:lineRule="auto"/>
              <w:rPr>
                <w:rFonts w:asciiTheme="majorHAnsi" w:hAnsiTheme="majorHAnsi" w:cstheme="majorHAnsi"/>
                <w:color w:val="000000" w:themeColor="text1"/>
                <w:sz w:val="16"/>
                <w:szCs w:val="16"/>
              </w:rPr>
            </w:pPr>
          </w:p>
        </w:tc>
      </w:tr>
      <w:tr w:rsidR="00717132" w:rsidRPr="00020D54" w14:paraId="0C435C04" w14:textId="77777777" w:rsidTr="00EF19F0">
        <w:trPr>
          <w:trHeight w:val="66"/>
        </w:trPr>
        <w:tc>
          <w:tcPr>
            <w:tcW w:w="1571" w:type="dxa"/>
          </w:tcPr>
          <w:p w14:paraId="0CC7A750" w14:textId="77777777" w:rsidR="00717132" w:rsidRPr="00020D54" w:rsidRDefault="00717132" w:rsidP="007C1A2E">
            <w:pPr>
              <w:spacing w:before="100" w:beforeAutospacing="1" w:after="100" w:afterAutospacing="1" w:line="360" w:lineRule="auto"/>
              <w:rPr>
                <w:rFonts w:asciiTheme="majorHAnsi" w:hAnsiTheme="majorHAnsi" w:cstheme="majorHAnsi"/>
                <w:color w:val="000000" w:themeColor="text1"/>
                <w:sz w:val="16"/>
                <w:szCs w:val="16"/>
              </w:rPr>
            </w:pPr>
            <w:r w:rsidRPr="00020D54">
              <w:rPr>
                <w:rFonts w:asciiTheme="majorHAnsi" w:hAnsiTheme="majorHAnsi" w:cstheme="majorHAnsi"/>
                <w:color w:val="000000" w:themeColor="text1"/>
                <w:sz w:val="16"/>
                <w:szCs w:val="16"/>
              </w:rPr>
              <w:t>PSHs (n=11)</w:t>
            </w:r>
          </w:p>
        </w:tc>
        <w:tc>
          <w:tcPr>
            <w:tcW w:w="1484" w:type="dxa"/>
          </w:tcPr>
          <w:p w14:paraId="626A649A" w14:textId="77777777" w:rsidR="00717132" w:rsidRPr="00020D54" w:rsidRDefault="00717132" w:rsidP="007C1A2E">
            <w:pPr>
              <w:spacing w:before="100" w:beforeAutospacing="1" w:after="100" w:afterAutospacing="1" w:line="360" w:lineRule="auto"/>
              <w:rPr>
                <w:rFonts w:asciiTheme="majorHAnsi" w:hAnsiTheme="majorHAnsi" w:cstheme="majorHAnsi"/>
                <w:color w:val="000000" w:themeColor="text1"/>
                <w:sz w:val="16"/>
                <w:szCs w:val="16"/>
              </w:rPr>
            </w:pPr>
            <w:r w:rsidRPr="00020D54">
              <w:rPr>
                <w:rFonts w:asciiTheme="majorHAnsi" w:hAnsiTheme="majorHAnsi" w:cstheme="majorHAnsi"/>
                <w:color w:val="000000" w:themeColor="text1"/>
                <w:sz w:val="16"/>
                <w:szCs w:val="16"/>
              </w:rPr>
              <w:t>42%</w:t>
            </w:r>
          </w:p>
        </w:tc>
        <w:tc>
          <w:tcPr>
            <w:tcW w:w="1484" w:type="dxa"/>
          </w:tcPr>
          <w:p w14:paraId="26A25F28" w14:textId="77777777" w:rsidR="00717132" w:rsidRPr="00020D54" w:rsidRDefault="00717132" w:rsidP="007C1A2E">
            <w:pPr>
              <w:spacing w:before="100" w:beforeAutospacing="1" w:after="100" w:afterAutospacing="1" w:line="360" w:lineRule="auto"/>
              <w:rPr>
                <w:rFonts w:asciiTheme="majorHAnsi" w:hAnsiTheme="majorHAnsi" w:cstheme="majorHAnsi"/>
                <w:color w:val="000000" w:themeColor="text1"/>
                <w:sz w:val="16"/>
                <w:szCs w:val="16"/>
              </w:rPr>
            </w:pPr>
            <w:r w:rsidRPr="00020D54">
              <w:rPr>
                <w:rFonts w:asciiTheme="majorHAnsi" w:hAnsiTheme="majorHAnsi" w:cstheme="majorHAnsi"/>
                <w:color w:val="000000" w:themeColor="text1"/>
                <w:sz w:val="16"/>
                <w:szCs w:val="16"/>
              </w:rPr>
              <w:t>33%</w:t>
            </w:r>
          </w:p>
        </w:tc>
        <w:tc>
          <w:tcPr>
            <w:tcW w:w="1484" w:type="dxa"/>
          </w:tcPr>
          <w:p w14:paraId="3E295AFF" w14:textId="77777777" w:rsidR="00717132" w:rsidRPr="00020D54" w:rsidRDefault="00717132" w:rsidP="007C1A2E">
            <w:pPr>
              <w:spacing w:before="100" w:beforeAutospacing="1" w:after="100" w:afterAutospacing="1" w:line="360" w:lineRule="auto"/>
              <w:rPr>
                <w:rFonts w:asciiTheme="majorHAnsi" w:hAnsiTheme="majorHAnsi" w:cstheme="majorHAnsi"/>
                <w:color w:val="000000" w:themeColor="text1"/>
                <w:sz w:val="16"/>
                <w:szCs w:val="16"/>
              </w:rPr>
            </w:pPr>
            <w:r w:rsidRPr="00020D54">
              <w:rPr>
                <w:rFonts w:asciiTheme="majorHAnsi" w:hAnsiTheme="majorHAnsi" w:cstheme="majorHAnsi"/>
                <w:color w:val="000000" w:themeColor="text1"/>
                <w:sz w:val="16"/>
                <w:szCs w:val="16"/>
              </w:rPr>
              <w:t>42%</w:t>
            </w:r>
          </w:p>
        </w:tc>
        <w:tc>
          <w:tcPr>
            <w:tcW w:w="1485" w:type="dxa"/>
          </w:tcPr>
          <w:p w14:paraId="5394BDD4" w14:textId="77777777" w:rsidR="00717132" w:rsidRPr="00020D54" w:rsidRDefault="00717132" w:rsidP="007C1A2E">
            <w:pPr>
              <w:spacing w:before="100" w:beforeAutospacing="1" w:after="100" w:afterAutospacing="1" w:line="360" w:lineRule="auto"/>
              <w:rPr>
                <w:rFonts w:asciiTheme="majorHAnsi" w:hAnsiTheme="majorHAnsi" w:cstheme="majorHAnsi"/>
                <w:color w:val="000000" w:themeColor="text1"/>
                <w:sz w:val="16"/>
                <w:szCs w:val="16"/>
              </w:rPr>
            </w:pPr>
            <w:r w:rsidRPr="00020D54">
              <w:rPr>
                <w:rFonts w:asciiTheme="majorHAnsi" w:hAnsiTheme="majorHAnsi" w:cstheme="majorHAnsi"/>
                <w:color w:val="000000" w:themeColor="text1"/>
                <w:sz w:val="16"/>
                <w:szCs w:val="16"/>
              </w:rPr>
              <w:t>33%</w:t>
            </w:r>
          </w:p>
        </w:tc>
      </w:tr>
      <w:tr w:rsidR="00717132" w:rsidRPr="00020D54" w14:paraId="365BE62F" w14:textId="77777777" w:rsidTr="00EF19F0">
        <w:trPr>
          <w:trHeight w:val="377"/>
        </w:trPr>
        <w:tc>
          <w:tcPr>
            <w:tcW w:w="1571" w:type="dxa"/>
          </w:tcPr>
          <w:p w14:paraId="0F2DAB72" w14:textId="77777777" w:rsidR="00717132" w:rsidRPr="00020D54" w:rsidRDefault="00717132" w:rsidP="007C1A2E">
            <w:pPr>
              <w:spacing w:before="100" w:beforeAutospacing="1" w:after="100" w:afterAutospacing="1" w:line="360" w:lineRule="auto"/>
              <w:rPr>
                <w:rFonts w:asciiTheme="majorHAnsi" w:hAnsiTheme="majorHAnsi" w:cstheme="majorHAnsi"/>
                <w:color w:val="000000" w:themeColor="text1"/>
                <w:sz w:val="16"/>
                <w:szCs w:val="16"/>
              </w:rPr>
            </w:pPr>
            <w:r w:rsidRPr="00020D54">
              <w:rPr>
                <w:rFonts w:asciiTheme="majorHAnsi" w:hAnsiTheme="majorHAnsi" w:cstheme="majorHAnsi"/>
                <w:color w:val="000000" w:themeColor="text1"/>
                <w:sz w:val="16"/>
                <w:szCs w:val="16"/>
              </w:rPr>
              <w:t>Teachers (n=61)</w:t>
            </w:r>
          </w:p>
        </w:tc>
        <w:tc>
          <w:tcPr>
            <w:tcW w:w="1484" w:type="dxa"/>
          </w:tcPr>
          <w:p w14:paraId="6616EB69" w14:textId="77777777" w:rsidR="00717132" w:rsidRPr="00020D54" w:rsidRDefault="00717132" w:rsidP="007C1A2E">
            <w:pPr>
              <w:spacing w:before="100" w:beforeAutospacing="1" w:after="100" w:afterAutospacing="1" w:line="360" w:lineRule="auto"/>
              <w:rPr>
                <w:rFonts w:asciiTheme="majorHAnsi" w:hAnsiTheme="majorHAnsi" w:cstheme="majorHAnsi"/>
                <w:color w:val="000000" w:themeColor="text1"/>
                <w:sz w:val="16"/>
                <w:szCs w:val="16"/>
              </w:rPr>
            </w:pPr>
            <w:r w:rsidRPr="00020D54">
              <w:rPr>
                <w:rFonts w:asciiTheme="majorHAnsi" w:hAnsiTheme="majorHAnsi" w:cstheme="majorHAnsi"/>
                <w:color w:val="000000" w:themeColor="text1"/>
                <w:sz w:val="16"/>
                <w:szCs w:val="16"/>
              </w:rPr>
              <w:t>56%</w:t>
            </w:r>
          </w:p>
        </w:tc>
        <w:tc>
          <w:tcPr>
            <w:tcW w:w="1484" w:type="dxa"/>
          </w:tcPr>
          <w:p w14:paraId="1852016D" w14:textId="77777777" w:rsidR="00717132" w:rsidRPr="00020D54" w:rsidRDefault="00717132" w:rsidP="007C1A2E">
            <w:pPr>
              <w:spacing w:before="100" w:beforeAutospacing="1" w:after="100" w:afterAutospacing="1" w:line="360" w:lineRule="auto"/>
              <w:rPr>
                <w:rFonts w:asciiTheme="majorHAnsi" w:hAnsiTheme="majorHAnsi" w:cstheme="majorHAnsi"/>
                <w:color w:val="000000" w:themeColor="text1"/>
                <w:sz w:val="16"/>
                <w:szCs w:val="16"/>
              </w:rPr>
            </w:pPr>
            <w:r w:rsidRPr="00020D54">
              <w:rPr>
                <w:rFonts w:asciiTheme="majorHAnsi" w:hAnsiTheme="majorHAnsi" w:cstheme="majorHAnsi"/>
                <w:color w:val="000000" w:themeColor="text1"/>
                <w:sz w:val="16"/>
                <w:szCs w:val="16"/>
              </w:rPr>
              <w:t>34%</w:t>
            </w:r>
          </w:p>
        </w:tc>
        <w:tc>
          <w:tcPr>
            <w:tcW w:w="1484" w:type="dxa"/>
          </w:tcPr>
          <w:p w14:paraId="1D0D63C1" w14:textId="77777777" w:rsidR="00717132" w:rsidRPr="00020D54" w:rsidRDefault="00717132" w:rsidP="007C1A2E">
            <w:pPr>
              <w:spacing w:before="100" w:beforeAutospacing="1" w:after="100" w:afterAutospacing="1" w:line="360" w:lineRule="auto"/>
              <w:rPr>
                <w:rFonts w:asciiTheme="majorHAnsi" w:hAnsiTheme="majorHAnsi" w:cstheme="majorHAnsi"/>
                <w:color w:val="000000" w:themeColor="text1"/>
                <w:sz w:val="16"/>
                <w:szCs w:val="16"/>
              </w:rPr>
            </w:pPr>
            <w:r w:rsidRPr="00020D54">
              <w:rPr>
                <w:rFonts w:asciiTheme="majorHAnsi" w:hAnsiTheme="majorHAnsi" w:cstheme="majorHAnsi"/>
                <w:color w:val="000000" w:themeColor="text1"/>
                <w:sz w:val="16"/>
                <w:szCs w:val="16"/>
              </w:rPr>
              <w:t>51%</w:t>
            </w:r>
          </w:p>
        </w:tc>
        <w:tc>
          <w:tcPr>
            <w:tcW w:w="1485" w:type="dxa"/>
          </w:tcPr>
          <w:p w14:paraId="25B89C96" w14:textId="77777777" w:rsidR="00717132" w:rsidRPr="00020D54" w:rsidRDefault="00717132" w:rsidP="007C1A2E">
            <w:pPr>
              <w:spacing w:before="100" w:beforeAutospacing="1" w:after="100" w:afterAutospacing="1" w:line="360" w:lineRule="auto"/>
              <w:rPr>
                <w:rFonts w:asciiTheme="majorHAnsi" w:hAnsiTheme="majorHAnsi" w:cstheme="majorHAnsi"/>
                <w:color w:val="000000" w:themeColor="text1"/>
                <w:sz w:val="16"/>
                <w:szCs w:val="16"/>
              </w:rPr>
            </w:pPr>
            <w:r w:rsidRPr="00020D54">
              <w:rPr>
                <w:rFonts w:asciiTheme="majorHAnsi" w:hAnsiTheme="majorHAnsi" w:cstheme="majorHAnsi"/>
                <w:color w:val="000000" w:themeColor="text1"/>
                <w:sz w:val="16"/>
                <w:szCs w:val="16"/>
              </w:rPr>
              <w:t>41%</w:t>
            </w:r>
          </w:p>
        </w:tc>
      </w:tr>
    </w:tbl>
    <w:p w14:paraId="7E9A5BAF" w14:textId="77777777" w:rsidR="00572BB5" w:rsidRDefault="00572BB5" w:rsidP="007C1A2E">
      <w:pPr>
        <w:spacing w:before="100" w:beforeAutospacing="1" w:after="100" w:afterAutospacing="1" w:line="360" w:lineRule="auto"/>
        <w:rPr>
          <w:rFonts w:asciiTheme="majorHAnsi" w:hAnsiTheme="majorHAnsi" w:cstheme="majorHAnsi"/>
          <w:color w:val="000000" w:themeColor="text1"/>
          <w:shd w:val="clear" w:color="auto" w:fill="FFFFFF"/>
        </w:rPr>
      </w:pPr>
    </w:p>
    <w:p w14:paraId="02BC34C6" w14:textId="77777777" w:rsidR="00572BB5" w:rsidRDefault="00572BB5" w:rsidP="007C1A2E">
      <w:pPr>
        <w:spacing w:before="100" w:beforeAutospacing="1" w:after="100" w:afterAutospacing="1" w:line="360" w:lineRule="auto"/>
        <w:rPr>
          <w:rFonts w:asciiTheme="majorHAnsi" w:hAnsiTheme="majorHAnsi" w:cstheme="majorHAnsi"/>
          <w:color w:val="000000" w:themeColor="text1"/>
          <w:shd w:val="clear" w:color="auto" w:fill="FFFFFF"/>
        </w:rPr>
      </w:pPr>
    </w:p>
    <w:p w14:paraId="09414E80" w14:textId="77777777" w:rsidR="00572BB5" w:rsidRDefault="00572BB5" w:rsidP="007C1A2E">
      <w:pPr>
        <w:spacing w:before="100" w:beforeAutospacing="1" w:after="100" w:afterAutospacing="1" w:line="360" w:lineRule="auto"/>
        <w:rPr>
          <w:rFonts w:asciiTheme="majorHAnsi" w:hAnsiTheme="majorHAnsi" w:cstheme="majorHAnsi"/>
          <w:color w:val="000000" w:themeColor="text1"/>
          <w:shd w:val="clear" w:color="auto" w:fill="FFFFFF"/>
        </w:rPr>
      </w:pPr>
    </w:p>
    <w:p w14:paraId="296D2B51" w14:textId="77777777" w:rsidR="00572BB5" w:rsidRDefault="00572BB5" w:rsidP="007C1A2E">
      <w:pPr>
        <w:spacing w:before="100" w:beforeAutospacing="1" w:after="100" w:afterAutospacing="1" w:line="360" w:lineRule="auto"/>
        <w:rPr>
          <w:rFonts w:asciiTheme="majorHAnsi" w:hAnsiTheme="majorHAnsi" w:cstheme="majorHAnsi"/>
          <w:color w:val="000000" w:themeColor="text1"/>
          <w:shd w:val="clear" w:color="auto" w:fill="FFFFFF"/>
        </w:rPr>
      </w:pPr>
    </w:p>
    <w:p w14:paraId="5C239057" w14:textId="77777777" w:rsidR="00572BB5" w:rsidRDefault="00572BB5" w:rsidP="007C1A2E">
      <w:pPr>
        <w:spacing w:before="100" w:beforeAutospacing="1" w:after="100" w:afterAutospacing="1" w:line="360" w:lineRule="auto"/>
        <w:rPr>
          <w:rFonts w:asciiTheme="majorHAnsi" w:hAnsiTheme="majorHAnsi" w:cstheme="majorHAnsi"/>
          <w:color w:val="000000" w:themeColor="text1"/>
          <w:shd w:val="clear" w:color="auto" w:fill="FFFFFF"/>
        </w:rPr>
      </w:pPr>
    </w:p>
    <w:p w14:paraId="49EB2C4A" w14:textId="49F150BB" w:rsidR="00717132" w:rsidRDefault="008D0CAD" w:rsidP="007C1A2E">
      <w:pPr>
        <w:spacing w:before="100" w:beforeAutospacing="1" w:after="100" w:afterAutospacing="1" w:line="360" w:lineRule="auto"/>
        <w:rPr>
          <w:rFonts w:asciiTheme="majorHAnsi" w:hAnsiTheme="majorHAnsi" w:cstheme="majorHAnsi"/>
          <w:color w:val="000000" w:themeColor="text1"/>
          <w:shd w:val="clear" w:color="auto" w:fill="FFFFFF"/>
        </w:rPr>
      </w:pPr>
      <w:r w:rsidRPr="00B46D9B">
        <w:rPr>
          <w:rFonts w:asciiTheme="majorHAnsi" w:hAnsiTheme="majorHAnsi" w:cstheme="majorHAnsi"/>
          <w:color w:val="000000" w:themeColor="text1"/>
          <w:shd w:val="clear" w:color="auto" w:fill="FFFFFF"/>
        </w:rPr>
        <w:t xml:space="preserve">The PPST was </w:t>
      </w:r>
      <w:r>
        <w:rPr>
          <w:rFonts w:asciiTheme="majorHAnsi" w:hAnsiTheme="majorHAnsi" w:cstheme="majorHAnsi"/>
          <w:color w:val="000000" w:themeColor="text1"/>
          <w:shd w:val="clear" w:color="auto" w:fill="FFFFFF"/>
        </w:rPr>
        <w:t>found</w:t>
      </w:r>
      <w:r w:rsidRPr="00B46D9B">
        <w:rPr>
          <w:rFonts w:asciiTheme="majorHAnsi" w:hAnsiTheme="majorHAnsi" w:cstheme="majorHAnsi"/>
          <w:color w:val="000000" w:themeColor="text1"/>
          <w:shd w:val="clear" w:color="auto" w:fill="FFFFFF"/>
        </w:rPr>
        <w:t xml:space="preserve"> to</w:t>
      </w:r>
      <w:r>
        <w:rPr>
          <w:rFonts w:asciiTheme="majorHAnsi" w:hAnsiTheme="majorHAnsi" w:cstheme="majorHAnsi"/>
          <w:color w:val="000000" w:themeColor="text1"/>
          <w:shd w:val="clear" w:color="auto" w:fill="FFFFFF"/>
        </w:rPr>
        <w:t xml:space="preserve"> be well</w:t>
      </w:r>
      <w:r w:rsidRPr="00B46D9B">
        <w:rPr>
          <w:rFonts w:asciiTheme="majorHAnsi" w:hAnsiTheme="majorHAnsi" w:cstheme="majorHAnsi"/>
          <w:color w:val="000000" w:themeColor="text1"/>
          <w:shd w:val="clear" w:color="auto" w:fill="FFFFFF"/>
        </w:rPr>
        <w:t xml:space="preserve"> accept</w:t>
      </w:r>
      <w:r>
        <w:rPr>
          <w:rFonts w:asciiTheme="majorHAnsi" w:hAnsiTheme="majorHAnsi" w:cstheme="majorHAnsi"/>
          <w:color w:val="000000" w:themeColor="text1"/>
          <w:shd w:val="clear" w:color="auto" w:fill="FFFFFF"/>
        </w:rPr>
        <w:t>ed</w:t>
      </w:r>
      <w:r w:rsidRPr="00B46D9B">
        <w:rPr>
          <w:rFonts w:asciiTheme="majorHAnsi" w:hAnsiTheme="majorHAnsi" w:cstheme="majorHAnsi"/>
          <w:color w:val="000000" w:themeColor="text1"/>
          <w:shd w:val="clear" w:color="auto" w:fill="FFFFFF"/>
        </w:rPr>
        <w:t xml:space="preserve"> among principals and teachers (from FGD results) as a competency framework</w:t>
      </w:r>
      <w:r>
        <w:rPr>
          <w:rFonts w:asciiTheme="majorHAnsi" w:hAnsiTheme="majorHAnsi" w:cstheme="majorHAnsi"/>
          <w:color w:val="000000" w:themeColor="text1"/>
          <w:shd w:val="clear" w:color="auto" w:fill="FFFFFF"/>
        </w:rPr>
        <w:t xml:space="preserve"> to </w:t>
      </w:r>
      <w:r w:rsidRPr="00B46D9B">
        <w:rPr>
          <w:rFonts w:asciiTheme="majorHAnsi" w:hAnsiTheme="majorHAnsi" w:cstheme="majorHAnsi"/>
          <w:color w:val="000000" w:themeColor="text1"/>
          <w:shd w:val="clear" w:color="auto" w:fill="FFFFFF"/>
        </w:rPr>
        <w:t>replac</w:t>
      </w:r>
      <w:r>
        <w:rPr>
          <w:rFonts w:asciiTheme="majorHAnsi" w:hAnsiTheme="majorHAnsi" w:cstheme="majorHAnsi"/>
          <w:color w:val="000000" w:themeColor="text1"/>
          <w:shd w:val="clear" w:color="auto" w:fill="FFFFFF"/>
        </w:rPr>
        <w:t>e</w:t>
      </w:r>
      <w:r w:rsidRPr="00B46D9B">
        <w:rPr>
          <w:rFonts w:asciiTheme="majorHAnsi" w:hAnsiTheme="majorHAnsi" w:cstheme="majorHAnsi"/>
          <w:color w:val="000000" w:themeColor="text1"/>
          <w:shd w:val="clear" w:color="auto" w:fill="FFFFFF"/>
        </w:rPr>
        <w:t xml:space="preserve"> the</w:t>
      </w:r>
      <w:r>
        <w:rPr>
          <w:rFonts w:asciiTheme="majorHAnsi" w:hAnsiTheme="majorHAnsi" w:cstheme="majorHAnsi"/>
          <w:color w:val="000000" w:themeColor="text1"/>
          <w:shd w:val="clear" w:color="auto" w:fill="FFFFFF"/>
        </w:rPr>
        <w:t xml:space="preserve"> predecessor</w:t>
      </w:r>
      <w:r w:rsidRPr="00B46D9B">
        <w:rPr>
          <w:rFonts w:asciiTheme="majorHAnsi" w:hAnsiTheme="majorHAnsi" w:cstheme="majorHAnsi"/>
          <w:color w:val="000000" w:themeColor="text1"/>
          <w:shd w:val="clear" w:color="auto" w:fill="FFFFFF"/>
        </w:rPr>
        <w:t xml:space="preserve"> National Competency-Based Teacher Standards (NCBTS).</w:t>
      </w:r>
      <w:r w:rsidR="00D434EB">
        <w:rPr>
          <w:rFonts w:asciiTheme="majorHAnsi" w:hAnsiTheme="majorHAnsi" w:cstheme="majorHAnsi"/>
          <w:color w:val="000000" w:themeColor="text1"/>
          <w:shd w:val="clear" w:color="auto" w:fill="FFFFFF"/>
        </w:rPr>
        <w:t xml:space="preserve"> </w:t>
      </w:r>
      <w:r w:rsidRPr="00B46D9B">
        <w:rPr>
          <w:rFonts w:asciiTheme="majorHAnsi" w:hAnsiTheme="majorHAnsi" w:cstheme="majorHAnsi"/>
          <w:color w:val="000000" w:themeColor="text1"/>
          <w:shd w:val="clear" w:color="auto" w:fill="FFFFFF"/>
        </w:rPr>
        <w:t>One of the</w:t>
      </w:r>
      <w:r>
        <w:rPr>
          <w:rFonts w:asciiTheme="majorHAnsi" w:hAnsiTheme="majorHAnsi" w:cstheme="majorHAnsi"/>
          <w:color w:val="000000" w:themeColor="text1"/>
          <w:shd w:val="clear" w:color="auto" w:fill="FFFFFF"/>
        </w:rPr>
        <w:t xml:space="preserve"> key</w:t>
      </w:r>
      <w:r w:rsidRPr="00B46D9B">
        <w:rPr>
          <w:rFonts w:asciiTheme="majorHAnsi" w:hAnsiTheme="majorHAnsi" w:cstheme="majorHAnsi"/>
          <w:color w:val="000000" w:themeColor="text1"/>
          <w:shd w:val="clear" w:color="auto" w:fill="FFFFFF"/>
        </w:rPr>
        <w:t xml:space="preserve"> reasons for this was its strong research background. </w:t>
      </w:r>
    </w:p>
    <w:p w14:paraId="5E0EF6FC" w14:textId="77777777" w:rsidR="008D0CAD" w:rsidRPr="00020D54" w:rsidRDefault="008D0CAD" w:rsidP="007C1A2E">
      <w:pPr>
        <w:spacing w:before="100" w:beforeAutospacing="1" w:after="100" w:afterAutospacing="1" w:line="360" w:lineRule="auto"/>
        <w:rPr>
          <w:rFonts w:asciiTheme="majorHAnsi" w:hAnsiTheme="majorHAnsi" w:cstheme="majorHAnsi"/>
          <w:color w:val="000000" w:themeColor="text1"/>
          <w:sz w:val="14"/>
          <w:szCs w:val="14"/>
          <w:shd w:val="clear" w:color="auto" w:fill="FFFFFF"/>
        </w:rPr>
      </w:pPr>
      <w:r w:rsidRPr="00020D54">
        <w:rPr>
          <w:rFonts w:asciiTheme="majorHAnsi" w:hAnsiTheme="majorHAnsi" w:cstheme="majorHAnsi"/>
          <w:color w:val="000000" w:themeColor="text1"/>
          <w:sz w:val="14"/>
          <w:szCs w:val="14"/>
          <w:shd w:val="clear" w:color="auto" w:fill="FFFFFF"/>
        </w:rPr>
        <w:t xml:space="preserve"> </w:t>
      </w:r>
      <w:r w:rsidR="00717132" w:rsidRPr="00020D54">
        <w:rPr>
          <w:rFonts w:asciiTheme="majorHAnsi" w:hAnsiTheme="majorHAnsi" w:cstheme="majorHAnsi"/>
          <w:color w:val="000000" w:themeColor="text1"/>
          <w:sz w:val="14"/>
          <w:szCs w:val="14"/>
          <w:shd w:val="clear" w:color="auto" w:fill="FFFFFF"/>
        </w:rPr>
        <w:t>*2019 KAU Survey **2020 KAU Survey</w:t>
      </w:r>
    </w:p>
    <w:p w14:paraId="7F261528" w14:textId="77777777" w:rsidR="008D0CAD" w:rsidRDefault="008D0CAD" w:rsidP="008C061C">
      <w:pPr>
        <w:pStyle w:val="Heading6"/>
      </w:pPr>
      <w:r w:rsidRPr="0070710F">
        <w:t xml:space="preserve">PPST-aligned RPMS </w:t>
      </w:r>
      <w:r>
        <w:t>t</w:t>
      </w:r>
      <w:r w:rsidRPr="0070710F">
        <w:t>ools</w:t>
      </w:r>
      <w:r>
        <w:t>: Assessment of teacher performance</w:t>
      </w:r>
      <w:r>
        <w:rPr>
          <w:rStyle w:val="BodyTextChar"/>
        </w:rPr>
        <w:footnoteReference w:id="35"/>
      </w:r>
      <w:r>
        <w:t xml:space="preserve"> </w:t>
      </w:r>
    </w:p>
    <w:p w14:paraId="7306AA25" w14:textId="49B2EB94" w:rsidR="008D0CAD" w:rsidRDefault="008D0CAD" w:rsidP="007C1A2E">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rPr>
        <w:t xml:space="preserve">In compliance with </w:t>
      </w:r>
      <w:r w:rsidRPr="00DC56C6">
        <w:rPr>
          <w:rFonts w:asciiTheme="majorHAnsi" w:hAnsiTheme="majorHAnsi" w:cstheme="majorHAnsi"/>
          <w:lang w:val="en-GB"/>
        </w:rPr>
        <w:t>DO No. 2, s. 2015</w:t>
      </w:r>
      <w:r w:rsidRPr="00DC56C6">
        <w:rPr>
          <w:rFonts w:asciiTheme="majorHAnsi" w:hAnsiTheme="majorHAnsi" w:cstheme="majorHAnsi"/>
        </w:rPr>
        <w:t>,</w:t>
      </w:r>
      <w:r>
        <w:rPr>
          <w:rFonts w:asciiTheme="majorHAnsi" w:hAnsiTheme="majorHAnsi" w:cstheme="majorHAnsi"/>
        </w:rPr>
        <w:t xml:space="preserve"> DepEd’s </w:t>
      </w:r>
      <w:r w:rsidRPr="006F560C">
        <w:rPr>
          <w:rFonts w:asciiTheme="majorHAnsi" w:hAnsiTheme="majorHAnsi" w:cstheme="majorHAnsi"/>
        </w:rPr>
        <w:t>B</w:t>
      </w:r>
      <w:r>
        <w:rPr>
          <w:rFonts w:asciiTheme="majorHAnsi" w:hAnsiTheme="majorHAnsi" w:cstheme="majorHAnsi"/>
        </w:rPr>
        <w:t xml:space="preserve">ureau of </w:t>
      </w:r>
      <w:r w:rsidRPr="006F560C">
        <w:rPr>
          <w:rFonts w:asciiTheme="majorHAnsi" w:hAnsiTheme="majorHAnsi" w:cstheme="majorHAnsi"/>
        </w:rPr>
        <w:t>H</w:t>
      </w:r>
      <w:r>
        <w:rPr>
          <w:rFonts w:asciiTheme="majorHAnsi" w:hAnsiTheme="majorHAnsi" w:cstheme="majorHAnsi"/>
        </w:rPr>
        <w:t xml:space="preserve">uman </w:t>
      </w:r>
      <w:r w:rsidRPr="006F560C">
        <w:rPr>
          <w:rFonts w:asciiTheme="majorHAnsi" w:hAnsiTheme="majorHAnsi" w:cstheme="majorHAnsi"/>
        </w:rPr>
        <w:t>R</w:t>
      </w:r>
      <w:r>
        <w:rPr>
          <w:rFonts w:asciiTheme="majorHAnsi" w:hAnsiTheme="majorHAnsi" w:cstheme="majorHAnsi"/>
        </w:rPr>
        <w:t xml:space="preserve">esources and </w:t>
      </w:r>
      <w:r w:rsidRPr="006F560C">
        <w:rPr>
          <w:rFonts w:asciiTheme="majorHAnsi" w:hAnsiTheme="majorHAnsi" w:cstheme="majorHAnsi"/>
        </w:rPr>
        <w:t>O</w:t>
      </w:r>
      <w:r>
        <w:rPr>
          <w:rFonts w:asciiTheme="majorHAnsi" w:hAnsiTheme="majorHAnsi" w:cstheme="majorHAnsi"/>
        </w:rPr>
        <w:t xml:space="preserve">rganisational </w:t>
      </w:r>
      <w:r w:rsidRPr="006F560C">
        <w:rPr>
          <w:rFonts w:asciiTheme="majorHAnsi" w:hAnsiTheme="majorHAnsi" w:cstheme="majorHAnsi"/>
        </w:rPr>
        <w:t>D</w:t>
      </w:r>
      <w:r>
        <w:rPr>
          <w:rFonts w:asciiTheme="majorHAnsi" w:hAnsiTheme="majorHAnsi" w:cstheme="majorHAnsi"/>
        </w:rPr>
        <w:t>evelopment</w:t>
      </w:r>
      <w:r w:rsidRPr="006F560C">
        <w:rPr>
          <w:rFonts w:asciiTheme="majorHAnsi" w:hAnsiTheme="majorHAnsi" w:cstheme="majorHAnsi"/>
        </w:rPr>
        <w:t xml:space="preserve"> embedded 12 priority indicators of the PPST into </w:t>
      </w:r>
      <w:r>
        <w:rPr>
          <w:rFonts w:asciiTheme="majorHAnsi" w:hAnsiTheme="majorHAnsi" w:cstheme="majorHAnsi"/>
        </w:rPr>
        <w:t>its</w:t>
      </w:r>
      <w:r w:rsidRPr="006F560C">
        <w:rPr>
          <w:rFonts w:asciiTheme="majorHAnsi" w:hAnsiTheme="majorHAnsi" w:cstheme="majorHAnsi"/>
        </w:rPr>
        <w:t xml:space="preserve"> Results-based Performance Management System </w:t>
      </w:r>
      <w:r>
        <w:rPr>
          <w:rFonts w:asciiTheme="majorHAnsi" w:hAnsiTheme="majorHAnsi" w:cstheme="majorHAnsi"/>
        </w:rPr>
        <w:t>(RPMS).</w:t>
      </w:r>
      <w:r>
        <w:rPr>
          <w:rStyle w:val="FootnoteReference"/>
          <w:rFonts w:asciiTheme="majorHAnsi" w:eastAsia="Arial Unicode MS" w:hAnsiTheme="majorHAnsi" w:cstheme="majorHAnsi"/>
        </w:rPr>
        <w:footnoteReference w:id="36"/>
      </w:r>
      <w:r w:rsidR="00D434EB">
        <w:rPr>
          <w:rFonts w:asciiTheme="majorHAnsi" w:hAnsiTheme="majorHAnsi" w:cstheme="majorHAnsi"/>
        </w:rPr>
        <w:t xml:space="preserve"> </w:t>
      </w:r>
      <w:r>
        <w:rPr>
          <w:rFonts w:asciiTheme="majorHAnsi" w:hAnsiTheme="majorHAnsi" w:cstheme="majorHAnsi"/>
        </w:rPr>
        <w:t>Knowledge of this policy was equally high both for Program-</w:t>
      </w:r>
      <w:r w:rsidRPr="000D32D1">
        <w:rPr>
          <w:rFonts w:asciiTheme="majorHAnsi" w:hAnsiTheme="majorHAnsi" w:cstheme="majorHAnsi"/>
          <w:color w:val="000000" w:themeColor="text1"/>
        </w:rPr>
        <w:t>supported and non-Program supported schools</w:t>
      </w:r>
      <w:r>
        <w:rPr>
          <w:rFonts w:asciiTheme="majorHAnsi" w:hAnsiTheme="majorHAnsi" w:cstheme="majorHAnsi"/>
          <w:color w:val="000000" w:themeColor="text1"/>
        </w:rPr>
        <w:t xml:space="preserve"> – a finding in both the initial BEST End of Program Evaluation Study and </w:t>
      </w:r>
      <w:r w:rsidRPr="000D32D1">
        <w:rPr>
          <w:rFonts w:asciiTheme="majorHAnsi" w:hAnsiTheme="majorHAnsi" w:cstheme="majorHAnsi"/>
          <w:color w:val="000000" w:themeColor="text1"/>
        </w:rPr>
        <w:t>the Follow-Up Study (Table 1</w:t>
      </w:r>
      <w:r>
        <w:rPr>
          <w:rFonts w:asciiTheme="majorHAnsi" w:hAnsiTheme="majorHAnsi" w:cstheme="majorHAnsi"/>
          <w:color w:val="000000" w:themeColor="text1"/>
        </w:rPr>
        <w:t>4</w:t>
      </w:r>
      <w:r w:rsidRPr="000D32D1">
        <w:rPr>
          <w:rFonts w:asciiTheme="majorHAnsi" w:hAnsiTheme="majorHAnsi" w:cstheme="majorHAnsi"/>
          <w:color w:val="000000" w:themeColor="text1"/>
        </w:rPr>
        <w:t>).</w:t>
      </w:r>
    </w:p>
    <w:p w14:paraId="61BA4F24" w14:textId="700457D7" w:rsidR="008D0CAD" w:rsidRPr="00DD6E21" w:rsidRDefault="008D0CAD" w:rsidP="007C1A2E">
      <w:pPr>
        <w:spacing w:before="100" w:beforeAutospacing="1" w:after="100" w:afterAutospacing="1" w:line="360" w:lineRule="auto"/>
        <w:rPr>
          <w:rFonts w:asciiTheme="majorHAnsi" w:hAnsiTheme="majorHAnsi" w:cstheme="majorHAnsi"/>
          <w:i/>
          <w:iCs/>
          <w:color w:val="44546A" w:themeColor="text2"/>
          <w:sz w:val="22"/>
          <w:szCs w:val="22"/>
        </w:rPr>
      </w:pPr>
      <w:bookmarkStart w:id="98" w:name="_Toc71616605"/>
      <w:r w:rsidRPr="00DD6E21">
        <w:rPr>
          <w:rFonts w:asciiTheme="majorHAnsi" w:hAnsiTheme="majorHAnsi" w:cstheme="majorHAnsi"/>
          <w:i/>
          <w:iCs/>
          <w:color w:val="44546A" w:themeColor="text2"/>
          <w:sz w:val="22"/>
          <w:szCs w:val="22"/>
        </w:rPr>
        <w:t xml:space="preserve">Table </w:t>
      </w:r>
      <w:r w:rsidRPr="00DD6E21">
        <w:rPr>
          <w:rFonts w:asciiTheme="majorHAnsi" w:hAnsiTheme="majorHAnsi" w:cstheme="majorHAnsi"/>
          <w:i/>
          <w:iCs/>
          <w:color w:val="44546A" w:themeColor="text2"/>
          <w:sz w:val="22"/>
          <w:szCs w:val="22"/>
        </w:rPr>
        <w:fldChar w:fldCharType="begin"/>
      </w:r>
      <w:r w:rsidRPr="00DD6E21">
        <w:rPr>
          <w:rFonts w:asciiTheme="majorHAnsi" w:hAnsiTheme="majorHAnsi" w:cstheme="majorHAnsi"/>
          <w:i/>
          <w:iCs/>
          <w:color w:val="44546A" w:themeColor="text2"/>
          <w:sz w:val="22"/>
          <w:szCs w:val="22"/>
        </w:rPr>
        <w:instrText xml:space="preserve"> SEQ Table \* ARABIC </w:instrText>
      </w:r>
      <w:r w:rsidRPr="00DD6E21">
        <w:rPr>
          <w:rFonts w:asciiTheme="majorHAnsi" w:hAnsiTheme="majorHAnsi" w:cstheme="majorHAnsi"/>
          <w:i/>
          <w:iCs/>
          <w:color w:val="44546A" w:themeColor="text2"/>
          <w:sz w:val="22"/>
          <w:szCs w:val="22"/>
        </w:rPr>
        <w:fldChar w:fldCharType="separate"/>
      </w:r>
      <w:r w:rsidR="00D6133D">
        <w:rPr>
          <w:rFonts w:asciiTheme="majorHAnsi" w:hAnsiTheme="majorHAnsi" w:cstheme="majorHAnsi"/>
          <w:i/>
          <w:iCs/>
          <w:noProof/>
          <w:color w:val="44546A" w:themeColor="text2"/>
          <w:sz w:val="22"/>
          <w:szCs w:val="22"/>
        </w:rPr>
        <w:t>14</w:t>
      </w:r>
      <w:r w:rsidRPr="00DD6E21">
        <w:rPr>
          <w:rFonts w:asciiTheme="majorHAnsi" w:hAnsiTheme="majorHAnsi" w:cstheme="majorHAnsi"/>
          <w:i/>
          <w:iCs/>
          <w:color w:val="44546A" w:themeColor="text2"/>
          <w:sz w:val="22"/>
          <w:szCs w:val="22"/>
        </w:rPr>
        <w:fldChar w:fldCharType="end"/>
      </w:r>
      <w:r w:rsidRPr="00DD6E21">
        <w:rPr>
          <w:rFonts w:asciiTheme="majorHAnsi" w:hAnsiTheme="majorHAnsi" w:cstheme="majorHAnsi"/>
          <w:i/>
          <w:iCs/>
          <w:color w:val="44546A" w:themeColor="text2"/>
          <w:sz w:val="22"/>
          <w:szCs w:val="22"/>
        </w:rPr>
        <w:t>.</w:t>
      </w:r>
      <w:r w:rsidR="00D434EB">
        <w:rPr>
          <w:rFonts w:asciiTheme="majorHAnsi" w:hAnsiTheme="majorHAnsi" w:cstheme="majorHAnsi"/>
          <w:bCs/>
          <w:i/>
          <w:iCs/>
          <w:color w:val="44546A" w:themeColor="text2"/>
          <w:sz w:val="22"/>
          <w:szCs w:val="22"/>
        </w:rPr>
        <w:t xml:space="preserve"> </w:t>
      </w:r>
      <w:r w:rsidRPr="00DD6E21">
        <w:rPr>
          <w:rFonts w:asciiTheme="majorHAnsi" w:hAnsiTheme="majorHAnsi" w:cstheme="majorHAnsi"/>
          <w:bCs/>
          <w:i/>
          <w:iCs/>
          <w:color w:val="44546A" w:themeColor="text2"/>
          <w:sz w:val="22"/>
          <w:szCs w:val="22"/>
        </w:rPr>
        <w:t xml:space="preserve">Principals’ and Teachers’ Perceptions on </w:t>
      </w:r>
      <w:r w:rsidRPr="00DD6E21">
        <w:rPr>
          <w:rFonts w:asciiTheme="majorHAnsi" w:hAnsiTheme="majorHAnsi" w:cstheme="majorHAnsi"/>
          <w:i/>
          <w:iCs/>
          <w:color w:val="44546A" w:themeColor="text2"/>
          <w:sz w:val="22"/>
          <w:szCs w:val="22"/>
        </w:rPr>
        <w:t>DO No. 2, s. 2015</w:t>
      </w:r>
      <w:bookmarkEnd w:id="98"/>
      <w:r w:rsidR="00EF19F0">
        <w:rPr>
          <w:rFonts w:asciiTheme="majorHAnsi" w:hAnsiTheme="majorHAnsi" w:cstheme="majorHAnsi"/>
          <w:i/>
          <w:iCs/>
          <w:color w:val="44546A" w:themeColor="text2"/>
          <w:sz w:val="22"/>
          <w:szCs w:val="22"/>
        </w:rPr>
        <w:t xml:space="preserve"> </w:t>
      </w:r>
      <w:r w:rsidR="00EF19F0" w:rsidRPr="00EF19F0">
        <w:rPr>
          <w:rFonts w:asciiTheme="majorHAnsi" w:hAnsiTheme="majorHAnsi" w:cstheme="majorHAnsi"/>
          <w:i/>
          <w:iCs/>
          <w:color w:val="44546A" w:themeColor="text2"/>
          <w:sz w:val="22"/>
          <w:szCs w:val="22"/>
        </w:rPr>
        <w:t>“Guidelines on the Establishment and Implementation of the Results-Based Performance Management System (RPMS) in the Department of Education”</w:t>
      </w:r>
    </w:p>
    <w:tbl>
      <w:tblPr>
        <w:tblStyle w:val="TableGrid"/>
        <w:tblW w:w="0" w:type="auto"/>
        <w:tblLook w:val="04A0" w:firstRow="1" w:lastRow="0" w:firstColumn="1" w:lastColumn="0" w:noHBand="0" w:noVBand="1"/>
      </w:tblPr>
      <w:tblGrid>
        <w:gridCol w:w="1625"/>
        <w:gridCol w:w="1391"/>
        <w:gridCol w:w="1868"/>
        <w:gridCol w:w="1409"/>
        <w:gridCol w:w="1306"/>
      </w:tblGrid>
      <w:tr w:rsidR="00B73B82" w:rsidRPr="009D738E" w14:paraId="41677D8A" w14:textId="77777777" w:rsidTr="00F4751F">
        <w:trPr>
          <w:trHeight w:val="267"/>
          <w:tblHeader/>
        </w:trPr>
        <w:tc>
          <w:tcPr>
            <w:tcW w:w="1625" w:type="dxa"/>
          </w:tcPr>
          <w:p w14:paraId="36B555C5" w14:textId="77777777" w:rsidR="00B73B82" w:rsidRPr="009D738E" w:rsidRDefault="00B73B82"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391" w:type="dxa"/>
          </w:tcPr>
          <w:p w14:paraId="65A838FC" w14:textId="77777777" w:rsidR="00B73B82" w:rsidRPr="009D738E" w:rsidRDefault="00B73B82" w:rsidP="007C1A2E">
            <w:pPr>
              <w:spacing w:before="100" w:beforeAutospacing="1" w:after="100" w:afterAutospacing="1" w:line="360" w:lineRule="auto"/>
              <w:rPr>
                <w:rFonts w:asciiTheme="majorHAnsi" w:hAnsiTheme="majorHAnsi" w:cstheme="majorHAnsi"/>
                <w:b/>
                <w:bCs/>
                <w:color w:val="000000" w:themeColor="text1"/>
                <w:sz w:val="18"/>
                <w:szCs w:val="18"/>
              </w:rPr>
            </w:pPr>
            <w:r w:rsidRPr="009D738E">
              <w:rPr>
                <w:rFonts w:asciiTheme="majorHAnsi" w:hAnsiTheme="majorHAnsi" w:cstheme="majorHAnsi"/>
                <w:b/>
                <w:bCs/>
                <w:color w:val="000000" w:themeColor="text1"/>
                <w:sz w:val="18"/>
                <w:szCs w:val="18"/>
              </w:rPr>
              <w:t>% Sufficient knowledge</w:t>
            </w:r>
          </w:p>
        </w:tc>
        <w:tc>
          <w:tcPr>
            <w:tcW w:w="1868" w:type="dxa"/>
          </w:tcPr>
          <w:p w14:paraId="019F1443" w14:textId="77777777" w:rsidR="00B73B82" w:rsidRPr="009D738E" w:rsidRDefault="00B73B82" w:rsidP="007C1A2E">
            <w:pPr>
              <w:spacing w:before="100" w:beforeAutospacing="1" w:after="100" w:afterAutospacing="1" w:line="360" w:lineRule="auto"/>
              <w:rPr>
                <w:rFonts w:asciiTheme="majorHAnsi" w:hAnsiTheme="majorHAnsi" w:cstheme="majorHAnsi"/>
                <w:b/>
                <w:bCs/>
                <w:color w:val="000000" w:themeColor="text1"/>
                <w:sz w:val="18"/>
                <w:szCs w:val="18"/>
              </w:rPr>
            </w:pPr>
            <w:r w:rsidRPr="009D738E">
              <w:rPr>
                <w:rFonts w:asciiTheme="majorHAnsi" w:hAnsiTheme="majorHAnsi" w:cstheme="majorHAnsi"/>
                <w:b/>
                <w:bCs/>
                <w:color w:val="000000" w:themeColor="text1"/>
                <w:sz w:val="18"/>
                <w:szCs w:val="18"/>
              </w:rPr>
              <w:t>% Comprehensive knowledge</w:t>
            </w:r>
          </w:p>
        </w:tc>
        <w:tc>
          <w:tcPr>
            <w:tcW w:w="1409" w:type="dxa"/>
          </w:tcPr>
          <w:p w14:paraId="4ED8F35B" w14:textId="77777777" w:rsidR="00B73B82" w:rsidRPr="009D738E" w:rsidRDefault="00B73B82" w:rsidP="007C1A2E">
            <w:pPr>
              <w:spacing w:before="100" w:beforeAutospacing="1" w:after="100" w:afterAutospacing="1" w:line="360" w:lineRule="auto"/>
              <w:rPr>
                <w:rFonts w:asciiTheme="majorHAnsi" w:hAnsiTheme="majorHAnsi" w:cstheme="majorHAnsi"/>
                <w:b/>
                <w:bCs/>
                <w:color w:val="000000" w:themeColor="text1"/>
                <w:sz w:val="18"/>
                <w:szCs w:val="18"/>
              </w:rPr>
            </w:pPr>
            <w:r w:rsidRPr="009D738E">
              <w:rPr>
                <w:rFonts w:asciiTheme="majorHAnsi" w:hAnsiTheme="majorHAnsi" w:cstheme="majorHAnsi"/>
                <w:b/>
                <w:bCs/>
                <w:color w:val="000000" w:themeColor="text1"/>
                <w:sz w:val="18"/>
                <w:szCs w:val="18"/>
              </w:rPr>
              <w:t>% Sufficiently useful</w:t>
            </w:r>
          </w:p>
        </w:tc>
        <w:tc>
          <w:tcPr>
            <w:tcW w:w="1306" w:type="dxa"/>
          </w:tcPr>
          <w:p w14:paraId="73FCB98E" w14:textId="77777777" w:rsidR="00B73B82" w:rsidRPr="009D738E" w:rsidRDefault="00B73B82" w:rsidP="007C1A2E">
            <w:pPr>
              <w:spacing w:before="100" w:beforeAutospacing="1" w:after="100" w:afterAutospacing="1" w:line="360" w:lineRule="auto"/>
              <w:rPr>
                <w:rFonts w:asciiTheme="majorHAnsi" w:hAnsiTheme="majorHAnsi" w:cstheme="majorHAnsi"/>
                <w:b/>
                <w:bCs/>
                <w:color w:val="000000" w:themeColor="text1"/>
                <w:sz w:val="18"/>
                <w:szCs w:val="18"/>
              </w:rPr>
            </w:pPr>
            <w:r w:rsidRPr="009D738E">
              <w:rPr>
                <w:rFonts w:asciiTheme="majorHAnsi" w:hAnsiTheme="majorHAnsi" w:cstheme="majorHAnsi"/>
                <w:b/>
                <w:bCs/>
                <w:color w:val="000000" w:themeColor="text1"/>
                <w:sz w:val="18"/>
                <w:szCs w:val="18"/>
              </w:rPr>
              <w:t>% Extremely useful</w:t>
            </w:r>
          </w:p>
        </w:tc>
      </w:tr>
      <w:tr w:rsidR="00B73B82" w:rsidRPr="009D738E" w14:paraId="76C08650" w14:textId="77777777" w:rsidTr="00EF19F0">
        <w:trPr>
          <w:trHeight w:val="81"/>
        </w:trPr>
        <w:tc>
          <w:tcPr>
            <w:tcW w:w="1625" w:type="dxa"/>
          </w:tcPr>
          <w:p w14:paraId="3A47E1D6" w14:textId="77777777" w:rsidR="00B73B82" w:rsidRPr="009D738E" w:rsidRDefault="00B73B82" w:rsidP="007C1A2E">
            <w:pPr>
              <w:spacing w:before="100" w:beforeAutospacing="1" w:after="100" w:afterAutospacing="1" w:line="360" w:lineRule="auto"/>
              <w:rPr>
                <w:rFonts w:asciiTheme="majorHAnsi" w:hAnsiTheme="majorHAnsi" w:cstheme="majorHAnsi"/>
                <w:color w:val="000000" w:themeColor="text1"/>
                <w:sz w:val="18"/>
                <w:szCs w:val="18"/>
              </w:rPr>
            </w:pPr>
            <w:r w:rsidRPr="009D738E">
              <w:rPr>
                <w:rFonts w:asciiTheme="majorHAnsi" w:hAnsiTheme="majorHAnsi" w:cstheme="majorHAnsi"/>
                <w:color w:val="000000" w:themeColor="text1"/>
                <w:sz w:val="18"/>
                <w:szCs w:val="18"/>
              </w:rPr>
              <w:t>Main Study*</w:t>
            </w:r>
          </w:p>
        </w:tc>
        <w:tc>
          <w:tcPr>
            <w:tcW w:w="1391" w:type="dxa"/>
          </w:tcPr>
          <w:p w14:paraId="72AFAC40" w14:textId="77777777" w:rsidR="00B73B82" w:rsidRPr="009D738E" w:rsidRDefault="00B73B82"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868" w:type="dxa"/>
          </w:tcPr>
          <w:p w14:paraId="58700776" w14:textId="77777777" w:rsidR="00B73B82" w:rsidRPr="009D738E" w:rsidRDefault="00B73B82"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409" w:type="dxa"/>
          </w:tcPr>
          <w:p w14:paraId="5CDB2F94" w14:textId="77777777" w:rsidR="00B73B82" w:rsidRPr="009D738E" w:rsidRDefault="00B73B82"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306" w:type="dxa"/>
          </w:tcPr>
          <w:p w14:paraId="5FBD2851" w14:textId="77777777" w:rsidR="00B73B82" w:rsidRPr="009D738E" w:rsidRDefault="00B73B82" w:rsidP="007C1A2E">
            <w:pPr>
              <w:spacing w:before="100" w:beforeAutospacing="1" w:after="100" w:afterAutospacing="1" w:line="360" w:lineRule="auto"/>
              <w:rPr>
                <w:rFonts w:asciiTheme="majorHAnsi" w:hAnsiTheme="majorHAnsi" w:cstheme="majorHAnsi"/>
                <w:color w:val="000000" w:themeColor="text1"/>
                <w:sz w:val="18"/>
                <w:szCs w:val="18"/>
              </w:rPr>
            </w:pPr>
          </w:p>
        </w:tc>
      </w:tr>
      <w:tr w:rsidR="00B73B82" w:rsidRPr="009D738E" w14:paraId="34EAA1D5" w14:textId="77777777" w:rsidTr="00EF19F0">
        <w:trPr>
          <w:trHeight w:val="38"/>
        </w:trPr>
        <w:tc>
          <w:tcPr>
            <w:tcW w:w="1625" w:type="dxa"/>
          </w:tcPr>
          <w:p w14:paraId="52ED9190" w14:textId="77777777" w:rsidR="00B73B82" w:rsidRPr="009D738E" w:rsidRDefault="00B73B82" w:rsidP="007C1A2E">
            <w:pPr>
              <w:spacing w:before="100" w:beforeAutospacing="1" w:after="100" w:afterAutospacing="1" w:line="360" w:lineRule="auto"/>
              <w:rPr>
                <w:rFonts w:asciiTheme="majorHAnsi" w:hAnsiTheme="majorHAnsi" w:cstheme="majorHAnsi"/>
                <w:color w:val="000000" w:themeColor="text1"/>
                <w:sz w:val="18"/>
                <w:szCs w:val="18"/>
              </w:rPr>
            </w:pPr>
            <w:r w:rsidRPr="009D738E">
              <w:rPr>
                <w:rFonts w:asciiTheme="majorHAnsi" w:hAnsiTheme="majorHAnsi" w:cstheme="majorHAnsi"/>
                <w:color w:val="000000" w:themeColor="text1"/>
                <w:sz w:val="18"/>
                <w:szCs w:val="18"/>
              </w:rPr>
              <w:t>PSHs (n=26)</w:t>
            </w:r>
          </w:p>
        </w:tc>
        <w:tc>
          <w:tcPr>
            <w:tcW w:w="1391" w:type="dxa"/>
          </w:tcPr>
          <w:p w14:paraId="7EF62DBB" w14:textId="77777777" w:rsidR="00B73B82" w:rsidRPr="009D738E" w:rsidRDefault="00B73B82" w:rsidP="007C1A2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50</w:t>
            </w:r>
            <w:r w:rsidRPr="009D738E">
              <w:rPr>
                <w:rFonts w:asciiTheme="majorHAnsi" w:hAnsiTheme="majorHAnsi" w:cstheme="majorHAnsi"/>
                <w:color w:val="000000" w:themeColor="text1"/>
                <w:sz w:val="18"/>
                <w:szCs w:val="18"/>
              </w:rPr>
              <w:t>%</w:t>
            </w:r>
          </w:p>
        </w:tc>
        <w:tc>
          <w:tcPr>
            <w:tcW w:w="1868" w:type="dxa"/>
          </w:tcPr>
          <w:p w14:paraId="454558C4" w14:textId="77777777" w:rsidR="00B73B82" w:rsidRPr="009D738E" w:rsidRDefault="00B73B82" w:rsidP="007C1A2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42</w:t>
            </w:r>
            <w:r w:rsidRPr="009D738E">
              <w:rPr>
                <w:rFonts w:asciiTheme="majorHAnsi" w:hAnsiTheme="majorHAnsi" w:cstheme="majorHAnsi"/>
                <w:color w:val="000000" w:themeColor="text1"/>
                <w:sz w:val="18"/>
                <w:szCs w:val="18"/>
              </w:rPr>
              <w:t>%</w:t>
            </w:r>
          </w:p>
        </w:tc>
        <w:tc>
          <w:tcPr>
            <w:tcW w:w="1409" w:type="dxa"/>
          </w:tcPr>
          <w:p w14:paraId="106B3E88" w14:textId="77777777" w:rsidR="00B73B82" w:rsidRPr="009D738E" w:rsidRDefault="00B73B82" w:rsidP="007C1A2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27</w:t>
            </w:r>
            <w:r w:rsidRPr="009D738E">
              <w:rPr>
                <w:rFonts w:asciiTheme="majorHAnsi" w:hAnsiTheme="majorHAnsi" w:cstheme="majorHAnsi"/>
                <w:color w:val="000000" w:themeColor="text1"/>
                <w:sz w:val="18"/>
                <w:szCs w:val="18"/>
              </w:rPr>
              <w:t>%</w:t>
            </w:r>
          </w:p>
        </w:tc>
        <w:tc>
          <w:tcPr>
            <w:tcW w:w="1306" w:type="dxa"/>
          </w:tcPr>
          <w:p w14:paraId="7D4AAD63" w14:textId="77777777" w:rsidR="00B73B82" w:rsidRPr="009D738E" w:rsidRDefault="00B73B82" w:rsidP="007C1A2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54</w:t>
            </w:r>
            <w:r w:rsidRPr="009D738E">
              <w:rPr>
                <w:rFonts w:asciiTheme="majorHAnsi" w:hAnsiTheme="majorHAnsi" w:cstheme="majorHAnsi"/>
                <w:color w:val="000000" w:themeColor="text1"/>
                <w:sz w:val="18"/>
                <w:szCs w:val="18"/>
              </w:rPr>
              <w:t>%</w:t>
            </w:r>
          </w:p>
        </w:tc>
      </w:tr>
      <w:tr w:rsidR="00B73B82" w:rsidRPr="009D738E" w14:paraId="00188713" w14:textId="77777777" w:rsidTr="00EF19F0">
        <w:trPr>
          <w:trHeight w:val="181"/>
        </w:trPr>
        <w:tc>
          <w:tcPr>
            <w:tcW w:w="1625" w:type="dxa"/>
          </w:tcPr>
          <w:p w14:paraId="284F2D64" w14:textId="77777777" w:rsidR="00B73B82" w:rsidRPr="009D738E" w:rsidRDefault="00B73B82" w:rsidP="007C1A2E">
            <w:pPr>
              <w:spacing w:before="100" w:beforeAutospacing="1" w:after="100" w:afterAutospacing="1" w:line="360" w:lineRule="auto"/>
              <w:rPr>
                <w:rFonts w:asciiTheme="majorHAnsi" w:hAnsiTheme="majorHAnsi" w:cstheme="majorHAnsi"/>
                <w:color w:val="000000" w:themeColor="text1"/>
                <w:sz w:val="18"/>
                <w:szCs w:val="18"/>
              </w:rPr>
            </w:pPr>
            <w:r w:rsidRPr="009D738E">
              <w:rPr>
                <w:rFonts w:asciiTheme="majorHAnsi" w:hAnsiTheme="majorHAnsi" w:cstheme="majorHAnsi"/>
                <w:color w:val="000000" w:themeColor="text1"/>
                <w:sz w:val="18"/>
                <w:szCs w:val="18"/>
              </w:rPr>
              <w:t>Teachers (n=107)</w:t>
            </w:r>
          </w:p>
        </w:tc>
        <w:tc>
          <w:tcPr>
            <w:tcW w:w="1391" w:type="dxa"/>
          </w:tcPr>
          <w:p w14:paraId="008D13F9" w14:textId="77777777" w:rsidR="00B73B82" w:rsidRPr="009D738E" w:rsidRDefault="00B73B82" w:rsidP="007C1A2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51</w:t>
            </w:r>
            <w:r w:rsidRPr="009D738E">
              <w:rPr>
                <w:rFonts w:asciiTheme="majorHAnsi" w:hAnsiTheme="majorHAnsi" w:cstheme="majorHAnsi"/>
                <w:color w:val="000000" w:themeColor="text1"/>
                <w:sz w:val="18"/>
                <w:szCs w:val="18"/>
              </w:rPr>
              <w:t>%</w:t>
            </w:r>
          </w:p>
        </w:tc>
        <w:tc>
          <w:tcPr>
            <w:tcW w:w="1868" w:type="dxa"/>
          </w:tcPr>
          <w:p w14:paraId="3F43E53D" w14:textId="77777777" w:rsidR="00B73B82" w:rsidRPr="009D738E" w:rsidRDefault="00B73B82" w:rsidP="007C1A2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22</w:t>
            </w:r>
            <w:r w:rsidRPr="009D738E">
              <w:rPr>
                <w:rFonts w:asciiTheme="majorHAnsi" w:hAnsiTheme="majorHAnsi" w:cstheme="majorHAnsi"/>
                <w:color w:val="000000" w:themeColor="text1"/>
                <w:sz w:val="18"/>
                <w:szCs w:val="18"/>
              </w:rPr>
              <w:t>%</w:t>
            </w:r>
          </w:p>
        </w:tc>
        <w:tc>
          <w:tcPr>
            <w:tcW w:w="1409" w:type="dxa"/>
          </w:tcPr>
          <w:p w14:paraId="2ABE2E54" w14:textId="77777777" w:rsidR="00B73B82" w:rsidRPr="009D738E" w:rsidRDefault="00B73B82" w:rsidP="007C1A2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43</w:t>
            </w:r>
            <w:r w:rsidRPr="009D738E">
              <w:rPr>
                <w:rFonts w:asciiTheme="majorHAnsi" w:hAnsiTheme="majorHAnsi" w:cstheme="majorHAnsi"/>
                <w:color w:val="000000" w:themeColor="text1"/>
                <w:sz w:val="18"/>
                <w:szCs w:val="18"/>
              </w:rPr>
              <w:t>%</w:t>
            </w:r>
          </w:p>
        </w:tc>
        <w:tc>
          <w:tcPr>
            <w:tcW w:w="1306" w:type="dxa"/>
          </w:tcPr>
          <w:p w14:paraId="5D04114C" w14:textId="77777777" w:rsidR="00B73B82" w:rsidRPr="009D738E" w:rsidRDefault="00B73B82" w:rsidP="007C1A2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30</w:t>
            </w:r>
            <w:r w:rsidRPr="009D738E">
              <w:rPr>
                <w:rFonts w:asciiTheme="majorHAnsi" w:hAnsiTheme="majorHAnsi" w:cstheme="majorHAnsi"/>
                <w:color w:val="000000" w:themeColor="text1"/>
                <w:sz w:val="18"/>
                <w:szCs w:val="18"/>
              </w:rPr>
              <w:t>%</w:t>
            </w:r>
          </w:p>
        </w:tc>
      </w:tr>
      <w:tr w:rsidR="00B73B82" w:rsidRPr="009D738E" w14:paraId="77AC7D40" w14:textId="77777777" w:rsidTr="00EF19F0">
        <w:trPr>
          <w:trHeight w:val="166"/>
        </w:trPr>
        <w:tc>
          <w:tcPr>
            <w:tcW w:w="1625" w:type="dxa"/>
          </w:tcPr>
          <w:p w14:paraId="48029E0C" w14:textId="77777777" w:rsidR="00B73B82" w:rsidRPr="009D738E" w:rsidRDefault="00B73B82" w:rsidP="007C1A2E">
            <w:pPr>
              <w:spacing w:before="100" w:beforeAutospacing="1" w:after="100" w:afterAutospacing="1" w:line="360" w:lineRule="auto"/>
              <w:rPr>
                <w:rFonts w:asciiTheme="majorHAnsi" w:hAnsiTheme="majorHAnsi" w:cstheme="majorHAnsi"/>
                <w:color w:val="000000" w:themeColor="text1"/>
                <w:sz w:val="18"/>
                <w:szCs w:val="18"/>
              </w:rPr>
            </w:pPr>
            <w:r w:rsidRPr="009D738E">
              <w:rPr>
                <w:rFonts w:asciiTheme="majorHAnsi" w:hAnsiTheme="majorHAnsi" w:cstheme="majorHAnsi"/>
                <w:color w:val="000000" w:themeColor="text1"/>
                <w:sz w:val="18"/>
                <w:szCs w:val="18"/>
              </w:rPr>
              <w:t>Follow-Up Study **</w:t>
            </w:r>
          </w:p>
        </w:tc>
        <w:tc>
          <w:tcPr>
            <w:tcW w:w="1391" w:type="dxa"/>
          </w:tcPr>
          <w:p w14:paraId="27760A67" w14:textId="77777777" w:rsidR="00B73B82" w:rsidRPr="009D738E" w:rsidRDefault="00B73B82"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868" w:type="dxa"/>
          </w:tcPr>
          <w:p w14:paraId="7679E2F0" w14:textId="77777777" w:rsidR="00B73B82" w:rsidRPr="009D738E" w:rsidRDefault="00B73B82"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409" w:type="dxa"/>
          </w:tcPr>
          <w:p w14:paraId="3D040301" w14:textId="77777777" w:rsidR="00B73B82" w:rsidRPr="009D738E" w:rsidRDefault="00B73B82"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306" w:type="dxa"/>
          </w:tcPr>
          <w:p w14:paraId="5DF413E7" w14:textId="77777777" w:rsidR="00B73B82" w:rsidRPr="009D738E" w:rsidRDefault="00B73B82" w:rsidP="007C1A2E">
            <w:pPr>
              <w:spacing w:before="100" w:beforeAutospacing="1" w:after="100" w:afterAutospacing="1" w:line="360" w:lineRule="auto"/>
              <w:rPr>
                <w:rFonts w:asciiTheme="majorHAnsi" w:hAnsiTheme="majorHAnsi" w:cstheme="majorHAnsi"/>
                <w:color w:val="000000" w:themeColor="text1"/>
                <w:sz w:val="18"/>
                <w:szCs w:val="18"/>
              </w:rPr>
            </w:pPr>
          </w:p>
        </w:tc>
      </w:tr>
      <w:tr w:rsidR="00B73B82" w:rsidRPr="009D738E" w14:paraId="700E3F6C" w14:textId="77777777" w:rsidTr="00EF19F0">
        <w:trPr>
          <w:trHeight w:val="67"/>
        </w:trPr>
        <w:tc>
          <w:tcPr>
            <w:tcW w:w="1625" w:type="dxa"/>
          </w:tcPr>
          <w:p w14:paraId="2F4DF584" w14:textId="77777777" w:rsidR="00B73B82" w:rsidRPr="009D738E" w:rsidRDefault="00B73B82" w:rsidP="007C1A2E">
            <w:pPr>
              <w:spacing w:before="100" w:beforeAutospacing="1" w:after="100" w:afterAutospacing="1" w:line="360" w:lineRule="auto"/>
              <w:rPr>
                <w:rFonts w:asciiTheme="majorHAnsi" w:hAnsiTheme="majorHAnsi" w:cstheme="majorHAnsi"/>
                <w:color w:val="000000" w:themeColor="text1"/>
                <w:sz w:val="18"/>
                <w:szCs w:val="18"/>
              </w:rPr>
            </w:pPr>
            <w:r w:rsidRPr="009D738E">
              <w:rPr>
                <w:rFonts w:asciiTheme="majorHAnsi" w:hAnsiTheme="majorHAnsi" w:cstheme="majorHAnsi"/>
                <w:color w:val="000000" w:themeColor="text1"/>
                <w:sz w:val="18"/>
                <w:szCs w:val="18"/>
              </w:rPr>
              <w:t>PSHs (n=11)</w:t>
            </w:r>
          </w:p>
        </w:tc>
        <w:tc>
          <w:tcPr>
            <w:tcW w:w="1391" w:type="dxa"/>
          </w:tcPr>
          <w:p w14:paraId="5CD086C4" w14:textId="77777777" w:rsidR="00B73B82" w:rsidRPr="009D738E" w:rsidRDefault="00B73B82" w:rsidP="007C1A2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42</w:t>
            </w:r>
            <w:r w:rsidRPr="009D738E">
              <w:rPr>
                <w:rFonts w:asciiTheme="majorHAnsi" w:hAnsiTheme="majorHAnsi" w:cstheme="majorHAnsi"/>
                <w:color w:val="000000" w:themeColor="text1"/>
                <w:sz w:val="18"/>
                <w:szCs w:val="18"/>
              </w:rPr>
              <w:t>%</w:t>
            </w:r>
          </w:p>
        </w:tc>
        <w:tc>
          <w:tcPr>
            <w:tcW w:w="1868" w:type="dxa"/>
          </w:tcPr>
          <w:p w14:paraId="46CF07C9" w14:textId="77777777" w:rsidR="00B73B82" w:rsidRPr="009D738E" w:rsidRDefault="00B73B82" w:rsidP="007C1A2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33</w:t>
            </w:r>
            <w:r w:rsidRPr="009D738E">
              <w:rPr>
                <w:rFonts w:asciiTheme="majorHAnsi" w:hAnsiTheme="majorHAnsi" w:cstheme="majorHAnsi"/>
                <w:color w:val="000000" w:themeColor="text1"/>
                <w:sz w:val="18"/>
                <w:szCs w:val="18"/>
              </w:rPr>
              <w:t>%</w:t>
            </w:r>
          </w:p>
        </w:tc>
        <w:tc>
          <w:tcPr>
            <w:tcW w:w="1409" w:type="dxa"/>
          </w:tcPr>
          <w:p w14:paraId="0F6A8A28" w14:textId="77777777" w:rsidR="00B73B82" w:rsidRPr="009D738E" w:rsidRDefault="00B73B82" w:rsidP="007C1A2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42</w:t>
            </w:r>
            <w:r w:rsidRPr="009D738E">
              <w:rPr>
                <w:rFonts w:asciiTheme="majorHAnsi" w:hAnsiTheme="majorHAnsi" w:cstheme="majorHAnsi"/>
                <w:color w:val="000000" w:themeColor="text1"/>
                <w:sz w:val="18"/>
                <w:szCs w:val="18"/>
              </w:rPr>
              <w:t>%</w:t>
            </w:r>
          </w:p>
        </w:tc>
        <w:tc>
          <w:tcPr>
            <w:tcW w:w="1306" w:type="dxa"/>
          </w:tcPr>
          <w:p w14:paraId="0542D5BC" w14:textId="77777777" w:rsidR="00B73B82" w:rsidRPr="009D738E" w:rsidRDefault="00B73B82" w:rsidP="007C1A2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33</w:t>
            </w:r>
            <w:r w:rsidRPr="009D738E">
              <w:rPr>
                <w:rFonts w:asciiTheme="majorHAnsi" w:hAnsiTheme="majorHAnsi" w:cstheme="majorHAnsi"/>
                <w:color w:val="000000" w:themeColor="text1"/>
                <w:sz w:val="18"/>
                <w:szCs w:val="18"/>
              </w:rPr>
              <w:t>%</w:t>
            </w:r>
          </w:p>
        </w:tc>
      </w:tr>
      <w:tr w:rsidR="00B73B82" w:rsidRPr="009D738E" w14:paraId="7C8D0913" w14:textId="77777777" w:rsidTr="00EF19F0">
        <w:trPr>
          <w:trHeight w:val="38"/>
        </w:trPr>
        <w:tc>
          <w:tcPr>
            <w:tcW w:w="1625" w:type="dxa"/>
          </w:tcPr>
          <w:p w14:paraId="6DA3FFED" w14:textId="77777777" w:rsidR="00B73B82" w:rsidRPr="009D738E" w:rsidRDefault="00B73B82" w:rsidP="007C1A2E">
            <w:pPr>
              <w:spacing w:before="100" w:beforeAutospacing="1" w:after="100" w:afterAutospacing="1" w:line="360" w:lineRule="auto"/>
              <w:rPr>
                <w:rFonts w:asciiTheme="majorHAnsi" w:hAnsiTheme="majorHAnsi" w:cstheme="majorHAnsi"/>
                <w:color w:val="000000" w:themeColor="text1"/>
                <w:sz w:val="18"/>
                <w:szCs w:val="18"/>
              </w:rPr>
            </w:pPr>
            <w:r w:rsidRPr="009D738E">
              <w:rPr>
                <w:rFonts w:asciiTheme="majorHAnsi" w:hAnsiTheme="majorHAnsi" w:cstheme="majorHAnsi"/>
                <w:color w:val="000000" w:themeColor="text1"/>
                <w:sz w:val="18"/>
                <w:szCs w:val="18"/>
              </w:rPr>
              <w:t>Teachers (n=61)</w:t>
            </w:r>
          </w:p>
        </w:tc>
        <w:tc>
          <w:tcPr>
            <w:tcW w:w="1391" w:type="dxa"/>
          </w:tcPr>
          <w:p w14:paraId="479E244D" w14:textId="77777777" w:rsidR="00B73B82" w:rsidRPr="009D738E" w:rsidRDefault="00B73B82" w:rsidP="007C1A2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56</w:t>
            </w:r>
            <w:r w:rsidRPr="009D738E">
              <w:rPr>
                <w:rFonts w:asciiTheme="majorHAnsi" w:hAnsiTheme="majorHAnsi" w:cstheme="majorHAnsi"/>
                <w:color w:val="000000" w:themeColor="text1"/>
                <w:sz w:val="18"/>
                <w:szCs w:val="18"/>
              </w:rPr>
              <w:t>%</w:t>
            </w:r>
          </w:p>
        </w:tc>
        <w:tc>
          <w:tcPr>
            <w:tcW w:w="1868" w:type="dxa"/>
          </w:tcPr>
          <w:p w14:paraId="18E38BE5" w14:textId="77777777" w:rsidR="00B73B82" w:rsidRPr="009D738E" w:rsidRDefault="00B73B82" w:rsidP="007C1A2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34</w:t>
            </w:r>
            <w:r w:rsidRPr="009D738E">
              <w:rPr>
                <w:rFonts w:asciiTheme="majorHAnsi" w:hAnsiTheme="majorHAnsi" w:cstheme="majorHAnsi"/>
                <w:color w:val="000000" w:themeColor="text1"/>
                <w:sz w:val="18"/>
                <w:szCs w:val="18"/>
              </w:rPr>
              <w:t>%</w:t>
            </w:r>
          </w:p>
        </w:tc>
        <w:tc>
          <w:tcPr>
            <w:tcW w:w="1409" w:type="dxa"/>
          </w:tcPr>
          <w:p w14:paraId="6C7A9593" w14:textId="77777777" w:rsidR="00B73B82" w:rsidRPr="009D738E" w:rsidRDefault="00B73B82" w:rsidP="007C1A2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51</w:t>
            </w:r>
            <w:r w:rsidRPr="009D738E">
              <w:rPr>
                <w:rFonts w:asciiTheme="majorHAnsi" w:hAnsiTheme="majorHAnsi" w:cstheme="majorHAnsi"/>
                <w:color w:val="000000" w:themeColor="text1"/>
                <w:sz w:val="18"/>
                <w:szCs w:val="18"/>
              </w:rPr>
              <w:t>%</w:t>
            </w:r>
          </w:p>
        </w:tc>
        <w:tc>
          <w:tcPr>
            <w:tcW w:w="1306" w:type="dxa"/>
          </w:tcPr>
          <w:p w14:paraId="35C909E3" w14:textId="77777777" w:rsidR="00B73B82" w:rsidRPr="009D738E" w:rsidRDefault="00B73B82" w:rsidP="007C1A2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41</w:t>
            </w:r>
            <w:r w:rsidRPr="009D738E">
              <w:rPr>
                <w:rFonts w:asciiTheme="majorHAnsi" w:hAnsiTheme="majorHAnsi" w:cstheme="majorHAnsi"/>
                <w:color w:val="000000" w:themeColor="text1"/>
                <w:sz w:val="18"/>
                <w:szCs w:val="18"/>
              </w:rPr>
              <w:t>%</w:t>
            </w:r>
          </w:p>
        </w:tc>
      </w:tr>
    </w:tbl>
    <w:p w14:paraId="6CA31562" w14:textId="67FF891E" w:rsidR="00B73B82" w:rsidRPr="007C1A2E" w:rsidRDefault="00B73B82" w:rsidP="007C1A2E">
      <w:pPr>
        <w:spacing w:before="100" w:beforeAutospacing="1" w:after="100" w:afterAutospacing="1" w:line="360" w:lineRule="auto"/>
        <w:rPr>
          <w:rFonts w:asciiTheme="majorHAnsi" w:hAnsiTheme="majorHAnsi" w:cstheme="majorHAnsi"/>
          <w:sz w:val="14"/>
          <w:szCs w:val="14"/>
        </w:rPr>
      </w:pPr>
      <w:r w:rsidRPr="00020D54">
        <w:rPr>
          <w:rFonts w:asciiTheme="majorHAnsi" w:hAnsiTheme="majorHAnsi" w:cstheme="majorHAnsi"/>
          <w:sz w:val="14"/>
          <w:szCs w:val="14"/>
        </w:rPr>
        <w:t>*2019 KAU Survey **2020 KAU Survey</w:t>
      </w:r>
    </w:p>
    <w:p w14:paraId="47783528" w14:textId="5F4AFA99" w:rsidR="008D0CAD" w:rsidRDefault="008D0CAD" w:rsidP="007C1A2E">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color w:val="000000"/>
        </w:rPr>
        <w:t>RPMS</w:t>
      </w:r>
      <w:r>
        <w:rPr>
          <w:rFonts w:asciiTheme="majorHAnsi" w:hAnsiTheme="majorHAnsi" w:cstheme="majorHAnsi"/>
        </w:rPr>
        <w:t xml:space="preserve"> assessment tools were thus aligned with the PPST, namely: the </w:t>
      </w:r>
      <w:r w:rsidRPr="006F560C">
        <w:rPr>
          <w:rFonts w:asciiTheme="majorHAnsi" w:hAnsiTheme="majorHAnsi" w:cstheme="majorHAnsi"/>
        </w:rPr>
        <w:t xml:space="preserve">RPMS Tools for Teachers I-III and Master Teachers, Manual, and tools within the RPMS cycles </w:t>
      </w:r>
      <w:r w:rsidRPr="00F318E4">
        <w:rPr>
          <w:rFonts w:asciiTheme="majorHAnsi" w:hAnsiTheme="majorHAnsi" w:cstheme="majorHAnsi"/>
          <w:color w:val="000000"/>
        </w:rPr>
        <w:t>specifically</w:t>
      </w:r>
      <w:r>
        <w:rPr>
          <w:rFonts w:asciiTheme="majorHAnsi" w:hAnsiTheme="majorHAnsi" w:cstheme="majorHAnsi"/>
          <w:color w:val="000000"/>
        </w:rPr>
        <w:t xml:space="preserve"> </w:t>
      </w:r>
      <w:r w:rsidRPr="00F318E4">
        <w:rPr>
          <w:rFonts w:asciiTheme="majorHAnsi" w:hAnsiTheme="majorHAnsi" w:cstheme="majorHAnsi"/>
          <w:color w:val="000000"/>
        </w:rPr>
        <w:t xml:space="preserve">the Self- Assessment Tool </w:t>
      </w:r>
      <w:r w:rsidRPr="00A02605">
        <w:rPr>
          <w:rFonts w:asciiTheme="majorHAnsi" w:hAnsiTheme="majorHAnsi" w:cstheme="majorHAnsi"/>
          <w:color w:val="000000" w:themeColor="text1"/>
        </w:rPr>
        <w:t>(SAT), the Classroom Assessment Tool (COT) and the Portfolio Assessment for Teachers (PAT).</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These tools do not directly contribute to improving teacher performance but provide objective means to measure the changes in performance of teachers.</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Thus, acceptance of these tools by the teachers is considered vital.</w:t>
      </w:r>
    </w:p>
    <w:p w14:paraId="699C1060" w14:textId="5A7CA688" w:rsidR="008D0CAD" w:rsidRDefault="008D0CAD" w:rsidP="007C1A2E">
      <w:pPr>
        <w:spacing w:before="100" w:beforeAutospacing="1" w:after="100" w:afterAutospacing="1" w:line="360" w:lineRule="auto"/>
        <w:rPr>
          <w:rFonts w:asciiTheme="majorHAnsi" w:hAnsiTheme="majorHAnsi" w:cstheme="majorHAnsi"/>
          <w:color w:val="000000" w:themeColor="text1"/>
        </w:rPr>
      </w:pPr>
      <w:r w:rsidRPr="006B6BBF">
        <w:rPr>
          <w:rFonts w:asciiTheme="majorHAnsi" w:hAnsiTheme="majorHAnsi" w:cstheme="majorHAnsi"/>
          <w:color w:val="000000" w:themeColor="text1"/>
          <w:shd w:val="clear" w:color="auto" w:fill="FFFFFF"/>
        </w:rPr>
        <w:t xml:space="preserve">Generally, </w:t>
      </w:r>
      <w:r>
        <w:rPr>
          <w:rFonts w:asciiTheme="majorHAnsi" w:hAnsiTheme="majorHAnsi" w:cstheme="majorHAnsi"/>
          <w:color w:val="000000" w:themeColor="text1"/>
          <w:shd w:val="clear" w:color="auto" w:fill="FFFFFF"/>
        </w:rPr>
        <w:t xml:space="preserve">the PPST-aligned RPMS tools was widely accepted, since </w:t>
      </w:r>
      <w:r>
        <w:rPr>
          <w:rFonts w:asciiTheme="majorHAnsi" w:hAnsiTheme="majorHAnsi" w:cstheme="majorHAnsi"/>
          <w:color w:val="000000" w:themeColor="text1"/>
          <w:lang w:val="en-GB"/>
        </w:rPr>
        <w:t>t</w:t>
      </w:r>
      <w:r w:rsidRPr="00A02605">
        <w:rPr>
          <w:rFonts w:asciiTheme="majorHAnsi" w:hAnsiTheme="majorHAnsi" w:cstheme="majorHAnsi"/>
          <w:color w:val="000000" w:themeColor="text1"/>
          <w:lang w:val="en-GB"/>
        </w:rPr>
        <w:t>he</w:t>
      </w:r>
      <w:r>
        <w:rPr>
          <w:rFonts w:asciiTheme="majorHAnsi" w:hAnsiTheme="majorHAnsi" w:cstheme="majorHAnsi"/>
          <w:color w:val="000000" w:themeColor="text1"/>
          <w:lang w:val="en-GB"/>
        </w:rPr>
        <w:t xml:space="preserve"> processes in which the</w:t>
      </w:r>
      <w:r w:rsidRPr="00A02605">
        <w:rPr>
          <w:rFonts w:asciiTheme="majorHAnsi" w:hAnsiTheme="majorHAnsi" w:cstheme="majorHAnsi"/>
          <w:color w:val="000000" w:themeColor="text1"/>
          <w:lang w:val="en-GB"/>
        </w:rPr>
        <w:t xml:space="preserve"> tools were</w:t>
      </w:r>
      <w:r>
        <w:rPr>
          <w:rFonts w:asciiTheme="majorHAnsi" w:hAnsiTheme="majorHAnsi" w:cstheme="majorHAnsi"/>
          <w:color w:val="000000" w:themeColor="text1"/>
          <w:lang w:val="en-GB"/>
        </w:rPr>
        <w:t xml:space="preserve"> used</w:t>
      </w:r>
      <w:r w:rsidRPr="00A02605">
        <w:rPr>
          <w:rFonts w:asciiTheme="majorHAnsi" w:hAnsiTheme="majorHAnsi" w:cstheme="majorHAnsi"/>
          <w:color w:val="000000" w:themeColor="text1"/>
          <w:lang w:val="en-GB"/>
        </w:rPr>
        <w:t xml:space="preserve"> </w:t>
      </w:r>
      <w:r>
        <w:rPr>
          <w:rFonts w:asciiTheme="majorHAnsi" w:hAnsiTheme="majorHAnsi" w:cstheme="majorHAnsi"/>
          <w:color w:val="000000" w:themeColor="text1"/>
          <w:lang w:val="en-GB"/>
        </w:rPr>
        <w:t xml:space="preserve">were </w:t>
      </w:r>
      <w:r w:rsidRPr="00A02605">
        <w:rPr>
          <w:rFonts w:asciiTheme="majorHAnsi" w:hAnsiTheme="majorHAnsi" w:cstheme="majorHAnsi"/>
          <w:color w:val="000000" w:themeColor="text1"/>
          <w:lang w:val="en-GB"/>
        </w:rPr>
        <w:t>not entirely new</w:t>
      </w:r>
      <w:r w:rsidRPr="00F17F46">
        <w:rPr>
          <w:rFonts w:asciiTheme="majorHAnsi" w:hAnsiTheme="majorHAnsi" w:cstheme="majorHAnsi"/>
          <w:color w:val="000000" w:themeColor="text1"/>
          <w:lang w:val="en-GB"/>
        </w:rPr>
        <w:t xml:space="preserve">. </w:t>
      </w:r>
      <w:r w:rsidRPr="00F17F46">
        <w:rPr>
          <w:rFonts w:asciiTheme="majorHAnsi" w:hAnsiTheme="majorHAnsi" w:cstheme="majorHAnsi"/>
          <w:color w:val="000000" w:themeColor="text1"/>
        </w:rPr>
        <w:t>Two Program outputs, however, became very contentious during the roll-out period</w:t>
      </w:r>
      <w:r>
        <w:rPr>
          <w:rFonts w:asciiTheme="majorHAnsi" w:hAnsiTheme="majorHAnsi" w:cstheme="majorHAnsi"/>
          <w:color w:val="000000" w:themeColor="text1"/>
        </w:rPr>
        <w:t xml:space="preserve"> (namely</w:t>
      </w:r>
      <w:r w:rsidRPr="00F17F46">
        <w:rPr>
          <w:rFonts w:asciiTheme="majorHAnsi" w:hAnsiTheme="majorHAnsi" w:cstheme="majorHAnsi"/>
          <w:color w:val="000000" w:themeColor="text1"/>
        </w:rPr>
        <w:t xml:space="preserve"> the COT and the SAT</w:t>
      </w:r>
      <w:r>
        <w:rPr>
          <w:rFonts w:asciiTheme="majorHAnsi" w:hAnsiTheme="majorHAnsi" w:cstheme="majorHAnsi"/>
          <w:color w:val="000000" w:themeColor="text1"/>
        </w:rPr>
        <w:t>) as revealed through KIIs and FGDs</w:t>
      </w:r>
      <w:r w:rsidRPr="00F17F46">
        <w:rPr>
          <w:rFonts w:asciiTheme="majorHAnsi" w:hAnsiTheme="majorHAnsi" w:cstheme="majorHAnsi"/>
          <w:color w:val="000000" w:themeColor="text1"/>
        </w:rPr>
        <w:t>.</w:t>
      </w:r>
      <w:r>
        <w:rPr>
          <w:rFonts w:asciiTheme="majorHAnsi" w:hAnsiTheme="majorHAnsi" w:cstheme="majorHAnsi"/>
          <w:color w:val="000000" w:themeColor="text1"/>
        </w:rPr>
        <w:t xml:space="preserve"> For instance, in the case of the COT, implementation</w:t>
      </w:r>
      <w:r w:rsidRPr="00F17F46">
        <w:rPr>
          <w:rFonts w:asciiTheme="majorHAnsi" w:hAnsiTheme="majorHAnsi" w:cstheme="majorHAnsi"/>
          <w:color w:val="000000" w:themeColor="text1"/>
        </w:rPr>
        <w:t xml:space="preserve"> </w:t>
      </w:r>
      <w:r>
        <w:rPr>
          <w:rFonts w:asciiTheme="majorHAnsi" w:hAnsiTheme="majorHAnsi" w:cstheme="majorHAnsi"/>
          <w:color w:val="000000" w:themeColor="text1"/>
        </w:rPr>
        <w:t>differed across schools in terms of timing (principals conducted classroom observations using the COT monthly, every two months and quarterly) and substance (principals only observed certain sets of competencies at given times such as use of ICT).</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The differences in interpretation were attributed to the </w:t>
      </w:r>
      <w:r w:rsidR="00DD6E21">
        <w:rPr>
          <w:rFonts w:asciiTheme="majorHAnsi" w:hAnsiTheme="majorHAnsi" w:cstheme="majorHAnsi"/>
          <w:color w:val="000000" w:themeColor="text1"/>
        </w:rPr>
        <w:t>poor-quality</w:t>
      </w:r>
      <w:r>
        <w:rPr>
          <w:rFonts w:asciiTheme="majorHAnsi" w:hAnsiTheme="majorHAnsi" w:cstheme="majorHAnsi"/>
          <w:color w:val="000000" w:themeColor="text1"/>
        </w:rPr>
        <w:t xml:space="preserve"> roll-out of orientations (in which a 3-day workshop at the national level were reduced to half-day or even one-hour orientations once ‘cascaded’ down to school level).</w:t>
      </w:r>
    </w:p>
    <w:p w14:paraId="232D32B4" w14:textId="54A42189" w:rsidR="008D0CAD" w:rsidRDefault="008D0CAD" w:rsidP="007C1A2E">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color w:val="000000" w:themeColor="text1"/>
        </w:rPr>
        <w:t>In the case of the SATs, the main contention related to the volume of evidence required from the teachers for each subject taught.</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The teachers spent significant time completing Self Assessments at the expense of teaching.</w:t>
      </w:r>
      <w:r w:rsidR="00D434EB">
        <w:rPr>
          <w:rFonts w:asciiTheme="majorHAnsi" w:hAnsiTheme="majorHAnsi" w:cstheme="majorHAnsi"/>
          <w:color w:val="000000" w:themeColor="text1"/>
        </w:rPr>
        <w:t xml:space="preserve"> </w:t>
      </w:r>
    </w:p>
    <w:p w14:paraId="17FEF896" w14:textId="2D3B3D72" w:rsidR="008D0CAD" w:rsidRDefault="008D0CAD" w:rsidP="007C1A2E">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color w:val="000000" w:themeColor="text1"/>
        </w:rPr>
        <w:t>It is important to note, however, that in the Follow-up Study, it was observed that many of these concerns had been addressed.</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This strongly suggests many of the implementation issues experienced during the cascading of the reforms to the schools may have been addressed and that the benefits accruing to the teachers have become more apparent.</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The results of the KAU Survey from the Follow-Up Study highlight this finding.</w:t>
      </w:r>
    </w:p>
    <w:p w14:paraId="4EF549FA" w14:textId="54B10A9D" w:rsidR="00B73B82" w:rsidRPr="007C1A2E" w:rsidRDefault="008D0CAD" w:rsidP="007C1A2E">
      <w:pPr>
        <w:spacing w:before="100" w:beforeAutospacing="1" w:after="100" w:afterAutospacing="1" w:line="360" w:lineRule="auto"/>
        <w:rPr>
          <w:rFonts w:asciiTheme="majorHAnsi" w:hAnsiTheme="majorHAnsi" w:cstheme="majorHAnsi"/>
          <w:i/>
          <w:iCs/>
          <w:color w:val="44546A" w:themeColor="text2"/>
          <w:sz w:val="22"/>
          <w:szCs w:val="22"/>
        </w:rPr>
      </w:pPr>
      <w:bookmarkStart w:id="99" w:name="_Toc71616606"/>
      <w:r w:rsidRPr="00DD6E21">
        <w:rPr>
          <w:rFonts w:asciiTheme="majorHAnsi" w:hAnsiTheme="majorHAnsi" w:cstheme="majorHAnsi"/>
          <w:i/>
          <w:iCs/>
          <w:color w:val="44546A" w:themeColor="text2"/>
          <w:sz w:val="22"/>
          <w:szCs w:val="22"/>
        </w:rPr>
        <w:t xml:space="preserve">Table </w:t>
      </w:r>
      <w:r w:rsidRPr="00DD6E21">
        <w:rPr>
          <w:rFonts w:asciiTheme="majorHAnsi" w:hAnsiTheme="majorHAnsi" w:cstheme="majorHAnsi"/>
          <w:i/>
          <w:iCs/>
          <w:color w:val="44546A" w:themeColor="text2"/>
          <w:sz w:val="22"/>
          <w:szCs w:val="22"/>
        </w:rPr>
        <w:fldChar w:fldCharType="begin"/>
      </w:r>
      <w:r w:rsidRPr="00DD6E21">
        <w:rPr>
          <w:rFonts w:asciiTheme="majorHAnsi" w:hAnsiTheme="majorHAnsi" w:cstheme="majorHAnsi"/>
          <w:i/>
          <w:iCs/>
          <w:color w:val="44546A" w:themeColor="text2"/>
          <w:sz w:val="22"/>
          <w:szCs w:val="22"/>
        </w:rPr>
        <w:instrText xml:space="preserve"> SEQ Table \* ARABIC </w:instrText>
      </w:r>
      <w:r w:rsidRPr="00DD6E21">
        <w:rPr>
          <w:rFonts w:asciiTheme="majorHAnsi" w:hAnsiTheme="majorHAnsi" w:cstheme="majorHAnsi"/>
          <w:i/>
          <w:iCs/>
          <w:color w:val="44546A" w:themeColor="text2"/>
          <w:sz w:val="22"/>
          <w:szCs w:val="22"/>
        </w:rPr>
        <w:fldChar w:fldCharType="separate"/>
      </w:r>
      <w:r w:rsidR="00D6133D">
        <w:rPr>
          <w:rFonts w:asciiTheme="majorHAnsi" w:hAnsiTheme="majorHAnsi" w:cstheme="majorHAnsi"/>
          <w:i/>
          <w:iCs/>
          <w:noProof/>
          <w:color w:val="44546A" w:themeColor="text2"/>
          <w:sz w:val="22"/>
          <w:szCs w:val="22"/>
        </w:rPr>
        <w:t>15</w:t>
      </w:r>
      <w:r w:rsidRPr="00DD6E21">
        <w:rPr>
          <w:rFonts w:asciiTheme="majorHAnsi" w:hAnsiTheme="majorHAnsi" w:cstheme="majorHAnsi"/>
          <w:i/>
          <w:iCs/>
          <w:color w:val="44546A" w:themeColor="text2"/>
          <w:sz w:val="22"/>
          <w:szCs w:val="22"/>
        </w:rPr>
        <w:fldChar w:fldCharType="end"/>
      </w:r>
      <w:r w:rsidRPr="00DD6E21">
        <w:rPr>
          <w:rFonts w:asciiTheme="majorHAnsi" w:hAnsiTheme="majorHAnsi" w:cstheme="majorHAnsi"/>
          <w:i/>
          <w:iCs/>
          <w:color w:val="44546A" w:themeColor="text2"/>
          <w:sz w:val="22"/>
          <w:szCs w:val="22"/>
        </w:rPr>
        <w:t>.</w:t>
      </w:r>
      <w:r w:rsidR="00D434EB">
        <w:rPr>
          <w:rFonts w:asciiTheme="majorHAnsi" w:hAnsiTheme="majorHAnsi" w:cstheme="majorHAnsi"/>
          <w:bCs/>
          <w:i/>
          <w:iCs/>
          <w:color w:val="44546A" w:themeColor="text2"/>
          <w:sz w:val="22"/>
          <w:szCs w:val="22"/>
        </w:rPr>
        <w:t xml:space="preserve"> </w:t>
      </w:r>
      <w:r w:rsidRPr="00DD6E21">
        <w:rPr>
          <w:rFonts w:asciiTheme="majorHAnsi" w:hAnsiTheme="majorHAnsi" w:cstheme="majorHAnsi"/>
          <w:bCs/>
          <w:i/>
          <w:iCs/>
          <w:color w:val="44546A" w:themeColor="text2"/>
          <w:sz w:val="22"/>
          <w:szCs w:val="22"/>
        </w:rPr>
        <w:t xml:space="preserve">Principals’ and Teachers’ Perceptions of the </w:t>
      </w:r>
      <w:r w:rsidRPr="00DD6E21">
        <w:rPr>
          <w:rFonts w:asciiTheme="majorHAnsi" w:hAnsiTheme="majorHAnsi" w:cstheme="majorHAnsi"/>
          <w:i/>
          <w:iCs/>
          <w:color w:val="44546A" w:themeColor="text2"/>
          <w:sz w:val="22"/>
          <w:szCs w:val="22"/>
        </w:rPr>
        <w:t>COT and SAT</w:t>
      </w:r>
      <w:bookmarkEnd w:id="99"/>
    </w:p>
    <w:tbl>
      <w:tblPr>
        <w:tblStyle w:val="TableGrid"/>
        <w:tblW w:w="9634" w:type="dxa"/>
        <w:tblLayout w:type="fixed"/>
        <w:tblLook w:val="04A0" w:firstRow="1" w:lastRow="0" w:firstColumn="1" w:lastColumn="0" w:noHBand="0" w:noVBand="1"/>
      </w:tblPr>
      <w:tblGrid>
        <w:gridCol w:w="1838"/>
        <w:gridCol w:w="1299"/>
        <w:gridCol w:w="1299"/>
        <w:gridCol w:w="1300"/>
        <w:gridCol w:w="1299"/>
        <w:gridCol w:w="1299"/>
        <w:gridCol w:w="1300"/>
      </w:tblGrid>
      <w:tr w:rsidR="00B73B82" w:rsidRPr="009D738E" w14:paraId="2F12F3B8" w14:textId="77777777" w:rsidTr="00C35112">
        <w:trPr>
          <w:trHeight w:val="266"/>
          <w:tblHeader/>
        </w:trPr>
        <w:tc>
          <w:tcPr>
            <w:tcW w:w="1838" w:type="dxa"/>
          </w:tcPr>
          <w:p w14:paraId="3323D92F" w14:textId="77777777" w:rsidR="00B73B82" w:rsidRPr="009D738E" w:rsidRDefault="00B73B82"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299" w:type="dxa"/>
          </w:tcPr>
          <w:p w14:paraId="014F9FFE" w14:textId="77777777" w:rsidR="00B73B82" w:rsidRPr="009D738E" w:rsidRDefault="00B73B82" w:rsidP="007C1A2E">
            <w:pPr>
              <w:spacing w:before="100" w:beforeAutospacing="1" w:after="100" w:afterAutospacing="1" w:line="360" w:lineRule="auto"/>
              <w:rPr>
                <w:rFonts w:asciiTheme="majorHAnsi" w:hAnsiTheme="majorHAnsi" w:cstheme="majorHAnsi"/>
                <w:b/>
                <w:bCs/>
                <w:color w:val="000000" w:themeColor="text1"/>
                <w:sz w:val="18"/>
                <w:szCs w:val="18"/>
              </w:rPr>
            </w:pPr>
            <w:r w:rsidRPr="009D738E">
              <w:rPr>
                <w:rFonts w:asciiTheme="majorHAnsi" w:hAnsiTheme="majorHAnsi" w:cstheme="majorHAnsi"/>
                <w:b/>
                <w:bCs/>
                <w:color w:val="000000" w:themeColor="text1"/>
                <w:sz w:val="18"/>
                <w:szCs w:val="18"/>
              </w:rPr>
              <w:t>% Sufficient knowledge</w:t>
            </w:r>
          </w:p>
        </w:tc>
        <w:tc>
          <w:tcPr>
            <w:tcW w:w="1299" w:type="dxa"/>
          </w:tcPr>
          <w:p w14:paraId="66B9846D" w14:textId="77777777" w:rsidR="00B73B82" w:rsidRPr="009D738E" w:rsidRDefault="00B73B82" w:rsidP="007C1A2E">
            <w:pPr>
              <w:spacing w:before="100" w:beforeAutospacing="1" w:after="100" w:afterAutospacing="1" w:line="360" w:lineRule="auto"/>
              <w:rPr>
                <w:rFonts w:asciiTheme="majorHAnsi" w:hAnsiTheme="majorHAnsi" w:cstheme="majorHAnsi"/>
                <w:b/>
                <w:bCs/>
                <w:color w:val="000000" w:themeColor="text1"/>
                <w:sz w:val="18"/>
                <w:szCs w:val="18"/>
              </w:rPr>
            </w:pPr>
            <w:r w:rsidRPr="009D738E">
              <w:rPr>
                <w:rFonts w:asciiTheme="majorHAnsi" w:hAnsiTheme="majorHAnsi" w:cstheme="majorHAnsi"/>
                <w:b/>
                <w:bCs/>
                <w:color w:val="000000" w:themeColor="text1"/>
                <w:sz w:val="18"/>
                <w:szCs w:val="18"/>
              </w:rPr>
              <w:t>% Comprehensive knowledge</w:t>
            </w:r>
          </w:p>
        </w:tc>
        <w:tc>
          <w:tcPr>
            <w:tcW w:w="1300" w:type="dxa"/>
          </w:tcPr>
          <w:p w14:paraId="761A296E" w14:textId="77777777" w:rsidR="00B73B82" w:rsidRPr="009D738E" w:rsidRDefault="00B73B82" w:rsidP="007C1A2E">
            <w:pPr>
              <w:spacing w:before="100" w:beforeAutospacing="1" w:after="100" w:afterAutospacing="1" w:line="360" w:lineRule="auto"/>
              <w:rPr>
                <w:rFonts w:asciiTheme="majorHAnsi" w:hAnsiTheme="majorHAnsi" w:cstheme="majorHAnsi"/>
                <w:b/>
                <w:bCs/>
                <w:color w:val="000000" w:themeColor="text1"/>
                <w:sz w:val="18"/>
                <w:szCs w:val="18"/>
              </w:rPr>
            </w:pPr>
            <w:r>
              <w:rPr>
                <w:rFonts w:asciiTheme="majorHAnsi" w:hAnsiTheme="majorHAnsi" w:cstheme="majorHAnsi"/>
                <w:b/>
                <w:bCs/>
                <w:color w:val="000000" w:themeColor="text1"/>
                <w:sz w:val="18"/>
                <w:szCs w:val="18"/>
              </w:rPr>
              <w:t>% Full access - individual</w:t>
            </w:r>
          </w:p>
        </w:tc>
        <w:tc>
          <w:tcPr>
            <w:tcW w:w="1299" w:type="dxa"/>
          </w:tcPr>
          <w:p w14:paraId="64B4527A" w14:textId="77777777" w:rsidR="00B73B82" w:rsidRPr="009D738E" w:rsidRDefault="00B73B82" w:rsidP="007C1A2E">
            <w:pPr>
              <w:spacing w:before="100" w:beforeAutospacing="1" w:after="100" w:afterAutospacing="1" w:line="360" w:lineRule="auto"/>
              <w:rPr>
                <w:rFonts w:asciiTheme="majorHAnsi" w:hAnsiTheme="majorHAnsi" w:cstheme="majorHAnsi"/>
                <w:b/>
                <w:bCs/>
                <w:color w:val="000000" w:themeColor="text1"/>
                <w:sz w:val="18"/>
                <w:szCs w:val="18"/>
              </w:rPr>
            </w:pPr>
            <w:r>
              <w:rPr>
                <w:rFonts w:asciiTheme="majorHAnsi" w:hAnsiTheme="majorHAnsi" w:cstheme="majorHAnsi"/>
                <w:b/>
                <w:bCs/>
                <w:color w:val="000000" w:themeColor="text1"/>
                <w:sz w:val="18"/>
                <w:szCs w:val="18"/>
              </w:rPr>
              <w:t>% Full access - school</w:t>
            </w:r>
          </w:p>
        </w:tc>
        <w:tc>
          <w:tcPr>
            <w:tcW w:w="1299" w:type="dxa"/>
          </w:tcPr>
          <w:p w14:paraId="74CCF359" w14:textId="77777777" w:rsidR="00B73B82" w:rsidRPr="009D738E" w:rsidRDefault="00B73B82" w:rsidP="007C1A2E">
            <w:pPr>
              <w:spacing w:before="100" w:beforeAutospacing="1" w:after="100" w:afterAutospacing="1" w:line="360" w:lineRule="auto"/>
              <w:rPr>
                <w:rFonts w:asciiTheme="majorHAnsi" w:hAnsiTheme="majorHAnsi" w:cstheme="majorHAnsi"/>
                <w:b/>
                <w:bCs/>
                <w:color w:val="000000" w:themeColor="text1"/>
                <w:sz w:val="18"/>
                <w:szCs w:val="18"/>
              </w:rPr>
            </w:pPr>
            <w:r w:rsidRPr="009D738E">
              <w:rPr>
                <w:rFonts w:asciiTheme="majorHAnsi" w:hAnsiTheme="majorHAnsi" w:cstheme="majorHAnsi"/>
                <w:b/>
                <w:bCs/>
                <w:color w:val="000000" w:themeColor="text1"/>
                <w:sz w:val="18"/>
                <w:szCs w:val="18"/>
              </w:rPr>
              <w:t>% Sufficiently useful</w:t>
            </w:r>
          </w:p>
        </w:tc>
        <w:tc>
          <w:tcPr>
            <w:tcW w:w="1300" w:type="dxa"/>
          </w:tcPr>
          <w:p w14:paraId="75A0A626" w14:textId="77777777" w:rsidR="00B73B82" w:rsidRPr="009D738E" w:rsidRDefault="00B73B82" w:rsidP="007C1A2E">
            <w:pPr>
              <w:spacing w:before="100" w:beforeAutospacing="1" w:after="100" w:afterAutospacing="1" w:line="360" w:lineRule="auto"/>
              <w:rPr>
                <w:rFonts w:asciiTheme="majorHAnsi" w:hAnsiTheme="majorHAnsi" w:cstheme="majorHAnsi"/>
                <w:b/>
                <w:bCs/>
                <w:color w:val="000000" w:themeColor="text1"/>
                <w:sz w:val="18"/>
                <w:szCs w:val="18"/>
              </w:rPr>
            </w:pPr>
            <w:r w:rsidRPr="009D738E">
              <w:rPr>
                <w:rFonts w:asciiTheme="majorHAnsi" w:hAnsiTheme="majorHAnsi" w:cstheme="majorHAnsi"/>
                <w:b/>
                <w:bCs/>
                <w:color w:val="000000" w:themeColor="text1"/>
                <w:sz w:val="18"/>
                <w:szCs w:val="18"/>
              </w:rPr>
              <w:t>% Extremely useful</w:t>
            </w:r>
          </w:p>
        </w:tc>
      </w:tr>
      <w:tr w:rsidR="00EF19F0" w:rsidRPr="009D738E" w14:paraId="5FCE3E2D" w14:textId="77777777" w:rsidTr="00EF19F0">
        <w:trPr>
          <w:trHeight w:val="80"/>
        </w:trPr>
        <w:tc>
          <w:tcPr>
            <w:tcW w:w="1838" w:type="dxa"/>
          </w:tcPr>
          <w:p w14:paraId="72844F86" w14:textId="7CDE0D92" w:rsidR="00EF19F0" w:rsidRPr="009D738E" w:rsidRDefault="00EF19F0" w:rsidP="007C1A2E">
            <w:pPr>
              <w:spacing w:before="100" w:beforeAutospacing="1" w:after="100" w:afterAutospacing="1" w:line="360" w:lineRule="auto"/>
              <w:rPr>
                <w:rFonts w:asciiTheme="majorHAnsi" w:hAnsiTheme="majorHAnsi" w:cstheme="majorHAnsi"/>
                <w:color w:val="000000" w:themeColor="text1"/>
                <w:sz w:val="18"/>
                <w:szCs w:val="18"/>
              </w:rPr>
            </w:pPr>
            <w:r w:rsidRPr="00B73B82">
              <w:rPr>
                <w:rFonts w:asciiTheme="majorHAnsi" w:hAnsiTheme="majorHAnsi" w:cstheme="majorHAnsi"/>
                <w:b/>
                <w:bCs/>
                <w:color w:val="000000" w:themeColor="text1"/>
                <w:sz w:val="18"/>
                <w:szCs w:val="18"/>
              </w:rPr>
              <w:t>Classroom Observation Tool (COT)</w:t>
            </w:r>
          </w:p>
        </w:tc>
        <w:tc>
          <w:tcPr>
            <w:tcW w:w="1299" w:type="dxa"/>
          </w:tcPr>
          <w:p w14:paraId="58EBAF9B" w14:textId="77777777" w:rsidR="00EF19F0" w:rsidRPr="009D738E" w:rsidRDefault="00EF19F0"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299" w:type="dxa"/>
          </w:tcPr>
          <w:p w14:paraId="64BCA4BF" w14:textId="77777777" w:rsidR="00EF19F0" w:rsidRPr="009D738E" w:rsidRDefault="00EF19F0"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300" w:type="dxa"/>
          </w:tcPr>
          <w:p w14:paraId="3409329E" w14:textId="77777777" w:rsidR="00EF19F0" w:rsidRPr="009D738E" w:rsidRDefault="00EF19F0"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299" w:type="dxa"/>
          </w:tcPr>
          <w:p w14:paraId="5FE79B35" w14:textId="77777777" w:rsidR="00EF19F0" w:rsidRPr="009D738E" w:rsidRDefault="00EF19F0"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299" w:type="dxa"/>
          </w:tcPr>
          <w:p w14:paraId="533A28DA" w14:textId="77777777" w:rsidR="00EF19F0" w:rsidRPr="009D738E" w:rsidRDefault="00EF19F0"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300" w:type="dxa"/>
          </w:tcPr>
          <w:p w14:paraId="793E22E9" w14:textId="77777777" w:rsidR="00EF19F0" w:rsidRPr="009D738E" w:rsidRDefault="00EF19F0" w:rsidP="007C1A2E">
            <w:pPr>
              <w:spacing w:before="100" w:beforeAutospacing="1" w:after="100" w:afterAutospacing="1" w:line="360" w:lineRule="auto"/>
              <w:rPr>
                <w:rFonts w:asciiTheme="majorHAnsi" w:hAnsiTheme="majorHAnsi" w:cstheme="majorHAnsi"/>
                <w:color w:val="000000" w:themeColor="text1"/>
                <w:sz w:val="18"/>
                <w:szCs w:val="18"/>
              </w:rPr>
            </w:pPr>
          </w:p>
        </w:tc>
      </w:tr>
      <w:tr w:rsidR="00B73B82" w:rsidRPr="009D738E" w14:paraId="2A96F934" w14:textId="77777777" w:rsidTr="00EF19F0">
        <w:trPr>
          <w:trHeight w:val="80"/>
        </w:trPr>
        <w:tc>
          <w:tcPr>
            <w:tcW w:w="1838" w:type="dxa"/>
          </w:tcPr>
          <w:p w14:paraId="0496D448" w14:textId="77777777" w:rsidR="00B73B82" w:rsidRPr="009D738E" w:rsidRDefault="00B73B82" w:rsidP="007C1A2E">
            <w:pPr>
              <w:spacing w:before="100" w:beforeAutospacing="1" w:after="100" w:afterAutospacing="1" w:line="360" w:lineRule="auto"/>
              <w:rPr>
                <w:rFonts w:asciiTheme="majorHAnsi" w:hAnsiTheme="majorHAnsi" w:cstheme="majorHAnsi"/>
                <w:color w:val="000000" w:themeColor="text1"/>
                <w:sz w:val="18"/>
                <w:szCs w:val="18"/>
              </w:rPr>
            </w:pPr>
            <w:r w:rsidRPr="009D738E">
              <w:rPr>
                <w:rFonts w:asciiTheme="majorHAnsi" w:hAnsiTheme="majorHAnsi" w:cstheme="majorHAnsi"/>
                <w:color w:val="000000" w:themeColor="text1"/>
                <w:sz w:val="18"/>
                <w:szCs w:val="18"/>
              </w:rPr>
              <w:t>Main Study*</w:t>
            </w:r>
          </w:p>
        </w:tc>
        <w:tc>
          <w:tcPr>
            <w:tcW w:w="1299" w:type="dxa"/>
          </w:tcPr>
          <w:p w14:paraId="295A7605" w14:textId="77777777" w:rsidR="00B73B82" w:rsidRPr="009D738E" w:rsidRDefault="00B73B82"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299" w:type="dxa"/>
          </w:tcPr>
          <w:p w14:paraId="0E6E6992" w14:textId="77777777" w:rsidR="00B73B82" w:rsidRPr="009D738E" w:rsidRDefault="00B73B82"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300" w:type="dxa"/>
          </w:tcPr>
          <w:p w14:paraId="3CD4D204" w14:textId="77777777" w:rsidR="00B73B82" w:rsidRPr="009D738E" w:rsidRDefault="00B73B82"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299" w:type="dxa"/>
          </w:tcPr>
          <w:p w14:paraId="4B89C456" w14:textId="77777777" w:rsidR="00B73B82" w:rsidRPr="009D738E" w:rsidRDefault="00B73B82"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299" w:type="dxa"/>
          </w:tcPr>
          <w:p w14:paraId="7F3DEBC2" w14:textId="77777777" w:rsidR="00B73B82" w:rsidRPr="009D738E" w:rsidRDefault="00B73B82"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300" w:type="dxa"/>
          </w:tcPr>
          <w:p w14:paraId="058A6D7D" w14:textId="77777777" w:rsidR="00B73B82" w:rsidRPr="009D738E" w:rsidRDefault="00B73B82" w:rsidP="007C1A2E">
            <w:pPr>
              <w:spacing w:before="100" w:beforeAutospacing="1" w:after="100" w:afterAutospacing="1" w:line="360" w:lineRule="auto"/>
              <w:rPr>
                <w:rFonts w:asciiTheme="majorHAnsi" w:hAnsiTheme="majorHAnsi" w:cstheme="majorHAnsi"/>
                <w:color w:val="000000" w:themeColor="text1"/>
                <w:sz w:val="18"/>
                <w:szCs w:val="18"/>
              </w:rPr>
            </w:pPr>
          </w:p>
        </w:tc>
      </w:tr>
      <w:tr w:rsidR="00B73B82" w:rsidRPr="009D738E" w14:paraId="01DF94B9" w14:textId="77777777" w:rsidTr="00EF19F0">
        <w:trPr>
          <w:trHeight w:val="37"/>
        </w:trPr>
        <w:tc>
          <w:tcPr>
            <w:tcW w:w="1838" w:type="dxa"/>
          </w:tcPr>
          <w:p w14:paraId="7CE2FA7B" w14:textId="77777777" w:rsidR="00B73B82" w:rsidRPr="009D738E" w:rsidRDefault="00B73B82" w:rsidP="007C1A2E">
            <w:pPr>
              <w:spacing w:before="100" w:beforeAutospacing="1" w:after="100" w:afterAutospacing="1" w:line="360" w:lineRule="auto"/>
              <w:rPr>
                <w:rFonts w:asciiTheme="majorHAnsi" w:hAnsiTheme="majorHAnsi" w:cstheme="majorHAnsi"/>
                <w:color w:val="000000" w:themeColor="text1"/>
                <w:sz w:val="18"/>
                <w:szCs w:val="18"/>
              </w:rPr>
            </w:pPr>
            <w:r w:rsidRPr="009D738E">
              <w:rPr>
                <w:rFonts w:asciiTheme="majorHAnsi" w:hAnsiTheme="majorHAnsi" w:cstheme="majorHAnsi"/>
                <w:color w:val="000000" w:themeColor="text1"/>
                <w:sz w:val="18"/>
                <w:szCs w:val="18"/>
              </w:rPr>
              <w:t>PSHs (n=26)</w:t>
            </w:r>
          </w:p>
        </w:tc>
        <w:tc>
          <w:tcPr>
            <w:tcW w:w="1299" w:type="dxa"/>
          </w:tcPr>
          <w:p w14:paraId="2AB04289" w14:textId="77777777" w:rsidR="00B73B82" w:rsidRPr="009D738E" w:rsidRDefault="00B73B82" w:rsidP="007C1A2E">
            <w:pPr>
              <w:spacing w:before="100" w:beforeAutospacing="1" w:after="100" w:afterAutospacing="1" w:line="360" w:lineRule="auto"/>
              <w:rPr>
                <w:rFonts w:asciiTheme="majorHAnsi" w:hAnsiTheme="majorHAnsi" w:cstheme="majorHAnsi"/>
                <w:color w:val="000000" w:themeColor="text1"/>
                <w:sz w:val="18"/>
                <w:szCs w:val="18"/>
              </w:rPr>
            </w:pPr>
            <w:r w:rsidRPr="009D738E">
              <w:rPr>
                <w:rFonts w:asciiTheme="majorHAnsi" w:hAnsiTheme="majorHAnsi" w:cstheme="majorHAnsi"/>
                <w:color w:val="000000" w:themeColor="text1"/>
                <w:sz w:val="18"/>
                <w:szCs w:val="18"/>
              </w:rPr>
              <w:t>35%</w:t>
            </w:r>
          </w:p>
        </w:tc>
        <w:tc>
          <w:tcPr>
            <w:tcW w:w="1299" w:type="dxa"/>
          </w:tcPr>
          <w:p w14:paraId="46F5535E" w14:textId="77777777" w:rsidR="00B73B82" w:rsidRPr="009D738E" w:rsidRDefault="00B73B82" w:rsidP="007C1A2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58</w:t>
            </w:r>
            <w:r w:rsidRPr="009D738E">
              <w:rPr>
                <w:rFonts w:asciiTheme="majorHAnsi" w:hAnsiTheme="majorHAnsi" w:cstheme="majorHAnsi"/>
                <w:color w:val="000000" w:themeColor="text1"/>
                <w:sz w:val="18"/>
                <w:szCs w:val="18"/>
              </w:rPr>
              <w:t>%</w:t>
            </w:r>
          </w:p>
        </w:tc>
        <w:tc>
          <w:tcPr>
            <w:tcW w:w="1300" w:type="dxa"/>
          </w:tcPr>
          <w:p w14:paraId="4C8C0F92" w14:textId="77777777" w:rsidR="00B73B82" w:rsidRPr="009D738E" w:rsidRDefault="00B73B82" w:rsidP="007C1A2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19%</w:t>
            </w:r>
          </w:p>
        </w:tc>
        <w:tc>
          <w:tcPr>
            <w:tcW w:w="1299" w:type="dxa"/>
          </w:tcPr>
          <w:p w14:paraId="343E2663" w14:textId="77777777" w:rsidR="00B73B82" w:rsidRPr="009D738E" w:rsidRDefault="00B73B82" w:rsidP="007C1A2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62%</w:t>
            </w:r>
          </w:p>
        </w:tc>
        <w:tc>
          <w:tcPr>
            <w:tcW w:w="1299" w:type="dxa"/>
          </w:tcPr>
          <w:p w14:paraId="4F536F58" w14:textId="77777777" w:rsidR="00B73B82" w:rsidRPr="009D738E" w:rsidRDefault="00B73B82" w:rsidP="007C1A2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35</w:t>
            </w:r>
            <w:r w:rsidRPr="009D738E">
              <w:rPr>
                <w:rFonts w:asciiTheme="majorHAnsi" w:hAnsiTheme="majorHAnsi" w:cstheme="majorHAnsi"/>
                <w:color w:val="000000" w:themeColor="text1"/>
                <w:sz w:val="18"/>
                <w:szCs w:val="18"/>
              </w:rPr>
              <w:t>%</w:t>
            </w:r>
          </w:p>
        </w:tc>
        <w:tc>
          <w:tcPr>
            <w:tcW w:w="1300" w:type="dxa"/>
          </w:tcPr>
          <w:p w14:paraId="4EE35278" w14:textId="77777777" w:rsidR="00B73B82" w:rsidRPr="009D738E" w:rsidRDefault="00B73B82" w:rsidP="007C1A2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58</w:t>
            </w:r>
            <w:r w:rsidRPr="009D738E">
              <w:rPr>
                <w:rFonts w:asciiTheme="majorHAnsi" w:hAnsiTheme="majorHAnsi" w:cstheme="majorHAnsi"/>
                <w:color w:val="000000" w:themeColor="text1"/>
                <w:sz w:val="18"/>
                <w:szCs w:val="18"/>
              </w:rPr>
              <w:t>%</w:t>
            </w:r>
          </w:p>
        </w:tc>
      </w:tr>
      <w:tr w:rsidR="00B73B82" w:rsidRPr="009D738E" w14:paraId="2E8FAAD9" w14:textId="77777777" w:rsidTr="00EF19F0">
        <w:trPr>
          <w:trHeight w:val="180"/>
        </w:trPr>
        <w:tc>
          <w:tcPr>
            <w:tcW w:w="1838" w:type="dxa"/>
          </w:tcPr>
          <w:p w14:paraId="7959297D" w14:textId="77777777" w:rsidR="00B73B82" w:rsidRPr="009D738E" w:rsidRDefault="00B73B82" w:rsidP="007C1A2E">
            <w:pPr>
              <w:spacing w:before="100" w:beforeAutospacing="1" w:after="100" w:afterAutospacing="1" w:line="360" w:lineRule="auto"/>
              <w:rPr>
                <w:rFonts w:asciiTheme="majorHAnsi" w:hAnsiTheme="majorHAnsi" w:cstheme="majorHAnsi"/>
                <w:color w:val="000000" w:themeColor="text1"/>
                <w:sz w:val="18"/>
                <w:szCs w:val="18"/>
              </w:rPr>
            </w:pPr>
            <w:r w:rsidRPr="009D738E">
              <w:rPr>
                <w:rFonts w:asciiTheme="majorHAnsi" w:hAnsiTheme="majorHAnsi" w:cstheme="majorHAnsi"/>
                <w:color w:val="000000" w:themeColor="text1"/>
                <w:sz w:val="18"/>
                <w:szCs w:val="18"/>
              </w:rPr>
              <w:t>Teachers (n=107)</w:t>
            </w:r>
          </w:p>
        </w:tc>
        <w:tc>
          <w:tcPr>
            <w:tcW w:w="1299" w:type="dxa"/>
          </w:tcPr>
          <w:p w14:paraId="6C9987A9" w14:textId="77777777" w:rsidR="00B73B82" w:rsidRPr="009D738E" w:rsidRDefault="0015536A" w:rsidP="007C1A2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50</w:t>
            </w:r>
            <w:r w:rsidR="00B73B82" w:rsidRPr="009D738E">
              <w:rPr>
                <w:rFonts w:asciiTheme="majorHAnsi" w:hAnsiTheme="majorHAnsi" w:cstheme="majorHAnsi"/>
                <w:color w:val="000000" w:themeColor="text1"/>
                <w:sz w:val="18"/>
                <w:szCs w:val="18"/>
              </w:rPr>
              <w:t>%</w:t>
            </w:r>
          </w:p>
        </w:tc>
        <w:tc>
          <w:tcPr>
            <w:tcW w:w="1299" w:type="dxa"/>
          </w:tcPr>
          <w:p w14:paraId="58F65AD9" w14:textId="77777777" w:rsidR="00B73B82" w:rsidRPr="009D738E" w:rsidRDefault="0015536A" w:rsidP="007C1A2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36</w:t>
            </w:r>
            <w:r w:rsidR="00B73B82" w:rsidRPr="009D738E">
              <w:rPr>
                <w:rFonts w:asciiTheme="majorHAnsi" w:hAnsiTheme="majorHAnsi" w:cstheme="majorHAnsi"/>
                <w:color w:val="000000" w:themeColor="text1"/>
                <w:sz w:val="18"/>
                <w:szCs w:val="18"/>
              </w:rPr>
              <w:t>%</w:t>
            </w:r>
          </w:p>
        </w:tc>
        <w:tc>
          <w:tcPr>
            <w:tcW w:w="1300" w:type="dxa"/>
          </w:tcPr>
          <w:p w14:paraId="7E082BCB" w14:textId="77777777" w:rsidR="00B73B82" w:rsidRPr="009D738E" w:rsidRDefault="00B73B82" w:rsidP="007C1A2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41%</w:t>
            </w:r>
          </w:p>
        </w:tc>
        <w:tc>
          <w:tcPr>
            <w:tcW w:w="1299" w:type="dxa"/>
          </w:tcPr>
          <w:p w14:paraId="1A84F958" w14:textId="77777777" w:rsidR="00B73B82" w:rsidRPr="009D738E" w:rsidRDefault="00B73B82" w:rsidP="007C1A2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40%</w:t>
            </w:r>
          </w:p>
        </w:tc>
        <w:tc>
          <w:tcPr>
            <w:tcW w:w="1299" w:type="dxa"/>
          </w:tcPr>
          <w:p w14:paraId="7A5E5C56" w14:textId="77777777" w:rsidR="00B73B82" w:rsidRPr="009D738E" w:rsidRDefault="00B73B82" w:rsidP="007C1A2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40</w:t>
            </w:r>
            <w:r w:rsidRPr="009D738E">
              <w:rPr>
                <w:rFonts w:asciiTheme="majorHAnsi" w:hAnsiTheme="majorHAnsi" w:cstheme="majorHAnsi"/>
                <w:color w:val="000000" w:themeColor="text1"/>
                <w:sz w:val="18"/>
                <w:szCs w:val="18"/>
              </w:rPr>
              <w:t>%</w:t>
            </w:r>
          </w:p>
        </w:tc>
        <w:tc>
          <w:tcPr>
            <w:tcW w:w="1300" w:type="dxa"/>
          </w:tcPr>
          <w:p w14:paraId="1109585D" w14:textId="77777777" w:rsidR="00B73B82" w:rsidRPr="009D738E" w:rsidRDefault="00B73B82" w:rsidP="007C1A2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39</w:t>
            </w:r>
            <w:r w:rsidRPr="009D738E">
              <w:rPr>
                <w:rFonts w:asciiTheme="majorHAnsi" w:hAnsiTheme="majorHAnsi" w:cstheme="majorHAnsi"/>
                <w:color w:val="000000" w:themeColor="text1"/>
                <w:sz w:val="18"/>
                <w:szCs w:val="18"/>
              </w:rPr>
              <w:t>%</w:t>
            </w:r>
          </w:p>
        </w:tc>
      </w:tr>
      <w:tr w:rsidR="00B73B82" w:rsidRPr="009D738E" w14:paraId="4421A782" w14:textId="77777777" w:rsidTr="00EF19F0">
        <w:trPr>
          <w:trHeight w:val="165"/>
        </w:trPr>
        <w:tc>
          <w:tcPr>
            <w:tcW w:w="1838" w:type="dxa"/>
          </w:tcPr>
          <w:p w14:paraId="589A101C" w14:textId="77777777" w:rsidR="00B73B82" w:rsidRPr="009D738E" w:rsidRDefault="00B73B82" w:rsidP="007C1A2E">
            <w:pPr>
              <w:spacing w:before="100" w:beforeAutospacing="1" w:after="100" w:afterAutospacing="1" w:line="360" w:lineRule="auto"/>
              <w:rPr>
                <w:rFonts w:asciiTheme="majorHAnsi" w:hAnsiTheme="majorHAnsi" w:cstheme="majorHAnsi"/>
                <w:color w:val="000000" w:themeColor="text1"/>
                <w:sz w:val="18"/>
                <w:szCs w:val="18"/>
              </w:rPr>
            </w:pPr>
            <w:r w:rsidRPr="009D738E">
              <w:rPr>
                <w:rFonts w:asciiTheme="majorHAnsi" w:hAnsiTheme="majorHAnsi" w:cstheme="majorHAnsi"/>
                <w:color w:val="000000" w:themeColor="text1"/>
                <w:sz w:val="18"/>
                <w:szCs w:val="18"/>
              </w:rPr>
              <w:t>Follow-Up Study **</w:t>
            </w:r>
          </w:p>
        </w:tc>
        <w:tc>
          <w:tcPr>
            <w:tcW w:w="1299" w:type="dxa"/>
          </w:tcPr>
          <w:p w14:paraId="2968F4BD" w14:textId="77777777" w:rsidR="00B73B82" w:rsidRPr="009D738E" w:rsidRDefault="00B73B82"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299" w:type="dxa"/>
          </w:tcPr>
          <w:p w14:paraId="3A81C616" w14:textId="77777777" w:rsidR="00B73B82" w:rsidRPr="009D738E" w:rsidRDefault="00B73B82"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300" w:type="dxa"/>
          </w:tcPr>
          <w:p w14:paraId="1F990227" w14:textId="77777777" w:rsidR="00B73B82" w:rsidRPr="009D738E" w:rsidRDefault="00B73B82"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299" w:type="dxa"/>
          </w:tcPr>
          <w:p w14:paraId="4BF44292" w14:textId="77777777" w:rsidR="00B73B82" w:rsidRPr="009D738E" w:rsidRDefault="00B73B82"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299" w:type="dxa"/>
          </w:tcPr>
          <w:p w14:paraId="74AAC1EA" w14:textId="77777777" w:rsidR="00B73B82" w:rsidRPr="009D738E" w:rsidRDefault="00B73B82"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300" w:type="dxa"/>
          </w:tcPr>
          <w:p w14:paraId="55DE16E8" w14:textId="77777777" w:rsidR="00B73B82" w:rsidRPr="009D738E" w:rsidRDefault="00B73B82" w:rsidP="007C1A2E">
            <w:pPr>
              <w:spacing w:before="100" w:beforeAutospacing="1" w:after="100" w:afterAutospacing="1" w:line="360" w:lineRule="auto"/>
              <w:rPr>
                <w:rFonts w:asciiTheme="majorHAnsi" w:hAnsiTheme="majorHAnsi" w:cstheme="majorHAnsi"/>
                <w:color w:val="000000" w:themeColor="text1"/>
                <w:sz w:val="18"/>
                <w:szCs w:val="18"/>
              </w:rPr>
            </w:pPr>
          </w:p>
        </w:tc>
      </w:tr>
      <w:tr w:rsidR="00B73B82" w:rsidRPr="009D738E" w14:paraId="21D78D31" w14:textId="77777777" w:rsidTr="00EF19F0">
        <w:trPr>
          <w:trHeight w:val="66"/>
        </w:trPr>
        <w:tc>
          <w:tcPr>
            <w:tcW w:w="1838" w:type="dxa"/>
          </w:tcPr>
          <w:p w14:paraId="5A240F46" w14:textId="77777777" w:rsidR="00B73B82" w:rsidRPr="009D738E" w:rsidRDefault="00B73B82" w:rsidP="007C1A2E">
            <w:pPr>
              <w:spacing w:before="100" w:beforeAutospacing="1" w:after="100" w:afterAutospacing="1" w:line="360" w:lineRule="auto"/>
              <w:rPr>
                <w:rFonts w:asciiTheme="majorHAnsi" w:hAnsiTheme="majorHAnsi" w:cstheme="majorHAnsi"/>
                <w:color w:val="000000" w:themeColor="text1"/>
                <w:sz w:val="18"/>
                <w:szCs w:val="18"/>
              </w:rPr>
            </w:pPr>
            <w:r w:rsidRPr="009D738E">
              <w:rPr>
                <w:rFonts w:asciiTheme="majorHAnsi" w:hAnsiTheme="majorHAnsi" w:cstheme="majorHAnsi"/>
                <w:color w:val="000000" w:themeColor="text1"/>
                <w:sz w:val="18"/>
                <w:szCs w:val="18"/>
              </w:rPr>
              <w:t>PSHs (n=11)</w:t>
            </w:r>
          </w:p>
        </w:tc>
        <w:tc>
          <w:tcPr>
            <w:tcW w:w="1299" w:type="dxa"/>
          </w:tcPr>
          <w:p w14:paraId="346AE398" w14:textId="77777777" w:rsidR="00B73B82" w:rsidRPr="009D738E" w:rsidRDefault="0015536A" w:rsidP="007C1A2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42</w:t>
            </w:r>
            <w:r w:rsidR="00B73B82" w:rsidRPr="009D738E">
              <w:rPr>
                <w:rFonts w:asciiTheme="majorHAnsi" w:hAnsiTheme="majorHAnsi" w:cstheme="majorHAnsi"/>
                <w:color w:val="000000" w:themeColor="text1"/>
                <w:sz w:val="18"/>
                <w:szCs w:val="18"/>
              </w:rPr>
              <w:t>%</w:t>
            </w:r>
          </w:p>
        </w:tc>
        <w:tc>
          <w:tcPr>
            <w:tcW w:w="1299" w:type="dxa"/>
          </w:tcPr>
          <w:p w14:paraId="03AA1F08" w14:textId="77777777" w:rsidR="00B73B82" w:rsidRPr="009D738E" w:rsidRDefault="0015536A" w:rsidP="007C1A2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42</w:t>
            </w:r>
            <w:r w:rsidR="00B73B82" w:rsidRPr="009D738E">
              <w:rPr>
                <w:rFonts w:asciiTheme="majorHAnsi" w:hAnsiTheme="majorHAnsi" w:cstheme="majorHAnsi"/>
                <w:color w:val="000000" w:themeColor="text1"/>
                <w:sz w:val="18"/>
                <w:szCs w:val="18"/>
              </w:rPr>
              <w:t>%</w:t>
            </w:r>
          </w:p>
        </w:tc>
        <w:tc>
          <w:tcPr>
            <w:tcW w:w="1300" w:type="dxa"/>
          </w:tcPr>
          <w:p w14:paraId="30751D18" w14:textId="77777777" w:rsidR="00B73B82" w:rsidRPr="009D738E" w:rsidRDefault="0015536A" w:rsidP="007C1A2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50%</w:t>
            </w:r>
          </w:p>
        </w:tc>
        <w:tc>
          <w:tcPr>
            <w:tcW w:w="1299" w:type="dxa"/>
          </w:tcPr>
          <w:p w14:paraId="17E9FB7C" w14:textId="77777777" w:rsidR="00B73B82" w:rsidRPr="009D738E" w:rsidRDefault="0015536A" w:rsidP="007C1A2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33%</w:t>
            </w:r>
          </w:p>
        </w:tc>
        <w:tc>
          <w:tcPr>
            <w:tcW w:w="1299" w:type="dxa"/>
          </w:tcPr>
          <w:p w14:paraId="06618EC1" w14:textId="77777777" w:rsidR="00B73B82" w:rsidRPr="009D738E" w:rsidRDefault="0015536A" w:rsidP="007C1A2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42</w:t>
            </w:r>
            <w:r w:rsidR="00B73B82" w:rsidRPr="009D738E">
              <w:rPr>
                <w:rFonts w:asciiTheme="majorHAnsi" w:hAnsiTheme="majorHAnsi" w:cstheme="majorHAnsi"/>
                <w:color w:val="000000" w:themeColor="text1"/>
                <w:sz w:val="18"/>
                <w:szCs w:val="18"/>
              </w:rPr>
              <w:t>%</w:t>
            </w:r>
          </w:p>
        </w:tc>
        <w:tc>
          <w:tcPr>
            <w:tcW w:w="1300" w:type="dxa"/>
          </w:tcPr>
          <w:p w14:paraId="67AE3942" w14:textId="77777777" w:rsidR="00B73B82" w:rsidRPr="009D738E" w:rsidRDefault="0015536A" w:rsidP="007C1A2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33</w:t>
            </w:r>
            <w:r w:rsidR="00B73B82" w:rsidRPr="009D738E">
              <w:rPr>
                <w:rFonts w:asciiTheme="majorHAnsi" w:hAnsiTheme="majorHAnsi" w:cstheme="majorHAnsi"/>
                <w:color w:val="000000" w:themeColor="text1"/>
                <w:sz w:val="18"/>
                <w:szCs w:val="18"/>
              </w:rPr>
              <w:t>%</w:t>
            </w:r>
          </w:p>
        </w:tc>
      </w:tr>
      <w:tr w:rsidR="00B73B82" w:rsidRPr="009D738E" w14:paraId="38CF4AB4" w14:textId="77777777" w:rsidTr="00EF19F0">
        <w:trPr>
          <w:trHeight w:val="37"/>
        </w:trPr>
        <w:tc>
          <w:tcPr>
            <w:tcW w:w="1838" w:type="dxa"/>
          </w:tcPr>
          <w:p w14:paraId="65506013" w14:textId="77777777" w:rsidR="00B73B82" w:rsidRPr="009D738E" w:rsidRDefault="00B73B82" w:rsidP="007C1A2E">
            <w:pPr>
              <w:spacing w:before="100" w:beforeAutospacing="1" w:after="100" w:afterAutospacing="1" w:line="360" w:lineRule="auto"/>
              <w:rPr>
                <w:rFonts w:asciiTheme="majorHAnsi" w:hAnsiTheme="majorHAnsi" w:cstheme="majorHAnsi"/>
                <w:color w:val="000000" w:themeColor="text1"/>
                <w:sz w:val="18"/>
                <w:szCs w:val="18"/>
              </w:rPr>
            </w:pPr>
            <w:r w:rsidRPr="009D738E">
              <w:rPr>
                <w:rFonts w:asciiTheme="majorHAnsi" w:hAnsiTheme="majorHAnsi" w:cstheme="majorHAnsi"/>
                <w:color w:val="000000" w:themeColor="text1"/>
                <w:sz w:val="18"/>
                <w:szCs w:val="18"/>
              </w:rPr>
              <w:t>Teachers (n=61)</w:t>
            </w:r>
          </w:p>
        </w:tc>
        <w:tc>
          <w:tcPr>
            <w:tcW w:w="1299" w:type="dxa"/>
          </w:tcPr>
          <w:p w14:paraId="5782997C" w14:textId="77777777" w:rsidR="00B73B82" w:rsidRPr="009D738E" w:rsidRDefault="0015536A" w:rsidP="007C1A2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41</w:t>
            </w:r>
            <w:r w:rsidR="00B73B82" w:rsidRPr="009D738E">
              <w:rPr>
                <w:rFonts w:asciiTheme="majorHAnsi" w:hAnsiTheme="majorHAnsi" w:cstheme="majorHAnsi"/>
                <w:color w:val="000000" w:themeColor="text1"/>
                <w:sz w:val="18"/>
                <w:szCs w:val="18"/>
              </w:rPr>
              <w:t>%</w:t>
            </w:r>
          </w:p>
        </w:tc>
        <w:tc>
          <w:tcPr>
            <w:tcW w:w="1299" w:type="dxa"/>
          </w:tcPr>
          <w:p w14:paraId="4847090E" w14:textId="77777777" w:rsidR="00B73B82" w:rsidRPr="009D738E" w:rsidRDefault="0015536A" w:rsidP="007C1A2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59</w:t>
            </w:r>
            <w:r w:rsidR="00B73B82" w:rsidRPr="009D738E">
              <w:rPr>
                <w:rFonts w:asciiTheme="majorHAnsi" w:hAnsiTheme="majorHAnsi" w:cstheme="majorHAnsi"/>
                <w:color w:val="000000" w:themeColor="text1"/>
                <w:sz w:val="18"/>
                <w:szCs w:val="18"/>
              </w:rPr>
              <w:t>%</w:t>
            </w:r>
          </w:p>
        </w:tc>
        <w:tc>
          <w:tcPr>
            <w:tcW w:w="1300" w:type="dxa"/>
          </w:tcPr>
          <w:p w14:paraId="68334436" w14:textId="77777777" w:rsidR="00B73B82" w:rsidRPr="009D738E" w:rsidRDefault="0015536A" w:rsidP="007C1A2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34%</w:t>
            </w:r>
          </w:p>
        </w:tc>
        <w:tc>
          <w:tcPr>
            <w:tcW w:w="1299" w:type="dxa"/>
          </w:tcPr>
          <w:p w14:paraId="11CCBB90" w14:textId="77777777" w:rsidR="00B73B82" w:rsidRPr="009D738E" w:rsidRDefault="0015536A" w:rsidP="007C1A2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66%</w:t>
            </w:r>
          </w:p>
        </w:tc>
        <w:tc>
          <w:tcPr>
            <w:tcW w:w="1299" w:type="dxa"/>
          </w:tcPr>
          <w:p w14:paraId="76444506" w14:textId="77777777" w:rsidR="00B73B82" w:rsidRPr="009D738E" w:rsidRDefault="0015536A" w:rsidP="007C1A2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39</w:t>
            </w:r>
            <w:r w:rsidR="00B73B82" w:rsidRPr="009D738E">
              <w:rPr>
                <w:rFonts w:asciiTheme="majorHAnsi" w:hAnsiTheme="majorHAnsi" w:cstheme="majorHAnsi"/>
                <w:color w:val="000000" w:themeColor="text1"/>
                <w:sz w:val="18"/>
                <w:szCs w:val="18"/>
              </w:rPr>
              <w:t>%</w:t>
            </w:r>
          </w:p>
        </w:tc>
        <w:tc>
          <w:tcPr>
            <w:tcW w:w="1300" w:type="dxa"/>
          </w:tcPr>
          <w:p w14:paraId="3418DC7C" w14:textId="77777777" w:rsidR="00B73B82" w:rsidRPr="009D738E" w:rsidRDefault="0015536A" w:rsidP="007C1A2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57</w:t>
            </w:r>
            <w:r w:rsidR="00B73B82" w:rsidRPr="009D738E">
              <w:rPr>
                <w:rFonts w:asciiTheme="majorHAnsi" w:hAnsiTheme="majorHAnsi" w:cstheme="majorHAnsi"/>
                <w:color w:val="000000" w:themeColor="text1"/>
                <w:sz w:val="18"/>
                <w:szCs w:val="18"/>
              </w:rPr>
              <w:t>%</w:t>
            </w:r>
          </w:p>
        </w:tc>
      </w:tr>
      <w:tr w:rsidR="00EF19F0" w:rsidRPr="009D738E" w14:paraId="6BC93D10" w14:textId="77777777" w:rsidTr="00EF19F0">
        <w:trPr>
          <w:trHeight w:val="37"/>
        </w:trPr>
        <w:tc>
          <w:tcPr>
            <w:tcW w:w="1838" w:type="dxa"/>
          </w:tcPr>
          <w:p w14:paraId="01EAAA82" w14:textId="1F2C6176" w:rsidR="00EF19F0" w:rsidRPr="009D738E" w:rsidRDefault="00EF19F0" w:rsidP="00EF19F0">
            <w:pPr>
              <w:spacing w:before="100" w:beforeAutospacing="1" w:after="100" w:afterAutospacing="1" w:line="360" w:lineRule="auto"/>
              <w:rPr>
                <w:rFonts w:asciiTheme="majorHAnsi" w:hAnsiTheme="majorHAnsi" w:cstheme="majorHAnsi"/>
                <w:color w:val="000000" w:themeColor="text1"/>
                <w:sz w:val="18"/>
                <w:szCs w:val="18"/>
              </w:rPr>
            </w:pPr>
            <w:r w:rsidRPr="0015536A">
              <w:rPr>
                <w:rFonts w:asciiTheme="majorHAnsi" w:hAnsiTheme="majorHAnsi" w:cstheme="majorHAnsi"/>
                <w:b/>
                <w:bCs/>
                <w:color w:val="000000" w:themeColor="text1"/>
                <w:sz w:val="18"/>
                <w:szCs w:val="18"/>
              </w:rPr>
              <w:t>Self-Assessment Tool (SAT) for Teachers</w:t>
            </w:r>
          </w:p>
        </w:tc>
        <w:tc>
          <w:tcPr>
            <w:tcW w:w="1299" w:type="dxa"/>
          </w:tcPr>
          <w:p w14:paraId="229BFCEB" w14:textId="77777777" w:rsidR="00EF19F0" w:rsidRDefault="00EF19F0" w:rsidP="00EF19F0">
            <w:pPr>
              <w:spacing w:before="100" w:beforeAutospacing="1" w:after="100" w:afterAutospacing="1" w:line="360" w:lineRule="auto"/>
              <w:rPr>
                <w:rFonts w:asciiTheme="majorHAnsi" w:hAnsiTheme="majorHAnsi" w:cstheme="majorHAnsi"/>
                <w:color w:val="000000" w:themeColor="text1"/>
                <w:sz w:val="18"/>
                <w:szCs w:val="18"/>
              </w:rPr>
            </w:pPr>
          </w:p>
        </w:tc>
        <w:tc>
          <w:tcPr>
            <w:tcW w:w="1299" w:type="dxa"/>
          </w:tcPr>
          <w:p w14:paraId="554285FC" w14:textId="77777777" w:rsidR="00EF19F0" w:rsidRDefault="00EF19F0" w:rsidP="00EF19F0">
            <w:pPr>
              <w:spacing w:before="100" w:beforeAutospacing="1" w:after="100" w:afterAutospacing="1" w:line="360" w:lineRule="auto"/>
              <w:rPr>
                <w:rFonts w:asciiTheme="majorHAnsi" w:hAnsiTheme="majorHAnsi" w:cstheme="majorHAnsi"/>
                <w:color w:val="000000" w:themeColor="text1"/>
                <w:sz w:val="18"/>
                <w:szCs w:val="18"/>
              </w:rPr>
            </w:pPr>
          </w:p>
        </w:tc>
        <w:tc>
          <w:tcPr>
            <w:tcW w:w="1300" w:type="dxa"/>
          </w:tcPr>
          <w:p w14:paraId="741AF161" w14:textId="77777777" w:rsidR="00EF19F0" w:rsidRDefault="00EF19F0" w:rsidP="00EF19F0">
            <w:pPr>
              <w:spacing w:before="100" w:beforeAutospacing="1" w:after="100" w:afterAutospacing="1" w:line="360" w:lineRule="auto"/>
              <w:rPr>
                <w:rFonts w:asciiTheme="majorHAnsi" w:hAnsiTheme="majorHAnsi" w:cstheme="majorHAnsi"/>
                <w:color w:val="000000" w:themeColor="text1"/>
                <w:sz w:val="18"/>
                <w:szCs w:val="18"/>
              </w:rPr>
            </w:pPr>
          </w:p>
        </w:tc>
        <w:tc>
          <w:tcPr>
            <w:tcW w:w="1299" w:type="dxa"/>
          </w:tcPr>
          <w:p w14:paraId="48AB1877" w14:textId="77777777" w:rsidR="00EF19F0" w:rsidRDefault="00EF19F0" w:rsidP="00EF19F0">
            <w:pPr>
              <w:spacing w:before="100" w:beforeAutospacing="1" w:after="100" w:afterAutospacing="1" w:line="360" w:lineRule="auto"/>
              <w:rPr>
                <w:rFonts w:asciiTheme="majorHAnsi" w:hAnsiTheme="majorHAnsi" w:cstheme="majorHAnsi"/>
                <w:color w:val="000000" w:themeColor="text1"/>
                <w:sz w:val="18"/>
                <w:szCs w:val="18"/>
              </w:rPr>
            </w:pPr>
          </w:p>
        </w:tc>
        <w:tc>
          <w:tcPr>
            <w:tcW w:w="1299" w:type="dxa"/>
          </w:tcPr>
          <w:p w14:paraId="66D65B61" w14:textId="77777777" w:rsidR="00EF19F0" w:rsidRDefault="00EF19F0" w:rsidP="00EF19F0">
            <w:pPr>
              <w:spacing w:before="100" w:beforeAutospacing="1" w:after="100" w:afterAutospacing="1" w:line="360" w:lineRule="auto"/>
              <w:rPr>
                <w:rFonts w:asciiTheme="majorHAnsi" w:hAnsiTheme="majorHAnsi" w:cstheme="majorHAnsi"/>
                <w:color w:val="000000" w:themeColor="text1"/>
                <w:sz w:val="18"/>
                <w:szCs w:val="18"/>
              </w:rPr>
            </w:pPr>
          </w:p>
        </w:tc>
        <w:tc>
          <w:tcPr>
            <w:tcW w:w="1300" w:type="dxa"/>
          </w:tcPr>
          <w:p w14:paraId="487C8363" w14:textId="77777777" w:rsidR="00EF19F0" w:rsidRDefault="00EF19F0" w:rsidP="00EF19F0">
            <w:pPr>
              <w:spacing w:before="100" w:beforeAutospacing="1" w:after="100" w:afterAutospacing="1" w:line="360" w:lineRule="auto"/>
              <w:rPr>
                <w:rFonts w:asciiTheme="majorHAnsi" w:hAnsiTheme="majorHAnsi" w:cstheme="majorHAnsi"/>
                <w:color w:val="000000" w:themeColor="text1"/>
                <w:sz w:val="18"/>
                <w:szCs w:val="18"/>
              </w:rPr>
            </w:pPr>
          </w:p>
        </w:tc>
      </w:tr>
      <w:tr w:rsidR="00EF19F0" w:rsidRPr="009D738E" w14:paraId="0F3B5403" w14:textId="77777777" w:rsidTr="00EF19F0">
        <w:trPr>
          <w:trHeight w:val="37"/>
        </w:trPr>
        <w:tc>
          <w:tcPr>
            <w:tcW w:w="1838" w:type="dxa"/>
          </w:tcPr>
          <w:p w14:paraId="35F0AE3D" w14:textId="77777777" w:rsidR="00EF19F0" w:rsidRPr="009D738E" w:rsidRDefault="00EF19F0" w:rsidP="00EF19F0">
            <w:pPr>
              <w:spacing w:before="100" w:beforeAutospacing="1" w:after="100" w:afterAutospacing="1" w:line="360" w:lineRule="auto"/>
              <w:rPr>
                <w:rFonts w:asciiTheme="majorHAnsi" w:hAnsiTheme="majorHAnsi" w:cstheme="majorHAnsi"/>
                <w:color w:val="000000" w:themeColor="text1"/>
                <w:sz w:val="18"/>
                <w:szCs w:val="18"/>
              </w:rPr>
            </w:pPr>
            <w:r w:rsidRPr="009D738E">
              <w:rPr>
                <w:rFonts w:asciiTheme="majorHAnsi" w:hAnsiTheme="majorHAnsi" w:cstheme="majorHAnsi"/>
                <w:color w:val="000000" w:themeColor="text1"/>
                <w:sz w:val="18"/>
                <w:szCs w:val="18"/>
              </w:rPr>
              <w:t>Main Study*</w:t>
            </w:r>
          </w:p>
        </w:tc>
        <w:tc>
          <w:tcPr>
            <w:tcW w:w="1299" w:type="dxa"/>
          </w:tcPr>
          <w:p w14:paraId="6D591F51" w14:textId="77777777" w:rsidR="00EF19F0" w:rsidRDefault="00EF19F0" w:rsidP="00EF19F0">
            <w:pPr>
              <w:spacing w:before="100" w:beforeAutospacing="1" w:after="100" w:afterAutospacing="1" w:line="360" w:lineRule="auto"/>
              <w:rPr>
                <w:rFonts w:asciiTheme="majorHAnsi" w:hAnsiTheme="majorHAnsi" w:cstheme="majorHAnsi"/>
                <w:color w:val="000000" w:themeColor="text1"/>
                <w:sz w:val="18"/>
                <w:szCs w:val="18"/>
              </w:rPr>
            </w:pPr>
          </w:p>
        </w:tc>
        <w:tc>
          <w:tcPr>
            <w:tcW w:w="1299" w:type="dxa"/>
          </w:tcPr>
          <w:p w14:paraId="0F13595E" w14:textId="77777777" w:rsidR="00EF19F0" w:rsidRDefault="00EF19F0" w:rsidP="00EF19F0">
            <w:pPr>
              <w:spacing w:before="100" w:beforeAutospacing="1" w:after="100" w:afterAutospacing="1" w:line="360" w:lineRule="auto"/>
              <w:rPr>
                <w:rFonts w:asciiTheme="majorHAnsi" w:hAnsiTheme="majorHAnsi" w:cstheme="majorHAnsi"/>
                <w:color w:val="000000" w:themeColor="text1"/>
                <w:sz w:val="18"/>
                <w:szCs w:val="18"/>
              </w:rPr>
            </w:pPr>
          </w:p>
        </w:tc>
        <w:tc>
          <w:tcPr>
            <w:tcW w:w="1300" w:type="dxa"/>
          </w:tcPr>
          <w:p w14:paraId="74583733" w14:textId="77777777" w:rsidR="00EF19F0" w:rsidRDefault="00EF19F0" w:rsidP="00EF19F0">
            <w:pPr>
              <w:spacing w:before="100" w:beforeAutospacing="1" w:after="100" w:afterAutospacing="1" w:line="360" w:lineRule="auto"/>
              <w:rPr>
                <w:rFonts w:asciiTheme="majorHAnsi" w:hAnsiTheme="majorHAnsi" w:cstheme="majorHAnsi"/>
                <w:color w:val="000000" w:themeColor="text1"/>
                <w:sz w:val="18"/>
                <w:szCs w:val="18"/>
              </w:rPr>
            </w:pPr>
          </w:p>
        </w:tc>
        <w:tc>
          <w:tcPr>
            <w:tcW w:w="1299" w:type="dxa"/>
          </w:tcPr>
          <w:p w14:paraId="774A8760" w14:textId="77777777" w:rsidR="00EF19F0" w:rsidRDefault="00EF19F0" w:rsidP="00EF19F0">
            <w:pPr>
              <w:spacing w:before="100" w:beforeAutospacing="1" w:after="100" w:afterAutospacing="1" w:line="360" w:lineRule="auto"/>
              <w:rPr>
                <w:rFonts w:asciiTheme="majorHAnsi" w:hAnsiTheme="majorHAnsi" w:cstheme="majorHAnsi"/>
                <w:color w:val="000000" w:themeColor="text1"/>
                <w:sz w:val="18"/>
                <w:szCs w:val="18"/>
              </w:rPr>
            </w:pPr>
          </w:p>
        </w:tc>
        <w:tc>
          <w:tcPr>
            <w:tcW w:w="1299" w:type="dxa"/>
          </w:tcPr>
          <w:p w14:paraId="013864CA" w14:textId="77777777" w:rsidR="00EF19F0" w:rsidRDefault="00EF19F0" w:rsidP="00EF19F0">
            <w:pPr>
              <w:spacing w:before="100" w:beforeAutospacing="1" w:after="100" w:afterAutospacing="1" w:line="360" w:lineRule="auto"/>
              <w:rPr>
                <w:rFonts w:asciiTheme="majorHAnsi" w:hAnsiTheme="majorHAnsi" w:cstheme="majorHAnsi"/>
                <w:color w:val="000000" w:themeColor="text1"/>
                <w:sz w:val="18"/>
                <w:szCs w:val="18"/>
              </w:rPr>
            </w:pPr>
          </w:p>
        </w:tc>
        <w:tc>
          <w:tcPr>
            <w:tcW w:w="1300" w:type="dxa"/>
          </w:tcPr>
          <w:p w14:paraId="6B7F570C" w14:textId="77777777" w:rsidR="00EF19F0" w:rsidRDefault="00EF19F0" w:rsidP="00EF19F0">
            <w:pPr>
              <w:spacing w:before="100" w:beforeAutospacing="1" w:after="100" w:afterAutospacing="1" w:line="360" w:lineRule="auto"/>
              <w:rPr>
                <w:rFonts w:asciiTheme="majorHAnsi" w:hAnsiTheme="majorHAnsi" w:cstheme="majorHAnsi"/>
                <w:color w:val="000000" w:themeColor="text1"/>
                <w:sz w:val="18"/>
                <w:szCs w:val="18"/>
              </w:rPr>
            </w:pPr>
          </w:p>
        </w:tc>
      </w:tr>
      <w:tr w:rsidR="00EF19F0" w:rsidRPr="009D738E" w14:paraId="745CA8B9" w14:textId="77777777" w:rsidTr="00EF19F0">
        <w:trPr>
          <w:trHeight w:val="37"/>
        </w:trPr>
        <w:tc>
          <w:tcPr>
            <w:tcW w:w="1838" w:type="dxa"/>
          </w:tcPr>
          <w:p w14:paraId="72129E46" w14:textId="77777777" w:rsidR="00EF19F0" w:rsidRPr="009D738E" w:rsidRDefault="00EF19F0" w:rsidP="00EF19F0">
            <w:pPr>
              <w:spacing w:before="100" w:beforeAutospacing="1" w:after="100" w:afterAutospacing="1" w:line="360" w:lineRule="auto"/>
              <w:rPr>
                <w:rFonts w:asciiTheme="majorHAnsi" w:hAnsiTheme="majorHAnsi" w:cstheme="majorHAnsi"/>
                <w:color w:val="000000" w:themeColor="text1"/>
                <w:sz w:val="18"/>
                <w:szCs w:val="18"/>
              </w:rPr>
            </w:pPr>
            <w:r w:rsidRPr="009D738E">
              <w:rPr>
                <w:rFonts w:asciiTheme="majorHAnsi" w:hAnsiTheme="majorHAnsi" w:cstheme="majorHAnsi"/>
                <w:color w:val="000000" w:themeColor="text1"/>
                <w:sz w:val="18"/>
                <w:szCs w:val="18"/>
              </w:rPr>
              <w:t>PSHs (n=26)</w:t>
            </w:r>
          </w:p>
        </w:tc>
        <w:tc>
          <w:tcPr>
            <w:tcW w:w="1299" w:type="dxa"/>
          </w:tcPr>
          <w:p w14:paraId="4F4EE38E" w14:textId="77777777" w:rsidR="00EF19F0" w:rsidRDefault="00EF19F0" w:rsidP="00EF19F0">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27</w:t>
            </w:r>
            <w:r w:rsidRPr="009D738E">
              <w:rPr>
                <w:rFonts w:asciiTheme="majorHAnsi" w:hAnsiTheme="majorHAnsi" w:cstheme="majorHAnsi"/>
                <w:color w:val="000000" w:themeColor="text1"/>
                <w:sz w:val="18"/>
                <w:szCs w:val="18"/>
              </w:rPr>
              <w:t>%</w:t>
            </w:r>
          </w:p>
        </w:tc>
        <w:tc>
          <w:tcPr>
            <w:tcW w:w="1299" w:type="dxa"/>
          </w:tcPr>
          <w:p w14:paraId="207CAFCE" w14:textId="77777777" w:rsidR="00EF19F0" w:rsidRDefault="00EF19F0" w:rsidP="00EF19F0">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54</w:t>
            </w:r>
            <w:r w:rsidRPr="009D738E">
              <w:rPr>
                <w:rFonts w:asciiTheme="majorHAnsi" w:hAnsiTheme="majorHAnsi" w:cstheme="majorHAnsi"/>
                <w:color w:val="000000" w:themeColor="text1"/>
                <w:sz w:val="18"/>
                <w:szCs w:val="18"/>
              </w:rPr>
              <w:t>%</w:t>
            </w:r>
          </w:p>
        </w:tc>
        <w:tc>
          <w:tcPr>
            <w:tcW w:w="1300" w:type="dxa"/>
          </w:tcPr>
          <w:p w14:paraId="6A7136EB" w14:textId="77777777" w:rsidR="00EF19F0" w:rsidRDefault="00EF19F0" w:rsidP="00EF19F0">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23%</w:t>
            </w:r>
          </w:p>
        </w:tc>
        <w:tc>
          <w:tcPr>
            <w:tcW w:w="1299" w:type="dxa"/>
          </w:tcPr>
          <w:p w14:paraId="1454C159" w14:textId="77777777" w:rsidR="00EF19F0" w:rsidRDefault="00EF19F0" w:rsidP="00EF19F0">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58%</w:t>
            </w:r>
          </w:p>
        </w:tc>
        <w:tc>
          <w:tcPr>
            <w:tcW w:w="1299" w:type="dxa"/>
          </w:tcPr>
          <w:p w14:paraId="128A1CFF" w14:textId="77777777" w:rsidR="00EF19F0" w:rsidRDefault="00EF19F0" w:rsidP="00EF19F0">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31</w:t>
            </w:r>
            <w:r w:rsidRPr="009D738E">
              <w:rPr>
                <w:rFonts w:asciiTheme="majorHAnsi" w:hAnsiTheme="majorHAnsi" w:cstheme="majorHAnsi"/>
                <w:color w:val="000000" w:themeColor="text1"/>
                <w:sz w:val="18"/>
                <w:szCs w:val="18"/>
              </w:rPr>
              <w:t>%</w:t>
            </w:r>
          </w:p>
        </w:tc>
        <w:tc>
          <w:tcPr>
            <w:tcW w:w="1300" w:type="dxa"/>
          </w:tcPr>
          <w:p w14:paraId="578715D0" w14:textId="77777777" w:rsidR="00EF19F0" w:rsidRDefault="00EF19F0" w:rsidP="00EF19F0">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54</w:t>
            </w:r>
            <w:r w:rsidRPr="009D738E">
              <w:rPr>
                <w:rFonts w:asciiTheme="majorHAnsi" w:hAnsiTheme="majorHAnsi" w:cstheme="majorHAnsi"/>
                <w:color w:val="000000" w:themeColor="text1"/>
                <w:sz w:val="18"/>
                <w:szCs w:val="18"/>
              </w:rPr>
              <w:t>%</w:t>
            </w:r>
          </w:p>
        </w:tc>
      </w:tr>
      <w:tr w:rsidR="00EF19F0" w:rsidRPr="009D738E" w14:paraId="09D9E718" w14:textId="77777777" w:rsidTr="00EF19F0">
        <w:trPr>
          <w:trHeight w:val="37"/>
        </w:trPr>
        <w:tc>
          <w:tcPr>
            <w:tcW w:w="1838" w:type="dxa"/>
          </w:tcPr>
          <w:p w14:paraId="21C1AB15" w14:textId="77777777" w:rsidR="00EF19F0" w:rsidRPr="009D738E" w:rsidRDefault="00EF19F0" w:rsidP="00EF19F0">
            <w:pPr>
              <w:spacing w:before="100" w:beforeAutospacing="1" w:after="100" w:afterAutospacing="1" w:line="360" w:lineRule="auto"/>
              <w:rPr>
                <w:rFonts w:asciiTheme="majorHAnsi" w:hAnsiTheme="majorHAnsi" w:cstheme="majorHAnsi"/>
                <w:color w:val="000000" w:themeColor="text1"/>
                <w:sz w:val="18"/>
                <w:szCs w:val="18"/>
              </w:rPr>
            </w:pPr>
            <w:r w:rsidRPr="009D738E">
              <w:rPr>
                <w:rFonts w:asciiTheme="majorHAnsi" w:hAnsiTheme="majorHAnsi" w:cstheme="majorHAnsi"/>
                <w:color w:val="000000" w:themeColor="text1"/>
                <w:sz w:val="18"/>
                <w:szCs w:val="18"/>
              </w:rPr>
              <w:t>Teachers (n=107)</w:t>
            </w:r>
          </w:p>
        </w:tc>
        <w:tc>
          <w:tcPr>
            <w:tcW w:w="1299" w:type="dxa"/>
          </w:tcPr>
          <w:p w14:paraId="1DCD116F" w14:textId="77777777" w:rsidR="00EF19F0" w:rsidRPr="009D738E" w:rsidRDefault="00EF19F0" w:rsidP="00EF19F0">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52</w:t>
            </w:r>
            <w:r w:rsidRPr="009D738E">
              <w:rPr>
                <w:rFonts w:asciiTheme="majorHAnsi" w:hAnsiTheme="majorHAnsi" w:cstheme="majorHAnsi"/>
                <w:color w:val="000000" w:themeColor="text1"/>
                <w:sz w:val="18"/>
                <w:szCs w:val="18"/>
              </w:rPr>
              <w:t>%</w:t>
            </w:r>
          </w:p>
        </w:tc>
        <w:tc>
          <w:tcPr>
            <w:tcW w:w="1299" w:type="dxa"/>
          </w:tcPr>
          <w:p w14:paraId="5F2289C4" w14:textId="77777777" w:rsidR="00EF19F0" w:rsidRDefault="00EF19F0" w:rsidP="00EF19F0">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22</w:t>
            </w:r>
            <w:r w:rsidRPr="009D738E">
              <w:rPr>
                <w:rFonts w:asciiTheme="majorHAnsi" w:hAnsiTheme="majorHAnsi" w:cstheme="majorHAnsi"/>
                <w:color w:val="000000" w:themeColor="text1"/>
                <w:sz w:val="18"/>
                <w:szCs w:val="18"/>
              </w:rPr>
              <w:t>%</w:t>
            </w:r>
          </w:p>
        </w:tc>
        <w:tc>
          <w:tcPr>
            <w:tcW w:w="1300" w:type="dxa"/>
          </w:tcPr>
          <w:p w14:paraId="4B0C181E" w14:textId="77777777" w:rsidR="00EF19F0" w:rsidRDefault="00EF19F0" w:rsidP="00EF19F0">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41%</w:t>
            </w:r>
          </w:p>
        </w:tc>
        <w:tc>
          <w:tcPr>
            <w:tcW w:w="1299" w:type="dxa"/>
          </w:tcPr>
          <w:p w14:paraId="2A0610AA" w14:textId="77777777" w:rsidR="00EF19F0" w:rsidRDefault="00EF19F0" w:rsidP="00EF19F0">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26%</w:t>
            </w:r>
          </w:p>
        </w:tc>
        <w:tc>
          <w:tcPr>
            <w:tcW w:w="1299" w:type="dxa"/>
          </w:tcPr>
          <w:p w14:paraId="45BA1476" w14:textId="77777777" w:rsidR="00EF19F0" w:rsidRDefault="00EF19F0" w:rsidP="00EF19F0">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42</w:t>
            </w:r>
            <w:r w:rsidRPr="009D738E">
              <w:rPr>
                <w:rFonts w:asciiTheme="majorHAnsi" w:hAnsiTheme="majorHAnsi" w:cstheme="majorHAnsi"/>
                <w:color w:val="000000" w:themeColor="text1"/>
                <w:sz w:val="18"/>
                <w:szCs w:val="18"/>
              </w:rPr>
              <w:t>%</w:t>
            </w:r>
          </w:p>
        </w:tc>
        <w:tc>
          <w:tcPr>
            <w:tcW w:w="1300" w:type="dxa"/>
          </w:tcPr>
          <w:p w14:paraId="0EAFD062" w14:textId="77777777" w:rsidR="00EF19F0" w:rsidRDefault="00EF19F0" w:rsidP="00EF19F0">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24</w:t>
            </w:r>
            <w:r w:rsidRPr="009D738E">
              <w:rPr>
                <w:rFonts w:asciiTheme="majorHAnsi" w:hAnsiTheme="majorHAnsi" w:cstheme="majorHAnsi"/>
                <w:color w:val="000000" w:themeColor="text1"/>
                <w:sz w:val="18"/>
                <w:szCs w:val="18"/>
              </w:rPr>
              <w:t>%</w:t>
            </w:r>
          </w:p>
        </w:tc>
      </w:tr>
      <w:tr w:rsidR="00EF19F0" w:rsidRPr="009D738E" w14:paraId="3919E45A" w14:textId="77777777" w:rsidTr="00EF19F0">
        <w:trPr>
          <w:trHeight w:val="37"/>
        </w:trPr>
        <w:tc>
          <w:tcPr>
            <w:tcW w:w="1838" w:type="dxa"/>
          </w:tcPr>
          <w:p w14:paraId="07832CA2" w14:textId="77777777" w:rsidR="00EF19F0" w:rsidRPr="009D738E" w:rsidRDefault="00EF19F0" w:rsidP="00EF19F0">
            <w:pPr>
              <w:spacing w:before="100" w:beforeAutospacing="1" w:after="100" w:afterAutospacing="1" w:line="360" w:lineRule="auto"/>
              <w:rPr>
                <w:rFonts w:asciiTheme="majorHAnsi" w:hAnsiTheme="majorHAnsi" w:cstheme="majorHAnsi"/>
                <w:color w:val="000000" w:themeColor="text1"/>
                <w:sz w:val="18"/>
                <w:szCs w:val="18"/>
              </w:rPr>
            </w:pPr>
            <w:r w:rsidRPr="009D738E">
              <w:rPr>
                <w:rFonts w:asciiTheme="majorHAnsi" w:hAnsiTheme="majorHAnsi" w:cstheme="majorHAnsi"/>
                <w:color w:val="000000" w:themeColor="text1"/>
                <w:sz w:val="18"/>
                <w:szCs w:val="18"/>
              </w:rPr>
              <w:t>Follow-Up Study **</w:t>
            </w:r>
          </w:p>
        </w:tc>
        <w:tc>
          <w:tcPr>
            <w:tcW w:w="1299" w:type="dxa"/>
          </w:tcPr>
          <w:p w14:paraId="4E53FD12" w14:textId="77777777" w:rsidR="00EF19F0" w:rsidRDefault="00EF19F0" w:rsidP="00EF19F0">
            <w:pPr>
              <w:spacing w:before="100" w:beforeAutospacing="1" w:after="100" w:afterAutospacing="1" w:line="360" w:lineRule="auto"/>
              <w:rPr>
                <w:rFonts w:asciiTheme="majorHAnsi" w:hAnsiTheme="majorHAnsi" w:cstheme="majorHAnsi"/>
                <w:color w:val="000000" w:themeColor="text1"/>
                <w:sz w:val="18"/>
                <w:szCs w:val="18"/>
              </w:rPr>
            </w:pPr>
          </w:p>
        </w:tc>
        <w:tc>
          <w:tcPr>
            <w:tcW w:w="1299" w:type="dxa"/>
          </w:tcPr>
          <w:p w14:paraId="07207A8D" w14:textId="77777777" w:rsidR="00EF19F0" w:rsidRDefault="00EF19F0" w:rsidP="00EF19F0">
            <w:pPr>
              <w:spacing w:before="100" w:beforeAutospacing="1" w:after="100" w:afterAutospacing="1" w:line="360" w:lineRule="auto"/>
              <w:rPr>
                <w:rFonts w:asciiTheme="majorHAnsi" w:hAnsiTheme="majorHAnsi" w:cstheme="majorHAnsi"/>
                <w:color w:val="000000" w:themeColor="text1"/>
                <w:sz w:val="18"/>
                <w:szCs w:val="18"/>
              </w:rPr>
            </w:pPr>
          </w:p>
        </w:tc>
        <w:tc>
          <w:tcPr>
            <w:tcW w:w="1300" w:type="dxa"/>
          </w:tcPr>
          <w:p w14:paraId="040A32FE" w14:textId="77777777" w:rsidR="00EF19F0" w:rsidRDefault="00EF19F0" w:rsidP="00EF19F0">
            <w:pPr>
              <w:spacing w:before="100" w:beforeAutospacing="1" w:after="100" w:afterAutospacing="1" w:line="360" w:lineRule="auto"/>
              <w:rPr>
                <w:rFonts w:asciiTheme="majorHAnsi" w:hAnsiTheme="majorHAnsi" w:cstheme="majorHAnsi"/>
                <w:color w:val="000000" w:themeColor="text1"/>
                <w:sz w:val="18"/>
                <w:szCs w:val="18"/>
              </w:rPr>
            </w:pPr>
          </w:p>
        </w:tc>
        <w:tc>
          <w:tcPr>
            <w:tcW w:w="1299" w:type="dxa"/>
          </w:tcPr>
          <w:p w14:paraId="1652DD7E" w14:textId="77777777" w:rsidR="00EF19F0" w:rsidRDefault="00EF19F0" w:rsidP="00EF19F0">
            <w:pPr>
              <w:spacing w:before="100" w:beforeAutospacing="1" w:after="100" w:afterAutospacing="1" w:line="360" w:lineRule="auto"/>
              <w:rPr>
                <w:rFonts w:asciiTheme="majorHAnsi" w:hAnsiTheme="majorHAnsi" w:cstheme="majorHAnsi"/>
                <w:color w:val="000000" w:themeColor="text1"/>
                <w:sz w:val="18"/>
                <w:szCs w:val="18"/>
              </w:rPr>
            </w:pPr>
          </w:p>
        </w:tc>
        <w:tc>
          <w:tcPr>
            <w:tcW w:w="1299" w:type="dxa"/>
          </w:tcPr>
          <w:p w14:paraId="0407EC7D" w14:textId="77777777" w:rsidR="00EF19F0" w:rsidRDefault="00EF19F0" w:rsidP="00EF19F0">
            <w:pPr>
              <w:spacing w:before="100" w:beforeAutospacing="1" w:after="100" w:afterAutospacing="1" w:line="360" w:lineRule="auto"/>
              <w:rPr>
                <w:rFonts w:asciiTheme="majorHAnsi" w:hAnsiTheme="majorHAnsi" w:cstheme="majorHAnsi"/>
                <w:color w:val="000000" w:themeColor="text1"/>
                <w:sz w:val="18"/>
                <w:szCs w:val="18"/>
              </w:rPr>
            </w:pPr>
          </w:p>
        </w:tc>
        <w:tc>
          <w:tcPr>
            <w:tcW w:w="1300" w:type="dxa"/>
          </w:tcPr>
          <w:p w14:paraId="3F08365A" w14:textId="77777777" w:rsidR="00EF19F0" w:rsidRDefault="00EF19F0" w:rsidP="00EF19F0">
            <w:pPr>
              <w:spacing w:before="100" w:beforeAutospacing="1" w:after="100" w:afterAutospacing="1" w:line="360" w:lineRule="auto"/>
              <w:rPr>
                <w:rFonts w:asciiTheme="majorHAnsi" w:hAnsiTheme="majorHAnsi" w:cstheme="majorHAnsi"/>
                <w:color w:val="000000" w:themeColor="text1"/>
                <w:sz w:val="18"/>
                <w:szCs w:val="18"/>
              </w:rPr>
            </w:pPr>
          </w:p>
        </w:tc>
      </w:tr>
      <w:tr w:rsidR="00EF19F0" w:rsidRPr="009D738E" w14:paraId="4D3C9275" w14:textId="77777777" w:rsidTr="00EF19F0">
        <w:trPr>
          <w:trHeight w:val="37"/>
        </w:trPr>
        <w:tc>
          <w:tcPr>
            <w:tcW w:w="1838" w:type="dxa"/>
          </w:tcPr>
          <w:p w14:paraId="315A1961" w14:textId="77777777" w:rsidR="00EF19F0" w:rsidRPr="009D738E" w:rsidRDefault="00EF19F0" w:rsidP="00EF19F0">
            <w:pPr>
              <w:spacing w:before="100" w:beforeAutospacing="1" w:after="100" w:afterAutospacing="1" w:line="360" w:lineRule="auto"/>
              <w:rPr>
                <w:rFonts w:asciiTheme="majorHAnsi" w:hAnsiTheme="majorHAnsi" w:cstheme="majorHAnsi"/>
                <w:color w:val="000000" w:themeColor="text1"/>
                <w:sz w:val="18"/>
                <w:szCs w:val="18"/>
              </w:rPr>
            </w:pPr>
            <w:r w:rsidRPr="009D738E">
              <w:rPr>
                <w:rFonts w:asciiTheme="majorHAnsi" w:hAnsiTheme="majorHAnsi" w:cstheme="majorHAnsi"/>
                <w:color w:val="000000" w:themeColor="text1"/>
                <w:sz w:val="18"/>
                <w:szCs w:val="18"/>
              </w:rPr>
              <w:t>PSHs (n=11)</w:t>
            </w:r>
          </w:p>
        </w:tc>
        <w:tc>
          <w:tcPr>
            <w:tcW w:w="1299" w:type="dxa"/>
          </w:tcPr>
          <w:p w14:paraId="688C590E" w14:textId="77777777" w:rsidR="00EF19F0" w:rsidRDefault="00EF19F0" w:rsidP="00EF19F0">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67</w:t>
            </w:r>
            <w:r w:rsidRPr="009D738E">
              <w:rPr>
                <w:rFonts w:asciiTheme="majorHAnsi" w:hAnsiTheme="majorHAnsi" w:cstheme="majorHAnsi"/>
                <w:color w:val="000000" w:themeColor="text1"/>
                <w:sz w:val="18"/>
                <w:szCs w:val="18"/>
              </w:rPr>
              <w:t>%</w:t>
            </w:r>
          </w:p>
        </w:tc>
        <w:tc>
          <w:tcPr>
            <w:tcW w:w="1299" w:type="dxa"/>
          </w:tcPr>
          <w:p w14:paraId="6B415E7A" w14:textId="77777777" w:rsidR="00EF19F0" w:rsidRDefault="00EF19F0" w:rsidP="00EF19F0">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17</w:t>
            </w:r>
            <w:r w:rsidRPr="009D738E">
              <w:rPr>
                <w:rFonts w:asciiTheme="majorHAnsi" w:hAnsiTheme="majorHAnsi" w:cstheme="majorHAnsi"/>
                <w:color w:val="000000" w:themeColor="text1"/>
                <w:sz w:val="18"/>
                <w:szCs w:val="18"/>
              </w:rPr>
              <w:t>%</w:t>
            </w:r>
          </w:p>
        </w:tc>
        <w:tc>
          <w:tcPr>
            <w:tcW w:w="1300" w:type="dxa"/>
          </w:tcPr>
          <w:p w14:paraId="45D259D8" w14:textId="77777777" w:rsidR="00EF19F0" w:rsidRDefault="00EF19F0" w:rsidP="00EF19F0">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45%</w:t>
            </w:r>
          </w:p>
        </w:tc>
        <w:tc>
          <w:tcPr>
            <w:tcW w:w="1299" w:type="dxa"/>
          </w:tcPr>
          <w:p w14:paraId="31CD801F" w14:textId="77777777" w:rsidR="00EF19F0" w:rsidRDefault="00EF19F0" w:rsidP="00EF19F0">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27%</w:t>
            </w:r>
          </w:p>
        </w:tc>
        <w:tc>
          <w:tcPr>
            <w:tcW w:w="1299" w:type="dxa"/>
          </w:tcPr>
          <w:p w14:paraId="33B8F822" w14:textId="77777777" w:rsidR="00EF19F0" w:rsidRDefault="00EF19F0" w:rsidP="00EF19F0">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45</w:t>
            </w:r>
            <w:r w:rsidRPr="009D738E">
              <w:rPr>
                <w:rFonts w:asciiTheme="majorHAnsi" w:hAnsiTheme="majorHAnsi" w:cstheme="majorHAnsi"/>
                <w:color w:val="000000" w:themeColor="text1"/>
                <w:sz w:val="18"/>
                <w:szCs w:val="18"/>
              </w:rPr>
              <w:t>%</w:t>
            </w:r>
          </w:p>
        </w:tc>
        <w:tc>
          <w:tcPr>
            <w:tcW w:w="1300" w:type="dxa"/>
          </w:tcPr>
          <w:p w14:paraId="5A140625" w14:textId="77777777" w:rsidR="00EF19F0" w:rsidRDefault="00EF19F0" w:rsidP="00EF19F0">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27</w:t>
            </w:r>
            <w:r w:rsidRPr="009D738E">
              <w:rPr>
                <w:rFonts w:asciiTheme="majorHAnsi" w:hAnsiTheme="majorHAnsi" w:cstheme="majorHAnsi"/>
                <w:color w:val="000000" w:themeColor="text1"/>
                <w:sz w:val="18"/>
                <w:szCs w:val="18"/>
              </w:rPr>
              <w:t>%</w:t>
            </w:r>
          </w:p>
        </w:tc>
      </w:tr>
      <w:tr w:rsidR="00EF19F0" w:rsidRPr="009D738E" w14:paraId="7D7244ED" w14:textId="77777777" w:rsidTr="00EF19F0">
        <w:trPr>
          <w:trHeight w:val="37"/>
        </w:trPr>
        <w:tc>
          <w:tcPr>
            <w:tcW w:w="1838" w:type="dxa"/>
          </w:tcPr>
          <w:p w14:paraId="27CB6441" w14:textId="77777777" w:rsidR="00EF19F0" w:rsidRPr="009D738E" w:rsidRDefault="00EF19F0" w:rsidP="00EF19F0">
            <w:pPr>
              <w:spacing w:before="100" w:beforeAutospacing="1" w:after="100" w:afterAutospacing="1" w:line="360" w:lineRule="auto"/>
              <w:rPr>
                <w:rFonts w:asciiTheme="majorHAnsi" w:hAnsiTheme="majorHAnsi" w:cstheme="majorHAnsi"/>
                <w:color w:val="000000" w:themeColor="text1"/>
                <w:sz w:val="18"/>
                <w:szCs w:val="18"/>
              </w:rPr>
            </w:pPr>
            <w:r w:rsidRPr="009D738E">
              <w:rPr>
                <w:rFonts w:asciiTheme="majorHAnsi" w:hAnsiTheme="majorHAnsi" w:cstheme="majorHAnsi"/>
                <w:color w:val="000000" w:themeColor="text1"/>
                <w:sz w:val="18"/>
                <w:szCs w:val="18"/>
              </w:rPr>
              <w:t>Teachers (n=61)</w:t>
            </w:r>
          </w:p>
        </w:tc>
        <w:tc>
          <w:tcPr>
            <w:tcW w:w="1299" w:type="dxa"/>
          </w:tcPr>
          <w:p w14:paraId="40D1CB9C" w14:textId="77777777" w:rsidR="00EF19F0" w:rsidRDefault="00EF19F0" w:rsidP="00EF19F0">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38</w:t>
            </w:r>
            <w:r w:rsidRPr="009D738E">
              <w:rPr>
                <w:rFonts w:asciiTheme="majorHAnsi" w:hAnsiTheme="majorHAnsi" w:cstheme="majorHAnsi"/>
                <w:color w:val="000000" w:themeColor="text1"/>
                <w:sz w:val="18"/>
                <w:szCs w:val="18"/>
              </w:rPr>
              <w:t>%</w:t>
            </w:r>
          </w:p>
        </w:tc>
        <w:tc>
          <w:tcPr>
            <w:tcW w:w="1299" w:type="dxa"/>
          </w:tcPr>
          <w:p w14:paraId="4B7CE9C7" w14:textId="77777777" w:rsidR="00EF19F0" w:rsidRDefault="00EF19F0" w:rsidP="00EF19F0">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54</w:t>
            </w:r>
            <w:r w:rsidRPr="009D738E">
              <w:rPr>
                <w:rFonts w:asciiTheme="majorHAnsi" w:hAnsiTheme="majorHAnsi" w:cstheme="majorHAnsi"/>
                <w:color w:val="000000" w:themeColor="text1"/>
                <w:sz w:val="18"/>
                <w:szCs w:val="18"/>
              </w:rPr>
              <w:t>%</w:t>
            </w:r>
          </w:p>
        </w:tc>
        <w:tc>
          <w:tcPr>
            <w:tcW w:w="1300" w:type="dxa"/>
          </w:tcPr>
          <w:p w14:paraId="1221436C" w14:textId="77777777" w:rsidR="00EF19F0" w:rsidRDefault="00EF19F0" w:rsidP="00EF19F0">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33%</w:t>
            </w:r>
          </w:p>
        </w:tc>
        <w:tc>
          <w:tcPr>
            <w:tcW w:w="1299" w:type="dxa"/>
          </w:tcPr>
          <w:p w14:paraId="21244EB1" w14:textId="77777777" w:rsidR="00EF19F0" w:rsidRDefault="00EF19F0" w:rsidP="00EF19F0">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54%</w:t>
            </w:r>
          </w:p>
        </w:tc>
        <w:tc>
          <w:tcPr>
            <w:tcW w:w="1299" w:type="dxa"/>
          </w:tcPr>
          <w:p w14:paraId="08EBA895" w14:textId="77777777" w:rsidR="00EF19F0" w:rsidRDefault="00EF19F0" w:rsidP="00EF19F0">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38</w:t>
            </w:r>
            <w:r w:rsidRPr="009D738E">
              <w:rPr>
                <w:rFonts w:asciiTheme="majorHAnsi" w:hAnsiTheme="majorHAnsi" w:cstheme="majorHAnsi"/>
                <w:color w:val="000000" w:themeColor="text1"/>
                <w:sz w:val="18"/>
                <w:szCs w:val="18"/>
              </w:rPr>
              <w:t>%</w:t>
            </w:r>
          </w:p>
        </w:tc>
        <w:tc>
          <w:tcPr>
            <w:tcW w:w="1300" w:type="dxa"/>
          </w:tcPr>
          <w:p w14:paraId="53AF0C28" w14:textId="77777777" w:rsidR="00EF19F0" w:rsidRDefault="00EF19F0" w:rsidP="00EF19F0">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48</w:t>
            </w:r>
            <w:r w:rsidRPr="009D738E">
              <w:rPr>
                <w:rFonts w:asciiTheme="majorHAnsi" w:hAnsiTheme="majorHAnsi" w:cstheme="majorHAnsi"/>
                <w:color w:val="000000" w:themeColor="text1"/>
                <w:sz w:val="18"/>
                <w:szCs w:val="18"/>
              </w:rPr>
              <w:t>%</w:t>
            </w:r>
          </w:p>
        </w:tc>
      </w:tr>
    </w:tbl>
    <w:p w14:paraId="45D43860" w14:textId="0EBA3A62" w:rsidR="0015536A" w:rsidRPr="007C1A2E" w:rsidRDefault="0015536A" w:rsidP="007C1A2E">
      <w:pPr>
        <w:spacing w:before="100" w:beforeAutospacing="1" w:after="100" w:afterAutospacing="1" w:line="360" w:lineRule="auto"/>
        <w:rPr>
          <w:rFonts w:asciiTheme="majorHAnsi" w:hAnsiTheme="majorHAnsi" w:cstheme="majorHAnsi"/>
          <w:sz w:val="14"/>
          <w:szCs w:val="14"/>
        </w:rPr>
      </w:pPr>
      <w:r w:rsidRPr="00020D54">
        <w:rPr>
          <w:rFonts w:asciiTheme="majorHAnsi" w:hAnsiTheme="majorHAnsi" w:cstheme="majorHAnsi"/>
          <w:sz w:val="14"/>
          <w:szCs w:val="14"/>
        </w:rPr>
        <w:t>*2019 KAU Survey **2020 KAU Survey</w:t>
      </w:r>
    </w:p>
    <w:p w14:paraId="79839622" w14:textId="5B86D748" w:rsidR="008D0CAD" w:rsidRPr="00402C14" w:rsidRDefault="008D0CAD" w:rsidP="007C1A2E">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color w:val="000000" w:themeColor="text1"/>
        </w:rPr>
        <w:t xml:space="preserve">Knowledge, access and utility (KAU) of both the COT and SAT were high from the perspective of school-level </w:t>
      </w:r>
      <w:r w:rsidRPr="000D32D1">
        <w:rPr>
          <w:rFonts w:asciiTheme="majorHAnsi" w:hAnsiTheme="majorHAnsi" w:cstheme="majorHAnsi"/>
          <w:color w:val="000000" w:themeColor="text1"/>
        </w:rPr>
        <w:t>stakeholders (Table 1</w:t>
      </w:r>
      <w:r>
        <w:rPr>
          <w:rFonts w:asciiTheme="majorHAnsi" w:hAnsiTheme="majorHAnsi" w:cstheme="majorHAnsi"/>
          <w:color w:val="000000" w:themeColor="text1"/>
        </w:rPr>
        <w:t>5</w:t>
      </w:r>
      <w:r w:rsidRPr="000D32D1">
        <w:rPr>
          <w:rFonts w:asciiTheme="majorHAnsi" w:hAnsiTheme="majorHAnsi" w:cstheme="majorHAnsi"/>
          <w:color w:val="000000" w:themeColor="text1"/>
        </w:rPr>
        <w:t>). Survey results showed that knowledge of the COT was high (92</w:t>
      </w:r>
      <w:r>
        <w:rPr>
          <w:rFonts w:asciiTheme="majorHAnsi" w:hAnsiTheme="majorHAnsi" w:cstheme="majorHAnsi"/>
          <w:color w:val="000000" w:themeColor="text1"/>
        </w:rPr>
        <w:t xml:space="preserve"> per cent</w:t>
      </w:r>
      <w:r w:rsidRPr="000D32D1">
        <w:rPr>
          <w:rFonts w:asciiTheme="majorHAnsi" w:hAnsiTheme="majorHAnsi" w:cstheme="majorHAnsi"/>
          <w:color w:val="000000" w:themeColor="text1"/>
        </w:rPr>
        <w:t xml:space="preserve"> </w:t>
      </w:r>
      <w:r>
        <w:rPr>
          <w:rFonts w:asciiTheme="majorHAnsi" w:hAnsiTheme="majorHAnsi" w:cstheme="majorHAnsi"/>
          <w:color w:val="000000" w:themeColor="text1"/>
        </w:rPr>
        <w:t>among principal</w:t>
      </w:r>
      <w:r w:rsidRPr="000D32D1">
        <w:rPr>
          <w:rFonts w:asciiTheme="majorHAnsi" w:hAnsiTheme="majorHAnsi" w:cstheme="majorHAnsi"/>
          <w:color w:val="000000" w:themeColor="text1"/>
        </w:rPr>
        <w:t>s and 87</w:t>
      </w:r>
      <w:r>
        <w:rPr>
          <w:rFonts w:asciiTheme="majorHAnsi" w:hAnsiTheme="majorHAnsi" w:cstheme="majorHAnsi"/>
          <w:color w:val="000000" w:themeColor="text1"/>
        </w:rPr>
        <w:t xml:space="preserve"> per cent</w:t>
      </w:r>
      <w:r w:rsidRPr="00BD6D45">
        <w:rPr>
          <w:rFonts w:asciiTheme="majorHAnsi" w:hAnsiTheme="majorHAnsi" w:cstheme="majorHAnsi"/>
          <w:color w:val="000000" w:themeColor="text1"/>
        </w:rPr>
        <w:t xml:space="preserve"> </w:t>
      </w:r>
      <w:r>
        <w:rPr>
          <w:rFonts w:asciiTheme="majorHAnsi" w:hAnsiTheme="majorHAnsi" w:cstheme="majorHAnsi"/>
          <w:color w:val="000000" w:themeColor="text1"/>
        </w:rPr>
        <w:t>among</w:t>
      </w:r>
      <w:r w:rsidRPr="000D32D1">
        <w:rPr>
          <w:rFonts w:asciiTheme="majorHAnsi" w:hAnsiTheme="majorHAnsi" w:cstheme="majorHAnsi"/>
          <w:color w:val="000000" w:themeColor="text1"/>
        </w:rPr>
        <w:t xml:space="preserve"> teachers)</w:t>
      </w:r>
      <w:r>
        <w:rPr>
          <w:rFonts w:asciiTheme="majorHAnsi" w:hAnsiTheme="majorHAnsi" w:cstheme="majorHAnsi"/>
          <w:color w:val="000000" w:themeColor="text1"/>
        </w:rPr>
        <w:t>;</w:t>
      </w:r>
      <w:r w:rsidRPr="000D32D1">
        <w:rPr>
          <w:rFonts w:asciiTheme="majorHAnsi" w:hAnsiTheme="majorHAnsi" w:cstheme="majorHAnsi"/>
          <w:color w:val="000000" w:themeColor="text1"/>
        </w:rPr>
        <w:t xml:space="preserve"> access </w:t>
      </w:r>
      <w:r>
        <w:rPr>
          <w:rFonts w:asciiTheme="majorHAnsi" w:hAnsiTheme="majorHAnsi" w:cstheme="majorHAnsi"/>
          <w:color w:val="000000" w:themeColor="text1"/>
        </w:rPr>
        <w:t>was high (81 per cent among principals and 67 per cent among teachers) and perceived utility was also high (92 per cent among principals and 79 per cent among teachers).</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In the case of the SATs, knowledge was also high (81 per cent among principals and 75 per cent among teachers);</w:t>
      </w:r>
      <w:r w:rsidRPr="00314270">
        <w:rPr>
          <w:rFonts w:asciiTheme="majorHAnsi" w:hAnsiTheme="majorHAnsi" w:cstheme="majorHAnsi"/>
          <w:color w:val="000000" w:themeColor="text1"/>
        </w:rPr>
        <w:t xml:space="preserve"> </w:t>
      </w:r>
      <w:r>
        <w:rPr>
          <w:rFonts w:asciiTheme="majorHAnsi" w:hAnsiTheme="majorHAnsi" w:cstheme="majorHAnsi"/>
          <w:color w:val="000000" w:themeColor="text1"/>
        </w:rPr>
        <w:t>access was high (81 per cent among principals and 81 per cent among teachers); and perceived utility was also high (85 per cent among principals and 66 per cent among teachers).</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In the Follow-Up Study, KAU of the COT and SAT was even higher among teachers.</w:t>
      </w:r>
    </w:p>
    <w:p w14:paraId="48239FB2" w14:textId="3354BBBE" w:rsidR="008D0CAD" w:rsidRPr="00353FF9" w:rsidRDefault="008D0CAD" w:rsidP="00DD08E3">
      <w:pPr>
        <w:pStyle w:val="Heading5"/>
        <w:numPr>
          <w:ilvl w:val="3"/>
          <w:numId w:val="163"/>
        </w:numPr>
        <w:spacing w:before="100" w:beforeAutospacing="1" w:after="100" w:afterAutospacing="1" w:line="360" w:lineRule="auto"/>
      </w:pPr>
      <w:r>
        <w:t>Classroom Observations: Assessing the COT</w:t>
      </w:r>
    </w:p>
    <w:p w14:paraId="19B2478F" w14:textId="49D9B42F" w:rsidR="008D0CAD" w:rsidRDefault="008D0CAD" w:rsidP="007C1A2E">
      <w:pPr>
        <w:spacing w:before="100" w:beforeAutospacing="1" w:after="100" w:afterAutospacing="1" w:line="360" w:lineRule="auto"/>
        <w:rPr>
          <w:rFonts w:asciiTheme="majorHAnsi" w:hAnsiTheme="majorHAnsi" w:cstheme="majorHAnsi"/>
          <w:color w:val="000000" w:themeColor="text1"/>
        </w:rPr>
      </w:pPr>
      <w:r w:rsidRPr="005D7D1F">
        <w:rPr>
          <w:rFonts w:asciiTheme="majorHAnsi" w:hAnsiTheme="majorHAnsi" w:cstheme="majorHAnsi"/>
          <w:color w:val="000000" w:themeColor="text1"/>
        </w:rPr>
        <w:t>The PPST-aligned Results</w:t>
      </w:r>
      <w:r>
        <w:rPr>
          <w:rFonts w:asciiTheme="majorHAnsi" w:hAnsiTheme="majorHAnsi" w:cstheme="majorHAnsi"/>
          <w:color w:val="000000" w:themeColor="text1"/>
        </w:rPr>
        <w:t>-</w:t>
      </w:r>
      <w:r w:rsidRPr="005D7D1F">
        <w:rPr>
          <w:rFonts w:asciiTheme="majorHAnsi" w:hAnsiTheme="majorHAnsi" w:cstheme="majorHAnsi"/>
          <w:color w:val="000000" w:themeColor="text1"/>
        </w:rPr>
        <w:t xml:space="preserve">based Performance Management (RPMS) system </w:t>
      </w:r>
      <w:r>
        <w:rPr>
          <w:rFonts w:asciiTheme="majorHAnsi" w:hAnsiTheme="majorHAnsi" w:cstheme="majorHAnsi"/>
          <w:color w:val="000000" w:themeColor="text1"/>
        </w:rPr>
        <w:t>was rolled-out to schools in 2018.</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The EOPE Study assessed the implementation of RPMS, particularly the use of the COTs (and the associated SATs) at the school-level.</w:t>
      </w:r>
    </w:p>
    <w:p w14:paraId="676FEEE5" w14:textId="479FC66B" w:rsidR="008D0CAD" w:rsidRPr="005D7D1F" w:rsidRDefault="008D0CAD" w:rsidP="007C1A2E">
      <w:pPr>
        <w:spacing w:before="100" w:beforeAutospacing="1" w:after="100" w:afterAutospacing="1" w:line="360" w:lineRule="auto"/>
        <w:rPr>
          <w:rFonts w:asciiTheme="majorHAnsi" w:hAnsiTheme="majorHAnsi" w:cstheme="majorHAnsi"/>
          <w:color w:val="000000" w:themeColor="text1"/>
          <w:lang w:val="en-GB"/>
        </w:rPr>
      </w:pPr>
      <w:r>
        <w:rPr>
          <w:rFonts w:asciiTheme="majorHAnsi" w:hAnsiTheme="majorHAnsi" w:cstheme="majorHAnsi"/>
          <w:color w:val="000000" w:themeColor="text1"/>
        </w:rPr>
        <w:t>Principals and</w:t>
      </w:r>
      <w:r w:rsidRPr="005D7D1F">
        <w:rPr>
          <w:rFonts w:asciiTheme="majorHAnsi" w:hAnsiTheme="majorHAnsi" w:cstheme="majorHAnsi"/>
          <w:color w:val="000000" w:themeColor="text1"/>
        </w:rPr>
        <w:t xml:space="preserve"> </w:t>
      </w:r>
      <w:r>
        <w:rPr>
          <w:rFonts w:asciiTheme="majorHAnsi" w:hAnsiTheme="majorHAnsi" w:cstheme="majorHAnsi"/>
          <w:color w:val="000000" w:themeColor="text1"/>
        </w:rPr>
        <w:t>Master</w:t>
      </w:r>
      <w:r w:rsidRPr="005D7D1F">
        <w:rPr>
          <w:rFonts w:asciiTheme="majorHAnsi" w:hAnsiTheme="majorHAnsi" w:cstheme="majorHAnsi"/>
          <w:color w:val="000000" w:themeColor="text1"/>
        </w:rPr>
        <w:t xml:space="preserve"> </w:t>
      </w:r>
      <w:r>
        <w:rPr>
          <w:rFonts w:asciiTheme="majorHAnsi" w:hAnsiTheme="majorHAnsi" w:cstheme="majorHAnsi"/>
          <w:color w:val="000000" w:themeColor="text1"/>
        </w:rPr>
        <w:t>T</w:t>
      </w:r>
      <w:r w:rsidRPr="005D7D1F">
        <w:rPr>
          <w:rFonts w:asciiTheme="majorHAnsi" w:hAnsiTheme="majorHAnsi" w:cstheme="majorHAnsi"/>
          <w:color w:val="000000" w:themeColor="text1"/>
        </w:rPr>
        <w:t>eacher</w:t>
      </w:r>
      <w:r>
        <w:rPr>
          <w:rFonts w:asciiTheme="majorHAnsi" w:hAnsiTheme="majorHAnsi" w:cstheme="majorHAnsi"/>
          <w:color w:val="000000" w:themeColor="text1"/>
        </w:rPr>
        <w:t>s (MTs)</w:t>
      </w:r>
      <w:r w:rsidRPr="005D7D1F">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use the Classroom Observation Tools (COT) </w:t>
      </w:r>
      <w:r w:rsidRPr="005D7D1F">
        <w:rPr>
          <w:rFonts w:asciiTheme="majorHAnsi" w:hAnsiTheme="majorHAnsi" w:cstheme="majorHAnsi"/>
          <w:color w:val="000000" w:themeColor="text1"/>
        </w:rPr>
        <w:t>to observe how the teacher</w:t>
      </w:r>
      <w:r>
        <w:rPr>
          <w:rFonts w:asciiTheme="majorHAnsi" w:hAnsiTheme="majorHAnsi" w:cstheme="majorHAnsi"/>
          <w:color w:val="000000" w:themeColor="text1"/>
        </w:rPr>
        <w:t>s</w:t>
      </w:r>
      <w:r w:rsidRPr="005D7D1F">
        <w:rPr>
          <w:rFonts w:asciiTheme="majorHAnsi" w:hAnsiTheme="majorHAnsi" w:cstheme="majorHAnsi"/>
          <w:color w:val="000000" w:themeColor="text1"/>
        </w:rPr>
        <w:t xml:space="preserve"> conduct class</w:t>
      </w:r>
      <w:r>
        <w:rPr>
          <w:rFonts w:asciiTheme="majorHAnsi" w:hAnsiTheme="majorHAnsi" w:cstheme="majorHAnsi"/>
          <w:color w:val="000000" w:themeColor="text1"/>
        </w:rPr>
        <w:t>es</w:t>
      </w:r>
      <w:r w:rsidRPr="005D7D1F">
        <w:rPr>
          <w:rFonts w:asciiTheme="majorHAnsi" w:hAnsiTheme="majorHAnsi" w:cstheme="majorHAnsi"/>
          <w:color w:val="000000" w:themeColor="text1"/>
        </w:rPr>
        <w:t>.</w:t>
      </w:r>
      <w:r w:rsidR="00D434EB">
        <w:rPr>
          <w:rFonts w:asciiTheme="majorHAnsi" w:hAnsiTheme="majorHAnsi" w:cstheme="majorHAnsi"/>
          <w:color w:val="000000" w:themeColor="text1"/>
        </w:rPr>
        <w:t xml:space="preserve"> </w:t>
      </w:r>
      <w:r w:rsidRPr="005D7D1F">
        <w:rPr>
          <w:rFonts w:asciiTheme="majorHAnsi" w:hAnsiTheme="majorHAnsi" w:cstheme="majorHAnsi"/>
          <w:color w:val="000000" w:themeColor="text1"/>
        </w:rPr>
        <w:t>These observations are schedule</w:t>
      </w:r>
      <w:r>
        <w:rPr>
          <w:rFonts w:asciiTheme="majorHAnsi" w:hAnsiTheme="majorHAnsi" w:cstheme="majorHAnsi"/>
          <w:color w:val="000000" w:themeColor="text1"/>
        </w:rPr>
        <w:t>d,</w:t>
      </w:r>
      <w:r w:rsidRPr="005D7D1F">
        <w:rPr>
          <w:rFonts w:asciiTheme="majorHAnsi" w:hAnsiTheme="majorHAnsi" w:cstheme="majorHAnsi"/>
          <w:color w:val="000000" w:themeColor="text1"/>
        </w:rPr>
        <w:t xml:space="preserve"> and the topics and methods are agreed upon by the rater </w:t>
      </w:r>
      <w:r>
        <w:rPr>
          <w:rFonts w:asciiTheme="majorHAnsi" w:hAnsiTheme="majorHAnsi" w:cstheme="majorHAnsi"/>
          <w:color w:val="000000" w:themeColor="text1"/>
        </w:rPr>
        <w:t xml:space="preserve">(principal or MT) </w:t>
      </w:r>
      <w:r w:rsidRPr="005D7D1F">
        <w:rPr>
          <w:rFonts w:asciiTheme="majorHAnsi" w:hAnsiTheme="majorHAnsi" w:cstheme="majorHAnsi"/>
          <w:color w:val="000000" w:themeColor="text1"/>
        </w:rPr>
        <w:t>and the ratee</w:t>
      </w:r>
      <w:r>
        <w:rPr>
          <w:rFonts w:asciiTheme="majorHAnsi" w:hAnsiTheme="majorHAnsi" w:cstheme="majorHAnsi"/>
          <w:color w:val="000000" w:themeColor="text1"/>
        </w:rPr>
        <w:t xml:space="preserve"> (teacher being observed)</w:t>
      </w:r>
      <w:r w:rsidRPr="005D7D1F">
        <w:rPr>
          <w:rFonts w:asciiTheme="majorHAnsi" w:hAnsiTheme="majorHAnsi" w:cstheme="majorHAnsi"/>
          <w:color w:val="000000" w:themeColor="text1"/>
        </w:rPr>
        <w:t>.</w:t>
      </w:r>
      <w:r w:rsidR="00D434EB">
        <w:rPr>
          <w:rFonts w:asciiTheme="majorHAnsi" w:hAnsiTheme="majorHAnsi" w:cstheme="majorHAnsi"/>
          <w:color w:val="000000" w:themeColor="text1"/>
        </w:rPr>
        <w:t xml:space="preserve"> </w:t>
      </w:r>
      <w:r w:rsidRPr="005D7D1F">
        <w:rPr>
          <w:rFonts w:asciiTheme="majorHAnsi" w:hAnsiTheme="majorHAnsi" w:cstheme="majorHAnsi"/>
          <w:color w:val="000000" w:themeColor="text1"/>
        </w:rPr>
        <w:t>During the classroom observation</w:t>
      </w:r>
      <w:r>
        <w:rPr>
          <w:rFonts w:asciiTheme="majorHAnsi" w:hAnsiTheme="majorHAnsi" w:cstheme="majorHAnsi"/>
          <w:color w:val="000000" w:themeColor="text1"/>
        </w:rPr>
        <w:t>s</w:t>
      </w:r>
      <w:r w:rsidRPr="005D7D1F">
        <w:rPr>
          <w:rFonts w:asciiTheme="majorHAnsi" w:hAnsiTheme="majorHAnsi" w:cstheme="majorHAnsi"/>
          <w:color w:val="000000" w:themeColor="text1"/>
        </w:rPr>
        <w:t xml:space="preserve">, notes are taken down by the rater and later observations are </w:t>
      </w:r>
      <w:r>
        <w:rPr>
          <w:rFonts w:asciiTheme="majorHAnsi" w:hAnsiTheme="majorHAnsi" w:cstheme="majorHAnsi"/>
          <w:color w:val="000000" w:themeColor="text1"/>
        </w:rPr>
        <w:t>conveyed</w:t>
      </w:r>
      <w:r w:rsidRPr="005D7D1F">
        <w:rPr>
          <w:rFonts w:asciiTheme="majorHAnsi" w:hAnsiTheme="majorHAnsi" w:cstheme="majorHAnsi"/>
          <w:color w:val="000000" w:themeColor="text1"/>
        </w:rPr>
        <w:t xml:space="preserve"> to the </w:t>
      </w:r>
      <w:r>
        <w:rPr>
          <w:rFonts w:asciiTheme="majorHAnsi" w:hAnsiTheme="majorHAnsi" w:cstheme="majorHAnsi"/>
          <w:color w:val="000000" w:themeColor="text1"/>
        </w:rPr>
        <w:t>teacher</w:t>
      </w:r>
      <w:r w:rsidRPr="005D7D1F">
        <w:rPr>
          <w:rFonts w:asciiTheme="majorHAnsi" w:hAnsiTheme="majorHAnsi" w:cstheme="majorHAnsi"/>
          <w:color w:val="000000" w:themeColor="text1"/>
        </w:rPr>
        <w:t>.</w:t>
      </w:r>
      <w:r w:rsidR="00D434EB">
        <w:rPr>
          <w:rFonts w:asciiTheme="majorHAnsi" w:hAnsiTheme="majorHAnsi" w:cstheme="majorHAnsi"/>
          <w:color w:val="000000" w:themeColor="text1"/>
        </w:rPr>
        <w:t xml:space="preserve"> </w:t>
      </w:r>
    </w:p>
    <w:p w14:paraId="4C2CBF00" w14:textId="038FFBCB" w:rsidR="008D0CAD" w:rsidRDefault="008D0CAD" w:rsidP="007C1A2E">
      <w:pPr>
        <w:spacing w:before="100" w:beforeAutospacing="1" w:after="100" w:afterAutospacing="1" w:line="360" w:lineRule="auto"/>
        <w:rPr>
          <w:rFonts w:asciiTheme="majorHAnsi" w:hAnsiTheme="majorHAnsi" w:cstheme="majorHAnsi"/>
          <w:color w:val="000000" w:themeColor="text1"/>
        </w:rPr>
      </w:pPr>
      <w:r w:rsidRPr="005D7D1F">
        <w:rPr>
          <w:rFonts w:asciiTheme="majorHAnsi" w:hAnsiTheme="majorHAnsi" w:cstheme="majorHAnsi"/>
          <w:color w:val="000000" w:themeColor="text1"/>
        </w:rPr>
        <w:t>Although the RPMS and the COT in particular do not enhance teacher performance per se, t</w:t>
      </w:r>
      <w:r>
        <w:rPr>
          <w:rFonts w:asciiTheme="majorHAnsi" w:hAnsiTheme="majorHAnsi" w:cstheme="majorHAnsi"/>
          <w:color w:val="000000" w:themeColor="text1"/>
        </w:rPr>
        <w:t>hey</w:t>
      </w:r>
      <w:r w:rsidRPr="005D7D1F">
        <w:rPr>
          <w:rFonts w:asciiTheme="majorHAnsi" w:hAnsiTheme="majorHAnsi" w:cstheme="majorHAnsi"/>
          <w:color w:val="000000" w:themeColor="text1"/>
        </w:rPr>
        <w:t xml:space="preserve"> measure teacher performance</w:t>
      </w:r>
      <w:r>
        <w:rPr>
          <w:rFonts w:asciiTheme="majorHAnsi" w:hAnsiTheme="majorHAnsi" w:cstheme="majorHAnsi"/>
          <w:color w:val="000000" w:themeColor="text1"/>
        </w:rPr>
        <w:t xml:space="preserve"> in particular competencies</w:t>
      </w:r>
      <w:r w:rsidRPr="005D7D1F">
        <w:rPr>
          <w:rFonts w:asciiTheme="majorHAnsi" w:hAnsiTheme="majorHAnsi" w:cstheme="majorHAnsi"/>
          <w:color w:val="000000" w:themeColor="text1"/>
        </w:rPr>
        <w:t xml:space="preserve"> link</w:t>
      </w:r>
      <w:r>
        <w:rPr>
          <w:rFonts w:asciiTheme="majorHAnsi" w:hAnsiTheme="majorHAnsi" w:cstheme="majorHAnsi"/>
          <w:color w:val="000000" w:themeColor="text1"/>
        </w:rPr>
        <w:t>ed</w:t>
      </w:r>
      <w:r w:rsidRPr="005D7D1F">
        <w:rPr>
          <w:rFonts w:asciiTheme="majorHAnsi" w:hAnsiTheme="majorHAnsi" w:cstheme="majorHAnsi"/>
          <w:color w:val="000000" w:themeColor="text1"/>
        </w:rPr>
        <w:t xml:space="preserve"> to the PPST</w:t>
      </w:r>
      <w:r>
        <w:rPr>
          <w:rFonts w:asciiTheme="majorHAnsi" w:hAnsiTheme="majorHAnsi" w:cstheme="majorHAnsi"/>
          <w:color w:val="000000" w:themeColor="text1"/>
        </w:rPr>
        <w:t>. The results of the observations serve as</w:t>
      </w:r>
      <w:r w:rsidRPr="005D7D1F">
        <w:rPr>
          <w:rFonts w:asciiTheme="majorHAnsi" w:hAnsiTheme="majorHAnsi" w:cstheme="majorHAnsi"/>
          <w:color w:val="000000" w:themeColor="text1"/>
        </w:rPr>
        <w:t xml:space="preserve"> </w:t>
      </w:r>
      <w:r>
        <w:rPr>
          <w:rFonts w:asciiTheme="majorHAnsi" w:hAnsiTheme="majorHAnsi" w:cstheme="majorHAnsi"/>
          <w:color w:val="000000" w:themeColor="text1"/>
        </w:rPr>
        <w:t>motivation to</w:t>
      </w:r>
      <w:r w:rsidRPr="005D7D1F">
        <w:rPr>
          <w:rFonts w:asciiTheme="majorHAnsi" w:hAnsiTheme="majorHAnsi" w:cstheme="majorHAnsi"/>
          <w:color w:val="000000" w:themeColor="text1"/>
        </w:rPr>
        <w:t xml:space="preserve"> teachers to hone the competencies</w:t>
      </w:r>
      <w:r>
        <w:rPr>
          <w:rFonts w:asciiTheme="majorHAnsi" w:hAnsiTheme="majorHAnsi" w:cstheme="majorHAnsi"/>
          <w:color w:val="000000" w:themeColor="text1"/>
        </w:rPr>
        <w:t xml:space="preserve"> in which they are weaker</w:t>
      </w:r>
      <w:r w:rsidRPr="005D7D1F">
        <w:rPr>
          <w:rFonts w:asciiTheme="majorHAnsi" w:hAnsiTheme="majorHAnsi" w:cstheme="majorHAnsi"/>
          <w:color w:val="000000" w:themeColor="text1"/>
        </w:rPr>
        <w:t>.</w:t>
      </w:r>
      <w:r w:rsidR="00D434EB">
        <w:rPr>
          <w:rFonts w:asciiTheme="majorHAnsi" w:hAnsiTheme="majorHAnsi" w:cstheme="majorHAnsi"/>
          <w:color w:val="000000" w:themeColor="text1"/>
        </w:rPr>
        <w:t xml:space="preserve"> </w:t>
      </w:r>
      <w:r w:rsidRPr="005D7D1F">
        <w:rPr>
          <w:rFonts w:asciiTheme="majorHAnsi" w:hAnsiTheme="majorHAnsi" w:cstheme="majorHAnsi"/>
          <w:color w:val="000000" w:themeColor="text1"/>
        </w:rPr>
        <w:t xml:space="preserve">Teachers </w:t>
      </w:r>
      <w:r>
        <w:rPr>
          <w:rFonts w:asciiTheme="majorHAnsi" w:hAnsiTheme="majorHAnsi" w:cstheme="majorHAnsi"/>
          <w:color w:val="000000" w:themeColor="text1"/>
        </w:rPr>
        <w:t xml:space="preserve">stated </w:t>
      </w:r>
      <w:r w:rsidRPr="005D7D1F">
        <w:rPr>
          <w:rFonts w:asciiTheme="majorHAnsi" w:hAnsiTheme="majorHAnsi" w:cstheme="majorHAnsi"/>
          <w:color w:val="000000" w:themeColor="text1"/>
        </w:rPr>
        <w:t>in the FGD</w:t>
      </w:r>
      <w:r>
        <w:rPr>
          <w:rFonts w:asciiTheme="majorHAnsi" w:hAnsiTheme="majorHAnsi" w:cstheme="majorHAnsi"/>
          <w:color w:val="000000" w:themeColor="text1"/>
        </w:rPr>
        <w:t>s</w:t>
      </w:r>
      <w:r w:rsidRPr="005D7D1F">
        <w:rPr>
          <w:rFonts w:asciiTheme="majorHAnsi" w:hAnsiTheme="majorHAnsi" w:cstheme="majorHAnsi"/>
          <w:color w:val="000000" w:themeColor="text1"/>
        </w:rPr>
        <w:t xml:space="preserve">, that the COT (and the RPMS) provided them with a definite assessment of their rank (Teacher I-III, Master teacher I-IV) and clear competency requirements for promotion and </w:t>
      </w:r>
      <w:r>
        <w:rPr>
          <w:rFonts w:asciiTheme="majorHAnsi" w:hAnsiTheme="majorHAnsi" w:cstheme="majorHAnsi"/>
          <w:color w:val="000000" w:themeColor="text1"/>
        </w:rPr>
        <w:t>professional</w:t>
      </w:r>
      <w:r w:rsidRPr="005D7D1F">
        <w:rPr>
          <w:rFonts w:asciiTheme="majorHAnsi" w:hAnsiTheme="majorHAnsi" w:cstheme="majorHAnsi"/>
          <w:color w:val="000000" w:themeColor="text1"/>
        </w:rPr>
        <w:t xml:space="preserve"> development.</w:t>
      </w:r>
      <w:r w:rsidR="00D434EB">
        <w:rPr>
          <w:rFonts w:asciiTheme="majorHAnsi" w:hAnsiTheme="majorHAnsi" w:cstheme="majorHAnsi"/>
          <w:color w:val="000000" w:themeColor="text1"/>
        </w:rPr>
        <w:t xml:space="preserve"> </w:t>
      </w:r>
      <w:r w:rsidRPr="005D7D1F">
        <w:rPr>
          <w:rFonts w:asciiTheme="majorHAnsi" w:hAnsiTheme="majorHAnsi" w:cstheme="majorHAnsi"/>
          <w:color w:val="000000" w:themeColor="text1"/>
        </w:rPr>
        <w:t>The RPMS through its link to PPST encourage</w:t>
      </w:r>
      <w:r>
        <w:rPr>
          <w:rFonts w:asciiTheme="majorHAnsi" w:hAnsiTheme="majorHAnsi" w:cstheme="majorHAnsi"/>
          <w:color w:val="000000" w:themeColor="text1"/>
        </w:rPr>
        <w:t>s</w:t>
      </w:r>
      <w:r w:rsidRPr="005D7D1F">
        <w:rPr>
          <w:rFonts w:asciiTheme="majorHAnsi" w:hAnsiTheme="majorHAnsi" w:cstheme="majorHAnsi"/>
          <w:color w:val="000000" w:themeColor="text1"/>
        </w:rPr>
        <w:t xml:space="preserve"> teachers to perform better and to access formal and non-formal </w:t>
      </w:r>
      <w:r>
        <w:rPr>
          <w:rFonts w:asciiTheme="majorHAnsi" w:hAnsiTheme="majorHAnsi" w:cstheme="majorHAnsi"/>
          <w:color w:val="000000" w:themeColor="text1"/>
        </w:rPr>
        <w:t>professional</w:t>
      </w:r>
      <w:r w:rsidRPr="005D7D1F">
        <w:rPr>
          <w:rFonts w:asciiTheme="majorHAnsi" w:hAnsiTheme="majorHAnsi" w:cstheme="majorHAnsi"/>
          <w:color w:val="000000" w:themeColor="text1"/>
        </w:rPr>
        <w:t xml:space="preserve"> development activities.</w:t>
      </w:r>
      <w:r w:rsidR="00D434EB">
        <w:rPr>
          <w:rFonts w:asciiTheme="majorHAnsi" w:hAnsiTheme="majorHAnsi" w:cstheme="majorHAnsi"/>
          <w:color w:val="000000" w:themeColor="text1"/>
        </w:rPr>
        <w:t xml:space="preserve"> </w:t>
      </w:r>
    </w:p>
    <w:p w14:paraId="6BA84DD8" w14:textId="77777777" w:rsidR="008D0CAD" w:rsidRPr="00077665" w:rsidRDefault="008D0CAD" w:rsidP="007C1A2E">
      <w:pPr>
        <w:spacing w:before="100" w:beforeAutospacing="1" w:after="100" w:afterAutospacing="1" w:line="360" w:lineRule="auto"/>
        <w:rPr>
          <w:rFonts w:asciiTheme="majorHAnsi" w:hAnsiTheme="majorHAnsi" w:cstheme="majorHAnsi"/>
          <w:color w:val="000000" w:themeColor="text1"/>
        </w:rPr>
      </w:pPr>
      <w:r w:rsidRPr="005D7D1F">
        <w:rPr>
          <w:rFonts w:asciiTheme="majorHAnsi" w:hAnsiTheme="majorHAnsi" w:cstheme="majorHAnsi"/>
          <w:color w:val="000000" w:themeColor="text1"/>
        </w:rPr>
        <w:t xml:space="preserve">The </w:t>
      </w:r>
      <w:r>
        <w:rPr>
          <w:rFonts w:asciiTheme="majorHAnsi" w:hAnsiTheme="majorHAnsi" w:cstheme="majorHAnsi"/>
          <w:color w:val="000000" w:themeColor="text1"/>
        </w:rPr>
        <w:t xml:space="preserve">EOPE Study notes that the </w:t>
      </w:r>
      <w:r w:rsidRPr="00077665">
        <w:rPr>
          <w:rFonts w:asciiTheme="majorHAnsi" w:hAnsiTheme="majorHAnsi" w:cstheme="majorHAnsi"/>
          <w:color w:val="000000" w:themeColor="text1"/>
        </w:rPr>
        <w:t>COT contains nine Key Result Areas (KRAs).</w:t>
      </w:r>
      <w:r w:rsidRPr="00077665">
        <w:rPr>
          <w:rStyle w:val="FootnoteReference"/>
          <w:rFonts w:asciiTheme="majorHAnsi" w:eastAsia="Arial Unicode MS" w:hAnsiTheme="majorHAnsi" w:cstheme="majorHAnsi"/>
          <w:color w:val="000000" w:themeColor="text1"/>
        </w:rPr>
        <w:footnoteReference w:id="37"/>
      </w:r>
      <w:r w:rsidRPr="00077665">
        <w:rPr>
          <w:rFonts w:asciiTheme="majorHAnsi" w:hAnsiTheme="majorHAnsi" w:cstheme="majorHAnsi"/>
          <w:color w:val="000000" w:themeColor="text1"/>
        </w:rPr>
        <w:t xml:space="preserve"> The </w:t>
      </w:r>
      <w:r>
        <w:rPr>
          <w:rFonts w:asciiTheme="majorHAnsi" w:hAnsiTheme="majorHAnsi" w:cstheme="majorHAnsi"/>
          <w:color w:val="000000" w:themeColor="text1"/>
        </w:rPr>
        <w:t xml:space="preserve">summary of the </w:t>
      </w:r>
      <w:r w:rsidRPr="00077665">
        <w:rPr>
          <w:rFonts w:asciiTheme="majorHAnsi" w:hAnsiTheme="majorHAnsi" w:cstheme="majorHAnsi"/>
          <w:color w:val="000000" w:themeColor="text1"/>
        </w:rPr>
        <w:t xml:space="preserve">EOPE Study </w:t>
      </w:r>
      <w:r>
        <w:rPr>
          <w:rFonts w:asciiTheme="majorHAnsi" w:hAnsiTheme="majorHAnsi" w:cstheme="majorHAnsi"/>
          <w:color w:val="000000" w:themeColor="text1"/>
        </w:rPr>
        <w:t>results</w:t>
      </w:r>
      <w:r w:rsidRPr="00077665">
        <w:rPr>
          <w:rFonts w:asciiTheme="majorHAnsi" w:hAnsiTheme="majorHAnsi" w:cstheme="majorHAnsi"/>
          <w:color w:val="000000" w:themeColor="text1"/>
        </w:rPr>
        <w:t xml:space="preserve"> </w:t>
      </w:r>
      <w:r>
        <w:rPr>
          <w:rFonts w:asciiTheme="majorHAnsi" w:hAnsiTheme="majorHAnsi" w:cstheme="majorHAnsi"/>
          <w:color w:val="000000" w:themeColor="text1"/>
        </w:rPr>
        <w:t>follows</w:t>
      </w:r>
      <w:r w:rsidRPr="00077665">
        <w:rPr>
          <w:rFonts w:asciiTheme="majorHAnsi" w:hAnsiTheme="majorHAnsi" w:cstheme="majorHAnsi"/>
          <w:color w:val="000000" w:themeColor="text1"/>
        </w:rPr>
        <w:t>.</w:t>
      </w:r>
    </w:p>
    <w:p w14:paraId="32BF586C" w14:textId="45BB5DF5" w:rsidR="008D0CAD" w:rsidRDefault="008D0CAD" w:rsidP="007C1A2E">
      <w:pPr>
        <w:spacing w:before="100" w:beforeAutospacing="1" w:after="100" w:afterAutospacing="1" w:line="360" w:lineRule="auto"/>
        <w:rPr>
          <w:rFonts w:asciiTheme="majorHAnsi" w:hAnsiTheme="majorHAnsi" w:cstheme="majorHAnsi"/>
        </w:rPr>
      </w:pPr>
      <w:r w:rsidRPr="005D7D1F">
        <w:rPr>
          <w:rFonts w:asciiTheme="majorHAnsi" w:hAnsiTheme="majorHAnsi" w:cstheme="majorHAnsi"/>
          <w:b/>
        </w:rPr>
        <w:t>COT Analysis by KRAs.</w:t>
      </w:r>
      <w:r w:rsidRPr="005D7D1F">
        <w:rPr>
          <w:rFonts w:asciiTheme="majorHAnsi" w:hAnsiTheme="majorHAnsi" w:cstheme="majorHAnsi"/>
        </w:rPr>
        <w:t xml:space="preserve"> Overall results of the classroom observations showed that there were very good ratings on KRA 1 (</w:t>
      </w:r>
      <w:r>
        <w:rPr>
          <w:rFonts w:asciiTheme="majorHAnsi" w:hAnsiTheme="majorHAnsi" w:cstheme="majorHAnsi"/>
        </w:rPr>
        <w:t>p</w:t>
      </w:r>
      <w:r w:rsidRPr="005D7D1F">
        <w:rPr>
          <w:rFonts w:asciiTheme="majorHAnsi" w:hAnsiTheme="majorHAnsi" w:cstheme="majorHAnsi"/>
        </w:rPr>
        <w:t>edagogy and content). The level of mastery in content and competency in integrating lessons across learning area</w:t>
      </w:r>
      <w:r>
        <w:rPr>
          <w:rFonts w:asciiTheme="majorHAnsi" w:hAnsiTheme="majorHAnsi" w:cstheme="majorHAnsi"/>
        </w:rPr>
        <w:t>s</w:t>
      </w:r>
      <w:r w:rsidRPr="005D7D1F">
        <w:rPr>
          <w:rFonts w:asciiTheme="majorHAnsi" w:hAnsiTheme="majorHAnsi" w:cstheme="majorHAnsi"/>
        </w:rPr>
        <w:t xml:space="preserve"> and subject</w:t>
      </w:r>
      <w:r>
        <w:rPr>
          <w:rFonts w:asciiTheme="majorHAnsi" w:hAnsiTheme="majorHAnsi" w:cstheme="majorHAnsi"/>
        </w:rPr>
        <w:t>s</w:t>
      </w:r>
      <w:r w:rsidRPr="005D7D1F">
        <w:rPr>
          <w:rFonts w:asciiTheme="majorHAnsi" w:hAnsiTheme="majorHAnsi" w:cstheme="majorHAnsi"/>
        </w:rPr>
        <w:t xml:space="preserve"> was well-distributed.</w:t>
      </w:r>
      <w:r w:rsidR="00D434EB">
        <w:rPr>
          <w:rFonts w:asciiTheme="majorHAnsi" w:hAnsiTheme="majorHAnsi" w:cstheme="majorHAnsi"/>
        </w:rPr>
        <w:t xml:space="preserve"> </w:t>
      </w:r>
      <w:r w:rsidRPr="005D7D1F">
        <w:rPr>
          <w:rFonts w:asciiTheme="majorHAnsi" w:hAnsiTheme="majorHAnsi" w:cstheme="majorHAnsi"/>
        </w:rPr>
        <w:t>Teacher performance across all KRAs were mostly outstanding and very satisfactory except for KRAs 6 and 9</w:t>
      </w:r>
      <w:r>
        <w:rPr>
          <w:rFonts w:asciiTheme="majorHAnsi" w:hAnsiTheme="majorHAnsi" w:cstheme="majorHAnsi"/>
        </w:rPr>
        <w:t xml:space="preserve"> (differentiated instruction and use of formative and summative assessments respectively)</w:t>
      </w:r>
      <w:r w:rsidRPr="005D7D1F">
        <w:rPr>
          <w:rFonts w:asciiTheme="majorHAnsi" w:hAnsiTheme="majorHAnsi" w:cstheme="majorHAnsi"/>
        </w:rPr>
        <w:t>.</w:t>
      </w:r>
      <w:bookmarkStart w:id="100" w:name="_Toc10533489"/>
      <w:bookmarkStart w:id="101" w:name="_Toc10534143"/>
      <w:bookmarkStart w:id="102" w:name="_Toc10542181"/>
      <w:r>
        <w:rPr>
          <w:rFonts w:asciiTheme="majorHAnsi" w:hAnsiTheme="majorHAnsi" w:cstheme="majorHAnsi"/>
        </w:rPr>
        <w:t xml:space="preserve"> </w:t>
      </w:r>
    </w:p>
    <w:p w14:paraId="71AFF1EF" w14:textId="40105739" w:rsidR="008D0CAD" w:rsidRDefault="008D0CAD" w:rsidP="007C1A2E">
      <w:pPr>
        <w:spacing w:before="100" w:beforeAutospacing="1" w:after="100" w:afterAutospacing="1" w:line="360" w:lineRule="auto"/>
        <w:rPr>
          <w:rFonts w:asciiTheme="majorHAnsi" w:hAnsiTheme="majorHAnsi" w:cstheme="majorHAnsi"/>
          <w:color w:val="000000" w:themeColor="text1"/>
        </w:rPr>
      </w:pPr>
      <w:r w:rsidRPr="005D7D1F">
        <w:rPr>
          <w:rFonts w:asciiTheme="majorHAnsi" w:hAnsiTheme="majorHAnsi" w:cstheme="majorHAnsi"/>
          <w:b/>
        </w:rPr>
        <w:t>COT Analysis by Subject Area</w:t>
      </w:r>
      <w:bookmarkEnd w:id="100"/>
      <w:bookmarkEnd w:id="101"/>
      <w:bookmarkEnd w:id="102"/>
      <w:r>
        <w:rPr>
          <w:rFonts w:asciiTheme="majorHAnsi" w:hAnsiTheme="majorHAnsi" w:cstheme="majorHAnsi"/>
        </w:rPr>
        <w:t xml:space="preserve">. </w:t>
      </w:r>
      <w:r w:rsidRPr="005D7D1F">
        <w:rPr>
          <w:rFonts w:asciiTheme="majorHAnsi" w:hAnsiTheme="majorHAnsi" w:cstheme="majorHAnsi"/>
        </w:rPr>
        <w:t xml:space="preserve">Overall results of the classroom observations showed that </w:t>
      </w:r>
      <w:r>
        <w:rPr>
          <w:rFonts w:asciiTheme="majorHAnsi" w:hAnsiTheme="majorHAnsi" w:cstheme="majorHAnsi"/>
          <w:color w:val="000000" w:themeColor="text1"/>
        </w:rPr>
        <w:t>t</w:t>
      </w:r>
      <w:r w:rsidRPr="005D7D1F">
        <w:rPr>
          <w:rFonts w:asciiTheme="majorHAnsi" w:hAnsiTheme="majorHAnsi" w:cstheme="majorHAnsi"/>
          <w:color w:val="000000" w:themeColor="text1"/>
        </w:rPr>
        <w:t xml:space="preserve">eachers in </w:t>
      </w:r>
      <w:r>
        <w:rPr>
          <w:rFonts w:asciiTheme="majorHAnsi" w:hAnsiTheme="majorHAnsi" w:cstheme="majorHAnsi"/>
          <w:color w:val="000000" w:themeColor="text1"/>
        </w:rPr>
        <w:t>the four subjects (</w:t>
      </w:r>
      <w:r w:rsidRPr="005D7D1F">
        <w:rPr>
          <w:rFonts w:asciiTheme="majorHAnsi" w:hAnsiTheme="majorHAnsi" w:cstheme="majorHAnsi"/>
          <w:color w:val="000000" w:themeColor="text1"/>
        </w:rPr>
        <w:t>Math, Science, English and Filipino</w:t>
      </w:r>
      <w:r>
        <w:rPr>
          <w:rFonts w:asciiTheme="majorHAnsi" w:hAnsiTheme="majorHAnsi" w:cstheme="majorHAnsi"/>
          <w:color w:val="000000" w:themeColor="text1"/>
        </w:rPr>
        <w:t>)</w:t>
      </w:r>
      <w:r w:rsidRPr="005D7D1F">
        <w:rPr>
          <w:rFonts w:asciiTheme="majorHAnsi" w:hAnsiTheme="majorHAnsi" w:cstheme="majorHAnsi"/>
          <w:color w:val="000000" w:themeColor="text1"/>
        </w:rPr>
        <w:t xml:space="preserve"> were rated mostly Excellent and very satisfactory</w:t>
      </w:r>
      <w:r>
        <w:rPr>
          <w:rFonts w:asciiTheme="majorHAnsi" w:hAnsiTheme="majorHAnsi" w:cstheme="majorHAnsi"/>
          <w:color w:val="000000" w:themeColor="text1"/>
        </w:rPr>
        <w:t xml:space="preserve"> in the COTs</w:t>
      </w:r>
      <w:r w:rsidRPr="005D7D1F">
        <w:rPr>
          <w:rFonts w:asciiTheme="majorHAnsi" w:hAnsiTheme="majorHAnsi" w:cstheme="majorHAnsi"/>
          <w:color w:val="000000" w:themeColor="text1"/>
        </w:rPr>
        <w:t>.</w:t>
      </w:r>
      <w:r w:rsidR="00D434EB">
        <w:rPr>
          <w:rFonts w:asciiTheme="majorHAnsi" w:hAnsiTheme="majorHAnsi" w:cstheme="majorHAnsi"/>
          <w:color w:val="000000" w:themeColor="text1"/>
        </w:rPr>
        <w:t xml:space="preserve"> </w:t>
      </w:r>
      <w:r w:rsidRPr="005D7D1F">
        <w:rPr>
          <w:rFonts w:asciiTheme="majorHAnsi" w:hAnsiTheme="majorHAnsi" w:cstheme="majorHAnsi"/>
          <w:color w:val="000000" w:themeColor="text1"/>
        </w:rPr>
        <w:t xml:space="preserve">While there were ratings of satisfactory, very few had unsatisfactory or poor ratings. </w:t>
      </w:r>
      <w:bookmarkStart w:id="103" w:name="_Toc10533482"/>
      <w:bookmarkStart w:id="104" w:name="_Toc10534136"/>
      <w:bookmarkStart w:id="105" w:name="_Toc10542174"/>
    </w:p>
    <w:p w14:paraId="05E161B4" w14:textId="1648C5BA" w:rsidR="008D0CAD" w:rsidRDefault="008D0CAD" w:rsidP="007C1A2E">
      <w:pPr>
        <w:spacing w:before="100" w:beforeAutospacing="1" w:after="100" w:afterAutospacing="1" w:line="360" w:lineRule="auto"/>
        <w:rPr>
          <w:rFonts w:asciiTheme="majorHAnsi" w:hAnsiTheme="majorHAnsi" w:cstheme="majorHAnsi"/>
          <w:color w:val="000000" w:themeColor="text1"/>
        </w:rPr>
      </w:pPr>
      <w:bookmarkStart w:id="106" w:name="_Toc10533483"/>
      <w:bookmarkStart w:id="107" w:name="_Toc10534137"/>
      <w:bookmarkStart w:id="108" w:name="_Toc10542175"/>
      <w:bookmarkEnd w:id="103"/>
      <w:bookmarkEnd w:id="104"/>
      <w:bookmarkEnd w:id="105"/>
      <w:r w:rsidRPr="00D42E6D">
        <w:rPr>
          <w:rFonts w:asciiTheme="majorHAnsi" w:hAnsiTheme="majorHAnsi" w:cstheme="majorHAnsi"/>
          <w:b/>
        </w:rPr>
        <w:t>Validating COT Results with TEACH</w:t>
      </w:r>
      <w:bookmarkEnd w:id="106"/>
      <w:bookmarkEnd w:id="107"/>
      <w:bookmarkEnd w:id="108"/>
      <w:r w:rsidRPr="00D42E6D">
        <w:rPr>
          <w:rFonts w:asciiTheme="majorHAnsi" w:hAnsiTheme="majorHAnsi" w:cstheme="majorHAnsi"/>
          <w:b/>
        </w:rPr>
        <w:t xml:space="preserve"> Results</w:t>
      </w:r>
      <w:r>
        <w:rPr>
          <w:rFonts w:asciiTheme="majorHAnsi" w:hAnsiTheme="majorHAnsi" w:cstheme="majorHAnsi"/>
        </w:rPr>
        <w:t xml:space="preserve">. </w:t>
      </w:r>
      <w:r w:rsidRPr="00D42E6D">
        <w:rPr>
          <w:rFonts w:asciiTheme="majorHAnsi" w:hAnsiTheme="majorHAnsi" w:cstheme="majorHAnsi"/>
          <w:color w:val="000000" w:themeColor="text1"/>
        </w:rPr>
        <w:t xml:space="preserve">COT is a </w:t>
      </w:r>
      <w:r>
        <w:rPr>
          <w:rFonts w:asciiTheme="majorHAnsi" w:hAnsiTheme="majorHAnsi" w:cstheme="majorHAnsi"/>
          <w:color w:val="000000" w:themeColor="text1"/>
        </w:rPr>
        <w:t>DepEd</w:t>
      </w:r>
      <w:r w:rsidRPr="00D42E6D">
        <w:rPr>
          <w:rFonts w:asciiTheme="majorHAnsi" w:hAnsiTheme="majorHAnsi" w:cstheme="majorHAnsi"/>
          <w:color w:val="000000" w:themeColor="text1"/>
        </w:rPr>
        <w:t xml:space="preserve"> tool and only </w:t>
      </w:r>
      <w:r>
        <w:rPr>
          <w:rFonts w:asciiTheme="majorHAnsi" w:hAnsiTheme="majorHAnsi" w:cstheme="majorHAnsi"/>
          <w:color w:val="000000" w:themeColor="text1"/>
        </w:rPr>
        <w:t>DepEd</w:t>
      </w:r>
      <w:r w:rsidRPr="00D42E6D">
        <w:rPr>
          <w:rFonts w:asciiTheme="majorHAnsi" w:hAnsiTheme="majorHAnsi" w:cstheme="majorHAnsi"/>
          <w:color w:val="000000" w:themeColor="text1"/>
        </w:rPr>
        <w:t xml:space="preserve"> personnel </w:t>
      </w:r>
      <w:r>
        <w:rPr>
          <w:rFonts w:asciiTheme="majorHAnsi" w:hAnsiTheme="majorHAnsi" w:cstheme="majorHAnsi"/>
          <w:color w:val="000000" w:themeColor="text1"/>
        </w:rPr>
        <w:t>may</w:t>
      </w:r>
      <w:r w:rsidRPr="00D42E6D">
        <w:rPr>
          <w:rFonts w:asciiTheme="majorHAnsi" w:hAnsiTheme="majorHAnsi" w:cstheme="majorHAnsi"/>
          <w:color w:val="000000" w:themeColor="text1"/>
        </w:rPr>
        <w:t xml:space="preserve"> use the tool for assessment.</w:t>
      </w:r>
      <w:r w:rsidR="00D434EB">
        <w:rPr>
          <w:rFonts w:asciiTheme="majorHAnsi" w:hAnsiTheme="majorHAnsi" w:cstheme="majorHAnsi"/>
          <w:color w:val="000000" w:themeColor="text1"/>
        </w:rPr>
        <w:t xml:space="preserve"> </w:t>
      </w:r>
      <w:r w:rsidRPr="00D42E6D">
        <w:rPr>
          <w:rFonts w:asciiTheme="majorHAnsi" w:hAnsiTheme="majorHAnsi" w:cstheme="majorHAnsi"/>
          <w:color w:val="000000" w:themeColor="text1"/>
        </w:rPr>
        <w:t>Using the</w:t>
      </w:r>
      <w:r>
        <w:rPr>
          <w:rFonts w:asciiTheme="majorHAnsi" w:hAnsiTheme="majorHAnsi" w:cstheme="majorHAnsi"/>
          <w:color w:val="000000" w:themeColor="text1"/>
        </w:rPr>
        <w:t xml:space="preserve"> World Bank developed</w:t>
      </w:r>
      <w:r w:rsidRPr="00D42E6D">
        <w:rPr>
          <w:rFonts w:asciiTheme="majorHAnsi" w:hAnsiTheme="majorHAnsi" w:cstheme="majorHAnsi"/>
          <w:color w:val="000000" w:themeColor="text1"/>
        </w:rPr>
        <w:t xml:space="preserve"> TEACH tool provided a third-party assessment that is objective and based on a strict protocol.</w:t>
      </w:r>
      <w:r w:rsidR="00D434EB">
        <w:rPr>
          <w:rFonts w:asciiTheme="majorHAnsi" w:hAnsiTheme="majorHAnsi" w:cstheme="majorHAnsi"/>
          <w:color w:val="000000" w:themeColor="text1"/>
        </w:rPr>
        <w:t xml:space="preserve"> </w:t>
      </w:r>
      <w:r w:rsidRPr="00D42E6D">
        <w:rPr>
          <w:rFonts w:asciiTheme="majorHAnsi" w:hAnsiTheme="majorHAnsi" w:cstheme="majorHAnsi"/>
          <w:color w:val="000000" w:themeColor="text1"/>
        </w:rPr>
        <w:t xml:space="preserve">The intent of the research </w:t>
      </w:r>
      <w:r>
        <w:rPr>
          <w:rFonts w:asciiTheme="majorHAnsi" w:hAnsiTheme="majorHAnsi" w:cstheme="majorHAnsi"/>
          <w:color w:val="000000" w:themeColor="text1"/>
        </w:rPr>
        <w:t>was</w:t>
      </w:r>
      <w:r w:rsidRPr="00D42E6D">
        <w:rPr>
          <w:rFonts w:asciiTheme="majorHAnsi" w:hAnsiTheme="majorHAnsi" w:cstheme="majorHAnsi"/>
          <w:color w:val="000000" w:themeColor="text1"/>
        </w:rPr>
        <w:t xml:space="preserve"> not to assess which </w:t>
      </w:r>
      <w:r>
        <w:rPr>
          <w:rFonts w:asciiTheme="majorHAnsi" w:hAnsiTheme="majorHAnsi" w:cstheme="majorHAnsi"/>
          <w:color w:val="000000" w:themeColor="text1"/>
        </w:rPr>
        <w:t>was</w:t>
      </w:r>
      <w:r w:rsidRPr="00D42E6D">
        <w:rPr>
          <w:rFonts w:asciiTheme="majorHAnsi" w:hAnsiTheme="majorHAnsi" w:cstheme="majorHAnsi"/>
          <w:color w:val="000000" w:themeColor="text1"/>
        </w:rPr>
        <w:t xml:space="preserve"> the better tool </w:t>
      </w:r>
      <w:r>
        <w:rPr>
          <w:rFonts w:asciiTheme="majorHAnsi" w:hAnsiTheme="majorHAnsi" w:cstheme="majorHAnsi"/>
          <w:color w:val="000000" w:themeColor="text1"/>
        </w:rPr>
        <w:t xml:space="preserve">for assessing teacher performance </w:t>
      </w:r>
      <w:r w:rsidRPr="00D42E6D">
        <w:rPr>
          <w:rFonts w:asciiTheme="majorHAnsi" w:hAnsiTheme="majorHAnsi" w:cstheme="majorHAnsi"/>
          <w:color w:val="000000" w:themeColor="text1"/>
        </w:rPr>
        <w:t xml:space="preserve">but </w:t>
      </w:r>
      <w:r>
        <w:rPr>
          <w:rFonts w:asciiTheme="majorHAnsi" w:hAnsiTheme="majorHAnsi" w:cstheme="majorHAnsi"/>
          <w:color w:val="000000" w:themeColor="text1"/>
        </w:rPr>
        <w:t xml:space="preserve">rather </w:t>
      </w:r>
      <w:r w:rsidRPr="00D42E6D">
        <w:rPr>
          <w:rFonts w:asciiTheme="majorHAnsi" w:hAnsiTheme="majorHAnsi" w:cstheme="majorHAnsi"/>
          <w:color w:val="000000" w:themeColor="text1"/>
        </w:rPr>
        <w:t>to validate if the results of the COT match</w:t>
      </w:r>
      <w:r>
        <w:rPr>
          <w:rFonts w:asciiTheme="majorHAnsi" w:hAnsiTheme="majorHAnsi" w:cstheme="majorHAnsi"/>
          <w:color w:val="000000" w:themeColor="text1"/>
        </w:rPr>
        <w:t>ed</w:t>
      </w:r>
      <w:r w:rsidRPr="00D42E6D">
        <w:rPr>
          <w:rFonts w:asciiTheme="majorHAnsi" w:hAnsiTheme="majorHAnsi" w:cstheme="majorHAnsi"/>
          <w:color w:val="000000" w:themeColor="text1"/>
        </w:rPr>
        <w:t xml:space="preserve"> the result</w:t>
      </w:r>
      <w:r>
        <w:rPr>
          <w:rFonts w:asciiTheme="majorHAnsi" w:hAnsiTheme="majorHAnsi" w:cstheme="majorHAnsi"/>
          <w:color w:val="000000" w:themeColor="text1"/>
        </w:rPr>
        <w:t>s</w:t>
      </w:r>
      <w:r w:rsidRPr="00D42E6D">
        <w:rPr>
          <w:rFonts w:asciiTheme="majorHAnsi" w:hAnsiTheme="majorHAnsi" w:cstheme="majorHAnsi"/>
          <w:color w:val="000000" w:themeColor="text1"/>
        </w:rPr>
        <w:t xml:space="preserve"> of the TEACH tool.</w:t>
      </w:r>
      <w:r w:rsidR="00D434EB">
        <w:rPr>
          <w:rFonts w:asciiTheme="majorHAnsi" w:hAnsiTheme="majorHAnsi" w:cstheme="majorHAnsi"/>
          <w:color w:val="000000" w:themeColor="text1"/>
        </w:rPr>
        <w:t xml:space="preserve"> </w:t>
      </w:r>
    </w:p>
    <w:p w14:paraId="326DDDE1" w14:textId="77777777" w:rsidR="008D0CAD" w:rsidRPr="00D42E6D" w:rsidRDefault="008D0CAD" w:rsidP="007C1A2E">
      <w:pPr>
        <w:spacing w:before="100" w:beforeAutospacing="1" w:after="100" w:afterAutospacing="1" w:line="360" w:lineRule="auto"/>
        <w:rPr>
          <w:rFonts w:asciiTheme="majorHAnsi" w:hAnsiTheme="majorHAnsi" w:cstheme="majorHAnsi"/>
        </w:rPr>
      </w:pPr>
      <w:r>
        <w:rPr>
          <w:rFonts w:asciiTheme="majorHAnsi" w:hAnsiTheme="majorHAnsi" w:cstheme="majorHAnsi"/>
          <w:color w:val="000000" w:themeColor="text1"/>
        </w:rPr>
        <w:t>The Review revealed the following findings:</w:t>
      </w:r>
    </w:p>
    <w:p w14:paraId="3BE5D003" w14:textId="77777777" w:rsidR="008D0CAD" w:rsidRPr="00EC48DA" w:rsidRDefault="008D0CAD" w:rsidP="007C1A2E">
      <w:pPr>
        <w:spacing w:before="100" w:beforeAutospacing="1" w:after="100" w:afterAutospacing="1" w:line="360" w:lineRule="auto"/>
        <w:rPr>
          <w:rFonts w:asciiTheme="majorHAnsi" w:hAnsiTheme="majorHAnsi" w:cstheme="majorHAnsi"/>
          <w:color w:val="000000"/>
        </w:rPr>
      </w:pPr>
      <w:r w:rsidRPr="00EC48DA">
        <w:rPr>
          <w:rFonts w:asciiTheme="majorHAnsi" w:hAnsiTheme="majorHAnsi" w:cstheme="majorHAnsi"/>
          <w:color w:val="000000" w:themeColor="text1"/>
        </w:rPr>
        <w:t>On the TEACH</w:t>
      </w:r>
      <w:r w:rsidRPr="00EC48DA">
        <w:rPr>
          <w:rFonts w:asciiTheme="majorHAnsi" w:hAnsiTheme="majorHAnsi" w:cstheme="majorHAnsi"/>
          <w:color w:val="000000"/>
        </w:rPr>
        <w:t xml:space="preserve"> tool: </w:t>
      </w:r>
    </w:p>
    <w:p w14:paraId="7A69E3AB" w14:textId="77777777" w:rsidR="008D0CAD" w:rsidRPr="00DE24C5" w:rsidRDefault="008D0CAD" w:rsidP="007C1A2E">
      <w:pPr>
        <w:pStyle w:val="ListParagraph"/>
        <w:numPr>
          <w:ilvl w:val="0"/>
          <w:numId w:val="30"/>
        </w:numPr>
        <w:spacing w:before="100" w:beforeAutospacing="1" w:after="100" w:afterAutospacing="1" w:line="360" w:lineRule="auto"/>
        <w:rPr>
          <w:rFonts w:asciiTheme="majorHAnsi" w:hAnsiTheme="majorHAnsi" w:cstheme="majorHAnsi"/>
          <w:color w:val="000000" w:themeColor="text1"/>
        </w:rPr>
      </w:pPr>
      <w:r w:rsidRPr="00DE24C5">
        <w:rPr>
          <w:rFonts w:asciiTheme="majorHAnsi" w:hAnsiTheme="majorHAnsi" w:cstheme="majorHAnsi"/>
          <w:color w:val="000000" w:themeColor="text1"/>
        </w:rPr>
        <w:t>Teachers in both BEST supported schools and schools that indirectly received interventions obtained low average scores on the areas of Feedback (2.0 and 2.5 respectively) and Perseverance (2.4 and 2.6 respectively) across regions (Table</w:t>
      </w:r>
      <w:r>
        <w:rPr>
          <w:rFonts w:asciiTheme="majorHAnsi" w:hAnsiTheme="majorHAnsi" w:cstheme="majorHAnsi"/>
          <w:color w:val="000000" w:themeColor="text1"/>
        </w:rPr>
        <w:t xml:space="preserve"> 16</w:t>
      </w:r>
      <w:r w:rsidRPr="00DE24C5">
        <w:rPr>
          <w:rFonts w:asciiTheme="majorHAnsi" w:hAnsiTheme="majorHAnsi" w:cstheme="majorHAnsi"/>
          <w:color w:val="000000" w:themeColor="text1"/>
        </w:rPr>
        <w:t>).</w:t>
      </w:r>
    </w:p>
    <w:p w14:paraId="4B501C7E" w14:textId="00D61E22" w:rsidR="008D0CAD" w:rsidRPr="00DE24C5" w:rsidRDefault="008D0CAD" w:rsidP="007C1A2E">
      <w:pPr>
        <w:pStyle w:val="ListParagraph"/>
        <w:numPr>
          <w:ilvl w:val="0"/>
          <w:numId w:val="30"/>
        </w:numPr>
        <w:spacing w:before="100" w:beforeAutospacing="1" w:after="100" w:afterAutospacing="1" w:line="360" w:lineRule="auto"/>
        <w:rPr>
          <w:rFonts w:asciiTheme="majorHAnsi" w:hAnsiTheme="majorHAnsi" w:cstheme="majorHAnsi"/>
          <w:color w:val="000000" w:themeColor="text1"/>
        </w:rPr>
      </w:pPr>
      <w:r w:rsidRPr="00DE24C5">
        <w:rPr>
          <w:rFonts w:asciiTheme="majorHAnsi" w:hAnsiTheme="majorHAnsi" w:cstheme="majorHAnsi"/>
          <w:color w:val="000000" w:themeColor="text1"/>
        </w:rPr>
        <w:t>BEST supported schools performed better on Critical Thinking (3.4) and on Social and Collaborative Skills (3.5).</w:t>
      </w:r>
      <w:r w:rsidR="00D434EB">
        <w:rPr>
          <w:rFonts w:asciiTheme="majorHAnsi" w:hAnsiTheme="majorHAnsi" w:cstheme="majorHAnsi"/>
          <w:color w:val="000000" w:themeColor="text1"/>
        </w:rPr>
        <w:t xml:space="preserve"> </w:t>
      </w:r>
    </w:p>
    <w:p w14:paraId="57D6AE7F" w14:textId="56528D31" w:rsidR="00020D54" w:rsidRPr="007C1A2E" w:rsidRDefault="008D0CAD" w:rsidP="007C1A2E">
      <w:pPr>
        <w:pStyle w:val="ListParagraph"/>
        <w:numPr>
          <w:ilvl w:val="0"/>
          <w:numId w:val="30"/>
        </w:numPr>
        <w:spacing w:before="100" w:beforeAutospacing="1" w:after="100" w:afterAutospacing="1" w:line="360" w:lineRule="auto"/>
        <w:rPr>
          <w:rFonts w:asciiTheme="majorHAnsi" w:hAnsiTheme="majorHAnsi" w:cstheme="majorHAnsi"/>
          <w:color w:val="000000" w:themeColor="text1"/>
        </w:rPr>
      </w:pPr>
      <w:r w:rsidRPr="00DE24C5">
        <w:rPr>
          <w:rFonts w:asciiTheme="majorHAnsi" w:hAnsiTheme="majorHAnsi" w:cstheme="majorHAnsi"/>
          <w:color w:val="000000" w:themeColor="text1"/>
        </w:rPr>
        <w:t>There was more or less no difference (i.e., within +/- 0.1 variance) between the two groups of schools in the area</w:t>
      </w:r>
      <w:r>
        <w:rPr>
          <w:rFonts w:asciiTheme="majorHAnsi" w:hAnsiTheme="majorHAnsi" w:cstheme="majorHAnsi"/>
          <w:color w:val="000000" w:themeColor="text1"/>
        </w:rPr>
        <w:t>s</w:t>
      </w:r>
      <w:r w:rsidRPr="00DE24C5">
        <w:rPr>
          <w:rFonts w:asciiTheme="majorHAnsi" w:hAnsiTheme="majorHAnsi" w:cstheme="majorHAnsi"/>
          <w:color w:val="000000" w:themeColor="text1"/>
        </w:rPr>
        <w:t xml:space="preserve"> of </w:t>
      </w:r>
      <w:r>
        <w:rPr>
          <w:rFonts w:asciiTheme="majorHAnsi" w:hAnsiTheme="majorHAnsi" w:cstheme="majorHAnsi"/>
          <w:color w:val="000000" w:themeColor="text1"/>
        </w:rPr>
        <w:t>Positive Behavioral Expectations</w:t>
      </w:r>
      <w:r w:rsidRPr="00DE24C5">
        <w:rPr>
          <w:rFonts w:asciiTheme="majorHAnsi" w:hAnsiTheme="majorHAnsi" w:cstheme="majorHAnsi"/>
          <w:color w:val="000000" w:themeColor="text1"/>
        </w:rPr>
        <w:t>, L</w:t>
      </w:r>
      <w:r>
        <w:rPr>
          <w:rFonts w:asciiTheme="majorHAnsi" w:hAnsiTheme="majorHAnsi" w:cstheme="majorHAnsi"/>
          <w:color w:val="000000" w:themeColor="text1"/>
        </w:rPr>
        <w:t xml:space="preserve">earning </w:t>
      </w:r>
      <w:r w:rsidRPr="00DE24C5">
        <w:rPr>
          <w:rFonts w:asciiTheme="majorHAnsi" w:hAnsiTheme="majorHAnsi" w:cstheme="majorHAnsi"/>
          <w:color w:val="000000" w:themeColor="text1"/>
        </w:rPr>
        <w:t>F</w:t>
      </w:r>
      <w:r>
        <w:rPr>
          <w:rFonts w:asciiTheme="majorHAnsi" w:hAnsiTheme="majorHAnsi" w:cstheme="majorHAnsi"/>
          <w:color w:val="000000" w:themeColor="text1"/>
        </w:rPr>
        <w:t>acilitation</w:t>
      </w:r>
      <w:r w:rsidRPr="00DE24C5">
        <w:rPr>
          <w:rFonts w:asciiTheme="majorHAnsi" w:hAnsiTheme="majorHAnsi" w:cstheme="majorHAnsi"/>
          <w:color w:val="000000" w:themeColor="text1"/>
        </w:rPr>
        <w:t>, C</w:t>
      </w:r>
      <w:r>
        <w:rPr>
          <w:rFonts w:asciiTheme="majorHAnsi" w:hAnsiTheme="majorHAnsi" w:cstheme="majorHAnsi"/>
          <w:color w:val="000000" w:themeColor="text1"/>
        </w:rPr>
        <w:t xml:space="preserve">hecks for </w:t>
      </w:r>
      <w:r w:rsidRPr="00DE24C5">
        <w:rPr>
          <w:rFonts w:asciiTheme="majorHAnsi" w:hAnsiTheme="majorHAnsi" w:cstheme="majorHAnsi"/>
          <w:color w:val="000000" w:themeColor="text1"/>
        </w:rPr>
        <w:t>U</w:t>
      </w:r>
      <w:r>
        <w:rPr>
          <w:rFonts w:asciiTheme="majorHAnsi" w:hAnsiTheme="majorHAnsi" w:cstheme="majorHAnsi"/>
          <w:color w:val="000000" w:themeColor="text1"/>
        </w:rPr>
        <w:t>nderstanding</w:t>
      </w:r>
      <w:r w:rsidRPr="00DE24C5">
        <w:rPr>
          <w:rFonts w:asciiTheme="majorHAnsi" w:hAnsiTheme="majorHAnsi" w:cstheme="majorHAnsi"/>
          <w:color w:val="000000" w:themeColor="text1"/>
        </w:rPr>
        <w:t xml:space="preserve"> and Autonomy.</w:t>
      </w:r>
    </w:p>
    <w:p w14:paraId="61F12636" w14:textId="314E9C40" w:rsidR="008D0CAD" w:rsidRPr="004A657A" w:rsidRDefault="008D0CAD" w:rsidP="007C1A2E">
      <w:pPr>
        <w:spacing w:before="100" w:beforeAutospacing="1" w:after="100" w:afterAutospacing="1" w:line="360" w:lineRule="auto"/>
        <w:ind w:hanging="22"/>
        <w:rPr>
          <w:rFonts w:asciiTheme="majorHAnsi" w:hAnsiTheme="majorHAnsi" w:cstheme="majorHAnsi"/>
          <w:i/>
          <w:iCs/>
          <w:color w:val="44546A" w:themeColor="text2"/>
          <w:sz w:val="22"/>
          <w:szCs w:val="22"/>
        </w:rPr>
      </w:pPr>
      <w:bookmarkStart w:id="109" w:name="_Toc71616607"/>
      <w:r w:rsidRPr="004A657A">
        <w:rPr>
          <w:rFonts w:asciiTheme="majorHAnsi" w:hAnsiTheme="majorHAnsi" w:cstheme="majorHAnsi"/>
          <w:i/>
          <w:iCs/>
          <w:color w:val="44546A" w:themeColor="text2"/>
          <w:sz w:val="22"/>
          <w:szCs w:val="22"/>
        </w:rPr>
        <w:t xml:space="preserve">Table </w:t>
      </w:r>
      <w:r w:rsidRPr="004A657A">
        <w:rPr>
          <w:rFonts w:asciiTheme="majorHAnsi" w:hAnsiTheme="majorHAnsi" w:cstheme="majorHAnsi"/>
          <w:i/>
          <w:iCs/>
          <w:color w:val="44546A" w:themeColor="text2"/>
          <w:sz w:val="22"/>
          <w:szCs w:val="22"/>
        </w:rPr>
        <w:fldChar w:fldCharType="begin"/>
      </w:r>
      <w:r w:rsidRPr="004A657A">
        <w:rPr>
          <w:rFonts w:asciiTheme="majorHAnsi" w:hAnsiTheme="majorHAnsi" w:cstheme="majorHAnsi"/>
          <w:i/>
          <w:iCs/>
          <w:color w:val="44546A" w:themeColor="text2"/>
          <w:sz w:val="22"/>
          <w:szCs w:val="22"/>
        </w:rPr>
        <w:instrText xml:space="preserve"> SEQ Table \* ARABIC </w:instrText>
      </w:r>
      <w:r w:rsidRPr="004A657A">
        <w:rPr>
          <w:rFonts w:asciiTheme="majorHAnsi" w:hAnsiTheme="majorHAnsi" w:cstheme="majorHAnsi"/>
          <w:i/>
          <w:iCs/>
          <w:color w:val="44546A" w:themeColor="text2"/>
          <w:sz w:val="22"/>
          <w:szCs w:val="22"/>
        </w:rPr>
        <w:fldChar w:fldCharType="separate"/>
      </w:r>
      <w:r w:rsidR="00D6133D">
        <w:rPr>
          <w:rFonts w:asciiTheme="majorHAnsi" w:hAnsiTheme="majorHAnsi" w:cstheme="majorHAnsi"/>
          <w:i/>
          <w:iCs/>
          <w:noProof/>
          <w:color w:val="44546A" w:themeColor="text2"/>
          <w:sz w:val="22"/>
          <w:szCs w:val="22"/>
        </w:rPr>
        <w:t>16</w:t>
      </w:r>
      <w:r w:rsidRPr="004A657A">
        <w:rPr>
          <w:rFonts w:asciiTheme="majorHAnsi" w:hAnsiTheme="majorHAnsi" w:cstheme="majorHAnsi"/>
          <w:i/>
          <w:iCs/>
          <w:color w:val="44546A" w:themeColor="text2"/>
          <w:sz w:val="22"/>
          <w:szCs w:val="22"/>
        </w:rPr>
        <w:fldChar w:fldCharType="end"/>
      </w:r>
      <w:r w:rsidRPr="004A657A">
        <w:rPr>
          <w:rFonts w:asciiTheme="majorHAnsi" w:hAnsiTheme="majorHAnsi" w:cstheme="majorHAnsi"/>
          <w:i/>
          <w:iCs/>
          <w:color w:val="44546A" w:themeColor="text2"/>
          <w:sz w:val="22"/>
          <w:szCs w:val="22"/>
        </w:rPr>
        <w:t>.</w:t>
      </w:r>
      <w:r w:rsidR="00D434EB">
        <w:rPr>
          <w:rFonts w:asciiTheme="majorHAnsi" w:hAnsiTheme="majorHAnsi" w:cstheme="majorHAnsi"/>
          <w:bCs/>
          <w:i/>
          <w:iCs/>
          <w:color w:val="44546A" w:themeColor="text2"/>
          <w:sz w:val="22"/>
          <w:szCs w:val="22"/>
        </w:rPr>
        <w:t xml:space="preserve"> </w:t>
      </w:r>
      <w:r w:rsidRPr="004A657A">
        <w:rPr>
          <w:rFonts w:asciiTheme="majorHAnsi" w:hAnsiTheme="majorHAnsi" w:cstheme="majorHAnsi"/>
          <w:i/>
          <w:iCs/>
          <w:color w:val="44546A" w:themeColor="text2"/>
          <w:sz w:val="22"/>
          <w:szCs w:val="22"/>
        </w:rPr>
        <w:t>Mean Scores of Classroom Observation using the TEACH Tool</w:t>
      </w:r>
      <w:bookmarkEnd w:id="109"/>
    </w:p>
    <w:tbl>
      <w:tblPr>
        <w:tblStyle w:val="TableGrid1"/>
        <w:tblW w:w="6840" w:type="dxa"/>
        <w:tblLook w:val="04A0" w:firstRow="1" w:lastRow="0" w:firstColumn="1" w:lastColumn="0" w:noHBand="0" w:noVBand="1"/>
      </w:tblPr>
      <w:tblGrid>
        <w:gridCol w:w="3964"/>
        <w:gridCol w:w="1590"/>
        <w:gridCol w:w="1286"/>
      </w:tblGrid>
      <w:tr w:rsidR="008D0CAD" w:rsidRPr="004B064D" w14:paraId="6E712FC7" w14:textId="77777777" w:rsidTr="00F4751F">
        <w:trPr>
          <w:trHeight w:val="278"/>
          <w:tblHeader/>
        </w:trPr>
        <w:tc>
          <w:tcPr>
            <w:tcW w:w="3964" w:type="dxa"/>
            <w:noWrap/>
            <w:hideMark/>
          </w:tcPr>
          <w:p w14:paraId="7B53CAEB" w14:textId="77777777" w:rsidR="008D0CAD" w:rsidRPr="004B064D" w:rsidRDefault="008D0CAD" w:rsidP="007C1A2E">
            <w:pPr>
              <w:spacing w:before="100" w:beforeAutospacing="1" w:after="100" w:afterAutospacing="1" w:line="360" w:lineRule="auto"/>
              <w:rPr>
                <w:rFonts w:asciiTheme="majorHAnsi" w:hAnsiTheme="majorHAnsi" w:cstheme="majorHAnsi"/>
                <w:b/>
                <w:bCs/>
                <w:color w:val="000000"/>
                <w:sz w:val="20"/>
                <w:szCs w:val="20"/>
              </w:rPr>
            </w:pPr>
            <w:r w:rsidRPr="004B064D">
              <w:rPr>
                <w:rFonts w:asciiTheme="majorHAnsi" w:hAnsiTheme="majorHAnsi" w:cstheme="majorHAnsi"/>
                <w:b/>
                <w:bCs/>
                <w:color w:val="000000"/>
                <w:sz w:val="20"/>
                <w:szCs w:val="20"/>
              </w:rPr>
              <w:t>Elements</w:t>
            </w:r>
          </w:p>
        </w:tc>
        <w:tc>
          <w:tcPr>
            <w:tcW w:w="1590" w:type="dxa"/>
            <w:noWrap/>
            <w:hideMark/>
          </w:tcPr>
          <w:p w14:paraId="589C8963" w14:textId="77777777" w:rsidR="008D0CAD" w:rsidRPr="004B064D" w:rsidRDefault="008D0CAD" w:rsidP="007C1A2E">
            <w:pPr>
              <w:spacing w:before="100" w:beforeAutospacing="1" w:after="100" w:afterAutospacing="1" w:line="360" w:lineRule="auto"/>
              <w:rPr>
                <w:rFonts w:asciiTheme="majorHAnsi" w:hAnsiTheme="majorHAnsi" w:cstheme="majorHAnsi"/>
                <w:b/>
                <w:bCs/>
                <w:color w:val="000000"/>
                <w:sz w:val="20"/>
                <w:szCs w:val="20"/>
              </w:rPr>
            </w:pPr>
            <w:r w:rsidRPr="004B064D">
              <w:rPr>
                <w:rFonts w:asciiTheme="majorHAnsi" w:hAnsiTheme="majorHAnsi" w:cstheme="majorHAnsi"/>
                <w:b/>
                <w:bCs/>
                <w:color w:val="000000"/>
                <w:sz w:val="20"/>
                <w:szCs w:val="20"/>
              </w:rPr>
              <w:t>BEST</w:t>
            </w:r>
          </w:p>
        </w:tc>
        <w:tc>
          <w:tcPr>
            <w:tcW w:w="1286" w:type="dxa"/>
            <w:noWrap/>
            <w:hideMark/>
          </w:tcPr>
          <w:p w14:paraId="084F8A16" w14:textId="77777777" w:rsidR="008D0CAD" w:rsidRPr="004B064D" w:rsidRDefault="008D0CAD" w:rsidP="007C1A2E">
            <w:pPr>
              <w:spacing w:before="100" w:beforeAutospacing="1" w:after="100" w:afterAutospacing="1" w:line="360" w:lineRule="auto"/>
              <w:rPr>
                <w:rFonts w:asciiTheme="majorHAnsi" w:hAnsiTheme="majorHAnsi" w:cstheme="majorHAnsi"/>
                <w:b/>
                <w:bCs/>
                <w:color w:val="000000"/>
                <w:sz w:val="20"/>
                <w:szCs w:val="20"/>
              </w:rPr>
            </w:pPr>
            <w:r w:rsidRPr="004B064D">
              <w:rPr>
                <w:rFonts w:asciiTheme="majorHAnsi" w:hAnsiTheme="majorHAnsi" w:cstheme="majorHAnsi"/>
                <w:b/>
                <w:bCs/>
                <w:color w:val="000000"/>
                <w:sz w:val="20"/>
                <w:szCs w:val="20"/>
              </w:rPr>
              <w:t>NONBEST</w:t>
            </w:r>
          </w:p>
        </w:tc>
      </w:tr>
      <w:tr w:rsidR="008D0CAD" w:rsidRPr="003F22BF" w14:paraId="5A6F0309" w14:textId="77777777" w:rsidTr="00F4751F">
        <w:trPr>
          <w:trHeight w:val="278"/>
        </w:trPr>
        <w:tc>
          <w:tcPr>
            <w:tcW w:w="3964" w:type="dxa"/>
            <w:noWrap/>
            <w:hideMark/>
          </w:tcPr>
          <w:p w14:paraId="0742D191" w14:textId="77777777" w:rsidR="008D0CAD" w:rsidRPr="003F22BF" w:rsidRDefault="008D0CAD" w:rsidP="007C1A2E">
            <w:pPr>
              <w:spacing w:before="100" w:beforeAutospacing="1" w:after="100" w:afterAutospacing="1" w:line="360" w:lineRule="auto"/>
              <w:rPr>
                <w:rFonts w:asciiTheme="majorHAnsi" w:hAnsiTheme="majorHAnsi" w:cstheme="majorHAnsi"/>
                <w:b/>
                <w:bCs/>
                <w:color w:val="000000"/>
                <w:sz w:val="20"/>
                <w:szCs w:val="20"/>
              </w:rPr>
            </w:pPr>
            <w:r w:rsidRPr="003F22BF">
              <w:rPr>
                <w:rFonts w:asciiTheme="majorHAnsi" w:hAnsiTheme="majorHAnsi" w:cstheme="majorHAnsi"/>
                <w:b/>
                <w:bCs/>
                <w:color w:val="000000"/>
                <w:sz w:val="20"/>
                <w:szCs w:val="20"/>
              </w:rPr>
              <w:t>Classroom Culture</w:t>
            </w:r>
          </w:p>
        </w:tc>
        <w:tc>
          <w:tcPr>
            <w:tcW w:w="1590" w:type="dxa"/>
            <w:noWrap/>
            <w:hideMark/>
          </w:tcPr>
          <w:p w14:paraId="296E6D49" w14:textId="77777777" w:rsidR="008D0CAD" w:rsidRPr="003F22BF" w:rsidRDefault="008D0CAD" w:rsidP="007C1A2E">
            <w:pPr>
              <w:spacing w:before="100" w:beforeAutospacing="1" w:after="100" w:afterAutospacing="1" w:line="360" w:lineRule="auto"/>
              <w:rPr>
                <w:rFonts w:asciiTheme="majorHAnsi" w:hAnsiTheme="majorHAnsi" w:cstheme="majorHAnsi"/>
                <w:i/>
                <w:iCs/>
                <w:color w:val="000000"/>
                <w:sz w:val="20"/>
                <w:szCs w:val="20"/>
              </w:rPr>
            </w:pPr>
            <w:r>
              <w:rPr>
                <w:rFonts w:asciiTheme="majorHAnsi" w:hAnsiTheme="majorHAnsi" w:cstheme="majorHAnsi"/>
                <w:i/>
                <w:iCs/>
                <w:color w:val="000000"/>
                <w:sz w:val="20"/>
                <w:szCs w:val="20"/>
              </w:rPr>
              <w:t xml:space="preserve"> </w:t>
            </w:r>
          </w:p>
        </w:tc>
        <w:tc>
          <w:tcPr>
            <w:tcW w:w="1286" w:type="dxa"/>
            <w:noWrap/>
            <w:hideMark/>
          </w:tcPr>
          <w:p w14:paraId="0C63598C" w14:textId="77777777" w:rsidR="008D0CAD" w:rsidRPr="003F22BF" w:rsidRDefault="008D0CAD" w:rsidP="007C1A2E">
            <w:pPr>
              <w:spacing w:before="100" w:beforeAutospacing="1" w:after="100" w:afterAutospacing="1" w:line="360" w:lineRule="auto"/>
              <w:rPr>
                <w:rFonts w:asciiTheme="majorHAnsi" w:hAnsiTheme="majorHAnsi" w:cstheme="majorHAnsi"/>
                <w:i/>
                <w:iCs/>
                <w:color w:val="000000"/>
                <w:sz w:val="20"/>
                <w:szCs w:val="20"/>
              </w:rPr>
            </w:pPr>
            <w:r>
              <w:rPr>
                <w:rFonts w:asciiTheme="majorHAnsi" w:hAnsiTheme="majorHAnsi" w:cstheme="majorHAnsi"/>
                <w:i/>
                <w:iCs/>
                <w:color w:val="000000"/>
                <w:sz w:val="20"/>
                <w:szCs w:val="20"/>
              </w:rPr>
              <w:t xml:space="preserve"> </w:t>
            </w:r>
          </w:p>
        </w:tc>
      </w:tr>
      <w:tr w:rsidR="008D0CAD" w:rsidRPr="003F22BF" w14:paraId="2A8D244E" w14:textId="77777777" w:rsidTr="00F4751F">
        <w:trPr>
          <w:trHeight w:val="278"/>
        </w:trPr>
        <w:tc>
          <w:tcPr>
            <w:tcW w:w="3964" w:type="dxa"/>
            <w:noWrap/>
            <w:hideMark/>
          </w:tcPr>
          <w:p w14:paraId="6FD44C6E" w14:textId="77777777" w:rsidR="008D0CAD" w:rsidRPr="003F22BF" w:rsidRDefault="008D0CAD" w:rsidP="007C1A2E">
            <w:pPr>
              <w:spacing w:before="100" w:beforeAutospacing="1" w:after="100" w:afterAutospacing="1" w:line="360" w:lineRule="auto"/>
              <w:rPr>
                <w:rFonts w:asciiTheme="majorHAnsi" w:hAnsiTheme="majorHAnsi" w:cstheme="majorHAnsi"/>
                <w:color w:val="000000"/>
                <w:sz w:val="20"/>
                <w:szCs w:val="20"/>
              </w:rPr>
            </w:pPr>
            <w:r>
              <w:rPr>
                <w:rFonts w:asciiTheme="majorHAnsi" w:hAnsiTheme="majorHAnsi" w:cstheme="majorHAnsi"/>
                <w:color w:val="000000"/>
                <w:sz w:val="20"/>
                <w:szCs w:val="20"/>
              </w:rPr>
              <w:t>Supportive Learning Environment (</w:t>
            </w:r>
            <w:r w:rsidRPr="003F22BF">
              <w:rPr>
                <w:rFonts w:asciiTheme="majorHAnsi" w:hAnsiTheme="majorHAnsi" w:cstheme="majorHAnsi"/>
                <w:color w:val="000000"/>
                <w:sz w:val="20"/>
                <w:szCs w:val="20"/>
              </w:rPr>
              <w:t>SLE</w:t>
            </w:r>
            <w:r>
              <w:rPr>
                <w:rFonts w:asciiTheme="majorHAnsi" w:hAnsiTheme="majorHAnsi" w:cstheme="majorHAnsi"/>
                <w:color w:val="000000"/>
                <w:sz w:val="20"/>
                <w:szCs w:val="20"/>
              </w:rPr>
              <w:t>)</w:t>
            </w:r>
          </w:p>
        </w:tc>
        <w:tc>
          <w:tcPr>
            <w:tcW w:w="1590" w:type="dxa"/>
            <w:noWrap/>
            <w:hideMark/>
          </w:tcPr>
          <w:p w14:paraId="3E8501D6" w14:textId="77777777" w:rsidR="008D0CAD" w:rsidRPr="003F22BF" w:rsidRDefault="008D0CAD" w:rsidP="007C1A2E">
            <w:pPr>
              <w:spacing w:before="100" w:beforeAutospacing="1" w:after="100" w:afterAutospacing="1" w:line="360" w:lineRule="auto"/>
              <w:rPr>
                <w:rFonts w:asciiTheme="majorHAnsi" w:hAnsiTheme="majorHAnsi" w:cstheme="majorHAnsi"/>
                <w:color w:val="000000"/>
                <w:sz w:val="20"/>
                <w:szCs w:val="20"/>
              </w:rPr>
            </w:pPr>
            <w:r w:rsidRPr="003F22BF">
              <w:rPr>
                <w:rFonts w:asciiTheme="majorHAnsi" w:hAnsiTheme="majorHAnsi" w:cstheme="majorHAnsi"/>
                <w:color w:val="000000"/>
                <w:sz w:val="20"/>
                <w:szCs w:val="20"/>
              </w:rPr>
              <w:t>4</w:t>
            </w:r>
          </w:p>
        </w:tc>
        <w:tc>
          <w:tcPr>
            <w:tcW w:w="1286" w:type="dxa"/>
            <w:noWrap/>
            <w:hideMark/>
          </w:tcPr>
          <w:p w14:paraId="0FA43B8C" w14:textId="77777777" w:rsidR="008D0CAD" w:rsidRPr="003F22BF" w:rsidRDefault="008D0CAD" w:rsidP="007C1A2E">
            <w:pPr>
              <w:spacing w:before="100" w:beforeAutospacing="1" w:after="100" w:afterAutospacing="1" w:line="360" w:lineRule="auto"/>
              <w:rPr>
                <w:rFonts w:asciiTheme="majorHAnsi" w:hAnsiTheme="majorHAnsi" w:cstheme="majorHAnsi"/>
                <w:color w:val="000000"/>
                <w:sz w:val="20"/>
                <w:szCs w:val="20"/>
              </w:rPr>
            </w:pPr>
            <w:r w:rsidRPr="003F22BF">
              <w:rPr>
                <w:rFonts w:asciiTheme="majorHAnsi" w:hAnsiTheme="majorHAnsi" w:cstheme="majorHAnsi"/>
                <w:color w:val="000000"/>
                <w:sz w:val="20"/>
                <w:szCs w:val="20"/>
              </w:rPr>
              <w:t>4.1</w:t>
            </w:r>
          </w:p>
        </w:tc>
      </w:tr>
      <w:tr w:rsidR="008D0CAD" w:rsidRPr="003F22BF" w14:paraId="72851939" w14:textId="77777777" w:rsidTr="00F4751F">
        <w:trPr>
          <w:trHeight w:val="278"/>
        </w:trPr>
        <w:tc>
          <w:tcPr>
            <w:tcW w:w="3964" w:type="dxa"/>
            <w:noWrap/>
            <w:hideMark/>
          </w:tcPr>
          <w:p w14:paraId="03B691E4" w14:textId="77777777" w:rsidR="008D0CAD" w:rsidRPr="003F22BF" w:rsidRDefault="008D0CAD" w:rsidP="007C1A2E">
            <w:pPr>
              <w:spacing w:before="100" w:beforeAutospacing="1" w:after="100" w:afterAutospacing="1" w:line="360" w:lineRule="auto"/>
              <w:rPr>
                <w:rFonts w:asciiTheme="majorHAnsi" w:hAnsiTheme="majorHAnsi" w:cstheme="majorHAnsi"/>
                <w:color w:val="000000"/>
                <w:sz w:val="20"/>
                <w:szCs w:val="20"/>
              </w:rPr>
            </w:pPr>
            <w:r>
              <w:rPr>
                <w:rFonts w:asciiTheme="majorHAnsi" w:hAnsiTheme="majorHAnsi" w:cstheme="majorHAnsi"/>
                <w:color w:val="000000"/>
                <w:sz w:val="20"/>
                <w:szCs w:val="20"/>
              </w:rPr>
              <w:t>Positive Behavioral Expectations (</w:t>
            </w:r>
            <w:r w:rsidRPr="003F22BF">
              <w:rPr>
                <w:rFonts w:asciiTheme="majorHAnsi" w:hAnsiTheme="majorHAnsi" w:cstheme="majorHAnsi"/>
                <w:color w:val="000000"/>
                <w:sz w:val="20"/>
                <w:szCs w:val="20"/>
              </w:rPr>
              <w:t>PBE</w:t>
            </w:r>
            <w:r>
              <w:rPr>
                <w:rFonts w:asciiTheme="majorHAnsi" w:hAnsiTheme="majorHAnsi" w:cstheme="majorHAnsi"/>
                <w:color w:val="000000"/>
                <w:sz w:val="20"/>
                <w:szCs w:val="20"/>
              </w:rPr>
              <w:t>)</w:t>
            </w:r>
          </w:p>
        </w:tc>
        <w:tc>
          <w:tcPr>
            <w:tcW w:w="1590" w:type="dxa"/>
            <w:noWrap/>
            <w:hideMark/>
          </w:tcPr>
          <w:p w14:paraId="0E078B3B" w14:textId="77777777" w:rsidR="008D0CAD" w:rsidRPr="003F22BF" w:rsidRDefault="008D0CAD" w:rsidP="007C1A2E">
            <w:pPr>
              <w:spacing w:before="100" w:beforeAutospacing="1" w:after="100" w:afterAutospacing="1" w:line="360" w:lineRule="auto"/>
              <w:rPr>
                <w:rFonts w:asciiTheme="majorHAnsi" w:hAnsiTheme="majorHAnsi" w:cstheme="majorHAnsi"/>
                <w:color w:val="000000"/>
                <w:sz w:val="20"/>
                <w:szCs w:val="20"/>
              </w:rPr>
            </w:pPr>
            <w:r w:rsidRPr="003F22BF">
              <w:rPr>
                <w:rFonts w:asciiTheme="majorHAnsi" w:hAnsiTheme="majorHAnsi" w:cstheme="majorHAnsi"/>
                <w:color w:val="000000"/>
                <w:sz w:val="20"/>
                <w:szCs w:val="20"/>
              </w:rPr>
              <w:t>4</w:t>
            </w:r>
          </w:p>
        </w:tc>
        <w:tc>
          <w:tcPr>
            <w:tcW w:w="1286" w:type="dxa"/>
            <w:noWrap/>
            <w:hideMark/>
          </w:tcPr>
          <w:p w14:paraId="52752123" w14:textId="77777777" w:rsidR="008D0CAD" w:rsidRPr="003F22BF" w:rsidRDefault="008D0CAD" w:rsidP="007C1A2E">
            <w:pPr>
              <w:spacing w:before="100" w:beforeAutospacing="1" w:after="100" w:afterAutospacing="1" w:line="360" w:lineRule="auto"/>
              <w:rPr>
                <w:rFonts w:asciiTheme="majorHAnsi" w:hAnsiTheme="majorHAnsi" w:cstheme="majorHAnsi"/>
                <w:color w:val="000000"/>
                <w:sz w:val="20"/>
                <w:szCs w:val="20"/>
              </w:rPr>
            </w:pPr>
            <w:r w:rsidRPr="003F22BF">
              <w:rPr>
                <w:rFonts w:asciiTheme="majorHAnsi" w:hAnsiTheme="majorHAnsi" w:cstheme="majorHAnsi"/>
                <w:color w:val="000000"/>
                <w:sz w:val="20"/>
                <w:szCs w:val="20"/>
              </w:rPr>
              <w:t>3.9</w:t>
            </w:r>
          </w:p>
        </w:tc>
      </w:tr>
      <w:tr w:rsidR="008D0CAD" w:rsidRPr="003F22BF" w14:paraId="26798C8C" w14:textId="77777777" w:rsidTr="00F4751F">
        <w:trPr>
          <w:trHeight w:val="278"/>
        </w:trPr>
        <w:tc>
          <w:tcPr>
            <w:tcW w:w="3964" w:type="dxa"/>
            <w:noWrap/>
            <w:hideMark/>
          </w:tcPr>
          <w:p w14:paraId="772593EB" w14:textId="77777777" w:rsidR="008D0CAD" w:rsidRPr="003F22BF" w:rsidRDefault="008D0CAD" w:rsidP="007C1A2E">
            <w:pPr>
              <w:spacing w:before="100" w:beforeAutospacing="1" w:after="100" w:afterAutospacing="1" w:line="360" w:lineRule="auto"/>
              <w:rPr>
                <w:rFonts w:asciiTheme="majorHAnsi" w:hAnsiTheme="majorHAnsi" w:cstheme="majorHAnsi"/>
                <w:b/>
                <w:bCs/>
                <w:color w:val="000000"/>
                <w:sz w:val="20"/>
                <w:szCs w:val="20"/>
              </w:rPr>
            </w:pPr>
            <w:r w:rsidRPr="003F22BF">
              <w:rPr>
                <w:rFonts w:asciiTheme="majorHAnsi" w:hAnsiTheme="majorHAnsi" w:cstheme="majorHAnsi"/>
                <w:b/>
                <w:bCs/>
                <w:color w:val="000000"/>
                <w:sz w:val="20"/>
                <w:szCs w:val="20"/>
              </w:rPr>
              <w:t>Instruction</w:t>
            </w:r>
          </w:p>
        </w:tc>
        <w:tc>
          <w:tcPr>
            <w:tcW w:w="1590" w:type="dxa"/>
            <w:noWrap/>
            <w:hideMark/>
          </w:tcPr>
          <w:p w14:paraId="77A89415" w14:textId="77777777" w:rsidR="008D0CAD" w:rsidRPr="003F22BF" w:rsidRDefault="008D0CAD" w:rsidP="007C1A2E">
            <w:pPr>
              <w:spacing w:before="100" w:beforeAutospacing="1" w:after="100" w:afterAutospacing="1" w:line="360" w:lineRule="auto"/>
              <w:rPr>
                <w:rFonts w:asciiTheme="majorHAnsi" w:hAnsiTheme="majorHAnsi" w:cstheme="majorHAnsi"/>
                <w:b/>
                <w:bCs/>
                <w:color w:val="000000"/>
                <w:sz w:val="20"/>
                <w:szCs w:val="20"/>
              </w:rPr>
            </w:pPr>
            <w:r w:rsidRPr="003F22BF">
              <w:rPr>
                <w:rFonts w:asciiTheme="majorHAnsi" w:hAnsiTheme="majorHAnsi" w:cstheme="majorHAnsi"/>
                <w:b/>
                <w:bCs/>
                <w:color w:val="000000"/>
                <w:sz w:val="20"/>
                <w:szCs w:val="20"/>
              </w:rPr>
              <w:t> </w:t>
            </w:r>
          </w:p>
        </w:tc>
        <w:tc>
          <w:tcPr>
            <w:tcW w:w="1286" w:type="dxa"/>
            <w:noWrap/>
            <w:hideMark/>
          </w:tcPr>
          <w:p w14:paraId="1945D142" w14:textId="77777777" w:rsidR="008D0CAD" w:rsidRPr="003F22BF" w:rsidRDefault="008D0CAD" w:rsidP="007C1A2E">
            <w:pPr>
              <w:spacing w:before="100" w:beforeAutospacing="1" w:after="100" w:afterAutospacing="1" w:line="360" w:lineRule="auto"/>
              <w:rPr>
                <w:rFonts w:asciiTheme="majorHAnsi" w:hAnsiTheme="majorHAnsi" w:cstheme="majorHAnsi"/>
                <w:b/>
                <w:bCs/>
                <w:color w:val="000000"/>
                <w:sz w:val="20"/>
                <w:szCs w:val="20"/>
              </w:rPr>
            </w:pPr>
            <w:r w:rsidRPr="003F22BF">
              <w:rPr>
                <w:rFonts w:asciiTheme="majorHAnsi" w:hAnsiTheme="majorHAnsi" w:cstheme="majorHAnsi"/>
                <w:b/>
                <w:bCs/>
                <w:color w:val="000000"/>
                <w:sz w:val="20"/>
                <w:szCs w:val="20"/>
              </w:rPr>
              <w:t> </w:t>
            </w:r>
          </w:p>
        </w:tc>
      </w:tr>
      <w:tr w:rsidR="008D0CAD" w:rsidRPr="003F22BF" w14:paraId="622EF940" w14:textId="77777777" w:rsidTr="00F4751F">
        <w:trPr>
          <w:trHeight w:val="278"/>
        </w:trPr>
        <w:tc>
          <w:tcPr>
            <w:tcW w:w="3964" w:type="dxa"/>
            <w:noWrap/>
            <w:hideMark/>
          </w:tcPr>
          <w:p w14:paraId="201199D9" w14:textId="77777777" w:rsidR="008D0CAD" w:rsidRPr="003F22BF" w:rsidRDefault="008D0CAD" w:rsidP="007C1A2E">
            <w:pPr>
              <w:spacing w:before="100" w:beforeAutospacing="1" w:after="100" w:afterAutospacing="1" w:line="360" w:lineRule="auto"/>
              <w:rPr>
                <w:rFonts w:asciiTheme="majorHAnsi" w:hAnsiTheme="majorHAnsi" w:cstheme="majorHAnsi"/>
                <w:color w:val="000000"/>
                <w:sz w:val="20"/>
                <w:szCs w:val="20"/>
              </w:rPr>
            </w:pPr>
            <w:r w:rsidRPr="003F22BF">
              <w:rPr>
                <w:rFonts w:asciiTheme="majorHAnsi" w:hAnsiTheme="majorHAnsi" w:cstheme="majorHAnsi"/>
                <w:color w:val="000000"/>
                <w:sz w:val="20"/>
                <w:szCs w:val="20"/>
              </w:rPr>
              <w:t>Learning Facilitation (LF)</w:t>
            </w:r>
          </w:p>
        </w:tc>
        <w:tc>
          <w:tcPr>
            <w:tcW w:w="1590" w:type="dxa"/>
            <w:noWrap/>
            <w:hideMark/>
          </w:tcPr>
          <w:p w14:paraId="5E47DC24" w14:textId="77777777" w:rsidR="008D0CAD" w:rsidRPr="003F22BF" w:rsidRDefault="008D0CAD" w:rsidP="007C1A2E">
            <w:pPr>
              <w:spacing w:before="100" w:beforeAutospacing="1" w:after="100" w:afterAutospacing="1" w:line="360" w:lineRule="auto"/>
              <w:rPr>
                <w:rFonts w:asciiTheme="majorHAnsi" w:hAnsiTheme="majorHAnsi" w:cstheme="majorHAnsi"/>
                <w:color w:val="000000"/>
                <w:sz w:val="20"/>
                <w:szCs w:val="20"/>
              </w:rPr>
            </w:pPr>
            <w:r w:rsidRPr="003F22BF">
              <w:rPr>
                <w:rFonts w:asciiTheme="majorHAnsi" w:hAnsiTheme="majorHAnsi" w:cstheme="majorHAnsi"/>
                <w:color w:val="000000"/>
                <w:sz w:val="20"/>
                <w:szCs w:val="20"/>
              </w:rPr>
              <w:t>3.8</w:t>
            </w:r>
          </w:p>
        </w:tc>
        <w:tc>
          <w:tcPr>
            <w:tcW w:w="1286" w:type="dxa"/>
            <w:noWrap/>
            <w:hideMark/>
          </w:tcPr>
          <w:p w14:paraId="05D547C5" w14:textId="77777777" w:rsidR="008D0CAD" w:rsidRPr="003F22BF" w:rsidRDefault="008D0CAD" w:rsidP="007C1A2E">
            <w:pPr>
              <w:spacing w:before="100" w:beforeAutospacing="1" w:after="100" w:afterAutospacing="1" w:line="360" w:lineRule="auto"/>
              <w:rPr>
                <w:rFonts w:asciiTheme="majorHAnsi" w:hAnsiTheme="majorHAnsi" w:cstheme="majorHAnsi"/>
                <w:color w:val="000000"/>
                <w:sz w:val="20"/>
                <w:szCs w:val="20"/>
              </w:rPr>
            </w:pPr>
            <w:r w:rsidRPr="003F22BF">
              <w:rPr>
                <w:rFonts w:asciiTheme="majorHAnsi" w:hAnsiTheme="majorHAnsi" w:cstheme="majorHAnsi"/>
                <w:color w:val="000000"/>
                <w:sz w:val="20"/>
                <w:szCs w:val="20"/>
              </w:rPr>
              <w:t>3.9</w:t>
            </w:r>
          </w:p>
        </w:tc>
      </w:tr>
      <w:tr w:rsidR="008D0CAD" w:rsidRPr="003F22BF" w14:paraId="07BDE38C" w14:textId="77777777" w:rsidTr="00F4751F">
        <w:trPr>
          <w:trHeight w:val="278"/>
        </w:trPr>
        <w:tc>
          <w:tcPr>
            <w:tcW w:w="3964" w:type="dxa"/>
            <w:noWrap/>
            <w:hideMark/>
          </w:tcPr>
          <w:p w14:paraId="3F1CFE4B" w14:textId="77777777" w:rsidR="008D0CAD" w:rsidRPr="003F22BF" w:rsidRDefault="008D0CAD" w:rsidP="007C1A2E">
            <w:pPr>
              <w:spacing w:before="100" w:beforeAutospacing="1" w:after="100" w:afterAutospacing="1" w:line="360" w:lineRule="auto"/>
              <w:rPr>
                <w:rFonts w:asciiTheme="majorHAnsi" w:hAnsiTheme="majorHAnsi" w:cstheme="majorHAnsi"/>
                <w:color w:val="000000"/>
                <w:sz w:val="20"/>
                <w:szCs w:val="20"/>
              </w:rPr>
            </w:pPr>
            <w:r w:rsidRPr="003F22BF">
              <w:rPr>
                <w:rFonts w:asciiTheme="majorHAnsi" w:hAnsiTheme="majorHAnsi" w:cstheme="majorHAnsi"/>
                <w:color w:val="000000"/>
                <w:sz w:val="20"/>
                <w:szCs w:val="20"/>
              </w:rPr>
              <w:t>Checks for Understanding (CFU)</w:t>
            </w:r>
          </w:p>
        </w:tc>
        <w:tc>
          <w:tcPr>
            <w:tcW w:w="1590" w:type="dxa"/>
            <w:noWrap/>
            <w:hideMark/>
          </w:tcPr>
          <w:p w14:paraId="56544841" w14:textId="77777777" w:rsidR="008D0CAD" w:rsidRPr="003F22BF" w:rsidRDefault="008D0CAD" w:rsidP="007C1A2E">
            <w:pPr>
              <w:spacing w:before="100" w:beforeAutospacing="1" w:after="100" w:afterAutospacing="1" w:line="360" w:lineRule="auto"/>
              <w:rPr>
                <w:rFonts w:asciiTheme="majorHAnsi" w:hAnsiTheme="majorHAnsi" w:cstheme="majorHAnsi"/>
                <w:color w:val="000000"/>
                <w:sz w:val="20"/>
                <w:szCs w:val="20"/>
              </w:rPr>
            </w:pPr>
            <w:r w:rsidRPr="003F22BF">
              <w:rPr>
                <w:rFonts w:asciiTheme="majorHAnsi" w:hAnsiTheme="majorHAnsi" w:cstheme="majorHAnsi"/>
                <w:color w:val="000000"/>
                <w:sz w:val="20"/>
                <w:szCs w:val="20"/>
              </w:rPr>
              <w:t>3.3</w:t>
            </w:r>
          </w:p>
        </w:tc>
        <w:tc>
          <w:tcPr>
            <w:tcW w:w="1286" w:type="dxa"/>
            <w:noWrap/>
            <w:hideMark/>
          </w:tcPr>
          <w:p w14:paraId="7A64CA9D" w14:textId="77777777" w:rsidR="008D0CAD" w:rsidRPr="003F22BF" w:rsidRDefault="008D0CAD" w:rsidP="007C1A2E">
            <w:pPr>
              <w:spacing w:before="100" w:beforeAutospacing="1" w:after="100" w:afterAutospacing="1" w:line="360" w:lineRule="auto"/>
              <w:rPr>
                <w:rFonts w:asciiTheme="majorHAnsi" w:hAnsiTheme="majorHAnsi" w:cstheme="majorHAnsi"/>
                <w:color w:val="000000"/>
                <w:sz w:val="20"/>
                <w:szCs w:val="20"/>
              </w:rPr>
            </w:pPr>
            <w:r w:rsidRPr="003F22BF">
              <w:rPr>
                <w:rFonts w:asciiTheme="majorHAnsi" w:hAnsiTheme="majorHAnsi" w:cstheme="majorHAnsi"/>
                <w:color w:val="000000"/>
                <w:sz w:val="20"/>
                <w:szCs w:val="20"/>
              </w:rPr>
              <w:t>3.3</w:t>
            </w:r>
          </w:p>
        </w:tc>
      </w:tr>
      <w:tr w:rsidR="008D0CAD" w:rsidRPr="003F22BF" w14:paraId="64E3A4A8" w14:textId="77777777" w:rsidTr="00F4751F">
        <w:trPr>
          <w:trHeight w:val="278"/>
        </w:trPr>
        <w:tc>
          <w:tcPr>
            <w:tcW w:w="3964" w:type="dxa"/>
            <w:noWrap/>
            <w:hideMark/>
          </w:tcPr>
          <w:p w14:paraId="1ACF24BD" w14:textId="77777777" w:rsidR="008D0CAD" w:rsidRPr="003F22BF" w:rsidRDefault="008D0CAD" w:rsidP="007C1A2E">
            <w:pPr>
              <w:spacing w:before="100" w:beforeAutospacing="1" w:after="100" w:afterAutospacing="1" w:line="360" w:lineRule="auto"/>
              <w:rPr>
                <w:rFonts w:asciiTheme="majorHAnsi" w:hAnsiTheme="majorHAnsi" w:cstheme="majorHAnsi"/>
                <w:color w:val="000000"/>
                <w:sz w:val="20"/>
                <w:szCs w:val="20"/>
              </w:rPr>
            </w:pPr>
            <w:r w:rsidRPr="003F22BF">
              <w:rPr>
                <w:rFonts w:asciiTheme="majorHAnsi" w:hAnsiTheme="majorHAnsi" w:cstheme="majorHAnsi"/>
                <w:color w:val="000000"/>
                <w:sz w:val="20"/>
                <w:szCs w:val="20"/>
              </w:rPr>
              <w:t>Feedback</w:t>
            </w:r>
          </w:p>
        </w:tc>
        <w:tc>
          <w:tcPr>
            <w:tcW w:w="1590" w:type="dxa"/>
            <w:noWrap/>
            <w:hideMark/>
          </w:tcPr>
          <w:p w14:paraId="17C126F4" w14:textId="77777777" w:rsidR="008D0CAD" w:rsidRPr="003F22BF" w:rsidRDefault="008D0CAD" w:rsidP="007C1A2E">
            <w:pPr>
              <w:spacing w:before="100" w:beforeAutospacing="1" w:after="100" w:afterAutospacing="1" w:line="360" w:lineRule="auto"/>
              <w:rPr>
                <w:rFonts w:asciiTheme="majorHAnsi" w:hAnsiTheme="majorHAnsi" w:cstheme="majorHAnsi"/>
                <w:color w:val="000000"/>
                <w:sz w:val="20"/>
                <w:szCs w:val="20"/>
              </w:rPr>
            </w:pPr>
            <w:r w:rsidRPr="003F22BF">
              <w:rPr>
                <w:rFonts w:asciiTheme="majorHAnsi" w:hAnsiTheme="majorHAnsi" w:cstheme="majorHAnsi"/>
                <w:color w:val="000000"/>
                <w:sz w:val="20"/>
                <w:szCs w:val="20"/>
              </w:rPr>
              <w:t>2</w:t>
            </w:r>
          </w:p>
        </w:tc>
        <w:tc>
          <w:tcPr>
            <w:tcW w:w="1286" w:type="dxa"/>
            <w:noWrap/>
            <w:hideMark/>
          </w:tcPr>
          <w:p w14:paraId="68000C45" w14:textId="77777777" w:rsidR="008D0CAD" w:rsidRPr="003F22BF" w:rsidRDefault="008D0CAD" w:rsidP="007C1A2E">
            <w:pPr>
              <w:spacing w:before="100" w:beforeAutospacing="1" w:after="100" w:afterAutospacing="1" w:line="360" w:lineRule="auto"/>
              <w:rPr>
                <w:rFonts w:asciiTheme="majorHAnsi" w:hAnsiTheme="majorHAnsi" w:cstheme="majorHAnsi"/>
                <w:color w:val="000000"/>
                <w:sz w:val="20"/>
                <w:szCs w:val="20"/>
              </w:rPr>
            </w:pPr>
            <w:r w:rsidRPr="003F22BF">
              <w:rPr>
                <w:rFonts w:asciiTheme="majorHAnsi" w:hAnsiTheme="majorHAnsi" w:cstheme="majorHAnsi"/>
                <w:color w:val="000000"/>
                <w:sz w:val="20"/>
                <w:szCs w:val="20"/>
              </w:rPr>
              <w:t>2.5</w:t>
            </w:r>
          </w:p>
        </w:tc>
      </w:tr>
      <w:tr w:rsidR="008D0CAD" w:rsidRPr="003F22BF" w14:paraId="11F66014" w14:textId="77777777" w:rsidTr="00F4751F">
        <w:trPr>
          <w:trHeight w:val="278"/>
        </w:trPr>
        <w:tc>
          <w:tcPr>
            <w:tcW w:w="3964" w:type="dxa"/>
            <w:noWrap/>
            <w:hideMark/>
          </w:tcPr>
          <w:p w14:paraId="0C30A8F6" w14:textId="77777777" w:rsidR="008D0CAD" w:rsidRPr="003F22BF" w:rsidRDefault="008D0CAD" w:rsidP="007C1A2E">
            <w:pPr>
              <w:spacing w:before="100" w:beforeAutospacing="1" w:after="100" w:afterAutospacing="1" w:line="360" w:lineRule="auto"/>
              <w:rPr>
                <w:rFonts w:asciiTheme="majorHAnsi" w:hAnsiTheme="majorHAnsi" w:cstheme="majorHAnsi"/>
                <w:color w:val="000000"/>
                <w:sz w:val="20"/>
                <w:szCs w:val="20"/>
              </w:rPr>
            </w:pPr>
            <w:r w:rsidRPr="003F22BF">
              <w:rPr>
                <w:rFonts w:asciiTheme="majorHAnsi" w:hAnsiTheme="majorHAnsi" w:cstheme="majorHAnsi"/>
                <w:color w:val="000000"/>
                <w:sz w:val="20"/>
                <w:szCs w:val="20"/>
              </w:rPr>
              <w:t>Critical Thinking (CT)</w:t>
            </w:r>
          </w:p>
        </w:tc>
        <w:tc>
          <w:tcPr>
            <w:tcW w:w="1590" w:type="dxa"/>
            <w:noWrap/>
            <w:hideMark/>
          </w:tcPr>
          <w:p w14:paraId="41CE965F" w14:textId="77777777" w:rsidR="008D0CAD" w:rsidRPr="003F22BF" w:rsidRDefault="008D0CAD" w:rsidP="007C1A2E">
            <w:pPr>
              <w:spacing w:before="100" w:beforeAutospacing="1" w:after="100" w:afterAutospacing="1" w:line="360" w:lineRule="auto"/>
              <w:rPr>
                <w:rFonts w:asciiTheme="majorHAnsi" w:hAnsiTheme="majorHAnsi" w:cstheme="majorHAnsi"/>
                <w:color w:val="000000"/>
                <w:sz w:val="20"/>
                <w:szCs w:val="20"/>
              </w:rPr>
            </w:pPr>
            <w:r w:rsidRPr="003F22BF">
              <w:rPr>
                <w:rFonts w:asciiTheme="majorHAnsi" w:hAnsiTheme="majorHAnsi" w:cstheme="majorHAnsi"/>
                <w:color w:val="000000"/>
                <w:sz w:val="20"/>
                <w:szCs w:val="20"/>
              </w:rPr>
              <w:t>3.4</w:t>
            </w:r>
          </w:p>
        </w:tc>
        <w:tc>
          <w:tcPr>
            <w:tcW w:w="1286" w:type="dxa"/>
            <w:noWrap/>
            <w:hideMark/>
          </w:tcPr>
          <w:p w14:paraId="2D6B8C69" w14:textId="77777777" w:rsidR="008D0CAD" w:rsidRPr="003F22BF" w:rsidRDefault="008D0CAD" w:rsidP="007C1A2E">
            <w:pPr>
              <w:spacing w:before="100" w:beforeAutospacing="1" w:after="100" w:afterAutospacing="1" w:line="360" w:lineRule="auto"/>
              <w:rPr>
                <w:rFonts w:asciiTheme="majorHAnsi" w:hAnsiTheme="majorHAnsi" w:cstheme="majorHAnsi"/>
                <w:color w:val="000000"/>
                <w:sz w:val="20"/>
                <w:szCs w:val="20"/>
              </w:rPr>
            </w:pPr>
            <w:r w:rsidRPr="003F22BF">
              <w:rPr>
                <w:rFonts w:asciiTheme="majorHAnsi" w:hAnsiTheme="majorHAnsi" w:cstheme="majorHAnsi"/>
                <w:color w:val="000000"/>
                <w:sz w:val="20"/>
                <w:szCs w:val="20"/>
              </w:rPr>
              <w:t>3.1</w:t>
            </w:r>
          </w:p>
        </w:tc>
      </w:tr>
      <w:tr w:rsidR="008D0CAD" w:rsidRPr="003F22BF" w14:paraId="1FBAB03F" w14:textId="77777777" w:rsidTr="00F4751F">
        <w:trPr>
          <w:trHeight w:val="278"/>
        </w:trPr>
        <w:tc>
          <w:tcPr>
            <w:tcW w:w="3964" w:type="dxa"/>
            <w:noWrap/>
            <w:hideMark/>
          </w:tcPr>
          <w:p w14:paraId="33D0A121" w14:textId="77777777" w:rsidR="008D0CAD" w:rsidRPr="003F22BF" w:rsidRDefault="008D0CAD" w:rsidP="007C1A2E">
            <w:pPr>
              <w:spacing w:before="100" w:beforeAutospacing="1" w:after="100" w:afterAutospacing="1" w:line="360" w:lineRule="auto"/>
              <w:rPr>
                <w:rFonts w:asciiTheme="majorHAnsi" w:hAnsiTheme="majorHAnsi" w:cstheme="majorHAnsi"/>
                <w:b/>
                <w:bCs/>
                <w:color w:val="000000"/>
                <w:sz w:val="20"/>
                <w:szCs w:val="20"/>
              </w:rPr>
            </w:pPr>
            <w:r w:rsidRPr="003F22BF">
              <w:rPr>
                <w:rFonts w:asciiTheme="majorHAnsi" w:hAnsiTheme="majorHAnsi" w:cstheme="majorHAnsi"/>
                <w:b/>
                <w:bCs/>
                <w:color w:val="000000"/>
                <w:sz w:val="20"/>
                <w:szCs w:val="20"/>
              </w:rPr>
              <w:t>Socio-Emotional Skills</w:t>
            </w:r>
          </w:p>
        </w:tc>
        <w:tc>
          <w:tcPr>
            <w:tcW w:w="1590" w:type="dxa"/>
            <w:noWrap/>
            <w:hideMark/>
          </w:tcPr>
          <w:p w14:paraId="65C23BDD" w14:textId="77777777" w:rsidR="008D0CAD" w:rsidRPr="003F22BF" w:rsidRDefault="008D0CAD" w:rsidP="007C1A2E">
            <w:pPr>
              <w:spacing w:before="100" w:beforeAutospacing="1" w:after="100" w:afterAutospacing="1" w:line="360" w:lineRule="auto"/>
              <w:rPr>
                <w:rFonts w:asciiTheme="majorHAnsi" w:hAnsiTheme="majorHAnsi" w:cstheme="majorHAnsi"/>
                <w:b/>
                <w:bCs/>
                <w:color w:val="000000"/>
                <w:sz w:val="20"/>
                <w:szCs w:val="20"/>
              </w:rPr>
            </w:pPr>
            <w:r w:rsidRPr="003F22BF">
              <w:rPr>
                <w:rFonts w:asciiTheme="majorHAnsi" w:hAnsiTheme="majorHAnsi" w:cstheme="majorHAnsi"/>
                <w:b/>
                <w:bCs/>
                <w:color w:val="000000"/>
                <w:sz w:val="20"/>
                <w:szCs w:val="20"/>
              </w:rPr>
              <w:t> </w:t>
            </w:r>
          </w:p>
        </w:tc>
        <w:tc>
          <w:tcPr>
            <w:tcW w:w="1286" w:type="dxa"/>
            <w:noWrap/>
            <w:hideMark/>
          </w:tcPr>
          <w:p w14:paraId="677F750F" w14:textId="77777777" w:rsidR="008D0CAD" w:rsidRPr="003F22BF" w:rsidRDefault="008D0CAD" w:rsidP="007C1A2E">
            <w:pPr>
              <w:spacing w:before="100" w:beforeAutospacing="1" w:after="100" w:afterAutospacing="1" w:line="360" w:lineRule="auto"/>
              <w:rPr>
                <w:rFonts w:asciiTheme="majorHAnsi" w:hAnsiTheme="majorHAnsi" w:cstheme="majorHAnsi"/>
                <w:b/>
                <w:bCs/>
                <w:color w:val="000000"/>
                <w:sz w:val="20"/>
                <w:szCs w:val="20"/>
              </w:rPr>
            </w:pPr>
            <w:r w:rsidRPr="003F22BF">
              <w:rPr>
                <w:rFonts w:asciiTheme="majorHAnsi" w:hAnsiTheme="majorHAnsi" w:cstheme="majorHAnsi"/>
                <w:b/>
                <w:bCs/>
                <w:color w:val="000000"/>
                <w:sz w:val="20"/>
                <w:szCs w:val="20"/>
              </w:rPr>
              <w:t> </w:t>
            </w:r>
          </w:p>
        </w:tc>
      </w:tr>
      <w:tr w:rsidR="008D0CAD" w:rsidRPr="003F22BF" w14:paraId="10168A3B" w14:textId="77777777" w:rsidTr="00F4751F">
        <w:trPr>
          <w:trHeight w:val="278"/>
        </w:trPr>
        <w:tc>
          <w:tcPr>
            <w:tcW w:w="3964" w:type="dxa"/>
            <w:noWrap/>
            <w:hideMark/>
          </w:tcPr>
          <w:p w14:paraId="580814A9" w14:textId="77777777" w:rsidR="008D0CAD" w:rsidRPr="003F22BF" w:rsidRDefault="008D0CAD" w:rsidP="007C1A2E">
            <w:pPr>
              <w:spacing w:before="100" w:beforeAutospacing="1" w:after="100" w:afterAutospacing="1" w:line="360" w:lineRule="auto"/>
              <w:rPr>
                <w:rFonts w:asciiTheme="majorHAnsi" w:hAnsiTheme="majorHAnsi" w:cstheme="majorHAnsi"/>
                <w:color w:val="000000"/>
                <w:sz w:val="20"/>
                <w:szCs w:val="20"/>
              </w:rPr>
            </w:pPr>
            <w:r w:rsidRPr="003F22BF">
              <w:rPr>
                <w:rFonts w:asciiTheme="majorHAnsi" w:hAnsiTheme="majorHAnsi" w:cstheme="majorHAnsi"/>
                <w:color w:val="000000"/>
                <w:sz w:val="20"/>
                <w:szCs w:val="20"/>
              </w:rPr>
              <w:t>Autonomy</w:t>
            </w:r>
          </w:p>
        </w:tc>
        <w:tc>
          <w:tcPr>
            <w:tcW w:w="1590" w:type="dxa"/>
            <w:noWrap/>
            <w:hideMark/>
          </w:tcPr>
          <w:p w14:paraId="490D84F1" w14:textId="77777777" w:rsidR="008D0CAD" w:rsidRPr="0005015A" w:rsidRDefault="008D0CAD" w:rsidP="007C1A2E">
            <w:pPr>
              <w:spacing w:before="100" w:beforeAutospacing="1" w:after="100" w:afterAutospacing="1" w:line="360" w:lineRule="auto"/>
              <w:rPr>
                <w:rFonts w:asciiTheme="majorHAnsi" w:hAnsiTheme="majorHAnsi" w:cstheme="majorHAnsi"/>
                <w:color w:val="000000"/>
                <w:sz w:val="20"/>
                <w:szCs w:val="20"/>
              </w:rPr>
            </w:pPr>
            <w:r w:rsidRPr="0005015A">
              <w:rPr>
                <w:rFonts w:asciiTheme="majorHAnsi" w:hAnsiTheme="majorHAnsi" w:cstheme="majorHAnsi"/>
                <w:color w:val="000000"/>
                <w:sz w:val="20"/>
                <w:szCs w:val="20"/>
              </w:rPr>
              <w:t>3</w:t>
            </w:r>
          </w:p>
        </w:tc>
        <w:tc>
          <w:tcPr>
            <w:tcW w:w="1286" w:type="dxa"/>
            <w:noWrap/>
            <w:hideMark/>
          </w:tcPr>
          <w:p w14:paraId="26B1DA75" w14:textId="77777777" w:rsidR="008D0CAD" w:rsidRPr="0005015A" w:rsidRDefault="008D0CAD" w:rsidP="007C1A2E">
            <w:pPr>
              <w:spacing w:before="100" w:beforeAutospacing="1" w:after="100" w:afterAutospacing="1" w:line="360" w:lineRule="auto"/>
              <w:rPr>
                <w:rFonts w:asciiTheme="majorHAnsi" w:hAnsiTheme="majorHAnsi" w:cstheme="majorHAnsi"/>
                <w:color w:val="000000"/>
                <w:sz w:val="20"/>
                <w:szCs w:val="20"/>
              </w:rPr>
            </w:pPr>
            <w:r w:rsidRPr="0005015A">
              <w:rPr>
                <w:rFonts w:asciiTheme="majorHAnsi" w:hAnsiTheme="majorHAnsi" w:cstheme="majorHAnsi"/>
                <w:color w:val="000000"/>
                <w:sz w:val="20"/>
                <w:szCs w:val="20"/>
              </w:rPr>
              <w:t>3.1</w:t>
            </w:r>
          </w:p>
        </w:tc>
      </w:tr>
      <w:tr w:rsidR="008D0CAD" w:rsidRPr="003F22BF" w14:paraId="50A13FBA" w14:textId="77777777" w:rsidTr="00F4751F">
        <w:trPr>
          <w:trHeight w:val="278"/>
        </w:trPr>
        <w:tc>
          <w:tcPr>
            <w:tcW w:w="3964" w:type="dxa"/>
            <w:noWrap/>
            <w:hideMark/>
          </w:tcPr>
          <w:p w14:paraId="4BC1B719" w14:textId="77777777" w:rsidR="008D0CAD" w:rsidRPr="003F22BF" w:rsidRDefault="008D0CAD" w:rsidP="007C1A2E">
            <w:pPr>
              <w:spacing w:before="100" w:beforeAutospacing="1" w:after="100" w:afterAutospacing="1" w:line="360" w:lineRule="auto"/>
              <w:rPr>
                <w:rFonts w:asciiTheme="majorHAnsi" w:hAnsiTheme="majorHAnsi" w:cstheme="majorHAnsi"/>
                <w:color w:val="000000"/>
                <w:sz w:val="20"/>
                <w:szCs w:val="20"/>
              </w:rPr>
            </w:pPr>
            <w:r w:rsidRPr="003F22BF">
              <w:rPr>
                <w:rFonts w:asciiTheme="majorHAnsi" w:hAnsiTheme="majorHAnsi" w:cstheme="majorHAnsi"/>
                <w:color w:val="000000"/>
                <w:sz w:val="20"/>
                <w:szCs w:val="20"/>
              </w:rPr>
              <w:t>Perseverance</w:t>
            </w:r>
          </w:p>
        </w:tc>
        <w:tc>
          <w:tcPr>
            <w:tcW w:w="1590" w:type="dxa"/>
            <w:noWrap/>
            <w:hideMark/>
          </w:tcPr>
          <w:p w14:paraId="619A26BA" w14:textId="77777777" w:rsidR="008D0CAD" w:rsidRPr="003F22BF" w:rsidRDefault="008D0CAD" w:rsidP="007C1A2E">
            <w:pPr>
              <w:spacing w:before="100" w:beforeAutospacing="1" w:after="100" w:afterAutospacing="1" w:line="360" w:lineRule="auto"/>
              <w:rPr>
                <w:rFonts w:asciiTheme="majorHAnsi" w:hAnsiTheme="majorHAnsi" w:cstheme="majorHAnsi"/>
                <w:color w:val="000000"/>
                <w:sz w:val="20"/>
                <w:szCs w:val="20"/>
              </w:rPr>
            </w:pPr>
            <w:r w:rsidRPr="003F22BF">
              <w:rPr>
                <w:rFonts w:asciiTheme="majorHAnsi" w:hAnsiTheme="majorHAnsi" w:cstheme="majorHAnsi"/>
                <w:color w:val="000000"/>
                <w:sz w:val="20"/>
                <w:szCs w:val="20"/>
              </w:rPr>
              <w:t>2.4</w:t>
            </w:r>
          </w:p>
        </w:tc>
        <w:tc>
          <w:tcPr>
            <w:tcW w:w="1286" w:type="dxa"/>
            <w:noWrap/>
            <w:hideMark/>
          </w:tcPr>
          <w:p w14:paraId="71CC95F1" w14:textId="77777777" w:rsidR="008D0CAD" w:rsidRPr="003F22BF" w:rsidRDefault="008D0CAD" w:rsidP="007C1A2E">
            <w:pPr>
              <w:spacing w:before="100" w:beforeAutospacing="1" w:after="100" w:afterAutospacing="1" w:line="360" w:lineRule="auto"/>
              <w:rPr>
                <w:rFonts w:asciiTheme="majorHAnsi" w:hAnsiTheme="majorHAnsi" w:cstheme="majorHAnsi"/>
                <w:color w:val="000000"/>
                <w:sz w:val="20"/>
                <w:szCs w:val="20"/>
              </w:rPr>
            </w:pPr>
            <w:r w:rsidRPr="003F22BF">
              <w:rPr>
                <w:rFonts w:asciiTheme="majorHAnsi" w:hAnsiTheme="majorHAnsi" w:cstheme="majorHAnsi"/>
                <w:color w:val="000000"/>
                <w:sz w:val="20"/>
                <w:szCs w:val="20"/>
              </w:rPr>
              <w:t>2.6</w:t>
            </w:r>
          </w:p>
        </w:tc>
      </w:tr>
      <w:tr w:rsidR="008D0CAD" w:rsidRPr="003F22BF" w14:paraId="7B03210F" w14:textId="77777777" w:rsidTr="00F4751F">
        <w:trPr>
          <w:trHeight w:val="278"/>
        </w:trPr>
        <w:tc>
          <w:tcPr>
            <w:tcW w:w="3964" w:type="dxa"/>
            <w:noWrap/>
            <w:hideMark/>
          </w:tcPr>
          <w:p w14:paraId="5516A21A" w14:textId="77777777" w:rsidR="008D0CAD" w:rsidRPr="003F22BF" w:rsidRDefault="008D0CAD" w:rsidP="007C1A2E">
            <w:pPr>
              <w:spacing w:before="100" w:beforeAutospacing="1" w:after="100" w:afterAutospacing="1" w:line="360" w:lineRule="auto"/>
              <w:rPr>
                <w:rFonts w:asciiTheme="majorHAnsi" w:hAnsiTheme="majorHAnsi" w:cstheme="majorHAnsi"/>
                <w:color w:val="000000"/>
                <w:sz w:val="20"/>
                <w:szCs w:val="20"/>
              </w:rPr>
            </w:pPr>
            <w:r w:rsidRPr="003F22BF">
              <w:rPr>
                <w:rFonts w:asciiTheme="majorHAnsi" w:hAnsiTheme="majorHAnsi" w:cstheme="majorHAnsi"/>
                <w:color w:val="000000"/>
                <w:sz w:val="20"/>
                <w:szCs w:val="20"/>
              </w:rPr>
              <w:t>Social and Collaborative Skills (SCS)</w:t>
            </w:r>
          </w:p>
        </w:tc>
        <w:tc>
          <w:tcPr>
            <w:tcW w:w="1590" w:type="dxa"/>
            <w:noWrap/>
            <w:hideMark/>
          </w:tcPr>
          <w:p w14:paraId="6055AFFC" w14:textId="77777777" w:rsidR="008D0CAD" w:rsidRPr="003F22BF" w:rsidRDefault="008D0CAD" w:rsidP="007C1A2E">
            <w:pPr>
              <w:spacing w:before="100" w:beforeAutospacing="1" w:after="100" w:afterAutospacing="1" w:line="360" w:lineRule="auto"/>
              <w:rPr>
                <w:rFonts w:asciiTheme="majorHAnsi" w:hAnsiTheme="majorHAnsi" w:cstheme="majorHAnsi"/>
                <w:color w:val="000000"/>
                <w:sz w:val="20"/>
                <w:szCs w:val="20"/>
              </w:rPr>
            </w:pPr>
            <w:r w:rsidRPr="003F22BF">
              <w:rPr>
                <w:rFonts w:asciiTheme="majorHAnsi" w:hAnsiTheme="majorHAnsi" w:cstheme="majorHAnsi"/>
                <w:color w:val="000000"/>
                <w:sz w:val="20"/>
                <w:szCs w:val="20"/>
              </w:rPr>
              <w:t>3.5</w:t>
            </w:r>
          </w:p>
        </w:tc>
        <w:tc>
          <w:tcPr>
            <w:tcW w:w="1286" w:type="dxa"/>
            <w:noWrap/>
            <w:hideMark/>
          </w:tcPr>
          <w:p w14:paraId="524D5001" w14:textId="77777777" w:rsidR="008D0CAD" w:rsidRPr="003F22BF" w:rsidRDefault="008D0CAD" w:rsidP="007C1A2E">
            <w:pPr>
              <w:spacing w:before="100" w:beforeAutospacing="1" w:after="100" w:afterAutospacing="1" w:line="360" w:lineRule="auto"/>
              <w:rPr>
                <w:rFonts w:asciiTheme="majorHAnsi" w:hAnsiTheme="majorHAnsi" w:cstheme="majorHAnsi"/>
                <w:color w:val="000000"/>
                <w:sz w:val="20"/>
                <w:szCs w:val="20"/>
              </w:rPr>
            </w:pPr>
            <w:r w:rsidRPr="003F22BF">
              <w:rPr>
                <w:rFonts w:asciiTheme="majorHAnsi" w:hAnsiTheme="majorHAnsi" w:cstheme="majorHAnsi"/>
                <w:color w:val="000000"/>
                <w:sz w:val="20"/>
                <w:szCs w:val="20"/>
              </w:rPr>
              <w:t>3.2</w:t>
            </w:r>
          </w:p>
        </w:tc>
      </w:tr>
    </w:tbl>
    <w:p w14:paraId="34E1BB2D" w14:textId="77777777" w:rsidR="008D0CAD" w:rsidRDefault="008D0CAD" w:rsidP="007C1A2E">
      <w:pPr>
        <w:pStyle w:val="ListParagraph"/>
        <w:numPr>
          <w:ilvl w:val="0"/>
          <w:numId w:val="30"/>
        </w:numPr>
        <w:spacing w:before="100" w:beforeAutospacing="1" w:after="100" w:afterAutospacing="1" w:line="360" w:lineRule="auto"/>
        <w:rPr>
          <w:rFonts w:asciiTheme="majorHAnsi" w:hAnsiTheme="majorHAnsi" w:cstheme="majorHAnsi"/>
          <w:color w:val="000000" w:themeColor="text1"/>
        </w:rPr>
      </w:pPr>
      <w:r w:rsidRPr="00DE24C5">
        <w:rPr>
          <w:rFonts w:asciiTheme="majorHAnsi" w:hAnsiTheme="majorHAnsi" w:cstheme="majorHAnsi"/>
          <w:color w:val="000000" w:themeColor="text1"/>
        </w:rPr>
        <w:t xml:space="preserve">On the other hand, looking at the MODE (or frequency of the results), it was observed that teachers from BEST supported schools obtained higher scores in three elements (i.e., Learning Facilitation, Checks for Understanding and Critical Thinking) under Instruction than teachers from indirect intervention schools (Table </w:t>
      </w:r>
      <w:r>
        <w:rPr>
          <w:rFonts w:asciiTheme="majorHAnsi" w:hAnsiTheme="majorHAnsi" w:cstheme="majorHAnsi"/>
          <w:color w:val="000000" w:themeColor="text1"/>
        </w:rPr>
        <w:t>17</w:t>
      </w:r>
      <w:r w:rsidRPr="00DE24C5">
        <w:rPr>
          <w:rFonts w:asciiTheme="majorHAnsi" w:hAnsiTheme="majorHAnsi" w:cstheme="majorHAnsi"/>
          <w:color w:val="000000" w:themeColor="text1"/>
        </w:rPr>
        <w:t>).</w:t>
      </w:r>
    </w:p>
    <w:p w14:paraId="52D68A1C" w14:textId="77777777" w:rsidR="008D0CAD" w:rsidRPr="00412BD5" w:rsidRDefault="008D0CAD" w:rsidP="007C1A2E">
      <w:pPr>
        <w:pStyle w:val="ListParagraph"/>
        <w:numPr>
          <w:ilvl w:val="0"/>
          <w:numId w:val="30"/>
        </w:numPr>
        <w:spacing w:before="100" w:beforeAutospacing="1" w:after="100" w:afterAutospacing="1" w:line="360" w:lineRule="auto"/>
        <w:rPr>
          <w:rFonts w:asciiTheme="majorHAnsi" w:hAnsiTheme="majorHAnsi" w:cstheme="majorHAnsi"/>
          <w:color w:val="000000" w:themeColor="text1"/>
        </w:rPr>
      </w:pPr>
      <w:r w:rsidRPr="00412BD5">
        <w:rPr>
          <w:rFonts w:asciiTheme="majorHAnsi" w:hAnsiTheme="majorHAnsi" w:cstheme="majorHAnsi"/>
          <w:color w:val="000000" w:themeColor="text1"/>
        </w:rPr>
        <w:t>Results using Mode for SES are incomparable between BEST and Non-BEST since there are no frequency results for BEST schools)</w:t>
      </w:r>
      <w:bookmarkStart w:id="110" w:name="_Toc47878798"/>
    </w:p>
    <w:p w14:paraId="0B7D2912" w14:textId="55220D0C" w:rsidR="008D0CAD" w:rsidRPr="004A657A" w:rsidRDefault="008D0CAD" w:rsidP="007C1A2E">
      <w:pPr>
        <w:spacing w:before="100" w:beforeAutospacing="1" w:after="100" w:afterAutospacing="1" w:line="360" w:lineRule="auto"/>
        <w:ind w:hanging="22"/>
        <w:rPr>
          <w:rFonts w:asciiTheme="majorHAnsi" w:hAnsiTheme="majorHAnsi" w:cstheme="majorHAnsi"/>
          <w:i/>
          <w:iCs/>
          <w:color w:val="44546A" w:themeColor="text2"/>
          <w:sz w:val="22"/>
          <w:szCs w:val="22"/>
        </w:rPr>
      </w:pPr>
      <w:bookmarkStart w:id="111" w:name="_Toc71616608"/>
      <w:r w:rsidRPr="004A657A">
        <w:rPr>
          <w:rFonts w:asciiTheme="majorHAnsi" w:hAnsiTheme="majorHAnsi" w:cstheme="majorHAnsi"/>
          <w:i/>
          <w:iCs/>
          <w:color w:val="44546A" w:themeColor="text2"/>
          <w:sz w:val="22"/>
          <w:szCs w:val="22"/>
        </w:rPr>
        <w:t xml:space="preserve">Table </w:t>
      </w:r>
      <w:r w:rsidRPr="004A657A">
        <w:rPr>
          <w:rFonts w:asciiTheme="majorHAnsi" w:hAnsiTheme="majorHAnsi" w:cstheme="majorHAnsi"/>
          <w:i/>
          <w:iCs/>
          <w:color w:val="44546A" w:themeColor="text2"/>
          <w:sz w:val="22"/>
          <w:szCs w:val="22"/>
        </w:rPr>
        <w:fldChar w:fldCharType="begin"/>
      </w:r>
      <w:r w:rsidRPr="004A657A">
        <w:rPr>
          <w:rFonts w:asciiTheme="majorHAnsi" w:hAnsiTheme="majorHAnsi" w:cstheme="majorHAnsi"/>
          <w:i/>
          <w:iCs/>
          <w:color w:val="44546A" w:themeColor="text2"/>
          <w:sz w:val="22"/>
          <w:szCs w:val="22"/>
        </w:rPr>
        <w:instrText xml:space="preserve"> SEQ Table \* ARABIC </w:instrText>
      </w:r>
      <w:r w:rsidRPr="004A657A">
        <w:rPr>
          <w:rFonts w:asciiTheme="majorHAnsi" w:hAnsiTheme="majorHAnsi" w:cstheme="majorHAnsi"/>
          <w:i/>
          <w:iCs/>
          <w:color w:val="44546A" w:themeColor="text2"/>
          <w:sz w:val="22"/>
          <w:szCs w:val="22"/>
        </w:rPr>
        <w:fldChar w:fldCharType="separate"/>
      </w:r>
      <w:r w:rsidR="00D6133D">
        <w:rPr>
          <w:rFonts w:asciiTheme="majorHAnsi" w:hAnsiTheme="majorHAnsi" w:cstheme="majorHAnsi"/>
          <w:i/>
          <w:iCs/>
          <w:noProof/>
          <w:color w:val="44546A" w:themeColor="text2"/>
          <w:sz w:val="22"/>
          <w:szCs w:val="22"/>
        </w:rPr>
        <w:t>17</w:t>
      </w:r>
      <w:r w:rsidRPr="004A657A">
        <w:rPr>
          <w:rFonts w:asciiTheme="majorHAnsi" w:hAnsiTheme="majorHAnsi" w:cstheme="majorHAnsi"/>
          <w:i/>
          <w:iCs/>
          <w:color w:val="44546A" w:themeColor="text2"/>
          <w:sz w:val="22"/>
          <w:szCs w:val="22"/>
        </w:rPr>
        <w:fldChar w:fldCharType="end"/>
      </w:r>
      <w:r w:rsidRPr="004A657A">
        <w:rPr>
          <w:rFonts w:asciiTheme="majorHAnsi" w:hAnsiTheme="majorHAnsi" w:cstheme="majorHAnsi"/>
          <w:i/>
          <w:iCs/>
          <w:color w:val="44546A" w:themeColor="text2"/>
          <w:sz w:val="22"/>
          <w:szCs w:val="22"/>
        </w:rPr>
        <w:t>.</w:t>
      </w:r>
      <w:r w:rsidR="00D434EB">
        <w:rPr>
          <w:rFonts w:asciiTheme="majorHAnsi" w:hAnsiTheme="majorHAnsi" w:cstheme="majorHAnsi"/>
          <w:bCs/>
          <w:i/>
          <w:iCs/>
          <w:color w:val="44546A" w:themeColor="text2"/>
          <w:sz w:val="22"/>
          <w:szCs w:val="22"/>
        </w:rPr>
        <w:t xml:space="preserve"> </w:t>
      </w:r>
      <w:r w:rsidRPr="004A657A">
        <w:rPr>
          <w:rFonts w:asciiTheme="majorHAnsi" w:hAnsiTheme="majorHAnsi" w:cstheme="majorHAnsi"/>
          <w:i/>
          <w:iCs/>
          <w:color w:val="44546A" w:themeColor="text2"/>
          <w:sz w:val="22"/>
          <w:szCs w:val="22"/>
        </w:rPr>
        <w:t>Mode of Classroom Observation Scores using the TEACH Tool</w:t>
      </w:r>
      <w:bookmarkEnd w:id="111"/>
    </w:p>
    <w:tbl>
      <w:tblPr>
        <w:tblStyle w:val="TableGrid1"/>
        <w:tblW w:w="5753" w:type="dxa"/>
        <w:tblLook w:val="04A0" w:firstRow="1" w:lastRow="0" w:firstColumn="1" w:lastColumn="0" w:noHBand="0" w:noVBand="1"/>
      </w:tblPr>
      <w:tblGrid>
        <w:gridCol w:w="4022"/>
        <w:gridCol w:w="740"/>
        <w:gridCol w:w="991"/>
      </w:tblGrid>
      <w:tr w:rsidR="008D0CAD" w:rsidRPr="004B064D" w14:paraId="33728DCB" w14:textId="77777777" w:rsidTr="00F4751F">
        <w:trPr>
          <w:trHeight w:val="262"/>
          <w:tblHeader/>
        </w:trPr>
        <w:tc>
          <w:tcPr>
            <w:tcW w:w="4022" w:type="dxa"/>
            <w:noWrap/>
            <w:hideMark/>
          </w:tcPr>
          <w:p w14:paraId="5B9D434C" w14:textId="77777777" w:rsidR="008D0CAD" w:rsidRPr="004B064D" w:rsidRDefault="008D0CAD" w:rsidP="007C1A2E">
            <w:pPr>
              <w:spacing w:before="100" w:beforeAutospacing="1" w:after="100" w:afterAutospacing="1" w:line="360" w:lineRule="auto"/>
              <w:rPr>
                <w:rFonts w:asciiTheme="majorHAnsi" w:hAnsiTheme="majorHAnsi" w:cstheme="majorHAnsi"/>
                <w:b/>
                <w:bCs/>
                <w:color w:val="000000"/>
                <w:sz w:val="18"/>
                <w:szCs w:val="18"/>
              </w:rPr>
            </w:pPr>
            <w:r w:rsidRPr="004B064D">
              <w:rPr>
                <w:rFonts w:asciiTheme="majorHAnsi" w:hAnsiTheme="majorHAnsi" w:cstheme="majorHAnsi"/>
                <w:b/>
                <w:bCs/>
                <w:color w:val="000000"/>
                <w:sz w:val="18"/>
                <w:szCs w:val="18"/>
              </w:rPr>
              <w:t>Elements</w:t>
            </w:r>
          </w:p>
        </w:tc>
        <w:tc>
          <w:tcPr>
            <w:tcW w:w="740" w:type="dxa"/>
            <w:noWrap/>
            <w:hideMark/>
          </w:tcPr>
          <w:p w14:paraId="3B2B9772" w14:textId="77777777" w:rsidR="008D0CAD" w:rsidRPr="004B064D" w:rsidRDefault="008D0CAD" w:rsidP="007C1A2E">
            <w:pPr>
              <w:spacing w:before="100" w:beforeAutospacing="1" w:after="100" w:afterAutospacing="1" w:line="360" w:lineRule="auto"/>
              <w:rPr>
                <w:rFonts w:asciiTheme="majorHAnsi" w:hAnsiTheme="majorHAnsi" w:cstheme="majorHAnsi"/>
                <w:b/>
                <w:bCs/>
                <w:color w:val="000000"/>
                <w:sz w:val="18"/>
                <w:szCs w:val="18"/>
              </w:rPr>
            </w:pPr>
            <w:r w:rsidRPr="004B064D">
              <w:rPr>
                <w:rFonts w:asciiTheme="majorHAnsi" w:hAnsiTheme="majorHAnsi" w:cstheme="majorHAnsi"/>
                <w:b/>
                <w:bCs/>
                <w:color w:val="000000"/>
                <w:sz w:val="18"/>
                <w:szCs w:val="18"/>
              </w:rPr>
              <w:t>BEST</w:t>
            </w:r>
          </w:p>
        </w:tc>
        <w:tc>
          <w:tcPr>
            <w:tcW w:w="991" w:type="dxa"/>
            <w:noWrap/>
            <w:hideMark/>
          </w:tcPr>
          <w:p w14:paraId="125DCC47" w14:textId="77777777" w:rsidR="008D0CAD" w:rsidRPr="004B064D" w:rsidRDefault="008D0CAD" w:rsidP="007C1A2E">
            <w:pPr>
              <w:spacing w:before="100" w:beforeAutospacing="1" w:after="100" w:afterAutospacing="1" w:line="360" w:lineRule="auto"/>
              <w:rPr>
                <w:rFonts w:asciiTheme="majorHAnsi" w:hAnsiTheme="majorHAnsi" w:cstheme="majorHAnsi"/>
                <w:b/>
                <w:bCs/>
                <w:color w:val="000000"/>
                <w:sz w:val="18"/>
                <w:szCs w:val="18"/>
              </w:rPr>
            </w:pPr>
            <w:r w:rsidRPr="004B064D">
              <w:rPr>
                <w:rFonts w:asciiTheme="majorHAnsi" w:hAnsiTheme="majorHAnsi" w:cstheme="majorHAnsi"/>
                <w:b/>
                <w:bCs/>
                <w:color w:val="000000"/>
                <w:sz w:val="18"/>
                <w:szCs w:val="18"/>
              </w:rPr>
              <w:t>NONBEST</w:t>
            </w:r>
          </w:p>
        </w:tc>
      </w:tr>
      <w:tr w:rsidR="008D0CAD" w:rsidRPr="003F22BF" w14:paraId="5AAEFDA7" w14:textId="77777777" w:rsidTr="00572BB5">
        <w:trPr>
          <w:trHeight w:val="262"/>
        </w:trPr>
        <w:tc>
          <w:tcPr>
            <w:tcW w:w="4022" w:type="dxa"/>
            <w:noWrap/>
            <w:hideMark/>
          </w:tcPr>
          <w:p w14:paraId="4CB681F5" w14:textId="77777777" w:rsidR="008D0CAD" w:rsidRPr="003F22BF" w:rsidRDefault="008D0CAD" w:rsidP="007C1A2E">
            <w:pPr>
              <w:spacing w:before="100" w:beforeAutospacing="1" w:after="100" w:afterAutospacing="1" w:line="360" w:lineRule="auto"/>
              <w:rPr>
                <w:rFonts w:asciiTheme="majorHAnsi" w:hAnsiTheme="majorHAnsi" w:cstheme="majorHAnsi"/>
                <w:b/>
                <w:bCs/>
                <w:color w:val="000000"/>
                <w:sz w:val="18"/>
                <w:szCs w:val="18"/>
              </w:rPr>
            </w:pPr>
            <w:r w:rsidRPr="003F22BF">
              <w:rPr>
                <w:rFonts w:asciiTheme="majorHAnsi" w:hAnsiTheme="majorHAnsi" w:cstheme="majorHAnsi"/>
                <w:b/>
                <w:bCs/>
                <w:color w:val="000000"/>
                <w:sz w:val="18"/>
                <w:szCs w:val="18"/>
              </w:rPr>
              <w:t>Classroom Culture</w:t>
            </w:r>
          </w:p>
        </w:tc>
        <w:tc>
          <w:tcPr>
            <w:tcW w:w="740" w:type="dxa"/>
            <w:noWrap/>
            <w:hideMark/>
          </w:tcPr>
          <w:p w14:paraId="10A46C59" w14:textId="77777777" w:rsidR="008D0CAD" w:rsidRPr="003F22BF" w:rsidRDefault="008D0CAD" w:rsidP="007C1A2E">
            <w:pPr>
              <w:spacing w:before="100" w:beforeAutospacing="1" w:after="100" w:afterAutospacing="1" w:line="360" w:lineRule="auto"/>
              <w:rPr>
                <w:rFonts w:asciiTheme="majorHAnsi" w:hAnsiTheme="majorHAnsi" w:cstheme="majorHAnsi"/>
                <w:i/>
                <w:iCs/>
                <w:color w:val="000000"/>
                <w:sz w:val="18"/>
                <w:szCs w:val="18"/>
              </w:rPr>
            </w:pPr>
            <w:r>
              <w:rPr>
                <w:rFonts w:asciiTheme="majorHAnsi" w:hAnsiTheme="majorHAnsi" w:cstheme="majorHAnsi"/>
                <w:i/>
                <w:iCs/>
                <w:color w:val="000000"/>
                <w:sz w:val="18"/>
                <w:szCs w:val="18"/>
              </w:rPr>
              <w:t xml:space="preserve"> </w:t>
            </w:r>
          </w:p>
        </w:tc>
        <w:tc>
          <w:tcPr>
            <w:tcW w:w="991" w:type="dxa"/>
            <w:noWrap/>
            <w:hideMark/>
          </w:tcPr>
          <w:p w14:paraId="0EDD4BBB" w14:textId="77777777" w:rsidR="008D0CAD" w:rsidRPr="003F22BF" w:rsidRDefault="008D0CAD" w:rsidP="007C1A2E">
            <w:pPr>
              <w:spacing w:before="100" w:beforeAutospacing="1" w:after="100" w:afterAutospacing="1" w:line="360" w:lineRule="auto"/>
              <w:rPr>
                <w:rFonts w:asciiTheme="majorHAnsi" w:hAnsiTheme="majorHAnsi" w:cstheme="majorHAnsi"/>
                <w:i/>
                <w:iCs/>
                <w:color w:val="000000"/>
                <w:sz w:val="18"/>
                <w:szCs w:val="18"/>
              </w:rPr>
            </w:pPr>
            <w:r>
              <w:rPr>
                <w:rFonts w:asciiTheme="majorHAnsi" w:hAnsiTheme="majorHAnsi" w:cstheme="majorHAnsi"/>
                <w:i/>
                <w:iCs/>
                <w:color w:val="000000"/>
                <w:sz w:val="18"/>
                <w:szCs w:val="18"/>
              </w:rPr>
              <w:t xml:space="preserve"> </w:t>
            </w:r>
          </w:p>
        </w:tc>
      </w:tr>
      <w:tr w:rsidR="008D0CAD" w:rsidRPr="003F22BF" w14:paraId="78BA3F3F" w14:textId="77777777" w:rsidTr="00572BB5">
        <w:trPr>
          <w:trHeight w:val="262"/>
        </w:trPr>
        <w:tc>
          <w:tcPr>
            <w:tcW w:w="4022" w:type="dxa"/>
            <w:noWrap/>
            <w:hideMark/>
          </w:tcPr>
          <w:p w14:paraId="0645DCC4" w14:textId="77777777" w:rsidR="008D0CAD" w:rsidRPr="003F22BF" w:rsidRDefault="008D0CAD" w:rsidP="007C1A2E">
            <w:pPr>
              <w:spacing w:before="100" w:beforeAutospacing="1" w:after="100" w:afterAutospacing="1" w:line="360" w:lineRule="auto"/>
              <w:ind w:firstLineChars="200" w:firstLine="360"/>
              <w:rPr>
                <w:rFonts w:asciiTheme="majorHAnsi" w:hAnsiTheme="majorHAnsi" w:cstheme="majorHAnsi"/>
                <w:color w:val="000000"/>
                <w:sz w:val="18"/>
                <w:szCs w:val="18"/>
              </w:rPr>
            </w:pPr>
            <w:r w:rsidRPr="003F22BF">
              <w:rPr>
                <w:rFonts w:asciiTheme="majorHAnsi" w:hAnsiTheme="majorHAnsi" w:cstheme="majorHAnsi"/>
                <w:color w:val="000000"/>
                <w:sz w:val="18"/>
                <w:szCs w:val="18"/>
              </w:rPr>
              <w:t>SLE</w:t>
            </w:r>
          </w:p>
        </w:tc>
        <w:tc>
          <w:tcPr>
            <w:tcW w:w="740" w:type="dxa"/>
            <w:noWrap/>
            <w:hideMark/>
          </w:tcPr>
          <w:p w14:paraId="413310A9" w14:textId="77777777" w:rsidR="008D0CAD" w:rsidRPr="003F22BF" w:rsidRDefault="008D0CAD" w:rsidP="007C1A2E">
            <w:pPr>
              <w:spacing w:before="100" w:beforeAutospacing="1" w:after="100" w:afterAutospacing="1" w:line="360" w:lineRule="auto"/>
              <w:rPr>
                <w:rFonts w:asciiTheme="majorHAnsi" w:hAnsiTheme="majorHAnsi" w:cstheme="majorHAnsi"/>
                <w:color w:val="000000"/>
                <w:sz w:val="18"/>
                <w:szCs w:val="18"/>
              </w:rPr>
            </w:pPr>
            <w:r w:rsidRPr="003F22BF">
              <w:rPr>
                <w:rFonts w:asciiTheme="majorHAnsi" w:hAnsiTheme="majorHAnsi" w:cstheme="majorHAnsi"/>
                <w:color w:val="000000"/>
                <w:sz w:val="18"/>
                <w:szCs w:val="18"/>
              </w:rPr>
              <w:t>4</w:t>
            </w:r>
          </w:p>
        </w:tc>
        <w:tc>
          <w:tcPr>
            <w:tcW w:w="991" w:type="dxa"/>
            <w:noWrap/>
            <w:hideMark/>
          </w:tcPr>
          <w:p w14:paraId="5F130BD8" w14:textId="77777777" w:rsidR="008D0CAD" w:rsidRPr="003F22BF" w:rsidRDefault="008D0CAD" w:rsidP="007C1A2E">
            <w:pPr>
              <w:spacing w:before="100" w:beforeAutospacing="1" w:after="100" w:afterAutospacing="1" w:line="360" w:lineRule="auto"/>
              <w:rPr>
                <w:rFonts w:asciiTheme="majorHAnsi" w:hAnsiTheme="majorHAnsi" w:cstheme="majorHAnsi"/>
                <w:color w:val="000000"/>
                <w:sz w:val="18"/>
                <w:szCs w:val="18"/>
              </w:rPr>
            </w:pPr>
            <w:r w:rsidRPr="003F22BF">
              <w:rPr>
                <w:rFonts w:asciiTheme="majorHAnsi" w:hAnsiTheme="majorHAnsi" w:cstheme="majorHAnsi"/>
                <w:color w:val="000000"/>
                <w:sz w:val="18"/>
                <w:szCs w:val="18"/>
              </w:rPr>
              <w:t>4</w:t>
            </w:r>
          </w:p>
        </w:tc>
      </w:tr>
      <w:tr w:rsidR="008D0CAD" w:rsidRPr="003F22BF" w14:paraId="54956C4E" w14:textId="77777777" w:rsidTr="00572BB5">
        <w:trPr>
          <w:trHeight w:val="262"/>
        </w:trPr>
        <w:tc>
          <w:tcPr>
            <w:tcW w:w="4022" w:type="dxa"/>
            <w:noWrap/>
            <w:hideMark/>
          </w:tcPr>
          <w:p w14:paraId="1C1955AA" w14:textId="77777777" w:rsidR="008D0CAD" w:rsidRPr="003F22BF" w:rsidRDefault="008D0CAD" w:rsidP="007C1A2E">
            <w:pPr>
              <w:spacing w:before="100" w:beforeAutospacing="1" w:after="100" w:afterAutospacing="1" w:line="360" w:lineRule="auto"/>
              <w:ind w:firstLineChars="200" w:firstLine="360"/>
              <w:rPr>
                <w:rFonts w:asciiTheme="majorHAnsi" w:hAnsiTheme="majorHAnsi" w:cstheme="majorHAnsi"/>
                <w:color w:val="000000"/>
                <w:sz w:val="18"/>
                <w:szCs w:val="18"/>
              </w:rPr>
            </w:pPr>
            <w:r w:rsidRPr="003F22BF">
              <w:rPr>
                <w:rFonts w:asciiTheme="majorHAnsi" w:hAnsiTheme="majorHAnsi" w:cstheme="majorHAnsi"/>
                <w:color w:val="000000"/>
                <w:sz w:val="18"/>
                <w:szCs w:val="18"/>
              </w:rPr>
              <w:t>PBE</w:t>
            </w:r>
          </w:p>
        </w:tc>
        <w:tc>
          <w:tcPr>
            <w:tcW w:w="740" w:type="dxa"/>
            <w:noWrap/>
            <w:hideMark/>
          </w:tcPr>
          <w:p w14:paraId="12F82551" w14:textId="77777777" w:rsidR="008D0CAD" w:rsidRPr="003F22BF" w:rsidRDefault="008D0CAD" w:rsidP="007C1A2E">
            <w:pPr>
              <w:spacing w:before="100" w:beforeAutospacing="1" w:after="100" w:afterAutospacing="1" w:line="360" w:lineRule="auto"/>
              <w:rPr>
                <w:rFonts w:asciiTheme="majorHAnsi" w:hAnsiTheme="majorHAnsi" w:cstheme="majorHAnsi"/>
                <w:color w:val="000000"/>
                <w:sz w:val="18"/>
                <w:szCs w:val="18"/>
              </w:rPr>
            </w:pPr>
            <w:r w:rsidRPr="003F22BF">
              <w:rPr>
                <w:rFonts w:asciiTheme="majorHAnsi" w:hAnsiTheme="majorHAnsi" w:cstheme="majorHAnsi"/>
                <w:color w:val="000000"/>
                <w:sz w:val="18"/>
                <w:szCs w:val="18"/>
              </w:rPr>
              <w:t>4</w:t>
            </w:r>
          </w:p>
        </w:tc>
        <w:tc>
          <w:tcPr>
            <w:tcW w:w="991" w:type="dxa"/>
            <w:noWrap/>
            <w:hideMark/>
          </w:tcPr>
          <w:p w14:paraId="54BC3DA3" w14:textId="77777777" w:rsidR="008D0CAD" w:rsidRPr="003F22BF" w:rsidRDefault="008D0CAD" w:rsidP="007C1A2E">
            <w:pPr>
              <w:spacing w:before="100" w:beforeAutospacing="1" w:after="100" w:afterAutospacing="1" w:line="360" w:lineRule="auto"/>
              <w:rPr>
                <w:rFonts w:asciiTheme="majorHAnsi" w:hAnsiTheme="majorHAnsi" w:cstheme="majorHAnsi"/>
                <w:color w:val="000000"/>
                <w:sz w:val="18"/>
                <w:szCs w:val="18"/>
              </w:rPr>
            </w:pPr>
            <w:r w:rsidRPr="003F22BF">
              <w:rPr>
                <w:rFonts w:asciiTheme="majorHAnsi" w:hAnsiTheme="majorHAnsi" w:cstheme="majorHAnsi"/>
                <w:color w:val="000000"/>
                <w:sz w:val="18"/>
                <w:szCs w:val="18"/>
              </w:rPr>
              <w:t>4</w:t>
            </w:r>
          </w:p>
        </w:tc>
      </w:tr>
      <w:tr w:rsidR="008D0CAD" w:rsidRPr="003F22BF" w14:paraId="5BC05BAD" w14:textId="77777777" w:rsidTr="00572BB5">
        <w:trPr>
          <w:trHeight w:val="262"/>
        </w:trPr>
        <w:tc>
          <w:tcPr>
            <w:tcW w:w="4022" w:type="dxa"/>
            <w:noWrap/>
            <w:hideMark/>
          </w:tcPr>
          <w:p w14:paraId="0368E13A" w14:textId="77777777" w:rsidR="008D0CAD" w:rsidRPr="003F22BF" w:rsidRDefault="008D0CAD" w:rsidP="007C1A2E">
            <w:pPr>
              <w:spacing w:before="100" w:beforeAutospacing="1" w:after="100" w:afterAutospacing="1" w:line="360" w:lineRule="auto"/>
              <w:rPr>
                <w:rFonts w:asciiTheme="majorHAnsi" w:hAnsiTheme="majorHAnsi" w:cstheme="majorHAnsi"/>
                <w:b/>
                <w:bCs/>
                <w:color w:val="000000"/>
                <w:sz w:val="18"/>
                <w:szCs w:val="18"/>
              </w:rPr>
            </w:pPr>
            <w:r w:rsidRPr="003F22BF">
              <w:rPr>
                <w:rFonts w:asciiTheme="majorHAnsi" w:hAnsiTheme="majorHAnsi" w:cstheme="majorHAnsi"/>
                <w:b/>
                <w:bCs/>
                <w:color w:val="000000"/>
                <w:sz w:val="18"/>
                <w:szCs w:val="18"/>
              </w:rPr>
              <w:t>Instruction</w:t>
            </w:r>
          </w:p>
        </w:tc>
        <w:tc>
          <w:tcPr>
            <w:tcW w:w="740" w:type="dxa"/>
            <w:noWrap/>
            <w:hideMark/>
          </w:tcPr>
          <w:p w14:paraId="69952F55" w14:textId="77777777" w:rsidR="008D0CAD" w:rsidRPr="003F22BF" w:rsidRDefault="008D0CAD" w:rsidP="007C1A2E">
            <w:pPr>
              <w:spacing w:before="100" w:beforeAutospacing="1" w:after="100" w:afterAutospacing="1" w:line="360" w:lineRule="auto"/>
              <w:rPr>
                <w:rFonts w:asciiTheme="majorHAnsi" w:hAnsiTheme="majorHAnsi" w:cstheme="majorHAnsi"/>
                <w:b/>
                <w:bCs/>
                <w:color w:val="000000"/>
                <w:sz w:val="18"/>
                <w:szCs w:val="18"/>
              </w:rPr>
            </w:pPr>
            <w:r w:rsidRPr="003F22BF">
              <w:rPr>
                <w:rFonts w:asciiTheme="majorHAnsi" w:hAnsiTheme="majorHAnsi" w:cstheme="majorHAnsi"/>
                <w:b/>
                <w:bCs/>
                <w:color w:val="000000"/>
                <w:sz w:val="18"/>
                <w:szCs w:val="18"/>
              </w:rPr>
              <w:t> </w:t>
            </w:r>
          </w:p>
        </w:tc>
        <w:tc>
          <w:tcPr>
            <w:tcW w:w="991" w:type="dxa"/>
            <w:noWrap/>
            <w:hideMark/>
          </w:tcPr>
          <w:p w14:paraId="1B45B1BD" w14:textId="77777777" w:rsidR="008D0CAD" w:rsidRPr="003F22BF" w:rsidRDefault="008D0CAD" w:rsidP="007C1A2E">
            <w:pPr>
              <w:spacing w:before="100" w:beforeAutospacing="1" w:after="100" w:afterAutospacing="1" w:line="360" w:lineRule="auto"/>
              <w:rPr>
                <w:rFonts w:asciiTheme="majorHAnsi" w:hAnsiTheme="majorHAnsi" w:cstheme="majorHAnsi"/>
                <w:b/>
                <w:bCs/>
                <w:color w:val="000000"/>
                <w:sz w:val="18"/>
                <w:szCs w:val="18"/>
              </w:rPr>
            </w:pPr>
            <w:r w:rsidRPr="003F22BF">
              <w:rPr>
                <w:rFonts w:asciiTheme="majorHAnsi" w:hAnsiTheme="majorHAnsi" w:cstheme="majorHAnsi"/>
                <w:b/>
                <w:bCs/>
                <w:color w:val="000000"/>
                <w:sz w:val="18"/>
                <w:szCs w:val="18"/>
              </w:rPr>
              <w:t> </w:t>
            </w:r>
          </w:p>
        </w:tc>
      </w:tr>
      <w:tr w:rsidR="008D0CAD" w:rsidRPr="003F22BF" w14:paraId="1B4E0B36" w14:textId="77777777" w:rsidTr="00572BB5">
        <w:trPr>
          <w:trHeight w:val="262"/>
        </w:trPr>
        <w:tc>
          <w:tcPr>
            <w:tcW w:w="4022" w:type="dxa"/>
            <w:noWrap/>
            <w:hideMark/>
          </w:tcPr>
          <w:p w14:paraId="7D89E8A4" w14:textId="77777777" w:rsidR="008D0CAD" w:rsidRPr="003F22BF" w:rsidRDefault="008D0CAD" w:rsidP="007C1A2E">
            <w:pPr>
              <w:spacing w:before="100" w:beforeAutospacing="1" w:after="100" w:afterAutospacing="1" w:line="360" w:lineRule="auto"/>
              <w:ind w:firstLineChars="200" w:firstLine="360"/>
              <w:rPr>
                <w:rFonts w:asciiTheme="majorHAnsi" w:hAnsiTheme="majorHAnsi" w:cstheme="majorHAnsi"/>
                <w:color w:val="000000"/>
                <w:sz w:val="18"/>
                <w:szCs w:val="18"/>
              </w:rPr>
            </w:pPr>
            <w:r w:rsidRPr="003F22BF">
              <w:rPr>
                <w:rFonts w:asciiTheme="majorHAnsi" w:hAnsiTheme="majorHAnsi" w:cstheme="majorHAnsi"/>
                <w:color w:val="000000"/>
                <w:sz w:val="18"/>
                <w:szCs w:val="18"/>
              </w:rPr>
              <w:t>Learning Facilitation (LF)</w:t>
            </w:r>
          </w:p>
        </w:tc>
        <w:tc>
          <w:tcPr>
            <w:tcW w:w="740" w:type="dxa"/>
            <w:noWrap/>
            <w:hideMark/>
          </w:tcPr>
          <w:p w14:paraId="2EAED1E4" w14:textId="77777777" w:rsidR="008D0CAD" w:rsidRPr="003F22BF" w:rsidRDefault="008D0CAD" w:rsidP="007C1A2E">
            <w:pPr>
              <w:spacing w:before="100" w:beforeAutospacing="1" w:after="100" w:afterAutospacing="1" w:line="360" w:lineRule="auto"/>
              <w:rPr>
                <w:rFonts w:asciiTheme="majorHAnsi" w:hAnsiTheme="majorHAnsi" w:cstheme="majorHAnsi"/>
                <w:color w:val="000000"/>
                <w:sz w:val="18"/>
                <w:szCs w:val="18"/>
              </w:rPr>
            </w:pPr>
            <w:r w:rsidRPr="003F22BF">
              <w:rPr>
                <w:rFonts w:asciiTheme="majorHAnsi" w:hAnsiTheme="majorHAnsi" w:cstheme="majorHAnsi"/>
                <w:color w:val="000000"/>
                <w:sz w:val="18"/>
                <w:szCs w:val="18"/>
              </w:rPr>
              <w:t>4</w:t>
            </w:r>
          </w:p>
        </w:tc>
        <w:tc>
          <w:tcPr>
            <w:tcW w:w="991" w:type="dxa"/>
            <w:noWrap/>
            <w:hideMark/>
          </w:tcPr>
          <w:p w14:paraId="03B6EA7A" w14:textId="77777777" w:rsidR="008D0CAD" w:rsidRPr="003F22BF" w:rsidRDefault="008D0CAD" w:rsidP="007C1A2E">
            <w:pPr>
              <w:spacing w:before="100" w:beforeAutospacing="1" w:after="100" w:afterAutospacing="1" w:line="360" w:lineRule="auto"/>
              <w:rPr>
                <w:rFonts w:asciiTheme="majorHAnsi" w:hAnsiTheme="majorHAnsi" w:cstheme="majorHAnsi"/>
                <w:color w:val="000000"/>
                <w:sz w:val="18"/>
                <w:szCs w:val="18"/>
              </w:rPr>
            </w:pPr>
            <w:r w:rsidRPr="003F22BF">
              <w:rPr>
                <w:rFonts w:asciiTheme="majorHAnsi" w:hAnsiTheme="majorHAnsi" w:cstheme="majorHAnsi"/>
                <w:color w:val="000000"/>
                <w:sz w:val="18"/>
                <w:szCs w:val="18"/>
              </w:rPr>
              <w:t>4</w:t>
            </w:r>
          </w:p>
        </w:tc>
      </w:tr>
      <w:tr w:rsidR="008D0CAD" w:rsidRPr="003F22BF" w14:paraId="2E142D4C" w14:textId="77777777" w:rsidTr="00572BB5">
        <w:trPr>
          <w:trHeight w:val="262"/>
        </w:trPr>
        <w:tc>
          <w:tcPr>
            <w:tcW w:w="4022" w:type="dxa"/>
            <w:noWrap/>
            <w:hideMark/>
          </w:tcPr>
          <w:p w14:paraId="1C10D5A2" w14:textId="77777777" w:rsidR="008D0CAD" w:rsidRPr="003F22BF" w:rsidRDefault="008D0CAD" w:rsidP="007C1A2E">
            <w:pPr>
              <w:spacing w:before="100" w:beforeAutospacing="1" w:after="100" w:afterAutospacing="1" w:line="360" w:lineRule="auto"/>
              <w:ind w:firstLineChars="200" w:firstLine="360"/>
              <w:rPr>
                <w:rFonts w:asciiTheme="majorHAnsi" w:hAnsiTheme="majorHAnsi" w:cstheme="majorHAnsi"/>
                <w:color w:val="000000"/>
                <w:sz w:val="18"/>
                <w:szCs w:val="18"/>
              </w:rPr>
            </w:pPr>
            <w:r w:rsidRPr="003F22BF">
              <w:rPr>
                <w:rFonts w:asciiTheme="majorHAnsi" w:hAnsiTheme="majorHAnsi" w:cstheme="majorHAnsi"/>
                <w:color w:val="000000"/>
                <w:sz w:val="18"/>
                <w:szCs w:val="18"/>
              </w:rPr>
              <w:t>Checks for Understanding (CFU)</w:t>
            </w:r>
          </w:p>
        </w:tc>
        <w:tc>
          <w:tcPr>
            <w:tcW w:w="740" w:type="dxa"/>
            <w:noWrap/>
            <w:hideMark/>
          </w:tcPr>
          <w:p w14:paraId="4CE07879" w14:textId="77777777" w:rsidR="008D0CAD" w:rsidRPr="003F22BF" w:rsidRDefault="008D0CAD" w:rsidP="007C1A2E">
            <w:pPr>
              <w:spacing w:before="100" w:beforeAutospacing="1" w:after="100" w:afterAutospacing="1" w:line="360" w:lineRule="auto"/>
              <w:rPr>
                <w:rFonts w:asciiTheme="majorHAnsi" w:hAnsiTheme="majorHAnsi" w:cstheme="majorHAnsi"/>
                <w:color w:val="000000"/>
                <w:sz w:val="18"/>
                <w:szCs w:val="18"/>
              </w:rPr>
            </w:pPr>
            <w:r w:rsidRPr="003F22BF">
              <w:rPr>
                <w:rFonts w:asciiTheme="majorHAnsi" w:hAnsiTheme="majorHAnsi" w:cstheme="majorHAnsi"/>
                <w:color w:val="000000"/>
                <w:sz w:val="18"/>
                <w:szCs w:val="18"/>
              </w:rPr>
              <w:t>4</w:t>
            </w:r>
          </w:p>
        </w:tc>
        <w:tc>
          <w:tcPr>
            <w:tcW w:w="991" w:type="dxa"/>
            <w:noWrap/>
            <w:hideMark/>
          </w:tcPr>
          <w:p w14:paraId="5A7AA4E1" w14:textId="77777777" w:rsidR="008D0CAD" w:rsidRPr="003F22BF" w:rsidRDefault="008D0CAD" w:rsidP="007C1A2E">
            <w:pPr>
              <w:spacing w:before="100" w:beforeAutospacing="1" w:after="100" w:afterAutospacing="1" w:line="360" w:lineRule="auto"/>
              <w:rPr>
                <w:rFonts w:asciiTheme="majorHAnsi" w:hAnsiTheme="majorHAnsi" w:cstheme="majorHAnsi"/>
                <w:color w:val="000000"/>
                <w:sz w:val="18"/>
                <w:szCs w:val="18"/>
              </w:rPr>
            </w:pPr>
            <w:r w:rsidRPr="003F22BF">
              <w:rPr>
                <w:rFonts w:asciiTheme="majorHAnsi" w:hAnsiTheme="majorHAnsi" w:cstheme="majorHAnsi"/>
                <w:color w:val="000000"/>
                <w:sz w:val="18"/>
                <w:szCs w:val="18"/>
              </w:rPr>
              <w:t>3</w:t>
            </w:r>
          </w:p>
        </w:tc>
      </w:tr>
      <w:tr w:rsidR="008D0CAD" w:rsidRPr="003F22BF" w14:paraId="611C2F88" w14:textId="77777777" w:rsidTr="00572BB5">
        <w:trPr>
          <w:trHeight w:val="262"/>
        </w:trPr>
        <w:tc>
          <w:tcPr>
            <w:tcW w:w="4022" w:type="dxa"/>
            <w:noWrap/>
            <w:hideMark/>
          </w:tcPr>
          <w:p w14:paraId="571A831E" w14:textId="77777777" w:rsidR="008D0CAD" w:rsidRPr="003F22BF" w:rsidRDefault="008D0CAD" w:rsidP="007C1A2E">
            <w:pPr>
              <w:spacing w:before="100" w:beforeAutospacing="1" w:after="100" w:afterAutospacing="1" w:line="360" w:lineRule="auto"/>
              <w:ind w:firstLineChars="200" w:firstLine="360"/>
              <w:rPr>
                <w:rFonts w:asciiTheme="majorHAnsi" w:hAnsiTheme="majorHAnsi" w:cstheme="majorHAnsi"/>
                <w:color w:val="000000"/>
                <w:sz w:val="18"/>
                <w:szCs w:val="18"/>
              </w:rPr>
            </w:pPr>
            <w:r w:rsidRPr="003F22BF">
              <w:rPr>
                <w:rFonts w:asciiTheme="majorHAnsi" w:hAnsiTheme="majorHAnsi" w:cstheme="majorHAnsi"/>
                <w:color w:val="000000"/>
                <w:sz w:val="18"/>
                <w:szCs w:val="18"/>
              </w:rPr>
              <w:t>Feedback</w:t>
            </w:r>
          </w:p>
        </w:tc>
        <w:tc>
          <w:tcPr>
            <w:tcW w:w="740" w:type="dxa"/>
            <w:noWrap/>
            <w:hideMark/>
          </w:tcPr>
          <w:p w14:paraId="2F24ECD1" w14:textId="77777777" w:rsidR="008D0CAD" w:rsidRPr="003F22BF" w:rsidRDefault="008D0CAD" w:rsidP="007C1A2E">
            <w:pPr>
              <w:spacing w:before="100" w:beforeAutospacing="1" w:after="100" w:afterAutospacing="1" w:line="360" w:lineRule="auto"/>
              <w:rPr>
                <w:rFonts w:asciiTheme="majorHAnsi" w:hAnsiTheme="majorHAnsi" w:cstheme="majorHAnsi"/>
                <w:color w:val="000000"/>
                <w:sz w:val="18"/>
                <w:szCs w:val="18"/>
              </w:rPr>
            </w:pPr>
            <w:r w:rsidRPr="003F22BF">
              <w:rPr>
                <w:rFonts w:asciiTheme="majorHAnsi" w:hAnsiTheme="majorHAnsi" w:cstheme="majorHAnsi"/>
                <w:color w:val="000000"/>
                <w:sz w:val="18"/>
                <w:szCs w:val="18"/>
              </w:rPr>
              <w:t>1</w:t>
            </w:r>
          </w:p>
        </w:tc>
        <w:tc>
          <w:tcPr>
            <w:tcW w:w="991" w:type="dxa"/>
            <w:noWrap/>
            <w:hideMark/>
          </w:tcPr>
          <w:p w14:paraId="369DDC60" w14:textId="77777777" w:rsidR="008D0CAD" w:rsidRPr="003F22BF" w:rsidRDefault="008D0CAD" w:rsidP="007C1A2E">
            <w:pPr>
              <w:spacing w:before="100" w:beforeAutospacing="1" w:after="100" w:afterAutospacing="1" w:line="360" w:lineRule="auto"/>
              <w:rPr>
                <w:rFonts w:asciiTheme="majorHAnsi" w:hAnsiTheme="majorHAnsi" w:cstheme="majorHAnsi"/>
                <w:color w:val="000000"/>
                <w:sz w:val="18"/>
                <w:szCs w:val="18"/>
              </w:rPr>
            </w:pPr>
            <w:r w:rsidRPr="003F22BF">
              <w:rPr>
                <w:rFonts w:asciiTheme="majorHAnsi" w:hAnsiTheme="majorHAnsi" w:cstheme="majorHAnsi"/>
                <w:color w:val="000000"/>
                <w:sz w:val="18"/>
                <w:szCs w:val="18"/>
              </w:rPr>
              <w:t>2</w:t>
            </w:r>
          </w:p>
        </w:tc>
      </w:tr>
      <w:tr w:rsidR="008D0CAD" w:rsidRPr="003F22BF" w14:paraId="323FBBAE" w14:textId="77777777" w:rsidTr="00572BB5">
        <w:trPr>
          <w:trHeight w:val="262"/>
        </w:trPr>
        <w:tc>
          <w:tcPr>
            <w:tcW w:w="4022" w:type="dxa"/>
            <w:noWrap/>
            <w:hideMark/>
          </w:tcPr>
          <w:p w14:paraId="11585A63" w14:textId="77777777" w:rsidR="008D0CAD" w:rsidRPr="003F22BF" w:rsidRDefault="008D0CAD" w:rsidP="007C1A2E">
            <w:pPr>
              <w:spacing w:before="100" w:beforeAutospacing="1" w:after="100" w:afterAutospacing="1" w:line="360" w:lineRule="auto"/>
              <w:ind w:firstLineChars="200" w:firstLine="360"/>
              <w:rPr>
                <w:rFonts w:asciiTheme="majorHAnsi" w:hAnsiTheme="majorHAnsi" w:cstheme="majorHAnsi"/>
                <w:color w:val="000000"/>
                <w:sz w:val="18"/>
                <w:szCs w:val="18"/>
              </w:rPr>
            </w:pPr>
            <w:r w:rsidRPr="003F22BF">
              <w:rPr>
                <w:rFonts w:asciiTheme="majorHAnsi" w:hAnsiTheme="majorHAnsi" w:cstheme="majorHAnsi"/>
                <w:color w:val="000000"/>
                <w:sz w:val="18"/>
                <w:szCs w:val="18"/>
              </w:rPr>
              <w:t>Critical Thinking (CT)</w:t>
            </w:r>
          </w:p>
        </w:tc>
        <w:tc>
          <w:tcPr>
            <w:tcW w:w="740" w:type="dxa"/>
            <w:noWrap/>
            <w:hideMark/>
          </w:tcPr>
          <w:p w14:paraId="0590439D" w14:textId="77777777" w:rsidR="008D0CAD" w:rsidRPr="003F22BF" w:rsidRDefault="008D0CAD" w:rsidP="007C1A2E">
            <w:pPr>
              <w:spacing w:before="100" w:beforeAutospacing="1" w:after="100" w:afterAutospacing="1" w:line="360" w:lineRule="auto"/>
              <w:rPr>
                <w:rFonts w:asciiTheme="majorHAnsi" w:hAnsiTheme="majorHAnsi" w:cstheme="majorHAnsi"/>
                <w:color w:val="000000"/>
                <w:sz w:val="18"/>
                <w:szCs w:val="18"/>
              </w:rPr>
            </w:pPr>
            <w:r w:rsidRPr="003F22BF">
              <w:rPr>
                <w:rFonts w:asciiTheme="majorHAnsi" w:hAnsiTheme="majorHAnsi" w:cstheme="majorHAnsi"/>
                <w:color w:val="000000"/>
                <w:sz w:val="18"/>
                <w:szCs w:val="18"/>
              </w:rPr>
              <w:t>5</w:t>
            </w:r>
          </w:p>
        </w:tc>
        <w:tc>
          <w:tcPr>
            <w:tcW w:w="991" w:type="dxa"/>
            <w:noWrap/>
            <w:hideMark/>
          </w:tcPr>
          <w:p w14:paraId="0A7E81A1" w14:textId="77777777" w:rsidR="008D0CAD" w:rsidRPr="003F22BF" w:rsidRDefault="008D0CAD" w:rsidP="007C1A2E">
            <w:pPr>
              <w:spacing w:before="100" w:beforeAutospacing="1" w:after="100" w:afterAutospacing="1" w:line="360" w:lineRule="auto"/>
              <w:rPr>
                <w:rFonts w:asciiTheme="majorHAnsi" w:hAnsiTheme="majorHAnsi" w:cstheme="majorHAnsi"/>
                <w:color w:val="000000"/>
                <w:sz w:val="18"/>
                <w:szCs w:val="18"/>
              </w:rPr>
            </w:pPr>
            <w:r w:rsidRPr="003F22BF">
              <w:rPr>
                <w:rFonts w:asciiTheme="majorHAnsi" w:hAnsiTheme="majorHAnsi" w:cstheme="majorHAnsi"/>
                <w:color w:val="000000"/>
                <w:sz w:val="18"/>
                <w:szCs w:val="18"/>
              </w:rPr>
              <w:t>3</w:t>
            </w:r>
          </w:p>
        </w:tc>
      </w:tr>
      <w:tr w:rsidR="008D0CAD" w:rsidRPr="003F22BF" w14:paraId="3CBF771E" w14:textId="77777777" w:rsidTr="00572BB5">
        <w:trPr>
          <w:trHeight w:val="262"/>
        </w:trPr>
        <w:tc>
          <w:tcPr>
            <w:tcW w:w="4022" w:type="dxa"/>
            <w:noWrap/>
            <w:hideMark/>
          </w:tcPr>
          <w:p w14:paraId="520FD2E8" w14:textId="77777777" w:rsidR="008D0CAD" w:rsidRPr="003F22BF" w:rsidRDefault="008D0CAD" w:rsidP="007C1A2E">
            <w:pPr>
              <w:spacing w:before="100" w:beforeAutospacing="1" w:after="100" w:afterAutospacing="1" w:line="360" w:lineRule="auto"/>
              <w:rPr>
                <w:rFonts w:asciiTheme="majorHAnsi" w:hAnsiTheme="majorHAnsi" w:cstheme="majorHAnsi"/>
                <w:b/>
                <w:bCs/>
                <w:color w:val="000000"/>
                <w:sz w:val="18"/>
                <w:szCs w:val="18"/>
              </w:rPr>
            </w:pPr>
            <w:r w:rsidRPr="003F22BF">
              <w:rPr>
                <w:rFonts w:asciiTheme="majorHAnsi" w:hAnsiTheme="majorHAnsi" w:cstheme="majorHAnsi"/>
                <w:b/>
                <w:bCs/>
                <w:color w:val="000000"/>
                <w:sz w:val="18"/>
                <w:szCs w:val="18"/>
              </w:rPr>
              <w:t>Socio-Emotional Skills</w:t>
            </w:r>
          </w:p>
        </w:tc>
        <w:tc>
          <w:tcPr>
            <w:tcW w:w="740" w:type="dxa"/>
            <w:noWrap/>
            <w:hideMark/>
          </w:tcPr>
          <w:p w14:paraId="441B002C" w14:textId="77777777" w:rsidR="008D0CAD" w:rsidRPr="003F22BF" w:rsidRDefault="008D0CAD" w:rsidP="007C1A2E">
            <w:pPr>
              <w:spacing w:before="100" w:beforeAutospacing="1" w:after="100" w:afterAutospacing="1" w:line="360" w:lineRule="auto"/>
              <w:rPr>
                <w:rFonts w:asciiTheme="majorHAnsi" w:hAnsiTheme="majorHAnsi" w:cstheme="majorHAnsi"/>
                <w:b/>
                <w:bCs/>
                <w:color w:val="000000"/>
                <w:sz w:val="18"/>
                <w:szCs w:val="18"/>
              </w:rPr>
            </w:pPr>
            <w:r w:rsidRPr="003F22BF">
              <w:rPr>
                <w:rFonts w:asciiTheme="majorHAnsi" w:hAnsiTheme="majorHAnsi" w:cstheme="majorHAnsi"/>
                <w:b/>
                <w:bCs/>
                <w:color w:val="000000"/>
                <w:sz w:val="18"/>
                <w:szCs w:val="18"/>
              </w:rPr>
              <w:t> </w:t>
            </w:r>
          </w:p>
        </w:tc>
        <w:tc>
          <w:tcPr>
            <w:tcW w:w="991" w:type="dxa"/>
            <w:noWrap/>
            <w:hideMark/>
          </w:tcPr>
          <w:p w14:paraId="5AE2756B" w14:textId="77777777" w:rsidR="008D0CAD" w:rsidRPr="003F22BF" w:rsidRDefault="008D0CAD" w:rsidP="007C1A2E">
            <w:pPr>
              <w:spacing w:before="100" w:beforeAutospacing="1" w:after="100" w:afterAutospacing="1" w:line="360" w:lineRule="auto"/>
              <w:rPr>
                <w:rFonts w:asciiTheme="majorHAnsi" w:hAnsiTheme="majorHAnsi" w:cstheme="majorHAnsi"/>
                <w:b/>
                <w:bCs/>
                <w:color w:val="000000"/>
                <w:sz w:val="18"/>
                <w:szCs w:val="18"/>
              </w:rPr>
            </w:pPr>
            <w:r w:rsidRPr="003F22BF">
              <w:rPr>
                <w:rFonts w:asciiTheme="majorHAnsi" w:hAnsiTheme="majorHAnsi" w:cstheme="majorHAnsi"/>
                <w:b/>
                <w:bCs/>
                <w:color w:val="000000"/>
                <w:sz w:val="18"/>
                <w:szCs w:val="18"/>
              </w:rPr>
              <w:t> </w:t>
            </w:r>
          </w:p>
        </w:tc>
      </w:tr>
      <w:tr w:rsidR="008D0CAD" w:rsidRPr="003F22BF" w14:paraId="502CD4DA" w14:textId="77777777" w:rsidTr="00572BB5">
        <w:trPr>
          <w:trHeight w:val="262"/>
        </w:trPr>
        <w:tc>
          <w:tcPr>
            <w:tcW w:w="4022" w:type="dxa"/>
            <w:noWrap/>
            <w:hideMark/>
          </w:tcPr>
          <w:p w14:paraId="18498D4C" w14:textId="77777777" w:rsidR="008D0CAD" w:rsidRPr="003F22BF" w:rsidRDefault="008D0CAD" w:rsidP="007C1A2E">
            <w:pPr>
              <w:spacing w:before="100" w:beforeAutospacing="1" w:after="100" w:afterAutospacing="1" w:line="360" w:lineRule="auto"/>
              <w:ind w:firstLineChars="200" w:firstLine="360"/>
              <w:rPr>
                <w:rFonts w:asciiTheme="majorHAnsi" w:hAnsiTheme="majorHAnsi" w:cstheme="majorHAnsi"/>
                <w:color w:val="000000"/>
                <w:sz w:val="18"/>
                <w:szCs w:val="18"/>
              </w:rPr>
            </w:pPr>
            <w:r w:rsidRPr="003F22BF">
              <w:rPr>
                <w:rFonts w:asciiTheme="majorHAnsi" w:hAnsiTheme="majorHAnsi" w:cstheme="majorHAnsi"/>
                <w:color w:val="000000"/>
                <w:sz w:val="18"/>
                <w:szCs w:val="18"/>
              </w:rPr>
              <w:t>Autonomy</w:t>
            </w:r>
          </w:p>
        </w:tc>
        <w:tc>
          <w:tcPr>
            <w:tcW w:w="740" w:type="dxa"/>
            <w:noWrap/>
            <w:hideMark/>
          </w:tcPr>
          <w:p w14:paraId="58BE5674" w14:textId="77777777" w:rsidR="008D0CAD" w:rsidRPr="003F22BF" w:rsidRDefault="008D0CAD" w:rsidP="007C1A2E">
            <w:pPr>
              <w:spacing w:before="100" w:beforeAutospacing="1" w:after="100" w:afterAutospacing="1" w:line="360" w:lineRule="auto"/>
              <w:rPr>
                <w:rFonts w:asciiTheme="majorHAnsi" w:hAnsiTheme="majorHAnsi" w:cstheme="majorHAnsi"/>
                <w:color w:val="000000"/>
                <w:sz w:val="18"/>
                <w:szCs w:val="18"/>
              </w:rPr>
            </w:pPr>
            <w:r w:rsidRPr="003F22BF">
              <w:rPr>
                <w:rFonts w:asciiTheme="majorHAnsi" w:hAnsiTheme="majorHAnsi" w:cstheme="majorHAnsi"/>
                <w:color w:val="000000"/>
                <w:sz w:val="18"/>
                <w:szCs w:val="18"/>
              </w:rPr>
              <w:t>3</w:t>
            </w:r>
          </w:p>
        </w:tc>
        <w:tc>
          <w:tcPr>
            <w:tcW w:w="991" w:type="dxa"/>
            <w:noWrap/>
            <w:hideMark/>
          </w:tcPr>
          <w:p w14:paraId="190782AD" w14:textId="77777777" w:rsidR="008D0CAD" w:rsidRPr="003F22BF" w:rsidRDefault="008D0CAD" w:rsidP="007C1A2E">
            <w:pPr>
              <w:spacing w:before="100" w:beforeAutospacing="1" w:after="100" w:afterAutospacing="1" w:line="360" w:lineRule="auto"/>
              <w:rPr>
                <w:rFonts w:asciiTheme="majorHAnsi" w:hAnsiTheme="majorHAnsi" w:cstheme="majorHAnsi"/>
                <w:color w:val="000000"/>
                <w:sz w:val="18"/>
                <w:szCs w:val="18"/>
              </w:rPr>
            </w:pPr>
            <w:r w:rsidRPr="003F22BF">
              <w:rPr>
                <w:rFonts w:asciiTheme="majorHAnsi" w:hAnsiTheme="majorHAnsi" w:cstheme="majorHAnsi"/>
                <w:color w:val="000000"/>
                <w:sz w:val="18"/>
                <w:szCs w:val="18"/>
              </w:rPr>
              <w:t>3</w:t>
            </w:r>
          </w:p>
        </w:tc>
      </w:tr>
      <w:tr w:rsidR="008D0CAD" w:rsidRPr="003F22BF" w14:paraId="78CC8798" w14:textId="77777777" w:rsidTr="00572BB5">
        <w:trPr>
          <w:trHeight w:val="262"/>
        </w:trPr>
        <w:tc>
          <w:tcPr>
            <w:tcW w:w="4022" w:type="dxa"/>
            <w:noWrap/>
            <w:hideMark/>
          </w:tcPr>
          <w:p w14:paraId="62EE9D43" w14:textId="77777777" w:rsidR="008D0CAD" w:rsidRPr="003F22BF" w:rsidRDefault="008D0CAD" w:rsidP="007C1A2E">
            <w:pPr>
              <w:spacing w:before="100" w:beforeAutospacing="1" w:after="100" w:afterAutospacing="1" w:line="360" w:lineRule="auto"/>
              <w:ind w:firstLineChars="200" w:firstLine="360"/>
              <w:rPr>
                <w:rFonts w:asciiTheme="majorHAnsi" w:hAnsiTheme="majorHAnsi" w:cstheme="majorHAnsi"/>
                <w:color w:val="000000"/>
                <w:sz w:val="18"/>
                <w:szCs w:val="18"/>
              </w:rPr>
            </w:pPr>
            <w:r w:rsidRPr="003F22BF">
              <w:rPr>
                <w:rFonts w:asciiTheme="majorHAnsi" w:hAnsiTheme="majorHAnsi" w:cstheme="majorHAnsi"/>
                <w:color w:val="000000"/>
                <w:sz w:val="18"/>
                <w:szCs w:val="18"/>
              </w:rPr>
              <w:t>Perseverance</w:t>
            </w:r>
          </w:p>
        </w:tc>
        <w:tc>
          <w:tcPr>
            <w:tcW w:w="740" w:type="dxa"/>
            <w:noWrap/>
            <w:hideMark/>
          </w:tcPr>
          <w:p w14:paraId="77140D05" w14:textId="77777777" w:rsidR="008D0CAD" w:rsidRPr="003F22BF" w:rsidRDefault="008D0CAD" w:rsidP="007C1A2E">
            <w:pPr>
              <w:spacing w:before="100" w:beforeAutospacing="1" w:after="100" w:afterAutospacing="1" w:line="360" w:lineRule="auto"/>
              <w:rPr>
                <w:rFonts w:asciiTheme="majorHAnsi" w:hAnsiTheme="majorHAnsi" w:cstheme="majorHAnsi"/>
                <w:color w:val="000000"/>
                <w:sz w:val="18"/>
                <w:szCs w:val="18"/>
              </w:rPr>
            </w:pPr>
            <w:r w:rsidRPr="003F22BF">
              <w:rPr>
                <w:rFonts w:asciiTheme="majorHAnsi" w:hAnsiTheme="majorHAnsi" w:cstheme="majorHAnsi"/>
                <w:color w:val="000000"/>
                <w:sz w:val="18"/>
                <w:szCs w:val="18"/>
              </w:rPr>
              <w:t>2</w:t>
            </w:r>
          </w:p>
        </w:tc>
        <w:tc>
          <w:tcPr>
            <w:tcW w:w="991" w:type="dxa"/>
            <w:noWrap/>
            <w:hideMark/>
          </w:tcPr>
          <w:p w14:paraId="5744786B" w14:textId="77777777" w:rsidR="008D0CAD" w:rsidRPr="003F22BF" w:rsidRDefault="008D0CAD" w:rsidP="007C1A2E">
            <w:pPr>
              <w:spacing w:before="100" w:beforeAutospacing="1" w:after="100" w:afterAutospacing="1" w:line="360" w:lineRule="auto"/>
              <w:rPr>
                <w:rFonts w:asciiTheme="majorHAnsi" w:hAnsiTheme="majorHAnsi" w:cstheme="majorHAnsi"/>
                <w:color w:val="000000"/>
                <w:sz w:val="18"/>
                <w:szCs w:val="18"/>
              </w:rPr>
            </w:pPr>
            <w:r w:rsidRPr="003F22BF">
              <w:rPr>
                <w:rFonts w:asciiTheme="majorHAnsi" w:hAnsiTheme="majorHAnsi" w:cstheme="majorHAnsi"/>
                <w:color w:val="000000"/>
                <w:sz w:val="18"/>
                <w:szCs w:val="18"/>
              </w:rPr>
              <w:t>3</w:t>
            </w:r>
          </w:p>
        </w:tc>
      </w:tr>
      <w:tr w:rsidR="008D0CAD" w:rsidRPr="003F22BF" w14:paraId="17013E89" w14:textId="77777777" w:rsidTr="00572BB5">
        <w:trPr>
          <w:trHeight w:val="262"/>
        </w:trPr>
        <w:tc>
          <w:tcPr>
            <w:tcW w:w="4022" w:type="dxa"/>
            <w:noWrap/>
            <w:hideMark/>
          </w:tcPr>
          <w:p w14:paraId="597AD38B" w14:textId="77777777" w:rsidR="008D0CAD" w:rsidRPr="003F22BF" w:rsidRDefault="008D0CAD" w:rsidP="007C1A2E">
            <w:pPr>
              <w:spacing w:before="100" w:beforeAutospacing="1" w:after="100" w:afterAutospacing="1" w:line="360" w:lineRule="auto"/>
              <w:ind w:firstLineChars="200" w:firstLine="360"/>
              <w:rPr>
                <w:rFonts w:asciiTheme="majorHAnsi" w:hAnsiTheme="majorHAnsi" w:cstheme="majorHAnsi"/>
                <w:color w:val="000000"/>
                <w:sz w:val="18"/>
                <w:szCs w:val="18"/>
              </w:rPr>
            </w:pPr>
            <w:r w:rsidRPr="003F22BF">
              <w:rPr>
                <w:rFonts w:asciiTheme="majorHAnsi" w:hAnsiTheme="majorHAnsi" w:cstheme="majorHAnsi"/>
                <w:color w:val="000000"/>
                <w:sz w:val="18"/>
                <w:szCs w:val="18"/>
              </w:rPr>
              <w:t>Social and Collaborative Skills (SCS)</w:t>
            </w:r>
          </w:p>
        </w:tc>
        <w:tc>
          <w:tcPr>
            <w:tcW w:w="740" w:type="dxa"/>
            <w:noWrap/>
            <w:hideMark/>
          </w:tcPr>
          <w:p w14:paraId="5812691D" w14:textId="77777777" w:rsidR="008D0CAD" w:rsidRPr="003F22BF" w:rsidRDefault="008D0CAD" w:rsidP="007C1A2E">
            <w:pPr>
              <w:spacing w:before="100" w:beforeAutospacing="1" w:after="100" w:afterAutospacing="1" w:line="360" w:lineRule="auto"/>
              <w:rPr>
                <w:rFonts w:asciiTheme="majorHAnsi" w:hAnsiTheme="majorHAnsi" w:cstheme="majorHAnsi"/>
                <w:color w:val="000000"/>
                <w:sz w:val="18"/>
                <w:szCs w:val="18"/>
              </w:rPr>
            </w:pPr>
            <w:r w:rsidRPr="003F22BF">
              <w:rPr>
                <w:rFonts w:asciiTheme="majorHAnsi" w:hAnsiTheme="majorHAnsi" w:cstheme="majorHAnsi"/>
                <w:color w:val="000000"/>
                <w:sz w:val="18"/>
                <w:szCs w:val="18"/>
              </w:rPr>
              <w:t>4</w:t>
            </w:r>
          </w:p>
        </w:tc>
        <w:tc>
          <w:tcPr>
            <w:tcW w:w="991" w:type="dxa"/>
            <w:noWrap/>
            <w:hideMark/>
          </w:tcPr>
          <w:p w14:paraId="555773C5" w14:textId="77777777" w:rsidR="008D0CAD" w:rsidRPr="003F22BF" w:rsidRDefault="008D0CAD" w:rsidP="007C1A2E">
            <w:pPr>
              <w:spacing w:before="100" w:beforeAutospacing="1" w:after="100" w:afterAutospacing="1" w:line="360" w:lineRule="auto"/>
              <w:rPr>
                <w:rFonts w:asciiTheme="majorHAnsi" w:hAnsiTheme="majorHAnsi" w:cstheme="majorHAnsi"/>
                <w:color w:val="000000"/>
                <w:sz w:val="18"/>
                <w:szCs w:val="18"/>
              </w:rPr>
            </w:pPr>
            <w:r w:rsidRPr="003F22BF">
              <w:rPr>
                <w:rFonts w:asciiTheme="majorHAnsi" w:hAnsiTheme="majorHAnsi" w:cstheme="majorHAnsi"/>
                <w:color w:val="000000"/>
                <w:sz w:val="18"/>
                <w:szCs w:val="18"/>
              </w:rPr>
              <w:t>4</w:t>
            </w:r>
          </w:p>
        </w:tc>
      </w:tr>
    </w:tbl>
    <w:bookmarkEnd w:id="110"/>
    <w:p w14:paraId="233FAD53" w14:textId="77777777" w:rsidR="008D0CAD" w:rsidRPr="00EC48DA" w:rsidRDefault="008D0CAD" w:rsidP="007C1A2E">
      <w:pPr>
        <w:spacing w:before="100" w:beforeAutospacing="1" w:after="100" w:afterAutospacing="1" w:line="360" w:lineRule="auto"/>
        <w:rPr>
          <w:rFonts w:asciiTheme="majorHAnsi" w:hAnsiTheme="majorHAnsi" w:cstheme="majorHAnsi"/>
          <w:bCs/>
          <w:color w:val="000000"/>
        </w:rPr>
      </w:pPr>
      <w:r w:rsidRPr="00EC48DA">
        <w:rPr>
          <w:rFonts w:asciiTheme="majorHAnsi" w:hAnsiTheme="majorHAnsi" w:cstheme="majorHAnsi"/>
          <w:bCs/>
          <w:color w:val="000000"/>
        </w:rPr>
        <w:t>On Comparing QED ADII and IPA Results on TEACH</w:t>
      </w:r>
      <w:r>
        <w:rPr>
          <w:rFonts w:asciiTheme="majorHAnsi" w:hAnsiTheme="majorHAnsi" w:cstheme="majorHAnsi"/>
          <w:bCs/>
          <w:color w:val="000000"/>
        </w:rPr>
        <w:t>:</w:t>
      </w:r>
    </w:p>
    <w:p w14:paraId="5CE91CEC" w14:textId="6C15F85D" w:rsidR="008D0CAD" w:rsidRPr="00C66FDA" w:rsidRDefault="008D0CAD" w:rsidP="007C1A2E">
      <w:pPr>
        <w:pStyle w:val="ListParagraph"/>
        <w:numPr>
          <w:ilvl w:val="0"/>
          <w:numId w:val="30"/>
        </w:numPr>
        <w:spacing w:before="100" w:beforeAutospacing="1" w:after="100" w:afterAutospacing="1" w:line="360" w:lineRule="auto"/>
        <w:rPr>
          <w:rFonts w:asciiTheme="majorHAnsi" w:hAnsiTheme="majorHAnsi" w:cstheme="majorHAnsi"/>
          <w:color w:val="000000" w:themeColor="text1"/>
        </w:rPr>
      </w:pPr>
      <w:r w:rsidRPr="00C66FDA">
        <w:rPr>
          <w:rFonts w:asciiTheme="majorHAnsi" w:hAnsiTheme="majorHAnsi" w:cstheme="majorHAnsi"/>
          <w:color w:val="000000" w:themeColor="text1"/>
        </w:rPr>
        <w:t xml:space="preserve">The results </w:t>
      </w:r>
      <w:r>
        <w:rPr>
          <w:rFonts w:asciiTheme="majorHAnsi" w:hAnsiTheme="majorHAnsi" w:cstheme="majorHAnsi"/>
          <w:color w:val="000000" w:themeColor="text1"/>
        </w:rPr>
        <w:t xml:space="preserve">of classroom observations using the </w:t>
      </w:r>
      <w:r w:rsidRPr="00C66FDA">
        <w:rPr>
          <w:rFonts w:asciiTheme="majorHAnsi" w:hAnsiTheme="majorHAnsi" w:cstheme="majorHAnsi"/>
          <w:color w:val="000000" w:themeColor="text1"/>
        </w:rPr>
        <w:t xml:space="preserve">TEACH </w:t>
      </w:r>
      <w:r>
        <w:rPr>
          <w:rFonts w:asciiTheme="majorHAnsi" w:hAnsiTheme="majorHAnsi" w:cstheme="majorHAnsi"/>
          <w:color w:val="000000" w:themeColor="text1"/>
        </w:rPr>
        <w:t xml:space="preserve">tool undertaken by </w:t>
      </w:r>
      <w:r w:rsidRPr="00C66FDA">
        <w:rPr>
          <w:rFonts w:asciiTheme="majorHAnsi" w:hAnsiTheme="majorHAnsi" w:cstheme="majorHAnsi"/>
          <w:color w:val="000000" w:themeColor="text1"/>
        </w:rPr>
        <w:t>IPA and QED ADII</w:t>
      </w:r>
      <w:r>
        <w:rPr>
          <w:rFonts w:asciiTheme="majorHAnsi" w:hAnsiTheme="majorHAnsi" w:cstheme="majorHAnsi"/>
          <w:color w:val="000000" w:themeColor="text1"/>
        </w:rPr>
        <w:t xml:space="preserve"> showed</w:t>
      </w:r>
      <w:r w:rsidRPr="00C66FDA">
        <w:rPr>
          <w:rFonts w:asciiTheme="majorHAnsi" w:hAnsiTheme="majorHAnsi" w:cstheme="majorHAnsi"/>
          <w:color w:val="000000" w:themeColor="text1"/>
        </w:rPr>
        <w:t xml:space="preserve"> similar</w:t>
      </w:r>
      <w:r>
        <w:rPr>
          <w:rFonts w:asciiTheme="majorHAnsi" w:hAnsiTheme="majorHAnsi" w:cstheme="majorHAnsi"/>
          <w:color w:val="000000" w:themeColor="text1"/>
        </w:rPr>
        <w:t>ities</w:t>
      </w:r>
      <w:r w:rsidRPr="00C66FDA">
        <w:rPr>
          <w:rFonts w:asciiTheme="majorHAnsi" w:hAnsiTheme="majorHAnsi" w:cstheme="majorHAnsi"/>
          <w:color w:val="000000" w:themeColor="text1"/>
        </w:rPr>
        <w:t xml:space="preserve"> given the </w:t>
      </w:r>
      <w:r>
        <w:rPr>
          <w:rFonts w:asciiTheme="majorHAnsi" w:hAnsiTheme="majorHAnsi" w:cstheme="majorHAnsi"/>
          <w:color w:val="000000" w:themeColor="text1"/>
        </w:rPr>
        <w:t>+</w:t>
      </w:r>
      <w:r w:rsidRPr="00C66FDA">
        <w:rPr>
          <w:rFonts w:asciiTheme="majorHAnsi" w:hAnsiTheme="majorHAnsi" w:cstheme="majorHAnsi"/>
          <w:color w:val="000000" w:themeColor="text1"/>
        </w:rPr>
        <w:t>/</w:t>
      </w:r>
      <w:r>
        <w:rPr>
          <w:rFonts w:asciiTheme="majorHAnsi" w:hAnsiTheme="majorHAnsi" w:cstheme="majorHAnsi"/>
          <w:color w:val="000000" w:themeColor="text1"/>
        </w:rPr>
        <w:t>-</w:t>
      </w:r>
      <w:r w:rsidRPr="00C66FDA">
        <w:rPr>
          <w:rFonts w:asciiTheme="majorHAnsi" w:hAnsiTheme="majorHAnsi" w:cstheme="majorHAnsi"/>
          <w:color w:val="000000" w:themeColor="text1"/>
        </w:rPr>
        <w:t xml:space="preserve"> one-point allowance </w:t>
      </w:r>
      <w:r>
        <w:rPr>
          <w:rFonts w:asciiTheme="majorHAnsi" w:hAnsiTheme="majorHAnsi" w:cstheme="majorHAnsi"/>
          <w:color w:val="000000" w:themeColor="text1"/>
        </w:rPr>
        <w:t xml:space="preserve">provided </w:t>
      </w:r>
      <w:r w:rsidRPr="00C66FDA">
        <w:rPr>
          <w:rFonts w:asciiTheme="majorHAnsi" w:hAnsiTheme="majorHAnsi" w:cstheme="majorHAnsi"/>
          <w:color w:val="000000" w:themeColor="text1"/>
        </w:rPr>
        <w:t>in the TEACH protocol.</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This meant that a</w:t>
      </w:r>
      <w:r w:rsidRPr="00C66FDA">
        <w:rPr>
          <w:rFonts w:asciiTheme="majorHAnsi" w:hAnsiTheme="majorHAnsi" w:cstheme="majorHAnsi"/>
          <w:color w:val="000000" w:themeColor="text1"/>
        </w:rPr>
        <w:t xml:space="preserve">lthough </w:t>
      </w:r>
      <w:r>
        <w:rPr>
          <w:rFonts w:asciiTheme="majorHAnsi" w:hAnsiTheme="majorHAnsi" w:cstheme="majorHAnsi"/>
          <w:color w:val="000000" w:themeColor="text1"/>
        </w:rPr>
        <w:t xml:space="preserve">the </w:t>
      </w:r>
      <w:r w:rsidRPr="00C66FDA">
        <w:rPr>
          <w:rFonts w:asciiTheme="majorHAnsi" w:hAnsiTheme="majorHAnsi" w:cstheme="majorHAnsi"/>
          <w:color w:val="000000" w:themeColor="text1"/>
        </w:rPr>
        <w:t>QED ADII scores were higher</w:t>
      </w:r>
      <w:r>
        <w:rPr>
          <w:rFonts w:asciiTheme="majorHAnsi" w:hAnsiTheme="majorHAnsi" w:cstheme="majorHAnsi"/>
          <w:color w:val="000000" w:themeColor="text1"/>
        </w:rPr>
        <w:t xml:space="preserve"> than the IPA scores</w:t>
      </w:r>
      <w:r w:rsidRPr="00C66FDA">
        <w:rPr>
          <w:rFonts w:asciiTheme="majorHAnsi" w:hAnsiTheme="majorHAnsi" w:cstheme="majorHAnsi"/>
          <w:color w:val="000000" w:themeColor="text1"/>
        </w:rPr>
        <w:t xml:space="preserve">, the </w:t>
      </w:r>
      <w:r>
        <w:rPr>
          <w:rFonts w:asciiTheme="majorHAnsi" w:hAnsiTheme="majorHAnsi" w:cstheme="majorHAnsi"/>
          <w:color w:val="000000" w:themeColor="text1"/>
        </w:rPr>
        <w:t xml:space="preserve">difference in </w:t>
      </w:r>
      <w:r w:rsidRPr="00C66FDA">
        <w:rPr>
          <w:rFonts w:asciiTheme="majorHAnsi" w:hAnsiTheme="majorHAnsi" w:cstheme="majorHAnsi"/>
          <w:color w:val="000000" w:themeColor="text1"/>
        </w:rPr>
        <w:t>scores were within the one</w:t>
      </w:r>
      <w:r>
        <w:rPr>
          <w:rFonts w:asciiTheme="majorHAnsi" w:hAnsiTheme="majorHAnsi" w:cstheme="majorHAnsi"/>
          <w:color w:val="000000" w:themeColor="text1"/>
        </w:rPr>
        <w:t>-</w:t>
      </w:r>
      <w:r w:rsidRPr="00C66FDA">
        <w:rPr>
          <w:rFonts w:asciiTheme="majorHAnsi" w:hAnsiTheme="majorHAnsi" w:cstheme="majorHAnsi"/>
          <w:color w:val="000000" w:themeColor="text1"/>
        </w:rPr>
        <w:t>point allowance.</w:t>
      </w:r>
      <w:r w:rsidR="00D434EB">
        <w:rPr>
          <w:rFonts w:asciiTheme="majorHAnsi" w:hAnsiTheme="majorHAnsi" w:cstheme="majorHAnsi"/>
          <w:color w:val="000000" w:themeColor="text1"/>
        </w:rPr>
        <w:t xml:space="preserve"> </w:t>
      </w:r>
    </w:p>
    <w:p w14:paraId="7607666B" w14:textId="21E60A76" w:rsidR="008D0CAD" w:rsidRPr="00C66FDA" w:rsidRDefault="008D0CAD" w:rsidP="007C1A2E">
      <w:pPr>
        <w:pStyle w:val="ListParagraph"/>
        <w:numPr>
          <w:ilvl w:val="0"/>
          <w:numId w:val="30"/>
        </w:num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color w:val="000000" w:themeColor="text1"/>
        </w:rPr>
        <w:t xml:space="preserve">Moreover, </w:t>
      </w:r>
      <w:r w:rsidRPr="00C66FDA">
        <w:rPr>
          <w:rFonts w:asciiTheme="majorHAnsi" w:hAnsiTheme="majorHAnsi" w:cstheme="majorHAnsi"/>
          <w:color w:val="000000" w:themeColor="text1"/>
        </w:rPr>
        <w:t xml:space="preserve">QED ADII scores were higher than IPA scores for BEST </w:t>
      </w:r>
      <w:r>
        <w:rPr>
          <w:rFonts w:asciiTheme="majorHAnsi" w:hAnsiTheme="majorHAnsi" w:cstheme="majorHAnsi"/>
          <w:color w:val="000000" w:themeColor="text1"/>
        </w:rPr>
        <w:t xml:space="preserve">supported </w:t>
      </w:r>
      <w:r w:rsidRPr="00C66FDA">
        <w:rPr>
          <w:rFonts w:asciiTheme="majorHAnsi" w:hAnsiTheme="majorHAnsi" w:cstheme="majorHAnsi"/>
          <w:color w:val="000000" w:themeColor="text1"/>
        </w:rPr>
        <w:t>schools for the global scores and the three areas under TEACH.</w:t>
      </w:r>
      <w:r w:rsidR="00D434EB">
        <w:rPr>
          <w:rFonts w:asciiTheme="majorHAnsi" w:hAnsiTheme="majorHAnsi" w:cstheme="majorHAnsi"/>
          <w:color w:val="000000" w:themeColor="text1"/>
        </w:rPr>
        <w:t xml:space="preserve"> </w:t>
      </w:r>
      <w:r w:rsidRPr="00C66FDA">
        <w:rPr>
          <w:rFonts w:asciiTheme="majorHAnsi" w:hAnsiTheme="majorHAnsi" w:cstheme="majorHAnsi"/>
          <w:color w:val="000000" w:themeColor="text1"/>
        </w:rPr>
        <w:t xml:space="preserve">However, the scoring trend for </w:t>
      </w:r>
      <w:r>
        <w:rPr>
          <w:rFonts w:asciiTheme="majorHAnsi" w:hAnsiTheme="majorHAnsi" w:cstheme="majorHAnsi"/>
          <w:color w:val="000000" w:themeColor="text1"/>
        </w:rPr>
        <w:t xml:space="preserve">both </w:t>
      </w:r>
      <w:r w:rsidRPr="00C66FDA">
        <w:rPr>
          <w:rFonts w:asciiTheme="majorHAnsi" w:hAnsiTheme="majorHAnsi" w:cstheme="majorHAnsi"/>
          <w:color w:val="000000" w:themeColor="text1"/>
        </w:rPr>
        <w:t xml:space="preserve">QED ADII and IPA </w:t>
      </w:r>
      <w:r>
        <w:rPr>
          <w:rFonts w:asciiTheme="majorHAnsi" w:hAnsiTheme="majorHAnsi" w:cstheme="majorHAnsi"/>
          <w:color w:val="000000" w:themeColor="text1"/>
        </w:rPr>
        <w:t>followed the same pattern</w:t>
      </w:r>
      <w:r w:rsidRPr="00C66FDA">
        <w:rPr>
          <w:rFonts w:asciiTheme="majorHAnsi" w:hAnsiTheme="majorHAnsi" w:cstheme="majorHAnsi"/>
          <w:color w:val="000000" w:themeColor="text1"/>
        </w:rPr>
        <w:t>.</w:t>
      </w:r>
    </w:p>
    <w:p w14:paraId="14F10B2A" w14:textId="77777777" w:rsidR="008D0CAD" w:rsidRPr="00C66FDA" w:rsidRDefault="008D0CAD" w:rsidP="007C1A2E">
      <w:pPr>
        <w:pStyle w:val="ListParagraph"/>
        <w:numPr>
          <w:ilvl w:val="0"/>
          <w:numId w:val="30"/>
        </w:numPr>
        <w:spacing w:before="100" w:beforeAutospacing="1" w:after="100" w:afterAutospacing="1" w:line="360" w:lineRule="auto"/>
        <w:rPr>
          <w:rFonts w:asciiTheme="majorHAnsi" w:hAnsiTheme="majorHAnsi" w:cstheme="majorHAnsi"/>
          <w:color w:val="000000" w:themeColor="text1"/>
        </w:rPr>
      </w:pPr>
      <w:r w:rsidRPr="00C66FDA">
        <w:rPr>
          <w:rFonts w:asciiTheme="majorHAnsi" w:hAnsiTheme="majorHAnsi" w:cstheme="majorHAnsi"/>
          <w:color w:val="000000" w:themeColor="text1"/>
        </w:rPr>
        <w:t>The scores per TEACH area also reflected the same scoring trend although scores of QED ADII were higher.</w:t>
      </w:r>
    </w:p>
    <w:p w14:paraId="7E45FA22" w14:textId="112C2251" w:rsidR="008D0CAD" w:rsidRDefault="008D0CAD" w:rsidP="007C1A2E">
      <w:pPr>
        <w:pStyle w:val="ListParagraph"/>
        <w:numPr>
          <w:ilvl w:val="0"/>
          <w:numId w:val="30"/>
        </w:numPr>
        <w:spacing w:before="100" w:beforeAutospacing="1" w:after="100" w:afterAutospacing="1" w:line="360" w:lineRule="auto"/>
        <w:rPr>
          <w:rFonts w:asciiTheme="majorHAnsi" w:hAnsiTheme="majorHAnsi" w:cstheme="majorHAnsi"/>
          <w:color w:val="000000" w:themeColor="text1"/>
        </w:rPr>
      </w:pPr>
      <w:r w:rsidRPr="00C66FDA">
        <w:rPr>
          <w:rFonts w:asciiTheme="majorHAnsi" w:hAnsiTheme="majorHAnsi" w:cstheme="majorHAnsi"/>
          <w:color w:val="000000" w:themeColor="text1"/>
        </w:rPr>
        <w:t>The variances between the scores of both research organi</w:t>
      </w:r>
      <w:r>
        <w:rPr>
          <w:rFonts w:asciiTheme="majorHAnsi" w:hAnsiTheme="majorHAnsi" w:cstheme="majorHAnsi"/>
          <w:color w:val="000000" w:themeColor="text1"/>
        </w:rPr>
        <w:t>s</w:t>
      </w:r>
      <w:r w:rsidRPr="00C66FDA">
        <w:rPr>
          <w:rFonts w:asciiTheme="majorHAnsi" w:hAnsiTheme="majorHAnsi" w:cstheme="majorHAnsi"/>
          <w:color w:val="000000" w:themeColor="text1"/>
        </w:rPr>
        <w:t>ation in the nine elements were less than one point.</w:t>
      </w:r>
      <w:r w:rsidR="00D434EB">
        <w:rPr>
          <w:rFonts w:asciiTheme="majorHAnsi" w:hAnsiTheme="majorHAnsi" w:cstheme="majorHAnsi"/>
          <w:color w:val="000000" w:themeColor="text1"/>
        </w:rPr>
        <w:t xml:space="preserve"> </w:t>
      </w:r>
      <w:r w:rsidRPr="00C66FDA">
        <w:rPr>
          <w:rFonts w:asciiTheme="majorHAnsi" w:hAnsiTheme="majorHAnsi" w:cstheme="majorHAnsi"/>
          <w:color w:val="000000" w:themeColor="text1"/>
        </w:rPr>
        <w:t xml:space="preserve">Given the TEACH protocol of </w:t>
      </w:r>
      <w:r>
        <w:rPr>
          <w:rFonts w:asciiTheme="majorHAnsi" w:hAnsiTheme="majorHAnsi" w:cstheme="majorHAnsi"/>
          <w:color w:val="000000" w:themeColor="text1"/>
        </w:rPr>
        <w:t>+</w:t>
      </w:r>
      <w:r w:rsidRPr="00C66FDA">
        <w:rPr>
          <w:rFonts w:asciiTheme="majorHAnsi" w:hAnsiTheme="majorHAnsi" w:cstheme="majorHAnsi"/>
          <w:color w:val="000000" w:themeColor="text1"/>
        </w:rPr>
        <w:t>/</w:t>
      </w:r>
      <w:r>
        <w:rPr>
          <w:rFonts w:asciiTheme="majorHAnsi" w:hAnsiTheme="majorHAnsi" w:cstheme="majorHAnsi"/>
          <w:color w:val="000000" w:themeColor="text1"/>
        </w:rPr>
        <w:t>-</w:t>
      </w:r>
      <w:r w:rsidRPr="00C66FDA">
        <w:rPr>
          <w:rFonts w:asciiTheme="majorHAnsi" w:hAnsiTheme="majorHAnsi" w:cstheme="majorHAnsi"/>
          <w:color w:val="000000" w:themeColor="text1"/>
        </w:rPr>
        <w:t xml:space="preserve"> one-point allowance, the variances were </w:t>
      </w:r>
      <w:r>
        <w:rPr>
          <w:rFonts w:asciiTheme="majorHAnsi" w:hAnsiTheme="majorHAnsi" w:cstheme="majorHAnsi"/>
          <w:color w:val="000000" w:themeColor="text1"/>
        </w:rPr>
        <w:t xml:space="preserve">within </w:t>
      </w:r>
      <w:r w:rsidRPr="00C66FDA">
        <w:rPr>
          <w:rFonts w:asciiTheme="majorHAnsi" w:hAnsiTheme="majorHAnsi" w:cstheme="majorHAnsi"/>
          <w:color w:val="000000" w:themeColor="text1"/>
        </w:rPr>
        <w:t>acceptable</w:t>
      </w:r>
      <w:r>
        <w:rPr>
          <w:rFonts w:asciiTheme="majorHAnsi" w:hAnsiTheme="majorHAnsi" w:cstheme="majorHAnsi"/>
          <w:color w:val="000000" w:themeColor="text1"/>
        </w:rPr>
        <w:t xml:space="preserve"> standards.</w:t>
      </w:r>
    </w:p>
    <w:p w14:paraId="752CB6E1" w14:textId="77777777" w:rsidR="008D0CAD" w:rsidRPr="00EC48DA" w:rsidRDefault="008D0CAD" w:rsidP="007C1A2E">
      <w:pPr>
        <w:pStyle w:val="ListParagraph"/>
        <w:spacing w:before="100" w:beforeAutospacing="1" w:after="100" w:afterAutospacing="1" w:line="360" w:lineRule="auto"/>
        <w:ind w:left="0"/>
        <w:contextualSpacing w:val="0"/>
        <w:rPr>
          <w:rFonts w:asciiTheme="majorHAnsi" w:hAnsiTheme="majorHAnsi" w:cstheme="majorHAnsi"/>
          <w:bCs/>
          <w:color w:val="000000" w:themeColor="text1"/>
        </w:rPr>
      </w:pPr>
      <w:r w:rsidRPr="00EC48DA">
        <w:rPr>
          <w:rFonts w:asciiTheme="majorHAnsi" w:hAnsiTheme="majorHAnsi" w:cstheme="majorHAnsi"/>
          <w:bCs/>
          <w:color w:val="000000" w:themeColor="text1"/>
        </w:rPr>
        <w:t xml:space="preserve">On </w:t>
      </w:r>
      <w:r w:rsidRPr="00EC48DA">
        <w:rPr>
          <w:rFonts w:asciiTheme="majorHAnsi" w:hAnsiTheme="majorHAnsi" w:cstheme="majorHAnsi"/>
          <w:bCs/>
          <w:color w:val="000000"/>
        </w:rPr>
        <w:t xml:space="preserve">Comparing </w:t>
      </w:r>
      <w:r w:rsidRPr="00EC48DA">
        <w:rPr>
          <w:rFonts w:asciiTheme="majorHAnsi" w:hAnsiTheme="majorHAnsi" w:cstheme="majorHAnsi"/>
          <w:bCs/>
          <w:color w:val="000000" w:themeColor="text1"/>
        </w:rPr>
        <w:t xml:space="preserve">Results </w:t>
      </w:r>
      <w:r>
        <w:rPr>
          <w:rFonts w:asciiTheme="majorHAnsi" w:hAnsiTheme="majorHAnsi" w:cstheme="majorHAnsi"/>
          <w:bCs/>
          <w:color w:val="000000" w:themeColor="text1"/>
        </w:rPr>
        <w:t xml:space="preserve">of </w:t>
      </w:r>
      <w:r w:rsidRPr="00EC48DA">
        <w:rPr>
          <w:rFonts w:asciiTheme="majorHAnsi" w:hAnsiTheme="majorHAnsi" w:cstheme="majorHAnsi"/>
          <w:bCs/>
          <w:color w:val="000000" w:themeColor="text1"/>
        </w:rPr>
        <w:t>Ratings</w:t>
      </w:r>
      <w:r>
        <w:rPr>
          <w:rFonts w:asciiTheme="majorHAnsi" w:hAnsiTheme="majorHAnsi" w:cstheme="majorHAnsi"/>
          <w:bCs/>
          <w:color w:val="000000" w:themeColor="text1"/>
        </w:rPr>
        <w:t xml:space="preserve"> of Classroom Observations using </w:t>
      </w:r>
      <w:r w:rsidRPr="00EC48DA">
        <w:rPr>
          <w:rFonts w:asciiTheme="majorHAnsi" w:hAnsiTheme="majorHAnsi" w:cstheme="majorHAnsi"/>
          <w:bCs/>
          <w:color w:val="000000" w:themeColor="text1"/>
        </w:rPr>
        <w:t xml:space="preserve">the COT </w:t>
      </w:r>
      <w:r>
        <w:rPr>
          <w:rFonts w:asciiTheme="majorHAnsi" w:hAnsiTheme="majorHAnsi" w:cstheme="majorHAnsi"/>
          <w:bCs/>
          <w:color w:val="000000" w:themeColor="text1"/>
        </w:rPr>
        <w:t xml:space="preserve">and </w:t>
      </w:r>
      <w:r w:rsidRPr="00EC48DA">
        <w:rPr>
          <w:rFonts w:asciiTheme="majorHAnsi" w:hAnsiTheme="majorHAnsi" w:cstheme="majorHAnsi"/>
          <w:bCs/>
          <w:color w:val="000000" w:themeColor="text1"/>
        </w:rPr>
        <w:t xml:space="preserve">TEACH </w:t>
      </w:r>
      <w:r>
        <w:rPr>
          <w:rFonts w:asciiTheme="majorHAnsi" w:hAnsiTheme="majorHAnsi" w:cstheme="majorHAnsi"/>
          <w:bCs/>
          <w:color w:val="000000" w:themeColor="text1"/>
        </w:rPr>
        <w:t>tool</w:t>
      </w:r>
      <w:r>
        <w:rPr>
          <w:rStyle w:val="FootnoteReference"/>
          <w:rFonts w:asciiTheme="majorHAnsi" w:eastAsia="Arial Unicode MS" w:hAnsiTheme="majorHAnsi" w:cstheme="majorHAnsi"/>
          <w:bCs/>
          <w:color w:val="000000" w:themeColor="text1"/>
        </w:rPr>
        <w:footnoteReference w:id="38"/>
      </w:r>
      <w:r w:rsidRPr="00EC48DA">
        <w:rPr>
          <w:rFonts w:asciiTheme="majorHAnsi" w:hAnsiTheme="majorHAnsi" w:cstheme="majorHAnsi"/>
          <w:bCs/>
          <w:color w:val="000000" w:themeColor="text1"/>
        </w:rPr>
        <w:t xml:space="preserve"> (Priority 1)</w:t>
      </w:r>
    </w:p>
    <w:p w14:paraId="4F70C648" w14:textId="77777777" w:rsidR="008D0CAD" w:rsidRDefault="008D0CAD" w:rsidP="007C1A2E">
      <w:pPr>
        <w:pStyle w:val="ListParagraph"/>
        <w:numPr>
          <w:ilvl w:val="0"/>
          <w:numId w:val="31"/>
        </w:numPr>
        <w:spacing w:before="100" w:beforeAutospacing="1" w:after="100" w:afterAutospacing="1" w:line="360" w:lineRule="auto"/>
        <w:rPr>
          <w:rFonts w:asciiTheme="majorHAnsi" w:hAnsiTheme="majorHAnsi" w:cstheme="majorHAnsi"/>
          <w:color w:val="000000" w:themeColor="text1"/>
        </w:rPr>
      </w:pPr>
      <w:r w:rsidRPr="00C66FDA">
        <w:rPr>
          <w:rFonts w:asciiTheme="majorHAnsi" w:hAnsiTheme="majorHAnsi" w:cstheme="majorHAnsi"/>
          <w:color w:val="000000" w:themeColor="text1"/>
        </w:rPr>
        <w:t xml:space="preserve">Based on the data </w:t>
      </w:r>
      <w:r>
        <w:rPr>
          <w:rFonts w:asciiTheme="majorHAnsi" w:hAnsiTheme="majorHAnsi" w:cstheme="majorHAnsi"/>
          <w:color w:val="000000" w:themeColor="text1"/>
        </w:rPr>
        <w:t>from</w:t>
      </w:r>
      <w:r w:rsidRPr="00C66FDA">
        <w:rPr>
          <w:rFonts w:asciiTheme="majorHAnsi" w:hAnsiTheme="majorHAnsi" w:cstheme="majorHAnsi"/>
          <w:color w:val="000000" w:themeColor="text1"/>
        </w:rPr>
        <w:t xml:space="preserve"> seven </w:t>
      </w:r>
      <w:r>
        <w:rPr>
          <w:rFonts w:asciiTheme="majorHAnsi" w:hAnsiTheme="majorHAnsi" w:cstheme="majorHAnsi"/>
          <w:color w:val="000000" w:themeColor="text1"/>
        </w:rPr>
        <w:t>classroom observations</w:t>
      </w:r>
      <w:r w:rsidRPr="00C66FDA">
        <w:rPr>
          <w:rFonts w:asciiTheme="majorHAnsi" w:hAnsiTheme="majorHAnsi" w:cstheme="majorHAnsi"/>
          <w:color w:val="000000" w:themeColor="text1"/>
        </w:rPr>
        <w:t xml:space="preserve">, six out of the nine KRAs corresponded to the scores of the respective TEACH elements. </w:t>
      </w:r>
    </w:p>
    <w:p w14:paraId="34738B67" w14:textId="77777777" w:rsidR="008D0CAD" w:rsidRDefault="008D0CAD" w:rsidP="007C1A2E">
      <w:pPr>
        <w:pStyle w:val="ListParagraph"/>
        <w:numPr>
          <w:ilvl w:val="0"/>
          <w:numId w:val="31"/>
        </w:numPr>
        <w:spacing w:before="100" w:beforeAutospacing="1" w:after="100" w:afterAutospacing="1" w:line="360" w:lineRule="auto"/>
        <w:rPr>
          <w:rFonts w:asciiTheme="majorHAnsi" w:hAnsiTheme="majorHAnsi" w:cstheme="majorHAnsi"/>
          <w:color w:val="000000" w:themeColor="text1"/>
        </w:rPr>
      </w:pPr>
      <w:r w:rsidRPr="00C66FDA">
        <w:rPr>
          <w:rFonts w:asciiTheme="majorHAnsi" w:hAnsiTheme="majorHAnsi" w:cstheme="majorHAnsi"/>
          <w:color w:val="000000" w:themeColor="text1"/>
        </w:rPr>
        <w:t xml:space="preserve">Disparity of scores </w:t>
      </w:r>
      <w:r>
        <w:rPr>
          <w:rFonts w:asciiTheme="majorHAnsi" w:hAnsiTheme="majorHAnsi" w:cstheme="majorHAnsi"/>
          <w:color w:val="000000" w:themeColor="text1"/>
        </w:rPr>
        <w:t>between COT and TEACH Tool were</w:t>
      </w:r>
      <w:r w:rsidRPr="00C66FDA">
        <w:rPr>
          <w:rFonts w:asciiTheme="majorHAnsi" w:hAnsiTheme="majorHAnsi" w:cstheme="majorHAnsi"/>
          <w:color w:val="000000" w:themeColor="text1"/>
        </w:rPr>
        <w:t xml:space="preserve"> evident for KRA 5 </w:t>
      </w:r>
      <w:r>
        <w:rPr>
          <w:rFonts w:asciiTheme="majorHAnsi" w:hAnsiTheme="majorHAnsi" w:cstheme="majorHAnsi"/>
          <w:color w:val="000000" w:themeColor="text1"/>
        </w:rPr>
        <w:t>on</w:t>
      </w:r>
      <w:r w:rsidRPr="00C66FDA">
        <w:rPr>
          <w:rFonts w:asciiTheme="majorHAnsi" w:hAnsiTheme="majorHAnsi" w:cstheme="majorHAnsi"/>
          <w:color w:val="000000" w:themeColor="text1"/>
        </w:rPr>
        <w:t xml:space="preserve"> Critical Thinking and KRA 9 </w:t>
      </w:r>
      <w:r>
        <w:rPr>
          <w:rFonts w:asciiTheme="majorHAnsi" w:hAnsiTheme="majorHAnsi" w:cstheme="majorHAnsi"/>
          <w:color w:val="000000" w:themeColor="text1"/>
        </w:rPr>
        <w:t>on</w:t>
      </w:r>
      <w:r w:rsidRPr="00C66FDA">
        <w:rPr>
          <w:rFonts w:asciiTheme="majorHAnsi" w:hAnsiTheme="majorHAnsi" w:cstheme="majorHAnsi"/>
          <w:color w:val="000000" w:themeColor="text1"/>
        </w:rPr>
        <w:t xml:space="preserve"> Checks for Understanding. This disparity may be due to the general description of the KRAs that can be subsumed in the specific behaviors under the TEACH elements</w:t>
      </w:r>
      <w:r>
        <w:rPr>
          <w:rFonts w:asciiTheme="majorHAnsi" w:hAnsiTheme="majorHAnsi" w:cstheme="majorHAnsi"/>
          <w:color w:val="000000" w:themeColor="text1"/>
        </w:rPr>
        <w:t xml:space="preserve"> or to the Raters’ difficulty in measuring these two KRAs.</w:t>
      </w:r>
    </w:p>
    <w:p w14:paraId="4FB7C0B0" w14:textId="652D41E9" w:rsidR="008D0CAD" w:rsidRPr="00D42E6D" w:rsidRDefault="008D0CAD" w:rsidP="007C1A2E">
      <w:pPr>
        <w:pStyle w:val="ListParagraph"/>
        <w:numPr>
          <w:ilvl w:val="0"/>
          <w:numId w:val="31"/>
        </w:numPr>
        <w:spacing w:before="100" w:beforeAutospacing="1" w:after="100" w:afterAutospacing="1" w:line="360" w:lineRule="auto"/>
        <w:rPr>
          <w:rFonts w:asciiTheme="majorHAnsi" w:hAnsiTheme="majorHAnsi" w:cstheme="majorHAnsi"/>
          <w:color w:val="000000"/>
        </w:rPr>
      </w:pPr>
      <w:r>
        <w:rPr>
          <w:rFonts w:asciiTheme="majorHAnsi" w:hAnsiTheme="majorHAnsi" w:cstheme="majorHAnsi"/>
          <w:color w:val="000000"/>
        </w:rPr>
        <w:t>Eight</w:t>
      </w:r>
      <w:r w:rsidRPr="00D42E6D">
        <w:rPr>
          <w:rFonts w:asciiTheme="majorHAnsi" w:hAnsiTheme="majorHAnsi" w:cstheme="majorHAnsi"/>
          <w:color w:val="000000"/>
        </w:rPr>
        <w:t xml:space="preserve"> COT KRAs </w:t>
      </w:r>
      <w:r>
        <w:rPr>
          <w:rFonts w:asciiTheme="majorHAnsi" w:hAnsiTheme="majorHAnsi" w:cstheme="majorHAnsi"/>
          <w:color w:val="000000"/>
        </w:rPr>
        <w:t>we</w:t>
      </w:r>
      <w:r w:rsidRPr="00D42E6D">
        <w:rPr>
          <w:rFonts w:asciiTheme="majorHAnsi" w:hAnsiTheme="majorHAnsi" w:cstheme="majorHAnsi"/>
          <w:color w:val="000000"/>
        </w:rPr>
        <w:t>re represented in TEACH</w:t>
      </w:r>
      <w:r>
        <w:rPr>
          <w:rFonts w:asciiTheme="majorHAnsi" w:hAnsiTheme="majorHAnsi" w:cstheme="majorHAnsi"/>
          <w:color w:val="000000"/>
        </w:rPr>
        <w:t xml:space="preserve"> with the exception of KRA 1</w:t>
      </w:r>
      <w:r w:rsidRPr="00D42E6D">
        <w:rPr>
          <w:rFonts w:asciiTheme="majorHAnsi" w:hAnsiTheme="majorHAnsi" w:cstheme="majorHAnsi"/>
          <w:color w:val="000000"/>
        </w:rPr>
        <w:t xml:space="preserve">. </w:t>
      </w:r>
      <w:r>
        <w:rPr>
          <w:rFonts w:asciiTheme="majorHAnsi" w:hAnsiTheme="majorHAnsi" w:cstheme="majorHAnsi"/>
          <w:color w:val="000000"/>
        </w:rPr>
        <w:t>Comparing</w:t>
      </w:r>
      <w:r w:rsidRPr="00D42E6D">
        <w:rPr>
          <w:rFonts w:asciiTheme="majorHAnsi" w:hAnsiTheme="majorHAnsi" w:cstheme="majorHAnsi"/>
          <w:color w:val="000000"/>
        </w:rPr>
        <w:t xml:space="preserve"> the description</w:t>
      </w:r>
      <w:r>
        <w:rPr>
          <w:rFonts w:asciiTheme="majorHAnsi" w:hAnsiTheme="majorHAnsi" w:cstheme="majorHAnsi"/>
          <w:color w:val="000000"/>
        </w:rPr>
        <w:t>s</w:t>
      </w:r>
      <w:r w:rsidRPr="00D42E6D">
        <w:rPr>
          <w:rFonts w:asciiTheme="majorHAnsi" w:hAnsiTheme="majorHAnsi" w:cstheme="majorHAnsi"/>
          <w:color w:val="000000"/>
        </w:rPr>
        <w:t xml:space="preserve"> of the KRAs in </w:t>
      </w:r>
      <w:r>
        <w:rPr>
          <w:rFonts w:asciiTheme="majorHAnsi" w:hAnsiTheme="majorHAnsi" w:cstheme="majorHAnsi"/>
          <w:color w:val="000000"/>
        </w:rPr>
        <w:t>with that of</w:t>
      </w:r>
      <w:r w:rsidRPr="00D42E6D">
        <w:rPr>
          <w:rFonts w:asciiTheme="majorHAnsi" w:hAnsiTheme="majorHAnsi" w:cstheme="majorHAnsi"/>
          <w:color w:val="000000"/>
        </w:rPr>
        <w:t xml:space="preserve"> the TEACH Tool, behaviors described in KRAs 4, 7, 8, and 9 </w:t>
      </w:r>
      <w:r>
        <w:rPr>
          <w:rFonts w:asciiTheme="majorHAnsi" w:hAnsiTheme="majorHAnsi" w:cstheme="majorHAnsi"/>
          <w:color w:val="000000"/>
        </w:rPr>
        <w:t>were</w:t>
      </w:r>
      <w:r w:rsidRPr="00D42E6D">
        <w:rPr>
          <w:rFonts w:asciiTheme="majorHAnsi" w:hAnsiTheme="majorHAnsi" w:cstheme="majorHAnsi"/>
          <w:color w:val="000000"/>
        </w:rPr>
        <w:t xml:space="preserve"> under the element Learning Facilitation (LF).</w:t>
      </w:r>
      <w:r w:rsidR="00D434EB">
        <w:rPr>
          <w:rFonts w:asciiTheme="majorHAnsi" w:hAnsiTheme="majorHAnsi" w:cstheme="majorHAnsi"/>
          <w:color w:val="000000"/>
        </w:rPr>
        <w:t xml:space="preserve"> </w:t>
      </w:r>
      <w:r w:rsidRPr="00D42E6D">
        <w:rPr>
          <w:rFonts w:asciiTheme="majorHAnsi" w:hAnsiTheme="majorHAnsi" w:cstheme="majorHAnsi"/>
          <w:color w:val="000000"/>
        </w:rPr>
        <w:t xml:space="preserve">The criteria in KRA 9 can be observed in two TEACH elements – Learning Facilitation and Checks for Understanding. </w:t>
      </w:r>
    </w:p>
    <w:p w14:paraId="57680AB6" w14:textId="77777777" w:rsidR="008D0CAD" w:rsidRDefault="008D0CAD" w:rsidP="007C1A2E">
      <w:pPr>
        <w:pStyle w:val="ListParagraph"/>
        <w:numPr>
          <w:ilvl w:val="0"/>
          <w:numId w:val="31"/>
        </w:numPr>
        <w:spacing w:before="100" w:beforeAutospacing="1" w:after="100" w:afterAutospacing="1" w:line="360" w:lineRule="auto"/>
        <w:rPr>
          <w:rFonts w:asciiTheme="majorHAnsi" w:hAnsiTheme="majorHAnsi" w:cstheme="majorHAnsi"/>
          <w:color w:val="000000"/>
        </w:rPr>
      </w:pPr>
      <w:r w:rsidRPr="00D42E6D">
        <w:rPr>
          <w:rFonts w:asciiTheme="majorHAnsi" w:hAnsiTheme="majorHAnsi" w:cstheme="majorHAnsi"/>
          <w:color w:val="000000"/>
        </w:rPr>
        <w:t xml:space="preserve">There </w:t>
      </w:r>
      <w:r w:rsidRPr="006F014C">
        <w:rPr>
          <w:rFonts w:asciiTheme="majorHAnsi" w:hAnsiTheme="majorHAnsi" w:cstheme="majorHAnsi"/>
          <w:color w:val="000000"/>
        </w:rPr>
        <w:t xml:space="preserve">were three elements in TEACH that were not specifically described in any of the COT KRAs. These were: Autonomy (Au); Feedback (FB); Perseverance (Pe); and Social and Collaborative Skills (SCS), which were under instruction and socio-emotional skills, respectively. </w:t>
      </w:r>
    </w:p>
    <w:p w14:paraId="4D6FBBBD" w14:textId="1446623C" w:rsidR="008D0CAD" w:rsidRPr="006F014C" w:rsidRDefault="008D0CAD" w:rsidP="007C1A2E">
      <w:pPr>
        <w:pStyle w:val="ListParagraph"/>
        <w:numPr>
          <w:ilvl w:val="0"/>
          <w:numId w:val="31"/>
        </w:numPr>
        <w:spacing w:before="100" w:beforeAutospacing="1" w:after="100" w:afterAutospacing="1" w:line="360" w:lineRule="auto"/>
        <w:rPr>
          <w:rFonts w:asciiTheme="majorHAnsi" w:hAnsiTheme="majorHAnsi" w:cstheme="majorHAnsi"/>
          <w:color w:val="000000"/>
        </w:rPr>
      </w:pPr>
      <w:r w:rsidRPr="00D42E6D">
        <w:rPr>
          <w:rFonts w:asciiTheme="majorHAnsi" w:hAnsiTheme="majorHAnsi" w:cstheme="majorHAnsi"/>
          <w:color w:val="000000" w:themeColor="text1"/>
        </w:rPr>
        <w:t>Given the very small sampling size</w:t>
      </w:r>
      <w:r>
        <w:rPr>
          <w:rFonts w:asciiTheme="majorHAnsi" w:hAnsiTheme="majorHAnsi" w:cstheme="majorHAnsi"/>
          <w:color w:val="000000" w:themeColor="text1"/>
        </w:rPr>
        <w:t xml:space="preserve"> of the simultaneous observations</w:t>
      </w:r>
      <w:r w:rsidRPr="00D42E6D">
        <w:rPr>
          <w:rFonts w:asciiTheme="majorHAnsi" w:hAnsiTheme="majorHAnsi" w:cstheme="majorHAnsi"/>
          <w:color w:val="000000" w:themeColor="text1"/>
        </w:rPr>
        <w:t>, these results cannot be generali</w:t>
      </w:r>
      <w:r>
        <w:rPr>
          <w:rFonts w:asciiTheme="majorHAnsi" w:hAnsiTheme="majorHAnsi" w:cstheme="majorHAnsi"/>
          <w:color w:val="000000" w:themeColor="text1"/>
        </w:rPr>
        <w:t>s</w:t>
      </w:r>
      <w:r w:rsidRPr="00D42E6D">
        <w:rPr>
          <w:rFonts w:asciiTheme="majorHAnsi" w:hAnsiTheme="majorHAnsi" w:cstheme="majorHAnsi"/>
          <w:color w:val="000000" w:themeColor="text1"/>
        </w:rPr>
        <w:t>ed</w:t>
      </w:r>
      <w:r>
        <w:rPr>
          <w:rFonts w:asciiTheme="majorHAnsi" w:hAnsiTheme="majorHAnsi" w:cstheme="majorHAnsi"/>
          <w:color w:val="000000" w:themeColor="text1"/>
        </w:rPr>
        <w:t xml:space="preserve"> to all the BEST supported schools</w:t>
      </w:r>
      <w:r w:rsidRPr="00D42E6D">
        <w:rPr>
          <w:rFonts w:asciiTheme="majorHAnsi" w:hAnsiTheme="majorHAnsi" w:cstheme="majorHAnsi"/>
          <w:color w:val="000000" w:themeColor="text1"/>
        </w:rPr>
        <w:t xml:space="preserve">. It is </w:t>
      </w:r>
      <w:r>
        <w:rPr>
          <w:rFonts w:asciiTheme="majorHAnsi" w:hAnsiTheme="majorHAnsi" w:cstheme="majorHAnsi"/>
          <w:color w:val="000000" w:themeColor="text1"/>
        </w:rPr>
        <w:t xml:space="preserve">highly </w:t>
      </w:r>
      <w:r w:rsidRPr="00D42E6D">
        <w:rPr>
          <w:rFonts w:asciiTheme="majorHAnsi" w:hAnsiTheme="majorHAnsi" w:cstheme="majorHAnsi"/>
          <w:color w:val="000000" w:themeColor="text1"/>
        </w:rPr>
        <w:t>recommended that a wider study be conducted</w:t>
      </w:r>
      <w:r>
        <w:rPr>
          <w:rFonts w:asciiTheme="majorHAnsi" w:hAnsiTheme="majorHAnsi" w:cstheme="majorHAnsi"/>
          <w:color w:val="000000" w:themeColor="text1"/>
        </w:rPr>
        <w:t xml:space="preserve"> similar to one undertaken by IPA</w:t>
      </w:r>
      <w:r w:rsidRPr="00D42E6D">
        <w:rPr>
          <w:rFonts w:asciiTheme="majorHAnsi" w:hAnsiTheme="majorHAnsi" w:cstheme="majorHAnsi"/>
          <w:color w:val="000000" w:themeColor="text1"/>
        </w:rPr>
        <w:t>. The comparison should also be done using the KRA objectives versus the specific behaviors per TEACH element to capture a better fit of the different parameters.</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 </w:t>
      </w:r>
    </w:p>
    <w:p w14:paraId="52821069" w14:textId="77777777" w:rsidR="008D0CAD" w:rsidRPr="00830269" w:rsidRDefault="008D0CAD" w:rsidP="007C1A2E">
      <w:pPr>
        <w:pageBreakBefore/>
        <w:spacing w:before="100" w:beforeAutospacing="1" w:after="100" w:afterAutospacing="1" w:line="360" w:lineRule="auto"/>
        <w:ind w:left="357"/>
        <w:rPr>
          <w:rFonts w:asciiTheme="majorHAnsi" w:hAnsiTheme="majorHAnsi" w:cstheme="majorHAnsi"/>
          <w:bCs/>
          <w:color w:val="000000" w:themeColor="text1"/>
        </w:rPr>
      </w:pPr>
      <w:r w:rsidRPr="00830269">
        <w:rPr>
          <w:rFonts w:asciiTheme="majorHAnsi" w:hAnsiTheme="majorHAnsi" w:cstheme="majorHAnsi"/>
          <w:bCs/>
          <w:color w:val="000000" w:themeColor="text1"/>
        </w:rPr>
        <w:t>On the COT Results:</w:t>
      </w:r>
      <w:r>
        <w:rPr>
          <w:rStyle w:val="FootnoteReference"/>
          <w:rFonts w:asciiTheme="majorHAnsi" w:eastAsia="Arial Unicode MS" w:hAnsiTheme="majorHAnsi" w:cstheme="majorHAnsi"/>
          <w:bCs/>
          <w:color w:val="000000" w:themeColor="text1"/>
        </w:rPr>
        <w:footnoteReference w:id="39"/>
      </w:r>
    </w:p>
    <w:p w14:paraId="62BC624F" w14:textId="77777777" w:rsidR="008D0CAD" w:rsidRPr="00C66FDA" w:rsidRDefault="008D0CAD" w:rsidP="007C1A2E">
      <w:pPr>
        <w:pStyle w:val="ListParagraph"/>
        <w:numPr>
          <w:ilvl w:val="0"/>
          <w:numId w:val="31"/>
        </w:numPr>
        <w:spacing w:before="100" w:beforeAutospacing="1" w:after="100" w:afterAutospacing="1" w:line="360" w:lineRule="auto"/>
        <w:rPr>
          <w:rFonts w:asciiTheme="majorHAnsi" w:hAnsiTheme="majorHAnsi" w:cstheme="majorHAnsi"/>
          <w:color w:val="000000" w:themeColor="text1"/>
        </w:rPr>
      </w:pPr>
      <w:r w:rsidRPr="00C66FDA">
        <w:rPr>
          <w:rFonts w:asciiTheme="majorHAnsi" w:hAnsiTheme="majorHAnsi" w:cstheme="majorHAnsi"/>
          <w:color w:val="000000" w:themeColor="text1"/>
        </w:rPr>
        <w:t xml:space="preserve">Overall, </w:t>
      </w:r>
      <w:r>
        <w:rPr>
          <w:rFonts w:asciiTheme="majorHAnsi" w:hAnsiTheme="majorHAnsi" w:cstheme="majorHAnsi"/>
          <w:color w:val="000000" w:themeColor="text1"/>
        </w:rPr>
        <w:t xml:space="preserve">results of analysis (of 69 COTs) showed that </w:t>
      </w:r>
      <w:r w:rsidRPr="00C66FDA">
        <w:rPr>
          <w:rFonts w:asciiTheme="majorHAnsi" w:hAnsiTheme="majorHAnsi" w:cstheme="majorHAnsi"/>
          <w:color w:val="000000" w:themeColor="text1"/>
        </w:rPr>
        <w:t xml:space="preserve">there </w:t>
      </w:r>
      <w:r>
        <w:rPr>
          <w:rFonts w:asciiTheme="majorHAnsi" w:hAnsiTheme="majorHAnsi" w:cstheme="majorHAnsi"/>
          <w:color w:val="000000" w:themeColor="text1"/>
        </w:rPr>
        <w:t>were</w:t>
      </w:r>
      <w:r w:rsidRPr="00C66FDA">
        <w:rPr>
          <w:rFonts w:asciiTheme="majorHAnsi" w:hAnsiTheme="majorHAnsi" w:cstheme="majorHAnsi"/>
          <w:color w:val="000000" w:themeColor="text1"/>
        </w:rPr>
        <w:t xml:space="preserve"> very good rating</w:t>
      </w:r>
      <w:r>
        <w:rPr>
          <w:rFonts w:asciiTheme="majorHAnsi" w:hAnsiTheme="majorHAnsi" w:cstheme="majorHAnsi"/>
          <w:color w:val="000000" w:themeColor="text1"/>
        </w:rPr>
        <w:t>s</w:t>
      </w:r>
      <w:r w:rsidRPr="00C66FDA">
        <w:rPr>
          <w:rFonts w:asciiTheme="majorHAnsi" w:hAnsiTheme="majorHAnsi" w:cstheme="majorHAnsi"/>
          <w:color w:val="000000" w:themeColor="text1"/>
        </w:rPr>
        <w:t xml:space="preserve"> on KRA 1</w:t>
      </w:r>
      <w:r>
        <w:rPr>
          <w:rFonts w:asciiTheme="majorHAnsi" w:hAnsiTheme="majorHAnsi" w:cstheme="majorHAnsi"/>
          <w:color w:val="000000" w:themeColor="text1"/>
        </w:rPr>
        <w:t>, which evaluated teacher performance</w:t>
      </w:r>
      <w:r w:rsidRPr="00C66FDA">
        <w:rPr>
          <w:rFonts w:asciiTheme="majorHAnsi" w:hAnsiTheme="majorHAnsi" w:cstheme="majorHAnsi"/>
          <w:color w:val="000000" w:themeColor="text1"/>
        </w:rPr>
        <w:t>. The level of mastery in content and competency in integrating lesson across learning area and across subject were well-distributed.</w:t>
      </w:r>
    </w:p>
    <w:p w14:paraId="70146C8E" w14:textId="77777777" w:rsidR="008D0CAD" w:rsidRDefault="008D0CAD" w:rsidP="007C1A2E">
      <w:pPr>
        <w:pStyle w:val="ListParagraph"/>
        <w:numPr>
          <w:ilvl w:val="0"/>
          <w:numId w:val="31"/>
        </w:numPr>
        <w:spacing w:before="100" w:beforeAutospacing="1" w:after="100" w:afterAutospacing="1" w:line="360" w:lineRule="auto"/>
        <w:rPr>
          <w:rFonts w:asciiTheme="majorHAnsi" w:hAnsiTheme="majorHAnsi" w:cstheme="majorHAnsi"/>
          <w:color w:val="000000" w:themeColor="text1"/>
        </w:rPr>
      </w:pPr>
      <w:r w:rsidRPr="00C66FDA">
        <w:rPr>
          <w:rFonts w:asciiTheme="majorHAnsi" w:hAnsiTheme="majorHAnsi" w:cstheme="majorHAnsi"/>
          <w:color w:val="000000" w:themeColor="text1"/>
        </w:rPr>
        <w:t>The trend across the COT KRAs, by subject</w:t>
      </w:r>
      <w:r>
        <w:rPr>
          <w:rFonts w:asciiTheme="majorHAnsi" w:hAnsiTheme="majorHAnsi" w:cstheme="majorHAnsi"/>
          <w:color w:val="000000" w:themeColor="text1"/>
        </w:rPr>
        <w:t xml:space="preserve"> and</w:t>
      </w:r>
      <w:r w:rsidRPr="00C66FDA">
        <w:rPr>
          <w:rFonts w:asciiTheme="majorHAnsi" w:hAnsiTheme="majorHAnsi" w:cstheme="majorHAnsi"/>
          <w:color w:val="000000" w:themeColor="text1"/>
        </w:rPr>
        <w:t xml:space="preserve"> by region show</w:t>
      </w:r>
      <w:r>
        <w:rPr>
          <w:rFonts w:asciiTheme="majorHAnsi" w:hAnsiTheme="majorHAnsi" w:cstheme="majorHAnsi"/>
          <w:color w:val="000000" w:themeColor="text1"/>
        </w:rPr>
        <w:t>ed</w:t>
      </w:r>
      <w:r w:rsidRPr="00C66FDA">
        <w:rPr>
          <w:rFonts w:asciiTheme="majorHAnsi" w:hAnsiTheme="majorHAnsi" w:cstheme="majorHAnsi"/>
          <w:color w:val="000000" w:themeColor="text1"/>
        </w:rPr>
        <w:t xml:space="preserve"> that scores were consistently high (Outstanding to Very Satisfactory) with very few outliers </w:t>
      </w:r>
      <w:r>
        <w:rPr>
          <w:rFonts w:asciiTheme="majorHAnsi" w:hAnsiTheme="majorHAnsi" w:cstheme="majorHAnsi"/>
          <w:color w:val="000000" w:themeColor="text1"/>
        </w:rPr>
        <w:t>that were given</w:t>
      </w:r>
      <w:r w:rsidRPr="00C66FDA">
        <w:rPr>
          <w:rFonts w:asciiTheme="majorHAnsi" w:hAnsiTheme="majorHAnsi" w:cstheme="majorHAnsi"/>
          <w:color w:val="000000" w:themeColor="text1"/>
        </w:rPr>
        <w:t xml:space="preserve"> low ratings.</w:t>
      </w:r>
    </w:p>
    <w:p w14:paraId="5A956717" w14:textId="6B33626C" w:rsidR="008D0CAD" w:rsidRPr="009355DF" w:rsidRDefault="008D0CAD" w:rsidP="007C1A2E">
      <w:pPr>
        <w:pStyle w:val="ListParagraph"/>
        <w:numPr>
          <w:ilvl w:val="0"/>
          <w:numId w:val="31"/>
        </w:num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color w:val="000000" w:themeColor="text1"/>
        </w:rPr>
        <w:t>This finding was consistent with the IPA finding of high ratings being given across the COT KRAs.</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The report stated that “</w:t>
      </w:r>
      <w:r w:rsidRPr="0080387C">
        <w:rPr>
          <w:rFonts w:asciiTheme="majorHAnsi" w:hAnsiTheme="majorHAnsi" w:cstheme="majorHAnsi"/>
          <w:i/>
          <w:iCs/>
          <w:color w:val="000000" w:themeColor="text1"/>
        </w:rPr>
        <w:t>These uniformly high scores could suggest that supervisors are overestimating true teacher competencies and supervisors also raised this concern independently during interview</w:t>
      </w:r>
      <w:r>
        <w:rPr>
          <w:rFonts w:asciiTheme="majorHAnsi" w:hAnsiTheme="majorHAnsi" w:cstheme="majorHAnsi"/>
          <w:i/>
          <w:iCs/>
          <w:color w:val="000000" w:themeColor="text1"/>
        </w:rPr>
        <w:t>”</w:t>
      </w:r>
      <w:r>
        <w:rPr>
          <w:rFonts w:asciiTheme="majorHAnsi" w:hAnsiTheme="majorHAnsi" w:cstheme="majorHAnsi"/>
          <w:color w:val="000000" w:themeColor="text1"/>
        </w:rPr>
        <w:t>.</w:t>
      </w:r>
      <w:r>
        <w:rPr>
          <w:rStyle w:val="FootnoteReference"/>
          <w:rFonts w:asciiTheme="majorHAnsi" w:eastAsia="Arial Unicode MS" w:hAnsiTheme="majorHAnsi" w:cstheme="majorHAnsi"/>
          <w:color w:val="000000" w:themeColor="text1"/>
        </w:rPr>
        <w:footnoteReference w:id="40"/>
      </w:r>
    </w:p>
    <w:p w14:paraId="30A0BF96" w14:textId="77777777" w:rsidR="008D0CAD" w:rsidRDefault="008D0CAD" w:rsidP="007C1A2E">
      <w:pPr>
        <w:spacing w:before="100" w:beforeAutospacing="1" w:after="100" w:afterAutospacing="1" w:line="360" w:lineRule="auto"/>
        <w:rPr>
          <w:rFonts w:asciiTheme="majorHAnsi" w:hAnsiTheme="majorHAnsi" w:cstheme="majorHAnsi"/>
          <w:color w:val="000000" w:themeColor="text1"/>
        </w:rPr>
      </w:pPr>
      <w:r w:rsidRPr="00EA691F">
        <w:rPr>
          <w:rFonts w:asciiTheme="majorHAnsi" w:hAnsiTheme="majorHAnsi" w:cstheme="majorHAnsi"/>
          <w:color w:val="000000" w:themeColor="text1"/>
        </w:rPr>
        <w:t xml:space="preserve">A more detailed analysis of the </w:t>
      </w:r>
      <w:r>
        <w:rPr>
          <w:rFonts w:asciiTheme="majorHAnsi" w:hAnsiTheme="majorHAnsi" w:cstheme="majorHAnsi"/>
          <w:color w:val="000000" w:themeColor="text1"/>
        </w:rPr>
        <w:t xml:space="preserve">classroom observations </w:t>
      </w:r>
      <w:r w:rsidRPr="00EA691F">
        <w:rPr>
          <w:rFonts w:asciiTheme="majorHAnsi" w:hAnsiTheme="majorHAnsi" w:cstheme="majorHAnsi"/>
          <w:color w:val="000000" w:themeColor="text1"/>
        </w:rPr>
        <w:t xml:space="preserve">can be found in </w:t>
      </w:r>
      <w:r w:rsidRPr="00402C14">
        <w:rPr>
          <w:rFonts w:asciiTheme="majorHAnsi" w:hAnsiTheme="majorHAnsi" w:cstheme="majorHAnsi"/>
          <w:color w:val="000000" w:themeColor="text1"/>
        </w:rPr>
        <w:t>Annex U. Analysis of Classroom Observations and Teacher Performance.</w:t>
      </w:r>
    </w:p>
    <w:p w14:paraId="21E2BC5B" w14:textId="6690988F" w:rsidR="008D0CAD" w:rsidRPr="009067D2" w:rsidRDefault="008D0CAD" w:rsidP="000C108A">
      <w:pPr>
        <w:pStyle w:val="Heading6"/>
      </w:pPr>
      <w:r>
        <w:t>Enhancing competencies of education leaders and managers</w:t>
      </w:r>
      <w:r w:rsidRPr="009067D2">
        <w:t xml:space="preserve"> </w:t>
      </w:r>
    </w:p>
    <w:p w14:paraId="1260A0E4" w14:textId="77777777" w:rsidR="008D0CAD" w:rsidRDefault="008D0CAD" w:rsidP="007C1A2E">
      <w:pPr>
        <w:spacing w:before="100" w:beforeAutospacing="1" w:after="100" w:afterAutospacing="1" w:line="360" w:lineRule="auto"/>
        <w:rPr>
          <w:rFonts w:asciiTheme="majorHAnsi" w:hAnsiTheme="majorHAnsi" w:cstheme="majorHAnsi"/>
          <w:i/>
          <w:color w:val="C00000"/>
        </w:rPr>
      </w:pPr>
      <w:r>
        <w:rPr>
          <w:rFonts w:asciiTheme="majorHAnsi" w:hAnsiTheme="majorHAnsi" w:cstheme="majorHAnsi"/>
        </w:rPr>
        <w:t xml:space="preserve">BEST </w:t>
      </w:r>
      <w:r>
        <w:rPr>
          <w:rFonts w:asciiTheme="majorHAnsi" w:hAnsiTheme="majorHAnsi" w:cstheme="majorHAnsi"/>
          <w:color w:val="000000" w:themeColor="text1"/>
        </w:rPr>
        <w:t>Program interventions in pursuit of Immediate Outcome 2 (IO2) –– “</w:t>
      </w:r>
      <w:r w:rsidRPr="003B4729">
        <w:rPr>
          <w:rFonts w:asciiTheme="majorHAnsi" w:eastAsiaTheme="minorHAnsi" w:hAnsiTheme="majorHAnsi" w:cstheme="majorHAnsi"/>
          <w:i/>
          <w:iCs/>
        </w:rPr>
        <w:t>Education leaders and managers have strengthened capacity to implement school-based learning outcomes initiatives</w:t>
      </w:r>
      <w:r>
        <w:rPr>
          <w:rFonts w:asciiTheme="majorHAnsi" w:eastAsiaTheme="minorHAnsi" w:hAnsiTheme="majorHAnsi" w:cstheme="majorHAnsi"/>
        </w:rPr>
        <w:t>”</w:t>
      </w:r>
      <w:r>
        <w:rPr>
          <w:rFonts w:asciiTheme="majorHAnsi" w:hAnsiTheme="majorHAnsi" w:cstheme="majorHAnsi"/>
          <w:color w:val="000000" w:themeColor="text1"/>
        </w:rPr>
        <w:t xml:space="preserve"> ––</w:t>
      </w:r>
      <w:r>
        <w:rPr>
          <w:rFonts w:asciiTheme="majorHAnsi" w:eastAsiaTheme="minorHAnsi" w:hAnsiTheme="majorHAnsi" w:cstheme="majorHAnsi"/>
        </w:rPr>
        <w:t xml:space="preserve"> </w:t>
      </w:r>
      <w:r>
        <w:rPr>
          <w:rFonts w:asciiTheme="majorHAnsi" w:hAnsiTheme="majorHAnsi" w:cstheme="majorHAnsi"/>
        </w:rPr>
        <w:t xml:space="preserve">were </w:t>
      </w:r>
      <w:r>
        <w:rPr>
          <w:rFonts w:asciiTheme="majorHAnsi" w:hAnsiTheme="majorHAnsi" w:cstheme="majorHAnsi"/>
          <w:color w:val="000000" w:themeColor="text1"/>
        </w:rPr>
        <w:t>under the umbrella of the L&amp;D System and SBM</w:t>
      </w:r>
      <w:r w:rsidRPr="009C08ED">
        <w:rPr>
          <w:rFonts w:asciiTheme="majorHAnsi" w:hAnsiTheme="majorHAnsi" w:cstheme="majorHAnsi"/>
          <w:i/>
          <w:color w:val="C00000"/>
        </w:rPr>
        <w:t>.</w:t>
      </w:r>
    </w:p>
    <w:p w14:paraId="2008F64A" w14:textId="4664C444" w:rsidR="008D0CAD" w:rsidRPr="00157149" w:rsidRDefault="008D0CAD" w:rsidP="00DD08E3">
      <w:pPr>
        <w:pStyle w:val="Heading5"/>
        <w:numPr>
          <w:ilvl w:val="3"/>
          <w:numId w:val="163"/>
        </w:numPr>
        <w:spacing w:before="100" w:beforeAutospacing="1" w:after="100" w:afterAutospacing="1" w:line="360" w:lineRule="auto"/>
      </w:pPr>
      <w:r>
        <w:t xml:space="preserve">Changes in </w:t>
      </w:r>
      <w:r w:rsidRPr="00157149">
        <w:t>Principals</w:t>
      </w:r>
      <w:r>
        <w:t>’ and School Heads’ Competencies</w:t>
      </w:r>
    </w:p>
    <w:p w14:paraId="12DD35D9" w14:textId="2D53C624" w:rsidR="008D0CAD" w:rsidRDefault="008D0CAD" w:rsidP="007C1A2E">
      <w:pPr>
        <w:spacing w:before="100" w:beforeAutospacing="1" w:after="100" w:afterAutospacing="1" w:line="360" w:lineRule="auto"/>
        <w:rPr>
          <w:rFonts w:asciiTheme="majorHAnsi" w:hAnsiTheme="majorHAnsi" w:cstheme="majorHAnsi"/>
        </w:rPr>
      </w:pPr>
      <w:r w:rsidRPr="00D208AF">
        <w:rPr>
          <w:rFonts w:asciiTheme="majorHAnsi" w:hAnsiTheme="majorHAnsi" w:cstheme="majorHAnsi"/>
          <w:b/>
          <w:bCs/>
        </w:rPr>
        <w:t>Individual Competencies</w:t>
      </w:r>
      <w:r>
        <w:rPr>
          <w:rFonts w:asciiTheme="majorHAnsi" w:hAnsiTheme="majorHAnsi" w:cstheme="majorHAnsi"/>
        </w:rPr>
        <w:t>. Principals</w:t>
      </w:r>
      <w:r w:rsidRPr="00EA1849">
        <w:rPr>
          <w:rFonts w:asciiTheme="majorHAnsi" w:hAnsiTheme="majorHAnsi" w:cstheme="majorHAnsi"/>
        </w:rPr>
        <w:t xml:space="preserve"> were asked to identify significant changes in four competencies</w:t>
      </w:r>
      <w:r>
        <w:rPr>
          <w:rStyle w:val="FootnoteReference"/>
          <w:rFonts w:asciiTheme="majorHAnsi" w:eastAsia="Arial Unicode MS" w:hAnsiTheme="majorHAnsi" w:cstheme="majorHAnsi"/>
        </w:rPr>
        <w:footnoteReference w:id="41"/>
      </w:r>
      <w:r w:rsidRPr="00EA1849">
        <w:rPr>
          <w:rFonts w:asciiTheme="majorHAnsi" w:hAnsiTheme="majorHAnsi" w:cstheme="majorHAnsi"/>
        </w:rPr>
        <w:t xml:space="preserve"> over the last five years (</w:t>
      </w:r>
      <w:r w:rsidRPr="0080387C">
        <w:rPr>
          <w:rFonts w:asciiTheme="majorHAnsi" w:hAnsiTheme="majorHAnsi" w:cstheme="majorHAnsi"/>
        </w:rPr>
        <w:t>corresponding to the BEST Program implementation</w:t>
      </w:r>
      <w:r w:rsidRPr="00EA1849">
        <w:rPr>
          <w:rFonts w:asciiTheme="majorHAnsi" w:hAnsiTheme="majorHAnsi" w:cstheme="majorHAnsi"/>
        </w:rPr>
        <w:t>).</w:t>
      </w:r>
      <w:r w:rsidR="00D434EB">
        <w:rPr>
          <w:rFonts w:asciiTheme="majorHAnsi" w:hAnsiTheme="majorHAnsi" w:cstheme="majorHAnsi"/>
        </w:rPr>
        <w:t xml:space="preserve"> </w:t>
      </w:r>
      <w:r w:rsidRPr="00EA1849">
        <w:rPr>
          <w:rFonts w:asciiTheme="majorHAnsi" w:hAnsiTheme="majorHAnsi" w:cstheme="majorHAnsi"/>
        </w:rPr>
        <w:t xml:space="preserve">These changes are not statistically attributed to the BEST Program interventions, but only based on perceptions of respondents. </w:t>
      </w:r>
      <w:r w:rsidRPr="000C14E7">
        <w:rPr>
          <w:rFonts w:asciiTheme="majorHAnsi" w:hAnsiTheme="majorHAnsi" w:cstheme="majorHAnsi"/>
        </w:rPr>
        <w:t xml:space="preserve">Survey results revealed that 44 </w:t>
      </w:r>
      <w:r>
        <w:rPr>
          <w:rFonts w:asciiTheme="majorHAnsi" w:hAnsiTheme="majorHAnsi" w:cstheme="majorHAnsi"/>
        </w:rPr>
        <w:t>per cent</w:t>
      </w:r>
      <w:r w:rsidRPr="000C14E7">
        <w:rPr>
          <w:rFonts w:asciiTheme="majorHAnsi" w:hAnsiTheme="majorHAnsi" w:cstheme="majorHAnsi"/>
        </w:rPr>
        <w:t xml:space="preserve"> of </w:t>
      </w:r>
      <w:r>
        <w:rPr>
          <w:rFonts w:asciiTheme="majorHAnsi" w:hAnsiTheme="majorHAnsi" w:cstheme="majorHAnsi"/>
        </w:rPr>
        <w:t>principals</w:t>
      </w:r>
      <w:r w:rsidRPr="000C14E7">
        <w:rPr>
          <w:rFonts w:asciiTheme="majorHAnsi" w:hAnsiTheme="majorHAnsi" w:cstheme="majorHAnsi"/>
        </w:rPr>
        <w:t xml:space="preserve"> stated that all four competencies improved. </w:t>
      </w:r>
    </w:p>
    <w:p w14:paraId="4B678BD1" w14:textId="77777777" w:rsidR="008D0CAD" w:rsidRDefault="008D0CAD" w:rsidP="007C1A2E">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rPr>
        <w:t>In particular</w:t>
      </w:r>
      <w:r w:rsidRPr="000C14E7">
        <w:rPr>
          <w:rFonts w:asciiTheme="majorHAnsi" w:hAnsiTheme="majorHAnsi" w:cstheme="majorHAnsi"/>
        </w:rPr>
        <w:t>, “</w:t>
      </w:r>
      <w:r w:rsidRPr="00A36C4E">
        <w:rPr>
          <w:rFonts w:asciiTheme="majorHAnsi" w:hAnsiTheme="majorHAnsi" w:cstheme="majorHAnsi"/>
          <w:i/>
          <w:iCs/>
          <w:color w:val="000000"/>
        </w:rPr>
        <w:t>Access to programs for leadership and management development</w:t>
      </w:r>
      <w:r w:rsidRPr="000C14E7">
        <w:rPr>
          <w:rFonts w:asciiTheme="majorHAnsi" w:hAnsiTheme="majorHAnsi" w:cstheme="majorHAnsi"/>
          <w:color w:val="000000"/>
        </w:rPr>
        <w:t xml:space="preserve">” had </w:t>
      </w:r>
      <w:r>
        <w:rPr>
          <w:rFonts w:asciiTheme="majorHAnsi" w:hAnsiTheme="majorHAnsi" w:cstheme="majorHAnsi"/>
          <w:color w:val="000000"/>
        </w:rPr>
        <w:t xml:space="preserve">the highest </w:t>
      </w:r>
      <w:r w:rsidRPr="000C14E7">
        <w:rPr>
          <w:rFonts w:asciiTheme="majorHAnsi" w:hAnsiTheme="majorHAnsi" w:cstheme="majorHAnsi"/>
          <w:color w:val="000000"/>
        </w:rPr>
        <w:t>s</w:t>
      </w:r>
      <w:r w:rsidRPr="00A36C4E">
        <w:rPr>
          <w:rFonts w:asciiTheme="majorHAnsi" w:hAnsiTheme="majorHAnsi" w:cstheme="majorHAnsi"/>
          <w:color w:val="000000"/>
        </w:rPr>
        <w:t xml:space="preserve">ignificant </w:t>
      </w:r>
      <w:r w:rsidRPr="000C14E7">
        <w:rPr>
          <w:rFonts w:asciiTheme="majorHAnsi" w:hAnsiTheme="majorHAnsi" w:cstheme="majorHAnsi"/>
          <w:color w:val="000000"/>
        </w:rPr>
        <w:t>i</w:t>
      </w:r>
      <w:r w:rsidRPr="00A36C4E">
        <w:rPr>
          <w:rFonts w:asciiTheme="majorHAnsi" w:hAnsiTheme="majorHAnsi" w:cstheme="majorHAnsi"/>
          <w:color w:val="000000"/>
        </w:rPr>
        <w:t>ncrease</w:t>
      </w:r>
      <w:r>
        <w:rPr>
          <w:rFonts w:asciiTheme="majorHAnsi" w:hAnsiTheme="majorHAnsi" w:cstheme="majorHAnsi"/>
          <w:color w:val="000000"/>
        </w:rPr>
        <w:t xml:space="preserve"> (14 per cent of principals)</w:t>
      </w:r>
      <w:r w:rsidRPr="000C14E7">
        <w:rPr>
          <w:rFonts w:asciiTheme="majorHAnsi" w:hAnsiTheme="majorHAnsi" w:cstheme="majorHAnsi"/>
          <w:color w:val="000000"/>
        </w:rPr>
        <w:t xml:space="preserve">. </w:t>
      </w:r>
      <w:r>
        <w:rPr>
          <w:rFonts w:asciiTheme="majorHAnsi" w:hAnsiTheme="majorHAnsi" w:cstheme="majorHAnsi"/>
          <w:color w:val="000000"/>
        </w:rPr>
        <w:t>However, t</w:t>
      </w:r>
      <w:r w:rsidRPr="000C14E7">
        <w:rPr>
          <w:rFonts w:asciiTheme="majorHAnsi" w:hAnsiTheme="majorHAnsi" w:cstheme="majorHAnsi"/>
          <w:color w:val="000000"/>
        </w:rPr>
        <w:t xml:space="preserve">he share of </w:t>
      </w:r>
      <w:r>
        <w:rPr>
          <w:rFonts w:asciiTheme="majorHAnsi" w:hAnsiTheme="majorHAnsi" w:cstheme="majorHAnsi"/>
          <w:color w:val="000000"/>
        </w:rPr>
        <w:t>principals</w:t>
      </w:r>
      <w:r w:rsidRPr="000C14E7">
        <w:rPr>
          <w:rFonts w:asciiTheme="majorHAnsi" w:hAnsiTheme="majorHAnsi" w:cstheme="majorHAnsi"/>
          <w:color w:val="000000"/>
        </w:rPr>
        <w:t xml:space="preserve"> who said they had </w:t>
      </w:r>
      <w:r w:rsidRPr="00402C14">
        <w:rPr>
          <w:rFonts w:asciiTheme="majorHAnsi" w:hAnsiTheme="majorHAnsi" w:cstheme="majorHAnsi"/>
          <w:color w:val="000000" w:themeColor="text1"/>
        </w:rPr>
        <w:t xml:space="preserve">significant increases in three other competencies were only 10 </w:t>
      </w:r>
      <w:r>
        <w:rPr>
          <w:rFonts w:asciiTheme="majorHAnsi" w:hAnsiTheme="majorHAnsi" w:cstheme="majorHAnsi"/>
          <w:color w:val="000000" w:themeColor="text1"/>
        </w:rPr>
        <w:t>per cent</w:t>
      </w:r>
      <w:r w:rsidRPr="00402C14">
        <w:rPr>
          <w:rFonts w:asciiTheme="majorHAnsi" w:hAnsiTheme="majorHAnsi" w:cstheme="majorHAnsi"/>
          <w:color w:val="000000" w:themeColor="text1"/>
        </w:rPr>
        <w:t xml:space="preserve">, 10 </w:t>
      </w:r>
      <w:r>
        <w:rPr>
          <w:rFonts w:asciiTheme="majorHAnsi" w:hAnsiTheme="majorHAnsi" w:cstheme="majorHAnsi"/>
          <w:color w:val="000000" w:themeColor="text1"/>
        </w:rPr>
        <w:t>per cent</w:t>
      </w:r>
      <w:r w:rsidRPr="00402C14">
        <w:rPr>
          <w:rFonts w:asciiTheme="majorHAnsi" w:hAnsiTheme="majorHAnsi" w:cstheme="majorHAnsi"/>
          <w:color w:val="000000" w:themeColor="text1"/>
        </w:rPr>
        <w:t xml:space="preserve"> and 5 </w:t>
      </w:r>
      <w:r>
        <w:rPr>
          <w:rFonts w:asciiTheme="majorHAnsi" w:hAnsiTheme="majorHAnsi" w:cstheme="majorHAnsi"/>
          <w:color w:val="000000" w:themeColor="text1"/>
        </w:rPr>
        <w:t>per cent</w:t>
      </w:r>
      <w:r w:rsidRPr="00402C14">
        <w:rPr>
          <w:rFonts w:asciiTheme="majorHAnsi" w:hAnsiTheme="majorHAnsi" w:cstheme="majorHAnsi"/>
          <w:color w:val="000000" w:themeColor="text1"/>
        </w:rPr>
        <w:t xml:space="preserve"> respectively (Figure </w:t>
      </w:r>
      <w:r>
        <w:rPr>
          <w:rFonts w:asciiTheme="majorHAnsi" w:hAnsiTheme="majorHAnsi" w:cstheme="majorHAnsi"/>
          <w:color w:val="000000" w:themeColor="text1"/>
        </w:rPr>
        <w:t>9</w:t>
      </w:r>
      <w:r w:rsidRPr="00402C14">
        <w:rPr>
          <w:rFonts w:asciiTheme="majorHAnsi" w:hAnsiTheme="majorHAnsi" w:cstheme="majorHAnsi"/>
          <w:color w:val="000000" w:themeColor="text1"/>
        </w:rPr>
        <w:t>).</w:t>
      </w:r>
    </w:p>
    <w:p w14:paraId="5E6B9D6D" w14:textId="45DE8F26" w:rsidR="008D0CAD" w:rsidRPr="004A657A" w:rsidRDefault="008D0CAD" w:rsidP="007C1A2E">
      <w:pPr>
        <w:spacing w:before="100" w:beforeAutospacing="1" w:after="100" w:afterAutospacing="1" w:line="360" w:lineRule="auto"/>
        <w:rPr>
          <w:rFonts w:asciiTheme="majorHAnsi" w:hAnsiTheme="majorHAnsi" w:cstheme="majorHAnsi"/>
          <w:i/>
          <w:iCs/>
          <w:color w:val="44546A" w:themeColor="text2"/>
          <w:sz w:val="20"/>
          <w:szCs w:val="20"/>
        </w:rPr>
      </w:pPr>
      <w:bookmarkStart w:id="112" w:name="_Toc71616536"/>
      <w:r w:rsidRPr="004A657A">
        <w:rPr>
          <w:rFonts w:asciiTheme="majorHAnsi" w:hAnsiTheme="majorHAnsi" w:cstheme="majorHAnsi"/>
          <w:i/>
          <w:iCs/>
          <w:color w:val="44546A" w:themeColor="text2"/>
          <w:sz w:val="22"/>
          <w:szCs w:val="22"/>
        </w:rPr>
        <w:t xml:space="preserve">Figure </w:t>
      </w:r>
      <w:r w:rsidRPr="004A657A">
        <w:rPr>
          <w:rFonts w:asciiTheme="majorHAnsi" w:hAnsiTheme="majorHAnsi" w:cstheme="majorHAnsi"/>
          <w:i/>
          <w:iCs/>
          <w:color w:val="44546A" w:themeColor="text2"/>
          <w:sz w:val="22"/>
          <w:szCs w:val="22"/>
        </w:rPr>
        <w:fldChar w:fldCharType="begin"/>
      </w:r>
      <w:r w:rsidRPr="004A657A">
        <w:rPr>
          <w:rFonts w:asciiTheme="majorHAnsi" w:hAnsiTheme="majorHAnsi" w:cstheme="majorHAnsi"/>
          <w:i/>
          <w:iCs/>
          <w:color w:val="44546A" w:themeColor="text2"/>
          <w:sz w:val="22"/>
          <w:szCs w:val="22"/>
        </w:rPr>
        <w:instrText xml:space="preserve"> SEQ Figure \* ARABIC </w:instrText>
      </w:r>
      <w:r w:rsidRPr="004A657A">
        <w:rPr>
          <w:rFonts w:asciiTheme="majorHAnsi" w:hAnsiTheme="majorHAnsi" w:cstheme="majorHAnsi"/>
          <w:i/>
          <w:iCs/>
          <w:color w:val="44546A" w:themeColor="text2"/>
          <w:sz w:val="22"/>
          <w:szCs w:val="22"/>
        </w:rPr>
        <w:fldChar w:fldCharType="separate"/>
      </w:r>
      <w:r w:rsidR="00D6133D">
        <w:rPr>
          <w:rFonts w:asciiTheme="majorHAnsi" w:hAnsiTheme="majorHAnsi" w:cstheme="majorHAnsi"/>
          <w:i/>
          <w:iCs/>
          <w:noProof/>
          <w:color w:val="44546A" w:themeColor="text2"/>
          <w:sz w:val="22"/>
          <w:szCs w:val="22"/>
        </w:rPr>
        <w:t>9</w:t>
      </w:r>
      <w:r w:rsidRPr="004A657A">
        <w:rPr>
          <w:rFonts w:asciiTheme="majorHAnsi" w:hAnsiTheme="majorHAnsi" w:cstheme="majorHAnsi"/>
          <w:i/>
          <w:iCs/>
          <w:color w:val="44546A" w:themeColor="text2"/>
          <w:sz w:val="22"/>
          <w:szCs w:val="22"/>
        </w:rPr>
        <w:fldChar w:fldCharType="end"/>
      </w:r>
      <w:r w:rsidRPr="004A657A">
        <w:rPr>
          <w:rFonts w:asciiTheme="majorHAnsi" w:hAnsiTheme="majorHAnsi" w:cstheme="majorHAnsi"/>
          <w:i/>
          <w:iCs/>
          <w:color w:val="44546A" w:themeColor="text2"/>
          <w:sz w:val="22"/>
          <w:szCs w:val="22"/>
        </w:rPr>
        <w:t>. Changes in Competencies of Principals (n=39)</w:t>
      </w:r>
      <w:bookmarkEnd w:id="112"/>
      <w:r w:rsidRPr="004A657A">
        <w:rPr>
          <w:rFonts w:asciiTheme="majorHAnsi" w:hAnsiTheme="majorHAnsi" w:cstheme="majorHAnsi"/>
          <w:i/>
          <w:iCs/>
          <w:color w:val="44546A" w:themeColor="text2"/>
          <w:sz w:val="20"/>
          <w:szCs w:val="20"/>
        </w:rPr>
        <w:t xml:space="preserve"> </w:t>
      </w:r>
    </w:p>
    <w:p w14:paraId="618349E5" w14:textId="77777777" w:rsidR="008D0CAD" w:rsidRDefault="008D0CAD" w:rsidP="007C1A2E">
      <w:pPr>
        <w:spacing w:before="100" w:beforeAutospacing="1" w:after="100" w:afterAutospacing="1" w:line="360" w:lineRule="auto"/>
        <w:rPr>
          <w:rFonts w:asciiTheme="majorHAnsi" w:hAnsiTheme="majorHAnsi" w:cstheme="majorHAnsi"/>
          <w:sz w:val="22"/>
          <w:szCs w:val="22"/>
        </w:rPr>
      </w:pPr>
      <w:bookmarkStart w:id="113" w:name="OLE_LINK1"/>
      <w:bookmarkStart w:id="114" w:name="OLE_LINK3"/>
      <w:r>
        <w:rPr>
          <w:noProof/>
          <w:lang w:val="en-AU" w:eastAsia="en-AU"/>
        </w:rPr>
        <w:drawing>
          <wp:inline distT="0" distB="0" distL="0" distR="0" wp14:anchorId="29585BCA" wp14:editId="0220ACB9">
            <wp:extent cx="4526280" cy="2514600"/>
            <wp:effectExtent l="0" t="0" r="0" b="0"/>
            <wp:docPr id="51" name="Picture 51" descr="Changes in Competencies of Principals (n=39); Highest increase at 40% is on implementing learning and developmen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hanges in Competencies of Principals (n=39); Highest increase at 40% is on implementing learning and development system."/>
                    <pic:cNvPicPr/>
                  </pic:nvPicPr>
                  <pic:blipFill rotWithShape="1">
                    <a:blip r:embed="rId31" cstate="print">
                      <a:extLst>
                        <a:ext uri="{28A0092B-C50C-407E-A947-70E740481C1C}">
                          <a14:useLocalDpi xmlns:a14="http://schemas.microsoft.com/office/drawing/2010/main" val="0"/>
                        </a:ext>
                      </a:extLst>
                    </a:blip>
                    <a:srcRect l="15835" t="29737" r="33263" b="25027"/>
                    <a:stretch/>
                  </pic:blipFill>
                  <pic:spPr bwMode="auto">
                    <a:xfrm>
                      <a:off x="0" y="0"/>
                      <a:ext cx="4533558" cy="2518643"/>
                    </a:xfrm>
                    <a:prstGeom prst="rect">
                      <a:avLst/>
                    </a:prstGeom>
                    <a:ln>
                      <a:noFill/>
                    </a:ln>
                    <a:extLst>
                      <a:ext uri="{53640926-AAD7-44D8-BBD7-CCE9431645EC}">
                        <a14:shadowObscured xmlns:a14="http://schemas.microsoft.com/office/drawing/2010/main"/>
                      </a:ext>
                    </a:extLst>
                  </pic:spPr>
                </pic:pic>
              </a:graphicData>
            </a:graphic>
          </wp:inline>
        </w:drawing>
      </w:r>
    </w:p>
    <w:p w14:paraId="0699D509" w14:textId="4ECE127E" w:rsidR="008D0CAD" w:rsidRPr="00BD6D45" w:rsidRDefault="008D0CAD" w:rsidP="007C1A2E">
      <w:pPr>
        <w:spacing w:before="100" w:beforeAutospacing="1" w:after="100" w:afterAutospacing="1" w:line="360" w:lineRule="auto"/>
        <w:rPr>
          <w:rFonts w:asciiTheme="majorHAnsi" w:hAnsiTheme="majorHAnsi" w:cstheme="majorHAnsi"/>
        </w:rPr>
      </w:pPr>
      <w:r w:rsidRPr="00784A7C">
        <w:rPr>
          <w:rFonts w:asciiTheme="majorHAnsi" w:hAnsiTheme="majorHAnsi" w:cstheme="majorHAnsi"/>
          <w:color w:val="000000"/>
        </w:rPr>
        <w:t xml:space="preserve">In the Follow-up Study, </w:t>
      </w:r>
      <w:r>
        <w:rPr>
          <w:rFonts w:asciiTheme="majorHAnsi" w:hAnsiTheme="majorHAnsi" w:cstheme="majorHAnsi"/>
          <w:color w:val="000000"/>
        </w:rPr>
        <w:t>principals</w:t>
      </w:r>
      <w:r w:rsidRPr="00784A7C">
        <w:rPr>
          <w:rFonts w:asciiTheme="majorHAnsi" w:hAnsiTheme="majorHAnsi" w:cstheme="majorHAnsi"/>
          <w:color w:val="000000"/>
        </w:rPr>
        <w:t xml:space="preserve"> were also asked to</w:t>
      </w:r>
      <w:r w:rsidRPr="00784A7C">
        <w:rPr>
          <w:rFonts w:asciiTheme="majorHAnsi" w:hAnsiTheme="majorHAnsi" w:cstheme="majorHAnsi"/>
        </w:rPr>
        <w:t xml:space="preserve"> identify changes in </w:t>
      </w:r>
      <w:r>
        <w:rPr>
          <w:rFonts w:asciiTheme="majorHAnsi" w:hAnsiTheme="majorHAnsi" w:cstheme="majorHAnsi"/>
        </w:rPr>
        <w:t>ten</w:t>
      </w:r>
      <w:r w:rsidRPr="00784A7C">
        <w:rPr>
          <w:rFonts w:asciiTheme="majorHAnsi" w:hAnsiTheme="majorHAnsi" w:cstheme="majorHAnsi"/>
        </w:rPr>
        <w:t xml:space="preserve"> competencies</w:t>
      </w:r>
      <w:r>
        <w:rPr>
          <w:rFonts w:asciiTheme="majorHAnsi" w:hAnsiTheme="majorHAnsi" w:cstheme="majorHAnsi"/>
        </w:rPr>
        <w:t xml:space="preserve">, taken </w:t>
      </w:r>
      <w:r w:rsidRPr="00402C14">
        <w:rPr>
          <w:rFonts w:asciiTheme="majorHAnsi" w:hAnsiTheme="majorHAnsi" w:cstheme="majorHAnsi"/>
          <w:color w:val="000000" w:themeColor="text1"/>
        </w:rPr>
        <w:t xml:space="preserve">from the </w:t>
      </w:r>
      <w:r>
        <w:rPr>
          <w:rFonts w:asciiTheme="majorHAnsi" w:hAnsiTheme="majorHAnsi" w:cstheme="majorHAnsi"/>
          <w:color w:val="000000" w:themeColor="text1"/>
        </w:rPr>
        <w:t xml:space="preserve">draft </w:t>
      </w:r>
      <w:r w:rsidRPr="00402C14">
        <w:rPr>
          <w:rFonts w:asciiTheme="majorHAnsi" w:hAnsiTheme="majorHAnsi" w:cstheme="majorHAnsi"/>
          <w:color w:val="000000" w:themeColor="text1"/>
        </w:rPr>
        <w:t xml:space="preserve">Philippine </w:t>
      </w:r>
      <w:r w:rsidRPr="00955C8A">
        <w:rPr>
          <w:rFonts w:asciiTheme="majorHAnsi" w:hAnsiTheme="majorHAnsi" w:cstheme="majorHAnsi"/>
        </w:rPr>
        <w:t>Professional Standards for School Heads</w:t>
      </w:r>
      <w:r>
        <w:rPr>
          <w:rFonts w:asciiTheme="majorHAnsi" w:hAnsiTheme="majorHAnsi" w:cstheme="majorHAnsi"/>
        </w:rPr>
        <w:t xml:space="preserve"> (PPSSH)</w:t>
      </w:r>
      <w:r w:rsidRPr="001B3166">
        <w:rPr>
          <w:rFonts w:asciiTheme="majorHAnsi" w:hAnsiTheme="majorHAnsi" w:cstheme="majorHAnsi"/>
          <w:color w:val="C00000"/>
        </w:rPr>
        <w:t>.</w:t>
      </w:r>
      <w:r w:rsidR="00D434EB">
        <w:rPr>
          <w:rFonts w:asciiTheme="majorHAnsi" w:hAnsiTheme="majorHAnsi" w:cstheme="majorHAnsi"/>
          <w:color w:val="C00000"/>
        </w:rPr>
        <w:t xml:space="preserve"> </w:t>
      </w:r>
      <w:r w:rsidRPr="00402C14">
        <w:rPr>
          <w:rFonts w:asciiTheme="majorHAnsi" w:hAnsiTheme="majorHAnsi" w:cstheme="majorHAnsi"/>
          <w:color w:val="000000" w:themeColor="text1"/>
        </w:rPr>
        <w:t xml:space="preserve">Results revealed that 90 </w:t>
      </w:r>
      <w:r>
        <w:rPr>
          <w:rFonts w:asciiTheme="majorHAnsi" w:hAnsiTheme="majorHAnsi" w:cstheme="majorHAnsi"/>
          <w:color w:val="000000" w:themeColor="text1"/>
        </w:rPr>
        <w:t>per cent</w:t>
      </w:r>
      <w:r w:rsidRPr="00402C14">
        <w:rPr>
          <w:rFonts w:asciiTheme="majorHAnsi" w:hAnsiTheme="majorHAnsi" w:cstheme="majorHAnsi"/>
          <w:color w:val="000000" w:themeColor="text1"/>
        </w:rPr>
        <w:t xml:space="preserve"> of </w:t>
      </w:r>
      <w:r>
        <w:rPr>
          <w:rFonts w:asciiTheme="majorHAnsi" w:hAnsiTheme="majorHAnsi" w:cstheme="majorHAnsi"/>
          <w:color w:val="000000" w:themeColor="text1"/>
        </w:rPr>
        <w:t>principals</w:t>
      </w:r>
      <w:r w:rsidRPr="00402C14">
        <w:rPr>
          <w:rFonts w:asciiTheme="majorHAnsi" w:hAnsiTheme="majorHAnsi" w:cstheme="majorHAnsi"/>
          <w:color w:val="000000" w:themeColor="text1"/>
        </w:rPr>
        <w:t xml:space="preserve"> indicated that all 10 competencies</w:t>
      </w:r>
      <w:r>
        <w:rPr>
          <w:rFonts w:asciiTheme="majorHAnsi" w:hAnsiTheme="majorHAnsi" w:cstheme="majorHAnsi"/>
          <w:color w:val="000000" w:themeColor="text1"/>
        </w:rPr>
        <w:t xml:space="preserve"> had</w:t>
      </w:r>
      <w:r w:rsidRPr="00402C14">
        <w:rPr>
          <w:rFonts w:asciiTheme="majorHAnsi" w:hAnsiTheme="majorHAnsi" w:cstheme="majorHAnsi"/>
          <w:color w:val="000000" w:themeColor="text1"/>
        </w:rPr>
        <w:t xml:space="preserve"> improved overtime (Figure </w:t>
      </w:r>
      <w:r>
        <w:rPr>
          <w:rFonts w:asciiTheme="majorHAnsi" w:hAnsiTheme="majorHAnsi" w:cstheme="majorHAnsi"/>
          <w:color w:val="000000" w:themeColor="text1"/>
        </w:rPr>
        <w:t>10</w:t>
      </w:r>
      <w:r w:rsidRPr="00402C14">
        <w:rPr>
          <w:rFonts w:asciiTheme="majorHAnsi" w:hAnsiTheme="majorHAnsi" w:cstheme="majorHAnsi"/>
          <w:color w:val="000000" w:themeColor="text1"/>
        </w:rPr>
        <w:t>).</w:t>
      </w:r>
    </w:p>
    <w:p w14:paraId="568E772F" w14:textId="77777777" w:rsidR="008D0CAD" w:rsidRPr="006659EC" w:rsidRDefault="008D0CAD" w:rsidP="007C1A2E">
      <w:pPr>
        <w:spacing w:before="100" w:beforeAutospacing="1" w:after="100" w:afterAutospacing="1" w:line="360" w:lineRule="auto"/>
        <w:rPr>
          <w:rFonts w:asciiTheme="majorHAnsi" w:hAnsiTheme="majorHAnsi" w:cstheme="majorHAnsi"/>
          <w:color w:val="000000"/>
        </w:rPr>
      </w:pPr>
      <w:r w:rsidRPr="00402C14">
        <w:rPr>
          <w:rFonts w:asciiTheme="majorHAnsi" w:hAnsiTheme="majorHAnsi" w:cstheme="majorHAnsi"/>
          <w:color w:val="000000" w:themeColor="text1"/>
        </w:rPr>
        <w:t xml:space="preserve">Of these, 80 </w:t>
      </w:r>
      <w:r>
        <w:rPr>
          <w:rFonts w:asciiTheme="majorHAnsi" w:hAnsiTheme="majorHAnsi" w:cstheme="majorHAnsi"/>
          <w:color w:val="000000" w:themeColor="text1"/>
        </w:rPr>
        <w:t>per cent</w:t>
      </w:r>
      <w:r w:rsidRPr="00402C14">
        <w:rPr>
          <w:rFonts w:asciiTheme="majorHAnsi" w:hAnsiTheme="majorHAnsi" w:cstheme="majorHAnsi"/>
          <w:color w:val="000000" w:themeColor="text1"/>
        </w:rPr>
        <w:t xml:space="preserve"> said that their competency in “</w:t>
      </w:r>
      <w:r w:rsidRPr="0080387C">
        <w:rPr>
          <w:rFonts w:asciiTheme="majorHAnsi" w:hAnsiTheme="majorHAnsi" w:cstheme="majorHAnsi"/>
          <w:i/>
          <w:iCs/>
          <w:color w:val="000000" w:themeColor="text1"/>
        </w:rPr>
        <w:t>Managing school operations and resources</w:t>
      </w:r>
      <w:r>
        <w:rPr>
          <w:rFonts w:asciiTheme="majorHAnsi" w:hAnsiTheme="majorHAnsi" w:cstheme="majorHAnsi"/>
          <w:color w:val="000000"/>
        </w:rPr>
        <w:t>” had significantly increased while 70 per cent noted significant increases in competencies on “</w:t>
      </w:r>
      <w:r w:rsidRPr="0080387C">
        <w:rPr>
          <w:rFonts w:asciiTheme="majorHAnsi" w:hAnsiTheme="majorHAnsi" w:cstheme="majorHAnsi"/>
          <w:i/>
          <w:iCs/>
          <w:color w:val="000000"/>
        </w:rPr>
        <w:t>Nurturing own professional development and of teachers and other school personnel</w:t>
      </w:r>
      <w:r>
        <w:rPr>
          <w:rFonts w:asciiTheme="majorHAnsi" w:hAnsiTheme="majorHAnsi" w:cstheme="majorHAnsi"/>
          <w:color w:val="000000"/>
        </w:rPr>
        <w:t>”</w:t>
      </w:r>
      <w:r w:rsidRPr="006B29E3">
        <w:rPr>
          <w:rFonts w:asciiTheme="majorHAnsi" w:hAnsiTheme="majorHAnsi" w:cstheme="majorHAnsi"/>
          <w:color w:val="000000"/>
        </w:rPr>
        <w:t xml:space="preserve"> and </w:t>
      </w:r>
      <w:r>
        <w:rPr>
          <w:rFonts w:asciiTheme="majorHAnsi" w:hAnsiTheme="majorHAnsi" w:cstheme="majorHAnsi"/>
          <w:color w:val="000000"/>
        </w:rPr>
        <w:t>“</w:t>
      </w:r>
      <w:r w:rsidRPr="0080387C">
        <w:rPr>
          <w:rFonts w:asciiTheme="majorHAnsi" w:hAnsiTheme="majorHAnsi" w:cstheme="majorHAnsi"/>
          <w:i/>
          <w:iCs/>
          <w:color w:val="000000"/>
        </w:rPr>
        <w:t>Engaging stakeholders in initiatives towards improvement of the school community</w:t>
      </w:r>
      <w:r>
        <w:rPr>
          <w:rFonts w:asciiTheme="majorHAnsi" w:hAnsiTheme="majorHAnsi" w:cstheme="majorHAnsi"/>
          <w:color w:val="000000"/>
        </w:rPr>
        <w:t>”. The least improved competencies were in the areas of “</w:t>
      </w:r>
      <w:r w:rsidRPr="0080387C">
        <w:rPr>
          <w:rFonts w:asciiTheme="majorHAnsi" w:hAnsiTheme="majorHAnsi" w:cstheme="majorHAnsi"/>
          <w:i/>
          <w:iCs/>
          <w:color w:val="000000"/>
        </w:rPr>
        <w:t>Leading strategically</w:t>
      </w:r>
      <w:r>
        <w:rPr>
          <w:rFonts w:asciiTheme="majorHAnsi" w:hAnsiTheme="majorHAnsi" w:cstheme="majorHAnsi"/>
          <w:color w:val="000000"/>
        </w:rPr>
        <w:t>” and</w:t>
      </w:r>
      <w:r w:rsidRPr="00784A7C">
        <w:rPr>
          <w:rFonts w:asciiTheme="majorHAnsi" w:hAnsiTheme="majorHAnsi" w:cstheme="majorHAnsi"/>
          <w:color w:val="000000"/>
        </w:rPr>
        <w:t xml:space="preserve"> </w:t>
      </w:r>
      <w:r>
        <w:rPr>
          <w:rFonts w:asciiTheme="majorHAnsi" w:hAnsiTheme="majorHAnsi" w:cstheme="majorHAnsi"/>
          <w:color w:val="000000"/>
        </w:rPr>
        <w:t>“</w:t>
      </w:r>
      <w:r w:rsidRPr="0080387C">
        <w:rPr>
          <w:rFonts w:asciiTheme="majorHAnsi" w:hAnsiTheme="majorHAnsi" w:cstheme="majorHAnsi"/>
          <w:i/>
          <w:iCs/>
          <w:color w:val="000000"/>
        </w:rPr>
        <w:t>Managing diverse relationships</w:t>
      </w:r>
      <w:r>
        <w:rPr>
          <w:rFonts w:asciiTheme="majorHAnsi" w:hAnsiTheme="majorHAnsi" w:cstheme="majorHAnsi"/>
          <w:color w:val="000000"/>
        </w:rPr>
        <w:t>” as only 40 per cent indicated a significant improvement in these competencies.</w:t>
      </w:r>
    </w:p>
    <w:p w14:paraId="327F39C4" w14:textId="5AA2A011" w:rsidR="008D0CAD" w:rsidRPr="004A657A" w:rsidRDefault="008D0CAD" w:rsidP="007C1A2E">
      <w:pPr>
        <w:pStyle w:val="Caption"/>
        <w:pageBreakBefore/>
        <w:spacing w:before="100" w:beforeAutospacing="1" w:after="100" w:afterAutospacing="1" w:line="360" w:lineRule="auto"/>
        <w:rPr>
          <w:rFonts w:asciiTheme="majorHAnsi" w:hAnsiTheme="majorHAnsi" w:cstheme="majorHAnsi"/>
          <w:sz w:val="22"/>
          <w:szCs w:val="22"/>
        </w:rPr>
      </w:pPr>
      <w:bookmarkStart w:id="115" w:name="_Toc71616537"/>
      <w:r w:rsidRPr="004A657A">
        <w:rPr>
          <w:rFonts w:asciiTheme="majorHAnsi" w:hAnsiTheme="majorHAnsi" w:cstheme="majorHAnsi"/>
          <w:sz w:val="22"/>
          <w:szCs w:val="22"/>
        </w:rPr>
        <w:t xml:space="preserve">Figure </w:t>
      </w:r>
      <w:r w:rsidRPr="004A657A">
        <w:rPr>
          <w:rFonts w:asciiTheme="majorHAnsi" w:hAnsiTheme="majorHAnsi" w:cstheme="majorHAnsi"/>
          <w:sz w:val="22"/>
          <w:szCs w:val="22"/>
        </w:rPr>
        <w:fldChar w:fldCharType="begin"/>
      </w:r>
      <w:r w:rsidRPr="004A657A">
        <w:rPr>
          <w:rFonts w:asciiTheme="majorHAnsi" w:hAnsiTheme="majorHAnsi" w:cstheme="majorHAnsi"/>
          <w:sz w:val="22"/>
          <w:szCs w:val="22"/>
        </w:rPr>
        <w:instrText xml:space="preserve"> SEQ Figure \* ARABIC </w:instrText>
      </w:r>
      <w:r w:rsidRPr="004A657A">
        <w:rPr>
          <w:rFonts w:asciiTheme="majorHAnsi" w:hAnsiTheme="majorHAnsi" w:cstheme="majorHAnsi"/>
          <w:sz w:val="22"/>
          <w:szCs w:val="22"/>
        </w:rPr>
        <w:fldChar w:fldCharType="separate"/>
      </w:r>
      <w:r w:rsidR="00D6133D">
        <w:rPr>
          <w:rFonts w:asciiTheme="majorHAnsi" w:hAnsiTheme="majorHAnsi" w:cstheme="majorHAnsi"/>
          <w:noProof/>
          <w:sz w:val="22"/>
          <w:szCs w:val="22"/>
        </w:rPr>
        <w:t>10</w:t>
      </w:r>
      <w:r w:rsidRPr="004A657A">
        <w:rPr>
          <w:rFonts w:asciiTheme="majorHAnsi" w:hAnsiTheme="majorHAnsi" w:cstheme="majorHAnsi"/>
          <w:sz w:val="22"/>
          <w:szCs w:val="22"/>
        </w:rPr>
        <w:fldChar w:fldCharType="end"/>
      </w:r>
      <w:r w:rsidRPr="004A657A">
        <w:rPr>
          <w:rFonts w:asciiTheme="majorHAnsi" w:hAnsiTheme="majorHAnsi" w:cstheme="majorHAnsi"/>
          <w:sz w:val="22"/>
          <w:szCs w:val="22"/>
        </w:rPr>
        <w:t>. Changes in Competencies of Principals (Follow-Up Study, n=11)</w:t>
      </w:r>
      <w:bookmarkEnd w:id="115"/>
    </w:p>
    <w:p w14:paraId="54AF11E1" w14:textId="4BF43455" w:rsidR="008D0CAD" w:rsidRPr="00BD6D45" w:rsidRDefault="008D0CAD" w:rsidP="007C1A2E">
      <w:pPr>
        <w:spacing w:before="100" w:beforeAutospacing="1" w:after="100" w:afterAutospacing="1" w:line="360" w:lineRule="auto"/>
        <w:rPr>
          <w:rFonts w:asciiTheme="majorHAnsi" w:hAnsiTheme="majorHAnsi" w:cstheme="majorHAnsi"/>
          <w:color w:val="000000" w:themeColor="text1"/>
          <w:sz w:val="20"/>
          <w:szCs w:val="20"/>
        </w:rPr>
      </w:pPr>
      <w:r>
        <w:rPr>
          <w:rFonts w:asciiTheme="majorHAnsi" w:hAnsiTheme="majorHAnsi" w:cstheme="majorHAnsi"/>
          <w:noProof/>
          <w:color w:val="000000" w:themeColor="text1"/>
          <w:sz w:val="20"/>
          <w:szCs w:val="20"/>
          <w:lang w:val="en-AU" w:eastAsia="en-AU"/>
        </w:rPr>
        <w:drawing>
          <wp:inline distT="0" distB="0" distL="0" distR="0" wp14:anchorId="72AF4301" wp14:editId="32B39250">
            <wp:extent cx="5652535" cy="3158066"/>
            <wp:effectExtent l="0" t="0" r="0" b="4445"/>
            <wp:docPr id="52" name="Picture 52" descr="Changes in Competencies of Principals during the Follow Up Study (n=11); Highest increases at 50% is &quot;leading strategically and &quot;Managing diverse relationship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hanges in Competencies of Principals during the Follow Up Study (n=11); Highest increases at 50% is &quot;leading strategically and &quot;Managing diverse relationships&quot;"/>
                    <pic:cNvPicPr/>
                  </pic:nvPicPr>
                  <pic:blipFill rotWithShape="1">
                    <a:blip r:embed="rId32" cstate="print">
                      <a:extLst>
                        <a:ext uri="{28A0092B-C50C-407E-A947-70E740481C1C}">
                          <a14:useLocalDpi xmlns:a14="http://schemas.microsoft.com/office/drawing/2010/main" val="0"/>
                        </a:ext>
                      </a:extLst>
                    </a:blip>
                    <a:srcRect l="23035" t="27644" r="22657" b="23796"/>
                    <a:stretch/>
                  </pic:blipFill>
                  <pic:spPr bwMode="auto">
                    <a:xfrm>
                      <a:off x="0" y="0"/>
                      <a:ext cx="5662225" cy="3163480"/>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color w:val="000000" w:themeColor="text1"/>
          <w:sz w:val="20"/>
          <w:szCs w:val="20"/>
        </w:rPr>
        <w:t xml:space="preserve"> </w:t>
      </w:r>
      <w:bookmarkEnd w:id="113"/>
      <w:bookmarkEnd w:id="114"/>
    </w:p>
    <w:p w14:paraId="5B4DC120" w14:textId="20FF29B1" w:rsidR="008D0CAD" w:rsidRPr="00D643AE" w:rsidRDefault="008D0CAD" w:rsidP="00DD08E3">
      <w:pPr>
        <w:pStyle w:val="Heading5"/>
        <w:numPr>
          <w:ilvl w:val="3"/>
          <w:numId w:val="163"/>
        </w:numPr>
        <w:spacing w:before="100" w:beforeAutospacing="1" w:after="100" w:afterAutospacing="1" w:line="360" w:lineRule="auto"/>
      </w:pPr>
      <w:r>
        <w:t>School Heads Leadership Development Program (SHLDP)</w:t>
      </w:r>
    </w:p>
    <w:p w14:paraId="50F6C10A" w14:textId="71CF043D" w:rsidR="008D0CAD" w:rsidRPr="0016225A" w:rsidRDefault="008D0CAD" w:rsidP="007C1A2E">
      <w:pPr>
        <w:spacing w:before="100" w:beforeAutospacing="1" w:after="100" w:afterAutospacing="1" w:line="360" w:lineRule="auto"/>
        <w:rPr>
          <w:rFonts w:asciiTheme="majorHAnsi" w:eastAsiaTheme="minorHAnsi" w:hAnsiTheme="majorHAnsi" w:cstheme="majorHAnsi"/>
          <w:color w:val="C00000"/>
        </w:rPr>
      </w:pPr>
      <w:r>
        <w:rPr>
          <w:rFonts w:asciiTheme="majorHAnsi" w:hAnsiTheme="majorHAnsi" w:cstheme="majorHAnsi"/>
        </w:rPr>
        <w:t>One key</w:t>
      </w:r>
      <w:r w:rsidRPr="00DC28C3">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BEST Program </w:t>
      </w:r>
      <w:r>
        <w:rPr>
          <w:rFonts w:asciiTheme="majorHAnsi" w:hAnsiTheme="majorHAnsi" w:cstheme="majorHAnsi"/>
        </w:rPr>
        <w:t xml:space="preserve">intervention under the L&amp;D </w:t>
      </w:r>
      <w:r w:rsidRPr="00DC28C3">
        <w:rPr>
          <w:rFonts w:asciiTheme="majorHAnsi" w:hAnsiTheme="majorHAnsi" w:cstheme="majorHAnsi"/>
          <w:color w:val="000000" w:themeColor="text1"/>
        </w:rPr>
        <w:t>System</w:t>
      </w:r>
      <w:r>
        <w:rPr>
          <w:rFonts w:asciiTheme="majorHAnsi" w:hAnsiTheme="majorHAnsi" w:cstheme="majorHAnsi"/>
          <w:color w:val="000000" w:themeColor="text1"/>
        </w:rPr>
        <w:t xml:space="preserve"> </w:t>
      </w:r>
      <w:r w:rsidRPr="00DC28C3">
        <w:rPr>
          <w:rFonts w:asciiTheme="majorHAnsi" w:hAnsiTheme="majorHAnsi" w:cstheme="majorHAnsi"/>
          <w:color w:val="000000" w:themeColor="text1"/>
        </w:rPr>
        <w:t>was the</w:t>
      </w:r>
      <w:r>
        <w:rPr>
          <w:rFonts w:asciiTheme="majorHAnsi" w:hAnsiTheme="majorHAnsi" w:cstheme="majorHAnsi"/>
          <w:color w:val="000000" w:themeColor="text1"/>
        </w:rPr>
        <w:t xml:space="preserve"> development of the</w:t>
      </w:r>
      <w:r w:rsidRPr="00DC28C3">
        <w:rPr>
          <w:rFonts w:asciiTheme="majorHAnsi" w:hAnsiTheme="majorHAnsi" w:cstheme="majorHAnsi"/>
          <w:color w:val="000000" w:themeColor="text1"/>
        </w:rPr>
        <w:t xml:space="preserve"> </w:t>
      </w:r>
      <w:r w:rsidRPr="00DC28C3">
        <w:rPr>
          <w:rFonts w:asciiTheme="majorHAnsi" w:eastAsiaTheme="minorHAnsi" w:hAnsiTheme="majorHAnsi" w:cstheme="majorHAnsi"/>
          <w:color w:val="000000" w:themeColor="text1"/>
        </w:rPr>
        <w:t>School Head</w:t>
      </w:r>
      <w:r>
        <w:rPr>
          <w:rFonts w:asciiTheme="majorHAnsi" w:eastAsiaTheme="minorHAnsi" w:hAnsiTheme="majorHAnsi" w:cstheme="majorHAnsi"/>
          <w:color w:val="000000" w:themeColor="text1"/>
        </w:rPr>
        <w:t>s</w:t>
      </w:r>
      <w:r w:rsidRPr="00DC28C3">
        <w:rPr>
          <w:rFonts w:asciiTheme="majorHAnsi" w:eastAsiaTheme="minorHAnsi" w:hAnsiTheme="majorHAnsi" w:cstheme="majorHAnsi"/>
          <w:color w:val="000000" w:themeColor="text1"/>
        </w:rPr>
        <w:t xml:space="preserve"> Leadership Development Program</w:t>
      </w:r>
      <w:r>
        <w:rPr>
          <w:rFonts w:asciiTheme="majorHAnsi" w:eastAsiaTheme="minorHAnsi" w:hAnsiTheme="majorHAnsi" w:cstheme="majorHAnsi"/>
          <w:color w:val="000000" w:themeColor="text1"/>
        </w:rPr>
        <w:t xml:space="preserve"> (</w:t>
      </w:r>
      <w:r w:rsidRPr="00DC28C3">
        <w:rPr>
          <w:rFonts w:asciiTheme="majorHAnsi" w:hAnsiTheme="majorHAnsi" w:cstheme="majorHAnsi"/>
          <w:color w:val="000000" w:themeColor="text1"/>
        </w:rPr>
        <w:t>SHLDP</w:t>
      </w:r>
      <w:r>
        <w:rPr>
          <w:rFonts w:asciiTheme="majorHAnsi" w:hAnsiTheme="majorHAnsi" w:cstheme="majorHAnsi"/>
          <w:color w:val="000000" w:themeColor="text1"/>
        </w:rPr>
        <w:t>)</w:t>
      </w:r>
      <w:r w:rsidRPr="00DC28C3">
        <w:rPr>
          <w:rFonts w:asciiTheme="majorHAnsi" w:hAnsiTheme="majorHAnsi" w:cstheme="majorHAnsi"/>
          <w:color w:val="000000" w:themeColor="text1"/>
        </w:rPr>
        <w:t xml:space="preserve"> </w:t>
      </w:r>
      <w:r>
        <w:rPr>
          <w:rFonts w:asciiTheme="majorHAnsi" w:eastAsiaTheme="minorHAnsi" w:hAnsiTheme="majorHAnsi" w:cstheme="majorHAnsi"/>
          <w:color w:val="000000" w:themeColor="text1"/>
        </w:rPr>
        <w:t>modules</w:t>
      </w:r>
      <w:r w:rsidRPr="00DC28C3">
        <w:rPr>
          <w:rFonts w:asciiTheme="majorHAnsi" w:eastAsiaTheme="minorHAnsi" w:hAnsiTheme="majorHAnsi" w:cstheme="majorHAnsi"/>
          <w:color w:val="000000" w:themeColor="text1"/>
        </w:rPr>
        <w:t>.</w:t>
      </w:r>
      <w:r w:rsidR="00D434EB">
        <w:rPr>
          <w:rFonts w:asciiTheme="majorHAnsi" w:eastAsiaTheme="minorHAnsi" w:hAnsiTheme="majorHAnsi" w:cstheme="majorHAnsi"/>
          <w:color w:val="000000" w:themeColor="text1"/>
        </w:rPr>
        <w:t xml:space="preserve"> </w:t>
      </w:r>
    </w:p>
    <w:p w14:paraId="2558835D" w14:textId="2DE29E0F" w:rsidR="008D0CAD" w:rsidRDefault="008D0CAD" w:rsidP="007C1A2E">
      <w:pPr>
        <w:spacing w:before="100" w:beforeAutospacing="1" w:after="100" w:afterAutospacing="1" w:line="360" w:lineRule="auto"/>
        <w:rPr>
          <w:rFonts w:asciiTheme="majorHAnsi" w:hAnsiTheme="majorHAnsi" w:cstheme="majorHAnsi"/>
        </w:rPr>
      </w:pPr>
      <w:r>
        <w:rPr>
          <w:rFonts w:asciiTheme="majorHAnsi" w:hAnsiTheme="majorHAnsi" w:cstheme="majorHAnsi"/>
        </w:rPr>
        <w:t>Survey results</w:t>
      </w:r>
      <w:r>
        <w:rPr>
          <w:rStyle w:val="FootnoteReference"/>
          <w:rFonts w:asciiTheme="majorHAnsi" w:eastAsia="Arial Unicode MS" w:hAnsiTheme="majorHAnsi" w:cstheme="majorHAnsi"/>
        </w:rPr>
        <w:footnoteReference w:id="42"/>
      </w:r>
      <w:r>
        <w:rPr>
          <w:rFonts w:asciiTheme="majorHAnsi" w:hAnsiTheme="majorHAnsi" w:cstheme="majorHAnsi"/>
        </w:rPr>
        <w:t xml:space="preserve"> showed that only six principals noted they took and completed the </w:t>
      </w:r>
      <w:r w:rsidRPr="007A59F9">
        <w:rPr>
          <w:rFonts w:asciiTheme="majorHAnsi" w:hAnsiTheme="majorHAnsi" w:cstheme="majorHAnsi"/>
        </w:rPr>
        <w:t>SH</w:t>
      </w:r>
      <w:r>
        <w:rPr>
          <w:rFonts w:asciiTheme="majorHAnsi" w:hAnsiTheme="majorHAnsi" w:cstheme="majorHAnsi"/>
        </w:rPr>
        <w:t>L</w:t>
      </w:r>
      <w:r w:rsidRPr="007A59F9">
        <w:rPr>
          <w:rFonts w:asciiTheme="majorHAnsi" w:hAnsiTheme="majorHAnsi" w:cstheme="majorHAnsi"/>
        </w:rPr>
        <w:t xml:space="preserve">DP </w:t>
      </w:r>
      <w:r>
        <w:rPr>
          <w:rFonts w:asciiTheme="majorHAnsi" w:hAnsiTheme="majorHAnsi" w:cstheme="majorHAnsi"/>
        </w:rPr>
        <w:t>while another three principals said they completed one or two modules.</w:t>
      </w:r>
      <w:r w:rsidR="00D434EB">
        <w:rPr>
          <w:rFonts w:asciiTheme="majorHAnsi" w:hAnsiTheme="majorHAnsi" w:cstheme="majorHAnsi"/>
        </w:rPr>
        <w:t xml:space="preserve"> </w:t>
      </w:r>
      <w:r>
        <w:rPr>
          <w:rFonts w:asciiTheme="majorHAnsi" w:hAnsiTheme="majorHAnsi" w:cstheme="majorHAnsi"/>
        </w:rPr>
        <w:t>Moreover, principals said that:</w:t>
      </w:r>
      <w:r>
        <w:rPr>
          <w:rStyle w:val="FootnoteReference"/>
          <w:rFonts w:asciiTheme="majorHAnsi" w:eastAsia="Arial Unicode MS" w:hAnsiTheme="majorHAnsi" w:cstheme="majorHAnsi"/>
        </w:rPr>
        <w:footnoteReference w:id="43"/>
      </w:r>
    </w:p>
    <w:p w14:paraId="4FB43B62" w14:textId="77777777" w:rsidR="008D0CAD" w:rsidRDefault="008D0CAD" w:rsidP="007C1A2E">
      <w:pPr>
        <w:pStyle w:val="ListParagraph"/>
        <w:numPr>
          <w:ilvl w:val="0"/>
          <w:numId w:val="35"/>
        </w:numPr>
        <w:spacing w:before="100" w:beforeAutospacing="1" w:after="100" w:afterAutospacing="1" w:line="360" w:lineRule="auto"/>
        <w:rPr>
          <w:rFonts w:asciiTheme="majorHAnsi" w:hAnsiTheme="majorHAnsi" w:cstheme="majorHAnsi"/>
        </w:rPr>
      </w:pPr>
      <w:r w:rsidRPr="00D451B8">
        <w:rPr>
          <w:rFonts w:asciiTheme="majorHAnsi" w:hAnsiTheme="majorHAnsi" w:cstheme="majorHAnsi"/>
        </w:rPr>
        <w:t xml:space="preserve">58 </w:t>
      </w:r>
      <w:r>
        <w:rPr>
          <w:rFonts w:asciiTheme="majorHAnsi" w:hAnsiTheme="majorHAnsi" w:cstheme="majorHAnsi"/>
        </w:rPr>
        <w:t>per cent</w:t>
      </w:r>
      <w:r w:rsidRPr="00D451B8">
        <w:rPr>
          <w:rFonts w:asciiTheme="majorHAnsi" w:hAnsiTheme="majorHAnsi" w:cstheme="majorHAnsi"/>
        </w:rPr>
        <w:t xml:space="preserve"> of </w:t>
      </w:r>
      <w:r>
        <w:rPr>
          <w:rFonts w:asciiTheme="majorHAnsi" w:hAnsiTheme="majorHAnsi" w:cstheme="majorHAnsi"/>
        </w:rPr>
        <w:t>them</w:t>
      </w:r>
      <w:r w:rsidRPr="00D451B8">
        <w:rPr>
          <w:rFonts w:asciiTheme="majorHAnsi" w:hAnsiTheme="majorHAnsi" w:cstheme="majorHAnsi"/>
        </w:rPr>
        <w:t xml:space="preserve"> have good knowledge </w:t>
      </w:r>
      <w:r>
        <w:rPr>
          <w:rFonts w:asciiTheme="majorHAnsi" w:hAnsiTheme="majorHAnsi" w:cstheme="majorHAnsi"/>
        </w:rPr>
        <w:t xml:space="preserve">of the SHLDP </w:t>
      </w:r>
      <w:r w:rsidRPr="00D451B8">
        <w:rPr>
          <w:rFonts w:asciiTheme="majorHAnsi" w:hAnsiTheme="majorHAnsi" w:cstheme="majorHAnsi"/>
        </w:rPr>
        <w:t>(35</w:t>
      </w:r>
      <w:r>
        <w:rPr>
          <w:rFonts w:asciiTheme="majorHAnsi" w:hAnsiTheme="majorHAnsi" w:cstheme="majorHAnsi"/>
        </w:rPr>
        <w:t xml:space="preserve"> per cent</w:t>
      </w:r>
      <w:r w:rsidRPr="00D451B8">
        <w:rPr>
          <w:rFonts w:asciiTheme="majorHAnsi" w:hAnsiTheme="majorHAnsi" w:cstheme="majorHAnsi"/>
        </w:rPr>
        <w:t xml:space="preserve"> sufficient knowledge and 23</w:t>
      </w:r>
      <w:r>
        <w:rPr>
          <w:rFonts w:asciiTheme="majorHAnsi" w:hAnsiTheme="majorHAnsi" w:cstheme="majorHAnsi"/>
        </w:rPr>
        <w:t xml:space="preserve"> per cent</w:t>
      </w:r>
      <w:r w:rsidRPr="00D451B8">
        <w:rPr>
          <w:rFonts w:asciiTheme="majorHAnsi" w:hAnsiTheme="majorHAnsi" w:cstheme="majorHAnsi"/>
        </w:rPr>
        <w:t xml:space="preserve"> comprehensive knowledge)</w:t>
      </w:r>
      <w:r>
        <w:rPr>
          <w:rFonts w:asciiTheme="majorHAnsi" w:hAnsiTheme="majorHAnsi" w:cstheme="majorHAnsi"/>
        </w:rPr>
        <w:t xml:space="preserve">; </w:t>
      </w:r>
    </w:p>
    <w:p w14:paraId="50570C12" w14:textId="77777777" w:rsidR="008D0CAD" w:rsidRDefault="008D0CAD" w:rsidP="007C1A2E">
      <w:pPr>
        <w:pStyle w:val="ListParagraph"/>
        <w:numPr>
          <w:ilvl w:val="0"/>
          <w:numId w:val="35"/>
        </w:numPr>
        <w:spacing w:before="100" w:beforeAutospacing="1" w:after="100" w:afterAutospacing="1" w:line="360" w:lineRule="auto"/>
        <w:rPr>
          <w:rFonts w:asciiTheme="majorHAnsi" w:hAnsiTheme="majorHAnsi" w:cstheme="majorHAnsi"/>
        </w:rPr>
      </w:pPr>
      <w:r>
        <w:rPr>
          <w:rFonts w:asciiTheme="majorHAnsi" w:hAnsiTheme="majorHAnsi" w:cstheme="majorHAnsi"/>
        </w:rPr>
        <w:t>69</w:t>
      </w:r>
      <w:r w:rsidRPr="00D451B8">
        <w:rPr>
          <w:rFonts w:asciiTheme="majorHAnsi" w:hAnsiTheme="majorHAnsi" w:cstheme="majorHAnsi"/>
        </w:rPr>
        <w:t xml:space="preserve"> </w:t>
      </w:r>
      <w:r>
        <w:rPr>
          <w:rFonts w:asciiTheme="majorHAnsi" w:hAnsiTheme="majorHAnsi" w:cstheme="majorHAnsi"/>
        </w:rPr>
        <w:t>per cent</w:t>
      </w:r>
      <w:r w:rsidRPr="00D451B8">
        <w:rPr>
          <w:rFonts w:asciiTheme="majorHAnsi" w:hAnsiTheme="majorHAnsi" w:cstheme="majorHAnsi"/>
        </w:rPr>
        <w:t xml:space="preserve"> of </w:t>
      </w:r>
      <w:r>
        <w:rPr>
          <w:rFonts w:asciiTheme="majorHAnsi" w:hAnsiTheme="majorHAnsi" w:cstheme="majorHAnsi"/>
        </w:rPr>
        <w:t>them</w:t>
      </w:r>
      <w:r w:rsidRPr="00D451B8">
        <w:rPr>
          <w:rFonts w:asciiTheme="majorHAnsi" w:hAnsiTheme="majorHAnsi" w:cstheme="majorHAnsi"/>
        </w:rPr>
        <w:t xml:space="preserve"> have </w:t>
      </w:r>
      <w:r>
        <w:rPr>
          <w:rFonts w:asciiTheme="majorHAnsi" w:hAnsiTheme="majorHAnsi" w:cstheme="majorHAnsi"/>
        </w:rPr>
        <w:t>full access</w:t>
      </w:r>
      <w:r w:rsidRPr="00D451B8">
        <w:rPr>
          <w:rFonts w:asciiTheme="majorHAnsi" w:hAnsiTheme="majorHAnsi" w:cstheme="majorHAnsi"/>
        </w:rPr>
        <w:t xml:space="preserve"> </w:t>
      </w:r>
      <w:r>
        <w:rPr>
          <w:rFonts w:asciiTheme="majorHAnsi" w:hAnsiTheme="majorHAnsi" w:cstheme="majorHAnsi"/>
        </w:rPr>
        <w:t xml:space="preserve">of the SHLDP </w:t>
      </w:r>
      <w:r w:rsidRPr="00D451B8">
        <w:rPr>
          <w:rFonts w:asciiTheme="majorHAnsi" w:hAnsiTheme="majorHAnsi" w:cstheme="majorHAnsi"/>
        </w:rPr>
        <w:t>(35</w:t>
      </w:r>
      <w:r>
        <w:rPr>
          <w:rFonts w:asciiTheme="majorHAnsi" w:hAnsiTheme="majorHAnsi" w:cstheme="majorHAnsi"/>
        </w:rPr>
        <w:t xml:space="preserve"> per cent</w:t>
      </w:r>
      <w:r w:rsidRPr="00D451B8">
        <w:rPr>
          <w:rFonts w:asciiTheme="majorHAnsi" w:hAnsiTheme="majorHAnsi" w:cstheme="majorHAnsi"/>
        </w:rPr>
        <w:t xml:space="preserve"> sufficient knowledge and </w:t>
      </w:r>
      <w:r>
        <w:rPr>
          <w:rFonts w:asciiTheme="majorHAnsi" w:hAnsiTheme="majorHAnsi" w:cstheme="majorHAnsi"/>
        </w:rPr>
        <w:t>35 per cent</w:t>
      </w:r>
      <w:r w:rsidRPr="00D451B8">
        <w:rPr>
          <w:rFonts w:asciiTheme="majorHAnsi" w:hAnsiTheme="majorHAnsi" w:cstheme="majorHAnsi"/>
        </w:rPr>
        <w:t xml:space="preserve"> comprehensive knowledge)</w:t>
      </w:r>
      <w:r>
        <w:rPr>
          <w:rFonts w:asciiTheme="majorHAnsi" w:hAnsiTheme="majorHAnsi" w:cstheme="majorHAnsi"/>
        </w:rPr>
        <w:t>; and</w:t>
      </w:r>
    </w:p>
    <w:p w14:paraId="3676F6D7" w14:textId="77777777" w:rsidR="008D0CAD" w:rsidRPr="00D451B8" w:rsidRDefault="008D0CAD" w:rsidP="007C1A2E">
      <w:pPr>
        <w:pStyle w:val="ListParagraph"/>
        <w:numPr>
          <w:ilvl w:val="0"/>
          <w:numId w:val="35"/>
        </w:numPr>
        <w:spacing w:before="100" w:beforeAutospacing="1" w:after="100" w:afterAutospacing="1" w:line="360" w:lineRule="auto"/>
        <w:rPr>
          <w:rFonts w:asciiTheme="majorHAnsi" w:hAnsiTheme="majorHAnsi" w:cstheme="majorHAnsi"/>
        </w:rPr>
      </w:pPr>
      <w:r>
        <w:rPr>
          <w:rFonts w:asciiTheme="majorHAnsi" w:hAnsiTheme="majorHAnsi" w:cstheme="majorHAnsi"/>
        </w:rPr>
        <w:t>73</w:t>
      </w:r>
      <w:r w:rsidRPr="00D451B8">
        <w:rPr>
          <w:rFonts w:asciiTheme="majorHAnsi" w:hAnsiTheme="majorHAnsi" w:cstheme="majorHAnsi"/>
        </w:rPr>
        <w:t xml:space="preserve"> </w:t>
      </w:r>
      <w:r>
        <w:rPr>
          <w:rFonts w:asciiTheme="majorHAnsi" w:hAnsiTheme="majorHAnsi" w:cstheme="majorHAnsi"/>
        </w:rPr>
        <w:t>per cent</w:t>
      </w:r>
      <w:r w:rsidRPr="00D451B8">
        <w:rPr>
          <w:rFonts w:asciiTheme="majorHAnsi" w:hAnsiTheme="majorHAnsi" w:cstheme="majorHAnsi"/>
        </w:rPr>
        <w:t xml:space="preserve"> of </w:t>
      </w:r>
      <w:r>
        <w:rPr>
          <w:rFonts w:asciiTheme="majorHAnsi" w:hAnsiTheme="majorHAnsi" w:cstheme="majorHAnsi"/>
        </w:rPr>
        <w:t>the Principals</w:t>
      </w:r>
      <w:r w:rsidRPr="00D451B8">
        <w:rPr>
          <w:rFonts w:asciiTheme="majorHAnsi" w:hAnsiTheme="majorHAnsi" w:cstheme="majorHAnsi"/>
        </w:rPr>
        <w:t xml:space="preserve"> </w:t>
      </w:r>
      <w:r>
        <w:rPr>
          <w:rFonts w:asciiTheme="majorHAnsi" w:hAnsiTheme="majorHAnsi" w:cstheme="majorHAnsi"/>
        </w:rPr>
        <w:t xml:space="preserve">find the SHLDP useful </w:t>
      </w:r>
      <w:r w:rsidRPr="00D451B8">
        <w:rPr>
          <w:rFonts w:asciiTheme="majorHAnsi" w:hAnsiTheme="majorHAnsi" w:cstheme="majorHAnsi"/>
        </w:rPr>
        <w:t>(</w:t>
      </w:r>
      <w:r>
        <w:rPr>
          <w:rFonts w:asciiTheme="majorHAnsi" w:hAnsiTheme="majorHAnsi" w:cstheme="majorHAnsi"/>
        </w:rPr>
        <w:t>58 per cent</w:t>
      </w:r>
      <w:r w:rsidRPr="00D451B8">
        <w:rPr>
          <w:rFonts w:asciiTheme="majorHAnsi" w:hAnsiTheme="majorHAnsi" w:cstheme="majorHAnsi"/>
        </w:rPr>
        <w:t xml:space="preserve"> sufficient knowledge and </w:t>
      </w:r>
      <w:r>
        <w:rPr>
          <w:rFonts w:asciiTheme="majorHAnsi" w:hAnsiTheme="majorHAnsi" w:cstheme="majorHAnsi"/>
        </w:rPr>
        <w:t>15 per cent</w:t>
      </w:r>
      <w:r w:rsidRPr="00D451B8">
        <w:rPr>
          <w:rFonts w:asciiTheme="majorHAnsi" w:hAnsiTheme="majorHAnsi" w:cstheme="majorHAnsi"/>
        </w:rPr>
        <w:t xml:space="preserve"> comprehensive knowledge)</w:t>
      </w:r>
      <w:r>
        <w:rPr>
          <w:rFonts w:asciiTheme="majorHAnsi" w:hAnsiTheme="majorHAnsi" w:cstheme="majorHAnsi"/>
        </w:rPr>
        <w:t>.</w:t>
      </w:r>
      <w:r>
        <w:rPr>
          <w:rStyle w:val="FootnoteReference"/>
          <w:rFonts w:asciiTheme="majorHAnsi" w:eastAsia="Arial Unicode MS" w:hAnsiTheme="majorHAnsi" w:cstheme="majorHAnsi"/>
        </w:rPr>
        <w:footnoteReference w:id="44"/>
      </w:r>
    </w:p>
    <w:p w14:paraId="0CE869F4" w14:textId="77777777" w:rsidR="008D0CAD" w:rsidRPr="00020D54" w:rsidRDefault="008D0CAD" w:rsidP="007C1A2E">
      <w:pPr>
        <w:spacing w:before="100" w:beforeAutospacing="1" w:after="100" w:afterAutospacing="1" w:line="360" w:lineRule="auto"/>
        <w:rPr>
          <w:rFonts w:ascii="Calibri Light" w:hAnsi="Calibri Light" w:cs="Calibri Light"/>
          <w:color w:val="000000"/>
        </w:rPr>
      </w:pPr>
      <w:r w:rsidRPr="00621A53">
        <w:rPr>
          <w:rFonts w:asciiTheme="majorHAnsi" w:eastAsiaTheme="minorHAnsi" w:hAnsiTheme="majorHAnsi" w:cstheme="majorHAnsi"/>
          <w:color w:val="000000" w:themeColor="text1"/>
        </w:rPr>
        <w:t xml:space="preserve">In the Follow-up Study, 50 </w:t>
      </w:r>
      <w:r>
        <w:rPr>
          <w:rFonts w:asciiTheme="majorHAnsi" w:eastAsiaTheme="minorHAnsi" w:hAnsiTheme="majorHAnsi" w:cstheme="majorHAnsi"/>
          <w:color w:val="000000" w:themeColor="text1"/>
        </w:rPr>
        <w:t>per cent</w:t>
      </w:r>
      <w:r w:rsidRPr="00621A53">
        <w:rPr>
          <w:rFonts w:asciiTheme="majorHAnsi" w:eastAsiaTheme="minorHAnsi" w:hAnsiTheme="majorHAnsi" w:cstheme="majorHAnsi"/>
          <w:color w:val="000000" w:themeColor="text1"/>
        </w:rPr>
        <w:t xml:space="preserve"> of </w:t>
      </w:r>
      <w:r>
        <w:rPr>
          <w:rFonts w:asciiTheme="majorHAnsi" w:eastAsiaTheme="minorHAnsi" w:hAnsiTheme="majorHAnsi" w:cstheme="majorHAnsi"/>
          <w:color w:val="000000" w:themeColor="text1"/>
        </w:rPr>
        <w:t>principals</w:t>
      </w:r>
      <w:r w:rsidRPr="00621A53">
        <w:rPr>
          <w:rFonts w:asciiTheme="majorHAnsi" w:eastAsiaTheme="minorHAnsi" w:hAnsiTheme="majorHAnsi" w:cstheme="majorHAnsi"/>
          <w:color w:val="000000" w:themeColor="text1"/>
        </w:rPr>
        <w:t xml:space="preserve"> stated that they used the </w:t>
      </w:r>
      <w:r w:rsidRPr="00621A53">
        <w:rPr>
          <w:rFonts w:asciiTheme="majorHAnsi" w:hAnsiTheme="majorHAnsi" w:cstheme="majorHAnsi"/>
          <w:color w:val="000000" w:themeColor="text1"/>
        </w:rPr>
        <w:t xml:space="preserve">SHLDP and two of the five rated the SHLDP </w:t>
      </w:r>
      <w:r>
        <w:rPr>
          <w:rFonts w:asciiTheme="majorHAnsi" w:hAnsiTheme="majorHAnsi" w:cstheme="majorHAnsi"/>
          <w:color w:val="000000" w:themeColor="text1"/>
        </w:rPr>
        <w:t>m</w:t>
      </w:r>
      <w:r w:rsidRPr="00621A53">
        <w:rPr>
          <w:rFonts w:asciiTheme="majorHAnsi" w:hAnsiTheme="majorHAnsi" w:cstheme="majorHAnsi"/>
          <w:color w:val="000000" w:themeColor="text1"/>
        </w:rPr>
        <w:t xml:space="preserve">odules as Very High in terms of: </w:t>
      </w:r>
      <w:r w:rsidRPr="00621A53">
        <w:rPr>
          <w:rFonts w:ascii="Calibri Light" w:hAnsi="Calibri Light" w:cs="Calibri Light"/>
          <w:color w:val="000000"/>
        </w:rPr>
        <w:t xml:space="preserve">Appropriateness as a training modality for </w:t>
      </w:r>
      <w:r>
        <w:rPr>
          <w:rFonts w:ascii="Calibri Light" w:hAnsi="Calibri Light" w:cs="Calibri Light"/>
          <w:color w:val="000000"/>
        </w:rPr>
        <w:t>p</w:t>
      </w:r>
      <w:r w:rsidRPr="00621A53">
        <w:rPr>
          <w:rFonts w:ascii="Calibri Light" w:hAnsi="Calibri Light" w:cs="Calibri Light"/>
          <w:color w:val="000000"/>
        </w:rPr>
        <w:t>rincipals and School Heads</w:t>
      </w:r>
      <w:r>
        <w:rPr>
          <w:rFonts w:ascii="Calibri Light" w:hAnsi="Calibri Light" w:cs="Calibri Light"/>
          <w:color w:val="000000"/>
        </w:rPr>
        <w:t>; p</w:t>
      </w:r>
      <w:r w:rsidRPr="00621A53">
        <w:rPr>
          <w:rFonts w:ascii="Calibri Light" w:hAnsi="Calibri Light" w:cs="Calibri Light"/>
          <w:color w:val="000000"/>
        </w:rPr>
        <w:t>rincipals and School Heads’ acceptance of the training modality</w:t>
      </w:r>
      <w:r>
        <w:rPr>
          <w:rFonts w:ascii="Calibri Light" w:hAnsi="Calibri Light" w:cs="Calibri Light"/>
          <w:color w:val="000000"/>
        </w:rPr>
        <w:t>; and</w:t>
      </w:r>
      <w:r>
        <w:rPr>
          <w:rFonts w:asciiTheme="majorHAnsi" w:hAnsiTheme="majorHAnsi" w:cstheme="majorHAnsi"/>
          <w:color w:val="000000" w:themeColor="text1"/>
        </w:rPr>
        <w:t xml:space="preserve"> </w:t>
      </w:r>
      <w:r>
        <w:rPr>
          <w:rFonts w:ascii="Calibri Light" w:hAnsi="Calibri Light" w:cs="Calibri Light"/>
          <w:color w:val="000000"/>
        </w:rPr>
        <w:t>u</w:t>
      </w:r>
      <w:r w:rsidRPr="00621A53">
        <w:rPr>
          <w:rFonts w:ascii="Calibri Light" w:hAnsi="Calibri Light" w:cs="Calibri Light"/>
          <w:color w:val="000000"/>
        </w:rPr>
        <w:t>sefulness of the training modality in improving leadership and management competencies</w:t>
      </w:r>
      <w:r>
        <w:rPr>
          <w:rFonts w:ascii="Calibri Light" w:hAnsi="Calibri Light" w:cs="Calibri Light"/>
          <w:color w:val="000000"/>
        </w:rPr>
        <w:t>.</w:t>
      </w:r>
      <w:r>
        <w:rPr>
          <w:rStyle w:val="FootnoteReference"/>
          <w:rFonts w:ascii="Calibri Light" w:eastAsia="Arial Unicode MS" w:hAnsi="Calibri Light" w:cs="Calibri Light"/>
          <w:color w:val="000000"/>
        </w:rPr>
        <w:footnoteReference w:id="45"/>
      </w:r>
    </w:p>
    <w:p w14:paraId="4B3572EE" w14:textId="4FD23DA0" w:rsidR="008D0CAD" w:rsidRPr="00762B10" w:rsidRDefault="008D0CAD" w:rsidP="000C108A">
      <w:pPr>
        <w:pStyle w:val="Heading6"/>
      </w:pPr>
      <w:r>
        <w:t>Curriculum and Assessment</w:t>
      </w:r>
    </w:p>
    <w:p w14:paraId="5C8704A1" w14:textId="77777777" w:rsidR="008D0CAD" w:rsidRDefault="008D0CAD" w:rsidP="007C1A2E">
      <w:pPr>
        <w:spacing w:before="100" w:beforeAutospacing="1" w:after="100" w:afterAutospacing="1" w:line="360" w:lineRule="auto"/>
        <w:rPr>
          <w:rFonts w:asciiTheme="majorHAnsi" w:hAnsiTheme="majorHAnsi" w:cstheme="majorHAnsi"/>
        </w:rPr>
      </w:pPr>
      <w:r>
        <w:rPr>
          <w:rFonts w:asciiTheme="majorHAnsi" w:hAnsiTheme="majorHAnsi" w:cstheme="majorHAnsi"/>
          <w:color w:val="000000" w:themeColor="text1"/>
        </w:rPr>
        <w:t xml:space="preserve">IO3. </w:t>
      </w:r>
      <w:r w:rsidRPr="002421DF">
        <w:rPr>
          <w:rFonts w:asciiTheme="majorHAnsi" w:eastAsiaTheme="minorHAnsi" w:hAnsiTheme="majorHAnsi" w:cstheme="majorHAnsi"/>
          <w:i/>
          <w:iCs/>
        </w:rPr>
        <w:t>Curriculum and assessment approach international standards</w:t>
      </w:r>
    </w:p>
    <w:p w14:paraId="42C96B1B" w14:textId="77777777" w:rsidR="008D0CAD" w:rsidRPr="00851C57" w:rsidRDefault="008D0CAD" w:rsidP="007C1A2E">
      <w:pPr>
        <w:spacing w:before="100" w:beforeAutospacing="1" w:after="100" w:afterAutospacing="1" w:line="360" w:lineRule="auto"/>
        <w:rPr>
          <w:rFonts w:asciiTheme="majorHAnsi" w:hAnsiTheme="majorHAnsi" w:cstheme="majorHAnsi"/>
        </w:rPr>
      </w:pPr>
      <w:r>
        <w:rPr>
          <w:rFonts w:asciiTheme="majorHAnsi" w:hAnsiTheme="majorHAnsi" w:cstheme="majorHAnsi"/>
        </w:rPr>
        <w:t xml:space="preserve">The </w:t>
      </w:r>
      <w:r w:rsidRPr="00881854">
        <w:rPr>
          <w:rFonts w:asciiTheme="majorHAnsi" w:hAnsiTheme="majorHAnsi" w:cstheme="majorHAnsi"/>
        </w:rPr>
        <w:t xml:space="preserve">Curriculum and Assessment </w:t>
      </w:r>
      <w:r>
        <w:rPr>
          <w:rFonts w:asciiTheme="majorHAnsi" w:hAnsiTheme="majorHAnsi" w:cstheme="majorHAnsi"/>
        </w:rPr>
        <w:t xml:space="preserve">work stream </w:t>
      </w:r>
      <w:r w:rsidRPr="00881854">
        <w:rPr>
          <w:rFonts w:asciiTheme="majorHAnsi" w:hAnsiTheme="majorHAnsi" w:cstheme="majorHAnsi"/>
        </w:rPr>
        <w:t xml:space="preserve">consisted of interventions </w:t>
      </w:r>
      <w:r w:rsidRPr="006E3E66">
        <w:rPr>
          <w:rFonts w:asciiTheme="majorHAnsi" w:hAnsiTheme="majorHAnsi" w:cstheme="majorHAnsi"/>
        </w:rPr>
        <w:t xml:space="preserve">focused on </w:t>
      </w:r>
      <w:r>
        <w:rPr>
          <w:rFonts w:asciiTheme="majorHAnsi" w:hAnsiTheme="majorHAnsi" w:cstheme="majorHAnsi"/>
        </w:rPr>
        <w:t>“</w:t>
      </w:r>
      <w:r w:rsidRPr="005D4D60">
        <w:rPr>
          <w:rFonts w:asciiTheme="majorHAnsi" w:hAnsiTheme="majorHAnsi" w:cstheme="majorHAnsi"/>
          <w:i/>
        </w:rPr>
        <w:t>the development and adjustments in the K-12 curriculum, classroom and national assessments and general learning strategies</w:t>
      </w:r>
      <w:r>
        <w:rPr>
          <w:rFonts w:asciiTheme="majorHAnsi" w:hAnsiTheme="majorHAnsi" w:cstheme="majorHAnsi"/>
        </w:rPr>
        <w:t>” (BEST Program, 2012, p. 55)</w:t>
      </w:r>
      <w:r w:rsidRPr="006E3E66">
        <w:rPr>
          <w:rFonts w:asciiTheme="majorHAnsi" w:hAnsiTheme="majorHAnsi" w:cstheme="majorHAnsi"/>
        </w:rPr>
        <w:t xml:space="preserve">. </w:t>
      </w:r>
    </w:p>
    <w:p w14:paraId="441EC3C0" w14:textId="559D4AB3" w:rsidR="008D0CAD" w:rsidRPr="00825B9A" w:rsidRDefault="008D0CAD" w:rsidP="00DD08E3">
      <w:pPr>
        <w:pStyle w:val="Heading5"/>
        <w:numPr>
          <w:ilvl w:val="3"/>
          <w:numId w:val="163"/>
        </w:numPr>
        <w:spacing w:before="100" w:beforeAutospacing="1" w:after="100" w:afterAutospacing="1" w:line="360" w:lineRule="auto"/>
      </w:pPr>
      <w:r>
        <w:t>Curriculum</w:t>
      </w:r>
    </w:p>
    <w:p w14:paraId="6B486787" w14:textId="2ECC5DDF" w:rsidR="008D0CAD" w:rsidRDefault="008D0CAD" w:rsidP="007C1A2E">
      <w:pPr>
        <w:spacing w:before="100" w:beforeAutospacing="1" w:after="100" w:afterAutospacing="1" w:line="360" w:lineRule="auto"/>
        <w:ind w:right="8"/>
        <w:rPr>
          <w:rFonts w:asciiTheme="majorHAnsi" w:hAnsiTheme="majorHAnsi" w:cstheme="majorHAnsi"/>
        </w:rPr>
      </w:pPr>
      <w:r>
        <w:rPr>
          <w:rFonts w:asciiTheme="majorHAnsi" w:hAnsiTheme="majorHAnsi" w:cstheme="majorHAnsi"/>
          <w:color w:val="000000"/>
        </w:rPr>
        <w:t>DepEd</w:t>
      </w:r>
      <w:r w:rsidRPr="00BE64D3">
        <w:rPr>
          <w:rFonts w:asciiTheme="majorHAnsi" w:hAnsiTheme="majorHAnsi" w:cstheme="majorHAnsi"/>
          <w:color w:val="000000"/>
        </w:rPr>
        <w:t xml:space="preserve"> began work on the K-12 curriculum in 2011 with a phased approach, i</w:t>
      </w:r>
      <w:r>
        <w:rPr>
          <w:rFonts w:asciiTheme="majorHAnsi" w:hAnsiTheme="majorHAnsi" w:cstheme="majorHAnsi"/>
          <w:color w:val="000000"/>
        </w:rPr>
        <w:t>.</w:t>
      </w:r>
      <w:r w:rsidRPr="00BE64D3">
        <w:rPr>
          <w:rFonts w:asciiTheme="majorHAnsi" w:hAnsiTheme="majorHAnsi" w:cstheme="majorHAnsi"/>
          <w:color w:val="000000"/>
        </w:rPr>
        <w:t>e</w:t>
      </w:r>
      <w:r>
        <w:rPr>
          <w:rFonts w:asciiTheme="majorHAnsi" w:hAnsiTheme="majorHAnsi" w:cstheme="majorHAnsi"/>
          <w:color w:val="000000"/>
        </w:rPr>
        <w:t>.,</w:t>
      </w:r>
      <w:r w:rsidRPr="00BE64D3">
        <w:rPr>
          <w:rFonts w:asciiTheme="majorHAnsi" w:hAnsiTheme="majorHAnsi" w:cstheme="majorHAnsi"/>
          <w:color w:val="000000"/>
        </w:rPr>
        <w:t xml:space="preserve"> implementing </w:t>
      </w:r>
      <w:r>
        <w:rPr>
          <w:rFonts w:asciiTheme="majorHAnsi" w:hAnsiTheme="majorHAnsi" w:cstheme="majorHAnsi"/>
          <w:color w:val="000000"/>
        </w:rPr>
        <w:t xml:space="preserve">the new curriculum for </w:t>
      </w:r>
      <w:r w:rsidRPr="00BE64D3">
        <w:rPr>
          <w:rFonts w:asciiTheme="majorHAnsi" w:hAnsiTheme="majorHAnsi" w:cstheme="majorHAnsi"/>
          <w:color w:val="000000"/>
        </w:rPr>
        <w:t xml:space="preserve">two </w:t>
      </w:r>
      <w:r>
        <w:rPr>
          <w:rFonts w:asciiTheme="majorHAnsi" w:hAnsiTheme="majorHAnsi" w:cstheme="majorHAnsi"/>
          <w:color w:val="000000"/>
        </w:rPr>
        <w:t xml:space="preserve">additional </w:t>
      </w:r>
      <w:r w:rsidRPr="00BE64D3">
        <w:rPr>
          <w:rFonts w:asciiTheme="majorHAnsi" w:hAnsiTheme="majorHAnsi" w:cstheme="majorHAnsi"/>
          <w:color w:val="000000"/>
        </w:rPr>
        <w:t>grades each consecutive year. Curriculum guides and materials were developed in different stages of schooling.</w:t>
      </w:r>
      <w:r w:rsidR="00D434EB">
        <w:rPr>
          <w:rFonts w:asciiTheme="majorHAnsi" w:hAnsiTheme="majorHAnsi" w:cstheme="majorHAnsi"/>
          <w:color w:val="000000"/>
        </w:rPr>
        <w:t xml:space="preserve"> </w:t>
      </w:r>
      <w:r>
        <w:rPr>
          <w:rFonts w:asciiTheme="majorHAnsi" w:hAnsiTheme="majorHAnsi" w:cstheme="majorHAnsi"/>
          <w:color w:val="000000"/>
        </w:rPr>
        <w:t>Program i</w:t>
      </w:r>
      <w:r w:rsidRPr="00BE64D3">
        <w:rPr>
          <w:rFonts w:asciiTheme="majorHAnsi" w:hAnsiTheme="majorHAnsi" w:cstheme="majorHAnsi"/>
          <w:color w:val="000000"/>
        </w:rPr>
        <w:t xml:space="preserve">nterventions were through the provision of technical assistance to </w:t>
      </w:r>
      <w:r>
        <w:rPr>
          <w:rFonts w:asciiTheme="majorHAnsi" w:hAnsiTheme="majorHAnsi" w:cstheme="majorHAnsi"/>
          <w:color w:val="000000"/>
        </w:rPr>
        <w:t>DepEd</w:t>
      </w:r>
      <w:r w:rsidRPr="00BE64D3">
        <w:rPr>
          <w:rFonts w:asciiTheme="majorHAnsi" w:hAnsiTheme="majorHAnsi" w:cstheme="majorHAnsi"/>
          <w:color w:val="000000"/>
        </w:rPr>
        <w:t xml:space="preserve"> in the development of the curriculum guides and the development and contextuali</w:t>
      </w:r>
      <w:r>
        <w:rPr>
          <w:rFonts w:asciiTheme="majorHAnsi" w:hAnsiTheme="majorHAnsi" w:cstheme="majorHAnsi"/>
          <w:color w:val="000000"/>
        </w:rPr>
        <w:t>s</w:t>
      </w:r>
      <w:r w:rsidRPr="00BE64D3">
        <w:rPr>
          <w:rFonts w:asciiTheme="majorHAnsi" w:hAnsiTheme="majorHAnsi" w:cstheme="majorHAnsi"/>
          <w:color w:val="000000"/>
        </w:rPr>
        <w:t>ation of learning materials.</w:t>
      </w:r>
      <w:r w:rsidR="00D434EB">
        <w:rPr>
          <w:rFonts w:asciiTheme="majorHAnsi" w:hAnsiTheme="majorHAnsi" w:cstheme="majorHAnsi"/>
          <w:color w:val="000000"/>
        </w:rPr>
        <w:t xml:space="preserve"> </w:t>
      </w:r>
      <w:r w:rsidRPr="00BE64D3">
        <w:rPr>
          <w:rFonts w:asciiTheme="majorHAnsi" w:hAnsiTheme="majorHAnsi" w:cstheme="majorHAnsi"/>
        </w:rPr>
        <w:t xml:space="preserve">This was in response to the lack of access to pedagogically sound teaching resources aligned with the </w:t>
      </w:r>
      <w:bookmarkStart w:id="116" w:name="OLE_LINK5"/>
      <w:r w:rsidRPr="00BE64D3">
        <w:rPr>
          <w:rFonts w:asciiTheme="majorHAnsi" w:hAnsiTheme="majorHAnsi" w:cstheme="majorHAnsi"/>
        </w:rPr>
        <w:t xml:space="preserve">K to 12 </w:t>
      </w:r>
      <w:bookmarkEnd w:id="116"/>
      <w:r w:rsidRPr="00BE64D3">
        <w:rPr>
          <w:rFonts w:asciiTheme="majorHAnsi" w:hAnsiTheme="majorHAnsi" w:cstheme="majorHAnsi"/>
        </w:rPr>
        <w:t>curriculum.</w:t>
      </w:r>
      <w:r w:rsidR="00D434EB">
        <w:rPr>
          <w:rFonts w:asciiTheme="majorHAnsi" w:hAnsiTheme="majorHAnsi" w:cstheme="majorHAnsi"/>
        </w:rPr>
        <w:t xml:space="preserve"> </w:t>
      </w:r>
    </w:p>
    <w:p w14:paraId="53B88A85" w14:textId="61C7767E" w:rsidR="008D0CAD" w:rsidRDefault="008D0CAD" w:rsidP="007C1A2E">
      <w:pPr>
        <w:pStyle w:val="NormalWeb"/>
        <w:spacing w:line="360" w:lineRule="auto"/>
        <w:rPr>
          <w:rFonts w:asciiTheme="majorHAnsi" w:hAnsiTheme="majorHAnsi" w:cstheme="majorHAnsi"/>
          <w:lang w:val="en-GB"/>
        </w:rPr>
      </w:pPr>
      <w:r w:rsidRPr="00C7048D">
        <w:rPr>
          <w:rFonts w:asciiTheme="majorHAnsi" w:hAnsiTheme="majorHAnsi" w:cstheme="majorHAnsi"/>
        </w:rPr>
        <w:t>Significant</w:t>
      </w:r>
      <w:r>
        <w:rPr>
          <w:rFonts w:asciiTheme="majorHAnsi" w:hAnsiTheme="majorHAnsi" w:cstheme="majorHAnsi"/>
        </w:rPr>
        <w:t xml:space="preserve"> among</w:t>
      </w:r>
      <w:r w:rsidRPr="00C7048D">
        <w:rPr>
          <w:rFonts w:asciiTheme="majorHAnsi" w:hAnsiTheme="majorHAnsi" w:cstheme="majorHAnsi"/>
        </w:rPr>
        <w:t xml:space="preserve"> the</w:t>
      </w:r>
      <w:r>
        <w:rPr>
          <w:rFonts w:asciiTheme="majorHAnsi" w:hAnsiTheme="majorHAnsi" w:cstheme="majorHAnsi"/>
        </w:rPr>
        <w:t xml:space="preserve"> reforms was the</w:t>
      </w:r>
      <w:r w:rsidRPr="00C7048D">
        <w:rPr>
          <w:rFonts w:asciiTheme="majorHAnsi" w:hAnsiTheme="majorHAnsi" w:cstheme="majorHAnsi"/>
        </w:rPr>
        <w:t xml:space="preserve"> introduction of the mother tongue-based multi-lingual </w:t>
      </w:r>
      <w:r>
        <w:rPr>
          <w:rFonts w:asciiTheme="majorHAnsi" w:hAnsiTheme="majorHAnsi" w:cstheme="majorHAnsi"/>
        </w:rPr>
        <w:t xml:space="preserve">education </w:t>
      </w:r>
      <w:r w:rsidRPr="00C7048D">
        <w:rPr>
          <w:rFonts w:asciiTheme="majorHAnsi" w:hAnsiTheme="majorHAnsi" w:cstheme="majorHAnsi"/>
        </w:rPr>
        <w:t>(MTB</w:t>
      </w:r>
      <w:r>
        <w:rPr>
          <w:rFonts w:asciiTheme="majorHAnsi" w:hAnsiTheme="majorHAnsi" w:cstheme="majorHAnsi"/>
        </w:rPr>
        <w:t>-</w:t>
      </w:r>
      <w:r w:rsidRPr="00C7048D">
        <w:rPr>
          <w:rFonts w:asciiTheme="majorHAnsi" w:hAnsiTheme="majorHAnsi" w:cstheme="majorHAnsi"/>
        </w:rPr>
        <w:t>MLE) policy from Kindergarten to Grade 3.</w:t>
      </w:r>
      <w:r w:rsidR="00D434EB">
        <w:rPr>
          <w:rFonts w:asciiTheme="majorHAnsi" w:hAnsiTheme="majorHAnsi" w:cstheme="majorHAnsi"/>
          <w:position w:val="8"/>
        </w:rPr>
        <w:t xml:space="preserve"> </w:t>
      </w:r>
      <w:r>
        <w:rPr>
          <w:rFonts w:asciiTheme="majorHAnsi" w:hAnsiTheme="majorHAnsi" w:cstheme="majorHAnsi"/>
          <w:lang w:val="en-GB"/>
        </w:rPr>
        <w:t xml:space="preserve">DepEd Order </w:t>
      </w:r>
      <w:r w:rsidRPr="00FB5DB5">
        <w:rPr>
          <w:rFonts w:asciiTheme="majorHAnsi" w:hAnsiTheme="majorHAnsi" w:cstheme="majorHAnsi"/>
          <w:lang w:val="en-GB"/>
        </w:rPr>
        <w:t>No. 55, s. 2015 or the “</w:t>
      </w:r>
      <w:r w:rsidRPr="00FB5DB5">
        <w:rPr>
          <w:rFonts w:asciiTheme="majorHAnsi" w:hAnsiTheme="majorHAnsi" w:cstheme="majorHAnsi"/>
          <w:i/>
          <w:lang w:val="en-GB"/>
        </w:rPr>
        <w:t>Utili</w:t>
      </w:r>
      <w:r>
        <w:rPr>
          <w:rFonts w:asciiTheme="majorHAnsi" w:hAnsiTheme="majorHAnsi" w:cstheme="majorHAnsi"/>
          <w:i/>
          <w:lang w:val="en-GB"/>
        </w:rPr>
        <w:t>s</w:t>
      </w:r>
      <w:r w:rsidRPr="00FB5DB5">
        <w:rPr>
          <w:rFonts w:asciiTheme="majorHAnsi" w:hAnsiTheme="majorHAnsi" w:cstheme="majorHAnsi"/>
          <w:i/>
          <w:lang w:val="en-GB"/>
        </w:rPr>
        <w:t>ation of Language Mapping Data for Mother Tongue-Based Multilingual Education (MTB-MLE) Program Implementation</w:t>
      </w:r>
      <w:r w:rsidRPr="00FB5DB5">
        <w:rPr>
          <w:rFonts w:asciiTheme="majorHAnsi" w:hAnsiTheme="majorHAnsi" w:cstheme="majorHAnsi"/>
          <w:lang w:val="en-GB"/>
        </w:rPr>
        <w:t>” emphasi</w:t>
      </w:r>
      <w:r>
        <w:rPr>
          <w:rFonts w:asciiTheme="majorHAnsi" w:hAnsiTheme="majorHAnsi" w:cstheme="majorHAnsi"/>
          <w:lang w:val="en-GB"/>
        </w:rPr>
        <w:t>s</w:t>
      </w:r>
      <w:r w:rsidRPr="00FB5DB5">
        <w:rPr>
          <w:rFonts w:asciiTheme="majorHAnsi" w:hAnsiTheme="majorHAnsi" w:cstheme="majorHAnsi"/>
          <w:lang w:val="en-GB"/>
        </w:rPr>
        <w:t>e</w:t>
      </w:r>
      <w:r>
        <w:rPr>
          <w:rFonts w:asciiTheme="majorHAnsi" w:hAnsiTheme="majorHAnsi" w:cstheme="majorHAnsi"/>
          <w:lang w:val="en-GB"/>
        </w:rPr>
        <w:t>d</w:t>
      </w:r>
      <w:r w:rsidRPr="00FB5DB5">
        <w:rPr>
          <w:rFonts w:asciiTheme="majorHAnsi" w:hAnsiTheme="majorHAnsi" w:cstheme="majorHAnsi"/>
          <w:lang w:val="en-GB"/>
        </w:rPr>
        <w:t xml:space="preserve"> the use of language mapping “</w:t>
      </w:r>
      <w:r w:rsidRPr="003F648C">
        <w:rPr>
          <w:rFonts w:asciiTheme="majorHAnsi" w:hAnsiTheme="majorHAnsi" w:cstheme="majorHAnsi"/>
          <w:i/>
          <w:lang w:val="en-GB"/>
        </w:rPr>
        <w:t>for the production of new teaching and learning materials, capacity-building of teaching and non-teaching personnel, and the development of a culturally responsive MTB-MLE strategy for all learners</w:t>
      </w:r>
      <w:r w:rsidRPr="00FB5DB5">
        <w:rPr>
          <w:rFonts w:asciiTheme="majorHAnsi" w:hAnsiTheme="majorHAnsi" w:cstheme="majorHAnsi"/>
          <w:lang w:val="en-GB"/>
        </w:rPr>
        <w:t>.”</w:t>
      </w:r>
      <w:r w:rsidR="00D434EB">
        <w:rPr>
          <w:rFonts w:asciiTheme="majorHAnsi" w:hAnsiTheme="majorHAnsi" w:cstheme="majorHAnsi"/>
          <w:lang w:val="en-GB"/>
        </w:rPr>
        <w:t xml:space="preserve"> </w:t>
      </w:r>
      <w:r>
        <w:rPr>
          <w:rFonts w:asciiTheme="majorHAnsi" w:hAnsiTheme="majorHAnsi" w:cstheme="majorHAnsi"/>
          <w:lang w:val="en-GB"/>
        </w:rPr>
        <w:t>Survey results on the knowledge and perceived utility of this Policy showed that 73 per cent of principals and 38 per cent of teachers have good knowledge of this policy (Table 18). In terms of utility, 58 per cent of principals and 43 per cent of teachers found it useful.</w:t>
      </w:r>
    </w:p>
    <w:p w14:paraId="69A7007B" w14:textId="77777777" w:rsidR="00B94F06" w:rsidRPr="00BD6D45" w:rsidRDefault="008D0CAD" w:rsidP="007C1A2E">
      <w:pPr>
        <w:pStyle w:val="NormalWeb"/>
        <w:spacing w:line="360" w:lineRule="auto"/>
        <w:rPr>
          <w:rFonts w:asciiTheme="majorHAnsi" w:hAnsiTheme="majorHAnsi" w:cstheme="majorHAnsi"/>
          <w:lang w:val="en-GB"/>
        </w:rPr>
      </w:pPr>
      <w:r>
        <w:rPr>
          <w:rFonts w:asciiTheme="majorHAnsi" w:hAnsiTheme="majorHAnsi" w:cstheme="majorHAnsi"/>
          <w:lang w:val="en-GB"/>
        </w:rPr>
        <w:t>The interesting aspect to note in the Follow-Up Study is the increase in knowledge and usefulness of the policy from the teachers’ perspective: from 38 per cent to 58 per cent of teachers having good knowledge; and from 43 per cent to 78 per cent of teachers</w:t>
      </w:r>
      <w:r w:rsidRPr="002A0878">
        <w:rPr>
          <w:rFonts w:asciiTheme="majorHAnsi" w:hAnsiTheme="majorHAnsi" w:cstheme="majorHAnsi"/>
          <w:lang w:val="en-GB"/>
        </w:rPr>
        <w:t xml:space="preserve"> </w:t>
      </w:r>
      <w:r>
        <w:rPr>
          <w:rFonts w:asciiTheme="majorHAnsi" w:hAnsiTheme="majorHAnsi" w:cstheme="majorHAnsi"/>
          <w:lang w:val="en-GB"/>
        </w:rPr>
        <w:t>finding the policy useful.</w:t>
      </w:r>
    </w:p>
    <w:p w14:paraId="46CA6BAA" w14:textId="3C19B436" w:rsidR="0015536A" w:rsidRPr="004A657A" w:rsidRDefault="008D0CAD" w:rsidP="007C1A2E">
      <w:pPr>
        <w:spacing w:before="100" w:beforeAutospacing="1" w:after="100" w:afterAutospacing="1" w:line="360" w:lineRule="auto"/>
        <w:rPr>
          <w:rFonts w:asciiTheme="majorHAnsi" w:hAnsiTheme="majorHAnsi" w:cstheme="majorHAnsi"/>
          <w:i/>
          <w:iCs/>
          <w:color w:val="44546A" w:themeColor="text2"/>
          <w:sz w:val="22"/>
          <w:szCs w:val="22"/>
        </w:rPr>
      </w:pPr>
      <w:bookmarkStart w:id="117" w:name="_Toc71616609"/>
      <w:r w:rsidRPr="004A657A">
        <w:rPr>
          <w:rFonts w:asciiTheme="majorHAnsi" w:hAnsiTheme="majorHAnsi" w:cstheme="majorHAnsi"/>
          <w:i/>
          <w:iCs/>
          <w:color w:val="44546A" w:themeColor="text2"/>
          <w:sz w:val="22"/>
          <w:szCs w:val="22"/>
        </w:rPr>
        <w:t xml:space="preserve">Table </w:t>
      </w:r>
      <w:r w:rsidRPr="004A657A">
        <w:rPr>
          <w:rFonts w:asciiTheme="majorHAnsi" w:hAnsiTheme="majorHAnsi" w:cstheme="majorHAnsi"/>
          <w:i/>
          <w:iCs/>
          <w:color w:val="44546A" w:themeColor="text2"/>
          <w:sz w:val="22"/>
          <w:szCs w:val="22"/>
        </w:rPr>
        <w:fldChar w:fldCharType="begin"/>
      </w:r>
      <w:r w:rsidRPr="004A657A">
        <w:rPr>
          <w:rFonts w:asciiTheme="majorHAnsi" w:hAnsiTheme="majorHAnsi" w:cstheme="majorHAnsi"/>
          <w:i/>
          <w:iCs/>
          <w:color w:val="44546A" w:themeColor="text2"/>
          <w:sz w:val="22"/>
          <w:szCs w:val="22"/>
        </w:rPr>
        <w:instrText xml:space="preserve"> SEQ Table \* ARABIC </w:instrText>
      </w:r>
      <w:r w:rsidRPr="004A657A">
        <w:rPr>
          <w:rFonts w:asciiTheme="majorHAnsi" w:hAnsiTheme="majorHAnsi" w:cstheme="majorHAnsi"/>
          <w:i/>
          <w:iCs/>
          <w:color w:val="44546A" w:themeColor="text2"/>
          <w:sz w:val="22"/>
          <w:szCs w:val="22"/>
        </w:rPr>
        <w:fldChar w:fldCharType="separate"/>
      </w:r>
      <w:r w:rsidR="00D6133D">
        <w:rPr>
          <w:rFonts w:asciiTheme="majorHAnsi" w:hAnsiTheme="majorHAnsi" w:cstheme="majorHAnsi"/>
          <w:i/>
          <w:iCs/>
          <w:noProof/>
          <w:color w:val="44546A" w:themeColor="text2"/>
          <w:sz w:val="22"/>
          <w:szCs w:val="22"/>
        </w:rPr>
        <w:t>18</w:t>
      </w:r>
      <w:r w:rsidRPr="004A657A">
        <w:rPr>
          <w:rFonts w:asciiTheme="majorHAnsi" w:hAnsiTheme="majorHAnsi" w:cstheme="majorHAnsi"/>
          <w:i/>
          <w:iCs/>
          <w:color w:val="44546A" w:themeColor="text2"/>
          <w:sz w:val="22"/>
          <w:szCs w:val="22"/>
        </w:rPr>
        <w:fldChar w:fldCharType="end"/>
      </w:r>
      <w:r w:rsidRPr="004A657A">
        <w:rPr>
          <w:rFonts w:asciiTheme="majorHAnsi" w:hAnsiTheme="majorHAnsi" w:cstheme="majorHAnsi"/>
          <w:i/>
          <w:iCs/>
          <w:color w:val="44546A" w:themeColor="text2"/>
          <w:sz w:val="22"/>
          <w:szCs w:val="22"/>
        </w:rPr>
        <w:t>.</w:t>
      </w:r>
      <w:r w:rsidR="00D434EB">
        <w:rPr>
          <w:rFonts w:asciiTheme="majorHAnsi" w:hAnsiTheme="majorHAnsi" w:cstheme="majorHAnsi"/>
          <w:bCs/>
          <w:i/>
          <w:iCs/>
          <w:color w:val="44546A" w:themeColor="text2"/>
          <w:sz w:val="22"/>
          <w:szCs w:val="22"/>
        </w:rPr>
        <w:t xml:space="preserve"> </w:t>
      </w:r>
      <w:r w:rsidRPr="004A657A">
        <w:rPr>
          <w:rFonts w:asciiTheme="majorHAnsi" w:hAnsiTheme="majorHAnsi" w:cstheme="majorHAnsi"/>
          <w:bCs/>
          <w:i/>
          <w:iCs/>
          <w:color w:val="44546A" w:themeColor="text2"/>
          <w:sz w:val="22"/>
          <w:szCs w:val="22"/>
        </w:rPr>
        <w:t xml:space="preserve">Principals’ and Teachers’ Perceptions on </w:t>
      </w:r>
      <w:r w:rsidRPr="004A657A">
        <w:rPr>
          <w:rFonts w:asciiTheme="majorHAnsi" w:hAnsiTheme="majorHAnsi" w:cstheme="majorHAnsi"/>
          <w:i/>
          <w:iCs/>
          <w:color w:val="44546A" w:themeColor="text2"/>
          <w:sz w:val="22"/>
          <w:szCs w:val="22"/>
        </w:rPr>
        <w:t>DO 55, s. 2015</w:t>
      </w:r>
      <w:bookmarkEnd w:id="117"/>
      <w:r w:rsidR="00080CF5" w:rsidRPr="00080CF5">
        <w:t xml:space="preserve"> </w:t>
      </w:r>
      <w:r w:rsidR="00080CF5" w:rsidRPr="00080CF5">
        <w:rPr>
          <w:rFonts w:asciiTheme="majorHAnsi" w:hAnsiTheme="majorHAnsi" w:cstheme="majorHAnsi"/>
          <w:i/>
          <w:iCs/>
          <w:color w:val="44546A" w:themeColor="text2"/>
          <w:sz w:val="22"/>
          <w:szCs w:val="22"/>
        </w:rPr>
        <w:t>Utilization of Language Mapping Data for Mother Tongue-Based Multilingual Education (MTB-MLE) Program Implementation</w:t>
      </w:r>
    </w:p>
    <w:tbl>
      <w:tblPr>
        <w:tblStyle w:val="TableGrid"/>
        <w:tblW w:w="0" w:type="auto"/>
        <w:tblLook w:val="04A0" w:firstRow="1" w:lastRow="0" w:firstColumn="1" w:lastColumn="0" w:noHBand="0" w:noVBand="1"/>
      </w:tblPr>
      <w:tblGrid>
        <w:gridCol w:w="1757"/>
        <w:gridCol w:w="1504"/>
        <w:gridCol w:w="2020"/>
        <w:gridCol w:w="1524"/>
        <w:gridCol w:w="1415"/>
      </w:tblGrid>
      <w:tr w:rsidR="0015536A" w:rsidRPr="00020D54" w14:paraId="27BE9E21" w14:textId="77777777" w:rsidTr="00F4751F">
        <w:trPr>
          <w:trHeight w:val="331"/>
          <w:tblHeader/>
        </w:trPr>
        <w:tc>
          <w:tcPr>
            <w:tcW w:w="1757" w:type="dxa"/>
          </w:tcPr>
          <w:p w14:paraId="5A0A4550" w14:textId="77777777" w:rsidR="0015536A" w:rsidRPr="00020D54" w:rsidRDefault="0015536A" w:rsidP="007C1A2E">
            <w:pPr>
              <w:spacing w:before="100" w:beforeAutospacing="1" w:after="100" w:afterAutospacing="1" w:line="360" w:lineRule="auto"/>
              <w:rPr>
                <w:rFonts w:asciiTheme="majorHAnsi" w:hAnsiTheme="majorHAnsi" w:cstheme="majorHAnsi"/>
                <w:color w:val="000000" w:themeColor="text1"/>
                <w:sz w:val="16"/>
                <w:szCs w:val="16"/>
              </w:rPr>
            </w:pPr>
          </w:p>
        </w:tc>
        <w:tc>
          <w:tcPr>
            <w:tcW w:w="1504" w:type="dxa"/>
          </w:tcPr>
          <w:p w14:paraId="5711FE28" w14:textId="77777777" w:rsidR="0015536A" w:rsidRPr="00020D54" w:rsidRDefault="0015536A" w:rsidP="007C1A2E">
            <w:pPr>
              <w:spacing w:before="100" w:beforeAutospacing="1" w:after="100" w:afterAutospacing="1" w:line="360" w:lineRule="auto"/>
              <w:rPr>
                <w:rFonts w:asciiTheme="majorHAnsi" w:hAnsiTheme="majorHAnsi" w:cstheme="majorHAnsi"/>
                <w:b/>
                <w:bCs/>
                <w:color w:val="000000" w:themeColor="text1"/>
                <w:sz w:val="16"/>
                <w:szCs w:val="16"/>
              </w:rPr>
            </w:pPr>
            <w:r w:rsidRPr="00020D54">
              <w:rPr>
                <w:rFonts w:asciiTheme="majorHAnsi" w:hAnsiTheme="majorHAnsi" w:cstheme="majorHAnsi"/>
                <w:b/>
                <w:bCs/>
                <w:color w:val="000000" w:themeColor="text1"/>
                <w:sz w:val="16"/>
                <w:szCs w:val="16"/>
              </w:rPr>
              <w:t>% Sufficient knowledge</w:t>
            </w:r>
          </w:p>
        </w:tc>
        <w:tc>
          <w:tcPr>
            <w:tcW w:w="2020" w:type="dxa"/>
          </w:tcPr>
          <w:p w14:paraId="68502B2E" w14:textId="77777777" w:rsidR="0015536A" w:rsidRPr="00020D54" w:rsidRDefault="0015536A" w:rsidP="007C1A2E">
            <w:pPr>
              <w:spacing w:before="100" w:beforeAutospacing="1" w:after="100" w:afterAutospacing="1" w:line="360" w:lineRule="auto"/>
              <w:rPr>
                <w:rFonts w:asciiTheme="majorHAnsi" w:hAnsiTheme="majorHAnsi" w:cstheme="majorHAnsi"/>
                <w:b/>
                <w:bCs/>
                <w:color w:val="000000" w:themeColor="text1"/>
                <w:sz w:val="16"/>
                <w:szCs w:val="16"/>
              </w:rPr>
            </w:pPr>
            <w:r w:rsidRPr="00020D54">
              <w:rPr>
                <w:rFonts w:asciiTheme="majorHAnsi" w:hAnsiTheme="majorHAnsi" w:cstheme="majorHAnsi"/>
                <w:b/>
                <w:bCs/>
                <w:color w:val="000000" w:themeColor="text1"/>
                <w:sz w:val="16"/>
                <w:szCs w:val="16"/>
              </w:rPr>
              <w:t>% Comprehensive knowledge</w:t>
            </w:r>
          </w:p>
        </w:tc>
        <w:tc>
          <w:tcPr>
            <w:tcW w:w="1524" w:type="dxa"/>
          </w:tcPr>
          <w:p w14:paraId="66957E11" w14:textId="77777777" w:rsidR="0015536A" w:rsidRPr="00020D54" w:rsidRDefault="0015536A" w:rsidP="007C1A2E">
            <w:pPr>
              <w:spacing w:before="100" w:beforeAutospacing="1" w:after="100" w:afterAutospacing="1" w:line="360" w:lineRule="auto"/>
              <w:rPr>
                <w:rFonts w:asciiTheme="majorHAnsi" w:hAnsiTheme="majorHAnsi" w:cstheme="majorHAnsi"/>
                <w:b/>
                <w:bCs/>
                <w:color w:val="000000" w:themeColor="text1"/>
                <w:sz w:val="16"/>
                <w:szCs w:val="16"/>
              </w:rPr>
            </w:pPr>
            <w:r w:rsidRPr="00020D54">
              <w:rPr>
                <w:rFonts w:asciiTheme="majorHAnsi" w:hAnsiTheme="majorHAnsi" w:cstheme="majorHAnsi"/>
                <w:b/>
                <w:bCs/>
                <w:color w:val="000000" w:themeColor="text1"/>
                <w:sz w:val="16"/>
                <w:szCs w:val="16"/>
              </w:rPr>
              <w:t>% Sufficiently useful</w:t>
            </w:r>
          </w:p>
        </w:tc>
        <w:tc>
          <w:tcPr>
            <w:tcW w:w="1415" w:type="dxa"/>
          </w:tcPr>
          <w:p w14:paraId="101243C5" w14:textId="77777777" w:rsidR="0015536A" w:rsidRPr="00020D54" w:rsidRDefault="0015536A" w:rsidP="007C1A2E">
            <w:pPr>
              <w:spacing w:before="100" w:beforeAutospacing="1" w:after="100" w:afterAutospacing="1" w:line="360" w:lineRule="auto"/>
              <w:rPr>
                <w:rFonts w:asciiTheme="majorHAnsi" w:hAnsiTheme="majorHAnsi" w:cstheme="majorHAnsi"/>
                <w:b/>
                <w:bCs/>
                <w:color w:val="000000" w:themeColor="text1"/>
                <w:sz w:val="16"/>
                <w:szCs w:val="16"/>
              </w:rPr>
            </w:pPr>
            <w:r w:rsidRPr="00020D54">
              <w:rPr>
                <w:rFonts w:asciiTheme="majorHAnsi" w:hAnsiTheme="majorHAnsi" w:cstheme="majorHAnsi"/>
                <w:b/>
                <w:bCs/>
                <w:color w:val="000000" w:themeColor="text1"/>
                <w:sz w:val="16"/>
                <w:szCs w:val="16"/>
              </w:rPr>
              <w:t>% Extremely useful</w:t>
            </w:r>
          </w:p>
        </w:tc>
      </w:tr>
      <w:tr w:rsidR="0015536A" w:rsidRPr="00020D54" w14:paraId="5F6C265B" w14:textId="77777777" w:rsidTr="00080CF5">
        <w:trPr>
          <w:trHeight w:val="100"/>
        </w:trPr>
        <w:tc>
          <w:tcPr>
            <w:tcW w:w="1757" w:type="dxa"/>
            <w:shd w:val="clear" w:color="auto" w:fill="BFBFBF" w:themeFill="background1" w:themeFillShade="BF"/>
          </w:tcPr>
          <w:p w14:paraId="56C52F5B" w14:textId="77777777" w:rsidR="0015536A" w:rsidRPr="00020D54" w:rsidRDefault="0015536A" w:rsidP="007C1A2E">
            <w:pPr>
              <w:spacing w:before="100" w:beforeAutospacing="1" w:after="100" w:afterAutospacing="1" w:line="360" w:lineRule="auto"/>
              <w:rPr>
                <w:rFonts w:asciiTheme="majorHAnsi" w:hAnsiTheme="majorHAnsi" w:cstheme="majorHAnsi"/>
                <w:color w:val="000000" w:themeColor="text1"/>
                <w:sz w:val="16"/>
                <w:szCs w:val="16"/>
              </w:rPr>
            </w:pPr>
            <w:r w:rsidRPr="00020D54">
              <w:rPr>
                <w:rFonts w:asciiTheme="majorHAnsi" w:hAnsiTheme="majorHAnsi" w:cstheme="majorHAnsi"/>
                <w:color w:val="000000" w:themeColor="text1"/>
                <w:sz w:val="16"/>
                <w:szCs w:val="16"/>
              </w:rPr>
              <w:t>Main Study*</w:t>
            </w:r>
          </w:p>
        </w:tc>
        <w:tc>
          <w:tcPr>
            <w:tcW w:w="1504" w:type="dxa"/>
            <w:shd w:val="clear" w:color="auto" w:fill="BFBFBF" w:themeFill="background1" w:themeFillShade="BF"/>
          </w:tcPr>
          <w:p w14:paraId="65B687F4" w14:textId="77777777" w:rsidR="0015536A" w:rsidRPr="00020D54" w:rsidRDefault="0015536A" w:rsidP="007C1A2E">
            <w:pPr>
              <w:spacing w:before="100" w:beforeAutospacing="1" w:after="100" w:afterAutospacing="1" w:line="360" w:lineRule="auto"/>
              <w:rPr>
                <w:rFonts w:asciiTheme="majorHAnsi" w:hAnsiTheme="majorHAnsi" w:cstheme="majorHAnsi"/>
                <w:color w:val="000000" w:themeColor="text1"/>
                <w:sz w:val="16"/>
                <w:szCs w:val="16"/>
              </w:rPr>
            </w:pPr>
          </w:p>
        </w:tc>
        <w:tc>
          <w:tcPr>
            <w:tcW w:w="2020" w:type="dxa"/>
            <w:shd w:val="clear" w:color="auto" w:fill="BFBFBF" w:themeFill="background1" w:themeFillShade="BF"/>
          </w:tcPr>
          <w:p w14:paraId="268A89F0" w14:textId="77777777" w:rsidR="0015536A" w:rsidRPr="00020D54" w:rsidRDefault="0015536A" w:rsidP="007C1A2E">
            <w:pPr>
              <w:spacing w:before="100" w:beforeAutospacing="1" w:after="100" w:afterAutospacing="1" w:line="360" w:lineRule="auto"/>
              <w:rPr>
                <w:rFonts w:asciiTheme="majorHAnsi" w:hAnsiTheme="majorHAnsi" w:cstheme="majorHAnsi"/>
                <w:color w:val="000000" w:themeColor="text1"/>
                <w:sz w:val="16"/>
                <w:szCs w:val="16"/>
              </w:rPr>
            </w:pPr>
          </w:p>
        </w:tc>
        <w:tc>
          <w:tcPr>
            <w:tcW w:w="1524" w:type="dxa"/>
            <w:shd w:val="clear" w:color="auto" w:fill="BFBFBF" w:themeFill="background1" w:themeFillShade="BF"/>
          </w:tcPr>
          <w:p w14:paraId="2BDA7E0D" w14:textId="77777777" w:rsidR="0015536A" w:rsidRPr="00020D54" w:rsidRDefault="0015536A" w:rsidP="007C1A2E">
            <w:pPr>
              <w:spacing w:before="100" w:beforeAutospacing="1" w:after="100" w:afterAutospacing="1" w:line="360" w:lineRule="auto"/>
              <w:rPr>
                <w:rFonts w:asciiTheme="majorHAnsi" w:hAnsiTheme="majorHAnsi" w:cstheme="majorHAnsi"/>
                <w:color w:val="000000" w:themeColor="text1"/>
                <w:sz w:val="16"/>
                <w:szCs w:val="16"/>
              </w:rPr>
            </w:pPr>
          </w:p>
        </w:tc>
        <w:tc>
          <w:tcPr>
            <w:tcW w:w="1415" w:type="dxa"/>
            <w:shd w:val="clear" w:color="auto" w:fill="BFBFBF" w:themeFill="background1" w:themeFillShade="BF"/>
          </w:tcPr>
          <w:p w14:paraId="78228599" w14:textId="77777777" w:rsidR="0015536A" w:rsidRPr="00020D54" w:rsidRDefault="0015536A" w:rsidP="007C1A2E">
            <w:pPr>
              <w:spacing w:before="100" w:beforeAutospacing="1" w:after="100" w:afterAutospacing="1" w:line="360" w:lineRule="auto"/>
              <w:rPr>
                <w:rFonts w:asciiTheme="majorHAnsi" w:hAnsiTheme="majorHAnsi" w:cstheme="majorHAnsi"/>
                <w:color w:val="000000" w:themeColor="text1"/>
                <w:sz w:val="16"/>
                <w:szCs w:val="16"/>
              </w:rPr>
            </w:pPr>
          </w:p>
        </w:tc>
      </w:tr>
      <w:tr w:rsidR="0015536A" w:rsidRPr="00020D54" w14:paraId="46CF0A6E" w14:textId="77777777" w:rsidTr="00080CF5">
        <w:trPr>
          <w:trHeight w:val="46"/>
        </w:trPr>
        <w:tc>
          <w:tcPr>
            <w:tcW w:w="1757" w:type="dxa"/>
          </w:tcPr>
          <w:p w14:paraId="530860ED" w14:textId="77777777" w:rsidR="0015536A" w:rsidRPr="00020D54" w:rsidRDefault="0015536A" w:rsidP="007C1A2E">
            <w:pPr>
              <w:spacing w:before="100" w:beforeAutospacing="1" w:after="100" w:afterAutospacing="1" w:line="360" w:lineRule="auto"/>
              <w:rPr>
                <w:rFonts w:asciiTheme="majorHAnsi" w:hAnsiTheme="majorHAnsi" w:cstheme="majorHAnsi"/>
                <w:color w:val="000000" w:themeColor="text1"/>
                <w:sz w:val="16"/>
                <w:szCs w:val="16"/>
              </w:rPr>
            </w:pPr>
            <w:r w:rsidRPr="00020D54">
              <w:rPr>
                <w:rFonts w:asciiTheme="majorHAnsi" w:hAnsiTheme="majorHAnsi" w:cstheme="majorHAnsi"/>
                <w:color w:val="000000" w:themeColor="text1"/>
                <w:sz w:val="16"/>
                <w:szCs w:val="16"/>
              </w:rPr>
              <w:t>PSHs (n=26)</w:t>
            </w:r>
          </w:p>
        </w:tc>
        <w:tc>
          <w:tcPr>
            <w:tcW w:w="1504" w:type="dxa"/>
          </w:tcPr>
          <w:p w14:paraId="037B4535" w14:textId="77777777" w:rsidR="0015536A" w:rsidRPr="00020D54" w:rsidRDefault="00B94F06" w:rsidP="007C1A2E">
            <w:pPr>
              <w:spacing w:before="100" w:beforeAutospacing="1" w:after="100" w:afterAutospacing="1" w:line="360" w:lineRule="auto"/>
              <w:rPr>
                <w:rFonts w:asciiTheme="majorHAnsi" w:hAnsiTheme="majorHAnsi" w:cstheme="majorHAnsi"/>
                <w:color w:val="000000" w:themeColor="text1"/>
                <w:sz w:val="16"/>
                <w:szCs w:val="16"/>
              </w:rPr>
            </w:pPr>
            <w:r w:rsidRPr="00020D54">
              <w:rPr>
                <w:rFonts w:asciiTheme="majorHAnsi" w:hAnsiTheme="majorHAnsi" w:cstheme="majorHAnsi"/>
                <w:color w:val="000000" w:themeColor="text1"/>
                <w:sz w:val="16"/>
                <w:szCs w:val="16"/>
              </w:rPr>
              <w:t>42</w:t>
            </w:r>
            <w:r w:rsidR="0015536A" w:rsidRPr="00020D54">
              <w:rPr>
                <w:rFonts w:asciiTheme="majorHAnsi" w:hAnsiTheme="majorHAnsi" w:cstheme="majorHAnsi"/>
                <w:color w:val="000000" w:themeColor="text1"/>
                <w:sz w:val="16"/>
                <w:szCs w:val="16"/>
              </w:rPr>
              <w:t>%</w:t>
            </w:r>
          </w:p>
        </w:tc>
        <w:tc>
          <w:tcPr>
            <w:tcW w:w="2020" w:type="dxa"/>
          </w:tcPr>
          <w:p w14:paraId="2B1AC551" w14:textId="77777777" w:rsidR="0015536A" w:rsidRPr="00020D54" w:rsidRDefault="00B94F06" w:rsidP="007C1A2E">
            <w:pPr>
              <w:spacing w:before="100" w:beforeAutospacing="1" w:after="100" w:afterAutospacing="1" w:line="360" w:lineRule="auto"/>
              <w:rPr>
                <w:rFonts w:asciiTheme="majorHAnsi" w:hAnsiTheme="majorHAnsi" w:cstheme="majorHAnsi"/>
                <w:color w:val="000000" w:themeColor="text1"/>
                <w:sz w:val="16"/>
                <w:szCs w:val="16"/>
              </w:rPr>
            </w:pPr>
            <w:r w:rsidRPr="00020D54">
              <w:rPr>
                <w:rFonts w:asciiTheme="majorHAnsi" w:hAnsiTheme="majorHAnsi" w:cstheme="majorHAnsi"/>
                <w:color w:val="000000" w:themeColor="text1"/>
                <w:sz w:val="16"/>
                <w:szCs w:val="16"/>
              </w:rPr>
              <w:t>31</w:t>
            </w:r>
            <w:r w:rsidR="0015536A" w:rsidRPr="00020D54">
              <w:rPr>
                <w:rFonts w:asciiTheme="majorHAnsi" w:hAnsiTheme="majorHAnsi" w:cstheme="majorHAnsi"/>
                <w:color w:val="000000" w:themeColor="text1"/>
                <w:sz w:val="16"/>
                <w:szCs w:val="16"/>
              </w:rPr>
              <w:t>%</w:t>
            </w:r>
          </w:p>
        </w:tc>
        <w:tc>
          <w:tcPr>
            <w:tcW w:w="1524" w:type="dxa"/>
          </w:tcPr>
          <w:p w14:paraId="3D107DB5" w14:textId="77777777" w:rsidR="0015536A" w:rsidRPr="00020D54" w:rsidRDefault="00B94F06" w:rsidP="007C1A2E">
            <w:pPr>
              <w:spacing w:before="100" w:beforeAutospacing="1" w:after="100" w:afterAutospacing="1" w:line="360" w:lineRule="auto"/>
              <w:rPr>
                <w:rFonts w:asciiTheme="majorHAnsi" w:hAnsiTheme="majorHAnsi" w:cstheme="majorHAnsi"/>
                <w:color w:val="000000" w:themeColor="text1"/>
                <w:sz w:val="16"/>
                <w:szCs w:val="16"/>
              </w:rPr>
            </w:pPr>
            <w:r w:rsidRPr="00020D54">
              <w:rPr>
                <w:rFonts w:asciiTheme="majorHAnsi" w:hAnsiTheme="majorHAnsi" w:cstheme="majorHAnsi"/>
                <w:color w:val="000000" w:themeColor="text1"/>
                <w:sz w:val="16"/>
                <w:szCs w:val="16"/>
              </w:rPr>
              <w:t>35</w:t>
            </w:r>
            <w:r w:rsidR="0015536A" w:rsidRPr="00020D54">
              <w:rPr>
                <w:rFonts w:asciiTheme="majorHAnsi" w:hAnsiTheme="majorHAnsi" w:cstheme="majorHAnsi"/>
                <w:color w:val="000000" w:themeColor="text1"/>
                <w:sz w:val="16"/>
                <w:szCs w:val="16"/>
              </w:rPr>
              <w:t>%</w:t>
            </w:r>
          </w:p>
        </w:tc>
        <w:tc>
          <w:tcPr>
            <w:tcW w:w="1415" w:type="dxa"/>
          </w:tcPr>
          <w:p w14:paraId="3CB354F5" w14:textId="77777777" w:rsidR="0015536A" w:rsidRPr="00020D54" w:rsidRDefault="00B94F06" w:rsidP="007C1A2E">
            <w:pPr>
              <w:spacing w:before="100" w:beforeAutospacing="1" w:after="100" w:afterAutospacing="1" w:line="360" w:lineRule="auto"/>
              <w:rPr>
                <w:rFonts w:asciiTheme="majorHAnsi" w:hAnsiTheme="majorHAnsi" w:cstheme="majorHAnsi"/>
                <w:color w:val="000000" w:themeColor="text1"/>
                <w:sz w:val="16"/>
                <w:szCs w:val="16"/>
              </w:rPr>
            </w:pPr>
            <w:r w:rsidRPr="00020D54">
              <w:rPr>
                <w:rFonts w:asciiTheme="majorHAnsi" w:hAnsiTheme="majorHAnsi" w:cstheme="majorHAnsi"/>
                <w:color w:val="000000" w:themeColor="text1"/>
                <w:sz w:val="16"/>
                <w:szCs w:val="16"/>
              </w:rPr>
              <w:t>23</w:t>
            </w:r>
            <w:r w:rsidR="0015536A" w:rsidRPr="00020D54">
              <w:rPr>
                <w:rFonts w:asciiTheme="majorHAnsi" w:hAnsiTheme="majorHAnsi" w:cstheme="majorHAnsi"/>
                <w:color w:val="000000" w:themeColor="text1"/>
                <w:sz w:val="16"/>
                <w:szCs w:val="16"/>
              </w:rPr>
              <w:t>%</w:t>
            </w:r>
          </w:p>
        </w:tc>
      </w:tr>
      <w:tr w:rsidR="0015536A" w:rsidRPr="00020D54" w14:paraId="76EF3BF1" w14:textId="77777777" w:rsidTr="00080CF5">
        <w:trPr>
          <w:trHeight w:val="224"/>
        </w:trPr>
        <w:tc>
          <w:tcPr>
            <w:tcW w:w="1757" w:type="dxa"/>
          </w:tcPr>
          <w:p w14:paraId="0FCFE61F" w14:textId="77777777" w:rsidR="0015536A" w:rsidRPr="00020D54" w:rsidRDefault="0015536A" w:rsidP="007C1A2E">
            <w:pPr>
              <w:spacing w:before="100" w:beforeAutospacing="1" w:after="100" w:afterAutospacing="1" w:line="360" w:lineRule="auto"/>
              <w:rPr>
                <w:rFonts w:asciiTheme="majorHAnsi" w:hAnsiTheme="majorHAnsi" w:cstheme="majorHAnsi"/>
                <w:color w:val="000000" w:themeColor="text1"/>
                <w:sz w:val="16"/>
                <w:szCs w:val="16"/>
              </w:rPr>
            </w:pPr>
            <w:r w:rsidRPr="00020D54">
              <w:rPr>
                <w:rFonts w:asciiTheme="majorHAnsi" w:hAnsiTheme="majorHAnsi" w:cstheme="majorHAnsi"/>
                <w:color w:val="000000" w:themeColor="text1"/>
                <w:sz w:val="16"/>
                <w:szCs w:val="16"/>
              </w:rPr>
              <w:t>Teachers (n=107)</w:t>
            </w:r>
          </w:p>
        </w:tc>
        <w:tc>
          <w:tcPr>
            <w:tcW w:w="1504" w:type="dxa"/>
          </w:tcPr>
          <w:p w14:paraId="35BBE3AB" w14:textId="77777777" w:rsidR="0015536A" w:rsidRPr="00020D54" w:rsidRDefault="00B94F06" w:rsidP="007C1A2E">
            <w:pPr>
              <w:spacing w:before="100" w:beforeAutospacing="1" w:after="100" w:afterAutospacing="1" w:line="360" w:lineRule="auto"/>
              <w:rPr>
                <w:rFonts w:asciiTheme="majorHAnsi" w:hAnsiTheme="majorHAnsi" w:cstheme="majorHAnsi"/>
                <w:color w:val="000000" w:themeColor="text1"/>
                <w:sz w:val="16"/>
                <w:szCs w:val="16"/>
              </w:rPr>
            </w:pPr>
            <w:r w:rsidRPr="00020D54">
              <w:rPr>
                <w:rFonts w:asciiTheme="majorHAnsi" w:hAnsiTheme="majorHAnsi" w:cstheme="majorHAnsi"/>
                <w:color w:val="000000" w:themeColor="text1"/>
                <w:sz w:val="16"/>
                <w:szCs w:val="16"/>
              </w:rPr>
              <w:t>22</w:t>
            </w:r>
            <w:r w:rsidR="0015536A" w:rsidRPr="00020D54">
              <w:rPr>
                <w:rFonts w:asciiTheme="majorHAnsi" w:hAnsiTheme="majorHAnsi" w:cstheme="majorHAnsi"/>
                <w:color w:val="000000" w:themeColor="text1"/>
                <w:sz w:val="16"/>
                <w:szCs w:val="16"/>
              </w:rPr>
              <w:t>%</w:t>
            </w:r>
          </w:p>
        </w:tc>
        <w:tc>
          <w:tcPr>
            <w:tcW w:w="2020" w:type="dxa"/>
          </w:tcPr>
          <w:p w14:paraId="0419D7A3" w14:textId="77777777" w:rsidR="0015536A" w:rsidRPr="00020D54" w:rsidRDefault="00B94F06" w:rsidP="007C1A2E">
            <w:pPr>
              <w:spacing w:before="100" w:beforeAutospacing="1" w:after="100" w:afterAutospacing="1" w:line="360" w:lineRule="auto"/>
              <w:rPr>
                <w:rFonts w:asciiTheme="majorHAnsi" w:hAnsiTheme="majorHAnsi" w:cstheme="majorHAnsi"/>
                <w:color w:val="000000" w:themeColor="text1"/>
                <w:sz w:val="16"/>
                <w:szCs w:val="16"/>
              </w:rPr>
            </w:pPr>
            <w:r w:rsidRPr="00020D54">
              <w:rPr>
                <w:rFonts w:asciiTheme="majorHAnsi" w:hAnsiTheme="majorHAnsi" w:cstheme="majorHAnsi"/>
                <w:color w:val="000000" w:themeColor="text1"/>
                <w:sz w:val="16"/>
                <w:szCs w:val="16"/>
              </w:rPr>
              <w:t>16</w:t>
            </w:r>
            <w:r w:rsidR="0015536A" w:rsidRPr="00020D54">
              <w:rPr>
                <w:rFonts w:asciiTheme="majorHAnsi" w:hAnsiTheme="majorHAnsi" w:cstheme="majorHAnsi"/>
                <w:color w:val="000000" w:themeColor="text1"/>
                <w:sz w:val="16"/>
                <w:szCs w:val="16"/>
              </w:rPr>
              <w:t>%</w:t>
            </w:r>
          </w:p>
        </w:tc>
        <w:tc>
          <w:tcPr>
            <w:tcW w:w="1524" w:type="dxa"/>
          </w:tcPr>
          <w:p w14:paraId="6E724AC0" w14:textId="77777777" w:rsidR="0015536A" w:rsidRPr="00020D54" w:rsidRDefault="00B94F06" w:rsidP="007C1A2E">
            <w:pPr>
              <w:spacing w:before="100" w:beforeAutospacing="1" w:after="100" w:afterAutospacing="1" w:line="360" w:lineRule="auto"/>
              <w:rPr>
                <w:rFonts w:asciiTheme="majorHAnsi" w:hAnsiTheme="majorHAnsi" w:cstheme="majorHAnsi"/>
                <w:color w:val="000000" w:themeColor="text1"/>
                <w:sz w:val="16"/>
                <w:szCs w:val="16"/>
              </w:rPr>
            </w:pPr>
            <w:r w:rsidRPr="00020D54">
              <w:rPr>
                <w:rFonts w:asciiTheme="majorHAnsi" w:hAnsiTheme="majorHAnsi" w:cstheme="majorHAnsi"/>
                <w:color w:val="000000" w:themeColor="text1"/>
                <w:sz w:val="16"/>
                <w:szCs w:val="16"/>
              </w:rPr>
              <w:t>29</w:t>
            </w:r>
            <w:r w:rsidR="0015536A" w:rsidRPr="00020D54">
              <w:rPr>
                <w:rFonts w:asciiTheme="majorHAnsi" w:hAnsiTheme="majorHAnsi" w:cstheme="majorHAnsi"/>
                <w:color w:val="000000" w:themeColor="text1"/>
                <w:sz w:val="16"/>
                <w:szCs w:val="16"/>
              </w:rPr>
              <w:t>%</w:t>
            </w:r>
          </w:p>
        </w:tc>
        <w:tc>
          <w:tcPr>
            <w:tcW w:w="1415" w:type="dxa"/>
          </w:tcPr>
          <w:p w14:paraId="31AA8CFB" w14:textId="77777777" w:rsidR="0015536A" w:rsidRPr="00020D54" w:rsidRDefault="00B94F06" w:rsidP="007C1A2E">
            <w:pPr>
              <w:spacing w:before="100" w:beforeAutospacing="1" w:after="100" w:afterAutospacing="1" w:line="360" w:lineRule="auto"/>
              <w:rPr>
                <w:rFonts w:asciiTheme="majorHAnsi" w:hAnsiTheme="majorHAnsi" w:cstheme="majorHAnsi"/>
                <w:color w:val="000000" w:themeColor="text1"/>
                <w:sz w:val="16"/>
                <w:szCs w:val="16"/>
              </w:rPr>
            </w:pPr>
            <w:r w:rsidRPr="00020D54">
              <w:rPr>
                <w:rFonts w:asciiTheme="majorHAnsi" w:hAnsiTheme="majorHAnsi" w:cstheme="majorHAnsi"/>
                <w:color w:val="000000" w:themeColor="text1"/>
                <w:sz w:val="16"/>
                <w:szCs w:val="16"/>
              </w:rPr>
              <w:t>14</w:t>
            </w:r>
            <w:r w:rsidR="0015536A" w:rsidRPr="00020D54">
              <w:rPr>
                <w:rFonts w:asciiTheme="majorHAnsi" w:hAnsiTheme="majorHAnsi" w:cstheme="majorHAnsi"/>
                <w:color w:val="000000" w:themeColor="text1"/>
                <w:sz w:val="16"/>
                <w:szCs w:val="16"/>
              </w:rPr>
              <w:t>%</w:t>
            </w:r>
          </w:p>
        </w:tc>
      </w:tr>
      <w:tr w:rsidR="0015536A" w:rsidRPr="00020D54" w14:paraId="1F0F8300" w14:textId="77777777" w:rsidTr="00080CF5">
        <w:trPr>
          <w:trHeight w:val="205"/>
        </w:trPr>
        <w:tc>
          <w:tcPr>
            <w:tcW w:w="1757" w:type="dxa"/>
            <w:shd w:val="clear" w:color="auto" w:fill="BFBFBF" w:themeFill="background1" w:themeFillShade="BF"/>
          </w:tcPr>
          <w:p w14:paraId="52DB86AF" w14:textId="77777777" w:rsidR="0015536A" w:rsidRPr="00020D54" w:rsidRDefault="0015536A" w:rsidP="007C1A2E">
            <w:pPr>
              <w:spacing w:before="100" w:beforeAutospacing="1" w:after="100" w:afterAutospacing="1" w:line="360" w:lineRule="auto"/>
              <w:rPr>
                <w:rFonts w:asciiTheme="majorHAnsi" w:hAnsiTheme="majorHAnsi" w:cstheme="majorHAnsi"/>
                <w:color w:val="000000" w:themeColor="text1"/>
                <w:sz w:val="16"/>
                <w:szCs w:val="16"/>
              </w:rPr>
            </w:pPr>
            <w:r w:rsidRPr="00020D54">
              <w:rPr>
                <w:rFonts w:asciiTheme="majorHAnsi" w:hAnsiTheme="majorHAnsi" w:cstheme="majorHAnsi"/>
                <w:color w:val="000000" w:themeColor="text1"/>
                <w:sz w:val="16"/>
                <w:szCs w:val="16"/>
              </w:rPr>
              <w:t>Follow-Up Study **</w:t>
            </w:r>
          </w:p>
        </w:tc>
        <w:tc>
          <w:tcPr>
            <w:tcW w:w="1504" w:type="dxa"/>
            <w:shd w:val="clear" w:color="auto" w:fill="BFBFBF" w:themeFill="background1" w:themeFillShade="BF"/>
          </w:tcPr>
          <w:p w14:paraId="4ACAC469" w14:textId="77777777" w:rsidR="0015536A" w:rsidRPr="00020D54" w:rsidRDefault="0015536A" w:rsidP="007C1A2E">
            <w:pPr>
              <w:spacing w:before="100" w:beforeAutospacing="1" w:after="100" w:afterAutospacing="1" w:line="360" w:lineRule="auto"/>
              <w:rPr>
                <w:rFonts w:asciiTheme="majorHAnsi" w:hAnsiTheme="majorHAnsi" w:cstheme="majorHAnsi"/>
                <w:color w:val="000000" w:themeColor="text1"/>
                <w:sz w:val="16"/>
                <w:szCs w:val="16"/>
              </w:rPr>
            </w:pPr>
          </w:p>
        </w:tc>
        <w:tc>
          <w:tcPr>
            <w:tcW w:w="2020" w:type="dxa"/>
            <w:shd w:val="clear" w:color="auto" w:fill="BFBFBF" w:themeFill="background1" w:themeFillShade="BF"/>
          </w:tcPr>
          <w:p w14:paraId="5FDDCC01" w14:textId="77777777" w:rsidR="0015536A" w:rsidRPr="00020D54" w:rsidRDefault="0015536A" w:rsidP="007C1A2E">
            <w:pPr>
              <w:spacing w:before="100" w:beforeAutospacing="1" w:after="100" w:afterAutospacing="1" w:line="360" w:lineRule="auto"/>
              <w:rPr>
                <w:rFonts w:asciiTheme="majorHAnsi" w:hAnsiTheme="majorHAnsi" w:cstheme="majorHAnsi"/>
                <w:color w:val="000000" w:themeColor="text1"/>
                <w:sz w:val="16"/>
                <w:szCs w:val="16"/>
              </w:rPr>
            </w:pPr>
          </w:p>
        </w:tc>
        <w:tc>
          <w:tcPr>
            <w:tcW w:w="1524" w:type="dxa"/>
            <w:shd w:val="clear" w:color="auto" w:fill="BFBFBF" w:themeFill="background1" w:themeFillShade="BF"/>
          </w:tcPr>
          <w:p w14:paraId="5AE836BA" w14:textId="77777777" w:rsidR="0015536A" w:rsidRPr="00020D54" w:rsidRDefault="0015536A" w:rsidP="007C1A2E">
            <w:pPr>
              <w:spacing w:before="100" w:beforeAutospacing="1" w:after="100" w:afterAutospacing="1" w:line="360" w:lineRule="auto"/>
              <w:rPr>
                <w:rFonts w:asciiTheme="majorHAnsi" w:hAnsiTheme="majorHAnsi" w:cstheme="majorHAnsi"/>
                <w:color w:val="000000" w:themeColor="text1"/>
                <w:sz w:val="16"/>
                <w:szCs w:val="16"/>
              </w:rPr>
            </w:pPr>
          </w:p>
        </w:tc>
        <w:tc>
          <w:tcPr>
            <w:tcW w:w="1415" w:type="dxa"/>
            <w:shd w:val="clear" w:color="auto" w:fill="BFBFBF" w:themeFill="background1" w:themeFillShade="BF"/>
          </w:tcPr>
          <w:p w14:paraId="19885AC9" w14:textId="77777777" w:rsidR="0015536A" w:rsidRPr="00020D54" w:rsidRDefault="0015536A" w:rsidP="007C1A2E">
            <w:pPr>
              <w:spacing w:before="100" w:beforeAutospacing="1" w:after="100" w:afterAutospacing="1" w:line="360" w:lineRule="auto"/>
              <w:rPr>
                <w:rFonts w:asciiTheme="majorHAnsi" w:hAnsiTheme="majorHAnsi" w:cstheme="majorHAnsi"/>
                <w:color w:val="000000" w:themeColor="text1"/>
                <w:sz w:val="16"/>
                <w:szCs w:val="16"/>
              </w:rPr>
            </w:pPr>
          </w:p>
        </w:tc>
      </w:tr>
      <w:tr w:rsidR="0015536A" w:rsidRPr="00020D54" w14:paraId="3C5D0581" w14:textId="77777777" w:rsidTr="00080CF5">
        <w:trPr>
          <w:trHeight w:val="82"/>
        </w:trPr>
        <w:tc>
          <w:tcPr>
            <w:tcW w:w="1757" w:type="dxa"/>
          </w:tcPr>
          <w:p w14:paraId="31215065" w14:textId="77777777" w:rsidR="0015536A" w:rsidRPr="00020D54" w:rsidRDefault="0015536A" w:rsidP="007C1A2E">
            <w:pPr>
              <w:spacing w:before="100" w:beforeAutospacing="1" w:after="100" w:afterAutospacing="1" w:line="360" w:lineRule="auto"/>
              <w:rPr>
                <w:rFonts w:asciiTheme="majorHAnsi" w:hAnsiTheme="majorHAnsi" w:cstheme="majorHAnsi"/>
                <w:color w:val="000000" w:themeColor="text1"/>
                <w:sz w:val="16"/>
                <w:szCs w:val="16"/>
              </w:rPr>
            </w:pPr>
            <w:r w:rsidRPr="00020D54">
              <w:rPr>
                <w:rFonts w:asciiTheme="majorHAnsi" w:hAnsiTheme="majorHAnsi" w:cstheme="majorHAnsi"/>
                <w:color w:val="000000" w:themeColor="text1"/>
                <w:sz w:val="16"/>
                <w:szCs w:val="16"/>
              </w:rPr>
              <w:t>PSHs (n=11)</w:t>
            </w:r>
          </w:p>
        </w:tc>
        <w:tc>
          <w:tcPr>
            <w:tcW w:w="1504" w:type="dxa"/>
          </w:tcPr>
          <w:p w14:paraId="661611C6" w14:textId="77777777" w:rsidR="0015536A" w:rsidRPr="00020D54" w:rsidRDefault="00B94F06" w:rsidP="007C1A2E">
            <w:pPr>
              <w:spacing w:before="100" w:beforeAutospacing="1" w:after="100" w:afterAutospacing="1" w:line="360" w:lineRule="auto"/>
              <w:rPr>
                <w:rFonts w:asciiTheme="majorHAnsi" w:hAnsiTheme="majorHAnsi" w:cstheme="majorHAnsi"/>
                <w:color w:val="000000" w:themeColor="text1"/>
                <w:sz w:val="16"/>
                <w:szCs w:val="16"/>
              </w:rPr>
            </w:pPr>
            <w:r w:rsidRPr="00020D54">
              <w:rPr>
                <w:rFonts w:asciiTheme="majorHAnsi" w:hAnsiTheme="majorHAnsi" w:cstheme="majorHAnsi"/>
                <w:color w:val="000000" w:themeColor="text1"/>
                <w:sz w:val="16"/>
                <w:szCs w:val="16"/>
              </w:rPr>
              <w:t>36</w:t>
            </w:r>
            <w:r w:rsidR="0015536A" w:rsidRPr="00020D54">
              <w:rPr>
                <w:rFonts w:asciiTheme="majorHAnsi" w:hAnsiTheme="majorHAnsi" w:cstheme="majorHAnsi"/>
                <w:color w:val="000000" w:themeColor="text1"/>
                <w:sz w:val="16"/>
                <w:szCs w:val="16"/>
              </w:rPr>
              <w:t>%</w:t>
            </w:r>
          </w:p>
        </w:tc>
        <w:tc>
          <w:tcPr>
            <w:tcW w:w="2020" w:type="dxa"/>
          </w:tcPr>
          <w:p w14:paraId="77B4C606" w14:textId="77777777" w:rsidR="0015536A" w:rsidRPr="00020D54" w:rsidRDefault="00B94F06" w:rsidP="007C1A2E">
            <w:pPr>
              <w:spacing w:before="100" w:beforeAutospacing="1" w:after="100" w:afterAutospacing="1" w:line="360" w:lineRule="auto"/>
              <w:rPr>
                <w:rFonts w:asciiTheme="majorHAnsi" w:hAnsiTheme="majorHAnsi" w:cstheme="majorHAnsi"/>
                <w:color w:val="000000" w:themeColor="text1"/>
                <w:sz w:val="16"/>
                <w:szCs w:val="16"/>
              </w:rPr>
            </w:pPr>
            <w:r w:rsidRPr="00020D54">
              <w:rPr>
                <w:rFonts w:asciiTheme="majorHAnsi" w:hAnsiTheme="majorHAnsi" w:cstheme="majorHAnsi"/>
                <w:color w:val="000000" w:themeColor="text1"/>
                <w:sz w:val="16"/>
                <w:szCs w:val="16"/>
              </w:rPr>
              <w:t>27</w:t>
            </w:r>
            <w:r w:rsidR="0015536A" w:rsidRPr="00020D54">
              <w:rPr>
                <w:rFonts w:asciiTheme="majorHAnsi" w:hAnsiTheme="majorHAnsi" w:cstheme="majorHAnsi"/>
                <w:color w:val="000000" w:themeColor="text1"/>
                <w:sz w:val="16"/>
                <w:szCs w:val="16"/>
              </w:rPr>
              <w:t>%</w:t>
            </w:r>
          </w:p>
        </w:tc>
        <w:tc>
          <w:tcPr>
            <w:tcW w:w="1524" w:type="dxa"/>
          </w:tcPr>
          <w:p w14:paraId="6D1DC000" w14:textId="77777777" w:rsidR="0015536A" w:rsidRPr="00020D54" w:rsidRDefault="00B94F06" w:rsidP="007C1A2E">
            <w:pPr>
              <w:spacing w:before="100" w:beforeAutospacing="1" w:after="100" w:afterAutospacing="1" w:line="360" w:lineRule="auto"/>
              <w:rPr>
                <w:rFonts w:asciiTheme="majorHAnsi" w:hAnsiTheme="majorHAnsi" w:cstheme="majorHAnsi"/>
                <w:color w:val="000000" w:themeColor="text1"/>
                <w:sz w:val="16"/>
                <w:szCs w:val="16"/>
              </w:rPr>
            </w:pPr>
            <w:r w:rsidRPr="00020D54">
              <w:rPr>
                <w:rFonts w:asciiTheme="majorHAnsi" w:hAnsiTheme="majorHAnsi" w:cstheme="majorHAnsi"/>
                <w:color w:val="000000" w:themeColor="text1"/>
                <w:sz w:val="16"/>
                <w:szCs w:val="16"/>
              </w:rPr>
              <w:t>27</w:t>
            </w:r>
            <w:r w:rsidR="0015536A" w:rsidRPr="00020D54">
              <w:rPr>
                <w:rFonts w:asciiTheme="majorHAnsi" w:hAnsiTheme="majorHAnsi" w:cstheme="majorHAnsi"/>
                <w:color w:val="000000" w:themeColor="text1"/>
                <w:sz w:val="16"/>
                <w:szCs w:val="16"/>
              </w:rPr>
              <w:t>%</w:t>
            </w:r>
          </w:p>
        </w:tc>
        <w:tc>
          <w:tcPr>
            <w:tcW w:w="1415" w:type="dxa"/>
          </w:tcPr>
          <w:p w14:paraId="295BA887" w14:textId="77777777" w:rsidR="0015536A" w:rsidRPr="00020D54" w:rsidRDefault="00B94F06" w:rsidP="007C1A2E">
            <w:pPr>
              <w:spacing w:before="100" w:beforeAutospacing="1" w:after="100" w:afterAutospacing="1" w:line="360" w:lineRule="auto"/>
              <w:rPr>
                <w:rFonts w:asciiTheme="majorHAnsi" w:hAnsiTheme="majorHAnsi" w:cstheme="majorHAnsi"/>
                <w:color w:val="000000" w:themeColor="text1"/>
                <w:sz w:val="16"/>
                <w:szCs w:val="16"/>
              </w:rPr>
            </w:pPr>
            <w:r w:rsidRPr="00020D54">
              <w:rPr>
                <w:rFonts w:asciiTheme="majorHAnsi" w:hAnsiTheme="majorHAnsi" w:cstheme="majorHAnsi"/>
                <w:color w:val="000000" w:themeColor="text1"/>
                <w:sz w:val="16"/>
                <w:szCs w:val="16"/>
              </w:rPr>
              <w:t>36</w:t>
            </w:r>
            <w:r w:rsidR="0015536A" w:rsidRPr="00020D54">
              <w:rPr>
                <w:rFonts w:asciiTheme="majorHAnsi" w:hAnsiTheme="majorHAnsi" w:cstheme="majorHAnsi"/>
                <w:color w:val="000000" w:themeColor="text1"/>
                <w:sz w:val="16"/>
                <w:szCs w:val="16"/>
              </w:rPr>
              <w:t>%</w:t>
            </w:r>
          </w:p>
        </w:tc>
      </w:tr>
      <w:tr w:rsidR="0015536A" w:rsidRPr="00020D54" w14:paraId="50824A20" w14:textId="77777777" w:rsidTr="00080CF5">
        <w:trPr>
          <w:trHeight w:val="46"/>
        </w:trPr>
        <w:tc>
          <w:tcPr>
            <w:tcW w:w="1757" w:type="dxa"/>
          </w:tcPr>
          <w:p w14:paraId="57A9041F" w14:textId="77777777" w:rsidR="0015536A" w:rsidRPr="00020D54" w:rsidRDefault="0015536A" w:rsidP="007C1A2E">
            <w:pPr>
              <w:spacing w:before="100" w:beforeAutospacing="1" w:after="100" w:afterAutospacing="1" w:line="360" w:lineRule="auto"/>
              <w:rPr>
                <w:rFonts w:asciiTheme="majorHAnsi" w:hAnsiTheme="majorHAnsi" w:cstheme="majorHAnsi"/>
                <w:color w:val="000000" w:themeColor="text1"/>
                <w:sz w:val="16"/>
                <w:szCs w:val="16"/>
              </w:rPr>
            </w:pPr>
            <w:r w:rsidRPr="00020D54">
              <w:rPr>
                <w:rFonts w:asciiTheme="majorHAnsi" w:hAnsiTheme="majorHAnsi" w:cstheme="majorHAnsi"/>
                <w:color w:val="000000" w:themeColor="text1"/>
                <w:sz w:val="16"/>
                <w:szCs w:val="16"/>
              </w:rPr>
              <w:t>Teachers (n=61)</w:t>
            </w:r>
          </w:p>
        </w:tc>
        <w:tc>
          <w:tcPr>
            <w:tcW w:w="1504" w:type="dxa"/>
          </w:tcPr>
          <w:p w14:paraId="0A100670" w14:textId="77777777" w:rsidR="0015536A" w:rsidRPr="00020D54" w:rsidRDefault="00B94F06" w:rsidP="007C1A2E">
            <w:pPr>
              <w:spacing w:before="100" w:beforeAutospacing="1" w:after="100" w:afterAutospacing="1" w:line="360" w:lineRule="auto"/>
              <w:rPr>
                <w:rFonts w:asciiTheme="majorHAnsi" w:hAnsiTheme="majorHAnsi" w:cstheme="majorHAnsi"/>
                <w:color w:val="000000" w:themeColor="text1"/>
                <w:sz w:val="16"/>
                <w:szCs w:val="16"/>
              </w:rPr>
            </w:pPr>
            <w:r w:rsidRPr="00020D54">
              <w:rPr>
                <w:rFonts w:asciiTheme="majorHAnsi" w:hAnsiTheme="majorHAnsi" w:cstheme="majorHAnsi"/>
                <w:color w:val="000000" w:themeColor="text1"/>
                <w:sz w:val="16"/>
                <w:szCs w:val="16"/>
              </w:rPr>
              <w:t>38</w:t>
            </w:r>
            <w:r w:rsidR="0015536A" w:rsidRPr="00020D54">
              <w:rPr>
                <w:rFonts w:asciiTheme="majorHAnsi" w:hAnsiTheme="majorHAnsi" w:cstheme="majorHAnsi"/>
                <w:color w:val="000000" w:themeColor="text1"/>
                <w:sz w:val="16"/>
                <w:szCs w:val="16"/>
              </w:rPr>
              <w:t>%</w:t>
            </w:r>
          </w:p>
        </w:tc>
        <w:tc>
          <w:tcPr>
            <w:tcW w:w="2020" w:type="dxa"/>
          </w:tcPr>
          <w:p w14:paraId="23D39CC1" w14:textId="77777777" w:rsidR="0015536A" w:rsidRPr="00020D54" w:rsidRDefault="00B94F06" w:rsidP="007C1A2E">
            <w:pPr>
              <w:spacing w:before="100" w:beforeAutospacing="1" w:after="100" w:afterAutospacing="1" w:line="360" w:lineRule="auto"/>
              <w:rPr>
                <w:rFonts w:asciiTheme="majorHAnsi" w:hAnsiTheme="majorHAnsi" w:cstheme="majorHAnsi"/>
                <w:color w:val="000000" w:themeColor="text1"/>
                <w:sz w:val="16"/>
                <w:szCs w:val="16"/>
              </w:rPr>
            </w:pPr>
            <w:r w:rsidRPr="00020D54">
              <w:rPr>
                <w:rFonts w:asciiTheme="majorHAnsi" w:hAnsiTheme="majorHAnsi" w:cstheme="majorHAnsi"/>
                <w:color w:val="000000" w:themeColor="text1"/>
                <w:sz w:val="16"/>
                <w:szCs w:val="16"/>
              </w:rPr>
              <w:t>20</w:t>
            </w:r>
            <w:r w:rsidR="0015536A" w:rsidRPr="00020D54">
              <w:rPr>
                <w:rFonts w:asciiTheme="majorHAnsi" w:hAnsiTheme="majorHAnsi" w:cstheme="majorHAnsi"/>
                <w:color w:val="000000" w:themeColor="text1"/>
                <w:sz w:val="16"/>
                <w:szCs w:val="16"/>
              </w:rPr>
              <w:t>%</w:t>
            </w:r>
          </w:p>
        </w:tc>
        <w:tc>
          <w:tcPr>
            <w:tcW w:w="1524" w:type="dxa"/>
          </w:tcPr>
          <w:p w14:paraId="08315615" w14:textId="77777777" w:rsidR="0015536A" w:rsidRPr="00020D54" w:rsidRDefault="00B94F06" w:rsidP="007C1A2E">
            <w:pPr>
              <w:spacing w:before="100" w:beforeAutospacing="1" w:after="100" w:afterAutospacing="1" w:line="360" w:lineRule="auto"/>
              <w:rPr>
                <w:rFonts w:asciiTheme="majorHAnsi" w:hAnsiTheme="majorHAnsi" w:cstheme="majorHAnsi"/>
                <w:color w:val="000000" w:themeColor="text1"/>
                <w:sz w:val="16"/>
                <w:szCs w:val="16"/>
              </w:rPr>
            </w:pPr>
            <w:r w:rsidRPr="00020D54">
              <w:rPr>
                <w:rFonts w:asciiTheme="majorHAnsi" w:hAnsiTheme="majorHAnsi" w:cstheme="majorHAnsi"/>
                <w:color w:val="000000" w:themeColor="text1"/>
                <w:sz w:val="16"/>
                <w:szCs w:val="16"/>
              </w:rPr>
              <w:t>44</w:t>
            </w:r>
            <w:r w:rsidR="0015536A" w:rsidRPr="00020D54">
              <w:rPr>
                <w:rFonts w:asciiTheme="majorHAnsi" w:hAnsiTheme="majorHAnsi" w:cstheme="majorHAnsi"/>
                <w:color w:val="000000" w:themeColor="text1"/>
                <w:sz w:val="16"/>
                <w:szCs w:val="16"/>
              </w:rPr>
              <w:t>%</w:t>
            </w:r>
          </w:p>
        </w:tc>
        <w:tc>
          <w:tcPr>
            <w:tcW w:w="1415" w:type="dxa"/>
          </w:tcPr>
          <w:p w14:paraId="67C01F6B" w14:textId="77777777" w:rsidR="0015536A" w:rsidRPr="00020D54" w:rsidRDefault="00B94F06" w:rsidP="007C1A2E">
            <w:pPr>
              <w:spacing w:before="100" w:beforeAutospacing="1" w:after="100" w:afterAutospacing="1" w:line="360" w:lineRule="auto"/>
              <w:rPr>
                <w:rFonts w:asciiTheme="majorHAnsi" w:hAnsiTheme="majorHAnsi" w:cstheme="majorHAnsi"/>
                <w:color w:val="000000" w:themeColor="text1"/>
                <w:sz w:val="16"/>
                <w:szCs w:val="16"/>
              </w:rPr>
            </w:pPr>
            <w:r w:rsidRPr="00020D54">
              <w:rPr>
                <w:rFonts w:asciiTheme="majorHAnsi" w:hAnsiTheme="majorHAnsi" w:cstheme="majorHAnsi"/>
                <w:color w:val="000000" w:themeColor="text1"/>
                <w:sz w:val="16"/>
                <w:szCs w:val="16"/>
              </w:rPr>
              <w:t>34</w:t>
            </w:r>
            <w:r w:rsidR="0015536A" w:rsidRPr="00020D54">
              <w:rPr>
                <w:rFonts w:asciiTheme="majorHAnsi" w:hAnsiTheme="majorHAnsi" w:cstheme="majorHAnsi"/>
                <w:color w:val="000000" w:themeColor="text1"/>
                <w:sz w:val="16"/>
                <w:szCs w:val="16"/>
              </w:rPr>
              <w:t>%</w:t>
            </w:r>
          </w:p>
        </w:tc>
      </w:tr>
    </w:tbl>
    <w:p w14:paraId="316289F0" w14:textId="77777777" w:rsidR="0015536A" w:rsidRPr="00020D54" w:rsidRDefault="00B94F06" w:rsidP="007C1A2E">
      <w:pPr>
        <w:spacing w:before="100" w:beforeAutospacing="1" w:after="100" w:afterAutospacing="1" w:line="360" w:lineRule="auto"/>
        <w:rPr>
          <w:rFonts w:asciiTheme="majorHAnsi" w:hAnsiTheme="majorHAnsi" w:cstheme="majorHAnsi"/>
          <w:noProof/>
          <w:sz w:val="14"/>
          <w:szCs w:val="14"/>
          <w:lang w:val="en-GB"/>
        </w:rPr>
      </w:pPr>
      <w:r w:rsidRPr="00020D54">
        <w:rPr>
          <w:rFonts w:asciiTheme="majorHAnsi" w:hAnsiTheme="majorHAnsi" w:cstheme="majorHAnsi"/>
          <w:noProof/>
          <w:sz w:val="14"/>
          <w:szCs w:val="14"/>
          <w:lang w:val="en-GB"/>
        </w:rPr>
        <w:t>*2019 KAU Survey **2020 KAU Survey</w:t>
      </w:r>
    </w:p>
    <w:p w14:paraId="2C528DA3" w14:textId="0377D47B" w:rsidR="008D0CAD" w:rsidRDefault="008D0CAD" w:rsidP="007C1A2E">
      <w:pPr>
        <w:spacing w:before="100" w:beforeAutospacing="1" w:after="100" w:afterAutospacing="1" w:line="360" w:lineRule="auto"/>
        <w:rPr>
          <w:rFonts w:asciiTheme="majorHAnsi" w:hAnsiTheme="majorHAnsi" w:cstheme="majorHAnsi"/>
          <w:lang w:val="en-GB"/>
        </w:rPr>
      </w:pPr>
      <w:r>
        <w:rPr>
          <w:rFonts w:asciiTheme="majorHAnsi" w:hAnsiTheme="majorHAnsi" w:cstheme="majorHAnsi"/>
          <w:noProof/>
          <w:lang w:val="en-GB"/>
        </w:rPr>
        <w:t>This is notable</w:t>
      </w:r>
      <w:r>
        <w:rPr>
          <w:rFonts w:asciiTheme="majorHAnsi" w:hAnsiTheme="majorHAnsi" w:cstheme="majorHAnsi"/>
          <w:lang w:val="en-GB"/>
        </w:rPr>
        <w:t xml:space="preserve"> because the </w:t>
      </w:r>
      <w:r w:rsidRPr="008579AB">
        <w:rPr>
          <w:rFonts w:asciiTheme="majorHAnsi" w:hAnsiTheme="majorHAnsi" w:cstheme="majorHAnsi"/>
          <w:lang w:val="en-GB"/>
        </w:rPr>
        <w:t>MTB-MLE</w:t>
      </w:r>
      <w:r w:rsidRPr="00FB5DB5">
        <w:rPr>
          <w:rFonts w:asciiTheme="majorHAnsi" w:hAnsiTheme="majorHAnsi" w:cstheme="majorHAnsi"/>
          <w:lang w:val="en-GB"/>
        </w:rPr>
        <w:t xml:space="preserve"> was one of the </w:t>
      </w:r>
      <w:r>
        <w:rPr>
          <w:rFonts w:asciiTheme="majorHAnsi" w:hAnsiTheme="majorHAnsi" w:cstheme="majorHAnsi"/>
          <w:lang w:val="en-GB"/>
        </w:rPr>
        <w:t>more</w:t>
      </w:r>
      <w:r w:rsidRPr="00FB5DB5">
        <w:rPr>
          <w:rFonts w:asciiTheme="majorHAnsi" w:hAnsiTheme="majorHAnsi" w:cstheme="majorHAnsi"/>
          <w:lang w:val="en-GB"/>
        </w:rPr>
        <w:t xml:space="preserve"> contentious </w:t>
      </w:r>
      <w:r>
        <w:rPr>
          <w:rFonts w:asciiTheme="majorHAnsi" w:hAnsiTheme="majorHAnsi" w:cstheme="majorHAnsi"/>
          <w:lang w:val="en-GB"/>
        </w:rPr>
        <w:t>topics</w:t>
      </w:r>
      <w:r w:rsidRPr="00FB5DB5">
        <w:rPr>
          <w:rFonts w:asciiTheme="majorHAnsi" w:hAnsiTheme="majorHAnsi" w:cstheme="majorHAnsi"/>
          <w:lang w:val="en-GB"/>
        </w:rPr>
        <w:t xml:space="preserve"> </w:t>
      </w:r>
      <w:r>
        <w:rPr>
          <w:rFonts w:asciiTheme="majorHAnsi" w:hAnsiTheme="majorHAnsi" w:cstheme="majorHAnsi"/>
          <w:lang w:val="en-GB"/>
        </w:rPr>
        <w:t>discussed</w:t>
      </w:r>
      <w:r w:rsidRPr="00FB5DB5">
        <w:rPr>
          <w:rFonts w:asciiTheme="majorHAnsi" w:hAnsiTheme="majorHAnsi" w:cstheme="majorHAnsi"/>
          <w:lang w:val="en-GB"/>
        </w:rPr>
        <w:t xml:space="preserve"> during the </w:t>
      </w:r>
      <w:r w:rsidRPr="00397E23">
        <w:rPr>
          <w:rFonts w:asciiTheme="majorHAnsi" w:hAnsiTheme="majorHAnsi" w:cstheme="majorHAnsi"/>
          <w:color w:val="000000" w:themeColor="text1"/>
          <w:lang w:val="en-GB"/>
        </w:rPr>
        <w:t>FGDs</w:t>
      </w:r>
      <w:r>
        <w:rPr>
          <w:rFonts w:asciiTheme="majorHAnsi" w:hAnsiTheme="majorHAnsi" w:cstheme="majorHAnsi"/>
          <w:color w:val="000000" w:themeColor="text1"/>
          <w:lang w:val="en-GB"/>
        </w:rPr>
        <w:t xml:space="preserve"> with teachers</w:t>
      </w:r>
      <w:r w:rsidRPr="00FB5DB5">
        <w:rPr>
          <w:rFonts w:asciiTheme="majorHAnsi" w:hAnsiTheme="majorHAnsi" w:cstheme="majorHAnsi"/>
          <w:lang w:val="en-GB"/>
        </w:rPr>
        <w:t>.</w:t>
      </w:r>
      <w:r>
        <w:rPr>
          <w:rFonts w:asciiTheme="majorHAnsi" w:hAnsiTheme="majorHAnsi" w:cstheme="majorHAnsi"/>
          <w:lang w:val="en-GB"/>
        </w:rPr>
        <w:t xml:space="preserve"> Several</w:t>
      </w:r>
      <w:r w:rsidRPr="00FB5DB5">
        <w:rPr>
          <w:rFonts w:asciiTheme="majorHAnsi" w:hAnsiTheme="majorHAnsi" w:cstheme="majorHAnsi"/>
          <w:lang w:val="en-GB"/>
        </w:rPr>
        <w:t xml:space="preserve"> </w:t>
      </w:r>
      <w:r>
        <w:rPr>
          <w:rFonts w:asciiTheme="majorHAnsi" w:hAnsiTheme="majorHAnsi" w:cstheme="majorHAnsi"/>
          <w:lang w:val="en-GB"/>
        </w:rPr>
        <w:t>teachers</w:t>
      </w:r>
      <w:r w:rsidRPr="00FB5DB5">
        <w:rPr>
          <w:rFonts w:asciiTheme="majorHAnsi" w:hAnsiTheme="majorHAnsi" w:cstheme="majorHAnsi"/>
          <w:lang w:val="en-GB"/>
        </w:rPr>
        <w:t xml:space="preserve"> from NCR and Region </w:t>
      </w:r>
      <w:r>
        <w:rPr>
          <w:rFonts w:asciiTheme="majorHAnsi" w:hAnsiTheme="majorHAnsi" w:cstheme="majorHAnsi"/>
          <w:lang w:val="en-GB"/>
        </w:rPr>
        <w:t xml:space="preserve">X FGDs </w:t>
      </w:r>
      <w:r w:rsidRPr="00FB5DB5">
        <w:rPr>
          <w:rFonts w:asciiTheme="majorHAnsi" w:hAnsiTheme="majorHAnsi" w:cstheme="majorHAnsi"/>
          <w:lang w:val="en-GB"/>
        </w:rPr>
        <w:t xml:space="preserve">mentioned that MTB-MLE resulted in better learning outcomes for students because </w:t>
      </w:r>
      <w:r>
        <w:rPr>
          <w:rFonts w:asciiTheme="majorHAnsi" w:hAnsiTheme="majorHAnsi" w:cstheme="majorHAnsi"/>
          <w:lang w:val="en-GB"/>
        </w:rPr>
        <w:t>learners</w:t>
      </w:r>
      <w:r w:rsidRPr="00FB5DB5">
        <w:rPr>
          <w:rFonts w:asciiTheme="majorHAnsi" w:hAnsiTheme="majorHAnsi" w:cstheme="majorHAnsi"/>
          <w:lang w:val="en-GB"/>
        </w:rPr>
        <w:t xml:space="preserve"> easily understood terms in their local language. </w:t>
      </w:r>
      <w:r>
        <w:rPr>
          <w:rFonts w:asciiTheme="majorHAnsi" w:hAnsiTheme="majorHAnsi" w:cstheme="majorHAnsi"/>
          <w:lang w:val="en-GB"/>
        </w:rPr>
        <w:t>A principal from Region VI stated that, “</w:t>
      </w:r>
      <w:r w:rsidRPr="00E027A4">
        <w:rPr>
          <w:rFonts w:asciiTheme="majorHAnsi" w:hAnsiTheme="majorHAnsi" w:cstheme="majorHAnsi"/>
          <w:i/>
          <w:iCs/>
        </w:rPr>
        <w:t>I think one of the advantages of using Mother Tongue is enhanced participation of the learners especially in the Pre-School/Kinder stage because they can really understand the story or the discussion of the teacher in the Mother Tongue.</w:t>
      </w:r>
      <w:r w:rsidR="00D434EB">
        <w:rPr>
          <w:rFonts w:asciiTheme="majorHAnsi" w:hAnsiTheme="majorHAnsi" w:cstheme="majorHAnsi"/>
          <w:i/>
          <w:iCs/>
        </w:rPr>
        <w:t xml:space="preserve"> </w:t>
      </w:r>
      <w:r w:rsidRPr="00E027A4">
        <w:rPr>
          <w:rFonts w:asciiTheme="majorHAnsi" w:hAnsiTheme="majorHAnsi" w:cstheme="majorHAnsi"/>
          <w:i/>
          <w:iCs/>
        </w:rPr>
        <w:t>So somehow it improves the comprehension and understanding of the learners</w:t>
      </w:r>
      <w:r>
        <w:rPr>
          <w:rFonts w:asciiTheme="majorHAnsi" w:hAnsiTheme="majorHAnsi" w:cstheme="majorHAnsi"/>
        </w:rPr>
        <w:t>”</w:t>
      </w:r>
      <w:r w:rsidRPr="008238AB">
        <w:rPr>
          <w:rFonts w:asciiTheme="majorHAnsi" w:hAnsiTheme="majorHAnsi" w:cstheme="majorHAnsi"/>
        </w:rPr>
        <w:t>.</w:t>
      </w:r>
      <w:r w:rsidR="00D434EB">
        <w:rPr>
          <w:rFonts w:asciiTheme="majorHAnsi" w:hAnsiTheme="majorHAnsi" w:cstheme="majorHAnsi"/>
        </w:rPr>
        <w:t xml:space="preserve"> </w:t>
      </w:r>
    </w:p>
    <w:p w14:paraId="76106AB2" w14:textId="77777777" w:rsidR="008D0CAD" w:rsidRDefault="008D0CAD" w:rsidP="007C1A2E">
      <w:pPr>
        <w:spacing w:before="100" w:beforeAutospacing="1" w:after="100" w:afterAutospacing="1" w:line="360" w:lineRule="auto"/>
        <w:rPr>
          <w:rFonts w:asciiTheme="majorHAnsi" w:hAnsiTheme="majorHAnsi" w:cstheme="majorHAnsi"/>
          <w:color w:val="000000" w:themeColor="text1"/>
          <w:lang w:val="en-GB"/>
        </w:rPr>
      </w:pPr>
      <w:r w:rsidRPr="00E027A4">
        <w:rPr>
          <w:rFonts w:asciiTheme="majorHAnsi" w:hAnsiTheme="majorHAnsi" w:cstheme="majorHAnsi"/>
          <w:color w:val="000000" w:themeColor="text1"/>
          <w:lang w:val="en-GB"/>
        </w:rPr>
        <w:t xml:space="preserve">However, teachers who participated in the FGDs in Regions </w:t>
      </w:r>
      <w:r>
        <w:rPr>
          <w:rFonts w:asciiTheme="majorHAnsi" w:hAnsiTheme="majorHAnsi" w:cstheme="majorHAnsi"/>
          <w:color w:val="000000" w:themeColor="text1"/>
          <w:lang w:val="en-GB"/>
        </w:rPr>
        <w:t>V</w:t>
      </w:r>
      <w:r w:rsidRPr="00E027A4">
        <w:rPr>
          <w:rFonts w:asciiTheme="majorHAnsi" w:hAnsiTheme="majorHAnsi" w:cstheme="majorHAnsi"/>
          <w:color w:val="000000" w:themeColor="text1"/>
          <w:lang w:val="en-GB"/>
        </w:rPr>
        <w:t xml:space="preserve">, </w:t>
      </w:r>
      <w:r>
        <w:rPr>
          <w:rFonts w:asciiTheme="majorHAnsi" w:hAnsiTheme="majorHAnsi" w:cstheme="majorHAnsi"/>
          <w:color w:val="000000" w:themeColor="text1"/>
          <w:lang w:val="en-GB"/>
        </w:rPr>
        <w:t>VI</w:t>
      </w:r>
      <w:r w:rsidRPr="00E027A4">
        <w:rPr>
          <w:rFonts w:asciiTheme="majorHAnsi" w:hAnsiTheme="majorHAnsi" w:cstheme="majorHAnsi"/>
          <w:color w:val="000000" w:themeColor="text1"/>
          <w:lang w:val="en-GB"/>
        </w:rPr>
        <w:t xml:space="preserve">, </w:t>
      </w:r>
      <w:r>
        <w:rPr>
          <w:rFonts w:asciiTheme="majorHAnsi" w:hAnsiTheme="majorHAnsi" w:cstheme="majorHAnsi"/>
          <w:color w:val="000000" w:themeColor="text1"/>
          <w:lang w:val="en-GB"/>
        </w:rPr>
        <w:t>VII</w:t>
      </w:r>
      <w:r w:rsidRPr="00E027A4">
        <w:rPr>
          <w:rFonts w:asciiTheme="majorHAnsi" w:hAnsiTheme="majorHAnsi" w:cstheme="majorHAnsi"/>
          <w:color w:val="000000" w:themeColor="text1"/>
          <w:lang w:val="en-GB"/>
        </w:rPr>
        <w:t xml:space="preserve"> and </w:t>
      </w:r>
      <w:r>
        <w:rPr>
          <w:rFonts w:asciiTheme="majorHAnsi" w:hAnsiTheme="majorHAnsi" w:cstheme="majorHAnsi"/>
          <w:color w:val="000000" w:themeColor="text1"/>
          <w:lang w:val="en-GB"/>
        </w:rPr>
        <w:t>VIII</w:t>
      </w:r>
      <w:r w:rsidRPr="00E027A4">
        <w:rPr>
          <w:rFonts w:asciiTheme="majorHAnsi" w:hAnsiTheme="majorHAnsi" w:cstheme="majorHAnsi"/>
          <w:color w:val="000000" w:themeColor="text1"/>
          <w:lang w:val="en-GB"/>
        </w:rPr>
        <w:t xml:space="preserve"> highlighted common problems with the use of the Mother tongue as a medium of instruction (Box 1). </w:t>
      </w:r>
    </w:p>
    <w:tbl>
      <w:tblPr>
        <w:tblStyle w:val="TableGrid"/>
        <w:tblW w:w="0" w:type="auto"/>
        <w:tblLook w:val="0420" w:firstRow="1" w:lastRow="0" w:firstColumn="0" w:lastColumn="0" w:noHBand="0" w:noVBand="1"/>
      </w:tblPr>
      <w:tblGrid>
        <w:gridCol w:w="4505"/>
        <w:gridCol w:w="4505"/>
      </w:tblGrid>
      <w:tr w:rsidR="00080CF5" w:rsidRPr="007269E9" w14:paraId="30D93D67" w14:textId="77777777" w:rsidTr="001E1C85">
        <w:trPr>
          <w:tblHeader/>
        </w:trPr>
        <w:tc>
          <w:tcPr>
            <w:tcW w:w="4505" w:type="dxa"/>
          </w:tcPr>
          <w:p w14:paraId="429BC27E" w14:textId="7A686194" w:rsidR="00080CF5" w:rsidRPr="007269E9" w:rsidRDefault="00080CF5" w:rsidP="007C1A2E">
            <w:pPr>
              <w:spacing w:before="100" w:beforeAutospacing="1" w:after="100" w:afterAutospacing="1" w:line="360" w:lineRule="auto"/>
              <w:rPr>
                <w:rFonts w:asciiTheme="majorHAnsi" w:hAnsiTheme="majorHAnsi" w:cstheme="majorHAnsi"/>
                <w:i/>
                <w:iCs/>
                <w:color w:val="000000" w:themeColor="text1"/>
                <w:sz w:val="20"/>
                <w:szCs w:val="20"/>
                <w:lang w:val="en-GB"/>
              </w:rPr>
            </w:pPr>
            <w:r w:rsidRPr="005D7D4C">
              <w:rPr>
                <w:rFonts w:asciiTheme="majorHAnsi" w:hAnsiTheme="majorHAnsi" w:cstheme="majorHAnsi"/>
                <w:b/>
                <w:bCs/>
                <w:color w:val="000000" w:themeColor="text1"/>
                <w:sz w:val="20"/>
                <w:szCs w:val="20"/>
                <w:lang w:val="en-GB"/>
              </w:rPr>
              <w:t>Box 1. Using the Mother Tongue as Medium of Instruction</w:t>
            </w:r>
          </w:p>
        </w:tc>
        <w:tc>
          <w:tcPr>
            <w:tcW w:w="4505" w:type="dxa"/>
          </w:tcPr>
          <w:p w14:paraId="6C8120EE" w14:textId="77777777" w:rsidR="00080CF5" w:rsidRPr="007269E9" w:rsidRDefault="00080CF5" w:rsidP="007C1A2E">
            <w:pPr>
              <w:spacing w:before="100" w:beforeAutospacing="1" w:after="100" w:afterAutospacing="1" w:line="360" w:lineRule="auto"/>
              <w:rPr>
                <w:rFonts w:asciiTheme="majorHAnsi" w:hAnsiTheme="majorHAnsi" w:cstheme="majorHAnsi"/>
                <w:i/>
                <w:iCs/>
                <w:color w:val="000000" w:themeColor="text1"/>
                <w:sz w:val="20"/>
                <w:szCs w:val="20"/>
                <w:lang w:val="en-GB"/>
              </w:rPr>
            </w:pPr>
          </w:p>
        </w:tc>
      </w:tr>
      <w:tr w:rsidR="00B94F06" w:rsidRPr="007269E9" w14:paraId="75644BE8" w14:textId="77777777" w:rsidTr="00080CF5">
        <w:tc>
          <w:tcPr>
            <w:tcW w:w="4505" w:type="dxa"/>
          </w:tcPr>
          <w:p w14:paraId="10224209" w14:textId="77777777" w:rsidR="00B94F06" w:rsidRPr="007269E9" w:rsidRDefault="00B94F06" w:rsidP="007C1A2E">
            <w:pPr>
              <w:spacing w:before="100" w:beforeAutospacing="1" w:after="100" w:afterAutospacing="1" w:line="360" w:lineRule="auto"/>
              <w:rPr>
                <w:rFonts w:asciiTheme="majorHAnsi" w:hAnsiTheme="majorHAnsi" w:cstheme="majorHAnsi"/>
                <w:i/>
                <w:iCs/>
                <w:color w:val="000000" w:themeColor="text1"/>
                <w:sz w:val="20"/>
                <w:szCs w:val="20"/>
                <w:lang w:val="en-GB"/>
              </w:rPr>
            </w:pPr>
            <w:r w:rsidRPr="007269E9">
              <w:rPr>
                <w:rFonts w:asciiTheme="majorHAnsi" w:hAnsiTheme="majorHAnsi" w:cstheme="majorHAnsi"/>
                <w:i/>
                <w:iCs/>
                <w:color w:val="000000" w:themeColor="text1"/>
                <w:sz w:val="20"/>
                <w:szCs w:val="20"/>
                <w:lang w:val="en-GB"/>
              </w:rPr>
              <w:t>English comprehension deteriorated with the use of Mother Tongue. When this became alarming, some teachers started bridging from Mother Tongue to English as early as Grade 1. Because intensive reading in English starts only in Grade 3, some principals encourage their teachers to use their free time to hone their students’ reading skills, setting a target that by Grade 4 there should be no English non-reader anymore</w:t>
            </w:r>
          </w:p>
          <w:p w14:paraId="0D4C01BA" w14:textId="77777777" w:rsidR="00B94F06" w:rsidRPr="007269E9" w:rsidRDefault="00B94F06" w:rsidP="00DD08E3">
            <w:pPr>
              <w:pStyle w:val="ListParagraph"/>
              <w:numPr>
                <w:ilvl w:val="0"/>
                <w:numId w:val="158"/>
              </w:numPr>
              <w:spacing w:before="100" w:beforeAutospacing="1" w:after="100" w:afterAutospacing="1" w:line="360" w:lineRule="auto"/>
              <w:rPr>
                <w:rFonts w:asciiTheme="majorHAnsi" w:hAnsiTheme="majorHAnsi" w:cstheme="majorHAnsi"/>
                <w:color w:val="000000" w:themeColor="text1"/>
                <w:sz w:val="20"/>
                <w:szCs w:val="20"/>
                <w:lang w:val="en-GB"/>
              </w:rPr>
            </w:pPr>
            <w:r w:rsidRPr="007269E9">
              <w:rPr>
                <w:rFonts w:asciiTheme="majorHAnsi" w:hAnsiTheme="majorHAnsi" w:cstheme="majorHAnsi"/>
                <w:color w:val="000000" w:themeColor="text1"/>
                <w:sz w:val="20"/>
                <w:szCs w:val="20"/>
                <w:lang w:val="en-GB"/>
              </w:rPr>
              <w:t>FGD with [BEST] Principals in Region 6</w:t>
            </w:r>
          </w:p>
        </w:tc>
        <w:tc>
          <w:tcPr>
            <w:tcW w:w="4505" w:type="dxa"/>
          </w:tcPr>
          <w:p w14:paraId="37EB07B9" w14:textId="77777777" w:rsidR="00B94F06" w:rsidRPr="007269E9" w:rsidRDefault="00B94F06" w:rsidP="007C1A2E">
            <w:pPr>
              <w:spacing w:before="100" w:beforeAutospacing="1" w:after="100" w:afterAutospacing="1" w:line="360" w:lineRule="auto"/>
              <w:rPr>
                <w:rFonts w:asciiTheme="majorHAnsi" w:hAnsiTheme="majorHAnsi" w:cstheme="majorHAnsi"/>
                <w:i/>
                <w:iCs/>
                <w:color w:val="000000" w:themeColor="text1"/>
                <w:sz w:val="20"/>
                <w:szCs w:val="20"/>
                <w:lang w:val="en-GB"/>
              </w:rPr>
            </w:pPr>
            <w:r w:rsidRPr="007269E9">
              <w:rPr>
                <w:rFonts w:asciiTheme="majorHAnsi" w:hAnsiTheme="majorHAnsi" w:cstheme="majorHAnsi"/>
                <w:i/>
                <w:iCs/>
                <w:color w:val="000000" w:themeColor="text1"/>
                <w:sz w:val="20"/>
                <w:szCs w:val="20"/>
                <w:lang w:val="en-GB"/>
              </w:rPr>
              <w:t>Children find it difficult to transition from Mother Tongue to English in Grade 4. They are at a disadvantage because NSAT is in English; even instructions and test items in quiz contests are in English.</w:t>
            </w:r>
          </w:p>
          <w:p w14:paraId="4E94252A" w14:textId="77777777" w:rsidR="00B94F06" w:rsidRPr="007269E9" w:rsidRDefault="00B94F06" w:rsidP="007C1A2E">
            <w:pPr>
              <w:spacing w:before="100" w:beforeAutospacing="1" w:after="100" w:afterAutospacing="1" w:line="360" w:lineRule="auto"/>
              <w:rPr>
                <w:rFonts w:asciiTheme="majorHAnsi" w:hAnsiTheme="majorHAnsi" w:cstheme="majorHAnsi"/>
                <w:i/>
                <w:iCs/>
                <w:color w:val="000000" w:themeColor="text1"/>
                <w:sz w:val="20"/>
                <w:szCs w:val="20"/>
                <w:lang w:val="en-GB"/>
              </w:rPr>
            </w:pPr>
            <w:r w:rsidRPr="007269E9">
              <w:rPr>
                <w:rFonts w:asciiTheme="majorHAnsi" w:hAnsiTheme="majorHAnsi" w:cstheme="majorHAnsi"/>
                <w:i/>
                <w:iCs/>
                <w:color w:val="000000" w:themeColor="text1"/>
                <w:sz w:val="20"/>
                <w:szCs w:val="20"/>
                <w:lang w:val="en-GB"/>
              </w:rPr>
              <w:t xml:space="preserve">One Grade 4 Math teacher found herself teaching her pupils </w:t>
            </w:r>
            <w:r w:rsidR="007269E9" w:rsidRPr="007269E9">
              <w:rPr>
                <w:rFonts w:asciiTheme="majorHAnsi" w:hAnsiTheme="majorHAnsi" w:cstheme="majorHAnsi"/>
                <w:i/>
                <w:iCs/>
                <w:color w:val="000000" w:themeColor="text1"/>
                <w:sz w:val="20"/>
                <w:szCs w:val="20"/>
                <w:lang w:val="en-GB"/>
              </w:rPr>
              <w:t>how to spell the numbers; because of Mother Tongue, they kept spelling “one” as “wan”</w:t>
            </w:r>
          </w:p>
          <w:p w14:paraId="246297BF" w14:textId="77777777" w:rsidR="007269E9" w:rsidRPr="007269E9" w:rsidRDefault="007269E9" w:rsidP="00DD08E3">
            <w:pPr>
              <w:pStyle w:val="ListParagraph"/>
              <w:numPr>
                <w:ilvl w:val="0"/>
                <w:numId w:val="158"/>
              </w:numPr>
              <w:spacing w:before="100" w:beforeAutospacing="1" w:after="100" w:afterAutospacing="1" w:line="360" w:lineRule="auto"/>
              <w:rPr>
                <w:rFonts w:asciiTheme="majorHAnsi" w:hAnsiTheme="majorHAnsi" w:cstheme="majorHAnsi"/>
                <w:color w:val="000000" w:themeColor="text1"/>
                <w:sz w:val="20"/>
                <w:szCs w:val="20"/>
                <w:lang w:val="en-GB"/>
              </w:rPr>
            </w:pPr>
            <w:r w:rsidRPr="007269E9">
              <w:rPr>
                <w:rFonts w:asciiTheme="majorHAnsi" w:hAnsiTheme="majorHAnsi" w:cstheme="majorHAnsi"/>
                <w:color w:val="000000" w:themeColor="text1"/>
                <w:sz w:val="20"/>
                <w:szCs w:val="20"/>
                <w:lang w:val="en-GB"/>
              </w:rPr>
              <w:t>FGD with [BEST] Teachers in Region 6</w:t>
            </w:r>
          </w:p>
        </w:tc>
      </w:tr>
      <w:tr w:rsidR="00080CF5" w:rsidRPr="007269E9" w14:paraId="59A36AAA" w14:textId="77777777" w:rsidTr="00080CF5">
        <w:tc>
          <w:tcPr>
            <w:tcW w:w="4505" w:type="dxa"/>
          </w:tcPr>
          <w:p w14:paraId="2FFC0351" w14:textId="77777777" w:rsidR="00080CF5" w:rsidRPr="007269E9" w:rsidRDefault="00080CF5" w:rsidP="00080CF5">
            <w:pPr>
              <w:spacing w:before="100" w:beforeAutospacing="1" w:after="100" w:afterAutospacing="1" w:line="360" w:lineRule="auto"/>
              <w:rPr>
                <w:rFonts w:asciiTheme="majorHAnsi" w:hAnsiTheme="majorHAnsi" w:cstheme="majorHAnsi"/>
                <w:i/>
                <w:iCs/>
                <w:color w:val="000000" w:themeColor="text1"/>
                <w:sz w:val="20"/>
                <w:szCs w:val="20"/>
                <w:lang w:val="en-GB"/>
              </w:rPr>
            </w:pPr>
            <w:r w:rsidRPr="007269E9">
              <w:rPr>
                <w:rFonts w:asciiTheme="majorHAnsi" w:hAnsiTheme="majorHAnsi" w:cstheme="majorHAnsi"/>
                <w:i/>
                <w:iCs/>
                <w:color w:val="000000" w:themeColor="text1"/>
                <w:sz w:val="20"/>
                <w:szCs w:val="20"/>
                <w:lang w:val="en-GB"/>
              </w:rPr>
              <w:t xml:space="preserve">Grade 4 teachers and students are in a difficult transition period. After learning the subject areas with the use of mother tongue, Kinaray-a, from Kinder to Grade 3, the pupils, upon reaching Grade 4, need to understand and grasp new science and mathematical concepts using English as the medium of instruction. </w:t>
            </w:r>
          </w:p>
          <w:p w14:paraId="7218061A" w14:textId="77777777" w:rsidR="00080CF5" w:rsidRPr="007269E9" w:rsidRDefault="00080CF5" w:rsidP="00080CF5">
            <w:pPr>
              <w:spacing w:before="100" w:beforeAutospacing="1" w:after="100" w:afterAutospacing="1" w:line="360" w:lineRule="auto"/>
              <w:rPr>
                <w:rFonts w:asciiTheme="majorHAnsi" w:hAnsiTheme="majorHAnsi" w:cstheme="majorHAnsi"/>
                <w:i/>
                <w:iCs/>
                <w:color w:val="000000" w:themeColor="text1"/>
                <w:sz w:val="20"/>
                <w:szCs w:val="20"/>
                <w:lang w:val="en-GB"/>
              </w:rPr>
            </w:pPr>
            <w:r w:rsidRPr="007269E9">
              <w:rPr>
                <w:rFonts w:asciiTheme="majorHAnsi" w:hAnsiTheme="majorHAnsi" w:cstheme="majorHAnsi"/>
                <w:i/>
                <w:iCs/>
                <w:color w:val="000000" w:themeColor="text1"/>
                <w:sz w:val="20"/>
                <w:szCs w:val="20"/>
                <w:lang w:val="en-GB"/>
              </w:rPr>
              <w:t xml:space="preserve">The problem is that the Kinaray-a hat is used in the instructional materials at the lower grade level is the Kinaray-a used in the Province of Antique, which is different from the Kinary-a used in the Province of Iloilo. Moreover, the Kinaray-a being used in Math instructional or learning materials is no longer the Kinary-a. which is being used at the homes of the students or in the ordinary conversations. </w:t>
            </w:r>
          </w:p>
          <w:p w14:paraId="1EAEFED2" w14:textId="77777777" w:rsidR="00080CF5" w:rsidRPr="007269E9" w:rsidRDefault="00080CF5" w:rsidP="00080CF5">
            <w:pPr>
              <w:spacing w:before="100" w:beforeAutospacing="1" w:after="100" w:afterAutospacing="1" w:line="360" w:lineRule="auto"/>
              <w:rPr>
                <w:rFonts w:asciiTheme="majorHAnsi" w:hAnsiTheme="majorHAnsi" w:cstheme="majorHAnsi"/>
                <w:i/>
                <w:iCs/>
                <w:color w:val="000000" w:themeColor="text1"/>
                <w:sz w:val="20"/>
                <w:szCs w:val="20"/>
                <w:lang w:val="en-GB"/>
              </w:rPr>
            </w:pPr>
            <w:r w:rsidRPr="007269E9">
              <w:rPr>
                <w:rFonts w:asciiTheme="majorHAnsi" w:hAnsiTheme="majorHAnsi" w:cstheme="majorHAnsi"/>
                <w:i/>
                <w:iCs/>
                <w:color w:val="000000" w:themeColor="text1"/>
                <w:sz w:val="20"/>
                <w:szCs w:val="20"/>
                <w:lang w:val="en-GB"/>
              </w:rPr>
              <w:t>In effect, the terms of words used in the instructional materials are foreign to both students and teachers.</w:t>
            </w:r>
          </w:p>
          <w:p w14:paraId="366A2ECC" w14:textId="466BFB8E" w:rsidR="00080CF5" w:rsidRPr="00080CF5" w:rsidRDefault="00080CF5" w:rsidP="00080CF5">
            <w:pPr>
              <w:pStyle w:val="ListParagraph"/>
              <w:numPr>
                <w:ilvl w:val="0"/>
                <w:numId w:val="158"/>
              </w:numPr>
              <w:spacing w:before="100" w:beforeAutospacing="1" w:after="100" w:afterAutospacing="1" w:line="360" w:lineRule="auto"/>
              <w:rPr>
                <w:rFonts w:asciiTheme="majorHAnsi" w:hAnsiTheme="majorHAnsi" w:cstheme="majorHAnsi"/>
                <w:i/>
                <w:iCs/>
                <w:color w:val="000000" w:themeColor="text1"/>
                <w:sz w:val="20"/>
                <w:szCs w:val="20"/>
                <w:lang w:val="en-GB"/>
              </w:rPr>
            </w:pPr>
            <w:r w:rsidRPr="00080CF5">
              <w:rPr>
                <w:rFonts w:asciiTheme="majorHAnsi" w:hAnsiTheme="majorHAnsi" w:cstheme="majorHAnsi"/>
                <w:color w:val="000000" w:themeColor="text1"/>
                <w:sz w:val="20"/>
                <w:szCs w:val="20"/>
                <w:lang w:val="en-GB"/>
              </w:rPr>
              <w:t>PSH of Janiuay Pilot Es</w:t>
            </w:r>
          </w:p>
        </w:tc>
        <w:tc>
          <w:tcPr>
            <w:tcW w:w="4505" w:type="dxa"/>
          </w:tcPr>
          <w:p w14:paraId="229217AF" w14:textId="77777777" w:rsidR="00080CF5" w:rsidRPr="007269E9" w:rsidRDefault="00080CF5" w:rsidP="007C1A2E">
            <w:pPr>
              <w:spacing w:before="100" w:beforeAutospacing="1" w:after="100" w:afterAutospacing="1" w:line="360" w:lineRule="auto"/>
              <w:rPr>
                <w:rFonts w:asciiTheme="majorHAnsi" w:hAnsiTheme="majorHAnsi" w:cstheme="majorHAnsi"/>
                <w:i/>
                <w:iCs/>
                <w:color w:val="000000" w:themeColor="text1"/>
                <w:sz w:val="20"/>
                <w:szCs w:val="20"/>
                <w:lang w:val="en-GB"/>
              </w:rPr>
            </w:pPr>
          </w:p>
        </w:tc>
      </w:tr>
    </w:tbl>
    <w:p w14:paraId="14C3449C" w14:textId="77777777" w:rsidR="008D0CAD" w:rsidRPr="00E027A4" w:rsidRDefault="008D0CAD" w:rsidP="007C1A2E">
      <w:pPr>
        <w:spacing w:before="100" w:beforeAutospacing="1" w:after="100" w:afterAutospacing="1" w:line="360" w:lineRule="auto"/>
        <w:rPr>
          <w:rFonts w:asciiTheme="majorHAnsi" w:hAnsiTheme="majorHAnsi" w:cstheme="majorHAnsi"/>
          <w:color w:val="000000" w:themeColor="text1"/>
          <w:lang w:val="en-GB"/>
        </w:rPr>
      </w:pPr>
      <w:r>
        <w:rPr>
          <w:rFonts w:asciiTheme="majorHAnsi" w:hAnsiTheme="majorHAnsi" w:cstheme="majorHAnsi"/>
          <w:color w:val="000000" w:themeColor="text1"/>
          <w:lang w:val="en-GB"/>
        </w:rPr>
        <w:t xml:space="preserve">These problems revolve around </w:t>
      </w:r>
      <w:r>
        <w:rPr>
          <w:rFonts w:asciiTheme="majorHAnsi" w:hAnsiTheme="majorHAnsi" w:cstheme="majorHAnsi"/>
          <w:lang w:val="en-GB"/>
        </w:rPr>
        <w:t>the difficulties experienced by many</w:t>
      </w:r>
      <w:r w:rsidRPr="00FB5DB5">
        <w:rPr>
          <w:rFonts w:asciiTheme="majorHAnsi" w:hAnsiTheme="majorHAnsi" w:cstheme="majorHAnsi"/>
          <w:lang w:val="en-GB"/>
        </w:rPr>
        <w:t xml:space="preserve"> students transition</w:t>
      </w:r>
      <w:r>
        <w:rPr>
          <w:rFonts w:asciiTheme="majorHAnsi" w:hAnsiTheme="majorHAnsi" w:cstheme="majorHAnsi"/>
          <w:lang w:val="en-GB"/>
        </w:rPr>
        <w:t>ing</w:t>
      </w:r>
      <w:r w:rsidRPr="00FB5DB5">
        <w:rPr>
          <w:rFonts w:asciiTheme="majorHAnsi" w:hAnsiTheme="majorHAnsi" w:cstheme="majorHAnsi"/>
          <w:lang w:val="en-GB"/>
        </w:rPr>
        <w:t xml:space="preserve"> to Grade </w:t>
      </w:r>
      <w:r>
        <w:rPr>
          <w:rFonts w:asciiTheme="majorHAnsi" w:hAnsiTheme="majorHAnsi" w:cstheme="majorHAnsi"/>
          <w:lang w:val="en-GB"/>
        </w:rPr>
        <w:t xml:space="preserve">4 with the shift to English as the medium of instruction, which </w:t>
      </w:r>
      <w:r w:rsidRPr="008238AB">
        <w:rPr>
          <w:rFonts w:asciiTheme="majorHAnsi" w:hAnsiTheme="majorHAnsi" w:cstheme="majorHAnsi"/>
          <w:color w:val="000000" w:themeColor="text1"/>
        </w:rPr>
        <w:t>affect</w:t>
      </w:r>
      <w:r>
        <w:rPr>
          <w:rFonts w:asciiTheme="majorHAnsi" w:hAnsiTheme="majorHAnsi" w:cstheme="majorHAnsi"/>
          <w:color w:val="000000" w:themeColor="text1"/>
        </w:rPr>
        <w:t>ed</w:t>
      </w:r>
      <w:r w:rsidRPr="008238AB">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their </w:t>
      </w:r>
      <w:r w:rsidRPr="008238AB">
        <w:rPr>
          <w:rFonts w:asciiTheme="majorHAnsi" w:hAnsiTheme="majorHAnsi" w:cstheme="majorHAnsi"/>
          <w:color w:val="000000" w:themeColor="text1"/>
        </w:rPr>
        <w:t xml:space="preserve">performance in </w:t>
      </w:r>
      <w:r>
        <w:rPr>
          <w:rFonts w:asciiTheme="majorHAnsi" w:hAnsiTheme="majorHAnsi" w:cstheme="majorHAnsi"/>
          <w:color w:val="000000" w:themeColor="text1"/>
        </w:rPr>
        <w:t>s</w:t>
      </w:r>
      <w:r w:rsidRPr="008238AB">
        <w:rPr>
          <w:rFonts w:asciiTheme="majorHAnsi" w:hAnsiTheme="majorHAnsi" w:cstheme="majorHAnsi"/>
          <w:color w:val="000000" w:themeColor="text1"/>
        </w:rPr>
        <w:t xml:space="preserve">cience, </w:t>
      </w:r>
      <w:r>
        <w:rPr>
          <w:rFonts w:asciiTheme="majorHAnsi" w:hAnsiTheme="majorHAnsi" w:cstheme="majorHAnsi"/>
          <w:color w:val="000000" w:themeColor="text1"/>
        </w:rPr>
        <w:t>m</w:t>
      </w:r>
      <w:r w:rsidRPr="008238AB">
        <w:rPr>
          <w:rFonts w:asciiTheme="majorHAnsi" w:hAnsiTheme="majorHAnsi" w:cstheme="majorHAnsi"/>
          <w:color w:val="000000" w:themeColor="text1"/>
        </w:rPr>
        <w:t>ath</w:t>
      </w:r>
      <w:r>
        <w:rPr>
          <w:rFonts w:asciiTheme="majorHAnsi" w:hAnsiTheme="majorHAnsi" w:cstheme="majorHAnsi"/>
          <w:color w:val="000000" w:themeColor="text1"/>
        </w:rPr>
        <w:t>ematics</w:t>
      </w:r>
      <w:r w:rsidRPr="008238AB">
        <w:rPr>
          <w:rFonts w:asciiTheme="majorHAnsi" w:hAnsiTheme="majorHAnsi" w:cstheme="majorHAnsi"/>
          <w:color w:val="000000" w:themeColor="text1"/>
        </w:rPr>
        <w:t>, spelling and reading comprehension (</w:t>
      </w:r>
      <w:r>
        <w:rPr>
          <w:rFonts w:asciiTheme="majorHAnsi" w:hAnsiTheme="majorHAnsi" w:cstheme="majorHAnsi"/>
          <w:color w:val="000000" w:themeColor="text1"/>
        </w:rPr>
        <w:t xml:space="preserve">in </w:t>
      </w:r>
      <w:r w:rsidRPr="008238AB">
        <w:rPr>
          <w:rFonts w:asciiTheme="majorHAnsi" w:hAnsiTheme="majorHAnsi" w:cstheme="majorHAnsi"/>
          <w:color w:val="000000" w:themeColor="text1"/>
        </w:rPr>
        <w:t>English)</w:t>
      </w:r>
      <w:r>
        <w:rPr>
          <w:rFonts w:asciiTheme="majorHAnsi" w:hAnsiTheme="majorHAnsi" w:cstheme="majorHAnsi"/>
          <w:color w:val="000000" w:themeColor="text1"/>
        </w:rPr>
        <w:t xml:space="preserve">. Moreover, teachers encountered </w:t>
      </w:r>
      <w:r w:rsidRPr="008238AB">
        <w:rPr>
          <w:rFonts w:asciiTheme="majorHAnsi" w:hAnsiTheme="majorHAnsi" w:cstheme="majorHAnsi"/>
        </w:rPr>
        <w:t>difficul</w:t>
      </w:r>
      <w:r>
        <w:rPr>
          <w:rFonts w:asciiTheme="majorHAnsi" w:hAnsiTheme="majorHAnsi" w:cstheme="majorHAnsi"/>
        </w:rPr>
        <w:t>ties</w:t>
      </w:r>
      <w:r w:rsidRPr="008238AB">
        <w:rPr>
          <w:rFonts w:asciiTheme="majorHAnsi" w:hAnsiTheme="majorHAnsi" w:cstheme="majorHAnsi"/>
        </w:rPr>
        <w:t xml:space="preserve"> teaching </w:t>
      </w:r>
      <w:r>
        <w:rPr>
          <w:rFonts w:asciiTheme="majorHAnsi" w:hAnsiTheme="majorHAnsi" w:cstheme="majorHAnsi"/>
        </w:rPr>
        <w:t>m</w:t>
      </w:r>
      <w:r w:rsidRPr="008238AB">
        <w:rPr>
          <w:rFonts w:asciiTheme="majorHAnsi" w:hAnsiTheme="majorHAnsi" w:cstheme="majorHAnsi"/>
        </w:rPr>
        <w:t>ath</w:t>
      </w:r>
      <w:r>
        <w:rPr>
          <w:rFonts w:asciiTheme="majorHAnsi" w:hAnsiTheme="majorHAnsi" w:cstheme="majorHAnsi"/>
        </w:rPr>
        <w:t>ematics</w:t>
      </w:r>
      <w:r w:rsidRPr="008238AB">
        <w:rPr>
          <w:rFonts w:asciiTheme="majorHAnsi" w:hAnsiTheme="majorHAnsi" w:cstheme="majorHAnsi"/>
        </w:rPr>
        <w:t xml:space="preserve"> and </w:t>
      </w:r>
      <w:r>
        <w:rPr>
          <w:rFonts w:asciiTheme="majorHAnsi" w:hAnsiTheme="majorHAnsi" w:cstheme="majorHAnsi"/>
        </w:rPr>
        <w:t>s</w:t>
      </w:r>
      <w:r w:rsidRPr="008238AB">
        <w:rPr>
          <w:rFonts w:asciiTheme="majorHAnsi" w:hAnsiTheme="majorHAnsi" w:cstheme="majorHAnsi"/>
        </w:rPr>
        <w:t>cience</w:t>
      </w:r>
      <w:r>
        <w:rPr>
          <w:rFonts w:asciiTheme="majorHAnsi" w:hAnsiTheme="majorHAnsi" w:cstheme="majorHAnsi"/>
        </w:rPr>
        <w:t xml:space="preserve"> in mother tongue</w:t>
      </w:r>
      <w:r w:rsidRPr="008238AB">
        <w:rPr>
          <w:rFonts w:asciiTheme="majorHAnsi" w:hAnsiTheme="majorHAnsi" w:cstheme="majorHAnsi"/>
        </w:rPr>
        <w:t xml:space="preserve">. </w:t>
      </w:r>
      <w:r>
        <w:rPr>
          <w:rFonts w:asciiTheme="majorHAnsi" w:hAnsiTheme="majorHAnsi" w:cstheme="majorHAnsi"/>
        </w:rPr>
        <w:t>Teachers also cited a lack of interventions to help students</w:t>
      </w:r>
      <w:r>
        <w:rPr>
          <w:rFonts w:asciiTheme="majorHAnsi" w:hAnsiTheme="majorHAnsi" w:cstheme="majorHAnsi"/>
          <w:color w:val="000000" w:themeColor="text1"/>
          <w:lang w:val="en-GB"/>
        </w:rPr>
        <w:t xml:space="preserve"> </w:t>
      </w:r>
      <w:r w:rsidRPr="008238AB">
        <w:rPr>
          <w:rFonts w:asciiTheme="majorHAnsi" w:hAnsiTheme="majorHAnsi" w:cstheme="majorHAnsi"/>
        </w:rPr>
        <w:t>transition from mother tongue to English instruction.</w:t>
      </w:r>
    </w:p>
    <w:p w14:paraId="222BC980" w14:textId="77777777" w:rsidR="008D0CAD" w:rsidRDefault="008D0CAD" w:rsidP="007C1A2E">
      <w:pPr>
        <w:spacing w:before="100" w:beforeAutospacing="1" w:after="100" w:afterAutospacing="1" w:line="360" w:lineRule="auto"/>
        <w:rPr>
          <w:rFonts w:asciiTheme="majorHAnsi" w:hAnsiTheme="majorHAnsi" w:cstheme="majorHAnsi"/>
          <w:lang w:val="en-GB"/>
        </w:rPr>
      </w:pPr>
      <w:r>
        <w:rPr>
          <w:rFonts w:asciiTheme="majorHAnsi" w:hAnsiTheme="majorHAnsi" w:cstheme="majorHAnsi"/>
          <w:lang w:val="en-GB"/>
        </w:rPr>
        <w:t xml:space="preserve">Coping mechanisms instituted by some of the teachers who experienced difficulties included providing bridging classes to students prior to the start of the school year in order to help them transition. This additional activity, however, takes its toll on teachers, who are again saddled with the burden of implementing an untested policy. </w:t>
      </w:r>
    </w:p>
    <w:p w14:paraId="04DDE927" w14:textId="77777777" w:rsidR="008D0CAD" w:rsidRDefault="008D0CAD" w:rsidP="007C1A2E">
      <w:pPr>
        <w:spacing w:before="100" w:beforeAutospacing="1" w:after="100" w:afterAutospacing="1" w:line="360" w:lineRule="auto"/>
        <w:rPr>
          <w:rFonts w:asciiTheme="majorHAnsi" w:hAnsiTheme="majorHAnsi" w:cstheme="majorHAnsi"/>
          <w:lang w:val="en-GB"/>
        </w:rPr>
      </w:pPr>
      <w:r>
        <w:rPr>
          <w:rFonts w:asciiTheme="majorHAnsi" w:hAnsiTheme="majorHAnsi" w:cstheme="majorHAnsi"/>
          <w:lang w:val="en-GB"/>
        </w:rPr>
        <w:t>These issues on the use of the Mother Tongue were still very evident in the Follow-Up Study, as several teachers raised similar difficulties encountered with the implementation of the MTB-MLE policy.</w:t>
      </w:r>
    </w:p>
    <w:p w14:paraId="504632BE" w14:textId="77777777" w:rsidR="008D0CAD" w:rsidRDefault="008D0CAD" w:rsidP="007C1A2E">
      <w:pPr>
        <w:spacing w:before="100" w:beforeAutospacing="1" w:after="100" w:afterAutospacing="1" w:line="360" w:lineRule="auto"/>
        <w:ind w:right="8"/>
        <w:rPr>
          <w:rFonts w:asciiTheme="majorHAnsi" w:hAnsiTheme="majorHAnsi" w:cstheme="majorHAnsi"/>
        </w:rPr>
      </w:pPr>
      <w:r>
        <w:rPr>
          <w:rFonts w:asciiTheme="majorHAnsi" w:hAnsiTheme="majorHAnsi" w:cstheme="majorHAnsi"/>
        </w:rPr>
        <w:t xml:space="preserve">The BEST Program supported production of a range of curriculum-related outputs, including: the </w:t>
      </w:r>
      <w:r w:rsidRPr="005E3D49">
        <w:rPr>
          <w:rFonts w:asciiTheme="majorHAnsi" w:hAnsiTheme="majorHAnsi" w:cstheme="majorHAnsi"/>
          <w:color w:val="000000"/>
        </w:rPr>
        <w:t>K-12 Curriculum Guides</w:t>
      </w:r>
      <w:r>
        <w:rPr>
          <w:rFonts w:asciiTheme="majorHAnsi" w:hAnsiTheme="majorHAnsi" w:cstheme="majorHAnsi"/>
          <w:color w:val="000000"/>
        </w:rPr>
        <w:t xml:space="preserve">; </w:t>
      </w:r>
      <w:r w:rsidRPr="005E3D49">
        <w:rPr>
          <w:rFonts w:asciiTheme="majorHAnsi" w:hAnsiTheme="majorHAnsi" w:cstheme="majorHAnsi"/>
          <w:color w:val="000000"/>
        </w:rPr>
        <w:t>Operations Manual with Guidelines for six Special Curricular Programs (SCP)-Foreign Language, Science, Sports, Arts, TVL, and Journalism</w:t>
      </w:r>
      <w:r>
        <w:rPr>
          <w:rFonts w:asciiTheme="majorHAnsi" w:hAnsiTheme="majorHAnsi" w:cstheme="majorHAnsi"/>
        </w:rPr>
        <w:t xml:space="preserve">; </w:t>
      </w:r>
      <w:r w:rsidRPr="005E3D49">
        <w:rPr>
          <w:rFonts w:asciiTheme="majorHAnsi" w:hAnsiTheme="majorHAnsi" w:cstheme="majorHAnsi"/>
          <w:color w:val="000000"/>
        </w:rPr>
        <w:t>Multi</w:t>
      </w:r>
      <w:r>
        <w:rPr>
          <w:rFonts w:asciiTheme="majorHAnsi" w:hAnsiTheme="majorHAnsi" w:cstheme="majorHAnsi"/>
          <w:color w:val="000000"/>
        </w:rPr>
        <w:t>-</w:t>
      </w:r>
      <w:r w:rsidRPr="005E3D49">
        <w:rPr>
          <w:rFonts w:asciiTheme="majorHAnsi" w:hAnsiTheme="majorHAnsi" w:cstheme="majorHAnsi"/>
          <w:color w:val="000000"/>
        </w:rPr>
        <w:t>grade teach-learn package</w:t>
      </w:r>
      <w:r>
        <w:rPr>
          <w:rFonts w:asciiTheme="majorHAnsi" w:hAnsiTheme="majorHAnsi" w:cstheme="majorHAnsi"/>
          <w:color w:val="000000"/>
        </w:rPr>
        <w:t xml:space="preserve">; and </w:t>
      </w:r>
      <w:r w:rsidRPr="005E3D49">
        <w:rPr>
          <w:rFonts w:asciiTheme="majorHAnsi" w:hAnsiTheme="majorHAnsi" w:cstheme="majorHAnsi"/>
          <w:color w:val="000000"/>
        </w:rPr>
        <w:t>Contextuali</w:t>
      </w:r>
      <w:r>
        <w:rPr>
          <w:rFonts w:asciiTheme="majorHAnsi" w:hAnsiTheme="majorHAnsi" w:cstheme="majorHAnsi"/>
          <w:color w:val="000000"/>
        </w:rPr>
        <w:t>s</w:t>
      </w:r>
      <w:r w:rsidRPr="005E3D49">
        <w:rPr>
          <w:rFonts w:asciiTheme="majorHAnsi" w:hAnsiTheme="majorHAnsi" w:cstheme="majorHAnsi"/>
          <w:color w:val="000000"/>
        </w:rPr>
        <w:t>ed curriculum resources</w:t>
      </w:r>
      <w:r>
        <w:rPr>
          <w:rFonts w:asciiTheme="majorHAnsi" w:hAnsiTheme="majorHAnsi" w:cstheme="majorHAnsi"/>
          <w:color w:val="000000"/>
        </w:rPr>
        <w:t xml:space="preserve">. </w:t>
      </w:r>
      <w:r>
        <w:rPr>
          <w:rFonts w:asciiTheme="majorHAnsi" w:hAnsiTheme="majorHAnsi" w:cstheme="majorHAnsi"/>
        </w:rPr>
        <w:t>Among others, t</w:t>
      </w:r>
      <w:r w:rsidRPr="00C7048D">
        <w:rPr>
          <w:rFonts w:asciiTheme="majorHAnsi" w:hAnsiTheme="majorHAnsi" w:cstheme="majorHAnsi"/>
        </w:rPr>
        <w:t xml:space="preserve">he </w:t>
      </w:r>
      <w:r>
        <w:rPr>
          <w:rFonts w:asciiTheme="majorHAnsi" w:hAnsiTheme="majorHAnsi" w:cstheme="majorHAnsi"/>
        </w:rPr>
        <w:t>renewed</w:t>
      </w:r>
      <w:r w:rsidRPr="00C7048D">
        <w:rPr>
          <w:rFonts w:asciiTheme="majorHAnsi" w:hAnsiTheme="majorHAnsi" w:cstheme="majorHAnsi"/>
        </w:rPr>
        <w:t xml:space="preserve"> </w:t>
      </w:r>
      <w:r>
        <w:rPr>
          <w:rFonts w:asciiTheme="majorHAnsi" w:hAnsiTheme="majorHAnsi" w:cstheme="majorHAnsi"/>
        </w:rPr>
        <w:t xml:space="preserve">K-12 </w:t>
      </w:r>
      <w:r w:rsidRPr="00C7048D">
        <w:rPr>
          <w:rFonts w:asciiTheme="majorHAnsi" w:hAnsiTheme="majorHAnsi" w:cstheme="majorHAnsi"/>
        </w:rPr>
        <w:t xml:space="preserve">curriculum </w:t>
      </w:r>
      <w:r>
        <w:rPr>
          <w:rFonts w:asciiTheme="majorHAnsi" w:hAnsiTheme="majorHAnsi" w:cstheme="majorHAnsi"/>
        </w:rPr>
        <w:t>guides intended</w:t>
      </w:r>
      <w:r w:rsidRPr="00C7048D">
        <w:rPr>
          <w:rFonts w:asciiTheme="majorHAnsi" w:hAnsiTheme="majorHAnsi" w:cstheme="majorHAnsi"/>
        </w:rPr>
        <w:t xml:space="preserve"> to </w:t>
      </w:r>
      <w:r>
        <w:rPr>
          <w:rFonts w:asciiTheme="majorHAnsi" w:hAnsiTheme="majorHAnsi" w:cstheme="majorHAnsi"/>
        </w:rPr>
        <w:t>help the teachers hone competencies on</w:t>
      </w:r>
      <w:r w:rsidRPr="00C7048D">
        <w:rPr>
          <w:rFonts w:asciiTheme="majorHAnsi" w:hAnsiTheme="majorHAnsi" w:cstheme="majorHAnsi"/>
        </w:rPr>
        <w:t xml:space="preserve"> critical thinking, problem solving, and technology-assisted teaching (21st century skills)</w:t>
      </w:r>
      <w:r>
        <w:rPr>
          <w:rFonts w:asciiTheme="majorHAnsi" w:hAnsiTheme="majorHAnsi" w:cstheme="majorHAnsi"/>
        </w:rPr>
        <w:t>. It likewise</w:t>
      </w:r>
      <w:r w:rsidRPr="00C7048D">
        <w:rPr>
          <w:rFonts w:asciiTheme="majorHAnsi" w:hAnsiTheme="majorHAnsi" w:cstheme="majorHAnsi"/>
        </w:rPr>
        <w:t xml:space="preserve"> incorporate</w:t>
      </w:r>
      <w:r>
        <w:rPr>
          <w:rFonts w:asciiTheme="majorHAnsi" w:hAnsiTheme="majorHAnsi" w:cstheme="majorHAnsi"/>
        </w:rPr>
        <w:t>d</w:t>
      </w:r>
      <w:r w:rsidRPr="00C7048D">
        <w:rPr>
          <w:rFonts w:asciiTheme="majorHAnsi" w:hAnsiTheme="majorHAnsi" w:cstheme="majorHAnsi"/>
        </w:rPr>
        <w:t xml:space="preserve"> curriculum contextuali</w:t>
      </w:r>
      <w:r>
        <w:rPr>
          <w:rFonts w:asciiTheme="majorHAnsi" w:hAnsiTheme="majorHAnsi" w:cstheme="majorHAnsi"/>
        </w:rPr>
        <w:t>s</w:t>
      </w:r>
      <w:r w:rsidRPr="00C7048D">
        <w:rPr>
          <w:rFonts w:asciiTheme="majorHAnsi" w:hAnsiTheme="majorHAnsi" w:cstheme="majorHAnsi"/>
        </w:rPr>
        <w:t xml:space="preserve">ation strategies to provide for all </w:t>
      </w:r>
      <w:r>
        <w:rPr>
          <w:rFonts w:asciiTheme="majorHAnsi" w:hAnsiTheme="majorHAnsi" w:cstheme="majorHAnsi"/>
        </w:rPr>
        <w:t xml:space="preserve">types of </w:t>
      </w:r>
      <w:r w:rsidRPr="00C7048D">
        <w:rPr>
          <w:rFonts w:asciiTheme="majorHAnsi" w:hAnsiTheme="majorHAnsi" w:cstheme="majorHAnsi"/>
        </w:rPr>
        <w:t xml:space="preserve">learners. </w:t>
      </w:r>
    </w:p>
    <w:p w14:paraId="301577FE" w14:textId="271F1980" w:rsidR="008D0CAD" w:rsidRPr="004A657A" w:rsidRDefault="008D0CAD" w:rsidP="007C1A2E">
      <w:pPr>
        <w:spacing w:before="100" w:beforeAutospacing="1" w:after="100" w:afterAutospacing="1" w:line="360" w:lineRule="auto"/>
        <w:ind w:right="89"/>
        <w:rPr>
          <w:rFonts w:asciiTheme="majorHAnsi" w:hAnsiTheme="majorHAnsi" w:cstheme="majorHAnsi"/>
          <w:i/>
          <w:iCs/>
          <w:color w:val="44546A" w:themeColor="text2"/>
          <w:sz w:val="22"/>
          <w:szCs w:val="22"/>
        </w:rPr>
      </w:pPr>
      <w:bookmarkStart w:id="118" w:name="_Toc71616610"/>
      <w:r w:rsidRPr="004A657A">
        <w:rPr>
          <w:rFonts w:asciiTheme="majorHAnsi" w:hAnsiTheme="majorHAnsi" w:cstheme="majorHAnsi"/>
          <w:i/>
          <w:iCs/>
          <w:color w:val="44546A" w:themeColor="text2"/>
          <w:sz w:val="22"/>
          <w:szCs w:val="22"/>
        </w:rPr>
        <w:t xml:space="preserve">Table </w:t>
      </w:r>
      <w:r w:rsidRPr="004A657A">
        <w:rPr>
          <w:rFonts w:asciiTheme="majorHAnsi" w:hAnsiTheme="majorHAnsi" w:cstheme="majorHAnsi"/>
          <w:i/>
          <w:iCs/>
          <w:color w:val="44546A" w:themeColor="text2"/>
          <w:sz w:val="22"/>
          <w:szCs w:val="22"/>
        </w:rPr>
        <w:fldChar w:fldCharType="begin"/>
      </w:r>
      <w:r w:rsidRPr="004A657A">
        <w:rPr>
          <w:rFonts w:asciiTheme="majorHAnsi" w:hAnsiTheme="majorHAnsi" w:cstheme="majorHAnsi"/>
          <w:i/>
          <w:iCs/>
          <w:color w:val="44546A" w:themeColor="text2"/>
          <w:sz w:val="22"/>
          <w:szCs w:val="22"/>
        </w:rPr>
        <w:instrText xml:space="preserve"> SEQ Table \* ARABIC </w:instrText>
      </w:r>
      <w:r w:rsidRPr="004A657A">
        <w:rPr>
          <w:rFonts w:asciiTheme="majorHAnsi" w:hAnsiTheme="majorHAnsi" w:cstheme="majorHAnsi"/>
          <w:i/>
          <w:iCs/>
          <w:color w:val="44546A" w:themeColor="text2"/>
          <w:sz w:val="22"/>
          <w:szCs w:val="22"/>
        </w:rPr>
        <w:fldChar w:fldCharType="separate"/>
      </w:r>
      <w:r w:rsidR="00D6133D">
        <w:rPr>
          <w:rFonts w:asciiTheme="majorHAnsi" w:hAnsiTheme="majorHAnsi" w:cstheme="majorHAnsi"/>
          <w:i/>
          <w:iCs/>
          <w:noProof/>
          <w:color w:val="44546A" w:themeColor="text2"/>
          <w:sz w:val="22"/>
          <w:szCs w:val="22"/>
        </w:rPr>
        <w:t>19</w:t>
      </w:r>
      <w:r w:rsidRPr="004A657A">
        <w:rPr>
          <w:rFonts w:asciiTheme="majorHAnsi" w:hAnsiTheme="majorHAnsi" w:cstheme="majorHAnsi"/>
          <w:i/>
          <w:iCs/>
          <w:color w:val="44546A" w:themeColor="text2"/>
          <w:sz w:val="22"/>
          <w:szCs w:val="22"/>
        </w:rPr>
        <w:fldChar w:fldCharType="end"/>
      </w:r>
      <w:r w:rsidRPr="004A657A">
        <w:rPr>
          <w:rFonts w:asciiTheme="majorHAnsi" w:hAnsiTheme="majorHAnsi" w:cstheme="majorHAnsi"/>
          <w:i/>
          <w:iCs/>
          <w:color w:val="44546A" w:themeColor="text2"/>
          <w:sz w:val="22"/>
          <w:szCs w:val="22"/>
        </w:rPr>
        <w:t>.</w:t>
      </w:r>
      <w:r w:rsidR="00D434EB">
        <w:rPr>
          <w:rFonts w:asciiTheme="majorHAnsi" w:hAnsiTheme="majorHAnsi" w:cstheme="majorHAnsi"/>
          <w:bCs/>
          <w:i/>
          <w:iCs/>
          <w:color w:val="44546A" w:themeColor="text2"/>
          <w:sz w:val="22"/>
          <w:szCs w:val="22"/>
        </w:rPr>
        <w:t xml:space="preserve"> </w:t>
      </w:r>
      <w:r w:rsidRPr="004A657A">
        <w:rPr>
          <w:rFonts w:asciiTheme="majorHAnsi" w:hAnsiTheme="majorHAnsi" w:cstheme="majorHAnsi"/>
          <w:bCs/>
          <w:i/>
          <w:iCs/>
          <w:color w:val="44546A" w:themeColor="text2"/>
          <w:sz w:val="22"/>
          <w:szCs w:val="22"/>
        </w:rPr>
        <w:t xml:space="preserve">Principals’ and Teachers’ Perceptions on </w:t>
      </w:r>
      <w:r w:rsidRPr="004A657A">
        <w:rPr>
          <w:rFonts w:asciiTheme="majorHAnsi" w:hAnsiTheme="majorHAnsi" w:cstheme="majorHAnsi"/>
          <w:i/>
          <w:iCs/>
          <w:color w:val="44546A" w:themeColor="text2"/>
          <w:sz w:val="22"/>
          <w:szCs w:val="22"/>
        </w:rPr>
        <w:t>curriculum-related</w:t>
      </w:r>
      <w:r w:rsidR="00020D54" w:rsidRPr="004A657A">
        <w:rPr>
          <w:rFonts w:asciiTheme="majorHAnsi" w:hAnsiTheme="majorHAnsi" w:cstheme="majorHAnsi"/>
          <w:i/>
          <w:iCs/>
          <w:color w:val="44546A" w:themeColor="text2"/>
          <w:sz w:val="22"/>
          <w:szCs w:val="22"/>
        </w:rPr>
        <w:t xml:space="preserve"> </w:t>
      </w:r>
      <w:r w:rsidRPr="004A657A">
        <w:rPr>
          <w:rFonts w:asciiTheme="majorHAnsi" w:hAnsiTheme="majorHAnsi" w:cstheme="majorHAnsi"/>
          <w:i/>
          <w:iCs/>
          <w:color w:val="44546A" w:themeColor="text2"/>
          <w:sz w:val="22"/>
          <w:szCs w:val="22"/>
        </w:rPr>
        <w:t>materials</w:t>
      </w:r>
      <w:bookmarkEnd w:id="118"/>
    </w:p>
    <w:tbl>
      <w:tblPr>
        <w:tblStyle w:val="TableGrid"/>
        <w:tblW w:w="9634" w:type="dxa"/>
        <w:tblLayout w:type="fixed"/>
        <w:tblLook w:val="04A0" w:firstRow="1" w:lastRow="0" w:firstColumn="1" w:lastColumn="0" w:noHBand="0" w:noVBand="1"/>
      </w:tblPr>
      <w:tblGrid>
        <w:gridCol w:w="1993"/>
        <w:gridCol w:w="1273"/>
        <w:gridCol w:w="1274"/>
        <w:gridCol w:w="1273"/>
        <w:gridCol w:w="1274"/>
        <w:gridCol w:w="1273"/>
        <w:gridCol w:w="1274"/>
      </w:tblGrid>
      <w:tr w:rsidR="008642FA" w:rsidRPr="00B532A0" w14:paraId="53149233" w14:textId="77777777" w:rsidTr="000C108A">
        <w:trPr>
          <w:trHeight w:val="542"/>
          <w:tblHeader/>
        </w:trPr>
        <w:tc>
          <w:tcPr>
            <w:tcW w:w="1993" w:type="dxa"/>
          </w:tcPr>
          <w:p w14:paraId="42A9245D"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273" w:type="dxa"/>
          </w:tcPr>
          <w:p w14:paraId="6DE4DC7F" w14:textId="77777777" w:rsidR="008642FA" w:rsidRPr="00B532A0" w:rsidRDefault="008642FA" w:rsidP="007C1A2E">
            <w:pPr>
              <w:spacing w:before="100" w:beforeAutospacing="1" w:after="100" w:afterAutospacing="1" w:line="360" w:lineRule="auto"/>
              <w:rPr>
                <w:rFonts w:asciiTheme="majorHAnsi" w:hAnsiTheme="majorHAnsi" w:cstheme="majorHAnsi"/>
                <w:b/>
                <w:bCs/>
                <w:color w:val="000000" w:themeColor="text1"/>
                <w:sz w:val="18"/>
                <w:szCs w:val="18"/>
              </w:rPr>
            </w:pPr>
            <w:r w:rsidRPr="00B532A0">
              <w:rPr>
                <w:rFonts w:asciiTheme="majorHAnsi" w:hAnsiTheme="majorHAnsi" w:cstheme="majorHAnsi"/>
                <w:b/>
                <w:bCs/>
                <w:color w:val="000000" w:themeColor="text1"/>
                <w:sz w:val="18"/>
                <w:szCs w:val="18"/>
              </w:rPr>
              <w:t>% Sufficient knowledge</w:t>
            </w:r>
          </w:p>
        </w:tc>
        <w:tc>
          <w:tcPr>
            <w:tcW w:w="1274" w:type="dxa"/>
          </w:tcPr>
          <w:p w14:paraId="7FEBF6BC" w14:textId="77777777" w:rsidR="008642FA" w:rsidRPr="00B532A0" w:rsidRDefault="008642FA" w:rsidP="007C1A2E">
            <w:pPr>
              <w:spacing w:before="100" w:beforeAutospacing="1" w:after="100" w:afterAutospacing="1" w:line="360" w:lineRule="auto"/>
              <w:rPr>
                <w:rFonts w:asciiTheme="majorHAnsi" w:hAnsiTheme="majorHAnsi" w:cstheme="majorHAnsi"/>
                <w:b/>
                <w:bCs/>
                <w:color w:val="000000" w:themeColor="text1"/>
                <w:sz w:val="18"/>
                <w:szCs w:val="18"/>
              </w:rPr>
            </w:pPr>
            <w:r w:rsidRPr="00B532A0">
              <w:rPr>
                <w:rFonts w:asciiTheme="majorHAnsi" w:hAnsiTheme="majorHAnsi" w:cstheme="majorHAnsi"/>
                <w:b/>
                <w:bCs/>
                <w:color w:val="000000" w:themeColor="text1"/>
                <w:sz w:val="18"/>
                <w:szCs w:val="18"/>
              </w:rPr>
              <w:t>% Comprehensive knowledge</w:t>
            </w:r>
          </w:p>
        </w:tc>
        <w:tc>
          <w:tcPr>
            <w:tcW w:w="1273" w:type="dxa"/>
          </w:tcPr>
          <w:p w14:paraId="1A657B37" w14:textId="77777777" w:rsidR="008642FA" w:rsidRPr="00B532A0" w:rsidRDefault="008642FA" w:rsidP="007C1A2E">
            <w:pPr>
              <w:spacing w:before="100" w:beforeAutospacing="1" w:after="100" w:afterAutospacing="1" w:line="360" w:lineRule="auto"/>
              <w:rPr>
                <w:rFonts w:asciiTheme="majorHAnsi" w:hAnsiTheme="majorHAnsi" w:cstheme="majorHAnsi"/>
                <w:b/>
                <w:bCs/>
                <w:color w:val="000000" w:themeColor="text1"/>
                <w:sz w:val="18"/>
                <w:szCs w:val="18"/>
              </w:rPr>
            </w:pPr>
            <w:r w:rsidRPr="00B532A0">
              <w:rPr>
                <w:rFonts w:asciiTheme="majorHAnsi" w:hAnsiTheme="majorHAnsi" w:cstheme="majorHAnsi"/>
                <w:b/>
                <w:bCs/>
                <w:color w:val="000000" w:themeColor="text1"/>
                <w:sz w:val="18"/>
                <w:szCs w:val="18"/>
              </w:rPr>
              <w:t>% Full access - individual</w:t>
            </w:r>
          </w:p>
        </w:tc>
        <w:tc>
          <w:tcPr>
            <w:tcW w:w="1274" w:type="dxa"/>
          </w:tcPr>
          <w:p w14:paraId="4234BCA1" w14:textId="77777777" w:rsidR="008642FA" w:rsidRPr="00B532A0" w:rsidRDefault="008642FA" w:rsidP="007C1A2E">
            <w:pPr>
              <w:spacing w:before="100" w:beforeAutospacing="1" w:after="100" w:afterAutospacing="1" w:line="360" w:lineRule="auto"/>
              <w:rPr>
                <w:rFonts w:asciiTheme="majorHAnsi" w:hAnsiTheme="majorHAnsi" w:cstheme="majorHAnsi"/>
                <w:b/>
                <w:bCs/>
                <w:color w:val="000000" w:themeColor="text1"/>
                <w:sz w:val="18"/>
                <w:szCs w:val="18"/>
              </w:rPr>
            </w:pPr>
            <w:r w:rsidRPr="00B532A0">
              <w:rPr>
                <w:rFonts w:asciiTheme="majorHAnsi" w:hAnsiTheme="majorHAnsi" w:cstheme="majorHAnsi"/>
                <w:b/>
                <w:bCs/>
                <w:color w:val="000000" w:themeColor="text1"/>
                <w:sz w:val="18"/>
                <w:szCs w:val="18"/>
              </w:rPr>
              <w:t>% Full access - school</w:t>
            </w:r>
          </w:p>
        </w:tc>
        <w:tc>
          <w:tcPr>
            <w:tcW w:w="1273" w:type="dxa"/>
          </w:tcPr>
          <w:p w14:paraId="7C35498C" w14:textId="77777777" w:rsidR="008642FA" w:rsidRPr="00B532A0" w:rsidRDefault="008642FA" w:rsidP="007C1A2E">
            <w:pPr>
              <w:spacing w:before="100" w:beforeAutospacing="1" w:after="100" w:afterAutospacing="1" w:line="360" w:lineRule="auto"/>
              <w:rPr>
                <w:rFonts w:asciiTheme="majorHAnsi" w:hAnsiTheme="majorHAnsi" w:cstheme="majorHAnsi"/>
                <w:b/>
                <w:bCs/>
                <w:color w:val="000000" w:themeColor="text1"/>
                <w:sz w:val="18"/>
                <w:szCs w:val="18"/>
              </w:rPr>
            </w:pPr>
            <w:r w:rsidRPr="00B532A0">
              <w:rPr>
                <w:rFonts w:asciiTheme="majorHAnsi" w:hAnsiTheme="majorHAnsi" w:cstheme="majorHAnsi"/>
                <w:b/>
                <w:bCs/>
                <w:color w:val="000000" w:themeColor="text1"/>
                <w:sz w:val="18"/>
                <w:szCs w:val="18"/>
              </w:rPr>
              <w:t>% Sufficiently useful</w:t>
            </w:r>
          </w:p>
        </w:tc>
        <w:tc>
          <w:tcPr>
            <w:tcW w:w="1274" w:type="dxa"/>
          </w:tcPr>
          <w:p w14:paraId="235370A1" w14:textId="77777777" w:rsidR="008642FA" w:rsidRPr="00B532A0" w:rsidRDefault="008642FA" w:rsidP="007C1A2E">
            <w:pPr>
              <w:spacing w:before="100" w:beforeAutospacing="1" w:after="100" w:afterAutospacing="1" w:line="360" w:lineRule="auto"/>
              <w:rPr>
                <w:rFonts w:asciiTheme="majorHAnsi" w:hAnsiTheme="majorHAnsi" w:cstheme="majorHAnsi"/>
                <w:b/>
                <w:bCs/>
                <w:color w:val="000000" w:themeColor="text1"/>
                <w:sz w:val="18"/>
                <w:szCs w:val="18"/>
              </w:rPr>
            </w:pPr>
            <w:r w:rsidRPr="00B532A0">
              <w:rPr>
                <w:rFonts w:asciiTheme="majorHAnsi" w:hAnsiTheme="majorHAnsi" w:cstheme="majorHAnsi"/>
                <w:b/>
                <w:bCs/>
                <w:color w:val="000000" w:themeColor="text1"/>
                <w:sz w:val="18"/>
                <w:szCs w:val="18"/>
              </w:rPr>
              <w:t>% Extremely useful</w:t>
            </w:r>
          </w:p>
        </w:tc>
      </w:tr>
      <w:tr w:rsidR="00080CF5" w:rsidRPr="00B532A0" w14:paraId="1DA3BE4E" w14:textId="77777777" w:rsidTr="00080CF5">
        <w:trPr>
          <w:trHeight w:val="83"/>
        </w:trPr>
        <w:tc>
          <w:tcPr>
            <w:tcW w:w="1993" w:type="dxa"/>
          </w:tcPr>
          <w:p w14:paraId="2DBD77D9" w14:textId="2CC529EB" w:rsidR="00080CF5" w:rsidRPr="00B532A0" w:rsidRDefault="00080CF5"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b/>
                <w:bCs/>
                <w:color w:val="000000" w:themeColor="text1"/>
                <w:sz w:val="18"/>
                <w:szCs w:val="18"/>
              </w:rPr>
              <w:t>K-12 Curriculum Guides</w:t>
            </w:r>
          </w:p>
        </w:tc>
        <w:tc>
          <w:tcPr>
            <w:tcW w:w="1273" w:type="dxa"/>
          </w:tcPr>
          <w:p w14:paraId="58AB93FA" w14:textId="77777777" w:rsidR="00080CF5" w:rsidRPr="00B532A0" w:rsidRDefault="00080CF5"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274" w:type="dxa"/>
          </w:tcPr>
          <w:p w14:paraId="4958B6FC" w14:textId="77777777" w:rsidR="00080CF5" w:rsidRPr="00B532A0" w:rsidRDefault="00080CF5"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273" w:type="dxa"/>
          </w:tcPr>
          <w:p w14:paraId="6B70C13A" w14:textId="77777777" w:rsidR="00080CF5" w:rsidRPr="00B532A0" w:rsidRDefault="00080CF5"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274" w:type="dxa"/>
          </w:tcPr>
          <w:p w14:paraId="5FB1CC8C" w14:textId="77777777" w:rsidR="00080CF5" w:rsidRPr="00B532A0" w:rsidRDefault="00080CF5"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273" w:type="dxa"/>
          </w:tcPr>
          <w:p w14:paraId="43010813" w14:textId="77777777" w:rsidR="00080CF5" w:rsidRPr="00B532A0" w:rsidRDefault="00080CF5"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274" w:type="dxa"/>
          </w:tcPr>
          <w:p w14:paraId="199FAC5A" w14:textId="77777777" w:rsidR="00080CF5" w:rsidRPr="00B532A0" w:rsidRDefault="00080CF5" w:rsidP="007C1A2E">
            <w:pPr>
              <w:spacing w:before="100" w:beforeAutospacing="1" w:after="100" w:afterAutospacing="1" w:line="360" w:lineRule="auto"/>
              <w:rPr>
                <w:rFonts w:asciiTheme="majorHAnsi" w:hAnsiTheme="majorHAnsi" w:cstheme="majorHAnsi"/>
                <w:color w:val="000000" w:themeColor="text1"/>
                <w:sz w:val="18"/>
                <w:szCs w:val="18"/>
              </w:rPr>
            </w:pPr>
          </w:p>
        </w:tc>
      </w:tr>
      <w:tr w:rsidR="008642FA" w:rsidRPr="00B532A0" w14:paraId="70613F83" w14:textId="77777777" w:rsidTr="00080CF5">
        <w:trPr>
          <w:trHeight w:val="83"/>
        </w:trPr>
        <w:tc>
          <w:tcPr>
            <w:tcW w:w="1993" w:type="dxa"/>
          </w:tcPr>
          <w:p w14:paraId="47E54DF3"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Main Study*</w:t>
            </w:r>
          </w:p>
        </w:tc>
        <w:tc>
          <w:tcPr>
            <w:tcW w:w="1273" w:type="dxa"/>
          </w:tcPr>
          <w:p w14:paraId="42EC4476"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274" w:type="dxa"/>
          </w:tcPr>
          <w:p w14:paraId="7D0B2CE5"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273" w:type="dxa"/>
          </w:tcPr>
          <w:p w14:paraId="30C638B7"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274" w:type="dxa"/>
          </w:tcPr>
          <w:p w14:paraId="3F7A9122"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273" w:type="dxa"/>
          </w:tcPr>
          <w:p w14:paraId="5C1E9839"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274" w:type="dxa"/>
          </w:tcPr>
          <w:p w14:paraId="1CC29881"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p>
        </w:tc>
      </w:tr>
      <w:tr w:rsidR="008642FA" w:rsidRPr="00B532A0" w14:paraId="031FD3B9" w14:textId="77777777" w:rsidTr="00080CF5">
        <w:trPr>
          <w:trHeight w:val="38"/>
        </w:trPr>
        <w:tc>
          <w:tcPr>
            <w:tcW w:w="1993" w:type="dxa"/>
          </w:tcPr>
          <w:p w14:paraId="5DCE7CB3"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PSHs (n=26)</w:t>
            </w:r>
          </w:p>
        </w:tc>
        <w:tc>
          <w:tcPr>
            <w:tcW w:w="1273" w:type="dxa"/>
          </w:tcPr>
          <w:p w14:paraId="5592BF76"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31%</w:t>
            </w:r>
          </w:p>
        </w:tc>
        <w:tc>
          <w:tcPr>
            <w:tcW w:w="1274" w:type="dxa"/>
          </w:tcPr>
          <w:p w14:paraId="79C7E2F0"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46%</w:t>
            </w:r>
          </w:p>
        </w:tc>
        <w:tc>
          <w:tcPr>
            <w:tcW w:w="1273" w:type="dxa"/>
          </w:tcPr>
          <w:p w14:paraId="0459FF90"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23%</w:t>
            </w:r>
          </w:p>
        </w:tc>
        <w:tc>
          <w:tcPr>
            <w:tcW w:w="1274" w:type="dxa"/>
          </w:tcPr>
          <w:p w14:paraId="0BADD9DC"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54%</w:t>
            </w:r>
          </w:p>
        </w:tc>
        <w:tc>
          <w:tcPr>
            <w:tcW w:w="1273" w:type="dxa"/>
          </w:tcPr>
          <w:p w14:paraId="278B7649"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31%</w:t>
            </w:r>
          </w:p>
        </w:tc>
        <w:tc>
          <w:tcPr>
            <w:tcW w:w="1274" w:type="dxa"/>
          </w:tcPr>
          <w:p w14:paraId="2C458C30"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50%</w:t>
            </w:r>
          </w:p>
        </w:tc>
      </w:tr>
      <w:tr w:rsidR="008642FA" w:rsidRPr="00B532A0" w14:paraId="0386BFEC" w14:textId="77777777" w:rsidTr="00080CF5">
        <w:trPr>
          <w:trHeight w:val="123"/>
        </w:trPr>
        <w:tc>
          <w:tcPr>
            <w:tcW w:w="1993" w:type="dxa"/>
          </w:tcPr>
          <w:p w14:paraId="770A2237"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Teachers (n=107)</w:t>
            </w:r>
          </w:p>
        </w:tc>
        <w:tc>
          <w:tcPr>
            <w:tcW w:w="1273" w:type="dxa"/>
          </w:tcPr>
          <w:p w14:paraId="5ACF9928"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46%</w:t>
            </w:r>
          </w:p>
        </w:tc>
        <w:tc>
          <w:tcPr>
            <w:tcW w:w="1274" w:type="dxa"/>
          </w:tcPr>
          <w:p w14:paraId="69338A24"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46%</w:t>
            </w:r>
          </w:p>
        </w:tc>
        <w:tc>
          <w:tcPr>
            <w:tcW w:w="1273" w:type="dxa"/>
          </w:tcPr>
          <w:p w14:paraId="79477585"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36%</w:t>
            </w:r>
          </w:p>
        </w:tc>
        <w:tc>
          <w:tcPr>
            <w:tcW w:w="1274" w:type="dxa"/>
          </w:tcPr>
          <w:p w14:paraId="4574657A"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50%</w:t>
            </w:r>
          </w:p>
        </w:tc>
        <w:tc>
          <w:tcPr>
            <w:tcW w:w="1273" w:type="dxa"/>
          </w:tcPr>
          <w:p w14:paraId="1D65E465"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36%</w:t>
            </w:r>
          </w:p>
        </w:tc>
        <w:tc>
          <w:tcPr>
            <w:tcW w:w="1274" w:type="dxa"/>
          </w:tcPr>
          <w:p w14:paraId="68F7BFD2"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48%</w:t>
            </w:r>
          </w:p>
        </w:tc>
      </w:tr>
      <w:tr w:rsidR="008642FA" w:rsidRPr="00B532A0" w14:paraId="7A50C910" w14:textId="77777777" w:rsidTr="00080CF5">
        <w:trPr>
          <w:trHeight w:val="171"/>
        </w:trPr>
        <w:tc>
          <w:tcPr>
            <w:tcW w:w="1993" w:type="dxa"/>
          </w:tcPr>
          <w:p w14:paraId="637D7209"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Follow-Up Study **</w:t>
            </w:r>
          </w:p>
        </w:tc>
        <w:tc>
          <w:tcPr>
            <w:tcW w:w="1273" w:type="dxa"/>
          </w:tcPr>
          <w:p w14:paraId="5E8CB10A"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274" w:type="dxa"/>
          </w:tcPr>
          <w:p w14:paraId="5670AA71"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273" w:type="dxa"/>
          </w:tcPr>
          <w:p w14:paraId="3B479AC6"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274" w:type="dxa"/>
          </w:tcPr>
          <w:p w14:paraId="45098315"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273" w:type="dxa"/>
          </w:tcPr>
          <w:p w14:paraId="18F69EB6"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274" w:type="dxa"/>
          </w:tcPr>
          <w:p w14:paraId="48337D0A"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p>
        </w:tc>
      </w:tr>
      <w:tr w:rsidR="008642FA" w:rsidRPr="00B532A0" w14:paraId="1B872157" w14:textId="77777777" w:rsidTr="00080CF5">
        <w:trPr>
          <w:trHeight w:val="68"/>
        </w:trPr>
        <w:tc>
          <w:tcPr>
            <w:tcW w:w="1993" w:type="dxa"/>
          </w:tcPr>
          <w:p w14:paraId="083E6240"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PSHs (n=11)</w:t>
            </w:r>
          </w:p>
        </w:tc>
        <w:tc>
          <w:tcPr>
            <w:tcW w:w="1273" w:type="dxa"/>
          </w:tcPr>
          <w:p w14:paraId="5C4BF968"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50%</w:t>
            </w:r>
          </w:p>
        </w:tc>
        <w:tc>
          <w:tcPr>
            <w:tcW w:w="1274" w:type="dxa"/>
          </w:tcPr>
          <w:p w14:paraId="69ABE18C"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33%</w:t>
            </w:r>
          </w:p>
        </w:tc>
        <w:tc>
          <w:tcPr>
            <w:tcW w:w="1273" w:type="dxa"/>
          </w:tcPr>
          <w:p w14:paraId="01F89EBD"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25%</w:t>
            </w:r>
          </w:p>
        </w:tc>
        <w:tc>
          <w:tcPr>
            <w:tcW w:w="1274" w:type="dxa"/>
          </w:tcPr>
          <w:p w14:paraId="39EE7B32"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42%</w:t>
            </w:r>
          </w:p>
        </w:tc>
        <w:tc>
          <w:tcPr>
            <w:tcW w:w="1273" w:type="dxa"/>
          </w:tcPr>
          <w:p w14:paraId="0CF91266"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33%</w:t>
            </w:r>
          </w:p>
        </w:tc>
        <w:tc>
          <w:tcPr>
            <w:tcW w:w="1274" w:type="dxa"/>
          </w:tcPr>
          <w:p w14:paraId="4A438661"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42%</w:t>
            </w:r>
          </w:p>
        </w:tc>
      </w:tr>
      <w:tr w:rsidR="008642FA" w:rsidRPr="00B532A0" w14:paraId="37182C22" w14:textId="77777777" w:rsidTr="00080CF5">
        <w:trPr>
          <w:trHeight w:val="38"/>
        </w:trPr>
        <w:tc>
          <w:tcPr>
            <w:tcW w:w="1993" w:type="dxa"/>
          </w:tcPr>
          <w:p w14:paraId="2A16C1E0"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Teachers (n=61)</w:t>
            </w:r>
          </w:p>
        </w:tc>
        <w:tc>
          <w:tcPr>
            <w:tcW w:w="1273" w:type="dxa"/>
          </w:tcPr>
          <w:p w14:paraId="46187BDA"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18%</w:t>
            </w:r>
          </w:p>
        </w:tc>
        <w:tc>
          <w:tcPr>
            <w:tcW w:w="1274" w:type="dxa"/>
          </w:tcPr>
          <w:p w14:paraId="34542CFE"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80%</w:t>
            </w:r>
          </w:p>
        </w:tc>
        <w:tc>
          <w:tcPr>
            <w:tcW w:w="1273" w:type="dxa"/>
          </w:tcPr>
          <w:p w14:paraId="1C4EDB1A"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16%</w:t>
            </w:r>
          </w:p>
        </w:tc>
        <w:tc>
          <w:tcPr>
            <w:tcW w:w="1274" w:type="dxa"/>
          </w:tcPr>
          <w:p w14:paraId="18382B38"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80%</w:t>
            </w:r>
          </w:p>
        </w:tc>
        <w:tc>
          <w:tcPr>
            <w:tcW w:w="1273" w:type="dxa"/>
          </w:tcPr>
          <w:p w14:paraId="3DDED4B7"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28%</w:t>
            </w:r>
          </w:p>
        </w:tc>
        <w:tc>
          <w:tcPr>
            <w:tcW w:w="1274" w:type="dxa"/>
          </w:tcPr>
          <w:p w14:paraId="2893545D"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64%</w:t>
            </w:r>
          </w:p>
        </w:tc>
      </w:tr>
      <w:tr w:rsidR="00080CF5" w:rsidRPr="00B532A0" w14:paraId="04C0F926" w14:textId="77777777" w:rsidTr="00080CF5">
        <w:trPr>
          <w:trHeight w:val="38"/>
        </w:trPr>
        <w:tc>
          <w:tcPr>
            <w:tcW w:w="1993" w:type="dxa"/>
          </w:tcPr>
          <w:p w14:paraId="2C60A6C7" w14:textId="1459AFE1" w:rsidR="00080CF5" w:rsidRPr="00B532A0" w:rsidRDefault="00080CF5"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b/>
                <w:bCs/>
                <w:color w:val="000000" w:themeColor="text1"/>
                <w:sz w:val="18"/>
                <w:szCs w:val="18"/>
              </w:rPr>
              <w:t>Multigrade teach -learn-package</w:t>
            </w:r>
          </w:p>
        </w:tc>
        <w:tc>
          <w:tcPr>
            <w:tcW w:w="1273" w:type="dxa"/>
          </w:tcPr>
          <w:p w14:paraId="12EAEC59" w14:textId="77777777" w:rsidR="00080CF5" w:rsidRPr="00B532A0" w:rsidRDefault="00080CF5"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274" w:type="dxa"/>
          </w:tcPr>
          <w:p w14:paraId="5979D3D1" w14:textId="77777777" w:rsidR="00080CF5" w:rsidRPr="00B532A0" w:rsidRDefault="00080CF5"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273" w:type="dxa"/>
          </w:tcPr>
          <w:p w14:paraId="31BFEFB0" w14:textId="77777777" w:rsidR="00080CF5" w:rsidRPr="00B532A0" w:rsidRDefault="00080CF5"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274" w:type="dxa"/>
          </w:tcPr>
          <w:p w14:paraId="2B5B08F5" w14:textId="77777777" w:rsidR="00080CF5" w:rsidRPr="00B532A0" w:rsidRDefault="00080CF5"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273" w:type="dxa"/>
          </w:tcPr>
          <w:p w14:paraId="5E73668F" w14:textId="77777777" w:rsidR="00080CF5" w:rsidRPr="00B532A0" w:rsidRDefault="00080CF5"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274" w:type="dxa"/>
          </w:tcPr>
          <w:p w14:paraId="0C3267B3" w14:textId="77777777" w:rsidR="00080CF5" w:rsidRPr="00B532A0" w:rsidRDefault="00080CF5" w:rsidP="007C1A2E">
            <w:pPr>
              <w:spacing w:before="100" w:beforeAutospacing="1" w:after="100" w:afterAutospacing="1" w:line="360" w:lineRule="auto"/>
              <w:rPr>
                <w:rFonts w:asciiTheme="majorHAnsi" w:hAnsiTheme="majorHAnsi" w:cstheme="majorHAnsi"/>
                <w:color w:val="000000" w:themeColor="text1"/>
                <w:sz w:val="18"/>
                <w:szCs w:val="18"/>
              </w:rPr>
            </w:pPr>
          </w:p>
        </w:tc>
      </w:tr>
      <w:tr w:rsidR="008642FA" w:rsidRPr="00B532A0" w14:paraId="0BA197B8" w14:textId="77777777" w:rsidTr="00080CF5">
        <w:trPr>
          <w:trHeight w:val="38"/>
        </w:trPr>
        <w:tc>
          <w:tcPr>
            <w:tcW w:w="1993" w:type="dxa"/>
          </w:tcPr>
          <w:p w14:paraId="1EEBB517"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Main Study*</w:t>
            </w:r>
          </w:p>
        </w:tc>
        <w:tc>
          <w:tcPr>
            <w:tcW w:w="1273" w:type="dxa"/>
          </w:tcPr>
          <w:p w14:paraId="538F0062"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274" w:type="dxa"/>
          </w:tcPr>
          <w:p w14:paraId="300E7EF4"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273" w:type="dxa"/>
          </w:tcPr>
          <w:p w14:paraId="372917D4"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274" w:type="dxa"/>
          </w:tcPr>
          <w:p w14:paraId="3E83FAE7"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273" w:type="dxa"/>
          </w:tcPr>
          <w:p w14:paraId="683D566B"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274" w:type="dxa"/>
          </w:tcPr>
          <w:p w14:paraId="1429334C"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p>
        </w:tc>
      </w:tr>
      <w:tr w:rsidR="008642FA" w:rsidRPr="00B532A0" w14:paraId="24DF7372" w14:textId="77777777" w:rsidTr="00080CF5">
        <w:trPr>
          <w:trHeight w:val="38"/>
        </w:trPr>
        <w:tc>
          <w:tcPr>
            <w:tcW w:w="1993" w:type="dxa"/>
          </w:tcPr>
          <w:p w14:paraId="51462EA8"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PSHs (n=26)</w:t>
            </w:r>
          </w:p>
        </w:tc>
        <w:tc>
          <w:tcPr>
            <w:tcW w:w="1273" w:type="dxa"/>
          </w:tcPr>
          <w:p w14:paraId="0C78C172"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12%</w:t>
            </w:r>
          </w:p>
        </w:tc>
        <w:tc>
          <w:tcPr>
            <w:tcW w:w="1274" w:type="dxa"/>
          </w:tcPr>
          <w:p w14:paraId="0FA1E0CC"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0%</w:t>
            </w:r>
          </w:p>
        </w:tc>
        <w:tc>
          <w:tcPr>
            <w:tcW w:w="1273" w:type="dxa"/>
          </w:tcPr>
          <w:p w14:paraId="5039B64B"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15%</w:t>
            </w:r>
          </w:p>
        </w:tc>
        <w:tc>
          <w:tcPr>
            <w:tcW w:w="1274" w:type="dxa"/>
          </w:tcPr>
          <w:p w14:paraId="51134053"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0%</w:t>
            </w:r>
          </w:p>
        </w:tc>
        <w:tc>
          <w:tcPr>
            <w:tcW w:w="1273" w:type="dxa"/>
          </w:tcPr>
          <w:p w14:paraId="6A978B43"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15%</w:t>
            </w:r>
          </w:p>
        </w:tc>
        <w:tc>
          <w:tcPr>
            <w:tcW w:w="1274" w:type="dxa"/>
          </w:tcPr>
          <w:p w14:paraId="52C684BF"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4%</w:t>
            </w:r>
          </w:p>
        </w:tc>
      </w:tr>
      <w:tr w:rsidR="008642FA" w:rsidRPr="00B532A0" w14:paraId="7CDEF16A" w14:textId="77777777" w:rsidTr="00080CF5">
        <w:trPr>
          <w:trHeight w:val="38"/>
        </w:trPr>
        <w:tc>
          <w:tcPr>
            <w:tcW w:w="1993" w:type="dxa"/>
          </w:tcPr>
          <w:p w14:paraId="2B5CB102"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Teachers (n=107)</w:t>
            </w:r>
          </w:p>
        </w:tc>
        <w:tc>
          <w:tcPr>
            <w:tcW w:w="1273" w:type="dxa"/>
          </w:tcPr>
          <w:p w14:paraId="1DFF7657"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274" w:type="dxa"/>
          </w:tcPr>
          <w:p w14:paraId="6C6BAE8F"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273" w:type="dxa"/>
          </w:tcPr>
          <w:p w14:paraId="7A14A4AC"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274" w:type="dxa"/>
          </w:tcPr>
          <w:p w14:paraId="04FE5D17"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273" w:type="dxa"/>
          </w:tcPr>
          <w:p w14:paraId="2D45DF8C"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274" w:type="dxa"/>
          </w:tcPr>
          <w:p w14:paraId="6C9DCD6E"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p>
        </w:tc>
      </w:tr>
      <w:tr w:rsidR="008642FA" w:rsidRPr="00B532A0" w14:paraId="6AB7EF06" w14:textId="77777777" w:rsidTr="00080CF5">
        <w:trPr>
          <w:trHeight w:val="38"/>
        </w:trPr>
        <w:tc>
          <w:tcPr>
            <w:tcW w:w="1993" w:type="dxa"/>
          </w:tcPr>
          <w:p w14:paraId="0FE06479"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Follow-Up Study **</w:t>
            </w:r>
          </w:p>
        </w:tc>
        <w:tc>
          <w:tcPr>
            <w:tcW w:w="1273" w:type="dxa"/>
          </w:tcPr>
          <w:p w14:paraId="2E7B3E44"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274" w:type="dxa"/>
          </w:tcPr>
          <w:p w14:paraId="4910750B"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273" w:type="dxa"/>
          </w:tcPr>
          <w:p w14:paraId="176705A2"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274" w:type="dxa"/>
          </w:tcPr>
          <w:p w14:paraId="664FDB23"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273" w:type="dxa"/>
          </w:tcPr>
          <w:p w14:paraId="2096ABE7"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274" w:type="dxa"/>
          </w:tcPr>
          <w:p w14:paraId="4F4D7CC2"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p>
        </w:tc>
      </w:tr>
      <w:tr w:rsidR="008642FA" w:rsidRPr="00B532A0" w14:paraId="1B6BF870" w14:textId="77777777" w:rsidTr="00080CF5">
        <w:trPr>
          <w:trHeight w:val="38"/>
        </w:trPr>
        <w:tc>
          <w:tcPr>
            <w:tcW w:w="1993" w:type="dxa"/>
          </w:tcPr>
          <w:p w14:paraId="2D599D23"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PSHs (n=11)</w:t>
            </w:r>
          </w:p>
        </w:tc>
        <w:tc>
          <w:tcPr>
            <w:tcW w:w="1273" w:type="dxa"/>
          </w:tcPr>
          <w:p w14:paraId="61EE0707"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17%</w:t>
            </w:r>
          </w:p>
        </w:tc>
        <w:tc>
          <w:tcPr>
            <w:tcW w:w="1274" w:type="dxa"/>
          </w:tcPr>
          <w:p w14:paraId="0390840B"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8%</w:t>
            </w:r>
          </w:p>
        </w:tc>
        <w:tc>
          <w:tcPr>
            <w:tcW w:w="1273" w:type="dxa"/>
          </w:tcPr>
          <w:p w14:paraId="5A264E12"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25%</w:t>
            </w:r>
          </w:p>
        </w:tc>
        <w:tc>
          <w:tcPr>
            <w:tcW w:w="1274" w:type="dxa"/>
          </w:tcPr>
          <w:p w14:paraId="0A8DEB99"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8%</w:t>
            </w:r>
          </w:p>
        </w:tc>
        <w:tc>
          <w:tcPr>
            <w:tcW w:w="1273" w:type="dxa"/>
          </w:tcPr>
          <w:p w14:paraId="01940502"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17%</w:t>
            </w:r>
          </w:p>
        </w:tc>
        <w:tc>
          <w:tcPr>
            <w:tcW w:w="1274" w:type="dxa"/>
          </w:tcPr>
          <w:p w14:paraId="2690C896"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0%</w:t>
            </w:r>
          </w:p>
        </w:tc>
      </w:tr>
      <w:tr w:rsidR="008642FA" w:rsidRPr="00B532A0" w14:paraId="1D722007" w14:textId="77777777" w:rsidTr="00080CF5">
        <w:trPr>
          <w:trHeight w:val="38"/>
        </w:trPr>
        <w:tc>
          <w:tcPr>
            <w:tcW w:w="1993" w:type="dxa"/>
          </w:tcPr>
          <w:p w14:paraId="1826ACC8"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Teachers (n=61)</w:t>
            </w:r>
          </w:p>
        </w:tc>
        <w:tc>
          <w:tcPr>
            <w:tcW w:w="1273" w:type="dxa"/>
          </w:tcPr>
          <w:p w14:paraId="1EBF2673"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11%</w:t>
            </w:r>
          </w:p>
        </w:tc>
        <w:tc>
          <w:tcPr>
            <w:tcW w:w="1274" w:type="dxa"/>
          </w:tcPr>
          <w:p w14:paraId="2632C4EF"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2%</w:t>
            </w:r>
          </w:p>
        </w:tc>
        <w:tc>
          <w:tcPr>
            <w:tcW w:w="1273" w:type="dxa"/>
          </w:tcPr>
          <w:p w14:paraId="04B9DB08"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10%</w:t>
            </w:r>
          </w:p>
        </w:tc>
        <w:tc>
          <w:tcPr>
            <w:tcW w:w="1274" w:type="dxa"/>
          </w:tcPr>
          <w:p w14:paraId="691487B3"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0%</w:t>
            </w:r>
          </w:p>
        </w:tc>
        <w:tc>
          <w:tcPr>
            <w:tcW w:w="1273" w:type="dxa"/>
          </w:tcPr>
          <w:p w14:paraId="53A6D2A7"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8%</w:t>
            </w:r>
          </w:p>
        </w:tc>
        <w:tc>
          <w:tcPr>
            <w:tcW w:w="1274" w:type="dxa"/>
          </w:tcPr>
          <w:p w14:paraId="41EC3320"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3%</w:t>
            </w:r>
          </w:p>
        </w:tc>
      </w:tr>
      <w:tr w:rsidR="00080CF5" w:rsidRPr="00B532A0" w14:paraId="5E0E1B04" w14:textId="77777777" w:rsidTr="00080CF5">
        <w:trPr>
          <w:trHeight w:val="38"/>
        </w:trPr>
        <w:tc>
          <w:tcPr>
            <w:tcW w:w="1993" w:type="dxa"/>
          </w:tcPr>
          <w:p w14:paraId="4F95800B" w14:textId="13E3125C" w:rsidR="00080CF5" w:rsidRPr="00B532A0" w:rsidRDefault="00080CF5"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b/>
                <w:bCs/>
                <w:color w:val="000000" w:themeColor="text1"/>
                <w:sz w:val="18"/>
                <w:szCs w:val="18"/>
              </w:rPr>
              <w:t>Contextualized curriculum resources</w:t>
            </w:r>
          </w:p>
        </w:tc>
        <w:tc>
          <w:tcPr>
            <w:tcW w:w="1273" w:type="dxa"/>
          </w:tcPr>
          <w:p w14:paraId="355DF38C" w14:textId="77777777" w:rsidR="00080CF5" w:rsidRPr="00B532A0" w:rsidRDefault="00080CF5"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274" w:type="dxa"/>
          </w:tcPr>
          <w:p w14:paraId="70551B9F" w14:textId="77777777" w:rsidR="00080CF5" w:rsidRPr="00B532A0" w:rsidRDefault="00080CF5"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273" w:type="dxa"/>
          </w:tcPr>
          <w:p w14:paraId="0C1193D5" w14:textId="77777777" w:rsidR="00080CF5" w:rsidRPr="00B532A0" w:rsidRDefault="00080CF5"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274" w:type="dxa"/>
          </w:tcPr>
          <w:p w14:paraId="1961099B" w14:textId="77777777" w:rsidR="00080CF5" w:rsidRPr="00B532A0" w:rsidRDefault="00080CF5"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273" w:type="dxa"/>
          </w:tcPr>
          <w:p w14:paraId="3ABA2DC4" w14:textId="77777777" w:rsidR="00080CF5" w:rsidRPr="00B532A0" w:rsidRDefault="00080CF5"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274" w:type="dxa"/>
          </w:tcPr>
          <w:p w14:paraId="137A835C" w14:textId="77777777" w:rsidR="00080CF5" w:rsidRPr="00B532A0" w:rsidRDefault="00080CF5" w:rsidP="007C1A2E">
            <w:pPr>
              <w:spacing w:before="100" w:beforeAutospacing="1" w:after="100" w:afterAutospacing="1" w:line="360" w:lineRule="auto"/>
              <w:rPr>
                <w:rFonts w:asciiTheme="majorHAnsi" w:hAnsiTheme="majorHAnsi" w:cstheme="majorHAnsi"/>
                <w:color w:val="000000" w:themeColor="text1"/>
                <w:sz w:val="18"/>
                <w:szCs w:val="18"/>
              </w:rPr>
            </w:pPr>
          </w:p>
        </w:tc>
      </w:tr>
      <w:tr w:rsidR="008642FA" w:rsidRPr="00B532A0" w14:paraId="4E9B7FB8" w14:textId="77777777" w:rsidTr="00080CF5">
        <w:trPr>
          <w:trHeight w:val="38"/>
        </w:trPr>
        <w:tc>
          <w:tcPr>
            <w:tcW w:w="1993" w:type="dxa"/>
          </w:tcPr>
          <w:p w14:paraId="32BE1044"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Main Study*</w:t>
            </w:r>
          </w:p>
        </w:tc>
        <w:tc>
          <w:tcPr>
            <w:tcW w:w="1273" w:type="dxa"/>
          </w:tcPr>
          <w:p w14:paraId="4082D599"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274" w:type="dxa"/>
          </w:tcPr>
          <w:p w14:paraId="764920B3"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273" w:type="dxa"/>
          </w:tcPr>
          <w:p w14:paraId="6E787639"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274" w:type="dxa"/>
          </w:tcPr>
          <w:p w14:paraId="1E5C6B02"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273" w:type="dxa"/>
          </w:tcPr>
          <w:p w14:paraId="5A8200C5"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274" w:type="dxa"/>
          </w:tcPr>
          <w:p w14:paraId="486465A0"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p>
        </w:tc>
      </w:tr>
      <w:tr w:rsidR="008642FA" w:rsidRPr="00B532A0" w14:paraId="0F81F612" w14:textId="77777777" w:rsidTr="00080CF5">
        <w:trPr>
          <w:trHeight w:val="38"/>
        </w:trPr>
        <w:tc>
          <w:tcPr>
            <w:tcW w:w="1993" w:type="dxa"/>
          </w:tcPr>
          <w:p w14:paraId="3E7F9275"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PSHs (n=26)</w:t>
            </w:r>
          </w:p>
        </w:tc>
        <w:tc>
          <w:tcPr>
            <w:tcW w:w="1273" w:type="dxa"/>
          </w:tcPr>
          <w:p w14:paraId="3F225976"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42%</w:t>
            </w:r>
          </w:p>
        </w:tc>
        <w:tc>
          <w:tcPr>
            <w:tcW w:w="1274" w:type="dxa"/>
          </w:tcPr>
          <w:p w14:paraId="23CEDE3C"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27%</w:t>
            </w:r>
          </w:p>
        </w:tc>
        <w:tc>
          <w:tcPr>
            <w:tcW w:w="1273" w:type="dxa"/>
          </w:tcPr>
          <w:p w14:paraId="52305985"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38%</w:t>
            </w:r>
          </w:p>
        </w:tc>
        <w:tc>
          <w:tcPr>
            <w:tcW w:w="1274" w:type="dxa"/>
          </w:tcPr>
          <w:p w14:paraId="23E72639"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19%</w:t>
            </w:r>
          </w:p>
        </w:tc>
        <w:tc>
          <w:tcPr>
            <w:tcW w:w="1273" w:type="dxa"/>
          </w:tcPr>
          <w:p w14:paraId="75B2298D"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31%</w:t>
            </w:r>
          </w:p>
        </w:tc>
        <w:tc>
          <w:tcPr>
            <w:tcW w:w="1274" w:type="dxa"/>
          </w:tcPr>
          <w:p w14:paraId="4EF1060D"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31%</w:t>
            </w:r>
          </w:p>
        </w:tc>
      </w:tr>
      <w:tr w:rsidR="008642FA" w:rsidRPr="00B532A0" w14:paraId="307CFD1E" w14:textId="77777777" w:rsidTr="00080CF5">
        <w:trPr>
          <w:trHeight w:val="38"/>
        </w:trPr>
        <w:tc>
          <w:tcPr>
            <w:tcW w:w="1993" w:type="dxa"/>
          </w:tcPr>
          <w:p w14:paraId="07C9BFBF"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Teachers (n=107)</w:t>
            </w:r>
          </w:p>
        </w:tc>
        <w:tc>
          <w:tcPr>
            <w:tcW w:w="1273" w:type="dxa"/>
          </w:tcPr>
          <w:p w14:paraId="61CDC67F"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57%</w:t>
            </w:r>
          </w:p>
        </w:tc>
        <w:tc>
          <w:tcPr>
            <w:tcW w:w="1274" w:type="dxa"/>
          </w:tcPr>
          <w:p w14:paraId="2E44D440"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11%</w:t>
            </w:r>
          </w:p>
        </w:tc>
        <w:tc>
          <w:tcPr>
            <w:tcW w:w="1273" w:type="dxa"/>
          </w:tcPr>
          <w:p w14:paraId="218F541F"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48%</w:t>
            </w:r>
          </w:p>
        </w:tc>
        <w:tc>
          <w:tcPr>
            <w:tcW w:w="1274" w:type="dxa"/>
          </w:tcPr>
          <w:p w14:paraId="129AFDEF"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11%</w:t>
            </w:r>
          </w:p>
        </w:tc>
        <w:tc>
          <w:tcPr>
            <w:tcW w:w="1273" w:type="dxa"/>
          </w:tcPr>
          <w:p w14:paraId="5F0C770A"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48%</w:t>
            </w:r>
          </w:p>
        </w:tc>
        <w:tc>
          <w:tcPr>
            <w:tcW w:w="1274" w:type="dxa"/>
          </w:tcPr>
          <w:p w14:paraId="7C3FA3D4"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15%</w:t>
            </w:r>
          </w:p>
        </w:tc>
      </w:tr>
      <w:tr w:rsidR="008642FA" w:rsidRPr="00B532A0" w14:paraId="48571624" w14:textId="77777777" w:rsidTr="00080CF5">
        <w:trPr>
          <w:trHeight w:val="38"/>
        </w:trPr>
        <w:tc>
          <w:tcPr>
            <w:tcW w:w="1993" w:type="dxa"/>
          </w:tcPr>
          <w:p w14:paraId="4607408A"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Follow-Up Study **</w:t>
            </w:r>
          </w:p>
        </w:tc>
        <w:tc>
          <w:tcPr>
            <w:tcW w:w="1273" w:type="dxa"/>
          </w:tcPr>
          <w:p w14:paraId="1F43C367"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274" w:type="dxa"/>
          </w:tcPr>
          <w:p w14:paraId="05AC1506"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273" w:type="dxa"/>
          </w:tcPr>
          <w:p w14:paraId="35AF290C"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274" w:type="dxa"/>
          </w:tcPr>
          <w:p w14:paraId="1BC68F19"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273" w:type="dxa"/>
          </w:tcPr>
          <w:p w14:paraId="2B6C6E7A"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p>
        </w:tc>
        <w:tc>
          <w:tcPr>
            <w:tcW w:w="1274" w:type="dxa"/>
          </w:tcPr>
          <w:p w14:paraId="79D7013A"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p>
        </w:tc>
      </w:tr>
      <w:tr w:rsidR="008642FA" w:rsidRPr="00B532A0" w14:paraId="4F4BCEF6" w14:textId="77777777" w:rsidTr="00080CF5">
        <w:trPr>
          <w:trHeight w:val="38"/>
        </w:trPr>
        <w:tc>
          <w:tcPr>
            <w:tcW w:w="1993" w:type="dxa"/>
          </w:tcPr>
          <w:p w14:paraId="4FF93786"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PSHs (n=11)</w:t>
            </w:r>
          </w:p>
        </w:tc>
        <w:tc>
          <w:tcPr>
            <w:tcW w:w="1273" w:type="dxa"/>
          </w:tcPr>
          <w:p w14:paraId="26D3DE5B"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50%</w:t>
            </w:r>
          </w:p>
        </w:tc>
        <w:tc>
          <w:tcPr>
            <w:tcW w:w="1274" w:type="dxa"/>
          </w:tcPr>
          <w:p w14:paraId="29061842"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17%</w:t>
            </w:r>
          </w:p>
        </w:tc>
        <w:tc>
          <w:tcPr>
            <w:tcW w:w="1273" w:type="dxa"/>
          </w:tcPr>
          <w:p w14:paraId="69DD7597"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25%</w:t>
            </w:r>
          </w:p>
        </w:tc>
        <w:tc>
          <w:tcPr>
            <w:tcW w:w="1274" w:type="dxa"/>
          </w:tcPr>
          <w:p w14:paraId="6FF504FC"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25%</w:t>
            </w:r>
          </w:p>
        </w:tc>
        <w:tc>
          <w:tcPr>
            <w:tcW w:w="1273" w:type="dxa"/>
          </w:tcPr>
          <w:p w14:paraId="25CD1D4D"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33%</w:t>
            </w:r>
          </w:p>
        </w:tc>
        <w:tc>
          <w:tcPr>
            <w:tcW w:w="1274" w:type="dxa"/>
          </w:tcPr>
          <w:p w14:paraId="48E9E039"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17%</w:t>
            </w:r>
          </w:p>
        </w:tc>
      </w:tr>
      <w:tr w:rsidR="008642FA" w:rsidRPr="00B532A0" w14:paraId="443CE6DA" w14:textId="77777777" w:rsidTr="00080CF5">
        <w:trPr>
          <w:trHeight w:val="38"/>
        </w:trPr>
        <w:tc>
          <w:tcPr>
            <w:tcW w:w="1993" w:type="dxa"/>
          </w:tcPr>
          <w:p w14:paraId="2A4F8E8E"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Teachers (n=61)</w:t>
            </w:r>
          </w:p>
        </w:tc>
        <w:tc>
          <w:tcPr>
            <w:tcW w:w="1273" w:type="dxa"/>
          </w:tcPr>
          <w:p w14:paraId="491CB999"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41%</w:t>
            </w:r>
          </w:p>
        </w:tc>
        <w:tc>
          <w:tcPr>
            <w:tcW w:w="1274" w:type="dxa"/>
          </w:tcPr>
          <w:p w14:paraId="6E08FE84"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31%</w:t>
            </w:r>
          </w:p>
        </w:tc>
        <w:tc>
          <w:tcPr>
            <w:tcW w:w="1273" w:type="dxa"/>
          </w:tcPr>
          <w:p w14:paraId="6A190948"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39%</w:t>
            </w:r>
          </w:p>
        </w:tc>
        <w:tc>
          <w:tcPr>
            <w:tcW w:w="1274" w:type="dxa"/>
          </w:tcPr>
          <w:p w14:paraId="5D860EC2"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33%</w:t>
            </w:r>
          </w:p>
        </w:tc>
        <w:tc>
          <w:tcPr>
            <w:tcW w:w="1273" w:type="dxa"/>
          </w:tcPr>
          <w:p w14:paraId="7AF10F20"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36%</w:t>
            </w:r>
          </w:p>
        </w:tc>
        <w:tc>
          <w:tcPr>
            <w:tcW w:w="1274" w:type="dxa"/>
          </w:tcPr>
          <w:p w14:paraId="0CDE38FD" w14:textId="77777777" w:rsidR="008642FA" w:rsidRPr="00B532A0" w:rsidRDefault="008642FA" w:rsidP="007C1A2E">
            <w:pPr>
              <w:spacing w:before="100" w:beforeAutospacing="1" w:after="100" w:afterAutospacing="1" w:line="360" w:lineRule="auto"/>
              <w:rPr>
                <w:rFonts w:asciiTheme="majorHAnsi" w:hAnsiTheme="majorHAnsi" w:cstheme="majorHAnsi"/>
                <w:color w:val="000000" w:themeColor="text1"/>
                <w:sz w:val="18"/>
                <w:szCs w:val="18"/>
              </w:rPr>
            </w:pPr>
            <w:r w:rsidRPr="00B532A0">
              <w:rPr>
                <w:rFonts w:asciiTheme="majorHAnsi" w:hAnsiTheme="majorHAnsi" w:cstheme="majorHAnsi"/>
                <w:color w:val="000000" w:themeColor="text1"/>
                <w:sz w:val="18"/>
                <w:szCs w:val="18"/>
              </w:rPr>
              <w:t>33%</w:t>
            </w:r>
          </w:p>
        </w:tc>
      </w:tr>
    </w:tbl>
    <w:p w14:paraId="5D5C0FD0" w14:textId="4DBEC9C8" w:rsidR="008642FA" w:rsidRPr="00B31C4E" w:rsidRDefault="008642FA" w:rsidP="007C1A2E">
      <w:pPr>
        <w:spacing w:before="100" w:beforeAutospacing="1" w:after="100" w:afterAutospacing="1" w:line="360" w:lineRule="auto"/>
        <w:ind w:right="2357"/>
        <w:rPr>
          <w:rFonts w:asciiTheme="majorHAnsi" w:hAnsiTheme="majorHAnsi" w:cstheme="majorHAnsi"/>
          <w:sz w:val="14"/>
          <w:szCs w:val="14"/>
        </w:rPr>
      </w:pPr>
      <w:r w:rsidRPr="00020D54">
        <w:rPr>
          <w:rFonts w:asciiTheme="majorHAnsi" w:hAnsiTheme="majorHAnsi" w:cstheme="majorHAnsi"/>
          <w:sz w:val="14"/>
          <w:szCs w:val="14"/>
        </w:rPr>
        <w:t>*2019 KAU Survey **2020 KAU Survey</w:t>
      </w:r>
    </w:p>
    <w:p w14:paraId="2FD79746" w14:textId="23D08A3C" w:rsidR="008D0CAD" w:rsidRPr="002B55ED" w:rsidRDefault="008D0CAD" w:rsidP="007C1A2E">
      <w:pPr>
        <w:spacing w:before="100" w:beforeAutospacing="1" w:after="100" w:afterAutospacing="1" w:line="360" w:lineRule="auto"/>
        <w:ind w:right="8"/>
        <w:rPr>
          <w:rFonts w:asciiTheme="majorHAnsi" w:hAnsiTheme="majorHAnsi" w:cstheme="majorHAnsi"/>
          <w:color w:val="000000"/>
        </w:rPr>
      </w:pPr>
      <w:r w:rsidRPr="002B55ED">
        <w:rPr>
          <w:rFonts w:asciiTheme="majorHAnsi" w:hAnsiTheme="majorHAnsi" w:cstheme="majorHAnsi"/>
          <w:color w:val="000000"/>
        </w:rPr>
        <w:t xml:space="preserve">KAU Survey results revealed that KAU of </w:t>
      </w:r>
      <w:r>
        <w:rPr>
          <w:rFonts w:asciiTheme="majorHAnsi" w:hAnsiTheme="majorHAnsi" w:cstheme="majorHAnsi"/>
          <w:color w:val="000000"/>
        </w:rPr>
        <w:t>Principals</w:t>
      </w:r>
      <w:r w:rsidRPr="002B55ED">
        <w:rPr>
          <w:rFonts w:asciiTheme="majorHAnsi" w:hAnsiTheme="majorHAnsi" w:cstheme="majorHAnsi"/>
          <w:color w:val="000000"/>
        </w:rPr>
        <w:t xml:space="preserve"> and teachers </w:t>
      </w:r>
      <w:r w:rsidRPr="000D32D1">
        <w:rPr>
          <w:rFonts w:asciiTheme="majorHAnsi" w:hAnsiTheme="majorHAnsi" w:cstheme="majorHAnsi"/>
          <w:color w:val="000000" w:themeColor="text1"/>
        </w:rPr>
        <w:t>on the K-12 Curriculum Guides were very high, both for the Main and the Follow-Up Study (Table 1</w:t>
      </w:r>
      <w:r>
        <w:rPr>
          <w:rFonts w:asciiTheme="majorHAnsi" w:hAnsiTheme="majorHAnsi" w:cstheme="majorHAnsi"/>
          <w:color w:val="000000" w:themeColor="text1"/>
        </w:rPr>
        <w:t>9</w:t>
      </w:r>
      <w:r w:rsidRPr="000D32D1">
        <w:rPr>
          <w:rFonts w:asciiTheme="majorHAnsi" w:hAnsiTheme="majorHAnsi" w:cstheme="majorHAnsi"/>
          <w:color w:val="000000" w:themeColor="text1"/>
        </w:rPr>
        <w:t>).</w:t>
      </w:r>
      <w:r w:rsidR="00D434EB">
        <w:rPr>
          <w:rFonts w:asciiTheme="majorHAnsi" w:hAnsiTheme="majorHAnsi" w:cstheme="majorHAnsi"/>
          <w:color w:val="000000" w:themeColor="text1"/>
        </w:rPr>
        <w:t xml:space="preserve"> </w:t>
      </w:r>
      <w:r w:rsidRPr="000D32D1">
        <w:rPr>
          <w:rFonts w:asciiTheme="majorHAnsi" w:hAnsiTheme="majorHAnsi" w:cstheme="majorHAnsi"/>
          <w:color w:val="000000" w:themeColor="text1"/>
        </w:rPr>
        <w:t xml:space="preserve">Moreover, in the Follow-Up Study, 100 </w:t>
      </w:r>
      <w:r>
        <w:rPr>
          <w:rFonts w:asciiTheme="majorHAnsi" w:hAnsiTheme="majorHAnsi" w:cstheme="majorHAnsi"/>
          <w:color w:val="000000" w:themeColor="text1"/>
        </w:rPr>
        <w:t>per cent</w:t>
      </w:r>
      <w:r w:rsidRPr="000D32D1">
        <w:rPr>
          <w:rFonts w:asciiTheme="majorHAnsi" w:hAnsiTheme="majorHAnsi" w:cstheme="majorHAnsi"/>
          <w:color w:val="000000" w:themeColor="text1"/>
        </w:rPr>
        <w:t xml:space="preserve"> of the schools stated that they use K-12 Curriculum </w:t>
      </w:r>
      <w:r w:rsidRPr="002B55ED">
        <w:rPr>
          <w:rFonts w:asciiTheme="majorHAnsi" w:hAnsiTheme="majorHAnsi" w:cstheme="majorHAnsi"/>
          <w:color w:val="000000"/>
        </w:rPr>
        <w:t xml:space="preserve">Guides </w:t>
      </w:r>
      <w:r>
        <w:rPr>
          <w:rFonts w:asciiTheme="majorHAnsi" w:hAnsiTheme="majorHAnsi" w:cstheme="majorHAnsi"/>
          <w:color w:val="000000"/>
        </w:rPr>
        <w:t>(2020 Survey of Teachers).</w:t>
      </w:r>
      <w:r w:rsidRPr="002B55ED">
        <w:rPr>
          <w:rFonts w:asciiTheme="majorHAnsi" w:hAnsiTheme="majorHAnsi" w:cstheme="majorHAnsi"/>
          <w:color w:val="000000"/>
        </w:rPr>
        <w:t xml:space="preserve"> </w:t>
      </w:r>
      <w:r>
        <w:rPr>
          <w:rFonts w:asciiTheme="majorHAnsi" w:hAnsiTheme="majorHAnsi" w:cstheme="majorHAnsi"/>
          <w:color w:val="000000"/>
        </w:rPr>
        <w:t>Also, a</w:t>
      </w:r>
      <w:r w:rsidRPr="002B55ED">
        <w:rPr>
          <w:rFonts w:asciiTheme="majorHAnsi" w:hAnsiTheme="majorHAnsi" w:cstheme="majorHAnsi"/>
          <w:color w:val="000000"/>
        </w:rPr>
        <w:t xml:space="preserve">bout 80 </w:t>
      </w:r>
      <w:r>
        <w:rPr>
          <w:rFonts w:asciiTheme="majorHAnsi" w:hAnsiTheme="majorHAnsi" w:cstheme="majorHAnsi"/>
          <w:color w:val="000000"/>
        </w:rPr>
        <w:t>per cent</w:t>
      </w:r>
      <w:r w:rsidRPr="002B55ED">
        <w:rPr>
          <w:rFonts w:asciiTheme="majorHAnsi" w:hAnsiTheme="majorHAnsi" w:cstheme="majorHAnsi"/>
          <w:color w:val="000000"/>
        </w:rPr>
        <w:t xml:space="preserve"> of them rated these materials as high to very high in terms of: Appropriateness as a teaching tool for teachers (82</w:t>
      </w:r>
      <w:r>
        <w:rPr>
          <w:rFonts w:asciiTheme="majorHAnsi" w:hAnsiTheme="majorHAnsi" w:cstheme="majorHAnsi"/>
          <w:color w:val="000000"/>
        </w:rPr>
        <w:t xml:space="preserve"> per cent</w:t>
      </w:r>
      <w:r w:rsidRPr="002B55ED">
        <w:rPr>
          <w:rFonts w:asciiTheme="majorHAnsi" w:hAnsiTheme="majorHAnsi" w:cstheme="majorHAnsi"/>
          <w:color w:val="000000"/>
        </w:rPr>
        <w:t>); Acceptability of the tool to teachers (79</w:t>
      </w:r>
      <w:r>
        <w:rPr>
          <w:rFonts w:asciiTheme="majorHAnsi" w:hAnsiTheme="majorHAnsi" w:cstheme="majorHAnsi"/>
          <w:color w:val="000000"/>
        </w:rPr>
        <w:t xml:space="preserve"> per cent</w:t>
      </w:r>
      <w:r w:rsidRPr="002B55ED">
        <w:rPr>
          <w:rFonts w:asciiTheme="majorHAnsi" w:hAnsiTheme="majorHAnsi" w:cstheme="majorHAnsi"/>
          <w:color w:val="000000"/>
        </w:rPr>
        <w:t>); and Usefulness of the tool to teachers (79</w:t>
      </w:r>
      <w:r>
        <w:rPr>
          <w:rFonts w:asciiTheme="majorHAnsi" w:hAnsiTheme="majorHAnsi" w:cstheme="majorHAnsi"/>
          <w:color w:val="000000"/>
        </w:rPr>
        <w:t xml:space="preserve"> per cent</w:t>
      </w:r>
      <w:r w:rsidRPr="002B55ED">
        <w:rPr>
          <w:rFonts w:asciiTheme="majorHAnsi" w:hAnsiTheme="majorHAnsi" w:cstheme="majorHAnsi"/>
          <w:color w:val="000000"/>
        </w:rPr>
        <w:t>).</w:t>
      </w:r>
    </w:p>
    <w:p w14:paraId="7CD323CE" w14:textId="77777777" w:rsidR="008D0CAD" w:rsidRDefault="008D0CAD" w:rsidP="007C1A2E">
      <w:pPr>
        <w:spacing w:before="100" w:beforeAutospacing="1" w:after="100" w:afterAutospacing="1" w:line="360" w:lineRule="auto"/>
        <w:ind w:right="8"/>
        <w:rPr>
          <w:rFonts w:asciiTheme="majorHAnsi" w:hAnsiTheme="majorHAnsi" w:cstheme="majorHAnsi"/>
          <w:color w:val="000000"/>
        </w:rPr>
      </w:pPr>
      <w:r>
        <w:rPr>
          <w:rFonts w:asciiTheme="majorHAnsi" w:hAnsiTheme="majorHAnsi" w:cstheme="majorHAnsi"/>
          <w:color w:val="000000"/>
        </w:rPr>
        <w:t xml:space="preserve">In contrast, KAU on the Multi-Grade teach-learn package were all low (less than a third of respondents) while KAU on the </w:t>
      </w:r>
      <w:r w:rsidRPr="002B55ED">
        <w:rPr>
          <w:rFonts w:asciiTheme="majorHAnsi" w:hAnsiTheme="majorHAnsi" w:cstheme="majorHAnsi"/>
          <w:color w:val="000000"/>
        </w:rPr>
        <w:t>Contextuali</w:t>
      </w:r>
      <w:r>
        <w:rPr>
          <w:rFonts w:asciiTheme="majorHAnsi" w:hAnsiTheme="majorHAnsi" w:cstheme="majorHAnsi"/>
          <w:color w:val="000000"/>
        </w:rPr>
        <w:t>s</w:t>
      </w:r>
      <w:r w:rsidRPr="002B55ED">
        <w:rPr>
          <w:rFonts w:asciiTheme="majorHAnsi" w:hAnsiTheme="majorHAnsi" w:cstheme="majorHAnsi"/>
          <w:color w:val="000000"/>
        </w:rPr>
        <w:t xml:space="preserve">ed curriculum resources </w:t>
      </w:r>
      <w:r>
        <w:rPr>
          <w:rFonts w:asciiTheme="majorHAnsi" w:hAnsiTheme="majorHAnsi" w:cstheme="majorHAnsi"/>
          <w:color w:val="000000"/>
        </w:rPr>
        <w:t>were moderate.</w:t>
      </w:r>
    </w:p>
    <w:p w14:paraId="4B118BB3" w14:textId="7B083AC6" w:rsidR="008D0CAD" w:rsidRPr="007F1AB8" w:rsidRDefault="008D0CAD" w:rsidP="00DD08E3">
      <w:pPr>
        <w:pStyle w:val="Heading5"/>
        <w:numPr>
          <w:ilvl w:val="3"/>
          <w:numId w:val="163"/>
        </w:numPr>
        <w:spacing w:before="100" w:beforeAutospacing="1" w:after="100" w:afterAutospacing="1" w:line="360" w:lineRule="auto"/>
      </w:pPr>
      <w:r>
        <w:t>Assessment</w:t>
      </w:r>
    </w:p>
    <w:p w14:paraId="7B292139" w14:textId="2EBFE85E" w:rsidR="008D0CAD" w:rsidRDefault="008D0CAD" w:rsidP="007C1A2E">
      <w:pPr>
        <w:spacing w:before="100" w:beforeAutospacing="1" w:after="100" w:afterAutospacing="1" w:line="360" w:lineRule="auto"/>
        <w:ind w:right="8"/>
        <w:rPr>
          <w:rFonts w:asciiTheme="majorHAnsi" w:hAnsiTheme="majorHAnsi" w:cstheme="majorHAnsi"/>
        </w:rPr>
      </w:pPr>
      <w:r>
        <w:rPr>
          <w:rFonts w:asciiTheme="majorHAnsi" w:hAnsiTheme="majorHAnsi" w:cstheme="majorHAnsi"/>
          <w:color w:val="000000"/>
        </w:rPr>
        <w:t>S</w:t>
      </w:r>
      <w:r w:rsidRPr="00BE64D3">
        <w:rPr>
          <w:rFonts w:asciiTheme="majorHAnsi" w:hAnsiTheme="majorHAnsi" w:cstheme="majorHAnsi"/>
          <w:color w:val="000000"/>
        </w:rPr>
        <w:t xml:space="preserve">upport </w:t>
      </w:r>
      <w:r>
        <w:rPr>
          <w:rFonts w:asciiTheme="majorHAnsi" w:hAnsiTheme="majorHAnsi" w:cstheme="majorHAnsi"/>
          <w:color w:val="000000"/>
        </w:rPr>
        <w:t>for</w:t>
      </w:r>
      <w:r w:rsidRPr="00BE64D3">
        <w:rPr>
          <w:rFonts w:asciiTheme="majorHAnsi" w:hAnsiTheme="majorHAnsi" w:cstheme="majorHAnsi"/>
          <w:color w:val="000000"/>
        </w:rPr>
        <w:t xml:space="preserve"> the </w:t>
      </w:r>
      <w:r>
        <w:rPr>
          <w:rFonts w:asciiTheme="majorHAnsi" w:hAnsiTheme="majorHAnsi" w:cstheme="majorHAnsi"/>
          <w:color w:val="000000"/>
        </w:rPr>
        <w:t>enhancement</w:t>
      </w:r>
      <w:r w:rsidRPr="00BE64D3">
        <w:rPr>
          <w:rFonts w:asciiTheme="majorHAnsi" w:hAnsiTheme="majorHAnsi" w:cstheme="majorHAnsi"/>
          <w:color w:val="000000"/>
        </w:rPr>
        <w:t xml:space="preserve"> </w:t>
      </w:r>
      <w:r>
        <w:rPr>
          <w:rFonts w:asciiTheme="majorHAnsi" w:hAnsiTheme="majorHAnsi" w:cstheme="majorHAnsi"/>
          <w:color w:val="000000"/>
        </w:rPr>
        <w:t xml:space="preserve">of </w:t>
      </w:r>
      <w:r w:rsidRPr="00BE64D3">
        <w:rPr>
          <w:rFonts w:asciiTheme="majorHAnsi" w:hAnsiTheme="majorHAnsi" w:cstheme="majorHAnsi"/>
          <w:color w:val="000000"/>
        </w:rPr>
        <w:t xml:space="preserve">assessment </w:t>
      </w:r>
      <w:r w:rsidRPr="00F90371">
        <w:rPr>
          <w:rFonts w:asciiTheme="majorHAnsi" w:hAnsiTheme="majorHAnsi" w:cstheme="majorHAnsi"/>
          <w:color w:val="000000" w:themeColor="text1"/>
        </w:rPr>
        <w:t>systems in support the K-12 curriculum was one of the key interventions of the BEST Program (Box 2).</w:t>
      </w:r>
      <w:r w:rsidR="00D434EB">
        <w:rPr>
          <w:rFonts w:asciiTheme="majorHAnsi" w:hAnsiTheme="majorHAnsi" w:cstheme="majorHAnsi"/>
          <w:color w:val="000000" w:themeColor="text1"/>
        </w:rPr>
        <w:t xml:space="preserve"> </w:t>
      </w:r>
      <w:r w:rsidRPr="00F90371">
        <w:rPr>
          <w:rFonts w:asciiTheme="majorHAnsi" w:hAnsiTheme="majorHAnsi" w:cstheme="majorHAnsi"/>
          <w:color w:val="000000" w:themeColor="text1"/>
        </w:rPr>
        <w:t xml:space="preserve"> </w:t>
      </w:r>
      <w:r>
        <w:rPr>
          <w:rFonts w:asciiTheme="majorHAnsi" w:hAnsiTheme="majorHAnsi" w:cstheme="majorHAnsi"/>
          <w:color w:val="000000"/>
        </w:rPr>
        <w:t>I</w:t>
      </w:r>
      <w:r w:rsidRPr="00CA0734">
        <w:rPr>
          <w:rFonts w:asciiTheme="majorHAnsi" w:hAnsiTheme="majorHAnsi" w:cstheme="majorHAnsi"/>
          <w:color w:val="000000"/>
        </w:rPr>
        <w:t xml:space="preserve">nterventions were largely provided at the Central Office </w:t>
      </w:r>
      <w:r>
        <w:rPr>
          <w:rFonts w:asciiTheme="majorHAnsi" w:hAnsiTheme="majorHAnsi" w:cstheme="majorHAnsi"/>
          <w:color w:val="000000"/>
        </w:rPr>
        <w:t>since it covered all schools</w:t>
      </w:r>
      <w:r w:rsidRPr="00CA0734">
        <w:rPr>
          <w:rFonts w:asciiTheme="majorHAnsi" w:hAnsiTheme="majorHAnsi" w:cstheme="majorHAnsi"/>
          <w:color w:val="000000"/>
        </w:rPr>
        <w:t>.</w:t>
      </w:r>
      <w:r w:rsidR="00D434EB">
        <w:rPr>
          <w:rFonts w:asciiTheme="majorHAnsi" w:hAnsiTheme="majorHAnsi" w:cstheme="majorHAnsi"/>
          <w:color w:val="000000"/>
        </w:rPr>
        <w:t xml:space="preserve"> </w:t>
      </w:r>
      <w:r>
        <w:rPr>
          <w:rFonts w:asciiTheme="majorHAnsi" w:hAnsiTheme="majorHAnsi" w:cstheme="majorHAnsi"/>
        </w:rPr>
        <w:t>Interventions included building the</w:t>
      </w:r>
      <w:r w:rsidRPr="00767FBD">
        <w:rPr>
          <w:rFonts w:asciiTheme="majorHAnsi" w:hAnsiTheme="majorHAnsi" w:cstheme="majorHAnsi"/>
        </w:rPr>
        <w:t xml:space="preserve"> capacity </w:t>
      </w:r>
      <w:r>
        <w:rPr>
          <w:rFonts w:asciiTheme="majorHAnsi" w:hAnsiTheme="majorHAnsi" w:cstheme="majorHAnsi"/>
        </w:rPr>
        <w:t>of staff in DepEd’s</w:t>
      </w:r>
      <w:r w:rsidRPr="00767FBD">
        <w:rPr>
          <w:rFonts w:asciiTheme="majorHAnsi" w:hAnsiTheme="majorHAnsi" w:cstheme="majorHAnsi"/>
        </w:rPr>
        <w:t xml:space="preserve"> Bureau of Educational Assessment </w:t>
      </w:r>
      <w:r>
        <w:rPr>
          <w:rFonts w:asciiTheme="majorHAnsi" w:hAnsiTheme="majorHAnsi" w:cstheme="majorHAnsi"/>
        </w:rPr>
        <w:t>in development of</w:t>
      </w:r>
      <w:r w:rsidRPr="00767FBD">
        <w:rPr>
          <w:rFonts w:asciiTheme="majorHAnsi" w:hAnsiTheme="majorHAnsi" w:cstheme="majorHAnsi"/>
        </w:rPr>
        <w:t xml:space="preserve"> test items </w:t>
      </w:r>
      <w:r>
        <w:rPr>
          <w:rFonts w:asciiTheme="majorHAnsi" w:hAnsiTheme="majorHAnsi" w:cstheme="majorHAnsi"/>
        </w:rPr>
        <w:t>aligned with</w:t>
      </w:r>
      <w:r w:rsidRPr="00767FBD">
        <w:rPr>
          <w:rFonts w:asciiTheme="majorHAnsi" w:hAnsiTheme="majorHAnsi" w:cstheme="majorHAnsi"/>
        </w:rPr>
        <w:t xml:space="preserve"> the 21st century skills indicators.</w:t>
      </w:r>
      <w:r w:rsidR="00D434EB">
        <w:rPr>
          <w:rFonts w:asciiTheme="majorHAnsi" w:hAnsiTheme="majorHAnsi" w:cstheme="majorHAnsi"/>
        </w:rPr>
        <w:t xml:space="preserve"> </w:t>
      </w:r>
      <w:r w:rsidRPr="00767FBD">
        <w:rPr>
          <w:rFonts w:asciiTheme="majorHAnsi" w:hAnsiTheme="majorHAnsi" w:cstheme="majorHAnsi"/>
        </w:rPr>
        <w:t xml:space="preserve"> </w:t>
      </w:r>
    </w:p>
    <w:p w14:paraId="73EC87AF" w14:textId="6D8A80AB" w:rsidR="008D0CAD" w:rsidRDefault="008D0CAD" w:rsidP="007C1A2E">
      <w:pPr>
        <w:spacing w:before="100" w:beforeAutospacing="1" w:after="100" w:afterAutospacing="1" w:line="360" w:lineRule="auto"/>
        <w:ind w:right="8"/>
        <w:rPr>
          <w:rFonts w:asciiTheme="majorHAnsi" w:hAnsiTheme="majorHAnsi" w:cstheme="majorHAnsi"/>
          <w:color w:val="000000"/>
        </w:rPr>
      </w:pPr>
      <w:r>
        <w:rPr>
          <w:rFonts w:asciiTheme="majorHAnsi" w:hAnsiTheme="majorHAnsi" w:cstheme="majorHAnsi"/>
          <w:color w:val="000000"/>
        </w:rPr>
        <w:t xml:space="preserve">A </w:t>
      </w:r>
      <w:r w:rsidRPr="00BE64D3">
        <w:rPr>
          <w:rFonts w:asciiTheme="majorHAnsi" w:hAnsiTheme="majorHAnsi" w:cstheme="majorHAnsi"/>
          <w:color w:val="000000"/>
        </w:rPr>
        <w:t>National Assessment Framework</w:t>
      </w:r>
      <w:r>
        <w:rPr>
          <w:rFonts w:asciiTheme="majorHAnsi" w:hAnsiTheme="majorHAnsi" w:cstheme="majorHAnsi"/>
          <w:color w:val="000000"/>
        </w:rPr>
        <w:t xml:space="preserve"> was formulated and eventually promulgated, which included </w:t>
      </w:r>
      <w:r w:rsidRPr="00BE64D3">
        <w:rPr>
          <w:rFonts w:asciiTheme="majorHAnsi" w:hAnsiTheme="majorHAnsi" w:cstheme="majorHAnsi"/>
          <w:color w:val="000000"/>
        </w:rPr>
        <w:t>the provision of technical assistance in the development of the Classroom Assessment Resource Book (CARB)</w:t>
      </w:r>
      <w:r>
        <w:rPr>
          <w:rFonts w:asciiTheme="majorHAnsi" w:hAnsiTheme="majorHAnsi" w:cstheme="majorHAnsi"/>
          <w:color w:val="000000"/>
        </w:rPr>
        <w:t xml:space="preserve"> and other assessment tools (Box 3)</w:t>
      </w:r>
      <w:r w:rsidRPr="00BE64D3">
        <w:rPr>
          <w:rFonts w:asciiTheme="majorHAnsi" w:hAnsiTheme="majorHAnsi" w:cstheme="majorHAnsi"/>
          <w:color w:val="000000"/>
        </w:rPr>
        <w:t xml:space="preserve">. </w:t>
      </w:r>
      <w:r>
        <w:rPr>
          <w:rFonts w:asciiTheme="majorHAnsi" w:hAnsiTheme="majorHAnsi" w:cstheme="majorHAnsi"/>
          <w:color w:val="000000"/>
        </w:rPr>
        <w:t>T</w:t>
      </w:r>
      <w:r w:rsidRPr="00BE64D3">
        <w:rPr>
          <w:rFonts w:asciiTheme="majorHAnsi" w:hAnsiTheme="majorHAnsi" w:cstheme="majorHAnsi"/>
          <w:color w:val="000000"/>
        </w:rPr>
        <w:t xml:space="preserve">he Assessment, Curriculum, Technology Research Centre (ACTRC), </w:t>
      </w:r>
      <w:r>
        <w:rPr>
          <w:rFonts w:asciiTheme="majorHAnsi" w:hAnsiTheme="majorHAnsi" w:cstheme="majorHAnsi"/>
          <w:color w:val="000000"/>
        </w:rPr>
        <w:t>a</w:t>
      </w:r>
      <w:r w:rsidRPr="00BE64D3">
        <w:rPr>
          <w:rFonts w:asciiTheme="majorHAnsi" w:hAnsiTheme="majorHAnsi" w:cstheme="majorHAnsi"/>
          <w:color w:val="000000"/>
        </w:rPr>
        <w:t xml:space="preserve"> BEST implementing partner, </w:t>
      </w:r>
      <w:r>
        <w:rPr>
          <w:rFonts w:asciiTheme="majorHAnsi" w:hAnsiTheme="majorHAnsi" w:cstheme="majorHAnsi"/>
          <w:color w:val="000000"/>
        </w:rPr>
        <w:t xml:space="preserve">conducted research to underpin </w:t>
      </w:r>
      <w:r w:rsidRPr="00BE64D3">
        <w:rPr>
          <w:rFonts w:asciiTheme="majorHAnsi" w:hAnsiTheme="majorHAnsi" w:cstheme="majorHAnsi"/>
          <w:color w:val="000000"/>
        </w:rPr>
        <w:t xml:space="preserve">the development of </w:t>
      </w:r>
      <w:r>
        <w:rPr>
          <w:rFonts w:asciiTheme="majorHAnsi" w:hAnsiTheme="majorHAnsi" w:cstheme="majorHAnsi"/>
          <w:color w:val="000000"/>
        </w:rPr>
        <w:t xml:space="preserve">the new </w:t>
      </w:r>
      <w:r w:rsidRPr="00BE64D3">
        <w:rPr>
          <w:rFonts w:asciiTheme="majorHAnsi" w:hAnsiTheme="majorHAnsi" w:cstheme="majorHAnsi"/>
          <w:color w:val="000000"/>
        </w:rPr>
        <w:t>assessment tools.</w:t>
      </w:r>
      <w:r w:rsidR="00D434EB">
        <w:rPr>
          <w:rFonts w:asciiTheme="majorHAnsi" w:hAnsiTheme="majorHAnsi" w:cstheme="majorHAnsi"/>
          <w:color w:val="000000"/>
        </w:rPr>
        <w:t xml:space="preserve"> </w:t>
      </w:r>
      <w:r w:rsidRPr="00BE64D3">
        <w:rPr>
          <w:rFonts w:asciiTheme="majorHAnsi" w:hAnsiTheme="majorHAnsi" w:cstheme="majorHAnsi"/>
          <w:color w:val="000000"/>
        </w:rPr>
        <w:t xml:space="preserve">ACTRC also provided </w:t>
      </w:r>
      <w:r>
        <w:rPr>
          <w:rFonts w:asciiTheme="majorHAnsi" w:hAnsiTheme="majorHAnsi" w:cstheme="majorHAnsi"/>
          <w:color w:val="000000"/>
        </w:rPr>
        <w:t>DepEd</w:t>
      </w:r>
      <w:r w:rsidRPr="00BE64D3">
        <w:rPr>
          <w:rFonts w:asciiTheme="majorHAnsi" w:hAnsiTheme="majorHAnsi" w:cstheme="majorHAnsi"/>
          <w:color w:val="000000"/>
        </w:rPr>
        <w:t xml:space="preserve"> with technical advice </w:t>
      </w:r>
      <w:r>
        <w:rPr>
          <w:rFonts w:asciiTheme="majorHAnsi" w:hAnsiTheme="majorHAnsi" w:cstheme="majorHAnsi"/>
          <w:color w:val="000000"/>
        </w:rPr>
        <w:t>to guide its pursuit of</w:t>
      </w:r>
      <w:r w:rsidRPr="00BE64D3">
        <w:rPr>
          <w:rFonts w:asciiTheme="majorHAnsi" w:hAnsiTheme="majorHAnsi" w:cstheme="majorHAnsi"/>
          <w:color w:val="000000"/>
        </w:rPr>
        <w:t xml:space="preserve"> the Philippines' participation in International Large-Scale Assessments</w:t>
      </w:r>
      <w:r>
        <w:rPr>
          <w:rFonts w:asciiTheme="majorHAnsi" w:hAnsiTheme="majorHAnsi" w:cstheme="majorHAnsi"/>
          <w:color w:val="000000"/>
        </w:rPr>
        <w:t xml:space="preserve"> (ILSA) such as the Program for International Student Assessment (PISA)</w:t>
      </w:r>
      <w:r w:rsidRPr="00BE64D3">
        <w:rPr>
          <w:rFonts w:asciiTheme="majorHAnsi" w:hAnsiTheme="majorHAnsi" w:cstheme="majorHAnsi"/>
          <w:color w:val="000000"/>
        </w:rPr>
        <w:t>.</w:t>
      </w:r>
    </w:p>
    <w:tbl>
      <w:tblPr>
        <w:tblStyle w:val="TableGrid"/>
        <w:tblW w:w="0" w:type="auto"/>
        <w:tblLook w:val="04A0" w:firstRow="1" w:lastRow="0" w:firstColumn="1" w:lastColumn="0" w:noHBand="0" w:noVBand="1"/>
      </w:tblPr>
      <w:tblGrid>
        <w:gridCol w:w="9010"/>
      </w:tblGrid>
      <w:tr w:rsidR="00793E4C" w14:paraId="09C934E9" w14:textId="77777777" w:rsidTr="00793E4C">
        <w:tc>
          <w:tcPr>
            <w:tcW w:w="9010" w:type="dxa"/>
          </w:tcPr>
          <w:p w14:paraId="541E27B4" w14:textId="77777777" w:rsidR="00793E4C" w:rsidRPr="00793E4C" w:rsidRDefault="00793E4C" w:rsidP="007C1A2E">
            <w:pPr>
              <w:spacing w:before="100" w:beforeAutospacing="1" w:after="100" w:afterAutospacing="1" w:line="360" w:lineRule="auto"/>
              <w:ind w:right="8"/>
              <w:rPr>
                <w:rFonts w:asciiTheme="majorHAnsi" w:hAnsiTheme="majorHAnsi" w:cstheme="majorHAnsi"/>
                <w:b/>
                <w:bCs/>
                <w:color w:val="000000"/>
              </w:rPr>
            </w:pPr>
            <w:r w:rsidRPr="00793E4C">
              <w:rPr>
                <w:rFonts w:asciiTheme="majorHAnsi" w:hAnsiTheme="majorHAnsi" w:cstheme="majorHAnsi"/>
                <w:b/>
                <w:bCs/>
                <w:color w:val="000000"/>
              </w:rPr>
              <w:t>Box 2. K-12 Curriculum</w:t>
            </w:r>
          </w:p>
          <w:p w14:paraId="23E60A38" w14:textId="77777777" w:rsidR="00793E4C" w:rsidRDefault="00793E4C" w:rsidP="007C1A2E">
            <w:pPr>
              <w:spacing w:before="100" w:beforeAutospacing="1" w:after="100" w:afterAutospacing="1" w:line="360" w:lineRule="auto"/>
              <w:ind w:right="8"/>
              <w:rPr>
                <w:rFonts w:asciiTheme="majorHAnsi" w:hAnsiTheme="majorHAnsi" w:cstheme="majorHAnsi"/>
                <w:i/>
                <w:iCs/>
                <w:color w:val="000000"/>
              </w:rPr>
            </w:pPr>
            <w:r>
              <w:rPr>
                <w:rFonts w:asciiTheme="majorHAnsi" w:hAnsiTheme="majorHAnsi" w:cstheme="majorHAnsi"/>
                <w:i/>
                <w:iCs/>
                <w:color w:val="000000"/>
              </w:rPr>
              <w:t>“Before the K-12 [assessment was] more paper and pen. With K-12, the learners were graded with performance tasks… In the Division, we have an initiative called Learning Classroom Learning Children (LCLC). We monitor outputs of learners as assigned by the teachers.</w:t>
            </w:r>
          </w:p>
          <w:p w14:paraId="4B22DA6A" w14:textId="77777777" w:rsidR="00793E4C" w:rsidRDefault="00793E4C" w:rsidP="007C1A2E">
            <w:pPr>
              <w:spacing w:before="100" w:beforeAutospacing="1" w:after="100" w:afterAutospacing="1" w:line="360" w:lineRule="auto"/>
              <w:ind w:right="8"/>
              <w:rPr>
                <w:rFonts w:asciiTheme="majorHAnsi" w:hAnsiTheme="majorHAnsi" w:cstheme="majorHAnsi"/>
                <w:i/>
                <w:iCs/>
                <w:color w:val="000000"/>
              </w:rPr>
            </w:pPr>
            <w:r>
              <w:rPr>
                <w:rFonts w:asciiTheme="majorHAnsi" w:hAnsiTheme="majorHAnsi" w:cstheme="majorHAnsi"/>
                <w:i/>
                <w:iCs/>
                <w:color w:val="000000"/>
              </w:rPr>
              <w:t>As a result of LCLC, children became more inspired. The learners can explain the lessons better, both in terms of content and performance. Students are now aware of how they are graded.</w:t>
            </w:r>
          </w:p>
          <w:p w14:paraId="1321E6B5" w14:textId="77777777" w:rsidR="00793E4C" w:rsidRDefault="00793E4C" w:rsidP="007C1A2E">
            <w:pPr>
              <w:spacing w:before="100" w:beforeAutospacing="1" w:after="100" w:afterAutospacing="1" w:line="360" w:lineRule="auto"/>
              <w:ind w:right="8"/>
              <w:rPr>
                <w:rFonts w:asciiTheme="majorHAnsi" w:hAnsiTheme="majorHAnsi" w:cstheme="majorHAnsi"/>
                <w:i/>
                <w:iCs/>
                <w:color w:val="000000"/>
              </w:rPr>
            </w:pPr>
            <w:r>
              <w:rPr>
                <w:rFonts w:asciiTheme="majorHAnsi" w:hAnsiTheme="majorHAnsi" w:cstheme="majorHAnsi"/>
                <w:i/>
                <w:iCs/>
                <w:color w:val="000000"/>
              </w:rPr>
              <w:t xml:space="preserve">Repetition rate was reduced from 5% to 1% after assessments like performance-based assessment/ portfolio assessment have been conducted. Teachers are now aware of other forms of assessment other than paper and pencil. </w:t>
            </w:r>
          </w:p>
          <w:p w14:paraId="169C6B33" w14:textId="77777777" w:rsidR="00793E4C" w:rsidRPr="00793E4C" w:rsidRDefault="00793E4C" w:rsidP="00DD08E3">
            <w:pPr>
              <w:pStyle w:val="ListParagraph"/>
              <w:numPr>
                <w:ilvl w:val="0"/>
                <w:numId w:val="158"/>
              </w:numPr>
              <w:spacing w:before="100" w:beforeAutospacing="1" w:after="100" w:afterAutospacing="1" w:line="360" w:lineRule="auto"/>
              <w:ind w:right="8"/>
              <w:rPr>
                <w:rFonts w:asciiTheme="majorHAnsi" w:hAnsiTheme="majorHAnsi" w:cstheme="majorHAnsi"/>
                <w:i/>
                <w:iCs/>
                <w:color w:val="000000"/>
              </w:rPr>
            </w:pPr>
            <w:r w:rsidRPr="00793E4C">
              <w:rPr>
                <w:rFonts w:asciiTheme="majorHAnsi" w:hAnsiTheme="majorHAnsi" w:cstheme="majorHAnsi"/>
                <w:i/>
                <w:iCs/>
                <w:color w:val="000000"/>
              </w:rPr>
              <w:t>DO responded in an FGD</w:t>
            </w:r>
          </w:p>
        </w:tc>
      </w:tr>
    </w:tbl>
    <w:p w14:paraId="1177E4B9" w14:textId="7CDE7D5C" w:rsidR="00793E4C" w:rsidRDefault="008D0CAD" w:rsidP="007C1A2E">
      <w:pPr>
        <w:spacing w:before="100" w:beforeAutospacing="1" w:after="100" w:afterAutospacing="1" w:line="360" w:lineRule="auto"/>
        <w:ind w:right="8"/>
        <w:rPr>
          <w:rFonts w:asciiTheme="majorHAnsi" w:hAnsiTheme="majorHAnsi" w:cstheme="majorHAnsi"/>
          <w:color w:val="000000" w:themeColor="text1"/>
        </w:rPr>
      </w:pPr>
      <w:r w:rsidRPr="007F1AB8">
        <w:rPr>
          <w:rFonts w:asciiTheme="majorHAnsi" w:hAnsiTheme="majorHAnsi" w:cstheme="majorHAnsi"/>
          <w:color w:val="000000" w:themeColor="text1"/>
        </w:rPr>
        <w:t xml:space="preserve">Familiarity with </w:t>
      </w:r>
      <w:r>
        <w:rPr>
          <w:rFonts w:asciiTheme="majorHAnsi" w:hAnsiTheme="majorHAnsi" w:cstheme="majorHAnsi"/>
          <w:color w:val="000000" w:themeColor="text1"/>
        </w:rPr>
        <w:t xml:space="preserve">the three </w:t>
      </w:r>
      <w:r w:rsidRPr="007F1AB8">
        <w:rPr>
          <w:rFonts w:asciiTheme="majorHAnsi" w:hAnsiTheme="majorHAnsi" w:cstheme="majorHAnsi"/>
          <w:color w:val="000000" w:themeColor="text1"/>
        </w:rPr>
        <w:t>assessment-related policies at the school-level w</w:t>
      </w:r>
      <w:r>
        <w:rPr>
          <w:rFonts w:asciiTheme="majorHAnsi" w:hAnsiTheme="majorHAnsi" w:cstheme="majorHAnsi"/>
          <w:color w:val="000000" w:themeColor="text1"/>
        </w:rPr>
        <w:t>as</w:t>
      </w:r>
      <w:r w:rsidRPr="007F1AB8">
        <w:rPr>
          <w:rFonts w:asciiTheme="majorHAnsi" w:hAnsiTheme="majorHAnsi" w:cstheme="majorHAnsi"/>
          <w:color w:val="000000" w:themeColor="text1"/>
        </w:rPr>
        <w:t xml:space="preserve"> </w:t>
      </w:r>
      <w:r>
        <w:rPr>
          <w:rFonts w:asciiTheme="majorHAnsi" w:hAnsiTheme="majorHAnsi" w:cstheme="majorHAnsi"/>
          <w:color w:val="000000" w:themeColor="text1"/>
        </w:rPr>
        <w:t>generally very high</w:t>
      </w:r>
      <w:r w:rsidRPr="007F1AB8">
        <w:rPr>
          <w:rFonts w:asciiTheme="majorHAnsi" w:hAnsiTheme="majorHAnsi" w:cstheme="majorHAnsi"/>
          <w:color w:val="000000" w:themeColor="text1"/>
        </w:rPr>
        <w:t>.</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More than 70 per cent of principals and </w:t>
      </w:r>
      <w:r w:rsidRPr="000D32D1">
        <w:rPr>
          <w:rFonts w:asciiTheme="majorHAnsi" w:hAnsiTheme="majorHAnsi" w:cstheme="majorHAnsi"/>
          <w:color w:val="000000" w:themeColor="text1"/>
        </w:rPr>
        <w:t>teachers h</w:t>
      </w:r>
      <w:r>
        <w:rPr>
          <w:rFonts w:asciiTheme="majorHAnsi" w:hAnsiTheme="majorHAnsi" w:cstheme="majorHAnsi"/>
          <w:color w:val="000000" w:themeColor="text1"/>
        </w:rPr>
        <w:t>ad</w:t>
      </w:r>
      <w:r w:rsidRPr="000D32D1">
        <w:rPr>
          <w:rFonts w:asciiTheme="majorHAnsi" w:hAnsiTheme="majorHAnsi" w:cstheme="majorHAnsi"/>
          <w:color w:val="000000" w:themeColor="text1"/>
        </w:rPr>
        <w:t xml:space="preserve"> high familiarity </w:t>
      </w:r>
      <w:r>
        <w:rPr>
          <w:rFonts w:asciiTheme="majorHAnsi" w:hAnsiTheme="majorHAnsi" w:cstheme="majorHAnsi"/>
          <w:color w:val="000000" w:themeColor="text1"/>
        </w:rPr>
        <w:t xml:space="preserve">with </w:t>
      </w:r>
      <w:r w:rsidRPr="000D32D1">
        <w:rPr>
          <w:rFonts w:asciiTheme="majorHAnsi" w:hAnsiTheme="majorHAnsi" w:cstheme="majorHAnsi"/>
          <w:color w:val="000000" w:themeColor="text1"/>
        </w:rPr>
        <w:t xml:space="preserve">and </w:t>
      </w:r>
      <w:r>
        <w:rPr>
          <w:rFonts w:asciiTheme="majorHAnsi" w:hAnsiTheme="majorHAnsi" w:cstheme="majorHAnsi"/>
          <w:color w:val="000000" w:themeColor="text1"/>
        </w:rPr>
        <w:t xml:space="preserve">perceived utility of </w:t>
      </w:r>
      <w:r w:rsidRPr="000D32D1">
        <w:rPr>
          <w:rFonts w:asciiTheme="majorHAnsi" w:hAnsiTheme="majorHAnsi" w:cstheme="majorHAnsi"/>
          <w:color w:val="000000" w:themeColor="text1"/>
        </w:rPr>
        <w:t xml:space="preserve">DO 8-2015 on the Classroom Assessment (Table </w:t>
      </w:r>
      <w:r>
        <w:rPr>
          <w:rFonts w:asciiTheme="majorHAnsi" w:hAnsiTheme="majorHAnsi" w:cstheme="majorHAnsi"/>
          <w:color w:val="000000" w:themeColor="text1"/>
        </w:rPr>
        <w:t>20</w:t>
      </w:r>
      <w:r w:rsidRPr="000D32D1">
        <w:rPr>
          <w:rFonts w:asciiTheme="majorHAnsi" w:hAnsiTheme="majorHAnsi" w:cstheme="majorHAnsi"/>
          <w:color w:val="000000" w:themeColor="text1"/>
        </w:rPr>
        <w:t>).</w:t>
      </w:r>
      <w:r w:rsidR="00D434EB">
        <w:rPr>
          <w:rFonts w:asciiTheme="majorHAnsi" w:hAnsiTheme="majorHAnsi" w:cstheme="majorHAnsi"/>
          <w:color w:val="000000" w:themeColor="text1"/>
        </w:rPr>
        <w:t xml:space="preserve"> </w:t>
      </w:r>
      <w:r w:rsidRPr="000D32D1">
        <w:rPr>
          <w:rFonts w:asciiTheme="majorHAnsi" w:hAnsiTheme="majorHAnsi" w:cstheme="majorHAnsi"/>
          <w:color w:val="000000" w:themeColor="text1"/>
        </w:rPr>
        <w:t xml:space="preserve">An interesting trend that appeared from the results was that the extent of knowledge of teachers </w:t>
      </w:r>
      <w:r>
        <w:rPr>
          <w:rFonts w:asciiTheme="majorHAnsi" w:hAnsiTheme="majorHAnsi" w:cstheme="majorHAnsi"/>
          <w:color w:val="000000" w:themeColor="text1"/>
        </w:rPr>
        <w:t>and their perception of usefulness on the three policies increased from the Main Study to the Follow-Up.</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This might point to the fact that it takes time for information to reach teachers.</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 </w:t>
      </w:r>
    </w:p>
    <w:p w14:paraId="3F8E50F1" w14:textId="7E7C1DDE" w:rsidR="008D0CAD" w:rsidRPr="004A657A" w:rsidRDefault="008D0CAD" w:rsidP="007C1A2E">
      <w:pPr>
        <w:spacing w:before="100" w:beforeAutospacing="1" w:after="100" w:afterAutospacing="1" w:line="360" w:lineRule="auto"/>
        <w:rPr>
          <w:rFonts w:asciiTheme="majorHAnsi" w:hAnsiTheme="majorHAnsi" w:cstheme="majorHAnsi"/>
          <w:i/>
          <w:iCs/>
          <w:color w:val="44546A" w:themeColor="text2"/>
          <w:sz w:val="22"/>
          <w:szCs w:val="22"/>
        </w:rPr>
      </w:pPr>
      <w:bookmarkStart w:id="119" w:name="_Toc71616611"/>
      <w:r w:rsidRPr="004A657A">
        <w:rPr>
          <w:rFonts w:asciiTheme="majorHAnsi" w:hAnsiTheme="majorHAnsi" w:cstheme="majorHAnsi"/>
          <w:i/>
          <w:iCs/>
          <w:color w:val="44546A" w:themeColor="text2"/>
          <w:sz w:val="22"/>
          <w:szCs w:val="22"/>
        </w:rPr>
        <w:t xml:space="preserve">Table </w:t>
      </w:r>
      <w:r w:rsidRPr="004A657A">
        <w:rPr>
          <w:rFonts w:asciiTheme="majorHAnsi" w:hAnsiTheme="majorHAnsi" w:cstheme="majorHAnsi"/>
          <w:i/>
          <w:iCs/>
          <w:color w:val="44546A" w:themeColor="text2"/>
          <w:sz w:val="22"/>
          <w:szCs w:val="22"/>
        </w:rPr>
        <w:fldChar w:fldCharType="begin"/>
      </w:r>
      <w:r w:rsidRPr="004A657A">
        <w:rPr>
          <w:rFonts w:asciiTheme="majorHAnsi" w:hAnsiTheme="majorHAnsi" w:cstheme="majorHAnsi"/>
          <w:i/>
          <w:iCs/>
          <w:color w:val="44546A" w:themeColor="text2"/>
          <w:sz w:val="22"/>
          <w:szCs w:val="22"/>
        </w:rPr>
        <w:instrText xml:space="preserve"> SEQ Table \* ARABIC </w:instrText>
      </w:r>
      <w:r w:rsidRPr="004A657A">
        <w:rPr>
          <w:rFonts w:asciiTheme="majorHAnsi" w:hAnsiTheme="majorHAnsi" w:cstheme="majorHAnsi"/>
          <w:i/>
          <w:iCs/>
          <w:color w:val="44546A" w:themeColor="text2"/>
          <w:sz w:val="22"/>
          <w:szCs w:val="22"/>
        </w:rPr>
        <w:fldChar w:fldCharType="separate"/>
      </w:r>
      <w:r w:rsidR="00D6133D">
        <w:rPr>
          <w:rFonts w:asciiTheme="majorHAnsi" w:hAnsiTheme="majorHAnsi" w:cstheme="majorHAnsi"/>
          <w:i/>
          <w:iCs/>
          <w:noProof/>
          <w:color w:val="44546A" w:themeColor="text2"/>
          <w:sz w:val="22"/>
          <w:szCs w:val="22"/>
        </w:rPr>
        <w:t>20</w:t>
      </w:r>
      <w:r w:rsidRPr="004A657A">
        <w:rPr>
          <w:rFonts w:asciiTheme="majorHAnsi" w:hAnsiTheme="majorHAnsi" w:cstheme="majorHAnsi"/>
          <w:i/>
          <w:iCs/>
          <w:color w:val="44546A" w:themeColor="text2"/>
          <w:sz w:val="22"/>
          <w:szCs w:val="22"/>
        </w:rPr>
        <w:fldChar w:fldCharType="end"/>
      </w:r>
      <w:r w:rsidRPr="004A657A">
        <w:rPr>
          <w:rFonts w:asciiTheme="majorHAnsi" w:hAnsiTheme="majorHAnsi" w:cstheme="majorHAnsi"/>
          <w:i/>
          <w:iCs/>
          <w:color w:val="44546A" w:themeColor="text2"/>
          <w:sz w:val="22"/>
          <w:szCs w:val="22"/>
        </w:rPr>
        <w:t>.</w:t>
      </w:r>
      <w:r w:rsidR="00D434EB">
        <w:rPr>
          <w:rFonts w:asciiTheme="majorHAnsi" w:hAnsiTheme="majorHAnsi" w:cstheme="majorHAnsi"/>
          <w:bCs/>
          <w:i/>
          <w:iCs/>
          <w:color w:val="44546A" w:themeColor="text2"/>
          <w:sz w:val="22"/>
          <w:szCs w:val="22"/>
        </w:rPr>
        <w:t xml:space="preserve"> </w:t>
      </w:r>
      <w:r w:rsidRPr="004A657A">
        <w:rPr>
          <w:rFonts w:asciiTheme="majorHAnsi" w:hAnsiTheme="majorHAnsi" w:cstheme="majorHAnsi"/>
          <w:bCs/>
          <w:i/>
          <w:iCs/>
          <w:color w:val="44546A" w:themeColor="text2"/>
          <w:sz w:val="22"/>
          <w:szCs w:val="22"/>
        </w:rPr>
        <w:t xml:space="preserve">Principals’ and Teachers’ Perceptions on </w:t>
      </w:r>
      <w:r w:rsidRPr="004A657A">
        <w:rPr>
          <w:rFonts w:asciiTheme="majorHAnsi" w:hAnsiTheme="majorHAnsi" w:cstheme="majorHAnsi"/>
          <w:i/>
          <w:iCs/>
          <w:color w:val="44546A" w:themeColor="text2"/>
          <w:sz w:val="22"/>
          <w:szCs w:val="22"/>
        </w:rPr>
        <w:t>Assessment-Related Policies</w:t>
      </w:r>
      <w:bookmarkEnd w:id="119"/>
      <w:r w:rsidR="00080CF5">
        <w:rPr>
          <w:rFonts w:asciiTheme="majorHAnsi" w:hAnsiTheme="majorHAnsi" w:cstheme="majorHAnsi"/>
          <w:i/>
          <w:iCs/>
          <w:color w:val="44546A" w:themeColor="text2"/>
          <w:sz w:val="22"/>
          <w:szCs w:val="22"/>
        </w:rPr>
        <w:t xml:space="preserve">. </w:t>
      </w:r>
      <w:r w:rsidR="00080CF5" w:rsidRPr="00080CF5">
        <w:rPr>
          <w:rFonts w:asciiTheme="majorHAnsi" w:hAnsiTheme="majorHAnsi" w:cstheme="majorHAnsi"/>
          <w:i/>
          <w:iCs/>
          <w:color w:val="44546A" w:themeColor="text2"/>
          <w:sz w:val="22"/>
          <w:szCs w:val="22"/>
        </w:rPr>
        <w:t>DO No. 8 s 2015 on the “Policy Guidelines on Classroom Assessment for the K-12 Basic Education Program</w:t>
      </w:r>
    </w:p>
    <w:tbl>
      <w:tblPr>
        <w:tblStyle w:val="TableGrid"/>
        <w:tblW w:w="0" w:type="auto"/>
        <w:tblLook w:val="04A0" w:firstRow="1" w:lastRow="0" w:firstColumn="1" w:lastColumn="0" w:noHBand="0" w:noVBand="1"/>
      </w:tblPr>
      <w:tblGrid>
        <w:gridCol w:w="3256"/>
        <w:gridCol w:w="1346"/>
        <w:gridCol w:w="1347"/>
        <w:gridCol w:w="1346"/>
        <w:gridCol w:w="1347"/>
      </w:tblGrid>
      <w:tr w:rsidR="00CA6DEC" w:rsidRPr="008642FA" w14:paraId="41B0A45A" w14:textId="77777777" w:rsidTr="00F4751F">
        <w:trPr>
          <w:trHeight w:val="523"/>
          <w:tblHeader/>
        </w:trPr>
        <w:tc>
          <w:tcPr>
            <w:tcW w:w="3256" w:type="dxa"/>
          </w:tcPr>
          <w:p w14:paraId="066A3306" w14:textId="77777777" w:rsidR="00CA6DEC" w:rsidRPr="008642FA" w:rsidRDefault="00CA6DEC" w:rsidP="007C1A2E">
            <w:pPr>
              <w:spacing w:before="100" w:beforeAutospacing="1" w:after="100" w:afterAutospacing="1" w:line="360" w:lineRule="auto"/>
              <w:rPr>
                <w:rFonts w:asciiTheme="majorHAnsi" w:hAnsiTheme="majorHAnsi" w:cstheme="majorHAnsi"/>
                <w:color w:val="000000" w:themeColor="text1"/>
                <w:sz w:val="14"/>
                <w:szCs w:val="14"/>
              </w:rPr>
            </w:pPr>
          </w:p>
        </w:tc>
        <w:tc>
          <w:tcPr>
            <w:tcW w:w="1346" w:type="dxa"/>
          </w:tcPr>
          <w:p w14:paraId="333415A4" w14:textId="77777777" w:rsidR="00CA6DEC" w:rsidRPr="008642FA" w:rsidRDefault="00CA6DEC" w:rsidP="007C1A2E">
            <w:pPr>
              <w:spacing w:before="100" w:beforeAutospacing="1" w:after="100" w:afterAutospacing="1" w:line="360" w:lineRule="auto"/>
              <w:rPr>
                <w:rFonts w:asciiTheme="majorHAnsi" w:hAnsiTheme="majorHAnsi" w:cstheme="majorHAnsi"/>
                <w:b/>
                <w:bCs/>
                <w:color w:val="000000" w:themeColor="text1"/>
                <w:sz w:val="14"/>
                <w:szCs w:val="14"/>
              </w:rPr>
            </w:pPr>
            <w:r w:rsidRPr="008642FA">
              <w:rPr>
                <w:rFonts w:asciiTheme="majorHAnsi" w:hAnsiTheme="majorHAnsi" w:cstheme="majorHAnsi"/>
                <w:b/>
                <w:bCs/>
                <w:color w:val="000000" w:themeColor="text1"/>
                <w:sz w:val="14"/>
                <w:szCs w:val="14"/>
              </w:rPr>
              <w:t>% Sufficient knowledge</w:t>
            </w:r>
          </w:p>
        </w:tc>
        <w:tc>
          <w:tcPr>
            <w:tcW w:w="1347" w:type="dxa"/>
          </w:tcPr>
          <w:p w14:paraId="702F11B6" w14:textId="77777777" w:rsidR="00CA6DEC" w:rsidRPr="008642FA" w:rsidRDefault="00CA6DEC" w:rsidP="007C1A2E">
            <w:pPr>
              <w:spacing w:before="100" w:beforeAutospacing="1" w:after="100" w:afterAutospacing="1" w:line="360" w:lineRule="auto"/>
              <w:rPr>
                <w:rFonts w:asciiTheme="majorHAnsi" w:hAnsiTheme="majorHAnsi" w:cstheme="majorHAnsi"/>
                <w:b/>
                <w:bCs/>
                <w:color w:val="000000" w:themeColor="text1"/>
                <w:sz w:val="14"/>
                <w:szCs w:val="14"/>
              </w:rPr>
            </w:pPr>
            <w:r w:rsidRPr="008642FA">
              <w:rPr>
                <w:rFonts w:asciiTheme="majorHAnsi" w:hAnsiTheme="majorHAnsi" w:cstheme="majorHAnsi"/>
                <w:b/>
                <w:bCs/>
                <w:color w:val="000000" w:themeColor="text1"/>
                <w:sz w:val="14"/>
                <w:szCs w:val="14"/>
              </w:rPr>
              <w:t>% Comprehensive knowledge</w:t>
            </w:r>
          </w:p>
        </w:tc>
        <w:tc>
          <w:tcPr>
            <w:tcW w:w="1346" w:type="dxa"/>
          </w:tcPr>
          <w:p w14:paraId="58C76ADA" w14:textId="77777777" w:rsidR="00CA6DEC" w:rsidRPr="008642FA" w:rsidRDefault="00CA6DEC" w:rsidP="007C1A2E">
            <w:pPr>
              <w:spacing w:before="100" w:beforeAutospacing="1" w:after="100" w:afterAutospacing="1" w:line="360" w:lineRule="auto"/>
              <w:rPr>
                <w:rFonts w:asciiTheme="majorHAnsi" w:hAnsiTheme="majorHAnsi" w:cstheme="majorHAnsi"/>
                <w:b/>
                <w:bCs/>
                <w:color w:val="000000" w:themeColor="text1"/>
                <w:sz w:val="14"/>
                <w:szCs w:val="14"/>
              </w:rPr>
            </w:pPr>
            <w:r w:rsidRPr="008642FA">
              <w:rPr>
                <w:rFonts w:asciiTheme="majorHAnsi" w:hAnsiTheme="majorHAnsi" w:cstheme="majorHAnsi"/>
                <w:b/>
                <w:bCs/>
                <w:color w:val="000000" w:themeColor="text1"/>
                <w:sz w:val="14"/>
                <w:szCs w:val="14"/>
              </w:rPr>
              <w:t>% Sufficiently useful</w:t>
            </w:r>
          </w:p>
        </w:tc>
        <w:tc>
          <w:tcPr>
            <w:tcW w:w="1347" w:type="dxa"/>
          </w:tcPr>
          <w:p w14:paraId="755B1139" w14:textId="77777777" w:rsidR="00CA6DEC" w:rsidRPr="008642FA" w:rsidRDefault="00CA6DEC" w:rsidP="007C1A2E">
            <w:pPr>
              <w:spacing w:before="100" w:beforeAutospacing="1" w:after="100" w:afterAutospacing="1" w:line="360" w:lineRule="auto"/>
              <w:rPr>
                <w:rFonts w:asciiTheme="majorHAnsi" w:hAnsiTheme="majorHAnsi" w:cstheme="majorHAnsi"/>
                <w:b/>
                <w:bCs/>
                <w:color w:val="000000" w:themeColor="text1"/>
                <w:sz w:val="14"/>
                <w:szCs w:val="14"/>
              </w:rPr>
            </w:pPr>
            <w:r w:rsidRPr="008642FA">
              <w:rPr>
                <w:rFonts w:asciiTheme="majorHAnsi" w:hAnsiTheme="majorHAnsi" w:cstheme="majorHAnsi"/>
                <w:b/>
                <w:bCs/>
                <w:color w:val="000000" w:themeColor="text1"/>
                <w:sz w:val="14"/>
                <w:szCs w:val="14"/>
              </w:rPr>
              <w:t>% Extremely useful</w:t>
            </w:r>
          </w:p>
        </w:tc>
      </w:tr>
      <w:tr w:rsidR="00CA6DEC" w:rsidRPr="008642FA" w14:paraId="7833EB7F" w14:textId="77777777" w:rsidTr="00080CF5">
        <w:trPr>
          <w:trHeight w:val="80"/>
        </w:trPr>
        <w:tc>
          <w:tcPr>
            <w:tcW w:w="3256" w:type="dxa"/>
          </w:tcPr>
          <w:p w14:paraId="309DF939" w14:textId="77777777" w:rsidR="00CA6DEC" w:rsidRPr="008642FA" w:rsidRDefault="00CA6DEC" w:rsidP="007C1A2E">
            <w:pPr>
              <w:spacing w:before="100" w:beforeAutospacing="1" w:after="100" w:afterAutospacing="1" w:line="360" w:lineRule="auto"/>
              <w:rPr>
                <w:rFonts w:asciiTheme="majorHAnsi" w:hAnsiTheme="majorHAnsi" w:cstheme="majorHAnsi"/>
                <w:color w:val="000000" w:themeColor="text1"/>
                <w:sz w:val="14"/>
                <w:szCs w:val="14"/>
              </w:rPr>
            </w:pPr>
            <w:r w:rsidRPr="008642FA">
              <w:rPr>
                <w:rFonts w:asciiTheme="majorHAnsi" w:hAnsiTheme="majorHAnsi" w:cstheme="majorHAnsi"/>
                <w:color w:val="000000" w:themeColor="text1"/>
                <w:sz w:val="14"/>
                <w:szCs w:val="14"/>
              </w:rPr>
              <w:t>Main Study*</w:t>
            </w:r>
          </w:p>
        </w:tc>
        <w:tc>
          <w:tcPr>
            <w:tcW w:w="1346" w:type="dxa"/>
          </w:tcPr>
          <w:p w14:paraId="376EC218" w14:textId="77777777" w:rsidR="00CA6DEC" w:rsidRPr="008642FA" w:rsidRDefault="00CA6DEC" w:rsidP="007C1A2E">
            <w:pPr>
              <w:spacing w:before="100" w:beforeAutospacing="1" w:after="100" w:afterAutospacing="1" w:line="360" w:lineRule="auto"/>
              <w:rPr>
                <w:rFonts w:asciiTheme="majorHAnsi" w:hAnsiTheme="majorHAnsi" w:cstheme="majorHAnsi"/>
                <w:color w:val="000000" w:themeColor="text1"/>
                <w:sz w:val="14"/>
                <w:szCs w:val="14"/>
              </w:rPr>
            </w:pPr>
          </w:p>
        </w:tc>
        <w:tc>
          <w:tcPr>
            <w:tcW w:w="1347" w:type="dxa"/>
          </w:tcPr>
          <w:p w14:paraId="2F18EA03" w14:textId="77777777" w:rsidR="00CA6DEC" w:rsidRPr="008642FA" w:rsidRDefault="00CA6DEC" w:rsidP="007C1A2E">
            <w:pPr>
              <w:spacing w:before="100" w:beforeAutospacing="1" w:after="100" w:afterAutospacing="1" w:line="360" w:lineRule="auto"/>
              <w:rPr>
                <w:rFonts w:asciiTheme="majorHAnsi" w:hAnsiTheme="majorHAnsi" w:cstheme="majorHAnsi"/>
                <w:color w:val="000000" w:themeColor="text1"/>
                <w:sz w:val="14"/>
                <w:szCs w:val="14"/>
              </w:rPr>
            </w:pPr>
          </w:p>
        </w:tc>
        <w:tc>
          <w:tcPr>
            <w:tcW w:w="1346" w:type="dxa"/>
          </w:tcPr>
          <w:p w14:paraId="69D64004" w14:textId="77777777" w:rsidR="00CA6DEC" w:rsidRPr="008642FA" w:rsidRDefault="00CA6DEC" w:rsidP="007C1A2E">
            <w:pPr>
              <w:spacing w:before="100" w:beforeAutospacing="1" w:after="100" w:afterAutospacing="1" w:line="360" w:lineRule="auto"/>
              <w:rPr>
                <w:rFonts w:asciiTheme="majorHAnsi" w:hAnsiTheme="majorHAnsi" w:cstheme="majorHAnsi"/>
                <w:color w:val="000000" w:themeColor="text1"/>
                <w:sz w:val="14"/>
                <w:szCs w:val="14"/>
              </w:rPr>
            </w:pPr>
          </w:p>
        </w:tc>
        <w:tc>
          <w:tcPr>
            <w:tcW w:w="1347" w:type="dxa"/>
          </w:tcPr>
          <w:p w14:paraId="5B62CBDE" w14:textId="77777777" w:rsidR="00CA6DEC" w:rsidRPr="008642FA" w:rsidRDefault="00CA6DEC" w:rsidP="007C1A2E">
            <w:pPr>
              <w:spacing w:before="100" w:beforeAutospacing="1" w:after="100" w:afterAutospacing="1" w:line="360" w:lineRule="auto"/>
              <w:rPr>
                <w:rFonts w:asciiTheme="majorHAnsi" w:hAnsiTheme="majorHAnsi" w:cstheme="majorHAnsi"/>
                <w:color w:val="000000" w:themeColor="text1"/>
                <w:sz w:val="14"/>
                <w:szCs w:val="14"/>
              </w:rPr>
            </w:pPr>
          </w:p>
        </w:tc>
      </w:tr>
      <w:tr w:rsidR="00CA6DEC" w:rsidRPr="008642FA" w14:paraId="2CDFBDE9" w14:textId="77777777" w:rsidTr="00080CF5">
        <w:trPr>
          <w:trHeight w:val="37"/>
        </w:trPr>
        <w:tc>
          <w:tcPr>
            <w:tcW w:w="3256" w:type="dxa"/>
          </w:tcPr>
          <w:p w14:paraId="7ADE5DE5" w14:textId="77777777" w:rsidR="00CA6DEC" w:rsidRPr="008642FA" w:rsidRDefault="00CA6DEC" w:rsidP="007C1A2E">
            <w:pPr>
              <w:spacing w:before="100" w:beforeAutospacing="1" w:after="100" w:afterAutospacing="1" w:line="360" w:lineRule="auto"/>
              <w:rPr>
                <w:rFonts w:asciiTheme="majorHAnsi" w:hAnsiTheme="majorHAnsi" w:cstheme="majorHAnsi"/>
                <w:color w:val="000000" w:themeColor="text1"/>
                <w:sz w:val="14"/>
                <w:szCs w:val="14"/>
              </w:rPr>
            </w:pPr>
            <w:r w:rsidRPr="008642FA">
              <w:rPr>
                <w:rFonts w:asciiTheme="majorHAnsi" w:hAnsiTheme="majorHAnsi" w:cstheme="majorHAnsi"/>
                <w:color w:val="000000" w:themeColor="text1"/>
                <w:sz w:val="14"/>
                <w:szCs w:val="14"/>
              </w:rPr>
              <w:t>PSHs (n=26)</w:t>
            </w:r>
          </w:p>
        </w:tc>
        <w:tc>
          <w:tcPr>
            <w:tcW w:w="1346" w:type="dxa"/>
          </w:tcPr>
          <w:p w14:paraId="3FC516A6" w14:textId="77777777" w:rsidR="00CA6DEC" w:rsidRPr="008642FA" w:rsidRDefault="00E8174B" w:rsidP="007C1A2E">
            <w:pPr>
              <w:spacing w:before="100" w:beforeAutospacing="1" w:after="100" w:afterAutospacing="1" w:line="360" w:lineRule="auto"/>
              <w:rPr>
                <w:rFonts w:asciiTheme="majorHAnsi" w:hAnsiTheme="majorHAnsi" w:cstheme="majorHAnsi"/>
                <w:color w:val="000000" w:themeColor="text1"/>
                <w:sz w:val="14"/>
                <w:szCs w:val="14"/>
              </w:rPr>
            </w:pPr>
            <w:r>
              <w:rPr>
                <w:rFonts w:asciiTheme="majorHAnsi" w:hAnsiTheme="majorHAnsi" w:cstheme="majorHAnsi"/>
                <w:color w:val="000000" w:themeColor="text1"/>
                <w:sz w:val="14"/>
                <w:szCs w:val="14"/>
              </w:rPr>
              <w:t>23</w:t>
            </w:r>
            <w:r w:rsidR="00CA6DEC" w:rsidRPr="008642FA">
              <w:rPr>
                <w:rFonts w:asciiTheme="majorHAnsi" w:hAnsiTheme="majorHAnsi" w:cstheme="majorHAnsi"/>
                <w:color w:val="000000" w:themeColor="text1"/>
                <w:sz w:val="14"/>
                <w:szCs w:val="14"/>
              </w:rPr>
              <w:t>%</w:t>
            </w:r>
          </w:p>
        </w:tc>
        <w:tc>
          <w:tcPr>
            <w:tcW w:w="1347" w:type="dxa"/>
          </w:tcPr>
          <w:p w14:paraId="0702ACE9" w14:textId="77777777" w:rsidR="00CA6DEC" w:rsidRPr="008642FA" w:rsidRDefault="00E8174B" w:rsidP="007C1A2E">
            <w:pPr>
              <w:spacing w:before="100" w:beforeAutospacing="1" w:after="100" w:afterAutospacing="1" w:line="360" w:lineRule="auto"/>
              <w:rPr>
                <w:rFonts w:asciiTheme="majorHAnsi" w:hAnsiTheme="majorHAnsi" w:cstheme="majorHAnsi"/>
                <w:color w:val="000000" w:themeColor="text1"/>
                <w:sz w:val="14"/>
                <w:szCs w:val="14"/>
              </w:rPr>
            </w:pPr>
            <w:r>
              <w:rPr>
                <w:rFonts w:asciiTheme="majorHAnsi" w:hAnsiTheme="majorHAnsi" w:cstheme="majorHAnsi"/>
                <w:color w:val="000000" w:themeColor="text1"/>
                <w:sz w:val="14"/>
                <w:szCs w:val="14"/>
              </w:rPr>
              <w:t>69</w:t>
            </w:r>
            <w:r w:rsidR="00CA6DEC" w:rsidRPr="008642FA">
              <w:rPr>
                <w:rFonts w:asciiTheme="majorHAnsi" w:hAnsiTheme="majorHAnsi" w:cstheme="majorHAnsi"/>
                <w:color w:val="000000" w:themeColor="text1"/>
                <w:sz w:val="14"/>
                <w:szCs w:val="14"/>
              </w:rPr>
              <w:t>%</w:t>
            </w:r>
          </w:p>
        </w:tc>
        <w:tc>
          <w:tcPr>
            <w:tcW w:w="1346" w:type="dxa"/>
          </w:tcPr>
          <w:p w14:paraId="0CB00884" w14:textId="77777777" w:rsidR="00CA6DEC" w:rsidRPr="008642FA" w:rsidRDefault="00E8174B" w:rsidP="007C1A2E">
            <w:pPr>
              <w:spacing w:before="100" w:beforeAutospacing="1" w:after="100" w:afterAutospacing="1" w:line="360" w:lineRule="auto"/>
              <w:rPr>
                <w:rFonts w:asciiTheme="majorHAnsi" w:hAnsiTheme="majorHAnsi" w:cstheme="majorHAnsi"/>
                <w:color w:val="000000" w:themeColor="text1"/>
                <w:sz w:val="14"/>
                <w:szCs w:val="14"/>
              </w:rPr>
            </w:pPr>
            <w:r>
              <w:rPr>
                <w:rFonts w:asciiTheme="majorHAnsi" w:hAnsiTheme="majorHAnsi" w:cstheme="majorHAnsi"/>
                <w:color w:val="000000" w:themeColor="text1"/>
                <w:sz w:val="14"/>
                <w:szCs w:val="14"/>
              </w:rPr>
              <w:t>31</w:t>
            </w:r>
            <w:r w:rsidR="00CA6DEC" w:rsidRPr="008642FA">
              <w:rPr>
                <w:rFonts w:asciiTheme="majorHAnsi" w:hAnsiTheme="majorHAnsi" w:cstheme="majorHAnsi"/>
                <w:color w:val="000000" w:themeColor="text1"/>
                <w:sz w:val="14"/>
                <w:szCs w:val="14"/>
              </w:rPr>
              <w:t>%</w:t>
            </w:r>
          </w:p>
        </w:tc>
        <w:tc>
          <w:tcPr>
            <w:tcW w:w="1347" w:type="dxa"/>
          </w:tcPr>
          <w:p w14:paraId="58436753" w14:textId="77777777" w:rsidR="00CA6DEC" w:rsidRPr="008642FA" w:rsidRDefault="00E8174B" w:rsidP="007C1A2E">
            <w:pPr>
              <w:spacing w:before="100" w:beforeAutospacing="1" w:after="100" w:afterAutospacing="1" w:line="360" w:lineRule="auto"/>
              <w:rPr>
                <w:rFonts w:asciiTheme="majorHAnsi" w:hAnsiTheme="majorHAnsi" w:cstheme="majorHAnsi"/>
                <w:color w:val="000000" w:themeColor="text1"/>
                <w:sz w:val="14"/>
                <w:szCs w:val="14"/>
              </w:rPr>
            </w:pPr>
            <w:r>
              <w:rPr>
                <w:rFonts w:asciiTheme="majorHAnsi" w:hAnsiTheme="majorHAnsi" w:cstheme="majorHAnsi"/>
                <w:color w:val="000000" w:themeColor="text1"/>
                <w:sz w:val="14"/>
                <w:szCs w:val="14"/>
              </w:rPr>
              <w:t>62</w:t>
            </w:r>
            <w:r w:rsidR="00CA6DEC" w:rsidRPr="008642FA">
              <w:rPr>
                <w:rFonts w:asciiTheme="majorHAnsi" w:hAnsiTheme="majorHAnsi" w:cstheme="majorHAnsi"/>
                <w:color w:val="000000" w:themeColor="text1"/>
                <w:sz w:val="14"/>
                <w:szCs w:val="14"/>
              </w:rPr>
              <w:t>%</w:t>
            </w:r>
          </w:p>
        </w:tc>
      </w:tr>
      <w:tr w:rsidR="00CA6DEC" w:rsidRPr="008642FA" w14:paraId="659BD152" w14:textId="77777777" w:rsidTr="00080CF5">
        <w:trPr>
          <w:trHeight w:val="119"/>
        </w:trPr>
        <w:tc>
          <w:tcPr>
            <w:tcW w:w="3256" w:type="dxa"/>
          </w:tcPr>
          <w:p w14:paraId="1E85568F" w14:textId="77777777" w:rsidR="00CA6DEC" w:rsidRPr="008642FA" w:rsidRDefault="00CA6DEC" w:rsidP="007C1A2E">
            <w:pPr>
              <w:spacing w:before="100" w:beforeAutospacing="1" w:after="100" w:afterAutospacing="1" w:line="360" w:lineRule="auto"/>
              <w:rPr>
                <w:rFonts w:asciiTheme="majorHAnsi" w:hAnsiTheme="majorHAnsi" w:cstheme="majorHAnsi"/>
                <w:color w:val="000000" w:themeColor="text1"/>
                <w:sz w:val="14"/>
                <w:szCs w:val="14"/>
              </w:rPr>
            </w:pPr>
            <w:r w:rsidRPr="008642FA">
              <w:rPr>
                <w:rFonts w:asciiTheme="majorHAnsi" w:hAnsiTheme="majorHAnsi" w:cstheme="majorHAnsi"/>
                <w:color w:val="000000" w:themeColor="text1"/>
                <w:sz w:val="14"/>
                <w:szCs w:val="14"/>
              </w:rPr>
              <w:t>Teachers (n=107)</w:t>
            </w:r>
          </w:p>
        </w:tc>
        <w:tc>
          <w:tcPr>
            <w:tcW w:w="1346" w:type="dxa"/>
          </w:tcPr>
          <w:p w14:paraId="7C56674A" w14:textId="77777777" w:rsidR="00CA6DEC" w:rsidRPr="008642FA" w:rsidRDefault="00E8174B" w:rsidP="007C1A2E">
            <w:pPr>
              <w:spacing w:before="100" w:beforeAutospacing="1" w:after="100" w:afterAutospacing="1" w:line="360" w:lineRule="auto"/>
              <w:rPr>
                <w:rFonts w:asciiTheme="majorHAnsi" w:hAnsiTheme="majorHAnsi" w:cstheme="majorHAnsi"/>
                <w:color w:val="000000" w:themeColor="text1"/>
                <w:sz w:val="14"/>
                <w:szCs w:val="14"/>
              </w:rPr>
            </w:pPr>
            <w:r>
              <w:rPr>
                <w:rFonts w:asciiTheme="majorHAnsi" w:hAnsiTheme="majorHAnsi" w:cstheme="majorHAnsi"/>
                <w:color w:val="000000" w:themeColor="text1"/>
                <w:sz w:val="14"/>
                <w:szCs w:val="14"/>
              </w:rPr>
              <w:t>44</w:t>
            </w:r>
            <w:r w:rsidR="00CA6DEC" w:rsidRPr="008642FA">
              <w:rPr>
                <w:rFonts w:asciiTheme="majorHAnsi" w:hAnsiTheme="majorHAnsi" w:cstheme="majorHAnsi"/>
                <w:color w:val="000000" w:themeColor="text1"/>
                <w:sz w:val="14"/>
                <w:szCs w:val="14"/>
              </w:rPr>
              <w:t>%</w:t>
            </w:r>
          </w:p>
        </w:tc>
        <w:tc>
          <w:tcPr>
            <w:tcW w:w="1347" w:type="dxa"/>
          </w:tcPr>
          <w:p w14:paraId="19C57CB1" w14:textId="77777777" w:rsidR="00CA6DEC" w:rsidRPr="008642FA" w:rsidRDefault="00E8174B" w:rsidP="007C1A2E">
            <w:pPr>
              <w:spacing w:before="100" w:beforeAutospacing="1" w:after="100" w:afterAutospacing="1" w:line="360" w:lineRule="auto"/>
              <w:rPr>
                <w:rFonts w:asciiTheme="majorHAnsi" w:hAnsiTheme="majorHAnsi" w:cstheme="majorHAnsi"/>
                <w:color w:val="000000" w:themeColor="text1"/>
                <w:sz w:val="14"/>
                <w:szCs w:val="14"/>
              </w:rPr>
            </w:pPr>
            <w:r>
              <w:rPr>
                <w:rFonts w:asciiTheme="majorHAnsi" w:hAnsiTheme="majorHAnsi" w:cstheme="majorHAnsi"/>
                <w:color w:val="000000" w:themeColor="text1"/>
                <w:sz w:val="14"/>
                <w:szCs w:val="14"/>
              </w:rPr>
              <w:t>27</w:t>
            </w:r>
            <w:r w:rsidR="00CA6DEC" w:rsidRPr="008642FA">
              <w:rPr>
                <w:rFonts w:asciiTheme="majorHAnsi" w:hAnsiTheme="majorHAnsi" w:cstheme="majorHAnsi"/>
                <w:color w:val="000000" w:themeColor="text1"/>
                <w:sz w:val="14"/>
                <w:szCs w:val="14"/>
              </w:rPr>
              <w:t>%</w:t>
            </w:r>
          </w:p>
        </w:tc>
        <w:tc>
          <w:tcPr>
            <w:tcW w:w="1346" w:type="dxa"/>
          </w:tcPr>
          <w:p w14:paraId="484D610D" w14:textId="77777777" w:rsidR="00CA6DEC" w:rsidRPr="008642FA" w:rsidRDefault="00E8174B" w:rsidP="007C1A2E">
            <w:pPr>
              <w:spacing w:before="100" w:beforeAutospacing="1" w:after="100" w:afterAutospacing="1" w:line="360" w:lineRule="auto"/>
              <w:rPr>
                <w:rFonts w:asciiTheme="majorHAnsi" w:hAnsiTheme="majorHAnsi" w:cstheme="majorHAnsi"/>
                <w:color w:val="000000" w:themeColor="text1"/>
                <w:sz w:val="14"/>
                <w:szCs w:val="14"/>
              </w:rPr>
            </w:pPr>
            <w:r>
              <w:rPr>
                <w:rFonts w:asciiTheme="majorHAnsi" w:hAnsiTheme="majorHAnsi" w:cstheme="majorHAnsi"/>
                <w:color w:val="000000" w:themeColor="text1"/>
                <w:sz w:val="14"/>
                <w:szCs w:val="14"/>
              </w:rPr>
              <w:t>36</w:t>
            </w:r>
            <w:r w:rsidR="00CA6DEC" w:rsidRPr="008642FA">
              <w:rPr>
                <w:rFonts w:asciiTheme="majorHAnsi" w:hAnsiTheme="majorHAnsi" w:cstheme="majorHAnsi"/>
                <w:color w:val="000000" w:themeColor="text1"/>
                <w:sz w:val="14"/>
                <w:szCs w:val="14"/>
              </w:rPr>
              <w:t>%</w:t>
            </w:r>
          </w:p>
        </w:tc>
        <w:tc>
          <w:tcPr>
            <w:tcW w:w="1347" w:type="dxa"/>
          </w:tcPr>
          <w:p w14:paraId="5B9105E4" w14:textId="77777777" w:rsidR="00CA6DEC" w:rsidRPr="008642FA" w:rsidRDefault="00E8174B" w:rsidP="007C1A2E">
            <w:pPr>
              <w:spacing w:before="100" w:beforeAutospacing="1" w:after="100" w:afterAutospacing="1" w:line="360" w:lineRule="auto"/>
              <w:rPr>
                <w:rFonts w:asciiTheme="majorHAnsi" w:hAnsiTheme="majorHAnsi" w:cstheme="majorHAnsi"/>
                <w:color w:val="000000" w:themeColor="text1"/>
                <w:sz w:val="14"/>
                <w:szCs w:val="14"/>
              </w:rPr>
            </w:pPr>
            <w:r>
              <w:rPr>
                <w:rFonts w:asciiTheme="majorHAnsi" w:hAnsiTheme="majorHAnsi" w:cstheme="majorHAnsi"/>
                <w:color w:val="000000" w:themeColor="text1"/>
                <w:sz w:val="14"/>
                <w:szCs w:val="14"/>
              </w:rPr>
              <w:t>37</w:t>
            </w:r>
            <w:r w:rsidR="00CA6DEC" w:rsidRPr="008642FA">
              <w:rPr>
                <w:rFonts w:asciiTheme="majorHAnsi" w:hAnsiTheme="majorHAnsi" w:cstheme="majorHAnsi"/>
                <w:color w:val="000000" w:themeColor="text1"/>
                <w:sz w:val="14"/>
                <w:szCs w:val="14"/>
              </w:rPr>
              <w:t>%</w:t>
            </w:r>
          </w:p>
        </w:tc>
      </w:tr>
      <w:tr w:rsidR="00CA6DEC" w:rsidRPr="008642FA" w14:paraId="755900A3" w14:textId="77777777" w:rsidTr="00080CF5">
        <w:trPr>
          <w:trHeight w:val="165"/>
        </w:trPr>
        <w:tc>
          <w:tcPr>
            <w:tcW w:w="3256" w:type="dxa"/>
          </w:tcPr>
          <w:p w14:paraId="25BA1A4C" w14:textId="77777777" w:rsidR="00CA6DEC" w:rsidRPr="008642FA" w:rsidRDefault="00CA6DEC" w:rsidP="007C1A2E">
            <w:pPr>
              <w:spacing w:before="100" w:beforeAutospacing="1" w:after="100" w:afterAutospacing="1" w:line="360" w:lineRule="auto"/>
              <w:rPr>
                <w:rFonts w:asciiTheme="majorHAnsi" w:hAnsiTheme="majorHAnsi" w:cstheme="majorHAnsi"/>
                <w:color w:val="000000" w:themeColor="text1"/>
                <w:sz w:val="14"/>
                <w:szCs w:val="14"/>
              </w:rPr>
            </w:pPr>
            <w:r w:rsidRPr="008642FA">
              <w:rPr>
                <w:rFonts w:asciiTheme="majorHAnsi" w:hAnsiTheme="majorHAnsi" w:cstheme="majorHAnsi"/>
                <w:color w:val="000000" w:themeColor="text1"/>
                <w:sz w:val="14"/>
                <w:szCs w:val="14"/>
              </w:rPr>
              <w:t>Follow-Up Study **</w:t>
            </w:r>
          </w:p>
        </w:tc>
        <w:tc>
          <w:tcPr>
            <w:tcW w:w="1346" w:type="dxa"/>
          </w:tcPr>
          <w:p w14:paraId="6F8F9179" w14:textId="77777777" w:rsidR="00CA6DEC" w:rsidRPr="008642FA" w:rsidRDefault="00CA6DEC" w:rsidP="007C1A2E">
            <w:pPr>
              <w:spacing w:before="100" w:beforeAutospacing="1" w:after="100" w:afterAutospacing="1" w:line="360" w:lineRule="auto"/>
              <w:rPr>
                <w:rFonts w:asciiTheme="majorHAnsi" w:hAnsiTheme="majorHAnsi" w:cstheme="majorHAnsi"/>
                <w:color w:val="000000" w:themeColor="text1"/>
                <w:sz w:val="14"/>
                <w:szCs w:val="14"/>
              </w:rPr>
            </w:pPr>
          </w:p>
        </w:tc>
        <w:tc>
          <w:tcPr>
            <w:tcW w:w="1347" w:type="dxa"/>
          </w:tcPr>
          <w:p w14:paraId="71CCD42D" w14:textId="77777777" w:rsidR="00CA6DEC" w:rsidRPr="008642FA" w:rsidRDefault="00CA6DEC" w:rsidP="007C1A2E">
            <w:pPr>
              <w:spacing w:before="100" w:beforeAutospacing="1" w:after="100" w:afterAutospacing="1" w:line="360" w:lineRule="auto"/>
              <w:rPr>
                <w:rFonts w:asciiTheme="majorHAnsi" w:hAnsiTheme="majorHAnsi" w:cstheme="majorHAnsi"/>
                <w:color w:val="000000" w:themeColor="text1"/>
                <w:sz w:val="14"/>
                <w:szCs w:val="14"/>
              </w:rPr>
            </w:pPr>
          </w:p>
        </w:tc>
        <w:tc>
          <w:tcPr>
            <w:tcW w:w="1346" w:type="dxa"/>
          </w:tcPr>
          <w:p w14:paraId="59F4C10D" w14:textId="77777777" w:rsidR="00CA6DEC" w:rsidRPr="008642FA" w:rsidRDefault="00CA6DEC" w:rsidP="007C1A2E">
            <w:pPr>
              <w:spacing w:before="100" w:beforeAutospacing="1" w:after="100" w:afterAutospacing="1" w:line="360" w:lineRule="auto"/>
              <w:rPr>
                <w:rFonts w:asciiTheme="majorHAnsi" w:hAnsiTheme="majorHAnsi" w:cstheme="majorHAnsi"/>
                <w:color w:val="000000" w:themeColor="text1"/>
                <w:sz w:val="14"/>
                <w:szCs w:val="14"/>
              </w:rPr>
            </w:pPr>
          </w:p>
        </w:tc>
        <w:tc>
          <w:tcPr>
            <w:tcW w:w="1347" w:type="dxa"/>
          </w:tcPr>
          <w:p w14:paraId="1D9EEF8F" w14:textId="77777777" w:rsidR="00CA6DEC" w:rsidRPr="008642FA" w:rsidRDefault="00CA6DEC" w:rsidP="007C1A2E">
            <w:pPr>
              <w:spacing w:before="100" w:beforeAutospacing="1" w:after="100" w:afterAutospacing="1" w:line="360" w:lineRule="auto"/>
              <w:rPr>
                <w:rFonts w:asciiTheme="majorHAnsi" w:hAnsiTheme="majorHAnsi" w:cstheme="majorHAnsi"/>
                <w:color w:val="000000" w:themeColor="text1"/>
                <w:sz w:val="14"/>
                <w:szCs w:val="14"/>
              </w:rPr>
            </w:pPr>
          </w:p>
        </w:tc>
      </w:tr>
      <w:tr w:rsidR="00CA6DEC" w:rsidRPr="008642FA" w14:paraId="28DFF7A4" w14:textId="77777777" w:rsidTr="00080CF5">
        <w:trPr>
          <w:trHeight w:val="66"/>
        </w:trPr>
        <w:tc>
          <w:tcPr>
            <w:tcW w:w="3256" w:type="dxa"/>
          </w:tcPr>
          <w:p w14:paraId="727A5630" w14:textId="77777777" w:rsidR="00CA6DEC" w:rsidRPr="008642FA" w:rsidRDefault="00CA6DEC" w:rsidP="007C1A2E">
            <w:pPr>
              <w:spacing w:before="100" w:beforeAutospacing="1" w:after="100" w:afterAutospacing="1" w:line="360" w:lineRule="auto"/>
              <w:rPr>
                <w:rFonts w:asciiTheme="majorHAnsi" w:hAnsiTheme="majorHAnsi" w:cstheme="majorHAnsi"/>
                <w:color w:val="000000" w:themeColor="text1"/>
                <w:sz w:val="14"/>
                <w:szCs w:val="14"/>
              </w:rPr>
            </w:pPr>
            <w:r w:rsidRPr="008642FA">
              <w:rPr>
                <w:rFonts w:asciiTheme="majorHAnsi" w:hAnsiTheme="majorHAnsi" w:cstheme="majorHAnsi"/>
                <w:color w:val="000000" w:themeColor="text1"/>
                <w:sz w:val="14"/>
                <w:szCs w:val="14"/>
              </w:rPr>
              <w:t>PSHs (n=11)</w:t>
            </w:r>
          </w:p>
        </w:tc>
        <w:tc>
          <w:tcPr>
            <w:tcW w:w="1346" w:type="dxa"/>
          </w:tcPr>
          <w:p w14:paraId="5A495BB5" w14:textId="77777777" w:rsidR="00CA6DEC" w:rsidRPr="008642FA" w:rsidRDefault="00E8174B" w:rsidP="007C1A2E">
            <w:pPr>
              <w:spacing w:before="100" w:beforeAutospacing="1" w:after="100" w:afterAutospacing="1" w:line="360" w:lineRule="auto"/>
              <w:rPr>
                <w:rFonts w:asciiTheme="majorHAnsi" w:hAnsiTheme="majorHAnsi" w:cstheme="majorHAnsi"/>
                <w:color w:val="000000" w:themeColor="text1"/>
                <w:sz w:val="14"/>
                <w:szCs w:val="14"/>
              </w:rPr>
            </w:pPr>
            <w:r>
              <w:rPr>
                <w:rFonts w:asciiTheme="majorHAnsi" w:hAnsiTheme="majorHAnsi" w:cstheme="majorHAnsi"/>
                <w:color w:val="000000" w:themeColor="text1"/>
                <w:sz w:val="14"/>
                <w:szCs w:val="14"/>
              </w:rPr>
              <w:t>33</w:t>
            </w:r>
            <w:r w:rsidR="00CA6DEC" w:rsidRPr="008642FA">
              <w:rPr>
                <w:rFonts w:asciiTheme="majorHAnsi" w:hAnsiTheme="majorHAnsi" w:cstheme="majorHAnsi"/>
                <w:color w:val="000000" w:themeColor="text1"/>
                <w:sz w:val="14"/>
                <w:szCs w:val="14"/>
              </w:rPr>
              <w:t>%</w:t>
            </w:r>
          </w:p>
        </w:tc>
        <w:tc>
          <w:tcPr>
            <w:tcW w:w="1347" w:type="dxa"/>
          </w:tcPr>
          <w:p w14:paraId="4B501ABA" w14:textId="77777777" w:rsidR="00CA6DEC" w:rsidRPr="008642FA" w:rsidRDefault="00E8174B" w:rsidP="007C1A2E">
            <w:pPr>
              <w:spacing w:before="100" w:beforeAutospacing="1" w:after="100" w:afterAutospacing="1" w:line="360" w:lineRule="auto"/>
              <w:rPr>
                <w:rFonts w:asciiTheme="majorHAnsi" w:hAnsiTheme="majorHAnsi" w:cstheme="majorHAnsi"/>
                <w:color w:val="000000" w:themeColor="text1"/>
                <w:sz w:val="14"/>
                <w:szCs w:val="14"/>
              </w:rPr>
            </w:pPr>
            <w:r>
              <w:rPr>
                <w:rFonts w:asciiTheme="majorHAnsi" w:hAnsiTheme="majorHAnsi" w:cstheme="majorHAnsi"/>
                <w:color w:val="000000" w:themeColor="text1"/>
                <w:sz w:val="14"/>
                <w:szCs w:val="14"/>
              </w:rPr>
              <w:t>50</w:t>
            </w:r>
            <w:r w:rsidR="00CA6DEC" w:rsidRPr="008642FA">
              <w:rPr>
                <w:rFonts w:asciiTheme="majorHAnsi" w:hAnsiTheme="majorHAnsi" w:cstheme="majorHAnsi"/>
                <w:color w:val="000000" w:themeColor="text1"/>
                <w:sz w:val="14"/>
                <w:szCs w:val="14"/>
              </w:rPr>
              <w:t>%</w:t>
            </w:r>
          </w:p>
        </w:tc>
        <w:tc>
          <w:tcPr>
            <w:tcW w:w="1346" w:type="dxa"/>
          </w:tcPr>
          <w:p w14:paraId="5B1E2198" w14:textId="77777777" w:rsidR="00CA6DEC" w:rsidRPr="008642FA" w:rsidRDefault="00CA6DEC" w:rsidP="007C1A2E">
            <w:pPr>
              <w:spacing w:before="100" w:beforeAutospacing="1" w:after="100" w:afterAutospacing="1" w:line="360" w:lineRule="auto"/>
              <w:rPr>
                <w:rFonts w:asciiTheme="majorHAnsi" w:hAnsiTheme="majorHAnsi" w:cstheme="majorHAnsi"/>
                <w:color w:val="000000" w:themeColor="text1"/>
                <w:sz w:val="14"/>
                <w:szCs w:val="14"/>
              </w:rPr>
            </w:pPr>
            <w:r w:rsidRPr="008642FA">
              <w:rPr>
                <w:rFonts w:asciiTheme="majorHAnsi" w:hAnsiTheme="majorHAnsi" w:cstheme="majorHAnsi"/>
                <w:color w:val="000000" w:themeColor="text1"/>
                <w:sz w:val="14"/>
                <w:szCs w:val="14"/>
              </w:rPr>
              <w:t>33%</w:t>
            </w:r>
          </w:p>
        </w:tc>
        <w:tc>
          <w:tcPr>
            <w:tcW w:w="1347" w:type="dxa"/>
          </w:tcPr>
          <w:p w14:paraId="2DFB9DC2" w14:textId="77777777" w:rsidR="00CA6DEC" w:rsidRPr="008642FA" w:rsidRDefault="00E8174B" w:rsidP="007C1A2E">
            <w:pPr>
              <w:spacing w:before="100" w:beforeAutospacing="1" w:after="100" w:afterAutospacing="1" w:line="360" w:lineRule="auto"/>
              <w:rPr>
                <w:rFonts w:asciiTheme="majorHAnsi" w:hAnsiTheme="majorHAnsi" w:cstheme="majorHAnsi"/>
                <w:color w:val="000000" w:themeColor="text1"/>
                <w:sz w:val="14"/>
                <w:szCs w:val="14"/>
              </w:rPr>
            </w:pPr>
            <w:r>
              <w:rPr>
                <w:rFonts w:asciiTheme="majorHAnsi" w:hAnsiTheme="majorHAnsi" w:cstheme="majorHAnsi"/>
                <w:color w:val="000000" w:themeColor="text1"/>
                <w:sz w:val="14"/>
                <w:szCs w:val="14"/>
              </w:rPr>
              <w:t>50</w:t>
            </w:r>
            <w:r w:rsidR="00CA6DEC" w:rsidRPr="008642FA">
              <w:rPr>
                <w:rFonts w:asciiTheme="majorHAnsi" w:hAnsiTheme="majorHAnsi" w:cstheme="majorHAnsi"/>
                <w:color w:val="000000" w:themeColor="text1"/>
                <w:sz w:val="14"/>
                <w:szCs w:val="14"/>
              </w:rPr>
              <w:t>%</w:t>
            </w:r>
          </w:p>
        </w:tc>
      </w:tr>
      <w:tr w:rsidR="00CA6DEC" w:rsidRPr="008642FA" w14:paraId="07A1D1B0" w14:textId="77777777" w:rsidTr="00080CF5">
        <w:trPr>
          <w:trHeight w:val="37"/>
        </w:trPr>
        <w:tc>
          <w:tcPr>
            <w:tcW w:w="3256" w:type="dxa"/>
          </w:tcPr>
          <w:p w14:paraId="332C1217" w14:textId="77777777" w:rsidR="00CA6DEC" w:rsidRPr="008642FA" w:rsidRDefault="00CA6DEC" w:rsidP="007C1A2E">
            <w:pPr>
              <w:spacing w:before="100" w:beforeAutospacing="1" w:after="100" w:afterAutospacing="1" w:line="360" w:lineRule="auto"/>
              <w:rPr>
                <w:rFonts w:asciiTheme="majorHAnsi" w:hAnsiTheme="majorHAnsi" w:cstheme="majorHAnsi"/>
                <w:color w:val="000000" w:themeColor="text1"/>
                <w:sz w:val="14"/>
                <w:szCs w:val="14"/>
              </w:rPr>
            </w:pPr>
            <w:r w:rsidRPr="008642FA">
              <w:rPr>
                <w:rFonts w:asciiTheme="majorHAnsi" w:hAnsiTheme="majorHAnsi" w:cstheme="majorHAnsi"/>
                <w:color w:val="000000" w:themeColor="text1"/>
                <w:sz w:val="14"/>
                <w:szCs w:val="14"/>
              </w:rPr>
              <w:t>Teachers (n=61)</w:t>
            </w:r>
          </w:p>
        </w:tc>
        <w:tc>
          <w:tcPr>
            <w:tcW w:w="1346" w:type="dxa"/>
          </w:tcPr>
          <w:p w14:paraId="3CBEC915" w14:textId="77777777" w:rsidR="00CA6DEC" w:rsidRPr="008642FA" w:rsidRDefault="00E8174B" w:rsidP="007C1A2E">
            <w:pPr>
              <w:spacing w:before="100" w:beforeAutospacing="1" w:after="100" w:afterAutospacing="1" w:line="360" w:lineRule="auto"/>
              <w:rPr>
                <w:rFonts w:asciiTheme="majorHAnsi" w:hAnsiTheme="majorHAnsi" w:cstheme="majorHAnsi"/>
                <w:color w:val="000000" w:themeColor="text1"/>
                <w:sz w:val="14"/>
                <w:szCs w:val="14"/>
              </w:rPr>
            </w:pPr>
            <w:r>
              <w:rPr>
                <w:rFonts w:asciiTheme="majorHAnsi" w:hAnsiTheme="majorHAnsi" w:cstheme="majorHAnsi"/>
                <w:color w:val="000000" w:themeColor="text1"/>
                <w:sz w:val="14"/>
                <w:szCs w:val="14"/>
              </w:rPr>
              <w:t>51</w:t>
            </w:r>
            <w:r w:rsidR="00CA6DEC" w:rsidRPr="008642FA">
              <w:rPr>
                <w:rFonts w:asciiTheme="majorHAnsi" w:hAnsiTheme="majorHAnsi" w:cstheme="majorHAnsi"/>
                <w:color w:val="000000" w:themeColor="text1"/>
                <w:sz w:val="14"/>
                <w:szCs w:val="14"/>
              </w:rPr>
              <w:t>%</w:t>
            </w:r>
          </w:p>
        </w:tc>
        <w:tc>
          <w:tcPr>
            <w:tcW w:w="1347" w:type="dxa"/>
          </w:tcPr>
          <w:p w14:paraId="7E350477" w14:textId="77777777" w:rsidR="00CA6DEC" w:rsidRPr="008642FA" w:rsidRDefault="00E8174B" w:rsidP="007C1A2E">
            <w:pPr>
              <w:spacing w:before="100" w:beforeAutospacing="1" w:after="100" w:afterAutospacing="1" w:line="360" w:lineRule="auto"/>
              <w:rPr>
                <w:rFonts w:asciiTheme="majorHAnsi" w:hAnsiTheme="majorHAnsi" w:cstheme="majorHAnsi"/>
                <w:color w:val="000000" w:themeColor="text1"/>
                <w:sz w:val="14"/>
                <w:szCs w:val="14"/>
              </w:rPr>
            </w:pPr>
            <w:r>
              <w:rPr>
                <w:rFonts w:asciiTheme="majorHAnsi" w:hAnsiTheme="majorHAnsi" w:cstheme="majorHAnsi"/>
                <w:color w:val="000000" w:themeColor="text1"/>
                <w:sz w:val="14"/>
                <w:szCs w:val="14"/>
              </w:rPr>
              <w:t>46</w:t>
            </w:r>
            <w:r w:rsidR="00CA6DEC" w:rsidRPr="008642FA">
              <w:rPr>
                <w:rFonts w:asciiTheme="majorHAnsi" w:hAnsiTheme="majorHAnsi" w:cstheme="majorHAnsi"/>
                <w:color w:val="000000" w:themeColor="text1"/>
                <w:sz w:val="14"/>
                <w:szCs w:val="14"/>
              </w:rPr>
              <w:t>%</w:t>
            </w:r>
          </w:p>
        </w:tc>
        <w:tc>
          <w:tcPr>
            <w:tcW w:w="1346" w:type="dxa"/>
          </w:tcPr>
          <w:p w14:paraId="52F94144" w14:textId="77777777" w:rsidR="00CA6DEC" w:rsidRPr="008642FA" w:rsidRDefault="00E8174B" w:rsidP="007C1A2E">
            <w:pPr>
              <w:spacing w:before="100" w:beforeAutospacing="1" w:after="100" w:afterAutospacing="1" w:line="360" w:lineRule="auto"/>
              <w:rPr>
                <w:rFonts w:asciiTheme="majorHAnsi" w:hAnsiTheme="majorHAnsi" w:cstheme="majorHAnsi"/>
                <w:color w:val="000000" w:themeColor="text1"/>
                <w:sz w:val="14"/>
                <w:szCs w:val="14"/>
              </w:rPr>
            </w:pPr>
            <w:r>
              <w:rPr>
                <w:rFonts w:asciiTheme="majorHAnsi" w:hAnsiTheme="majorHAnsi" w:cstheme="majorHAnsi"/>
                <w:color w:val="000000" w:themeColor="text1"/>
                <w:sz w:val="14"/>
                <w:szCs w:val="14"/>
              </w:rPr>
              <w:t>56</w:t>
            </w:r>
            <w:r w:rsidR="00CA6DEC" w:rsidRPr="008642FA">
              <w:rPr>
                <w:rFonts w:asciiTheme="majorHAnsi" w:hAnsiTheme="majorHAnsi" w:cstheme="majorHAnsi"/>
                <w:color w:val="000000" w:themeColor="text1"/>
                <w:sz w:val="14"/>
                <w:szCs w:val="14"/>
              </w:rPr>
              <w:t>%</w:t>
            </w:r>
          </w:p>
        </w:tc>
        <w:tc>
          <w:tcPr>
            <w:tcW w:w="1347" w:type="dxa"/>
          </w:tcPr>
          <w:p w14:paraId="3F49A73E" w14:textId="77777777" w:rsidR="00CA6DEC" w:rsidRPr="008642FA" w:rsidRDefault="00E8174B" w:rsidP="007C1A2E">
            <w:pPr>
              <w:spacing w:before="100" w:beforeAutospacing="1" w:after="100" w:afterAutospacing="1" w:line="360" w:lineRule="auto"/>
              <w:rPr>
                <w:rFonts w:asciiTheme="majorHAnsi" w:hAnsiTheme="majorHAnsi" w:cstheme="majorHAnsi"/>
                <w:color w:val="000000" w:themeColor="text1"/>
                <w:sz w:val="14"/>
                <w:szCs w:val="14"/>
              </w:rPr>
            </w:pPr>
            <w:r>
              <w:rPr>
                <w:rFonts w:asciiTheme="majorHAnsi" w:hAnsiTheme="majorHAnsi" w:cstheme="majorHAnsi"/>
                <w:color w:val="000000" w:themeColor="text1"/>
                <w:sz w:val="14"/>
                <w:szCs w:val="14"/>
              </w:rPr>
              <w:t>43</w:t>
            </w:r>
            <w:r w:rsidR="00CA6DEC" w:rsidRPr="008642FA">
              <w:rPr>
                <w:rFonts w:asciiTheme="majorHAnsi" w:hAnsiTheme="majorHAnsi" w:cstheme="majorHAnsi"/>
                <w:color w:val="000000" w:themeColor="text1"/>
                <w:sz w:val="14"/>
                <w:szCs w:val="14"/>
              </w:rPr>
              <w:t>%</w:t>
            </w:r>
          </w:p>
        </w:tc>
      </w:tr>
      <w:tr w:rsidR="00080CF5" w:rsidRPr="008642FA" w14:paraId="4B79CE19" w14:textId="77777777" w:rsidTr="00080CF5">
        <w:trPr>
          <w:trHeight w:val="37"/>
        </w:trPr>
        <w:tc>
          <w:tcPr>
            <w:tcW w:w="3256" w:type="dxa"/>
          </w:tcPr>
          <w:p w14:paraId="0F932A8E" w14:textId="7EC3706C" w:rsidR="00080CF5" w:rsidRPr="008642FA" w:rsidRDefault="00080CF5" w:rsidP="007C1A2E">
            <w:pPr>
              <w:spacing w:before="100" w:beforeAutospacing="1" w:after="100" w:afterAutospacing="1" w:line="360" w:lineRule="auto"/>
              <w:rPr>
                <w:rFonts w:asciiTheme="majorHAnsi" w:hAnsiTheme="majorHAnsi" w:cstheme="majorHAnsi"/>
                <w:color w:val="000000" w:themeColor="text1"/>
                <w:sz w:val="14"/>
                <w:szCs w:val="14"/>
              </w:rPr>
            </w:pPr>
            <w:r w:rsidRPr="00567F1C">
              <w:rPr>
                <w:rFonts w:asciiTheme="majorHAnsi" w:hAnsiTheme="majorHAnsi" w:cstheme="majorHAnsi"/>
                <w:b/>
                <w:bCs/>
                <w:color w:val="000000" w:themeColor="text1"/>
                <w:sz w:val="14"/>
                <w:szCs w:val="14"/>
              </w:rPr>
              <w:t>DO No. 55, s. 2016 on the “Policy Guidelines on the National Assessment of Student Learning for the K-12 Basic Education Program</w:t>
            </w:r>
          </w:p>
        </w:tc>
        <w:tc>
          <w:tcPr>
            <w:tcW w:w="1346" w:type="dxa"/>
          </w:tcPr>
          <w:p w14:paraId="1BD446E1" w14:textId="77777777" w:rsidR="00080CF5" w:rsidRPr="008642FA" w:rsidRDefault="00080CF5" w:rsidP="007C1A2E">
            <w:pPr>
              <w:spacing w:before="100" w:beforeAutospacing="1" w:after="100" w:afterAutospacing="1" w:line="360" w:lineRule="auto"/>
              <w:rPr>
                <w:rFonts w:asciiTheme="majorHAnsi" w:hAnsiTheme="majorHAnsi" w:cstheme="majorHAnsi"/>
                <w:color w:val="000000" w:themeColor="text1"/>
                <w:sz w:val="14"/>
                <w:szCs w:val="14"/>
              </w:rPr>
            </w:pPr>
          </w:p>
        </w:tc>
        <w:tc>
          <w:tcPr>
            <w:tcW w:w="1347" w:type="dxa"/>
          </w:tcPr>
          <w:p w14:paraId="39AFEF8B" w14:textId="77777777" w:rsidR="00080CF5" w:rsidRPr="008642FA" w:rsidRDefault="00080CF5" w:rsidP="007C1A2E">
            <w:pPr>
              <w:spacing w:before="100" w:beforeAutospacing="1" w:after="100" w:afterAutospacing="1" w:line="360" w:lineRule="auto"/>
              <w:rPr>
                <w:rFonts w:asciiTheme="majorHAnsi" w:hAnsiTheme="majorHAnsi" w:cstheme="majorHAnsi"/>
                <w:color w:val="000000" w:themeColor="text1"/>
                <w:sz w:val="14"/>
                <w:szCs w:val="14"/>
              </w:rPr>
            </w:pPr>
          </w:p>
        </w:tc>
        <w:tc>
          <w:tcPr>
            <w:tcW w:w="1346" w:type="dxa"/>
          </w:tcPr>
          <w:p w14:paraId="2D857E1D" w14:textId="77777777" w:rsidR="00080CF5" w:rsidRPr="008642FA" w:rsidRDefault="00080CF5" w:rsidP="007C1A2E">
            <w:pPr>
              <w:spacing w:before="100" w:beforeAutospacing="1" w:after="100" w:afterAutospacing="1" w:line="360" w:lineRule="auto"/>
              <w:rPr>
                <w:rFonts w:asciiTheme="majorHAnsi" w:hAnsiTheme="majorHAnsi" w:cstheme="majorHAnsi"/>
                <w:color w:val="000000" w:themeColor="text1"/>
                <w:sz w:val="14"/>
                <w:szCs w:val="14"/>
              </w:rPr>
            </w:pPr>
          </w:p>
        </w:tc>
        <w:tc>
          <w:tcPr>
            <w:tcW w:w="1347" w:type="dxa"/>
          </w:tcPr>
          <w:p w14:paraId="7543F779" w14:textId="77777777" w:rsidR="00080CF5" w:rsidRPr="008642FA" w:rsidRDefault="00080CF5" w:rsidP="007C1A2E">
            <w:pPr>
              <w:spacing w:before="100" w:beforeAutospacing="1" w:after="100" w:afterAutospacing="1" w:line="360" w:lineRule="auto"/>
              <w:rPr>
                <w:rFonts w:asciiTheme="majorHAnsi" w:hAnsiTheme="majorHAnsi" w:cstheme="majorHAnsi"/>
                <w:color w:val="000000" w:themeColor="text1"/>
                <w:sz w:val="14"/>
                <w:szCs w:val="14"/>
              </w:rPr>
            </w:pPr>
          </w:p>
        </w:tc>
      </w:tr>
      <w:tr w:rsidR="00CA6DEC" w:rsidRPr="008642FA" w14:paraId="0F5979A6" w14:textId="77777777" w:rsidTr="00080CF5">
        <w:trPr>
          <w:trHeight w:val="37"/>
        </w:trPr>
        <w:tc>
          <w:tcPr>
            <w:tcW w:w="3256" w:type="dxa"/>
          </w:tcPr>
          <w:p w14:paraId="123BA6B5" w14:textId="77777777" w:rsidR="00CA6DEC" w:rsidRPr="008642FA" w:rsidRDefault="00CA6DEC" w:rsidP="007C1A2E">
            <w:pPr>
              <w:spacing w:before="100" w:beforeAutospacing="1" w:after="100" w:afterAutospacing="1" w:line="360" w:lineRule="auto"/>
              <w:rPr>
                <w:rFonts w:asciiTheme="majorHAnsi" w:hAnsiTheme="majorHAnsi" w:cstheme="majorHAnsi"/>
                <w:color w:val="000000" w:themeColor="text1"/>
                <w:sz w:val="14"/>
                <w:szCs w:val="14"/>
              </w:rPr>
            </w:pPr>
            <w:r w:rsidRPr="008642FA">
              <w:rPr>
                <w:rFonts w:asciiTheme="majorHAnsi" w:hAnsiTheme="majorHAnsi" w:cstheme="majorHAnsi"/>
                <w:color w:val="000000" w:themeColor="text1"/>
                <w:sz w:val="14"/>
                <w:szCs w:val="14"/>
              </w:rPr>
              <w:t>Main Study*</w:t>
            </w:r>
          </w:p>
        </w:tc>
        <w:tc>
          <w:tcPr>
            <w:tcW w:w="1346" w:type="dxa"/>
          </w:tcPr>
          <w:p w14:paraId="15771911" w14:textId="77777777" w:rsidR="00CA6DEC" w:rsidRPr="008642FA" w:rsidRDefault="00CA6DEC" w:rsidP="007C1A2E">
            <w:pPr>
              <w:spacing w:before="100" w:beforeAutospacing="1" w:after="100" w:afterAutospacing="1" w:line="360" w:lineRule="auto"/>
              <w:rPr>
                <w:rFonts w:asciiTheme="majorHAnsi" w:hAnsiTheme="majorHAnsi" w:cstheme="majorHAnsi"/>
                <w:color w:val="000000" w:themeColor="text1"/>
                <w:sz w:val="14"/>
                <w:szCs w:val="14"/>
              </w:rPr>
            </w:pPr>
          </w:p>
        </w:tc>
        <w:tc>
          <w:tcPr>
            <w:tcW w:w="1347" w:type="dxa"/>
          </w:tcPr>
          <w:p w14:paraId="15095434" w14:textId="77777777" w:rsidR="00CA6DEC" w:rsidRPr="008642FA" w:rsidRDefault="00CA6DEC" w:rsidP="007C1A2E">
            <w:pPr>
              <w:spacing w:before="100" w:beforeAutospacing="1" w:after="100" w:afterAutospacing="1" w:line="360" w:lineRule="auto"/>
              <w:rPr>
                <w:rFonts w:asciiTheme="majorHAnsi" w:hAnsiTheme="majorHAnsi" w:cstheme="majorHAnsi"/>
                <w:color w:val="000000" w:themeColor="text1"/>
                <w:sz w:val="14"/>
                <w:szCs w:val="14"/>
              </w:rPr>
            </w:pPr>
          </w:p>
        </w:tc>
        <w:tc>
          <w:tcPr>
            <w:tcW w:w="1346" w:type="dxa"/>
          </w:tcPr>
          <w:p w14:paraId="21F01D1E" w14:textId="77777777" w:rsidR="00CA6DEC" w:rsidRPr="008642FA" w:rsidRDefault="00CA6DEC" w:rsidP="007C1A2E">
            <w:pPr>
              <w:spacing w:before="100" w:beforeAutospacing="1" w:after="100" w:afterAutospacing="1" w:line="360" w:lineRule="auto"/>
              <w:rPr>
                <w:rFonts w:asciiTheme="majorHAnsi" w:hAnsiTheme="majorHAnsi" w:cstheme="majorHAnsi"/>
                <w:color w:val="000000" w:themeColor="text1"/>
                <w:sz w:val="14"/>
                <w:szCs w:val="14"/>
              </w:rPr>
            </w:pPr>
          </w:p>
        </w:tc>
        <w:tc>
          <w:tcPr>
            <w:tcW w:w="1347" w:type="dxa"/>
          </w:tcPr>
          <w:p w14:paraId="1399D3A7" w14:textId="77777777" w:rsidR="00CA6DEC" w:rsidRPr="008642FA" w:rsidRDefault="00CA6DEC" w:rsidP="007C1A2E">
            <w:pPr>
              <w:spacing w:before="100" w:beforeAutospacing="1" w:after="100" w:afterAutospacing="1" w:line="360" w:lineRule="auto"/>
              <w:rPr>
                <w:rFonts w:asciiTheme="majorHAnsi" w:hAnsiTheme="majorHAnsi" w:cstheme="majorHAnsi"/>
                <w:color w:val="000000" w:themeColor="text1"/>
                <w:sz w:val="14"/>
                <w:szCs w:val="14"/>
              </w:rPr>
            </w:pPr>
          </w:p>
        </w:tc>
      </w:tr>
      <w:tr w:rsidR="00CA6DEC" w:rsidRPr="008642FA" w14:paraId="647F5120" w14:textId="77777777" w:rsidTr="00080CF5">
        <w:trPr>
          <w:trHeight w:val="37"/>
        </w:trPr>
        <w:tc>
          <w:tcPr>
            <w:tcW w:w="3256" w:type="dxa"/>
          </w:tcPr>
          <w:p w14:paraId="769C8FD2" w14:textId="77777777" w:rsidR="00CA6DEC" w:rsidRPr="008642FA" w:rsidRDefault="00CA6DEC" w:rsidP="007C1A2E">
            <w:pPr>
              <w:spacing w:before="100" w:beforeAutospacing="1" w:after="100" w:afterAutospacing="1" w:line="360" w:lineRule="auto"/>
              <w:rPr>
                <w:rFonts w:asciiTheme="majorHAnsi" w:hAnsiTheme="majorHAnsi" w:cstheme="majorHAnsi"/>
                <w:color w:val="000000" w:themeColor="text1"/>
                <w:sz w:val="14"/>
                <w:szCs w:val="14"/>
              </w:rPr>
            </w:pPr>
            <w:r w:rsidRPr="008642FA">
              <w:rPr>
                <w:rFonts w:asciiTheme="majorHAnsi" w:hAnsiTheme="majorHAnsi" w:cstheme="majorHAnsi"/>
                <w:color w:val="000000" w:themeColor="text1"/>
                <w:sz w:val="14"/>
                <w:szCs w:val="14"/>
              </w:rPr>
              <w:t>PSHs (n=26)</w:t>
            </w:r>
          </w:p>
        </w:tc>
        <w:tc>
          <w:tcPr>
            <w:tcW w:w="1346" w:type="dxa"/>
          </w:tcPr>
          <w:p w14:paraId="6F46662B" w14:textId="77777777" w:rsidR="00CA6DEC" w:rsidRPr="008642FA" w:rsidRDefault="00E8174B" w:rsidP="007C1A2E">
            <w:pPr>
              <w:spacing w:before="100" w:beforeAutospacing="1" w:after="100" w:afterAutospacing="1" w:line="360" w:lineRule="auto"/>
              <w:rPr>
                <w:rFonts w:asciiTheme="majorHAnsi" w:hAnsiTheme="majorHAnsi" w:cstheme="majorHAnsi"/>
                <w:color w:val="000000" w:themeColor="text1"/>
                <w:sz w:val="14"/>
                <w:szCs w:val="14"/>
              </w:rPr>
            </w:pPr>
            <w:r>
              <w:rPr>
                <w:rFonts w:asciiTheme="majorHAnsi" w:hAnsiTheme="majorHAnsi" w:cstheme="majorHAnsi"/>
                <w:color w:val="000000" w:themeColor="text1"/>
                <w:sz w:val="14"/>
                <w:szCs w:val="14"/>
              </w:rPr>
              <w:t>42</w:t>
            </w:r>
            <w:r w:rsidR="00CA6DEC" w:rsidRPr="008642FA">
              <w:rPr>
                <w:rFonts w:asciiTheme="majorHAnsi" w:hAnsiTheme="majorHAnsi" w:cstheme="majorHAnsi"/>
                <w:color w:val="000000" w:themeColor="text1"/>
                <w:sz w:val="14"/>
                <w:szCs w:val="14"/>
              </w:rPr>
              <w:t>%</w:t>
            </w:r>
          </w:p>
        </w:tc>
        <w:tc>
          <w:tcPr>
            <w:tcW w:w="1347" w:type="dxa"/>
          </w:tcPr>
          <w:p w14:paraId="7ACA7BA0" w14:textId="77777777" w:rsidR="00CA6DEC" w:rsidRPr="008642FA" w:rsidRDefault="00E8174B" w:rsidP="007C1A2E">
            <w:pPr>
              <w:spacing w:before="100" w:beforeAutospacing="1" w:after="100" w:afterAutospacing="1" w:line="360" w:lineRule="auto"/>
              <w:rPr>
                <w:rFonts w:asciiTheme="majorHAnsi" w:hAnsiTheme="majorHAnsi" w:cstheme="majorHAnsi"/>
                <w:color w:val="000000" w:themeColor="text1"/>
                <w:sz w:val="14"/>
                <w:szCs w:val="14"/>
              </w:rPr>
            </w:pPr>
            <w:r>
              <w:rPr>
                <w:rFonts w:asciiTheme="majorHAnsi" w:hAnsiTheme="majorHAnsi" w:cstheme="majorHAnsi"/>
                <w:color w:val="000000" w:themeColor="text1"/>
                <w:sz w:val="14"/>
                <w:szCs w:val="14"/>
              </w:rPr>
              <w:t>35</w:t>
            </w:r>
            <w:r w:rsidR="00CA6DEC" w:rsidRPr="008642FA">
              <w:rPr>
                <w:rFonts w:asciiTheme="majorHAnsi" w:hAnsiTheme="majorHAnsi" w:cstheme="majorHAnsi"/>
                <w:color w:val="000000" w:themeColor="text1"/>
                <w:sz w:val="14"/>
                <w:szCs w:val="14"/>
              </w:rPr>
              <w:t>%</w:t>
            </w:r>
          </w:p>
        </w:tc>
        <w:tc>
          <w:tcPr>
            <w:tcW w:w="1346" w:type="dxa"/>
          </w:tcPr>
          <w:p w14:paraId="44F59AA4" w14:textId="77777777" w:rsidR="00CA6DEC" w:rsidRPr="008642FA" w:rsidRDefault="00E8174B" w:rsidP="007C1A2E">
            <w:pPr>
              <w:spacing w:before="100" w:beforeAutospacing="1" w:after="100" w:afterAutospacing="1" w:line="360" w:lineRule="auto"/>
              <w:rPr>
                <w:rFonts w:asciiTheme="majorHAnsi" w:hAnsiTheme="majorHAnsi" w:cstheme="majorHAnsi"/>
                <w:color w:val="000000" w:themeColor="text1"/>
                <w:sz w:val="14"/>
                <w:szCs w:val="14"/>
              </w:rPr>
            </w:pPr>
            <w:r>
              <w:rPr>
                <w:rFonts w:asciiTheme="majorHAnsi" w:hAnsiTheme="majorHAnsi" w:cstheme="majorHAnsi"/>
                <w:color w:val="000000" w:themeColor="text1"/>
                <w:sz w:val="14"/>
                <w:szCs w:val="14"/>
              </w:rPr>
              <w:t>50</w:t>
            </w:r>
            <w:r w:rsidR="00CA6DEC" w:rsidRPr="008642FA">
              <w:rPr>
                <w:rFonts w:asciiTheme="majorHAnsi" w:hAnsiTheme="majorHAnsi" w:cstheme="majorHAnsi"/>
                <w:color w:val="000000" w:themeColor="text1"/>
                <w:sz w:val="14"/>
                <w:szCs w:val="14"/>
              </w:rPr>
              <w:t>%</w:t>
            </w:r>
          </w:p>
        </w:tc>
        <w:tc>
          <w:tcPr>
            <w:tcW w:w="1347" w:type="dxa"/>
          </w:tcPr>
          <w:p w14:paraId="1D3A669D" w14:textId="77777777" w:rsidR="00CA6DEC" w:rsidRPr="008642FA" w:rsidRDefault="00E8174B" w:rsidP="007C1A2E">
            <w:pPr>
              <w:spacing w:before="100" w:beforeAutospacing="1" w:after="100" w:afterAutospacing="1" w:line="360" w:lineRule="auto"/>
              <w:rPr>
                <w:rFonts w:asciiTheme="majorHAnsi" w:hAnsiTheme="majorHAnsi" w:cstheme="majorHAnsi"/>
                <w:color w:val="000000" w:themeColor="text1"/>
                <w:sz w:val="14"/>
                <w:szCs w:val="14"/>
              </w:rPr>
            </w:pPr>
            <w:r>
              <w:rPr>
                <w:rFonts w:asciiTheme="majorHAnsi" w:hAnsiTheme="majorHAnsi" w:cstheme="majorHAnsi"/>
                <w:color w:val="000000" w:themeColor="text1"/>
                <w:sz w:val="14"/>
                <w:szCs w:val="14"/>
              </w:rPr>
              <w:t>27</w:t>
            </w:r>
            <w:r w:rsidR="00CA6DEC" w:rsidRPr="008642FA">
              <w:rPr>
                <w:rFonts w:asciiTheme="majorHAnsi" w:hAnsiTheme="majorHAnsi" w:cstheme="majorHAnsi"/>
                <w:color w:val="000000" w:themeColor="text1"/>
                <w:sz w:val="14"/>
                <w:szCs w:val="14"/>
              </w:rPr>
              <w:t>%</w:t>
            </w:r>
          </w:p>
        </w:tc>
      </w:tr>
      <w:tr w:rsidR="00CA6DEC" w:rsidRPr="008642FA" w14:paraId="418CDEE0" w14:textId="77777777" w:rsidTr="00080CF5">
        <w:trPr>
          <w:trHeight w:val="37"/>
        </w:trPr>
        <w:tc>
          <w:tcPr>
            <w:tcW w:w="3256" w:type="dxa"/>
          </w:tcPr>
          <w:p w14:paraId="03582C65" w14:textId="77777777" w:rsidR="00CA6DEC" w:rsidRPr="008642FA" w:rsidRDefault="00CA6DEC" w:rsidP="007C1A2E">
            <w:pPr>
              <w:spacing w:before="100" w:beforeAutospacing="1" w:after="100" w:afterAutospacing="1" w:line="360" w:lineRule="auto"/>
              <w:rPr>
                <w:rFonts w:asciiTheme="majorHAnsi" w:hAnsiTheme="majorHAnsi" w:cstheme="majorHAnsi"/>
                <w:color w:val="000000" w:themeColor="text1"/>
                <w:sz w:val="14"/>
                <w:szCs w:val="14"/>
              </w:rPr>
            </w:pPr>
            <w:r w:rsidRPr="008642FA">
              <w:rPr>
                <w:rFonts w:asciiTheme="majorHAnsi" w:hAnsiTheme="majorHAnsi" w:cstheme="majorHAnsi"/>
                <w:color w:val="000000" w:themeColor="text1"/>
                <w:sz w:val="14"/>
                <w:szCs w:val="14"/>
              </w:rPr>
              <w:t>Teachers (n=107)</w:t>
            </w:r>
          </w:p>
        </w:tc>
        <w:tc>
          <w:tcPr>
            <w:tcW w:w="1346" w:type="dxa"/>
          </w:tcPr>
          <w:p w14:paraId="68ABC427" w14:textId="77777777" w:rsidR="00CA6DEC" w:rsidRPr="008642FA" w:rsidRDefault="00E8174B" w:rsidP="007C1A2E">
            <w:pPr>
              <w:spacing w:before="100" w:beforeAutospacing="1" w:after="100" w:afterAutospacing="1" w:line="360" w:lineRule="auto"/>
              <w:rPr>
                <w:rFonts w:asciiTheme="majorHAnsi" w:hAnsiTheme="majorHAnsi" w:cstheme="majorHAnsi"/>
                <w:color w:val="000000" w:themeColor="text1"/>
                <w:sz w:val="14"/>
                <w:szCs w:val="14"/>
              </w:rPr>
            </w:pPr>
            <w:r>
              <w:rPr>
                <w:rFonts w:asciiTheme="majorHAnsi" w:hAnsiTheme="majorHAnsi" w:cstheme="majorHAnsi"/>
                <w:color w:val="000000" w:themeColor="text1"/>
                <w:sz w:val="14"/>
                <w:szCs w:val="14"/>
              </w:rPr>
              <w:t>37%</w:t>
            </w:r>
          </w:p>
        </w:tc>
        <w:tc>
          <w:tcPr>
            <w:tcW w:w="1347" w:type="dxa"/>
          </w:tcPr>
          <w:p w14:paraId="2091057B" w14:textId="77777777" w:rsidR="00CA6DEC" w:rsidRPr="008642FA" w:rsidRDefault="00E8174B" w:rsidP="007C1A2E">
            <w:pPr>
              <w:spacing w:before="100" w:beforeAutospacing="1" w:after="100" w:afterAutospacing="1" w:line="360" w:lineRule="auto"/>
              <w:rPr>
                <w:rFonts w:asciiTheme="majorHAnsi" w:hAnsiTheme="majorHAnsi" w:cstheme="majorHAnsi"/>
                <w:color w:val="000000" w:themeColor="text1"/>
                <w:sz w:val="14"/>
                <w:szCs w:val="14"/>
              </w:rPr>
            </w:pPr>
            <w:r>
              <w:rPr>
                <w:rFonts w:asciiTheme="majorHAnsi" w:hAnsiTheme="majorHAnsi" w:cstheme="majorHAnsi"/>
                <w:color w:val="000000" w:themeColor="text1"/>
                <w:sz w:val="14"/>
                <w:szCs w:val="14"/>
              </w:rPr>
              <w:t>20%</w:t>
            </w:r>
          </w:p>
        </w:tc>
        <w:tc>
          <w:tcPr>
            <w:tcW w:w="1346" w:type="dxa"/>
          </w:tcPr>
          <w:p w14:paraId="768BF614" w14:textId="77777777" w:rsidR="00CA6DEC" w:rsidRPr="008642FA" w:rsidRDefault="00E8174B" w:rsidP="007C1A2E">
            <w:pPr>
              <w:spacing w:before="100" w:beforeAutospacing="1" w:after="100" w:afterAutospacing="1" w:line="360" w:lineRule="auto"/>
              <w:rPr>
                <w:rFonts w:asciiTheme="majorHAnsi" w:hAnsiTheme="majorHAnsi" w:cstheme="majorHAnsi"/>
                <w:color w:val="000000" w:themeColor="text1"/>
                <w:sz w:val="14"/>
                <w:szCs w:val="14"/>
              </w:rPr>
            </w:pPr>
            <w:r>
              <w:rPr>
                <w:rFonts w:asciiTheme="majorHAnsi" w:hAnsiTheme="majorHAnsi" w:cstheme="majorHAnsi"/>
                <w:color w:val="000000" w:themeColor="text1"/>
                <w:sz w:val="14"/>
                <w:szCs w:val="14"/>
              </w:rPr>
              <w:t>38%</w:t>
            </w:r>
          </w:p>
        </w:tc>
        <w:tc>
          <w:tcPr>
            <w:tcW w:w="1347" w:type="dxa"/>
          </w:tcPr>
          <w:p w14:paraId="726C5885" w14:textId="77777777" w:rsidR="00CA6DEC" w:rsidRPr="008642FA" w:rsidRDefault="00E8174B" w:rsidP="007C1A2E">
            <w:pPr>
              <w:spacing w:before="100" w:beforeAutospacing="1" w:after="100" w:afterAutospacing="1" w:line="360" w:lineRule="auto"/>
              <w:rPr>
                <w:rFonts w:asciiTheme="majorHAnsi" w:hAnsiTheme="majorHAnsi" w:cstheme="majorHAnsi"/>
                <w:color w:val="000000" w:themeColor="text1"/>
                <w:sz w:val="14"/>
                <w:szCs w:val="14"/>
              </w:rPr>
            </w:pPr>
            <w:r>
              <w:rPr>
                <w:rFonts w:asciiTheme="majorHAnsi" w:hAnsiTheme="majorHAnsi" w:cstheme="majorHAnsi"/>
                <w:color w:val="000000" w:themeColor="text1"/>
                <w:sz w:val="14"/>
                <w:szCs w:val="14"/>
              </w:rPr>
              <w:t>25%</w:t>
            </w:r>
          </w:p>
        </w:tc>
      </w:tr>
      <w:tr w:rsidR="00CA6DEC" w:rsidRPr="008642FA" w14:paraId="7962B846" w14:textId="77777777" w:rsidTr="00080CF5">
        <w:trPr>
          <w:trHeight w:val="37"/>
        </w:trPr>
        <w:tc>
          <w:tcPr>
            <w:tcW w:w="3256" w:type="dxa"/>
          </w:tcPr>
          <w:p w14:paraId="544F1B41" w14:textId="77777777" w:rsidR="00CA6DEC" w:rsidRPr="008642FA" w:rsidRDefault="00CA6DEC" w:rsidP="007C1A2E">
            <w:pPr>
              <w:spacing w:before="100" w:beforeAutospacing="1" w:after="100" w:afterAutospacing="1" w:line="360" w:lineRule="auto"/>
              <w:rPr>
                <w:rFonts w:asciiTheme="majorHAnsi" w:hAnsiTheme="majorHAnsi" w:cstheme="majorHAnsi"/>
                <w:color w:val="000000" w:themeColor="text1"/>
                <w:sz w:val="14"/>
                <w:szCs w:val="14"/>
              </w:rPr>
            </w:pPr>
            <w:r w:rsidRPr="008642FA">
              <w:rPr>
                <w:rFonts w:asciiTheme="majorHAnsi" w:hAnsiTheme="majorHAnsi" w:cstheme="majorHAnsi"/>
                <w:color w:val="000000" w:themeColor="text1"/>
                <w:sz w:val="14"/>
                <w:szCs w:val="14"/>
              </w:rPr>
              <w:t>Follow-Up Study **</w:t>
            </w:r>
          </w:p>
        </w:tc>
        <w:tc>
          <w:tcPr>
            <w:tcW w:w="1346" w:type="dxa"/>
          </w:tcPr>
          <w:p w14:paraId="79D56B52" w14:textId="77777777" w:rsidR="00CA6DEC" w:rsidRPr="008642FA" w:rsidRDefault="00CA6DEC" w:rsidP="007C1A2E">
            <w:pPr>
              <w:spacing w:before="100" w:beforeAutospacing="1" w:after="100" w:afterAutospacing="1" w:line="360" w:lineRule="auto"/>
              <w:rPr>
                <w:rFonts w:asciiTheme="majorHAnsi" w:hAnsiTheme="majorHAnsi" w:cstheme="majorHAnsi"/>
                <w:color w:val="000000" w:themeColor="text1"/>
                <w:sz w:val="14"/>
                <w:szCs w:val="14"/>
              </w:rPr>
            </w:pPr>
          </w:p>
        </w:tc>
        <w:tc>
          <w:tcPr>
            <w:tcW w:w="1347" w:type="dxa"/>
          </w:tcPr>
          <w:p w14:paraId="0B831969" w14:textId="77777777" w:rsidR="00CA6DEC" w:rsidRPr="008642FA" w:rsidRDefault="00CA6DEC" w:rsidP="007C1A2E">
            <w:pPr>
              <w:spacing w:before="100" w:beforeAutospacing="1" w:after="100" w:afterAutospacing="1" w:line="360" w:lineRule="auto"/>
              <w:rPr>
                <w:rFonts w:asciiTheme="majorHAnsi" w:hAnsiTheme="majorHAnsi" w:cstheme="majorHAnsi"/>
                <w:color w:val="000000" w:themeColor="text1"/>
                <w:sz w:val="14"/>
                <w:szCs w:val="14"/>
              </w:rPr>
            </w:pPr>
          </w:p>
        </w:tc>
        <w:tc>
          <w:tcPr>
            <w:tcW w:w="1346" w:type="dxa"/>
          </w:tcPr>
          <w:p w14:paraId="3F7284EC" w14:textId="77777777" w:rsidR="00CA6DEC" w:rsidRPr="008642FA" w:rsidRDefault="00CA6DEC" w:rsidP="007C1A2E">
            <w:pPr>
              <w:spacing w:before="100" w:beforeAutospacing="1" w:after="100" w:afterAutospacing="1" w:line="360" w:lineRule="auto"/>
              <w:rPr>
                <w:rFonts w:asciiTheme="majorHAnsi" w:hAnsiTheme="majorHAnsi" w:cstheme="majorHAnsi"/>
                <w:color w:val="000000" w:themeColor="text1"/>
                <w:sz w:val="14"/>
                <w:szCs w:val="14"/>
              </w:rPr>
            </w:pPr>
          </w:p>
        </w:tc>
        <w:tc>
          <w:tcPr>
            <w:tcW w:w="1347" w:type="dxa"/>
          </w:tcPr>
          <w:p w14:paraId="276218EB" w14:textId="77777777" w:rsidR="00CA6DEC" w:rsidRPr="008642FA" w:rsidRDefault="00CA6DEC" w:rsidP="007C1A2E">
            <w:pPr>
              <w:spacing w:before="100" w:beforeAutospacing="1" w:after="100" w:afterAutospacing="1" w:line="360" w:lineRule="auto"/>
              <w:rPr>
                <w:rFonts w:asciiTheme="majorHAnsi" w:hAnsiTheme="majorHAnsi" w:cstheme="majorHAnsi"/>
                <w:color w:val="000000" w:themeColor="text1"/>
                <w:sz w:val="14"/>
                <w:szCs w:val="14"/>
              </w:rPr>
            </w:pPr>
          </w:p>
        </w:tc>
      </w:tr>
      <w:tr w:rsidR="00CA6DEC" w:rsidRPr="008642FA" w14:paraId="32B0EB9D" w14:textId="77777777" w:rsidTr="00080CF5">
        <w:trPr>
          <w:trHeight w:val="37"/>
        </w:trPr>
        <w:tc>
          <w:tcPr>
            <w:tcW w:w="3256" w:type="dxa"/>
          </w:tcPr>
          <w:p w14:paraId="5B444B84" w14:textId="77777777" w:rsidR="00CA6DEC" w:rsidRPr="008642FA" w:rsidRDefault="00CA6DEC" w:rsidP="007C1A2E">
            <w:pPr>
              <w:spacing w:before="100" w:beforeAutospacing="1" w:after="100" w:afterAutospacing="1" w:line="360" w:lineRule="auto"/>
              <w:rPr>
                <w:rFonts w:asciiTheme="majorHAnsi" w:hAnsiTheme="majorHAnsi" w:cstheme="majorHAnsi"/>
                <w:color w:val="000000" w:themeColor="text1"/>
                <w:sz w:val="14"/>
                <w:szCs w:val="14"/>
              </w:rPr>
            </w:pPr>
            <w:r w:rsidRPr="008642FA">
              <w:rPr>
                <w:rFonts w:asciiTheme="majorHAnsi" w:hAnsiTheme="majorHAnsi" w:cstheme="majorHAnsi"/>
                <w:color w:val="000000" w:themeColor="text1"/>
                <w:sz w:val="14"/>
                <w:szCs w:val="14"/>
              </w:rPr>
              <w:t>PSHs (n=11)</w:t>
            </w:r>
          </w:p>
        </w:tc>
        <w:tc>
          <w:tcPr>
            <w:tcW w:w="1346" w:type="dxa"/>
          </w:tcPr>
          <w:p w14:paraId="6611EAFB" w14:textId="77777777" w:rsidR="00CA6DEC" w:rsidRPr="008642FA" w:rsidRDefault="00E8174B" w:rsidP="007C1A2E">
            <w:pPr>
              <w:spacing w:before="100" w:beforeAutospacing="1" w:after="100" w:afterAutospacing="1" w:line="360" w:lineRule="auto"/>
              <w:rPr>
                <w:rFonts w:asciiTheme="majorHAnsi" w:hAnsiTheme="majorHAnsi" w:cstheme="majorHAnsi"/>
                <w:color w:val="000000" w:themeColor="text1"/>
                <w:sz w:val="14"/>
                <w:szCs w:val="14"/>
              </w:rPr>
            </w:pPr>
            <w:r>
              <w:rPr>
                <w:rFonts w:asciiTheme="majorHAnsi" w:hAnsiTheme="majorHAnsi" w:cstheme="majorHAnsi"/>
                <w:color w:val="000000" w:themeColor="text1"/>
                <w:sz w:val="14"/>
                <w:szCs w:val="14"/>
              </w:rPr>
              <w:t>33</w:t>
            </w:r>
            <w:r w:rsidR="00CA6DEC" w:rsidRPr="008642FA">
              <w:rPr>
                <w:rFonts w:asciiTheme="majorHAnsi" w:hAnsiTheme="majorHAnsi" w:cstheme="majorHAnsi"/>
                <w:color w:val="000000" w:themeColor="text1"/>
                <w:sz w:val="14"/>
                <w:szCs w:val="14"/>
              </w:rPr>
              <w:t>%</w:t>
            </w:r>
          </w:p>
        </w:tc>
        <w:tc>
          <w:tcPr>
            <w:tcW w:w="1347" w:type="dxa"/>
          </w:tcPr>
          <w:p w14:paraId="58708BD4" w14:textId="77777777" w:rsidR="00CA6DEC" w:rsidRPr="008642FA" w:rsidRDefault="00E8174B" w:rsidP="007C1A2E">
            <w:pPr>
              <w:spacing w:before="100" w:beforeAutospacing="1" w:after="100" w:afterAutospacing="1" w:line="360" w:lineRule="auto"/>
              <w:rPr>
                <w:rFonts w:asciiTheme="majorHAnsi" w:hAnsiTheme="majorHAnsi" w:cstheme="majorHAnsi"/>
                <w:color w:val="000000" w:themeColor="text1"/>
                <w:sz w:val="14"/>
                <w:szCs w:val="14"/>
              </w:rPr>
            </w:pPr>
            <w:r>
              <w:rPr>
                <w:rFonts w:asciiTheme="majorHAnsi" w:hAnsiTheme="majorHAnsi" w:cstheme="majorHAnsi"/>
                <w:color w:val="000000" w:themeColor="text1"/>
                <w:sz w:val="14"/>
                <w:szCs w:val="14"/>
              </w:rPr>
              <w:t>25</w:t>
            </w:r>
            <w:r w:rsidR="00CA6DEC" w:rsidRPr="008642FA">
              <w:rPr>
                <w:rFonts w:asciiTheme="majorHAnsi" w:hAnsiTheme="majorHAnsi" w:cstheme="majorHAnsi"/>
                <w:color w:val="000000" w:themeColor="text1"/>
                <w:sz w:val="14"/>
                <w:szCs w:val="14"/>
              </w:rPr>
              <w:t>%</w:t>
            </w:r>
          </w:p>
        </w:tc>
        <w:tc>
          <w:tcPr>
            <w:tcW w:w="1346" w:type="dxa"/>
          </w:tcPr>
          <w:p w14:paraId="70B12C63" w14:textId="77777777" w:rsidR="00CA6DEC" w:rsidRPr="008642FA" w:rsidRDefault="00E8174B" w:rsidP="007C1A2E">
            <w:pPr>
              <w:spacing w:before="100" w:beforeAutospacing="1" w:after="100" w:afterAutospacing="1" w:line="360" w:lineRule="auto"/>
              <w:rPr>
                <w:rFonts w:asciiTheme="majorHAnsi" w:hAnsiTheme="majorHAnsi" w:cstheme="majorHAnsi"/>
                <w:color w:val="000000" w:themeColor="text1"/>
                <w:sz w:val="14"/>
                <w:szCs w:val="14"/>
              </w:rPr>
            </w:pPr>
            <w:r>
              <w:rPr>
                <w:rFonts w:asciiTheme="majorHAnsi" w:hAnsiTheme="majorHAnsi" w:cstheme="majorHAnsi"/>
                <w:color w:val="000000" w:themeColor="text1"/>
                <w:sz w:val="14"/>
                <w:szCs w:val="14"/>
              </w:rPr>
              <w:t>33</w:t>
            </w:r>
            <w:r w:rsidR="00CA6DEC" w:rsidRPr="008642FA">
              <w:rPr>
                <w:rFonts w:asciiTheme="majorHAnsi" w:hAnsiTheme="majorHAnsi" w:cstheme="majorHAnsi"/>
                <w:color w:val="000000" w:themeColor="text1"/>
                <w:sz w:val="14"/>
                <w:szCs w:val="14"/>
              </w:rPr>
              <w:t>%</w:t>
            </w:r>
          </w:p>
        </w:tc>
        <w:tc>
          <w:tcPr>
            <w:tcW w:w="1347" w:type="dxa"/>
          </w:tcPr>
          <w:p w14:paraId="5800D324" w14:textId="77777777" w:rsidR="00CA6DEC" w:rsidRPr="008642FA" w:rsidRDefault="00E8174B" w:rsidP="007C1A2E">
            <w:pPr>
              <w:spacing w:before="100" w:beforeAutospacing="1" w:after="100" w:afterAutospacing="1" w:line="360" w:lineRule="auto"/>
              <w:rPr>
                <w:rFonts w:asciiTheme="majorHAnsi" w:hAnsiTheme="majorHAnsi" w:cstheme="majorHAnsi"/>
                <w:color w:val="000000" w:themeColor="text1"/>
                <w:sz w:val="14"/>
                <w:szCs w:val="14"/>
              </w:rPr>
            </w:pPr>
            <w:r>
              <w:rPr>
                <w:rFonts w:asciiTheme="majorHAnsi" w:hAnsiTheme="majorHAnsi" w:cstheme="majorHAnsi"/>
                <w:color w:val="000000" w:themeColor="text1"/>
                <w:sz w:val="14"/>
                <w:szCs w:val="14"/>
              </w:rPr>
              <w:t>25</w:t>
            </w:r>
            <w:r w:rsidR="00CA6DEC" w:rsidRPr="008642FA">
              <w:rPr>
                <w:rFonts w:asciiTheme="majorHAnsi" w:hAnsiTheme="majorHAnsi" w:cstheme="majorHAnsi"/>
                <w:color w:val="000000" w:themeColor="text1"/>
                <w:sz w:val="14"/>
                <w:szCs w:val="14"/>
              </w:rPr>
              <w:t>%</w:t>
            </w:r>
          </w:p>
        </w:tc>
      </w:tr>
      <w:tr w:rsidR="00CA6DEC" w:rsidRPr="008642FA" w14:paraId="1B2877F0" w14:textId="77777777" w:rsidTr="00080CF5">
        <w:trPr>
          <w:trHeight w:val="37"/>
        </w:trPr>
        <w:tc>
          <w:tcPr>
            <w:tcW w:w="3256" w:type="dxa"/>
          </w:tcPr>
          <w:p w14:paraId="484BB037" w14:textId="77777777" w:rsidR="00CA6DEC" w:rsidRPr="008642FA" w:rsidRDefault="00CA6DEC" w:rsidP="007C1A2E">
            <w:pPr>
              <w:spacing w:before="100" w:beforeAutospacing="1" w:after="100" w:afterAutospacing="1" w:line="360" w:lineRule="auto"/>
              <w:rPr>
                <w:rFonts w:asciiTheme="majorHAnsi" w:hAnsiTheme="majorHAnsi" w:cstheme="majorHAnsi"/>
                <w:color w:val="000000" w:themeColor="text1"/>
                <w:sz w:val="14"/>
                <w:szCs w:val="14"/>
              </w:rPr>
            </w:pPr>
            <w:r w:rsidRPr="008642FA">
              <w:rPr>
                <w:rFonts w:asciiTheme="majorHAnsi" w:hAnsiTheme="majorHAnsi" w:cstheme="majorHAnsi"/>
                <w:color w:val="000000" w:themeColor="text1"/>
                <w:sz w:val="14"/>
                <w:szCs w:val="14"/>
              </w:rPr>
              <w:t>Teachers (n=61)</w:t>
            </w:r>
          </w:p>
        </w:tc>
        <w:tc>
          <w:tcPr>
            <w:tcW w:w="1346" w:type="dxa"/>
          </w:tcPr>
          <w:p w14:paraId="1AB40114" w14:textId="77777777" w:rsidR="00CA6DEC" w:rsidRPr="008642FA" w:rsidRDefault="00E8174B" w:rsidP="007C1A2E">
            <w:pPr>
              <w:spacing w:before="100" w:beforeAutospacing="1" w:after="100" w:afterAutospacing="1" w:line="360" w:lineRule="auto"/>
              <w:rPr>
                <w:rFonts w:asciiTheme="majorHAnsi" w:hAnsiTheme="majorHAnsi" w:cstheme="majorHAnsi"/>
                <w:color w:val="000000" w:themeColor="text1"/>
                <w:sz w:val="14"/>
                <w:szCs w:val="14"/>
              </w:rPr>
            </w:pPr>
            <w:r>
              <w:rPr>
                <w:rFonts w:asciiTheme="majorHAnsi" w:hAnsiTheme="majorHAnsi" w:cstheme="majorHAnsi"/>
                <w:color w:val="000000" w:themeColor="text1"/>
                <w:sz w:val="14"/>
                <w:szCs w:val="14"/>
              </w:rPr>
              <w:t>56</w:t>
            </w:r>
            <w:r w:rsidR="00CA6DEC" w:rsidRPr="008642FA">
              <w:rPr>
                <w:rFonts w:asciiTheme="majorHAnsi" w:hAnsiTheme="majorHAnsi" w:cstheme="majorHAnsi"/>
                <w:color w:val="000000" w:themeColor="text1"/>
                <w:sz w:val="14"/>
                <w:szCs w:val="14"/>
              </w:rPr>
              <w:t>%</w:t>
            </w:r>
          </w:p>
        </w:tc>
        <w:tc>
          <w:tcPr>
            <w:tcW w:w="1347" w:type="dxa"/>
          </w:tcPr>
          <w:p w14:paraId="069A209B" w14:textId="77777777" w:rsidR="00CA6DEC" w:rsidRPr="008642FA" w:rsidRDefault="00E8174B" w:rsidP="007C1A2E">
            <w:pPr>
              <w:spacing w:before="100" w:beforeAutospacing="1" w:after="100" w:afterAutospacing="1" w:line="360" w:lineRule="auto"/>
              <w:rPr>
                <w:rFonts w:asciiTheme="majorHAnsi" w:hAnsiTheme="majorHAnsi" w:cstheme="majorHAnsi"/>
                <w:color w:val="000000" w:themeColor="text1"/>
                <w:sz w:val="14"/>
                <w:szCs w:val="14"/>
              </w:rPr>
            </w:pPr>
            <w:r>
              <w:rPr>
                <w:rFonts w:asciiTheme="majorHAnsi" w:hAnsiTheme="majorHAnsi" w:cstheme="majorHAnsi"/>
                <w:color w:val="000000" w:themeColor="text1"/>
                <w:sz w:val="14"/>
                <w:szCs w:val="14"/>
              </w:rPr>
              <w:t>25</w:t>
            </w:r>
            <w:r w:rsidR="00CA6DEC" w:rsidRPr="008642FA">
              <w:rPr>
                <w:rFonts w:asciiTheme="majorHAnsi" w:hAnsiTheme="majorHAnsi" w:cstheme="majorHAnsi"/>
                <w:color w:val="000000" w:themeColor="text1"/>
                <w:sz w:val="14"/>
                <w:szCs w:val="14"/>
              </w:rPr>
              <w:t>%</w:t>
            </w:r>
          </w:p>
        </w:tc>
        <w:tc>
          <w:tcPr>
            <w:tcW w:w="1346" w:type="dxa"/>
          </w:tcPr>
          <w:p w14:paraId="61E18098" w14:textId="77777777" w:rsidR="00CA6DEC" w:rsidRPr="008642FA" w:rsidRDefault="00E8174B" w:rsidP="007C1A2E">
            <w:pPr>
              <w:spacing w:before="100" w:beforeAutospacing="1" w:after="100" w:afterAutospacing="1" w:line="360" w:lineRule="auto"/>
              <w:rPr>
                <w:rFonts w:asciiTheme="majorHAnsi" w:hAnsiTheme="majorHAnsi" w:cstheme="majorHAnsi"/>
                <w:color w:val="000000" w:themeColor="text1"/>
                <w:sz w:val="14"/>
                <w:szCs w:val="14"/>
              </w:rPr>
            </w:pPr>
            <w:r>
              <w:rPr>
                <w:rFonts w:asciiTheme="majorHAnsi" w:hAnsiTheme="majorHAnsi" w:cstheme="majorHAnsi"/>
                <w:color w:val="000000" w:themeColor="text1"/>
                <w:sz w:val="14"/>
                <w:szCs w:val="14"/>
              </w:rPr>
              <w:t>56</w:t>
            </w:r>
            <w:r w:rsidR="00CA6DEC" w:rsidRPr="008642FA">
              <w:rPr>
                <w:rFonts w:asciiTheme="majorHAnsi" w:hAnsiTheme="majorHAnsi" w:cstheme="majorHAnsi"/>
                <w:color w:val="000000" w:themeColor="text1"/>
                <w:sz w:val="14"/>
                <w:szCs w:val="14"/>
              </w:rPr>
              <w:t>%</w:t>
            </w:r>
          </w:p>
        </w:tc>
        <w:tc>
          <w:tcPr>
            <w:tcW w:w="1347" w:type="dxa"/>
          </w:tcPr>
          <w:p w14:paraId="230F4074" w14:textId="77777777" w:rsidR="00CA6DEC" w:rsidRPr="008642FA" w:rsidRDefault="00E8174B" w:rsidP="007C1A2E">
            <w:pPr>
              <w:spacing w:before="100" w:beforeAutospacing="1" w:after="100" w:afterAutospacing="1" w:line="360" w:lineRule="auto"/>
              <w:rPr>
                <w:rFonts w:asciiTheme="majorHAnsi" w:hAnsiTheme="majorHAnsi" w:cstheme="majorHAnsi"/>
                <w:color w:val="000000" w:themeColor="text1"/>
                <w:sz w:val="14"/>
                <w:szCs w:val="14"/>
              </w:rPr>
            </w:pPr>
            <w:r>
              <w:rPr>
                <w:rFonts w:asciiTheme="majorHAnsi" w:hAnsiTheme="majorHAnsi" w:cstheme="majorHAnsi"/>
                <w:color w:val="000000" w:themeColor="text1"/>
                <w:sz w:val="14"/>
                <w:szCs w:val="14"/>
              </w:rPr>
              <w:t>26</w:t>
            </w:r>
            <w:r w:rsidR="00CA6DEC" w:rsidRPr="008642FA">
              <w:rPr>
                <w:rFonts w:asciiTheme="majorHAnsi" w:hAnsiTheme="majorHAnsi" w:cstheme="majorHAnsi"/>
                <w:color w:val="000000" w:themeColor="text1"/>
                <w:sz w:val="14"/>
                <w:szCs w:val="14"/>
              </w:rPr>
              <w:t>%</w:t>
            </w:r>
          </w:p>
        </w:tc>
      </w:tr>
      <w:tr w:rsidR="00080CF5" w:rsidRPr="008642FA" w14:paraId="07C0CCCA" w14:textId="77777777" w:rsidTr="00080CF5">
        <w:trPr>
          <w:trHeight w:val="37"/>
        </w:trPr>
        <w:tc>
          <w:tcPr>
            <w:tcW w:w="3256" w:type="dxa"/>
          </w:tcPr>
          <w:p w14:paraId="748B1CE3" w14:textId="173B6095" w:rsidR="00080CF5" w:rsidRPr="008642FA" w:rsidRDefault="00080CF5" w:rsidP="007C1A2E">
            <w:pPr>
              <w:spacing w:before="100" w:beforeAutospacing="1" w:after="100" w:afterAutospacing="1" w:line="360" w:lineRule="auto"/>
              <w:rPr>
                <w:rFonts w:asciiTheme="majorHAnsi" w:hAnsiTheme="majorHAnsi" w:cstheme="majorHAnsi"/>
                <w:color w:val="000000" w:themeColor="text1"/>
                <w:sz w:val="14"/>
                <w:szCs w:val="14"/>
              </w:rPr>
            </w:pPr>
            <w:r w:rsidRPr="00567F1C">
              <w:rPr>
                <w:rFonts w:asciiTheme="majorHAnsi" w:hAnsiTheme="majorHAnsi" w:cstheme="majorHAnsi"/>
                <w:b/>
                <w:bCs/>
                <w:color w:val="000000" w:themeColor="text1"/>
                <w:sz w:val="14"/>
                <w:szCs w:val="14"/>
              </w:rPr>
              <w:t>DO No. 29 s. 2017 on the “Policy Guidelines on System Assessment in the K-12 Basic Education Program”</w:t>
            </w:r>
          </w:p>
        </w:tc>
        <w:tc>
          <w:tcPr>
            <w:tcW w:w="1346" w:type="dxa"/>
          </w:tcPr>
          <w:p w14:paraId="17E01758" w14:textId="77777777" w:rsidR="00080CF5" w:rsidRPr="008642FA" w:rsidRDefault="00080CF5" w:rsidP="007C1A2E">
            <w:pPr>
              <w:spacing w:before="100" w:beforeAutospacing="1" w:after="100" w:afterAutospacing="1" w:line="360" w:lineRule="auto"/>
              <w:rPr>
                <w:rFonts w:asciiTheme="majorHAnsi" w:hAnsiTheme="majorHAnsi" w:cstheme="majorHAnsi"/>
                <w:color w:val="000000" w:themeColor="text1"/>
                <w:sz w:val="14"/>
                <w:szCs w:val="14"/>
              </w:rPr>
            </w:pPr>
          </w:p>
        </w:tc>
        <w:tc>
          <w:tcPr>
            <w:tcW w:w="1347" w:type="dxa"/>
          </w:tcPr>
          <w:p w14:paraId="0AEC4D95" w14:textId="77777777" w:rsidR="00080CF5" w:rsidRPr="008642FA" w:rsidRDefault="00080CF5" w:rsidP="007C1A2E">
            <w:pPr>
              <w:spacing w:before="100" w:beforeAutospacing="1" w:after="100" w:afterAutospacing="1" w:line="360" w:lineRule="auto"/>
              <w:rPr>
                <w:rFonts w:asciiTheme="majorHAnsi" w:hAnsiTheme="majorHAnsi" w:cstheme="majorHAnsi"/>
                <w:color w:val="000000" w:themeColor="text1"/>
                <w:sz w:val="14"/>
                <w:szCs w:val="14"/>
              </w:rPr>
            </w:pPr>
          </w:p>
        </w:tc>
        <w:tc>
          <w:tcPr>
            <w:tcW w:w="1346" w:type="dxa"/>
          </w:tcPr>
          <w:p w14:paraId="266912F7" w14:textId="77777777" w:rsidR="00080CF5" w:rsidRPr="008642FA" w:rsidRDefault="00080CF5" w:rsidP="007C1A2E">
            <w:pPr>
              <w:spacing w:before="100" w:beforeAutospacing="1" w:after="100" w:afterAutospacing="1" w:line="360" w:lineRule="auto"/>
              <w:rPr>
                <w:rFonts w:asciiTheme="majorHAnsi" w:hAnsiTheme="majorHAnsi" w:cstheme="majorHAnsi"/>
                <w:color w:val="000000" w:themeColor="text1"/>
                <w:sz w:val="14"/>
                <w:szCs w:val="14"/>
              </w:rPr>
            </w:pPr>
          </w:p>
        </w:tc>
        <w:tc>
          <w:tcPr>
            <w:tcW w:w="1347" w:type="dxa"/>
          </w:tcPr>
          <w:p w14:paraId="28094C4C" w14:textId="77777777" w:rsidR="00080CF5" w:rsidRPr="008642FA" w:rsidRDefault="00080CF5" w:rsidP="007C1A2E">
            <w:pPr>
              <w:spacing w:before="100" w:beforeAutospacing="1" w:after="100" w:afterAutospacing="1" w:line="360" w:lineRule="auto"/>
              <w:rPr>
                <w:rFonts w:asciiTheme="majorHAnsi" w:hAnsiTheme="majorHAnsi" w:cstheme="majorHAnsi"/>
                <w:color w:val="000000" w:themeColor="text1"/>
                <w:sz w:val="14"/>
                <w:szCs w:val="14"/>
              </w:rPr>
            </w:pPr>
          </w:p>
        </w:tc>
      </w:tr>
      <w:tr w:rsidR="00CA6DEC" w:rsidRPr="008642FA" w14:paraId="4F2D4F1A" w14:textId="77777777" w:rsidTr="00080CF5">
        <w:trPr>
          <w:trHeight w:val="37"/>
        </w:trPr>
        <w:tc>
          <w:tcPr>
            <w:tcW w:w="3256" w:type="dxa"/>
          </w:tcPr>
          <w:p w14:paraId="409BD4A1" w14:textId="77777777" w:rsidR="00CA6DEC" w:rsidRPr="008642FA" w:rsidRDefault="00CA6DEC" w:rsidP="007C1A2E">
            <w:pPr>
              <w:spacing w:before="100" w:beforeAutospacing="1" w:after="100" w:afterAutospacing="1" w:line="360" w:lineRule="auto"/>
              <w:rPr>
                <w:rFonts w:asciiTheme="majorHAnsi" w:hAnsiTheme="majorHAnsi" w:cstheme="majorHAnsi"/>
                <w:color w:val="000000" w:themeColor="text1"/>
                <w:sz w:val="14"/>
                <w:szCs w:val="14"/>
              </w:rPr>
            </w:pPr>
            <w:r w:rsidRPr="008642FA">
              <w:rPr>
                <w:rFonts w:asciiTheme="majorHAnsi" w:hAnsiTheme="majorHAnsi" w:cstheme="majorHAnsi"/>
                <w:color w:val="000000" w:themeColor="text1"/>
                <w:sz w:val="14"/>
                <w:szCs w:val="14"/>
              </w:rPr>
              <w:t>Main Study*</w:t>
            </w:r>
          </w:p>
        </w:tc>
        <w:tc>
          <w:tcPr>
            <w:tcW w:w="1346" w:type="dxa"/>
          </w:tcPr>
          <w:p w14:paraId="3538F590" w14:textId="77777777" w:rsidR="00CA6DEC" w:rsidRPr="008642FA" w:rsidRDefault="00CA6DEC" w:rsidP="007C1A2E">
            <w:pPr>
              <w:spacing w:before="100" w:beforeAutospacing="1" w:after="100" w:afterAutospacing="1" w:line="360" w:lineRule="auto"/>
              <w:rPr>
                <w:rFonts w:asciiTheme="majorHAnsi" w:hAnsiTheme="majorHAnsi" w:cstheme="majorHAnsi"/>
                <w:color w:val="000000" w:themeColor="text1"/>
                <w:sz w:val="14"/>
                <w:szCs w:val="14"/>
              </w:rPr>
            </w:pPr>
          </w:p>
        </w:tc>
        <w:tc>
          <w:tcPr>
            <w:tcW w:w="1347" w:type="dxa"/>
          </w:tcPr>
          <w:p w14:paraId="65315D51" w14:textId="77777777" w:rsidR="00CA6DEC" w:rsidRPr="008642FA" w:rsidRDefault="00CA6DEC" w:rsidP="007C1A2E">
            <w:pPr>
              <w:spacing w:before="100" w:beforeAutospacing="1" w:after="100" w:afterAutospacing="1" w:line="360" w:lineRule="auto"/>
              <w:rPr>
                <w:rFonts w:asciiTheme="majorHAnsi" w:hAnsiTheme="majorHAnsi" w:cstheme="majorHAnsi"/>
                <w:color w:val="000000" w:themeColor="text1"/>
                <w:sz w:val="14"/>
                <w:szCs w:val="14"/>
              </w:rPr>
            </w:pPr>
          </w:p>
        </w:tc>
        <w:tc>
          <w:tcPr>
            <w:tcW w:w="1346" w:type="dxa"/>
          </w:tcPr>
          <w:p w14:paraId="31D5DB9F" w14:textId="77777777" w:rsidR="00CA6DEC" w:rsidRPr="008642FA" w:rsidRDefault="00CA6DEC" w:rsidP="007C1A2E">
            <w:pPr>
              <w:spacing w:before="100" w:beforeAutospacing="1" w:after="100" w:afterAutospacing="1" w:line="360" w:lineRule="auto"/>
              <w:rPr>
                <w:rFonts w:asciiTheme="majorHAnsi" w:hAnsiTheme="majorHAnsi" w:cstheme="majorHAnsi"/>
                <w:color w:val="000000" w:themeColor="text1"/>
                <w:sz w:val="14"/>
                <w:szCs w:val="14"/>
              </w:rPr>
            </w:pPr>
          </w:p>
        </w:tc>
        <w:tc>
          <w:tcPr>
            <w:tcW w:w="1347" w:type="dxa"/>
          </w:tcPr>
          <w:p w14:paraId="74572B84" w14:textId="77777777" w:rsidR="00CA6DEC" w:rsidRPr="008642FA" w:rsidRDefault="00CA6DEC" w:rsidP="007C1A2E">
            <w:pPr>
              <w:spacing w:before="100" w:beforeAutospacing="1" w:after="100" w:afterAutospacing="1" w:line="360" w:lineRule="auto"/>
              <w:rPr>
                <w:rFonts w:asciiTheme="majorHAnsi" w:hAnsiTheme="majorHAnsi" w:cstheme="majorHAnsi"/>
                <w:color w:val="000000" w:themeColor="text1"/>
                <w:sz w:val="14"/>
                <w:szCs w:val="14"/>
              </w:rPr>
            </w:pPr>
          </w:p>
        </w:tc>
      </w:tr>
      <w:tr w:rsidR="00CA6DEC" w:rsidRPr="008642FA" w14:paraId="6CEB7938" w14:textId="77777777" w:rsidTr="00080CF5">
        <w:trPr>
          <w:trHeight w:val="37"/>
        </w:trPr>
        <w:tc>
          <w:tcPr>
            <w:tcW w:w="3256" w:type="dxa"/>
          </w:tcPr>
          <w:p w14:paraId="184084DF" w14:textId="77777777" w:rsidR="00CA6DEC" w:rsidRPr="008642FA" w:rsidRDefault="00CA6DEC" w:rsidP="007C1A2E">
            <w:pPr>
              <w:spacing w:before="100" w:beforeAutospacing="1" w:after="100" w:afterAutospacing="1" w:line="360" w:lineRule="auto"/>
              <w:rPr>
                <w:rFonts w:asciiTheme="majorHAnsi" w:hAnsiTheme="majorHAnsi" w:cstheme="majorHAnsi"/>
                <w:color w:val="000000" w:themeColor="text1"/>
                <w:sz w:val="14"/>
                <w:szCs w:val="14"/>
              </w:rPr>
            </w:pPr>
            <w:r w:rsidRPr="008642FA">
              <w:rPr>
                <w:rFonts w:asciiTheme="majorHAnsi" w:hAnsiTheme="majorHAnsi" w:cstheme="majorHAnsi"/>
                <w:color w:val="000000" w:themeColor="text1"/>
                <w:sz w:val="14"/>
                <w:szCs w:val="14"/>
              </w:rPr>
              <w:t>PSHs (n=26)</w:t>
            </w:r>
          </w:p>
        </w:tc>
        <w:tc>
          <w:tcPr>
            <w:tcW w:w="1346" w:type="dxa"/>
          </w:tcPr>
          <w:p w14:paraId="7E360C1D" w14:textId="77777777" w:rsidR="00CA6DEC" w:rsidRPr="008642FA" w:rsidRDefault="00E8174B" w:rsidP="007C1A2E">
            <w:pPr>
              <w:spacing w:before="100" w:beforeAutospacing="1" w:after="100" w:afterAutospacing="1" w:line="360" w:lineRule="auto"/>
              <w:rPr>
                <w:rFonts w:asciiTheme="majorHAnsi" w:hAnsiTheme="majorHAnsi" w:cstheme="majorHAnsi"/>
                <w:color w:val="000000" w:themeColor="text1"/>
                <w:sz w:val="14"/>
                <w:szCs w:val="14"/>
              </w:rPr>
            </w:pPr>
            <w:r>
              <w:rPr>
                <w:rFonts w:asciiTheme="majorHAnsi" w:hAnsiTheme="majorHAnsi" w:cstheme="majorHAnsi"/>
                <w:color w:val="000000" w:themeColor="text1"/>
                <w:sz w:val="14"/>
                <w:szCs w:val="14"/>
              </w:rPr>
              <w:t>48</w:t>
            </w:r>
            <w:r w:rsidR="00CA6DEC" w:rsidRPr="008642FA">
              <w:rPr>
                <w:rFonts w:asciiTheme="majorHAnsi" w:hAnsiTheme="majorHAnsi" w:cstheme="majorHAnsi"/>
                <w:color w:val="000000" w:themeColor="text1"/>
                <w:sz w:val="14"/>
                <w:szCs w:val="14"/>
              </w:rPr>
              <w:t>%</w:t>
            </w:r>
          </w:p>
        </w:tc>
        <w:tc>
          <w:tcPr>
            <w:tcW w:w="1347" w:type="dxa"/>
          </w:tcPr>
          <w:p w14:paraId="7A7BC212" w14:textId="77777777" w:rsidR="00CA6DEC" w:rsidRPr="008642FA" w:rsidRDefault="00E8174B" w:rsidP="007C1A2E">
            <w:pPr>
              <w:spacing w:before="100" w:beforeAutospacing="1" w:after="100" w:afterAutospacing="1" w:line="360" w:lineRule="auto"/>
              <w:rPr>
                <w:rFonts w:asciiTheme="majorHAnsi" w:hAnsiTheme="majorHAnsi" w:cstheme="majorHAnsi"/>
                <w:color w:val="000000" w:themeColor="text1"/>
                <w:sz w:val="14"/>
                <w:szCs w:val="14"/>
              </w:rPr>
            </w:pPr>
            <w:r>
              <w:rPr>
                <w:rFonts w:asciiTheme="majorHAnsi" w:hAnsiTheme="majorHAnsi" w:cstheme="majorHAnsi"/>
                <w:color w:val="000000" w:themeColor="text1"/>
                <w:sz w:val="14"/>
                <w:szCs w:val="14"/>
              </w:rPr>
              <w:t>40</w:t>
            </w:r>
            <w:r w:rsidR="00CA6DEC" w:rsidRPr="008642FA">
              <w:rPr>
                <w:rFonts w:asciiTheme="majorHAnsi" w:hAnsiTheme="majorHAnsi" w:cstheme="majorHAnsi"/>
                <w:color w:val="000000" w:themeColor="text1"/>
                <w:sz w:val="14"/>
                <w:szCs w:val="14"/>
              </w:rPr>
              <w:t>%</w:t>
            </w:r>
          </w:p>
        </w:tc>
        <w:tc>
          <w:tcPr>
            <w:tcW w:w="1346" w:type="dxa"/>
          </w:tcPr>
          <w:p w14:paraId="78D13162" w14:textId="77777777" w:rsidR="00CA6DEC" w:rsidRPr="008642FA" w:rsidRDefault="00E8174B" w:rsidP="007C1A2E">
            <w:pPr>
              <w:spacing w:before="100" w:beforeAutospacing="1" w:after="100" w:afterAutospacing="1" w:line="360" w:lineRule="auto"/>
              <w:rPr>
                <w:rFonts w:asciiTheme="majorHAnsi" w:hAnsiTheme="majorHAnsi" w:cstheme="majorHAnsi"/>
                <w:color w:val="000000" w:themeColor="text1"/>
                <w:sz w:val="14"/>
                <w:szCs w:val="14"/>
              </w:rPr>
            </w:pPr>
            <w:r>
              <w:rPr>
                <w:rFonts w:asciiTheme="majorHAnsi" w:hAnsiTheme="majorHAnsi" w:cstheme="majorHAnsi"/>
                <w:color w:val="000000" w:themeColor="text1"/>
                <w:sz w:val="14"/>
                <w:szCs w:val="14"/>
              </w:rPr>
              <w:t>38</w:t>
            </w:r>
            <w:r w:rsidR="00CA6DEC" w:rsidRPr="008642FA">
              <w:rPr>
                <w:rFonts w:asciiTheme="majorHAnsi" w:hAnsiTheme="majorHAnsi" w:cstheme="majorHAnsi"/>
                <w:color w:val="000000" w:themeColor="text1"/>
                <w:sz w:val="14"/>
                <w:szCs w:val="14"/>
              </w:rPr>
              <w:t>%</w:t>
            </w:r>
          </w:p>
        </w:tc>
        <w:tc>
          <w:tcPr>
            <w:tcW w:w="1347" w:type="dxa"/>
          </w:tcPr>
          <w:p w14:paraId="0C607EC1" w14:textId="77777777" w:rsidR="00CA6DEC" w:rsidRPr="008642FA" w:rsidRDefault="00E8174B" w:rsidP="007C1A2E">
            <w:pPr>
              <w:spacing w:before="100" w:beforeAutospacing="1" w:after="100" w:afterAutospacing="1" w:line="360" w:lineRule="auto"/>
              <w:rPr>
                <w:rFonts w:asciiTheme="majorHAnsi" w:hAnsiTheme="majorHAnsi" w:cstheme="majorHAnsi"/>
                <w:color w:val="000000" w:themeColor="text1"/>
                <w:sz w:val="14"/>
                <w:szCs w:val="14"/>
              </w:rPr>
            </w:pPr>
            <w:r>
              <w:rPr>
                <w:rFonts w:asciiTheme="majorHAnsi" w:hAnsiTheme="majorHAnsi" w:cstheme="majorHAnsi"/>
                <w:color w:val="000000" w:themeColor="text1"/>
                <w:sz w:val="14"/>
                <w:szCs w:val="14"/>
              </w:rPr>
              <w:t>50</w:t>
            </w:r>
            <w:r w:rsidR="00CA6DEC" w:rsidRPr="008642FA">
              <w:rPr>
                <w:rFonts w:asciiTheme="majorHAnsi" w:hAnsiTheme="majorHAnsi" w:cstheme="majorHAnsi"/>
                <w:color w:val="000000" w:themeColor="text1"/>
                <w:sz w:val="14"/>
                <w:szCs w:val="14"/>
              </w:rPr>
              <w:t>%</w:t>
            </w:r>
          </w:p>
        </w:tc>
      </w:tr>
      <w:tr w:rsidR="00CA6DEC" w:rsidRPr="008642FA" w14:paraId="240A4C76" w14:textId="77777777" w:rsidTr="00080CF5">
        <w:trPr>
          <w:trHeight w:val="37"/>
        </w:trPr>
        <w:tc>
          <w:tcPr>
            <w:tcW w:w="3256" w:type="dxa"/>
          </w:tcPr>
          <w:p w14:paraId="209641A5" w14:textId="77777777" w:rsidR="00CA6DEC" w:rsidRPr="008642FA" w:rsidRDefault="00CA6DEC" w:rsidP="007C1A2E">
            <w:pPr>
              <w:spacing w:before="100" w:beforeAutospacing="1" w:after="100" w:afterAutospacing="1" w:line="360" w:lineRule="auto"/>
              <w:rPr>
                <w:rFonts w:asciiTheme="majorHAnsi" w:hAnsiTheme="majorHAnsi" w:cstheme="majorHAnsi"/>
                <w:color w:val="000000" w:themeColor="text1"/>
                <w:sz w:val="14"/>
                <w:szCs w:val="14"/>
              </w:rPr>
            </w:pPr>
            <w:r w:rsidRPr="008642FA">
              <w:rPr>
                <w:rFonts w:asciiTheme="majorHAnsi" w:hAnsiTheme="majorHAnsi" w:cstheme="majorHAnsi"/>
                <w:color w:val="000000" w:themeColor="text1"/>
                <w:sz w:val="14"/>
                <w:szCs w:val="14"/>
              </w:rPr>
              <w:t>Teachers (n=107)</w:t>
            </w:r>
          </w:p>
        </w:tc>
        <w:tc>
          <w:tcPr>
            <w:tcW w:w="1346" w:type="dxa"/>
          </w:tcPr>
          <w:p w14:paraId="3F612AC9" w14:textId="77777777" w:rsidR="00CA6DEC" w:rsidRPr="008642FA" w:rsidRDefault="00E8174B" w:rsidP="007C1A2E">
            <w:pPr>
              <w:spacing w:before="100" w:beforeAutospacing="1" w:after="100" w:afterAutospacing="1" w:line="360" w:lineRule="auto"/>
              <w:rPr>
                <w:rFonts w:asciiTheme="majorHAnsi" w:hAnsiTheme="majorHAnsi" w:cstheme="majorHAnsi"/>
                <w:color w:val="000000" w:themeColor="text1"/>
                <w:sz w:val="14"/>
                <w:szCs w:val="14"/>
              </w:rPr>
            </w:pPr>
            <w:r>
              <w:rPr>
                <w:rFonts w:asciiTheme="majorHAnsi" w:hAnsiTheme="majorHAnsi" w:cstheme="majorHAnsi"/>
                <w:color w:val="000000" w:themeColor="text1"/>
                <w:sz w:val="14"/>
                <w:szCs w:val="14"/>
              </w:rPr>
              <w:t>38</w:t>
            </w:r>
            <w:r w:rsidR="00CA6DEC" w:rsidRPr="008642FA">
              <w:rPr>
                <w:rFonts w:asciiTheme="majorHAnsi" w:hAnsiTheme="majorHAnsi" w:cstheme="majorHAnsi"/>
                <w:color w:val="000000" w:themeColor="text1"/>
                <w:sz w:val="14"/>
                <w:szCs w:val="14"/>
              </w:rPr>
              <w:t>%</w:t>
            </w:r>
          </w:p>
        </w:tc>
        <w:tc>
          <w:tcPr>
            <w:tcW w:w="1347" w:type="dxa"/>
          </w:tcPr>
          <w:p w14:paraId="0DB344AD" w14:textId="77777777" w:rsidR="00CA6DEC" w:rsidRPr="008642FA" w:rsidRDefault="00E8174B" w:rsidP="007C1A2E">
            <w:pPr>
              <w:spacing w:before="100" w:beforeAutospacing="1" w:after="100" w:afterAutospacing="1" w:line="360" w:lineRule="auto"/>
              <w:rPr>
                <w:rFonts w:asciiTheme="majorHAnsi" w:hAnsiTheme="majorHAnsi" w:cstheme="majorHAnsi"/>
                <w:color w:val="000000" w:themeColor="text1"/>
                <w:sz w:val="14"/>
                <w:szCs w:val="14"/>
              </w:rPr>
            </w:pPr>
            <w:r>
              <w:rPr>
                <w:rFonts w:asciiTheme="majorHAnsi" w:hAnsiTheme="majorHAnsi" w:cstheme="majorHAnsi"/>
                <w:color w:val="000000" w:themeColor="text1"/>
                <w:sz w:val="14"/>
                <w:szCs w:val="14"/>
              </w:rPr>
              <w:t>19</w:t>
            </w:r>
            <w:r w:rsidR="00CA6DEC" w:rsidRPr="008642FA">
              <w:rPr>
                <w:rFonts w:asciiTheme="majorHAnsi" w:hAnsiTheme="majorHAnsi" w:cstheme="majorHAnsi"/>
                <w:color w:val="000000" w:themeColor="text1"/>
                <w:sz w:val="14"/>
                <w:szCs w:val="14"/>
              </w:rPr>
              <w:t>%</w:t>
            </w:r>
          </w:p>
        </w:tc>
        <w:tc>
          <w:tcPr>
            <w:tcW w:w="1346" w:type="dxa"/>
          </w:tcPr>
          <w:p w14:paraId="315E6AA7" w14:textId="77777777" w:rsidR="00CA6DEC" w:rsidRPr="008642FA" w:rsidRDefault="00E8174B" w:rsidP="007C1A2E">
            <w:pPr>
              <w:spacing w:before="100" w:beforeAutospacing="1" w:after="100" w:afterAutospacing="1" w:line="360" w:lineRule="auto"/>
              <w:rPr>
                <w:rFonts w:asciiTheme="majorHAnsi" w:hAnsiTheme="majorHAnsi" w:cstheme="majorHAnsi"/>
                <w:color w:val="000000" w:themeColor="text1"/>
                <w:sz w:val="14"/>
                <w:szCs w:val="14"/>
              </w:rPr>
            </w:pPr>
            <w:r>
              <w:rPr>
                <w:rFonts w:asciiTheme="majorHAnsi" w:hAnsiTheme="majorHAnsi" w:cstheme="majorHAnsi"/>
                <w:color w:val="000000" w:themeColor="text1"/>
                <w:sz w:val="14"/>
                <w:szCs w:val="14"/>
              </w:rPr>
              <w:t>37</w:t>
            </w:r>
            <w:r w:rsidR="00CA6DEC" w:rsidRPr="008642FA">
              <w:rPr>
                <w:rFonts w:asciiTheme="majorHAnsi" w:hAnsiTheme="majorHAnsi" w:cstheme="majorHAnsi"/>
                <w:color w:val="000000" w:themeColor="text1"/>
                <w:sz w:val="14"/>
                <w:szCs w:val="14"/>
              </w:rPr>
              <w:t>%</w:t>
            </w:r>
          </w:p>
        </w:tc>
        <w:tc>
          <w:tcPr>
            <w:tcW w:w="1347" w:type="dxa"/>
          </w:tcPr>
          <w:p w14:paraId="0E2E5F4A" w14:textId="77777777" w:rsidR="00CA6DEC" w:rsidRPr="008642FA" w:rsidRDefault="00E8174B" w:rsidP="007C1A2E">
            <w:pPr>
              <w:spacing w:before="100" w:beforeAutospacing="1" w:after="100" w:afterAutospacing="1" w:line="360" w:lineRule="auto"/>
              <w:rPr>
                <w:rFonts w:asciiTheme="majorHAnsi" w:hAnsiTheme="majorHAnsi" w:cstheme="majorHAnsi"/>
                <w:color w:val="000000" w:themeColor="text1"/>
                <w:sz w:val="14"/>
                <w:szCs w:val="14"/>
              </w:rPr>
            </w:pPr>
            <w:r>
              <w:rPr>
                <w:rFonts w:asciiTheme="majorHAnsi" w:hAnsiTheme="majorHAnsi" w:cstheme="majorHAnsi"/>
                <w:color w:val="000000" w:themeColor="text1"/>
                <w:sz w:val="14"/>
                <w:szCs w:val="14"/>
              </w:rPr>
              <w:t>24</w:t>
            </w:r>
            <w:r w:rsidR="00CA6DEC" w:rsidRPr="008642FA">
              <w:rPr>
                <w:rFonts w:asciiTheme="majorHAnsi" w:hAnsiTheme="majorHAnsi" w:cstheme="majorHAnsi"/>
                <w:color w:val="000000" w:themeColor="text1"/>
                <w:sz w:val="14"/>
                <w:szCs w:val="14"/>
              </w:rPr>
              <w:t>%</w:t>
            </w:r>
          </w:p>
        </w:tc>
      </w:tr>
      <w:tr w:rsidR="00CA6DEC" w:rsidRPr="008642FA" w14:paraId="4B826B61" w14:textId="77777777" w:rsidTr="00080CF5">
        <w:trPr>
          <w:trHeight w:val="37"/>
        </w:trPr>
        <w:tc>
          <w:tcPr>
            <w:tcW w:w="3256" w:type="dxa"/>
          </w:tcPr>
          <w:p w14:paraId="3A2415A5" w14:textId="77777777" w:rsidR="00CA6DEC" w:rsidRPr="008642FA" w:rsidRDefault="00CA6DEC" w:rsidP="007C1A2E">
            <w:pPr>
              <w:spacing w:before="100" w:beforeAutospacing="1" w:after="100" w:afterAutospacing="1" w:line="360" w:lineRule="auto"/>
              <w:rPr>
                <w:rFonts w:asciiTheme="majorHAnsi" w:hAnsiTheme="majorHAnsi" w:cstheme="majorHAnsi"/>
                <w:color w:val="000000" w:themeColor="text1"/>
                <w:sz w:val="14"/>
                <w:szCs w:val="14"/>
              </w:rPr>
            </w:pPr>
            <w:r w:rsidRPr="008642FA">
              <w:rPr>
                <w:rFonts w:asciiTheme="majorHAnsi" w:hAnsiTheme="majorHAnsi" w:cstheme="majorHAnsi"/>
                <w:color w:val="000000" w:themeColor="text1"/>
                <w:sz w:val="14"/>
                <w:szCs w:val="14"/>
              </w:rPr>
              <w:t>Follow-Up Study **</w:t>
            </w:r>
          </w:p>
        </w:tc>
        <w:tc>
          <w:tcPr>
            <w:tcW w:w="1346" w:type="dxa"/>
          </w:tcPr>
          <w:p w14:paraId="155F3F6C" w14:textId="77777777" w:rsidR="00CA6DEC" w:rsidRPr="008642FA" w:rsidRDefault="00CA6DEC" w:rsidP="007C1A2E">
            <w:pPr>
              <w:spacing w:before="100" w:beforeAutospacing="1" w:after="100" w:afterAutospacing="1" w:line="360" w:lineRule="auto"/>
              <w:rPr>
                <w:rFonts w:asciiTheme="majorHAnsi" w:hAnsiTheme="majorHAnsi" w:cstheme="majorHAnsi"/>
                <w:color w:val="000000" w:themeColor="text1"/>
                <w:sz w:val="14"/>
                <w:szCs w:val="14"/>
              </w:rPr>
            </w:pPr>
          </w:p>
        </w:tc>
        <w:tc>
          <w:tcPr>
            <w:tcW w:w="1347" w:type="dxa"/>
          </w:tcPr>
          <w:p w14:paraId="0210DBF8" w14:textId="77777777" w:rsidR="00CA6DEC" w:rsidRPr="008642FA" w:rsidRDefault="00CA6DEC" w:rsidP="007C1A2E">
            <w:pPr>
              <w:spacing w:before="100" w:beforeAutospacing="1" w:after="100" w:afterAutospacing="1" w:line="360" w:lineRule="auto"/>
              <w:rPr>
                <w:rFonts w:asciiTheme="majorHAnsi" w:hAnsiTheme="majorHAnsi" w:cstheme="majorHAnsi"/>
                <w:color w:val="000000" w:themeColor="text1"/>
                <w:sz w:val="14"/>
                <w:szCs w:val="14"/>
              </w:rPr>
            </w:pPr>
          </w:p>
        </w:tc>
        <w:tc>
          <w:tcPr>
            <w:tcW w:w="1346" w:type="dxa"/>
          </w:tcPr>
          <w:p w14:paraId="5BD36261" w14:textId="77777777" w:rsidR="00CA6DEC" w:rsidRPr="008642FA" w:rsidRDefault="00CA6DEC" w:rsidP="007C1A2E">
            <w:pPr>
              <w:spacing w:before="100" w:beforeAutospacing="1" w:after="100" w:afterAutospacing="1" w:line="360" w:lineRule="auto"/>
              <w:rPr>
                <w:rFonts w:asciiTheme="majorHAnsi" w:hAnsiTheme="majorHAnsi" w:cstheme="majorHAnsi"/>
                <w:color w:val="000000" w:themeColor="text1"/>
                <w:sz w:val="14"/>
                <w:szCs w:val="14"/>
              </w:rPr>
            </w:pPr>
          </w:p>
        </w:tc>
        <w:tc>
          <w:tcPr>
            <w:tcW w:w="1347" w:type="dxa"/>
          </w:tcPr>
          <w:p w14:paraId="5772004D" w14:textId="77777777" w:rsidR="00CA6DEC" w:rsidRPr="008642FA" w:rsidRDefault="00CA6DEC" w:rsidP="007C1A2E">
            <w:pPr>
              <w:spacing w:before="100" w:beforeAutospacing="1" w:after="100" w:afterAutospacing="1" w:line="360" w:lineRule="auto"/>
              <w:rPr>
                <w:rFonts w:asciiTheme="majorHAnsi" w:hAnsiTheme="majorHAnsi" w:cstheme="majorHAnsi"/>
                <w:color w:val="000000" w:themeColor="text1"/>
                <w:sz w:val="14"/>
                <w:szCs w:val="14"/>
              </w:rPr>
            </w:pPr>
          </w:p>
        </w:tc>
      </w:tr>
      <w:tr w:rsidR="00CA6DEC" w:rsidRPr="008642FA" w14:paraId="1530E0EC" w14:textId="77777777" w:rsidTr="00080CF5">
        <w:trPr>
          <w:trHeight w:val="37"/>
        </w:trPr>
        <w:tc>
          <w:tcPr>
            <w:tcW w:w="3256" w:type="dxa"/>
          </w:tcPr>
          <w:p w14:paraId="655E472C" w14:textId="77777777" w:rsidR="00CA6DEC" w:rsidRPr="008642FA" w:rsidRDefault="00CA6DEC" w:rsidP="007C1A2E">
            <w:pPr>
              <w:spacing w:before="100" w:beforeAutospacing="1" w:after="100" w:afterAutospacing="1" w:line="360" w:lineRule="auto"/>
              <w:rPr>
                <w:rFonts w:asciiTheme="majorHAnsi" w:hAnsiTheme="majorHAnsi" w:cstheme="majorHAnsi"/>
                <w:color w:val="000000" w:themeColor="text1"/>
                <w:sz w:val="14"/>
                <w:szCs w:val="14"/>
              </w:rPr>
            </w:pPr>
            <w:r w:rsidRPr="008642FA">
              <w:rPr>
                <w:rFonts w:asciiTheme="majorHAnsi" w:hAnsiTheme="majorHAnsi" w:cstheme="majorHAnsi"/>
                <w:color w:val="000000" w:themeColor="text1"/>
                <w:sz w:val="14"/>
                <w:szCs w:val="14"/>
              </w:rPr>
              <w:t>PSHs (n=11)</w:t>
            </w:r>
          </w:p>
        </w:tc>
        <w:tc>
          <w:tcPr>
            <w:tcW w:w="1346" w:type="dxa"/>
          </w:tcPr>
          <w:p w14:paraId="6CDD4224" w14:textId="77777777" w:rsidR="00CA6DEC" w:rsidRPr="008642FA" w:rsidRDefault="00E8174B" w:rsidP="007C1A2E">
            <w:pPr>
              <w:spacing w:before="100" w:beforeAutospacing="1" w:after="100" w:afterAutospacing="1" w:line="360" w:lineRule="auto"/>
              <w:rPr>
                <w:rFonts w:asciiTheme="majorHAnsi" w:hAnsiTheme="majorHAnsi" w:cstheme="majorHAnsi"/>
                <w:color w:val="000000" w:themeColor="text1"/>
                <w:sz w:val="14"/>
                <w:szCs w:val="14"/>
              </w:rPr>
            </w:pPr>
            <w:r>
              <w:rPr>
                <w:rFonts w:asciiTheme="majorHAnsi" w:hAnsiTheme="majorHAnsi" w:cstheme="majorHAnsi"/>
                <w:color w:val="000000" w:themeColor="text1"/>
                <w:sz w:val="14"/>
                <w:szCs w:val="14"/>
              </w:rPr>
              <w:t>42</w:t>
            </w:r>
            <w:r w:rsidR="00CA6DEC" w:rsidRPr="008642FA">
              <w:rPr>
                <w:rFonts w:asciiTheme="majorHAnsi" w:hAnsiTheme="majorHAnsi" w:cstheme="majorHAnsi"/>
                <w:color w:val="000000" w:themeColor="text1"/>
                <w:sz w:val="14"/>
                <w:szCs w:val="14"/>
              </w:rPr>
              <w:t>%</w:t>
            </w:r>
          </w:p>
        </w:tc>
        <w:tc>
          <w:tcPr>
            <w:tcW w:w="1347" w:type="dxa"/>
          </w:tcPr>
          <w:p w14:paraId="7F3F5323" w14:textId="77777777" w:rsidR="00CA6DEC" w:rsidRPr="008642FA" w:rsidRDefault="00E8174B" w:rsidP="007C1A2E">
            <w:pPr>
              <w:spacing w:before="100" w:beforeAutospacing="1" w:after="100" w:afterAutospacing="1" w:line="360" w:lineRule="auto"/>
              <w:rPr>
                <w:rFonts w:asciiTheme="majorHAnsi" w:hAnsiTheme="majorHAnsi" w:cstheme="majorHAnsi"/>
                <w:color w:val="000000" w:themeColor="text1"/>
                <w:sz w:val="14"/>
                <w:szCs w:val="14"/>
              </w:rPr>
            </w:pPr>
            <w:r>
              <w:rPr>
                <w:rFonts w:asciiTheme="majorHAnsi" w:hAnsiTheme="majorHAnsi" w:cstheme="majorHAnsi"/>
                <w:color w:val="000000" w:themeColor="text1"/>
                <w:sz w:val="14"/>
                <w:szCs w:val="14"/>
              </w:rPr>
              <w:t>25</w:t>
            </w:r>
            <w:r w:rsidR="00CA6DEC" w:rsidRPr="008642FA">
              <w:rPr>
                <w:rFonts w:asciiTheme="majorHAnsi" w:hAnsiTheme="majorHAnsi" w:cstheme="majorHAnsi"/>
                <w:color w:val="000000" w:themeColor="text1"/>
                <w:sz w:val="14"/>
                <w:szCs w:val="14"/>
              </w:rPr>
              <w:t>%</w:t>
            </w:r>
          </w:p>
        </w:tc>
        <w:tc>
          <w:tcPr>
            <w:tcW w:w="1346" w:type="dxa"/>
          </w:tcPr>
          <w:p w14:paraId="3B6573DB" w14:textId="77777777" w:rsidR="00CA6DEC" w:rsidRPr="008642FA" w:rsidRDefault="00E8174B" w:rsidP="007C1A2E">
            <w:pPr>
              <w:spacing w:before="100" w:beforeAutospacing="1" w:after="100" w:afterAutospacing="1" w:line="360" w:lineRule="auto"/>
              <w:rPr>
                <w:rFonts w:asciiTheme="majorHAnsi" w:hAnsiTheme="majorHAnsi" w:cstheme="majorHAnsi"/>
                <w:color w:val="000000" w:themeColor="text1"/>
                <w:sz w:val="14"/>
                <w:szCs w:val="14"/>
              </w:rPr>
            </w:pPr>
            <w:r>
              <w:rPr>
                <w:rFonts w:asciiTheme="majorHAnsi" w:hAnsiTheme="majorHAnsi" w:cstheme="majorHAnsi"/>
                <w:color w:val="000000" w:themeColor="text1"/>
                <w:sz w:val="14"/>
                <w:szCs w:val="14"/>
              </w:rPr>
              <w:t>50</w:t>
            </w:r>
            <w:r w:rsidR="00CA6DEC" w:rsidRPr="008642FA">
              <w:rPr>
                <w:rFonts w:asciiTheme="majorHAnsi" w:hAnsiTheme="majorHAnsi" w:cstheme="majorHAnsi"/>
                <w:color w:val="000000" w:themeColor="text1"/>
                <w:sz w:val="14"/>
                <w:szCs w:val="14"/>
              </w:rPr>
              <w:t>%</w:t>
            </w:r>
          </w:p>
        </w:tc>
        <w:tc>
          <w:tcPr>
            <w:tcW w:w="1347" w:type="dxa"/>
          </w:tcPr>
          <w:p w14:paraId="3E1A6210" w14:textId="77777777" w:rsidR="00CA6DEC" w:rsidRPr="008642FA" w:rsidRDefault="00E8174B" w:rsidP="007C1A2E">
            <w:pPr>
              <w:spacing w:before="100" w:beforeAutospacing="1" w:after="100" w:afterAutospacing="1" w:line="360" w:lineRule="auto"/>
              <w:rPr>
                <w:rFonts w:asciiTheme="majorHAnsi" w:hAnsiTheme="majorHAnsi" w:cstheme="majorHAnsi"/>
                <w:color w:val="000000" w:themeColor="text1"/>
                <w:sz w:val="14"/>
                <w:szCs w:val="14"/>
              </w:rPr>
            </w:pPr>
            <w:r>
              <w:rPr>
                <w:rFonts w:asciiTheme="majorHAnsi" w:hAnsiTheme="majorHAnsi" w:cstheme="majorHAnsi"/>
                <w:color w:val="000000" w:themeColor="text1"/>
                <w:sz w:val="14"/>
                <w:szCs w:val="14"/>
              </w:rPr>
              <w:t>25</w:t>
            </w:r>
            <w:r w:rsidR="00CA6DEC" w:rsidRPr="008642FA">
              <w:rPr>
                <w:rFonts w:asciiTheme="majorHAnsi" w:hAnsiTheme="majorHAnsi" w:cstheme="majorHAnsi"/>
                <w:color w:val="000000" w:themeColor="text1"/>
                <w:sz w:val="14"/>
                <w:szCs w:val="14"/>
              </w:rPr>
              <w:t>%</w:t>
            </w:r>
          </w:p>
        </w:tc>
      </w:tr>
      <w:tr w:rsidR="00CA6DEC" w:rsidRPr="008642FA" w14:paraId="2756326E" w14:textId="77777777" w:rsidTr="00080CF5">
        <w:trPr>
          <w:trHeight w:val="37"/>
        </w:trPr>
        <w:tc>
          <w:tcPr>
            <w:tcW w:w="3256" w:type="dxa"/>
          </w:tcPr>
          <w:p w14:paraId="0F3180CC" w14:textId="77777777" w:rsidR="00CA6DEC" w:rsidRPr="008642FA" w:rsidRDefault="00CA6DEC" w:rsidP="007C1A2E">
            <w:pPr>
              <w:spacing w:before="100" w:beforeAutospacing="1" w:after="100" w:afterAutospacing="1" w:line="360" w:lineRule="auto"/>
              <w:rPr>
                <w:rFonts w:asciiTheme="majorHAnsi" w:hAnsiTheme="majorHAnsi" w:cstheme="majorHAnsi"/>
                <w:color w:val="000000" w:themeColor="text1"/>
                <w:sz w:val="14"/>
                <w:szCs w:val="14"/>
              </w:rPr>
            </w:pPr>
            <w:r w:rsidRPr="008642FA">
              <w:rPr>
                <w:rFonts w:asciiTheme="majorHAnsi" w:hAnsiTheme="majorHAnsi" w:cstheme="majorHAnsi"/>
                <w:color w:val="000000" w:themeColor="text1"/>
                <w:sz w:val="14"/>
                <w:szCs w:val="14"/>
              </w:rPr>
              <w:t>Teachers (n=61)</w:t>
            </w:r>
          </w:p>
        </w:tc>
        <w:tc>
          <w:tcPr>
            <w:tcW w:w="1346" w:type="dxa"/>
          </w:tcPr>
          <w:p w14:paraId="7926DB63" w14:textId="77777777" w:rsidR="00CA6DEC" w:rsidRPr="008642FA" w:rsidRDefault="00E8174B" w:rsidP="007C1A2E">
            <w:pPr>
              <w:spacing w:before="100" w:beforeAutospacing="1" w:after="100" w:afterAutospacing="1" w:line="360" w:lineRule="auto"/>
              <w:rPr>
                <w:rFonts w:asciiTheme="majorHAnsi" w:hAnsiTheme="majorHAnsi" w:cstheme="majorHAnsi"/>
                <w:color w:val="000000" w:themeColor="text1"/>
                <w:sz w:val="14"/>
                <w:szCs w:val="14"/>
              </w:rPr>
            </w:pPr>
            <w:r>
              <w:rPr>
                <w:rFonts w:asciiTheme="majorHAnsi" w:hAnsiTheme="majorHAnsi" w:cstheme="majorHAnsi"/>
                <w:color w:val="000000" w:themeColor="text1"/>
                <w:sz w:val="14"/>
                <w:szCs w:val="14"/>
              </w:rPr>
              <w:t>59</w:t>
            </w:r>
            <w:r w:rsidR="00CA6DEC" w:rsidRPr="008642FA">
              <w:rPr>
                <w:rFonts w:asciiTheme="majorHAnsi" w:hAnsiTheme="majorHAnsi" w:cstheme="majorHAnsi"/>
                <w:color w:val="000000" w:themeColor="text1"/>
                <w:sz w:val="14"/>
                <w:szCs w:val="14"/>
              </w:rPr>
              <w:t>%</w:t>
            </w:r>
          </w:p>
        </w:tc>
        <w:tc>
          <w:tcPr>
            <w:tcW w:w="1347" w:type="dxa"/>
          </w:tcPr>
          <w:p w14:paraId="62BB5787" w14:textId="77777777" w:rsidR="00CA6DEC" w:rsidRPr="008642FA" w:rsidRDefault="00E8174B" w:rsidP="007C1A2E">
            <w:pPr>
              <w:spacing w:before="100" w:beforeAutospacing="1" w:after="100" w:afterAutospacing="1" w:line="360" w:lineRule="auto"/>
              <w:rPr>
                <w:rFonts w:asciiTheme="majorHAnsi" w:hAnsiTheme="majorHAnsi" w:cstheme="majorHAnsi"/>
                <w:color w:val="000000" w:themeColor="text1"/>
                <w:sz w:val="14"/>
                <w:szCs w:val="14"/>
              </w:rPr>
            </w:pPr>
            <w:r>
              <w:rPr>
                <w:rFonts w:asciiTheme="majorHAnsi" w:hAnsiTheme="majorHAnsi" w:cstheme="majorHAnsi"/>
                <w:color w:val="000000" w:themeColor="text1"/>
                <w:sz w:val="14"/>
                <w:szCs w:val="14"/>
              </w:rPr>
              <w:t>25</w:t>
            </w:r>
            <w:r w:rsidR="00CA6DEC" w:rsidRPr="008642FA">
              <w:rPr>
                <w:rFonts w:asciiTheme="majorHAnsi" w:hAnsiTheme="majorHAnsi" w:cstheme="majorHAnsi"/>
                <w:color w:val="000000" w:themeColor="text1"/>
                <w:sz w:val="14"/>
                <w:szCs w:val="14"/>
              </w:rPr>
              <w:t>%</w:t>
            </w:r>
          </w:p>
        </w:tc>
        <w:tc>
          <w:tcPr>
            <w:tcW w:w="1346" w:type="dxa"/>
          </w:tcPr>
          <w:p w14:paraId="4819CBE8" w14:textId="77777777" w:rsidR="00CA6DEC" w:rsidRPr="008642FA" w:rsidRDefault="00E8174B" w:rsidP="007C1A2E">
            <w:pPr>
              <w:spacing w:before="100" w:beforeAutospacing="1" w:after="100" w:afterAutospacing="1" w:line="360" w:lineRule="auto"/>
              <w:rPr>
                <w:rFonts w:asciiTheme="majorHAnsi" w:hAnsiTheme="majorHAnsi" w:cstheme="majorHAnsi"/>
                <w:color w:val="000000" w:themeColor="text1"/>
                <w:sz w:val="14"/>
                <w:szCs w:val="14"/>
              </w:rPr>
            </w:pPr>
            <w:r>
              <w:rPr>
                <w:rFonts w:asciiTheme="majorHAnsi" w:hAnsiTheme="majorHAnsi" w:cstheme="majorHAnsi"/>
                <w:color w:val="000000" w:themeColor="text1"/>
                <w:sz w:val="14"/>
                <w:szCs w:val="14"/>
              </w:rPr>
              <w:t>56</w:t>
            </w:r>
            <w:r w:rsidR="00CA6DEC" w:rsidRPr="008642FA">
              <w:rPr>
                <w:rFonts w:asciiTheme="majorHAnsi" w:hAnsiTheme="majorHAnsi" w:cstheme="majorHAnsi"/>
                <w:color w:val="000000" w:themeColor="text1"/>
                <w:sz w:val="14"/>
                <w:szCs w:val="14"/>
              </w:rPr>
              <w:t>%</w:t>
            </w:r>
          </w:p>
        </w:tc>
        <w:tc>
          <w:tcPr>
            <w:tcW w:w="1347" w:type="dxa"/>
          </w:tcPr>
          <w:p w14:paraId="20B05268" w14:textId="77777777" w:rsidR="00CA6DEC" w:rsidRPr="008642FA" w:rsidRDefault="00E8174B" w:rsidP="007C1A2E">
            <w:pPr>
              <w:spacing w:before="100" w:beforeAutospacing="1" w:after="100" w:afterAutospacing="1" w:line="360" w:lineRule="auto"/>
              <w:rPr>
                <w:rFonts w:asciiTheme="majorHAnsi" w:hAnsiTheme="majorHAnsi" w:cstheme="majorHAnsi"/>
                <w:color w:val="000000" w:themeColor="text1"/>
                <w:sz w:val="14"/>
                <w:szCs w:val="14"/>
              </w:rPr>
            </w:pPr>
            <w:r>
              <w:rPr>
                <w:rFonts w:asciiTheme="majorHAnsi" w:hAnsiTheme="majorHAnsi" w:cstheme="majorHAnsi"/>
                <w:color w:val="000000" w:themeColor="text1"/>
                <w:sz w:val="14"/>
                <w:szCs w:val="14"/>
              </w:rPr>
              <w:t>34</w:t>
            </w:r>
            <w:r w:rsidR="00CA6DEC" w:rsidRPr="008642FA">
              <w:rPr>
                <w:rFonts w:asciiTheme="majorHAnsi" w:hAnsiTheme="majorHAnsi" w:cstheme="majorHAnsi"/>
                <w:color w:val="000000" w:themeColor="text1"/>
                <w:sz w:val="14"/>
                <w:szCs w:val="14"/>
              </w:rPr>
              <w:t>%</w:t>
            </w:r>
          </w:p>
        </w:tc>
      </w:tr>
    </w:tbl>
    <w:p w14:paraId="30D966DA" w14:textId="77777777" w:rsidR="008D0CAD" w:rsidRPr="00B532A0" w:rsidRDefault="00E8174B" w:rsidP="007C1A2E">
      <w:pPr>
        <w:spacing w:before="100" w:beforeAutospacing="1" w:after="100" w:afterAutospacing="1" w:line="360" w:lineRule="auto"/>
        <w:ind w:left="1418"/>
        <w:rPr>
          <w:rFonts w:asciiTheme="majorHAnsi" w:hAnsiTheme="majorHAnsi" w:cstheme="majorHAnsi"/>
          <w:color w:val="000000" w:themeColor="text1"/>
          <w:sz w:val="14"/>
          <w:szCs w:val="14"/>
        </w:rPr>
      </w:pPr>
      <w:r w:rsidRPr="00B532A0">
        <w:rPr>
          <w:rFonts w:asciiTheme="majorHAnsi" w:hAnsiTheme="majorHAnsi" w:cstheme="majorHAnsi"/>
          <w:color w:val="000000" w:themeColor="text1"/>
          <w:sz w:val="14"/>
          <w:szCs w:val="14"/>
        </w:rPr>
        <w:t>*2019 KAU Survey **2020 KAU Survey</w:t>
      </w:r>
    </w:p>
    <w:p w14:paraId="1F4B7836" w14:textId="16227C38" w:rsidR="00567F1C" w:rsidRPr="00397E23" w:rsidRDefault="008D0CAD" w:rsidP="007C1A2E">
      <w:pPr>
        <w:spacing w:before="100" w:beforeAutospacing="1" w:after="100" w:afterAutospacing="1" w:line="360" w:lineRule="auto"/>
        <w:ind w:right="8"/>
        <w:rPr>
          <w:rFonts w:asciiTheme="majorHAnsi" w:hAnsiTheme="majorHAnsi" w:cstheme="majorHAnsi"/>
          <w:color w:val="000000"/>
        </w:rPr>
      </w:pPr>
      <w:r>
        <w:rPr>
          <w:rFonts w:asciiTheme="majorHAnsi" w:hAnsiTheme="majorHAnsi" w:cstheme="majorHAnsi"/>
          <w:color w:val="000000"/>
        </w:rPr>
        <w:t>Another</w:t>
      </w:r>
      <w:r w:rsidRPr="00CA0734">
        <w:rPr>
          <w:rFonts w:asciiTheme="majorHAnsi" w:hAnsiTheme="majorHAnsi" w:cstheme="majorHAnsi"/>
          <w:color w:val="000000"/>
        </w:rPr>
        <w:t xml:space="preserve"> significant output</w:t>
      </w:r>
      <w:r>
        <w:rPr>
          <w:rFonts w:asciiTheme="majorHAnsi" w:hAnsiTheme="majorHAnsi" w:cstheme="majorHAnsi"/>
          <w:color w:val="000000"/>
        </w:rPr>
        <w:t xml:space="preserve"> from the Program</w:t>
      </w:r>
      <w:r w:rsidRPr="00CA0734">
        <w:rPr>
          <w:rFonts w:asciiTheme="majorHAnsi" w:hAnsiTheme="majorHAnsi" w:cstheme="majorHAnsi"/>
          <w:color w:val="000000"/>
        </w:rPr>
        <w:t xml:space="preserve"> </w:t>
      </w:r>
      <w:r>
        <w:rPr>
          <w:rFonts w:asciiTheme="majorHAnsi" w:hAnsiTheme="majorHAnsi" w:cstheme="majorHAnsi"/>
          <w:color w:val="000000"/>
        </w:rPr>
        <w:t>was</w:t>
      </w:r>
      <w:r w:rsidRPr="00CA0734">
        <w:rPr>
          <w:rFonts w:asciiTheme="majorHAnsi" w:hAnsiTheme="majorHAnsi" w:cstheme="majorHAnsi"/>
          <w:color w:val="000000"/>
        </w:rPr>
        <w:t xml:space="preserve"> the</w:t>
      </w:r>
      <w:r>
        <w:rPr>
          <w:rFonts w:asciiTheme="majorHAnsi" w:hAnsiTheme="majorHAnsi" w:cstheme="majorHAnsi"/>
          <w:color w:val="000000"/>
        </w:rPr>
        <w:t xml:space="preserve"> development of the</w:t>
      </w:r>
      <w:r w:rsidRPr="00CA0734">
        <w:rPr>
          <w:rFonts w:asciiTheme="majorHAnsi" w:hAnsiTheme="majorHAnsi" w:cstheme="majorHAnsi"/>
          <w:color w:val="000000"/>
        </w:rPr>
        <w:t xml:space="preserve"> </w:t>
      </w:r>
      <w:r w:rsidRPr="00AA0C45">
        <w:rPr>
          <w:rFonts w:asciiTheme="majorHAnsi" w:hAnsiTheme="majorHAnsi" w:cstheme="majorHAnsi"/>
          <w:color w:val="000000"/>
        </w:rPr>
        <w:t>Classroom Assessment Resource Book (CARB) for K to Grade 10</w:t>
      </w:r>
      <w:r>
        <w:rPr>
          <w:rFonts w:asciiTheme="majorHAnsi" w:hAnsiTheme="majorHAnsi" w:cstheme="majorHAnsi"/>
          <w:color w:val="000000"/>
        </w:rPr>
        <w:t xml:space="preserve"> in support of classroom assessment</w:t>
      </w:r>
      <w:r w:rsidRPr="00CA0734">
        <w:rPr>
          <w:rFonts w:asciiTheme="majorHAnsi" w:hAnsiTheme="majorHAnsi" w:cstheme="majorHAnsi"/>
          <w:color w:val="000000"/>
        </w:rPr>
        <w:t>.</w:t>
      </w:r>
      <w:r w:rsidR="00D434EB">
        <w:rPr>
          <w:rFonts w:asciiTheme="majorHAnsi" w:hAnsiTheme="majorHAnsi" w:cstheme="majorHAnsi"/>
          <w:color w:val="000000"/>
        </w:rPr>
        <w:t xml:space="preserve"> </w:t>
      </w:r>
      <w:r>
        <w:rPr>
          <w:rFonts w:asciiTheme="majorHAnsi" w:hAnsiTheme="majorHAnsi" w:cstheme="majorHAnsi"/>
          <w:color w:val="000000"/>
        </w:rPr>
        <w:t xml:space="preserve">Survey results showed that only </w:t>
      </w:r>
      <w:r w:rsidRPr="000D32D1">
        <w:rPr>
          <w:rFonts w:asciiTheme="majorHAnsi" w:hAnsiTheme="majorHAnsi" w:cstheme="majorHAnsi"/>
          <w:color w:val="000000" w:themeColor="text1"/>
        </w:rPr>
        <w:t xml:space="preserve">about a third of </w:t>
      </w:r>
      <w:r>
        <w:rPr>
          <w:rFonts w:asciiTheme="majorHAnsi" w:hAnsiTheme="majorHAnsi" w:cstheme="majorHAnsi"/>
          <w:color w:val="000000" w:themeColor="text1"/>
        </w:rPr>
        <w:t>principals</w:t>
      </w:r>
      <w:r w:rsidRPr="000D32D1">
        <w:rPr>
          <w:rFonts w:asciiTheme="majorHAnsi" w:hAnsiTheme="majorHAnsi" w:cstheme="majorHAnsi"/>
          <w:color w:val="000000" w:themeColor="text1"/>
        </w:rPr>
        <w:t xml:space="preserve"> had good knowledge (35</w:t>
      </w:r>
      <w:r>
        <w:rPr>
          <w:rFonts w:asciiTheme="majorHAnsi" w:hAnsiTheme="majorHAnsi" w:cstheme="majorHAnsi"/>
          <w:color w:val="000000" w:themeColor="text1"/>
        </w:rPr>
        <w:t xml:space="preserve"> per cent</w:t>
      </w:r>
      <w:r w:rsidRPr="000D32D1">
        <w:rPr>
          <w:rFonts w:asciiTheme="majorHAnsi" w:hAnsiTheme="majorHAnsi" w:cstheme="majorHAnsi"/>
          <w:color w:val="000000" w:themeColor="text1"/>
        </w:rPr>
        <w:t>) and full access (31</w:t>
      </w:r>
      <w:r>
        <w:rPr>
          <w:rFonts w:asciiTheme="majorHAnsi" w:hAnsiTheme="majorHAnsi" w:cstheme="majorHAnsi"/>
          <w:color w:val="000000" w:themeColor="text1"/>
        </w:rPr>
        <w:t xml:space="preserve"> per cent</w:t>
      </w:r>
      <w:r w:rsidRPr="000D32D1">
        <w:rPr>
          <w:rFonts w:asciiTheme="majorHAnsi" w:hAnsiTheme="majorHAnsi" w:cstheme="majorHAnsi"/>
          <w:color w:val="000000" w:themeColor="text1"/>
        </w:rPr>
        <w:t>) and find it useful (46</w:t>
      </w:r>
      <w:r>
        <w:rPr>
          <w:rFonts w:asciiTheme="majorHAnsi" w:hAnsiTheme="majorHAnsi" w:cstheme="majorHAnsi"/>
          <w:color w:val="000000" w:themeColor="text1"/>
        </w:rPr>
        <w:t xml:space="preserve"> per cent</w:t>
      </w:r>
      <w:r w:rsidRPr="000D32D1">
        <w:rPr>
          <w:rFonts w:asciiTheme="majorHAnsi" w:hAnsiTheme="majorHAnsi" w:cstheme="majorHAnsi"/>
          <w:color w:val="000000" w:themeColor="text1"/>
        </w:rPr>
        <w:t xml:space="preserve">) (Table </w:t>
      </w:r>
      <w:r>
        <w:rPr>
          <w:rFonts w:asciiTheme="majorHAnsi" w:hAnsiTheme="majorHAnsi" w:cstheme="majorHAnsi"/>
          <w:color w:val="000000" w:themeColor="text1"/>
        </w:rPr>
        <w:t>21</w:t>
      </w:r>
      <w:r w:rsidRPr="000D32D1">
        <w:rPr>
          <w:rFonts w:asciiTheme="majorHAnsi" w:hAnsiTheme="majorHAnsi" w:cstheme="majorHAnsi"/>
          <w:color w:val="000000" w:themeColor="text1"/>
        </w:rPr>
        <w:t>).</w:t>
      </w:r>
      <w:r w:rsidR="00D434EB">
        <w:rPr>
          <w:rFonts w:asciiTheme="majorHAnsi" w:hAnsiTheme="majorHAnsi" w:cstheme="majorHAnsi"/>
          <w:color w:val="000000" w:themeColor="text1"/>
        </w:rPr>
        <w:t xml:space="preserve"> </w:t>
      </w:r>
      <w:r w:rsidRPr="000D32D1">
        <w:rPr>
          <w:rFonts w:asciiTheme="majorHAnsi" w:hAnsiTheme="majorHAnsi" w:cstheme="majorHAnsi"/>
          <w:color w:val="000000" w:themeColor="text1"/>
        </w:rPr>
        <w:t xml:space="preserve">Also, 33 </w:t>
      </w:r>
      <w:r>
        <w:rPr>
          <w:rFonts w:asciiTheme="majorHAnsi" w:hAnsiTheme="majorHAnsi" w:cstheme="majorHAnsi"/>
          <w:color w:val="000000" w:themeColor="text1"/>
        </w:rPr>
        <w:t>per cent</w:t>
      </w:r>
      <w:r w:rsidRPr="000D32D1">
        <w:rPr>
          <w:rFonts w:asciiTheme="majorHAnsi" w:hAnsiTheme="majorHAnsi" w:cstheme="majorHAnsi"/>
          <w:color w:val="000000" w:themeColor="text1"/>
        </w:rPr>
        <w:t xml:space="preserve"> of teachers had good knowledge of the CARB, but only 24 </w:t>
      </w:r>
      <w:r>
        <w:rPr>
          <w:rFonts w:asciiTheme="majorHAnsi" w:hAnsiTheme="majorHAnsi" w:cstheme="majorHAnsi"/>
          <w:color w:val="000000" w:themeColor="text1"/>
        </w:rPr>
        <w:t>per cent</w:t>
      </w:r>
      <w:r w:rsidRPr="000D32D1">
        <w:rPr>
          <w:rFonts w:asciiTheme="majorHAnsi" w:hAnsiTheme="majorHAnsi" w:cstheme="majorHAnsi"/>
          <w:color w:val="000000" w:themeColor="text1"/>
        </w:rPr>
        <w:t xml:space="preserve"> have full access </w:t>
      </w:r>
      <w:r>
        <w:rPr>
          <w:rFonts w:asciiTheme="majorHAnsi" w:hAnsiTheme="majorHAnsi" w:cstheme="majorHAnsi"/>
          <w:color w:val="000000"/>
        </w:rPr>
        <w:t>and 32 per cent find it useful.</w:t>
      </w:r>
      <w:r w:rsidR="00D434EB">
        <w:rPr>
          <w:rFonts w:asciiTheme="majorHAnsi" w:hAnsiTheme="majorHAnsi" w:cstheme="majorHAnsi"/>
          <w:color w:val="000000"/>
        </w:rPr>
        <w:t xml:space="preserve"> </w:t>
      </w:r>
      <w:r>
        <w:rPr>
          <w:rFonts w:asciiTheme="majorHAnsi" w:hAnsiTheme="majorHAnsi" w:cstheme="majorHAnsi"/>
          <w:color w:val="000000"/>
        </w:rPr>
        <w:t>In the Follow-Up Study, the knowledge, access and perceived utility of the CARB increased significantly among principals, while that of teachers remained more or less the same.</w:t>
      </w:r>
    </w:p>
    <w:p w14:paraId="2D4F803E" w14:textId="44041E0D" w:rsidR="008D0CAD" w:rsidRPr="004A657A" w:rsidRDefault="008D0CAD" w:rsidP="007C1A2E">
      <w:pPr>
        <w:spacing w:before="100" w:beforeAutospacing="1" w:after="100" w:afterAutospacing="1" w:line="360" w:lineRule="auto"/>
        <w:rPr>
          <w:rFonts w:asciiTheme="majorHAnsi" w:hAnsiTheme="majorHAnsi" w:cstheme="majorHAnsi"/>
          <w:i/>
          <w:iCs/>
          <w:color w:val="44546A" w:themeColor="text2"/>
          <w:sz w:val="22"/>
          <w:szCs w:val="22"/>
        </w:rPr>
      </w:pPr>
      <w:bookmarkStart w:id="120" w:name="_Toc71616612"/>
      <w:r w:rsidRPr="004A657A">
        <w:rPr>
          <w:rFonts w:asciiTheme="majorHAnsi" w:hAnsiTheme="majorHAnsi" w:cstheme="majorHAnsi"/>
          <w:i/>
          <w:iCs/>
          <w:color w:val="44546A" w:themeColor="text2"/>
          <w:sz w:val="22"/>
          <w:szCs w:val="22"/>
        </w:rPr>
        <w:t xml:space="preserve">Table </w:t>
      </w:r>
      <w:r w:rsidRPr="004A657A">
        <w:rPr>
          <w:rFonts w:asciiTheme="majorHAnsi" w:hAnsiTheme="majorHAnsi" w:cstheme="majorHAnsi"/>
          <w:i/>
          <w:iCs/>
          <w:color w:val="44546A" w:themeColor="text2"/>
          <w:sz w:val="22"/>
          <w:szCs w:val="22"/>
        </w:rPr>
        <w:fldChar w:fldCharType="begin"/>
      </w:r>
      <w:r w:rsidRPr="004A657A">
        <w:rPr>
          <w:rFonts w:asciiTheme="majorHAnsi" w:hAnsiTheme="majorHAnsi" w:cstheme="majorHAnsi"/>
          <w:i/>
          <w:iCs/>
          <w:color w:val="44546A" w:themeColor="text2"/>
          <w:sz w:val="22"/>
          <w:szCs w:val="22"/>
        </w:rPr>
        <w:instrText xml:space="preserve"> SEQ Table \* ARABIC </w:instrText>
      </w:r>
      <w:r w:rsidRPr="004A657A">
        <w:rPr>
          <w:rFonts w:asciiTheme="majorHAnsi" w:hAnsiTheme="majorHAnsi" w:cstheme="majorHAnsi"/>
          <w:i/>
          <w:iCs/>
          <w:color w:val="44546A" w:themeColor="text2"/>
          <w:sz w:val="22"/>
          <w:szCs w:val="22"/>
        </w:rPr>
        <w:fldChar w:fldCharType="separate"/>
      </w:r>
      <w:r w:rsidR="00D6133D">
        <w:rPr>
          <w:rFonts w:asciiTheme="majorHAnsi" w:hAnsiTheme="majorHAnsi" w:cstheme="majorHAnsi"/>
          <w:i/>
          <w:iCs/>
          <w:noProof/>
          <w:color w:val="44546A" w:themeColor="text2"/>
          <w:sz w:val="22"/>
          <w:szCs w:val="22"/>
        </w:rPr>
        <w:t>21</w:t>
      </w:r>
      <w:r w:rsidRPr="004A657A">
        <w:rPr>
          <w:rFonts w:asciiTheme="majorHAnsi" w:hAnsiTheme="majorHAnsi" w:cstheme="majorHAnsi"/>
          <w:i/>
          <w:iCs/>
          <w:color w:val="44546A" w:themeColor="text2"/>
          <w:sz w:val="22"/>
          <w:szCs w:val="22"/>
        </w:rPr>
        <w:fldChar w:fldCharType="end"/>
      </w:r>
      <w:r w:rsidRPr="004A657A">
        <w:rPr>
          <w:rFonts w:asciiTheme="majorHAnsi" w:hAnsiTheme="majorHAnsi" w:cstheme="majorHAnsi"/>
          <w:i/>
          <w:iCs/>
          <w:color w:val="44546A" w:themeColor="text2"/>
          <w:sz w:val="22"/>
          <w:szCs w:val="22"/>
        </w:rPr>
        <w:t>.</w:t>
      </w:r>
      <w:r w:rsidR="00D434EB">
        <w:rPr>
          <w:rFonts w:asciiTheme="majorHAnsi" w:hAnsiTheme="majorHAnsi" w:cstheme="majorHAnsi"/>
          <w:bCs/>
          <w:i/>
          <w:iCs/>
          <w:color w:val="44546A" w:themeColor="text2"/>
          <w:sz w:val="22"/>
          <w:szCs w:val="22"/>
        </w:rPr>
        <w:t xml:space="preserve"> </w:t>
      </w:r>
      <w:r w:rsidRPr="004A657A">
        <w:rPr>
          <w:rFonts w:asciiTheme="majorHAnsi" w:hAnsiTheme="majorHAnsi" w:cstheme="majorHAnsi"/>
          <w:bCs/>
          <w:i/>
          <w:iCs/>
          <w:color w:val="44546A" w:themeColor="text2"/>
          <w:sz w:val="22"/>
          <w:szCs w:val="22"/>
        </w:rPr>
        <w:t xml:space="preserve">Perceptions of Principals and Teachers on </w:t>
      </w:r>
      <w:r w:rsidRPr="004A657A">
        <w:rPr>
          <w:rFonts w:asciiTheme="majorHAnsi" w:hAnsiTheme="majorHAnsi" w:cstheme="majorHAnsi"/>
          <w:i/>
          <w:iCs/>
          <w:color w:val="44546A" w:themeColor="text2"/>
          <w:sz w:val="22"/>
          <w:szCs w:val="22"/>
        </w:rPr>
        <w:t>the CARB for K to Grade 10</w:t>
      </w:r>
      <w:bookmarkEnd w:id="120"/>
    </w:p>
    <w:tbl>
      <w:tblPr>
        <w:tblStyle w:val="TableGrid"/>
        <w:tblW w:w="0" w:type="auto"/>
        <w:tblLook w:val="04A0" w:firstRow="1" w:lastRow="0" w:firstColumn="1" w:lastColumn="0" w:noHBand="0" w:noVBand="1"/>
      </w:tblPr>
      <w:tblGrid>
        <w:gridCol w:w="1430"/>
        <w:gridCol w:w="830"/>
        <w:gridCol w:w="1097"/>
        <w:gridCol w:w="1020"/>
        <w:gridCol w:w="1288"/>
        <w:gridCol w:w="993"/>
        <w:gridCol w:w="1134"/>
      </w:tblGrid>
      <w:tr w:rsidR="00567F1C" w:rsidRPr="00567F1C" w14:paraId="579DB739" w14:textId="77777777" w:rsidTr="00F4751F">
        <w:trPr>
          <w:trHeight w:val="41"/>
          <w:tblHeader/>
        </w:trPr>
        <w:tc>
          <w:tcPr>
            <w:tcW w:w="1430" w:type="dxa"/>
          </w:tcPr>
          <w:p w14:paraId="0DE2C9F3" w14:textId="77777777" w:rsidR="00567F1C" w:rsidRPr="00567F1C" w:rsidRDefault="00567F1C" w:rsidP="007C1A2E">
            <w:pPr>
              <w:spacing w:before="100" w:beforeAutospacing="1" w:after="100" w:afterAutospacing="1" w:line="360" w:lineRule="auto"/>
              <w:rPr>
                <w:rFonts w:asciiTheme="majorHAnsi" w:hAnsiTheme="majorHAnsi" w:cstheme="majorHAnsi"/>
                <w:color w:val="000000" w:themeColor="text1"/>
                <w:sz w:val="14"/>
                <w:szCs w:val="14"/>
              </w:rPr>
            </w:pPr>
          </w:p>
        </w:tc>
        <w:tc>
          <w:tcPr>
            <w:tcW w:w="830" w:type="dxa"/>
          </w:tcPr>
          <w:p w14:paraId="506A1FE8" w14:textId="77777777" w:rsidR="00567F1C" w:rsidRPr="00567F1C" w:rsidRDefault="00567F1C" w:rsidP="007C1A2E">
            <w:pPr>
              <w:spacing w:before="100" w:beforeAutospacing="1" w:after="100" w:afterAutospacing="1" w:line="360" w:lineRule="auto"/>
              <w:rPr>
                <w:rFonts w:asciiTheme="majorHAnsi" w:hAnsiTheme="majorHAnsi" w:cstheme="majorHAnsi"/>
                <w:color w:val="000000" w:themeColor="text1"/>
                <w:sz w:val="14"/>
                <w:szCs w:val="14"/>
              </w:rPr>
            </w:pPr>
            <w:r w:rsidRPr="00567F1C">
              <w:rPr>
                <w:rFonts w:asciiTheme="majorHAnsi" w:hAnsiTheme="majorHAnsi" w:cstheme="majorHAnsi"/>
                <w:b/>
                <w:bCs/>
                <w:color w:val="000000" w:themeColor="text1"/>
                <w:sz w:val="14"/>
                <w:szCs w:val="14"/>
              </w:rPr>
              <w:t>% Sufficient knowledge</w:t>
            </w:r>
          </w:p>
        </w:tc>
        <w:tc>
          <w:tcPr>
            <w:tcW w:w="1097" w:type="dxa"/>
          </w:tcPr>
          <w:p w14:paraId="1256DCB4" w14:textId="77777777" w:rsidR="00567F1C" w:rsidRPr="00567F1C" w:rsidRDefault="00567F1C" w:rsidP="007C1A2E">
            <w:pPr>
              <w:spacing w:before="100" w:beforeAutospacing="1" w:after="100" w:afterAutospacing="1" w:line="360" w:lineRule="auto"/>
              <w:rPr>
                <w:rFonts w:asciiTheme="majorHAnsi" w:hAnsiTheme="majorHAnsi" w:cstheme="majorHAnsi"/>
                <w:color w:val="000000" w:themeColor="text1"/>
                <w:sz w:val="14"/>
                <w:szCs w:val="14"/>
              </w:rPr>
            </w:pPr>
            <w:r w:rsidRPr="00567F1C">
              <w:rPr>
                <w:rFonts w:asciiTheme="majorHAnsi" w:hAnsiTheme="majorHAnsi" w:cstheme="majorHAnsi"/>
                <w:b/>
                <w:bCs/>
                <w:color w:val="000000" w:themeColor="text1"/>
                <w:sz w:val="14"/>
                <w:szCs w:val="14"/>
              </w:rPr>
              <w:t>% Comprehensive knowledge</w:t>
            </w:r>
          </w:p>
        </w:tc>
        <w:tc>
          <w:tcPr>
            <w:tcW w:w="1020" w:type="dxa"/>
          </w:tcPr>
          <w:p w14:paraId="295D9B91" w14:textId="77777777" w:rsidR="00567F1C" w:rsidRPr="00567F1C" w:rsidRDefault="00567F1C" w:rsidP="007C1A2E">
            <w:pPr>
              <w:spacing w:before="100" w:beforeAutospacing="1" w:after="100" w:afterAutospacing="1" w:line="360" w:lineRule="auto"/>
              <w:rPr>
                <w:rFonts w:asciiTheme="majorHAnsi" w:hAnsiTheme="majorHAnsi" w:cstheme="majorHAnsi"/>
                <w:color w:val="000000" w:themeColor="text1"/>
                <w:sz w:val="14"/>
                <w:szCs w:val="14"/>
              </w:rPr>
            </w:pPr>
            <w:r w:rsidRPr="00567F1C">
              <w:rPr>
                <w:rFonts w:asciiTheme="majorHAnsi" w:hAnsiTheme="majorHAnsi" w:cstheme="majorHAnsi"/>
                <w:b/>
                <w:bCs/>
                <w:color w:val="000000" w:themeColor="text1"/>
                <w:sz w:val="14"/>
                <w:szCs w:val="14"/>
              </w:rPr>
              <w:t>% Full access - individual</w:t>
            </w:r>
          </w:p>
        </w:tc>
        <w:tc>
          <w:tcPr>
            <w:tcW w:w="1288" w:type="dxa"/>
          </w:tcPr>
          <w:p w14:paraId="0725C9AB" w14:textId="77777777" w:rsidR="00567F1C" w:rsidRPr="00567F1C" w:rsidRDefault="00567F1C" w:rsidP="007C1A2E">
            <w:pPr>
              <w:spacing w:before="100" w:beforeAutospacing="1" w:after="100" w:afterAutospacing="1" w:line="360" w:lineRule="auto"/>
              <w:rPr>
                <w:rFonts w:asciiTheme="majorHAnsi" w:hAnsiTheme="majorHAnsi" w:cstheme="majorHAnsi"/>
                <w:color w:val="000000" w:themeColor="text1"/>
                <w:sz w:val="14"/>
                <w:szCs w:val="14"/>
              </w:rPr>
            </w:pPr>
            <w:r w:rsidRPr="00567F1C">
              <w:rPr>
                <w:rFonts w:asciiTheme="majorHAnsi" w:hAnsiTheme="majorHAnsi" w:cstheme="majorHAnsi"/>
                <w:b/>
                <w:bCs/>
                <w:color w:val="000000" w:themeColor="text1"/>
                <w:sz w:val="14"/>
                <w:szCs w:val="14"/>
              </w:rPr>
              <w:t>% Full access - school</w:t>
            </w:r>
          </w:p>
        </w:tc>
        <w:tc>
          <w:tcPr>
            <w:tcW w:w="993" w:type="dxa"/>
          </w:tcPr>
          <w:p w14:paraId="4FB65D3E" w14:textId="77777777" w:rsidR="00567F1C" w:rsidRPr="00567F1C" w:rsidRDefault="00567F1C" w:rsidP="007C1A2E">
            <w:pPr>
              <w:spacing w:before="100" w:beforeAutospacing="1" w:after="100" w:afterAutospacing="1" w:line="360" w:lineRule="auto"/>
              <w:rPr>
                <w:rFonts w:asciiTheme="majorHAnsi" w:hAnsiTheme="majorHAnsi" w:cstheme="majorHAnsi"/>
                <w:color w:val="000000" w:themeColor="text1"/>
                <w:sz w:val="14"/>
                <w:szCs w:val="14"/>
              </w:rPr>
            </w:pPr>
            <w:r w:rsidRPr="00567F1C">
              <w:rPr>
                <w:rFonts w:asciiTheme="majorHAnsi" w:hAnsiTheme="majorHAnsi" w:cstheme="majorHAnsi"/>
                <w:b/>
                <w:bCs/>
                <w:color w:val="000000" w:themeColor="text1"/>
                <w:sz w:val="14"/>
                <w:szCs w:val="14"/>
              </w:rPr>
              <w:t>% Sufficiently useful</w:t>
            </w:r>
          </w:p>
        </w:tc>
        <w:tc>
          <w:tcPr>
            <w:tcW w:w="1134" w:type="dxa"/>
          </w:tcPr>
          <w:p w14:paraId="2223EF3D" w14:textId="77777777" w:rsidR="00567F1C" w:rsidRPr="00567F1C" w:rsidRDefault="00567F1C" w:rsidP="007C1A2E">
            <w:pPr>
              <w:spacing w:before="100" w:beforeAutospacing="1" w:after="100" w:afterAutospacing="1" w:line="360" w:lineRule="auto"/>
              <w:rPr>
                <w:rFonts w:asciiTheme="majorHAnsi" w:hAnsiTheme="majorHAnsi" w:cstheme="majorHAnsi"/>
                <w:color w:val="000000" w:themeColor="text1"/>
                <w:sz w:val="14"/>
                <w:szCs w:val="14"/>
              </w:rPr>
            </w:pPr>
            <w:r w:rsidRPr="00567F1C">
              <w:rPr>
                <w:rFonts w:asciiTheme="majorHAnsi" w:hAnsiTheme="majorHAnsi" w:cstheme="majorHAnsi"/>
                <w:b/>
                <w:bCs/>
                <w:color w:val="000000" w:themeColor="text1"/>
                <w:sz w:val="14"/>
                <w:szCs w:val="14"/>
              </w:rPr>
              <w:t>% Extremely useful</w:t>
            </w:r>
          </w:p>
        </w:tc>
      </w:tr>
      <w:tr w:rsidR="00567F1C" w:rsidRPr="00567F1C" w14:paraId="1CCE6AF9" w14:textId="77777777" w:rsidTr="00A517CB">
        <w:trPr>
          <w:trHeight w:val="41"/>
        </w:trPr>
        <w:tc>
          <w:tcPr>
            <w:tcW w:w="1430" w:type="dxa"/>
          </w:tcPr>
          <w:p w14:paraId="588AEB29" w14:textId="77777777" w:rsidR="00567F1C" w:rsidRPr="00567F1C" w:rsidRDefault="00567F1C" w:rsidP="007C1A2E">
            <w:pPr>
              <w:spacing w:before="100" w:beforeAutospacing="1" w:after="100" w:afterAutospacing="1" w:line="360" w:lineRule="auto"/>
              <w:rPr>
                <w:rFonts w:asciiTheme="majorHAnsi" w:hAnsiTheme="majorHAnsi" w:cstheme="majorHAnsi"/>
                <w:color w:val="000000" w:themeColor="text1"/>
                <w:sz w:val="14"/>
                <w:szCs w:val="14"/>
              </w:rPr>
            </w:pPr>
            <w:r w:rsidRPr="00567F1C">
              <w:rPr>
                <w:rFonts w:asciiTheme="majorHAnsi" w:hAnsiTheme="majorHAnsi" w:cstheme="majorHAnsi"/>
                <w:color w:val="000000" w:themeColor="text1"/>
                <w:sz w:val="14"/>
                <w:szCs w:val="14"/>
              </w:rPr>
              <w:t>Main Study*</w:t>
            </w:r>
          </w:p>
        </w:tc>
        <w:tc>
          <w:tcPr>
            <w:tcW w:w="830" w:type="dxa"/>
          </w:tcPr>
          <w:p w14:paraId="646C5B7C" w14:textId="77777777" w:rsidR="00567F1C" w:rsidRPr="00567F1C" w:rsidRDefault="00567F1C" w:rsidP="007C1A2E">
            <w:pPr>
              <w:spacing w:before="100" w:beforeAutospacing="1" w:after="100" w:afterAutospacing="1" w:line="360" w:lineRule="auto"/>
              <w:rPr>
                <w:rFonts w:asciiTheme="majorHAnsi" w:hAnsiTheme="majorHAnsi" w:cstheme="majorHAnsi"/>
                <w:color w:val="000000" w:themeColor="text1"/>
                <w:sz w:val="14"/>
                <w:szCs w:val="14"/>
              </w:rPr>
            </w:pPr>
          </w:p>
        </w:tc>
        <w:tc>
          <w:tcPr>
            <w:tcW w:w="1097" w:type="dxa"/>
          </w:tcPr>
          <w:p w14:paraId="2BFE8ADA" w14:textId="77777777" w:rsidR="00567F1C" w:rsidRPr="00567F1C" w:rsidRDefault="00567F1C" w:rsidP="007C1A2E">
            <w:pPr>
              <w:spacing w:before="100" w:beforeAutospacing="1" w:after="100" w:afterAutospacing="1" w:line="360" w:lineRule="auto"/>
              <w:rPr>
                <w:rFonts w:asciiTheme="majorHAnsi" w:hAnsiTheme="majorHAnsi" w:cstheme="majorHAnsi"/>
                <w:color w:val="000000" w:themeColor="text1"/>
                <w:sz w:val="14"/>
                <w:szCs w:val="14"/>
              </w:rPr>
            </w:pPr>
          </w:p>
        </w:tc>
        <w:tc>
          <w:tcPr>
            <w:tcW w:w="1020" w:type="dxa"/>
          </w:tcPr>
          <w:p w14:paraId="5F2188C3" w14:textId="77777777" w:rsidR="00567F1C" w:rsidRPr="00567F1C" w:rsidRDefault="00567F1C" w:rsidP="007C1A2E">
            <w:pPr>
              <w:spacing w:before="100" w:beforeAutospacing="1" w:after="100" w:afterAutospacing="1" w:line="360" w:lineRule="auto"/>
              <w:rPr>
                <w:rFonts w:asciiTheme="majorHAnsi" w:hAnsiTheme="majorHAnsi" w:cstheme="majorHAnsi"/>
                <w:color w:val="000000" w:themeColor="text1"/>
                <w:sz w:val="14"/>
                <w:szCs w:val="14"/>
              </w:rPr>
            </w:pPr>
          </w:p>
        </w:tc>
        <w:tc>
          <w:tcPr>
            <w:tcW w:w="1288" w:type="dxa"/>
          </w:tcPr>
          <w:p w14:paraId="24888A31" w14:textId="77777777" w:rsidR="00567F1C" w:rsidRPr="00567F1C" w:rsidRDefault="00567F1C" w:rsidP="007C1A2E">
            <w:pPr>
              <w:spacing w:before="100" w:beforeAutospacing="1" w:after="100" w:afterAutospacing="1" w:line="360" w:lineRule="auto"/>
              <w:rPr>
                <w:rFonts w:asciiTheme="majorHAnsi" w:hAnsiTheme="majorHAnsi" w:cstheme="majorHAnsi"/>
                <w:color w:val="000000" w:themeColor="text1"/>
                <w:sz w:val="14"/>
                <w:szCs w:val="14"/>
              </w:rPr>
            </w:pPr>
          </w:p>
        </w:tc>
        <w:tc>
          <w:tcPr>
            <w:tcW w:w="993" w:type="dxa"/>
          </w:tcPr>
          <w:p w14:paraId="252A3C1D" w14:textId="77777777" w:rsidR="00567F1C" w:rsidRPr="00567F1C" w:rsidRDefault="00567F1C" w:rsidP="007C1A2E">
            <w:pPr>
              <w:spacing w:before="100" w:beforeAutospacing="1" w:after="100" w:afterAutospacing="1" w:line="360" w:lineRule="auto"/>
              <w:rPr>
                <w:rFonts w:asciiTheme="majorHAnsi" w:hAnsiTheme="majorHAnsi" w:cstheme="majorHAnsi"/>
                <w:color w:val="000000" w:themeColor="text1"/>
                <w:sz w:val="14"/>
                <w:szCs w:val="14"/>
              </w:rPr>
            </w:pPr>
          </w:p>
        </w:tc>
        <w:tc>
          <w:tcPr>
            <w:tcW w:w="1134" w:type="dxa"/>
          </w:tcPr>
          <w:p w14:paraId="6050F4DB" w14:textId="77777777" w:rsidR="00567F1C" w:rsidRPr="00567F1C" w:rsidRDefault="00567F1C" w:rsidP="007C1A2E">
            <w:pPr>
              <w:spacing w:before="100" w:beforeAutospacing="1" w:after="100" w:afterAutospacing="1" w:line="360" w:lineRule="auto"/>
              <w:rPr>
                <w:rFonts w:asciiTheme="majorHAnsi" w:hAnsiTheme="majorHAnsi" w:cstheme="majorHAnsi"/>
                <w:color w:val="000000" w:themeColor="text1"/>
                <w:sz w:val="14"/>
                <w:szCs w:val="14"/>
              </w:rPr>
            </w:pPr>
          </w:p>
        </w:tc>
      </w:tr>
      <w:tr w:rsidR="00567F1C" w:rsidRPr="00567F1C" w14:paraId="18CBF90C" w14:textId="77777777" w:rsidTr="00A517CB">
        <w:trPr>
          <w:trHeight w:val="41"/>
        </w:trPr>
        <w:tc>
          <w:tcPr>
            <w:tcW w:w="1430" w:type="dxa"/>
          </w:tcPr>
          <w:p w14:paraId="35EA9E23" w14:textId="77777777" w:rsidR="00567F1C" w:rsidRPr="00567F1C" w:rsidRDefault="00567F1C" w:rsidP="007C1A2E">
            <w:pPr>
              <w:spacing w:before="100" w:beforeAutospacing="1" w:after="100" w:afterAutospacing="1" w:line="360" w:lineRule="auto"/>
              <w:rPr>
                <w:rFonts w:asciiTheme="majorHAnsi" w:hAnsiTheme="majorHAnsi" w:cstheme="majorHAnsi"/>
                <w:color w:val="000000" w:themeColor="text1"/>
                <w:sz w:val="14"/>
                <w:szCs w:val="14"/>
              </w:rPr>
            </w:pPr>
            <w:r w:rsidRPr="00567F1C">
              <w:rPr>
                <w:rFonts w:asciiTheme="majorHAnsi" w:hAnsiTheme="majorHAnsi" w:cstheme="majorHAnsi"/>
                <w:color w:val="000000" w:themeColor="text1"/>
                <w:sz w:val="14"/>
                <w:szCs w:val="14"/>
              </w:rPr>
              <w:t>PSHs (n=26)</w:t>
            </w:r>
          </w:p>
        </w:tc>
        <w:tc>
          <w:tcPr>
            <w:tcW w:w="830" w:type="dxa"/>
          </w:tcPr>
          <w:p w14:paraId="04C169BA" w14:textId="77777777" w:rsidR="00567F1C" w:rsidRPr="00567F1C" w:rsidRDefault="00567F1C" w:rsidP="007C1A2E">
            <w:pPr>
              <w:spacing w:before="100" w:beforeAutospacing="1" w:after="100" w:afterAutospacing="1" w:line="360" w:lineRule="auto"/>
              <w:rPr>
                <w:rFonts w:asciiTheme="majorHAnsi" w:hAnsiTheme="majorHAnsi" w:cstheme="majorHAnsi"/>
                <w:color w:val="000000" w:themeColor="text1"/>
                <w:sz w:val="14"/>
                <w:szCs w:val="14"/>
              </w:rPr>
            </w:pPr>
            <w:r w:rsidRPr="00567F1C">
              <w:rPr>
                <w:rFonts w:asciiTheme="majorHAnsi" w:hAnsiTheme="majorHAnsi" w:cstheme="majorHAnsi"/>
                <w:color w:val="000000" w:themeColor="text1"/>
                <w:sz w:val="14"/>
                <w:szCs w:val="14"/>
              </w:rPr>
              <w:t>27%</w:t>
            </w:r>
          </w:p>
        </w:tc>
        <w:tc>
          <w:tcPr>
            <w:tcW w:w="1097" w:type="dxa"/>
          </w:tcPr>
          <w:p w14:paraId="0B01C337" w14:textId="77777777" w:rsidR="00567F1C" w:rsidRPr="00567F1C" w:rsidRDefault="00567F1C" w:rsidP="007C1A2E">
            <w:pPr>
              <w:spacing w:before="100" w:beforeAutospacing="1" w:after="100" w:afterAutospacing="1" w:line="360" w:lineRule="auto"/>
              <w:rPr>
                <w:rFonts w:asciiTheme="majorHAnsi" w:hAnsiTheme="majorHAnsi" w:cstheme="majorHAnsi"/>
                <w:color w:val="000000" w:themeColor="text1"/>
                <w:sz w:val="14"/>
                <w:szCs w:val="14"/>
              </w:rPr>
            </w:pPr>
            <w:r w:rsidRPr="00567F1C">
              <w:rPr>
                <w:rFonts w:asciiTheme="majorHAnsi" w:hAnsiTheme="majorHAnsi" w:cstheme="majorHAnsi"/>
                <w:color w:val="000000" w:themeColor="text1"/>
                <w:sz w:val="14"/>
                <w:szCs w:val="14"/>
              </w:rPr>
              <w:t>8%</w:t>
            </w:r>
          </w:p>
        </w:tc>
        <w:tc>
          <w:tcPr>
            <w:tcW w:w="1020" w:type="dxa"/>
          </w:tcPr>
          <w:p w14:paraId="5DAAC2C3" w14:textId="77777777" w:rsidR="00567F1C" w:rsidRPr="00567F1C" w:rsidRDefault="00567F1C" w:rsidP="007C1A2E">
            <w:pPr>
              <w:spacing w:before="100" w:beforeAutospacing="1" w:after="100" w:afterAutospacing="1" w:line="360" w:lineRule="auto"/>
              <w:rPr>
                <w:rFonts w:asciiTheme="majorHAnsi" w:hAnsiTheme="majorHAnsi" w:cstheme="majorHAnsi"/>
                <w:color w:val="000000" w:themeColor="text1"/>
                <w:sz w:val="14"/>
                <w:szCs w:val="14"/>
              </w:rPr>
            </w:pPr>
            <w:r w:rsidRPr="00567F1C">
              <w:rPr>
                <w:rFonts w:asciiTheme="majorHAnsi" w:hAnsiTheme="majorHAnsi" w:cstheme="majorHAnsi"/>
                <w:color w:val="000000" w:themeColor="text1"/>
                <w:sz w:val="14"/>
                <w:szCs w:val="14"/>
              </w:rPr>
              <w:t>19%</w:t>
            </w:r>
          </w:p>
        </w:tc>
        <w:tc>
          <w:tcPr>
            <w:tcW w:w="1288" w:type="dxa"/>
          </w:tcPr>
          <w:p w14:paraId="7AFE8C00" w14:textId="77777777" w:rsidR="00567F1C" w:rsidRPr="00567F1C" w:rsidRDefault="00567F1C" w:rsidP="007C1A2E">
            <w:pPr>
              <w:spacing w:before="100" w:beforeAutospacing="1" w:after="100" w:afterAutospacing="1" w:line="360" w:lineRule="auto"/>
              <w:rPr>
                <w:rFonts w:asciiTheme="majorHAnsi" w:hAnsiTheme="majorHAnsi" w:cstheme="majorHAnsi"/>
                <w:color w:val="000000" w:themeColor="text1"/>
                <w:sz w:val="14"/>
                <w:szCs w:val="14"/>
              </w:rPr>
            </w:pPr>
            <w:r w:rsidRPr="00567F1C">
              <w:rPr>
                <w:rFonts w:asciiTheme="majorHAnsi" w:hAnsiTheme="majorHAnsi" w:cstheme="majorHAnsi"/>
                <w:color w:val="000000" w:themeColor="text1"/>
                <w:sz w:val="14"/>
                <w:szCs w:val="14"/>
              </w:rPr>
              <w:t>15%</w:t>
            </w:r>
          </w:p>
        </w:tc>
        <w:tc>
          <w:tcPr>
            <w:tcW w:w="993" w:type="dxa"/>
          </w:tcPr>
          <w:p w14:paraId="124DE20D" w14:textId="77777777" w:rsidR="00567F1C" w:rsidRPr="00567F1C" w:rsidRDefault="00567F1C" w:rsidP="007C1A2E">
            <w:pPr>
              <w:spacing w:before="100" w:beforeAutospacing="1" w:after="100" w:afterAutospacing="1" w:line="360" w:lineRule="auto"/>
              <w:rPr>
                <w:rFonts w:asciiTheme="majorHAnsi" w:hAnsiTheme="majorHAnsi" w:cstheme="majorHAnsi"/>
                <w:color w:val="000000" w:themeColor="text1"/>
                <w:sz w:val="14"/>
                <w:szCs w:val="14"/>
              </w:rPr>
            </w:pPr>
            <w:r w:rsidRPr="00567F1C">
              <w:rPr>
                <w:rFonts w:asciiTheme="majorHAnsi" w:hAnsiTheme="majorHAnsi" w:cstheme="majorHAnsi"/>
                <w:color w:val="000000" w:themeColor="text1"/>
                <w:sz w:val="14"/>
                <w:szCs w:val="14"/>
              </w:rPr>
              <w:t>31%</w:t>
            </w:r>
          </w:p>
        </w:tc>
        <w:tc>
          <w:tcPr>
            <w:tcW w:w="1134" w:type="dxa"/>
          </w:tcPr>
          <w:p w14:paraId="50E5BE8D" w14:textId="77777777" w:rsidR="00567F1C" w:rsidRPr="00567F1C" w:rsidRDefault="00567F1C" w:rsidP="007C1A2E">
            <w:pPr>
              <w:spacing w:before="100" w:beforeAutospacing="1" w:after="100" w:afterAutospacing="1" w:line="360" w:lineRule="auto"/>
              <w:rPr>
                <w:rFonts w:asciiTheme="majorHAnsi" w:hAnsiTheme="majorHAnsi" w:cstheme="majorHAnsi"/>
                <w:color w:val="000000" w:themeColor="text1"/>
                <w:sz w:val="14"/>
                <w:szCs w:val="14"/>
              </w:rPr>
            </w:pPr>
            <w:r w:rsidRPr="00567F1C">
              <w:rPr>
                <w:rFonts w:asciiTheme="majorHAnsi" w:hAnsiTheme="majorHAnsi" w:cstheme="majorHAnsi"/>
                <w:color w:val="000000" w:themeColor="text1"/>
                <w:sz w:val="14"/>
                <w:szCs w:val="14"/>
              </w:rPr>
              <w:t>15%</w:t>
            </w:r>
          </w:p>
        </w:tc>
      </w:tr>
      <w:tr w:rsidR="00567F1C" w:rsidRPr="00567F1C" w14:paraId="50E60AB1" w14:textId="77777777" w:rsidTr="00A517CB">
        <w:trPr>
          <w:trHeight w:val="41"/>
        </w:trPr>
        <w:tc>
          <w:tcPr>
            <w:tcW w:w="1430" w:type="dxa"/>
          </w:tcPr>
          <w:p w14:paraId="641E0252" w14:textId="77777777" w:rsidR="00567F1C" w:rsidRPr="00567F1C" w:rsidRDefault="00567F1C" w:rsidP="007C1A2E">
            <w:pPr>
              <w:spacing w:before="100" w:beforeAutospacing="1" w:after="100" w:afterAutospacing="1" w:line="360" w:lineRule="auto"/>
              <w:rPr>
                <w:rFonts w:asciiTheme="majorHAnsi" w:hAnsiTheme="majorHAnsi" w:cstheme="majorHAnsi"/>
                <w:color w:val="000000" w:themeColor="text1"/>
                <w:sz w:val="14"/>
                <w:szCs w:val="14"/>
              </w:rPr>
            </w:pPr>
            <w:r w:rsidRPr="00567F1C">
              <w:rPr>
                <w:rFonts w:asciiTheme="majorHAnsi" w:hAnsiTheme="majorHAnsi" w:cstheme="majorHAnsi"/>
                <w:color w:val="000000" w:themeColor="text1"/>
                <w:sz w:val="14"/>
                <w:szCs w:val="14"/>
              </w:rPr>
              <w:t>Teachers (n=107)</w:t>
            </w:r>
          </w:p>
        </w:tc>
        <w:tc>
          <w:tcPr>
            <w:tcW w:w="830" w:type="dxa"/>
          </w:tcPr>
          <w:p w14:paraId="6E4BF022" w14:textId="77777777" w:rsidR="00567F1C" w:rsidRPr="00567F1C" w:rsidRDefault="00567F1C" w:rsidP="007C1A2E">
            <w:pPr>
              <w:spacing w:before="100" w:beforeAutospacing="1" w:after="100" w:afterAutospacing="1" w:line="360" w:lineRule="auto"/>
              <w:rPr>
                <w:rFonts w:asciiTheme="majorHAnsi" w:hAnsiTheme="majorHAnsi" w:cstheme="majorHAnsi"/>
                <w:color w:val="000000" w:themeColor="text1"/>
                <w:sz w:val="14"/>
                <w:szCs w:val="14"/>
              </w:rPr>
            </w:pPr>
            <w:r w:rsidRPr="00567F1C">
              <w:rPr>
                <w:rFonts w:asciiTheme="majorHAnsi" w:hAnsiTheme="majorHAnsi" w:cstheme="majorHAnsi"/>
                <w:color w:val="000000" w:themeColor="text1"/>
                <w:sz w:val="14"/>
                <w:szCs w:val="14"/>
              </w:rPr>
              <w:t>26%</w:t>
            </w:r>
          </w:p>
        </w:tc>
        <w:tc>
          <w:tcPr>
            <w:tcW w:w="1097" w:type="dxa"/>
          </w:tcPr>
          <w:p w14:paraId="72483B37" w14:textId="77777777" w:rsidR="00567F1C" w:rsidRPr="00567F1C" w:rsidRDefault="00567F1C" w:rsidP="007C1A2E">
            <w:pPr>
              <w:spacing w:before="100" w:beforeAutospacing="1" w:after="100" w:afterAutospacing="1" w:line="360" w:lineRule="auto"/>
              <w:rPr>
                <w:rFonts w:asciiTheme="majorHAnsi" w:hAnsiTheme="majorHAnsi" w:cstheme="majorHAnsi"/>
                <w:color w:val="000000" w:themeColor="text1"/>
                <w:sz w:val="14"/>
                <w:szCs w:val="14"/>
              </w:rPr>
            </w:pPr>
            <w:r w:rsidRPr="00567F1C">
              <w:rPr>
                <w:rFonts w:asciiTheme="majorHAnsi" w:hAnsiTheme="majorHAnsi" w:cstheme="majorHAnsi"/>
                <w:color w:val="000000" w:themeColor="text1"/>
                <w:sz w:val="14"/>
                <w:szCs w:val="14"/>
              </w:rPr>
              <w:t>7%</w:t>
            </w:r>
          </w:p>
        </w:tc>
        <w:tc>
          <w:tcPr>
            <w:tcW w:w="1020" w:type="dxa"/>
          </w:tcPr>
          <w:p w14:paraId="5814985A" w14:textId="77777777" w:rsidR="00567F1C" w:rsidRPr="00567F1C" w:rsidRDefault="00567F1C" w:rsidP="007C1A2E">
            <w:pPr>
              <w:spacing w:before="100" w:beforeAutospacing="1" w:after="100" w:afterAutospacing="1" w:line="360" w:lineRule="auto"/>
              <w:rPr>
                <w:rFonts w:asciiTheme="majorHAnsi" w:hAnsiTheme="majorHAnsi" w:cstheme="majorHAnsi"/>
                <w:color w:val="000000" w:themeColor="text1"/>
                <w:sz w:val="14"/>
                <w:szCs w:val="14"/>
              </w:rPr>
            </w:pPr>
            <w:r w:rsidRPr="00567F1C">
              <w:rPr>
                <w:rFonts w:asciiTheme="majorHAnsi" w:hAnsiTheme="majorHAnsi" w:cstheme="majorHAnsi"/>
                <w:color w:val="000000" w:themeColor="text1"/>
                <w:sz w:val="14"/>
                <w:szCs w:val="14"/>
              </w:rPr>
              <w:t>21%</w:t>
            </w:r>
          </w:p>
        </w:tc>
        <w:tc>
          <w:tcPr>
            <w:tcW w:w="1288" w:type="dxa"/>
          </w:tcPr>
          <w:p w14:paraId="292599C6" w14:textId="77777777" w:rsidR="00567F1C" w:rsidRPr="00567F1C" w:rsidRDefault="00567F1C" w:rsidP="007C1A2E">
            <w:pPr>
              <w:spacing w:before="100" w:beforeAutospacing="1" w:after="100" w:afterAutospacing="1" w:line="360" w:lineRule="auto"/>
              <w:rPr>
                <w:rFonts w:asciiTheme="majorHAnsi" w:hAnsiTheme="majorHAnsi" w:cstheme="majorHAnsi"/>
                <w:color w:val="000000" w:themeColor="text1"/>
                <w:sz w:val="14"/>
                <w:szCs w:val="14"/>
              </w:rPr>
            </w:pPr>
            <w:r w:rsidRPr="00567F1C">
              <w:rPr>
                <w:rFonts w:asciiTheme="majorHAnsi" w:hAnsiTheme="majorHAnsi" w:cstheme="majorHAnsi"/>
                <w:color w:val="000000" w:themeColor="text1"/>
                <w:sz w:val="14"/>
                <w:szCs w:val="14"/>
              </w:rPr>
              <w:t>4%</w:t>
            </w:r>
          </w:p>
        </w:tc>
        <w:tc>
          <w:tcPr>
            <w:tcW w:w="993" w:type="dxa"/>
          </w:tcPr>
          <w:p w14:paraId="22891C0B" w14:textId="77777777" w:rsidR="00567F1C" w:rsidRPr="00567F1C" w:rsidRDefault="00567F1C" w:rsidP="007C1A2E">
            <w:pPr>
              <w:spacing w:before="100" w:beforeAutospacing="1" w:after="100" w:afterAutospacing="1" w:line="360" w:lineRule="auto"/>
              <w:rPr>
                <w:rFonts w:asciiTheme="majorHAnsi" w:hAnsiTheme="majorHAnsi" w:cstheme="majorHAnsi"/>
                <w:color w:val="000000" w:themeColor="text1"/>
                <w:sz w:val="14"/>
                <w:szCs w:val="14"/>
              </w:rPr>
            </w:pPr>
            <w:r w:rsidRPr="00567F1C">
              <w:rPr>
                <w:rFonts w:asciiTheme="majorHAnsi" w:hAnsiTheme="majorHAnsi" w:cstheme="majorHAnsi"/>
                <w:color w:val="000000" w:themeColor="text1"/>
                <w:sz w:val="14"/>
                <w:szCs w:val="14"/>
              </w:rPr>
              <w:t>27%</w:t>
            </w:r>
          </w:p>
        </w:tc>
        <w:tc>
          <w:tcPr>
            <w:tcW w:w="1134" w:type="dxa"/>
          </w:tcPr>
          <w:p w14:paraId="0105A70B" w14:textId="77777777" w:rsidR="00567F1C" w:rsidRPr="00567F1C" w:rsidRDefault="00567F1C" w:rsidP="007C1A2E">
            <w:pPr>
              <w:spacing w:before="100" w:beforeAutospacing="1" w:after="100" w:afterAutospacing="1" w:line="360" w:lineRule="auto"/>
              <w:rPr>
                <w:rFonts w:asciiTheme="majorHAnsi" w:hAnsiTheme="majorHAnsi" w:cstheme="majorHAnsi"/>
                <w:color w:val="000000" w:themeColor="text1"/>
                <w:sz w:val="14"/>
                <w:szCs w:val="14"/>
              </w:rPr>
            </w:pPr>
            <w:r w:rsidRPr="00567F1C">
              <w:rPr>
                <w:rFonts w:asciiTheme="majorHAnsi" w:hAnsiTheme="majorHAnsi" w:cstheme="majorHAnsi"/>
                <w:color w:val="000000" w:themeColor="text1"/>
                <w:sz w:val="14"/>
                <w:szCs w:val="14"/>
              </w:rPr>
              <w:t>5%</w:t>
            </w:r>
          </w:p>
        </w:tc>
      </w:tr>
      <w:tr w:rsidR="00567F1C" w:rsidRPr="00567F1C" w14:paraId="0D100561" w14:textId="77777777" w:rsidTr="00A517CB">
        <w:trPr>
          <w:trHeight w:val="41"/>
        </w:trPr>
        <w:tc>
          <w:tcPr>
            <w:tcW w:w="1430" w:type="dxa"/>
          </w:tcPr>
          <w:p w14:paraId="2434FCE6" w14:textId="77777777" w:rsidR="00567F1C" w:rsidRPr="00567F1C" w:rsidRDefault="00567F1C" w:rsidP="007C1A2E">
            <w:pPr>
              <w:spacing w:before="100" w:beforeAutospacing="1" w:after="100" w:afterAutospacing="1" w:line="360" w:lineRule="auto"/>
              <w:rPr>
                <w:rFonts w:asciiTheme="majorHAnsi" w:hAnsiTheme="majorHAnsi" w:cstheme="majorHAnsi"/>
                <w:color w:val="000000" w:themeColor="text1"/>
                <w:sz w:val="14"/>
                <w:szCs w:val="14"/>
              </w:rPr>
            </w:pPr>
            <w:r w:rsidRPr="00567F1C">
              <w:rPr>
                <w:rFonts w:asciiTheme="majorHAnsi" w:hAnsiTheme="majorHAnsi" w:cstheme="majorHAnsi"/>
                <w:color w:val="000000" w:themeColor="text1"/>
                <w:sz w:val="14"/>
                <w:szCs w:val="14"/>
              </w:rPr>
              <w:t>Follow-Up Study **</w:t>
            </w:r>
          </w:p>
        </w:tc>
        <w:tc>
          <w:tcPr>
            <w:tcW w:w="830" w:type="dxa"/>
          </w:tcPr>
          <w:p w14:paraId="1FD6C545" w14:textId="77777777" w:rsidR="00567F1C" w:rsidRPr="00567F1C" w:rsidRDefault="00567F1C" w:rsidP="007C1A2E">
            <w:pPr>
              <w:spacing w:before="100" w:beforeAutospacing="1" w:after="100" w:afterAutospacing="1" w:line="360" w:lineRule="auto"/>
              <w:rPr>
                <w:rFonts w:asciiTheme="majorHAnsi" w:hAnsiTheme="majorHAnsi" w:cstheme="majorHAnsi"/>
                <w:color w:val="000000" w:themeColor="text1"/>
                <w:sz w:val="14"/>
                <w:szCs w:val="14"/>
              </w:rPr>
            </w:pPr>
          </w:p>
        </w:tc>
        <w:tc>
          <w:tcPr>
            <w:tcW w:w="1097" w:type="dxa"/>
          </w:tcPr>
          <w:p w14:paraId="0D5AA702" w14:textId="77777777" w:rsidR="00567F1C" w:rsidRPr="00567F1C" w:rsidRDefault="00567F1C" w:rsidP="007C1A2E">
            <w:pPr>
              <w:spacing w:before="100" w:beforeAutospacing="1" w:after="100" w:afterAutospacing="1" w:line="360" w:lineRule="auto"/>
              <w:rPr>
                <w:rFonts w:asciiTheme="majorHAnsi" w:hAnsiTheme="majorHAnsi" w:cstheme="majorHAnsi"/>
                <w:color w:val="000000" w:themeColor="text1"/>
                <w:sz w:val="14"/>
                <w:szCs w:val="14"/>
              </w:rPr>
            </w:pPr>
          </w:p>
        </w:tc>
        <w:tc>
          <w:tcPr>
            <w:tcW w:w="1020" w:type="dxa"/>
          </w:tcPr>
          <w:p w14:paraId="69C5C161" w14:textId="77777777" w:rsidR="00567F1C" w:rsidRPr="00567F1C" w:rsidRDefault="00567F1C" w:rsidP="007C1A2E">
            <w:pPr>
              <w:spacing w:before="100" w:beforeAutospacing="1" w:after="100" w:afterAutospacing="1" w:line="360" w:lineRule="auto"/>
              <w:rPr>
                <w:rFonts w:asciiTheme="majorHAnsi" w:hAnsiTheme="majorHAnsi" w:cstheme="majorHAnsi"/>
                <w:color w:val="000000" w:themeColor="text1"/>
                <w:sz w:val="14"/>
                <w:szCs w:val="14"/>
              </w:rPr>
            </w:pPr>
          </w:p>
        </w:tc>
        <w:tc>
          <w:tcPr>
            <w:tcW w:w="1288" w:type="dxa"/>
          </w:tcPr>
          <w:p w14:paraId="62989548" w14:textId="77777777" w:rsidR="00567F1C" w:rsidRPr="00567F1C" w:rsidRDefault="00567F1C" w:rsidP="007C1A2E">
            <w:pPr>
              <w:spacing w:before="100" w:beforeAutospacing="1" w:after="100" w:afterAutospacing="1" w:line="360" w:lineRule="auto"/>
              <w:rPr>
                <w:rFonts w:asciiTheme="majorHAnsi" w:hAnsiTheme="majorHAnsi" w:cstheme="majorHAnsi"/>
                <w:color w:val="000000" w:themeColor="text1"/>
                <w:sz w:val="14"/>
                <w:szCs w:val="14"/>
              </w:rPr>
            </w:pPr>
          </w:p>
        </w:tc>
        <w:tc>
          <w:tcPr>
            <w:tcW w:w="993" w:type="dxa"/>
          </w:tcPr>
          <w:p w14:paraId="12A3CC57" w14:textId="77777777" w:rsidR="00567F1C" w:rsidRPr="00567F1C" w:rsidRDefault="00567F1C" w:rsidP="007C1A2E">
            <w:pPr>
              <w:spacing w:before="100" w:beforeAutospacing="1" w:after="100" w:afterAutospacing="1" w:line="360" w:lineRule="auto"/>
              <w:rPr>
                <w:rFonts w:asciiTheme="majorHAnsi" w:hAnsiTheme="majorHAnsi" w:cstheme="majorHAnsi"/>
                <w:color w:val="000000" w:themeColor="text1"/>
                <w:sz w:val="14"/>
                <w:szCs w:val="14"/>
              </w:rPr>
            </w:pPr>
          </w:p>
        </w:tc>
        <w:tc>
          <w:tcPr>
            <w:tcW w:w="1134" w:type="dxa"/>
          </w:tcPr>
          <w:p w14:paraId="30E2EFA3" w14:textId="77777777" w:rsidR="00567F1C" w:rsidRPr="00567F1C" w:rsidRDefault="00567F1C" w:rsidP="007C1A2E">
            <w:pPr>
              <w:spacing w:before="100" w:beforeAutospacing="1" w:after="100" w:afterAutospacing="1" w:line="360" w:lineRule="auto"/>
              <w:rPr>
                <w:rFonts w:asciiTheme="majorHAnsi" w:hAnsiTheme="majorHAnsi" w:cstheme="majorHAnsi"/>
                <w:color w:val="000000" w:themeColor="text1"/>
                <w:sz w:val="14"/>
                <w:szCs w:val="14"/>
              </w:rPr>
            </w:pPr>
          </w:p>
        </w:tc>
      </w:tr>
      <w:tr w:rsidR="00567F1C" w:rsidRPr="00567F1C" w14:paraId="37E016E6" w14:textId="77777777" w:rsidTr="00A517CB">
        <w:trPr>
          <w:trHeight w:val="41"/>
        </w:trPr>
        <w:tc>
          <w:tcPr>
            <w:tcW w:w="1430" w:type="dxa"/>
          </w:tcPr>
          <w:p w14:paraId="3AAB0074" w14:textId="77777777" w:rsidR="00567F1C" w:rsidRPr="00567F1C" w:rsidRDefault="00567F1C" w:rsidP="007C1A2E">
            <w:pPr>
              <w:spacing w:before="100" w:beforeAutospacing="1" w:after="100" w:afterAutospacing="1" w:line="360" w:lineRule="auto"/>
              <w:rPr>
                <w:rFonts w:asciiTheme="majorHAnsi" w:hAnsiTheme="majorHAnsi" w:cstheme="majorHAnsi"/>
                <w:color w:val="000000" w:themeColor="text1"/>
                <w:sz w:val="14"/>
                <w:szCs w:val="14"/>
              </w:rPr>
            </w:pPr>
            <w:r w:rsidRPr="00567F1C">
              <w:rPr>
                <w:rFonts w:asciiTheme="majorHAnsi" w:hAnsiTheme="majorHAnsi" w:cstheme="majorHAnsi"/>
                <w:color w:val="000000" w:themeColor="text1"/>
                <w:sz w:val="14"/>
                <w:szCs w:val="14"/>
              </w:rPr>
              <w:t>PSHs (n=11)</w:t>
            </w:r>
          </w:p>
        </w:tc>
        <w:tc>
          <w:tcPr>
            <w:tcW w:w="830" w:type="dxa"/>
          </w:tcPr>
          <w:p w14:paraId="4D3D2E0B" w14:textId="77777777" w:rsidR="00567F1C" w:rsidRPr="00567F1C" w:rsidRDefault="00567F1C" w:rsidP="007C1A2E">
            <w:pPr>
              <w:spacing w:before="100" w:beforeAutospacing="1" w:after="100" w:afterAutospacing="1" w:line="360" w:lineRule="auto"/>
              <w:rPr>
                <w:rFonts w:asciiTheme="majorHAnsi" w:hAnsiTheme="majorHAnsi" w:cstheme="majorHAnsi"/>
                <w:color w:val="000000" w:themeColor="text1"/>
                <w:sz w:val="14"/>
                <w:szCs w:val="14"/>
              </w:rPr>
            </w:pPr>
            <w:r w:rsidRPr="00567F1C">
              <w:rPr>
                <w:rFonts w:asciiTheme="majorHAnsi" w:hAnsiTheme="majorHAnsi" w:cstheme="majorHAnsi"/>
                <w:color w:val="000000" w:themeColor="text1"/>
                <w:sz w:val="14"/>
                <w:szCs w:val="14"/>
              </w:rPr>
              <w:t>50%</w:t>
            </w:r>
          </w:p>
        </w:tc>
        <w:tc>
          <w:tcPr>
            <w:tcW w:w="1097" w:type="dxa"/>
          </w:tcPr>
          <w:p w14:paraId="3F1C35E9" w14:textId="77777777" w:rsidR="00567F1C" w:rsidRPr="00567F1C" w:rsidRDefault="00567F1C" w:rsidP="007C1A2E">
            <w:pPr>
              <w:spacing w:before="100" w:beforeAutospacing="1" w:after="100" w:afterAutospacing="1" w:line="360" w:lineRule="auto"/>
              <w:rPr>
                <w:rFonts w:asciiTheme="majorHAnsi" w:hAnsiTheme="majorHAnsi" w:cstheme="majorHAnsi"/>
                <w:color w:val="000000" w:themeColor="text1"/>
                <w:sz w:val="14"/>
                <w:szCs w:val="14"/>
              </w:rPr>
            </w:pPr>
            <w:r w:rsidRPr="00567F1C">
              <w:rPr>
                <w:rFonts w:asciiTheme="majorHAnsi" w:hAnsiTheme="majorHAnsi" w:cstheme="majorHAnsi"/>
                <w:color w:val="000000" w:themeColor="text1"/>
                <w:sz w:val="14"/>
                <w:szCs w:val="14"/>
              </w:rPr>
              <w:t>25%</w:t>
            </w:r>
          </w:p>
        </w:tc>
        <w:tc>
          <w:tcPr>
            <w:tcW w:w="1020" w:type="dxa"/>
          </w:tcPr>
          <w:p w14:paraId="384D0449" w14:textId="77777777" w:rsidR="00567F1C" w:rsidRPr="00567F1C" w:rsidRDefault="00567F1C" w:rsidP="007C1A2E">
            <w:pPr>
              <w:spacing w:before="100" w:beforeAutospacing="1" w:after="100" w:afterAutospacing="1" w:line="360" w:lineRule="auto"/>
              <w:rPr>
                <w:rFonts w:asciiTheme="majorHAnsi" w:hAnsiTheme="majorHAnsi" w:cstheme="majorHAnsi"/>
                <w:color w:val="000000" w:themeColor="text1"/>
                <w:sz w:val="14"/>
                <w:szCs w:val="14"/>
              </w:rPr>
            </w:pPr>
            <w:r w:rsidRPr="00567F1C">
              <w:rPr>
                <w:rFonts w:asciiTheme="majorHAnsi" w:hAnsiTheme="majorHAnsi" w:cstheme="majorHAnsi"/>
                <w:color w:val="000000" w:themeColor="text1"/>
                <w:sz w:val="14"/>
                <w:szCs w:val="14"/>
              </w:rPr>
              <w:t>50%</w:t>
            </w:r>
          </w:p>
        </w:tc>
        <w:tc>
          <w:tcPr>
            <w:tcW w:w="1288" w:type="dxa"/>
          </w:tcPr>
          <w:p w14:paraId="7DAA39C9" w14:textId="77777777" w:rsidR="00567F1C" w:rsidRPr="00567F1C" w:rsidRDefault="00567F1C" w:rsidP="007C1A2E">
            <w:pPr>
              <w:spacing w:before="100" w:beforeAutospacing="1" w:after="100" w:afterAutospacing="1" w:line="360" w:lineRule="auto"/>
              <w:rPr>
                <w:rFonts w:asciiTheme="majorHAnsi" w:hAnsiTheme="majorHAnsi" w:cstheme="majorHAnsi"/>
                <w:color w:val="000000" w:themeColor="text1"/>
                <w:sz w:val="14"/>
                <w:szCs w:val="14"/>
              </w:rPr>
            </w:pPr>
            <w:r w:rsidRPr="00567F1C">
              <w:rPr>
                <w:rFonts w:asciiTheme="majorHAnsi" w:hAnsiTheme="majorHAnsi" w:cstheme="majorHAnsi"/>
                <w:color w:val="000000" w:themeColor="text1"/>
                <w:sz w:val="14"/>
                <w:szCs w:val="14"/>
              </w:rPr>
              <w:t>25%</w:t>
            </w:r>
          </w:p>
        </w:tc>
        <w:tc>
          <w:tcPr>
            <w:tcW w:w="993" w:type="dxa"/>
          </w:tcPr>
          <w:p w14:paraId="0677C8FD" w14:textId="77777777" w:rsidR="00567F1C" w:rsidRPr="00567F1C" w:rsidRDefault="00567F1C" w:rsidP="007C1A2E">
            <w:pPr>
              <w:spacing w:before="100" w:beforeAutospacing="1" w:after="100" w:afterAutospacing="1" w:line="360" w:lineRule="auto"/>
              <w:rPr>
                <w:rFonts w:asciiTheme="majorHAnsi" w:hAnsiTheme="majorHAnsi" w:cstheme="majorHAnsi"/>
                <w:color w:val="000000" w:themeColor="text1"/>
                <w:sz w:val="14"/>
                <w:szCs w:val="14"/>
              </w:rPr>
            </w:pPr>
            <w:r w:rsidRPr="00567F1C">
              <w:rPr>
                <w:rFonts w:asciiTheme="majorHAnsi" w:hAnsiTheme="majorHAnsi" w:cstheme="majorHAnsi"/>
                <w:color w:val="000000" w:themeColor="text1"/>
                <w:sz w:val="14"/>
                <w:szCs w:val="14"/>
              </w:rPr>
              <w:t>33%</w:t>
            </w:r>
          </w:p>
        </w:tc>
        <w:tc>
          <w:tcPr>
            <w:tcW w:w="1134" w:type="dxa"/>
          </w:tcPr>
          <w:p w14:paraId="3C6633DA" w14:textId="77777777" w:rsidR="00567F1C" w:rsidRPr="00567F1C" w:rsidRDefault="00567F1C" w:rsidP="007C1A2E">
            <w:pPr>
              <w:spacing w:before="100" w:beforeAutospacing="1" w:after="100" w:afterAutospacing="1" w:line="360" w:lineRule="auto"/>
              <w:rPr>
                <w:rFonts w:asciiTheme="majorHAnsi" w:hAnsiTheme="majorHAnsi" w:cstheme="majorHAnsi"/>
                <w:color w:val="000000" w:themeColor="text1"/>
                <w:sz w:val="14"/>
                <w:szCs w:val="14"/>
              </w:rPr>
            </w:pPr>
            <w:r w:rsidRPr="00567F1C">
              <w:rPr>
                <w:rFonts w:asciiTheme="majorHAnsi" w:hAnsiTheme="majorHAnsi" w:cstheme="majorHAnsi"/>
                <w:color w:val="000000" w:themeColor="text1"/>
                <w:sz w:val="14"/>
                <w:szCs w:val="14"/>
              </w:rPr>
              <w:t>25%</w:t>
            </w:r>
          </w:p>
        </w:tc>
      </w:tr>
      <w:tr w:rsidR="00567F1C" w:rsidRPr="00567F1C" w14:paraId="324B8F11" w14:textId="77777777" w:rsidTr="00A517CB">
        <w:trPr>
          <w:trHeight w:val="41"/>
        </w:trPr>
        <w:tc>
          <w:tcPr>
            <w:tcW w:w="1430" w:type="dxa"/>
          </w:tcPr>
          <w:p w14:paraId="2ADB5431" w14:textId="77777777" w:rsidR="00567F1C" w:rsidRPr="00567F1C" w:rsidRDefault="00567F1C" w:rsidP="007C1A2E">
            <w:pPr>
              <w:spacing w:before="100" w:beforeAutospacing="1" w:after="100" w:afterAutospacing="1" w:line="360" w:lineRule="auto"/>
              <w:rPr>
                <w:rFonts w:asciiTheme="majorHAnsi" w:hAnsiTheme="majorHAnsi" w:cstheme="majorHAnsi"/>
                <w:color w:val="000000" w:themeColor="text1"/>
                <w:sz w:val="14"/>
                <w:szCs w:val="14"/>
              </w:rPr>
            </w:pPr>
            <w:r w:rsidRPr="00567F1C">
              <w:rPr>
                <w:rFonts w:asciiTheme="majorHAnsi" w:hAnsiTheme="majorHAnsi" w:cstheme="majorHAnsi"/>
                <w:color w:val="000000" w:themeColor="text1"/>
                <w:sz w:val="14"/>
                <w:szCs w:val="14"/>
              </w:rPr>
              <w:t>Teachers (n=61)</w:t>
            </w:r>
          </w:p>
        </w:tc>
        <w:tc>
          <w:tcPr>
            <w:tcW w:w="830" w:type="dxa"/>
          </w:tcPr>
          <w:p w14:paraId="3B399F16" w14:textId="77777777" w:rsidR="00567F1C" w:rsidRPr="00567F1C" w:rsidRDefault="00567F1C" w:rsidP="007C1A2E">
            <w:pPr>
              <w:spacing w:before="100" w:beforeAutospacing="1" w:after="100" w:afterAutospacing="1" w:line="360" w:lineRule="auto"/>
              <w:rPr>
                <w:rFonts w:asciiTheme="majorHAnsi" w:hAnsiTheme="majorHAnsi" w:cstheme="majorHAnsi"/>
                <w:color w:val="000000" w:themeColor="text1"/>
                <w:sz w:val="14"/>
                <w:szCs w:val="14"/>
              </w:rPr>
            </w:pPr>
            <w:r w:rsidRPr="00567F1C">
              <w:rPr>
                <w:rFonts w:asciiTheme="majorHAnsi" w:hAnsiTheme="majorHAnsi" w:cstheme="majorHAnsi"/>
                <w:color w:val="000000" w:themeColor="text1"/>
                <w:sz w:val="14"/>
                <w:szCs w:val="14"/>
              </w:rPr>
              <w:t>28%</w:t>
            </w:r>
          </w:p>
        </w:tc>
        <w:tc>
          <w:tcPr>
            <w:tcW w:w="1097" w:type="dxa"/>
          </w:tcPr>
          <w:p w14:paraId="2C98ED2E" w14:textId="77777777" w:rsidR="00567F1C" w:rsidRPr="00567F1C" w:rsidRDefault="00567F1C" w:rsidP="007C1A2E">
            <w:pPr>
              <w:spacing w:before="100" w:beforeAutospacing="1" w:after="100" w:afterAutospacing="1" w:line="360" w:lineRule="auto"/>
              <w:rPr>
                <w:rFonts w:asciiTheme="majorHAnsi" w:hAnsiTheme="majorHAnsi" w:cstheme="majorHAnsi"/>
                <w:color w:val="000000" w:themeColor="text1"/>
                <w:sz w:val="14"/>
                <w:szCs w:val="14"/>
              </w:rPr>
            </w:pPr>
            <w:r w:rsidRPr="00567F1C">
              <w:rPr>
                <w:rFonts w:asciiTheme="majorHAnsi" w:hAnsiTheme="majorHAnsi" w:cstheme="majorHAnsi"/>
                <w:color w:val="000000" w:themeColor="text1"/>
                <w:sz w:val="14"/>
                <w:szCs w:val="14"/>
              </w:rPr>
              <w:t>7%</w:t>
            </w:r>
          </w:p>
        </w:tc>
        <w:tc>
          <w:tcPr>
            <w:tcW w:w="1020" w:type="dxa"/>
          </w:tcPr>
          <w:p w14:paraId="01CFBD8E" w14:textId="77777777" w:rsidR="00567F1C" w:rsidRPr="00567F1C" w:rsidRDefault="00567F1C" w:rsidP="007C1A2E">
            <w:pPr>
              <w:spacing w:before="100" w:beforeAutospacing="1" w:after="100" w:afterAutospacing="1" w:line="360" w:lineRule="auto"/>
              <w:rPr>
                <w:rFonts w:asciiTheme="majorHAnsi" w:hAnsiTheme="majorHAnsi" w:cstheme="majorHAnsi"/>
                <w:color w:val="000000" w:themeColor="text1"/>
                <w:sz w:val="14"/>
                <w:szCs w:val="14"/>
              </w:rPr>
            </w:pPr>
            <w:r w:rsidRPr="00567F1C">
              <w:rPr>
                <w:rFonts w:asciiTheme="majorHAnsi" w:hAnsiTheme="majorHAnsi" w:cstheme="majorHAnsi"/>
                <w:color w:val="000000" w:themeColor="text1"/>
                <w:sz w:val="14"/>
                <w:szCs w:val="14"/>
              </w:rPr>
              <w:t>23%</w:t>
            </w:r>
          </w:p>
        </w:tc>
        <w:tc>
          <w:tcPr>
            <w:tcW w:w="1288" w:type="dxa"/>
          </w:tcPr>
          <w:p w14:paraId="19A79AC6" w14:textId="77777777" w:rsidR="00567F1C" w:rsidRPr="00567F1C" w:rsidRDefault="00567F1C" w:rsidP="007C1A2E">
            <w:pPr>
              <w:spacing w:before="100" w:beforeAutospacing="1" w:after="100" w:afterAutospacing="1" w:line="360" w:lineRule="auto"/>
              <w:rPr>
                <w:rFonts w:asciiTheme="majorHAnsi" w:hAnsiTheme="majorHAnsi" w:cstheme="majorHAnsi"/>
                <w:color w:val="000000" w:themeColor="text1"/>
                <w:sz w:val="14"/>
                <w:szCs w:val="14"/>
              </w:rPr>
            </w:pPr>
            <w:r w:rsidRPr="00567F1C">
              <w:rPr>
                <w:rFonts w:asciiTheme="majorHAnsi" w:hAnsiTheme="majorHAnsi" w:cstheme="majorHAnsi"/>
                <w:color w:val="000000" w:themeColor="text1"/>
                <w:sz w:val="14"/>
                <w:szCs w:val="14"/>
              </w:rPr>
              <w:t>8%</w:t>
            </w:r>
          </w:p>
        </w:tc>
        <w:tc>
          <w:tcPr>
            <w:tcW w:w="993" w:type="dxa"/>
          </w:tcPr>
          <w:p w14:paraId="4DE95B86" w14:textId="77777777" w:rsidR="00567F1C" w:rsidRPr="00567F1C" w:rsidRDefault="00567F1C" w:rsidP="007C1A2E">
            <w:pPr>
              <w:spacing w:before="100" w:beforeAutospacing="1" w:after="100" w:afterAutospacing="1" w:line="360" w:lineRule="auto"/>
              <w:rPr>
                <w:rFonts w:asciiTheme="majorHAnsi" w:hAnsiTheme="majorHAnsi" w:cstheme="majorHAnsi"/>
                <w:color w:val="000000" w:themeColor="text1"/>
                <w:sz w:val="14"/>
                <w:szCs w:val="14"/>
              </w:rPr>
            </w:pPr>
            <w:r w:rsidRPr="00567F1C">
              <w:rPr>
                <w:rFonts w:asciiTheme="majorHAnsi" w:hAnsiTheme="majorHAnsi" w:cstheme="majorHAnsi"/>
                <w:color w:val="000000" w:themeColor="text1"/>
                <w:sz w:val="14"/>
                <w:szCs w:val="14"/>
              </w:rPr>
              <w:t>23%</w:t>
            </w:r>
          </w:p>
        </w:tc>
        <w:tc>
          <w:tcPr>
            <w:tcW w:w="1134" w:type="dxa"/>
          </w:tcPr>
          <w:p w14:paraId="0C68FA00" w14:textId="77777777" w:rsidR="00567F1C" w:rsidRPr="00567F1C" w:rsidRDefault="00567F1C" w:rsidP="007C1A2E">
            <w:pPr>
              <w:spacing w:before="100" w:beforeAutospacing="1" w:after="100" w:afterAutospacing="1" w:line="360" w:lineRule="auto"/>
              <w:rPr>
                <w:rFonts w:asciiTheme="majorHAnsi" w:hAnsiTheme="majorHAnsi" w:cstheme="majorHAnsi"/>
                <w:color w:val="000000" w:themeColor="text1"/>
                <w:sz w:val="14"/>
                <w:szCs w:val="14"/>
              </w:rPr>
            </w:pPr>
            <w:r w:rsidRPr="00567F1C">
              <w:rPr>
                <w:rFonts w:asciiTheme="majorHAnsi" w:hAnsiTheme="majorHAnsi" w:cstheme="majorHAnsi"/>
                <w:color w:val="000000" w:themeColor="text1"/>
                <w:sz w:val="14"/>
                <w:szCs w:val="14"/>
              </w:rPr>
              <w:t>10%</w:t>
            </w:r>
          </w:p>
        </w:tc>
      </w:tr>
    </w:tbl>
    <w:p w14:paraId="2FE65DAB" w14:textId="2B4FE8F5" w:rsidR="00567F1C" w:rsidRPr="00B31C4E" w:rsidRDefault="00567F1C" w:rsidP="007C1A2E">
      <w:pPr>
        <w:spacing w:before="100" w:beforeAutospacing="1" w:after="100" w:afterAutospacing="1" w:line="360" w:lineRule="auto"/>
        <w:rPr>
          <w:rFonts w:asciiTheme="majorHAnsi" w:hAnsiTheme="majorHAnsi" w:cstheme="majorHAnsi"/>
          <w:color w:val="000000"/>
          <w:sz w:val="14"/>
          <w:szCs w:val="14"/>
        </w:rPr>
      </w:pPr>
      <w:r w:rsidRPr="00B532A0">
        <w:rPr>
          <w:rFonts w:asciiTheme="majorHAnsi" w:hAnsiTheme="majorHAnsi" w:cstheme="majorHAnsi"/>
          <w:color w:val="000000"/>
          <w:sz w:val="14"/>
          <w:szCs w:val="14"/>
        </w:rPr>
        <w:t>*2019 KAU Survey **2020 KAU survey</w:t>
      </w:r>
    </w:p>
    <w:p w14:paraId="3F5C0C88" w14:textId="33A8B6AD" w:rsidR="00567F1C" w:rsidRPr="00B31C4E" w:rsidRDefault="008D0CAD" w:rsidP="00B31C4E">
      <w:pPr>
        <w:spacing w:before="100" w:beforeAutospacing="1" w:after="100" w:afterAutospacing="1" w:line="360" w:lineRule="auto"/>
        <w:rPr>
          <w:rFonts w:asciiTheme="majorHAnsi" w:eastAsia="Arial Unicode MS" w:hAnsiTheme="majorHAnsi" w:cstheme="majorHAnsi"/>
          <w:color w:val="000000"/>
        </w:rPr>
      </w:pPr>
      <w:r>
        <w:rPr>
          <w:rFonts w:asciiTheme="majorHAnsi" w:hAnsiTheme="majorHAnsi" w:cstheme="majorHAnsi"/>
          <w:color w:val="000000"/>
        </w:rPr>
        <w:t>I</w:t>
      </w:r>
      <w:r w:rsidRPr="00C44B5F">
        <w:rPr>
          <w:rFonts w:asciiTheme="majorHAnsi" w:hAnsiTheme="majorHAnsi" w:cstheme="majorHAnsi"/>
          <w:color w:val="000000"/>
        </w:rPr>
        <w:t>n the Follow-Up Study, only 33</w:t>
      </w:r>
      <w:r>
        <w:rPr>
          <w:rFonts w:asciiTheme="majorHAnsi" w:hAnsiTheme="majorHAnsi" w:cstheme="majorHAnsi"/>
          <w:color w:val="000000"/>
        </w:rPr>
        <w:t xml:space="preserve"> per cent</w:t>
      </w:r>
      <w:r w:rsidRPr="00C44B5F">
        <w:rPr>
          <w:rFonts w:asciiTheme="majorHAnsi" w:hAnsiTheme="majorHAnsi" w:cstheme="majorHAnsi"/>
          <w:color w:val="000000"/>
        </w:rPr>
        <w:t xml:space="preserve"> of </w:t>
      </w:r>
      <w:r>
        <w:rPr>
          <w:rFonts w:asciiTheme="majorHAnsi" w:hAnsiTheme="majorHAnsi" w:cstheme="majorHAnsi"/>
          <w:color w:val="000000"/>
        </w:rPr>
        <w:t>teachers stated</w:t>
      </w:r>
      <w:r w:rsidRPr="00C44B5F">
        <w:rPr>
          <w:rFonts w:asciiTheme="majorHAnsi" w:hAnsiTheme="majorHAnsi" w:cstheme="majorHAnsi"/>
          <w:color w:val="000000"/>
        </w:rPr>
        <w:t xml:space="preserve"> that </w:t>
      </w:r>
      <w:r>
        <w:rPr>
          <w:rFonts w:asciiTheme="majorHAnsi" w:hAnsiTheme="majorHAnsi" w:cstheme="majorHAnsi"/>
          <w:color w:val="000000"/>
        </w:rPr>
        <w:t xml:space="preserve">their </w:t>
      </w:r>
      <w:r w:rsidRPr="00C44B5F">
        <w:rPr>
          <w:rFonts w:asciiTheme="majorHAnsi" w:hAnsiTheme="majorHAnsi" w:cstheme="majorHAnsi"/>
          <w:color w:val="000000"/>
        </w:rPr>
        <w:t>schools use</w:t>
      </w:r>
      <w:r>
        <w:rPr>
          <w:rFonts w:asciiTheme="majorHAnsi" w:hAnsiTheme="majorHAnsi" w:cstheme="majorHAnsi"/>
          <w:color w:val="000000"/>
        </w:rPr>
        <w:t>d</w:t>
      </w:r>
      <w:r w:rsidRPr="00C44B5F">
        <w:rPr>
          <w:rFonts w:asciiTheme="majorHAnsi" w:hAnsiTheme="majorHAnsi" w:cstheme="majorHAnsi"/>
          <w:color w:val="000000"/>
        </w:rPr>
        <w:t xml:space="preserve"> the CARB. </w:t>
      </w:r>
      <w:r>
        <w:rPr>
          <w:rFonts w:asciiTheme="majorHAnsi" w:hAnsiTheme="majorHAnsi" w:cstheme="majorHAnsi"/>
          <w:color w:val="000000"/>
        </w:rPr>
        <w:t>57 per cent of teachers</w:t>
      </w:r>
      <w:r w:rsidRPr="00C44B5F">
        <w:rPr>
          <w:rFonts w:asciiTheme="majorHAnsi" w:hAnsiTheme="majorHAnsi" w:cstheme="majorHAnsi"/>
          <w:color w:val="000000"/>
        </w:rPr>
        <w:t xml:space="preserve"> </w:t>
      </w:r>
      <w:r>
        <w:rPr>
          <w:rFonts w:asciiTheme="majorHAnsi" w:hAnsiTheme="majorHAnsi" w:cstheme="majorHAnsi"/>
          <w:color w:val="000000"/>
        </w:rPr>
        <w:t xml:space="preserve">rated CARB’s </w:t>
      </w:r>
      <w:r w:rsidRPr="000D32D1">
        <w:rPr>
          <w:rFonts w:asciiTheme="majorHAnsi" w:hAnsiTheme="majorHAnsi" w:cstheme="majorHAnsi"/>
          <w:color w:val="000000"/>
        </w:rPr>
        <w:t>“</w:t>
      </w:r>
      <w:r w:rsidRPr="0080387C">
        <w:rPr>
          <w:rFonts w:asciiTheme="majorHAnsi" w:hAnsiTheme="majorHAnsi" w:cstheme="majorHAnsi"/>
          <w:i/>
          <w:iCs/>
          <w:color w:val="000000"/>
        </w:rPr>
        <w:t>Appropriateness as a teaching tool for teachers</w:t>
      </w:r>
      <w:r w:rsidRPr="000D32D1">
        <w:rPr>
          <w:rFonts w:asciiTheme="majorHAnsi" w:hAnsiTheme="majorHAnsi" w:cstheme="majorHAnsi"/>
          <w:color w:val="000000"/>
        </w:rPr>
        <w:t>” as high while 22</w:t>
      </w:r>
      <w:r>
        <w:rPr>
          <w:rFonts w:asciiTheme="majorHAnsi" w:hAnsiTheme="majorHAnsi" w:cstheme="majorHAnsi"/>
          <w:color w:val="000000"/>
        </w:rPr>
        <w:t xml:space="preserve"> per cent</w:t>
      </w:r>
      <w:r w:rsidRPr="000D32D1">
        <w:rPr>
          <w:rFonts w:asciiTheme="majorHAnsi" w:hAnsiTheme="majorHAnsi" w:cstheme="majorHAnsi"/>
          <w:color w:val="000000"/>
        </w:rPr>
        <w:t xml:space="preserve"> rated it very high;</w:t>
      </w:r>
      <w:r>
        <w:rPr>
          <w:rFonts w:asciiTheme="majorHAnsi" w:hAnsiTheme="majorHAnsi" w:cstheme="majorHAnsi"/>
          <w:color w:val="000000"/>
        </w:rPr>
        <w:t xml:space="preserve"> </w:t>
      </w:r>
      <w:r w:rsidRPr="000D32D1">
        <w:rPr>
          <w:rFonts w:asciiTheme="majorHAnsi" w:hAnsiTheme="majorHAnsi" w:cstheme="majorHAnsi"/>
          <w:color w:val="000000"/>
        </w:rPr>
        <w:t>48</w:t>
      </w:r>
      <w:r>
        <w:rPr>
          <w:rFonts w:asciiTheme="majorHAnsi" w:hAnsiTheme="majorHAnsi" w:cstheme="majorHAnsi"/>
          <w:color w:val="000000"/>
        </w:rPr>
        <w:t xml:space="preserve"> per cent</w:t>
      </w:r>
      <w:r w:rsidRPr="000D32D1">
        <w:rPr>
          <w:rFonts w:asciiTheme="majorHAnsi" w:hAnsiTheme="majorHAnsi" w:cstheme="majorHAnsi"/>
          <w:color w:val="000000"/>
        </w:rPr>
        <w:t xml:space="preserve"> rated “</w:t>
      </w:r>
      <w:r w:rsidRPr="0080387C">
        <w:rPr>
          <w:rFonts w:asciiTheme="majorHAnsi" w:hAnsiTheme="majorHAnsi" w:cstheme="majorHAnsi"/>
          <w:i/>
          <w:iCs/>
          <w:color w:val="000000"/>
        </w:rPr>
        <w:t>Acceptability of the tool to teachers</w:t>
      </w:r>
      <w:r w:rsidRPr="000D32D1">
        <w:rPr>
          <w:rFonts w:asciiTheme="majorHAnsi" w:hAnsiTheme="majorHAnsi" w:cstheme="majorHAnsi"/>
          <w:color w:val="000000"/>
        </w:rPr>
        <w:t>” as high while 30</w:t>
      </w:r>
      <w:r>
        <w:rPr>
          <w:rFonts w:asciiTheme="majorHAnsi" w:hAnsiTheme="majorHAnsi" w:cstheme="majorHAnsi"/>
          <w:color w:val="000000"/>
        </w:rPr>
        <w:t xml:space="preserve"> per cent</w:t>
      </w:r>
      <w:r w:rsidRPr="000D32D1">
        <w:rPr>
          <w:rFonts w:asciiTheme="majorHAnsi" w:hAnsiTheme="majorHAnsi" w:cstheme="majorHAnsi"/>
          <w:color w:val="000000"/>
        </w:rPr>
        <w:t xml:space="preserve"> rated it very high; and</w:t>
      </w:r>
      <w:r>
        <w:rPr>
          <w:rFonts w:asciiTheme="majorHAnsi" w:hAnsiTheme="majorHAnsi" w:cstheme="majorHAnsi"/>
          <w:color w:val="000000"/>
        </w:rPr>
        <w:t xml:space="preserve"> </w:t>
      </w:r>
      <w:r w:rsidRPr="000D32D1">
        <w:rPr>
          <w:rFonts w:asciiTheme="majorHAnsi" w:hAnsiTheme="majorHAnsi" w:cstheme="majorHAnsi"/>
          <w:color w:val="000000"/>
        </w:rPr>
        <w:t>48</w:t>
      </w:r>
      <w:r>
        <w:rPr>
          <w:rFonts w:asciiTheme="majorHAnsi" w:hAnsiTheme="majorHAnsi" w:cstheme="majorHAnsi"/>
          <w:color w:val="000000"/>
        </w:rPr>
        <w:t xml:space="preserve"> per cent</w:t>
      </w:r>
      <w:r w:rsidRPr="000D32D1">
        <w:rPr>
          <w:rFonts w:asciiTheme="majorHAnsi" w:hAnsiTheme="majorHAnsi" w:cstheme="majorHAnsi"/>
          <w:color w:val="000000"/>
        </w:rPr>
        <w:t xml:space="preserve"> rated “</w:t>
      </w:r>
      <w:r w:rsidRPr="0080387C">
        <w:rPr>
          <w:rFonts w:asciiTheme="majorHAnsi" w:hAnsiTheme="majorHAnsi" w:cstheme="majorHAnsi"/>
          <w:i/>
          <w:iCs/>
          <w:color w:val="000000"/>
        </w:rPr>
        <w:t>Usefulness of the tool to teachers</w:t>
      </w:r>
      <w:r w:rsidRPr="000D32D1">
        <w:rPr>
          <w:rFonts w:asciiTheme="majorHAnsi" w:hAnsiTheme="majorHAnsi" w:cstheme="majorHAnsi"/>
          <w:color w:val="000000"/>
        </w:rPr>
        <w:t>” as high while 30</w:t>
      </w:r>
      <w:r>
        <w:rPr>
          <w:rFonts w:asciiTheme="majorHAnsi" w:hAnsiTheme="majorHAnsi" w:cstheme="majorHAnsi"/>
          <w:color w:val="000000"/>
        </w:rPr>
        <w:t xml:space="preserve"> per cent</w:t>
      </w:r>
      <w:r w:rsidRPr="000D32D1">
        <w:rPr>
          <w:rFonts w:asciiTheme="majorHAnsi" w:hAnsiTheme="majorHAnsi" w:cstheme="majorHAnsi"/>
          <w:color w:val="000000"/>
        </w:rPr>
        <w:t xml:space="preserve"> rated it very high.</w:t>
      </w:r>
      <w:r w:rsidRPr="00BA7FE5">
        <w:rPr>
          <w:rStyle w:val="FootnoteReference"/>
          <w:rFonts w:asciiTheme="majorHAnsi" w:eastAsia="Arial Unicode MS" w:hAnsiTheme="majorHAnsi" w:cstheme="majorHAnsi"/>
          <w:color w:val="000000"/>
        </w:rPr>
        <w:t xml:space="preserve"> </w:t>
      </w:r>
      <w:r>
        <w:rPr>
          <w:rStyle w:val="FootnoteReference"/>
          <w:rFonts w:asciiTheme="majorHAnsi" w:eastAsia="Arial Unicode MS" w:hAnsiTheme="majorHAnsi" w:cstheme="majorHAnsi"/>
          <w:color w:val="000000"/>
        </w:rPr>
        <w:footnoteReference w:id="46"/>
      </w:r>
    </w:p>
    <w:tbl>
      <w:tblPr>
        <w:tblStyle w:val="TableGrid"/>
        <w:tblW w:w="0" w:type="auto"/>
        <w:tblLook w:val="04A0" w:firstRow="1" w:lastRow="0" w:firstColumn="1" w:lastColumn="0" w:noHBand="0" w:noVBand="1"/>
      </w:tblPr>
      <w:tblGrid>
        <w:gridCol w:w="9010"/>
      </w:tblGrid>
      <w:tr w:rsidR="00567F1C" w:rsidRPr="00DD09A6" w14:paraId="03F885F6" w14:textId="77777777" w:rsidTr="00567F1C">
        <w:tc>
          <w:tcPr>
            <w:tcW w:w="9010" w:type="dxa"/>
          </w:tcPr>
          <w:p w14:paraId="495992F9" w14:textId="77777777" w:rsidR="00567F1C" w:rsidRPr="00DD09A6" w:rsidRDefault="00567F1C" w:rsidP="007C1A2E">
            <w:pPr>
              <w:spacing w:before="100" w:beforeAutospacing="1" w:after="100" w:afterAutospacing="1" w:line="360" w:lineRule="auto"/>
              <w:ind w:right="8"/>
              <w:rPr>
                <w:rFonts w:asciiTheme="majorHAnsi" w:hAnsiTheme="majorHAnsi" w:cstheme="majorHAnsi"/>
                <w:b/>
                <w:bCs/>
                <w:color w:val="000000"/>
              </w:rPr>
            </w:pPr>
            <w:r w:rsidRPr="00DD09A6">
              <w:rPr>
                <w:rFonts w:asciiTheme="majorHAnsi" w:hAnsiTheme="majorHAnsi" w:cstheme="majorHAnsi"/>
                <w:b/>
                <w:bCs/>
                <w:color w:val="000000"/>
              </w:rPr>
              <w:t>Box 3. Classroom Assessment Resource Book</w:t>
            </w:r>
          </w:p>
          <w:p w14:paraId="0C6844EF" w14:textId="77777777" w:rsidR="00567F1C" w:rsidRPr="00DD09A6" w:rsidRDefault="00567F1C" w:rsidP="007C1A2E">
            <w:pPr>
              <w:spacing w:before="100" w:beforeAutospacing="1" w:after="100" w:afterAutospacing="1" w:line="360" w:lineRule="auto"/>
              <w:ind w:right="8"/>
              <w:rPr>
                <w:rFonts w:asciiTheme="majorHAnsi" w:hAnsiTheme="majorHAnsi" w:cstheme="majorHAnsi"/>
                <w:i/>
                <w:iCs/>
                <w:color w:val="000000"/>
              </w:rPr>
            </w:pPr>
            <w:r w:rsidRPr="00DD09A6">
              <w:rPr>
                <w:rFonts w:asciiTheme="majorHAnsi" w:hAnsiTheme="majorHAnsi" w:cstheme="majorHAnsi"/>
                <w:i/>
                <w:iCs/>
                <w:color w:val="000000"/>
              </w:rPr>
              <w:t xml:space="preserve">“In terms of assessment of the learning outcome of our students, we are guided by DO 8 </w:t>
            </w:r>
            <w:r w:rsidR="00DD09A6" w:rsidRPr="00DD09A6">
              <w:rPr>
                <w:rFonts w:asciiTheme="majorHAnsi" w:hAnsiTheme="majorHAnsi" w:cstheme="majorHAnsi"/>
                <w:i/>
                <w:iCs/>
                <w:color w:val="000000"/>
              </w:rPr>
              <w:t>s</w:t>
            </w:r>
            <w:r w:rsidRPr="00DD09A6">
              <w:rPr>
                <w:rFonts w:asciiTheme="majorHAnsi" w:hAnsiTheme="majorHAnsi" w:cstheme="majorHAnsi"/>
                <w:i/>
                <w:iCs/>
                <w:color w:val="000000"/>
              </w:rPr>
              <w:t>. 2015</w:t>
            </w:r>
            <w:r w:rsidR="00DD09A6" w:rsidRPr="00DD09A6">
              <w:rPr>
                <w:rFonts w:asciiTheme="majorHAnsi" w:hAnsiTheme="majorHAnsi" w:cstheme="majorHAnsi"/>
                <w:i/>
                <w:iCs/>
                <w:color w:val="000000"/>
              </w:rPr>
              <w:t xml:space="preserve">, that is the Assessment of Classroom Instruction. This is the guide [used by our] teachers in the assessment of the learning outcomes of the students in all subject areas. </w:t>
            </w:r>
          </w:p>
          <w:p w14:paraId="17293C93" w14:textId="77777777" w:rsidR="00DD09A6" w:rsidRPr="00DD09A6" w:rsidRDefault="00DD09A6" w:rsidP="007C1A2E">
            <w:pPr>
              <w:spacing w:before="100" w:beforeAutospacing="1" w:after="100" w:afterAutospacing="1" w:line="360" w:lineRule="auto"/>
              <w:ind w:right="8"/>
              <w:rPr>
                <w:rFonts w:asciiTheme="majorHAnsi" w:hAnsiTheme="majorHAnsi" w:cstheme="majorHAnsi"/>
                <w:i/>
                <w:iCs/>
                <w:color w:val="000000"/>
              </w:rPr>
            </w:pPr>
            <w:r w:rsidRPr="00DD09A6">
              <w:rPr>
                <w:rFonts w:asciiTheme="majorHAnsi" w:hAnsiTheme="majorHAnsi" w:cstheme="majorHAnsi"/>
                <w:i/>
                <w:iCs/>
                <w:color w:val="000000"/>
              </w:rPr>
              <w:t>[For us,] one of the most helpful assistance that the BEST Program gave is the assessment policy that brought about the Classroom Assessment Resource Book (CARB), a resource material for teacher. It is an expanded version of the DO 8 since it includes portfolio assessment and the different types of formative assessment per learning area per grade level is already there.</w:t>
            </w:r>
          </w:p>
          <w:p w14:paraId="24058C46" w14:textId="77777777" w:rsidR="00DD09A6" w:rsidRPr="00DD09A6" w:rsidRDefault="00DD09A6" w:rsidP="007C1A2E">
            <w:pPr>
              <w:spacing w:before="100" w:beforeAutospacing="1" w:after="100" w:afterAutospacing="1" w:line="360" w:lineRule="auto"/>
              <w:ind w:right="8"/>
              <w:rPr>
                <w:rFonts w:asciiTheme="majorHAnsi" w:hAnsiTheme="majorHAnsi" w:cstheme="majorHAnsi"/>
                <w:i/>
                <w:iCs/>
                <w:color w:val="000000"/>
              </w:rPr>
            </w:pPr>
            <w:r w:rsidRPr="00DD09A6">
              <w:rPr>
                <w:rFonts w:asciiTheme="majorHAnsi" w:hAnsiTheme="majorHAnsi" w:cstheme="majorHAnsi"/>
                <w:i/>
                <w:iCs/>
                <w:color w:val="000000"/>
              </w:rPr>
              <w:t xml:space="preserve">This is used by our teachers during their LAC sessions. </w:t>
            </w:r>
          </w:p>
          <w:p w14:paraId="03E32E1A" w14:textId="77777777" w:rsidR="00DD09A6" w:rsidRPr="00DD09A6" w:rsidRDefault="00DD09A6" w:rsidP="007C1A2E">
            <w:pPr>
              <w:spacing w:before="100" w:beforeAutospacing="1" w:after="100" w:afterAutospacing="1" w:line="360" w:lineRule="auto"/>
              <w:ind w:right="8"/>
              <w:rPr>
                <w:rFonts w:asciiTheme="majorHAnsi" w:hAnsiTheme="majorHAnsi" w:cstheme="majorHAnsi"/>
                <w:i/>
                <w:iCs/>
                <w:color w:val="000000"/>
              </w:rPr>
            </w:pPr>
            <w:r w:rsidRPr="00DD09A6">
              <w:rPr>
                <w:rFonts w:asciiTheme="majorHAnsi" w:hAnsiTheme="majorHAnsi" w:cstheme="majorHAnsi"/>
                <w:i/>
                <w:iCs/>
                <w:color w:val="000000"/>
              </w:rPr>
              <w:t xml:space="preserve">…but with CARB, whatever the gray areas were in the DO 8 is already addressed. It is very specific. There are examples by learning areas, so assessment is easier since these are already in the book. Maybe the implementation [of assessment] would have taken a much longer time without the BEST [Program interventions]. The assistance is very good since the problems are already addressed. </w:t>
            </w:r>
          </w:p>
          <w:p w14:paraId="3D6C58AA" w14:textId="77777777" w:rsidR="00DD09A6" w:rsidRPr="00DD09A6" w:rsidRDefault="00DD09A6" w:rsidP="007C1A2E">
            <w:pPr>
              <w:spacing w:before="100" w:beforeAutospacing="1" w:after="100" w:afterAutospacing="1" w:line="360" w:lineRule="auto"/>
              <w:ind w:right="8"/>
              <w:rPr>
                <w:rFonts w:asciiTheme="majorHAnsi" w:hAnsiTheme="majorHAnsi" w:cstheme="majorHAnsi"/>
                <w:i/>
                <w:iCs/>
                <w:color w:val="000000"/>
              </w:rPr>
            </w:pPr>
            <w:r w:rsidRPr="00DD09A6">
              <w:rPr>
                <w:rFonts w:asciiTheme="majorHAnsi" w:hAnsiTheme="majorHAnsi" w:cstheme="majorHAnsi"/>
                <w:i/>
                <w:iCs/>
                <w:color w:val="000000"/>
              </w:rPr>
              <w:t>CARB is being used annually when we conduct training on assessment and in fact, we update it.”</w:t>
            </w:r>
          </w:p>
          <w:p w14:paraId="00923499" w14:textId="77777777" w:rsidR="00DD09A6" w:rsidRPr="00DD09A6" w:rsidRDefault="00DD09A6" w:rsidP="00DD08E3">
            <w:pPr>
              <w:pStyle w:val="ListParagraph"/>
              <w:numPr>
                <w:ilvl w:val="0"/>
                <w:numId w:val="158"/>
              </w:numPr>
              <w:spacing w:before="100" w:beforeAutospacing="1" w:after="100" w:afterAutospacing="1" w:line="360" w:lineRule="auto"/>
              <w:ind w:right="8"/>
              <w:rPr>
                <w:rFonts w:asciiTheme="majorHAnsi" w:hAnsiTheme="majorHAnsi" w:cstheme="majorHAnsi"/>
                <w:color w:val="000000"/>
              </w:rPr>
            </w:pPr>
            <w:r w:rsidRPr="00DD09A6">
              <w:rPr>
                <w:rFonts w:asciiTheme="majorHAnsi" w:hAnsiTheme="majorHAnsi" w:cstheme="majorHAnsi"/>
                <w:color w:val="000000"/>
              </w:rPr>
              <w:t>FGD Respondent from RO</w:t>
            </w:r>
          </w:p>
        </w:tc>
      </w:tr>
    </w:tbl>
    <w:p w14:paraId="2AAF1AD6" w14:textId="12C7788D" w:rsidR="008D0CAD" w:rsidRPr="001F4C19" w:rsidRDefault="008D0CAD" w:rsidP="009166C4">
      <w:pPr>
        <w:pStyle w:val="Heading6"/>
      </w:pPr>
      <w:r>
        <w:t xml:space="preserve">Access to </w:t>
      </w:r>
      <w:r w:rsidRPr="00DB5D70">
        <w:t xml:space="preserve">learning and </w:t>
      </w:r>
      <w:r>
        <w:t>teaching materials</w:t>
      </w:r>
    </w:p>
    <w:p w14:paraId="653B1A5D" w14:textId="14B1E4C4" w:rsidR="00203BEA" w:rsidRPr="00203BEA" w:rsidRDefault="008D0CAD" w:rsidP="00B31C4E">
      <w:pPr>
        <w:spacing w:before="100" w:beforeAutospacing="1" w:after="100" w:afterAutospacing="1" w:line="360" w:lineRule="auto"/>
        <w:rPr>
          <w:rFonts w:asciiTheme="majorHAnsi" w:hAnsiTheme="majorHAnsi" w:cstheme="majorHAnsi"/>
          <w:i/>
        </w:rPr>
      </w:pPr>
      <w:r>
        <w:rPr>
          <w:rFonts w:asciiTheme="majorHAnsi" w:hAnsiTheme="majorHAnsi" w:cstheme="majorHAnsi"/>
          <w:color w:val="000000" w:themeColor="text1"/>
        </w:rPr>
        <w:t>Immediate Outcome 4 (IO4) “</w:t>
      </w:r>
      <w:r w:rsidRPr="00851C57">
        <w:rPr>
          <w:rFonts w:asciiTheme="majorHAnsi" w:eastAsiaTheme="minorHAnsi" w:hAnsiTheme="majorHAnsi" w:cstheme="majorHAnsi"/>
          <w:i/>
          <w:iCs/>
        </w:rPr>
        <w:t>Appropriate learning and teaching materials are available and more accessible</w:t>
      </w:r>
      <w:r>
        <w:rPr>
          <w:rFonts w:asciiTheme="majorHAnsi" w:eastAsiaTheme="minorHAnsi" w:hAnsiTheme="majorHAnsi" w:cstheme="majorHAnsi"/>
        </w:rPr>
        <w:t xml:space="preserve">” was intended to </w:t>
      </w:r>
      <w:r>
        <w:rPr>
          <w:rFonts w:asciiTheme="majorHAnsi" w:hAnsiTheme="majorHAnsi" w:cstheme="majorHAnsi"/>
          <w:color w:val="000000" w:themeColor="text1"/>
        </w:rPr>
        <w:t>contribute to EOPO 1 on Student Mastery</w:t>
      </w:r>
      <w:r>
        <w:rPr>
          <w:rFonts w:asciiTheme="majorHAnsi" w:eastAsiaTheme="minorHAnsi" w:hAnsiTheme="majorHAnsi" w:cstheme="majorHAnsi"/>
        </w:rPr>
        <w:t>.</w:t>
      </w:r>
      <w:r>
        <w:rPr>
          <w:rFonts w:asciiTheme="majorHAnsi" w:hAnsiTheme="majorHAnsi" w:cstheme="majorHAnsi"/>
          <w:color w:val="000000" w:themeColor="text1"/>
        </w:rPr>
        <w:t xml:space="preserve"> </w:t>
      </w:r>
      <w:r>
        <w:rPr>
          <w:rFonts w:asciiTheme="majorHAnsi" w:hAnsiTheme="majorHAnsi" w:cstheme="majorHAnsi"/>
        </w:rPr>
        <w:t>P</w:t>
      </w:r>
      <w:r>
        <w:rPr>
          <w:rFonts w:asciiTheme="majorHAnsi" w:hAnsiTheme="majorHAnsi" w:cstheme="majorHAnsi"/>
          <w:color w:val="000000" w:themeColor="text1"/>
        </w:rPr>
        <w:t>rogram interventions included those under the umbrellas of the L&amp;D System (for teacher professional development), Curriculum and Assessment and Unified Information System</w:t>
      </w:r>
      <w:r>
        <w:rPr>
          <w:rFonts w:asciiTheme="majorHAnsi" w:hAnsiTheme="majorHAnsi" w:cstheme="majorHAnsi"/>
          <w:i/>
        </w:rPr>
        <w:t>.</w:t>
      </w:r>
    </w:p>
    <w:p w14:paraId="5503EECD" w14:textId="1E5BCA0C" w:rsidR="008D0CAD" w:rsidRPr="0065651D" w:rsidRDefault="008D0CAD" w:rsidP="00DD08E3">
      <w:pPr>
        <w:pStyle w:val="Heading5"/>
        <w:numPr>
          <w:ilvl w:val="3"/>
          <w:numId w:val="163"/>
        </w:numPr>
        <w:spacing w:before="100" w:beforeAutospacing="1" w:after="100" w:afterAutospacing="1" w:line="360" w:lineRule="auto"/>
      </w:pPr>
      <w:r>
        <w:t>Access</w:t>
      </w:r>
      <w:r w:rsidR="00D434EB">
        <w:t xml:space="preserve"> </w:t>
      </w:r>
    </w:p>
    <w:p w14:paraId="12ED07DD" w14:textId="77777777" w:rsidR="008D0CAD" w:rsidRDefault="008D0CAD" w:rsidP="00B31C4E">
      <w:pPr>
        <w:spacing w:before="100" w:beforeAutospacing="1" w:after="100" w:afterAutospacing="1" w:line="360" w:lineRule="auto"/>
        <w:rPr>
          <w:rFonts w:asciiTheme="majorHAnsi" w:hAnsiTheme="majorHAnsi" w:cstheme="majorHAnsi"/>
        </w:rPr>
      </w:pPr>
      <w:r>
        <w:rPr>
          <w:rFonts w:asciiTheme="majorHAnsi" w:hAnsiTheme="majorHAnsi" w:cstheme="majorHAnsi"/>
        </w:rPr>
        <w:t>On the basis that strong knowledge leads to improved practices (i.e., utilisation of the products), which in turn increases sustainability, teachers’ (and principals’) familiarity with teaching and learning materials produced under the BEST Program were assessed to gauge their contribution to program outcomes.</w:t>
      </w:r>
    </w:p>
    <w:p w14:paraId="2A537783" w14:textId="4262FA43" w:rsidR="008D0CAD" w:rsidRDefault="008D0CAD" w:rsidP="00B31C4E">
      <w:pPr>
        <w:spacing w:before="100" w:beforeAutospacing="1" w:after="100" w:afterAutospacing="1" w:line="360" w:lineRule="auto"/>
        <w:rPr>
          <w:rFonts w:asciiTheme="majorHAnsi" w:hAnsiTheme="majorHAnsi" w:cstheme="majorHAnsi"/>
          <w:color w:val="000000" w:themeColor="text1"/>
        </w:rPr>
      </w:pPr>
      <w:r>
        <w:rPr>
          <w:rFonts w:asciiTheme="majorHAnsi" w:eastAsia="Garamond" w:hAnsiTheme="majorHAnsi" w:cstheme="majorHAnsi"/>
        </w:rPr>
        <w:t xml:space="preserve">Under the L&amp;D System, the BEST </w:t>
      </w:r>
      <w:r w:rsidRPr="00EF6B7D">
        <w:rPr>
          <w:rFonts w:asciiTheme="majorHAnsi" w:eastAsia="Garamond" w:hAnsiTheme="majorHAnsi" w:cstheme="majorHAnsi"/>
          <w:color w:val="000000" w:themeColor="text1"/>
        </w:rPr>
        <w:t>Program provided support for the production of several knowledge products such as the</w:t>
      </w:r>
      <w:r w:rsidRPr="00EF6B7D">
        <w:rPr>
          <w:rFonts w:asciiTheme="majorHAnsi" w:hAnsiTheme="majorHAnsi" w:cstheme="majorHAnsi"/>
          <w:color w:val="000000" w:themeColor="text1"/>
        </w:rPr>
        <w:t>: LAC Toolkit;</w:t>
      </w:r>
      <w:r w:rsidRPr="00EF6B7D">
        <w:rPr>
          <w:rFonts w:ascii="Calibri Light" w:hAnsi="Calibri Light" w:cs="Calibri Light"/>
          <w:color w:val="000000" w:themeColor="text1"/>
        </w:rPr>
        <w:t xml:space="preserve"> </w:t>
      </w:r>
      <w:r w:rsidRPr="00EF6B7D">
        <w:rPr>
          <w:rFonts w:asciiTheme="majorHAnsi" w:hAnsiTheme="majorHAnsi" w:cstheme="majorHAnsi"/>
          <w:color w:val="000000" w:themeColor="text1"/>
        </w:rPr>
        <w:t xml:space="preserve">LAC Session Guides on PRIMALS 4-6; LAC Session Guide on CARB; Action Research Toolkit; LAC Session Guide on Positive Discipline; LAC Session Guide on Inclusive Education Values Series; among others). </w:t>
      </w:r>
      <w:r w:rsidRPr="00EF6B7D">
        <w:rPr>
          <w:rFonts w:asciiTheme="majorHAnsi" w:eastAsia="Garamond" w:hAnsiTheme="majorHAnsi" w:cstheme="majorHAnsi"/>
          <w:color w:val="000000" w:themeColor="text1"/>
        </w:rPr>
        <w:t xml:space="preserve">Under the </w:t>
      </w:r>
      <w:r w:rsidRPr="00EF6B7D">
        <w:rPr>
          <w:rFonts w:asciiTheme="majorHAnsi" w:hAnsiTheme="majorHAnsi" w:cstheme="majorHAnsi"/>
          <w:color w:val="000000" w:themeColor="text1"/>
        </w:rPr>
        <w:t>C&amp;A, the following products were produced: Classroom Assessment Resource Book (CARB) for K to Grade 10; Operations Manual with Guidelines for six Special Curricular Programs (SCP)-Foreign Language, Science, Sports, Arts, TVL, and Journalism; K-12 Curriculum Guides; Multi</w:t>
      </w:r>
      <w:r>
        <w:rPr>
          <w:rFonts w:asciiTheme="majorHAnsi" w:hAnsiTheme="majorHAnsi" w:cstheme="majorHAnsi"/>
          <w:color w:val="000000" w:themeColor="text1"/>
        </w:rPr>
        <w:t>-</w:t>
      </w:r>
      <w:r w:rsidRPr="00EF6B7D">
        <w:rPr>
          <w:rFonts w:asciiTheme="majorHAnsi" w:hAnsiTheme="majorHAnsi" w:cstheme="majorHAnsi"/>
          <w:color w:val="000000" w:themeColor="text1"/>
        </w:rPr>
        <w:t>grade teach-learn package; Information Guide to the K-12 Program and Senior High School; and Contextuali</w:t>
      </w:r>
      <w:r>
        <w:rPr>
          <w:rFonts w:asciiTheme="majorHAnsi" w:hAnsiTheme="majorHAnsi" w:cstheme="majorHAnsi"/>
          <w:color w:val="000000" w:themeColor="text1"/>
        </w:rPr>
        <w:t>s</w:t>
      </w:r>
      <w:r w:rsidRPr="00EF6B7D">
        <w:rPr>
          <w:rFonts w:asciiTheme="majorHAnsi" w:hAnsiTheme="majorHAnsi" w:cstheme="majorHAnsi"/>
          <w:color w:val="000000" w:themeColor="text1"/>
        </w:rPr>
        <w:t>ed curriculum resources.</w:t>
      </w:r>
      <w:r w:rsidR="00D434EB">
        <w:rPr>
          <w:rFonts w:asciiTheme="majorHAnsi" w:hAnsiTheme="majorHAnsi" w:cstheme="majorHAnsi"/>
          <w:color w:val="000000" w:themeColor="text1"/>
        </w:rPr>
        <w:t xml:space="preserve"> </w:t>
      </w:r>
    </w:p>
    <w:p w14:paraId="5F1CA857" w14:textId="77777777" w:rsidR="008D0CAD" w:rsidRDefault="008D0CAD" w:rsidP="000458F0">
      <w:pPr>
        <w:keepNext/>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color w:val="000000" w:themeColor="text1"/>
        </w:rPr>
        <w:t>Findings revealed that the share of teachers who have full access are as follows (Table 22):</w:t>
      </w:r>
    </w:p>
    <w:p w14:paraId="697303F2" w14:textId="77777777" w:rsidR="008D0CAD" w:rsidRDefault="008D0CAD" w:rsidP="00B31C4E">
      <w:pPr>
        <w:pStyle w:val="ListParagraph"/>
        <w:numPr>
          <w:ilvl w:val="0"/>
          <w:numId w:val="47"/>
        </w:num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color w:val="000000" w:themeColor="text1"/>
        </w:rPr>
        <w:t>Access of teachers to materials generally improved from 2019 to 2020 (except for the AR Toolkit);</w:t>
      </w:r>
    </w:p>
    <w:p w14:paraId="7C6B3BCB" w14:textId="77777777" w:rsidR="008D0CAD" w:rsidRPr="00EF6B7D" w:rsidRDefault="008D0CAD" w:rsidP="00B31C4E">
      <w:pPr>
        <w:pStyle w:val="ListParagraph"/>
        <w:numPr>
          <w:ilvl w:val="0"/>
          <w:numId w:val="47"/>
        </w:numPr>
        <w:spacing w:before="100" w:beforeAutospacing="1" w:after="100" w:afterAutospacing="1" w:line="360" w:lineRule="auto"/>
        <w:rPr>
          <w:rFonts w:asciiTheme="majorHAnsi" w:hAnsiTheme="majorHAnsi" w:cstheme="majorHAnsi"/>
          <w:color w:val="000000" w:themeColor="text1"/>
        </w:rPr>
      </w:pPr>
      <w:r w:rsidRPr="00EF6B7D">
        <w:rPr>
          <w:rFonts w:asciiTheme="majorHAnsi" w:hAnsiTheme="majorHAnsi" w:cstheme="majorHAnsi"/>
          <w:color w:val="000000" w:themeColor="text1"/>
        </w:rPr>
        <w:t>In 2019, less than a third of teachers ha</w:t>
      </w:r>
      <w:r>
        <w:rPr>
          <w:rFonts w:asciiTheme="majorHAnsi" w:hAnsiTheme="majorHAnsi" w:cstheme="majorHAnsi"/>
          <w:color w:val="000000" w:themeColor="text1"/>
        </w:rPr>
        <w:t>d</w:t>
      </w:r>
      <w:r w:rsidRPr="00EF6B7D">
        <w:rPr>
          <w:rFonts w:asciiTheme="majorHAnsi" w:hAnsiTheme="majorHAnsi" w:cstheme="majorHAnsi"/>
          <w:color w:val="000000" w:themeColor="text1"/>
        </w:rPr>
        <w:t xml:space="preserve"> access to CARB and Action Research Toolkit and this did not improve in 2020;</w:t>
      </w:r>
    </w:p>
    <w:p w14:paraId="38E1D5A1" w14:textId="6A27B640" w:rsidR="008D0CAD" w:rsidRPr="008C308B" w:rsidRDefault="008D0CAD" w:rsidP="00B31C4E">
      <w:pPr>
        <w:pStyle w:val="ListParagraph"/>
        <w:numPr>
          <w:ilvl w:val="0"/>
          <w:numId w:val="47"/>
        </w:numPr>
        <w:spacing w:before="100" w:beforeAutospacing="1" w:after="100" w:afterAutospacing="1" w:line="360" w:lineRule="auto"/>
        <w:ind w:left="714" w:hanging="357"/>
        <w:contextualSpacing w:val="0"/>
        <w:rPr>
          <w:rFonts w:asciiTheme="majorHAnsi" w:hAnsiTheme="majorHAnsi" w:cstheme="majorHAnsi"/>
          <w:color w:val="000000" w:themeColor="text1"/>
        </w:rPr>
      </w:pPr>
      <w:r w:rsidRPr="00EF6B7D">
        <w:rPr>
          <w:rFonts w:asciiTheme="majorHAnsi" w:hAnsiTheme="majorHAnsi" w:cstheme="majorHAnsi"/>
          <w:color w:val="000000" w:themeColor="text1"/>
        </w:rPr>
        <w:t>About half of teachers ha</w:t>
      </w:r>
      <w:r>
        <w:rPr>
          <w:rFonts w:asciiTheme="majorHAnsi" w:hAnsiTheme="majorHAnsi" w:cstheme="majorHAnsi"/>
          <w:color w:val="000000" w:themeColor="text1"/>
        </w:rPr>
        <w:t>d</w:t>
      </w:r>
      <w:r w:rsidRPr="00EF6B7D">
        <w:rPr>
          <w:rFonts w:asciiTheme="majorHAnsi" w:hAnsiTheme="majorHAnsi" w:cstheme="majorHAnsi"/>
          <w:color w:val="000000" w:themeColor="text1"/>
        </w:rPr>
        <w:t xml:space="preserve"> access to PRIMALS and the L</w:t>
      </w:r>
      <w:r>
        <w:rPr>
          <w:rFonts w:asciiTheme="majorHAnsi" w:hAnsiTheme="majorHAnsi" w:cstheme="majorHAnsi"/>
          <w:color w:val="000000" w:themeColor="text1"/>
        </w:rPr>
        <w:t xml:space="preserve">earning </w:t>
      </w:r>
      <w:r w:rsidRPr="00EF6B7D">
        <w:rPr>
          <w:rFonts w:asciiTheme="majorHAnsi" w:hAnsiTheme="majorHAnsi" w:cstheme="majorHAnsi"/>
          <w:color w:val="000000" w:themeColor="text1"/>
        </w:rPr>
        <w:t>R</w:t>
      </w:r>
      <w:r>
        <w:rPr>
          <w:rFonts w:asciiTheme="majorHAnsi" w:hAnsiTheme="majorHAnsi" w:cstheme="majorHAnsi"/>
          <w:color w:val="000000" w:themeColor="text1"/>
        </w:rPr>
        <w:t>esources</w:t>
      </w:r>
      <w:r w:rsidRPr="00EF6B7D">
        <w:rPr>
          <w:rFonts w:asciiTheme="majorHAnsi" w:hAnsiTheme="majorHAnsi" w:cstheme="majorHAnsi"/>
          <w:color w:val="000000" w:themeColor="text1"/>
        </w:rPr>
        <w:t xml:space="preserve"> Portal but access to the Portal </w:t>
      </w:r>
      <w:r>
        <w:rPr>
          <w:rFonts w:asciiTheme="majorHAnsi" w:hAnsiTheme="majorHAnsi" w:cstheme="majorHAnsi"/>
          <w:color w:val="000000" w:themeColor="text1"/>
        </w:rPr>
        <w:t xml:space="preserve">had </w:t>
      </w:r>
      <w:r w:rsidRPr="00EF6B7D">
        <w:rPr>
          <w:rFonts w:asciiTheme="majorHAnsi" w:hAnsiTheme="majorHAnsi" w:cstheme="majorHAnsi"/>
          <w:color w:val="000000" w:themeColor="text1"/>
        </w:rPr>
        <w:t>improved</w:t>
      </w:r>
      <w:r w:rsidRPr="00BA7FE5">
        <w:rPr>
          <w:rFonts w:asciiTheme="majorHAnsi" w:hAnsiTheme="majorHAnsi" w:cstheme="majorHAnsi"/>
          <w:color w:val="000000" w:themeColor="text1"/>
        </w:rPr>
        <w:t xml:space="preserve"> </w:t>
      </w:r>
      <w:r w:rsidRPr="00EF6B7D">
        <w:rPr>
          <w:rFonts w:asciiTheme="majorHAnsi" w:hAnsiTheme="majorHAnsi" w:cstheme="majorHAnsi"/>
          <w:color w:val="000000" w:themeColor="text1"/>
        </w:rPr>
        <w:t>significantly in 2020.</w:t>
      </w:r>
      <w:r w:rsidR="00D434EB">
        <w:rPr>
          <w:rFonts w:asciiTheme="majorHAnsi" w:hAnsiTheme="majorHAnsi" w:cstheme="majorHAnsi"/>
          <w:color w:val="000000" w:themeColor="text1"/>
        </w:rPr>
        <w:t xml:space="preserve"> </w:t>
      </w:r>
      <w:r w:rsidRPr="00EF6B7D">
        <w:rPr>
          <w:rFonts w:asciiTheme="majorHAnsi" w:hAnsiTheme="majorHAnsi" w:cstheme="majorHAnsi"/>
          <w:color w:val="000000" w:themeColor="text1"/>
        </w:rPr>
        <w:t xml:space="preserve">Interestingly, knowledge of PRIMALS increased significantly in 2020 but </w:t>
      </w:r>
      <w:r>
        <w:rPr>
          <w:rFonts w:asciiTheme="majorHAnsi" w:hAnsiTheme="majorHAnsi" w:cstheme="majorHAnsi"/>
          <w:color w:val="000000" w:themeColor="text1"/>
        </w:rPr>
        <w:t>perceived utility</w:t>
      </w:r>
      <w:r w:rsidRPr="00EF6B7D">
        <w:rPr>
          <w:rFonts w:asciiTheme="majorHAnsi" w:hAnsiTheme="majorHAnsi" w:cstheme="majorHAnsi"/>
          <w:color w:val="000000" w:themeColor="text1"/>
        </w:rPr>
        <w:t xml:space="preserve"> of the Portal declined.</w:t>
      </w:r>
    </w:p>
    <w:p w14:paraId="4ACD5722" w14:textId="1087B442" w:rsidR="008D0CAD" w:rsidRPr="004A657A" w:rsidRDefault="008D0CAD" w:rsidP="00B31C4E">
      <w:pPr>
        <w:spacing w:before="100" w:beforeAutospacing="1" w:after="100" w:afterAutospacing="1" w:line="360" w:lineRule="auto"/>
        <w:ind w:left="2160" w:hanging="2160"/>
        <w:rPr>
          <w:rFonts w:asciiTheme="majorHAnsi" w:hAnsiTheme="majorHAnsi" w:cstheme="majorHAnsi"/>
          <w:i/>
          <w:iCs/>
          <w:color w:val="44546A" w:themeColor="text2"/>
          <w:sz w:val="22"/>
          <w:szCs w:val="22"/>
        </w:rPr>
      </w:pPr>
      <w:bookmarkStart w:id="121" w:name="_Toc71616613"/>
      <w:r w:rsidRPr="004A657A">
        <w:rPr>
          <w:rFonts w:asciiTheme="majorHAnsi" w:hAnsiTheme="majorHAnsi" w:cstheme="majorHAnsi"/>
          <w:i/>
          <w:iCs/>
          <w:color w:val="44546A" w:themeColor="text2"/>
          <w:sz w:val="22"/>
          <w:szCs w:val="22"/>
        </w:rPr>
        <w:t xml:space="preserve">Table </w:t>
      </w:r>
      <w:r w:rsidRPr="004A657A">
        <w:rPr>
          <w:rFonts w:asciiTheme="majorHAnsi" w:hAnsiTheme="majorHAnsi" w:cstheme="majorHAnsi"/>
          <w:i/>
          <w:iCs/>
          <w:color w:val="44546A" w:themeColor="text2"/>
          <w:sz w:val="22"/>
          <w:szCs w:val="22"/>
        </w:rPr>
        <w:fldChar w:fldCharType="begin"/>
      </w:r>
      <w:r w:rsidRPr="004A657A">
        <w:rPr>
          <w:rFonts w:asciiTheme="majorHAnsi" w:hAnsiTheme="majorHAnsi" w:cstheme="majorHAnsi"/>
          <w:i/>
          <w:iCs/>
          <w:color w:val="44546A" w:themeColor="text2"/>
          <w:sz w:val="22"/>
          <w:szCs w:val="22"/>
        </w:rPr>
        <w:instrText xml:space="preserve"> SEQ Table \* ARABIC </w:instrText>
      </w:r>
      <w:r w:rsidRPr="004A657A">
        <w:rPr>
          <w:rFonts w:asciiTheme="majorHAnsi" w:hAnsiTheme="majorHAnsi" w:cstheme="majorHAnsi"/>
          <w:i/>
          <w:iCs/>
          <w:color w:val="44546A" w:themeColor="text2"/>
          <w:sz w:val="22"/>
          <w:szCs w:val="22"/>
        </w:rPr>
        <w:fldChar w:fldCharType="separate"/>
      </w:r>
      <w:r w:rsidR="00D6133D">
        <w:rPr>
          <w:rFonts w:asciiTheme="majorHAnsi" w:hAnsiTheme="majorHAnsi" w:cstheme="majorHAnsi"/>
          <w:i/>
          <w:iCs/>
          <w:noProof/>
          <w:color w:val="44546A" w:themeColor="text2"/>
          <w:sz w:val="22"/>
          <w:szCs w:val="22"/>
        </w:rPr>
        <w:t>22</w:t>
      </w:r>
      <w:r w:rsidRPr="004A657A">
        <w:rPr>
          <w:rFonts w:asciiTheme="majorHAnsi" w:hAnsiTheme="majorHAnsi" w:cstheme="majorHAnsi"/>
          <w:i/>
          <w:iCs/>
          <w:color w:val="44546A" w:themeColor="text2"/>
          <w:sz w:val="22"/>
          <w:szCs w:val="22"/>
        </w:rPr>
        <w:fldChar w:fldCharType="end"/>
      </w:r>
      <w:r w:rsidRPr="004A657A">
        <w:rPr>
          <w:rFonts w:asciiTheme="majorHAnsi" w:hAnsiTheme="majorHAnsi" w:cstheme="majorHAnsi"/>
          <w:i/>
          <w:iCs/>
          <w:color w:val="44546A" w:themeColor="text2"/>
          <w:sz w:val="22"/>
          <w:szCs w:val="22"/>
        </w:rPr>
        <w:t>.</w:t>
      </w:r>
      <w:r w:rsidR="00D434EB">
        <w:rPr>
          <w:rFonts w:asciiTheme="majorHAnsi" w:hAnsiTheme="majorHAnsi" w:cstheme="majorHAnsi"/>
          <w:bCs/>
          <w:i/>
          <w:iCs/>
          <w:color w:val="44546A" w:themeColor="text2"/>
          <w:sz w:val="22"/>
          <w:szCs w:val="22"/>
        </w:rPr>
        <w:t xml:space="preserve"> </w:t>
      </w:r>
      <w:r w:rsidRPr="004A657A">
        <w:rPr>
          <w:rFonts w:asciiTheme="majorHAnsi" w:hAnsiTheme="majorHAnsi" w:cstheme="majorHAnsi"/>
          <w:bCs/>
          <w:i/>
          <w:iCs/>
          <w:color w:val="44546A" w:themeColor="text2"/>
          <w:sz w:val="22"/>
          <w:szCs w:val="22"/>
        </w:rPr>
        <w:t>Access of Teachers to Selected BEST Program-supported Outputs</w:t>
      </w:r>
      <w:bookmarkEnd w:id="121"/>
    </w:p>
    <w:tbl>
      <w:tblPr>
        <w:tblStyle w:val="TableGrid"/>
        <w:tblW w:w="8359" w:type="dxa"/>
        <w:tblLook w:val="04A0" w:firstRow="1" w:lastRow="0" w:firstColumn="1" w:lastColumn="0" w:noHBand="0" w:noVBand="1"/>
      </w:tblPr>
      <w:tblGrid>
        <w:gridCol w:w="4957"/>
        <w:gridCol w:w="1701"/>
        <w:gridCol w:w="1701"/>
      </w:tblGrid>
      <w:tr w:rsidR="008D0CAD" w:rsidRPr="002F0D73" w14:paraId="4A2F2ACC" w14:textId="77777777" w:rsidTr="00F4751F">
        <w:trPr>
          <w:trHeight w:val="269"/>
          <w:tblHeader/>
        </w:trPr>
        <w:tc>
          <w:tcPr>
            <w:tcW w:w="4957" w:type="dxa"/>
            <w:noWrap/>
            <w:hideMark/>
          </w:tcPr>
          <w:p w14:paraId="42947E6E" w14:textId="77777777" w:rsidR="008D0CAD" w:rsidRPr="002F0D73" w:rsidRDefault="008D0CAD" w:rsidP="00B31C4E">
            <w:pPr>
              <w:spacing w:before="100" w:beforeAutospacing="1" w:after="100" w:afterAutospacing="1" w:line="360" w:lineRule="auto"/>
              <w:rPr>
                <w:rFonts w:asciiTheme="majorHAnsi" w:hAnsiTheme="majorHAnsi" w:cstheme="majorHAnsi"/>
                <w:b/>
                <w:bCs/>
                <w:color w:val="000000"/>
                <w:sz w:val="20"/>
                <w:szCs w:val="20"/>
              </w:rPr>
            </w:pPr>
            <w:r w:rsidRPr="002F0D73">
              <w:rPr>
                <w:rFonts w:asciiTheme="majorHAnsi" w:hAnsiTheme="majorHAnsi" w:cstheme="majorHAnsi"/>
                <w:b/>
                <w:bCs/>
                <w:color w:val="000000"/>
                <w:sz w:val="20"/>
                <w:szCs w:val="20"/>
              </w:rPr>
              <w:t> </w:t>
            </w:r>
          </w:p>
        </w:tc>
        <w:tc>
          <w:tcPr>
            <w:tcW w:w="1701" w:type="dxa"/>
            <w:noWrap/>
            <w:hideMark/>
          </w:tcPr>
          <w:p w14:paraId="55C31BF3" w14:textId="77777777" w:rsidR="008D0CAD" w:rsidRDefault="008D0CAD" w:rsidP="00B31C4E">
            <w:pPr>
              <w:spacing w:before="100" w:beforeAutospacing="1" w:after="100" w:afterAutospacing="1" w:line="360" w:lineRule="auto"/>
              <w:rPr>
                <w:rFonts w:asciiTheme="majorHAnsi" w:hAnsiTheme="majorHAnsi" w:cstheme="majorHAnsi"/>
                <w:b/>
                <w:bCs/>
                <w:color w:val="000000"/>
                <w:sz w:val="20"/>
                <w:szCs w:val="20"/>
              </w:rPr>
            </w:pPr>
            <w:r w:rsidRPr="002F0D73">
              <w:rPr>
                <w:rFonts w:asciiTheme="majorHAnsi" w:hAnsiTheme="majorHAnsi" w:cstheme="majorHAnsi"/>
                <w:b/>
                <w:bCs/>
                <w:color w:val="000000"/>
                <w:sz w:val="20"/>
                <w:szCs w:val="20"/>
              </w:rPr>
              <w:t>2019</w:t>
            </w:r>
          </w:p>
          <w:p w14:paraId="391418E3" w14:textId="77777777" w:rsidR="008D0CAD" w:rsidRPr="002F0D73" w:rsidRDefault="008D0CAD" w:rsidP="00B31C4E">
            <w:pPr>
              <w:spacing w:before="100" w:beforeAutospacing="1" w:after="100" w:afterAutospacing="1" w:line="360" w:lineRule="auto"/>
              <w:rPr>
                <w:rFonts w:asciiTheme="majorHAnsi" w:hAnsiTheme="majorHAnsi" w:cstheme="majorHAnsi"/>
                <w:b/>
                <w:bCs/>
                <w:color w:val="000000"/>
                <w:sz w:val="20"/>
                <w:szCs w:val="20"/>
              </w:rPr>
            </w:pPr>
            <w:r w:rsidRPr="002F0D73">
              <w:rPr>
                <w:rFonts w:asciiTheme="majorHAnsi" w:hAnsiTheme="majorHAnsi" w:cstheme="majorHAnsi"/>
                <w:i/>
                <w:iCs/>
                <w:color w:val="000000"/>
                <w:sz w:val="20"/>
                <w:szCs w:val="20"/>
              </w:rPr>
              <w:t>n=107</w:t>
            </w:r>
          </w:p>
        </w:tc>
        <w:tc>
          <w:tcPr>
            <w:tcW w:w="1701" w:type="dxa"/>
            <w:noWrap/>
            <w:hideMark/>
          </w:tcPr>
          <w:p w14:paraId="530B8D9D" w14:textId="77777777" w:rsidR="008D0CAD" w:rsidRDefault="008D0CAD" w:rsidP="00B31C4E">
            <w:pPr>
              <w:spacing w:before="100" w:beforeAutospacing="1" w:after="100" w:afterAutospacing="1" w:line="360" w:lineRule="auto"/>
              <w:rPr>
                <w:rFonts w:asciiTheme="majorHAnsi" w:hAnsiTheme="majorHAnsi" w:cstheme="majorHAnsi"/>
                <w:b/>
                <w:bCs/>
                <w:color w:val="000000"/>
                <w:sz w:val="20"/>
                <w:szCs w:val="20"/>
              </w:rPr>
            </w:pPr>
            <w:r w:rsidRPr="002F0D73">
              <w:rPr>
                <w:rFonts w:asciiTheme="majorHAnsi" w:hAnsiTheme="majorHAnsi" w:cstheme="majorHAnsi"/>
                <w:b/>
                <w:bCs/>
                <w:color w:val="000000"/>
                <w:sz w:val="20"/>
                <w:szCs w:val="20"/>
              </w:rPr>
              <w:t>2020</w:t>
            </w:r>
          </w:p>
          <w:p w14:paraId="7D448F02" w14:textId="77777777" w:rsidR="008D0CAD" w:rsidRPr="002F0D73" w:rsidRDefault="008D0CAD" w:rsidP="00B31C4E">
            <w:pPr>
              <w:spacing w:before="100" w:beforeAutospacing="1" w:after="100" w:afterAutospacing="1" w:line="360" w:lineRule="auto"/>
              <w:rPr>
                <w:rFonts w:asciiTheme="majorHAnsi" w:hAnsiTheme="majorHAnsi" w:cstheme="majorHAnsi"/>
                <w:b/>
                <w:bCs/>
                <w:color w:val="000000"/>
                <w:sz w:val="20"/>
                <w:szCs w:val="20"/>
              </w:rPr>
            </w:pPr>
            <w:r w:rsidRPr="002F0D73">
              <w:rPr>
                <w:rFonts w:asciiTheme="majorHAnsi" w:hAnsiTheme="majorHAnsi" w:cstheme="majorHAnsi"/>
                <w:i/>
                <w:iCs/>
                <w:color w:val="000000"/>
                <w:sz w:val="20"/>
                <w:szCs w:val="20"/>
              </w:rPr>
              <w:t>n=61</w:t>
            </w:r>
          </w:p>
        </w:tc>
      </w:tr>
      <w:tr w:rsidR="008D0CAD" w:rsidRPr="002F0D73" w14:paraId="2E7F5426" w14:textId="77777777" w:rsidTr="00F4751F">
        <w:trPr>
          <w:trHeight w:val="269"/>
        </w:trPr>
        <w:tc>
          <w:tcPr>
            <w:tcW w:w="4957" w:type="dxa"/>
            <w:noWrap/>
            <w:hideMark/>
          </w:tcPr>
          <w:p w14:paraId="0E89C3AE" w14:textId="77777777" w:rsidR="008D0CAD" w:rsidRPr="002F0D73" w:rsidRDefault="008D0CAD" w:rsidP="00B31C4E">
            <w:pPr>
              <w:spacing w:before="100" w:beforeAutospacing="1" w:after="100" w:afterAutospacing="1" w:line="360" w:lineRule="auto"/>
              <w:rPr>
                <w:rFonts w:asciiTheme="majorHAnsi" w:hAnsiTheme="majorHAnsi" w:cstheme="majorHAnsi"/>
                <w:color w:val="000000"/>
                <w:sz w:val="20"/>
                <w:szCs w:val="20"/>
              </w:rPr>
            </w:pPr>
            <w:r w:rsidRPr="002F0D73">
              <w:rPr>
                <w:rFonts w:asciiTheme="majorHAnsi" w:hAnsiTheme="majorHAnsi" w:cstheme="majorHAnsi"/>
                <w:color w:val="000000"/>
                <w:sz w:val="20"/>
                <w:szCs w:val="20"/>
              </w:rPr>
              <w:t>Learning and Development (L&amp;D) System</w:t>
            </w:r>
          </w:p>
        </w:tc>
        <w:tc>
          <w:tcPr>
            <w:tcW w:w="1701" w:type="dxa"/>
            <w:noWrap/>
            <w:hideMark/>
          </w:tcPr>
          <w:p w14:paraId="5624AF72" w14:textId="77777777" w:rsidR="008D0CAD" w:rsidRPr="002F0D73" w:rsidRDefault="008D0CAD" w:rsidP="00B31C4E">
            <w:pPr>
              <w:spacing w:before="100" w:beforeAutospacing="1" w:after="100" w:afterAutospacing="1" w:line="360" w:lineRule="auto"/>
              <w:rPr>
                <w:rFonts w:asciiTheme="majorHAnsi" w:hAnsiTheme="majorHAnsi" w:cstheme="majorHAnsi"/>
                <w:color w:val="000000"/>
                <w:sz w:val="20"/>
                <w:szCs w:val="20"/>
              </w:rPr>
            </w:pPr>
          </w:p>
        </w:tc>
        <w:tc>
          <w:tcPr>
            <w:tcW w:w="1701" w:type="dxa"/>
            <w:noWrap/>
            <w:hideMark/>
          </w:tcPr>
          <w:p w14:paraId="586B7BF5" w14:textId="77777777" w:rsidR="008D0CAD" w:rsidRPr="002F0D73" w:rsidRDefault="008D0CAD" w:rsidP="00B31C4E">
            <w:pPr>
              <w:spacing w:before="100" w:beforeAutospacing="1" w:after="100" w:afterAutospacing="1" w:line="360" w:lineRule="auto"/>
              <w:rPr>
                <w:rFonts w:asciiTheme="majorHAnsi" w:hAnsiTheme="majorHAnsi" w:cstheme="majorHAnsi"/>
                <w:color w:val="000000"/>
                <w:sz w:val="20"/>
                <w:szCs w:val="20"/>
              </w:rPr>
            </w:pPr>
          </w:p>
        </w:tc>
      </w:tr>
      <w:tr w:rsidR="008D0CAD" w:rsidRPr="002F0D73" w14:paraId="742B5309" w14:textId="77777777" w:rsidTr="00F4751F">
        <w:trPr>
          <w:trHeight w:val="269"/>
        </w:trPr>
        <w:tc>
          <w:tcPr>
            <w:tcW w:w="4957" w:type="dxa"/>
            <w:noWrap/>
            <w:hideMark/>
          </w:tcPr>
          <w:p w14:paraId="65CC1017" w14:textId="77777777" w:rsidR="008D0CAD" w:rsidRPr="002F0D73" w:rsidRDefault="008D0CAD" w:rsidP="00B31C4E">
            <w:pPr>
              <w:spacing w:before="100" w:beforeAutospacing="1" w:after="100" w:afterAutospacing="1" w:line="360" w:lineRule="auto"/>
              <w:rPr>
                <w:rFonts w:asciiTheme="majorHAnsi" w:hAnsiTheme="majorHAnsi" w:cstheme="majorHAnsi"/>
                <w:color w:val="000000"/>
                <w:sz w:val="20"/>
                <w:szCs w:val="20"/>
              </w:rPr>
            </w:pPr>
            <w:r w:rsidRPr="002F0D73">
              <w:rPr>
                <w:rFonts w:asciiTheme="majorHAnsi" w:hAnsiTheme="majorHAnsi" w:cstheme="majorHAnsi"/>
                <w:color w:val="000000"/>
                <w:sz w:val="20"/>
                <w:szCs w:val="20"/>
              </w:rPr>
              <w:t>Learning Action Cell (LAC) Toolkit</w:t>
            </w:r>
          </w:p>
        </w:tc>
        <w:tc>
          <w:tcPr>
            <w:tcW w:w="1701" w:type="dxa"/>
            <w:noWrap/>
            <w:hideMark/>
          </w:tcPr>
          <w:p w14:paraId="60923DD6" w14:textId="77777777" w:rsidR="008D0CAD" w:rsidRPr="002F0D73" w:rsidRDefault="008D0CAD" w:rsidP="00B31C4E">
            <w:pPr>
              <w:spacing w:before="100" w:beforeAutospacing="1" w:after="100" w:afterAutospacing="1" w:line="360" w:lineRule="auto"/>
              <w:rPr>
                <w:rFonts w:asciiTheme="majorHAnsi" w:hAnsiTheme="majorHAnsi" w:cstheme="majorHAnsi"/>
                <w:color w:val="000000"/>
                <w:sz w:val="20"/>
                <w:szCs w:val="20"/>
              </w:rPr>
            </w:pPr>
            <w:r w:rsidRPr="002F0D73">
              <w:rPr>
                <w:rFonts w:asciiTheme="majorHAnsi" w:hAnsiTheme="majorHAnsi" w:cstheme="majorHAnsi"/>
                <w:color w:val="000000"/>
                <w:sz w:val="20"/>
                <w:szCs w:val="20"/>
              </w:rPr>
              <w:t>59</w:t>
            </w:r>
            <w:r>
              <w:rPr>
                <w:rFonts w:asciiTheme="majorHAnsi" w:hAnsiTheme="majorHAnsi" w:cstheme="majorHAnsi"/>
                <w:color w:val="000000"/>
                <w:sz w:val="20"/>
                <w:szCs w:val="20"/>
              </w:rPr>
              <w:t xml:space="preserve"> per cent</w:t>
            </w:r>
          </w:p>
        </w:tc>
        <w:tc>
          <w:tcPr>
            <w:tcW w:w="1701" w:type="dxa"/>
            <w:noWrap/>
            <w:hideMark/>
          </w:tcPr>
          <w:p w14:paraId="655B21C4" w14:textId="77777777" w:rsidR="008D0CAD" w:rsidRPr="002F0D73" w:rsidRDefault="008D0CAD" w:rsidP="00B31C4E">
            <w:pPr>
              <w:spacing w:before="100" w:beforeAutospacing="1" w:after="100" w:afterAutospacing="1" w:line="360" w:lineRule="auto"/>
              <w:rPr>
                <w:rFonts w:asciiTheme="majorHAnsi" w:hAnsiTheme="majorHAnsi" w:cstheme="majorHAnsi"/>
                <w:color w:val="000000"/>
                <w:sz w:val="20"/>
                <w:szCs w:val="20"/>
              </w:rPr>
            </w:pPr>
            <w:r w:rsidRPr="002F0D73">
              <w:rPr>
                <w:rFonts w:asciiTheme="majorHAnsi" w:hAnsiTheme="majorHAnsi" w:cstheme="majorHAnsi"/>
                <w:color w:val="000000"/>
                <w:sz w:val="20"/>
                <w:szCs w:val="20"/>
              </w:rPr>
              <w:t>51</w:t>
            </w:r>
            <w:r>
              <w:rPr>
                <w:rFonts w:asciiTheme="majorHAnsi" w:hAnsiTheme="majorHAnsi" w:cstheme="majorHAnsi"/>
                <w:color w:val="000000"/>
                <w:sz w:val="20"/>
                <w:szCs w:val="20"/>
              </w:rPr>
              <w:t xml:space="preserve"> per cent</w:t>
            </w:r>
          </w:p>
        </w:tc>
      </w:tr>
      <w:tr w:rsidR="008D0CAD" w:rsidRPr="002F0D73" w14:paraId="1CA5D85F" w14:textId="77777777" w:rsidTr="00F4751F">
        <w:trPr>
          <w:trHeight w:val="269"/>
        </w:trPr>
        <w:tc>
          <w:tcPr>
            <w:tcW w:w="4957" w:type="dxa"/>
            <w:noWrap/>
            <w:hideMark/>
          </w:tcPr>
          <w:p w14:paraId="3D1D839F" w14:textId="77777777" w:rsidR="008D0CAD" w:rsidRPr="002F0D73" w:rsidRDefault="008D0CAD" w:rsidP="00B31C4E">
            <w:pPr>
              <w:spacing w:before="100" w:beforeAutospacing="1" w:after="100" w:afterAutospacing="1" w:line="360" w:lineRule="auto"/>
              <w:rPr>
                <w:rFonts w:asciiTheme="majorHAnsi" w:hAnsiTheme="majorHAnsi" w:cstheme="majorHAnsi"/>
                <w:color w:val="000000"/>
                <w:sz w:val="20"/>
                <w:szCs w:val="20"/>
              </w:rPr>
            </w:pPr>
            <w:r w:rsidRPr="002F0D73">
              <w:rPr>
                <w:rFonts w:asciiTheme="majorHAnsi" w:hAnsiTheme="majorHAnsi" w:cstheme="majorHAnsi"/>
                <w:color w:val="000000"/>
                <w:sz w:val="20"/>
                <w:szCs w:val="20"/>
              </w:rPr>
              <w:t>ICT Learning Action Cell (ICT LAC) Resource Materials</w:t>
            </w:r>
          </w:p>
        </w:tc>
        <w:tc>
          <w:tcPr>
            <w:tcW w:w="1701" w:type="dxa"/>
            <w:noWrap/>
            <w:hideMark/>
          </w:tcPr>
          <w:p w14:paraId="304F2E46" w14:textId="77777777" w:rsidR="008D0CAD" w:rsidRPr="002F0D73" w:rsidRDefault="008D0CAD" w:rsidP="00B31C4E">
            <w:pPr>
              <w:spacing w:before="100" w:beforeAutospacing="1" w:after="100" w:afterAutospacing="1" w:line="360" w:lineRule="auto"/>
              <w:rPr>
                <w:rFonts w:asciiTheme="majorHAnsi" w:hAnsiTheme="majorHAnsi" w:cstheme="majorHAnsi"/>
                <w:color w:val="000000"/>
                <w:sz w:val="20"/>
                <w:szCs w:val="20"/>
              </w:rPr>
            </w:pPr>
            <w:r w:rsidRPr="002F0D73">
              <w:rPr>
                <w:rFonts w:asciiTheme="majorHAnsi" w:hAnsiTheme="majorHAnsi" w:cstheme="majorHAnsi"/>
                <w:color w:val="000000"/>
                <w:sz w:val="20"/>
                <w:szCs w:val="20"/>
              </w:rPr>
              <w:t>40</w:t>
            </w:r>
            <w:r>
              <w:rPr>
                <w:rFonts w:asciiTheme="majorHAnsi" w:hAnsiTheme="majorHAnsi" w:cstheme="majorHAnsi"/>
                <w:color w:val="000000"/>
                <w:sz w:val="20"/>
                <w:szCs w:val="20"/>
              </w:rPr>
              <w:t xml:space="preserve"> per cent</w:t>
            </w:r>
          </w:p>
        </w:tc>
        <w:tc>
          <w:tcPr>
            <w:tcW w:w="1701" w:type="dxa"/>
            <w:noWrap/>
            <w:hideMark/>
          </w:tcPr>
          <w:p w14:paraId="68AF0027" w14:textId="77777777" w:rsidR="008D0CAD" w:rsidRPr="002F0D73" w:rsidRDefault="008D0CAD" w:rsidP="00B31C4E">
            <w:pPr>
              <w:spacing w:before="100" w:beforeAutospacing="1" w:after="100" w:afterAutospacing="1" w:line="360" w:lineRule="auto"/>
              <w:rPr>
                <w:rFonts w:asciiTheme="majorHAnsi" w:hAnsiTheme="majorHAnsi" w:cstheme="majorHAnsi"/>
                <w:color w:val="000000"/>
                <w:sz w:val="20"/>
                <w:szCs w:val="20"/>
              </w:rPr>
            </w:pPr>
            <w:r w:rsidRPr="002F0D73">
              <w:rPr>
                <w:rFonts w:asciiTheme="majorHAnsi" w:hAnsiTheme="majorHAnsi" w:cstheme="majorHAnsi"/>
                <w:color w:val="000000"/>
                <w:sz w:val="20"/>
                <w:szCs w:val="20"/>
              </w:rPr>
              <w:t>56</w:t>
            </w:r>
            <w:r>
              <w:rPr>
                <w:rFonts w:asciiTheme="majorHAnsi" w:hAnsiTheme="majorHAnsi" w:cstheme="majorHAnsi"/>
                <w:color w:val="000000"/>
                <w:sz w:val="20"/>
                <w:szCs w:val="20"/>
              </w:rPr>
              <w:t xml:space="preserve"> per cent</w:t>
            </w:r>
          </w:p>
        </w:tc>
      </w:tr>
      <w:tr w:rsidR="008D0CAD" w:rsidRPr="002F0D73" w14:paraId="61282D41" w14:textId="77777777" w:rsidTr="00F4751F">
        <w:trPr>
          <w:trHeight w:val="556"/>
        </w:trPr>
        <w:tc>
          <w:tcPr>
            <w:tcW w:w="4957" w:type="dxa"/>
            <w:hideMark/>
          </w:tcPr>
          <w:p w14:paraId="216A8630" w14:textId="77777777" w:rsidR="008D0CAD" w:rsidRPr="002F0D73" w:rsidRDefault="008D0CAD" w:rsidP="00B31C4E">
            <w:pPr>
              <w:spacing w:before="100" w:beforeAutospacing="1" w:after="100" w:afterAutospacing="1" w:line="360" w:lineRule="auto"/>
              <w:rPr>
                <w:rFonts w:asciiTheme="majorHAnsi" w:hAnsiTheme="majorHAnsi" w:cstheme="majorHAnsi"/>
                <w:color w:val="000000"/>
                <w:sz w:val="20"/>
                <w:szCs w:val="20"/>
              </w:rPr>
            </w:pPr>
            <w:r w:rsidRPr="002F0D73">
              <w:rPr>
                <w:rFonts w:asciiTheme="majorHAnsi" w:hAnsiTheme="majorHAnsi" w:cstheme="majorHAnsi"/>
                <w:color w:val="000000"/>
                <w:sz w:val="20"/>
                <w:szCs w:val="20"/>
              </w:rPr>
              <w:t>Pedagogical Retooling in Mathematics, Languages and Sciences (PRIMALS) Resource package</w:t>
            </w:r>
          </w:p>
        </w:tc>
        <w:tc>
          <w:tcPr>
            <w:tcW w:w="1701" w:type="dxa"/>
            <w:noWrap/>
            <w:hideMark/>
          </w:tcPr>
          <w:p w14:paraId="0EAA9278" w14:textId="77777777" w:rsidR="008D0CAD" w:rsidRPr="002F0D73" w:rsidRDefault="008D0CAD" w:rsidP="00B31C4E">
            <w:pPr>
              <w:spacing w:before="100" w:beforeAutospacing="1" w:after="100" w:afterAutospacing="1" w:line="360" w:lineRule="auto"/>
              <w:rPr>
                <w:rFonts w:asciiTheme="majorHAnsi" w:hAnsiTheme="majorHAnsi" w:cstheme="majorHAnsi"/>
                <w:color w:val="000000"/>
                <w:sz w:val="20"/>
                <w:szCs w:val="20"/>
              </w:rPr>
            </w:pPr>
            <w:r w:rsidRPr="002F0D73">
              <w:rPr>
                <w:rFonts w:asciiTheme="majorHAnsi" w:hAnsiTheme="majorHAnsi" w:cstheme="majorHAnsi"/>
                <w:color w:val="000000"/>
                <w:sz w:val="20"/>
                <w:szCs w:val="20"/>
              </w:rPr>
              <w:t>40</w:t>
            </w:r>
            <w:r>
              <w:rPr>
                <w:rFonts w:asciiTheme="majorHAnsi" w:hAnsiTheme="majorHAnsi" w:cstheme="majorHAnsi"/>
                <w:color w:val="000000"/>
                <w:sz w:val="20"/>
                <w:szCs w:val="20"/>
              </w:rPr>
              <w:t xml:space="preserve"> per cent</w:t>
            </w:r>
          </w:p>
        </w:tc>
        <w:tc>
          <w:tcPr>
            <w:tcW w:w="1701" w:type="dxa"/>
            <w:noWrap/>
            <w:hideMark/>
          </w:tcPr>
          <w:p w14:paraId="40C1AD75" w14:textId="77777777" w:rsidR="008D0CAD" w:rsidRPr="002F0D73" w:rsidRDefault="008D0CAD" w:rsidP="00B31C4E">
            <w:pPr>
              <w:spacing w:before="100" w:beforeAutospacing="1" w:after="100" w:afterAutospacing="1" w:line="360" w:lineRule="auto"/>
              <w:rPr>
                <w:rFonts w:asciiTheme="majorHAnsi" w:hAnsiTheme="majorHAnsi" w:cstheme="majorHAnsi"/>
                <w:color w:val="000000"/>
                <w:sz w:val="20"/>
                <w:szCs w:val="20"/>
              </w:rPr>
            </w:pPr>
            <w:r w:rsidRPr="002F0D73">
              <w:rPr>
                <w:rFonts w:asciiTheme="majorHAnsi" w:hAnsiTheme="majorHAnsi" w:cstheme="majorHAnsi"/>
                <w:color w:val="000000"/>
                <w:sz w:val="20"/>
                <w:szCs w:val="20"/>
              </w:rPr>
              <w:t>46</w:t>
            </w:r>
            <w:r>
              <w:rPr>
                <w:rFonts w:asciiTheme="majorHAnsi" w:hAnsiTheme="majorHAnsi" w:cstheme="majorHAnsi"/>
                <w:color w:val="000000"/>
                <w:sz w:val="20"/>
                <w:szCs w:val="20"/>
              </w:rPr>
              <w:t xml:space="preserve"> per cent</w:t>
            </w:r>
          </w:p>
        </w:tc>
      </w:tr>
      <w:tr w:rsidR="008D0CAD" w:rsidRPr="002F0D73" w14:paraId="1AEF002C" w14:textId="77777777" w:rsidTr="00F4751F">
        <w:trPr>
          <w:trHeight w:val="269"/>
        </w:trPr>
        <w:tc>
          <w:tcPr>
            <w:tcW w:w="4957" w:type="dxa"/>
            <w:noWrap/>
            <w:hideMark/>
          </w:tcPr>
          <w:p w14:paraId="5D5D08F4" w14:textId="77777777" w:rsidR="008D0CAD" w:rsidRPr="002F0D73" w:rsidRDefault="008D0CAD" w:rsidP="00B31C4E">
            <w:pPr>
              <w:spacing w:before="100" w:beforeAutospacing="1" w:after="100" w:afterAutospacing="1" w:line="360" w:lineRule="auto"/>
              <w:rPr>
                <w:rFonts w:asciiTheme="majorHAnsi" w:hAnsiTheme="majorHAnsi" w:cstheme="majorHAnsi"/>
                <w:color w:val="000000"/>
                <w:sz w:val="20"/>
                <w:szCs w:val="20"/>
              </w:rPr>
            </w:pPr>
            <w:r w:rsidRPr="002F0D73">
              <w:rPr>
                <w:rFonts w:asciiTheme="majorHAnsi" w:hAnsiTheme="majorHAnsi" w:cstheme="majorHAnsi"/>
                <w:color w:val="000000"/>
                <w:sz w:val="20"/>
                <w:szCs w:val="20"/>
              </w:rPr>
              <w:t>Action Research (AR) Toolkit</w:t>
            </w:r>
          </w:p>
        </w:tc>
        <w:tc>
          <w:tcPr>
            <w:tcW w:w="1701" w:type="dxa"/>
            <w:noWrap/>
            <w:hideMark/>
          </w:tcPr>
          <w:p w14:paraId="552D5986" w14:textId="77777777" w:rsidR="008D0CAD" w:rsidRPr="002F0D73" w:rsidRDefault="008D0CAD" w:rsidP="00B31C4E">
            <w:pPr>
              <w:spacing w:before="100" w:beforeAutospacing="1" w:after="100" w:afterAutospacing="1" w:line="360" w:lineRule="auto"/>
              <w:rPr>
                <w:rFonts w:asciiTheme="majorHAnsi" w:hAnsiTheme="majorHAnsi" w:cstheme="majorHAnsi"/>
                <w:color w:val="000000"/>
                <w:sz w:val="20"/>
                <w:szCs w:val="20"/>
              </w:rPr>
            </w:pPr>
            <w:r w:rsidRPr="002F0D73">
              <w:rPr>
                <w:rFonts w:asciiTheme="majorHAnsi" w:hAnsiTheme="majorHAnsi" w:cstheme="majorHAnsi"/>
                <w:color w:val="000000"/>
                <w:sz w:val="20"/>
                <w:szCs w:val="20"/>
              </w:rPr>
              <w:t>22</w:t>
            </w:r>
            <w:r>
              <w:rPr>
                <w:rFonts w:asciiTheme="majorHAnsi" w:hAnsiTheme="majorHAnsi" w:cstheme="majorHAnsi"/>
                <w:color w:val="000000"/>
                <w:sz w:val="20"/>
                <w:szCs w:val="20"/>
              </w:rPr>
              <w:t xml:space="preserve"> per cent</w:t>
            </w:r>
          </w:p>
        </w:tc>
        <w:tc>
          <w:tcPr>
            <w:tcW w:w="1701" w:type="dxa"/>
            <w:noWrap/>
            <w:hideMark/>
          </w:tcPr>
          <w:p w14:paraId="47D03E33" w14:textId="77777777" w:rsidR="008D0CAD" w:rsidRPr="002F0D73" w:rsidRDefault="008D0CAD" w:rsidP="00B31C4E">
            <w:pPr>
              <w:spacing w:before="100" w:beforeAutospacing="1" w:after="100" w:afterAutospacing="1" w:line="360" w:lineRule="auto"/>
              <w:rPr>
                <w:rFonts w:asciiTheme="majorHAnsi" w:hAnsiTheme="majorHAnsi" w:cstheme="majorHAnsi"/>
                <w:color w:val="000000"/>
                <w:sz w:val="20"/>
                <w:szCs w:val="20"/>
              </w:rPr>
            </w:pPr>
            <w:r w:rsidRPr="002F0D73">
              <w:rPr>
                <w:rFonts w:asciiTheme="majorHAnsi" w:hAnsiTheme="majorHAnsi" w:cstheme="majorHAnsi"/>
                <w:color w:val="000000"/>
                <w:sz w:val="20"/>
                <w:szCs w:val="20"/>
              </w:rPr>
              <w:t>20</w:t>
            </w:r>
            <w:r>
              <w:rPr>
                <w:rFonts w:asciiTheme="majorHAnsi" w:hAnsiTheme="majorHAnsi" w:cstheme="majorHAnsi"/>
                <w:color w:val="000000"/>
                <w:sz w:val="20"/>
                <w:szCs w:val="20"/>
              </w:rPr>
              <w:t xml:space="preserve"> per cent</w:t>
            </w:r>
          </w:p>
        </w:tc>
      </w:tr>
      <w:tr w:rsidR="008D0CAD" w:rsidRPr="002F0D73" w14:paraId="5FC994C6" w14:textId="77777777" w:rsidTr="00F4751F">
        <w:trPr>
          <w:trHeight w:val="269"/>
        </w:trPr>
        <w:tc>
          <w:tcPr>
            <w:tcW w:w="4957" w:type="dxa"/>
            <w:noWrap/>
            <w:hideMark/>
          </w:tcPr>
          <w:p w14:paraId="5DE66310" w14:textId="77777777" w:rsidR="008D0CAD" w:rsidRPr="002F0D73" w:rsidRDefault="008D0CAD" w:rsidP="00B31C4E">
            <w:pPr>
              <w:spacing w:before="100" w:beforeAutospacing="1" w:after="100" w:afterAutospacing="1" w:line="360" w:lineRule="auto"/>
              <w:rPr>
                <w:rFonts w:asciiTheme="majorHAnsi" w:hAnsiTheme="majorHAnsi" w:cstheme="majorHAnsi"/>
                <w:color w:val="000000"/>
                <w:sz w:val="20"/>
                <w:szCs w:val="20"/>
              </w:rPr>
            </w:pPr>
            <w:r w:rsidRPr="002F0D73">
              <w:rPr>
                <w:rFonts w:asciiTheme="majorHAnsi" w:hAnsiTheme="majorHAnsi" w:cstheme="majorHAnsi"/>
                <w:color w:val="000000"/>
                <w:sz w:val="20"/>
                <w:szCs w:val="20"/>
              </w:rPr>
              <w:t>Philippine Professional Standards for Teachers (PPST)</w:t>
            </w:r>
          </w:p>
        </w:tc>
        <w:tc>
          <w:tcPr>
            <w:tcW w:w="1701" w:type="dxa"/>
            <w:noWrap/>
            <w:hideMark/>
          </w:tcPr>
          <w:p w14:paraId="6A7336CD" w14:textId="77777777" w:rsidR="008D0CAD" w:rsidRPr="002F0D73" w:rsidRDefault="008D0CAD" w:rsidP="00B31C4E">
            <w:pPr>
              <w:spacing w:before="100" w:beforeAutospacing="1" w:after="100" w:afterAutospacing="1" w:line="360" w:lineRule="auto"/>
              <w:rPr>
                <w:rFonts w:asciiTheme="majorHAnsi" w:hAnsiTheme="majorHAnsi" w:cstheme="majorHAnsi"/>
                <w:color w:val="000000"/>
                <w:sz w:val="20"/>
                <w:szCs w:val="20"/>
              </w:rPr>
            </w:pPr>
          </w:p>
        </w:tc>
        <w:tc>
          <w:tcPr>
            <w:tcW w:w="1701" w:type="dxa"/>
            <w:noWrap/>
            <w:hideMark/>
          </w:tcPr>
          <w:p w14:paraId="610A3614" w14:textId="77777777" w:rsidR="008D0CAD" w:rsidRPr="002F0D73" w:rsidRDefault="008D0CAD" w:rsidP="00B31C4E">
            <w:pPr>
              <w:spacing w:before="100" w:beforeAutospacing="1" w:after="100" w:afterAutospacing="1" w:line="360" w:lineRule="auto"/>
              <w:rPr>
                <w:rFonts w:asciiTheme="majorHAnsi" w:hAnsiTheme="majorHAnsi" w:cstheme="majorHAnsi"/>
                <w:color w:val="000000"/>
                <w:sz w:val="20"/>
                <w:szCs w:val="20"/>
              </w:rPr>
            </w:pPr>
          </w:p>
        </w:tc>
      </w:tr>
      <w:tr w:rsidR="008D0CAD" w:rsidRPr="002F0D73" w14:paraId="1C678EDE" w14:textId="77777777" w:rsidTr="00F4751F">
        <w:trPr>
          <w:trHeight w:val="269"/>
        </w:trPr>
        <w:tc>
          <w:tcPr>
            <w:tcW w:w="4957" w:type="dxa"/>
            <w:noWrap/>
            <w:hideMark/>
          </w:tcPr>
          <w:p w14:paraId="535D6544" w14:textId="77777777" w:rsidR="008D0CAD" w:rsidRPr="002F0D73" w:rsidRDefault="008D0CAD" w:rsidP="00B31C4E">
            <w:pPr>
              <w:spacing w:before="100" w:beforeAutospacing="1" w:after="100" w:afterAutospacing="1" w:line="360" w:lineRule="auto"/>
              <w:rPr>
                <w:rFonts w:asciiTheme="majorHAnsi" w:hAnsiTheme="majorHAnsi" w:cstheme="majorHAnsi"/>
                <w:color w:val="000000"/>
                <w:sz w:val="20"/>
                <w:szCs w:val="20"/>
              </w:rPr>
            </w:pPr>
            <w:r w:rsidRPr="002F0D73">
              <w:rPr>
                <w:rFonts w:asciiTheme="majorHAnsi" w:hAnsiTheme="majorHAnsi" w:cstheme="majorHAnsi"/>
                <w:color w:val="000000"/>
                <w:sz w:val="20"/>
                <w:szCs w:val="20"/>
              </w:rPr>
              <w:t>RPMS Facilitator’s Guide</w:t>
            </w:r>
          </w:p>
        </w:tc>
        <w:tc>
          <w:tcPr>
            <w:tcW w:w="1701" w:type="dxa"/>
            <w:noWrap/>
            <w:hideMark/>
          </w:tcPr>
          <w:p w14:paraId="4102CCC7" w14:textId="77777777" w:rsidR="008D0CAD" w:rsidRPr="002F0D73" w:rsidRDefault="008D0CAD" w:rsidP="00B31C4E">
            <w:pPr>
              <w:spacing w:before="100" w:beforeAutospacing="1" w:after="100" w:afterAutospacing="1" w:line="360" w:lineRule="auto"/>
              <w:rPr>
                <w:rFonts w:asciiTheme="majorHAnsi" w:hAnsiTheme="majorHAnsi" w:cstheme="majorHAnsi"/>
                <w:color w:val="000000"/>
                <w:sz w:val="20"/>
                <w:szCs w:val="20"/>
              </w:rPr>
            </w:pPr>
            <w:r w:rsidRPr="002F0D73">
              <w:rPr>
                <w:rFonts w:asciiTheme="majorHAnsi" w:hAnsiTheme="majorHAnsi" w:cstheme="majorHAnsi"/>
                <w:color w:val="000000"/>
                <w:sz w:val="20"/>
                <w:szCs w:val="20"/>
              </w:rPr>
              <w:t>71</w:t>
            </w:r>
            <w:r>
              <w:rPr>
                <w:rFonts w:asciiTheme="majorHAnsi" w:hAnsiTheme="majorHAnsi" w:cstheme="majorHAnsi"/>
                <w:color w:val="000000"/>
                <w:sz w:val="20"/>
                <w:szCs w:val="20"/>
              </w:rPr>
              <w:t xml:space="preserve"> per cent</w:t>
            </w:r>
          </w:p>
        </w:tc>
        <w:tc>
          <w:tcPr>
            <w:tcW w:w="1701" w:type="dxa"/>
            <w:noWrap/>
            <w:hideMark/>
          </w:tcPr>
          <w:p w14:paraId="2376B76D" w14:textId="77777777" w:rsidR="008D0CAD" w:rsidRPr="002F0D73" w:rsidRDefault="008D0CAD" w:rsidP="00B31C4E">
            <w:pPr>
              <w:spacing w:before="100" w:beforeAutospacing="1" w:after="100" w:afterAutospacing="1" w:line="360" w:lineRule="auto"/>
              <w:rPr>
                <w:rFonts w:asciiTheme="majorHAnsi" w:hAnsiTheme="majorHAnsi" w:cstheme="majorHAnsi"/>
                <w:color w:val="000000"/>
                <w:sz w:val="20"/>
                <w:szCs w:val="20"/>
              </w:rPr>
            </w:pPr>
            <w:r w:rsidRPr="002F0D73">
              <w:rPr>
                <w:rFonts w:asciiTheme="majorHAnsi" w:hAnsiTheme="majorHAnsi" w:cstheme="majorHAnsi"/>
                <w:color w:val="000000"/>
                <w:sz w:val="20"/>
                <w:szCs w:val="20"/>
              </w:rPr>
              <w:t>85</w:t>
            </w:r>
            <w:r>
              <w:rPr>
                <w:rFonts w:asciiTheme="majorHAnsi" w:hAnsiTheme="majorHAnsi" w:cstheme="majorHAnsi"/>
                <w:color w:val="000000"/>
                <w:sz w:val="20"/>
                <w:szCs w:val="20"/>
              </w:rPr>
              <w:t xml:space="preserve"> per cent</w:t>
            </w:r>
          </w:p>
        </w:tc>
      </w:tr>
      <w:tr w:rsidR="008D0CAD" w:rsidRPr="002F0D73" w14:paraId="0553EC5A" w14:textId="77777777" w:rsidTr="00F4751F">
        <w:trPr>
          <w:trHeight w:val="269"/>
        </w:trPr>
        <w:tc>
          <w:tcPr>
            <w:tcW w:w="4957" w:type="dxa"/>
            <w:noWrap/>
            <w:hideMark/>
          </w:tcPr>
          <w:p w14:paraId="4BE08BF3" w14:textId="77777777" w:rsidR="008D0CAD" w:rsidRPr="002F0D73" w:rsidRDefault="008D0CAD" w:rsidP="00B31C4E">
            <w:pPr>
              <w:spacing w:before="100" w:beforeAutospacing="1" w:after="100" w:afterAutospacing="1" w:line="360" w:lineRule="auto"/>
              <w:rPr>
                <w:rFonts w:asciiTheme="majorHAnsi" w:hAnsiTheme="majorHAnsi" w:cstheme="majorHAnsi"/>
                <w:color w:val="000000"/>
                <w:sz w:val="20"/>
                <w:szCs w:val="20"/>
              </w:rPr>
            </w:pPr>
            <w:r w:rsidRPr="002F0D73">
              <w:rPr>
                <w:rFonts w:asciiTheme="majorHAnsi" w:hAnsiTheme="majorHAnsi" w:cstheme="majorHAnsi"/>
                <w:color w:val="000000"/>
                <w:sz w:val="20"/>
                <w:szCs w:val="20"/>
              </w:rPr>
              <w:t>Classroom Observation Tool (COT)</w:t>
            </w:r>
          </w:p>
        </w:tc>
        <w:tc>
          <w:tcPr>
            <w:tcW w:w="1701" w:type="dxa"/>
            <w:noWrap/>
            <w:hideMark/>
          </w:tcPr>
          <w:p w14:paraId="0065D70D" w14:textId="77777777" w:rsidR="008D0CAD" w:rsidRPr="002F0D73" w:rsidRDefault="008D0CAD" w:rsidP="00B31C4E">
            <w:pPr>
              <w:spacing w:before="100" w:beforeAutospacing="1" w:after="100" w:afterAutospacing="1" w:line="360" w:lineRule="auto"/>
              <w:rPr>
                <w:rFonts w:asciiTheme="majorHAnsi" w:hAnsiTheme="majorHAnsi" w:cstheme="majorHAnsi"/>
                <w:color w:val="000000"/>
                <w:sz w:val="20"/>
                <w:szCs w:val="20"/>
              </w:rPr>
            </w:pPr>
            <w:r w:rsidRPr="002F0D73">
              <w:rPr>
                <w:rFonts w:asciiTheme="majorHAnsi" w:hAnsiTheme="majorHAnsi" w:cstheme="majorHAnsi"/>
                <w:color w:val="000000"/>
                <w:sz w:val="20"/>
                <w:szCs w:val="20"/>
              </w:rPr>
              <w:t>81</w:t>
            </w:r>
            <w:r>
              <w:rPr>
                <w:rFonts w:asciiTheme="majorHAnsi" w:hAnsiTheme="majorHAnsi" w:cstheme="majorHAnsi"/>
                <w:color w:val="000000"/>
                <w:sz w:val="20"/>
                <w:szCs w:val="20"/>
              </w:rPr>
              <w:t xml:space="preserve"> per cent</w:t>
            </w:r>
          </w:p>
        </w:tc>
        <w:tc>
          <w:tcPr>
            <w:tcW w:w="1701" w:type="dxa"/>
            <w:noWrap/>
            <w:hideMark/>
          </w:tcPr>
          <w:p w14:paraId="5DF7C52B" w14:textId="77777777" w:rsidR="008D0CAD" w:rsidRPr="002F0D73" w:rsidRDefault="008D0CAD" w:rsidP="00B31C4E">
            <w:pPr>
              <w:spacing w:before="100" w:beforeAutospacing="1" w:after="100" w:afterAutospacing="1" w:line="360" w:lineRule="auto"/>
              <w:rPr>
                <w:rFonts w:asciiTheme="majorHAnsi" w:hAnsiTheme="majorHAnsi" w:cstheme="majorHAnsi"/>
                <w:color w:val="000000"/>
                <w:sz w:val="20"/>
                <w:szCs w:val="20"/>
              </w:rPr>
            </w:pPr>
            <w:r w:rsidRPr="002F0D73">
              <w:rPr>
                <w:rFonts w:asciiTheme="majorHAnsi" w:hAnsiTheme="majorHAnsi" w:cstheme="majorHAnsi"/>
                <w:color w:val="000000"/>
                <w:sz w:val="20"/>
                <w:szCs w:val="20"/>
              </w:rPr>
              <w:t>100</w:t>
            </w:r>
            <w:r>
              <w:rPr>
                <w:rFonts w:asciiTheme="majorHAnsi" w:hAnsiTheme="majorHAnsi" w:cstheme="majorHAnsi"/>
                <w:color w:val="000000"/>
                <w:sz w:val="20"/>
                <w:szCs w:val="20"/>
              </w:rPr>
              <w:t xml:space="preserve"> per cent</w:t>
            </w:r>
          </w:p>
        </w:tc>
      </w:tr>
      <w:tr w:rsidR="008D0CAD" w:rsidRPr="002F0D73" w14:paraId="07B02611" w14:textId="77777777" w:rsidTr="00F4751F">
        <w:trPr>
          <w:trHeight w:val="269"/>
        </w:trPr>
        <w:tc>
          <w:tcPr>
            <w:tcW w:w="4957" w:type="dxa"/>
            <w:noWrap/>
            <w:hideMark/>
          </w:tcPr>
          <w:p w14:paraId="7F9EDF81" w14:textId="77777777" w:rsidR="008D0CAD" w:rsidRPr="002F0D73" w:rsidRDefault="008D0CAD" w:rsidP="00B31C4E">
            <w:pPr>
              <w:spacing w:before="100" w:beforeAutospacing="1" w:after="100" w:afterAutospacing="1" w:line="360" w:lineRule="auto"/>
              <w:rPr>
                <w:rFonts w:asciiTheme="majorHAnsi" w:hAnsiTheme="majorHAnsi" w:cstheme="majorHAnsi"/>
                <w:color w:val="000000"/>
                <w:sz w:val="20"/>
                <w:szCs w:val="20"/>
              </w:rPr>
            </w:pPr>
            <w:r w:rsidRPr="002F0D73">
              <w:rPr>
                <w:rFonts w:asciiTheme="majorHAnsi" w:hAnsiTheme="majorHAnsi" w:cstheme="majorHAnsi"/>
                <w:color w:val="000000"/>
                <w:sz w:val="20"/>
                <w:szCs w:val="20"/>
              </w:rPr>
              <w:t>Self-Assessment Tool (SAT) for teachers</w:t>
            </w:r>
          </w:p>
        </w:tc>
        <w:tc>
          <w:tcPr>
            <w:tcW w:w="1701" w:type="dxa"/>
            <w:noWrap/>
            <w:hideMark/>
          </w:tcPr>
          <w:p w14:paraId="0CF15B84" w14:textId="77777777" w:rsidR="008D0CAD" w:rsidRPr="002F0D73" w:rsidRDefault="008D0CAD" w:rsidP="00B31C4E">
            <w:pPr>
              <w:spacing w:before="100" w:beforeAutospacing="1" w:after="100" w:afterAutospacing="1" w:line="360" w:lineRule="auto"/>
              <w:rPr>
                <w:rFonts w:asciiTheme="majorHAnsi" w:hAnsiTheme="majorHAnsi" w:cstheme="majorHAnsi"/>
                <w:color w:val="000000"/>
                <w:sz w:val="20"/>
                <w:szCs w:val="20"/>
              </w:rPr>
            </w:pPr>
            <w:r w:rsidRPr="002F0D73">
              <w:rPr>
                <w:rFonts w:asciiTheme="majorHAnsi" w:hAnsiTheme="majorHAnsi" w:cstheme="majorHAnsi"/>
                <w:color w:val="000000"/>
                <w:sz w:val="20"/>
                <w:szCs w:val="20"/>
              </w:rPr>
              <w:t>67</w:t>
            </w:r>
            <w:r>
              <w:rPr>
                <w:rFonts w:asciiTheme="majorHAnsi" w:hAnsiTheme="majorHAnsi" w:cstheme="majorHAnsi"/>
                <w:color w:val="000000"/>
                <w:sz w:val="20"/>
                <w:szCs w:val="20"/>
              </w:rPr>
              <w:t xml:space="preserve"> per cent</w:t>
            </w:r>
          </w:p>
        </w:tc>
        <w:tc>
          <w:tcPr>
            <w:tcW w:w="1701" w:type="dxa"/>
            <w:noWrap/>
            <w:hideMark/>
          </w:tcPr>
          <w:p w14:paraId="22508FFA" w14:textId="77777777" w:rsidR="008D0CAD" w:rsidRPr="002F0D73" w:rsidRDefault="008D0CAD" w:rsidP="00B31C4E">
            <w:pPr>
              <w:spacing w:before="100" w:beforeAutospacing="1" w:after="100" w:afterAutospacing="1" w:line="360" w:lineRule="auto"/>
              <w:rPr>
                <w:rFonts w:asciiTheme="majorHAnsi" w:hAnsiTheme="majorHAnsi" w:cstheme="majorHAnsi"/>
                <w:color w:val="000000"/>
                <w:sz w:val="20"/>
                <w:szCs w:val="20"/>
              </w:rPr>
            </w:pPr>
            <w:r w:rsidRPr="002F0D73">
              <w:rPr>
                <w:rFonts w:asciiTheme="majorHAnsi" w:hAnsiTheme="majorHAnsi" w:cstheme="majorHAnsi"/>
                <w:color w:val="000000"/>
                <w:sz w:val="20"/>
                <w:szCs w:val="20"/>
              </w:rPr>
              <w:t>87</w:t>
            </w:r>
            <w:r>
              <w:rPr>
                <w:rFonts w:asciiTheme="majorHAnsi" w:hAnsiTheme="majorHAnsi" w:cstheme="majorHAnsi"/>
                <w:color w:val="000000"/>
                <w:sz w:val="20"/>
                <w:szCs w:val="20"/>
              </w:rPr>
              <w:t xml:space="preserve"> per cent</w:t>
            </w:r>
          </w:p>
        </w:tc>
      </w:tr>
      <w:tr w:rsidR="008D0CAD" w:rsidRPr="002F0D73" w14:paraId="39E83BEB" w14:textId="77777777" w:rsidTr="00F4751F">
        <w:trPr>
          <w:trHeight w:val="269"/>
        </w:trPr>
        <w:tc>
          <w:tcPr>
            <w:tcW w:w="4957" w:type="dxa"/>
            <w:noWrap/>
            <w:hideMark/>
          </w:tcPr>
          <w:p w14:paraId="0BB10F27" w14:textId="77777777" w:rsidR="008D0CAD" w:rsidRPr="002F0D73" w:rsidRDefault="008D0CAD" w:rsidP="00B31C4E">
            <w:pPr>
              <w:spacing w:before="100" w:beforeAutospacing="1" w:after="100" w:afterAutospacing="1" w:line="360" w:lineRule="auto"/>
              <w:rPr>
                <w:rFonts w:asciiTheme="majorHAnsi" w:hAnsiTheme="majorHAnsi" w:cstheme="majorHAnsi"/>
                <w:color w:val="000000"/>
                <w:sz w:val="20"/>
                <w:szCs w:val="20"/>
              </w:rPr>
            </w:pPr>
            <w:r w:rsidRPr="002F0D73">
              <w:rPr>
                <w:rFonts w:asciiTheme="majorHAnsi" w:hAnsiTheme="majorHAnsi" w:cstheme="majorHAnsi"/>
                <w:color w:val="000000"/>
                <w:sz w:val="20"/>
                <w:szCs w:val="20"/>
              </w:rPr>
              <w:t xml:space="preserve">Curriculum and assessment </w:t>
            </w:r>
          </w:p>
        </w:tc>
        <w:tc>
          <w:tcPr>
            <w:tcW w:w="1701" w:type="dxa"/>
            <w:noWrap/>
            <w:hideMark/>
          </w:tcPr>
          <w:p w14:paraId="229F0EC1" w14:textId="77777777" w:rsidR="008D0CAD" w:rsidRPr="002F0D73" w:rsidRDefault="008D0CAD" w:rsidP="00B31C4E">
            <w:pPr>
              <w:spacing w:before="100" w:beforeAutospacing="1" w:after="100" w:afterAutospacing="1" w:line="360" w:lineRule="auto"/>
              <w:rPr>
                <w:rFonts w:asciiTheme="majorHAnsi" w:hAnsiTheme="majorHAnsi" w:cstheme="majorHAnsi"/>
                <w:color w:val="000000"/>
                <w:sz w:val="20"/>
                <w:szCs w:val="20"/>
              </w:rPr>
            </w:pPr>
          </w:p>
        </w:tc>
        <w:tc>
          <w:tcPr>
            <w:tcW w:w="1701" w:type="dxa"/>
            <w:noWrap/>
            <w:hideMark/>
          </w:tcPr>
          <w:p w14:paraId="4B05D5CF" w14:textId="77777777" w:rsidR="008D0CAD" w:rsidRPr="002F0D73" w:rsidRDefault="008D0CAD" w:rsidP="00B31C4E">
            <w:pPr>
              <w:spacing w:before="100" w:beforeAutospacing="1" w:after="100" w:afterAutospacing="1" w:line="360" w:lineRule="auto"/>
              <w:rPr>
                <w:rFonts w:asciiTheme="majorHAnsi" w:hAnsiTheme="majorHAnsi" w:cstheme="majorHAnsi"/>
                <w:color w:val="000000"/>
                <w:sz w:val="20"/>
                <w:szCs w:val="20"/>
              </w:rPr>
            </w:pPr>
          </w:p>
        </w:tc>
      </w:tr>
      <w:tr w:rsidR="008D0CAD" w:rsidRPr="002F0D73" w14:paraId="62665791" w14:textId="77777777" w:rsidTr="00F4751F">
        <w:trPr>
          <w:trHeight w:val="269"/>
        </w:trPr>
        <w:tc>
          <w:tcPr>
            <w:tcW w:w="4957" w:type="dxa"/>
            <w:noWrap/>
            <w:hideMark/>
          </w:tcPr>
          <w:p w14:paraId="1D4F786C" w14:textId="77777777" w:rsidR="008D0CAD" w:rsidRPr="002F0D73" w:rsidRDefault="008D0CAD" w:rsidP="00B31C4E">
            <w:pPr>
              <w:spacing w:before="100" w:beforeAutospacing="1" w:after="100" w:afterAutospacing="1" w:line="360" w:lineRule="auto"/>
              <w:rPr>
                <w:rFonts w:asciiTheme="majorHAnsi" w:hAnsiTheme="majorHAnsi" w:cstheme="majorHAnsi"/>
                <w:color w:val="000000"/>
                <w:sz w:val="20"/>
                <w:szCs w:val="20"/>
              </w:rPr>
            </w:pPr>
            <w:r w:rsidRPr="002F0D73">
              <w:rPr>
                <w:rFonts w:asciiTheme="majorHAnsi" w:hAnsiTheme="majorHAnsi" w:cstheme="majorHAnsi"/>
                <w:color w:val="000000"/>
                <w:sz w:val="20"/>
                <w:szCs w:val="20"/>
              </w:rPr>
              <w:t>Contextuali</w:t>
            </w:r>
            <w:r>
              <w:rPr>
                <w:rFonts w:asciiTheme="majorHAnsi" w:hAnsiTheme="majorHAnsi" w:cstheme="majorHAnsi"/>
                <w:color w:val="000000"/>
                <w:sz w:val="20"/>
                <w:szCs w:val="20"/>
              </w:rPr>
              <w:t>s</w:t>
            </w:r>
            <w:r w:rsidRPr="002F0D73">
              <w:rPr>
                <w:rFonts w:asciiTheme="majorHAnsi" w:hAnsiTheme="majorHAnsi" w:cstheme="majorHAnsi"/>
                <w:color w:val="000000"/>
                <w:sz w:val="20"/>
                <w:szCs w:val="20"/>
              </w:rPr>
              <w:t>ed curriculum resources</w:t>
            </w:r>
          </w:p>
        </w:tc>
        <w:tc>
          <w:tcPr>
            <w:tcW w:w="1701" w:type="dxa"/>
            <w:noWrap/>
            <w:hideMark/>
          </w:tcPr>
          <w:p w14:paraId="0CCB76BE" w14:textId="77777777" w:rsidR="008D0CAD" w:rsidRPr="002F0D73" w:rsidRDefault="008D0CAD" w:rsidP="00B31C4E">
            <w:pPr>
              <w:spacing w:before="100" w:beforeAutospacing="1" w:after="100" w:afterAutospacing="1" w:line="360" w:lineRule="auto"/>
              <w:rPr>
                <w:rFonts w:asciiTheme="majorHAnsi" w:hAnsiTheme="majorHAnsi" w:cstheme="majorHAnsi"/>
                <w:color w:val="000000"/>
                <w:sz w:val="20"/>
                <w:szCs w:val="20"/>
              </w:rPr>
            </w:pPr>
            <w:r w:rsidRPr="002F0D73">
              <w:rPr>
                <w:rFonts w:asciiTheme="majorHAnsi" w:hAnsiTheme="majorHAnsi" w:cstheme="majorHAnsi"/>
                <w:color w:val="000000"/>
                <w:sz w:val="20"/>
                <w:szCs w:val="20"/>
              </w:rPr>
              <w:t>59</w:t>
            </w:r>
            <w:r>
              <w:rPr>
                <w:rFonts w:asciiTheme="majorHAnsi" w:hAnsiTheme="majorHAnsi" w:cstheme="majorHAnsi"/>
                <w:color w:val="000000"/>
                <w:sz w:val="20"/>
                <w:szCs w:val="20"/>
              </w:rPr>
              <w:t xml:space="preserve"> per cent</w:t>
            </w:r>
          </w:p>
        </w:tc>
        <w:tc>
          <w:tcPr>
            <w:tcW w:w="1701" w:type="dxa"/>
            <w:noWrap/>
            <w:hideMark/>
          </w:tcPr>
          <w:p w14:paraId="749710A4" w14:textId="77777777" w:rsidR="008D0CAD" w:rsidRPr="002F0D73" w:rsidRDefault="008D0CAD" w:rsidP="00B31C4E">
            <w:pPr>
              <w:spacing w:before="100" w:beforeAutospacing="1" w:after="100" w:afterAutospacing="1" w:line="360" w:lineRule="auto"/>
              <w:rPr>
                <w:rFonts w:asciiTheme="majorHAnsi" w:hAnsiTheme="majorHAnsi" w:cstheme="majorHAnsi"/>
                <w:color w:val="000000"/>
                <w:sz w:val="20"/>
                <w:szCs w:val="20"/>
              </w:rPr>
            </w:pPr>
            <w:r w:rsidRPr="002F0D73">
              <w:rPr>
                <w:rFonts w:asciiTheme="majorHAnsi" w:hAnsiTheme="majorHAnsi" w:cstheme="majorHAnsi"/>
                <w:color w:val="000000"/>
                <w:sz w:val="20"/>
                <w:szCs w:val="20"/>
              </w:rPr>
              <w:t>72</w:t>
            </w:r>
            <w:r>
              <w:rPr>
                <w:rFonts w:asciiTheme="majorHAnsi" w:hAnsiTheme="majorHAnsi" w:cstheme="majorHAnsi"/>
                <w:color w:val="000000"/>
                <w:sz w:val="20"/>
                <w:szCs w:val="20"/>
              </w:rPr>
              <w:t xml:space="preserve"> per cent</w:t>
            </w:r>
          </w:p>
        </w:tc>
      </w:tr>
      <w:tr w:rsidR="008D0CAD" w:rsidRPr="002F0D73" w14:paraId="0CA81BD6" w14:textId="77777777" w:rsidTr="00F4751F">
        <w:trPr>
          <w:trHeight w:val="269"/>
        </w:trPr>
        <w:tc>
          <w:tcPr>
            <w:tcW w:w="4957" w:type="dxa"/>
            <w:noWrap/>
            <w:hideMark/>
          </w:tcPr>
          <w:p w14:paraId="0B3A3669" w14:textId="77777777" w:rsidR="008D0CAD" w:rsidRPr="002F0D73" w:rsidRDefault="008D0CAD" w:rsidP="00B31C4E">
            <w:pPr>
              <w:spacing w:before="100" w:beforeAutospacing="1" w:after="100" w:afterAutospacing="1" w:line="360" w:lineRule="auto"/>
              <w:rPr>
                <w:rFonts w:asciiTheme="majorHAnsi" w:hAnsiTheme="majorHAnsi" w:cstheme="majorHAnsi"/>
                <w:color w:val="000000"/>
                <w:sz w:val="20"/>
                <w:szCs w:val="20"/>
              </w:rPr>
            </w:pPr>
            <w:r w:rsidRPr="002F0D73">
              <w:rPr>
                <w:rFonts w:asciiTheme="majorHAnsi" w:hAnsiTheme="majorHAnsi" w:cstheme="majorHAnsi"/>
                <w:color w:val="000000"/>
                <w:sz w:val="20"/>
                <w:szCs w:val="20"/>
              </w:rPr>
              <w:t>K-12 Curriculum Guides</w:t>
            </w:r>
          </w:p>
        </w:tc>
        <w:tc>
          <w:tcPr>
            <w:tcW w:w="1701" w:type="dxa"/>
            <w:noWrap/>
            <w:hideMark/>
          </w:tcPr>
          <w:p w14:paraId="534620BA" w14:textId="77777777" w:rsidR="008D0CAD" w:rsidRPr="002F0D73" w:rsidRDefault="008D0CAD" w:rsidP="00B31C4E">
            <w:pPr>
              <w:spacing w:before="100" w:beforeAutospacing="1" w:after="100" w:afterAutospacing="1" w:line="360" w:lineRule="auto"/>
              <w:rPr>
                <w:rFonts w:asciiTheme="majorHAnsi" w:hAnsiTheme="majorHAnsi" w:cstheme="majorHAnsi"/>
                <w:color w:val="000000"/>
                <w:sz w:val="20"/>
                <w:szCs w:val="20"/>
              </w:rPr>
            </w:pPr>
            <w:r w:rsidRPr="002F0D73">
              <w:rPr>
                <w:rFonts w:asciiTheme="majorHAnsi" w:hAnsiTheme="majorHAnsi" w:cstheme="majorHAnsi"/>
                <w:color w:val="000000"/>
                <w:sz w:val="20"/>
                <w:szCs w:val="20"/>
              </w:rPr>
              <w:t>86</w:t>
            </w:r>
            <w:r>
              <w:rPr>
                <w:rFonts w:asciiTheme="majorHAnsi" w:hAnsiTheme="majorHAnsi" w:cstheme="majorHAnsi"/>
                <w:color w:val="000000"/>
                <w:sz w:val="20"/>
                <w:szCs w:val="20"/>
              </w:rPr>
              <w:t xml:space="preserve"> per cent</w:t>
            </w:r>
          </w:p>
        </w:tc>
        <w:tc>
          <w:tcPr>
            <w:tcW w:w="1701" w:type="dxa"/>
            <w:noWrap/>
            <w:hideMark/>
          </w:tcPr>
          <w:p w14:paraId="44625D75" w14:textId="77777777" w:rsidR="008D0CAD" w:rsidRPr="002F0D73" w:rsidRDefault="008D0CAD" w:rsidP="00B31C4E">
            <w:pPr>
              <w:spacing w:before="100" w:beforeAutospacing="1" w:after="100" w:afterAutospacing="1" w:line="360" w:lineRule="auto"/>
              <w:rPr>
                <w:rFonts w:asciiTheme="majorHAnsi" w:hAnsiTheme="majorHAnsi" w:cstheme="majorHAnsi"/>
                <w:color w:val="000000"/>
                <w:sz w:val="20"/>
                <w:szCs w:val="20"/>
              </w:rPr>
            </w:pPr>
            <w:r w:rsidRPr="002F0D73">
              <w:rPr>
                <w:rFonts w:asciiTheme="majorHAnsi" w:hAnsiTheme="majorHAnsi" w:cstheme="majorHAnsi"/>
                <w:color w:val="000000"/>
                <w:sz w:val="20"/>
                <w:szCs w:val="20"/>
              </w:rPr>
              <w:t>97</w:t>
            </w:r>
            <w:r>
              <w:rPr>
                <w:rFonts w:asciiTheme="majorHAnsi" w:hAnsiTheme="majorHAnsi" w:cstheme="majorHAnsi"/>
                <w:color w:val="000000"/>
                <w:sz w:val="20"/>
                <w:szCs w:val="20"/>
              </w:rPr>
              <w:t xml:space="preserve"> per cent</w:t>
            </w:r>
          </w:p>
        </w:tc>
      </w:tr>
      <w:tr w:rsidR="008D0CAD" w:rsidRPr="002F0D73" w14:paraId="1A01F429" w14:textId="77777777" w:rsidTr="00F4751F">
        <w:trPr>
          <w:trHeight w:val="269"/>
        </w:trPr>
        <w:tc>
          <w:tcPr>
            <w:tcW w:w="4957" w:type="dxa"/>
            <w:noWrap/>
            <w:hideMark/>
          </w:tcPr>
          <w:p w14:paraId="28409B6A" w14:textId="77777777" w:rsidR="008D0CAD" w:rsidRPr="002F0D73" w:rsidRDefault="008D0CAD" w:rsidP="00B31C4E">
            <w:pPr>
              <w:spacing w:before="100" w:beforeAutospacing="1" w:after="100" w:afterAutospacing="1" w:line="360" w:lineRule="auto"/>
              <w:rPr>
                <w:rFonts w:asciiTheme="majorHAnsi" w:hAnsiTheme="majorHAnsi" w:cstheme="majorHAnsi"/>
                <w:color w:val="000000"/>
                <w:sz w:val="20"/>
                <w:szCs w:val="20"/>
              </w:rPr>
            </w:pPr>
            <w:r w:rsidRPr="002F0D73">
              <w:rPr>
                <w:rFonts w:asciiTheme="majorHAnsi" w:hAnsiTheme="majorHAnsi" w:cstheme="majorHAnsi"/>
                <w:color w:val="000000"/>
                <w:sz w:val="20"/>
                <w:szCs w:val="20"/>
              </w:rPr>
              <w:t xml:space="preserve">Classroom Assessment Resource Book (CARB) for K </w:t>
            </w:r>
            <w:r>
              <w:rPr>
                <w:rFonts w:asciiTheme="majorHAnsi" w:hAnsiTheme="majorHAnsi" w:cstheme="majorHAnsi"/>
                <w:color w:val="000000"/>
                <w:sz w:val="20"/>
                <w:szCs w:val="20"/>
              </w:rPr>
              <w:t>-</w:t>
            </w:r>
            <w:r w:rsidRPr="002F0D73">
              <w:rPr>
                <w:rFonts w:asciiTheme="majorHAnsi" w:hAnsiTheme="majorHAnsi" w:cstheme="majorHAnsi"/>
                <w:color w:val="000000"/>
                <w:sz w:val="20"/>
                <w:szCs w:val="20"/>
              </w:rPr>
              <w:t xml:space="preserve"> Grade 10</w:t>
            </w:r>
          </w:p>
        </w:tc>
        <w:tc>
          <w:tcPr>
            <w:tcW w:w="1701" w:type="dxa"/>
            <w:noWrap/>
            <w:hideMark/>
          </w:tcPr>
          <w:p w14:paraId="5196ED99" w14:textId="77777777" w:rsidR="008D0CAD" w:rsidRPr="002F0D73" w:rsidRDefault="008D0CAD" w:rsidP="00B31C4E">
            <w:pPr>
              <w:spacing w:before="100" w:beforeAutospacing="1" w:after="100" w:afterAutospacing="1" w:line="360" w:lineRule="auto"/>
              <w:rPr>
                <w:rFonts w:asciiTheme="majorHAnsi" w:hAnsiTheme="majorHAnsi" w:cstheme="majorHAnsi"/>
                <w:color w:val="000000"/>
                <w:sz w:val="20"/>
                <w:szCs w:val="20"/>
              </w:rPr>
            </w:pPr>
            <w:r w:rsidRPr="002F0D73">
              <w:rPr>
                <w:rFonts w:asciiTheme="majorHAnsi" w:hAnsiTheme="majorHAnsi" w:cstheme="majorHAnsi"/>
                <w:color w:val="000000"/>
                <w:sz w:val="20"/>
                <w:szCs w:val="20"/>
              </w:rPr>
              <w:t>24</w:t>
            </w:r>
            <w:r>
              <w:rPr>
                <w:rFonts w:asciiTheme="majorHAnsi" w:hAnsiTheme="majorHAnsi" w:cstheme="majorHAnsi"/>
                <w:color w:val="000000"/>
                <w:sz w:val="20"/>
                <w:szCs w:val="20"/>
              </w:rPr>
              <w:t xml:space="preserve"> per cent</w:t>
            </w:r>
          </w:p>
        </w:tc>
        <w:tc>
          <w:tcPr>
            <w:tcW w:w="1701" w:type="dxa"/>
            <w:noWrap/>
            <w:hideMark/>
          </w:tcPr>
          <w:p w14:paraId="2625FA59" w14:textId="77777777" w:rsidR="008D0CAD" w:rsidRPr="002F0D73" w:rsidRDefault="008D0CAD" w:rsidP="00B31C4E">
            <w:pPr>
              <w:spacing w:before="100" w:beforeAutospacing="1" w:after="100" w:afterAutospacing="1" w:line="360" w:lineRule="auto"/>
              <w:rPr>
                <w:rFonts w:asciiTheme="majorHAnsi" w:hAnsiTheme="majorHAnsi" w:cstheme="majorHAnsi"/>
                <w:color w:val="000000"/>
                <w:sz w:val="20"/>
                <w:szCs w:val="20"/>
              </w:rPr>
            </w:pPr>
            <w:r w:rsidRPr="002F0D73">
              <w:rPr>
                <w:rFonts w:asciiTheme="majorHAnsi" w:hAnsiTheme="majorHAnsi" w:cstheme="majorHAnsi"/>
                <w:color w:val="000000"/>
                <w:sz w:val="20"/>
                <w:szCs w:val="20"/>
              </w:rPr>
              <w:t>31</w:t>
            </w:r>
            <w:r>
              <w:rPr>
                <w:rFonts w:asciiTheme="majorHAnsi" w:hAnsiTheme="majorHAnsi" w:cstheme="majorHAnsi"/>
                <w:color w:val="000000"/>
                <w:sz w:val="20"/>
                <w:szCs w:val="20"/>
              </w:rPr>
              <w:t xml:space="preserve"> per cent</w:t>
            </w:r>
          </w:p>
        </w:tc>
      </w:tr>
      <w:tr w:rsidR="008D0CAD" w:rsidRPr="002F0D73" w14:paraId="4EDA769E" w14:textId="77777777" w:rsidTr="00F4751F">
        <w:trPr>
          <w:trHeight w:val="269"/>
        </w:trPr>
        <w:tc>
          <w:tcPr>
            <w:tcW w:w="4957" w:type="dxa"/>
            <w:noWrap/>
            <w:hideMark/>
          </w:tcPr>
          <w:p w14:paraId="58009BD7" w14:textId="77777777" w:rsidR="008D0CAD" w:rsidRPr="002F0D73" w:rsidRDefault="008D0CAD" w:rsidP="00B31C4E">
            <w:pPr>
              <w:spacing w:before="100" w:beforeAutospacing="1" w:after="100" w:afterAutospacing="1" w:line="360" w:lineRule="auto"/>
              <w:rPr>
                <w:rFonts w:asciiTheme="majorHAnsi" w:hAnsiTheme="majorHAnsi" w:cstheme="majorHAnsi"/>
                <w:color w:val="000000"/>
                <w:sz w:val="20"/>
                <w:szCs w:val="20"/>
              </w:rPr>
            </w:pPr>
            <w:r w:rsidRPr="002F0D73">
              <w:rPr>
                <w:rFonts w:asciiTheme="majorHAnsi" w:hAnsiTheme="majorHAnsi" w:cstheme="majorHAnsi"/>
                <w:color w:val="000000"/>
                <w:sz w:val="20"/>
                <w:szCs w:val="20"/>
              </w:rPr>
              <w:t>Unified information system and sub-systems (UISS)</w:t>
            </w:r>
          </w:p>
        </w:tc>
        <w:tc>
          <w:tcPr>
            <w:tcW w:w="1701" w:type="dxa"/>
            <w:noWrap/>
            <w:hideMark/>
          </w:tcPr>
          <w:p w14:paraId="2A6763DE" w14:textId="77777777" w:rsidR="008D0CAD" w:rsidRPr="002F0D73" w:rsidRDefault="008D0CAD" w:rsidP="00B31C4E">
            <w:pPr>
              <w:spacing w:before="100" w:beforeAutospacing="1" w:after="100" w:afterAutospacing="1" w:line="360" w:lineRule="auto"/>
              <w:rPr>
                <w:rFonts w:asciiTheme="majorHAnsi" w:hAnsiTheme="majorHAnsi" w:cstheme="majorHAnsi"/>
                <w:color w:val="000000"/>
                <w:sz w:val="20"/>
                <w:szCs w:val="20"/>
              </w:rPr>
            </w:pPr>
          </w:p>
        </w:tc>
        <w:tc>
          <w:tcPr>
            <w:tcW w:w="1701" w:type="dxa"/>
            <w:noWrap/>
            <w:hideMark/>
          </w:tcPr>
          <w:p w14:paraId="5B6F108A" w14:textId="77777777" w:rsidR="008D0CAD" w:rsidRPr="002F0D73" w:rsidRDefault="008D0CAD" w:rsidP="00B31C4E">
            <w:pPr>
              <w:spacing w:before="100" w:beforeAutospacing="1" w:after="100" w:afterAutospacing="1" w:line="360" w:lineRule="auto"/>
              <w:rPr>
                <w:rFonts w:asciiTheme="majorHAnsi" w:hAnsiTheme="majorHAnsi" w:cstheme="majorHAnsi"/>
                <w:color w:val="000000"/>
                <w:sz w:val="20"/>
                <w:szCs w:val="20"/>
              </w:rPr>
            </w:pPr>
          </w:p>
        </w:tc>
      </w:tr>
      <w:tr w:rsidR="008D0CAD" w:rsidRPr="002F0D73" w14:paraId="449365E7" w14:textId="77777777" w:rsidTr="00F4751F">
        <w:trPr>
          <w:trHeight w:val="269"/>
        </w:trPr>
        <w:tc>
          <w:tcPr>
            <w:tcW w:w="4957" w:type="dxa"/>
            <w:noWrap/>
            <w:hideMark/>
          </w:tcPr>
          <w:p w14:paraId="2E05683C" w14:textId="77777777" w:rsidR="008D0CAD" w:rsidRPr="002F0D73" w:rsidRDefault="008D0CAD" w:rsidP="00B31C4E">
            <w:pPr>
              <w:spacing w:before="100" w:beforeAutospacing="1" w:after="100" w:afterAutospacing="1" w:line="360" w:lineRule="auto"/>
              <w:rPr>
                <w:rFonts w:asciiTheme="majorHAnsi" w:hAnsiTheme="majorHAnsi" w:cstheme="majorHAnsi"/>
                <w:color w:val="000000"/>
                <w:sz w:val="20"/>
                <w:szCs w:val="20"/>
              </w:rPr>
            </w:pPr>
            <w:r w:rsidRPr="002F0D73">
              <w:rPr>
                <w:rFonts w:asciiTheme="majorHAnsi" w:hAnsiTheme="majorHAnsi" w:cstheme="majorHAnsi"/>
                <w:color w:val="000000"/>
                <w:sz w:val="20"/>
                <w:szCs w:val="20"/>
              </w:rPr>
              <w:t>Enhanced Basic Education Information System (EBEIS)</w:t>
            </w:r>
          </w:p>
        </w:tc>
        <w:tc>
          <w:tcPr>
            <w:tcW w:w="1701" w:type="dxa"/>
            <w:noWrap/>
            <w:hideMark/>
          </w:tcPr>
          <w:p w14:paraId="207CA1A9" w14:textId="77777777" w:rsidR="008D0CAD" w:rsidRPr="002F0D73" w:rsidRDefault="008D0CAD" w:rsidP="00B31C4E">
            <w:pPr>
              <w:spacing w:before="100" w:beforeAutospacing="1" w:after="100" w:afterAutospacing="1" w:line="360" w:lineRule="auto"/>
              <w:rPr>
                <w:rFonts w:asciiTheme="majorHAnsi" w:hAnsiTheme="majorHAnsi" w:cstheme="majorHAnsi"/>
                <w:color w:val="000000"/>
                <w:sz w:val="20"/>
                <w:szCs w:val="20"/>
              </w:rPr>
            </w:pPr>
            <w:r w:rsidRPr="002F0D73">
              <w:rPr>
                <w:rFonts w:asciiTheme="majorHAnsi" w:hAnsiTheme="majorHAnsi" w:cstheme="majorHAnsi"/>
                <w:color w:val="000000"/>
                <w:sz w:val="20"/>
                <w:szCs w:val="20"/>
              </w:rPr>
              <w:t>65</w:t>
            </w:r>
            <w:r>
              <w:rPr>
                <w:rFonts w:asciiTheme="majorHAnsi" w:hAnsiTheme="majorHAnsi" w:cstheme="majorHAnsi"/>
                <w:color w:val="000000"/>
                <w:sz w:val="20"/>
                <w:szCs w:val="20"/>
              </w:rPr>
              <w:t xml:space="preserve"> per cent</w:t>
            </w:r>
          </w:p>
        </w:tc>
        <w:tc>
          <w:tcPr>
            <w:tcW w:w="1701" w:type="dxa"/>
            <w:noWrap/>
            <w:hideMark/>
          </w:tcPr>
          <w:p w14:paraId="68529E65" w14:textId="77777777" w:rsidR="008D0CAD" w:rsidRPr="002F0D73" w:rsidRDefault="008D0CAD" w:rsidP="00B31C4E">
            <w:pPr>
              <w:spacing w:before="100" w:beforeAutospacing="1" w:after="100" w:afterAutospacing="1" w:line="360" w:lineRule="auto"/>
              <w:rPr>
                <w:rFonts w:asciiTheme="majorHAnsi" w:hAnsiTheme="majorHAnsi" w:cstheme="majorHAnsi"/>
                <w:color w:val="000000"/>
                <w:sz w:val="20"/>
                <w:szCs w:val="20"/>
              </w:rPr>
            </w:pPr>
            <w:r w:rsidRPr="002F0D73">
              <w:rPr>
                <w:rFonts w:asciiTheme="majorHAnsi" w:hAnsiTheme="majorHAnsi" w:cstheme="majorHAnsi"/>
                <w:color w:val="000000"/>
                <w:sz w:val="20"/>
                <w:szCs w:val="20"/>
              </w:rPr>
              <w:t>79</w:t>
            </w:r>
            <w:r>
              <w:rPr>
                <w:rFonts w:asciiTheme="majorHAnsi" w:hAnsiTheme="majorHAnsi" w:cstheme="majorHAnsi"/>
                <w:color w:val="000000"/>
                <w:sz w:val="20"/>
                <w:szCs w:val="20"/>
              </w:rPr>
              <w:t xml:space="preserve"> per cent</w:t>
            </w:r>
          </w:p>
        </w:tc>
      </w:tr>
      <w:tr w:rsidR="008D0CAD" w:rsidRPr="002F0D73" w14:paraId="68925355" w14:textId="77777777" w:rsidTr="00F4751F">
        <w:trPr>
          <w:trHeight w:val="269"/>
        </w:trPr>
        <w:tc>
          <w:tcPr>
            <w:tcW w:w="4957" w:type="dxa"/>
            <w:noWrap/>
            <w:hideMark/>
          </w:tcPr>
          <w:p w14:paraId="65B92742" w14:textId="77777777" w:rsidR="008D0CAD" w:rsidRPr="002F0D73" w:rsidRDefault="008D0CAD" w:rsidP="00B31C4E">
            <w:pPr>
              <w:spacing w:before="100" w:beforeAutospacing="1" w:after="100" w:afterAutospacing="1" w:line="360" w:lineRule="auto"/>
              <w:rPr>
                <w:rFonts w:asciiTheme="majorHAnsi" w:hAnsiTheme="majorHAnsi" w:cstheme="majorHAnsi"/>
                <w:color w:val="000000"/>
                <w:sz w:val="20"/>
                <w:szCs w:val="20"/>
              </w:rPr>
            </w:pPr>
            <w:r w:rsidRPr="002F0D73">
              <w:rPr>
                <w:rFonts w:asciiTheme="majorHAnsi" w:hAnsiTheme="majorHAnsi" w:cstheme="majorHAnsi"/>
                <w:color w:val="000000"/>
                <w:sz w:val="20"/>
                <w:szCs w:val="20"/>
              </w:rPr>
              <w:t>Learner Information System (LIS)</w:t>
            </w:r>
          </w:p>
        </w:tc>
        <w:tc>
          <w:tcPr>
            <w:tcW w:w="1701" w:type="dxa"/>
            <w:noWrap/>
            <w:hideMark/>
          </w:tcPr>
          <w:p w14:paraId="0B23EEBD" w14:textId="77777777" w:rsidR="008D0CAD" w:rsidRPr="002F0D73" w:rsidRDefault="008D0CAD" w:rsidP="00B31C4E">
            <w:pPr>
              <w:spacing w:before="100" w:beforeAutospacing="1" w:after="100" w:afterAutospacing="1" w:line="360" w:lineRule="auto"/>
              <w:rPr>
                <w:rFonts w:asciiTheme="majorHAnsi" w:hAnsiTheme="majorHAnsi" w:cstheme="majorHAnsi"/>
                <w:color w:val="000000"/>
                <w:sz w:val="20"/>
                <w:szCs w:val="20"/>
              </w:rPr>
            </w:pPr>
            <w:r w:rsidRPr="002F0D73">
              <w:rPr>
                <w:rFonts w:asciiTheme="majorHAnsi" w:hAnsiTheme="majorHAnsi" w:cstheme="majorHAnsi"/>
                <w:color w:val="000000"/>
                <w:sz w:val="20"/>
                <w:szCs w:val="20"/>
              </w:rPr>
              <w:t>82</w:t>
            </w:r>
            <w:r>
              <w:rPr>
                <w:rFonts w:asciiTheme="majorHAnsi" w:hAnsiTheme="majorHAnsi" w:cstheme="majorHAnsi"/>
                <w:color w:val="000000"/>
                <w:sz w:val="20"/>
                <w:szCs w:val="20"/>
              </w:rPr>
              <w:t xml:space="preserve"> per cent</w:t>
            </w:r>
          </w:p>
        </w:tc>
        <w:tc>
          <w:tcPr>
            <w:tcW w:w="1701" w:type="dxa"/>
            <w:noWrap/>
            <w:hideMark/>
          </w:tcPr>
          <w:p w14:paraId="7C8A8161" w14:textId="77777777" w:rsidR="008D0CAD" w:rsidRPr="002F0D73" w:rsidRDefault="008D0CAD" w:rsidP="00B31C4E">
            <w:pPr>
              <w:spacing w:before="100" w:beforeAutospacing="1" w:after="100" w:afterAutospacing="1" w:line="360" w:lineRule="auto"/>
              <w:rPr>
                <w:rFonts w:asciiTheme="majorHAnsi" w:hAnsiTheme="majorHAnsi" w:cstheme="majorHAnsi"/>
                <w:color w:val="000000"/>
                <w:sz w:val="20"/>
                <w:szCs w:val="20"/>
              </w:rPr>
            </w:pPr>
            <w:r w:rsidRPr="002F0D73">
              <w:rPr>
                <w:rFonts w:asciiTheme="majorHAnsi" w:hAnsiTheme="majorHAnsi" w:cstheme="majorHAnsi"/>
                <w:color w:val="000000"/>
                <w:sz w:val="20"/>
                <w:szCs w:val="20"/>
              </w:rPr>
              <w:t>93</w:t>
            </w:r>
            <w:r>
              <w:rPr>
                <w:rFonts w:asciiTheme="majorHAnsi" w:hAnsiTheme="majorHAnsi" w:cstheme="majorHAnsi"/>
                <w:color w:val="000000"/>
                <w:sz w:val="20"/>
                <w:szCs w:val="20"/>
              </w:rPr>
              <w:t xml:space="preserve"> per cent</w:t>
            </w:r>
          </w:p>
        </w:tc>
      </w:tr>
      <w:tr w:rsidR="008D0CAD" w:rsidRPr="002F0D73" w14:paraId="6B7AE0DB" w14:textId="77777777" w:rsidTr="00F4751F">
        <w:trPr>
          <w:trHeight w:val="269"/>
        </w:trPr>
        <w:tc>
          <w:tcPr>
            <w:tcW w:w="4957" w:type="dxa"/>
            <w:noWrap/>
            <w:hideMark/>
          </w:tcPr>
          <w:p w14:paraId="5093CFB3" w14:textId="77777777" w:rsidR="008D0CAD" w:rsidRPr="002F0D73" w:rsidRDefault="008D0CAD" w:rsidP="00B31C4E">
            <w:pPr>
              <w:spacing w:before="100" w:beforeAutospacing="1" w:after="100" w:afterAutospacing="1" w:line="360" w:lineRule="auto"/>
              <w:rPr>
                <w:rFonts w:asciiTheme="majorHAnsi" w:hAnsiTheme="majorHAnsi" w:cstheme="majorHAnsi"/>
                <w:color w:val="000000"/>
                <w:sz w:val="20"/>
                <w:szCs w:val="20"/>
              </w:rPr>
            </w:pPr>
            <w:r w:rsidRPr="002F0D73">
              <w:rPr>
                <w:rFonts w:asciiTheme="majorHAnsi" w:hAnsiTheme="majorHAnsi" w:cstheme="majorHAnsi"/>
                <w:color w:val="000000"/>
                <w:sz w:val="20"/>
                <w:szCs w:val="20"/>
              </w:rPr>
              <w:t>Learning Resource (LR) Portal</w:t>
            </w:r>
          </w:p>
        </w:tc>
        <w:tc>
          <w:tcPr>
            <w:tcW w:w="1701" w:type="dxa"/>
            <w:noWrap/>
            <w:hideMark/>
          </w:tcPr>
          <w:p w14:paraId="5193EE7A" w14:textId="77777777" w:rsidR="008D0CAD" w:rsidRPr="002F0D73" w:rsidRDefault="008D0CAD" w:rsidP="00B31C4E">
            <w:pPr>
              <w:spacing w:before="100" w:beforeAutospacing="1" w:after="100" w:afterAutospacing="1" w:line="360" w:lineRule="auto"/>
              <w:rPr>
                <w:rFonts w:asciiTheme="majorHAnsi" w:hAnsiTheme="majorHAnsi" w:cstheme="majorHAnsi"/>
                <w:color w:val="000000"/>
                <w:sz w:val="20"/>
                <w:szCs w:val="20"/>
              </w:rPr>
            </w:pPr>
            <w:r w:rsidRPr="002F0D73">
              <w:rPr>
                <w:rFonts w:asciiTheme="majorHAnsi" w:hAnsiTheme="majorHAnsi" w:cstheme="majorHAnsi"/>
                <w:color w:val="000000"/>
                <w:sz w:val="20"/>
                <w:szCs w:val="20"/>
              </w:rPr>
              <w:t>43</w:t>
            </w:r>
            <w:r>
              <w:rPr>
                <w:rFonts w:asciiTheme="majorHAnsi" w:hAnsiTheme="majorHAnsi" w:cstheme="majorHAnsi"/>
                <w:color w:val="000000"/>
                <w:sz w:val="20"/>
                <w:szCs w:val="20"/>
              </w:rPr>
              <w:t xml:space="preserve"> per cent</w:t>
            </w:r>
          </w:p>
        </w:tc>
        <w:tc>
          <w:tcPr>
            <w:tcW w:w="1701" w:type="dxa"/>
            <w:noWrap/>
            <w:hideMark/>
          </w:tcPr>
          <w:p w14:paraId="3330A01A" w14:textId="77777777" w:rsidR="008D0CAD" w:rsidRPr="002F0D73" w:rsidRDefault="008D0CAD" w:rsidP="00B31C4E">
            <w:pPr>
              <w:spacing w:before="100" w:beforeAutospacing="1" w:after="100" w:afterAutospacing="1" w:line="360" w:lineRule="auto"/>
              <w:rPr>
                <w:rFonts w:asciiTheme="majorHAnsi" w:hAnsiTheme="majorHAnsi" w:cstheme="majorHAnsi"/>
                <w:color w:val="000000"/>
                <w:sz w:val="20"/>
                <w:szCs w:val="20"/>
              </w:rPr>
            </w:pPr>
            <w:r w:rsidRPr="002F0D73">
              <w:rPr>
                <w:rFonts w:asciiTheme="majorHAnsi" w:hAnsiTheme="majorHAnsi" w:cstheme="majorHAnsi"/>
                <w:color w:val="000000"/>
                <w:sz w:val="20"/>
                <w:szCs w:val="20"/>
              </w:rPr>
              <w:t>70</w:t>
            </w:r>
            <w:r>
              <w:rPr>
                <w:rFonts w:asciiTheme="majorHAnsi" w:hAnsiTheme="majorHAnsi" w:cstheme="majorHAnsi"/>
                <w:color w:val="000000"/>
                <w:sz w:val="20"/>
                <w:szCs w:val="20"/>
              </w:rPr>
              <w:t xml:space="preserve"> per cent</w:t>
            </w:r>
          </w:p>
        </w:tc>
      </w:tr>
    </w:tbl>
    <w:p w14:paraId="006471F9" w14:textId="07A1DDEB" w:rsidR="008D0CAD" w:rsidRPr="00203BEA" w:rsidRDefault="008D0CAD" w:rsidP="00B31C4E">
      <w:pPr>
        <w:spacing w:before="100" w:beforeAutospacing="1" w:after="100" w:afterAutospacing="1" w:line="360" w:lineRule="auto"/>
        <w:rPr>
          <w:rFonts w:asciiTheme="majorHAnsi" w:hAnsiTheme="majorHAnsi" w:cstheme="majorHAnsi"/>
          <w:i/>
          <w:iCs/>
          <w:sz w:val="14"/>
          <w:szCs w:val="14"/>
        </w:rPr>
      </w:pPr>
      <w:r w:rsidRPr="00B532A0">
        <w:rPr>
          <w:rFonts w:asciiTheme="majorHAnsi" w:hAnsiTheme="majorHAnsi" w:cstheme="majorHAnsi"/>
          <w:i/>
          <w:iCs/>
          <w:sz w:val="14"/>
          <w:szCs w:val="14"/>
        </w:rPr>
        <w:t>Source: 2019 and 2020 KAU Survey</w:t>
      </w:r>
    </w:p>
    <w:p w14:paraId="28751428" w14:textId="02E961F0" w:rsidR="008D0CAD" w:rsidRPr="0065651D" w:rsidRDefault="008D0CAD" w:rsidP="00DD08E3">
      <w:pPr>
        <w:pStyle w:val="Heading5"/>
        <w:numPr>
          <w:ilvl w:val="3"/>
          <w:numId w:val="165"/>
        </w:numPr>
        <w:spacing w:before="100" w:beforeAutospacing="1" w:after="100" w:afterAutospacing="1" w:line="360" w:lineRule="auto"/>
      </w:pPr>
      <w:r>
        <w:t xml:space="preserve">Access through the </w:t>
      </w:r>
      <w:r w:rsidRPr="00236998">
        <w:t>Learning Resource (LR) Portal</w:t>
      </w:r>
    </w:p>
    <w:p w14:paraId="2E930CF0" w14:textId="77777777" w:rsidR="008D0CAD" w:rsidRDefault="008D0CAD" w:rsidP="00B31C4E">
      <w:pPr>
        <w:spacing w:before="100" w:beforeAutospacing="1" w:after="100" w:afterAutospacing="1" w:line="360" w:lineRule="auto"/>
        <w:rPr>
          <w:rFonts w:asciiTheme="majorHAnsi" w:hAnsiTheme="majorHAnsi" w:cstheme="majorHAnsi"/>
        </w:rPr>
      </w:pPr>
      <w:r>
        <w:rPr>
          <w:rFonts w:asciiTheme="majorHAnsi" w:hAnsiTheme="majorHAnsi" w:cstheme="majorHAnsi"/>
        </w:rPr>
        <w:t xml:space="preserve">The LR Portal was described by one Regional Office FGD participant as follows: </w:t>
      </w:r>
    </w:p>
    <w:p w14:paraId="5A642336" w14:textId="77777777" w:rsidR="008D0CAD" w:rsidRDefault="008D0CAD" w:rsidP="002320B3">
      <w:pPr>
        <w:spacing w:after="120"/>
        <w:ind w:left="340" w:right="340"/>
        <w:rPr>
          <w:rFonts w:asciiTheme="majorHAnsi" w:hAnsiTheme="majorHAnsi" w:cstheme="majorHAnsi"/>
        </w:rPr>
      </w:pPr>
      <w:r>
        <w:rPr>
          <w:rFonts w:asciiTheme="majorHAnsi" w:hAnsiTheme="majorHAnsi" w:cstheme="majorHAnsi"/>
        </w:rPr>
        <w:t>“</w:t>
      </w:r>
      <w:r w:rsidRPr="006203B3">
        <w:rPr>
          <w:rFonts w:asciiTheme="majorHAnsi" w:hAnsiTheme="majorHAnsi" w:cstheme="majorHAnsi"/>
          <w:i/>
        </w:rPr>
        <w:t xml:space="preserve">The Learning Resource Portal is not a new system. It was piloted in STRIVE regions and introduced to the other regions during the rationalization. The LR portal system gives access to teachers </w:t>
      </w:r>
      <w:r>
        <w:rPr>
          <w:rFonts w:asciiTheme="majorHAnsi" w:hAnsiTheme="majorHAnsi" w:cstheme="majorHAnsi"/>
          <w:i/>
        </w:rPr>
        <w:t xml:space="preserve">to </w:t>
      </w:r>
      <w:r w:rsidRPr="006203B3">
        <w:rPr>
          <w:rFonts w:asciiTheme="majorHAnsi" w:hAnsiTheme="majorHAnsi" w:cstheme="majorHAnsi"/>
          <w:i/>
        </w:rPr>
        <w:t xml:space="preserve">Learning Resources developed by </w:t>
      </w:r>
      <w:r>
        <w:rPr>
          <w:rFonts w:asciiTheme="majorHAnsi" w:hAnsiTheme="majorHAnsi" w:cstheme="majorHAnsi"/>
          <w:i/>
        </w:rPr>
        <w:t>DepEd</w:t>
      </w:r>
      <w:r w:rsidRPr="006203B3">
        <w:rPr>
          <w:rFonts w:asciiTheme="majorHAnsi" w:hAnsiTheme="majorHAnsi" w:cstheme="majorHAnsi"/>
          <w:i/>
        </w:rPr>
        <w:t>. Even when there is no printed copy, through the portal the teacher may use them. Teachers are asked to register so that they can access teachers</w:t>
      </w:r>
      <w:r>
        <w:rPr>
          <w:rFonts w:asciiTheme="majorHAnsi" w:hAnsiTheme="majorHAnsi" w:cstheme="majorHAnsi"/>
          <w:i/>
        </w:rPr>
        <w:t>’</w:t>
      </w:r>
      <w:r w:rsidRPr="006203B3">
        <w:rPr>
          <w:rFonts w:asciiTheme="majorHAnsi" w:hAnsiTheme="majorHAnsi" w:cstheme="majorHAnsi"/>
          <w:i/>
        </w:rPr>
        <w:t xml:space="preserve"> guide</w:t>
      </w:r>
      <w:r>
        <w:rPr>
          <w:rFonts w:asciiTheme="majorHAnsi" w:hAnsiTheme="majorHAnsi" w:cstheme="majorHAnsi"/>
          <w:i/>
        </w:rPr>
        <w:t>s</w:t>
      </w:r>
      <w:r w:rsidRPr="006203B3">
        <w:rPr>
          <w:rFonts w:asciiTheme="majorHAnsi" w:hAnsiTheme="majorHAnsi" w:cstheme="majorHAnsi"/>
          <w:i/>
        </w:rPr>
        <w:t xml:space="preserve"> </w:t>
      </w:r>
      <w:r>
        <w:rPr>
          <w:rFonts w:asciiTheme="majorHAnsi" w:hAnsiTheme="majorHAnsi" w:cstheme="majorHAnsi"/>
          <w:i/>
        </w:rPr>
        <w:t>and</w:t>
      </w:r>
      <w:r w:rsidRPr="006203B3">
        <w:rPr>
          <w:rFonts w:asciiTheme="majorHAnsi" w:hAnsiTheme="majorHAnsi" w:cstheme="majorHAnsi"/>
          <w:i/>
        </w:rPr>
        <w:t xml:space="preserve"> other learners’ materials</w:t>
      </w:r>
      <w:r>
        <w:rPr>
          <w:rFonts w:asciiTheme="majorHAnsi" w:hAnsiTheme="majorHAnsi" w:cstheme="majorHAnsi"/>
          <w:i/>
        </w:rPr>
        <w:t>”</w:t>
      </w:r>
      <w:r w:rsidRPr="00904C34">
        <w:rPr>
          <w:rFonts w:asciiTheme="majorHAnsi" w:hAnsiTheme="majorHAnsi" w:cstheme="majorHAnsi"/>
        </w:rPr>
        <w:t>.</w:t>
      </w:r>
    </w:p>
    <w:p w14:paraId="4EA7A828" w14:textId="77777777" w:rsidR="008D0CAD" w:rsidRPr="00CC2430" w:rsidRDefault="008D0CAD" w:rsidP="00B31C4E">
      <w:pPr>
        <w:spacing w:before="100" w:beforeAutospacing="1" w:after="100" w:afterAutospacing="1" w:line="360" w:lineRule="auto"/>
        <w:contextualSpacing/>
        <w:rPr>
          <w:rFonts w:asciiTheme="majorHAnsi" w:hAnsiTheme="majorHAnsi" w:cstheme="majorHAnsi"/>
          <w:color w:val="C00000"/>
        </w:rPr>
      </w:pPr>
      <w:r>
        <w:rPr>
          <w:rFonts w:asciiTheme="majorHAnsi" w:hAnsiTheme="majorHAnsi" w:cstheme="majorHAnsi"/>
          <w:color w:val="000000" w:themeColor="text1"/>
        </w:rPr>
        <w:t xml:space="preserve">However, teachers’ access to quality teaching and learning materials </w:t>
      </w:r>
      <w:r w:rsidRPr="0010045A">
        <w:rPr>
          <w:rFonts w:asciiTheme="majorHAnsi" w:hAnsiTheme="majorHAnsi" w:cstheme="majorHAnsi"/>
          <w:color w:val="000000" w:themeColor="text1"/>
        </w:rPr>
        <w:t>t</w:t>
      </w:r>
      <w:r>
        <w:rPr>
          <w:rFonts w:asciiTheme="majorHAnsi" w:hAnsiTheme="majorHAnsi" w:cstheme="majorHAnsi"/>
          <w:color w:val="000000" w:themeColor="text1"/>
        </w:rPr>
        <w:t>hr</w:t>
      </w:r>
      <w:r w:rsidRPr="0010045A">
        <w:rPr>
          <w:rFonts w:asciiTheme="majorHAnsi" w:hAnsiTheme="majorHAnsi" w:cstheme="majorHAnsi"/>
          <w:color w:val="000000" w:themeColor="text1"/>
        </w:rPr>
        <w:t>o</w:t>
      </w:r>
      <w:r>
        <w:rPr>
          <w:rFonts w:asciiTheme="majorHAnsi" w:hAnsiTheme="majorHAnsi" w:cstheme="majorHAnsi"/>
          <w:color w:val="000000" w:themeColor="text1"/>
        </w:rPr>
        <w:t>ugh</w:t>
      </w:r>
      <w:r w:rsidRPr="0010045A">
        <w:rPr>
          <w:rFonts w:asciiTheme="majorHAnsi" w:hAnsiTheme="majorHAnsi" w:cstheme="majorHAnsi"/>
          <w:color w:val="000000" w:themeColor="text1"/>
        </w:rPr>
        <w:t xml:space="preserve"> the Learning Resource Portal is </w:t>
      </w:r>
      <w:r>
        <w:rPr>
          <w:rFonts w:asciiTheme="majorHAnsi" w:hAnsiTheme="majorHAnsi" w:cstheme="majorHAnsi"/>
          <w:color w:val="000000" w:themeColor="text1"/>
        </w:rPr>
        <w:t>hampered</w:t>
      </w:r>
      <w:r w:rsidRPr="0010045A">
        <w:rPr>
          <w:rFonts w:asciiTheme="majorHAnsi" w:hAnsiTheme="majorHAnsi" w:cstheme="majorHAnsi"/>
          <w:color w:val="000000" w:themeColor="text1"/>
        </w:rPr>
        <w:t xml:space="preserve"> by </w:t>
      </w:r>
      <w:r>
        <w:rPr>
          <w:rFonts w:asciiTheme="majorHAnsi" w:hAnsiTheme="majorHAnsi" w:cstheme="majorHAnsi"/>
          <w:color w:val="000000" w:themeColor="text1"/>
        </w:rPr>
        <w:t>several</w:t>
      </w:r>
      <w:r w:rsidRPr="0010045A">
        <w:rPr>
          <w:rFonts w:asciiTheme="majorHAnsi" w:hAnsiTheme="majorHAnsi" w:cstheme="majorHAnsi"/>
          <w:color w:val="000000" w:themeColor="text1"/>
        </w:rPr>
        <w:t xml:space="preserve"> factors:</w:t>
      </w:r>
      <w:r>
        <w:rPr>
          <w:rFonts w:asciiTheme="majorHAnsi" w:hAnsiTheme="majorHAnsi" w:cstheme="majorHAnsi"/>
          <w:color w:val="000000" w:themeColor="text1"/>
        </w:rPr>
        <w:t xml:space="preserve"> i</w:t>
      </w:r>
      <w:r w:rsidRPr="0010045A">
        <w:rPr>
          <w:rFonts w:asciiTheme="majorHAnsi" w:hAnsiTheme="majorHAnsi" w:cstheme="majorHAnsi"/>
          <w:color w:val="000000" w:themeColor="text1"/>
        </w:rPr>
        <w:t>nternet connectivity in schools or internet access of teachers;</w:t>
      </w:r>
      <w:r>
        <w:rPr>
          <w:rFonts w:asciiTheme="majorHAnsi" w:hAnsiTheme="majorHAnsi" w:cstheme="majorHAnsi"/>
          <w:color w:val="000000" w:themeColor="text1"/>
        </w:rPr>
        <w:t xml:space="preserve"> the q</w:t>
      </w:r>
      <w:r w:rsidRPr="0010045A">
        <w:rPr>
          <w:rFonts w:asciiTheme="majorHAnsi" w:hAnsiTheme="majorHAnsi" w:cstheme="majorHAnsi"/>
          <w:color w:val="000000" w:themeColor="text1"/>
        </w:rPr>
        <w:t xml:space="preserve">uality of </w:t>
      </w:r>
      <w:r>
        <w:rPr>
          <w:rFonts w:asciiTheme="majorHAnsi" w:hAnsiTheme="majorHAnsi" w:cstheme="majorHAnsi"/>
          <w:color w:val="000000" w:themeColor="text1"/>
        </w:rPr>
        <w:t xml:space="preserve">the </w:t>
      </w:r>
      <w:r w:rsidRPr="0010045A">
        <w:rPr>
          <w:rFonts w:asciiTheme="majorHAnsi" w:hAnsiTheme="majorHAnsi" w:cstheme="majorHAnsi"/>
          <w:color w:val="000000" w:themeColor="text1"/>
        </w:rPr>
        <w:t xml:space="preserve">resources available in the portal; </w:t>
      </w:r>
      <w:r>
        <w:rPr>
          <w:rFonts w:asciiTheme="majorHAnsi" w:hAnsiTheme="majorHAnsi" w:cstheme="majorHAnsi"/>
          <w:color w:val="000000" w:themeColor="text1"/>
        </w:rPr>
        <w:t xml:space="preserve">ineffective cataloguing of materials (making search time longer); </w:t>
      </w:r>
      <w:r w:rsidRPr="0010045A">
        <w:rPr>
          <w:rFonts w:asciiTheme="majorHAnsi" w:hAnsiTheme="majorHAnsi" w:cstheme="majorHAnsi"/>
          <w:color w:val="000000" w:themeColor="text1"/>
        </w:rPr>
        <w:t>and</w:t>
      </w:r>
      <w:r>
        <w:rPr>
          <w:rFonts w:asciiTheme="majorHAnsi" w:hAnsiTheme="majorHAnsi" w:cstheme="majorHAnsi"/>
          <w:color w:val="000000" w:themeColor="text1"/>
        </w:rPr>
        <w:t xml:space="preserve"> low c</w:t>
      </w:r>
      <w:r w:rsidRPr="0010045A">
        <w:rPr>
          <w:rFonts w:asciiTheme="majorHAnsi" w:hAnsiTheme="majorHAnsi" w:cstheme="majorHAnsi"/>
          <w:color w:val="000000" w:themeColor="text1"/>
        </w:rPr>
        <w:t>apacity of the system to handle user traffic.</w:t>
      </w:r>
    </w:p>
    <w:p w14:paraId="10EAE2B2" w14:textId="24408735" w:rsidR="008D0CAD" w:rsidRPr="005F5DF4" w:rsidRDefault="008D0CAD" w:rsidP="00DD08E3">
      <w:pPr>
        <w:pStyle w:val="Heading3"/>
        <w:numPr>
          <w:ilvl w:val="1"/>
          <w:numId w:val="165"/>
        </w:numPr>
        <w:spacing w:before="100" w:beforeAutospacing="1" w:after="100" w:afterAutospacing="1" w:line="360" w:lineRule="auto"/>
        <w:contextualSpacing/>
      </w:pPr>
      <w:bookmarkStart w:id="122" w:name="_Toc10722992"/>
      <w:bookmarkStart w:id="123" w:name="_Toc12711994"/>
      <w:bookmarkStart w:id="124" w:name="_Toc13216278"/>
      <w:bookmarkStart w:id="125" w:name="_Toc69820441"/>
      <w:r w:rsidRPr="00422686">
        <w:t>Student Participation</w:t>
      </w:r>
      <w:bookmarkEnd w:id="122"/>
      <w:bookmarkEnd w:id="123"/>
      <w:bookmarkEnd w:id="124"/>
      <w:bookmarkEnd w:id="125"/>
    </w:p>
    <w:p w14:paraId="1E078A2D" w14:textId="77777777" w:rsidR="008D0CAD" w:rsidRDefault="008D0CAD" w:rsidP="00B31C4E">
      <w:pPr>
        <w:pStyle w:val="BodyText"/>
        <w:spacing w:before="100" w:beforeAutospacing="1" w:after="100" w:afterAutospacing="1" w:line="360" w:lineRule="auto"/>
        <w:contextualSpacing/>
        <w:rPr>
          <w:rFonts w:asciiTheme="majorHAnsi" w:hAnsiTheme="majorHAnsi" w:cstheme="majorHAnsi"/>
          <w:iCs/>
          <w:color w:val="000000" w:themeColor="text1"/>
          <w:sz w:val="24"/>
          <w:szCs w:val="24"/>
        </w:rPr>
      </w:pPr>
      <w:r>
        <w:rPr>
          <w:rFonts w:asciiTheme="majorHAnsi" w:hAnsiTheme="majorHAnsi" w:cstheme="majorHAnsi"/>
          <w:iCs/>
          <w:color w:val="000000" w:themeColor="text1"/>
          <w:sz w:val="24"/>
          <w:szCs w:val="24"/>
        </w:rPr>
        <w:t>Key Evaluation Question No. 3 asks, “</w:t>
      </w:r>
      <w:r w:rsidRPr="003732AD">
        <w:rPr>
          <w:rFonts w:asciiTheme="majorHAnsi" w:hAnsiTheme="majorHAnsi" w:cstheme="majorHAnsi"/>
          <w:bCs/>
          <w:i/>
          <w:iCs/>
          <w:sz w:val="24"/>
          <w:szCs w:val="24"/>
        </w:rPr>
        <w:t xml:space="preserve">To what extent and how did </w:t>
      </w:r>
      <w:r w:rsidRPr="003732AD">
        <w:rPr>
          <w:rFonts w:asciiTheme="majorHAnsi" w:hAnsiTheme="majorHAnsi" w:cstheme="majorHAnsi"/>
          <w:bCs/>
          <w:i/>
          <w:iCs/>
          <w:color w:val="000000" w:themeColor="text1"/>
          <w:sz w:val="24"/>
          <w:szCs w:val="24"/>
        </w:rPr>
        <w:t>BEST interventions increase the number of boys and girls participating and completing basic education in target areas?</w:t>
      </w:r>
      <w:r>
        <w:rPr>
          <w:rFonts w:asciiTheme="majorHAnsi" w:hAnsiTheme="majorHAnsi" w:cstheme="majorHAnsi"/>
          <w:bCs/>
          <w:i/>
          <w:iCs/>
          <w:color w:val="000000" w:themeColor="text1"/>
          <w:sz w:val="24"/>
          <w:szCs w:val="24"/>
        </w:rPr>
        <w:t>”</w:t>
      </w:r>
      <w:r>
        <w:rPr>
          <w:rFonts w:asciiTheme="majorHAnsi" w:hAnsiTheme="majorHAnsi" w:cstheme="majorHAnsi"/>
          <w:iCs/>
          <w:color w:val="000000" w:themeColor="text1"/>
          <w:sz w:val="24"/>
          <w:szCs w:val="24"/>
        </w:rPr>
        <w:t xml:space="preserve"> </w:t>
      </w:r>
      <w:r w:rsidRPr="008F39E9">
        <w:rPr>
          <w:rFonts w:asciiTheme="majorHAnsi" w:hAnsiTheme="majorHAnsi" w:cstheme="majorHAnsi"/>
          <w:bCs/>
          <w:color w:val="000000" w:themeColor="text1"/>
          <w:sz w:val="24"/>
          <w:szCs w:val="24"/>
        </w:rPr>
        <w:t xml:space="preserve">The </w:t>
      </w:r>
      <w:r w:rsidRPr="008F39E9">
        <w:rPr>
          <w:rFonts w:asciiTheme="majorHAnsi" w:hAnsiTheme="majorHAnsi" w:cstheme="majorHAnsi"/>
          <w:iCs/>
          <w:sz w:val="24"/>
          <w:szCs w:val="24"/>
        </w:rPr>
        <w:t xml:space="preserve">EOPO </w:t>
      </w:r>
      <w:r>
        <w:rPr>
          <w:rFonts w:asciiTheme="majorHAnsi" w:hAnsiTheme="majorHAnsi" w:cstheme="majorHAnsi"/>
          <w:iCs/>
          <w:sz w:val="24"/>
          <w:szCs w:val="24"/>
        </w:rPr>
        <w:t>being evaluated under this KEQ was that “</w:t>
      </w:r>
      <w:r w:rsidRPr="008F39E9">
        <w:rPr>
          <w:rFonts w:asciiTheme="majorHAnsi" w:hAnsiTheme="majorHAnsi" w:cstheme="majorHAnsi"/>
          <w:i/>
          <w:iCs/>
          <w:sz w:val="24"/>
          <w:szCs w:val="24"/>
        </w:rPr>
        <w:t xml:space="preserve">More boys and girls participate </w:t>
      </w:r>
      <w:r w:rsidRPr="00A53436">
        <w:rPr>
          <w:rFonts w:asciiTheme="majorHAnsi" w:hAnsiTheme="majorHAnsi" w:cstheme="majorHAnsi"/>
          <w:i/>
          <w:iCs/>
          <w:color w:val="000000" w:themeColor="text1"/>
          <w:sz w:val="24"/>
          <w:szCs w:val="24"/>
        </w:rPr>
        <w:t>and complete a basic education in target areas”</w:t>
      </w:r>
      <w:r>
        <w:rPr>
          <w:rFonts w:asciiTheme="majorHAnsi" w:hAnsiTheme="majorHAnsi" w:cstheme="majorHAnsi"/>
          <w:i/>
          <w:iCs/>
          <w:color w:val="000000" w:themeColor="text1"/>
          <w:sz w:val="24"/>
          <w:szCs w:val="24"/>
        </w:rPr>
        <w:t xml:space="preserve"> </w:t>
      </w:r>
      <w:r>
        <w:rPr>
          <w:rFonts w:asciiTheme="majorHAnsi" w:hAnsiTheme="majorHAnsi" w:cstheme="majorHAnsi"/>
          <w:iCs/>
          <w:color w:val="000000" w:themeColor="text1"/>
          <w:sz w:val="24"/>
          <w:szCs w:val="24"/>
        </w:rPr>
        <w:t>(</w:t>
      </w:r>
      <w:r w:rsidRPr="00A53436">
        <w:rPr>
          <w:rFonts w:asciiTheme="majorHAnsi" w:hAnsiTheme="majorHAnsi" w:cstheme="majorHAnsi"/>
          <w:iCs/>
          <w:color w:val="000000" w:themeColor="text1"/>
          <w:sz w:val="24"/>
          <w:szCs w:val="24"/>
        </w:rPr>
        <w:t xml:space="preserve">Figure </w:t>
      </w:r>
      <w:r>
        <w:rPr>
          <w:rFonts w:asciiTheme="majorHAnsi" w:hAnsiTheme="majorHAnsi" w:cstheme="majorHAnsi"/>
          <w:iCs/>
          <w:color w:val="000000" w:themeColor="text1"/>
          <w:sz w:val="24"/>
          <w:szCs w:val="24"/>
        </w:rPr>
        <w:t>11)</w:t>
      </w:r>
      <w:r>
        <w:rPr>
          <w:rFonts w:asciiTheme="majorHAnsi" w:hAnsiTheme="majorHAnsi" w:cstheme="majorHAnsi"/>
          <w:i/>
          <w:iCs/>
          <w:color w:val="000000" w:themeColor="text1"/>
          <w:sz w:val="24"/>
          <w:szCs w:val="24"/>
        </w:rPr>
        <w:t>.</w:t>
      </w:r>
    </w:p>
    <w:p w14:paraId="224CAD14" w14:textId="7C3B425A" w:rsidR="008D0CAD" w:rsidRPr="00104AA8" w:rsidRDefault="008D0CAD" w:rsidP="00B31C4E">
      <w:pPr>
        <w:spacing w:before="100" w:beforeAutospacing="1" w:after="100" w:afterAutospacing="1" w:line="360" w:lineRule="auto"/>
        <w:contextualSpacing/>
        <w:rPr>
          <w:rFonts w:asciiTheme="majorHAnsi" w:hAnsiTheme="majorHAnsi" w:cstheme="majorHAnsi"/>
          <w:i/>
          <w:color w:val="44546A" w:themeColor="text2"/>
          <w:sz w:val="22"/>
          <w:szCs w:val="22"/>
        </w:rPr>
      </w:pPr>
      <w:bookmarkStart w:id="126" w:name="_Toc14028939"/>
      <w:bookmarkStart w:id="127" w:name="_Toc71616538"/>
      <w:r w:rsidRPr="00104AA8">
        <w:rPr>
          <w:rFonts w:asciiTheme="majorHAnsi" w:hAnsiTheme="majorHAnsi" w:cstheme="majorHAnsi"/>
          <w:i/>
          <w:color w:val="44546A" w:themeColor="text2"/>
          <w:sz w:val="22"/>
          <w:szCs w:val="22"/>
        </w:rPr>
        <w:t xml:space="preserve">Figure </w:t>
      </w:r>
      <w:r w:rsidRPr="00104AA8">
        <w:rPr>
          <w:rFonts w:asciiTheme="majorHAnsi" w:hAnsiTheme="majorHAnsi" w:cstheme="majorHAnsi"/>
          <w:i/>
          <w:color w:val="44546A" w:themeColor="text2"/>
          <w:sz w:val="22"/>
          <w:szCs w:val="22"/>
        </w:rPr>
        <w:fldChar w:fldCharType="begin"/>
      </w:r>
      <w:r w:rsidRPr="00104AA8">
        <w:rPr>
          <w:rFonts w:asciiTheme="majorHAnsi" w:hAnsiTheme="majorHAnsi" w:cstheme="majorHAnsi"/>
          <w:i/>
          <w:color w:val="44546A" w:themeColor="text2"/>
          <w:sz w:val="22"/>
          <w:szCs w:val="22"/>
        </w:rPr>
        <w:instrText xml:space="preserve"> SEQ Figure \* ARABIC </w:instrText>
      </w:r>
      <w:r w:rsidRPr="00104AA8">
        <w:rPr>
          <w:rFonts w:asciiTheme="majorHAnsi" w:hAnsiTheme="majorHAnsi" w:cstheme="majorHAnsi"/>
          <w:i/>
          <w:color w:val="44546A" w:themeColor="text2"/>
          <w:sz w:val="22"/>
          <w:szCs w:val="22"/>
        </w:rPr>
        <w:fldChar w:fldCharType="separate"/>
      </w:r>
      <w:r w:rsidR="00D6133D">
        <w:rPr>
          <w:rFonts w:asciiTheme="majorHAnsi" w:hAnsiTheme="majorHAnsi" w:cstheme="majorHAnsi"/>
          <w:i/>
          <w:noProof/>
          <w:color w:val="44546A" w:themeColor="text2"/>
          <w:sz w:val="22"/>
          <w:szCs w:val="22"/>
        </w:rPr>
        <w:t>11</w:t>
      </w:r>
      <w:r w:rsidRPr="00104AA8">
        <w:rPr>
          <w:rFonts w:asciiTheme="majorHAnsi" w:hAnsiTheme="majorHAnsi" w:cstheme="majorHAnsi"/>
          <w:i/>
          <w:color w:val="44546A" w:themeColor="text2"/>
          <w:sz w:val="22"/>
          <w:szCs w:val="22"/>
        </w:rPr>
        <w:fldChar w:fldCharType="end"/>
      </w:r>
      <w:r w:rsidRPr="00104AA8">
        <w:rPr>
          <w:rFonts w:asciiTheme="majorHAnsi" w:hAnsiTheme="majorHAnsi" w:cstheme="majorHAnsi"/>
          <w:i/>
          <w:color w:val="44546A" w:themeColor="text2"/>
          <w:sz w:val="22"/>
          <w:szCs w:val="22"/>
        </w:rPr>
        <w:t xml:space="preserve">. </w:t>
      </w:r>
      <w:bookmarkEnd w:id="126"/>
      <w:r w:rsidRPr="00104AA8">
        <w:rPr>
          <w:rFonts w:asciiTheme="majorHAnsi" w:hAnsiTheme="majorHAnsi" w:cstheme="majorHAnsi"/>
          <w:i/>
          <w:color w:val="44546A" w:themeColor="text2"/>
          <w:sz w:val="22"/>
          <w:szCs w:val="22"/>
        </w:rPr>
        <w:t>Results Chain for EOPO 2</w:t>
      </w:r>
      <w:bookmarkEnd w:id="127"/>
    </w:p>
    <w:p w14:paraId="72988BBD" w14:textId="77777777" w:rsidR="0017212A" w:rsidRDefault="008D0CAD" w:rsidP="00B31C4E">
      <w:pPr>
        <w:pStyle w:val="BodyText"/>
        <w:spacing w:before="100" w:beforeAutospacing="1" w:after="100" w:afterAutospacing="1" w:line="360" w:lineRule="auto"/>
        <w:contextualSpacing/>
        <w:rPr>
          <w:rFonts w:asciiTheme="majorHAnsi" w:hAnsiTheme="majorHAnsi" w:cstheme="majorHAnsi"/>
          <w:bCs/>
          <w:color w:val="000000" w:themeColor="text1"/>
          <w:sz w:val="24"/>
          <w:szCs w:val="24"/>
        </w:rPr>
      </w:pPr>
      <w:r>
        <w:rPr>
          <w:rFonts w:asciiTheme="majorHAnsi" w:hAnsiTheme="majorHAnsi" w:cstheme="majorHAnsi"/>
          <w:noProof/>
          <w:sz w:val="24"/>
          <w:szCs w:val="24"/>
          <w:lang w:val="en-AU" w:eastAsia="en-AU"/>
        </w:rPr>
        <w:drawing>
          <wp:inline distT="0" distB="0" distL="0" distR="0" wp14:anchorId="4C0DDE8C" wp14:editId="34F53ED2">
            <wp:extent cx="3378676" cy="1720311"/>
            <wp:effectExtent l="0" t="0" r="0" b="0"/>
            <wp:docPr id="38" name="Picture 38" descr="BEST Theory of Change Illustration for End of Program Objective (EOPO2), with corresponding immediate and intermediate outco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BEST Theory of Change Illustration for End of Program Objective (EOPO2), with corresponding immediate and intermediate outcomes. "/>
                    <pic:cNvPicPr/>
                  </pic:nvPicPr>
                  <pic:blipFill rotWithShape="1">
                    <a:blip r:embed="rId33" cstate="print">
                      <a:extLst>
                        <a:ext uri="{28A0092B-C50C-407E-A947-70E740481C1C}">
                          <a14:useLocalDpi xmlns:a14="http://schemas.microsoft.com/office/drawing/2010/main" val="0"/>
                        </a:ext>
                      </a:extLst>
                    </a:blip>
                    <a:srcRect l="40903" t="4841" b="42068"/>
                    <a:stretch/>
                  </pic:blipFill>
                  <pic:spPr bwMode="auto">
                    <a:xfrm>
                      <a:off x="0" y="0"/>
                      <a:ext cx="3408672" cy="1735584"/>
                    </a:xfrm>
                    <a:prstGeom prst="rect">
                      <a:avLst/>
                    </a:prstGeom>
                    <a:ln>
                      <a:noFill/>
                    </a:ln>
                    <a:extLst>
                      <a:ext uri="{53640926-AAD7-44D8-BBD7-CCE9431645EC}">
                        <a14:shadowObscured xmlns:a14="http://schemas.microsoft.com/office/drawing/2010/main"/>
                      </a:ext>
                    </a:extLst>
                  </pic:spPr>
                </pic:pic>
              </a:graphicData>
            </a:graphic>
          </wp:inline>
        </w:drawing>
      </w:r>
    </w:p>
    <w:p w14:paraId="6135C9B2" w14:textId="45DA98B8" w:rsidR="008D0CAD" w:rsidRPr="00EB7E07" w:rsidRDefault="008D0CAD" w:rsidP="00B31C4E">
      <w:pPr>
        <w:pStyle w:val="BodyText"/>
        <w:spacing w:before="100" w:beforeAutospacing="1" w:after="100" w:afterAutospacing="1" w:line="360" w:lineRule="auto"/>
        <w:contextualSpacing/>
        <w:rPr>
          <w:rFonts w:asciiTheme="majorHAnsi" w:hAnsiTheme="majorHAnsi" w:cstheme="majorHAnsi"/>
          <w:sz w:val="24"/>
          <w:szCs w:val="24"/>
        </w:rPr>
      </w:pPr>
      <w:r>
        <w:rPr>
          <w:rFonts w:asciiTheme="majorHAnsi" w:hAnsiTheme="majorHAnsi" w:cstheme="majorHAnsi"/>
          <w:bCs/>
          <w:color w:val="000000" w:themeColor="text1"/>
          <w:sz w:val="24"/>
          <w:szCs w:val="24"/>
        </w:rPr>
        <w:t xml:space="preserve">EOPO 2 </w:t>
      </w:r>
      <w:r>
        <w:rPr>
          <w:rFonts w:asciiTheme="majorHAnsi" w:hAnsiTheme="majorHAnsi" w:cstheme="majorHAnsi"/>
          <w:color w:val="000000" w:themeColor="text1"/>
          <w:sz w:val="24"/>
          <w:szCs w:val="24"/>
        </w:rPr>
        <w:t>was expected to</w:t>
      </w:r>
      <w:r w:rsidRPr="00EB7E07">
        <w:rPr>
          <w:rFonts w:asciiTheme="majorHAnsi" w:hAnsiTheme="majorHAnsi" w:cstheme="majorHAnsi"/>
          <w:color w:val="000000" w:themeColor="text1"/>
          <w:sz w:val="24"/>
          <w:szCs w:val="24"/>
        </w:rPr>
        <w:t xml:space="preserve"> be reali</w:t>
      </w:r>
      <w:r>
        <w:rPr>
          <w:rFonts w:asciiTheme="majorHAnsi" w:hAnsiTheme="majorHAnsi" w:cstheme="majorHAnsi"/>
          <w:color w:val="000000" w:themeColor="text1"/>
          <w:sz w:val="24"/>
          <w:szCs w:val="24"/>
        </w:rPr>
        <w:t>s</w:t>
      </w:r>
      <w:r w:rsidRPr="00EB7E07">
        <w:rPr>
          <w:rFonts w:asciiTheme="majorHAnsi" w:hAnsiTheme="majorHAnsi" w:cstheme="majorHAnsi"/>
          <w:color w:val="000000" w:themeColor="text1"/>
          <w:sz w:val="24"/>
          <w:szCs w:val="24"/>
        </w:rPr>
        <w:t>ed when</w:t>
      </w:r>
      <w:r>
        <w:rPr>
          <w:rFonts w:asciiTheme="majorHAnsi" w:hAnsiTheme="majorHAnsi" w:cstheme="majorHAnsi"/>
          <w:i/>
          <w:iCs/>
          <w:color w:val="000000" w:themeColor="text1"/>
          <w:sz w:val="24"/>
          <w:szCs w:val="24"/>
        </w:rPr>
        <w:t xml:space="preserve"> </w:t>
      </w:r>
      <w:r>
        <w:rPr>
          <w:rFonts w:asciiTheme="majorHAnsi" w:hAnsiTheme="majorHAnsi" w:cstheme="majorHAnsi"/>
          <w:color w:val="000000" w:themeColor="text1"/>
          <w:sz w:val="24"/>
          <w:szCs w:val="24"/>
        </w:rPr>
        <w:t>e</w:t>
      </w:r>
      <w:r w:rsidRPr="00EB7E07">
        <w:rPr>
          <w:rFonts w:asciiTheme="majorHAnsi" w:hAnsiTheme="majorHAnsi" w:cstheme="majorHAnsi"/>
          <w:color w:val="000000" w:themeColor="text1"/>
          <w:sz w:val="24"/>
          <w:szCs w:val="24"/>
        </w:rPr>
        <w:t>ducation leaders and man</w:t>
      </w:r>
      <w:r>
        <w:rPr>
          <w:rFonts w:asciiTheme="majorHAnsi" w:hAnsiTheme="majorHAnsi" w:cstheme="majorHAnsi"/>
          <w:color w:val="000000" w:themeColor="text1"/>
          <w:sz w:val="24"/>
          <w:szCs w:val="24"/>
        </w:rPr>
        <w:t>a</w:t>
      </w:r>
      <w:r w:rsidRPr="00EB7E07">
        <w:rPr>
          <w:rFonts w:asciiTheme="majorHAnsi" w:hAnsiTheme="majorHAnsi" w:cstheme="majorHAnsi"/>
          <w:color w:val="000000" w:themeColor="text1"/>
          <w:sz w:val="24"/>
          <w:szCs w:val="24"/>
        </w:rPr>
        <w:t>gers appl</w:t>
      </w:r>
      <w:r>
        <w:rPr>
          <w:rFonts w:asciiTheme="majorHAnsi" w:hAnsiTheme="majorHAnsi" w:cstheme="majorHAnsi"/>
          <w:color w:val="000000" w:themeColor="text1"/>
          <w:sz w:val="24"/>
          <w:szCs w:val="24"/>
        </w:rPr>
        <w:t>ied</w:t>
      </w:r>
      <w:r w:rsidRPr="00EB7E07">
        <w:rPr>
          <w:rFonts w:asciiTheme="majorHAnsi" w:hAnsiTheme="majorHAnsi" w:cstheme="majorHAnsi"/>
          <w:color w:val="000000" w:themeColor="text1"/>
          <w:sz w:val="24"/>
          <w:szCs w:val="24"/>
        </w:rPr>
        <w:t xml:space="preserve"> the</w:t>
      </w:r>
      <w:r>
        <w:rPr>
          <w:rFonts w:asciiTheme="majorHAnsi" w:hAnsiTheme="majorHAnsi" w:cstheme="majorHAnsi"/>
          <w:color w:val="000000" w:themeColor="text1"/>
          <w:sz w:val="24"/>
          <w:szCs w:val="24"/>
        </w:rPr>
        <w:t>ir</w:t>
      </w:r>
      <w:r>
        <w:rPr>
          <w:rFonts w:asciiTheme="majorHAnsi" w:hAnsiTheme="majorHAnsi" w:cstheme="majorHAnsi"/>
          <w:i/>
          <w:iCs/>
          <w:color w:val="000000" w:themeColor="text1"/>
          <w:sz w:val="24"/>
          <w:szCs w:val="24"/>
        </w:rPr>
        <w:t xml:space="preserve"> </w:t>
      </w:r>
      <w:r w:rsidRPr="00CD7EBC">
        <w:rPr>
          <w:rFonts w:asciiTheme="majorHAnsi" w:hAnsiTheme="majorHAnsi" w:cstheme="majorHAnsi"/>
          <w:color w:val="000000" w:themeColor="text1"/>
          <w:sz w:val="24"/>
          <w:szCs w:val="24"/>
        </w:rPr>
        <w:t>newly acquired competencies and</w:t>
      </w:r>
      <w:r>
        <w:rPr>
          <w:rFonts w:asciiTheme="majorHAnsi" w:hAnsiTheme="majorHAnsi" w:cstheme="majorHAnsi"/>
          <w:i/>
          <w:iCs/>
          <w:color w:val="000000" w:themeColor="text1"/>
          <w:sz w:val="24"/>
          <w:szCs w:val="24"/>
        </w:rPr>
        <w:t xml:space="preserve"> </w:t>
      </w:r>
      <w:r>
        <w:rPr>
          <w:rFonts w:asciiTheme="majorHAnsi" w:hAnsiTheme="majorHAnsi" w:cstheme="majorHAnsi"/>
          <w:color w:val="000000" w:themeColor="text1"/>
          <w:sz w:val="24"/>
          <w:szCs w:val="24"/>
        </w:rPr>
        <w:t>approaches introduced through the reforms</w:t>
      </w:r>
      <w:r w:rsidRPr="00A53436">
        <w:rPr>
          <w:rFonts w:asciiTheme="majorHAnsi" w:hAnsiTheme="majorHAnsi" w:cstheme="majorHAnsi"/>
          <w:i/>
          <w:iCs/>
          <w:color w:val="000000" w:themeColor="text1"/>
          <w:sz w:val="24"/>
          <w:szCs w:val="24"/>
        </w:rPr>
        <w:t>.</w:t>
      </w:r>
      <w:r w:rsidR="00D434EB">
        <w:rPr>
          <w:rFonts w:asciiTheme="majorHAnsi" w:hAnsiTheme="majorHAnsi" w:cstheme="majorHAnsi"/>
          <w:i/>
          <w:iCs/>
          <w:color w:val="000000" w:themeColor="text1"/>
          <w:sz w:val="24"/>
          <w:szCs w:val="24"/>
        </w:rPr>
        <w:t xml:space="preserve"> </w:t>
      </w:r>
      <w:r>
        <w:rPr>
          <w:rFonts w:asciiTheme="majorHAnsi" w:hAnsiTheme="majorHAnsi" w:cstheme="majorHAnsi"/>
          <w:iCs/>
          <w:color w:val="000000" w:themeColor="text1"/>
          <w:sz w:val="24"/>
          <w:szCs w:val="24"/>
        </w:rPr>
        <w:t>Three BEST program interventions were in turn expected to directly contribute to the attainment of Intermediate Outcome 2 namely: SBM, Classroom Construction, and GEDSI interventions</w:t>
      </w:r>
      <w:r w:rsidRPr="00A53436">
        <w:rPr>
          <w:rFonts w:asciiTheme="majorHAnsi" w:hAnsiTheme="majorHAnsi" w:cstheme="majorHAnsi"/>
          <w:iCs/>
          <w:color w:val="000000" w:themeColor="text1"/>
          <w:sz w:val="24"/>
          <w:szCs w:val="24"/>
        </w:rPr>
        <w:t>.</w:t>
      </w:r>
    </w:p>
    <w:p w14:paraId="67878B34" w14:textId="412C321C" w:rsidR="008D0CAD" w:rsidRPr="008C061C" w:rsidRDefault="008D0CAD" w:rsidP="008C061C">
      <w:pPr>
        <w:pStyle w:val="Heading6"/>
      </w:pPr>
      <w:r w:rsidRPr="008C061C">
        <w:rPr>
          <w:rStyle w:val="Heading6Char"/>
          <w:i/>
        </w:rPr>
        <w:t>Education Key Performance Indicators</w:t>
      </w:r>
    </w:p>
    <w:p w14:paraId="55F4260D" w14:textId="19A0F74E" w:rsidR="008D0CAD" w:rsidRPr="005F1ABD" w:rsidRDefault="008D0CAD" w:rsidP="00B31C4E">
      <w:pPr>
        <w:pStyle w:val="BodyText"/>
        <w:spacing w:before="100" w:beforeAutospacing="1" w:after="100" w:afterAutospacing="1" w:line="360" w:lineRule="auto"/>
        <w:rPr>
          <w:rFonts w:asciiTheme="majorHAnsi" w:hAnsiTheme="majorHAnsi" w:cstheme="majorHAnsi"/>
          <w:iCs/>
          <w:color w:val="000000" w:themeColor="text1"/>
          <w:sz w:val="24"/>
          <w:szCs w:val="24"/>
        </w:rPr>
      </w:pPr>
      <w:r w:rsidRPr="00EB7E07">
        <w:rPr>
          <w:rFonts w:asciiTheme="majorHAnsi" w:hAnsiTheme="majorHAnsi" w:cstheme="majorHAnsi"/>
          <w:iCs/>
          <w:color w:val="000000" w:themeColor="text1"/>
          <w:sz w:val="24"/>
          <w:szCs w:val="24"/>
        </w:rPr>
        <w:t xml:space="preserve">Because of limited data, statistical analysis </w:t>
      </w:r>
      <w:r>
        <w:rPr>
          <w:rFonts w:asciiTheme="majorHAnsi" w:hAnsiTheme="majorHAnsi" w:cstheme="majorHAnsi"/>
          <w:iCs/>
          <w:color w:val="000000" w:themeColor="text1"/>
          <w:sz w:val="24"/>
          <w:szCs w:val="24"/>
        </w:rPr>
        <w:t>to assess the effect of the BEST Program o</w:t>
      </w:r>
      <w:r w:rsidRPr="00EB7E07">
        <w:rPr>
          <w:rFonts w:asciiTheme="majorHAnsi" w:hAnsiTheme="majorHAnsi" w:cstheme="majorHAnsi"/>
          <w:iCs/>
          <w:color w:val="000000" w:themeColor="text1"/>
          <w:sz w:val="24"/>
          <w:szCs w:val="24"/>
        </w:rPr>
        <w:t xml:space="preserve">n student participation </w:t>
      </w:r>
      <w:r>
        <w:rPr>
          <w:rFonts w:asciiTheme="majorHAnsi" w:hAnsiTheme="majorHAnsi" w:cstheme="majorHAnsi"/>
          <w:iCs/>
          <w:color w:val="000000" w:themeColor="text1"/>
          <w:sz w:val="24"/>
          <w:szCs w:val="24"/>
        </w:rPr>
        <w:t xml:space="preserve">could not be undertaken </w:t>
      </w:r>
      <w:r w:rsidRPr="005F1ABD">
        <w:rPr>
          <w:rFonts w:asciiTheme="majorHAnsi" w:hAnsiTheme="majorHAnsi" w:cstheme="majorHAnsi"/>
          <w:iCs/>
          <w:color w:val="000000" w:themeColor="text1"/>
          <w:sz w:val="24"/>
          <w:szCs w:val="24"/>
        </w:rPr>
        <w:t xml:space="preserve">as planned. Instead, </w:t>
      </w:r>
      <w:r w:rsidRPr="005F1ABD">
        <w:rPr>
          <w:rFonts w:asciiTheme="majorHAnsi" w:hAnsiTheme="majorHAnsi" w:cstheme="majorHAnsi"/>
          <w:iCs/>
          <w:sz w:val="24"/>
          <w:szCs w:val="24"/>
        </w:rPr>
        <w:t xml:space="preserve">student participation in BEST supported regions </w:t>
      </w:r>
      <w:r>
        <w:rPr>
          <w:rFonts w:asciiTheme="majorHAnsi" w:hAnsiTheme="majorHAnsi" w:cstheme="majorHAnsi"/>
          <w:iCs/>
          <w:sz w:val="24"/>
          <w:szCs w:val="24"/>
        </w:rPr>
        <w:t>is</w:t>
      </w:r>
      <w:r w:rsidRPr="005F1ABD">
        <w:rPr>
          <w:rFonts w:asciiTheme="majorHAnsi" w:hAnsiTheme="majorHAnsi" w:cstheme="majorHAnsi"/>
          <w:iCs/>
          <w:sz w:val="24"/>
          <w:szCs w:val="24"/>
        </w:rPr>
        <w:t xml:space="preserve"> presented using average change in enrollment and attendance rates, using data from the 25 schools. In addition, key </w:t>
      </w:r>
      <w:r w:rsidRPr="005F1ABD">
        <w:rPr>
          <w:rFonts w:asciiTheme="majorHAnsi" w:eastAsiaTheme="minorHAnsi" w:hAnsiTheme="majorHAnsi" w:cstheme="majorHAnsi"/>
          <w:sz w:val="24"/>
          <w:szCs w:val="24"/>
        </w:rPr>
        <w:t xml:space="preserve">student participation </w:t>
      </w:r>
      <w:r w:rsidRPr="005F1ABD">
        <w:rPr>
          <w:rFonts w:asciiTheme="majorHAnsi" w:hAnsiTheme="majorHAnsi" w:cstheme="majorHAnsi"/>
          <w:iCs/>
          <w:sz w:val="24"/>
          <w:szCs w:val="24"/>
        </w:rPr>
        <w:t xml:space="preserve">indicators of BEST-assisted Regions and Divisions are presented </w:t>
      </w:r>
      <w:r w:rsidRPr="005F1ABD">
        <w:rPr>
          <w:rFonts w:asciiTheme="majorHAnsi" w:eastAsiaTheme="minorHAnsi" w:hAnsiTheme="majorHAnsi" w:cstheme="majorHAnsi"/>
          <w:sz w:val="24"/>
          <w:szCs w:val="24"/>
        </w:rPr>
        <w:t>using data from</w:t>
      </w:r>
      <w:r>
        <w:rPr>
          <w:rFonts w:asciiTheme="majorHAnsi" w:eastAsiaTheme="minorHAnsi" w:hAnsiTheme="majorHAnsi" w:cstheme="majorHAnsi"/>
          <w:sz w:val="24"/>
          <w:szCs w:val="24"/>
        </w:rPr>
        <w:t xml:space="preserve"> the</w:t>
      </w:r>
      <w:r w:rsidRPr="005F1ABD">
        <w:rPr>
          <w:rFonts w:asciiTheme="majorHAnsi" w:eastAsiaTheme="minorHAnsi" w:hAnsiTheme="majorHAnsi" w:cstheme="majorHAnsi"/>
          <w:sz w:val="24"/>
          <w:szCs w:val="24"/>
        </w:rPr>
        <w:t xml:space="preserve"> E</w:t>
      </w:r>
      <w:r>
        <w:rPr>
          <w:rFonts w:asciiTheme="majorHAnsi" w:eastAsiaTheme="minorHAnsi" w:hAnsiTheme="majorHAnsi" w:cstheme="majorHAnsi"/>
          <w:sz w:val="24"/>
          <w:szCs w:val="24"/>
        </w:rPr>
        <w:t xml:space="preserve">nhanced </w:t>
      </w:r>
      <w:r w:rsidRPr="005F1ABD">
        <w:rPr>
          <w:rFonts w:asciiTheme="majorHAnsi" w:eastAsiaTheme="minorHAnsi" w:hAnsiTheme="majorHAnsi" w:cstheme="majorHAnsi"/>
          <w:sz w:val="24"/>
          <w:szCs w:val="24"/>
        </w:rPr>
        <w:t>B</w:t>
      </w:r>
      <w:r>
        <w:rPr>
          <w:rFonts w:asciiTheme="majorHAnsi" w:eastAsiaTheme="minorHAnsi" w:hAnsiTheme="majorHAnsi" w:cstheme="majorHAnsi"/>
          <w:sz w:val="24"/>
          <w:szCs w:val="24"/>
        </w:rPr>
        <w:t xml:space="preserve">asic </w:t>
      </w:r>
      <w:r w:rsidRPr="005F1ABD">
        <w:rPr>
          <w:rFonts w:asciiTheme="majorHAnsi" w:eastAsiaTheme="minorHAnsi" w:hAnsiTheme="majorHAnsi" w:cstheme="majorHAnsi"/>
          <w:sz w:val="24"/>
          <w:szCs w:val="24"/>
        </w:rPr>
        <w:t>E</w:t>
      </w:r>
      <w:r>
        <w:rPr>
          <w:rFonts w:asciiTheme="majorHAnsi" w:eastAsiaTheme="minorHAnsi" w:hAnsiTheme="majorHAnsi" w:cstheme="majorHAnsi"/>
          <w:sz w:val="24"/>
          <w:szCs w:val="24"/>
        </w:rPr>
        <w:t xml:space="preserve">ducation </w:t>
      </w:r>
      <w:r w:rsidRPr="005F1ABD">
        <w:rPr>
          <w:rFonts w:asciiTheme="majorHAnsi" w:eastAsiaTheme="minorHAnsi" w:hAnsiTheme="majorHAnsi" w:cstheme="majorHAnsi"/>
          <w:sz w:val="24"/>
          <w:szCs w:val="24"/>
        </w:rPr>
        <w:t>I</w:t>
      </w:r>
      <w:r>
        <w:rPr>
          <w:rFonts w:asciiTheme="majorHAnsi" w:eastAsiaTheme="minorHAnsi" w:hAnsiTheme="majorHAnsi" w:cstheme="majorHAnsi"/>
          <w:sz w:val="24"/>
          <w:szCs w:val="24"/>
        </w:rPr>
        <w:t xml:space="preserve">nformation </w:t>
      </w:r>
      <w:r w:rsidRPr="005F1ABD">
        <w:rPr>
          <w:rFonts w:asciiTheme="majorHAnsi" w:eastAsiaTheme="minorHAnsi" w:hAnsiTheme="majorHAnsi" w:cstheme="majorHAnsi"/>
          <w:sz w:val="24"/>
          <w:szCs w:val="24"/>
        </w:rPr>
        <w:t>S</w:t>
      </w:r>
      <w:r>
        <w:rPr>
          <w:rFonts w:asciiTheme="majorHAnsi" w:eastAsiaTheme="minorHAnsi" w:hAnsiTheme="majorHAnsi" w:cstheme="majorHAnsi"/>
          <w:sz w:val="24"/>
          <w:szCs w:val="24"/>
        </w:rPr>
        <w:t>ystem</w:t>
      </w:r>
      <w:r w:rsidRPr="005F1ABD">
        <w:rPr>
          <w:rFonts w:asciiTheme="majorHAnsi" w:eastAsiaTheme="minorHAnsi" w:hAnsiTheme="majorHAnsi" w:cstheme="majorHAnsi"/>
          <w:sz w:val="24"/>
          <w:szCs w:val="24"/>
        </w:rPr>
        <w:t xml:space="preserve"> to demonstrate capacity of one of </w:t>
      </w:r>
      <w:r w:rsidRPr="005F1ABD">
        <w:rPr>
          <w:rFonts w:asciiTheme="majorHAnsi" w:eastAsiaTheme="minorHAnsi" w:hAnsiTheme="majorHAnsi" w:cstheme="majorHAnsi"/>
          <w:color w:val="000000" w:themeColor="text1"/>
          <w:sz w:val="24"/>
          <w:szCs w:val="24"/>
        </w:rPr>
        <w:t>the UIS sub-systems in providing data for analy</w:t>
      </w:r>
      <w:r>
        <w:rPr>
          <w:rFonts w:asciiTheme="majorHAnsi" w:eastAsiaTheme="minorHAnsi" w:hAnsiTheme="majorHAnsi" w:cstheme="majorHAnsi"/>
          <w:color w:val="000000" w:themeColor="text1"/>
          <w:sz w:val="24"/>
          <w:szCs w:val="24"/>
        </w:rPr>
        <w:t>s</w:t>
      </w:r>
      <w:r w:rsidRPr="005F1ABD">
        <w:rPr>
          <w:rFonts w:asciiTheme="majorHAnsi" w:eastAsiaTheme="minorHAnsi" w:hAnsiTheme="majorHAnsi" w:cstheme="majorHAnsi"/>
          <w:color w:val="000000" w:themeColor="text1"/>
          <w:sz w:val="24"/>
          <w:szCs w:val="24"/>
        </w:rPr>
        <w:t>ing sub-sector performance.</w:t>
      </w:r>
      <w:r w:rsidR="00D434EB">
        <w:rPr>
          <w:rFonts w:asciiTheme="majorHAnsi" w:eastAsiaTheme="minorHAnsi" w:hAnsiTheme="majorHAnsi" w:cstheme="majorHAnsi"/>
          <w:color w:val="000000" w:themeColor="text1"/>
          <w:sz w:val="24"/>
          <w:szCs w:val="24"/>
        </w:rPr>
        <w:t xml:space="preserve"> </w:t>
      </w:r>
      <w:r>
        <w:rPr>
          <w:rFonts w:asciiTheme="majorHAnsi" w:eastAsiaTheme="minorHAnsi" w:hAnsiTheme="majorHAnsi" w:cstheme="majorHAnsi"/>
          <w:color w:val="000000" w:themeColor="text1"/>
          <w:sz w:val="24"/>
          <w:szCs w:val="24"/>
        </w:rPr>
        <w:t>Three</w:t>
      </w:r>
      <w:r w:rsidRPr="005F1ABD">
        <w:rPr>
          <w:rFonts w:asciiTheme="majorHAnsi" w:eastAsiaTheme="minorHAnsi" w:hAnsiTheme="majorHAnsi" w:cstheme="majorHAnsi"/>
          <w:color w:val="000000" w:themeColor="text1"/>
          <w:sz w:val="24"/>
          <w:szCs w:val="24"/>
        </w:rPr>
        <w:t xml:space="preserve"> indicators –– </w:t>
      </w:r>
      <w:r>
        <w:rPr>
          <w:rFonts w:asciiTheme="majorHAnsi" w:eastAsiaTheme="minorHAnsi" w:hAnsiTheme="majorHAnsi" w:cstheme="majorHAnsi"/>
          <w:color w:val="000000" w:themeColor="text1"/>
          <w:sz w:val="24"/>
          <w:szCs w:val="24"/>
        </w:rPr>
        <w:t xml:space="preserve">change in </w:t>
      </w:r>
      <w:r w:rsidRPr="005F1ABD">
        <w:rPr>
          <w:rFonts w:asciiTheme="majorHAnsi" w:eastAsiaTheme="minorHAnsi" w:hAnsiTheme="majorHAnsi" w:cstheme="majorHAnsi"/>
          <w:color w:val="000000" w:themeColor="text1"/>
          <w:sz w:val="24"/>
          <w:szCs w:val="24"/>
        </w:rPr>
        <w:t xml:space="preserve">enrolment, </w:t>
      </w:r>
      <w:r>
        <w:rPr>
          <w:rFonts w:asciiTheme="majorHAnsi" w:eastAsiaTheme="minorHAnsi" w:hAnsiTheme="majorHAnsi" w:cstheme="majorHAnsi"/>
          <w:color w:val="000000" w:themeColor="text1"/>
          <w:sz w:val="24"/>
          <w:szCs w:val="24"/>
        </w:rPr>
        <w:t xml:space="preserve">attendance rate and </w:t>
      </w:r>
      <w:r w:rsidRPr="005F1ABD">
        <w:rPr>
          <w:rFonts w:asciiTheme="majorHAnsi" w:eastAsiaTheme="minorHAnsi" w:hAnsiTheme="majorHAnsi" w:cstheme="majorHAnsi"/>
          <w:color w:val="000000" w:themeColor="text1"/>
          <w:sz w:val="24"/>
          <w:szCs w:val="24"/>
        </w:rPr>
        <w:t>drop-out rates</w:t>
      </w:r>
      <w:r>
        <w:rPr>
          <w:rFonts w:asciiTheme="majorHAnsi" w:eastAsiaTheme="minorHAnsi" w:hAnsiTheme="majorHAnsi" w:cstheme="majorHAnsi"/>
          <w:color w:val="000000" w:themeColor="text1"/>
          <w:sz w:val="24"/>
          <w:szCs w:val="24"/>
        </w:rPr>
        <w:t xml:space="preserve"> </w:t>
      </w:r>
      <w:r w:rsidRPr="005F1ABD">
        <w:rPr>
          <w:rFonts w:asciiTheme="majorHAnsi" w:eastAsiaTheme="minorHAnsi" w:hAnsiTheme="majorHAnsi" w:cstheme="majorHAnsi"/>
          <w:color w:val="000000" w:themeColor="text1"/>
          <w:sz w:val="24"/>
          <w:szCs w:val="24"/>
        </w:rPr>
        <w:t xml:space="preserve">–– are presented below while </w:t>
      </w:r>
      <w:r>
        <w:rPr>
          <w:rFonts w:asciiTheme="majorHAnsi" w:eastAsiaTheme="minorHAnsi" w:hAnsiTheme="majorHAnsi" w:cstheme="majorHAnsi"/>
          <w:color w:val="000000" w:themeColor="text1"/>
          <w:sz w:val="24"/>
          <w:szCs w:val="24"/>
        </w:rPr>
        <w:t xml:space="preserve">other </w:t>
      </w:r>
      <w:r w:rsidRPr="005F1ABD">
        <w:rPr>
          <w:rFonts w:asciiTheme="majorHAnsi" w:eastAsiaTheme="minorHAnsi" w:hAnsiTheme="majorHAnsi" w:cstheme="majorHAnsi"/>
          <w:color w:val="000000" w:themeColor="text1"/>
          <w:sz w:val="24"/>
          <w:szCs w:val="24"/>
        </w:rPr>
        <w:t xml:space="preserve">education </w:t>
      </w:r>
      <w:r>
        <w:rPr>
          <w:rFonts w:asciiTheme="majorHAnsi" w:eastAsiaTheme="minorHAnsi" w:hAnsiTheme="majorHAnsi" w:cstheme="majorHAnsi"/>
          <w:color w:val="000000" w:themeColor="text1"/>
          <w:sz w:val="24"/>
          <w:szCs w:val="24"/>
        </w:rPr>
        <w:t>key</w:t>
      </w:r>
      <w:r w:rsidRPr="005F1ABD">
        <w:rPr>
          <w:rFonts w:asciiTheme="majorHAnsi" w:eastAsiaTheme="minorHAnsi" w:hAnsiTheme="majorHAnsi" w:cstheme="majorHAnsi"/>
          <w:color w:val="000000" w:themeColor="text1"/>
          <w:sz w:val="24"/>
          <w:szCs w:val="24"/>
        </w:rPr>
        <w:t xml:space="preserve"> </w:t>
      </w:r>
      <w:r>
        <w:rPr>
          <w:rFonts w:asciiTheme="majorHAnsi" w:eastAsiaTheme="minorHAnsi" w:hAnsiTheme="majorHAnsi" w:cstheme="majorHAnsi"/>
          <w:color w:val="000000" w:themeColor="text1"/>
          <w:sz w:val="24"/>
          <w:szCs w:val="24"/>
        </w:rPr>
        <w:t>performance indicators</w:t>
      </w:r>
      <w:r w:rsidRPr="005F1ABD">
        <w:rPr>
          <w:rFonts w:asciiTheme="majorHAnsi" w:eastAsiaTheme="minorHAnsi" w:hAnsiTheme="majorHAnsi" w:cstheme="majorHAnsi"/>
          <w:color w:val="000000" w:themeColor="text1"/>
          <w:sz w:val="24"/>
          <w:szCs w:val="24"/>
        </w:rPr>
        <w:t xml:space="preserve"> are </w:t>
      </w:r>
      <w:r>
        <w:rPr>
          <w:rFonts w:asciiTheme="majorHAnsi" w:eastAsiaTheme="minorHAnsi" w:hAnsiTheme="majorHAnsi" w:cstheme="majorHAnsi"/>
          <w:color w:val="000000" w:themeColor="text1"/>
          <w:sz w:val="24"/>
          <w:szCs w:val="24"/>
        </w:rPr>
        <w:t>provided</w:t>
      </w:r>
      <w:r w:rsidRPr="005F1ABD">
        <w:rPr>
          <w:rFonts w:asciiTheme="majorHAnsi" w:eastAsiaTheme="minorHAnsi" w:hAnsiTheme="majorHAnsi" w:cstheme="majorHAnsi"/>
          <w:color w:val="000000" w:themeColor="text1"/>
          <w:sz w:val="24"/>
          <w:szCs w:val="24"/>
        </w:rPr>
        <w:t xml:space="preserve"> in Annex V. Selected Education Key Performance Indicators</w:t>
      </w:r>
      <w:r>
        <w:rPr>
          <w:rFonts w:asciiTheme="majorHAnsi" w:eastAsiaTheme="minorHAnsi" w:hAnsiTheme="majorHAnsi" w:cstheme="majorHAnsi"/>
          <w:color w:val="000000" w:themeColor="text1"/>
          <w:sz w:val="24"/>
          <w:szCs w:val="24"/>
        </w:rPr>
        <w:t>.</w:t>
      </w:r>
      <w:r w:rsidR="00D434EB">
        <w:rPr>
          <w:rFonts w:asciiTheme="majorHAnsi" w:eastAsiaTheme="minorHAnsi" w:hAnsiTheme="majorHAnsi" w:cstheme="majorHAnsi"/>
          <w:color w:val="000000" w:themeColor="text1"/>
          <w:sz w:val="24"/>
          <w:szCs w:val="24"/>
        </w:rPr>
        <w:t xml:space="preserve"> </w:t>
      </w:r>
    </w:p>
    <w:p w14:paraId="1264AA99" w14:textId="549D1C2E" w:rsidR="008D0CAD" w:rsidRPr="00CD7EBC" w:rsidRDefault="008D0CAD" w:rsidP="00DD08E3">
      <w:pPr>
        <w:pStyle w:val="Heading5"/>
        <w:numPr>
          <w:ilvl w:val="3"/>
          <w:numId w:val="166"/>
        </w:numPr>
        <w:spacing w:before="100" w:beforeAutospacing="1" w:after="100" w:afterAutospacing="1" w:line="360" w:lineRule="auto"/>
      </w:pPr>
      <w:r>
        <w:t>Change in Enrollment</w:t>
      </w:r>
    </w:p>
    <w:p w14:paraId="3AF17C4F" w14:textId="1791AFF0" w:rsidR="008D0CAD" w:rsidRPr="005F1ABD" w:rsidRDefault="008D0CAD" w:rsidP="00B31C4E">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iCs/>
        </w:rPr>
        <w:t>T</w:t>
      </w:r>
      <w:r w:rsidRPr="005D5A8B">
        <w:rPr>
          <w:rFonts w:asciiTheme="majorHAnsi" w:hAnsiTheme="majorHAnsi" w:cstheme="majorHAnsi"/>
          <w:iCs/>
        </w:rPr>
        <w:t xml:space="preserve">he </w:t>
      </w:r>
      <w:r>
        <w:rPr>
          <w:rFonts w:asciiTheme="majorHAnsi" w:hAnsiTheme="majorHAnsi" w:cstheme="majorHAnsi"/>
          <w:iCs/>
        </w:rPr>
        <w:t>results of this analysis was</w:t>
      </w:r>
      <w:r w:rsidRPr="005D5A8B">
        <w:rPr>
          <w:rFonts w:asciiTheme="majorHAnsi" w:hAnsiTheme="majorHAnsi" w:cstheme="majorHAnsi"/>
          <w:iCs/>
        </w:rPr>
        <w:t xml:space="preserve"> the average change in enrollment </w:t>
      </w:r>
      <w:r>
        <w:rPr>
          <w:rFonts w:asciiTheme="majorHAnsi" w:hAnsiTheme="majorHAnsi" w:cstheme="majorHAnsi"/>
          <w:iCs/>
        </w:rPr>
        <w:t>over</w:t>
      </w:r>
      <w:r w:rsidRPr="005D5A8B">
        <w:rPr>
          <w:rFonts w:asciiTheme="majorHAnsi" w:hAnsiTheme="majorHAnsi" w:cstheme="majorHAnsi"/>
          <w:iCs/>
        </w:rPr>
        <w:t xml:space="preserve"> time.</w:t>
      </w:r>
      <w:r>
        <w:rPr>
          <w:rStyle w:val="FootnoteReference"/>
          <w:rFonts w:asciiTheme="majorHAnsi" w:eastAsia="Arial Unicode MS" w:hAnsiTheme="majorHAnsi" w:cstheme="majorHAnsi"/>
          <w:iCs/>
        </w:rPr>
        <w:footnoteReference w:id="47"/>
      </w:r>
      <w:r w:rsidR="00D434EB">
        <w:rPr>
          <w:rFonts w:asciiTheme="majorHAnsi" w:hAnsiTheme="majorHAnsi" w:cstheme="majorHAnsi"/>
          <w:iCs/>
        </w:rPr>
        <w:t xml:space="preserve"> </w:t>
      </w:r>
      <w:r>
        <w:rPr>
          <w:rFonts w:asciiTheme="majorHAnsi" w:hAnsiTheme="majorHAnsi" w:cstheme="majorHAnsi"/>
          <w:iCs/>
          <w:color w:val="000000" w:themeColor="text1"/>
        </w:rPr>
        <w:t>A</w:t>
      </w:r>
      <w:r w:rsidRPr="005F1ABD">
        <w:rPr>
          <w:rFonts w:asciiTheme="majorHAnsi" w:hAnsiTheme="majorHAnsi" w:cstheme="majorHAnsi"/>
          <w:iCs/>
          <w:color w:val="000000" w:themeColor="text1"/>
        </w:rPr>
        <w:t xml:space="preserve"> positive DID value implies positive effects of the Program, indicating that higher increases in the average change of enrollment count was observed in the </w:t>
      </w:r>
      <w:r w:rsidRPr="005F1ABD">
        <w:rPr>
          <w:rFonts w:asciiTheme="majorHAnsi" w:hAnsiTheme="majorHAnsi" w:cstheme="majorHAnsi"/>
          <w:color w:val="000000" w:themeColor="text1"/>
        </w:rPr>
        <w:t xml:space="preserve">direct recipient schools from baseline to endline </w:t>
      </w:r>
      <w:r w:rsidRPr="005F1ABD">
        <w:rPr>
          <w:rFonts w:asciiTheme="majorHAnsi" w:hAnsiTheme="majorHAnsi" w:cstheme="majorHAnsi"/>
          <w:iCs/>
          <w:color w:val="000000" w:themeColor="text1"/>
        </w:rPr>
        <w:t xml:space="preserve">relative to the </w:t>
      </w:r>
      <w:r w:rsidRPr="005F1ABD">
        <w:rPr>
          <w:rFonts w:asciiTheme="majorHAnsi" w:hAnsiTheme="majorHAnsi" w:cstheme="majorHAnsi"/>
          <w:color w:val="000000" w:themeColor="text1"/>
        </w:rPr>
        <w:t>indirect recipient schools.</w:t>
      </w:r>
      <w:r w:rsidR="00D434EB">
        <w:rPr>
          <w:rFonts w:asciiTheme="majorHAnsi" w:hAnsiTheme="majorHAnsi" w:cstheme="majorHAnsi"/>
          <w:color w:val="000000" w:themeColor="text1"/>
        </w:rPr>
        <w:t xml:space="preserve"> </w:t>
      </w:r>
      <w:r w:rsidRPr="005F1ABD">
        <w:rPr>
          <w:rFonts w:asciiTheme="majorHAnsi" w:hAnsiTheme="majorHAnsi" w:cstheme="majorHAnsi"/>
          <w:color w:val="000000" w:themeColor="text1"/>
        </w:rPr>
        <w:t xml:space="preserve">See also </w:t>
      </w:r>
      <w:r w:rsidRPr="005F1ABD">
        <w:rPr>
          <w:rFonts w:asciiTheme="majorHAnsi" w:eastAsiaTheme="minorHAnsi" w:hAnsiTheme="majorHAnsi" w:cstheme="majorHAnsi"/>
          <w:color w:val="000000" w:themeColor="text1"/>
        </w:rPr>
        <w:t xml:space="preserve">Annex V-1. </w:t>
      </w:r>
      <w:r w:rsidRPr="005F1ABD">
        <w:rPr>
          <w:rFonts w:asciiTheme="majorHAnsi" w:hAnsiTheme="majorHAnsi" w:cstheme="majorHAnsi"/>
          <w:color w:val="000000" w:themeColor="text1"/>
        </w:rPr>
        <w:t xml:space="preserve">DID Analysis on change in </w:t>
      </w:r>
      <w:r w:rsidR="00203BEA" w:rsidRPr="005F1ABD">
        <w:rPr>
          <w:rFonts w:asciiTheme="majorHAnsi" w:hAnsiTheme="majorHAnsi" w:cstheme="majorHAnsi"/>
          <w:color w:val="000000" w:themeColor="text1"/>
        </w:rPr>
        <w:t>enrollment.</w:t>
      </w:r>
      <w:r w:rsidR="00D434EB">
        <w:rPr>
          <w:rFonts w:asciiTheme="majorHAnsi" w:eastAsiaTheme="minorHAnsi" w:hAnsiTheme="majorHAnsi" w:cstheme="majorHAnsi"/>
          <w:color w:val="000000" w:themeColor="text1"/>
        </w:rPr>
        <w:t xml:space="preserve"> </w:t>
      </w:r>
    </w:p>
    <w:p w14:paraId="5D3ABC89" w14:textId="527F0816" w:rsidR="008D0CAD" w:rsidRDefault="008D0CAD" w:rsidP="00B31C4E">
      <w:pPr>
        <w:spacing w:before="100" w:beforeAutospacing="1" w:after="100" w:afterAutospacing="1" w:line="360" w:lineRule="auto"/>
        <w:rPr>
          <w:rFonts w:asciiTheme="majorHAnsi" w:hAnsiTheme="majorHAnsi" w:cstheme="majorHAnsi"/>
        </w:rPr>
      </w:pPr>
      <w:r>
        <w:rPr>
          <w:rFonts w:asciiTheme="majorHAnsi" w:hAnsiTheme="majorHAnsi" w:cstheme="majorHAnsi"/>
          <w:iCs/>
        </w:rPr>
        <w:t>Note that in assessing the</w:t>
      </w:r>
      <w:r w:rsidRPr="003D1D1F">
        <w:rPr>
          <w:rFonts w:asciiTheme="majorHAnsi" w:hAnsiTheme="majorHAnsi" w:cstheme="majorHAnsi"/>
          <w:iCs/>
        </w:rPr>
        <w:t xml:space="preserve"> </w:t>
      </w:r>
      <w:r>
        <w:rPr>
          <w:rFonts w:asciiTheme="majorHAnsi" w:hAnsiTheme="majorHAnsi" w:cstheme="majorHAnsi"/>
          <w:iCs/>
        </w:rPr>
        <w:t>a</w:t>
      </w:r>
      <w:r w:rsidRPr="003D1D1F">
        <w:rPr>
          <w:rFonts w:asciiTheme="majorHAnsi" w:hAnsiTheme="majorHAnsi" w:cstheme="majorHAnsi"/>
          <w:iCs/>
        </w:rPr>
        <w:t xml:space="preserve">verage </w:t>
      </w:r>
      <w:r>
        <w:rPr>
          <w:rFonts w:asciiTheme="majorHAnsi" w:hAnsiTheme="majorHAnsi" w:cstheme="majorHAnsi"/>
          <w:iCs/>
        </w:rPr>
        <w:t>c</w:t>
      </w:r>
      <w:r w:rsidRPr="003D1D1F">
        <w:rPr>
          <w:rFonts w:asciiTheme="majorHAnsi" w:hAnsiTheme="majorHAnsi" w:cstheme="majorHAnsi"/>
          <w:iCs/>
        </w:rPr>
        <w:t xml:space="preserve">hange in </w:t>
      </w:r>
      <w:r>
        <w:rPr>
          <w:rFonts w:asciiTheme="majorHAnsi" w:hAnsiTheme="majorHAnsi" w:cstheme="majorHAnsi"/>
          <w:iCs/>
        </w:rPr>
        <w:t>e</w:t>
      </w:r>
      <w:r w:rsidRPr="003D1D1F">
        <w:rPr>
          <w:rFonts w:asciiTheme="majorHAnsi" w:hAnsiTheme="majorHAnsi" w:cstheme="majorHAnsi"/>
          <w:iCs/>
        </w:rPr>
        <w:t>nrollment</w:t>
      </w:r>
      <w:r>
        <w:rPr>
          <w:rFonts w:asciiTheme="majorHAnsi" w:hAnsiTheme="majorHAnsi" w:cstheme="majorHAnsi"/>
          <w:iCs/>
        </w:rPr>
        <w:t>, different timelines were taken into consideration.</w:t>
      </w:r>
      <w:r>
        <w:rPr>
          <w:rStyle w:val="FootnoteReference"/>
          <w:rFonts w:asciiTheme="majorHAnsi" w:eastAsia="Arial Unicode MS" w:hAnsiTheme="majorHAnsi" w:cstheme="majorHAnsi"/>
          <w:iCs/>
        </w:rPr>
        <w:footnoteReference w:id="48"/>
      </w:r>
      <w:r w:rsidR="00D434EB">
        <w:rPr>
          <w:rFonts w:asciiTheme="majorHAnsi" w:hAnsiTheme="majorHAnsi" w:cstheme="majorHAnsi"/>
        </w:rPr>
        <w:t xml:space="preserve"> </w:t>
      </w:r>
      <w:r>
        <w:rPr>
          <w:rFonts w:asciiTheme="majorHAnsi" w:hAnsiTheme="majorHAnsi" w:cstheme="majorHAnsi"/>
        </w:rPr>
        <w:t xml:space="preserve">Results varied as shown </w:t>
      </w:r>
      <w:r w:rsidRPr="00F9417E">
        <w:rPr>
          <w:rFonts w:asciiTheme="majorHAnsi" w:hAnsiTheme="majorHAnsi" w:cstheme="majorHAnsi"/>
          <w:color w:val="000000" w:themeColor="text1"/>
        </w:rPr>
        <w:t>in Table 2</w:t>
      </w:r>
      <w:r>
        <w:rPr>
          <w:rFonts w:asciiTheme="majorHAnsi" w:hAnsiTheme="majorHAnsi" w:cstheme="majorHAnsi"/>
          <w:color w:val="000000" w:themeColor="text1"/>
        </w:rPr>
        <w:t>3</w:t>
      </w:r>
      <w:r w:rsidRPr="00F9417E">
        <w:rPr>
          <w:rFonts w:asciiTheme="majorHAnsi" w:hAnsiTheme="majorHAnsi" w:cstheme="majorHAnsi"/>
          <w:color w:val="000000" w:themeColor="text1"/>
        </w:rPr>
        <w:t>.</w:t>
      </w:r>
      <w:r>
        <w:rPr>
          <w:rFonts w:asciiTheme="majorHAnsi" w:hAnsiTheme="majorHAnsi" w:cstheme="majorHAnsi"/>
          <w:iCs/>
          <w:color w:val="000000" w:themeColor="text1"/>
        </w:rPr>
        <w:t xml:space="preserve"> </w:t>
      </w:r>
      <w:r>
        <w:rPr>
          <w:rFonts w:asciiTheme="majorHAnsi" w:hAnsiTheme="majorHAnsi" w:cstheme="majorHAnsi"/>
        </w:rPr>
        <w:t>F</w:t>
      </w:r>
      <w:r w:rsidRPr="005D5A8B">
        <w:rPr>
          <w:rFonts w:asciiTheme="majorHAnsi" w:hAnsiTheme="majorHAnsi" w:cstheme="majorHAnsi"/>
        </w:rPr>
        <w:t xml:space="preserve">or Grade 5 </w:t>
      </w:r>
      <w:r>
        <w:rPr>
          <w:rFonts w:asciiTheme="majorHAnsi" w:hAnsiTheme="majorHAnsi" w:cstheme="majorHAnsi"/>
        </w:rPr>
        <w:t xml:space="preserve">male </w:t>
      </w:r>
      <w:r w:rsidRPr="005D5A8B">
        <w:rPr>
          <w:rFonts w:asciiTheme="majorHAnsi" w:hAnsiTheme="majorHAnsi" w:cstheme="majorHAnsi"/>
        </w:rPr>
        <w:t>students</w:t>
      </w:r>
      <w:r>
        <w:rPr>
          <w:rFonts w:asciiTheme="majorHAnsi" w:hAnsiTheme="majorHAnsi" w:cstheme="majorHAnsi"/>
        </w:rPr>
        <w:t xml:space="preserve">, data showed that the </w:t>
      </w:r>
      <w:r w:rsidRPr="003D1D1F">
        <w:rPr>
          <w:rFonts w:asciiTheme="majorHAnsi" w:hAnsiTheme="majorHAnsi" w:cstheme="majorHAnsi"/>
        </w:rPr>
        <w:t xml:space="preserve">change in enrollment </w:t>
      </w:r>
      <w:r>
        <w:rPr>
          <w:rFonts w:asciiTheme="majorHAnsi" w:hAnsiTheme="majorHAnsi" w:cstheme="majorHAnsi"/>
        </w:rPr>
        <w:t>count for</w:t>
      </w:r>
      <w:r w:rsidRPr="003D1D1F">
        <w:rPr>
          <w:rFonts w:asciiTheme="majorHAnsi" w:hAnsiTheme="majorHAnsi" w:cstheme="majorHAnsi"/>
        </w:rPr>
        <w:t xml:space="preserve"> </w:t>
      </w:r>
      <w:r>
        <w:rPr>
          <w:rFonts w:asciiTheme="majorHAnsi" w:hAnsiTheme="majorHAnsi" w:cstheme="majorHAnsi"/>
        </w:rPr>
        <w:t>boys</w:t>
      </w:r>
      <w:r w:rsidRPr="003D1D1F">
        <w:rPr>
          <w:rFonts w:asciiTheme="majorHAnsi" w:hAnsiTheme="majorHAnsi" w:cstheme="majorHAnsi"/>
        </w:rPr>
        <w:t xml:space="preserve"> </w:t>
      </w:r>
      <w:r>
        <w:rPr>
          <w:rFonts w:asciiTheme="majorHAnsi" w:hAnsiTheme="majorHAnsi" w:cstheme="majorHAnsi"/>
        </w:rPr>
        <w:t>decreased for the DRS while it increased for the IRS for the same period.</w:t>
      </w:r>
      <w:r w:rsidR="00D434EB">
        <w:rPr>
          <w:rFonts w:asciiTheme="majorHAnsi" w:hAnsiTheme="majorHAnsi" w:cstheme="majorHAnsi"/>
        </w:rPr>
        <w:t xml:space="preserve"> </w:t>
      </w:r>
      <w:r>
        <w:rPr>
          <w:rFonts w:asciiTheme="majorHAnsi" w:hAnsiTheme="majorHAnsi" w:cstheme="majorHAnsi"/>
        </w:rPr>
        <w:t xml:space="preserve">The </w:t>
      </w:r>
      <w:r w:rsidRPr="00E9000D">
        <w:rPr>
          <w:rFonts w:asciiTheme="majorHAnsi" w:hAnsiTheme="majorHAnsi" w:cstheme="majorHAnsi"/>
          <w:iCs/>
        </w:rPr>
        <w:t xml:space="preserve">DID </w:t>
      </w:r>
      <w:r>
        <w:rPr>
          <w:rFonts w:asciiTheme="majorHAnsi" w:hAnsiTheme="majorHAnsi" w:cstheme="majorHAnsi"/>
          <w:iCs/>
        </w:rPr>
        <w:t>value wa</w:t>
      </w:r>
      <w:r w:rsidRPr="00E9000D">
        <w:rPr>
          <w:rFonts w:asciiTheme="majorHAnsi" w:hAnsiTheme="majorHAnsi" w:cstheme="majorHAnsi"/>
          <w:iCs/>
        </w:rPr>
        <w:t xml:space="preserve">s negative for </w:t>
      </w:r>
      <w:r>
        <w:rPr>
          <w:rFonts w:asciiTheme="majorHAnsi" w:hAnsiTheme="majorHAnsi" w:cstheme="majorHAnsi"/>
          <w:iCs/>
        </w:rPr>
        <w:t>boys</w:t>
      </w:r>
      <w:r w:rsidRPr="00E9000D">
        <w:rPr>
          <w:rFonts w:asciiTheme="majorHAnsi" w:hAnsiTheme="majorHAnsi" w:cstheme="majorHAnsi"/>
          <w:iCs/>
        </w:rPr>
        <w:t xml:space="preserve"> (-6.58)</w:t>
      </w:r>
      <w:r>
        <w:rPr>
          <w:rFonts w:asciiTheme="majorHAnsi" w:hAnsiTheme="majorHAnsi" w:cstheme="majorHAnsi"/>
          <w:iCs/>
        </w:rPr>
        <w:t xml:space="preserve">, indicating that there was a </w:t>
      </w:r>
      <w:r w:rsidRPr="00E9000D">
        <w:rPr>
          <w:rFonts w:asciiTheme="majorHAnsi" w:hAnsiTheme="majorHAnsi" w:cstheme="majorHAnsi"/>
        </w:rPr>
        <w:t xml:space="preserve">higher increase in the change of enrollment count in </w:t>
      </w:r>
      <w:r>
        <w:rPr>
          <w:rFonts w:asciiTheme="majorHAnsi" w:hAnsiTheme="majorHAnsi" w:cstheme="majorHAnsi"/>
        </w:rPr>
        <w:t xml:space="preserve">the IRS </w:t>
      </w:r>
      <w:r w:rsidRPr="00E9000D">
        <w:rPr>
          <w:rFonts w:asciiTheme="majorHAnsi" w:hAnsiTheme="majorHAnsi" w:cstheme="majorHAnsi"/>
        </w:rPr>
        <w:t xml:space="preserve">relative to </w:t>
      </w:r>
      <w:r>
        <w:rPr>
          <w:rFonts w:asciiTheme="majorHAnsi" w:hAnsiTheme="majorHAnsi" w:cstheme="majorHAnsi"/>
        </w:rPr>
        <w:t>DRS.</w:t>
      </w:r>
      <w:r w:rsidR="00D434EB">
        <w:rPr>
          <w:rFonts w:asciiTheme="majorHAnsi" w:hAnsiTheme="majorHAnsi" w:cstheme="majorHAnsi"/>
        </w:rPr>
        <w:t xml:space="preserve"> </w:t>
      </w:r>
      <w:r>
        <w:rPr>
          <w:rFonts w:asciiTheme="majorHAnsi" w:hAnsiTheme="majorHAnsi" w:cstheme="majorHAnsi"/>
        </w:rPr>
        <w:t>Thus, there was no program effects on increasing enrollment for boys.</w:t>
      </w:r>
    </w:p>
    <w:p w14:paraId="315FCBCE" w14:textId="77777777" w:rsidR="008D0CAD" w:rsidRPr="0029591F" w:rsidRDefault="008D0CAD" w:rsidP="00B31C4E">
      <w:pPr>
        <w:spacing w:before="100" w:beforeAutospacing="1" w:after="100" w:afterAutospacing="1" w:line="360" w:lineRule="auto"/>
        <w:rPr>
          <w:rFonts w:asciiTheme="majorHAnsi" w:hAnsiTheme="majorHAnsi" w:cstheme="majorHAnsi"/>
          <w:iCs/>
        </w:rPr>
      </w:pPr>
      <w:r>
        <w:rPr>
          <w:rFonts w:asciiTheme="majorHAnsi" w:hAnsiTheme="majorHAnsi" w:cstheme="majorHAnsi"/>
        </w:rPr>
        <w:t>F</w:t>
      </w:r>
      <w:r w:rsidRPr="002214BE">
        <w:rPr>
          <w:rFonts w:asciiTheme="majorHAnsi" w:hAnsiTheme="majorHAnsi" w:cstheme="majorHAnsi"/>
        </w:rPr>
        <w:t xml:space="preserve">or </w:t>
      </w:r>
      <w:r w:rsidRPr="005D5A8B">
        <w:rPr>
          <w:rFonts w:asciiTheme="majorHAnsi" w:hAnsiTheme="majorHAnsi" w:cstheme="majorHAnsi"/>
        </w:rPr>
        <w:t>Grade 5 female students</w:t>
      </w:r>
      <w:r>
        <w:rPr>
          <w:rFonts w:asciiTheme="majorHAnsi" w:hAnsiTheme="majorHAnsi" w:cstheme="majorHAnsi"/>
        </w:rPr>
        <w:t xml:space="preserve">, data revealed that the </w:t>
      </w:r>
      <w:r w:rsidRPr="003D1D1F">
        <w:rPr>
          <w:rFonts w:asciiTheme="majorHAnsi" w:hAnsiTheme="majorHAnsi" w:cstheme="majorHAnsi"/>
        </w:rPr>
        <w:t>change in enrollment</w:t>
      </w:r>
      <w:r>
        <w:rPr>
          <w:rFonts w:asciiTheme="majorHAnsi" w:hAnsiTheme="majorHAnsi" w:cstheme="majorHAnsi"/>
        </w:rPr>
        <w:t xml:space="preserve"> count</w:t>
      </w:r>
      <w:r w:rsidRPr="003D1D1F">
        <w:rPr>
          <w:rFonts w:asciiTheme="majorHAnsi" w:hAnsiTheme="majorHAnsi" w:cstheme="majorHAnsi"/>
        </w:rPr>
        <w:t xml:space="preserve"> </w:t>
      </w:r>
      <w:r>
        <w:rPr>
          <w:rFonts w:asciiTheme="majorHAnsi" w:hAnsiTheme="majorHAnsi" w:cstheme="majorHAnsi"/>
        </w:rPr>
        <w:t xml:space="preserve">increased for both the DRS and the IRS for the same period, albeit, the increase in the DRS was higher. The </w:t>
      </w:r>
      <w:r w:rsidRPr="00E9000D">
        <w:rPr>
          <w:rFonts w:asciiTheme="majorHAnsi" w:hAnsiTheme="majorHAnsi" w:cstheme="majorHAnsi"/>
          <w:iCs/>
        </w:rPr>
        <w:t xml:space="preserve">DID </w:t>
      </w:r>
      <w:r>
        <w:rPr>
          <w:rFonts w:asciiTheme="majorHAnsi" w:hAnsiTheme="majorHAnsi" w:cstheme="majorHAnsi"/>
          <w:iCs/>
        </w:rPr>
        <w:t>value was</w:t>
      </w:r>
      <w:r w:rsidRPr="00E9000D">
        <w:rPr>
          <w:rFonts w:asciiTheme="majorHAnsi" w:hAnsiTheme="majorHAnsi" w:cstheme="majorHAnsi"/>
          <w:iCs/>
        </w:rPr>
        <w:t xml:space="preserve"> </w:t>
      </w:r>
      <w:r>
        <w:rPr>
          <w:rFonts w:asciiTheme="majorHAnsi" w:hAnsiTheme="majorHAnsi" w:cstheme="majorHAnsi"/>
          <w:iCs/>
        </w:rPr>
        <w:t>positive</w:t>
      </w:r>
      <w:r w:rsidRPr="00E9000D">
        <w:rPr>
          <w:rFonts w:asciiTheme="majorHAnsi" w:hAnsiTheme="majorHAnsi" w:cstheme="majorHAnsi"/>
          <w:iCs/>
        </w:rPr>
        <w:t xml:space="preserve"> for </w:t>
      </w:r>
      <w:r>
        <w:rPr>
          <w:rFonts w:asciiTheme="majorHAnsi" w:hAnsiTheme="majorHAnsi" w:cstheme="majorHAnsi"/>
          <w:iCs/>
        </w:rPr>
        <w:t>girls</w:t>
      </w:r>
      <w:r w:rsidRPr="00E9000D">
        <w:rPr>
          <w:rFonts w:asciiTheme="majorHAnsi" w:hAnsiTheme="majorHAnsi" w:cstheme="majorHAnsi"/>
          <w:iCs/>
        </w:rPr>
        <w:t xml:space="preserve"> (</w:t>
      </w:r>
      <w:r>
        <w:rPr>
          <w:rFonts w:asciiTheme="majorHAnsi" w:hAnsiTheme="majorHAnsi" w:cstheme="majorHAnsi"/>
          <w:iCs/>
        </w:rPr>
        <w:t>1.47</w:t>
      </w:r>
      <w:r w:rsidRPr="00E9000D">
        <w:rPr>
          <w:rFonts w:asciiTheme="majorHAnsi" w:hAnsiTheme="majorHAnsi" w:cstheme="majorHAnsi"/>
          <w:iCs/>
        </w:rPr>
        <w:t>)</w:t>
      </w:r>
      <w:r>
        <w:rPr>
          <w:rFonts w:asciiTheme="majorHAnsi" w:hAnsiTheme="majorHAnsi" w:cstheme="majorHAnsi"/>
          <w:iCs/>
        </w:rPr>
        <w:t xml:space="preserve">, </w:t>
      </w:r>
      <w:r w:rsidRPr="005B3769">
        <w:rPr>
          <w:rFonts w:asciiTheme="majorHAnsi" w:hAnsiTheme="majorHAnsi" w:cstheme="majorHAnsi"/>
        </w:rPr>
        <w:t>which indicate</w:t>
      </w:r>
      <w:r>
        <w:rPr>
          <w:rFonts w:asciiTheme="majorHAnsi" w:hAnsiTheme="majorHAnsi" w:cstheme="majorHAnsi"/>
        </w:rPr>
        <w:t>d</w:t>
      </w:r>
      <w:r w:rsidRPr="005B3769">
        <w:rPr>
          <w:rFonts w:asciiTheme="majorHAnsi" w:hAnsiTheme="majorHAnsi" w:cstheme="majorHAnsi"/>
        </w:rPr>
        <w:t xml:space="preserve"> that the Program </w:t>
      </w:r>
      <w:r>
        <w:rPr>
          <w:rFonts w:asciiTheme="majorHAnsi" w:hAnsiTheme="majorHAnsi" w:cstheme="majorHAnsi"/>
        </w:rPr>
        <w:t>may have</w:t>
      </w:r>
      <w:r w:rsidRPr="005B3769">
        <w:rPr>
          <w:rFonts w:asciiTheme="majorHAnsi" w:hAnsiTheme="majorHAnsi" w:cstheme="majorHAnsi"/>
        </w:rPr>
        <w:t xml:space="preserve"> </w:t>
      </w:r>
      <w:r>
        <w:rPr>
          <w:rFonts w:asciiTheme="majorHAnsi" w:hAnsiTheme="majorHAnsi" w:cstheme="majorHAnsi"/>
        </w:rPr>
        <w:t xml:space="preserve">some </w:t>
      </w:r>
      <w:r w:rsidRPr="005B3769">
        <w:rPr>
          <w:rFonts w:asciiTheme="majorHAnsi" w:hAnsiTheme="majorHAnsi" w:cstheme="majorHAnsi"/>
        </w:rPr>
        <w:t xml:space="preserve">positive effects for increasing enrolment among </w:t>
      </w:r>
      <w:r>
        <w:rPr>
          <w:rFonts w:asciiTheme="majorHAnsi" w:hAnsiTheme="majorHAnsi" w:cstheme="majorHAnsi"/>
        </w:rPr>
        <w:t>girls</w:t>
      </w:r>
      <w:r w:rsidRPr="005B3769">
        <w:rPr>
          <w:rFonts w:asciiTheme="majorHAnsi" w:hAnsiTheme="majorHAnsi" w:cstheme="majorHAnsi"/>
        </w:rPr>
        <w:t xml:space="preserve"> in </w:t>
      </w:r>
      <w:r>
        <w:rPr>
          <w:rFonts w:asciiTheme="majorHAnsi" w:hAnsiTheme="majorHAnsi" w:cstheme="majorHAnsi"/>
        </w:rPr>
        <w:t>DRS</w:t>
      </w:r>
      <w:r w:rsidRPr="005B3769">
        <w:rPr>
          <w:rFonts w:asciiTheme="majorHAnsi" w:hAnsiTheme="majorHAnsi" w:cstheme="majorHAnsi"/>
        </w:rPr>
        <w:t>.</w:t>
      </w:r>
    </w:p>
    <w:p w14:paraId="431A773A" w14:textId="6E6615B2" w:rsidR="008D0CAD" w:rsidRPr="004A657A" w:rsidRDefault="008D0CAD" w:rsidP="00B31C4E">
      <w:pPr>
        <w:spacing w:before="100" w:beforeAutospacing="1" w:after="100" w:afterAutospacing="1" w:line="360" w:lineRule="auto"/>
        <w:rPr>
          <w:rFonts w:asciiTheme="majorHAnsi" w:hAnsiTheme="majorHAnsi" w:cstheme="majorHAnsi"/>
          <w:i/>
          <w:iCs/>
          <w:color w:val="44546A" w:themeColor="text2"/>
          <w:sz w:val="22"/>
          <w:szCs w:val="22"/>
          <w:lang w:val="en-GB"/>
        </w:rPr>
      </w:pPr>
      <w:bookmarkStart w:id="128" w:name="_Toc71616614"/>
      <w:r w:rsidRPr="004A657A">
        <w:rPr>
          <w:rFonts w:asciiTheme="majorHAnsi" w:hAnsiTheme="majorHAnsi" w:cstheme="majorHAnsi"/>
          <w:i/>
          <w:iCs/>
          <w:color w:val="44546A" w:themeColor="text2"/>
          <w:sz w:val="22"/>
          <w:szCs w:val="22"/>
        </w:rPr>
        <w:t xml:space="preserve">Table </w:t>
      </w:r>
      <w:r w:rsidRPr="004A657A">
        <w:rPr>
          <w:rFonts w:asciiTheme="majorHAnsi" w:hAnsiTheme="majorHAnsi" w:cstheme="majorHAnsi"/>
          <w:i/>
          <w:iCs/>
          <w:color w:val="44546A" w:themeColor="text2"/>
          <w:sz w:val="22"/>
          <w:szCs w:val="22"/>
        </w:rPr>
        <w:fldChar w:fldCharType="begin"/>
      </w:r>
      <w:r w:rsidRPr="004A657A">
        <w:rPr>
          <w:rFonts w:asciiTheme="majorHAnsi" w:hAnsiTheme="majorHAnsi" w:cstheme="majorHAnsi"/>
          <w:i/>
          <w:iCs/>
          <w:color w:val="44546A" w:themeColor="text2"/>
          <w:sz w:val="22"/>
          <w:szCs w:val="22"/>
        </w:rPr>
        <w:instrText xml:space="preserve"> SEQ Table \* ARABIC </w:instrText>
      </w:r>
      <w:r w:rsidRPr="004A657A">
        <w:rPr>
          <w:rFonts w:asciiTheme="majorHAnsi" w:hAnsiTheme="majorHAnsi" w:cstheme="majorHAnsi"/>
          <w:i/>
          <w:iCs/>
          <w:color w:val="44546A" w:themeColor="text2"/>
          <w:sz w:val="22"/>
          <w:szCs w:val="22"/>
        </w:rPr>
        <w:fldChar w:fldCharType="separate"/>
      </w:r>
      <w:r w:rsidR="00D6133D">
        <w:rPr>
          <w:rFonts w:asciiTheme="majorHAnsi" w:hAnsiTheme="majorHAnsi" w:cstheme="majorHAnsi"/>
          <w:i/>
          <w:iCs/>
          <w:noProof/>
          <w:color w:val="44546A" w:themeColor="text2"/>
          <w:sz w:val="22"/>
          <w:szCs w:val="22"/>
        </w:rPr>
        <w:t>23</w:t>
      </w:r>
      <w:r w:rsidRPr="004A657A">
        <w:rPr>
          <w:rFonts w:asciiTheme="majorHAnsi" w:hAnsiTheme="majorHAnsi" w:cstheme="majorHAnsi"/>
          <w:i/>
          <w:iCs/>
          <w:color w:val="44546A" w:themeColor="text2"/>
          <w:sz w:val="22"/>
          <w:szCs w:val="22"/>
        </w:rPr>
        <w:fldChar w:fldCharType="end"/>
      </w:r>
      <w:r w:rsidRPr="004A657A">
        <w:rPr>
          <w:rFonts w:asciiTheme="majorHAnsi" w:hAnsiTheme="majorHAnsi" w:cstheme="majorHAnsi"/>
          <w:i/>
          <w:iCs/>
          <w:color w:val="44546A" w:themeColor="text2"/>
          <w:sz w:val="22"/>
          <w:szCs w:val="22"/>
        </w:rPr>
        <w:t>.</w:t>
      </w:r>
      <w:r w:rsidR="00D434EB">
        <w:rPr>
          <w:rFonts w:asciiTheme="majorHAnsi" w:hAnsiTheme="majorHAnsi" w:cstheme="majorHAnsi"/>
          <w:bCs/>
          <w:i/>
          <w:iCs/>
          <w:color w:val="44546A" w:themeColor="text2"/>
          <w:sz w:val="22"/>
          <w:szCs w:val="22"/>
        </w:rPr>
        <w:t xml:space="preserve"> </w:t>
      </w:r>
      <w:r w:rsidRPr="004A657A">
        <w:rPr>
          <w:rFonts w:asciiTheme="majorHAnsi" w:hAnsiTheme="majorHAnsi" w:cstheme="majorHAnsi"/>
          <w:bCs/>
          <w:i/>
          <w:iCs/>
          <w:color w:val="44546A" w:themeColor="text2"/>
          <w:sz w:val="22"/>
          <w:szCs w:val="22"/>
        </w:rPr>
        <w:t>DID Analyses of Change in Enrolment by Sex</w:t>
      </w:r>
      <w:bookmarkEnd w:id="128"/>
    </w:p>
    <w:tbl>
      <w:tblPr>
        <w:tblStyle w:val="TableGrid"/>
        <w:tblW w:w="0" w:type="auto"/>
        <w:tblLook w:val="04A0" w:firstRow="1" w:lastRow="0" w:firstColumn="1" w:lastColumn="0" w:noHBand="0" w:noVBand="1"/>
      </w:tblPr>
      <w:tblGrid>
        <w:gridCol w:w="1635"/>
        <w:gridCol w:w="1170"/>
        <w:gridCol w:w="4567"/>
      </w:tblGrid>
      <w:tr w:rsidR="008D0CAD" w:rsidRPr="004B064D" w14:paraId="6B7191B8" w14:textId="77777777" w:rsidTr="00F4751F">
        <w:trPr>
          <w:trHeight w:val="192"/>
          <w:tblHeader/>
        </w:trPr>
        <w:tc>
          <w:tcPr>
            <w:tcW w:w="1635" w:type="dxa"/>
          </w:tcPr>
          <w:p w14:paraId="695CBA4B" w14:textId="77777777" w:rsidR="008D0CAD" w:rsidRPr="004B064D" w:rsidRDefault="008D0CAD" w:rsidP="00B31C4E">
            <w:pPr>
              <w:spacing w:before="100" w:beforeAutospacing="1" w:after="100" w:afterAutospacing="1" w:line="360" w:lineRule="auto"/>
              <w:rPr>
                <w:rFonts w:asciiTheme="majorHAnsi" w:hAnsiTheme="majorHAnsi" w:cstheme="majorHAnsi"/>
                <w:b/>
                <w:bCs/>
                <w:color w:val="000000" w:themeColor="text1"/>
                <w:sz w:val="20"/>
                <w:szCs w:val="20"/>
              </w:rPr>
            </w:pPr>
            <w:r w:rsidRPr="004B064D">
              <w:rPr>
                <w:rFonts w:asciiTheme="majorHAnsi" w:hAnsiTheme="majorHAnsi" w:cstheme="majorHAnsi"/>
                <w:b/>
                <w:bCs/>
                <w:color w:val="000000" w:themeColor="text1"/>
                <w:sz w:val="20"/>
                <w:szCs w:val="20"/>
              </w:rPr>
              <w:t>Student Group</w:t>
            </w:r>
          </w:p>
        </w:tc>
        <w:tc>
          <w:tcPr>
            <w:tcW w:w="1170" w:type="dxa"/>
          </w:tcPr>
          <w:p w14:paraId="2563C15D" w14:textId="77777777" w:rsidR="008D0CAD" w:rsidRPr="004B064D" w:rsidRDefault="008D0CAD" w:rsidP="00B31C4E">
            <w:pPr>
              <w:spacing w:before="100" w:beforeAutospacing="1" w:after="100" w:afterAutospacing="1" w:line="360" w:lineRule="auto"/>
              <w:rPr>
                <w:rFonts w:asciiTheme="majorHAnsi" w:hAnsiTheme="majorHAnsi" w:cstheme="majorHAnsi"/>
                <w:b/>
                <w:bCs/>
                <w:color w:val="000000" w:themeColor="text1"/>
                <w:sz w:val="20"/>
                <w:szCs w:val="20"/>
              </w:rPr>
            </w:pPr>
            <w:r w:rsidRPr="004B064D">
              <w:rPr>
                <w:rFonts w:asciiTheme="majorHAnsi" w:hAnsiTheme="majorHAnsi" w:cstheme="majorHAnsi"/>
                <w:b/>
                <w:bCs/>
                <w:iCs/>
                <w:color w:val="000000" w:themeColor="text1"/>
                <w:sz w:val="20"/>
                <w:szCs w:val="20"/>
              </w:rPr>
              <w:t>DID value</w:t>
            </w:r>
          </w:p>
        </w:tc>
        <w:tc>
          <w:tcPr>
            <w:tcW w:w="4567" w:type="dxa"/>
          </w:tcPr>
          <w:p w14:paraId="7EFDD8C2" w14:textId="77777777" w:rsidR="008D0CAD" w:rsidRPr="004B064D" w:rsidRDefault="008D0CAD" w:rsidP="00B31C4E">
            <w:pPr>
              <w:spacing w:before="100" w:beforeAutospacing="1" w:after="100" w:afterAutospacing="1" w:line="360" w:lineRule="auto"/>
              <w:rPr>
                <w:rFonts w:asciiTheme="majorHAnsi" w:hAnsiTheme="majorHAnsi" w:cstheme="majorHAnsi"/>
                <w:b/>
                <w:bCs/>
                <w:color w:val="000000" w:themeColor="text1"/>
                <w:sz w:val="20"/>
                <w:szCs w:val="20"/>
              </w:rPr>
            </w:pPr>
            <w:r w:rsidRPr="004B064D">
              <w:rPr>
                <w:rFonts w:asciiTheme="majorHAnsi" w:hAnsiTheme="majorHAnsi" w:cstheme="majorHAnsi"/>
                <w:b/>
                <w:bCs/>
                <w:color w:val="000000" w:themeColor="text1"/>
                <w:sz w:val="20"/>
                <w:szCs w:val="20"/>
              </w:rPr>
              <w:t>Implication</w:t>
            </w:r>
          </w:p>
        </w:tc>
      </w:tr>
      <w:tr w:rsidR="008D0CAD" w:rsidRPr="007846EC" w14:paraId="64373766" w14:textId="77777777" w:rsidTr="0017212A">
        <w:trPr>
          <w:trHeight w:val="395"/>
        </w:trPr>
        <w:tc>
          <w:tcPr>
            <w:tcW w:w="1635" w:type="dxa"/>
          </w:tcPr>
          <w:p w14:paraId="7EF03ACC" w14:textId="77777777" w:rsidR="008D0CAD" w:rsidRPr="007846EC" w:rsidRDefault="008D0CAD" w:rsidP="00B31C4E">
            <w:pPr>
              <w:spacing w:before="100" w:beforeAutospacing="1" w:after="100" w:afterAutospacing="1" w:line="360" w:lineRule="auto"/>
              <w:rPr>
                <w:rFonts w:asciiTheme="majorHAnsi" w:hAnsiTheme="majorHAnsi" w:cstheme="majorHAnsi"/>
                <w:b/>
                <w:bCs/>
                <w:color w:val="000000" w:themeColor="text1"/>
                <w:sz w:val="20"/>
                <w:szCs w:val="20"/>
              </w:rPr>
            </w:pPr>
            <w:r w:rsidRPr="007846EC">
              <w:rPr>
                <w:rFonts w:asciiTheme="majorHAnsi" w:hAnsiTheme="majorHAnsi" w:cstheme="majorHAnsi"/>
                <w:b/>
                <w:bCs/>
                <w:color w:val="000000" w:themeColor="text1"/>
                <w:sz w:val="20"/>
                <w:szCs w:val="20"/>
              </w:rPr>
              <w:t>Grade 5 – Male</w:t>
            </w:r>
          </w:p>
        </w:tc>
        <w:tc>
          <w:tcPr>
            <w:tcW w:w="1170" w:type="dxa"/>
          </w:tcPr>
          <w:p w14:paraId="610CA728" w14:textId="77777777" w:rsidR="008D0CAD" w:rsidRPr="007846EC" w:rsidRDefault="008D0CAD" w:rsidP="00B31C4E">
            <w:pPr>
              <w:spacing w:before="100" w:beforeAutospacing="1" w:after="100" w:afterAutospacing="1" w:line="360" w:lineRule="auto"/>
              <w:rPr>
                <w:rFonts w:asciiTheme="majorHAnsi" w:hAnsiTheme="majorHAnsi" w:cstheme="majorHAnsi"/>
                <w:color w:val="000000" w:themeColor="text1"/>
                <w:sz w:val="20"/>
                <w:szCs w:val="20"/>
              </w:rPr>
            </w:pPr>
            <w:r w:rsidRPr="007846EC">
              <w:rPr>
                <w:rFonts w:asciiTheme="majorHAnsi" w:hAnsiTheme="majorHAnsi" w:cstheme="majorHAnsi"/>
                <w:color w:val="000000" w:themeColor="text1"/>
                <w:sz w:val="20"/>
                <w:szCs w:val="20"/>
              </w:rPr>
              <w:t>-6.58</w:t>
            </w:r>
          </w:p>
        </w:tc>
        <w:tc>
          <w:tcPr>
            <w:tcW w:w="4567" w:type="dxa"/>
          </w:tcPr>
          <w:p w14:paraId="3D759DE5" w14:textId="77777777" w:rsidR="008D0CAD" w:rsidRPr="007846EC" w:rsidRDefault="008D0CAD" w:rsidP="00B31C4E">
            <w:pPr>
              <w:spacing w:before="100" w:beforeAutospacing="1" w:after="100" w:afterAutospacing="1" w:line="360" w:lineRule="auto"/>
              <w:rPr>
                <w:rFonts w:asciiTheme="majorHAnsi" w:hAnsiTheme="majorHAnsi" w:cstheme="majorHAnsi"/>
                <w:color w:val="000000" w:themeColor="text1"/>
                <w:sz w:val="20"/>
                <w:szCs w:val="20"/>
              </w:rPr>
            </w:pPr>
            <w:r w:rsidRPr="007846EC">
              <w:rPr>
                <w:rFonts w:asciiTheme="majorHAnsi" w:hAnsiTheme="majorHAnsi" w:cstheme="majorHAnsi"/>
                <w:color w:val="000000" w:themeColor="text1"/>
                <w:sz w:val="20"/>
                <w:szCs w:val="20"/>
              </w:rPr>
              <w:t>Absence of positive effects of the Program on boys’ enrollment</w:t>
            </w:r>
          </w:p>
        </w:tc>
      </w:tr>
      <w:tr w:rsidR="008D0CAD" w:rsidRPr="007846EC" w14:paraId="169ADCD6" w14:textId="77777777" w:rsidTr="0017212A">
        <w:trPr>
          <w:trHeight w:val="384"/>
        </w:trPr>
        <w:tc>
          <w:tcPr>
            <w:tcW w:w="1635" w:type="dxa"/>
          </w:tcPr>
          <w:p w14:paraId="355542C2" w14:textId="77777777" w:rsidR="008D0CAD" w:rsidRPr="007846EC" w:rsidRDefault="008D0CAD" w:rsidP="00B31C4E">
            <w:pPr>
              <w:spacing w:before="100" w:beforeAutospacing="1" w:after="100" w:afterAutospacing="1" w:line="360" w:lineRule="auto"/>
              <w:rPr>
                <w:rFonts w:asciiTheme="majorHAnsi" w:hAnsiTheme="majorHAnsi" w:cstheme="majorHAnsi"/>
                <w:b/>
                <w:bCs/>
                <w:color w:val="000000" w:themeColor="text1"/>
                <w:sz w:val="20"/>
                <w:szCs w:val="20"/>
              </w:rPr>
            </w:pPr>
            <w:r w:rsidRPr="007846EC">
              <w:rPr>
                <w:rFonts w:asciiTheme="majorHAnsi" w:hAnsiTheme="majorHAnsi" w:cstheme="majorHAnsi"/>
                <w:b/>
                <w:bCs/>
                <w:color w:val="000000" w:themeColor="text1"/>
                <w:sz w:val="20"/>
                <w:szCs w:val="20"/>
              </w:rPr>
              <w:t>Grade 5 – Female</w:t>
            </w:r>
          </w:p>
        </w:tc>
        <w:tc>
          <w:tcPr>
            <w:tcW w:w="1170" w:type="dxa"/>
          </w:tcPr>
          <w:p w14:paraId="22EEEC3D" w14:textId="77777777" w:rsidR="008D0CAD" w:rsidRPr="007846EC" w:rsidRDefault="008D0CAD" w:rsidP="00B31C4E">
            <w:pPr>
              <w:spacing w:before="100" w:beforeAutospacing="1" w:after="100" w:afterAutospacing="1" w:line="360" w:lineRule="auto"/>
              <w:rPr>
                <w:rFonts w:asciiTheme="majorHAnsi" w:hAnsiTheme="majorHAnsi" w:cstheme="majorHAnsi"/>
                <w:color w:val="000000" w:themeColor="text1"/>
                <w:sz w:val="20"/>
                <w:szCs w:val="20"/>
              </w:rPr>
            </w:pPr>
            <w:r w:rsidRPr="007846EC">
              <w:rPr>
                <w:rFonts w:asciiTheme="majorHAnsi" w:hAnsiTheme="majorHAnsi" w:cstheme="majorHAnsi"/>
                <w:color w:val="000000" w:themeColor="text1"/>
                <w:sz w:val="20"/>
                <w:szCs w:val="20"/>
              </w:rPr>
              <w:t>1.47</w:t>
            </w:r>
          </w:p>
        </w:tc>
        <w:tc>
          <w:tcPr>
            <w:tcW w:w="4567" w:type="dxa"/>
          </w:tcPr>
          <w:p w14:paraId="42E998E2" w14:textId="77777777" w:rsidR="008D0CAD" w:rsidRPr="007846EC" w:rsidRDefault="008D0CAD" w:rsidP="00B31C4E">
            <w:pPr>
              <w:spacing w:before="100" w:beforeAutospacing="1" w:after="100" w:afterAutospacing="1" w:line="360" w:lineRule="auto"/>
              <w:rPr>
                <w:rFonts w:asciiTheme="majorHAnsi" w:hAnsiTheme="majorHAnsi" w:cstheme="majorHAnsi"/>
                <w:color w:val="000000" w:themeColor="text1"/>
                <w:sz w:val="20"/>
                <w:szCs w:val="20"/>
              </w:rPr>
            </w:pPr>
            <w:r w:rsidRPr="007846EC">
              <w:rPr>
                <w:rFonts w:asciiTheme="majorHAnsi" w:hAnsiTheme="majorHAnsi" w:cstheme="majorHAnsi"/>
                <w:color w:val="000000" w:themeColor="text1"/>
                <w:sz w:val="20"/>
                <w:szCs w:val="20"/>
              </w:rPr>
              <w:t>Possible positive Program effects on girls’ enrollment</w:t>
            </w:r>
          </w:p>
        </w:tc>
      </w:tr>
      <w:tr w:rsidR="008D0CAD" w:rsidRPr="007846EC" w14:paraId="5FC5A25B" w14:textId="77777777" w:rsidTr="0017212A">
        <w:trPr>
          <w:trHeight w:val="395"/>
        </w:trPr>
        <w:tc>
          <w:tcPr>
            <w:tcW w:w="1635" w:type="dxa"/>
          </w:tcPr>
          <w:p w14:paraId="4E16C333" w14:textId="77777777" w:rsidR="008D0CAD" w:rsidRPr="007846EC" w:rsidRDefault="008D0CAD" w:rsidP="00B31C4E">
            <w:pPr>
              <w:spacing w:before="100" w:beforeAutospacing="1" w:after="100" w:afterAutospacing="1" w:line="360" w:lineRule="auto"/>
              <w:rPr>
                <w:rFonts w:asciiTheme="majorHAnsi" w:hAnsiTheme="majorHAnsi" w:cstheme="majorHAnsi"/>
                <w:b/>
                <w:bCs/>
                <w:color w:val="000000" w:themeColor="text1"/>
                <w:sz w:val="20"/>
                <w:szCs w:val="20"/>
              </w:rPr>
            </w:pPr>
            <w:r w:rsidRPr="007846EC">
              <w:rPr>
                <w:rFonts w:asciiTheme="majorHAnsi" w:hAnsiTheme="majorHAnsi" w:cstheme="majorHAnsi"/>
                <w:b/>
                <w:bCs/>
                <w:color w:val="000000" w:themeColor="text1"/>
                <w:sz w:val="20"/>
                <w:szCs w:val="20"/>
              </w:rPr>
              <w:t>Grade 6 – Male</w:t>
            </w:r>
          </w:p>
        </w:tc>
        <w:tc>
          <w:tcPr>
            <w:tcW w:w="1170" w:type="dxa"/>
          </w:tcPr>
          <w:p w14:paraId="5A4B63FA" w14:textId="77777777" w:rsidR="008D0CAD" w:rsidRPr="007846EC" w:rsidRDefault="008D0CAD" w:rsidP="00B31C4E">
            <w:pPr>
              <w:spacing w:before="100" w:beforeAutospacing="1" w:after="100" w:afterAutospacing="1" w:line="360" w:lineRule="auto"/>
              <w:rPr>
                <w:rFonts w:asciiTheme="majorHAnsi" w:hAnsiTheme="majorHAnsi" w:cstheme="majorHAnsi"/>
                <w:color w:val="000000" w:themeColor="text1"/>
                <w:sz w:val="20"/>
                <w:szCs w:val="20"/>
              </w:rPr>
            </w:pPr>
            <w:r w:rsidRPr="007846EC">
              <w:rPr>
                <w:rFonts w:asciiTheme="majorHAnsi" w:hAnsiTheme="majorHAnsi" w:cstheme="majorHAnsi"/>
                <w:color w:val="000000" w:themeColor="text1"/>
                <w:sz w:val="20"/>
                <w:szCs w:val="20"/>
              </w:rPr>
              <w:t>-5.18</w:t>
            </w:r>
          </w:p>
        </w:tc>
        <w:tc>
          <w:tcPr>
            <w:tcW w:w="4567" w:type="dxa"/>
          </w:tcPr>
          <w:p w14:paraId="19474F9B" w14:textId="77777777" w:rsidR="008D0CAD" w:rsidRPr="007846EC" w:rsidRDefault="008D0CAD" w:rsidP="00B31C4E">
            <w:pPr>
              <w:spacing w:before="100" w:beforeAutospacing="1" w:after="100" w:afterAutospacing="1" w:line="360" w:lineRule="auto"/>
              <w:rPr>
                <w:rFonts w:asciiTheme="majorHAnsi" w:hAnsiTheme="majorHAnsi" w:cstheme="majorHAnsi"/>
                <w:color w:val="000000" w:themeColor="text1"/>
                <w:sz w:val="20"/>
                <w:szCs w:val="20"/>
              </w:rPr>
            </w:pPr>
            <w:r w:rsidRPr="007846EC">
              <w:rPr>
                <w:rFonts w:asciiTheme="majorHAnsi" w:hAnsiTheme="majorHAnsi" w:cstheme="majorHAnsi"/>
                <w:color w:val="000000" w:themeColor="text1"/>
                <w:sz w:val="20"/>
                <w:szCs w:val="20"/>
              </w:rPr>
              <w:t>Absence of positive effects of the Program on boys’ enrollment</w:t>
            </w:r>
          </w:p>
        </w:tc>
      </w:tr>
      <w:tr w:rsidR="008D0CAD" w:rsidRPr="007846EC" w14:paraId="352F1C8C" w14:textId="77777777" w:rsidTr="0017212A">
        <w:trPr>
          <w:trHeight w:val="384"/>
        </w:trPr>
        <w:tc>
          <w:tcPr>
            <w:tcW w:w="1635" w:type="dxa"/>
          </w:tcPr>
          <w:p w14:paraId="3BF26DFA" w14:textId="77777777" w:rsidR="008D0CAD" w:rsidRPr="007846EC" w:rsidRDefault="008D0CAD" w:rsidP="00B31C4E">
            <w:pPr>
              <w:spacing w:before="100" w:beforeAutospacing="1" w:after="100" w:afterAutospacing="1" w:line="360" w:lineRule="auto"/>
              <w:rPr>
                <w:rFonts w:asciiTheme="majorHAnsi" w:hAnsiTheme="majorHAnsi" w:cstheme="majorHAnsi"/>
                <w:b/>
                <w:bCs/>
                <w:color w:val="000000" w:themeColor="text1"/>
                <w:sz w:val="20"/>
                <w:szCs w:val="20"/>
              </w:rPr>
            </w:pPr>
            <w:r w:rsidRPr="007846EC">
              <w:rPr>
                <w:rFonts w:asciiTheme="majorHAnsi" w:hAnsiTheme="majorHAnsi" w:cstheme="majorHAnsi"/>
                <w:b/>
                <w:bCs/>
                <w:color w:val="000000" w:themeColor="text1"/>
                <w:sz w:val="20"/>
                <w:szCs w:val="20"/>
              </w:rPr>
              <w:t>Grade 6 – Female</w:t>
            </w:r>
          </w:p>
        </w:tc>
        <w:tc>
          <w:tcPr>
            <w:tcW w:w="1170" w:type="dxa"/>
          </w:tcPr>
          <w:p w14:paraId="5E71DF65" w14:textId="77777777" w:rsidR="008D0CAD" w:rsidRPr="007846EC" w:rsidRDefault="008D0CAD" w:rsidP="00B31C4E">
            <w:pPr>
              <w:spacing w:before="100" w:beforeAutospacing="1" w:after="100" w:afterAutospacing="1" w:line="360" w:lineRule="auto"/>
              <w:rPr>
                <w:rFonts w:asciiTheme="majorHAnsi" w:hAnsiTheme="majorHAnsi" w:cstheme="majorHAnsi"/>
                <w:color w:val="000000" w:themeColor="text1"/>
                <w:sz w:val="20"/>
                <w:szCs w:val="20"/>
              </w:rPr>
            </w:pPr>
            <w:r w:rsidRPr="007846EC">
              <w:rPr>
                <w:rFonts w:asciiTheme="majorHAnsi" w:hAnsiTheme="majorHAnsi" w:cstheme="majorHAnsi"/>
                <w:color w:val="000000" w:themeColor="text1"/>
                <w:sz w:val="20"/>
                <w:szCs w:val="20"/>
              </w:rPr>
              <w:t>-2.58</w:t>
            </w:r>
          </w:p>
        </w:tc>
        <w:tc>
          <w:tcPr>
            <w:tcW w:w="4567" w:type="dxa"/>
          </w:tcPr>
          <w:p w14:paraId="5193FBC9" w14:textId="77777777" w:rsidR="008D0CAD" w:rsidRPr="007846EC" w:rsidRDefault="008D0CAD" w:rsidP="00B31C4E">
            <w:pPr>
              <w:spacing w:before="100" w:beforeAutospacing="1" w:after="100" w:afterAutospacing="1" w:line="360" w:lineRule="auto"/>
              <w:rPr>
                <w:rFonts w:asciiTheme="majorHAnsi" w:hAnsiTheme="majorHAnsi" w:cstheme="majorHAnsi"/>
                <w:color w:val="000000" w:themeColor="text1"/>
                <w:sz w:val="20"/>
                <w:szCs w:val="20"/>
              </w:rPr>
            </w:pPr>
            <w:r w:rsidRPr="007846EC">
              <w:rPr>
                <w:rFonts w:asciiTheme="majorHAnsi" w:hAnsiTheme="majorHAnsi" w:cstheme="majorHAnsi"/>
                <w:color w:val="000000" w:themeColor="text1"/>
                <w:sz w:val="20"/>
                <w:szCs w:val="20"/>
              </w:rPr>
              <w:t xml:space="preserve">Possible positive Program effects on girls’ enrollment </w:t>
            </w:r>
          </w:p>
        </w:tc>
      </w:tr>
    </w:tbl>
    <w:p w14:paraId="65E3CF1E" w14:textId="397565CF" w:rsidR="008D0CAD" w:rsidRDefault="008D0CAD" w:rsidP="00B31C4E">
      <w:pPr>
        <w:spacing w:before="100" w:beforeAutospacing="1" w:after="100" w:afterAutospacing="1" w:line="360" w:lineRule="auto"/>
        <w:rPr>
          <w:rFonts w:asciiTheme="majorHAnsi" w:hAnsiTheme="majorHAnsi" w:cstheme="majorHAnsi"/>
          <w:iCs/>
        </w:rPr>
      </w:pPr>
      <w:r w:rsidRPr="005D5A8B">
        <w:rPr>
          <w:rFonts w:asciiTheme="majorHAnsi" w:hAnsiTheme="majorHAnsi" w:cstheme="majorHAnsi"/>
        </w:rPr>
        <w:t xml:space="preserve">For Grade 6 </w:t>
      </w:r>
      <w:r w:rsidRPr="00D968B4">
        <w:rPr>
          <w:rFonts w:asciiTheme="majorHAnsi" w:hAnsiTheme="majorHAnsi" w:cstheme="majorHAnsi"/>
        </w:rPr>
        <w:t>male</w:t>
      </w:r>
      <w:r>
        <w:rPr>
          <w:rFonts w:asciiTheme="majorHAnsi" w:hAnsiTheme="majorHAnsi" w:cstheme="majorHAnsi"/>
        </w:rPr>
        <w:t xml:space="preserve"> </w:t>
      </w:r>
      <w:r w:rsidRPr="005D5A8B">
        <w:rPr>
          <w:rFonts w:asciiTheme="majorHAnsi" w:hAnsiTheme="majorHAnsi" w:cstheme="majorHAnsi"/>
        </w:rPr>
        <w:t>students</w:t>
      </w:r>
      <w:r>
        <w:rPr>
          <w:rFonts w:asciiTheme="majorHAnsi" w:hAnsiTheme="majorHAnsi" w:cstheme="majorHAnsi"/>
        </w:rPr>
        <w:t xml:space="preserve">, the data showed that the </w:t>
      </w:r>
      <w:r w:rsidRPr="003D1D1F">
        <w:rPr>
          <w:rFonts w:asciiTheme="majorHAnsi" w:hAnsiTheme="majorHAnsi" w:cstheme="majorHAnsi"/>
        </w:rPr>
        <w:t xml:space="preserve">change in enrollment </w:t>
      </w:r>
      <w:r>
        <w:rPr>
          <w:rFonts w:asciiTheme="majorHAnsi" w:hAnsiTheme="majorHAnsi" w:cstheme="majorHAnsi"/>
        </w:rPr>
        <w:t>count for</w:t>
      </w:r>
      <w:r w:rsidRPr="003D1D1F">
        <w:rPr>
          <w:rFonts w:asciiTheme="majorHAnsi" w:hAnsiTheme="majorHAnsi" w:cstheme="majorHAnsi"/>
        </w:rPr>
        <w:t xml:space="preserve"> </w:t>
      </w:r>
      <w:r>
        <w:rPr>
          <w:rFonts w:asciiTheme="majorHAnsi" w:hAnsiTheme="majorHAnsi" w:cstheme="majorHAnsi"/>
        </w:rPr>
        <w:t>boys</w:t>
      </w:r>
      <w:r w:rsidRPr="003D1D1F">
        <w:rPr>
          <w:rFonts w:asciiTheme="majorHAnsi" w:hAnsiTheme="majorHAnsi" w:cstheme="majorHAnsi"/>
        </w:rPr>
        <w:t xml:space="preserve"> </w:t>
      </w:r>
      <w:r>
        <w:rPr>
          <w:rFonts w:asciiTheme="majorHAnsi" w:hAnsiTheme="majorHAnsi" w:cstheme="majorHAnsi"/>
        </w:rPr>
        <w:t>in DRS was</w:t>
      </w:r>
      <w:r w:rsidRPr="003D1D1F">
        <w:rPr>
          <w:rFonts w:asciiTheme="majorHAnsi" w:hAnsiTheme="majorHAnsi" w:cstheme="majorHAnsi"/>
        </w:rPr>
        <w:t xml:space="preserve"> </w:t>
      </w:r>
      <w:r>
        <w:rPr>
          <w:rFonts w:asciiTheme="majorHAnsi" w:hAnsiTheme="majorHAnsi" w:cstheme="majorHAnsi"/>
        </w:rPr>
        <w:t>negative</w:t>
      </w:r>
      <w:r w:rsidRPr="003D1D1F">
        <w:rPr>
          <w:rFonts w:asciiTheme="majorHAnsi" w:hAnsiTheme="majorHAnsi" w:cstheme="majorHAnsi"/>
        </w:rPr>
        <w:t xml:space="preserve"> </w:t>
      </w:r>
      <w:r>
        <w:rPr>
          <w:rFonts w:asciiTheme="majorHAnsi" w:hAnsiTheme="majorHAnsi" w:cstheme="majorHAnsi"/>
        </w:rPr>
        <w:t>for</w:t>
      </w:r>
      <w:r w:rsidRPr="003D1D1F">
        <w:rPr>
          <w:rFonts w:asciiTheme="majorHAnsi" w:hAnsiTheme="majorHAnsi" w:cstheme="majorHAnsi"/>
        </w:rPr>
        <w:t xml:space="preserve"> both periods</w:t>
      </w:r>
      <w:r>
        <w:rPr>
          <w:rFonts w:asciiTheme="majorHAnsi" w:hAnsiTheme="majorHAnsi" w:cstheme="majorHAnsi"/>
        </w:rPr>
        <w:t xml:space="preserve"> (baseline to endline) in a decreasing trend.</w:t>
      </w:r>
      <w:r w:rsidR="00D434EB">
        <w:rPr>
          <w:rFonts w:asciiTheme="majorHAnsi" w:hAnsiTheme="majorHAnsi" w:cstheme="majorHAnsi"/>
        </w:rPr>
        <w:t xml:space="preserve"> </w:t>
      </w:r>
      <w:r>
        <w:rPr>
          <w:rFonts w:asciiTheme="majorHAnsi" w:hAnsiTheme="majorHAnsi" w:cstheme="majorHAnsi"/>
        </w:rPr>
        <w:t xml:space="preserve">Although, the change in enrollment for boys in the IRS was also negative, it followed an increasing trend. Thus, the </w:t>
      </w:r>
      <w:r w:rsidRPr="00D968B4">
        <w:rPr>
          <w:rFonts w:asciiTheme="majorHAnsi" w:hAnsiTheme="majorHAnsi" w:cstheme="majorHAnsi"/>
        </w:rPr>
        <w:t xml:space="preserve">DID </w:t>
      </w:r>
      <w:r>
        <w:rPr>
          <w:rFonts w:asciiTheme="majorHAnsi" w:hAnsiTheme="majorHAnsi" w:cstheme="majorHAnsi"/>
        </w:rPr>
        <w:t>value wa</w:t>
      </w:r>
      <w:r w:rsidRPr="00D968B4">
        <w:rPr>
          <w:rFonts w:asciiTheme="majorHAnsi" w:hAnsiTheme="majorHAnsi" w:cstheme="majorHAnsi"/>
        </w:rPr>
        <w:t xml:space="preserve">s negative for </w:t>
      </w:r>
      <w:r>
        <w:rPr>
          <w:rFonts w:asciiTheme="majorHAnsi" w:hAnsiTheme="majorHAnsi" w:cstheme="majorHAnsi"/>
        </w:rPr>
        <w:t>boys</w:t>
      </w:r>
      <w:r w:rsidRPr="00D968B4">
        <w:rPr>
          <w:rFonts w:asciiTheme="majorHAnsi" w:hAnsiTheme="majorHAnsi" w:cstheme="majorHAnsi"/>
        </w:rPr>
        <w:t xml:space="preserve"> </w:t>
      </w:r>
      <w:r>
        <w:rPr>
          <w:rFonts w:asciiTheme="majorHAnsi" w:hAnsiTheme="majorHAnsi" w:cstheme="majorHAnsi"/>
        </w:rPr>
        <w:t>(</w:t>
      </w:r>
      <w:r w:rsidRPr="00D968B4">
        <w:rPr>
          <w:rFonts w:asciiTheme="majorHAnsi" w:hAnsiTheme="majorHAnsi" w:cstheme="majorHAnsi"/>
        </w:rPr>
        <w:t>-5.18)</w:t>
      </w:r>
      <w:r>
        <w:rPr>
          <w:rFonts w:asciiTheme="majorHAnsi" w:hAnsiTheme="majorHAnsi" w:cstheme="majorHAnsi"/>
        </w:rPr>
        <w:t xml:space="preserve">, indicating the absence of </w:t>
      </w:r>
      <w:r w:rsidRPr="00A95516">
        <w:rPr>
          <w:rFonts w:asciiTheme="majorHAnsi" w:hAnsiTheme="majorHAnsi" w:cstheme="majorHAnsi"/>
        </w:rPr>
        <w:t>positive effect</w:t>
      </w:r>
      <w:r>
        <w:rPr>
          <w:rFonts w:asciiTheme="majorHAnsi" w:hAnsiTheme="majorHAnsi" w:cstheme="majorHAnsi"/>
        </w:rPr>
        <w:t>s</w:t>
      </w:r>
      <w:r w:rsidRPr="00A95516">
        <w:rPr>
          <w:rFonts w:asciiTheme="majorHAnsi" w:hAnsiTheme="majorHAnsi" w:cstheme="majorHAnsi"/>
        </w:rPr>
        <w:t xml:space="preserve"> of the Program</w:t>
      </w:r>
      <w:r>
        <w:rPr>
          <w:rFonts w:asciiTheme="majorHAnsi" w:hAnsiTheme="majorHAnsi" w:cstheme="majorHAnsi"/>
        </w:rPr>
        <w:t xml:space="preserve"> on boys’ enrollment.</w:t>
      </w:r>
      <w:r w:rsidR="00D434EB">
        <w:rPr>
          <w:rFonts w:asciiTheme="majorHAnsi" w:hAnsiTheme="majorHAnsi" w:cstheme="majorHAnsi"/>
          <w:iCs/>
        </w:rPr>
        <w:t xml:space="preserve"> </w:t>
      </w:r>
      <w:r>
        <w:rPr>
          <w:rFonts w:asciiTheme="majorHAnsi" w:hAnsiTheme="majorHAnsi" w:cstheme="majorHAnsi"/>
        </w:rPr>
        <w:t>In the case of</w:t>
      </w:r>
      <w:r w:rsidRPr="00D968B4">
        <w:rPr>
          <w:rFonts w:asciiTheme="majorHAnsi" w:hAnsiTheme="majorHAnsi" w:cstheme="majorHAnsi"/>
        </w:rPr>
        <w:t xml:space="preserve"> </w:t>
      </w:r>
      <w:r>
        <w:rPr>
          <w:rFonts w:asciiTheme="majorHAnsi" w:hAnsiTheme="majorHAnsi" w:cstheme="majorHAnsi"/>
        </w:rPr>
        <w:t xml:space="preserve">Grade 6 </w:t>
      </w:r>
      <w:r w:rsidRPr="00D968B4">
        <w:rPr>
          <w:rFonts w:asciiTheme="majorHAnsi" w:hAnsiTheme="majorHAnsi" w:cstheme="majorHAnsi"/>
        </w:rPr>
        <w:t>female</w:t>
      </w:r>
      <w:r>
        <w:rPr>
          <w:rFonts w:asciiTheme="majorHAnsi" w:hAnsiTheme="majorHAnsi" w:cstheme="majorHAnsi"/>
        </w:rPr>
        <w:t xml:space="preserve"> student</w:t>
      </w:r>
      <w:r w:rsidRPr="00D968B4">
        <w:rPr>
          <w:rFonts w:asciiTheme="majorHAnsi" w:hAnsiTheme="majorHAnsi" w:cstheme="majorHAnsi"/>
        </w:rPr>
        <w:t>s</w:t>
      </w:r>
      <w:r>
        <w:rPr>
          <w:rFonts w:asciiTheme="majorHAnsi" w:hAnsiTheme="majorHAnsi" w:cstheme="majorHAnsi"/>
        </w:rPr>
        <w:t>, the DID value was also negative</w:t>
      </w:r>
      <w:r w:rsidRPr="00D968B4">
        <w:rPr>
          <w:rFonts w:asciiTheme="majorHAnsi" w:hAnsiTheme="majorHAnsi" w:cstheme="majorHAnsi"/>
        </w:rPr>
        <w:t xml:space="preserve"> (-2.58)</w:t>
      </w:r>
      <w:r>
        <w:rPr>
          <w:rFonts w:asciiTheme="majorHAnsi" w:hAnsiTheme="majorHAnsi" w:cstheme="majorHAnsi"/>
        </w:rPr>
        <w:t>.</w:t>
      </w:r>
      <w:r w:rsidR="00D434EB">
        <w:rPr>
          <w:rFonts w:asciiTheme="majorHAnsi" w:hAnsiTheme="majorHAnsi" w:cstheme="majorHAnsi"/>
        </w:rPr>
        <w:t xml:space="preserve"> </w:t>
      </w:r>
      <w:r>
        <w:rPr>
          <w:rFonts w:asciiTheme="majorHAnsi" w:hAnsiTheme="majorHAnsi" w:cstheme="majorHAnsi"/>
        </w:rPr>
        <w:t xml:space="preserve">However, the </w:t>
      </w:r>
      <w:r w:rsidRPr="003D1D1F">
        <w:rPr>
          <w:rFonts w:asciiTheme="majorHAnsi" w:hAnsiTheme="majorHAnsi" w:cstheme="majorHAnsi"/>
        </w:rPr>
        <w:t xml:space="preserve">change in enrollment </w:t>
      </w:r>
      <w:r>
        <w:rPr>
          <w:rFonts w:asciiTheme="majorHAnsi" w:hAnsiTheme="majorHAnsi" w:cstheme="majorHAnsi"/>
        </w:rPr>
        <w:t>count for</w:t>
      </w:r>
      <w:r w:rsidRPr="003D1D1F">
        <w:rPr>
          <w:rFonts w:asciiTheme="majorHAnsi" w:hAnsiTheme="majorHAnsi" w:cstheme="majorHAnsi"/>
        </w:rPr>
        <w:t xml:space="preserve"> </w:t>
      </w:r>
      <w:r>
        <w:rPr>
          <w:rFonts w:asciiTheme="majorHAnsi" w:hAnsiTheme="majorHAnsi" w:cstheme="majorHAnsi"/>
        </w:rPr>
        <w:t>girls was negative at baseline but positive at the endline.</w:t>
      </w:r>
    </w:p>
    <w:p w14:paraId="6F8D946D" w14:textId="77777777" w:rsidR="008D0CAD" w:rsidRPr="002F0D73" w:rsidRDefault="008D0CAD" w:rsidP="00B31C4E">
      <w:pPr>
        <w:spacing w:before="100" w:beforeAutospacing="1" w:after="100" w:afterAutospacing="1" w:line="360" w:lineRule="auto"/>
        <w:rPr>
          <w:rFonts w:asciiTheme="majorHAnsi" w:hAnsiTheme="majorHAnsi" w:cstheme="majorHAnsi"/>
          <w:iCs/>
        </w:rPr>
      </w:pPr>
      <w:r w:rsidRPr="002F0D73">
        <w:rPr>
          <w:rFonts w:asciiTheme="majorHAnsi" w:hAnsiTheme="majorHAnsi" w:cstheme="majorHAnsi"/>
        </w:rPr>
        <w:t>In sum, the findings showed that the program interventions have not taken root sufficiently to affect the intended outcome (i.e., increase in enrollment).</w:t>
      </w:r>
    </w:p>
    <w:p w14:paraId="25841455" w14:textId="2B47E43D" w:rsidR="008D0CAD" w:rsidRPr="006C7B4B" w:rsidRDefault="008D0CAD" w:rsidP="00DD08E3">
      <w:pPr>
        <w:pStyle w:val="Heading5"/>
        <w:numPr>
          <w:ilvl w:val="3"/>
          <w:numId w:val="165"/>
        </w:numPr>
        <w:spacing w:before="100" w:beforeAutospacing="1" w:after="100" w:afterAutospacing="1" w:line="360" w:lineRule="auto"/>
      </w:pPr>
      <w:r>
        <w:t>Attendance Rate</w:t>
      </w:r>
    </w:p>
    <w:p w14:paraId="570CC8BC" w14:textId="1E68BD3E" w:rsidR="008D0CAD" w:rsidRPr="005F1ABD" w:rsidRDefault="008D0CAD" w:rsidP="00B31C4E">
      <w:pPr>
        <w:spacing w:before="100" w:beforeAutospacing="1" w:after="100" w:afterAutospacing="1" w:line="360" w:lineRule="auto"/>
        <w:rPr>
          <w:rFonts w:asciiTheme="majorHAnsi" w:hAnsiTheme="majorHAnsi" w:cstheme="majorHAnsi"/>
          <w:iCs/>
          <w:color w:val="000000" w:themeColor="text1"/>
        </w:rPr>
      </w:pPr>
      <w:bookmarkStart w:id="129" w:name="_Toc12711995"/>
      <w:r>
        <w:rPr>
          <w:rFonts w:asciiTheme="majorHAnsi" w:hAnsiTheme="majorHAnsi" w:cstheme="majorHAnsi"/>
          <w:iCs/>
        </w:rPr>
        <w:t>In the analysis of the participation data, t</w:t>
      </w:r>
      <w:r w:rsidRPr="00367BAA">
        <w:rPr>
          <w:rFonts w:asciiTheme="majorHAnsi" w:hAnsiTheme="majorHAnsi" w:cstheme="majorHAnsi"/>
        </w:rPr>
        <w:t>he outcome</w:t>
      </w:r>
      <w:r>
        <w:rPr>
          <w:rFonts w:asciiTheme="majorHAnsi" w:hAnsiTheme="majorHAnsi" w:cstheme="majorHAnsi"/>
        </w:rPr>
        <w:t xml:space="preserve"> is defined as </w:t>
      </w:r>
      <w:r w:rsidRPr="00367BAA">
        <w:rPr>
          <w:rFonts w:asciiTheme="majorHAnsi" w:hAnsiTheme="majorHAnsi" w:cstheme="majorHAnsi"/>
        </w:rPr>
        <w:t>the average attendance rate of students by grade level</w:t>
      </w:r>
      <w:r>
        <w:rPr>
          <w:rFonts w:asciiTheme="majorHAnsi" w:hAnsiTheme="majorHAnsi" w:cstheme="majorHAnsi"/>
        </w:rPr>
        <w:t xml:space="preserve">. </w:t>
      </w:r>
      <w:r w:rsidRPr="00367BAA">
        <w:rPr>
          <w:rFonts w:asciiTheme="majorHAnsi" w:hAnsiTheme="majorHAnsi" w:cstheme="majorHAnsi"/>
        </w:rPr>
        <w:t xml:space="preserve">A positive DID </w:t>
      </w:r>
      <w:r>
        <w:rPr>
          <w:rFonts w:asciiTheme="majorHAnsi" w:hAnsiTheme="majorHAnsi" w:cstheme="majorHAnsi"/>
        </w:rPr>
        <w:t xml:space="preserve">value (defined as the difference between the change in attendance rate from endline to baseline year) </w:t>
      </w:r>
      <w:r w:rsidRPr="00367BAA">
        <w:rPr>
          <w:rFonts w:asciiTheme="majorHAnsi" w:hAnsiTheme="majorHAnsi" w:cstheme="majorHAnsi"/>
        </w:rPr>
        <w:t>implie</w:t>
      </w:r>
      <w:r>
        <w:rPr>
          <w:rFonts w:asciiTheme="majorHAnsi" w:hAnsiTheme="majorHAnsi" w:cstheme="majorHAnsi"/>
        </w:rPr>
        <w:t>s</w:t>
      </w:r>
      <w:r w:rsidRPr="00367BAA">
        <w:rPr>
          <w:rFonts w:asciiTheme="majorHAnsi" w:hAnsiTheme="majorHAnsi" w:cstheme="majorHAnsi"/>
        </w:rPr>
        <w:t xml:space="preserve"> positive effects of the BEST Program</w:t>
      </w:r>
      <w:r>
        <w:rPr>
          <w:rFonts w:asciiTheme="majorHAnsi" w:hAnsiTheme="majorHAnsi" w:cstheme="majorHAnsi"/>
        </w:rPr>
        <w:t>.</w:t>
      </w:r>
      <w:r w:rsidR="00D434EB">
        <w:rPr>
          <w:rFonts w:asciiTheme="majorHAnsi" w:hAnsiTheme="majorHAnsi" w:cstheme="majorHAnsi"/>
        </w:rPr>
        <w:t xml:space="preserve"> </w:t>
      </w:r>
      <w:r>
        <w:rPr>
          <w:rFonts w:asciiTheme="majorHAnsi" w:hAnsiTheme="majorHAnsi" w:cstheme="majorHAnsi"/>
        </w:rPr>
        <w:t>T</w:t>
      </w:r>
      <w:r w:rsidRPr="00367BAA">
        <w:rPr>
          <w:rFonts w:asciiTheme="majorHAnsi" w:hAnsiTheme="majorHAnsi" w:cstheme="majorHAnsi"/>
        </w:rPr>
        <w:t xml:space="preserve">he higher </w:t>
      </w:r>
      <w:r w:rsidRPr="005F1ABD">
        <w:rPr>
          <w:rFonts w:asciiTheme="majorHAnsi" w:hAnsiTheme="majorHAnsi" w:cstheme="majorHAnsi"/>
          <w:color w:val="000000" w:themeColor="text1"/>
        </w:rPr>
        <w:t xml:space="preserve">the resulting value, the higher the increase in attendance rate in the DRS relative to the IRS. See </w:t>
      </w:r>
      <w:r w:rsidRPr="005F1ABD">
        <w:rPr>
          <w:rFonts w:asciiTheme="majorHAnsi" w:eastAsiaTheme="minorHAnsi" w:hAnsiTheme="majorHAnsi" w:cstheme="majorHAnsi"/>
          <w:color w:val="000000" w:themeColor="text1"/>
        </w:rPr>
        <w:t xml:space="preserve">Annex V-2. </w:t>
      </w:r>
      <w:r w:rsidRPr="005F1ABD">
        <w:rPr>
          <w:rFonts w:asciiTheme="majorHAnsi" w:hAnsiTheme="majorHAnsi" w:cstheme="majorHAnsi"/>
          <w:color w:val="000000" w:themeColor="text1"/>
        </w:rPr>
        <w:t>DID Analysis on Attendance Rate.</w:t>
      </w:r>
    </w:p>
    <w:p w14:paraId="207DB58E" w14:textId="3330AE58" w:rsidR="008D0CAD" w:rsidRDefault="008D0CAD" w:rsidP="00B31C4E">
      <w:pPr>
        <w:spacing w:before="100" w:beforeAutospacing="1" w:after="100" w:afterAutospacing="1" w:line="360" w:lineRule="auto"/>
        <w:rPr>
          <w:rFonts w:asciiTheme="majorHAnsi" w:hAnsiTheme="majorHAnsi" w:cstheme="majorHAnsi"/>
        </w:rPr>
      </w:pPr>
      <w:r w:rsidRPr="00F9417E">
        <w:rPr>
          <w:rFonts w:asciiTheme="majorHAnsi" w:hAnsiTheme="majorHAnsi" w:cstheme="majorHAnsi"/>
          <w:color w:val="000000" w:themeColor="text1"/>
        </w:rPr>
        <w:t>Results are presented in Table 2</w:t>
      </w:r>
      <w:r>
        <w:rPr>
          <w:rFonts w:asciiTheme="majorHAnsi" w:hAnsiTheme="majorHAnsi" w:cstheme="majorHAnsi"/>
          <w:color w:val="000000" w:themeColor="text1"/>
        </w:rPr>
        <w:t>4</w:t>
      </w:r>
      <w:r w:rsidRPr="00F9417E">
        <w:rPr>
          <w:rFonts w:asciiTheme="majorHAnsi" w:hAnsiTheme="majorHAnsi" w:cstheme="majorHAnsi"/>
          <w:color w:val="000000" w:themeColor="text1"/>
        </w:rPr>
        <w:t xml:space="preserve">. For all Grade 4 students, the average attendance rate among </w:t>
      </w:r>
      <w:r>
        <w:rPr>
          <w:rFonts w:asciiTheme="majorHAnsi" w:hAnsiTheme="majorHAnsi" w:cstheme="majorHAnsi"/>
        </w:rPr>
        <w:t>students in IRS was higher than in DRS for the school years under review although both declined from SY2016-2017 to SY2017-2018.</w:t>
      </w:r>
      <w:r w:rsidR="00D434EB">
        <w:rPr>
          <w:rFonts w:asciiTheme="majorHAnsi" w:hAnsiTheme="majorHAnsi" w:cstheme="majorHAnsi"/>
        </w:rPr>
        <w:t xml:space="preserve"> </w:t>
      </w:r>
      <w:r>
        <w:rPr>
          <w:rFonts w:asciiTheme="majorHAnsi" w:hAnsiTheme="majorHAnsi" w:cstheme="majorHAnsi"/>
        </w:rPr>
        <w:t xml:space="preserve">However, the </w:t>
      </w:r>
      <w:r w:rsidRPr="00367BAA">
        <w:rPr>
          <w:rFonts w:asciiTheme="majorHAnsi" w:hAnsiTheme="majorHAnsi" w:cstheme="majorHAnsi"/>
        </w:rPr>
        <w:t xml:space="preserve">DID </w:t>
      </w:r>
      <w:r>
        <w:rPr>
          <w:rFonts w:asciiTheme="majorHAnsi" w:hAnsiTheme="majorHAnsi" w:cstheme="majorHAnsi"/>
        </w:rPr>
        <w:t>value remained</w:t>
      </w:r>
      <w:r w:rsidRPr="00367BAA">
        <w:rPr>
          <w:rFonts w:asciiTheme="majorHAnsi" w:hAnsiTheme="majorHAnsi" w:cstheme="majorHAnsi"/>
        </w:rPr>
        <w:t xml:space="preserve"> positive</w:t>
      </w:r>
      <w:r>
        <w:rPr>
          <w:rFonts w:asciiTheme="majorHAnsi" w:hAnsiTheme="majorHAnsi" w:cstheme="majorHAnsi"/>
        </w:rPr>
        <w:t xml:space="preserve"> (0.17) because the </w:t>
      </w:r>
      <w:r w:rsidRPr="00367BAA">
        <w:rPr>
          <w:rFonts w:asciiTheme="majorHAnsi" w:hAnsiTheme="majorHAnsi" w:cstheme="majorHAnsi"/>
        </w:rPr>
        <w:t>decrease</w:t>
      </w:r>
      <w:r>
        <w:rPr>
          <w:rFonts w:asciiTheme="majorHAnsi" w:hAnsiTheme="majorHAnsi" w:cstheme="majorHAnsi"/>
        </w:rPr>
        <w:t xml:space="preserve"> in</w:t>
      </w:r>
      <w:r w:rsidRPr="00367BAA">
        <w:rPr>
          <w:rFonts w:asciiTheme="majorHAnsi" w:hAnsiTheme="majorHAnsi" w:cstheme="majorHAnsi"/>
        </w:rPr>
        <w:t xml:space="preserve"> attendance rate </w:t>
      </w:r>
      <w:r>
        <w:rPr>
          <w:rFonts w:asciiTheme="majorHAnsi" w:hAnsiTheme="majorHAnsi" w:cstheme="majorHAnsi"/>
        </w:rPr>
        <w:t>among students in DRS was significantly lower than that of the IRS.</w:t>
      </w:r>
    </w:p>
    <w:p w14:paraId="5D2DDDE5" w14:textId="6D9D2FFF" w:rsidR="00E52E1E" w:rsidRDefault="008D0CAD" w:rsidP="00E52E1E">
      <w:pPr>
        <w:spacing w:before="100" w:beforeAutospacing="1" w:after="100" w:afterAutospacing="1" w:line="360" w:lineRule="auto"/>
        <w:rPr>
          <w:rFonts w:asciiTheme="majorHAnsi" w:hAnsiTheme="majorHAnsi" w:cstheme="majorHAnsi"/>
        </w:rPr>
      </w:pPr>
      <w:r>
        <w:rPr>
          <w:rFonts w:asciiTheme="majorHAnsi" w:hAnsiTheme="majorHAnsi" w:cstheme="majorHAnsi"/>
        </w:rPr>
        <w:t xml:space="preserve">For </w:t>
      </w:r>
      <w:r w:rsidRPr="00DA3E46">
        <w:rPr>
          <w:rFonts w:asciiTheme="majorHAnsi" w:hAnsiTheme="majorHAnsi" w:cstheme="majorHAnsi"/>
        </w:rPr>
        <w:t>Grade 5 students</w:t>
      </w:r>
      <w:r>
        <w:rPr>
          <w:rFonts w:asciiTheme="majorHAnsi" w:hAnsiTheme="majorHAnsi" w:cstheme="majorHAnsi"/>
        </w:rPr>
        <w:t>, data showed that the average attendance rate among students in IRS was higher than in DRS except in SY2017-2018.</w:t>
      </w:r>
      <w:r w:rsidR="00D434EB">
        <w:rPr>
          <w:rFonts w:asciiTheme="majorHAnsi" w:hAnsiTheme="majorHAnsi" w:cstheme="majorHAnsi"/>
        </w:rPr>
        <w:t xml:space="preserve"> </w:t>
      </w:r>
      <w:r>
        <w:rPr>
          <w:rFonts w:asciiTheme="majorHAnsi" w:hAnsiTheme="majorHAnsi" w:cstheme="majorHAnsi"/>
        </w:rPr>
        <w:t xml:space="preserve">However, the </w:t>
      </w:r>
      <w:r w:rsidRPr="00367BAA">
        <w:rPr>
          <w:rFonts w:asciiTheme="majorHAnsi" w:hAnsiTheme="majorHAnsi" w:cstheme="majorHAnsi"/>
        </w:rPr>
        <w:t xml:space="preserve">DID </w:t>
      </w:r>
      <w:r>
        <w:rPr>
          <w:rFonts w:asciiTheme="majorHAnsi" w:hAnsiTheme="majorHAnsi" w:cstheme="majorHAnsi"/>
        </w:rPr>
        <w:t>value</w:t>
      </w:r>
      <w:r w:rsidRPr="00367BAA">
        <w:rPr>
          <w:rFonts w:asciiTheme="majorHAnsi" w:hAnsiTheme="majorHAnsi" w:cstheme="majorHAnsi"/>
        </w:rPr>
        <w:t xml:space="preserve"> positive</w:t>
      </w:r>
      <w:r>
        <w:rPr>
          <w:rFonts w:asciiTheme="majorHAnsi" w:hAnsiTheme="majorHAnsi" w:cstheme="majorHAnsi"/>
        </w:rPr>
        <w:t xml:space="preserve"> at 1.15 percentage because the increase in attendance rate among students in DRS was significantly higher than in the IRS.</w:t>
      </w:r>
      <w:bookmarkStart w:id="130" w:name="_Toc71616615"/>
    </w:p>
    <w:p w14:paraId="626A1087" w14:textId="42473529" w:rsidR="008D0CAD" w:rsidRPr="004A657A" w:rsidRDefault="008D0CAD" w:rsidP="00E52E1E">
      <w:pPr>
        <w:spacing w:before="100" w:beforeAutospacing="1" w:after="100" w:afterAutospacing="1" w:line="360" w:lineRule="auto"/>
        <w:rPr>
          <w:rFonts w:asciiTheme="majorHAnsi" w:hAnsiTheme="majorHAnsi" w:cstheme="majorHAnsi"/>
          <w:i/>
          <w:iCs/>
          <w:color w:val="44546A" w:themeColor="text2"/>
          <w:sz w:val="22"/>
          <w:szCs w:val="22"/>
          <w:lang w:val="en-GB"/>
        </w:rPr>
      </w:pPr>
      <w:r w:rsidRPr="004A657A">
        <w:rPr>
          <w:rFonts w:asciiTheme="majorHAnsi" w:hAnsiTheme="majorHAnsi" w:cstheme="majorHAnsi"/>
          <w:i/>
          <w:iCs/>
          <w:color w:val="44546A" w:themeColor="text2"/>
          <w:sz w:val="22"/>
          <w:szCs w:val="22"/>
        </w:rPr>
        <w:t xml:space="preserve">Table </w:t>
      </w:r>
      <w:r w:rsidRPr="004A657A">
        <w:rPr>
          <w:rFonts w:asciiTheme="majorHAnsi" w:hAnsiTheme="majorHAnsi" w:cstheme="majorHAnsi"/>
          <w:i/>
          <w:iCs/>
          <w:color w:val="44546A" w:themeColor="text2"/>
          <w:sz w:val="22"/>
          <w:szCs w:val="22"/>
        </w:rPr>
        <w:fldChar w:fldCharType="begin"/>
      </w:r>
      <w:r w:rsidRPr="004A657A">
        <w:rPr>
          <w:rFonts w:asciiTheme="majorHAnsi" w:hAnsiTheme="majorHAnsi" w:cstheme="majorHAnsi"/>
          <w:i/>
          <w:iCs/>
          <w:color w:val="44546A" w:themeColor="text2"/>
          <w:sz w:val="22"/>
          <w:szCs w:val="22"/>
        </w:rPr>
        <w:instrText xml:space="preserve"> SEQ Table \* ARABIC </w:instrText>
      </w:r>
      <w:r w:rsidRPr="004A657A">
        <w:rPr>
          <w:rFonts w:asciiTheme="majorHAnsi" w:hAnsiTheme="majorHAnsi" w:cstheme="majorHAnsi"/>
          <w:i/>
          <w:iCs/>
          <w:color w:val="44546A" w:themeColor="text2"/>
          <w:sz w:val="22"/>
          <w:szCs w:val="22"/>
        </w:rPr>
        <w:fldChar w:fldCharType="separate"/>
      </w:r>
      <w:r w:rsidR="00D6133D">
        <w:rPr>
          <w:rFonts w:asciiTheme="majorHAnsi" w:hAnsiTheme="majorHAnsi" w:cstheme="majorHAnsi"/>
          <w:i/>
          <w:iCs/>
          <w:noProof/>
          <w:color w:val="44546A" w:themeColor="text2"/>
          <w:sz w:val="22"/>
          <w:szCs w:val="22"/>
        </w:rPr>
        <w:t>24</w:t>
      </w:r>
      <w:r w:rsidRPr="004A657A">
        <w:rPr>
          <w:rFonts w:asciiTheme="majorHAnsi" w:hAnsiTheme="majorHAnsi" w:cstheme="majorHAnsi"/>
          <w:i/>
          <w:iCs/>
          <w:color w:val="44546A" w:themeColor="text2"/>
          <w:sz w:val="22"/>
          <w:szCs w:val="22"/>
        </w:rPr>
        <w:fldChar w:fldCharType="end"/>
      </w:r>
      <w:r w:rsidRPr="004A657A">
        <w:rPr>
          <w:rFonts w:asciiTheme="majorHAnsi" w:hAnsiTheme="majorHAnsi" w:cstheme="majorHAnsi"/>
          <w:i/>
          <w:iCs/>
          <w:color w:val="44546A" w:themeColor="text2"/>
          <w:sz w:val="22"/>
          <w:szCs w:val="22"/>
        </w:rPr>
        <w:t>.</w:t>
      </w:r>
      <w:r w:rsidR="00D434EB">
        <w:rPr>
          <w:rFonts w:asciiTheme="majorHAnsi" w:hAnsiTheme="majorHAnsi" w:cstheme="majorHAnsi"/>
          <w:bCs/>
          <w:i/>
          <w:iCs/>
          <w:color w:val="44546A" w:themeColor="text2"/>
          <w:sz w:val="22"/>
          <w:szCs w:val="22"/>
        </w:rPr>
        <w:t xml:space="preserve"> </w:t>
      </w:r>
      <w:r w:rsidRPr="004A657A">
        <w:rPr>
          <w:rFonts w:asciiTheme="majorHAnsi" w:hAnsiTheme="majorHAnsi" w:cstheme="majorHAnsi"/>
          <w:bCs/>
          <w:i/>
          <w:iCs/>
          <w:color w:val="44546A" w:themeColor="text2"/>
          <w:sz w:val="22"/>
          <w:szCs w:val="22"/>
        </w:rPr>
        <w:t>DID Analyses of Change in Enrolment by Sex</w:t>
      </w:r>
      <w:bookmarkEnd w:id="130"/>
    </w:p>
    <w:tbl>
      <w:tblPr>
        <w:tblStyle w:val="TableGrid"/>
        <w:tblW w:w="0" w:type="auto"/>
        <w:tblLook w:val="04A0" w:firstRow="1" w:lastRow="0" w:firstColumn="1" w:lastColumn="0" w:noHBand="0" w:noVBand="1"/>
      </w:tblPr>
      <w:tblGrid>
        <w:gridCol w:w="1410"/>
        <w:gridCol w:w="1132"/>
        <w:gridCol w:w="4244"/>
      </w:tblGrid>
      <w:tr w:rsidR="008D0CAD" w:rsidRPr="004B064D" w14:paraId="6ACAC8F4" w14:textId="77777777" w:rsidTr="00F4751F">
        <w:trPr>
          <w:trHeight w:val="235"/>
          <w:tblHeader/>
        </w:trPr>
        <w:tc>
          <w:tcPr>
            <w:tcW w:w="1410" w:type="dxa"/>
          </w:tcPr>
          <w:p w14:paraId="1A08FE5C" w14:textId="77777777" w:rsidR="008D0CAD" w:rsidRPr="004B064D" w:rsidRDefault="008D0CAD" w:rsidP="00080CF5">
            <w:pPr>
              <w:spacing w:before="100" w:beforeAutospacing="1" w:after="100" w:afterAutospacing="1" w:line="360" w:lineRule="auto"/>
              <w:jc w:val="center"/>
              <w:rPr>
                <w:rFonts w:asciiTheme="majorHAnsi" w:hAnsiTheme="majorHAnsi" w:cstheme="majorHAnsi"/>
                <w:b/>
                <w:bCs/>
                <w:color w:val="000000" w:themeColor="text1"/>
                <w:sz w:val="20"/>
                <w:szCs w:val="20"/>
              </w:rPr>
            </w:pPr>
            <w:r w:rsidRPr="004B064D">
              <w:rPr>
                <w:rFonts w:asciiTheme="majorHAnsi" w:hAnsiTheme="majorHAnsi" w:cstheme="majorHAnsi"/>
                <w:b/>
                <w:bCs/>
                <w:color w:val="000000" w:themeColor="text1"/>
                <w:sz w:val="20"/>
                <w:szCs w:val="20"/>
              </w:rPr>
              <w:t>Student Group</w:t>
            </w:r>
          </w:p>
        </w:tc>
        <w:tc>
          <w:tcPr>
            <w:tcW w:w="1132" w:type="dxa"/>
          </w:tcPr>
          <w:p w14:paraId="6612D7CD" w14:textId="77777777" w:rsidR="008D0CAD" w:rsidRPr="004B064D" w:rsidRDefault="008D0CAD" w:rsidP="00080CF5">
            <w:pPr>
              <w:spacing w:before="100" w:beforeAutospacing="1" w:after="100" w:afterAutospacing="1" w:line="360" w:lineRule="auto"/>
              <w:jc w:val="center"/>
              <w:rPr>
                <w:rFonts w:asciiTheme="majorHAnsi" w:hAnsiTheme="majorHAnsi" w:cstheme="majorHAnsi"/>
                <w:b/>
                <w:bCs/>
                <w:color w:val="000000" w:themeColor="text1"/>
                <w:sz w:val="20"/>
                <w:szCs w:val="20"/>
              </w:rPr>
            </w:pPr>
            <w:r w:rsidRPr="004B064D">
              <w:rPr>
                <w:rFonts w:asciiTheme="majorHAnsi" w:hAnsiTheme="majorHAnsi" w:cstheme="majorHAnsi"/>
                <w:b/>
                <w:bCs/>
                <w:iCs/>
                <w:color w:val="000000" w:themeColor="text1"/>
                <w:sz w:val="20"/>
                <w:szCs w:val="20"/>
              </w:rPr>
              <w:t>DID value</w:t>
            </w:r>
          </w:p>
        </w:tc>
        <w:tc>
          <w:tcPr>
            <w:tcW w:w="4244" w:type="dxa"/>
          </w:tcPr>
          <w:p w14:paraId="7BEDBF24" w14:textId="77777777" w:rsidR="008D0CAD" w:rsidRPr="004B064D" w:rsidRDefault="008D0CAD" w:rsidP="00080CF5">
            <w:pPr>
              <w:spacing w:before="100" w:beforeAutospacing="1" w:after="100" w:afterAutospacing="1" w:line="360" w:lineRule="auto"/>
              <w:jc w:val="center"/>
              <w:rPr>
                <w:rFonts w:asciiTheme="majorHAnsi" w:hAnsiTheme="majorHAnsi" w:cstheme="majorHAnsi"/>
                <w:b/>
                <w:bCs/>
                <w:color w:val="000000" w:themeColor="text1"/>
                <w:sz w:val="20"/>
                <w:szCs w:val="20"/>
              </w:rPr>
            </w:pPr>
            <w:r w:rsidRPr="004B064D">
              <w:rPr>
                <w:rFonts w:asciiTheme="majorHAnsi" w:hAnsiTheme="majorHAnsi" w:cstheme="majorHAnsi"/>
                <w:b/>
                <w:bCs/>
                <w:color w:val="000000" w:themeColor="text1"/>
                <w:sz w:val="20"/>
                <w:szCs w:val="20"/>
              </w:rPr>
              <w:t>Implication</w:t>
            </w:r>
          </w:p>
        </w:tc>
      </w:tr>
      <w:tr w:rsidR="008D0CAD" w:rsidRPr="00F9417E" w14:paraId="7D64D130" w14:textId="77777777" w:rsidTr="0017212A">
        <w:trPr>
          <w:trHeight w:val="230"/>
        </w:trPr>
        <w:tc>
          <w:tcPr>
            <w:tcW w:w="1410" w:type="dxa"/>
          </w:tcPr>
          <w:p w14:paraId="008C22AB" w14:textId="40CF328C" w:rsidR="008D0CAD" w:rsidRPr="00F9417E" w:rsidRDefault="008D0CAD" w:rsidP="00B31C4E">
            <w:pPr>
              <w:spacing w:before="100" w:beforeAutospacing="1" w:after="100" w:afterAutospacing="1" w:line="360" w:lineRule="auto"/>
              <w:rPr>
                <w:rFonts w:asciiTheme="majorHAnsi" w:hAnsiTheme="majorHAnsi" w:cstheme="majorHAnsi"/>
                <w:b/>
                <w:bCs/>
                <w:color w:val="000000" w:themeColor="text1"/>
                <w:sz w:val="20"/>
                <w:szCs w:val="20"/>
              </w:rPr>
            </w:pPr>
            <w:r w:rsidRPr="00F9417E">
              <w:rPr>
                <w:rFonts w:asciiTheme="majorHAnsi" w:hAnsiTheme="majorHAnsi" w:cstheme="majorHAnsi"/>
                <w:b/>
                <w:bCs/>
                <w:color w:val="000000" w:themeColor="text1"/>
                <w:sz w:val="20"/>
                <w:szCs w:val="20"/>
              </w:rPr>
              <w:t>Grade 4</w:t>
            </w:r>
            <w:r w:rsidR="00D434EB">
              <w:rPr>
                <w:rFonts w:asciiTheme="majorHAnsi" w:hAnsiTheme="majorHAnsi" w:cstheme="majorHAnsi"/>
                <w:b/>
                <w:bCs/>
                <w:color w:val="000000" w:themeColor="text1"/>
                <w:sz w:val="20"/>
                <w:szCs w:val="20"/>
              </w:rPr>
              <w:t xml:space="preserve"> </w:t>
            </w:r>
          </w:p>
        </w:tc>
        <w:tc>
          <w:tcPr>
            <w:tcW w:w="1132" w:type="dxa"/>
          </w:tcPr>
          <w:p w14:paraId="1B1AAE80" w14:textId="77777777" w:rsidR="008D0CAD" w:rsidRPr="00F9417E" w:rsidRDefault="008D0CAD" w:rsidP="00B31C4E">
            <w:pPr>
              <w:spacing w:before="100" w:beforeAutospacing="1" w:after="100" w:afterAutospacing="1" w:line="360" w:lineRule="auto"/>
              <w:rPr>
                <w:rFonts w:asciiTheme="majorHAnsi" w:hAnsiTheme="majorHAnsi" w:cstheme="majorHAnsi"/>
                <w:color w:val="000000" w:themeColor="text1"/>
                <w:sz w:val="20"/>
                <w:szCs w:val="20"/>
              </w:rPr>
            </w:pPr>
            <w:r w:rsidRPr="00F9417E">
              <w:rPr>
                <w:rFonts w:asciiTheme="majorHAnsi" w:hAnsiTheme="majorHAnsi" w:cstheme="majorHAnsi"/>
                <w:color w:val="000000" w:themeColor="text1"/>
                <w:sz w:val="20"/>
                <w:szCs w:val="20"/>
              </w:rPr>
              <w:t>0.17</w:t>
            </w:r>
          </w:p>
        </w:tc>
        <w:tc>
          <w:tcPr>
            <w:tcW w:w="4244" w:type="dxa"/>
          </w:tcPr>
          <w:p w14:paraId="69A516B3" w14:textId="77777777" w:rsidR="008D0CAD" w:rsidRPr="00F9417E" w:rsidRDefault="008D0CAD" w:rsidP="00B31C4E">
            <w:pPr>
              <w:spacing w:before="100" w:beforeAutospacing="1" w:after="100" w:afterAutospacing="1" w:line="360" w:lineRule="auto"/>
              <w:rPr>
                <w:rFonts w:asciiTheme="majorHAnsi" w:hAnsiTheme="majorHAnsi" w:cstheme="majorHAnsi"/>
                <w:color w:val="000000" w:themeColor="text1"/>
                <w:sz w:val="20"/>
                <w:szCs w:val="20"/>
              </w:rPr>
            </w:pPr>
            <w:r w:rsidRPr="00F9417E">
              <w:rPr>
                <w:rFonts w:asciiTheme="majorHAnsi" w:hAnsiTheme="majorHAnsi" w:cstheme="majorHAnsi"/>
                <w:color w:val="000000" w:themeColor="text1"/>
                <w:sz w:val="20"/>
                <w:szCs w:val="20"/>
              </w:rPr>
              <w:t xml:space="preserve">Possible slight positive </w:t>
            </w:r>
            <w:r w:rsidRPr="00F9417E">
              <w:rPr>
                <w:rFonts w:asciiTheme="majorHAnsi" w:hAnsiTheme="majorHAnsi" w:cstheme="majorHAnsi"/>
                <w:sz w:val="20"/>
                <w:szCs w:val="20"/>
              </w:rPr>
              <w:t>effects of the Program</w:t>
            </w:r>
          </w:p>
        </w:tc>
      </w:tr>
      <w:tr w:rsidR="008D0CAD" w:rsidRPr="00F9417E" w14:paraId="1B079949" w14:textId="77777777" w:rsidTr="0017212A">
        <w:trPr>
          <w:trHeight w:val="267"/>
        </w:trPr>
        <w:tc>
          <w:tcPr>
            <w:tcW w:w="1410" w:type="dxa"/>
          </w:tcPr>
          <w:p w14:paraId="1FBA2636" w14:textId="67D2F7BA" w:rsidR="008D0CAD" w:rsidRPr="00F9417E" w:rsidRDefault="008D0CAD" w:rsidP="00B31C4E">
            <w:pPr>
              <w:spacing w:before="100" w:beforeAutospacing="1" w:after="100" w:afterAutospacing="1" w:line="360" w:lineRule="auto"/>
              <w:rPr>
                <w:rFonts w:asciiTheme="majorHAnsi" w:hAnsiTheme="majorHAnsi" w:cstheme="majorHAnsi"/>
                <w:b/>
                <w:bCs/>
                <w:color w:val="000000" w:themeColor="text1"/>
                <w:sz w:val="20"/>
                <w:szCs w:val="20"/>
              </w:rPr>
            </w:pPr>
            <w:r w:rsidRPr="00F9417E">
              <w:rPr>
                <w:rFonts w:asciiTheme="majorHAnsi" w:hAnsiTheme="majorHAnsi" w:cstheme="majorHAnsi"/>
                <w:b/>
                <w:bCs/>
                <w:color w:val="000000" w:themeColor="text1"/>
                <w:sz w:val="20"/>
                <w:szCs w:val="20"/>
              </w:rPr>
              <w:t>Grade 5</w:t>
            </w:r>
            <w:r w:rsidR="00D434EB">
              <w:rPr>
                <w:rFonts w:asciiTheme="majorHAnsi" w:hAnsiTheme="majorHAnsi" w:cstheme="majorHAnsi"/>
                <w:b/>
                <w:bCs/>
                <w:color w:val="000000" w:themeColor="text1"/>
                <w:sz w:val="20"/>
                <w:szCs w:val="20"/>
              </w:rPr>
              <w:t xml:space="preserve"> </w:t>
            </w:r>
          </w:p>
        </w:tc>
        <w:tc>
          <w:tcPr>
            <w:tcW w:w="1132" w:type="dxa"/>
          </w:tcPr>
          <w:p w14:paraId="43589E30" w14:textId="77777777" w:rsidR="008D0CAD" w:rsidRPr="00F9417E" w:rsidRDefault="008D0CAD" w:rsidP="00B31C4E">
            <w:pPr>
              <w:spacing w:before="100" w:beforeAutospacing="1" w:after="100" w:afterAutospacing="1" w:line="360" w:lineRule="auto"/>
              <w:rPr>
                <w:rFonts w:asciiTheme="majorHAnsi" w:hAnsiTheme="majorHAnsi" w:cstheme="majorHAnsi"/>
                <w:color w:val="000000" w:themeColor="text1"/>
                <w:sz w:val="20"/>
                <w:szCs w:val="20"/>
              </w:rPr>
            </w:pPr>
            <w:r w:rsidRPr="00F9417E">
              <w:rPr>
                <w:rFonts w:asciiTheme="majorHAnsi" w:hAnsiTheme="majorHAnsi" w:cstheme="majorHAnsi"/>
                <w:color w:val="000000" w:themeColor="text1"/>
                <w:sz w:val="20"/>
                <w:szCs w:val="20"/>
              </w:rPr>
              <w:t>1.15</w:t>
            </w:r>
          </w:p>
        </w:tc>
        <w:tc>
          <w:tcPr>
            <w:tcW w:w="4244" w:type="dxa"/>
          </w:tcPr>
          <w:p w14:paraId="39B97699" w14:textId="77777777" w:rsidR="008D0CAD" w:rsidRPr="00F9417E" w:rsidRDefault="008D0CAD" w:rsidP="00B31C4E">
            <w:pPr>
              <w:spacing w:before="100" w:beforeAutospacing="1" w:after="100" w:afterAutospacing="1" w:line="360" w:lineRule="auto"/>
              <w:rPr>
                <w:rFonts w:asciiTheme="majorHAnsi" w:hAnsiTheme="majorHAnsi" w:cstheme="majorHAnsi"/>
                <w:color w:val="000000" w:themeColor="text1"/>
                <w:sz w:val="20"/>
                <w:szCs w:val="20"/>
              </w:rPr>
            </w:pPr>
            <w:r w:rsidRPr="00F9417E">
              <w:rPr>
                <w:rFonts w:asciiTheme="majorHAnsi" w:hAnsiTheme="majorHAnsi" w:cstheme="majorHAnsi"/>
                <w:color w:val="000000" w:themeColor="text1"/>
                <w:sz w:val="20"/>
                <w:szCs w:val="20"/>
              </w:rPr>
              <w:t xml:space="preserve">Possible positive </w:t>
            </w:r>
            <w:r w:rsidRPr="00F9417E">
              <w:rPr>
                <w:rFonts w:asciiTheme="majorHAnsi" w:hAnsiTheme="majorHAnsi" w:cstheme="majorHAnsi"/>
                <w:sz w:val="20"/>
                <w:szCs w:val="20"/>
              </w:rPr>
              <w:t>effects of the BEST Program</w:t>
            </w:r>
          </w:p>
        </w:tc>
      </w:tr>
      <w:tr w:rsidR="008D0CAD" w:rsidRPr="00F9417E" w14:paraId="16D8863F" w14:textId="77777777" w:rsidTr="0017212A">
        <w:trPr>
          <w:trHeight w:val="288"/>
        </w:trPr>
        <w:tc>
          <w:tcPr>
            <w:tcW w:w="1410" w:type="dxa"/>
          </w:tcPr>
          <w:p w14:paraId="0D9046DC" w14:textId="237696BB" w:rsidR="008D0CAD" w:rsidRPr="00F9417E" w:rsidRDefault="008D0CAD" w:rsidP="00B31C4E">
            <w:pPr>
              <w:spacing w:before="100" w:beforeAutospacing="1" w:after="100" w:afterAutospacing="1" w:line="360" w:lineRule="auto"/>
              <w:rPr>
                <w:rFonts w:asciiTheme="majorHAnsi" w:hAnsiTheme="majorHAnsi" w:cstheme="majorHAnsi"/>
                <w:b/>
                <w:bCs/>
                <w:color w:val="000000" w:themeColor="text1"/>
                <w:sz w:val="20"/>
                <w:szCs w:val="20"/>
              </w:rPr>
            </w:pPr>
            <w:r w:rsidRPr="00F9417E">
              <w:rPr>
                <w:rFonts w:asciiTheme="majorHAnsi" w:hAnsiTheme="majorHAnsi" w:cstheme="majorHAnsi"/>
                <w:b/>
                <w:bCs/>
                <w:color w:val="000000" w:themeColor="text1"/>
                <w:sz w:val="20"/>
                <w:szCs w:val="20"/>
              </w:rPr>
              <w:t>Grade 6</w:t>
            </w:r>
            <w:r w:rsidR="00D434EB">
              <w:rPr>
                <w:rFonts w:asciiTheme="majorHAnsi" w:hAnsiTheme="majorHAnsi" w:cstheme="majorHAnsi"/>
                <w:b/>
                <w:bCs/>
                <w:color w:val="000000" w:themeColor="text1"/>
                <w:sz w:val="20"/>
                <w:szCs w:val="20"/>
              </w:rPr>
              <w:t xml:space="preserve"> </w:t>
            </w:r>
          </w:p>
        </w:tc>
        <w:tc>
          <w:tcPr>
            <w:tcW w:w="1132" w:type="dxa"/>
          </w:tcPr>
          <w:p w14:paraId="72FB2861" w14:textId="77777777" w:rsidR="008D0CAD" w:rsidRPr="00F9417E" w:rsidRDefault="008D0CAD" w:rsidP="00B31C4E">
            <w:pPr>
              <w:spacing w:before="100" w:beforeAutospacing="1" w:after="100" w:afterAutospacing="1" w:line="360" w:lineRule="auto"/>
              <w:rPr>
                <w:rFonts w:asciiTheme="majorHAnsi" w:hAnsiTheme="majorHAnsi" w:cstheme="majorHAnsi"/>
                <w:color w:val="000000" w:themeColor="text1"/>
                <w:sz w:val="20"/>
                <w:szCs w:val="20"/>
              </w:rPr>
            </w:pPr>
            <w:r w:rsidRPr="00F9417E">
              <w:rPr>
                <w:rFonts w:asciiTheme="majorHAnsi" w:hAnsiTheme="majorHAnsi" w:cstheme="majorHAnsi"/>
                <w:color w:val="000000" w:themeColor="text1"/>
                <w:sz w:val="20"/>
                <w:szCs w:val="20"/>
              </w:rPr>
              <w:t>2.40</w:t>
            </w:r>
          </w:p>
        </w:tc>
        <w:tc>
          <w:tcPr>
            <w:tcW w:w="4244" w:type="dxa"/>
          </w:tcPr>
          <w:p w14:paraId="284915DD" w14:textId="77777777" w:rsidR="008D0CAD" w:rsidRPr="00F9417E" w:rsidRDefault="008D0CAD" w:rsidP="00B31C4E">
            <w:pPr>
              <w:spacing w:before="100" w:beforeAutospacing="1" w:after="100" w:afterAutospacing="1" w:line="360" w:lineRule="auto"/>
              <w:rPr>
                <w:rFonts w:asciiTheme="majorHAnsi" w:hAnsiTheme="majorHAnsi" w:cstheme="majorHAnsi"/>
                <w:color w:val="000000" w:themeColor="text1"/>
                <w:sz w:val="20"/>
                <w:szCs w:val="20"/>
              </w:rPr>
            </w:pPr>
            <w:r w:rsidRPr="00F9417E">
              <w:rPr>
                <w:rFonts w:asciiTheme="majorHAnsi" w:hAnsiTheme="majorHAnsi" w:cstheme="majorHAnsi"/>
                <w:color w:val="000000" w:themeColor="text1"/>
                <w:sz w:val="20"/>
                <w:szCs w:val="20"/>
              </w:rPr>
              <w:t xml:space="preserve">Possible significant positive </w:t>
            </w:r>
            <w:r w:rsidRPr="00F9417E">
              <w:rPr>
                <w:rFonts w:asciiTheme="majorHAnsi" w:hAnsiTheme="majorHAnsi" w:cstheme="majorHAnsi"/>
                <w:sz w:val="20"/>
                <w:szCs w:val="20"/>
              </w:rPr>
              <w:t>effects of the Program</w:t>
            </w:r>
          </w:p>
        </w:tc>
      </w:tr>
    </w:tbl>
    <w:p w14:paraId="00812A8E" w14:textId="77777777" w:rsidR="008D0CAD" w:rsidRDefault="008D0CAD" w:rsidP="00B31C4E">
      <w:pPr>
        <w:spacing w:before="100" w:beforeAutospacing="1" w:after="100" w:afterAutospacing="1" w:line="360" w:lineRule="auto"/>
        <w:rPr>
          <w:rFonts w:asciiTheme="majorHAnsi" w:hAnsiTheme="majorHAnsi" w:cstheme="majorHAnsi"/>
        </w:rPr>
      </w:pPr>
      <w:r>
        <w:rPr>
          <w:rFonts w:asciiTheme="majorHAnsi" w:hAnsiTheme="majorHAnsi" w:cstheme="majorHAnsi"/>
        </w:rPr>
        <w:t xml:space="preserve">In the case of Grade 6 students, the average attendance rate in IRS was higher than in DRS across all years. However, the </w:t>
      </w:r>
      <w:r w:rsidRPr="00367BAA">
        <w:rPr>
          <w:rFonts w:asciiTheme="majorHAnsi" w:hAnsiTheme="majorHAnsi" w:cstheme="majorHAnsi"/>
        </w:rPr>
        <w:t xml:space="preserve">DID </w:t>
      </w:r>
      <w:r>
        <w:rPr>
          <w:rFonts w:asciiTheme="majorHAnsi" w:hAnsiTheme="majorHAnsi" w:cstheme="majorHAnsi"/>
        </w:rPr>
        <w:t xml:space="preserve">value </w:t>
      </w:r>
      <w:r w:rsidRPr="00367BAA">
        <w:rPr>
          <w:rFonts w:asciiTheme="majorHAnsi" w:hAnsiTheme="majorHAnsi" w:cstheme="majorHAnsi"/>
        </w:rPr>
        <w:t xml:space="preserve">is </w:t>
      </w:r>
      <w:r>
        <w:rPr>
          <w:rFonts w:asciiTheme="majorHAnsi" w:hAnsiTheme="majorHAnsi" w:cstheme="majorHAnsi"/>
        </w:rPr>
        <w:t>significantly higher at 2.40 percentage because of the steeper decline in attendance rate among IRS.</w:t>
      </w:r>
    </w:p>
    <w:p w14:paraId="764A4620" w14:textId="5317EA3D" w:rsidR="008D0CAD" w:rsidRDefault="008D0CAD" w:rsidP="00B31C4E">
      <w:pPr>
        <w:spacing w:before="100" w:beforeAutospacing="1" w:after="100" w:afterAutospacing="1" w:line="360" w:lineRule="auto"/>
        <w:rPr>
          <w:rFonts w:asciiTheme="majorHAnsi" w:hAnsiTheme="majorHAnsi" w:cstheme="majorHAnsi"/>
        </w:rPr>
      </w:pPr>
      <w:r>
        <w:rPr>
          <w:rFonts w:asciiTheme="majorHAnsi" w:hAnsiTheme="majorHAnsi" w:cstheme="majorHAnsi"/>
        </w:rPr>
        <w:t>It is important to note that the analysis cannot attribute the increase and decrease of attendance rate to the BEST Program.</w:t>
      </w:r>
      <w:r w:rsidR="00D434EB">
        <w:rPr>
          <w:rFonts w:asciiTheme="majorHAnsi" w:hAnsiTheme="majorHAnsi" w:cstheme="majorHAnsi"/>
        </w:rPr>
        <w:t xml:space="preserve"> </w:t>
      </w:r>
      <w:r>
        <w:rPr>
          <w:rFonts w:asciiTheme="majorHAnsi" w:hAnsiTheme="majorHAnsi" w:cstheme="majorHAnsi"/>
        </w:rPr>
        <w:t>However, a specific trend evident from the data is important to note, i.e., there was generally a decreasing trend in attendance rate in all schools but the decline in DRS (BEST Program-assisted schools) was more gradual compared to the steep decline that occurred in IRS.</w:t>
      </w:r>
      <w:r w:rsidR="00D434EB">
        <w:rPr>
          <w:rFonts w:asciiTheme="majorHAnsi" w:hAnsiTheme="majorHAnsi" w:cstheme="majorHAnsi"/>
        </w:rPr>
        <w:t xml:space="preserve"> </w:t>
      </w:r>
    </w:p>
    <w:p w14:paraId="1A7130D7" w14:textId="77777777" w:rsidR="008D0CAD" w:rsidRPr="002F0D73" w:rsidRDefault="008D0CAD" w:rsidP="00B31C4E">
      <w:pPr>
        <w:spacing w:before="100" w:beforeAutospacing="1" w:after="100" w:afterAutospacing="1" w:line="360" w:lineRule="auto"/>
        <w:rPr>
          <w:rFonts w:asciiTheme="majorHAnsi" w:hAnsiTheme="majorHAnsi" w:cstheme="majorHAnsi"/>
        </w:rPr>
      </w:pPr>
      <w:r w:rsidRPr="002F0D73">
        <w:rPr>
          <w:rFonts w:asciiTheme="majorHAnsi" w:hAnsiTheme="majorHAnsi" w:cstheme="majorHAnsi"/>
        </w:rPr>
        <w:t>In summary, the observations revealed that program interventions may have</w:t>
      </w:r>
      <w:r>
        <w:rPr>
          <w:rFonts w:asciiTheme="majorHAnsi" w:hAnsiTheme="majorHAnsi" w:cstheme="majorHAnsi"/>
        </w:rPr>
        <w:t xml:space="preserve"> had</w:t>
      </w:r>
      <w:r w:rsidRPr="002F0D73">
        <w:rPr>
          <w:rFonts w:asciiTheme="majorHAnsi" w:hAnsiTheme="majorHAnsi" w:cstheme="majorHAnsi"/>
        </w:rPr>
        <w:t xml:space="preserve"> positive effects in increasing the average attendance rates of students in Grades 4, 5 and 6 in DRS and that the BEST Program may have benefitted Grade 6 students more than the two other grade levels.</w:t>
      </w:r>
    </w:p>
    <w:p w14:paraId="036B66D3" w14:textId="227C0647" w:rsidR="008D0CAD" w:rsidRPr="00091D10" w:rsidRDefault="008D0CAD" w:rsidP="00DD08E3">
      <w:pPr>
        <w:pStyle w:val="Heading5"/>
        <w:numPr>
          <w:ilvl w:val="3"/>
          <w:numId w:val="165"/>
        </w:numPr>
        <w:spacing w:before="100" w:beforeAutospacing="1" w:after="100" w:afterAutospacing="1" w:line="360" w:lineRule="auto"/>
      </w:pPr>
      <w:r>
        <w:t>Elementary Dropout rate/School leaver rate</w:t>
      </w:r>
    </w:p>
    <w:p w14:paraId="4A546167" w14:textId="57820684" w:rsidR="008D0CAD" w:rsidRDefault="008D0CAD" w:rsidP="00B31C4E">
      <w:pPr>
        <w:spacing w:before="100" w:beforeAutospacing="1" w:after="100" w:afterAutospacing="1" w:line="360" w:lineRule="auto"/>
        <w:rPr>
          <w:rFonts w:asciiTheme="majorHAnsi" w:hAnsiTheme="majorHAnsi" w:cstheme="majorHAnsi"/>
        </w:rPr>
      </w:pPr>
      <w:r w:rsidRPr="009E3575">
        <w:rPr>
          <w:rFonts w:asciiTheme="majorHAnsi" w:hAnsiTheme="majorHAnsi" w:cstheme="majorHAnsi"/>
          <w:b/>
        </w:rPr>
        <w:t>Overall School Leaver Rates</w:t>
      </w:r>
      <w:r>
        <w:rPr>
          <w:rFonts w:asciiTheme="majorHAnsi" w:hAnsiTheme="majorHAnsi" w:cstheme="majorHAnsi"/>
          <w:b/>
        </w:rPr>
        <w:t xml:space="preserve"> (SLR)</w:t>
      </w:r>
      <w:r w:rsidRPr="009E3575">
        <w:rPr>
          <w:rFonts w:asciiTheme="majorHAnsi" w:hAnsiTheme="majorHAnsi" w:cstheme="majorHAnsi"/>
          <w:b/>
        </w:rPr>
        <w:t>.</w:t>
      </w:r>
      <w:r>
        <w:rPr>
          <w:rFonts w:asciiTheme="majorHAnsi" w:hAnsiTheme="majorHAnsi" w:cstheme="majorHAnsi"/>
        </w:rPr>
        <w:t xml:space="preserve"> National elementary school leaver rates</w:t>
      </w:r>
      <w:r>
        <w:rPr>
          <w:rStyle w:val="FootnoteReference"/>
          <w:rFonts w:asciiTheme="majorHAnsi" w:eastAsia="Arial Unicode MS" w:hAnsiTheme="majorHAnsi" w:cstheme="majorHAnsi"/>
        </w:rPr>
        <w:footnoteReference w:id="49"/>
      </w:r>
      <w:r>
        <w:rPr>
          <w:rFonts w:asciiTheme="majorHAnsi" w:hAnsiTheme="majorHAnsi" w:cstheme="majorHAnsi"/>
        </w:rPr>
        <w:t xml:space="preserve"> declined from 4.85 per cent in SY2013-2014 to 1.56 per cent in SY2017-2018 or a drop of 3.29 per cent (Figure 16). This declining trend was experienced both for boys and girls. Female </w:t>
      </w:r>
      <w:r w:rsidRPr="004079D5">
        <w:rPr>
          <w:rFonts w:asciiTheme="majorHAnsi" w:hAnsiTheme="majorHAnsi" w:cstheme="majorHAnsi"/>
          <w:bCs/>
        </w:rPr>
        <w:t>SLR</w:t>
      </w:r>
      <w:r>
        <w:rPr>
          <w:rFonts w:asciiTheme="majorHAnsi" w:hAnsiTheme="majorHAnsi" w:cstheme="majorHAnsi"/>
        </w:rPr>
        <w:t xml:space="preserve"> fell from 4.04 per cent to 1.06 per cent during the same period while male</w:t>
      </w:r>
      <w:r w:rsidRPr="00863EAE">
        <w:rPr>
          <w:rFonts w:asciiTheme="majorHAnsi" w:hAnsiTheme="majorHAnsi" w:cstheme="majorHAnsi"/>
        </w:rPr>
        <w:t xml:space="preserve"> </w:t>
      </w:r>
      <w:r w:rsidRPr="004079D5">
        <w:rPr>
          <w:rFonts w:asciiTheme="majorHAnsi" w:hAnsiTheme="majorHAnsi" w:cstheme="majorHAnsi"/>
          <w:bCs/>
        </w:rPr>
        <w:t>SLR</w:t>
      </w:r>
      <w:r>
        <w:rPr>
          <w:rFonts w:asciiTheme="majorHAnsi" w:hAnsiTheme="majorHAnsi" w:cstheme="majorHAnsi"/>
        </w:rPr>
        <w:t xml:space="preserve"> declined faster, falling from 5.59 per cent to 2.01 per cent during the same period.</w:t>
      </w:r>
      <w:r w:rsidR="00D434EB">
        <w:rPr>
          <w:rFonts w:asciiTheme="majorHAnsi" w:hAnsiTheme="majorHAnsi" w:cstheme="majorHAnsi"/>
        </w:rPr>
        <w:t xml:space="preserve"> </w:t>
      </w:r>
    </w:p>
    <w:p w14:paraId="6275C183" w14:textId="08F49E6D" w:rsidR="008D0CAD" w:rsidRPr="004A657A" w:rsidRDefault="008D0CAD" w:rsidP="00B31C4E">
      <w:pPr>
        <w:pageBreakBefore/>
        <w:spacing w:before="100" w:beforeAutospacing="1" w:after="100" w:afterAutospacing="1" w:line="360" w:lineRule="auto"/>
        <w:rPr>
          <w:rFonts w:asciiTheme="majorHAnsi" w:hAnsiTheme="majorHAnsi" w:cstheme="majorHAnsi"/>
          <w:i/>
          <w:color w:val="44546A" w:themeColor="text2"/>
          <w:sz w:val="22"/>
          <w:szCs w:val="22"/>
        </w:rPr>
      </w:pPr>
      <w:bookmarkStart w:id="131" w:name="_Toc71616539"/>
      <w:r w:rsidRPr="004A657A">
        <w:rPr>
          <w:rFonts w:asciiTheme="majorHAnsi" w:hAnsiTheme="majorHAnsi" w:cstheme="majorHAnsi"/>
          <w:i/>
          <w:color w:val="44546A" w:themeColor="text2"/>
          <w:sz w:val="22"/>
          <w:szCs w:val="22"/>
        </w:rPr>
        <w:t xml:space="preserve">Figure </w:t>
      </w:r>
      <w:r w:rsidRPr="004A657A">
        <w:rPr>
          <w:rFonts w:asciiTheme="majorHAnsi" w:hAnsiTheme="majorHAnsi" w:cstheme="majorHAnsi"/>
          <w:i/>
          <w:color w:val="44546A" w:themeColor="text2"/>
          <w:sz w:val="22"/>
          <w:szCs w:val="22"/>
        </w:rPr>
        <w:fldChar w:fldCharType="begin"/>
      </w:r>
      <w:r w:rsidRPr="004A657A">
        <w:rPr>
          <w:rFonts w:asciiTheme="majorHAnsi" w:hAnsiTheme="majorHAnsi" w:cstheme="majorHAnsi"/>
          <w:i/>
          <w:color w:val="44546A" w:themeColor="text2"/>
          <w:sz w:val="22"/>
          <w:szCs w:val="22"/>
        </w:rPr>
        <w:instrText xml:space="preserve"> SEQ Figure \* ARABIC </w:instrText>
      </w:r>
      <w:r w:rsidRPr="004A657A">
        <w:rPr>
          <w:rFonts w:asciiTheme="majorHAnsi" w:hAnsiTheme="majorHAnsi" w:cstheme="majorHAnsi"/>
          <w:i/>
          <w:color w:val="44546A" w:themeColor="text2"/>
          <w:sz w:val="22"/>
          <w:szCs w:val="22"/>
        </w:rPr>
        <w:fldChar w:fldCharType="separate"/>
      </w:r>
      <w:r w:rsidR="00D6133D">
        <w:rPr>
          <w:rFonts w:asciiTheme="majorHAnsi" w:hAnsiTheme="majorHAnsi" w:cstheme="majorHAnsi"/>
          <w:i/>
          <w:noProof/>
          <w:color w:val="44546A" w:themeColor="text2"/>
          <w:sz w:val="22"/>
          <w:szCs w:val="22"/>
        </w:rPr>
        <w:t>12</w:t>
      </w:r>
      <w:r w:rsidRPr="004A657A">
        <w:rPr>
          <w:rFonts w:asciiTheme="majorHAnsi" w:hAnsiTheme="majorHAnsi" w:cstheme="majorHAnsi"/>
          <w:i/>
          <w:color w:val="44546A" w:themeColor="text2"/>
          <w:sz w:val="22"/>
          <w:szCs w:val="22"/>
        </w:rPr>
        <w:fldChar w:fldCharType="end"/>
      </w:r>
      <w:r w:rsidRPr="004A657A">
        <w:rPr>
          <w:rFonts w:asciiTheme="majorHAnsi" w:hAnsiTheme="majorHAnsi" w:cstheme="majorHAnsi"/>
          <w:i/>
          <w:color w:val="44546A" w:themeColor="text2"/>
          <w:sz w:val="22"/>
          <w:szCs w:val="22"/>
        </w:rPr>
        <w:t>. Elementary school leaver rates, SY2013 –2014 to SY2017 – 2018</w:t>
      </w:r>
      <w:bookmarkEnd w:id="131"/>
    </w:p>
    <w:p w14:paraId="0822C2D9" w14:textId="1A54BC6C" w:rsidR="008D0CAD" w:rsidRPr="00B31C4E" w:rsidRDefault="008D0CAD" w:rsidP="00B31C4E">
      <w:pPr>
        <w:spacing w:before="100" w:beforeAutospacing="1" w:after="100" w:afterAutospacing="1" w:line="360" w:lineRule="auto"/>
        <w:rPr>
          <w:rFonts w:asciiTheme="majorHAnsi" w:hAnsiTheme="majorHAnsi" w:cstheme="majorHAnsi"/>
          <w:i/>
          <w:color w:val="44546A" w:themeColor="text2"/>
          <w:sz w:val="22"/>
          <w:szCs w:val="22"/>
        </w:rPr>
      </w:pPr>
      <w:bookmarkStart w:id="132" w:name="_Toc14028941"/>
      <w:r>
        <w:rPr>
          <w:rFonts w:asciiTheme="majorHAnsi" w:hAnsiTheme="majorHAnsi" w:cstheme="majorHAnsi"/>
          <w:i/>
          <w:noProof/>
          <w:color w:val="44546A" w:themeColor="text2"/>
          <w:sz w:val="22"/>
          <w:szCs w:val="22"/>
          <w:lang w:val="en-AU" w:eastAsia="en-AU"/>
        </w:rPr>
        <w:drawing>
          <wp:inline distT="0" distB="0" distL="0" distR="0" wp14:anchorId="1398C0D9" wp14:editId="25706EF2">
            <wp:extent cx="4920147" cy="2860431"/>
            <wp:effectExtent l="0" t="0" r="0" b="0"/>
            <wp:docPr id="54" name="Picture 54" descr="Line graph of Elementary School Leaver Rates, from school year 2013-2014 to 2017-2018; Highest, Males, but declining rate through the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Line graph of Elementary School Leaver Rates, from school year 2013-2014 to 2017-2018; Highest, Males, but declining rate through the years."/>
                    <pic:cNvPicPr/>
                  </pic:nvPicPr>
                  <pic:blipFill rotWithShape="1">
                    <a:blip r:embed="rId34" cstate="print">
                      <a:extLst>
                        <a:ext uri="{28A0092B-C50C-407E-A947-70E740481C1C}">
                          <a14:useLocalDpi xmlns:a14="http://schemas.microsoft.com/office/drawing/2010/main" val="0"/>
                        </a:ext>
                      </a:extLst>
                    </a:blip>
                    <a:srcRect l="36392" t="25332" r="22642" b="36559"/>
                    <a:stretch/>
                  </pic:blipFill>
                  <pic:spPr bwMode="auto">
                    <a:xfrm>
                      <a:off x="0" y="0"/>
                      <a:ext cx="4929203" cy="2865696"/>
                    </a:xfrm>
                    <a:prstGeom prst="rect">
                      <a:avLst/>
                    </a:prstGeom>
                    <a:ln>
                      <a:noFill/>
                    </a:ln>
                    <a:extLst>
                      <a:ext uri="{53640926-AAD7-44D8-BBD7-CCE9431645EC}">
                        <a14:shadowObscured xmlns:a14="http://schemas.microsoft.com/office/drawing/2010/main"/>
                      </a:ext>
                    </a:extLst>
                  </pic:spPr>
                </pic:pic>
              </a:graphicData>
            </a:graphic>
          </wp:inline>
        </w:drawing>
      </w:r>
      <w:bookmarkEnd w:id="132"/>
    </w:p>
    <w:p w14:paraId="3899B5D5" w14:textId="6D5DDF60" w:rsidR="008D0CAD" w:rsidRPr="004A657A" w:rsidRDefault="008D0CAD" w:rsidP="00B31C4E">
      <w:pPr>
        <w:pStyle w:val="Caption"/>
        <w:spacing w:before="100" w:beforeAutospacing="1" w:after="100" w:afterAutospacing="1" w:line="360" w:lineRule="auto"/>
      </w:pPr>
      <w:bookmarkStart w:id="133" w:name="_Toc71616616"/>
      <w:r w:rsidRPr="004A657A">
        <w:rPr>
          <w:rFonts w:asciiTheme="majorHAnsi" w:hAnsiTheme="majorHAnsi" w:cstheme="majorHAnsi"/>
          <w:sz w:val="22"/>
          <w:szCs w:val="22"/>
        </w:rPr>
        <w:t xml:space="preserve">Table </w:t>
      </w:r>
      <w:r w:rsidRPr="004A657A">
        <w:rPr>
          <w:rFonts w:asciiTheme="majorHAnsi" w:hAnsiTheme="majorHAnsi" w:cstheme="majorHAnsi"/>
          <w:i w:val="0"/>
          <w:iCs w:val="0"/>
          <w:sz w:val="22"/>
          <w:szCs w:val="22"/>
        </w:rPr>
        <w:fldChar w:fldCharType="begin"/>
      </w:r>
      <w:r w:rsidRPr="004A657A">
        <w:rPr>
          <w:rFonts w:asciiTheme="majorHAnsi" w:hAnsiTheme="majorHAnsi" w:cstheme="majorHAnsi"/>
          <w:sz w:val="22"/>
          <w:szCs w:val="22"/>
        </w:rPr>
        <w:instrText xml:space="preserve"> SEQ Table \* ARABIC </w:instrText>
      </w:r>
      <w:r w:rsidRPr="004A657A">
        <w:rPr>
          <w:rFonts w:asciiTheme="majorHAnsi" w:hAnsiTheme="majorHAnsi" w:cstheme="majorHAnsi"/>
          <w:i w:val="0"/>
          <w:iCs w:val="0"/>
          <w:sz w:val="22"/>
          <w:szCs w:val="22"/>
        </w:rPr>
        <w:fldChar w:fldCharType="separate"/>
      </w:r>
      <w:r w:rsidR="00D6133D">
        <w:rPr>
          <w:rFonts w:asciiTheme="majorHAnsi" w:hAnsiTheme="majorHAnsi" w:cstheme="majorHAnsi"/>
          <w:noProof/>
          <w:sz w:val="22"/>
          <w:szCs w:val="22"/>
        </w:rPr>
        <w:t>25</w:t>
      </w:r>
      <w:r w:rsidRPr="004A657A">
        <w:rPr>
          <w:rFonts w:asciiTheme="majorHAnsi" w:hAnsiTheme="majorHAnsi" w:cstheme="majorHAnsi"/>
          <w:i w:val="0"/>
          <w:iCs w:val="0"/>
          <w:sz w:val="22"/>
          <w:szCs w:val="22"/>
        </w:rPr>
        <w:fldChar w:fldCharType="end"/>
      </w:r>
      <w:r w:rsidRPr="004A657A">
        <w:rPr>
          <w:rFonts w:asciiTheme="majorHAnsi" w:hAnsiTheme="majorHAnsi" w:cstheme="majorHAnsi"/>
          <w:sz w:val="22"/>
          <w:szCs w:val="22"/>
        </w:rPr>
        <w:t>. Elementary School Leaver Rate by BEST and Non-BEST Regions, SY2013-2014 – SY2017-2018</w:t>
      </w:r>
      <w:bookmarkEnd w:id="133"/>
    </w:p>
    <w:tbl>
      <w:tblPr>
        <w:tblStyle w:val="TableGrid14"/>
        <w:tblW w:w="10080" w:type="dxa"/>
        <w:tblLook w:val="04A0" w:firstRow="1" w:lastRow="0" w:firstColumn="1" w:lastColumn="0" w:noHBand="0" w:noVBand="1"/>
      </w:tblPr>
      <w:tblGrid>
        <w:gridCol w:w="4480"/>
        <w:gridCol w:w="1120"/>
        <w:gridCol w:w="1120"/>
        <w:gridCol w:w="1120"/>
        <w:gridCol w:w="1120"/>
        <w:gridCol w:w="1120"/>
      </w:tblGrid>
      <w:tr w:rsidR="00384E6C" w:rsidRPr="0018621B" w14:paraId="02F2EE47" w14:textId="77777777" w:rsidTr="00E52E1E">
        <w:trPr>
          <w:trHeight w:val="260"/>
          <w:tblHeader/>
        </w:trPr>
        <w:tc>
          <w:tcPr>
            <w:tcW w:w="4480" w:type="dxa"/>
            <w:hideMark/>
          </w:tcPr>
          <w:p w14:paraId="7BE16C4A" w14:textId="77777777" w:rsidR="00384E6C" w:rsidRPr="0018621B" w:rsidRDefault="00384E6C" w:rsidP="00B31C4E">
            <w:pPr>
              <w:spacing w:before="100" w:beforeAutospacing="1" w:after="100" w:afterAutospacing="1" w:line="360" w:lineRule="auto"/>
              <w:rPr>
                <w:sz w:val="20"/>
                <w:szCs w:val="20"/>
              </w:rPr>
            </w:pPr>
            <w:r w:rsidRPr="0018621B">
              <w:rPr>
                <w:rFonts w:ascii="Calibri Light" w:hAnsi="Calibri Light" w:cs="Calibri Light"/>
                <w:b/>
                <w:bCs/>
                <w:color w:val="000000"/>
                <w:sz w:val="16"/>
                <w:szCs w:val="16"/>
              </w:rPr>
              <w:t>Region</w:t>
            </w:r>
          </w:p>
        </w:tc>
        <w:tc>
          <w:tcPr>
            <w:tcW w:w="1120" w:type="dxa"/>
            <w:hideMark/>
          </w:tcPr>
          <w:p w14:paraId="120450C4" w14:textId="77777777" w:rsidR="00384E6C" w:rsidRPr="0018621B" w:rsidRDefault="00384E6C" w:rsidP="00B31C4E">
            <w:pPr>
              <w:spacing w:before="100" w:beforeAutospacing="1" w:after="100" w:afterAutospacing="1" w:line="360" w:lineRule="auto"/>
              <w:rPr>
                <w:rFonts w:ascii="Calibri Light" w:hAnsi="Calibri Light" w:cs="Calibri Light"/>
                <w:b/>
                <w:bCs/>
                <w:color w:val="000000"/>
                <w:sz w:val="16"/>
                <w:szCs w:val="16"/>
              </w:rPr>
            </w:pPr>
            <w:r w:rsidRPr="0018621B">
              <w:rPr>
                <w:rFonts w:ascii="Calibri Light" w:hAnsi="Calibri Light" w:cs="Calibri Light"/>
                <w:b/>
                <w:bCs/>
                <w:color w:val="000000"/>
                <w:sz w:val="16"/>
                <w:szCs w:val="16"/>
              </w:rPr>
              <w:t>2013 - 2014</w:t>
            </w:r>
          </w:p>
        </w:tc>
        <w:tc>
          <w:tcPr>
            <w:tcW w:w="1120" w:type="dxa"/>
            <w:hideMark/>
          </w:tcPr>
          <w:p w14:paraId="4A9B28AC" w14:textId="77777777" w:rsidR="00384E6C" w:rsidRPr="0018621B" w:rsidRDefault="00384E6C" w:rsidP="00B31C4E">
            <w:pPr>
              <w:spacing w:before="100" w:beforeAutospacing="1" w:after="100" w:afterAutospacing="1" w:line="360" w:lineRule="auto"/>
              <w:rPr>
                <w:rFonts w:ascii="Calibri Light" w:hAnsi="Calibri Light" w:cs="Calibri Light"/>
                <w:b/>
                <w:bCs/>
                <w:color w:val="000000"/>
                <w:sz w:val="16"/>
                <w:szCs w:val="16"/>
              </w:rPr>
            </w:pPr>
            <w:r w:rsidRPr="0018621B">
              <w:rPr>
                <w:rFonts w:ascii="Calibri Light" w:hAnsi="Calibri Light" w:cs="Calibri Light"/>
                <w:b/>
                <w:bCs/>
                <w:color w:val="000000"/>
                <w:sz w:val="16"/>
                <w:szCs w:val="16"/>
              </w:rPr>
              <w:t>2014 - 2015</w:t>
            </w:r>
          </w:p>
        </w:tc>
        <w:tc>
          <w:tcPr>
            <w:tcW w:w="1120" w:type="dxa"/>
            <w:hideMark/>
          </w:tcPr>
          <w:p w14:paraId="3D74348A" w14:textId="77777777" w:rsidR="00384E6C" w:rsidRPr="0018621B" w:rsidRDefault="00384E6C" w:rsidP="00B31C4E">
            <w:pPr>
              <w:spacing w:before="100" w:beforeAutospacing="1" w:after="100" w:afterAutospacing="1" w:line="360" w:lineRule="auto"/>
              <w:rPr>
                <w:rFonts w:ascii="Calibri Light" w:hAnsi="Calibri Light" w:cs="Calibri Light"/>
                <w:b/>
                <w:bCs/>
                <w:color w:val="000000"/>
                <w:sz w:val="16"/>
                <w:szCs w:val="16"/>
              </w:rPr>
            </w:pPr>
            <w:r w:rsidRPr="0018621B">
              <w:rPr>
                <w:rFonts w:ascii="Calibri Light" w:hAnsi="Calibri Light" w:cs="Calibri Light"/>
                <w:b/>
                <w:bCs/>
                <w:color w:val="000000"/>
                <w:sz w:val="16"/>
                <w:szCs w:val="16"/>
              </w:rPr>
              <w:t>2015 - 2016</w:t>
            </w:r>
          </w:p>
        </w:tc>
        <w:tc>
          <w:tcPr>
            <w:tcW w:w="1120" w:type="dxa"/>
            <w:hideMark/>
          </w:tcPr>
          <w:p w14:paraId="2E1054BF" w14:textId="77777777" w:rsidR="00384E6C" w:rsidRPr="0018621B" w:rsidRDefault="00384E6C" w:rsidP="00B31C4E">
            <w:pPr>
              <w:spacing w:before="100" w:beforeAutospacing="1" w:after="100" w:afterAutospacing="1" w:line="360" w:lineRule="auto"/>
              <w:rPr>
                <w:rFonts w:ascii="Calibri Light" w:hAnsi="Calibri Light" w:cs="Calibri Light"/>
                <w:b/>
                <w:bCs/>
                <w:color w:val="000000"/>
                <w:sz w:val="16"/>
                <w:szCs w:val="16"/>
              </w:rPr>
            </w:pPr>
            <w:r w:rsidRPr="0018621B">
              <w:rPr>
                <w:rFonts w:ascii="Calibri Light" w:hAnsi="Calibri Light" w:cs="Calibri Light"/>
                <w:b/>
                <w:bCs/>
                <w:color w:val="000000"/>
                <w:sz w:val="16"/>
                <w:szCs w:val="16"/>
              </w:rPr>
              <w:t>2016 - 2017</w:t>
            </w:r>
          </w:p>
        </w:tc>
        <w:tc>
          <w:tcPr>
            <w:tcW w:w="1120" w:type="dxa"/>
            <w:noWrap/>
            <w:hideMark/>
          </w:tcPr>
          <w:p w14:paraId="438FE938" w14:textId="77777777" w:rsidR="00384E6C" w:rsidRPr="007A4F32" w:rsidRDefault="00384E6C" w:rsidP="00B31C4E">
            <w:pPr>
              <w:spacing w:before="100" w:beforeAutospacing="1" w:after="100" w:afterAutospacing="1" w:line="360" w:lineRule="auto"/>
              <w:rPr>
                <w:rFonts w:ascii="Calibri Light" w:hAnsi="Calibri Light" w:cs="Calibri Light"/>
                <w:b/>
                <w:bCs/>
                <w:sz w:val="16"/>
                <w:szCs w:val="16"/>
              </w:rPr>
            </w:pPr>
            <w:r w:rsidRPr="007A4F32">
              <w:rPr>
                <w:rFonts w:ascii="Calibri Light" w:hAnsi="Calibri Light" w:cs="Calibri Light"/>
                <w:b/>
                <w:bCs/>
                <w:sz w:val="16"/>
                <w:szCs w:val="16"/>
              </w:rPr>
              <w:t>2017 - 2018</w:t>
            </w:r>
          </w:p>
        </w:tc>
      </w:tr>
      <w:tr w:rsidR="00B532A0" w:rsidRPr="0018621B" w14:paraId="05DD0877" w14:textId="77777777" w:rsidTr="006147EA">
        <w:trPr>
          <w:trHeight w:val="260"/>
        </w:trPr>
        <w:tc>
          <w:tcPr>
            <w:tcW w:w="4480" w:type="dxa"/>
            <w:noWrap/>
            <w:hideMark/>
          </w:tcPr>
          <w:p w14:paraId="3CABC09B" w14:textId="77777777" w:rsidR="00B532A0" w:rsidRPr="0018621B" w:rsidRDefault="00B532A0" w:rsidP="00B31C4E">
            <w:pPr>
              <w:spacing w:before="100" w:beforeAutospacing="1" w:after="100" w:afterAutospacing="1" w:line="360" w:lineRule="auto"/>
              <w:rPr>
                <w:sz w:val="20"/>
                <w:szCs w:val="20"/>
              </w:rPr>
            </w:pPr>
            <w:r w:rsidRPr="0018621B">
              <w:rPr>
                <w:rFonts w:ascii="Calibri Light" w:hAnsi="Calibri Light" w:cs="Calibri Light"/>
                <w:sz w:val="20"/>
                <w:szCs w:val="20"/>
              </w:rPr>
              <w:t>NATIONAL (CO) Total:</w:t>
            </w:r>
          </w:p>
        </w:tc>
        <w:tc>
          <w:tcPr>
            <w:tcW w:w="1120" w:type="dxa"/>
            <w:noWrap/>
            <w:hideMark/>
          </w:tcPr>
          <w:p w14:paraId="2408D799" w14:textId="77777777" w:rsidR="00B532A0" w:rsidRPr="0018621B" w:rsidRDefault="00B532A0"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4.59%</w:t>
            </w:r>
          </w:p>
        </w:tc>
        <w:tc>
          <w:tcPr>
            <w:tcW w:w="1120" w:type="dxa"/>
            <w:noWrap/>
            <w:hideMark/>
          </w:tcPr>
          <w:p w14:paraId="0243D889" w14:textId="77777777" w:rsidR="00B532A0" w:rsidRPr="0018621B" w:rsidRDefault="00B532A0"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3.20%</w:t>
            </w:r>
          </w:p>
        </w:tc>
        <w:tc>
          <w:tcPr>
            <w:tcW w:w="1120" w:type="dxa"/>
            <w:noWrap/>
            <w:hideMark/>
          </w:tcPr>
          <w:p w14:paraId="7FD6ABF9" w14:textId="77777777" w:rsidR="00B532A0" w:rsidRPr="0018621B" w:rsidRDefault="00B532A0"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2.73%</w:t>
            </w:r>
          </w:p>
        </w:tc>
        <w:tc>
          <w:tcPr>
            <w:tcW w:w="1120" w:type="dxa"/>
            <w:noWrap/>
            <w:hideMark/>
          </w:tcPr>
          <w:p w14:paraId="6990761A" w14:textId="77777777" w:rsidR="00B532A0" w:rsidRPr="0018621B" w:rsidRDefault="00B532A0"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2.00%</w:t>
            </w:r>
          </w:p>
        </w:tc>
        <w:tc>
          <w:tcPr>
            <w:tcW w:w="1120" w:type="dxa"/>
            <w:noWrap/>
            <w:hideMark/>
          </w:tcPr>
          <w:p w14:paraId="660FC3F2" w14:textId="77777777" w:rsidR="00B532A0" w:rsidRPr="0018621B" w:rsidRDefault="00B532A0"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1.04%</w:t>
            </w:r>
          </w:p>
        </w:tc>
      </w:tr>
      <w:tr w:rsidR="00080CF5" w:rsidRPr="0018621B" w14:paraId="331EB4B3" w14:textId="77777777" w:rsidTr="006147EA">
        <w:trPr>
          <w:trHeight w:val="260"/>
        </w:trPr>
        <w:tc>
          <w:tcPr>
            <w:tcW w:w="4480" w:type="dxa"/>
            <w:noWrap/>
          </w:tcPr>
          <w:p w14:paraId="46A35FA7" w14:textId="4D89B8A3" w:rsidR="00080CF5" w:rsidRPr="0018621B" w:rsidRDefault="00080CF5"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BEST Regions</w:t>
            </w:r>
          </w:p>
        </w:tc>
        <w:tc>
          <w:tcPr>
            <w:tcW w:w="1120" w:type="dxa"/>
            <w:noWrap/>
          </w:tcPr>
          <w:p w14:paraId="04996E73" w14:textId="77777777" w:rsidR="00080CF5" w:rsidRPr="0018621B" w:rsidRDefault="00080CF5" w:rsidP="00B31C4E">
            <w:pPr>
              <w:spacing w:before="100" w:beforeAutospacing="1" w:after="100" w:afterAutospacing="1" w:line="360" w:lineRule="auto"/>
              <w:rPr>
                <w:rFonts w:ascii="Calibri Light" w:hAnsi="Calibri Light" w:cs="Calibri Light"/>
                <w:sz w:val="20"/>
                <w:szCs w:val="20"/>
              </w:rPr>
            </w:pPr>
          </w:p>
        </w:tc>
        <w:tc>
          <w:tcPr>
            <w:tcW w:w="1120" w:type="dxa"/>
            <w:noWrap/>
          </w:tcPr>
          <w:p w14:paraId="0D2EF105" w14:textId="77777777" w:rsidR="00080CF5" w:rsidRPr="0018621B" w:rsidRDefault="00080CF5" w:rsidP="00B31C4E">
            <w:pPr>
              <w:spacing w:before="100" w:beforeAutospacing="1" w:after="100" w:afterAutospacing="1" w:line="360" w:lineRule="auto"/>
              <w:rPr>
                <w:rFonts w:ascii="Calibri Light" w:hAnsi="Calibri Light" w:cs="Calibri Light"/>
                <w:sz w:val="20"/>
                <w:szCs w:val="20"/>
              </w:rPr>
            </w:pPr>
          </w:p>
        </w:tc>
        <w:tc>
          <w:tcPr>
            <w:tcW w:w="1120" w:type="dxa"/>
            <w:noWrap/>
          </w:tcPr>
          <w:p w14:paraId="5CE10BFB" w14:textId="77777777" w:rsidR="00080CF5" w:rsidRPr="0018621B" w:rsidRDefault="00080CF5" w:rsidP="00B31C4E">
            <w:pPr>
              <w:spacing w:before="100" w:beforeAutospacing="1" w:after="100" w:afterAutospacing="1" w:line="360" w:lineRule="auto"/>
              <w:rPr>
                <w:rFonts w:ascii="Calibri Light" w:hAnsi="Calibri Light" w:cs="Calibri Light"/>
                <w:sz w:val="20"/>
                <w:szCs w:val="20"/>
              </w:rPr>
            </w:pPr>
          </w:p>
        </w:tc>
        <w:tc>
          <w:tcPr>
            <w:tcW w:w="1120" w:type="dxa"/>
            <w:noWrap/>
          </w:tcPr>
          <w:p w14:paraId="40957ABE" w14:textId="77777777" w:rsidR="00080CF5" w:rsidRPr="0018621B" w:rsidRDefault="00080CF5" w:rsidP="00B31C4E">
            <w:pPr>
              <w:spacing w:before="100" w:beforeAutospacing="1" w:after="100" w:afterAutospacing="1" w:line="360" w:lineRule="auto"/>
              <w:rPr>
                <w:rFonts w:ascii="Calibri Light" w:hAnsi="Calibri Light" w:cs="Calibri Light"/>
                <w:sz w:val="20"/>
                <w:szCs w:val="20"/>
              </w:rPr>
            </w:pPr>
          </w:p>
        </w:tc>
        <w:tc>
          <w:tcPr>
            <w:tcW w:w="1120" w:type="dxa"/>
            <w:noWrap/>
          </w:tcPr>
          <w:p w14:paraId="4192ADB4" w14:textId="77777777" w:rsidR="00080CF5" w:rsidRPr="0018621B" w:rsidRDefault="00080CF5" w:rsidP="00B31C4E">
            <w:pPr>
              <w:spacing w:before="100" w:beforeAutospacing="1" w:after="100" w:afterAutospacing="1" w:line="360" w:lineRule="auto"/>
              <w:rPr>
                <w:rFonts w:ascii="Calibri Light" w:hAnsi="Calibri Light" w:cs="Calibri Light"/>
                <w:sz w:val="20"/>
                <w:szCs w:val="20"/>
              </w:rPr>
            </w:pPr>
          </w:p>
        </w:tc>
      </w:tr>
      <w:tr w:rsidR="00CB2650" w:rsidRPr="0018621B" w14:paraId="212E8019" w14:textId="77777777" w:rsidTr="006147EA">
        <w:trPr>
          <w:trHeight w:val="260"/>
        </w:trPr>
        <w:tc>
          <w:tcPr>
            <w:tcW w:w="4480" w:type="dxa"/>
            <w:noWrap/>
            <w:hideMark/>
          </w:tcPr>
          <w:p w14:paraId="3D2E30B3" w14:textId="77777777" w:rsidR="00CB2650" w:rsidRPr="0018621B" w:rsidRDefault="00CB2650" w:rsidP="00B31C4E">
            <w:pPr>
              <w:spacing w:before="100" w:beforeAutospacing="1" w:after="100" w:afterAutospacing="1" w:line="360" w:lineRule="auto"/>
              <w:rPr>
                <w:sz w:val="20"/>
                <w:szCs w:val="20"/>
              </w:rPr>
            </w:pPr>
            <w:r w:rsidRPr="0018621B">
              <w:rPr>
                <w:rFonts w:ascii="Calibri Light" w:hAnsi="Calibri Light" w:cs="Calibri Light"/>
                <w:sz w:val="20"/>
                <w:szCs w:val="20"/>
              </w:rPr>
              <w:t>Region V - Bicol Region</w:t>
            </w:r>
          </w:p>
        </w:tc>
        <w:tc>
          <w:tcPr>
            <w:tcW w:w="1120" w:type="dxa"/>
            <w:noWrap/>
            <w:hideMark/>
          </w:tcPr>
          <w:p w14:paraId="300F0950" w14:textId="77777777" w:rsidR="00CB2650" w:rsidRPr="0018621B" w:rsidRDefault="00CB2650"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3.08%</w:t>
            </w:r>
          </w:p>
        </w:tc>
        <w:tc>
          <w:tcPr>
            <w:tcW w:w="1120" w:type="dxa"/>
            <w:noWrap/>
            <w:hideMark/>
          </w:tcPr>
          <w:p w14:paraId="4BE50413" w14:textId="77777777" w:rsidR="00CB2650" w:rsidRPr="0018621B" w:rsidRDefault="00CB2650"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2.92%</w:t>
            </w:r>
          </w:p>
        </w:tc>
        <w:tc>
          <w:tcPr>
            <w:tcW w:w="1120" w:type="dxa"/>
            <w:noWrap/>
            <w:hideMark/>
          </w:tcPr>
          <w:p w14:paraId="2BDA27B8" w14:textId="77777777" w:rsidR="00CB2650" w:rsidRPr="0018621B" w:rsidRDefault="00CB2650"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2.43%</w:t>
            </w:r>
          </w:p>
        </w:tc>
        <w:tc>
          <w:tcPr>
            <w:tcW w:w="1120" w:type="dxa"/>
            <w:noWrap/>
            <w:hideMark/>
          </w:tcPr>
          <w:p w14:paraId="6B327703" w14:textId="77777777" w:rsidR="00CB2650" w:rsidRPr="0018621B" w:rsidRDefault="00CB2650"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1.44%</w:t>
            </w:r>
          </w:p>
        </w:tc>
        <w:tc>
          <w:tcPr>
            <w:tcW w:w="1120" w:type="dxa"/>
            <w:noWrap/>
            <w:hideMark/>
          </w:tcPr>
          <w:p w14:paraId="0A0C9EA3" w14:textId="77777777" w:rsidR="00CB2650" w:rsidRPr="0018621B" w:rsidRDefault="00CB2650"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1.50%</w:t>
            </w:r>
          </w:p>
        </w:tc>
      </w:tr>
      <w:tr w:rsidR="00CB2650" w:rsidRPr="0018621B" w14:paraId="55E3BFDC" w14:textId="77777777" w:rsidTr="006147EA">
        <w:trPr>
          <w:trHeight w:val="260"/>
        </w:trPr>
        <w:tc>
          <w:tcPr>
            <w:tcW w:w="4480" w:type="dxa"/>
            <w:noWrap/>
            <w:hideMark/>
          </w:tcPr>
          <w:p w14:paraId="0FF5115B" w14:textId="77777777" w:rsidR="00CB2650" w:rsidRPr="0018621B" w:rsidRDefault="00CB2650" w:rsidP="00B31C4E">
            <w:pPr>
              <w:spacing w:before="100" w:beforeAutospacing="1" w:after="100" w:afterAutospacing="1" w:line="360" w:lineRule="auto"/>
              <w:rPr>
                <w:sz w:val="20"/>
                <w:szCs w:val="20"/>
              </w:rPr>
            </w:pPr>
            <w:r w:rsidRPr="0018621B">
              <w:rPr>
                <w:rFonts w:ascii="Calibri Light" w:hAnsi="Calibri Light" w:cs="Calibri Light"/>
                <w:sz w:val="20"/>
                <w:szCs w:val="20"/>
              </w:rPr>
              <w:t>Region VI - Western Visayas</w:t>
            </w:r>
          </w:p>
        </w:tc>
        <w:tc>
          <w:tcPr>
            <w:tcW w:w="1120" w:type="dxa"/>
            <w:noWrap/>
            <w:hideMark/>
          </w:tcPr>
          <w:p w14:paraId="47A79478" w14:textId="77777777" w:rsidR="00CB2650" w:rsidRPr="0018621B" w:rsidRDefault="00CB2650"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2.97%</w:t>
            </w:r>
          </w:p>
        </w:tc>
        <w:tc>
          <w:tcPr>
            <w:tcW w:w="1120" w:type="dxa"/>
            <w:noWrap/>
            <w:hideMark/>
          </w:tcPr>
          <w:p w14:paraId="02F79338" w14:textId="77777777" w:rsidR="00CB2650" w:rsidRPr="0018621B" w:rsidRDefault="00CB2650"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1.97</w:t>
            </w:r>
            <w:r>
              <w:rPr>
                <w:rFonts w:ascii="Calibri Light" w:hAnsi="Calibri Light" w:cs="Calibri Light"/>
                <w:sz w:val="20"/>
                <w:szCs w:val="20"/>
              </w:rPr>
              <w:t>%</w:t>
            </w:r>
          </w:p>
        </w:tc>
        <w:tc>
          <w:tcPr>
            <w:tcW w:w="1120" w:type="dxa"/>
            <w:noWrap/>
            <w:hideMark/>
          </w:tcPr>
          <w:p w14:paraId="6ED773BA" w14:textId="77777777" w:rsidR="00CB2650" w:rsidRPr="0018621B" w:rsidRDefault="00CB2650"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1.81%</w:t>
            </w:r>
          </w:p>
        </w:tc>
        <w:tc>
          <w:tcPr>
            <w:tcW w:w="1120" w:type="dxa"/>
            <w:noWrap/>
            <w:hideMark/>
          </w:tcPr>
          <w:p w14:paraId="5A7FA31A" w14:textId="77777777" w:rsidR="00CB2650" w:rsidRPr="0018621B" w:rsidRDefault="00CB2650"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0.83%</w:t>
            </w:r>
          </w:p>
        </w:tc>
        <w:tc>
          <w:tcPr>
            <w:tcW w:w="1120" w:type="dxa"/>
            <w:noWrap/>
            <w:hideMark/>
          </w:tcPr>
          <w:p w14:paraId="6DA10904" w14:textId="77777777" w:rsidR="00CB2650" w:rsidRPr="0018621B" w:rsidRDefault="00CB2650"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0.41%</w:t>
            </w:r>
          </w:p>
        </w:tc>
      </w:tr>
      <w:tr w:rsidR="00CB2650" w:rsidRPr="0018621B" w14:paraId="712CA9F0" w14:textId="77777777" w:rsidTr="006147EA">
        <w:trPr>
          <w:trHeight w:val="260"/>
        </w:trPr>
        <w:tc>
          <w:tcPr>
            <w:tcW w:w="4480" w:type="dxa"/>
            <w:noWrap/>
            <w:hideMark/>
          </w:tcPr>
          <w:p w14:paraId="1D4439DC" w14:textId="77777777" w:rsidR="00CB2650" w:rsidRPr="0018621B" w:rsidRDefault="00CB2650" w:rsidP="00B31C4E">
            <w:pPr>
              <w:spacing w:before="100" w:beforeAutospacing="1" w:after="100" w:afterAutospacing="1" w:line="360" w:lineRule="auto"/>
              <w:rPr>
                <w:sz w:val="20"/>
                <w:szCs w:val="20"/>
              </w:rPr>
            </w:pPr>
            <w:r w:rsidRPr="0018621B">
              <w:rPr>
                <w:rFonts w:ascii="Calibri Light" w:hAnsi="Calibri Light" w:cs="Calibri Light"/>
                <w:sz w:val="20"/>
                <w:szCs w:val="20"/>
              </w:rPr>
              <w:t>Region VII - Central Visayas</w:t>
            </w:r>
          </w:p>
        </w:tc>
        <w:tc>
          <w:tcPr>
            <w:tcW w:w="1120" w:type="dxa"/>
            <w:noWrap/>
            <w:hideMark/>
          </w:tcPr>
          <w:p w14:paraId="5D6C65B7" w14:textId="77777777" w:rsidR="00CB2650" w:rsidRPr="0018621B" w:rsidRDefault="00CB2650"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2.97%</w:t>
            </w:r>
          </w:p>
        </w:tc>
        <w:tc>
          <w:tcPr>
            <w:tcW w:w="1120" w:type="dxa"/>
            <w:noWrap/>
            <w:hideMark/>
          </w:tcPr>
          <w:p w14:paraId="2287118C" w14:textId="77777777" w:rsidR="00CB2650" w:rsidRPr="0018621B" w:rsidRDefault="00CB2650"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2.47%</w:t>
            </w:r>
          </w:p>
        </w:tc>
        <w:tc>
          <w:tcPr>
            <w:tcW w:w="1120" w:type="dxa"/>
            <w:noWrap/>
            <w:hideMark/>
          </w:tcPr>
          <w:p w14:paraId="32B8E933" w14:textId="77777777" w:rsidR="00CB2650" w:rsidRPr="0018621B" w:rsidRDefault="00CB2650"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2.17%</w:t>
            </w:r>
          </w:p>
        </w:tc>
        <w:tc>
          <w:tcPr>
            <w:tcW w:w="1120" w:type="dxa"/>
            <w:noWrap/>
            <w:hideMark/>
          </w:tcPr>
          <w:p w14:paraId="7AD70BFC" w14:textId="77777777" w:rsidR="00CB2650" w:rsidRPr="0018621B" w:rsidRDefault="00CB2650"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1.03%</w:t>
            </w:r>
          </w:p>
        </w:tc>
        <w:tc>
          <w:tcPr>
            <w:tcW w:w="1120" w:type="dxa"/>
            <w:noWrap/>
            <w:hideMark/>
          </w:tcPr>
          <w:p w14:paraId="26F3C72C" w14:textId="77777777" w:rsidR="00CB2650" w:rsidRPr="0018621B" w:rsidRDefault="00CB2650"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0.63%</w:t>
            </w:r>
          </w:p>
        </w:tc>
      </w:tr>
      <w:tr w:rsidR="00384E6C" w:rsidRPr="0018621B" w14:paraId="52BF14E8" w14:textId="77777777" w:rsidTr="006147EA">
        <w:trPr>
          <w:trHeight w:val="260"/>
        </w:trPr>
        <w:tc>
          <w:tcPr>
            <w:tcW w:w="4480" w:type="dxa"/>
            <w:noWrap/>
            <w:hideMark/>
          </w:tcPr>
          <w:p w14:paraId="59805CEA" w14:textId="77777777" w:rsidR="00384E6C" w:rsidRPr="0018621B" w:rsidRDefault="00384E6C" w:rsidP="00B31C4E">
            <w:pPr>
              <w:spacing w:before="100" w:beforeAutospacing="1" w:after="100" w:afterAutospacing="1" w:line="360" w:lineRule="auto"/>
              <w:rPr>
                <w:sz w:val="20"/>
                <w:szCs w:val="20"/>
              </w:rPr>
            </w:pPr>
            <w:r w:rsidRPr="0018621B">
              <w:rPr>
                <w:rFonts w:ascii="Calibri Light" w:hAnsi="Calibri Light" w:cs="Calibri Light"/>
                <w:sz w:val="20"/>
                <w:szCs w:val="20"/>
              </w:rPr>
              <w:t>Region VIII - Eastern Visayas</w:t>
            </w:r>
          </w:p>
        </w:tc>
        <w:tc>
          <w:tcPr>
            <w:tcW w:w="1120" w:type="dxa"/>
            <w:noWrap/>
            <w:hideMark/>
          </w:tcPr>
          <w:p w14:paraId="2C79593F" w14:textId="77777777" w:rsidR="00384E6C" w:rsidRPr="0018621B" w:rsidRDefault="00384E6C"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4.06%</w:t>
            </w:r>
          </w:p>
        </w:tc>
        <w:tc>
          <w:tcPr>
            <w:tcW w:w="1120" w:type="dxa"/>
            <w:noWrap/>
            <w:hideMark/>
          </w:tcPr>
          <w:p w14:paraId="4661905E" w14:textId="77777777" w:rsidR="00384E6C" w:rsidRPr="0018621B" w:rsidRDefault="00384E6C"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2.67%</w:t>
            </w:r>
          </w:p>
        </w:tc>
        <w:tc>
          <w:tcPr>
            <w:tcW w:w="1120" w:type="dxa"/>
            <w:noWrap/>
            <w:hideMark/>
          </w:tcPr>
          <w:p w14:paraId="27EC2EC1" w14:textId="77777777" w:rsidR="00384E6C" w:rsidRPr="0018621B" w:rsidRDefault="00384E6C"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2.03%</w:t>
            </w:r>
          </w:p>
        </w:tc>
        <w:tc>
          <w:tcPr>
            <w:tcW w:w="1120" w:type="dxa"/>
            <w:noWrap/>
            <w:hideMark/>
          </w:tcPr>
          <w:p w14:paraId="2ACA7C54" w14:textId="77777777" w:rsidR="00384E6C" w:rsidRPr="0018621B" w:rsidRDefault="00384E6C"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1.36%</w:t>
            </w:r>
          </w:p>
        </w:tc>
        <w:tc>
          <w:tcPr>
            <w:tcW w:w="1120" w:type="dxa"/>
            <w:noWrap/>
            <w:hideMark/>
          </w:tcPr>
          <w:p w14:paraId="351070AB" w14:textId="77777777" w:rsidR="00384E6C" w:rsidRPr="0018621B" w:rsidRDefault="00384E6C"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0.61%</w:t>
            </w:r>
          </w:p>
        </w:tc>
      </w:tr>
      <w:tr w:rsidR="00384E6C" w:rsidRPr="0018621B" w14:paraId="06720278" w14:textId="77777777" w:rsidTr="006147EA">
        <w:trPr>
          <w:trHeight w:val="260"/>
        </w:trPr>
        <w:tc>
          <w:tcPr>
            <w:tcW w:w="4480" w:type="dxa"/>
            <w:noWrap/>
            <w:hideMark/>
          </w:tcPr>
          <w:p w14:paraId="0791D862" w14:textId="77777777" w:rsidR="00384E6C" w:rsidRPr="0018621B" w:rsidRDefault="00384E6C" w:rsidP="00B31C4E">
            <w:pPr>
              <w:spacing w:before="100" w:beforeAutospacing="1" w:after="100" w:afterAutospacing="1" w:line="360" w:lineRule="auto"/>
              <w:rPr>
                <w:sz w:val="20"/>
                <w:szCs w:val="20"/>
              </w:rPr>
            </w:pPr>
            <w:r w:rsidRPr="0018621B">
              <w:rPr>
                <w:rFonts w:ascii="Calibri Light" w:hAnsi="Calibri Light" w:cs="Calibri Light"/>
                <w:sz w:val="20"/>
                <w:szCs w:val="20"/>
              </w:rPr>
              <w:t>Region X - Northern Mindanao</w:t>
            </w:r>
          </w:p>
        </w:tc>
        <w:tc>
          <w:tcPr>
            <w:tcW w:w="1120" w:type="dxa"/>
            <w:noWrap/>
            <w:hideMark/>
          </w:tcPr>
          <w:p w14:paraId="0126E1C0" w14:textId="77777777" w:rsidR="00384E6C" w:rsidRPr="0018621B" w:rsidRDefault="00384E6C"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5.80%</w:t>
            </w:r>
          </w:p>
        </w:tc>
        <w:tc>
          <w:tcPr>
            <w:tcW w:w="1120" w:type="dxa"/>
            <w:noWrap/>
            <w:hideMark/>
          </w:tcPr>
          <w:p w14:paraId="4BAF346D" w14:textId="77777777" w:rsidR="00384E6C" w:rsidRPr="0018621B" w:rsidRDefault="00384E6C"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3.93%</w:t>
            </w:r>
          </w:p>
        </w:tc>
        <w:tc>
          <w:tcPr>
            <w:tcW w:w="1120" w:type="dxa"/>
            <w:noWrap/>
            <w:hideMark/>
          </w:tcPr>
          <w:p w14:paraId="1B7B23DA" w14:textId="77777777" w:rsidR="00384E6C" w:rsidRPr="0018621B" w:rsidRDefault="00384E6C"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2.99%</w:t>
            </w:r>
          </w:p>
        </w:tc>
        <w:tc>
          <w:tcPr>
            <w:tcW w:w="1120" w:type="dxa"/>
            <w:noWrap/>
            <w:hideMark/>
          </w:tcPr>
          <w:p w14:paraId="5E1B1080" w14:textId="77777777" w:rsidR="00384E6C" w:rsidRPr="0018621B" w:rsidRDefault="00384E6C"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2.07%</w:t>
            </w:r>
          </w:p>
        </w:tc>
        <w:tc>
          <w:tcPr>
            <w:tcW w:w="1120" w:type="dxa"/>
            <w:noWrap/>
            <w:hideMark/>
          </w:tcPr>
          <w:p w14:paraId="4F54E214" w14:textId="77777777" w:rsidR="00384E6C" w:rsidRPr="0018621B" w:rsidRDefault="00384E6C"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0.29%</w:t>
            </w:r>
          </w:p>
        </w:tc>
      </w:tr>
      <w:tr w:rsidR="00384E6C" w:rsidRPr="0018621B" w14:paraId="075BECDC" w14:textId="77777777" w:rsidTr="006147EA">
        <w:trPr>
          <w:trHeight w:val="260"/>
        </w:trPr>
        <w:tc>
          <w:tcPr>
            <w:tcW w:w="4480" w:type="dxa"/>
            <w:noWrap/>
            <w:hideMark/>
          </w:tcPr>
          <w:p w14:paraId="5ED569F8" w14:textId="77777777" w:rsidR="00384E6C" w:rsidRPr="0018621B" w:rsidRDefault="00384E6C" w:rsidP="00B31C4E">
            <w:pPr>
              <w:spacing w:before="100" w:beforeAutospacing="1" w:after="100" w:afterAutospacing="1" w:line="360" w:lineRule="auto"/>
              <w:rPr>
                <w:sz w:val="20"/>
                <w:szCs w:val="20"/>
              </w:rPr>
            </w:pPr>
            <w:r w:rsidRPr="0018621B">
              <w:rPr>
                <w:rFonts w:ascii="Calibri Light" w:hAnsi="Calibri Light" w:cs="Calibri Light"/>
                <w:sz w:val="20"/>
                <w:szCs w:val="20"/>
              </w:rPr>
              <w:t>NCR - National Capital Region</w:t>
            </w:r>
          </w:p>
        </w:tc>
        <w:tc>
          <w:tcPr>
            <w:tcW w:w="1120" w:type="dxa"/>
            <w:noWrap/>
            <w:hideMark/>
          </w:tcPr>
          <w:p w14:paraId="3C4F27A9" w14:textId="77777777" w:rsidR="00384E6C" w:rsidRPr="0018621B" w:rsidRDefault="00384E6C"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3.39%</w:t>
            </w:r>
          </w:p>
        </w:tc>
        <w:tc>
          <w:tcPr>
            <w:tcW w:w="1120" w:type="dxa"/>
            <w:noWrap/>
            <w:hideMark/>
          </w:tcPr>
          <w:p w14:paraId="43B14CB2" w14:textId="77777777" w:rsidR="00384E6C" w:rsidRPr="0018621B" w:rsidRDefault="00384E6C"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4.56%</w:t>
            </w:r>
          </w:p>
        </w:tc>
        <w:tc>
          <w:tcPr>
            <w:tcW w:w="1120" w:type="dxa"/>
            <w:noWrap/>
            <w:hideMark/>
          </w:tcPr>
          <w:p w14:paraId="03D81B64" w14:textId="77777777" w:rsidR="00384E6C" w:rsidRPr="0018621B" w:rsidRDefault="00384E6C"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3.19%</w:t>
            </w:r>
          </w:p>
        </w:tc>
        <w:tc>
          <w:tcPr>
            <w:tcW w:w="1120" w:type="dxa"/>
            <w:noWrap/>
            <w:hideMark/>
          </w:tcPr>
          <w:p w14:paraId="149F6CD3" w14:textId="77777777" w:rsidR="00384E6C" w:rsidRPr="0018621B" w:rsidRDefault="00384E6C"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1.68%</w:t>
            </w:r>
          </w:p>
        </w:tc>
        <w:tc>
          <w:tcPr>
            <w:tcW w:w="1120" w:type="dxa"/>
            <w:noWrap/>
            <w:hideMark/>
          </w:tcPr>
          <w:p w14:paraId="431E958C" w14:textId="77777777" w:rsidR="00384E6C" w:rsidRPr="0018621B" w:rsidRDefault="00384E6C"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0.69%</w:t>
            </w:r>
          </w:p>
        </w:tc>
      </w:tr>
      <w:tr w:rsidR="00080CF5" w:rsidRPr="0018621B" w14:paraId="487E6065" w14:textId="77777777" w:rsidTr="006147EA">
        <w:trPr>
          <w:trHeight w:val="260"/>
        </w:trPr>
        <w:tc>
          <w:tcPr>
            <w:tcW w:w="4480" w:type="dxa"/>
            <w:noWrap/>
          </w:tcPr>
          <w:p w14:paraId="7BB1EFC7" w14:textId="0A49B6DF" w:rsidR="00080CF5" w:rsidRPr="0018621B" w:rsidRDefault="00080CF5"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Non-BEST Regions</w:t>
            </w:r>
          </w:p>
        </w:tc>
        <w:tc>
          <w:tcPr>
            <w:tcW w:w="1120" w:type="dxa"/>
            <w:noWrap/>
          </w:tcPr>
          <w:p w14:paraId="7448942F" w14:textId="77777777" w:rsidR="00080CF5" w:rsidRPr="0018621B" w:rsidRDefault="00080CF5" w:rsidP="00B31C4E">
            <w:pPr>
              <w:spacing w:before="100" w:beforeAutospacing="1" w:after="100" w:afterAutospacing="1" w:line="360" w:lineRule="auto"/>
              <w:rPr>
                <w:rFonts w:ascii="Calibri Light" w:hAnsi="Calibri Light" w:cs="Calibri Light"/>
                <w:sz w:val="20"/>
                <w:szCs w:val="20"/>
              </w:rPr>
            </w:pPr>
          </w:p>
        </w:tc>
        <w:tc>
          <w:tcPr>
            <w:tcW w:w="1120" w:type="dxa"/>
            <w:noWrap/>
          </w:tcPr>
          <w:p w14:paraId="1F69C8AF" w14:textId="77777777" w:rsidR="00080CF5" w:rsidRPr="0018621B" w:rsidRDefault="00080CF5" w:rsidP="00B31C4E">
            <w:pPr>
              <w:spacing w:before="100" w:beforeAutospacing="1" w:after="100" w:afterAutospacing="1" w:line="360" w:lineRule="auto"/>
              <w:rPr>
                <w:rFonts w:ascii="Calibri Light" w:hAnsi="Calibri Light" w:cs="Calibri Light"/>
                <w:sz w:val="20"/>
                <w:szCs w:val="20"/>
              </w:rPr>
            </w:pPr>
          </w:p>
        </w:tc>
        <w:tc>
          <w:tcPr>
            <w:tcW w:w="1120" w:type="dxa"/>
            <w:noWrap/>
          </w:tcPr>
          <w:p w14:paraId="3844B3EC" w14:textId="77777777" w:rsidR="00080CF5" w:rsidRPr="0018621B" w:rsidRDefault="00080CF5" w:rsidP="00B31C4E">
            <w:pPr>
              <w:spacing w:before="100" w:beforeAutospacing="1" w:after="100" w:afterAutospacing="1" w:line="360" w:lineRule="auto"/>
              <w:rPr>
                <w:rFonts w:ascii="Calibri Light" w:hAnsi="Calibri Light" w:cs="Calibri Light"/>
                <w:sz w:val="20"/>
                <w:szCs w:val="20"/>
              </w:rPr>
            </w:pPr>
          </w:p>
        </w:tc>
        <w:tc>
          <w:tcPr>
            <w:tcW w:w="1120" w:type="dxa"/>
            <w:noWrap/>
          </w:tcPr>
          <w:p w14:paraId="3EB7301D" w14:textId="77777777" w:rsidR="00080CF5" w:rsidRPr="0018621B" w:rsidRDefault="00080CF5" w:rsidP="00B31C4E">
            <w:pPr>
              <w:spacing w:before="100" w:beforeAutospacing="1" w:after="100" w:afterAutospacing="1" w:line="360" w:lineRule="auto"/>
              <w:rPr>
                <w:rFonts w:ascii="Calibri Light" w:hAnsi="Calibri Light" w:cs="Calibri Light"/>
                <w:sz w:val="20"/>
                <w:szCs w:val="20"/>
              </w:rPr>
            </w:pPr>
          </w:p>
        </w:tc>
        <w:tc>
          <w:tcPr>
            <w:tcW w:w="1120" w:type="dxa"/>
            <w:noWrap/>
          </w:tcPr>
          <w:p w14:paraId="14BD9809" w14:textId="77777777" w:rsidR="00080CF5" w:rsidRPr="0018621B" w:rsidRDefault="00080CF5" w:rsidP="00B31C4E">
            <w:pPr>
              <w:spacing w:before="100" w:beforeAutospacing="1" w:after="100" w:afterAutospacing="1" w:line="360" w:lineRule="auto"/>
              <w:rPr>
                <w:rFonts w:ascii="Calibri Light" w:hAnsi="Calibri Light" w:cs="Calibri Light"/>
                <w:sz w:val="20"/>
                <w:szCs w:val="20"/>
              </w:rPr>
            </w:pPr>
          </w:p>
        </w:tc>
      </w:tr>
      <w:tr w:rsidR="002339E6" w:rsidRPr="0018621B" w14:paraId="529BF872" w14:textId="77777777" w:rsidTr="006147EA">
        <w:trPr>
          <w:trHeight w:val="260"/>
        </w:trPr>
        <w:tc>
          <w:tcPr>
            <w:tcW w:w="4480" w:type="dxa"/>
            <w:noWrap/>
            <w:hideMark/>
          </w:tcPr>
          <w:p w14:paraId="3448E83F" w14:textId="77777777" w:rsidR="002339E6" w:rsidRPr="0018621B" w:rsidRDefault="002339E6" w:rsidP="00B31C4E">
            <w:pPr>
              <w:spacing w:before="100" w:beforeAutospacing="1" w:after="100" w:afterAutospacing="1" w:line="360" w:lineRule="auto"/>
              <w:rPr>
                <w:sz w:val="20"/>
                <w:szCs w:val="20"/>
              </w:rPr>
            </w:pPr>
            <w:r w:rsidRPr="0018621B">
              <w:rPr>
                <w:rFonts w:ascii="Calibri Light" w:hAnsi="Calibri Light" w:cs="Calibri Light"/>
                <w:sz w:val="20"/>
                <w:szCs w:val="20"/>
              </w:rPr>
              <w:t>Region I - Ilocos Region</w:t>
            </w:r>
          </w:p>
        </w:tc>
        <w:tc>
          <w:tcPr>
            <w:tcW w:w="1120" w:type="dxa"/>
            <w:noWrap/>
            <w:hideMark/>
          </w:tcPr>
          <w:p w14:paraId="6C02853C" w14:textId="77777777" w:rsidR="002339E6" w:rsidRPr="0018621B" w:rsidRDefault="002339E6"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1.90%</w:t>
            </w:r>
          </w:p>
        </w:tc>
        <w:tc>
          <w:tcPr>
            <w:tcW w:w="1120" w:type="dxa"/>
            <w:noWrap/>
            <w:hideMark/>
          </w:tcPr>
          <w:p w14:paraId="37BE5286" w14:textId="77777777" w:rsidR="002339E6" w:rsidRPr="0018621B" w:rsidRDefault="002339E6"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1.20%</w:t>
            </w:r>
          </w:p>
        </w:tc>
        <w:tc>
          <w:tcPr>
            <w:tcW w:w="1120" w:type="dxa"/>
            <w:noWrap/>
            <w:hideMark/>
          </w:tcPr>
          <w:p w14:paraId="1B709EBF" w14:textId="77777777" w:rsidR="002339E6" w:rsidRPr="0018621B" w:rsidRDefault="002339E6"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1.08%</w:t>
            </w:r>
          </w:p>
        </w:tc>
        <w:tc>
          <w:tcPr>
            <w:tcW w:w="1120" w:type="dxa"/>
            <w:noWrap/>
            <w:hideMark/>
          </w:tcPr>
          <w:p w14:paraId="4A86C47A" w14:textId="77777777" w:rsidR="002339E6" w:rsidRPr="0018621B" w:rsidRDefault="002339E6"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0.21%</w:t>
            </w:r>
          </w:p>
        </w:tc>
        <w:tc>
          <w:tcPr>
            <w:tcW w:w="1120" w:type="dxa"/>
            <w:noWrap/>
            <w:hideMark/>
          </w:tcPr>
          <w:p w14:paraId="2F2C53EA" w14:textId="77777777" w:rsidR="002339E6" w:rsidRPr="0018621B" w:rsidRDefault="002339E6"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0.17%</w:t>
            </w:r>
          </w:p>
        </w:tc>
      </w:tr>
      <w:tr w:rsidR="002339E6" w:rsidRPr="0018621B" w14:paraId="1549EE7B" w14:textId="77777777" w:rsidTr="006147EA">
        <w:trPr>
          <w:trHeight w:val="260"/>
        </w:trPr>
        <w:tc>
          <w:tcPr>
            <w:tcW w:w="4480" w:type="dxa"/>
            <w:noWrap/>
            <w:hideMark/>
          </w:tcPr>
          <w:p w14:paraId="44970F58" w14:textId="77777777" w:rsidR="002339E6" w:rsidRPr="0018621B" w:rsidRDefault="002339E6" w:rsidP="00B31C4E">
            <w:pPr>
              <w:spacing w:before="100" w:beforeAutospacing="1" w:after="100" w:afterAutospacing="1" w:line="360" w:lineRule="auto"/>
              <w:rPr>
                <w:sz w:val="20"/>
                <w:szCs w:val="20"/>
              </w:rPr>
            </w:pPr>
            <w:r w:rsidRPr="0018621B">
              <w:rPr>
                <w:rFonts w:ascii="Calibri Light" w:hAnsi="Calibri Light" w:cs="Calibri Light"/>
                <w:sz w:val="20"/>
                <w:szCs w:val="20"/>
              </w:rPr>
              <w:t>Region II - Cagayan Valley</w:t>
            </w:r>
          </w:p>
        </w:tc>
        <w:tc>
          <w:tcPr>
            <w:tcW w:w="1120" w:type="dxa"/>
            <w:noWrap/>
            <w:hideMark/>
          </w:tcPr>
          <w:p w14:paraId="72348C51" w14:textId="77777777" w:rsidR="002339E6" w:rsidRPr="0018621B" w:rsidRDefault="002339E6"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2.42%</w:t>
            </w:r>
          </w:p>
        </w:tc>
        <w:tc>
          <w:tcPr>
            <w:tcW w:w="1120" w:type="dxa"/>
            <w:noWrap/>
            <w:hideMark/>
          </w:tcPr>
          <w:p w14:paraId="64F7E819" w14:textId="77777777" w:rsidR="002339E6" w:rsidRPr="0018621B" w:rsidRDefault="002339E6"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2.63%</w:t>
            </w:r>
          </w:p>
        </w:tc>
        <w:tc>
          <w:tcPr>
            <w:tcW w:w="1120" w:type="dxa"/>
            <w:noWrap/>
            <w:hideMark/>
          </w:tcPr>
          <w:p w14:paraId="158FFDD9" w14:textId="77777777" w:rsidR="002339E6" w:rsidRPr="0018621B" w:rsidRDefault="002339E6"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1.71%</w:t>
            </w:r>
          </w:p>
        </w:tc>
        <w:tc>
          <w:tcPr>
            <w:tcW w:w="1120" w:type="dxa"/>
            <w:noWrap/>
            <w:hideMark/>
          </w:tcPr>
          <w:p w14:paraId="500A1D7C" w14:textId="77777777" w:rsidR="002339E6" w:rsidRPr="0018621B" w:rsidRDefault="002339E6"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1.10%</w:t>
            </w:r>
          </w:p>
        </w:tc>
        <w:tc>
          <w:tcPr>
            <w:tcW w:w="1120" w:type="dxa"/>
            <w:noWrap/>
            <w:hideMark/>
          </w:tcPr>
          <w:p w14:paraId="2F1A0BF8" w14:textId="77777777" w:rsidR="002339E6" w:rsidRPr="0018621B" w:rsidRDefault="002339E6"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1.01%</w:t>
            </w:r>
          </w:p>
        </w:tc>
      </w:tr>
      <w:tr w:rsidR="002339E6" w:rsidRPr="0018621B" w14:paraId="2604D3F3" w14:textId="77777777" w:rsidTr="006147EA">
        <w:trPr>
          <w:trHeight w:val="260"/>
        </w:trPr>
        <w:tc>
          <w:tcPr>
            <w:tcW w:w="4480" w:type="dxa"/>
            <w:noWrap/>
            <w:hideMark/>
          </w:tcPr>
          <w:p w14:paraId="504E9FCD" w14:textId="77777777" w:rsidR="002339E6" w:rsidRPr="0018621B" w:rsidRDefault="002339E6" w:rsidP="00B31C4E">
            <w:pPr>
              <w:spacing w:before="100" w:beforeAutospacing="1" w:after="100" w:afterAutospacing="1" w:line="360" w:lineRule="auto"/>
              <w:rPr>
                <w:sz w:val="20"/>
                <w:szCs w:val="20"/>
              </w:rPr>
            </w:pPr>
            <w:r w:rsidRPr="0018621B">
              <w:rPr>
                <w:rFonts w:ascii="Calibri Light" w:hAnsi="Calibri Light" w:cs="Calibri Light"/>
                <w:sz w:val="20"/>
                <w:szCs w:val="20"/>
              </w:rPr>
              <w:t>Region III - Central Luzon</w:t>
            </w:r>
          </w:p>
        </w:tc>
        <w:tc>
          <w:tcPr>
            <w:tcW w:w="1120" w:type="dxa"/>
            <w:noWrap/>
            <w:hideMark/>
          </w:tcPr>
          <w:p w14:paraId="7355615F" w14:textId="77777777" w:rsidR="002339E6" w:rsidRPr="0018621B" w:rsidRDefault="002339E6"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1.91%</w:t>
            </w:r>
          </w:p>
        </w:tc>
        <w:tc>
          <w:tcPr>
            <w:tcW w:w="1120" w:type="dxa"/>
            <w:noWrap/>
            <w:hideMark/>
          </w:tcPr>
          <w:p w14:paraId="2D857AEA" w14:textId="77777777" w:rsidR="002339E6" w:rsidRPr="0018621B" w:rsidRDefault="002339E6"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2.37%</w:t>
            </w:r>
          </w:p>
        </w:tc>
        <w:tc>
          <w:tcPr>
            <w:tcW w:w="1120" w:type="dxa"/>
            <w:noWrap/>
            <w:hideMark/>
          </w:tcPr>
          <w:p w14:paraId="74C93128" w14:textId="77777777" w:rsidR="002339E6" w:rsidRPr="0018621B" w:rsidRDefault="002339E6"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0.94%</w:t>
            </w:r>
          </w:p>
        </w:tc>
        <w:tc>
          <w:tcPr>
            <w:tcW w:w="1120" w:type="dxa"/>
            <w:noWrap/>
            <w:hideMark/>
          </w:tcPr>
          <w:p w14:paraId="656FB6AD" w14:textId="77777777" w:rsidR="002339E6" w:rsidRPr="0018621B" w:rsidRDefault="002339E6"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0.48%</w:t>
            </w:r>
          </w:p>
        </w:tc>
        <w:tc>
          <w:tcPr>
            <w:tcW w:w="1120" w:type="dxa"/>
            <w:noWrap/>
            <w:hideMark/>
          </w:tcPr>
          <w:p w14:paraId="09C00176" w14:textId="77777777" w:rsidR="002339E6" w:rsidRPr="0018621B" w:rsidRDefault="002339E6"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0.28%</w:t>
            </w:r>
          </w:p>
        </w:tc>
      </w:tr>
      <w:tr w:rsidR="002339E6" w:rsidRPr="0018621B" w14:paraId="5536C97A" w14:textId="77777777" w:rsidTr="006147EA">
        <w:trPr>
          <w:trHeight w:val="260"/>
        </w:trPr>
        <w:tc>
          <w:tcPr>
            <w:tcW w:w="4480" w:type="dxa"/>
            <w:noWrap/>
            <w:hideMark/>
          </w:tcPr>
          <w:p w14:paraId="2243E114" w14:textId="77777777" w:rsidR="002339E6" w:rsidRPr="0018621B" w:rsidRDefault="002339E6" w:rsidP="00B31C4E">
            <w:pPr>
              <w:spacing w:before="100" w:beforeAutospacing="1" w:after="100" w:afterAutospacing="1" w:line="360" w:lineRule="auto"/>
              <w:rPr>
                <w:sz w:val="20"/>
                <w:szCs w:val="20"/>
              </w:rPr>
            </w:pPr>
            <w:r w:rsidRPr="0018621B">
              <w:rPr>
                <w:rFonts w:ascii="Calibri Light" w:hAnsi="Calibri Light" w:cs="Calibri Light"/>
                <w:sz w:val="20"/>
                <w:szCs w:val="20"/>
              </w:rPr>
              <w:t>Region IV-A - CALABARZON</w:t>
            </w:r>
          </w:p>
        </w:tc>
        <w:tc>
          <w:tcPr>
            <w:tcW w:w="1120" w:type="dxa"/>
            <w:noWrap/>
            <w:hideMark/>
          </w:tcPr>
          <w:p w14:paraId="211E80E7" w14:textId="77777777" w:rsidR="002339E6" w:rsidRPr="0018621B" w:rsidRDefault="002339E6"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4.40%</w:t>
            </w:r>
          </w:p>
        </w:tc>
        <w:tc>
          <w:tcPr>
            <w:tcW w:w="1120" w:type="dxa"/>
            <w:noWrap/>
            <w:hideMark/>
          </w:tcPr>
          <w:p w14:paraId="2A43E015" w14:textId="77777777" w:rsidR="002339E6" w:rsidRPr="0018621B" w:rsidRDefault="002339E6"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0.64%</w:t>
            </w:r>
          </w:p>
        </w:tc>
        <w:tc>
          <w:tcPr>
            <w:tcW w:w="1120" w:type="dxa"/>
            <w:noWrap/>
            <w:hideMark/>
          </w:tcPr>
          <w:p w14:paraId="08F84805" w14:textId="77777777" w:rsidR="002339E6" w:rsidRPr="0018621B" w:rsidRDefault="002339E6"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1.02%</w:t>
            </w:r>
          </w:p>
        </w:tc>
        <w:tc>
          <w:tcPr>
            <w:tcW w:w="1120" w:type="dxa"/>
            <w:noWrap/>
            <w:hideMark/>
          </w:tcPr>
          <w:p w14:paraId="37EF98BF" w14:textId="77777777" w:rsidR="002339E6" w:rsidRPr="0018621B" w:rsidRDefault="002339E6"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0.15%</w:t>
            </w:r>
          </w:p>
        </w:tc>
        <w:tc>
          <w:tcPr>
            <w:tcW w:w="1120" w:type="dxa"/>
            <w:noWrap/>
            <w:hideMark/>
          </w:tcPr>
          <w:p w14:paraId="7DC3A250" w14:textId="77777777" w:rsidR="002339E6" w:rsidRPr="0018621B" w:rsidRDefault="002339E6"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0.27%</w:t>
            </w:r>
          </w:p>
        </w:tc>
      </w:tr>
      <w:tr w:rsidR="002339E6" w:rsidRPr="0018621B" w14:paraId="51B12828" w14:textId="77777777" w:rsidTr="006147EA">
        <w:trPr>
          <w:trHeight w:val="260"/>
        </w:trPr>
        <w:tc>
          <w:tcPr>
            <w:tcW w:w="4480" w:type="dxa"/>
            <w:noWrap/>
            <w:hideMark/>
          </w:tcPr>
          <w:p w14:paraId="31DC353F" w14:textId="77777777" w:rsidR="002339E6" w:rsidRPr="0018621B" w:rsidRDefault="002339E6" w:rsidP="00B31C4E">
            <w:pPr>
              <w:spacing w:before="100" w:beforeAutospacing="1" w:after="100" w:afterAutospacing="1" w:line="360" w:lineRule="auto"/>
              <w:rPr>
                <w:sz w:val="20"/>
                <w:szCs w:val="20"/>
              </w:rPr>
            </w:pPr>
            <w:r w:rsidRPr="0018621B">
              <w:rPr>
                <w:rFonts w:ascii="Calibri Light" w:hAnsi="Calibri Light" w:cs="Calibri Light"/>
                <w:sz w:val="20"/>
                <w:szCs w:val="20"/>
              </w:rPr>
              <w:t>Region IV-B - MIMAROPA</w:t>
            </w:r>
          </w:p>
        </w:tc>
        <w:tc>
          <w:tcPr>
            <w:tcW w:w="1120" w:type="dxa"/>
            <w:noWrap/>
            <w:hideMark/>
          </w:tcPr>
          <w:p w14:paraId="67F38940" w14:textId="77777777" w:rsidR="002339E6" w:rsidRPr="0018621B" w:rsidRDefault="002339E6"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4.42%</w:t>
            </w:r>
          </w:p>
        </w:tc>
        <w:tc>
          <w:tcPr>
            <w:tcW w:w="1120" w:type="dxa"/>
            <w:noWrap/>
            <w:hideMark/>
          </w:tcPr>
          <w:p w14:paraId="04E55484" w14:textId="77777777" w:rsidR="002339E6" w:rsidRPr="0018621B" w:rsidRDefault="002339E6"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2.64%</w:t>
            </w:r>
          </w:p>
        </w:tc>
        <w:tc>
          <w:tcPr>
            <w:tcW w:w="1120" w:type="dxa"/>
            <w:noWrap/>
            <w:hideMark/>
          </w:tcPr>
          <w:p w14:paraId="6CE7ED85" w14:textId="77777777" w:rsidR="002339E6" w:rsidRPr="0018621B" w:rsidRDefault="002339E6"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2.19%</w:t>
            </w:r>
          </w:p>
        </w:tc>
        <w:tc>
          <w:tcPr>
            <w:tcW w:w="1120" w:type="dxa"/>
            <w:noWrap/>
            <w:hideMark/>
          </w:tcPr>
          <w:p w14:paraId="188FEF8B" w14:textId="77777777" w:rsidR="002339E6" w:rsidRPr="0018621B" w:rsidRDefault="002339E6"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1.77%</w:t>
            </w:r>
          </w:p>
        </w:tc>
        <w:tc>
          <w:tcPr>
            <w:tcW w:w="1120" w:type="dxa"/>
            <w:noWrap/>
            <w:hideMark/>
          </w:tcPr>
          <w:p w14:paraId="64E57472" w14:textId="77777777" w:rsidR="002339E6" w:rsidRPr="0018621B" w:rsidRDefault="002339E6"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1.72%</w:t>
            </w:r>
          </w:p>
        </w:tc>
      </w:tr>
      <w:tr w:rsidR="002339E6" w:rsidRPr="0018621B" w14:paraId="09FD464A" w14:textId="77777777" w:rsidTr="006147EA">
        <w:trPr>
          <w:trHeight w:val="260"/>
        </w:trPr>
        <w:tc>
          <w:tcPr>
            <w:tcW w:w="4480" w:type="dxa"/>
            <w:noWrap/>
            <w:hideMark/>
          </w:tcPr>
          <w:p w14:paraId="145E7235" w14:textId="77777777" w:rsidR="002339E6" w:rsidRPr="0018621B" w:rsidRDefault="002339E6" w:rsidP="00B31C4E">
            <w:pPr>
              <w:spacing w:before="100" w:beforeAutospacing="1" w:after="100" w:afterAutospacing="1" w:line="360" w:lineRule="auto"/>
              <w:rPr>
                <w:sz w:val="20"/>
                <w:szCs w:val="20"/>
              </w:rPr>
            </w:pPr>
            <w:r w:rsidRPr="0018621B">
              <w:rPr>
                <w:rFonts w:ascii="Calibri Light" w:hAnsi="Calibri Light" w:cs="Calibri Light"/>
                <w:sz w:val="20"/>
                <w:szCs w:val="20"/>
              </w:rPr>
              <w:t>Region IX - Zamboanga Peninsula</w:t>
            </w:r>
          </w:p>
        </w:tc>
        <w:tc>
          <w:tcPr>
            <w:tcW w:w="1120" w:type="dxa"/>
            <w:noWrap/>
            <w:hideMark/>
          </w:tcPr>
          <w:p w14:paraId="06500F68" w14:textId="77777777" w:rsidR="002339E6" w:rsidRPr="0018621B" w:rsidRDefault="002339E6"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9.41%</w:t>
            </w:r>
          </w:p>
        </w:tc>
        <w:tc>
          <w:tcPr>
            <w:tcW w:w="1120" w:type="dxa"/>
            <w:noWrap/>
            <w:hideMark/>
          </w:tcPr>
          <w:p w14:paraId="486BCC71" w14:textId="77777777" w:rsidR="002339E6" w:rsidRPr="0018621B" w:rsidRDefault="002339E6"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1.20%</w:t>
            </w:r>
          </w:p>
        </w:tc>
        <w:tc>
          <w:tcPr>
            <w:tcW w:w="1120" w:type="dxa"/>
            <w:noWrap/>
            <w:hideMark/>
          </w:tcPr>
          <w:p w14:paraId="6A8EE5B6" w14:textId="77777777" w:rsidR="002339E6" w:rsidRPr="0018621B" w:rsidRDefault="002339E6"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3.90%</w:t>
            </w:r>
          </w:p>
        </w:tc>
        <w:tc>
          <w:tcPr>
            <w:tcW w:w="1120" w:type="dxa"/>
            <w:noWrap/>
            <w:hideMark/>
          </w:tcPr>
          <w:p w14:paraId="070F6F15" w14:textId="77777777" w:rsidR="002339E6" w:rsidRPr="0018621B" w:rsidRDefault="002339E6"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2.86%</w:t>
            </w:r>
          </w:p>
        </w:tc>
        <w:tc>
          <w:tcPr>
            <w:tcW w:w="1120" w:type="dxa"/>
            <w:noWrap/>
            <w:hideMark/>
          </w:tcPr>
          <w:p w14:paraId="762524AF" w14:textId="77777777" w:rsidR="002339E6" w:rsidRPr="0018621B" w:rsidRDefault="002339E6"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2.53%</w:t>
            </w:r>
          </w:p>
        </w:tc>
      </w:tr>
      <w:tr w:rsidR="002339E6" w:rsidRPr="0018621B" w14:paraId="445512BE" w14:textId="77777777" w:rsidTr="006147EA">
        <w:trPr>
          <w:trHeight w:val="280"/>
        </w:trPr>
        <w:tc>
          <w:tcPr>
            <w:tcW w:w="4480" w:type="dxa"/>
            <w:noWrap/>
            <w:hideMark/>
          </w:tcPr>
          <w:p w14:paraId="547E29F9" w14:textId="77777777" w:rsidR="002339E6" w:rsidRPr="0018621B" w:rsidRDefault="002339E6" w:rsidP="00B31C4E">
            <w:pPr>
              <w:spacing w:before="100" w:beforeAutospacing="1" w:after="100" w:afterAutospacing="1" w:line="360" w:lineRule="auto"/>
              <w:rPr>
                <w:sz w:val="20"/>
                <w:szCs w:val="20"/>
              </w:rPr>
            </w:pPr>
            <w:r w:rsidRPr="0018621B">
              <w:rPr>
                <w:rFonts w:ascii="Calibri Light" w:hAnsi="Calibri Light" w:cs="Calibri Light"/>
                <w:sz w:val="20"/>
                <w:szCs w:val="20"/>
              </w:rPr>
              <w:t>Region XI - Davao Region</w:t>
            </w:r>
          </w:p>
        </w:tc>
        <w:tc>
          <w:tcPr>
            <w:tcW w:w="1120" w:type="dxa"/>
            <w:noWrap/>
            <w:hideMark/>
          </w:tcPr>
          <w:p w14:paraId="071D0BEE" w14:textId="77777777" w:rsidR="002339E6" w:rsidRPr="0018621B" w:rsidRDefault="002339E6"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5.35%</w:t>
            </w:r>
          </w:p>
        </w:tc>
        <w:tc>
          <w:tcPr>
            <w:tcW w:w="1120" w:type="dxa"/>
            <w:noWrap/>
            <w:hideMark/>
          </w:tcPr>
          <w:p w14:paraId="005F4E1B" w14:textId="77777777" w:rsidR="002339E6" w:rsidRPr="0018621B" w:rsidRDefault="002339E6"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3.29%</w:t>
            </w:r>
          </w:p>
        </w:tc>
        <w:tc>
          <w:tcPr>
            <w:tcW w:w="1120" w:type="dxa"/>
            <w:noWrap/>
            <w:hideMark/>
          </w:tcPr>
          <w:p w14:paraId="63440E77" w14:textId="77777777" w:rsidR="002339E6" w:rsidRPr="0018621B" w:rsidRDefault="002339E6"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2.12%</w:t>
            </w:r>
          </w:p>
        </w:tc>
        <w:tc>
          <w:tcPr>
            <w:tcW w:w="1120" w:type="dxa"/>
            <w:noWrap/>
            <w:hideMark/>
          </w:tcPr>
          <w:p w14:paraId="44EBCEF6" w14:textId="77777777" w:rsidR="002339E6" w:rsidRPr="0018621B" w:rsidRDefault="002339E6"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1.83%</w:t>
            </w:r>
          </w:p>
        </w:tc>
        <w:tc>
          <w:tcPr>
            <w:tcW w:w="1120" w:type="dxa"/>
            <w:noWrap/>
            <w:hideMark/>
          </w:tcPr>
          <w:p w14:paraId="256F9287" w14:textId="77777777" w:rsidR="002339E6" w:rsidRPr="0018621B" w:rsidRDefault="002339E6"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1.13%</w:t>
            </w:r>
          </w:p>
        </w:tc>
      </w:tr>
      <w:tr w:rsidR="002339E6" w:rsidRPr="0018621B" w14:paraId="7BC1F48D" w14:textId="77777777" w:rsidTr="006147EA">
        <w:trPr>
          <w:trHeight w:val="280"/>
        </w:trPr>
        <w:tc>
          <w:tcPr>
            <w:tcW w:w="4480" w:type="dxa"/>
            <w:noWrap/>
            <w:hideMark/>
          </w:tcPr>
          <w:p w14:paraId="0EBCEABA" w14:textId="77777777" w:rsidR="002339E6" w:rsidRPr="0018621B" w:rsidRDefault="002339E6" w:rsidP="00B31C4E">
            <w:pPr>
              <w:spacing w:before="100" w:beforeAutospacing="1" w:after="100" w:afterAutospacing="1" w:line="360" w:lineRule="auto"/>
              <w:rPr>
                <w:sz w:val="20"/>
                <w:szCs w:val="20"/>
              </w:rPr>
            </w:pPr>
            <w:r w:rsidRPr="0018621B">
              <w:rPr>
                <w:rFonts w:ascii="Calibri Light" w:hAnsi="Calibri Light" w:cs="Calibri Light"/>
                <w:sz w:val="20"/>
                <w:szCs w:val="20"/>
              </w:rPr>
              <w:t>Region XII - Soccsksargen</w:t>
            </w:r>
          </w:p>
        </w:tc>
        <w:tc>
          <w:tcPr>
            <w:tcW w:w="1120" w:type="dxa"/>
            <w:noWrap/>
            <w:hideMark/>
          </w:tcPr>
          <w:p w14:paraId="0085A409" w14:textId="77777777" w:rsidR="002339E6" w:rsidRPr="0018621B" w:rsidRDefault="002339E6"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5.84%</w:t>
            </w:r>
          </w:p>
        </w:tc>
        <w:tc>
          <w:tcPr>
            <w:tcW w:w="1120" w:type="dxa"/>
            <w:noWrap/>
            <w:hideMark/>
          </w:tcPr>
          <w:p w14:paraId="21F2A52B" w14:textId="77777777" w:rsidR="002339E6" w:rsidRPr="0018621B" w:rsidRDefault="002339E6"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1.09%</w:t>
            </w:r>
          </w:p>
        </w:tc>
        <w:tc>
          <w:tcPr>
            <w:tcW w:w="1120" w:type="dxa"/>
            <w:noWrap/>
            <w:hideMark/>
          </w:tcPr>
          <w:p w14:paraId="74B7296D" w14:textId="77777777" w:rsidR="002339E6" w:rsidRPr="0018621B" w:rsidRDefault="002339E6"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3.22%</w:t>
            </w:r>
          </w:p>
        </w:tc>
        <w:tc>
          <w:tcPr>
            <w:tcW w:w="1120" w:type="dxa"/>
            <w:noWrap/>
            <w:hideMark/>
          </w:tcPr>
          <w:p w14:paraId="31BD38E4" w14:textId="77777777" w:rsidR="002339E6" w:rsidRPr="0018621B" w:rsidRDefault="002339E6"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2.91%</w:t>
            </w:r>
          </w:p>
        </w:tc>
        <w:tc>
          <w:tcPr>
            <w:tcW w:w="1120" w:type="dxa"/>
            <w:noWrap/>
            <w:hideMark/>
          </w:tcPr>
          <w:p w14:paraId="433C4F7B" w14:textId="77777777" w:rsidR="002339E6" w:rsidRPr="0018621B" w:rsidRDefault="002339E6"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1.06%</w:t>
            </w:r>
          </w:p>
        </w:tc>
      </w:tr>
      <w:tr w:rsidR="00384E6C" w:rsidRPr="0018621B" w14:paraId="1A325A33" w14:textId="77777777" w:rsidTr="006147EA">
        <w:trPr>
          <w:trHeight w:val="280"/>
        </w:trPr>
        <w:tc>
          <w:tcPr>
            <w:tcW w:w="4480" w:type="dxa"/>
            <w:noWrap/>
            <w:hideMark/>
          </w:tcPr>
          <w:p w14:paraId="5ACFC161" w14:textId="77777777" w:rsidR="00384E6C" w:rsidRPr="0018621B" w:rsidRDefault="00384E6C" w:rsidP="00B31C4E">
            <w:pPr>
              <w:spacing w:before="100" w:beforeAutospacing="1" w:after="100" w:afterAutospacing="1" w:line="360" w:lineRule="auto"/>
              <w:rPr>
                <w:sz w:val="20"/>
                <w:szCs w:val="20"/>
              </w:rPr>
            </w:pPr>
            <w:r w:rsidRPr="0018621B">
              <w:rPr>
                <w:rFonts w:ascii="Calibri Light" w:hAnsi="Calibri Light" w:cs="Calibri Light"/>
                <w:sz w:val="20"/>
                <w:szCs w:val="20"/>
              </w:rPr>
              <w:t>CARAGA - CARAGA</w:t>
            </w:r>
          </w:p>
        </w:tc>
        <w:tc>
          <w:tcPr>
            <w:tcW w:w="1120" w:type="dxa"/>
            <w:noWrap/>
            <w:hideMark/>
          </w:tcPr>
          <w:p w14:paraId="6F3A7F53" w14:textId="77777777" w:rsidR="00384E6C" w:rsidRPr="0018621B" w:rsidRDefault="00384E6C"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4.14%</w:t>
            </w:r>
          </w:p>
        </w:tc>
        <w:tc>
          <w:tcPr>
            <w:tcW w:w="1120" w:type="dxa"/>
            <w:noWrap/>
            <w:hideMark/>
          </w:tcPr>
          <w:p w14:paraId="3233923B" w14:textId="77777777" w:rsidR="00384E6C" w:rsidRPr="0018621B" w:rsidRDefault="00384E6C"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2.99%</w:t>
            </w:r>
          </w:p>
        </w:tc>
        <w:tc>
          <w:tcPr>
            <w:tcW w:w="1120" w:type="dxa"/>
            <w:noWrap/>
            <w:hideMark/>
          </w:tcPr>
          <w:p w14:paraId="7F7DBDAB" w14:textId="77777777" w:rsidR="00384E6C" w:rsidRPr="0018621B" w:rsidRDefault="00384E6C"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2.86%</w:t>
            </w:r>
          </w:p>
        </w:tc>
        <w:tc>
          <w:tcPr>
            <w:tcW w:w="1120" w:type="dxa"/>
            <w:noWrap/>
            <w:hideMark/>
          </w:tcPr>
          <w:p w14:paraId="15E239F7" w14:textId="77777777" w:rsidR="00384E6C" w:rsidRPr="0018621B" w:rsidRDefault="00384E6C"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1.77%</w:t>
            </w:r>
          </w:p>
        </w:tc>
        <w:tc>
          <w:tcPr>
            <w:tcW w:w="1120" w:type="dxa"/>
            <w:noWrap/>
            <w:hideMark/>
          </w:tcPr>
          <w:p w14:paraId="22D6817D" w14:textId="77777777" w:rsidR="00384E6C" w:rsidRPr="0018621B" w:rsidRDefault="00384E6C"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0.90%</w:t>
            </w:r>
          </w:p>
        </w:tc>
      </w:tr>
      <w:tr w:rsidR="00384E6C" w:rsidRPr="0018621B" w14:paraId="52AD7857" w14:textId="77777777" w:rsidTr="00B532A0">
        <w:trPr>
          <w:trHeight w:val="280"/>
        </w:trPr>
        <w:tc>
          <w:tcPr>
            <w:tcW w:w="4480" w:type="dxa"/>
            <w:noWrap/>
          </w:tcPr>
          <w:p w14:paraId="18BB1C70" w14:textId="77777777" w:rsidR="00384E6C" w:rsidRPr="0018621B" w:rsidRDefault="00384E6C"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ARMM - Autonomous Region in Muslim Mindanao</w:t>
            </w:r>
          </w:p>
        </w:tc>
        <w:tc>
          <w:tcPr>
            <w:tcW w:w="1120" w:type="dxa"/>
            <w:noWrap/>
            <w:hideMark/>
          </w:tcPr>
          <w:p w14:paraId="5D3EBA38" w14:textId="77777777" w:rsidR="00384E6C" w:rsidRPr="0018621B" w:rsidRDefault="00384E6C"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17.85%</w:t>
            </w:r>
          </w:p>
        </w:tc>
        <w:tc>
          <w:tcPr>
            <w:tcW w:w="1120" w:type="dxa"/>
            <w:noWrap/>
            <w:hideMark/>
          </w:tcPr>
          <w:p w14:paraId="4A7AE5C3" w14:textId="77777777" w:rsidR="00384E6C" w:rsidRPr="0018621B" w:rsidRDefault="00384E6C"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15.70%</w:t>
            </w:r>
          </w:p>
        </w:tc>
        <w:tc>
          <w:tcPr>
            <w:tcW w:w="1120" w:type="dxa"/>
            <w:noWrap/>
            <w:hideMark/>
          </w:tcPr>
          <w:p w14:paraId="67CD4780" w14:textId="77777777" w:rsidR="00384E6C" w:rsidRPr="0018621B" w:rsidRDefault="00384E6C"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16.54%</w:t>
            </w:r>
          </w:p>
        </w:tc>
        <w:tc>
          <w:tcPr>
            <w:tcW w:w="1120" w:type="dxa"/>
            <w:noWrap/>
            <w:hideMark/>
          </w:tcPr>
          <w:p w14:paraId="493CD549" w14:textId="77777777" w:rsidR="00384E6C" w:rsidRPr="0018621B" w:rsidRDefault="00384E6C"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8.58%</w:t>
            </w:r>
          </w:p>
        </w:tc>
        <w:tc>
          <w:tcPr>
            <w:tcW w:w="1120" w:type="dxa"/>
            <w:noWrap/>
            <w:hideMark/>
          </w:tcPr>
          <w:p w14:paraId="3DCF3EEA" w14:textId="77777777" w:rsidR="00384E6C" w:rsidRPr="0018621B" w:rsidRDefault="00384E6C"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11.16%</w:t>
            </w:r>
          </w:p>
        </w:tc>
      </w:tr>
      <w:tr w:rsidR="00384E6C" w:rsidRPr="0018621B" w14:paraId="15E35C69" w14:textId="77777777" w:rsidTr="006147EA">
        <w:trPr>
          <w:trHeight w:val="280"/>
        </w:trPr>
        <w:tc>
          <w:tcPr>
            <w:tcW w:w="4480" w:type="dxa"/>
            <w:noWrap/>
            <w:hideMark/>
          </w:tcPr>
          <w:p w14:paraId="63EE7992" w14:textId="77777777" w:rsidR="00384E6C" w:rsidRPr="0018621B" w:rsidRDefault="00384E6C"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CAR - Cordillera Administrative Region</w:t>
            </w:r>
          </w:p>
        </w:tc>
        <w:tc>
          <w:tcPr>
            <w:tcW w:w="1120" w:type="dxa"/>
            <w:noWrap/>
            <w:hideMark/>
          </w:tcPr>
          <w:p w14:paraId="4EBAB952" w14:textId="77777777" w:rsidR="00384E6C" w:rsidRPr="0018621B" w:rsidRDefault="00384E6C"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2.88%</w:t>
            </w:r>
          </w:p>
        </w:tc>
        <w:tc>
          <w:tcPr>
            <w:tcW w:w="1120" w:type="dxa"/>
            <w:noWrap/>
            <w:hideMark/>
          </w:tcPr>
          <w:p w14:paraId="6C644C1D" w14:textId="77777777" w:rsidR="00384E6C" w:rsidRPr="0018621B" w:rsidRDefault="00384E6C"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2.95%</w:t>
            </w:r>
          </w:p>
        </w:tc>
        <w:tc>
          <w:tcPr>
            <w:tcW w:w="1120" w:type="dxa"/>
            <w:noWrap/>
            <w:hideMark/>
          </w:tcPr>
          <w:p w14:paraId="5EC8DFC2" w14:textId="77777777" w:rsidR="00384E6C" w:rsidRPr="0018621B" w:rsidRDefault="00384E6C"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1.75%</w:t>
            </w:r>
          </w:p>
        </w:tc>
        <w:tc>
          <w:tcPr>
            <w:tcW w:w="1120" w:type="dxa"/>
            <w:noWrap/>
            <w:hideMark/>
          </w:tcPr>
          <w:p w14:paraId="5B3CEC9E" w14:textId="77777777" w:rsidR="00384E6C" w:rsidRPr="0018621B" w:rsidRDefault="00384E6C"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0.89%</w:t>
            </w:r>
          </w:p>
        </w:tc>
        <w:tc>
          <w:tcPr>
            <w:tcW w:w="1120" w:type="dxa"/>
            <w:noWrap/>
            <w:hideMark/>
          </w:tcPr>
          <w:p w14:paraId="4B4E4CC1" w14:textId="77777777" w:rsidR="00384E6C" w:rsidRPr="0018621B" w:rsidRDefault="00384E6C" w:rsidP="00B31C4E">
            <w:pPr>
              <w:spacing w:before="100" w:beforeAutospacing="1" w:after="100" w:afterAutospacing="1" w:line="360" w:lineRule="auto"/>
              <w:rPr>
                <w:rFonts w:ascii="Calibri Light" w:hAnsi="Calibri Light" w:cs="Calibri Light"/>
                <w:sz w:val="20"/>
                <w:szCs w:val="20"/>
              </w:rPr>
            </w:pPr>
            <w:r w:rsidRPr="0018621B">
              <w:rPr>
                <w:rFonts w:ascii="Calibri Light" w:hAnsi="Calibri Light" w:cs="Calibri Light"/>
                <w:sz w:val="20"/>
                <w:szCs w:val="20"/>
              </w:rPr>
              <w:t>1.44%</w:t>
            </w:r>
          </w:p>
        </w:tc>
      </w:tr>
    </w:tbl>
    <w:p w14:paraId="5D5EFD8B" w14:textId="3BF7F190" w:rsidR="008D0CAD" w:rsidRPr="00B31C4E" w:rsidRDefault="008D0CAD" w:rsidP="00B31C4E">
      <w:pPr>
        <w:spacing w:before="100" w:beforeAutospacing="1" w:after="100" w:afterAutospacing="1" w:line="360" w:lineRule="auto"/>
        <w:rPr>
          <w:rFonts w:asciiTheme="majorHAnsi" w:hAnsiTheme="majorHAnsi" w:cstheme="majorHAnsi"/>
          <w:sz w:val="14"/>
          <w:szCs w:val="14"/>
        </w:rPr>
      </w:pPr>
      <w:r w:rsidRPr="002339E6">
        <w:rPr>
          <w:rFonts w:asciiTheme="majorHAnsi" w:hAnsiTheme="majorHAnsi" w:cstheme="majorHAnsi"/>
          <w:sz w:val="14"/>
          <w:szCs w:val="14"/>
        </w:rPr>
        <w:t>Source: DepEd EBEIS, April 2019</w:t>
      </w:r>
    </w:p>
    <w:p w14:paraId="2031965D" w14:textId="3240E66C" w:rsidR="008D0CAD" w:rsidRDefault="008D0CAD" w:rsidP="00B31C4E">
      <w:pPr>
        <w:spacing w:before="100" w:beforeAutospacing="1" w:after="100" w:afterAutospacing="1" w:line="360" w:lineRule="auto"/>
        <w:rPr>
          <w:rFonts w:asciiTheme="majorHAnsi" w:hAnsiTheme="majorHAnsi" w:cstheme="majorHAnsi"/>
          <w:bCs/>
        </w:rPr>
      </w:pPr>
      <w:r>
        <w:rPr>
          <w:rFonts w:asciiTheme="majorHAnsi" w:hAnsiTheme="majorHAnsi" w:cstheme="majorHAnsi"/>
        </w:rPr>
        <w:t>Of the six</w:t>
      </w:r>
      <w:r w:rsidRPr="0056257A">
        <w:rPr>
          <w:rFonts w:asciiTheme="majorHAnsi" w:hAnsiTheme="majorHAnsi" w:cstheme="majorHAnsi"/>
        </w:rPr>
        <w:t xml:space="preserve"> BEST</w:t>
      </w:r>
      <w:r>
        <w:rPr>
          <w:rFonts w:asciiTheme="majorHAnsi" w:hAnsiTheme="majorHAnsi" w:cstheme="majorHAnsi"/>
        </w:rPr>
        <w:t xml:space="preserve"> Program-supported regions, Region X posted the best performance in reducing SLR from SY2013-2014 to SY2017-2018, reducing SLR by 4.38 per cent (from 6.15 per cent to 1.77 per cent) (Table 29).</w:t>
      </w:r>
      <w:r w:rsidR="00D434EB">
        <w:rPr>
          <w:rFonts w:asciiTheme="majorHAnsi" w:hAnsiTheme="majorHAnsi" w:cstheme="majorHAnsi"/>
        </w:rPr>
        <w:t xml:space="preserve"> </w:t>
      </w:r>
      <w:r>
        <w:rPr>
          <w:rFonts w:asciiTheme="majorHAnsi" w:hAnsiTheme="majorHAnsi" w:cstheme="majorHAnsi"/>
        </w:rPr>
        <w:t>Region X was followed by NCR, which reduced SLR by 3.46 per cent (from 4.36 per cent to 0.90 per cent during the same period).</w:t>
      </w:r>
    </w:p>
    <w:p w14:paraId="5C6BC461" w14:textId="201F7FE1" w:rsidR="00C612B8" w:rsidRDefault="008D0CAD" w:rsidP="00C612B8">
      <w:pPr>
        <w:spacing w:before="100" w:beforeAutospacing="1" w:after="100" w:afterAutospacing="1" w:line="360" w:lineRule="auto"/>
        <w:rPr>
          <w:rFonts w:asciiTheme="majorHAnsi" w:hAnsiTheme="majorHAnsi" w:cstheme="majorHAnsi"/>
          <w:bCs/>
        </w:rPr>
      </w:pPr>
      <w:r>
        <w:rPr>
          <w:rFonts w:asciiTheme="majorHAnsi" w:hAnsiTheme="majorHAnsi" w:cstheme="majorHAnsi"/>
          <w:bCs/>
        </w:rPr>
        <w:t xml:space="preserve">In SY2013-2014, six Regions posted </w:t>
      </w:r>
      <w:r w:rsidRPr="004079D5">
        <w:rPr>
          <w:rFonts w:asciiTheme="majorHAnsi" w:hAnsiTheme="majorHAnsi" w:cstheme="majorHAnsi"/>
          <w:bCs/>
        </w:rPr>
        <w:t>SLR</w:t>
      </w:r>
      <w:r>
        <w:rPr>
          <w:rFonts w:asciiTheme="majorHAnsi" w:hAnsiTheme="majorHAnsi" w:cstheme="majorHAnsi"/>
          <w:bCs/>
        </w:rPr>
        <w:t>s</w:t>
      </w:r>
      <w:r>
        <w:rPr>
          <w:rFonts w:asciiTheme="majorHAnsi" w:hAnsiTheme="majorHAnsi" w:cstheme="majorHAnsi"/>
        </w:rPr>
        <w:t xml:space="preserve"> </w:t>
      </w:r>
      <w:r>
        <w:rPr>
          <w:rFonts w:asciiTheme="majorHAnsi" w:hAnsiTheme="majorHAnsi" w:cstheme="majorHAnsi"/>
          <w:bCs/>
        </w:rPr>
        <w:t>below the national rate namely: Region IV-A; Region IX; Region X; Region XI; Region XII; and ARMM.</w:t>
      </w:r>
      <w:r w:rsidR="00D434EB">
        <w:rPr>
          <w:rFonts w:asciiTheme="majorHAnsi" w:hAnsiTheme="majorHAnsi" w:cstheme="majorHAnsi"/>
          <w:bCs/>
        </w:rPr>
        <w:t xml:space="preserve"> </w:t>
      </w:r>
      <w:r>
        <w:rPr>
          <w:rFonts w:asciiTheme="majorHAnsi" w:hAnsiTheme="majorHAnsi" w:cstheme="majorHAnsi"/>
          <w:bCs/>
        </w:rPr>
        <w:t xml:space="preserve">However, by SY2017-2018, Region IV-A achieved a commendable performance reducing </w:t>
      </w:r>
      <w:r w:rsidRPr="004079D5">
        <w:rPr>
          <w:rFonts w:asciiTheme="majorHAnsi" w:hAnsiTheme="majorHAnsi" w:cstheme="majorHAnsi"/>
          <w:bCs/>
        </w:rPr>
        <w:t>SLR</w:t>
      </w:r>
      <w:r>
        <w:rPr>
          <w:rFonts w:asciiTheme="majorHAnsi" w:hAnsiTheme="majorHAnsi" w:cstheme="majorHAnsi"/>
        </w:rPr>
        <w:t xml:space="preserve"> </w:t>
      </w:r>
      <w:r>
        <w:rPr>
          <w:rFonts w:asciiTheme="majorHAnsi" w:hAnsiTheme="majorHAnsi" w:cstheme="majorHAnsi"/>
          <w:bCs/>
        </w:rPr>
        <w:t>by 5.77 per cent and posting the lowest rate for that school year.</w:t>
      </w:r>
      <w:r w:rsidR="00D434EB">
        <w:rPr>
          <w:rFonts w:asciiTheme="majorHAnsi" w:hAnsiTheme="majorHAnsi" w:cstheme="majorHAnsi"/>
          <w:bCs/>
        </w:rPr>
        <w:t xml:space="preserve"> </w:t>
      </w:r>
      <w:r>
        <w:rPr>
          <w:rFonts w:asciiTheme="majorHAnsi" w:hAnsiTheme="majorHAnsi" w:cstheme="majorHAnsi"/>
          <w:bCs/>
        </w:rPr>
        <w:t>On the other hand, Region IX and XII posted SLR lower than the national rates for the five years under review.</w:t>
      </w:r>
      <w:r w:rsidR="00D434EB">
        <w:rPr>
          <w:rFonts w:asciiTheme="majorHAnsi" w:hAnsiTheme="majorHAnsi" w:cstheme="majorHAnsi"/>
          <w:bCs/>
        </w:rPr>
        <w:t xml:space="preserve"> </w:t>
      </w:r>
      <w:r>
        <w:rPr>
          <w:rFonts w:asciiTheme="majorHAnsi" w:hAnsiTheme="majorHAnsi" w:cstheme="majorHAnsi"/>
          <w:bCs/>
        </w:rPr>
        <w:t>However, it should be noted that the SLR of Regions IX and XII declined significantly by 6.83 per cent and 4.18 per cent respectively.</w:t>
      </w:r>
    </w:p>
    <w:p w14:paraId="37157CD2" w14:textId="4251EFDD" w:rsidR="008D0CAD" w:rsidRDefault="008D0CAD" w:rsidP="00C612B8">
      <w:pPr>
        <w:pStyle w:val="Heading6"/>
      </w:pPr>
      <w:r>
        <w:t xml:space="preserve">Improved education facilities </w:t>
      </w:r>
    </w:p>
    <w:p w14:paraId="4E624DA5" w14:textId="77777777" w:rsidR="008D0CAD" w:rsidRPr="000632D3" w:rsidRDefault="008D0CAD" w:rsidP="00B31C4E">
      <w:pPr>
        <w:spacing w:before="100" w:beforeAutospacing="1" w:after="100" w:afterAutospacing="1" w:line="360" w:lineRule="auto"/>
        <w:rPr>
          <w:rFonts w:asciiTheme="majorHAnsi" w:hAnsiTheme="majorHAnsi" w:cstheme="majorHAnsi"/>
          <w:i/>
          <w:color w:val="000000"/>
        </w:rPr>
      </w:pPr>
      <w:r w:rsidRPr="00876C2A">
        <w:rPr>
          <w:rFonts w:asciiTheme="majorHAnsi" w:hAnsiTheme="majorHAnsi" w:cstheme="majorHAnsi"/>
          <w:i/>
          <w:color w:val="000000"/>
        </w:rPr>
        <w:t>IO5: Education facilities built within appropriate standards and in the right places</w:t>
      </w:r>
    </w:p>
    <w:p w14:paraId="2C49861D" w14:textId="737991BC" w:rsidR="008D0CAD" w:rsidRDefault="008D0CAD" w:rsidP="00B31C4E">
      <w:pPr>
        <w:spacing w:before="100" w:beforeAutospacing="1" w:after="100" w:afterAutospacing="1" w:line="360" w:lineRule="auto"/>
        <w:rPr>
          <w:rFonts w:asciiTheme="majorHAnsi" w:hAnsiTheme="majorHAnsi" w:cstheme="majorHAnsi"/>
        </w:rPr>
      </w:pPr>
      <w:r>
        <w:rPr>
          <w:rFonts w:asciiTheme="majorHAnsi" w:hAnsiTheme="majorHAnsi" w:cstheme="majorHAnsi"/>
        </w:rPr>
        <w:t>Classroom Construction</w:t>
      </w:r>
      <w:r>
        <w:rPr>
          <w:rStyle w:val="FootnoteReference"/>
          <w:rFonts w:asciiTheme="majorHAnsi" w:eastAsia="Arial Unicode MS" w:hAnsiTheme="majorHAnsi" w:cstheme="majorHAnsi"/>
          <w:color w:val="000000" w:themeColor="text1"/>
        </w:rPr>
        <w:footnoteReference w:id="50"/>
      </w:r>
      <w:r>
        <w:rPr>
          <w:rFonts w:asciiTheme="majorHAnsi" w:hAnsiTheme="majorHAnsi" w:cstheme="majorHAnsi"/>
        </w:rPr>
        <w:t xml:space="preserve"> and GEDSI </w:t>
      </w:r>
      <w:r w:rsidRPr="00C627A4">
        <w:rPr>
          <w:rFonts w:asciiTheme="majorHAnsi" w:hAnsiTheme="majorHAnsi" w:cstheme="majorHAnsi"/>
          <w:lang w:val="en-AU"/>
        </w:rPr>
        <w:t>intended to contribute to the attainment of EOPO</w:t>
      </w:r>
      <w:r>
        <w:rPr>
          <w:rFonts w:asciiTheme="majorHAnsi" w:hAnsiTheme="majorHAnsi" w:cstheme="majorHAnsi"/>
          <w:lang w:val="en-AU"/>
        </w:rPr>
        <w:t>s</w:t>
      </w:r>
      <w:r w:rsidRPr="00C627A4">
        <w:rPr>
          <w:rFonts w:asciiTheme="majorHAnsi" w:hAnsiTheme="majorHAnsi" w:cstheme="majorHAnsi"/>
          <w:lang w:val="en-AU"/>
        </w:rPr>
        <w:t xml:space="preserve"> </w:t>
      </w:r>
      <w:r>
        <w:rPr>
          <w:rFonts w:asciiTheme="majorHAnsi" w:hAnsiTheme="majorHAnsi" w:cstheme="majorHAnsi"/>
          <w:lang w:val="en-AU"/>
        </w:rPr>
        <w:t xml:space="preserve">1 and </w:t>
      </w:r>
      <w:r w:rsidRPr="00C627A4">
        <w:rPr>
          <w:rFonts w:asciiTheme="majorHAnsi" w:hAnsiTheme="majorHAnsi" w:cstheme="majorHAnsi"/>
          <w:lang w:val="en-AU"/>
        </w:rPr>
        <w:t xml:space="preserve">2 </w:t>
      </w:r>
      <w:r>
        <w:rPr>
          <w:rFonts w:asciiTheme="majorHAnsi" w:hAnsiTheme="majorHAnsi" w:cstheme="majorHAnsi"/>
          <w:lang w:val="en-AU"/>
        </w:rPr>
        <w:t>based on a theory of change that conducive learning environments contribute to both access and learning outcomes for</w:t>
      </w:r>
      <w:r w:rsidRPr="00C627A4">
        <w:rPr>
          <w:rFonts w:asciiTheme="majorHAnsi" w:hAnsiTheme="majorHAnsi" w:cstheme="majorHAnsi"/>
          <w:lang w:val="en-AU"/>
        </w:rPr>
        <w:t xml:space="preserve"> </w:t>
      </w:r>
      <w:r>
        <w:rPr>
          <w:rFonts w:asciiTheme="majorHAnsi" w:hAnsiTheme="majorHAnsi" w:cstheme="majorHAnsi"/>
          <w:lang w:val="en-AU"/>
        </w:rPr>
        <w:t>both</w:t>
      </w:r>
      <w:r w:rsidRPr="00C627A4">
        <w:rPr>
          <w:rFonts w:asciiTheme="majorHAnsi" w:hAnsiTheme="majorHAnsi" w:cstheme="majorHAnsi"/>
          <w:lang w:val="en-AU"/>
        </w:rPr>
        <w:t xml:space="preserve"> boys and girls.</w:t>
      </w:r>
      <w:r w:rsidR="00D434EB">
        <w:rPr>
          <w:rFonts w:asciiTheme="majorHAnsi" w:hAnsiTheme="majorHAnsi" w:cstheme="majorHAnsi"/>
          <w:lang w:val="en-AU"/>
        </w:rPr>
        <w:t xml:space="preserve"> </w:t>
      </w:r>
      <w:r>
        <w:rPr>
          <w:rFonts w:asciiTheme="majorHAnsi" w:hAnsiTheme="majorHAnsi" w:cstheme="majorHAnsi"/>
          <w:lang w:val="en-AU"/>
        </w:rPr>
        <w:t>The additional classrooms were expected to increase student participation in general and increase participation of children with disabilities in particular.</w:t>
      </w:r>
    </w:p>
    <w:p w14:paraId="1BAAD1D7" w14:textId="75029412" w:rsidR="008D0CAD" w:rsidRDefault="008D0CAD" w:rsidP="00B31C4E">
      <w:pPr>
        <w:pStyle w:val="NormalWeb"/>
        <w:spacing w:line="360" w:lineRule="auto"/>
        <w:rPr>
          <w:rFonts w:asciiTheme="majorHAnsi" w:hAnsiTheme="majorHAnsi" w:cstheme="majorHAnsi"/>
          <w:color w:val="000000" w:themeColor="text1"/>
        </w:rPr>
      </w:pPr>
      <w:r>
        <w:rPr>
          <w:rFonts w:asciiTheme="majorHAnsi" w:hAnsiTheme="majorHAnsi" w:cstheme="majorHAnsi"/>
        </w:rPr>
        <w:t xml:space="preserve">The </w:t>
      </w:r>
      <w:r w:rsidRPr="00141A69">
        <w:rPr>
          <w:rFonts w:asciiTheme="majorHAnsi" w:hAnsiTheme="majorHAnsi" w:cstheme="majorHAnsi"/>
          <w:color w:val="000000" w:themeColor="text1"/>
        </w:rPr>
        <w:t xml:space="preserve">classrooms designed </w:t>
      </w:r>
      <w:r>
        <w:rPr>
          <w:rFonts w:asciiTheme="majorHAnsi" w:hAnsiTheme="majorHAnsi" w:cstheme="majorHAnsi"/>
          <w:color w:val="000000" w:themeColor="text1"/>
        </w:rPr>
        <w:t xml:space="preserve">and </w:t>
      </w:r>
      <w:r w:rsidRPr="00141A69">
        <w:rPr>
          <w:rFonts w:asciiTheme="majorHAnsi" w:hAnsiTheme="majorHAnsi" w:cstheme="majorHAnsi"/>
          <w:color w:val="000000" w:themeColor="text1"/>
        </w:rPr>
        <w:t xml:space="preserve">constructed by PBSP were </w:t>
      </w:r>
      <w:r>
        <w:rPr>
          <w:rFonts w:asciiTheme="majorHAnsi" w:hAnsiTheme="majorHAnsi" w:cstheme="majorHAnsi"/>
          <w:color w:val="000000" w:themeColor="text1"/>
        </w:rPr>
        <w:t xml:space="preserve">made </w:t>
      </w:r>
      <w:r w:rsidRPr="00141A69">
        <w:rPr>
          <w:rFonts w:asciiTheme="majorHAnsi" w:hAnsiTheme="majorHAnsi" w:cstheme="majorHAnsi"/>
          <w:color w:val="000000" w:themeColor="text1"/>
        </w:rPr>
        <w:t>to be resilient to disasters</w:t>
      </w:r>
      <w:r>
        <w:rPr>
          <w:rFonts w:asciiTheme="majorHAnsi" w:hAnsiTheme="majorHAnsi" w:cstheme="majorHAnsi"/>
          <w:color w:val="000000" w:themeColor="text1"/>
        </w:rPr>
        <w:t xml:space="preserve">, </w:t>
      </w:r>
      <w:r w:rsidRPr="00141A69">
        <w:rPr>
          <w:rFonts w:asciiTheme="majorHAnsi" w:hAnsiTheme="majorHAnsi" w:cstheme="majorHAnsi"/>
          <w:color w:val="000000" w:themeColor="text1"/>
        </w:rPr>
        <w:t xml:space="preserve">inclusive </w:t>
      </w:r>
      <w:r>
        <w:rPr>
          <w:rFonts w:asciiTheme="majorHAnsi" w:hAnsiTheme="majorHAnsi" w:cstheme="majorHAnsi"/>
          <w:color w:val="000000" w:themeColor="text1"/>
        </w:rPr>
        <w:t>as well as</w:t>
      </w:r>
      <w:r w:rsidRPr="00141A69">
        <w:rPr>
          <w:rFonts w:asciiTheme="majorHAnsi" w:hAnsiTheme="majorHAnsi" w:cstheme="majorHAnsi"/>
          <w:color w:val="000000" w:themeColor="text1"/>
        </w:rPr>
        <w:t xml:space="preserve"> sensitive to the needs of various types of students.</w:t>
      </w:r>
      <w:r w:rsidR="00D434EB">
        <w:rPr>
          <w:rFonts w:asciiTheme="majorHAnsi" w:hAnsiTheme="majorHAnsi" w:cstheme="majorHAnsi"/>
          <w:color w:val="000000" w:themeColor="text1"/>
        </w:rPr>
        <w:t xml:space="preserve"> </w:t>
      </w:r>
      <w:r w:rsidRPr="00141A69">
        <w:rPr>
          <w:rFonts w:asciiTheme="majorHAnsi" w:hAnsiTheme="majorHAnsi" w:cstheme="majorHAnsi"/>
          <w:color w:val="000000" w:themeColor="text1"/>
        </w:rPr>
        <w:t xml:space="preserve">Each </w:t>
      </w:r>
      <w:r>
        <w:rPr>
          <w:rFonts w:asciiTheme="majorHAnsi" w:hAnsiTheme="majorHAnsi" w:cstheme="majorHAnsi"/>
          <w:color w:val="000000" w:themeColor="text1"/>
        </w:rPr>
        <w:t xml:space="preserve">constructed </w:t>
      </w:r>
      <w:r w:rsidRPr="00141A69">
        <w:rPr>
          <w:rFonts w:asciiTheme="majorHAnsi" w:hAnsiTheme="majorHAnsi" w:cstheme="majorHAnsi"/>
          <w:color w:val="000000" w:themeColor="text1"/>
        </w:rPr>
        <w:t>classroom was provided with separate toilets for boys and girls.</w:t>
      </w:r>
      <w:r w:rsidR="00D434EB">
        <w:rPr>
          <w:rFonts w:asciiTheme="majorHAnsi" w:hAnsiTheme="majorHAnsi" w:cstheme="majorHAnsi"/>
          <w:color w:val="000000" w:themeColor="text1"/>
        </w:rPr>
        <w:t xml:space="preserve"> </w:t>
      </w:r>
      <w:r w:rsidRPr="00141A69">
        <w:rPr>
          <w:rFonts w:asciiTheme="majorHAnsi" w:hAnsiTheme="majorHAnsi" w:cstheme="majorHAnsi"/>
          <w:color w:val="000000" w:themeColor="text1"/>
        </w:rPr>
        <w:t xml:space="preserve">Features that </w:t>
      </w:r>
      <w:r>
        <w:rPr>
          <w:rFonts w:asciiTheme="majorHAnsi" w:hAnsiTheme="majorHAnsi" w:cstheme="majorHAnsi"/>
          <w:color w:val="000000" w:themeColor="text1"/>
        </w:rPr>
        <w:t>were</w:t>
      </w:r>
      <w:r w:rsidRPr="00141A69">
        <w:rPr>
          <w:rFonts w:asciiTheme="majorHAnsi" w:hAnsiTheme="majorHAnsi" w:cstheme="majorHAnsi"/>
          <w:color w:val="000000" w:themeColor="text1"/>
        </w:rPr>
        <w:t xml:space="preserve"> friendly for </w:t>
      </w:r>
      <w:r>
        <w:rPr>
          <w:rFonts w:asciiTheme="majorHAnsi" w:hAnsiTheme="majorHAnsi" w:cstheme="majorHAnsi"/>
          <w:color w:val="000000" w:themeColor="text1"/>
        </w:rPr>
        <w:t>children</w:t>
      </w:r>
      <w:r w:rsidRPr="00141A69">
        <w:rPr>
          <w:rFonts w:asciiTheme="majorHAnsi" w:hAnsiTheme="majorHAnsi" w:cstheme="majorHAnsi"/>
          <w:color w:val="000000" w:themeColor="text1"/>
        </w:rPr>
        <w:t xml:space="preserve"> with disabilities</w:t>
      </w:r>
      <w:r>
        <w:rPr>
          <w:rFonts w:asciiTheme="majorHAnsi" w:hAnsiTheme="majorHAnsi" w:cstheme="majorHAnsi"/>
          <w:color w:val="000000" w:themeColor="text1"/>
        </w:rPr>
        <w:t xml:space="preserve"> </w:t>
      </w:r>
      <w:r w:rsidRPr="00141A69">
        <w:rPr>
          <w:rFonts w:asciiTheme="majorHAnsi" w:hAnsiTheme="majorHAnsi" w:cstheme="majorHAnsi"/>
          <w:color w:val="000000" w:themeColor="text1"/>
        </w:rPr>
        <w:t>were also incorporated such as ramps, wide doors (</w:t>
      </w:r>
      <w:r>
        <w:rPr>
          <w:rFonts w:asciiTheme="majorHAnsi" w:hAnsiTheme="majorHAnsi" w:cstheme="majorHAnsi"/>
          <w:color w:val="000000" w:themeColor="text1"/>
        </w:rPr>
        <w:t xml:space="preserve">for </w:t>
      </w:r>
      <w:r w:rsidRPr="00141A69">
        <w:rPr>
          <w:rFonts w:asciiTheme="majorHAnsi" w:hAnsiTheme="majorHAnsi" w:cstheme="majorHAnsi"/>
          <w:color w:val="000000" w:themeColor="text1"/>
        </w:rPr>
        <w:t>both the classroom main doors and toilet doors), grab bars in the toilets</w:t>
      </w:r>
      <w:r>
        <w:rPr>
          <w:rFonts w:asciiTheme="majorHAnsi" w:hAnsiTheme="majorHAnsi" w:cstheme="majorHAnsi"/>
          <w:color w:val="000000" w:themeColor="text1"/>
        </w:rPr>
        <w:t xml:space="preserve"> and</w:t>
      </w:r>
      <w:r w:rsidRPr="00141A69">
        <w:rPr>
          <w:rFonts w:asciiTheme="majorHAnsi" w:hAnsiTheme="majorHAnsi" w:cstheme="majorHAnsi"/>
          <w:color w:val="000000" w:themeColor="text1"/>
        </w:rPr>
        <w:t xml:space="preserve"> low light switches</w:t>
      </w:r>
      <w:r>
        <w:rPr>
          <w:rFonts w:asciiTheme="majorHAnsi" w:hAnsiTheme="majorHAnsi" w:cstheme="majorHAnsi"/>
          <w:color w:val="000000" w:themeColor="text1"/>
        </w:rPr>
        <w:t>.</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 </w:t>
      </w:r>
    </w:p>
    <w:p w14:paraId="0340EDA4" w14:textId="77C99ACD" w:rsidR="008D0CAD" w:rsidRDefault="008D0CAD" w:rsidP="00B31C4E">
      <w:pPr>
        <w:pStyle w:val="NormalWeb"/>
        <w:spacing w:line="360" w:lineRule="auto"/>
        <w:rPr>
          <w:rFonts w:asciiTheme="majorHAnsi" w:hAnsiTheme="majorHAnsi" w:cstheme="majorHAnsi"/>
          <w:color w:val="000000"/>
        </w:rPr>
      </w:pPr>
      <w:r w:rsidRPr="002F00E6">
        <w:rPr>
          <w:rFonts w:asciiTheme="majorHAnsi" w:hAnsiTheme="majorHAnsi" w:cstheme="majorHAnsi"/>
          <w:bCs/>
          <w:color w:val="000000" w:themeColor="text1"/>
        </w:rPr>
        <w:t xml:space="preserve">From 2015 to 2019, </w:t>
      </w:r>
      <w:r>
        <w:rPr>
          <w:rFonts w:asciiTheme="majorHAnsi" w:hAnsiTheme="majorHAnsi" w:cstheme="majorHAnsi"/>
          <w:bCs/>
          <w:color w:val="000000" w:themeColor="text1"/>
        </w:rPr>
        <w:t xml:space="preserve">under the </w:t>
      </w:r>
      <w:r w:rsidRPr="00A53436">
        <w:rPr>
          <w:rFonts w:asciiTheme="majorHAnsi" w:hAnsiTheme="majorHAnsi" w:cstheme="majorHAnsi"/>
          <w:bCs/>
          <w:color w:val="000000" w:themeColor="text1"/>
        </w:rPr>
        <w:t>BEST Program, PBSP completed the construction of 509 classrooms benefitting 157 schools</w:t>
      </w:r>
      <w:r>
        <w:rPr>
          <w:rFonts w:asciiTheme="majorHAnsi" w:hAnsiTheme="majorHAnsi" w:cstheme="majorHAnsi"/>
          <w:bCs/>
          <w:color w:val="000000" w:themeColor="text1"/>
        </w:rPr>
        <w:t xml:space="preserve"> in nine regions</w:t>
      </w:r>
      <w:r w:rsidRPr="00A53436">
        <w:rPr>
          <w:rFonts w:asciiTheme="majorHAnsi" w:hAnsiTheme="majorHAnsi" w:cstheme="majorHAnsi"/>
          <w:bCs/>
          <w:color w:val="000000" w:themeColor="text1"/>
        </w:rPr>
        <w:t xml:space="preserve"> (Table </w:t>
      </w:r>
      <w:r>
        <w:rPr>
          <w:rFonts w:asciiTheme="majorHAnsi" w:hAnsiTheme="majorHAnsi" w:cstheme="majorHAnsi"/>
          <w:bCs/>
          <w:color w:val="000000" w:themeColor="text1"/>
        </w:rPr>
        <w:t>31</w:t>
      </w:r>
      <w:r w:rsidRPr="00A53436">
        <w:rPr>
          <w:rFonts w:asciiTheme="majorHAnsi" w:hAnsiTheme="majorHAnsi" w:cstheme="majorHAnsi"/>
          <w:bCs/>
          <w:color w:val="000000" w:themeColor="text1"/>
        </w:rPr>
        <w:t>).</w:t>
      </w:r>
      <w:r w:rsidR="00D434EB">
        <w:rPr>
          <w:rFonts w:asciiTheme="majorHAnsi" w:hAnsiTheme="majorHAnsi" w:cstheme="majorHAnsi"/>
          <w:bCs/>
          <w:color w:val="000000" w:themeColor="text1"/>
        </w:rPr>
        <w:t xml:space="preserve"> </w:t>
      </w:r>
      <w:r>
        <w:rPr>
          <w:rFonts w:asciiTheme="majorHAnsi" w:hAnsiTheme="majorHAnsi" w:cstheme="majorHAnsi"/>
          <w:color w:val="000000"/>
        </w:rPr>
        <w:t xml:space="preserve">This achievement indicates high </w:t>
      </w:r>
      <w:r w:rsidRPr="007B0C91">
        <w:rPr>
          <w:rFonts w:asciiTheme="majorHAnsi" w:hAnsiTheme="majorHAnsi" w:cstheme="majorHAnsi"/>
          <w:color w:val="000000"/>
        </w:rPr>
        <w:t xml:space="preserve">program efficiency </w:t>
      </w:r>
      <w:r>
        <w:rPr>
          <w:rFonts w:asciiTheme="majorHAnsi" w:hAnsiTheme="majorHAnsi" w:cstheme="majorHAnsi"/>
          <w:color w:val="000000"/>
        </w:rPr>
        <w:t xml:space="preserve">as </w:t>
      </w:r>
      <w:r w:rsidRPr="007B0C91">
        <w:rPr>
          <w:rFonts w:asciiTheme="majorHAnsi" w:hAnsiTheme="majorHAnsi" w:cstheme="majorHAnsi"/>
          <w:color w:val="000000"/>
        </w:rPr>
        <w:t>the number of classrooms targeted</w:t>
      </w:r>
      <w:r>
        <w:rPr>
          <w:rFonts w:asciiTheme="majorHAnsi" w:hAnsiTheme="majorHAnsi" w:cstheme="majorHAnsi"/>
          <w:color w:val="000000"/>
        </w:rPr>
        <w:t xml:space="preserve"> were constructed </w:t>
      </w:r>
      <w:r w:rsidRPr="007B0C91">
        <w:rPr>
          <w:rFonts w:asciiTheme="majorHAnsi" w:hAnsiTheme="majorHAnsi" w:cstheme="majorHAnsi"/>
          <w:color w:val="000000"/>
        </w:rPr>
        <w:t>within the implementation period</w:t>
      </w:r>
      <w:r>
        <w:rPr>
          <w:rFonts w:asciiTheme="majorHAnsi" w:hAnsiTheme="majorHAnsi" w:cstheme="majorHAnsi"/>
          <w:color w:val="000000"/>
        </w:rPr>
        <w:t xml:space="preserve">. </w:t>
      </w:r>
      <w:r w:rsidRPr="00A53436">
        <w:rPr>
          <w:rFonts w:asciiTheme="majorHAnsi" w:hAnsiTheme="majorHAnsi" w:cstheme="majorHAnsi"/>
          <w:bCs/>
          <w:color w:val="000000" w:themeColor="text1"/>
        </w:rPr>
        <w:t>Fifty</w:t>
      </w:r>
      <w:r>
        <w:rPr>
          <w:rFonts w:asciiTheme="majorHAnsi" w:hAnsiTheme="majorHAnsi" w:cstheme="majorHAnsi"/>
          <w:bCs/>
          <w:color w:val="000000" w:themeColor="text1"/>
        </w:rPr>
        <w:t>-four per cent of</w:t>
      </w:r>
      <w:r w:rsidRPr="005F3532">
        <w:rPr>
          <w:rFonts w:asciiTheme="majorHAnsi" w:hAnsiTheme="majorHAnsi" w:cstheme="majorHAnsi"/>
          <w:bCs/>
          <w:color w:val="000000" w:themeColor="text1"/>
        </w:rPr>
        <w:t xml:space="preserve"> classrooms constructed </w:t>
      </w:r>
      <w:r>
        <w:rPr>
          <w:rFonts w:asciiTheme="majorHAnsi" w:hAnsiTheme="majorHAnsi" w:cstheme="majorHAnsi"/>
          <w:bCs/>
          <w:color w:val="000000" w:themeColor="text1"/>
        </w:rPr>
        <w:t>(</w:t>
      </w:r>
      <w:r w:rsidRPr="005F3532">
        <w:rPr>
          <w:rFonts w:asciiTheme="majorHAnsi" w:hAnsiTheme="majorHAnsi" w:cstheme="majorHAnsi"/>
          <w:bCs/>
          <w:color w:val="000000" w:themeColor="text1"/>
        </w:rPr>
        <w:t>288</w:t>
      </w:r>
      <w:r>
        <w:rPr>
          <w:rFonts w:asciiTheme="majorHAnsi" w:hAnsiTheme="majorHAnsi" w:cstheme="majorHAnsi"/>
          <w:bCs/>
          <w:color w:val="000000" w:themeColor="text1"/>
        </w:rPr>
        <w:t xml:space="preserve">) </w:t>
      </w:r>
      <w:r w:rsidRPr="005F3532">
        <w:rPr>
          <w:rFonts w:asciiTheme="majorHAnsi" w:hAnsiTheme="majorHAnsi" w:cstheme="majorHAnsi"/>
          <w:bCs/>
          <w:color w:val="000000" w:themeColor="text1"/>
        </w:rPr>
        <w:t>were</w:t>
      </w:r>
      <w:r>
        <w:rPr>
          <w:rFonts w:asciiTheme="majorHAnsi" w:hAnsiTheme="majorHAnsi" w:cstheme="majorHAnsi"/>
          <w:bCs/>
          <w:color w:val="000000" w:themeColor="text1"/>
        </w:rPr>
        <w:t xml:space="preserve"> </w:t>
      </w:r>
      <w:r w:rsidRPr="005F3532">
        <w:rPr>
          <w:rFonts w:asciiTheme="majorHAnsi" w:hAnsiTheme="majorHAnsi" w:cstheme="majorHAnsi"/>
          <w:bCs/>
          <w:color w:val="000000" w:themeColor="text1"/>
        </w:rPr>
        <w:t xml:space="preserve">in 82 schools </w:t>
      </w:r>
      <w:r>
        <w:rPr>
          <w:rFonts w:asciiTheme="majorHAnsi" w:hAnsiTheme="majorHAnsi" w:cstheme="majorHAnsi"/>
          <w:bCs/>
          <w:color w:val="000000" w:themeColor="text1"/>
        </w:rPr>
        <w:t>located</w:t>
      </w:r>
      <w:r w:rsidRPr="005F3532">
        <w:rPr>
          <w:rFonts w:asciiTheme="majorHAnsi" w:hAnsiTheme="majorHAnsi" w:cstheme="majorHAnsi"/>
          <w:bCs/>
          <w:color w:val="000000" w:themeColor="text1"/>
        </w:rPr>
        <w:t xml:space="preserve"> </w:t>
      </w:r>
      <w:r>
        <w:rPr>
          <w:rFonts w:asciiTheme="majorHAnsi" w:hAnsiTheme="majorHAnsi" w:cstheme="majorHAnsi"/>
          <w:bCs/>
          <w:color w:val="000000" w:themeColor="text1"/>
        </w:rPr>
        <w:t>with</w:t>
      </w:r>
      <w:r w:rsidRPr="005F3532">
        <w:rPr>
          <w:rFonts w:asciiTheme="majorHAnsi" w:hAnsiTheme="majorHAnsi" w:cstheme="majorHAnsi"/>
          <w:bCs/>
          <w:color w:val="000000" w:themeColor="text1"/>
        </w:rPr>
        <w:t xml:space="preserve">in </w:t>
      </w:r>
      <w:r>
        <w:rPr>
          <w:rFonts w:asciiTheme="majorHAnsi" w:hAnsiTheme="majorHAnsi" w:cstheme="majorHAnsi"/>
          <w:bCs/>
          <w:color w:val="000000" w:themeColor="text1"/>
        </w:rPr>
        <w:t xml:space="preserve">the six </w:t>
      </w:r>
      <w:r w:rsidRPr="005F3532">
        <w:rPr>
          <w:rFonts w:asciiTheme="majorHAnsi" w:hAnsiTheme="majorHAnsi" w:cstheme="majorHAnsi"/>
          <w:bCs/>
          <w:color w:val="000000" w:themeColor="text1"/>
        </w:rPr>
        <w:t>BEST</w:t>
      </w:r>
      <w:r>
        <w:rPr>
          <w:rFonts w:asciiTheme="majorHAnsi" w:hAnsiTheme="majorHAnsi" w:cstheme="majorHAnsi"/>
          <w:bCs/>
          <w:color w:val="000000" w:themeColor="text1"/>
        </w:rPr>
        <w:t xml:space="preserve"> Program-</w:t>
      </w:r>
      <w:r w:rsidRPr="005F3532">
        <w:rPr>
          <w:rFonts w:asciiTheme="majorHAnsi" w:hAnsiTheme="majorHAnsi" w:cstheme="majorHAnsi"/>
          <w:bCs/>
          <w:color w:val="000000" w:themeColor="text1"/>
        </w:rPr>
        <w:t>supported regions</w:t>
      </w:r>
      <w:r w:rsidRPr="009B6EE9">
        <w:rPr>
          <w:rFonts w:asciiTheme="majorHAnsi" w:hAnsiTheme="majorHAnsi" w:cstheme="majorHAnsi"/>
          <w:bCs/>
          <w:color w:val="000000" w:themeColor="text1"/>
        </w:rPr>
        <w:t>.</w:t>
      </w:r>
      <w:r w:rsidR="00D434EB">
        <w:rPr>
          <w:rFonts w:asciiTheme="majorHAnsi" w:hAnsiTheme="majorHAnsi" w:cstheme="majorHAnsi"/>
          <w:bCs/>
          <w:color w:val="000000" w:themeColor="text1"/>
        </w:rPr>
        <w:t xml:space="preserve"> </w:t>
      </w:r>
      <w:r>
        <w:rPr>
          <w:rFonts w:asciiTheme="majorHAnsi" w:hAnsiTheme="majorHAnsi" w:cstheme="majorHAnsi"/>
          <w:bCs/>
          <w:color w:val="000000" w:themeColor="text1"/>
        </w:rPr>
        <w:t>Eighty-two per cent</w:t>
      </w:r>
      <w:r w:rsidRPr="002F00E6">
        <w:rPr>
          <w:rFonts w:asciiTheme="majorHAnsi" w:hAnsiTheme="majorHAnsi" w:cstheme="majorHAnsi"/>
          <w:bCs/>
          <w:color w:val="000000" w:themeColor="text1"/>
        </w:rPr>
        <w:t xml:space="preserve"> of </w:t>
      </w:r>
      <w:r>
        <w:rPr>
          <w:rFonts w:asciiTheme="majorHAnsi" w:hAnsiTheme="majorHAnsi" w:cstheme="majorHAnsi"/>
          <w:bCs/>
          <w:color w:val="000000" w:themeColor="text1"/>
        </w:rPr>
        <w:t>the classrooms constructed were</w:t>
      </w:r>
      <w:r w:rsidRPr="002F00E6">
        <w:rPr>
          <w:rFonts w:asciiTheme="majorHAnsi" w:hAnsiTheme="majorHAnsi" w:cstheme="majorHAnsi"/>
          <w:bCs/>
          <w:color w:val="000000" w:themeColor="text1"/>
        </w:rPr>
        <w:t xml:space="preserve"> located in rural areas.</w:t>
      </w:r>
      <w:r>
        <w:rPr>
          <w:rStyle w:val="FootnoteReference"/>
          <w:rFonts w:asciiTheme="majorHAnsi" w:eastAsia="Arial Unicode MS" w:hAnsiTheme="majorHAnsi" w:cstheme="majorHAnsi"/>
          <w:bCs/>
          <w:color w:val="000000" w:themeColor="text1"/>
        </w:rPr>
        <w:footnoteReference w:id="51"/>
      </w:r>
      <w:r>
        <w:rPr>
          <w:rFonts w:asciiTheme="majorHAnsi" w:hAnsiTheme="majorHAnsi" w:cstheme="majorHAnsi"/>
          <w:bCs/>
          <w:color w:val="000000" w:themeColor="text1"/>
        </w:rPr>
        <w:t xml:space="preserve"> Since traditionally schools in the rural areas have less resources and are often situated in third to fifth class municipalities where poverty is </w:t>
      </w:r>
      <w:r w:rsidR="004A657A">
        <w:rPr>
          <w:rFonts w:asciiTheme="majorHAnsi" w:hAnsiTheme="majorHAnsi" w:cstheme="majorHAnsi"/>
          <w:bCs/>
          <w:color w:val="000000" w:themeColor="text1"/>
        </w:rPr>
        <w:t>high, this</w:t>
      </w:r>
      <w:r>
        <w:rPr>
          <w:rFonts w:asciiTheme="majorHAnsi" w:hAnsiTheme="majorHAnsi" w:cstheme="majorHAnsi"/>
          <w:color w:val="000000"/>
        </w:rPr>
        <w:t xml:space="preserve"> distribution suggests attainment of inclusiveness.</w:t>
      </w:r>
    </w:p>
    <w:p w14:paraId="6CE95975" w14:textId="3EDC1D0C" w:rsidR="008D0CAD" w:rsidRDefault="008D0CAD" w:rsidP="00B31C4E">
      <w:pPr>
        <w:pStyle w:val="NormalWeb"/>
        <w:spacing w:line="360" w:lineRule="auto"/>
        <w:rPr>
          <w:rFonts w:asciiTheme="majorHAnsi" w:hAnsiTheme="majorHAnsi" w:cstheme="majorHAnsi"/>
          <w:bCs/>
          <w:color w:val="000000" w:themeColor="text1"/>
        </w:rPr>
      </w:pPr>
      <w:r>
        <w:rPr>
          <w:rFonts w:asciiTheme="majorHAnsi" w:hAnsiTheme="majorHAnsi" w:cstheme="majorHAnsi"/>
          <w:color w:val="000000" w:themeColor="text1"/>
        </w:rPr>
        <w:t xml:space="preserve">In terms of improving access, </w:t>
      </w:r>
      <w:r w:rsidRPr="00190439">
        <w:rPr>
          <w:rFonts w:asciiTheme="majorHAnsi" w:hAnsiTheme="majorHAnsi" w:cstheme="majorHAnsi"/>
          <w:color w:val="000000" w:themeColor="text1"/>
        </w:rPr>
        <w:t>PBSP</w:t>
      </w:r>
      <w:r>
        <w:rPr>
          <w:rFonts w:asciiTheme="majorHAnsi" w:hAnsiTheme="majorHAnsi" w:cstheme="majorHAnsi"/>
          <w:color w:val="000000" w:themeColor="text1"/>
        </w:rPr>
        <w:t xml:space="preserve"> reported that </w:t>
      </w:r>
      <w:r w:rsidRPr="00190439">
        <w:rPr>
          <w:rFonts w:asciiTheme="majorHAnsi" w:hAnsiTheme="majorHAnsi" w:cstheme="majorHAnsi"/>
          <w:color w:val="000000" w:themeColor="text1"/>
        </w:rPr>
        <w:t>a total of 71,357</w:t>
      </w:r>
      <w:r>
        <w:rPr>
          <w:rFonts w:asciiTheme="majorHAnsi" w:hAnsiTheme="majorHAnsi" w:cstheme="majorHAnsi"/>
          <w:color w:val="000000" w:themeColor="text1"/>
        </w:rPr>
        <w:t xml:space="preserve"> </w:t>
      </w:r>
      <w:r w:rsidRPr="00190439">
        <w:rPr>
          <w:rFonts w:asciiTheme="majorHAnsi" w:hAnsiTheme="majorHAnsi" w:cstheme="majorHAnsi"/>
          <w:color w:val="000000" w:themeColor="text1"/>
        </w:rPr>
        <w:t>elementary students (48</w:t>
      </w:r>
      <w:r>
        <w:rPr>
          <w:rFonts w:asciiTheme="majorHAnsi" w:hAnsiTheme="majorHAnsi" w:cstheme="majorHAnsi"/>
          <w:color w:val="000000" w:themeColor="text1"/>
        </w:rPr>
        <w:t xml:space="preserve"> per cent</w:t>
      </w:r>
      <w:r w:rsidRPr="00190439">
        <w:rPr>
          <w:rFonts w:asciiTheme="majorHAnsi" w:hAnsiTheme="majorHAnsi" w:cstheme="majorHAnsi"/>
          <w:color w:val="000000" w:themeColor="text1"/>
        </w:rPr>
        <w:t xml:space="preserve"> girls) benefitted from the classrooms constructed</w:t>
      </w:r>
      <w:r>
        <w:rPr>
          <w:rFonts w:asciiTheme="majorHAnsi" w:hAnsiTheme="majorHAnsi" w:cstheme="majorHAnsi"/>
          <w:color w:val="000000" w:themeColor="text1"/>
        </w:rPr>
        <w:t>, and</w:t>
      </w:r>
      <w:r w:rsidRPr="00190439">
        <w:rPr>
          <w:rFonts w:asciiTheme="majorHAnsi" w:hAnsiTheme="majorHAnsi" w:cstheme="majorHAnsi"/>
          <w:color w:val="000000" w:themeColor="text1"/>
        </w:rPr>
        <w:t xml:space="preserve"> 77,658 high school students (51</w:t>
      </w:r>
      <w:r>
        <w:rPr>
          <w:rFonts w:asciiTheme="majorHAnsi" w:hAnsiTheme="majorHAnsi" w:cstheme="majorHAnsi"/>
          <w:color w:val="000000" w:themeColor="text1"/>
        </w:rPr>
        <w:t xml:space="preserve"> per cent</w:t>
      </w:r>
      <w:r w:rsidRPr="00190439">
        <w:rPr>
          <w:rFonts w:asciiTheme="majorHAnsi" w:hAnsiTheme="majorHAnsi" w:cstheme="majorHAnsi"/>
          <w:color w:val="000000" w:themeColor="text1"/>
        </w:rPr>
        <w:t xml:space="preserve"> females)</w:t>
      </w:r>
      <w:r>
        <w:rPr>
          <w:rFonts w:asciiTheme="majorHAnsi" w:hAnsiTheme="majorHAnsi" w:cstheme="majorHAnsi"/>
          <w:color w:val="000000" w:themeColor="text1"/>
        </w:rPr>
        <w:t xml:space="preserve"> </w:t>
      </w:r>
      <w:r w:rsidRPr="00190439">
        <w:rPr>
          <w:rFonts w:asciiTheme="majorHAnsi" w:hAnsiTheme="majorHAnsi" w:cstheme="majorHAnsi"/>
          <w:color w:val="000000" w:themeColor="text1"/>
        </w:rPr>
        <w:t xml:space="preserve">at </w:t>
      </w:r>
      <w:r w:rsidRPr="00A53436">
        <w:rPr>
          <w:rFonts w:asciiTheme="majorHAnsi" w:hAnsiTheme="majorHAnsi" w:cstheme="majorHAnsi"/>
          <w:color w:val="000000" w:themeColor="text1"/>
        </w:rPr>
        <w:t xml:space="preserve">the end of SY 2017-2018. </w:t>
      </w:r>
      <w:r w:rsidRPr="00A53436">
        <w:rPr>
          <w:rFonts w:asciiTheme="majorHAnsi" w:hAnsiTheme="majorHAnsi" w:cstheme="majorHAnsi"/>
          <w:bCs/>
          <w:color w:val="000000" w:themeColor="text1"/>
        </w:rPr>
        <w:t xml:space="preserve">Twenty-eight </w:t>
      </w:r>
      <w:r>
        <w:rPr>
          <w:rFonts w:asciiTheme="majorHAnsi" w:hAnsiTheme="majorHAnsi" w:cstheme="majorHAnsi"/>
          <w:bCs/>
          <w:color w:val="000000" w:themeColor="text1"/>
        </w:rPr>
        <w:t>per cent</w:t>
      </w:r>
      <w:r w:rsidRPr="00A53436">
        <w:rPr>
          <w:rFonts w:asciiTheme="majorHAnsi" w:hAnsiTheme="majorHAnsi" w:cstheme="majorHAnsi"/>
          <w:bCs/>
          <w:color w:val="000000" w:themeColor="text1"/>
        </w:rPr>
        <w:t xml:space="preserve"> of the beneficiary elementary students (25,573 students, 47</w:t>
      </w:r>
      <w:r>
        <w:rPr>
          <w:rFonts w:asciiTheme="majorHAnsi" w:hAnsiTheme="majorHAnsi" w:cstheme="majorHAnsi"/>
          <w:bCs/>
          <w:color w:val="000000" w:themeColor="text1"/>
        </w:rPr>
        <w:t xml:space="preserve"> per cent</w:t>
      </w:r>
      <w:r w:rsidRPr="00A53436">
        <w:rPr>
          <w:rFonts w:asciiTheme="majorHAnsi" w:hAnsiTheme="majorHAnsi" w:cstheme="majorHAnsi"/>
          <w:bCs/>
          <w:color w:val="000000" w:themeColor="text1"/>
        </w:rPr>
        <w:t xml:space="preserve"> girls) were </w:t>
      </w:r>
      <w:r>
        <w:rPr>
          <w:rFonts w:asciiTheme="majorHAnsi" w:hAnsiTheme="majorHAnsi" w:cstheme="majorHAnsi"/>
          <w:bCs/>
          <w:color w:val="000000" w:themeColor="text1"/>
        </w:rPr>
        <w:t xml:space="preserve">studying </w:t>
      </w:r>
      <w:r w:rsidRPr="00A53436">
        <w:rPr>
          <w:rFonts w:asciiTheme="majorHAnsi" w:hAnsiTheme="majorHAnsi" w:cstheme="majorHAnsi"/>
          <w:bCs/>
          <w:color w:val="000000" w:themeColor="text1"/>
        </w:rPr>
        <w:t xml:space="preserve">in schools located within the BEST </w:t>
      </w:r>
      <w:r>
        <w:rPr>
          <w:rFonts w:asciiTheme="majorHAnsi" w:hAnsiTheme="majorHAnsi" w:cstheme="majorHAnsi"/>
          <w:bCs/>
          <w:color w:val="000000" w:themeColor="text1"/>
        </w:rPr>
        <w:t>Program-</w:t>
      </w:r>
      <w:r w:rsidRPr="00190439">
        <w:rPr>
          <w:rFonts w:asciiTheme="majorHAnsi" w:hAnsiTheme="majorHAnsi" w:cstheme="majorHAnsi"/>
          <w:bCs/>
          <w:color w:val="000000" w:themeColor="text1"/>
        </w:rPr>
        <w:t xml:space="preserve">supported </w:t>
      </w:r>
      <w:r w:rsidRPr="00A53436">
        <w:rPr>
          <w:rFonts w:asciiTheme="majorHAnsi" w:hAnsiTheme="majorHAnsi" w:cstheme="majorHAnsi"/>
          <w:bCs/>
          <w:color w:val="000000" w:themeColor="text1"/>
        </w:rPr>
        <w:t xml:space="preserve">regions (Table </w:t>
      </w:r>
      <w:r>
        <w:rPr>
          <w:rFonts w:asciiTheme="majorHAnsi" w:hAnsiTheme="majorHAnsi" w:cstheme="majorHAnsi"/>
          <w:bCs/>
          <w:color w:val="000000" w:themeColor="text1"/>
        </w:rPr>
        <w:t>32</w:t>
      </w:r>
      <w:r w:rsidRPr="00A53436">
        <w:rPr>
          <w:rFonts w:asciiTheme="majorHAnsi" w:hAnsiTheme="majorHAnsi" w:cstheme="majorHAnsi"/>
          <w:bCs/>
          <w:color w:val="000000" w:themeColor="text1"/>
        </w:rPr>
        <w:t>).</w:t>
      </w:r>
      <w:r w:rsidR="00D434EB">
        <w:rPr>
          <w:rFonts w:asciiTheme="majorHAnsi" w:hAnsiTheme="majorHAnsi" w:cstheme="majorHAnsi"/>
          <w:bCs/>
          <w:color w:val="000000" w:themeColor="text1"/>
        </w:rPr>
        <w:t xml:space="preserve"> </w:t>
      </w:r>
      <w:r>
        <w:rPr>
          <w:rFonts w:asciiTheme="majorHAnsi" w:hAnsiTheme="majorHAnsi" w:cstheme="majorHAnsi"/>
          <w:bCs/>
          <w:color w:val="000000" w:themeColor="text1"/>
        </w:rPr>
        <w:t>In addition, n</w:t>
      </w:r>
      <w:r w:rsidRPr="00A53436">
        <w:rPr>
          <w:rFonts w:asciiTheme="majorHAnsi" w:hAnsiTheme="majorHAnsi" w:cstheme="majorHAnsi"/>
          <w:bCs/>
          <w:color w:val="000000" w:themeColor="text1"/>
        </w:rPr>
        <w:t xml:space="preserve">early </w:t>
      </w:r>
      <w:r w:rsidRPr="00190439">
        <w:rPr>
          <w:rFonts w:asciiTheme="majorHAnsi" w:hAnsiTheme="majorHAnsi" w:cstheme="majorHAnsi"/>
          <w:bCs/>
          <w:color w:val="000000" w:themeColor="text1"/>
        </w:rPr>
        <w:t>half of the beneficiary high school students (54,468 students, 51</w:t>
      </w:r>
      <w:r>
        <w:rPr>
          <w:rFonts w:asciiTheme="majorHAnsi" w:hAnsiTheme="majorHAnsi" w:cstheme="majorHAnsi"/>
          <w:bCs/>
          <w:color w:val="000000" w:themeColor="text1"/>
        </w:rPr>
        <w:t xml:space="preserve"> per cent</w:t>
      </w:r>
      <w:r w:rsidRPr="00190439">
        <w:rPr>
          <w:rFonts w:asciiTheme="majorHAnsi" w:hAnsiTheme="majorHAnsi" w:cstheme="majorHAnsi"/>
          <w:bCs/>
          <w:color w:val="000000" w:themeColor="text1"/>
        </w:rPr>
        <w:t xml:space="preserve"> girls) were in schools located within the BEST</w:t>
      </w:r>
      <w:r>
        <w:rPr>
          <w:rFonts w:asciiTheme="majorHAnsi" w:hAnsiTheme="majorHAnsi" w:cstheme="majorHAnsi"/>
          <w:bCs/>
          <w:color w:val="000000" w:themeColor="text1"/>
        </w:rPr>
        <w:t xml:space="preserve"> Program-</w:t>
      </w:r>
      <w:r w:rsidRPr="00190439">
        <w:rPr>
          <w:rFonts w:asciiTheme="majorHAnsi" w:hAnsiTheme="majorHAnsi" w:cstheme="majorHAnsi"/>
          <w:bCs/>
          <w:color w:val="000000" w:themeColor="text1"/>
        </w:rPr>
        <w:t>supported regions.</w:t>
      </w:r>
      <w:r w:rsidR="00D434EB">
        <w:rPr>
          <w:rFonts w:asciiTheme="majorHAnsi" w:hAnsiTheme="majorHAnsi" w:cstheme="majorHAnsi"/>
          <w:bCs/>
          <w:color w:val="000000" w:themeColor="text1"/>
        </w:rPr>
        <w:t xml:space="preserve"> </w:t>
      </w:r>
    </w:p>
    <w:p w14:paraId="4F19D624" w14:textId="172BEAB4" w:rsidR="008D0CAD" w:rsidRPr="004A657A" w:rsidRDefault="008D0CAD" w:rsidP="00B31C4E">
      <w:pPr>
        <w:pStyle w:val="Caption"/>
        <w:spacing w:before="100" w:beforeAutospacing="1" w:after="100" w:afterAutospacing="1" w:line="360" w:lineRule="auto"/>
        <w:rPr>
          <w:rFonts w:asciiTheme="majorHAnsi" w:hAnsiTheme="majorHAnsi" w:cstheme="majorHAnsi"/>
          <w:bCs/>
          <w:iCs w:val="0"/>
          <w:sz w:val="22"/>
          <w:szCs w:val="22"/>
        </w:rPr>
      </w:pPr>
      <w:bookmarkStart w:id="134" w:name="_Toc71616617"/>
      <w:r w:rsidRPr="004A657A">
        <w:rPr>
          <w:rFonts w:asciiTheme="majorHAnsi" w:hAnsiTheme="majorHAnsi" w:cstheme="majorHAnsi"/>
          <w:iCs w:val="0"/>
          <w:sz w:val="22"/>
          <w:szCs w:val="22"/>
        </w:rPr>
        <w:t xml:space="preserve">Table </w:t>
      </w:r>
      <w:r w:rsidRPr="004A657A">
        <w:rPr>
          <w:rFonts w:asciiTheme="majorHAnsi" w:hAnsiTheme="majorHAnsi" w:cstheme="majorHAnsi"/>
          <w:iCs w:val="0"/>
          <w:sz w:val="22"/>
          <w:szCs w:val="22"/>
        </w:rPr>
        <w:fldChar w:fldCharType="begin"/>
      </w:r>
      <w:r w:rsidRPr="004A657A">
        <w:rPr>
          <w:rFonts w:asciiTheme="majorHAnsi" w:hAnsiTheme="majorHAnsi" w:cstheme="majorHAnsi"/>
          <w:iCs w:val="0"/>
          <w:sz w:val="22"/>
          <w:szCs w:val="22"/>
        </w:rPr>
        <w:instrText xml:space="preserve"> SEQ Table \* ARABIC </w:instrText>
      </w:r>
      <w:r w:rsidRPr="004A657A">
        <w:rPr>
          <w:rFonts w:asciiTheme="majorHAnsi" w:hAnsiTheme="majorHAnsi" w:cstheme="majorHAnsi"/>
          <w:iCs w:val="0"/>
          <w:sz w:val="22"/>
          <w:szCs w:val="22"/>
        </w:rPr>
        <w:fldChar w:fldCharType="separate"/>
      </w:r>
      <w:r w:rsidR="00D6133D">
        <w:rPr>
          <w:rFonts w:asciiTheme="majorHAnsi" w:hAnsiTheme="majorHAnsi" w:cstheme="majorHAnsi"/>
          <w:iCs w:val="0"/>
          <w:noProof/>
          <w:sz w:val="22"/>
          <w:szCs w:val="22"/>
        </w:rPr>
        <w:t>26</w:t>
      </w:r>
      <w:r w:rsidRPr="004A657A">
        <w:rPr>
          <w:rFonts w:asciiTheme="majorHAnsi" w:hAnsiTheme="majorHAnsi" w:cstheme="majorHAnsi"/>
          <w:iCs w:val="0"/>
          <w:sz w:val="22"/>
          <w:szCs w:val="22"/>
        </w:rPr>
        <w:fldChar w:fldCharType="end"/>
      </w:r>
      <w:r w:rsidRPr="004A657A">
        <w:rPr>
          <w:rFonts w:asciiTheme="majorHAnsi" w:hAnsiTheme="majorHAnsi" w:cstheme="majorHAnsi"/>
          <w:iCs w:val="0"/>
          <w:sz w:val="22"/>
          <w:szCs w:val="22"/>
        </w:rPr>
        <w:t xml:space="preserve">. </w:t>
      </w:r>
      <w:r w:rsidRPr="004A657A">
        <w:rPr>
          <w:rFonts w:asciiTheme="majorHAnsi" w:hAnsiTheme="majorHAnsi" w:cstheme="majorHAnsi"/>
          <w:bCs/>
          <w:iCs w:val="0"/>
          <w:sz w:val="22"/>
          <w:szCs w:val="22"/>
        </w:rPr>
        <w:t>Distributions of Classrooms Constructed/Construction by Region</w:t>
      </w:r>
      <w:bookmarkEnd w:id="134"/>
    </w:p>
    <w:tbl>
      <w:tblPr>
        <w:tblStyle w:val="TableGrid"/>
        <w:tblW w:w="9493" w:type="dxa"/>
        <w:tblLayout w:type="fixed"/>
        <w:tblLook w:val="04A0" w:firstRow="1" w:lastRow="0" w:firstColumn="1" w:lastColumn="0" w:noHBand="0" w:noVBand="1"/>
      </w:tblPr>
      <w:tblGrid>
        <w:gridCol w:w="2761"/>
        <w:gridCol w:w="612"/>
        <w:gridCol w:w="612"/>
        <w:gridCol w:w="688"/>
        <w:gridCol w:w="709"/>
        <w:gridCol w:w="439"/>
        <w:gridCol w:w="612"/>
        <w:gridCol w:w="612"/>
        <w:gridCol w:w="612"/>
        <w:gridCol w:w="612"/>
        <w:gridCol w:w="612"/>
        <w:gridCol w:w="612"/>
      </w:tblGrid>
      <w:tr w:rsidR="00227C7C" w:rsidRPr="002339E6" w14:paraId="2A2DE339" w14:textId="77777777" w:rsidTr="004B064D">
        <w:trPr>
          <w:trHeight w:val="57"/>
          <w:tblHeader/>
        </w:trPr>
        <w:tc>
          <w:tcPr>
            <w:tcW w:w="2761" w:type="dxa"/>
          </w:tcPr>
          <w:p w14:paraId="73F23F6D" w14:textId="77777777" w:rsidR="00080CF5" w:rsidRPr="002339E6" w:rsidRDefault="00080CF5" w:rsidP="00080CF5">
            <w:pPr>
              <w:pStyle w:val="NormalWeb"/>
              <w:spacing w:line="360" w:lineRule="auto"/>
              <w:rPr>
                <w:rFonts w:asciiTheme="majorHAnsi" w:hAnsiTheme="majorHAnsi" w:cstheme="majorHAnsi"/>
                <w:b/>
                <w:bCs/>
                <w:color w:val="000000"/>
                <w:sz w:val="18"/>
                <w:szCs w:val="18"/>
              </w:rPr>
            </w:pPr>
          </w:p>
        </w:tc>
        <w:tc>
          <w:tcPr>
            <w:tcW w:w="612" w:type="dxa"/>
            <w:tcBorders>
              <w:right w:val="nil"/>
            </w:tcBorders>
          </w:tcPr>
          <w:p w14:paraId="2F782C66" w14:textId="1D5327A2" w:rsidR="00080CF5" w:rsidRPr="002339E6" w:rsidRDefault="00943324" w:rsidP="00080CF5">
            <w:pPr>
              <w:pStyle w:val="NormalWeb"/>
              <w:spacing w:line="360" w:lineRule="auto"/>
              <w:rPr>
                <w:rFonts w:asciiTheme="majorHAnsi" w:hAnsiTheme="majorHAnsi" w:cstheme="majorHAnsi"/>
                <w:b/>
                <w:bCs/>
                <w:color w:val="000000"/>
                <w:sz w:val="18"/>
                <w:szCs w:val="18"/>
              </w:rPr>
            </w:pPr>
            <w:r>
              <w:rPr>
                <w:rFonts w:asciiTheme="majorHAnsi" w:hAnsiTheme="majorHAnsi" w:cstheme="majorHAnsi"/>
                <w:b/>
                <w:bCs/>
                <w:color w:val="000000"/>
                <w:sz w:val="18"/>
                <w:szCs w:val="18"/>
              </w:rPr>
              <w:t xml:space="preserve">No </w:t>
            </w:r>
          </w:p>
        </w:tc>
        <w:tc>
          <w:tcPr>
            <w:tcW w:w="612" w:type="dxa"/>
            <w:tcBorders>
              <w:left w:val="nil"/>
              <w:right w:val="nil"/>
            </w:tcBorders>
          </w:tcPr>
          <w:p w14:paraId="304C10A9" w14:textId="5C341C0B" w:rsidR="00080CF5" w:rsidRPr="002339E6" w:rsidRDefault="00227C7C" w:rsidP="00080CF5">
            <w:pPr>
              <w:pStyle w:val="NormalWeb"/>
              <w:spacing w:line="360" w:lineRule="auto"/>
              <w:rPr>
                <w:rFonts w:asciiTheme="majorHAnsi" w:hAnsiTheme="majorHAnsi" w:cstheme="majorHAnsi"/>
                <w:b/>
                <w:bCs/>
                <w:color w:val="000000"/>
                <w:sz w:val="18"/>
                <w:szCs w:val="18"/>
              </w:rPr>
            </w:pPr>
            <w:r>
              <w:rPr>
                <w:rFonts w:asciiTheme="majorHAnsi" w:hAnsiTheme="majorHAnsi" w:cstheme="majorHAnsi"/>
                <w:b/>
                <w:bCs/>
                <w:color w:val="000000"/>
                <w:sz w:val="18"/>
                <w:szCs w:val="18"/>
              </w:rPr>
              <w:t>of</w:t>
            </w:r>
          </w:p>
        </w:tc>
        <w:tc>
          <w:tcPr>
            <w:tcW w:w="688" w:type="dxa"/>
            <w:tcBorders>
              <w:left w:val="nil"/>
              <w:right w:val="nil"/>
            </w:tcBorders>
          </w:tcPr>
          <w:p w14:paraId="7127E16F" w14:textId="1AAB24D6" w:rsidR="00080CF5" w:rsidRPr="002339E6" w:rsidRDefault="00227C7C" w:rsidP="00080CF5">
            <w:pPr>
              <w:pStyle w:val="NormalWeb"/>
              <w:spacing w:line="360" w:lineRule="auto"/>
              <w:rPr>
                <w:rFonts w:asciiTheme="majorHAnsi" w:hAnsiTheme="majorHAnsi" w:cstheme="majorHAnsi"/>
                <w:b/>
                <w:bCs/>
                <w:color w:val="000000"/>
                <w:sz w:val="18"/>
                <w:szCs w:val="18"/>
              </w:rPr>
            </w:pPr>
            <w:r>
              <w:rPr>
                <w:rFonts w:asciiTheme="majorHAnsi" w:hAnsiTheme="majorHAnsi" w:cstheme="majorHAnsi"/>
                <w:b/>
                <w:bCs/>
                <w:color w:val="000000"/>
                <w:sz w:val="18"/>
                <w:szCs w:val="18"/>
              </w:rPr>
              <w:t>Class-rooms</w:t>
            </w:r>
          </w:p>
        </w:tc>
        <w:tc>
          <w:tcPr>
            <w:tcW w:w="709" w:type="dxa"/>
            <w:tcBorders>
              <w:left w:val="nil"/>
              <w:right w:val="nil"/>
            </w:tcBorders>
          </w:tcPr>
          <w:p w14:paraId="22004873" w14:textId="3C061F79" w:rsidR="00080CF5" w:rsidRPr="002339E6" w:rsidRDefault="00080CF5" w:rsidP="00080CF5">
            <w:pPr>
              <w:pStyle w:val="NormalWeb"/>
              <w:spacing w:line="360" w:lineRule="auto"/>
              <w:rPr>
                <w:rFonts w:asciiTheme="majorHAnsi" w:hAnsiTheme="majorHAnsi" w:cstheme="majorHAnsi"/>
                <w:b/>
                <w:bCs/>
                <w:color w:val="000000"/>
                <w:sz w:val="18"/>
                <w:szCs w:val="18"/>
              </w:rPr>
            </w:pPr>
          </w:p>
        </w:tc>
        <w:tc>
          <w:tcPr>
            <w:tcW w:w="439" w:type="dxa"/>
            <w:tcBorders>
              <w:left w:val="nil"/>
              <w:right w:val="nil"/>
            </w:tcBorders>
          </w:tcPr>
          <w:p w14:paraId="7FE8379E" w14:textId="77777777" w:rsidR="00080CF5" w:rsidRPr="002339E6" w:rsidRDefault="00080CF5" w:rsidP="00080CF5">
            <w:pPr>
              <w:pStyle w:val="NormalWeb"/>
              <w:spacing w:line="360" w:lineRule="auto"/>
              <w:rPr>
                <w:rFonts w:asciiTheme="majorHAnsi" w:hAnsiTheme="majorHAnsi" w:cstheme="majorHAnsi"/>
                <w:b/>
                <w:bCs/>
                <w:color w:val="000000"/>
                <w:sz w:val="18"/>
                <w:szCs w:val="18"/>
              </w:rPr>
            </w:pPr>
          </w:p>
        </w:tc>
        <w:tc>
          <w:tcPr>
            <w:tcW w:w="612" w:type="dxa"/>
            <w:tcBorders>
              <w:left w:val="nil"/>
              <w:right w:val="nil"/>
            </w:tcBorders>
          </w:tcPr>
          <w:p w14:paraId="0AAAB26C" w14:textId="77777777" w:rsidR="00080CF5" w:rsidRPr="002339E6" w:rsidRDefault="00080CF5" w:rsidP="00080CF5">
            <w:pPr>
              <w:pStyle w:val="NormalWeb"/>
              <w:spacing w:line="360" w:lineRule="auto"/>
              <w:rPr>
                <w:rFonts w:asciiTheme="majorHAnsi" w:hAnsiTheme="majorHAnsi" w:cstheme="majorHAnsi"/>
                <w:b/>
                <w:bCs/>
                <w:color w:val="000000"/>
                <w:sz w:val="18"/>
                <w:szCs w:val="18"/>
              </w:rPr>
            </w:pPr>
          </w:p>
        </w:tc>
        <w:tc>
          <w:tcPr>
            <w:tcW w:w="612" w:type="dxa"/>
            <w:tcBorders>
              <w:left w:val="nil"/>
              <w:right w:val="nil"/>
            </w:tcBorders>
          </w:tcPr>
          <w:p w14:paraId="518B7CD3" w14:textId="77777777" w:rsidR="00080CF5" w:rsidRPr="002339E6" w:rsidRDefault="00080CF5" w:rsidP="00080CF5">
            <w:pPr>
              <w:pStyle w:val="NormalWeb"/>
              <w:spacing w:line="360" w:lineRule="auto"/>
              <w:rPr>
                <w:rFonts w:asciiTheme="majorHAnsi" w:hAnsiTheme="majorHAnsi" w:cstheme="majorHAnsi"/>
                <w:b/>
                <w:bCs/>
                <w:color w:val="000000"/>
                <w:sz w:val="18"/>
                <w:szCs w:val="18"/>
              </w:rPr>
            </w:pPr>
          </w:p>
        </w:tc>
        <w:tc>
          <w:tcPr>
            <w:tcW w:w="612" w:type="dxa"/>
            <w:tcBorders>
              <w:left w:val="nil"/>
              <w:right w:val="nil"/>
            </w:tcBorders>
          </w:tcPr>
          <w:p w14:paraId="6F408F34" w14:textId="77777777" w:rsidR="00080CF5" w:rsidRPr="002339E6" w:rsidRDefault="00080CF5" w:rsidP="00080CF5">
            <w:pPr>
              <w:pStyle w:val="NormalWeb"/>
              <w:spacing w:line="360" w:lineRule="auto"/>
              <w:rPr>
                <w:rFonts w:asciiTheme="majorHAnsi" w:hAnsiTheme="majorHAnsi" w:cstheme="majorHAnsi"/>
                <w:b/>
                <w:bCs/>
                <w:color w:val="000000"/>
                <w:sz w:val="18"/>
                <w:szCs w:val="18"/>
              </w:rPr>
            </w:pPr>
          </w:p>
        </w:tc>
        <w:tc>
          <w:tcPr>
            <w:tcW w:w="612" w:type="dxa"/>
            <w:tcBorders>
              <w:left w:val="nil"/>
              <w:right w:val="nil"/>
            </w:tcBorders>
          </w:tcPr>
          <w:p w14:paraId="1AC2B4F4" w14:textId="77777777" w:rsidR="00080CF5" w:rsidRPr="002339E6" w:rsidRDefault="00080CF5" w:rsidP="00080CF5">
            <w:pPr>
              <w:pStyle w:val="NormalWeb"/>
              <w:spacing w:line="360" w:lineRule="auto"/>
              <w:rPr>
                <w:rFonts w:asciiTheme="majorHAnsi" w:hAnsiTheme="majorHAnsi" w:cstheme="majorHAnsi"/>
                <w:b/>
                <w:bCs/>
                <w:color w:val="000000"/>
                <w:sz w:val="18"/>
                <w:szCs w:val="18"/>
              </w:rPr>
            </w:pPr>
          </w:p>
        </w:tc>
        <w:tc>
          <w:tcPr>
            <w:tcW w:w="612" w:type="dxa"/>
            <w:tcBorders>
              <w:left w:val="nil"/>
              <w:right w:val="nil"/>
            </w:tcBorders>
          </w:tcPr>
          <w:p w14:paraId="3AA4C03E" w14:textId="77777777" w:rsidR="00080CF5" w:rsidRPr="002339E6" w:rsidRDefault="00080CF5" w:rsidP="00080CF5">
            <w:pPr>
              <w:pStyle w:val="NormalWeb"/>
              <w:spacing w:line="360" w:lineRule="auto"/>
              <w:rPr>
                <w:rFonts w:asciiTheme="majorHAnsi" w:hAnsiTheme="majorHAnsi" w:cstheme="majorHAnsi"/>
                <w:b/>
                <w:bCs/>
                <w:color w:val="000000"/>
                <w:sz w:val="18"/>
                <w:szCs w:val="18"/>
              </w:rPr>
            </w:pPr>
          </w:p>
        </w:tc>
        <w:tc>
          <w:tcPr>
            <w:tcW w:w="612" w:type="dxa"/>
            <w:tcBorders>
              <w:left w:val="nil"/>
            </w:tcBorders>
          </w:tcPr>
          <w:p w14:paraId="5D6FEEED" w14:textId="77777777" w:rsidR="00080CF5" w:rsidRPr="002339E6" w:rsidRDefault="00080CF5" w:rsidP="00080CF5">
            <w:pPr>
              <w:pStyle w:val="NormalWeb"/>
              <w:spacing w:line="360" w:lineRule="auto"/>
              <w:rPr>
                <w:rFonts w:asciiTheme="majorHAnsi" w:hAnsiTheme="majorHAnsi" w:cstheme="majorHAnsi"/>
                <w:b/>
                <w:bCs/>
                <w:color w:val="000000"/>
                <w:sz w:val="18"/>
                <w:szCs w:val="18"/>
              </w:rPr>
            </w:pPr>
          </w:p>
        </w:tc>
      </w:tr>
      <w:tr w:rsidR="00080CF5" w:rsidRPr="002339E6" w14:paraId="37991E3C" w14:textId="77777777" w:rsidTr="004B064D">
        <w:trPr>
          <w:trHeight w:val="57"/>
        </w:trPr>
        <w:tc>
          <w:tcPr>
            <w:tcW w:w="2761" w:type="dxa"/>
          </w:tcPr>
          <w:p w14:paraId="6E56CDDE" w14:textId="7C6A7519" w:rsidR="00080CF5" w:rsidRPr="002339E6" w:rsidRDefault="00080CF5" w:rsidP="00080CF5">
            <w:pPr>
              <w:pStyle w:val="NormalWeb"/>
              <w:spacing w:line="360" w:lineRule="auto"/>
              <w:rPr>
                <w:rFonts w:asciiTheme="majorHAnsi" w:hAnsiTheme="majorHAnsi" w:cstheme="majorHAnsi"/>
                <w:b/>
                <w:bCs/>
                <w:color w:val="000000"/>
                <w:sz w:val="18"/>
                <w:szCs w:val="18"/>
              </w:rPr>
            </w:pPr>
            <w:r w:rsidRPr="002339E6">
              <w:rPr>
                <w:rFonts w:asciiTheme="majorHAnsi" w:hAnsiTheme="majorHAnsi" w:cstheme="majorHAnsi"/>
                <w:b/>
                <w:bCs/>
                <w:color w:val="000000"/>
                <w:sz w:val="18"/>
                <w:szCs w:val="18"/>
              </w:rPr>
              <w:t>Region</w:t>
            </w:r>
          </w:p>
        </w:tc>
        <w:tc>
          <w:tcPr>
            <w:tcW w:w="612" w:type="dxa"/>
          </w:tcPr>
          <w:p w14:paraId="1324A62D" w14:textId="1530741F" w:rsidR="00080CF5" w:rsidRPr="002339E6" w:rsidRDefault="00080CF5" w:rsidP="00080CF5">
            <w:pPr>
              <w:pStyle w:val="NormalWeb"/>
              <w:spacing w:line="360" w:lineRule="auto"/>
              <w:rPr>
                <w:rFonts w:asciiTheme="majorHAnsi" w:hAnsiTheme="majorHAnsi" w:cstheme="majorHAnsi"/>
                <w:color w:val="000000"/>
                <w:sz w:val="18"/>
                <w:szCs w:val="18"/>
              </w:rPr>
            </w:pPr>
            <w:r w:rsidRPr="002339E6">
              <w:rPr>
                <w:rFonts w:asciiTheme="majorHAnsi" w:hAnsiTheme="majorHAnsi" w:cstheme="majorHAnsi"/>
                <w:b/>
                <w:bCs/>
                <w:color w:val="000000"/>
                <w:sz w:val="18"/>
                <w:szCs w:val="18"/>
              </w:rPr>
              <w:t>2</w:t>
            </w:r>
          </w:p>
        </w:tc>
        <w:tc>
          <w:tcPr>
            <w:tcW w:w="612" w:type="dxa"/>
          </w:tcPr>
          <w:p w14:paraId="0007CED0" w14:textId="7EE3734B" w:rsidR="00080CF5" w:rsidRPr="002339E6" w:rsidRDefault="00080CF5" w:rsidP="00080CF5">
            <w:pPr>
              <w:pStyle w:val="NormalWeb"/>
              <w:spacing w:line="360" w:lineRule="auto"/>
              <w:rPr>
                <w:rFonts w:asciiTheme="majorHAnsi" w:hAnsiTheme="majorHAnsi" w:cstheme="majorHAnsi"/>
                <w:color w:val="000000"/>
                <w:sz w:val="18"/>
                <w:szCs w:val="18"/>
              </w:rPr>
            </w:pPr>
            <w:r w:rsidRPr="002339E6">
              <w:rPr>
                <w:rFonts w:asciiTheme="majorHAnsi" w:hAnsiTheme="majorHAnsi" w:cstheme="majorHAnsi"/>
                <w:b/>
                <w:bCs/>
                <w:color w:val="000000"/>
                <w:sz w:val="18"/>
                <w:szCs w:val="18"/>
              </w:rPr>
              <w:t>3</w:t>
            </w:r>
          </w:p>
        </w:tc>
        <w:tc>
          <w:tcPr>
            <w:tcW w:w="688" w:type="dxa"/>
          </w:tcPr>
          <w:p w14:paraId="4695B975" w14:textId="76CB00A0" w:rsidR="00080CF5" w:rsidRPr="002339E6" w:rsidRDefault="00080CF5" w:rsidP="00080CF5">
            <w:pPr>
              <w:pStyle w:val="NormalWeb"/>
              <w:spacing w:line="360" w:lineRule="auto"/>
              <w:rPr>
                <w:rFonts w:asciiTheme="majorHAnsi" w:hAnsiTheme="majorHAnsi" w:cstheme="majorHAnsi"/>
                <w:color w:val="000000"/>
                <w:sz w:val="18"/>
                <w:szCs w:val="18"/>
              </w:rPr>
            </w:pPr>
            <w:r w:rsidRPr="002339E6">
              <w:rPr>
                <w:rFonts w:asciiTheme="majorHAnsi" w:hAnsiTheme="majorHAnsi" w:cstheme="majorHAnsi"/>
                <w:b/>
                <w:bCs/>
                <w:color w:val="000000"/>
                <w:sz w:val="18"/>
                <w:szCs w:val="18"/>
              </w:rPr>
              <w:t>4</w:t>
            </w:r>
          </w:p>
        </w:tc>
        <w:tc>
          <w:tcPr>
            <w:tcW w:w="709" w:type="dxa"/>
          </w:tcPr>
          <w:p w14:paraId="78F8AAAC" w14:textId="64E3E80B" w:rsidR="00080CF5" w:rsidRPr="002339E6" w:rsidRDefault="00080CF5" w:rsidP="00080CF5">
            <w:pPr>
              <w:pStyle w:val="NormalWeb"/>
              <w:spacing w:line="360" w:lineRule="auto"/>
              <w:rPr>
                <w:rFonts w:asciiTheme="majorHAnsi" w:hAnsiTheme="majorHAnsi" w:cstheme="majorHAnsi"/>
                <w:color w:val="000000"/>
                <w:sz w:val="18"/>
                <w:szCs w:val="18"/>
              </w:rPr>
            </w:pPr>
            <w:r w:rsidRPr="002339E6">
              <w:rPr>
                <w:rFonts w:asciiTheme="majorHAnsi" w:hAnsiTheme="majorHAnsi" w:cstheme="majorHAnsi"/>
                <w:b/>
                <w:bCs/>
                <w:color w:val="000000"/>
                <w:sz w:val="18"/>
                <w:szCs w:val="18"/>
              </w:rPr>
              <w:t>5</w:t>
            </w:r>
          </w:p>
        </w:tc>
        <w:tc>
          <w:tcPr>
            <w:tcW w:w="439" w:type="dxa"/>
          </w:tcPr>
          <w:p w14:paraId="76B888E9" w14:textId="1649D9D2" w:rsidR="00080CF5" w:rsidRPr="002339E6" w:rsidRDefault="00080CF5" w:rsidP="00080CF5">
            <w:pPr>
              <w:pStyle w:val="NormalWeb"/>
              <w:spacing w:line="360" w:lineRule="auto"/>
              <w:rPr>
                <w:rFonts w:asciiTheme="majorHAnsi" w:hAnsiTheme="majorHAnsi" w:cstheme="majorHAnsi"/>
                <w:color w:val="000000"/>
                <w:sz w:val="18"/>
                <w:szCs w:val="18"/>
              </w:rPr>
            </w:pPr>
            <w:r w:rsidRPr="002339E6">
              <w:rPr>
                <w:rFonts w:asciiTheme="majorHAnsi" w:hAnsiTheme="majorHAnsi" w:cstheme="majorHAnsi"/>
                <w:b/>
                <w:bCs/>
                <w:color w:val="000000"/>
                <w:sz w:val="18"/>
                <w:szCs w:val="18"/>
              </w:rPr>
              <w:t>6</w:t>
            </w:r>
          </w:p>
        </w:tc>
        <w:tc>
          <w:tcPr>
            <w:tcW w:w="612" w:type="dxa"/>
          </w:tcPr>
          <w:p w14:paraId="20693960" w14:textId="2A360F61" w:rsidR="00080CF5" w:rsidRPr="002339E6" w:rsidRDefault="00080CF5" w:rsidP="00080CF5">
            <w:pPr>
              <w:pStyle w:val="NormalWeb"/>
              <w:spacing w:line="360" w:lineRule="auto"/>
              <w:rPr>
                <w:rFonts w:asciiTheme="majorHAnsi" w:hAnsiTheme="majorHAnsi" w:cstheme="majorHAnsi"/>
                <w:color w:val="000000"/>
                <w:sz w:val="18"/>
                <w:szCs w:val="18"/>
              </w:rPr>
            </w:pPr>
            <w:r w:rsidRPr="002339E6">
              <w:rPr>
                <w:rFonts w:asciiTheme="majorHAnsi" w:hAnsiTheme="majorHAnsi" w:cstheme="majorHAnsi"/>
                <w:b/>
                <w:bCs/>
                <w:color w:val="000000"/>
                <w:sz w:val="18"/>
                <w:szCs w:val="18"/>
              </w:rPr>
              <w:t>7</w:t>
            </w:r>
          </w:p>
        </w:tc>
        <w:tc>
          <w:tcPr>
            <w:tcW w:w="612" w:type="dxa"/>
          </w:tcPr>
          <w:p w14:paraId="7FCACC8C" w14:textId="76F8B7A7" w:rsidR="00080CF5" w:rsidRPr="002339E6" w:rsidRDefault="00080CF5" w:rsidP="00080CF5">
            <w:pPr>
              <w:pStyle w:val="NormalWeb"/>
              <w:spacing w:line="360" w:lineRule="auto"/>
              <w:rPr>
                <w:rFonts w:asciiTheme="majorHAnsi" w:hAnsiTheme="majorHAnsi" w:cstheme="majorHAnsi"/>
                <w:color w:val="000000"/>
                <w:sz w:val="18"/>
                <w:szCs w:val="18"/>
              </w:rPr>
            </w:pPr>
            <w:r w:rsidRPr="002339E6">
              <w:rPr>
                <w:rFonts w:asciiTheme="majorHAnsi" w:hAnsiTheme="majorHAnsi" w:cstheme="majorHAnsi"/>
                <w:b/>
                <w:bCs/>
                <w:color w:val="000000"/>
                <w:sz w:val="18"/>
                <w:szCs w:val="18"/>
              </w:rPr>
              <w:t>8</w:t>
            </w:r>
          </w:p>
        </w:tc>
        <w:tc>
          <w:tcPr>
            <w:tcW w:w="612" w:type="dxa"/>
          </w:tcPr>
          <w:p w14:paraId="22160B4D" w14:textId="3EAA8372" w:rsidR="00080CF5" w:rsidRPr="002339E6" w:rsidRDefault="00080CF5" w:rsidP="00080CF5">
            <w:pPr>
              <w:pStyle w:val="NormalWeb"/>
              <w:spacing w:line="360" w:lineRule="auto"/>
              <w:rPr>
                <w:rFonts w:asciiTheme="majorHAnsi" w:hAnsiTheme="majorHAnsi" w:cstheme="majorHAnsi"/>
                <w:color w:val="000000"/>
                <w:sz w:val="18"/>
                <w:szCs w:val="18"/>
              </w:rPr>
            </w:pPr>
            <w:r w:rsidRPr="002339E6">
              <w:rPr>
                <w:rFonts w:asciiTheme="majorHAnsi" w:hAnsiTheme="majorHAnsi" w:cstheme="majorHAnsi"/>
                <w:b/>
                <w:bCs/>
                <w:color w:val="000000"/>
                <w:sz w:val="18"/>
                <w:szCs w:val="18"/>
              </w:rPr>
              <w:t>9</w:t>
            </w:r>
          </w:p>
        </w:tc>
        <w:tc>
          <w:tcPr>
            <w:tcW w:w="612" w:type="dxa"/>
          </w:tcPr>
          <w:p w14:paraId="42BC46F0" w14:textId="2E8176F8" w:rsidR="00080CF5" w:rsidRPr="002339E6" w:rsidRDefault="00080CF5" w:rsidP="00080CF5">
            <w:pPr>
              <w:pStyle w:val="NormalWeb"/>
              <w:spacing w:line="360" w:lineRule="auto"/>
              <w:rPr>
                <w:rFonts w:asciiTheme="majorHAnsi" w:hAnsiTheme="majorHAnsi" w:cstheme="majorHAnsi"/>
                <w:color w:val="000000"/>
                <w:sz w:val="18"/>
                <w:szCs w:val="18"/>
              </w:rPr>
            </w:pPr>
            <w:r w:rsidRPr="002339E6">
              <w:rPr>
                <w:rFonts w:asciiTheme="majorHAnsi" w:hAnsiTheme="majorHAnsi" w:cstheme="majorHAnsi"/>
                <w:b/>
                <w:bCs/>
                <w:color w:val="000000"/>
                <w:sz w:val="18"/>
                <w:szCs w:val="18"/>
              </w:rPr>
              <w:t>12</w:t>
            </w:r>
          </w:p>
        </w:tc>
        <w:tc>
          <w:tcPr>
            <w:tcW w:w="612" w:type="dxa"/>
          </w:tcPr>
          <w:p w14:paraId="4BFA4758" w14:textId="09079138" w:rsidR="00080CF5" w:rsidRPr="002339E6" w:rsidRDefault="00080CF5" w:rsidP="00080CF5">
            <w:pPr>
              <w:pStyle w:val="NormalWeb"/>
              <w:spacing w:line="360" w:lineRule="auto"/>
              <w:rPr>
                <w:rFonts w:asciiTheme="majorHAnsi" w:hAnsiTheme="majorHAnsi" w:cstheme="majorHAnsi"/>
                <w:color w:val="000000"/>
                <w:sz w:val="18"/>
                <w:szCs w:val="18"/>
              </w:rPr>
            </w:pPr>
            <w:r w:rsidRPr="002339E6">
              <w:rPr>
                <w:rFonts w:asciiTheme="majorHAnsi" w:hAnsiTheme="majorHAnsi" w:cstheme="majorHAnsi"/>
                <w:b/>
                <w:bCs/>
                <w:color w:val="000000"/>
                <w:sz w:val="18"/>
                <w:szCs w:val="18"/>
              </w:rPr>
              <w:t>Ongoing as of EOPE</w:t>
            </w:r>
          </w:p>
        </w:tc>
        <w:tc>
          <w:tcPr>
            <w:tcW w:w="612" w:type="dxa"/>
          </w:tcPr>
          <w:p w14:paraId="5B8FD2DC" w14:textId="198DAA46" w:rsidR="00080CF5" w:rsidRPr="002339E6" w:rsidRDefault="00080CF5" w:rsidP="00080CF5">
            <w:pPr>
              <w:pStyle w:val="NormalWeb"/>
              <w:spacing w:line="360" w:lineRule="auto"/>
              <w:rPr>
                <w:rFonts w:asciiTheme="majorHAnsi" w:hAnsiTheme="majorHAnsi" w:cstheme="majorHAnsi"/>
                <w:color w:val="000000"/>
                <w:sz w:val="18"/>
                <w:szCs w:val="18"/>
              </w:rPr>
            </w:pPr>
            <w:r w:rsidRPr="002339E6">
              <w:rPr>
                <w:rFonts w:asciiTheme="majorHAnsi" w:hAnsiTheme="majorHAnsi" w:cstheme="majorHAnsi"/>
                <w:b/>
                <w:bCs/>
                <w:color w:val="000000"/>
                <w:sz w:val="18"/>
                <w:szCs w:val="18"/>
              </w:rPr>
              <w:t>Total</w:t>
            </w:r>
          </w:p>
        </w:tc>
      </w:tr>
      <w:tr w:rsidR="00EC4C86" w:rsidRPr="002339E6" w14:paraId="601D8255" w14:textId="77777777" w:rsidTr="004B064D">
        <w:trPr>
          <w:trHeight w:val="57"/>
        </w:trPr>
        <w:tc>
          <w:tcPr>
            <w:tcW w:w="2761" w:type="dxa"/>
          </w:tcPr>
          <w:p w14:paraId="45F5185D" w14:textId="77777777" w:rsidR="008A461A" w:rsidRPr="002339E6" w:rsidRDefault="008A461A" w:rsidP="00B31C4E">
            <w:pPr>
              <w:pStyle w:val="NormalWeb"/>
              <w:spacing w:line="360" w:lineRule="auto"/>
              <w:rPr>
                <w:rFonts w:asciiTheme="majorHAnsi" w:hAnsiTheme="majorHAnsi" w:cstheme="majorHAnsi"/>
                <w:b/>
                <w:bCs/>
                <w:color w:val="000000"/>
                <w:sz w:val="18"/>
                <w:szCs w:val="18"/>
              </w:rPr>
            </w:pPr>
            <w:r w:rsidRPr="002339E6">
              <w:rPr>
                <w:rFonts w:asciiTheme="majorHAnsi" w:hAnsiTheme="majorHAnsi" w:cstheme="majorHAnsi"/>
                <w:b/>
                <w:bCs/>
                <w:color w:val="000000"/>
                <w:sz w:val="18"/>
                <w:szCs w:val="18"/>
              </w:rPr>
              <w:t>Region 5</w:t>
            </w:r>
          </w:p>
        </w:tc>
        <w:tc>
          <w:tcPr>
            <w:tcW w:w="612" w:type="dxa"/>
          </w:tcPr>
          <w:p w14:paraId="66B47A81" w14:textId="77777777" w:rsidR="008A461A" w:rsidRPr="002339E6" w:rsidRDefault="008A461A" w:rsidP="00B31C4E">
            <w:pPr>
              <w:pStyle w:val="NormalWeb"/>
              <w:spacing w:line="360" w:lineRule="auto"/>
              <w:rPr>
                <w:rFonts w:asciiTheme="majorHAnsi" w:hAnsiTheme="majorHAnsi" w:cstheme="majorHAnsi"/>
                <w:color w:val="000000"/>
                <w:sz w:val="18"/>
                <w:szCs w:val="18"/>
              </w:rPr>
            </w:pPr>
            <w:r w:rsidRPr="002339E6">
              <w:rPr>
                <w:rFonts w:asciiTheme="majorHAnsi" w:hAnsiTheme="majorHAnsi" w:cstheme="majorHAnsi"/>
                <w:color w:val="000000"/>
                <w:sz w:val="18"/>
                <w:szCs w:val="18"/>
              </w:rPr>
              <w:t>5</w:t>
            </w:r>
          </w:p>
        </w:tc>
        <w:tc>
          <w:tcPr>
            <w:tcW w:w="612" w:type="dxa"/>
          </w:tcPr>
          <w:p w14:paraId="34CC9515" w14:textId="77777777" w:rsidR="008A461A" w:rsidRPr="002339E6" w:rsidRDefault="008A461A" w:rsidP="00B31C4E">
            <w:pPr>
              <w:pStyle w:val="NormalWeb"/>
              <w:spacing w:line="360" w:lineRule="auto"/>
              <w:rPr>
                <w:rFonts w:asciiTheme="majorHAnsi" w:hAnsiTheme="majorHAnsi" w:cstheme="majorHAnsi"/>
                <w:color w:val="000000"/>
                <w:sz w:val="18"/>
                <w:szCs w:val="18"/>
              </w:rPr>
            </w:pPr>
            <w:r w:rsidRPr="002339E6">
              <w:rPr>
                <w:rFonts w:asciiTheme="majorHAnsi" w:hAnsiTheme="majorHAnsi" w:cstheme="majorHAnsi"/>
                <w:color w:val="000000"/>
                <w:sz w:val="18"/>
                <w:szCs w:val="18"/>
              </w:rPr>
              <w:t>8</w:t>
            </w:r>
          </w:p>
        </w:tc>
        <w:tc>
          <w:tcPr>
            <w:tcW w:w="688" w:type="dxa"/>
          </w:tcPr>
          <w:p w14:paraId="278027E3" w14:textId="77777777" w:rsidR="008A461A" w:rsidRPr="002339E6" w:rsidRDefault="008A461A" w:rsidP="00B31C4E">
            <w:pPr>
              <w:pStyle w:val="NormalWeb"/>
              <w:spacing w:line="360" w:lineRule="auto"/>
              <w:rPr>
                <w:rFonts w:asciiTheme="majorHAnsi" w:hAnsiTheme="majorHAnsi" w:cstheme="majorHAnsi"/>
                <w:color w:val="000000"/>
                <w:sz w:val="18"/>
                <w:szCs w:val="18"/>
              </w:rPr>
            </w:pPr>
            <w:r w:rsidRPr="002339E6">
              <w:rPr>
                <w:rFonts w:asciiTheme="majorHAnsi" w:hAnsiTheme="majorHAnsi" w:cstheme="majorHAnsi"/>
                <w:color w:val="000000"/>
                <w:sz w:val="18"/>
                <w:szCs w:val="18"/>
              </w:rPr>
              <w:t>3</w:t>
            </w:r>
          </w:p>
        </w:tc>
        <w:tc>
          <w:tcPr>
            <w:tcW w:w="709" w:type="dxa"/>
          </w:tcPr>
          <w:p w14:paraId="7A870076" w14:textId="77777777" w:rsidR="008A461A" w:rsidRPr="002339E6" w:rsidRDefault="008A461A" w:rsidP="00B31C4E">
            <w:pPr>
              <w:pStyle w:val="NormalWeb"/>
              <w:spacing w:line="360" w:lineRule="auto"/>
              <w:rPr>
                <w:rFonts w:asciiTheme="majorHAnsi" w:hAnsiTheme="majorHAnsi" w:cstheme="majorHAnsi"/>
                <w:color w:val="000000"/>
                <w:sz w:val="18"/>
                <w:szCs w:val="18"/>
              </w:rPr>
            </w:pPr>
          </w:p>
        </w:tc>
        <w:tc>
          <w:tcPr>
            <w:tcW w:w="439" w:type="dxa"/>
          </w:tcPr>
          <w:p w14:paraId="28299645" w14:textId="77777777" w:rsidR="008A461A" w:rsidRPr="002339E6" w:rsidRDefault="008A461A" w:rsidP="00B31C4E">
            <w:pPr>
              <w:pStyle w:val="NormalWeb"/>
              <w:spacing w:line="360" w:lineRule="auto"/>
              <w:rPr>
                <w:rFonts w:asciiTheme="majorHAnsi" w:hAnsiTheme="majorHAnsi" w:cstheme="majorHAnsi"/>
                <w:color w:val="000000"/>
                <w:sz w:val="18"/>
                <w:szCs w:val="18"/>
              </w:rPr>
            </w:pPr>
            <w:r w:rsidRPr="002339E6">
              <w:rPr>
                <w:rFonts w:asciiTheme="majorHAnsi" w:hAnsiTheme="majorHAnsi" w:cstheme="majorHAnsi"/>
                <w:color w:val="000000"/>
                <w:sz w:val="18"/>
                <w:szCs w:val="18"/>
              </w:rPr>
              <w:t>3</w:t>
            </w:r>
          </w:p>
        </w:tc>
        <w:tc>
          <w:tcPr>
            <w:tcW w:w="612" w:type="dxa"/>
          </w:tcPr>
          <w:p w14:paraId="5E76A204" w14:textId="77777777" w:rsidR="008A461A" w:rsidRPr="002339E6" w:rsidRDefault="008A461A" w:rsidP="00B31C4E">
            <w:pPr>
              <w:pStyle w:val="NormalWeb"/>
              <w:spacing w:line="360" w:lineRule="auto"/>
              <w:rPr>
                <w:rFonts w:asciiTheme="majorHAnsi" w:hAnsiTheme="majorHAnsi" w:cstheme="majorHAnsi"/>
                <w:color w:val="000000"/>
                <w:sz w:val="18"/>
                <w:szCs w:val="18"/>
              </w:rPr>
            </w:pPr>
          </w:p>
        </w:tc>
        <w:tc>
          <w:tcPr>
            <w:tcW w:w="612" w:type="dxa"/>
          </w:tcPr>
          <w:p w14:paraId="08326233" w14:textId="77777777" w:rsidR="008A461A" w:rsidRPr="002339E6" w:rsidRDefault="008A461A" w:rsidP="00B31C4E">
            <w:pPr>
              <w:pStyle w:val="NormalWeb"/>
              <w:spacing w:line="360" w:lineRule="auto"/>
              <w:rPr>
                <w:rFonts w:asciiTheme="majorHAnsi" w:hAnsiTheme="majorHAnsi" w:cstheme="majorHAnsi"/>
                <w:color w:val="000000"/>
                <w:sz w:val="18"/>
                <w:szCs w:val="18"/>
              </w:rPr>
            </w:pPr>
          </w:p>
        </w:tc>
        <w:tc>
          <w:tcPr>
            <w:tcW w:w="612" w:type="dxa"/>
          </w:tcPr>
          <w:p w14:paraId="0FEE03D7" w14:textId="77777777" w:rsidR="008A461A" w:rsidRPr="002339E6" w:rsidRDefault="008A461A" w:rsidP="00B31C4E">
            <w:pPr>
              <w:pStyle w:val="NormalWeb"/>
              <w:spacing w:line="360" w:lineRule="auto"/>
              <w:rPr>
                <w:rFonts w:asciiTheme="majorHAnsi" w:hAnsiTheme="majorHAnsi" w:cstheme="majorHAnsi"/>
                <w:color w:val="000000"/>
                <w:sz w:val="18"/>
                <w:szCs w:val="18"/>
              </w:rPr>
            </w:pPr>
          </w:p>
        </w:tc>
        <w:tc>
          <w:tcPr>
            <w:tcW w:w="612" w:type="dxa"/>
          </w:tcPr>
          <w:p w14:paraId="39160342" w14:textId="77777777" w:rsidR="008A461A" w:rsidRPr="002339E6" w:rsidRDefault="008A461A" w:rsidP="00B31C4E">
            <w:pPr>
              <w:pStyle w:val="NormalWeb"/>
              <w:spacing w:line="360" w:lineRule="auto"/>
              <w:rPr>
                <w:rFonts w:asciiTheme="majorHAnsi" w:hAnsiTheme="majorHAnsi" w:cstheme="majorHAnsi"/>
                <w:color w:val="000000"/>
                <w:sz w:val="18"/>
                <w:szCs w:val="18"/>
              </w:rPr>
            </w:pPr>
          </w:p>
        </w:tc>
        <w:tc>
          <w:tcPr>
            <w:tcW w:w="612" w:type="dxa"/>
          </w:tcPr>
          <w:p w14:paraId="1C87BEA4" w14:textId="77777777" w:rsidR="008A461A" w:rsidRPr="002339E6" w:rsidRDefault="008A461A" w:rsidP="00B31C4E">
            <w:pPr>
              <w:pStyle w:val="NormalWeb"/>
              <w:spacing w:line="360" w:lineRule="auto"/>
              <w:rPr>
                <w:rFonts w:asciiTheme="majorHAnsi" w:hAnsiTheme="majorHAnsi" w:cstheme="majorHAnsi"/>
                <w:color w:val="000000"/>
                <w:sz w:val="18"/>
                <w:szCs w:val="18"/>
              </w:rPr>
            </w:pPr>
          </w:p>
        </w:tc>
        <w:tc>
          <w:tcPr>
            <w:tcW w:w="612" w:type="dxa"/>
          </w:tcPr>
          <w:p w14:paraId="1EA94DE1" w14:textId="77777777" w:rsidR="008A461A" w:rsidRPr="002339E6" w:rsidRDefault="008A461A" w:rsidP="00B31C4E">
            <w:pPr>
              <w:pStyle w:val="NormalWeb"/>
              <w:spacing w:line="360" w:lineRule="auto"/>
              <w:rPr>
                <w:rFonts w:asciiTheme="majorHAnsi" w:hAnsiTheme="majorHAnsi" w:cstheme="majorHAnsi"/>
                <w:color w:val="000000"/>
                <w:sz w:val="18"/>
                <w:szCs w:val="18"/>
              </w:rPr>
            </w:pPr>
            <w:r w:rsidRPr="002339E6">
              <w:rPr>
                <w:rFonts w:asciiTheme="majorHAnsi" w:hAnsiTheme="majorHAnsi" w:cstheme="majorHAnsi"/>
                <w:color w:val="000000"/>
                <w:sz w:val="18"/>
                <w:szCs w:val="18"/>
              </w:rPr>
              <w:t>19</w:t>
            </w:r>
          </w:p>
        </w:tc>
      </w:tr>
      <w:tr w:rsidR="00EC4C86" w:rsidRPr="002339E6" w14:paraId="619E3122" w14:textId="77777777" w:rsidTr="004B064D">
        <w:trPr>
          <w:trHeight w:val="336"/>
        </w:trPr>
        <w:tc>
          <w:tcPr>
            <w:tcW w:w="2761" w:type="dxa"/>
          </w:tcPr>
          <w:p w14:paraId="671DEFA9" w14:textId="77777777" w:rsidR="008A461A" w:rsidRPr="002339E6" w:rsidRDefault="008A461A" w:rsidP="00B31C4E">
            <w:pPr>
              <w:pStyle w:val="NormalWeb"/>
              <w:spacing w:line="360" w:lineRule="auto"/>
              <w:rPr>
                <w:rFonts w:asciiTheme="majorHAnsi" w:hAnsiTheme="majorHAnsi" w:cstheme="majorHAnsi"/>
                <w:b/>
                <w:bCs/>
                <w:color w:val="000000"/>
                <w:sz w:val="18"/>
                <w:szCs w:val="18"/>
              </w:rPr>
            </w:pPr>
            <w:r w:rsidRPr="002339E6">
              <w:rPr>
                <w:rFonts w:asciiTheme="majorHAnsi" w:hAnsiTheme="majorHAnsi" w:cstheme="majorHAnsi"/>
                <w:b/>
                <w:bCs/>
                <w:color w:val="000000"/>
                <w:sz w:val="18"/>
                <w:szCs w:val="18"/>
              </w:rPr>
              <w:t>Region 6</w:t>
            </w:r>
          </w:p>
        </w:tc>
        <w:tc>
          <w:tcPr>
            <w:tcW w:w="612" w:type="dxa"/>
          </w:tcPr>
          <w:p w14:paraId="02801F1C" w14:textId="77777777" w:rsidR="008A461A" w:rsidRPr="002339E6" w:rsidRDefault="008A461A" w:rsidP="00B31C4E">
            <w:pPr>
              <w:pStyle w:val="NormalWeb"/>
              <w:spacing w:line="360" w:lineRule="auto"/>
              <w:rPr>
                <w:rFonts w:asciiTheme="majorHAnsi" w:hAnsiTheme="majorHAnsi" w:cstheme="majorHAnsi"/>
                <w:color w:val="000000"/>
                <w:sz w:val="18"/>
                <w:szCs w:val="18"/>
              </w:rPr>
            </w:pPr>
            <w:r w:rsidRPr="002339E6">
              <w:rPr>
                <w:rFonts w:asciiTheme="majorHAnsi" w:hAnsiTheme="majorHAnsi" w:cstheme="majorHAnsi"/>
                <w:color w:val="000000"/>
                <w:sz w:val="18"/>
                <w:szCs w:val="18"/>
              </w:rPr>
              <w:t>7</w:t>
            </w:r>
          </w:p>
        </w:tc>
        <w:tc>
          <w:tcPr>
            <w:tcW w:w="612" w:type="dxa"/>
          </w:tcPr>
          <w:p w14:paraId="08361A31" w14:textId="77777777" w:rsidR="008A461A" w:rsidRPr="002339E6" w:rsidRDefault="008A461A" w:rsidP="00B31C4E">
            <w:pPr>
              <w:pStyle w:val="NormalWeb"/>
              <w:spacing w:line="360" w:lineRule="auto"/>
              <w:rPr>
                <w:rFonts w:asciiTheme="majorHAnsi" w:hAnsiTheme="majorHAnsi" w:cstheme="majorHAnsi"/>
                <w:color w:val="000000"/>
                <w:sz w:val="18"/>
                <w:szCs w:val="18"/>
              </w:rPr>
            </w:pPr>
            <w:r w:rsidRPr="002339E6">
              <w:rPr>
                <w:rFonts w:asciiTheme="majorHAnsi" w:hAnsiTheme="majorHAnsi" w:cstheme="majorHAnsi"/>
                <w:color w:val="000000"/>
                <w:sz w:val="18"/>
                <w:szCs w:val="18"/>
              </w:rPr>
              <w:t>2</w:t>
            </w:r>
          </w:p>
        </w:tc>
        <w:tc>
          <w:tcPr>
            <w:tcW w:w="688" w:type="dxa"/>
          </w:tcPr>
          <w:p w14:paraId="1E9772F1" w14:textId="77777777" w:rsidR="008A461A" w:rsidRPr="002339E6" w:rsidRDefault="008A461A" w:rsidP="00B31C4E">
            <w:pPr>
              <w:pStyle w:val="NormalWeb"/>
              <w:spacing w:line="360" w:lineRule="auto"/>
              <w:rPr>
                <w:rFonts w:asciiTheme="majorHAnsi" w:hAnsiTheme="majorHAnsi" w:cstheme="majorHAnsi"/>
                <w:color w:val="000000"/>
                <w:sz w:val="18"/>
                <w:szCs w:val="18"/>
              </w:rPr>
            </w:pPr>
          </w:p>
        </w:tc>
        <w:tc>
          <w:tcPr>
            <w:tcW w:w="709" w:type="dxa"/>
          </w:tcPr>
          <w:p w14:paraId="3321474E" w14:textId="77777777" w:rsidR="008A461A" w:rsidRPr="002339E6" w:rsidRDefault="008A461A" w:rsidP="00B31C4E">
            <w:pPr>
              <w:pStyle w:val="NormalWeb"/>
              <w:spacing w:line="360" w:lineRule="auto"/>
              <w:rPr>
                <w:rFonts w:asciiTheme="majorHAnsi" w:hAnsiTheme="majorHAnsi" w:cstheme="majorHAnsi"/>
                <w:color w:val="000000"/>
                <w:sz w:val="18"/>
                <w:szCs w:val="18"/>
              </w:rPr>
            </w:pPr>
          </w:p>
        </w:tc>
        <w:tc>
          <w:tcPr>
            <w:tcW w:w="439" w:type="dxa"/>
          </w:tcPr>
          <w:p w14:paraId="1EB95C09" w14:textId="77777777" w:rsidR="008A461A" w:rsidRPr="002339E6" w:rsidRDefault="008A461A" w:rsidP="00B31C4E">
            <w:pPr>
              <w:pStyle w:val="NormalWeb"/>
              <w:spacing w:line="360" w:lineRule="auto"/>
              <w:rPr>
                <w:rFonts w:asciiTheme="majorHAnsi" w:hAnsiTheme="majorHAnsi" w:cstheme="majorHAnsi"/>
                <w:color w:val="000000"/>
                <w:sz w:val="18"/>
                <w:szCs w:val="18"/>
              </w:rPr>
            </w:pPr>
          </w:p>
        </w:tc>
        <w:tc>
          <w:tcPr>
            <w:tcW w:w="612" w:type="dxa"/>
          </w:tcPr>
          <w:p w14:paraId="480C7530" w14:textId="77777777" w:rsidR="008A461A" w:rsidRPr="002339E6" w:rsidRDefault="008A461A" w:rsidP="00B31C4E">
            <w:pPr>
              <w:pStyle w:val="NormalWeb"/>
              <w:spacing w:line="360" w:lineRule="auto"/>
              <w:rPr>
                <w:rFonts w:asciiTheme="majorHAnsi" w:hAnsiTheme="majorHAnsi" w:cstheme="majorHAnsi"/>
                <w:color w:val="000000"/>
                <w:sz w:val="18"/>
                <w:szCs w:val="18"/>
              </w:rPr>
            </w:pPr>
          </w:p>
        </w:tc>
        <w:tc>
          <w:tcPr>
            <w:tcW w:w="612" w:type="dxa"/>
          </w:tcPr>
          <w:p w14:paraId="20F87F34" w14:textId="77777777" w:rsidR="008A461A" w:rsidRPr="002339E6" w:rsidRDefault="008A461A" w:rsidP="00B31C4E">
            <w:pPr>
              <w:pStyle w:val="NormalWeb"/>
              <w:spacing w:line="360" w:lineRule="auto"/>
              <w:rPr>
                <w:rFonts w:asciiTheme="majorHAnsi" w:hAnsiTheme="majorHAnsi" w:cstheme="majorHAnsi"/>
                <w:color w:val="000000"/>
                <w:sz w:val="18"/>
                <w:szCs w:val="18"/>
              </w:rPr>
            </w:pPr>
          </w:p>
        </w:tc>
        <w:tc>
          <w:tcPr>
            <w:tcW w:w="612" w:type="dxa"/>
          </w:tcPr>
          <w:p w14:paraId="7834B811" w14:textId="77777777" w:rsidR="008A461A" w:rsidRPr="002339E6" w:rsidRDefault="008A461A" w:rsidP="00B31C4E">
            <w:pPr>
              <w:pStyle w:val="NormalWeb"/>
              <w:spacing w:line="360" w:lineRule="auto"/>
              <w:rPr>
                <w:rFonts w:asciiTheme="majorHAnsi" w:hAnsiTheme="majorHAnsi" w:cstheme="majorHAnsi"/>
                <w:color w:val="000000"/>
                <w:sz w:val="18"/>
                <w:szCs w:val="18"/>
              </w:rPr>
            </w:pPr>
          </w:p>
        </w:tc>
        <w:tc>
          <w:tcPr>
            <w:tcW w:w="612" w:type="dxa"/>
          </w:tcPr>
          <w:p w14:paraId="19865DA3" w14:textId="77777777" w:rsidR="008A461A" w:rsidRPr="002339E6" w:rsidRDefault="008A461A" w:rsidP="00B31C4E">
            <w:pPr>
              <w:pStyle w:val="NormalWeb"/>
              <w:spacing w:line="360" w:lineRule="auto"/>
              <w:rPr>
                <w:rFonts w:asciiTheme="majorHAnsi" w:hAnsiTheme="majorHAnsi" w:cstheme="majorHAnsi"/>
                <w:color w:val="000000"/>
                <w:sz w:val="18"/>
                <w:szCs w:val="18"/>
              </w:rPr>
            </w:pPr>
          </w:p>
        </w:tc>
        <w:tc>
          <w:tcPr>
            <w:tcW w:w="612" w:type="dxa"/>
          </w:tcPr>
          <w:p w14:paraId="52C2FAA0" w14:textId="77777777" w:rsidR="008A461A" w:rsidRPr="002339E6" w:rsidRDefault="008A461A" w:rsidP="00B31C4E">
            <w:pPr>
              <w:pStyle w:val="NormalWeb"/>
              <w:spacing w:line="360" w:lineRule="auto"/>
              <w:rPr>
                <w:rFonts w:asciiTheme="majorHAnsi" w:hAnsiTheme="majorHAnsi" w:cstheme="majorHAnsi"/>
                <w:color w:val="000000"/>
                <w:sz w:val="18"/>
                <w:szCs w:val="18"/>
              </w:rPr>
            </w:pPr>
          </w:p>
        </w:tc>
        <w:tc>
          <w:tcPr>
            <w:tcW w:w="612" w:type="dxa"/>
          </w:tcPr>
          <w:p w14:paraId="1D159FBF" w14:textId="77777777" w:rsidR="008A461A" w:rsidRPr="002339E6" w:rsidRDefault="008A461A" w:rsidP="00B31C4E">
            <w:pPr>
              <w:pStyle w:val="NormalWeb"/>
              <w:spacing w:line="360" w:lineRule="auto"/>
              <w:rPr>
                <w:rFonts w:asciiTheme="majorHAnsi" w:hAnsiTheme="majorHAnsi" w:cstheme="majorHAnsi"/>
                <w:color w:val="000000"/>
                <w:sz w:val="18"/>
                <w:szCs w:val="18"/>
              </w:rPr>
            </w:pPr>
            <w:r w:rsidRPr="002339E6">
              <w:rPr>
                <w:rFonts w:asciiTheme="majorHAnsi" w:hAnsiTheme="majorHAnsi" w:cstheme="majorHAnsi"/>
                <w:color w:val="000000"/>
                <w:sz w:val="18"/>
                <w:szCs w:val="18"/>
              </w:rPr>
              <w:t>9</w:t>
            </w:r>
          </w:p>
        </w:tc>
      </w:tr>
      <w:tr w:rsidR="00EC4C86" w:rsidRPr="002339E6" w14:paraId="70E6A0C7" w14:textId="77777777" w:rsidTr="004B064D">
        <w:trPr>
          <w:trHeight w:val="325"/>
        </w:trPr>
        <w:tc>
          <w:tcPr>
            <w:tcW w:w="2761" w:type="dxa"/>
          </w:tcPr>
          <w:p w14:paraId="0CCFE1E3" w14:textId="77777777" w:rsidR="008A461A" w:rsidRPr="002339E6" w:rsidRDefault="008A461A" w:rsidP="00B31C4E">
            <w:pPr>
              <w:pStyle w:val="NormalWeb"/>
              <w:spacing w:line="360" w:lineRule="auto"/>
              <w:rPr>
                <w:rFonts w:asciiTheme="majorHAnsi" w:hAnsiTheme="majorHAnsi" w:cstheme="majorHAnsi"/>
                <w:b/>
                <w:bCs/>
                <w:color w:val="000000"/>
                <w:sz w:val="18"/>
                <w:szCs w:val="18"/>
              </w:rPr>
            </w:pPr>
            <w:r w:rsidRPr="002339E6">
              <w:rPr>
                <w:rFonts w:asciiTheme="majorHAnsi" w:hAnsiTheme="majorHAnsi" w:cstheme="majorHAnsi"/>
                <w:b/>
                <w:bCs/>
                <w:color w:val="000000"/>
                <w:sz w:val="18"/>
                <w:szCs w:val="18"/>
              </w:rPr>
              <w:t>Region 7</w:t>
            </w:r>
          </w:p>
        </w:tc>
        <w:tc>
          <w:tcPr>
            <w:tcW w:w="612" w:type="dxa"/>
          </w:tcPr>
          <w:p w14:paraId="1E197099" w14:textId="77777777" w:rsidR="008A461A" w:rsidRPr="002339E6" w:rsidRDefault="008A461A" w:rsidP="00B31C4E">
            <w:pPr>
              <w:pStyle w:val="NormalWeb"/>
              <w:spacing w:line="360" w:lineRule="auto"/>
              <w:rPr>
                <w:rFonts w:asciiTheme="majorHAnsi" w:hAnsiTheme="majorHAnsi" w:cstheme="majorHAnsi"/>
                <w:color w:val="000000"/>
                <w:sz w:val="18"/>
                <w:szCs w:val="18"/>
              </w:rPr>
            </w:pPr>
            <w:r w:rsidRPr="002339E6">
              <w:rPr>
                <w:rFonts w:asciiTheme="majorHAnsi" w:hAnsiTheme="majorHAnsi" w:cstheme="majorHAnsi"/>
                <w:color w:val="000000"/>
                <w:sz w:val="18"/>
                <w:szCs w:val="18"/>
              </w:rPr>
              <w:t>8</w:t>
            </w:r>
          </w:p>
        </w:tc>
        <w:tc>
          <w:tcPr>
            <w:tcW w:w="612" w:type="dxa"/>
          </w:tcPr>
          <w:p w14:paraId="51015AB9" w14:textId="77777777" w:rsidR="008A461A" w:rsidRPr="002339E6" w:rsidRDefault="008A461A" w:rsidP="00B31C4E">
            <w:pPr>
              <w:pStyle w:val="NormalWeb"/>
              <w:spacing w:line="360" w:lineRule="auto"/>
              <w:rPr>
                <w:rFonts w:asciiTheme="majorHAnsi" w:hAnsiTheme="majorHAnsi" w:cstheme="majorHAnsi"/>
                <w:color w:val="000000"/>
                <w:sz w:val="18"/>
                <w:szCs w:val="18"/>
              </w:rPr>
            </w:pPr>
            <w:r w:rsidRPr="002339E6">
              <w:rPr>
                <w:rFonts w:asciiTheme="majorHAnsi" w:hAnsiTheme="majorHAnsi" w:cstheme="majorHAnsi"/>
                <w:color w:val="000000"/>
                <w:sz w:val="18"/>
                <w:szCs w:val="18"/>
              </w:rPr>
              <w:t>4</w:t>
            </w:r>
          </w:p>
        </w:tc>
        <w:tc>
          <w:tcPr>
            <w:tcW w:w="688" w:type="dxa"/>
          </w:tcPr>
          <w:p w14:paraId="3C024D70" w14:textId="77777777" w:rsidR="008A461A" w:rsidRPr="002339E6" w:rsidRDefault="008A461A" w:rsidP="00B31C4E">
            <w:pPr>
              <w:pStyle w:val="NormalWeb"/>
              <w:spacing w:line="360" w:lineRule="auto"/>
              <w:rPr>
                <w:rFonts w:asciiTheme="majorHAnsi" w:hAnsiTheme="majorHAnsi" w:cstheme="majorHAnsi"/>
                <w:color w:val="000000"/>
                <w:sz w:val="18"/>
                <w:szCs w:val="18"/>
              </w:rPr>
            </w:pPr>
          </w:p>
        </w:tc>
        <w:tc>
          <w:tcPr>
            <w:tcW w:w="709" w:type="dxa"/>
          </w:tcPr>
          <w:p w14:paraId="3F61A08C" w14:textId="77777777" w:rsidR="008A461A" w:rsidRPr="002339E6" w:rsidRDefault="008A461A" w:rsidP="00B31C4E">
            <w:pPr>
              <w:pStyle w:val="NormalWeb"/>
              <w:spacing w:line="360" w:lineRule="auto"/>
              <w:rPr>
                <w:rFonts w:asciiTheme="majorHAnsi" w:hAnsiTheme="majorHAnsi" w:cstheme="majorHAnsi"/>
                <w:color w:val="000000"/>
                <w:sz w:val="18"/>
                <w:szCs w:val="18"/>
              </w:rPr>
            </w:pPr>
          </w:p>
        </w:tc>
        <w:tc>
          <w:tcPr>
            <w:tcW w:w="439" w:type="dxa"/>
          </w:tcPr>
          <w:p w14:paraId="1F58F30D" w14:textId="77777777" w:rsidR="008A461A" w:rsidRPr="002339E6" w:rsidRDefault="008A461A" w:rsidP="00B31C4E">
            <w:pPr>
              <w:pStyle w:val="NormalWeb"/>
              <w:spacing w:line="360" w:lineRule="auto"/>
              <w:rPr>
                <w:rFonts w:asciiTheme="majorHAnsi" w:hAnsiTheme="majorHAnsi" w:cstheme="majorHAnsi"/>
                <w:color w:val="000000"/>
                <w:sz w:val="18"/>
                <w:szCs w:val="18"/>
              </w:rPr>
            </w:pPr>
          </w:p>
        </w:tc>
        <w:tc>
          <w:tcPr>
            <w:tcW w:w="612" w:type="dxa"/>
          </w:tcPr>
          <w:p w14:paraId="32710B8C" w14:textId="77777777" w:rsidR="008A461A" w:rsidRPr="002339E6" w:rsidRDefault="008A461A" w:rsidP="00B31C4E">
            <w:pPr>
              <w:pStyle w:val="NormalWeb"/>
              <w:spacing w:line="360" w:lineRule="auto"/>
              <w:rPr>
                <w:rFonts w:asciiTheme="majorHAnsi" w:hAnsiTheme="majorHAnsi" w:cstheme="majorHAnsi"/>
                <w:color w:val="000000"/>
                <w:sz w:val="18"/>
                <w:szCs w:val="18"/>
              </w:rPr>
            </w:pPr>
          </w:p>
        </w:tc>
        <w:tc>
          <w:tcPr>
            <w:tcW w:w="612" w:type="dxa"/>
          </w:tcPr>
          <w:p w14:paraId="35D4BAD3" w14:textId="77777777" w:rsidR="008A461A" w:rsidRPr="002339E6" w:rsidRDefault="008A461A" w:rsidP="00B31C4E">
            <w:pPr>
              <w:pStyle w:val="NormalWeb"/>
              <w:spacing w:line="360" w:lineRule="auto"/>
              <w:rPr>
                <w:rFonts w:asciiTheme="majorHAnsi" w:hAnsiTheme="majorHAnsi" w:cstheme="majorHAnsi"/>
                <w:color w:val="000000"/>
                <w:sz w:val="18"/>
                <w:szCs w:val="18"/>
              </w:rPr>
            </w:pPr>
          </w:p>
        </w:tc>
        <w:tc>
          <w:tcPr>
            <w:tcW w:w="612" w:type="dxa"/>
          </w:tcPr>
          <w:p w14:paraId="3D0FF6A3" w14:textId="77777777" w:rsidR="008A461A" w:rsidRPr="002339E6" w:rsidRDefault="008A461A" w:rsidP="00B31C4E">
            <w:pPr>
              <w:pStyle w:val="NormalWeb"/>
              <w:spacing w:line="360" w:lineRule="auto"/>
              <w:rPr>
                <w:rFonts w:asciiTheme="majorHAnsi" w:hAnsiTheme="majorHAnsi" w:cstheme="majorHAnsi"/>
                <w:color w:val="000000"/>
                <w:sz w:val="18"/>
                <w:szCs w:val="18"/>
              </w:rPr>
            </w:pPr>
          </w:p>
        </w:tc>
        <w:tc>
          <w:tcPr>
            <w:tcW w:w="612" w:type="dxa"/>
          </w:tcPr>
          <w:p w14:paraId="287597B8" w14:textId="77777777" w:rsidR="008A461A" w:rsidRPr="002339E6" w:rsidRDefault="008A461A" w:rsidP="00B31C4E">
            <w:pPr>
              <w:pStyle w:val="NormalWeb"/>
              <w:spacing w:line="360" w:lineRule="auto"/>
              <w:rPr>
                <w:rFonts w:asciiTheme="majorHAnsi" w:hAnsiTheme="majorHAnsi" w:cstheme="majorHAnsi"/>
                <w:color w:val="000000"/>
                <w:sz w:val="18"/>
                <w:szCs w:val="18"/>
              </w:rPr>
            </w:pPr>
          </w:p>
        </w:tc>
        <w:tc>
          <w:tcPr>
            <w:tcW w:w="612" w:type="dxa"/>
          </w:tcPr>
          <w:p w14:paraId="424A32C7" w14:textId="77777777" w:rsidR="008A461A" w:rsidRPr="002339E6" w:rsidRDefault="008A461A" w:rsidP="00B31C4E">
            <w:pPr>
              <w:pStyle w:val="NormalWeb"/>
              <w:spacing w:line="360" w:lineRule="auto"/>
              <w:rPr>
                <w:rFonts w:asciiTheme="majorHAnsi" w:hAnsiTheme="majorHAnsi" w:cstheme="majorHAnsi"/>
                <w:color w:val="000000"/>
                <w:sz w:val="18"/>
                <w:szCs w:val="18"/>
              </w:rPr>
            </w:pPr>
          </w:p>
        </w:tc>
        <w:tc>
          <w:tcPr>
            <w:tcW w:w="612" w:type="dxa"/>
          </w:tcPr>
          <w:p w14:paraId="338ADA54" w14:textId="77777777" w:rsidR="008A461A" w:rsidRPr="002339E6" w:rsidRDefault="008A461A" w:rsidP="00B31C4E">
            <w:pPr>
              <w:pStyle w:val="NormalWeb"/>
              <w:spacing w:line="360" w:lineRule="auto"/>
              <w:rPr>
                <w:rFonts w:asciiTheme="majorHAnsi" w:hAnsiTheme="majorHAnsi" w:cstheme="majorHAnsi"/>
                <w:color w:val="000000"/>
                <w:sz w:val="18"/>
                <w:szCs w:val="18"/>
              </w:rPr>
            </w:pPr>
            <w:r w:rsidRPr="002339E6">
              <w:rPr>
                <w:rFonts w:asciiTheme="majorHAnsi" w:hAnsiTheme="majorHAnsi" w:cstheme="majorHAnsi"/>
                <w:color w:val="000000"/>
                <w:sz w:val="18"/>
                <w:szCs w:val="18"/>
              </w:rPr>
              <w:t>12</w:t>
            </w:r>
          </w:p>
        </w:tc>
      </w:tr>
      <w:tr w:rsidR="00EC4C86" w:rsidRPr="002339E6" w14:paraId="187F2B50" w14:textId="77777777" w:rsidTr="004B064D">
        <w:trPr>
          <w:trHeight w:val="336"/>
        </w:trPr>
        <w:tc>
          <w:tcPr>
            <w:tcW w:w="2761" w:type="dxa"/>
          </w:tcPr>
          <w:p w14:paraId="5AB2F172" w14:textId="77777777" w:rsidR="008A461A" w:rsidRPr="002339E6" w:rsidRDefault="008A461A" w:rsidP="00B31C4E">
            <w:pPr>
              <w:pStyle w:val="NormalWeb"/>
              <w:spacing w:line="360" w:lineRule="auto"/>
              <w:rPr>
                <w:rFonts w:asciiTheme="majorHAnsi" w:hAnsiTheme="majorHAnsi" w:cstheme="majorHAnsi"/>
                <w:b/>
                <w:bCs/>
                <w:color w:val="000000"/>
                <w:sz w:val="18"/>
                <w:szCs w:val="18"/>
              </w:rPr>
            </w:pPr>
            <w:r w:rsidRPr="002339E6">
              <w:rPr>
                <w:rFonts w:asciiTheme="majorHAnsi" w:hAnsiTheme="majorHAnsi" w:cstheme="majorHAnsi"/>
                <w:b/>
                <w:bCs/>
                <w:color w:val="000000"/>
                <w:sz w:val="18"/>
                <w:szCs w:val="18"/>
              </w:rPr>
              <w:t>Region 8</w:t>
            </w:r>
          </w:p>
        </w:tc>
        <w:tc>
          <w:tcPr>
            <w:tcW w:w="612" w:type="dxa"/>
          </w:tcPr>
          <w:p w14:paraId="1DE585B2" w14:textId="77777777" w:rsidR="008A461A" w:rsidRPr="002339E6" w:rsidRDefault="008A461A" w:rsidP="00B31C4E">
            <w:pPr>
              <w:pStyle w:val="NormalWeb"/>
              <w:spacing w:line="360" w:lineRule="auto"/>
              <w:rPr>
                <w:rFonts w:asciiTheme="majorHAnsi" w:hAnsiTheme="majorHAnsi" w:cstheme="majorHAnsi"/>
                <w:color w:val="000000"/>
                <w:sz w:val="18"/>
                <w:szCs w:val="18"/>
              </w:rPr>
            </w:pPr>
            <w:r w:rsidRPr="002339E6">
              <w:rPr>
                <w:rFonts w:asciiTheme="majorHAnsi" w:hAnsiTheme="majorHAnsi" w:cstheme="majorHAnsi"/>
                <w:color w:val="000000"/>
                <w:sz w:val="18"/>
                <w:szCs w:val="18"/>
              </w:rPr>
              <w:t>8</w:t>
            </w:r>
          </w:p>
        </w:tc>
        <w:tc>
          <w:tcPr>
            <w:tcW w:w="612" w:type="dxa"/>
          </w:tcPr>
          <w:p w14:paraId="0946CAFE" w14:textId="77777777" w:rsidR="008A461A" w:rsidRPr="002339E6" w:rsidRDefault="008A461A" w:rsidP="00B31C4E">
            <w:pPr>
              <w:pStyle w:val="NormalWeb"/>
              <w:spacing w:line="360" w:lineRule="auto"/>
              <w:rPr>
                <w:rFonts w:asciiTheme="majorHAnsi" w:hAnsiTheme="majorHAnsi" w:cstheme="majorHAnsi"/>
                <w:color w:val="000000"/>
                <w:sz w:val="18"/>
                <w:szCs w:val="18"/>
              </w:rPr>
            </w:pPr>
            <w:r w:rsidRPr="002339E6">
              <w:rPr>
                <w:rFonts w:asciiTheme="majorHAnsi" w:hAnsiTheme="majorHAnsi" w:cstheme="majorHAnsi"/>
                <w:color w:val="000000"/>
                <w:sz w:val="18"/>
                <w:szCs w:val="18"/>
              </w:rPr>
              <w:t>6</w:t>
            </w:r>
          </w:p>
        </w:tc>
        <w:tc>
          <w:tcPr>
            <w:tcW w:w="688" w:type="dxa"/>
          </w:tcPr>
          <w:p w14:paraId="7BE63721" w14:textId="77777777" w:rsidR="008A461A" w:rsidRPr="002339E6" w:rsidRDefault="008A461A" w:rsidP="00B31C4E">
            <w:pPr>
              <w:pStyle w:val="NormalWeb"/>
              <w:spacing w:line="360" w:lineRule="auto"/>
              <w:rPr>
                <w:rFonts w:asciiTheme="majorHAnsi" w:hAnsiTheme="majorHAnsi" w:cstheme="majorHAnsi"/>
                <w:color w:val="000000"/>
                <w:sz w:val="18"/>
                <w:szCs w:val="18"/>
              </w:rPr>
            </w:pPr>
            <w:r w:rsidRPr="002339E6">
              <w:rPr>
                <w:rFonts w:asciiTheme="majorHAnsi" w:hAnsiTheme="majorHAnsi" w:cstheme="majorHAnsi"/>
                <w:color w:val="000000"/>
                <w:sz w:val="18"/>
                <w:szCs w:val="18"/>
              </w:rPr>
              <w:t>3</w:t>
            </w:r>
          </w:p>
        </w:tc>
        <w:tc>
          <w:tcPr>
            <w:tcW w:w="709" w:type="dxa"/>
          </w:tcPr>
          <w:p w14:paraId="49DDEA6B" w14:textId="77777777" w:rsidR="008A461A" w:rsidRPr="002339E6" w:rsidRDefault="008A461A" w:rsidP="00B31C4E">
            <w:pPr>
              <w:pStyle w:val="NormalWeb"/>
              <w:spacing w:line="360" w:lineRule="auto"/>
              <w:rPr>
                <w:rFonts w:asciiTheme="majorHAnsi" w:hAnsiTheme="majorHAnsi" w:cstheme="majorHAnsi"/>
                <w:color w:val="000000"/>
                <w:sz w:val="18"/>
                <w:szCs w:val="18"/>
              </w:rPr>
            </w:pPr>
            <w:r w:rsidRPr="002339E6">
              <w:rPr>
                <w:rFonts w:asciiTheme="majorHAnsi" w:hAnsiTheme="majorHAnsi" w:cstheme="majorHAnsi"/>
                <w:color w:val="000000"/>
                <w:sz w:val="18"/>
                <w:szCs w:val="18"/>
              </w:rPr>
              <w:t>4</w:t>
            </w:r>
          </w:p>
        </w:tc>
        <w:tc>
          <w:tcPr>
            <w:tcW w:w="439" w:type="dxa"/>
          </w:tcPr>
          <w:p w14:paraId="6176E768" w14:textId="77777777" w:rsidR="008A461A" w:rsidRPr="002339E6" w:rsidRDefault="008A461A" w:rsidP="00B31C4E">
            <w:pPr>
              <w:pStyle w:val="NormalWeb"/>
              <w:spacing w:line="360" w:lineRule="auto"/>
              <w:rPr>
                <w:rFonts w:asciiTheme="majorHAnsi" w:hAnsiTheme="majorHAnsi" w:cstheme="majorHAnsi"/>
                <w:color w:val="000000"/>
                <w:sz w:val="18"/>
                <w:szCs w:val="18"/>
              </w:rPr>
            </w:pPr>
            <w:r w:rsidRPr="002339E6">
              <w:rPr>
                <w:rFonts w:asciiTheme="majorHAnsi" w:hAnsiTheme="majorHAnsi" w:cstheme="majorHAnsi"/>
                <w:color w:val="000000"/>
                <w:sz w:val="18"/>
                <w:szCs w:val="18"/>
              </w:rPr>
              <w:t>7</w:t>
            </w:r>
          </w:p>
        </w:tc>
        <w:tc>
          <w:tcPr>
            <w:tcW w:w="612" w:type="dxa"/>
          </w:tcPr>
          <w:p w14:paraId="29986723" w14:textId="77777777" w:rsidR="008A461A" w:rsidRPr="002339E6" w:rsidRDefault="008A461A" w:rsidP="00B31C4E">
            <w:pPr>
              <w:pStyle w:val="NormalWeb"/>
              <w:spacing w:line="360" w:lineRule="auto"/>
              <w:rPr>
                <w:rFonts w:asciiTheme="majorHAnsi" w:hAnsiTheme="majorHAnsi" w:cstheme="majorHAnsi"/>
                <w:color w:val="000000"/>
                <w:sz w:val="18"/>
                <w:szCs w:val="18"/>
              </w:rPr>
            </w:pPr>
          </w:p>
        </w:tc>
        <w:tc>
          <w:tcPr>
            <w:tcW w:w="612" w:type="dxa"/>
          </w:tcPr>
          <w:p w14:paraId="56B961D6" w14:textId="77777777" w:rsidR="008A461A" w:rsidRPr="002339E6" w:rsidRDefault="008A461A" w:rsidP="00B31C4E">
            <w:pPr>
              <w:pStyle w:val="NormalWeb"/>
              <w:spacing w:line="360" w:lineRule="auto"/>
              <w:rPr>
                <w:rFonts w:asciiTheme="majorHAnsi" w:hAnsiTheme="majorHAnsi" w:cstheme="majorHAnsi"/>
                <w:color w:val="000000"/>
                <w:sz w:val="18"/>
                <w:szCs w:val="18"/>
              </w:rPr>
            </w:pPr>
          </w:p>
        </w:tc>
        <w:tc>
          <w:tcPr>
            <w:tcW w:w="612" w:type="dxa"/>
          </w:tcPr>
          <w:p w14:paraId="20EB2A75" w14:textId="77777777" w:rsidR="008A461A" w:rsidRPr="002339E6" w:rsidRDefault="008A461A" w:rsidP="00B31C4E">
            <w:pPr>
              <w:pStyle w:val="NormalWeb"/>
              <w:spacing w:line="360" w:lineRule="auto"/>
              <w:rPr>
                <w:rFonts w:asciiTheme="majorHAnsi" w:hAnsiTheme="majorHAnsi" w:cstheme="majorHAnsi"/>
                <w:color w:val="000000"/>
                <w:sz w:val="18"/>
                <w:szCs w:val="18"/>
              </w:rPr>
            </w:pPr>
            <w:r w:rsidRPr="002339E6">
              <w:rPr>
                <w:rFonts w:asciiTheme="majorHAnsi" w:hAnsiTheme="majorHAnsi" w:cstheme="majorHAnsi"/>
                <w:color w:val="000000"/>
                <w:sz w:val="18"/>
                <w:szCs w:val="18"/>
              </w:rPr>
              <w:t>2</w:t>
            </w:r>
          </w:p>
        </w:tc>
        <w:tc>
          <w:tcPr>
            <w:tcW w:w="612" w:type="dxa"/>
          </w:tcPr>
          <w:p w14:paraId="78C88A91" w14:textId="77777777" w:rsidR="008A461A" w:rsidRPr="002339E6" w:rsidRDefault="008A461A" w:rsidP="00B31C4E">
            <w:pPr>
              <w:pStyle w:val="NormalWeb"/>
              <w:spacing w:line="360" w:lineRule="auto"/>
              <w:rPr>
                <w:rFonts w:asciiTheme="majorHAnsi" w:hAnsiTheme="majorHAnsi" w:cstheme="majorHAnsi"/>
                <w:color w:val="000000"/>
                <w:sz w:val="18"/>
                <w:szCs w:val="18"/>
              </w:rPr>
            </w:pPr>
          </w:p>
        </w:tc>
        <w:tc>
          <w:tcPr>
            <w:tcW w:w="612" w:type="dxa"/>
          </w:tcPr>
          <w:p w14:paraId="4078C221" w14:textId="77777777" w:rsidR="008A461A" w:rsidRPr="002339E6" w:rsidRDefault="008A461A" w:rsidP="00B31C4E">
            <w:pPr>
              <w:pStyle w:val="NormalWeb"/>
              <w:spacing w:line="360" w:lineRule="auto"/>
              <w:rPr>
                <w:rFonts w:asciiTheme="majorHAnsi" w:hAnsiTheme="majorHAnsi" w:cstheme="majorHAnsi"/>
                <w:color w:val="000000"/>
                <w:sz w:val="18"/>
                <w:szCs w:val="18"/>
              </w:rPr>
            </w:pPr>
            <w:r w:rsidRPr="002339E6">
              <w:rPr>
                <w:rFonts w:asciiTheme="majorHAnsi" w:hAnsiTheme="majorHAnsi" w:cstheme="majorHAnsi"/>
                <w:color w:val="000000"/>
                <w:sz w:val="18"/>
                <w:szCs w:val="18"/>
              </w:rPr>
              <w:t>4</w:t>
            </w:r>
          </w:p>
        </w:tc>
        <w:tc>
          <w:tcPr>
            <w:tcW w:w="612" w:type="dxa"/>
          </w:tcPr>
          <w:p w14:paraId="73BC43BA" w14:textId="77777777" w:rsidR="008A461A" w:rsidRPr="002339E6" w:rsidRDefault="008A461A" w:rsidP="00B31C4E">
            <w:pPr>
              <w:pStyle w:val="NormalWeb"/>
              <w:spacing w:line="360" w:lineRule="auto"/>
              <w:rPr>
                <w:rFonts w:asciiTheme="majorHAnsi" w:hAnsiTheme="majorHAnsi" w:cstheme="majorHAnsi"/>
                <w:color w:val="000000"/>
                <w:sz w:val="18"/>
                <w:szCs w:val="18"/>
              </w:rPr>
            </w:pPr>
            <w:r w:rsidRPr="002339E6">
              <w:rPr>
                <w:rFonts w:asciiTheme="majorHAnsi" w:hAnsiTheme="majorHAnsi" w:cstheme="majorHAnsi"/>
                <w:color w:val="000000"/>
                <w:sz w:val="18"/>
                <w:szCs w:val="18"/>
              </w:rPr>
              <w:t>34</w:t>
            </w:r>
          </w:p>
        </w:tc>
      </w:tr>
      <w:tr w:rsidR="00EC4C86" w:rsidRPr="002339E6" w14:paraId="2AC1388A" w14:textId="77777777" w:rsidTr="004B064D">
        <w:trPr>
          <w:trHeight w:val="325"/>
        </w:trPr>
        <w:tc>
          <w:tcPr>
            <w:tcW w:w="2761" w:type="dxa"/>
          </w:tcPr>
          <w:p w14:paraId="61AD4F89" w14:textId="77777777" w:rsidR="008A461A" w:rsidRPr="002339E6" w:rsidRDefault="008A461A" w:rsidP="00B31C4E">
            <w:pPr>
              <w:pStyle w:val="NormalWeb"/>
              <w:spacing w:line="360" w:lineRule="auto"/>
              <w:rPr>
                <w:rFonts w:asciiTheme="majorHAnsi" w:hAnsiTheme="majorHAnsi" w:cstheme="majorHAnsi"/>
                <w:b/>
                <w:bCs/>
                <w:color w:val="000000"/>
                <w:sz w:val="18"/>
                <w:szCs w:val="18"/>
              </w:rPr>
            </w:pPr>
            <w:r w:rsidRPr="002339E6">
              <w:rPr>
                <w:rFonts w:asciiTheme="majorHAnsi" w:hAnsiTheme="majorHAnsi" w:cstheme="majorHAnsi"/>
                <w:b/>
                <w:bCs/>
                <w:color w:val="000000"/>
                <w:sz w:val="18"/>
                <w:szCs w:val="18"/>
              </w:rPr>
              <w:t>Region 10</w:t>
            </w:r>
          </w:p>
        </w:tc>
        <w:tc>
          <w:tcPr>
            <w:tcW w:w="612" w:type="dxa"/>
          </w:tcPr>
          <w:p w14:paraId="50D132CE" w14:textId="77777777" w:rsidR="008A461A" w:rsidRPr="002339E6" w:rsidRDefault="00EC4C86" w:rsidP="00B31C4E">
            <w:pPr>
              <w:pStyle w:val="NormalWeb"/>
              <w:spacing w:line="360" w:lineRule="auto"/>
              <w:rPr>
                <w:rFonts w:asciiTheme="majorHAnsi" w:hAnsiTheme="majorHAnsi" w:cstheme="majorHAnsi"/>
                <w:color w:val="000000"/>
                <w:sz w:val="18"/>
                <w:szCs w:val="18"/>
              </w:rPr>
            </w:pPr>
            <w:r w:rsidRPr="002339E6">
              <w:rPr>
                <w:rFonts w:asciiTheme="majorHAnsi" w:hAnsiTheme="majorHAnsi" w:cstheme="majorHAnsi"/>
                <w:color w:val="000000"/>
                <w:sz w:val="18"/>
                <w:szCs w:val="18"/>
              </w:rPr>
              <w:t>6</w:t>
            </w:r>
          </w:p>
        </w:tc>
        <w:tc>
          <w:tcPr>
            <w:tcW w:w="612" w:type="dxa"/>
          </w:tcPr>
          <w:p w14:paraId="0496E23B" w14:textId="77777777" w:rsidR="008A461A" w:rsidRPr="002339E6" w:rsidRDefault="008A461A" w:rsidP="00B31C4E">
            <w:pPr>
              <w:pStyle w:val="NormalWeb"/>
              <w:spacing w:line="360" w:lineRule="auto"/>
              <w:rPr>
                <w:rFonts w:asciiTheme="majorHAnsi" w:hAnsiTheme="majorHAnsi" w:cstheme="majorHAnsi"/>
                <w:color w:val="000000"/>
                <w:sz w:val="18"/>
                <w:szCs w:val="18"/>
              </w:rPr>
            </w:pPr>
          </w:p>
        </w:tc>
        <w:tc>
          <w:tcPr>
            <w:tcW w:w="688" w:type="dxa"/>
          </w:tcPr>
          <w:p w14:paraId="2B71994C" w14:textId="77777777" w:rsidR="008A461A" w:rsidRPr="002339E6" w:rsidRDefault="008A461A" w:rsidP="00B31C4E">
            <w:pPr>
              <w:pStyle w:val="NormalWeb"/>
              <w:spacing w:line="360" w:lineRule="auto"/>
              <w:rPr>
                <w:rFonts w:asciiTheme="majorHAnsi" w:hAnsiTheme="majorHAnsi" w:cstheme="majorHAnsi"/>
                <w:color w:val="000000"/>
                <w:sz w:val="18"/>
                <w:szCs w:val="18"/>
              </w:rPr>
            </w:pPr>
          </w:p>
        </w:tc>
        <w:tc>
          <w:tcPr>
            <w:tcW w:w="709" w:type="dxa"/>
          </w:tcPr>
          <w:p w14:paraId="4012C45D" w14:textId="77777777" w:rsidR="008A461A" w:rsidRPr="002339E6" w:rsidRDefault="008A461A" w:rsidP="00B31C4E">
            <w:pPr>
              <w:pStyle w:val="NormalWeb"/>
              <w:spacing w:line="360" w:lineRule="auto"/>
              <w:rPr>
                <w:rFonts w:asciiTheme="majorHAnsi" w:hAnsiTheme="majorHAnsi" w:cstheme="majorHAnsi"/>
                <w:color w:val="000000"/>
                <w:sz w:val="18"/>
                <w:szCs w:val="18"/>
              </w:rPr>
            </w:pPr>
          </w:p>
        </w:tc>
        <w:tc>
          <w:tcPr>
            <w:tcW w:w="439" w:type="dxa"/>
          </w:tcPr>
          <w:p w14:paraId="2B03EFC4" w14:textId="77777777" w:rsidR="008A461A" w:rsidRPr="002339E6" w:rsidRDefault="008A461A" w:rsidP="00B31C4E">
            <w:pPr>
              <w:pStyle w:val="NormalWeb"/>
              <w:spacing w:line="360" w:lineRule="auto"/>
              <w:rPr>
                <w:rFonts w:asciiTheme="majorHAnsi" w:hAnsiTheme="majorHAnsi" w:cstheme="majorHAnsi"/>
                <w:color w:val="000000"/>
                <w:sz w:val="18"/>
                <w:szCs w:val="18"/>
              </w:rPr>
            </w:pPr>
          </w:p>
        </w:tc>
        <w:tc>
          <w:tcPr>
            <w:tcW w:w="612" w:type="dxa"/>
          </w:tcPr>
          <w:p w14:paraId="5111ECB9" w14:textId="77777777" w:rsidR="008A461A" w:rsidRPr="002339E6" w:rsidRDefault="008A461A" w:rsidP="00B31C4E">
            <w:pPr>
              <w:pStyle w:val="NormalWeb"/>
              <w:spacing w:line="360" w:lineRule="auto"/>
              <w:rPr>
                <w:rFonts w:asciiTheme="majorHAnsi" w:hAnsiTheme="majorHAnsi" w:cstheme="majorHAnsi"/>
                <w:color w:val="000000"/>
                <w:sz w:val="18"/>
                <w:szCs w:val="18"/>
              </w:rPr>
            </w:pPr>
          </w:p>
        </w:tc>
        <w:tc>
          <w:tcPr>
            <w:tcW w:w="612" w:type="dxa"/>
          </w:tcPr>
          <w:p w14:paraId="37B349BA" w14:textId="77777777" w:rsidR="008A461A" w:rsidRPr="002339E6" w:rsidRDefault="008A461A" w:rsidP="00B31C4E">
            <w:pPr>
              <w:pStyle w:val="NormalWeb"/>
              <w:spacing w:line="360" w:lineRule="auto"/>
              <w:rPr>
                <w:rFonts w:asciiTheme="majorHAnsi" w:hAnsiTheme="majorHAnsi" w:cstheme="majorHAnsi"/>
                <w:color w:val="000000"/>
                <w:sz w:val="18"/>
                <w:szCs w:val="18"/>
              </w:rPr>
            </w:pPr>
          </w:p>
        </w:tc>
        <w:tc>
          <w:tcPr>
            <w:tcW w:w="612" w:type="dxa"/>
          </w:tcPr>
          <w:p w14:paraId="74203A36" w14:textId="77777777" w:rsidR="008A461A" w:rsidRPr="002339E6" w:rsidRDefault="008A461A" w:rsidP="00B31C4E">
            <w:pPr>
              <w:pStyle w:val="NormalWeb"/>
              <w:spacing w:line="360" w:lineRule="auto"/>
              <w:rPr>
                <w:rFonts w:asciiTheme="majorHAnsi" w:hAnsiTheme="majorHAnsi" w:cstheme="majorHAnsi"/>
                <w:color w:val="000000"/>
                <w:sz w:val="18"/>
                <w:szCs w:val="18"/>
              </w:rPr>
            </w:pPr>
          </w:p>
        </w:tc>
        <w:tc>
          <w:tcPr>
            <w:tcW w:w="612" w:type="dxa"/>
          </w:tcPr>
          <w:p w14:paraId="13661B10" w14:textId="77777777" w:rsidR="008A461A" w:rsidRPr="002339E6" w:rsidRDefault="008A461A" w:rsidP="00B31C4E">
            <w:pPr>
              <w:pStyle w:val="NormalWeb"/>
              <w:spacing w:line="360" w:lineRule="auto"/>
              <w:rPr>
                <w:rFonts w:asciiTheme="majorHAnsi" w:hAnsiTheme="majorHAnsi" w:cstheme="majorHAnsi"/>
                <w:color w:val="000000"/>
                <w:sz w:val="18"/>
                <w:szCs w:val="18"/>
              </w:rPr>
            </w:pPr>
          </w:p>
        </w:tc>
        <w:tc>
          <w:tcPr>
            <w:tcW w:w="612" w:type="dxa"/>
          </w:tcPr>
          <w:p w14:paraId="4F28E896" w14:textId="77777777" w:rsidR="008A461A" w:rsidRPr="002339E6" w:rsidRDefault="008A461A" w:rsidP="00B31C4E">
            <w:pPr>
              <w:pStyle w:val="NormalWeb"/>
              <w:spacing w:line="360" w:lineRule="auto"/>
              <w:rPr>
                <w:rFonts w:asciiTheme="majorHAnsi" w:hAnsiTheme="majorHAnsi" w:cstheme="majorHAnsi"/>
                <w:color w:val="000000"/>
                <w:sz w:val="18"/>
                <w:szCs w:val="18"/>
              </w:rPr>
            </w:pPr>
          </w:p>
        </w:tc>
        <w:tc>
          <w:tcPr>
            <w:tcW w:w="612" w:type="dxa"/>
          </w:tcPr>
          <w:p w14:paraId="6F6FB009" w14:textId="77777777" w:rsidR="008A461A" w:rsidRPr="002339E6" w:rsidRDefault="00EC4C86" w:rsidP="00B31C4E">
            <w:pPr>
              <w:pStyle w:val="NormalWeb"/>
              <w:spacing w:line="360" w:lineRule="auto"/>
              <w:rPr>
                <w:rFonts w:asciiTheme="majorHAnsi" w:hAnsiTheme="majorHAnsi" w:cstheme="majorHAnsi"/>
                <w:color w:val="000000"/>
                <w:sz w:val="18"/>
                <w:szCs w:val="18"/>
              </w:rPr>
            </w:pPr>
            <w:r w:rsidRPr="002339E6">
              <w:rPr>
                <w:rFonts w:asciiTheme="majorHAnsi" w:hAnsiTheme="majorHAnsi" w:cstheme="majorHAnsi"/>
                <w:color w:val="000000"/>
                <w:sz w:val="18"/>
                <w:szCs w:val="18"/>
              </w:rPr>
              <w:t>6</w:t>
            </w:r>
          </w:p>
        </w:tc>
      </w:tr>
      <w:tr w:rsidR="00EC4C86" w:rsidRPr="002339E6" w14:paraId="59F6DE9C" w14:textId="77777777" w:rsidTr="004B064D">
        <w:trPr>
          <w:trHeight w:val="336"/>
        </w:trPr>
        <w:tc>
          <w:tcPr>
            <w:tcW w:w="2761" w:type="dxa"/>
          </w:tcPr>
          <w:p w14:paraId="51A2D5EE" w14:textId="77777777" w:rsidR="008A461A" w:rsidRPr="002339E6" w:rsidRDefault="008A461A" w:rsidP="00B31C4E">
            <w:pPr>
              <w:pStyle w:val="NormalWeb"/>
              <w:spacing w:line="360" w:lineRule="auto"/>
              <w:rPr>
                <w:rFonts w:asciiTheme="majorHAnsi" w:hAnsiTheme="majorHAnsi" w:cstheme="majorHAnsi"/>
                <w:b/>
                <w:bCs/>
                <w:color w:val="000000"/>
                <w:sz w:val="18"/>
                <w:szCs w:val="18"/>
              </w:rPr>
            </w:pPr>
            <w:r w:rsidRPr="002339E6">
              <w:rPr>
                <w:rFonts w:asciiTheme="majorHAnsi" w:hAnsiTheme="majorHAnsi" w:cstheme="majorHAnsi"/>
                <w:b/>
                <w:bCs/>
                <w:color w:val="000000"/>
                <w:sz w:val="18"/>
                <w:szCs w:val="18"/>
              </w:rPr>
              <w:t>Region 11</w:t>
            </w:r>
          </w:p>
        </w:tc>
        <w:tc>
          <w:tcPr>
            <w:tcW w:w="612" w:type="dxa"/>
          </w:tcPr>
          <w:p w14:paraId="6EF5F675" w14:textId="77777777" w:rsidR="008A461A" w:rsidRPr="002339E6" w:rsidRDefault="00EC4C86" w:rsidP="00B31C4E">
            <w:pPr>
              <w:pStyle w:val="NormalWeb"/>
              <w:spacing w:line="360" w:lineRule="auto"/>
              <w:rPr>
                <w:rFonts w:asciiTheme="majorHAnsi" w:hAnsiTheme="majorHAnsi" w:cstheme="majorHAnsi"/>
                <w:color w:val="000000"/>
                <w:sz w:val="18"/>
                <w:szCs w:val="18"/>
              </w:rPr>
            </w:pPr>
            <w:r w:rsidRPr="002339E6">
              <w:rPr>
                <w:rFonts w:asciiTheme="majorHAnsi" w:hAnsiTheme="majorHAnsi" w:cstheme="majorHAnsi"/>
                <w:color w:val="000000"/>
                <w:sz w:val="18"/>
                <w:szCs w:val="18"/>
              </w:rPr>
              <w:t>17</w:t>
            </w:r>
          </w:p>
        </w:tc>
        <w:tc>
          <w:tcPr>
            <w:tcW w:w="612" w:type="dxa"/>
          </w:tcPr>
          <w:p w14:paraId="6CFCCF07" w14:textId="77777777" w:rsidR="008A461A" w:rsidRPr="002339E6" w:rsidRDefault="00EC4C86" w:rsidP="00B31C4E">
            <w:pPr>
              <w:pStyle w:val="NormalWeb"/>
              <w:spacing w:line="360" w:lineRule="auto"/>
              <w:rPr>
                <w:rFonts w:asciiTheme="majorHAnsi" w:hAnsiTheme="majorHAnsi" w:cstheme="majorHAnsi"/>
                <w:color w:val="000000"/>
                <w:sz w:val="18"/>
                <w:szCs w:val="18"/>
              </w:rPr>
            </w:pPr>
            <w:r w:rsidRPr="002339E6">
              <w:rPr>
                <w:rFonts w:asciiTheme="majorHAnsi" w:hAnsiTheme="majorHAnsi" w:cstheme="majorHAnsi"/>
                <w:color w:val="000000"/>
                <w:sz w:val="18"/>
                <w:szCs w:val="18"/>
              </w:rPr>
              <w:t>7</w:t>
            </w:r>
          </w:p>
        </w:tc>
        <w:tc>
          <w:tcPr>
            <w:tcW w:w="688" w:type="dxa"/>
          </w:tcPr>
          <w:p w14:paraId="399F285E" w14:textId="77777777" w:rsidR="008A461A" w:rsidRPr="002339E6" w:rsidRDefault="008A461A" w:rsidP="00B31C4E">
            <w:pPr>
              <w:pStyle w:val="NormalWeb"/>
              <w:spacing w:line="360" w:lineRule="auto"/>
              <w:rPr>
                <w:rFonts w:asciiTheme="majorHAnsi" w:hAnsiTheme="majorHAnsi" w:cstheme="majorHAnsi"/>
                <w:color w:val="000000"/>
                <w:sz w:val="18"/>
                <w:szCs w:val="18"/>
              </w:rPr>
            </w:pPr>
          </w:p>
        </w:tc>
        <w:tc>
          <w:tcPr>
            <w:tcW w:w="709" w:type="dxa"/>
          </w:tcPr>
          <w:p w14:paraId="29DC7C7C" w14:textId="77777777" w:rsidR="008A461A" w:rsidRPr="002339E6" w:rsidRDefault="00EC4C86" w:rsidP="00B31C4E">
            <w:pPr>
              <w:pStyle w:val="NormalWeb"/>
              <w:spacing w:line="360" w:lineRule="auto"/>
              <w:rPr>
                <w:rFonts w:asciiTheme="majorHAnsi" w:hAnsiTheme="majorHAnsi" w:cstheme="majorHAnsi"/>
                <w:color w:val="000000"/>
                <w:sz w:val="18"/>
                <w:szCs w:val="18"/>
              </w:rPr>
            </w:pPr>
            <w:r w:rsidRPr="002339E6">
              <w:rPr>
                <w:rFonts w:asciiTheme="majorHAnsi" w:hAnsiTheme="majorHAnsi" w:cstheme="majorHAnsi"/>
                <w:color w:val="000000"/>
                <w:sz w:val="18"/>
                <w:szCs w:val="18"/>
              </w:rPr>
              <w:t>1</w:t>
            </w:r>
          </w:p>
        </w:tc>
        <w:tc>
          <w:tcPr>
            <w:tcW w:w="439" w:type="dxa"/>
          </w:tcPr>
          <w:p w14:paraId="0AA06ED3" w14:textId="77777777" w:rsidR="008A461A" w:rsidRPr="002339E6" w:rsidRDefault="008A461A" w:rsidP="00B31C4E">
            <w:pPr>
              <w:pStyle w:val="NormalWeb"/>
              <w:spacing w:line="360" w:lineRule="auto"/>
              <w:rPr>
                <w:rFonts w:asciiTheme="majorHAnsi" w:hAnsiTheme="majorHAnsi" w:cstheme="majorHAnsi"/>
                <w:color w:val="000000"/>
                <w:sz w:val="18"/>
                <w:szCs w:val="18"/>
              </w:rPr>
            </w:pPr>
          </w:p>
        </w:tc>
        <w:tc>
          <w:tcPr>
            <w:tcW w:w="612" w:type="dxa"/>
          </w:tcPr>
          <w:p w14:paraId="47C85CF5" w14:textId="77777777" w:rsidR="008A461A" w:rsidRPr="002339E6" w:rsidRDefault="008A461A" w:rsidP="00B31C4E">
            <w:pPr>
              <w:pStyle w:val="NormalWeb"/>
              <w:spacing w:line="360" w:lineRule="auto"/>
              <w:rPr>
                <w:rFonts w:asciiTheme="majorHAnsi" w:hAnsiTheme="majorHAnsi" w:cstheme="majorHAnsi"/>
                <w:color w:val="000000"/>
                <w:sz w:val="18"/>
                <w:szCs w:val="18"/>
              </w:rPr>
            </w:pPr>
          </w:p>
        </w:tc>
        <w:tc>
          <w:tcPr>
            <w:tcW w:w="612" w:type="dxa"/>
          </w:tcPr>
          <w:p w14:paraId="6CA307B5" w14:textId="77777777" w:rsidR="008A461A" w:rsidRPr="002339E6" w:rsidRDefault="00EC4C86" w:rsidP="00B31C4E">
            <w:pPr>
              <w:pStyle w:val="NormalWeb"/>
              <w:spacing w:line="360" w:lineRule="auto"/>
              <w:rPr>
                <w:rFonts w:asciiTheme="majorHAnsi" w:hAnsiTheme="majorHAnsi" w:cstheme="majorHAnsi"/>
                <w:color w:val="000000"/>
                <w:sz w:val="18"/>
                <w:szCs w:val="18"/>
              </w:rPr>
            </w:pPr>
            <w:r w:rsidRPr="002339E6">
              <w:rPr>
                <w:rFonts w:asciiTheme="majorHAnsi" w:hAnsiTheme="majorHAnsi" w:cstheme="majorHAnsi"/>
                <w:color w:val="000000"/>
                <w:sz w:val="18"/>
                <w:szCs w:val="18"/>
              </w:rPr>
              <w:t>1</w:t>
            </w:r>
          </w:p>
        </w:tc>
        <w:tc>
          <w:tcPr>
            <w:tcW w:w="612" w:type="dxa"/>
          </w:tcPr>
          <w:p w14:paraId="456B8963" w14:textId="77777777" w:rsidR="008A461A" w:rsidRPr="002339E6" w:rsidRDefault="008A461A" w:rsidP="00B31C4E">
            <w:pPr>
              <w:pStyle w:val="NormalWeb"/>
              <w:spacing w:line="360" w:lineRule="auto"/>
              <w:rPr>
                <w:rFonts w:asciiTheme="majorHAnsi" w:hAnsiTheme="majorHAnsi" w:cstheme="majorHAnsi"/>
                <w:color w:val="000000"/>
                <w:sz w:val="18"/>
                <w:szCs w:val="18"/>
              </w:rPr>
            </w:pPr>
          </w:p>
        </w:tc>
        <w:tc>
          <w:tcPr>
            <w:tcW w:w="612" w:type="dxa"/>
          </w:tcPr>
          <w:p w14:paraId="498284B0" w14:textId="77777777" w:rsidR="008A461A" w:rsidRPr="002339E6" w:rsidRDefault="008A461A" w:rsidP="00B31C4E">
            <w:pPr>
              <w:pStyle w:val="NormalWeb"/>
              <w:spacing w:line="360" w:lineRule="auto"/>
              <w:rPr>
                <w:rFonts w:asciiTheme="majorHAnsi" w:hAnsiTheme="majorHAnsi" w:cstheme="majorHAnsi"/>
                <w:color w:val="000000"/>
                <w:sz w:val="18"/>
                <w:szCs w:val="18"/>
              </w:rPr>
            </w:pPr>
          </w:p>
        </w:tc>
        <w:tc>
          <w:tcPr>
            <w:tcW w:w="612" w:type="dxa"/>
          </w:tcPr>
          <w:p w14:paraId="2F293918" w14:textId="77777777" w:rsidR="008A461A" w:rsidRPr="002339E6" w:rsidRDefault="00EC4C86" w:rsidP="00B31C4E">
            <w:pPr>
              <w:pStyle w:val="NormalWeb"/>
              <w:spacing w:line="360" w:lineRule="auto"/>
              <w:rPr>
                <w:rFonts w:asciiTheme="majorHAnsi" w:hAnsiTheme="majorHAnsi" w:cstheme="majorHAnsi"/>
                <w:color w:val="000000"/>
                <w:sz w:val="18"/>
                <w:szCs w:val="18"/>
              </w:rPr>
            </w:pPr>
            <w:r w:rsidRPr="002339E6">
              <w:rPr>
                <w:rFonts w:asciiTheme="majorHAnsi" w:hAnsiTheme="majorHAnsi" w:cstheme="majorHAnsi"/>
                <w:color w:val="000000"/>
                <w:sz w:val="18"/>
                <w:szCs w:val="18"/>
              </w:rPr>
              <w:t>1</w:t>
            </w:r>
          </w:p>
        </w:tc>
        <w:tc>
          <w:tcPr>
            <w:tcW w:w="612" w:type="dxa"/>
          </w:tcPr>
          <w:p w14:paraId="5B80096F" w14:textId="77777777" w:rsidR="008A461A" w:rsidRPr="002339E6" w:rsidRDefault="00EC4C86" w:rsidP="00B31C4E">
            <w:pPr>
              <w:pStyle w:val="NormalWeb"/>
              <w:spacing w:line="360" w:lineRule="auto"/>
              <w:rPr>
                <w:rFonts w:asciiTheme="majorHAnsi" w:hAnsiTheme="majorHAnsi" w:cstheme="majorHAnsi"/>
                <w:color w:val="000000"/>
                <w:sz w:val="18"/>
                <w:szCs w:val="18"/>
              </w:rPr>
            </w:pPr>
            <w:r w:rsidRPr="002339E6">
              <w:rPr>
                <w:rFonts w:asciiTheme="majorHAnsi" w:hAnsiTheme="majorHAnsi" w:cstheme="majorHAnsi"/>
                <w:color w:val="000000"/>
                <w:sz w:val="18"/>
                <w:szCs w:val="18"/>
              </w:rPr>
              <w:t>27</w:t>
            </w:r>
          </w:p>
        </w:tc>
      </w:tr>
      <w:tr w:rsidR="00EC4C86" w:rsidRPr="002339E6" w14:paraId="496AC3D8" w14:textId="77777777" w:rsidTr="004B064D">
        <w:trPr>
          <w:trHeight w:val="325"/>
        </w:trPr>
        <w:tc>
          <w:tcPr>
            <w:tcW w:w="2761" w:type="dxa"/>
          </w:tcPr>
          <w:p w14:paraId="6EC6E71A" w14:textId="77777777" w:rsidR="008A461A" w:rsidRPr="002339E6" w:rsidRDefault="008A461A" w:rsidP="00B31C4E">
            <w:pPr>
              <w:pStyle w:val="NormalWeb"/>
              <w:spacing w:line="360" w:lineRule="auto"/>
              <w:rPr>
                <w:rFonts w:asciiTheme="majorHAnsi" w:hAnsiTheme="majorHAnsi" w:cstheme="majorHAnsi"/>
                <w:b/>
                <w:bCs/>
                <w:color w:val="000000"/>
                <w:sz w:val="18"/>
                <w:szCs w:val="18"/>
              </w:rPr>
            </w:pPr>
            <w:r w:rsidRPr="002339E6">
              <w:rPr>
                <w:rFonts w:asciiTheme="majorHAnsi" w:hAnsiTheme="majorHAnsi" w:cstheme="majorHAnsi"/>
                <w:b/>
                <w:bCs/>
                <w:color w:val="000000"/>
                <w:sz w:val="18"/>
                <w:szCs w:val="18"/>
              </w:rPr>
              <w:t>ARMM</w:t>
            </w:r>
          </w:p>
        </w:tc>
        <w:tc>
          <w:tcPr>
            <w:tcW w:w="612" w:type="dxa"/>
          </w:tcPr>
          <w:p w14:paraId="5F9CC7E1" w14:textId="77777777" w:rsidR="008A461A" w:rsidRPr="002339E6" w:rsidRDefault="00EC4C86" w:rsidP="00B31C4E">
            <w:pPr>
              <w:pStyle w:val="NormalWeb"/>
              <w:spacing w:line="360" w:lineRule="auto"/>
              <w:rPr>
                <w:rFonts w:asciiTheme="majorHAnsi" w:hAnsiTheme="majorHAnsi" w:cstheme="majorHAnsi"/>
                <w:color w:val="000000"/>
                <w:sz w:val="18"/>
                <w:szCs w:val="18"/>
              </w:rPr>
            </w:pPr>
            <w:r w:rsidRPr="002339E6">
              <w:rPr>
                <w:rFonts w:asciiTheme="majorHAnsi" w:hAnsiTheme="majorHAnsi" w:cstheme="majorHAnsi"/>
                <w:color w:val="000000"/>
                <w:sz w:val="18"/>
                <w:szCs w:val="18"/>
              </w:rPr>
              <w:t>30</w:t>
            </w:r>
          </w:p>
        </w:tc>
        <w:tc>
          <w:tcPr>
            <w:tcW w:w="612" w:type="dxa"/>
          </w:tcPr>
          <w:p w14:paraId="1CACF143" w14:textId="77777777" w:rsidR="008A461A" w:rsidRPr="002339E6" w:rsidRDefault="008A461A" w:rsidP="00B31C4E">
            <w:pPr>
              <w:pStyle w:val="NormalWeb"/>
              <w:spacing w:line="360" w:lineRule="auto"/>
              <w:rPr>
                <w:rFonts w:asciiTheme="majorHAnsi" w:hAnsiTheme="majorHAnsi" w:cstheme="majorHAnsi"/>
                <w:color w:val="000000"/>
                <w:sz w:val="18"/>
                <w:szCs w:val="18"/>
              </w:rPr>
            </w:pPr>
          </w:p>
        </w:tc>
        <w:tc>
          <w:tcPr>
            <w:tcW w:w="688" w:type="dxa"/>
          </w:tcPr>
          <w:p w14:paraId="31B047BF" w14:textId="77777777" w:rsidR="008A461A" w:rsidRPr="002339E6" w:rsidRDefault="00EC4C86" w:rsidP="00B31C4E">
            <w:pPr>
              <w:pStyle w:val="NormalWeb"/>
              <w:spacing w:line="360" w:lineRule="auto"/>
              <w:rPr>
                <w:rFonts w:asciiTheme="majorHAnsi" w:hAnsiTheme="majorHAnsi" w:cstheme="majorHAnsi"/>
                <w:color w:val="000000"/>
                <w:sz w:val="18"/>
                <w:szCs w:val="18"/>
              </w:rPr>
            </w:pPr>
            <w:r w:rsidRPr="002339E6">
              <w:rPr>
                <w:rFonts w:asciiTheme="majorHAnsi" w:hAnsiTheme="majorHAnsi" w:cstheme="majorHAnsi"/>
                <w:color w:val="000000"/>
                <w:sz w:val="18"/>
                <w:szCs w:val="18"/>
              </w:rPr>
              <w:t>5</w:t>
            </w:r>
          </w:p>
        </w:tc>
        <w:tc>
          <w:tcPr>
            <w:tcW w:w="709" w:type="dxa"/>
          </w:tcPr>
          <w:p w14:paraId="52BD2AE6" w14:textId="77777777" w:rsidR="008A461A" w:rsidRPr="002339E6" w:rsidRDefault="008A461A" w:rsidP="00B31C4E">
            <w:pPr>
              <w:pStyle w:val="NormalWeb"/>
              <w:spacing w:line="360" w:lineRule="auto"/>
              <w:rPr>
                <w:rFonts w:asciiTheme="majorHAnsi" w:hAnsiTheme="majorHAnsi" w:cstheme="majorHAnsi"/>
                <w:color w:val="000000"/>
                <w:sz w:val="18"/>
                <w:szCs w:val="18"/>
              </w:rPr>
            </w:pPr>
          </w:p>
        </w:tc>
        <w:tc>
          <w:tcPr>
            <w:tcW w:w="439" w:type="dxa"/>
          </w:tcPr>
          <w:p w14:paraId="3E23A274" w14:textId="77777777" w:rsidR="008A461A" w:rsidRPr="002339E6" w:rsidRDefault="008A461A" w:rsidP="00B31C4E">
            <w:pPr>
              <w:pStyle w:val="NormalWeb"/>
              <w:spacing w:line="360" w:lineRule="auto"/>
              <w:rPr>
                <w:rFonts w:asciiTheme="majorHAnsi" w:hAnsiTheme="majorHAnsi" w:cstheme="majorHAnsi"/>
                <w:color w:val="000000"/>
                <w:sz w:val="18"/>
                <w:szCs w:val="18"/>
              </w:rPr>
            </w:pPr>
          </w:p>
        </w:tc>
        <w:tc>
          <w:tcPr>
            <w:tcW w:w="612" w:type="dxa"/>
          </w:tcPr>
          <w:p w14:paraId="781C215E" w14:textId="77777777" w:rsidR="008A461A" w:rsidRPr="002339E6" w:rsidRDefault="00EC4C86" w:rsidP="00B31C4E">
            <w:pPr>
              <w:pStyle w:val="NormalWeb"/>
              <w:spacing w:line="360" w:lineRule="auto"/>
              <w:rPr>
                <w:rFonts w:asciiTheme="majorHAnsi" w:hAnsiTheme="majorHAnsi" w:cstheme="majorHAnsi"/>
                <w:color w:val="000000"/>
                <w:sz w:val="18"/>
                <w:szCs w:val="18"/>
              </w:rPr>
            </w:pPr>
            <w:r w:rsidRPr="002339E6">
              <w:rPr>
                <w:rFonts w:asciiTheme="majorHAnsi" w:hAnsiTheme="majorHAnsi" w:cstheme="majorHAnsi"/>
                <w:color w:val="000000"/>
                <w:sz w:val="18"/>
                <w:szCs w:val="18"/>
              </w:rPr>
              <w:t>1</w:t>
            </w:r>
          </w:p>
        </w:tc>
        <w:tc>
          <w:tcPr>
            <w:tcW w:w="612" w:type="dxa"/>
          </w:tcPr>
          <w:p w14:paraId="6A38FC32" w14:textId="77777777" w:rsidR="008A461A" w:rsidRPr="002339E6" w:rsidRDefault="00EC4C86" w:rsidP="00B31C4E">
            <w:pPr>
              <w:pStyle w:val="NormalWeb"/>
              <w:spacing w:line="360" w:lineRule="auto"/>
              <w:rPr>
                <w:rFonts w:asciiTheme="majorHAnsi" w:hAnsiTheme="majorHAnsi" w:cstheme="majorHAnsi"/>
                <w:color w:val="000000"/>
                <w:sz w:val="18"/>
                <w:szCs w:val="18"/>
              </w:rPr>
            </w:pPr>
            <w:r w:rsidRPr="002339E6">
              <w:rPr>
                <w:rFonts w:asciiTheme="majorHAnsi" w:hAnsiTheme="majorHAnsi" w:cstheme="majorHAnsi"/>
                <w:color w:val="000000"/>
                <w:sz w:val="18"/>
                <w:szCs w:val="18"/>
              </w:rPr>
              <w:t>1</w:t>
            </w:r>
          </w:p>
        </w:tc>
        <w:tc>
          <w:tcPr>
            <w:tcW w:w="612" w:type="dxa"/>
          </w:tcPr>
          <w:p w14:paraId="272FFD7B" w14:textId="77777777" w:rsidR="008A461A" w:rsidRPr="002339E6" w:rsidRDefault="008A461A" w:rsidP="00B31C4E">
            <w:pPr>
              <w:pStyle w:val="NormalWeb"/>
              <w:spacing w:line="360" w:lineRule="auto"/>
              <w:rPr>
                <w:rFonts w:asciiTheme="majorHAnsi" w:hAnsiTheme="majorHAnsi" w:cstheme="majorHAnsi"/>
                <w:color w:val="000000"/>
                <w:sz w:val="18"/>
                <w:szCs w:val="18"/>
              </w:rPr>
            </w:pPr>
          </w:p>
        </w:tc>
        <w:tc>
          <w:tcPr>
            <w:tcW w:w="612" w:type="dxa"/>
          </w:tcPr>
          <w:p w14:paraId="771C2010" w14:textId="77777777" w:rsidR="008A461A" w:rsidRPr="002339E6" w:rsidRDefault="008A461A" w:rsidP="00B31C4E">
            <w:pPr>
              <w:pStyle w:val="NormalWeb"/>
              <w:spacing w:line="360" w:lineRule="auto"/>
              <w:rPr>
                <w:rFonts w:asciiTheme="majorHAnsi" w:hAnsiTheme="majorHAnsi" w:cstheme="majorHAnsi"/>
                <w:color w:val="000000"/>
                <w:sz w:val="18"/>
                <w:szCs w:val="18"/>
              </w:rPr>
            </w:pPr>
          </w:p>
        </w:tc>
        <w:tc>
          <w:tcPr>
            <w:tcW w:w="612" w:type="dxa"/>
          </w:tcPr>
          <w:p w14:paraId="0D06F17D" w14:textId="77777777" w:rsidR="008A461A" w:rsidRPr="002339E6" w:rsidRDefault="00EC4C86" w:rsidP="00B31C4E">
            <w:pPr>
              <w:pStyle w:val="NormalWeb"/>
              <w:spacing w:line="360" w:lineRule="auto"/>
              <w:rPr>
                <w:rFonts w:asciiTheme="majorHAnsi" w:hAnsiTheme="majorHAnsi" w:cstheme="majorHAnsi"/>
                <w:color w:val="000000"/>
                <w:sz w:val="18"/>
                <w:szCs w:val="18"/>
              </w:rPr>
            </w:pPr>
            <w:r w:rsidRPr="002339E6">
              <w:rPr>
                <w:rFonts w:asciiTheme="majorHAnsi" w:hAnsiTheme="majorHAnsi" w:cstheme="majorHAnsi"/>
                <w:color w:val="000000"/>
                <w:sz w:val="18"/>
                <w:szCs w:val="18"/>
              </w:rPr>
              <w:t>3</w:t>
            </w:r>
          </w:p>
        </w:tc>
        <w:tc>
          <w:tcPr>
            <w:tcW w:w="612" w:type="dxa"/>
          </w:tcPr>
          <w:p w14:paraId="5E6AFCA2" w14:textId="77777777" w:rsidR="008A461A" w:rsidRPr="002339E6" w:rsidRDefault="00EC4C86" w:rsidP="00B31C4E">
            <w:pPr>
              <w:pStyle w:val="NormalWeb"/>
              <w:spacing w:line="360" w:lineRule="auto"/>
              <w:rPr>
                <w:rFonts w:asciiTheme="majorHAnsi" w:hAnsiTheme="majorHAnsi" w:cstheme="majorHAnsi"/>
                <w:color w:val="000000"/>
                <w:sz w:val="18"/>
                <w:szCs w:val="18"/>
              </w:rPr>
            </w:pPr>
            <w:r w:rsidRPr="002339E6">
              <w:rPr>
                <w:rFonts w:asciiTheme="majorHAnsi" w:hAnsiTheme="majorHAnsi" w:cstheme="majorHAnsi"/>
                <w:color w:val="000000"/>
                <w:sz w:val="18"/>
                <w:szCs w:val="18"/>
              </w:rPr>
              <w:t>40</w:t>
            </w:r>
          </w:p>
        </w:tc>
      </w:tr>
      <w:tr w:rsidR="00EC4C86" w:rsidRPr="002339E6" w14:paraId="70697D55" w14:textId="77777777" w:rsidTr="004B064D">
        <w:trPr>
          <w:trHeight w:val="336"/>
        </w:trPr>
        <w:tc>
          <w:tcPr>
            <w:tcW w:w="2761" w:type="dxa"/>
          </w:tcPr>
          <w:p w14:paraId="1FE80C03" w14:textId="77777777" w:rsidR="008A461A" w:rsidRPr="002339E6" w:rsidRDefault="008A461A" w:rsidP="00B31C4E">
            <w:pPr>
              <w:pStyle w:val="NormalWeb"/>
              <w:spacing w:line="360" w:lineRule="auto"/>
              <w:rPr>
                <w:rFonts w:asciiTheme="majorHAnsi" w:hAnsiTheme="majorHAnsi" w:cstheme="majorHAnsi"/>
                <w:b/>
                <w:bCs/>
                <w:color w:val="000000"/>
                <w:sz w:val="18"/>
                <w:szCs w:val="18"/>
              </w:rPr>
            </w:pPr>
            <w:r w:rsidRPr="002339E6">
              <w:rPr>
                <w:rFonts w:asciiTheme="majorHAnsi" w:hAnsiTheme="majorHAnsi" w:cstheme="majorHAnsi"/>
                <w:b/>
                <w:bCs/>
                <w:color w:val="000000"/>
                <w:sz w:val="18"/>
                <w:szCs w:val="18"/>
              </w:rPr>
              <w:t>CARAGA</w:t>
            </w:r>
          </w:p>
        </w:tc>
        <w:tc>
          <w:tcPr>
            <w:tcW w:w="612" w:type="dxa"/>
          </w:tcPr>
          <w:p w14:paraId="2421A110" w14:textId="77777777" w:rsidR="008A461A" w:rsidRPr="002339E6" w:rsidRDefault="00EC4C86" w:rsidP="00B31C4E">
            <w:pPr>
              <w:pStyle w:val="NormalWeb"/>
              <w:spacing w:line="360" w:lineRule="auto"/>
              <w:rPr>
                <w:rFonts w:asciiTheme="majorHAnsi" w:hAnsiTheme="majorHAnsi" w:cstheme="majorHAnsi"/>
                <w:color w:val="000000"/>
                <w:sz w:val="18"/>
                <w:szCs w:val="18"/>
              </w:rPr>
            </w:pPr>
            <w:r w:rsidRPr="002339E6">
              <w:rPr>
                <w:rFonts w:asciiTheme="majorHAnsi" w:hAnsiTheme="majorHAnsi" w:cstheme="majorHAnsi"/>
                <w:color w:val="000000"/>
                <w:sz w:val="18"/>
                <w:szCs w:val="18"/>
              </w:rPr>
              <w:t>10</w:t>
            </w:r>
          </w:p>
        </w:tc>
        <w:tc>
          <w:tcPr>
            <w:tcW w:w="612" w:type="dxa"/>
          </w:tcPr>
          <w:p w14:paraId="392CB1B6" w14:textId="77777777" w:rsidR="008A461A" w:rsidRPr="002339E6" w:rsidRDefault="00EC4C86" w:rsidP="00B31C4E">
            <w:pPr>
              <w:pStyle w:val="NormalWeb"/>
              <w:spacing w:line="360" w:lineRule="auto"/>
              <w:rPr>
                <w:rFonts w:asciiTheme="majorHAnsi" w:hAnsiTheme="majorHAnsi" w:cstheme="majorHAnsi"/>
                <w:color w:val="000000"/>
                <w:sz w:val="18"/>
                <w:szCs w:val="18"/>
              </w:rPr>
            </w:pPr>
            <w:r w:rsidRPr="002339E6">
              <w:rPr>
                <w:rFonts w:asciiTheme="majorHAnsi" w:hAnsiTheme="majorHAnsi" w:cstheme="majorHAnsi"/>
                <w:color w:val="000000"/>
                <w:sz w:val="18"/>
                <w:szCs w:val="18"/>
              </w:rPr>
              <w:t>5</w:t>
            </w:r>
          </w:p>
        </w:tc>
        <w:tc>
          <w:tcPr>
            <w:tcW w:w="688" w:type="dxa"/>
          </w:tcPr>
          <w:p w14:paraId="02AA773A" w14:textId="77777777" w:rsidR="008A461A" w:rsidRPr="002339E6" w:rsidRDefault="008A461A" w:rsidP="00B31C4E">
            <w:pPr>
              <w:pStyle w:val="NormalWeb"/>
              <w:spacing w:line="360" w:lineRule="auto"/>
              <w:rPr>
                <w:rFonts w:asciiTheme="majorHAnsi" w:hAnsiTheme="majorHAnsi" w:cstheme="majorHAnsi"/>
                <w:color w:val="000000"/>
                <w:sz w:val="18"/>
                <w:szCs w:val="18"/>
              </w:rPr>
            </w:pPr>
          </w:p>
        </w:tc>
        <w:tc>
          <w:tcPr>
            <w:tcW w:w="709" w:type="dxa"/>
          </w:tcPr>
          <w:p w14:paraId="60AC92F5" w14:textId="77777777" w:rsidR="008A461A" w:rsidRPr="002339E6" w:rsidRDefault="008A461A" w:rsidP="00B31C4E">
            <w:pPr>
              <w:pStyle w:val="NormalWeb"/>
              <w:spacing w:line="360" w:lineRule="auto"/>
              <w:rPr>
                <w:rFonts w:asciiTheme="majorHAnsi" w:hAnsiTheme="majorHAnsi" w:cstheme="majorHAnsi"/>
                <w:color w:val="000000"/>
                <w:sz w:val="18"/>
                <w:szCs w:val="18"/>
              </w:rPr>
            </w:pPr>
          </w:p>
        </w:tc>
        <w:tc>
          <w:tcPr>
            <w:tcW w:w="439" w:type="dxa"/>
          </w:tcPr>
          <w:p w14:paraId="578EA542" w14:textId="77777777" w:rsidR="008A461A" w:rsidRPr="002339E6" w:rsidRDefault="008A461A" w:rsidP="00B31C4E">
            <w:pPr>
              <w:pStyle w:val="NormalWeb"/>
              <w:spacing w:line="360" w:lineRule="auto"/>
              <w:rPr>
                <w:rFonts w:asciiTheme="majorHAnsi" w:hAnsiTheme="majorHAnsi" w:cstheme="majorHAnsi"/>
                <w:color w:val="000000"/>
                <w:sz w:val="18"/>
                <w:szCs w:val="18"/>
              </w:rPr>
            </w:pPr>
          </w:p>
        </w:tc>
        <w:tc>
          <w:tcPr>
            <w:tcW w:w="612" w:type="dxa"/>
          </w:tcPr>
          <w:p w14:paraId="1666C72C" w14:textId="77777777" w:rsidR="008A461A" w:rsidRPr="002339E6" w:rsidRDefault="008A461A" w:rsidP="00B31C4E">
            <w:pPr>
              <w:pStyle w:val="NormalWeb"/>
              <w:spacing w:line="360" w:lineRule="auto"/>
              <w:rPr>
                <w:rFonts w:asciiTheme="majorHAnsi" w:hAnsiTheme="majorHAnsi" w:cstheme="majorHAnsi"/>
                <w:color w:val="000000"/>
                <w:sz w:val="18"/>
                <w:szCs w:val="18"/>
              </w:rPr>
            </w:pPr>
          </w:p>
        </w:tc>
        <w:tc>
          <w:tcPr>
            <w:tcW w:w="612" w:type="dxa"/>
          </w:tcPr>
          <w:p w14:paraId="7FF38F90" w14:textId="77777777" w:rsidR="008A461A" w:rsidRPr="002339E6" w:rsidRDefault="008A461A" w:rsidP="00B31C4E">
            <w:pPr>
              <w:pStyle w:val="NormalWeb"/>
              <w:spacing w:line="360" w:lineRule="auto"/>
              <w:rPr>
                <w:rFonts w:asciiTheme="majorHAnsi" w:hAnsiTheme="majorHAnsi" w:cstheme="majorHAnsi"/>
                <w:color w:val="000000"/>
                <w:sz w:val="18"/>
                <w:szCs w:val="18"/>
              </w:rPr>
            </w:pPr>
          </w:p>
        </w:tc>
        <w:tc>
          <w:tcPr>
            <w:tcW w:w="612" w:type="dxa"/>
          </w:tcPr>
          <w:p w14:paraId="3DD78A70" w14:textId="77777777" w:rsidR="008A461A" w:rsidRPr="002339E6" w:rsidRDefault="00EC4C86" w:rsidP="00B31C4E">
            <w:pPr>
              <w:pStyle w:val="NormalWeb"/>
              <w:spacing w:line="360" w:lineRule="auto"/>
              <w:rPr>
                <w:rFonts w:asciiTheme="majorHAnsi" w:hAnsiTheme="majorHAnsi" w:cstheme="majorHAnsi"/>
                <w:color w:val="000000"/>
                <w:sz w:val="18"/>
                <w:szCs w:val="18"/>
              </w:rPr>
            </w:pPr>
            <w:r w:rsidRPr="002339E6">
              <w:rPr>
                <w:rFonts w:asciiTheme="majorHAnsi" w:hAnsiTheme="majorHAnsi" w:cstheme="majorHAnsi"/>
                <w:color w:val="000000"/>
                <w:sz w:val="18"/>
                <w:szCs w:val="18"/>
              </w:rPr>
              <w:t>1</w:t>
            </w:r>
          </w:p>
        </w:tc>
        <w:tc>
          <w:tcPr>
            <w:tcW w:w="612" w:type="dxa"/>
          </w:tcPr>
          <w:p w14:paraId="10E6BFBC" w14:textId="77777777" w:rsidR="008A461A" w:rsidRPr="002339E6" w:rsidRDefault="008A461A" w:rsidP="00B31C4E">
            <w:pPr>
              <w:pStyle w:val="NormalWeb"/>
              <w:spacing w:line="360" w:lineRule="auto"/>
              <w:rPr>
                <w:rFonts w:asciiTheme="majorHAnsi" w:hAnsiTheme="majorHAnsi" w:cstheme="majorHAnsi"/>
                <w:color w:val="000000"/>
                <w:sz w:val="18"/>
                <w:szCs w:val="18"/>
              </w:rPr>
            </w:pPr>
          </w:p>
        </w:tc>
        <w:tc>
          <w:tcPr>
            <w:tcW w:w="612" w:type="dxa"/>
          </w:tcPr>
          <w:p w14:paraId="7F5648FD" w14:textId="77777777" w:rsidR="008A461A" w:rsidRPr="002339E6" w:rsidRDefault="008A461A" w:rsidP="00B31C4E">
            <w:pPr>
              <w:pStyle w:val="NormalWeb"/>
              <w:spacing w:line="360" w:lineRule="auto"/>
              <w:rPr>
                <w:rFonts w:asciiTheme="majorHAnsi" w:hAnsiTheme="majorHAnsi" w:cstheme="majorHAnsi"/>
                <w:color w:val="000000"/>
                <w:sz w:val="18"/>
                <w:szCs w:val="18"/>
              </w:rPr>
            </w:pPr>
          </w:p>
        </w:tc>
        <w:tc>
          <w:tcPr>
            <w:tcW w:w="612" w:type="dxa"/>
          </w:tcPr>
          <w:p w14:paraId="2C3B0CDE" w14:textId="77777777" w:rsidR="008A461A" w:rsidRPr="002339E6" w:rsidRDefault="00EC4C86" w:rsidP="00B31C4E">
            <w:pPr>
              <w:pStyle w:val="NormalWeb"/>
              <w:spacing w:line="360" w:lineRule="auto"/>
              <w:rPr>
                <w:rFonts w:asciiTheme="majorHAnsi" w:hAnsiTheme="majorHAnsi" w:cstheme="majorHAnsi"/>
                <w:color w:val="000000"/>
                <w:sz w:val="18"/>
                <w:szCs w:val="18"/>
              </w:rPr>
            </w:pPr>
            <w:r w:rsidRPr="002339E6">
              <w:rPr>
                <w:rFonts w:asciiTheme="majorHAnsi" w:hAnsiTheme="majorHAnsi" w:cstheme="majorHAnsi"/>
                <w:color w:val="000000"/>
                <w:sz w:val="18"/>
                <w:szCs w:val="18"/>
              </w:rPr>
              <w:t>16</w:t>
            </w:r>
          </w:p>
        </w:tc>
      </w:tr>
      <w:tr w:rsidR="00EC4C86" w:rsidRPr="002339E6" w14:paraId="53CAA1F0" w14:textId="77777777" w:rsidTr="004B064D">
        <w:trPr>
          <w:trHeight w:val="325"/>
        </w:trPr>
        <w:tc>
          <w:tcPr>
            <w:tcW w:w="2761" w:type="dxa"/>
          </w:tcPr>
          <w:p w14:paraId="19FA1A2C" w14:textId="77777777" w:rsidR="008A461A" w:rsidRPr="002339E6" w:rsidRDefault="008A461A" w:rsidP="00B31C4E">
            <w:pPr>
              <w:pStyle w:val="NormalWeb"/>
              <w:spacing w:line="360" w:lineRule="auto"/>
              <w:rPr>
                <w:rFonts w:asciiTheme="majorHAnsi" w:hAnsiTheme="majorHAnsi" w:cstheme="majorHAnsi"/>
                <w:b/>
                <w:bCs/>
                <w:color w:val="000000"/>
                <w:sz w:val="18"/>
                <w:szCs w:val="18"/>
              </w:rPr>
            </w:pPr>
            <w:r w:rsidRPr="002339E6">
              <w:rPr>
                <w:rFonts w:asciiTheme="majorHAnsi" w:hAnsiTheme="majorHAnsi" w:cstheme="majorHAnsi"/>
                <w:b/>
                <w:bCs/>
                <w:color w:val="000000"/>
                <w:sz w:val="18"/>
                <w:szCs w:val="18"/>
              </w:rPr>
              <w:t>NCR</w:t>
            </w:r>
          </w:p>
        </w:tc>
        <w:tc>
          <w:tcPr>
            <w:tcW w:w="612" w:type="dxa"/>
          </w:tcPr>
          <w:p w14:paraId="2ACAB9DD" w14:textId="77777777" w:rsidR="008A461A" w:rsidRPr="002339E6" w:rsidRDefault="008A461A" w:rsidP="00B31C4E">
            <w:pPr>
              <w:pStyle w:val="NormalWeb"/>
              <w:spacing w:line="360" w:lineRule="auto"/>
              <w:rPr>
                <w:rFonts w:asciiTheme="majorHAnsi" w:hAnsiTheme="majorHAnsi" w:cstheme="majorHAnsi"/>
                <w:color w:val="000000"/>
                <w:sz w:val="18"/>
                <w:szCs w:val="18"/>
              </w:rPr>
            </w:pPr>
          </w:p>
        </w:tc>
        <w:tc>
          <w:tcPr>
            <w:tcW w:w="612" w:type="dxa"/>
          </w:tcPr>
          <w:p w14:paraId="3E492FBF" w14:textId="77777777" w:rsidR="008A461A" w:rsidRPr="002339E6" w:rsidRDefault="008A461A" w:rsidP="00B31C4E">
            <w:pPr>
              <w:pStyle w:val="NormalWeb"/>
              <w:spacing w:line="360" w:lineRule="auto"/>
              <w:rPr>
                <w:rFonts w:asciiTheme="majorHAnsi" w:hAnsiTheme="majorHAnsi" w:cstheme="majorHAnsi"/>
                <w:color w:val="000000"/>
                <w:sz w:val="18"/>
                <w:szCs w:val="18"/>
              </w:rPr>
            </w:pPr>
          </w:p>
        </w:tc>
        <w:tc>
          <w:tcPr>
            <w:tcW w:w="688" w:type="dxa"/>
          </w:tcPr>
          <w:p w14:paraId="18B991C6" w14:textId="77777777" w:rsidR="008A461A" w:rsidRPr="002339E6" w:rsidRDefault="008A461A" w:rsidP="00B31C4E">
            <w:pPr>
              <w:pStyle w:val="NormalWeb"/>
              <w:spacing w:line="360" w:lineRule="auto"/>
              <w:rPr>
                <w:rFonts w:asciiTheme="majorHAnsi" w:hAnsiTheme="majorHAnsi" w:cstheme="majorHAnsi"/>
                <w:color w:val="000000"/>
                <w:sz w:val="18"/>
                <w:szCs w:val="18"/>
              </w:rPr>
            </w:pPr>
          </w:p>
        </w:tc>
        <w:tc>
          <w:tcPr>
            <w:tcW w:w="709" w:type="dxa"/>
          </w:tcPr>
          <w:p w14:paraId="221A152D" w14:textId="77777777" w:rsidR="008A461A" w:rsidRPr="002339E6" w:rsidRDefault="008A461A" w:rsidP="00B31C4E">
            <w:pPr>
              <w:pStyle w:val="NormalWeb"/>
              <w:spacing w:line="360" w:lineRule="auto"/>
              <w:rPr>
                <w:rFonts w:asciiTheme="majorHAnsi" w:hAnsiTheme="majorHAnsi" w:cstheme="majorHAnsi"/>
                <w:color w:val="000000"/>
                <w:sz w:val="18"/>
                <w:szCs w:val="18"/>
              </w:rPr>
            </w:pPr>
          </w:p>
        </w:tc>
        <w:tc>
          <w:tcPr>
            <w:tcW w:w="439" w:type="dxa"/>
          </w:tcPr>
          <w:p w14:paraId="5DAB1452" w14:textId="77777777" w:rsidR="008A461A" w:rsidRPr="002339E6" w:rsidRDefault="008A461A" w:rsidP="00B31C4E">
            <w:pPr>
              <w:pStyle w:val="NormalWeb"/>
              <w:spacing w:line="360" w:lineRule="auto"/>
              <w:rPr>
                <w:rFonts w:asciiTheme="majorHAnsi" w:hAnsiTheme="majorHAnsi" w:cstheme="majorHAnsi"/>
                <w:color w:val="000000"/>
                <w:sz w:val="18"/>
                <w:szCs w:val="18"/>
              </w:rPr>
            </w:pPr>
          </w:p>
        </w:tc>
        <w:tc>
          <w:tcPr>
            <w:tcW w:w="612" w:type="dxa"/>
          </w:tcPr>
          <w:p w14:paraId="073777BE" w14:textId="77777777" w:rsidR="008A461A" w:rsidRPr="002339E6" w:rsidRDefault="008A461A" w:rsidP="00B31C4E">
            <w:pPr>
              <w:pStyle w:val="NormalWeb"/>
              <w:spacing w:line="360" w:lineRule="auto"/>
              <w:rPr>
                <w:rFonts w:asciiTheme="majorHAnsi" w:hAnsiTheme="majorHAnsi" w:cstheme="majorHAnsi"/>
                <w:color w:val="000000"/>
                <w:sz w:val="18"/>
                <w:szCs w:val="18"/>
              </w:rPr>
            </w:pPr>
          </w:p>
        </w:tc>
        <w:tc>
          <w:tcPr>
            <w:tcW w:w="612" w:type="dxa"/>
          </w:tcPr>
          <w:p w14:paraId="75F9615A" w14:textId="77777777" w:rsidR="008A461A" w:rsidRPr="002339E6" w:rsidRDefault="008A461A" w:rsidP="00B31C4E">
            <w:pPr>
              <w:pStyle w:val="NormalWeb"/>
              <w:spacing w:line="360" w:lineRule="auto"/>
              <w:rPr>
                <w:rFonts w:asciiTheme="majorHAnsi" w:hAnsiTheme="majorHAnsi" w:cstheme="majorHAnsi"/>
                <w:color w:val="000000"/>
                <w:sz w:val="18"/>
                <w:szCs w:val="18"/>
              </w:rPr>
            </w:pPr>
          </w:p>
        </w:tc>
        <w:tc>
          <w:tcPr>
            <w:tcW w:w="612" w:type="dxa"/>
          </w:tcPr>
          <w:p w14:paraId="7B18B5C6" w14:textId="77777777" w:rsidR="008A461A" w:rsidRPr="002339E6" w:rsidRDefault="008A461A" w:rsidP="00B31C4E">
            <w:pPr>
              <w:pStyle w:val="NormalWeb"/>
              <w:spacing w:line="360" w:lineRule="auto"/>
              <w:rPr>
                <w:rFonts w:asciiTheme="majorHAnsi" w:hAnsiTheme="majorHAnsi" w:cstheme="majorHAnsi"/>
                <w:color w:val="000000"/>
                <w:sz w:val="18"/>
                <w:szCs w:val="18"/>
              </w:rPr>
            </w:pPr>
          </w:p>
        </w:tc>
        <w:tc>
          <w:tcPr>
            <w:tcW w:w="612" w:type="dxa"/>
          </w:tcPr>
          <w:p w14:paraId="7E026556" w14:textId="77777777" w:rsidR="008A461A" w:rsidRPr="002339E6" w:rsidRDefault="00EC4C86" w:rsidP="00B31C4E">
            <w:pPr>
              <w:pStyle w:val="NormalWeb"/>
              <w:spacing w:line="360" w:lineRule="auto"/>
              <w:rPr>
                <w:rFonts w:asciiTheme="majorHAnsi" w:hAnsiTheme="majorHAnsi" w:cstheme="majorHAnsi"/>
                <w:color w:val="000000"/>
                <w:sz w:val="18"/>
                <w:szCs w:val="18"/>
              </w:rPr>
            </w:pPr>
            <w:r w:rsidRPr="002339E6">
              <w:rPr>
                <w:rFonts w:asciiTheme="majorHAnsi" w:hAnsiTheme="majorHAnsi" w:cstheme="majorHAnsi"/>
                <w:color w:val="000000"/>
                <w:sz w:val="18"/>
                <w:szCs w:val="18"/>
              </w:rPr>
              <w:t>2</w:t>
            </w:r>
          </w:p>
        </w:tc>
        <w:tc>
          <w:tcPr>
            <w:tcW w:w="612" w:type="dxa"/>
          </w:tcPr>
          <w:p w14:paraId="3CF6908C" w14:textId="77777777" w:rsidR="008A461A" w:rsidRPr="002339E6" w:rsidRDefault="008A461A" w:rsidP="00B31C4E">
            <w:pPr>
              <w:pStyle w:val="NormalWeb"/>
              <w:spacing w:line="360" w:lineRule="auto"/>
              <w:rPr>
                <w:rFonts w:asciiTheme="majorHAnsi" w:hAnsiTheme="majorHAnsi" w:cstheme="majorHAnsi"/>
                <w:color w:val="000000"/>
                <w:sz w:val="18"/>
                <w:szCs w:val="18"/>
              </w:rPr>
            </w:pPr>
          </w:p>
        </w:tc>
        <w:tc>
          <w:tcPr>
            <w:tcW w:w="612" w:type="dxa"/>
          </w:tcPr>
          <w:p w14:paraId="5A1431E2" w14:textId="77777777" w:rsidR="008A461A" w:rsidRPr="002339E6" w:rsidRDefault="00EC4C86" w:rsidP="00B31C4E">
            <w:pPr>
              <w:pStyle w:val="NormalWeb"/>
              <w:spacing w:line="360" w:lineRule="auto"/>
              <w:rPr>
                <w:rFonts w:asciiTheme="majorHAnsi" w:hAnsiTheme="majorHAnsi" w:cstheme="majorHAnsi"/>
                <w:color w:val="000000"/>
                <w:sz w:val="18"/>
                <w:szCs w:val="18"/>
              </w:rPr>
            </w:pPr>
            <w:r w:rsidRPr="002339E6">
              <w:rPr>
                <w:rFonts w:asciiTheme="majorHAnsi" w:hAnsiTheme="majorHAnsi" w:cstheme="majorHAnsi"/>
                <w:color w:val="000000"/>
                <w:sz w:val="18"/>
                <w:szCs w:val="18"/>
              </w:rPr>
              <w:t>2</w:t>
            </w:r>
          </w:p>
        </w:tc>
      </w:tr>
      <w:tr w:rsidR="00EC4C86" w:rsidRPr="002339E6" w14:paraId="581B494B" w14:textId="77777777" w:rsidTr="004B064D">
        <w:trPr>
          <w:trHeight w:val="336"/>
        </w:trPr>
        <w:tc>
          <w:tcPr>
            <w:tcW w:w="2761" w:type="dxa"/>
          </w:tcPr>
          <w:p w14:paraId="1FB3512D" w14:textId="77777777" w:rsidR="008A461A" w:rsidRPr="002339E6" w:rsidRDefault="008A461A" w:rsidP="00B31C4E">
            <w:pPr>
              <w:pStyle w:val="NormalWeb"/>
              <w:spacing w:line="360" w:lineRule="auto"/>
              <w:rPr>
                <w:rFonts w:asciiTheme="majorHAnsi" w:hAnsiTheme="majorHAnsi" w:cstheme="majorHAnsi"/>
                <w:b/>
                <w:bCs/>
                <w:color w:val="000000"/>
                <w:sz w:val="18"/>
                <w:szCs w:val="18"/>
              </w:rPr>
            </w:pPr>
            <w:r w:rsidRPr="002339E6">
              <w:rPr>
                <w:rFonts w:asciiTheme="majorHAnsi" w:hAnsiTheme="majorHAnsi" w:cstheme="majorHAnsi"/>
                <w:b/>
                <w:bCs/>
                <w:color w:val="000000"/>
                <w:sz w:val="18"/>
                <w:szCs w:val="18"/>
              </w:rPr>
              <w:t xml:space="preserve">No. of Recipient Schools </w:t>
            </w:r>
          </w:p>
        </w:tc>
        <w:tc>
          <w:tcPr>
            <w:tcW w:w="612" w:type="dxa"/>
          </w:tcPr>
          <w:p w14:paraId="3D3DEEC9" w14:textId="77777777" w:rsidR="008A461A" w:rsidRPr="002339E6" w:rsidRDefault="00EC4C86" w:rsidP="00B31C4E">
            <w:pPr>
              <w:pStyle w:val="NormalWeb"/>
              <w:spacing w:line="360" w:lineRule="auto"/>
              <w:rPr>
                <w:rFonts w:asciiTheme="majorHAnsi" w:hAnsiTheme="majorHAnsi" w:cstheme="majorHAnsi"/>
                <w:color w:val="000000"/>
                <w:sz w:val="18"/>
                <w:szCs w:val="18"/>
              </w:rPr>
            </w:pPr>
            <w:r w:rsidRPr="002339E6">
              <w:rPr>
                <w:rFonts w:asciiTheme="majorHAnsi" w:hAnsiTheme="majorHAnsi" w:cstheme="majorHAnsi"/>
                <w:color w:val="000000"/>
                <w:sz w:val="18"/>
                <w:szCs w:val="18"/>
              </w:rPr>
              <w:t>91</w:t>
            </w:r>
          </w:p>
        </w:tc>
        <w:tc>
          <w:tcPr>
            <w:tcW w:w="612" w:type="dxa"/>
          </w:tcPr>
          <w:p w14:paraId="0BFE5AC8" w14:textId="77777777" w:rsidR="008A461A" w:rsidRPr="002339E6" w:rsidRDefault="00EC4C86" w:rsidP="00B31C4E">
            <w:pPr>
              <w:pStyle w:val="NormalWeb"/>
              <w:spacing w:line="360" w:lineRule="auto"/>
              <w:rPr>
                <w:rFonts w:asciiTheme="majorHAnsi" w:hAnsiTheme="majorHAnsi" w:cstheme="majorHAnsi"/>
                <w:color w:val="000000"/>
                <w:sz w:val="18"/>
                <w:szCs w:val="18"/>
              </w:rPr>
            </w:pPr>
            <w:r w:rsidRPr="002339E6">
              <w:rPr>
                <w:rFonts w:asciiTheme="majorHAnsi" w:hAnsiTheme="majorHAnsi" w:cstheme="majorHAnsi"/>
                <w:color w:val="000000"/>
                <w:sz w:val="18"/>
                <w:szCs w:val="18"/>
              </w:rPr>
              <w:t>32</w:t>
            </w:r>
          </w:p>
        </w:tc>
        <w:tc>
          <w:tcPr>
            <w:tcW w:w="688" w:type="dxa"/>
          </w:tcPr>
          <w:p w14:paraId="37ED6241" w14:textId="77777777" w:rsidR="008A461A" w:rsidRPr="002339E6" w:rsidRDefault="00EC4C86" w:rsidP="00B31C4E">
            <w:pPr>
              <w:pStyle w:val="NormalWeb"/>
              <w:spacing w:line="360" w:lineRule="auto"/>
              <w:rPr>
                <w:rFonts w:asciiTheme="majorHAnsi" w:hAnsiTheme="majorHAnsi" w:cstheme="majorHAnsi"/>
                <w:color w:val="000000"/>
                <w:sz w:val="18"/>
                <w:szCs w:val="18"/>
              </w:rPr>
            </w:pPr>
            <w:r w:rsidRPr="002339E6">
              <w:rPr>
                <w:rFonts w:asciiTheme="majorHAnsi" w:hAnsiTheme="majorHAnsi" w:cstheme="majorHAnsi"/>
                <w:color w:val="000000"/>
                <w:sz w:val="18"/>
                <w:szCs w:val="18"/>
              </w:rPr>
              <w:t>11</w:t>
            </w:r>
          </w:p>
        </w:tc>
        <w:tc>
          <w:tcPr>
            <w:tcW w:w="709" w:type="dxa"/>
          </w:tcPr>
          <w:p w14:paraId="28DF28EA" w14:textId="77777777" w:rsidR="008A461A" w:rsidRPr="002339E6" w:rsidRDefault="00EC4C86" w:rsidP="00B31C4E">
            <w:pPr>
              <w:pStyle w:val="NormalWeb"/>
              <w:spacing w:line="360" w:lineRule="auto"/>
              <w:rPr>
                <w:rFonts w:asciiTheme="majorHAnsi" w:hAnsiTheme="majorHAnsi" w:cstheme="majorHAnsi"/>
                <w:color w:val="000000"/>
                <w:sz w:val="18"/>
                <w:szCs w:val="18"/>
              </w:rPr>
            </w:pPr>
            <w:r w:rsidRPr="002339E6">
              <w:rPr>
                <w:rFonts w:asciiTheme="majorHAnsi" w:hAnsiTheme="majorHAnsi" w:cstheme="majorHAnsi"/>
                <w:color w:val="000000"/>
                <w:sz w:val="18"/>
                <w:szCs w:val="18"/>
              </w:rPr>
              <w:t>5</w:t>
            </w:r>
          </w:p>
        </w:tc>
        <w:tc>
          <w:tcPr>
            <w:tcW w:w="439" w:type="dxa"/>
          </w:tcPr>
          <w:p w14:paraId="14314F8F" w14:textId="77777777" w:rsidR="008A461A" w:rsidRPr="002339E6" w:rsidRDefault="00EC4C86" w:rsidP="00B31C4E">
            <w:pPr>
              <w:pStyle w:val="NormalWeb"/>
              <w:spacing w:line="360" w:lineRule="auto"/>
              <w:rPr>
                <w:rFonts w:asciiTheme="majorHAnsi" w:hAnsiTheme="majorHAnsi" w:cstheme="majorHAnsi"/>
                <w:color w:val="000000"/>
                <w:sz w:val="18"/>
                <w:szCs w:val="18"/>
              </w:rPr>
            </w:pPr>
            <w:r w:rsidRPr="002339E6">
              <w:rPr>
                <w:rFonts w:asciiTheme="majorHAnsi" w:hAnsiTheme="majorHAnsi" w:cstheme="majorHAnsi"/>
                <w:color w:val="000000"/>
                <w:sz w:val="18"/>
                <w:szCs w:val="18"/>
              </w:rPr>
              <w:t>10</w:t>
            </w:r>
          </w:p>
        </w:tc>
        <w:tc>
          <w:tcPr>
            <w:tcW w:w="612" w:type="dxa"/>
          </w:tcPr>
          <w:p w14:paraId="42C5DD6B" w14:textId="77777777" w:rsidR="008A461A" w:rsidRPr="002339E6" w:rsidRDefault="00EC4C86" w:rsidP="00B31C4E">
            <w:pPr>
              <w:pStyle w:val="NormalWeb"/>
              <w:spacing w:line="360" w:lineRule="auto"/>
              <w:rPr>
                <w:rFonts w:asciiTheme="majorHAnsi" w:hAnsiTheme="majorHAnsi" w:cstheme="majorHAnsi"/>
                <w:color w:val="000000"/>
                <w:sz w:val="18"/>
                <w:szCs w:val="18"/>
              </w:rPr>
            </w:pPr>
            <w:r w:rsidRPr="002339E6">
              <w:rPr>
                <w:rFonts w:asciiTheme="majorHAnsi" w:hAnsiTheme="majorHAnsi" w:cstheme="majorHAnsi"/>
                <w:color w:val="000000"/>
                <w:sz w:val="18"/>
                <w:szCs w:val="18"/>
              </w:rPr>
              <w:t>1</w:t>
            </w:r>
          </w:p>
        </w:tc>
        <w:tc>
          <w:tcPr>
            <w:tcW w:w="612" w:type="dxa"/>
          </w:tcPr>
          <w:p w14:paraId="3BCC1BC0" w14:textId="77777777" w:rsidR="008A461A" w:rsidRPr="002339E6" w:rsidRDefault="00EC4C86" w:rsidP="00B31C4E">
            <w:pPr>
              <w:pStyle w:val="NormalWeb"/>
              <w:spacing w:line="360" w:lineRule="auto"/>
              <w:rPr>
                <w:rFonts w:asciiTheme="majorHAnsi" w:hAnsiTheme="majorHAnsi" w:cstheme="majorHAnsi"/>
                <w:color w:val="000000"/>
                <w:sz w:val="18"/>
                <w:szCs w:val="18"/>
              </w:rPr>
            </w:pPr>
            <w:r w:rsidRPr="002339E6">
              <w:rPr>
                <w:rFonts w:asciiTheme="majorHAnsi" w:hAnsiTheme="majorHAnsi" w:cstheme="majorHAnsi"/>
                <w:color w:val="000000"/>
                <w:sz w:val="18"/>
                <w:szCs w:val="18"/>
              </w:rPr>
              <w:t>2</w:t>
            </w:r>
          </w:p>
        </w:tc>
        <w:tc>
          <w:tcPr>
            <w:tcW w:w="612" w:type="dxa"/>
          </w:tcPr>
          <w:p w14:paraId="20517256" w14:textId="77777777" w:rsidR="008A461A" w:rsidRPr="002339E6" w:rsidRDefault="00EC4C86" w:rsidP="00B31C4E">
            <w:pPr>
              <w:pStyle w:val="NormalWeb"/>
              <w:spacing w:line="360" w:lineRule="auto"/>
              <w:rPr>
                <w:rFonts w:asciiTheme="majorHAnsi" w:hAnsiTheme="majorHAnsi" w:cstheme="majorHAnsi"/>
                <w:color w:val="000000"/>
                <w:sz w:val="18"/>
                <w:szCs w:val="18"/>
              </w:rPr>
            </w:pPr>
            <w:r w:rsidRPr="002339E6">
              <w:rPr>
                <w:rFonts w:asciiTheme="majorHAnsi" w:hAnsiTheme="majorHAnsi" w:cstheme="majorHAnsi"/>
                <w:color w:val="000000"/>
                <w:sz w:val="18"/>
                <w:szCs w:val="18"/>
              </w:rPr>
              <w:t>3</w:t>
            </w:r>
          </w:p>
        </w:tc>
        <w:tc>
          <w:tcPr>
            <w:tcW w:w="612" w:type="dxa"/>
          </w:tcPr>
          <w:p w14:paraId="6F9C220F" w14:textId="77777777" w:rsidR="008A461A" w:rsidRPr="002339E6" w:rsidRDefault="00EC4C86" w:rsidP="00B31C4E">
            <w:pPr>
              <w:pStyle w:val="NormalWeb"/>
              <w:spacing w:line="360" w:lineRule="auto"/>
              <w:rPr>
                <w:rFonts w:asciiTheme="majorHAnsi" w:hAnsiTheme="majorHAnsi" w:cstheme="majorHAnsi"/>
                <w:color w:val="000000"/>
                <w:sz w:val="18"/>
                <w:szCs w:val="18"/>
              </w:rPr>
            </w:pPr>
            <w:r w:rsidRPr="002339E6">
              <w:rPr>
                <w:rFonts w:asciiTheme="majorHAnsi" w:hAnsiTheme="majorHAnsi" w:cstheme="majorHAnsi"/>
                <w:color w:val="000000"/>
                <w:sz w:val="18"/>
                <w:szCs w:val="18"/>
              </w:rPr>
              <w:t>2</w:t>
            </w:r>
          </w:p>
        </w:tc>
        <w:tc>
          <w:tcPr>
            <w:tcW w:w="612" w:type="dxa"/>
          </w:tcPr>
          <w:p w14:paraId="53D38AF7" w14:textId="77777777" w:rsidR="008A461A" w:rsidRPr="002339E6" w:rsidRDefault="00EC4C86" w:rsidP="00B31C4E">
            <w:pPr>
              <w:pStyle w:val="NormalWeb"/>
              <w:spacing w:line="360" w:lineRule="auto"/>
              <w:rPr>
                <w:rFonts w:asciiTheme="majorHAnsi" w:hAnsiTheme="majorHAnsi" w:cstheme="majorHAnsi"/>
                <w:color w:val="000000"/>
                <w:sz w:val="18"/>
                <w:szCs w:val="18"/>
              </w:rPr>
            </w:pPr>
            <w:r w:rsidRPr="002339E6">
              <w:rPr>
                <w:rFonts w:asciiTheme="majorHAnsi" w:hAnsiTheme="majorHAnsi" w:cstheme="majorHAnsi"/>
                <w:color w:val="000000"/>
                <w:sz w:val="18"/>
                <w:szCs w:val="18"/>
              </w:rPr>
              <w:t>8</w:t>
            </w:r>
          </w:p>
        </w:tc>
        <w:tc>
          <w:tcPr>
            <w:tcW w:w="612" w:type="dxa"/>
          </w:tcPr>
          <w:p w14:paraId="758706C2" w14:textId="77777777" w:rsidR="008A461A" w:rsidRPr="002339E6" w:rsidRDefault="00EC4C86" w:rsidP="00B31C4E">
            <w:pPr>
              <w:pStyle w:val="NormalWeb"/>
              <w:spacing w:line="360" w:lineRule="auto"/>
              <w:rPr>
                <w:rFonts w:asciiTheme="majorHAnsi" w:hAnsiTheme="majorHAnsi" w:cstheme="majorHAnsi"/>
                <w:color w:val="000000"/>
                <w:sz w:val="18"/>
                <w:szCs w:val="18"/>
              </w:rPr>
            </w:pPr>
            <w:r w:rsidRPr="002339E6">
              <w:rPr>
                <w:rFonts w:asciiTheme="majorHAnsi" w:hAnsiTheme="majorHAnsi" w:cstheme="majorHAnsi"/>
                <w:color w:val="000000"/>
                <w:sz w:val="18"/>
                <w:szCs w:val="18"/>
              </w:rPr>
              <w:t>165</w:t>
            </w:r>
          </w:p>
        </w:tc>
      </w:tr>
      <w:tr w:rsidR="00EC4C86" w:rsidRPr="002339E6" w14:paraId="74BFED68" w14:textId="77777777" w:rsidTr="004B064D">
        <w:trPr>
          <w:trHeight w:val="325"/>
        </w:trPr>
        <w:tc>
          <w:tcPr>
            <w:tcW w:w="2761" w:type="dxa"/>
          </w:tcPr>
          <w:p w14:paraId="29D7B629" w14:textId="77777777" w:rsidR="008A461A" w:rsidRPr="002339E6" w:rsidRDefault="008A461A" w:rsidP="00B31C4E">
            <w:pPr>
              <w:pStyle w:val="NormalWeb"/>
              <w:spacing w:line="360" w:lineRule="auto"/>
              <w:rPr>
                <w:rFonts w:asciiTheme="majorHAnsi" w:hAnsiTheme="majorHAnsi" w:cstheme="majorHAnsi"/>
                <w:b/>
                <w:bCs/>
                <w:color w:val="000000"/>
                <w:sz w:val="18"/>
                <w:szCs w:val="18"/>
              </w:rPr>
            </w:pPr>
            <w:r w:rsidRPr="002339E6">
              <w:rPr>
                <w:rFonts w:asciiTheme="majorHAnsi" w:hAnsiTheme="majorHAnsi" w:cstheme="majorHAnsi"/>
                <w:b/>
                <w:bCs/>
                <w:color w:val="000000"/>
                <w:sz w:val="18"/>
                <w:szCs w:val="18"/>
              </w:rPr>
              <w:t>No. of Classrooms Constructed</w:t>
            </w:r>
          </w:p>
        </w:tc>
        <w:tc>
          <w:tcPr>
            <w:tcW w:w="612" w:type="dxa"/>
          </w:tcPr>
          <w:p w14:paraId="53741CA8" w14:textId="77777777" w:rsidR="008A461A" w:rsidRPr="002339E6" w:rsidRDefault="00EC4C86" w:rsidP="00B31C4E">
            <w:pPr>
              <w:pStyle w:val="NormalWeb"/>
              <w:spacing w:line="360" w:lineRule="auto"/>
              <w:rPr>
                <w:rFonts w:asciiTheme="majorHAnsi" w:hAnsiTheme="majorHAnsi" w:cstheme="majorHAnsi"/>
                <w:color w:val="000000"/>
                <w:sz w:val="18"/>
                <w:szCs w:val="18"/>
              </w:rPr>
            </w:pPr>
            <w:r w:rsidRPr="002339E6">
              <w:rPr>
                <w:rFonts w:asciiTheme="majorHAnsi" w:hAnsiTheme="majorHAnsi" w:cstheme="majorHAnsi"/>
                <w:color w:val="000000"/>
                <w:sz w:val="18"/>
                <w:szCs w:val="18"/>
              </w:rPr>
              <w:t>182</w:t>
            </w:r>
          </w:p>
        </w:tc>
        <w:tc>
          <w:tcPr>
            <w:tcW w:w="612" w:type="dxa"/>
          </w:tcPr>
          <w:p w14:paraId="287C4A1A" w14:textId="77777777" w:rsidR="008A461A" w:rsidRPr="002339E6" w:rsidRDefault="00EC4C86" w:rsidP="00B31C4E">
            <w:pPr>
              <w:pStyle w:val="NormalWeb"/>
              <w:spacing w:line="360" w:lineRule="auto"/>
              <w:rPr>
                <w:rFonts w:asciiTheme="majorHAnsi" w:hAnsiTheme="majorHAnsi" w:cstheme="majorHAnsi"/>
                <w:color w:val="000000"/>
                <w:sz w:val="18"/>
                <w:szCs w:val="18"/>
              </w:rPr>
            </w:pPr>
            <w:r w:rsidRPr="002339E6">
              <w:rPr>
                <w:rFonts w:asciiTheme="majorHAnsi" w:hAnsiTheme="majorHAnsi" w:cstheme="majorHAnsi"/>
                <w:color w:val="000000"/>
                <w:sz w:val="18"/>
                <w:szCs w:val="18"/>
              </w:rPr>
              <w:t>96</w:t>
            </w:r>
          </w:p>
        </w:tc>
        <w:tc>
          <w:tcPr>
            <w:tcW w:w="688" w:type="dxa"/>
          </w:tcPr>
          <w:p w14:paraId="43337E98" w14:textId="77777777" w:rsidR="008A461A" w:rsidRPr="002339E6" w:rsidRDefault="00EC4C86" w:rsidP="00B31C4E">
            <w:pPr>
              <w:pStyle w:val="NormalWeb"/>
              <w:spacing w:line="360" w:lineRule="auto"/>
              <w:rPr>
                <w:rFonts w:asciiTheme="majorHAnsi" w:hAnsiTheme="majorHAnsi" w:cstheme="majorHAnsi"/>
                <w:color w:val="000000"/>
                <w:sz w:val="18"/>
                <w:szCs w:val="18"/>
              </w:rPr>
            </w:pPr>
            <w:r w:rsidRPr="002339E6">
              <w:rPr>
                <w:rFonts w:asciiTheme="majorHAnsi" w:hAnsiTheme="majorHAnsi" w:cstheme="majorHAnsi"/>
                <w:color w:val="000000"/>
                <w:sz w:val="18"/>
                <w:szCs w:val="18"/>
              </w:rPr>
              <w:t>44</w:t>
            </w:r>
          </w:p>
        </w:tc>
        <w:tc>
          <w:tcPr>
            <w:tcW w:w="709" w:type="dxa"/>
          </w:tcPr>
          <w:p w14:paraId="298C5B12" w14:textId="77777777" w:rsidR="008A461A" w:rsidRPr="002339E6" w:rsidRDefault="00EC4C86" w:rsidP="00B31C4E">
            <w:pPr>
              <w:pStyle w:val="NormalWeb"/>
              <w:spacing w:line="360" w:lineRule="auto"/>
              <w:rPr>
                <w:rFonts w:asciiTheme="majorHAnsi" w:hAnsiTheme="majorHAnsi" w:cstheme="majorHAnsi"/>
                <w:color w:val="000000"/>
                <w:sz w:val="18"/>
                <w:szCs w:val="18"/>
              </w:rPr>
            </w:pPr>
            <w:r w:rsidRPr="002339E6">
              <w:rPr>
                <w:rFonts w:asciiTheme="majorHAnsi" w:hAnsiTheme="majorHAnsi" w:cstheme="majorHAnsi"/>
                <w:color w:val="000000"/>
                <w:sz w:val="18"/>
                <w:szCs w:val="18"/>
              </w:rPr>
              <w:t>25</w:t>
            </w:r>
          </w:p>
        </w:tc>
        <w:tc>
          <w:tcPr>
            <w:tcW w:w="439" w:type="dxa"/>
          </w:tcPr>
          <w:p w14:paraId="088E90D1" w14:textId="77777777" w:rsidR="008A461A" w:rsidRPr="002339E6" w:rsidRDefault="00EC4C86" w:rsidP="00B31C4E">
            <w:pPr>
              <w:pStyle w:val="NormalWeb"/>
              <w:spacing w:line="360" w:lineRule="auto"/>
              <w:rPr>
                <w:rFonts w:asciiTheme="majorHAnsi" w:hAnsiTheme="majorHAnsi" w:cstheme="majorHAnsi"/>
                <w:color w:val="000000"/>
                <w:sz w:val="18"/>
                <w:szCs w:val="18"/>
              </w:rPr>
            </w:pPr>
            <w:r w:rsidRPr="002339E6">
              <w:rPr>
                <w:rFonts w:asciiTheme="majorHAnsi" w:hAnsiTheme="majorHAnsi" w:cstheme="majorHAnsi"/>
                <w:color w:val="000000"/>
                <w:sz w:val="18"/>
                <w:szCs w:val="18"/>
              </w:rPr>
              <w:t>60</w:t>
            </w:r>
          </w:p>
        </w:tc>
        <w:tc>
          <w:tcPr>
            <w:tcW w:w="612" w:type="dxa"/>
          </w:tcPr>
          <w:p w14:paraId="60565C25" w14:textId="77777777" w:rsidR="008A461A" w:rsidRPr="002339E6" w:rsidRDefault="00EC4C86" w:rsidP="00B31C4E">
            <w:pPr>
              <w:pStyle w:val="NormalWeb"/>
              <w:spacing w:line="360" w:lineRule="auto"/>
              <w:rPr>
                <w:rFonts w:asciiTheme="majorHAnsi" w:hAnsiTheme="majorHAnsi" w:cstheme="majorHAnsi"/>
                <w:color w:val="000000"/>
                <w:sz w:val="18"/>
                <w:szCs w:val="18"/>
              </w:rPr>
            </w:pPr>
            <w:r w:rsidRPr="002339E6">
              <w:rPr>
                <w:rFonts w:asciiTheme="majorHAnsi" w:hAnsiTheme="majorHAnsi" w:cstheme="majorHAnsi"/>
                <w:color w:val="000000"/>
                <w:sz w:val="18"/>
                <w:szCs w:val="18"/>
              </w:rPr>
              <w:t>7</w:t>
            </w:r>
          </w:p>
        </w:tc>
        <w:tc>
          <w:tcPr>
            <w:tcW w:w="612" w:type="dxa"/>
          </w:tcPr>
          <w:p w14:paraId="6C19D673" w14:textId="77777777" w:rsidR="008A461A" w:rsidRPr="002339E6" w:rsidRDefault="00EC4C86" w:rsidP="00B31C4E">
            <w:pPr>
              <w:pStyle w:val="NormalWeb"/>
              <w:spacing w:line="360" w:lineRule="auto"/>
              <w:rPr>
                <w:rFonts w:asciiTheme="majorHAnsi" w:hAnsiTheme="majorHAnsi" w:cstheme="majorHAnsi"/>
                <w:color w:val="000000"/>
                <w:sz w:val="18"/>
                <w:szCs w:val="18"/>
              </w:rPr>
            </w:pPr>
            <w:r w:rsidRPr="002339E6">
              <w:rPr>
                <w:rFonts w:asciiTheme="majorHAnsi" w:hAnsiTheme="majorHAnsi" w:cstheme="majorHAnsi"/>
                <w:color w:val="000000"/>
                <w:sz w:val="18"/>
                <w:szCs w:val="18"/>
              </w:rPr>
              <w:t>16</w:t>
            </w:r>
          </w:p>
        </w:tc>
        <w:tc>
          <w:tcPr>
            <w:tcW w:w="612" w:type="dxa"/>
          </w:tcPr>
          <w:p w14:paraId="3644DFE8" w14:textId="77777777" w:rsidR="008A461A" w:rsidRPr="002339E6" w:rsidRDefault="00EC4C86" w:rsidP="00B31C4E">
            <w:pPr>
              <w:pStyle w:val="NormalWeb"/>
              <w:spacing w:line="360" w:lineRule="auto"/>
              <w:rPr>
                <w:rFonts w:asciiTheme="majorHAnsi" w:hAnsiTheme="majorHAnsi" w:cstheme="majorHAnsi"/>
                <w:color w:val="000000"/>
                <w:sz w:val="18"/>
                <w:szCs w:val="18"/>
              </w:rPr>
            </w:pPr>
            <w:r w:rsidRPr="002339E6">
              <w:rPr>
                <w:rFonts w:asciiTheme="majorHAnsi" w:hAnsiTheme="majorHAnsi" w:cstheme="majorHAnsi"/>
                <w:color w:val="000000"/>
                <w:sz w:val="18"/>
                <w:szCs w:val="18"/>
              </w:rPr>
              <w:t>27</w:t>
            </w:r>
          </w:p>
        </w:tc>
        <w:tc>
          <w:tcPr>
            <w:tcW w:w="612" w:type="dxa"/>
          </w:tcPr>
          <w:p w14:paraId="0B4E90F0" w14:textId="77777777" w:rsidR="008A461A" w:rsidRPr="002339E6" w:rsidRDefault="00EC4C86" w:rsidP="00B31C4E">
            <w:pPr>
              <w:pStyle w:val="NormalWeb"/>
              <w:spacing w:line="360" w:lineRule="auto"/>
              <w:rPr>
                <w:rFonts w:asciiTheme="majorHAnsi" w:hAnsiTheme="majorHAnsi" w:cstheme="majorHAnsi"/>
                <w:color w:val="000000"/>
                <w:sz w:val="18"/>
                <w:szCs w:val="18"/>
              </w:rPr>
            </w:pPr>
            <w:r w:rsidRPr="002339E6">
              <w:rPr>
                <w:rFonts w:asciiTheme="majorHAnsi" w:hAnsiTheme="majorHAnsi" w:cstheme="majorHAnsi"/>
                <w:color w:val="000000"/>
                <w:sz w:val="18"/>
                <w:szCs w:val="18"/>
              </w:rPr>
              <w:t>24</w:t>
            </w:r>
          </w:p>
        </w:tc>
        <w:tc>
          <w:tcPr>
            <w:tcW w:w="612" w:type="dxa"/>
          </w:tcPr>
          <w:p w14:paraId="601B0FDE" w14:textId="77777777" w:rsidR="008A461A" w:rsidRPr="002339E6" w:rsidRDefault="00EC4C86" w:rsidP="00B31C4E">
            <w:pPr>
              <w:pStyle w:val="NormalWeb"/>
              <w:spacing w:line="360" w:lineRule="auto"/>
              <w:rPr>
                <w:rFonts w:asciiTheme="majorHAnsi" w:hAnsiTheme="majorHAnsi" w:cstheme="majorHAnsi"/>
                <w:color w:val="000000"/>
                <w:sz w:val="18"/>
                <w:szCs w:val="18"/>
              </w:rPr>
            </w:pPr>
            <w:r w:rsidRPr="002339E6">
              <w:rPr>
                <w:rFonts w:asciiTheme="majorHAnsi" w:hAnsiTheme="majorHAnsi" w:cstheme="majorHAnsi"/>
                <w:color w:val="000000"/>
                <w:sz w:val="18"/>
                <w:szCs w:val="18"/>
              </w:rPr>
              <w:t>28</w:t>
            </w:r>
          </w:p>
        </w:tc>
        <w:tc>
          <w:tcPr>
            <w:tcW w:w="612" w:type="dxa"/>
          </w:tcPr>
          <w:p w14:paraId="093C98D6" w14:textId="77777777" w:rsidR="008A461A" w:rsidRPr="002339E6" w:rsidRDefault="00EC4C86" w:rsidP="00B31C4E">
            <w:pPr>
              <w:pStyle w:val="NormalWeb"/>
              <w:spacing w:line="360" w:lineRule="auto"/>
              <w:rPr>
                <w:rFonts w:asciiTheme="majorHAnsi" w:hAnsiTheme="majorHAnsi" w:cstheme="majorHAnsi"/>
                <w:color w:val="000000"/>
                <w:sz w:val="18"/>
                <w:szCs w:val="18"/>
              </w:rPr>
            </w:pPr>
            <w:r w:rsidRPr="002339E6">
              <w:rPr>
                <w:rFonts w:asciiTheme="majorHAnsi" w:hAnsiTheme="majorHAnsi" w:cstheme="majorHAnsi"/>
                <w:color w:val="000000"/>
                <w:sz w:val="18"/>
                <w:szCs w:val="18"/>
              </w:rPr>
              <w:t>509</w:t>
            </w:r>
          </w:p>
        </w:tc>
      </w:tr>
    </w:tbl>
    <w:p w14:paraId="5F436EFC" w14:textId="696CFADB" w:rsidR="00EC4C86" w:rsidRPr="00B31C4E" w:rsidRDefault="00EC4C86" w:rsidP="00B31C4E">
      <w:pPr>
        <w:pStyle w:val="NormalWeb"/>
        <w:spacing w:line="360" w:lineRule="auto"/>
        <w:rPr>
          <w:rFonts w:asciiTheme="majorHAnsi" w:hAnsiTheme="majorHAnsi" w:cstheme="majorHAnsi"/>
          <w:color w:val="000000"/>
          <w:sz w:val="14"/>
          <w:szCs w:val="14"/>
        </w:rPr>
      </w:pPr>
      <w:r w:rsidRPr="002339E6">
        <w:rPr>
          <w:rFonts w:asciiTheme="majorHAnsi" w:hAnsiTheme="majorHAnsi" w:cstheme="majorHAnsi"/>
          <w:color w:val="000000"/>
          <w:sz w:val="14"/>
          <w:szCs w:val="14"/>
        </w:rPr>
        <w:t>Source: PBSP Tracking Document, 2019</w:t>
      </w:r>
    </w:p>
    <w:p w14:paraId="3905B2C9" w14:textId="17104D17" w:rsidR="008D0CAD" w:rsidRPr="004A657A" w:rsidRDefault="008D0CAD" w:rsidP="00B31C4E">
      <w:pPr>
        <w:pStyle w:val="Caption"/>
        <w:spacing w:before="100" w:beforeAutospacing="1" w:after="100" w:afterAutospacing="1" w:line="360" w:lineRule="auto"/>
        <w:rPr>
          <w:rFonts w:asciiTheme="majorHAnsi" w:hAnsiTheme="majorHAnsi" w:cstheme="majorHAnsi"/>
          <w:bCs/>
          <w:iCs w:val="0"/>
          <w:sz w:val="22"/>
          <w:szCs w:val="22"/>
        </w:rPr>
      </w:pPr>
      <w:bookmarkStart w:id="135" w:name="_Toc71616618"/>
      <w:r w:rsidRPr="004A657A">
        <w:rPr>
          <w:rFonts w:asciiTheme="majorHAnsi" w:hAnsiTheme="majorHAnsi" w:cstheme="majorHAnsi"/>
          <w:iCs w:val="0"/>
          <w:sz w:val="22"/>
          <w:szCs w:val="22"/>
        </w:rPr>
        <w:t xml:space="preserve">Table </w:t>
      </w:r>
      <w:r w:rsidRPr="004A657A">
        <w:rPr>
          <w:rFonts w:asciiTheme="majorHAnsi" w:hAnsiTheme="majorHAnsi" w:cstheme="majorHAnsi"/>
          <w:iCs w:val="0"/>
          <w:sz w:val="22"/>
          <w:szCs w:val="22"/>
        </w:rPr>
        <w:fldChar w:fldCharType="begin"/>
      </w:r>
      <w:r w:rsidRPr="004A657A">
        <w:rPr>
          <w:rFonts w:asciiTheme="majorHAnsi" w:hAnsiTheme="majorHAnsi" w:cstheme="majorHAnsi"/>
          <w:iCs w:val="0"/>
          <w:sz w:val="22"/>
          <w:szCs w:val="22"/>
        </w:rPr>
        <w:instrText xml:space="preserve"> SEQ Table \* ARABIC </w:instrText>
      </w:r>
      <w:r w:rsidRPr="004A657A">
        <w:rPr>
          <w:rFonts w:asciiTheme="majorHAnsi" w:hAnsiTheme="majorHAnsi" w:cstheme="majorHAnsi"/>
          <w:iCs w:val="0"/>
          <w:sz w:val="22"/>
          <w:szCs w:val="22"/>
        </w:rPr>
        <w:fldChar w:fldCharType="separate"/>
      </w:r>
      <w:r w:rsidR="00D6133D">
        <w:rPr>
          <w:rFonts w:asciiTheme="majorHAnsi" w:hAnsiTheme="majorHAnsi" w:cstheme="majorHAnsi"/>
          <w:iCs w:val="0"/>
          <w:noProof/>
          <w:sz w:val="22"/>
          <w:szCs w:val="22"/>
        </w:rPr>
        <w:t>27</w:t>
      </w:r>
      <w:r w:rsidRPr="004A657A">
        <w:rPr>
          <w:rFonts w:asciiTheme="majorHAnsi" w:hAnsiTheme="majorHAnsi" w:cstheme="majorHAnsi"/>
          <w:iCs w:val="0"/>
          <w:sz w:val="22"/>
          <w:szCs w:val="22"/>
        </w:rPr>
        <w:fldChar w:fldCharType="end"/>
      </w:r>
      <w:r w:rsidRPr="004A657A">
        <w:rPr>
          <w:rFonts w:asciiTheme="majorHAnsi" w:hAnsiTheme="majorHAnsi" w:cstheme="majorHAnsi"/>
          <w:iCs w:val="0"/>
          <w:sz w:val="22"/>
          <w:szCs w:val="22"/>
        </w:rPr>
        <w:t xml:space="preserve">. </w:t>
      </w:r>
      <w:r w:rsidRPr="004A657A">
        <w:rPr>
          <w:rFonts w:asciiTheme="majorHAnsi" w:hAnsiTheme="majorHAnsi" w:cstheme="majorHAnsi"/>
          <w:bCs/>
          <w:iCs w:val="0"/>
          <w:sz w:val="22"/>
          <w:szCs w:val="22"/>
        </w:rPr>
        <w:t>Distributions of Beneficiaries of Classrooms Construction by Region</w:t>
      </w:r>
      <w:bookmarkEnd w:id="135"/>
    </w:p>
    <w:tbl>
      <w:tblPr>
        <w:tblStyle w:val="TableGrid"/>
        <w:tblW w:w="9010" w:type="dxa"/>
        <w:tblLook w:val="04A0" w:firstRow="1" w:lastRow="0" w:firstColumn="1" w:lastColumn="0" w:noHBand="0" w:noVBand="1"/>
      </w:tblPr>
      <w:tblGrid>
        <w:gridCol w:w="1220"/>
        <w:gridCol w:w="982"/>
        <w:gridCol w:w="982"/>
        <w:gridCol w:w="982"/>
        <w:gridCol w:w="1238"/>
        <w:gridCol w:w="1238"/>
        <w:gridCol w:w="1238"/>
        <w:gridCol w:w="1130"/>
      </w:tblGrid>
      <w:tr w:rsidR="00943324" w:rsidRPr="00111679" w14:paraId="161E79E5" w14:textId="77777777" w:rsidTr="00F4751F">
        <w:trPr>
          <w:trHeight w:val="257"/>
          <w:tblHeader/>
        </w:trPr>
        <w:tc>
          <w:tcPr>
            <w:tcW w:w="1226" w:type="dxa"/>
            <w:noWrap/>
          </w:tcPr>
          <w:p w14:paraId="72309A05" w14:textId="77777777" w:rsidR="00943324" w:rsidRPr="00111679" w:rsidRDefault="00943324" w:rsidP="00943324">
            <w:pPr>
              <w:spacing w:before="100" w:beforeAutospacing="1" w:after="100" w:afterAutospacing="1" w:line="360" w:lineRule="auto"/>
              <w:rPr>
                <w:rFonts w:asciiTheme="majorHAnsi" w:hAnsiTheme="majorHAnsi" w:cstheme="majorHAnsi"/>
                <w:b/>
                <w:bCs/>
                <w:color w:val="000000"/>
                <w:sz w:val="20"/>
                <w:szCs w:val="20"/>
              </w:rPr>
            </w:pPr>
          </w:p>
        </w:tc>
        <w:tc>
          <w:tcPr>
            <w:tcW w:w="987" w:type="dxa"/>
            <w:noWrap/>
          </w:tcPr>
          <w:p w14:paraId="4D91A68E" w14:textId="195F74E7" w:rsidR="00943324" w:rsidRPr="00111679" w:rsidRDefault="00943324" w:rsidP="00943324">
            <w:pPr>
              <w:spacing w:before="100" w:beforeAutospacing="1" w:after="100" w:afterAutospacing="1" w:line="360" w:lineRule="auto"/>
              <w:rPr>
                <w:rFonts w:asciiTheme="majorHAnsi" w:hAnsiTheme="majorHAnsi" w:cstheme="majorHAnsi"/>
                <w:b/>
                <w:bCs/>
                <w:color w:val="000000"/>
                <w:sz w:val="20"/>
                <w:szCs w:val="20"/>
              </w:rPr>
            </w:pPr>
            <w:r w:rsidRPr="00111679">
              <w:rPr>
                <w:rFonts w:asciiTheme="majorHAnsi" w:hAnsiTheme="majorHAnsi" w:cstheme="majorHAnsi"/>
                <w:b/>
                <w:bCs/>
                <w:color w:val="000000"/>
                <w:sz w:val="20"/>
                <w:szCs w:val="20"/>
              </w:rPr>
              <w:t>Baseline (SY 2012-13)</w:t>
            </w:r>
          </w:p>
        </w:tc>
        <w:tc>
          <w:tcPr>
            <w:tcW w:w="986" w:type="dxa"/>
            <w:noWrap/>
          </w:tcPr>
          <w:p w14:paraId="67AF6F6C" w14:textId="0B3BBF37" w:rsidR="00943324" w:rsidRPr="00111679" w:rsidRDefault="00943324" w:rsidP="00943324">
            <w:pPr>
              <w:spacing w:before="100" w:beforeAutospacing="1" w:after="100" w:afterAutospacing="1" w:line="360" w:lineRule="auto"/>
              <w:rPr>
                <w:rFonts w:asciiTheme="majorHAnsi" w:hAnsiTheme="majorHAnsi" w:cstheme="majorHAnsi"/>
                <w:b/>
                <w:bCs/>
                <w:color w:val="000000"/>
                <w:sz w:val="20"/>
                <w:szCs w:val="20"/>
              </w:rPr>
            </w:pPr>
            <w:r w:rsidRPr="00111679">
              <w:rPr>
                <w:rFonts w:asciiTheme="majorHAnsi" w:hAnsiTheme="majorHAnsi" w:cstheme="majorHAnsi"/>
                <w:b/>
                <w:bCs/>
                <w:color w:val="000000"/>
                <w:sz w:val="20"/>
                <w:szCs w:val="20"/>
              </w:rPr>
              <w:t>Baseline (SY 2012-13)</w:t>
            </w:r>
          </w:p>
        </w:tc>
        <w:tc>
          <w:tcPr>
            <w:tcW w:w="986" w:type="dxa"/>
            <w:noWrap/>
          </w:tcPr>
          <w:p w14:paraId="50527A45" w14:textId="0E235FA0" w:rsidR="00943324" w:rsidRPr="00111679" w:rsidRDefault="00943324" w:rsidP="00943324">
            <w:pPr>
              <w:spacing w:before="100" w:beforeAutospacing="1" w:after="100" w:afterAutospacing="1" w:line="360" w:lineRule="auto"/>
              <w:rPr>
                <w:rFonts w:asciiTheme="majorHAnsi" w:hAnsiTheme="majorHAnsi" w:cstheme="majorHAnsi"/>
                <w:b/>
                <w:bCs/>
                <w:color w:val="000000"/>
                <w:sz w:val="20"/>
                <w:szCs w:val="20"/>
              </w:rPr>
            </w:pPr>
            <w:r w:rsidRPr="00111679">
              <w:rPr>
                <w:rFonts w:asciiTheme="majorHAnsi" w:hAnsiTheme="majorHAnsi" w:cstheme="majorHAnsi"/>
                <w:b/>
                <w:bCs/>
                <w:color w:val="000000"/>
                <w:sz w:val="20"/>
                <w:szCs w:val="20"/>
              </w:rPr>
              <w:t>Baseline (SY 2012-13)</w:t>
            </w:r>
          </w:p>
        </w:tc>
        <w:tc>
          <w:tcPr>
            <w:tcW w:w="1230" w:type="dxa"/>
            <w:noWrap/>
          </w:tcPr>
          <w:p w14:paraId="07298276" w14:textId="5A781DF4" w:rsidR="00943324" w:rsidRPr="00111679" w:rsidRDefault="00943324" w:rsidP="00943324">
            <w:pPr>
              <w:spacing w:before="100" w:beforeAutospacing="1" w:after="100" w:afterAutospacing="1" w:line="360" w:lineRule="auto"/>
              <w:rPr>
                <w:rFonts w:asciiTheme="majorHAnsi" w:hAnsiTheme="majorHAnsi" w:cstheme="majorHAnsi"/>
                <w:b/>
                <w:bCs/>
                <w:color w:val="000000"/>
                <w:sz w:val="20"/>
                <w:szCs w:val="20"/>
              </w:rPr>
            </w:pPr>
            <w:r w:rsidRPr="00111679">
              <w:rPr>
                <w:rFonts w:asciiTheme="majorHAnsi" w:hAnsiTheme="majorHAnsi" w:cstheme="majorHAnsi"/>
                <w:b/>
                <w:bCs/>
                <w:color w:val="000000"/>
                <w:sz w:val="20"/>
                <w:szCs w:val="20"/>
              </w:rPr>
              <w:t>Beneficiaries (SY 2016-17)</w:t>
            </w:r>
          </w:p>
        </w:tc>
        <w:tc>
          <w:tcPr>
            <w:tcW w:w="1230" w:type="dxa"/>
            <w:noWrap/>
          </w:tcPr>
          <w:p w14:paraId="5E7E90BA" w14:textId="3AB2F83F" w:rsidR="00943324" w:rsidRPr="00111679" w:rsidRDefault="00943324" w:rsidP="00943324">
            <w:pPr>
              <w:spacing w:before="100" w:beforeAutospacing="1" w:after="100" w:afterAutospacing="1" w:line="360" w:lineRule="auto"/>
              <w:rPr>
                <w:rFonts w:asciiTheme="majorHAnsi" w:hAnsiTheme="majorHAnsi" w:cstheme="majorHAnsi"/>
                <w:b/>
                <w:bCs/>
                <w:color w:val="000000"/>
                <w:sz w:val="20"/>
                <w:szCs w:val="20"/>
              </w:rPr>
            </w:pPr>
            <w:r w:rsidRPr="00111679">
              <w:rPr>
                <w:rFonts w:asciiTheme="majorHAnsi" w:hAnsiTheme="majorHAnsi" w:cstheme="majorHAnsi"/>
                <w:b/>
                <w:bCs/>
                <w:color w:val="000000"/>
                <w:sz w:val="20"/>
                <w:szCs w:val="20"/>
              </w:rPr>
              <w:t>Beneficiaries (SY 2016-17)</w:t>
            </w:r>
          </w:p>
        </w:tc>
        <w:tc>
          <w:tcPr>
            <w:tcW w:w="1230" w:type="dxa"/>
            <w:noWrap/>
          </w:tcPr>
          <w:p w14:paraId="388321B0" w14:textId="7EEA6EF0" w:rsidR="00943324" w:rsidRPr="00111679" w:rsidRDefault="00943324" w:rsidP="00943324">
            <w:pPr>
              <w:spacing w:before="100" w:beforeAutospacing="1" w:after="100" w:afterAutospacing="1" w:line="360" w:lineRule="auto"/>
              <w:rPr>
                <w:rFonts w:asciiTheme="majorHAnsi" w:hAnsiTheme="majorHAnsi" w:cstheme="majorHAnsi"/>
                <w:b/>
                <w:bCs/>
                <w:color w:val="000000"/>
                <w:sz w:val="20"/>
                <w:szCs w:val="20"/>
              </w:rPr>
            </w:pPr>
            <w:r w:rsidRPr="00111679">
              <w:rPr>
                <w:rFonts w:asciiTheme="majorHAnsi" w:hAnsiTheme="majorHAnsi" w:cstheme="majorHAnsi"/>
                <w:b/>
                <w:bCs/>
                <w:color w:val="000000"/>
                <w:sz w:val="20"/>
                <w:szCs w:val="20"/>
              </w:rPr>
              <w:t>Beneficiaries (SY 2016-17)</w:t>
            </w:r>
          </w:p>
        </w:tc>
        <w:tc>
          <w:tcPr>
            <w:tcW w:w="1135" w:type="dxa"/>
            <w:noWrap/>
          </w:tcPr>
          <w:p w14:paraId="19B028EB" w14:textId="77777777" w:rsidR="00943324" w:rsidRPr="00111679" w:rsidRDefault="00943324" w:rsidP="00943324">
            <w:pPr>
              <w:spacing w:before="100" w:beforeAutospacing="1" w:after="100" w:afterAutospacing="1" w:line="360" w:lineRule="auto"/>
              <w:rPr>
                <w:rFonts w:asciiTheme="majorHAnsi" w:hAnsiTheme="majorHAnsi" w:cstheme="majorHAnsi"/>
                <w:b/>
                <w:bCs/>
                <w:color w:val="000000"/>
                <w:sz w:val="20"/>
                <w:szCs w:val="20"/>
              </w:rPr>
            </w:pPr>
          </w:p>
        </w:tc>
      </w:tr>
      <w:tr w:rsidR="00943324" w:rsidRPr="00111679" w14:paraId="50377BAC" w14:textId="77777777" w:rsidTr="00F4751F">
        <w:trPr>
          <w:trHeight w:val="257"/>
          <w:tblHeader/>
        </w:trPr>
        <w:tc>
          <w:tcPr>
            <w:tcW w:w="1226" w:type="dxa"/>
            <w:noWrap/>
          </w:tcPr>
          <w:p w14:paraId="4328DA74" w14:textId="625BEAE6" w:rsidR="00943324" w:rsidRPr="00111679" w:rsidRDefault="00943324" w:rsidP="00943324">
            <w:pPr>
              <w:spacing w:before="100" w:beforeAutospacing="1" w:after="100" w:afterAutospacing="1" w:line="360" w:lineRule="auto"/>
              <w:rPr>
                <w:rFonts w:asciiTheme="majorHAnsi" w:hAnsiTheme="majorHAnsi" w:cstheme="majorHAnsi"/>
                <w:color w:val="000000"/>
                <w:sz w:val="20"/>
                <w:szCs w:val="20"/>
              </w:rPr>
            </w:pPr>
            <w:r w:rsidRPr="00111679">
              <w:rPr>
                <w:rFonts w:asciiTheme="majorHAnsi" w:hAnsiTheme="majorHAnsi" w:cstheme="majorHAnsi"/>
                <w:b/>
                <w:bCs/>
                <w:color w:val="000000"/>
                <w:sz w:val="20"/>
                <w:szCs w:val="20"/>
              </w:rPr>
              <w:t>Regions</w:t>
            </w:r>
          </w:p>
        </w:tc>
        <w:tc>
          <w:tcPr>
            <w:tcW w:w="987" w:type="dxa"/>
            <w:noWrap/>
          </w:tcPr>
          <w:p w14:paraId="11517387" w14:textId="7C20F1D2" w:rsidR="00943324" w:rsidRPr="00111679" w:rsidRDefault="00943324" w:rsidP="00943324">
            <w:pPr>
              <w:spacing w:before="100" w:beforeAutospacing="1" w:after="100" w:afterAutospacing="1" w:line="360" w:lineRule="auto"/>
              <w:rPr>
                <w:rFonts w:asciiTheme="majorHAnsi" w:hAnsiTheme="majorHAnsi" w:cstheme="majorHAnsi"/>
                <w:color w:val="000000"/>
                <w:sz w:val="20"/>
                <w:szCs w:val="20"/>
              </w:rPr>
            </w:pPr>
            <w:r w:rsidRPr="00111679">
              <w:rPr>
                <w:rFonts w:asciiTheme="majorHAnsi" w:hAnsiTheme="majorHAnsi" w:cstheme="majorHAnsi"/>
                <w:b/>
                <w:bCs/>
                <w:color w:val="000000"/>
                <w:sz w:val="20"/>
                <w:szCs w:val="20"/>
              </w:rPr>
              <w:t>Male</w:t>
            </w:r>
          </w:p>
        </w:tc>
        <w:tc>
          <w:tcPr>
            <w:tcW w:w="986" w:type="dxa"/>
            <w:noWrap/>
          </w:tcPr>
          <w:p w14:paraId="7CC9BE48" w14:textId="16EA05CB" w:rsidR="00943324" w:rsidRPr="00111679" w:rsidRDefault="00943324" w:rsidP="00943324">
            <w:pPr>
              <w:spacing w:before="100" w:beforeAutospacing="1" w:after="100" w:afterAutospacing="1" w:line="360" w:lineRule="auto"/>
              <w:rPr>
                <w:rFonts w:asciiTheme="majorHAnsi" w:hAnsiTheme="majorHAnsi" w:cstheme="majorHAnsi"/>
                <w:color w:val="000000"/>
                <w:sz w:val="20"/>
                <w:szCs w:val="20"/>
              </w:rPr>
            </w:pPr>
            <w:r w:rsidRPr="00111679">
              <w:rPr>
                <w:rFonts w:asciiTheme="majorHAnsi" w:hAnsiTheme="majorHAnsi" w:cstheme="majorHAnsi"/>
                <w:b/>
                <w:bCs/>
                <w:color w:val="000000"/>
                <w:sz w:val="20"/>
                <w:szCs w:val="20"/>
              </w:rPr>
              <w:t>Female</w:t>
            </w:r>
          </w:p>
        </w:tc>
        <w:tc>
          <w:tcPr>
            <w:tcW w:w="986" w:type="dxa"/>
            <w:noWrap/>
          </w:tcPr>
          <w:p w14:paraId="6295D1DB" w14:textId="2AED0401" w:rsidR="00943324" w:rsidRPr="00111679" w:rsidRDefault="00943324" w:rsidP="00943324">
            <w:pPr>
              <w:spacing w:before="100" w:beforeAutospacing="1" w:after="100" w:afterAutospacing="1" w:line="360" w:lineRule="auto"/>
              <w:rPr>
                <w:rFonts w:asciiTheme="majorHAnsi" w:hAnsiTheme="majorHAnsi" w:cstheme="majorHAnsi"/>
                <w:color w:val="000000"/>
                <w:sz w:val="20"/>
                <w:szCs w:val="20"/>
              </w:rPr>
            </w:pPr>
            <w:r w:rsidRPr="00111679">
              <w:rPr>
                <w:rFonts w:asciiTheme="majorHAnsi" w:hAnsiTheme="majorHAnsi" w:cstheme="majorHAnsi"/>
                <w:b/>
                <w:bCs/>
                <w:color w:val="000000"/>
                <w:sz w:val="20"/>
                <w:szCs w:val="20"/>
              </w:rPr>
              <w:t>Total</w:t>
            </w:r>
          </w:p>
        </w:tc>
        <w:tc>
          <w:tcPr>
            <w:tcW w:w="1230" w:type="dxa"/>
            <w:noWrap/>
          </w:tcPr>
          <w:p w14:paraId="28A0A895" w14:textId="61BF6A3C" w:rsidR="00943324" w:rsidRPr="00111679" w:rsidRDefault="00943324" w:rsidP="00943324">
            <w:pPr>
              <w:spacing w:before="100" w:beforeAutospacing="1" w:after="100" w:afterAutospacing="1" w:line="360" w:lineRule="auto"/>
              <w:rPr>
                <w:rFonts w:asciiTheme="majorHAnsi" w:hAnsiTheme="majorHAnsi" w:cstheme="majorHAnsi"/>
                <w:color w:val="000000"/>
                <w:sz w:val="20"/>
                <w:szCs w:val="20"/>
              </w:rPr>
            </w:pPr>
            <w:r w:rsidRPr="00111679">
              <w:rPr>
                <w:rFonts w:asciiTheme="majorHAnsi" w:hAnsiTheme="majorHAnsi" w:cstheme="majorHAnsi"/>
                <w:b/>
                <w:bCs/>
                <w:color w:val="000000"/>
                <w:sz w:val="20"/>
                <w:szCs w:val="20"/>
              </w:rPr>
              <w:t>Male</w:t>
            </w:r>
          </w:p>
        </w:tc>
        <w:tc>
          <w:tcPr>
            <w:tcW w:w="1230" w:type="dxa"/>
            <w:noWrap/>
          </w:tcPr>
          <w:p w14:paraId="367036CB" w14:textId="075B71C4" w:rsidR="00943324" w:rsidRPr="00111679" w:rsidRDefault="00943324" w:rsidP="00943324">
            <w:pPr>
              <w:spacing w:before="100" w:beforeAutospacing="1" w:after="100" w:afterAutospacing="1" w:line="360" w:lineRule="auto"/>
              <w:rPr>
                <w:rFonts w:asciiTheme="majorHAnsi" w:hAnsiTheme="majorHAnsi" w:cstheme="majorHAnsi"/>
                <w:color w:val="000000"/>
                <w:sz w:val="20"/>
                <w:szCs w:val="20"/>
              </w:rPr>
            </w:pPr>
            <w:r w:rsidRPr="00111679">
              <w:rPr>
                <w:rFonts w:asciiTheme="majorHAnsi" w:hAnsiTheme="majorHAnsi" w:cstheme="majorHAnsi"/>
                <w:b/>
                <w:bCs/>
                <w:color w:val="000000"/>
                <w:sz w:val="20"/>
                <w:szCs w:val="20"/>
              </w:rPr>
              <w:t>Female</w:t>
            </w:r>
          </w:p>
        </w:tc>
        <w:tc>
          <w:tcPr>
            <w:tcW w:w="1230" w:type="dxa"/>
            <w:noWrap/>
          </w:tcPr>
          <w:p w14:paraId="09F2DB59" w14:textId="5A282A3E" w:rsidR="00943324" w:rsidRPr="00111679" w:rsidRDefault="00943324" w:rsidP="00943324">
            <w:pPr>
              <w:spacing w:before="100" w:beforeAutospacing="1" w:after="100" w:afterAutospacing="1" w:line="360" w:lineRule="auto"/>
              <w:rPr>
                <w:rFonts w:asciiTheme="majorHAnsi" w:hAnsiTheme="majorHAnsi" w:cstheme="majorHAnsi"/>
                <w:color w:val="000000"/>
                <w:sz w:val="20"/>
                <w:szCs w:val="20"/>
              </w:rPr>
            </w:pPr>
            <w:r w:rsidRPr="00111679">
              <w:rPr>
                <w:rFonts w:asciiTheme="majorHAnsi" w:hAnsiTheme="majorHAnsi" w:cstheme="majorHAnsi"/>
                <w:b/>
                <w:bCs/>
                <w:color w:val="000000"/>
                <w:sz w:val="20"/>
                <w:szCs w:val="20"/>
              </w:rPr>
              <w:t>Total</w:t>
            </w:r>
          </w:p>
        </w:tc>
        <w:tc>
          <w:tcPr>
            <w:tcW w:w="1135" w:type="dxa"/>
            <w:noWrap/>
          </w:tcPr>
          <w:p w14:paraId="44D59164" w14:textId="04533514" w:rsidR="00943324" w:rsidRPr="00111679" w:rsidRDefault="00943324" w:rsidP="00943324">
            <w:pPr>
              <w:spacing w:before="100" w:beforeAutospacing="1" w:after="100" w:afterAutospacing="1" w:line="360" w:lineRule="auto"/>
              <w:rPr>
                <w:rFonts w:asciiTheme="majorHAnsi" w:hAnsiTheme="majorHAnsi" w:cstheme="majorHAnsi"/>
                <w:color w:val="000000"/>
                <w:sz w:val="20"/>
                <w:szCs w:val="20"/>
              </w:rPr>
            </w:pPr>
            <w:r w:rsidRPr="00111679">
              <w:rPr>
                <w:rFonts w:asciiTheme="majorHAnsi" w:hAnsiTheme="majorHAnsi" w:cstheme="majorHAnsi"/>
                <w:b/>
                <w:bCs/>
                <w:color w:val="000000"/>
                <w:sz w:val="20"/>
                <w:szCs w:val="20"/>
              </w:rPr>
              <w:t>Increase/</w:t>
            </w:r>
            <w:r>
              <w:rPr>
                <w:rFonts w:asciiTheme="majorHAnsi" w:hAnsiTheme="majorHAnsi" w:cstheme="majorHAnsi"/>
                <w:b/>
                <w:bCs/>
                <w:color w:val="000000"/>
                <w:sz w:val="20"/>
                <w:szCs w:val="20"/>
              </w:rPr>
              <w:t xml:space="preserve"> </w:t>
            </w:r>
            <w:r w:rsidRPr="00111679">
              <w:rPr>
                <w:rFonts w:asciiTheme="majorHAnsi" w:hAnsiTheme="majorHAnsi" w:cstheme="majorHAnsi"/>
                <w:b/>
                <w:bCs/>
                <w:color w:val="000000"/>
                <w:sz w:val="20"/>
                <w:szCs w:val="20"/>
              </w:rPr>
              <w:t>Decrease in Students</w:t>
            </w:r>
          </w:p>
        </w:tc>
      </w:tr>
      <w:tr w:rsidR="008D0CAD" w:rsidRPr="00111679" w14:paraId="4CFB497B" w14:textId="77777777" w:rsidTr="00943324">
        <w:trPr>
          <w:trHeight w:val="257"/>
        </w:trPr>
        <w:tc>
          <w:tcPr>
            <w:tcW w:w="1226" w:type="dxa"/>
            <w:noWrap/>
            <w:hideMark/>
          </w:tcPr>
          <w:p w14:paraId="284A9640" w14:textId="77777777" w:rsidR="008D0CAD" w:rsidRPr="00111679" w:rsidRDefault="008D0CAD" w:rsidP="00B31C4E">
            <w:pPr>
              <w:spacing w:before="100" w:beforeAutospacing="1" w:after="100" w:afterAutospacing="1" w:line="360" w:lineRule="auto"/>
              <w:rPr>
                <w:rFonts w:asciiTheme="majorHAnsi" w:hAnsiTheme="majorHAnsi" w:cstheme="majorHAnsi"/>
                <w:color w:val="000000"/>
                <w:sz w:val="20"/>
                <w:szCs w:val="20"/>
              </w:rPr>
            </w:pPr>
            <w:r w:rsidRPr="00111679">
              <w:rPr>
                <w:rFonts w:asciiTheme="majorHAnsi" w:hAnsiTheme="majorHAnsi" w:cstheme="majorHAnsi"/>
                <w:color w:val="000000"/>
                <w:sz w:val="20"/>
                <w:szCs w:val="20"/>
              </w:rPr>
              <w:t>NCR</w:t>
            </w:r>
          </w:p>
        </w:tc>
        <w:tc>
          <w:tcPr>
            <w:tcW w:w="987" w:type="dxa"/>
            <w:noWrap/>
            <w:hideMark/>
          </w:tcPr>
          <w:p w14:paraId="5072D576" w14:textId="77777777" w:rsidR="008D0CAD" w:rsidRPr="00111679" w:rsidRDefault="008D0CAD" w:rsidP="00B31C4E">
            <w:pPr>
              <w:spacing w:before="100" w:beforeAutospacing="1" w:after="100" w:afterAutospacing="1" w:line="360" w:lineRule="auto"/>
              <w:rPr>
                <w:rFonts w:asciiTheme="majorHAnsi" w:hAnsiTheme="majorHAnsi" w:cstheme="majorHAnsi"/>
                <w:color w:val="000000"/>
                <w:sz w:val="20"/>
                <w:szCs w:val="20"/>
              </w:rPr>
            </w:pPr>
            <w:r w:rsidRPr="00111679">
              <w:rPr>
                <w:rFonts w:asciiTheme="majorHAnsi" w:hAnsiTheme="majorHAnsi" w:cstheme="majorHAnsi"/>
                <w:color w:val="000000"/>
                <w:sz w:val="20"/>
                <w:szCs w:val="20"/>
              </w:rPr>
              <w:t>992</w:t>
            </w:r>
          </w:p>
        </w:tc>
        <w:tc>
          <w:tcPr>
            <w:tcW w:w="986" w:type="dxa"/>
            <w:noWrap/>
            <w:hideMark/>
          </w:tcPr>
          <w:p w14:paraId="60740341" w14:textId="77777777" w:rsidR="008D0CAD" w:rsidRPr="00111679" w:rsidRDefault="008D0CAD" w:rsidP="00B31C4E">
            <w:pPr>
              <w:spacing w:before="100" w:beforeAutospacing="1" w:after="100" w:afterAutospacing="1" w:line="360" w:lineRule="auto"/>
              <w:rPr>
                <w:rFonts w:asciiTheme="majorHAnsi" w:hAnsiTheme="majorHAnsi" w:cstheme="majorHAnsi"/>
                <w:color w:val="000000"/>
                <w:sz w:val="20"/>
                <w:szCs w:val="20"/>
              </w:rPr>
            </w:pPr>
            <w:r w:rsidRPr="00111679">
              <w:rPr>
                <w:rFonts w:asciiTheme="majorHAnsi" w:hAnsiTheme="majorHAnsi" w:cstheme="majorHAnsi"/>
                <w:color w:val="000000"/>
                <w:sz w:val="20"/>
                <w:szCs w:val="20"/>
              </w:rPr>
              <w:t>899</w:t>
            </w:r>
          </w:p>
        </w:tc>
        <w:tc>
          <w:tcPr>
            <w:tcW w:w="986" w:type="dxa"/>
            <w:noWrap/>
            <w:hideMark/>
          </w:tcPr>
          <w:p w14:paraId="5DADCA53" w14:textId="77777777" w:rsidR="008D0CAD" w:rsidRPr="00111679" w:rsidRDefault="008D0CAD" w:rsidP="00B31C4E">
            <w:pPr>
              <w:spacing w:before="100" w:beforeAutospacing="1" w:after="100" w:afterAutospacing="1" w:line="360" w:lineRule="auto"/>
              <w:rPr>
                <w:rFonts w:asciiTheme="majorHAnsi" w:hAnsiTheme="majorHAnsi" w:cstheme="majorHAnsi"/>
                <w:color w:val="000000"/>
                <w:sz w:val="20"/>
                <w:szCs w:val="20"/>
              </w:rPr>
            </w:pPr>
            <w:r w:rsidRPr="00111679">
              <w:rPr>
                <w:rFonts w:asciiTheme="majorHAnsi" w:hAnsiTheme="majorHAnsi" w:cstheme="majorHAnsi"/>
                <w:color w:val="000000"/>
                <w:sz w:val="20"/>
                <w:szCs w:val="20"/>
              </w:rPr>
              <w:t>1891</w:t>
            </w:r>
          </w:p>
        </w:tc>
        <w:tc>
          <w:tcPr>
            <w:tcW w:w="1230" w:type="dxa"/>
            <w:noWrap/>
            <w:hideMark/>
          </w:tcPr>
          <w:p w14:paraId="6F37B9B3" w14:textId="77777777" w:rsidR="008D0CAD" w:rsidRPr="00111679" w:rsidRDefault="008D0CAD" w:rsidP="00B31C4E">
            <w:pPr>
              <w:spacing w:before="100" w:beforeAutospacing="1" w:after="100" w:afterAutospacing="1" w:line="360" w:lineRule="auto"/>
              <w:rPr>
                <w:rFonts w:asciiTheme="majorHAnsi" w:hAnsiTheme="majorHAnsi" w:cstheme="majorHAnsi"/>
                <w:color w:val="000000"/>
                <w:sz w:val="20"/>
                <w:szCs w:val="20"/>
              </w:rPr>
            </w:pPr>
            <w:r w:rsidRPr="00111679">
              <w:rPr>
                <w:rFonts w:asciiTheme="majorHAnsi" w:hAnsiTheme="majorHAnsi" w:cstheme="majorHAnsi"/>
                <w:color w:val="000000"/>
                <w:sz w:val="20"/>
                <w:szCs w:val="20"/>
              </w:rPr>
              <w:t>1,196</w:t>
            </w:r>
          </w:p>
        </w:tc>
        <w:tc>
          <w:tcPr>
            <w:tcW w:w="1230" w:type="dxa"/>
            <w:noWrap/>
            <w:hideMark/>
          </w:tcPr>
          <w:p w14:paraId="47DC0947" w14:textId="77777777" w:rsidR="008D0CAD" w:rsidRPr="00111679" w:rsidRDefault="008D0CAD" w:rsidP="00B31C4E">
            <w:pPr>
              <w:spacing w:before="100" w:beforeAutospacing="1" w:after="100" w:afterAutospacing="1" w:line="360" w:lineRule="auto"/>
              <w:rPr>
                <w:rFonts w:asciiTheme="majorHAnsi" w:hAnsiTheme="majorHAnsi" w:cstheme="majorHAnsi"/>
                <w:color w:val="000000"/>
                <w:sz w:val="20"/>
                <w:szCs w:val="20"/>
              </w:rPr>
            </w:pPr>
            <w:r w:rsidRPr="00111679">
              <w:rPr>
                <w:rFonts w:asciiTheme="majorHAnsi" w:hAnsiTheme="majorHAnsi" w:cstheme="majorHAnsi"/>
                <w:color w:val="000000"/>
                <w:sz w:val="20"/>
                <w:szCs w:val="20"/>
              </w:rPr>
              <w:t>1,074</w:t>
            </w:r>
          </w:p>
        </w:tc>
        <w:tc>
          <w:tcPr>
            <w:tcW w:w="1230" w:type="dxa"/>
            <w:noWrap/>
            <w:hideMark/>
          </w:tcPr>
          <w:p w14:paraId="5F5CCF5E" w14:textId="77777777" w:rsidR="008D0CAD" w:rsidRPr="00111679" w:rsidRDefault="008D0CAD" w:rsidP="00B31C4E">
            <w:pPr>
              <w:spacing w:before="100" w:beforeAutospacing="1" w:after="100" w:afterAutospacing="1" w:line="360" w:lineRule="auto"/>
              <w:rPr>
                <w:rFonts w:asciiTheme="majorHAnsi" w:hAnsiTheme="majorHAnsi" w:cstheme="majorHAnsi"/>
                <w:color w:val="000000"/>
                <w:sz w:val="20"/>
                <w:szCs w:val="20"/>
              </w:rPr>
            </w:pPr>
            <w:r w:rsidRPr="00111679">
              <w:rPr>
                <w:rFonts w:asciiTheme="majorHAnsi" w:hAnsiTheme="majorHAnsi" w:cstheme="majorHAnsi"/>
                <w:color w:val="000000"/>
                <w:sz w:val="20"/>
                <w:szCs w:val="20"/>
              </w:rPr>
              <w:t>2270</w:t>
            </w:r>
          </w:p>
        </w:tc>
        <w:tc>
          <w:tcPr>
            <w:tcW w:w="1135" w:type="dxa"/>
            <w:noWrap/>
            <w:hideMark/>
          </w:tcPr>
          <w:p w14:paraId="068C3C8B" w14:textId="77777777" w:rsidR="008D0CAD" w:rsidRPr="00111679" w:rsidRDefault="008D0CAD" w:rsidP="00B31C4E">
            <w:pPr>
              <w:spacing w:before="100" w:beforeAutospacing="1" w:after="100" w:afterAutospacing="1" w:line="360" w:lineRule="auto"/>
              <w:rPr>
                <w:rFonts w:asciiTheme="majorHAnsi" w:hAnsiTheme="majorHAnsi" w:cstheme="majorHAnsi"/>
                <w:color w:val="000000"/>
                <w:sz w:val="20"/>
                <w:szCs w:val="20"/>
              </w:rPr>
            </w:pPr>
            <w:r w:rsidRPr="00111679">
              <w:rPr>
                <w:rFonts w:asciiTheme="majorHAnsi" w:hAnsiTheme="majorHAnsi" w:cstheme="majorHAnsi"/>
                <w:color w:val="000000"/>
                <w:sz w:val="20"/>
                <w:szCs w:val="20"/>
              </w:rPr>
              <w:t>379</w:t>
            </w:r>
          </w:p>
        </w:tc>
      </w:tr>
      <w:tr w:rsidR="008D0CAD" w:rsidRPr="00111679" w14:paraId="69F15AB3" w14:textId="77777777" w:rsidTr="00943324">
        <w:trPr>
          <w:trHeight w:val="257"/>
        </w:trPr>
        <w:tc>
          <w:tcPr>
            <w:tcW w:w="1226" w:type="dxa"/>
            <w:noWrap/>
            <w:hideMark/>
          </w:tcPr>
          <w:p w14:paraId="5F3EDB3C" w14:textId="77777777" w:rsidR="008D0CAD" w:rsidRPr="00111679" w:rsidRDefault="008D0CAD" w:rsidP="00B31C4E">
            <w:pPr>
              <w:spacing w:before="100" w:beforeAutospacing="1" w:after="100" w:afterAutospacing="1" w:line="360" w:lineRule="auto"/>
              <w:rPr>
                <w:rFonts w:asciiTheme="majorHAnsi" w:hAnsiTheme="majorHAnsi" w:cstheme="majorHAnsi"/>
                <w:color w:val="000000"/>
                <w:sz w:val="20"/>
                <w:szCs w:val="20"/>
              </w:rPr>
            </w:pPr>
            <w:r w:rsidRPr="00111679">
              <w:rPr>
                <w:rFonts w:asciiTheme="majorHAnsi" w:hAnsiTheme="majorHAnsi" w:cstheme="majorHAnsi"/>
                <w:color w:val="000000"/>
                <w:sz w:val="20"/>
                <w:szCs w:val="20"/>
              </w:rPr>
              <w:t>Region 5*</w:t>
            </w:r>
          </w:p>
        </w:tc>
        <w:tc>
          <w:tcPr>
            <w:tcW w:w="987" w:type="dxa"/>
            <w:noWrap/>
            <w:hideMark/>
          </w:tcPr>
          <w:p w14:paraId="096D67B0" w14:textId="77777777" w:rsidR="008D0CAD" w:rsidRPr="00111679" w:rsidRDefault="008D0CAD" w:rsidP="00B31C4E">
            <w:pPr>
              <w:spacing w:before="100" w:beforeAutospacing="1" w:after="100" w:afterAutospacing="1" w:line="360" w:lineRule="auto"/>
              <w:rPr>
                <w:rFonts w:asciiTheme="majorHAnsi" w:hAnsiTheme="majorHAnsi" w:cstheme="majorHAnsi"/>
                <w:color w:val="000000"/>
                <w:sz w:val="20"/>
                <w:szCs w:val="20"/>
              </w:rPr>
            </w:pPr>
            <w:r w:rsidRPr="00111679">
              <w:rPr>
                <w:rFonts w:asciiTheme="majorHAnsi" w:hAnsiTheme="majorHAnsi" w:cstheme="majorHAnsi"/>
                <w:color w:val="000000"/>
                <w:sz w:val="20"/>
                <w:szCs w:val="20"/>
              </w:rPr>
              <w:t>1,494</w:t>
            </w:r>
          </w:p>
        </w:tc>
        <w:tc>
          <w:tcPr>
            <w:tcW w:w="986" w:type="dxa"/>
            <w:noWrap/>
            <w:hideMark/>
          </w:tcPr>
          <w:p w14:paraId="452F8B13" w14:textId="77777777" w:rsidR="008D0CAD" w:rsidRPr="00111679" w:rsidRDefault="008D0CAD" w:rsidP="00B31C4E">
            <w:pPr>
              <w:spacing w:before="100" w:beforeAutospacing="1" w:after="100" w:afterAutospacing="1" w:line="360" w:lineRule="auto"/>
              <w:rPr>
                <w:rFonts w:asciiTheme="majorHAnsi" w:hAnsiTheme="majorHAnsi" w:cstheme="majorHAnsi"/>
                <w:color w:val="000000"/>
                <w:sz w:val="20"/>
                <w:szCs w:val="20"/>
              </w:rPr>
            </w:pPr>
            <w:r w:rsidRPr="00111679">
              <w:rPr>
                <w:rFonts w:asciiTheme="majorHAnsi" w:hAnsiTheme="majorHAnsi" w:cstheme="majorHAnsi"/>
                <w:color w:val="000000"/>
                <w:sz w:val="20"/>
                <w:szCs w:val="20"/>
              </w:rPr>
              <w:t>1,418</w:t>
            </w:r>
          </w:p>
        </w:tc>
        <w:tc>
          <w:tcPr>
            <w:tcW w:w="986" w:type="dxa"/>
            <w:noWrap/>
            <w:hideMark/>
          </w:tcPr>
          <w:p w14:paraId="4BF74453" w14:textId="77777777" w:rsidR="008D0CAD" w:rsidRPr="00111679" w:rsidRDefault="008D0CAD" w:rsidP="00B31C4E">
            <w:pPr>
              <w:spacing w:before="100" w:beforeAutospacing="1" w:after="100" w:afterAutospacing="1" w:line="360" w:lineRule="auto"/>
              <w:rPr>
                <w:rFonts w:asciiTheme="majorHAnsi" w:hAnsiTheme="majorHAnsi" w:cstheme="majorHAnsi"/>
                <w:color w:val="000000"/>
                <w:sz w:val="20"/>
                <w:szCs w:val="20"/>
              </w:rPr>
            </w:pPr>
            <w:r w:rsidRPr="00111679">
              <w:rPr>
                <w:rFonts w:asciiTheme="majorHAnsi" w:hAnsiTheme="majorHAnsi" w:cstheme="majorHAnsi"/>
                <w:color w:val="000000"/>
                <w:sz w:val="20"/>
                <w:szCs w:val="20"/>
              </w:rPr>
              <w:t>2,912</w:t>
            </w:r>
          </w:p>
        </w:tc>
        <w:tc>
          <w:tcPr>
            <w:tcW w:w="1230" w:type="dxa"/>
            <w:noWrap/>
            <w:hideMark/>
          </w:tcPr>
          <w:p w14:paraId="6804F79F" w14:textId="77777777" w:rsidR="008D0CAD" w:rsidRPr="00111679" w:rsidRDefault="008D0CAD" w:rsidP="00B31C4E">
            <w:pPr>
              <w:spacing w:before="100" w:beforeAutospacing="1" w:after="100" w:afterAutospacing="1" w:line="360" w:lineRule="auto"/>
              <w:rPr>
                <w:rFonts w:asciiTheme="majorHAnsi" w:hAnsiTheme="majorHAnsi" w:cstheme="majorHAnsi"/>
                <w:color w:val="000000"/>
                <w:sz w:val="20"/>
                <w:szCs w:val="20"/>
              </w:rPr>
            </w:pPr>
            <w:r w:rsidRPr="00111679">
              <w:rPr>
                <w:rFonts w:asciiTheme="majorHAnsi" w:hAnsiTheme="majorHAnsi" w:cstheme="majorHAnsi"/>
                <w:color w:val="000000"/>
                <w:sz w:val="20"/>
                <w:szCs w:val="20"/>
              </w:rPr>
              <w:t>1,626</w:t>
            </w:r>
          </w:p>
        </w:tc>
        <w:tc>
          <w:tcPr>
            <w:tcW w:w="1230" w:type="dxa"/>
            <w:noWrap/>
            <w:hideMark/>
          </w:tcPr>
          <w:p w14:paraId="219C75F1" w14:textId="77777777" w:rsidR="008D0CAD" w:rsidRPr="00111679" w:rsidRDefault="008D0CAD" w:rsidP="00B31C4E">
            <w:pPr>
              <w:spacing w:before="100" w:beforeAutospacing="1" w:after="100" w:afterAutospacing="1" w:line="360" w:lineRule="auto"/>
              <w:rPr>
                <w:rFonts w:asciiTheme="majorHAnsi" w:hAnsiTheme="majorHAnsi" w:cstheme="majorHAnsi"/>
                <w:color w:val="000000"/>
                <w:sz w:val="20"/>
                <w:szCs w:val="20"/>
              </w:rPr>
            </w:pPr>
            <w:r w:rsidRPr="00111679">
              <w:rPr>
                <w:rFonts w:asciiTheme="majorHAnsi" w:hAnsiTheme="majorHAnsi" w:cstheme="majorHAnsi"/>
                <w:color w:val="000000"/>
                <w:sz w:val="20"/>
                <w:szCs w:val="20"/>
              </w:rPr>
              <w:t>1,364</w:t>
            </w:r>
          </w:p>
        </w:tc>
        <w:tc>
          <w:tcPr>
            <w:tcW w:w="1230" w:type="dxa"/>
            <w:noWrap/>
            <w:hideMark/>
          </w:tcPr>
          <w:p w14:paraId="0A65569A" w14:textId="77777777" w:rsidR="008D0CAD" w:rsidRPr="00111679" w:rsidRDefault="008D0CAD" w:rsidP="00B31C4E">
            <w:pPr>
              <w:spacing w:before="100" w:beforeAutospacing="1" w:after="100" w:afterAutospacing="1" w:line="360" w:lineRule="auto"/>
              <w:rPr>
                <w:rFonts w:asciiTheme="majorHAnsi" w:hAnsiTheme="majorHAnsi" w:cstheme="majorHAnsi"/>
                <w:color w:val="000000"/>
                <w:sz w:val="20"/>
                <w:szCs w:val="20"/>
              </w:rPr>
            </w:pPr>
            <w:r w:rsidRPr="00111679">
              <w:rPr>
                <w:rFonts w:asciiTheme="majorHAnsi" w:hAnsiTheme="majorHAnsi" w:cstheme="majorHAnsi"/>
                <w:color w:val="000000"/>
                <w:sz w:val="20"/>
                <w:szCs w:val="20"/>
              </w:rPr>
              <w:t>2,990</w:t>
            </w:r>
          </w:p>
        </w:tc>
        <w:tc>
          <w:tcPr>
            <w:tcW w:w="1135" w:type="dxa"/>
            <w:noWrap/>
            <w:hideMark/>
          </w:tcPr>
          <w:p w14:paraId="6CB80053" w14:textId="77777777" w:rsidR="008D0CAD" w:rsidRPr="00111679" w:rsidRDefault="008D0CAD" w:rsidP="00B31C4E">
            <w:pPr>
              <w:spacing w:before="100" w:beforeAutospacing="1" w:after="100" w:afterAutospacing="1" w:line="360" w:lineRule="auto"/>
              <w:rPr>
                <w:rFonts w:asciiTheme="majorHAnsi" w:hAnsiTheme="majorHAnsi" w:cstheme="majorHAnsi"/>
                <w:color w:val="000000"/>
                <w:sz w:val="20"/>
                <w:szCs w:val="20"/>
              </w:rPr>
            </w:pPr>
            <w:r w:rsidRPr="00111679">
              <w:rPr>
                <w:rFonts w:asciiTheme="majorHAnsi" w:hAnsiTheme="majorHAnsi" w:cstheme="majorHAnsi"/>
                <w:color w:val="000000"/>
                <w:sz w:val="20"/>
                <w:szCs w:val="20"/>
              </w:rPr>
              <w:t>78</w:t>
            </w:r>
          </w:p>
        </w:tc>
      </w:tr>
      <w:tr w:rsidR="008D0CAD" w:rsidRPr="00111679" w14:paraId="4AA2AF9F" w14:textId="77777777" w:rsidTr="00943324">
        <w:trPr>
          <w:trHeight w:val="257"/>
        </w:trPr>
        <w:tc>
          <w:tcPr>
            <w:tcW w:w="1226" w:type="dxa"/>
            <w:noWrap/>
            <w:hideMark/>
          </w:tcPr>
          <w:p w14:paraId="6B316A41" w14:textId="77777777" w:rsidR="008D0CAD" w:rsidRPr="00111679" w:rsidRDefault="008D0CAD" w:rsidP="00B31C4E">
            <w:pPr>
              <w:spacing w:before="100" w:beforeAutospacing="1" w:after="100" w:afterAutospacing="1" w:line="360" w:lineRule="auto"/>
              <w:rPr>
                <w:rFonts w:asciiTheme="majorHAnsi" w:hAnsiTheme="majorHAnsi" w:cstheme="majorHAnsi"/>
                <w:color w:val="000000"/>
                <w:sz w:val="20"/>
                <w:szCs w:val="20"/>
              </w:rPr>
            </w:pPr>
            <w:r w:rsidRPr="00111679">
              <w:rPr>
                <w:rFonts w:asciiTheme="majorHAnsi" w:hAnsiTheme="majorHAnsi" w:cstheme="majorHAnsi"/>
                <w:color w:val="000000"/>
                <w:sz w:val="20"/>
                <w:szCs w:val="20"/>
              </w:rPr>
              <w:t>Region 6</w:t>
            </w:r>
          </w:p>
        </w:tc>
        <w:tc>
          <w:tcPr>
            <w:tcW w:w="987" w:type="dxa"/>
            <w:noWrap/>
            <w:hideMark/>
          </w:tcPr>
          <w:p w14:paraId="61C628A9" w14:textId="77777777" w:rsidR="008D0CAD" w:rsidRPr="00111679" w:rsidRDefault="008D0CAD" w:rsidP="00B31C4E">
            <w:pPr>
              <w:spacing w:before="100" w:beforeAutospacing="1" w:after="100" w:afterAutospacing="1" w:line="360" w:lineRule="auto"/>
              <w:rPr>
                <w:rFonts w:asciiTheme="majorHAnsi" w:hAnsiTheme="majorHAnsi" w:cstheme="majorHAnsi"/>
                <w:color w:val="000000"/>
                <w:sz w:val="20"/>
                <w:szCs w:val="20"/>
              </w:rPr>
            </w:pPr>
            <w:r w:rsidRPr="00111679">
              <w:rPr>
                <w:rFonts w:asciiTheme="majorHAnsi" w:hAnsiTheme="majorHAnsi" w:cstheme="majorHAnsi"/>
                <w:color w:val="000000"/>
                <w:sz w:val="20"/>
                <w:szCs w:val="20"/>
              </w:rPr>
              <w:t>1,556</w:t>
            </w:r>
          </w:p>
        </w:tc>
        <w:tc>
          <w:tcPr>
            <w:tcW w:w="986" w:type="dxa"/>
            <w:noWrap/>
            <w:hideMark/>
          </w:tcPr>
          <w:p w14:paraId="0A12CEB6" w14:textId="77777777" w:rsidR="008D0CAD" w:rsidRPr="00111679" w:rsidRDefault="008D0CAD" w:rsidP="00B31C4E">
            <w:pPr>
              <w:spacing w:before="100" w:beforeAutospacing="1" w:after="100" w:afterAutospacing="1" w:line="360" w:lineRule="auto"/>
              <w:rPr>
                <w:rFonts w:asciiTheme="majorHAnsi" w:hAnsiTheme="majorHAnsi" w:cstheme="majorHAnsi"/>
                <w:color w:val="000000"/>
                <w:sz w:val="20"/>
                <w:szCs w:val="20"/>
              </w:rPr>
            </w:pPr>
            <w:r w:rsidRPr="00111679">
              <w:rPr>
                <w:rFonts w:asciiTheme="majorHAnsi" w:hAnsiTheme="majorHAnsi" w:cstheme="majorHAnsi"/>
                <w:color w:val="000000"/>
                <w:sz w:val="20"/>
                <w:szCs w:val="20"/>
              </w:rPr>
              <w:t>1,506</w:t>
            </w:r>
          </w:p>
        </w:tc>
        <w:tc>
          <w:tcPr>
            <w:tcW w:w="986" w:type="dxa"/>
            <w:noWrap/>
            <w:hideMark/>
          </w:tcPr>
          <w:p w14:paraId="0E90E480" w14:textId="77777777" w:rsidR="008D0CAD" w:rsidRPr="00111679" w:rsidRDefault="008D0CAD" w:rsidP="00B31C4E">
            <w:pPr>
              <w:spacing w:before="100" w:beforeAutospacing="1" w:after="100" w:afterAutospacing="1" w:line="360" w:lineRule="auto"/>
              <w:rPr>
                <w:rFonts w:asciiTheme="majorHAnsi" w:hAnsiTheme="majorHAnsi" w:cstheme="majorHAnsi"/>
                <w:color w:val="000000"/>
                <w:sz w:val="20"/>
                <w:szCs w:val="20"/>
              </w:rPr>
            </w:pPr>
            <w:r w:rsidRPr="00111679">
              <w:rPr>
                <w:rFonts w:asciiTheme="majorHAnsi" w:hAnsiTheme="majorHAnsi" w:cstheme="majorHAnsi"/>
                <w:color w:val="000000"/>
                <w:sz w:val="20"/>
                <w:szCs w:val="20"/>
              </w:rPr>
              <w:t>3,062</w:t>
            </w:r>
          </w:p>
        </w:tc>
        <w:tc>
          <w:tcPr>
            <w:tcW w:w="1230" w:type="dxa"/>
            <w:noWrap/>
            <w:hideMark/>
          </w:tcPr>
          <w:p w14:paraId="679AC7CE" w14:textId="77777777" w:rsidR="008D0CAD" w:rsidRPr="00111679" w:rsidRDefault="008D0CAD" w:rsidP="00B31C4E">
            <w:pPr>
              <w:spacing w:before="100" w:beforeAutospacing="1" w:after="100" w:afterAutospacing="1" w:line="360" w:lineRule="auto"/>
              <w:rPr>
                <w:rFonts w:asciiTheme="majorHAnsi" w:hAnsiTheme="majorHAnsi" w:cstheme="majorHAnsi"/>
                <w:color w:val="000000"/>
                <w:sz w:val="20"/>
                <w:szCs w:val="20"/>
              </w:rPr>
            </w:pPr>
            <w:r w:rsidRPr="00111679">
              <w:rPr>
                <w:rFonts w:asciiTheme="majorHAnsi" w:hAnsiTheme="majorHAnsi" w:cstheme="majorHAnsi"/>
                <w:color w:val="000000"/>
                <w:sz w:val="20"/>
                <w:szCs w:val="20"/>
              </w:rPr>
              <w:t>1,779</w:t>
            </w:r>
          </w:p>
        </w:tc>
        <w:tc>
          <w:tcPr>
            <w:tcW w:w="1230" w:type="dxa"/>
            <w:noWrap/>
            <w:hideMark/>
          </w:tcPr>
          <w:p w14:paraId="37F02AB7" w14:textId="77777777" w:rsidR="008D0CAD" w:rsidRPr="00111679" w:rsidRDefault="008D0CAD" w:rsidP="00B31C4E">
            <w:pPr>
              <w:spacing w:before="100" w:beforeAutospacing="1" w:after="100" w:afterAutospacing="1" w:line="360" w:lineRule="auto"/>
              <w:rPr>
                <w:rFonts w:asciiTheme="majorHAnsi" w:hAnsiTheme="majorHAnsi" w:cstheme="majorHAnsi"/>
                <w:color w:val="000000"/>
                <w:sz w:val="20"/>
                <w:szCs w:val="20"/>
              </w:rPr>
            </w:pPr>
            <w:r w:rsidRPr="00111679">
              <w:rPr>
                <w:rFonts w:asciiTheme="majorHAnsi" w:hAnsiTheme="majorHAnsi" w:cstheme="majorHAnsi"/>
                <w:color w:val="000000"/>
                <w:sz w:val="20"/>
                <w:szCs w:val="20"/>
              </w:rPr>
              <w:t>1,644</w:t>
            </w:r>
          </w:p>
        </w:tc>
        <w:tc>
          <w:tcPr>
            <w:tcW w:w="1230" w:type="dxa"/>
            <w:noWrap/>
            <w:hideMark/>
          </w:tcPr>
          <w:p w14:paraId="13A37225" w14:textId="77777777" w:rsidR="008D0CAD" w:rsidRPr="00111679" w:rsidRDefault="008D0CAD" w:rsidP="00B31C4E">
            <w:pPr>
              <w:spacing w:before="100" w:beforeAutospacing="1" w:after="100" w:afterAutospacing="1" w:line="360" w:lineRule="auto"/>
              <w:rPr>
                <w:rFonts w:asciiTheme="majorHAnsi" w:hAnsiTheme="majorHAnsi" w:cstheme="majorHAnsi"/>
                <w:color w:val="000000"/>
                <w:sz w:val="20"/>
                <w:szCs w:val="20"/>
              </w:rPr>
            </w:pPr>
            <w:r w:rsidRPr="00111679">
              <w:rPr>
                <w:rFonts w:asciiTheme="majorHAnsi" w:hAnsiTheme="majorHAnsi" w:cstheme="majorHAnsi"/>
                <w:color w:val="000000"/>
                <w:sz w:val="20"/>
                <w:szCs w:val="20"/>
              </w:rPr>
              <w:t>3,423</w:t>
            </w:r>
          </w:p>
        </w:tc>
        <w:tc>
          <w:tcPr>
            <w:tcW w:w="1135" w:type="dxa"/>
            <w:noWrap/>
            <w:hideMark/>
          </w:tcPr>
          <w:p w14:paraId="005EA9BF" w14:textId="77777777" w:rsidR="008D0CAD" w:rsidRPr="00111679" w:rsidRDefault="008D0CAD" w:rsidP="00B31C4E">
            <w:pPr>
              <w:spacing w:before="100" w:beforeAutospacing="1" w:after="100" w:afterAutospacing="1" w:line="360" w:lineRule="auto"/>
              <w:rPr>
                <w:rFonts w:asciiTheme="majorHAnsi" w:hAnsiTheme="majorHAnsi" w:cstheme="majorHAnsi"/>
                <w:color w:val="000000"/>
                <w:sz w:val="20"/>
                <w:szCs w:val="20"/>
              </w:rPr>
            </w:pPr>
            <w:r w:rsidRPr="00111679">
              <w:rPr>
                <w:rFonts w:asciiTheme="majorHAnsi" w:hAnsiTheme="majorHAnsi" w:cstheme="majorHAnsi"/>
                <w:color w:val="000000"/>
                <w:sz w:val="20"/>
                <w:szCs w:val="20"/>
              </w:rPr>
              <w:t>361</w:t>
            </w:r>
          </w:p>
        </w:tc>
      </w:tr>
      <w:tr w:rsidR="008D0CAD" w:rsidRPr="00111679" w14:paraId="214C2887" w14:textId="77777777" w:rsidTr="00943324">
        <w:trPr>
          <w:trHeight w:val="257"/>
        </w:trPr>
        <w:tc>
          <w:tcPr>
            <w:tcW w:w="1226" w:type="dxa"/>
            <w:noWrap/>
            <w:hideMark/>
          </w:tcPr>
          <w:p w14:paraId="5E38392F" w14:textId="77777777" w:rsidR="008D0CAD" w:rsidRPr="00111679" w:rsidRDefault="008D0CAD" w:rsidP="00B31C4E">
            <w:pPr>
              <w:spacing w:before="100" w:beforeAutospacing="1" w:after="100" w:afterAutospacing="1" w:line="360" w:lineRule="auto"/>
              <w:rPr>
                <w:rFonts w:asciiTheme="majorHAnsi" w:hAnsiTheme="majorHAnsi" w:cstheme="majorHAnsi"/>
                <w:color w:val="000000"/>
                <w:sz w:val="20"/>
                <w:szCs w:val="20"/>
              </w:rPr>
            </w:pPr>
            <w:r w:rsidRPr="00111679">
              <w:rPr>
                <w:rFonts w:asciiTheme="majorHAnsi" w:hAnsiTheme="majorHAnsi" w:cstheme="majorHAnsi"/>
                <w:color w:val="000000"/>
                <w:sz w:val="20"/>
                <w:szCs w:val="20"/>
              </w:rPr>
              <w:t>Region 7</w:t>
            </w:r>
          </w:p>
        </w:tc>
        <w:tc>
          <w:tcPr>
            <w:tcW w:w="987" w:type="dxa"/>
            <w:noWrap/>
            <w:hideMark/>
          </w:tcPr>
          <w:p w14:paraId="2DF6A0CF" w14:textId="77777777" w:rsidR="008D0CAD" w:rsidRPr="00111679" w:rsidRDefault="008D0CAD" w:rsidP="00B31C4E">
            <w:pPr>
              <w:spacing w:before="100" w:beforeAutospacing="1" w:after="100" w:afterAutospacing="1" w:line="360" w:lineRule="auto"/>
              <w:rPr>
                <w:rFonts w:asciiTheme="majorHAnsi" w:hAnsiTheme="majorHAnsi" w:cstheme="majorHAnsi"/>
                <w:color w:val="000000"/>
                <w:sz w:val="20"/>
                <w:szCs w:val="20"/>
              </w:rPr>
            </w:pPr>
            <w:r w:rsidRPr="00111679">
              <w:rPr>
                <w:rFonts w:asciiTheme="majorHAnsi" w:hAnsiTheme="majorHAnsi" w:cstheme="majorHAnsi"/>
                <w:color w:val="000000"/>
                <w:sz w:val="20"/>
                <w:szCs w:val="20"/>
              </w:rPr>
              <w:t>3,588</w:t>
            </w:r>
          </w:p>
        </w:tc>
        <w:tc>
          <w:tcPr>
            <w:tcW w:w="986" w:type="dxa"/>
            <w:noWrap/>
            <w:hideMark/>
          </w:tcPr>
          <w:p w14:paraId="6983EBC8" w14:textId="77777777" w:rsidR="008D0CAD" w:rsidRPr="00111679" w:rsidRDefault="008D0CAD" w:rsidP="00B31C4E">
            <w:pPr>
              <w:spacing w:before="100" w:beforeAutospacing="1" w:after="100" w:afterAutospacing="1" w:line="360" w:lineRule="auto"/>
              <w:rPr>
                <w:rFonts w:asciiTheme="majorHAnsi" w:hAnsiTheme="majorHAnsi" w:cstheme="majorHAnsi"/>
                <w:color w:val="000000"/>
                <w:sz w:val="20"/>
                <w:szCs w:val="20"/>
              </w:rPr>
            </w:pPr>
            <w:r w:rsidRPr="00111679">
              <w:rPr>
                <w:rFonts w:asciiTheme="majorHAnsi" w:hAnsiTheme="majorHAnsi" w:cstheme="majorHAnsi"/>
                <w:color w:val="000000"/>
                <w:sz w:val="20"/>
                <w:szCs w:val="20"/>
              </w:rPr>
              <w:t>3,318</w:t>
            </w:r>
          </w:p>
        </w:tc>
        <w:tc>
          <w:tcPr>
            <w:tcW w:w="986" w:type="dxa"/>
            <w:noWrap/>
            <w:hideMark/>
          </w:tcPr>
          <w:p w14:paraId="04F9358C" w14:textId="77777777" w:rsidR="008D0CAD" w:rsidRPr="00111679" w:rsidRDefault="008D0CAD" w:rsidP="00B31C4E">
            <w:pPr>
              <w:spacing w:before="100" w:beforeAutospacing="1" w:after="100" w:afterAutospacing="1" w:line="360" w:lineRule="auto"/>
              <w:rPr>
                <w:rFonts w:asciiTheme="majorHAnsi" w:hAnsiTheme="majorHAnsi" w:cstheme="majorHAnsi"/>
                <w:color w:val="000000"/>
                <w:sz w:val="20"/>
                <w:szCs w:val="20"/>
              </w:rPr>
            </w:pPr>
            <w:r w:rsidRPr="00111679">
              <w:rPr>
                <w:rFonts w:asciiTheme="majorHAnsi" w:hAnsiTheme="majorHAnsi" w:cstheme="majorHAnsi"/>
                <w:color w:val="000000"/>
                <w:sz w:val="20"/>
                <w:szCs w:val="20"/>
              </w:rPr>
              <w:t>6,906</w:t>
            </w:r>
          </w:p>
        </w:tc>
        <w:tc>
          <w:tcPr>
            <w:tcW w:w="1230" w:type="dxa"/>
            <w:noWrap/>
            <w:hideMark/>
          </w:tcPr>
          <w:p w14:paraId="6787DFD3" w14:textId="77777777" w:rsidR="008D0CAD" w:rsidRPr="00111679" w:rsidRDefault="008D0CAD" w:rsidP="00B31C4E">
            <w:pPr>
              <w:spacing w:before="100" w:beforeAutospacing="1" w:after="100" w:afterAutospacing="1" w:line="360" w:lineRule="auto"/>
              <w:rPr>
                <w:rFonts w:asciiTheme="majorHAnsi" w:hAnsiTheme="majorHAnsi" w:cstheme="majorHAnsi"/>
                <w:color w:val="000000"/>
                <w:sz w:val="20"/>
                <w:szCs w:val="20"/>
              </w:rPr>
            </w:pPr>
            <w:r w:rsidRPr="00111679">
              <w:rPr>
                <w:rFonts w:asciiTheme="majorHAnsi" w:hAnsiTheme="majorHAnsi" w:cstheme="majorHAnsi"/>
                <w:color w:val="000000"/>
                <w:sz w:val="20"/>
                <w:szCs w:val="20"/>
              </w:rPr>
              <w:t>3,941</w:t>
            </w:r>
          </w:p>
        </w:tc>
        <w:tc>
          <w:tcPr>
            <w:tcW w:w="1230" w:type="dxa"/>
            <w:noWrap/>
            <w:hideMark/>
          </w:tcPr>
          <w:p w14:paraId="62A282AF" w14:textId="77777777" w:rsidR="008D0CAD" w:rsidRPr="00111679" w:rsidRDefault="008D0CAD" w:rsidP="00B31C4E">
            <w:pPr>
              <w:spacing w:before="100" w:beforeAutospacing="1" w:after="100" w:afterAutospacing="1" w:line="360" w:lineRule="auto"/>
              <w:rPr>
                <w:rFonts w:asciiTheme="majorHAnsi" w:hAnsiTheme="majorHAnsi" w:cstheme="majorHAnsi"/>
                <w:color w:val="000000"/>
                <w:sz w:val="20"/>
                <w:szCs w:val="20"/>
              </w:rPr>
            </w:pPr>
            <w:r w:rsidRPr="00111679">
              <w:rPr>
                <w:rFonts w:asciiTheme="majorHAnsi" w:hAnsiTheme="majorHAnsi" w:cstheme="majorHAnsi"/>
                <w:color w:val="000000"/>
                <w:sz w:val="20"/>
                <w:szCs w:val="20"/>
              </w:rPr>
              <w:t>3,443</w:t>
            </w:r>
          </w:p>
        </w:tc>
        <w:tc>
          <w:tcPr>
            <w:tcW w:w="1230" w:type="dxa"/>
            <w:noWrap/>
            <w:hideMark/>
          </w:tcPr>
          <w:p w14:paraId="0F7C5609" w14:textId="77777777" w:rsidR="008D0CAD" w:rsidRPr="00111679" w:rsidRDefault="008D0CAD" w:rsidP="00B31C4E">
            <w:pPr>
              <w:spacing w:before="100" w:beforeAutospacing="1" w:after="100" w:afterAutospacing="1" w:line="360" w:lineRule="auto"/>
              <w:rPr>
                <w:rFonts w:asciiTheme="majorHAnsi" w:hAnsiTheme="majorHAnsi" w:cstheme="majorHAnsi"/>
                <w:color w:val="000000"/>
                <w:sz w:val="20"/>
                <w:szCs w:val="20"/>
              </w:rPr>
            </w:pPr>
            <w:r w:rsidRPr="00111679">
              <w:rPr>
                <w:rFonts w:asciiTheme="majorHAnsi" w:hAnsiTheme="majorHAnsi" w:cstheme="majorHAnsi"/>
                <w:color w:val="000000"/>
                <w:sz w:val="20"/>
                <w:szCs w:val="20"/>
              </w:rPr>
              <w:t>7,384</w:t>
            </w:r>
          </w:p>
        </w:tc>
        <w:tc>
          <w:tcPr>
            <w:tcW w:w="1135" w:type="dxa"/>
            <w:noWrap/>
            <w:hideMark/>
          </w:tcPr>
          <w:p w14:paraId="2FFD3E4F" w14:textId="77777777" w:rsidR="008D0CAD" w:rsidRPr="00111679" w:rsidRDefault="008D0CAD" w:rsidP="00B31C4E">
            <w:pPr>
              <w:spacing w:before="100" w:beforeAutospacing="1" w:after="100" w:afterAutospacing="1" w:line="360" w:lineRule="auto"/>
              <w:rPr>
                <w:rFonts w:asciiTheme="majorHAnsi" w:hAnsiTheme="majorHAnsi" w:cstheme="majorHAnsi"/>
                <w:color w:val="000000"/>
                <w:sz w:val="20"/>
                <w:szCs w:val="20"/>
              </w:rPr>
            </w:pPr>
            <w:r w:rsidRPr="00111679">
              <w:rPr>
                <w:rFonts w:asciiTheme="majorHAnsi" w:hAnsiTheme="majorHAnsi" w:cstheme="majorHAnsi"/>
                <w:color w:val="000000"/>
                <w:sz w:val="20"/>
                <w:szCs w:val="20"/>
              </w:rPr>
              <w:t>478</w:t>
            </w:r>
          </w:p>
        </w:tc>
      </w:tr>
      <w:tr w:rsidR="008D0CAD" w:rsidRPr="00111679" w14:paraId="4B38C56F" w14:textId="77777777" w:rsidTr="00943324">
        <w:trPr>
          <w:trHeight w:val="257"/>
        </w:trPr>
        <w:tc>
          <w:tcPr>
            <w:tcW w:w="1226" w:type="dxa"/>
            <w:noWrap/>
            <w:hideMark/>
          </w:tcPr>
          <w:p w14:paraId="01BB95FE" w14:textId="77777777" w:rsidR="008D0CAD" w:rsidRPr="00111679" w:rsidRDefault="008D0CAD" w:rsidP="00B31C4E">
            <w:pPr>
              <w:spacing w:before="100" w:beforeAutospacing="1" w:after="100" w:afterAutospacing="1" w:line="360" w:lineRule="auto"/>
              <w:rPr>
                <w:rFonts w:asciiTheme="majorHAnsi" w:hAnsiTheme="majorHAnsi" w:cstheme="majorHAnsi"/>
                <w:color w:val="000000"/>
                <w:sz w:val="20"/>
                <w:szCs w:val="20"/>
              </w:rPr>
            </w:pPr>
            <w:r w:rsidRPr="00111679">
              <w:rPr>
                <w:rFonts w:asciiTheme="majorHAnsi" w:hAnsiTheme="majorHAnsi" w:cstheme="majorHAnsi"/>
                <w:color w:val="000000"/>
                <w:sz w:val="20"/>
                <w:szCs w:val="20"/>
              </w:rPr>
              <w:t>Region 8*</w:t>
            </w:r>
          </w:p>
        </w:tc>
        <w:tc>
          <w:tcPr>
            <w:tcW w:w="987" w:type="dxa"/>
            <w:noWrap/>
            <w:hideMark/>
          </w:tcPr>
          <w:p w14:paraId="1475E7AD" w14:textId="77777777" w:rsidR="008D0CAD" w:rsidRPr="00111679" w:rsidRDefault="008D0CAD" w:rsidP="00B31C4E">
            <w:pPr>
              <w:spacing w:before="100" w:beforeAutospacing="1" w:after="100" w:afterAutospacing="1" w:line="360" w:lineRule="auto"/>
              <w:rPr>
                <w:rFonts w:asciiTheme="majorHAnsi" w:hAnsiTheme="majorHAnsi" w:cstheme="majorHAnsi"/>
                <w:color w:val="000000"/>
                <w:sz w:val="20"/>
                <w:szCs w:val="20"/>
              </w:rPr>
            </w:pPr>
            <w:r w:rsidRPr="00111679">
              <w:rPr>
                <w:rFonts w:asciiTheme="majorHAnsi" w:hAnsiTheme="majorHAnsi" w:cstheme="majorHAnsi"/>
                <w:color w:val="000000"/>
                <w:sz w:val="20"/>
                <w:szCs w:val="20"/>
              </w:rPr>
              <w:t>2774</w:t>
            </w:r>
          </w:p>
        </w:tc>
        <w:tc>
          <w:tcPr>
            <w:tcW w:w="986" w:type="dxa"/>
            <w:noWrap/>
            <w:hideMark/>
          </w:tcPr>
          <w:p w14:paraId="0A458662" w14:textId="77777777" w:rsidR="008D0CAD" w:rsidRPr="00111679" w:rsidRDefault="008D0CAD" w:rsidP="00B31C4E">
            <w:pPr>
              <w:spacing w:before="100" w:beforeAutospacing="1" w:after="100" w:afterAutospacing="1" w:line="360" w:lineRule="auto"/>
              <w:rPr>
                <w:rFonts w:asciiTheme="majorHAnsi" w:hAnsiTheme="majorHAnsi" w:cstheme="majorHAnsi"/>
                <w:color w:val="000000"/>
                <w:sz w:val="20"/>
                <w:szCs w:val="20"/>
              </w:rPr>
            </w:pPr>
            <w:r w:rsidRPr="00111679">
              <w:rPr>
                <w:rFonts w:asciiTheme="majorHAnsi" w:hAnsiTheme="majorHAnsi" w:cstheme="majorHAnsi"/>
                <w:color w:val="000000"/>
                <w:sz w:val="20"/>
                <w:szCs w:val="20"/>
              </w:rPr>
              <w:t>2554</w:t>
            </w:r>
          </w:p>
        </w:tc>
        <w:tc>
          <w:tcPr>
            <w:tcW w:w="986" w:type="dxa"/>
            <w:noWrap/>
            <w:hideMark/>
          </w:tcPr>
          <w:p w14:paraId="2841205D" w14:textId="77777777" w:rsidR="008D0CAD" w:rsidRPr="00111679" w:rsidRDefault="008D0CAD" w:rsidP="00B31C4E">
            <w:pPr>
              <w:spacing w:before="100" w:beforeAutospacing="1" w:after="100" w:afterAutospacing="1" w:line="360" w:lineRule="auto"/>
              <w:rPr>
                <w:rFonts w:asciiTheme="majorHAnsi" w:hAnsiTheme="majorHAnsi" w:cstheme="majorHAnsi"/>
                <w:color w:val="000000"/>
                <w:sz w:val="20"/>
                <w:szCs w:val="20"/>
              </w:rPr>
            </w:pPr>
            <w:r w:rsidRPr="00111679">
              <w:rPr>
                <w:rFonts w:asciiTheme="majorHAnsi" w:hAnsiTheme="majorHAnsi" w:cstheme="majorHAnsi"/>
                <w:color w:val="000000"/>
                <w:sz w:val="20"/>
                <w:szCs w:val="20"/>
              </w:rPr>
              <w:t>5328</w:t>
            </w:r>
          </w:p>
        </w:tc>
        <w:tc>
          <w:tcPr>
            <w:tcW w:w="1230" w:type="dxa"/>
            <w:noWrap/>
            <w:hideMark/>
          </w:tcPr>
          <w:p w14:paraId="6583638E" w14:textId="77777777" w:rsidR="008D0CAD" w:rsidRPr="00111679" w:rsidRDefault="008D0CAD" w:rsidP="00B31C4E">
            <w:pPr>
              <w:spacing w:before="100" w:beforeAutospacing="1" w:after="100" w:afterAutospacing="1" w:line="360" w:lineRule="auto"/>
              <w:rPr>
                <w:rFonts w:asciiTheme="majorHAnsi" w:hAnsiTheme="majorHAnsi" w:cstheme="majorHAnsi"/>
                <w:color w:val="000000"/>
                <w:sz w:val="20"/>
                <w:szCs w:val="20"/>
              </w:rPr>
            </w:pPr>
            <w:r w:rsidRPr="00111679">
              <w:rPr>
                <w:rFonts w:asciiTheme="majorHAnsi" w:hAnsiTheme="majorHAnsi" w:cstheme="majorHAnsi"/>
                <w:color w:val="000000"/>
                <w:sz w:val="20"/>
                <w:szCs w:val="20"/>
              </w:rPr>
              <w:t>2674</w:t>
            </w:r>
          </w:p>
        </w:tc>
        <w:tc>
          <w:tcPr>
            <w:tcW w:w="1230" w:type="dxa"/>
            <w:noWrap/>
            <w:hideMark/>
          </w:tcPr>
          <w:p w14:paraId="7C8F1B45" w14:textId="77777777" w:rsidR="008D0CAD" w:rsidRPr="00111679" w:rsidRDefault="008D0CAD" w:rsidP="00B31C4E">
            <w:pPr>
              <w:spacing w:before="100" w:beforeAutospacing="1" w:after="100" w:afterAutospacing="1" w:line="360" w:lineRule="auto"/>
              <w:rPr>
                <w:rFonts w:asciiTheme="majorHAnsi" w:hAnsiTheme="majorHAnsi" w:cstheme="majorHAnsi"/>
                <w:color w:val="000000"/>
                <w:sz w:val="20"/>
                <w:szCs w:val="20"/>
              </w:rPr>
            </w:pPr>
            <w:r w:rsidRPr="00111679">
              <w:rPr>
                <w:rFonts w:asciiTheme="majorHAnsi" w:hAnsiTheme="majorHAnsi" w:cstheme="majorHAnsi"/>
                <w:color w:val="000000"/>
                <w:sz w:val="20"/>
                <w:szCs w:val="20"/>
              </w:rPr>
              <w:t>2507</w:t>
            </w:r>
          </w:p>
        </w:tc>
        <w:tc>
          <w:tcPr>
            <w:tcW w:w="1230" w:type="dxa"/>
            <w:noWrap/>
            <w:hideMark/>
          </w:tcPr>
          <w:p w14:paraId="19161A5C" w14:textId="77777777" w:rsidR="008D0CAD" w:rsidRPr="00111679" w:rsidRDefault="008D0CAD" w:rsidP="00B31C4E">
            <w:pPr>
              <w:spacing w:before="100" w:beforeAutospacing="1" w:after="100" w:afterAutospacing="1" w:line="360" w:lineRule="auto"/>
              <w:rPr>
                <w:rFonts w:asciiTheme="majorHAnsi" w:hAnsiTheme="majorHAnsi" w:cstheme="majorHAnsi"/>
                <w:color w:val="000000"/>
                <w:sz w:val="20"/>
                <w:szCs w:val="20"/>
              </w:rPr>
            </w:pPr>
            <w:r w:rsidRPr="00111679">
              <w:rPr>
                <w:rFonts w:asciiTheme="majorHAnsi" w:hAnsiTheme="majorHAnsi" w:cstheme="majorHAnsi"/>
                <w:color w:val="000000"/>
                <w:sz w:val="20"/>
                <w:szCs w:val="20"/>
              </w:rPr>
              <w:t>5181</w:t>
            </w:r>
          </w:p>
        </w:tc>
        <w:tc>
          <w:tcPr>
            <w:tcW w:w="1135" w:type="dxa"/>
            <w:noWrap/>
            <w:hideMark/>
          </w:tcPr>
          <w:p w14:paraId="7FFDEB4C" w14:textId="77777777" w:rsidR="008D0CAD" w:rsidRPr="00111679" w:rsidRDefault="008D0CAD" w:rsidP="00B31C4E">
            <w:pPr>
              <w:spacing w:before="100" w:beforeAutospacing="1" w:after="100" w:afterAutospacing="1" w:line="360" w:lineRule="auto"/>
              <w:rPr>
                <w:rFonts w:asciiTheme="majorHAnsi" w:hAnsiTheme="majorHAnsi" w:cstheme="majorHAnsi"/>
                <w:color w:val="000000"/>
                <w:sz w:val="20"/>
                <w:szCs w:val="20"/>
              </w:rPr>
            </w:pPr>
            <w:r w:rsidRPr="00111679">
              <w:rPr>
                <w:rFonts w:asciiTheme="majorHAnsi" w:hAnsiTheme="majorHAnsi" w:cstheme="majorHAnsi"/>
                <w:color w:val="000000"/>
                <w:sz w:val="20"/>
                <w:szCs w:val="20"/>
              </w:rPr>
              <w:t>-147</w:t>
            </w:r>
          </w:p>
        </w:tc>
      </w:tr>
      <w:tr w:rsidR="008D0CAD" w:rsidRPr="00111679" w14:paraId="7F3A946A" w14:textId="77777777" w:rsidTr="00943324">
        <w:trPr>
          <w:trHeight w:val="257"/>
        </w:trPr>
        <w:tc>
          <w:tcPr>
            <w:tcW w:w="1226" w:type="dxa"/>
            <w:noWrap/>
            <w:hideMark/>
          </w:tcPr>
          <w:p w14:paraId="5BFB12DB" w14:textId="77777777" w:rsidR="008D0CAD" w:rsidRPr="00111679" w:rsidRDefault="008D0CAD" w:rsidP="00B31C4E">
            <w:pPr>
              <w:spacing w:before="100" w:beforeAutospacing="1" w:after="100" w:afterAutospacing="1" w:line="360" w:lineRule="auto"/>
              <w:rPr>
                <w:rFonts w:asciiTheme="majorHAnsi" w:hAnsiTheme="majorHAnsi" w:cstheme="majorHAnsi"/>
                <w:color w:val="000000"/>
                <w:sz w:val="20"/>
                <w:szCs w:val="20"/>
              </w:rPr>
            </w:pPr>
            <w:r w:rsidRPr="00111679">
              <w:rPr>
                <w:rFonts w:asciiTheme="majorHAnsi" w:hAnsiTheme="majorHAnsi" w:cstheme="majorHAnsi"/>
                <w:color w:val="000000"/>
                <w:sz w:val="20"/>
                <w:szCs w:val="20"/>
              </w:rPr>
              <w:t>Region 10</w:t>
            </w:r>
          </w:p>
        </w:tc>
        <w:tc>
          <w:tcPr>
            <w:tcW w:w="987" w:type="dxa"/>
            <w:noWrap/>
            <w:hideMark/>
          </w:tcPr>
          <w:p w14:paraId="4A0F4C1A" w14:textId="77777777" w:rsidR="008D0CAD" w:rsidRPr="00111679" w:rsidRDefault="008D0CAD" w:rsidP="00B31C4E">
            <w:pPr>
              <w:spacing w:before="100" w:beforeAutospacing="1" w:after="100" w:afterAutospacing="1" w:line="360" w:lineRule="auto"/>
              <w:rPr>
                <w:rFonts w:asciiTheme="majorHAnsi" w:hAnsiTheme="majorHAnsi" w:cstheme="majorHAnsi"/>
                <w:color w:val="000000"/>
                <w:sz w:val="20"/>
                <w:szCs w:val="20"/>
              </w:rPr>
            </w:pPr>
            <w:r w:rsidRPr="00111679">
              <w:rPr>
                <w:rFonts w:asciiTheme="majorHAnsi" w:hAnsiTheme="majorHAnsi" w:cstheme="majorHAnsi"/>
                <w:color w:val="000000"/>
                <w:sz w:val="20"/>
                <w:szCs w:val="20"/>
              </w:rPr>
              <w:t>1,962</w:t>
            </w:r>
          </w:p>
        </w:tc>
        <w:tc>
          <w:tcPr>
            <w:tcW w:w="986" w:type="dxa"/>
            <w:noWrap/>
            <w:hideMark/>
          </w:tcPr>
          <w:p w14:paraId="47E7548A" w14:textId="77777777" w:rsidR="008D0CAD" w:rsidRPr="00111679" w:rsidRDefault="008D0CAD" w:rsidP="00B31C4E">
            <w:pPr>
              <w:spacing w:before="100" w:beforeAutospacing="1" w:after="100" w:afterAutospacing="1" w:line="360" w:lineRule="auto"/>
              <w:rPr>
                <w:rFonts w:asciiTheme="majorHAnsi" w:hAnsiTheme="majorHAnsi" w:cstheme="majorHAnsi"/>
                <w:color w:val="000000"/>
                <w:sz w:val="20"/>
                <w:szCs w:val="20"/>
              </w:rPr>
            </w:pPr>
            <w:r w:rsidRPr="00111679">
              <w:rPr>
                <w:rFonts w:asciiTheme="majorHAnsi" w:hAnsiTheme="majorHAnsi" w:cstheme="majorHAnsi"/>
                <w:color w:val="000000"/>
                <w:sz w:val="20"/>
                <w:szCs w:val="20"/>
              </w:rPr>
              <w:t>1,778</w:t>
            </w:r>
          </w:p>
        </w:tc>
        <w:tc>
          <w:tcPr>
            <w:tcW w:w="986" w:type="dxa"/>
            <w:noWrap/>
            <w:hideMark/>
          </w:tcPr>
          <w:p w14:paraId="10A31CD5" w14:textId="77777777" w:rsidR="008D0CAD" w:rsidRPr="00111679" w:rsidRDefault="008D0CAD" w:rsidP="00B31C4E">
            <w:pPr>
              <w:spacing w:before="100" w:beforeAutospacing="1" w:after="100" w:afterAutospacing="1" w:line="360" w:lineRule="auto"/>
              <w:rPr>
                <w:rFonts w:asciiTheme="majorHAnsi" w:hAnsiTheme="majorHAnsi" w:cstheme="majorHAnsi"/>
                <w:color w:val="000000"/>
                <w:sz w:val="20"/>
                <w:szCs w:val="20"/>
              </w:rPr>
            </w:pPr>
            <w:r w:rsidRPr="00111679">
              <w:rPr>
                <w:rFonts w:asciiTheme="majorHAnsi" w:hAnsiTheme="majorHAnsi" w:cstheme="majorHAnsi"/>
                <w:color w:val="000000"/>
                <w:sz w:val="20"/>
                <w:szCs w:val="20"/>
              </w:rPr>
              <w:t>3,740</w:t>
            </w:r>
          </w:p>
        </w:tc>
        <w:tc>
          <w:tcPr>
            <w:tcW w:w="1230" w:type="dxa"/>
            <w:noWrap/>
            <w:hideMark/>
          </w:tcPr>
          <w:p w14:paraId="5C95E407" w14:textId="77777777" w:rsidR="008D0CAD" w:rsidRPr="00111679" w:rsidRDefault="008D0CAD" w:rsidP="00B31C4E">
            <w:pPr>
              <w:spacing w:before="100" w:beforeAutospacing="1" w:after="100" w:afterAutospacing="1" w:line="360" w:lineRule="auto"/>
              <w:rPr>
                <w:rFonts w:asciiTheme="majorHAnsi" w:hAnsiTheme="majorHAnsi" w:cstheme="majorHAnsi"/>
                <w:color w:val="000000"/>
                <w:sz w:val="20"/>
                <w:szCs w:val="20"/>
              </w:rPr>
            </w:pPr>
            <w:r w:rsidRPr="00111679">
              <w:rPr>
                <w:rFonts w:asciiTheme="majorHAnsi" w:hAnsiTheme="majorHAnsi" w:cstheme="majorHAnsi"/>
                <w:color w:val="000000"/>
                <w:sz w:val="20"/>
                <w:szCs w:val="20"/>
              </w:rPr>
              <w:t>2,362</w:t>
            </w:r>
          </w:p>
        </w:tc>
        <w:tc>
          <w:tcPr>
            <w:tcW w:w="1230" w:type="dxa"/>
            <w:noWrap/>
            <w:hideMark/>
          </w:tcPr>
          <w:p w14:paraId="7D59D9C6" w14:textId="77777777" w:rsidR="008D0CAD" w:rsidRPr="00111679" w:rsidRDefault="008D0CAD" w:rsidP="00B31C4E">
            <w:pPr>
              <w:spacing w:before="100" w:beforeAutospacing="1" w:after="100" w:afterAutospacing="1" w:line="360" w:lineRule="auto"/>
              <w:rPr>
                <w:rFonts w:asciiTheme="majorHAnsi" w:hAnsiTheme="majorHAnsi" w:cstheme="majorHAnsi"/>
                <w:color w:val="000000"/>
                <w:sz w:val="20"/>
                <w:szCs w:val="20"/>
              </w:rPr>
            </w:pPr>
            <w:r w:rsidRPr="00111679">
              <w:rPr>
                <w:rFonts w:asciiTheme="majorHAnsi" w:hAnsiTheme="majorHAnsi" w:cstheme="majorHAnsi"/>
                <w:color w:val="000000"/>
                <w:sz w:val="20"/>
                <w:szCs w:val="20"/>
              </w:rPr>
              <w:t>2,186</w:t>
            </w:r>
          </w:p>
        </w:tc>
        <w:tc>
          <w:tcPr>
            <w:tcW w:w="1230" w:type="dxa"/>
            <w:noWrap/>
            <w:hideMark/>
          </w:tcPr>
          <w:p w14:paraId="7B047D15" w14:textId="77777777" w:rsidR="008D0CAD" w:rsidRPr="00111679" w:rsidRDefault="008D0CAD" w:rsidP="00B31C4E">
            <w:pPr>
              <w:spacing w:before="100" w:beforeAutospacing="1" w:after="100" w:afterAutospacing="1" w:line="360" w:lineRule="auto"/>
              <w:rPr>
                <w:rFonts w:asciiTheme="majorHAnsi" w:hAnsiTheme="majorHAnsi" w:cstheme="majorHAnsi"/>
                <w:color w:val="000000"/>
                <w:sz w:val="20"/>
                <w:szCs w:val="20"/>
              </w:rPr>
            </w:pPr>
            <w:r w:rsidRPr="00111679">
              <w:rPr>
                <w:rFonts w:asciiTheme="majorHAnsi" w:hAnsiTheme="majorHAnsi" w:cstheme="majorHAnsi"/>
                <w:color w:val="000000"/>
                <w:sz w:val="20"/>
                <w:szCs w:val="20"/>
              </w:rPr>
              <w:t>4,548</w:t>
            </w:r>
          </w:p>
        </w:tc>
        <w:tc>
          <w:tcPr>
            <w:tcW w:w="1135" w:type="dxa"/>
            <w:noWrap/>
            <w:hideMark/>
          </w:tcPr>
          <w:p w14:paraId="763F8E14" w14:textId="77777777" w:rsidR="008D0CAD" w:rsidRPr="00111679" w:rsidRDefault="008D0CAD" w:rsidP="00B31C4E">
            <w:pPr>
              <w:spacing w:before="100" w:beforeAutospacing="1" w:after="100" w:afterAutospacing="1" w:line="360" w:lineRule="auto"/>
              <w:rPr>
                <w:rFonts w:asciiTheme="majorHAnsi" w:hAnsiTheme="majorHAnsi" w:cstheme="majorHAnsi"/>
                <w:color w:val="000000"/>
                <w:sz w:val="20"/>
                <w:szCs w:val="20"/>
              </w:rPr>
            </w:pPr>
            <w:r w:rsidRPr="00111679">
              <w:rPr>
                <w:rFonts w:asciiTheme="majorHAnsi" w:hAnsiTheme="majorHAnsi" w:cstheme="majorHAnsi"/>
                <w:color w:val="000000"/>
                <w:sz w:val="20"/>
                <w:szCs w:val="20"/>
              </w:rPr>
              <w:t>808</w:t>
            </w:r>
          </w:p>
        </w:tc>
      </w:tr>
      <w:tr w:rsidR="008D0CAD" w:rsidRPr="00111679" w14:paraId="4207F469" w14:textId="77777777" w:rsidTr="00943324">
        <w:trPr>
          <w:trHeight w:val="257"/>
        </w:trPr>
        <w:tc>
          <w:tcPr>
            <w:tcW w:w="1226" w:type="dxa"/>
            <w:noWrap/>
            <w:hideMark/>
          </w:tcPr>
          <w:p w14:paraId="055CB028" w14:textId="77777777" w:rsidR="008D0CAD" w:rsidRPr="00111679" w:rsidRDefault="008D0CAD" w:rsidP="00B31C4E">
            <w:pPr>
              <w:spacing w:before="100" w:beforeAutospacing="1" w:after="100" w:afterAutospacing="1" w:line="360" w:lineRule="auto"/>
              <w:rPr>
                <w:rFonts w:asciiTheme="majorHAnsi" w:hAnsiTheme="majorHAnsi" w:cstheme="majorHAnsi"/>
                <w:b/>
                <w:color w:val="000000"/>
                <w:sz w:val="20"/>
                <w:szCs w:val="20"/>
              </w:rPr>
            </w:pPr>
            <w:r w:rsidRPr="00111679">
              <w:rPr>
                <w:rFonts w:asciiTheme="majorHAnsi" w:hAnsiTheme="majorHAnsi" w:cstheme="majorHAnsi"/>
                <w:b/>
                <w:color w:val="000000"/>
                <w:sz w:val="20"/>
                <w:szCs w:val="20"/>
              </w:rPr>
              <w:t> </w:t>
            </w:r>
          </w:p>
        </w:tc>
        <w:tc>
          <w:tcPr>
            <w:tcW w:w="987" w:type="dxa"/>
            <w:noWrap/>
            <w:hideMark/>
          </w:tcPr>
          <w:p w14:paraId="4FDE9591" w14:textId="77777777" w:rsidR="008D0CAD" w:rsidRPr="00111679" w:rsidRDefault="008D0CAD" w:rsidP="00B31C4E">
            <w:pPr>
              <w:spacing w:before="100" w:beforeAutospacing="1" w:after="100" w:afterAutospacing="1" w:line="360" w:lineRule="auto"/>
              <w:rPr>
                <w:rFonts w:asciiTheme="majorHAnsi" w:hAnsiTheme="majorHAnsi" w:cstheme="majorHAnsi"/>
                <w:b/>
                <w:color w:val="000000"/>
                <w:sz w:val="20"/>
                <w:szCs w:val="20"/>
              </w:rPr>
            </w:pPr>
            <w:r w:rsidRPr="00111679">
              <w:rPr>
                <w:rFonts w:asciiTheme="majorHAnsi" w:hAnsiTheme="majorHAnsi" w:cstheme="majorHAnsi"/>
                <w:b/>
                <w:color w:val="000000"/>
                <w:sz w:val="20"/>
                <w:szCs w:val="20"/>
              </w:rPr>
              <w:t>12,366</w:t>
            </w:r>
          </w:p>
        </w:tc>
        <w:tc>
          <w:tcPr>
            <w:tcW w:w="986" w:type="dxa"/>
            <w:noWrap/>
            <w:hideMark/>
          </w:tcPr>
          <w:p w14:paraId="291CCDDE" w14:textId="77777777" w:rsidR="008D0CAD" w:rsidRPr="00111679" w:rsidRDefault="008D0CAD" w:rsidP="00B31C4E">
            <w:pPr>
              <w:spacing w:before="100" w:beforeAutospacing="1" w:after="100" w:afterAutospacing="1" w:line="360" w:lineRule="auto"/>
              <w:rPr>
                <w:rFonts w:asciiTheme="majorHAnsi" w:hAnsiTheme="majorHAnsi" w:cstheme="majorHAnsi"/>
                <w:b/>
                <w:color w:val="000000"/>
                <w:sz w:val="20"/>
                <w:szCs w:val="20"/>
              </w:rPr>
            </w:pPr>
            <w:r w:rsidRPr="00111679">
              <w:rPr>
                <w:rFonts w:asciiTheme="majorHAnsi" w:hAnsiTheme="majorHAnsi" w:cstheme="majorHAnsi"/>
                <w:b/>
                <w:color w:val="000000"/>
                <w:sz w:val="20"/>
                <w:szCs w:val="20"/>
              </w:rPr>
              <w:t>11,473</w:t>
            </w:r>
          </w:p>
        </w:tc>
        <w:tc>
          <w:tcPr>
            <w:tcW w:w="986" w:type="dxa"/>
            <w:noWrap/>
            <w:hideMark/>
          </w:tcPr>
          <w:p w14:paraId="51129098" w14:textId="77777777" w:rsidR="008D0CAD" w:rsidRPr="00111679" w:rsidRDefault="008D0CAD" w:rsidP="00B31C4E">
            <w:pPr>
              <w:spacing w:before="100" w:beforeAutospacing="1" w:after="100" w:afterAutospacing="1" w:line="360" w:lineRule="auto"/>
              <w:rPr>
                <w:rFonts w:asciiTheme="majorHAnsi" w:hAnsiTheme="majorHAnsi" w:cstheme="majorHAnsi"/>
                <w:b/>
                <w:color w:val="000000"/>
                <w:sz w:val="20"/>
                <w:szCs w:val="20"/>
              </w:rPr>
            </w:pPr>
            <w:r w:rsidRPr="00111679">
              <w:rPr>
                <w:rFonts w:asciiTheme="majorHAnsi" w:hAnsiTheme="majorHAnsi" w:cstheme="majorHAnsi"/>
                <w:b/>
                <w:color w:val="000000"/>
                <w:sz w:val="20"/>
                <w:szCs w:val="20"/>
              </w:rPr>
              <w:t>23,839</w:t>
            </w:r>
          </w:p>
        </w:tc>
        <w:tc>
          <w:tcPr>
            <w:tcW w:w="1230" w:type="dxa"/>
            <w:noWrap/>
            <w:hideMark/>
          </w:tcPr>
          <w:p w14:paraId="5041F3FB" w14:textId="77777777" w:rsidR="008D0CAD" w:rsidRPr="00111679" w:rsidRDefault="008D0CAD" w:rsidP="00B31C4E">
            <w:pPr>
              <w:spacing w:before="100" w:beforeAutospacing="1" w:after="100" w:afterAutospacing="1" w:line="360" w:lineRule="auto"/>
              <w:rPr>
                <w:rFonts w:asciiTheme="majorHAnsi" w:hAnsiTheme="majorHAnsi" w:cstheme="majorHAnsi"/>
                <w:b/>
                <w:color w:val="000000"/>
                <w:sz w:val="20"/>
                <w:szCs w:val="20"/>
              </w:rPr>
            </w:pPr>
            <w:r w:rsidRPr="00111679">
              <w:rPr>
                <w:rFonts w:asciiTheme="majorHAnsi" w:hAnsiTheme="majorHAnsi" w:cstheme="majorHAnsi"/>
                <w:b/>
                <w:color w:val="000000"/>
                <w:sz w:val="20"/>
                <w:szCs w:val="20"/>
              </w:rPr>
              <w:t>13,578</w:t>
            </w:r>
          </w:p>
        </w:tc>
        <w:tc>
          <w:tcPr>
            <w:tcW w:w="1230" w:type="dxa"/>
            <w:noWrap/>
            <w:hideMark/>
          </w:tcPr>
          <w:p w14:paraId="0D39B915" w14:textId="77777777" w:rsidR="008D0CAD" w:rsidRPr="00111679" w:rsidRDefault="008D0CAD" w:rsidP="00B31C4E">
            <w:pPr>
              <w:spacing w:before="100" w:beforeAutospacing="1" w:after="100" w:afterAutospacing="1" w:line="360" w:lineRule="auto"/>
              <w:rPr>
                <w:rFonts w:asciiTheme="majorHAnsi" w:hAnsiTheme="majorHAnsi" w:cstheme="majorHAnsi"/>
                <w:b/>
                <w:color w:val="000000"/>
                <w:sz w:val="20"/>
                <w:szCs w:val="20"/>
              </w:rPr>
            </w:pPr>
            <w:r w:rsidRPr="00111679">
              <w:rPr>
                <w:rFonts w:asciiTheme="majorHAnsi" w:hAnsiTheme="majorHAnsi" w:cstheme="majorHAnsi"/>
                <w:b/>
                <w:color w:val="000000"/>
                <w:sz w:val="20"/>
                <w:szCs w:val="20"/>
              </w:rPr>
              <w:t>12,218</w:t>
            </w:r>
          </w:p>
        </w:tc>
        <w:tc>
          <w:tcPr>
            <w:tcW w:w="1230" w:type="dxa"/>
            <w:noWrap/>
            <w:hideMark/>
          </w:tcPr>
          <w:p w14:paraId="7A7E0662" w14:textId="77777777" w:rsidR="008D0CAD" w:rsidRPr="00111679" w:rsidRDefault="008D0CAD" w:rsidP="00B31C4E">
            <w:pPr>
              <w:spacing w:before="100" w:beforeAutospacing="1" w:after="100" w:afterAutospacing="1" w:line="360" w:lineRule="auto"/>
              <w:rPr>
                <w:rFonts w:asciiTheme="majorHAnsi" w:hAnsiTheme="majorHAnsi" w:cstheme="majorHAnsi"/>
                <w:b/>
                <w:color w:val="000000"/>
                <w:sz w:val="20"/>
                <w:szCs w:val="20"/>
              </w:rPr>
            </w:pPr>
            <w:r w:rsidRPr="00111679">
              <w:rPr>
                <w:rFonts w:asciiTheme="majorHAnsi" w:hAnsiTheme="majorHAnsi" w:cstheme="majorHAnsi"/>
                <w:b/>
                <w:color w:val="000000"/>
                <w:sz w:val="20"/>
                <w:szCs w:val="20"/>
              </w:rPr>
              <w:t>25,796</w:t>
            </w:r>
          </w:p>
        </w:tc>
        <w:tc>
          <w:tcPr>
            <w:tcW w:w="1135" w:type="dxa"/>
            <w:noWrap/>
            <w:hideMark/>
          </w:tcPr>
          <w:p w14:paraId="4FC7E0CD" w14:textId="77777777" w:rsidR="008D0CAD" w:rsidRPr="00111679" w:rsidRDefault="008D0CAD" w:rsidP="00B31C4E">
            <w:pPr>
              <w:spacing w:before="100" w:beforeAutospacing="1" w:after="100" w:afterAutospacing="1" w:line="360" w:lineRule="auto"/>
              <w:rPr>
                <w:rFonts w:asciiTheme="majorHAnsi" w:hAnsiTheme="majorHAnsi" w:cstheme="majorHAnsi"/>
                <w:b/>
                <w:color w:val="000000"/>
                <w:sz w:val="20"/>
                <w:szCs w:val="20"/>
              </w:rPr>
            </w:pPr>
            <w:r w:rsidRPr="00111679">
              <w:rPr>
                <w:rFonts w:asciiTheme="majorHAnsi" w:hAnsiTheme="majorHAnsi" w:cstheme="majorHAnsi"/>
                <w:b/>
                <w:color w:val="000000"/>
                <w:sz w:val="20"/>
                <w:szCs w:val="20"/>
              </w:rPr>
              <w:t> </w:t>
            </w:r>
          </w:p>
        </w:tc>
      </w:tr>
    </w:tbl>
    <w:p w14:paraId="42395A73" w14:textId="677F8572" w:rsidR="008D0CAD" w:rsidRDefault="00943324" w:rsidP="00B31C4E">
      <w:pPr>
        <w:spacing w:before="100" w:beforeAutospacing="1" w:after="100" w:afterAutospacing="1" w:line="360" w:lineRule="auto"/>
        <w:rPr>
          <w:rFonts w:asciiTheme="majorHAnsi" w:hAnsiTheme="majorHAnsi" w:cstheme="majorHAnsi"/>
          <w:color w:val="000000"/>
          <w:sz w:val="14"/>
          <w:szCs w:val="14"/>
        </w:rPr>
      </w:pPr>
      <w:r w:rsidRPr="002339E6">
        <w:rPr>
          <w:rFonts w:asciiTheme="majorHAnsi" w:hAnsiTheme="majorHAnsi" w:cstheme="majorHAnsi"/>
          <w:color w:val="000000"/>
          <w:sz w:val="14"/>
          <w:szCs w:val="14"/>
        </w:rPr>
        <w:t>*Not all recipient schools had data</w:t>
      </w:r>
    </w:p>
    <w:p w14:paraId="222F4E57" w14:textId="0BDD36FA" w:rsidR="00943324" w:rsidRDefault="00943324" w:rsidP="00B31C4E">
      <w:pPr>
        <w:spacing w:before="100" w:beforeAutospacing="1" w:after="100" w:afterAutospacing="1" w:line="360" w:lineRule="auto"/>
        <w:rPr>
          <w:rFonts w:asciiTheme="majorHAnsi" w:hAnsiTheme="majorHAnsi" w:cstheme="majorHAnsi"/>
          <w:bCs/>
          <w:color w:val="000000"/>
        </w:rPr>
      </w:pPr>
      <w:r w:rsidRPr="002339E6">
        <w:rPr>
          <w:rFonts w:asciiTheme="majorHAnsi" w:hAnsiTheme="majorHAnsi" w:cstheme="majorHAnsi"/>
          <w:color w:val="000000"/>
          <w:sz w:val="14"/>
          <w:szCs w:val="14"/>
        </w:rPr>
        <w:t>Source: PBSP Tracking Report, 2019</w:t>
      </w:r>
    </w:p>
    <w:p w14:paraId="2D4FB662" w14:textId="639A5B1D" w:rsidR="008D0CAD" w:rsidRDefault="008D0CAD" w:rsidP="00B31C4E">
      <w:pPr>
        <w:pStyle w:val="NormalWeb"/>
        <w:spacing w:line="360" w:lineRule="auto"/>
        <w:rPr>
          <w:rFonts w:asciiTheme="majorHAnsi" w:hAnsiTheme="majorHAnsi" w:cstheme="majorHAnsi"/>
          <w:bCs/>
          <w:color w:val="000000"/>
        </w:rPr>
      </w:pPr>
      <w:r>
        <w:rPr>
          <w:rFonts w:asciiTheme="majorHAnsi" w:hAnsiTheme="majorHAnsi" w:cstheme="majorHAnsi"/>
          <w:color w:val="000000"/>
        </w:rPr>
        <w:t>T</w:t>
      </w:r>
      <w:r w:rsidRPr="007B0C91">
        <w:rPr>
          <w:rFonts w:asciiTheme="majorHAnsi" w:hAnsiTheme="majorHAnsi" w:cstheme="majorHAnsi"/>
          <w:color w:val="000000"/>
        </w:rPr>
        <w:t xml:space="preserve">he outcome of increased participation and completion </w:t>
      </w:r>
      <w:r>
        <w:rPr>
          <w:rFonts w:asciiTheme="majorHAnsi" w:hAnsiTheme="majorHAnsi" w:cstheme="majorHAnsi"/>
          <w:color w:val="000000"/>
        </w:rPr>
        <w:t>by</w:t>
      </w:r>
      <w:r w:rsidRPr="007B0C91">
        <w:rPr>
          <w:rFonts w:asciiTheme="majorHAnsi" w:hAnsiTheme="majorHAnsi" w:cstheme="majorHAnsi"/>
          <w:color w:val="000000"/>
        </w:rPr>
        <w:t xml:space="preserve"> boys and girls in the recipient schools could not be </w:t>
      </w:r>
      <w:r>
        <w:rPr>
          <w:rFonts w:asciiTheme="majorHAnsi" w:hAnsiTheme="majorHAnsi" w:cstheme="majorHAnsi"/>
          <w:color w:val="000000"/>
        </w:rPr>
        <w:t>directly</w:t>
      </w:r>
      <w:r w:rsidRPr="007B0C91">
        <w:rPr>
          <w:rFonts w:asciiTheme="majorHAnsi" w:hAnsiTheme="majorHAnsi" w:cstheme="majorHAnsi"/>
          <w:color w:val="000000"/>
        </w:rPr>
        <w:t xml:space="preserve"> </w:t>
      </w:r>
      <w:r>
        <w:rPr>
          <w:rFonts w:asciiTheme="majorHAnsi" w:hAnsiTheme="majorHAnsi" w:cstheme="majorHAnsi"/>
          <w:color w:val="000000"/>
        </w:rPr>
        <w:t>attributed to the Classroom Construction</w:t>
      </w:r>
      <w:r w:rsidRPr="007B0C91">
        <w:rPr>
          <w:rFonts w:asciiTheme="majorHAnsi" w:hAnsiTheme="majorHAnsi" w:cstheme="majorHAnsi"/>
          <w:color w:val="000000"/>
        </w:rPr>
        <w:t xml:space="preserve"> due to insufficient data.</w:t>
      </w:r>
      <w:r w:rsidR="00D434EB">
        <w:rPr>
          <w:rFonts w:asciiTheme="majorHAnsi" w:hAnsiTheme="majorHAnsi" w:cstheme="majorHAnsi"/>
          <w:color w:val="000000"/>
        </w:rPr>
        <w:t xml:space="preserve"> </w:t>
      </w:r>
      <w:r>
        <w:rPr>
          <w:rFonts w:asciiTheme="majorHAnsi" w:hAnsiTheme="majorHAnsi" w:cstheme="majorHAnsi"/>
          <w:color w:val="000000"/>
        </w:rPr>
        <w:t>A</w:t>
      </w:r>
      <w:r w:rsidRPr="007B0C91">
        <w:rPr>
          <w:rFonts w:asciiTheme="majorHAnsi" w:hAnsiTheme="majorHAnsi" w:cstheme="majorHAnsi"/>
          <w:color w:val="000000"/>
        </w:rPr>
        <w:t>lthough the overall number of students in</w:t>
      </w:r>
      <w:r>
        <w:rPr>
          <w:rFonts w:asciiTheme="majorHAnsi" w:hAnsiTheme="majorHAnsi" w:cstheme="majorHAnsi"/>
          <w:color w:val="000000"/>
        </w:rPr>
        <w:t xml:space="preserve"> the</w:t>
      </w:r>
      <w:r w:rsidRPr="007B0C91">
        <w:rPr>
          <w:rFonts w:asciiTheme="majorHAnsi" w:hAnsiTheme="majorHAnsi" w:cstheme="majorHAnsi"/>
          <w:color w:val="000000"/>
        </w:rPr>
        <w:t xml:space="preserve"> schools that received </w:t>
      </w:r>
      <w:r>
        <w:rPr>
          <w:rFonts w:asciiTheme="majorHAnsi" w:hAnsiTheme="majorHAnsi" w:cstheme="majorHAnsi"/>
          <w:color w:val="000000"/>
        </w:rPr>
        <w:t xml:space="preserve">new </w:t>
      </w:r>
      <w:r w:rsidRPr="007B0C91">
        <w:rPr>
          <w:rFonts w:asciiTheme="majorHAnsi" w:hAnsiTheme="majorHAnsi" w:cstheme="majorHAnsi"/>
          <w:color w:val="000000"/>
        </w:rPr>
        <w:t xml:space="preserve">classrooms increased </w:t>
      </w:r>
      <w:r>
        <w:rPr>
          <w:rFonts w:asciiTheme="majorHAnsi" w:hAnsiTheme="majorHAnsi" w:cstheme="majorHAnsi"/>
          <w:color w:val="000000"/>
        </w:rPr>
        <w:t xml:space="preserve">from </w:t>
      </w:r>
      <w:r w:rsidRPr="007B0C91">
        <w:rPr>
          <w:rFonts w:asciiTheme="majorHAnsi" w:hAnsiTheme="majorHAnsi" w:cstheme="majorHAnsi"/>
          <w:color w:val="000000"/>
        </w:rPr>
        <w:t xml:space="preserve">23,839 in SY2012-2013 to 25,796 in </w:t>
      </w:r>
      <w:r w:rsidRPr="007B0C91">
        <w:rPr>
          <w:rFonts w:asciiTheme="majorHAnsi" w:hAnsiTheme="majorHAnsi" w:cstheme="majorHAnsi"/>
          <w:bCs/>
          <w:color w:val="000000"/>
        </w:rPr>
        <w:t xml:space="preserve">SY 2016-17, experiences among schools </w:t>
      </w:r>
      <w:r>
        <w:rPr>
          <w:rFonts w:asciiTheme="majorHAnsi" w:hAnsiTheme="majorHAnsi" w:cstheme="majorHAnsi"/>
          <w:bCs/>
          <w:color w:val="000000"/>
        </w:rPr>
        <w:t>varied</w:t>
      </w:r>
      <w:r w:rsidRPr="007B0C91">
        <w:rPr>
          <w:rFonts w:asciiTheme="majorHAnsi" w:hAnsiTheme="majorHAnsi" w:cstheme="majorHAnsi"/>
          <w:bCs/>
          <w:color w:val="000000"/>
        </w:rPr>
        <w:t>.</w:t>
      </w:r>
      <w:r w:rsidR="00D434EB">
        <w:rPr>
          <w:rFonts w:asciiTheme="majorHAnsi" w:hAnsiTheme="majorHAnsi" w:cstheme="majorHAnsi"/>
          <w:bCs/>
          <w:color w:val="000000"/>
        </w:rPr>
        <w:t xml:space="preserve"> </w:t>
      </w:r>
    </w:p>
    <w:p w14:paraId="6614A7D0" w14:textId="77777777" w:rsidR="008D0CAD" w:rsidRPr="0029503F" w:rsidRDefault="008D0CAD" w:rsidP="00B31C4E">
      <w:pPr>
        <w:spacing w:before="100" w:beforeAutospacing="1" w:after="100" w:afterAutospacing="1" w:line="360" w:lineRule="auto"/>
        <w:rPr>
          <w:rFonts w:asciiTheme="majorHAnsi" w:hAnsiTheme="majorHAnsi" w:cstheme="majorHAnsi"/>
          <w:bCs/>
          <w:color w:val="000000"/>
        </w:rPr>
      </w:pPr>
      <w:r>
        <w:rPr>
          <w:rFonts w:asciiTheme="majorHAnsi" w:hAnsiTheme="majorHAnsi" w:cstheme="majorHAnsi"/>
          <w:bCs/>
          <w:color w:val="000000"/>
        </w:rPr>
        <w:t>Also</w:t>
      </w:r>
      <w:r w:rsidRPr="007B0C91">
        <w:rPr>
          <w:rFonts w:asciiTheme="majorHAnsi" w:hAnsiTheme="majorHAnsi" w:cstheme="majorHAnsi"/>
          <w:bCs/>
          <w:color w:val="000000"/>
        </w:rPr>
        <w:t xml:space="preserve">, </w:t>
      </w:r>
      <w:r>
        <w:rPr>
          <w:rFonts w:asciiTheme="majorHAnsi" w:hAnsiTheme="majorHAnsi" w:cstheme="majorHAnsi"/>
          <w:iCs/>
        </w:rPr>
        <w:t>despite the additional classrooms, several</w:t>
      </w:r>
      <w:r w:rsidRPr="007B0C91">
        <w:rPr>
          <w:rFonts w:asciiTheme="majorHAnsi" w:hAnsiTheme="majorHAnsi" w:cstheme="majorHAnsi"/>
          <w:bCs/>
          <w:color w:val="000000"/>
        </w:rPr>
        <w:t xml:space="preserve"> recipient school</w:t>
      </w:r>
      <w:r>
        <w:rPr>
          <w:rFonts w:asciiTheme="majorHAnsi" w:hAnsiTheme="majorHAnsi" w:cstheme="majorHAnsi"/>
          <w:bCs/>
          <w:color w:val="000000"/>
        </w:rPr>
        <w:t xml:space="preserve">s experienced declines in student population </w:t>
      </w:r>
      <w:r w:rsidRPr="007B0C91">
        <w:rPr>
          <w:rFonts w:asciiTheme="majorHAnsi" w:hAnsiTheme="majorHAnsi" w:cstheme="majorHAnsi"/>
          <w:iCs/>
        </w:rPr>
        <w:t>from baseline to endline</w:t>
      </w:r>
      <w:r>
        <w:rPr>
          <w:rFonts w:asciiTheme="majorHAnsi" w:hAnsiTheme="majorHAnsi" w:cstheme="majorHAnsi"/>
          <w:bCs/>
          <w:color w:val="000000"/>
        </w:rPr>
        <w:t xml:space="preserve"> such as: </w:t>
      </w:r>
      <w:r w:rsidRPr="007B0C91">
        <w:rPr>
          <w:rFonts w:asciiTheme="majorHAnsi" w:hAnsiTheme="majorHAnsi" w:cstheme="majorHAnsi"/>
          <w:iCs/>
        </w:rPr>
        <w:t>San Antonio Elementary School</w:t>
      </w:r>
      <w:r w:rsidRPr="008C750D">
        <w:rPr>
          <w:rFonts w:asciiTheme="majorHAnsi" w:hAnsiTheme="majorHAnsi" w:cstheme="majorHAnsi"/>
          <w:bCs/>
          <w:color w:val="000000"/>
        </w:rPr>
        <w:t xml:space="preserve"> </w:t>
      </w:r>
      <w:r w:rsidRPr="007B0C91">
        <w:rPr>
          <w:rFonts w:asciiTheme="majorHAnsi" w:hAnsiTheme="majorHAnsi" w:cstheme="majorHAnsi"/>
          <w:bCs/>
          <w:color w:val="000000"/>
        </w:rPr>
        <w:t>in Region V</w:t>
      </w:r>
      <w:r w:rsidRPr="008C750D">
        <w:rPr>
          <w:rFonts w:asciiTheme="majorHAnsi" w:hAnsiTheme="majorHAnsi" w:cstheme="majorHAnsi"/>
          <w:iCs/>
        </w:rPr>
        <w:t xml:space="preserve"> </w:t>
      </w:r>
      <w:r>
        <w:rPr>
          <w:rFonts w:asciiTheme="majorHAnsi" w:hAnsiTheme="majorHAnsi" w:cstheme="majorHAnsi"/>
          <w:iCs/>
        </w:rPr>
        <w:t xml:space="preserve">which </w:t>
      </w:r>
      <w:r w:rsidRPr="007B0C91">
        <w:rPr>
          <w:rFonts w:asciiTheme="majorHAnsi" w:hAnsiTheme="majorHAnsi" w:cstheme="majorHAnsi"/>
          <w:iCs/>
        </w:rPr>
        <w:t xml:space="preserve">experienced </w:t>
      </w:r>
      <w:r>
        <w:rPr>
          <w:rFonts w:asciiTheme="majorHAnsi" w:hAnsiTheme="majorHAnsi" w:cstheme="majorHAnsi"/>
          <w:iCs/>
        </w:rPr>
        <w:t xml:space="preserve">a </w:t>
      </w:r>
      <w:r w:rsidRPr="007B0C91">
        <w:rPr>
          <w:rFonts w:asciiTheme="majorHAnsi" w:hAnsiTheme="majorHAnsi" w:cstheme="majorHAnsi"/>
          <w:iCs/>
        </w:rPr>
        <w:t xml:space="preserve">decline of 91 students </w:t>
      </w:r>
      <w:r>
        <w:rPr>
          <w:rFonts w:asciiTheme="majorHAnsi" w:hAnsiTheme="majorHAnsi" w:cstheme="majorHAnsi"/>
          <w:iCs/>
        </w:rPr>
        <w:t xml:space="preserve">during the two periods; </w:t>
      </w:r>
      <w:r w:rsidRPr="007B0C91">
        <w:rPr>
          <w:rFonts w:asciiTheme="majorHAnsi" w:hAnsiTheme="majorHAnsi" w:cstheme="majorHAnsi"/>
          <w:color w:val="000000"/>
        </w:rPr>
        <w:t xml:space="preserve">San Miguel Central </w:t>
      </w:r>
      <w:r w:rsidRPr="007B0C91">
        <w:rPr>
          <w:rFonts w:asciiTheme="majorHAnsi" w:hAnsiTheme="majorHAnsi" w:cstheme="majorHAnsi"/>
          <w:iCs/>
        </w:rPr>
        <w:t xml:space="preserve">Elementary </w:t>
      </w:r>
      <w:r w:rsidRPr="007B0C91">
        <w:rPr>
          <w:rFonts w:asciiTheme="majorHAnsi" w:hAnsiTheme="majorHAnsi" w:cstheme="majorHAnsi"/>
          <w:color w:val="000000"/>
        </w:rPr>
        <w:t>School</w:t>
      </w:r>
      <w:r w:rsidRPr="008C750D">
        <w:rPr>
          <w:rFonts w:asciiTheme="majorHAnsi" w:hAnsiTheme="majorHAnsi" w:cstheme="majorHAnsi"/>
          <w:bCs/>
          <w:color w:val="000000"/>
        </w:rPr>
        <w:t xml:space="preserve"> </w:t>
      </w:r>
      <w:r w:rsidRPr="007B0C91">
        <w:rPr>
          <w:rFonts w:asciiTheme="majorHAnsi" w:hAnsiTheme="majorHAnsi" w:cstheme="majorHAnsi"/>
          <w:bCs/>
          <w:color w:val="000000"/>
        </w:rPr>
        <w:t>in Region VII</w:t>
      </w:r>
      <w:r w:rsidRPr="008C750D">
        <w:rPr>
          <w:rFonts w:asciiTheme="majorHAnsi" w:hAnsiTheme="majorHAnsi" w:cstheme="majorHAnsi"/>
          <w:bCs/>
          <w:color w:val="000000"/>
        </w:rPr>
        <w:t xml:space="preserve"> </w:t>
      </w:r>
      <w:r>
        <w:rPr>
          <w:rFonts w:asciiTheme="majorHAnsi" w:hAnsiTheme="majorHAnsi" w:cstheme="majorHAnsi"/>
          <w:bCs/>
          <w:color w:val="000000"/>
        </w:rPr>
        <w:t>which had</w:t>
      </w:r>
      <w:r w:rsidRPr="007B0C91">
        <w:rPr>
          <w:rFonts w:asciiTheme="majorHAnsi" w:hAnsiTheme="majorHAnsi" w:cstheme="majorHAnsi"/>
          <w:bCs/>
          <w:color w:val="000000"/>
        </w:rPr>
        <w:t xml:space="preserve"> a decline of 49 students</w:t>
      </w:r>
      <w:r>
        <w:rPr>
          <w:rFonts w:asciiTheme="majorHAnsi" w:hAnsiTheme="majorHAnsi" w:cstheme="majorHAnsi"/>
          <w:bCs/>
          <w:color w:val="000000"/>
        </w:rPr>
        <w:t xml:space="preserve">; and </w:t>
      </w:r>
      <w:r w:rsidRPr="007B0C91">
        <w:rPr>
          <w:rFonts w:asciiTheme="majorHAnsi" w:hAnsiTheme="majorHAnsi" w:cstheme="majorHAnsi"/>
          <w:color w:val="000000"/>
        </w:rPr>
        <w:t>Catarman Central School I</w:t>
      </w:r>
      <w:r>
        <w:rPr>
          <w:rFonts w:asciiTheme="majorHAnsi" w:hAnsiTheme="majorHAnsi" w:cstheme="majorHAnsi"/>
          <w:color w:val="000000"/>
        </w:rPr>
        <w:t xml:space="preserve"> </w:t>
      </w:r>
      <w:r w:rsidRPr="007B0C91">
        <w:rPr>
          <w:rFonts w:asciiTheme="majorHAnsi" w:hAnsiTheme="majorHAnsi" w:cstheme="majorHAnsi"/>
          <w:bCs/>
          <w:color w:val="000000"/>
        </w:rPr>
        <w:t>in Region VIII</w:t>
      </w:r>
      <w:r w:rsidRPr="008C750D">
        <w:rPr>
          <w:rFonts w:asciiTheme="majorHAnsi" w:hAnsiTheme="majorHAnsi" w:cstheme="majorHAnsi"/>
          <w:bCs/>
          <w:color w:val="000000"/>
        </w:rPr>
        <w:t xml:space="preserve"> </w:t>
      </w:r>
      <w:r>
        <w:rPr>
          <w:rFonts w:asciiTheme="majorHAnsi" w:hAnsiTheme="majorHAnsi" w:cstheme="majorHAnsi"/>
          <w:bCs/>
          <w:color w:val="000000"/>
        </w:rPr>
        <w:t>which had</w:t>
      </w:r>
      <w:r w:rsidRPr="007B0C91">
        <w:rPr>
          <w:rFonts w:asciiTheme="majorHAnsi" w:hAnsiTheme="majorHAnsi" w:cstheme="majorHAnsi"/>
          <w:bCs/>
          <w:color w:val="000000"/>
        </w:rPr>
        <w:t xml:space="preserve"> a decline </w:t>
      </w:r>
      <w:r>
        <w:rPr>
          <w:rFonts w:asciiTheme="majorHAnsi" w:hAnsiTheme="majorHAnsi" w:cstheme="majorHAnsi"/>
          <w:bCs/>
          <w:color w:val="000000"/>
        </w:rPr>
        <w:t>of</w:t>
      </w:r>
      <w:r w:rsidRPr="007B0C91">
        <w:rPr>
          <w:rFonts w:asciiTheme="majorHAnsi" w:hAnsiTheme="majorHAnsi" w:cstheme="majorHAnsi"/>
          <w:bCs/>
          <w:color w:val="000000"/>
        </w:rPr>
        <w:t xml:space="preserve"> 122</w:t>
      </w:r>
      <w:r w:rsidRPr="008C750D">
        <w:rPr>
          <w:rFonts w:asciiTheme="majorHAnsi" w:hAnsiTheme="majorHAnsi" w:cstheme="majorHAnsi"/>
          <w:bCs/>
          <w:color w:val="000000"/>
        </w:rPr>
        <w:t xml:space="preserve"> </w:t>
      </w:r>
      <w:r w:rsidRPr="007B0C91">
        <w:rPr>
          <w:rFonts w:asciiTheme="majorHAnsi" w:hAnsiTheme="majorHAnsi" w:cstheme="majorHAnsi"/>
          <w:bCs/>
          <w:color w:val="000000"/>
        </w:rPr>
        <w:t>students</w:t>
      </w:r>
      <w:r>
        <w:rPr>
          <w:rFonts w:asciiTheme="majorHAnsi" w:hAnsiTheme="majorHAnsi" w:cstheme="majorHAnsi"/>
          <w:bCs/>
          <w:color w:val="000000"/>
        </w:rPr>
        <w:t>. Decline in student population in schools were attributed to environmental and socio-economic factors.</w:t>
      </w:r>
    </w:p>
    <w:p w14:paraId="4176CB14" w14:textId="27E1AE85" w:rsidR="008D0CAD" w:rsidRPr="00BB3D80" w:rsidRDefault="008D0CAD" w:rsidP="00B31C4E">
      <w:pPr>
        <w:spacing w:before="100" w:beforeAutospacing="1" w:after="100" w:afterAutospacing="1" w:line="360" w:lineRule="auto"/>
        <w:rPr>
          <w:rFonts w:asciiTheme="majorHAnsi" w:hAnsiTheme="majorHAnsi" w:cstheme="majorHAnsi"/>
          <w:color w:val="000000"/>
        </w:rPr>
      </w:pPr>
      <w:r w:rsidRPr="00BB3D80">
        <w:rPr>
          <w:rFonts w:asciiTheme="majorHAnsi" w:hAnsiTheme="majorHAnsi" w:cstheme="majorHAnsi"/>
          <w:color w:val="000000"/>
        </w:rPr>
        <w:t xml:space="preserve">In 2012, </w:t>
      </w:r>
      <w:r>
        <w:rPr>
          <w:rFonts w:asciiTheme="majorHAnsi" w:hAnsiTheme="majorHAnsi" w:cstheme="majorHAnsi"/>
          <w:color w:val="000000"/>
        </w:rPr>
        <w:t>at the design stage of the BEST Program, DepEd</w:t>
      </w:r>
      <w:r w:rsidRPr="00BB3D80">
        <w:rPr>
          <w:rFonts w:asciiTheme="majorHAnsi" w:hAnsiTheme="majorHAnsi" w:cstheme="majorHAnsi"/>
          <w:color w:val="000000"/>
        </w:rPr>
        <w:t xml:space="preserve">’s budget for classroom construction was </w:t>
      </w:r>
      <w:r w:rsidRPr="004E2206">
        <w:rPr>
          <w:rFonts w:asciiTheme="majorHAnsi" w:hAnsiTheme="majorHAnsi" w:cstheme="majorHAnsi"/>
          <w:color w:val="000000"/>
        </w:rPr>
        <w:t xml:space="preserve">less than </w:t>
      </w:r>
      <w:r>
        <w:rPr>
          <w:rFonts w:asciiTheme="majorHAnsi" w:hAnsiTheme="majorHAnsi" w:cstheme="majorHAnsi"/>
          <w:color w:val="000000"/>
        </w:rPr>
        <w:t xml:space="preserve">PHP 2 billion </w:t>
      </w:r>
      <w:r w:rsidRPr="004E2206">
        <w:rPr>
          <w:rFonts w:asciiTheme="majorHAnsi" w:hAnsiTheme="majorHAnsi" w:cstheme="majorHAnsi"/>
          <w:color w:val="000000"/>
        </w:rPr>
        <w:t xml:space="preserve">annually </w:t>
      </w:r>
      <w:r>
        <w:rPr>
          <w:rFonts w:asciiTheme="majorHAnsi" w:hAnsiTheme="majorHAnsi" w:cstheme="majorHAnsi"/>
          <w:color w:val="000000"/>
        </w:rPr>
        <w:t>(</w:t>
      </w:r>
      <w:r w:rsidRPr="004E2206">
        <w:rPr>
          <w:rFonts w:asciiTheme="majorHAnsi" w:hAnsiTheme="majorHAnsi" w:cstheme="majorHAnsi"/>
          <w:color w:val="000000"/>
        </w:rPr>
        <w:t xml:space="preserve">under the </w:t>
      </w:r>
      <w:r>
        <w:rPr>
          <w:rFonts w:asciiTheme="majorHAnsi" w:hAnsiTheme="majorHAnsi" w:cstheme="majorHAnsi"/>
          <w:color w:val="000000"/>
        </w:rPr>
        <w:t>General Appropriations Act).</w:t>
      </w:r>
      <w:r w:rsidR="00D434EB">
        <w:rPr>
          <w:rFonts w:asciiTheme="majorHAnsi" w:hAnsiTheme="majorHAnsi" w:cstheme="majorHAnsi"/>
          <w:color w:val="000000"/>
        </w:rPr>
        <w:t xml:space="preserve"> </w:t>
      </w:r>
      <w:r>
        <w:rPr>
          <w:rFonts w:asciiTheme="majorHAnsi" w:hAnsiTheme="majorHAnsi" w:cstheme="majorHAnsi"/>
          <w:color w:val="000000"/>
        </w:rPr>
        <w:t>T</w:t>
      </w:r>
      <w:r w:rsidRPr="004E2206">
        <w:rPr>
          <w:rFonts w:asciiTheme="majorHAnsi" w:hAnsiTheme="majorHAnsi" w:cstheme="majorHAnsi"/>
          <w:color w:val="000000"/>
        </w:rPr>
        <w:t xml:space="preserve">his </w:t>
      </w:r>
      <w:r>
        <w:rPr>
          <w:rFonts w:asciiTheme="majorHAnsi" w:hAnsiTheme="majorHAnsi" w:cstheme="majorHAnsi"/>
          <w:color w:val="000000"/>
        </w:rPr>
        <w:t xml:space="preserve">was </w:t>
      </w:r>
      <w:r w:rsidRPr="004E2206">
        <w:rPr>
          <w:rFonts w:asciiTheme="majorHAnsi" w:hAnsiTheme="majorHAnsi" w:cstheme="majorHAnsi"/>
          <w:color w:val="000000"/>
        </w:rPr>
        <w:t>the basis for targeting</w:t>
      </w:r>
      <w:r>
        <w:rPr>
          <w:rFonts w:asciiTheme="majorHAnsi" w:hAnsiTheme="majorHAnsi" w:cstheme="majorHAnsi"/>
          <w:color w:val="000000"/>
        </w:rPr>
        <w:t xml:space="preserve"> construction of</w:t>
      </w:r>
      <w:r w:rsidRPr="004E2206">
        <w:rPr>
          <w:rFonts w:asciiTheme="majorHAnsi" w:hAnsiTheme="majorHAnsi" w:cstheme="majorHAnsi"/>
          <w:color w:val="000000"/>
        </w:rPr>
        <w:t xml:space="preserve"> 1,000 classroom</w:t>
      </w:r>
      <w:r>
        <w:rPr>
          <w:rFonts w:asciiTheme="majorHAnsi" w:hAnsiTheme="majorHAnsi" w:cstheme="majorHAnsi"/>
          <w:color w:val="000000"/>
        </w:rPr>
        <w:t xml:space="preserve">s, half of which were taken on by PBSP as part of the BEST Program </w:t>
      </w:r>
      <w:r w:rsidRPr="00990248">
        <w:rPr>
          <w:rFonts w:asciiTheme="majorHAnsi" w:hAnsiTheme="majorHAnsi" w:cstheme="majorHAnsi"/>
          <w:color w:val="000000"/>
        </w:rPr>
        <w:t>while the P2 billion allocated was used by DepEd to construct the remaining half</w:t>
      </w:r>
      <w:r w:rsidRPr="00990248">
        <w:rPr>
          <w:rFonts w:asciiTheme="majorHAnsi" w:hAnsiTheme="majorHAnsi" w:cstheme="majorHAnsi"/>
          <w:b/>
          <w:bCs/>
          <w:color w:val="000000"/>
        </w:rPr>
        <w:t>.</w:t>
      </w:r>
      <w:r w:rsidR="00D434EB">
        <w:rPr>
          <w:rFonts w:asciiTheme="majorHAnsi" w:hAnsiTheme="majorHAnsi" w:cstheme="majorHAnsi"/>
          <w:color w:val="000000"/>
        </w:rPr>
        <w:t xml:space="preserve"> </w:t>
      </w:r>
      <w:r>
        <w:rPr>
          <w:rFonts w:asciiTheme="majorHAnsi" w:hAnsiTheme="majorHAnsi" w:cstheme="majorHAnsi"/>
          <w:color w:val="000000"/>
        </w:rPr>
        <w:t xml:space="preserve">However, in 2013, DepEd’s </w:t>
      </w:r>
      <w:r w:rsidRPr="00BB3D80">
        <w:rPr>
          <w:rFonts w:asciiTheme="majorHAnsi" w:hAnsiTheme="majorHAnsi" w:cstheme="majorHAnsi"/>
          <w:color w:val="000000"/>
        </w:rPr>
        <w:t>classroom construction</w:t>
      </w:r>
      <w:r>
        <w:rPr>
          <w:rFonts w:asciiTheme="majorHAnsi" w:hAnsiTheme="majorHAnsi" w:cstheme="majorHAnsi"/>
          <w:color w:val="000000"/>
        </w:rPr>
        <w:t xml:space="preserve"> </w:t>
      </w:r>
      <w:r w:rsidRPr="00BB3D80">
        <w:rPr>
          <w:rFonts w:asciiTheme="majorHAnsi" w:hAnsiTheme="majorHAnsi" w:cstheme="majorHAnsi"/>
          <w:color w:val="000000"/>
        </w:rPr>
        <w:t>budget increased</w:t>
      </w:r>
      <w:r>
        <w:rPr>
          <w:rFonts w:asciiTheme="majorHAnsi" w:hAnsiTheme="majorHAnsi" w:cstheme="majorHAnsi"/>
          <w:color w:val="000000"/>
        </w:rPr>
        <w:t xml:space="preserve"> significantly</w:t>
      </w:r>
      <w:r w:rsidRPr="00BB3D80">
        <w:rPr>
          <w:rFonts w:asciiTheme="majorHAnsi" w:hAnsiTheme="majorHAnsi" w:cstheme="majorHAnsi"/>
          <w:color w:val="000000"/>
        </w:rPr>
        <w:t xml:space="preserve"> to </w:t>
      </w:r>
      <w:r>
        <w:rPr>
          <w:rFonts w:asciiTheme="majorHAnsi" w:hAnsiTheme="majorHAnsi" w:cstheme="majorHAnsi"/>
          <w:color w:val="000000"/>
        </w:rPr>
        <w:t xml:space="preserve">about </w:t>
      </w:r>
      <w:r w:rsidRPr="00BB3D80">
        <w:rPr>
          <w:rFonts w:asciiTheme="majorHAnsi" w:hAnsiTheme="majorHAnsi" w:cstheme="majorHAnsi"/>
          <w:color w:val="000000"/>
        </w:rPr>
        <w:t>P</w:t>
      </w:r>
      <w:r>
        <w:rPr>
          <w:rFonts w:asciiTheme="majorHAnsi" w:hAnsiTheme="majorHAnsi" w:cstheme="majorHAnsi"/>
          <w:color w:val="000000"/>
        </w:rPr>
        <w:t xml:space="preserve">HP </w:t>
      </w:r>
      <w:r w:rsidRPr="00BB3D80">
        <w:rPr>
          <w:rFonts w:asciiTheme="majorHAnsi" w:hAnsiTheme="majorHAnsi" w:cstheme="majorHAnsi"/>
          <w:color w:val="000000"/>
        </w:rPr>
        <w:t>14</w:t>
      </w:r>
      <w:r>
        <w:rPr>
          <w:rFonts w:asciiTheme="majorHAnsi" w:hAnsiTheme="majorHAnsi" w:cstheme="majorHAnsi"/>
          <w:color w:val="000000"/>
        </w:rPr>
        <w:t xml:space="preserve"> billion </w:t>
      </w:r>
      <w:r w:rsidRPr="00BB3D80">
        <w:rPr>
          <w:rFonts w:asciiTheme="majorHAnsi" w:hAnsiTheme="majorHAnsi" w:cstheme="majorHAnsi"/>
          <w:color w:val="000000"/>
        </w:rPr>
        <w:t xml:space="preserve">and continued to increase annually. </w:t>
      </w:r>
      <w:r>
        <w:rPr>
          <w:rFonts w:asciiTheme="majorHAnsi" w:hAnsiTheme="majorHAnsi" w:cstheme="majorHAnsi"/>
          <w:color w:val="000000"/>
        </w:rPr>
        <w:t>By</w:t>
      </w:r>
      <w:r w:rsidRPr="00BB3D80">
        <w:rPr>
          <w:rFonts w:asciiTheme="majorHAnsi" w:hAnsiTheme="majorHAnsi" w:cstheme="majorHAnsi"/>
          <w:color w:val="000000"/>
        </w:rPr>
        <w:t xml:space="preserve"> 2018, the budget for classroom construction reached </w:t>
      </w:r>
      <w:r>
        <w:rPr>
          <w:rFonts w:asciiTheme="majorHAnsi" w:hAnsiTheme="majorHAnsi" w:cstheme="majorHAnsi"/>
          <w:color w:val="000000"/>
        </w:rPr>
        <w:t xml:space="preserve">PHP </w:t>
      </w:r>
      <w:r w:rsidRPr="00BB3D80">
        <w:rPr>
          <w:rFonts w:asciiTheme="majorHAnsi" w:hAnsiTheme="majorHAnsi" w:cstheme="majorHAnsi"/>
          <w:color w:val="000000"/>
        </w:rPr>
        <w:t>100 billion.</w:t>
      </w:r>
      <w:r w:rsidRPr="008B6B7E">
        <w:rPr>
          <w:rStyle w:val="FootnoteReference"/>
          <w:rFonts w:asciiTheme="majorHAnsi" w:eastAsia="Arial Unicode MS" w:hAnsiTheme="majorHAnsi" w:cstheme="majorHAnsi"/>
          <w:color w:val="000000" w:themeColor="text1"/>
        </w:rPr>
        <w:t xml:space="preserve"> </w:t>
      </w:r>
      <w:r>
        <w:rPr>
          <w:rStyle w:val="FootnoteReference"/>
          <w:rFonts w:asciiTheme="majorHAnsi" w:eastAsia="Arial Unicode MS" w:hAnsiTheme="majorHAnsi" w:cstheme="majorHAnsi"/>
          <w:color w:val="000000" w:themeColor="text1"/>
        </w:rPr>
        <w:footnoteReference w:id="52"/>
      </w:r>
      <w:r>
        <w:rPr>
          <w:rFonts w:asciiTheme="majorHAnsi" w:hAnsiTheme="majorHAnsi" w:cstheme="majorHAnsi"/>
          <w:color w:val="000000" w:themeColor="text1"/>
        </w:rPr>
        <w:t xml:space="preserve"> This significant increase in budget enabled DepEd to fund the construction of school buildings from its own General Appropriations </w:t>
      </w:r>
      <w:r w:rsidRPr="00990248">
        <w:rPr>
          <w:rFonts w:asciiTheme="majorHAnsi" w:hAnsiTheme="majorHAnsi" w:cstheme="majorHAnsi"/>
          <w:color w:val="000000" w:themeColor="text1"/>
        </w:rPr>
        <w:t>without having to rely on BEST funding</w:t>
      </w:r>
      <w:r>
        <w:rPr>
          <w:rFonts w:asciiTheme="majorHAnsi" w:hAnsiTheme="majorHAnsi" w:cstheme="majorHAnsi"/>
          <w:color w:val="000000" w:themeColor="text1"/>
        </w:rPr>
        <w:t>.</w:t>
      </w:r>
    </w:p>
    <w:p w14:paraId="0559830E" w14:textId="0EE3A94A" w:rsidR="008D0CAD" w:rsidRPr="008B6B7E" w:rsidRDefault="008D0CAD" w:rsidP="00B31C4E">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color w:val="000000" w:themeColor="text1"/>
        </w:rPr>
        <w:t>By</w:t>
      </w:r>
      <w:r w:rsidRPr="005B475F">
        <w:rPr>
          <w:rFonts w:asciiTheme="majorHAnsi" w:hAnsiTheme="majorHAnsi" w:cstheme="majorHAnsi"/>
          <w:color w:val="000000" w:themeColor="text1"/>
        </w:rPr>
        <w:t xml:space="preserve"> 2013, </w:t>
      </w:r>
      <w:r>
        <w:rPr>
          <w:rFonts w:asciiTheme="majorHAnsi" w:hAnsiTheme="majorHAnsi" w:cstheme="majorHAnsi"/>
          <w:color w:val="000000" w:themeColor="text1"/>
        </w:rPr>
        <w:t>with the increase in budget, DepEd</w:t>
      </w:r>
      <w:r w:rsidRPr="005B475F">
        <w:rPr>
          <w:rFonts w:asciiTheme="majorHAnsi" w:hAnsiTheme="majorHAnsi" w:cstheme="majorHAnsi"/>
          <w:color w:val="000000" w:themeColor="text1"/>
        </w:rPr>
        <w:t xml:space="preserve"> through </w:t>
      </w:r>
      <w:r>
        <w:rPr>
          <w:rFonts w:asciiTheme="majorHAnsi" w:hAnsiTheme="majorHAnsi" w:cstheme="majorHAnsi"/>
          <w:color w:val="000000" w:themeColor="text1"/>
        </w:rPr>
        <w:t>the Department of Public Works and Highways sought</w:t>
      </w:r>
      <w:r w:rsidRPr="005B475F">
        <w:rPr>
          <w:rFonts w:asciiTheme="majorHAnsi" w:hAnsiTheme="majorHAnsi" w:cstheme="majorHAnsi"/>
          <w:color w:val="000000" w:themeColor="text1"/>
        </w:rPr>
        <w:t xml:space="preserve"> to construct </w:t>
      </w:r>
      <w:r>
        <w:rPr>
          <w:rFonts w:asciiTheme="majorHAnsi" w:hAnsiTheme="majorHAnsi" w:cstheme="majorHAnsi"/>
          <w:color w:val="000000" w:themeColor="text1"/>
        </w:rPr>
        <w:t>more than</w:t>
      </w:r>
      <w:r w:rsidRPr="005B475F">
        <w:rPr>
          <w:rFonts w:asciiTheme="majorHAnsi" w:hAnsiTheme="majorHAnsi" w:cstheme="majorHAnsi"/>
          <w:color w:val="000000" w:themeColor="text1"/>
        </w:rPr>
        <w:t xml:space="preserve"> 8,000 classrooms</w:t>
      </w:r>
      <w:r>
        <w:rPr>
          <w:rFonts w:asciiTheme="majorHAnsi" w:hAnsiTheme="majorHAnsi" w:cstheme="majorHAnsi"/>
          <w:color w:val="000000" w:themeColor="text1"/>
        </w:rPr>
        <w:t>,</w:t>
      </w:r>
      <w:r w:rsidRPr="005B475F">
        <w:rPr>
          <w:rFonts w:asciiTheme="majorHAnsi" w:hAnsiTheme="majorHAnsi" w:cstheme="majorHAnsi"/>
          <w:color w:val="000000" w:themeColor="text1"/>
        </w:rPr>
        <w:t xml:space="preserve"> 46 </w:t>
      </w:r>
      <w:r>
        <w:rPr>
          <w:rFonts w:asciiTheme="majorHAnsi" w:hAnsiTheme="majorHAnsi" w:cstheme="majorHAnsi"/>
          <w:color w:val="000000" w:themeColor="text1"/>
        </w:rPr>
        <w:t>per cent of which</w:t>
      </w:r>
      <w:r w:rsidRPr="005B475F">
        <w:rPr>
          <w:rFonts w:asciiTheme="majorHAnsi" w:hAnsiTheme="majorHAnsi" w:cstheme="majorHAnsi"/>
          <w:color w:val="000000" w:themeColor="text1"/>
        </w:rPr>
        <w:t xml:space="preserve"> (3,772) </w:t>
      </w:r>
      <w:r>
        <w:rPr>
          <w:rFonts w:asciiTheme="majorHAnsi" w:hAnsiTheme="majorHAnsi" w:cstheme="majorHAnsi"/>
          <w:color w:val="000000" w:themeColor="text1"/>
        </w:rPr>
        <w:t>were</w:t>
      </w:r>
      <w:r w:rsidRPr="005B475F">
        <w:rPr>
          <w:rFonts w:asciiTheme="majorHAnsi" w:hAnsiTheme="majorHAnsi" w:cstheme="majorHAnsi"/>
          <w:color w:val="000000" w:themeColor="text1"/>
        </w:rPr>
        <w:t xml:space="preserve"> located in BEST supported regions.</w:t>
      </w:r>
      <w:r w:rsidR="00D434EB">
        <w:rPr>
          <w:rFonts w:asciiTheme="majorHAnsi" w:hAnsiTheme="majorHAnsi" w:cstheme="majorHAnsi"/>
          <w:color w:val="000000" w:themeColor="text1"/>
        </w:rPr>
        <w:t xml:space="preserve"> </w:t>
      </w:r>
      <w:r w:rsidRPr="005B475F">
        <w:rPr>
          <w:rFonts w:asciiTheme="majorHAnsi" w:hAnsiTheme="majorHAnsi" w:cstheme="majorHAnsi"/>
          <w:color w:val="000000" w:themeColor="text1"/>
        </w:rPr>
        <w:t>By 2018, more than 12,000</w:t>
      </w:r>
      <w:r>
        <w:rPr>
          <w:rFonts w:asciiTheme="majorHAnsi" w:hAnsiTheme="majorHAnsi" w:cstheme="majorHAnsi"/>
          <w:color w:val="000000" w:themeColor="text1"/>
        </w:rPr>
        <w:t xml:space="preserve"> new</w:t>
      </w:r>
      <w:r w:rsidRPr="005B475F">
        <w:rPr>
          <w:rFonts w:asciiTheme="majorHAnsi" w:hAnsiTheme="majorHAnsi" w:cstheme="majorHAnsi"/>
          <w:color w:val="000000" w:themeColor="text1"/>
        </w:rPr>
        <w:t xml:space="preserve"> classrooms ha</w:t>
      </w:r>
      <w:r>
        <w:rPr>
          <w:rFonts w:asciiTheme="majorHAnsi" w:hAnsiTheme="majorHAnsi" w:cstheme="majorHAnsi"/>
          <w:color w:val="000000" w:themeColor="text1"/>
        </w:rPr>
        <w:t>d</w:t>
      </w:r>
      <w:r w:rsidRPr="005B475F">
        <w:rPr>
          <w:rFonts w:asciiTheme="majorHAnsi" w:hAnsiTheme="majorHAnsi" w:cstheme="majorHAnsi"/>
          <w:color w:val="000000" w:themeColor="text1"/>
        </w:rPr>
        <w:t xml:space="preserve"> been constructed.</w:t>
      </w:r>
      <w:r w:rsidR="00D434EB">
        <w:rPr>
          <w:rFonts w:asciiTheme="majorHAnsi" w:hAnsiTheme="majorHAnsi" w:cstheme="majorHAnsi"/>
          <w:color w:val="000000" w:themeColor="text1"/>
        </w:rPr>
        <w:t xml:space="preserve"> </w:t>
      </w:r>
      <w:r w:rsidRPr="005B475F">
        <w:rPr>
          <w:rFonts w:asciiTheme="majorHAnsi" w:hAnsiTheme="majorHAnsi" w:cstheme="majorHAnsi"/>
          <w:color w:val="000000" w:themeColor="text1"/>
        </w:rPr>
        <w:t xml:space="preserve">From 2013 to 2018, </w:t>
      </w:r>
      <w:r>
        <w:rPr>
          <w:rFonts w:asciiTheme="majorHAnsi" w:hAnsiTheme="majorHAnsi" w:cstheme="majorHAnsi"/>
          <w:color w:val="000000" w:themeColor="text1"/>
        </w:rPr>
        <w:t>DepEd</w:t>
      </w:r>
      <w:r w:rsidRPr="005B475F">
        <w:rPr>
          <w:rFonts w:asciiTheme="majorHAnsi" w:hAnsiTheme="majorHAnsi" w:cstheme="majorHAnsi"/>
          <w:color w:val="000000" w:themeColor="text1"/>
        </w:rPr>
        <w:t xml:space="preserve"> records show</w:t>
      </w:r>
      <w:r>
        <w:rPr>
          <w:rFonts w:asciiTheme="majorHAnsi" w:hAnsiTheme="majorHAnsi" w:cstheme="majorHAnsi"/>
          <w:color w:val="000000" w:themeColor="text1"/>
        </w:rPr>
        <w:t>ed</w:t>
      </w:r>
      <w:r w:rsidRPr="005B475F">
        <w:rPr>
          <w:rFonts w:asciiTheme="majorHAnsi" w:hAnsiTheme="majorHAnsi" w:cstheme="majorHAnsi"/>
          <w:color w:val="000000" w:themeColor="text1"/>
        </w:rPr>
        <w:t xml:space="preserve"> that it completed construction of a total of 126,061 classrooms</w:t>
      </w:r>
      <w:r>
        <w:rPr>
          <w:rFonts w:asciiTheme="majorHAnsi" w:hAnsiTheme="majorHAnsi" w:cstheme="majorHAnsi"/>
          <w:color w:val="000000" w:themeColor="text1"/>
        </w:rPr>
        <w:t>.</w:t>
      </w:r>
    </w:p>
    <w:p w14:paraId="560559D2" w14:textId="77777777" w:rsidR="008D0CAD" w:rsidRPr="0029503F" w:rsidRDefault="008D0CAD" w:rsidP="00B31C4E">
      <w:pPr>
        <w:pageBreakBefore/>
        <w:spacing w:before="100" w:beforeAutospacing="1" w:after="100" w:afterAutospacing="1" w:line="360" w:lineRule="auto"/>
        <w:ind w:left="284" w:right="284"/>
        <w:rPr>
          <w:rFonts w:asciiTheme="majorHAnsi" w:hAnsiTheme="majorHAnsi" w:cstheme="majorHAnsi"/>
          <w:bCs/>
          <w:i/>
          <w:iCs/>
          <w:color w:val="000000"/>
        </w:rPr>
      </w:pPr>
      <w:r w:rsidRPr="0029503F">
        <w:rPr>
          <w:rFonts w:asciiTheme="majorHAnsi" w:hAnsiTheme="majorHAnsi" w:cstheme="majorHAnsi"/>
          <w:bCs/>
          <w:i/>
          <w:iCs/>
          <w:color w:val="000000" w:themeColor="text1"/>
        </w:rPr>
        <w:t>Intermediate Outcome 2: Education leaders and managers applying innovative SBM, GEDSI and IE approaches to school planning, student enrolment and retention.</w:t>
      </w:r>
    </w:p>
    <w:p w14:paraId="2653ADCC" w14:textId="58A9B24A" w:rsidR="008D0CAD" w:rsidRPr="006652BE" w:rsidRDefault="008D0CAD" w:rsidP="00B31C4E">
      <w:pPr>
        <w:spacing w:before="100" w:beforeAutospacing="1" w:after="100" w:afterAutospacing="1" w:line="360" w:lineRule="auto"/>
        <w:rPr>
          <w:rFonts w:asciiTheme="majorHAnsi" w:hAnsiTheme="majorHAnsi" w:cstheme="majorHAnsi"/>
          <w:bCs/>
          <w:color w:val="000000"/>
        </w:rPr>
      </w:pPr>
      <w:r>
        <w:rPr>
          <w:rFonts w:asciiTheme="majorHAnsi" w:hAnsiTheme="majorHAnsi" w:cstheme="majorHAnsi"/>
          <w:color w:val="000000" w:themeColor="text1"/>
        </w:rPr>
        <w:t xml:space="preserve">Participation of </w:t>
      </w:r>
      <w:r w:rsidRPr="008C750D">
        <w:rPr>
          <w:rFonts w:asciiTheme="majorHAnsi" w:hAnsiTheme="majorHAnsi" w:cstheme="majorHAnsi"/>
          <w:bCs/>
          <w:color w:val="000000" w:themeColor="text1"/>
        </w:rPr>
        <w:t xml:space="preserve">education leaders and managers </w:t>
      </w:r>
      <w:r>
        <w:rPr>
          <w:rFonts w:asciiTheme="majorHAnsi" w:hAnsiTheme="majorHAnsi" w:cstheme="majorHAnsi"/>
          <w:bCs/>
          <w:color w:val="000000" w:themeColor="text1"/>
        </w:rPr>
        <w:t xml:space="preserve">in field units (i.e., ROs/DOs/Schools) </w:t>
      </w:r>
      <w:r w:rsidRPr="008C750D">
        <w:rPr>
          <w:rFonts w:asciiTheme="majorHAnsi" w:hAnsiTheme="majorHAnsi" w:cstheme="majorHAnsi"/>
          <w:bCs/>
          <w:color w:val="000000" w:themeColor="text1"/>
        </w:rPr>
        <w:t>in the</w:t>
      </w:r>
      <w:r>
        <w:rPr>
          <w:rFonts w:asciiTheme="majorHAnsi" w:hAnsiTheme="majorHAnsi" w:cstheme="majorHAnsi"/>
          <w:bCs/>
          <w:i/>
          <w:iCs/>
          <w:color w:val="000000" w:themeColor="text1"/>
        </w:rPr>
        <w:t xml:space="preserve"> </w:t>
      </w:r>
      <w:r>
        <w:rPr>
          <w:rFonts w:asciiTheme="majorHAnsi" w:hAnsiTheme="majorHAnsi" w:cstheme="majorHAnsi"/>
          <w:color w:val="000000" w:themeColor="text1"/>
        </w:rPr>
        <w:t>s</w:t>
      </w:r>
      <w:r w:rsidRPr="008C750D">
        <w:rPr>
          <w:rFonts w:asciiTheme="majorHAnsi" w:hAnsiTheme="majorHAnsi" w:cstheme="majorHAnsi"/>
          <w:color w:val="000000" w:themeColor="text1"/>
        </w:rPr>
        <w:t>election of recipient</w:t>
      </w:r>
      <w:r>
        <w:rPr>
          <w:rFonts w:asciiTheme="majorHAnsi" w:hAnsiTheme="majorHAnsi" w:cstheme="majorHAnsi"/>
          <w:color w:val="000000" w:themeColor="text1"/>
        </w:rPr>
        <w:t xml:space="preserve"> </w:t>
      </w:r>
      <w:r w:rsidRPr="008C750D">
        <w:rPr>
          <w:rFonts w:asciiTheme="majorHAnsi" w:hAnsiTheme="majorHAnsi" w:cstheme="majorHAnsi"/>
          <w:color w:val="000000" w:themeColor="text1"/>
        </w:rPr>
        <w:t>s</w:t>
      </w:r>
      <w:r>
        <w:rPr>
          <w:rFonts w:asciiTheme="majorHAnsi" w:hAnsiTheme="majorHAnsi" w:cstheme="majorHAnsi"/>
          <w:color w:val="000000" w:themeColor="text1"/>
        </w:rPr>
        <w:t>chools</w:t>
      </w:r>
      <w:r w:rsidRPr="008C750D">
        <w:rPr>
          <w:rFonts w:asciiTheme="majorHAnsi" w:hAnsiTheme="majorHAnsi" w:cstheme="majorHAnsi"/>
          <w:color w:val="000000" w:themeColor="text1"/>
        </w:rPr>
        <w:t xml:space="preserve"> </w:t>
      </w:r>
      <w:r>
        <w:rPr>
          <w:rFonts w:asciiTheme="majorHAnsi" w:hAnsiTheme="majorHAnsi" w:cstheme="majorHAnsi"/>
        </w:rPr>
        <w:t xml:space="preserve">for classroom construction was not apparent. BEST Program PMO and DepEd (Central Office) stated that the </w:t>
      </w:r>
      <w:r>
        <w:rPr>
          <w:rFonts w:asciiTheme="majorHAnsi" w:hAnsiTheme="majorHAnsi" w:cstheme="majorHAnsi"/>
          <w:color w:val="000000" w:themeColor="text1"/>
        </w:rPr>
        <w:t>s</w:t>
      </w:r>
      <w:r w:rsidRPr="008C750D">
        <w:rPr>
          <w:rFonts w:asciiTheme="majorHAnsi" w:hAnsiTheme="majorHAnsi" w:cstheme="majorHAnsi"/>
          <w:color w:val="000000" w:themeColor="text1"/>
        </w:rPr>
        <w:t>election of recipient</w:t>
      </w:r>
      <w:r>
        <w:rPr>
          <w:rFonts w:asciiTheme="majorHAnsi" w:hAnsiTheme="majorHAnsi" w:cstheme="majorHAnsi"/>
          <w:color w:val="000000" w:themeColor="text1"/>
        </w:rPr>
        <w:t xml:space="preserve"> </w:t>
      </w:r>
      <w:r w:rsidRPr="008C750D">
        <w:rPr>
          <w:rFonts w:asciiTheme="majorHAnsi" w:hAnsiTheme="majorHAnsi" w:cstheme="majorHAnsi"/>
          <w:color w:val="000000" w:themeColor="text1"/>
        </w:rPr>
        <w:t>s</w:t>
      </w:r>
      <w:r>
        <w:rPr>
          <w:rFonts w:asciiTheme="majorHAnsi" w:hAnsiTheme="majorHAnsi" w:cstheme="majorHAnsi"/>
          <w:color w:val="000000" w:themeColor="text1"/>
        </w:rPr>
        <w:t>chools</w:t>
      </w:r>
      <w:r>
        <w:rPr>
          <w:rFonts w:asciiTheme="majorHAnsi" w:hAnsiTheme="majorHAnsi" w:cstheme="majorHAnsi"/>
        </w:rPr>
        <w:t xml:space="preserve"> was based on </w:t>
      </w:r>
      <w:r w:rsidRPr="002C574E">
        <w:rPr>
          <w:rFonts w:asciiTheme="majorHAnsi" w:hAnsiTheme="majorHAnsi" w:cstheme="majorHAnsi"/>
        </w:rPr>
        <w:t xml:space="preserve">data from </w:t>
      </w:r>
      <w:r>
        <w:rPr>
          <w:rFonts w:asciiTheme="majorHAnsi" w:hAnsiTheme="majorHAnsi" w:cstheme="majorHAnsi"/>
        </w:rPr>
        <w:t>DepEd</w:t>
      </w:r>
      <w:r w:rsidRPr="002C574E">
        <w:rPr>
          <w:rFonts w:asciiTheme="majorHAnsi" w:hAnsiTheme="majorHAnsi" w:cstheme="majorHAnsi"/>
        </w:rPr>
        <w:t>’s Basic Education Information System (BEIS) and consult</w:t>
      </w:r>
      <w:r>
        <w:rPr>
          <w:rFonts w:asciiTheme="majorHAnsi" w:hAnsiTheme="majorHAnsi" w:cstheme="majorHAnsi"/>
        </w:rPr>
        <w:t>ations with</w:t>
      </w:r>
      <w:r w:rsidRPr="002C574E">
        <w:rPr>
          <w:rFonts w:asciiTheme="majorHAnsi" w:hAnsiTheme="majorHAnsi" w:cstheme="majorHAnsi"/>
        </w:rPr>
        <w:t xml:space="preserve"> Division </w:t>
      </w:r>
      <w:r>
        <w:rPr>
          <w:rFonts w:asciiTheme="majorHAnsi" w:hAnsiTheme="majorHAnsi" w:cstheme="majorHAnsi"/>
        </w:rPr>
        <w:t>Offices</w:t>
      </w:r>
      <w:r w:rsidRPr="002C574E">
        <w:rPr>
          <w:rFonts w:asciiTheme="majorHAnsi" w:hAnsiTheme="majorHAnsi" w:cstheme="majorHAnsi"/>
        </w:rPr>
        <w:t xml:space="preserve"> regarding classroom </w:t>
      </w:r>
      <w:r>
        <w:rPr>
          <w:rFonts w:asciiTheme="majorHAnsi" w:hAnsiTheme="majorHAnsi" w:cstheme="majorHAnsi"/>
        </w:rPr>
        <w:t>requirements</w:t>
      </w:r>
      <w:r w:rsidRPr="002C574E">
        <w:rPr>
          <w:rFonts w:asciiTheme="majorHAnsi" w:hAnsiTheme="majorHAnsi" w:cstheme="majorHAnsi"/>
        </w:rPr>
        <w:t xml:space="preserve"> in </w:t>
      </w:r>
      <w:r>
        <w:rPr>
          <w:rFonts w:asciiTheme="majorHAnsi" w:hAnsiTheme="majorHAnsi" w:cstheme="majorHAnsi"/>
        </w:rPr>
        <w:t xml:space="preserve">the </w:t>
      </w:r>
      <w:r w:rsidRPr="002C574E">
        <w:rPr>
          <w:rFonts w:asciiTheme="majorHAnsi" w:hAnsiTheme="majorHAnsi" w:cstheme="majorHAnsi"/>
        </w:rPr>
        <w:t>BEST</w:t>
      </w:r>
      <w:r>
        <w:rPr>
          <w:rFonts w:asciiTheme="majorHAnsi" w:hAnsiTheme="majorHAnsi" w:cstheme="majorHAnsi"/>
        </w:rPr>
        <w:t xml:space="preserve"> Program’</w:t>
      </w:r>
      <w:r w:rsidRPr="002C574E">
        <w:rPr>
          <w:rFonts w:asciiTheme="majorHAnsi" w:hAnsiTheme="majorHAnsi" w:cstheme="majorHAnsi"/>
        </w:rPr>
        <w:t>s target areas</w:t>
      </w:r>
      <w:r>
        <w:rPr>
          <w:rFonts w:asciiTheme="majorHAnsi" w:hAnsiTheme="majorHAnsi" w:cstheme="majorHAnsi"/>
        </w:rPr>
        <w:t xml:space="preserve"> (which also included Regions XI, Caraga and ARMM for classroom construction, in addition to the BEST Regions of V, VI, VII, VII, X and NCR)</w:t>
      </w:r>
      <w:r w:rsidRPr="002C574E">
        <w:rPr>
          <w:rFonts w:asciiTheme="majorHAnsi" w:hAnsiTheme="majorHAnsi" w:cstheme="majorHAnsi"/>
        </w:rPr>
        <w:t>.</w:t>
      </w:r>
      <w:r w:rsidR="00D434EB">
        <w:rPr>
          <w:rFonts w:asciiTheme="majorHAnsi" w:hAnsiTheme="majorHAnsi" w:cstheme="majorHAnsi"/>
        </w:rPr>
        <w:t xml:space="preserve"> </w:t>
      </w:r>
      <w:r>
        <w:rPr>
          <w:rFonts w:asciiTheme="majorHAnsi" w:hAnsiTheme="majorHAnsi" w:cstheme="majorHAnsi"/>
        </w:rPr>
        <w:t xml:space="preserve"> </w:t>
      </w:r>
      <w:r>
        <w:rPr>
          <w:rFonts w:asciiTheme="majorHAnsi" w:hAnsiTheme="majorHAnsi" w:cstheme="majorHAnsi"/>
          <w:color w:val="000000"/>
        </w:rPr>
        <w:t>However</w:t>
      </w:r>
      <w:r w:rsidRPr="006652BE">
        <w:rPr>
          <w:rFonts w:asciiTheme="majorHAnsi" w:hAnsiTheme="majorHAnsi" w:cstheme="majorHAnsi"/>
          <w:bCs/>
          <w:color w:val="000000"/>
        </w:rPr>
        <w:t xml:space="preserve">, </w:t>
      </w:r>
      <w:r>
        <w:rPr>
          <w:rFonts w:asciiTheme="majorHAnsi" w:hAnsiTheme="majorHAnsi" w:cstheme="majorHAnsi"/>
          <w:bCs/>
          <w:color w:val="000000"/>
        </w:rPr>
        <w:t xml:space="preserve">KII and FGD </w:t>
      </w:r>
      <w:r w:rsidRPr="006652BE">
        <w:rPr>
          <w:rFonts w:asciiTheme="majorHAnsi" w:hAnsiTheme="majorHAnsi" w:cstheme="majorHAnsi"/>
          <w:bCs/>
          <w:color w:val="000000"/>
        </w:rPr>
        <w:t>respondents</w:t>
      </w:r>
      <w:r>
        <w:rPr>
          <w:rFonts w:asciiTheme="majorHAnsi" w:hAnsiTheme="majorHAnsi" w:cstheme="majorHAnsi"/>
          <w:bCs/>
          <w:color w:val="000000"/>
        </w:rPr>
        <w:t xml:space="preserve"> could not identify the reasons for the selection of schools. A couple of principals of recipient schools also could not identify the reasons for why they received classrooms over other schools.</w:t>
      </w:r>
      <w:r w:rsidR="00D434EB">
        <w:rPr>
          <w:rFonts w:asciiTheme="majorHAnsi" w:hAnsiTheme="majorHAnsi" w:cstheme="majorHAnsi"/>
          <w:bCs/>
          <w:color w:val="000000"/>
        </w:rPr>
        <w:t xml:space="preserve"> </w:t>
      </w:r>
    </w:p>
    <w:p w14:paraId="733F4326" w14:textId="0129969B" w:rsidR="008D0CAD" w:rsidRPr="006652BE" w:rsidRDefault="008D0CAD" w:rsidP="00B31C4E">
      <w:pPr>
        <w:spacing w:before="100" w:beforeAutospacing="1" w:after="100" w:afterAutospacing="1" w:line="360" w:lineRule="auto"/>
        <w:rPr>
          <w:rFonts w:asciiTheme="majorHAnsi" w:hAnsiTheme="majorHAnsi" w:cstheme="majorHAnsi"/>
        </w:rPr>
      </w:pPr>
      <w:r w:rsidRPr="008138AE">
        <w:rPr>
          <w:rFonts w:asciiTheme="majorHAnsi" w:hAnsiTheme="majorHAnsi" w:cstheme="majorHAnsi"/>
          <w:color w:val="000000"/>
        </w:rPr>
        <w:t xml:space="preserve">PBSP </w:t>
      </w:r>
      <w:r>
        <w:rPr>
          <w:rFonts w:asciiTheme="majorHAnsi" w:hAnsiTheme="majorHAnsi" w:cstheme="majorHAnsi"/>
          <w:color w:val="000000"/>
        </w:rPr>
        <w:t xml:space="preserve">stated that it </w:t>
      </w:r>
      <w:r w:rsidRPr="008138AE">
        <w:rPr>
          <w:rFonts w:asciiTheme="majorHAnsi" w:hAnsiTheme="majorHAnsi" w:cstheme="majorHAnsi"/>
          <w:color w:val="000000"/>
        </w:rPr>
        <w:t>t</w:t>
      </w:r>
      <w:r>
        <w:rPr>
          <w:rFonts w:asciiTheme="majorHAnsi" w:hAnsiTheme="majorHAnsi" w:cstheme="majorHAnsi"/>
          <w:color w:val="000000"/>
        </w:rPr>
        <w:t>ook</w:t>
      </w:r>
      <w:r w:rsidRPr="008138AE">
        <w:rPr>
          <w:rFonts w:asciiTheme="majorHAnsi" w:hAnsiTheme="majorHAnsi" w:cstheme="majorHAnsi"/>
          <w:color w:val="000000"/>
        </w:rPr>
        <w:t xml:space="preserve"> </w:t>
      </w:r>
      <w:r>
        <w:rPr>
          <w:rFonts w:asciiTheme="majorHAnsi" w:hAnsiTheme="majorHAnsi" w:cstheme="majorHAnsi"/>
          <w:color w:val="000000"/>
        </w:rPr>
        <w:t>its</w:t>
      </w:r>
      <w:r w:rsidRPr="008138AE">
        <w:rPr>
          <w:rFonts w:asciiTheme="majorHAnsi" w:hAnsiTheme="majorHAnsi" w:cstheme="majorHAnsi"/>
          <w:color w:val="000000"/>
        </w:rPr>
        <w:t xml:space="preserve"> </w:t>
      </w:r>
      <w:r>
        <w:rPr>
          <w:rFonts w:asciiTheme="majorHAnsi" w:hAnsiTheme="majorHAnsi" w:cstheme="majorHAnsi"/>
          <w:color w:val="000000"/>
        </w:rPr>
        <w:t xml:space="preserve">direction </w:t>
      </w:r>
      <w:r w:rsidRPr="008138AE">
        <w:rPr>
          <w:rFonts w:asciiTheme="majorHAnsi" w:hAnsiTheme="majorHAnsi" w:cstheme="majorHAnsi"/>
          <w:color w:val="000000"/>
        </w:rPr>
        <w:t xml:space="preserve">from </w:t>
      </w:r>
      <w:r>
        <w:rPr>
          <w:rFonts w:asciiTheme="majorHAnsi" w:hAnsiTheme="majorHAnsi" w:cstheme="majorHAnsi"/>
          <w:color w:val="000000"/>
        </w:rPr>
        <w:t>DepEd</w:t>
      </w:r>
      <w:r w:rsidRPr="008138AE">
        <w:rPr>
          <w:rFonts w:asciiTheme="majorHAnsi" w:hAnsiTheme="majorHAnsi" w:cstheme="majorHAnsi"/>
          <w:color w:val="000000"/>
        </w:rPr>
        <w:t xml:space="preserve"> </w:t>
      </w:r>
      <w:r>
        <w:rPr>
          <w:rFonts w:asciiTheme="majorHAnsi" w:hAnsiTheme="majorHAnsi" w:cstheme="majorHAnsi"/>
          <w:color w:val="000000"/>
        </w:rPr>
        <w:t xml:space="preserve">Central Office </w:t>
      </w:r>
      <w:r w:rsidRPr="008138AE">
        <w:rPr>
          <w:rFonts w:asciiTheme="majorHAnsi" w:hAnsiTheme="majorHAnsi" w:cstheme="majorHAnsi"/>
          <w:color w:val="000000"/>
        </w:rPr>
        <w:t>as to where to build classrooms</w:t>
      </w:r>
      <w:r>
        <w:rPr>
          <w:rFonts w:asciiTheme="majorHAnsi" w:hAnsiTheme="majorHAnsi" w:cstheme="majorHAnsi"/>
          <w:color w:val="000000"/>
        </w:rPr>
        <w:t xml:space="preserve"> and</w:t>
      </w:r>
      <w:r w:rsidRPr="008138AE">
        <w:rPr>
          <w:rFonts w:asciiTheme="majorHAnsi" w:hAnsiTheme="majorHAnsi" w:cstheme="majorHAnsi"/>
          <w:color w:val="000000"/>
        </w:rPr>
        <w:t xml:space="preserve"> ha</w:t>
      </w:r>
      <w:r>
        <w:rPr>
          <w:rFonts w:asciiTheme="majorHAnsi" w:hAnsiTheme="majorHAnsi" w:cstheme="majorHAnsi"/>
          <w:color w:val="000000"/>
        </w:rPr>
        <w:t>d</w:t>
      </w:r>
      <w:r w:rsidRPr="008138AE">
        <w:rPr>
          <w:rFonts w:asciiTheme="majorHAnsi" w:hAnsiTheme="majorHAnsi" w:cstheme="majorHAnsi"/>
          <w:color w:val="000000"/>
        </w:rPr>
        <w:t xml:space="preserve"> no hand in selecting the schools.</w:t>
      </w:r>
      <w:r>
        <w:rPr>
          <w:rStyle w:val="FootnoteReference"/>
          <w:rFonts w:asciiTheme="majorHAnsi" w:eastAsia="Arial Unicode MS" w:hAnsiTheme="majorHAnsi" w:cstheme="majorHAnsi"/>
          <w:color w:val="000000"/>
        </w:rPr>
        <w:footnoteReference w:id="53"/>
      </w:r>
      <w:r w:rsidR="00D434EB">
        <w:rPr>
          <w:rFonts w:asciiTheme="majorHAnsi" w:hAnsiTheme="majorHAnsi" w:cstheme="majorHAnsi"/>
          <w:color w:val="000000"/>
        </w:rPr>
        <w:t xml:space="preserve"> </w:t>
      </w:r>
      <w:r w:rsidRPr="008138AE">
        <w:rPr>
          <w:rFonts w:asciiTheme="majorHAnsi" w:hAnsiTheme="majorHAnsi" w:cstheme="majorHAnsi"/>
          <w:color w:val="000000"/>
        </w:rPr>
        <w:t xml:space="preserve"> </w:t>
      </w:r>
      <w:r>
        <w:rPr>
          <w:rFonts w:asciiTheme="majorHAnsi" w:hAnsiTheme="majorHAnsi" w:cstheme="majorHAnsi"/>
          <w:color w:val="000000"/>
        </w:rPr>
        <w:t>DepEd stated that it</w:t>
      </w:r>
      <w:r w:rsidRPr="008138AE">
        <w:rPr>
          <w:rFonts w:asciiTheme="majorHAnsi" w:hAnsiTheme="majorHAnsi" w:cstheme="majorHAnsi"/>
          <w:color w:val="000000"/>
        </w:rPr>
        <w:t xml:space="preserve"> </w:t>
      </w:r>
      <w:r>
        <w:rPr>
          <w:rFonts w:asciiTheme="majorHAnsi" w:hAnsiTheme="majorHAnsi" w:cstheme="majorHAnsi"/>
          <w:color w:val="000000"/>
        </w:rPr>
        <w:t>followed a</w:t>
      </w:r>
      <w:r w:rsidRPr="008138AE">
        <w:rPr>
          <w:rFonts w:asciiTheme="majorHAnsi" w:hAnsiTheme="majorHAnsi" w:cstheme="majorHAnsi"/>
          <w:color w:val="000000"/>
        </w:rPr>
        <w:t xml:space="preserve"> set of criteria for selecting schools </w:t>
      </w:r>
      <w:r>
        <w:rPr>
          <w:rFonts w:asciiTheme="majorHAnsi" w:hAnsiTheme="majorHAnsi" w:cstheme="majorHAnsi"/>
          <w:color w:val="000000"/>
        </w:rPr>
        <w:t>to</w:t>
      </w:r>
      <w:r w:rsidRPr="008138AE">
        <w:rPr>
          <w:rFonts w:asciiTheme="majorHAnsi" w:hAnsiTheme="majorHAnsi" w:cstheme="majorHAnsi"/>
          <w:color w:val="000000"/>
        </w:rPr>
        <w:t xml:space="preserve"> receive additional classrooms</w:t>
      </w:r>
      <w:r>
        <w:rPr>
          <w:rFonts w:asciiTheme="majorHAnsi" w:hAnsiTheme="majorHAnsi" w:cstheme="majorHAnsi"/>
          <w:color w:val="000000"/>
        </w:rPr>
        <w:t>.</w:t>
      </w:r>
      <w:r>
        <w:rPr>
          <w:rStyle w:val="FootnoteReference"/>
          <w:rFonts w:asciiTheme="majorHAnsi" w:eastAsia="Arial Unicode MS" w:hAnsiTheme="majorHAnsi" w:cstheme="majorHAnsi"/>
          <w:color w:val="000000"/>
        </w:rPr>
        <w:footnoteReference w:id="54"/>
      </w:r>
      <w:r>
        <w:rPr>
          <w:rFonts w:asciiTheme="majorHAnsi" w:hAnsiTheme="majorHAnsi" w:cstheme="majorHAnsi"/>
          <w:color w:val="000000"/>
        </w:rPr>
        <w:t xml:space="preserve"> It also stated</w:t>
      </w:r>
      <w:r w:rsidRPr="008138AE">
        <w:rPr>
          <w:rFonts w:asciiTheme="majorHAnsi" w:hAnsiTheme="majorHAnsi" w:cstheme="majorHAnsi"/>
          <w:color w:val="000000"/>
        </w:rPr>
        <w:t xml:space="preserve"> that priority </w:t>
      </w:r>
      <w:r>
        <w:rPr>
          <w:rFonts w:asciiTheme="majorHAnsi" w:hAnsiTheme="majorHAnsi" w:cstheme="majorHAnsi"/>
          <w:color w:val="000000"/>
        </w:rPr>
        <w:t>was</w:t>
      </w:r>
      <w:r w:rsidRPr="008138AE">
        <w:rPr>
          <w:rFonts w:asciiTheme="majorHAnsi" w:hAnsiTheme="majorHAnsi" w:cstheme="majorHAnsi"/>
          <w:color w:val="000000"/>
        </w:rPr>
        <w:t xml:space="preserve"> given to calamity-affected areas and schools with land titles.</w:t>
      </w:r>
      <w:r>
        <w:rPr>
          <w:rStyle w:val="FootnoteReference"/>
          <w:rFonts w:asciiTheme="majorHAnsi" w:eastAsia="Arial Unicode MS" w:hAnsiTheme="majorHAnsi" w:cstheme="majorHAnsi"/>
          <w:color w:val="000000"/>
        </w:rPr>
        <w:footnoteReference w:id="55"/>
      </w:r>
    </w:p>
    <w:p w14:paraId="5CFFF30D" w14:textId="59F39990" w:rsidR="008D0CAD" w:rsidRDefault="008D0CAD" w:rsidP="00B31C4E">
      <w:pPr>
        <w:spacing w:before="100" w:beforeAutospacing="1" w:after="100" w:afterAutospacing="1" w:line="360" w:lineRule="auto"/>
        <w:rPr>
          <w:rFonts w:asciiTheme="majorHAnsi" w:hAnsiTheme="majorHAnsi" w:cstheme="majorHAnsi"/>
        </w:rPr>
      </w:pPr>
      <w:r>
        <w:rPr>
          <w:rFonts w:asciiTheme="majorHAnsi" w:hAnsiTheme="majorHAnsi" w:cstheme="majorHAnsi"/>
        </w:rPr>
        <w:t>Prior to its involvement in the BEST Program,</w:t>
      </w:r>
      <w:r>
        <w:rPr>
          <w:rStyle w:val="FootnoteReference"/>
          <w:rFonts w:asciiTheme="majorHAnsi" w:eastAsia="Arial Unicode MS" w:hAnsiTheme="majorHAnsi" w:cstheme="majorHAnsi"/>
          <w:color w:val="000000" w:themeColor="text1"/>
        </w:rPr>
        <w:footnoteReference w:id="56"/>
      </w:r>
      <w:r>
        <w:rPr>
          <w:rFonts w:asciiTheme="majorHAnsi" w:hAnsiTheme="majorHAnsi" w:cstheme="majorHAnsi"/>
        </w:rPr>
        <w:t xml:space="preserve"> PBSP followed a more holistic approach to classroom construction. It provided a package of </w:t>
      </w:r>
      <w:r w:rsidRPr="002C574E">
        <w:rPr>
          <w:rFonts w:asciiTheme="majorHAnsi" w:hAnsiTheme="majorHAnsi" w:cstheme="majorHAnsi"/>
        </w:rPr>
        <w:t xml:space="preserve">social preparation and capability building interventions </w:t>
      </w:r>
      <w:r>
        <w:rPr>
          <w:rFonts w:asciiTheme="majorHAnsi" w:hAnsiTheme="majorHAnsi" w:cstheme="majorHAnsi"/>
        </w:rPr>
        <w:t xml:space="preserve">to all the recipient schools. This included training programs for </w:t>
      </w:r>
      <w:r w:rsidRPr="002C574E">
        <w:rPr>
          <w:rFonts w:asciiTheme="majorHAnsi" w:hAnsiTheme="majorHAnsi" w:cstheme="majorHAnsi"/>
        </w:rPr>
        <w:t>the Parent</w:t>
      </w:r>
      <w:r>
        <w:rPr>
          <w:rFonts w:asciiTheme="majorHAnsi" w:hAnsiTheme="majorHAnsi" w:cstheme="majorHAnsi"/>
        </w:rPr>
        <w:t>-</w:t>
      </w:r>
      <w:r w:rsidRPr="002C574E">
        <w:rPr>
          <w:rFonts w:asciiTheme="majorHAnsi" w:hAnsiTheme="majorHAnsi" w:cstheme="majorHAnsi"/>
        </w:rPr>
        <w:t>Teachers Associations</w:t>
      </w:r>
      <w:r>
        <w:rPr>
          <w:rFonts w:asciiTheme="majorHAnsi" w:hAnsiTheme="majorHAnsi" w:cstheme="majorHAnsi"/>
        </w:rPr>
        <w:t xml:space="preserve"> (PTAs)</w:t>
      </w:r>
      <w:r w:rsidRPr="002C574E">
        <w:rPr>
          <w:rFonts w:asciiTheme="majorHAnsi" w:hAnsiTheme="majorHAnsi" w:cstheme="majorHAnsi"/>
        </w:rPr>
        <w:t xml:space="preserve">, </w:t>
      </w:r>
      <w:r>
        <w:rPr>
          <w:rFonts w:asciiTheme="majorHAnsi" w:hAnsiTheme="majorHAnsi" w:cstheme="majorHAnsi"/>
        </w:rPr>
        <w:t xml:space="preserve">the </w:t>
      </w:r>
      <w:r w:rsidRPr="002C574E">
        <w:rPr>
          <w:rFonts w:asciiTheme="majorHAnsi" w:hAnsiTheme="majorHAnsi" w:cstheme="majorHAnsi"/>
        </w:rPr>
        <w:t xml:space="preserve">School Administrators and </w:t>
      </w:r>
      <w:r>
        <w:rPr>
          <w:rFonts w:asciiTheme="majorHAnsi" w:hAnsiTheme="majorHAnsi" w:cstheme="majorHAnsi"/>
        </w:rPr>
        <w:t xml:space="preserve">the </w:t>
      </w:r>
      <w:r w:rsidRPr="002C574E">
        <w:rPr>
          <w:rFonts w:asciiTheme="majorHAnsi" w:hAnsiTheme="majorHAnsi" w:cstheme="majorHAnsi"/>
        </w:rPr>
        <w:t>Local School Boards</w:t>
      </w:r>
      <w:r>
        <w:rPr>
          <w:rFonts w:asciiTheme="majorHAnsi" w:hAnsiTheme="majorHAnsi" w:cstheme="majorHAnsi"/>
        </w:rPr>
        <w:t xml:space="preserve"> (LSBs)</w:t>
      </w:r>
      <w:r w:rsidRPr="002C574E">
        <w:rPr>
          <w:rFonts w:asciiTheme="majorHAnsi" w:hAnsiTheme="majorHAnsi" w:cstheme="majorHAnsi"/>
        </w:rPr>
        <w:t xml:space="preserve"> of the host-municipalities</w:t>
      </w:r>
      <w:r>
        <w:rPr>
          <w:rFonts w:asciiTheme="majorHAnsi" w:hAnsiTheme="majorHAnsi" w:cstheme="majorHAnsi"/>
        </w:rPr>
        <w:t>.</w:t>
      </w:r>
      <w:r w:rsidR="00D434EB">
        <w:rPr>
          <w:rFonts w:asciiTheme="majorHAnsi" w:hAnsiTheme="majorHAnsi" w:cstheme="majorHAnsi"/>
        </w:rPr>
        <w:t xml:space="preserve"> </w:t>
      </w:r>
      <w:r>
        <w:rPr>
          <w:rFonts w:asciiTheme="majorHAnsi" w:hAnsiTheme="majorHAnsi" w:cstheme="majorHAnsi"/>
        </w:rPr>
        <w:t>This was intended to strengthen the</w:t>
      </w:r>
      <w:r w:rsidRPr="002C574E">
        <w:rPr>
          <w:rFonts w:asciiTheme="majorHAnsi" w:hAnsiTheme="majorHAnsi" w:cstheme="majorHAnsi"/>
        </w:rPr>
        <w:t xml:space="preserve"> sense of ownership</w:t>
      </w:r>
      <w:r>
        <w:rPr>
          <w:rFonts w:asciiTheme="majorHAnsi" w:hAnsiTheme="majorHAnsi" w:cstheme="majorHAnsi"/>
        </w:rPr>
        <w:t>,</w:t>
      </w:r>
      <w:r w:rsidRPr="002C574E">
        <w:rPr>
          <w:rFonts w:asciiTheme="majorHAnsi" w:hAnsiTheme="majorHAnsi" w:cstheme="majorHAnsi"/>
        </w:rPr>
        <w:t xml:space="preserve"> responsibility</w:t>
      </w:r>
      <w:r>
        <w:rPr>
          <w:rFonts w:asciiTheme="majorHAnsi" w:hAnsiTheme="majorHAnsi" w:cstheme="majorHAnsi"/>
        </w:rPr>
        <w:t xml:space="preserve"> </w:t>
      </w:r>
      <w:r w:rsidRPr="002C574E">
        <w:rPr>
          <w:rFonts w:asciiTheme="majorHAnsi" w:hAnsiTheme="majorHAnsi" w:cstheme="majorHAnsi"/>
        </w:rPr>
        <w:t xml:space="preserve">and </w:t>
      </w:r>
      <w:r>
        <w:rPr>
          <w:rFonts w:asciiTheme="majorHAnsi" w:hAnsiTheme="majorHAnsi" w:cstheme="majorHAnsi"/>
        </w:rPr>
        <w:t xml:space="preserve">participation of </w:t>
      </w:r>
      <w:r w:rsidRPr="002C574E">
        <w:rPr>
          <w:rFonts w:asciiTheme="majorHAnsi" w:hAnsiTheme="majorHAnsi" w:cstheme="majorHAnsi"/>
        </w:rPr>
        <w:t>local stakeholders</w:t>
      </w:r>
      <w:r>
        <w:rPr>
          <w:rFonts w:asciiTheme="majorHAnsi" w:hAnsiTheme="majorHAnsi" w:cstheme="majorHAnsi"/>
        </w:rPr>
        <w:t xml:space="preserve"> in the development of the schools</w:t>
      </w:r>
      <w:r w:rsidRPr="002C574E">
        <w:rPr>
          <w:rFonts w:asciiTheme="majorHAnsi" w:hAnsiTheme="majorHAnsi" w:cstheme="majorHAnsi"/>
        </w:rPr>
        <w:t>.</w:t>
      </w:r>
      <w:r w:rsidR="00D434EB">
        <w:rPr>
          <w:rFonts w:asciiTheme="majorHAnsi" w:hAnsiTheme="majorHAnsi" w:cstheme="majorHAnsi"/>
        </w:rPr>
        <w:t xml:space="preserve"> </w:t>
      </w:r>
      <w:r w:rsidRPr="002C574E">
        <w:rPr>
          <w:rFonts w:asciiTheme="majorHAnsi" w:hAnsiTheme="majorHAnsi" w:cstheme="majorHAnsi"/>
        </w:rPr>
        <w:t>The training</w:t>
      </w:r>
      <w:r>
        <w:rPr>
          <w:rFonts w:asciiTheme="majorHAnsi" w:hAnsiTheme="majorHAnsi" w:cstheme="majorHAnsi"/>
        </w:rPr>
        <w:t xml:space="preserve"> program</w:t>
      </w:r>
      <w:r w:rsidRPr="002C574E">
        <w:rPr>
          <w:rFonts w:asciiTheme="majorHAnsi" w:hAnsiTheme="majorHAnsi" w:cstheme="majorHAnsi"/>
        </w:rPr>
        <w:t xml:space="preserve">s also assisted </w:t>
      </w:r>
      <w:r>
        <w:rPr>
          <w:rFonts w:asciiTheme="majorHAnsi" w:hAnsiTheme="majorHAnsi" w:cstheme="majorHAnsi"/>
        </w:rPr>
        <w:t>the school stakeholders in</w:t>
      </w:r>
      <w:r w:rsidRPr="002C574E">
        <w:rPr>
          <w:rFonts w:asciiTheme="majorHAnsi" w:hAnsiTheme="majorHAnsi" w:cstheme="majorHAnsi"/>
        </w:rPr>
        <w:t xml:space="preserve"> craft</w:t>
      </w:r>
      <w:r>
        <w:rPr>
          <w:rFonts w:asciiTheme="majorHAnsi" w:hAnsiTheme="majorHAnsi" w:cstheme="majorHAnsi"/>
        </w:rPr>
        <w:t>ing their</w:t>
      </w:r>
      <w:r w:rsidRPr="002C574E">
        <w:rPr>
          <w:rFonts w:asciiTheme="majorHAnsi" w:hAnsiTheme="majorHAnsi" w:cstheme="majorHAnsi"/>
        </w:rPr>
        <w:t xml:space="preserve"> SIPs and </w:t>
      </w:r>
      <w:r>
        <w:rPr>
          <w:rFonts w:asciiTheme="majorHAnsi" w:hAnsiTheme="majorHAnsi" w:cstheme="majorHAnsi"/>
        </w:rPr>
        <w:t xml:space="preserve">aligning it with the </w:t>
      </w:r>
      <w:r w:rsidRPr="002C574E">
        <w:rPr>
          <w:rFonts w:asciiTheme="majorHAnsi" w:hAnsiTheme="majorHAnsi" w:cstheme="majorHAnsi"/>
        </w:rPr>
        <w:t>Municipal Education Agenda</w:t>
      </w:r>
      <w:r>
        <w:rPr>
          <w:rFonts w:asciiTheme="majorHAnsi" w:hAnsiTheme="majorHAnsi" w:cstheme="majorHAnsi"/>
        </w:rPr>
        <w:t>,</w:t>
      </w:r>
      <w:r w:rsidRPr="002C574E">
        <w:rPr>
          <w:rFonts w:asciiTheme="majorHAnsi" w:hAnsiTheme="majorHAnsi" w:cstheme="majorHAnsi"/>
        </w:rPr>
        <w:t xml:space="preserve"> gender analysis</w:t>
      </w:r>
      <w:r>
        <w:rPr>
          <w:rFonts w:asciiTheme="majorHAnsi" w:hAnsiTheme="majorHAnsi" w:cstheme="majorHAnsi"/>
        </w:rPr>
        <w:t xml:space="preserve">, </w:t>
      </w:r>
      <w:r w:rsidRPr="002C574E">
        <w:rPr>
          <w:rFonts w:asciiTheme="majorHAnsi" w:hAnsiTheme="majorHAnsi" w:cstheme="majorHAnsi"/>
        </w:rPr>
        <w:t xml:space="preserve">study of gender issues in the school and community </w:t>
      </w:r>
      <w:r>
        <w:rPr>
          <w:rFonts w:asciiTheme="majorHAnsi" w:hAnsiTheme="majorHAnsi" w:cstheme="majorHAnsi"/>
        </w:rPr>
        <w:t>as well as in</w:t>
      </w:r>
      <w:r w:rsidRPr="002C574E">
        <w:rPr>
          <w:rFonts w:asciiTheme="majorHAnsi" w:hAnsiTheme="majorHAnsi" w:cstheme="majorHAnsi"/>
        </w:rPr>
        <w:t xml:space="preserve"> promoting gender-fair and non-sexist learning environment</w:t>
      </w:r>
      <w:r>
        <w:rPr>
          <w:rFonts w:asciiTheme="majorHAnsi" w:hAnsiTheme="majorHAnsi" w:cstheme="majorHAnsi"/>
        </w:rPr>
        <w:t>s</w:t>
      </w:r>
      <w:r w:rsidRPr="002C574E">
        <w:rPr>
          <w:rFonts w:asciiTheme="majorHAnsi" w:hAnsiTheme="majorHAnsi" w:cstheme="majorHAnsi"/>
        </w:rPr>
        <w:t>.</w:t>
      </w:r>
      <w:r w:rsidR="00D434EB">
        <w:rPr>
          <w:rFonts w:asciiTheme="majorHAnsi" w:hAnsiTheme="majorHAnsi" w:cstheme="majorHAnsi"/>
        </w:rPr>
        <w:t xml:space="preserve"> </w:t>
      </w:r>
      <w:r>
        <w:rPr>
          <w:rFonts w:asciiTheme="majorHAnsi" w:hAnsiTheme="majorHAnsi" w:cstheme="majorHAnsi"/>
        </w:rPr>
        <w:t xml:space="preserve">All these interventions were intended to heighten the </w:t>
      </w:r>
      <w:r>
        <w:rPr>
          <w:rFonts w:asciiTheme="majorHAnsi" w:hAnsiTheme="majorHAnsi" w:cstheme="majorHAnsi"/>
          <w:color w:val="000000" w:themeColor="text1"/>
        </w:rPr>
        <w:t xml:space="preserve">participation of </w:t>
      </w:r>
      <w:r w:rsidRPr="008C750D">
        <w:rPr>
          <w:rFonts w:asciiTheme="majorHAnsi" w:hAnsiTheme="majorHAnsi" w:cstheme="majorHAnsi"/>
          <w:bCs/>
          <w:color w:val="000000" w:themeColor="text1"/>
        </w:rPr>
        <w:t>education leaders and managers</w:t>
      </w:r>
      <w:r>
        <w:rPr>
          <w:rFonts w:asciiTheme="majorHAnsi" w:hAnsiTheme="majorHAnsi" w:cstheme="majorHAnsi"/>
          <w:bCs/>
          <w:color w:val="000000" w:themeColor="text1"/>
        </w:rPr>
        <w:t xml:space="preserve"> in enhancing student participation and access.</w:t>
      </w:r>
    </w:p>
    <w:p w14:paraId="621C2970" w14:textId="327F9C93" w:rsidR="008D0CAD" w:rsidRPr="0080387C" w:rsidRDefault="008D0CAD" w:rsidP="00B31C4E">
      <w:pPr>
        <w:spacing w:before="100" w:beforeAutospacing="1" w:after="100" w:afterAutospacing="1" w:line="360" w:lineRule="auto"/>
        <w:rPr>
          <w:rFonts w:asciiTheme="majorHAnsi" w:hAnsiTheme="majorHAnsi" w:cstheme="majorHAnsi"/>
        </w:rPr>
      </w:pPr>
      <w:r w:rsidRPr="002322A5">
        <w:rPr>
          <w:rFonts w:asciiTheme="majorHAnsi" w:hAnsiTheme="majorHAnsi" w:cstheme="majorHAnsi"/>
          <w:color w:val="000000" w:themeColor="text1"/>
        </w:rPr>
        <w:t xml:space="preserve">However, </w:t>
      </w:r>
      <w:r>
        <w:rPr>
          <w:rFonts w:asciiTheme="majorHAnsi" w:hAnsiTheme="majorHAnsi" w:cstheme="majorHAnsi"/>
          <w:color w:val="000000" w:themeColor="text1"/>
        </w:rPr>
        <w:t>during the BEST Program implementation, the Classroom Construction intervention was implemented as a stand-alone intervention and social preparation was planned to be transferred to a different program component.</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Hence, the Study was not able to ascertain clear collaborations between Classroom Construction and the other program interventions.</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Classroom Construction was not able to draw synergy with SBM, GEDSI and/or OD for the vital </w:t>
      </w:r>
      <w:r w:rsidRPr="002C574E">
        <w:rPr>
          <w:rFonts w:asciiTheme="majorHAnsi" w:hAnsiTheme="majorHAnsi" w:cstheme="majorHAnsi"/>
        </w:rPr>
        <w:t>social preparation and capability building interventions</w:t>
      </w:r>
      <w:r>
        <w:rPr>
          <w:rFonts w:asciiTheme="majorHAnsi" w:hAnsiTheme="majorHAnsi" w:cstheme="majorHAnsi"/>
        </w:rPr>
        <w:t>.</w:t>
      </w:r>
      <w:r>
        <w:rPr>
          <w:rFonts w:asciiTheme="majorHAnsi" w:hAnsiTheme="majorHAnsi" w:cstheme="majorHAnsi"/>
          <w:color w:val="000000" w:themeColor="text1"/>
        </w:rPr>
        <w:t xml:space="preserve"> </w:t>
      </w:r>
      <w:r w:rsidRPr="0080387C">
        <w:rPr>
          <w:rFonts w:asciiTheme="majorHAnsi" w:hAnsiTheme="majorHAnsi" w:cstheme="majorHAnsi"/>
          <w:color w:val="000000"/>
        </w:rPr>
        <w:t>This missed opportunity reduced the effectiveness of this Program intervention.</w:t>
      </w:r>
    </w:p>
    <w:p w14:paraId="6D6EA738" w14:textId="6154F9EC" w:rsidR="008D0CAD" w:rsidRPr="008B6B7E" w:rsidRDefault="008D0CAD" w:rsidP="00B31C4E">
      <w:pPr>
        <w:spacing w:before="100" w:beforeAutospacing="1" w:after="100" w:afterAutospacing="1" w:line="360" w:lineRule="auto"/>
        <w:rPr>
          <w:rFonts w:asciiTheme="majorHAnsi" w:hAnsiTheme="majorHAnsi" w:cstheme="majorHAnsi"/>
        </w:rPr>
      </w:pPr>
      <w:r>
        <w:rPr>
          <w:rFonts w:asciiTheme="majorHAnsi" w:hAnsiTheme="majorHAnsi" w:cstheme="majorHAnsi"/>
          <w:color w:val="000000"/>
        </w:rPr>
        <w:t>Opportunities for replication do exist however.</w:t>
      </w:r>
      <w:r w:rsidR="00D434EB">
        <w:rPr>
          <w:rFonts w:asciiTheme="majorHAnsi" w:hAnsiTheme="majorHAnsi" w:cstheme="majorHAnsi"/>
          <w:color w:val="000000"/>
        </w:rPr>
        <w:t xml:space="preserve"> </w:t>
      </w:r>
      <w:r>
        <w:rPr>
          <w:rFonts w:asciiTheme="majorHAnsi" w:hAnsiTheme="majorHAnsi" w:cstheme="majorHAnsi"/>
          <w:color w:val="000000"/>
        </w:rPr>
        <w:t>In all recipient schools the classrooms constructed by PBSP have become models and in fact have raised the standards of GEDSI-responsive classrooms.</w:t>
      </w:r>
      <w:r w:rsidR="00D434EB">
        <w:rPr>
          <w:rFonts w:asciiTheme="majorHAnsi" w:hAnsiTheme="majorHAnsi" w:cstheme="majorHAnsi"/>
          <w:color w:val="000000"/>
        </w:rPr>
        <w:t xml:space="preserve"> </w:t>
      </w:r>
      <w:r>
        <w:rPr>
          <w:rFonts w:asciiTheme="majorHAnsi" w:hAnsiTheme="majorHAnsi" w:cstheme="majorHAnsi"/>
          <w:color w:val="000000"/>
        </w:rPr>
        <w:t>PBSP acknowledged that some LGUs had requested the designs of the classrooms for replication.</w:t>
      </w:r>
      <w:r>
        <w:rPr>
          <w:rStyle w:val="FootnoteReference"/>
          <w:rFonts w:asciiTheme="majorHAnsi" w:eastAsia="Arial Unicode MS" w:hAnsiTheme="majorHAnsi" w:cstheme="majorHAnsi"/>
          <w:color w:val="000000"/>
        </w:rPr>
        <w:footnoteReference w:id="57"/>
      </w:r>
      <w:r>
        <w:rPr>
          <w:rFonts w:asciiTheme="majorHAnsi" w:hAnsiTheme="majorHAnsi" w:cstheme="majorHAnsi"/>
          <w:color w:val="000000"/>
        </w:rPr>
        <w:t xml:space="preserve"> Thus, it is reasonable to expect that future classroom construction could follow the disaster-resilient, gender-sensitive and disability inclusive design modelled through the BEST Program.</w:t>
      </w:r>
    </w:p>
    <w:p w14:paraId="49120102" w14:textId="61E13CB8" w:rsidR="008D0CAD" w:rsidRPr="008C061C" w:rsidRDefault="008D0CAD" w:rsidP="008C061C">
      <w:pPr>
        <w:pStyle w:val="Heading6"/>
      </w:pPr>
      <w:r w:rsidRPr="008C061C">
        <w:rPr>
          <w:rStyle w:val="Heading6Char"/>
          <w:i/>
        </w:rPr>
        <w:t>Enhanced access for children of specific contexts</w:t>
      </w:r>
    </w:p>
    <w:bookmarkEnd w:id="129"/>
    <w:p w14:paraId="52BD98B2" w14:textId="77777777" w:rsidR="008D0CAD" w:rsidRDefault="008D0CAD" w:rsidP="00B31C4E">
      <w:pPr>
        <w:spacing w:before="100" w:beforeAutospacing="1" w:after="100" w:afterAutospacing="1" w:line="360" w:lineRule="auto"/>
        <w:rPr>
          <w:rFonts w:asciiTheme="majorHAnsi" w:hAnsiTheme="majorHAnsi" w:cstheme="majorHAnsi"/>
          <w:i/>
          <w:color w:val="000000"/>
        </w:rPr>
      </w:pPr>
      <w:r w:rsidRPr="00876C2A">
        <w:rPr>
          <w:rFonts w:asciiTheme="majorHAnsi" w:hAnsiTheme="majorHAnsi" w:cstheme="majorHAnsi"/>
          <w:i/>
          <w:color w:val="000000"/>
        </w:rPr>
        <w:t xml:space="preserve">IO7: </w:t>
      </w:r>
      <w:r>
        <w:rPr>
          <w:rFonts w:asciiTheme="majorHAnsi" w:hAnsiTheme="majorHAnsi" w:cstheme="majorHAnsi"/>
          <w:i/>
          <w:color w:val="000000"/>
        </w:rPr>
        <w:t>DepEd</w:t>
      </w:r>
      <w:r w:rsidRPr="00876C2A">
        <w:rPr>
          <w:rFonts w:asciiTheme="majorHAnsi" w:hAnsiTheme="majorHAnsi" w:cstheme="majorHAnsi"/>
          <w:i/>
          <w:color w:val="000000"/>
        </w:rPr>
        <w:t xml:space="preserve"> able to articulate implementation strategies to improve access for children from specific contexts</w:t>
      </w:r>
    </w:p>
    <w:p w14:paraId="4E97BEE1" w14:textId="1EC37EFB" w:rsidR="008D0CAD" w:rsidRDefault="008D0CAD" w:rsidP="00B31C4E">
      <w:pPr>
        <w:pStyle w:val="CommentText"/>
        <w:spacing w:before="100" w:beforeAutospacing="1" w:after="100" w:afterAutospacing="1" w:line="360" w:lineRule="auto"/>
        <w:rPr>
          <w:rFonts w:asciiTheme="majorHAnsi" w:hAnsiTheme="majorHAnsi" w:cstheme="majorHAnsi"/>
          <w:i/>
          <w:color w:val="000000"/>
          <w:sz w:val="24"/>
          <w:szCs w:val="24"/>
        </w:rPr>
      </w:pPr>
      <w:r w:rsidRPr="00EC265B">
        <w:rPr>
          <w:rFonts w:asciiTheme="majorHAnsi" w:hAnsiTheme="majorHAnsi" w:cstheme="majorHAnsi"/>
          <w:color w:val="000000" w:themeColor="text1"/>
          <w:sz w:val="24"/>
          <w:szCs w:val="24"/>
        </w:rPr>
        <w:t xml:space="preserve">The </w:t>
      </w:r>
      <w:r w:rsidRPr="0096427D">
        <w:rPr>
          <w:rFonts w:asciiTheme="majorHAnsi" w:hAnsiTheme="majorHAnsi" w:cstheme="majorHAnsi"/>
          <w:color w:val="000000" w:themeColor="text1"/>
          <w:sz w:val="24"/>
          <w:szCs w:val="24"/>
        </w:rPr>
        <w:t>Program interventions under GEDSI</w:t>
      </w:r>
      <w:r w:rsidRPr="00EC265B">
        <w:rPr>
          <w:rFonts w:asciiTheme="majorHAnsi" w:hAnsiTheme="majorHAnsi" w:cstheme="majorHAnsi"/>
          <w:b/>
          <w:bCs/>
          <w:color w:val="000000" w:themeColor="text1"/>
          <w:sz w:val="24"/>
          <w:szCs w:val="24"/>
        </w:rPr>
        <w:t xml:space="preserve"> </w:t>
      </w:r>
      <w:r w:rsidRPr="00EC265B">
        <w:rPr>
          <w:rFonts w:asciiTheme="majorHAnsi" w:hAnsiTheme="majorHAnsi" w:cstheme="majorHAnsi"/>
          <w:color w:val="000000" w:themeColor="text1"/>
          <w:sz w:val="24"/>
          <w:szCs w:val="24"/>
        </w:rPr>
        <w:t>consisted of three clusters of activities. First, the Program provided technical assistance for the formulation of several key education policies in support of IE and GRBE</w:t>
      </w:r>
      <w:r w:rsidRPr="00EC265B">
        <w:rPr>
          <w:rFonts w:asciiTheme="majorHAnsi" w:hAnsiTheme="majorHAnsi" w:cstheme="majorHAnsi"/>
          <w:color w:val="C00000"/>
          <w:sz w:val="24"/>
          <w:szCs w:val="24"/>
        </w:rPr>
        <w:t>.</w:t>
      </w:r>
      <w:r w:rsidR="00D434EB">
        <w:rPr>
          <w:rFonts w:asciiTheme="majorHAnsi" w:hAnsiTheme="majorHAnsi" w:cstheme="majorHAnsi"/>
          <w:color w:val="000000" w:themeColor="text1"/>
          <w:sz w:val="24"/>
          <w:szCs w:val="24"/>
        </w:rPr>
        <w:t xml:space="preserve"> </w:t>
      </w:r>
      <w:r w:rsidRPr="00EC265B">
        <w:rPr>
          <w:rFonts w:asciiTheme="majorHAnsi" w:hAnsiTheme="majorHAnsi" w:cstheme="majorHAnsi"/>
          <w:sz w:val="24"/>
          <w:szCs w:val="24"/>
        </w:rPr>
        <w:t xml:space="preserve">Technical assistance included increasing understanding, knowledge, and skills to enable the practical application of disability and inclusive education. </w:t>
      </w:r>
      <w:r w:rsidRPr="00EC265B">
        <w:rPr>
          <w:rFonts w:asciiTheme="majorHAnsi" w:hAnsiTheme="majorHAnsi" w:cstheme="majorHAnsi"/>
          <w:color w:val="000000" w:themeColor="text1"/>
          <w:sz w:val="24"/>
          <w:szCs w:val="24"/>
        </w:rPr>
        <w:t>Second, GEDSI was mainstreamed as cross-cutting themes in the L</w:t>
      </w:r>
      <w:r>
        <w:rPr>
          <w:rFonts w:asciiTheme="majorHAnsi" w:hAnsiTheme="majorHAnsi" w:cstheme="majorHAnsi"/>
          <w:color w:val="000000" w:themeColor="text1"/>
          <w:sz w:val="24"/>
          <w:szCs w:val="24"/>
        </w:rPr>
        <w:t xml:space="preserve">earning </w:t>
      </w:r>
      <w:r w:rsidRPr="00EC265B">
        <w:rPr>
          <w:rFonts w:asciiTheme="majorHAnsi" w:hAnsiTheme="majorHAnsi" w:cstheme="majorHAnsi"/>
          <w:color w:val="000000" w:themeColor="text1"/>
          <w:sz w:val="24"/>
          <w:szCs w:val="24"/>
        </w:rPr>
        <w:t>&amp;</w:t>
      </w:r>
      <w:r>
        <w:rPr>
          <w:rFonts w:asciiTheme="majorHAnsi" w:hAnsiTheme="majorHAnsi" w:cstheme="majorHAnsi"/>
          <w:color w:val="000000" w:themeColor="text1"/>
          <w:sz w:val="24"/>
          <w:szCs w:val="24"/>
        </w:rPr>
        <w:t xml:space="preserve"> </w:t>
      </w:r>
      <w:r w:rsidRPr="00EC265B">
        <w:rPr>
          <w:rFonts w:asciiTheme="majorHAnsi" w:hAnsiTheme="majorHAnsi" w:cstheme="majorHAnsi"/>
          <w:color w:val="000000" w:themeColor="text1"/>
          <w:sz w:val="24"/>
          <w:szCs w:val="24"/>
        </w:rPr>
        <w:t>D</w:t>
      </w:r>
      <w:r>
        <w:rPr>
          <w:rFonts w:asciiTheme="majorHAnsi" w:hAnsiTheme="majorHAnsi" w:cstheme="majorHAnsi"/>
          <w:color w:val="000000" w:themeColor="text1"/>
          <w:sz w:val="24"/>
          <w:szCs w:val="24"/>
        </w:rPr>
        <w:t>evelopment teacher professional development</w:t>
      </w:r>
      <w:r w:rsidRPr="00EC265B">
        <w:rPr>
          <w:rFonts w:asciiTheme="majorHAnsi" w:hAnsiTheme="majorHAnsi" w:cstheme="majorHAnsi"/>
          <w:color w:val="000000" w:themeColor="text1"/>
          <w:sz w:val="24"/>
          <w:szCs w:val="24"/>
        </w:rPr>
        <w:t xml:space="preserve"> system.</w:t>
      </w:r>
      <w:r w:rsidR="00D434EB">
        <w:rPr>
          <w:rFonts w:asciiTheme="majorHAnsi" w:hAnsiTheme="majorHAnsi" w:cstheme="majorHAnsi"/>
          <w:color w:val="000000" w:themeColor="text1"/>
          <w:sz w:val="24"/>
          <w:szCs w:val="24"/>
        </w:rPr>
        <w:t xml:space="preserve"> </w:t>
      </w:r>
      <w:r w:rsidRPr="00EC265B">
        <w:rPr>
          <w:rFonts w:asciiTheme="majorHAnsi" w:hAnsiTheme="majorHAnsi" w:cstheme="majorHAnsi"/>
          <w:color w:val="000000" w:themeColor="text1"/>
          <w:sz w:val="24"/>
          <w:szCs w:val="24"/>
        </w:rPr>
        <w:t>GEDSI concepts were integrated in the professional development programs for teaching and non-teaching staff at the division and school levels. GEDSI learning materials were developed which</w:t>
      </w:r>
      <w:r w:rsidRPr="00EC265B">
        <w:rPr>
          <w:rFonts w:asciiTheme="majorHAnsi" w:hAnsiTheme="majorHAnsi" w:cstheme="majorHAnsi"/>
          <w:color w:val="000000"/>
          <w:sz w:val="24"/>
          <w:szCs w:val="24"/>
        </w:rPr>
        <w:t xml:space="preserve"> included, among others: Inclusive Education Video Series; LAC Session Guides on Inclusive Value Series; ALS-EST Handbook; and Learning Resource</w:t>
      </w:r>
      <w:r>
        <w:rPr>
          <w:rFonts w:asciiTheme="majorHAnsi" w:hAnsiTheme="majorHAnsi" w:cstheme="majorHAnsi"/>
          <w:color w:val="000000"/>
          <w:sz w:val="24"/>
          <w:szCs w:val="24"/>
        </w:rPr>
        <w:t>s</w:t>
      </w:r>
      <w:r w:rsidRPr="00EC265B">
        <w:rPr>
          <w:rFonts w:asciiTheme="majorHAnsi" w:hAnsiTheme="majorHAnsi" w:cstheme="majorHAnsi"/>
          <w:color w:val="000000"/>
          <w:sz w:val="24"/>
          <w:szCs w:val="24"/>
        </w:rPr>
        <w:t xml:space="preserve"> (LR) for visually impaired</w:t>
      </w:r>
      <w:r>
        <w:rPr>
          <w:rFonts w:asciiTheme="majorHAnsi" w:hAnsiTheme="majorHAnsi" w:cstheme="majorHAnsi"/>
          <w:color w:val="000000"/>
          <w:sz w:val="24"/>
          <w:szCs w:val="24"/>
        </w:rPr>
        <w:t xml:space="preserve"> students</w:t>
      </w:r>
      <w:r w:rsidRPr="00EC265B">
        <w:rPr>
          <w:rFonts w:asciiTheme="majorHAnsi" w:hAnsiTheme="majorHAnsi" w:cstheme="majorHAnsi"/>
          <w:color w:val="000000"/>
          <w:sz w:val="24"/>
          <w:szCs w:val="24"/>
        </w:rPr>
        <w:t>. Third, the BEST Program supported the reactivation of the Gender Focal Point System (GFPS) at the Central Office and advocated for the appropriate use of the G</w:t>
      </w:r>
      <w:r>
        <w:rPr>
          <w:rFonts w:asciiTheme="majorHAnsi" w:hAnsiTheme="majorHAnsi" w:cstheme="majorHAnsi"/>
          <w:color w:val="000000"/>
          <w:sz w:val="24"/>
          <w:szCs w:val="24"/>
        </w:rPr>
        <w:t xml:space="preserve">ender and </w:t>
      </w:r>
      <w:r w:rsidRPr="00EC265B">
        <w:rPr>
          <w:rFonts w:asciiTheme="majorHAnsi" w:hAnsiTheme="majorHAnsi" w:cstheme="majorHAnsi"/>
          <w:color w:val="000000"/>
          <w:sz w:val="24"/>
          <w:szCs w:val="24"/>
        </w:rPr>
        <w:t>D</w:t>
      </w:r>
      <w:r>
        <w:rPr>
          <w:rFonts w:asciiTheme="majorHAnsi" w:hAnsiTheme="majorHAnsi" w:cstheme="majorHAnsi"/>
          <w:color w:val="000000"/>
          <w:sz w:val="24"/>
          <w:szCs w:val="24"/>
        </w:rPr>
        <w:t>evelopment</w:t>
      </w:r>
      <w:r w:rsidRPr="00EC265B">
        <w:rPr>
          <w:rFonts w:asciiTheme="majorHAnsi" w:hAnsiTheme="majorHAnsi" w:cstheme="majorHAnsi"/>
          <w:color w:val="000000"/>
          <w:sz w:val="24"/>
          <w:szCs w:val="24"/>
        </w:rPr>
        <w:t xml:space="preserve"> budget in implementing activities not only towards gender equity but also inclusi</w:t>
      </w:r>
      <w:r>
        <w:rPr>
          <w:rFonts w:asciiTheme="majorHAnsi" w:hAnsiTheme="majorHAnsi" w:cstheme="majorHAnsi"/>
          <w:color w:val="000000"/>
          <w:sz w:val="24"/>
          <w:szCs w:val="24"/>
        </w:rPr>
        <w:t>on more broadly</w:t>
      </w:r>
      <w:r w:rsidRPr="00EC265B">
        <w:rPr>
          <w:rFonts w:asciiTheme="majorHAnsi" w:hAnsiTheme="majorHAnsi" w:cstheme="majorHAnsi"/>
          <w:color w:val="000000"/>
          <w:sz w:val="24"/>
          <w:szCs w:val="24"/>
        </w:rPr>
        <w:t>.</w:t>
      </w:r>
      <w:r w:rsidR="00D434EB">
        <w:rPr>
          <w:rFonts w:asciiTheme="majorHAnsi" w:hAnsiTheme="majorHAnsi" w:cstheme="majorHAnsi"/>
          <w:color w:val="000000"/>
          <w:sz w:val="24"/>
          <w:szCs w:val="24"/>
        </w:rPr>
        <w:t xml:space="preserve"> </w:t>
      </w:r>
      <w:r w:rsidRPr="00EC265B">
        <w:rPr>
          <w:rFonts w:asciiTheme="majorHAnsi" w:hAnsiTheme="majorHAnsi" w:cstheme="majorHAnsi"/>
          <w:color w:val="000000"/>
          <w:sz w:val="24"/>
          <w:szCs w:val="24"/>
        </w:rPr>
        <w:t xml:space="preserve">These numerous interventions were intended to increase the capacity of </w:t>
      </w:r>
      <w:r>
        <w:rPr>
          <w:rFonts w:asciiTheme="majorHAnsi" w:hAnsiTheme="majorHAnsi" w:cstheme="majorHAnsi"/>
          <w:color w:val="000000"/>
          <w:sz w:val="24"/>
          <w:szCs w:val="24"/>
        </w:rPr>
        <w:t>DepEd</w:t>
      </w:r>
      <w:r w:rsidRPr="00EC265B">
        <w:rPr>
          <w:rFonts w:asciiTheme="majorHAnsi" w:hAnsiTheme="majorHAnsi" w:cstheme="majorHAnsi"/>
          <w:color w:val="000000"/>
          <w:sz w:val="24"/>
          <w:szCs w:val="24"/>
        </w:rPr>
        <w:t xml:space="preserve"> to “</w:t>
      </w:r>
      <w:r w:rsidRPr="00EC265B">
        <w:rPr>
          <w:rFonts w:asciiTheme="majorHAnsi" w:hAnsiTheme="majorHAnsi" w:cstheme="majorHAnsi"/>
          <w:i/>
          <w:color w:val="000000"/>
          <w:sz w:val="24"/>
          <w:szCs w:val="24"/>
        </w:rPr>
        <w:t>articulate implementation strategies to improve access for children from specific contexts”</w:t>
      </w:r>
    </w:p>
    <w:p w14:paraId="2E828BE4" w14:textId="0744B92F" w:rsidR="008D0CAD" w:rsidRPr="007148BF" w:rsidRDefault="008D0CAD" w:rsidP="00DD08E3">
      <w:pPr>
        <w:pStyle w:val="Heading5"/>
        <w:numPr>
          <w:ilvl w:val="3"/>
          <w:numId w:val="170"/>
        </w:numPr>
        <w:spacing w:before="100" w:beforeAutospacing="1" w:after="100" w:afterAutospacing="1" w:line="360" w:lineRule="auto"/>
      </w:pPr>
      <w:r>
        <w:t>Policies on Inclusive Education (IE) and Gender Responsive Basic Education (GRBE)</w:t>
      </w:r>
    </w:p>
    <w:p w14:paraId="613D6E9C" w14:textId="4CEB1EE7" w:rsidR="008D0CAD" w:rsidRPr="0096427D" w:rsidRDefault="008D0CAD" w:rsidP="00B31C4E">
      <w:pPr>
        <w:spacing w:before="100" w:beforeAutospacing="1" w:after="100" w:afterAutospacing="1" w:line="360" w:lineRule="auto"/>
        <w:rPr>
          <w:rFonts w:asciiTheme="majorHAnsi" w:hAnsiTheme="majorHAnsi" w:cstheme="majorHAnsi"/>
          <w:color w:val="000000"/>
        </w:rPr>
      </w:pPr>
      <w:r>
        <w:rPr>
          <w:rFonts w:asciiTheme="majorHAnsi" w:hAnsiTheme="majorHAnsi" w:cstheme="majorHAnsi"/>
          <w:color w:val="000000"/>
        </w:rPr>
        <w:t xml:space="preserve">With assistance from the Program, DepEd formulated and issued </w:t>
      </w:r>
      <w:r w:rsidRPr="00E44988">
        <w:rPr>
          <w:rFonts w:asciiTheme="majorHAnsi" w:hAnsiTheme="majorHAnsi" w:cstheme="majorHAnsi"/>
          <w:color w:val="000000"/>
        </w:rPr>
        <w:t>DO No. 41, s. 2017 on the “Policy Guidelines on Madrasah Education in the K to 12 Basic Education Program”</w:t>
      </w:r>
      <w:r>
        <w:rPr>
          <w:rFonts w:asciiTheme="majorHAnsi" w:hAnsiTheme="majorHAnsi" w:cstheme="majorHAnsi"/>
          <w:color w:val="000000"/>
        </w:rPr>
        <w:t xml:space="preserve">, </w:t>
      </w:r>
      <w:r w:rsidRPr="00E44988">
        <w:rPr>
          <w:rFonts w:asciiTheme="majorHAnsi" w:hAnsiTheme="majorHAnsi" w:cstheme="majorHAnsi"/>
          <w:color w:val="000000"/>
        </w:rPr>
        <w:t>DO No. 32, s. 2015 on “Adopting the Indigenous Peoples Education Curriculum Framework”</w:t>
      </w:r>
      <w:r>
        <w:rPr>
          <w:rFonts w:asciiTheme="majorHAnsi" w:hAnsiTheme="majorHAnsi" w:cstheme="majorHAnsi"/>
          <w:color w:val="000000"/>
        </w:rPr>
        <w:t xml:space="preserve"> and DO</w:t>
      </w:r>
      <w:r w:rsidRPr="00E44988">
        <w:rPr>
          <w:rFonts w:asciiTheme="majorHAnsi" w:hAnsiTheme="majorHAnsi" w:cstheme="majorHAnsi"/>
          <w:color w:val="000000"/>
        </w:rPr>
        <w:t xml:space="preserve"> No. 32 s. 2017 on </w:t>
      </w:r>
      <w:r>
        <w:rPr>
          <w:rFonts w:asciiTheme="majorHAnsi" w:hAnsiTheme="majorHAnsi" w:cstheme="majorHAnsi"/>
          <w:color w:val="000000"/>
        </w:rPr>
        <w:t>“</w:t>
      </w:r>
      <w:r w:rsidRPr="00E44988">
        <w:rPr>
          <w:rFonts w:asciiTheme="majorHAnsi" w:hAnsiTheme="majorHAnsi" w:cstheme="majorHAnsi"/>
          <w:color w:val="000000"/>
        </w:rPr>
        <w:t>Gender-Responsive Basic Education Policy</w:t>
      </w:r>
      <w:r>
        <w:rPr>
          <w:rFonts w:asciiTheme="majorHAnsi" w:hAnsiTheme="majorHAnsi" w:cstheme="majorHAnsi"/>
          <w:color w:val="000000"/>
        </w:rPr>
        <w:t>”.</w:t>
      </w:r>
      <w:r w:rsidR="00D434EB">
        <w:rPr>
          <w:rFonts w:asciiTheme="majorHAnsi" w:hAnsiTheme="majorHAnsi" w:cstheme="majorHAnsi"/>
          <w:color w:val="000000"/>
        </w:rPr>
        <w:t xml:space="preserve"> </w:t>
      </w:r>
      <w:r>
        <w:rPr>
          <w:rFonts w:asciiTheme="majorHAnsi" w:hAnsiTheme="majorHAnsi" w:cstheme="majorHAnsi"/>
          <w:color w:val="000000"/>
        </w:rPr>
        <w:t xml:space="preserve">High knowledge of policies among </w:t>
      </w:r>
      <w:r w:rsidRPr="0056727A">
        <w:rPr>
          <w:rFonts w:asciiTheme="majorHAnsi" w:hAnsiTheme="majorHAnsi" w:cstheme="majorHAnsi"/>
          <w:color w:val="000000" w:themeColor="text1"/>
        </w:rPr>
        <w:t>school-level respondents</w:t>
      </w:r>
      <w:r>
        <w:rPr>
          <w:rFonts w:asciiTheme="majorHAnsi" w:hAnsiTheme="majorHAnsi" w:cstheme="majorHAnsi"/>
          <w:color w:val="000000" w:themeColor="text1"/>
        </w:rPr>
        <w:t xml:space="preserve"> was deemed critical for influencing implementation.</w:t>
      </w:r>
      <w:r w:rsidRPr="0056727A">
        <w:rPr>
          <w:rFonts w:asciiTheme="majorHAnsi" w:hAnsiTheme="majorHAnsi" w:cstheme="majorHAnsi"/>
          <w:color w:val="000000" w:themeColor="text1"/>
        </w:rPr>
        <w:t xml:space="preserve"> </w:t>
      </w:r>
    </w:p>
    <w:p w14:paraId="3A4DA93E" w14:textId="617C9C89" w:rsidR="00EC4C86" w:rsidRDefault="008D0CAD" w:rsidP="00B31C4E">
      <w:pPr>
        <w:spacing w:before="100" w:beforeAutospacing="1" w:after="100" w:afterAutospacing="1" w:line="360" w:lineRule="auto"/>
        <w:rPr>
          <w:rFonts w:asciiTheme="majorHAnsi" w:hAnsiTheme="majorHAnsi" w:cstheme="majorHAnsi"/>
          <w:color w:val="000000" w:themeColor="text1"/>
        </w:rPr>
      </w:pPr>
      <w:r w:rsidRPr="00B3313D">
        <w:rPr>
          <w:rFonts w:asciiTheme="majorHAnsi" w:hAnsiTheme="majorHAnsi" w:cstheme="majorHAnsi"/>
          <w:color w:val="000000"/>
        </w:rPr>
        <w:t>At the time of the survey, results revealed that these three policies were among the least known and useful policies from the respondents’ perspectives</w:t>
      </w:r>
      <w:r>
        <w:rPr>
          <w:rFonts w:asciiTheme="majorHAnsi" w:hAnsiTheme="majorHAnsi" w:cstheme="majorHAnsi"/>
          <w:color w:val="000000"/>
        </w:rPr>
        <w:t xml:space="preserve"> (Figure 17). L</w:t>
      </w:r>
      <w:r w:rsidRPr="00B3313D">
        <w:rPr>
          <w:rFonts w:asciiTheme="majorHAnsi" w:hAnsiTheme="majorHAnsi" w:cstheme="majorHAnsi"/>
          <w:color w:val="000000"/>
        </w:rPr>
        <w:t xml:space="preserve">ess than </w:t>
      </w:r>
      <w:r>
        <w:rPr>
          <w:rFonts w:asciiTheme="majorHAnsi" w:hAnsiTheme="majorHAnsi" w:cstheme="majorHAnsi"/>
          <w:color w:val="000000"/>
        </w:rPr>
        <w:t>half</w:t>
      </w:r>
      <w:r w:rsidRPr="00B3313D">
        <w:rPr>
          <w:rFonts w:asciiTheme="majorHAnsi" w:hAnsiTheme="majorHAnsi" w:cstheme="majorHAnsi"/>
          <w:color w:val="000000"/>
        </w:rPr>
        <w:t xml:space="preserve"> of </w:t>
      </w:r>
      <w:r>
        <w:rPr>
          <w:rFonts w:asciiTheme="majorHAnsi" w:hAnsiTheme="majorHAnsi" w:cstheme="majorHAnsi"/>
          <w:color w:val="000000"/>
        </w:rPr>
        <w:t>principals</w:t>
      </w:r>
      <w:r w:rsidRPr="00B3313D">
        <w:rPr>
          <w:rFonts w:asciiTheme="majorHAnsi" w:hAnsiTheme="majorHAnsi" w:cstheme="majorHAnsi"/>
          <w:color w:val="000000"/>
        </w:rPr>
        <w:t xml:space="preserve"> and less than a </w:t>
      </w:r>
      <w:r>
        <w:rPr>
          <w:rFonts w:asciiTheme="majorHAnsi" w:hAnsiTheme="majorHAnsi" w:cstheme="majorHAnsi"/>
          <w:color w:val="000000"/>
        </w:rPr>
        <w:t>third</w:t>
      </w:r>
      <w:r w:rsidRPr="00B3313D">
        <w:rPr>
          <w:rFonts w:asciiTheme="majorHAnsi" w:hAnsiTheme="majorHAnsi" w:cstheme="majorHAnsi"/>
          <w:color w:val="000000"/>
        </w:rPr>
        <w:t xml:space="preserve"> of teachers </w:t>
      </w:r>
      <w:r>
        <w:rPr>
          <w:rFonts w:asciiTheme="majorHAnsi" w:hAnsiTheme="majorHAnsi" w:cstheme="majorHAnsi"/>
          <w:color w:val="000000"/>
        </w:rPr>
        <w:t>stated having good</w:t>
      </w:r>
      <w:r w:rsidRPr="00B3313D">
        <w:rPr>
          <w:rFonts w:asciiTheme="majorHAnsi" w:hAnsiTheme="majorHAnsi" w:cstheme="majorHAnsi"/>
          <w:color w:val="000000"/>
        </w:rPr>
        <w:t xml:space="preserve"> </w:t>
      </w:r>
      <w:r>
        <w:rPr>
          <w:rFonts w:asciiTheme="majorHAnsi" w:hAnsiTheme="majorHAnsi" w:cstheme="majorHAnsi"/>
          <w:color w:val="000000"/>
        </w:rPr>
        <w:t>k</w:t>
      </w:r>
      <w:r w:rsidRPr="00B3313D">
        <w:rPr>
          <w:rFonts w:asciiTheme="majorHAnsi" w:hAnsiTheme="majorHAnsi" w:cstheme="majorHAnsi"/>
          <w:color w:val="000000"/>
        </w:rPr>
        <w:t xml:space="preserve">nowledge </w:t>
      </w:r>
      <w:r>
        <w:rPr>
          <w:rFonts w:asciiTheme="majorHAnsi" w:hAnsiTheme="majorHAnsi" w:cstheme="majorHAnsi"/>
          <w:color w:val="000000"/>
        </w:rPr>
        <w:t>of DO 32-2015 and DO 41-2017.</w:t>
      </w:r>
      <w:r w:rsidR="00D434EB">
        <w:rPr>
          <w:rFonts w:asciiTheme="majorHAnsi" w:hAnsiTheme="majorHAnsi" w:cstheme="majorHAnsi"/>
          <w:color w:val="000000"/>
        </w:rPr>
        <w:t xml:space="preserve"> </w:t>
      </w:r>
      <w:r>
        <w:rPr>
          <w:rFonts w:asciiTheme="majorHAnsi" w:hAnsiTheme="majorHAnsi" w:cstheme="majorHAnsi"/>
          <w:color w:val="000000"/>
        </w:rPr>
        <w:t>In contrast, 58 per cent of principals and 47 per cent of teachers said they had good knowledge of DO 32-2017 (GBREP).</w:t>
      </w:r>
      <w:r w:rsidR="00D434EB">
        <w:rPr>
          <w:rFonts w:asciiTheme="majorHAnsi" w:hAnsiTheme="majorHAnsi" w:cstheme="majorHAnsi"/>
          <w:color w:val="000000"/>
        </w:rPr>
        <w:t xml:space="preserve"> </w:t>
      </w:r>
      <w:r w:rsidRPr="00932147">
        <w:rPr>
          <w:rFonts w:asciiTheme="majorHAnsi" w:hAnsiTheme="majorHAnsi" w:cstheme="majorHAnsi"/>
          <w:color w:val="000000" w:themeColor="text1"/>
        </w:rPr>
        <w:t>In the Follow-Up Study, however, knowledge o</w:t>
      </w:r>
      <w:r>
        <w:rPr>
          <w:rFonts w:asciiTheme="majorHAnsi" w:hAnsiTheme="majorHAnsi" w:cstheme="majorHAnsi"/>
          <w:color w:val="000000" w:themeColor="text1"/>
        </w:rPr>
        <w:t>f</w:t>
      </w:r>
      <w:r w:rsidRPr="00932147">
        <w:rPr>
          <w:rFonts w:asciiTheme="majorHAnsi" w:hAnsiTheme="majorHAnsi" w:cstheme="majorHAnsi"/>
          <w:color w:val="000000" w:themeColor="text1"/>
        </w:rPr>
        <w:t xml:space="preserve"> </w:t>
      </w:r>
      <w:r w:rsidR="004A657A" w:rsidRPr="00932147">
        <w:rPr>
          <w:rFonts w:asciiTheme="majorHAnsi" w:hAnsiTheme="majorHAnsi" w:cstheme="majorHAnsi"/>
          <w:color w:val="000000" w:themeColor="text1"/>
        </w:rPr>
        <w:t>the policy</w:t>
      </w:r>
      <w:r>
        <w:rPr>
          <w:rFonts w:asciiTheme="majorHAnsi" w:hAnsiTheme="majorHAnsi" w:cstheme="majorHAnsi"/>
          <w:color w:val="000000" w:themeColor="text1"/>
        </w:rPr>
        <w:t xml:space="preserve"> on indigenous education</w:t>
      </w:r>
      <w:r w:rsidRPr="00932147">
        <w:rPr>
          <w:rFonts w:asciiTheme="majorHAnsi" w:hAnsiTheme="majorHAnsi" w:cstheme="majorHAnsi"/>
          <w:color w:val="000000" w:themeColor="text1"/>
        </w:rPr>
        <w:t xml:space="preserve"> was higher than the GRBE policy and this was attributed to having two schools with high </w:t>
      </w:r>
      <w:r>
        <w:rPr>
          <w:rFonts w:asciiTheme="majorHAnsi" w:hAnsiTheme="majorHAnsi" w:cstheme="majorHAnsi"/>
          <w:color w:val="000000" w:themeColor="text1"/>
        </w:rPr>
        <w:t>indigenous</w:t>
      </w:r>
      <w:r w:rsidRPr="00932147">
        <w:rPr>
          <w:rFonts w:asciiTheme="majorHAnsi" w:hAnsiTheme="majorHAnsi" w:cstheme="majorHAnsi"/>
          <w:color w:val="000000" w:themeColor="text1"/>
        </w:rPr>
        <w:t xml:space="preserve"> student population</w:t>
      </w:r>
      <w:r>
        <w:rPr>
          <w:rFonts w:asciiTheme="majorHAnsi" w:hAnsiTheme="majorHAnsi" w:cstheme="majorHAnsi"/>
          <w:color w:val="000000" w:themeColor="text1"/>
        </w:rPr>
        <w:t>s</w:t>
      </w:r>
      <w:r w:rsidRPr="00932147">
        <w:rPr>
          <w:rFonts w:asciiTheme="majorHAnsi" w:hAnsiTheme="majorHAnsi" w:cstheme="majorHAnsi"/>
          <w:color w:val="000000" w:themeColor="text1"/>
        </w:rPr>
        <w:t>.</w:t>
      </w:r>
    </w:p>
    <w:p w14:paraId="506281CB" w14:textId="0A3FC2C8" w:rsidR="008D0CAD" w:rsidRPr="004A657A" w:rsidRDefault="008D0CAD" w:rsidP="00B31C4E">
      <w:pPr>
        <w:pageBreakBefore/>
        <w:spacing w:before="100" w:beforeAutospacing="1" w:after="100" w:afterAutospacing="1" w:line="360" w:lineRule="auto"/>
        <w:rPr>
          <w:rFonts w:asciiTheme="majorHAnsi" w:hAnsiTheme="majorHAnsi" w:cstheme="majorHAnsi"/>
          <w:i/>
          <w:color w:val="44546A" w:themeColor="text2"/>
          <w:sz w:val="22"/>
          <w:szCs w:val="22"/>
        </w:rPr>
      </w:pPr>
      <w:bookmarkStart w:id="136" w:name="_Toc71616540"/>
      <w:r w:rsidRPr="004A657A">
        <w:rPr>
          <w:rFonts w:asciiTheme="majorHAnsi" w:hAnsiTheme="majorHAnsi" w:cstheme="majorHAnsi"/>
          <w:i/>
          <w:color w:val="44546A" w:themeColor="text2"/>
          <w:sz w:val="22"/>
          <w:szCs w:val="22"/>
        </w:rPr>
        <w:t xml:space="preserve">Figure </w:t>
      </w:r>
      <w:r w:rsidRPr="004A657A">
        <w:rPr>
          <w:rFonts w:asciiTheme="majorHAnsi" w:hAnsiTheme="majorHAnsi" w:cstheme="majorHAnsi"/>
          <w:i/>
          <w:color w:val="44546A" w:themeColor="text2"/>
          <w:sz w:val="22"/>
          <w:szCs w:val="22"/>
        </w:rPr>
        <w:fldChar w:fldCharType="begin"/>
      </w:r>
      <w:r w:rsidRPr="004A657A">
        <w:rPr>
          <w:rFonts w:asciiTheme="majorHAnsi" w:hAnsiTheme="majorHAnsi" w:cstheme="majorHAnsi"/>
          <w:i/>
          <w:color w:val="44546A" w:themeColor="text2"/>
          <w:sz w:val="22"/>
          <w:szCs w:val="22"/>
        </w:rPr>
        <w:instrText xml:space="preserve"> SEQ Figure \* ARABIC </w:instrText>
      </w:r>
      <w:r w:rsidRPr="004A657A">
        <w:rPr>
          <w:rFonts w:asciiTheme="majorHAnsi" w:hAnsiTheme="majorHAnsi" w:cstheme="majorHAnsi"/>
          <w:i/>
          <w:color w:val="44546A" w:themeColor="text2"/>
          <w:sz w:val="22"/>
          <w:szCs w:val="22"/>
        </w:rPr>
        <w:fldChar w:fldCharType="separate"/>
      </w:r>
      <w:r w:rsidR="00D6133D">
        <w:rPr>
          <w:rFonts w:asciiTheme="majorHAnsi" w:hAnsiTheme="majorHAnsi" w:cstheme="majorHAnsi"/>
          <w:i/>
          <w:noProof/>
          <w:color w:val="44546A" w:themeColor="text2"/>
          <w:sz w:val="22"/>
          <w:szCs w:val="22"/>
        </w:rPr>
        <w:t>13</w:t>
      </w:r>
      <w:r w:rsidRPr="004A657A">
        <w:rPr>
          <w:rFonts w:asciiTheme="majorHAnsi" w:hAnsiTheme="majorHAnsi" w:cstheme="majorHAnsi"/>
          <w:i/>
          <w:color w:val="44546A" w:themeColor="text2"/>
          <w:sz w:val="22"/>
          <w:szCs w:val="22"/>
        </w:rPr>
        <w:fldChar w:fldCharType="end"/>
      </w:r>
      <w:r w:rsidRPr="004A657A">
        <w:rPr>
          <w:rFonts w:asciiTheme="majorHAnsi" w:hAnsiTheme="majorHAnsi" w:cstheme="majorHAnsi"/>
          <w:i/>
          <w:color w:val="44546A" w:themeColor="text2"/>
          <w:sz w:val="22"/>
          <w:szCs w:val="22"/>
        </w:rPr>
        <w:t>. Perspectives of Principals and Teachers on GEDSI-related Policies</w:t>
      </w:r>
      <w:bookmarkEnd w:id="136"/>
    </w:p>
    <w:p w14:paraId="7E3748EF" w14:textId="586B9ADB" w:rsidR="008D0CAD" w:rsidRDefault="008D0CAD" w:rsidP="00B31C4E">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iCs/>
          <w:noProof/>
          <w:color w:val="000000"/>
          <w:lang w:val="en-AU" w:eastAsia="en-AU"/>
        </w:rPr>
        <w:drawing>
          <wp:inline distT="0" distB="0" distL="0" distR="0" wp14:anchorId="18906B5E" wp14:editId="7773AD31">
            <wp:extent cx="5678451" cy="3334407"/>
            <wp:effectExtent l="0" t="0" r="0" b="5715"/>
            <wp:docPr id="19" name="Picture 19" descr="Scatter chart on the perspectives of principals and teachers on GEDSI-related poli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atter chart on the perspectives of principals and teachers on GEDSI-related policies"/>
                    <pic:cNvPicPr/>
                  </pic:nvPicPr>
                  <pic:blipFill rotWithShape="1">
                    <a:blip r:embed="rId35" cstate="print">
                      <a:extLst>
                        <a:ext uri="{28A0092B-C50C-407E-A947-70E740481C1C}">
                          <a14:useLocalDpi xmlns:a14="http://schemas.microsoft.com/office/drawing/2010/main" val="0"/>
                        </a:ext>
                      </a:extLst>
                    </a:blip>
                    <a:srcRect l="22981" t="24387" r="4320" b="7317"/>
                    <a:stretch/>
                  </pic:blipFill>
                  <pic:spPr bwMode="auto">
                    <a:xfrm>
                      <a:off x="0" y="0"/>
                      <a:ext cx="5694356" cy="3343746"/>
                    </a:xfrm>
                    <a:prstGeom prst="rect">
                      <a:avLst/>
                    </a:prstGeom>
                    <a:ln>
                      <a:noFill/>
                    </a:ln>
                    <a:extLst>
                      <a:ext uri="{53640926-AAD7-44D8-BBD7-CCE9431645EC}">
                        <a14:shadowObscured xmlns:a14="http://schemas.microsoft.com/office/drawing/2010/main"/>
                      </a:ext>
                    </a:extLst>
                  </pic:spPr>
                </pic:pic>
              </a:graphicData>
            </a:graphic>
          </wp:inline>
        </w:drawing>
      </w:r>
    </w:p>
    <w:p w14:paraId="29F5EDF0" w14:textId="2C5EDB2D" w:rsidR="008D0CAD" w:rsidRPr="00DC47E6" w:rsidRDefault="008D0CAD" w:rsidP="00DD08E3">
      <w:pPr>
        <w:pStyle w:val="Heading5"/>
        <w:numPr>
          <w:ilvl w:val="3"/>
          <w:numId w:val="165"/>
        </w:numPr>
        <w:spacing w:before="100" w:beforeAutospacing="1" w:after="100" w:afterAutospacing="1" w:line="360" w:lineRule="auto"/>
      </w:pPr>
      <w:r>
        <w:t>Inclusive Education in Schools</w:t>
      </w:r>
    </w:p>
    <w:p w14:paraId="5AB5E66E" w14:textId="048E2B49" w:rsidR="008D0CAD" w:rsidRPr="00DC47E6" w:rsidRDefault="008D0CAD" w:rsidP="00B31C4E">
      <w:pPr>
        <w:spacing w:before="100" w:beforeAutospacing="1" w:after="100" w:afterAutospacing="1" w:line="360" w:lineRule="auto"/>
        <w:rPr>
          <w:rFonts w:asciiTheme="majorHAnsi" w:hAnsiTheme="majorHAnsi" w:cstheme="majorHAnsi"/>
          <w:color w:val="000000"/>
        </w:rPr>
      </w:pPr>
      <w:r w:rsidRPr="007148BF">
        <w:rPr>
          <w:rFonts w:asciiTheme="majorHAnsi" w:hAnsiTheme="majorHAnsi" w:cstheme="majorHAnsi"/>
        </w:rPr>
        <w:t xml:space="preserve">Overall, </w:t>
      </w:r>
      <w:r>
        <w:rPr>
          <w:rFonts w:asciiTheme="majorHAnsi" w:hAnsiTheme="majorHAnsi" w:cstheme="majorHAnsi"/>
          <w:color w:val="000000" w:themeColor="text1"/>
        </w:rPr>
        <w:t>school principals</w:t>
      </w:r>
      <w:r w:rsidRPr="000C14E7">
        <w:rPr>
          <w:rFonts w:asciiTheme="majorHAnsi" w:hAnsiTheme="majorHAnsi" w:cstheme="majorHAnsi"/>
          <w:color w:val="000000" w:themeColor="text1"/>
        </w:rPr>
        <w:t xml:space="preserve"> assessed the changes in their </w:t>
      </w:r>
      <w:r>
        <w:rPr>
          <w:rFonts w:asciiTheme="majorHAnsi" w:hAnsiTheme="majorHAnsi" w:cstheme="majorHAnsi"/>
          <w:color w:val="000000" w:themeColor="text1"/>
        </w:rPr>
        <w:t>respective</w:t>
      </w:r>
      <w:r w:rsidRPr="000C14E7">
        <w:rPr>
          <w:rFonts w:asciiTheme="majorHAnsi" w:hAnsiTheme="majorHAnsi" w:cstheme="majorHAnsi"/>
          <w:color w:val="000000" w:themeColor="text1"/>
        </w:rPr>
        <w:t xml:space="preserve"> schools’ capacity to deliver inclusive education</w:t>
      </w:r>
      <w:r>
        <w:rPr>
          <w:rFonts w:asciiTheme="majorHAnsi" w:hAnsiTheme="majorHAnsi" w:cstheme="majorHAnsi"/>
          <w:color w:val="000000" w:themeColor="text1"/>
        </w:rPr>
        <w:t xml:space="preserve"> as low</w:t>
      </w:r>
      <w:r>
        <w:rPr>
          <w:rFonts w:asciiTheme="majorHAnsi" w:hAnsiTheme="majorHAnsi" w:cstheme="majorHAnsi"/>
          <w:color w:val="000000"/>
        </w:rPr>
        <w:t xml:space="preserve">. </w:t>
      </w:r>
      <w:bookmarkStart w:id="137" w:name="OLE_LINK2"/>
      <w:r w:rsidRPr="000C14E7">
        <w:rPr>
          <w:rFonts w:asciiTheme="majorHAnsi" w:hAnsiTheme="majorHAnsi" w:cstheme="majorHAnsi"/>
          <w:color w:val="000000"/>
        </w:rPr>
        <w:t xml:space="preserve">Only 37 </w:t>
      </w:r>
      <w:r>
        <w:rPr>
          <w:rFonts w:asciiTheme="majorHAnsi" w:hAnsiTheme="majorHAnsi" w:cstheme="majorHAnsi"/>
          <w:color w:val="000000"/>
        </w:rPr>
        <w:t>per cent</w:t>
      </w:r>
      <w:r w:rsidRPr="000C14E7">
        <w:rPr>
          <w:rFonts w:asciiTheme="majorHAnsi" w:hAnsiTheme="majorHAnsi" w:cstheme="majorHAnsi"/>
          <w:color w:val="000000"/>
        </w:rPr>
        <w:t xml:space="preserve"> of </w:t>
      </w:r>
      <w:r>
        <w:rPr>
          <w:rFonts w:asciiTheme="majorHAnsi" w:hAnsiTheme="majorHAnsi" w:cstheme="majorHAnsi"/>
          <w:color w:val="000000"/>
        </w:rPr>
        <w:t>principals</w:t>
      </w:r>
      <w:r w:rsidRPr="000C14E7">
        <w:rPr>
          <w:rFonts w:asciiTheme="majorHAnsi" w:hAnsiTheme="majorHAnsi" w:cstheme="majorHAnsi"/>
          <w:color w:val="000000"/>
        </w:rPr>
        <w:t xml:space="preserve"> </w:t>
      </w:r>
      <w:r>
        <w:rPr>
          <w:rFonts w:asciiTheme="majorHAnsi" w:hAnsiTheme="majorHAnsi" w:cstheme="majorHAnsi"/>
          <w:color w:val="000000"/>
        </w:rPr>
        <w:t>stated</w:t>
      </w:r>
      <w:r w:rsidRPr="000C14E7">
        <w:rPr>
          <w:rFonts w:asciiTheme="majorHAnsi" w:hAnsiTheme="majorHAnsi" w:cstheme="majorHAnsi"/>
          <w:color w:val="000000"/>
        </w:rPr>
        <w:t xml:space="preserve"> that there was</w:t>
      </w:r>
      <w:r>
        <w:rPr>
          <w:rFonts w:asciiTheme="majorHAnsi" w:hAnsiTheme="majorHAnsi" w:cstheme="majorHAnsi"/>
          <w:color w:val="000000"/>
        </w:rPr>
        <w:t xml:space="preserve"> a</w:t>
      </w:r>
      <w:r w:rsidRPr="000C14E7">
        <w:rPr>
          <w:rFonts w:asciiTheme="majorHAnsi" w:hAnsiTheme="majorHAnsi" w:cstheme="majorHAnsi"/>
          <w:color w:val="000000"/>
        </w:rPr>
        <w:t xml:space="preserve"> significant increase in their schools’ capacity to deliver Inclusive Education</w:t>
      </w:r>
      <w:r>
        <w:rPr>
          <w:rFonts w:asciiTheme="majorHAnsi" w:hAnsiTheme="majorHAnsi" w:cstheme="majorHAnsi"/>
          <w:color w:val="000000"/>
        </w:rPr>
        <w:t xml:space="preserve"> within the last five to six years.</w:t>
      </w:r>
      <w:bookmarkEnd w:id="137"/>
      <w:r w:rsidRPr="000C14E7">
        <w:rPr>
          <w:rStyle w:val="FootnoteReference"/>
          <w:rFonts w:asciiTheme="majorHAnsi" w:eastAsia="Arial Unicode MS" w:hAnsiTheme="majorHAnsi" w:cstheme="majorHAnsi"/>
          <w:color w:val="000000"/>
        </w:rPr>
        <w:footnoteReference w:id="58"/>
      </w:r>
      <w:r w:rsidR="00D434EB">
        <w:rPr>
          <w:rFonts w:asciiTheme="majorHAnsi" w:hAnsiTheme="majorHAnsi" w:cstheme="majorHAnsi"/>
          <w:color w:val="000000"/>
        </w:rPr>
        <w:t xml:space="preserve"> </w:t>
      </w:r>
      <w:r>
        <w:rPr>
          <w:rFonts w:asciiTheme="majorHAnsi" w:hAnsiTheme="majorHAnsi" w:cstheme="majorHAnsi"/>
          <w:color w:val="000000"/>
        </w:rPr>
        <w:t>Even fewer</w:t>
      </w:r>
      <w:r w:rsidRPr="000C14E7">
        <w:rPr>
          <w:rFonts w:asciiTheme="majorHAnsi" w:hAnsiTheme="majorHAnsi" w:cstheme="majorHAnsi"/>
          <w:color w:val="000000"/>
        </w:rPr>
        <w:t xml:space="preserve"> </w:t>
      </w:r>
      <w:r>
        <w:rPr>
          <w:rFonts w:asciiTheme="majorHAnsi" w:hAnsiTheme="majorHAnsi" w:cstheme="majorHAnsi"/>
          <w:color w:val="000000"/>
        </w:rPr>
        <w:t>(</w:t>
      </w:r>
      <w:r w:rsidRPr="000C14E7">
        <w:rPr>
          <w:rFonts w:asciiTheme="majorHAnsi" w:hAnsiTheme="majorHAnsi" w:cstheme="majorHAnsi"/>
          <w:color w:val="000000"/>
        </w:rPr>
        <w:t>3</w:t>
      </w:r>
      <w:r>
        <w:rPr>
          <w:rFonts w:asciiTheme="majorHAnsi" w:hAnsiTheme="majorHAnsi" w:cstheme="majorHAnsi"/>
          <w:color w:val="000000"/>
        </w:rPr>
        <w:t xml:space="preserve"> per cent)</w:t>
      </w:r>
      <w:r w:rsidRPr="000C14E7">
        <w:rPr>
          <w:rFonts w:asciiTheme="majorHAnsi" w:hAnsiTheme="majorHAnsi" w:cstheme="majorHAnsi"/>
          <w:color w:val="000000"/>
        </w:rPr>
        <w:t xml:space="preserve"> said that </w:t>
      </w:r>
      <w:r>
        <w:rPr>
          <w:rFonts w:asciiTheme="majorHAnsi" w:hAnsiTheme="majorHAnsi" w:cstheme="majorHAnsi"/>
          <w:color w:val="000000"/>
        </w:rPr>
        <w:t>it had</w:t>
      </w:r>
      <w:r w:rsidRPr="000C14E7">
        <w:rPr>
          <w:rFonts w:asciiTheme="majorHAnsi" w:hAnsiTheme="majorHAnsi" w:cstheme="majorHAnsi"/>
          <w:color w:val="000000"/>
        </w:rPr>
        <w:t xml:space="preserve"> increase</w:t>
      </w:r>
      <w:r>
        <w:rPr>
          <w:rFonts w:asciiTheme="majorHAnsi" w:hAnsiTheme="majorHAnsi" w:cstheme="majorHAnsi"/>
          <w:color w:val="000000"/>
        </w:rPr>
        <w:t>d</w:t>
      </w:r>
      <w:r w:rsidRPr="000C14E7">
        <w:rPr>
          <w:rFonts w:asciiTheme="majorHAnsi" w:hAnsiTheme="majorHAnsi" w:cstheme="majorHAnsi"/>
          <w:color w:val="000000"/>
        </w:rPr>
        <w:t xml:space="preserve"> significant</w:t>
      </w:r>
      <w:r>
        <w:rPr>
          <w:rFonts w:asciiTheme="majorHAnsi" w:hAnsiTheme="majorHAnsi" w:cstheme="majorHAnsi"/>
          <w:color w:val="000000"/>
        </w:rPr>
        <w:t>ly.</w:t>
      </w:r>
    </w:p>
    <w:p w14:paraId="0F55E66D" w14:textId="77777777" w:rsidR="008D0CAD" w:rsidRDefault="008D0CAD" w:rsidP="00B31C4E">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color w:val="000000" w:themeColor="text1"/>
        </w:rPr>
        <w:t xml:space="preserve">As one principal from a large school in an urban area stated, </w:t>
      </w:r>
      <w:r w:rsidRPr="003720F4">
        <w:rPr>
          <w:rFonts w:asciiTheme="majorHAnsi" w:hAnsiTheme="majorHAnsi" w:cstheme="majorHAnsi"/>
          <w:color w:val="000000" w:themeColor="text1"/>
        </w:rPr>
        <w:t>“</w:t>
      </w:r>
      <w:r>
        <w:rPr>
          <w:rFonts w:asciiTheme="majorHAnsi" w:hAnsiTheme="majorHAnsi" w:cstheme="majorHAnsi"/>
          <w:color w:val="000000" w:themeColor="text1"/>
        </w:rPr>
        <w:t>[</w:t>
      </w:r>
      <w:r w:rsidRPr="003720F4">
        <w:rPr>
          <w:rFonts w:asciiTheme="majorHAnsi" w:hAnsiTheme="majorHAnsi" w:cstheme="majorHAnsi"/>
          <w:i/>
          <w:color w:val="000000" w:themeColor="text1"/>
        </w:rPr>
        <w:t xml:space="preserve">We have] </w:t>
      </w:r>
      <w:r>
        <w:rPr>
          <w:rFonts w:asciiTheme="majorHAnsi" w:hAnsiTheme="majorHAnsi" w:cstheme="majorHAnsi"/>
          <w:i/>
          <w:color w:val="000000" w:themeColor="text1"/>
        </w:rPr>
        <w:t>n</w:t>
      </w:r>
      <w:r w:rsidRPr="003720F4">
        <w:rPr>
          <w:rFonts w:asciiTheme="majorHAnsi" w:hAnsiTheme="majorHAnsi" w:cstheme="majorHAnsi"/>
          <w:i/>
          <w:color w:val="000000" w:themeColor="text1"/>
        </w:rPr>
        <w:t xml:space="preserve">o formal programs for </w:t>
      </w:r>
      <w:r>
        <w:rPr>
          <w:rFonts w:asciiTheme="majorHAnsi" w:hAnsiTheme="majorHAnsi" w:cstheme="majorHAnsi"/>
          <w:i/>
          <w:color w:val="000000" w:themeColor="text1"/>
        </w:rPr>
        <w:t>children with disabilities</w:t>
      </w:r>
      <w:r w:rsidRPr="003720F4">
        <w:rPr>
          <w:rFonts w:asciiTheme="majorHAnsi" w:hAnsiTheme="majorHAnsi" w:cstheme="majorHAnsi"/>
          <w:i/>
          <w:color w:val="000000" w:themeColor="text1"/>
        </w:rPr>
        <w:t>. Most [interventions] are teacher-/school-initiated programs but are informal and mostly depended on needs/concern of enrolled pupil. Most of them referred this to the SPED Center</w:t>
      </w:r>
      <w:r w:rsidRPr="003720F4">
        <w:rPr>
          <w:rFonts w:asciiTheme="majorHAnsi" w:hAnsiTheme="majorHAnsi" w:cstheme="majorHAnsi"/>
          <w:color w:val="000000" w:themeColor="text1"/>
        </w:rPr>
        <w:t>”.</w:t>
      </w:r>
    </w:p>
    <w:p w14:paraId="6D759C9E" w14:textId="57DFB564" w:rsidR="008D0CAD" w:rsidRPr="00DC47E6" w:rsidRDefault="008D0CAD" w:rsidP="00DD08E3">
      <w:pPr>
        <w:pStyle w:val="Heading5"/>
        <w:numPr>
          <w:ilvl w:val="3"/>
          <w:numId w:val="165"/>
        </w:numPr>
        <w:spacing w:before="100" w:beforeAutospacing="1" w:after="100" w:afterAutospacing="1" w:line="360" w:lineRule="auto"/>
      </w:pPr>
      <w:r>
        <w:t>GRBE in Schools</w:t>
      </w:r>
    </w:p>
    <w:p w14:paraId="54063C01" w14:textId="11B93510" w:rsidR="008D0CAD" w:rsidRPr="00D0718D" w:rsidRDefault="008D0CAD" w:rsidP="00B31C4E">
      <w:pPr>
        <w:spacing w:before="100" w:beforeAutospacing="1" w:after="100" w:afterAutospacing="1" w:line="360" w:lineRule="auto"/>
        <w:rPr>
          <w:rFonts w:asciiTheme="majorHAnsi" w:hAnsiTheme="majorHAnsi" w:cstheme="majorHAnsi"/>
          <w:color w:val="C00000"/>
        </w:rPr>
      </w:pPr>
      <w:r>
        <w:rPr>
          <w:rFonts w:asciiTheme="majorHAnsi" w:hAnsiTheme="majorHAnsi" w:cstheme="majorHAnsi"/>
          <w:color w:val="000000"/>
        </w:rPr>
        <w:t>DEPED</w:t>
      </w:r>
      <w:r w:rsidRPr="00BF641C">
        <w:rPr>
          <w:rFonts w:asciiTheme="majorHAnsi" w:hAnsiTheme="majorHAnsi" w:cstheme="majorHAnsi"/>
          <w:color w:val="000000"/>
        </w:rPr>
        <w:t xml:space="preserve"> Order No. 32 s. 2017 on Gender-Responsive Basic Education </w:t>
      </w:r>
      <w:r>
        <w:rPr>
          <w:rFonts w:asciiTheme="majorHAnsi" w:hAnsiTheme="majorHAnsi" w:cstheme="majorHAnsi"/>
          <w:color w:val="000000"/>
        </w:rPr>
        <w:t xml:space="preserve">(GRBE) </w:t>
      </w:r>
      <w:r w:rsidRPr="00BF641C">
        <w:rPr>
          <w:rFonts w:asciiTheme="majorHAnsi" w:hAnsiTheme="majorHAnsi" w:cstheme="majorHAnsi"/>
          <w:color w:val="000000"/>
        </w:rPr>
        <w:t>Policy</w:t>
      </w:r>
      <w:r>
        <w:rPr>
          <w:rFonts w:asciiTheme="majorHAnsi" w:hAnsiTheme="majorHAnsi" w:cstheme="majorHAnsi"/>
          <w:color w:val="000000"/>
        </w:rPr>
        <w:t xml:space="preserve"> is a vital regulation for the attainment of gender responsive basic education. It not only defined GRBE in the context of basic education, but it provided the mechanisms to translate the concept into practice.</w:t>
      </w:r>
      <w:r w:rsidR="00D434EB">
        <w:rPr>
          <w:rFonts w:asciiTheme="majorHAnsi" w:hAnsiTheme="majorHAnsi" w:cstheme="majorHAnsi"/>
          <w:color w:val="000000"/>
        </w:rPr>
        <w:t xml:space="preserve"> </w:t>
      </w:r>
      <w:r w:rsidRPr="00DF0E25">
        <w:rPr>
          <w:rFonts w:asciiTheme="majorHAnsi" w:hAnsiTheme="majorHAnsi" w:cstheme="majorHAnsi"/>
          <w:color w:val="000000" w:themeColor="text1"/>
        </w:rPr>
        <w:t>Among RO and DO respondents, awareness o</w:t>
      </w:r>
      <w:r>
        <w:rPr>
          <w:rFonts w:asciiTheme="majorHAnsi" w:hAnsiTheme="majorHAnsi" w:cstheme="majorHAnsi"/>
          <w:color w:val="000000" w:themeColor="text1"/>
        </w:rPr>
        <w:t>f</w:t>
      </w:r>
      <w:r w:rsidRPr="00DF0E25">
        <w:rPr>
          <w:rFonts w:asciiTheme="majorHAnsi" w:hAnsiTheme="majorHAnsi" w:cstheme="majorHAnsi"/>
          <w:color w:val="000000" w:themeColor="text1"/>
        </w:rPr>
        <w:t xml:space="preserve"> GRBE was high.</w:t>
      </w:r>
      <w:r>
        <w:rPr>
          <w:rFonts w:asciiTheme="majorHAnsi" w:hAnsiTheme="majorHAnsi" w:cstheme="majorHAnsi"/>
          <w:color w:val="000000" w:themeColor="text1"/>
        </w:rPr>
        <w:t xml:space="preserve"> A</w:t>
      </w:r>
      <w:r>
        <w:rPr>
          <w:rFonts w:asciiTheme="majorHAnsi" w:hAnsiTheme="majorHAnsi" w:cstheme="majorHAnsi"/>
          <w:color w:val="000000"/>
        </w:rPr>
        <w:t xml:space="preserve">lmost all respondents from Region and Division Offices stated that </w:t>
      </w:r>
      <w:r w:rsidRPr="00443F8E">
        <w:rPr>
          <w:rFonts w:asciiTheme="majorHAnsi" w:hAnsiTheme="majorHAnsi" w:cstheme="majorHAnsi"/>
          <w:color w:val="000000"/>
        </w:rPr>
        <w:t>the concepts of IE and GAD (collectively called GEDSI under the BEST Program) were not new to them</w:t>
      </w:r>
      <w:r>
        <w:rPr>
          <w:rFonts w:asciiTheme="majorHAnsi" w:hAnsiTheme="majorHAnsi" w:cstheme="majorHAnsi"/>
          <w:color w:val="000000"/>
        </w:rPr>
        <w:t xml:space="preserve"> </w:t>
      </w:r>
      <w:r w:rsidRPr="00443F8E">
        <w:rPr>
          <w:rFonts w:asciiTheme="majorHAnsi" w:hAnsiTheme="majorHAnsi" w:cstheme="majorHAnsi"/>
          <w:color w:val="000000"/>
        </w:rPr>
        <w:t>because they have been undertaking similar activities</w:t>
      </w:r>
      <w:r>
        <w:rPr>
          <w:rFonts w:asciiTheme="majorHAnsi" w:hAnsiTheme="majorHAnsi" w:cstheme="majorHAnsi"/>
          <w:color w:val="000000"/>
        </w:rPr>
        <w:t xml:space="preserve"> for years. As such</w:t>
      </w:r>
      <w:r w:rsidRPr="00443F8E">
        <w:rPr>
          <w:rFonts w:asciiTheme="majorHAnsi" w:hAnsiTheme="majorHAnsi" w:cstheme="majorHAnsi"/>
          <w:color w:val="000000"/>
        </w:rPr>
        <w:t xml:space="preserve">, many of the GEDSI-related field level activities </w:t>
      </w:r>
      <w:r>
        <w:rPr>
          <w:rFonts w:asciiTheme="majorHAnsi" w:hAnsiTheme="majorHAnsi" w:cstheme="majorHAnsi"/>
          <w:color w:val="000000"/>
        </w:rPr>
        <w:t>could</w:t>
      </w:r>
      <w:r w:rsidRPr="00443F8E">
        <w:rPr>
          <w:rFonts w:asciiTheme="majorHAnsi" w:hAnsiTheme="majorHAnsi" w:cstheme="majorHAnsi"/>
          <w:color w:val="000000"/>
        </w:rPr>
        <w:t xml:space="preserve"> not</w:t>
      </w:r>
      <w:r>
        <w:rPr>
          <w:rFonts w:asciiTheme="majorHAnsi" w:hAnsiTheme="majorHAnsi" w:cstheme="majorHAnsi"/>
          <w:color w:val="000000"/>
        </w:rPr>
        <w:t xml:space="preserve"> be</w:t>
      </w:r>
      <w:r w:rsidRPr="00443F8E">
        <w:rPr>
          <w:rFonts w:asciiTheme="majorHAnsi" w:hAnsiTheme="majorHAnsi" w:cstheme="majorHAnsi"/>
          <w:color w:val="000000"/>
        </w:rPr>
        <w:t xml:space="preserve"> attributed to the BEST Program.</w:t>
      </w:r>
      <w:r w:rsidR="00D434EB">
        <w:rPr>
          <w:rFonts w:asciiTheme="majorHAnsi" w:hAnsiTheme="majorHAnsi" w:cstheme="majorHAnsi"/>
          <w:color w:val="000000"/>
        </w:rPr>
        <w:t xml:space="preserve"> </w:t>
      </w:r>
    </w:p>
    <w:p w14:paraId="0E38CDB4" w14:textId="09356FF2" w:rsidR="008D0CAD" w:rsidRPr="00123493" w:rsidRDefault="008D0CAD" w:rsidP="00B31C4E">
      <w:pPr>
        <w:spacing w:before="100" w:beforeAutospacing="1" w:after="100" w:afterAutospacing="1" w:line="360" w:lineRule="auto"/>
        <w:rPr>
          <w:rFonts w:asciiTheme="majorHAnsi" w:hAnsiTheme="majorHAnsi" w:cstheme="majorHAnsi"/>
        </w:rPr>
      </w:pPr>
      <w:r w:rsidRPr="00443F8E">
        <w:rPr>
          <w:rFonts w:asciiTheme="majorHAnsi" w:hAnsiTheme="majorHAnsi" w:cstheme="majorHAnsi"/>
          <w:color w:val="000000"/>
        </w:rPr>
        <w:t xml:space="preserve">According to one DO </w:t>
      </w:r>
      <w:r>
        <w:rPr>
          <w:rFonts w:asciiTheme="majorHAnsi" w:hAnsiTheme="majorHAnsi" w:cstheme="majorHAnsi"/>
          <w:color w:val="000000"/>
        </w:rPr>
        <w:t xml:space="preserve">FGD </w:t>
      </w:r>
      <w:r w:rsidRPr="00443F8E">
        <w:rPr>
          <w:rFonts w:asciiTheme="majorHAnsi" w:hAnsiTheme="majorHAnsi" w:cstheme="majorHAnsi"/>
          <w:color w:val="000000"/>
        </w:rPr>
        <w:t>respondent “</w:t>
      </w:r>
      <w:r w:rsidRPr="00DF0E25">
        <w:rPr>
          <w:rFonts w:asciiTheme="majorHAnsi" w:hAnsiTheme="majorHAnsi" w:cstheme="majorHAnsi"/>
          <w:i/>
        </w:rPr>
        <w:t>GAD [</w:t>
      </w:r>
      <w:r>
        <w:rPr>
          <w:rFonts w:asciiTheme="majorHAnsi" w:hAnsiTheme="majorHAnsi" w:cstheme="majorHAnsi"/>
          <w:i/>
        </w:rPr>
        <w:t>was</w:t>
      </w:r>
      <w:r w:rsidRPr="00DF0E25">
        <w:rPr>
          <w:rFonts w:asciiTheme="majorHAnsi" w:hAnsiTheme="majorHAnsi" w:cstheme="majorHAnsi"/>
          <w:i/>
        </w:rPr>
        <w:t>] implemented even before the BEST Program because this was required by COA</w:t>
      </w:r>
      <w:r w:rsidRPr="00443F8E">
        <w:rPr>
          <w:rFonts w:asciiTheme="majorHAnsi" w:hAnsiTheme="majorHAnsi" w:cstheme="majorHAnsi"/>
        </w:rPr>
        <w:t>”</w:t>
      </w:r>
      <w:r>
        <w:rPr>
          <w:rFonts w:asciiTheme="majorHAnsi" w:hAnsiTheme="majorHAnsi" w:cstheme="majorHAnsi"/>
        </w:rPr>
        <w:t>.</w:t>
      </w:r>
      <w:r w:rsidR="00D434EB">
        <w:rPr>
          <w:rFonts w:asciiTheme="majorHAnsi" w:hAnsiTheme="majorHAnsi" w:cstheme="majorHAnsi"/>
        </w:rPr>
        <w:t xml:space="preserve"> </w:t>
      </w:r>
      <w:r>
        <w:rPr>
          <w:rFonts w:asciiTheme="majorHAnsi" w:hAnsiTheme="majorHAnsi" w:cstheme="majorHAnsi"/>
        </w:rPr>
        <w:t xml:space="preserve">In fact, </w:t>
      </w:r>
      <w:r>
        <w:rPr>
          <w:rFonts w:asciiTheme="majorHAnsi" w:hAnsiTheme="majorHAnsi" w:cstheme="majorHAnsi"/>
          <w:bCs/>
          <w:color w:val="000000"/>
        </w:rPr>
        <w:t xml:space="preserve">the practice of </w:t>
      </w:r>
      <w:r w:rsidRPr="00443F8E">
        <w:rPr>
          <w:rFonts w:asciiTheme="majorHAnsi" w:hAnsiTheme="majorHAnsi" w:cstheme="majorHAnsi"/>
        </w:rPr>
        <w:t>disaggregat</w:t>
      </w:r>
      <w:r>
        <w:rPr>
          <w:rFonts w:asciiTheme="majorHAnsi" w:hAnsiTheme="majorHAnsi" w:cstheme="majorHAnsi"/>
        </w:rPr>
        <w:t>ing school data</w:t>
      </w:r>
      <w:r w:rsidRPr="00443F8E">
        <w:rPr>
          <w:rFonts w:asciiTheme="majorHAnsi" w:hAnsiTheme="majorHAnsi" w:cstheme="majorHAnsi"/>
        </w:rPr>
        <w:t xml:space="preserve"> by sex and disability</w:t>
      </w:r>
      <w:r>
        <w:rPr>
          <w:rFonts w:asciiTheme="majorHAnsi" w:hAnsiTheme="majorHAnsi" w:cstheme="majorHAnsi"/>
        </w:rPr>
        <w:t xml:space="preserve"> were observed in the CO, RO, DOs and nearly all schools (although in some schools, some indicators were not sex disaggregated)</w:t>
      </w:r>
      <w:r w:rsidRPr="00443F8E">
        <w:rPr>
          <w:rFonts w:asciiTheme="majorHAnsi" w:hAnsiTheme="majorHAnsi" w:cstheme="majorHAnsi"/>
        </w:rPr>
        <w:t>.</w:t>
      </w:r>
    </w:p>
    <w:p w14:paraId="343835FA" w14:textId="7609ECC0" w:rsidR="008D0CAD" w:rsidRDefault="008D0CAD" w:rsidP="00B31C4E">
      <w:pPr>
        <w:spacing w:before="100" w:beforeAutospacing="1" w:after="100" w:afterAutospacing="1" w:line="360" w:lineRule="auto"/>
        <w:rPr>
          <w:rFonts w:asciiTheme="majorHAnsi" w:hAnsiTheme="majorHAnsi" w:cstheme="majorHAnsi"/>
          <w:b/>
          <w:color w:val="000000"/>
        </w:rPr>
      </w:pPr>
      <w:r>
        <w:rPr>
          <w:rFonts w:asciiTheme="majorHAnsi" w:hAnsiTheme="majorHAnsi" w:cstheme="majorHAnsi"/>
        </w:rPr>
        <w:t>However, t</w:t>
      </w:r>
      <w:r w:rsidRPr="00F849B1">
        <w:rPr>
          <w:rFonts w:asciiTheme="majorHAnsi" w:hAnsiTheme="majorHAnsi" w:cstheme="majorHAnsi"/>
        </w:rPr>
        <w:t>wo DO</w:t>
      </w:r>
      <w:r>
        <w:rPr>
          <w:rFonts w:asciiTheme="majorHAnsi" w:hAnsiTheme="majorHAnsi" w:cstheme="majorHAnsi"/>
        </w:rPr>
        <w:t xml:space="preserve"> respondent</w:t>
      </w:r>
      <w:r w:rsidRPr="00F849B1">
        <w:rPr>
          <w:rFonts w:asciiTheme="majorHAnsi" w:hAnsiTheme="majorHAnsi" w:cstheme="majorHAnsi"/>
        </w:rPr>
        <w:t xml:space="preserve">s stated that </w:t>
      </w:r>
      <w:r>
        <w:rPr>
          <w:rFonts w:asciiTheme="majorHAnsi" w:hAnsiTheme="majorHAnsi" w:cstheme="majorHAnsi"/>
        </w:rPr>
        <w:t xml:space="preserve">despite the policy issuances on IE and GRBE, </w:t>
      </w:r>
      <w:r w:rsidRPr="00F849B1">
        <w:rPr>
          <w:rFonts w:asciiTheme="majorHAnsi" w:hAnsiTheme="majorHAnsi" w:cstheme="majorHAnsi"/>
        </w:rPr>
        <w:t>they ha</w:t>
      </w:r>
      <w:r>
        <w:rPr>
          <w:rFonts w:asciiTheme="majorHAnsi" w:hAnsiTheme="majorHAnsi" w:cstheme="majorHAnsi"/>
        </w:rPr>
        <w:t>d</w:t>
      </w:r>
      <w:r w:rsidRPr="00F849B1">
        <w:rPr>
          <w:rFonts w:asciiTheme="majorHAnsi" w:hAnsiTheme="majorHAnsi" w:cstheme="majorHAnsi"/>
        </w:rPr>
        <w:t xml:space="preserve"> no formal programs offered for marginali</w:t>
      </w:r>
      <w:r>
        <w:rPr>
          <w:rFonts w:asciiTheme="majorHAnsi" w:hAnsiTheme="majorHAnsi" w:cstheme="majorHAnsi"/>
        </w:rPr>
        <w:t>s</w:t>
      </w:r>
      <w:r w:rsidRPr="00F849B1">
        <w:rPr>
          <w:rFonts w:asciiTheme="majorHAnsi" w:hAnsiTheme="majorHAnsi" w:cstheme="majorHAnsi"/>
        </w:rPr>
        <w:t>ed students</w:t>
      </w:r>
      <w:r>
        <w:rPr>
          <w:rFonts w:asciiTheme="majorHAnsi" w:hAnsiTheme="majorHAnsi" w:cstheme="majorHAnsi"/>
        </w:rPr>
        <w:t xml:space="preserve"> yet</w:t>
      </w:r>
      <w:r w:rsidRPr="00F849B1">
        <w:rPr>
          <w:rFonts w:asciiTheme="majorHAnsi" w:hAnsiTheme="majorHAnsi" w:cstheme="majorHAnsi"/>
        </w:rPr>
        <w:t>.</w:t>
      </w:r>
      <w:r w:rsidR="00D434EB">
        <w:rPr>
          <w:rFonts w:asciiTheme="majorHAnsi" w:hAnsiTheme="majorHAnsi" w:cstheme="majorHAnsi"/>
        </w:rPr>
        <w:t xml:space="preserve"> </w:t>
      </w:r>
      <w:r w:rsidRPr="003720F4">
        <w:rPr>
          <w:rFonts w:asciiTheme="majorHAnsi" w:hAnsiTheme="majorHAnsi" w:cstheme="majorHAnsi"/>
          <w:color w:val="000000"/>
        </w:rPr>
        <w:t xml:space="preserve">One respondent from </w:t>
      </w:r>
      <w:r>
        <w:rPr>
          <w:rFonts w:asciiTheme="majorHAnsi" w:hAnsiTheme="majorHAnsi" w:cstheme="majorHAnsi"/>
          <w:color w:val="000000"/>
        </w:rPr>
        <w:t>a region</w:t>
      </w:r>
      <w:r w:rsidRPr="003720F4">
        <w:rPr>
          <w:rFonts w:asciiTheme="majorHAnsi" w:hAnsiTheme="majorHAnsi" w:cstheme="majorHAnsi"/>
          <w:color w:val="000000"/>
        </w:rPr>
        <w:t xml:space="preserve"> said, </w:t>
      </w:r>
      <w:r w:rsidRPr="003720F4">
        <w:rPr>
          <w:rFonts w:asciiTheme="majorHAnsi" w:hAnsiTheme="majorHAnsi" w:cstheme="majorHAnsi"/>
        </w:rPr>
        <w:t>“</w:t>
      </w:r>
      <w:r w:rsidRPr="003720F4">
        <w:rPr>
          <w:rFonts w:asciiTheme="majorHAnsi" w:hAnsiTheme="majorHAnsi" w:cstheme="majorHAnsi"/>
          <w:i/>
        </w:rPr>
        <w:t xml:space="preserve">In one Division, 85 </w:t>
      </w:r>
      <w:r>
        <w:rPr>
          <w:rFonts w:asciiTheme="majorHAnsi" w:hAnsiTheme="majorHAnsi" w:cstheme="majorHAnsi"/>
          <w:i/>
        </w:rPr>
        <w:t>per cent</w:t>
      </w:r>
      <w:r w:rsidRPr="003720F4">
        <w:rPr>
          <w:rFonts w:asciiTheme="majorHAnsi" w:hAnsiTheme="majorHAnsi" w:cstheme="majorHAnsi"/>
          <w:i/>
        </w:rPr>
        <w:t xml:space="preserve"> of students are IPs but there is no formal program to address their needs. On the other hand, in another DO, 5 </w:t>
      </w:r>
      <w:r>
        <w:rPr>
          <w:rFonts w:asciiTheme="majorHAnsi" w:hAnsiTheme="majorHAnsi" w:cstheme="majorHAnsi"/>
          <w:i/>
        </w:rPr>
        <w:t>per cent</w:t>
      </w:r>
      <w:r w:rsidRPr="003720F4">
        <w:rPr>
          <w:rFonts w:asciiTheme="majorHAnsi" w:hAnsiTheme="majorHAnsi" w:cstheme="majorHAnsi"/>
          <w:i/>
        </w:rPr>
        <w:t xml:space="preserve"> of students are Muslims and a program </w:t>
      </w:r>
      <w:r>
        <w:rPr>
          <w:rFonts w:asciiTheme="majorHAnsi" w:hAnsiTheme="majorHAnsi" w:cstheme="majorHAnsi"/>
          <w:i/>
        </w:rPr>
        <w:t>was</w:t>
      </w:r>
      <w:r w:rsidRPr="003720F4">
        <w:rPr>
          <w:rFonts w:asciiTheme="majorHAnsi" w:hAnsiTheme="majorHAnsi" w:cstheme="majorHAnsi"/>
          <w:i/>
        </w:rPr>
        <w:t xml:space="preserve"> initiated by the Division Office</w:t>
      </w:r>
      <w:r w:rsidRPr="003720F4">
        <w:rPr>
          <w:rFonts w:asciiTheme="majorHAnsi" w:hAnsiTheme="majorHAnsi" w:cstheme="majorHAnsi"/>
        </w:rPr>
        <w:t>.”</w:t>
      </w:r>
      <w:r w:rsidR="00D434EB">
        <w:rPr>
          <w:rFonts w:asciiTheme="majorHAnsi" w:hAnsiTheme="majorHAnsi" w:cstheme="majorHAnsi"/>
        </w:rPr>
        <w:t xml:space="preserve"> </w:t>
      </w:r>
    </w:p>
    <w:p w14:paraId="6B7B8B83" w14:textId="75CC6B79" w:rsidR="008D0CAD" w:rsidRDefault="008D0CAD" w:rsidP="00B31C4E">
      <w:pPr>
        <w:spacing w:before="100" w:beforeAutospacing="1" w:after="100" w:afterAutospacing="1" w:line="360" w:lineRule="auto"/>
        <w:rPr>
          <w:rFonts w:asciiTheme="majorHAnsi" w:hAnsiTheme="majorHAnsi" w:cstheme="majorHAnsi"/>
          <w:b/>
          <w:color w:val="000000"/>
        </w:rPr>
      </w:pPr>
      <w:r>
        <w:rPr>
          <w:rFonts w:asciiTheme="majorHAnsi" w:hAnsiTheme="majorHAnsi" w:cstheme="majorHAnsi"/>
        </w:rPr>
        <w:t>An</w:t>
      </w:r>
      <w:r w:rsidRPr="005D5C33">
        <w:rPr>
          <w:rFonts w:asciiTheme="majorHAnsi" w:hAnsiTheme="majorHAnsi" w:cstheme="majorHAnsi"/>
        </w:rPr>
        <w:t xml:space="preserve"> RO respondent noted</w:t>
      </w:r>
      <w:r>
        <w:rPr>
          <w:rFonts w:asciiTheme="majorHAnsi" w:hAnsiTheme="majorHAnsi" w:cstheme="majorHAnsi"/>
        </w:rPr>
        <w:t xml:space="preserve"> in the FGD that</w:t>
      </w:r>
      <w:r w:rsidRPr="005D5C33">
        <w:rPr>
          <w:rFonts w:asciiTheme="majorHAnsi" w:hAnsiTheme="majorHAnsi" w:cstheme="majorHAnsi"/>
        </w:rPr>
        <w:t>, “</w:t>
      </w:r>
      <w:r w:rsidRPr="005D5C33">
        <w:rPr>
          <w:rFonts w:asciiTheme="majorHAnsi" w:hAnsiTheme="majorHAnsi" w:cstheme="majorHAnsi"/>
          <w:i/>
        </w:rPr>
        <w:t xml:space="preserve">The GAD budget is so big that they </w:t>
      </w:r>
      <w:r>
        <w:rPr>
          <w:rFonts w:asciiTheme="majorHAnsi" w:hAnsiTheme="majorHAnsi" w:cstheme="majorHAnsi"/>
          <w:i/>
        </w:rPr>
        <w:t xml:space="preserve">[referring to DepEd CO] </w:t>
      </w:r>
      <w:r w:rsidRPr="005D5C33">
        <w:rPr>
          <w:rFonts w:asciiTheme="majorHAnsi" w:hAnsiTheme="majorHAnsi" w:cstheme="majorHAnsi"/>
          <w:i/>
        </w:rPr>
        <w:t xml:space="preserve">have </w:t>
      </w:r>
      <w:r>
        <w:rPr>
          <w:rFonts w:asciiTheme="majorHAnsi" w:hAnsiTheme="majorHAnsi" w:cstheme="majorHAnsi"/>
          <w:i/>
        </w:rPr>
        <w:t xml:space="preserve">to </w:t>
      </w:r>
      <w:r w:rsidRPr="005D5C33">
        <w:rPr>
          <w:rFonts w:asciiTheme="majorHAnsi" w:hAnsiTheme="majorHAnsi" w:cstheme="majorHAnsi"/>
          <w:i/>
        </w:rPr>
        <w:t xml:space="preserve">think </w:t>
      </w:r>
      <w:r>
        <w:rPr>
          <w:rFonts w:asciiTheme="majorHAnsi" w:hAnsiTheme="majorHAnsi" w:cstheme="majorHAnsi"/>
          <w:i/>
        </w:rPr>
        <w:t xml:space="preserve">of </w:t>
      </w:r>
      <w:r w:rsidRPr="005D5C33">
        <w:rPr>
          <w:rFonts w:asciiTheme="majorHAnsi" w:hAnsiTheme="majorHAnsi" w:cstheme="majorHAnsi"/>
          <w:i/>
        </w:rPr>
        <w:t>what activities to conduct in order to utili</w:t>
      </w:r>
      <w:r>
        <w:rPr>
          <w:rFonts w:asciiTheme="majorHAnsi" w:hAnsiTheme="majorHAnsi" w:cstheme="majorHAnsi"/>
          <w:i/>
        </w:rPr>
        <w:t>s</w:t>
      </w:r>
      <w:r w:rsidRPr="005D5C33">
        <w:rPr>
          <w:rFonts w:asciiTheme="majorHAnsi" w:hAnsiTheme="majorHAnsi" w:cstheme="majorHAnsi"/>
          <w:i/>
        </w:rPr>
        <w:t>e the GAD fund</w:t>
      </w:r>
      <w:r w:rsidRPr="005D5C33">
        <w:rPr>
          <w:rFonts w:asciiTheme="majorHAnsi" w:hAnsiTheme="majorHAnsi" w:cstheme="majorHAnsi"/>
        </w:rPr>
        <w:t>.”</w:t>
      </w:r>
      <w:r>
        <w:rPr>
          <w:rFonts w:asciiTheme="majorHAnsi" w:hAnsiTheme="majorHAnsi" w:cstheme="majorHAnsi"/>
        </w:rPr>
        <w:t xml:space="preserve"> </w:t>
      </w:r>
      <w:r>
        <w:rPr>
          <w:rFonts w:asciiTheme="majorHAnsi" w:hAnsiTheme="majorHAnsi" w:cstheme="majorHAnsi"/>
          <w:color w:val="000000"/>
        </w:rPr>
        <w:t>And yet, some schools stated that the GAD fund is not fully utilised.</w:t>
      </w:r>
      <w:r w:rsidR="00D434EB">
        <w:rPr>
          <w:rFonts w:asciiTheme="majorHAnsi" w:hAnsiTheme="majorHAnsi" w:cstheme="majorHAnsi"/>
          <w:iCs/>
          <w:color w:val="000000"/>
        </w:rPr>
        <w:t xml:space="preserve"> </w:t>
      </w:r>
      <w:r>
        <w:rPr>
          <w:rFonts w:asciiTheme="majorHAnsi" w:hAnsiTheme="majorHAnsi" w:cstheme="majorHAnsi"/>
          <w:color w:val="000000" w:themeColor="text1"/>
        </w:rPr>
        <w:t xml:space="preserve">On the other hand, a DO respondent noted that the </w:t>
      </w:r>
      <w:r w:rsidRPr="00443F8E">
        <w:rPr>
          <w:rFonts w:asciiTheme="majorHAnsi" w:hAnsiTheme="majorHAnsi" w:cstheme="majorHAnsi"/>
          <w:color w:val="000000" w:themeColor="text1"/>
        </w:rPr>
        <w:t xml:space="preserve">GAD fund </w:t>
      </w:r>
      <w:r>
        <w:rPr>
          <w:rFonts w:asciiTheme="majorHAnsi" w:hAnsiTheme="majorHAnsi" w:cstheme="majorHAnsi"/>
          <w:color w:val="000000" w:themeColor="text1"/>
        </w:rPr>
        <w:t>(which is 5 per cent</w:t>
      </w:r>
      <w:r w:rsidRPr="00443F8E">
        <w:rPr>
          <w:rFonts w:asciiTheme="majorHAnsi" w:hAnsiTheme="majorHAnsi" w:cstheme="majorHAnsi"/>
          <w:color w:val="000000" w:themeColor="text1"/>
        </w:rPr>
        <w:t xml:space="preserve"> of total </w:t>
      </w:r>
      <w:r>
        <w:rPr>
          <w:rFonts w:asciiTheme="majorHAnsi" w:hAnsiTheme="majorHAnsi" w:cstheme="majorHAnsi"/>
          <w:color w:val="000000" w:themeColor="text1"/>
        </w:rPr>
        <w:t>DepEd</w:t>
      </w:r>
      <w:r w:rsidRPr="00443F8E">
        <w:rPr>
          <w:rFonts w:asciiTheme="majorHAnsi" w:hAnsiTheme="majorHAnsi" w:cstheme="majorHAnsi"/>
          <w:color w:val="000000" w:themeColor="text1"/>
        </w:rPr>
        <w:t xml:space="preserve"> </w:t>
      </w:r>
      <w:r>
        <w:rPr>
          <w:rFonts w:asciiTheme="majorHAnsi" w:hAnsiTheme="majorHAnsi" w:cstheme="majorHAnsi"/>
          <w:color w:val="000000" w:themeColor="text1"/>
        </w:rPr>
        <w:t>budget) is usually utilised not only for GRBE but for</w:t>
      </w:r>
      <w:r w:rsidRPr="00443F8E">
        <w:rPr>
          <w:rFonts w:asciiTheme="majorHAnsi" w:hAnsiTheme="majorHAnsi" w:cstheme="majorHAnsi"/>
          <w:color w:val="000000" w:themeColor="text1"/>
        </w:rPr>
        <w:t xml:space="preserve"> Inclusive Education programs</w:t>
      </w:r>
      <w:r>
        <w:rPr>
          <w:rFonts w:asciiTheme="majorHAnsi" w:hAnsiTheme="majorHAnsi" w:cstheme="majorHAnsi"/>
          <w:b/>
          <w:color w:val="000000"/>
        </w:rPr>
        <w:t xml:space="preserve">. </w:t>
      </w:r>
      <w:bookmarkStart w:id="138" w:name="_Toc12711998"/>
      <w:bookmarkStart w:id="139" w:name="_Toc13216284"/>
    </w:p>
    <w:p w14:paraId="7DA41CAB" w14:textId="77777777" w:rsidR="008D0CAD" w:rsidRPr="002F0D73" w:rsidRDefault="008D0CAD" w:rsidP="00B31C4E">
      <w:pPr>
        <w:spacing w:before="100" w:beforeAutospacing="1" w:after="100" w:afterAutospacing="1" w:line="360" w:lineRule="auto"/>
        <w:rPr>
          <w:rFonts w:asciiTheme="majorHAnsi" w:hAnsiTheme="majorHAnsi" w:cstheme="majorHAnsi"/>
          <w:b/>
          <w:color w:val="000000"/>
        </w:rPr>
      </w:pPr>
      <w:r>
        <w:rPr>
          <w:rFonts w:asciiTheme="majorHAnsi" w:hAnsiTheme="majorHAnsi" w:cstheme="majorHAnsi"/>
          <w:color w:val="000000"/>
        </w:rPr>
        <w:t>Likewise, in the survey,</w:t>
      </w:r>
      <w:r w:rsidRPr="000C14E7">
        <w:rPr>
          <w:rFonts w:asciiTheme="majorHAnsi" w:hAnsiTheme="majorHAnsi" w:cstheme="majorHAnsi"/>
          <w:color w:val="000000"/>
        </w:rPr>
        <w:t xml:space="preserve"> </w:t>
      </w:r>
      <w:r>
        <w:rPr>
          <w:rFonts w:asciiTheme="majorHAnsi" w:hAnsiTheme="majorHAnsi" w:cstheme="majorHAnsi"/>
          <w:color w:val="000000"/>
        </w:rPr>
        <w:t>o</w:t>
      </w:r>
      <w:r w:rsidRPr="000C14E7">
        <w:rPr>
          <w:rFonts w:asciiTheme="majorHAnsi" w:hAnsiTheme="majorHAnsi" w:cstheme="majorHAnsi"/>
          <w:color w:val="000000"/>
        </w:rPr>
        <w:t xml:space="preserve">nly 41 </w:t>
      </w:r>
      <w:r>
        <w:rPr>
          <w:rFonts w:asciiTheme="majorHAnsi" w:hAnsiTheme="majorHAnsi" w:cstheme="majorHAnsi"/>
          <w:color w:val="000000"/>
        </w:rPr>
        <w:t>per cent</w:t>
      </w:r>
      <w:r w:rsidRPr="000C14E7">
        <w:rPr>
          <w:rFonts w:asciiTheme="majorHAnsi" w:hAnsiTheme="majorHAnsi" w:cstheme="majorHAnsi"/>
          <w:color w:val="000000"/>
        </w:rPr>
        <w:t xml:space="preserve"> of </w:t>
      </w:r>
      <w:r>
        <w:rPr>
          <w:rFonts w:asciiTheme="majorHAnsi" w:hAnsiTheme="majorHAnsi" w:cstheme="majorHAnsi"/>
          <w:color w:val="000000"/>
        </w:rPr>
        <w:t>principals</w:t>
      </w:r>
      <w:r w:rsidRPr="000C14E7">
        <w:rPr>
          <w:rFonts w:asciiTheme="majorHAnsi" w:hAnsiTheme="majorHAnsi" w:cstheme="majorHAnsi"/>
          <w:color w:val="000000"/>
        </w:rPr>
        <w:t xml:space="preserve"> said that there was a significant increase in their schools’ capacity to deliver GRBE</w:t>
      </w:r>
      <w:r>
        <w:rPr>
          <w:rFonts w:asciiTheme="majorHAnsi" w:hAnsiTheme="majorHAnsi" w:cstheme="majorHAnsi"/>
          <w:color w:val="000000"/>
        </w:rPr>
        <w:t xml:space="preserve"> in the last five to six years</w:t>
      </w:r>
      <w:r w:rsidRPr="000C14E7">
        <w:rPr>
          <w:rFonts w:asciiTheme="majorHAnsi" w:hAnsiTheme="majorHAnsi" w:cstheme="majorHAnsi"/>
          <w:color w:val="000000"/>
        </w:rPr>
        <w:t xml:space="preserve"> and</w:t>
      </w:r>
      <w:r>
        <w:rPr>
          <w:rFonts w:asciiTheme="majorHAnsi" w:hAnsiTheme="majorHAnsi" w:cstheme="majorHAnsi"/>
          <w:color w:val="000000"/>
        </w:rPr>
        <w:t xml:space="preserve"> only</w:t>
      </w:r>
      <w:r w:rsidRPr="000C14E7">
        <w:rPr>
          <w:rFonts w:asciiTheme="majorHAnsi" w:hAnsiTheme="majorHAnsi" w:cstheme="majorHAnsi"/>
          <w:color w:val="000000"/>
        </w:rPr>
        <w:t xml:space="preserve"> 5 </w:t>
      </w:r>
      <w:r>
        <w:rPr>
          <w:rFonts w:asciiTheme="majorHAnsi" w:hAnsiTheme="majorHAnsi" w:cstheme="majorHAnsi"/>
          <w:color w:val="000000"/>
        </w:rPr>
        <w:t>per cent</w:t>
      </w:r>
      <w:r w:rsidRPr="000C14E7">
        <w:rPr>
          <w:rFonts w:asciiTheme="majorHAnsi" w:hAnsiTheme="majorHAnsi" w:cstheme="majorHAnsi"/>
          <w:color w:val="000000"/>
        </w:rPr>
        <w:t xml:space="preserve"> </w:t>
      </w:r>
      <w:r>
        <w:rPr>
          <w:rFonts w:asciiTheme="majorHAnsi" w:hAnsiTheme="majorHAnsi" w:cstheme="majorHAnsi"/>
          <w:color w:val="000000"/>
        </w:rPr>
        <w:t>reported</w:t>
      </w:r>
      <w:r w:rsidRPr="000C14E7">
        <w:rPr>
          <w:rFonts w:asciiTheme="majorHAnsi" w:hAnsiTheme="majorHAnsi" w:cstheme="majorHAnsi"/>
          <w:color w:val="000000"/>
        </w:rPr>
        <w:t xml:space="preserve"> that the increase was significant.</w:t>
      </w:r>
    </w:p>
    <w:p w14:paraId="1BECC489" w14:textId="793AD25F" w:rsidR="008D0CAD" w:rsidRPr="000C77DB" w:rsidRDefault="008D0CAD" w:rsidP="00DD08E3">
      <w:pPr>
        <w:pStyle w:val="Heading3"/>
        <w:numPr>
          <w:ilvl w:val="1"/>
          <w:numId w:val="165"/>
        </w:numPr>
        <w:spacing w:before="100" w:beforeAutospacing="1" w:after="100" w:afterAutospacing="1" w:line="360" w:lineRule="auto"/>
      </w:pPr>
      <w:bookmarkStart w:id="140" w:name="_Toc69820442"/>
      <w:r w:rsidRPr="000C77DB">
        <w:t xml:space="preserve">On enhancing DepEd’s Capacity to deliver inclusive and responsive basic education </w:t>
      </w:r>
      <w:bookmarkEnd w:id="138"/>
      <w:bookmarkEnd w:id="139"/>
      <w:r w:rsidRPr="000C77DB">
        <w:t>services</w:t>
      </w:r>
      <w:bookmarkEnd w:id="140"/>
    </w:p>
    <w:p w14:paraId="653C6B59" w14:textId="77777777" w:rsidR="008D0CAD" w:rsidRDefault="008D0CAD" w:rsidP="00B31C4E">
      <w:pPr>
        <w:pStyle w:val="BodyText"/>
        <w:spacing w:before="100" w:beforeAutospacing="1" w:after="100" w:afterAutospacing="1" w:line="360" w:lineRule="auto"/>
        <w:rPr>
          <w:rFonts w:asciiTheme="majorHAnsi" w:hAnsiTheme="majorHAnsi" w:cstheme="majorHAnsi"/>
          <w:iCs/>
          <w:color w:val="000000" w:themeColor="text1"/>
          <w:sz w:val="24"/>
          <w:szCs w:val="24"/>
        </w:rPr>
      </w:pPr>
      <w:r>
        <w:rPr>
          <w:rFonts w:asciiTheme="majorHAnsi" w:hAnsiTheme="majorHAnsi" w:cstheme="majorHAnsi"/>
          <w:iCs/>
          <w:color w:val="000000" w:themeColor="text1"/>
          <w:sz w:val="24"/>
          <w:szCs w:val="24"/>
        </w:rPr>
        <w:t>Key Evaluation Question No. 4 asks, “</w:t>
      </w:r>
      <w:r w:rsidRPr="003732AD">
        <w:rPr>
          <w:rFonts w:asciiTheme="majorHAnsi" w:hAnsiTheme="majorHAnsi" w:cstheme="majorHAnsi"/>
          <w:bCs/>
          <w:i/>
          <w:iCs/>
          <w:sz w:val="24"/>
          <w:szCs w:val="24"/>
        </w:rPr>
        <w:t xml:space="preserve">To what extent and how did </w:t>
      </w:r>
      <w:r w:rsidRPr="003732AD">
        <w:rPr>
          <w:rFonts w:asciiTheme="majorHAnsi" w:hAnsiTheme="majorHAnsi" w:cstheme="majorHAnsi"/>
          <w:bCs/>
          <w:i/>
          <w:iCs/>
          <w:color w:val="000000" w:themeColor="text1"/>
          <w:sz w:val="24"/>
          <w:szCs w:val="24"/>
        </w:rPr>
        <w:t xml:space="preserve">BEST interventions improve </w:t>
      </w:r>
      <w:r>
        <w:rPr>
          <w:rFonts w:asciiTheme="majorHAnsi" w:hAnsiTheme="majorHAnsi" w:cstheme="majorHAnsi"/>
          <w:bCs/>
          <w:i/>
          <w:iCs/>
          <w:color w:val="000000" w:themeColor="text1"/>
          <w:sz w:val="24"/>
          <w:szCs w:val="24"/>
        </w:rPr>
        <w:t>DepEd</w:t>
      </w:r>
      <w:r w:rsidRPr="003732AD">
        <w:rPr>
          <w:rFonts w:asciiTheme="majorHAnsi" w:hAnsiTheme="majorHAnsi" w:cstheme="majorHAnsi"/>
          <w:bCs/>
          <w:i/>
          <w:iCs/>
          <w:color w:val="000000" w:themeColor="text1"/>
          <w:sz w:val="24"/>
          <w:szCs w:val="24"/>
        </w:rPr>
        <w:t>’s ability to deliver inclusive and responsive basic education services with greater decentrali</w:t>
      </w:r>
      <w:r>
        <w:rPr>
          <w:rFonts w:asciiTheme="majorHAnsi" w:hAnsiTheme="majorHAnsi" w:cstheme="majorHAnsi"/>
          <w:bCs/>
          <w:i/>
          <w:iCs/>
          <w:color w:val="000000" w:themeColor="text1"/>
          <w:sz w:val="24"/>
          <w:szCs w:val="24"/>
        </w:rPr>
        <w:t>s</w:t>
      </w:r>
      <w:r w:rsidRPr="003732AD">
        <w:rPr>
          <w:rFonts w:asciiTheme="majorHAnsi" w:hAnsiTheme="majorHAnsi" w:cstheme="majorHAnsi"/>
          <w:bCs/>
          <w:i/>
          <w:iCs/>
          <w:color w:val="000000" w:themeColor="text1"/>
          <w:sz w:val="24"/>
          <w:szCs w:val="24"/>
        </w:rPr>
        <w:t>ation of management and accountability to the field offices and schools?</w:t>
      </w:r>
      <w:r>
        <w:rPr>
          <w:rFonts w:asciiTheme="majorHAnsi" w:hAnsiTheme="majorHAnsi" w:cstheme="majorHAnsi"/>
          <w:bCs/>
          <w:i/>
          <w:iCs/>
          <w:color w:val="000000" w:themeColor="text1"/>
          <w:sz w:val="24"/>
          <w:szCs w:val="24"/>
        </w:rPr>
        <w:t>”</w:t>
      </w:r>
      <w:r>
        <w:rPr>
          <w:rFonts w:asciiTheme="majorHAnsi" w:hAnsiTheme="majorHAnsi" w:cstheme="majorHAnsi"/>
          <w:iCs/>
          <w:color w:val="000000" w:themeColor="text1"/>
          <w:sz w:val="24"/>
          <w:szCs w:val="24"/>
        </w:rPr>
        <w:t xml:space="preserve"> </w:t>
      </w:r>
      <w:r w:rsidRPr="008F39E9">
        <w:rPr>
          <w:rFonts w:asciiTheme="majorHAnsi" w:hAnsiTheme="majorHAnsi" w:cstheme="majorHAnsi"/>
          <w:bCs/>
          <w:color w:val="000000" w:themeColor="text1"/>
          <w:sz w:val="24"/>
          <w:szCs w:val="24"/>
        </w:rPr>
        <w:t xml:space="preserve">The </w:t>
      </w:r>
      <w:r w:rsidRPr="008F39E9">
        <w:rPr>
          <w:rFonts w:asciiTheme="majorHAnsi" w:hAnsiTheme="majorHAnsi" w:cstheme="majorHAnsi"/>
          <w:iCs/>
          <w:sz w:val="24"/>
          <w:szCs w:val="24"/>
        </w:rPr>
        <w:t xml:space="preserve">EOPO </w:t>
      </w:r>
      <w:r>
        <w:rPr>
          <w:rFonts w:asciiTheme="majorHAnsi" w:hAnsiTheme="majorHAnsi" w:cstheme="majorHAnsi"/>
          <w:iCs/>
          <w:sz w:val="24"/>
          <w:szCs w:val="24"/>
        </w:rPr>
        <w:t>being evaluated under this KEQ was that “</w:t>
      </w:r>
      <w:r>
        <w:rPr>
          <w:rFonts w:asciiTheme="majorHAnsi" w:hAnsiTheme="majorHAnsi" w:cstheme="majorHAnsi"/>
          <w:i/>
          <w:iCs/>
          <w:sz w:val="24"/>
          <w:szCs w:val="24"/>
        </w:rPr>
        <w:t>DepEd is better able to deliver basic education services that is more gender responsive and inclusive and with greater decentralisation of management and accountability to the field offices and schools</w:t>
      </w:r>
      <w:r w:rsidRPr="00A53436">
        <w:rPr>
          <w:rFonts w:asciiTheme="majorHAnsi" w:hAnsiTheme="majorHAnsi" w:cstheme="majorHAnsi"/>
          <w:i/>
          <w:iCs/>
          <w:color w:val="000000" w:themeColor="text1"/>
          <w:sz w:val="24"/>
          <w:szCs w:val="24"/>
        </w:rPr>
        <w:t>”</w:t>
      </w:r>
      <w:r>
        <w:rPr>
          <w:rFonts w:asciiTheme="majorHAnsi" w:hAnsiTheme="majorHAnsi" w:cstheme="majorHAnsi"/>
          <w:i/>
          <w:iCs/>
          <w:color w:val="000000" w:themeColor="text1"/>
          <w:sz w:val="24"/>
          <w:szCs w:val="24"/>
        </w:rPr>
        <w:t>.</w:t>
      </w:r>
    </w:p>
    <w:p w14:paraId="59EF1C48" w14:textId="7B207AEB" w:rsidR="008D0CAD" w:rsidRPr="004A657A" w:rsidRDefault="008D0CAD" w:rsidP="00B31C4E">
      <w:pPr>
        <w:pStyle w:val="Caption"/>
        <w:spacing w:before="100" w:beforeAutospacing="1" w:after="100" w:afterAutospacing="1" w:line="360" w:lineRule="auto"/>
        <w:rPr>
          <w:rFonts w:asciiTheme="majorHAnsi" w:hAnsiTheme="majorHAnsi" w:cstheme="majorHAnsi"/>
          <w:sz w:val="22"/>
          <w:szCs w:val="22"/>
        </w:rPr>
      </w:pPr>
      <w:bookmarkStart w:id="141" w:name="_Toc14028945"/>
      <w:bookmarkStart w:id="142" w:name="_Toc71616541"/>
      <w:r w:rsidRPr="004A657A">
        <w:rPr>
          <w:rFonts w:asciiTheme="majorHAnsi" w:hAnsiTheme="majorHAnsi" w:cstheme="majorHAnsi"/>
          <w:sz w:val="22"/>
          <w:szCs w:val="22"/>
        </w:rPr>
        <w:t xml:space="preserve">Figure </w:t>
      </w:r>
      <w:r w:rsidRPr="004A657A">
        <w:rPr>
          <w:rFonts w:asciiTheme="majorHAnsi" w:hAnsiTheme="majorHAnsi" w:cstheme="majorHAnsi"/>
          <w:noProof/>
          <w:sz w:val="22"/>
          <w:szCs w:val="22"/>
        </w:rPr>
        <w:fldChar w:fldCharType="begin"/>
      </w:r>
      <w:r w:rsidRPr="004A657A">
        <w:rPr>
          <w:rFonts w:asciiTheme="majorHAnsi" w:hAnsiTheme="majorHAnsi" w:cstheme="majorHAnsi"/>
          <w:noProof/>
          <w:sz w:val="22"/>
          <w:szCs w:val="22"/>
        </w:rPr>
        <w:instrText xml:space="preserve"> SEQ Figure \* ARABIC </w:instrText>
      </w:r>
      <w:r w:rsidRPr="004A657A">
        <w:rPr>
          <w:rFonts w:asciiTheme="majorHAnsi" w:hAnsiTheme="majorHAnsi" w:cstheme="majorHAnsi"/>
          <w:noProof/>
          <w:sz w:val="22"/>
          <w:szCs w:val="22"/>
        </w:rPr>
        <w:fldChar w:fldCharType="separate"/>
      </w:r>
      <w:r w:rsidR="00D6133D">
        <w:rPr>
          <w:rFonts w:asciiTheme="majorHAnsi" w:hAnsiTheme="majorHAnsi" w:cstheme="majorHAnsi"/>
          <w:noProof/>
          <w:sz w:val="22"/>
          <w:szCs w:val="22"/>
        </w:rPr>
        <w:t>14</w:t>
      </w:r>
      <w:r w:rsidRPr="004A657A">
        <w:rPr>
          <w:rFonts w:asciiTheme="majorHAnsi" w:hAnsiTheme="majorHAnsi" w:cstheme="majorHAnsi"/>
          <w:noProof/>
          <w:sz w:val="22"/>
          <w:szCs w:val="22"/>
        </w:rPr>
        <w:fldChar w:fldCharType="end"/>
      </w:r>
      <w:r w:rsidRPr="004A657A">
        <w:rPr>
          <w:rFonts w:asciiTheme="majorHAnsi" w:hAnsiTheme="majorHAnsi" w:cstheme="majorHAnsi"/>
          <w:sz w:val="22"/>
          <w:szCs w:val="22"/>
        </w:rPr>
        <w:t>.</w:t>
      </w:r>
      <w:r w:rsidRPr="004A657A">
        <w:rPr>
          <w:rFonts w:asciiTheme="majorHAnsi" w:eastAsiaTheme="minorEastAsia" w:hAnsiTheme="majorHAnsi" w:cstheme="majorHAnsi"/>
          <w:kern w:val="24"/>
          <w:sz w:val="22"/>
          <w:szCs w:val="22"/>
        </w:rPr>
        <w:t xml:space="preserve"> </w:t>
      </w:r>
      <w:r w:rsidRPr="004A657A">
        <w:rPr>
          <w:rFonts w:asciiTheme="majorHAnsi" w:hAnsiTheme="majorHAnsi" w:cstheme="majorHAnsi"/>
          <w:sz w:val="22"/>
          <w:szCs w:val="22"/>
        </w:rPr>
        <w:t>Results Chain of EOPO 3</w:t>
      </w:r>
      <w:bookmarkEnd w:id="141"/>
      <w:bookmarkEnd w:id="142"/>
    </w:p>
    <w:p w14:paraId="451CE606" w14:textId="77777777" w:rsidR="0017212A" w:rsidRDefault="008D0CAD" w:rsidP="00B31C4E">
      <w:pPr>
        <w:pStyle w:val="BodyText"/>
        <w:spacing w:before="100" w:beforeAutospacing="1" w:after="100" w:afterAutospacing="1" w:line="360" w:lineRule="auto"/>
        <w:rPr>
          <w:rFonts w:asciiTheme="majorHAnsi" w:hAnsiTheme="majorHAnsi" w:cstheme="majorHAnsi"/>
          <w:bCs/>
          <w:color w:val="000000" w:themeColor="text1"/>
          <w:sz w:val="24"/>
          <w:szCs w:val="24"/>
        </w:rPr>
      </w:pPr>
      <w:r>
        <w:rPr>
          <w:rFonts w:asciiTheme="majorHAnsi" w:hAnsiTheme="majorHAnsi" w:cstheme="majorHAnsi"/>
          <w:bCs/>
          <w:noProof/>
          <w:color w:val="000000" w:themeColor="text1"/>
          <w:lang w:val="en-AU" w:eastAsia="en-AU"/>
        </w:rPr>
        <w:drawing>
          <wp:inline distT="0" distB="0" distL="0" distR="0" wp14:anchorId="2BC82BE9" wp14:editId="39494DE8">
            <wp:extent cx="3514725" cy="2127885"/>
            <wp:effectExtent l="0" t="0" r="9525" b="5715"/>
            <wp:docPr id="36" name="Picture 36" descr="BEST Theory of Change Illustration for End of Program Objective (EOPO3), with corresponding immediate and intermediate outco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BEST Theory of Change Illustration for End of Program Objective (EOPO3), with corresponding immediate and intermediate outcomes. "/>
                    <pic:cNvPicPr/>
                  </pic:nvPicPr>
                  <pic:blipFill rotWithShape="1">
                    <a:blip r:embed="rId36" cstate="print">
                      <a:extLst>
                        <a:ext uri="{28A0092B-C50C-407E-A947-70E740481C1C}">
                          <a14:useLocalDpi xmlns:a14="http://schemas.microsoft.com/office/drawing/2010/main" val="0"/>
                        </a:ext>
                      </a:extLst>
                    </a:blip>
                    <a:srcRect t="5774" r="40572" b="39586"/>
                    <a:stretch/>
                  </pic:blipFill>
                  <pic:spPr bwMode="auto">
                    <a:xfrm>
                      <a:off x="0" y="0"/>
                      <a:ext cx="3514725" cy="2127885"/>
                    </a:xfrm>
                    <a:prstGeom prst="rect">
                      <a:avLst/>
                    </a:prstGeom>
                    <a:ln>
                      <a:noFill/>
                    </a:ln>
                    <a:extLst>
                      <a:ext uri="{53640926-AAD7-44D8-BBD7-CCE9431645EC}">
                        <a14:shadowObscured xmlns:a14="http://schemas.microsoft.com/office/drawing/2010/main"/>
                      </a:ext>
                    </a:extLst>
                  </pic:spPr>
                </pic:pic>
              </a:graphicData>
            </a:graphic>
          </wp:inline>
        </w:drawing>
      </w:r>
    </w:p>
    <w:p w14:paraId="00B1554A" w14:textId="4DE28233" w:rsidR="008D0CAD" w:rsidRPr="00004C60" w:rsidRDefault="008D0CAD" w:rsidP="00B31C4E">
      <w:pPr>
        <w:pStyle w:val="BodyText"/>
        <w:spacing w:before="100" w:beforeAutospacing="1" w:after="100" w:afterAutospacing="1" w:line="360" w:lineRule="auto"/>
        <w:rPr>
          <w:rFonts w:asciiTheme="majorHAnsi" w:hAnsiTheme="majorHAnsi" w:cstheme="majorHAnsi"/>
          <w:bCs/>
          <w:color w:val="000000" w:themeColor="text1"/>
          <w:sz w:val="24"/>
          <w:szCs w:val="24"/>
        </w:rPr>
      </w:pPr>
      <w:r>
        <w:rPr>
          <w:rFonts w:asciiTheme="majorHAnsi" w:hAnsiTheme="majorHAnsi" w:cstheme="majorHAnsi"/>
          <w:bCs/>
          <w:color w:val="000000" w:themeColor="text1"/>
          <w:sz w:val="24"/>
          <w:szCs w:val="24"/>
        </w:rPr>
        <w:t xml:space="preserve">Four </w:t>
      </w:r>
      <w:r w:rsidRPr="00BC0ADF">
        <w:rPr>
          <w:rFonts w:asciiTheme="majorHAnsi" w:hAnsiTheme="majorHAnsi" w:cstheme="majorHAnsi"/>
          <w:bCs/>
          <w:color w:val="000000" w:themeColor="text1"/>
          <w:sz w:val="24"/>
          <w:szCs w:val="24"/>
        </w:rPr>
        <w:t>Program intervention</w:t>
      </w:r>
      <w:r>
        <w:rPr>
          <w:rFonts w:asciiTheme="majorHAnsi" w:hAnsiTheme="majorHAnsi" w:cstheme="majorHAnsi"/>
          <w:bCs/>
          <w:color w:val="000000" w:themeColor="text1"/>
          <w:sz w:val="24"/>
          <w:szCs w:val="24"/>
        </w:rPr>
        <w:t>s</w:t>
      </w:r>
      <w:r>
        <w:rPr>
          <w:rStyle w:val="FootnoteReference"/>
          <w:rFonts w:asciiTheme="majorHAnsi" w:hAnsiTheme="majorHAnsi" w:cstheme="majorHAnsi"/>
          <w:bCs/>
          <w:color w:val="000000" w:themeColor="text1"/>
          <w:sz w:val="24"/>
          <w:szCs w:val="24"/>
        </w:rPr>
        <w:footnoteReference w:id="59"/>
      </w:r>
      <w:r w:rsidRPr="001D1BFB">
        <w:rPr>
          <w:rFonts w:asciiTheme="majorHAnsi" w:hAnsiTheme="majorHAnsi" w:cstheme="majorHAnsi"/>
          <w:bCs/>
          <w:color w:val="000000" w:themeColor="text1"/>
          <w:sz w:val="24"/>
          <w:szCs w:val="24"/>
        </w:rPr>
        <w:t xml:space="preserve"> </w:t>
      </w:r>
      <w:r>
        <w:rPr>
          <w:rFonts w:asciiTheme="majorHAnsi" w:hAnsiTheme="majorHAnsi" w:cstheme="majorHAnsi"/>
          <w:bCs/>
          <w:color w:val="000000" w:themeColor="text1"/>
          <w:sz w:val="24"/>
          <w:szCs w:val="24"/>
        </w:rPr>
        <w:t xml:space="preserve">were intended to realise </w:t>
      </w:r>
      <w:r>
        <w:rPr>
          <w:rFonts w:asciiTheme="majorHAnsi" w:eastAsiaTheme="minorHAnsi" w:hAnsiTheme="majorHAnsi" w:cstheme="majorHAnsi"/>
          <w:sz w:val="24"/>
          <w:szCs w:val="24"/>
        </w:rPr>
        <w:t>three Immediate Outcomes (i.e., IO8, IO9 and IO11)</w:t>
      </w:r>
      <w:r w:rsidRPr="0073540B">
        <w:rPr>
          <w:rFonts w:asciiTheme="majorHAnsi" w:eastAsiaTheme="minorHAnsi" w:hAnsiTheme="majorHAnsi" w:cstheme="majorHAnsi"/>
          <w:sz w:val="24"/>
          <w:szCs w:val="24"/>
        </w:rPr>
        <w:t>,</w:t>
      </w:r>
      <w:r>
        <w:rPr>
          <w:rFonts w:asciiTheme="majorHAnsi" w:eastAsiaTheme="minorHAnsi" w:hAnsiTheme="majorHAnsi" w:cstheme="majorHAnsi"/>
          <w:sz w:val="24"/>
          <w:szCs w:val="24"/>
        </w:rPr>
        <w:t xml:space="preserve"> which in turn were expected to lead to the attainment Intermediate Outcome No. 3 </w:t>
      </w:r>
      <w:r>
        <w:rPr>
          <w:rFonts w:asciiTheme="majorHAnsi" w:hAnsiTheme="majorHAnsi" w:cstheme="majorHAnsi"/>
          <w:bCs/>
          <w:color w:val="000000" w:themeColor="text1"/>
          <w:sz w:val="24"/>
          <w:szCs w:val="24"/>
        </w:rPr>
        <w:t>(i</w:t>
      </w:r>
      <w:r w:rsidRPr="00004C60">
        <w:rPr>
          <w:rFonts w:asciiTheme="majorHAnsi" w:hAnsiTheme="majorHAnsi" w:cstheme="majorHAnsi"/>
          <w:bCs/>
          <w:i/>
          <w:iCs/>
          <w:color w:val="000000" w:themeColor="text1"/>
          <w:sz w:val="24"/>
          <w:szCs w:val="24"/>
        </w:rPr>
        <w:t xml:space="preserve">.e., </w:t>
      </w:r>
      <w:r>
        <w:rPr>
          <w:rFonts w:asciiTheme="majorHAnsi" w:hAnsiTheme="majorHAnsi" w:cstheme="majorHAnsi"/>
          <w:bCs/>
          <w:i/>
          <w:iCs/>
          <w:color w:val="000000" w:themeColor="text1"/>
          <w:sz w:val="24"/>
          <w:szCs w:val="24"/>
        </w:rPr>
        <w:t>DepEd</w:t>
      </w:r>
      <w:r w:rsidRPr="00004C60">
        <w:rPr>
          <w:rFonts w:asciiTheme="majorHAnsi" w:hAnsiTheme="majorHAnsi" w:cstheme="majorHAnsi"/>
          <w:bCs/>
          <w:i/>
          <w:iCs/>
          <w:color w:val="000000" w:themeColor="text1"/>
          <w:sz w:val="24"/>
          <w:szCs w:val="24"/>
        </w:rPr>
        <w:t xml:space="preserve"> policies, plans and practices are gender responsive, linked across governance levels and are being informed by effective OD, HR, UIS, Research and M&amp;E systems</w:t>
      </w:r>
      <w:r>
        <w:rPr>
          <w:rFonts w:asciiTheme="majorHAnsi" w:hAnsiTheme="majorHAnsi" w:cstheme="majorHAnsi"/>
          <w:bCs/>
          <w:color w:val="000000" w:themeColor="text1"/>
          <w:sz w:val="24"/>
          <w:szCs w:val="24"/>
        </w:rPr>
        <w:t xml:space="preserve">) </w:t>
      </w:r>
      <w:r>
        <w:rPr>
          <w:rFonts w:asciiTheme="majorHAnsi" w:eastAsiaTheme="minorHAnsi" w:hAnsiTheme="majorHAnsi" w:cstheme="majorHAnsi"/>
          <w:sz w:val="24"/>
          <w:szCs w:val="24"/>
        </w:rPr>
        <w:t xml:space="preserve">and ultimately EOPO 3 </w:t>
      </w:r>
      <w:r>
        <w:rPr>
          <w:rFonts w:asciiTheme="majorHAnsi" w:hAnsiTheme="majorHAnsi" w:cstheme="majorHAnsi"/>
          <w:color w:val="000000" w:themeColor="text1"/>
          <w:sz w:val="24"/>
          <w:szCs w:val="24"/>
          <w:shd w:val="clear" w:color="auto" w:fill="FFFFFF"/>
        </w:rPr>
        <w:t>(Figure 18)</w:t>
      </w:r>
      <w:r>
        <w:rPr>
          <w:rFonts w:asciiTheme="majorHAnsi" w:hAnsiTheme="majorHAnsi" w:cstheme="majorHAnsi"/>
          <w:bCs/>
          <w:color w:val="000000" w:themeColor="text1"/>
          <w:sz w:val="24"/>
          <w:szCs w:val="24"/>
        </w:rPr>
        <w:t>.</w:t>
      </w:r>
      <w:r w:rsidR="00D434EB">
        <w:rPr>
          <w:rFonts w:asciiTheme="majorHAnsi" w:hAnsiTheme="majorHAnsi" w:cstheme="majorHAnsi"/>
          <w:bCs/>
          <w:color w:val="000000" w:themeColor="text1"/>
          <w:sz w:val="24"/>
          <w:szCs w:val="24"/>
        </w:rPr>
        <w:t xml:space="preserve"> </w:t>
      </w:r>
      <w:r>
        <w:rPr>
          <w:rFonts w:asciiTheme="majorHAnsi" w:hAnsiTheme="majorHAnsi" w:cstheme="majorHAnsi"/>
          <w:bCs/>
          <w:color w:val="000000" w:themeColor="text1"/>
          <w:sz w:val="24"/>
          <w:szCs w:val="24"/>
        </w:rPr>
        <w:t>The findings under each of the four program interventions are discussed in the succeeding sections.</w:t>
      </w:r>
      <w:r w:rsidR="00D434EB">
        <w:rPr>
          <w:rFonts w:asciiTheme="majorHAnsi" w:hAnsiTheme="majorHAnsi" w:cstheme="majorHAnsi"/>
          <w:color w:val="000000" w:themeColor="text1"/>
          <w:sz w:val="24"/>
          <w:szCs w:val="24"/>
          <w:shd w:val="clear" w:color="auto" w:fill="FFFFFF"/>
        </w:rPr>
        <w:t xml:space="preserve"> </w:t>
      </w:r>
      <w:r>
        <w:rPr>
          <w:rFonts w:asciiTheme="majorHAnsi" w:hAnsiTheme="majorHAnsi" w:cstheme="majorHAnsi"/>
          <w:color w:val="000000" w:themeColor="text1"/>
          <w:sz w:val="24"/>
          <w:szCs w:val="24"/>
          <w:shd w:val="clear" w:color="auto" w:fill="FFFFFF"/>
        </w:rPr>
        <w:t xml:space="preserve"> </w:t>
      </w:r>
    </w:p>
    <w:p w14:paraId="2E21BAF2" w14:textId="06539903" w:rsidR="008D0CAD" w:rsidRPr="008C061C" w:rsidRDefault="008D0CAD" w:rsidP="008C061C">
      <w:pPr>
        <w:pStyle w:val="Heading6"/>
      </w:pPr>
      <w:r w:rsidRPr="008C061C">
        <w:rPr>
          <w:rStyle w:val="Heading6Char"/>
          <w:i/>
        </w:rPr>
        <w:t>Capacity for planning and evidence-based decision making and policy formulation</w:t>
      </w:r>
    </w:p>
    <w:p w14:paraId="5F0D9F32" w14:textId="77777777" w:rsidR="008D0CAD" w:rsidRDefault="008D0CAD" w:rsidP="00B31C4E">
      <w:pPr>
        <w:pStyle w:val="NormalWeb"/>
        <w:spacing w:line="360" w:lineRule="auto"/>
        <w:ind w:left="432" w:right="432"/>
        <w:rPr>
          <w:rFonts w:asciiTheme="majorHAnsi" w:eastAsiaTheme="minorHAnsi" w:hAnsiTheme="majorHAnsi" w:cstheme="majorHAnsi"/>
          <w:sz w:val="22"/>
          <w:szCs w:val="22"/>
        </w:rPr>
      </w:pPr>
      <w:r>
        <w:rPr>
          <w:rFonts w:asciiTheme="majorHAnsi" w:hAnsiTheme="majorHAnsi" w:cstheme="majorHAnsi"/>
        </w:rPr>
        <w:t xml:space="preserve">IO8: </w:t>
      </w:r>
      <w:r w:rsidRPr="007A4995">
        <w:rPr>
          <w:rFonts w:asciiTheme="majorHAnsi" w:eastAsiaTheme="minorHAnsi" w:hAnsiTheme="majorHAnsi" w:cstheme="majorHAnsi"/>
          <w:sz w:val="22"/>
          <w:szCs w:val="22"/>
        </w:rPr>
        <w:t>Strengthen capacity for planning and evidence-based decision making and policy formulation</w:t>
      </w:r>
    </w:p>
    <w:p w14:paraId="28A118DF" w14:textId="05A9B24D" w:rsidR="008D0CAD" w:rsidRDefault="008D0CAD" w:rsidP="00B31C4E">
      <w:pPr>
        <w:spacing w:before="100" w:beforeAutospacing="1" w:after="100" w:afterAutospacing="1" w:line="360" w:lineRule="auto"/>
        <w:rPr>
          <w:rFonts w:asciiTheme="majorHAnsi" w:hAnsiTheme="majorHAnsi" w:cstheme="majorHAnsi"/>
          <w:lang w:val="en-AU" w:eastAsia="he-IL" w:bidi="he-IL"/>
        </w:rPr>
      </w:pPr>
      <w:r>
        <w:rPr>
          <w:rFonts w:asciiTheme="majorHAnsi" w:hAnsiTheme="majorHAnsi" w:cstheme="majorHAnsi"/>
          <w:lang w:val="en-AU" w:eastAsia="he-IL" w:bidi="he-IL"/>
        </w:rPr>
        <w:t xml:space="preserve">DepEd, as the education sector manager, is mandated to formulate </w:t>
      </w:r>
      <w:r w:rsidRPr="00C25642">
        <w:rPr>
          <w:rFonts w:asciiTheme="majorHAnsi" w:hAnsiTheme="majorHAnsi" w:cstheme="majorHAnsi"/>
          <w:lang w:val="en-AU" w:eastAsia="he-IL" w:bidi="he-IL"/>
        </w:rPr>
        <w:t>education policies and plans</w:t>
      </w:r>
      <w:r>
        <w:rPr>
          <w:rFonts w:asciiTheme="majorHAnsi" w:hAnsiTheme="majorHAnsi" w:cstheme="majorHAnsi"/>
          <w:lang w:val="en-AU" w:eastAsia="he-IL" w:bidi="he-IL"/>
        </w:rPr>
        <w:t>,</w:t>
      </w:r>
      <w:r w:rsidRPr="00C25642">
        <w:rPr>
          <w:rFonts w:asciiTheme="majorHAnsi" w:hAnsiTheme="majorHAnsi" w:cstheme="majorHAnsi"/>
          <w:lang w:val="en-AU" w:eastAsia="he-IL" w:bidi="he-IL"/>
        </w:rPr>
        <w:t xml:space="preserve"> </w:t>
      </w:r>
      <w:r>
        <w:rPr>
          <w:rFonts w:asciiTheme="majorHAnsi" w:hAnsiTheme="majorHAnsi" w:cstheme="majorHAnsi"/>
          <w:lang w:val="en-AU" w:eastAsia="he-IL" w:bidi="he-IL"/>
        </w:rPr>
        <w:t>aligned</w:t>
      </w:r>
      <w:r w:rsidRPr="00C25642">
        <w:rPr>
          <w:rFonts w:asciiTheme="majorHAnsi" w:hAnsiTheme="majorHAnsi" w:cstheme="majorHAnsi"/>
          <w:lang w:val="en-AU" w:eastAsia="he-IL" w:bidi="he-IL"/>
        </w:rPr>
        <w:t xml:space="preserve"> with the evolving </w:t>
      </w:r>
      <w:r>
        <w:rPr>
          <w:rFonts w:asciiTheme="majorHAnsi" w:hAnsiTheme="majorHAnsi" w:cstheme="majorHAnsi"/>
          <w:lang w:val="en-AU" w:eastAsia="he-IL" w:bidi="he-IL"/>
        </w:rPr>
        <w:t>sector</w:t>
      </w:r>
      <w:r w:rsidRPr="00C25642">
        <w:rPr>
          <w:rFonts w:asciiTheme="majorHAnsi" w:hAnsiTheme="majorHAnsi" w:cstheme="majorHAnsi"/>
          <w:lang w:val="en-AU" w:eastAsia="he-IL" w:bidi="he-IL"/>
        </w:rPr>
        <w:t xml:space="preserve"> requirements, trends and demands</w:t>
      </w:r>
      <w:r>
        <w:rPr>
          <w:rFonts w:asciiTheme="majorHAnsi" w:hAnsiTheme="majorHAnsi" w:cstheme="majorHAnsi"/>
          <w:lang w:val="en-AU" w:eastAsia="he-IL" w:bidi="he-IL"/>
        </w:rPr>
        <w:t>.</w:t>
      </w:r>
      <w:r w:rsidR="00D434EB">
        <w:rPr>
          <w:rFonts w:asciiTheme="majorHAnsi" w:hAnsiTheme="majorHAnsi" w:cstheme="majorHAnsi"/>
          <w:lang w:val="en-AU" w:eastAsia="he-IL" w:bidi="he-IL"/>
        </w:rPr>
        <w:t xml:space="preserve"> </w:t>
      </w:r>
      <w:r>
        <w:rPr>
          <w:rFonts w:asciiTheme="majorHAnsi" w:hAnsiTheme="majorHAnsi" w:cstheme="majorHAnsi"/>
          <w:lang w:val="en-AU" w:eastAsia="he-IL" w:bidi="he-IL"/>
        </w:rPr>
        <w:t>However, over the years, policy planning was plagued with serious challenges which included</w:t>
      </w:r>
      <w:r>
        <w:rPr>
          <w:rStyle w:val="FootnoteReference"/>
          <w:rFonts w:asciiTheme="majorHAnsi" w:eastAsia="Arial Unicode MS" w:hAnsiTheme="majorHAnsi" w:cstheme="majorHAnsi"/>
          <w:lang w:val="en-AU" w:eastAsia="he-IL" w:bidi="he-IL"/>
        </w:rPr>
        <w:footnoteReference w:id="60"/>
      </w:r>
      <w:r>
        <w:rPr>
          <w:rFonts w:asciiTheme="majorHAnsi" w:hAnsiTheme="majorHAnsi" w:cstheme="majorHAnsi"/>
          <w:lang w:val="en-AU" w:eastAsia="he-IL" w:bidi="he-IL"/>
        </w:rPr>
        <w:t>:</w:t>
      </w:r>
    </w:p>
    <w:p w14:paraId="4743DAC2" w14:textId="77777777" w:rsidR="008D0CAD" w:rsidRPr="00535349" w:rsidRDefault="008D0CAD" w:rsidP="00B31C4E">
      <w:pPr>
        <w:pStyle w:val="ListParagraph"/>
        <w:numPr>
          <w:ilvl w:val="0"/>
          <w:numId w:val="6"/>
        </w:numPr>
        <w:spacing w:before="100" w:beforeAutospacing="1" w:after="100" w:afterAutospacing="1" w:line="360" w:lineRule="auto"/>
        <w:rPr>
          <w:rFonts w:asciiTheme="majorHAnsi" w:hAnsiTheme="majorHAnsi" w:cstheme="majorHAnsi"/>
          <w:lang w:val="en-AU" w:eastAsia="he-IL" w:bidi="he-IL"/>
        </w:rPr>
      </w:pPr>
      <w:r w:rsidRPr="00535349">
        <w:rPr>
          <w:rFonts w:asciiTheme="majorHAnsi" w:hAnsiTheme="majorHAnsi" w:cstheme="majorHAnsi"/>
          <w:lang w:val="en-AU" w:eastAsia="he-IL" w:bidi="he-IL"/>
        </w:rPr>
        <w:t>limited implementation and utili</w:t>
      </w:r>
      <w:r>
        <w:rPr>
          <w:rFonts w:asciiTheme="majorHAnsi" w:hAnsiTheme="majorHAnsi" w:cstheme="majorHAnsi"/>
          <w:lang w:val="en-AU" w:eastAsia="he-IL" w:bidi="he-IL"/>
        </w:rPr>
        <w:t>s</w:t>
      </w:r>
      <w:r w:rsidRPr="00535349">
        <w:rPr>
          <w:rFonts w:asciiTheme="majorHAnsi" w:hAnsiTheme="majorHAnsi" w:cstheme="majorHAnsi"/>
          <w:lang w:val="en-AU" w:eastAsia="he-IL" w:bidi="he-IL"/>
        </w:rPr>
        <w:t>ation by central, regional and field offices/schools and personnel of policies, plans and tools</w:t>
      </w:r>
      <w:r>
        <w:rPr>
          <w:rFonts w:asciiTheme="majorHAnsi" w:hAnsiTheme="majorHAnsi" w:cstheme="majorHAnsi"/>
          <w:lang w:val="en-AU" w:eastAsia="he-IL" w:bidi="he-IL"/>
        </w:rPr>
        <w:t>;</w:t>
      </w:r>
    </w:p>
    <w:p w14:paraId="112C23B7" w14:textId="5A29EA4B" w:rsidR="008D0CAD" w:rsidRPr="00535349" w:rsidRDefault="008D0CAD" w:rsidP="00B31C4E">
      <w:pPr>
        <w:pStyle w:val="ListParagraph"/>
        <w:numPr>
          <w:ilvl w:val="0"/>
          <w:numId w:val="6"/>
        </w:numPr>
        <w:spacing w:before="100" w:beforeAutospacing="1" w:after="100" w:afterAutospacing="1" w:line="360" w:lineRule="auto"/>
        <w:rPr>
          <w:rFonts w:asciiTheme="majorHAnsi" w:hAnsiTheme="majorHAnsi" w:cstheme="majorHAnsi"/>
          <w:lang w:val="en-AU" w:eastAsia="he-IL" w:bidi="he-IL"/>
        </w:rPr>
      </w:pPr>
      <w:r>
        <w:rPr>
          <w:rFonts w:asciiTheme="majorHAnsi" w:hAnsiTheme="majorHAnsi" w:cstheme="majorHAnsi"/>
          <w:lang w:val="en-AU" w:eastAsia="he-IL" w:bidi="he-IL"/>
        </w:rPr>
        <w:t>inadequate</w:t>
      </w:r>
      <w:r w:rsidRPr="00535349">
        <w:rPr>
          <w:rFonts w:asciiTheme="majorHAnsi" w:hAnsiTheme="majorHAnsi" w:cstheme="majorHAnsi"/>
          <w:lang w:val="en-AU" w:eastAsia="he-IL" w:bidi="he-IL"/>
        </w:rPr>
        <w:t xml:space="preserve"> use of vital data/information for crafting responsive national policies or needed development interventions for strategic program/project adjustments</w:t>
      </w:r>
      <w:r>
        <w:rPr>
          <w:rFonts w:asciiTheme="majorHAnsi" w:hAnsiTheme="majorHAnsi" w:cstheme="majorHAnsi"/>
          <w:lang w:val="en-AU" w:eastAsia="he-IL" w:bidi="he-IL"/>
        </w:rPr>
        <w:t>;</w:t>
      </w:r>
      <w:r w:rsidR="00D434EB">
        <w:rPr>
          <w:rFonts w:asciiTheme="majorHAnsi" w:hAnsiTheme="majorHAnsi" w:cstheme="majorHAnsi"/>
          <w:lang w:val="en-AU" w:eastAsia="he-IL" w:bidi="he-IL"/>
        </w:rPr>
        <w:t xml:space="preserve"> </w:t>
      </w:r>
    </w:p>
    <w:p w14:paraId="6562D1C9" w14:textId="77777777" w:rsidR="008D0CAD" w:rsidRPr="00535349" w:rsidRDefault="008D0CAD" w:rsidP="00B31C4E">
      <w:pPr>
        <w:pStyle w:val="ListParagraph"/>
        <w:numPr>
          <w:ilvl w:val="0"/>
          <w:numId w:val="6"/>
        </w:numPr>
        <w:spacing w:before="100" w:beforeAutospacing="1" w:after="100" w:afterAutospacing="1" w:line="360" w:lineRule="auto"/>
        <w:rPr>
          <w:rFonts w:asciiTheme="majorHAnsi" w:hAnsiTheme="majorHAnsi" w:cstheme="majorHAnsi"/>
          <w:color w:val="000000" w:themeColor="text1"/>
          <w:lang w:val="en-AU" w:eastAsia="he-IL" w:bidi="he-IL"/>
        </w:rPr>
      </w:pPr>
      <w:r w:rsidRPr="00535349">
        <w:rPr>
          <w:rFonts w:asciiTheme="majorHAnsi" w:hAnsiTheme="majorHAnsi" w:cstheme="majorHAnsi"/>
          <w:lang w:val="en-AU" w:eastAsia="he-IL" w:bidi="he-IL"/>
        </w:rPr>
        <w:t xml:space="preserve">low absorption by field offices/schools of planning and M&amp;E tools for evidence-based decision-making and policy formulation </w:t>
      </w:r>
      <w:r w:rsidRPr="00535349">
        <w:rPr>
          <w:rFonts w:asciiTheme="majorHAnsi" w:hAnsiTheme="majorHAnsi" w:cstheme="majorHAnsi"/>
          <w:color w:val="000000" w:themeColor="text1"/>
          <w:lang w:val="en-AU" w:eastAsia="he-IL" w:bidi="he-IL"/>
        </w:rPr>
        <w:t>that integrates the principles of gender equality, disability, and social inclusion (GEDSI) in the different phases of the education management cycle</w:t>
      </w:r>
      <w:r>
        <w:rPr>
          <w:rFonts w:asciiTheme="majorHAnsi" w:hAnsiTheme="majorHAnsi" w:cstheme="majorHAnsi"/>
          <w:color w:val="000000" w:themeColor="text1"/>
          <w:lang w:val="en-AU" w:eastAsia="he-IL" w:bidi="he-IL"/>
        </w:rPr>
        <w:t>;</w:t>
      </w:r>
      <w:r w:rsidRPr="00535349">
        <w:rPr>
          <w:rFonts w:asciiTheme="majorHAnsi" w:hAnsiTheme="majorHAnsi" w:cstheme="majorHAnsi"/>
          <w:color w:val="000000" w:themeColor="text1"/>
          <w:lang w:val="en-AU" w:eastAsia="he-IL" w:bidi="he-IL"/>
        </w:rPr>
        <w:t xml:space="preserve"> </w:t>
      </w:r>
    </w:p>
    <w:p w14:paraId="1B16EF9A" w14:textId="77777777" w:rsidR="008D0CAD" w:rsidRPr="00004C60" w:rsidRDefault="008D0CAD" w:rsidP="00B31C4E">
      <w:pPr>
        <w:pStyle w:val="ListParagraph"/>
        <w:numPr>
          <w:ilvl w:val="0"/>
          <w:numId w:val="6"/>
        </w:numPr>
        <w:spacing w:before="100" w:beforeAutospacing="1" w:after="100" w:afterAutospacing="1" w:line="360" w:lineRule="auto"/>
        <w:rPr>
          <w:rFonts w:asciiTheme="majorHAnsi" w:hAnsiTheme="majorHAnsi" w:cstheme="majorHAnsi"/>
          <w:lang w:val="en-AU" w:eastAsia="he-IL" w:bidi="he-IL"/>
        </w:rPr>
      </w:pPr>
      <w:r w:rsidRPr="00535349">
        <w:rPr>
          <w:rFonts w:asciiTheme="majorHAnsi" w:hAnsiTheme="majorHAnsi" w:cstheme="majorHAnsi"/>
          <w:lang w:val="en-AU" w:eastAsia="he-IL" w:bidi="he-IL"/>
        </w:rPr>
        <w:t xml:space="preserve">inadequate feedback mechanisms </w:t>
      </w:r>
      <w:r>
        <w:rPr>
          <w:rFonts w:asciiTheme="majorHAnsi" w:hAnsiTheme="majorHAnsi" w:cstheme="majorHAnsi"/>
          <w:lang w:val="en-AU" w:eastAsia="he-IL" w:bidi="he-IL"/>
        </w:rPr>
        <w:t xml:space="preserve">(top-down as well as bottom-up) and </w:t>
      </w:r>
      <w:r w:rsidRPr="00535349">
        <w:rPr>
          <w:rFonts w:asciiTheme="majorHAnsi" w:hAnsiTheme="majorHAnsi" w:cstheme="majorHAnsi"/>
          <w:lang w:val="en-AU" w:eastAsia="he-IL" w:bidi="he-IL"/>
        </w:rPr>
        <w:t>communicat</w:t>
      </w:r>
      <w:r>
        <w:rPr>
          <w:rFonts w:asciiTheme="majorHAnsi" w:hAnsiTheme="majorHAnsi" w:cstheme="majorHAnsi"/>
          <w:lang w:val="en-AU" w:eastAsia="he-IL" w:bidi="he-IL"/>
        </w:rPr>
        <w:t>ion</w:t>
      </w:r>
      <w:r w:rsidRPr="00535349">
        <w:rPr>
          <w:rFonts w:asciiTheme="majorHAnsi" w:hAnsiTheme="majorHAnsi" w:cstheme="majorHAnsi"/>
          <w:lang w:val="en-AU" w:eastAsia="he-IL" w:bidi="he-IL"/>
        </w:rPr>
        <w:t xml:space="preserve"> to internal and external stakeholders for strategic mainstreaming in the long-term.</w:t>
      </w:r>
    </w:p>
    <w:p w14:paraId="59F2A9C8" w14:textId="150E338A" w:rsidR="008D0CAD" w:rsidRDefault="008D0CAD" w:rsidP="00B31C4E">
      <w:pPr>
        <w:spacing w:before="100" w:beforeAutospacing="1" w:after="100" w:afterAutospacing="1" w:line="360" w:lineRule="auto"/>
        <w:rPr>
          <w:rFonts w:asciiTheme="majorHAnsi" w:eastAsia="Calibri" w:hAnsiTheme="majorHAnsi" w:cstheme="majorHAnsi"/>
        </w:rPr>
      </w:pPr>
      <w:r>
        <w:rPr>
          <w:rFonts w:asciiTheme="majorHAnsi" w:hAnsiTheme="majorHAnsi" w:cstheme="majorHAnsi"/>
        </w:rPr>
        <w:t>To help DepEd respond to these challenges, the BEST Program PPMES interventions (</w:t>
      </w:r>
      <w:r w:rsidRPr="00963042">
        <w:rPr>
          <w:rFonts w:asciiTheme="majorHAnsi" w:hAnsiTheme="majorHAnsi" w:cstheme="majorHAnsi"/>
          <w:color w:val="000000" w:themeColor="text1"/>
        </w:rPr>
        <w:t>Policy, Planning, and Monitoring and Evaluation Systems</w:t>
      </w:r>
      <w:r>
        <w:rPr>
          <w:rFonts w:asciiTheme="majorHAnsi" w:hAnsiTheme="majorHAnsi" w:cstheme="majorHAnsi"/>
        </w:rPr>
        <w:t xml:space="preserve">) </w:t>
      </w:r>
      <w:r w:rsidRPr="0026147C">
        <w:rPr>
          <w:rFonts w:asciiTheme="majorHAnsi" w:hAnsiTheme="majorHAnsi" w:cstheme="majorHAnsi"/>
        </w:rPr>
        <w:t>focus</w:t>
      </w:r>
      <w:r>
        <w:rPr>
          <w:rFonts w:asciiTheme="majorHAnsi" w:hAnsiTheme="majorHAnsi" w:cstheme="majorHAnsi"/>
        </w:rPr>
        <w:t>ed</w:t>
      </w:r>
      <w:r w:rsidRPr="0026147C">
        <w:rPr>
          <w:rFonts w:asciiTheme="majorHAnsi" w:hAnsiTheme="majorHAnsi" w:cstheme="majorHAnsi"/>
        </w:rPr>
        <w:t xml:space="preserve"> on strengthening </w:t>
      </w:r>
      <w:r>
        <w:rPr>
          <w:rFonts w:asciiTheme="majorHAnsi" w:hAnsiTheme="majorHAnsi" w:cstheme="majorHAnsi"/>
        </w:rPr>
        <w:t>DepEd</w:t>
      </w:r>
      <w:r w:rsidRPr="0026147C">
        <w:rPr>
          <w:rFonts w:asciiTheme="majorHAnsi" w:hAnsiTheme="majorHAnsi" w:cstheme="majorHAnsi"/>
        </w:rPr>
        <w:t xml:space="preserve">’s capacity to undertake evidence-based policy development, program planning, management of service delivery, </w:t>
      </w:r>
      <w:r>
        <w:rPr>
          <w:rFonts w:asciiTheme="majorHAnsi" w:hAnsiTheme="majorHAnsi" w:cstheme="majorHAnsi"/>
        </w:rPr>
        <w:t>and</w:t>
      </w:r>
      <w:r w:rsidRPr="0026147C">
        <w:rPr>
          <w:rFonts w:asciiTheme="majorHAnsi" w:hAnsiTheme="majorHAnsi" w:cstheme="majorHAnsi"/>
        </w:rPr>
        <w:t xml:space="preserve"> monitoring and evaluation. </w:t>
      </w:r>
      <w:r>
        <w:rPr>
          <w:rFonts w:asciiTheme="majorHAnsi" w:hAnsiTheme="majorHAnsi" w:cstheme="majorHAnsi"/>
        </w:rPr>
        <w:t>T</w:t>
      </w:r>
      <w:r w:rsidRPr="0026147C">
        <w:rPr>
          <w:rFonts w:asciiTheme="majorHAnsi" w:hAnsiTheme="majorHAnsi" w:cstheme="majorHAnsi"/>
        </w:rPr>
        <w:t xml:space="preserve">echnical assistance </w:t>
      </w:r>
      <w:r>
        <w:rPr>
          <w:rFonts w:asciiTheme="majorHAnsi" w:hAnsiTheme="majorHAnsi" w:cstheme="majorHAnsi"/>
        </w:rPr>
        <w:t>and capacity building</w:t>
      </w:r>
      <w:r w:rsidRPr="0026147C">
        <w:rPr>
          <w:rFonts w:asciiTheme="majorHAnsi" w:hAnsiTheme="majorHAnsi" w:cstheme="majorHAnsi"/>
        </w:rPr>
        <w:t xml:space="preserve"> </w:t>
      </w:r>
      <w:r>
        <w:rPr>
          <w:rFonts w:asciiTheme="majorHAnsi" w:hAnsiTheme="majorHAnsi" w:cstheme="majorHAnsi"/>
        </w:rPr>
        <w:t>were provided for the</w:t>
      </w:r>
      <w:r w:rsidRPr="0026147C">
        <w:rPr>
          <w:rFonts w:asciiTheme="majorHAnsi" w:hAnsiTheme="majorHAnsi" w:cstheme="majorHAnsi"/>
        </w:rPr>
        <w:t xml:space="preserve"> design and development of systems and processes for policy and research, education planning </w:t>
      </w:r>
      <w:r>
        <w:rPr>
          <w:rFonts w:asciiTheme="majorHAnsi" w:hAnsiTheme="majorHAnsi" w:cstheme="majorHAnsi"/>
        </w:rPr>
        <w:t xml:space="preserve">at sector level </w:t>
      </w:r>
      <w:r w:rsidRPr="0026147C">
        <w:rPr>
          <w:rFonts w:asciiTheme="majorHAnsi" w:hAnsiTheme="majorHAnsi" w:cstheme="majorHAnsi"/>
        </w:rPr>
        <w:t xml:space="preserve">and </w:t>
      </w:r>
      <w:r>
        <w:rPr>
          <w:rFonts w:asciiTheme="majorHAnsi" w:hAnsiTheme="majorHAnsi" w:cstheme="majorHAnsi"/>
        </w:rPr>
        <w:t>Monitoring and Evaluation (</w:t>
      </w:r>
      <w:r w:rsidRPr="0026147C">
        <w:rPr>
          <w:rFonts w:asciiTheme="majorHAnsi" w:hAnsiTheme="majorHAnsi" w:cstheme="majorHAnsi"/>
        </w:rPr>
        <w:t>M&amp;E</w:t>
      </w:r>
      <w:r>
        <w:rPr>
          <w:rFonts w:asciiTheme="majorHAnsi" w:hAnsiTheme="majorHAnsi" w:cstheme="majorHAnsi"/>
        </w:rPr>
        <w:t>)</w:t>
      </w:r>
      <w:r w:rsidRPr="0026147C">
        <w:rPr>
          <w:rFonts w:asciiTheme="majorHAnsi" w:hAnsiTheme="majorHAnsi" w:cstheme="majorHAnsi"/>
        </w:rPr>
        <w:t>.</w:t>
      </w:r>
      <w:r w:rsidR="00D434EB">
        <w:rPr>
          <w:rFonts w:asciiTheme="majorHAnsi" w:hAnsiTheme="majorHAnsi" w:cstheme="majorHAnsi"/>
        </w:rPr>
        <w:t xml:space="preserve"> </w:t>
      </w:r>
      <w:r>
        <w:rPr>
          <w:rFonts w:asciiTheme="majorHAnsi" w:hAnsiTheme="majorHAnsi" w:cstheme="majorHAnsi"/>
        </w:rPr>
        <w:t>Program i</w:t>
      </w:r>
      <w:r w:rsidRPr="0026147C">
        <w:rPr>
          <w:rFonts w:asciiTheme="majorHAnsi" w:hAnsiTheme="majorHAnsi" w:cstheme="majorHAnsi"/>
        </w:rPr>
        <w:t xml:space="preserve">nputs </w:t>
      </w:r>
      <w:r>
        <w:rPr>
          <w:rFonts w:asciiTheme="majorHAnsi" w:hAnsiTheme="majorHAnsi" w:cstheme="majorHAnsi"/>
        </w:rPr>
        <w:t xml:space="preserve">also included the support to </w:t>
      </w:r>
      <w:r>
        <w:rPr>
          <w:rFonts w:asciiTheme="majorHAnsi" w:eastAsia="Calibri" w:hAnsiTheme="majorHAnsi" w:cstheme="majorHAnsi"/>
        </w:rPr>
        <w:t>s</w:t>
      </w:r>
      <w:r w:rsidRPr="00C62748">
        <w:rPr>
          <w:rFonts w:asciiTheme="majorHAnsi" w:eastAsia="Calibri" w:hAnsiTheme="majorHAnsi" w:cstheme="majorHAnsi"/>
        </w:rPr>
        <w:t>trengthen</w:t>
      </w:r>
      <w:r>
        <w:rPr>
          <w:rFonts w:asciiTheme="majorHAnsi" w:eastAsia="Calibri" w:hAnsiTheme="majorHAnsi" w:cstheme="majorHAnsi"/>
        </w:rPr>
        <w:t xml:space="preserve"> </w:t>
      </w:r>
      <w:r>
        <w:rPr>
          <w:rFonts w:asciiTheme="majorHAnsi" w:hAnsiTheme="majorHAnsi" w:cstheme="majorHAnsi"/>
        </w:rPr>
        <w:t>DepEd</w:t>
      </w:r>
      <w:r w:rsidRPr="0026147C">
        <w:rPr>
          <w:rFonts w:asciiTheme="majorHAnsi" w:hAnsiTheme="majorHAnsi" w:cstheme="majorHAnsi"/>
        </w:rPr>
        <w:t>’s</w:t>
      </w:r>
      <w:r>
        <w:rPr>
          <w:rFonts w:asciiTheme="majorHAnsi" w:eastAsia="Calibri" w:hAnsiTheme="majorHAnsi" w:cstheme="majorHAnsi"/>
        </w:rPr>
        <w:t xml:space="preserve"> </w:t>
      </w:r>
      <w:r w:rsidRPr="00C62748">
        <w:rPr>
          <w:rFonts w:asciiTheme="majorHAnsi" w:eastAsia="Calibri" w:hAnsiTheme="majorHAnsi" w:cstheme="majorHAnsi"/>
        </w:rPr>
        <w:t>Information Systems (refer to section on UIS</w:t>
      </w:r>
      <w:r>
        <w:rPr>
          <w:rFonts w:asciiTheme="majorHAnsi" w:eastAsia="Calibri" w:hAnsiTheme="majorHAnsi" w:cstheme="majorHAnsi"/>
        </w:rPr>
        <w:t>S</w:t>
      </w:r>
      <w:r w:rsidRPr="00C62748">
        <w:rPr>
          <w:rFonts w:asciiTheme="majorHAnsi" w:eastAsia="Calibri" w:hAnsiTheme="majorHAnsi" w:cstheme="majorHAnsi"/>
        </w:rPr>
        <w:t>).</w:t>
      </w:r>
    </w:p>
    <w:p w14:paraId="4D683865" w14:textId="5CDBE503" w:rsidR="008D0CAD" w:rsidRDefault="008D0CAD" w:rsidP="00DD08E3">
      <w:pPr>
        <w:pStyle w:val="Heading5"/>
        <w:numPr>
          <w:ilvl w:val="3"/>
          <w:numId w:val="171"/>
        </w:numPr>
        <w:spacing w:before="100" w:beforeAutospacing="1" w:after="100" w:afterAutospacing="1" w:line="360" w:lineRule="auto"/>
      </w:pPr>
      <w:r>
        <w:t>Policy and Planning</w:t>
      </w:r>
      <w:r w:rsidR="00D434EB">
        <w:t xml:space="preserve"> </w:t>
      </w:r>
    </w:p>
    <w:p w14:paraId="32485342" w14:textId="77777777" w:rsidR="008D0CAD" w:rsidRDefault="008D0CAD" w:rsidP="00B31C4E">
      <w:pPr>
        <w:spacing w:before="100" w:beforeAutospacing="1" w:after="100" w:afterAutospacing="1" w:line="360" w:lineRule="auto"/>
        <w:rPr>
          <w:rFonts w:asciiTheme="majorHAnsi" w:eastAsia="Calibri" w:hAnsiTheme="majorHAnsi" w:cstheme="majorHAnsi"/>
        </w:rPr>
      </w:pPr>
      <w:r>
        <w:rPr>
          <w:rFonts w:asciiTheme="majorHAnsi" w:eastAsia="Calibri" w:hAnsiTheme="majorHAnsi" w:cstheme="majorHAnsi"/>
        </w:rPr>
        <w:t>T</w:t>
      </w:r>
      <w:r w:rsidRPr="007435CF">
        <w:rPr>
          <w:rFonts w:asciiTheme="majorHAnsi" w:eastAsia="Calibri" w:hAnsiTheme="majorHAnsi" w:cstheme="majorHAnsi"/>
        </w:rPr>
        <w:t xml:space="preserve">he BEST Program </w:t>
      </w:r>
      <w:r>
        <w:rPr>
          <w:rFonts w:asciiTheme="majorHAnsi" w:eastAsia="Calibri" w:hAnsiTheme="majorHAnsi" w:cstheme="majorHAnsi"/>
        </w:rPr>
        <w:t>interventions under PPMES were concentrated in the Central Office, primarily the Planning Service.</w:t>
      </w:r>
    </w:p>
    <w:p w14:paraId="1BAED947" w14:textId="7AED808C" w:rsidR="008D0CAD" w:rsidRDefault="008D0CAD" w:rsidP="00B31C4E">
      <w:pPr>
        <w:spacing w:before="100" w:beforeAutospacing="1" w:after="100" w:afterAutospacing="1" w:line="360" w:lineRule="auto"/>
        <w:rPr>
          <w:rFonts w:asciiTheme="majorHAnsi" w:hAnsiTheme="majorHAnsi" w:cstheme="majorHAnsi"/>
          <w:color w:val="000000"/>
        </w:rPr>
      </w:pPr>
      <w:r>
        <w:rPr>
          <w:rFonts w:asciiTheme="majorHAnsi" w:eastAsia="Calibri" w:hAnsiTheme="majorHAnsi" w:cstheme="majorHAnsi"/>
        </w:rPr>
        <w:t>One policy formulated and issued with assistance from the BEST Program is</w:t>
      </w:r>
      <w:r w:rsidRPr="007435CF">
        <w:rPr>
          <w:rFonts w:asciiTheme="majorHAnsi" w:hAnsiTheme="majorHAnsi" w:cstheme="majorHAnsi"/>
        </w:rPr>
        <w:t xml:space="preserve"> </w:t>
      </w:r>
      <w:r>
        <w:rPr>
          <w:rFonts w:asciiTheme="majorHAnsi" w:hAnsiTheme="majorHAnsi" w:cstheme="majorHAnsi"/>
          <w:color w:val="000000" w:themeColor="text1"/>
        </w:rPr>
        <w:t>DepEd</w:t>
      </w:r>
      <w:r w:rsidRPr="007435CF">
        <w:rPr>
          <w:rFonts w:asciiTheme="majorHAnsi" w:hAnsiTheme="majorHAnsi" w:cstheme="majorHAnsi"/>
          <w:color w:val="000000" w:themeColor="text1"/>
        </w:rPr>
        <w:t xml:space="preserve"> Order No. 39, series of 2016, or the </w:t>
      </w:r>
      <w:r w:rsidRPr="007435CF">
        <w:rPr>
          <w:rFonts w:asciiTheme="majorHAnsi" w:hAnsiTheme="majorHAnsi" w:cstheme="majorHAnsi"/>
          <w:i/>
          <w:color w:val="000000" w:themeColor="text1"/>
        </w:rPr>
        <w:t>Adoption of the Basic Education Research Agenda</w:t>
      </w:r>
      <w:r>
        <w:rPr>
          <w:rFonts w:asciiTheme="majorHAnsi" w:hAnsiTheme="majorHAnsi" w:cstheme="majorHAnsi"/>
          <w:color w:val="000000" w:themeColor="text1"/>
        </w:rPr>
        <w:t xml:space="preserve">, which </w:t>
      </w:r>
      <w:r w:rsidRPr="007435CF">
        <w:rPr>
          <w:rFonts w:asciiTheme="majorHAnsi" w:hAnsiTheme="majorHAnsi" w:cstheme="majorHAnsi"/>
          <w:color w:val="000000" w:themeColor="text1"/>
        </w:rPr>
        <w:t>provide</w:t>
      </w:r>
      <w:r>
        <w:rPr>
          <w:rFonts w:asciiTheme="majorHAnsi" w:hAnsiTheme="majorHAnsi" w:cstheme="majorHAnsi"/>
          <w:color w:val="000000" w:themeColor="text1"/>
        </w:rPr>
        <w:t>d</w:t>
      </w:r>
      <w:r w:rsidRPr="007435CF">
        <w:rPr>
          <w:rFonts w:asciiTheme="majorHAnsi" w:hAnsiTheme="majorHAnsi" w:cstheme="majorHAnsi"/>
          <w:color w:val="000000" w:themeColor="text1"/>
        </w:rPr>
        <w:t xml:space="preserve"> “</w:t>
      </w:r>
      <w:r w:rsidRPr="00C50B93">
        <w:rPr>
          <w:rFonts w:asciiTheme="majorHAnsi" w:hAnsiTheme="majorHAnsi" w:cstheme="majorHAnsi"/>
          <w:i/>
          <w:iCs/>
          <w:color w:val="000000" w:themeColor="text1"/>
        </w:rPr>
        <w:t xml:space="preserve">guidance to </w:t>
      </w:r>
      <w:r>
        <w:rPr>
          <w:rFonts w:asciiTheme="majorHAnsi" w:hAnsiTheme="majorHAnsi" w:cstheme="majorHAnsi"/>
          <w:i/>
          <w:iCs/>
          <w:color w:val="000000" w:themeColor="text1"/>
        </w:rPr>
        <w:t>DepEd</w:t>
      </w:r>
      <w:r w:rsidRPr="00C50B93">
        <w:rPr>
          <w:rFonts w:asciiTheme="majorHAnsi" w:hAnsiTheme="majorHAnsi" w:cstheme="majorHAnsi"/>
          <w:i/>
          <w:iCs/>
          <w:color w:val="000000" w:themeColor="text1"/>
        </w:rPr>
        <w:t xml:space="preserve"> and its stakeholders in the conduct of education research and in the utili</w:t>
      </w:r>
      <w:r>
        <w:rPr>
          <w:rFonts w:asciiTheme="majorHAnsi" w:hAnsiTheme="majorHAnsi" w:cstheme="majorHAnsi"/>
          <w:i/>
          <w:iCs/>
          <w:color w:val="000000" w:themeColor="text1"/>
        </w:rPr>
        <w:t>s</w:t>
      </w:r>
      <w:r w:rsidRPr="00C50B93">
        <w:rPr>
          <w:rFonts w:asciiTheme="majorHAnsi" w:hAnsiTheme="majorHAnsi" w:cstheme="majorHAnsi"/>
          <w:i/>
          <w:iCs/>
          <w:color w:val="000000" w:themeColor="text1"/>
        </w:rPr>
        <w:t>ation of research results to inform the Department’s planning, policy, and program development aligned with its vision, mission, and core values</w:t>
      </w:r>
      <w:r>
        <w:rPr>
          <w:rFonts w:asciiTheme="majorHAnsi" w:hAnsiTheme="majorHAnsi" w:cstheme="majorHAnsi"/>
          <w:color w:val="000000" w:themeColor="text1"/>
        </w:rPr>
        <w:t>”</w:t>
      </w:r>
      <w:r w:rsidRPr="007435CF">
        <w:rPr>
          <w:rFonts w:asciiTheme="majorHAnsi" w:hAnsiTheme="majorHAnsi" w:cstheme="majorHAnsi"/>
          <w:color w:val="000000" w:themeColor="text1"/>
        </w:rPr>
        <w:t>.</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The following year, </w:t>
      </w:r>
      <w:r w:rsidRPr="00D755D3">
        <w:rPr>
          <w:rFonts w:asciiTheme="majorHAnsi" w:hAnsiTheme="majorHAnsi" w:cstheme="majorHAnsi"/>
          <w:color w:val="000000"/>
        </w:rPr>
        <w:t>DO 16 s. 2017</w:t>
      </w:r>
      <w:r w:rsidRPr="008C5731">
        <w:rPr>
          <w:rFonts w:asciiTheme="majorHAnsi" w:hAnsiTheme="majorHAnsi" w:cstheme="majorHAnsi"/>
          <w:color w:val="000000"/>
        </w:rPr>
        <w:t xml:space="preserve"> </w:t>
      </w:r>
      <w:r>
        <w:rPr>
          <w:rFonts w:asciiTheme="majorHAnsi" w:hAnsiTheme="majorHAnsi" w:cstheme="majorHAnsi"/>
          <w:color w:val="000000"/>
        </w:rPr>
        <w:t xml:space="preserve">on the </w:t>
      </w:r>
      <w:r w:rsidRPr="00D755D3">
        <w:rPr>
          <w:rFonts w:asciiTheme="majorHAnsi" w:hAnsiTheme="majorHAnsi" w:cstheme="majorHAnsi"/>
          <w:color w:val="000000"/>
        </w:rPr>
        <w:t>Research Management Guidelines</w:t>
      </w:r>
      <w:r>
        <w:rPr>
          <w:rFonts w:asciiTheme="majorHAnsi" w:hAnsiTheme="majorHAnsi" w:cstheme="majorHAnsi"/>
          <w:color w:val="000000"/>
        </w:rPr>
        <w:t xml:space="preserve"> was issued.</w:t>
      </w:r>
    </w:p>
    <w:p w14:paraId="1DD24B84" w14:textId="0469809C" w:rsidR="008D0CAD" w:rsidRPr="00C50B93" w:rsidRDefault="008D0CAD" w:rsidP="00B31C4E">
      <w:pPr>
        <w:spacing w:before="100" w:beforeAutospacing="1" w:after="100" w:afterAutospacing="1" w:line="360" w:lineRule="auto"/>
        <w:rPr>
          <w:rFonts w:asciiTheme="majorHAnsi" w:hAnsiTheme="majorHAnsi" w:cstheme="majorHAnsi"/>
          <w:color w:val="C00000"/>
        </w:rPr>
      </w:pPr>
      <w:r w:rsidRPr="00C50B93">
        <w:rPr>
          <w:rFonts w:asciiTheme="majorHAnsi" w:hAnsiTheme="majorHAnsi" w:cstheme="majorHAnsi"/>
          <w:color w:val="000000" w:themeColor="text1"/>
        </w:rPr>
        <w:t>However, diffusion of this policy is still</w:t>
      </w:r>
      <w:r>
        <w:rPr>
          <w:rFonts w:asciiTheme="majorHAnsi" w:hAnsiTheme="majorHAnsi" w:cstheme="majorHAnsi"/>
          <w:color w:val="000000" w:themeColor="text1"/>
        </w:rPr>
        <w:t xml:space="preserve"> quite</w:t>
      </w:r>
      <w:r w:rsidRPr="00C50B93">
        <w:rPr>
          <w:rFonts w:asciiTheme="majorHAnsi" w:hAnsiTheme="majorHAnsi" w:cstheme="majorHAnsi"/>
          <w:color w:val="000000" w:themeColor="text1"/>
        </w:rPr>
        <w:t xml:space="preserve"> limited. </w:t>
      </w:r>
      <w:r w:rsidRPr="00B1446C">
        <w:rPr>
          <w:rFonts w:asciiTheme="majorHAnsi" w:hAnsiTheme="majorHAnsi" w:cstheme="majorHAnsi"/>
          <w:color w:val="000000" w:themeColor="text1"/>
        </w:rPr>
        <w:t>Survey results</w:t>
      </w:r>
      <w:r>
        <w:rPr>
          <w:rStyle w:val="FootnoteReference"/>
          <w:rFonts w:asciiTheme="majorHAnsi" w:eastAsia="Arial Unicode MS" w:hAnsiTheme="majorHAnsi" w:cstheme="majorHAnsi"/>
          <w:color w:val="000000" w:themeColor="text1"/>
        </w:rPr>
        <w:footnoteReference w:id="61"/>
      </w:r>
      <w:r w:rsidRPr="00B1446C">
        <w:rPr>
          <w:rFonts w:asciiTheme="majorHAnsi" w:hAnsiTheme="majorHAnsi" w:cstheme="majorHAnsi"/>
          <w:color w:val="000000" w:themeColor="text1"/>
        </w:rPr>
        <w:t xml:space="preserve"> revealed </w:t>
      </w:r>
      <w:r>
        <w:rPr>
          <w:rFonts w:asciiTheme="majorHAnsi" w:hAnsiTheme="majorHAnsi" w:cstheme="majorHAnsi"/>
          <w:color w:val="000000" w:themeColor="text1"/>
        </w:rPr>
        <w:t xml:space="preserve">that </w:t>
      </w:r>
      <w:r w:rsidRPr="00B1446C">
        <w:rPr>
          <w:rFonts w:asciiTheme="majorHAnsi" w:hAnsiTheme="majorHAnsi" w:cstheme="majorHAnsi"/>
          <w:color w:val="000000" w:themeColor="text1"/>
        </w:rPr>
        <w:t xml:space="preserve">only 12 </w:t>
      </w:r>
      <w:r>
        <w:rPr>
          <w:rFonts w:asciiTheme="majorHAnsi" w:hAnsiTheme="majorHAnsi" w:cstheme="majorHAnsi"/>
          <w:color w:val="000000" w:themeColor="text1"/>
        </w:rPr>
        <w:t>per cent</w:t>
      </w:r>
      <w:r w:rsidRPr="00B1446C">
        <w:rPr>
          <w:rFonts w:asciiTheme="majorHAnsi" w:hAnsiTheme="majorHAnsi" w:cstheme="majorHAnsi"/>
          <w:color w:val="000000" w:themeColor="text1"/>
        </w:rPr>
        <w:t xml:space="preserve"> of </w:t>
      </w:r>
      <w:r>
        <w:rPr>
          <w:rFonts w:asciiTheme="majorHAnsi" w:hAnsiTheme="majorHAnsi" w:cstheme="majorHAnsi"/>
          <w:color w:val="000000" w:themeColor="text1"/>
        </w:rPr>
        <w:t>principals</w:t>
      </w:r>
      <w:r w:rsidRPr="00B1446C">
        <w:rPr>
          <w:rFonts w:asciiTheme="majorHAnsi" w:hAnsiTheme="majorHAnsi" w:cstheme="majorHAnsi"/>
          <w:color w:val="000000" w:themeColor="text1"/>
        </w:rPr>
        <w:t xml:space="preserve"> from </w:t>
      </w:r>
      <w:r>
        <w:rPr>
          <w:rFonts w:asciiTheme="majorHAnsi" w:hAnsiTheme="majorHAnsi" w:cstheme="majorHAnsi"/>
          <w:color w:val="000000" w:themeColor="text1"/>
        </w:rPr>
        <w:t>direct recipient schools</w:t>
      </w:r>
      <w:r w:rsidRPr="00B1446C">
        <w:rPr>
          <w:rFonts w:asciiTheme="majorHAnsi" w:hAnsiTheme="majorHAnsi" w:cstheme="majorHAnsi"/>
          <w:color w:val="000000" w:themeColor="text1"/>
        </w:rPr>
        <w:t xml:space="preserve"> </w:t>
      </w:r>
      <w:r>
        <w:rPr>
          <w:rFonts w:asciiTheme="majorHAnsi" w:hAnsiTheme="majorHAnsi" w:cstheme="majorHAnsi"/>
          <w:color w:val="000000" w:themeColor="text1"/>
        </w:rPr>
        <w:t>had</w:t>
      </w:r>
      <w:r w:rsidRPr="005F397C">
        <w:rPr>
          <w:rFonts w:asciiTheme="majorHAnsi" w:hAnsiTheme="majorHAnsi" w:cstheme="majorHAnsi"/>
          <w:color w:val="000000" w:themeColor="text1"/>
        </w:rPr>
        <w:t xml:space="preserve"> comprehensive knowledge of the policy and 19</w:t>
      </w:r>
      <w:r>
        <w:rPr>
          <w:rFonts w:asciiTheme="majorHAnsi" w:hAnsiTheme="majorHAnsi" w:cstheme="majorHAnsi"/>
          <w:color w:val="000000" w:themeColor="text1"/>
        </w:rPr>
        <w:t xml:space="preserve"> per cent</w:t>
      </w:r>
      <w:r w:rsidRPr="005F397C">
        <w:rPr>
          <w:rFonts w:asciiTheme="majorHAnsi" w:hAnsiTheme="majorHAnsi" w:cstheme="majorHAnsi"/>
          <w:color w:val="000000" w:themeColor="text1"/>
        </w:rPr>
        <w:t xml:space="preserve"> of </w:t>
      </w:r>
      <w:r>
        <w:rPr>
          <w:rFonts w:asciiTheme="majorHAnsi" w:hAnsiTheme="majorHAnsi" w:cstheme="majorHAnsi"/>
          <w:color w:val="000000" w:themeColor="text1"/>
        </w:rPr>
        <w:t>principals</w:t>
      </w:r>
      <w:r w:rsidRPr="005F397C">
        <w:rPr>
          <w:rFonts w:asciiTheme="majorHAnsi" w:hAnsiTheme="majorHAnsi" w:cstheme="majorHAnsi"/>
          <w:color w:val="000000" w:themeColor="text1"/>
        </w:rPr>
        <w:t xml:space="preserve"> </w:t>
      </w:r>
      <w:r>
        <w:rPr>
          <w:rFonts w:asciiTheme="majorHAnsi" w:hAnsiTheme="majorHAnsi" w:cstheme="majorHAnsi"/>
          <w:color w:val="000000" w:themeColor="text1"/>
        </w:rPr>
        <w:t>found</w:t>
      </w:r>
      <w:r w:rsidRPr="005F397C">
        <w:rPr>
          <w:rFonts w:asciiTheme="majorHAnsi" w:hAnsiTheme="majorHAnsi" w:cstheme="majorHAnsi"/>
          <w:color w:val="000000" w:themeColor="text1"/>
        </w:rPr>
        <w:t xml:space="preserve"> it extremely useful (refer also to Annex Y).</w:t>
      </w:r>
      <w:r w:rsidR="00D434EB">
        <w:rPr>
          <w:rFonts w:asciiTheme="majorHAnsi" w:hAnsiTheme="majorHAnsi" w:cstheme="majorHAnsi"/>
          <w:color w:val="000000" w:themeColor="text1"/>
        </w:rPr>
        <w:t xml:space="preserve"> </w:t>
      </w:r>
      <w:r w:rsidRPr="005F397C">
        <w:rPr>
          <w:rFonts w:asciiTheme="majorHAnsi" w:hAnsiTheme="majorHAnsi" w:cstheme="majorHAnsi"/>
          <w:color w:val="000000" w:themeColor="text1"/>
        </w:rPr>
        <w:t>The Follow-up research study mirrored this finding</w:t>
      </w:r>
      <w:r w:rsidRPr="005F397C">
        <w:rPr>
          <w:rStyle w:val="FootnoteReference"/>
          <w:rFonts w:asciiTheme="majorHAnsi" w:eastAsia="Arial Unicode MS" w:hAnsiTheme="majorHAnsi" w:cstheme="majorHAnsi"/>
          <w:color w:val="000000" w:themeColor="text1"/>
        </w:rPr>
        <w:footnoteReference w:id="62"/>
      </w:r>
      <w:r>
        <w:rPr>
          <w:rFonts w:asciiTheme="majorHAnsi" w:hAnsiTheme="majorHAnsi" w:cstheme="majorHAnsi"/>
          <w:color w:val="000000" w:themeColor="text1"/>
        </w:rPr>
        <w:t>:</w:t>
      </w:r>
      <w:r w:rsidRPr="005F397C">
        <w:rPr>
          <w:rFonts w:asciiTheme="majorHAnsi" w:hAnsiTheme="majorHAnsi" w:cstheme="majorHAnsi"/>
          <w:color w:val="000000" w:themeColor="text1"/>
        </w:rPr>
        <w:t xml:space="preserve"> only 25 </w:t>
      </w:r>
      <w:r>
        <w:rPr>
          <w:rFonts w:asciiTheme="majorHAnsi" w:hAnsiTheme="majorHAnsi" w:cstheme="majorHAnsi"/>
          <w:color w:val="000000" w:themeColor="text1"/>
        </w:rPr>
        <w:t>per cent</w:t>
      </w:r>
      <w:r w:rsidRPr="005F397C">
        <w:rPr>
          <w:rFonts w:asciiTheme="majorHAnsi" w:hAnsiTheme="majorHAnsi" w:cstheme="majorHAnsi"/>
          <w:color w:val="000000" w:themeColor="text1"/>
        </w:rPr>
        <w:t xml:space="preserve"> of </w:t>
      </w:r>
      <w:r>
        <w:rPr>
          <w:rFonts w:asciiTheme="majorHAnsi" w:hAnsiTheme="majorHAnsi" w:cstheme="majorHAnsi"/>
          <w:color w:val="000000" w:themeColor="text1"/>
        </w:rPr>
        <w:t>principals</w:t>
      </w:r>
      <w:r w:rsidRPr="005F397C">
        <w:rPr>
          <w:rFonts w:asciiTheme="majorHAnsi" w:hAnsiTheme="majorHAnsi" w:cstheme="majorHAnsi"/>
          <w:color w:val="000000" w:themeColor="text1"/>
        </w:rPr>
        <w:t xml:space="preserve"> had comprehensive </w:t>
      </w:r>
      <w:r w:rsidRPr="00B1446C">
        <w:rPr>
          <w:rFonts w:asciiTheme="majorHAnsi" w:hAnsiTheme="majorHAnsi" w:cstheme="majorHAnsi"/>
          <w:color w:val="000000" w:themeColor="text1"/>
        </w:rPr>
        <w:t xml:space="preserve">knowledge of this policy while 17 </w:t>
      </w:r>
      <w:r>
        <w:rPr>
          <w:rFonts w:asciiTheme="majorHAnsi" w:hAnsiTheme="majorHAnsi" w:cstheme="majorHAnsi"/>
          <w:color w:val="000000" w:themeColor="text1"/>
        </w:rPr>
        <w:t>per cent</w:t>
      </w:r>
      <w:r w:rsidRPr="00B1446C">
        <w:rPr>
          <w:rFonts w:asciiTheme="majorHAnsi" w:hAnsiTheme="majorHAnsi" w:cstheme="majorHAnsi"/>
          <w:color w:val="000000" w:themeColor="text1"/>
        </w:rPr>
        <w:t xml:space="preserve"> f</w:t>
      </w:r>
      <w:r>
        <w:rPr>
          <w:rFonts w:asciiTheme="majorHAnsi" w:hAnsiTheme="majorHAnsi" w:cstheme="majorHAnsi"/>
          <w:color w:val="000000" w:themeColor="text1"/>
        </w:rPr>
        <w:t>ou</w:t>
      </w:r>
      <w:r w:rsidRPr="00B1446C">
        <w:rPr>
          <w:rFonts w:asciiTheme="majorHAnsi" w:hAnsiTheme="majorHAnsi" w:cstheme="majorHAnsi"/>
          <w:color w:val="000000" w:themeColor="text1"/>
        </w:rPr>
        <w:t>nd it extremely useful</w:t>
      </w:r>
      <w:r>
        <w:rPr>
          <w:rFonts w:asciiTheme="majorHAnsi" w:hAnsiTheme="majorHAnsi" w:cstheme="majorHAnsi"/>
          <w:color w:val="C00000"/>
        </w:rPr>
        <w:t>.</w:t>
      </w:r>
    </w:p>
    <w:p w14:paraId="27A7CED0" w14:textId="77777777" w:rsidR="008D0CAD" w:rsidRPr="00040FA2" w:rsidRDefault="008D0CAD" w:rsidP="00B31C4E">
      <w:pPr>
        <w:spacing w:before="100" w:beforeAutospacing="1" w:after="100" w:afterAutospacing="1" w:line="360" w:lineRule="auto"/>
        <w:rPr>
          <w:rFonts w:asciiTheme="majorHAnsi" w:hAnsiTheme="majorHAnsi" w:cstheme="majorHAnsi"/>
          <w:color w:val="000000"/>
        </w:rPr>
      </w:pPr>
      <w:r w:rsidRPr="00040FA2">
        <w:rPr>
          <w:rFonts w:asciiTheme="majorHAnsi" w:eastAsia="Calibri" w:hAnsiTheme="majorHAnsi" w:cstheme="majorHAnsi"/>
        </w:rPr>
        <w:t>Drafts of two other policy instruments were completed with assistance from the BEST program and are awaiting promulgat</w:t>
      </w:r>
      <w:r w:rsidRPr="00686987">
        <w:rPr>
          <w:rFonts w:asciiTheme="majorHAnsi" w:eastAsia="Calibri" w:hAnsiTheme="majorHAnsi" w:cstheme="majorHAnsi"/>
        </w:rPr>
        <w:t>ion</w:t>
      </w:r>
      <w:r w:rsidRPr="00040FA2">
        <w:rPr>
          <w:rFonts w:asciiTheme="majorHAnsi" w:eastAsia="Calibri" w:hAnsiTheme="majorHAnsi" w:cstheme="majorHAnsi"/>
        </w:rPr>
        <w:t xml:space="preserve">: </w:t>
      </w:r>
      <w:r w:rsidRPr="00040FA2">
        <w:rPr>
          <w:rFonts w:asciiTheme="majorHAnsi" w:hAnsiTheme="majorHAnsi" w:cstheme="majorHAnsi"/>
          <w:color w:val="000000"/>
        </w:rPr>
        <w:t xml:space="preserve">Basic Education Monitoring and Evaluation Framework (BEMEF) Policy; </w:t>
      </w:r>
      <w:r w:rsidRPr="00040FA2">
        <w:rPr>
          <w:rFonts w:asciiTheme="majorHAnsi" w:hAnsiTheme="majorHAnsi" w:cstheme="majorHAnsi"/>
          <w:color w:val="000000" w:themeColor="text1"/>
        </w:rPr>
        <w:t>and</w:t>
      </w:r>
      <w:r w:rsidRPr="00040FA2">
        <w:rPr>
          <w:rFonts w:asciiTheme="majorHAnsi" w:hAnsiTheme="majorHAnsi" w:cstheme="majorHAnsi"/>
          <w:color w:val="000000"/>
        </w:rPr>
        <w:t xml:space="preserve"> </w:t>
      </w:r>
      <w:r w:rsidRPr="00040FA2">
        <w:rPr>
          <w:rFonts w:asciiTheme="majorHAnsi" w:hAnsiTheme="majorHAnsi" w:cstheme="majorHAnsi"/>
          <w:color w:val="000000" w:themeColor="text1"/>
        </w:rPr>
        <w:t xml:space="preserve">the </w:t>
      </w:r>
      <w:r w:rsidRPr="00686987">
        <w:rPr>
          <w:rFonts w:asciiTheme="majorHAnsi" w:hAnsiTheme="majorHAnsi" w:cstheme="majorHAnsi"/>
          <w:color w:val="000000"/>
        </w:rPr>
        <w:t xml:space="preserve">draft policy </w:t>
      </w:r>
      <w:r w:rsidRPr="00040FA2">
        <w:rPr>
          <w:rFonts w:asciiTheme="majorHAnsi" w:hAnsiTheme="majorHAnsi" w:cstheme="majorHAnsi"/>
          <w:color w:val="000000"/>
        </w:rPr>
        <w:t>on Development Partners Coordination Mechanism.</w:t>
      </w:r>
      <w:r>
        <w:rPr>
          <w:rStyle w:val="FootnoteReference"/>
          <w:rFonts w:asciiTheme="majorHAnsi" w:eastAsia="Arial Unicode MS" w:hAnsiTheme="majorHAnsi" w:cstheme="majorHAnsi"/>
          <w:color w:val="000000"/>
        </w:rPr>
        <w:footnoteReference w:id="63"/>
      </w:r>
    </w:p>
    <w:p w14:paraId="6BB5BC74" w14:textId="2DCE7838" w:rsidR="008D0CAD" w:rsidRDefault="008D0CAD" w:rsidP="00B31C4E">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color w:val="000000" w:themeColor="text1"/>
        </w:rPr>
        <w:t xml:space="preserve">However, respondents were still asked about two of these instruments. </w:t>
      </w:r>
      <w:r w:rsidRPr="002522CF">
        <w:rPr>
          <w:rFonts w:asciiTheme="majorHAnsi" w:hAnsiTheme="majorHAnsi" w:cstheme="majorHAnsi"/>
          <w:color w:val="000000" w:themeColor="text1"/>
        </w:rPr>
        <w:t>Survey results</w:t>
      </w:r>
      <w:r>
        <w:rPr>
          <w:rStyle w:val="FootnoteReference"/>
          <w:rFonts w:asciiTheme="majorHAnsi" w:eastAsia="Arial Unicode MS" w:hAnsiTheme="majorHAnsi" w:cstheme="majorHAnsi"/>
          <w:color w:val="000000" w:themeColor="text1"/>
        </w:rPr>
        <w:footnoteReference w:id="64"/>
      </w:r>
      <w:r w:rsidRPr="002522CF">
        <w:rPr>
          <w:rFonts w:asciiTheme="majorHAnsi" w:hAnsiTheme="majorHAnsi" w:cstheme="majorHAnsi"/>
          <w:color w:val="000000" w:themeColor="text1"/>
        </w:rPr>
        <w:t xml:space="preserve"> revealed </w:t>
      </w:r>
      <w:r>
        <w:rPr>
          <w:rFonts w:asciiTheme="majorHAnsi" w:hAnsiTheme="majorHAnsi" w:cstheme="majorHAnsi"/>
          <w:color w:val="000000" w:themeColor="text1"/>
        </w:rPr>
        <w:t>that only 8 per cent</w:t>
      </w:r>
      <w:r w:rsidRPr="002522CF">
        <w:rPr>
          <w:rFonts w:asciiTheme="majorHAnsi" w:hAnsiTheme="majorHAnsi" w:cstheme="majorHAnsi"/>
          <w:color w:val="000000" w:themeColor="text1"/>
        </w:rPr>
        <w:t xml:space="preserve"> </w:t>
      </w:r>
      <w:r>
        <w:rPr>
          <w:rFonts w:asciiTheme="majorHAnsi" w:hAnsiTheme="majorHAnsi" w:cstheme="majorHAnsi"/>
          <w:color w:val="000000" w:themeColor="text1"/>
        </w:rPr>
        <w:t>of principals</w:t>
      </w:r>
      <w:r w:rsidRPr="002522CF">
        <w:rPr>
          <w:rFonts w:asciiTheme="majorHAnsi" w:hAnsiTheme="majorHAnsi" w:cstheme="majorHAnsi"/>
          <w:color w:val="000000" w:themeColor="text1"/>
        </w:rPr>
        <w:t xml:space="preserve"> had comprehensive knowledge </w:t>
      </w:r>
      <w:r>
        <w:rPr>
          <w:rFonts w:asciiTheme="majorHAnsi" w:hAnsiTheme="majorHAnsi" w:cstheme="majorHAnsi"/>
          <w:color w:val="000000" w:themeColor="text1"/>
        </w:rPr>
        <w:t xml:space="preserve">of </w:t>
      </w:r>
      <w:r w:rsidRPr="002522CF">
        <w:rPr>
          <w:rFonts w:asciiTheme="majorHAnsi" w:hAnsiTheme="majorHAnsi" w:cstheme="majorHAnsi"/>
          <w:color w:val="000000" w:themeColor="text1"/>
        </w:rPr>
        <w:t xml:space="preserve">BEMEF </w:t>
      </w:r>
      <w:r>
        <w:rPr>
          <w:rFonts w:asciiTheme="majorHAnsi" w:hAnsiTheme="majorHAnsi" w:cstheme="majorHAnsi"/>
          <w:color w:val="000000" w:themeColor="text1"/>
        </w:rPr>
        <w:t>while</w:t>
      </w:r>
      <w:r w:rsidRPr="002522CF">
        <w:rPr>
          <w:rFonts w:asciiTheme="majorHAnsi" w:hAnsiTheme="majorHAnsi" w:cstheme="majorHAnsi"/>
          <w:color w:val="000000" w:themeColor="text1"/>
        </w:rPr>
        <w:t xml:space="preserve"> 23</w:t>
      </w:r>
      <w:r>
        <w:rPr>
          <w:rFonts w:asciiTheme="majorHAnsi" w:hAnsiTheme="majorHAnsi" w:cstheme="majorHAnsi"/>
          <w:color w:val="000000" w:themeColor="text1"/>
        </w:rPr>
        <w:t xml:space="preserve"> per cent of them</w:t>
      </w:r>
      <w:r w:rsidRPr="002522CF">
        <w:rPr>
          <w:rFonts w:asciiTheme="majorHAnsi" w:hAnsiTheme="majorHAnsi" w:cstheme="majorHAnsi"/>
          <w:color w:val="000000" w:themeColor="text1"/>
        </w:rPr>
        <w:t xml:space="preserve"> find it useful</w:t>
      </w:r>
      <w:r>
        <w:rPr>
          <w:rFonts w:asciiTheme="majorHAnsi" w:hAnsiTheme="majorHAnsi" w:cstheme="majorHAnsi"/>
          <w:color w:val="000000" w:themeColor="text1"/>
        </w:rPr>
        <w:t>.</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Also, </w:t>
      </w:r>
      <w:r w:rsidRPr="002522CF">
        <w:rPr>
          <w:rFonts w:asciiTheme="majorHAnsi" w:hAnsiTheme="majorHAnsi" w:cstheme="majorHAnsi"/>
          <w:color w:val="000000" w:themeColor="text1"/>
        </w:rPr>
        <w:t xml:space="preserve">8 </w:t>
      </w:r>
      <w:r>
        <w:rPr>
          <w:rFonts w:asciiTheme="majorHAnsi" w:hAnsiTheme="majorHAnsi" w:cstheme="majorHAnsi"/>
          <w:color w:val="000000" w:themeColor="text1"/>
        </w:rPr>
        <w:t>per cent</w:t>
      </w:r>
      <w:r w:rsidRPr="002522CF">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of principals </w:t>
      </w:r>
      <w:r w:rsidRPr="002522CF">
        <w:rPr>
          <w:rFonts w:asciiTheme="majorHAnsi" w:hAnsiTheme="majorHAnsi" w:cstheme="majorHAnsi"/>
          <w:color w:val="000000" w:themeColor="text1"/>
        </w:rPr>
        <w:t xml:space="preserve">had comprehensive knowledge </w:t>
      </w:r>
      <w:r>
        <w:rPr>
          <w:rFonts w:asciiTheme="majorHAnsi" w:hAnsiTheme="majorHAnsi" w:cstheme="majorHAnsi"/>
          <w:color w:val="000000" w:themeColor="text1"/>
        </w:rPr>
        <w:t xml:space="preserve">of </w:t>
      </w:r>
      <w:r w:rsidRPr="002522CF">
        <w:rPr>
          <w:rFonts w:asciiTheme="majorHAnsi" w:hAnsiTheme="majorHAnsi" w:cstheme="majorHAnsi"/>
          <w:color w:val="000000" w:themeColor="text1"/>
        </w:rPr>
        <w:t xml:space="preserve">PBS </w:t>
      </w:r>
      <w:r>
        <w:rPr>
          <w:rFonts w:asciiTheme="majorHAnsi" w:hAnsiTheme="majorHAnsi" w:cstheme="majorHAnsi"/>
          <w:color w:val="000000" w:themeColor="text1"/>
        </w:rPr>
        <w:t>while</w:t>
      </w:r>
      <w:r w:rsidRPr="002522CF">
        <w:rPr>
          <w:rFonts w:asciiTheme="majorHAnsi" w:hAnsiTheme="majorHAnsi" w:cstheme="majorHAnsi"/>
          <w:color w:val="000000" w:themeColor="text1"/>
        </w:rPr>
        <w:t xml:space="preserve"> 31</w:t>
      </w:r>
      <w:r>
        <w:rPr>
          <w:rFonts w:asciiTheme="majorHAnsi" w:hAnsiTheme="majorHAnsi" w:cstheme="majorHAnsi"/>
          <w:color w:val="000000" w:themeColor="text1"/>
        </w:rPr>
        <w:t xml:space="preserve"> per </w:t>
      </w:r>
      <w:r w:rsidR="004A657A">
        <w:rPr>
          <w:rFonts w:asciiTheme="majorHAnsi" w:hAnsiTheme="majorHAnsi" w:cstheme="majorHAnsi"/>
          <w:color w:val="000000" w:themeColor="text1"/>
        </w:rPr>
        <w:t>cent</w:t>
      </w:r>
      <w:r w:rsidR="004A657A" w:rsidRPr="002522CF">
        <w:rPr>
          <w:rFonts w:asciiTheme="majorHAnsi" w:hAnsiTheme="majorHAnsi" w:cstheme="majorHAnsi"/>
          <w:color w:val="000000" w:themeColor="text1"/>
        </w:rPr>
        <w:t xml:space="preserve"> of</w:t>
      </w:r>
      <w:r>
        <w:rPr>
          <w:rFonts w:asciiTheme="majorHAnsi" w:hAnsiTheme="majorHAnsi" w:cstheme="majorHAnsi"/>
          <w:color w:val="000000" w:themeColor="text1"/>
        </w:rPr>
        <w:t xml:space="preserve"> them</w:t>
      </w:r>
      <w:r w:rsidRPr="002522CF">
        <w:rPr>
          <w:rFonts w:asciiTheme="majorHAnsi" w:hAnsiTheme="majorHAnsi" w:cstheme="majorHAnsi"/>
          <w:color w:val="000000" w:themeColor="text1"/>
        </w:rPr>
        <w:t xml:space="preserve"> found it useful</w:t>
      </w:r>
      <w:r>
        <w:rPr>
          <w:rFonts w:asciiTheme="majorHAnsi" w:hAnsiTheme="majorHAnsi" w:cstheme="majorHAnsi"/>
          <w:color w:val="000000" w:themeColor="text1"/>
        </w:rPr>
        <w:t>.</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The low level of knowledge is expected because these instruments were directed at the CO/RO/DO governance levels.</w:t>
      </w:r>
    </w:p>
    <w:p w14:paraId="360BA581" w14:textId="77777777" w:rsidR="008D0CAD" w:rsidRPr="002522CF" w:rsidRDefault="008D0CAD" w:rsidP="00B31C4E">
      <w:pPr>
        <w:spacing w:before="100" w:beforeAutospacing="1" w:after="100" w:afterAutospacing="1" w:line="360" w:lineRule="auto"/>
        <w:rPr>
          <w:rFonts w:asciiTheme="majorHAnsi" w:hAnsiTheme="majorHAnsi" w:cstheme="majorHAnsi"/>
        </w:rPr>
      </w:pPr>
      <w:r>
        <w:rPr>
          <w:rFonts w:asciiTheme="majorHAnsi" w:hAnsiTheme="majorHAnsi" w:cstheme="majorHAnsi"/>
        </w:rPr>
        <w:t>As one RO respondent noted, “</w:t>
      </w:r>
      <w:r w:rsidRPr="00B664F5">
        <w:rPr>
          <w:rFonts w:asciiTheme="majorHAnsi" w:hAnsiTheme="majorHAnsi" w:cstheme="majorHAnsi"/>
          <w:i/>
        </w:rPr>
        <w:t xml:space="preserve">The contribution of BEST is that it strengthened and enhanced the systems and processes existing already in </w:t>
      </w:r>
      <w:r>
        <w:rPr>
          <w:rFonts w:asciiTheme="majorHAnsi" w:hAnsiTheme="majorHAnsi" w:cstheme="majorHAnsi"/>
          <w:i/>
        </w:rPr>
        <w:t>DepEd</w:t>
      </w:r>
      <w:r w:rsidRPr="00B664F5">
        <w:rPr>
          <w:rFonts w:asciiTheme="majorHAnsi" w:hAnsiTheme="majorHAnsi" w:cstheme="majorHAnsi"/>
          <w:i/>
        </w:rPr>
        <w:t>. There is now a set direction as to what to do and the systems and processes are now in place</w:t>
      </w:r>
      <w:r w:rsidRPr="008C5731">
        <w:rPr>
          <w:rFonts w:asciiTheme="majorHAnsi" w:hAnsiTheme="majorHAnsi" w:cstheme="majorHAnsi"/>
        </w:rPr>
        <w:t>.</w:t>
      </w:r>
      <w:r>
        <w:rPr>
          <w:rFonts w:asciiTheme="majorHAnsi" w:hAnsiTheme="majorHAnsi" w:cstheme="majorHAnsi"/>
        </w:rPr>
        <w:t>”</w:t>
      </w:r>
    </w:p>
    <w:p w14:paraId="77D906F9" w14:textId="7274547A" w:rsidR="008D0CAD" w:rsidRPr="002C2F64" w:rsidRDefault="008D0CAD" w:rsidP="00DD08E3">
      <w:pPr>
        <w:pStyle w:val="Heading5"/>
        <w:numPr>
          <w:ilvl w:val="3"/>
          <w:numId w:val="165"/>
        </w:numPr>
        <w:spacing w:before="100" w:beforeAutospacing="1" w:after="100" w:afterAutospacing="1" w:line="360" w:lineRule="auto"/>
      </w:pPr>
      <w:bookmarkStart w:id="143" w:name="_Toc13216287"/>
      <w:r w:rsidRPr="00F216F5">
        <w:t>Monitoring &amp; Evaluation</w:t>
      </w:r>
      <w:bookmarkEnd w:id="143"/>
    </w:p>
    <w:p w14:paraId="5BED78BD" w14:textId="1272D144" w:rsidR="008D0CAD" w:rsidRPr="00440E13" w:rsidRDefault="008D0CAD" w:rsidP="00B31C4E">
      <w:pPr>
        <w:spacing w:before="100" w:beforeAutospacing="1" w:after="100" w:afterAutospacing="1" w:line="360" w:lineRule="auto"/>
        <w:rPr>
          <w:rFonts w:asciiTheme="majorHAnsi" w:hAnsiTheme="majorHAnsi" w:cstheme="majorHAnsi"/>
          <w:color w:val="C00000"/>
        </w:rPr>
      </w:pPr>
      <w:r w:rsidRPr="00C62748">
        <w:rPr>
          <w:rFonts w:asciiTheme="majorHAnsi" w:hAnsiTheme="majorHAnsi" w:cstheme="majorHAnsi"/>
        </w:rPr>
        <w:t xml:space="preserve">To further </w:t>
      </w:r>
      <w:r>
        <w:rPr>
          <w:rFonts w:asciiTheme="majorHAnsi" w:eastAsia="Calibri" w:hAnsiTheme="majorHAnsi" w:cstheme="majorHAnsi"/>
        </w:rPr>
        <w:t>the pursuit of e</w:t>
      </w:r>
      <w:r w:rsidRPr="00E366EE">
        <w:rPr>
          <w:rFonts w:asciiTheme="majorHAnsi" w:eastAsia="Calibri" w:hAnsiTheme="majorHAnsi" w:cstheme="majorHAnsi"/>
        </w:rPr>
        <w:t>vidence-</w:t>
      </w:r>
      <w:r>
        <w:rPr>
          <w:rFonts w:asciiTheme="majorHAnsi" w:eastAsia="Calibri" w:hAnsiTheme="majorHAnsi" w:cstheme="majorHAnsi"/>
        </w:rPr>
        <w:t>b</w:t>
      </w:r>
      <w:r w:rsidRPr="00E366EE">
        <w:rPr>
          <w:rFonts w:asciiTheme="majorHAnsi" w:eastAsia="Calibri" w:hAnsiTheme="majorHAnsi" w:cstheme="majorHAnsi"/>
        </w:rPr>
        <w:t xml:space="preserve">ased </w:t>
      </w:r>
      <w:r>
        <w:rPr>
          <w:rFonts w:asciiTheme="majorHAnsi" w:eastAsia="Calibri" w:hAnsiTheme="majorHAnsi" w:cstheme="majorHAnsi"/>
        </w:rPr>
        <w:t>p</w:t>
      </w:r>
      <w:r w:rsidRPr="00E366EE">
        <w:rPr>
          <w:rFonts w:asciiTheme="majorHAnsi" w:eastAsia="Calibri" w:hAnsiTheme="majorHAnsi" w:cstheme="majorHAnsi"/>
        </w:rPr>
        <w:t xml:space="preserve">olicy </w:t>
      </w:r>
      <w:r>
        <w:rPr>
          <w:rFonts w:asciiTheme="majorHAnsi" w:eastAsia="Calibri" w:hAnsiTheme="majorHAnsi" w:cstheme="majorHAnsi"/>
        </w:rPr>
        <w:t>and plan d</w:t>
      </w:r>
      <w:r w:rsidRPr="00E366EE">
        <w:rPr>
          <w:rFonts w:asciiTheme="majorHAnsi" w:eastAsia="Calibri" w:hAnsiTheme="majorHAnsi" w:cstheme="majorHAnsi"/>
        </w:rPr>
        <w:t>evelopment</w:t>
      </w:r>
      <w:r w:rsidRPr="00C62748">
        <w:rPr>
          <w:rFonts w:asciiTheme="majorHAnsi" w:hAnsiTheme="majorHAnsi" w:cstheme="majorHAnsi"/>
        </w:rPr>
        <w:t xml:space="preserve">, the Monitoring, Evaluation and Adjustment (MEA) </w:t>
      </w:r>
      <w:r>
        <w:rPr>
          <w:rFonts w:asciiTheme="majorHAnsi" w:hAnsiTheme="majorHAnsi" w:cstheme="majorHAnsi"/>
        </w:rPr>
        <w:t xml:space="preserve">framework </w:t>
      </w:r>
      <w:r w:rsidRPr="00C62748">
        <w:rPr>
          <w:rFonts w:asciiTheme="majorHAnsi" w:hAnsiTheme="majorHAnsi" w:cstheme="majorHAnsi"/>
        </w:rPr>
        <w:t>was introduced across governance levels to include:</w:t>
      </w:r>
      <w:r w:rsidR="00D434EB">
        <w:rPr>
          <w:rFonts w:asciiTheme="majorHAnsi" w:hAnsiTheme="majorHAnsi" w:cstheme="majorHAnsi"/>
        </w:rPr>
        <w:t xml:space="preserve"> </w:t>
      </w:r>
      <w:r w:rsidRPr="00C62748">
        <w:rPr>
          <w:rFonts w:asciiTheme="majorHAnsi" w:hAnsiTheme="majorHAnsi" w:cstheme="majorHAnsi"/>
        </w:rPr>
        <w:t>the Regional Monitoring, Evaluation and Adjustment (RMEA)</w:t>
      </w:r>
      <w:r>
        <w:rPr>
          <w:rFonts w:asciiTheme="majorHAnsi" w:hAnsiTheme="majorHAnsi" w:cstheme="majorHAnsi"/>
        </w:rPr>
        <w:t>;</w:t>
      </w:r>
      <w:r w:rsidRPr="00C62748">
        <w:rPr>
          <w:rFonts w:asciiTheme="majorHAnsi" w:hAnsiTheme="majorHAnsi" w:cstheme="majorHAnsi"/>
        </w:rPr>
        <w:t xml:space="preserve"> Division Monitoring, Evaluation and Adjustment (DMEA)</w:t>
      </w:r>
      <w:r>
        <w:rPr>
          <w:rFonts w:asciiTheme="majorHAnsi" w:hAnsiTheme="majorHAnsi" w:cstheme="majorHAnsi"/>
        </w:rPr>
        <w:t>;</w:t>
      </w:r>
      <w:r w:rsidRPr="00C62748">
        <w:rPr>
          <w:rFonts w:asciiTheme="majorHAnsi" w:hAnsiTheme="majorHAnsi" w:cstheme="majorHAnsi"/>
        </w:rPr>
        <w:t xml:space="preserve"> District Monitoring, Evaluation and Adjustment (DsMEA)</w:t>
      </w:r>
      <w:r>
        <w:rPr>
          <w:rFonts w:asciiTheme="majorHAnsi" w:hAnsiTheme="majorHAnsi" w:cstheme="majorHAnsi"/>
        </w:rPr>
        <w:t>;</w:t>
      </w:r>
      <w:r w:rsidRPr="00C62748">
        <w:rPr>
          <w:rFonts w:asciiTheme="majorHAnsi" w:hAnsiTheme="majorHAnsi" w:cstheme="majorHAnsi"/>
        </w:rPr>
        <w:t xml:space="preserve"> and </w:t>
      </w:r>
      <w:r>
        <w:rPr>
          <w:rFonts w:asciiTheme="majorHAnsi" w:hAnsiTheme="majorHAnsi" w:cstheme="majorHAnsi"/>
        </w:rPr>
        <w:t xml:space="preserve">the </w:t>
      </w:r>
      <w:r w:rsidRPr="00C62748">
        <w:rPr>
          <w:rFonts w:asciiTheme="majorHAnsi" w:hAnsiTheme="majorHAnsi" w:cstheme="majorHAnsi"/>
        </w:rPr>
        <w:t>School Monitoring, Evaluation and Adjustment (SMEA).</w:t>
      </w:r>
      <w:r w:rsidR="00D434EB">
        <w:rPr>
          <w:rFonts w:asciiTheme="majorHAnsi" w:hAnsiTheme="majorHAnsi" w:cstheme="majorHAnsi"/>
        </w:rPr>
        <w:t xml:space="preserve"> </w:t>
      </w:r>
      <w:r w:rsidRPr="00063322">
        <w:rPr>
          <w:rFonts w:asciiTheme="majorHAnsi" w:hAnsiTheme="majorHAnsi" w:cstheme="majorHAnsi"/>
        </w:rPr>
        <w:t xml:space="preserve">The MEA framework </w:t>
      </w:r>
      <w:r w:rsidRPr="007D6909">
        <w:rPr>
          <w:rFonts w:asciiTheme="majorHAnsi" w:hAnsiTheme="majorHAnsi" w:cstheme="majorHAnsi"/>
        </w:rPr>
        <w:t>was an intervention that started with another Program (</w:t>
      </w:r>
      <w:r w:rsidRPr="000C77DB">
        <w:rPr>
          <w:rFonts w:asciiTheme="majorHAnsi" w:hAnsiTheme="majorHAnsi" w:cstheme="majorHAnsi"/>
        </w:rPr>
        <w:t>implemented from 2005-2011</w:t>
      </w:r>
      <w:r w:rsidRPr="000C77DB">
        <w:rPr>
          <w:rFonts w:asciiTheme="majorHAnsi" w:hAnsiTheme="majorHAnsi" w:cstheme="majorHAnsi"/>
          <w:sz w:val="22"/>
          <w:szCs w:val="22"/>
        </w:rPr>
        <w:t xml:space="preserve">) </w:t>
      </w:r>
      <w:r w:rsidRPr="007D6909">
        <w:rPr>
          <w:rFonts w:asciiTheme="majorHAnsi" w:hAnsiTheme="majorHAnsi" w:cstheme="majorHAnsi"/>
        </w:rPr>
        <w:t>funded by the Australian Government called Strengthening Implementation of Visayas Education (STRIVE).</w:t>
      </w:r>
      <w:r w:rsidRPr="007D6909">
        <w:rPr>
          <w:rStyle w:val="FootnoteReference"/>
          <w:rFonts w:asciiTheme="majorHAnsi" w:eastAsia="Arial Unicode MS" w:hAnsiTheme="majorHAnsi" w:cstheme="majorHAnsi"/>
        </w:rPr>
        <w:footnoteReference w:id="65"/>
      </w:r>
    </w:p>
    <w:p w14:paraId="403DD549" w14:textId="092E0930" w:rsidR="008D0CAD" w:rsidRPr="00D96A28" w:rsidRDefault="008D0CAD" w:rsidP="00B31C4E">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webHidden/>
          <w:color w:val="000000" w:themeColor="text1"/>
        </w:rPr>
        <w:t xml:space="preserve">As revealed in the FGDs, all BEST supported regions recognised the difficulties of collecting school-level </w:t>
      </w:r>
      <w:r w:rsidRPr="00D46A7F">
        <w:rPr>
          <w:rFonts w:asciiTheme="majorHAnsi" w:hAnsiTheme="majorHAnsi" w:cstheme="majorHAnsi"/>
          <w:webHidden/>
          <w:color w:val="000000" w:themeColor="text1"/>
        </w:rPr>
        <w:t xml:space="preserve">data for use in planning and policy and for reporting </w:t>
      </w:r>
      <w:r w:rsidRPr="00D46A7F">
        <w:rPr>
          <w:rFonts w:asciiTheme="majorHAnsi" w:hAnsiTheme="majorHAnsi" w:cstheme="majorHAnsi"/>
          <w:color w:val="000000" w:themeColor="text1"/>
        </w:rPr>
        <w:t xml:space="preserve">physical accomplishments to DBM </w:t>
      </w:r>
      <w:r w:rsidRPr="00D46A7F">
        <w:rPr>
          <w:rFonts w:asciiTheme="majorHAnsi" w:hAnsiTheme="majorHAnsi" w:cstheme="majorHAnsi"/>
          <w:webHidden/>
          <w:color w:val="000000" w:themeColor="text1"/>
        </w:rPr>
        <w:t>in the past</w:t>
      </w:r>
      <w:r>
        <w:rPr>
          <w:rFonts w:asciiTheme="majorHAnsi" w:hAnsiTheme="majorHAnsi" w:cstheme="majorHAnsi"/>
          <w:webHidden/>
          <w:color w:val="000000" w:themeColor="text1"/>
        </w:rPr>
        <w:t xml:space="preserve"> years</w:t>
      </w:r>
      <w:r w:rsidRPr="00D46A7F">
        <w:rPr>
          <w:rFonts w:asciiTheme="majorHAnsi" w:hAnsiTheme="majorHAnsi" w:cstheme="majorHAnsi"/>
          <w:webHidden/>
          <w:color w:val="000000" w:themeColor="text1"/>
        </w:rPr>
        <w:t>.</w:t>
      </w:r>
      <w:r w:rsidR="00D434EB">
        <w:rPr>
          <w:rFonts w:asciiTheme="majorHAnsi" w:hAnsiTheme="majorHAnsi" w:cstheme="majorHAnsi"/>
          <w:webHidden/>
          <w:color w:val="000000" w:themeColor="text1"/>
        </w:rPr>
        <w:t xml:space="preserve"> </w:t>
      </w:r>
      <w:r w:rsidRPr="00D46A7F">
        <w:rPr>
          <w:rFonts w:asciiTheme="majorHAnsi" w:hAnsiTheme="majorHAnsi" w:cstheme="majorHAnsi"/>
          <w:webHidden/>
          <w:color w:val="000000" w:themeColor="text1"/>
        </w:rPr>
        <w:t xml:space="preserve">These difficulties </w:t>
      </w:r>
      <w:r>
        <w:rPr>
          <w:rFonts w:asciiTheme="majorHAnsi" w:hAnsiTheme="majorHAnsi" w:cstheme="majorHAnsi"/>
          <w:webHidden/>
          <w:color w:val="000000" w:themeColor="text1"/>
        </w:rPr>
        <w:t>were</w:t>
      </w:r>
      <w:r w:rsidRPr="00D46A7F">
        <w:rPr>
          <w:rFonts w:asciiTheme="majorHAnsi" w:hAnsiTheme="majorHAnsi" w:cstheme="majorHAnsi"/>
          <w:webHidden/>
          <w:color w:val="000000" w:themeColor="text1"/>
        </w:rPr>
        <w:t xml:space="preserve"> addressed with the</w:t>
      </w:r>
      <w:r>
        <w:rPr>
          <w:rFonts w:asciiTheme="majorHAnsi" w:hAnsiTheme="majorHAnsi" w:cstheme="majorHAnsi"/>
          <w:webHidden/>
          <w:color w:val="000000" w:themeColor="text1"/>
        </w:rPr>
        <w:t xml:space="preserve"> formulation of the</w:t>
      </w:r>
      <w:r w:rsidRPr="00D46A7F">
        <w:rPr>
          <w:rFonts w:asciiTheme="majorHAnsi" w:hAnsiTheme="majorHAnsi" w:cstheme="majorHAnsi"/>
          <w:webHidden/>
          <w:color w:val="000000" w:themeColor="text1"/>
        </w:rPr>
        <w:t xml:space="preserve"> MEA</w:t>
      </w:r>
      <w:r>
        <w:rPr>
          <w:rFonts w:asciiTheme="majorHAnsi" w:hAnsiTheme="majorHAnsi" w:cstheme="majorHAnsi"/>
          <w:webHidden/>
          <w:color w:val="000000" w:themeColor="text1"/>
        </w:rPr>
        <w:t xml:space="preserve"> and backing from </w:t>
      </w:r>
      <w:r w:rsidRPr="00D46A7F">
        <w:rPr>
          <w:rFonts w:asciiTheme="majorHAnsi" w:hAnsiTheme="majorHAnsi" w:cstheme="majorHAnsi"/>
          <w:webHidden/>
          <w:color w:val="000000" w:themeColor="text1"/>
        </w:rPr>
        <w:t xml:space="preserve">the UISS (Box </w:t>
      </w:r>
      <w:r>
        <w:rPr>
          <w:rFonts w:asciiTheme="majorHAnsi" w:hAnsiTheme="majorHAnsi" w:cstheme="majorHAnsi"/>
          <w:webHidden/>
          <w:color w:val="000000" w:themeColor="text1"/>
        </w:rPr>
        <w:t>4</w:t>
      </w:r>
      <w:r w:rsidRPr="00D46A7F">
        <w:rPr>
          <w:rFonts w:asciiTheme="majorHAnsi" w:hAnsiTheme="majorHAnsi" w:cstheme="majorHAnsi"/>
          <w:webHidden/>
          <w:color w:val="000000" w:themeColor="text1"/>
        </w:rPr>
        <w:t>).</w:t>
      </w:r>
      <w:r w:rsidR="00D434EB">
        <w:rPr>
          <w:rFonts w:asciiTheme="majorHAnsi" w:hAnsiTheme="majorHAnsi" w:cstheme="majorHAnsi"/>
          <w:webHidden/>
          <w:color w:val="000000" w:themeColor="text1"/>
        </w:rPr>
        <w:t xml:space="preserve"> </w:t>
      </w:r>
    </w:p>
    <w:p w14:paraId="1F2C1735" w14:textId="46233BBF" w:rsidR="008D0CAD" w:rsidRDefault="008D0CAD" w:rsidP="00B31C4E">
      <w:pPr>
        <w:spacing w:before="100" w:beforeAutospacing="1" w:after="100" w:afterAutospacing="1" w:line="360" w:lineRule="auto"/>
        <w:rPr>
          <w:rFonts w:asciiTheme="majorHAnsi" w:hAnsiTheme="majorHAnsi" w:cstheme="majorHAnsi"/>
        </w:rPr>
      </w:pPr>
      <w:r w:rsidRPr="00D46A7F">
        <w:rPr>
          <w:rFonts w:asciiTheme="majorHAnsi" w:hAnsiTheme="majorHAnsi" w:cstheme="majorHAnsi"/>
          <w:webHidden/>
          <w:color w:val="000000" w:themeColor="text1"/>
        </w:rPr>
        <w:t>However, like all the other Program interventions, experiences on MEA across regions were uneven.</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From the perspective of</w:t>
      </w:r>
      <w:r w:rsidRPr="00D46A7F">
        <w:rPr>
          <w:rFonts w:asciiTheme="majorHAnsi" w:hAnsiTheme="majorHAnsi" w:cstheme="majorHAnsi"/>
          <w:color w:val="000000" w:themeColor="text1"/>
        </w:rPr>
        <w:t xml:space="preserve"> one RO respondent,</w:t>
      </w:r>
      <w:r>
        <w:rPr>
          <w:rFonts w:asciiTheme="majorHAnsi" w:hAnsiTheme="majorHAnsi" w:cstheme="majorHAnsi"/>
          <w:color w:val="000000" w:themeColor="text1"/>
        </w:rPr>
        <w:t xml:space="preserve"> he noted that</w:t>
      </w:r>
      <w:r w:rsidRPr="00D46A7F">
        <w:rPr>
          <w:rFonts w:asciiTheme="majorHAnsi" w:hAnsiTheme="majorHAnsi" w:cstheme="majorHAnsi"/>
          <w:color w:val="000000" w:themeColor="text1"/>
        </w:rPr>
        <w:t xml:space="preserve"> “</w:t>
      </w:r>
      <w:r w:rsidRPr="00D46A7F">
        <w:rPr>
          <w:rFonts w:asciiTheme="majorHAnsi" w:hAnsiTheme="majorHAnsi" w:cstheme="majorHAnsi"/>
          <w:i/>
          <w:color w:val="000000" w:themeColor="text1"/>
        </w:rPr>
        <w:t>The said technology is not yet fully implemented</w:t>
      </w:r>
      <w:r w:rsidRPr="00D23E15">
        <w:rPr>
          <w:rFonts w:asciiTheme="majorHAnsi" w:hAnsiTheme="majorHAnsi" w:cstheme="majorHAnsi"/>
          <w:i/>
        </w:rPr>
        <w:t>. It should have been Schools M</w:t>
      </w:r>
      <w:r>
        <w:rPr>
          <w:rFonts w:asciiTheme="majorHAnsi" w:hAnsiTheme="majorHAnsi" w:cstheme="majorHAnsi"/>
          <w:i/>
        </w:rPr>
        <w:t>onitoring, Evaluation,</w:t>
      </w:r>
      <w:r w:rsidRPr="00D23E15">
        <w:rPr>
          <w:rFonts w:asciiTheme="majorHAnsi" w:hAnsiTheme="majorHAnsi" w:cstheme="majorHAnsi"/>
          <w:i/>
        </w:rPr>
        <w:t xml:space="preserve"> </w:t>
      </w:r>
      <w:r>
        <w:rPr>
          <w:rFonts w:asciiTheme="majorHAnsi" w:hAnsiTheme="majorHAnsi" w:cstheme="majorHAnsi"/>
          <w:i/>
        </w:rPr>
        <w:t xml:space="preserve">and </w:t>
      </w:r>
      <w:r w:rsidRPr="00D23E15">
        <w:rPr>
          <w:rFonts w:asciiTheme="majorHAnsi" w:hAnsiTheme="majorHAnsi" w:cstheme="majorHAnsi"/>
          <w:i/>
        </w:rPr>
        <w:t>Adjustment (SMEA) first. However, the region started it first so there is need to cascade this to the schools. As of now</w:t>
      </w:r>
      <w:r>
        <w:rPr>
          <w:rFonts w:asciiTheme="majorHAnsi" w:hAnsiTheme="majorHAnsi" w:cstheme="majorHAnsi"/>
          <w:i/>
        </w:rPr>
        <w:t>,</w:t>
      </w:r>
      <w:r w:rsidRPr="00D23E15">
        <w:rPr>
          <w:rFonts w:asciiTheme="majorHAnsi" w:hAnsiTheme="majorHAnsi" w:cstheme="majorHAnsi"/>
          <w:i/>
        </w:rPr>
        <w:t xml:space="preserve"> it is in the division level already</w:t>
      </w:r>
      <w:r w:rsidRPr="00D23E15">
        <w:rPr>
          <w:rFonts w:asciiTheme="majorHAnsi" w:hAnsiTheme="majorHAnsi" w:cstheme="majorHAnsi"/>
        </w:rPr>
        <w:t>.</w:t>
      </w:r>
      <w:r>
        <w:rPr>
          <w:rFonts w:asciiTheme="majorHAnsi" w:hAnsiTheme="majorHAnsi" w:cstheme="majorHAnsi"/>
        </w:rPr>
        <w:t>”</w:t>
      </w:r>
      <w:r w:rsidRPr="00D23E15">
        <w:rPr>
          <w:rFonts w:asciiTheme="majorHAnsi" w:hAnsiTheme="majorHAnsi" w:cstheme="majorHAnsi"/>
        </w:rPr>
        <w:t xml:space="preserve"> </w:t>
      </w:r>
    </w:p>
    <w:p w14:paraId="7982FCE1" w14:textId="3A6EA994" w:rsidR="008D0CAD" w:rsidRDefault="008D0CAD" w:rsidP="00B31C4E">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webHidden/>
          <w:color w:val="000000" w:themeColor="text1"/>
        </w:rPr>
        <w:t>School-level awareness on the MEA Framework was generally high across all regions. Survey results</w:t>
      </w:r>
      <w:r>
        <w:rPr>
          <w:rStyle w:val="FootnoteReference"/>
          <w:rFonts w:asciiTheme="majorHAnsi" w:eastAsia="Arial Unicode MS" w:hAnsiTheme="majorHAnsi" w:cstheme="majorHAnsi"/>
          <w:webHidden/>
          <w:color w:val="000000" w:themeColor="text1"/>
        </w:rPr>
        <w:footnoteReference w:id="66"/>
      </w:r>
      <w:r>
        <w:rPr>
          <w:rFonts w:asciiTheme="majorHAnsi" w:hAnsiTheme="majorHAnsi" w:cstheme="majorHAnsi"/>
          <w:webHidden/>
          <w:color w:val="000000" w:themeColor="text1"/>
        </w:rPr>
        <w:t xml:space="preserve"> revealed that </w:t>
      </w:r>
      <w:r w:rsidRPr="002522CF">
        <w:rPr>
          <w:rFonts w:asciiTheme="majorHAnsi" w:hAnsiTheme="majorHAnsi" w:cstheme="majorHAnsi"/>
          <w:color w:val="000000"/>
        </w:rPr>
        <w:t xml:space="preserve">38 </w:t>
      </w:r>
      <w:r>
        <w:rPr>
          <w:rFonts w:asciiTheme="majorHAnsi" w:hAnsiTheme="majorHAnsi" w:cstheme="majorHAnsi"/>
          <w:color w:val="000000"/>
        </w:rPr>
        <w:t>per cent</w:t>
      </w:r>
      <w:r w:rsidRPr="002522CF">
        <w:rPr>
          <w:rFonts w:asciiTheme="majorHAnsi" w:hAnsiTheme="majorHAnsi" w:cstheme="majorHAnsi"/>
          <w:color w:val="000000"/>
        </w:rPr>
        <w:t xml:space="preserve"> of </w:t>
      </w:r>
      <w:r>
        <w:rPr>
          <w:rFonts w:asciiTheme="majorHAnsi" w:hAnsiTheme="majorHAnsi" w:cstheme="majorHAnsi"/>
          <w:color w:val="000000"/>
        </w:rPr>
        <w:t>principals</w:t>
      </w:r>
      <w:r w:rsidRPr="002522CF">
        <w:rPr>
          <w:rFonts w:asciiTheme="majorHAnsi" w:hAnsiTheme="majorHAnsi" w:cstheme="majorHAnsi"/>
          <w:color w:val="000000"/>
        </w:rPr>
        <w:t xml:space="preserve"> from </w:t>
      </w:r>
      <w:r>
        <w:rPr>
          <w:rFonts w:asciiTheme="majorHAnsi" w:hAnsiTheme="majorHAnsi" w:cstheme="majorHAnsi"/>
          <w:color w:val="000000"/>
        </w:rPr>
        <w:t>direct recipient schools</w:t>
      </w:r>
      <w:r w:rsidRPr="002522CF">
        <w:rPr>
          <w:rFonts w:asciiTheme="majorHAnsi" w:hAnsiTheme="majorHAnsi" w:cstheme="majorHAnsi"/>
          <w:color w:val="000000"/>
        </w:rPr>
        <w:t xml:space="preserve"> had comprehensive knowledge of this framework while 42 </w:t>
      </w:r>
      <w:r>
        <w:rPr>
          <w:rFonts w:asciiTheme="majorHAnsi" w:hAnsiTheme="majorHAnsi" w:cstheme="majorHAnsi"/>
          <w:color w:val="000000"/>
        </w:rPr>
        <w:t>per cent</w:t>
      </w:r>
      <w:r w:rsidRPr="002522CF">
        <w:rPr>
          <w:rFonts w:asciiTheme="majorHAnsi" w:hAnsiTheme="majorHAnsi" w:cstheme="majorHAnsi"/>
          <w:color w:val="000000"/>
        </w:rPr>
        <w:t xml:space="preserve"> f</w:t>
      </w:r>
      <w:r>
        <w:rPr>
          <w:rFonts w:asciiTheme="majorHAnsi" w:hAnsiTheme="majorHAnsi" w:cstheme="majorHAnsi"/>
          <w:color w:val="000000"/>
        </w:rPr>
        <w:t>ou</w:t>
      </w:r>
      <w:r w:rsidRPr="002522CF">
        <w:rPr>
          <w:rFonts w:asciiTheme="majorHAnsi" w:hAnsiTheme="majorHAnsi" w:cstheme="majorHAnsi"/>
          <w:color w:val="000000"/>
        </w:rPr>
        <w:t>nd it extremely useful.</w:t>
      </w:r>
      <w:r w:rsidR="00D434EB">
        <w:rPr>
          <w:rFonts w:asciiTheme="majorHAnsi" w:hAnsiTheme="majorHAnsi" w:cstheme="majorHAnsi"/>
          <w:color w:val="000000"/>
        </w:rPr>
        <w:t xml:space="preserve"> </w:t>
      </w:r>
      <w:r w:rsidRPr="00C3551F">
        <w:rPr>
          <w:rFonts w:asciiTheme="majorHAnsi" w:hAnsiTheme="majorHAnsi" w:cstheme="majorHAnsi"/>
          <w:color w:val="000000" w:themeColor="text1"/>
        </w:rPr>
        <w:t>This finding</w:t>
      </w:r>
      <w:r>
        <w:rPr>
          <w:rFonts w:asciiTheme="majorHAnsi" w:hAnsiTheme="majorHAnsi" w:cstheme="majorHAnsi"/>
          <w:color w:val="000000" w:themeColor="text1"/>
        </w:rPr>
        <w:t>, however,</w:t>
      </w:r>
      <w:r w:rsidRPr="00C3551F">
        <w:rPr>
          <w:rFonts w:asciiTheme="majorHAnsi" w:hAnsiTheme="majorHAnsi" w:cstheme="majorHAnsi"/>
          <w:color w:val="000000" w:themeColor="text1"/>
        </w:rPr>
        <w:t xml:space="preserve"> was not mirrored in the Follow-Up Study</w:t>
      </w:r>
      <w:r>
        <w:rPr>
          <w:rStyle w:val="FootnoteReference"/>
          <w:rFonts w:asciiTheme="majorHAnsi" w:eastAsia="Arial Unicode MS" w:hAnsiTheme="majorHAnsi" w:cstheme="majorHAnsi"/>
          <w:color w:val="000000" w:themeColor="text1"/>
        </w:rPr>
        <w:footnoteReference w:id="67"/>
      </w:r>
      <w:r w:rsidRPr="00C3551F">
        <w:rPr>
          <w:rFonts w:asciiTheme="majorHAnsi" w:hAnsiTheme="majorHAnsi" w:cstheme="majorHAnsi"/>
          <w:color w:val="000000" w:themeColor="text1"/>
        </w:rPr>
        <w:t xml:space="preserve"> where only 17 </w:t>
      </w:r>
      <w:r>
        <w:rPr>
          <w:rFonts w:asciiTheme="majorHAnsi" w:hAnsiTheme="majorHAnsi" w:cstheme="majorHAnsi"/>
          <w:color w:val="000000" w:themeColor="text1"/>
        </w:rPr>
        <w:t>per cent</w:t>
      </w:r>
      <w:r w:rsidRPr="00C3551F">
        <w:rPr>
          <w:rFonts w:asciiTheme="majorHAnsi" w:hAnsiTheme="majorHAnsi" w:cstheme="majorHAnsi"/>
          <w:color w:val="000000" w:themeColor="text1"/>
        </w:rPr>
        <w:t xml:space="preserve"> of </w:t>
      </w:r>
      <w:r>
        <w:rPr>
          <w:rFonts w:asciiTheme="majorHAnsi" w:hAnsiTheme="majorHAnsi" w:cstheme="majorHAnsi"/>
          <w:color w:val="000000" w:themeColor="text1"/>
        </w:rPr>
        <w:t>principals</w:t>
      </w:r>
      <w:r w:rsidRPr="00C3551F">
        <w:rPr>
          <w:rFonts w:asciiTheme="majorHAnsi" w:hAnsiTheme="majorHAnsi" w:cstheme="majorHAnsi"/>
          <w:color w:val="000000" w:themeColor="text1"/>
        </w:rPr>
        <w:t xml:space="preserve"> </w:t>
      </w:r>
      <w:r>
        <w:rPr>
          <w:rFonts w:asciiTheme="majorHAnsi" w:hAnsiTheme="majorHAnsi" w:cstheme="majorHAnsi"/>
          <w:color w:val="000000" w:themeColor="text1"/>
        </w:rPr>
        <w:t>reported</w:t>
      </w:r>
      <w:r w:rsidRPr="00C3551F">
        <w:rPr>
          <w:rFonts w:asciiTheme="majorHAnsi" w:hAnsiTheme="majorHAnsi" w:cstheme="majorHAnsi"/>
          <w:color w:val="000000" w:themeColor="text1"/>
        </w:rPr>
        <w:t xml:space="preserve"> comprehensive knowledge and 8 </w:t>
      </w:r>
      <w:r>
        <w:rPr>
          <w:rFonts w:asciiTheme="majorHAnsi" w:hAnsiTheme="majorHAnsi" w:cstheme="majorHAnsi"/>
          <w:color w:val="000000" w:themeColor="text1"/>
        </w:rPr>
        <w:t>per cent</w:t>
      </w:r>
      <w:r w:rsidRPr="00C3551F">
        <w:rPr>
          <w:rFonts w:asciiTheme="majorHAnsi" w:hAnsiTheme="majorHAnsi" w:cstheme="majorHAnsi"/>
          <w:color w:val="000000" w:themeColor="text1"/>
        </w:rPr>
        <w:t xml:space="preserve"> said they found it extremely useful.</w:t>
      </w:r>
    </w:p>
    <w:p w14:paraId="312C3F85" w14:textId="426C6D6E" w:rsidR="008D0CAD" w:rsidRDefault="008D0CAD" w:rsidP="00B31C4E">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color w:val="000000" w:themeColor="text1"/>
        </w:rPr>
        <w:t xml:space="preserve">The </w:t>
      </w:r>
      <w:r w:rsidRPr="006E40DB">
        <w:rPr>
          <w:rFonts w:asciiTheme="majorHAnsi" w:hAnsiTheme="majorHAnsi" w:cstheme="majorHAnsi"/>
          <w:color w:val="000000" w:themeColor="text1"/>
        </w:rPr>
        <w:t>PPMES</w:t>
      </w:r>
      <w:r>
        <w:rPr>
          <w:rFonts w:asciiTheme="majorHAnsi" w:hAnsiTheme="majorHAnsi" w:cstheme="majorHAnsi"/>
          <w:color w:val="000000" w:themeColor="text1"/>
        </w:rPr>
        <w:t xml:space="preserve"> work stream in BEST</w:t>
      </w:r>
      <w:r w:rsidRPr="006E40DB">
        <w:rPr>
          <w:rFonts w:asciiTheme="majorHAnsi" w:hAnsiTheme="majorHAnsi" w:cstheme="majorHAnsi"/>
          <w:color w:val="000000" w:themeColor="text1"/>
        </w:rPr>
        <w:t xml:space="preserve"> undertook massive capacity </w:t>
      </w:r>
      <w:r w:rsidRPr="00A53436">
        <w:rPr>
          <w:rFonts w:asciiTheme="majorHAnsi" w:hAnsiTheme="majorHAnsi" w:cstheme="majorHAnsi"/>
          <w:color w:val="000000" w:themeColor="text1"/>
        </w:rPr>
        <w:t xml:space="preserve">building activities. </w:t>
      </w:r>
      <w:r>
        <w:rPr>
          <w:rFonts w:asciiTheme="majorHAnsi" w:hAnsiTheme="majorHAnsi" w:cstheme="majorHAnsi"/>
          <w:color w:val="000000" w:themeColor="text1"/>
        </w:rPr>
        <w:t>For example</w:t>
      </w:r>
      <w:r w:rsidRPr="00A53436">
        <w:rPr>
          <w:rFonts w:asciiTheme="majorHAnsi" w:hAnsiTheme="majorHAnsi" w:cstheme="majorHAnsi"/>
          <w:color w:val="000000" w:themeColor="text1"/>
        </w:rPr>
        <w:t xml:space="preserve">, 63 </w:t>
      </w:r>
      <w:r>
        <w:rPr>
          <w:rFonts w:asciiTheme="majorHAnsi" w:hAnsiTheme="majorHAnsi" w:cstheme="majorHAnsi"/>
          <w:color w:val="000000" w:themeColor="text1"/>
        </w:rPr>
        <w:t>per cent</w:t>
      </w:r>
      <w:r w:rsidRPr="00A53436">
        <w:rPr>
          <w:rFonts w:asciiTheme="majorHAnsi" w:hAnsiTheme="majorHAnsi" w:cstheme="majorHAnsi"/>
          <w:color w:val="000000" w:themeColor="text1"/>
        </w:rPr>
        <w:t xml:space="preserve"> of the 4,217 school personnel </w:t>
      </w:r>
      <w:r>
        <w:rPr>
          <w:rFonts w:asciiTheme="majorHAnsi" w:hAnsiTheme="majorHAnsi" w:cstheme="majorHAnsi"/>
          <w:color w:val="000000" w:themeColor="text1"/>
        </w:rPr>
        <w:t>who</w:t>
      </w:r>
      <w:r w:rsidRPr="00A53436">
        <w:rPr>
          <w:rFonts w:asciiTheme="majorHAnsi" w:hAnsiTheme="majorHAnsi" w:cstheme="majorHAnsi"/>
          <w:color w:val="000000" w:themeColor="text1"/>
        </w:rPr>
        <w:t xml:space="preserve"> participated in various BEST supported capacity building programs were categori</w:t>
      </w:r>
      <w:r>
        <w:rPr>
          <w:rFonts w:asciiTheme="majorHAnsi" w:hAnsiTheme="majorHAnsi" w:cstheme="majorHAnsi"/>
          <w:color w:val="000000" w:themeColor="text1"/>
        </w:rPr>
        <w:t>s</w:t>
      </w:r>
      <w:r w:rsidRPr="00A53436">
        <w:rPr>
          <w:rFonts w:asciiTheme="majorHAnsi" w:hAnsiTheme="majorHAnsi" w:cstheme="majorHAnsi"/>
          <w:color w:val="000000" w:themeColor="text1"/>
        </w:rPr>
        <w:t xml:space="preserve">ed under the PPMES </w:t>
      </w:r>
      <w:r w:rsidRPr="00A53436">
        <w:rPr>
          <w:rFonts w:asciiTheme="majorHAnsi" w:hAnsiTheme="majorHAnsi" w:cstheme="majorHAnsi"/>
          <w:webHidden/>
          <w:color w:val="000000" w:themeColor="text1"/>
        </w:rPr>
        <w:t xml:space="preserve">(Figure </w:t>
      </w:r>
      <w:r>
        <w:rPr>
          <w:rFonts w:asciiTheme="majorHAnsi" w:hAnsiTheme="majorHAnsi" w:cstheme="majorHAnsi"/>
          <w:webHidden/>
          <w:color w:val="000000" w:themeColor="text1"/>
        </w:rPr>
        <w:t>19</w:t>
      </w:r>
      <w:r w:rsidRPr="00A53436">
        <w:rPr>
          <w:rFonts w:asciiTheme="majorHAnsi" w:hAnsiTheme="majorHAnsi" w:cstheme="majorHAnsi"/>
          <w:webHidden/>
          <w:color w:val="000000" w:themeColor="text1"/>
        </w:rPr>
        <w:t>)</w:t>
      </w:r>
      <w:r w:rsidRPr="00A53436">
        <w:rPr>
          <w:rFonts w:asciiTheme="majorHAnsi" w:hAnsiTheme="majorHAnsi" w:cstheme="majorHAnsi"/>
          <w:color w:val="000000" w:themeColor="text1"/>
        </w:rPr>
        <w:t>.</w:t>
      </w:r>
      <w:r w:rsidRPr="00A53436">
        <w:rPr>
          <w:rStyle w:val="FootnoteReference"/>
          <w:rFonts w:asciiTheme="majorHAnsi" w:eastAsia="Arial Unicode MS" w:hAnsiTheme="majorHAnsi" w:cstheme="majorHAnsi"/>
          <w:color w:val="000000" w:themeColor="text1"/>
        </w:rPr>
        <w:footnoteReference w:id="68"/>
      </w:r>
      <w:r w:rsidR="00D434EB">
        <w:rPr>
          <w:rFonts w:asciiTheme="majorHAnsi" w:hAnsiTheme="majorHAnsi" w:cstheme="majorHAnsi"/>
          <w:color w:val="000000" w:themeColor="text1"/>
        </w:rPr>
        <w:t xml:space="preserve"> </w:t>
      </w:r>
      <w:r w:rsidRPr="00A53436">
        <w:rPr>
          <w:rFonts w:asciiTheme="majorHAnsi" w:hAnsiTheme="majorHAnsi" w:cstheme="majorHAnsi"/>
          <w:color w:val="000000" w:themeColor="text1"/>
        </w:rPr>
        <w:t xml:space="preserve">About </w:t>
      </w:r>
      <w:r>
        <w:rPr>
          <w:rFonts w:asciiTheme="majorHAnsi" w:hAnsiTheme="majorHAnsi" w:cstheme="majorHAnsi"/>
          <w:color w:val="000000" w:themeColor="text1"/>
        </w:rPr>
        <w:t>a third of these capacity development initiatives were conducted from July 2017-June 2018. Moreover</w:t>
      </w:r>
      <w:r>
        <w:rPr>
          <w:rFonts w:asciiTheme="majorHAnsi" w:hAnsiTheme="majorHAnsi" w:cstheme="majorHAnsi"/>
          <w:webHidden/>
          <w:color w:val="000000" w:themeColor="text1"/>
        </w:rPr>
        <w:t xml:space="preserve">, of </w:t>
      </w:r>
      <w:r w:rsidRPr="006E40DB">
        <w:rPr>
          <w:rFonts w:asciiTheme="majorHAnsi" w:hAnsiTheme="majorHAnsi" w:cstheme="majorHAnsi"/>
          <w:color w:val="000000" w:themeColor="text1"/>
        </w:rPr>
        <w:t>the 60 training programs</w:t>
      </w:r>
      <w:r>
        <w:rPr>
          <w:rFonts w:asciiTheme="majorHAnsi" w:hAnsiTheme="majorHAnsi" w:cstheme="majorHAnsi"/>
          <w:color w:val="000000" w:themeColor="text1"/>
        </w:rPr>
        <w:t xml:space="preserve"> and </w:t>
      </w:r>
      <w:r w:rsidRPr="006E40DB">
        <w:rPr>
          <w:rFonts w:asciiTheme="majorHAnsi" w:hAnsiTheme="majorHAnsi" w:cstheme="majorHAnsi"/>
          <w:color w:val="000000" w:themeColor="text1"/>
        </w:rPr>
        <w:t xml:space="preserve">workshops undertaken </w:t>
      </w:r>
      <w:r>
        <w:rPr>
          <w:rFonts w:asciiTheme="majorHAnsi" w:hAnsiTheme="majorHAnsi" w:cstheme="majorHAnsi"/>
          <w:color w:val="000000" w:themeColor="text1"/>
        </w:rPr>
        <w:t>under</w:t>
      </w:r>
      <w:r w:rsidRPr="006E40DB">
        <w:rPr>
          <w:rFonts w:asciiTheme="majorHAnsi" w:hAnsiTheme="majorHAnsi" w:cstheme="majorHAnsi"/>
          <w:color w:val="000000" w:themeColor="text1"/>
        </w:rPr>
        <w:t xml:space="preserve"> the PPMES</w:t>
      </w:r>
      <w:r>
        <w:rPr>
          <w:rFonts w:asciiTheme="majorHAnsi" w:hAnsiTheme="majorHAnsi" w:cstheme="majorHAnsi"/>
          <w:color w:val="000000" w:themeColor="text1"/>
        </w:rPr>
        <w:t xml:space="preserve"> category</w:t>
      </w:r>
      <w:r w:rsidRPr="006E40DB">
        <w:rPr>
          <w:rFonts w:asciiTheme="majorHAnsi" w:hAnsiTheme="majorHAnsi" w:cstheme="majorHAnsi"/>
          <w:color w:val="000000" w:themeColor="text1"/>
        </w:rPr>
        <w:t xml:space="preserve">, </w:t>
      </w:r>
      <w:r>
        <w:rPr>
          <w:rFonts w:asciiTheme="majorHAnsi" w:hAnsiTheme="majorHAnsi" w:cstheme="majorHAnsi"/>
          <w:color w:val="000000" w:themeColor="text1"/>
        </w:rPr>
        <w:t>more than half (</w:t>
      </w:r>
      <w:r w:rsidRPr="006E40DB">
        <w:rPr>
          <w:rFonts w:asciiTheme="majorHAnsi" w:hAnsiTheme="majorHAnsi" w:cstheme="majorHAnsi"/>
          <w:color w:val="000000" w:themeColor="text1"/>
        </w:rPr>
        <w:t>55</w:t>
      </w:r>
      <w:r>
        <w:rPr>
          <w:rFonts w:asciiTheme="majorHAnsi" w:hAnsiTheme="majorHAnsi" w:cstheme="majorHAnsi"/>
          <w:color w:val="000000" w:themeColor="text1"/>
        </w:rPr>
        <w:t xml:space="preserve"> per cent</w:t>
      </w:r>
      <w:r w:rsidRPr="006E40DB">
        <w:rPr>
          <w:rFonts w:asciiTheme="majorHAnsi" w:hAnsiTheme="majorHAnsi" w:cstheme="majorHAnsi"/>
          <w:color w:val="000000" w:themeColor="text1"/>
        </w:rPr>
        <w:t>) related to Monitoring, Evaluation and Adjustment (MEA)</w:t>
      </w:r>
      <w:r>
        <w:rPr>
          <w:rFonts w:asciiTheme="majorHAnsi" w:hAnsiTheme="majorHAnsi" w:cstheme="majorHAnsi"/>
          <w:color w:val="000000" w:themeColor="text1"/>
        </w:rPr>
        <w:t>,</w:t>
      </w:r>
      <w:r w:rsidRPr="006E40DB">
        <w:rPr>
          <w:rFonts w:asciiTheme="majorHAnsi" w:hAnsiTheme="majorHAnsi" w:cstheme="majorHAnsi"/>
          <w:color w:val="000000" w:themeColor="text1"/>
        </w:rPr>
        <w:t xml:space="preserve"> involving about 2,638 participants.</w:t>
      </w:r>
      <w:r>
        <w:rPr>
          <w:rFonts w:asciiTheme="majorHAnsi" w:hAnsiTheme="majorHAnsi" w:cstheme="majorHAnsi"/>
          <w:color w:val="000000" w:themeColor="text1"/>
        </w:rPr>
        <w:t xml:space="preserve"> </w:t>
      </w:r>
      <w:r>
        <w:rPr>
          <w:rFonts w:asciiTheme="majorHAnsi" w:hAnsiTheme="majorHAnsi" w:cstheme="majorHAnsi"/>
          <w:webHidden/>
          <w:color w:val="000000" w:themeColor="text1"/>
        </w:rPr>
        <w:t>The intense capacity building and the fact that MEA was carried over from a previous foreign assisted program, may explain the high level of familiarity and high acceptance of MEA among all BEST-supported interventions at the RO- and DO-levels.</w:t>
      </w:r>
    </w:p>
    <w:p w14:paraId="098DADDB" w14:textId="52B76456" w:rsidR="008D0CAD" w:rsidRPr="004A657A" w:rsidRDefault="008D0CAD" w:rsidP="00B31C4E">
      <w:pPr>
        <w:spacing w:before="100" w:beforeAutospacing="1" w:after="100" w:afterAutospacing="1" w:line="360" w:lineRule="auto"/>
        <w:rPr>
          <w:rFonts w:asciiTheme="majorHAnsi" w:hAnsiTheme="majorHAnsi" w:cstheme="majorHAnsi"/>
          <w:i/>
          <w:color w:val="44546A" w:themeColor="text2"/>
          <w:sz w:val="22"/>
          <w:szCs w:val="22"/>
        </w:rPr>
      </w:pPr>
      <w:bookmarkStart w:id="144" w:name="_Toc14028946"/>
      <w:bookmarkStart w:id="145" w:name="_Toc71616542"/>
      <w:r w:rsidRPr="004A657A">
        <w:rPr>
          <w:rFonts w:asciiTheme="majorHAnsi" w:hAnsiTheme="majorHAnsi" w:cstheme="majorHAnsi"/>
          <w:i/>
          <w:color w:val="44546A" w:themeColor="text2"/>
          <w:sz w:val="22"/>
          <w:szCs w:val="22"/>
        </w:rPr>
        <w:t xml:space="preserve">Figure </w:t>
      </w:r>
      <w:r w:rsidRPr="004A657A">
        <w:rPr>
          <w:rFonts w:asciiTheme="majorHAnsi" w:hAnsiTheme="majorHAnsi" w:cstheme="majorHAnsi"/>
          <w:i/>
          <w:color w:val="44546A" w:themeColor="text2"/>
          <w:sz w:val="22"/>
          <w:szCs w:val="22"/>
        </w:rPr>
        <w:fldChar w:fldCharType="begin"/>
      </w:r>
      <w:r w:rsidRPr="004A657A">
        <w:rPr>
          <w:rFonts w:asciiTheme="majorHAnsi" w:hAnsiTheme="majorHAnsi" w:cstheme="majorHAnsi"/>
          <w:i/>
          <w:color w:val="44546A" w:themeColor="text2"/>
          <w:sz w:val="22"/>
          <w:szCs w:val="22"/>
        </w:rPr>
        <w:instrText xml:space="preserve"> SEQ Figure \* ARABIC </w:instrText>
      </w:r>
      <w:r w:rsidRPr="004A657A">
        <w:rPr>
          <w:rFonts w:asciiTheme="majorHAnsi" w:hAnsiTheme="majorHAnsi" w:cstheme="majorHAnsi"/>
          <w:i/>
          <w:color w:val="44546A" w:themeColor="text2"/>
          <w:sz w:val="22"/>
          <w:szCs w:val="22"/>
        </w:rPr>
        <w:fldChar w:fldCharType="separate"/>
      </w:r>
      <w:r w:rsidR="00D6133D">
        <w:rPr>
          <w:rFonts w:asciiTheme="majorHAnsi" w:hAnsiTheme="majorHAnsi" w:cstheme="majorHAnsi"/>
          <w:i/>
          <w:noProof/>
          <w:color w:val="44546A" w:themeColor="text2"/>
          <w:sz w:val="22"/>
          <w:szCs w:val="22"/>
        </w:rPr>
        <w:t>15</w:t>
      </w:r>
      <w:r w:rsidRPr="004A657A">
        <w:rPr>
          <w:rFonts w:asciiTheme="majorHAnsi" w:hAnsiTheme="majorHAnsi" w:cstheme="majorHAnsi"/>
          <w:i/>
          <w:color w:val="44546A" w:themeColor="text2"/>
          <w:sz w:val="22"/>
          <w:szCs w:val="22"/>
        </w:rPr>
        <w:fldChar w:fldCharType="end"/>
      </w:r>
      <w:r w:rsidRPr="004A657A">
        <w:rPr>
          <w:rFonts w:asciiTheme="majorHAnsi" w:hAnsiTheme="majorHAnsi" w:cstheme="majorHAnsi"/>
          <w:i/>
          <w:color w:val="44546A" w:themeColor="text2"/>
          <w:sz w:val="22"/>
          <w:szCs w:val="22"/>
        </w:rPr>
        <w:t>. Capacity Building Programs under PPMES</w:t>
      </w:r>
      <w:bookmarkEnd w:id="144"/>
      <w:r w:rsidRPr="004A657A">
        <w:rPr>
          <w:rFonts w:asciiTheme="majorHAnsi" w:hAnsiTheme="majorHAnsi" w:cstheme="majorHAnsi"/>
          <w:i/>
          <w:color w:val="44546A" w:themeColor="text2"/>
          <w:sz w:val="22"/>
          <w:szCs w:val="22"/>
        </w:rPr>
        <w:t xml:space="preserve"> Category</w:t>
      </w:r>
      <w:bookmarkEnd w:id="145"/>
      <w:r w:rsidR="00F10CB5" w:rsidRPr="004A657A">
        <w:rPr>
          <w:rFonts w:asciiTheme="majorHAnsi" w:hAnsiTheme="majorHAnsi" w:cstheme="majorHAnsi"/>
          <w:i/>
          <w:noProof/>
          <w:color w:val="44546A" w:themeColor="text2"/>
          <w:sz w:val="22"/>
          <w:szCs w:val="22"/>
          <w:lang w:val="en-AU" w:eastAsia="en-AU"/>
        </w:rPr>
        <w:drawing>
          <wp:inline distT="0" distB="0" distL="0" distR="0" wp14:anchorId="071AF033" wp14:editId="53733750">
            <wp:extent cx="4110355" cy="2258695"/>
            <wp:effectExtent l="0" t="0" r="4445" b="8255"/>
            <wp:docPr id="2" name="Picture 2" descr="Line chart of capacity building programs under PPMES category; Highest increase, AP4, Policy, Planning, Monitoring and Evaluation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ine chart of capacity building programs under PPMES category; Highest increase, AP4, Policy, Planning, Monitoring and Evaluation Systems"/>
                    <pic:cNvPicPr/>
                  </pic:nvPicPr>
                  <pic:blipFill rotWithShape="1">
                    <a:blip r:embed="rId37" cstate="print">
                      <a:extLst>
                        <a:ext uri="{28A0092B-C50C-407E-A947-70E740481C1C}">
                          <a14:useLocalDpi xmlns:a14="http://schemas.microsoft.com/office/drawing/2010/main" val="0"/>
                        </a:ext>
                      </a:extLst>
                    </a:blip>
                    <a:srcRect l="27547" t="29215" r="16629" b="21696"/>
                    <a:stretch/>
                  </pic:blipFill>
                  <pic:spPr bwMode="auto">
                    <a:xfrm>
                      <a:off x="0" y="0"/>
                      <a:ext cx="4110355" cy="2258695"/>
                    </a:xfrm>
                    <a:prstGeom prst="rect">
                      <a:avLst/>
                    </a:prstGeom>
                    <a:ln>
                      <a:noFill/>
                    </a:ln>
                    <a:extLst>
                      <a:ext uri="{53640926-AAD7-44D8-BBD7-CCE9431645EC}">
                        <a14:shadowObscured xmlns:a14="http://schemas.microsoft.com/office/drawing/2010/main"/>
                      </a:ext>
                    </a:extLst>
                  </pic:spPr>
                </pic:pic>
              </a:graphicData>
            </a:graphic>
          </wp:inline>
        </w:drawing>
      </w:r>
    </w:p>
    <w:p w14:paraId="1B536A8D" w14:textId="77777777" w:rsidR="008D0CAD" w:rsidRPr="002339E6" w:rsidRDefault="00076653" w:rsidP="00B31C4E">
      <w:pPr>
        <w:spacing w:before="100" w:beforeAutospacing="1" w:after="100" w:afterAutospacing="1" w:line="360" w:lineRule="auto"/>
        <w:rPr>
          <w:rFonts w:asciiTheme="majorHAnsi" w:hAnsiTheme="majorHAnsi" w:cstheme="majorHAnsi"/>
          <w:color w:val="000000" w:themeColor="text1"/>
        </w:rPr>
      </w:pPr>
      <w:r w:rsidRPr="004B5230">
        <w:rPr>
          <w:rFonts w:asciiTheme="majorHAnsi" w:hAnsiTheme="majorHAnsi" w:cstheme="majorHAnsi"/>
          <w:noProof/>
          <w:color w:val="000000"/>
          <w:lang w:val="en-AU" w:eastAsia="en-AU"/>
        </w:rPr>
        <mc:AlternateContent>
          <mc:Choice Requires="wps">
            <w:drawing>
              <wp:inline distT="0" distB="0" distL="0" distR="0" wp14:anchorId="63AED2A0" wp14:editId="76FFC5A8">
                <wp:extent cx="5708650" cy="5346700"/>
                <wp:effectExtent l="0" t="0" r="25400" b="25400"/>
                <wp:docPr id="217" name="Text Box 2" descr="Results of FGD with BEST supported regional offices on MEA.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5346700"/>
                        </a:xfrm>
                        <a:prstGeom prst="rect">
                          <a:avLst/>
                        </a:prstGeom>
                        <a:solidFill>
                          <a:srgbClr val="FFFFFF"/>
                        </a:solidFill>
                        <a:ln w="9525">
                          <a:solidFill>
                            <a:srgbClr val="000000"/>
                          </a:solidFill>
                          <a:miter lim="800000"/>
                          <a:headEnd/>
                          <a:tailEnd/>
                        </a:ln>
                      </wps:spPr>
                      <wps:txbx>
                        <w:txbxContent>
                          <w:p w14:paraId="0D0923A5" w14:textId="77777777" w:rsidR="00B33BA9" w:rsidRPr="004A657A" w:rsidRDefault="00B33BA9">
                            <w:pPr>
                              <w:rPr>
                                <w:rFonts w:asciiTheme="majorHAnsi" w:hAnsiTheme="majorHAnsi" w:cstheme="majorHAnsi"/>
                                <w:b/>
                                <w:bCs/>
                              </w:rPr>
                            </w:pPr>
                            <w:r w:rsidRPr="004A657A">
                              <w:rPr>
                                <w:rFonts w:asciiTheme="majorHAnsi" w:hAnsiTheme="majorHAnsi" w:cstheme="majorHAnsi"/>
                                <w:b/>
                                <w:bCs/>
                              </w:rPr>
                              <w:t>Box 4. FGD with Best-supported RO on MEA</w:t>
                            </w:r>
                          </w:p>
                          <w:p w14:paraId="32A91CDA" w14:textId="62425BAF" w:rsidR="00B33BA9" w:rsidRPr="004A657A" w:rsidRDefault="00B33BA9">
                            <w:pPr>
                              <w:rPr>
                                <w:rFonts w:asciiTheme="majorHAnsi" w:hAnsiTheme="majorHAnsi" w:cstheme="majorHAnsi"/>
                              </w:rPr>
                            </w:pPr>
                            <w:r w:rsidRPr="004A657A">
                              <w:rPr>
                                <w:rFonts w:asciiTheme="majorHAnsi" w:hAnsiTheme="majorHAnsi" w:cstheme="majorHAnsi"/>
                              </w:rPr>
                              <w:t xml:space="preserve">The implementation of the MEA system from the regional level down to the school level was facilitated by the BEST Program by funding training program for the regional and the division monitoring teams and the provision of the resource persons. </w:t>
                            </w:r>
                          </w:p>
                          <w:p w14:paraId="1CC49B9B" w14:textId="77777777" w:rsidR="00B33BA9" w:rsidRPr="004A657A" w:rsidRDefault="00B33BA9">
                            <w:pPr>
                              <w:rPr>
                                <w:rFonts w:asciiTheme="majorHAnsi" w:hAnsiTheme="majorHAnsi" w:cstheme="majorHAnsi"/>
                              </w:rPr>
                            </w:pPr>
                            <w:r w:rsidRPr="004A657A">
                              <w:rPr>
                                <w:rFonts w:asciiTheme="majorHAnsi" w:hAnsiTheme="majorHAnsi" w:cstheme="majorHAnsi"/>
                              </w:rPr>
                              <w:t>Prior to the BEST Program implementation, M&amp;E was not very popular and was not even acceptable in the region and divisions. The field units used informal M&amp;E. But [</w:t>
                            </w:r>
                            <w:r w:rsidRPr="004A657A">
                              <w:rPr>
                                <w:rFonts w:asciiTheme="majorHAnsi" w:hAnsiTheme="majorHAnsi" w:cstheme="majorHAnsi"/>
                                <w:i/>
                                <w:iCs/>
                              </w:rPr>
                              <w:t>BEST Trainers</w:t>
                            </w:r>
                            <w:r w:rsidRPr="004A657A">
                              <w:rPr>
                                <w:rFonts w:asciiTheme="majorHAnsi" w:hAnsiTheme="majorHAnsi" w:cstheme="majorHAnsi"/>
                              </w:rPr>
                              <w:t>] used scientific methods in the conduct of M&amp;E.</w:t>
                            </w:r>
                          </w:p>
                          <w:p w14:paraId="3D925CEE" w14:textId="522169D8" w:rsidR="00B33BA9" w:rsidRPr="004A657A" w:rsidRDefault="00B33BA9">
                            <w:pPr>
                              <w:rPr>
                                <w:rFonts w:asciiTheme="majorHAnsi" w:hAnsiTheme="majorHAnsi" w:cstheme="majorHAnsi"/>
                              </w:rPr>
                            </w:pPr>
                            <w:r w:rsidRPr="004A657A">
                              <w:rPr>
                                <w:rFonts w:asciiTheme="majorHAnsi" w:hAnsiTheme="majorHAnsi" w:cstheme="majorHAnsi"/>
                              </w:rPr>
                              <w:t>At the regional office, we were responsible for the training of the divisions. And once trained, D</w:t>
                            </w:r>
                            <w:r>
                              <w:rPr>
                                <w:rFonts w:asciiTheme="majorHAnsi" w:hAnsiTheme="majorHAnsi" w:cstheme="majorHAnsi"/>
                              </w:rPr>
                              <w:t>O</w:t>
                            </w:r>
                            <w:r w:rsidRPr="004A657A">
                              <w:rPr>
                                <w:rFonts w:asciiTheme="majorHAnsi" w:hAnsiTheme="majorHAnsi" w:cstheme="majorHAnsi"/>
                              </w:rPr>
                              <w:t>s introduced the concept to the schools.</w:t>
                            </w:r>
                          </w:p>
                          <w:p w14:paraId="3303E536" w14:textId="77777777" w:rsidR="00B33BA9" w:rsidRPr="004A657A" w:rsidRDefault="00B33BA9">
                            <w:pPr>
                              <w:rPr>
                                <w:rFonts w:asciiTheme="majorHAnsi" w:hAnsiTheme="majorHAnsi" w:cstheme="majorHAnsi"/>
                              </w:rPr>
                            </w:pPr>
                            <w:r w:rsidRPr="004A657A">
                              <w:rPr>
                                <w:rFonts w:asciiTheme="majorHAnsi" w:hAnsiTheme="majorHAnsi" w:cstheme="majorHAnsi"/>
                              </w:rPr>
                              <w:t>We identified the divisions that were weak on M&amp;E, Dos that were not implementing M&amp;E. We received comprehensive training from [</w:t>
                            </w:r>
                            <w:r w:rsidRPr="004A657A">
                              <w:rPr>
                                <w:rFonts w:asciiTheme="majorHAnsi" w:hAnsiTheme="majorHAnsi" w:cstheme="majorHAnsi"/>
                                <w:i/>
                                <w:iCs/>
                              </w:rPr>
                              <w:t>BEST technical experts</w:t>
                            </w:r>
                            <w:r w:rsidRPr="004A657A">
                              <w:rPr>
                                <w:rFonts w:asciiTheme="majorHAnsi" w:hAnsiTheme="majorHAnsi" w:cstheme="majorHAnsi"/>
                              </w:rPr>
                              <w:t xml:space="preserve">]. It was one of those training programs that really focused on the details that we needed to learn about M&amp;E, unlike training at the national level where we were bombarded with information. </w:t>
                            </w:r>
                          </w:p>
                          <w:p w14:paraId="377D1EC9" w14:textId="77777777" w:rsidR="00B33BA9" w:rsidRPr="004A657A" w:rsidRDefault="00B33BA9">
                            <w:pPr>
                              <w:rPr>
                                <w:rFonts w:asciiTheme="majorHAnsi" w:hAnsiTheme="majorHAnsi" w:cstheme="majorHAnsi"/>
                              </w:rPr>
                            </w:pPr>
                            <w:r w:rsidRPr="004A657A">
                              <w:rPr>
                                <w:rFonts w:asciiTheme="majorHAnsi" w:hAnsiTheme="majorHAnsi" w:cstheme="majorHAnsi"/>
                              </w:rPr>
                              <w:t xml:space="preserve">Dos were trained on how to conduct progress monitoring. It focused on looking into the performance of the divisions, assessing accomplishments against work and financial plans and determining Key Performance Indicators (KPIs) such as drop-out rates, numerates, and graduation rates. They were trained how to analyze data, how to conduct characterization, and strategies on how to assess performance. </w:t>
                            </w:r>
                          </w:p>
                          <w:p w14:paraId="5612DA83" w14:textId="77777777" w:rsidR="00B33BA9" w:rsidRPr="004A657A" w:rsidRDefault="00B33BA9">
                            <w:pPr>
                              <w:rPr>
                                <w:rFonts w:asciiTheme="majorHAnsi" w:hAnsiTheme="majorHAnsi" w:cstheme="majorHAnsi"/>
                              </w:rPr>
                            </w:pPr>
                            <w:r w:rsidRPr="004A657A">
                              <w:rPr>
                                <w:rFonts w:asciiTheme="majorHAnsi" w:hAnsiTheme="majorHAnsi" w:cstheme="majorHAnsi"/>
                              </w:rPr>
                              <w:t>[As a result,] all the Divisions that received the training are now joining us whenever we conduct our annual regional evaluation or RMEA. This was never done before. [QAD] no longer encounters problems these days concerning the regional evaluation. For the last two year all of the 20 divisions have joined us in the year-end RMEA.</w:t>
                            </w:r>
                          </w:p>
                          <w:p w14:paraId="2C55B719" w14:textId="77777777" w:rsidR="00B33BA9" w:rsidRPr="004A657A" w:rsidRDefault="00B33BA9">
                            <w:pPr>
                              <w:rPr>
                                <w:rFonts w:asciiTheme="majorHAnsi" w:hAnsiTheme="majorHAnsi" w:cstheme="majorHAnsi"/>
                              </w:rPr>
                            </w:pPr>
                            <w:r w:rsidRPr="004A657A">
                              <w:rPr>
                                <w:rFonts w:asciiTheme="majorHAnsi" w:hAnsiTheme="majorHAnsi" w:cstheme="majorHAnsi"/>
                              </w:rPr>
                              <w:t>To my mind, the contribution of BEST is that were trained on how to make the MEA functional.</w:t>
                            </w:r>
                          </w:p>
                          <w:p w14:paraId="6F5DF5F2" w14:textId="77777777" w:rsidR="00B33BA9" w:rsidRPr="004A657A" w:rsidRDefault="00B33BA9">
                            <w:pPr>
                              <w:rPr>
                                <w:rFonts w:asciiTheme="majorHAnsi" w:hAnsiTheme="majorHAnsi" w:cstheme="majorHAnsi"/>
                              </w:rPr>
                            </w:pPr>
                            <w:r w:rsidRPr="004A657A">
                              <w:rPr>
                                <w:rFonts w:asciiTheme="majorHAnsi" w:hAnsiTheme="majorHAnsi" w:cstheme="majorHAnsi"/>
                              </w:rPr>
                              <w:t xml:space="preserve">For me, the best gift that we received from BEST is the MEA technology. </w:t>
                            </w:r>
                          </w:p>
                          <w:p w14:paraId="02B14A24" w14:textId="77777777" w:rsidR="00B33BA9" w:rsidRPr="004A657A" w:rsidRDefault="00B33BA9">
                            <w:pPr>
                              <w:rPr>
                                <w:rFonts w:asciiTheme="majorHAnsi" w:hAnsiTheme="majorHAnsi" w:cstheme="majorHAnsi"/>
                              </w:rPr>
                            </w:pPr>
                            <w:r w:rsidRPr="004A657A">
                              <w:rPr>
                                <w:rFonts w:asciiTheme="majorHAnsi" w:hAnsiTheme="majorHAnsi" w:cstheme="majorHAnsi"/>
                              </w:rPr>
                              <w:t xml:space="preserve">This is the legacy of the BEST… it was through BEST that the M&amp;E system in the region and also in the divisions was strengthened. </w:t>
                            </w:r>
                          </w:p>
                          <w:p w14:paraId="6675F90E" w14:textId="77777777" w:rsidR="00B33BA9" w:rsidRPr="004A657A" w:rsidRDefault="00B33BA9" w:rsidP="00DD08E3">
                            <w:pPr>
                              <w:pStyle w:val="ListParagraph"/>
                              <w:numPr>
                                <w:ilvl w:val="0"/>
                                <w:numId w:val="159"/>
                              </w:numPr>
                              <w:rPr>
                                <w:rFonts w:asciiTheme="majorHAnsi" w:hAnsiTheme="majorHAnsi" w:cstheme="majorHAnsi"/>
                              </w:rPr>
                            </w:pPr>
                            <w:r w:rsidRPr="004A657A">
                              <w:rPr>
                                <w:rFonts w:asciiTheme="majorHAnsi" w:hAnsiTheme="majorHAnsi" w:cstheme="majorHAnsi"/>
                              </w:rPr>
                              <w:t>Regional Office Respondents</w:t>
                            </w:r>
                          </w:p>
                        </w:txbxContent>
                      </wps:txbx>
                      <wps:bodyPr rot="0" vert="horz" wrap="square" lIns="91440" tIns="45720" rIns="91440" bIns="45720" anchor="t" anchorCtr="0">
                        <a:noAutofit/>
                      </wps:bodyPr>
                    </wps:wsp>
                  </a:graphicData>
                </a:graphic>
              </wp:inline>
            </w:drawing>
          </mc:Choice>
          <mc:Fallback>
            <w:pict>
              <v:shapetype w14:anchorId="63AED2A0" id="_x0000_t202" coordsize="21600,21600" o:spt="202" path="m,l,21600r21600,l21600,xe">
                <v:stroke joinstyle="miter"/>
                <v:path gradientshapeok="t" o:connecttype="rect"/>
              </v:shapetype>
              <v:shape id="Text Box 2" o:spid="_x0000_s1026" type="#_x0000_t202" alt="Results of FGD with BEST supported regional offices on MEA. " style="width:449.5pt;height:4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">
                <v:textbox>
                  <w:txbxContent>
                    <w:p w14:paraId="0D0923A5" w14:textId="77777777" w:rsidR="00B33BA9" w:rsidRPr="004A657A" w:rsidRDefault="00B33BA9">
                      <w:pPr>
                        <w:rPr>
                          <w:rFonts w:asciiTheme="majorHAnsi" w:hAnsiTheme="majorHAnsi" w:cstheme="majorHAnsi"/>
                          <w:b/>
                          <w:bCs/>
                        </w:rPr>
                      </w:pPr>
                      <w:r w:rsidRPr="004A657A">
                        <w:rPr>
                          <w:rFonts w:asciiTheme="majorHAnsi" w:hAnsiTheme="majorHAnsi" w:cstheme="majorHAnsi"/>
                          <w:b/>
                          <w:bCs/>
                        </w:rPr>
                        <w:t>Box 4. FGD with Best-supported RO on MEA</w:t>
                      </w:r>
                    </w:p>
                    <w:p w14:paraId="32A91CDA" w14:textId="62425BAF" w:rsidR="00B33BA9" w:rsidRPr="004A657A" w:rsidRDefault="00B33BA9">
                      <w:pPr>
                        <w:rPr>
                          <w:rFonts w:asciiTheme="majorHAnsi" w:hAnsiTheme="majorHAnsi" w:cstheme="majorHAnsi"/>
                        </w:rPr>
                      </w:pPr>
                      <w:r w:rsidRPr="004A657A">
                        <w:rPr>
                          <w:rFonts w:asciiTheme="majorHAnsi" w:hAnsiTheme="majorHAnsi" w:cstheme="majorHAnsi"/>
                        </w:rPr>
                        <w:t xml:space="preserve">The implementation of the MEA system from the regional level down to the school level was facilitated by the BEST Program by funding training program for the regional and the division monitoring teams and the provision of the resource persons. </w:t>
                      </w:r>
                    </w:p>
                    <w:p w14:paraId="1CC49B9B" w14:textId="77777777" w:rsidR="00B33BA9" w:rsidRPr="004A657A" w:rsidRDefault="00B33BA9">
                      <w:pPr>
                        <w:rPr>
                          <w:rFonts w:asciiTheme="majorHAnsi" w:hAnsiTheme="majorHAnsi" w:cstheme="majorHAnsi"/>
                        </w:rPr>
                      </w:pPr>
                      <w:r w:rsidRPr="004A657A">
                        <w:rPr>
                          <w:rFonts w:asciiTheme="majorHAnsi" w:hAnsiTheme="majorHAnsi" w:cstheme="majorHAnsi"/>
                        </w:rPr>
                        <w:t>Prior to the BEST Program implementation, M&amp;E was not very popular and was not even acceptable in the region and divisions. The field units used informal M&amp;E. But [</w:t>
                      </w:r>
                      <w:r w:rsidRPr="004A657A">
                        <w:rPr>
                          <w:rFonts w:asciiTheme="majorHAnsi" w:hAnsiTheme="majorHAnsi" w:cstheme="majorHAnsi"/>
                          <w:i/>
                          <w:iCs/>
                        </w:rPr>
                        <w:t>BEST Trainers</w:t>
                      </w:r>
                      <w:r w:rsidRPr="004A657A">
                        <w:rPr>
                          <w:rFonts w:asciiTheme="majorHAnsi" w:hAnsiTheme="majorHAnsi" w:cstheme="majorHAnsi"/>
                        </w:rPr>
                        <w:t>] used scientific methods in the conduct of M&amp;E.</w:t>
                      </w:r>
                    </w:p>
                    <w:p w14:paraId="3D925CEE" w14:textId="522169D8" w:rsidR="00B33BA9" w:rsidRPr="004A657A" w:rsidRDefault="00B33BA9">
                      <w:pPr>
                        <w:rPr>
                          <w:rFonts w:asciiTheme="majorHAnsi" w:hAnsiTheme="majorHAnsi" w:cstheme="majorHAnsi"/>
                        </w:rPr>
                      </w:pPr>
                      <w:r w:rsidRPr="004A657A">
                        <w:rPr>
                          <w:rFonts w:asciiTheme="majorHAnsi" w:hAnsiTheme="majorHAnsi" w:cstheme="majorHAnsi"/>
                        </w:rPr>
                        <w:t>At the regional office, we were responsible for the training of the divisions. And once trained, D</w:t>
                      </w:r>
                      <w:r>
                        <w:rPr>
                          <w:rFonts w:asciiTheme="majorHAnsi" w:hAnsiTheme="majorHAnsi" w:cstheme="majorHAnsi"/>
                        </w:rPr>
                        <w:t>O</w:t>
                      </w:r>
                      <w:r w:rsidRPr="004A657A">
                        <w:rPr>
                          <w:rFonts w:asciiTheme="majorHAnsi" w:hAnsiTheme="majorHAnsi" w:cstheme="majorHAnsi"/>
                        </w:rPr>
                        <w:t>s introduced the concept to the schools.</w:t>
                      </w:r>
                    </w:p>
                    <w:p w14:paraId="3303E536" w14:textId="77777777" w:rsidR="00B33BA9" w:rsidRPr="004A657A" w:rsidRDefault="00B33BA9">
                      <w:pPr>
                        <w:rPr>
                          <w:rFonts w:asciiTheme="majorHAnsi" w:hAnsiTheme="majorHAnsi" w:cstheme="majorHAnsi"/>
                        </w:rPr>
                      </w:pPr>
                      <w:r w:rsidRPr="004A657A">
                        <w:rPr>
                          <w:rFonts w:asciiTheme="majorHAnsi" w:hAnsiTheme="majorHAnsi" w:cstheme="majorHAnsi"/>
                        </w:rPr>
                        <w:t>We identified the divisions that were weak on M&amp;E, Dos that were not implementing M&amp;E. We received comprehensive training from [</w:t>
                      </w:r>
                      <w:r w:rsidRPr="004A657A">
                        <w:rPr>
                          <w:rFonts w:asciiTheme="majorHAnsi" w:hAnsiTheme="majorHAnsi" w:cstheme="majorHAnsi"/>
                          <w:i/>
                          <w:iCs/>
                        </w:rPr>
                        <w:t>BEST technical experts</w:t>
                      </w:r>
                      <w:r w:rsidRPr="004A657A">
                        <w:rPr>
                          <w:rFonts w:asciiTheme="majorHAnsi" w:hAnsiTheme="majorHAnsi" w:cstheme="majorHAnsi"/>
                        </w:rPr>
                        <w:t xml:space="preserve">]. It was one of those training programs that really focused on the details that we needed to learn about M&amp;E, unlike training at the national level where we were bombarded with information. </w:t>
                      </w:r>
                    </w:p>
                    <w:p w14:paraId="377D1EC9" w14:textId="77777777" w:rsidR="00B33BA9" w:rsidRPr="004A657A" w:rsidRDefault="00B33BA9">
                      <w:pPr>
                        <w:rPr>
                          <w:rFonts w:asciiTheme="majorHAnsi" w:hAnsiTheme="majorHAnsi" w:cstheme="majorHAnsi"/>
                        </w:rPr>
                      </w:pPr>
                      <w:r w:rsidRPr="004A657A">
                        <w:rPr>
                          <w:rFonts w:asciiTheme="majorHAnsi" w:hAnsiTheme="majorHAnsi" w:cstheme="majorHAnsi"/>
                        </w:rPr>
                        <w:t xml:space="preserve">Dos were trained on how to conduct progress monitoring. It focused on looking into the performance of the divisions, assessing accomplishments against work and financial plans and determining Key Performance Indicators (KPIs) such as drop-out rates, numerates, and graduation rates. They were trained how to analyze data, how to conduct characterization, and strategies on how to assess performance. </w:t>
                      </w:r>
                    </w:p>
                    <w:p w14:paraId="5612DA83" w14:textId="77777777" w:rsidR="00B33BA9" w:rsidRPr="004A657A" w:rsidRDefault="00B33BA9">
                      <w:pPr>
                        <w:rPr>
                          <w:rFonts w:asciiTheme="majorHAnsi" w:hAnsiTheme="majorHAnsi" w:cstheme="majorHAnsi"/>
                        </w:rPr>
                      </w:pPr>
                      <w:r w:rsidRPr="004A657A">
                        <w:rPr>
                          <w:rFonts w:asciiTheme="majorHAnsi" w:hAnsiTheme="majorHAnsi" w:cstheme="majorHAnsi"/>
                        </w:rPr>
                        <w:t>[As a result,] all the Divisions that received the training are now joining us whenever we conduct our annual regional evaluation or RMEA. This was never done before. [QAD] no longer encounters problems these days concerning the regional evaluation. For the last two year all of the 20 divisions have joined us in the year-end RMEA.</w:t>
                      </w:r>
                    </w:p>
                    <w:p w14:paraId="2C55B719" w14:textId="77777777" w:rsidR="00B33BA9" w:rsidRPr="004A657A" w:rsidRDefault="00B33BA9">
                      <w:pPr>
                        <w:rPr>
                          <w:rFonts w:asciiTheme="majorHAnsi" w:hAnsiTheme="majorHAnsi" w:cstheme="majorHAnsi"/>
                        </w:rPr>
                      </w:pPr>
                      <w:r w:rsidRPr="004A657A">
                        <w:rPr>
                          <w:rFonts w:asciiTheme="majorHAnsi" w:hAnsiTheme="majorHAnsi" w:cstheme="majorHAnsi"/>
                        </w:rPr>
                        <w:t>To my mind, the contribution of BEST is that were trained on how to make the MEA functional.</w:t>
                      </w:r>
                    </w:p>
                    <w:p w14:paraId="6F5DF5F2" w14:textId="77777777" w:rsidR="00B33BA9" w:rsidRPr="004A657A" w:rsidRDefault="00B33BA9">
                      <w:pPr>
                        <w:rPr>
                          <w:rFonts w:asciiTheme="majorHAnsi" w:hAnsiTheme="majorHAnsi" w:cstheme="majorHAnsi"/>
                        </w:rPr>
                      </w:pPr>
                      <w:r w:rsidRPr="004A657A">
                        <w:rPr>
                          <w:rFonts w:asciiTheme="majorHAnsi" w:hAnsiTheme="majorHAnsi" w:cstheme="majorHAnsi"/>
                        </w:rPr>
                        <w:t xml:space="preserve">For me, the best gift that we received from BEST is the MEA technology. </w:t>
                      </w:r>
                    </w:p>
                    <w:p w14:paraId="02B14A24" w14:textId="77777777" w:rsidR="00B33BA9" w:rsidRPr="004A657A" w:rsidRDefault="00B33BA9">
                      <w:pPr>
                        <w:rPr>
                          <w:rFonts w:asciiTheme="majorHAnsi" w:hAnsiTheme="majorHAnsi" w:cstheme="majorHAnsi"/>
                        </w:rPr>
                      </w:pPr>
                      <w:r w:rsidRPr="004A657A">
                        <w:rPr>
                          <w:rFonts w:asciiTheme="majorHAnsi" w:hAnsiTheme="majorHAnsi" w:cstheme="majorHAnsi"/>
                        </w:rPr>
                        <w:t xml:space="preserve">This is the legacy of the BEST… it was through BEST that the M&amp;E system in the region and also in the divisions was strengthened. </w:t>
                      </w:r>
                    </w:p>
                    <w:p w14:paraId="6675F90E" w14:textId="77777777" w:rsidR="00B33BA9" w:rsidRPr="004A657A" w:rsidRDefault="00B33BA9" w:rsidP="00DD08E3">
                      <w:pPr>
                        <w:pStyle w:val="ListParagraph"/>
                        <w:numPr>
                          <w:ilvl w:val="0"/>
                          <w:numId w:val="159"/>
                        </w:numPr>
                        <w:rPr>
                          <w:rFonts w:asciiTheme="majorHAnsi" w:hAnsiTheme="majorHAnsi" w:cstheme="majorHAnsi"/>
                        </w:rPr>
                      </w:pPr>
                      <w:r w:rsidRPr="004A657A">
                        <w:rPr>
                          <w:rFonts w:asciiTheme="majorHAnsi" w:hAnsiTheme="majorHAnsi" w:cstheme="majorHAnsi"/>
                        </w:rPr>
                        <w:t>Regional Office Respondents</w:t>
                      </w:r>
                    </w:p>
                  </w:txbxContent>
                </v:textbox>
                <w10:anchorlock/>
              </v:shape>
            </w:pict>
          </mc:Fallback>
        </mc:AlternateContent>
      </w:r>
    </w:p>
    <w:p w14:paraId="6A2B5B57" w14:textId="54AEE68F" w:rsidR="008D0CAD" w:rsidRDefault="008D0CAD" w:rsidP="00DD08E3">
      <w:pPr>
        <w:pStyle w:val="Heading5"/>
        <w:numPr>
          <w:ilvl w:val="3"/>
          <w:numId w:val="165"/>
        </w:numPr>
        <w:spacing w:before="100" w:beforeAutospacing="1" w:after="100" w:afterAutospacing="1" w:line="360" w:lineRule="auto"/>
      </w:pPr>
      <w:r>
        <w:t>School-Based Planning and Development</w:t>
      </w:r>
      <w:r w:rsidR="00D434EB">
        <w:t xml:space="preserve"> </w:t>
      </w:r>
    </w:p>
    <w:p w14:paraId="1C5C1AAF" w14:textId="77777777" w:rsidR="008D0CAD" w:rsidRDefault="008D0CAD" w:rsidP="00B31C4E">
      <w:pPr>
        <w:spacing w:before="100" w:beforeAutospacing="1" w:after="100" w:afterAutospacing="1" w:line="360" w:lineRule="auto"/>
        <w:rPr>
          <w:rFonts w:asciiTheme="majorHAnsi" w:hAnsiTheme="majorHAnsi" w:cstheme="majorHAnsi"/>
        </w:rPr>
      </w:pPr>
      <w:r w:rsidRPr="004D67A6">
        <w:rPr>
          <w:rFonts w:asciiTheme="majorHAnsi" w:hAnsiTheme="majorHAnsi" w:cstheme="majorHAnsi"/>
        </w:rPr>
        <w:t>Under the BEST Program,</w:t>
      </w:r>
      <w:r>
        <w:rPr>
          <w:rFonts w:asciiTheme="majorHAnsi" w:hAnsiTheme="majorHAnsi" w:cstheme="majorHAnsi"/>
        </w:rPr>
        <w:t xml:space="preserve"> School-Based Management (SBM) interventions were intended </w:t>
      </w:r>
      <w:r w:rsidRPr="00AA5DA5">
        <w:rPr>
          <w:rFonts w:asciiTheme="majorHAnsi" w:hAnsiTheme="majorHAnsi" w:cstheme="majorHAnsi"/>
        </w:rPr>
        <w:t xml:space="preserve">to improve </w:t>
      </w:r>
      <w:r>
        <w:rPr>
          <w:rFonts w:asciiTheme="majorHAnsi" w:hAnsiTheme="majorHAnsi" w:cstheme="majorHAnsi"/>
        </w:rPr>
        <w:t>student participation</w:t>
      </w:r>
      <w:r w:rsidRPr="00AA5DA5">
        <w:rPr>
          <w:rFonts w:asciiTheme="majorHAnsi" w:hAnsiTheme="majorHAnsi" w:cstheme="majorHAnsi"/>
        </w:rPr>
        <w:t xml:space="preserve"> by </w:t>
      </w:r>
      <w:r>
        <w:rPr>
          <w:rFonts w:asciiTheme="majorHAnsi" w:hAnsiTheme="majorHAnsi" w:cstheme="majorHAnsi"/>
        </w:rPr>
        <w:t xml:space="preserve">increasing the capacity of school stakeholders to implement the management framework. </w:t>
      </w:r>
      <w:r w:rsidRPr="00AA5DA5">
        <w:rPr>
          <w:rFonts w:asciiTheme="majorHAnsi" w:hAnsiTheme="majorHAnsi" w:cstheme="majorHAnsi"/>
        </w:rPr>
        <w:t xml:space="preserve">SBM </w:t>
      </w:r>
      <w:r>
        <w:rPr>
          <w:rFonts w:asciiTheme="majorHAnsi" w:hAnsiTheme="majorHAnsi" w:cstheme="majorHAnsi"/>
        </w:rPr>
        <w:t>was intended to promote</w:t>
      </w:r>
      <w:r w:rsidRPr="00956CB0">
        <w:rPr>
          <w:rFonts w:asciiTheme="majorHAnsi" w:hAnsiTheme="majorHAnsi" w:cstheme="majorHAnsi"/>
        </w:rPr>
        <w:t xml:space="preserve"> </w:t>
      </w:r>
      <w:r w:rsidRPr="00AA5DA5">
        <w:rPr>
          <w:rFonts w:asciiTheme="majorHAnsi" w:hAnsiTheme="majorHAnsi" w:cstheme="majorHAnsi"/>
        </w:rPr>
        <w:t>greater involvement</w:t>
      </w:r>
      <w:r>
        <w:rPr>
          <w:rFonts w:asciiTheme="majorHAnsi" w:hAnsiTheme="majorHAnsi" w:cstheme="majorHAnsi"/>
        </w:rPr>
        <w:t xml:space="preserve"> of school internal (i.e., </w:t>
      </w:r>
      <w:r w:rsidRPr="00AA5DA5">
        <w:rPr>
          <w:rFonts w:asciiTheme="majorHAnsi" w:hAnsiTheme="majorHAnsi" w:cstheme="majorHAnsi"/>
        </w:rPr>
        <w:t>principals, teachers, students</w:t>
      </w:r>
      <w:r>
        <w:rPr>
          <w:rFonts w:asciiTheme="majorHAnsi" w:hAnsiTheme="majorHAnsi" w:cstheme="majorHAnsi"/>
        </w:rPr>
        <w:t xml:space="preserve">) and external stakeholders (i.e., </w:t>
      </w:r>
      <w:r w:rsidRPr="00AA5DA5">
        <w:rPr>
          <w:rFonts w:asciiTheme="majorHAnsi" w:hAnsiTheme="majorHAnsi" w:cstheme="majorHAnsi"/>
        </w:rPr>
        <w:t>parents, communities and local governments</w:t>
      </w:r>
      <w:r>
        <w:rPr>
          <w:rFonts w:asciiTheme="majorHAnsi" w:hAnsiTheme="majorHAnsi" w:cstheme="majorHAnsi"/>
        </w:rPr>
        <w:t>) in</w:t>
      </w:r>
      <w:r w:rsidRPr="00AA5DA5">
        <w:rPr>
          <w:rFonts w:asciiTheme="majorHAnsi" w:hAnsiTheme="majorHAnsi" w:cstheme="majorHAnsi"/>
        </w:rPr>
        <w:t xml:space="preserve"> education processes to create more effective and </w:t>
      </w:r>
      <w:r>
        <w:rPr>
          <w:rFonts w:asciiTheme="majorHAnsi" w:hAnsiTheme="majorHAnsi" w:cstheme="majorHAnsi"/>
        </w:rPr>
        <w:t xml:space="preserve">better </w:t>
      </w:r>
      <w:r w:rsidRPr="00AA5DA5">
        <w:rPr>
          <w:rFonts w:asciiTheme="majorHAnsi" w:hAnsiTheme="majorHAnsi" w:cstheme="majorHAnsi"/>
        </w:rPr>
        <w:t>contextuali</w:t>
      </w:r>
      <w:r>
        <w:rPr>
          <w:rFonts w:asciiTheme="majorHAnsi" w:hAnsiTheme="majorHAnsi" w:cstheme="majorHAnsi"/>
        </w:rPr>
        <w:t>s</w:t>
      </w:r>
      <w:r w:rsidRPr="00AA5DA5">
        <w:rPr>
          <w:rFonts w:asciiTheme="majorHAnsi" w:hAnsiTheme="majorHAnsi" w:cstheme="majorHAnsi"/>
        </w:rPr>
        <w:t xml:space="preserve">ed learning environments for </w:t>
      </w:r>
      <w:r>
        <w:rPr>
          <w:rFonts w:asciiTheme="majorHAnsi" w:hAnsiTheme="majorHAnsi" w:cstheme="majorHAnsi"/>
        </w:rPr>
        <w:t>students</w:t>
      </w:r>
      <w:r w:rsidRPr="00AA5DA5">
        <w:rPr>
          <w:rFonts w:asciiTheme="majorHAnsi" w:hAnsiTheme="majorHAnsi" w:cstheme="majorHAnsi"/>
        </w:rPr>
        <w:t xml:space="preserve">. </w:t>
      </w:r>
    </w:p>
    <w:p w14:paraId="14786BA4" w14:textId="432CE4DC" w:rsidR="008D0CAD" w:rsidRDefault="008D0CAD" w:rsidP="00B31C4E">
      <w:pPr>
        <w:spacing w:before="100" w:beforeAutospacing="1" w:after="100" w:afterAutospacing="1" w:line="360" w:lineRule="auto"/>
        <w:rPr>
          <w:rFonts w:asciiTheme="majorHAnsi" w:hAnsiTheme="majorHAnsi" w:cstheme="majorHAnsi"/>
        </w:rPr>
      </w:pPr>
      <w:r>
        <w:rPr>
          <w:rFonts w:asciiTheme="majorHAnsi" w:hAnsiTheme="majorHAnsi" w:cstheme="majorHAnsi"/>
          <w:color w:val="000000" w:themeColor="text1"/>
        </w:rPr>
        <w:t>One of the</w:t>
      </w:r>
      <w:r w:rsidRPr="00C746EB">
        <w:rPr>
          <w:rFonts w:asciiTheme="majorHAnsi" w:hAnsiTheme="majorHAnsi" w:cstheme="majorHAnsi"/>
          <w:color w:val="000000" w:themeColor="text1"/>
        </w:rPr>
        <w:t xml:space="preserve"> most significant contribution</w:t>
      </w:r>
      <w:r>
        <w:rPr>
          <w:rFonts w:asciiTheme="majorHAnsi" w:hAnsiTheme="majorHAnsi" w:cstheme="majorHAnsi"/>
          <w:color w:val="000000" w:themeColor="text1"/>
        </w:rPr>
        <w:t>s</w:t>
      </w:r>
      <w:r w:rsidRPr="00C746EB">
        <w:rPr>
          <w:rFonts w:asciiTheme="majorHAnsi" w:hAnsiTheme="majorHAnsi" w:cstheme="majorHAnsi"/>
          <w:color w:val="000000" w:themeColor="text1"/>
        </w:rPr>
        <w:t xml:space="preserve"> of </w:t>
      </w:r>
      <w:r>
        <w:rPr>
          <w:rFonts w:asciiTheme="majorHAnsi" w:hAnsiTheme="majorHAnsi" w:cstheme="majorHAnsi"/>
          <w:color w:val="000000" w:themeColor="text1"/>
        </w:rPr>
        <w:t xml:space="preserve">the </w:t>
      </w:r>
      <w:r w:rsidRPr="00C746EB">
        <w:rPr>
          <w:rFonts w:asciiTheme="majorHAnsi" w:hAnsiTheme="majorHAnsi" w:cstheme="majorHAnsi"/>
          <w:color w:val="000000" w:themeColor="text1"/>
        </w:rPr>
        <w:t>BEST</w:t>
      </w:r>
      <w:r>
        <w:rPr>
          <w:rFonts w:asciiTheme="majorHAnsi" w:hAnsiTheme="majorHAnsi" w:cstheme="majorHAnsi"/>
          <w:color w:val="000000" w:themeColor="text1"/>
        </w:rPr>
        <w:t xml:space="preserve"> Program </w:t>
      </w:r>
      <w:r w:rsidRPr="00C746EB">
        <w:rPr>
          <w:rFonts w:asciiTheme="majorHAnsi" w:hAnsiTheme="majorHAnsi" w:cstheme="majorHAnsi"/>
          <w:color w:val="000000" w:themeColor="text1"/>
        </w:rPr>
        <w:t xml:space="preserve">was </w:t>
      </w:r>
      <w:r>
        <w:rPr>
          <w:rFonts w:asciiTheme="majorHAnsi" w:hAnsiTheme="majorHAnsi" w:cstheme="majorHAnsi"/>
          <w:color w:val="000000" w:themeColor="text1"/>
        </w:rPr>
        <w:t xml:space="preserve">support to the issuance of DepEd Order No. </w:t>
      </w:r>
      <w:r w:rsidRPr="00CF4D24">
        <w:rPr>
          <w:rFonts w:asciiTheme="majorHAnsi" w:hAnsiTheme="majorHAnsi" w:cstheme="majorHAnsi"/>
        </w:rPr>
        <w:t>44, s. 2015</w:t>
      </w:r>
      <w:r>
        <w:rPr>
          <w:rFonts w:asciiTheme="majorHAnsi" w:hAnsiTheme="majorHAnsi" w:cstheme="majorHAnsi"/>
        </w:rPr>
        <w:t>,</w:t>
      </w:r>
      <w:r>
        <w:rPr>
          <w:rStyle w:val="FootnoteReference"/>
          <w:rFonts w:asciiTheme="majorHAnsi" w:eastAsia="Arial Unicode MS" w:hAnsiTheme="majorHAnsi" w:cstheme="majorHAnsi"/>
        </w:rPr>
        <w:footnoteReference w:id="69"/>
      </w:r>
      <w:r w:rsidRPr="00CF4D24">
        <w:rPr>
          <w:rFonts w:asciiTheme="majorHAnsi" w:hAnsiTheme="majorHAnsi" w:cstheme="majorHAnsi"/>
        </w:rPr>
        <w:t xml:space="preserve"> </w:t>
      </w:r>
      <w:r>
        <w:rPr>
          <w:rFonts w:asciiTheme="majorHAnsi" w:hAnsiTheme="majorHAnsi" w:cstheme="majorHAnsi"/>
        </w:rPr>
        <w:t>and a tool and guidebook.</w:t>
      </w:r>
      <w:r w:rsidR="00D434EB">
        <w:rPr>
          <w:rFonts w:asciiTheme="majorHAnsi" w:hAnsiTheme="majorHAnsi" w:cstheme="majorHAnsi"/>
        </w:rPr>
        <w:t xml:space="preserve"> </w:t>
      </w:r>
      <w:r>
        <w:rPr>
          <w:rFonts w:asciiTheme="majorHAnsi" w:hAnsiTheme="majorHAnsi" w:cstheme="majorHAnsi"/>
        </w:rPr>
        <w:t>D</w:t>
      </w:r>
      <w:r>
        <w:rPr>
          <w:rFonts w:asciiTheme="majorHAnsi" w:hAnsiTheme="majorHAnsi" w:cstheme="majorHAnsi"/>
          <w:color w:val="000000" w:themeColor="text1"/>
        </w:rPr>
        <w:t xml:space="preserve">O No. </w:t>
      </w:r>
      <w:r w:rsidRPr="00CF4D24">
        <w:rPr>
          <w:rFonts w:asciiTheme="majorHAnsi" w:hAnsiTheme="majorHAnsi" w:cstheme="majorHAnsi"/>
        </w:rPr>
        <w:t xml:space="preserve">44, s. 2015 </w:t>
      </w:r>
      <w:r>
        <w:rPr>
          <w:rFonts w:asciiTheme="majorHAnsi" w:hAnsiTheme="majorHAnsi" w:cstheme="majorHAnsi"/>
        </w:rPr>
        <w:t xml:space="preserve">defined the </w:t>
      </w:r>
      <w:r w:rsidRPr="00A50255">
        <w:rPr>
          <w:rFonts w:asciiTheme="majorHAnsi" w:hAnsiTheme="majorHAnsi" w:cstheme="majorHAnsi"/>
        </w:rPr>
        <w:t xml:space="preserve">School Improvement Plan (SIP) </w:t>
      </w:r>
      <w:r>
        <w:rPr>
          <w:rFonts w:asciiTheme="majorHAnsi" w:hAnsiTheme="majorHAnsi" w:cstheme="majorHAnsi"/>
        </w:rPr>
        <w:t>as the</w:t>
      </w:r>
      <w:r w:rsidRPr="00A50255">
        <w:rPr>
          <w:rFonts w:asciiTheme="majorHAnsi" w:hAnsiTheme="majorHAnsi" w:cstheme="majorHAnsi"/>
        </w:rPr>
        <w:t xml:space="preserve"> </w:t>
      </w:r>
      <w:r>
        <w:rPr>
          <w:rFonts w:asciiTheme="majorHAnsi" w:hAnsiTheme="majorHAnsi" w:cstheme="majorHAnsi"/>
        </w:rPr>
        <w:t>“</w:t>
      </w:r>
      <w:r w:rsidRPr="006941F1">
        <w:rPr>
          <w:rFonts w:asciiTheme="majorHAnsi" w:hAnsiTheme="majorHAnsi" w:cstheme="majorHAnsi"/>
          <w:i/>
        </w:rPr>
        <w:t>roadmap that lays down specific interventions that a school, with the help of the community and other stakeholders, will undertake within a period of three consecutive school years. The implementation of development activities integral to it are in the school such as projects under the Continuous Improvement Program (CIP), the creation and mobili</w:t>
      </w:r>
      <w:r>
        <w:rPr>
          <w:rFonts w:asciiTheme="majorHAnsi" w:hAnsiTheme="majorHAnsi" w:cstheme="majorHAnsi"/>
          <w:i/>
        </w:rPr>
        <w:t>s</w:t>
      </w:r>
      <w:r w:rsidRPr="006941F1">
        <w:rPr>
          <w:rFonts w:asciiTheme="majorHAnsi" w:hAnsiTheme="majorHAnsi" w:cstheme="majorHAnsi"/>
          <w:i/>
        </w:rPr>
        <w:t>ation of Learning Action Cells (LACs), and the preparation of the School Report Card (SRC)</w:t>
      </w:r>
      <w:r>
        <w:rPr>
          <w:rFonts w:asciiTheme="majorHAnsi" w:hAnsiTheme="majorHAnsi" w:cstheme="majorHAnsi"/>
        </w:rPr>
        <w:t>”</w:t>
      </w:r>
      <w:r w:rsidRPr="00A50255">
        <w:rPr>
          <w:rFonts w:asciiTheme="majorHAnsi" w:hAnsiTheme="majorHAnsi" w:cstheme="majorHAnsi"/>
        </w:rPr>
        <w:t>.</w:t>
      </w:r>
      <w:r w:rsidR="00D434EB">
        <w:rPr>
          <w:rFonts w:asciiTheme="majorHAnsi" w:hAnsiTheme="majorHAnsi" w:cstheme="majorHAnsi"/>
        </w:rPr>
        <w:t xml:space="preserve"> </w:t>
      </w:r>
      <w:r>
        <w:rPr>
          <w:rFonts w:asciiTheme="majorHAnsi" w:hAnsiTheme="majorHAnsi" w:cstheme="majorHAnsi"/>
        </w:rPr>
        <w:t>It is also vital in improving access of children from specific contexts such as indigenous and Muslim communities and children with disabilities.</w:t>
      </w:r>
    </w:p>
    <w:p w14:paraId="6AC631AA" w14:textId="1C855947" w:rsidR="008D0CAD" w:rsidRPr="006C6971" w:rsidRDefault="008D0CAD" w:rsidP="00B31C4E">
      <w:pPr>
        <w:spacing w:before="100" w:beforeAutospacing="1" w:after="100" w:afterAutospacing="1" w:line="360" w:lineRule="auto"/>
        <w:rPr>
          <w:rFonts w:asciiTheme="majorHAnsi" w:hAnsiTheme="majorHAnsi" w:cstheme="majorHAnsi"/>
        </w:rPr>
      </w:pPr>
      <w:r w:rsidRPr="00A50255">
        <w:rPr>
          <w:rFonts w:asciiTheme="majorHAnsi" w:hAnsiTheme="majorHAnsi" w:cstheme="majorHAnsi"/>
        </w:rPr>
        <w:t>The SRC</w:t>
      </w:r>
      <w:r>
        <w:rPr>
          <w:rFonts w:asciiTheme="majorHAnsi" w:hAnsiTheme="majorHAnsi" w:cstheme="majorHAnsi"/>
        </w:rPr>
        <w:t xml:space="preserve"> accompanied the SIP as a de facto M&amp;E</w:t>
      </w:r>
      <w:r w:rsidRPr="00A50255">
        <w:rPr>
          <w:rFonts w:asciiTheme="majorHAnsi" w:hAnsiTheme="majorHAnsi" w:cstheme="majorHAnsi"/>
        </w:rPr>
        <w:t xml:space="preserve"> </w:t>
      </w:r>
      <w:r>
        <w:rPr>
          <w:rFonts w:asciiTheme="majorHAnsi" w:hAnsiTheme="majorHAnsi" w:cstheme="majorHAnsi"/>
        </w:rPr>
        <w:t>tool to monitor SIP execution.</w:t>
      </w:r>
      <w:r>
        <w:rPr>
          <w:rStyle w:val="FootnoteReference"/>
          <w:rFonts w:asciiTheme="majorHAnsi" w:eastAsia="Arial Unicode MS" w:hAnsiTheme="majorHAnsi" w:cstheme="majorHAnsi"/>
        </w:rPr>
        <w:footnoteReference w:id="70"/>
      </w:r>
      <w:r w:rsidR="00D434EB">
        <w:rPr>
          <w:rFonts w:asciiTheme="majorHAnsi" w:hAnsiTheme="majorHAnsi" w:cstheme="majorHAnsi"/>
        </w:rPr>
        <w:t xml:space="preserve"> </w:t>
      </w:r>
      <w:r w:rsidRPr="00A50255">
        <w:rPr>
          <w:rFonts w:asciiTheme="majorHAnsi" w:hAnsiTheme="majorHAnsi" w:cstheme="majorHAnsi"/>
        </w:rPr>
        <w:t>The SRC</w:t>
      </w:r>
      <w:r>
        <w:rPr>
          <w:rFonts w:asciiTheme="majorHAnsi" w:hAnsiTheme="majorHAnsi" w:cstheme="majorHAnsi"/>
        </w:rPr>
        <w:t xml:space="preserve"> is</w:t>
      </w:r>
      <w:r w:rsidRPr="00A50255">
        <w:rPr>
          <w:rFonts w:asciiTheme="majorHAnsi" w:hAnsiTheme="majorHAnsi" w:cstheme="majorHAnsi"/>
        </w:rPr>
        <w:t xml:space="preserve"> </w:t>
      </w:r>
      <w:r>
        <w:rPr>
          <w:rFonts w:asciiTheme="majorHAnsi" w:hAnsiTheme="majorHAnsi" w:cstheme="majorHAnsi"/>
        </w:rPr>
        <w:t>“</w:t>
      </w:r>
      <w:r w:rsidRPr="00956CB0">
        <w:rPr>
          <w:rFonts w:asciiTheme="majorHAnsi" w:hAnsiTheme="majorHAnsi" w:cstheme="majorHAnsi"/>
          <w:i/>
          <w:iCs/>
        </w:rPr>
        <w:t>a tool for advocating and communicating the school situation, context, and performance to internal and external stakeholders. Its objective is to increase the participation and involvement of the community and other stakeholders in making the school a better place for learning</w:t>
      </w:r>
      <w:r w:rsidRPr="00A50255">
        <w:rPr>
          <w:rFonts w:asciiTheme="majorHAnsi" w:hAnsiTheme="majorHAnsi" w:cstheme="majorHAnsi"/>
        </w:rPr>
        <w:t>.</w:t>
      </w:r>
      <w:r>
        <w:rPr>
          <w:rFonts w:asciiTheme="majorHAnsi" w:hAnsiTheme="majorHAnsi" w:cstheme="majorHAnsi"/>
        </w:rPr>
        <w:t>”</w:t>
      </w:r>
      <w:r>
        <w:rPr>
          <w:rStyle w:val="FootnoteReference"/>
          <w:rFonts w:asciiTheme="majorHAnsi" w:eastAsia="Arial Unicode MS" w:hAnsiTheme="majorHAnsi" w:cstheme="majorHAnsi"/>
        </w:rPr>
        <w:footnoteReference w:id="71"/>
      </w:r>
      <w:r w:rsidR="00D434EB">
        <w:rPr>
          <w:rFonts w:asciiTheme="majorHAnsi" w:hAnsiTheme="majorHAnsi" w:cstheme="majorHAnsi"/>
        </w:rPr>
        <w:t xml:space="preserve"> </w:t>
      </w:r>
      <w:r>
        <w:rPr>
          <w:rFonts w:asciiTheme="majorHAnsi" w:hAnsiTheme="majorHAnsi" w:cstheme="majorHAnsi"/>
        </w:rPr>
        <w:t>DO 44 also included t</w:t>
      </w:r>
      <w:r w:rsidRPr="00A50255">
        <w:rPr>
          <w:rFonts w:asciiTheme="majorHAnsi" w:hAnsiTheme="majorHAnsi" w:cstheme="majorHAnsi"/>
        </w:rPr>
        <w:t xml:space="preserve">he </w:t>
      </w:r>
      <w:r w:rsidRPr="00360391">
        <w:rPr>
          <w:rFonts w:asciiTheme="majorHAnsi" w:hAnsiTheme="majorHAnsi" w:cstheme="majorHAnsi"/>
          <w:bCs/>
        </w:rPr>
        <w:t>School Improvement Plan (SIP) Guidebook, which</w:t>
      </w:r>
      <w:r>
        <w:rPr>
          <w:rFonts w:asciiTheme="majorHAnsi" w:hAnsiTheme="majorHAnsi" w:cstheme="majorHAnsi"/>
          <w:b/>
          <w:bCs/>
        </w:rPr>
        <w:t xml:space="preserve"> </w:t>
      </w:r>
      <w:r w:rsidRPr="00A50255">
        <w:rPr>
          <w:rFonts w:asciiTheme="majorHAnsi" w:hAnsiTheme="majorHAnsi" w:cstheme="majorHAnsi"/>
        </w:rPr>
        <w:t>provided detail</w:t>
      </w:r>
      <w:r>
        <w:rPr>
          <w:rFonts w:asciiTheme="majorHAnsi" w:hAnsiTheme="majorHAnsi" w:cstheme="majorHAnsi"/>
        </w:rPr>
        <w:t>s on</w:t>
      </w:r>
      <w:r w:rsidRPr="00A50255">
        <w:rPr>
          <w:rFonts w:asciiTheme="majorHAnsi" w:hAnsiTheme="majorHAnsi" w:cstheme="majorHAnsi"/>
        </w:rPr>
        <w:t xml:space="preserve"> the procedure in preparing the enhanced SIP and SRC. The guidelines and the Guidebook serve</w:t>
      </w:r>
      <w:r>
        <w:rPr>
          <w:rFonts w:asciiTheme="majorHAnsi" w:hAnsiTheme="majorHAnsi" w:cstheme="majorHAnsi"/>
        </w:rPr>
        <w:t>d</w:t>
      </w:r>
      <w:r w:rsidRPr="00A50255">
        <w:rPr>
          <w:rFonts w:asciiTheme="majorHAnsi" w:hAnsiTheme="majorHAnsi" w:cstheme="majorHAnsi"/>
        </w:rPr>
        <w:t xml:space="preserve"> as the official reference in the preparation and implementation of the SIP and SRC.</w:t>
      </w:r>
      <w:r w:rsidR="00D434EB">
        <w:rPr>
          <w:rFonts w:asciiTheme="majorHAnsi" w:hAnsiTheme="majorHAnsi" w:cstheme="majorHAnsi"/>
        </w:rPr>
        <w:t xml:space="preserve"> </w:t>
      </w:r>
      <w:r>
        <w:rPr>
          <w:rFonts w:asciiTheme="majorHAnsi" w:hAnsiTheme="majorHAnsi" w:cstheme="majorHAnsi"/>
        </w:rPr>
        <w:t xml:space="preserve">An </w:t>
      </w:r>
      <w:r w:rsidRPr="00956CB0">
        <w:rPr>
          <w:rFonts w:asciiTheme="majorHAnsi" w:hAnsiTheme="majorHAnsi" w:cstheme="majorHAnsi"/>
          <w:color w:val="000000"/>
        </w:rPr>
        <w:t xml:space="preserve">SIP Quality Assessment (QA) Tool </w:t>
      </w:r>
      <w:r>
        <w:rPr>
          <w:rFonts w:asciiTheme="majorHAnsi" w:hAnsiTheme="majorHAnsi" w:cstheme="majorHAnsi"/>
          <w:color w:val="000000"/>
        </w:rPr>
        <w:t>was also developed as a self-assessment instrument for s</w:t>
      </w:r>
      <w:r w:rsidRPr="00956CB0">
        <w:rPr>
          <w:rFonts w:asciiTheme="majorHAnsi" w:hAnsiTheme="majorHAnsi" w:cstheme="majorHAnsi"/>
          <w:color w:val="000000"/>
        </w:rPr>
        <w:t>chools</w:t>
      </w:r>
      <w:r>
        <w:rPr>
          <w:rFonts w:asciiTheme="majorHAnsi" w:hAnsiTheme="majorHAnsi" w:cstheme="majorHAnsi"/>
          <w:color w:val="000000"/>
        </w:rPr>
        <w:t xml:space="preserve"> to check the quality of their SIPs.</w:t>
      </w:r>
    </w:p>
    <w:p w14:paraId="506C44B6" w14:textId="77777777" w:rsidR="008D0CAD" w:rsidRPr="00F03B85" w:rsidRDefault="008D0CAD" w:rsidP="00B31C4E">
      <w:pPr>
        <w:spacing w:before="100" w:beforeAutospacing="1" w:after="100" w:afterAutospacing="1" w:line="360" w:lineRule="auto"/>
        <w:rPr>
          <w:rFonts w:asciiTheme="majorHAnsi" w:hAnsiTheme="majorHAnsi" w:cstheme="majorHAnsi"/>
          <w:color w:val="000000" w:themeColor="text1"/>
        </w:rPr>
      </w:pPr>
      <w:r w:rsidRPr="007435CF">
        <w:rPr>
          <w:rFonts w:asciiTheme="majorHAnsi" w:eastAsia="Calibri" w:hAnsiTheme="majorHAnsi" w:cstheme="majorHAnsi"/>
          <w:color w:val="000000" w:themeColor="text1"/>
        </w:rPr>
        <w:t xml:space="preserve">With technical assistance from the BEST Program, other policy instruments were drafted to strengthen SBM: </w:t>
      </w:r>
      <w:r w:rsidRPr="007435CF">
        <w:rPr>
          <w:rFonts w:asciiTheme="majorHAnsi" w:hAnsiTheme="majorHAnsi" w:cstheme="majorHAnsi"/>
          <w:color w:val="000000" w:themeColor="text1"/>
        </w:rPr>
        <w:t>School Governance Council (SGC) Policy; the School-Based Management Policy Framework; and the School-based Management Assessment Tools.</w:t>
      </w:r>
      <w:r>
        <w:rPr>
          <w:rStyle w:val="FootnoteReference"/>
          <w:rFonts w:asciiTheme="majorHAnsi" w:eastAsia="Arial Unicode MS" w:hAnsiTheme="majorHAnsi" w:cstheme="majorHAnsi"/>
          <w:color w:val="000000" w:themeColor="text1"/>
        </w:rPr>
        <w:footnoteReference w:id="72"/>
      </w:r>
      <w:r>
        <w:rPr>
          <w:rFonts w:asciiTheme="majorHAnsi" w:hAnsiTheme="majorHAnsi" w:cstheme="majorHAnsi"/>
          <w:color w:val="000000" w:themeColor="text1"/>
        </w:rPr>
        <w:t xml:space="preserve"> </w:t>
      </w:r>
    </w:p>
    <w:p w14:paraId="6494E0FE" w14:textId="6CB6345E" w:rsidR="008D0CAD" w:rsidRDefault="008D0CAD" w:rsidP="00B31C4E">
      <w:pPr>
        <w:spacing w:before="100" w:beforeAutospacing="1" w:after="100" w:afterAutospacing="1" w:line="360" w:lineRule="auto"/>
        <w:rPr>
          <w:rFonts w:asciiTheme="majorHAnsi" w:hAnsiTheme="majorHAnsi" w:cstheme="majorHAnsi"/>
          <w:color w:val="000000" w:themeColor="text1"/>
        </w:rPr>
      </w:pPr>
      <w:r w:rsidRPr="00215D66">
        <w:rPr>
          <w:rFonts w:asciiTheme="majorHAnsi" w:hAnsiTheme="majorHAnsi" w:cstheme="majorHAnsi"/>
          <w:b/>
          <w:bCs/>
        </w:rPr>
        <w:t>RO</w:t>
      </w:r>
      <w:r>
        <w:rPr>
          <w:rFonts w:asciiTheme="majorHAnsi" w:hAnsiTheme="majorHAnsi" w:cstheme="majorHAnsi"/>
          <w:b/>
          <w:bCs/>
        </w:rPr>
        <w:t>s</w:t>
      </w:r>
      <w:r w:rsidRPr="00215D66">
        <w:rPr>
          <w:rFonts w:asciiTheme="majorHAnsi" w:hAnsiTheme="majorHAnsi" w:cstheme="majorHAnsi"/>
          <w:b/>
          <w:bCs/>
        </w:rPr>
        <w:t>/DO</w:t>
      </w:r>
      <w:r>
        <w:rPr>
          <w:rFonts w:asciiTheme="majorHAnsi" w:hAnsiTheme="majorHAnsi" w:cstheme="majorHAnsi"/>
          <w:b/>
          <w:bCs/>
        </w:rPr>
        <w:t>s</w:t>
      </w:r>
      <w:r w:rsidRPr="00215D66">
        <w:rPr>
          <w:rFonts w:asciiTheme="majorHAnsi" w:hAnsiTheme="majorHAnsi" w:cstheme="majorHAnsi"/>
          <w:b/>
          <w:bCs/>
        </w:rPr>
        <w:t xml:space="preserve"> </w:t>
      </w:r>
      <w:r>
        <w:rPr>
          <w:rFonts w:asciiTheme="majorHAnsi" w:hAnsiTheme="majorHAnsi" w:cstheme="majorHAnsi"/>
          <w:b/>
          <w:bCs/>
        </w:rPr>
        <w:t>on SBM</w:t>
      </w:r>
      <w:r>
        <w:rPr>
          <w:rFonts w:asciiTheme="majorHAnsi" w:hAnsiTheme="majorHAnsi" w:cstheme="majorHAnsi"/>
        </w:rPr>
        <w:t xml:space="preserve">. </w:t>
      </w:r>
      <w:r>
        <w:rPr>
          <w:rFonts w:asciiTheme="majorHAnsi" w:hAnsiTheme="majorHAnsi" w:cstheme="majorHAnsi"/>
          <w:bCs/>
          <w:color w:val="000000" w:themeColor="text1"/>
        </w:rPr>
        <w:t>U</w:t>
      </w:r>
      <w:r w:rsidRPr="00DD68D7">
        <w:rPr>
          <w:rFonts w:asciiTheme="majorHAnsi" w:hAnsiTheme="majorHAnsi" w:cstheme="majorHAnsi"/>
          <w:bCs/>
          <w:color w:val="000000" w:themeColor="text1"/>
        </w:rPr>
        <w:t>nderstanding of SBM</w:t>
      </w:r>
      <w:r>
        <w:rPr>
          <w:rFonts w:asciiTheme="majorHAnsi" w:hAnsiTheme="majorHAnsi" w:cstheme="majorHAnsi"/>
          <w:bCs/>
          <w:color w:val="000000" w:themeColor="text1"/>
        </w:rPr>
        <w:t xml:space="preserve"> among the</w:t>
      </w:r>
      <w:r w:rsidRPr="00C746EB">
        <w:rPr>
          <w:rFonts w:asciiTheme="majorHAnsi" w:hAnsiTheme="majorHAnsi" w:cstheme="majorHAnsi"/>
          <w:bCs/>
          <w:color w:val="000000" w:themeColor="text1"/>
        </w:rPr>
        <w:t xml:space="preserve"> RO</w:t>
      </w:r>
      <w:r>
        <w:rPr>
          <w:rFonts w:asciiTheme="majorHAnsi" w:hAnsiTheme="majorHAnsi" w:cstheme="majorHAnsi"/>
          <w:bCs/>
          <w:color w:val="000000" w:themeColor="text1"/>
        </w:rPr>
        <w:t xml:space="preserve"> and </w:t>
      </w:r>
      <w:r w:rsidRPr="00C746EB">
        <w:rPr>
          <w:rFonts w:asciiTheme="majorHAnsi" w:hAnsiTheme="majorHAnsi" w:cstheme="majorHAnsi"/>
          <w:bCs/>
          <w:color w:val="000000" w:themeColor="text1"/>
        </w:rPr>
        <w:t>DO</w:t>
      </w:r>
      <w:r>
        <w:rPr>
          <w:rFonts w:asciiTheme="majorHAnsi" w:hAnsiTheme="majorHAnsi" w:cstheme="majorHAnsi"/>
          <w:bCs/>
          <w:color w:val="000000" w:themeColor="text1"/>
        </w:rPr>
        <w:t xml:space="preserve"> respondents</w:t>
      </w:r>
      <w:r w:rsidRPr="00C746EB">
        <w:rPr>
          <w:rFonts w:asciiTheme="majorHAnsi" w:hAnsiTheme="majorHAnsi" w:cstheme="majorHAnsi"/>
          <w:b/>
          <w:bCs/>
          <w:color w:val="000000" w:themeColor="text1"/>
        </w:rPr>
        <w:t xml:space="preserve"> </w:t>
      </w:r>
      <w:r w:rsidRPr="00DD68D7">
        <w:rPr>
          <w:rFonts w:asciiTheme="majorHAnsi" w:hAnsiTheme="majorHAnsi" w:cstheme="majorHAnsi"/>
          <w:bCs/>
          <w:color w:val="000000" w:themeColor="text1"/>
        </w:rPr>
        <w:t>was high.</w:t>
      </w:r>
      <w:r>
        <w:rPr>
          <w:rFonts w:asciiTheme="majorHAnsi" w:hAnsiTheme="majorHAnsi" w:cstheme="majorHAnsi"/>
          <w:b/>
          <w:bCs/>
          <w:color w:val="000000" w:themeColor="text1"/>
        </w:rPr>
        <w:t xml:space="preserve"> </w:t>
      </w:r>
      <w:r>
        <w:rPr>
          <w:rFonts w:asciiTheme="majorHAnsi" w:hAnsiTheme="majorHAnsi" w:cstheme="majorHAnsi"/>
          <w:color w:val="000000" w:themeColor="text1"/>
        </w:rPr>
        <w:t>Respondents stated that the</w:t>
      </w:r>
      <w:r w:rsidRPr="00C746EB">
        <w:rPr>
          <w:rFonts w:asciiTheme="majorHAnsi" w:hAnsiTheme="majorHAnsi" w:cstheme="majorHAnsi"/>
          <w:color w:val="000000" w:themeColor="text1"/>
        </w:rPr>
        <w:t xml:space="preserve"> SIP</w:t>
      </w:r>
      <w:r>
        <w:rPr>
          <w:rFonts w:asciiTheme="majorHAnsi" w:hAnsiTheme="majorHAnsi" w:cstheme="majorHAnsi"/>
          <w:color w:val="000000" w:themeColor="text1"/>
        </w:rPr>
        <w:t>s</w:t>
      </w:r>
      <w:r w:rsidRPr="00C746EB">
        <w:rPr>
          <w:rFonts w:asciiTheme="majorHAnsi" w:hAnsiTheme="majorHAnsi" w:cstheme="majorHAnsi"/>
          <w:color w:val="000000" w:themeColor="text1"/>
        </w:rPr>
        <w:t xml:space="preserve"> and </w:t>
      </w:r>
      <w:r>
        <w:rPr>
          <w:rFonts w:asciiTheme="majorHAnsi" w:hAnsiTheme="majorHAnsi" w:cstheme="majorHAnsi"/>
          <w:color w:val="000000" w:themeColor="text1"/>
        </w:rPr>
        <w:t xml:space="preserve">the </w:t>
      </w:r>
      <w:r w:rsidRPr="00C746EB">
        <w:rPr>
          <w:rFonts w:asciiTheme="majorHAnsi" w:hAnsiTheme="majorHAnsi" w:cstheme="majorHAnsi"/>
          <w:color w:val="000000" w:themeColor="text1"/>
        </w:rPr>
        <w:t>SGC</w:t>
      </w:r>
      <w:r>
        <w:rPr>
          <w:rFonts w:asciiTheme="majorHAnsi" w:hAnsiTheme="majorHAnsi" w:cstheme="majorHAnsi"/>
          <w:color w:val="000000" w:themeColor="text1"/>
        </w:rPr>
        <w:t>s</w:t>
      </w:r>
      <w:r w:rsidRPr="00C746EB">
        <w:rPr>
          <w:rFonts w:asciiTheme="majorHAnsi" w:hAnsiTheme="majorHAnsi" w:cstheme="majorHAnsi"/>
          <w:color w:val="000000" w:themeColor="text1"/>
        </w:rPr>
        <w:t xml:space="preserve"> strengthened the involvement of stakeholders</w:t>
      </w:r>
      <w:r>
        <w:rPr>
          <w:rFonts w:asciiTheme="majorHAnsi" w:hAnsiTheme="majorHAnsi" w:cstheme="majorHAnsi"/>
          <w:color w:val="000000" w:themeColor="text1"/>
        </w:rPr>
        <w:t xml:space="preserve"> and </w:t>
      </w:r>
      <w:r w:rsidRPr="00C746EB">
        <w:rPr>
          <w:rFonts w:asciiTheme="majorHAnsi" w:hAnsiTheme="majorHAnsi" w:cstheme="majorHAnsi"/>
          <w:color w:val="000000" w:themeColor="text1"/>
        </w:rPr>
        <w:t>diffused the primary control on the development of schools from mainly the school heads</w:t>
      </w:r>
      <w:r>
        <w:rPr>
          <w:rFonts w:asciiTheme="majorHAnsi" w:hAnsiTheme="majorHAnsi" w:cstheme="majorHAnsi"/>
          <w:color w:val="000000" w:themeColor="text1"/>
        </w:rPr>
        <w:t xml:space="preserve"> (which was the previous practice)</w:t>
      </w:r>
      <w:r w:rsidRPr="00C746EB">
        <w:rPr>
          <w:rFonts w:asciiTheme="majorHAnsi" w:hAnsiTheme="majorHAnsi" w:cstheme="majorHAnsi"/>
          <w:color w:val="000000" w:themeColor="text1"/>
        </w:rPr>
        <w:t xml:space="preserve"> to </w:t>
      </w:r>
      <w:r>
        <w:rPr>
          <w:rFonts w:asciiTheme="majorHAnsi" w:hAnsiTheme="majorHAnsi" w:cstheme="majorHAnsi"/>
          <w:color w:val="000000" w:themeColor="text1"/>
        </w:rPr>
        <w:t>inclusion of</w:t>
      </w:r>
      <w:r w:rsidRPr="00C746EB">
        <w:rPr>
          <w:rFonts w:asciiTheme="majorHAnsi" w:hAnsiTheme="majorHAnsi" w:cstheme="majorHAnsi"/>
          <w:color w:val="000000" w:themeColor="text1"/>
        </w:rPr>
        <w:t xml:space="preserve"> other stakeholders</w:t>
      </w:r>
      <w:r>
        <w:rPr>
          <w:rFonts w:asciiTheme="majorHAnsi" w:hAnsiTheme="majorHAnsi" w:cstheme="majorHAnsi"/>
          <w:color w:val="000000" w:themeColor="text1"/>
        </w:rPr>
        <w:t xml:space="preserve"> (such as the parents and communities)</w:t>
      </w:r>
      <w:r w:rsidRPr="00C746EB">
        <w:rPr>
          <w:rFonts w:asciiTheme="majorHAnsi" w:hAnsiTheme="majorHAnsi" w:cstheme="majorHAnsi"/>
          <w:color w:val="000000" w:themeColor="text1"/>
        </w:rPr>
        <w:t>.</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The RO/DO respondents highlighted several benefits derived from the SBM interventions (Box 5).</w:t>
      </w:r>
      <w:r w:rsidR="00D434EB">
        <w:rPr>
          <w:rFonts w:asciiTheme="majorHAnsi" w:hAnsiTheme="majorHAnsi" w:cstheme="majorHAnsi"/>
          <w:color w:val="000000" w:themeColor="text1"/>
        </w:rPr>
        <w:t xml:space="preserve"> </w:t>
      </w:r>
      <w:r w:rsidRPr="00C746EB">
        <w:rPr>
          <w:rFonts w:asciiTheme="majorHAnsi" w:hAnsiTheme="majorHAnsi" w:cstheme="majorHAnsi"/>
          <w:color w:val="000000" w:themeColor="text1"/>
        </w:rPr>
        <w:t>The</w:t>
      </w:r>
      <w:r>
        <w:rPr>
          <w:rFonts w:asciiTheme="majorHAnsi" w:hAnsiTheme="majorHAnsi" w:cstheme="majorHAnsi"/>
          <w:color w:val="000000" w:themeColor="text1"/>
        </w:rPr>
        <w:t xml:space="preserve">y </w:t>
      </w:r>
      <w:r w:rsidRPr="00C746EB">
        <w:rPr>
          <w:rFonts w:asciiTheme="majorHAnsi" w:hAnsiTheme="majorHAnsi" w:cstheme="majorHAnsi"/>
          <w:color w:val="000000" w:themeColor="text1"/>
        </w:rPr>
        <w:t xml:space="preserve">stated that </w:t>
      </w:r>
      <w:r>
        <w:rPr>
          <w:rFonts w:asciiTheme="majorHAnsi" w:hAnsiTheme="majorHAnsi" w:cstheme="majorHAnsi"/>
          <w:color w:val="000000" w:themeColor="text1"/>
        </w:rPr>
        <w:t>because all schools had prepared their SIPs</w:t>
      </w:r>
      <w:r w:rsidRPr="00CF234B">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in 2016, </w:t>
      </w:r>
      <w:r w:rsidRPr="00C746EB">
        <w:rPr>
          <w:rFonts w:asciiTheme="majorHAnsi" w:hAnsiTheme="majorHAnsi" w:cstheme="majorHAnsi"/>
          <w:color w:val="000000" w:themeColor="text1"/>
        </w:rPr>
        <w:t xml:space="preserve">the </w:t>
      </w:r>
      <w:r>
        <w:rPr>
          <w:rFonts w:asciiTheme="majorHAnsi" w:hAnsiTheme="majorHAnsi" w:cstheme="majorHAnsi"/>
          <w:color w:val="000000" w:themeColor="text1"/>
        </w:rPr>
        <w:t xml:space="preserve">ROs and DOs </w:t>
      </w:r>
      <w:r w:rsidRPr="00C746EB">
        <w:rPr>
          <w:rFonts w:asciiTheme="majorHAnsi" w:hAnsiTheme="majorHAnsi" w:cstheme="majorHAnsi"/>
          <w:color w:val="000000" w:themeColor="text1"/>
        </w:rPr>
        <w:t xml:space="preserve">were better able to monitor the </w:t>
      </w:r>
      <w:r>
        <w:rPr>
          <w:rFonts w:asciiTheme="majorHAnsi" w:hAnsiTheme="majorHAnsi" w:cstheme="majorHAnsi"/>
          <w:color w:val="000000" w:themeColor="text1"/>
        </w:rPr>
        <w:t>activities</w:t>
      </w:r>
      <w:r w:rsidRPr="00C746EB">
        <w:rPr>
          <w:rFonts w:asciiTheme="majorHAnsi" w:hAnsiTheme="majorHAnsi" w:cstheme="majorHAnsi"/>
          <w:color w:val="000000" w:themeColor="text1"/>
        </w:rPr>
        <w:t xml:space="preserve"> of schools</w:t>
      </w:r>
      <w:r>
        <w:rPr>
          <w:rFonts w:asciiTheme="majorHAnsi" w:hAnsiTheme="majorHAnsi" w:cstheme="majorHAnsi"/>
          <w:color w:val="000000" w:themeColor="text1"/>
        </w:rPr>
        <w:t xml:space="preserve"> including their expenditure, unlike in previous years.</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They added: </w:t>
      </w:r>
    </w:p>
    <w:p w14:paraId="3E88592C" w14:textId="77777777" w:rsidR="008D0CAD" w:rsidRPr="006D646D" w:rsidRDefault="008D0CAD" w:rsidP="00B31C4E">
      <w:pPr>
        <w:pStyle w:val="ListParagraph"/>
        <w:numPr>
          <w:ilvl w:val="0"/>
          <w:numId w:val="13"/>
        </w:numPr>
        <w:spacing w:before="100" w:beforeAutospacing="1" w:after="100" w:afterAutospacing="1" w:line="360" w:lineRule="auto"/>
        <w:ind w:left="714" w:hanging="357"/>
        <w:contextualSpacing w:val="0"/>
        <w:rPr>
          <w:rFonts w:asciiTheme="majorHAnsi" w:hAnsiTheme="majorHAnsi" w:cstheme="majorHAnsi"/>
          <w:i/>
          <w:color w:val="000000" w:themeColor="text1"/>
        </w:rPr>
      </w:pPr>
      <w:r w:rsidRPr="006D646D">
        <w:rPr>
          <w:rFonts w:asciiTheme="majorHAnsi" w:hAnsiTheme="majorHAnsi" w:cstheme="majorHAnsi"/>
          <w:i/>
          <w:color w:val="000000" w:themeColor="text1"/>
        </w:rPr>
        <w:t>“[The BEST Program interventions were] very significant especially the SIP. The utili</w:t>
      </w:r>
      <w:r>
        <w:rPr>
          <w:rFonts w:asciiTheme="majorHAnsi" w:hAnsiTheme="majorHAnsi" w:cstheme="majorHAnsi"/>
          <w:i/>
          <w:color w:val="000000" w:themeColor="text1"/>
        </w:rPr>
        <w:t>s</w:t>
      </w:r>
      <w:r w:rsidRPr="006D646D">
        <w:rPr>
          <w:rFonts w:asciiTheme="majorHAnsi" w:hAnsiTheme="majorHAnsi" w:cstheme="majorHAnsi"/>
          <w:i/>
          <w:color w:val="000000" w:themeColor="text1"/>
        </w:rPr>
        <w:t>ation of funds should be reflected at the AIP. The schools should assess what are the priority needs and then allocate budget. The rule is that no AIP, no SIP, no MOOE. Before BEST, the school heads just “copy and paste” from other schools. There is no assessment and no planning. So budgeting is not needs-based. Now, there is a department in the division office who checks this. There is also a guide being used.”</w:t>
      </w:r>
    </w:p>
    <w:p w14:paraId="0FD1D237" w14:textId="77777777" w:rsidR="008D0CAD" w:rsidRPr="00F6007D" w:rsidRDefault="008D0CAD" w:rsidP="00B31C4E">
      <w:pPr>
        <w:pStyle w:val="ListParagraph"/>
        <w:numPr>
          <w:ilvl w:val="0"/>
          <w:numId w:val="13"/>
        </w:numPr>
        <w:spacing w:before="100" w:beforeAutospacing="1" w:after="100" w:afterAutospacing="1" w:line="360" w:lineRule="auto"/>
        <w:ind w:left="714" w:hanging="357"/>
        <w:contextualSpacing w:val="0"/>
        <w:rPr>
          <w:rFonts w:asciiTheme="majorHAnsi" w:hAnsiTheme="majorHAnsi" w:cstheme="majorHAnsi"/>
          <w:i/>
        </w:rPr>
      </w:pPr>
      <w:r w:rsidRPr="006D646D">
        <w:rPr>
          <w:rFonts w:asciiTheme="majorHAnsi" w:hAnsiTheme="majorHAnsi" w:cstheme="majorHAnsi"/>
          <w:i/>
          <w:color w:val="000000" w:themeColor="text1"/>
        </w:rPr>
        <w:t xml:space="preserve">“Before, the </w:t>
      </w:r>
      <w:r>
        <w:rPr>
          <w:rFonts w:asciiTheme="majorHAnsi" w:hAnsiTheme="majorHAnsi" w:cstheme="majorHAnsi"/>
          <w:i/>
          <w:color w:val="000000" w:themeColor="text1"/>
        </w:rPr>
        <w:t xml:space="preserve">[school] </w:t>
      </w:r>
      <w:r w:rsidRPr="006D646D">
        <w:rPr>
          <w:rFonts w:asciiTheme="majorHAnsi" w:hAnsiTheme="majorHAnsi" w:cstheme="majorHAnsi"/>
          <w:i/>
          <w:color w:val="000000" w:themeColor="text1"/>
        </w:rPr>
        <w:t>plans are “kalat-kalat” (</w:t>
      </w:r>
      <w:r>
        <w:rPr>
          <w:rFonts w:asciiTheme="majorHAnsi" w:hAnsiTheme="majorHAnsi" w:cstheme="majorHAnsi"/>
          <w:i/>
          <w:color w:val="000000" w:themeColor="text1"/>
        </w:rPr>
        <w:t>scatter</w:t>
      </w:r>
      <w:r w:rsidRPr="006D646D">
        <w:rPr>
          <w:rFonts w:asciiTheme="majorHAnsi" w:hAnsiTheme="majorHAnsi" w:cstheme="majorHAnsi"/>
          <w:i/>
          <w:color w:val="000000" w:themeColor="text1"/>
        </w:rPr>
        <w:t>ed). Now the School Effectiveness Division (SED) is focused on the SIP. SIP is the basis for budgeting. Not only is the MOOE undergoing prioriti</w:t>
      </w:r>
      <w:r>
        <w:rPr>
          <w:rFonts w:asciiTheme="majorHAnsi" w:hAnsiTheme="majorHAnsi" w:cstheme="majorHAnsi"/>
          <w:i/>
          <w:color w:val="000000" w:themeColor="text1"/>
        </w:rPr>
        <w:t>s</w:t>
      </w:r>
      <w:r w:rsidRPr="006D646D">
        <w:rPr>
          <w:rFonts w:asciiTheme="majorHAnsi" w:hAnsiTheme="majorHAnsi" w:cstheme="majorHAnsi"/>
          <w:i/>
          <w:color w:val="000000" w:themeColor="text1"/>
        </w:rPr>
        <w:t>ation but also support from other stakeholders.”</w:t>
      </w:r>
    </w:p>
    <w:p w14:paraId="7F7A4AAA" w14:textId="77777777" w:rsidR="008D0CAD" w:rsidRPr="006D646D" w:rsidRDefault="008D0CAD" w:rsidP="00B31C4E">
      <w:pPr>
        <w:pStyle w:val="ListParagraph"/>
        <w:numPr>
          <w:ilvl w:val="0"/>
          <w:numId w:val="13"/>
        </w:numPr>
        <w:spacing w:before="100" w:beforeAutospacing="1" w:after="100" w:afterAutospacing="1" w:line="360" w:lineRule="auto"/>
        <w:ind w:left="714" w:hanging="357"/>
        <w:contextualSpacing w:val="0"/>
        <w:rPr>
          <w:rFonts w:asciiTheme="majorHAnsi" w:hAnsiTheme="majorHAnsi" w:cstheme="majorHAnsi"/>
          <w:i/>
        </w:rPr>
      </w:pPr>
      <w:r w:rsidRPr="006D646D">
        <w:rPr>
          <w:rFonts w:asciiTheme="majorHAnsi" w:hAnsiTheme="majorHAnsi" w:cstheme="majorHAnsi"/>
          <w:i/>
        </w:rPr>
        <w:t>“The preparation of the SIP before had no focus. There were no specific directions since there was no specific department to focus or look into this. Another contribution of the project is that the content, systems and processes [for SBM] were enhanced unlike before that there was none.”</w:t>
      </w:r>
    </w:p>
    <w:p w14:paraId="118F4EED" w14:textId="5CE58395" w:rsidR="00943C0A" w:rsidRDefault="008D0CAD" w:rsidP="00B31C4E">
      <w:pPr>
        <w:pStyle w:val="ListParagraph"/>
        <w:numPr>
          <w:ilvl w:val="0"/>
          <w:numId w:val="13"/>
        </w:numPr>
        <w:spacing w:before="100" w:beforeAutospacing="1" w:after="100" w:afterAutospacing="1" w:line="360" w:lineRule="auto"/>
        <w:rPr>
          <w:rFonts w:asciiTheme="majorHAnsi" w:hAnsiTheme="majorHAnsi" w:cstheme="majorHAnsi"/>
          <w:i/>
        </w:rPr>
      </w:pPr>
      <w:r w:rsidRPr="006D646D">
        <w:rPr>
          <w:rFonts w:asciiTheme="majorHAnsi" w:hAnsiTheme="majorHAnsi" w:cstheme="majorHAnsi"/>
          <w:i/>
        </w:rPr>
        <w:t>“SBM is also enhanced particularly the inclusion of Continuous Improvement (CI) since it is the process that particularly identifies the Priority Improvement Area (PIA). And this is their focus now, unlike before where the preparation of the SIP is just for the sake of complying since it is a requirement in order to have MOOE. But with the introduction of the CI, this now is a side by side process in the SIP crafting so there is focus. If there is a project proposal and it is not included in the SIP, this will not be approved. All proposed projects should be in the PIA and SIP so that there will be budget allocation.”</w:t>
      </w:r>
    </w:p>
    <w:p w14:paraId="6BF5D4C7" w14:textId="77777777" w:rsidR="004A657A" w:rsidRDefault="004A657A" w:rsidP="00B31C4E">
      <w:pPr>
        <w:pStyle w:val="ListParagraph"/>
        <w:spacing w:before="100" w:beforeAutospacing="1" w:after="100" w:afterAutospacing="1" w:line="360" w:lineRule="auto"/>
        <w:rPr>
          <w:rFonts w:asciiTheme="majorHAnsi" w:hAnsiTheme="majorHAnsi" w:cstheme="majorHAnsi"/>
          <w:i/>
        </w:rPr>
      </w:pPr>
    </w:p>
    <w:p w14:paraId="41D3949E" w14:textId="77777777" w:rsidR="00076653" w:rsidRPr="00943C0A" w:rsidRDefault="00943C0A" w:rsidP="00B31C4E">
      <w:pPr>
        <w:pStyle w:val="ListParagraph"/>
        <w:spacing w:before="100" w:beforeAutospacing="1" w:after="100" w:afterAutospacing="1" w:line="360" w:lineRule="auto"/>
        <w:ind w:left="0"/>
        <w:rPr>
          <w:rFonts w:asciiTheme="majorHAnsi" w:hAnsiTheme="majorHAnsi" w:cstheme="majorHAnsi"/>
          <w:i/>
        </w:rPr>
      </w:pPr>
      <w:r w:rsidRPr="00076653">
        <w:rPr>
          <w:noProof/>
          <w:lang w:val="en-AU" w:eastAsia="en-AU"/>
        </w:rPr>
        <mc:AlternateContent>
          <mc:Choice Requires="wps">
            <w:drawing>
              <wp:inline distT="0" distB="0" distL="0" distR="0" wp14:anchorId="7298D9BE" wp14:editId="20AFC9B4">
                <wp:extent cx="5663821" cy="4674358"/>
                <wp:effectExtent l="0" t="0" r="13335" b="12065"/>
                <wp:docPr id="8" name="Text Box 2" descr="Results of FGD on SB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3821" cy="4674358"/>
                        </a:xfrm>
                        <a:prstGeom prst="rect">
                          <a:avLst/>
                        </a:prstGeom>
                        <a:solidFill>
                          <a:srgbClr val="FFFFFF"/>
                        </a:solidFill>
                        <a:ln w="9525">
                          <a:solidFill>
                            <a:srgbClr val="000000"/>
                          </a:solidFill>
                          <a:miter lim="800000"/>
                          <a:headEnd/>
                          <a:tailEnd/>
                        </a:ln>
                      </wps:spPr>
                      <wps:txbx>
                        <w:txbxContent>
                          <w:p w14:paraId="7AE2ED8D" w14:textId="77777777" w:rsidR="00B33BA9" w:rsidRPr="004A657A" w:rsidRDefault="00B33BA9" w:rsidP="00B31C4E">
                            <w:pPr>
                              <w:spacing w:before="100" w:beforeAutospacing="1" w:after="100" w:afterAutospacing="1" w:line="360" w:lineRule="auto"/>
                              <w:rPr>
                                <w:rFonts w:asciiTheme="majorHAnsi" w:hAnsiTheme="majorHAnsi" w:cstheme="majorHAnsi"/>
                                <w:b/>
                                <w:bCs/>
                                <w:sz w:val="21"/>
                                <w:szCs w:val="21"/>
                              </w:rPr>
                            </w:pPr>
                            <w:r w:rsidRPr="004A657A">
                              <w:rPr>
                                <w:rFonts w:asciiTheme="majorHAnsi" w:hAnsiTheme="majorHAnsi" w:cstheme="majorHAnsi"/>
                                <w:b/>
                                <w:bCs/>
                                <w:sz w:val="21"/>
                                <w:szCs w:val="21"/>
                              </w:rPr>
                              <w:t>Box 5. FGD Responses on SBM</w:t>
                            </w:r>
                          </w:p>
                          <w:p w14:paraId="6EC0449D" w14:textId="77777777" w:rsidR="00B33BA9" w:rsidRPr="004A657A" w:rsidRDefault="00B33BA9" w:rsidP="00B31C4E">
                            <w:pPr>
                              <w:spacing w:before="100" w:beforeAutospacing="1" w:after="100" w:afterAutospacing="1" w:line="360" w:lineRule="auto"/>
                              <w:rPr>
                                <w:rFonts w:asciiTheme="majorHAnsi" w:hAnsiTheme="majorHAnsi" w:cstheme="majorHAnsi"/>
                                <w:sz w:val="21"/>
                                <w:szCs w:val="21"/>
                              </w:rPr>
                            </w:pPr>
                            <w:r w:rsidRPr="004A657A">
                              <w:rPr>
                                <w:rFonts w:asciiTheme="majorHAnsi" w:hAnsiTheme="majorHAnsi" w:cstheme="majorHAnsi"/>
                                <w:sz w:val="21"/>
                                <w:szCs w:val="21"/>
                              </w:rPr>
                              <w:t>As background, after the issuance of DepEd Order 83 series of 2012- The School Based Management Assessment Processes and Tools (SBM APAT), there was no follow up issuances along that line for the implementation of the said order. So, the 2</w:t>
                            </w:r>
                            <w:r w:rsidRPr="004A657A">
                              <w:rPr>
                                <w:rFonts w:asciiTheme="majorHAnsi" w:hAnsiTheme="majorHAnsi" w:cstheme="majorHAnsi"/>
                                <w:sz w:val="21"/>
                                <w:szCs w:val="21"/>
                                <w:vertAlign w:val="superscript"/>
                              </w:rPr>
                              <w:t>nd</w:t>
                            </w:r>
                            <w:r w:rsidRPr="004A657A">
                              <w:rPr>
                                <w:rFonts w:asciiTheme="majorHAnsi" w:hAnsiTheme="majorHAnsi" w:cstheme="majorHAnsi"/>
                                <w:sz w:val="21"/>
                                <w:szCs w:val="21"/>
                              </w:rPr>
                              <w:t xml:space="preserve"> part [of the budget], which was 40%, was not utilized due to lack of artifacts. When rationalization came, the people in the central office changed so nothing happened with this. When BEST started, they prioritized the crafting of the School Improvement Plan (SIP).</w:t>
                            </w:r>
                          </w:p>
                          <w:p w14:paraId="611527C1" w14:textId="77777777" w:rsidR="00B33BA9" w:rsidRPr="004A657A" w:rsidRDefault="00B33BA9" w:rsidP="00B31C4E">
                            <w:pPr>
                              <w:spacing w:before="100" w:beforeAutospacing="1" w:after="100" w:afterAutospacing="1" w:line="360" w:lineRule="auto"/>
                              <w:rPr>
                                <w:rFonts w:asciiTheme="majorHAnsi" w:hAnsiTheme="majorHAnsi" w:cstheme="majorHAnsi"/>
                                <w:sz w:val="21"/>
                                <w:szCs w:val="21"/>
                              </w:rPr>
                            </w:pPr>
                            <w:r w:rsidRPr="004A657A">
                              <w:rPr>
                                <w:rFonts w:asciiTheme="majorHAnsi" w:hAnsiTheme="majorHAnsi" w:cstheme="majorHAnsi"/>
                                <w:sz w:val="21"/>
                                <w:szCs w:val="21"/>
                              </w:rPr>
                              <w:t xml:space="preserve">In 2015 we already had the Enhanced SIP. There were trainers sent to the national for a Training of Trainers then they cascaded this to the Divisions and the schools. Since this was a cycle, after three years, we now use instructional videos in crafting SIPs. This was already downloaded last December and last January the schools have already started crafting their SIPs using these videos. </w:t>
                            </w:r>
                          </w:p>
                          <w:p w14:paraId="03A30689" w14:textId="77777777" w:rsidR="00B33BA9" w:rsidRPr="004A657A" w:rsidRDefault="00B33BA9" w:rsidP="00B31C4E">
                            <w:pPr>
                              <w:spacing w:before="100" w:beforeAutospacing="1" w:after="100" w:afterAutospacing="1" w:line="360" w:lineRule="auto"/>
                              <w:rPr>
                                <w:rFonts w:asciiTheme="majorHAnsi" w:hAnsiTheme="majorHAnsi" w:cstheme="majorHAnsi"/>
                                <w:sz w:val="21"/>
                                <w:szCs w:val="21"/>
                              </w:rPr>
                            </w:pPr>
                            <w:r w:rsidRPr="004A657A">
                              <w:rPr>
                                <w:rFonts w:asciiTheme="majorHAnsi" w:hAnsiTheme="majorHAnsi" w:cstheme="majorHAnsi"/>
                                <w:sz w:val="21"/>
                                <w:szCs w:val="21"/>
                              </w:rPr>
                              <w:t xml:space="preserve">BEST is now starting to focus on the crafting of the SBM APAT which started last month. This was the guideline to be used on the accreditation of schools from Level 1 to 3. While waiting for the SBM version APAT manual, the Regional Office formulated a contextualized version of the SBM to be used in the assessment of the level of practice schools. </w:t>
                            </w:r>
                          </w:p>
                          <w:p w14:paraId="203E6D12" w14:textId="77777777" w:rsidR="00B33BA9" w:rsidRPr="004A657A" w:rsidRDefault="00B33BA9" w:rsidP="00DD08E3">
                            <w:pPr>
                              <w:pStyle w:val="ListParagraph"/>
                              <w:numPr>
                                <w:ilvl w:val="0"/>
                                <w:numId w:val="160"/>
                              </w:numPr>
                              <w:spacing w:before="100" w:beforeAutospacing="1" w:after="100" w:afterAutospacing="1" w:line="360" w:lineRule="auto"/>
                              <w:rPr>
                                <w:rFonts w:asciiTheme="majorHAnsi" w:hAnsiTheme="majorHAnsi" w:cstheme="majorHAnsi"/>
                                <w:sz w:val="21"/>
                                <w:szCs w:val="21"/>
                              </w:rPr>
                            </w:pPr>
                            <w:r w:rsidRPr="004A657A">
                              <w:rPr>
                                <w:rFonts w:asciiTheme="majorHAnsi" w:hAnsiTheme="majorHAnsi" w:cstheme="majorHAnsi"/>
                                <w:sz w:val="21"/>
                                <w:szCs w:val="21"/>
                              </w:rPr>
                              <w:t>RO Respondent</w:t>
                            </w:r>
                          </w:p>
                        </w:txbxContent>
                      </wps:txbx>
                      <wps:bodyPr rot="0" vert="horz" wrap="square" lIns="91440" tIns="45720" rIns="91440" bIns="45720" anchor="t" anchorCtr="0">
                        <a:noAutofit/>
                      </wps:bodyPr>
                    </wps:wsp>
                  </a:graphicData>
                </a:graphic>
              </wp:inline>
            </w:drawing>
          </mc:Choice>
          <mc:Fallback>
            <w:pict>
              <v:shape w14:anchorId="7298D9BE" id="_x0000_s1027" type="#_x0000_t202" alt="Results of FGD on SBM" style="width:445.95pt;height:36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">
                <v:textbox>
                  <w:txbxContent>
                    <w:p w14:paraId="7AE2ED8D" w14:textId="77777777" w:rsidR="00B33BA9" w:rsidRPr="004A657A" w:rsidRDefault="00B33BA9" w:rsidP="00B31C4E">
                      <w:pPr>
                        <w:spacing w:before="100" w:beforeAutospacing="1" w:after="100" w:afterAutospacing="1" w:line="360" w:lineRule="auto"/>
                        <w:rPr>
                          <w:rFonts w:asciiTheme="majorHAnsi" w:hAnsiTheme="majorHAnsi" w:cstheme="majorHAnsi"/>
                          <w:b/>
                          <w:bCs/>
                          <w:sz w:val="21"/>
                          <w:szCs w:val="21"/>
                        </w:rPr>
                      </w:pPr>
                      <w:r w:rsidRPr="004A657A">
                        <w:rPr>
                          <w:rFonts w:asciiTheme="majorHAnsi" w:hAnsiTheme="majorHAnsi" w:cstheme="majorHAnsi"/>
                          <w:b/>
                          <w:bCs/>
                          <w:sz w:val="21"/>
                          <w:szCs w:val="21"/>
                        </w:rPr>
                        <w:t>Box 5. FGD Responses on SBM</w:t>
                      </w:r>
                    </w:p>
                    <w:p w14:paraId="6EC0449D" w14:textId="77777777" w:rsidR="00B33BA9" w:rsidRPr="004A657A" w:rsidRDefault="00B33BA9" w:rsidP="00B31C4E">
                      <w:pPr>
                        <w:spacing w:before="100" w:beforeAutospacing="1" w:after="100" w:afterAutospacing="1" w:line="360" w:lineRule="auto"/>
                        <w:rPr>
                          <w:rFonts w:asciiTheme="majorHAnsi" w:hAnsiTheme="majorHAnsi" w:cstheme="majorHAnsi"/>
                          <w:sz w:val="21"/>
                          <w:szCs w:val="21"/>
                        </w:rPr>
                      </w:pPr>
                      <w:r w:rsidRPr="004A657A">
                        <w:rPr>
                          <w:rFonts w:asciiTheme="majorHAnsi" w:hAnsiTheme="majorHAnsi" w:cstheme="majorHAnsi"/>
                          <w:sz w:val="21"/>
                          <w:szCs w:val="21"/>
                        </w:rPr>
                        <w:t>As background, after the issuance of DepEd Order 83 series of 2012- The School Based Management Assessment Processes and Tools (SBM APAT), there was no follow up issuances along that line for the implementation of the said order. So, the 2</w:t>
                      </w:r>
                      <w:r w:rsidRPr="004A657A">
                        <w:rPr>
                          <w:rFonts w:asciiTheme="majorHAnsi" w:hAnsiTheme="majorHAnsi" w:cstheme="majorHAnsi"/>
                          <w:sz w:val="21"/>
                          <w:szCs w:val="21"/>
                          <w:vertAlign w:val="superscript"/>
                        </w:rPr>
                        <w:t>nd</w:t>
                      </w:r>
                      <w:r w:rsidRPr="004A657A">
                        <w:rPr>
                          <w:rFonts w:asciiTheme="majorHAnsi" w:hAnsiTheme="majorHAnsi" w:cstheme="majorHAnsi"/>
                          <w:sz w:val="21"/>
                          <w:szCs w:val="21"/>
                        </w:rPr>
                        <w:t xml:space="preserve"> part [of the budget], which was 40%, was not utilized due to lack of artifacts. When rationalization came, the people in the central office changed so nothing happened with this. When BEST started, they prioritized the crafting of the School Improvement Plan (SIP).</w:t>
                      </w:r>
                    </w:p>
                    <w:p w14:paraId="611527C1" w14:textId="77777777" w:rsidR="00B33BA9" w:rsidRPr="004A657A" w:rsidRDefault="00B33BA9" w:rsidP="00B31C4E">
                      <w:pPr>
                        <w:spacing w:before="100" w:beforeAutospacing="1" w:after="100" w:afterAutospacing="1" w:line="360" w:lineRule="auto"/>
                        <w:rPr>
                          <w:rFonts w:asciiTheme="majorHAnsi" w:hAnsiTheme="majorHAnsi" w:cstheme="majorHAnsi"/>
                          <w:sz w:val="21"/>
                          <w:szCs w:val="21"/>
                        </w:rPr>
                      </w:pPr>
                      <w:r w:rsidRPr="004A657A">
                        <w:rPr>
                          <w:rFonts w:asciiTheme="majorHAnsi" w:hAnsiTheme="majorHAnsi" w:cstheme="majorHAnsi"/>
                          <w:sz w:val="21"/>
                          <w:szCs w:val="21"/>
                        </w:rPr>
                        <w:t xml:space="preserve">In 2015 we already had the Enhanced SIP. There were trainers sent to the national for a Training of Trainers then they cascaded this to the Divisions and the schools. Since this was a cycle, after three years, we now use instructional videos in crafting SIPs. This was already downloaded last December and last January the schools have already started crafting their SIPs using these videos. </w:t>
                      </w:r>
                    </w:p>
                    <w:p w14:paraId="03A30689" w14:textId="77777777" w:rsidR="00B33BA9" w:rsidRPr="004A657A" w:rsidRDefault="00B33BA9" w:rsidP="00B31C4E">
                      <w:pPr>
                        <w:spacing w:before="100" w:beforeAutospacing="1" w:after="100" w:afterAutospacing="1" w:line="360" w:lineRule="auto"/>
                        <w:rPr>
                          <w:rFonts w:asciiTheme="majorHAnsi" w:hAnsiTheme="majorHAnsi" w:cstheme="majorHAnsi"/>
                          <w:sz w:val="21"/>
                          <w:szCs w:val="21"/>
                        </w:rPr>
                      </w:pPr>
                      <w:r w:rsidRPr="004A657A">
                        <w:rPr>
                          <w:rFonts w:asciiTheme="majorHAnsi" w:hAnsiTheme="majorHAnsi" w:cstheme="majorHAnsi"/>
                          <w:sz w:val="21"/>
                          <w:szCs w:val="21"/>
                        </w:rPr>
                        <w:t xml:space="preserve">BEST is now starting to focus on the crafting of the SBM APAT which started last month. This was the guideline to be used on the accreditation of schools from Level 1 to 3. While waiting for the SBM version APAT manual, the Regional Office formulated a contextualized version of the SBM to be used in the assessment of the level of practice schools. </w:t>
                      </w:r>
                    </w:p>
                    <w:p w14:paraId="203E6D12" w14:textId="77777777" w:rsidR="00B33BA9" w:rsidRPr="004A657A" w:rsidRDefault="00B33BA9" w:rsidP="00DD08E3">
                      <w:pPr>
                        <w:pStyle w:val="ListParagraph"/>
                        <w:numPr>
                          <w:ilvl w:val="0"/>
                          <w:numId w:val="160"/>
                        </w:numPr>
                        <w:spacing w:before="100" w:beforeAutospacing="1" w:after="100" w:afterAutospacing="1" w:line="360" w:lineRule="auto"/>
                        <w:rPr>
                          <w:rFonts w:asciiTheme="majorHAnsi" w:hAnsiTheme="majorHAnsi" w:cstheme="majorHAnsi"/>
                          <w:sz w:val="21"/>
                          <w:szCs w:val="21"/>
                        </w:rPr>
                      </w:pPr>
                      <w:r w:rsidRPr="004A657A">
                        <w:rPr>
                          <w:rFonts w:asciiTheme="majorHAnsi" w:hAnsiTheme="majorHAnsi" w:cstheme="majorHAnsi"/>
                          <w:sz w:val="21"/>
                          <w:szCs w:val="21"/>
                        </w:rPr>
                        <w:t>RO Respondent</w:t>
                      </w:r>
                    </w:p>
                  </w:txbxContent>
                </v:textbox>
                <w10:anchorlock/>
              </v:shape>
            </w:pict>
          </mc:Fallback>
        </mc:AlternateContent>
      </w:r>
    </w:p>
    <w:p w14:paraId="6CF945EA" w14:textId="21862474" w:rsidR="008D0CAD" w:rsidRDefault="008D0CAD" w:rsidP="00B31C4E">
      <w:pPr>
        <w:tabs>
          <w:tab w:val="num" w:pos="720"/>
        </w:tabs>
        <w:spacing w:before="100" w:beforeAutospacing="1" w:after="100" w:afterAutospacing="1" w:line="360" w:lineRule="auto"/>
        <w:rPr>
          <w:rFonts w:asciiTheme="majorHAnsi" w:hAnsiTheme="majorHAnsi" w:cstheme="majorHAnsi"/>
        </w:rPr>
      </w:pPr>
      <w:r>
        <w:rPr>
          <w:rFonts w:asciiTheme="majorHAnsi" w:hAnsiTheme="majorHAnsi" w:cstheme="majorHAnsi"/>
          <w:b/>
          <w:bCs/>
        </w:rPr>
        <w:t>Schools</w:t>
      </w:r>
      <w:r w:rsidRPr="00215D66">
        <w:rPr>
          <w:rFonts w:asciiTheme="majorHAnsi" w:hAnsiTheme="majorHAnsi" w:cstheme="majorHAnsi"/>
          <w:b/>
          <w:bCs/>
        </w:rPr>
        <w:t xml:space="preserve"> </w:t>
      </w:r>
      <w:r>
        <w:rPr>
          <w:rFonts w:asciiTheme="majorHAnsi" w:hAnsiTheme="majorHAnsi" w:cstheme="majorHAnsi"/>
          <w:b/>
          <w:bCs/>
        </w:rPr>
        <w:t>on SBM.</w:t>
      </w:r>
      <w:r>
        <w:rPr>
          <w:rFonts w:asciiTheme="majorHAnsi" w:hAnsiTheme="majorHAnsi" w:cstheme="majorHAnsi"/>
          <w:bCs/>
          <w:color w:val="000000" w:themeColor="text1"/>
        </w:rPr>
        <w:t xml:space="preserve"> U</w:t>
      </w:r>
      <w:r w:rsidRPr="00DD68D7">
        <w:rPr>
          <w:rFonts w:asciiTheme="majorHAnsi" w:hAnsiTheme="majorHAnsi" w:cstheme="majorHAnsi"/>
          <w:bCs/>
          <w:color w:val="000000" w:themeColor="text1"/>
        </w:rPr>
        <w:t>nderstanding of SBM</w:t>
      </w:r>
      <w:r>
        <w:rPr>
          <w:rFonts w:asciiTheme="majorHAnsi" w:hAnsiTheme="majorHAnsi" w:cstheme="majorHAnsi"/>
          <w:bCs/>
          <w:color w:val="000000" w:themeColor="text1"/>
        </w:rPr>
        <w:t xml:space="preserve"> among school</w:t>
      </w:r>
      <w:r w:rsidRPr="00C746EB">
        <w:rPr>
          <w:rFonts w:asciiTheme="majorHAnsi" w:hAnsiTheme="majorHAnsi" w:cstheme="majorHAnsi"/>
          <w:bCs/>
          <w:color w:val="000000" w:themeColor="text1"/>
        </w:rPr>
        <w:t xml:space="preserve"> </w:t>
      </w:r>
      <w:r>
        <w:rPr>
          <w:rFonts w:asciiTheme="majorHAnsi" w:hAnsiTheme="majorHAnsi" w:cstheme="majorHAnsi"/>
          <w:bCs/>
          <w:color w:val="000000" w:themeColor="text1"/>
        </w:rPr>
        <w:t>principals</w:t>
      </w:r>
      <w:r w:rsidRPr="00C746EB">
        <w:rPr>
          <w:rFonts w:asciiTheme="majorHAnsi" w:hAnsiTheme="majorHAnsi" w:cstheme="majorHAnsi"/>
          <w:b/>
          <w:bCs/>
          <w:color w:val="000000" w:themeColor="text1"/>
        </w:rPr>
        <w:t xml:space="preserve"> </w:t>
      </w:r>
      <w:r w:rsidRPr="00DD68D7">
        <w:rPr>
          <w:rFonts w:asciiTheme="majorHAnsi" w:hAnsiTheme="majorHAnsi" w:cstheme="majorHAnsi"/>
          <w:bCs/>
          <w:color w:val="000000" w:themeColor="text1"/>
        </w:rPr>
        <w:t xml:space="preserve">was </w:t>
      </w:r>
      <w:r>
        <w:rPr>
          <w:rFonts w:asciiTheme="majorHAnsi" w:hAnsiTheme="majorHAnsi" w:cstheme="majorHAnsi"/>
          <w:bCs/>
          <w:color w:val="000000" w:themeColor="text1"/>
        </w:rPr>
        <w:t xml:space="preserve">also quite </w:t>
      </w:r>
      <w:r w:rsidRPr="00DD68D7">
        <w:rPr>
          <w:rFonts w:asciiTheme="majorHAnsi" w:hAnsiTheme="majorHAnsi" w:cstheme="majorHAnsi"/>
          <w:bCs/>
          <w:color w:val="000000" w:themeColor="text1"/>
        </w:rPr>
        <w:t>high.</w:t>
      </w:r>
      <w:r>
        <w:rPr>
          <w:rFonts w:asciiTheme="majorHAnsi" w:hAnsiTheme="majorHAnsi" w:cstheme="majorHAnsi"/>
          <w:b/>
          <w:bCs/>
          <w:color w:val="000000" w:themeColor="text1"/>
        </w:rPr>
        <w:t xml:space="preserve"> </w:t>
      </w:r>
      <w:r>
        <w:rPr>
          <w:rFonts w:asciiTheme="majorHAnsi" w:hAnsiTheme="majorHAnsi" w:cstheme="majorHAnsi"/>
          <w:bCs/>
          <w:color w:val="000000" w:themeColor="text1"/>
        </w:rPr>
        <w:t>Twenty-four</w:t>
      </w:r>
      <w:r w:rsidRPr="002C34EE">
        <w:rPr>
          <w:rFonts w:asciiTheme="majorHAnsi" w:hAnsiTheme="majorHAnsi" w:cstheme="majorHAnsi"/>
        </w:rPr>
        <w:t xml:space="preserve"> of the 63 respondent </w:t>
      </w:r>
      <w:r>
        <w:rPr>
          <w:rFonts w:asciiTheme="majorHAnsi" w:hAnsiTheme="majorHAnsi" w:cstheme="majorHAnsi"/>
        </w:rPr>
        <w:t xml:space="preserve">principals </w:t>
      </w:r>
      <w:r w:rsidRPr="002C34EE">
        <w:rPr>
          <w:rFonts w:asciiTheme="majorHAnsi" w:hAnsiTheme="majorHAnsi" w:cstheme="majorHAnsi"/>
        </w:rPr>
        <w:t xml:space="preserve">indicated </w:t>
      </w:r>
      <w:r>
        <w:rPr>
          <w:rFonts w:asciiTheme="majorHAnsi" w:hAnsiTheme="majorHAnsi" w:cstheme="majorHAnsi"/>
        </w:rPr>
        <w:t xml:space="preserve">high </w:t>
      </w:r>
      <w:r w:rsidRPr="002C34EE">
        <w:rPr>
          <w:rFonts w:asciiTheme="majorHAnsi" w:hAnsiTheme="majorHAnsi" w:cstheme="majorHAnsi"/>
        </w:rPr>
        <w:t xml:space="preserve">familiarity with </w:t>
      </w:r>
      <w:r>
        <w:rPr>
          <w:rFonts w:asciiTheme="majorHAnsi" w:hAnsiTheme="majorHAnsi" w:cstheme="majorHAnsi"/>
        </w:rPr>
        <w:t xml:space="preserve">the </w:t>
      </w:r>
      <w:r w:rsidRPr="002C34EE">
        <w:rPr>
          <w:rFonts w:asciiTheme="majorHAnsi" w:hAnsiTheme="majorHAnsi" w:cstheme="majorHAnsi"/>
        </w:rPr>
        <w:t>SBM</w:t>
      </w:r>
      <w:r>
        <w:rPr>
          <w:rFonts w:asciiTheme="majorHAnsi" w:hAnsiTheme="majorHAnsi" w:cstheme="majorHAnsi"/>
        </w:rPr>
        <w:t xml:space="preserve"> as a concept</w:t>
      </w:r>
      <w:r w:rsidRPr="002C34EE">
        <w:rPr>
          <w:rFonts w:asciiTheme="majorHAnsi" w:hAnsiTheme="majorHAnsi" w:cstheme="majorHAnsi"/>
        </w:rPr>
        <w:t>.</w:t>
      </w:r>
      <w:r>
        <w:rPr>
          <w:rStyle w:val="FootnoteReference"/>
          <w:rFonts w:asciiTheme="majorHAnsi" w:eastAsia="Arial Unicode MS" w:hAnsiTheme="majorHAnsi" w:cstheme="majorHAnsi"/>
        </w:rPr>
        <w:footnoteReference w:id="73"/>
      </w:r>
      <w:r>
        <w:rPr>
          <w:rFonts w:asciiTheme="majorHAnsi" w:hAnsiTheme="majorHAnsi" w:cstheme="majorHAnsi"/>
        </w:rPr>
        <w:t xml:space="preserve"> </w:t>
      </w:r>
      <w:r w:rsidRPr="002C34EE">
        <w:rPr>
          <w:rFonts w:asciiTheme="majorHAnsi" w:hAnsiTheme="majorHAnsi" w:cstheme="majorHAnsi"/>
        </w:rPr>
        <w:t>For those who ha</w:t>
      </w:r>
      <w:r>
        <w:rPr>
          <w:rFonts w:asciiTheme="majorHAnsi" w:hAnsiTheme="majorHAnsi" w:cstheme="majorHAnsi"/>
        </w:rPr>
        <w:t>d</w:t>
      </w:r>
      <w:r w:rsidRPr="002C34EE">
        <w:rPr>
          <w:rFonts w:asciiTheme="majorHAnsi" w:hAnsiTheme="majorHAnsi" w:cstheme="majorHAnsi"/>
        </w:rPr>
        <w:t xml:space="preserve"> substantial knowledge, they explained SBM’s root</w:t>
      </w:r>
      <w:r>
        <w:rPr>
          <w:rFonts w:asciiTheme="majorHAnsi" w:hAnsiTheme="majorHAnsi" w:cstheme="majorHAnsi"/>
        </w:rPr>
        <w:t>s</w:t>
      </w:r>
      <w:r w:rsidRPr="002C34EE">
        <w:rPr>
          <w:rFonts w:asciiTheme="majorHAnsi" w:hAnsiTheme="majorHAnsi" w:cstheme="majorHAnsi"/>
        </w:rPr>
        <w:t xml:space="preserve"> l</w:t>
      </w:r>
      <w:r>
        <w:rPr>
          <w:rFonts w:asciiTheme="majorHAnsi" w:hAnsiTheme="majorHAnsi" w:cstheme="majorHAnsi"/>
        </w:rPr>
        <w:t>ay</w:t>
      </w:r>
      <w:r w:rsidRPr="002C34EE">
        <w:rPr>
          <w:rFonts w:asciiTheme="majorHAnsi" w:hAnsiTheme="majorHAnsi" w:cstheme="majorHAnsi"/>
        </w:rPr>
        <w:t xml:space="preserve"> in the government’s decentrali</w:t>
      </w:r>
      <w:r>
        <w:rPr>
          <w:rFonts w:asciiTheme="majorHAnsi" w:hAnsiTheme="majorHAnsi" w:cstheme="majorHAnsi"/>
        </w:rPr>
        <w:t>s</w:t>
      </w:r>
      <w:r w:rsidRPr="002C34EE">
        <w:rPr>
          <w:rFonts w:asciiTheme="majorHAnsi" w:hAnsiTheme="majorHAnsi" w:cstheme="majorHAnsi"/>
        </w:rPr>
        <w:t xml:space="preserve">ation </w:t>
      </w:r>
      <w:r>
        <w:rPr>
          <w:rFonts w:asciiTheme="majorHAnsi" w:hAnsiTheme="majorHAnsi" w:cstheme="majorHAnsi"/>
        </w:rPr>
        <w:t>efforts, which</w:t>
      </w:r>
      <w:r w:rsidRPr="002C34EE">
        <w:rPr>
          <w:rFonts w:asciiTheme="majorHAnsi" w:hAnsiTheme="majorHAnsi" w:cstheme="majorHAnsi"/>
        </w:rPr>
        <w:t xml:space="preserve"> </w:t>
      </w:r>
      <w:r>
        <w:rPr>
          <w:rFonts w:asciiTheme="majorHAnsi" w:hAnsiTheme="majorHAnsi" w:cstheme="majorHAnsi"/>
        </w:rPr>
        <w:t xml:space="preserve">shifted some </w:t>
      </w:r>
      <w:r w:rsidRPr="002C34EE">
        <w:rPr>
          <w:rFonts w:asciiTheme="majorHAnsi" w:hAnsiTheme="majorHAnsi" w:cstheme="majorHAnsi"/>
        </w:rPr>
        <w:t>responsibility f</w:t>
      </w:r>
      <w:r>
        <w:rPr>
          <w:rFonts w:asciiTheme="majorHAnsi" w:hAnsiTheme="majorHAnsi" w:cstheme="majorHAnsi"/>
        </w:rPr>
        <w:t>or</w:t>
      </w:r>
      <w:r w:rsidRPr="002C34EE">
        <w:rPr>
          <w:rFonts w:asciiTheme="majorHAnsi" w:hAnsiTheme="majorHAnsi" w:cstheme="majorHAnsi"/>
        </w:rPr>
        <w:t xml:space="preserve"> school</w:t>
      </w:r>
      <w:r>
        <w:rPr>
          <w:rFonts w:asciiTheme="majorHAnsi" w:hAnsiTheme="majorHAnsi" w:cstheme="majorHAnsi"/>
        </w:rPr>
        <w:t xml:space="preserve"> management</w:t>
      </w:r>
      <w:r w:rsidRPr="002C34EE">
        <w:rPr>
          <w:rFonts w:asciiTheme="majorHAnsi" w:hAnsiTheme="majorHAnsi" w:cstheme="majorHAnsi"/>
        </w:rPr>
        <w:t xml:space="preserve"> </w:t>
      </w:r>
      <w:r>
        <w:rPr>
          <w:rFonts w:asciiTheme="majorHAnsi" w:hAnsiTheme="majorHAnsi" w:cstheme="majorHAnsi"/>
        </w:rPr>
        <w:t>from</w:t>
      </w:r>
      <w:r w:rsidRPr="002C34EE">
        <w:rPr>
          <w:rFonts w:asciiTheme="majorHAnsi" w:hAnsiTheme="majorHAnsi" w:cstheme="majorHAnsi"/>
        </w:rPr>
        <w:t xml:space="preserve"> the principals/school</w:t>
      </w:r>
      <w:r>
        <w:rPr>
          <w:rFonts w:asciiTheme="majorHAnsi" w:hAnsiTheme="majorHAnsi" w:cstheme="majorHAnsi"/>
        </w:rPr>
        <w:t>s alone</w:t>
      </w:r>
      <w:r w:rsidRPr="002C34EE">
        <w:rPr>
          <w:rFonts w:asciiTheme="majorHAnsi" w:hAnsiTheme="majorHAnsi" w:cstheme="majorHAnsi"/>
        </w:rPr>
        <w:t xml:space="preserve"> </w:t>
      </w:r>
      <w:r>
        <w:rPr>
          <w:rFonts w:asciiTheme="majorHAnsi" w:hAnsiTheme="majorHAnsi" w:cstheme="majorHAnsi"/>
        </w:rPr>
        <w:t>to a broader group of stakeholders</w:t>
      </w:r>
      <w:r w:rsidRPr="002C34EE">
        <w:rPr>
          <w:rFonts w:asciiTheme="majorHAnsi" w:hAnsiTheme="majorHAnsi" w:cstheme="majorHAnsi"/>
        </w:rPr>
        <w:t>.</w:t>
      </w:r>
      <w:r w:rsidR="00D434EB">
        <w:rPr>
          <w:rFonts w:asciiTheme="majorHAnsi" w:hAnsiTheme="majorHAnsi" w:cstheme="majorHAnsi"/>
        </w:rPr>
        <w:t xml:space="preserve"> </w:t>
      </w:r>
      <w:r>
        <w:rPr>
          <w:rFonts w:asciiTheme="majorHAnsi" w:hAnsiTheme="majorHAnsi" w:cstheme="majorHAnsi"/>
        </w:rPr>
        <w:t xml:space="preserve"> </w:t>
      </w:r>
      <w:r w:rsidRPr="002C34EE">
        <w:rPr>
          <w:rFonts w:asciiTheme="majorHAnsi" w:hAnsiTheme="majorHAnsi" w:cstheme="majorHAnsi"/>
        </w:rPr>
        <w:t>Of these 24</w:t>
      </w:r>
      <w:r>
        <w:rPr>
          <w:rFonts w:asciiTheme="majorHAnsi" w:hAnsiTheme="majorHAnsi" w:cstheme="majorHAnsi"/>
        </w:rPr>
        <w:t xml:space="preserve"> respondents</w:t>
      </w:r>
      <w:r w:rsidRPr="002C34EE">
        <w:rPr>
          <w:rFonts w:asciiTheme="majorHAnsi" w:hAnsiTheme="majorHAnsi" w:cstheme="majorHAnsi"/>
        </w:rPr>
        <w:t xml:space="preserve">, 16 explained </w:t>
      </w:r>
      <w:r>
        <w:rPr>
          <w:rFonts w:asciiTheme="majorHAnsi" w:hAnsiTheme="majorHAnsi" w:cstheme="majorHAnsi"/>
        </w:rPr>
        <w:t xml:space="preserve">that </w:t>
      </w:r>
      <w:r w:rsidRPr="002C34EE">
        <w:rPr>
          <w:rFonts w:asciiTheme="majorHAnsi" w:hAnsiTheme="majorHAnsi" w:cstheme="majorHAnsi"/>
        </w:rPr>
        <w:t xml:space="preserve">SBM </w:t>
      </w:r>
      <w:r>
        <w:rPr>
          <w:rFonts w:asciiTheme="majorHAnsi" w:hAnsiTheme="majorHAnsi" w:cstheme="majorHAnsi"/>
        </w:rPr>
        <w:t xml:space="preserve">was </w:t>
      </w:r>
      <w:r w:rsidRPr="002C34EE">
        <w:rPr>
          <w:rFonts w:asciiTheme="majorHAnsi" w:hAnsiTheme="majorHAnsi" w:cstheme="majorHAnsi"/>
        </w:rPr>
        <w:t xml:space="preserve">based on specific responsibilities focused on school access, governance and quality with corresponding tasks </w:t>
      </w:r>
      <w:r>
        <w:rPr>
          <w:rFonts w:asciiTheme="majorHAnsi" w:hAnsiTheme="majorHAnsi" w:cstheme="majorHAnsi"/>
        </w:rPr>
        <w:t>such as</w:t>
      </w:r>
      <w:r w:rsidRPr="002C34EE">
        <w:rPr>
          <w:rFonts w:asciiTheme="majorHAnsi" w:hAnsiTheme="majorHAnsi" w:cstheme="majorHAnsi"/>
        </w:rPr>
        <w:t xml:space="preserve"> management of school resources, monitoring and development of teacher and staff, </w:t>
      </w:r>
      <w:r>
        <w:rPr>
          <w:rFonts w:asciiTheme="majorHAnsi" w:hAnsiTheme="majorHAnsi" w:cstheme="majorHAnsi"/>
        </w:rPr>
        <w:t xml:space="preserve">gathering </w:t>
      </w:r>
      <w:r w:rsidRPr="002C34EE">
        <w:rPr>
          <w:rFonts w:asciiTheme="majorHAnsi" w:hAnsiTheme="majorHAnsi" w:cstheme="majorHAnsi"/>
        </w:rPr>
        <w:t xml:space="preserve">information </w:t>
      </w:r>
      <w:r>
        <w:rPr>
          <w:rFonts w:asciiTheme="majorHAnsi" w:hAnsiTheme="majorHAnsi" w:cstheme="majorHAnsi"/>
        </w:rPr>
        <w:t xml:space="preserve">on </w:t>
      </w:r>
      <w:r w:rsidRPr="002C34EE">
        <w:rPr>
          <w:rFonts w:asciiTheme="majorHAnsi" w:hAnsiTheme="majorHAnsi" w:cstheme="majorHAnsi"/>
        </w:rPr>
        <w:t>school-based performance indicators, and most importantly monitoring of student academic performance and general well-being.</w:t>
      </w:r>
    </w:p>
    <w:p w14:paraId="31FC1E04" w14:textId="22DA06CA" w:rsidR="00943C0A" w:rsidRDefault="008D0CAD" w:rsidP="00B31C4E">
      <w:pPr>
        <w:spacing w:before="100" w:beforeAutospacing="1" w:after="100" w:afterAutospacing="1" w:line="360" w:lineRule="auto"/>
        <w:rPr>
          <w:rFonts w:asciiTheme="majorHAnsi" w:hAnsiTheme="majorHAnsi" w:cstheme="majorHAnsi"/>
        </w:rPr>
      </w:pPr>
      <w:r>
        <w:rPr>
          <w:rFonts w:asciiTheme="majorHAnsi" w:hAnsiTheme="majorHAnsi" w:cstheme="majorHAnsi"/>
        </w:rPr>
        <w:t>The successful dissemination of DO 44 in the regions was evidenced by principals’ strong awareness of the policy.</w:t>
      </w:r>
      <w:r w:rsidR="00D434EB">
        <w:rPr>
          <w:rFonts w:asciiTheme="majorHAnsi" w:hAnsiTheme="majorHAnsi" w:cstheme="majorHAnsi"/>
        </w:rPr>
        <w:t xml:space="preserve"> </w:t>
      </w:r>
      <w:r>
        <w:rPr>
          <w:rFonts w:asciiTheme="majorHAnsi" w:hAnsiTheme="majorHAnsi" w:cstheme="majorHAnsi"/>
        </w:rPr>
        <w:t xml:space="preserve">Half of the respondent principals indicated </w:t>
      </w:r>
      <w:r w:rsidRPr="00A53436">
        <w:rPr>
          <w:rFonts w:asciiTheme="majorHAnsi" w:hAnsiTheme="majorHAnsi" w:cstheme="majorHAnsi"/>
          <w:color w:val="000000" w:themeColor="text1"/>
        </w:rPr>
        <w:t xml:space="preserve">comprehensive knowledge </w:t>
      </w:r>
      <w:r>
        <w:rPr>
          <w:rFonts w:asciiTheme="majorHAnsi" w:hAnsiTheme="majorHAnsi" w:cstheme="majorHAnsi"/>
          <w:color w:val="000000" w:themeColor="text1"/>
        </w:rPr>
        <w:t>of the policy</w:t>
      </w:r>
      <w:r w:rsidRPr="00A53436">
        <w:rPr>
          <w:rFonts w:asciiTheme="majorHAnsi" w:hAnsiTheme="majorHAnsi" w:cstheme="majorHAnsi"/>
          <w:color w:val="000000" w:themeColor="text1"/>
        </w:rPr>
        <w:t xml:space="preserve"> while </w:t>
      </w:r>
      <w:r>
        <w:rPr>
          <w:rFonts w:asciiTheme="majorHAnsi" w:hAnsiTheme="majorHAnsi" w:cstheme="majorHAnsi"/>
          <w:color w:val="000000" w:themeColor="text1"/>
        </w:rPr>
        <w:t>65</w:t>
      </w:r>
      <w:r w:rsidRPr="00A53436">
        <w:rPr>
          <w:rFonts w:asciiTheme="majorHAnsi" w:hAnsiTheme="majorHAnsi" w:cstheme="majorHAnsi"/>
          <w:color w:val="000000" w:themeColor="text1"/>
        </w:rPr>
        <w:t xml:space="preserve"> </w:t>
      </w:r>
      <w:r>
        <w:rPr>
          <w:rFonts w:asciiTheme="majorHAnsi" w:hAnsiTheme="majorHAnsi" w:cstheme="majorHAnsi"/>
          <w:color w:val="000000" w:themeColor="text1"/>
        </w:rPr>
        <w:t>per cent</w:t>
      </w:r>
      <w:r w:rsidRPr="00A53436">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found it extremely useful </w:t>
      </w:r>
      <w:r>
        <w:rPr>
          <w:rFonts w:asciiTheme="majorHAnsi" w:hAnsiTheme="majorHAnsi" w:cstheme="majorHAnsi"/>
        </w:rPr>
        <w:t>(Table 33)</w:t>
      </w:r>
      <w:r w:rsidRPr="00A53436">
        <w:rPr>
          <w:rFonts w:asciiTheme="majorHAnsi" w:hAnsiTheme="majorHAnsi" w:cstheme="majorHAnsi"/>
          <w:color w:val="000000" w:themeColor="text1"/>
        </w:rPr>
        <w:t>.</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I</w:t>
      </w:r>
      <w:r>
        <w:rPr>
          <w:rFonts w:asciiTheme="majorHAnsi" w:hAnsiTheme="majorHAnsi" w:cstheme="majorHAnsi"/>
        </w:rPr>
        <w:t>t is vital to reiterate, however, that at this point in time, most of the respondents said that they were not aware that the DO 44 nor the training activities that accompanied were supported by the BEST Program.</w:t>
      </w:r>
    </w:p>
    <w:p w14:paraId="30184A9C" w14:textId="7D412453" w:rsidR="00943C0A" w:rsidRPr="004A657A" w:rsidRDefault="008D0CAD" w:rsidP="00B31C4E">
      <w:pPr>
        <w:pStyle w:val="Caption"/>
        <w:spacing w:before="100" w:beforeAutospacing="1" w:after="100" w:afterAutospacing="1" w:line="360" w:lineRule="auto"/>
        <w:rPr>
          <w:rFonts w:asciiTheme="majorHAnsi" w:hAnsiTheme="majorHAnsi" w:cstheme="majorHAnsi"/>
          <w:sz w:val="22"/>
          <w:szCs w:val="22"/>
        </w:rPr>
      </w:pPr>
      <w:bookmarkStart w:id="146" w:name="_Toc71616619"/>
      <w:r w:rsidRPr="004A657A">
        <w:rPr>
          <w:rFonts w:asciiTheme="majorHAnsi" w:hAnsiTheme="majorHAnsi" w:cstheme="majorHAnsi"/>
          <w:sz w:val="22"/>
          <w:szCs w:val="22"/>
        </w:rPr>
        <w:t xml:space="preserve">Table </w:t>
      </w:r>
      <w:r w:rsidRPr="004A657A">
        <w:rPr>
          <w:rFonts w:asciiTheme="majorHAnsi" w:hAnsiTheme="majorHAnsi" w:cstheme="majorHAnsi"/>
          <w:sz w:val="22"/>
          <w:szCs w:val="22"/>
        </w:rPr>
        <w:fldChar w:fldCharType="begin"/>
      </w:r>
      <w:r w:rsidRPr="004A657A">
        <w:rPr>
          <w:rFonts w:asciiTheme="majorHAnsi" w:hAnsiTheme="majorHAnsi" w:cstheme="majorHAnsi"/>
          <w:sz w:val="22"/>
          <w:szCs w:val="22"/>
        </w:rPr>
        <w:instrText xml:space="preserve"> SEQ Table \* ARABIC </w:instrText>
      </w:r>
      <w:r w:rsidRPr="004A657A">
        <w:rPr>
          <w:rFonts w:asciiTheme="majorHAnsi" w:hAnsiTheme="majorHAnsi" w:cstheme="majorHAnsi"/>
          <w:sz w:val="22"/>
          <w:szCs w:val="22"/>
        </w:rPr>
        <w:fldChar w:fldCharType="separate"/>
      </w:r>
      <w:r w:rsidR="00D6133D">
        <w:rPr>
          <w:rFonts w:asciiTheme="majorHAnsi" w:hAnsiTheme="majorHAnsi" w:cstheme="majorHAnsi"/>
          <w:noProof/>
          <w:sz w:val="22"/>
          <w:szCs w:val="22"/>
        </w:rPr>
        <w:t>28</w:t>
      </w:r>
      <w:r w:rsidRPr="004A657A">
        <w:rPr>
          <w:rFonts w:asciiTheme="majorHAnsi" w:hAnsiTheme="majorHAnsi" w:cstheme="majorHAnsi"/>
          <w:sz w:val="22"/>
          <w:szCs w:val="22"/>
        </w:rPr>
        <w:fldChar w:fldCharType="end"/>
      </w:r>
      <w:r w:rsidRPr="004A657A">
        <w:rPr>
          <w:rFonts w:asciiTheme="majorHAnsi" w:hAnsiTheme="majorHAnsi" w:cstheme="majorHAnsi"/>
          <w:sz w:val="22"/>
          <w:szCs w:val="22"/>
        </w:rPr>
        <w:t>. Principals’ and Teachers’ Perceptions on DO 44, s. 2015</w:t>
      </w:r>
      <w:bookmarkEnd w:id="146"/>
      <w:r w:rsidR="00943324">
        <w:rPr>
          <w:rFonts w:asciiTheme="majorHAnsi" w:hAnsiTheme="majorHAnsi" w:cstheme="majorHAnsi"/>
          <w:sz w:val="22"/>
          <w:szCs w:val="22"/>
        </w:rPr>
        <w:t xml:space="preserve"> </w:t>
      </w:r>
      <w:r w:rsidR="00943324" w:rsidRPr="00943324">
        <w:rPr>
          <w:rFonts w:asciiTheme="majorHAnsi" w:hAnsiTheme="majorHAnsi" w:cstheme="majorHAnsi"/>
          <w:sz w:val="22"/>
          <w:szCs w:val="22"/>
        </w:rPr>
        <w:t>“Guidelines on the Enhanced School Improvement Planning (SIP) Process and the School Report Card (SRC)”</w:t>
      </w:r>
    </w:p>
    <w:tbl>
      <w:tblPr>
        <w:tblStyle w:val="TableGrid"/>
        <w:tblW w:w="0" w:type="auto"/>
        <w:tblLook w:val="04A0" w:firstRow="1" w:lastRow="0" w:firstColumn="1" w:lastColumn="0" w:noHBand="0" w:noVBand="1"/>
      </w:tblPr>
      <w:tblGrid>
        <w:gridCol w:w="1832"/>
        <w:gridCol w:w="1391"/>
        <w:gridCol w:w="1868"/>
        <w:gridCol w:w="1409"/>
        <w:gridCol w:w="1306"/>
      </w:tblGrid>
      <w:tr w:rsidR="00366AAE" w:rsidRPr="009D738E" w14:paraId="0E321801" w14:textId="77777777" w:rsidTr="00F4751F">
        <w:trPr>
          <w:trHeight w:val="267"/>
          <w:tblHeader/>
        </w:trPr>
        <w:tc>
          <w:tcPr>
            <w:tcW w:w="1832" w:type="dxa"/>
          </w:tcPr>
          <w:p w14:paraId="62CD2A52" w14:textId="77777777" w:rsidR="00366AAE" w:rsidRPr="009D738E" w:rsidRDefault="00366AAE" w:rsidP="00B31C4E">
            <w:pPr>
              <w:spacing w:before="100" w:beforeAutospacing="1" w:after="100" w:afterAutospacing="1" w:line="360" w:lineRule="auto"/>
              <w:rPr>
                <w:rFonts w:asciiTheme="majorHAnsi" w:hAnsiTheme="majorHAnsi" w:cstheme="majorHAnsi"/>
                <w:color w:val="000000" w:themeColor="text1"/>
                <w:sz w:val="18"/>
                <w:szCs w:val="18"/>
              </w:rPr>
            </w:pPr>
          </w:p>
        </w:tc>
        <w:tc>
          <w:tcPr>
            <w:tcW w:w="1391" w:type="dxa"/>
          </w:tcPr>
          <w:p w14:paraId="73DD7D9A" w14:textId="77777777" w:rsidR="00366AAE" w:rsidRPr="009D738E" w:rsidRDefault="00366AAE" w:rsidP="00B31C4E">
            <w:pPr>
              <w:spacing w:before="100" w:beforeAutospacing="1" w:after="100" w:afterAutospacing="1" w:line="360" w:lineRule="auto"/>
              <w:rPr>
                <w:rFonts w:asciiTheme="majorHAnsi" w:hAnsiTheme="majorHAnsi" w:cstheme="majorHAnsi"/>
                <w:b/>
                <w:bCs/>
                <w:color w:val="000000" w:themeColor="text1"/>
                <w:sz w:val="18"/>
                <w:szCs w:val="18"/>
              </w:rPr>
            </w:pPr>
            <w:r w:rsidRPr="009D738E">
              <w:rPr>
                <w:rFonts w:asciiTheme="majorHAnsi" w:hAnsiTheme="majorHAnsi" w:cstheme="majorHAnsi"/>
                <w:b/>
                <w:bCs/>
                <w:color w:val="000000" w:themeColor="text1"/>
                <w:sz w:val="18"/>
                <w:szCs w:val="18"/>
              </w:rPr>
              <w:t>% Sufficient knowledge</w:t>
            </w:r>
          </w:p>
        </w:tc>
        <w:tc>
          <w:tcPr>
            <w:tcW w:w="1868" w:type="dxa"/>
          </w:tcPr>
          <w:p w14:paraId="132879C7" w14:textId="77777777" w:rsidR="00366AAE" w:rsidRPr="009D738E" w:rsidRDefault="00366AAE" w:rsidP="00B31C4E">
            <w:pPr>
              <w:spacing w:before="100" w:beforeAutospacing="1" w:after="100" w:afterAutospacing="1" w:line="360" w:lineRule="auto"/>
              <w:rPr>
                <w:rFonts w:asciiTheme="majorHAnsi" w:hAnsiTheme="majorHAnsi" w:cstheme="majorHAnsi"/>
                <w:b/>
                <w:bCs/>
                <w:color w:val="000000" w:themeColor="text1"/>
                <w:sz w:val="18"/>
                <w:szCs w:val="18"/>
              </w:rPr>
            </w:pPr>
            <w:r w:rsidRPr="009D738E">
              <w:rPr>
                <w:rFonts w:asciiTheme="majorHAnsi" w:hAnsiTheme="majorHAnsi" w:cstheme="majorHAnsi"/>
                <w:b/>
                <w:bCs/>
                <w:color w:val="000000" w:themeColor="text1"/>
                <w:sz w:val="18"/>
                <w:szCs w:val="18"/>
              </w:rPr>
              <w:t>% Comprehensive knowledge</w:t>
            </w:r>
          </w:p>
        </w:tc>
        <w:tc>
          <w:tcPr>
            <w:tcW w:w="1409" w:type="dxa"/>
          </w:tcPr>
          <w:p w14:paraId="12D49273" w14:textId="77777777" w:rsidR="00366AAE" w:rsidRPr="009D738E" w:rsidRDefault="00366AAE" w:rsidP="00B31C4E">
            <w:pPr>
              <w:spacing w:before="100" w:beforeAutospacing="1" w:after="100" w:afterAutospacing="1" w:line="360" w:lineRule="auto"/>
              <w:rPr>
                <w:rFonts w:asciiTheme="majorHAnsi" w:hAnsiTheme="majorHAnsi" w:cstheme="majorHAnsi"/>
                <w:b/>
                <w:bCs/>
                <w:color w:val="000000" w:themeColor="text1"/>
                <w:sz w:val="18"/>
                <w:szCs w:val="18"/>
              </w:rPr>
            </w:pPr>
            <w:r w:rsidRPr="009D738E">
              <w:rPr>
                <w:rFonts w:asciiTheme="majorHAnsi" w:hAnsiTheme="majorHAnsi" w:cstheme="majorHAnsi"/>
                <w:b/>
                <w:bCs/>
                <w:color w:val="000000" w:themeColor="text1"/>
                <w:sz w:val="18"/>
                <w:szCs w:val="18"/>
              </w:rPr>
              <w:t>% Sufficiently useful</w:t>
            </w:r>
          </w:p>
        </w:tc>
        <w:tc>
          <w:tcPr>
            <w:tcW w:w="1306" w:type="dxa"/>
          </w:tcPr>
          <w:p w14:paraId="00030060" w14:textId="77777777" w:rsidR="00366AAE" w:rsidRPr="009D738E" w:rsidRDefault="00366AAE" w:rsidP="00B31C4E">
            <w:pPr>
              <w:spacing w:before="100" w:beforeAutospacing="1" w:after="100" w:afterAutospacing="1" w:line="360" w:lineRule="auto"/>
              <w:rPr>
                <w:rFonts w:asciiTheme="majorHAnsi" w:hAnsiTheme="majorHAnsi" w:cstheme="majorHAnsi"/>
                <w:b/>
                <w:bCs/>
                <w:color w:val="000000" w:themeColor="text1"/>
                <w:sz w:val="18"/>
                <w:szCs w:val="18"/>
              </w:rPr>
            </w:pPr>
            <w:r w:rsidRPr="009D738E">
              <w:rPr>
                <w:rFonts w:asciiTheme="majorHAnsi" w:hAnsiTheme="majorHAnsi" w:cstheme="majorHAnsi"/>
                <w:b/>
                <w:bCs/>
                <w:color w:val="000000" w:themeColor="text1"/>
                <w:sz w:val="18"/>
                <w:szCs w:val="18"/>
              </w:rPr>
              <w:t>% Extremely useful</w:t>
            </w:r>
          </w:p>
        </w:tc>
      </w:tr>
      <w:tr w:rsidR="00366AAE" w:rsidRPr="009D738E" w14:paraId="277946F6" w14:textId="77777777" w:rsidTr="00366AAE">
        <w:trPr>
          <w:trHeight w:val="81"/>
        </w:trPr>
        <w:tc>
          <w:tcPr>
            <w:tcW w:w="1832" w:type="dxa"/>
            <w:shd w:val="clear" w:color="auto" w:fill="BFBFBF" w:themeFill="background1" w:themeFillShade="BF"/>
          </w:tcPr>
          <w:p w14:paraId="32CF8986" w14:textId="77777777" w:rsidR="00366AAE" w:rsidRPr="009D738E" w:rsidRDefault="00366AAE" w:rsidP="00B31C4E">
            <w:pPr>
              <w:spacing w:before="100" w:beforeAutospacing="1" w:after="100" w:afterAutospacing="1" w:line="360" w:lineRule="auto"/>
              <w:rPr>
                <w:rFonts w:asciiTheme="majorHAnsi" w:hAnsiTheme="majorHAnsi" w:cstheme="majorHAnsi"/>
                <w:color w:val="000000" w:themeColor="text1"/>
                <w:sz w:val="18"/>
                <w:szCs w:val="18"/>
              </w:rPr>
            </w:pPr>
            <w:r w:rsidRPr="009D738E">
              <w:rPr>
                <w:rFonts w:asciiTheme="majorHAnsi" w:hAnsiTheme="majorHAnsi" w:cstheme="majorHAnsi"/>
                <w:color w:val="000000" w:themeColor="text1"/>
                <w:sz w:val="18"/>
                <w:szCs w:val="18"/>
              </w:rPr>
              <w:t>Main Study*</w:t>
            </w:r>
          </w:p>
        </w:tc>
        <w:tc>
          <w:tcPr>
            <w:tcW w:w="1391" w:type="dxa"/>
            <w:shd w:val="clear" w:color="auto" w:fill="BFBFBF" w:themeFill="background1" w:themeFillShade="BF"/>
          </w:tcPr>
          <w:p w14:paraId="5EDBB2F5" w14:textId="77777777" w:rsidR="00366AAE" w:rsidRPr="009D738E" w:rsidRDefault="00366AAE" w:rsidP="00B31C4E">
            <w:pPr>
              <w:spacing w:before="100" w:beforeAutospacing="1" w:after="100" w:afterAutospacing="1" w:line="360" w:lineRule="auto"/>
              <w:rPr>
                <w:rFonts w:asciiTheme="majorHAnsi" w:hAnsiTheme="majorHAnsi" w:cstheme="majorHAnsi"/>
                <w:color w:val="000000" w:themeColor="text1"/>
                <w:sz w:val="18"/>
                <w:szCs w:val="18"/>
              </w:rPr>
            </w:pPr>
          </w:p>
        </w:tc>
        <w:tc>
          <w:tcPr>
            <w:tcW w:w="1868" w:type="dxa"/>
            <w:shd w:val="clear" w:color="auto" w:fill="BFBFBF" w:themeFill="background1" w:themeFillShade="BF"/>
          </w:tcPr>
          <w:p w14:paraId="2D6D37F6" w14:textId="77777777" w:rsidR="00366AAE" w:rsidRPr="009D738E" w:rsidRDefault="00366AAE" w:rsidP="00B31C4E">
            <w:pPr>
              <w:spacing w:before="100" w:beforeAutospacing="1" w:after="100" w:afterAutospacing="1" w:line="360" w:lineRule="auto"/>
              <w:rPr>
                <w:rFonts w:asciiTheme="majorHAnsi" w:hAnsiTheme="majorHAnsi" w:cstheme="majorHAnsi"/>
                <w:color w:val="000000" w:themeColor="text1"/>
                <w:sz w:val="18"/>
                <w:szCs w:val="18"/>
              </w:rPr>
            </w:pPr>
          </w:p>
        </w:tc>
        <w:tc>
          <w:tcPr>
            <w:tcW w:w="1409" w:type="dxa"/>
            <w:shd w:val="clear" w:color="auto" w:fill="BFBFBF" w:themeFill="background1" w:themeFillShade="BF"/>
          </w:tcPr>
          <w:p w14:paraId="52089728" w14:textId="77777777" w:rsidR="00366AAE" w:rsidRPr="009D738E" w:rsidRDefault="00366AAE" w:rsidP="00B31C4E">
            <w:pPr>
              <w:spacing w:before="100" w:beforeAutospacing="1" w:after="100" w:afterAutospacing="1" w:line="360" w:lineRule="auto"/>
              <w:rPr>
                <w:rFonts w:asciiTheme="majorHAnsi" w:hAnsiTheme="majorHAnsi" w:cstheme="majorHAnsi"/>
                <w:color w:val="000000" w:themeColor="text1"/>
                <w:sz w:val="18"/>
                <w:szCs w:val="18"/>
              </w:rPr>
            </w:pPr>
          </w:p>
        </w:tc>
        <w:tc>
          <w:tcPr>
            <w:tcW w:w="1306" w:type="dxa"/>
            <w:shd w:val="clear" w:color="auto" w:fill="BFBFBF" w:themeFill="background1" w:themeFillShade="BF"/>
          </w:tcPr>
          <w:p w14:paraId="2E9BBB9D" w14:textId="77777777" w:rsidR="00366AAE" w:rsidRPr="009D738E" w:rsidRDefault="00366AAE" w:rsidP="00B31C4E">
            <w:pPr>
              <w:spacing w:before="100" w:beforeAutospacing="1" w:after="100" w:afterAutospacing="1" w:line="360" w:lineRule="auto"/>
              <w:rPr>
                <w:rFonts w:asciiTheme="majorHAnsi" w:hAnsiTheme="majorHAnsi" w:cstheme="majorHAnsi"/>
                <w:color w:val="000000" w:themeColor="text1"/>
                <w:sz w:val="18"/>
                <w:szCs w:val="18"/>
              </w:rPr>
            </w:pPr>
          </w:p>
        </w:tc>
      </w:tr>
      <w:tr w:rsidR="00366AAE" w:rsidRPr="009D738E" w14:paraId="66E52325" w14:textId="77777777" w:rsidTr="00366AAE">
        <w:trPr>
          <w:trHeight w:val="38"/>
        </w:trPr>
        <w:tc>
          <w:tcPr>
            <w:tcW w:w="1832" w:type="dxa"/>
          </w:tcPr>
          <w:p w14:paraId="72A4056F" w14:textId="77777777" w:rsidR="00366AAE" w:rsidRPr="009D738E" w:rsidRDefault="00366AAE" w:rsidP="00B31C4E">
            <w:pPr>
              <w:spacing w:before="100" w:beforeAutospacing="1" w:after="100" w:afterAutospacing="1" w:line="360" w:lineRule="auto"/>
              <w:rPr>
                <w:rFonts w:asciiTheme="majorHAnsi" w:hAnsiTheme="majorHAnsi" w:cstheme="majorHAnsi"/>
                <w:color w:val="000000" w:themeColor="text1"/>
                <w:sz w:val="18"/>
                <w:szCs w:val="18"/>
              </w:rPr>
            </w:pPr>
            <w:r w:rsidRPr="009D738E">
              <w:rPr>
                <w:rFonts w:asciiTheme="majorHAnsi" w:hAnsiTheme="majorHAnsi" w:cstheme="majorHAnsi"/>
                <w:color w:val="000000" w:themeColor="text1"/>
                <w:sz w:val="18"/>
                <w:szCs w:val="18"/>
              </w:rPr>
              <w:t>PSHs (n=26)</w:t>
            </w:r>
          </w:p>
        </w:tc>
        <w:tc>
          <w:tcPr>
            <w:tcW w:w="1391" w:type="dxa"/>
          </w:tcPr>
          <w:p w14:paraId="19716AC3" w14:textId="77777777" w:rsidR="00366AAE" w:rsidRPr="009D738E" w:rsidRDefault="00366AAE" w:rsidP="00B31C4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42</w:t>
            </w:r>
            <w:r w:rsidRPr="009D738E">
              <w:rPr>
                <w:rFonts w:asciiTheme="majorHAnsi" w:hAnsiTheme="majorHAnsi" w:cstheme="majorHAnsi"/>
                <w:color w:val="000000" w:themeColor="text1"/>
                <w:sz w:val="18"/>
                <w:szCs w:val="18"/>
              </w:rPr>
              <w:t>%</w:t>
            </w:r>
          </w:p>
        </w:tc>
        <w:tc>
          <w:tcPr>
            <w:tcW w:w="1868" w:type="dxa"/>
          </w:tcPr>
          <w:p w14:paraId="2F1982FF" w14:textId="77777777" w:rsidR="00366AAE" w:rsidRPr="009D738E" w:rsidRDefault="00366AAE" w:rsidP="00B31C4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50</w:t>
            </w:r>
            <w:r w:rsidRPr="009D738E">
              <w:rPr>
                <w:rFonts w:asciiTheme="majorHAnsi" w:hAnsiTheme="majorHAnsi" w:cstheme="majorHAnsi"/>
                <w:color w:val="000000" w:themeColor="text1"/>
                <w:sz w:val="18"/>
                <w:szCs w:val="18"/>
              </w:rPr>
              <w:t>%</w:t>
            </w:r>
          </w:p>
        </w:tc>
        <w:tc>
          <w:tcPr>
            <w:tcW w:w="1409" w:type="dxa"/>
          </w:tcPr>
          <w:p w14:paraId="00C34768" w14:textId="77777777" w:rsidR="00366AAE" w:rsidRPr="009D738E" w:rsidRDefault="00366AAE" w:rsidP="00B31C4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27</w:t>
            </w:r>
            <w:r w:rsidRPr="009D738E">
              <w:rPr>
                <w:rFonts w:asciiTheme="majorHAnsi" w:hAnsiTheme="majorHAnsi" w:cstheme="majorHAnsi"/>
                <w:color w:val="000000" w:themeColor="text1"/>
                <w:sz w:val="18"/>
                <w:szCs w:val="18"/>
              </w:rPr>
              <w:t>%</w:t>
            </w:r>
          </w:p>
        </w:tc>
        <w:tc>
          <w:tcPr>
            <w:tcW w:w="1306" w:type="dxa"/>
          </w:tcPr>
          <w:p w14:paraId="5E97214B" w14:textId="77777777" w:rsidR="00366AAE" w:rsidRPr="009D738E" w:rsidRDefault="00366AAE" w:rsidP="00B31C4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65</w:t>
            </w:r>
            <w:r w:rsidRPr="009D738E">
              <w:rPr>
                <w:rFonts w:asciiTheme="majorHAnsi" w:hAnsiTheme="majorHAnsi" w:cstheme="majorHAnsi"/>
                <w:color w:val="000000" w:themeColor="text1"/>
                <w:sz w:val="18"/>
                <w:szCs w:val="18"/>
              </w:rPr>
              <w:t>%</w:t>
            </w:r>
          </w:p>
        </w:tc>
      </w:tr>
      <w:tr w:rsidR="00366AAE" w:rsidRPr="009D738E" w14:paraId="3BA70A54" w14:textId="77777777" w:rsidTr="00366AAE">
        <w:trPr>
          <w:trHeight w:val="181"/>
        </w:trPr>
        <w:tc>
          <w:tcPr>
            <w:tcW w:w="1832" w:type="dxa"/>
          </w:tcPr>
          <w:p w14:paraId="7F823321" w14:textId="77777777" w:rsidR="00366AAE" w:rsidRPr="009D738E" w:rsidRDefault="00366AAE" w:rsidP="00B31C4E">
            <w:pPr>
              <w:spacing w:before="100" w:beforeAutospacing="1" w:after="100" w:afterAutospacing="1" w:line="360" w:lineRule="auto"/>
              <w:rPr>
                <w:rFonts w:asciiTheme="majorHAnsi" w:hAnsiTheme="majorHAnsi" w:cstheme="majorHAnsi"/>
                <w:color w:val="000000" w:themeColor="text1"/>
                <w:sz w:val="18"/>
                <w:szCs w:val="18"/>
              </w:rPr>
            </w:pPr>
            <w:r w:rsidRPr="009D738E">
              <w:rPr>
                <w:rFonts w:asciiTheme="majorHAnsi" w:hAnsiTheme="majorHAnsi" w:cstheme="majorHAnsi"/>
                <w:color w:val="000000" w:themeColor="text1"/>
                <w:sz w:val="18"/>
                <w:szCs w:val="18"/>
              </w:rPr>
              <w:t>Teachers (n=107)</w:t>
            </w:r>
            <w:r>
              <w:rPr>
                <w:rFonts w:asciiTheme="majorHAnsi" w:hAnsiTheme="majorHAnsi" w:cstheme="majorHAnsi"/>
                <w:color w:val="000000" w:themeColor="text1"/>
                <w:sz w:val="18"/>
                <w:szCs w:val="18"/>
              </w:rPr>
              <w:t>***</w:t>
            </w:r>
          </w:p>
        </w:tc>
        <w:tc>
          <w:tcPr>
            <w:tcW w:w="1391" w:type="dxa"/>
          </w:tcPr>
          <w:p w14:paraId="40F08062" w14:textId="77777777" w:rsidR="00366AAE" w:rsidRPr="009D738E" w:rsidRDefault="00366AAE" w:rsidP="00B31C4E">
            <w:pPr>
              <w:spacing w:before="100" w:beforeAutospacing="1" w:after="100" w:afterAutospacing="1" w:line="360" w:lineRule="auto"/>
              <w:rPr>
                <w:rFonts w:asciiTheme="majorHAnsi" w:hAnsiTheme="majorHAnsi" w:cstheme="majorHAnsi"/>
                <w:color w:val="000000" w:themeColor="text1"/>
                <w:sz w:val="18"/>
                <w:szCs w:val="18"/>
              </w:rPr>
            </w:pPr>
          </w:p>
        </w:tc>
        <w:tc>
          <w:tcPr>
            <w:tcW w:w="1868" w:type="dxa"/>
          </w:tcPr>
          <w:p w14:paraId="657A1221" w14:textId="77777777" w:rsidR="00366AAE" w:rsidRPr="009D738E" w:rsidRDefault="00366AAE" w:rsidP="00B31C4E">
            <w:pPr>
              <w:spacing w:before="100" w:beforeAutospacing="1" w:after="100" w:afterAutospacing="1" w:line="360" w:lineRule="auto"/>
              <w:rPr>
                <w:rFonts w:asciiTheme="majorHAnsi" w:hAnsiTheme="majorHAnsi" w:cstheme="majorHAnsi"/>
                <w:color w:val="000000" w:themeColor="text1"/>
                <w:sz w:val="18"/>
                <w:szCs w:val="18"/>
              </w:rPr>
            </w:pPr>
          </w:p>
        </w:tc>
        <w:tc>
          <w:tcPr>
            <w:tcW w:w="1409" w:type="dxa"/>
          </w:tcPr>
          <w:p w14:paraId="171676B9" w14:textId="77777777" w:rsidR="00366AAE" w:rsidRPr="009D738E" w:rsidRDefault="00366AAE" w:rsidP="00B31C4E">
            <w:pPr>
              <w:spacing w:before="100" w:beforeAutospacing="1" w:after="100" w:afterAutospacing="1" w:line="360" w:lineRule="auto"/>
              <w:rPr>
                <w:rFonts w:asciiTheme="majorHAnsi" w:hAnsiTheme="majorHAnsi" w:cstheme="majorHAnsi"/>
                <w:color w:val="000000" w:themeColor="text1"/>
                <w:sz w:val="18"/>
                <w:szCs w:val="18"/>
              </w:rPr>
            </w:pPr>
          </w:p>
        </w:tc>
        <w:tc>
          <w:tcPr>
            <w:tcW w:w="1306" w:type="dxa"/>
          </w:tcPr>
          <w:p w14:paraId="53D55EEA" w14:textId="77777777" w:rsidR="00366AAE" w:rsidRPr="009D738E" w:rsidRDefault="00366AAE" w:rsidP="00B31C4E">
            <w:pPr>
              <w:spacing w:before="100" w:beforeAutospacing="1" w:after="100" w:afterAutospacing="1" w:line="360" w:lineRule="auto"/>
              <w:rPr>
                <w:rFonts w:asciiTheme="majorHAnsi" w:hAnsiTheme="majorHAnsi" w:cstheme="majorHAnsi"/>
                <w:color w:val="000000" w:themeColor="text1"/>
                <w:sz w:val="18"/>
                <w:szCs w:val="18"/>
              </w:rPr>
            </w:pPr>
          </w:p>
        </w:tc>
      </w:tr>
      <w:tr w:rsidR="00366AAE" w:rsidRPr="009D738E" w14:paraId="1583B001" w14:textId="77777777" w:rsidTr="00366AAE">
        <w:trPr>
          <w:trHeight w:val="166"/>
        </w:trPr>
        <w:tc>
          <w:tcPr>
            <w:tcW w:w="1832" w:type="dxa"/>
            <w:shd w:val="clear" w:color="auto" w:fill="BFBFBF" w:themeFill="background1" w:themeFillShade="BF"/>
          </w:tcPr>
          <w:p w14:paraId="124411C2" w14:textId="77777777" w:rsidR="00366AAE" w:rsidRPr="009D738E" w:rsidRDefault="00366AAE" w:rsidP="00B31C4E">
            <w:pPr>
              <w:spacing w:before="100" w:beforeAutospacing="1" w:after="100" w:afterAutospacing="1" w:line="360" w:lineRule="auto"/>
              <w:rPr>
                <w:rFonts w:asciiTheme="majorHAnsi" w:hAnsiTheme="majorHAnsi" w:cstheme="majorHAnsi"/>
                <w:color w:val="000000" w:themeColor="text1"/>
                <w:sz w:val="18"/>
                <w:szCs w:val="18"/>
              </w:rPr>
            </w:pPr>
            <w:r w:rsidRPr="009D738E">
              <w:rPr>
                <w:rFonts w:asciiTheme="majorHAnsi" w:hAnsiTheme="majorHAnsi" w:cstheme="majorHAnsi"/>
                <w:color w:val="000000" w:themeColor="text1"/>
                <w:sz w:val="18"/>
                <w:szCs w:val="18"/>
              </w:rPr>
              <w:t>Follow-Up Study **</w:t>
            </w:r>
          </w:p>
        </w:tc>
        <w:tc>
          <w:tcPr>
            <w:tcW w:w="1391" w:type="dxa"/>
            <w:shd w:val="clear" w:color="auto" w:fill="BFBFBF" w:themeFill="background1" w:themeFillShade="BF"/>
          </w:tcPr>
          <w:p w14:paraId="5869FFC4" w14:textId="77777777" w:rsidR="00366AAE" w:rsidRPr="009D738E" w:rsidRDefault="00366AAE" w:rsidP="00B31C4E">
            <w:pPr>
              <w:spacing w:before="100" w:beforeAutospacing="1" w:after="100" w:afterAutospacing="1" w:line="360" w:lineRule="auto"/>
              <w:rPr>
                <w:rFonts w:asciiTheme="majorHAnsi" w:hAnsiTheme="majorHAnsi" w:cstheme="majorHAnsi"/>
                <w:color w:val="000000" w:themeColor="text1"/>
                <w:sz w:val="18"/>
                <w:szCs w:val="18"/>
              </w:rPr>
            </w:pPr>
          </w:p>
        </w:tc>
        <w:tc>
          <w:tcPr>
            <w:tcW w:w="1868" w:type="dxa"/>
            <w:shd w:val="clear" w:color="auto" w:fill="BFBFBF" w:themeFill="background1" w:themeFillShade="BF"/>
          </w:tcPr>
          <w:p w14:paraId="7585D632" w14:textId="77777777" w:rsidR="00366AAE" w:rsidRPr="009D738E" w:rsidRDefault="00366AAE" w:rsidP="00B31C4E">
            <w:pPr>
              <w:spacing w:before="100" w:beforeAutospacing="1" w:after="100" w:afterAutospacing="1" w:line="360" w:lineRule="auto"/>
              <w:rPr>
                <w:rFonts w:asciiTheme="majorHAnsi" w:hAnsiTheme="majorHAnsi" w:cstheme="majorHAnsi"/>
                <w:color w:val="000000" w:themeColor="text1"/>
                <w:sz w:val="18"/>
                <w:szCs w:val="18"/>
              </w:rPr>
            </w:pPr>
          </w:p>
        </w:tc>
        <w:tc>
          <w:tcPr>
            <w:tcW w:w="1409" w:type="dxa"/>
            <w:shd w:val="clear" w:color="auto" w:fill="BFBFBF" w:themeFill="background1" w:themeFillShade="BF"/>
          </w:tcPr>
          <w:p w14:paraId="2A772DC2" w14:textId="77777777" w:rsidR="00366AAE" w:rsidRPr="009D738E" w:rsidRDefault="00366AAE" w:rsidP="00B31C4E">
            <w:pPr>
              <w:spacing w:before="100" w:beforeAutospacing="1" w:after="100" w:afterAutospacing="1" w:line="360" w:lineRule="auto"/>
              <w:rPr>
                <w:rFonts w:asciiTheme="majorHAnsi" w:hAnsiTheme="majorHAnsi" w:cstheme="majorHAnsi"/>
                <w:color w:val="000000" w:themeColor="text1"/>
                <w:sz w:val="18"/>
                <w:szCs w:val="18"/>
              </w:rPr>
            </w:pPr>
          </w:p>
        </w:tc>
        <w:tc>
          <w:tcPr>
            <w:tcW w:w="1306" w:type="dxa"/>
            <w:shd w:val="clear" w:color="auto" w:fill="BFBFBF" w:themeFill="background1" w:themeFillShade="BF"/>
          </w:tcPr>
          <w:p w14:paraId="39232D0A" w14:textId="77777777" w:rsidR="00366AAE" w:rsidRPr="009D738E" w:rsidRDefault="00366AAE" w:rsidP="00B31C4E">
            <w:pPr>
              <w:spacing w:before="100" w:beforeAutospacing="1" w:after="100" w:afterAutospacing="1" w:line="360" w:lineRule="auto"/>
              <w:rPr>
                <w:rFonts w:asciiTheme="majorHAnsi" w:hAnsiTheme="majorHAnsi" w:cstheme="majorHAnsi"/>
                <w:color w:val="000000" w:themeColor="text1"/>
                <w:sz w:val="18"/>
                <w:szCs w:val="18"/>
              </w:rPr>
            </w:pPr>
          </w:p>
        </w:tc>
      </w:tr>
      <w:tr w:rsidR="00366AAE" w:rsidRPr="009D738E" w14:paraId="0DE7C0B6" w14:textId="77777777" w:rsidTr="00366AAE">
        <w:trPr>
          <w:trHeight w:val="67"/>
        </w:trPr>
        <w:tc>
          <w:tcPr>
            <w:tcW w:w="1832" w:type="dxa"/>
          </w:tcPr>
          <w:p w14:paraId="7803C1E5" w14:textId="77777777" w:rsidR="00366AAE" w:rsidRPr="009D738E" w:rsidRDefault="00366AAE" w:rsidP="00B31C4E">
            <w:pPr>
              <w:spacing w:before="100" w:beforeAutospacing="1" w:after="100" w:afterAutospacing="1" w:line="360" w:lineRule="auto"/>
              <w:rPr>
                <w:rFonts w:asciiTheme="majorHAnsi" w:hAnsiTheme="majorHAnsi" w:cstheme="majorHAnsi"/>
                <w:color w:val="000000" w:themeColor="text1"/>
                <w:sz w:val="18"/>
                <w:szCs w:val="18"/>
              </w:rPr>
            </w:pPr>
            <w:r w:rsidRPr="009D738E">
              <w:rPr>
                <w:rFonts w:asciiTheme="majorHAnsi" w:hAnsiTheme="majorHAnsi" w:cstheme="majorHAnsi"/>
                <w:color w:val="000000" w:themeColor="text1"/>
                <w:sz w:val="18"/>
                <w:szCs w:val="18"/>
              </w:rPr>
              <w:t>PSHs (n=11)</w:t>
            </w:r>
          </w:p>
        </w:tc>
        <w:tc>
          <w:tcPr>
            <w:tcW w:w="1391" w:type="dxa"/>
          </w:tcPr>
          <w:p w14:paraId="43325C7C" w14:textId="77777777" w:rsidR="00366AAE" w:rsidRPr="009D738E" w:rsidRDefault="00366AAE" w:rsidP="00B31C4E">
            <w:pPr>
              <w:spacing w:before="100" w:beforeAutospacing="1" w:after="100" w:afterAutospacing="1" w:line="360" w:lineRule="auto"/>
              <w:rPr>
                <w:rFonts w:asciiTheme="majorHAnsi" w:hAnsiTheme="majorHAnsi" w:cstheme="majorHAnsi"/>
                <w:color w:val="000000" w:themeColor="text1"/>
                <w:sz w:val="18"/>
                <w:szCs w:val="18"/>
              </w:rPr>
            </w:pPr>
            <w:r w:rsidRPr="009D738E">
              <w:rPr>
                <w:rFonts w:asciiTheme="majorHAnsi" w:hAnsiTheme="majorHAnsi" w:cstheme="majorHAnsi"/>
                <w:color w:val="000000" w:themeColor="text1"/>
                <w:sz w:val="18"/>
                <w:szCs w:val="18"/>
              </w:rPr>
              <w:t>42%</w:t>
            </w:r>
          </w:p>
        </w:tc>
        <w:tc>
          <w:tcPr>
            <w:tcW w:w="1868" w:type="dxa"/>
          </w:tcPr>
          <w:p w14:paraId="7E12E945" w14:textId="77777777" w:rsidR="00366AAE" w:rsidRPr="009D738E" w:rsidRDefault="00366AAE" w:rsidP="00B31C4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25</w:t>
            </w:r>
            <w:r w:rsidRPr="009D738E">
              <w:rPr>
                <w:rFonts w:asciiTheme="majorHAnsi" w:hAnsiTheme="majorHAnsi" w:cstheme="majorHAnsi"/>
                <w:color w:val="000000" w:themeColor="text1"/>
                <w:sz w:val="18"/>
                <w:szCs w:val="18"/>
              </w:rPr>
              <w:t>%</w:t>
            </w:r>
          </w:p>
        </w:tc>
        <w:tc>
          <w:tcPr>
            <w:tcW w:w="1409" w:type="dxa"/>
          </w:tcPr>
          <w:p w14:paraId="368BEF4F" w14:textId="77777777" w:rsidR="00366AAE" w:rsidRPr="009D738E" w:rsidRDefault="00366AAE" w:rsidP="00B31C4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42</w:t>
            </w:r>
            <w:r w:rsidRPr="009D738E">
              <w:rPr>
                <w:rFonts w:asciiTheme="majorHAnsi" w:hAnsiTheme="majorHAnsi" w:cstheme="majorHAnsi"/>
                <w:color w:val="000000" w:themeColor="text1"/>
                <w:sz w:val="18"/>
                <w:szCs w:val="18"/>
              </w:rPr>
              <w:t>%</w:t>
            </w:r>
          </w:p>
        </w:tc>
        <w:tc>
          <w:tcPr>
            <w:tcW w:w="1306" w:type="dxa"/>
          </w:tcPr>
          <w:p w14:paraId="31686B43" w14:textId="77777777" w:rsidR="00366AAE" w:rsidRPr="009D738E" w:rsidRDefault="00366AAE" w:rsidP="00B31C4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33</w:t>
            </w:r>
            <w:r w:rsidRPr="009D738E">
              <w:rPr>
                <w:rFonts w:asciiTheme="majorHAnsi" w:hAnsiTheme="majorHAnsi" w:cstheme="majorHAnsi"/>
                <w:color w:val="000000" w:themeColor="text1"/>
                <w:sz w:val="18"/>
                <w:szCs w:val="18"/>
              </w:rPr>
              <w:t>%</w:t>
            </w:r>
          </w:p>
        </w:tc>
      </w:tr>
      <w:tr w:rsidR="00366AAE" w:rsidRPr="009D738E" w14:paraId="0743B2A5" w14:textId="77777777" w:rsidTr="00366AAE">
        <w:trPr>
          <w:trHeight w:val="38"/>
        </w:trPr>
        <w:tc>
          <w:tcPr>
            <w:tcW w:w="1832" w:type="dxa"/>
          </w:tcPr>
          <w:p w14:paraId="0ED8B1A7" w14:textId="77777777" w:rsidR="00366AAE" w:rsidRPr="009D738E" w:rsidRDefault="00366AAE" w:rsidP="00B31C4E">
            <w:pPr>
              <w:spacing w:before="100" w:beforeAutospacing="1" w:after="100" w:afterAutospacing="1" w:line="360" w:lineRule="auto"/>
              <w:rPr>
                <w:rFonts w:asciiTheme="majorHAnsi" w:hAnsiTheme="majorHAnsi" w:cstheme="majorHAnsi"/>
                <w:color w:val="000000" w:themeColor="text1"/>
                <w:sz w:val="18"/>
                <w:szCs w:val="18"/>
              </w:rPr>
            </w:pPr>
            <w:r w:rsidRPr="009D738E">
              <w:rPr>
                <w:rFonts w:asciiTheme="majorHAnsi" w:hAnsiTheme="majorHAnsi" w:cstheme="majorHAnsi"/>
                <w:color w:val="000000" w:themeColor="text1"/>
                <w:sz w:val="18"/>
                <w:szCs w:val="18"/>
              </w:rPr>
              <w:t>Teachers (n=61)</w:t>
            </w:r>
          </w:p>
        </w:tc>
        <w:tc>
          <w:tcPr>
            <w:tcW w:w="1391" w:type="dxa"/>
          </w:tcPr>
          <w:p w14:paraId="2A241B9A" w14:textId="77777777" w:rsidR="00366AAE" w:rsidRPr="009D738E" w:rsidRDefault="00366AAE" w:rsidP="00B31C4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43</w:t>
            </w:r>
            <w:r w:rsidRPr="009D738E">
              <w:rPr>
                <w:rFonts w:asciiTheme="majorHAnsi" w:hAnsiTheme="majorHAnsi" w:cstheme="majorHAnsi"/>
                <w:color w:val="000000" w:themeColor="text1"/>
                <w:sz w:val="18"/>
                <w:szCs w:val="18"/>
              </w:rPr>
              <w:t>%</w:t>
            </w:r>
          </w:p>
        </w:tc>
        <w:tc>
          <w:tcPr>
            <w:tcW w:w="1868" w:type="dxa"/>
          </w:tcPr>
          <w:p w14:paraId="4643A4CF" w14:textId="77777777" w:rsidR="00366AAE" w:rsidRPr="009D738E" w:rsidRDefault="00366AAE" w:rsidP="00B31C4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36</w:t>
            </w:r>
            <w:r w:rsidRPr="009D738E">
              <w:rPr>
                <w:rFonts w:asciiTheme="majorHAnsi" w:hAnsiTheme="majorHAnsi" w:cstheme="majorHAnsi"/>
                <w:color w:val="000000" w:themeColor="text1"/>
                <w:sz w:val="18"/>
                <w:szCs w:val="18"/>
              </w:rPr>
              <w:t>%</w:t>
            </w:r>
          </w:p>
        </w:tc>
        <w:tc>
          <w:tcPr>
            <w:tcW w:w="1409" w:type="dxa"/>
          </w:tcPr>
          <w:p w14:paraId="2C166614" w14:textId="77777777" w:rsidR="00366AAE" w:rsidRPr="009D738E" w:rsidRDefault="00366AAE" w:rsidP="00B31C4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46</w:t>
            </w:r>
            <w:r w:rsidRPr="009D738E">
              <w:rPr>
                <w:rFonts w:asciiTheme="majorHAnsi" w:hAnsiTheme="majorHAnsi" w:cstheme="majorHAnsi"/>
                <w:color w:val="000000" w:themeColor="text1"/>
                <w:sz w:val="18"/>
                <w:szCs w:val="18"/>
              </w:rPr>
              <w:t>%</w:t>
            </w:r>
          </w:p>
        </w:tc>
        <w:tc>
          <w:tcPr>
            <w:tcW w:w="1306" w:type="dxa"/>
          </w:tcPr>
          <w:p w14:paraId="7256CEAD" w14:textId="77777777" w:rsidR="00366AAE" w:rsidRPr="009D738E" w:rsidRDefault="00366AAE" w:rsidP="00B31C4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39</w:t>
            </w:r>
            <w:r w:rsidRPr="009D738E">
              <w:rPr>
                <w:rFonts w:asciiTheme="majorHAnsi" w:hAnsiTheme="majorHAnsi" w:cstheme="majorHAnsi"/>
                <w:color w:val="000000" w:themeColor="text1"/>
                <w:sz w:val="18"/>
                <w:szCs w:val="18"/>
              </w:rPr>
              <w:t>%</w:t>
            </w:r>
          </w:p>
        </w:tc>
      </w:tr>
    </w:tbl>
    <w:p w14:paraId="027FB508" w14:textId="65A9D975" w:rsidR="00366AAE" w:rsidRPr="00B31C4E" w:rsidRDefault="00366AAE" w:rsidP="00B31C4E">
      <w:pPr>
        <w:spacing w:before="100" w:beforeAutospacing="1" w:after="100" w:afterAutospacing="1" w:line="360" w:lineRule="auto"/>
        <w:rPr>
          <w:rFonts w:asciiTheme="minorHAnsi" w:hAnsiTheme="minorHAnsi"/>
          <w:sz w:val="14"/>
          <w:szCs w:val="14"/>
        </w:rPr>
      </w:pPr>
      <w:r w:rsidRPr="002339E6">
        <w:rPr>
          <w:rFonts w:asciiTheme="minorHAnsi" w:hAnsiTheme="minorHAnsi"/>
          <w:sz w:val="14"/>
          <w:szCs w:val="14"/>
        </w:rPr>
        <w:t>*2019 KAU Survey *** KAU Survey *** Teachers were not asked about the Policy</w:t>
      </w:r>
    </w:p>
    <w:p w14:paraId="78509672" w14:textId="2143303A" w:rsidR="008D0CAD" w:rsidRPr="00F6007D" w:rsidRDefault="008D0CAD" w:rsidP="00B31C4E">
      <w:pPr>
        <w:spacing w:before="100" w:beforeAutospacing="1" w:after="100" w:afterAutospacing="1" w:line="360" w:lineRule="auto"/>
        <w:rPr>
          <w:rFonts w:asciiTheme="majorHAnsi" w:hAnsiTheme="majorHAnsi" w:cstheme="majorHAnsi"/>
          <w:color w:val="000000" w:themeColor="text1"/>
        </w:rPr>
      </w:pPr>
      <w:r w:rsidRPr="00F03B85">
        <w:rPr>
          <w:rFonts w:asciiTheme="majorHAnsi" w:hAnsiTheme="majorHAnsi" w:cstheme="majorHAnsi"/>
          <w:color w:val="000000" w:themeColor="text1"/>
        </w:rPr>
        <w:t xml:space="preserve">In terms of the </w:t>
      </w:r>
      <w:r>
        <w:rPr>
          <w:rFonts w:asciiTheme="majorHAnsi" w:hAnsiTheme="majorHAnsi" w:cstheme="majorHAnsi"/>
          <w:color w:val="000000" w:themeColor="text1"/>
        </w:rPr>
        <w:t xml:space="preserve">dissemination of </w:t>
      </w:r>
      <w:r w:rsidRPr="00F03B85">
        <w:rPr>
          <w:rFonts w:asciiTheme="majorHAnsi" w:hAnsiTheme="majorHAnsi" w:cstheme="majorHAnsi"/>
          <w:color w:val="000000" w:themeColor="text1"/>
        </w:rPr>
        <w:t xml:space="preserve">SBM-related outputs, </w:t>
      </w:r>
      <w:r>
        <w:rPr>
          <w:rFonts w:asciiTheme="majorHAnsi" w:hAnsiTheme="majorHAnsi" w:cstheme="majorHAnsi"/>
          <w:color w:val="000000" w:themeColor="text1"/>
        </w:rPr>
        <w:t xml:space="preserve">only </w:t>
      </w:r>
      <w:r w:rsidRPr="00F03B85">
        <w:rPr>
          <w:rFonts w:asciiTheme="majorHAnsi" w:hAnsiTheme="majorHAnsi" w:cstheme="majorHAnsi"/>
          <w:color w:val="000000" w:themeColor="text1"/>
        </w:rPr>
        <w:t xml:space="preserve">31 </w:t>
      </w:r>
      <w:r>
        <w:rPr>
          <w:rFonts w:asciiTheme="majorHAnsi" w:hAnsiTheme="majorHAnsi" w:cstheme="majorHAnsi"/>
          <w:color w:val="000000" w:themeColor="text1"/>
        </w:rPr>
        <w:t>per cent</w:t>
      </w:r>
      <w:r w:rsidRPr="00F03B85">
        <w:rPr>
          <w:rFonts w:asciiTheme="majorHAnsi" w:hAnsiTheme="majorHAnsi" w:cstheme="majorHAnsi"/>
          <w:color w:val="000000" w:themeColor="text1"/>
        </w:rPr>
        <w:t xml:space="preserve"> of </w:t>
      </w:r>
      <w:r>
        <w:rPr>
          <w:rFonts w:asciiTheme="majorHAnsi" w:hAnsiTheme="majorHAnsi" w:cstheme="majorHAnsi"/>
          <w:color w:val="000000" w:themeColor="text1"/>
        </w:rPr>
        <w:t>principals</w:t>
      </w:r>
      <w:r w:rsidRPr="00F03B85">
        <w:rPr>
          <w:rFonts w:asciiTheme="majorHAnsi" w:hAnsiTheme="majorHAnsi" w:cstheme="majorHAnsi"/>
          <w:color w:val="000000" w:themeColor="text1"/>
        </w:rPr>
        <w:t xml:space="preserve"> from </w:t>
      </w:r>
      <w:r>
        <w:rPr>
          <w:rFonts w:asciiTheme="majorHAnsi" w:hAnsiTheme="majorHAnsi" w:cstheme="majorHAnsi"/>
          <w:color w:val="000000" w:themeColor="text1"/>
        </w:rPr>
        <w:t>direct recipient schools</w:t>
      </w:r>
      <w:r w:rsidRPr="00F03B85">
        <w:rPr>
          <w:rFonts w:asciiTheme="majorHAnsi" w:hAnsiTheme="majorHAnsi" w:cstheme="majorHAnsi"/>
          <w:color w:val="000000" w:themeColor="text1"/>
        </w:rPr>
        <w:t xml:space="preserve"> indicated comprehensive knowledge of the SIP Quality Assessment Tool for Schools while 27 </w:t>
      </w:r>
      <w:r>
        <w:rPr>
          <w:rFonts w:asciiTheme="majorHAnsi" w:hAnsiTheme="majorHAnsi" w:cstheme="majorHAnsi"/>
          <w:color w:val="000000" w:themeColor="text1"/>
        </w:rPr>
        <w:t>per cent</w:t>
      </w:r>
      <w:r w:rsidRPr="00F03B85">
        <w:rPr>
          <w:rFonts w:asciiTheme="majorHAnsi" w:hAnsiTheme="majorHAnsi" w:cstheme="majorHAnsi"/>
          <w:color w:val="000000" w:themeColor="text1"/>
        </w:rPr>
        <w:t xml:space="preserve"> indicated </w:t>
      </w:r>
      <w:r>
        <w:rPr>
          <w:rFonts w:asciiTheme="majorHAnsi" w:hAnsiTheme="majorHAnsi" w:cstheme="majorHAnsi"/>
          <w:color w:val="000000" w:themeColor="text1"/>
        </w:rPr>
        <w:t xml:space="preserve">that they found it </w:t>
      </w:r>
      <w:r w:rsidRPr="00F03B85">
        <w:rPr>
          <w:rFonts w:asciiTheme="majorHAnsi" w:hAnsiTheme="majorHAnsi" w:cstheme="majorHAnsi"/>
          <w:color w:val="000000" w:themeColor="text1"/>
        </w:rPr>
        <w:t>extreme</w:t>
      </w:r>
      <w:r>
        <w:rPr>
          <w:rFonts w:asciiTheme="majorHAnsi" w:hAnsiTheme="majorHAnsi" w:cstheme="majorHAnsi"/>
          <w:color w:val="000000" w:themeColor="text1"/>
        </w:rPr>
        <w:t>ly</w:t>
      </w:r>
      <w:r w:rsidRPr="00F03B85">
        <w:rPr>
          <w:rFonts w:asciiTheme="majorHAnsi" w:hAnsiTheme="majorHAnsi" w:cstheme="majorHAnsi"/>
          <w:color w:val="000000" w:themeColor="text1"/>
        </w:rPr>
        <w:t xml:space="preserve"> useful</w:t>
      </w:r>
      <w:r w:rsidRPr="00F03B85">
        <w:rPr>
          <w:rStyle w:val="FootnoteReference"/>
          <w:rFonts w:asciiTheme="majorHAnsi" w:eastAsia="Arial Unicode MS" w:hAnsiTheme="majorHAnsi" w:cstheme="majorHAnsi"/>
          <w:color w:val="000000" w:themeColor="text1"/>
        </w:rPr>
        <w:footnoteReference w:id="74"/>
      </w:r>
      <w:r>
        <w:rPr>
          <w:rFonts w:asciiTheme="majorHAnsi" w:hAnsiTheme="majorHAnsi" w:cstheme="majorHAnsi"/>
          <w:color w:val="000000" w:themeColor="text1"/>
        </w:rPr>
        <w:t xml:space="preserve"> (see Table 34 below).</w:t>
      </w:r>
      <w:r w:rsidR="00D434EB">
        <w:rPr>
          <w:rFonts w:asciiTheme="majorHAnsi" w:hAnsiTheme="majorHAnsi" w:cstheme="majorHAnsi"/>
          <w:color w:val="000000" w:themeColor="text1"/>
        </w:rPr>
        <w:t xml:space="preserve"> </w:t>
      </w:r>
      <w:r w:rsidRPr="00F03B85">
        <w:rPr>
          <w:rFonts w:asciiTheme="majorHAnsi" w:hAnsiTheme="majorHAnsi" w:cstheme="majorHAnsi"/>
          <w:color w:val="000000" w:themeColor="text1"/>
        </w:rPr>
        <w:t xml:space="preserve"> </w:t>
      </w:r>
      <w:r>
        <w:rPr>
          <w:rFonts w:asciiTheme="majorHAnsi" w:hAnsiTheme="majorHAnsi" w:cstheme="majorHAnsi"/>
          <w:color w:val="000000" w:themeColor="text1"/>
        </w:rPr>
        <w:t>Similarly</w:t>
      </w:r>
      <w:r w:rsidRPr="00F03B85">
        <w:rPr>
          <w:rFonts w:asciiTheme="majorHAnsi" w:hAnsiTheme="majorHAnsi" w:cstheme="majorHAnsi"/>
          <w:color w:val="000000" w:themeColor="text1"/>
        </w:rPr>
        <w:t xml:space="preserve">, 31 </w:t>
      </w:r>
      <w:r>
        <w:rPr>
          <w:rFonts w:asciiTheme="majorHAnsi" w:hAnsiTheme="majorHAnsi" w:cstheme="majorHAnsi"/>
          <w:color w:val="000000" w:themeColor="text1"/>
        </w:rPr>
        <w:t>per cent</w:t>
      </w:r>
      <w:r w:rsidRPr="00F03B85">
        <w:rPr>
          <w:rFonts w:asciiTheme="majorHAnsi" w:hAnsiTheme="majorHAnsi" w:cstheme="majorHAnsi"/>
          <w:color w:val="000000" w:themeColor="text1"/>
        </w:rPr>
        <w:t xml:space="preserve"> of </w:t>
      </w:r>
      <w:r>
        <w:rPr>
          <w:rFonts w:asciiTheme="majorHAnsi" w:hAnsiTheme="majorHAnsi" w:cstheme="majorHAnsi"/>
          <w:color w:val="000000" w:themeColor="text1"/>
        </w:rPr>
        <w:t>principals</w:t>
      </w:r>
      <w:r w:rsidRPr="00F03B85">
        <w:rPr>
          <w:rFonts w:asciiTheme="majorHAnsi" w:hAnsiTheme="majorHAnsi" w:cstheme="majorHAnsi"/>
          <w:color w:val="000000" w:themeColor="text1"/>
        </w:rPr>
        <w:t xml:space="preserve"> from </w:t>
      </w:r>
      <w:r>
        <w:rPr>
          <w:rFonts w:asciiTheme="majorHAnsi" w:hAnsiTheme="majorHAnsi" w:cstheme="majorHAnsi"/>
          <w:color w:val="000000" w:themeColor="text1"/>
        </w:rPr>
        <w:t>direct recipient schools</w:t>
      </w:r>
      <w:r w:rsidRPr="00F03B85">
        <w:rPr>
          <w:rFonts w:asciiTheme="majorHAnsi" w:hAnsiTheme="majorHAnsi" w:cstheme="majorHAnsi"/>
          <w:color w:val="000000" w:themeColor="text1"/>
        </w:rPr>
        <w:t xml:space="preserve"> indicated comprehensive knowledge of the </w:t>
      </w:r>
      <w:r w:rsidRPr="00956CB0">
        <w:rPr>
          <w:rFonts w:asciiTheme="majorHAnsi" w:hAnsiTheme="majorHAnsi" w:cstheme="majorHAnsi"/>
          <w:color w:val="000000" w:themeColor="text1"/>
        </w:rPr>
        <w:t>Trainer’s Toolkit for the Enhanced School Improvement Plan (SIP)</w:t>
      </w:r>
      <w:r w:rsidRPr="00F03B85">
        <w:rPr>
          <w:rFonts w:asciiTheme="majorHAnsi" w:hAnsiTheme="majorHAnsi" w:cstheme="majorHAnsi"/>
          <w:color w:val="000000" w:themeColor="text1"/>
        </w:rPr>
        <w:t xml:space="preserve"> </w:t>
      </w:r>
      <w:r>
        <w:rPr>
          <w:rFonts w:asciiTheme="majorHAnsi" w:hAnsiTheme="majorHAnsi" w:cstheme="majorHAnsi"/>
          <w:color w:val="000000" w:themeColor="text1"/>
        </w:rPr>
        <w:t>and</w:t>
      </w:r>
      <w:r w:rsidRPr="00F03B85">
        <w:rPr>
          <w:rFonts w:asciiTheme="majorHAnsi" w:hAnsiTheme="majorHAnsi" w:cstheme="majorHAnsi"/>
          <w:color w:val="000000" w:themeColor="text1"/>
        </w:rPr>
        <w:t xml:space="preserve"> only 23 </w:t>
      </w:r>
      <w:r>
        <w:rPr>
          <w:rFonts w:asciiTheme="majorHAnsi" w:hAnsiTheme="majorHAnsi" w:cstheme="majorHAnsi"/>
          <w:color w:val="000000" w:themeColor="text1"/>
        </w:rPr>
        <w:t>per cent</w:t>
      </w:r>
      <w:r w:rsidRPr="00F03B85">
        <w:rPr>
          <w:rFonts w:asciiTheme="majorHAnsi" w:hAnsiTheme="majorHAnsi" w:cstheme="majorHAnsi"/>
          <w:color w:val="000000" w:themeColor="text1"/>
        </w:rPr>
        <w:t xml:space="preserve"> indicated </w:t>
      </w:r>
      <w:r>
        <w:rPr>
          <w:rFonts w:asciiTheme="majorHAnsi" w:hAnsiTheme="majorHAnsi" w:cstheme="majorHAnsi"/>
          <w:color w:val="000000" w:themeColor="text1"/>
        </w:rPr>
        <w:t xml:space="preserve">that they found it </w:t>
      </w:r>
      <w:r w:rsidRPr="00F03B85">
        <w:rPr>
          <w:rFonts w:asciiTheme="majorHAnsi" w:hAnsiTheme="majorHAnsi" w:cstheme="majorHAnsi"/>
          <w:color w:val="000000" w:themeColor="text1"/>
        </w:rPr>
        <w:t>extreme</w:t>
      </w:r>
      <w:r>
        <w:rPr>
          <w:rFonts w:asciiTheme="majorHAnsi" w:hAnsiTheme="majorHAnsi" w:cstheme="majorHAnsi"/>
          <w:color w:val="000000" w:themeColor="text1"/>
        </w:rPr>
        <w:t>ly</w:t>
      </w:r>
      <w:r w:rsidRPr="00F03B85">
        <w:rPr>
          <w:rFonts w:asciiTheme="majorHAnsi" w:hAnsiTheme="majorHAnsi" w:cstheme="majorHAnsi"/>
          <w:color w:val="000000" w:themeColor="text1"/>
        </w:rPr>
        <w:t xml:space="preserve"> useful.</w:t>
      </w:r>
    </w:p>
    <w:p w14:paraId="46A88981" w14:textId="46CEB833" w:rsidR="008D0CAD" w:rsidRPr="004A657A" w:rsidRDefault="008D0CAD" w:rsidP="00B31C4E">
      <w:pPr>
        <w:pStyle w:val="Caption"/>
        <w:spacing w:before="100" w:beforeAutospacing="1" w:after="100" w:afterAutospacing="1" w:line="360" w:lineRule="auto"/>
        <w:rPr>
          <w:rFonts w:asciiTheme="majorHAnsi" w:hAnsiTheme="majorHAnsi" w:cstheme="majorHAnsi"/>
          <w:sz w:val="22"/>
          <w:szCs w:val="22"/>
        </w:rPr>
      </w:pPr>
      <w:bookmarkStart w:id="147" w:name="_Toc71616620"/>
      <w:r w:rsidRPr="004A657A">
        <w:rPr>
          <w:rFonts w:asciiTheme="majorHAnsi" w:hAnsiTheme="majorHAnsi" w:cstheme="majorHAnsi"/>
          <w:sz w:val="22"/>
          <w:szCs w:val="22"/>
        </w:rPr>
        <w:t xml:space="preserve">Table </w:t>
      </w:r>
      <w:r w:rsidRPr="004A657A">
        <w:rPr>
          <w:rFonts w:asciiTheme="majorHAnsi" w:hAnsiTheme="majorHAnsi" w:cstheme="majorHAnsi"/>
          <w:sz w:val="22"/>
          <w:szCs w:val="22"/>
        </w:rPr>
        <w:fldChar w:fldCharType="begin"/>
      </w:r>
      <w:r w:rsidRPr="004A657A">
        <w:rPr>
          <w:rFonts w:asciiTheme="majorHAnsi" w:hAnsiTheme="majorHAnsi" w:cstheme="majorHAnsi"/>
          <w:sz w:val="22"/>
          <w:szCs w:val="22"/>
        </w:rPr>
        <w:instrText xml:space="preserve"> SEQ Table \* ARABIC </w:instrText>
      </w:r>
      <w:r w:rsidRPr="004A657A">
        <w:rPr>
          <w:rFonts w:asciiTheme="majorHAnsi" w:hAnsiTheme="majorHAnsi" w:cstheme="majorHAnsi"/>
          <w:sz w:val="22"/>
          <w:szCs w:val="22"/>
        </w:rPr>
        <w:fldChar w:fldCharType="separate"/>
      </w:r>
      <w:r w:rsidR="00D6133D">
        <w:rPr>
          <w:rFonts w:asciiTheme="majorHAnsi" w:hAnsiTheme="majorHAnsi" w:cstheme="majorHAnsi"/>
          <w:noProof/>
          <w:sz w:val="22"/>
          <w:szCs w:val="22"/>
        </w:rPr>
        <w:t>29</w:t>
      </w:r>
      <w:r w:rsidRPr="004A657A">
        <w:rPr>
          <w:rFonts w:asciiTheme="majorHAnsi" w:hAnsiTheme="majorHAnsi" w:cstheme="majorHAnsi"/>
          <w:sz w:val="22"/>
          <w:szCs w:val="22"/>
        </w:rPr>
        <w:fldChar w:fldCharType="end"/>
      </w:r>
      <w:r w:rsidRPr="004A657A">
        <w:rPr>
          <w:rFonts w:asciiTheme="majorHAnsi" w:hAnsiTheme="majorHAnsi" w:cstheme="majorHAnsi"/>
          <w:sz w:val="22"/>
          <w:szCs w:val="22"/>
        </w:rPr>
        <w:t>. Principals’ and Teachers’ Perceptions of SBM-related Outputs</w:t>
      </w:r>
      <w:bookmarkEnd w:id="147"/>
    </w:p>
    <w:tbl>
      <w:tblPr>
        <w:tblStyle w:val="TableGrid"/>
        <w:tblW w:w="0" w:type="auto"/>
        <w:tblLook w:val="04A0" w:firstRow="1" w:lastRow="0" w:firstColumn="1" w:lastColumn="0" w:noHBand="0" w:noVBand="1"/>
      </w:tblPr>
      <w:tblGrid>
        <w:gridCol w:w="1838"/>
        <w:gridCol w:w="1005"/>
        <w:gridCol w:w="1348"/>
        <w:gridCol w:w="1312"/>
        <w:gridCol w:w="807"/>
        <w:gridCol w:w="1034"/>
        <w:gridCol w:w="960"/>
      </w:tblGrid>
      <w:tr w:rsidR="006244E0" w:rsidRPr="009D738E" w14:paraId="0469C868" w14:textId="77777777" w:rsidTr="00F4751F">
        <w:trPr>
          <w:trHeight w:val="266"/>
          <w:tblHeader/>
        </w:trPr>
        <w:tc>
          <w:tcPr>
            <w:tcW w:w="1838" w:type="dxa"/>
            <w:tcBorders>
              <w:bottom w:val="nil"/>
            </w:tcBorders>
          </w:tcPr>
          <w:p w14:paraId="4AAFEE9B" w14:textId="77777777" w:rsidR="006244E0" w:rsidRPr="009D738E"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bookmarkStart w:id="148" w:name="_Hlk66457316"/>
          </w:p>
        </w:tc>
        <w:tc>
          <w:tcPr>
            <w:tcW w:w="1005" w:type="dxa"/>
            <w:tcBorders>
              <w:bottom w:val="nil"/>
            </w:tcBorders>
          </w:tcPr>
          <w:p w14:paraId="5A619ADB" w14:textId="77777777" w:rsidR="006244E0" w:rsidRPr="009D738E" w:rsidRDefault="006244E0" w:rsidP="00B31C4E">
            <w:pPr>
              <w:spacing w:before="100" w:beforeAutospacing="1" w:after="100" w:afterAutospacing="1" w:line="360" w:lineRule="auto"/>
              <w:rPr>
                <w:rFonts w:asciiTheme="majorHAnsi" w:hAnsiTheme="majorHAnsi" w:cstheme="majorHAnsi"/>
                <w:b/>
                <w:bCs/>
                <w:color w:val="000000" w:themeColor="text1"/>
                <w:sz w:val="18"/>
                <w:szCs w:val="18"/>
              </w:rPr>
            </w:pPr>
            <w:r w:rsidRPr="009D738E">
              <w:rPr>
                <w:rFonts w:asciiTheme="majorHAnsi" w:hAnsiTheme="majorHAnsi" w:cstheme="majorHAnsi"/>
                <w:b/>
                <w:bCs/>
                <w:color w:val="000000" w:themeColor="text1"/>
                <w:sz w:val="18"/>
                <w:szCs w:val="18"/>
              </w:rPr>
              <w:t>% Sufficient knowledge</w:t>
            </w:r>
          </w:p>
        </w:tc>
        <w:tc>
          <w:tcPr>
            <w:tcW w:w="1348" w:type="dxa"/>
            <w:tcBorders>
              <w:bottom w:val="nil"/>
            </w:tcBorders>
          </w:tcPr>
          <w:p w14:paraId="6D7EA8A2" w14:textId="77777777" w:rsidR="006244E0" w:rsidRPr="009D738E" w:rsidRDefault="006244E0" w:rsidP="00B31C4E">
            <w:pPr>
              <w:spacing w:before="100" w:beforeAutospacing="1" w:after="100" w:afterAutospacing="1" w:line="360" w:lineRule="auto"/>
              <w:rPr>
                <w:rFonts w:asciiTheme="majorHAnsi" w:hAnsiTheme="majorHAnsi" w:cstheme="majorHAnsi"/>
                <w:b/>
                <w:bCs/>
                <w:color w:val="000000" w:themeColor="text1"/>
                <w:sz w:val="18"/>
                <w:szCs w:val="18"/>
              </w:rPr>
            </w:pPr>
            <w:r w:rsidRPr="009D738E">
              <w:rPr>
                <w:rFonts w:asciiTheme="majorHAnsi" w:hAnsiTheme="majorHAnsi" w:cstheme="majorHAnsi"/>
                <w:b/>
                <w:bCs/>
                <w:color w:val="000000" w:themeColor="text1"/>
                <w:sz w:val="18"/>
                <w:szCs w:val="18"/>
              </w:rPr>
              <w:t>% Comprehensive knowledge</w:t>
            </w:r>
          </w:p>
        </w:tc>
        <w:tc>
          <w:tcPr>
            <w:tcW w:w="1312" w:type="dxa"/>
            <w:tcBorders>
              <w:bottom w:val="nil"/>
            </w:tcBorders>
          </w:tcPr>
          <w:p w14:paraId="2F185054" w14:textId="77777777" w:rsidR="006244E0" w:rsidRPr="009D738E" w:rsidRDefault="006244E0" w:rsidP="00B31C4E">
            <w:pPr>
              <w:spacing w:before="100" w:beforeAutospacing="1" w:after="100" w:afterAutospacing="1" w:line="360" w:lineRule="auto"/>
              <w:rPr>
                <w:rFonts w:asciiTheme="majorHAnsi" w:hAnsiTheme="majorHAnsi" w:cstheme="majorHAnsi"/>
                <w:b/>
                <w:bCs/>
                <w:color w:val="000000" w:themeColor="text1"/>
                <w:sz w:val="18"/>
                <w:szCs w:val="18"/>
              </w:rPr>
            </w:pPr>
            <w:r>
              <w:rPr>
                <w:rFonts w:asciiTheme="majorHAnsi" w:hAnsiTheme="majorHAnsi" w:cstheme="majorHAnsi"/>
                <w:b/>
                <w:bCs/>
                <w:color w:val="000000" w:themeColor="text1"/>
                <w:sz w:val="18"/>
                <w:szCs w:val="18"/>
              </w:rPr>
              <w:t>% Full access - individual</w:t>
            </w:r>
          </w:p>
        </w:tc>
        <w:tc>
          <w:tcPr>
            <w:tcW w:w="807" w:type="dxa"/>
            <w:tcBorders>
              <w:bottom w:val="nil"/>
            </w:tcBorders>
          </w:tcPr>
          <w:p w14:paraId="52CE7B8F" w14:textId="77777777" w:rsidR="006244E0" w:rsidRPr="009D738E" w:rsidRDefault="006244E0" w:rsidP="00B31C4E">
            <w:pPr>
              <w:spacing w:before="100" w:beforeAutospacing="1" w:after="100" w:afterAutospacing="1" w:line="360" w:lineRule="auto"/>
              <w:rPr>
                <w:rFonts w:asciiTheme="majorHAnsi" w:hAnsiTheme="majorHAnsi" w:cstheme="majorHAnsi"/>
                <w:b/>
                <w:bCs/>
                <w:color w:val="000000" w:themeColor="text1"/>
                <w:sz w:val="18"/>
                <w:szCs w:val="18"/>
              </w:rPr>
            </w:pPr>
            <w:r>
              <w:rPr>
                <w:rFonts w:asciiTheme="majorHAnsi" w:hAnsiTheme="majorHAnsi" w:cstheme="majorHAnsi"/>
                <w:b/>
                <w:bCs/>
                <w:color w:val="000000" w:themeColor="text1"/>
                <w:sz w:val="18"/>
                <w:szCs w:val="18"/>
              </w:rPr>
              <w:t>% Full access - school</w:t>
            </w:r>
          </w:p>
        </w:tc>
        <w:tc>
          <w:tcPr>
            <w:tcW w:w="1034" w:type="dxa"/>
            <w:tcBorders>
              <w:bottom w:val="nil"/>
            </w:tcBorders>
          </w:tcPr>
          <w:p w14:paraId="5666FD02" w14:textId="77777777" w:rsidR="006244E0" w:rsidRPr="009D738E" w:rsidRDefault="006244E0" w:rsidP="00B31C4E">
            <w:pPr>
              <w:spacing w:before="100" w:beforeAutospacing="1" w:after="100" w:afterAutospacing="1" w:line="360" w:lineRule="auto"/>
              <w:rPr>
                <w:rFonts w:asciiTheme="majorHAnsi" w:hAnsiTheme="majorHAnsi" w:cstheme="majorHAnsi"/>
                <w:b/>
                <w:bCs/>
                <w:color w:val="000000" w:themeColor="text1"/>
                <w:sz w:val="18"/>
                <w:szCs w:val="18"/>
              </w:rPr>
            </w:pPr>
            <w:r w:rsidRPr="009D738E">
              <w:rPr>
                <w:rFonts w:asciiTheme="majorHAnsi" w:hAnsiTheme="majorHAnsi" w:cstheme="majorHAnsi"/>
                <w:b/>
                <w:bCs/>
                <w:color w:val="000000" w:themeColor="text1"/>
                <w:sz w:val="18"/>
                <w:szCs w:val="18"/>
              </w:rPr>
              <w:t>% Sufficiently useful</w:t>
            </w:r>
          </w:p>
        </w:tc>
        <w:tc>
          <w:tcPr>
            <w:tcW w:w="960" w:type="dxa"/>
            <w:tcBorders>
              <w:bottom w:val="nil"/>
            </w:tcBorders>
          </w:tcPr>
          <w:p w14:paraId="48050A52" w14:textId="77777777" w:rsidR="006244E0" w:rsidRPr="009D738E" w:rsidRDefault="006244E0" w:rsidP="00B31C4E">
            <w:pPr>
              <w:spacing w:before="100" w:beforeAutospacing="1" w:after="100" w:afterAutospacing="1" w:line="360" w:lineRule="auto"/>
              <w:rPr>
                <w:rFonts w:asciiTheme="majorHAnsi" w:hAnsiTheme="majorHAnsi" w:cstheme="majorHAnsi"/>
                <w:b/>
                <w:bCs/>
                <w:color w:val="000000" w:themeColor="text1"/>
                <w:sz w:val="18"/>
                <w:szCs w:val="18"/>
              </w:rPr>
            </w:pPr>
            <w:r w:rsidRPr="009D738E">
              <w:rPr>
                <w:rFonts w:asciiTheme="majorHAnsi" w:hAnsiTheme="majorHAnsi" w:cstheme="majorHAnsi"/>
                <w:b/>
                <w:bCs/>
                <w:color w:val="000000" w:themeColor="text1"/>
                <w:sz w:val="18"/>
                <w:szCs w:val="18"/>
              </w:rPr>
              <w:t>% Extremely useful</w:t>
            </w:r>
          </w:p>
        </w:tc>
      </w:tr>
      <w:tr w:rsidR="00943324" w:rsidRPr="009D738E" w14:paraId="7FE9DB79" w14:textId="77777777" w:rsidTr="00F4751F">
        <w:trPr>
          <w:trHeight w:val="80"/>
        </w:trPr>
        <w:tc>
          <w:tcPr>
            <w:tcW w:w="1838" w:type="dxa"/>
            <w:tcBorders>
              <w:top w:val="nil"/>
            </w:tcBorders>
          </w:tcPr>
          <w:p w14:paraId="67C759ED" w14:textId="4FAE253A" w:rsidR="00943324" w:rsidRPr="009D738E" w:rsidRDefault="00943324" w:rsidP="00B31C4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b/>
                <w:bCs/>
                <w:color w:val="000000" w:themeColor="text1"/>
                <w:sz w:val="18"/>
                <w:szCs w:val="18"/>
              </w:rPr>
              <w:t>SIP Quality Assessment (QA) Tool</w:t>
            </w:r>
          </w:p>
        </w:tc>
        <w:tc>
          <w:tcPr>
            <w:tcW w:w="1005" w:type="dxa"/>
            <w:tcBorders>
              <w:top w:val="nil"/>
            </w:tcBorders>
          </w:tcPr>
          <w:p w14:paraId="65D1BF73" w14:textId="77777777" w:rsidR="00943324" w:rsidRPr="009D738E" w:rsidRDefault="00943324" w:rsidP="00B31C4E">
            <w:pPr>
              <w:spacing w:before="100" w:beforeAutospacing="1" w:after="100" w:afterAutospacing="1" w:line="360" w:lineRule="auto"/>
              <w:rPr>
                <w:rFonts w:asciiTheme="majorHAnsi" w:hAnsiTheme="majorHAnsi" w:cstheme="majorHAnsi"/>
                <w:color w:val="000000" w:themeColor="text1"/>
                <w:sz w:val="18"/>
                <w:szCs w:val="18"/>
              </w:rPr>
            </w:pPr>
          </w:p>
        </w:tc>
        <w:tc>
          <w:tcPr>
            <w:tcW w:w="1348" w:type="dxa"/>
            <w:tcBorders>
              <w:top w:val="nil"/>
            </w:tcBorders>
          </w:tcPr>
          <w:p w14:paraId="3AAA7D43" w14:textId="77777777" w:rsidR="00943324" w:rsidRPr="009D738E" w:rsidRDefault="00943324" w:rsidP="00B31C4E">
            <w:pPr>
              <w:spacing w:before="100" w:beforeAutospacing="1" w:after="100" w:afterAutospacing="1" w:line="360" w:lineRule="auto"/>
              <w:rPr>
                <w:rFonts w:asciiTheme="majorHAnsi" w:hAnsiTheme="majorHAnsi" w:cstheme="majorHAnsi"/>
                <w:color w:val="000000" w:themeColor="text1"/>
                <w:sz w:val="18"/>
                <w:szCs w:val="18"/>
              </w:rPr>
            </w:pPr>
          </w:p>
        </w:tc>
        <w:tc>
          <w:tcPr>
            <w:tcW w:w="1312" w:type="dxa"/>
            <w:tcBorders>
              <w:top w:val="nil"/>
            </w:tcBorders>
          </w:tcPr>
          <w:p w14:paraId="39944F0E" w14:textId="77777777" w:rsidR="00943324" w:rsidRPr="009D738E" w:rsidRDefault="00943324" w:rsidP="00B31C4E">
            <w:pPr>
              <w:spacing w:before="100" w:beforeAutospacing="1" w:after="100" w:afterAutospacing="1" w:line="360" w:lineRule="auto"/>
              <w:rPr>
                <w:rFonts w:asciiTheme="majorHAnsi" w:hAnsiTheme="majorHAnsi" w:cstheme="majorHAnsi"/>
                <w:color w:val="000000" w:themeColor="text1"/>
                <w:sz w:val="18"/>
                <w:szCs w:val="18"/>
              </w:rPr>
            </w:pPr>
          </w:p>
        </w:tc>
        <w:tc>
          <w:tcPr>
            <w:tcW w:w="807" w:type="dxa"/>
            <w:tcBorders>
              <w:top w:val="nil"/>
            </w:tcBorders>
          </w:tcPr>
          <w:p w14:paraId="09A98C27" w14:textId="77777777" w:rsidR="00943324" w:rsidRPr="009D738E" w:rsidRDefault="00943324" w:rsidP="00B31C4E">
            <w:pPr>
              <w:spacing w:before="100" w:beforeAutospacing="1" w:after="100" w:afterAutospacing="1" w:line="360" w:lineRule="auto"/>
              <w:rPr>
                <w:rFonts w:asciiTheme="majorHAnsi" w:hAnsiTheme="majorHAnsi" w:cstheme="majorHAnsi"/>
                <w:color w:val="000000" w:themeColor="text1"/>
                <w:sz w:val="18"/>
                <w:szCs w:val="18"/>
              </w:rPr>
            </w:pPr>
          </w:p>
        </w:tc>
        <w:tc>
          <w:tcPr>
            <w:tcW w:w="1034" w:type="dxa"/>
            <w:tcBorders>
              <w:top w:val="nil"/>
            </w:tcBorders>
          </w:tcPr>
          <w:p w14:paraId="48727342" w14:textId="77777777" w:rsidR="00943324" w:rsidRPr="009D738E" w:rsidRDefault="00943324" w:rsidP="00B31C4E">
            <w:pPr>
              <w:spacing w:before="100" w:beforeAutospacing="1" w:after="100" w:afterAutospacing="1" w:line="360" w:lineRule="auto"/>
              <w:rPr>
                <w:rFonts w:asciiTheme="majorHAnsi" w:hAnsiTheme="majorHAnsi" w:cstheme="majorHAnsi"/>
                <w:color w:val="000000" w:themeColor="text1"/>
                <w:sz w:val="18"/>
                <w:szCs w:val="18"/>
              </w:rPr>
            </w:pPr>
          </w:p>
        </w:tc>
        <w:tc>
          <w:tcPr>
            <w:tcW w:w="960" w:type="dxa"/>
            <w:tcBorders>
              <w:top w:val="nil"/>
            </w:tcBorders>
          </w:tcPr>
          <w:p w14:paraId="69BC8291" w14:textId="77777777" w:rsidR="00943324" w:rsidRPr="009D738E" w:rsidRDefault="00943324" w:rsidP="00B31C4E">
            <w:pPr>
              <w:spacing w:before="100" w:beforeAutospacing="1" w:after="100" w:afterAutospacing="1" w:line="360" w:lineRule="auto"/>
              <w:rPr>
                <w:rFonts w:asciiTheme="majorHAnsi" w:hAnsiTheme="majorHAnsi" w:cstheme="majorHAnsi"/>
                <w:color w:val="000000" w:themeColor="text1"/>
                <w:sz w:val="18"/>
                <w:szCs w:val="18"/>
              </w:rPr>
            </w:pPr>
          </w:p>
        </w:tc>
      </w:tr>
      <w:tr w:rsidR="006244E0" w:rsidRPr="009D738E" w14:paraId="6F1C0D28" w14:textId="77777777" w:rsidTr="0017212A">
        <w:trPr>
          <w:trHeight w:val="80"/>
        </w:trPr>
        <w:tc>
          <w:tcPr>
            <w:tcW w:w="1838" w:type="dxa"/>
          </w:tcPr>
          <w:p w14:paraId="785E773E" w14:textId="77777777" w:rsidR="006244E0" w:rsidRPr="009D738E"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r w:rsidRPr="009D738E">
              <w:rPr>
                <w:rFonts w:asciiTheme="majorHAnsi" w:hAnsiTheme="majorHAnsi" w:cstheme="majorHAnsi"/>
                <w:color w:val="000000" w:themeColor="text1"/>
                <w:sz w:val="18"/>
                <w:szCs w:val="18"/>
              </w:rPr>
              <w:t>Main Study*</w:t>
            </w:r>
          </w:p>
        </w:tc>
        <w:tc>
          <w:tcPr>
            <w:tcW w:w="1005" w:type="dxa"/>
          </w:tcPr>
          <w:p w14:paraId="5B118EDE" w14:textId="77777777" w:rsidR="006244E0" w:rsidRPr="009D738E"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p>
        </w:tc>
        <w:tc>
          <w:tcPr>
            <w:tcW w:w="1348" w:type="dxa"/>
          </w:tcPr>
          <w:p w14:paraId="4BA2B28A" w14:textId="77777777" w:rsidR="006244E0" w:rsidRPr="009D738E"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p>
        </w:tc>
        <w:tc>
          <w:tcPr>
            <w:tcW w:w="1312" w:type="dxa"/>
          </w:tcPr>
          <w:p w14:paraId="3BA83472" w14:textId="77777777" w:rsidR="006244E0" w:rsidRPr="009D738E"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p>
        </w:tc>
        <w:tc>
          <w:tcPr>
            <w:tcW w:w="807" w:type="dxa"/>
          </w:tcPr>
          <w:p w14:paraId="3EF0CADD" w14:textId="77777777" w:rsidR="006244E0" w:rsidRPr="009D738E"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p>
        </w:tc>
        <w:tc>
          <w:tcPr>
            <w:tcW w:w="1034" w:type="dxa"/>
          </w:tcPr>
          <w:p w14:paraId="36A344C5" w14:textId="77777777" w:rsidR="006244E0" w:rsidRPr="009D738E"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p>
        </w:tc>
        <w:tc>
          <w:tcPr>
            <w:tcW w:w="960" w:type="dxa"/>
          </w:tcPr>
          <w:p w14:paraId="30921428" w14:textId="77777777" w:rsidR="006244E0" w:rsidRPr="009D738E"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p>
        </w:tc>
      </w:tr>
      <w:tr w:rsidR="006244E0" w:rsidRPr="009D738E" w14:paraId="0E1A4B5E" w14:textId="77777777" w:rsidTr="0017212A">
        <w:trPr>
          <w:trHeight w:val="37"/>
        </w:trPr>
        <w:tc>
          <w:tcPr>
            <w:tcW w:w="1838" w:type="dxa"/>
          </w:tcPr>
          <w:p w14:paraId="2231B470" w14:textId="77777777" w:rsidR="006244E0" w:rsidRPr="009D738E"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r w:rsidRPr="009D738E">
              <w:rPr>
                <w:rFonts w:asciiTheme="majorHAnsi" w:hAnsiTheme="majorHAnsi" w:cstheme="majorHAnsi"/>
                <w:color w:val="000000" w:themeColor="text1"/>
                <w:sz w:val="18"/>
                <w:szCs w:val="18"/>
              </w:rPr>
              <w:t>PSHs (n=26)</w:t>
            </w:r>
          </w:p>
        </w:tc>
        <w:tc>
          <w:tcPr>
            <w:tcW w:w="1005" w:type="dxa"/>
          </w:tcPr>
          <w:p w14:paraId="67E3FEBB" w14:textId="77777777" w:rsidR="006244E0" w:rsidRPr="009D738E"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31</w:t>
            </w:r>
            <w:r w:rsidRPr="009D738E">
              <w:rPr>
                <w:rFonts w:asciiTheme="majorHAnsi" w:hAnsiTheme="majorHAnsi" w:cstheme="majorHAnsi"/>
                <w:color w:val="000000" w:themeColor="text1"/>
                <w:sz w:val="18"/>
                <w:szCs w:val="18"/>
              </w:rPr>
              <w:t>%</w:t>
            </w:r>
          </w:p>
        </w:tc>
        <w:tc>
          <w:tcPr>
            <w:tcW w:w="1348" w:type="dxa"/>
          </w:tcPr>
          <w:p w14:paraId="30B0482A" w14:textId="77777777" w:rsidR="006244E0" w:rsidRPr="009D738E"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31</w:t>
            </w:r>
            <w:r w:rsidRPr="009D738E">
              <w:rPr>
                <w:rFonts w:asciiTheme="majorHAnsi" w:hAnsiTheme="majorHAnsi" w:cstheme="majorHAnsi"/>
                <w:color w:val="000000" w:themeColor="text1"/>
                <w:sz w:val="18"/>
                <w:szCs w:val="18"/>
              </w:rPr>
              <w:t>%</w:t>
            </w:r>
          </w:p>
        </w:tc>
        <w:tc>
          <w:tcPr>
            <w:tcW w:w="1312" w:type="dxa"/>
          </w:tcPr>
          <w:p w14:paraId="75CD533D" w14:textId="77777777" w:rsidR="006244E0" w:rsidRPr="009D738E"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46%</w:t>
            </w:r>
          </w:p>
        </w:tc>
        <w:tc>
          <w:tcPr>
            <w:tcW w:w="807" w:type="dxa"/>
          </w:tcPr>
          <w:p w14:paraId="60FF3F26" w14:textId="77777777" w:rsidR="006244E0" w:rsidRPr="009D738E"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27%</w:t>
            </w:r>
          </w:p>
        </w:tc>
        <w:tc>
          <w:tcPr>
            <w:tcW w:w="1034" w:type="dxa"/>
          </w:tcPr>
          <w:p w14:paraId="3B26758A" w14:textId="77777777" w:rsidR="006244E0" w:rsidRPr="009D738E"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42</w:t>
            </w:r>
            <w:r w:rsidRPr="009D738E">
              <w:rPr>
                <w:rFonts w:asciiTheme="majorHAnsi" w:hAnsiTheme="majorHAnsi" w:cstheme="majorHAnsi"/>
                <w:color w:val="000000" w:themeColor="text1"/>
                <w:sz w:val="18"/>
                <w:szCs w:val="18"/>
              </w:rPr>
              <w:t>%</w:t>
            </w:r>
          </w:p>
        </w:tc>
        <w:tc>
          <w:tcPr>
            <w:tcW w:w="960" w:type="dxa"/>
          </w:tcPr>
          <w:p w14:paraId="4D77F5B7" w14:textId="77777777" w:rsidR="006244E0" w:rsidRPr="009D738E"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35</w:t>
            </w:r>
            <w:r w:rsidRPr="009D738E">
              <w:rPr>
                <w:rFonts w:asciiTheme="majorHAnsi" w:hAnsiTheme="majorHAnsi" w:cstheme="majorHAnsi"/>
                <w:color w:val="000000" w:themeColor="text1"/>
                <w:sz w:val="18"/>
                <w:szCs w:val="18"/>
              </w:rPr>
              <w:t>%</w:t>
            </w:r>
          </w:p>
        </w:tc>
      </w:tr>
      <w:tr w:rsidR="006244E0" w:rsidRPr="009D738E" w14:paraId="59259847" w14:textId="77777777" w:rsidTr="0017212A">
        <w:trPr>
          <w:trHeight w:val="180"/>
        </w:trPr>
        <w:tc>
          <w:tcPr>
            <w:tcW w:w="1838" w:type="dxa"/>
          </w:tcPr>
          <w:p w14:paraId="21CA1F7B" w14:textId="77777777" w:rsidR="006244E0" w:rsidRPr="009D738E"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r w:rsidRPr="009D738E">
              <w:rPr>
                <w:rFonts w:asciiTheme="majorHAnsi" w:hAnsiTheme="majorHAnsi" w:cstheme="majorHAnsi"/>
                <w:color w:val="000000" w:themeColor="text1"/>
                <w:sz w:val="18"/>
                <w:szCs w:val="18"/>
              </w:rPr>
              <w:t>Teachers (n=107)</w:t>
            </w:r>
          </w:p>
        </w:tc>
        <w:tc>
          <w:tcPr>
            <w:tcW w:w="1005" w:type="dxa"/>
          </w:tcPr>
          <w:p w14:paraId="62266C5A" w14:textId="77777777" w:rsidR="006244E0" w:rsidRPr="009D738E"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p>
        </w:tc>
        <w:tc>
          <w:tcPr>
            <w:tcW w:w="1348" w:type="dxa"/>
          </w:tcPr>
          <w:p w14:paraId="77179B26" w14:textId="77777777" w:rsidR="006244E0" w:rsidRPr="009D738E"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p>
        </w:tc>
        <w:tc>
          <w:tcPr>
            <w:tcW w:w="1312" w:type="dxa"/>
          </w:tcPr>
          <w:p w14:paraId="5FA7F491" w14:textId="77777777" w:rsidR="006244E0" w:rsidRPr="009D738E"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p>
        </w:tc>
        <w:tc>
          <w:tcPr>
            <w:tcW w:w="807" w:type="dxa"/>
          </w:tcPr>
          <w:p w14:paraId="495E50F1" w14:textId="77777777" w:rsidR="006244E0" w:rsidRPr="009D738E"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p>
        </w:tc>
        <w:tc>
          <w:tcPr>
            <w:tcW w:w="1034" w:type="dxa"/>
          </w:tcPr>
          <w:p w14:paraId="42540777" w14:textId="77777777" w:rsidR="006244E0" w:rsidRPr="009D738E"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p>
        </w:tc>
        <w:tc>
          <w:tcPr>
            <w:tcW w:w="960" w:type="dxa"/>
          </w:tcPr>
          <w:p w14:paraId="2CAF38DF" w14:textId="77777777" w:rsidR="006244E0" w:rsidRPr="009D738E"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p>
        </w:tc>
      </w:tr>
      <w:tr w:rsidR="006244E0" w:rsidRPr="009D738E" w14:paraId="48F801C0" w14:textId="77777777" w:rsidTr="0017212A">
        <w:trPr>
          <w:trHeight w:val="165"/>
        </w:trPr>
        <w:tc>
          <w:tcPr>
            <w:tcW w:w="1838" w:type="dxa"/>
          </w:tcPr>
          <w:p w14:paraId="124FD0C2" w14:textId="77777777" w:rsidR="006244E0" w:rsidRPr="009D738E"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r w:rsidRPr="009D738E">
              <w:rPr>
                <w:rFonts w:asciiTheme="majorHAnsi" w:hAnsiTheme="majorHAnsi" w:cstheme="majorHAnsi"/>
                <w:color w:val="000000" w:themeColor="text1"/>
                <w:sz w:val="18"/>
                <w:szCs w:val="18"/>
              </w:rPr>
              <w:t>Follow-Up Study **</w:t>
            </w:r>
          </w:p>
        </w:tc>
        <w:tc>
          <w:tcPr>
            <w:tcW w:w="1005" w:type="dxa"/>
          </w:tcPr>
          <w:p w14:paraId="1B086AB6" w14:textId="77777777" w:rsidR="006244E0" w:rsidRPr="009D738E"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p>
        </w:tc>
        <w:tc>
          <w:tcPr>
            <w:tcW w:w="1348" w:type="dxa"/>
          </w:tcPr>
          <w:p w14:paraId="2CF27F7E" w14:textId="77777777" w:rsidR="006244E0" w:rsidRPr="009D738E"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p>
        </w:tc>
        <w:tc>
          <w:tcPr>
            <w:tcW w:w="1312" w:type="dxa"/>
          </w:tcPr>
          <w:p w14:paraId="6E11C12A" w14:textId="77777777" w:rsidR="006244E0" w:rsidRPr="009D738E"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p>
        </w:tc>
        <w:tc>
          <w:tcPr>
            <w:tcW w:w="807" w:type="dxa"/>
          </w:tcPr>
          <w:p w14:paraId="3A2C5188" w14:textId="77777777" w:rsidR="006244E0" w:rsidRPr="009D738E"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p>
        </w:tc>
        <w:tc>
          <w:tcPr>
            <w:tcW w:w="1034" w:type="dxa"/>
          </w:tcPr>
          <w:p w14:paraId="5140B030" w14:textId="77777777" w:rsidR="006244E0" w:rsidRPr="009D738E"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p>
        </w:tc>
        <w:tc>
          <w:tcPr>
            <w:tcW w:w="960" w:type="dxa"/>
          </w:tcPr>
          <w:p w14:paraId="39B3FCDA" w14:textId="77777777" w:rsidR="006244E0" w:rsidRPr="009D738E"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p>
        </w:tc>
      </w:tr>
      <w:tr w:rsidR="006244E0" w:rsidRPr="009D738E" w14:paraId="01ED373D" w14:textId="77777777" w:rsidTr="0017212A">
        <w:trPr>
          <w:trHeight w:val="66"/>
        </w:trPr>
        <w:tc>
          <w:tcPr>
            <w:tcW w:w="1838" w:type="dxa"/>
          </w:tcPr>
          <w:p w14:paraId="6D67F252" w14:textId="77777777" w:rsidR="006244E0" w:rsidRPr="009D738E"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r w:rsidRPr="009D738E">
              <w:rPr>
                <w:rFonts w:asciiTheme="majorHAnsi" w:hAnsiTheme="majorHAnsi" w:cstheme="majorHAnsi"/>
                <w:color w:val="000000" w:themeColor="text1"/>
                <w:sz w:val="18"/>
                <w:szCs w:val="18"/>
              </w:rPr>
              <w:t>PSHs (n=11)</w:t>
            </w:r>
          </w:p>
        </w:tc>
        <w:tc>
          <w:tcPr>
            <w:tcW w:w="1005" w:type="dxa"/>
          </w:tcPr>
          <w:p w14:paraId="47C8303F" w14:textId="77777777" w:rsidR="006244E0" w:rsidRPr="009D738E"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35</w:t>
            </w:r>
            <w:r w:rsidRPr="009D738E">
              <w:rPr>
                <w:rFonts w:asciiTheme="majorHAnsi" w:hAnsiTheme="majorHAnsi" w:cstheme="majorHAnsi"/>
                <w:color w:val="000000" w:themeColor="text1"/>
                <w:sz w:val="18"/>
                <w:szCs w:val="18"/>
              </w:rPr>
              <w:t>%</w:t>
            </w:r>
          </w:p>
        </w:tc>
        <w:tc>
          <w:tcPr>
            <w:tcW w:w="1348" w:type="dxa"/>
          </w:tcPr>
          <w:p w14:paraId="65EFAF7C" w14:textId="77777777" w:rsidR="006244E0" w:rsidRPr="009D738E"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25</w:t>
            </w:r>
            <w:r w:rsidRPr="009D738E">
              <w:rPr>
                <w:rFonts w:asciiTheme="majorHAnsi" w:hAnsiTheme="majorHAnsi" w:cstheme="majorHAnsi"/>
                <w:color w:val="000000" w:themeColor="text1"/>
                <w:sz w:val="18"/>
                <w:szCs w:val="18"/>
              </w:rPr>
              <w:t>%</w:t>
            </w:r>
          </w:p>
        </w:tc>
        <w:tc>
          <w:tcPr>
            <w:tcW w:w="1312" w:type="dxa"/>
          </w:tcPr>
          <w:p w14:paraId="372C16A4" w14:textId="77777777" w:rsidR="006244E0" w:rsidRPr="009D738E"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25%</w:t>
            </w:r>
          </w:p>
        </w:tc>
        <w:tc>
          <w:tcPr>
            <w:tcW w:w="807" w:type="dxa"/>
          </w:tcPr>
          <w:p w14:paraId="316D6F51" w14:textId="77777777" w:rsidR="006244E0" w:rsidRPr="009D738E"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25%</w:t>
            </w:r>
          </w:p>
        </w:tc>
        <w:tc>
          <w:tcPr>
            <w:tcW w:w="1034" w:type="dxa"/>
          </w:tcPr>
          <w:p w14:paraId="4E5432D1" w14:textId="77777777" w:rsidR="006244E0" w:rsidRPr="009D738E"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33%</w:t>
            </w:r>
          </w:p>
        </w:tc>
        <w:tc>
          <w:tcPr>
            <w:tcW w:w="960" w:type="dxa"/>
          </w:tcPr>
          <w:p w14:paraId="0F2E6534" w14:textId="77777777" w:rsidR="006244E0" w:rsidRPr="009D738E"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17</w:t>
            </w:r>
            <w:r w:rsidRPr="009D738E">
              <w:rPr>
                <w:rFonts w:asciiTheme="majorHAnsi" w:hAnsiTheme="majorHAnsi" w:cstheme="majorHAnsi"/>
                <w:color w:val="000000" w:themeColor="text1"/>
                <w:sz w:val="18"/>
                <w:szCs w:val="18"/>
              </w:rPr>
              <w:t>%</w:t>
            </w:r>
          </w:p>
        </w:tc>
      </w:tr>
      <w:tr w:rsidR="006244E0" w:rsidRPr="009D738E" w14:paraId="265A92AB" w14:textId="77777777" w:rsidTr="0017212A">
        <w:trPr>
          <w:trHeight w:val="37"/>
        </w:trPr>
        <w:tc>
          <w:tcPr>
            <w:tcW w:w="1838" w:type="dxa"/>
          </w:tcPr>
          <w:p w14:paraId="046CCD3F" w14:textId="77777777" w:rsidR="006244E0" w:rsidRPr="009D738E"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r w:rsidRPr="009D738E">
              <w:rPr>
                <w:rFonts w:asciiTheme="majorHAnsi" w:hAnsiTheme="majorHAnsi" w:cstheme="majorHAnsi"/>
                <w:color w:val="000000" w:themeColor="text1"/>
                <w:sz w:val="18"/>
                <w:szCs w:val="18"/>
              </w:rPr>
              <w:t>Teachers (n=61)</w:t>
            </w:r>
          </w:p>
        </w:tc>
        <w:tc>
          <w:tcPr>
            <w:tcW w:w="1005" w:type="dxa"/>
          </w:tcPr>
          <w:p w14:paraId="5D0A9233" w14:textId="77777777" w:rsidR="006244E0" w:rsidRPr="009D738E"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25</w:t>
            </w:r>
            <w:r w:rsidRPr="009D738E">
              <w:rPr>
                <w:rFonts w:asciiTheme="majorHAnsi" w:hAnsiTheme="majorHAnsi" w:cstheme="majorHAnsi"/>
                <w:color w:val="000000" w:themeColor="text1"/>
                <w:sz w:val="18"/>
                <w:szCs w:val="18"/>
              </w:rPr>
              <w:t>%</w:t>
            </w:r>
          </w:p>
        </w:tc>
        <w:tc>
          <w:tcPr>
            <w:tcW w:w="1348" w:type="dxa"/>
          </w:tcPr>
          <w:p w14:paraId="799794B8" w14:textId="77777777" w:rsidR="006244E0" w:rsidRPr="009D738E"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31</w:t>
            </w:r>
            <w:r w:rsidRPr="009D738E">
              <w:rPr>
                <w:rFonts w:asciiTheme="majorHAnsi" w:hAnsiTheme="majorHAnsi" w:cstheme="majorHAnsi"/>
                <w:color w:val="000000" w:themeColor="text1"/>
                <w:sz w:val="18"/>
                <w:szCs w:val="18"/>
              </w:rPr>
              <w:t>%</w:t>
            </w:r>
          </w:p>
        </w:tc>
        <w:tc>
          <w:tcPr>
            <w:tcW w:w="1312" w:type="dxa"/>
          </w:tcPr>
          <w:p w14:paraId="47313E78" w14:textId="77777777" w:rsidR="006244E0" w:rsidRPr="009D738E"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30%</w:t>
            </w:r>
          </w:p>
        </w:tc>
        <w:tc>
          <w:tcPr>
            <w:tcW w:w="807" w:type="dxa"/>
          </w:tcPr>
          <w:p w14:paraId="47366386" w14:textId="77777777" w:rsidR="006244E0" w:rsidRPr="009D738E"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33%</w:t>
            </w:r>
          </w:p>
        </w:tc>
        <w:tc>
          <w:tcPr>
            <w:tcW w:w="1034" w:type="dxa"/>
          </w:tcPr>
          <w:p w14:paraId="0C94F508" w14:textId="77777777" w:rsidR="006244E0" w:rsidRPr="009D738E"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33</w:t>
            </w:r>
            <w:r w:rsidRPr="009D738E">
              <w:rPr>
                <w:rFonts w:asciiTheme="majorHAnsi" w:hAnsiTheme="majorHAnsi" w:cstheme="majorHAnsi"/>
                <w:color w:val="000000" w:themeColor="text1"/>
                <w:sz w:val="18"/>
                <w:szCs w:val="18"/>
              </w:rPr>
              <w:t>%</w:t>
            </w:r>
          </w:p>
        </w:tc>
        <w:tc>
          <w:tcPr>
            <w:tcW w:w="960" w:type="dxa"/>
          </w:tcPr>
          <w:p w14:paraId="4988F638" w14:textId="77777777" w:rsidR="006244E0" w:rsidRPr="009D738E"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28</w:t>
            </w:r>
            <w:r w:rsidRPr="009D738E">
              <w:rPr>
                <w:rFonts w:asciiTheme="majorHAnsi" w:hAnsiTheme="majorHAnsi" w:cstheme="majorHAnsi"/>
                <w:color w:val="000000" w:themeColor="text1"/>
                <w:sz w:val="18"/>
                <w:szCs w:val="18"/>
              </w:rPr>
              <w:t>%</w:t>
            </w:r>
          </w:p>
        </w:tc>
      </w:tr>
      <w:tr w:rsidR="00943324" w:rsidRPr="009D738E" w14:paraId="0DF14909" w14:textId="77777777" w:rsidTr="0017212A">
        <w:trPr>
          <w:trHeight w:val="37"/>
        </w:trPr>
        <w:tc>
          <w:tcPr>
            <w:tcW w:w="1838" w:type="dxa"/>
          </w:tcPr>
          <w:p w14:paraId="63EBFC3F" w14:textId="0CBF6677" w:rsidR="00943324" w:rsidRPr="009D738E" w:rsidRDefault="00943324" w:rsidP="00B31C4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b/>
                <w:bCs/>
                <w:color w:val="000000" w:themeColor="text1"/>
                <w:sz w:val="18"/>
                <w:szCs w:val="18"/>
              </w:rPr>
              <w:t>Trainer’s Toolkit for the Enhanced School Improvement (SIP)</w:t>
            </w:r>
          </w:p>
        </w:tc>
        <w:tc>
          <w:tcPr>
            <w:tcW w:w="1005" w:type="dxa"/>
          </w:tcPr>
          <w:p w14:paraId="6F38EDF3" w14:textId="77777777" w:rsidR="00943324" w:rsidRDefault="00943324" w:rsidP="00B31C4E">
            <w:pPr>
              <w:spacing w:before="100" w:beforeAutospacing="1" w:after="100" w:afterAutospacing="1" w:line="360" w:lineRule="auto"/>
              <w:rPr>
                <w:rFonts w:asciiTheme="majorHAnsi" w:hAnsiTheme="majorHAnsi" w:cstheme="majorHAnsi"/>
                <w:color w:val="000000" w:themeColor="text1"/>
                <w:sz w:val="18"/>
                <w:szCs w:val="18"/>
              </w:rPr>
            </w:pPr>
          </w:p>
        </w:tc>
        <w:tc>
          <w:tcPr>
            <w:tcW w:w="1348" w:type="dxa"/>
          </w:tcPr>
          <w:p w14:paraId="760D8726" w14:textId="77777777" w:rsidR="00943324" w:rsidRDefault="00943324" w:rsidP="00B31C4E">
            <w:pPr>
              <w:spacing w:before="100" w:beforeAutospacing="1" w:after="100" w:afterAutospacing="1" w:line="360" w:lineRule="auto"/>
              <w:rPr>
                <w:rFonts w:asciiTheme="majorHAnsi" w:hAnsiTheme="majorHAnsi" w:cstheme="majorHAnsi"/>
                <w:color w:val="000000" w:themeColor="text1"/>
                <w:sz w:val="18"/>
                <w:szCs w:val="18"/>
              </w:rPr>
            </w:pPr>
          </w:p>
        </w:tc>
        <w:tc>
          <w:tcPr>
            <w:tcW w:w="1312" w:type="dxa"/>
          </w:tcPr>
          <w:p w14:paraId="0006B106" w14:textId="77777777" w:rsidR="00943324" w:rsidRDefault="00943324" w:rsidP="00B31C4E">
            <w:pPr>
              <w:spacing w:before="100" w:beforeAutospacing="1" w:after="100" w:afterAutospacing="1" w:line="360" w:lineRule="auto"/>
              <w:rPr>
                <w:rFonts w:asciiTheme="majorHAnsi" w:hAnsiTheme="majorHAnsi" w:cstheme="majorHAnsi"/>
                <w:color w:val="000000" w:themeColor="text1"/>
                <w:sz w:val="18"/>
                <w:szCs w:val="18"/>
              </w:rPr>
            </w:pPr>
          </w:p>
        </w:tc>
        <w:tc>
          <w:tcPr>
            <w:tcW w:w="807" w:type="dxa"/>
          </w:tcPr>
          <w:p w14:paraId="1BC1DC2B" w14:textId="77777777" w:rsidR="00943324" w:rsidRDefault="00943324" w:rsidP="00B31C4E">
            <w:pPr>
              <w:spacing w:before="100" w:beforeAutospacing="1" w:after="100" w:afterAutospacing="1" w:line="360" w:lineRule="auto"/>
              <w:rPr>
                <w:rFonts w:asciiTheme="majorHAnsi" w:hAnsiTheme="majorHAnsi" w:cstheme="majorHAnsi"/>
                <w:color w:val="000000" w:themeColor="text1"/>
                <w:sz w:val="18"/>
                <w:szCs w:val="18"/>
              </w:rPr>
            </w:pPr>
          </w:p>
        </w:tc>
        <w:tc>
          <w:tcPr>
            <w:tcW w:w="1034" w:type="dxa"/>
          </w:tcPr>
          <w:p w14:paraId="77281ECF" w14:textId="77777777" w:rsidR="00943324" w:rsidRDefault="00943324" w:rsidP="00B31C4E">
            <w:pPr>
              <w:spacing w:before="100" w:beforeAutospacing="1" w:after="100" w:afterAutospacing="1" w:line="360" w:lineRule="auto"/>
              <w:rPr>
                <w:rFonts w:asciiTheme="majorHAnsi" w:hAnsiTheme="majorHAnsi" w:cstheme="majorHAnsi"/>
                <w:color w:val="000000" w:themeColor="text1"/>
                <w:sz w:val="18"/>
                <w:szCs w:val="18"/>
              </w:rPr>
            </w:pPr>
          </w:p>
        </w:tc>
        <w:tc>
          <w:tcPr>
            <w:tcW w:w="960" w:type="dxa"/>
          </w:tcPr>
          <w:p w14:paraId="5932D3B9" w14:textId="77777777" w:rsidR="00943324" w:rsidRDefault="00943324" w:rsidP="00B31C4E">
            <w:pPr>
              <w:spacing w:before="100" w:beforeAutospacing="1" w:after="100" w:afterAutospacing="1" w:line="360" w:lineRule="auto"/>
              <w:rPr>
                <w:rFonts w:asciiTheme="majorHAnsi" w:hAnsiTheme="majorHAnsi" w:cstheme="majorHAnsi"/>
                <w:color w:val="000000" w:themeColor="text1"/>
                <w:sz w:val="18"/>
                <w:szCs w:val="18"/>
              </w:rPr>
            </w:pPr>
          </w:p>
        </w:tc>
      </w:tr>
      <w:tr w:rsidR="006244E0" w:rsidRPr="009D738E" w14:paraId="129C2942" w14:textId="77777777" w:rsidTr="0017212A">
        <w:trPr>
          <w:trHeight w:val="37"/>
        </w:trPr>
        <w:tc>
          <w:tcPr>
            <w:tcW w:w="1838" w:type="dxa"/>
          </w:tcPr>
          <w:p w14:paraId="2BD836EB" w14:textId="77777777" w:rsidR="006244E0" w:rsidRPr="009D738E"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r w:rsidRPr="009D738E">
              <w:rPr>
                <w:rFonts w:asciiTheme="majorHAnsi" w:hAnsiTheme="majorHAnsi" w:cstheme="majorHAnsi"/>
                <w:color w:val="000000" w:themeColor="text1"/>
                <w:sz w:val="18"/>
                <w:szCs w:val="18"/>
              </w:rPr>
              <w:t>Main Study*</w:t>
            </w:r>
          </w:p>
        </w:tc>
        <w:tc>
          <w:tcPr>
            <w:tcW w:w="1005" w:type="dxa"/>
          </w:tcPr>
          <w:p w14:paraId="20BFA1F3" w14:textId="77777777" w:rsidR="006244E0"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p>
        </w:tc>
        <w:tc>
          <w:tcPr>
            <w:tcW w:w="1348" w:type="dxa"/>
          </w:tcPr>
          <w:p w14:paraId="72B4B32D" w14:textId="77777777" w:rsidR="006244E0"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p>
        </w:tc>
        <w:tc>
          <w:tcPr>
            <w:tcW w:w="1312" w:type="dxa"/>
          </w:tcPr>
          <w:p w14:paraId="194AC5A1" w14:textId="77777777" w:rsidR="006244E0"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p>
        </w:tc>
        <w:tc>
          <w:tcPr>
            <w:tcW w:w="807" w:type="dxa"/>
          </w:tcPr>
          <w:p w14:paraId="648C63C3" w14:textId="77777777" w:rsidR="006244E0"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p>
        </w:tc>
        <w:tc>
          <w:tcPr>
            <w:tcW w:w="1034" w:type="dxa"/>
          </w:tcPr>
          <w:p w14:paraId="78DC2B78" w14:textId="77777777" w:rsidR="006244E0"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p>
        </w:tc>
        <w:tc>
          <w:tcPr>
            <w:tcW w:w="960" w:type="dxa"/>
          </w:tcPr>
          <w:p w14:paraId="317C8F8F" w14:textId="77777777" w:rsidR="006244E0"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p>
        </w:tc>
      </w:tr>
      <w:tr w:rsidR="006244E0" w:rsidRPr="009D738E" w14:paraId="153620ED" w14:textId="77777777" w:rsidTr="0017212A">
        <w:trPr>
          <w:trHeight w:val="37"/>
        </w:trPr>
        <w:tc>
          <w:tcPr>
            <w:tcW w:w="1838" w:type="dxa"/>
          </w:tcPr>
          <w:p w14:paraId="0BE78752" w14:textId="77777777" w:rsidR="006244E0" w:rsidRPr="009D738E"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r w:rsidRPr="009D738E">
              <w:rPr>
                <w:rFonts w:asciiTheme="majorHAnsi" w:hAnsiTheme="majorHAnsi" w:cstheme="majorHAnsi"/>
                <w:color w:val="000000" w:themeColor="text1"/>
                <w:sz w:val="18"/>
                <w:szCs w:val="18"/>
              </w:rPr>
              <w:t>PSHs (n=26)</w:t>
            </w:r>
          </w:p>
        </w:tc>
        <w:tc>
          <w:tcPr>
            <w:tcW w:w="1005" w:type="dxa"/>
          </w:tcPr>
          <w:p w14:paraId="4C3F0D0F" w14:textId="77777777" w:rsidR="006244E0"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35</w:t>
            </w:r>
            <w:r w:rsidRPr="009D738E">
              <w:rPr>
                <w:rFonts w:asciiTheme="majorHAnsi" w:hAnsiTheme="majorHAnsi" w:cstheme="majorHAnsi"/>
                <w:color w:val="000000" w:themeColor="text1"/>
                <w:sz w:val="18"/>
                <w:szCs w:val="18"/>
              </w:rPr>
              <w:t>%</w:t>
            </w:r>
          </w:p>
        </w:tc>
        <w:tc>
          <w:tcPr>
            <w:tcW w:w="1348" w:type="dxa"/>
          </w:tcPr>
          <w:p w14:paraId="29E4E21A" w14:textId="77777777" w:rsidR="006244E0"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31</w:t>
            </w:r>
            <w:r w:rsidRPr="009D738E">
              <w:rPr>
                <w:rFonts w:asciiTheme="majorHAnsi" w:hAnsiTheme="majorHAnsi" w:cstheme="majorHAnsi"/>
                <w:color w:val="000000" w:themeColor="text1"/>
                <w:sz w:val="18"/>
                <w:szCs w:val="18"/>
              </w:rPr>
              <w:t>%</w:t>
            </w:r>
          </w:p>
        </w:tc>
        <w:tc>
          <w:tcPr>
            <w:tcW w:w="1312" w:type="dxa"/>
          </w:tcPr>
          <w:p w14:paraId="4CC2B744" w14:textId="77777777" w:rsidR="006244E0"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46%</w:t>
            </w:r>
          </w:p>
        </w:tc>
        <w:tc>
          <w:tcPr>
            <w:tcW w:w="807" w:type="dxa"/>
          </w:tcPr>
          <w:p w14:paraId="64FD91E7" w14:textId="77777777" w:rsidR="006244E0"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23%</w:t>
            </w:r>
          </w:p>
        </w:tc>
        <w:tc>
          <w:tcPr>
            <w:tcW w:w="1034" w:type="dxa"/>
          </w:tcPr>
          <w:p w14:paraId="6ED341D4" w14:textId="77777777" w:rsidR="006244E0"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31</w:t>
            </w:r>
            <w:r w:rsidRPr="009D738E">
              <w:rPr>
                <w:rFonts w:asciiTheme="majorHAnsi" w:hAnsiTheme="majorHAnsi" w:cstheme="majorHAnsi"/>
                <w:color w:val="000000" w:themeColor="text1"/>
                <w:sz w:val="18"/>
                <w:szCs w:val="18"/>
              </w:rPr>
              <w:t>%</w:t>
            </w:r>
          </w:p>
        </w:tc>
        <w:tc>
          <w:tcPr>
            <w:tcW w:w="960" w:type="dxa"/>
          </w:tcPr>
          <w:p w14:paraId="399145F8" w14:textId="77777777" w:rsidR="006244E0"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46</w:t>
            </w:r>
            <w:r w:rsidRPr="009D738E">
              <w:rPr>
                <w:rFonts w:asciiTheme="majorHAnsi" w:hAnsiTheme="majorHAnsi" w:cstheme="majorHAnsi"/>
                <w:color w:val="000000" w:themeColor="text1"/>
                <w:sz w:val="18"/>
                <w:szCs w:val="18"/>
              </w:rPr>
              <w:t>%</w:t>
            </w:r>
          </w:p>
        </w:tc>
      </w:tr>
      <w:tr w:rsidR="006244E0" w:rsidRPr="009D738E" w14:paraId="58DE3662" w14:textId="77777777" w:rsidTr="0017212A">
        <w:trPr>
          <w:trHeight w:val="37"/>
        </w:trPr>
        <w:tc>
          <w:tcPr>
            <w:tcW w:w="1838" w:type="dxa"/>
          </w:tcPr>
          <w:p w14:paraId="5899D1CE" w14:textId="77777777" w:rsidR="006244E0" w:rsidRPr="009D738E"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r w:rsidRPr="009D738E">
              <w:rPr>
                <w:rFonts w:asciiTheme="majorHAnsi" w:hAnsiTheme="majorHAnsi" w:cstheme="majorHAnsi"/>
                <w:color w:val="000000" w:themeColor="text1"/>
                <w:sz w:val="18"/>
                <w:szCs w:val="18"/>
              </w:rPr>
              <w:t>Teachers (n=107)</w:t>
            </w:r>
          </w:p>
        </w:tc>
        <w:tc>
          <w:tcPr>
            <w:tcW w:w="1005" w:type="dxa"/>
          </w:tcPr>
          <w:p w14:paraId="20129E09" w14:textId="77777777" w:rsidR="006244E0" w:rsidRPr="009D738E"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0</w:t>
            </w:r>
            <w:r w:rsidRPr="009D738E">
              <w:rPr>
                <w:rFonts w:asciiTheme="majorHAnsi" w:hAnsiTheme="majorHAnsi" w:cstheme="majorHAnsi"/>
                <w:color w:val="000000" w:themeColor="text1"/>
                <w:sz w:val="18"/>
                <w:szCs w:val="18"/>
              </w:rPr>
              <w:t>%</w:t>
            </w:r>
          </w:p>
        </w:tc>
        <w:tc>
          <w:tcPr>
            <w:tcW w:w="1348" w:type="dxa"/>
          </w:tcPr>
          <w:p w14:paraId="05457CB7" w14:textId="77777777" w:rsidR="006244E0"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0</w:t>
            </w:r>
            <w:r w:rsidRPr="009D738E">
              <w:rPr>
                <w:rFonts w:asciiTheme="majorHAnsi" w:hAnsiTheme="majorHAnsi" w:cstheme="majorHAnsi"/>
                <w:color w:val="000000" w:themeColor="text1"/>
                <w:sz w:val="18"/>
                <w:szCs w:val="18"/>
              </w:rPr>
              <w:t>%</w:t>
            </w:r>
          </w:p>
        </w:tc>
        <w:tc>
          <w:tcPr>
            <w:tcW w:w="1312" w:type="dxa"/>
          </w:tcPr>
          <w:p w14:paraId="55CE29DB" w14:textId="77777777" w:rsidR="006244E0"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0%</w:t>
            </w:r>
          </w:p>
        </w:tc>
        <w:tc>
          <w:tcPr>
            <w:tcW w:w="807" w:type="dxa"/>
          </w:tcPr>
          <w:p w14:paraId="6128AB4C" w14:textId="77777777" w:rsidR="006244E0"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0%</w:t>
            </w:r>
          </w:p>
        </w:tc>
        <w:tc>
          <w:tcPr>
            <w:tcW w:w="1034" w:type="dxa"/>
          </w:tcPr>
          <w:p w14:paraId="70405C4C" w14:textId="77777777" w:rsidR="006244E0"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0</w:t>
            </w:r>
            <w:r w:rsidRPr="009D738E">
              <w:rPr>
                <w:rFonts w:asciiTheme="majorHAnsi" w:hAnsiTheme="majorHAnsi" w:cstheme="majorHAnsi"/>
                <w:color w:val="000000" w:themeColor="text1"/>
                <w:sz w:val="18"/>
                <w:szCs w:val="18"/>
              </w:rPr>
              <w:t>%</w:t>
            </w:r>
          </w:p>
        </w:tc>
        <w:tc>
          <w:tcPr>
            <w:tcW w:w="960" w:type="dxa"/>
          </w:tcPr>
          <w:p w14:paraId="7021B9B5" w14:textId="77777777" w:rsidR="006244E0"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0</w:t>
            </w:r>
            <w:r w:rsidRPr="009D738E">
              <w:rPr>
                <w:rFonts w:asciiTheme="majorHAnsi" w:hAnsiTheme="majorHAnsi" w:cstheme="majorHAnsi"/>
                <w:color w:val="000000" w:themeColor="text1"/>
                <w:sz w:val="18"/>
                <w:szCs w:val="18"/>
              </w:rPr>
              <w:t>%</w:t>
            </w:r>
          </w:p>
        </w:tc>
      </w:tr>
      <w:tr w:rsidR="006244E0" w:rsidRPr="009D738E" w14:paraId="14BB6588" w14:textId="77777777" w:rsidTr="0017212A">
        <w:trPr>
          <w:trHeight w:val="37"/>
        </w:trPr>
        <w:tc>
          <w:tcPr>
            <w:tcW w:w="1838" w:type="dxa"/>
          </w:tcPr>
          <w:p w14:paraId="5FD94184" w14:textId="77777777" w:rsidR="006244E0" w:rsidRPr="009D738E"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r w:rsidRPr="009D738E">
              <w:rPr>
                <w:rFonts w:asciiTheme="majorHAnsi" w:hAnsiTheme="majorHAnsi" w:cstheme="majorHAnsi"/>
                <w:color w:val="000000" w:themeColor="text1"/>
                <w:sz w:val="18"/>
                <w:szCs w:val="18"/>
              </w:rPr>
              <w:t>Follow-Up Study **</w:t>
            </w:r>
          </w:p>
        </w:tc>
        <w:tc>
          <w:tcPr>
            <w:tcW w:w="1005" w:type="dxa"/>
          </w:tcPr>
          <w:p w14:paraId="2CB33EB8" w14:textId="77777777" w:rsidR="006244E0"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p>
        </w:tc>
        <w:tc>
          <w:tcPr>
            <w:tcW w:w="1348" w:type="dxa"/>
          </w:tcPr>
          <w:p w14:paraId="7379E38B" w14:textId="77777777" w:rsidR="006244E0"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p>
        </w:tc>
        <w:tc>
          <w:tcPr>
            <w:tcW w:w="1312" w:type="dxa"/>
          </w:tcPr>
          <w:p w14:paraId="261B4F5F" w14:textId="77777777" w:rsidR="006244E0"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p>
        </w:tc>
        <w:tc>
          <w:tcPr>
            <w:tcW w:w="807" w:type="dxa"/>
          </w:tcPr>
          <w:p w14:paraId="00C0BD5E" w14:textId="77777777" w:rsidR="006244E0"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p>
        </w:tc>
        <w:tc>
          <w:tcPr>
            <w:tcW w:w="1034" w:type="dxa"/>
          </w:tcPr>
          <w:p w14:paraId="7D2D680E" w14:textId="77777777" w:rsidR="006244E0"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p>
        </w:tc>
        <w:tc>
          <w:tcPr>
            <w:tcW w:w="960" w:type="dxa"/>
          </w:tcPr>
          <w:p w14:paraId="51FDE808" w14:textId="77777777" w:rsidR="006244E0"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p>
        </w:tc>
      </w:tr>
      <w:tr w:rsidR="006244E0" w:rsidRPr="009D738E" w14:paraId="387299A1" w14:textId="77777777" w:rsidTr="0017212A">
        <w:trPr>
          <w:trHeight w:val="37"/>
        </w:trPr>
        <w:tc>
          <w:tcPr>
            <w:tcW w:w="1838" w:type="dxa"/>
          </w:tcPr>
          <w:p w14:paraId="7432D816" w14:textId="77777777" w:rsidR="006244E0" w:rsidRPr="009D738E"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r w:rsidRPr="009D738E">
              <w:rPr>
                <w:rFonts w:asciiTheme="majorHAnsi" w:hAnsiTheme="majorHAnsi" w:cstheme="majorHAnsi"/>
                <w:color w:val="000000" w:themeColor="text1"/>
                <w:sz w:val="18"/>
                <w:szCs w:val="18"/>
              </w:rPr>
              <w:t>PSHs (n=11)</w:t>
            </w:r>
          </w:p>
        </w:tc>
        <w:tc>
          <w:tcPr>
            <w:tcW w:w="1005" w:type="dxa"/>
          </w:tcPr>
          <w:p w14:paraId="5D98C159" w14:textId="77777777" w:rsidR="006244E0"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17</w:t>
            </w:r>
            <w:r w:rsidRPr="009D738E">
              <w:rPr>
                <w:rFonts w:asciiTheme="majorHAnsi" w:hAnsiTheme="majorHAnsi" w:cstheme="majorHAnsi"/>
                <w:color w:val="000000" w:themeColor="text1"/>
                <w:sz w:val="18"/>
                <w:szCs w:val="18"/>
              </w:rPr>
              <w:t>%</w:t>
            </w:r>
          </w:p>
        </w:tc>
        <w:tc>
          <w:tcPr>
            <w:tcW w:w="1348" w:type="dxa"/>
          </w:tcPr>
          <w:p w14:paraId="483E48D3" w14:textId="77777777" w:rsidR="006244E0"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25</w:t>
            </w:r>
            <w:r w:rsidRPr="009D738E">
              <w:rPr>
                <w:rFonts w:asciiTheme="majorHAnsi" w:hAnsiTheme="majorHAnsi" w:cstheme="majorHAnsi"/>
                <w:color w:val="000000" w:themeColor="text1"/>
                <w:sz w:val="18"/>
                <w:szCs w:val="18"/>
              </w:rPr>
              <w:t>%</w:t>
            </w:r>
          </w:p>
        </w:tc>
        <w:tc>
          <w:tcPr>
            <w:tcW w:w="1312" w:type="dxa"/>
          </w:tcPr>
          <w:p w14:paraId="187CAA29" w14:textId="77777777" w:rsidR="006244E0"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17%</w:t>
            </w:r>
          </w:p>
        </w:tc>
        <w:tc>
          <w:tcPr>
            <w:tcW w:w="807" w:type="dxa"/>
          </w:tcPr>
          <w:p w14:paraId="0198A2C4" w14:textId="77777777" w:rsidR="006244E0"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17%</w:t>
            </w:r>
          </w:p>
        </w:tc>
        <w:tc>
          <w:tcPr>
            <w:tcW w:w="1034" w:type="dxa"/>
          </w:tcPr>
          <w:p w14:paraId="57A8F1B3" w14:textId="77777777" w:rsidR="006244E0"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8</w:t>
            </w:r>
            <w:r w:rsidRPr="009D738E">
              <w:rPr>
                <w:rFonts w:asciiTheme="majorHAnsi" w:hAnsiTheme="majorHAnsi" w:cstheme="majorHAnsi"/>
                <w:color w:val="000000" w:themeColor="text1"/>
                <w:sz w:val="18"/>
                <w:szCs w:val="18"/>
              </w:rPr>
              <w:t>%</w:t>
            </w:r>
          </w:p>
        </w:tc>
        <w:tc>
          <w:tcPr>
            <w:tcW w:w="960" w:type="dxa"/>
          </w:tcPr>
          <w:p w14:paraId="074D3839" w14:textId="77777777" w:rsidR="006244E0"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17</w:t>
            </w:r>
            <w:r w:rsidRPr="009D738E">
              <w:rPr>
                <w:rFonts w:asciiTheme="majorHAnsi" w:hAnsiTheme="majorHAnsi" w:cstheme="majorHAnsi"/>
                <w:color w:val="000000" w:themeColor="text1"/>
                <w:sz w:val="18"/>
                <w:szCs w:val="18"/>
              </w:rPr>
              <w:t>%</w:t>
            </w:r>
          </w:p>
        </w:tc>
      </w:tr>
      <w:tr w:rsidR="006244E0" w:rsidRPr="009D738E" w14:paraId="64DB2AAE" w14:textId="77777777" w:rsidTr="0017212A">
        <w:trPr>
          <w:trHeight w:val="37"/>
        </w:trPr>
        <w:tc>
          <w:tcPr>
            <w:tcW w:w="1838" w:type="dxa"/>
          </w:tcPr>
          <w:p w14:paraId="1F7C94CD" w14:textId="77777777" w:rsidR="006244E0" w:rsidRPr="009D738E"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r w:rsidRPr="009D738E">
              <w:rPr>
                <w:rFonts w:asciiTheme="majorHAnsi" w:hAnsiTheme="majorHAnsi" w:cstheme="majorHAnsi"/>
                <w:color w:val="000000" w:themeColor="text1"/>
                <w:sz w:val="18"/>
                <w:szCs w:val="18"/>
              </w:rPr>
              <w:t>Teachers (n=61)</w:t>
            </w:r>
          </w:p>
        </w:tc>
        <w:tc>
          <w:tcPr>
            <w:tcW w:w="1005" w:type="dxa"/>
          </w:tcPr>
          <w:p w14:paraId="096531C0" w14:textId="77777777" w:rsidR="006244E0"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26</w:t>
            </w:r>
            <w:r w:rsidRPr="009D738E">
              <w:rPr>
                <w:rFonts w:asciiTheme="majorHAnsi" w:hAnsiTheme="majorHAnsi" w:cstheme="majorHAnsi"/>
                <w:color w:val="000000" w:themeColor="text1"/>
                <w:sz w:val="18"/>
                <w:szCs w:val="18"/>
              </w:rPr>
              <w:t>%</w:t>
            </w:r>
          </w:p>
        </w:tc>
        <w:tc>
          <w:tcPr>
            <w:tcW w:w="1348" w:type="dxa"/>
          </w:tcPr>
          <w:p w14:paraId="0A324BD9" w14:textId="77777777" w:rsidR="006244E0"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25</w:t>
            </w:r>
            <w:r w:rsidRPr="009D738E">
              <w:rPr>
                <w:rFonts w:asciiTheme="majorHAnsi" w:hAnsiTheme="majorHAnsi" w:cstheme="majorHAnsi"/>
                <w:color w:val="000000" w:themeColor="text1"/>
                <w:sz w:val="18"/>
                <w:szCs w:val="18"/>
              </w:rPr>
              <w:t>%</w:t>
            </w:r>
          </w:p>
        </w:tc>
        <w:tc>
          <w:tcPr>
            <w:tcW w:w="1312" w:type="dxa"/>
          </w:tcPr>
          <w:p w14:paraId="4694870B" w14:textId="77777777" w:rsidR="006244E0"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26%</w:t>
            </w:r>
          </w:p>
        </w:tc>
        <w:tc>
          <w:tcPr>
            <w:tcW w:w="807" w:type="dxa"/>
          </w:tcPr>
          <w:p w14:paraId="4B0D8836" w14:textId="77777777" w:rsidR="006244E0"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25%</w:t>
            </w:r>
          </w:p>
        </w:tc>
        <w:tc>
          <w:tcPr>
            <w:tcW w:w="1034" w:type="dxa"/>
          </w:tcPr>
          <w:p w14:paraId="612F69F0" w14:textId="77777777" w:rsidR="006244E0"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30</w:t>
            </w:r>
            <w:r w:rsidRPr="009D738E">
              <w:rPr>
                <w:rFonts w:asciiTheme="majorHAnsi" w:hAnsiTheme="majorHAnsi" w:cstheme="majorHAnsi"/>
                <w:color w:val="000000" w:themeColor="text1"/>
                <w:sz w:val="18"/>
                <w:szCs w:val="18"/>
              </w:rPr>
              <w:t>%</w:t>
            </w:r>
          </w:p>
        </w:tc>
        <w:tc>
          <w:tcPr>
            <w:tcW w:w="960" w:type="dxa"/>
          </w:tcPr>
          <w:p w14:paraId="730012B9" w14:textId="77777777" w:rsidR="006244E0" w:rsidRDefault="006244E0" w:rsidP="00B31C4E">
            <w:pPr>
              <w:spacing w:before="100" w:beforeAutospacing="1" w:after="100" w:afterAutospacing="1" w:line="360" w:lineRule="auto"/>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25</w:t>
            </w:r>
            <w:r w:rsidRPr="009D738E">
              <w:rPr>
                <w:rFonts w:asciiTheme="majorHAnsi" w:hAnsiTheme="majorHAnsi" w:cstheme="majorHAnsi"/>
                <w:color w:val="000000" w:themeColor="text1"/>
                <w:sz w:val="18"/>
                <w:szCs w:val="18"/>
              </w:rPr>
              <w:t>%</w:t>
            </w:r>
          </w:p>
        </w:tc>
      </w:tr>
    </w:tbl>
    <w:bookmarkEnd w:id="148"/>
    <w:p w14:paraId="18565F45" w14:textId="40085564" w:rsidR="00366AAE" w:rsidRPr="00B31C4E" w:rsidRDefault="006244E0" w:rsidP="00B31C4E">
      <w:pPr>
        <w:spacing w:before="100" w:beforeAutospacing="1" w:after="100" w:afterAutospacing="1" w:line="360" w:lineRule="auto"/>
        <w:rPr>
          <w:rFonts w:asciiTheme="majorHAnsi" w:hAnsiTheme="majorHAnsi" w:cstheme="majorHAnsi"/>
          <w:sz w:val="14"/>
          <w:szCs w:val="14"/>
        </w:rPr>
      </w:pPr>
      <w:r w:rsidRPr="002339E6">
        <w:rPr>
          <w:rFonts w:asciiTheme="majorHAnsi" w:hAnsiTheme="majorHAnsi" w:cstheme="majorHAnsi"/>
          <w:sz w:val="14"/>
          <w:szCs w:val="14"/>
        </w:rPr>
        <w:t xml:space="preserve">Source: 2019 and 2020 Survey of PSHs and Teachers </w:t>
      </w:r>
    </w:p>
    <w:p w14:paraId="44919BA1" w14:textId="0AF6CDE9" w:rsidR="008D0CAD" w:rsidRPr="00106C67" w:rsidRDefault="008D0CAD" w:rsidP="00B31C4E">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color w:val="000000" w:themeColor="text1"/>
        </w:rPr>
        <w:t>Compared with the Follow-up Study, 25 per cent</w:t>
      </w:r>
      <w:r w:rsidRPr="00F03B85">
        <w:rPr>
          <w:rFonts w:asciiTheme="majorHAnsi" w:hAnsiTheme="majorHAnsi" w:cstheme="majorHAnsi"/>
          <w:color w:val="000000" w:themeColor="text1"/>
        </w:rPr>
        <w:t xml:space="preserve"> of </w:t>
      </w:r>
      <w:r>
        <w:rPr>
          <w:rFonts w:asciiTheme="majorHAnsi" w:hAnsiTheme="majorHAnsi" w:cstheme="majorHAnsi"/>
          <w:color w:val="000000" w:themeColor="text1"/>
        </w:rPr>
        <w:t>principals</w:t>
      </w:r>
      <w:r w:rsidRPr="00F03B85">
        <w:rPr>
          <w:rFonts w:asciiTheme="majorHAnsi" w:hAnsiTheme="majorHAnsi" w:cstheme="majorHAnsi"/>
          <w:color w:val="000000" w:themeColor="text1"/>
        </w:rPr>
        <w:t xml:space="preserve"> from </w:t>
      </w:r>
      <w:r>
        <w:rPr>
          <w:rFonts w:asciiTheme="majorHAnsi" w:hAnsiTheme="majorHAnsi" w:cstheme="majorHAnsi"/>
          <w:color w:val="000000" w:themeColor="text1"/>
        </w:rPr>
        <w:t>direct recipient schools</w:t>
      </w:r>
      <w:r w:rsidRPr="00F03B85">
        <w:rPr>
          <w:rFonts w:asciiTheme="majorHAnsi" w:hAnsiTheme="majorHAnsi" w:cstheme="majorHAnsi"/>
          <w:color w:val="000000" w:themeColor="text1"/>
        </w:rPr>
        <w:t xml:space="preserve"> indicated comprehensive knowledge of the SIP </w:t>
      </w:r>
      <w:r>
        <w:rPr>
          <w:rFonts w:asciiTheme="majorHAnsi" w:hAnsiTheme="majorHAnsi" w:cstheme="majorHAnsi"/>
          <w:color w:val="000000" w:themeColor="text1"/>
        </w:rPr>
        <w:t>QA</w:t>
      </w:r>
      <w:r w:rsidRPr="00F03B85">
        <w:rPr>
          <w:rFonts w:asciiTheme="majorHAnsi" w:hAnsiTheme="majorHAnsi" w:cstheme="majorHAnsi"/>
          <w:color w:val="000000" w:themeColor="text1"/>
        </w:rPr>
        <w:t xml:space="preserve"> Tool for Schools </w:t>
      </w:r>
      <w:r>
        <w:rPr>
          <w:rFonts w:asciiTheme="majorHAnsi" w:hAnsiTheme="majorHAnsi" w:cstheme="majorHAnsi"/>
          <w:color w:val="000000" w:themeColor="text1"/>
        </w:rPr>
        <w:t>and the SIP Trainer’s Toolkit and</w:t>
      </w:r>
      <w:r w:rsidRPr="00F03B85">
        <w:rPr>
          <w:rFonts w:asciiTheme="majorHAnsi" w:hAnsiTheme="majorHAnsi" w:cstheme="majorHAnsi"/>
          <w:color w:val="000000" w:themeColor="text1"/>
        </w:rPr>
        <w:t xml:space="preserve"> </w:t>
      </w:r>
      <w:r>
        <w:rPr>
          <w:rFonts w:asciiTheme="majorHAnsi" w:hAnsiTheme="majorHAnsi" w:cstheme="majorHAnsi"/>
          <w:color w:val="000000" w:themeColor="text1"/>
        </w:rPr>
        <w:t>1</w:t>
      </w:r>
      <w:r w:rsidRPr="00F03B85">
        <w:rPr>
          <w:rFonts w:asciiTheme="majorHAnsi" w:hAnsiTheme="majorHAnsi" w:cstheme="majorHAnsi"/>
          <w:color w:val="000000" w:themeColor="text1"/>
        </w:rPr>
        <w:t xml:space="preserve">7 </w:t>
      </w:r>
      <w:r>
        <w:rPr>
          <w:rFonts w:asciiTheme="majorHAnsi" w:hAnsiTheme="majorHAnsi" w:cstheme="majorHAnsi"/>
          <w:color w:val="000000" w:themeColor="text1"/>
        </w:rPr>
        <w:t>per cent</w:t>
      </w:r>
      <w:r w:rsidRPr="00F03B85">
        <w:rPr>
          <w:rFonts w:asciiTheme="majorHAnsi" w:hAnsiTheme="majorHAnsi" w:cstheme="majorHAnsi"/>
          <w:color w:val="000000" w:themeColor="text1"/>
        </w:rPr>
        <w:t xml:space="preserve"> indicated </w:t>
      </w:r>
      <w:r>
        <w:rPr>
          <w:rFonts w:asciiTheme="majorHAnsi" w:hAnsiTheme="majorHAnsi" w:cstheme="majorHAnsi"/>
          <w:color w:val="000000" w:themeColor="text1"/>
        </w:rPr>
        <w:t xml:space="preserve">that they found both toos </w:t>
      </w:r>
      <w:r w:rsidRPr="00F03B85">
        <w:rPr>
          <w:rFonts w:asciiTheme="majorHAnsi" w:hAnsiTheme="majorHAnsi" w:cstheme="majorHAnsi"/>
          <w:color w:val="000000" w:themeColor="text1"/>
        </w:rPr>
        <w:t>extreme</w:t>
      </w:r>
      <w:r>
        <w:rPr>
          <w:rFonts w:asciiTheme="majorHAnsi" w:hAnsiTheme="majorHAnsi" w:cstheme="majorHAnsi"/>
          <w:color w:val="000000" w:themeColor="text1"/>
        </w:rPr>
        <w:t>ly</w:t>
      </w:r>
      <w:r w:rsidRPr="00F03B85">
        <w:rPr>
          <w:rFonts w:asciiTheme="majorHAnsi" w:hAnsiTheme="majorHAnsi" w:cstheme="majorHAnsi"/>
          <w:color w:val="000000" w:themeColor="text1"/>
        </w:rPr>
        <w:t xml:space="preserve"> useful</w:t>
      </w:r>
      <w:r w:rsidRPr="00F03B85">
        <w:rPr>
          <w:rStyle w:val="FootnoteReference"/>
          <w:rFonts w:asciiTheme="majorHAnsi" w:eastAsia="Arial Unicode MS" w:hAnsiTheme="majorHAnsi" w:cstheme="majorHAnsi"/>
          <w:color w:val="000000" w:themeColor="text1"/>
        </w:rPr>
        <w:footnoteReference w:id="75"/>
      </w:r>
      <w:r w:rsidRPr="00F03B85">
        <w:rPr>
          <w:rFonts w:asciiTheme="majorHAnsi" w:hAnsiTheme="majorHAnsi" w:cstheme="majorHAnsi"/>
          <w:color w:val="000000" w:themeColor="text1"/>
        </w:rPr>
        <w:t>.</w:t>
      </w:r>
      <w:r w:rsidR="00D434EB">
        <w:rPr>
          <w:rFonts w:asciiTheme="majorHAnsi" w:hAnsiTheme="majorHAnsi" w:cstheme="majorHAnsi"/>
          <w:color w:val="000000" w:themeColor="text1"/>
        </w:rPr>
        <w:t xml:space="preserve"> </w:t>
      </w:r>
    </w:p>
    <w:p w14:paraId="210C46DB" w14:textId="6C702897" w:rsidR="008D0CAD" w:rsidRDefault="008D0CAD" w:rsidP="00B31C4E">
      <w:pPr>
        <w:spacing w:before="100" w:beforeAutospacing="1" w:after="100" w:afterAutospacing="1" w:line="360" w:lineRule="auto"/>
        <w:rPr>
          <w:rFonts w:asciiTheme="majorHAnsi" w:hAnsiTheme="majorHAnsi" w:cstheme="majorHAnsi"/>
        </w:rPr>
      </w:pPr>
      <w:r w:rsidRPr="00215D66">
        <w:rPr>
          <w:rFonts w:asciiTheme="majorHAnsi" w:hAnsiTheme="majorHAnsi" w:cstheme="majorHAnsi"/>
          <w:b/>
          <w:bCs/>
        </w:rPr>
        <w:t>SBM-related Training Programs</w:t>
      </w:r>
      <w:r>
        <w:rPr>
          <w:rFonts w:asciiTheme="majorHAnsi" w:hAnsiTheme="majorHAnsi" w:cstheme="majorHAnsi"/>
        </w:rPr>
        <w:t xml:space="preserve">. Training programs on the </w:t>
      </w:r>
      <w:r w:rsidRPr="00A53436">
        <w:rPr>
          <w:rFonts w:asciiTheme="majorHAnsi" w:hAnsiTheme="majorHAnsi" w:cstheme="majorHAnsi"/>
          <w:color w:val="000000" w:themeColor="text1"/>
        </w:rPr>
        <w:t xml:space="preserve">dissemination </w:t>
      </w:r>
      <w:r>
        <w:rPr>
          <w:rFonts w:asciiTheme="majorHAnsi" w:hAnsiTheme="majorHAnsi" w:cstheme="majorHAnsi"/>
        </w:rPr>
        <w:t>of DO 44 on September 2015</w:t>
      </w:r>
      <w:r w:rsidR="00396F70">
        <w:rPr>
          <w:rFonts w:asciiTheme="majorHAnsi" w:hAnsiTheme="majorHAnsi" w:cstheme="majorHAnsi"/>
        </w:rPr>
        <w:t xml:space="preserve"> </w:t>
      </w:r>
      <w:r w:rsidRPr="00A53436">
        <w:rPr>
          <w:rFonts w:asciiTheme="majorHAnsi" w:hAnsiTheme="majorHAnsi" w:cstheme="majorHAnsi"/>
          <w:color w:val="000000" w:themeColor="text1"/>
        </w:rPr>
        <w:t>commenced</w:t>
      </w:r>
      <w:r>
        <w:rPr>
          <w:rFonts w:asciiTheme="majorHAnsi" w:hAnsiTheme="majorHAnsi" w:cstheme="majorHAnsi"/>
          <w:color w:val="000000" w:themeColor="text1"/>
        </w:rPr>
        <w:t xml:space="preserve"> immediately after the policy was issued</w:t>
      </w:r>
      <w:r w:rsidRPr="00A53436">
        <w:rPr>
          <w:rFonts w:asciiTheme="majorHAnsi" w:hAnsiTheme="majorHAnsi" w:cstheme="majorHAnsi"/>
          <w:color w:val="000000" w:themeColor="text1"/>
        </w:rPr>
        <w:t>.</w:t>
      </w:r>
      <w:r w:rsidR="00D434EB">
        <w:rPr>
          <w:rFonts w:asciiTheme="majorHAnsi" w:hAnsiTheme="majorHAnsi" w:cstheme="majorHAnsi"/>
          <w:color w:val="000000" w:themeColor="text1"/>
        </w:rPr>
        <w:t xml:space="preserve"> </w:t>
      </w:r>
      <w:r w:rsidRPr="00A53436">
        <w:rPr>
          <w:rFonts w:asciiTheme="majorHAnsi" w:hAnsiTheme="majorHAnsi" w:cstheme="majorHAnsi"/>
          <w:color w:val="000000" w:themeColor="text1"/>
        </w:rPr>
        <w:t xml:space="preserve">The SIP training programs were conducted from December 2015 to September 2016 </w:t>
      </w:r>
      <w:r>
        <w:rPr>
          <w:rFonts w:asciiTheme="majorHAnsi" w:hAnsiTheme="majorHAnsi" w:cstheme="majorHAnsi"/>
          <w:color w:val="000000" w:themeColor="text1"/>
        </w:rPr>
        <w:t>with</w:t>
      </w:r>
      <w:r w:rsidRPr="00A53436">
        <w:rPr>
          <w:rFonts w:asciiTheme="majorHAnsi" w:hAnsiTheme="majorHAnsi" w:cstheme="majorHAnsi"/>
          <w:color w:val="000000" w:themeColor="text1"/>
        </w:rPr>
        <w:t xml:space="preserve"> 2,812 participants (63</w:t>
      </w:r>
      <w:r>
        <w:rPr>
          <w:rFonts w:asciiTheme="majorHAnsi" w:hAnsiTheme="majorHAnsi" w:cstheme="majorHAnsi"/>
          <w:color w:val="000000" w:themeColor="text1"/>
        </w:rPr>
        <w:t xml:space="preserve"> per cent</w:t>
      </w:r>
      <w:r w:rsidRPr="00A53436">
        <w:rPr>
          <w:rFonts w:asciiTheme="majorHAnsi" w:hAnsiTheme="majorHAnsi" w:cstheme="majorHAnsi"/>
          <w:color w:val="000000" w:themeColor="text1"/>
        </w:rPr>
        <w:t xml:space="preserve"> females) from 44,154 schools (Table </w:t>
      </w:r>
      <w:r>
        <w:rPr>
          <w:rFonts w:asciiTheme="majorHAnsi" w:hAnsiTheme="majorHAnsi" w:cstheme="majorHAnsi"/>
          <w:color w:val="000000" w:themeColor="text1"/>
        </w:rPr>
        <w:t>35</w:t>
      </w:r>
      <w:r w:rsidRPr="00A53436">
        <w:rPr>
          <w:rFonts w:asciiTheme="majorHAnsi" w:hAnsiTheme="majorHAnsi" w:cstheme="majorHAnsi"/>
          <w:color w:val="000000" w:themeColor="text1"/>
        </w:rPr>
        <w:t>).</w:t>
      </w:r>
      <w:r w:rsidR="00D434EB">
        <w:rPr>
          <w:rFonts w:asciiTheme="majorHAnsi" w:hAnsiTheme="majorHAnsi" w:cstheme="majorHAnsi"/>
          <w:color w:val="000000" w:themeColor="text1"/>
        </w:rPr>
        <w:t xml:space="preserve"> </w:t>
      </w:r>
      <w:r>
        <w:rPr>
          <w:rFonts w:asciiTheme="majorHAnsi" w:hAnsiTheme="majorHAnsi" w:cstheme="majorHAnsi"/>
        </w:rPr>
        <w:t>The timing of the training program was critical because 2016 was a “</w:t>
      </w:r>
      <w:r w:rsidRPr="0080387C">
        <w:rPr>
          <w:rFonts w:asciiTheme="majorHAnsi" w:hAnsiTheme="majorHAnsi" w:cstheme="majorHAnsi"/>
          <w:i/>
          <w:iCs/>
        </w:rPr>
        <w:t>formulation year</w:t>
      </w:r>
      <w:r>
        <w:rPr>
          <w:rFonts w:asciiTheme="majorHAnsi" w:hAnsiTheme="majorHAnsi" w:cstheme="majorHAnsi"/>
        </w:rPr>
        <w:t>” for the three-year school development plans</w:t>
      </w:r>
      <w:r>
        <w:rPr>
          <w:rStyle w:val="FootnoteReference"/>
          <w:rFonts w:asciiTheme="majorHAnsi" w:eastAsia="Arial Unicode MS" w:hAnsiTheme="majorHAnsi" w:cstheme="majorHAnsi"/>
        </w:rPr>
        <w:footnoteReference w:id="76"/>
      </w:r>
      <w:r>
        <w:rPr>
          <w:rFonts w:asciiTheme="majorHAnsi" w:hAnsiTheme="majorHAnsi" w:cstheme="majorHAnsi"/>
        </w:rPr>
        <w:t xml:space="preserve">. </w:t>
      </w:r>
    </w:p>
    <w:p w14:paraId="6F071174" w14:textId="7FFA4DF0" w:rsidR="008D0CAD" w:rsidRDefault="008D0CAD" w:rsidP="00B31C4E">
      <w:pPr>
        <w:spacing w:before="100" w:beforeAutospacing="1" w:after="100" w:afterAutospacing="1" w:line="360" w:lineRule="auto"/>
        <w:rPr>
          <w:rFonts w:asciiTheme="majorHAnsi" w:hAnsiTheme="majorHAnsi" w:cstheme="majorHAnsi"/>
        </w:rPr>
      </w:pPr>
      <w:r>
        <w:rPr>
          <w:rFonts w:asciiTheme="majorHAnsi" w:hAnsiTheme="majorHAnsi" w:cstheme="majorHAnsi"/>
        </w:rPr>
        <w:t>While the</w:t>
      </w:r>
      <w:r w:rsidRPr="00CC45F2">
        <w:rPr>
          <w:rFonts w:asciiTheme="majorHAnsi" w:hAnsiTheme="majorHAnsi" w:cstheme="majorHAnsi"/>
        </w:rPr>
        <w:t xml:space="preserve"> </w:t>
      </w:r>
      <w:r>
        <w:rPr>
          <w:rFonts w:asciiTheme="majorHAnsi" w:hAnsiTheme="majorHAnsi" w:cstheme="majorHAnsi"/>
        </w:rPr>
        <w:t>cascading</w:t>
      </w:r>
      <w:r w:rsidRPr="00CC45F2">
        <w:rPr>
          <w:rFonts w:asciiTheme="majorHAnsi" w:hAnsiTheme="majorHAnsi" w:cstheme="majorHAnsi"/>
        </w:rPr>
        <w:t xml:space="preserve"> of </w:t>
      </w:r>
      <w:r>
        <w:rPr>
          <w:rFonts w:asciiTheme="majorHAnsi" w:hAnsiTheme="majorHAnsi" w:cstheme="majorHAnsi"/>
        </w:rPr>
        <w:t>orientation trainings on DO 44 policy and its attendant guidelines and tool</w:t>
      </w:r>
      <w:r w:rsidRPr="00CC45F2">
        <w:rPr>
          <w:rFonts w:asciiTheme="majorHAnsi" w:hAnsiTheme="majorHAnsi" w:cstheme="majorHAnsi"/>
        </w:rPr>
        <w:t xml:space="preserve"> </w:t>
      </w:r>
      <w:r>
        <w:rPr>
          <w:rFonts w:asciiTheme="majorHAnsi" w:hAnsiTheme="majorHAnsi" w:cstheme="majorHAnsi"/>
        </w:rPr>
        <w:t>covered 44,154</w:t>
      </w:r>
      <w:r w:rsidRPr="00CC45F2">
        <w:rPr>
          <w:rFonts w:asciiTheme="majorHAnsi" w:hAnsiTheme="majorHAnsi" w:cstheme="majorHAnsi"/>
        </w:rPr>
        <w:t xml:space="preserve"> school or almost 95</w:t>
      </w:r>
      <w:r>
        <w:rPr>
          <w:rFonts w:asciiTheme="majorHAnsi" w:hAnsiTheme="majorHAnsi" w:cstheme="majorHAnsi"/>
        </w:rPr>
        <w:t xml:space="preserve"> per cent</w:t>
      </w:r>
      <w:r w:rsidRPr="00CC45F2">
        <w:rPr>
          <w:rFonts w:asciiTheme="majorHAnsi" w:hAnsiTheme="majorHAnsi" w:cstheme="majorHAnsi"/>
        </w:rPr>
        <w:t xml:space="preserve"> of all </w:t>
      </w:r>
      <w:r>
        <w:rPr>
          <w:rFonts w:asciiTheme="majorHAnsi" w:hAnsiTheme="majorHAnsi" w:cstheme="majorHAnsi"/>
        </w:rPr>
        <w:t xml:space="preserve">elementary and secondary </w:t>
      </w:r>
      <w:r w:rsidRPr="00CC45F2">
        <w:rPr>
          <w:rFonts w:asciiTheme="majorHAnsi" w:hAnsiTheme="majorHAnsi" w:cstheme="majorHAnsi"/>
        </w:rPr>
        <w:t>schools</w:t>
      </w:r>
      <w:r>
        <w:rPr>
          <w:rFonts w:asciiTheme="majorHAnsi" w:hAnsiTheme="majorHAnsi" w:cstheme="majorHAnsi"/>
        </w:rPr>
        <w:t>, implementation challenges</w:t>
      </w:r>
      <w:r w:rsidR="004A657A">
        <w:rPr>
          <w:rFonts w:asciiTheme="majorHAnsi" w:hAnsiTheme="majorHAnsi" w:cstheme="majorHAnsi"/>
        </w:rPr>
        <w:t xml:space="preserve"> </w:t>
      </w:r>
      <w:r>
        <w:rPr>
          <w:rFonts w:asciiTheme="majorHAnsi" w:hAnsiTheme="majorHAnsi" w:cstheme="majorHAnsi"/>
        </w:rPr>
        <w:t>remained</w:t>
      </w:r>
      <w:r w:rsidRPr="00CC45F2">
        <w:rPr>
          <w:rFonts w:asciiTheme="majorHAnsi" w:hAnsiTheme="majorHAnsi" w:cstheme="majorHAnsi"/>
        </w:rPr>
        <w:t xml:space="preserve">. </w:t>
      </w:r>
      <w:r>
        <w:rPr>
          <w:rFonts w:asciiTheme="majorHAnsi" w:hAnsiTheme="majorHAnsi" w:cstheme="majorHAnsi"/>
        </w:rPr>
        <w:t xml:space="preserve">The first issue related to </w:t>
      </w:r>
      <w:r w:rsidRPr="00CC45F2">
        <w:rPr>
          <w:rFonts w:asciiTheme="majorHAnsi" w:hAnsiTheme="majorHAnsi" w:cstheme="majorHAnsi"/>
        </w:rPr>
        <w:t>the quality of the</w:t>
      </w:r>
      <w:r>
        <w:rPr>
          <w:rFonts w:asciiTheme="majorHAnsi" w:hAnsiTheme="majorHAnsi" w:cstheme="majorHAnsi"/>
        </w:rPr>
        <w:t xml:space="preserve"> roll-out</w:t>
      </w:r>
      <w:r w:rsidRPr="00CC45F2">
        <w:rPr>
          <w:rFonts w:asciiTheme="majorHAnsi" w:hAnsiTheme="majorHAnsi" w:cstheme="majorHAnsi"/>
        </w:rPr>
        <w:t xml:space="preserve"> training </w:t>
      </w:r>
      <w:r>
        <w:rPr>
          <w:rFonts w:asciiTheme="majorHAnsi" w:hAnsiTheme="majorHAnsi" w:cstheme="majorHAnsi"/>
        </w:rPr>
        <w:t>programs.</w:t>
      </w:r>
      <w:r w:rsidR="00D434EB">
        <w:rPr>
          <w:rFonts w:asciiTheme="majorHAnsi" w:hAnsiTheme="majorHAnsi" w:cstheme="majorHAnsi"/>
        </w:rPr>
        <w:t xml:space="preserve"> </w:t>
      </w:r>
      <w:r>
        <w:rPr>
          <w:rFonts w:asciiTheme="majorHAnsi" w:hAnsiTheme="majorHAnsi" w:cstheme="majorHAnsi"/>
        </w:rPr>
        <w:t>Key</w:t>
      </w:r>
      <w:r w:rsidRPr="00CC45F2">
        <w:rPr>
          <w:rFonts w:asciiTheme="majorHAnsi" w:hAnsiTheme="majorHAnsi" w:cstheme="majorHAnsi"/>
        </w:rPr>
        <w:t xml:space="preserve"> trainers </w:t>
      </w:r>
      <w:r>
        <w:rPr>
          <w:rFonts w:asciiTheme="majorHAnsi" w:hAnsiTheme="majorHAnsi" w:cstheme="majorHAnsi"/>
        </w:rPr>
        <w:t>(consisting of regional and division representatives) were</w:t>
      </w:r>
      <w:r w:rsidRPr="00CC45F2">
        <w:rPr>
          <w:rFonts w:asciiTheme="majorHAnsi" w:hAnsiTheme="majorHAnsi" w:cstheme="majorHAnsi"/>
        </w:rPr>
        <w:t xml:space="preserve"> </w:t>
      </w:r>
      <w:r>
        <w:rPr>
          <w:rFonts w:asciiTheme="majorHAnsi" w:hAnsiTheme="majorHAnsi" w:cstheme="majorHAnsi"/>
        </w:rPr>
        <w:t>provided with a five-day</w:t>
      </w:r>
      <w:r w:rsidRPr="00CC45F2">
        <w:rPr>
          <w:rFonts w:asciiTheme="majorHAnsi" w:hAnsiTheme="majorHAnsi" w:cstheme="majorHAnsi"/>
        </w:rPr>
        <w:t xml:space="preserve"> training </w:t>
      </w:r>
      <w:r>
        <w:rPr>
          <w:rFonts w:asciiTheme="majorHAnsi" w:hAnsiTheme="majorHAnsi" w:cstheme="majorHAnsi"/>
        </w:rPr>
        <w:t>program to enable them to thoroughly discuss</w:t>
      </w:r>
      <w:r w:rsidRPr="00CC45F2">
        <w:rPr>
          <w:rFonts w:asciiTheme="majorHAnsi" w:hAnsiTheme="majorHAnsi" w:cstheme="majorHAnsi"/>
        </w:rPr>
        <w:t xml:space="preserve"> the SIP guidelines</w:t>
      </w:r>
      <w:r>
        <w:rPr>
          <w:rFonts w:asciiTheme="majorHAnsi" w:hAnsiTheme="majorHAnsi" w:cstheme="majorHAnsi"/>
        </w:rPr>
        <w:t>.</w:t>
      </w:r>
    </w:p>
    <w:p w14:paraId="7D357D6F" w14:textId="293D4F4A" w:rsidR="008D0CAD" w:rsidRPr="004A657A" w:rsidRDefault="008D0CAD" w:rsidP="00B31C4E">
      <w:pPr>
        <w:pStyle w:val="Caption"/>
        <w:spacing w:before="100" w:beforeAutospacing="1" w:after="100" w:afterAutospacing="1" w:line="360" w:lineRule="auto"/>
        <w:rPr>
          <w:rFonts w:asciiTheme="majorHAnsi" w:hAnsiTheme="majorHAnsi" w:cstheme="majorHAnsi"/>
          <w:sz w:val="22"/>
          <w:szCs w:val="22"/>
        </w:rPr>
      </w:pPr>
      <w:bookmarkStart w:id="149" w:name="_Toc71616621"/>
      <w:r w:rsidRPr="004A657A">
        <w:rPr>
          <w:rFonts w:asciiTheme="majorHAnsi" w:hAnsiTheme="majorHAnsi" w:cstheme="majorHAnsi"/>
          <w:sz w:val="22"/>
          <w:szCs w:val="22"/>
        </w:rPr>
        <w:t xml:space="preserve">Table </w:t>
      </w:r>
      <w:r w:rsidRPr="004A657A">
        <w:rPr>
          <w:rFonts w:asciiTheme="majorHAnsi" w:hAnsiTheme="majorHAnsi" w:cstheme="majorHAnsi"/>
          <w:sz w:val="22"/>
          <w:szCs w:val="22"/>
        </w:rPr>
        <w:fldChar w:fldCharType="begin"/>
      </w:r>
      <w:r w:rsidRPr="004A657A">
        <w:rPr>
          <w:rFonts w:asciiTheme="majorHAnsi" w:hAnsiTheme="majorHAnsi" w:cstheme="majorHAnsi"/>
          <w:sz w:val="22"/>
          <w:szCs w:val="22"/>
        </w:rPr>
        <w:instrText xml:space="preserve"> SEQ Table \* ARABIC </w:instrText>
      </w:r>
      <w:r w:rsidRPr="004A657A">
        <w:rPr>
          <w:rFonts w:asciiTheme="majorHAnsi" w:hAnsiTheme="majorHAnsi" w:cstheme="majorHAnsi"/>
          <w:sz w:val="22"/>
          <w:szCs w:val="22"/>
        </w:rPr>
        <w:fldChar w:fldCharType="separate"/>
      </w:r>
      <w:r w:rsidR="00D6133D">
        <w:rPr>
          <w:rFonts w:asciiTheme="majorHAnsi" w:hAnsiTheme="majorHAnsi" w:cstheme="majorHAnsi"/>
          <w:noProof/>
          <w:sz w:val="22"/>
          <w:szCs w:val="22"/>
        </w:rPr>
        <w:t>30</w:t>
      </w:r>
      <w:r w:rsidRPr="004A657A">
        <w:rPr>
          <w:rFonts w:asciiTheme="majorHAnsi" w:hAnsiTheme="majorHAnsi" w:cstheme="majorHAnsi"/>
          <w:sz w:val="22"/>
          <w:szCs w:val="22"/>
        </w:rPr>
        <w:fldChar w:fldCharType="end"/>
      </w:r>
      <w:r w:rsidRPr="004A657A">
        <w:rPr>
          <w:rFonts w:asciiTheme="majorHAnsi" w:hAnsiTheme="majorHAnsi" w:cstheme="majorHAnsi"/>
          <w:sz w:val="22"/>
          <w:szCs w:val="22"/>
        </w:rPr>
        <w:t>. SIP Training Programs conducted by BHROD-SED, 2015-2016</w:t>
      </w:r>
      <w:bookmarkEnd w:id="149"/>
    </w:p>
    <w:tbl>
      <w:tblPr>
        <w:tblStyle w:val="TableGrid11"/>
        <w:tblW w:w="0" w:type="auto"/>
        <w:tblLook w:val="04A0" w:firstRow="1" w:lastRow="0" w:firstColumn="1" w:lastColumn="0" w:noHBand="0" w:noVBand="1"/>
      </w:tblPr>
      <w:tblGrid>
        <w:gridCol w:w="1265"/>
        <w:gridCol w:w="1322"/>
        <w:gridCol w:w="1323"/>
        <w:gridCol w:w="1303"/>
        <w:gridCol w:w="1323"/>
        <w:gridCol w:w="1299"/>
        <w:gridCol w:w="1175"/>
      </w:tblGrid>
      <w:tr w:rsidR="007A4F32" w:rsidRPr="004B064D" w14:paraId="179E613F" w14:textId="77777777" w:rsidTr="00F4751F">
        <w:trPr>
          <w:tblHeader/>
        </w:trPr>
        <w:tc>
          <w:tcPr>
            <w:tcW w:w="1265" w:type="dxa"/>
          </w:tcPr>
          <w:p w14:paraId="0819F38E" w14:textId="77777777" w:rsidR="007A4F32" w:rsidRPr="004B064D" w:rsidRDefault="007A4F32" w:rsidP="00B31C4E">
            <w:pPr>
              <w:spacing w:before="100" w:beforeAutospacing="1" w:after="100" w:afterAutospacing="1" w:line="360" w:lineRule="auto"/>
              <w:rPr>
                <w:rFonts w:asciiTheme="majorHAnsi" w:hAnsiTheme="majorHAnsi" w:cstheme="majorHAnsi"/>
                <w:b/>
                <w:bCs/>
                <w:sz w:val="22"/>
                <w:szCs w:val="22"/>
              </w:rPr>
            </w:pPr>
            <w:r w:rsidRPr="004B064D">
              <w:rPr>
                <w:rFonts w:asciiTheme="majorHAnsi" w:hAnsiTheme="majorHAnsi" w:cstheme="majorHAnsi"/>
                <w:b/>
                <w:bCs/>
                <w:sz w:val="22"/>
                <w:szCs w:val="22"/>
              </w:rPr>
              <w:t>Sex</w:t>
            </w:r>
          </w:p>
        </w:tc>
        <w:tc>
          <w:tcPr>
            <w:tcW w:w="1322" w:type="dxa"/>
          </w:tcPr>
          <w:p w14:paraId="66A1352C" w14:textId="77777777" w:rsidR="007A4F32" w:rsidRPr="004B064D" w:rsidRDefault="007A4F32" w:rsidP="00B31C4E">
            <w:pPr>
              <w:spacing w:before="100" w:beforeAutospacing="1" w:after="100" w:afterAutospacing="1" w:line="360" w:lineRule="auto"/>
              <w:rPr>
                <w:rFonts w:asciiTheme="majorHAnsi" w:hAnsiTheme="majorHAnsi" w:cstheme="majorHAnsi"/>
                <w:b/>
                <w:bCs/>
                <w:sz w:val="22"/>
                <w:szCs w:val="22"/>
              </w:rPr>
            </w:pPr>
            <w:r w:rsidRPr="004B064D">
              <w:rPr>
                <w:rFonts w:asciiTheme="majorHAnsi" w:hAnsiTheme="majorHAnsi" w:cstheme="majorHAnsi"/>
                <w:b/>
                <w:bCs/>
                <w:sz w:val="22"/>
                <w:szCs w:val="22"/>
              </w:rPr>
              <w:t>BEST</w:t>
            </w:r>
          </w:p>
        </w:tc>
        <w:tc>
          <w:tcPr>
            <w:tcW w:w="1323" w:type="dxa"/>
          </w:tcPr>
          <w:p w14:paraId="5181C7BA" w14:textId="77777777" w:rsidR="007A4F32" w:rsidRPr="004B064D" w:rsidRDefault="007A4F32" w:rsidP="00B31C4E">
            <w:pPr>
              <w:spacing w:before="100" w:beforeAutospacing="1" w:after="100" w:afterAutospacing="1" w:line="360" w:lineRule="auto"/>
              <w:rPr>
                <w:rFonts w:asciiTheme="majorHAnsi" w:hAnsiTheme="majorHAnsi" w:cstheme="majorHAnsi"/>
                <w:b/>
                <w:bCs/>
                <w:sz w:val="22"/>
                <w:szCs w:val="22"/>
              </w:rPr>
            </w:pPr>
            <w:r w:rsidRPr="004B064D">
              <w:rPr>
                <w:rFonts w:asciiTheme="majorHAnsi" w:hAnsiTheme="majorHAnsi" w:cstheme="majorHAnsi"/>
                <w:b/>
                <w:bCs/>
                <w:sz w:val="22"/>
                <w:szCs w:val="22"/>
              </w:rPr>
              <w:t>Non-BEST</w:t>
            </w:r>
          </w:p>
        </w:tc>
        <w:tc>
          <w:tcPr>
            <w:tcW w:w="1303" w:type="dxa"/>
          </w:tcPr>
          <w:p w14:paraId="7AD8163D" w14:textId="77777777" w:rsidR="007A4F32" w:rsidRPr="004B064D" w:rsidRDefault="007A4F32" w:rsidP="00B31C4E">
            <w:pPr>
              <w:spacing w:before="100" w:beforeAutospacing="1" w:after="100" w:afterAutospacing="1" w:line="360" w:lineRule="auto"/>
              <w:rPr>
                <w:rFonts w:asciiTheme="majorHAnsi" w:hAnsiTheme="majorHAnsi" w:cstheme="majorHAnsi"/>
                <w:b/>
                <w:bCs/>
                <w:sz w:val="22"/>
                <w:szCs w:val="22"/>
              </w:rPr>
            </w:pPr>
            <w:r w:rsidRPr="004B064D">
              <w:rPr>
                <w:rFonts w:asciiTheme="majorHAnsi" w:hAnsiTheme="majorHAnsi" w:cstheme="majorHAnsi"/>
                <w:b/>
                <w:bCs/>
                <w:sz w:val="22"/>
                <w:szCs w:val="22"/>
              </w:rPr>
              <w:t>Total</w:t>
            </w:r>
          </w:p>
        </w:tc>
        <w:tc>
          <w:tcPr>
            <w:tcW w:w="1323" w:type="dxa"/>
          </w:tcPr>
          <w:p w14:paraId="4EDA2309" w14:textId="77777777" w:rsidR="007A4F32" w:rsidRPr="004B064D" w:rsidRDefault="007A4F32" w:rsidP="00B31C4E">
            <w:pPr>
              <w:spacing w:before="100" w:beforeAutospacing="1" w:after="100" w:afterAutospacing="1" w:line="360" w:lineRule="auto"/>
              <w:rPr>
                <w:rFonts w:asciiTheme="majorHAnsi" w:hAnsiTheme="majorHAnsi" w:cstheme="majorHAnsi"/>
                <w:b/>
                <w:bCs/>
                <w:sz w:val="22"/>
                <w:szCs w:val="22"/>
              </w:rPr>
            </w:pPr>
            <w:r w:rsidRPr="004B064D">
              <w:rPr>
                <w:rFonts w:asciiTheme="majorHAnsi" w:hAnsiTheme="majorHAnsi" w:cstheme="majorHAnsi"/>
                <w:b/>
                <w:bCs/>
                <w:sz w:val="22"/>
                <w:szCs w:val="22"/>
              </w:rPr>
              <w:t>BEST</w:t>
            </w:r>
          </w:p>
        </w:tc>
        <w:tc>
          <w:tcPr>
            <w:tcW w:w="1299" w:type="dxa"/>
          </w:tcPr>
          <w:p w14:paraId="217EFA4C" w14:textId="77777777" w:rsidR="007A4F32" w:rsidRPr="004B064D" w:rsidRDefault="007A4F32" w:rsidP="00B31C4E">
            <w:pPr>
              <w:spacing w:before="100" w:beforeAutospacing="1" w:after="100" w:afterAutospacing="1" w:line="360" w:lineRule="auto"/>
              <w:rPr>
                <w:rFonts w:asciiTheme="majorHAnsi" w:hAnsiTheme="majorHAnsi" w:cstheme="majorHAnsi"/>
                <w:b/>
                <w:bCs/>
                <w:sz w:val="22"/>
                <w:szCs w:val="22"/>
              </w:rPr>
            </w:pPr>
            <w:r w:rsidRPr="004B064D">
              <w:rPr>
                <w:rFonts w:asciiTheme="majorHAnsi" w:hAnsiTheme="majorHAnsi" w:cstheme="majorHAnsi"/>
                <w:b/>
                <w:bCs/>
                <w:sz w:val="22"/>
                <w:szCs w:val="22"/>
              </w:rPr>
              <w:t>Non-Best</w:t>
            </w:r>
          </w:p>
        </w:tc>
        <w:tc>
          <w:tcPr>
            <w:tcW w:w="1175" w:type="dxa"/>
          </w:tcPr>
          <w:p w14:paraId="1F54E9E9" w14:textId="77777777" w:rsidR="007A4F32" w:rsidRPr="004B064D" w:rsidRDefault="007A4F32" w:rsidP="00B31C4E">
            <w:pPr>
              <w:spacing w:before="100" w:beforeAutospacing="1" w:after="100" w:afterAutospacing="1" w:line="360" w:lineRule="auto"/>
              <w:rPr>
                <w:rFonts w:asciiTheme="majorHAnsi" w:hAnsiTheme="majorHAnsi" w:cstheme="majorHAnsi"/>
                <w:b/>
                <w:bCs/>
                <w:sz w:val="22"/>
                <w:szCs w:val="22"/>
              </w:rPr>
            </w:pPr>
            <w:r w:rsidRPr="004B064D">
              <w:rPr>
                <w:rFonts w:asciiTheme="majorHAnsi" w:hAnsiTheme="majorHAnsi" w:cstheme="majorHAnsi"/>
                <w:b/>
                <w:bCs/>
                <w:sz w:val="22"/>
                <w:szCs w:val="22"/>
              </w:rPr>
              <w:t>Total</w:t>
            </w:r>
          </w:p>
        </w:tc>
      </w:tr>
      <w:tr w:rsidR="007A4F32" w:rsidRPr="007A4F32" w14:paraId="29DCFDA6" w14:textId="77777777" w:rsidTr="0017212A">
        <w:tc>
          <w:tcPr>
            <w:tcW w:w="1265" w:type="dxa"/>
          </w:tcPr>
          <w:p w14:paraId="320559F2" w14:textId="77777777" w:rsidR="007A4F32" w:rsidRPr="007A4F32" w:rsidRDefault="007A4F32" w:rsidP="00B31C4E">
            <w:pPr>
              <w:spacing w:before="100" w:beforeAutospacing="1" w:after="100" w:afterAutospacing="1" w:line="360" w:lineRule="auto"/>
              <w:rPr>
                <w:rFonts w:asciiTheme="majorHAnsi" w:hAnsiTheme="majorHAnsi" w:cstheme="majorHAnsi"/>
                <w:sz w:val="22"/>
                <w:szCs w:val="22"/>
              </w:rPr>
            </w:pPr>
            <w:r w:rsidRPr="007A4F32">
              <w:rPr>
                <w:rFonts w:asciiTheme="majorHAnsi" w:hAnsiTheme="majorHAnsi" w:cstheme="majorHAnsi"/>
                <w:sz w:val="22"/>
                <w:szCs w:val="22"/>
              </w:rPr>
              <w:t>Male</w:t>
            </w:r>
          </w:p>
        </w:tc>
        <w:tc>
          <w:tcPr>
            <w:tcW w:w="1322" w:type="dxa"/>
          </w:tcPr>
          <w:p w14:paraId="12586B43" w14:textId="77777777" w:rsidR="007A4F32" w:rsidRPr="007A4F32" w:rsidRDefault="007A4F32" w:rsidP="00B31C4E">
            <w:pPr>
              <w:spacing w:before="100" w:beforeAutospacing="1" w:after="100" w:afterAutospacing="1" w:line="360" w:lineRule="auto"/>
              <w:rPr>
                <w:rFonts w:asciiTheme="majorHAnsi" w:hAnsiTheme="majorHAnsi" w:cstheme="majorHAnsi"/>
                <w:sz w:val="22"/>
                <w:szCs w:val="22"/>
              </w:rPr>
            </w:pPr>
            <w:r w:rsidRPr="007A4F32">
              <w:rPr>
                <w:rFonts w:asciiTheme="majorHAnsi" w:hAnsiTheme="majorHAnsi" w:cstheme="majorHAnsi"/>
                <w:sz w:val="22"/>
                <w:szCs w:val="22"/>
              </w:rPr>
              <w:t>607</w:t>
            </w:r>
          </w:p>
        </w:tc>
        <w:tc>
          <w:tcPr>
            <w:tcW w:w="1323" w:type="dxa"/>
          </w:tcPr>
          <w:p w14:paraId="6517B4B7" w14:textId="77777777" w:rsidR="007A4F32" w:rsidRPr="007A4F32" w:rsidRDefault="007A4F32" w:rsidP="00B31C4E">
            <w:pPr>
              <w:spacing w:before="100" w:beforeAutospacing="1" w:after="100" w:afterAutospacing="1" w:line="360" w:lineRule="auto"/>
              <w:rPr>
                <w:rFonts w:asciiTheme="majorHAnsi" w:hAnsiTheme="majorHAnsi" w:cstheme="majorHAnsi"/>
                <w:sz w:val="22"/>
                <w:szCs w:val="22"/>
              </w:rPr>
            </w:pPr>
            <w:r w:rsidRPr="007A4F32">
              <w:rPr>
                <w:rFonts w:asciiTheme="majorHAnsi" w:hAnsiTheme="majorHAnsi" w:cstheme="majorHAnsi"/>
                <w:sz w:val="22"/>
                <w:szCs w:val="22"/>
              </w:rPr>
              <w:t>432</w:t>
            </w:r>
          </w:p>
        </w:tc>
        <w:tc>
          <w:tcPr>
            <w:tcW w:w="1303" w:type="dxa"/>
          </w:tcPr>
          <w:p w14:paraId="597CC657" w14:textId="77777777" w:rsidR="007A4F32" w:rsidRPr="007A4F32" w:rsidRDefault="007A4F32" w:rsidP="00B31C4E">
            <w:pPr>
              <w:spacing w:before="100" w:beforeAutospacing="1" w:after="100" w:afterAutospacing="1" w:line="360" w:lineRule="auto"/>
              <w:rPr>
                <w:rFonts w:asciiTheme="majorHAnsi" w:hAnsiTheme="majorHAnsi" w:cstheme="majorHAnsi"/>
                <w:sz w:val="22"/>
                <w:szCs w:val="22"/>
              </w:rPr>
            </w:pPr>
            <w:r w:rsidRPr="007A4F32">
              <w:rPr>
                <w:rFonts w:asciiTheme="majorHAnsi" w:hAnsiTheme="majorHAnsi" w:cstheme="majorHAnsi"/>
                <w:sz w:val="22"/>
                <w:szCs w:val="22"/>
              </w:rPr>
              <w:t>1,039</w:t>
            </w:r>
          </w:p>
        </w:tc>
        <w:tc>
          <w:tcPr>
            <w:tcW w:w="1323" w:type="dxa"/>
          </w:tcPr>
          <w:p w14:paraId="22D1ED18" w14:textId="77777777" w:rsidR="007A4F32" w:rsidRPr="007A4F32" w:rsidRDefault="007A4F32" w:rsidP="00B31C4E">
            <w:pPr>
              <w:spacing w:before="100" w:beforeAutospacing="1" w:after="100" w:afterAutospacing="1" w:line="360" w:lineRule="auto"/>
              <w:rPr>
                <w:rFonts w:asciiTheme="majorHAnsi" w:hAnsiTheme="majorHAnsi" w:cstheme="majorHAnsi"/>
                <w:sz w:val="22"/>
                <w:szCs w:val="22"/>
              </w:rPr>
            </w:pPr>
            <w:r w:rsidRPr="007A4F32">
              <w:rPr>
                <w:rFonts w:asciiTheme="majorHAnsi" w:hAnsiTheme="majorHAnsi" w:cstheme="majorHAnsi"/>
                <w:sz w:val="22"/>
                <w:szCs w:val="22"/>
              </w:rPr>
              <w:t>34%</w:t>
            </w:r>
          </w:p>
        </w:tc>
        <w:tc>
          <w:tcPr>
            <w:tcW w:w="1299" w:type="dxa"/>
          </w:tcPr>
          <w:p w14:paraId="6A81845D" w14:textId="77777777" w:rsidR="007A4F32" w:rsidRPr="007A4F32" w:rsidRDefault="007A4F32" w:rsidP="00B31C4E">
            <w:pPr>
              <w:spacing w:before="100" w:beforeAutospacing="1" w:after="100" w:afterAutospacing="1" w:line="360" w:lineRule="auto"/>
              <w:rPr>
                <w:rFonts w:asciiTheme="majorHAnsi" w:hAnsiTheme="majorHAnsi" w:cstheme="majorHAnsi"/>
                <w:sz w:val="22"/>
                <w:szCs w:val="22"/>
              </w:rPr>
            </w:pPr>
            <w:r w:rsidRPr="007A4F32">
              <w:rPr>
                <w:rFonts w:asciiTheme="majorHAnsi" w:hAnsiTheme="majorHAnsi" w:cstheme="majorHAnsi"/>
                <w:sz w:val="22"/>
                <w:szCs w:val="22"/>
              </w:rPr>
              <w:t>43%</w:t>
            </w:r>
          </w:p>
        </w:tc>
        <w:tc>
          <w:tcPr>
            <w:tcW w:w="1175" w:type="dxa"/>
          </w:tcPr>
          <w:p w14:paraId="05BFCB0A" w14:textId="77777777" w:rsidR="007A4F32" w:rsidRPr="007A4F32" w:rsidRDefault="007A4F32" w:rsidP="00B31C4E">
            <w:pPr>
              <w:spacing w:before="100" w:beforeAutospacing="1" w:after="100" w:afterAutospacing="1" w:line="360" w:lineRule="auto"/>
              <w:rPr>
                <w:rFonts w:asciiTheme="majorHAnsi" w:hAnsiTheme="majorHAnsi" w:cstheme="majorHAnsi"/>
                <w:sz w:val="22"/>
                <w:szCs w:val="22"/>
              </w:rPr>
            </w:pPr>
            <w:r w:rsidRPr="007A4F32">
              <w:rPr>
                <w:rFonts w:asciiTheme="majorHAnsi" w:hAnsiTheme="majorHAnsi" w:cstheme="majorHAnsi"/>
                <w:sz w:val="22"/>
                <w:szCs w:val="22"/>
              </w:rPr>
              <w:t>37%</w:t>
            </w:r>
          </w:p>
        </w:tc>
      </w:tr>
      <w:tr w:rsidR="007A4F32" w:rsidRPr="007A4F32" w14:paraId="65E4E4E6" w14:textId="77777777" w:rsidTr="0017212A">
        <w:tc>
          <w:tcPr>
            <w:tcW w:w="1265" w:type="dxa"/>
          </w:tcPr>
          <w:p w14:paraId="1DFB99EE" w14:textId="77777777" w:rsidR="007A4F32" w:rsidRPr="007A4F32" w:rsidRDefault="007A4F32" w:rsidP="00B31C4E">
            <w:pPr>
              <w:spacing w:before="100" w:beforeAutospacing="1" w:after="100" w:afterAutospacing="1" w:line="360" w:lineRule="auto"/>
              <w:rPr>
                <w:rFonts w:asciiTheme="majorHAnsi" w:hAnsiTheme="majorHAnsi" w:cstheme="majorHAnsi"/>
                <w:sz w:val="22"/>
                <w:szCs w:val="22"/>
              </w:rPr>
            </w:pPr>
            <w:r w:rsidRPr="007A4F32">
              <w:rPr>
                <w:rFonts w:asciiTheme="majorHAnsi" w:hAnsiTheme="majorHAnsi" w:cstheme="majorHAnsi"/>
                <w:sz w:val="22"/>
                <w:szCs w:val="22"/>
              </w:rPr>
              <w:t>Female</w:t>
            </w:r>
          </w:p>
        </w:tc>
        <w:tc>
          <w:tcPr>
            <w:tcW w:w="1322" w:type="dxa"/>
          </w:tcPr>
          <w:p w14:paraId="584D0405" w14:textId="77777777" w:rsidR="007A4F32" w:rsidRPr="007A4F32" w:rsidRDefault="007A4F32" w:rsidP="00B31C4E">
            <w:pPr>
              <w:spacing w:before="100" w:beforeAutospacing="1" w:after="100" w:afterAutospacing="1" w:line="360" w:lineRule="auto"/>
              <w:rPr>
                <w:rFonts w:asciiTheme="majorHAnsi" w:hAnsiTheme="majorHAnsi" w:cstheme="majorHAnsi"/>
                <w:sz w:val="22"/>
                <w:szCs w:val="22"/>
              </w:rPr>
            </w:pPr>
            <w:r w:rsidRPr="007A4F32">
              <w:rPr>
                <w:rFonts w:asciiTheme="majorHAnsi" w:hAnsiTheme="majorHAnsi" w:cstheme="majorHAnsi"/>
                <w:sz w:val="22"/>
                <w:szCs w:val="22"/>
              </w:rPr>
              <w:t>1,203</w:t>
            </w:r>
          </w:p>
        </w:tc>
        <w:tc>
          <w:tcPr>
            <w:tcW w:w="1323" w:type="dxa"/>
          </w:tcPr>
          <w:p w14:paraId="1DA01560" w14:textId="77777777" w:rsidR="007A4F32" w:rsidRPr="007A4F32" w:rsidRDefault="007A4F32" w:rsidP="00B31C4E">
            <w:pPr>
              <w:spacing w:before="100" w:beforeAutospacing="1" w:after="100" w:afterAutospacing="1" w:line="360" w:lineRule="auto"/>
              <w:rPr>
                <w:rFonts w:asciiTheme="majorHAnsi" w:hAnsiTheme="majorHAnsi" w:cstheme="majorHAnsi"/>
                <w:sz w:val="22"/>
                <w:szCs w:val="22"/>
              </w:rPr>
            </w:pPr>
            <w:r w:rsidRPr="007A4F32">
              <w:rPr>
                <w:rFonts w:asciiTheme="majorHAnsi" w:hAnsiTheme="majorHAnsi" w:cstheme="majorHAnsi"/>
                <w:sz w:val="22"/>
                <w:szCs w:val="22"/>
              </w:rPr>
              <w:t>570</w:t>
            </w:r>
          </w:p>
        </w:tc>
        <w:tc>
          <w:tcPr>
            <w:tcW w:w="1303" w:type="dxa"/>
          </w:tcPr>
          <w:p w14:paraId="2160CA62" w14:textId="77777777" w:rsidR="007A4F32" w:rsidRPr="007A4F32" w:rsidRDefault="007A4F32" w:rsidP="00B31C4E">
            <w:pPr>
              <w:spacing w:before="100" w:beforeAutospacing="1" w:after="100" w:afterAutospacing="1" w:line="360" w:lineRule="auto"/>
              <w:rPr>
                <w:rFonts w:asciiTheme="majorHAnsi" w:hAnsiTheme="majorHAnsi" w:cstheme="majorHAnsi"/>
                <w:sz w:val="22"/>
                <w:szCs w:val="22"/>
              </w:rPr>
            </w:pPr>
            <w:r w:rsidRPr="007A4F32">
              <w:rPr>
                <w:rFonts w:asciiTheme="majorHAnsi" w:hAnsiTheme="majorHAnsi" w:cstheme="majorHAnsi"/>
                <w:sz w:val="22"/>
                <w:szCs w:val="22"/>
              </w:rPr>
              <w:t>1,773</w:t>
            </w:r>
          </w:p>
        </w:tc>
        <w:tc>
          <w:tcPr>
            <w:tcW w:w="1323" w:type="dxa"/>
          </w:tcPr>
          <w:p w14:paraId="1940E885" w14:textId="77777777" w:rsidR="007A4F32" w:rsidRPr="007A4F32" w:rsidRDefault="007A4F32" w:rsidP="00B31C4E">
            <w:pPr>
              <w:spacing w:before="100" w:beforeAutospacing="1" w:after="100" w:afterAutospacing="1" w:line="360" w:lineRule="auto"/>
              <w:rPr>
                <w:rFonts w:asciiTheme="majorHAnsi" w:hAnsiTheme="majorHAnsi" w:cstheme="majorHAnsi"/>
                <w:sz w:val="22"/>
                <w:szCs w:val="22"/>
              </w:rPr>
            </w:pPr>
            <w:r w:rsidRPr="007A4F32">
              <w:rPr>
                <w:rFonts w:asciiTheme="majorHAnsi" w:hAnsiTheme="majorHAnsi" w:cstheme="majorHAnsi"/>
                <w:sz w:val="22"/>
                <w:szCs w:val="22"/>
              </w:rPr>
              <w:t>66%</w:t>
            </w:r>
          </w:p>
        </w:tc>
        <w:tc>
          <w:tcPr>
            <w:tcW w:w="1299" w:type="dxa"/>
          </w:tcPr>
          <w:p w14:paraId="6A2504C4" w14:textId="77777777" w:rsidR="007A4F32" w:rsidRPr="007A4F32" w:rsidRDefault="007A4F32" w:rsidP="00B31C4E">
            <w:pPr>
              <w:spacing w:before="100" w:beforeAutospacing="1" w:after="100" w:afterAutospacing="1" w:line="360" w:lineRule="auto"/>
              <w:rPr>
                <w:rFonts w:asciiTheme="majorHAnsi" w:hAnsiTheme="majorHAnsi" w:cstheme="majorHAnsi"/>
                <w:sz w:val="22"/>
                <w:szCs w:val="22"/>
              </w:rPr>
            </w:pPr>
            <w:r w:rsidRPr="007A4F32">
              <w:rPr>
                <w:rFonts w:asciiTheme="majorHAnsi" w:hAnsiTheme="majorHAnsi" w:cstheme="majorHAnsi"/>
                <w:sz w:val="22"/>
                <w:szCs w:val="22"/>
              </w:rPr>
              <w:t>57%</w:t>
            </w:r>
          </w:p>
        </w:tc>
        <w:tc>
          <w:tcPr>
            <w:tcW w:w="1175" w:type="dxa"/>
          </w:tcPr>
          <w:p w14:paraId="2934B3DD" w14:textId="77777777" w:rsidR="007A4F32" w:rsidRPr="007A4F32" w:rsidRDefault="007A4F32" w:rsidP="00B31C4E">
            <w:pPr>
              <w:spacing w:before="100" w:beforeAutospacing="1" w:after="100" w:afterAutospacing="1" w:line="360" w:lineRule="auto"/>
              <w:rPr>
                <w:rFonts w:asciiTheme="majorHAnsi" w:hAnsiTheme="majorHAnsi" w:cstheme="majorHAnsi"/>
                <w:sz w:val="22"/>
                <w:szCs w:val="22"/>
              </w:rPr>
            </w:pPr>
            <w:r w:rsidRPr="007A4F32">
              <w:rPr>
                <w:rFonts w:asciiTheme="majorHAnsi" w:hAnsiTheme="majorHAnsi" w:cstheme="majorHAnsi"/>
                <w:sz w:val="22"/>
                <w:szCs w:val="22"/>
              </w:rPr>
              <w:t>63%</w:t>
            </w:r>
          </w:p>
        </w:tc>
      </w:tr>
      <w:tr w:rsidR="007A4F32" w:rsidRPr="007A4F32" w14:paraId="2E529029" w14:textId="77777777" w:rsidTr="0017212A">
        <w:tc>
          <w:tcPr>
            <w:tcW w:w="1265" w:type="dxa"/>
          </w:tcPr>
          <w:p w14:paraId="192E2D90" w14:textId="77777777" w:rsidR="007A4F32" w:rsidRPr="007A4F32" w:rsidRDefault="007A4F32" w:rsidP="00B31C4E">
            <w:pPr>
              <w:spacing w:before="100" w:beforeAutospacing="1" w:after="100" w:afterAutospacing="1" w:line="360" w:lineRule="auto"/>
              <w:rPr>
                <w:rFonts w:asciiTheme="majorHAnsi" w:hAnsiTheme="majorHAnsi" w:cstheme="majorHAnsi"/>
                <w:sz w:val="22"/>
                <w:szCs w:val="22"/>
              </w:rPr>
            </w:pPr>
            <w:r w:rsidRPr="007A4F32">
              <w:rPr>
                <w:rFonts w:asciiTheme="majorHAnsi" w:hAnsiTheme="majorHAnsi" w:cstheme="majorHAnsi"/>
                <w:sz w:val="22"/>
                <w:szCs w:val="22"/>
              </w:rPr>
              <w:t>Total</w:t>
            </w:r>
          </w:p>
        </w:tc>
        <w:tc>
          <w:tcPr>
            <w:tcW w:w="1322" w:type="dxa"/>
          </w:tcPr>
          <w:p w14:paraId="1B96B745" w14:textId="77777777" w:rsidR="007A4F32" w:rsidRPr="007A4F32" w:rsidRDefault="007A4F32" w:rsidP="00B31C4E">
            <w:pPr>
              <w:spacing w:before="100" w:beforeAutospacing="1" w:after="100" w:afterAutospacing="1" w:line="360" w:lineRule="auto"/>
              <w:rPr>
                <w:rFonts w:asciiTheme="majorHAnsi" w:hAnsiTheme="majorHAnsi" w:cstheme="majorHAnsi"/>
                <w:sz w:val="22"/>
                <w:szCs w:val="22"/>
              </w:rPr>
            </w:pPr>
            <w:r w:rsidRPr="007A4F32">
              <w:rPr>
                <w:rFonts w:asciiTheme="majorHAnsi" w:hAnsiTheme="majorHAnsi" w:cstheme="majorHAnsi"/>
                <w:sz w:val="22"/>
                <w:szCs w:val="22"/>
              </w:rPr>
              <w:t>1,810</w:t>
            </w:r>
          </w:p>
        </w:tc>
        <w:tc>
          <w:tcPr>
            <w:tcW w:w="1323" w:type="dxa"/>
          </w:tcPr>
          <w:p w14:paraId="00019043" w14:textId="77777777" w:rsidR="007A4F32" w:rsidRPr="007A4F32" w:rsidRDefault="007A4F32" w:rsidP="00B31C4E">
            <w:pPr>
              <w:spacing w:before="100" w:beforeAutospacing="1" w:after="100" w:afterAutospacing="1" w:line="360" w:lineRule="auto"/>
              <w:rPr>
                <w:rFonts w:asciiTheme="majorHAnsi" w:hAnsiTheme="majorHAnsi" w:cstheme="majorHAnsi"/>
                <w:sz w:val="22"/>
                <w:szCs w:val="22"/>
              </w:rPr>
            </w:pPr>
            <w:r w:rsidRPr="007A4F32">
              <w:rPr>
                <w:rFonts w:asciiTheme="majorHAnsi" w:hAnsiTheme="majorHAnsi" w:cstheme="majorHAnsi"/>
                <w:sz w:val="22"/>
                <w:szCs w:val="22"/>
              </w:rPr>
              <w:t>1,002</w:t>
            </w:r>
          </w:p>
        </w:tc>
        <w:tc>
          <w:tcPr>
            <w:tcW w:w="1303" w:type="dxa"/>
          </w:tcPr>
          <w:p w14:paraId="570804AC" w14:textId="77777777" w:rsidR="007A4F32" w:rsidRPr="007A4F32" w:rsidRDefault="007A4F32" w:rsidP="00B31C4E">
            <w:pPr>
              <w:spacing w:before="100" w:beforeAutospacing="1" w:after="100" w:afterAutospacing="1" w:line="360" w:lineRule="auto"/>
              <w:rPr>
                <w:rFonts w:asciiTheme="majorHAnsi" w:hAnsiTheme="majorHAnsi" w:cstheme="majorHAnsi"/>
                <w:sz w:val="22"/>
                <w:szCs w:val="22"/>
              </w:rPr>
            </w:pPr>
            <w:r w:rsidRPr="007A4F32">
              <w:rPr>
                <w:rFonts w:asciiTheme="majorHAnsi" w:hAnsiTheme="majorHAnsi" w:cstheme="majorHAnsi"/>
                <w:sz w:val="22"/>
                <w:szCs w:val="22"/>
              </w:rPr>
              <w:t>2,812</w:t>
            </w:r>
          </w:p>
        </w:tc>
        <w:tc>
          <w:tcPr>
            <w:tcW w:w="1323" w:type="dxa"/>
          </w:tcPr>
          <w:p w14:paraId="69A82C60" w14:textId="77777777" w:rsidR="007A4F32" w:rsidRPr="007A4F32" w:rsidRDefault="007A4F32" w:rsidP="00B31C4E">
            <w:pPr>
              <w:spacing w:before="100" w:beforeAutospacing="1" w:after="100" w:afterAutospacing="1" w:line="360" w:lineRule="auto"/>
              <w:rPr>
                <w:rFonts w:asciiTheme="majorHAnsi" w:hAnsiTheme="majorHAnsi" w:cstheme="majorHAnsi"/>
                <w:sz w:val="22"/>
                <w:szCs w:val="22"/>
              </w:rPr>
            </w:pPr>
            <w:r w:rsidRPr="007A4F32">
              <w:rPr>
                <w:rFonts w:asciiTheme="majorHAnsi" w:hAnsiTheme="majorHAnsi" w:cstheme="majorHAnsi"/>
                <w:sz w:val="22"/>
                <w:szCs w:val="22"/>
              </w:rPr>
              <w:t>100%</w:t>
            </w:r>
          </w:p>
        </w:tc>
        <w:tc>
          <w:tcPr>
            <w:tcW w:w="1299" w:type="dxa"/>
          </w:tcPr>
          <w:p w14:paraId="73BB4A2B" w14:textId="77777777" w:rsidR="007A4F32" w:rsidRPr="007A4F32" w:rsidRDefault="007A4F32" w:rsidP="00B31C4E">
            <w:pPr>
              <w:spacing w:before="100" w:beforeAutospacing="1" w:after="100" w:afterAutospacing="1" w:line="360" w:lineRule="auto"/>
              <w:rPr>
                <w:rFonts w:asciiTheme="majorHAnsi" w:hAnsiTheme="majorHAnsi" w:cstheme="majorHAnsi"/>
                <w:sz w:val="22"/>
                <w:szCs w:val="22"/>
              </w:rPr>
            </w:pPr>
            <w:r w:rsidRPr="007A4F32">
              <w:rPr>
                <w:rFonts w:asciiTheme="majorHAnsi" w:hAnsiTheme="majorHAnsi" w:cstheme="majorHAnsi"/>
                <w:sz w:val="22"/>
                <w:szCs w:val="22"/>
              </w:rPr>
              <w:t>100%</w:t>
            </w:r>
          </w:p>
        </w:tc>
        <w:tc>
          <w:tcPr>
            <w:tcW w:w="1175" w:type="dxa"/>
          </w:tcPr>
          <w:p w14:paraId="73195804" w14:textId="77777777" w:rsidR="007A4F32" w:rsidRPr="007A4F32" w:rsidRDefault="007A4F32" w:rsidP="00B31C4E">
            <w:pPr>
              <w:spacing w:before="100" w:beforeAutospacing="1" w:after="100" w:afterAutospacing="1" w:line="360" w:lineRule="auto"/>
              <w:rPr>
                <w:rFonts w:asciiTheme="majorHAnsi" w:hAnsiTheme="majorHAnsi" w:cstheme="majorHAnsi"/>
                <w:sz w:val="22"/>
                <w:szCs w:val="22"/>
              </w:rPr>
            </w:pPr>
            <w:r w:rsidRPr="007A4F32">
              <w:rPr>
                <w:rFonts w:asciiTheme="majorHAnsi" w:hAnsiTheme="majorHAnsi" w:cstheme="majorHAnsi"/>
                <w:sz w:val="22"/>
                <w:szCs w:val="22"/>
              </w:rPr>
              <w:t>100%</w:t>
            </w:r>
          </w:p>
        </w:tc>
      </w:tr>
      <w:tr w:rsidR="007A4F32" w:rsidRPr="007A4F32" w14:paraId="12AFC713" w14:textId="77777777" w:rsidTr="0017212A">
        <w:tc>
          <w:tcPr>
            <w:tcW w:w="1265" w:type="dxa"/>
          </w:tcPr>
          <w:p w14:paraId="30712E5E" w14:textId="77777777" w:rsidR="007A4F32" w:rsidRPr="007A4F32" w:rsidRDefault="007A4F32" w:rsidP="00B31C4E">
            <w:pPr>
              <w:spacing w:before="100" w:beforeAutospacing="1" w:after="100" w:afterAutospacing="1" w:line="360" w:lineRule="auto"/>
              <w:rPr>
                <w:rFonts w:asciiTheme="majorHAnsi" w:hAnsiTheme="majorHAnsi" w:cstheme="majorHAnsi"/>
                <w:sz w:val="22"/>
                <w:szCs w:val="22"/>
              </w:rPr>
            </w:pPr>
          </w:p>
        </w:tc>
        <w:tc>
          <w:tcPr>
            <w:tcW w:w="1322" w:type="dxa"/>
          </w:tcPr>
          <w:p w14:paraId="010C8BD7" w14:textId="77777777" w:rsidR="007A4F32" w:rsidRPr="007A4F32" w:rsidRDefault="007A4F32" w:rsidP="00B31C4E">
            <w:pPr>
              <w:spacing w:before="100" w:beforeAutospacing="1" w:after="100" w:afterAutospacing="1" w:line="360" w:lineRule="auto"/>
              <w:rPr>
                <w:rFonts w:asciiTheme="majorHAnsi" w:hAnsiTheme="majorHAnsi" w:cstheme="majorHAnsi"/>
                <w:sz w:val="22"/>
                <w:szCs w:val="22"/>
              </w:rPr>
            </w:pPr>
          </w:p>
        </w:tc>
        <w:tc>
          <w:tcPr>
            <w:tcW w:w="1323" w:type="dxa"/>
          </w:tcPr>
          <w:p w14:paraId="595D79B7" w14:textId="77777777" w:rsidR="007A4F32" w:rsidRPr="007A4F32" w:rsidRDefault="007A4F32" w:rsidP="00B31C4E">
            <w:pPr>
              <w:spacing w:before="100" w:beforeAutospacing="1" w:after="100" w:afterAutospacing="1" w:line="360" w:lineRule="auto"/>
              <w:rPr>
                <w:rFonts w:asciiTheme="majorHAnsi" w:hAnsiTheme="majorHAnsi" w:cstheme="majorHAnsi"/>
                <w:sz w:val="22"/>
                <w:szCs w:val="22"/>
              </w:rPr>
            </w:pPr>
          </w:p>
        </w:tc>
        <w:tc>
          <w:tcPr>
            <w:tcW w:w="1303" w:type="dxa"/>
          </w:tcPr>
          <w:p w14:paraId="72134DAD" w14:textId="77777777" w:rsidR="007A4F32" w:rsidRPr="007A4F32" w:rsidRDefault="007A4F32" w:rsidP="00B31C4E">
            <w:pPr>
              <w:spacing w:before="100" w:beforeAutospacing="1" w:after="100" w:afterAutospacing="1" w:line="360" w:lineRule="auto"/>
              <w:rPr>
                <w:rFonts w:asciiTheme="majorHAnsi" w:hAnsiTheme="majorHAnsi" w:cstheme="majorHAnsi"/>
                <w:sz w:val="22"/>
                <w:szCs w:val="22"/>
              </w:rPr>
            </w:pPr>
          </w:p>
        </w:tc>
        <w:tc>
          <w:tcPr>
            <w:tcW w:w="1323" w:type="dxa"/>
          </w:tcPr>
          <w:p w14:paraId="6997D63D" w14:textId="77777777" w:rsidR="007A4F32" w:rsidRPr="007A4F32" w:rsidRDefault="007A4F32" w:rsidP="00B31C4E">
            <w:pPr>
              <w:spacing w:before="100" w:beforeAutospacing="1" w:after="100" w:afterAutospacing="1" w:line="360" w:lineRule="auto"/>
              <w:rPr>
                <w:rFonts w:asciiTheme="majorHAnsi" w:hAnsiTheme="majorHAnsi" w:cstheme="majorHAnsi"/>
                <w:sz w:val="22"/>
                <w:szCs w:val="22"/>
              </w:rPr>
            </w:pPr>
          </w:p>
        </w:tc>
        <w:tc>
          <w:tcPr>
            <w:tcW w:w="1299" w:type="dxa"/>
          </w:tcPr>
          <w:p w14:paraId="0102CDB0" w14:textId="77777777" w:rsidR="007A4F32" w:rsidRPr="007A4F32" w:rsidRDefault="007A4F32" w:rsidP="00B31C4E">
            <w:pPr>
              <w:spacing w:before="100" w:beforeAutospacing="1" w:after="100" w:afterAutospacing="1" w:line="360" w:lineRule="auto"/>
              <w:rPr>
                <w:rFonts w:asciiTheme="majorHAnsi" w:hAnsiTheme="majorHAnsi" w:cstheme="majorHAnsi"/>
                <w:sz w:val="22"/>
                <w:szCs w:val="22"/>
              </w:rPr>
            </w:pPr>
          </w:p>
        </w:tc>
        <w:tc>
          <w:tcPr>
            <w:tcW w:w="1175" w:type="dxa"/>
          </w:tcPr>
          <w:p w14:paraId="63997F26" w14:textId="77777777" w:rsidR="007A4F32" w:rsidRPr="007A4F32" w:rsidRDefault="007A4F32" w:rsidP="00B31C4E">
            <w:pPr>
              <w:spacing w:before="100" w:beforeAutospacing="1" w:after="100" w:afterAutospacing="1" w:line="360" w:lineRule="auto"/>
              <w:rPr>
                <w:rFonts w:asciiTheme="majorHAnsi" w:hAnsiTheme="majorHAnsi" w:cstheme="majorHAnsi"/>
                <w:sz w:val="22"/>
                <w:szCs w:val="22"/>
              </w:rPr>
            </w:pPr>
          </w:p>
        </w:tc>
      </w:tr>
      <w:tr w:rsidR="007A4F32" w:rsidRPr="007A4F32" w14:paraId="7EEACD98" w14:textId="77777777" w:rsidTr="0017212A">
        <w:tc>
          <w:tcPr>
            <w:tcW w:w="1265" w:type="dxa"/>
          </w:tcPr>
          <w:p w14:paraId="7C74E2EA" w14:textId="77777777" w:rsidR="007A4F32" w:rsidRPr="007A4F32" w:rsidRDefault="007A4F32" w:rsidP="00B31C4E">
            <w:pPr>
              <w:spacing w:before="100" w:beforeAutospacing="1" w:after="100" w:afterAutospacing="1" w:line="360" w:lineRule="auto"/>
              <w:rPr>
                <w:rFonts w:asciiTheme="majorHAnsi" w:hAnsiTheme="majorHAnsi" w:cstheme="majorHAnsi"/>
                <w:sz w:val="22"/>
                <w:szCs w:val="22"/>
              </w:rPr>
            </w:pPr>
            <w:r w:rsidRPr="007A4F32">
              <w:rPr>
                <w:rFonts w:asciiTheme="majorHAnsi" w:hAnsiTheme="majorHAnsi" w:cstheme="majorHAnsi"/>
                <w:sz w:val="22"/>
                <w:szCs w:val="22"/>
              </w:rPr>
              <w:t>Schools</w:t>
            </w:r>
          </w:p>
        </w:tc>
        <w:tc>
          <w:tcPr>
            <w:tcW w:w="1322" w:type="dxa"/>
          </w:tcPr>
          <w:p w14:paraId="2B3221FF" w14:textId="77777777" w:rsidR="007A4F32" w:rsidRPr="007A4F32" w:rsidRDefault="007A4F32" w:rsidP="00B31C4E">
            <w:pPr>
              <w:spacing w:before="100" w:beforeAutospacing="1" w:after="100" w:afterAutospacing="1" w:line="360" w:lineRule="auto"/>
              <w:rPr>
                <w:rFonts w:asciiTheme="majorHAnsi" w:hAnsiTheme="majorHAnsi" w:cstheme="majorHAnsi"/>
                <w:sz w:val="22"/>
                <w:szCs w:val="22"/>
              </w:rPr>
            </w:pPr>
            <w:r w:rsidRPr="007A4F32">
              <w:rPr>
                <w:rFonts w:asciiTheme="majorHAnsi" w:hAnsiTheme="majorHAnsi" w:cstheme="majorHAnsi"/>
                <w:sz w:val="22"/>
                <w:szCs w:val="22"/>
              </w:rPr>
              <w:t>17,235</w:t>
            </w:r>
          </w:p>
        </w:tc>
        <w:tc>
          <w:tcPr>
            <w:tcW w:w="1323" w:type="dxa"/>
          </w:tcPr>
          <w:p w14:paraId="3D4EF832" w14:textId="77777777" w:rsidR="007A4F32" w:rsidRPr="007A4F32" w:rsidRDefault="007A4F32" w:rsidP="00B31C4E">
            <w:pPr>
              <w:spacing w:before="100" w:beforeAutospacing="1" w:after="100" w:afterAutospacing="1" w:line="360" w:lineRule="auto"/>
              <w:rPr>
                <w:rFonts w:asciiTheme="majorHAnsi" w:hAnsiTheme="majorHAnsi" w:cstheme="majorHAnsi"/>
                <w:sz w:val="22"/>
                <w:szCs w:val="22"/>
              </w:rPr>
            </w:pPr>
            <w:r w:rsidRPr="007A4F32">
              <w:rPr>
                <w:rFonts w:asciiTheme="majorHAnsi" w:hAnsiTheme="majorHAnsi" w:cstheme="majorHAnsi"/>
                <w:sz w:val="22"/>
                <w:szCs w:val="22"/>
              </w:rPr>
              <w:t>26,919</w:t>
            </w:r>
          </w:p>
        </w:tc>
        <w:tc>
          <w:tcPr>
            <w:tcW w:w="1303" w:type="dxa"/>
          </w:tcPr>
          <w:p w14:paraId="199477B9" w14:textId="77777777" w:rsidR="007A4F32" w:rsidRPr="007A4F32" w:rsidRDefault="007A4F32" w:rsidP="00B31C4E">
            <w:pPr>
              <w:spacing w:before="100" w:beforeAutospacing="1" w:after="100" w:afterAutospacing="1" w:line="360" w:lineRule="auto"/>
              <w:rPr>
                <w:rFonts w:asciiTheme="majorHAnsi" w:hAnsiTheme="majorHAnsi" w:cstheme="majorHAnsi"/>
                <w:sz w:val="22"/>
                <w:szCs w:val="22"/>
              </w:rPr>
            </w:pPr>
            <w:r w:rsidRPr="007A4F32">
              <w:rPr>
                <w:rFonts w:asciiTheme="majorHAnsi" w:hAnsiTheme="majorHAnsi" w:cstheme="majorHAnsi"/>
                <w:sz w:val="22"/>
                <w:szCs w:val="22"/>
              </w:rPr>
              <w:t>44,154</w:t>
            </w:r>
          </w:p>
        </w:tc>
        <w:tc>
          <w:tcPr>
            <w:tcW w:w="1323" w:type="dxa"/>
          </w:tcPr>
          <w:p w14:paraId="6FC1BAB6" w14:textId="77777777" w:rsidR="007A4F32" w:rsidRPr="007A4F32" w:rsidRDefault="007A4F32" w:rsidP="00B31C4E">
            <w:pPr>
              <w:spacing w:before="100" w:beforeAutospacing="1" w:after="100" w:afterAutospacing="1" w:line="360" w:lineRule="auto"/>
              <w:rPr>
                <w:rFonts w:asciiTheme="majorHAnsi" w:hAnsiTheme="majorHAnsi" w:cstheme="majorHAnsi"/>
                <w:sz w:val="22"/>
                <w:szCs w:val="22"/>
              </w:rPr>
            </w:pPr>
            <w:r w:rsidRPr="007A4F32">
              <w:rPr>
                <w:rFonts w:asciiTheme="majorHAnsi" w:hAnsiTheme="majorHAnsi" w:cstheme="majorHAnsi"/>
                <w:sz w:val="22"/>
                <w:szCs w:val="22"/>
              </w:rPr>
              <w:t>39%</w:t>
            </w:r>
          </w:p>
        </w:tc>
        <w:tc>
          <w:tcPr>
            <w:tcW w:w="1299" w:type="dxa"/>
          </w:tcPr>
          <w:p w14:paraId="7624D565" w14:textId="77777777" w:rsidR="007A4F32" w:rsidRPr="007A4F32" w:rsidRDefault="007A4F32" w:rsidP="00B31C4E">
            <w:pPr>
              <w:spacing w:before="100" w:beforeAutospacing="1" w:after="100" w:afterAutospacing="1" w:line="360" w:lineRule="auto"/>
              <w:rPr>
                <w:rFonts w:asciiTheme="majorHAnsi" w:hAnsiTheme="majorHAnsi" w:cstheme="majorHAnsi"/>
                <w:sz w:val="22"/>
                <w:szCs w:val="22"/>
              </w:rPr>
            </w:pPr>
            <w:r w:rsidRPr="007A4F32">
              <w:rPr>
                <w:rFonts w:asciiTheme="majorHAnsi" w:hAnsiTheme="majorHAnsi" w:cstheme="majorHAnsi"/>
                <w:sz w:val="22"/>
                <w:szCs w:val="22"/>
              </w:rPr>
              <w:t>61%</w:t>
            </w:r>
          </w:p>
        </w:tc>
        <w:tc>
          <w:tcPr>
            <w:tcW w:w="1175" w:type="dxa"/>
          </w:tcPr>
          <w:p w14:paraId="7E1B7880" w14:textId="77777777" w:rsidR="007A4F32" w:rsidRPr="007A4F32" w:rsidRDefault="007A4F32" w:rsidP="00B31C4E">
            <w:pPr>
              <w:spacing w:before="100" w:beforeAutospacing="1" w:after="100" w:afterAutospacing="1" w:line="360" w:lineRule="auto"/>
              <w:rPr>
                <w:rFonts w:asciiTheme="majorHAnsi" w:hAnsiTheme="majorHAnsi" w:cstheme="majorHAnsi"/>
                <w:sz w:val="22"/>
                <w:szCs w:val="22"/>
              </w:rPr>
            </w:pPr>
            <w:r w:rsidRPr="007A4F32">
              <w:rPr>
                <w:rFonts w:asciiTheme="majorHAnsi" w:hAnsiTheme="majorHAnsi" w:cstheme="majorHAnsi"/>
                <w:sz w:val="22"/>
                <w:szCs w:val="22"/>
              </w:rPr>
              <w:t>100%</w:t>
            </w:r>
          </w:p>
        </w:tc>
      </w:tr>
    </w:tbl>
    <w:p w14:paraId="367A6217" w14:textId="1AC0A8C9" w:rsidR="007A4F32" w:rsidRPr="00B31C4E" w:rsidRDefault="007A4F32" w:rsidP="00B31C4E">
      <w:pPr>
        <w:spacing w:before="100" w:beforeAutospacing="1" w:after="100" w:afterAutospacing="1" w:line="360" w:lineRule="auto"/>
        <w:rPr>
          <w:rFonts w:asciiTheme="majorHAnsi" w:hAnsiTheme="majorHAnsi" w:cstheme="majorHAnsi"/>
          <w:sz w:val="14"/>
          <w:szCs w:val="14"/>
        </w:rPr>
      </w:pPr>
      <w:r w:rsidRPr="007A4F32">
        <w:rPr>
          <w:rFonts w:asciiTheme="majorHAnsi" w:hAnsiTheme="majorHAnsi" w:cstheme="majorHAnsi"/>
          <w:sz w:val="14"/>
          <w:szCs w:val="14"/>
        </w:rPr>
        <w:t>Source: BHROD-SED, 2019</w:t>
      </w:r>
    </w:p>
    <w:p w14:paraId="1011D989" w14:textId="7B19F09F" w:rsidR="008D0CAD" w:rsidRPr="00CF234B" w:rsidRDefault="008D0CAD" w:rsidP="00B31C4E">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rPr>
        <w:t xml:space="preserve">However, </w:t>
      </w:r>
      <w:r w:rsidRPr="00CC45F2">
        <w:rPr>
          <w:rFonts w:asciiTheme="majorHAnsi" w:hAnsiTheme="majorHAnsi" w:cstheme="majorHAnsi"/>
        </w:rPr>
        <w:t xml:space="preserve">the training </w:t>
      </w:r>
      <w:r>
        <w:rPr>
          <w:rFonts w:asciiTheme="majorHAnsi" w:hAnsiTheme="majorHAnsi" w:cstheme="majorHAnsi"/>
        </w:rPr>
        <w:t>programs conducted by the SIP Trainers, which were intended to train the</w:t>
      </w:r>
      <w:r w:rsidRPr="00CC45F2">
        <w:rPr>
          <w:rFonts w:asciiTheme="majorHAnsi" w:hAnsiTheme="majorHAnsi" w:cstheme="majorHAnsi"/>
        </w:rPr>
        <w:t xml:space="preserve"> </w:t>
      </w:r>
      <w:r>
        <w:rPr>
          <w:rFonts w:asciiTheme="majorHAnsi" w:hAnsiTheme="majorHAnsi" w:cstheme="majorHAnsi"/>
        </w:rPr>
        <w:t>principals</w:t>
      </w:r>
      <w:r w:rsidRPr="00CC45F2">
        <w:rPr>
          <w:rFonts w:asciiTheme="majorHAnsi" w:hAnsiTheme="majorHAnsi" w:cstheme="majorHAnsi"/>
        </w:rPr>
        <w:t xml:space="preserve"> </w:t>
      </w:r>
      <w:r>
        <w:rPr>
          <w:rFonts w:asciiTheme="majorHAnsi" w:hAnsiTheme="majorHAnsi" w:cstheme="majorHAnsi"/>
        </w:rPr>
        <w:t>did not follow the training outline.</w:t>
      </w:r>
      <w:r w:rsidR="00D434EB">
        <w:rPr>
          <w:rFonts w:asciiTheme="majorHAnsi" w:hAnsiTheme="majorHAnsi" w:cstheme="majorHAnsi"/>
        </w:rPr>
        <w:t xml:space="preserve"> </w:t>
      </w:r>
      <w:r>
        <w:rPr>
          <w:rFonts w:asciiTheme="majorHAnsi" w:hAnsiTheme="majorHAnsi" w:cstheme="majorHAnsi"/>
        </w:rPr>
        <w:t>The duration of these training programs varied from three days to</w:t>
      </w:r>
      <w:r w:rsidRPr="00CC45F2">
        <w:rPr>
          <w:rFonts w:asciiTheme="majorHAnsi" w:hAnsiTheme="majorHAnsi" w:cstheme="majorHAnsi"/>
        </w:rPr>
        <w:t xml:space="preserve"> </w:t>
      </w:r>
      <w:r>
        <w:rPr>
          <w:rFonts w:asciiTheme="majorHAnsi" w:hAnsiTheme="majorHAnsi" w:cstheme="majorHAnsi"/>
        </w:rPr>
        <w:t>one day</w:t>
      </w:r>
      <w:r w:rsidRPr="00CC45F2">
        <w:rPr>
          <w:rFonts w:asciiTheme="majorHAnsi" w:hAnsiTheme="majorHAnsi" w:cstheme="majorHAnsi"/>
        </w:rPr>
        <w:t xml:space="preserve"> training. </w:t>
      </w:r>
      <w:r>
        <w:rPr>
          <w:rFonts w:asciiTheme="majorHAnsi" w:hAnsiTheme="majorHAnsi" w:cstheme="majorHAnsi"/>
        </w:rPr>
        <w:t>Moreover, feedback from participants</w:t>
      </w:r>
      <w:r w:rsidRPr="00CC45F2">
        <w:rPr>
          <w:rFonts w:asciiTheme="majorHAnsi" w:hAnsiTheme="majorHAnsi" w:cstheme="majorHAnsi"/>
        </w:rPr>
        <w:t xml:space="preserve"> indicated that the messages </w:t>
      </w:r>
      <w:r>
        <w:rPr>
          <w:rFonts w:asciiTheme="majorHAnsi" w:hAnsiTheme="majorHAnsi" w:cstheme="majorHAnsi"/>
        </w:rPr>
        <w:t>delivered by the SIP Trainers</w:t>
      </w:r>
      <w:r w:rsidRPr="00CC45F2">
        <w:rPr>
          <w:rFonts w:asciiTheme="majorHAnsi" w:hAnsiTheme="majorHAnsi" w:cstheme="majorHAnsi"/>
        </w:rPr>
        <w:t xml:space="preserve"> were not standardi</w:t>
      </w:r>
      <w:r>
        <w:rPr>
          <w:rFonts w:asciiTheme="majorHAnsi" w:hAnsiTheme="majorHAnsi" w:cstheme="majorHAnsi"/>
        </w:rPr>
        <w:t>s</w:t>
      </w:r>
      <w:r w:rsidRPr="00CC45F2">
        <w:rPr>
          <w:rFonts w:asciiTheme="majorHAnsi" w:hAnsiTheme="majorHAnsi" w:cstheme="majorHAnsi"/>
        </w:rPr>
        <w:t xml:space="preserve">ed across </w:t>
      </w:r>
      <w:r>
        <w:rPr>
          <w:rFonts w:asciiTheme="majorHAnsi" w:hAnsiTheme="majorHAnsi" w:cstheme="majorHAnsi"/>
        </w:rPr>
        <w:t>regions</w:t>
      </w:r>
      <w:r w:rsidRPr="00CC45F2">
        <w:rPr>
          <w:rFonts w:asciiTheme="majorHAnsi" w:hAnsiTheme="majorHAnsi" w:cstheme="majorHAnsi"/>
        </w:rPr>
        <w:t xml:space="preserve">. </w:t>
      </w:r>
      <w:r>
        <w:rPr>
          <w:rFonts w:asciiTheme="majorHAnsi" w:hAnsiTheme="majorHAnsi" w:cstheme="majorHAnsi"/>
        </w:rPr>
        <w:t xml:space="preserve">These issues may explain the findings of the EOPE Study KAUQ Survey, which noted that: </w:t>
      </w:r>
      <w:r w:rsidRPr="00563C4F">
        <w:rPr>
          <w:rFonts w:asciiTheme="majorHAnsi" w:hAnsiTheme="majorHAnsi" w:cstheme="majorHAnsi"/>
          <w:color w:val="000000" w:themeColor="text1"/>
        </w:rPr>
        <w:t>about third of the respondent principals did not know and had no access to the Trainer’s Toolkit for the Enhanced School Improvement Plan</w:t>
      </w:r>
      <w:r>
        <w:rPr>
          <w:rFonts w:asciiTheme="majorHAnsi" w:hAnsiTheme="majorHAnsi" w:cstheme="majorHAnsi"/>
          <w:color w:val="000000" w:themeColor="text1"/>
        </w:rPr>
        <w:t>.</w:t>
      </w:r>
      <w:r w:rsidR="00D434EB">
        <w:rPr>
          <w:rFonts w:asciiTheme="majorHAnsi" w:hAnsiTheme="majorHAnsi" w:cstheme="majorHAnsi"/>
          <w:color w:val="000000" w:themeColor="text1"/>
        </w:rPr>
        <w:t xml:space="preserve"> </w:t>
      </w:r>
      <w:r>
        <w:rPr>
          <w:rFonts w:asciiTheme="majorHAnsi" w:hAnsiTheme="majorHAnsi" w:cstheme="majorHAnsi"/>
        </w:rPr>
        <w:t>To respond to these issues</w:t>
      </w:r>
      <w:r w:rsidRPr="00CC45F2">
        <w:rPr>
          <w:rFonts w:asciiTheme="majorHAnsi" w:hAnsiTheme="majorHAnsi" w:cstheme="majorHAnsi"/>
        </w:rPr>
        <w:t xml:space="preserve">, </w:t>
      </w:r>
      <w:r>
        <w:rPr>
          <w:rFonts w:asciiTheme="majorHAnsi" w:hAnsiTheme="majorHAnsi" w:cstheme="majorHAnsi"/>
        </w:rPr>
        <w:t xml:space="preserve">the </w:t>
      </w:r>
      <w:r w:rsidRPr="00CC45F2">
        <w:rPr>
          <w:rFonts w:asciiTheme="majorHAnsi" w:hAnsiTheme="majorHAnsi" w:cstheme="majorHAnsi"/>
        </w:rPr>
        <w:t xml:space="preserve">BEST </w:t>
      </w:r>
      <w:r>
        <w:rPr>
          <w:rFonts w:asciiTheme="majorHAnsi" w:hAnsiTheme="majorHAnsi" w:cstheme="majorHAnsi"/>
        </w:rPr>
        <w:t>Program</w:t>
      </w:r>
      <w:r w:rsidRPr="00CC45F2">
        <w:rPr>
          <w:rFonts w:asciiTheme="majorHAnsi" w:hAnsiTheme="majorHAnsi" w:cstheme="majorHAnsi"/>
        </w:rPr>
        <w:t xml:space="preserve"> </w:t>
      </w:r>
      <w:r>
        <w:rPr>
          <w:rFonts w:asciiTheme="majorHAnsi" w:hAnsiTheme="majorHAnsi" w:cstheme="majorHAnsi"/>
        </w:rPr>
        <w:t>provided support for the development of an</w:t>
      </w:r>
      <w:r w:rsidRPr="00CC45F2">
        <w:rPr>
          <w:rFonts w:asciiTheme="majorHAnsi" w:hAnsiTheme="majorHAnsi" w:cstheme="majorHAnsi"/>
        </w:rPr>
        <w:t xml:space="preserve"> instructional video on</w:t>
      </w:r>
      <w:r>
        <w:rPr>
          <w:rFonts w:asciiTheme="majorHAnsi" w:hAnsiTheme="majorHAnsi" w:cstheme="majorHAnsi"/>
        </w:rPr>
        <w:t xml:space="preserve"> the formulation of</w:t>
      </w:r>
      <w:r w:rsidRPr="00CC45F2">
        <w:rPr>
          <w:rFonts w:asciiTheme="majorHAnsi" w:hAnsiTheme="majorHAnsi" w:cstheme="majorHAnsi"/>
        </w:rPr>
        <w:t xml:space="preserve"> SIP</w:t>
      </w:r>
      <w:r>
        <w:rPr>
          <w:rFonts w:asciiTheme="majorHAnsi" w:hAnsiTheme="majorHAnsi" w:cstheme="majorHAnsi"/>
        </w:rPr>
        <w:t>s</w:t>
      </w:r>
      <w:r w:rsidRPr="00CC45F2">
        <w:rPr>
          <w:rFonts w:asciiTheme="majorHAnsi" w:hAnsiTheme="majorHAnsi" w:cstheme="majorHAnsi"/>
        </w:rPr>
        <w:t>.</w:t>
      </w:r>
    </w:p>
    <w:p w14:paraId="17D313B2" w14:textId="2D3103E4" w:rsidR="008D0CAD" w:rsidRDefault="008D0CAD" w:rsidP="00B31C4E">
      <w:pPr>
        <w:spacing w:before="100" w:beforeAutospacing="1" w:after="100" w:afterAutospacing="1" w:line="360" w:lineRule="auto"/>
        <w:rPr>
          <w:rFonts w:asciiTheme="majorHAnsi" w:hAnsiTheme="majorHAnsi" w:cstheme="majorHAnsi"/>
          <w:color w:val="000000" w:themeColor="text1"/>
          <w:shd w:val="clear" w:color="auto" w:fill="FFFFFF"/>
        </w:rPr>
      </w:pPr>
      <w:r>
        <w:rPr>
          <w:rFonts w:asciiTheme="majorHAnsi" w:hAnsiTheme="majorHAnsi" w:cstheme="majorHAnsi"/>
          <w:color w:val="000000" w:themeColor="text1"/>
          <w:shd w:val="clear" w:color="auto" w:fill="FFFFFF"/>
        </w:rPr>
        <w:t>Although the EOPE Study was able to obtain a list of DepEd personnel trained on SBM, neither the BEST Program nor DepEd provided monitoring data to show how many schools were able to develop their SIPs after the capacity building programs.</w:t>
      </w:r>
      <w:r w:rsidR="00D434EB">
        <w:rPr>
          <w:rFonts w:asciiTheme="majorHAnsi" w:hAnsiTheme="majorHAnsi" w:cstheme="majorHAnsi"/>
          <w:color w:val="000000" w:themeColor="text1"/>
          <w:shd w:val="clear" w:color="auto" w:fill="FFFFFF"/>
        </w:rPr>
        <w:t xml:space="preserve"> </w:t>
      </w:r>
      <w:r>
        <w:rPr>
          <w:rFonts w:asciiTheme="majorHAnsi" w:hAnsiTheme="majorHAnsi" w:cstheme="majorHAnsi"/>
          <w:color w:val="000000" w:themeColor="text1"/>
          <w:shd w:val="clear" w:color="auto" w:fill="FFFFFF"/>
        </w:rPr>
        <w:t>Moreover, there was no data to assess the quality of the SIPs developed, such as whether there was appropriate integration of gender equality and inclusive education concerns.</w:t>
      </w:r>
    </w:p>
    <w:p w14:paraId="17A74C9D" w14:textId="44F42A99" w:rsidR="008D0CAD" w:rsidRPr="004D1E8E" w:rsidRDefault="008D0CAD" w:rsidP="00DD08E3">
      <w:pPr>
        <w:pStyle w:val="Heading5"/>
        <w:numPr>
          <w:ilvl w:val="3"/>
          <w:numId w:val="165"/>
        </w:numPr>
        <w:spacing w:before="100" w:beforeAutospacing="1" w:after="100" w:afterAutospacing="1" w:line="360" w:lineRule="auto"/>
      </w:pPr>
      <w:r w:rsidRPr="004D1E8E">
        <w:t>Decentrali</w:t>
      </w:r>
      <w:r>
        <w:t>s</w:t>
      </w:r>
      <w:r w:rsidRPr="004D1E8E">
        <w:t>ation of Management and Accountability to Schools</w:t>
      </w:r>
    </w:p>
    <w:p w14:paraId="0832D850" w14:textId="5B465AA8" w:rsidR="008D0CAD" w:rsidRPr="004C2442" w:rsidRDefault="008D0CAD" w:rsidP="00B31C4E">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color w:val="000000" w:themeColor="text1"/>
        </w:rPr>
        <w:t>In the m</w:t>
      </w:r>
      <w:r w:rsidRPr="004C2442">
        <w:rPr>
          <w:rFonts w:asciiTheme="majorHAnsi" w:hAnsiTheme="majorHAnsi" w:cstheme="majorHAnsi"/>
          <w:color w:val="000000" w:themeColor="text1"/>
        </w:rPr>
        <w:t>ain EOPE Study</w:t>
      </w:r>
      <w:r>
        <w:rPr>
          <w:rFonts w:asciiTheme="majorHAnsi" w:hAnsiTheme="majorHAnsi" w:cstheme="majorHAnsi"/>
          <w:color w:val="000000" w:themeColor="text1"/>
        </w:rPr>
        <w:t xml:space="preserve">, </w:t>
      </w:r>
      <w:r w:rsidRPr="004C2442">
        <w:rPr>
          <w:rFonts w:asciiTheme="majorHAnsi" w:hAnsiTheme="majorHAnsi" w:cstheme="majorHAnsi"/>
          <w:color w:val="000000" w:themeColor="text1"/>
        </w:rPr>
        <w:t xml:space="preserve">37 </w:t>
      </w:r>
      <w:r>
        <w:rPr>
          <w:rFonts w:asciiTheme="majorHAnsi" w:hAnsiTheme="majorHAnsi" w:cstheme="majorHAnsi"/>
          <w:color w:val="000000" w:themeColor="text1"/>
        </w:rPr>
        <w:t>per cent</w:t>
      </w:r>
      <w:r w:rsidRPr="004C2442">
        <w:rPr>
          <w:rFonts w:asciiTheme="majorHAnsi" w:hAnsiTheme="majorHAnsi" w:cstheme="majorHAnsi"/>
          <w:color w:val="000000" w:themeColor="text1"/>
        </w:rPr>
        <w:t xml:space="preserve"> of all </w:t>
      </w:r>
      <w:r>
        <w:rPr>
          <w:rFonts w:asciiTheme="majorHAnsi" w:hAnsiTheme="majorHAnsi" w:cstheme="majorHAnsi"/>
          <w:color w:val="000000" w:themeColor="text1"/>
        </w:rPr>
        <w:t>principals</w:t>
      </w:r>
      <w:r>
        <w:rPr>
          <w:rStyle w:val="FootnoteReference"/>
          <w:rFonts w:asciiTheme="majorHAnsi" w:eastAsia="Arial Unicode MS" w:hAnsiTheme="majorHAnsi" w:cstheme="majorHAnsi"/>
          <w:color w:val="000000" w:themeColor="text1"/>
        </w:rPr>
        <w:footnoteReference w:id="77"/>
      </w:r>
      <w:r w:rsidRPr="004C2442">
        <w:rPr>
          <w:rFonts w:asciiTheme="majorHAnsi" w:hAnsiTheme="majorHAnsi" w:cstheme="majorHAnsi"/>
          <w:color w:val="000000" w:themeColor="text1"/>
        </w:rPr>
        <w:t xml:space="preserve"> surveyed </w:t>
      </w:r>
      <w:r>
        <w:rPr>
          <w:rFonts w:asciiTheme="majorHAnsi" w:hAnsiTheme="majorHAnsi" w:cstheme="majorHAnsi"/>
          <w:color w:val="000000" w:themeColor="text1"/>
        </w:rPr>
        <w:t>noted</w:t>
      </w:r>
      <w:r w:rsidRPr="004C2442">
        <w:rPr>
          <w:rFonts w:asciiTheme="majorHAnsi" w:hAnsiTheme="majorHAnsi" w:cstheme="majorHAnsi"/>
          <w:color w:val="000000" w:themeColor="text1"/>
        </w:rPr>
        <w:t xml:space="preserve"> that “</w:t>
      </w:r>
      <w:r w:rsidRPr="004C2442">
        <w:rPr>
          <w:rFonts w:asciiTheme="majorHAnsi" w:hAnsiTheme="majorHAnsi" w:cstheme="majorHAnsi"/>
          <w:i/>
          <w:iCs/>
          <w:color w:val="000000" w:themeColor="text1"/>
        </w:rPr>
        <w:t>Compared to five years ago, decentrali</w:t>
      </w:r>
      <w:r>
        <w:rPr>
          <w:rFonts w:asciiTheme="majorHAnsi" w:hAnsiTheme="majorHAnsi" w:cstheme="majorHAnsi"/>
          <w:i/>
          <w:iCs/>
          <w:color w:val="000000" w:themeColor="text1"/>
        </w:rPr>
        <w:t>s</w:t>
      </w:r>
      <w:r w:rsidRPr="004C2442">
        <w:rPr>
          <w:rFonts w:asciiTheme="majorHAnsi" w:hAnsiTheme="majorHAnsi" w:cstheme="majorHAnsi"/>
          <w:i/>
          <w:iCs/>
          <w:color w:val="000000" w:themeColor="text1"/>
        </w:rPr>
        <w:t xml:space="preserve">ation of management to field offices and schools in </w:t>
      </w:r>
      <w:r>
        <w:rPr>
          <w:rFonts w:asciiTheme="majorHAnsi" w:hAnsiTheme="majorHAnsi" w:cstheme="majorHAnsi"/>
          <w:i/>
          <w:iCs/>
          <w:color w:val="000000" w:themeColor="text1"/>
        </w:rPr>
        <w:t>DEPED</w:t>
      </w:r>
      <w:r w:rsidRPr="004C2442">
        <w:rPr>
          <w:rFonts w:asciiTheme="majorHAnsi" w:hAnsiTheme="majorHAnsi" w:cstheme="majorHAnsi"/>
          <w:i/>
          <w:iCs/>
          <w:color w:val="000000" w:themeColor="text1"/>
        </w:rPr>
        <w:t xml:space="preserve"> improved</w:t>
      </w:r>
      <w:r w:rsidRPr="004C2442">
        <w:rPr>
          <w:rFonts w:asciiTheme="majorHAnsi" w:hAnsiTheme="majorHAnsi" w:cstheme="majorHAnsi"/>
          <w:color w:val="000000" w:themeColor="text1"/>
        </w:rPr>
        <w:t xml:space="preserve">” </w:t>
      </w:r>
      <w:r>
        <w:rPr>
          <w:rFonts w:asciiTheme="majorHAnsi" w:hAnsiTheme="majorHAnsi" w:cstheme="majorHAnsi"/>
          <w:color w:val="000000" w:themeColor="text1"/>
        </w:rPr>
        <w:t>but only</w:t>
      </w:r>
      <w:r w:rsidRPr="004C2442">
        <w:rPr>
          <w:rFonts w:asciiTheme="majorHAnsi" w:hAnsiTheme="majorHAnsi" w:cstheme="majorHAnsi"/>
          <w:color w:val="000000" w:themeColor="text1"/>
        </w:rPr>
        <w:t xml:space="preserve"> </w:t>
      </w:r>
      <w:r>
        <w:rPr>
          <w:rFonts w:asciiTheme="majorHAnsi" w:hAnsiTheme="majorHAnsi" w:cstheme="majorHAnsi"/>
          <w:color w:val="000000" w:themeColor="text1"/>
        </w:rPr>
        <w:t>six</w:t>
      </w:r>
      <w:r w:rsidRPr="004C2442">
        <w:rPr>
          <w:rFonts w:asciiTheme="majorHAnsi" w:hAnsiTheme="majorHAnsi" w:cstheme="majorHAnsi"/>
          <w:color w:val="000000" w:themeColor="text1"/>
        </w:rPr>
        <w:t xml:space="preserve"> </w:t>
      </w:r>
      <w:r>
        <w:rPr>
          <w:rFonts w:asciiTheme="majorHAnsi" w:hAnsiTheme="majorHAnsi" w:cstheme="majorHAnsi"/>
          <w:color w:val="000000" w:themeColor="text1"/>
        </w:rPr>
        <w:t>per cent</w:t>
      </w:r>
      <w:r w:rsidRPr="004C2442">
        <w:rPr>
          <w:rFonts w:asciiTheme="majorHAnsi" w:hAnsiTheme="majorHAnsi" w:cstheme="majorHAnsi"/>
          <w:color w:val="000000" w:themeColor="text1"/>
        </w:rPr>
        <w:t xml:space="preserve"> said that</w:t>
      </w:r>
      <w:r>
        <w:rPr>
          <w:rFonts w:asciiTheme="majorHAnsi" w:hAnsiTheme="majorHAnsi" w:cstheme="majorHAnsi"/>
          <w:color w:val="000000" w:themeColor="text1"/>
        </w:rPr>
        <w:t xml:space="preserve"> it had</w:t>
      </w:r>
      <w:r w:rsidRPr="004C2442">
        <w:rPr>
          <w:rFonts w:asciiTheme="majorHAnsi" w:hAnsiTheme="majorHAnsi" w:cstheme="majorHAnsi"/>
          <w:color w:val="000000" w:themeColor="text1"/>
        </w:rPr>
        <w:t xml:space="preserve"> “</w:t>
      </w:r>
      <w:r w:rsidRPr="004C2442">
        <w:rPr>
          <w:rFonts w:asciiTheme="majorHAnsi" w:hAnsiTheme="majorHAnsi" w:cstheme="majorHAnsi"/>
          <w:i/>
          <w:iCs/>
          <w:color w:val="000000" w:themeColor="text1"/>
        </w:rPr>
        <w:t>significantly improved</w:t>
      </w:r>
      <w:r w:rsidRPr="004C2442">
        <w:rPr>
          <w:rFonts w:asciiTheme="majorHAnsi" w:hAnsiTheme="majorHAnsi" w:cstheme="majorHAnsi"/>
          <w:color w:val="000000" w:themeColor="text1"/>
        </w:rPr>
        <w:t xml:space="preserve">”. </w:t>
      </w:r>
      <w:r>
        <w:rPr>
          <w:rFonts w:asciiTheme="majorHAnsi" w:hAnsiTheme="majorHAnsi" w:cstheme="majorHAnsi"/>
          <w:color w:val="000000" w:themeColor="text1"/>
        </w:rPr>
        <w:t>Moreover</w:t>
      </w:r>
      <w:r w:rsidRPr="004C2442">
        <w:rPr>
          <w:rFonts w:asciiTheme="majorHAnsi" w:hAnsiTheme="majorHAnsi" w:cstheme="majorHAnsi"/>
          <w:color w:val="000000" w:themeColor="text1"/>
        </w:rPr>
        <w:t xml:space="preserve">, 33 </w:t>
      </w:r>
      <w:r>
        <w:rPr>
          <w:rFonts w:asciiTheme="majorHAnsi" w:hAnsiTheme="majorHAnsi" w:cstheme="majorHAnsi"/>
          <w:color w:val="000000" w:themeColor="text1"/>
        </w:rPr>
        <w:t>per cent</w:t>
      </w:r>
      <w:r w:rsidRPr="004C2442">
        <w:rPr>
          <w:rFonts w:asciiTheme="majorHAnsi" w:hAnsiTheme="majorHAnsi" w:cstheme="majorHAnsi"/>
          <w:color w:val="000000" w:themeColor="text1"/>
        </w:rPr>
        <w:t xml:space="preserve"> of </w:t>
      </w:r>
      <w:r>
        <w:rPr>
          <w:rFonts w:asciiTheme="majorHAnsi" w:hAnsiTheme="majorHAnsi" w:cstheme="majorHAnsi"/>
          <w:color w:val="000000" w:themeColor="text1"/>
        </w:rPr>
        <w:t>principals</w:t>
      </w:r>
      <w:r w:rsidRPr="004C2442">
        <w:rPr>
          <w:rFonts w:asciiTheme="majorHAnsi" w:hAnsiTheme="majorHAnsi" w:cstheme="majorHAnsi"/>
          <w:color w:val="000000" w:themeColor="text1"/>
        </w:rPr>
        <w:t xml:space="preserve"> said that </w:t>
      </w:r>
      <w:r>
        <w:rPr>
          <w:rFonts w:asciiTheme="majorHAnsi" w:hAnsiTheme="majorHAnsi" w:cstheme="majorHAnsi"/>
          <w:color w:val="000000" w:themeColor="text1"/>
        </w:rPr>
        <w:t xml:space="preserve">during the same period, </w:t>
      </w:r>
      <w:r w:rsidRPr="004C2442">
        <w:rPr>
          <w:rFonts w:asciiTheme="majorHAnsi" w:hAnsiTheme="majorHAnsi" w:cstheme="majorHAnsi"/>
          <w:color w:val="000000" w:themeColor="text1"/>
        </w:rPr>
        <w:t>“</w:t>
      </w:r>
      <w:r>
        <w:rPr>
          <w:rFonts w:asciiTheme="majorHAnsi" w:hAnsiTheme="majorHAnsi" w:cstheme="majorHAnsi"/>
          <w:i/>
          <w:iCs/>
          <w:color w:val="000000" w:themeColor="text1"/>
        </w:rPr>
        <w:t>…</w:t>
      </w:r>
      <w:r w:rsidRPr="004C2442">
        <w:rPr>
          <w:rFonts w:asciiTheme="majorHAnsi" w:hAnsiTheme="majorHAnsi" w:cstheme="majorHAnsi"/>
          <w:i/>
          <w:iCs/>
          <w:color w:val="000000" w:themeColor="text1"/>
        </w:rPr>
        <w:t xml:space="preserve"> decentrali</w:t>
      </w:r>
      <w:r>
        <w:rPr>
          <w:rFonts w:asciiTheme="majorHAnsi" w:hAnsiTheme="majorHAnsi" w:cstheme="majorHAnsi"/>
          <w:i/>
          <w:iCs/>
          <w:color w:val="000000" w:themeColor="text1"/>
        </w:rPr>
        <w:t>s</w:t>
      </w:r>
      <w:r w:rsidRPr="004C2442">
        <w:rPr>
          <w:rFonts w:asciiTheme="majorHAnsi" w:hAnsiTheme="majorHAnsi" w:cstheme="majorHAnsi"/>
          <w:i/>
          <w:iCs/>
          <w:color w:val="000000" w:themeColor="text1"/>
        </w:rPr>
        <w:t xml:space="preserve">ation of accountability in </w:t>
      </w:r>
      <w:r>
        <w:rPr>
          <w:rFonts w:asciiTheme="majorHAnsi" w:hAnsiTheme="majorHAnsi" w:cstheme="majorHAnsi"/>
          <w:i/>
          <w:iCs/>
          <w:color w:val="000000" w:themeColor="text1"/>
        </w:rPr>
        <w:t>DEPED</w:t>
      </w:r>
      <w:r w:rsidRPr="004C2442">
        <w:rPr>
          <w:rFonts w:asciiTheme="majorHAnsi" w:hAnsiTheme="majorHAnsi" w:cstheme="majorHAnsi"/>
          <w:i/>
          <w:iCs/>
          <w:color w:val="000000" w:themeColor="text1"/>
        </w:rPr>
        <w:t xml:space="preserve"> improved</w:t>
      </w:r>
      <w:r w:rsidRPr="004C2442">
        <w:rPr>
          <w:rFonts w:asciiTheme="majorHAnsi" w:hAnsiTheme="majorHAnsi" w:cstheme="majorHAnsi"/>
          <w:color w:val="000000" w:themeColor="text1"/>
        </w:rPr>
        <w:t xml:space="preserve">” </w:t>
      </w:r>
      <w:r>
        <w:rPr>
          <w:rFonts w:asciiTheme="majorHAnsi" w:hAnsiTheme="majorHAnsi" w:cstheme="majorHAnsi"/>
          <w:color w:val="000000" w:themeColor="text1"/>
        </w:rPr>
        <w:t>yet only</w:t>
      </w:r>
      <w:r w:rsidRPr="004C2442">
        <w:rPr>
          <w:rFonts w:asciiTheme="majorHAnsi" w:hAnsiTheme="majorHAnsi" w:cstheme="majorHAnsi"/>
          <w:color w:val="000000" w:themeColor="text1"/>
        </w:rPr>
        <w:t xml:space="preserve"> 10 </w:t>
      </w:r>
      <w:r>
        <w:rPr>
          <w:rFonts w:asciiTheme="majorHAnsi" w:hAnsiTheme="majorHAnsi" w:cstheme="majorHAnsi"/>
          <w:color w:val="000000" w:themeColor="text1"/>
        </w:rPr>
        <w:t>per cent</w:t>
      </w:r>
      <w:r w:rsidRPr="004C2442">
        <w:rPr>
          <w:rFonts w:asciiTheme="majorHAnsi" w:hAnsiTheme="majorHAnsi" w:cstheme="majorHAnsi"/>
          <w:color w:val="000000" w:themeColor="text1"/>
        </w:rPr>
        <w:t xml:space="preserve"> said that </w:t>
      </w:r>
      <w:r>
        <w:rPr>
          <w:rFonts w:asciiTheme="majorHAnsi" w:hAnsiTheme="majorHAnsi" w:cstheme="majorHAnsi"/>
          <w:color w:val="000000" w:themeColor="text1"/>
        </w:rPr>
        <w:t>it had</w:t>
      </w:r>
      <w:r w:rsidRPr="004C2442">
        <w:rPr>
          <w:rFonts w:asciiTheme="majorHAnsi" w:hAnsiTheme="majorHAnsi" w:cstheme="majorHAnsi"/>
          <w:color w:val="000000" w:themeColor="text1"/>
        </w:rPr>
        <w:t xml:space="preserve"> “</w:t>
      </w:r>
      <w:r w:rsidRPr="004C2442">
        <w:rPr>
          <w:rFonts w:asciiTheme="majorHAnsi" w:hAnsiTheme="majorHAnsi" w:cstheme="majorHAnsi"/>
          <w:i/>
          <w:iCs/>
          <w:color w:val="000000" w:themeColor="text1"/>
        </w:rPr>
        <w:t>significantly improved</w:t>
      </w:r>
      <w:r w:rsidRPr="004C2442">
        <w:rPr>
          <w:rFonts w:asciiTheme="majorHAnsi" w:hAnsiTheme="majorHAnsi" w:cstheme="majorHAnsi"/>
          <w:color w:val="000000" w:themeColor="text1"/>
        </w:rPr>
        <w:t>”.</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In all, less than half of principals surveyed had positive experiences of decentralisation in their schools.</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These reflections from principals suggests low to moderate contributions of the BEST Program in strengthening field level </w:t>
      </w:r>
      <w:r w:rsidRPr="004C2442">
        <w:rPr>
          <w:rFonts w:asciiTheme="majorHAnsi" w:hAnsiTheme="majorHAnsi" w:cstheme="majorHAnsi"/>
          <w:color w:val="000000" w:themeColor="text1"/>
        </w:rPr>
        <w:t>decentrali</w:t>
      </w:r>
      <w:r>
        <w:rPr>
          <w:rFonts w:asciiTheme="majorHAnsi" w:hAnsiTheme="majorHAnsi" w:cstheme="majorHAnsi"/>
          <w:color w:val="000000" w:themeColor="text1"/>
        </w:rPr>
        <w:t>s</w:t>
      </w:r>
      <w:r w:rsidRPr="004C2442">
        <w:rPr>
          <w:rFonts w:asciiTheme="majorHAnsi" w:hAnsiTheme="majorHAnsi" w:cstheme="majorHAnsi"/>
          <w:color w:val="000000" w:themeColor="text1"/>
        </w:rPr>
        <w:t xml:space="preserve">ation. </w:t>
      </w:r>
    </w:p>
    <w:p w14:paraId="21A12E29" w14:textId="77777777" w:rsidR="008D0CAD" w:rsidRPr="00D8184A" w:rsidRDefault="008D0CAD" w:rsidP="00B31C4E">
      <w:pPr>
        <w:spacing w:before="100" w:beforeAutospacing="1" w:after="100" w:afterAutospacing="1" w:line="360" w:lineRule="auto"/>
        <w:rPr>
          <w:rFonts w:asciiTheme="majorHAnsi" w:hAnsiTheme="majorHAnsi" w:cstheme="majorHAnsi"/>
        </w:rPr>
      </w:pPr>
      <w:r w:rsidRPr="00D8184A">
        <w:rPr>
          <w:rFonts w:asciiTheme="majorHAnsi" w:hAnsiTheme="majorHAnsi" w:cstheme="majorHAnsi"/>
          <w:color w:val="000000" w:themeColor="text1"/>
        </w:rPr>
        <w:t>I</w:t>
      </w:r>
      <w:r>
        <w:rPr>
          <w:rFonts w:asciiTheme="majorHAnsi" w:hAnsiTheme="majorHAnsi" w:cstheme="majorHAnsi"/>
          <w:color w:val="000000" w:themeColor="text1"/>
        </w:rPr>
        <w:t>t should be noted that, i</w:t>
      </w:r>
      <w:r w:rsidRPr="00D8184A">
        <w:rPr>
          <w:rFonts w:asciiTheme="majorHAnsi" w:hAnsiTheme="majorHAnsi" w:cstheme="majorHAnsi"/>
          <w:color w:val="000000" w:themeColor="text1"/>
        </w:rPr>
        <w:t xml:space="preserve">n the Main Study, greater </w:t>
      </w:r>
      <w:r w:rsidRPr="00D8184A">
        <w:rPr>
          <w:rFonts w:asciiTheme="majorHAnsi" w:hAnsiTheme="majorHAnsi" w:cstheme="majorHAnsi"/>
        </w:rPr>
        <w:t>decentrali</w:t>
      </w:r>
      <w:r>
        <w:rPr>
          <w:rFonts w:asciiTheme="majorHAnsi" w:hAnsiTheme="majorHAnsi" w:cstheme="majorHAnsi"/>
        </w:rPr>
        <w:t>s</w:t>
      </w:r>
      <w:r w:rsidRPr="00D8184A">
        <w:rPr>
          <w:rFonts w:asciiTheme="majorHAnsi" w:hAnsiTheme="majorHAnsi" w:cstheme="majorHAnsi"/>
        </w:rPr>
        <w:t>ation of management and accountability to the school</w:t>
      </w:r>
      <w:r>
        <w:rPr>
          <w:rFonts w:asciiTheme="majorHAnsi" w:hAnsiTheme="majorHAnsi" w:cstheme="majorHAnsi"/>
        </w:rPr>
        <w:t xml:space="preserve"> level</w:t>
      </w:r>
      <w:r w:rsidRPr="00D8184A">
        <w:rPr>
          <w:rFonts w:asciiTheme="majorHAnsi" w:hAnsiTheme="majorHAnsi" w:cstheme="majorHAnsi"/>
        </w:rPr>
        <w:t xml:space="preserve"> </w:t>
      </w:r>
      <w:r>
        <w:rPr>
          <w:rFonts w:asciiTheme="majorHAnsi" w:hAnsiTheme="majorHAnsi" w:cstheme="majorHAnsi"/>
        </w:rPr>
        <w:t>was</w:t>
      </w:r>
      <w:r w:rsidRPr="00D8184A">
        <w:rPr>
          <w:rFonts w:asciiTheme="majorHAnsi" w:hAnsiTheme="majorHAnsi" w:cstheme="majorHAnsi"/>
        </w:rPr>
        <w:t xml:space="preserve"> </w:t>
      </w:r>
      <w:r>
        <w:rPr>
          <w:rFonts w:asciiTheme="majorHAnsi" w:hAnsiTheme="majorHAnsi" w:cstheme="majorHAnsi"/>
        </w:rPr>
        <w:t>primarily</w:t>
      </w:r>
      <w:r w:rsidRPr="00D8184A">
        <w:rPr>
          <w:rFonts w:asciiTheme="majorHAnsi" w:hAnsiTheme="majorHAnsi" w:cstheme="majorHAnsi"/>
        </w:rPr>
        <w:t xml:space="preserve"> associated by </w:t>
      </w:r>
      <w:r>
        <w:rPr>
          <w:rFonts w:asciiTheme="majorHAnsi" w:hAnsiTheme="majorHAnsi" w:cstheme="majorHAnsi"/>
        </w:rPr>
        <w:t>principals</w:t>
      </w:r>
      <w:r w:rsidRPr="00D8184A">
        <w:rPr>
          <w:rFonts w:asciiTheme="majorHAnsi" w:hAnsiTheme="majorHAnsi" w:cstheme="majorHAnsi"/>
        </w:rPr>
        <w:t xml:space="preserve"> with the transfer of certain decision-making </w:t>
      </w:r>
      <w:r>
        <w:rPr>
          <w:rFonts w:asciiTheme="majorHAnsi" w:hAnsiTheme="majorHAnsi" w:cstheme="majorHAnsi"/>
        </w:rPr>
        <w:t xml:space="preserve">functions </w:t>
      </w:r>
      <w:r w:rsidRPr="00D8184A">
        <w:rPr>
          <w:rFonts w:asciiTheme="majorHAnsi" w:hAnsiTheme="majorHAnsi" w:cstheme="majorHAnsi"/>
        </w:rPr>
        <w:t xml:space="preserve">from CO/RO/DO </w:t>
      </w:r>
      <w:r w:rsidRPr="00470E01">
        <w:rPr>
          <w:rFonts w:asciiTheme="majorHAnsi" w:hAnsiTheme="majorHAnsi" w:cstheme="majorHAnsi"/>
          <w:color w:val="000000"/>
        </w:rPr>
        <w:t xml:space="preserve">to </w:t>
      </w:r>
      <w:r w:rsidRPr="00D8184A">
        <w:rPr>
          <w:rFonts w:asciiTheme="majorHAnsi" w:hAnsiTheme="majorHAnsi" w:cstheme="majorHAnsi"/>
          <w:color w:val="000000"/>
        </w:rPr>
        <w:t xml:space="preserve">schools to </w:t>
      </w:r>
      <w:r w:rsidRPr="00470E01">
        <w:rPr>
          <w:rFonts w:asciiTheme="majorHAnsi" w:hAnsiTheme="majorHAnsi" w:cstheme="majorHAnsi"/>
          <w:color w:val="000000"/>
        </w:rPr>
        <w:t>enable them to respond better</w:t>
      </w:r>
      <w:r w:rsidRPr="00D8184A">
        <w:rPr>
          <w:rFonts w:asciiTheme="majorHAnsi" w:hAnsiTheme="majorHAnsi" w:cstheme="majorHAnsi"/>
          <w:color w:val="000000"/>
        </w:rPr>
        <w:t xml:space="preserve"> </w:t>
      </w:r>
      <w:r w:rsidRPr="00470E01">
        <w:rPr>
          <w:rFonts w:asciiTheme="majorHAnsi" w:hAnsiTheme="majorHAnsi" w:cstheme="majorHAnsi"/>
          <w:color w:val="000000"/>
        </w:rPr>
        <w:t>to specific education needs</w:t>
      </w:r>
      <w:r w:rsidRPr="00D8184A">
        <w:rPr>
          <w:rFonts w:asciiTheme="majorHAnsi" w:hAnsiTheme="majorHAnsi" w:cstheme="majorHAnsi"/>
          <w:color w:val="000000"/>
        </w:rPr>
        <w:t xml:space="preserve">. </w:t>
      </w:r>
      <w:r>
        <w:rPr>
          <w:rFonts w:asciiTheme="majorHAnsi" w:hAnsiTheme="majorHAnsi" w:cstheme="majorHAnsi"/>
          <w:color w:val="000000"/>
        </w:rPr>
        <w:t>However, these</w:t>
      </w:r>
      <w:r w:rsidRPr="00D8184A">
        <w:rPr>
          <w:rFonts w:asciiTheme="majorHAnsi" w:hAnsiTheme="majorHAnsi" w:cstheme="majorHAnsi"/>
          <w:color w:val="000000"/>
        </w:rPr>
        <w:t xml:space="preserve"> </w:t>
      </w:r>
      <w:r>
        <w:rPr>
          <w:rFonts w:asciiTheme="majorHAnsi" w:hAnsiTheme="majorHAnsi" w:cstheme="majorHAnsi"/>
          <w:color w:val="000000"/>
        </w:rPr>
        <w:t>were not necessarily</w:t>
      </w:r>
      <w:r w:rsidRPr="00D8184A">
        <w:rPr>
          <w:rFonts w:asciiTheme="majorHAnsi" w:hAnsiTheme="majorHAnsi" w:cstheme="majorHAnsi"/>
          <w:color w:val="000000"/>
        </w:rPr>
        <w:t xml:space="preserve"> accompanied by </w:t>
      </w:r>
      <w:r w:rsidRPr="00470E01">
        <w:rPr>
          <w:rFonts w:asciiTheme="majorHAnsi" w:hAnsiTheme="majorHAnsi" w:cstheme="majorHAnsi"/>
          <w:color w:val="000000"/>
        </w:rPr>
        <w:t>decentrali</w:t>
      </w:r>
      <w:r>
        <w:rPr>
          <w:rFonts w:asciiTheme="majorHAnsi" w:hAnsiTheme="majorHAnsi" w:cstheme="majorHAnsi"/>
          <w:color w:val="000000"/>
        </w:rPr>
        <w:t>s</w:t>
      </w:r>
      <w:r w:rsidRPr="00470E01">
        <w:rPr>
          <w:rFonts w:asciiTheme="majorHAnsi" w:hAnsiTheme="majorHAnsi" w:cstheme="majorHAnsi"/>
          <w:color w:val="000000"/>
        </w:rPr>
        <w:t xml:space="preserve">ation of </w:t>
      </w:r>
      <w:r>
        <w:rPr>
          <w:rFonts w:asciiTheme="majorHAnsi" w:hAnsiTheme="majorHAnsi" w:cstheme="majorHAnsi"/>
          <w:color w:val="000000"/>
        </w:rPr>
        <w:t xml:space="preserve">broader </w:t>
      </w:r>
      <w:r w:rsidRPr="00470E01">
        <w:rPr>
          <w:rFonts w:asciiTheme="majorHAnsi" w:hAnsiTheme="majorHAnsi" w:cstheme="majorHAnsi"/>
          <w:color w:val="000000"/>
        </w:rPr>
        <w:t>authority and resources</w:t>
      </w:r>
      <w:r w:rsidRPr="00D8184A">
        <w:rPr>
          <w:rFonts w:asciiTheme="majorHAnsi" w:hAnsiTheme="majorHAnsi" w:cstheme="majorHAnsi"/>
          <w:color w:val="000000"/>
        </w:rPr>
        <w:t>.</w:t>
      </w:r>
    </w:p>
    <w:p w14:paraId="3F749E1B" w14:textId="3510CB01" w:rsidR="008D0CAD" w:rsidRPr="00EB2034" w:rsidRDefault="008D0CAD" w:rsidP="00B31C4E">
      <w:pPr>
        <w:spacing w:before="100" w:beforeAutospacing="1" w:after="100" w:afterAutospacing="1" w:line="360" w:lineRule="auto"/>
        <w:rPr>
          <w:rFonts w:asciiTheme="majorHAnsi" w:hAnsiTheme="majorHAnsi" w:cstheme="majorHAnsi"/>
        </w:rPr>
      </w:pPr>
      <w:r>
        <w:rPr>
          <w:rFonts w:asciiTheme="majorHAnsi" w:hAnsiTheme="majorHAnsi" w:cstheme="majorHAnsi"/>
          <w:color w:val="000000" w:themeColor="text1"/>
        </w:rPr>
        <w:t>However, in the Follow-Up Study, g</w:t>
      </w:r>
      <w:r w:rsidRPr="004D1E8E">
        <w:rPr>
          <w:rFonts w:asciiTheme="majorHAnsi" w:hAnsiTheme="majorHAnsi" w:cstheme="majorHAnsi"/>
          <w:color w:val="000000" w:themeColor="text1"/>
        </w:rPr>
        <w:t xml:space="preserve">reater </w:t>
      </w:r>
      <w:r w:rsidRPr="006F142B">
        <w:rPr>
          <w:rFonts w:asciiTheme="majorHAnsi" w:hAnsiTheme="majorHAnsi" w:cstheme="majorHAnsi"/>
        </w:rPr>
        <w:t>decentrali</w:t>
      </w:r>
      <w:r>
        <w:rPr>
          <w:rFonts w:asciiTheme="majorHAnsi" w:hAnsiTheme="majorHAnsi" w:cstheme="majorHAnsi"/>
        </w:rPr>
        <w:t>s</w:t>
      </w:r>
      <w:r w:rsidRPr="006F142B">
        <w:rPr>
          <w:rFonts w:asciiTheme="majorHAnsi" w:hAnsiTheme="majorHAnsi" w:cstheme="majorHAnsi"/>
        </w:rPr>
        <w:t>ation of management and accountability to school</w:t>
      </w:r>
      <w:r>
        <w:rPr>
          <w:rFonts w:asciiTheme="majorHAnsi" w:hAnsiTheme="majorHAnsi" w:cstheme="majorHAnsi"/>
        </w:rPr>
        <w:t xml:space="preserve"> level was associated by principals and teachers with three themes: the participatory approach to the formulation of School Improvement Plans (SIP); the participation of external stakeholders not only in the formulation of School Improvement Plans but also in school programs; and the use of </w:t>
      </w:r>
      <w:r w:rsidRPr="0017212A">
        <w:rPr>
          <w:rFonts w:asciiTheme="majorHAnsi" w:hAnsiTheme="majorHAnsi" w:cstheme="majorHAnsi"/>
        </w:rPr>
        <w:t>MOOE</w:t>
      </w:r>
      <w:r>
        <w:rPr>
          <w:rFonts w:asciiTheme="majorHAnsi" w:hAnsiTheme="majorHAnsi" w:cstheme="majorHAnsi"/>
        </w:rPr>
        <w:t xml:space="preserve"> (maintenance and other operating expenses) funds.</w:t>
      </w:r>
      <w:r w:rsidR="00D434EB">
        <w:rPr>
          <w:rFonts w:asciiTheme="majorHAnsi" w:hAnsiTheme="majorHAnsi" w:cstheme="majorHAnsi"/>
        </w:rPr>
        <w:t xml:space="preserve"> </w:t>
      </w:r>
      <w:r>
        <w:rPr>
          <w:rFonts w:asciiTheme="majorHAnsi" w:hAnsiTheme="majorHAnsi" w:cstheme="majorHAnsi"/>
        </w:rPr>
        <w:t>Some experiences shared by the principals were:</w:t>
      </w:r>
    </w:p>
    <w:p w14:paraId="77E24906" w14:textId="61DFE106" w:rsidR="008D0CAD" w:rsidRPr="00F62F23" w:rsidRDefault="008D0CAD" w:rsidP="00B31C4E">
      <w:pPr>
        <w:pStyle w:val="ListParagraph"/>
        <w:numPr>
          <w:ilvl w:val="0"/>
          <w:numId w:val="43"/>
        </w:numPr>
        <w:spacing w:before="100" w:beforeAutospacing="1" w:after="100" w:afterAutospacing="1" w:line="360" w:lineRule="auto"/>
        <w:ind w:left="714" w:hanging="357"/>
        <w:contextualSpacing w:val="0"/>
        <w:rPr>
          <w:rFonts w:asciiTheme="majorHAnsi" w:hAnsiTheme="majorHAnsi" w:cstheme="majorHAnsi"/>
        </w:rPr>
      </w:pPr>
      <w:r w:rsidRPr="00F62F23">
        <w:rPr>
          <w:rFonts w:asciiTheme="majorHAnsi" w:hAnsiTheme="majorHAnsi" w:cstheme="majorHAnsi"/>
        </w:rPr>
        <w:t xml:space="preserve">In one school, the </w:t>
      </w:r>
      <w:r>
        <w:rPr>
          <w:rFonts w:asciiTheme="majorHAnsi" w:hAnsiTheme="majorHAnsi" w:cstheme="majorHAnsi"/>
        </w:rPr>
        <w:t xml:space="preserve">principal and </w:t>
      </w:r>
      <w:r w:rsidRPr="00F62F23">
        <w:rPr>
          <w:rFonts w:asciiTheme="majorHAnsi" w:hAnsiTheme="majorHAnsi" w:cstheme="majorHAnsi"/>
        </w:rPr>
        <w:t xml:space="preserve">teachers noted that the most significant effect </w:t>
      </w:r>
      <w:r>
        <w:rPr>
          <w:rFonts w:asciiTheme="majorHAnsi" w:hAnsiTheme="majorHAnsi" w:cstheme="majorHAnsi"/>
        </w:rPr>
        <w:t>they experienced</w:t>
      </w:r>
      <w:r w:rsidRPr="00F62F23">
        <w:rPr>
          <w:rFonts w:asciiTheme="majorHAnsi" w:hAnsiTheme="majorHAnsi" w:cstheme="majorHAnsi"/>
        </w:rPr>
        <w:t xml:space="preserve"> in terms of decentrali</w:t>
      </w:r>
      <w:r>
        <w:rPr>
          <w:rFonts w:asciiTheme="majorHAnsi" w:hAnsiTheme="majorHAnsi" w:cstheme="majorHAnsi"/>
        </w:rPr>
        <w:t>s</w:t>
      </w:r>
      <w:r w:rsidRPr="00F62F23">
        <w:rPr>
          <w:rFonts w:asciiTheme="majorHAnsi" w:hAnsiTheme="majorHAnsi" w:cstheme="majorHAnsi"/>
        </w:rPr>
        <w:t xml:space="preserve">ation </w:t>
      </w:r>
      <w:r>
        <w:rPr>
          <w:rFonts w:asciiTheme="majorHAnsi" w:hAnsiTheme="majorHAnsi" w:cstheme="majorHAnsi"/>
        </w:rPr>
        <w:t>was</w:t>
      </w:r>
      <w:r w:rsidRPr="00F62F23">
        <w:rPr>
          <w:rFonts w:asciiTheme="majorHAnsi" w:hAnsiTheme="majorHAnsi" w:cstheme="majorHAnsi"/>
        </w:rPr>
        <w:t xml:space="preserve"> their participation in the formulation of their School Improvement Plan (SIP).</w:t>
      </w:r>
      <w:r w:rsidR="00D434EB">
        <w:rPr>
          <w:rFonts w:asciiTheme="majorHAnsi" w:hAnsiTheme="majorHAnsi" w:cstheme="majorHAnsi"/>
        </w:rPr>
        <w:t xml:space="preserve"> </w:t>
      </w:r>
      <w:r w:rsidRPr="00F62F23">
        <w:rPr>
          <w:rFonts w:asciiTheme="majorHAnsi" w:hAnsiTheme="majorHAnsi" w:cstheme="majorHAnsi"/>
        </w:rPr>
        <w:t xml:space="preserve">In the past, </w:t>
      </w:r>
      <w:r>
        <w:rPr>
          <w:rFonts w:asciiTheme="majorHAnsi" w:hAnsiTheme="majorHAnsi" w:cstheme="majorHAnsi"/>
        </w:rPr>
        <w:t>a</w:t>
      </w:r>
      <w:r w:rsidRPr="00F62F23">
        <w:rPr>
          <w:rFonts w:asciiTheme="majorHAnsi" w:hAnsiTheme="majorHAnsi" w:cstheme="majorHAnsi"/>
        </w:rPr>
        <w:t xml:space="preserve"> </w:t>
      </w:r>
      <w:r>
        <w:rPr>
          <w:rFonts w:asciiTheme="majorHAnsi" w:hAnsiTheme="majorHAnsi" w:cstheme="majorHAnsi"/>
        </w:rPr>
        <w:t>principal</w:t>
      </w:r>
      <w:r w:rsidRPr="00F62F23">
        <w:rPr>
          <w:rFonts w:asciiTheme="majorHAnsi" w:hAnsiTheme="majorHAnsi" w:cstheme="majorHAnsi"/>
        </w:rPr>
        <w:t xml:space="preserve">/School Head and his/her select few </w:t>
      </w:r>
      <w:r>
        <w:rPr>
          <w:rFonts w:asciiTheme="majorHAnsi" w:hAnsiTheme="majorHAnsi" w:cstheme="majorHAnsi"/>
        </w:rPr>
        <w:t>normally took</w:t>
      </w:r>
      <w:r w:rsidRPr="00F62F23">
        <w:rPr>
          <w:rFonts w:asciiTheme="majorHAnsi" w:hAnsiTheme="majorHAnsi" w:cstheme="majorHAnsi"/>
        </w:rPr>
        <w:t xml:space="preserve"> charge </w:t>
      </w:r>
      <w:r>
        <w:rPr>
          <w:rFonts w:asciiTheme="majorHAnsi" w:hAnsiTheme="majorHAnsi" w:cstheme="majorHAnsi"/>
        </w:rPr>
        <w:t>of</w:t>
      </w:r>
      <w:r w:rsidRPr="00F62F23">
        <w:rPr>
          <w:rFonts w:asciiTheme="majorHAnsi" w:hAnsiTheme="majorHAnsi" w:cstheme="majorHAnsi"/>
        </w:rPr>
        <w:t xml:space="preserve"> developing the </w:t>
      </w:r>
      <w:r>
        <w:rPr>
          <w:rFonts w:asciiTheme="majorHAnsi" w:hAnsiTheme="majorHAnsi" w:cstheme="majorHAnsi"/>
        </w:rPr>
        <w:t>SIPs</w:t>
      </w:r>
      <w:r w:rsidRPr="00F62F23">
        <w:rPr>
          <w:rFonts w:asciiTheme="majorHAnsi" w:hAnsiTheme="majorHAnsi" w:cstheme="majorHAnsi"/>
        </w:rPr>
        <w:t>.</w:t>
      </w:r>
      <w:r w:rsidR="00D434EB">
        <w:rPr>
          <w:rFonts w:asciiTheme="majorHAnsi" w:hAnsiTheme="majorHAnsi" w:cstheme="majorHAnsi"/>
        </w:rPr>
        <w:t xml:space="preserve"> </w:t>
      </w:r>
      <w:r w:rsidRPr="00F62F23">
        <w:rPr>
          <w:rFonts w:asciiTheme="majorHAnsi" w:hAnsiTheme="majorHAnsi" w:cstheme="majorHAnsi"/>
        </w:rPr>
        <w:t>In their recent</w:t>
      </w:r>
      <w:r>
        <w:rPr>
          <w:rFonts w:asciiTheme="majorHAnsi" w:hAnsiTheme="majorHAnsi" w:cstheme="majorHAnsi"/>
        </w:rPr>
        <w:t>ly developed</w:t>
      </w:r>
      <w:r w:rsidRPr="00F62F23">
        <w:rPr>
          <w:rFonts w:asciiTheme="majorHAnsi" w:hAnsiTheme="majorHAnsi" w:cstheme="majorHAnsi"/>
        </w:rPr>
        <w:t xml:space="preserve"> SIP, </w:t>
      </w:r>
      <w:r>
        <w:rPr>
          <w:rFonts w:asciiTheme="majorHAnsi" w:hAnsiTheme="majorHAnsi" w:cstheme="majorHAnsi"/>
        </w:rPr>
        <w:t xml:space="preserve">however, </w:t>
      </w:r>
      <w:r w:rsidRPr="00F62F23">
        <w:rPr>
          <w:rFonts w:asciiTheme="majorHAnsi" w:hAnsiTheme="majorHAnsi" w:cstheme="majorHAnsi"/>
        </w:rPr>
        <w:t xml:space="preserve">there </w:t>
      </w:r>
      <w:r>
        <w:rPr>
          <w:rFonts w:asciiTheme="majorHAnsi" w:hAnsiTheme="majorHAnsi" w:cstheme="majorHAnsi"/>
        </w:rPr>
        <w:t>was</w:t>
      </w:r>
      <w:r w:rsidRPr="00F62F23">
        <w:rPr>
          <w:rFonts w:asciiTheme="majorHAnsi" w:hAnsiTheme="majorHAnsi" w:cstheme="majorHAnsi"/>
        </w:rPr>
        <w:t xml:space="preserve"> wider participation among </w:t>
      </w:r>
      <w:r w:rsidRPr="00FA449D">
        <w:rPr>
          <w:rFonts w:asciiTheme="majorHAnsi" w:hAnsiTheme="majorHAnsi" w:cstheme="majorHAnsi"/>
        </w:rPr>
        <w:t>teachers (not just a few).</w:t>
      </w:r>
      <w:r w:rsidR="00D434EB">
        <w:rPr>
          <w:rFonts w:asciiTheme="majorHAnsi" w:hAnsiTheme="majorHAnsi" w:cstheme="majorHAnsi"/>
        </w:rPr>
        <w:t xml:space="preserve"> </w:t>
      </w:r>
      <w:r w:rsidRPr="00FA449D">
        <w:rPr>
          <w:rFonts w:asciiTheme="majorHAnsi" w:hAnsiTheme="majorHAnsi" w:cstheme="majorHAnsi"/>
        </w:rPr>
        <w:t>As a result, their programs and budgets were perceived to be “</w:t>
      </w:r>
      <w:r w:rsidRPr="00FA449D">
        <w:rPr>
          <w:rFonts w:asciiTheme="majorHAnsi" w:hAnsiTheme="majorHAnsi" w:cstheme="majorHAnsi"/>
          <w:i/>
        </w:rPr>
        <w:t>more realistic</w:t>
      </w:r>
      <w:r w:rsidRPr="00FA449D">
        <w:rPr>
          <w:rFonts w:asciiTheme="majorHAnsi" w:hAnsiTheme="majorHAnsi" w:cstheme="majorHAnsi"/>
        </w:rPr>
        <w:t>” and attainment of their targets was “</w:t>
      </w:r>
      <w:r w:rsidRPr="00FA449D">
        <w:rPr>
          <w:rFonts w:asciiTheme="majorHAnsi" w:hAnsiTheme="majorHAnsi" w:cstheme="majorHAnsi"/>
          <w:i/>
        </w:rPr>
        <w:t>more likely to be achieved</w:t>
      </w:r>
      <w:r w:rsidRPr="00FA449D">
        <w:rPr>
          <w:rFonts w:asciiTheme="majorHAnsi" w:hAnsiTheme="majorHAnsi" w:cstheme="majorHAnsi"/>
        </w:rPr>
        <w:t>” because</w:t>
      </w:r>
      <w:r w:rsidRPr="00F62F23">
        <w:rPr>
          <w:rFonts w:asciiTheme="majorHAnsi" w:hAnsiTheme="majorHAnsi" w:cstheme="majorHAnsi"/>
        </w:rPr>
        <w:t xml:space="preserve"> </w:t>
      </w:r>
      <w:r>
        <w:rPr>
          <w:rFonts w:asciiTheme="majorHAnsi" w:hAnsiTheme="majorHAnsi" w:cstheme="majorHAnsi"/>
        </w:rPr>
        <w:t>ownership was high</w:t>
      </w:r>
      <w:r w:rsidRPr="00F62F23">
        <w:rPr>
          <w:rFonts w:asciiTheme="majorHAnsi" w:hAnsiTheme="majorHAnsi" w:cstheme="majorHAnsi"/>
        </w:rPr>
        <w:t>.</w:t>
      </w:r>
    </w:p>
    <w:p w14:paraId="3F185581" w14:textId="0A22EB68" w:rsidR="008D0CAD" w:rsidRPr="00F62F23" w:rsidRDefault="008D0CAD" w:rsidP="00B31C4E">
      <w:pPr>
        <w:pStyle w:val="ListParagraph"/>
        <w:numPr>
          <w:ilvl w:val="0"/>
          <w:numId w:val="43"/>
        </w:numPr>
        <w:spacing w:before="100" w:beforeAutospacing="1" w:after="100" w:afterAutospacing="1" w:line="360" w:lineRule="auto"/>
        <w:ind w:left="714" w:hanging="357"/>
        <w:contextualSpacing w:val="0"/>
        <w:rPr>
          <w:rFonts w:asciiTheme="majorHAnsi" w:hAnsiTheme="majorHAnsi" w:cstheme="majorHAnsi"/>
        </w:rPr>
      </w:pPr>
      <w:r w:rsidRPr="00F62F23">
        <w:rPr>
          <w:rFonts w:asciiTheme="majorHAnsi" w:hAnsiTheme="majorHAnsi" w:cstheme="majorHAnsi"/>
        </w:rPr>
        <w:t>In another school, decentrali</w:t>
      </w:r>
      <w:r>
        <w:rPr>
          <w:rFonts w:asciiTheme="majorHAnsi" w:hAnsiTheme="majorHAnsi" w:cstheme="majorHAnsi"/>
        </w:rPr>
        <w:t>s</w:t>
      </w:r>
      <w:r w:rsidRPr="00F62F23">
        <w:rPr>
          <w:rFonts w:asciiTheme="majorHAnsi" w:hAnsiTheme="majorHAnsi" w:cstheme="majorHAnsi"/>
        </w:rPr>
        <w:t>ation was associated with more freedom in the use of their MOOE.</w:t>
      </w:r>
      <w:r w:rsidR="00D434EB">
        <w:rPr>
          <w:rFonts w:asciiTheme="majorHAnsi" w:hAnsiTheme="majorHAnsi" w:cstheme="majorHAnsi"/>
        </w:rPr>
        <w:t xml:space="preserve"> </w:t>
      </w:r>
      <w:r w:rsidRPr="00F62F23">
        <w:rPr>
          <w:rFonts w:asciiTheme="majorHAnsi" w:hAnsiTheme="majorHAnsi" w:cstheme="majorHAnsi"/>
        </w:rPr>
        <w:t xml:space="preserve">Schools </w:t>
      </w:r>
      <w:r>
        <w:rPr>
          <w:rFonts w:asciiTheme="majorHAnsi" w:hAnsiTheme="majorHAnsi" w:cstheme="majorHAnsi"/>
        </w:rPr>
        <w:t>could</w:t>
      </w:r>
      <w:r w:rsidRPr="00F62F23">
        <w:rPr>
          <w:rFonts w:asciiTheme="majorHAnsi" w:hAnsiTheme="majorHAnsi" w:cstheme="majorHAnsi"/>
        </w:rPr>
        <w:t xml:space="preserve"> make decisions on how their MOOE </w:t>
      </w:r>
      <w:r>
        <w:rPr>
          <w:rFonts w:asciiTheme="majorHAnsi" w:hAnsiTheme="majorHAnsi" w:cstheme="majorHAnsi"/>
        </w:rPr>
        <w:t>was</w:t>
      </w:r>
      <w:r w:rsidRPr="00F62F23">
        <w:rPr>
          <w:rFonts w:asciiTheme="majorHAnsi" w:hAnsiTheme="majorHAnsi" w:cstheme="majorHAnsi"/>
        </w:rPr>
        <w:t xml:space="preserve"> allocated </w:t>
      </w:r>
      <w:r>
        <w:rPr>
          <w:rFonts w:asciiTheme="majorHAnsi" w:hAnsiTheme="majorHAnsi" w:cstheme="majorHAnsi"/>
        </w:rPr>
        <w:t xml:space="preserve">based on their priorities </w:t>
      </w:r>
      <w:r w:rsidRPr="00F62F23">
        <w:rPr>
          <w:rFonts w:asciiTheme="majorHAnsi" w:hAnsiTheme="majorHAnsi" w:cstheme="majorHAnsi"/>
        </w:rPr>
        <w:t xml:space="preserve">and thus </w:t>
      </w:r>
      <w:r>
        <w:rPr>
          <w:rFonts w:asciiTheme="majorHAnsi" w:hAnsiTheme="majorHAnsi" w:cstheme="majorHAnsi"/>
        </w:rPr>
        <w:t xml:space="preserve">be </w:t>
      </w:r>
      <w:r w:rsidRPr="00F62F23">
        <w:rPr>
          <w:rFonts w:asciiTheme="majorHAnsi" w:hAnsiTheme="majorHAnsi" w:cstheme="majorHAnsi"/>
        </w:rPr>
        <w:t>expended without having to wait for approval from top management.</w:t>
      </w:r>
      <w:r w:rsidR="00D434EB">
        <w:rPr>
          <w:rFonts w:asciiTheme="majorHAnsi" w:hAnsiTheme="majorHAnsi" w:cstheme="majorHAnsi"/>
        </w:rPr>
        <w:t xml:space="preserve"> </w:t>
      </w:r>
      <w:r w:rsidRPr="00F62F23">
        <w:rPr>
          <w:rFonts w:asciiTheme="majorHAnsi" w:hAnsiTheme="majorHAnsi" w:cstheme="majorHAnsi"/>
        </w:rPr>
        <w:t xml:space="preserve">This </w:t>
      </w:r>
      <w:r>
        <w:rPr>
          <w:rFonts w:asciiTheme="majorHAnsi" w:hAnsiTheme="majorHAnsi" w:cstheme="majorHAnsi"/>
        </w:rPr>
        <w:t>was</w:t>
      </w:r>
      <w:r w:rsidRPr="00F62F23">
        <w:rPr>
          <w:rFonts w:asciiTheme="majorHAnsi" w:hAnsiTheme="majorHAnsi" w:cstheme="majorHAnsi"/>
        </w:rPr>
        <w:t xml:space="preserve"> also true </w:t>
      </w:r>
      <w:r>
        <w:rPr>
          <w:rFonts w:asciiTheme="majorHAnsi" w:hAnsiTheme="majorHAnsi" w:cstheme="majorHAnsi"/>
        </w:rPr>
        <w:t>in the case of</w:t>
      </w:r>
      <w:r w:rsidRPr="00F62F23">
        <w:rPr>
          <w:rFonts w:asciiTheme="majorHAnsi" w:hAnsiTheme="majorHAnsi" w:cstheme="majorHAnsi"/>
        </w:rPr>
        <w:t xml:space="preserve"> their procurement needs.</w:t>
      </w:r>
      <w:r w:rsidR="00D434EB">
        <w:rPr>
          <w:rFonts w:asciiTheme="majorHAnsi" w:hAnsiTheme="majorHAnsi" w:cstheme="majorHAnsi"/>
        </w:rPr>
        <w:t xml:space="preserve"> </w:t>
      </w:r>
      <w:r w:rsidRPr="00F62F23">
        <w:rPr>
          <w:rFonts w:asciiTheme="majorHAnsi" w:hAnsiTheme="majorHAnsi" w:cstheme="majorHAnsi"/>
        </w:rPr>
        <w:t xml:space="preserve">With ease in the use of their funds, they </w:t>
      </w:r>
      <w:r>
        <w:rPr>
          <w:rFonts w:asciiTheme="majorHAnsi" w:hAnsiTheme="majorHAnsi" w:cstheme="majorHAnsi"/>
        </w:rPr>
        <w:t>felt that they could</w:t>
      </w:r>
      <w:r w:rsidRPr="00F62F23">
        <w:rPr>
          <w:rFonts w:asciiTheme="majorHAnsi" w:hAnsiTheme="majorHAnsi" w:cstheme="majorHAnsi"/>
        </w:rPr>
        <w:t xml:space="preserve"> better implement their programs.</w:t>
      </w:r>
    </w:p>
    <w:p w14:paraId="2395061D" w14:textId="77777777" w:rsidR="008D0CAD" w:rsidRPr="00FA449D" w:rsidRDefault="008D0CAD" w:rsidP="00B31C4E">
      <w:pPr>
        <w:pStyle w:val="ListParagraph"/>
        <w:numPr>
          <w:ilvl w:val="0"/>
          <w:numId w:val="43"/>
        </w:numPr>
        <w:spacing w:before="100" w:beforeAutospacing="1" w:after="100" w:afterAutospacing="1" w:line="360" w:lineRule="auto"/>
        <w:rPr>
          <w:rFonts w:asciiTheme="majorHAnsi" w:hAnsiTheme="majorHAnsi" w:cstheme="majorHAnsi"/>
        </w:rPr>
      </w:pPr>
      <w:r w:rsidRPr="00F62F23">
        <w:rPr>
          <w:rFonts w:asciiTheme="majorHAnsi" w:hAnsiTheme="majorHAnsi" w:cstheme="majorHAnsi"/>
        </w:rPr>
        <w:t>Another key example of decentrali</w:t>
      </w:r>
      <w:r>
        <w:rPr>
          <w:rFonts w:asciiTheme="majorHAnsi" w:hAnsiTheme="majorHAnsi" w:cstheme="majorHAnsi"/>
        </w:rPr>
        <w:t>s</w:t>
      </w:r>
      <w:r w:rsidRPr="00F62F23">
        <w:rPr>
          <w:rFonts w:asciiTheme="majorHAnsi" w:hAnsiTheme="majorHAnsi" w:cstheme="majorHAnsi"/>
        </w:rPr>
        <w:t xml:space="preserve">ation noted by respondents </w:t>
      </w:r>
      <w:r>
        <w:rPr>
          <w:rFonts w:asciiTheme="majorHAnsi" w:hAnsiTheme="majorHAnsi" w:cstheme="majorHAnsi"/>
        </w:rPr>
        <w:t>was</w:t>
      </w:r>
      <w:r w:rsidRPr="00F62F23">
        <w:rPr>
          <w:rFonts w:asciiTheme="majorHAnsi" w:hAnsiTheme="majorHAnsi" w:cstheme="majorHAnsi"/>
        </w:rPr>
        <w:t xml:space="preserve"> that accountability of the </w:t>
      </w:r>
      <w:r>
        <w:rPr>
          <w:rFonts w:asciiTheme="majorHAnsi" w:hAnsiTheme="majorHAnsi" w:cstheme="majorHAnsi"/>
        </w:rPr>
        <w:t>principal</w:t>
      </w:r>
      <w:r w:rsidRPr="00F62F23">
        <w:rPr>
          <w:rFonts w:asciiTheme="majorHAnsi" w:hAnsiTheme="majorHAnsi" w:cstheme="majorHAnsi"/>
        </w:rPr>
        <w:t xml:space="preserve"> and partly the teachers in ensuring that the SIP </w:t>
      </w:r>
      <w:r>
        <w:rPr>
          <w:rFonts w:asciiTheme="majorHAnsi" w:hAnsiTheme="majorHAnsi" w:cstheme="majorHAnsi"/>
        </w:rPr>
        <w:t>was</w:t>
      </w:r>
      <w:r w:rsidRPr="00F62F23">
        <w:rPr>
          <w:rFonts w:asciiTheme="majorHAnsi" w:hAnsiTheme="majorHAnsi" w:cstheme="majorHAnsi"/>
        </w:rPr>
        <w:t xml:space="preserve"> implemented increased </w:t>
      </w:r>
      <w:r>
        <w:rPr>
          <w:rFonts w:asciiTheme="majorHAnsi" w:hAnsiTheme="majorHAnsi" w:cstheme="majorHAnsi"/>
        </w:rPr>
        <w:t>with the active participation of</w:t>
      </w:r>
      <w:r w:rsidRPr="00F62F23">
        <w:rPr>
          <w:rFonts w:asciiTheme="majorHAnsi" w:hAnsiTheme="majorHAnsi" w:cstheme="majorHAnsi"/>
        </w:rPr>
        <w:t xml:space="preserve"> external stakeholders</w:t>
      </w:r>
      <w:r>
        <w:rPr>
          <w:rFonts w:asciiTheme="majorHAnsi" w:hAnsiTheme="majorHAnsi" w:cstheme="majorHAnsi"/>
        </w:rPr>
        <w:t xml:space="preserve">, who got involved in </w:t>
      </w:r>
      <w:r w:rsidRPr="00F62F23">
        <w:rPr>
          <w:rFonts w:asciiTheme="majorHAnsi" w:hAnsiTheme="majorHAnsi" w:cstheme="majorHAnsi"/>
        </w:rPr>
        <w:t>monitor</w:t>
      </w:r>
      <w:r>
        <w:rPr>
          <w:rFonts w:asciiTheme="majorHAnsi" w:hAnsiTheme="majorHAnsi" w:cstheme="majorHAnsi"/>
        </w:rPr>
        <w:t>ing</w:t>
      </w:r>
      <w:r w:rsidRPr="00F62F23">
        <w:rPr>
          <w:rFonts w:asciiTheme="majorHAnsi" w:hAnsiTheme="majorHAnsi" w:cstheme="majorHAnsi"/>
        </w:rPr>
        <w:t xml:space="preserve"> how Plan</w:t>
      </w:r>
      <w:r>
        <w:rPr>
          <w:rFonts w:asciiTheme="majorHAnsi" w:hAnsiTheme="majorHAnsi" w:cstheme="majorHAnsi"/>
        </w:rPr>
        <w:t>s</w:t>
      </w:r>
      <w:r w:rsidRPr="00F62F23">
        <w:rPr>
          <w:rFonts w:asciiTheme="majorHAnsi" w:hAnsiTheme="majorHAnsi" w:cstheme="majorHAnsi"/>
        </w:rPr>
        <w:t xml:space="preserve"> </w:t>
      </w:r>
      <w:r>
        <w:rPr>
          <w:rFonts w:asciiTheme="majorHAnsi" w:hAnsiTheme="majorHAnsi" w:cstheme="majorHAnsi"/>
        </w:rPr>
        <w:t>were</w:t>
      </w:r>
      <w:r w:rsidRPr="00F62F23">
        <w:rPr>
          <w:rFonts w:asciiTheme="majorHAnsi" w:hAnsiTheme="majorHAnsi" w:cstheme="majorHAnsi"/>
        </w:rPr>
        <w:t xml:space="preserve"> executed</w:t>
      </w:r>
      <w:r>
        <w:rPr>
          <w:rFonts w:asciiTheme="majorHAnsi" w:hAnsiTheme="majorHAnsi" w:cstheme="majorHAnsi"/>
        </w:rPr>
        <w:t xml:space="preserve"> and raised questions when execution deviated from the Plans</w:t>
      </w:r>
      <w:r w:rsidRPr="00F62F23">
        <w:rPr>
          <w:rFonts w:asciiTheme="majorHAnsi" w:hAnsiTheme="majorHAnsi" w:cstheme="majorHAnsi"/>
        </w:rPr>
        <w:t>.</w:t>
      </w:r>
    </w:p>
    <w:p w14:paraId="27184E9E" w14:textId="77777777" w:rsidR="008D0CAD" w:rsidRPr="00FA449D" w:rsidRDefault="008D0CAD" w:rsidP="00B31C4E">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color w:val="000000" w:themeColor="text1"/>
        </w:rPr>
        <w:t xml:space="preserve">The difference in perspectives of the two groups of principals may indicate disparities in understanding of the entirety of the concept of </w:t>
      </w:r>
      <w:r w:rsidRPr="006F142B">
        <w:rPr>
          <w:rFonts w:asciiTheme="majorHAnsi" w:hAnsiTheme="majorHAnsi" w:cstheme="majorHAnsi"/>
        </w:rPr>
        <w:t>decentrali</w:t>
      </w:r>
      <w:r>
        <w:rPr>
          <w:rFonts w:asciiTheme="majorHAnsi" w:hAnsiTheme="majorHAnsi" w:cstheme="majorHAnsi"/>
        </w:rPr>
        <w:t>s</w:t>
      </w:r>
      <w:r w:rsidRPr="006F142B">
        <w:rPr>
          <w:rFonts w:asciiTheme="majorHAnsi" w:hAnsiTheme="majorHAnsi" w:cstheme="majorHAnsi"/>
        </w:rPr>
        <w:t>ation of management and accountability to the schools</w:t>
      </w:r>
      <w:r w:rsidRPr="004C2442">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Some principals take macro views while others take more practical views (such as eliminating delays in the procurement of chalk). </w:t>
      </w:r>
    </w:p>
    <w:p w14:paraId="6A8CD332" w14:textId="73D9E0F7" w:rsidR="008D0CAD" w:rsidRDefault="008D0CAD" w:rsidP="00DD08E3">
      <w:pPr>
        <w:pStyle w:val="Heading5"/>
        <w:numPr>
          <w:ilvl w:val="3"/>
          <w:numId w:val="165"/>
        </w:numPr>
        <w:spacing w:before="100" w:beforeAutospacing="1" w:after="100" w:afterAutospacing="1" w:line="360" w:lineRule="auto"/>
      </w:pPr>
      <w:r>
        <w:t>Gender-responsiveness of</w:t>
      </w:r>
      <w:r w:rsidRPr="00212DDA">
        <w:t xml:space="preserve"> </w:t>
      </w:r>
      <w:r>
        <w:t>DepEd policies, plans and practices</w:t>
      </w:r>
    </w:p>
    <w:p w14:paraId="378F102A" w14:textId="77777777" w:rsidR="008D0CAD" w:rsidRDefault="008D0CAD" w:rsidP="00B31C4E">
      <w:pPr>
        <w:pStyle w:val="CommentText"/>
        <w:spacing w:before="100" w:beforeAutospacing="1" w:after="100" w:afterAutospacing="1" w:line="360" w:lineRule="auto"/>
        <w:rPr>
          <w:rFonts w:asciiTheme="majorHAnsi" w:hAnsiTheme="majorHAnsi" w:cstheme="majorHAnsi"/>
          <w:sz w:val="24"/>
          <w:szCs w:val="24"/>
        </w:rPr>
      </w:pPr>
      <w:r>
        <w:rPr>
          <w:rFonts w:asciiTheme="majorHAnsi" w:hAnsiTheme="majorHAnsi" w:cstheme="majorHAnsi"/>
          <w:color w:val="000000" w:themeColor="text1"/>
          <w:sz w:val="24"/>
          <w:szCs w:val="24"/>
        </w:rPr>
        <w:t>T</w:t>
      </w:r>
      <w:r w:rsidRPr="000E1DFA">
        <w:rPr>
          <w:rFonts w:asciiTheme="majorHAnsi" w:hAnsiTheme="majorHAnsi" w:cstheme="majorHAnsi"/>
          <w:color w:val="000000" w:themeColor="text1"/>
          <w:sz w:val="24"/>
          <w:szCs w:val="24"/>
        </w:rPr>
        <w:t>he</w:t>
      </w:r>
      <w:r>
        <w:rPr>
          <w:rFonts w:asciiTheme="majorHAnsi" w:hAnsiTheme="majorHAnsi" w:cstheme="majorHAnsi"/>
          <w:color w:val="000000" w:themeColor="text1"/>
          <w:sz w:val="24"/>
          <w:szCs w:val="24"/>
        </w:rPr>
        <w:t xml:space="preserve"> DepEd</w:t>
      </w:r>
      <w:r w:rsidRPr="000E1DFA">
        <w:rPr>
          <w:rFonts w:asciiTheme="majorHAnsi" w:hAnsiTheme="majorHAnsi" w:cstheme="majorHAnsi"/>
          <w:color w:val="000000" w:themeColor="text1"/>
          <w:sz w:val="24"/>
          <w:szCs w:val="24"/>
        </w:rPr>
        <w:t xml:space="preserve"> imperative to pursue </w:t>
      </w:r>
      <w:r>
        <w:rPr>
          <w:rFonts w:asciiTheme="majorHAnsi" w:hAnsiTheme="majorHAnsi" w:cstheme="majorHAnsi"/>
          <w:color w:val="000000" w:themeColor="text1"/>
          <w:sz w:val="24"/>
          <w:szCs w:val="24"/>
        </w:rPr>
        <w:t>gender equity</w:t>
      </w:r>
      <w:r w:rsidRPr="000E1DFA">
        <w:rPr>
          <w:rFonts w:asciiTheme="majorHAnsi" w:hAnsiTheme="majorHAnsi" w:cstheme="majorHAnsi"/>
          <w:color w:val="000000" w:themeColor="text1"/>
          <w:sz w:val="24"/>
          <w:szCs w:val="24"/>
        </w:rPr>
        <w:t xml:space="preserve"> is </w:t>
      </w:r>
      <w:r>
        <w:rPr>
          <w:rFonts w:asciiTheme="majorHAnsi" w:hAnsiTheme="majorHAnsi" w:cstheme="majorHAnsi"/>
          <w:color w:val="000000" w:themeColor="text1"/>
          <w:sz w:val="24"/>
          <w:szCs w:val="24"/>
        </w:rPr>
        <w:t>driven</w:t>
      </w:r>
      <w:r w:rsidRPr="000E1DFA">
        <w:rPr>
          <w:rFonts w:asciiTheme="majorHAnsi" w:hAnsiTheme="majorHAnsi" w:cstheme="majorHAnsi"/>
          <w:color w:val="000000" w:themeColor="text1"/>
          <w:sz w:val="24"/>
          <w:szCs w:val="24"/>
        </w:rPr>
        <w:t xml:space="preserve"> by R</w:t>
      </w:r>
      <w:r>
        <w:rPr>
          <w:rFonts w:asciiTheme="majorHAnsi" w:hAnsiTheme="majorHAnsi" w:cstheme="majorHAnsi"/>
          <w:color w:val="000000" w:themeColor="text1"/>
          <w:sz w:val="24"/>
          <w:szCs w:val="24"/>
        </w:rPr>
        <w:t>.</w:t>
      </w:r>
      <w:r w:rsidRPr="000E1DFA">
        <w:rPr>
          <w:rFonts w:asciiTheme="majorHAnsi" w:hAnsiTheme="majorHAnsi" w:cstheme="majorHAnsi"/>
          <w:color w:val="000000" w:themeColor="text1"/>
          <w:sz w:val="24"/>
          <w:szCs w:val="24"/>
        </w:rPr>
        <w:t>A</w:t>
      </w:r>
      <w:r>
        <w:rPr>
          <w:rFonts w:asciiTheme="majorHAnsi" w:hAnsiTheme="majorHAnsi" w:cstheme="majorHAnsi"/>
          <w:color w:val="000000" w:themeColor="text1"/>
          <w:sz w:val="24"/>
          <w:szCs w:val="24"/>
        </w:rPr>
        <w:t>.</w:t>
      </w:r>
      <w:r w:rsidRPr="000E1DFA">
        <w:rPr>
          <w:rFonts w:asciiTheme="majorHAnsi" w:hAnsiTheme="majorHAnsi" w:cstheme="majorHAnsi"/>
          <w:color w:val="000000" w:themeColor="text1"/>
          <w:sz w:val="24"/>
          <w:szCs w:val="24"/>
        </w:rPr>
        <w:t xml:space="preserve"> 9710 s. 2009 or the Magna Carta of Women, which direct</w:t>
      </w:r>
      <w:r>
        <w:rPr>
          <w:rFonts w:asciiTheme="majorHAnsi" w:hAnsiTheme="majorHAnsi" w:cstheme="majorHAnsi"/>
          <w:color w:val="000000" w:themeColor="text1"/>
          <w:sz w:val="24"/>
          <w:szCs w:val="24"/>
        </w:rPr>
        <w:t>s</w:t>
      </w:r>
      <w:r w:rsidRPr="000E1DFA">
        <w:rPr>
          <w:rFonts w:asciiTheme="majorHAnsi" w:hAnsiTheme="majorHAnsi" w:cstheme="majorHAnsi"/>
          <w:color w:val="000000" w:themeColor="text1"/>
          <w:sz w:val="24"/>
          <w:szCs w:val="24"/>
        </w:rPr>
        <w:t xml:space="preserve"> all </w:t>
      </w:r>
      <w:r>
        <w:rPr>
          <w:rFonts w:asciiTheme="majorHAnsi" w:hAnsiTheme="majorHAnsi" w:cstheme="majorHAnsi"/>
          <w:color w:val="000000" w:themeColor="text1"/>
          <w:sz w:val="24"/>
          <w:szCs w:val="24"/>
        </w:rPr>
        <w:t>Philippine G</w:t>
      </w:r>
      <w:r w:rsidRPr="000E1DFA">
        <w:rPr>
          <w:rFonts w:asciiTheme="majorHAnsi" w:hAnsiTheme="majorHAnsi" w:cstheme="majorHAnsi"/>
          <w:color w:val="000000" w:themeColor="text1"/>
          <w:sz w:val="24"/>
          <w:szCs w:val="24"/>
        </w:rPr>
        <w:t xml:space="preserve">overnment agencies </w:t>
      </w:r>
      <w:r>
        <w:rPr>
          <w:rFonts w:asciiTheme="majorHAnsi" w:hAnsiTheme="majorHAnsi" w:cstheme="majorHAnsi"/>
          <w:color w:val="000000" w:themeColor="text1"/>
          <w:sz w:val="24"/>
          <w:szCs w:val="24"/>
        </w:rPr>
        <w:t>including DepEd</w:t>
      </w:r>
      <w:r w:rsidRPr="000E1DFA">
        <w:rPr>
          <w:rFonts w:asciiTheme="majorHAnsi" w:hAnsiTheme="majorHAnsi" w:cstheme="majorHAnsi"/>
          <w:color w:val="000000" w:themeColor="text1"/>
          <w:sz w:val="24"/>
          <w:szCs w:val="24"/>
        </w:rPr>
        <w:t xml:space="preserve"> to strengthen gender equality and women empowerment in their respective sectors. </w:t>
      </w:r>
      <w:r w:rsidRPr="004A41D3">
        <w:rPr>
          <w:rFonts w:asciiTheme="majorHAnsi" w:hAnsiTheme="majorHAnsi" w:cstheme="majorHAnsi"/>
          <w:sz w:val="24"/>
          <w:szCs w:val="24"/>
        </w:rPr>
        <w:t xml:space="preserve">BEST </w:t>
      </w:r>
      <w:r>
        <w:rPr>
          <w:rFonts w:asciiTheme="majorHAnsi" w:hAnsiTheme="majorHAnsi" w:cstheme="majorHAnsi"/>
          <w:sz w:val="24"/>
          <w:szCs w:val="24"/>
        </w:rPr>
        <w:t xml:space="preserve">Program GEDSI interventions </w:t>
      </w:r>
      <w:r w:rsidRPr="004A41D3">
        <w:rPr>
          <w:rFonts w:asciiTheme="majorHAnsi" w:hAnsiTheme="majorHAnsi" w:cstheme="majorHAnsi"/>
          <w:sz w:val="24"/>
          <w:szCs w:val="24"/>
        </w:rPr>
        <w:t xml:space="preserve">involved </w:t>
      </w:r>
      <w:r>
        <w:rPr>
          <w:rFonts w:asciiTheme="majorHAnsi" w:hAnsiTheme="majorHAnsi" w:cstheme="majorHAnsi"/>
          <w:sz w:val="24"/>
          <w:szCs w:val="24"/>
        </w:rPr>
        <w:t>two</w:t>
      </w:r>
      <w:r w:rsidRPr="004A41D3">
        <w:rPr>
          <w:rFonts w:asciiTheme="majorHAnsi" w:hAnsiTheme="majorHAnsi" w:cstheme="majorHAnsi"/>
          <w:sz w:val="24"/>
          <w:szCs w:val="24"/>
        </w:rPr>
        <w:t xml:space="preserve"> approach</w:t>
      </w:r>
      <w:r>
        <w:rPr>
          <w:rFonts w:asciiTheme="majorHAnsi" w:hAnsiTheme="majorHAnsi" w:cstheme="majorHAnsi"/>
          <w:sz w:val="24"/>
          <w:szCs w:val="24"/>
        </w:rPr>
        <w:t>es</w:t>
      </w:r>
      <w:r w:rsidRPr="004A41D3">
        <w:rPr>
          <w:rFonts w:asciiTheme="majorHAnsi" w:hAnsiTheme="majorHAnsi" w:cstheme="majorHAnsi"/>
          <w:sz w:val="24"/>
          <w:szCs w:val="24"/>
        </w:rPr>
        <w:t xml:space="preserve">: </w:t>
      </w:r>
      <w:r>
        <w:rPr>
          <w:rFonts w:asciiTheme="majorHAnsi" w:hAnsiTheme="majorHAnsi" w:cstheme="majorHAnsi"/>
          <w:sz w:val="24"/>
          <w:szCs w:val="24"/>
        </w:rPr>
        <w:t xml:space="preserve">(i) </w:t>
      </w:r>
      <w:r w:rsidRPr="004A41D3">
        <w:rPr>
          <w:rFonts w:asciiTheme="majorHAnsi" w:hAnsiTheme="majorHAnsi" w:cstheme="majorHAnsi"/>
          <w:sz w:val="24"/>
          <w:szCs w:val="24"/>
        </w:rPr>
        <w:t xml:space="preserve">the provision of technical assistance to </w:t>
      </w:r>
      <w:r>
        <w:rPr>
          <w:rFonts w:asciiTheme="majorHAnsi" w:hAnsiTheme="majorHAnsi" w:cstheme="majorHAnsi"/>
          <w:sz w:val="24"/>
          <w:szCs w:val="24"/>
        </w:rPr>
        <w:t>DepEd</w:t>
      </w:r>
      <w:r w:rsidRPr="004A41D3">
        <w:rPr>
          <w:rFonts w:asciiTheme="majorHAnsi" w:hAnsiTheme="majorHAnsi" w:cstheme="majorHAnsi"/>
          <w:sz w:val="24"/>
          <w:szCs w:val="24"/>
        </w:rPr>
        <w:t xml:space="preserve"> at the policy and system levels to create an enabling and sustainable environment for gender equality</w:t>
      </w:r>
      <w:r>
        <w:rPr>
          <w:rFonts w:asciiTheme="majorHAnsi" w:hAnsiTheme="majorHAnsi" w:cstheme="majorHAnsi"/>
          <w:sz w:val="24"/>
          <w:szCs w:val="24"/>
        </w:rPr>
        <w:t>;</w:t>
      </w:r>
      <w:r w:rsidRPr="004A41D3">
        <w:rPr>
          <w:rFonts w:asciiTheme="majorHAnsi" w:hAnsiTheme="majorHAnsi" w:cstheme="majorHAnsi"/>
          <w:sz w:val="24"/>
          <w:szCs w:val="24"/>
        </w:rPr>
        <w:t xml:space="preserve"> and </w:t>
      </w:r>
      <w:r>
        <w:rPr>
          <w:rFonts w:asciiTheme="majorHAnsi" w:hAnsiTheme="majorHAnsi" w:cstheme="majorHAnsi"/>
          <w:sz w:val="24"/>
          <w:szCs w:val="24"/>
        </w:rPr>
        <w:t xml:space="preserve">(ii) </w:t>
      </w:r>
      <w:r w:rsidRPr="004A41D3">
        <w:rPr>
          <w:rFonts w:asciiTheme="majorHAnsi" w:hAnsiTheme="majorHAnsi" w:cstheme="majorHAnsi"/>
          <w:sz w:val="24"/>
          <w:szCs w:val="24"/>
        </w:rPr>
        <w:t xml:space="preserve">mainstreaming gender </w:t>
      </w:r>
      <w:r>
        <w:rPr>
          <w:rFonts w:asciiTheme="majorHAnsi" w:hAnsiTheme="majorHAnsi" w:cstheme="majorHAnsi"/>
          <w:sz w:val="24"/>
          <w:szCs w:val="24"/>
        </w:rPr>
        <w:t xml:space="preserve">perspectives </w:t>
      </w:r>
      <w:r w:rsidRPr="004A41D3">
        <w:rPr>
          <w:rFonts w:asciiTheme="majorHAnsi" w:hAnsiTheme="majorHAnsi" w:cstheme="majorHAnsi"/>
          <w:sz w:val="24"/>
          <w:szCs w:val="24"/>
        </w:rPr>
        <w:t xml:space="preserve">across all </w:t>
      </w:r>
      <w:r>
        <w:rPr>
          <w:rFonts w:asciiTheme="majorHAnsi" w:hAnsiTheme="majorHAnsi" w:cstheme="majorHAnsi"/>
          <w:sz w:val="24"/>
          <w:szCs w:val="24"/>
        </w:rPr>
        <w:t>Program</w:t>
      </w:r>
      <w:r w:rsidRPr="004A41D3">
        <w:rPr>
          <w:rFonts w:asciiTheme="majorHAnsi" w:hAnsiTheme="majorHAnsi" w:cstheme="majorHAnsi"/>
          <w:sz w:val="24"/>
          <w:szCs w:val="24"/>
        </w:rPr>
        <w:t xml:space="preserve"> activities to demonstrate how mainstreaming could work across the various </w:t>
      </w:r>
      <w:r>
        <w:rPr>
          <w:rFonts w:asciiTheme="majorHAnsi" w:hAnsiTheme="majorHAnsi" w:cstheme="majorHAnsi"/>
          <w:sz w:val="24"/>
          <w:szCs w:val="24"/>
        </w:rPr>
        <w:t>DepEd</w:t>
      </w:r>
      <w:r w:rsidRPr="004A41D3">
        <w:rPr>
          <w:rFonts w:asciiTheme="majorHAnsi" w:hAnsiTheme="majorHAnsi" w:cstheme="majorHAnsi"/>
          <w:sz w:val="24"/>
          <w:szCs w:val="24"/>
        </w:rPr>
        <w:t xml:space="preserve"> governance levels. </w:t>
      </w:r>
    </w:p>
    <w:p w14:paraId="066BDD6C" w14:textId="77777777" w:rsidR="008D0CAD" w:rsidRPr="00640951" w:rsidRDefault="008D0CAD" w:rsidP="00B31C4E">
      <w:pPr>
        <w:spacing w:before="100" w:beforeAutospacing="1" w:after="100" w:afterAutospacing="1" w:line="360" w:lineRule="auto"/>
        <w:rPr>
          <w:rFonts w:asciiTheme="majorHAnsi" w:hAnsiTheme="majorHAnsi" w:cstheme="majorHAnsi"/>
          <w:color w:val="000000" w:themeColor="text1"/>
        </w:rPr>
      </w:pPr>
      <w:r w:rsidRPr="00640951">
        <w:rPr>
          <w:rFonts w:asciiTheme="majorHAnsi" w:hAnsiTheme="majorHAnsi" w:cstheme="majorHAnsi"/>
          <w:color w:val="000000" w:themeColor="text1"/>
        </w:rPr>
        <w:t xml:space="preserve">A critical mechanism provided for in the Magna Carta of Women </w:t>
      </w:r>
      <w:r>
        <w:rPr>
          <w:rFonts w:asciiTheme="majorHAnsi" w:hAnsiTheme="majorHAnsi" w:cstheme="majorHAnsi"/>
          <w:color w:val="000000" w:themeColor="text1"/>
        </w:rPr>
        <w:t>i</w:t>
      </w:r>
      <w:r w:rsidRPr="00640951">
        <w:rPr>
          <w:rFonts w:asciiTheme="majorHAnsi" w:hAnsiTheme="majorHAnsi" w:cstheme="majorHAnsi"/>
          <w:color w:val="000000" w:themeColor="text1"/>
        </w:rPr>
        <w:t xml:space="preserve">s the creation of the </w:t>
      </w:r>
      <w:r w:rsidRPr="00640951">
        <w:rPr>
          <w:rFonts w:asciiTheme="majorHAnsi" w:hAnsiTheme="majorHAnsi" w:cstheme="majorHAnsi"/>
          <w:color w:val="000000"/>
          <w:lang w:eastAsia="en-PH"/>
        </w:rPr>
        <w:t>Gender Focal Point System</w:t>
      </w:r>
      <w:r w:rsidRPr="00640951">
        <w:rPr>
          <w:rFonts w:asciiTheme="majorHAnsi" w:hAnsiTheme="majorHAnsi" w:cstheme="majorHAnsi"/>
          <w:color w:val="000000" w:themeColor="text1"/>
        </w:rPr>
        <w:t xml:space="preserve"> (GFPS) in each government agency across all governance levels. The GFPS at the </w:t>
      </w:r>
      <w:r>
        <w:rPr>
          <w:rFonts w:asciiTheme="majorHAnsi" w:hAnsiTheme="majorHAnsi" w:cstheme="majorHAnsi"/>
          <w:color w:val="000000" w:themeColor="text1"/>
        </w:rPr>
        <w:t xml:space="preserve">DepEd </w:t>
      </w:r>
      <w:r w:rsidRPr="00640951">
        <w:rPr>
          <w:rFonts w:asciiTheme="majorHAnsi" w:hAnsiTheme="majorHAnsi" w:cstheme="majorHAnsi"/>
          <w:color w:val="000000" w:themeColor="text1"/>
        </w:rPr>
        <w:t>Central Office was expected to guide all</w:t>
      </w:r>
      <w:r>
        <w:rPr>
          <w:rFonts w:asciiTheme="majorHAnsi" w:hAnsiTheme="majorHAnsi" w:cstheme="majorHAnsi"/>
          <w:color w:val="000000" w:themeColor="text1"/>
        </w:rPr>
        <w:t xml:space="preserve"> the</w:t>
      </w:r>
      <w:r w:rsidRPr="00640951">
        <w:rPr>
          <w:rFonts w:asciiTheme="majorHAnsi" w:hAnsiTheme="majorHAnsi" w:cstheme="majorHAnsi"/>
          <w:color w:val="000000" w:themeColor="text1"/>
        </w:rPr>
        <w:t xml:space="preserve"> activities of the different Regional, Division and School-based GFPS</w:t>
      </w:r>
      <w:r>
        <w:rPr>
          <w:rFonts w:asciiTheme="majorHAnsi" w:hAnsiTheme="majorHAnsi" w:cstheme="majorHAnsi"/>
          <w:color w:val="000000" w:themeColor="text1"/>
        </w:rPr>
        <w:t>, including policy making</w:t>
      </w:r>
      <w:r w:rsidRPr="00640951">
        <w:rPr>
          <w:rFonts w:asciiTheme="majorHAnsi" w:hAnsiTheme="majorHAnsi" w:cstheme="majorHAnsi"/>
          <w:color w:val="000000" w:themeColor="text1"/>
        </w:rPr>
        <w:t>.</w:t>
      </w:r>
    </w:p>
    <w:p w14:paraId="731A3A9E" w14:textId="78ADA029" w:rsidR="008D0CAD" w:rsidRDefault="008D0CAD" w:rsidP="00B31C4E">
      <w:pPr>
        <w:spacing w:before="100" w:beforeAutospacing="1" w:after="100" w:afterAutospacing="1" w:line="360" w:lineRule="auto"/>
        <w:rPr>
          <w:rFonts w:asciiTheme="majorHAnsi" w:hAnsiTheme="majorHAnsi" w:cstheme="majorHAnsi"/>
          <w:color w:val="000000" w:themeColor="text1"/>
        </w:rPr>
      </w:pPr>
      <w:r w:rsidRPr="00640951">
        <w:rPr>
          <w:rFonts w:asciiTheme="majorHAnsi" w:hAnsiTheme="majorHAnsi" w:cstheme="majorHAnsi"/>
          <w:color w:val="000000"/>
        </w:rPr>
        <w:t xml:space="preserve">As part of the GEDSI activities under the BEST Program, </w:t>
      </w:r>
      <w:r>
        <w:rPr>
          <w:rFonts w:asciiTheme="majorHAnsi" w:hAnsiTheme="majorHAnsi" w:cstheme="majorHAnsi"/>
          <w:color w:val="000000"/>
        </w:rPr>
        <w:t>DepEd</w:t>
      </w:r>
      <w:r w:rsidRPr="00640951">
        <w:rPr>
          <w:rFonts w:asciiTheme="majorHAnsi" w:hAnsiTheme="majorHAnsi" w:cstheme="majorHAnsi"/>
          <w:color w:val="000000"/>
        </w:rPr>
        <w:t>’s Central Office GFPS was reconstituted, and new members appointed.</w:t>
      </w:r>
      <w:r w:rsidRPr="00640951">
        <w:rPr>
          <w:rStyle w:val="FootnoteReference"/>
          <w:rFonts w:asciiTheme="majorHAnsi" w:eastAsia="Arial Unicode MS" w:hAnsiTheme="majorHAnsi" w:cstheme="majorHAnsi"/>
          <w:color w:val="000000"/>
        </w:rPr>
        <w:footnoteReference w:id="78"/>
      </w:r>
      <w:r w:rsidR="00D434EB">
        <w:rPr>
          <w:rFonts w:asciiTheme="majorHAnsi" w:hAnsiTheme="majorHAnsi" w:cstheme="majorHAnsi"/>
          <w:color w:val="000000"/>
        </w:rPr>
        <w:t xml:space="preserve"> </w:t>
      </w:r>
      <w:r>
        <w:rPr>
          <w:rFonts w:asciiTheme="majorHAnsi" w:hAnsiTheme="majorHAnsi" w:cstheme="majorHAnsi"/>
          <w:color w:val="000000"/>
        </w:rPr>
        <w:t>T</w:t>
      </w:r>
      <w:r w:rsidRPr="00640951">
        <w:rPr>
          <w:rFonts w:asciiTheme="majorHAnsi" w:hAnsiTheme="majorHAnsi" w:cstheme="majorHAnsi"/>
          <w:color w:val="000000"/>
        </w:rPr>
        <w:t xml:space="preserve">he </w:t>
      </w:r>
      <w:r>
        <w:rPr>
          <w:rFonts w:asciiTheme="majorHAnsi" w:hAnsiTheme="majorHAnsi" w:cstheme="majorHAnsi"/>
          <w:color w:val="000000"/>
        </w:rPr>
        <w:t xml:space="preserve">DepEd </w:t>
      </w:r>
      <w:r w:rsidRPr="00640951">
        <w:rPr>
          <w:rFonts w:asciiTheme="majorHAnsi" w:hAnsiTheme="majorHAnsi" w:cstheme="majorHAnsi"/>
          <w:color w:val="000000"/>
        </w:rPr>
        <w:t>C</w:t>
      </w:r>
      <w:r>
        <w:rPr>
          <w:rFonts w:asciiTheme="majorHAnsi" w:hAnsiTheme="majorHAnsi" w:cstheme="majorHAnsi"/>
          <w:color w:val="000000"/>
        </w:rPr>
        <w:t xml:space="preserve">entral </w:t>
      </w:r>
      <w:r w:rsidRPr="00640951">
        <w:rPr>
          <w:rFonts w:asciiTheme="majorHAnsi" w:hAnsiTheme="majorHAnsi" w:cstheme="majorHAnsi"/>
          <w:color w:val="000000"/>
        </w:rPr>
        <w:t>O</w:t>
      </w:r>
      <w:r>
        <w:rPr>
          <w:rFonts w:asciiTheme="majorHAnsi" w:hAnsiTheme="majorHAnsi" w:cstheme="majorHAnsi"/>
          <w:color w:val="000000"/>
        </w:rPr>
        <w:t>ffice</w:t>
      </w:r>
      <w:r w:rsidRPr="00640951">
        <w:rPr>
          <w:rFonts w:asciiTheme="majorHAnsi" w:hAnsiTheme="majorHAnsi" w:cstheme="majorHAnsi"/>
          <w:color w:val="000000"/>
        </w:rPr>
        <w:t xml:space="preserve"> GFPS members were provided with orientation</w:t>
      </w:r>
      <w:r>
        <w:rPr>
          <w:rFonts w:asciiTheme="majorHAnsi" w:hAnsiTheme="majorHAnsi" w:cstheme="majorHAnsi"/>
          <w:color w:val="000000"/>
        </w:rPr>
        <w:t>s</w:t>
      </w:r>
      <w:r w:rsidRPr="00640951">
        <w:rPr>
          <w:rFonts w:asciiTheme="majorHAnsi" w:hAnsiTheme="majorHAnsi" w:cstheme="majorHAnsi"/>
          <w:color w:val="000000"/>
        </w:rPr>
        <w:t xml:space="preserve"> on the GRBE policy and training on</w:t>
      </w:r>
      <w:r>
        <w:rPr>
          <w:rFonts w:asciiTheme="majorHAnsi" w:hAnsiTheme="majorHAnsi" w:cstheme="majorHAnsi"/>
          <w:color w:val="000000"/>
        </w:rPr>
        <w:t xml:space="preserve"> Gender and Development (</w:t>
      </w:r>
      <w:r w:rsidRPr="00640951">
        <w:rPr>
          <w:rFonts w:asciiTheme="majorHAnsi" w:hAnsiTheme="majorHAnsi" w:cstheme="majorHAnsi"/>
          <w:color w:val="000000"/>
        </w:rPr>
        <w:t>GAD</w:t>
      </w:r>
      <w:r>
        <w:rPr>
          <w:rFonts w:asciiTheme="majorHAnsi" w:hAnsiTheme="majorHAnsi" w:cstheme="majorHAnsi"/>
          <w:color w:val="000000"/>
        </w:rPr>
        <w:t>)</w:t>
      </w:r>
      <w:r w:rsidRPr="00640951">
        <w:rPr>
          <w:rFonts w:asciiTheme="majorHAnsi" w:hAnsiTheme="majorHAnsi" w:cstheme="majorHAnsi"/>
          <w:color w:val="000000"/>
        </w:rPr>
        <w:t>. T</w:t>
      </w:r>
      <w:r>
        <w:rPr>
          <w:rFonts w:asciiTheme="majorHAnsi" w:hAnsiTheme="majorHAnsi" w:cstheme="majorHAnsi"/>
          <w:color w:val="000000"/>
        </w:rPr>
        <w:t>he t</w:t>
      </w:r>
      <w:r w:rsidRPr="00640951">
        <w:rPr>
          <w:rFonts w:asciiTheme="majorHAnsi" w:hAnsiTheme="majorHAnsi" w:cstheme="majorHAnsi"/>
          <w:color w:val="000000"/>
        </w:rPr>
        <w:t xml:space="preserve">raining programs provided in the last two years of </w:t>
      </w:r>
      <w:r>
        <w:rPr>
          <w:rFonts w:asciiTheme="majorHAnsi" w:hAnsiTheme="majorHAnsi" w:cstheme="majorHAnsi"/>
          <w:color w:val="000000"/>
        </w:rPr>
        <w:t>the BEST program</w:t>
      </w:r>
      <w:r w:rsidRPr="00640951">
        <w:rPr>
          <w:rFonts w:asciiTheme="majorHAnsi" w:hAnsiTheme="majorHAnsi" w:cstheme="majorHAnsi"/>
          <w:color w:val="000000"/>
        </w:rPr>
        <w:t xml:space="preserve"> included: </w:t>
      </w:r>
      <w:r w:rsidRPr="00640951">
        <w:rPr>
          <w:rFonts w:asciiTheme="majorHAnsi" w:hAnsiTheme="majorHAnsi" w:cstheme="majorHAnsi"/>
        </w:rPr>
        <w:t xml:space="preserve">GAD and GRBE Policy Orientation for </w:t>
      </w:r>
      <w:r>
        <w:rPr>
          <w:rFonts w:asciiTheme="majorHAnsi" w:hAnsiTheme="majorHAnsi" w:cstheme="majorHAnsi"/>
        </w:rPr>
        <w:t>DepEd</w:t>
      </w:r>
      <w:r w:rsidRPr="00640951">
        <w:rPr>
          <w:rFonts w:asciiTheme="majorHAnsi" w:hAnsiTheme="majorHAnsi" w:cstheme="majorHAnsi"/>
        </w:rPr>
        <w:t xml:space="preserve"> Gender Focal Point System</w:t>
      </w:r>
      <w:r>
        <w:rPr>
          <w:rFonts w:asciiTheme="majorHAnsi" w:hAnsiTheme="majorHAnsi" w:cstheme="majorHAnsi"/>
        </w:rPr>
        <w:t xml:space="preserve"> (September 2018)</w:t>
      </w:r>
      <w:r w:rsidRPr="00640951">
        <w:rPr>
          <w:rFonts w:asciiTheme="majorHAnsi" w:hAnsiTheme="majorHAnsi" w:cstheme="majorHAnsi"/>
        </w:rPr>
        <w:t>; Harmonized GAD Guidelines Training Workshop</w:t>
      </w:r>
      <w:r>
        <w:rPr>
          <w:rFonts w:asciiTheme="majorHAnsi" w:hAnsiTheme="majorHAnsi" w:cstheme="majorHAnsi"/>
        </w:rPr>
        <w:t xml:space="preserve"> (February 12-13, 2019);</w:t>
      </w:r>
      <w:r w:rsidRPr="00640951">
        <w:rPr>
          <w:rFonts w:asciiTheme="majorHAnsi" w:hAnsiTheme="majorHAnsi" w:cstheme="majorHAnsi"/>
        </w:rPr>
        <w:t xml:space="preserve"> and a GAD Plan and Budget Workshop</w:t>
      </w:r>
      <w:r>
        <w:rPr>
          <w:rFonts w:asciiTheme="majorHAnsi" w:hAnsiTheme="majorHAnsi" w:cstheme="majorHAnsi"/>
        </w:rPr>
        <w:t xml:space="preserve"> for </w:t>
      </w:r>
      <w:r w:rsidRPr="00640951">
        <w:rPr>
          <w:rFonts w:asciiTheme="majorHAnsi" w:hAnsiTheme="majorHAnsi" w:cstheme="majorHAnsi"/>
        </w:rPr>
        <w:t xml:space="preserve">the formulation of the </w:t>
      </w:r>
      <w:r w:rsidRPr="00640951">
        <w:rPr>
          <w:rFonts w:asciiTheme="majorHAnsi" w:hAnsiTheme="majorHAnsi" w:cstheme="majorHAnsi"/>
          <w:color w:val="000000"/>
        </w:rPr>
        <w:t>GAD Master Plan and Budget</w:t>
      </w:r>
      <w:r>
        <w:rPr>
          <w:rFonts w:asciiTheme="majorHAnsi" w:hAnsiTheme="majorHAnsi" w:cstheme="majorHAnsi"/>
          <w:color w:val="000000"/>
        </w:rPr>
        <w:t xml:space="preserve"> (January 15-18, 2019)</w:t>
      </w:r>
      <w:r w:rsidRPr="00640951">
        <w:rPr>
          <w:rFonts w:asciiTheme="majorHAnsi" w:hAnsiTheme="majorHAnsi" w:cstheme="majorHAnsi"/>
        </w:rPr>
        <w:t>.</w:t>
      </w:r>
      <w:r>
        <w:rPr>
          <w:rStyle w:val="FootnoteReference"/>
          <w:rFonts w:asciiTheme="majorHAnsi" w:eastAsia="Arial Unicode MS" w:hAnsiTheme="majorHAnsi" w:cstheme="majorHAnsi"/>
        </w:rPr>
        <w:footnoteReference w:id="79"/>
      </w:r>
      <w:r w:rsidRPr="00640951">
        <w:rPr>
          <w:rFonts w:asciiTheme="majorHAnsi" w:hAnsiTheme="majorHAnsi" w:cstheme="majorHAnsi"/>
        </w:rPr>
        <w:t xml:space="preserve"> </w:t>
      </w:r>
      <w:r>
        <w:rPr>
          <w:rFonts w:asciiTheme="majorHAnsi" w:hAnsiTheme="majorHAnsi" w:cstheme="majorHAnsi"/>
        </w:rPr>
        <w:t>Ano</w:t>
      </w:r>
      <w:r w:rsidRPr="00640951">
        <w:rPr>
          <w:rFonts w:asciiTheme="majorHAnsi" w:hAnsiTheme="majorHAnsi" w:cstheme="majorHAnsi"/>
        </w:rPr>
        <w:t xml:space="preserve">ther </w:t>
      </w:r>
      <w:r>
        <w:rPr>
          <w:rFonts w:asciiTheme="majorHAnsi" w:hAnsiTheme="majorHAnsi" w:cstheme="majorHAnsi"/>
        </w:rPr>
        <w:t xml:space="preserve">planned </w:t>
      </w:r>
      <w:r w:rsidRPr="00640951">
        <w:rPr>
          <w:rFonts w:asciiTheme="majorHAnsi" w:hAnsiTheme="majorHAnsi" w:cstheme="majorHAnsi"/>
        </w:rPr>
        <w:t xml:space="preserve">capacity building program </w:t>
      </w:r>
      <w:r>
        <w:rPr>
          <w:rFonts w:asciiTheme="majorHAnsi" w:hAnsiTheme="majorHAnsi" w:cstheme="majorHAnsi"/>
        </w:rPr>
        <w:t>(</w:t>
      </w:r>
      <w:r w:rsidRPr="00640951">
        <w:rPr>
          <w:rFonts w:asciiTheme="majorHAnsi" w:hAnsiTheme="majorHAnsi" w:cstheme="majorHAnsi"/>
        </w:rPr>
        <w:t>Certification Program for GAD Trainers</w:t>
      </w:r>
      <w:r>
        <w:rPr>
          <w:rFonts w:asciiTheme="majorHAnsi" w:hAnsiTheme="majorHAnsi" w:cstheme="majorHAnsi"/>
        </w:rPr>
        <w:t>)</w:t>
      </w:r>
      <w:r w:rsidRPr="00640951">
        <w:rPr>
          <w:rFonts w:asciiTheme="majorHAnsi" w:hAnsiTheme="majorHAnsi" w:cstheme="majorHAnsi"/>
        </w:rPr>
        <w:t xml:space="preserve"> w</w:t>
      </w:r>
      <w:r>
        <w:rPr>
          <w:rFonts w:asciiTheme="majorHAnsi" w:hAnsiTheme="majorHAnsi" w:cstheme="majorHAnsi"/>
        </w:rPr>
        <w:t>as</w:t>
      </w:r>
      <w:r w:rsidRPr="00640951">
        <w:rPr>
          <w:rFonts w:asciiTheme="majorHAnsi" w:hAnsiTheme="majorHAnsi" w:cstheme="majorHAnsi"/>
        </w:rPr>
        <w:t xml:space="preserve"> not accomplished </w:t>
      </w:r>
      <w:r>
        <w:rPr>
          <w:rFonts w:asciiTheme="majorHAnsi" w:hAnsiTheme="majorHAnsi" w:cstheme="majorHAnsi"/>
        </w:rPr>
        <w:t>due to</w:t>
      </w:r>
      <w:r w:rsidRPr="00640951">
        <w:rPr>
          <w:rFonts w:asciiTheme="majorHAnsi" w:hAnsiTheme="majorHAnsi" w:cstheme="majorHAnsi"/>
        </w:rPr>
        <w:t xml:space="preserve"> time </w:t>
      </w:r>
      <w:r w:rsidRPr="00640951">
        <w:rPr>
          <w:rFonts w:asciiTheme="majorHAnsi" w:hAnsiTheme="majorHAnsi" w:cstheme="majorHAnsi"/>
          <w:color w:val="000000" w:themeColor="text1"/>
        </w:rPr>
        <w:t xml:space="preserve">constraints. </w:t>
      </w:r>
    </w:p>
    <w:p w14:paraId="5047BD0D" w14:textId="37E64B9E" w:rsidR="008D0CAD" w:rsidRPr="009F621C" w:rsidRDefault="008D0CAD" w:rsidP="00B31C4E">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color w:val="000000" w:themeColor="text1"/>
        </w:rPr>
        <w:t>In terms of agency-wide mainstreaming of GAD in DepEd development plans, the EOPE Study Team could not assess the level because there were no available GFPS representatives to interview (</w:t>
      </w:r>
      <w:r w:rsidRPr="00487AFA">
        <w:rPr>
          <w:rFonts w:asciiTheme="majorHAnsi" w:hAnsiTheme="majorHAnsi" w:cstheme="majorHAnsi"/>
          <w:color w:val="000000" w:themeColor="text1"/>
        </w:rPr>
        <w:t>because it was not yet clear who were the members of the GFPS at the time of the Study</w:t>
      </w:r>
      <w:r>
        <w:rPr>
          <w:rFonts w:asciiTheme="majorHAnsi" w:hAnsiTheme="majorHAnsi" w:cstheme="majorHAnsi"/>
          <w:color w:val="000000" w:themeColor="text1"/>
        </w:rPr>
        <w:t>) and no documents were made available on the activities of the GFPS (such as minutes of meetings or accomplishment reports).</w:t>
      </w:r>
      <w:r w:rsidR="00D434EB">
        <w:rPr>
          <w:rFonts w:asciiTheme="majorHAnsi" w:hAnsiTheme="majorHAnsi" w:cstheme="majorHAnsi"/>
          <w:color w:val="000000" w:themeColor="text1"/>
        </w:rPr>
        <w:t xml:space="preserve"> </w:t>
      </w:r>
    </w:p>
    <w:p w14:paraId="6B2C8D16" w14:textId="18EFB6A8" w:rsidR="008D0CAD" w:rsidRPr="00581058" w:rsidRDefault="008D0CAD" w:rsidP="00581058">
      <w:pPr>
        <w:pStyle w:val="Heading6"/>
      </w:pPr>
      <w:r w:rsidRPr="00581058">
        <w:rPr>
          <w:rStyle w:val="Heading6Char"/>
          <w:i/>
        </w:rPr>
        <w:t>Development and use of a Unified Information System</w:t>
      </w:r>
      <w:r w:rsidR="00D434EB">
        <w:rPr>
          <w:rStyle w:val="Heading6Char"/>
          <w:i/>
        </w:rPr>
        <w:t xml:space="preserve"> </w:t>
      </w:r>
    </w:p>
    <w:p w14:paraId="272D7E61" w14:textId="77777777" w:rsidR="008D0CAD" w:rsidRPr="00583797" w:rsidRDefault="008D0CAD" w:rsidP="00671524">
      <w:pPr>
        <w:pStyle w:val="NormalWeb"/>
        <w:spacing w:line="360" w:lineRule="auto"/>
        <w:rPr>
          <w:rFonts w:asciiTheme="majorHAnsi" w:eastAsiaTheme="minorHAnsi" w:hAnsiTheme="majorHAnsi" w:cstheme="majorHAnsi"/>
          <w:sz w:val="22"/>
          <w:szCs w:val="22"/>
        </w:rPr>
      </w:pPr>
      <w:r>
        <w:rPr>
          <w:rFonts w:asciiTheme="majorHAnsi" w:hAnsiTheme="majorHAnsi" w:cstheme="majorHAnsi"/>
        </w:rPr>
        <w:t xml:space="preserve">IO9: </w:t>
      </w:r>
      <w:r w:rsidRPr="007A4995">
        <w:rPr>
          <w:rFonts w:asciiTheme="majorHAnsi" w:eastAsiaTheme="minorHAnsi" w:hAnsiTheme="majorHAnsi" w:cstheme="majorHAnsi"/>
          <w:sz w:val="22"/>
          <w:szCs w:val="22"/>
        </w:rPr>
        <w:t>Support the development and use of a Unified Information Systems</w:t>
      </w:r>
    </w:p>
    <w:p w14:paraId="17560C9B" w14:textId="3F3EFEBB" w:rsidR="008D0CAD" w:rsidRPr="00F54CC4" w:rsidRDefault="008D0CAD" w:rsidP="00671524">
      <w:pPr>
        <w:spacing w:before="100" w:beforeAutospacing="1" w:after="100" w:afterAutospacing="1" w:line="360" w:lineRule="auto"/>
        <w:rPr>
          <w:rFonts w:asciiTheme="majorHAnsi" w:hAnsiTheme="majorHAnsi" w:cstheme="majorHAnsi"/>
        </w:rPr>
      </w:pPr>
      <w:r w:rsidRPr="000D2A38">
        <w:rPr>
          <w:rFonts w:asciiTheme="majorHAnsi" w:hAnsiTheme="majorHAnsi" w:cstheme="majorHAnsi"/>
        </w:rPr>
        <w:t>The Australian Government has support</w:t>
      </w:r>
      <w:r>
        <w:rPr>
          <w:rFonts w:asciiTheme="majorHAnsi" w:hAnsiTheme="majorHAnsi" w:cstheme="majorHAnsi"/>
        </w:rPr>
        <w:t>ed</w:t>
      </w:r>
      <w:r w:rsidRPr="000D2A38">
        <w:rPr>
          <w:rFonts w:asciiTheme="majorHAnsi" w:hAnsiTheme="majorHAnsi" w:cstheme="majorHAnsi"/>
        </w:rPr>
        <w:t xml:space="preserve"> the development and implementation of </w:t>
      </w:r>
      <w:r>
        <w:rPr>
          <w:rFonts w:asciiTheme="majorHAnsi" w:hAnsiTheme="majorHAnsi" w:cstheme="majorHAnsi"/>
        </w:rPr>
        <w:t xml:space="preserve">a range of </w:t>
      </w:r>
      <w:r w:rsidRPr="000D2A38">
        <w:rPr>
          <w:rFonts w:asciiTheme="majorHAnsi" w:hAnsiTheme="majorHAnsi" w:cstheme="majorHAnsi"/>
        </w:rPr>
        <w:t>ICT-enabled information systems of the Department of Education (</w:t>
      </w:r>
      <w:r>
        <w:rPr>
          <w:rFonts w:asciiTheme="majorHAnsi" w:hAnsiTheme="majorHAnsi" w:cstheme="majorHAnsi"/>
        </w:rPr>
        <w:t>DepEd</w:t>
      </w:r>
      <w:r w:rsidRPr="000D2A38">
        <w:rPr>
          <w:rFonts w:asciiTheme="majorHAnsi" w:hAnsiTheme="majorHAnsi" w:cstheme="majorHAnsi"/>
        </w:rPr>
        <w:t>) since 200</w:t>
      </w:r>
      <w:r>
        <w:rPr>
          <w:rFonts w:asciiTheme="majorHAnsi" w:hAnsiTheme="majorHAnsi" w:cstheme="majorHAnsi"/>
        </w:rPr>
        <w:t>9</w:t>
      </w:r>
      <w:r w:rsidRPr="000D2A38">
        <w:rPr>
          <w:rFonts w:asciiTheme="majorHAnsi" w:hAnsiTheme="majorHAnsi" w:cstheme="majorHAnsi"/>
        </w:rPr>
        <w:t xml:space="preserve">. </w:t>
      </w:r>
      <w:r>
        <w:rPr>
          <w:rFonts w:asciiTheme="majorHAnsi" w:hAnsiTheme="majorHAnsi" w:cstheme="majorHAnsi"/>
        </w:rPr>
        <w:t>Under the BEST Program, these stand-alone systems</w:t>
      </w:r>
      <w:r>
        <w:rPr>
          <w:rStyle w:val="FootnoteReference"/>
          <w:rFonts w:asciiTheme="majorHAnsi" w:eastAsia="Arial Unicode MS" w:hAnsiTheme="majorHAnsi" w:cstheme="majorHAnsi"/>
        </w:rPr>
        <w:footnoteReference w:id="80"/>
      </w:r>
      <w:r>
        <w:rPr>
          <w:rFonts w:asciiTheme="majorHAnsi" w:hAnsiTheme="majorHAnsi" w:cstheme="majorHAnsi"/>
        </w:rPr>
        <w:t xml:space="preserve"> were brought together under one umbrella – </w:t>
      </w:r>
      <w:r w:rsidRPr="000D2A38">
        <w:rPr>
          <w:rFonts w:asciiTheme="majorHAnsi" w:hAnsiTheme="majorHAnsi" w:cstheme="majorHAnsi"/>
        </w:rPr>
        <w:t>the Unified Information Systems</w:t>
      </w:r>
      <w:r>
        <w:rPr>
          <w:rFonts w:asciiTheme="majorHAnsi" w:hAnsiTheme="majorHAnsi" w:cstheme="majorHAnsi"/>
        </w:rPr>
        <w:t xml:space="preserve"> and Sub-systems</w:t>
      </w:r>
      <w:r w:rsidRPr="000D2A38">
        <w:rPr>
          <w:rFonts w:asciiTheme="majorHAnsi" w:hAnsiTheme="majorHAnsi" w:cstheme="majorHAnsi"/>
        </w:rPr>
        <w:t xml:space="preserve"> (UISS)</w:t>
      </w:r>
      <w:r>
        <w:rPr>
          <w:rFonts w:asciiTheme="majorHAnsi" w:hAnsiTheme="majorHAnsi" w:cstheme="majorHAnsi"/>
        </w:rPr>
        <w:t>.</w:t>
      </w:r>
      <w:r w:rsidR="00D434EB">
        <w:rPr>
          <w:rFonts w:asciiTheme="majorHAnsi" w:hAnsiTheme="majorHAnsi" w:cstheme="majorHAnsi"/>
        </w:rPr>
        <w:t xml:space="preserve"> </w:t>
      </w:r>
      <w:r>
        <w:rPr>
          <w:rFonts w:asciiTheme="majorHAnsi" w:hAnsiTheme="majorHAnsi" w:cstheme="majorHAnsi"/>
          <w:lang w:val="en-AU" w:eastAsia="he-IL" w:bidi="he-IL"/>
        </w:rPr>
        <w:t>T</w:t>
      </w:r>
      <w:r w:rsidRPr="000D2A38">
        <w:rPr>
          <w:rFonts w:asciiTheme="majorHAnsi" w:hAnsiTheme="majorHAnsi" w:cstheme="majorHAnsi"/>
          <w:lang w:val="en-AU" w:eastAsia="he-IL" w:bidi="he-IL"/>
        </w:rPr>
        <w:t xml:space="preserve">hese systems were enhanced and mainstreamed </w:t>
      </w:r>
      <w:r>
        <w:rPr>
          <w:rFonts w:asciiTheme="majorHAnsi" w:hAnsiTheme="majorHAnsi" w:cstheme="majorHAnsi"/>
          <w:lang w:val="en-AU" w:eastAsia="he-IL" w:bidi="he-IL"/>
        </w:rPr>
        <w:t>to support</w:t>
      </w:r>
      <w:r w:rsidRPr="000D2A38">
        <w:rPr>
          <w:rFonts w:asciiTheme="majorHAnsi" w:hAnsiTheme="majorHAnsi" w:cstheme="majorHAnsi"/>
          <w:lang w:val="en-AU" w:eastAsia="he-IL" w:bidi="he-IL"/>
        </w:rPr>
        <w:t xml:space="preserve"> </w:t>
      </w:r>
      <w:r>
        <w:rPr>
          <w:rFonts w:asciiTheme="majorHAnsi" w:hAnsiTheme="majorHAnsi" w:cstheme="majorHAnsi"/>
          <w:lang w:val="en-AU" w:eastAsia="he-IL" w:bidi="he-IL"/>
        </w:rPr>
        <w:t>DepEd</w:t>
      </w:r>
      <w:r w:rsidRPr="000D2A38">
        <w:rPr>
          <w:rFonts w:asciiTheme="majorHAnsi" w:hAnsiTheme="majorHAnsi" w:cstheme="majorHAnsi"/>
          <w:lang w:val="en-AU" w:eastAsia="he-IL" w:bidi="he-IL"/>
        </w:rPr>
        <w:t xml:space="preserve">’s core functions and processes and are now </w:t>
      </w:r>
      <w:r>
        <w:rPr>
          <w:rFonts w:asciiTheme="majorHAnsi" w:hAnsiTheme="majorHAnsi" w:cstheme="majorHAnsi"/>
          <w:lang w:val="en-AU" w:eastAsia="he-IL" w:bidi="he-IL"/>
        </w:rPr>
        <w:t>considered</w:t>
      </w:r>
      <w:r w:rsidRPr="000D2A38">
        <w:rPr>
          <w:rFonts w:asciiTheme="majorHAnsi" w:hAnsiTheme="majorHAnsi" w:cstheme="majorHAnsi"/>
          <w:lang w:val="en-AU" w:eastAsia="he-IL" w:bidi="he-IL"/>
        </w:rPr>
        <w:t xml:space="preserve"> as authoritative sources of data on learners and schools.</w:t>
      </w:r>
    </w:p>
    <w:p w14:paraId="5B2E6714" w14:textId="6EBF3282" w:rsidR="008D0CAD" w:rsidRDefault="008D0CAD" w:rsidP="00671524">
      <w:pPr>
        <w:spacing w:before="100" w:beforeAutospacing="1" w:after="100" w:afterAutospacing="1" w:line="360" w:lineRule="auto"/>
        <w:rPr>
          <w:rFonts w:asciiTheme="majorHAnsi" w:hAnsiTheme="majorHAnsi" w:cstheme="majorHAnsi"/>
        </w:rPr>
      </w:pPr>
      <w:r>
        <w:rPr>
          <w:rFonts w:asciiTheme="majorHAnsi" w:hAnsiTheme="majorHAnsi" w:cstheme="majorHAnsi"/>
        </w:rPr>
        <w:t>Interventions under the UISS included</w:t>
      </w:r>
      <w:r w:rsidRPr="008A3AC8">
        <w:rPr>
          <w:rFonts w:asciiTheme="majorHAnsi" w:hAnsiTheme="majorHAnsi" w:cstheme="majorHAnsi"/>
        </w:rPr>
        <w:t>:</w:t>
      </w:r>
      <w:r>
        <w:rPr>
          <w:rFonts w:asciiTheme="majorHAnsi" w:hAnsiTheme="majorHAnsi" w:cstheme="majorHAnsi"/>
        </w:rPr>
        <w:t xml:space="preserve"> f</w:t>
      </w:r>
      <w:r w:rsidRPr="008A3AC8">
        <w:rPr>
          <w:rFonts w:asciiTheme="majorHAnsi" w:hAnsiTheme="majorHAnsi" w:cstheme="majorHAnsi"/>
        </w:rPr>
        <w:t xml:space="preserve">unding for </w:t>
      </w:r>
      <w:r>
        <w:rPr>
          <w:rFonts w:asciiTheme="majorHAnsi" w:hAnsiTheme="majorHAnsi" w:cstheme="majorHAnsi"/>
        </w:rPr>
        <w:t xml:space="preserve">acquisition of </w:t>
      </w:r>
      <w:r w:rsidRPr="008A3AC8">
        <w:rPr>
          <w:rFonts w:asciiTheme="majorHAnsi" w:hAnsiTheme="majorHAnsi" w:cstheme="majorHAnsi"/>
        </w:rPr>
        <w:t>physical technological and support infrastructure</w:t>
      </w:r>
      <w:r>
        <w:rPr>
          <w:rFonts w:asciiTheme="majorHAnsi" w:hAnsiTheme="majorHAnsi" w:cstheme="majorHAnsi"/>
        </w:rPr>
        <w:t>; capacity building of p</w:t>
      </w:r>
      <w:r w:rsidRPr="008A3AC8">
        <w:rPr>
          <w:rFonts w:asciiTheme="majorHAnsi" w:hAnsiTheme="majorHAnsi" w:cstheme="majorHAnsi"/>
        </w:rPr>
        <w:t xml:space="preserve">rogrammers, specialists and IT experts </w:t>
      </w:r>
      <w:r>
        <w:rPr>
          <w:rFonts w:asciiTheme="majorHAnsi" w:hAnsiTheme="majorHAnsi" w:cstheme="majorHAnsi"/>
        </w:rPr>
        <w:t xml:space="preserve">of DepEd and users; and establishment of </w:t>
      </w:r>
      <w:r w:rsidRPr="008A3AC8">
        <w:rPr>
          <w:rFonts w:asciiTheme="majorHAnsi" w:hAnsiTheme="majorHAnsi" w:cstheme="majorHAnsi"/>
        </w:rPr>
        <w:t xml:space="preserve">Data Centers at </w:t>
      </w:r>
      <w:r>
        <w:rPr>
          <w:rFonts w:asciiTheme="majorHAnsi" w:hAnsiTheme="majorHAnsi" w:cstheme="majorHAnsi"/>
        </w:rPr>
        <w:t xml:space="preserve">the </w:t>
      </w:r>
      <w:r w:rsidRPr="008A3AC8">
        <w:rPr>
          <w:rFonts w:asciiTheme="majorHAnsi" w:hAnsiTheme="majorHAnsi" w:cstheme="majorHAnsi"/>
        </w:rPr>
        <w:t>Central Office and a mirror site in Cebu.</w:t>
      </w:r>
      <w:r w:rsidR="00D434EB">
        <w:rPr>
          <w:rFonts w:asciiTheme="majorHAnsi" w:hAnsiTheme="majorHAnsi" w:cstheme="majorHAnsi"/>
        </w:rPr>
        <w:t xml:space="preserve"> </w:t>
      </w:r>
    </w:p>
    <w:p w14:paraId="1E356321" w14:textId="068A3CD9" w:rsidR="008D0CAD" w:rsidRPr="00CE3B78" w:rsidRDefault="008D0CAD" w:rsidP="00DD08E3">
      <w:pPr>
        <w:pStyle w:val="Heading5"/>
        <w:numPr>
          <w:ilvl w:val="3"/>
          <w:numId w:val="172"/>
        </w:numPr>
        <w:spacing w:before="100" w:beforeAutospacing="1" w:after="100" w:afterAutospacing="1" w:line="360" w:lineRule="auto"/>
      </w:pPr>
      <w:r>
        <w:t xml:space="preserve">Relevance of UISS </w:t>
      </w:r>
    </w:p>
    <w:p w14:paraId="01289BF2" w14:textId="3048B4C0" w:rsidR="008D0CAD" w:rsidRPr="00F54CC4" w:rsidRDefault="008D0CAD" w:rsidP="00671524">
      <w:pPr>
        <w:spacing w:before="100" w:beforeAutospacing="1" w:after="100" w:afterAutospacing="1" w:line="360" w:lineRule="auto"/>
        <w:rPr>
          <w:rFonts w:asciiTheme="majorHAnsi" w:hAnsiTheme="majorHAnsi" w:cstheme="majorHAnsi"/>
        </w:rPr>
      </w:pPr>
      <w:r w:rsidRPr="00A200A1">
        <w:rPr>
          <w:rFonts w:asciiTheme="majorHAnsi" w:hAnsiTheme="majorHAnsi" w:cstheme="majorHAnsi"/>
        </w:rPr>
        <w:t>Th</w:t>
      </w:r>
      <w:r>
        <w:rPr>
          <w:rFonts w:asciiTheme="majorHAnsi" w:hAnsiTheme="majorHAnsi" w:cstheme="majorHAnsi"/>
        </w:rPr>
        <w:t>e UISS program interventions were generally perceived by CO respondents to be</w:t>
      </w:r>
      <w:r w:rsidRPr="00A200A1">
        <w:rPr>
          <w:rFonts w:asciiTheme="majorHAnsi" w:hAnsiTheme="majorHAnsi" w:cstheme="majorHAnsi"/>
        </w:rPr>
        <w:t xml:space="preserve"> </w:t>
      </w:r>
      <w:r w:rsidRPr="00487AFA">
        <w:rPr>
          <w:rFonts w:asciiTheme="majorHAnsi" w:hAnsiTheme="majorHAnsi" w:cstheme="majorHAnsi"/>
        </w:rPr>
        <w:t xml:space="preserve">highly relevant and responsive to </w:t>
      </w:r>
      <w:r>
        <w:rPr>
          <w:rFonts w:asciiTheme="majorHAnsi" w:hAnsiTheme="majorHAnsi" w:cstheme="majorHAnsi"/>
        </w:rPr>
        <w:t>DepEd</w:t>
      </w:r>
      <w:r w:rsidRPr="00487AFA">
        <w:rPr>
          <w:rFonts w:asciiTheme="majorHAnsi" w:hAnsiTheme="majorHAnsi" w:cstheme="majorHAnsi"/>
        </w:rPr>
        <w:t xml:space="preserve"> needs and priorities,</w:t>
      </w:r>
      <w:r w:rsidRPr="00B16E26">
        <w:rPr>
          <w:rFonts w:asciiTheme="majorHAnsi" w:hAnsiTheme="majorHAnsi" w:cstheme="majorHAnsi"/>
        </w:rPr>
        <w:t xml:space="preserve"> particularly amidst the shift to </w:t>
      </w:r>
      <w:r w:rsidRPr="00B16E26">
        <w:rPr>
          <w:rFonts w:asciiTheme="majorHAnsi" w:hAnsiTheme="majorHAnsi" w:cstheme="majorHAnsi"/>
          <w:lang w:val="en-GB"/>
        </w:rPr>
        <w:t>K to 12.</w:t>
      </w:r>
      <w:r w:rsidR="00D434EB">
        <w:rPr>
          <w:rFonts w:asciiTheme="majorHAnsi" w:hAnsiTheme="majorHAnsi" w:cstheme="majorHAnsi"/>
        </w:rPr>
        <w:t xml:space="preserve"> </w:t>
      </w:r>
      <w:r w:rsidRPr="00B16E26">
        <w:rPr>
          <w:rFonts w:asciiTheme="majorHAnsi" w:hAnsiTheme="majorHAnsi" w:cstheme="majorHAnsi"/>
          <w:lang w:val="en-GB"/>
        </w:rPr>
        <w:t>A</w:t>
      </w:r>
      <w:r>
        <w:rPr>
          <w:rFonts w:asciiTheme="majorHAnsi" w:hAnsiTheme="majorHAnsi" w:cstheme="majorHAnsi"/>
          <w:lang w:val="en-GB"/>
        </w:rPr>
        <w:t>s a</w:t>
      </w:r>
      <w:r w:rsidRPr="00B16E26">
        <w:rPr>
          <w:rFonts w:asciiTheme="majorHAnsi" w:hAnsiTheme="majorHAnsi" w:cstheme="majorHAnsi"/>
          <w:lang w:val="en-GB"/>
        </w:rPr>
        <w:t xml:space="preserve"> former Undersecretary recalled, </w:t>
      </w:r>
      <w:r>
        <w:rPr>
          <w:rFonts w:asciiTheme="majorHAnsi" w:hAnsiTheme="majorHAnsi" w:cstheme="majorHAnsi"/>
          <w:lang w:val="en-GB"/>
        </w:rPr>
        <w:t>“</w:t>
      </w:r>
      <w:r w:rsidRPr="00B16E26">
        <w:rPr>
          <w:rFonts w:asciiTheme="majorHAnsi" w:hAnsiTheme="majorHAnsi" w:cstheme="majorHAnsi"/>
          <w:i/>
          <w:lang w:val="en-GB"/>
        </w:rPr>
        <w:t>Previously without the UISS, planning was by gathering four-year old data from the regions; however, with the current set-up, educational planning and budgeting is more grounded because data is updated to the latest two-year data sets</w:t>
      </w:r>
      <w:r w:rsidRPr="00B16E26">
        <w:rPr>
          <w:rFonts w:asciiTheme="majorHAnsi" w:hAnsiTheme="majorHAnsi" w:cstheme="majorHAnsi"/>
          <w:lang w:val="en-GB"/>
        </w:rPr>
        <w:t>.</w:t>
      </w:r>
      <w:r>
        <w:rPr>
          <w:rFonts w:asciiTheme="majorHAnsi" w:hAnsiTheme="majorHAnsi" w:cstheme="majorHAnsi"/>
          <w:lang w:val="en-GB"/>
        </w:rPr>
        <w:t>”</w:t>
      </w:r>
      <w:r>
        <w:rPr>
          <w:rStyle w:val="FootnoteReference"/>
          <w:rFonts w:asciiTheme="majorHAnsi" w:eastAsia="Arial Unicode MS" w:hAnsiTheme="majorHAnsi" w:cstheme="majorHAnsi"/>
          <w:lang w:val="en-GB"/>
        </w:rPr>
        <w:footnoteReference w:id="81"/>
      </w:r>
      <w:r w:rsidR="00D434EB">
        <w:rPr>
          <w:rFonts w:asciiTheme="majorHAnsi" w:hAnsiTheme="majorHAnsi" w:cstheme="majorHAnsi"/>
          <w:lang w:val="en-GB"/>
        </w:rPr>
        <w:t xml:space="preserve"> </w:t>
      </w:r>
      <w:r>
        <w:rPr>
          <w:rFonts w:asciiTheme="majorHAnsi" w:hAnsiTheme="majorHAnsi" w:cstheme="majorHAnsi"/>
          <w:lang w:val="en-GB"/>
        </w:rPr>
        <w:t xml:space="preserve">This statement was supported by comments from </w:t>
      </w:r>
      <w:r w:rsidRPr="00B16E26">
        <w:rPr>
          <w:rFonts w:asciiTheme="majorHAnsi" w:hAnsiTheme="majorHAnsi" w:cstheme="majorHAnsi"/>
          <w:lang w:val="en-GB"/>
        </w:rPr>
        <w:t>Central Offic</w:t>
      </w:r>
      <w:r>
        <w:rPr>
          <w:rFonts w:asciiTheme="majorHAnsi" w:hAnsiTheme="majorHAnsi" w:cstheme="majorHAnsi"/>
          <w:lang w:val="en-GB"/>
        </w:rPr>
        <w:t>e respondents</w:t>
      </w:r>
      <w:r w:rsidRPr="00B16E26">
        <w:rPr>
          <w:rFonts w:asciiTheme="majorHAnsi" w:hAnsiTheme="majorHAnsi" w:cstheme="majorHAnsi"/>
          <w:lang w:val="en-GB"/>
        </w:rPr>
        <w:t xml:space="preserve"> </w:t>
      </w:r>
      <w:r>
        <w:rPr>
          <w:rFonts w:asciiTheme="majorHAnsi" w:hAnsiTheme="majorHAnsi" w:cstheme="majorHAnsi"/>
          <w:lang w:val="en-GB"/>
        </w:rPr>
        <w:t xml:space="preserve">who </w:t>
      </w:r>
      <w:r w:rsidRPr="00B16E26">
        <w:rPr>
          <w:rFonts w:asciiTheme="majorHAnsi" w:hAnsiTheme="majorHAnsi" w:cstheme="majorHAnsi"/>
          <w:lang w:val="en-GB"/>
        </w:rPr>
        <w:t xml:space="preserve">claimed that </w:t>
      </w:r>
      <w:r>
        <w:rPr>
          <w:rFonts w:asciiTheme="majorHAnsi" w:hAnsiTheme="majorHAnsi" w:cstheme="majorHAnsi"/>
          <w:lang w:val="en-GB"/>
        </w:rPr>
        <w:t>currently,</w:t>
      </w:r>
      <w:r w:rsidRPr="00B16E26">
        <w:rPr>
          <w:rFonts w:asciiTheme="majorHAnsi" w:hAnsiTheme="majorHAnsi" w:cstheme="majorHAnsi"/>
          <w:lang w:val="en-GB"/>
        </w:rPr>
        <w:t xml:space="preserve"> whenever the Secretary </w:t>
      </w:r>
      <w:r>
        <w:rPr>
          <w:rFonts w:asciiTheme="majorHAnsi" w:hAnsiTheme="majorHAnsi" w:cstheme="majorHAnsi"/>
          <w:lang w:val="en-GB"/>
        </w:rPr>
        <w:t>or the</w:t>
      </w:r>
      <w:r w:rsidRPr="00B16E26">
        <w:rPr>
          <w:rFonts w:asciiTheme="majorHAnsi" w:hAnsiTheme="majorHAnsi" w:cstheme="majorHAnsi"/>
          <w:lang w:val="en-GB"/>
        </w:rPr>
        <w:t xml:space="preserve"> Exe</w:t>
      </w:r>
      <w:r>
        <w:rPr>
          <w:rFonts w:asciiTheme="majorHAnsi" w:hAnsiTheme="majorHAnsi" w:cstheme="majorHAnsi"/>
          <w:lang w:val="en-GB"/>
        </w:rPr>
        <w:t xml:space="preserve">cutive </w:t>
      </w:r>
      <w:r w:rsidRPr="00B16E26">
        <w:rPr>
          <w:rFonts w:asciiTheme="majorHAnsi" w:hAnsiTheme="majorHAnsi" w:cstheme="majorHAnsi"/>
          <w:lang w:val="en-GB"/>
        </w:rPr>
        <w:t>Com</w:t>
      </w:r>
      <w:r>
        <w:rPr>
          <w:rFonts w:asciiTheme="majorHAnsi" w:hAnsiTheme="majorHAnsi" w:cstheme="majorHAnsi"/>
          <w:lang w:val="en-GB"/>
        </w:rPr>
        <w:t>mittee</w:t>
      </w:r>
      <w:r w:rsidRPr="00B16E26">
        <w:rPr>
          <w:rFonts w:asciiTheme="majorHAnsi" w:hAnsiTheme="majorHAnsi" w:cstheme="majorHAnsi"/>
          <w:lang w:val="en-GB"/>
        </w:rPr>
        <w:t xml:space="preserve"> requests information</w:t>
      </w:r>
      <w:r>
        <w:rPr>
          <w:rFonts w:asciiTheme="majorHAnsi" w:hAnsiTheme="majorHAnsi" w:cstheme="majorHAnsi"/>
          <w:lang w:val="en-GB"/>
        </w:rPr>
        <w:t>,</w:t>
      </w:r>
      <w:r w:rsidRPr="00B16E26">
        <w:rPr>
          <w:rFonts w:asciiTheme="majorHAnsi" w:hAnsiTheme="majorHAnsi" w:cstheme="majorHAnsi"/>
          <w:lang w:val="en-GB"/>
        </w:rPr>
        <w:t xml:space="preserve"> they can </w:t>
      </w:r>
      <w:r>
        <w:rPr>
          <w:rFonts w:asciiTheme="majorHAnsi" w:hAnsiTheme="majorHAnsi" w:cstheme="majorHAnsi"/>
          <w:lang w:val="en-GB"/>
        </w:rPr>
        <w:t xml:space="preserve">easily </w:t>
      </w:r>
      <w:r w:rsidRPr="00B16E26">
        <w:rPr>
          <w:rFonts w:asciiTheme="majorHAnsi" w:hAnsiTheme="majorHAnsi" w:cstheme="majorHAnsi"/>
          <w:lang w:val="en-GB"/>
        </w:rPr>
        <w:t>provide it as requested</w:t>
      </w:r>
      <w:r>
        <w:rPr>
          <w:rFonts w:asciiTheme="majorHAnsi" w:hAnsiTheme="majorHAnsi" w:cstheme="majorHAnsi"/>
          <w:lang w:val="en-GB"/>
        </w:rPr>
        <w:t>.</w:t>
      </w:r>
    </w:p>
    <w:p w14:paraId="0DF333D0" w14:textId="704AEAEF" w:rsidR="008D0CAD" w:rsidRPr="009F621C" w:rsidRDefault="008D0CAD" w:rsidP="00671524">
      <w:pPr>
        <w:spacing w:before="100" w:beforeAutospacing="1" w:after="100" w:afterAutospacing="1" w:line="360" w:lineRule="auto"/>
        <w:rPr>
          <w:rFonts w:asciiTheme="majorHAnsi" w:hAnsiTheme="majorHAnsi" w:cstheme="majorHAnsi"/>
          <w:color w:val="000000" w:themeColor="text1"/>
        </w:rPr>
      </w:pPr>
      <w:r w:rsidRPr="009F621C">
        <w:rPr>
          <w:rFonts w:asciiTheme="majorHAnsi" w:hAnsiTheme="majorHAnsi" w:cstheme="majorHAnsi"/>
          <w:color w:val="000000" w:themeColor="text1"/>
        </w:rPr>
        <w:t>The full operationali</w:t>
      </w:r>
      <w:r>
        <w:rPr>
          <w:rFonts w:asciiTheme="majorHAnsi" w:hAnsiTheme="majorHAnsi" w:cstheme="majorHAnsi"/>
          <w:color w:val="000000" w:themeColor="text1"/>
        </w:rPr>
        <w:t>s</w:t>
      </w:r>
      <w:r w:rsidRPr="009F621C">
        <w:rPr>
          <w:rFonts w:asciiTheme="majorHAnsi" w:hAnsiTheme="majorHAnsi" w:cstheme="majorHAnsi"/>
          <w:color w:val="000000" w:themeColor="text1"/>
        </w:rPr>
        <w:t xml:space="preserve">ation of UISS enabled </w:t>
      </w:r>
      <w:r>
        <w:rPr>
          <w:rFonts w:asciiTheme="majorHAnsi" w:hAnsiTheme="majorHAnsi" w:cstheme="majorHAnsi"/>
          <w:color w:val="000000" w:themeColor="text1"/>
        </w:rPr>
        <w:t>DepEd</w:t>
      </w:r>
      <w:r w:rsidRPr="009F621C">
        <w:rPr>
          <w:rFonts w:asciiTheme="majorHAnsi" w:hAnsiTheme="majorHAnsi" w:cstheme="majorHAnsi"/>
          <w:color w:val="000000" w:themeColor="text1"/>
        </w:rPr>
        <w:t xml:space="preserve"> to improve its capacity to generate more than a dozen reports from the different sub-systems of the UISS (Table 3</w:t>
      </w:r>
      <w:r>
        <w:rPr>
          <w:rFonts w:asciiTheme="majorHAnsi" w:hAnsiTheme="majorHAnsi" w:cstheme="majorHAnsi"/>
          <w:color w:val="000000" w:themeColor="text1"/>
        </w:rPr>
        <w:t>6</w:t>
      </w:r>
      <w:r w:rsidRPr="009F621C">
        <w:rPr>
          <w:rFonts w:asciiTheme="majorHAnsi" w:hAnsiTheme="majorHAnsi" w:cstheme="majorHAnsi"/>
          <w:color w:val="000000" w:themeColor="text1"/>
        </w:rPr>
        <w:t>).</w:t>
      </w:r>
      <w:r>
        <w:rPr>
          <w:rFonts w:asciiTheme="majorHAnsi" w:hAnsiTheme="majorHAnsi" w:cstheme="majorHAnsi"/>
          <w:color w:val="000000" w:themeColor="text1"/>
        </w:rPr>
        <w:t xml:space="preserve"> </w:t>
      </w:r>
      <w:r w:rsidRPr="002E3F0C">
        <w:rPr>
          <w:rFonts w:asciiTheme="majorHAnsi" w:hAnsiTheme="majorHAnsi" w:cstheme="majorHAnsi"/>
          <w:bCs/>
          <w:color w:val="000000" w:themeColor="text1"/>
        </w:rPr>
        <w:t>Moreover,</w:t>
      </w:r>
      <w:r w:rsidRPr="002E3F0C">
        <w:rPr>
          <w:rFonts w:asciiTheme="majorHAnsi" w:hAnsiTheme="majorHAnsi" w:cstheme="majorHAnsi"/>
          <w:b/>
          <w:color w:val="000000" w:themeColor="text1"/>
        </w:rPr>
        <w:t xml:space="preserve"> </w:t>
      </w:r>
      <w:r w:rsidRPr="002E3F0C">
        <w:rPr>
          <w:rFonts w:asciiTheme="majorHAnsi" w:hAnsiTheme="majorHAnsi" w:cstheme="majorHAnsi"/>
          <w:color w:val="000000" w:themeColor="text1"/>
        </w:rPr>
        <w:t xml:space="preserve">when the BEST Program started, the ICT Operating Unit of </w:t>
      </w:r>
      <w:r>
        <w:rPr>
          <w:rFonts w:asciiTheme="majorHAnsi" w:hAnsiTheme="majorHAnsi" w:cstheme="majorHAnsi"/>
          <w:color w:val="000000" w:themeColor="text1"/>
        </w:rPr>
        <w:t>DepEd</w:t>
      </w:r>
      <w:r w:rsidRPr="002E3F0C">
        <w:rPr>
          <w:rFonts w:asciiTheme="majorHAnsi" w:hAnsiTheme="majorHAnsi" w:cstheme="majorHAnsi"/>
          <w:color w:val="000000" w:themeColor="text1"/>
        </w:rPr>
        <w:t xml:space="preserve"> was barely taking off.</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The Unit lacked highly competent personnel since IT experts tend to take advantage of competitive opportunities in the private sector. </w:t>
      </w:r>
      <w:r w:rsidRPr="002E3F0C">
        <w:rPr>
          <w:rFonts w:asciiTheme="majorHAnsi" w:hAnsiTheme="majorHAnsi" w:cstheme="majorHAnsi"/>
          <w:color w:val="000000" w:themeColor="text1"/>
        </w:rPr>
        <w:t>The BEST Program support</w:t>
      </w:r>
      <w:r>
        <w:rPr>
          <w:rFonts w:asciiTheme="majorHAnsi" w:hAnsiTheme="majorHAnsi" w:cstheme="majorHAnsi"/>
          <w:color w:val="000000" w:themeColor="text1"/>
        </w:rPr>
        <w:t>ed</w:t>
      </w:r>
      <w:r w:rsidRPr="002E3F0C">
        <w:rPr>
          <w:rFonts w:asciiTheme="majorHAnsi" w:hAnsiTheme="majorHAnsi" w:cstheme="majorHAnsi"/>
          <w:color w:val="000000" w:themeColor="text1"/>
        </w:rPr>
        <w:t xml:space="preserve"> </w:t>
      </w:r>
      <w:r>
        <w:rPr>
          <w:rFonts w:asciiTheme="majorHAnsi" w:hAnsiTheme="majorHAnsi" w:cstheme="majorHAnsi"/>
          <w:color w:val="000000" w:themeColor="text1"/>
        </w:rPr>
        <w:t>the</w:t>
      </w:r>
      <w:r w:rsidRPr="002E3F0C">
        <w:rPr>
          <w:rFonts w:asciiTheme="majorHAnsi" w:hAnsiTheme="majorHAnsi" w:cstheme="majorHAnsi"/>
          <w:color w:val="000000" w:themeColor="text1"/>
        </w:rPr>
        <w:t xml:space="preserve"> capacity building of the key technical </w:t>
      </w:r>
      <w:r>
        <w:rPr>
          <w:rFonts w:asciiTheme="majorHAnsi" w:hAnsiTheme="majorHAnsi" w:cstheme="majorHAnsi"/>
          <w:color w:val="000000" w:themeColor="text1"/>
        </w:rPr>
        <w:t>staff already with</w:t>
      </w:r>
      <w:r w:rsidRPr="002E3F0C">
        <w:rPr>
          <w:rFonts w:asciiTheme="majorHAnsi" w:hAnsiTheme="majorHAnsi" w:cstheme="majorHAnsi"/>
          <w:color w:val="000000" w:themeColor="text1"/>
        </w:rPr>
        <w:t xml:space="preserve">in </w:t>
      </w:r>
      <w:r>
        <w:rPr>
          <w:rFonts w:asciiTheme="majorHAnsi" w:hAnsiTheme="majorHAnsi" w:cstheme="majorHAnsi"/>
          <w:color w:val="000000" w:themeColor="text1"/>
        </w:rPr>
        <w:t xml:space="preserve">DepEd’s </w:t>
      </w:r>
      <w:r w:rsidRPr="002E3F0C">
        <w:rPr>
          <w:rFonts w:asciiTheme="majorHAnsi" w:hAnsiTheme="majorHAnsi" w:cstheme="majorHAnsi"/>
          <w:color w:val="000000" w:themeColor="text1"/>
        </w:rPr>
        <w:t>ICT</w:t>
      </w:r>
      <w:r>
        <w:rPr>
          <w:rFonts w:asciiTheme="majorHAnsi" w:hAnsiTheme="majorHAnsi" w:cstheme="majorHAnsi"/>
          <w:color w:val="000000" w:themeColor="text1"/>
        </w:rPr>
        <w:t xml:space="preserve"> </w:t>
      </w:r>
      <w:r w:rsidRPr="002E3F0C">
        <w:rPr>
          <w:rFonts w:asciiTheme="majorHAnsi" w:hAnsiTheme="majorHAnsi" w:cstheme="majorHAnsi"/>
          <w:color w:val="000000" w:themeColor="text1"/>
        </w:rPr>
        <w:t>S</w:t>
      </w:r>
      <w:r>
        <w:rPr>
          <w:rFonts w:asciiTheme="majorHAnsi" w:hAnsiTheme="majorHAnsi" w:cstheme="majorHAnsi"/>
          <w:color w:val="000000" w:themeColor="text1"/>
        </w:rPr>
        <w:t>ervice.</w:t>
      </w:r>
      <w:r w:rsidRPr="002E3F0C">
        <w:rPr>
          <w:rFonts w:asciiTheme="majorHAnsi" w:hAnsiTheme="majorHAnsi" w:cstheme="majorHAnsi"/>
          <w:color w:val="000000" w:themeColor="text1"/>
        </w:rPr>
        <w:t xml:space="preserve"> </w:t>
      </w:r>
      <w:r>
        <w:rPr>
          <w:rFonts w:asciiTheme="majorHAnsi" w:hAnsiTheme="majorHAnsi" w:cstheme="majorHAnsi"/>
          <w:color w:val="000000" w:themeColor="text1"/>
        </w:rPr>
        <w:t>It also provided technical assistance</w:t>
      </w:r>
      <w:r w:rsidRPr="002E3F0C">
        <w:rPr>
          <w:rFonts w:asciiTheme="majorHAnsi" w:hAnsiTheme="majorHAnsi" w:cstheme="majorHAnsi"/>
          <w:color w:val="000000" w:themeColor="text1"/>
        </w:rPr>
        <w:t xml:space="preserve"> in </w:t>
      </w:r>
      <w:r>
        <w:rPr>
          <w:rFonts w:asciiTheme="majorHAnsi" w:hAnsiTheme="majorHAnsi" w:cstheme="majorHAnsi"/>
          <w:color w:val="000000" w:themeColor="text1"/>
        </w:rPr>
        <w:t xml:space="preserve">strengthening the </w:t>
      </w:r>
      <w:r w:rsidRPr="002E3F0C">
        <w:rPr>
          <w:rFonts w:asciiTheme="majorHAnsi" w:hAnsiTheme="majorHAnsi" w:cstheme="majorHAnsi"/>
          <w:color w:val="000000" w:themeColor="text1"/>
        </w:rPr>
        <w:t>capacit</w:t>
      </w:r>
      <w:r>
        <w:rPr>
          <w:rFonts w:asciiTheme="majorHAnsi" w:hAnsiTheme="majorHAnsi" w:cstheme="majorHAnsi"/>
          <w:color w:val="000000" w:themeColor="text1"/>
        </w:rPr>
        <w:t>y of</w:t>
      </w:r>
      <w:r w:rsidRPr="002E3F0C">
        <w:rPr>
          <w:rFonts w:asciiTheme="majorHAnsi" w:hAnsiTheme="majorHAnsi" w:cstheme="majorHAnsi"/>
          <w:color w:val="000000" w:themeColor="text1"/>
        </w:rPr>
        <w:t xml:space="preserve"> users on the use of the different information systems.</w:t>
      </w:r>
    </w:p>
    <w:p w14:paraId="46175C13" w14:textId="20091AA8" w:rsidR="008D0CAD" w:rsidRPr="004A657A" w:rsidRDefault="008D0CAD" w:rsidP="00671524">
      <w:pPr>
        <w:pStyle w:val="Caption"/>
        <w:spacing w:before="100" w:beforeAutospacing="1" w:after="100" w:afterAutospacing="1" w:line="360" w:lineRule="auto"/>
        <w:rPr>
          <w:rFonts w:asciiTheme="majorHAnsi" w:hAnsiTheme="majorHAnsi" w:cstheme="majorHAnsi"/>
          <w:sz w:val="22"/>
          <w:szCs w:val="22"/>
        </w:rPr>
      </w:pPr>
      <w:bookmarkStart w:id="150" w:name="_Toc71616622"/>
      <w:r w:rsidRPr="004A657A">
        <w:rPr>
          <w:rFonts w:asciiTheme="majorHAnsi" w:hAnsiTheme="majorHAnsi" w:cstheme="majorHAnsi"/>
          <w:sz w:val="22"/>
          <w:szCs w:val="22"/>
        </w:rPr>
        <w:t xml:space="preserve">Table </w:t>
      </w:r>
      <w:r w:rsidRPr="004A657A">
        <w:rPr>
          <w:rFonts w:asciiTheme="majorHAnsi" w:hAnsiTheme="majorHAnsi" w:cstheme="majorHAnsi"/>
          <w:sz w:val="22"/>
          <w:szCs w:val="22"/>
        </w:rPr>
        <w:fldChar w:fldCharType="begin"/>
      </w:r>
      <w:r w:rsidRPr="004A657A">
        <w:rPr>
          <w:rFonts w:asciiTheme="majorHAnsi" w:hAnsiTheme="majorHAnsi" w:cstheme="majorHAnsi"/>
          <w:sz w:val="22"/>
          <w:szCs w:val="22"/>
        </w:rPr>
        <w:instrText xml:space="preserve"> SEQ Table \* ARABIC </w:instrText>
      </w:r>
      <w:r w:rsidRPr="004A657A">
        <w:rPr>
          <w:rFonts w:asciiTheme="majorHAnsi" w:hAnsiTheme="majorHAnsi" w:cstheme="majorHAnsi"/>
          <w:sz w:val="22"/>
          <w:szCs w:val="22"/>
        </w:rPr>
        <w:fldChar w:fldCharType="separate"/>
      </w:r>
      <w:r w:rsidR="00D6133D">
        <w:rPr>
          <w:rFonts w:asciiTheme="majorHAnsi" w:hAnsiTheme="majorHAnsi" w:cstheme="majorHAnsi"/>
          <w:noProof/>
          <w:sz w:val="22"/>
          <w:szCs w:val="22"/>
        </w:rPr>
        <w:t>31</w:t>
      </w:r>
      <w:r w:rsidRPr="004A657A">
        <w:rPr>
          <w:rFonts w:asciiTheme="majorHAnsi" w:hAnsiTheme="majorHAnsi" w:cstheme="majorHAnsi"/>
          <w:sz w:val="22"/>
          <w:szCs w:val="22"/>
        </w:rPr>
        <w:fldChar w:fldCharType="end"/>
      </w:r>
      <w:r w:rsidRPr="004A657A">
        <w:rPr>
          <w:rFonts w:asciiTheme="majorHAnsi" w:hAnsiTheme="majorHAnsi" w:cstheme="majorHAnsi"/>
          <w:sz w:val="22"/>
          <w:szCs w:val="22"/>
        </w:rPr>
        <w:t>. Reports Generated from UIS Sub-systems</w:t>
      </w:r>
      <w:bookmarkEnd w:id="150"/>
    </w:p>
    <w:tbl>
      <w:tblPr>
        <w:tblStyle w:val="TableGrid"/>
        <w:tblW w:w="0" w:type="auto"/>
        <w:tblLook w:val="04A0" w:firstRow="1" w:lastRow="0" w:firstColumn="1" w:lastColumn="0" w:noHBand="0" w:noVBand="1"/>
      </w:tblPr>
      <w:tblGrid>
        <w:gridCol w:w="1255"/>
        <w:gridCol w:w="1890"/>
        <w:gridCol w:w="5865"/>
      </w:tblGrid>
      <w:tr w:rsidR="008D0CAD" w:rsidRPr="00A60273" w14:paraId="79920ADA" w14:textId="77777777" w:rsidTr="004B064D">
        <w:trPr>
          <w:tblHeader/>
        </w:trPr>
        <w:tc>
          <w:tcPr>
            <w:tcW w:w="1255" w:type="dxa"/>
          </w:tcPr>
          <w:p w14:paraId="09341C03" w14:textId="77777777" w:rsidR="008D0CAD" w:rsidRPr="00A60273" w:rsidRDefault="008D0CAD" w:rsidP="00671524">
            <w:pPr>
              <w:spacing w:before="100" w:beforeAutospacing="1" w:after="100" w:afterAutospacing="1" w:line="360" w:lineRule="auto"/>
              <w:rPr>
                <w:rFonts w:asciiTheme="majorHAnsi" w:hAnsiTheme="majorHAnsi" w:cstheme="majorHAnsi"/>
                <w:b/>
                <w:sz w:val="20"/>
                <w:szCs w:val="20"/>
              </w:rPr>
            </w:pPr>
            <w:r w:rsidRPr="00A60273">
              <w:rPr>
                <w:rFonts w:asciiTheme="majorHAnsi" w:hAnsiTheme="majorHAnsi" w:cstheme="majorHAnsi"/>
                <w:b/>
                <w:sz w:val="20"/>
                <w:szCs w:val="20"/>
              </w:rPr>
              <w:t>UISS</w:t>
            </w:r>
          </w:p>
        </w:tc>
        <w:tc>
          <w:tcPr>
            <w:tcW w:w="1890" w:type="dxa"/>
          </w:tcPr>
          <w:p w14:paraId="2F234574" w14:textId="77777777" w:rsidR="008D0CAD" w:rsidRPr="00A60273" w:rsidRDefault="008D0CAD" w:rsidP="00671524">
            <w:pPr>
              <w:spacing w:before="100" w:beforeAutospacing="1" w:after="100" w:afterAutospacing="1" w:line="360" w:lineRule="auto"/>
              <w:rPr>
                <w:rFonts w:asciiTheme="majorHAnsi" w:hAnsiTheme="majorHAnsi" w:cstheme="majorHAnsi"/>
                <w:b/>
                <w:sz w:val="20"/>
                <w:szCs w:val="20"/>
              </w:rPr>
            </w:pPr>
            <w:r w:rsidRPr="00A60273">
              <w:rPr>
                <w:rFonts w:asciiTheme="majorHAnsi" w:hAnsiTheme="majorHAnsi" w:cstheme="majorHAnsi"/>
                <w:b/>
                <w:sz w:val="20"/>
                <w:szCs w:val="20"/>
              </w:rPr>
              <w:t>Level of Users</w:t>
            </w:r>
          </w:p>
        </w:tc>
        <w:tc>
          <w:tcPr>
            <w:tcW w:w="5865" w:type="dxa"/>
          </w:tcPr>
          <w:p w14:paraId="772C4CFA" w14:textId="77777777" w:rsidR="008D0CAD" w:rsidRPr="00A60273" w:rsidRDefault="008D0CAD" w:rsidP="00671524">
            <w:pPr>
              <w:spacing w:before="100" w:beforeAutospacing="1" w:after="100" w:afterAutospacing="1" w:line="360" w:lineRule="auto"/>
              <w:rPr>
                <w:rFonts w:asciiTheme="majorHAnsi" w:hAnsiTheme="majorHAnsi" w:cstheme="majorHAnsi"/>
                <w:b/>
                <w:sz w:val="20"/>
                <w:szCs w:val="20"/>
              </w:rPr>
            </w:pPr>
            <w:r w:rsidRPr="00A60273">
              <w:rPr>
                <w:rFonts w:asciiTheme="majorHAnsi" w:hAnsiTheme="majorHAnsi" w:cstheme="majorHAnsi"/>
                <w:b/>
                <w:sz w:val="20"/>
                <w:szCs w:val="20"/>
              </w:rPr>
              <w:t>Reports</w:t>
            </w:r>
          </w:p>
        </w:tc>
      </w:tr>
      <w:tr w:rsidR="008D0CAD" w:rsidRPr="00A60273" w14:paraId="7AB92782" w14:textId="77777777" w:rsidTr="0017212A">
        <w:tc>
          <w:tcPr>
            <w:tcW w:w="1255" w:type="dxa"/>
          </w:tcPr>
          <w:p w14:paraId="72B74D18" w14:textId="77777777" w:rsidR="008D0CAD" w:rsidRPr="00A60273" w:rsidRDefault="008D0CAD" w:rsidP="00671524">
            <w:pPr>
              <w:spacing w:before="100" w:beforeAutospacing="1" w:after="100" w:afterAutospacing="1" w:line="360" w:lineRule="auto"/>
              <w:rPr>
                <w:rFonts w:asciiTheme="majorHAnsi" w:hAnsiTheme="majorHAnsi" w:cstheme="majorHAnsi"/>
                <w:sz w:val="20"/>
                <w:szCs w:val="20"/>
              </w:rPr>
            </w:pPr>
            <w:r w:rsidRPr="00A60273">
              <w:rPr>
                <w:rFonts w:asciiTheme="majorHAnsi" w:hAnsiTheme="majorHAnsi" w:cstheme="majorHAnsi"/>
                <w:color w:val="000000"/>
                <w:sz w:val="20"/>
                <w:szCs w:val="20"/>
              </w:rPr>
              <w:t>EBEIS</w:t>
            </w:r>
          </w:p>
        </w:tc>
        <w:tc>
          <w:tcPr>
            <w:tcW w:w="1890" w:type="dxa"/>
          </w:tcPr>
          <w:p w14:paraId="7D159451" w14:textId="77777777" w:rsidR="008D0CAD" w:rsidRPr="00A60273" w:rsidRDefault="008D0CAD" w:rsidP="00671524">
            <w:pPr>
              <w:spacing w:before="100" w:beforeAutospacing="1" w:after="100" w:afterAutospacing="1" w:line="360" w:lineRule="auto"/>
              <w:rPr>
                <w:rFonts w:asciiTheme="majorHAnsi" w:hAnsiTheme="majorHAnsi" w:cstheme="majorHAnsi"/>
                <w:sz w:val="20"/>
                <w:szCs w:val="20"/>
              </w:rPr>
            </w:pPr>
            <w:r w:rsidRPr="00A60273">
              <w:rPr>
                <w:rFonts w:asciiTheme="majorHAnsi" w:hAnsiTheme="majorHAnsi" w:cstheme="majorHAnsi"/>
                <w:color w:val="000000"/>
                <w:sz w:val="20"/>
                <w:szCs w:val="20"/>
              </w:rPr>
              <w:t>Schools</w:t>
            </w:r>
          </w:p>
        </w:tc>
        <w:tc>
          <w:tcPr>
            <w:tcW w:w="5865" w:type="dxa"/>
          </w:tcPr>
          <w:p w14:paraId="3FE7D858" w14:textId="77777777" w:rsidR="008D0CAD" w:rsidRPr="00A60273" w:rsidRDefault="008D0CAD" w:rsidP="00671524">
            <w:pPr>
              <w:pStyle w:val="ListParagraph"/>
              <w:numPr>
                <w:ilvl w:val="0"/>
                <w:numId w:val="11"/>
              </w:numPr>
              <w:spacing w:before="100" w:beforeAutospacing="1" w:after="100" w:afterAutospacing="1" w:line="360" w:lineRule="auto"/>
              <w:rPr>
                <w:rFonts w:asciiTheme="majorHAnsi" w:hAnsiTheme="majorHAnsi" w:cstheme="majorHAnsi"/>
                <w:color w:val="000000"/>
                <w:sz w:val="20"/>
                <w:szCs w:val="20"/>
              </w:rPr>
            </w:pPr>
            <w:r w:rsidRPr="00A60273">
              <w:rPr>
                <w:rFonts w:asciiTheme="majorHAnsi" w:hAnsiTheme="majorHAnsi" w:cstheme="majorHAnsi"/>
                <w:color w:val="000000"/>
                <w:sz w:val="20"/>
                <w:szCs w:val="20"/>
              </w:rPr>
              <w:t>GESP - Government Elementary School Profile</w:t>
            </w:r>
          </w:p>
          <w:p w14:paraId="3C63779E" w14:textId="77777777" w:rsidR="008D0CAD" w:rsidRPr="00A60273" w:rsidRDefault="008D0CAD" w:rsidP="00671524">
            <w:pPr>
              <w:pStyle w:val="ListParagraph"/>
              <w:numPr>
                <w:ilvl w:val="0"/>
                <w:numId w:val="11"/>
              </w:numPr>
              <w:spacing w:before="100" w:beforeAutospacing="1" w:after="100" w:afterAutospacing="1" w:line="360" w:lineRule="auto"/>
              <w:rPr>
                <w:rFonts w:asciiTheme="majorHAnsi" w:hAnsiTheme="majorHAnsi" w:cstheme="majorHAnsi"/>
                <w:color w:val="000000"/>
                <w:sz w:val="20"/>
                <w:szCs w:val="20"/>
              </w:rPr>
            </w:pPr>
            <w:r w:rsidRPr="00A60273">
              <w:rPr>
                <w:rFonts w:asciiTheme="majorHAnsi" w:hAnsiTheme="majorHAnsi" w:cstheme="majorHAnsi"/>
                <w:color w:val="000000"/>
                <w:sz w:val="20"/>
                <w:szCs w:val="20"/>
              </w:rPr>
              <w:t>GJHSP - Government Junior High School Profile</w:t>
            </w:r>
          </w:p>
          <w:p w14:paraId="4EF0C575" w14:textId="77777777" w:rsidR="008D0CAD" w:rsidRPr="00A60273" w:rsidRDefault="008D0CAD" w:rsidP="00671524">
            <w:pPr>
              <w:pStyle w:val="ListParagraph"/>
              <w:numPr>
                <w:ilvl w:val="0"/>
                <w:numId w:val="11"/>
              </w:numPr>
              <w:spacing w:before="100" w:beforeAutospacing="1" w:after="100" w:afterAutospacing="1" w:line="360" w:lineRule="auto"/>
              <w:rPr>
                <w:rFonts w:asciiTheme="majorHAnsi" w:hAnsiTheme="majorHAnsi" w:cstheme="majorHAnsi"/>
                <w:color w:val="000000"/>
                <w:sz w:val="20"/>
                <w:szCs w:val="20"/>
              </w:rPr>
            </w:pPr>
            <w:r w:rsidRPr="00A60273">
              <w:rPr>
                <w:rFonts w:asciiTheme="majorHAnsi" w:hAnsiTheme="majorHAnsi" w:cstheme="majorHAnsi"/>
                <w:color w:val="000000"/>
                <w:sz w:val="20"/>
                <w:szCs w:val="20"/>
              </w:rPr>
              <w:t>GSHSP - Government Senior High School Profile</w:t>
            </w:r>
          </w:p>
          <w:p w14:paraId="05D40A46" w14:textId="77777777" w:rsidR="008D0CAD" w:rsidRPr="00A60273" w:rsidRDefault="008D0CAD" w:rsidP="00671524">
            <w:pPr>
              <w:pStyle w:val="ListParagraph"/>
              <w:numPr>
                <w:ilvl w:val="0"/>
                <w:numId w:val="11"/>
              </w:numPr>
              <w:spacing w:before="100" w:beforeAutospacing="1" w:after="100" w:afterAutospacing="1" w:line="360" w:lineRule="auto"/>
              <w:rPr>
                <w:rFonts w:asciiTheme="majorHAnsi" w:hAnsiTheme="majorHAnsi" w:cstheme="majorHAnsi"/>
                <w:color w:val="000000"/>
                <w:sz w:val="20"/>
                <w:szCs w:val="20"/>
              </w:rPr>
            </w:pPr>
            <w:r w:rsidRPr="00A60273">
              <w:rPr>
                <w:rFonts w:asciiTheme="majorHAnsi" w:hAnsiTheme="majorHAnsi" w:cstheme="majorHAnsi"/>
                <w:color w:val="000000"/>
                <w:sz w:val="20"/>
                <w:szCs w:val="20"/>
              </w:rPr>
              <w:t>PSP - Private School Profile</w:t>
            </w:r>
          </w:p>
          <w:p w14:paraId="329AE111" w14:textId="77777777" w:rsidR="008D0CAD" w:rsidRPr="00A60273" w:rsidRDefault="008D0CAD" w:rsidP="00671524">
            <w:pPr>
              <w:pStyle w:val="ListParagraph"/>
              <w:numPr>
                <w:ilvl w:val="0"/>
                <w:numId w:val="11"/>
              </w:numPr>
              <w:spacing w:before="100" w:beforeAutospacing="1" w:after="100" w:afterAutospacing="1" w:line="360" w:lineRule="auto"/>
              <w:rPr>
                <w:rFonts w:asciiTheme="majorHAnsi" w:hAnsiTheme="majorHAnsi" w:cstheme="majorHAnsi"/>
                <w:sz w:val="20"/>
                <w:szCs w:val="20"/>
              </w:rPr>
            </w:pPr>
            <w:r w:rsidRPr="00A60273">
              <w:rPr>
                <w:rFonts w:asciiTheme="majorHAnsi" w:hAnsiTheme="majorHAnsi" w:cstheme="majorHAnsi"/>
                <w:color w:val="000000"/>
                <w:sz w:val="20"/>
                <w:szCs w:val="20"/>
              </w:rPr>
              <w:t>SUC/LUC Profile - State University and Colleges/Local University and Colleges Profile</w:t>
            </w:r>
          </w:p>
        </w:tc>
      </w:tr>
      <w:tr w:rsidR="008D0CAD" w:rsidRPr="00A60273" w14:paraId="3FC65E3E" w14:textId="77777777" w:rsidTr="0017212A">
        <w:tc>
          <w:tcPr>
            <w:tcW w:w="1255" w:type="dxa"/>
          </w:tcPr>
          <w:p w14:paraId="2C2D9A5E" w14:textId="77777777" w:rsidR="008D0CAD" w:rsidRPr="00A60273" w:rsidRDefault="008D0CAD" w:rsidP="00671524">
            <w:pPr>
              <w:spacing w:before="100" w:beforeAutospacing="1" w:after="100" w:afterAutospacing="1" w:line="360" w:lineRule="auto"/>
              <w:rPr>
                <w:rFonts w:asciiTheme="majorHAnsi" w:hAnsiTheme="majorHAnsi" w:cstheme="majorHAnsi"/>
                <w:sz w:val="20"/>
                <w:szCs w:val="20"/>
              </w:rPr>
            </w:pPr>
          </w:p>
        </w:tc>
        <w:tc>
          <w:tcPr>
            <w:tcW w:w="1890" w:type="dxa"/>
          </w:tcPr>
          <w:p w14:paraId="6C87D09A" w14:textId="77777777" w:rsidR="008D0CAD" w:rsidRPr="00A60273" w:rsidRDefault="008D0CAD" w:rsidP="00671524">
            <w:pPr>
              <w:spacing w:before="100" w:beforeAutospacing="1" w:after="100" w:afterAutospacing="1" w:line="360" w:lineRule="auto"/>
              <w:rPr>
                <w:rFonts w:asciiTheme="majorHAnsi" w:hAnsiTheme="majorHAnsi" w:cstheme="majorHAnsi"/>
                <w:sz w:val="20"/>
                <w:szCs w:val="20"/>
              </w:rPr>
            </w:pPr>
            <w:r w:rsidRPr="00A60273">
              <w:rPr>
                <w:rFonts w:asciiTheme="majorHAnsi" w:hAnsiTheme="majorHAnsi" w:cstheme="majorHAnsi"/>
                <w:color w:val="000000"/>
                <w:sz w:val="20"/>
                <w:szCs w:val="20"/>
              </w:rPr>
              <w:t>CO, RO and DO</w:t>
            </w:r>
          </w:p>
        </w:tc>
        <w:tc>
          <w:tcPr>
            <w:tcW w:w="5865" w:type="dxa"/>
          </w:tcPr>
          <w:p w14:paraId="315A9696" w14:textId="77777777" w:rsidR="008D0CAD" w:rsidRPr="00A60273" w:rsidRDefault="008D0CAD" w:rsidP="00671524">
            <w:pPr>
              <w:pStyle w:val="ListParagraph"/>
              <w:numPr>
                <w:ilvl w:val="0"/>
                <w:numId w:val="11"/>
              </w:numPr>
              <w:spacing w:before="100" w:beforeAutospacing="1" w:after="100" w:afterAutospacing="1" w:line="360" w:lineRule="auto"/>
              <w:rPr>
                <w:rFonts w:asciiTheme="majorHAnsi" w:hAnsiTheme="majorHAnsi" w:cstheme="majorHAnsi"/>
                <w:color w:val="000000"/>
                <w:sz w:val="20"/>
                <w:szCs w:val="20"/>
              </w:rPr>
            </w:pPr>
            <w:r w:rsidRPr="00A60273">
              <w:rPr>
                <w:rFonts w:asciiTheme="majorHAnsi" w:hAnsiTheme="majorHAnsi" w:cstheme="majorHAnsi"/>
                <w:color w:val="000000"/>
                <w:sz w:val="20"/>
                <w:szCs w:val="20"/>
              </w:rPr>
              <w:t>Consolidated data on the different data collected - school, division, region or national level</w:t>
            </w:r>
          </w:p>
          <w:p w14:paraId="7B4FCF08" w14:textId="77777777" w:rsidR="008D0CAD" w:rsidRPr="00A60273" w:rsidRDefault="008D0CAD" w:rsidP="00671524">
            <w:pPr>
              <w:pStyle w:val="ListParagraph"/>
              <w:numPr>
                <w:ilvl w:val="0"/>
                <w:numId w:val="11"/>
              </w:numPr>
              <w:spacing w:before="100" w:beforeAutospacing="1" w:after="100" w:afterAutospacing="1" w:line="360" w:lineRule="auto"/>
              <w:rPr>
                <w:rFonts w:asciiTheme="majorHAnsi" w:hAnsiTheme="majorHAnsi" w:cstheme="majorHAnsi"/>
                <w:sz w:val="20"/>
                <w:szCs w:val="20"/>
              </w:rPr>
            </w:pPr>
            <w:r w:rsidRPr="00A60273">
              <w:rPr>
                <w:rFonts w:asciiTheme="majorHAnsi" w:hAnsiTheme="majorHAnsi" w:cstheme="majorHAnsi"/>
                <w:color w:val="000000"/>
                <w:sz w:val="20"/>
                <w:szCs w:val="20"/>
              </w:rPr>
              <w:t>Performance indicators</w:t>
            </w:r>
          </w:p>
        </w:tc>
      </w:tr>
      <w:tr w:rsidR="008D0CAD" w:rsidRPr="00A60273" w14:paraId="44833A38" w14:textId="77777777" w:rsidTr="0017212A">
        <w:trPr>
          <w:trHeight w:val="54"/>
        </w:trPr>
        <w:tc>
          <w:tcPr>
            <w:tcW w:w="1255" w:type="dxa"/>
          </w:tcPr>
          <w:p w14:paraId="381A3F93" w14:textId="77777777" w:rsidR="008D0CAD" w:rsidRPr="00A60273" w:rsidRDefault="008D0CAD" w:rsidP="00671524">
            <w:pPr>
              <w:spacing w:before="100" w:beforeAutospacing="1" w:after="100" w:afterAutospacing="1" w:line="360" w:lineRule="auto"/>
              <w:rPr>
                <w:rFonts w:asciiTheme="majorHAnsi" w:hAnsiTheme="majorHAnsi" w:cstheme="majorHAnsi"/>
                <w:color w:val="000000"/>
                <w:sz w:val="20"/>
                <w:szCs w:val="20"/>
              </w:rPr>
            </w:pPr>
            <w:r w:rsidRPr="00A60273">
              <w:rPr>
                <w:rFonts w:asciiTheme="majorHAnsi" w:hAnsiTheme="majorHAnsi" w:cstheme="majorHAnsi"/>
                <w:color w:val="000000"/>
                <w:sz w:val="20"/>
                <w:szCs w:val="20"/>
              </w:rPr>
              <w:t>LIS</w:t>
            </w:r>
          </w:p>
        </w:tc>
        <w:tc>
          <w:tcPr>
            <w:tcW w:w="1890" w:type="dxa"/>
          </w:tcPr>
          <w:p w14:paraId="6205B614" w14:textId="77777777" w:rsidR="008D0CAD" w:rsidRPr="00A60273" w:rsidRDefault="008D0CAD" w:rsidP="00671524">
            <w:pPr>
              <w:spacing w:before="100" w:beforeAutospacing="1" w:after="100" w:afterAutospacing="1" w:line="360" w:lineRule="auto"/>
              <w:rPr>
                <w:rFonts w:asciiTheme="majorHAnsi" w:hAnsiTheme="majorHAnsi" w:cstheme="majorHAnsi"/>
                <w:color w:val="000000"/>
                <w:sz w:val="20"/>
                <w:szCs w:val="20"/>
              </w:rPr>
            </w:pPr>
            <w:r w:rsidRPr="00A60273">
              <w:rPr>
                <w:rFonts w:asciiTheme="majorHAnsi" w:hAnsiTheme="majorHAnsi" w:cstheme="majorHAnsi"/>
                <w:color w:val="000000"/>
                <w:sz w:val="20"/>
                <w:szCs w:val="20"/>
              </w:rPr>
              <w:t>Schools</w:t>
            </w:r>
          </w:p>
        </w:tc>
        <w:tc>
          <w:tcPr>
            <w:tcW w:w="5865" w:type="dxa"/>
          </w:tcPr>
          <w:p w14:paraId="102708A4" w14:textId="77777777" w:rsidR="008D0CAD" w:rsidRPr="00A60273" w:rsidRDefault="008D0CAD" w:rsidP="00671524">
            <w:pPr>
              <w:pStyle w:val="ListParagraph"/>
              <w:numPr>
                <w:ilvl w:val="0"/>
                <w:numId w:val="11"/>
              </w:numPr>
              <w:spacing w:before="100" w:beforeAutospacing="1" w:after="100" w:afterAutospacing="1" w:line="360" w:lineRule="auto"/>
              <w:rPr>
                <w:rFonts w:asciiTheme="majorHAnsi" w:hAnsiTheme="majorHAnsi" w:cstheme="majorHAnsi"/>
                <w:color w:val="000000"/>
                <w:sz w:val="20"/>
                <w:szCs w:val="20"/>
              </w:rPr>
            </w:pPr>
            <w:r w:rsidRPr="00A60273">
              <w:rPr>
                <w:rFonts w:asciiTheme="majorHAnsi" w:hAnsiTheme="majorHAnsi" w:cstheme="majorHAnsi"/>
                <w:color w:val="000000"/>
                <w:sz w:val="20"/>
                <w:szCs w:val="20"/>
              </w:rPr>
              <w:t>School Forms</w:t>
            </w:r>
          </w:p>
        </w:tc>
      </w:tr>
      <w:tr w:rsidR="008D0CAD" w:rsidRPr="00A60273" w14:paraId="6F41DBCE" w14:textId="77777777" w:rsidTr="0017212A">
        <w:tc>
          <w:tcPr>
            <w:tcW w:w="1255" w:type="dxa"/>
          </w:tcPr>
          <w:p w14:paraId="795D4A7C" w14:textId="77777777" w:rsidR="008D0CAD" w:rsidRPr="00A60273" w:rsidRDefault="008D0CAD" w:rsidP="00671524">
            <w:pPr>
              <w:spacing w:before="100" w:beforeAutospacing="1" w:after="100" w:afterAutospacing="1" w:line="360" w:lineRule="auto"/>
              <w:rPr>
                <w:rFonts w:asciiTheme="majorHAnsi" w:hAnsiTheme="majorHAnsi" w:cstheme="majorHAnsi"/>
                <w:color w:val="000000"/>
                <w:sz w:val="20"/>
                <w:szCs w:val="20"/>
              </w:rPr>
            </w:pPr>
            <w:r w:rsidRPr="00A60273">
              <w:rPr>
                <w:rFonts w:asciiTheme="majorHAnsi" w:hAnsiTheme="majorHAnsi" w:cstheme="majorHAnsi"/>
                <w:color w:val="000000"/>
                <w:sz w:val="20"/>
                <w:szCs w:val="20"/>
              </w:rPr>
              <w:t>PMIS</w:t>
            </w:r>
          </w:p>
          <w:p w14:paraId="0AFF7694" w14:textId="77777777" w:rsidR="008D0CAD" w:rsidRPr="00A60273" w:rsidRDefault="008D0CAD" w:rsidP="00671524">
            <w:pPr>
              <w:spacing w:before="100" w:beforeAutospacing="1" w:after="100" w:afterAutospacing="1" w:line="360" w:lineRule="auto"/>
              <w:rPr>
                <w:rFonts w:asciiTheme="majorHAnsi" w:hAnsiTheme="majorHAnsi" w:cstheme="majorHAnsi"/>
                <w:color w:val="000000"/>
                <w:sz w:val="20"/>
                <w:szCs w:val="20"/>
              </w:rPr>
            </w:pPr>
          </w:p>
        </w:tc>
        <w:tc>
          <w:tcPr>
            <w:tcW w:w="1890" w:type="dxa"/>
          </w:tcPr>
          <w:p w14:paraId="0574C53D" w14:textId="77777777" w:rsidR="008D0CAD" w:rsidRPr="00A60273" w:rsidRDefault="008D0CAD" w:rsidP="00671524">
            <w:pPr>
              <w:spacing w:before="100" w:beforeAutospacing="1" w:after="100" w:afterAutospacing="1" w:line="360" w:lineRule="auto"/>
              <w:rPr>
                <w:rFonts w:asciiTheme="majorHAnsi" w:hAnsiTheme="majorHAnsi" w:cstheme="majorHAnsi"/>
                <w:color w:val="000000"/>
                <w:sz w:val="20"/>
                <w:szCs w:val="20"/>
              </w:rPr>
            </w:pPr>
            <w:r w:rsidRPr="00A60273">
              <w:rPr>
                <w:rFonts w:asciiTheme="majorHAnsi" w:hAnsiTheme="majorHAnsi" w:cstheme="majorHAnsi"/>
                <w:color w:val="000000"/>
                <w:sz w:val="20"/>
                <w:szCs w:val="20"/>
              </w:rPr>
              <w:t>RO and DO</w:t>
            </w:r>
          </w:p>
        </w:tc>
        <w:tc>
          <w:tcPr>
            <w:tcW w:w="5865" w:type="dxa"/>
          </w:tcPr>
          <w:p w14:paraId="6BBF74D9" w14:textId="77777777" w:rsidR="008D0CAD" w:rsidRPr="00A60273" w:rsidRDefault="008D0CAD" w:rsidP="00671524">
            <w:pPr>
              <w:pStyle w:val="ListParagraph"/>
              <w:numPr>
                <w:ilvl w:val="0"/>
                <w:numId w:val="11"/>
              </w:numPr>
              <w:spacing w:before="100" w:beforeAutospacing="1" w:after="100" w:afterAutospacing="1" w:line="360" w:lineRule="auto"/>
              <w:rPr>
                <w:rFonts w:asciiTheme="majorHAnsi" w:hAnsiTheme="majorHAnsi" w:cstheme="majorHAnsi"/>
                <w:color w:val="000000"/>
                <w:sz w:val="20"/>
                <w:szCs w:val="20"/>
              </w:rPr>
            </w:pPr>
            <w:r w:rsidRPr="00A60273">
              <w:rPr>
                <w:rFonts w:asciiTheme="majorHAnsi" w:hAnsiTheme="majorHAnsi" w:cstheme="majorHAnsi"/>
                <w:color w:val="000000"/>
                <w:sz w:val="20"/>
                <w:szCs w:val="20"/>
              </w:rPr>
              <w:t>WFP - Work and Financial Plan</w:t>
            </w:r>
          </w:p>
          <w:p w14:paraId="2AF291CF" w14:textId="77777777" w:rsidR="008D0CAD" w:rsidRPr="00A60273" w:rsidRDefault="008D0CAD" w:rsidP="00671524">
            <w:pPr>
              <w:pStyle w:val="ListParagraph"/>
              <w:numPr>
                <w:ilvl w:val="0"/>
                <w:numId w:val="11"/>
              </w:numPr>
              <w:spacing w:before="100" w:beforeAutospacing="1" w:after="100" w:afterAutospacing="1" w:line="360" w:lineRule="auto"/>
              <w:rPr>
                <w:rFonts w:asciiTheme="majorHAnsi" w:hAnsiTheme="majorHAnsi" w:cstheme="majorHAnsi"/>
                <w:color w:val="000000"/>
                <w:sz w:val="20"/>
                <w:szCs w:val="20"/>
              </w:rPr>
            </w:pPr>
            <w:r w:rsidRPr="00A60273">
              <w:rPr>
                <w:rFonts w:asciiTheme="majorHAnsi" w:hAnsiTheme="majorHAnsi" w:cstheme="majorHAnsi"/>
                <w:color w:val="000000"/>
                <w:sz w:val="20"/>
                <w:szCs w:val="20"/>
              </w:rPr>
              <w:t>PPMP - Project Procurement Management Plan</w:t>
            </w:r>
          </w:p>
          <w:p w14:paraId="36D0781C" w14:textId="77777777" w:rsidR="008D0CAD" w:rsidRPr="00A60273" w:rsidRDefault="008D0CAD" w:rsidP="00671524">
            <w:pPr>
              <w:pStyle w:val="ListParagraph"/>
              <w:numPr>
                <w:ilvl w:val="0"/>
                <w:numId w:val="11"/>
              </w:numPr>
              <w:spacing w:before="100" w:beforeAutospacing="1" w:after="100" w:afterAutospacing="1" w:line="360" w:lineRule="auto"/>
              <w:rPr>
                <w:rFonts w:asciiTheme="majorHAnsi" w:hAnsiTheme="majorHAnsi" w:cstheme="majorHAnsi"/>
                <w:color w:val="000000"/>
                <w:sz w:val="20"/>
                <w:szCs w:val="20"/>
              </w:rPr>
            </w:pPr>
            <w:r w:rsidRPr="00A60273">
              <w:rPr>
                <w:rFonts w:asciiTheme="majorHAnsi" w:hAnsiTheme="majorHAnsi" w:cstheme="majorHAnsi"/>
                <w:color w:val="000000"/>
                <w:sz w:val="20"/>
                <w:szCs w:val="20"/>
              </w:rPr>
              <w:t>APP - Annual Procurement Plan</w:t>
            </w:r>
          </w:p>
          <w:p w14:paraId="769C8FB4" w14:textId="77777777" w:rsidR="008D0CAD" w:rsidRPr="00A60273" w:rsidRDefault="008D0CAD" w:rsidP="00671524">
            <w:pPr>
              <w:pStyle w:val="ListParagraph"/>
              <w:numPr>
                <w:ilvl w:val="0"/>
                <w:numId w:val="11"/>
              </w:numPr>
              <w:spacing w:before="100" w:beforeAutospacing="1" w:after="100" w:afterAutospacing="1" w:line="360" w:lineRule="auto"/>
              <w:rPr>
                <w:rFonts w:asciiTheme="majorHAnsi" w:hAnsiTheme="majorHAnsi" w:cstheme="majorHAnsi"/>
                <w:color w:val="000000"/>
                <w:sz w:val="20"/>
                <w:szCs w:val="20"/>
              </w:rPr>
            </w:pPr>
            <w:r w:rsidRPr="00A60273">
              <w:rPr>
                <w:rFonts w:asciiTheme="majorHAnsi" w:hAnsiTheme="majorHAnsi" w:cstheme="majorHAnsi"/>
                <w:color w:val="000000"/>
                <w:sz w:val="20"/>
                <w:szCs w:val="20"/>
              </w:rPr>
              <w:t>APP-CSE - Annual Procurement Plan - Common-Use Supplies and Equipment</w:t>
            </w:r>
          </w:p>
        </w:tc>
      </w:tr>
    </w:tbl>
    <w:p w14:paraId="4C9A71EF" w14:textId="77777777" w:rsidR="008D0CAD" w:rsidRPr="002339E6" w:rsidRDefault="008D0CAD" w:rsidP="00671524">
      <w:pPr>
        <w:spacing w:before="100" w:beforeAutospacing="1" w:after="100" w:afterAutospacing="1" w:line="360" w:lineRule="auto"/>
        <w:rPr>
          <w:rFonts w:asciiTheme="majorHAnsi" w:eastAsia="Garamond" w:hAnsiTheme="majorHAnsi" w:cstheme="majorHAnsi"/>
          <w:sz w:val="14"/>
          <w:szCs w:val="14"/>
        </w:rPr>
      </w:pPr>
      <w:r w:rsidRPr="002339E6">
        <w:rPr>
          <w:rFonts w:asciiTheme="majorHAnsi" w:eastAsia="Garamond" w:hAnsiTheme="majorHAnsi" w:cstheme="majorHAnsi"/>
          <w:sz w:val="14"/>
          <w:szCs w:val="14"/>
        </w:rPr>
        <w:t>Source: DepEd-ICTS-SDD, 2019</w:t>
      </w:r>
    </w:p>
    <w:p w14:paraId="3018B6E9" w14:textId="5EA3DE11" w:rsidR="008D0CAD" w:rsidRPr="00002C9F" w:rsidRDefault="008D0CAD" w:rsidP="00DD08E3">
      <w:pPr>
        <w:pStyle w:val="Heading5"/>
        <w:numPr>
          <w:ilvl w:val="3"/>
          <w:numId w:val="165"/>
        </w:numPr>
        <w:spacing w:before="100" w:beforeAutospacing="1" w:after="100" w:afterAutospacing="1" w:line="360" w:lineRule="auto"/>
      </w:pPr>
      <w:r w:rsidRPr="00002C9F">
        <w:t>Enhanced Basic Education Information System (EBEIS)</w:t>
      </w:r>
    </w:p>
    <w:p w14:paraId="3F2DE63B" w14:textId="77777777" w:rsidR="008D0CAD" w:rsidRDefault="008D0CAD" w:rsidP="00671524">
      <w:pPr>
        <w:spacing w:before="100" w:beforeAutospacing="1" w:after="100" w:afterAutospacing="1"/>
        <w:ind w:left="431" w:right="431"/>
        <w:rPr>
          <w:rFonts w:asciiTheme="majorHAnsi" w:hAnsiTheme="majorHAnsi" w:cstheme="majorHAnsi"/>
          <w:color w:val="000000" w:themeColor="text1"/>
        </w:rPr>
      </w:pPr>
      <w:r>
        <w:rPr>
          <w:rFonts w:asciiTheme="majorHAnsi" w:hAnsiTheme="majorHAnsi" w:cstheme="majorHAnsi"/>
        </w:rPr>
        <w:t>“</w:t>
      </w:r>
      <w:r w:rsidRPr="00EE3A98">
        <w:rPr>
          <w:rFonts w:asciiTheme="majorHAnsi" w:hAnsiTheme="majorHAnsi" w:cstheme="majorHAnsi"/>
          <w:i/>
        </w:rPr>
        <w:t>Because of automation, data generation</w:t>
      </w:r>
      <w:r>
        <w:rPr>
          <w:rFonts w:asciiTheme="majorHAnsi" w:hAnsiTheme="majorHAnsi" w:cstheme="majorHAnsi"/>
          <w:i/>
        </w:rPr>
        <w:t xml:space="preserve"> and</w:t>
      </w:r>
      <w:r w:rsidRPr="00EE3A98">
        <w:rPr>
          <w:rFonts w:asciiTheme="majorHAnsi" w:hAnsiTheme="majorHAnsi" w:cstheme="majorHAnsi"/>
          <w:i/>
        </w:rPr>
        <w:t xml:space="preserve"> tracking</w:t>
      </w:r>
      <w:r>
        <w:rPr>
          <w:rFonts w:asciiTheme="majorHAnsi" w:hAnsiTheme="majorHAnsi" w:cstheme="majorHAnsi"/>
          <w:i/>
        </w:rPr>
        <w:t xml:space="preserve"> has become</w:t>
      </w:r>
      <w:r w:rsidRPr="00EE3A98">
        <w:rPr>
          <w:rFonts w:asciiTheme="majorHAnsi" w:hAnsiTheme="majorHAnsi" w:cstheme="majorHAnsi"/>
          <w:i/>
        </w:rPr>
        <w:t xml:space="preserve"> easier and easier. </w:t>
      </w:r>
      <w:r>
        <w:rPr>
          <w:rFonts w:asciiTheme="majorHAnsi" w:hAnsiTheme="majorHAnsi" w:cstheme="majorHAnsi"/>
          <w:i/>
        </w:rPr>
        <w:t>DepEd</w:t>
      </w:r>
      <w:r w:rsidRPr="00EE3A98">
        <w:rPr>
          <w:rFonts w:asciiTheme="majorHAnsi" w:hAnsiTheme="majorHAnsi" w:cstheme="majorHAnsi"/>
          <w:i/>
        </w:rPr>
        <w:t xml:space="preserve"> is now implementing SSOD </w:t>
      </w:r>
      <w:r>
        <w:rPr>
          <w:rFonts w:asciiTheme="majorHAnsi" w:hAnsiTheme="majorHAnsi" w:cstheme="majorHAnsi"/>
          <w:i/>
        </w:rPr>
        <w:t>or</w:t>
      </w:r>
      <w:r w:rsidRPr="00EE3A98">
        <w:rPr>
          <w:rFonts w:asciiTheme="majorHAnsi" w:hAnsiTheme="majorHAnsi" w:cstheme="majorHAnsi"/>
          <w:i/>
        </w:rPr>
        <w:t xml:space="preserve"> “single source of official data” and this came about because of EBEIS</w:t>
      </w:r>
      <w:r w:rsidRPr="00650DB8">
        <w:rPr>
          <w:rFonts w:asciiTheme="majorHAnsi" w:hAnsiTheme="majorHAnsi" w:cstheme="majorHAnsi"/>
        </w:rPr>
        <w:t>.</w:t>
      </w:r>
      <w:r>
        <w:rPr>
          <w:rFonts w:asciiTheme="majorHAnsi" w:hAnsiTheme="majorHAnsi" w:cstheme="majorHAnsi"/>
        </w:rPr>
        <w:t>”</w:t>
      </w:r>
      <w:r w:rsidRPr="00650DB8">
        <w:rPr>
          <w:rFonts w:asciiTheme="majorHAnsi" w:hAnsiTheme="majorHAnsi" w:cstheme="majorHAnsi"/>
        </w:rPr>
        <w:t xml:space="preserve"> </w:t>
      </w:r>
      <w:r>
        <w:rPr>
          <w:rFonts w:asciiTheme="majorHAnsi" w:hAnsiTheme="majorHAnsi" w:cstheme="majorHAnsi"/>
        </w:rPr>
        <w:t xml:space="preserve">- </w:t>
      </w:r>
      <w:r w:rsidRPr="00904C34">
        <w:rPr>
          <w:rFonts w:asciiTheme="majorHAnsi" w:hAnsiTheme="majorHAnsi" w:cstheme="majorHAnsi"/>
          <w:color w:val="000000" w:themeColor="text1"/>
        </w:rPr>
        <w:t xml:space="preserve">Region </w:t>
      </w:r>
      <w:r>
        <w:rPr>
          <w:rFonts w:asciiTheme="majorHAnsi" w:hAnsiTheme="majorHAnsi" w:cstheme="majorHAnsi"/>
          <w:color w:val="000000" w:themeColor="text1"/>
        </w:rPr>
        <w:t>V respondent</w:t>
      </w:r>
    </w:p>
    <w:p w14:paraId="5EE63A40" w14:textId="0523D414" w:rsidR="008D0CAD" w:rsidRDefault="008D0CAD" w:rsidP="00671524">
      <w:pPr>
        <w:spacing w:before="100" w:beforeAutospacing="1" w:after="100" w:afterAutospacing="1" w:line="360" w:lineRule="auto"/>
        <w:rPr>
          <w:rFonts w:asciiTheme="majorHAnsi" w:hAnsiTheme="majorHAnsi" w:cstheme="majorHAnsi"/>
        </w:rPr>
      </w:pPr>
      <w:r w:rsidRPr="00FD7269">
        <w:rPr>
          <w:rFonts w:asciiTheme="majorHAnsi" w:hAnsiTheme="majorHAnsi" w:cstheme="majorHAnsi"/>
        </w:rPr>
        <w:t xml:space="preserve">Under </w:t>
      </w:r>
      <w:r>
        <w:rPr>
          <w:rFonts w:asciiTheme="majorHAnsi" w:hAnsiTheme="majorHAnsi" w:cstheme="majorHAnsi"/>
        </w:rPr>
        <w:t xml:space="preserve">the </w:t>
      </w:r>
      <w:r w:rsidRPr="00FD7269">
        <w:rPr>
          <w:rFonts w:asciiTheme="majorHAnsi" w:hAnsiTheme="majorHAnsi" w:cstheme="majorHAnsi"/>
        </w:rPr>
        <w:t>BEST</w:t>
      </w:r>
      <w:r>
        <w:rPr>
          <w:rFonts w:asciiTheme="majorHAnsi" w:hAnsiTheme="majorHAnsi" w:cstheme="majorHAnsi"/>
        </w:rPr>
        <w:t xml:space="preserve"> Program</w:t>
      </w:r>
      <w:r w:rsidRPr="00FD7269">
        <w:rPr>
          <w:rFonts w:asciiTheme="majorHAnsi" w:hAnsiTheme="majorHAnsi" w:cstheme="majorHAnsi"/>
        </w:rPr>
        <w:t>, facilities for decentrali</w:t>
      </w:r>
      <w:r>
        <w:rPr>
          <w:rFonts w:asciiTheme="majorHAnsi" w:hAnsiTheme="majorHAnsi" w:cstheme="majorHAnsi"/>
        </w:rPr>
        <w:t>s</w:t>
      </w:r>
      <w:r w:rsidRPr="00FD7269">
        <w:rPr>
          <w:rFonts w:asciiTheme="majorHAnsi" w:hAnsiTheme="majorHAnsi" w:cstheme="majorHAnsi"/>
        </w:rPr>
        <w:t>ed maintenance of school profile and updating of school profile for senior high school and private schools, local universities and state universities and colleges were added</w:t>
      </w:r>
      <w:r>
        <w:rPr>
          <w:rFonts w:asciiTheme="majorHAnsi" w:hAnsiTheme="majorHAnsi" w:cstheme="majorHAnsi"/>
        </w:rPr>
        <w:t xml:space="preserve"> into the Enhanced Basic Education Information System (EBEIS)</w:t>
      </w:r>
      <w:r w:rsidRPr="00FD7269">
        <w:rPr>
          <w:rFonts w:asciiTheme="majorHAnsi" w:hAnsiTheme="majorHAnsi" w:cstheme="majorHAnsi"/>
        </w:rPr>
        <w:t>.</w:t>
      </w:r>
      <w:r w:rsidR="00D434EB">
        <w:rPr>
          <w:rFonts w:asciiTheme="majorHAnsi" w:hAnsiTheme="majorHAnsi" w:cstheme="majorHAnsi"/>
        </w:rPr>
        <w:t xml:space="preserve"> </w:t>
      </w:r>
      <w:r>
        <w:rPr>
          <w:rFonts w:asciiTheme="majorHAnsi" w:hAnsiTheme="majorHAnsi" w:cstheme="majorHAnsi"/>
        </w:rPr>
        <w:t>The EBEIS</w:t>
      </w:r>
      <w:r w:rsidRPr="00FD7269">
        <w:rPr>
          <w:rFonts w:asciiTheme="majorHAnsi" w:hAnsiTheme="majorHAnsi" w:cstheme="majorHAnsi"/>
        </w:rPr>
        <w:t xml:space="preserve"> is currently acknowledged as the official registry of </w:t>
      </w:r>
      <w:r>
        <w:rPr>
          <w:rFonts w:asciiTheme="majorHAnsi" w:hAnsiTheme="majorHAnsi" w:cstheme="majorHAnsi"/>
        </w:rPr>
        <w:t xml:space="preserve">elementary and secondary </w:t>
      </w:r>
      <w:r w:rsidRPr="00FD7269">
        <w:rPr>
          <w:rFonts w:asciiTheme="majorHAnsi" w:hAnsiTheme="majorHAnsi" w:cstheme="majorHAnsi"/>
        </w:rPr>
        <w:t>schools as provided in various department orders as mandated by D.O 45, s.2017</w:t>
      </w:r>
      <w:r>
        <w:rPr>
          <w:rFonts w:asciiTheme="majorHAnsi" w:hAnsiTheme="majorHAnsi" w:cstheme="majorHAnsi"/>
        </w:rPr>
        <w:t xml:space="preserve"> and </w:t>
      </w:r>
      <w:r w:rsidRPr="00FD7269">
        <w:rPr>
          <w:rFonts w:asciiTheme="majorHAnsi" w:hAnsiTheme="majorHAnsi" w:cstheme="majorHAnsi"/>
        </w:rPr>
        <w:t>D.O 23, s.2017.</w:t>
      </w:r>
    </w:p>
    <w:p w14:paraId="41559AC4" w14:textId="6ED712B5" w:rsidR="008D0CAD" w:rsidRDefault="008D0CAD" w:rsidP="00671524">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rPr>
        <w:t>The utilisation of EBEIS provides strong evidence of the Program’s contributions to enhancing DepEd systems.</w:t>
      </w:r>
      <w:r w:rsidR="00D434EB">
        <w:rPr>
          <w:rFonts w:asciiTheme="majorHAnsi" w:hAnsiTheme="majorHAnsi" w:cstheme="majorHAnsi"/>
        </w:rPr>
        <w:t xml:space="preserve"> </w:t>
      </w:r>
      <w:r>
        <w:rPr>
          <w:rFonts w:asciiTheme="majorHAnsi" w:hAnsiTheme="majorHAnsi" w:cstheme="majorHAnsi"/>
        </w:rPr>
        <w:t xml:space="preserve">In general, the EOPE Study found high utilisation of the UIS </w:t>
      </w:r>
      <w:r w:rsidRPr="009F621C">
        <w:rPr>
          <w:rFonts w:asciiTheme="majorHAnsi" w:hAnsiTheme="majorHAnsi" w:cstheme="majorHAnsi"/>
          <w:color w:val="000000" w:themeColor="text1"/>
        </w:rPr>
        <w:t xml:space="preserve">systems among </w:t>
      </w:r>
      <w:r>
        <w:rPr>
          <w:rFonts w:asciiTheme="majorHAnsi" w:hAnsiTheme="majorHAnsi" w:cstheme="majorHAnsi"/>
          <w:color w:val="000000" w:themeColor="text1"/>
        </w:rPr>
        <w:t>DepEd</w:t>
      </w:r>
      <w:r w:rsidRPr="009F621C">
        <w:rPr>
          <w:rFonts w:asciiTheme="majorHAnsi" w:hAnsiTheme="majorHAnsi" w:cstheme="majorHAnsi"/>
          <w:color w:val="000000" w:themeColor="text1"/>
        </w:rPr>
        <w:t xml:space="preserve"> managers as well as school-level managers in public and private schools.</w:t>
      </w:r>
      <w:r w:rsidR="00D434EB">
        <w:rPr>
          <w:rFonts w:asciiTheme="majorHAnsi" w:hAnsiTheme="majorHAnsi" w:cstheme="majorHAnsi"/>
          <w:color w:val="000000" w:themeColor="text1"/>
        </w:rPr>
        <w:t xml:space="preserve"> </w:t>
      </w:r>
      <w:r w:rsidRPr="009F621C">
        <w:rPr>
          <w:rFonts w:asciiTheme="majorHAnsi" w:hAnsiTheme="majorHAnsi" w:cstheme="majorHAnsi"/>
          <w:color w:val="000000" w:themeColor="text1"/>
        </w:rPr>
        <w:t>In 2015, 61,567 out of 63,396 schools (96.1</w:t>
      </w:r>
      <w:r>
        <w:rPr>
          <w:rFonts w:asciiTheme="majorHAnsi" w:hAnsiTheme="majorHAnsi" w:cstheme="majorHAnsi"/>
          <w:color w:val="000000" w:themeColor="text1"/>
        </w:rPr>
        <w:t xml:space="preserve"> per cent</w:t>
      </w:r>
      <w:r w:rsidRPr="009F621C">
        <w:rPr>
          <w:rFonts w:asciiTheme="majorHAnsi" w:hAnsiTheme="majorHAnsi" w:cstheme="majorHAnsi"/>
          <w:color w:val="000000" w:themeColor="text1"/>
        </w:rPr>
        <w:t xml:space="preserve">) submitted data for uploading into the EBEIS (Figure </w:t>
      </w:r>
      <w:r>
        <w:rPr>
          <w:rFonts w:asciiTheme="majorHAnsi" w:hAnsiTheme="majorHAnsi" w:cstheme="majorHAnsi"/>
          <w:color w:val="000000" w:themeColor="text1"/>
        </w:rPr>
        <w:t>20</w:t>
      </w:r>
      <w:r w:rsidRPr="009F621C">
        <w:rPr>
          <w:rFonts w:asciiTheme="majorHAnsi" w:hAnsiTheme="majorHAnsi" w:cstheme="majorHAnsi"/>
          <w:color w:val="000000" w:themeColor="text1"/>
        </w:rPr>
        <w:t>).</w:t>
      </w:r>
    </w:p>
    <w:p w14:paraId="0C1F322A" w14:textId="77777777" w:rsidR="008D0CAD" w:rsidRPr="00F6007D" w:rsidRDefault="008D0CAD" w:rsidP="00671524">
      <w:pPr>
        <w:spacing w:before="100" w:beforeAutospacing="1" w:after="100" w:afterAutospacing="1" w:line="360" w:lineRule="auto"/>
        <w:rPr>
          <w:rFonts w:asciiTheme="majorHAnsi" w:hAnsiTheme="majorHAnsi" w:cstheme="majorHAnsi"/>
          <w:b/>
          <w:bCs/>
          <w:color w:val="000000" w:themeColor="text1"/>
        </w:rPr>
      </w:pPr>
      <w:r w:rsidRPr="00C02379">
        <w:rPr>
          <w:rFonts w:asciiTheme="majorHAnsi" w:hAnsiTheme="majorHAnsi" w:cstheme="majorHAnsi"/>
          <w:b/>
          <w:bCs/>
          <w:color w:val="000000" w:themeColor="text1"/>
        </w:rPr>
        <w:t>It should be noted that more than half of these schools were located outside the BEST Program-assisted regions, indicating the substantial spill-over of the benefits of UISS to other regions.</w:t>
      </w:r>
    </w:p>
    <w:p w14:paraId="23D42A62" w14:textId="77777777" w:rsidR="008D0CAD" w:rsidRDefault="008D0CAD" w:rsidP="00671524">
      <w:pPr>
        <w:spacing w:before="100" w:beforeAutospacing="1" w:after="100" w:afterAutospacing="1" w:line="360" w:lineRule="auto"/>
        <w:rPr>
          <w:rFonts w:asciiTheme="majorHAnsi" w:hAnsiTheme="majorHAnsi" w:cstheme="majorHAnsi"/>
        </w:rPr>
      </w:pPr>
      <w:r w:rsidRPr="00A53436">
        <w:rPr>
          <w:rFonts w:asciiTheme="majorHAnsi" w:hAnsiTheme="majorHAnsi" w:cstheme="majorHAnsi"/>
          <w:color w:val="000000" w:themeColor="text1"/>
        </w:rPr>
        <w:t xml:space="preserve">According to an FGD respondent </w:t>
      </w:r>
      <w:r>
        <w:rPr>
          <w:rFonts w:asciiTheme="majorHAnsi" w:hAnsiTheme="majorHAnsi" w:cstheme="majorHAnsi"/>
        </w:rPr>
        <w:t>from one RO, “</w:t>
      </w:r>
      <w:r w:rsidRPr="005D5C33">
        <w:rPr>
          <w:rFonts w:asciiTheme="majorHAnsi" w:hAnsiTheme="majorHAnsi" w:cstheme="majorHAnsi"/>
          <w:i/>
          <w:color w:val="222222"/>
          <w:shd w:val="clear" w:color="auto" w:fill="FFFFFF"/>
        </w:rPr>
        <w:t xml:space="preserve">Under the </w:t>
      </w:r>
      <w:r w:rsidRPr="005D5C33">
        <w:rPr>
          <w:rFonts w:asciiTheme="majorHAnsi" w:hAnsiTheme="majorHAnsi" w:cstheme="majorHAnsi"/>
          <w:bCs/>
          <w:i/>
          <w:color w:val="222222"/>
          <w:shd w:val="clear" w:color="auto" w:fill="FFFFFF"/>
        </w:rPr>
        <w:t>EBEIS</w:t>
      </w:r>
      <w:r w:rsidRPr="005D5C33">
        <w:rPr>
          <w:rFonts w:asciiTheme="majorHAnsi" w:hAnsiTheme="majorHAnsi" w:cstheme="majorHAnsi"/>
          <w:i/>
          <w:color w:val="222222"/>
          <w:shd w:val="clear" w:color="auto" w:fill="FFFFFF"/>
        </w:rPr>
        <w:t>, e</w:t>
      </w:r>
      <w:r w:rsidRPr="005D5C33">
        <w:rPr>
          <w:rFonts w:asciiTheme="majorHAnsi" w:hAnsiTheme="majorHAnsi" w:cstheme="majorHAnsi"/>
          <w:i/>
        </w:rPr>
        <w:t xml:space="preserve">very end of the school year, </w:t>
      </w:r>
      <w:r>
        <w:rPr>
          <w:rFonts w:asciiTheme="majorHAnsi" w:hAnsiTheme="majorHAnsi" w:cstheme="majorHAnsi"/>
          <w:i/>
        </w:rPr>
        <w:t xml:space="preserve">principals and </w:t>
      </w:r>
      <w:r w:rsidRPr="005D5C33">
        <w:rPr>
          <w:rFonts w:asciiTheme="majorHAnsi" w:hAnsiTheme="majorHAnsi" w:cstheme="majorHAnsi"/>
          <w:i/>
        </w:rPr>
        <w:t>school heads are requested to encode in their reports</w:t>
      </w:r>
      <w:r>
        <w:rPr>
          <w:rFonts w:asciiTheme="majorHAnsi" w:hAnsiTheme="majorHAnsi" w:cstheme="majorHAnsi"/>
          <w:i/>
        </w:rPr>
        <w:t>,</w:t>
      </w:r>
      <w:r w:rsidRPr="005D5C33">
        <w:rPr>
          <w:rFonts w:asciiTheme="majorHAnsi" w:hAnsiTheme="majorHAnsi" w:cstheme="majorHAnsi"/>
          <w:i/>
        </w:rPr>
        <w:t xml:space="preserve"> the data as to the number of enrollees, because the number of classrooms is based on the number of enrollees</w:t>
      </w:r>
      <w:r w:rsidRPr="00650DB8">
        <w:rPr>
          <w:rFonts w:asciiTheme="majorHAnsi" w:hAnsiTheme="majorHAnsi" w:cstheme="majorHAnsi"/>
        </w:rPr>
        <w:t>.</w:t>
      </w:r>
      <w:r>
        <w:rPr>
          <w:rFonts w:asciiTheme="majorHAnsi" w:hAnsiTheme="majorHAnsi" w:cstheme="majorHAnsi"/>
        </w:rPr>
        <w:t>”</w:t>
      </w:r>
    </w:p>
    <w:p w14:paraId="1D6AC320" w14:textId="28F37FDC" w:rsidR="008D0CAD" w:rsidRPr="00F6007D" w:rsidRDefault="008D0CAD" w:rsidP="00671524">
      <w:pPr>
        <w:spacing w:before="100" w:beforeAutospacing="1" w:after="100" w:afterAutospacing="1" w:line="360" w:lineRule="auto"/>
        <w:rPr>
          <w:rFonts w:asciiTheme="majorHAnsi" w:hAnsiTheme="majorHAnsi" w:cstheme="majorHAnsi"/>
          <w:color w:val="000000"/>
        </w:rPr>
      </w:pPr>
      <w:r>
        <w:rPr>
          <w:rFonts w:asciiTheme="majorHAnsi" w:hAnsiTheme="majorHAnsi" w:cstheme="majorHAnsi"/>
          <w:color w:val="000000"/>
        </w:rPr>
        <w:t xml:space="preserve">Within the BEST Program-assisted regions, the increasing number of schools using EBEIS within the </w:t>
      </w:r>
      <w:r w:rsidRPr="00A53436">
        <w:rPr>
          <w:rFonts w:asciiTheme="majorHAnsi" w:hAnsiTheme="majorHAnsi" w:cstheme="majorHAnsi"/>
          <w:color w:val="000000" w:themeColor="text1"/>
        </w:rPr>
        <w:t xml:space="preserve">BEST </w:t>
      </w:r>
      <w:r w:rsidRPr="00D3469C">
        <w:rPr>
          <w:rFonts w:asciiTheme="majorHAnsi" w:hAnsiTheme="majorHAnsi" w:cstheme="majorHAnsi"/>
          <w:color w:val="000000" w:themeColor="text1"/>
        </w:rPr>
        <w:t>Regions from 2015-2017 was sustained</w:t>
      </w:r>
      <w:r w:rsidRPr="00D3469C">
        <w:rPr>
          <w:rStyle w:val="FootnoteReference"/>
          <w:rFonts w:asciiTheme="majorHAnsi" w:eastAsia="Arial Unicode MS" w:hAnsiTheme="majorHAnsi" w:cstheme="majorHAnsi"/>
          <w:color w:val="000000" w:themeColor="text1"/>
        </w:rPr>
        <w:footnoteReference w:id="82"/>
      </w:r>
      <w:r w:rsidRPr="00D3469C">
        <w:rPr>
          <w:rFonts w:asciiTheme="majorHAnsi" w:hAnsiTheme="majorHAnsi" w:cstheme="majorHAnsi"/>
          <w:color w:val="000000" w:themeColor="text1"/>
        </w:rPr>
        <w:t xml:space="preserve">. About a fifth of these schools were located in Region VI (Figure </w:t>
      </w:r>
      <w:r>
        <w:rPr>
          <w:rFonts w:asciiTheme="majorHAnsi" w:hAnsiTheme="majorHAnsi" w:cstheme="majorHAnsi"/>
          <w:color w:val="000000" w:themeColor="text1"/>
        </w:rPr>
        <w:t>21</w:t>
      </w:r>
      <w:r w:rsidRPr="00D3469C">
        <w:rPr>
          <w:rFonts w:asciiTheme="majorHAnsi" w:hAnsiTheme="majorHAnsi" w:cstheme="majorHAnsi"/>
          <w:color w:val="000000" w:themeColor="text1"/>
        </w:rPr>
        <w:t>).</w:t>
      </w:r>
      <w:r w:rsidR="00D434EB">
        <w:rPr>
          <w:rFonts w:asciiTheme="majorHAnsi" w:hAnsiTheme="majorHAnsi" w:cstheme="majorHAnsi"/>
          <w:color w:val="000000" w:themeColor="text1"/>
        </w:rPr>
        <w:t xml:space="preserve"> </w:t>
      </w:r>
      <w:r w:rsidRPr="00A53436">
        <w:rPr>
          <w:rFonts w:asciiTheme="majorHAnsi" w:hAnsiTheme="majorHAnsi" w:cstheme="majorHAnsi"/>
          <w:color w:val="000000" w:themeColor="text1"/>
        </w:rPr>
        <w:t>The largest increases</w:t>
      </w:r>
      <w:r>
        <w:rPr>
          <w:rFonts w:asciiTheme="majorHAnsi" w:hAnsiTheme="majorHAnsi" w:cstheme="majorHAnsi"/>
          <w:color w:val="000000" w:themeColor="text1"/>
        </w:rPr>
        <w:t xml:space="preserve"> among BEST Regions</w:t>
      </w:r>
      <w:r w:rsidRPr="00A53436">
        <w:rPr>
          <w:rFonts w:asciiTheme="majorHAnsi" w:hAnsiTheme="majorHAnsi" w:cstheme="majorHAnsi"/>
          <w:color w:val="000000" w:themeColor="text1"/>
        </w:rPr>
        <w:t>, however, were</w:t>
      </w:r>
      <w:r>
        <w:rPr>
          <w:rFonts w:asciiTheme="majorHAnsi" w:hAnsiTheme="majorHAnsi" w:cstheme="majorHAnsi"/>
          <w:color w:val="000000" w:themeColor="text1"/>
        </w:rPr>
        <w:t xml:space="preserve"> posted</w:t>
      </w:r>
      <w:r w:rsidRPr="00A53436">
        <w:rPr>
          <w:rFonts w:asciiTheme="majorHAnsi" w:hAnsiTheme="majorHAnsi" w:cstheme="majorHAnsi"/>
          <w:color w:val="000000" w:themeColor="text1"/>
        </w:rPr>
        <w:t xml:space="preserve"> in NCR and Region VII.</w:t>
      </w:r>
      <w:r>
        <w:rPr>
          <w:rFonts w:asciiTheme="majorHAnsi" w:hAnsiTheme="majorHAnsi" w:cstheme="majorHAnsi"/>
          <w:color w:val="000000" w:themeColor="text1"/>
        </w:rPr>
        <w:t xml:space="preserve"> </w:t>
      </w:r>
      <w:r>
        <w:rPr>
          <w:rFonts w:asciiTheme="majorHAnsi" w:hAnsiTheme="majorHAnsi" w:cstheme="majorHAnsi"/>
          <w:color w:val="000000"/>
        </w:rPr>
        <w:t>The rise in the number of school-level data sets in EBEIS was attributed to the upsurge of more than 20 per cent in the number of public schools uploading data.</w:t>
      </w:r>
      <w:r w:rsidR="00D434EB">
        <w:rPr>
          <w:rFonts w:asciiTheme="majorHAnsi" w:hAnsiTheme="majorHAnsi" w:cstheme="majorHAnsi"/>
          <w:color w:val="000000"/>
        </w:rPr>
        <w:t xml:space="preserve"> </w:t>
      </w:r>
    </w:p>
    <w:p w14:paraId="23CC6E14" w14:textId="5E6931F7" w:rsidR="008D0CAD" w:rsidRPr="004A657A" w:rsidRDefault="008D0CAD" w:rsidP="00671524">
      <w:pPr>
        <w:spacing w:before="100" w:beforeAutospacing="1" w:after="100" w:afterAutospacing="1" w:line="360" w:lineRule="auto"/>
        <w:ind w:right="89"/>
        <w:rPr>
          <w:rFonts w:asciiTheme="majorHAnsi" w:hAnsiTheme="majorHAnsi" w:cstheme="majorHAnsi"/>
          <w:i/>
          <w:color w:val="44546A" w:themeColor="text2"/>
          <w:sz w:val="22"/>
          <w:szCs w:val="22"/>
        </w:rPr>
      </w:pPr>
      <w:bookmarkStart w:id="151" w:name="_Toc14028948"/>
      <w:bookmarkStart w:id="152" w:name="_Toc71616543"/>
      <w:r w:rsidRPr="004A657A">
        <w:rPr>
          <w:rFonts w:asciiTheme="majorHAnsi" w:hAnsiTheme="majorHAnsi" w:cstheme="majorHAnsi"/>
          <w:i/>
          <w:color w:val="44546A" w:themeColor="text2"/>
          <w:sz w:val="22"/>
          <w:szCs w:val="22"/>
        </w:rPr>
        <w:t xml:space="preserve">Figure </w:t>
      </w:r>
      <w:r w:rsidRPr="004A657A">
        <w:rPr>
          <w:rFonts w:asciiTheme="majorHAnsi" w:hAnsiTheme="majorHAnsi" w:cstheme="majorHAnsi"/>
          <w:i/>
          <w:color w:val="44546A" w:themeColor="text2"/>
          <w:sz w:val="22"/>
          <w:szCs w:val="22"/>
        </w:rPr>
        <w:fldChar w:fldCharType="begin"/>
      </w:r>
      <w:r w:rsidRPr="004A657A">
        <w:rPr>
          <w:rFonts w:asciiTheme="majorHAnsi" w:hAnsiTheme="majorHAnsi" w:cstheme="majorHAnsi"/>
          <w:i/>
          <w:color w:val="44546A" w:themeColor="text2"/>
          <w:sz w:val="22"/>
          <w:szCs w:val="22"/>
        </w:rPr>
        <w:instrText xml:space="preserve"> SEQ Figure \* ARABIC </w:instrText>
      </w:r>
      <w:r w:rsidRPr="004A657A">
        <w:rPr>
          <w:rFonts w:asciiTheme="majorHAnsi" w:hAnsiTheme="majorHAnsi" w:cstheme="majorHAnsi"/>
          <w:i/>
          <w:color w:val="44546A" w:themeColor="text2"/>
          <w:sz w:val="22"/>
          <w:szCs w:val="22"/>
        </w:rPr>
        <w:fldChar w:fldCharType="separate"/>
      </w:r>
      <w:r w:rsidR="00D6133D">
        <w:rPr>
          <w:rFonts w:asciiTheme="majorHAnsi" w:hAnsiTheme="majorHAnsi" w:cstheme="majorHAnsi"/>
          <w:i/>
          <w:noProof/>
          <w:color w:val="44546A" w:themeColor="text2"/>
          <w:sz w:val="22"/>
          <w:szCs w:val="22"/>
        </w:rPr>
        <w:t>16</w:t>
      </w:r>
      <w:r w:rsidRPr="004A657A">
        <w:rPr>
          <w:rFonts w:asciiTheme="majorHAnsi" w:hAnsiTheme="majorHAnsi" w:cstheme="majorHAnsi"/>
          <w:i/>
          <w:color w:val="44546A" w:themeColor="text2"/>
          <w:sz w:val="22"/>
          <w:szCs w:val="22"/>
        </w:rPr>
        <w:fldChar w:fldCharType="end"/>
      </w:r>
      <w:r w:rsidRPr="004A657A">
        <w:rPr>
          <w:rFonts w:asciiTheme="majorHAnsi" w:hAnsiTheme="majorHAnsi" w:cstheme="majorHAnsi"/>
          <w:i/>
          <w:color w:val="44546A" w:themeColor="text2"/>
          <w:sz w:val="22"/>
          <w:szCs w:val="22"/>
        </w:rPr>
        <w:t>. Schools that uploaded data in EBEIS, in BEST and Non-BEST supported regions, 2015-2017</w:t>
      </w:r>
      <w:bookmarkEnd w:id="151"/>
      <w:bookmarkEnd w:id="152"/>
    </w:p>
    <w:p w14:paraId="74A7CBBB" w14:textId="77777777" w:rsidR="008D0CAD" w:rsidRPr="00F6007D" w:rsidRDefault="008D0CAD" w:rsidP="00671524">
      <w:pPr>
        <w:spacing w:before="100" w:beforeAutospacing="1" w:after="100" w:afterAutospacing="1" w:line="360" w:lineRule="auto"/>
        <w:rPr>
          <w:rFonts w:asciiTheme="majorHAnsi" w:hAnsiTheme="majorHAnsi" w:cstheme="majorHAnsi"/>
        </w:rPr>
      </w:pPr>
      <w:r>
        <w:rPr>
          <w:rFonts w:asciiTheme="majorHAnsi" w:hAnsiTheme="majorHAnsi" w:cstheme="majorHAnsi"/>
          <w:b/>
          <w:bCs/>
          <w:noProof/>
          <w:color w:val="000000" w:themeColor="text1"/>
          <w:lang w:val="en-AU" w:eastAsia="en-AU"/>
        </w:rPr>
        <w:drawing>
          <wp:inline distT="0" distB="0" distL="0" distR="0" wp14:anchorId="5B0610CC" wp14:editId="17B00588">
            <wp:extent cx="4013200" cy="2559685"/>
            <wp:effectExtent l="0" t="0" r="0" b="5715"/>
            <wp:docPr id="79" name="Picture 79" descr="Line chart of  Schools that uploaded data in EBEIS, in BEST and Non-BEST supported regions, 2015-2017. Upward trend. Higher for Non-BEST regions than BEST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Line chart of  Schools that uploaded data in EBEIS, in BEST and Non-BEST supported regions, 2015-2017. Upward trend. Higher for Non-BEST regions than BEST regions."/>
                    <pic:cNvPicPr/>
                  </pic:nvPicPr>
                  <pic:blipFill rotWithShape="1">
                    <a:blip r:embed="rId38" cstate="print">
                      <a:extLst>
                        <a:ext uri="{28A0092B-C50C-407E-A947-70E740481C1C}">
                          <a14:useLocalDpi xmlns:a14="http://schemas.microsoft.com/office/drawing/2010/main" val="0"/>
                        </a:ext>
                      </a:extLst>
                    </a:blip>
                    <a:srcRect l="26425" t="32702" r="36857" b="29819"/>
                    <a:stretch/>
                  </pic:blipFill>
                  <pic:spPr bwMode="auto">
                    <a:xfrm>
                      <a:off x="0" y="0"/>
                      <a:ext cx="4013200" cy="2559685"/>
                    </a:xfrm>
                    <a:prstGeom prst="rect">
                      <a:avLst/>
                    </a:prstGeom>
                    <a:ln>
                      <a:noFill/>
                    </a:ln>
                    <a:extLst>
                      <a:ext uri="{53640926-AAD7-44D8-BBD7-CCE9431645EC}">
                        <a14:shadowObscured xmlns:a14="http://schemas.microsoft.com/office/drawing/2010/main"/>
                      </a:ext>
                    </a:extLst>
                  </pic:spPr>
                </pic:pic>
              </a:graphicData>
            </a:graphic>
          </wp:inline>
        </w:drawing>
      </w:r>
      <w:bookmarkStart w:id="153" w:name="_Toc14028949"/>
    </w:p>
    <w:p w14:paraId="643FB64C" w14:textId="191D4D02" w:rsidR="008D0CAD" w:rsidRPr="004A657A" w:rsidRDefault="008D0CAD" w:rsidP="00671524">
      <w:pPr>
        <w:spacing w:before="100" w:beforeAutospacing="1" w:after="100" w:afterAutospacing="1" w:line="360" w:lineRule="auto"/>
        <w:rPr>
          <w:rFonts w:asciiTheme="majorHAnsi" w:hAnsiTheme="majorHAnsi" w:cstheme="majorHAnsi"/>
          <w:color w:val="44546A" w:themeColor="text2"/>
        </w:rPr>
      </w:pPr>
      <w:bookmarkStart w:id="154" w:name="_Toc71616544"/>
      <w:r w:rsidRPr="004A657A">
        <w:rPr>
          <w:rFonts w:asciiTheme="majorHAnsi" w:hAnsiTheme="majorHAnsi" w:cstheme="majorHAnsi"/>
          <w:i/>
          <w:color w:val="44546A" w:themeColor="text2"/>
          <w:sz w:val="22"/>
          <w:szCs w:val="22"/>
        </w:rPr>
        <w:t xml:space="preserve">Figure </w:t>
      </w:r>
      <w:r w:rsidRPr="004A657A">
        <w:rPr>
          <w:rFonts w:asciiTheme="majorHAnsi" w:hAnsiTheme="majorHAnsi" w:cstheme="majorHAnsi"/>
          <w:i/>
          <w:color w:val="44546A" w:themeColor="text2"/>
          <w:sz w:val="22"/>
          <w:szCs w:val="22"/>
        </w:rPr>
        <w:fldChar w:fldCharType="begin"/>
      </w:r>
      <w:r w:rsidRPr="004A657A">
        <w:rPr>
          <w:rFonts w:asciiTheme="majorHAnsi" w:hAnsiTheme="majorHAnsi" w:cstheme="majorHAnsi"/>
          <w:i/>
          <w:color w:val="44546A" w:themeColor="text2"/>
          <w:sz w:val="22"/>
          <w:szCs w:val="22"/>
        </w:rPr>
        <w:instrText xml:space="preserve"> SEQ Figure \* ARABIC </w:instrText>
      </w:r>
      <w:r w:rsidRPr="004A657A">
        <w:rPr>
          <w:rFonts w:asciiTheme="majorHAnsi" w:hAnsiTheme="majorHAnsi" w:cstheme="majorHAnsi"/>
          <w:i/>
          <w:color w:val="44546A" w:themeColor="text2"/>
          <w:sz w:val="22"/>
          <w:szCs w:val="22"/>
        </w:rPr>
        <w:fldChar w:fldCharType="separate"/>
      </w:r>
      <w:r w:rsidR="00D6133D">
        <w:rPr>
          <w:rFonts w:asciiTheme="majorHAnsi" w:hAnsiTheme="majorHAnsi" w:cstheme="majorHAnsi"/>
          <w:i/>
          <w:noProof/>
          <w:color w:val="44546A" w:themeColor="text2"/>
          <w:sz w:val="22"/>
          <w:szCs w:val="22"/>
        </w:rPr>
        <w:t>17</w:t>
      </w:r>
      <w:r w:rsidRPr="004A657A">
        <w:rPr>
          <w:rFonts w:asciiTheme="majorHAnsi" w:hAnsiTheme="majorHAnsi" w:cstheme="majorHAnsi"/>
          <w:i/>
          <w:color w:val="44546A" w:themeColor="text2"/>
          <w:sz w:val="22"/>
          <w:szCs w:val="22"/>
        </w:rPr>
        <w:fldChar w:fldCharType="end"/>
      </w:r>
      <w:r w:rsidRPr="004A657A">
        <w:rPr>
          <w:rFonts w:asciiTheme="majorHAnsi" w:hAnsiTheme="majorHAnsi" w:cstheme="majorHAnsi"/>
          <w:i/>
          <w:color w:val="44546A" w:themeColor="text2"/>
          <w:sz w:val="22"/>
          <w:szCs w:val="22"/>
        </w:rPr>
        <w:t>. Schools using EBEIS by BEST Regions, 2015-2017</w:t>
      </w:r>
      <w:bookmarkEnd w:id="153"/>
      <w:bookmarkEnd w:id="154"/>
    </w:p>
    <w:p w14:paraId="7B417B11" w14:textId="77777777" w:rsidR="008D0CAD" w:rsidRPr="00BD2C56" w:rsidRDefault="008D0CAD" w:rsidP="00671524">
      <w:pPr>
        <w:spacing w:before="100" w:beforeAutospacing="1" w:after="100" w:afterAutospacing="1" w:line="360" w:lineRule="auto"/>
        <w:rPr>
          <w:rFonts w:asciiTheme="majorHAnsi" w:hAnsiTheme="majorHAnsi" w:cstheme="majorHAnsi"/>
          <w:i/>
          <w:color w:val="44546A" w:themeColor="text2"/>
          <w:sz w:val="20"/>
          <w:szCs w:val="20"/>
        </w:rPr>
      </w:pPr>
      <w:r>
        <w:rPr>
          <w:rFonts w:asciiTheme="majorHAnsi" w:hAnsiTheme="majorHAnsi" w:cstheme="majorHAnsi"/>
          <w:i/>
          <w:noProof/>
          <w:color w:val="44546A" w:themeColor="text2"/>
          <w:sz w:val="20"/>
          <w:szCs w:val="20"/>
          <w:lang w:val="en-AU" w:eastAsia="en-AU"/>
        </w:rPr>
        <w:drawing>
          <wp:inline distT="0" distB="0" distL="0" distR="0" wp14:anchorId="505CC911" wp14:editId="2F4CE0AE">
            <wp:extent cx="4599305" cy="2717800"/>
            <wp:effectExtent l="0" t="0" r="0" b="0"/>
            <wp:docPr id="80" name="Picture 80" descr="Bar chart of schools using EBEIS by BEST Regions, 2015-2017. Highest, Region VI for all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Bar chart of schools using EBEIS by BEST Regions, 2015-2017. Highest, Region VI for all years."/>
                    <pic:cNvPicPr/>
                  </pic:nvPicPr>
                  <pic:blipFill rotWithShape="1">
                    <a:blip r:embed="rId39" cstate="print">
                      <a:extLst>
                        <a:ext uri="{28A0092B-C50C-407E-A947-70E740481C1C}">
                          <a14:useLocalDpi xmlns:a14="http://schemas.microsoft.com/office/drawing/2010/main" val="0"/>
                        </a:ext>
                      </a:extLst>
                    </a:blip>
                    <a:srcRect l="37315" t="44642" r="25825" b="20513"/>
                    <a:stretch/>
                  </pic:blipFill>
                  <pic:spPr bwMode="auto">
                    <a:xfrm>
                      <a:off x="0" y="0"/>
                      <a:ext cx="4599305" cy="2717800"/>
                    </a:xfrm>
                    <a:prstGeom prst="rect">
                      <a:avLst/>
                    </a:prstGeom>
                    <a:ln>
                      <a:noFill/>
                    </a:ln>
                    <a:extLst>
                      <a:ext uri="{53640926-AAD7-44D8-BBD7-CCE9431645EC}">
                        <a14:shadowObscured xmlns:a14="http://schemas.microsoft.com/office/drawing/2010/main"/>
                      </a:ext>
                    </a:extLst>
                  </pic:spPr>
                </pic:pic>
              </a:graphicData>
            </a:graphic>
          </wp:inline>
        </w:drawing>
      </w:r>
    </w:p>
    <w:p w14:paraId="1A1B25E0" w14:textId="703A82E3" w:rsidR="008D0CAD" w:rsidRDefault="008D0CAD" w:rsidP="00671524">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color w:val="000000" w:themeColor="text1"/>
        </w:rPr>
        <w:t>In 2017</w:t>
      </w:r>
      <w:r>
        <w:rPr>
          <w:rFonts w:asciiTheme="majorHAnsi" w:hAnsiTheme="majorHAnsi" w:cstheme="majorHAnsi"/>
          <w:color w:val="000000"/>
        </w:rPr>
        <w:t xml:space="preserve">, </w:t>
      </w:r>
      <w:r>
        <w:rPr>
          <w:rFonts w:asciiTheme="majorHAnsi" w:hAnsiTheme="majorHAnsi" w:cstheme="majorHAnsi"/>
        </w:rPr>
        <w:t xml:space="preserve">submission of </w:t>
      </w:r>
      <w:r w:rsidRPr="00076B6A">
        <w:rPr>
          <w:rFonts w:asciiTheme="majorHAnsi" w:hAnsiTheme="majorHAnsi" w:cstheme="majorHAnsi"/>
          <w:color w:val="000000"/>
        </w:rPr>
        <w:t xml:space="preserve">data </w:t>
      </w:r>
      <w:r>
        <w:rPr>
          <w:rFonts w:asciiTheme="majorHAnsi" w:hAnsiTheme="majorHAnsi" w:cstheme="majorHAnsi"/>
          <w:color w:val="000000"/>
        </w:rPr>
        <w:t>for uploading in</w:t>
      </w:r>
      <w:r w:rsidRPr="00076B6A">
        <w:rPr>
          <w:rFonts w:asciiTheme="majorHAnsi" w:hAnsiTheme="majorHAnsi" w:cstheme="majorHAnsi"/>
          <w:color w:val="000000"/>
        </w:rPr>
        <w:t xml:space="preserve">to the EBEIS </w:t>
      </w:r>
      <w:r>
        <w:rPr>
          <w:rFonts w:asciiTheme="majorHAnsi" w:hAnsiTheme="majorHAnsi" w:cstheme="majorHAnsi"/>
          <w:color w:val="000000"/>
        </w:rPr>
        <w:t xml:space="preserve">increased to </w:t>
      </w:r>
      <w:r w:rsidRPr="00076B6A">
        <w:rPr>
          <w:rFonts w:asciiTheme="majorHAnsi" w:hAnsiTheme="majorHAnsi" w:cstheme="majorHAnsi"/>
          <w:color w:val="000000"/>
        </w:rPr>
        <w:t>87,941</w:t>
      </w:r>
      <w:r>
        <w:rPr>
          <w:rFonts w:asciiTheme="majorHAnsi" w:hAnsiTheme="majorHAnsi" w:cstheme="majorHAnsi"/>
          <w:color w:val="000000"/>
        </w:rPr>
        <w:t xml:space="preserve"> </w:t>
      </w:r>
      <w:r w:rsidRPr="00076B6A">
        <w:rPr>
          <w:rFonts w:asciiTheme="majorHAnsi" w:hAnsiTheme="majorHAnsi" w:cstheme="majorHAnsi"/>
          <w:color w:val="000000"/>
        </w:rPr>
        <w:t xml:space="preserve">schools </w:t>
      </w:r>
      <w:r>
        <w:rPr>
          <w:rFonts w:asciiTheme="majorHAnsi" w:hAnsiTheme="majorHAnsi" w:cstheme="majorHAnsi"/>
          <w:color w:val="000000"/>
        </w:rPr>
        <w:t xml:space="preserve">(30 per cent private schools) </w:t>
      </w:r>
      <w:r w:rsidRPr="00076B6A">
        <w:rPr>
          <w:rFonts w:asciiTheme="majorHAnsi" w:hAnsiTheme="majorHAnsi" w:cstheme="majorHAnsi"/>
          <w:color w:val="000000"/>
        </w:rPr>
        <w:t xml:space="preserve">out of </w:t>
      </w:r>
      <w:r>
        <w:rPr>
          <w:rFonts w:asciiTheme="majorHAnsi" w:hAnsiTheme="majorHAnsi" w:cstheme="majorHAnsi"/>
          <w:color w:val="000000"/>
        </w:rPr>
        <w:t xml:space="preserve">a total of </w:t>
      </w:r>
      <w:r w:rsidRPr="00076B6A">
        <w:rPr>
          <w:rFonts w:asciiTheme="majorHAnsi" w:hAnsiTheme="majorHAnsi" w:cstheme="majorHAnsi"/>
          <w:color w:val="000000"/>
        </w:rPr>
        <w:t xml:space="preserve">91,883 schools </w:t>
      </w:r>
      <w:r>
        <w:rPr>
          <w:rFonts w:asciiTheme="majorHAnsi" w:hAnsiTheme="majorHAnsi" w:cstheme="majorHAnsi"/>
          <w:color w:val="000000"/>
        </w:rPr>
        <w:t>(</w:t>
      </w:r>
      <w:r w:rsidRPr="00076B6A">
        <w:rPr>
          <w:rFonts w:asciiTheme="majorHAnsi" w:hAnsiTheme="majorHAnsi" w:cstheme="majorHAnsi"/>
          <w:color w:val="000000"/>
        </w:rPr>
        <w:t>95.7</w:t>
      </w:r>
      <w:r>
        <w:rPr>
          <w:rFonts w:asciiTheme="majorHAnsi" w:hAnsiTheme="majorHAnsi" w:cstheme="majorHAnsi"/>
          <w:color w:val="000000"/>
        </w:rPr>
        <w:t xml:space="preserve"> per cent). Forty-one per cent of these schools were located in the BEST Regions.</w:t>
      </w:r>
      <w:r w:rsidR="00D434EB">
        <w:rPr>
          <w:rFonts w:asciiTheme="majorHAnsi" w:hAnsiTheme="majorHAnsi" w:cstheme="majorHAnsi"/>
          <w:color w:val="000000"/>
        </w:rPr>
        <w:t xml:space="preserve"> </w:t>
      </w:r>
      <w:r>
        <w:rPr>
          <w:rFonts w:asciiTheme="majorHAnsi" w:hAnsiTheme="majorHAnsi" w:cstheme="majorHAnsi"/>
          <w:color w:val="000000"/>
        </w:rPr>
        <w:t>However, a notable trend was the improved participation of private schools.</w:t>
      </w:r>
      <w:r w:rsidR="00D434EB">
        <w:rPr>
          <w:rFonts w:asciiTheme="majorHAnsi" w:hAnsiTheme="majorHAnsi" w:cstheme="majorHAnsi"/>
          <w:color w:val="000000"/>
        </w:rPr>
        <w:t xml:space="preserve"> </w:t>
      </w:r>
      <w:r>
        <w:rPr>
          <w:rFonts w:asciiTheme="majorHAnsi" w:hAnsiTheme="majorHAnsi" w:cstheme="majorHAnsi"/>
          <w:color w:val="000000"/>
        </w:rPr>
        <w:t xml:space="preserve">From </w:t>
      </w:r>
      <w:r w:rsidRPr="00A53436">
        <w:rPr>
          <w:rFonts w:asciiTheme="majorHAnsi" w:hAnsiTheme="majorHAnsi" w:cstheme="majorHAnsi"/>
          <w:color w:val="000000" w:themeColor="text1"/>
        </w:rPr>
        <w:t xml:space="preserve">2015 to 2017, the number of </w:t>
      </w:r>
      <w:r w:rsidRPr="00D3469C">
        <w:rPr>
          <w:rFonts w:asciiTheme="majorHAnsi" w:hAnsiTheme="majorHAnsi" w:cstheme="majorHAnsi"/>
          <w:color w:val="000000" w:themeColor="text1"/>
        </w:rPr>
        <w:t xml:space="preserve">private schools that submitted data to the EBEIS increased from 24 </w:t>
      </w:r>
      <w:r>
        <w:rPr>
          <w:rFonts w:asciiTheme="majorHAnsi" w:hAnsiTheme="majorHAnsi" w:cstheme="majorHAnsi"/>
          <w:color w:val="000000" w:themeColor="text1"/>
        </w:rPr>
        <w:t>per cent</w:t>
      </w:r>
      <w:r w:rsidRPr="00D3469C">
        <w:rPr>
          <w:rFonts w:asciiTheme="majorHAnsi" w:hAnsiTheme="majorHAnsi" w:cstheme="majorHAnsi"/>
          <w:color w:val="000000" w:themeColor="text1"/>
        </w:rPr>
        <w:t xml:space="preserve"> to 30 </w:t>
      </w:r>
      <w:r>
        <w:rPr>
          <w:rFonts w:asciiTheme="majorHAnsi" w:hAnsiTheme="majorHAnsi" w:cstheme="majorHAnsi"/>
          <w:color w:val="000000" w:themeColor="text1"/>
        </w:rPr>
        <w:t>per cent</w:t>
      </w:r>
      <w:r w:rsidRPr="00D3469C">
        <w:rPr>
          <w:rFonts w:asciiTheme="majorHAnsi" w:hAnsiTheme="majorHAnsi" w:cstheme="majorHAnsi"/>
          <w:color w:val="000000" w:themeColor="text1"/>
        </w:rPr>
        <w:t xml:space="preserve"> (Figure </w:t>
      </w:r>
      <w:r>
        <w:rPr>
          <w:rFonts w:asciiTheme="majorHAnsi" w:hAnsiTheme="majorHAnsi" w:cstheme="majorHAnsi"/>
          <w:color w:val="000000" w:themeColor="text1"/>
        </w:rPr>
        <w:t>22</w:t>
      </w:r>
      <w:r w:rsidRPr="00D3469C">
        <w:rPr>
          <w:rFonts w:asciiTheme="majorHAnsi" w:hAnsiTheme="majorHAnsi" w:cstheme="majorHAnsi"/>
          <w:color w:val="000000" w:themeColor="text1"/>
        </w:rPr>
        <w:t>).</w:t>
      </w:r>
    </w:p>
    <w:p w14:paraId="1E88CF07" w14:textId="51DCBDB0" w:rsidR="008D0CAD" w:rsidRPr="004A657A" w:rsidRDefault="008D0CAD" w:rsidP="00671524">
      <w:pPr>
        <w:spacing w:before="100" w:beforeAutospacing="1" w:after="100" w:afterAutospacing="1" w:line="360" w:lineRule="auto"/>
        <w:rPr>
          <w:rFonts w:asciiTheme="majorHAnsi" w:hAnsiTheme="majorHAnsi" w:cstheme="majorHAnsi"/>
          <w:i/>
          <w:color w:val="44546A" w:themeColor="text2"/>
          <w:sz w:val="22"/>
          <w:szCs w:val="22"/>
        </w:rPr>
      </w:pPr>
      <w:bookmarkStart w:id="155" w:name="_Toc14028950"/>
      <w:bookmarkStart w:id="156" w:name="_Toc71616545"/>
      <w:r w:rsidRPr="004A657A">
        <w:rPr>
          <w:rFonts w:asciiTheme="majorHAnsi" w:hAnsiTheme="majorHAnsi" w:cstheme="majorHAnsi"/>
          <w:i/>
          <w:color w:val="44546A" w:themeColor="text2"/>
          <w:sz w:val="22"/>
          <w:szCs w:val="22"/>
        </w:rPr>
        <w:t xml:space="preserve">Figure </w:t>
      </w:r>
      <w:r w:rsidRPr="004A657A">
        <w:rPr>
          <w:rFonts w:asciiTheme="majorHAnsi" w:hAnsiTheme="majorHAnsi" w:cstheme="majorHAnsi"/>
          <w:i/>
          <w:color w:val="44546A" w:themeColor="text2"/>
          <w:sz w:val="22"/>
          <w:szCs w:val="22"/>
        </w:rPr>
        <w:fldChar w:fldCharType="begin"/>
      </w:r>
      <w:r w:rsidRPr="004A657A">
        <w:rPr>
          <w:rFonts w:asciiTheme="majorHAnsi" w:hAnsiTheme="majorHAnsi" w:cstheme="majorHAnsi"/>
          <w:i/>
          <w:color w:val="44546A" w:themeColor="text2"/>
          <w:sz w:val="22"/>
          <w:szCs w:val="22"/>
        </w:rPr>
        <w:instrText xml:space="preserve"> SEQ Figure \* ARABIC </w:instrText>
      </w:r>
      <w:r w:rsidRPr="004A657A">
        <w:rPr>
          <w:rFonts w:asciiTheme="majorHAnsi" w:hAnsiTheme="majorHAnsi" w:cstheme="majorHAnsi"/>
          <w:i/>
          <w:color w:val="44546A" w:themeColor="text2"/>
          <w:sz w:val="22"/>
          <w:szCs w:val="22"/>
        </w:rPr>
        <w:fldChar w:fldCharType="separate"/>
      </w:r>
      <w:r w:rsidR="00D6133D">
        <w:rPr>
          <w:rFonts w:asciiTheme="majorHAnsi" w:hAnsiTheme="majorHAnsi" w:cstheme="majorHAnsi"/>
          <w:i/>
          <w:noProof/>
          <w:color w:val="44546A" w:themeColor="text2"/>
          <w:sz w:val="22"/>
          <w:szCs w:val="22"/>
        </w:rPr>
        <w:t>18</w:t>
      </w:r>
      <w:r w:rsidRPr="004A657A">
        <w:rPr>
          <w:rFonts w:asciiTheme="majorHAnsi" w:hAnsiTheme="majorHAnsi" w:cstheme="majorHAnsi"/>
          <w:i/>
          <w:color w:val="44546A" w:themeColor="text2"/>
          <w:sz w:val="22"/>
          <w:szCs w:val="22"/>
        </w:rPr>
        <w:fldChar w:fldCharType="end"/>
      </w:r>
      <w:r w:rsidRPr="004A657A">
        <w:rPr>
          <w:rFonts w:asciiTheme="majorHAnsi" w:hAnsiTheme="majorHAnsi" w:cstheme="majorHAnsi"/>
          <w:i/>
          <w:color w:val="44546A" w:themeColor="text2"/>
          <w:sz w:val="22"/>
          <w:szCs w:val="22"/>
        </w:rPr>
        <w:t>. EBEIS Users, Private and Public Schools, 2015-2017</w:t>
      </w:r>
      <w:bookmarkEnd w:id="155"/>
      <w:bookmarkEnd w:id="156"/>
    </w:p>
    <w:p w14:paraId="017B126B" w14:textId="77777777" w:rsidR="008D0CAD" w:rsidRDefault="008D0CAD" w:rsidP="00671524">
      <w:pPr>
        <w:spacing w:before="100" w:beforeAutospacing="1" w:after="100" w:afterAutospacing="1" w:line="360" w:lineRule="auto"/>
        <w:rPr>
          <w:rFonts w:asciiTheme="majorHAnsi" w:hAnsiTheme="majorHAnsi" w:cstheme="majorHAnsi"/>
        </w:rPr>
      </w:pPr>
      <w:r>
        <w:rPr>
          <w:noProof/>
          <w:lang w:val="en-AU" w:eastAsia="en-AU"/>
        </w:rPr>
        <w:drawing>
          <wp:inline distT="0" distB="0" distL="0" distR="0" wp14:anchorId="48225479" wp14:editId="2FF3D1F1">
            <wp:extent cx="4333972" cy="2004646"/>
            <wp:effectExtent l="0" t="0" r="9525" b="15240"/>
            <wp:docPr id="13" name="Chart 13" descr="Bar chart of EBEIS users from private and public schools for 2015 to 2017. Highest, 2017, National.">
              <a:extLst xmlns:a="http://schemas.openxmlformats.org/drawingml/2006/main">
                <a:ext uri="{FF2B5EF4-FFF2-40B4-BE49-F238E27FC236}">
                  <a16:creationId xmlns:a16="http://schemas.microsoft.com/office/drawing/2014/main" id="{091C88ED-24AC-D842-BD32-85C385D5E8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97E424C" w14:textId="77777777" w:rsidR="008D0CAD" w:rsidRPr="002339E6" w:rsidRDefault="008D0CAD" w:rsidP="00671524">
      <w:pPr>
        <w:spacing w:before="100" w:beforeAutospacing="1" w:after="100" w:afterAutospacing="1" w:line="360" w:lineRule="auto"/>
        <w:ind w:left="1440" w:firstLine="720"/>
        <w:rPr>
          <w:rFonts w:asciiTheme="majorHAnsi" w:eastAsia="Garamond" w:hAnsiTheme="majorHAnsi" w:cstheme="majorHAnsi"/>
          <w:i/>
          <w:sz w:val="14"/>
          <w:szCs w:val="14"/>
        </w:rPr>
      </w:pPr>
      <w:r w:rsidRPr="002339E6">
        <w:rPr>
          <w:rFonts w:asciiTheme="majorHAnsi" w:eastAsia="Garamond" w:hAnsiTheme="majorHAnsi" w:cstheme="majorHAnsi"/>
          <w:i/>
          <w:sz w:val="14"/>
          <w:szCs w:val="14"/>
        </w:rPr>
        <w:t>Source of basic data: DepEd ICTS-SDD, 2019</w:t>
      </w:r>
    </w:p>
    <w:p w14:paraId="2BC25CFD" w14:textId="6E85EC4A" w:rsidR="008D0CAD" w:rsidRPr="00C251B9" w:rsidRDefault="008D0CAD" w:rsidP="00DD08E3">
      <w:pPr>
        <w:pStyle w:val="Heading5"/>
        <w:numPr>
          <w:ilvl w:val="3"/>
          <w:numId w:val="165"/>
        </w:numPr>
        <w:spacing w:before="100" w:beforeAutospacing="1" w:after="100" w:afterAutospacing="1" w:line="360" w:lineRule="auto"/>
      </w:pPr>
      <w:r w:rsidRPr="00C251B9">
        <w:t>Learner Information System (LIS)</w:t>
      </w:r>
    </w:p>
    <w:p w14:paraId="5A76331F" w14:textId="0FBC2B44" w:rsidR="008D0CAD" w:rsidRDefault="008D0CAD" w:rsidP="00671524">
      <w:pPr>
        <w:spacing w:before="100" w:beforeAutospacing="1" w:after="100" w:afterAutospacing="1" w:line="360" w:lineRule="auto"/>
        <w:rPr>
          <w:rFonts w:asciiTheme="majorHAnsi" w:hAnsiTheme="majorHAnsi" w:cstheme="majorHAnsi"/>
        </w:rPr>
      </w:pPr>
      <w:r w:rsidRPr="00FD7269">
        <w:rPr>
          <w:rFonts w:asciiTheme="majorHAnsi" w:hAnsiTheme="majorHAnsi" w:cstheme="majorHAnsi"/>
        </w:rPr>
        <w:t xml:space="preserve">The BEST </w:t>
      </w:r>
      <w:r>
        <w:rPr>
          <w:rFonts w:asciiTheme="majorHAnsi" w:hAnsiTheme="majorHAnsi" w:cstheme="majorHAnsi"/>
        </w:rPr>
        <w:t>Program</w:t>
      </w:r>
      <w:r w:rsidRPr="00FD7269">
        <w:rPr>
          <w:rFonts w:asciiTheme="majorHAnsi" w:hAnsiTheme="majorHAnsi" w:cstheme="majorHAnsi"/>
        </w:rPr>
        <w:t xml:space="preserve"> enhanced and expanded the LIS </w:t>
      </w:r>
      <w:r>
        <w:rPr>
          <w:rFonts w:asciiTheme="majorHAnsi" w:hAnsiTheme="majorHAnsi" w:cstheme="majorHAnsi"/>
        </w:rPr>
        <w:t xml:space="preserve">data </w:t>
      </w:r>
      <w:r w:rsidRPr="00FD7269">
        <w:rPr>
          <w:rFonts w:asciiTheme="majorHAnsi" w:hAnsiTheme="majorHAnsi" w:cstheme="majorHAnsi"/>
        </w:rPr>
        <w:t>capture</w:t>
      </w:r>
      <w:r>
        <w:rPr>
          <w:rFonts w:asciiTheme="majorHAnsi" w:hAnsiTheme="majorHAnsi" w:cstheme="majorHAnsi"/>
        </w:rPr>
        <w:t xml:space="preserve"> </w:t>
      </w:r>
      <w:r w:rsidRPr="00433FB6">
        <w:rPr>
          <w:rFonts w:asciiTheme="majorHAnsi" w:hAnsiTheme="majorHAnsi" w:cstheme="majorHAnsi"/>
        </w:rPr>
        <w:t>capability</w:t>
      </w:r>
      <w:r>
        <w:rPr>
          <w:rFonts w:asciiTheme="majorHAnsi" w:hAnsiTheme="majorHAnsi" w:cstheme="majorHAnsi"/>
        </w:rPr>
        <w:t>. The LIS</w:t>
      </w:r>
      <w:r w:rsidRPr="00FD7269">
        <w:rPr>
          <w:rFonts w:asciiTheme="majorHAnsi" w:hAnsiTheme="majorHAnsi" w:cstheme="majorHAnsi"/>
        </w:rPr>
        <w:t xml:space="preserve"> maintains information on learners enrolled in all public and private elementary, junior and senior high schools, state universities and colleges (SUCs), local universities and colleges (LUCs), higher education institutions (HEIs) and Philippine schools abroad offering Kindergarten to Grade 12 and those enrolled in the Alternative Learning Systems </w:t>
      </w:r>
      <w:r>
        <w:rPr>
          <w:rFonts w:asciiTheme="majorHAnsi" w:hAnsiTheme="majorHAnsi" w:cstheme="majorHAnsi"/>
        </w:rPr>
        <w:t>(refer to</w:t>
      </w:r>
      <w:r w:rsidRPr="00FD7269">
        <w:rPr>
          <w:rFonts w:asciiTheme="majorHAnsi" w:hAnsiTheme="majorHAnsi" w:cstheme="majorHAnsi"/>
        </w:rPr>
        <w:t xml:space="preserve"> D.O 45, s.2017</w:t>
      </w:r>
      <w:r>
        <w:rPr>
          <w:rFonts w:asciiTheme="majorHAnsi" w:hAnsiTheme="majorHAnsi" w:cstheme="majorHAnsi"/>
        </w:rPr>
        <w:t xml:space="preserve"> and</w:t>
      </w:r>
      <w:r w:rsidRPr="00FD7269">
        <w:rPr>
          <w:rFonts w:asciiTheme="majorHAnsi" w:hAnsiTheme="majorHAnsi" w:cstheme="majorHAnsi"/>
        </w:rPr>
        <w:t xml:space="preserve"> D.O 23, s.2017</w:t>
      </w:r>
      <w:r>
        <w:rPr>
          <w:rFonts w:asciiTheme="majorHAnsi" w:hAnsiTheme="majorHAnsi" w:cstheme="majorHAnsi"/>
        </w:rPr>
        <w:t>)</w:t>
      </w:r>
      <w:r w:rsidRPr="00FD7269">
        <w:rPr>
          <w:rFonts w:asciiTheme="majorHAnsi" w:hAnsiTheme="majorHAnsi" w:cstheme="majorHAnsi"/>
        </w:rPr>
        <w:t>.</w:t>
      </w:r>
      <w:r w:rsidR="00D434EB">
        <w:rPr>
          <w:rFonts w:asciiTheme="majorHAnsi" w:hAnsiTheme="majorHAnsi" w:cstheme="majorHAnsi"/>
        </w:rPr>
        <w:t xml:space="preserve"> </w:t>
      </w:r>
      <w:r w:rsidRPr="00FD7269">
        <w:rPr>
          <w:rFonts w:asciiTheme="majorHAnsi" w:hAnsiTheme="majorHAnsi" w:cstheme="majorHAnsi"/>
        </w:rPr>
        <w:t>In addition,</w:t>
      </w:r>
      <w:r>
        <w:rPr>
          <w:rFonts w:asciiTheme="majorHAnsi" w:hAnsiTheme="majorHAnsi" w:cstheme="majorHAnsi"/>
        </w:rPr>
        <w:t xml:space="preserve"> the Program</w:t>
      </w:r>
      <w:r w:rsidRPr="00FD7269">
        <w:rPr>
          <w:rFonts w:asciiTheme="majorHAnsi" w:hAnsiTheme="majorHAnsi" w:cstheme="majorHAnsi"/>
        </w:rPr>
        <w:t xml:space="preserve"> spearheaded systems development work to ensure that the essential data of K to 12 </w:t>
      </w:r>
      <w:r>
        <w:rPr>
          <w:rFonts w:asciiTheme="majorHAnsi" w:hAnsiTheme="majorHAnsi" w:cstheme="majorHAnsi"/>
        </w:rPr>
        <w:t xml:space="preserve">learners </w:t>
      </w:r>
      <w:r w:rsidRPr="00FD7269">
        <w:rPr>
          <w:rFonts w:asciiTheme="majorHAnsi" w:hAnsiTheme="majorHAnsi" w:cstheme="majorHAnsi"/>
        </w:rPr>
        <w:t>are captured and covered in the LIS and EBEIS.</w:t>
      </w:r>
    </w:p>
    <w:p w14:paraId="0394049B" w14:textId="40D4794A" w:rsidR="008D0CAD" w:rsidRDefault="008D0CAD" w:rsidP="00671524">
      <w:pPr>
        <w:spacing w:before="100" w:beforeAutospacing="1" w:after="100" w:afterAutospacing="1" w:line="360" w:lineRule="auto"/>
        <w:rPr>
          <w:rFonts w:asciiTheme="majorHAnsi" w:hAnsiTheme="majorHAnsi" w:cstheme="majorHAnsi"/>
          <w:color w:val="000000"/>
        </w:rPr>
      </w:pPr>
      <w:r>
        <w:rPr>
          <w:rFonts w:asciiTheme="majorHAnsi" w:hAnsiTheme="majorHAnsi" w:cstheme="majorHAnsi"/>
        </w:rPr>
        <w:t>D</w:t>
      </w:r>
      <w:r w:rsidRPr="001916EE">
        <w:rPr>
          <w:rFonts w:asciiTheme="majorHAnsi" w:hAnsiTheme="majorHAnsi" w:cstheme="majorHAnsi"/>
        </w:rPr>
        <w:t>ata from ICTS revealed</w:t>
      </w:r>
      <w:r w:rsidRPr="001916EE">
        <w:rPr>
          <w:rFonts w:asciiTheme="majorHAnsi" w:hAnsiTheme="majorHAnsi" w:cstheme="majorHAnsi"/>
          <w:color w:val="000000"/>
        </w:rPr>
        <w:t xml:space="preserve"> sustained </w:t>
      </w:r>
      <w:r w:rsidRPr="00D3469C">
        <w:rPr>
          <w:rFonts w:asciiTheme="majorHAnsi" w:hAnsiTheme="majorHAnsi" w:cstheme="majorHAnsi"/>
          <w:color w:val="000000" w:themeColor="text1"/>
        </w:rPr>
        <w:t>utili</w:t>
      </w:r>
      <w:r>
        <w:rPr>
          <w:rFonts w:asciiTheme="majorHAnsi" w:hAnsiTheme="majorHAnsi" w:cstheme="majorHAnsi"/>
          <w:color w:val="000000" w:themeColor="text1"/>
        </w:rPr>
        <w:t>s</w:t>
      </w:r>
      <w:r w:rsidRPr="00D3469C">
        <w:rPr>
          <w:rFonts w:asciiTheme="majorHAnsi" w:hAnsiTheme="majorHAnsi" w:cstheme="majorHAnsi"/>
          <w:color w:val="000000" w:themeColor="text1"/>
        </w:rPr>
        <w:t xml:space="preserve">ation of the LIS from 2017 to 2018 with nearly 100 </w:t>
      </w:r>
      <w:r>
        <w:rPr>
          <w:rFonts w:asciiTheme="majorHAnsi" w:hAnsiTheme="majorHAnsi" w:cstheme="majorHAnsi"/>
          <w:color w:val="000000" w:themeColor="text1"/>
        </w:rPr>
        <w:t>per cent</w:t>
      </w:r>
      <w:r w:rsidRPr="00D3469C">
        <w:rPr>
          <w:rFonts w:asciiTheme="majorHAnsi" w:hAnsiTheme="majorHAnsi" w:cstheme="majorHAnsi"/>
          <w:color w:val="000000" w:themeColor="text1"/>
        </w:rPr>
        <w:t xml:space="preserve"> participation in 2018 (Table 3</w:t>
      </w:r>
      <w:r>
        <w:rPr>
          <w:rFonts w:asciiTheme="majorHAnsi" w:hAnsiTheme="majorHAnsi" w:cstheme="majorHAnsi"/>
          <w:color w:val="000000" w:themeColor="text1"/>
        </w:rPr>
        <w:t>7</w:t>
      </w:r>
      <w:r w:rsidRPr="00D3469C">
        <w:rPr>
          <w:rFonts w:asciiTheme="majorHAnsi" w:hAnsiTheme="majorHAnsi" w:cstheme="majorHAnsi"/>
          <w:color w:val="000000" w:themeColor="text1"/>
        </w:rPr>
        <w:t xml:space="preserve">). </w:t>
      </w:r>
      <w:r>
        <w:rPr>
          <w:rFonts w:asciiTheme="majorHAnsi" w:hAnsiTheme="majorHAnsi" w:cstheme="majorHAnsi"/>
          <w:color w:val="000000" w:themeColor="text1"/>
        </w:rPr>
        <w:t>W</w:t>
      </w:r>
      <w:r w:rsidRPr="001916EE">
        <w:rPr>
          <w:rFonts w:asciiTheme="majorHAnsi" w:hAnsiTheme="majorHAnsi" w:cstheme="majorHAnsi"/>
          <w:color w:val="000000"/>
        </w:rPr>
        <w:t xml:space="preserve">hile the total number of schools in the country declined during </w:t>
      </w:r>
      <w:r>
        <w:rPr>
          <w:rFonts w:asciiTheme="majorHAnsi" w:hAnsiTheme="majorHAnsi" w:cstheme="majorHAnsi"/>
          <w:color w:val="000000"/>
        </w:rPr>
        <w:t>the same</w:t>
      </w:r>
      <w:r w:rsidRPr="001916EE">
        <w:rPr>
          <w:rFonts w:asciiTheme="majorHAnsi" w:hAnsiTheme="majorHAnsi" w:cstheme="majorHAnsi"/>
          <w:color w:val="000000"/>
        </w:rPr>
        <w:t xml:space="preserve"> years (from 62</w:t>
      </w:r>
      <w:r>
        <w:rPr>
          <w:rFonts w:asciiTheme="majorHAnsi" w:hAnsiTheme="majorHAnsi" w:cstheme="majorHAnsi"/>
          <w:color w:val="000000"/>
        </w:rPr>
        <w:t>,</w:t>
      </w:r>
      <w:r w:rsidRPr="001916EE">
        <w:rPr>
          <w:rFonts w:asciiTheme="majorHAnsi" w:hAnsiTheme="majorHAnsi" w:cstheme="majorHAnsi"/>
          <w:color w:val="000000"/>
        </w:rPr>
        <w:t>420 in 2017 to 62</w:t>
      </w:r>
      <w:r>
        <w:rPr>
          <w:rFonts w:asciiTheme="majorHAnsi" w:hAnsiTheme="majorHAnsi" w:cstheme="majorHAnsi"/>
          <w:color w:val="000000"/>
        </w:rPr>
        <w:t>,</w:t>
      </w:r>
      <w:r w:rsidRPr="001916EE">
        <w:rPr>
          <w:rFonts w:asciiTheme="majorHAnsi" w:hAnsiTheme="majorHAnsi" w:cstheme="majorHAnsi"/>
          <w:color w:val="000000"/>
        </w:rPr>
        <w:t xml:space="preserve">007 in 2018), the number of schools using the LIS </w:t>
      </w:r>
      <w:r>
        <w:rPr>
          <w:rFonts w:asciiTheme="majorHAnsi" w:hAnsiTheme="majorHAnsi" w:cstheme="majorHAnsi"/>
          <w:color w:val="000000"/>
        </w:rPr>
        <w:t>within the BEST supported regions increased (from 25,025 in 2017 to 25,159 in 2018).</w:t>
      </w:r>
      <w:r w:rsidR="00D434EB">
        <w:rPr>
          <w:rFonts w:asciiTheme="majorHAnsi" w:hAnsiTheme="majorHAnsi" w:cstheme="majorHAnsi"/>
          <w:color w:val="000000"/>
        </w:rPr>
        <w:t xml:space="preserve"> </w:t>
      </w:r>
      <w:r>
        <w:rPr>
          <w:rFonts w:asciiTheme="majorHAnsi" w:hAnsiTheme="majorHAnsi" w:cstheme="majorHAnsi"/>
          <w:color w:val="000000"/>
        </w:rPr>
        <w:t xml:space="preserve">Region X posted the highest increase with 60 additional schools using the LIS while Region VII added 44 schools from 2017 to 2018. Only Region VI experienced a reduction of LIS users by three schools. </w:t>
      </w:r>
    </w:p>
    <w:p w14:paraId="608167B4" w14:textId="53868A0F" w:rsidR="008D0CAD" w:rsidRPr="004A657A" w:rsidRDefault="008D0CAD" w:rsidP="00671524">
      <w:pPr>
        <w:pStyle w:val="Caption"/>
        <w:pageBreakBefore/>
        <w:spacing w:before="100" w:beforeAutospacing="1" w:after="100" w:afterAutospacing="1" w:line="360" w:lineRule="auto"/>
        <w:rPr>
          <w:rFonts w:asciiTheme="majorHAnsi" w:hAnsiTheme="majorHAnsi" w:cstheme="majorHAnsi"/>
          <w:bCs/>
          <w:sz w:val="22"/>
          <w:szCs w:val="22"/>
        </w:rPr>
      </w:pPr>
      <w:bookmarkStart w:id="157" w:name="_Toc71616623"/>
      <w:r w:rsidRPr="004A657A">
        <w:rPr>
          <w:rFonts w:asciiTheme="majorHAnsi" w:hAnsiTheme="majorHAnsi" w:cstheme="majorHAnsi"/>
          <w:sz w:val="22"/>
          <w:szCs w:val="22"/>
        </w:rPr>
        <w:t xml:space="preserve">Table </w:t>
      </w:r>
      <w:r w:rsidRPr="004A657A">
        <w:rPr>
          <w:rFonts w:asciiTheme="majorHAnsi" w:hAnsiTheme="majorHAnsi" w:cstheme="majorHAnsi"/>
          <w:sz w:val="22"/>
          <w:szCs w:val="22"/>
        </w:rPr>
        <w:fldChar w:fldCharType="begin"/>
      </w:r>
      <w:r w:rsidRPr="004A657A">
        <w:rPr>
          <w:rFonts w:asciiTheme="majorHAnsi" w:hAnsiTheme="majorHAnsi" w:cstheme="majorHAnsi"/>
          <w:sz w:val="22"/>
          <w:szCs w:val="22"/>
        </w:rPr>
        <w:instrText xml:space="preserve"> SEQ Table \* ARABIC </w:instrText>
      </w:r>
      <w:r w:rsidRPr="004A657A">
        <w:rPr>
          <w:rFonts w:asciiTheme="majorHAnsi" w:hAnsiTheme="majorHAnsi" w:cstheme="majorHAnsi"/>
          <w:sz w:val="22"/>
          <w:szCs w:val="22"/>
        </w:rPr>
        <w:fldChar w:fldCharType="separate"/>
      </w:r>
      <w:r w:rsidR="00D6133D">
        <w:rPr>
          <w:rFonts w:asciiTheme="majorHAnsi" w:hAnsiTheme="majorHAnsi" w:cstheme="majorHAnsi"/>
          <w:noProof/>
          <w:sz w:val="22"/>
          <w:szCs w:val="22"/>
        </w:rPr>
        <w:t>32</w:t>
      </w:r>
      <w:r w:rsidRPr="004A657A">
        <w:rPr>
          <w:rFonts w:asciiTheme="majorHAnsi" w:hAnsiTheme="majorHAnsi" w:cstheme="majorHAnsi"/>
          <w:sz w:val="22"/>
          <w:szCs w:val="22"/>
        </w:rPr>
        <w:fldChar w:fldCharType="end"/>
      </w:r>
      <w:r w:rsidRPr="004A657A">
        <w:rPr>
          <w:rFonts w:asciiTheme="majorHAnsi" w:hAnsiTheme="majorHAnsi" w:cstheme="majorHAnsi"/>
          <w:sz w:val="22"/>
          <w:szCs w:val="22"/>
        </w:rPr>
        <w:t xml:space="preserve">. </w:t>
      </w:r>
      <w:r w:rsidRPr="004A657A">
        <w:rPr>
          <w:rFonts w:asciiTheme="majorHAnsi" w:hAnsiTheme="majorHAnsi" w:cstheme="majorHAnsi"/>
          <w:bCs/>
          <w:sz w:val="22"/>
          <w:szCs w:val="22"/>
        </w:rPr>
        <w:t>Status of Learner Information System (LIS) Users</w:t>
      </w:r>
      <w:bookmarkEnd w:id="157"/>
    </w:p>
    <w:tbl>
      <w:tblPr>
        <w:tblStyle w:val="TableGrid"/>
        <w:tblW w:w="8937" w:type="dxa"/>
        <w:tblLook w:val="04A0" w:firstRow="1" w:lastRow="0" w:firstColumn="1" w:lastColumn="0" w:noHBand="0" w:noVBand="1"/>
      </w:tblPr>
      <w:tblGrid>
        <w:gridCol w:w="1244"/>
        <w:gridCol w:w="1492"/>
        <w:gridCol w:w="1018"/>
        <w:gridCol w:w="1457"/>
        <w:gridCol w:w="1309"/>
        <w:gridCol w:w="919"/>
        <w:gridCol w:w="1498"/>
      </w:tblGrid>
      <w:tr w:rsidR="00943324" w:rsidRPr="004B064D" w14:paraId="2E27608F" w14:textId="77777777" w:rsidTr="00F4751F">
        <w:trPr>
          <w:trHeight w:val="266"/>
          <w:tblHeader/>
        </w:trPr>
        <w:tc>
          <w:tcPr>
            <w:tcW w:w="1244" w:type="dxa"/>
            <w:noWrap/>
          </w:tcPr>
          <w:p w14:paraId="1E8C7BA9" w14:textId="77777777" w:rsidR="00943324" w:rsidRPr="004B064D" w:rsidRDefault="00943324" w:rsidP="00943324">
            <w:pPr>
              <w:spacing w:before="100" w:beforeAutospacing="1" w:after="100" w:afterAutospacing="1" w:line="360" w:lineRule="auto"/>
              <w:rPr>
                <w:rFonts w:asciiTheme="majorHAnsi" w:hAnsiTheme="majorHAnsi" w:cstheme="majorHAnsi"/>
                <w:b/>
                <w:bCs/>
                <w:color w:val="000000"/>
                <w:sz w:val="20"/>
                <w:szCs w:val="20"/>
              </w:rPr>
            </w:pPr>
          </w:p>
        </w:tc>
        <w:tc>
          <w:tcPr>
            <w:tcW w:w="1492" w:type="dxa"/>
            <w:noWrap/>
          </w:tcPr>
          <w:p w14:paraId="0E70C815" w14:textId="60A60CDE" w:rsidR="00943324" w:rsidRPr="004B064D" w:rsidRDefault="00943324" w:rsidP="00943324">
            <w:pPr>
              <w:spacing w:before="100" w:beforeAutospacing="1" w:after="100" w:afterAutospacing="1" w:line="360" w:lineRule="auto"/>
              <w:rPr>
                <w:rFonts w:asciiTheme="majorHAnsi" w:hAnsiTheme="majorHAnsi" w:cstheme="majorHAnsi"/>
                <w:b/>
                <w:bCs/>
                <w:color w:val="000000"/>
                <w:sz w:val="20"/>
                <w:szCs w:val="20"/>
              </w:rPr>
            </w:pPr>
            <w:r w:rsidRPr="004B064D">
              <w:rPr>
                <w:rFonts w:asciiTheme="majorHAnsi" w:hAnsiTheme="majorHAnsi" w:cstheme="majorHAnsi"/>
                <w:b/>
                <w:bCs/>
                <w:color w:val="000000"/>
                <w:sz w:val="20"/>
                <w:szCs w:val="20"/>
              </w:rPr>
              <w:t>2017</w:t>
            </w:r>
          </w:p>
        </w:tc>
        <w:tc>
          <w:tcPr>
            <w:tcW w:w="1018" w:type="dxa"/>
            <w:noWrap/>
          </w:tcPr>
          <w:p w14:paraId="17B87E43" w14:textId="7FB7260A" w:rsidR="00943324" w:rsidRPr="004B064D" w:rsidRDefault="00943324" w:rsidP="00943324">
            <w:pPr>
              <w:spacing w:before="100" w:beforeAutospacing="1" w:after="100" w:afterAutospacing="1" w:line="360" w:lineRule="auto"/>
              <w:rPr>
                <w:rFonts w:asciiTheme="majorHAnsi" w:hAnsiTheme="majorHAnsi" w:cstheme="majorHAnsi"/>
                <w:b/>
                <w:bCs/>
                <w:color w:val="000000"/>
                <w:sz w:val="20"/>
                <w:szCs w:val="20"/>
              </w:rPr>
            </w:pPr>
            <w:r w:rsidRPr="004B064D">
              <w:rPr>
                <w:rFonts w:asciiTheme="majorHAnsi" w:hAnsiTheme="majorHAnsi" w:cstheme="majorHAnsi"/>
                <w:b/>
                <w:bCs/>
                <w:color w:val="000000"/>
                <w:sz w:val="20"/>
                <w:szCs w:val="20"/>
              </w:rPr>
              <w:t>2017</w:t>
            </w:r>
          </w:p>
        </w:tc>
        <w:tc>
          <w:tcPr>
            <w:tcW w:w="1457" w:type="dxa"/>
            <w:noWrap/>
          </w:tcPr>
          <w:p w14:paraId="1BD07F66" w14:textId="303B40CD" w:rsidR="00943324" w:rsidRPr="004B064D" w:rsidRDefault="00943324" w:rsidP="00943324">
            <w:pPr>
              <w:spacing w:before="100" w:beforeAutospacing="1" w:after="100" w:afterAutospacing="1" w:line="360" w:lineRule="auto"/>
              <w:rPr>
                <w:rFonts w:asciiTheme="majorHAnsi" w:hAnsiTheme="majorHAnsi" w:cstheme="majorHAnsi"/>
                <w:b/>
                <w:bCs/>
                <w:color w:val="000000"/>
                <w:sz w:val="20"/>
                <w:szCs w:val="20"/>
              </w:rPr>
            </w:pPr>
            <w:r w:rsidRPr="004B064D">
              <w:rPr>
                <w:rFonts w:asciiTheme="majorHAnsi" w:hAnsiTheme="majorHAnsi" w:cstheme="majorHAnsi"/>
                <w:b/>
                <w:bCs/>
                <w:color w:val="000000"/>
                <w:sz w:val="20"/>
                <w:szCs w:val="20"/>
              </w:rPr>
              <w:t>2017</w:t>
            </w:r>
          </w:p>
        </w:tc>
        <w:tc>
          <w:tcPr>
            <w:tcW w:w="1309" w:type="dxa"/>
            <w:noWrap/>
          </w:tcPr>
          <w:p w14:paraId="28B4223B" w14:textId="7BEED763" w:rsidR="00943324" w:rsidRPr="004B064D" w:rsidRDefault="00943324" w:rsidP="00943324">
            <w:pPr>
              <w:spacing w:before="100" w:beforeAutospacing="1" w:after="100" w:afterAutospacing="1" w:line="360" w:lineRule="auto"/>
              <w:rPr>
                <w:rFonts w:asciiTheme="majorHAnsi" w:hAnsiTheme="majorHAnsi" w:cstheme="majorHAnsi"/>
                <w:b/>
                <w:bCs/>
                <w:color w:val="000000"/>
                <w:sz w:val="20"/>
                <w:szCs w:val="20"/>
              </w:rPr>
            </w:pPr>
            <w:r w:rsidRPr="004B064D">
              <w:rPr>
                <w:rFonts w:asciiTheme="majorHAnsi" w:hAnsiTheme="majorHAnsi" w:cstheme="majorHAnsi"/>
                <w:b/>
                <w:bCs/>
                <w:color w:val="000000"/>
                <w:sz w:val="20"/>
                <w:szCs w:val="20"/>
              </w:rPr>
              <w:t>2018</w:t>
            </w:r>
          </w:p>
        </w:tc>
        <w:tc>
          <w:tcPr>
            <w:tcW w:w="919" w:type="dxa"/>
            <w:noWrap/>
          </w:tcPr>
          <w:p w14:paraId="2191F16D" w14:textId="14C9E269" w:rsidR="00943324" w:rsidRPr="004B064D" w:rsidRDefault="00943324" w:rsidP="00943324">
            <w:pPr>
              <w:spacing w:before="100" w:beforeAutospacing="1" w:after="100" w:afterAutospacing="1" w:line="360" w:lineRule="auto"/>
              <w:rPr>
                <w:rFonts w:asciiTheme="majorHAnsi" w:hAnsiTheme="majorHAnsi" w:cstheme="majorHAnsi"/>
                <w:b/>
                <w:bCs/>
                <w:color w:val="000000"/>
                <w:sz w:val="20"/>
                <w:szCs w:val="20"/>
              </w:rPr>
            </w:pPr>
            <w:r w:rsidRPr="004B064D">
              <w:rPr>
                <w:rFonts w:asciiTheme="majorHAnsi" w:hAnsiTheme="majorHAnsi" w:cstheme="majorHAnsi"/>
                <w:b/>
                <w:bCs/>
                <w:color w:val="000000"/>
                <w:sz w:val="20"/>
                <w:szCs w:val="20"/>
              </w:rPr>
              <w:t>2018</w:t>
            </w:r>
          </w:p>
        </w:tc>
        <w:tc>
          <w:tcPr>
            <w:tcW w:w="1498" w:type="dxa"/>
            <w:noWrap/>
          </w:tcPr>
          <w:p w14:paraId="76E79AB7" w14:textId="1FFF89EC" w:rsidR="00943324" w:rsidRPr="004B064D" w:rsidRDefault="00943324" w:rsidP="00943324">
            <w:pPr>
              <w:spacing w:before="100" w:beforeAutospacing="1" w:after="100" w:afterAutospacing="1" w:line="360" w:lineRule="auto"/>
              <w:rPr>
                <w:rFonts w:asciiTheme="majorHAnsi" w:hAnsiTheme="majorHAnsi" w:cstheme="majorHAnsi"/>
                <w:b/>
                <w:bCs/>
                <w:color w:val="000000"/>
                <w:sz w:val="20"/>
                <w:szCs w:val="20"/>
              </w:rPr>
            </w:pPr>
            <w:r w:rsidRPr="004B064D">
              <w:rPr>
                <w:rFonts w:asciiTheme="majorHAnsi" w:hAnsiTheme="majorHAnsi" w:cstheme="majorHAnsi"/>
                <w:b/>
                <w:bCs/>
                <w:color w:val="000000"/>
                <w:sz w:val="20"/>
                <w:szCs w:val="20"/>
              </w:rPr>
              <w:t>2018</w:t>
            </w:r>
          </w:p>
        </w:tc>
      </w:tr>
      <w:tr w:rsidR="00943324" w:rsidRPr="004B064D" w14:paraId="32EFEDEA" w14:textId="77777777" w:rsidTr="00F4751F">
        <w:trPr>
          <w:trHeight w:val="266"/>
          <w:tblHeader/>
        </w:trPr>
        <w:tc>
          <w:tcPr>
            <w:tcW w:w="1244" w:type="dxa"/>
            <w:noWrap/>
          </w:tcPr>
          <w:p w14:paraId="1CFA9D20" w14:textId="4477FF97" w:rsidR="00943324" w:rsidRPr="004B064D" w:rsidRDefault="00943324" w:rsidP="00943324">
            <w:pPr>
              <w:spacing w:before="100" w:beforeAutospacing="1" w:after="100" w:afterAutospacing="1" w:line="360" w:lineRule="auto"/>
              <w:rPr>
                <w:rFonts w:asciiTheme="majorHAnsi" w:hAnsiTheme="majorHAnsi" w:cstheme="majorHAnsi"/>
                <w:b/>
                <w:bCs/>
                <w:color w:val="000000"/>
                <w:sz w:val="20"/>
                <w:szCs w:val="20"/>
              </w:rPr>
            </w:pPr>
            <w:r w:rsidRPr="004B064D">
              <w:rPr>
                <w:rFonts w:asciiTheme="majorHAnsi" w:hAnsiTheme="majorHAnsi" w:cstheme="majorHAnsi"/>
                <w:b/>
                <w:bCs/>
                <w:color w:val="000000"/>
                <w:sz w:val="20"/>
                <w:szCs w:val="20"/>
              </w:rPr>
              <w:t>Region</w:t>
            </w:r>
          </w:p>
        </w:tc>
        <w:tc>
          <w:tcPr>
            <w:tcW w:w="1492" w:type="dxa"/>
            <w:noWrap/>
          </w:tcPr>
          <w:p w14:paraId="556A9510" w14:textId="15806447" w:rsidR="00943324" w:rsidRPr="004B064D" w:rsidRDefault="00943324" w:rsidP="00943324">
            <w:pPr>
              <w:spacing w:before="100" w:beforeAutospacing="1" w:after="100" w:afterAutospacing="1" w:line="360" w:lineRule="auto"/>
              <w:rPr>
                <w:rFonts w:asciiTheme="majorHAnsi" w:hAnsiTheme="majorHAnsi" w:cstheme="majorHAnsi"/>
                <w:b/>
                <w:bCs/>
                <w:color w:val="000000"/>
                <w:sz w:val="20"/>
                <w:szCs w:val="20"/>
              </w:rPr>
            </w:pPr>
            <w:r w:rsidRPr="004B064D">
              <w:rPr>
                <w:rFonts w:asciiTheme="majorHAnsi" w:hAnsiTheme="majorHAnsi" w:cstheme="majorHAnsi"/>
                <w:b/>
                <w:bCs/>
                <w:color w:val="000000"/>
                <w:sz w:val="20"/>
                <w:szCs w:val="20"/>
              </w:rPr>
              <w:t>Participating Schools</w:t>
            </w:r>
          </w:p>
        </w:tc>
        <w:tc>
          <w:tcPr>
            <w:tcW w:w="1018" w:type="dxa"/>
            <w:noWrap/>
          </w:tcPr>
          <w:p w14:paraId="74E568BE" w14:textId="7993B5FB" w:rsidR="00943324" w:rsidRPr="004B064D" w:rsidRDefault="00943324" w:rsidP="00943324">
            <w:pPr>
              <w:spacing w:before="100" w:beforeAutospacing="1" w:after="100" w:afterAutospacing="1" w:line="360" w:lineRule="auto"/>
              <w:rPr>
                <w:rFonts w:asciiTheme="majorHAnsi" w:hAnsiTheme="majorHAnsi" w:cstheme="majorHAnsi"/>
                <w:b/>
                <w:bCs/>
                <w:color w:val="000000"/>
                <w:sz w:val="20"/>
                <w:szCs w:val="20"/>
              </w:rPr>
            </w:pPr>
            <w:r w:rsidRPr="004B064D">
              <w:rPr>
                <w:rFonts w:asciiTheme="majorHAnsi" w:hAnsiTheme="majorHAnsi" w:cstheme="majorHAnsi"/>
                <w:b/>
                <w:bCs/>
                <w:color w:val="000000"/>
                <w:sz w:val="20"/>
                <w:szCs w:val="20"/>
              </w:rPr>
              <w:t>Total Schools</w:t>
            </w:r>
          </w:p>
        </w:tc>
        <w:tc>
          <w:tcPr>
            <w:tcW w:w="1457" w:type="dxa"/>
            <w:noWrap/>
          </w:tcPr>
          <w:p w14:paraId="1FF02A60" w14:textId="32B9553F" w:rsidR="00943324" w:rsidRPr="004B064D" w:rsidRDefault="00943324" w:rsidP="00943324">
            <w:pPr>
              <w:spacing w:before="100" w:beforeAutospacing="1" w:after="100" w:afterAutospacing="1" w:line="360" w:lineRule="auto"/>
              <w:rPr>
                <w:rFonts w:asciiTheme="majorHAnsi" w:hAnsiTheme="majorHAnsi" w:cstheme="majorHAnsi"/>
                <w:b/>
                <w:bCs/>
                <w:color w:val="000000"/>
                <w:sz w:val="20"/>
                <w:szCs w:val="20"/>
              </w:rPr>
            </w:pPr>
            <w:r w:rsidRPr="004B064D">
              <w:rPr>
                <w:rFonts w:asciiTheme="majorHAnsi" w:hAnsiTheme="majorHAnsi" w:cstheme="majorHAnsi"/>
                <w:b/>
                <w:bCs/>
                <w:color w:val="000000"/>
                <w:sz w:val="20"/>
                <w:szCs w:val="20"/>
              </w:rPr>
              <w:t xml:space="preserve"> per cent Participation</w:t>
            </w:r>
          </w:p>
        </w:tc>
        <w:tc>
          <w:tcPr>
            <w:tcW w:w="1309" w:type="dxa"/>
            <w:noWrap/>
          </w:tcPr>
          <w:p w14:paraId="5B966756" w14:textId="0B081D7E" w:rsidR="00943324" w:rsidRPr="004B064D" w:rsidRDefault="00943324" w:rsidP="00943324">
            <w:pPr>
              <w:spacing w:before="100" w:beforeAutospacing="1" w:after="100" w:afterAutospacing="1" w:line="360" w:lineRule="auto"/>
              <w:rPr>
                <w:rFonts w:asciiTheme="majorHAnsi" w:hAnsiTheme="majorHAnsi" w:cstheme="majorHAnsi"/>
                <w:b/>
                <w:bCs/>
                <w:color w:val="000000"/>
                <w:sz w:val="20"/>
                <w:szCs w:val="20"/>
              </w:rPr>
            </w:pPr>
            <w:r w:rsidRPr="004B064D">
              <w:rPr>
                <w:rFonts w:asciiTheme="majorHAnsi" w:hAnsiTheme="majorHAnsi" w:cstheme="majorHAnsi"/>
                <w:b/>
                <w:bCs/>
                <w:color w:val="000000"/>
                <w:sz w:val="20"/>
                <w:szCs w:val="20"/>
              </w:rPr>
              <w:t>Participating Schools</w:t>
            </w:r>
          </w:p>
        </w:tc>
        <w:tc>
          <w:tcPr>
            <w:tcW w:w="919" w:type="dxa"/>
            <w:noWrap/>
          </w:tcPr>
          <w:p w14:paraId="34072C81" w14:textId="516028D0" w:rsidR="00943324" w:rsidRPr="004B064D" w:rsidRDefault="00943324" w:rsidP="00943324">
            <w:pPr>
              <w:spacing w:before="100" w:beforeAutospacing="1" w:after="100" w:afterAutospacing="1" w:line="360" w:lineRule="auto"/>
              <w:rPr>
                <w:rFonts w:asciiTheme="majorHAnsi" w:hAnsiTheme="majorHAnsi" w:cstheme="majorHAnsi"/>
                <w:b/>
                <w:bCs/>
                <w:color w:val="000000"/>
                <w:sz w:val="20"/>
                <w:szCs w:val="20"/>
              </w:rPr>
            </w:pPr>
            <w:r w:rsidRPr="004B064D">
              <w:rPr>
                <w:rFonts w:asciiTheme="majorHAnsi" w:hAnsiTheme="majorHAnsi" w:cstheme="majorHAnsi"/>
                <w:b/>
                <w:bCs/>
                <w:color w:val="000000"/>
                <w:sz w:val="20"/>
                <w:szCs w:val="20"/>
              </w:rPr>
              <w:t>Total Schools</w:t>
            </w:r>
          </w:p>
        </w:tc>
        <w:tc>
          <w:tcPr>
            <w:tcW w:w="1498" w:type="dxa"/>
            <w:noWrap/>
          </w:tcPr>
          <w:p w14:paraId="124317AC" w14:textId="710A9CAF" w:rsidR="00943324" w:rsidRPr="004B064D" w:rsidRDefault="00943324" w:rsidP="00943324">
            <w:pPr>
              <w:spacing w:before="100" w:beforeAutospacing="1" w:after="100" w:afterAutospacing="1" w:line="360" w:lineRule="auto"/>
              <w:rPr>
                <w:rFonts w:asciiTheme="majorHAnsi" w:hAnsiTheme="majorHAnsi" w:cstheme="majorHAnsi"/>
                <w:b/>
                <w:bCs/>
                <w:color w:val="000000"/>
                <w:sz w:val="20"/>
                <w:szCs w:val="20"/>
              </w:rPr>
            </w:pPr>
            <w:r w:rsidRPr="004B064D">
              <w:rPr>
                <w:rFonts w:asciiTheme="majorHAnsi" w:hAnsiTheme="majorHAnsi" w:cstheme="majorHAnsi"/>
                <w:b/>
                <w:bCs/>
                <w:color w:val="000000"/>
                <w:sz w:val="20"/>
                <w:szCs w:val="20"/>
              </w:rPr>
              <w:t xml:space="preserve"> per cent Participation</w:t>
            </w:r>
          </w:p>
        </w:tc>
      </w:tr>
      <w:tr w:rsidR="00943324" w:rsidRPr="00D8271A" w14:paraId="00441629" w14:textId="77777777" w:rsidTr="00943324">
        <w:trPr>
          <w:trHeight w:val="266"/>
        </w:trPr>
        <w:tc>
          <w:tcPr>
            <w:tcW w:w="1244" w:type="dxa"/>
            <w:noWrap/>
            <w:hideMark/>
          </w:tcPr>
          <w:p w14:paraId="7031129D" w14:textId="77777777" w:rsidR="00943324" w:rsidRPr="00D8271A" w:rsidRDefault="00943324" w:rsidP="00671524">
            <w:pPr>
              <w:spacing w:before="100" w:beforeAutospacing="1" w:after="100" w:afterAutospacing="1" w:line="360" w:lineRule="auto"/>
              <w:rPr>
                <w:rFonts w:asciiTheme="majorHAnsi" w:hAnsiTheme="majorHAnsi" w:cstheme="majorHAnsi"/>
                <w:color w:val="000000"/>
                <w:sz w:val="20"/>
                <w:szCs w:val="20"/>
              </w:rPr>
            </w:pPr>
            <w:r w:rsidRPr="00D8271A">
              <w:rPr>
                <w:rFonts w:asciiTheme="majorHAnsi" w:hAnsiTheme="majorHAnsi" w:cstheme="majorHAnsi"/>
                <w:color w:val="000000"/>
                <w:sz w:val="20"/>
                <w:szCs w:val="20"/>
              </w:rPr>
              <w:t>National</w:t>
            </w:r>
          </w:p>
        </w:tc>
        <w:tc>
          <w:tcPr>
            <w:tcW w:w="1492" w:type="dxa"/>
            <w:noWrap/>
            <w:hideMark/>
          </w:tcPr>
          <w:p w14:paraId="25A41715" w14:textId="77777777" w:rsidR="00943324" w:rsidRPr="00D8271A" w:rsidRDefault="00943324" w:rsidP="00671524">
            <w:pPr>
              <w:spacing w:before="100" w:beforeAutospacing="1" w:after="100" w:afterAutospacing="1" w:line="360" w:lineRule="auto"/>
              <w:rPr>
                <w:rFonts w:asciiTheme="majorHAnsi" w:hAnsiTheme="majorHAnsi" w:cstheme="majorHAnsi"/>
                <w:color w:val="000000"/>
                <w:sz w:val="20"/>
                <w:szCs w:val="20"/>
              </w:rPr>
            </w:pPr>
            <w:r w:rsidRPr="00D8271A">
              <w:rPr>
                <w:rFonts w:asciiTheme="majorHAnsi" w:hAnsiTheme="majorHAnsi" w:cstheme="majorHAnsi"/>
                <w:color w:val="000000"/>
                <w:sz w:val="20"/>
                <w:szCs w:val="20"/>
              </w:rPr>
              <w:t>61</w:t>
            </w:r>
            <w:r>
              <w:rPr>
                <w:rFonts w:asciiTheme="majorHAnsi" w:hAnsiTheme="majorHAnsi" w:cstheme="majorHAnsi"/>
                <w:color w:val="000000"/>
                <w:sz w:val="20"/>
                <w:szCs w:val="20"/>
              </w:rPr>
              <w:t>,</w:t>
            </w:r>
            <w:r w:rsidRPr="00D8271A">
              <w:rPr>
                <w:rFonts w:asciiTheme="majorHAnsi" w:hAnsiTheme="majorHAnsi" w:cstheme="majorHAnsi"/>
                <w:color w:val="000000"/>
                <w:sz w:val="20"/>
                <w:szCs w:val="20"/>
              </w:rPr>
              <w:t>356</w:t>
            </w:r>
          </w:p>
        </w:tc>
        <w:tc>
          <w:tcPr>
            <w:tcW w:w="1018" w:type="dxa"/>
            <w:noWrap/>
            <w:hideMark/>
          </w:tcPr>
          <w:p w14:paraId="231658D2" w14:textId="77777777" w:rsidR="00943324" w:rsidRPr="00D8271A" w:rsidRDefault="00943324" w:rsidP="00671524">
            <w:pPr>
              <w:spacing w:before="100" w:beforeAutospacing="1" w:after="100" w:afterAutospacing="1" w:line="360" w:lineRule="auto"/>
              <w:rPr>
                <w:rFonts w:asciiTheme="majorHAnsi" w:hAnsiTheme="majorHAnsi" w:cstheme="majorHAnsi"/>
                <w:color w:val="000000"/>
                <w:sz w:val="20"/>
                <w:szCs w:val="20"/>
              </w:rPr>
            </w:pPr>
            <w:r w:rsidRPr="00D8271A">
              <w:rPr>
                <w:rFonts w:asciiTheme="majorHAnsi" w:hAnsiTheme="majorHAnsi" w:cstheme="majorHAnsi"/>
                <w:color w:val="000000"/>
                <w:sz w:val="20"/>
                <w:szCs w:val="20"/>
              </w:rPr>
              <w:t>62</w:t>
            </w:r>
            <w:r>
              <w:rPr>
                <w:rFonts w:asciiTheme="majorHAnsi" w:hAnsiTheme="majorHAnsi" w:cstheme="majorHAnsi"/>
                <w:color w:val="000000"/>
                <w:sz w:val="20"/>
                <w:szCs w:val="20"/>
              </w:rPr>
              <w:t>,</w:t>
            </w:r>
            <w:r w:rsidRPr="00D8271A">
              <w:rPr>
                <w:rFonts w:asciiTheme="majorHAnsi" w:hAnsiTheme="majorHAnsi" w:cstheme="majorHAnsi"/>
                <w:color w:val="000000"/>
                <w:sz w:val="20"/>
                <w:szCs w:val="20"/>
              </w:rPr>
              <w:t>420</w:t>
            </w:r>
          </w:p>
        </w:tc>
        <w:tc>
          <w:tcPr>
            <w:tcW w:w="1457" w:type="dxa"/>
            <w:noWrap/>
            <w:hideMark/>
          </w:tcPr>
          <w:p w14:paraId="2B5A421D" w14:textId="77777777" w:rsidR="00943324" w:rsidRPr="00D8271A" w:rsidRDefault="00943324" w:rsidP="00671524">
            <w:pPr>
              <w:spacing w:before="100" w:beforeAutospacing="1" w:after="100" w:afterAutospacing="1" w:line="360" w:lineRule="auto"/>
              <w:rPr>
                <w:rFonts w:asciiTheme="majorHAnsi" w:hAnsiTheme="majorHAnsi" w:cstheme="majorHAnsi"/>
                <w:color w:val="000000"/>
                <w:sz w:val="20"/>
                <w:szCs w:val="20"/>
              </w:rPr>
            </w:pPr>
            <w:r w:rsidRPr="00D8271A">
              <w:rPr>
                <w:rFonts w:asciiTheme="majorHAnsi" w:hAnsiTheme="majorHAnsi" w:cstheme="majorHAnsi"/>
                <w:color w:val="000000"/>
                <w:sz w:val="20"/>
                <w:szCs w:val="20"/>
              </w:rPr>
              <w:t>98.3</w:t>
            </w:r>
            <w:r>
              <w:rPr>
                <w:rFonts w:asciiTheme="majorHAnsi" w:hAnsiTheme="majorHAnsi" w:cstheme="majorHAnsi"/>
                <w:color w:val="000000"/>
                <w:sz w:val="20"/>
                <w:szCs w:val="20"/>
              </w:rPr>
              <w:t xml:space="preserve"> per cent</w:t>
            </w:r>
          </w:p>
        </w:tc>
        <w:tc>
          <w:tcPr>
            <w:tcW w:w="1309" w:type="dxa"/>
            <w:noWrap/>
            <w:hideMark/>
          </w:tcPr>
          <w:p w14:paraId="40A71380" w14:textId="77777777" w:rsidR="00943324" w:rsidRPr="00D8271A" w:rsidRDefault="00943324" w:rsidP="00671524">
            <w:pPr>
              <w:spacing w:before="100" w:beforeAutospacing="1" w:after="100" w:afterAutospacing="1" w:line="360" w:lineRule="auto"/>
              <w:rPr>
                <w:rFonts w:asciiTheme="majorHAnsi" w:hAnsiTheme="majorHAnsi" w:cstheme="majorHAnsi"/>
                <w:color w:val="000000"/>
                <w:sz w:val="20"/>
                <w:szCs w:val="20"/>
              </w:rPr>
            </w:pPr>
            <w:r w:rsidRPr="00D8271A">
              <w:rPr>
                <w:rFonts w:asciiTheme="majorHAnsi" w:hAnsiTheme="majorHAnsi" w:cstheme="majorHAnsi"/>
                <w:color w:val="000000"/>
                <w:sz w:val="20"/>
                <w:szCs w:val="20"/>
              </w:rPr>
              <w:t>61</w:t>
            </w:r>
            <w:r>
              <w:rPr>
                <w:rFonts w:asciiTheme="majorHAnsi" w:hAnsiTheme="majorHAnsi" w:cstheme="majorHAnsi"/>
                <w:color w:val="000000"/>
                <w:sz w:val="20"/>
                <w:szCs w:val="20"/>
              </w:rPr>
              <w:t>,</w:t>
            </w:r>
            <w:r w:rsidRPr="00D8271A">
              <w:rPr>
                <w:rFonts w:asciiTheme="majorHAnsi" w:hAnsiTheme="majorHAnsi" w:cstheme="majorHAnsi"/>
                <w:color w:val="000000"/>
                <w:sz w:val="20"/>
                <w:szCs w:val="20"/>
              </w:rPr>
              <w:t>762</w:t>
            </w:r>
          </w:p>
        </w:tc>
        <w:tc>
          <w:tcPr>
            <w:tcW w:w="919" w:type="dxa"/>
            <w:noWrap/>
            <w:hideMark/>
          </w:tcPr>
          <w:p w14:paraId="64A3DB7B" w14:textId="77777777" w:rsidR="00943324" w:rsidRPr="00D8271A" w:rsidRDefault="00943324" w:rsidP="00671524">
            <w:pPr>
              <w:spacing w:before="100" w:beforeAutospacing="1" w:after="100" w:afterAutospacing="1" w:line="360" w:lineRule="auto"/>
              <w:rPr>
                <w:rFonts w:asciiTheme="majorHAnsi" w:hAnsiTheme="majorHAnsi" w:cstheme="majorHAnsi"/>
                <w:color w:val="000000"/>
                <w:sz w:val="20"/>
                <w:szCs w:val="20"/>
              </w:rPr>
            </w:pPr>
            <w:r w:rsidRPr="00D8271A">
              <w:rPr>
                <w:rFonts w:asciiTheme="majorHAnsi" w:hAnsiTheme="majorHAnsi" w:cstheme="majorHAnsi"/>
                <w:color w:val="000000"/>
                <w:sz w:val="20"/>
                <w:szCs w:val="20"/>
              </w:rPr>
              <w:t>62</w:t>
            </w:r>
            <w:r>
              <w:rPr>
                <w:rFonts w:asciiTheme="majorHAnsi" w:hAnsiTheme="majorHAnsi" w:cstheme="majorHAnsi"/>
                <w:color w:val="000000"/>
                <w:sz w:val="20"/>
                <w:szCs w:val="20"/>
              </w:rPr>
              <w:t>,</w:t>
            </w:r>
            <w:r w:rsidRPr="00D8271A">
              <w:rPr>
                <w:rFonts w:asciiTheme="majorHAnsi" w:hAnsiTheme="majorHAnsi" w:cstheme="majorHAnsi"/>
                <w:color w:val="000000"/>
                <w:sz w:val="20"/>
                <w:szCs w:val="20"/>
              </w:rPr>
              <w:t>007</w:t>
            </w:r>
          </w:p>
        </w:tc>
        <w:tc>
          <w:tcPr>
            <w:tcW w:w="1498" w:type="dxa"/>
            <w:noWrap/>
            <w:hideMark/>
          </w:tcPr>
          <w:p w14:paraId="7D27F08C" w14:textId="77777777" w:rsidR="00943324" w:rsidRPr="00D8271A" w:rsidRDefault="00943324" w:rsidP="00671524">
            <w:pPr>
              <w:spacing w:before="100" w:beforeAutospacing="1" w:after="100" w:afterAutospacing="1" w:line="360" w:lineRule="auto"/>
              <w:rPr>
                <w:rFonts w:asciiTheme="majorHAnsi" w:hAnsiTheme="majorHAnsi" w:cstheme="majorHAnsi"/>
                <w:color w:val="000000"/>
                <w:sz w:val="20"/>
                <w:szCs w:val="20"/>
              </w:rPr>
            </w:pPr>
            <w:r w:rsidRPr="00D8271A">
              <w:rPr>
                <w:rFonts w:asciiTheme="majorHAnsi" w:hAnsiTheme="majorHAnsi" w:cstheme="majorHAnsi"/>
                <w:color w:val="000000"/>
                <w:sz w:val="20"/>
                <w:szCs w:val="20"/>
              </w:rPr>
              <w:t>99.6</w:t>
            </w:r>
            <w:r>
              <w:rPr>
                <w:rFonts w:asciiTheme="majorHAnsi" w:hAnsiTheme="majorHAnsi" w:cstheme="majorHAnsi"/>
                <w:color w:val="000000"/>
                <w:sz w:val="20"/>
                <w:szCs w:val="20"/>
              </w:rPr>
              <w:t xml:space="preserve"> per cent</w:t>
            </w:r>
          </w:p>
        </w:tc>
      </w:tr>
      <w:tr w:rsidR="00943324" w:rsidRPr="00D8271A" w14:paraId="3CF970B5" w14:textId="77777777" w:rsidTr="00943324">
        <w:trPr>
          <w:trHeight w:val="266"/>
        </w:trPr>
        <w:tc>
          <w:tcPr>
            <w:tcW w:w="1244" w:type="dxa"/>
            <w:noWrap/>
            <w:hideMark/>
          </w:tcPr>
          <w:p w14:paraId="2157C4F2" w14:textId="77777777" w:rsidR="00943324" w:rsidRPr="00D8271A" w:rsidRDefault="00943324" w:rsidP="00671524">
            <w:pPr>
              <w:spacing w:before="100" w:beforeAutospacing="1" w:after="100" w:afterAutospacing="1" w:line="360" w:lineRule="auto"/>
              <w:rPr>
                <w:rFonts w:asciiTheme="majorHAnsi" w:hAnsiTheme="majorHAnsi" w:cstheme="majorHAnsi"/>
                <w:color w:val="000000"/>
                <w:sz w:val="20"/>
                <w:szCs w:val="20"/>
              </w:rPr>
            </w:pPr>
            <w:r w:rsidRPr="00D8271A">
              <w:rPr>
                <w:rFonts w:asciiTheme="majorHAnsi" w:hAnsiTheme="majorHAnsi" w:cstheme="majorHAnsi"/>
                <w:color w:val="000000"/>
                <w:sz w:val="20"/>
                <w:szCs w:val="20"/>
              </w:rPr>
              <w:t>NCR</w:t>
            </w:r>
          </w:p>
        </w:tc>
        <w:tc>
          <w:tcPr>
            <w:tcW w:w="1492" w:type="dxa"/>
            <w:noWrap/>
            <w:hideMark/>
          </w:tcPr>
          <w:p w14:paraId="3F2B38BA" w14:textId="77777777" w:rsidR="00943324" w:rsidRPr="00D8271A" w:rsidRDefault="00943324" w:rsidP="00671524">
            <w:pPr>
              <w:spacing w:before="100" w:beforeAutospacing="1" w:after="100" w:afterAutospacing="1" w:line="360" w:lineRule="auto"/>
              <w:rPr>
                <w:rFonts w:asciiTheme="majorHAnsi" w:hAnsiTheme="majorHAnsi" w:cstheme="majorHAnsi"/>
                <w:color w:val="000000"/>
                <w:sz w:val="20"/>
                <w:szCs w:val="20"/>
              </w:rPr>
            </w:pPr>
            <w:r w:rsidRPr="00D8271A">
              <w:rPr>
                <w:rFonts w:asciiTheme="majorHAnsi" w:hAnsiTheme="majorHAnsi" w:cstheme="majorHAnsi"/>
                <w:color w:val="000000"/>
                <w:sz w:val="20"/>
                <w:szCs w:val="20"/>
              </w:rPr>
              <w:t>3</w:t>
            </w:r>
            <w:r>
              <w:rPr>
                <w:rFonts w:asciiTheme="majorHAnsi" w:hAnsiTheme="majorHAnsi" w:cstheme="majorHAnsi"/>
                <w:color w:val="000000"/>
                <w:sz w:val="20"/>
                <w:szCs w:val="20"/>
              </w:rPr>
              <w:t>,</w:t>
            </w:r>
            <w:r w:rsidRPr="00D8271A">
              <w:rPr>
                <w:rFonts w:asciiTheme="majorHAnsi" w:hAnsiTheme="majorHAnsi" w:cstheme="majorHAnsi"/>
                <w:color w:val="000000"/>
                <w:sz w:val="20"/>
                <w:szCs w:val="20"/>
              </w:rPr>
              <w:t>166</w:t>
            </w:r>
          </w:p>
        </w:tc>
        <w:tc>
          <w:tcPr>
            <w:tcW w:w="1018" w:type="dxa"/>
            <w:noWrap/>
            <w:hideMark/>
          </w:tcPr>
          <w:p w14:paraId="782C15FA" w14:textId="77777777" w:rsidR="00943324" w:rsidRPr="00D8271A" w:rsidRDefault="00943324" w:rsidP="00671524">
            <w:pPr>
              <w:spacing w:before="100" w:beforeAutospacing="1" w:after="100" w:afterAutospacing="1" w:line="360" w:lineRule="auto"/>
              <w:rPr>
                <w:rFonts w:asciiTheme="majorHAnsi" w:hAnsiTheme="majorHAnsi" w:cstheme="majorHAnsi"/>
                <w:color w:val="000000"/>
                <w:sz w:val="20"/>
                <w:szCs w:val="20"/>
              </w:rPr>
            </w:pPr>
            <w:r w:rsidRPr="00D8271A">
              <w:rPr>
                <w:rFonts w:asciiTheme="majorHAnsi" w:hAnsiTheme="majorHAnsi" w:cstheme="majorHAnsi"/>
                <w:color w:val="000000"/>
                <w:sz w:val="20"/>
                <w:szCs w:val="20"/>
              </w:rPr>
              <w:t>3</w:t>
            </w:r>
            <w:r>
              <w:rPr>
                <w:rFonts w:asciiTheme="majorHAnsi" w:hAnsiTheme="majorHAnsi" w:cstheme="majorHAnsi"/>
                <w:color w:val="000000"/>
                <w:sz w:val="20"/>
                <w:szCs w:val="20"/>
              </w:rPr>
              <w:t>,</w:t>
            </w:r>
            <w:r w:rsidRPr="00D8271A">
              <w:rPr>
                <w:rFonts w:asciiTheme="majorHAnsi" w:hAnsiTheme="majorHAnsi" w:cstheme="majorHAnsi"/>
                <w:color w:val="000000"/>
                <w:sz w:val="20"/>
                <w:szCs w:val="20"/>
              </w:rPr>
              <w:t>251</w:t>
            </w:r>
          </w:p>
        </w:tc>
        <w:tc>
          <w:tcPr>
            <w:tcW w:w="1457" w:type="dxa"/>
            <w:noWrap/>
            <w:hideMark/>
          </w:tcPr>
          <w:p w14:paraId="4E5412ED" w14:textId="77777777" w:rsidR="00943324" w:rsidRPr="00D8271A" w:rsidRDefault="00943324" w:rsidP="00671524">
            <w:pPr>
              <w:spacing w:before="100" w:beforeAutospacing="1" w:after="100" w:afterAutospacing="1" w:line="360" w:lineRule="auto"/>
              <w:rPr>
                <w:rFonts w:asciiTheme="majorHAnsi" w:hAnsiTheme="majorHAnsi" w:cstheme="majorHAnsi"/>
                <w:color w:val="000000"/>
                <w:sz w:val="20"/>
                <w:szCs w:val="20"/>
              </w:rPr>
            </w:pPr>
            <w:r w:rsidRPr="00D8271A">
              <w:rPr>
                <w:rFonts w:asciiTheme="majorHAnsi" w:hAnsiTheme="majorHAnsi" w:cstheme="majorHAnsi"/>
                <w:color w:val="000000"/>
                <w:sz w:val="20"/>
                <w:szCs w:val="20"/>
              </w:rPr>
              <w:t>97.4</w:t>
            </w:r>
            <w:r>
              <w:rPr>
                <w:rFonts w:asciiTheme="majorHAnsi" w:hAnsiTheme="majorHAnsi" w:cstheme="majorHAnsi"/>
                <w:color w:val="000000"/>
                <w:sz w:val="20"/>
                <w:szCs w:val="20"/>
              </w:rPr>
              <w:t xml:space="preserve"> per cent</w:t>
            </w:r>
          </w:p>
        </w:tc>
        <w:tc>
          <w:tcPr>
            <w:tcW w:w="1309" w:type="dxa"/>
            <w:noWrap/>
            <w:hideMark/>
          </w:tcPr>
          <w:p w14:paraId="0A66F8B9" w14:textId="77777777" w:rsidR="00943324" w:rsidRPr="00D8271A" w:rsidRDefault="00943324" w:rsidP="00671524">
            <w:pPr>
              <w:spacing w:before="100" w:beforeAutospacing="1" w:after="100" w:afterAutospacing="1" w:line="360" w:lineRule="auto"/>
              <w:rPr>
                <w:rFonts w:asciiTheme="majorHAnsi" w:hAnsiTheme="majorHAnsi" w:cstheme="majorHAnsi"/>
                <w:color w:val="000000"/>
                <w:sz w:val="20"/>
                <w:szCs w:val="20"/>
              </w:rPr>
            </w:pPr>
            <w:r w:rsidRPr="00D8271A">
              <w:rPr>
                <w:rFonts w:asciiTheme="majorHAnsi" w:hAnsiTheme="majorHAnsi" w:cstheme="majorHAnsi"/>
                <w:color w:val="000000"/>
                <w:sz w:val="20"/>
                <w:szCs w:val="20"/>
              </w:rPr>
              <w:t>3</w:t>
            </w:r>
            <w:r>
              <w:rPr>
                <w:rFonts w:asciiTheme="majorHAnsi" w:hAnsiTheme="majorHAnsi" w:cstheme="majorHAnsi"/>
                <w:color w:val="000000"/>
                <w:sz w:val="20"/>
                <w:szCs w:val="20"/>
              </w:rPr>
              <w:t>,</w:t>
            </w:r>
            <w:r w:rsidRPr="00D8271A">
              <w:rPr>
                <w:rFonts w:asciiTheme="majorHAnsi" w:hAnsiTheme="majorHAnsi" w:cstheme="majorHAnsi"/>
                <w:color w:val="000000"/>
                <w:sz w:val="20"/>
                <w:szCs w:val="20"/>
              </w:rPr>
              <w:t>178</w:t>
            </w:r>
          </w:p>
        </w:tc>
        <w:tc>
          <w:tcPr>
            <w:tcW w:w="919" w:type="dxa"/>
            <w:noWrap/>
            <w:hideMark/>
          </w:tcPr>
          <w:p w14:paraId="2B6096E4" w14:textId="77777777" w:rsidR="00943324" w:rsidRPr="00D8271A" w:rsidRDefault="00943324" w:rsidP="00671524">
            <w:pPr>
              <w:spacing w:before="100" w:beforeAutospacing="1" w:after="100" w:afterAutospacing="1" w:line="360" w:lineRule="auto"/>
              <w:rPr>
                <w:rFonts w:asciiTheme="majorHAnsi" w:hAnsiTheme="majorHAnsi" w:cstheme="majorHAnsi"/>
                <w:color w:val="000000"/>
                <w:sz w:val="20"/>
                <w:szCs w:val="20"/>
              </w:rPr>
            </w:pPr>
            <w:r w:rsidRPr="00D8271A">
              <w:rPr>
                <w:rFonts w:asciiTheme="majorHAnsi" w:hAnsiTheme="majorHAnsi" w:cstheme="majorHAnsi"/>
                <w:color w:val="000000"/>
                <w:sz w:val="20"/>
                <w:szCs w:val="20"/>
              </w:rPr>
              <w:t>3</w:t>
            </w:r>
            <w:r>
              <w:rPr>
                <w:rFonts w:asciiTheme="majorHAnsi" w:hAnsiTheme="majorHAnsi" w:cstheme="majorHAnsi"/>
                <w:color w:val="000000"/>
                <w:sz w:val="20"/>
                <w:szCs w:val="20"/>
              </w:rPr>
              <w:t>,</w:t>
            </w:r>
            <w:r w:rsidRPr="00D8271A">
              <w:rPr>
                <w:rFonts w:asciiTheme="majorHAnsi" w:hAnsiTheme="majorHAnsi" w:cstheme="majorHAnsi"/>
                <w:color w:val="000000"/>
                <w:sz w:val="20"/>
                <w:szCs w:val="20"/>
              </w:rPr>
              <w:t>279</w:t>
            </w:r>
          </w:p>
        </w:tc>
        <w:tc>
          <w:tcPr>
            <w:tcW w:w="1498" w:type="dxa"/>
            <w:noWrap/>
            <w:hideMark/>
          </w:tcPr>
          <w:p w14:paraId="33897FD2" w14:textId="77777777" w:rsidR="00943324" w:rsidRPr="00D8271A" w:rsidRDefault="00943324" w:rsidP="00671524">
            <w:pPr>
              <w:spacing w:before="100" w:beforeAutospacing="1" w:after="100" w:afterAutospacing="1" w:line="360" w:lineRule="auto"/>
              <w:rPr>
                <w:rFonts w:asciiTheme="majorHAnsi" w:hAnsiTheme="majorHAnsi" w:cstheme="majorHAnsi"/>
                <w:color w:val="000000"/>
                <w:sz w:val="20"/>
                <w:szCs w:val="20"/>
              </w:rPr>
            </w:pPr>
            <w:r w:rsidRPr="00D8271A">
              <w:rPr>
                <w:rFonts w:asciiTheme="majorHAnsi" w:hAnsiTheme="majorHAnsi" w:cstheme="majorHAnsi"/>
                <w:color w:val="000000"/>
                <w:sz w:val="20"/>
                <w:szCs w:val="20"/>
              </w:rPr>
              <w:t>96.9</w:t>
            </w:r>
            <w:r>
              <w:rPr>
                <w:rFonts w:asciiTheme="majorHAnsi" w:hAnsiTheme="majorHAnsi" w:cstheme="majorHAnsi"/>
                <w:color w:val="000000"/>
                <w:sz w:val="20"/>
                <w:szCs w:val="20"/>
              </w:rPr>
              <w:t xml:space="preserve"> per cent</w:t>
            </w:r>
          </w:p>
        </w:tc>
      </w:tr>
      <w:tr w:rsidR="00943324" w:rsidRPr="00D8271A" w14:paraId="506140A5" w14:textId="77777777" w:rsidTr="00943324">
        <w:trPr>
          <w:trHeight w:val="266"/>
        </w:trPr>
        <w:tc>
          <w:tcPr>
            <w:tcW w:w="1244" w:type="dxa"/>
            <w:noWrap/>
            <w:hideMark/>
          </w:tcPr>
          <w:p w14:paraId="7F8F793B" w14:textId="77777777" w:rsidR="00943324" w:rsidRPr="00D8271A" w:rsidRDefault="00943324" w:rsidP="00671524">
            <w:pPr>
              <w:spacing w:before="100" w:beforeAutospacing="1" w:after="100" w:afterAutospacing="1" w:line="360" w:lineRule="auto"/>
              <w:rPr>
                <w:rFonts w:asciiTheme="majorHAnsi" w:hAnsiTheme="majorHAnsi" w:cstheme="majorHAnsi"/>
                <w:color w:val="000000"/>
                <w:sz w:val="20"/>
                <w:szCs w:val="20"/>
              </w:rPr>
            </w:pPr>
            <w:r w:rsidRPr="00D8271A">
              <w:rPr>
                <w:rFonts w:asciiTheme="majorHAnsi" w:hAnsiTheme="majorHAnsi" w:cstheme="majorHAnsi"/>
                <w:color w:val="000000"/>
                <w:sz w:val="20"/>
                <w:szCs w:val="20"/>
              </w:rPr>
              <w:t>Region V</w:t>
            </w:r>
          </w:p>
        </w:tc>
        <w:tc>
          <w:tcPr>
            <w:tcW w:w="1492" w:type="dxa"/>
            <w:noWrap/>
            <w:hideMark/>
          </w:tcPr>
          <w:p w14:paraId="3E2AD148" w14:textId="77777777" w:rsidR="00943324" w:rsidRPr="00D8271A" w:rsidRDefault="00943324" w:rsidP="00671524">
            <w:pPr>
              <w:spacing w:before="100" w:beforeAutospacing="1" w:after="100" w:afterAutospacing="1" w:line="360" w:lineRule="auto"/>
              <w:rPr>
                <w:rFonts w:asciiTheme="majorHAnsi" w:hAnsiTheme="majorHAnsi" w:cstheme="majorHAnsi"/>
                <w:color w:val="000000"/>
                <w:sz w:val="20"/>
                <w:szCs w:val="20"/>
              </w:rPr>
            </w:pPr>
            <w:r w:rsidRPr="00D8271A">
              <w:rPr>
                <w:rFonts w:asciiTheme="majorHAnsi" w:hAnsiTheme="majorHAnsi" w:cstheme="majorHAnsi"/>
                <w:color w:val="000000"/>
                <w:sz w:val="20"/>
                <w:szCs w:val="20"/>
              </w:rPr>
              <w:t>4</w:t>
            </w:r>
            <w:r>
              <w:rPr>
                <w:rFonts w:asciiTheme="majorHAnsi" w:hAnsiTheme="majorHAnsi" w:cstheme="majorHAnsi"/>
                <w:color w:val="000000"/>
                <w:sz w:val="20"/>
                <w:szCs w:val="20"/>
              </w:rPr>
              <w:t>,</w:t>
            </w:r>
            <w:r w:rsidRPr="00D8271A">
              <w:rPr>
                <w:rFonts w:asciiTheme="majorHAnsi" w:hAnsiTheme="majorHAnsi" w:cstheme="majorHAnsi"/>
                <w:color w:val="000000"/>
                <w:sz w:val="20"/>
                <w:szCs w:val="20"/>
              </w:rPr>
              <w:t>439</w:t>
            </w:r>
          </w:p>
        </w:tc>
        <w:tc>
          <w:tcPr>
            <w:tcW w:w="1018" w:type="dxa"/>
            <w:noWrap/>
            <w:hideMark/>
          </w:tcPr>
          <w:p w14:paraId="0BAB92F2" w14:textId="77777777" w:rsidR="00943324" w:rsidRPr="00D8271A" w:rsidRDefault="00943324" w:rsidP="00671524">
            <w:pPr>
              <w:spacing w:before="100" w:beforeAutospacing="1" w:after="100" w:afterAutospacing="1" w:line="360" w:lineRule="auto"/>
              <w:rPr>
                <w:rFonts w:asciiTheme="majorHAnsi" w:hAnsiTheme="majorHAnsi" w:cstheme="majorHAnsi"/>
                <w:color w:val="000000"/>
                <w:sz w:val="20"/>
                <w:szCs w:val="20"/>
              </w:rPr>
            </w:pPr>
            <w:r w:rsidRPr="00D8271A">
              <w:rPr>
                <w:rFonts w:asciiTheme="majorHAnsi" w:hAnsiTheme="majorHAnsi" w:cstheme="majorHAnsi"/>
                <w:color w:val="000000"/>
                <w:sz w:val="20"/>
                <w:szCs w:val="20"/>
              </w:rPr>
              <w:t>4</w:t>
            </w:r>
            <w:r>
              <w:rPr>
                <w:rFonts w:asciiTheme="majorHAnsi" w:hAnsiTheme="majorHAnsi" w:cstheme="majorHAnsi"/>
                <w:color w:val="000000"/>
                <w:sz w:val="20"/>
                <w:szCs w:val="20"/>
              </w:rPr>
              <w:t>,</w:t>
            </w:r>
            <w:r w:rsidRPr="00D8271A">
              <w:rPr>
                <w:rFonts w:asciiTheme="majorHAnsi" w:hAnsiTheme="majorHAnsi" w:cstheme="majorHAnsi"/>
                <w:color w:val="000000"/>
                <w:sz w:val="20"/>
                <w:szCs w:val="20"/>
              </w:rPr>
              <w:t>452</w:t>
            </w:r>
          </w:p>
        </w:tc>
        <w:tc>
          <w:tcPr>
            <w:tcW w:w="1457" w:type="dxa"/>
            <w:noWrap/>
            <w:hideMark/>
          </w:tcPr>
          <w:p w14:paraId="503114F2" w14:textId="77777777" w:rsidR="00943324" w:rsidRPr="00D8271A" w:rsidRDefault="00943324" w:rsidP="00671524">
            <w:pPr>
              <w:spacing w:before="100" w:beforeAutospacing="1" w:after="100" w:afterAutospacing="1" w:line="360" w:lineRule="auto"/>
              <w:rPr>
                <w:rFonts w:asciiTheme="majorHAnsi" w:hAnsiTheme="majorHAnsi" w:cstheme="majorHAnsi"/>
                <w:color w:val="000000"/>
                <w:sz w:val="20"/>
                <w:szCs w:val="20"/>
              </w:rPr>
            </w:pPr>
            <w:r w:rsidRPr="00D8271A">
              <w:rPr>
                <w:rFonts w:asciiTheme="majorHAnsi" w:hAnsiTheme="majorHAnsi" w:cstheme="majorHAnsi"/>
                <w:color w:val="000000"/>
                <w:sz w:val="20"/>
                <w:szCs w:val="20"/>
              </w:rPr>
              <w:t>99.7</w:t>
            </w:r>
            <w:r>
              <w:rPr>
                <w:rFonts w:asciiTheme="majorHAnsi" w:hAnsiTheme="majorHAnsi" w:cstheme="majorHAnsi"/>
                <w:color w:val="000000"/>
                <w:sz w:val="20"/>
                <w:szCs w:val="20"/>
              </w:rPr>
              <w:t xml:space="preserve"> per cent</w:t>
            </w:r>
          </w:p>
        </w:tc>
        <w:tc>
          <w:tcPr>
            <w:tcW w:w="1309" w:type="dxa"/>
            <w:noWrap/>
            <w:hideMark/>
          </w:tcPr>
          <w:p w14:paraId="05FD6940" w14:textId="77777777" w:rsidR="00943324" w:rsidRPr="00D8271A" w:rsidRDefault="00943324" w:rsidP="00671524">
            <w:pPr>
              <w:spacing w:before="100" w:beforeAutospacing="1" w:after="100" w:afterAutospacing="1" w:line="360" w:lineRule="auto"/>
              <w:rPr>
                <w:rFonts w:asciiTheme="majorHAnsi" w:hAnsiTheme="majorHAnsi" w:cstheme="majorHAnsi"/>
                <w:color w:val="000000"/>
                <w:sz w:val="20"/>
                <w:szCs w:val="20"/>
              </w:rPr>
            </w:pPr>
            <w:r w:rsidRPr="00D8271A">
              <w:rPr>
                <w:rFonts w:asciiTheme="majorHAnsi" w:hAnsiTheme="majorHAnsi" w:cstheme="majorHAnsi"/>
                <w:color w:val="000000"/>
                <w:sz w:val="20"/>
                <w:szCs w:val="20"/>
              </w:rPr>
              <w:t>4</w:t>
            </w:r>
            <w:r>
              <w:rPr>
                <w:rFonts w:asciiTheme="majorHAnsi" w:hAnsiTheme="majorHAnsi" w:cstheme="majorHAnsi"/>
                <w:color w:val="000000"/>
                <w:sz w:val="20"/>
                <w:szCs w:val="20"/>
              </w:rPr>
              <w:t>,</w:t>
            </w:r>
            <w:r w:rsidRPr="00D8271A">
              <w:rPr>
                <w:rFonts w:asciiTheme="majorHAnsi" w:hAnsiTheme="majorHAnsi" w:cstheme="majorHAnsi"/>
                <w:color w:val="000000"/>
                <w:sz w:val="20"/>
                <w:szCs w:val="20"/>
              </w:rPr>
              <w:t>452</w:t>
            </w:r>
          </w:p>
        </w:tc>
        <w:tc>
          <w:tcPr>
            <w:tcW w:w="919" w:type="dxa"/>
            <w:noWrap/>
            <w:hideMark/>
          </w:tcPr>
          <w:p w14:paraId="65BB6DDA" w14:textId="77777777" w:rsidR="00943324" w:rsidRPr="00D8271A" w:rsidRDefault="00943324" w:rsidP="00671524">
            <w:pPr>
              <w:spacing w:before="100" w:beforeAutospacing="1" w:after="100" w:afterAutospacing="1" w:line="360" w:lineRule="auto"/>
              <w:rPr>
                <w:rFonts w:asciiTheme="majorHAnsi" w:hAnsiTheme="majorHAnsi" w:cstheme="majorHAnsi"/>
                <w:color w:val="000000"/>
                <w:sz w:val="20"/>
                <w:szCs w:val="20"/>
              </w:rPr>
            </w:pPr>
            <w:r w:rsidRPr="00D8271A">
              <w:rPr>
                <w:rFonts w:asciiTheme="majorHAnsi" w:hAnsiTheme="majorHAnsi" w:cstheme="majorHAnsi"/>
                <w:color w:val="000000"/>
                <w:sz w:val="20"/>
                <w:szCs w:val="20"/>
              </w:rPr>
              <w:t>4</w:t>
            </w:r>
            <w:r>
              <w:rPr>
                <w:rFonts w:asciiTheme="majorHAnsi" w:hAnsiTheme="majorHAnsi" w:cstheme="majorHAnsi"/>
                <w:color w:val="000000"/>
                <w:sz w:val="20"/>
                <w:szCs w:val="20"/>
              </w:rPr>
              <w:t>,</w:t>
            </w:r>
            <w:r w:rsidRPr="00D8271A">
              <w:rPr>
                <w:rFonts w:asciiTheme="majorHAnsi" w:hAnsiTheme="majorHAnsi" w:cstheme="majorHAnsi"/>
                <w:color w:val="000000"/>
                <w:sz w:val="20"/>
                <w:szCs w:val="20"/>
              </w:rPr>
              <w:t>456</w:t>
            </w:r>
          </w:p>
        </w:tc>
        <w:tc>
          <w:tcPr>
            <w:tcW w:w="1498" w:type="dxa"/>
            <w:noWrap/>
            <w:hideMark/>
          </w:tcPr>
          <w:p w14:paraId="62722779" w14:textId="77777777" w:rsidR="00943324" w:rsidRPr="00D8271A" w:rsidRDefault="00943324" w:rsidP="00671524">
            <w:pPr>
              <w:spacing w:before="100" w:beforeAutospacing="1" w:after="100" w:afterAutospacing="1" w:line="360" w:lineRule="auto"/>
              <w:rPr>
                <w:rFonts w:asciiTheme="majorHAnsi" w:hAnsiTheme="majorHAnsi" w:cstheme="majorHAnsi"/>
                <w:color w:val="000000"/>
                <w:sz w:val="20"/>
                <w:szCs w:val="20"/>
              </w:rPr>
            </w:pPr>
            <w:r w:rsidRPr="00D8271A">
              <w:rPr>
                <w:rFonts w:asciiTheme="majorHAnsi" w:hAnsiTheme="majorHAnsi" w:cstheme="majorHAnsi"/>
                <w:color w:val="000000"/>
                <w:sz w:val="20"/>
                <w:szCs w:val="20"/>
              </w:rPr>
              <w:t>99.9</w:t>
            </w:r>
            <w:r>
              <w:rPr>
                <w:rFonts w:asciiTheme="majorHAnsi" w:hAnsiTheme="majorHAnsi" w:cstheme="majorHAnsi"/>
                <w:color w:val="000000"/>
                <w:sz w:val="20"/>
                <w:szCs w:val="20"/>
              </w:rPr>
              <w:t xml:space="preserve"> per cent</w:t>
            </w:r>
          </w:p>
        </w:tc>
      </w:tr>
      <w:tr w:rsidR="00943324" w:rsidRPr="00D8271A" w14:paraId="1F91F64E" w14:textId="77777777" w:rsidTr="00943324">
        <w:trPr>
          <w:trHeight w:val="266"/>
        </w:trPr>
        <w:tc>
          <w:tcPr>
            <w:tcW w:w="1244" w:type="dxa"/>
            <w:noWrap/>
            <w:hideMark/>
          </w:tcPr>
          <w:p w14:paraId="36D95353" w14:textId="77777777" w:rsidR="00943324" w:rsidRPr="00D8271A" w:rsidRDefault="00943324" w:rsidP="00671524">
            <w:pPr>
              <w:spacing w:before="100" w:beforeAutospacing="1" w:after="100" w:afterAutospacing="1" w:line="360" w:lineRule="auto"/>
              <w:rPr>
                <w:rFonts w:asciiTheme="majorHAnsi" w:hAnsiTheme="majorHAnsi" w:cstheme="majorHAnsi"/>
                <w:color w:val="000000"/>
                <w:sz w:val="20"/>
                <w:szCs w:val="20"/>
              </w:rPr>
            </w:pPr>
            <w:r w:rsidRPr="00D8271A">
              <w:rPr>
                <w:rFonts w:asciiTheme="majorHAnsi" w:hAnsiTheme="majorHAnsi" w:cstheme="majorHAnsi"/>
                <w:color w:val="000000"/>
                <w:sz w:val="20"/>
                <w:szCs w:val="20"/>
              </w:rPr>
              <w:t>Region VI</w:t>
            </w:r>
          </w:p>
        </w:tc>
        <w:tc>
          <w:tcPr>
            <w:tcW w:w="1492" w:type="dxa"/>
            <w:noWrap/>
            <w:hideMark/>
          </w:tcPr>
          <w:p w14:paraId="4A5E738A" w14:textId="77777777" w:rsidR="00943324" w:rsidRPr="00D8271A" w:rsidRDefault="00943324" w:rsidP="00671524">
            <w:pPr>
              <w:spacing w:before="100" w:beforeAutospacing="1" w:after="100" w:afterAutospacing="1" w:line="360" w:lineRule="auto"/>
              <w:rPr>
                <w:rFonts w:asciiTheme="majorHAnsi" w:hAnsiTheme="majorHAnsi" w:cstheme="majorHAnsi"/>
                <w:color w:val="000000"/>
                <w:sz w:val="20"/>
                <w:szCs w:val="20"/>
              </w:rPr>
            </w:pPr>
            <w:r w:rsidRPr="00D8271A">
              <w:rPr>
                <w:rFonts w:asciiTheme="majorHAnsi" w:hAnsiTheme="majorHAnsi" w:cstheme="majorHAnsi"/>
                <w:color w:val="000000"/>
                <w:sz w:val="20"/>
                <w:szCs w:val="20"/>
              </w:rPr>
              <w:t>5</w:t>
            </w:r>
            <w:r>
              <w:rPr>
                <w:rFonts w:asciiTheme="majorHAnsi" w:hAnsiTheme="majorHAnsi" w:cstheme="majorHAnsi"/>
                <w:color w:val="000000"/>
                <w:sz w:val="20"/>
                <w:szCs w:val="20"/>
              </w:rPr>
              <w:t>,</w:t>
            </w:r>
            <w:r w:rsidRPr="00D8271A">
              <w:rPr>
                <w:rFonts w:asciiTheme="majorHAnsi" w:hAnsiTheme="majorHAnsi" w:cstheme="majorHAnsi"/>
                <w:color w:val="000000"/>
                <w:sz w:val="20"/>
                <w:szCs w:val="20"/>
              </w:rPr>
              <w:t>183</w:t>
            </w:r>
          </w:p>
        </w:tc>
        <w:tc>
          <w:tcPr>
            <w:tcW w:w="1018" w:type="dxa"/>
            <w:noWrap/>
            <w:hideMark/>
          </w:tcPr>
          <w:p w14:paraId="24834D8D" w14:textId="77777777" w:rsidR="00943324" w:rsidRPr="00D8271A" w:rsidRDefault="00943324" w:rsidP="00671524">
            <w:pPr>
              <w:spacing w:before="100" w:beforeAutospacing="1" w:after="100" w:afterAutospacing="1" w:line="360" w:lineRule="auto"/>
              <w:rPr>
                <w:rFonts w:asciiTheme="majorHAnsi" w:hAnsiTheme="majorHAnsi" w:cstheme="majorHAnsi"/>
                <w:color w:val="000000"/>
                <w:sz w:val="20"/>
                <w:szCs w:val="20"/>
              </w:rPr>
            </w:pPr>
            <w:r w:rsidRPr="00D8271A">
              <w:rPr>
                <w:rFonts w:asciiTheme="majorHAnsi" w:hAnsiTheme="majorHAnsi" w:cstheme="majorHAnsi"/>
                <w:color w:val="000000"/>
                <w:sz w:val="20"/>
                <w:szCs w:val="20"/>
              </w:rPr>
              <w:t>5</w:t>
            </w:r>
            <w:r>
              <w:rPr>
                <w:rFonts w:asciiTheme="majorHAnsi" w:hAnsiTheme="majorHAnsi" w:cstheme="majorHAnsi"/>
                <w:color w:val="000000"/>
                <w:sz w:val="20"/>
                <w:szCs w:val="20"/>
              </w:rPr>
              <w:t>,</w:t>
            </w:r>
            <w:r w:rsidRPr="00D8271A">
              <w:rPr>
                <w:rFonts w:asciiTheme="majorHAnsi" w:hAnsiTheme="majorHAnsi" w:cstheme="majorHAnsi"/>
                <w:color w:val="000000"/>
                <w:sz w:val="20"/>
                <w:szCs w:val="20"/>
              </w:rPr>
              <w:t>183</w:t>
            </w:r>
          </w:p>
        </w:tc>
        <w:tc>
          <w:tcPr>
            <w:tcW w:w="1457" w:type="dxa"/>
            <w:noWrap/>
            <w:hideMark/>
          </w:tcPr>
          <w:p w14:paraId="5C42DA96" w14:textId="77777777" w:rsidR="00943324" w:rsidRPr="00D8271A" w:rsidRDefault="00943324" w:rsidP="00671524">
            <w:pPr>
              <w:spacing w:before="100" w:beforeAutospacing="1" w:after="100" w:afterAutospacing="1" w:line="360" w:lineRule="auto"/>
              <w:rPr>
                <w:rFonts w:asciiTheme="majorHAnsi" w:hAnsiTheme="majorHAnsi" w:cstheme="majorHAnsi"/>
                <w:color w:val="000000"/>
                <w:sz w:val="20"/>
                <w:szCs w:val="20"/>
              </w:rPr>
            </w:pPr>
            <w:r w:rsidRPr="00D8271A">
              <w:rPr>
                <w:rFonts w:asciiTheme="majorHAnsi" w:hAnsiTheme="majorHAnsi" w:cstheme="majorHAnsi"/>
                <w:color w:val="000000"/>
                <w:sz w:val="20"/>
                <w:szCs w:val="20"/>
              </w:rPr>
              <w:t>100.0</w:t>
            </w:r>
            <w:r>
              <w:rPr>
                <w:rFonts w:asciiTheme="majorHAnsi" w:hAnsiTheme="majorHAnsi" w:cstheme="majorHAnsi"/>
                <w:color w:val="000000"/>
                <w:sz w:val="20"/>
                <w:szCs w:val="20"/>
              </w:rPr>
              <w:t xml:space="preserve"> per cent</w:t>
            </w:r>
          </w:p>
        </w:tc>
        <w:tc>
          <w:tcPr>
            <w:tcW w:w="1309" w:type="dxa"/>
            <w:noWrap/>
            <w:hideMark/>
          </w:tcPr>
          <w:p w14:paraId="0BC88775" w14:textId="77777777" w:rsidR="00943324" w:rsidRPr="00D8271A" w:rsidRDefault="00943324" w:rsidP="00671524">
            <w:pPr>
              <w:spacing w:before="100" w:beforeAutospacing="1" w:after="100" w:afterAutospacing="1" w:line="360" w:lineRule="auto"/>
              <w:rPr>
                <w:rFonts w:asciiTheme="majorHAnsi" w:hAnsiTheme="majorHAnsi" w:cstheme="majorHAnsi"/>
                <w:color w:val="000000"/>
                <w:sz w:val="20"/>
                <w:szCs w:val="20"/>
              </w:rPr>
            </w:pPr>
            <w:r w:rsidRPr="00D8271A">
              <w:rPr>
                <w:rFonts w:asciiTheme="majorHAnsi" w:hAnsiTheme="majorHAnsi" w:cstheme="majorHAnsi"/>
                <w:color w:val="000000"/>
                <w:sz w:val="20"/>
                <w:szCs w:val="20"/>
              </w:rPr>
              <w:t>5</w:t>
            </w:r>
            <w:r>
              <w:rPr>
                <w:rFonts w:asciiTheme="majorHAnsi" w:hAnsiTheme="majorHAnsi" w:cstheme="majorHAnsi"/>
                <w:color w:val="000000"/>
                <w:sz w:val="20"/>
                <w:szCs w:val="20"/>
              </w:rPr>
              <w:t>,</w:t>
            </w:r>
            <w:r w:rsidRPr="00D8271A">
              <w:rPr>
                <w:rFonts w:asciiTheme="majorHAnsi" w:hAnsiTheme="majorHAnsi" w:cstheme="majorHAnsi"/>
                <w:color w:val="000000"/>
                <w:sz w:val="20"/>
                <w:szCs w:val="20"/>
              </w:rPr>
              <w:t>180</w:t>
            </w:r>
          </w:p>
        </w:tc>
        <w:tc>
          <w:tcPr>
            <w:tcW w:w="919" w:type="dxa"/>
            <w:noWrap/>
            <w:hideMark/>
          </w:tcPr>
          <w:p w14:paraId="27015A9D" w14:textId="77777777" w:rsidR="00943324" w:rsidRPr="00D8271A" w:rsidRDefault="00943324" w:rsidP="00671524">
            <w:pPr>
              <w:spacing w:before="100" w:beforeAutospacing="1" w:after="100" w:afterAutospacing="1" w:line="360" w:lineRule="auto"/>
              <w:rPr>
                <w:rFonts w:asciiTheme="majorHAnsi" w:hAnsiTheme="majorHAnsi" w:cstheme="majorHAnsi"/>
                <w:color w:val="000000"/>
                <w:sz w:val="20"/>
                <w:szCs w:val="20"/>
              </w:rPr>
            </w:pPr>
            <w:r w:rsidRPr="00D8271A">
              <w:rPr>
                <w:rFonts w:asciiTheme="majorHAnsi" w:hAnsiTheme="majorHAnsi" w:cstheme="majorHAnsi"/>
                <w:color w:val="000000"/>
                <w:sz w:val="20"/>
                <w:szCs w:val="20"/>
              </w:rPr>
              <w:t>5</w:t>
            </w:r>
            <w:r>
              <w:rPr>
                <w:rFonts w:asciiTheme="majorHAnsi" w:hAnsiTheme="majorHAnsi" w:cstheme="majorHAnsi"/>
                <w:color w:val="000000"/>
                <w:sz w:val="20"/>
                <w:szCs w:val="20"/>
              </w:rPr>
              <w:t>,</w:t>
            </w:r>
            <w:r w:rsidRPr="00D8271A">
              <w:rPr>
                <w:rFonts w:asciiTheme="majorHAnsi" w:hAnsiTheme="majorHAnsi" w:cstheme="majorHAnsi"/>
                <w:color w:val="000000"/>
                <w:sz w:val="20"/>
                <w:szCs w:val="20"/>
              </w:rPr>
              <w:t>180</w:t>
            </w:r>
          </w:p>
        </w:tc>
        <w:tc>
          <w:tcPr>
            <w:tcW w:w="1498" w:type="dxa"/>
            <w:noWrap/>
            <w:hideMark/>
          </w:tcPr>
          <w:p w14:paraId="79FDFAF8" w14:textId="77777777" w:rsidR="00943324" w:rsidRPr="00D8271A" w:rsidRDefault="00943324" w:rsidP="00671524">
            <w:pPr>
              <w:spacing w:before="100" w:beforeAutospacing="1" w:after="100" w:afterAutospacing="1" w:line="360" w:lineRule="auto"/>
              <w:rPr>
                <w:rFonts w:asciiTheme="majorHAnsi" w:hAnsiTheme="majorHAnsi" w:cstheme="majorHAnsi"/>
                <w:color w:val="000000"/>
                <w:sz w:val="20"/>
                <w:szCs w:val="20"/>
              </w:rPr>
            </w:pPr>
            <w:r w:rsidRPr="00D8271A">
              <w:rPr>
                <w:rFonts w:asciiTheme="majorHAnsi" w:hAnsiTheme="majorHAnsi" w:cstheme="majorHAnsi"/>
                <w:color w:val="000000"/>
                <w:sz w:val="20"/>
                <w:szCs w:val="20"/>
              </w:rPr>
              <w:t>100.0</w:t>
            </w:r>
            <w:r>
              <w:rPr>
                <w:rFonts w:asciiTheme="majorHAnsi" w:hAnsiTheme="majorHAnsi" w:cstheme="majorHAnsi"/>
                <w:color w:val="000000"/>
                <w:sz w:val="20"/>
                <w:szCs w:val="20"/>
              </w:rPr>
              <w:t xml:space="preserve"> per cent</w:t>
            </w:r>
          </w:p>
        </w:tc>
      </w:tr>
      <w:tr w:rsidR="00943324" w:rsidRPr="00D8271A" w14:paraId="02B17956" w14:textId="77777777" w:rsidTr="00943324">
        <w:trPr>
          <w:trHeight w:val="266"/>
        </w:trPr>
        <w:tc>
          <w:tcPr>
            <w:tcW w:w="1244" w:type="dxa"/>
            <w:noWrap/>
            <w:hideMark/>
          </w:tcPr>
          <w:p w14:paraId="296D892A" w14:textId="77777777" w:rsidR="00943324" w:rsidRPr="00D8271A" w:rsidRDefault="00943324" w:rsidP="00671524">
            <w:pPr>
              <w:spacing w:before="100" w:beforeAutospacing="1" w:after="100" w:afterAutospacing="1" w:line="360" w:lineRule="auto"/>
              <w:rPr>
                <w:rFonts w:asciiTheme="majorHAnsi" w:hAnsiTheme="majorHAnsi" w:cstheme="majorHAnsi"/>
                <w:color w:val="000000"/>
                <w:sz w:val="20"/>
                <w:szCs w:val="20"/>
              </w:rPr>
            </w:pPr>
            <w:r w:rsidRPr="00D8271A">
              <w:rPr>
                <w:rFonts w:asciiTheme="majorHAnsi" w:hAnsiTheme="majorHAnsi" w:cstheme="majorHAnsi"/>
                <w:color w:val="000000"/>
                <w:sz w:val="20"/>
                <w:szCs w:val="20"/>
              </w:rPr>
              <w:t>Region VII</w:t>
            </w:r>
          </w:p>
        </w:tc>
        <w:tc>
          <w:tcPr>
            <w:tcW w:w="1492" w:type="dxa"/>
            <w:noWrap/>
            <w:hideMark/>
          </w:tcPr>
          <w:p w14:paraId="6A33E2C0" w14:textId="77777777" w:rsidR="00943324" w:rsidRPr="00D8271A" w:rsidRDefault="00943324" w:rsidP="00671524">
            <w:pPr>
              <w:spacing w:before="100" w:beforeAutospacing="1" w:after="100" w:afterAutospacing="1" w:line="360" w:lineRule="auto"/>
              <w:rPr>
                <w:rFonts w:asciiTheme="majorHAnsi" w:hAnsiTheme="majorHAnsi" w:cstheme="majorHAnsi"/>
                <w:color w:val="000000"/>
                <w:sz w:val="20"/>
                <w:szCs w:val="20"/>
              </w:rPr>
            </w:pPr>
            <w:r w:rsidRPr="00D8271A">
              <w:rPr>
                <w:rFonts w:asciiTheme="majorHAnsi" w:hAnsiTheme="majorHAnsi" w:cstheme="majorHAnsi"/>
                <w:color w:val="000000"/>
                <w:sz w:val="20"/>
                <w:szCs w:val="20"/>
              </w:rPr>
              <w:t>4</w:t>
            </w:r>
            <w:r>
              <w:rPr>
                <w:rFonts w:asciiTheme="majorHAnsi" w:hAnsiTheme="majorHAnsi" w:cstheme="majorHAnsi"/>
                <w:color w:val="000000"/>
                <w:sz w:val="20"/>
                <w:szCs w:val="20"/>
              </w:rPr>
              <w:t>,</w:t>
            </w:r>
            <w:r w:rsidRPr="00D8271A">
              <w:rPr>
                <w:rFonts w:asciiTheme="majorHAnsi" w:hAnsiTheme="majorHAnsi" w:cstheme="majorHAnsi"/>
                <w:color w:val="000000"/>
                <w:sz w:val="20"/>
                <w:szCs w:val="20"/>
              </w:rPr>
              <w:t>640</w:t>
            </w:r>
          </w:p>
        </w:tc>
        <w:tc>
          <w:tcPr>
            <w:tcW w:w="1018" w:type="dxa"/>
            <w:noWrap/>
            <w:hideMark/>
          </w:tcPr>
          <w:p w14:paraId="638EDF6D" w14:textId="77777777" w:rsidR="00943324" w:rsidRPr="00D8271A" w:rsidRDefault="00943324" w:rsidP="00671524">
            <w:pPr>
              <w:spacing w:before="100" w:beforeAutospacing="1" w:after="100" w:afterAutospacing="1" w:line="360" w:lineRule="auto"/>
              <w:rPr>
                <w:rFonts w:asciiTheme="majorHAnsi" w:hAnsiTheme="majorHAnsi" w:cstheme="majorHAnsi"/>
                <w:color w:val="000000"/>
                <w:sz w:val="20"/>
                <w:szCs w:val="20"/>
              </w:rPr>
            </w:pPr>
            <w:r w:rsidRPr="00D8271A">
              <w:rPr>
                <w:rFonts w:asciiTheme="majorHAnsi" w:hAnsiTheme="majorHAnsi" w:cstheme="majorHAnsi"/>
                <w:color w:val="000000"/>
                <w:sz w:val="20"/>
                <w:szCs w:val="20"/>
              </w:rPr>
              <w:t>4</w:t>
            </w:r>
            <w:r>
              <w:rPr>
                <w:rFonts w:asciiTheme="majorHAnsi" w:hAnsiTheme="majorHAnsi" w:cstheme="majorHAnsi"/>
                <w:color w:val="000000"/>
                <w:sz w:val="20"/>
                <w:szCs w:val="20"/>
              </w:rPr>
              <w:t>,</w:t>
            </w:r>
            <w:r w:rsidRPr="00D8271A">
              <w:rPr>
                <w:rFonts w:asciiTheme="majorHAnsi" w:hAnsiTheme="majorHAnsi" w:cstheme="majorHAnsi"/>
                <w:color w:val="000000"/>
                <w:sz w:val="20"/>
                <w:szCs w:val="20"/>
              </w:rPr>
              <w:t>681</w:t>
            </w:r>
          </w:p>
        </w:tc>
        <w:tc>
          <w:tcPr>
            <w:tcW w:w="1457" w:type="dxa"/>
            <w:noWrap/>
            <w:hideMark/>
          </w:tcPr>
          <w:p w14:paraId="7B1E4637" w14:textId="77777777" w:rsidR="00943324" w:rsidRPr="00D8271A" w:rsidRDefault="00943324" w:rsidP="00671524">
            <w:pPr>
              <w:spacing w:before="100" w:beforeAutospacing="1" w:after="100" w:afterAutospacing="1" w:line="360" w:lineRule="auto"/>
              <w:rPr>
                <w:rFonts w:asciiTheme="majorHAnsi" w:hAnsiTheme="majorHAnsi" w:cstheme="majorHAnsi"/>
                <w:color w:val="000000"/>
                <w:sz w:val="20"/>
                <w:szCs w:val="20"/>
              </w:rPr>
            </w:pPr>
            <w:r w:rsidRPr="00D8271A">
              <w:rPr>
                <w:rFonts w:asciiTheme="majorHAnsi" w:hAnsiTheme="majorHAnsi" w:cstheme="majorHAnsi"/>
                <w:color w:val="000000"/>
                <w:sz w:val="20"/>
                <w:szCs w:val="20"/>
              </w:rPr>
              <w:t>99.1</w:t>
            </w:r>
            <w:r>
              <w:rPr>
                <w:rFonts w:asciiTheme="majorHAnsi" w:hAnsiTheme="majorHAnsi" w:cstheme="majorHAnsi"/>
                <w:color w:val="000000"/>
                <w:sz w:val="20"/>
                <w:szCs w:val="20"/>
              </w:rPr>
              <w:t xml:space="preserve"> per cent</w:t>
            </w:r>
          </w:p>
        </w:tc>
        <w:tc>
          <w:tcPr>
            <w:tcW w:w="1309" w:type="dxa"/>
            <w:noWrap/>
            <w:hideMark/>
          </w:tcPr>
          <w:p w14:paraId="5378A237" w14:textId="77777777" w:rsidR="00943324" w:rsidRPr="00D8271A" w:rsidRDefault="00943324" w:rsidP="00671524">
            <w:pPr>
              <w:spacing w:before="100" w:beforeAutospacing="1" w:after="100" w:afterAutospacing="1" w:line="360" w:lineRule="auto"/>
              <w:rPr>
                <w:rFonts w:asciiTheme="majorHAnsi" w:hAnsiTheme="majorHAnsi" w:cstheme="majorHAnsi"/>
                <w:color w:val="000000"/>
                <w:sz w:val="20"/>
                <w:szCs w:val="20"/>
              </w:rPr>
            </w:pPr>
            <w:r w:rsidRPr="00D8271A">
              <w:rPr>
                <w:rFonts w:asciiTheme="majorHAnsi" w:hAnsiTheme="majorHAnsi" w:cstheme="majorHAnsi"/>
                <w:color w:val="000000"/>
                <w:sz w:val="20"/>
                <w:szCs w:val="20"/>
              </w:rPr>
              <w:t>4</w:t>
            </w:r>
            <w:r>
              <w:rPr>
                <w:rFonts w:asciiTheme="majorHAnsi" w:hAnsiTheme="majorHAnsi" w:cstheme="majorHAnsi"/>
                <w:color w:val="000000"/>
                <w:sz w:val="20"/>
                <w:szCs w:val="20"/>
              </w:rPr>
              <w:t>,</w:t>
            </w:r>
            <w:r w:rsidRPr="00D8271A">
              <w:rPr>
                <w:rFonts w:asciiTheme="majorHAnsi" w:hAnsiTheme="majorHAnsi" w:cstheme="majorHAnsi"/>
                <w:color w:val="000000"/>
                <w:sz w:val="20"/>
                <w:szCs w:val="20"/>
              </w:rPr>
              <w:t>684</w:t>
            </w:r>
          </w:p>
        </w:tc>
        <w:tc>
          <w:tcPr>
            <w:tcW w:w="919" w:type="dxa"/>
            <w:noWrap/>
            <w:hideMark/>
          </w:tcPr>
          <w:p w14:paraId="55F40A18" w14:textId="77777777" w:rsidR="00943324" w:rsidRPr="00D8271A" w:rsidRDefault="00943324" w:rsidP="00671524">
            <w:pPr>
              <w:spacing w:before="100" w:beforeAutospacing="1" w:after="100" w:afterAutospacing="1" w:line="360" w:lineRule="auto"/>
              <w:rPr>
                <w:rFonts w:asciiTheme="majorHAnsi" w:hAnsiTheme="majorHAnsi" w:cstheme="majorHAnsi"/>
                <w:color w:val="000000"/>
                <w:sz w:val="20"/>
                <w:szCs w:val="20"/>
              </w:rPr>
            </w:pPr>
            <w:r w:rsidRPr="00D8271A">
              <w:rPr>
                <w:rFonts w:asciiTheme="majorHAnsi" w:hAnsiTheme="majorHAnsi" w:cstheme="majorHAnsi"/>
                <w:color w:val="000000"/>
                <w:sz w:val="20"/>
                <w:szCs w:val="20"/>
              </w:rPr>
              <w:t>4</w:t>
            </w:r>
            <w:r>
              <w:rPr>
                <w:rFonts w:asciiTheme="majorHAnsi" w:hAnsiTheme="majorHAnsi" w:cstheme="majorHAnsi"/>
                <w:color w:val="000000"/>
                <w:sz w:val="20"/>
                <w:szCs w:val="20"/>
              </w:rPr>
              <w:t>,</w:t>
            </w:r>
            <w:r w:rsidRPr="00D8271A">
              <w:rPr>
                <w:rFonts w:asciiTheme="majorHAnsi" w:hAnsiTheme="majorHAnsi" w:cstheme="majorHAnsi"/>
                <w:color w:val="000000"/>
                <w:sz w:val="20"/>
                <w:szCs w:val="20"/>
              </w:rPr>
              <w:t>711</w:t>
            </w:r>
          </w:p>
        </w:tc>
        <w:tc>
          <w:tcPr>
            <w:tcW w:w="1498" w:type="dxa"/>
            <w:noWrap/>
            <w:hideMark/>
          </w:tcPr>
          <w:p w14:paraId="0E342D10" w14:textId="77777777" w:rsidR="00943324" w:rsidRPr="00D8271A" w:rsidRDefault="00943324" w:rsidP="00671524">
            <w:pPr>
              <w:spacing w:before="100" w:beforeAutospacing="1" w:after="100" w:afterAutospacing="1" w:line="360" w:lineRule="auto"/>
              <w:rPr>
                <w:rFonts w:asciiTheme="majorHAnsi" w:hAnsiTheme="majorHAnsi" w:cstheme="majorHAnsi"/>
                <w:color w:val="000000"/>
                <w:sz w:val="20"/>
                <w:szCs w:val="20"/>
              </w:rPr>
            </w:pPr>
            <w:r w:rsidRPr="00D8271A">
              <w:rPr>
                <w:rFonts w:asciiTheme="majorHAnsi" w:hAnsiTheme="majorHAnsi" w:cstheme="majorHAnsi"/>
                <w:color w:val="000000"/>
                <w:sz w:val="20"/>
                <w:szCs w:val="20"/>
              </w:rPr>
              <w:t>99.4</w:t>
            </w:r>
            <w:r>
              <w:rPr>
                <w:rFonts w:asciiTheme="majorHAnsi" w:hAnsiTheme="majorHAnsi" w:cstheme="majorHAnsi"/>
                <w:color w:val="000000"/>
                <w:sz w:val="20"/>
                <w:szCs w:val="20"/>
              </w:rPr>
              <w:t xml:space="preserve"> per cent</w:t>
            </w:r>
          </w:p>
        </w:tc>
      </w:tr>
      <w:tr w:rsidR="00943324" w:rsidRPr="00D8271A" w14:paraId="16716AB3" w14:textId="77777777" w:rsidTr="00943324">
        <w:trPr>
          <w:trHeight w:val="266"/>
        </w:trPr>
        <w:tc>
          <w:tcPr>
            <w:tcW w:w="1244" w:type="dxa"/>
            <w:noWrap/>
            <w:hideMark/>
          </w:tcPr>
          <w:p w14:paraId="2998CCB4" w14:textId="77777777" w:rsidR="00943324" w:rsidRPr="00D8271A" w:rsidRDefault="00943324" w:rsidP="00671524">
            <w:pPr>
              <w:spacing w:before="100" w:beforeAutospacing="1" w:after="100" w:afterAutospacing="1" w:line="360" w:lineRule="auto"/>
              <w:rPr>
                <w:rFonts w:asciiTheme="majorHAnsi" w:hAnsiTheme="majorHAnsi" w:cstheme="majorHAnsi"/>
                <w:color w:val="000000"/>
                <w:sz w:val="20"/>
                <w:szCs w:val="20"/>
              </w:rPr>
            </w:pPr>
            <w:r w:rsidRPr="00D8271A">
              <w:rPr>
                <w:rFonts w:asciiTheme="majorHAnsi" w:hAnsiTheme="majorHAnsi" w:cstheme="majorHAnsi"/>
                <w:color w:val="000000"/>
                <w:sz w:val="20"/>
                <w:szCs w:val="20"/>
              </w:rPr>
              <w:t>Region VIII</w:t>
            </w:r>
          </w:p>
        </w:tc>
        <w:tc>
          <w:tcPr>
            <w:tcW w:w="1492" w:type="dxa"/>
            <w:noWrap/>
            <w:hideMark/>
          </w:tcPr>
          <w:p w14:paraId="65F1D11B" w14:textId="77777777" w:rsidR="00943324" w:rsidRPr="00D8271A" w:rsidRDefault="00943324" w:rsidP="00671524">
            <w:pPr>
              <w:spacing w:before="100" w:beforeAutospacing="1" w:after="100" w:afterAutospacing="1" w:line="360" w:lineRule="auto"/>
              <w:rPr>
                <w:rFonts w:asciiTheme="majorHAnsi" w:hAnsiTheme="majorHAnsi" w:cstheme="majorHAnsi"/>
                <w:color w:val="000000"/>
                <w:sz w:val="20"/>
                <w:szCs w:val="20"/>
              </w:rPr>
            </w:pPr>
            <w:r w:rsidRPr="00D8271A">
              <w:rPr>
                <w:rFonts w:asciiTheme="majorHAnsi" w:hAnsiTheme="majorHAnsi" w:cstheme="majorHAnsi"/>
                <w:color w:val="000000"/>
                <w:sz w:val="20"/>
                <w:szCs w:val="20"/>
              </w:rPr>
              <w:t>4</w:t>
            </w:r>
            <w:r>
              <w:rPr>
                <w:rFonts w:asciiTheme="majorHAnsi" w:hAnsiTheme="majorHAnsi" w:cstheme="majorHAnsi"/>
                <w:color w:val="000000"/>
                <w:sz w:val="20"/>
                <w:szCs w:val="20"/>
              </w:rPr>
              <w:t>,</w:t>
            </w:r>
            <w:r w:rsidRPr="00D8271A">
              <w:rPr>
                <w:rFonts w:asciiTheme="majorHAnsi" w:hAnsiTheme="majorHAnsi" w:cstheme="majorHAnsi"/>
                <w:color w:val="000000"/>
                <w:sz w:val="20"/>
                <w:szCs w:val="20"/>
              </w:rPr>
              <w:t>479</w:t>
            </w:r>
          </w:p>
        </w:tc>
        <w:tc>
          <w:tcPr>
            <w:tcW w:w="1018" w:type="dxa"/>
            <w:noWrap/>
            <w:hideMark/>
          </w:tcPr>
          <w:p w14:paraId="08EFF019" w14:textId="77777777" w:rsidR="00943324" w:rsidRPr="00D8271A" w:rsidRDefault="00943324" w:rsidP="00671524">
            <w:pPr>
              <w:spacing w:before="100" w:beforeAutospacing="1" w:after="100" w:afterAutospacing="1" w:line="360" w:lineRule="auto"/>
              <w:rPr>
                <w:rFonts w:asciiTheme="majorHAnsi" w:hAnsiTheme="majorHAnsi" w:cstheme="majorHAnsi"/>
                <w:color w:val="000000"/>
                <w:sz w:val="20"/>
                <w:szCs w:val="20"/>
              </w:rPr>
            </w:pPr>
            <w:r w:rsidRPr="00D8271A">
              <w:rPr>
                <w:rFonts w:asciiTheme="majorHAnsi" w:hAnsiTheme="majorHAnsi" w:cstheme="majorHAnsi"/>
                <w:color w:val="000000"/>
                <w:sz w:val="20"/>
                <w:szCs w:val="20"/>
              </w:rPr>
              <w:t>4</w:t>
            </w:r>
            <w:r>
              <w:rPr>
                <w:rFonts w:asciiTheme="majorHAnsi" w:hAnsiTheme="majorHAnsi" w:cstheme="majorHAnsi"/>
                <w:color w:val="000000"/>
                <w:sz w:val="20"/>
                <w:szCs w:val="20"/>
              </w:rPr>
              <w:t>,</w:t>
            </w:r>
            <w:r w:rsidRPr="00D8271A">
              <w:rPr>
                <w:rFonts w:asciiTheme="majorHAnsi" w:hAnsiTheme="majorHAnsi" w:cstheme="majorHAnsi"/>
                <w:color w:val="000000"/>
                <w:sz w:val="20"/>
                <w:szCs w:val="20"/>
              </w:rPr>
              <w:t>479</w:t>
            </w:r>
          </w:p>
        </w:tc>
        <w:tc>
          <w:tcPr>
            <w:tcW w:w="1457" w:type="dxa"/>
            <w:noWrap/>
            <w:hideMark/>
          </w:tcPr>
          <w:p w14:paraId="77DAA926" w14:textId="77777777" w:rsidR="00943324" w:rsidRPr="00D8271A" w:rsidRDefault="00943324" w:rsidP="00671524">
            <w:pPr>
              <w:spacing w:before="100" w:beforeAutospacing="1" w:after="100" w:afterAutospacing="1" w:line="360" w:lineRule="auto"/>
              <w:rPr>
                <w:rFonts w:asciiTheme="majorHAnsi" w:hAnsiTheme="majorHAnsi" w:cstheme="majorHAnsi"/>
                <w:color w:val="000000"/>
                <w:sz w:val="20"/>
                <w:szCs w:val="20"/>
              </w:rPr>
            </w:pPr>
            <w:r w:rsidRPr="00D8271A">
              <w:rPr>
                <w:rFonts w:asciiTheme="majorHAnsi" w:hAnsiTheme="majorHAnsi" w:cstheme="majorHAnsi"/>
                <w:color w:val="000000"/>
                <w:sz w:val="20"/>
                <w:szCs w:val="20"/>
              </w:rPr>
              <w:t>100.0</w:t>
            </w:r>
            <w:r>
              <w:rPr>
                <w:rFonts w:asciiTheme="majorHAnsi" w:hAnsiTheme="majorHAnsi" w:cstheme="majorHAnsi"/>
                <w:color w:val="000000"/>
                <w:sz w:val="20"/>
                <w:szCs w:val="20"/>
              </w:rPr>
              <w:t xml:space="preserve"> per cent</w:t>
            </w:r>
          </w:p>
        </w:tc>
        <w:tc>
          <w:tcPr>
            <w:tcW w:w="1309" w:type="dxa"/>
            <w:noWrap/>
            <w:hideMark/>
          </w:tcPr>
          <w:p w14:paraId="1A980E3E" w14:textId="77777777" w:rsidR="00943324" w:rsidRPr="00D8271A" w:rsidRDefault="00943324" w:rsidP="00671524">
            <w:pPr>
              <w:spacing w:before="100" w:beforeAutospacing="1" w:after="100" w:afterAutospacing="1" w:line="360" w:lineRule="auto"/>
              <w:rPr>
                <w:rFonts w:asciiTheme="majorHAnsi" w:hAnsiTheme="majorHAnsi" w:cstheme="majorHAnsi"/>
                <w:color w:val="000000"/>
                <w:sz w:val="20"/>
                <w:szCs w:val="20"/>
              </w:rPr>
            </w:pPr>
            <w:r w:rsidRPr="00D8271A">
              <w:rPr>
                <w:rFonts w:asciiTheme="majorHAnsi" w:hAnsiTheme="majorHAnsi" w:cstheme="majorHAnsi"/>
                <w:color w:val="000000"/>
                <w:sz w:val="20"/>
                <w:szCs w:val="20"/>
              </w:rPr>
              <w:t>4</w:t>
            </w:r>
            <w:r>
              <w:rPr>
                <w:rFonts w:asciiTheme="majorHAnsi" w:hAnsiTheme="majorHAnsi" w:cstheme="majorHAnsi"/>
                <w:color w:val="000000"/>
                <w:sz w:val="20"/>
                <w:szCs w:val="20"/>
              </w:rPr>
              <w:t>,</w:t>
            </w:r>
            <w:r w:rsidRPr="00D8271A">
              <w:rPr>
                <w:rFonts w:asciiTheme="majorHAnsi" w:hAnsiTheme="majorHAnsi" w:cstheme="majorHAnsi"/>
                <w:color w:val="000000"/>
                <w:sz w:val="20"/>
                <w:szCs w:val="20"/>
              </w:rPr>
              <w:t>487</w:t>
            </w:r>
          </w:p>
        </w:tc>
        <w:tc>
          <w:tcPr>
            <w:tcW w:w="919" w:type="dxa"/>
            <w:noWrap/>
            <w:hideMark/>
          </w:tcPr>
          <w:p w14:paraId="566728AE" w14:textId="77777777" w:rsidR="00943324" w:rsidRPr="00D8271A" w:rsidRDefault="00943324" w:rsidP="00671524">
            <w:pPr>
              <w:spacing w:before="100" w:beforeAutospacing="1" w:after="100" w:afterAutospacing="1" w:line="360" w:lineRule="auto"/>
              <w:rPr>
                <w:rFonts w:asciiTheme="majorHAnsi" w:hAnsiTheme="majorHAnsi" w:cstheme="majorHAnsi"/>
                <w:color w:val="000000"/>
                <w:sz w:val="20"/>
                <w:szCs w:val="20"/>
              </w:rPr>
            </w:pPr>
            <w:r w:rsidRPr="00D8271A">
              <w:rPr>
                <w:rFonts w:asciiTheme="majorHAnsi" w:hAnsiTheme="majorHAnsi" w:cstheme="majorHAnsi"/>
                <w:color w:val="000000"/>
                <w:sz w:val="20"/>
                <w:szCs w:val="20"/>
              </w:rPr>
              <w:t>4</w:t>
            </w:r>
            <w:r>
              <w:rPr>
                <w:rFonts w:asciiTheme="majorHAnsi" w:hAnsiTheme="majorHAnsi" w:cstheme="majorHAnsi"/>
                <w:color w:val="000000"/>
                <w:sz w:val="20"/>
                <w:szCs w:val="20"/>
              </w:rPr>
              <w:t>,</w:t>
            </w:r>
            <w:r w:rsidRPr="00D8271A">
              <w:rPr>
                <w:rFonts w:asciiTheme="majorHAnsi" w:hAnsiTheme="majorHAnsi" w:cstheme="majorHAnsi"/>
                <w:color w:val="000000"/>
                <w:sz w:val="20"/>
                <w:szCs w:val="20"/>
              </w:rPr>
              <w:t>491</w:t>
            </w:r>
          </w:p>
        </w:tc>
        <w:tc>
          <w:tcPr>
            <w:tcW w:w="1498" w:type="dxa"/>
            <w:noWrap/>
            <w:hideMark/>
          </w:tcPr>
          <w:p w14:paraId="4E9071FA" w14:textId="77777777" w:rsidR="00943324" w:rsidRPr="00D8271A" w:rsidRDefault="00943324" w:rsidP="00671524">
            <w:pPr>
              <w:spacing w:before="100" w:beforeAutospacing="1" w:after="100" w:afterAutospacing="1" w:line="360" w:lineRule="auto"/>
              <w:rPr>
                <w:rFonts w:asciiTheme="majorHAnsi" w:hAnsiTheme="majorHAnsi" w:cstheme="majorHAnsi"/>
                <w:color w:val="000000"/>
                <w:sz w:val="20"/>
                <w:szCs w:val="20"/>
              </w:rPr>
            </w:pPr>
            <w:r w:rsidRPr="00D8271A">
              <w:rPr>
                <w:rFonts w:asciiTheme="majorHAnsi" w:hAnsiTheme="majorHAnsi" w:cstheme="majorHAnsi"/>
                <w:color w:val="000000"/>
                <w:sz w:val="20"/>
                <w:szCs w:val="20"/>
              </w:rPr>
              <w:t>99.9</w:t>
            </w:r>
            <w:r>
              <w:rPr>
                <w:rFonts w:asciiTheme="majorHAnsi" w:hAnsiTheme="majorHAnsi" w:cstheme="majorHAnsi"/>
                <w:color w:val="000000"/>
                <w:sz w:val="20"/>
                <w:szCs w:val="20"/>
              </w:rPr>
              <w:t xml:space="preserve"> per cent</w:t>
            </w:r>
          </w:p>
        </w:tc>
      </w:tr>
      <w:tr w:rsidR="00943324" w:rsidRPr="00D8271A" w14:paraId="388322A9" w14:textId="77777777" w:rsidTr="00943324">
        <w:trPr>
          <w:trHeight w:val="266"/>
        </w:trPr>
        <w:tc>
          <w:tcPr>
            <w:tcW w:w="1244" w:type="dxa"/>
            <w:noWrap/>
            <w:hideMark/>
          </w:tcPr>
          <w:p w14:paraId="48EFD48A" w14:textId="77777777" w:rsidR="00943324" w:rsidRPr="00D8271A" w:rsidRDefault="00943324" w:rsidP="00671524">
            <w:pPr>
              <w:spacing w:before="100" w:beforeAutospacing="1" w:after="100" w:afterAutospacing="1" w:line="360" w:lineRule="auto"/>
              <w:rPr>
                <w:rFonts w:asciiTheme="majorHAnsi" w:hAnsiTheme="majorHAnsi" w:cstheme="majorHAnsi"/>
                <w:color w:val="000000"/>
                <w:sz w:val="20"/>
                <w:szCs w:val="20"/>
              </w:rPr>
            </w:pPr>
            <w:r w:rsidRPr="00D8271A">
              <w:rPr>
                <w:rFonts w:asciiTheme="majorHAnsi" w:hAnsiTheme="majorHAnsi" w:cstheme="majorHAnsi"/>
                <w:color w:val="000000"/>
                <w:sz w:val="20"/>
                <w:szCs w:val="20"/>
              </w:rPr>
              <w:t>Region X</w:t>
            </w:r>
          </w:p>
        </w:tc>
        <w:tc>
          <w:tcPr>
            <w:tcW w:w="1492" w:type="dxa"/>
            <w:noWrap/>
            <w:hideMark/>
          </w:tcPr>
          <w:p w14:paraId="33B99B2F" w14:textId="77777777" w:rsidR="00943324" w:rsidRPr="00D8271A" w:rsidRDefault="00943324" w:rsidP="00671524">
            <w:pPr>
              <w:spacing w:before="100" w:beforeAutospacing="1" w:after="100" w:afterAutospacing="1" w:line="360" w:lineRule="auto"/>
              <w:rPr>
                <w:rFonts w:asciiTheme="majorHAnsi" w:hAnsiTheme="majorHAnsi" w:cstheme="majorHAnsi"/>
                <w:color w:val="000000"/>
                <w:sz w:val="20"/>
                <w:szCs w:val="20"/>
              </w:rPr>
            </w:pPr>
            <w:r w:rsidRPr="00D8271A">
              <w:rPr>
                <w:rFonts w:asciiTheme="majorHAnsi" w:hAnsiTheme="majorHAnsi" w:cstheme="majorHAnsi"/>
                <w:color w:val="000000"/>
                <w:sz w:val="20"/>
                <w:szCs w:val="20"/>
              </w:rPr>
              <w:t>3</w:t>
            </w:r>
            <w:r>
              <w:rPr>
                <w:rFonts w:asciiTheme="majorHAnsi" w:hAnsiTheme="majorHAnsi" w:cstheme="majorHAnsi"/>
                <w:color w:val="000000"/>
                <w:sz w:val="20"/>
                <w:szCs w:val="20"/>
              </w:rPr>
              <w:t>,</w:t>
            </w:r>
            <w:r w:rsidRPr="00D8271A">
              <w:rPr>
                <w:rFonts w:asciiTheme="majorHAnsi" w:hAnsiTheme="majorHAnsi" w:cstheme="majorHAnsi"/>
                <w:color w:val="000000"/>
                <w:sz w:val="20"/>
                <w:szCs w:val="20"/>
              </w:rPr>
              <w:t>118</w:t>
            </w:r>
          </w:p>
        </w:tc>
        <w:tc>
          <w:tcPr>
            <w:tcW w:w="1018" w:type="dxa"/>
            <w:noWrap/>
            <w:hideMark/>
          </w:tcPr>
          <w:p w14:paraId="728326DF" w14:textId="77777777" w:rsidR="00943324" w:rsidRPr="00D8271A" w:rsidRDefault="00943324" w:rsidP="00671524">
            <w:pPr>
              <w:spacing w:before="100" w:beforeAutospacing="1" w:after="100" w:afterAutospacing="1" w:line="360" w:lineRule="auto"/>
              <w:rPr>
                <w:rFonts w:asciiTheme="majorHAnsi" w:hAnsiTheme="majorHAnsi" w:cstheme="majorHAnsi"/>
                <w:color w:val="000000"/>
                <w:sz w:val="20"/>
                <w:szCs w:val="20"/>
              </w:rPr>
            </w:pPr>
            <w:r w:rsidRPr="00D8271A">
              <w:rPr>
                <w:rFonts w:asciiTheme="majorHAnsi" w:hAnsiTheme="majorHAnsi" w:cstheme="majorHAnsi"/>
                <w:color w:val="000000"/>
                <w:sz w:val="20"/>
                <w:szCs w:val="20"/>
              </w:rPr>
              <w:t>3</w:t>
            </w:r>
            <w:r>
              <w:rPr>
                <w:rFonts w:asciiTheme="majorHAnsi" w:hAnsiTheme="majorHAnsi" w:cstheme="majorHAnsi"/>
                <w:color w:val="000000"/>
                <w:sz w:val="20"/>
                <w:szCs w:val="20"/>
              </w:rPr>
              <w:t>,</w:t>
            </w:r>
            <w:r w:rsidRPr="00D8271A">
              <w:rPr>
                <w:rFonts w:asciiTheme="majorHAnsi" w:hAnsiTheme="majorHAnsi" w:cstheme="majorHAnsi"/>
                <w:color w:val="000000"/>
                <w:sz w:val="20"/>
                <w:szCs w:val="20"/>
              </w:rPr>
              <w:t>121</w:t>
            </w:r>
          </w:p>
        </w:tc>
        <w:tc>
          <w:tcPr>
            <w:tcW w:w="1457" w:type="dxa"/>
            <w:noWrap/>
            <w:hideMark/>
          </w:tcPr>
          <w:p w14:paraId="2C77402F" w14:textId="77777777" w:rsidR="00943324" w:rsidRPr="00D8271A" w:rsidRDefault="00943324" w:rsidP="00671524">
            <w:pPr>
              <w:spacing w:before="100" w:beforeAutospacing="1" w:after="100" w:afterAutospacing="1" w:line="360" w:lineRule="auto"/>
              <w:rPr>
                <w:rFonts w:asciiTheme="majorHAnsi" w:hAnsiTheme="majorHAnsi" w:cstheme="majorHAnsi"/>
                <w:color w:val="000000"/>
                <w:sz w:val="20"/>
                <w:szCs w:val="20"/>
              </w:rPr>
            </w:pPr>
            <w:r w:rsidRPr="00D8271A">
              <w:rPr>
                <w:rFonts w:asciiTheme="majorHAnsi" w:hAnsiTheme="majorHAnsi" w:cstheme="majorHAnsi"/>
                <w:color w:val="000000"/>
                <w:sz w:val="20"/>
                <w:szCs w:val="20"/>
              </w:rPr>
              <w:t>99.9</w:t>
            </w:r>
            <w:r>
              <w:rPr>
                <w:rFonts w:asciiTheme="majorHAnsi" w:hAnsiTheme="majorHAnsi" w:cstheme="majorHAnsi"/>
                <w:color w:val="000000"/>
                <w:sz w:val="20"/>
                <w:szCs w:val="20"/>
              </w:rPr>
              <w:t xml:space="preserve"> per cent</w:t>
            </w:r>
          </w:p>
        </w:tc>
        <w:tc>
          <w:tcPr>
            <w:tcW w:w="1309" w:type="dxa"/>
            <w:noWrap/>
            <w:hideMark/>
          </w:tcPr>
          <w:p w14:paraId="75E6189F" w14:textId="77777777" w:rsidR="00943324" w:rsidRPr="00D8271A" w:rsidRDefault="00943324" w:rsidP="00671524">
            <w:pPr>
              <w:spacing w:before="100" w:beforeAutospacing="1" w:after="100" w:afterAutospacing="1" w:line="360" w:lineRule="auto"/>
              <w:rPr>
                <w:rFonts w:asciiTheme="majorHAnsi" w:hAnsiTheme="majorHAnsi" w:cstheme="majorHAnsi"/>
                <w:color w:val="000000"/>
                <w:sz w:val="20"/>
                <w:szCs w:val="20"/>
              </w:rPr>
            </w:pPr>
            <w:r w:rsidRPr="00D8271A">
              <w:rPr>
                <w:rFonts w:asciiTheme="majorHAnsi" w:hAnsiTheme="majorHAnsi" w:cstheme="majorHAnsi"/>
                <w:color w:val="000000"/>
                <w:sz w:val="20"/>
                <w:szCs w:val="20"/>
              </w:rPr>
              <w:t>3</w:t>
            </w:r>
            <w:r>
              <w:rPr>
                <w:rFonts w:asciiTheme="majorHAnsi" w:hAnsiTheme="majorHAnsi" w:cstheme="majorHAnsi"/>
                <w:color w:val="000000"/>
                <w:sz w:val="20"/>
                <w:szCs w:val="20"/>
              </w:rPr>
              <w:t>,</w:t>
            </w:r>
            <w:r w:rsidRPr="00D8271A">
              <w:rPr>
                <w:rFonts w:asciiTheme="majorHAnsi" w:hAnsiTheme="majorHAnsi" w:cstheme="majorHAnsi"/>
                <w:color w:val="000000"/>
                <w:sz w:val="20"/>
                <w:szCs w:val="20"/>
              </w:rPr>
              <w:t>178</w:t>
            </w:r>
          </w:p>
        </w:tc>
        <w:tc>
          <w:tcPr>
            <w:tcW w:w="919" w:type="dxa"/>
            <w:noWrap/>
            <w:hideMark/>
          </w:tcPr>
          <w:p w14:paraId="174B8BE4" w14:textId="77777777" w:rsidR="00943324" w:rsidRPr="00D8271A" w:rsidRDefault="00943324" w:rsidP="00671524">
            <w:pPr>
              <w:spacing w:before="100" w:beforeAutospacing="1" w:after="100" w:afterAutospacing="1" w:line="360" w:lineRule="auto"/>
              <w:rPr>
                <w:rFonts w:asciiTheme="majorHAnsi" w:hAnsiTheme="majorHAnsi" w:cstheme="majorHAnsi"/>
                <w:color w:val="000000"/>
                <w:sz w:val="20"/>
                <w:szCs w:val="20"/>
              </w:rPr>
            </w:pPr>
            <w:r w:rsidRPr="00D8271A">
              <w:rPr>
                <w:rFonts w:asciiTheme="majorHAnsi" w:hAnsiTheme="majorHAnsi" w:cstheme="majorHAnsi"/>
                <w:color w:val="000000"/>
                <w:sz w:val="20"/>
                <w:szCs w:val="20"/>
              </w:rPr>
              <w:t>3</w:t>
            </w:r>
            <w:r>
              <w:rPr>
                <w:rFonts w:asciiTheme="majorHAnsi" w:hAnsiTheme="majorHAnsi" w:cstheme="majorHAnsi"/>
                <w:color w:val="000000"/>
                <w:sz w:val="20"/>
                <w:szCs w:val="20"/>
              </w:rPr>
              <w:t>,</w:t>
            </w:r>
            <w:r w:rsidRPr="00D8271A">
              <w:rPr>
                <w:rFonts w:asciiTheme="majorHAnsi" w:hAnsiTheme="majorHAnsi" w:cstheme="majorHAnsi"/>
                <w:color w:val="000000"/>
                <w:sz w:val="20"/>
                <w:szCs w:val="20"/>
              </w:rPr>
              <w:t>182</w:t>
            </w:r>
          </w:p>
        </w:tc>
        <w:tc>
          <w:tcPr>
            <w:tcW w:w="1498" w:type="dxa"/>
            <w:noWrap/>
            <w:hideMark/>
          </w:tcPr>
          <w:p w14:paraId="484274AE" w14:textId="77777777" w:rsidR="00943324" w:rsidRPr="00D8271A" w:rsidRDefault="00943324" w:rsidP="00671524">
            <w:pPr>
              <w:spacing w:before="100" w:beforeAutospacing="1" w:after="100" w:afterAutospacing="1" w:line="360" w:lineRule="auto"/>
              <w:rPr>
                <w:rFonts w:asciiTheme="majorHAnsi" w:hAnsiTheme="majorHAnsi" w:cstheme="majorHAnsi"/>
                <w:color w:val="000000"/>
                <w:sz w:val="20"/>
                <w:szCs w:val="20"/>
              </w:rPr>
            </w:pPr>
            <w:r w:rsidRPr="00D8271A">
              <w:rPr>
                <w:rFonts w:asciiTheme="majorHAnsi" w:hAnsiTheme="majorHAnsi" w:cstheme="majorHAnsi"/>
                <w:color w:val="000000"/>
                <w:sz w:val="20"/>
                <w:szCs w:val="20"/>
              </w:rPr>
              <w:t>99.9</w:t>
            </w:r>
            <w:r>
              <w:rPr>
                <w:rFonts w:asciiTheme="majorHAnsi" w:hAnsiTheme="majorHAnsi" w:cstheme="majorHAnsi"/>
                <w:color w:val="000000"/>
                <w:sz w:val="20"/>
                <w:szCs w:val="20"/>
              </w:rPr>
              <w:t xml:space="preserve"> per cent</w:t>
            </w:r>
          </w:p>
        </w:tc>
      </w:tr>
      <w:tr w:rsidR="00943324" w:rsidRPr="00D8271A" w14:paraId="709D6405" w14:textId="77777777" w:rsidTr="00943324">
        <w:trPr>
          <w:trHeight w:val="266"/>
        </w:trPr>
        <w:tc>
          <w:tcPr>
            <w:tcW w:w="1244" w:type="dxa"/>
            <w:noWrap/>
            <w:hideMark/>
          </w:tcPr>
          <w:p w14:paraId="2CA9BD63" w14:textId="77777777" w:rsidR="00943324" w:rsidRPr="00D8271A" w:rsidRDefault="00943324" w:rsidP="00671524">
            <w:pPr>
              <w:spacing w:before="100" w:beforeAutospacing="1" w:after="100" w:afterAutospacing="1" w:line="360" w:lineRule="auto"/>
              <w:rPr>
                <w:rFonts w:asciiTheme="majorHAnsi" w:hAnsiTheme="majorHAnsi" w:cstheme="majorHAnsi"/>
                <w:color w:val="000000"/>
                <w:sz w:val="20"/>
                <w:szCs w:val="20"/>
              </w:rPr>
            </w:pPr>
            <w:r w:rsidRPr="00D8271A">
              <w:rPr>
                <w:rFonts w:asciiTheme="majorHAnsi" w:hAnsiTheme="majorHAnsi" w:cstheme="majorHAnsi"/>
                <w:color w:val="000000"/>
                <w:sz w:val="20"/>
                <w:szCs w:val="20"/>
              </w:rPr>
              <w:t>Non-BEST</w:t>
            </w:r>
          </w:p>
        </w:tc>
        <w:tc>
          <w:tcPr>
            <w:tcW w:w="1492" w:type="dxa"/>
            <w:noWrap/>
            <w:hideMark/>
          </w:tcPr>
          <w:p w14:paraId="06D35882" w14:textId="77777777" w:rsidR="00943324" w:rsidRPr="00D8271A" w:rsidRDefault="00943324" w:rsidP="00671524">
            <w:pPr>
              <w:spacing w:before="100" w:beforeAutospacing="1" w:after="100" w:afterAutospacing="1" w:line="360" w:lineRule="auto"/>
              <w:rPr>
                <w:rFonts w:asciiTheme="majorHAnsi" w:hAnsiTheme="majorHAnsi" w:cstheme="majorHAnsi"/>
                <w:color w:val="000000"/>
                <w:sz w:val="20"/>
                <w:szCs w:val="20"/>
              </w:rPr>
            </w:pPr>
            <w:r w:rsidRPr="00D8271A">
              <w:rPr>
                <w:rFonts w:asciiTheme="majorHAnsi" w:hAnsiTheme="majorHAnsi" w:cstheme="majorHAnsi"/>
                <w:color w:val="000000"/>
                <w:sz w:val="20"/>
                <w:szCs w:val="20"/>
              </w:rPr>
              <w:t>36</w:t>
            </w:r>
            <w:r>
              <w:rPr>
                <w:rFonts w:asciiTheme="majorHAnsi" w:hAnsiTheme="majorHAnsi" w:cstheme="majorHAnsi"/>
                <w:color w:val="000000"/>
                <w:sz w:val="20"/>
                <w:szCs w:val="20"/>
              </w:rPr>
              <w:t>,</w:t>
            </w:r>
            <w:r w:rsidRPr="00D8271A">
              <w:rPr>
                <w:rFonts w:asciiTheme="majorHAnsi" w:hAnsiTheme="majorHAnsi" w:cstheme="majorHAnsi"/>
                <w:color w:val="000000"/>
                <w:sz w:val="20"/>
                <w:szCs w:val="20"/>
              </w:rPr>
              <w:t>331</w:t>
            </w:r>
          </w:p>
        </w:tc>
        <w:tc>
          <w:tcPr>
            <w:tcW w:w="1018" w:type="dxa"/>
            <w:noWrap/>
            <w:hideMark/>
          </w:tcPr>
          <w:p w14:paraId="74F72906" w14:textId="77777777" w:rsidR="00943324" w:rsidRPr="00D8271A" w:rsidRDefault="00943324" w:rsidP="00671524">
            <w:pPr>
              <w:spacing w:before="100" w:beforeAutospacing="1" w:after="100" w:afterAutospacing="1" w:line="360" w:lineRule="auto"/>
              <w:rPr>
                <w:rFonts w:asciiTheme="majorHAnsi" w:hAnsiTheme="majorHAnsi" w:cstheme="majorHAnsi"/>
                <w:color w:val="000000"/>
                <w:sz w:val="20"/>
                <w:szCs w:val="20"/>
              </w:rPr>
            </w:pPr>
            <w:r w:rsidRPr="00D8271A">
              <w:rPr>
                <w:rFonts w:asciiTheme="majorHAnsi" w:hAnsiTheme="majorHAnsi" w:cstheme="majorHAnsi"/>
                <w:color w:val="000000"/>
                <w:sz w:val="20"/>
                <w:szCs w:val="20"/>
              </w:rPr>
              <w:t>37</w:t>
            </w:r>
            <w:r>
              <w:rPr>
                <w:rFonts w:asciiTheme="majorHAnsi" w:hAnsiTheme="majorHAnsi" w:cstheme="majorHAnsi"/>
                <w:color w:val="000000"/>
                <w:sz w:val="20"/>
                <w:szCs w:val="20"/>
              </w:rPr>
              <w:t>,</w:t>
            </w:r>
            <w:r w:rsidRPr="00D8271A">
              <w:rPr>
                <w:rFonts w:asciiTheme="majorHAnsi" w:hAnsiTheme="majorHAnsi" w:cstheme="majorHAnsi"/>
                <w:color w:val="000000"/>
                <w:sz w:val="20"/>
                <w:szCs w:val="20"/>
              </w:rPr>
              <w:t>253</w:t>
            </w:r>
          </w:p>
        </w:tc>
        <w:tc>
          <w:tcPr>
            <w:tcW w:w="1457" w:type="dxa"/>
            <w:noWrap/>
            <w:hideMark/>
          </w:tcPr>
          <w:p w14:paraId="48EDB50E" w14:textId="77777777" w:rsidR="00943324" w:rsidRPr="00D8271A" w:rsidRDefault="00943324" w:rsidP="00671524">
            <w:pPr>
              <w:spacing w:before="100" w:beforeAutospacing="1" w:after="100" w:afterAutospacing="1" w:line="360" w:lineRule="auto"/>
              <w:rPr>
                <w:rFonts w:asciiTheme="majorHAnsi" w:hAnsiTheme="majorHAnsi" w:cstheme="majorHAnsi"/>
                <w:color w:val="000000"/>
                <w:sz w:val="20"/>
                <w:szCs w:val="20"/>
              </w:rPr>
            </w:pPr>
            <w:r w:rsidRPr="00D8271A">
              <w:rPr>
                <w:rFonts w:asciiTheme="majorHAnsi" w:hAnsiTheme="majorHAnsi" w:cstheme="majorHAnsi"/>
                <w:color w:val="000000"/>
                <w:sz w:val="20"/>
                <w:szCs w:val="20"/>
              </w:rPr>
              <w:t>97.5</w:t>
            </w:r>
            <w:r>
              <w:rPr>
                <w:rFonts w:asciiTheme="majorHAnsi" w:hAnsiTheme="majorHAnsi" w:cstheme="majorHAnsi"/>
                <w:color w:val="000000"/>
                <w:sz w:val="20"/>
                <w:szCs w:val="20"/>
              </w:rPr>
              <w:t xml:space="preserve"> per cent</w:t>
            </w:r>
          </w:p>
        </w:tc>
        <w:tc>
          <w:tcPr>
            <w:tcW w:w="1309" w:type="dxa"/>
            <w:noWrap/>
            <w:hideMark/>
          </w:tcPr>
          <w:p w14:paraId="6247A6E3" w14:textId="77777777" w:rsidR="00943324" w:rsidRPr="00D8271A" w:rsidRDefault="00943324" w:rsidP="00671524">
            <w:pPr>
              <w:spacing w:before="100" w:beforeAutospacing="1" w:after="100" w:afterAutospacing="1" w:line="360" w:lineRule="auto"/>
              <w:rPr>
                <w:rFonts w:asciiTheme="majorHAnsi" w:hAnsiTheme="majorHAnsi" w:cstheme="majorHAnsi"/>
                <w:color w:val="000000"/>
                <w:sz w:val="20"/>
                <w:szCs w:val="20"/>
              </w:rPr>
            </w:pPr>
            <w:r w:rsidRPr="00D8271A">
              <w:rPr>
                <w:rFonts w:asciiTheme="majorHAnsi" w:hAnsiTheme="majorHAnsi" w:cstheme="majorHAnsi"/>
                <w:color w:val="000000"/>
                <w:sz w:val="20"/>
                <w:szCs w:val="20"/>
              </w:rPr>
              <w:t>36</w:t>
            </w:r>
            <w:r>
              <w:rPr>
                <w:rFonts w:asciiTheme="majorHAnsi" w:hAnsiTheme="majorHAnsi" w:cstheme="majorHAnsi"/>
                <w:color w:val="000000"/>
                <w:sz w:val="20"/>
                <w:szCs w:val="20"/>
              </w:rPr>
              <w:t>,</w:t>
            </w:r>
            <w:r w:rsidRPr="00D8271A">
              <w:rPr>
                <w:rFonts w:asciiTheme="majorHAnsi" w:hAnsiTheme="majorHAnsi" w:cstheme="majorHAnsi"/>
                <w:color w:val="000000"/>
                <w:sz w:val="20"/>
                <w:szCs w:val="20"/>
              </w:rPr>
              <w:t>603</w:t>
            </w:r>
          </w:p>
        </w:tc>
        <w:tc>
          <w:tcPr>
            <w:tcW w:w="919" w:type="dxa"/>
            <w:noWrap/>
            <w:hideMark/>
          </w:tcPr>
          <w:p w14:paraId="71DA3345" w14:textId="77777777" w:rsidR="00943324" w:rsidRPr="00D8271A" w:rsidRDefault="00943324" w:rsidP="00671524">
            <w:pPr>
              <w:spacing w:before="100" w:beforeAutospacing="1" w:after="100" w:afterAutospacing="1" w:line="360" w:lineRule="auto"/>
              <w:rPr>
                <w:rFonts w:asciiTheme="majorHAnsi" w:hAnsiTheme="majorHAnsi" w:cstheme="majorHAnsi"/>
                <w:color w:val="000000"/>
                <w:sz w:val="20"/>
                <w:szCs w:val="20"/>
              </w:rPr>
            </w:pPr>
            <w:r w:rsidRPr="00D8271A">
              <w:rPr>
                <w:rFonts w:asciiTheme="majorHAnsi" w:hAnsiTheme="majorHAnsi" w:cstheme="majorHAnsi"/>
                <w:color w:val="000000"/>
                <w:sz w:val="20"/>
                <w:szCs w:val="20"/>
              </w:rPr>
              <w:t>36</w:t>
            </w:r>
            <w:r>
              <w:rPr>
                <w:rFonts w:asciiTheme="majorHAnsi" w:hAnsiTheme="majorHAnsi" w:cstheme="majorHAnsi"/>
                <w:color w:val="000000"/>
                <w:sz w:val="20"/>
                <w:szCs w:val="20"/>
              </w:rPr>
              <w:t>,</w:t>
            </w:r>
            <w:r w:rsidRPr="00D8271A">
              <w:rPr>
                <w:rFonts w:asciiTheme="majorHAnsi" w:hAnsiTheme="majorHAnsi" w:cstheme="majorHAnsi"/>
                <w:color w:val="000000"/>
                <w:sz w:val="20"/>
                <w:szCs w:val="20"/>
              </w:rPr>
              <w:t>708</w:t>
            </w:r>
          </w:p>
        </w:tc>
        <w:tc>
          <w:tcPr>
            <w:tcW w:w="1498" w:type="dxa"/>
            <w:noWrap/>
            <w:hideMark/>
          </w:tcPr>
          <w:p w14:paraId="5AEDD1FB" w14:textId="77777777" w:rsidR="00943324" w:rsidRPr="00D8271A" w:rsidRDefault="00943324" w:rsidP="00671524">
            <w:pPr>
              <w:spacing w:before="100" w:beforeAutospacing="1" w:after="100" w:afterAutospacing="1" w:line="360" w:lineRule="auto"/>
              <w:rPr>
                <w:rFonts w:asciiTheme="majorHAnsi" w:hAnsiTheme="majorHAnsi" w:cstheme="majorHAnsi"/>
                <w:color w:val="000000"/>
                <w:sz w:val="20"/>
                <w:szCs w:val="20"/>
              </w:rPr>
            </w:pPr>
            <w:r w:rsidRPr="00D8271A">
              <w:rPr>
                <w:rFonts w:asciiTheme="majorHAnsi" w:hAnsiTheme="majorHAnsi" w:cstheme="majorHAnsi"/>
                <w:color w:val="000000"/>
                <w:sz w:val="20"/>
                <w:szCs w:val="20"/>
              </w:rPr>
              <w:t>99.7</w:t>
            </w:r>
            <w:r>
              <w:rPr>
                <w:rFonts w:asciiTheme="majorHAnsi" w:hAnsiTheme="majorHAnsi" w:cstheme="majorHAnsi"/>
                <w:color w:val="000000"/>
                <w:sz w:val="20"/>
                <w:szCs w:val="20"/>
              </w:rPr>
              <w:t xml:space="preserve"> per cent</w:t>
            </w:r>
          </w:p>
        </w:tc>
      </w:tr>
    </w:tbl>
    <w:p w14:paraId="03AB3C83" w14:textId="335A3AEA" w:rsidR="008D0CAD" w:rsidRPr="00C251B9" w:rsidRDefault="008D0CAD" w:rsidP="00DD08E3">
      <w:pPr>
        <w:pStyle w:val="Heading5"/>
        <w:numPr>
          <w:ilvl w:val="3"/>
          <w:numId w:val="165"/>
        </w:numPr>
        <w:spacing w:before="100" w:beforeAutospacing="1" w:after="100" w:afterAutospacing="1" w:line="360" w:lineRule="auto"/>
      </w:pPr>
      <w:bookmarkStart w:id="158" w:name="_Toc10723001"/>
      <w:r>
        <w:t>Learning Resource</w:t>
      </w:r>
      <w:r w:rsidRPr="00C251B9">
        <w:t xml:space="preserve"> (</w:t>
      </w:r>
      <w:r>
        <w:t>LR</w:t>
      </w:r>
      <w:r w:rsidRPr="00C251B9">
        <w:t>)</w:t>
      </w:r>
      <w:r>
        <w:t xml:space="preserve"> Portal</w:t>
      </w:r>
    </w:p>
    <w:p w14:paraId="5B3D1573" w14:textId="77777777" w:rsidR="008D0CAD" w:rsidRPr="007C4D43" w:rsidRDefault="008D0CAD" w:rsidP="00671524">
      <w:pPr>
        <w:spacing w:before="100" w:beforeAutospacing="1" w:after="100" w:afterAutospacing="1" w:line="360" w:lineRule="auto"/>
        <w:rPr>
          <w:rFonts w:asciiTheme="majorHAnsi" w:hAnsiTheme="majorHAnsi" w:cstheme="majorHAnsi"/>
          <w:color w:val="000000" w:themeColor="text1"/>
        </w:rPr>
      </w:pPr>
      <w:r w:rsidRPr="007C4D43">
        <w:rPr>
          <w:rFonts w:asciiTheme="majorHAnsi" w:hAnsiTheme="majorHAnsi" w:cstheme="majorHAnsi"/>
        </w:rPr>
        <w:t>The implementation of K to 12 Program increased emphasis on ICT for teaching and learning, prompting the need to re-engineer the Learning Resource</w:t>
      </w:r>
      <w:r>
        <w:rPr>
          <w:rFonts w:asciiTheme="majorHAnsi" w:hAnsiTheme="majorHAnsi" w:cstheme="majorHAnsi"/>
        </w:rPr>
        <w:t>s</w:t>
      </w:r>
      <w:r w:rsidRPr="007C4D43">
        <w:rPr>
          <w:rFonts w:asciiTheme="majorHAnsi" w:hAnsiTheme="majorHAnsi" w:cstheme="majorHAnsi"/>
        </w:rPr>
        <w:t xml:space="preserve"> (LR) Portal. In 2015-2017, the BEST Program further improved the LR Portal to help </w:t>
      </w:r>
      <w:r>
        <w:rPr>
          <w:rFonts w:asciiTheme="majorHAnsi" w:hAnsiTheme="majorHAnsi" w:cstheme="majorHAnsi"/>
        </w:rPr>
        <w:t>DepEd</w:t>
      </w:r>
      <w:r w:rsidRPr="007C4D43">
        <w:rPr>
          <w:rFonts w:asciiTheme="majorHAnsi" w:hAnsiTheme="majorHAnsi" w:cstheme="majorHAnsi"/>
        </w:rPr>
        <w:t xml:space="preserve"> catalogue and distribute professional development resources. Quality assurance of resources and institutionali</w:t>
      </w:r>
      <w:r>
        <w:rPr>
          <w:rFonts w:asciiTheme="majorHAnsi" w:hAnsiTheme="majorHAnsi" w:cstheme="majorHAnsi"/>
        </w:rPr>
        <w:t>s</w:t>
      </w:r>
      <w:r w:rsidRPr="007C4D43">
        <w:rPr>
          <w:rFonts w:asciiTheme="majorHAnsi" w:hAnsiTheme="majorHAnsi" w:cstheme="majorHAnsi"/>
        </w:rPr>
        <w:t>ation of</w:t>
      </w:r>
      <w:r>
        <w:rPr>
          <w:rFonts w:asciiTheme="majorHAnsi" w:hAnsiTheme="majorHAnsi" w:cstheme="majorHAnsi"/>
        </w:rPr>
        <w:t xml:space="preserve"> the</w:t>
      </w:r>
      <w:r w:rsidRPr="007C4D43">
        <w:rPr>
          <w:rFonts w:asciiTheme="majorHAnsi" w:hAnsiTheme="majorHAnsi" w:cstheme="majorHAnsi"/>
        </w:rPr>
        <w:t xml:space="preserve"> use of </w:t>
      </w:r>
      <w:r>
        <w:rPr>
          <w:rFonts w:asciiTheme="majorHAnsi" w:hAnsiTheme="majorHAnsi" w:cstheme="majorHAnsi"/>
        </w:rPr>
        <w:t xml:space="preserve">the </w:t>
      </w:r>
      <w:r w:rsidRPr="007C4D43">
        <w:rPr>
          <w:rFonts w:asciiTheme="majorHAnsi" w:hAnsiTheme="majorHAnsi" w:cstheme="majorHAnsi"/>
        </w:rPr>
        <w:t xml:space="preserve">LR Portal were conducted during the same period. </w:t>
      </w:r>
      <w:r w:rsidRPr="007C4D43">
        <w:rPr>
          <w:rFonts w:asciiTheme="majorHAnsi" w:hAnsiTheme="majorHAnsi" w:cstheme="majorHAnsi"/>
          <w:color w:val="000000" w:themeColor="text1"/>
        </w:rPr>
        <w:t>Refer also to Section 3.2.5.2</w:t>
      </w:r>
    </w:p>
    <w:p w14:paraId="516CCEE4" w14:textId="346060BC" w:rsidR="008D0CAD" w:rsidRDefault="008D0CAD" w:rsidP="00671524">
      <w:pPr>
        <w:spacing w:before="100" w:beforeAutospacing="1" w:after="100" w:afterAutospacing="1" w:line="360" w:lineRule="auto"/>
        <w:rPr>
          <w:rFonts w:asciiTheme="majorHAnsi" w:hAnsiTheme="majorHAnsi" w:cstheme="majorHAnsi"/>
          <w:bCs/>
          <w:color w:val="000000"/>
        </w:rPr>
      </w:pPr>
      <w:r w:rsidRPr="007C4D43">
        <w:rPr>
          <w:rFonts w:asciiTheme="majorHAnsi" w:hAnsiTheme="majorHAnsi" w:cstheme="majorHAnsi"/>
          <w:color w:val="000000" w:themeColor="text1"/>
        </w:rPr>
        <w:t xml:space="preserve">From 2016 to 2019, ICTS data </w:t>
      </w:r>
      <w:r w:rsidRPr="00D3469C">
        <w:rPr>
          <w:rFonts w:asciiTheme="majorHAnsi" w:hAnsiTheme="majorHAnsi" w:cstheme="majorHAnsi"/>
          <w:bCs/>
          <w:color w:val="000000" w:themeColor="text1"/>
        </w:rPr>
        <w:t>recorded</w:t>
      </w:r>
      <w:r w:rsidRPr="00D3469C">
        <w:rPr>
          <w:rFonts w:asciiTheme="majorHAnsi" w:hAnsiTheme="majorHAnsi" w:cstheme="majorHAnsi"/>
          <w:color w:val="000000" w:themeColor="text1"/>
        </w:rPr>
        <w:t xml:space="preserve"> a total of </w:t>
      </w:r>
      <w:r w:rsidRPr="00D3469C">
        <w:rPr>
          <w:rFonts w:asciiTheme="majorHAnsi" w:hAnsiTheme="majorHAnsi" w:cstheme="majorHAnsi"/>
          <w:bCs/>
          <w:color w:val="000000" w:themeColor="text1"/>
        </w:rPr>
        <w:t>735,889 users of the LR Portal.</w:t>
      </w:r>
      <w:r w:rsidR="00D434EB">
        <w:rPr>
          <w:rFonts w:asciiTheme="majorHAnsi" w:hAnsiTheme="majorHAnsi" w:cstheme="majorHAnsi"/>
          <w:bCs/>
          <w:color w:val="000000" w:themeColor="text1"/>
        </w:rPr>
        <w:t xml:space="preserve"> </w:t>
      </w:r>
      <w:r w:rsidRPr="00D3469C">
        <w:rPr>
          <w:rFonts w:asciiTheme="majorHAnsi" w:hAnsiTheme="majorHAnsi" w:cstheme="majorHAnsi"/>
          <w:bCs/>
          <w:color w:val="000000" w:themeColor="text1"/>
        </w:rPr>
        <w:t xml:space="preserve">Seventy-six </w:t>
      </w:r>
      <w:r>
        <w:rPr>
          <w:rFonts w:asciiTheme="majorHAnsi" w:hAnsiTheme="majorHAnsi" w:cstheme="majorHAnsi"/>
          <w:bCs/>
          <w:color w:val="000000" w:themeColor="text1"/>
        </w:rPr>
        <w:t>per cent</w:t>
      </w:r>
      <w:r w:rsidRPr="00D3469C">
        <w:rPr>
          <w:rFonts w:asciiTheme="majorHAnsi" w:hAnsiTheme="majorHAnsi" w:cstheme="majorHAnsi"/>
          <w:bCs/>
          <w:color w:val="000000" w:themeColor="text1"/>
        </w:rPr>
        <w:t xml:space="preserve"> of these were Registered School Users while Regional and Division users comprised 6 </w:t>
      </w:r>
      <w:r>
        <w:rPr>
          <w:rFonts w:asciiTheme="majorHAnsi" w:hAnsiTheme="majorHAnsi" w:cstheme="majorHAnsi"/>
          <w:bCs/>
          <w:color w:val="000000" w:themeColor="text1"/>
        </w:rPr>
        <w:t>per cent</w:t>
      </w:r>
      <w:r w:rsidRPr="00D3469C">
        <w:rPr>
          <w:rFonts w:asciiTheme="majorHAnsi" w:hAnsiTheme="majorHAnsi" w:cstheme="majorHAnsi"/>
          <w:bCs/>
          <w:color w:val="000000" w:themeColor="text1"/>
        </w:rPr>
        <w:t xml:space="preserve"> each (Figure </w:t>
      </w:r>
      <w:r>
        <w:rPr>
          <w:rFonts w:asciiTheme="majorHAnsi" w:hAnsiTheme="majorHAnsi" w:cstheme="majorHAnsi"/>
          <w:bCs/>
          <w:color w:val="000000" w:themeColor="text1"/>
        </w:rPr>
        <w:t>23</w:t>
      </w:r>
      <w:r w:rsidRPr="00D3469C">
        <w:rPr>
          <w:rFonts w:asciiTheme="majorHAnsi" w:hAnsiTheme="majorHAnsi" w:cstheme="majorHAnsi"/>
          <w:bCs/>
          <w:color w:val="000000" w:themeColor="text1"/>
        </w:rPr>
        <w:t>).</w:t>
      </w:r>
      <w:r w:rsidR="00D434EB">
        <w:rPr>
          <w:rFonts w:asciiTheme="majorHAnsi" w:hAnsiTheme="majorHAnsi" w:cstheme="majorHAnsi"/>
          <w:bCs/>
          <w:color w:val="000000" w:themeColor="text1"/>
        </w:rPr>
        <w:t xml:space="preserve"> </w:t>
      </w:r>
      <w:r w:rsidRPr="007C4D43">
        <w:rPr>
          <w:rFonts w:asciiTheme="majorHAnsi" w:hAnsiTheme="majorHAnsi" w:cstheme="majorHAnsi"/>
          <w:bCs/>
          <w:color w:val="000000" w:themeColor="text1"/>
        </w:rPr>
        <w:t xml:space="preserve">Interestingly, about </w:t>
      </w:r>
      <w:r w:rsidRPr="007C4D43">
        <w:rPr>
          <w:rFonts w:asciiTheme="majorHAnsi" w:hAnsiTheme="majorHAnsi" w:cstheme="majorHAnsi"/>
          <w:color w:val="000000" w:themeColor="text1"/>
        </w:rPr>
        <w:t xml:space="preserve">13 </w:t>
      </w:r>
      <w:r>
        <w:rPr>
          <w:rFonts w:asciiTheme="majorHAnsi" w:hAnsiTheme="majorHAnsi" w:cstheme="majorHAnsi"/>
          <w:color w:val="000000" w:themeColor="text1"/>
        </w:rPr>
        <w:t>per cent</w:t>
      </w:r>
      <w:r w:rsidRPr="007C4D43">
        <w:rPr>
          <w:rFonts w:asciiTheme="majorHAnsi" w:hAnsiTheme="majorHAnsi" w:cstheme="majorHAnsi"/>
          <w:color w:val="000000" w:themeColor="text1"/>
        </w:rPr>
        <w:t xml:space="preserve"> were considered </w:t>
      </w:r>
      <w:r w:rsidRPr="007C4D43">
        <w:rPr>
          <w:rFonts w:asciiTheme="majorHAnsi" w:hAnsiTheme="majorHAnsi" w:cstheme="majorHAnsi"/>
          <w:bCs/>
          <w:color w:val="000000" w:themeColor="text1"/>
        </w:rPr>
        <w:t>non-</w:t>
      </w:r>
      <w:r>
        <w:rPr>
          <w:rFonts w:asciiTheme="majorHAnsi" w:hAnsiTheme="majorHAnsi" w:cstheme="majorHAnsi"/>
          <w:bCs/>
          <w:color w:val="000000" w:themeColor="text1"/>
        </w:rPr>
        <w:t>DepEd</w:t>
      </w:r>
      <w:r w:rsidRPr="007C4D43">
        <w:rPr>
          <w:rFonts w:asciiTheme="majorHAnsi" w:hAnsiTheme="majorHAnsi" w:cstheme="majorHAnsi"/>
          <w:bCs/>
          <w:color w:val="000000" w:themeColor="text1"/>
        </w:rPr>
        <w:t xml:space="preserve"> Users including 68 schools located overseas</w:t>
      </w:r>
      <w:r w:rsidRPr="007C4D43">
        <w:rPr>
          <w:rFonts w:asciiTheme="majorHAnsi" w:hAnsiTheme="majorHAnsi" w:cstheme="majorHAnsi"/>
          <w:bCs/>
          <w:color w:val="000000"/>
        </w:rPr>
        <w:t>.</w:t>
      </w:r>
      <w:r w:rsidR="00D434EB">
        <w:rPr>
          <w:rFonts w:asciiTheme="majorHAnsi" w:hAnsiTheme="majorHAnsi" w:cstheme="majorHAnsi"/>
          <w:bCs/>
          <w:color w:val="000000"/>
        </w:rPr>
        <w:t xml:space="preserve"> </w:t>
      </w:r>
      <w:r w:rsidRPr="007C4D43">
        <w:rPr>
          <w:rFonts w:asciiTheme="majorHAnsi" w:hAnsiTheme="majorHAnsi" w:cstheme="majorHAnsi"/>
          <w:bCs/>
          <w:color w:val="000000"/>
        </w:rPr>
        <w:t xml:space="preserve">Forty-seven </w:t>
      </w:r>
      <w:r>
        <w:rPr>
          <w:rFonts w:asciiTheme="majorHAnsi" w:hAnsiTheme="majorHAnsi" w:cstheme="majorHAnsi"/>
          <w:bCs/>
          <w:color w:val="000000"/>
        </w:rPr>
        <w:t>per cent</w:t>
      </w:r>
      <w:r w:rsidRPr="007C4D43">
        <w:rPr>
          <w:rFonts w:asciiTheme="majorHAnsi" w:hAnsiTheme="majorHAnsi" w:cstheme="majorHAnsi"/>
          <w:bCs/>
          <w:color w:val="000000"/>
        </w:rPr>
        <w:t xml:space="preserve"> of the users came from BEST Program-supported regions. </w:t>
      </w:r>
      <w:r>
        <w:rPr>
          <w:rFonts w:asciiTheme="majorHAnsi" w:hAnsiTheme="majorHAnsi" w:cstheme="majorHAnsi"/>
          <w:bCs/>
          <w:color w:val="000000"/>
        </w:rPr>
        <w:t>The largest share</w:t>
      </w:r>
      <w:r w:rsidRPr="007C4D43">
        <w:rPr>
          <w:rFonts w:asciiTheme="majorHAnsi" w:hAnsiTheme="majorHAnsi" w:cstheme="majorHAnsi"/>
          <w:bCs/>
          <w:color w:val="000000"/>
        </w:rPr>
        <w:t xml:space="preserve"> of the LR Portal users c</w:t>
      </w:r>
      <w:r>
        <w:rPr>
          <w:rFonts w:asciiTheme="majorHAnsi" w:hAnsiTheme="majorHAnsi" w:cstheme="majorHAnsi"/>
          <w:bCs/>
          <w:color w:val="000000"/>
        </w:rPr>
        <w:t>a</w:t>
      </w:r>
      <w:r w:rsidRPr="007C4D43">
        <w:rPr>
          <w:rFonts w:asciiTheme="majorHAnsi" w:hAnsiTheme="majorHAnsi" w:cstheme="majorHAnsi"/>
          <w:bCs/>
          <w:color w:val="000000"/>
        </w:rPr>
        <w:t>me from Region V (10.02</w:t>
      </w:r>
      <w:r>
        <w:rPr>
          <w:rFonts w:asciiTheme="majorHAnsi" w:hAnsiTheme="majorHAnsi" w:cstheme="majorHAnsi"/>
          <w:bCs/>
          <w:color w:val="000000"/>
        </w:rPr>
        <w:t xml:space="preserve"> per cent</w:t>
      </w:r>
      <w:r w:rsidRPr="007C4D43">
        <w:rPr>
          <w:rFonts w:asciiTheme="majorHAnsi" w:hAnsiTheme="majorHAnsi" w:cstheme="majorHAnsi"/>
          <w:bCs/>
          <w:color w:val="000000"/>
        </w:rPr>
        <w:t>) and Region VI (10.64</w:t>
      </w:r>
      <w:r>
        <w:rPr>
          <w:rFonts w:asciiTheme="majorHAnsi" w:hAnsiTheme="majorHAnsi" w:cstheme="majorHAnsi"/>
          <w:bCs/>
          <w:color w:val="000000"/>
        </w:rPr>
        <w:t xml:space="preserve"> per cent</w:t>
      </w:r>
      <w:r w:rsidRPr="007C4D43">
        <w:rPr>
          <w:rFonts w:asciiTheme="majorHAnsi" w:hAnsiTheme="majorHAnsi" w:cstheme="majorHAnsi"/>
          <w:bCs/>
          <w:color w:val="000000"/>
        </w:rPr>
        <w:t>).</w:t>
      </w:r>
    </w:p>
    <w:p w14:paraId="5649F32B" w14:textId="035C2381" w:rsidR="008D0CAD" w:rsidRPr="008222E0" w:rsidRDefault="008D0CAD" w:rsidP="00671524">
      <w:pPr>
        <w:spacing w:before="100" w:beforeAutospacing="1" w:after="100" w:afterAutospacing="1" w:line="360" w:lineRule="auto"/>
        <w:rPr>
          <w:rFonts w:asciiTheme="majorHAnsi" w:hAnsiTheme="majorHAnsi" w:cstheme="majorHAnsi"/>
        </w:rPr>
      </w:pPr>
      <w:r>
        <w:rPr>
          <w:rFonts w:asciiTheme="majorHAnsi" w:hAnsiTheme="majorHAnsi" w:cstheme="majorHAnsi"/>
        </w:rPr>
        <w:t xml:space="preserve">High utilisation of the LR Portal was also validated in the Study survey in which </w:t>
      </w:r>
      <w:r w:rsidRPr="00650DB8">
        <w:rPr>
          <w:rFonts w:asciiTheme="majorHAnsi" w:hAnsiTheme="majorHAnsi" w:cstheme="majorHAnsi"/>
        </w:rPr>
        <w:t>122 of the 193 respondent teacher</w:t>
      </w:r>
      <w:r>
        <w:rPr>
          <w:rFonts w:asciiTheme="majorHAnsi" w:hAnsiTheme="majorHAnsi" w:cstheme="majorHAnsi"/>
        </w:rPr>
        <w:t xml:space="preserve">s </w:t>
      </w:r>
      <w:r w:rsidRPr="00650DB8">
        <w:rPr>
          <w:rFonts w:asciiTheme="majorHAnsi" w:hAnsiTheme="majorHAnsi" w:cstheme="majorHAnsi"/>
        </w:rPr>
        <w:t>(63.21</w:t>
      </w:r>
      <w:r>
        <w:rPr>
          <w:rFonts w:asciiTheme="majorHAnsi" w:hAnsiTheme="majorHAnsi" w:cstheme="majorHAnsi"/>
        </w:rPr>
        <w:t xml:space="preserve"> per cent</w:t>
      </w:r>
      <w:r w:rsidRPr="00650DB8">
        <w:rPr>
          <w:rFonts w:asciiTheme="majorHAnsi" w:hAnsiTheme="majorHAnsi" w:cstheme="majorHAnsi"/>
        </w:rPr>
        <w:t>) stated that they use</w:t>
      </w:r>
      <w:r>
        <w:rPr>
          <w:rFonts w:asciiTheme="majorHAnsi" w:hAnsiTheme="majorHAnsi" w:cstheme="majorHAnsi"/>
        </w:rPr>
        <w:t>d</w:t>
      </w:r>
      <w:r w:rsidRPr="00650DB8">
        <w:rPr>
          <w:rFonts w:asciiTheme="majorHAnsi" w:hAnsiTheme="majorHAnsi" w:cstheme="majorHAnsi"/>
        </w:rPr>
        <w:t xml:space="preserve"> the </w:t>
      </w:r>
      <w:r>
        <w:rPr>
          <w:rFonts w:asciiTheme="majorHAnsi" w:hAnsiTheme="majorHAnsi" w:cstheme="majorHAnsi"/>
        </w:rPr>
        <w:t>LR</w:t>
      </w:r>
      <w:r w:rsidRPr="00650DB8">
        <w:rPr>
          <w:rFonts w:asciiTheme="majorHAnsi" w:hAnsiTheme="majorHAnsi" w:cstheme="majorHAnsi"/>
        </w:rPr>
        <w:t xml:space="preserve"> Portal. Similar to the EBEIS ratings, a median rating </w:t>
      </w:r>
      <w:r>
        <w:rPr>
          <w:rFonts w:asciiTheme="majorHAnsi" w:hAnsiTheme="majorHAnsi" w:cstheme="majorHAnsi"/>
        </w:rPr>
        <w:t>of 2.00 was given for</w:t>
      </w:r>
      <w:r w:rsidRPr="00650DB8">
        <w:rPr>
          <w:rFonts w:asciiTheme="majorHAnsi" w:hAnsiTheme="majorHAnsi" w:cstheme="majorHAnsi"/>
        </w:rPr>
        <w:t xml:space="preserve"> ease of access and user-friendliness.</w:t>
      </w:r>
      <w:r w:rsidR="00D434EB">
        <w:rPr>
          <w:rFonts w:asciiTheme="majorHAnsi" w:hAnsiTheme="majorHAnsi" w:cstheme="majorHAnsi"/>
        </w:rPr>
        <w:t xml:space="preserve"> </w:t>
      </w:r>
      <w:r>
        <w:rPr>
          <w:rFonts w:asciiTheme="majorHAnsi" w:hAnsiTheme="majorHAnsi" w:cstheme="majorHAnsi"/>
        </w:rPr>
        <w:t>A m</w:t>
      </w:r>
      <w:r w:rsidRPr="00650DB8">
        <w:rPr>
          <w:rFonts w:asciiTheme="majorHAnsi" w:hAnsiTheme="majorHAnsi" w:cstheme="majorHAnsi"/>
        </w:rPr>
        <w:t>ajority (119 of 193 or 61.66</w:t>
      </w:r>
      <w:r>
        <w:rPr>
          <w:rFonts w:asciiTheme="majorHAnsi" w:hAnsiTheme="majorHAnsi" w:cstheme="majorHAnsi"/>
        </w:rPr>
        <w:t xml:space="preserve"> per cent</w:t>
      </w:r>
      <w:r w:rsidRPr="00650DB8">
        <w:rPr>
          <w:rFonts w:asciiTheme="majorHAnsi" w:hAnsiTheme="majorHAnsi" w:cstheme="majorHAnsi"/>
        </w:rPr>
        <w:t xml:space="preserve">) of </w:t>
      </w:r>
      <w:r>
        <w:rPr>
          <w:rFonts w:asciiTheme="majorHAnsi" w:hAnsiTheme="majorHAnsi" w:cstheme="majorHAnsi"/>
        </w:rPr>
        <w:t>surveyed</w:t>
      </w:r>
      <w:r w:rsidRPr="00650DB8">
        <w:rPr>
          <w:rFonts w:asciiTheme="majorHAnsi" w:hAnsiTheme="majorHAnsi" w:cstheme="majorHAnsi"/>
        </w:rPr>
        <w:t xml:space="preserve"> teachers </w:t>
      </w:r>
      <w:r>
        <w:rPr>
          <w:rFonts w:asciiTheme="majorHAnsi" w:hAnsiTheme="majorHAnsi" w:cstheme="majorHAnsi"/>
        </w:rPr>
        <w:t>stated</w:t>
      </w:r>
      <w:r w:rsidRPr="00650DB8">
        <w:rPr>
          <w:rFonts w:asciiTheme="majorHAnsi" w:hAnsiTheme="majorHAnsi" w:cstheme="majorHAnsi"/>
        </w:rPr>
        <w:t xml:space="preserve"> that they accessed it and had used it </w:t>
      </w:r>
      <w:r>
        <w:rPr>
          <w:rFonts w:asciiTheme="majorHAnsi" w:hAnsiTheme="majorHAnsi" w:cstheme="majorHAnsi"/>
        </w:rPr>
        <w:t>to</w:t>
      </w:r>
      <w:r w:rsidRPr="00650DB8">
        <w:rPr>
          <w:rFonts w:asciiTheme="majorHAnsi" w:hAnsiTheme="majorHAnsi" w:cstheme="majorHAnsi"/>
        </w:rPr>
        <w:t xml:space="preserve"> sourc</w:t>
      </w:r>
      <w:r>
        <w:rPr>
          <w:rFonts w:asciiTheme="majorHAnsi" w:hAnsiTheme="majorHAnsi" w:cstheme="majorHAnsi"/>
        </w:rPr>
        <w:t>e</w:t>
      </w:r>
      <w:r w:rsidRPr="00650DB8">
        <w:rPr>
          <w:rFonts w:asciiTheme="majorHAnsi" w:hAnsiTheme="majorHAnsi" w:cstheme="majorHAnsi"/>
        </w:rPr>
        <w:t xml:space="preserve"> learning materials for their lessons.</w:t>
      </w:r>
      <w:r w:rsidR="00D434EB">
        <w:rPr>
          <w:rFonts w:asciiTheme="majorHAnsi" w:hAnsiTheme="majorHAnsi" w:cstheme="majorHAnsi"/>
        </w:rPr>
        <w:t xml:space="preserve"> </w:t>
      </w:r>
    </w:p>
    <w:p w14:paraId="6E029980" w14:textId="2FDF8626" w:rsidR="008D0CAD" w:rsidRPr="004A657A" w:rsidRDefault="008D0CAD" w:rsidP="00671524">
      <w:pPr>
        <w:spacing w:before="100" w:beforeAutospacing="1" w:after="100" w:afterAutospacing="1" w:line="360" w:lineRule="auto"/>
        <w:rPr>
          <w:rFonts w:asciiTheme="majorHAnsi" w:hAnsiTheme="majorHAnsi" w:cstheme="majorHAnsi"/>
          <w:i/>
          <w:color w:val="44546A" w:themeColor="text2"/>
          <w:sz w:val="22"/>
          <w:szCs w:val="22"/>
        </w:rPr>
      </w:pPr>
      <w:bookmarkStart w:id="159" w:name="_Toc14028938"/>
      <w:bookmarkStart w:id="160" w:name="_Toc71616546"/>
      <w:r w:rsidRPr="004A657A">
        <w:rPr>
          <w:rFonts w:asciiTheme="majorHAnsi" w:hAnsiTheme="majorHAnsi" w:cstheme="majorHAnsi"/>
          <w:i/>
          <w:color w:val="44546A" w:themeColor="text2"/>
          <w:sz w:val="22"/>
          <w:szCs w:val="22"/>
        </w:rPr>
        <w:t xml:space="preserve">Figure </w:t>
      </w:r>
      <w:r w:rsidRPr="004A657A">
        <w:rPr>
          <w:rFonts w:asciiTheme="majorHAnsi" w:hAnsiTheme="majorHAnsi" w:cstheme="majorHAnsi"/>
          <w:i/>
          <w:color w:val="44546A" w:themeColor="text2"/>
          <w:sz w:val="22"/>
          <w:szCs w:val="22"/>
        </w:rPr>
        <w:fldChar w:fldCharType="begin"/>
      </w:r>
      <w:r w:rsidRPr="004A657A">
        <w:rPr>
          <w:rFonts w:asciiTheme="majorHAnsi" w:hAnsiTheme="majorHAnsi" w:cstheme="majorHAnsi"/>
          <w:i/>
          <w:color w:val="44546A" w:themeColor="text2"/>
          <w:sz w:val="22"/>
          <w:szCs w:val="22"/>
        </w:rPr>
        <w:instrText xml:space="preserve"> SEQ Figure \* ARABIC </w:instrText>
      </w:r>
      <w:r w:rsidRPr="004A657A">
        <w:rPr>
          <w:rFonts w:asciiTheme="majorHAnsi" w:hAnsiTheme="majorHAnsi" w:cstheme="majorHAnsi"/>
          <w:i/>
          <w:color w:val="44546A" w:themeColor="text2"/>
          <w:sz w:val="22"/>
          <w:szCs w:val="22"/>
        </w:rPr>
        <w:fldChar w:fldCharType="separate"/>
      </w:r>
      <w:r w:rsidR="00D6133D">
        <w:rPr>
          <w:rFonts w:asciiTheme="majorHAnsi" w:hAnsiTheme="majorHAnsi" w:cstheme="majorHAnsi"/>
          <w:i/>
          <w:noProof/>
          <w:color w:val="44546A" w:themeColor="text2"/>
          <w:sz w:val="22"/>
          <w:szCs w:val="22"/>
        </w:rPr>
        <w:t>19</w:t>
      </w:r>
      <w:r w:rsidRPr="004A657A">
        <w:rPr>
          <w:rFonts w:asciiTheme="majorHAnsi" w:hAnsiTheme="majorHAnsi" w:cstheme="majorHAnsi"/>
          <w:i/>
          <w:color w:val="44546A" w:themeColor="text2"/>
          <w:sz w:val="22"/>
          <w:szCs w:val="22"/>
        </w:rPr>
        <w:fldChar w:fldCharType="end"/>
      </w:r>
      <w:r w:rsidRPr="004A657A">
        <w:rPr>
          <w:rFonts w:asciiTheme="majorHAnsi" w:hAnsiTheme="majorHAnsi" w:cstheme="majorHAnsi"/>
          <w:i/>
          <w:color w:val="44546A" w:themeColor="text2"/>
          <w:sz w:val="22"/>
          <w:szCs w:val="22"/>
        </w:rPr>
        <w:t>. LR Portal Users by Type of Users, 2016-201</w:t>
      </w:r>
      <w:bookmarkEnd w:id="159"/>
      <w:r w:rsidRPr="004A657A">
        <w:rPr>
          <w:rFonts w:asciiTheme="majorHAnsi" w:hAnsiTheme="majorHAnsi" w:cstheme="majorHAnsi"/>
          <w:i/>
          <w:color w:val="44546A" w:themeColor="text2"/>
          <w:sz w:val="22"/>
          <w:szCs w:val="22"/>
        </w:rPr>
        <w:t>9</w:t>
      </w:r>
      <w:bookmarkEnd w:id="160"/>
    </w:p>
    <w:p w14:paraId="74C7BE61" w14:textId="77777777" w:rsidR="008D0CAD" w:rsidRDefault="008D0CAD" w:rsidP="00671524">
      <w:pPr>
        <w:spacing w:before="100" w:beforeAutospacing="1" w:after="100" w:afterAutospacing="1" w:line="360" w:lineRule="auto"/>
        <w:rPr>
          <w:rFonts w:asciiTheme="majorHAnsi" w:hAnsiTheme="majorHAnsi" w:cstheme="majorHAnsi"/>
        </w:rPr>
      </w:pPr>
      <w:r>
        <w:rPr>
          <w:noProof/>
          <w:lang w:val="en-AU" w:eastAsia="en-AU"/>
        </w:rPr>
        <w:drawing>
          <wp:inline distT="0" distB="0" distL="0" distR="0" wp14:anchorId="333F6275" wp14:editId="697AE7A6">
            <wp:extent cx="4517536" cy="2595489"/>
            <wp:effectExtent l="0" t="0" r="16510" b="8255"/>
            <wp:docPr id="16" name="Chart 16" descr="Bar chart of LR Portal Users by Type of Users, 2016-2019; Highest users are Registered School Users.">
              <a:extLst xmlns:a="http://schemas.openxmlformats.org/drawingml/2006/main">
                <a:ext uri="{FF2B5EF4-FFF2-40B4-BE49-F238E27FC236}">
                  <a16:creationId xmlns:a16="http://schemas.microsoft.com/office/drawing/2014/main" id="{4BD4BFD9-3982-0B4A-BBF6-88FE4338F5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DDF8B3F" w14:textId="77777777" w:rsidR="008D0CAD" w:rsidRPr="002339E6" w:rsidRDefault="008D0CAD" w:rsidP="00671524">
      <w:pPr>
        <w:spacing w:before="100" w:beforeAutospacing="1" w:after="100" w:afterAutospacing="1" w:line="360" w:lineRule="auto"/>
        <w:ind w:left="142" w:hanging="22"/>
        <w:rPr>
          <w:rFonts w:asciiTheme="majorHAnsi" w:eastAsia="Garamond" w:hAnsiTheme="majorHAnsi" w:cstheme="majorHAnsi"/>
          <w:i/>
          <w:sz w:val="14"/>
          <w:szCs w:val="14"/>
        </w:rPr>
      </w:pPr>
      <w:r w:rsidRPr="002339E6">
        <w:rPr>
          <w:rFonts w:asciiTheme="majorHAnsi" w:eastAsia="Garamond" w:hAnsiTheme="majorHAnsi" w:cstheme="majorHAnsi"/>
          <w:i/>
          <w:sz w:val="14"/>
          <w:szCs w:val="14"/>
        </w:rPr>
        <w:t>Source of basic data: DepEd ICTS-SDD, 2019</w:t>
      </w:r>
    </w:p>
    <w:p w14:paraId="022D4F98" w14:textId="00CAB826" w:rsidR="008D0CAD" w:rsidRPr="00612A36" w:rsidRDefault="008D0CAD" w:rsidP="00671524">
      <w:pPr>
        <w:spacing w:before="100" w:beforeAutospacing="1" w:after="100" w:afterAutospacing="1" w:line="360" w:lineRule="auto"/>
        <w:rPr>
          <w:rFonts w:asciiTheme="majorHAnsi" w:hAnsiTheme="majorHAnsi" w:cstheme="majorHAnsi"/>
          <w:b/>
          <w:bCs/>
          <w:color w:val="C00000"/>
        </w:rPr>
      </w:pPr>
      <w:r>
        <w:rPr>
          <w:rFonts w:asciiTheme="majorHAnsi" w:hAnsiTheme="majorHAnsi" w:cstheme="majorHAnsi"/>
        </w:rPr>
        <w:t>In contrast</w:t>
      </w:r>
      <w:r w:rsidRPr="00650DB8">
        <w:rPr>
          <w:rFonts w:asciiTheme="majorHAnsi" w:hAnsiTheme="majorHAnsi" w:cstheme="majorHAnsi"/>
        </w:rPr>
        <w:t>, only 56 respondent</w:t>
      </w:r>
      <w:r>
        <w:rPr>
          <w:rFonts w:asciiTheme="majorHAnsi" w:hAnsiTheme="majorHAnsi" w:cstheme="majorHAnsi"/>
        </w:rPr>
        <w:t xml:space="preserve"> teachers stated that they found</w:t>
      </w:r>
      <w:r w:rsidRPr="00650DB8">
        <w:rPr>
          <w:rFonts w:asciiTheme="majorHAnsi" w:hAnsiTheme="majorHAnsi" w:cstheme="majorHAnsi"/>
        </w:rPr>
        <w:t xml:space="preserve"> </w:t>
      </w:r>
      <w:r>
        <w:rPr>
          <w:rFonts w:asciiTheme="majorHAnsi" w:hAnsiTheme="majorHAnsi" w:cstheme="majorHAnsi"/>
        </w:rPr>
        <w:t>the LR Portal</w:t>
      </w:r>
      <w:r w:rsidRPr="00650DB8">
        <w:rPr>
          <w:rFonts w:asciiTheme="majorHAnsi" w:hAnsiTheme="majorHAnsi" w:cstheme="majorHAnsi"/>
        </w:rPr>
        <w:t xml:space="preserve"> useful. Almost 20</w:t>
      </w:r>
      <w:r>
        <w:rPr>
          <w:rFonts w:asciiTheme="majorHAnsi" w:hAnsiTheme="majorHAnsi" w:cstheme="majorHAnsi"/>
        </w:rPr>
        <w:t xml:space="preserve"> per cent (</w:t>
      </w:r>
      <w:r w:rsidRPr="00650DB8">
        <w:rPr>
          <w:rFonts w:asciiTheme="majorHAnsi" w:hAnsiTheme="majorHAnsi" w:cstheme="majorHAnsi"/>
        </w:rPr>
        <w:t>35</w:t>
      </w:r>
      <w:r>
        <w:rPr>
          <w:rFonts w:asciiTheme="majorHAnsi" w:hAnsiTheme="majorHAnsi" w:cstheme="majorHAnsi"/>
        </w:rPr>
        <w:t>) of</w:t>
      </w:r>
      <w:r w:rsidRPr="00650DB8">
        <w:rPr>
          <w:rFonts w:asciiTheme="majorHAnsi" w:hAnsiTheme="majorHAnsi" w:cstheme="majorHAnsi"/>
        </w:rPr>
        <w:t xml:space="preserve"> teachers </w:t>
      </w:r>
      <w:r>
        <w:rPr>
          <w:rFonts w:asciiTheme="majorHAnsi" w:hAnsiTheme="majorHAnsi" w:cstheme="majorHAnsi"/>
        </w:rPr>
        <w:t xml:space="preserve">said they </w:t>
      </w:r>
      <w:r w:rsidRPr="00650DB8">
        <w:rPr>
          <w:rFonts w:asciiTheme="majorHAnsi" w:hAnsiTheme="majorHAnsi" w:cstheme="majorHAnsi"/>
        </w:rPr>
        <w:t>were not able to use the portal and the other UISS systems as they d</w:t>
      </w:r>
      <w:r>
        <w:rPr>
          <w:rFonts w:asciiTheme="majorHAnsi" w:hAnsiTheme="majorHAnsi" w:cstheme="majorHAnsi"/>
        </w:rPr>
        <w:t>id</w:t>
      </w:r>
      <w:r w:rsidRPr="00650DB8">
        <w:rPr>
          <w:rFonts w:asciiTheme="majorHAnsi" w:hAnsiTheme="majorHAnsi" w:cstheme="majorHAnsi"/>
        </w:rPr>
        <w:t xml:space="preserve"> not have the requisite ICT proficiency. When probed, they expressed inability to use the system due</w:t>
      </w:r>
      <w:r>
        <w:rPr>
          <w:rFonts w:asciiTheme="majorHAnsi" w:hAnsiTheme="majorHAnsi" w:cstheme="majorHAnsi"/>
        </w:rPr>
        <w:t xml:space="preserve"> to</w:t>
      </w:r>
      <w:r w:rsidRPr="00650DB8">
        <w:rPr>
          <w:rFonts w:asciiTheme="majorHAnsi" w:hAnsiTheme="majorHAnsi" w:cstheme="majorHAnsi"/>
        </w:rPr>
        <w:t xml:space="preserve"> </w:t>
      </w:r>
      <w:r>
        <w:rPr>
          <w:rFonts w:asciiTheme="majorHAnsi" w:hAnsiTheme="majorHAnsi" w:cstheme="majorHAnsi"/>
        </w:rPr>
        <w:t>ICT illiteracy</w:t>
      </w:r>
      <w:r w:rsidRPr="00650DB8">
        <w:rPr>
          <w:rFonts w:asciiTheme="majorHAnsi" w:hAnsiTheme="majorHAnsi" w:cstheme="majorHAnsi"/>
        </w:rPr>
        <w:t>.</w:t>
      </w:r>
      <w:r w:rsidR="00D434EB">
        <w:rPr>
          <w:rFonts w:asciiTheme="majorHAnsi" w:hAnsiTheme="majorHAnsi" w:cstheme="majorHAnsi"/>
        </w:rPr>
        <w:t xml:space="preserve"> </w:t>
      </w:r>
      <w:r>
        <w:rPr>
          <w:rFonts w:asciiTheme="majorHAnsi" w:hAnsiTheme="majorHAnsi" w:cstheme="majorHAnsi"/>
        </w:rPr>
        <w:t>Moreover, some FGD respondents noted the poor quality of some of the resources uploaded in the Portal.</w:t>
      </w:r>
    </w:p>
    <w:p w14:paraId="1F532F7F" w14:textId="529CA729" w:rsidR="008D0CAD" w:rsidRPr="00CE3B78" w:rsidRDefault="008D0CAD" w:rsidP="00DD08E3">
      <w:pPr>
        <w:pStyle w:val="Heading5"/>
        <w:numPr>
          <w:ilvl w:val="3"/>
          <w:numId w:val="165"/>
        </w:numPr>
        <w:spacing w:before="100" w:beforeAutospacing="1" w:after="100" w:afterAutospacing="1" w:line="360" w:lineRule="auto"/>
      </w:pPr>
      <w:r w:rsidRPr="00C251B9">
        <w:t>Project Management Information System (PMIS)</w:t>
      </w:r>
    </w:p>
    <w:p w14:paraId="5551D43C" w14:textId="3EC94DAE" w:rsidR="008D0CAD" w:rsidRDefault="008D0CAD" w:rsidP="00671524">
      <w:pPr>
        <w:spacing w:before="100" w:beforeAutospacing="1" w:after="100" w:afterAutospacing="1" w:line="360" w:lineRule="auto"/>
        <w:rPr>
          <w:rFonts w:asciiTheme="majorHAnsi" w:hAnsiTheme="majorHAnsi" w:cstheme="majorHAnsi"/>
        </w:rPr>
      </w:pPr>
      <w:r w:rsidRPr="00FD7269">
        <w:rPr>
          <w:rFonts w:asciiTheme="majorHAnsi" w:hAnsiTheme="majorHAnsi" w:cstheme="majorHAnsi"/>
        </w:rPr>
        <w:t xml:space="preserve">In 2017, the PMIS facilities for creating and approving the </w:t>
      </w:r>
      <w:r>
        <w:rPr>
          <w:rFonts w:asciiTheme="majorHAnsi" w:hAnsiTheme="majorHAnsi" w:cstheme="majorHAnsi"/>
        </w:rPr>
        <w:t>Work and Financial Plan (</w:t>
      </w:r>
      <w:r w:rsidRPr="00FD7269">
        <w:rPr>
          <w:rFonts w:asciiTheme="majorHAnsi" w:hAnsiTheme="majorHAnsi" w:cstheme="majorHAnsi"/>
        </w:rPr>
        <w:t>WFP</w:t>
      </w:r>
      <w:r>
        <w:rPr>
          <w:rFonts w:asciiTheme="majorHAnsi" w:hAnsiTheme="majorHAnsi" w:cstheme="majorHAnsi"/>
        </w:rPr>
        <w:t>)</w:t>
      </w:r>
      <w:r w:rsidRPr="00FD7269">
        <w:rPr>
          <w:rFonts w:asciiTheme="majorHAnsi" w:hAnsiTheme="majorHAnsi" w:cstheme="majorHAnsi"/>
        </w:rPr>
        <w:t xml:space="preserve">, </w:t>
      </w:r>
      <w:r>
        <w:rPr>
          <w:rFonts w:asciiTheme="majorHAnsi" w:hAnsiTheme="majorHAnsi" w:cstheme="majorHAnsi"/>
        </w:rPr>
        <w:t>Activity Request (</w:t>
      </w:r>
      <w:r w:rsidRPr="00FD7269">
        <w:rPr>
          <w:rFonts w:asciiTheme="majorHAnsi" w:hAnsiTheme="majorHAnsi" w:cstheme="majorHAnsi"/>
        </w:rPr>
        <w:t>AR</w:t>
      </w:r>
      <w:r>
        <w:rPr>
          <w:rFonts w:asciiTheme="majorHAnsi" w:hAnsiTheme="majorHAnsi" w:cstheme="majorHAnsi"/>
        </w:rPr>
        <w:t>)</w:t>
      </w:r>
      <w:r w:rsidRPr="00FD7269">
        <w:rPr>
          <w:rFonts w:asciiTheme="majorHAnsi" w:hAnsiTheme="majorHAnsi" w:cstheme="majorHAnsi"/>
        </w:rPr>
        <w:t xml:space="preserve"> and </w:t>
      </w:r>
      <w:r>
        <w:rPr>
          <w:rFonts w:asciiTheme="majorHAnsi" w:hAnsiTheme="majorHAnsi" w:cstheme="majorHAnsi"/>
        </w:rPr>
        <w:t>Authority to Conduct (</w:t>
      </w:r>
      <w:r w:rsidRPr="00FD7269">
        <w:rPr>
          <w:rFonts w:asciiTheme="majorHAnsi" w:hAnsiTheme="majorHAnsi" w:cstheme="majorHAnsi"/>
        </w:rPr>
        <w:t>ATC</w:t>
      </w:r>
      <w:r>
        <w:rPr>
          <w:rFonts w:asciiTheme="majorHAnsi" w:hAnsiTheme="majorHAnsi" w:cstheme="majorHAnsi"/>
        </w:rPr>
        <w:t>)</w:t>
      </w:r>
      <w:r w:rsidRPr="00FD7269">
        <w:rPr>
          <w:rFonts w:asciiTheme="majorHAnsi" w:hAnsiTheme="majorHAnsi" w:cstheme="majorHAnsi"/>
        </w:rPr>
        <w:t xml:space="preserve"> were developed</w:t>
      </w:r>
      <w:r>
        <w:rPr>
          <w:rFonts w:asciiTheme="majorHAnsi" w:hAnsiTheme="majorHAnsi" w:cstheme="majorHAnsi"/>
        </w:rPr>
        <w:t xml:space="preserve"> </w:t>
      </w:r>
      <w:r w:rsidR="00671524">
        <w:rPr>
          <w:rFonts w:asciiTheme="majorHAnsi" w:hAnsiTheme="majorHAnsi" w:cstheme="majorHAnsi"/>
        </w:rPr>
        <w:t xml:space="preserve">and </w:t>
      </w:r>
      <w:r w:rsidR="00671524" w:rsidRPr="00FD7269">
        <w:rPr>
          <w:rFonts w:asciiTheme="majorHAnsi" w:hAnsiTheme="majorHAnsi" w:cstheme="majorHAnsi"/>
        </w:rPr>
        <w:t>orientation</w:t>
      </w:r>
      <w:r>
        <w:rPr>
          <w:rFonts w:asciiTheme="majorHAnsi" w:hAnsiTheme="majorHAnsi" w:cstheme="majorHAnsi"/>
        </w:rPr>
        <w:t xml:space="preserve"> sessions</w:t>
      </w:r>
      <w:r w:rsidRPr="00FD7269">
        <w:rPr>
          <w:rFonts w:asciiTheme="majorHAnsi" w:hAnsiTheme="majorHAnsi" w:cstheme="majorHAnsi"/>
        </w:rPr>
        <w:t xml:space="preserve"> on </w:t>
      </w:r>
      <w:r>
        <w:rPr>
          <w:rFonts w:asciiTheme="majorHAnsi" w:hAnsiTheme="majorHAnsi" w:cstheme="majorHAnsi"/>
        </w:rPr>
        <w:t>its use were conducted.</w:t>
      </w:r>
      <w:r w:rsidRPr="00FD7269">
        <w:rPr>
          <w:rFonts w:asciiTheme="majorHAnsi" w:hAnsiTheme="majorHAnsi" w:cstheme="majorHAnsi"/>
        </w:rPr>
        <w:t xml:space="preserve"> These modules were implemented at the CO, RO, and SDO levels.</w:t>
      </w:r>
      <w:r w:rsidR="00D434EB">
        <w:rPr>
          <w:rFonts w:asciiTheme="majorHAnsi" w:hAnsiTheme="majorHAnsi" w:cstheme="majorHAnsi"/>
        </w:rPr>
        <w:t xml:space="preserve"> </w:t>
      </w:r>
    </w:p>
    <w:p w14:paraId="3F47DC03" w14:textId="3FFE0295" w:rsidR="008D0CAD" w:rsidRDefault="008D0CAD" w:rsidP="00671524">
      <w:pPr>
        <w:spacing w:before="100" w:beforeAutospacing="1" w:after="100" w:afterAutospacing="1" w:line="360" w:lineRule="auto"/>
        <w:rPr>
          <w:rFonts w:asciiTheme="majorHAnsi" w:hAnsiTheme="majorHAnsi" w:cstheme="majorHAnsi"/>
        </w:rPr>
      </w:pPr>
      <w:r w:rsidRPr="00C5052D">
        <w:rPr>
          <w:rFonts w:asciiTheme="majorHAnsi" w:hAnsiTheme="majorHAnsi" w:cstheme="majorHAnsi"/>
        </w:rPr>
        <w:t>The PMIS is primarily used by ROs and DOs in monitoring the implementation of the School Improvement Plans.</w:t>
      </w:r>
      <w:r w:rsidR="00D434EB">
        <w:rPr>
          <w:rFonts w:asciiTheme="majorHAnsi" w:hAnsiTheme="majorHAnsi" w:cstheme="majorHAnsi"/>
        </w:rPr>
        <w:t xml:space="preserve"> </w:t>
      </w:r>
      <w:r w:rsidRPr="00C5052D">
        <w:rPr>
          <w:rFonts w:asciiTheme="majorHAnsi" w:hAnsiTheme="majorHAnsi" w:cstheme="majorHAnsi"/>
          <w:color w:val="000000" w:themeColor="text1"/>
        </w:rPr>
        <w:t xml:space="preserve">According to </w:t>
      </w:r>
      <w:r>
        <w:rPr>
          <w:rFonts w:asciiTheme="majorHAnsi" w:hAnsiTheme="majorHAnsi" w:cstheme="majorHAnsi"/>
          <w:color w:val="000000" w:themeColor="text1"/>
        </w:rPr>
        <w:t>one</w:t>
      </w:r>
      <w:r w:rsidRPr="00C5052D">
        <w:rPr>
          <w:rFonts w:asciiTheme="majorHAnsi" w:hAnsiTheme="majorHAnsi" w:cstheme="majorHAnsi"/>
          <w:color w:val="000000" w:themeColor="text1"/>
        </w:rPr>
        <w:t xml:space="preserve"> RO respondent, “</w:t>
      </w:r>
      <w:r w:rsidRPr="00C5052D">
        <w:rPr>
          <w:rFonts w:asciiTheme="majorHAnsi" w:hAnsiTheme="majorHAnsi" w:cstheme="majorHAnsi"/>
        </w:rPr>
        <w:t>…</w:t>
      </w:r>
      <w:r w:rsidRPr="00EB1749">
        <w:rPr>
          <w:rFonts w:asciiTheme="majorHAnsi" w:hAnsiTheme="majorHAnsi" w:cstheme="majorHAnsi"/>
          <w:i/>
        </w:rPr>
        <w:t xml:space="preserve">the </w:t>
      </w:r>
      <w:r w:rsidRPr="00EB1749">
        <w:rPr>
          <w:rFonts w:asciiTheme="majorHAnsi" w:eastAsiaTheme="minorHAnsi" w:hAnsiTheme="majorHAnsi" w:cstheme="majorHAnsi"/>
          <w:i/>
          <w:color w:val="000000" w:themeColor="text1"/>
        </w:rPr>
        <w:t>PMIS were helpful to the region ... However, the PMIS is fragmented.</w:t>
      </w:r>
      <w:r>
        <w:rPr>
          <w:rFonts w:asciiTheme="majorHAnsi" w:eastAsiaTheme="minorHAnsi" w:hAnsiTheme="majorHAnsi" w:cstheme="majorHAnsi"/>
          <w:color w:val="000000" w:themeColor="text1"/>
        </w:rPr>
        <w:t>”</w:t>
      </w:r>
      <w:r w:rsidR="00D434EB">
        <w:rPr>
          <w:rFonts w:asciiTheme="majorHAnsi" w:eastAsiaTheme="minorHAnsi" w:hAnsiTheme="majorHAnsi" w:cstheme="majorHAnsi"/>
          <w:color w:val="000000" w:themeColor="text1"/>
        </w:rPr>
        <w:t xml:space="preserve"> </w:t>
      </w:r>
      <w:r>
        <w:rPr>
          <w:rFonts w:asciiTheme="majorHAnsi" w:eastAsiaTheme="minorHAnsi" w:hAnsiTheme="majorHAnsi" w:cstheme="majorHAnsi"/>
          <w:color w:val="000000" w:themeColor="text1"/>
        </w:rPr>
        <w:t>This was seconded by another RO respondent who noted that “</w:t>
      </w:r>
      <w:r w:rsidRPr="00EB1749">
        <w:rPr>
          <w:rFonts w:asciiTheme="majorHAnsi" w:eastAsiaTheme="minorHAnsi" w:hAnsiTheme="majorHAnsi" w:cstheme="majorHAnsi"/>
          <w:i/>
        </w:rPr>
        <w:t>BEST contribution on PMIS is significant, however, in my opinion it is fragmented, they need to integrate all the needed data into one data system instead of using different systems.</w:t>
      </w:r>
      <w:r>
        <w:rPr>
          <w:rFonts w:asciiTheme="majorHAnsi" w:eastAsiaTheme="minorHAnsi" w:hAnsiTheme="majorHAnsi" w:cstheme="majorHAnsi"/>
        </w:rPr>
        <w:t xml:space="preserve">” Nevertheless, several </w:t>
      </w:r>
      <w:r w:rsidRPr="00C5052D">
        <w:rPr>
          <w:rFonts w:asciiTheme="majorHAnsi" w:hAnsiTheme="majorHAnsi" w:cstheme="majorHAnsi"/>
        </w:rPr>
        <w:t>DOs highlighted the increase in efficiency of monitoring as a result of the PMIS.</w:t>
      </w:r>
      <w:r w:rsidR="00D434EB">
        <w:rPr>
          <w:rFonts w:asciiTheme="majorHAnsi" w:hAnsiTheme="majorHAnsi" w:cstheme="majorHAnsi"/>
        </w:rPr>
        <w:t xml:space="preserve"> </w:t>
      </w:r>
      <w:r w:rsidRPr="00C5052D">
        <w:rPr>
          <w:rFonts w:asciiTheme="majorHAnsi" w:hAnsiTheme="majorHAnsi" w:cstheme="majorHAnsi"/>
        </w:rPr>
        <w:t>The PMIS enabled them to closely monitor how schools utili</w:t>
      </w:r>
      <w:r>
        <w:rPr>
          <w:rFonts w:asciiTheme="majorHAnsi" w:hAnsiTheme="majorHAnsi" w:cstheme="majorHAnsi"/>
        </w:rPr>
        <w:t>s</w:t>
      </w:r>
      <w:r w:rsidRPr="00C5052D">
        <w:rPr>
          <w:rFonts w:asciiTheme="majorHAnsi" w:hAnsiTheme="majorHAnsi" w:cstheme="majorHAnsi"/>
        </w:rPr>
        <w:t xml:space="preserve">ed their funds. </w:t>
      </w:r>
    </w:p>
    <w:p w14:paraId="42D02D3D" w14:textId="2696171B" w:rsidR="008D0CAD" w:rsidRPr="00CE3B78" w:rsidRDefault="008D0CAD" w:rsidP="00DD08E3">
      <w:pPr>
        <w:pStyle w:val="Heading5"/>
        <w:numPr>
          <w:ilvl w:val="3"/>
          <w:numId w:val="165"/>
        </w:numPr>
        <w:spacing w:before="100" w:beforeAutospacing="1" w:after="100" w:afterAutospacing="1" w:line="360" w:lineRule="auto"/>
      </w:pPr>
      <w:r>
        <w:t>School-Level Users’ Assessment of the UISS</w:t>
      </w:r>
    </w:p>
    <w:p w14:paraId="4764684F" w14:textId="1EDA149C" w:rsidR="008D0CAD" w:rsidRPr="00551647" w:rsidRDefault="008D0CAD" w:rsidP="00671524">
      <w:pPr>
        <w:spacing w:before="100" w:beforeAutospacing="1" w:after="100" w:afterAutospacing="1" w:line="360" w:lineRule="auto"/>
        <w:rPr>
          <w:rFonts w:asciiTheme="majorHAnsi" w:hAnsiTheme="majorHAnsi" w:cstheme="majorHAnsi"/>
          <w:color w:val="000000" w:themeColor="text1"/>
        </w:rPr>
      </w:pPr>
      <w:r w:rsidRPr="00BD2C56">
        <w:rPr>
          <w:rFonts w:asciiTheme="majorHAnsi" w:hAnsiTheme="majorHAnsi" w:cstheme="majorHAnsi"/>
          <w:color w:val="000000" w:themeColor="text1"/>
        </w:rPr>
        <w:t>School-level utili</w:t>
      </w:r>
      <w:r>
        <w:rPr>
          <w:rFonts w:asciiTheme="majorHAnsi" w:hAnsiTheme="majorHAnsi" w:cstheme="majorHAnsi"/>
          <w:color w:val="000000" w:themeColor="text1"/>
        </w:rPr>
        <w:t>s</w:t>
      </w:r>
      <w:r w:rsidRPr="00BD2C56">
        <w:rPr>
          <w:rFonts w:asciiTheme="majorHAnsi" w:hAnsiTheme="majorHAnsi" w:cstheme="majorHAnsi"/>
          <w:color w:val="000000" w:themeColor="text1"/>
        </w:rPr>
        <w:t>ation of the UIS sub-systems provides interesting insights.</w:t>
      </w:r>
      <w:r w:rsidR="00D434EB">
        <w:rPr>
          <w:rFonts w:asciiTheme="majorHAnsi" w:hAnsiTheme="majorHAnsi" w:cstheme="majorHAnsi"/>
          <w:color w:val="000000" w:themeColor="text1"/>
        </w:rPr>
        <w:t xml:space="preserve"> </w:t>
      </w:r>
      <w:r w:rsidRPr="00BD2C56">
        <w:rPr>
          <w:rFonts w:asciiTheme="majorHAnsi" w:hAnsiTheme="majorHAnsi" w:cstheme="majorHAnsi"/>
          <w:color w:val="000000" w:themeColor="text1"/>
        </w:rPr>
        <w:t>Survey results</w:t>
      </w:r>
      <w:r w:rsidRPr="00791F8D">
        <w:rPr>
          <w:rFonts w:asciiTheme="majorHAnsi" w:hAnsiTheme="majorHAnsi" w:cstheme="majorHAnsi"/>
          <w:color w:val="000000" w:themeColor="text1"/>
        </w:rPr>
        <w:t xml:space="preserve"> revealed that</w:t>
      </w:r>
      <w:r>
        <w:rPr>
          <w:rFonts w:asciiTheme="majorHAnsi" w:hAnsiTheme="majorHAnsi" w:cstheme="majorHAnsi"/>
          <w:color w:val="000000" w:themeColor="text1"/>
        </w:rPr>
        <w:t xml:space="preserve"> about </w:t>
      </w:r>
      <w:r w:rsidRPr="00D3469C">
        <w:rPr>
          <w:rFonts w:asciiTheme="majorHAnsi" w:hAnsiTheme="majorHAnsi" w:cstheme="majorHAnsi"/>
          <w:color w:val="000000" w:themeColor="text1"/>
        </w:rPr>
        <w:t xml:space="preserve">two-thirds of </w:t>
      </w:r>
      <w:r>
        <w:rPr>
          <w:rFonts w:asciiTheme="majorHAnsi" w:hAnsiTheme="majorHAnsi" w:cstheme="majorHAnsi"/>
          <w:color w:val="000000" w:themeColor="text1"/>
        </w:rPr>
        <w:t>principals</w:t>
      </w:r>
      <w:r w:rsidRPr="00D3469C">
        <w:rPr>
          <w:rFonts w:asciiTheme="majorHAnsi" w:hAnsiTheme="majorHAnsi" w:cstheme="majorHAnsi"/>
          <w:color w:val="000000" w:themeColor="text1"/>
        </w:rPr>
        <w:t xml:space="preserve"> from BEST Program-supported schools used the EBEIS, LIS and LR Portal (Table 3</w:t>
      </w:r>
      <w:r>
        <w:rPr>
          <w:rFonts w:asciiTheme="majorHAnsi" w:hAnsiTheme="majorHAnsi" w:cstheme="majorHAnsi"/>
          <w:color w:val="000000" w:themeColor="text1"/>
        </w:rPr>
        <w:t>8</w:t>
      </w:r>
      <w:r w:rsidRPr="00D3469C">
        <w:rPr>
          <w:rFonts w:asciiTheme="majorHAnsi" w:hAnsiTheme="majorHAnsi" w:cstheme="majorHAnsi"/>
          <w:color w:val="000000" w:themeColor="text1"/>
        </w:rPr>
        <w:t>).</w:t>
      </w:r>
      <w:r w:rsidR="00D434EB">
        <w:rPr>
          <w:rFonts w:asciiTheme="majorHAnsi" w:hAnsiTheme="majorHAnsi" w:cstheme="majorHAnsi"/>
          <w:color w:val="000000" w:themeColor="text1"/>
        </w:rPr>
        <w:t xml:space="preserve"> </w:t>
      </w:r>
      <w:r w:rsidRPr="00D3469C">
        <w:rPr>
          <w:rFonts w:asciiTheme="majorHAnsi" w:hAnsiTheme="majorHAnsi" w:cstheme="majorHAnsi"/>
          <w:color w:val="000000" w:themeColor="text1"/>
        </w:rPr>
        <w:t xml:space="preserve">When compared to </w:t>
      </w:r>
      <w:r>
        <w:rPr>
          <w:rFonts w:asciiTheme="majorHAnsi" w:hAnsiTheme="majorHAnsi" w:cstheme="majorHAnsi"/>
          <w:color w:val="000000" w:themeColor="text1"/>
        </w:rPr>
        <w:t>principals</w:t>
      </w:r>
      <w:r w:rsidRPr="00D3469C">
        <w:rPr>
          <w:rFonts w:asciiTheme="majorHAnsi" w:hAnsiTheme="majorHAnsi" w:cstheme="majorHAnsi"/>
          <w:color w:val="000000" w:themeColor="text1"/>
        </w:rPr>
        <w:t xml:space="preserve"> from non-BEST schools, more use</w:t>
      </w:r>
      <w:r>
        <w:rPr>
          <w:rFonts w:asciiTheme="majorHAnsi" w:hAnsiTheme="majorHAnsi" w:cstheme="majorHAnsi"/>
          <w:color w:val="000000" w:themeColor="text1"/>
        </w:rPr>
        <w:t>d</w:t>
      </w:r>
      <w:r w:rsidRPr="00D3469C">
        <w:rPr>
          <w:rFonts w:asciiTheme="majorHAnsi" w:hAnsiTheme="majorHAnsi" w:cstheme="majorHAnsi"/>
          <w:color w:val="000000" w:themeColor="text1"/>
        </w:rPr>
        <w:t xml:space="preserve"> the EBEIS and LIS but </w:t>
      </w:r>
      <w:r>
        <w:rPr>
          <w:rFonts w:asciiTheme="majorHAnsi" w:hAnsiTheme="majorHAnsi" w:cstheme="majorHAnsi"/>
          <w:color w:val="000000" w:themeColor="text1"/>
        </w:rPr>
        <w:t>fewer</w:t>
      </w:r>
      <w:r w:rsidRPr="00D3469C">
        <w:rPr>
          <w:rFonts w:asciiTheme="majorHAnsi" w:hAnsiTheme="majorHAnsi" w:cstheme="majorHAnsi"/>
          <w:color w:val="000000" w:themeColor="text1"/>
        </w:rPr>
        <w:t xml:space="preserve"> use</w:t>
      </w:r>
      <w:r>
        <w:rPr>
          <w:rFonts w:asciiTheme="majorHAnsi" w:hAnsiTheme="majorHAnsi" w:cstheme="majorHAnsi"/>
          <w:color w:val="000000" w:themeColor="text1"/>
        </w:rPr>
        <w:t>d</w:t>
      </w:r>
      <w:r w:rsidRPr="00D3469C">
        <w:rPr>
          <w:rFonts w:asciiTheme="majorHAnsi" w:hAnsiTheme="majorHAnsi" w:cstheme="majorHAnsi"/>
          <w:color w:val="000000" w:themeColor="text1"/>
        </w:rPr>
        <w:t xml:space="preserve"> the </w:t>
      </w:r>
      <w:r>
        <w:rPr>
          <w:rFonts w:asciiTheme="majorHAnsi" w:hAnsiTheme="majorHAnsi" w:cstheme="majorHAnsi"/>
          <w:color w:val="000000" w:themeColor="text1"/>
        </w:rPr>
        <w:t>LR Portal.</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On the other hand, only half of teachers from BEST Program-supported schools used the EBEIS, 82 per cent used the LIS and 65 per cent used the LR Portal.</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Furthermore, utilisation of the three systems by principals and teachers surveyed in the Follow-Up Study</w:t>
      </w:r>
      <w:r w:rsidDel="00C42042">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ranged from 80 to 100 per </w:t>
      </w:r>
      <w:r w:rsidR="004A657A">
        <w:rPr>
          <w:rFonts w:asciiTheme="majorHAnsi" w:hAnsiTheme="majorHAnsi" w:cstheme="majorHAnsi"/>
          <w:color w:val="000000" w:themeColor="text1"/>
        </w:rPr>
        <w:t>cent.</w:t>
      </w:r>
    </w:p>
    <w:p w14:paraId="72026ECB" w14:textId="421A9189" w:rsidR="008D0CAD" w:rsidRPr="004A657A" w:rsidRDefault="008D0CAD" w:rsidP="00671524">
      <w:pPr>
        <w:pStyle w:val="Caption"/>
        <w:spacing w:before="100" w:beforeAutospacing="1" w:after="100" w:afterAutospacing="1" w:line="360" w:lineRule="auto"/>
        <w:rPr>
          <w:rFonts w:asciiTheme="majorHAnsi" w:hAnsiTheme="majorHAnsi" w:cstheme="majorHAnsi"/>
          <w:sz w:val="22"/>
          <w:szCs w:val="22"/>
        </w:rPr>
      </w:pPr>
      <w:bookmarkStart w:id="161" w:name="_Toc71616624"/>
      <w:r w:rsidRPr="004A657A">
        <w:rPr>
          <w:rFonts w:asciiTheme="majorHAnsi" w:hAnsiTheme="majorHAnsi" w:cstheme="majorHAnsi"/>
          <w:sz w:val="22"/>
          <w:szCs w:val="22"/>
        </w:rPr>
        <w:t xml:space="preserve">Table </w:t>
      </w:r>
      <w:r w:rsidRPr="004A657A">
        <w:rPr>
          <w:rFonts w:asciiTheme="majorHAnsi" w:hAnsiTheme="majorHAnsi" w:cstheme="majorHAnsi"/>
          <w:sz w:val="22"/>
          <w:szCs w:val="22"/>
        </w:rPr>
        <w:fldChar w:fldCharType="begin"/>
      </w:r>
      <w:r w:rsidRPr="004A657A">
        <w:rPr>
          <w:rFonts w:asciiTheme="majorHAnsi" w:hAnsiTheme="majorHAnsi" w:cstheme="majorHAnsi"/>
          <w:sz w:val="22"/>
          <w:szCs w:val="22"/>
        </w:rPr>
        <w:instrText xml:space="preserve"> SEQ Table \* ARABIC </w:instrText>
      </w:r>
      <w:r w:rsidRPr="004A657A">
        <w:rPr>
          <w:rFonts w:asciiTheme="majorHAnsi" w:hAnsiTheme="majorHAnsi" w:cstheme="majorHAnsi"/>
          <w:sz w:val="22"/>
          <w:szCs w:val="22"/>
        </w:rPr>
        <w:fldChar w:fldCharType="separate"/>
      </w:r>
      <w:r w:rsidR="00D6133D">
        <w:rPr>
          <w:rFonts w:asciiTheme="majorHAnsi" w:hAnsiTheme="majorHAnsi" w:cstheme="majorHAnsi"/>
          <w:noProof/>
          <w:sz w:val="22"/>
          <w:szCs w:val="22"/>
        </w:rPr>
        <w:t>33</w:t>
      </w:r>
      <w:r w:rsidRPr="004A657A">
        <w:rPr>
          <w:rFonts w:asciiTheme="majorHAnsi" w:hAnsiTheme="majorHAnsi" w:cstheme="majorHAnsi"/>
          <w:sz w:val="22"/>
          <w:szCs w:val="22"/>
        </w:rPr>
        <w:fldChar w:fldCharType="end"/>
      </w:r>
      <w:r w:rsidRPr="004A657A">
        <w:rPr>
          <w:rFonts w:asciiTheme="majorHAnsi" w:hAnsiTheme="majorHAnsi" w:cstheme="majorHAnsi"/>
          <w:sz w:val="22"/>
          <w:szCs w:val="22"/>
        </w:rPr>
        <w:t>. School-Level Utilisation of UIS Sub-systems</w:t>
      </w:r>
      <w:bookmarkEnd w:id="161"/>
    </w:p>
    <w:tbl>
      <w:tblPr>
        <w:tblStyle w:val="TableGrid"/>
        <w:tblW w:w="0" w:type="auto"/>
        <w:tblLook w:val="04A0" w:firstRow="1" w:lastRow="0" w:firstColumn="1" w:lastColumn="0" w:noHBand="0" w:noVBand="1"/>
      </w:tblPr>
      <w:tblGrid>
        <w:gridCol w:w="1802"/>
        <w:gridCol w:w="1802"/>
        <w:gridCol w:w="1802"/>
        <w:gridCol w:w="1802"/>
        <w:gridCol w:w="1802"/>
      </w:tblGrid>
      <w:tr w:rsidR="00943324" w:rsidRPr="00C4630E" w14:paraId="01AC7338" w14:textId="77777777" w:rsidTr="00F4751F">
        <w:trPr>
          <w:tblHeader/>
        </w:trPr>
        <w:tc>
          <w:tcPr>
            <w:tcW w:w="1802" w:type="dxa"/>
          </w:tcPr>
          <w:p w14:paraId="370AA122" w14:textId="77777777" w:rsidR="00943324" w:rsidRPr="00C4630E" w:rsidRDefault="00943324" w:rsidP="00671524">
            <w:pPr>
              <w:spacing w:before="100" w:beforeAutospacing="1" w:after="100" w:afterAutospacing="1" w:line="360" w:lineRule="auto"/>
              <w:rPr>
                <w:rFonts w:asciiTheme="majorHAnsi" w:hAnsiTheme="majorHAnsi" w:cstheme="majorHAnsi"/>
              </w:rPr>
            </w:pPr>
          </w:p>
        </w:tc>
        <w:tc>
          <w:tcPr>
            <w:tcW w:w="1802" w:type="dxa"/>
          </w:tcPr>
          <w:p w14:paraId="2DD46D78" w14:textId="6898DD30" w:rsidR="00943324" w:rsidRPr="00943324" w:rsidRDefault="00943324" w:rsidP="00671524">
            <w:pPr>
              <w:spacing w:before="100" w:beforeAutospacing="1" w:after="100" w:afterAutospacing="1" w:line="360" w:lineRule="auto"/>
              <w:rPr>
                <w:rFonts w:asciiTheme="majorHAnsi" w:hAnsiTheme="majorHAnsi" w:cstheme="majorHAnsi"/>
                <w:b/>
                <w:bCs/>
              </w:rPr>
            </w:pPr>
            <w:r w:rsidRPr="00943324">
              <w:rPr>
                <w:rFonts w:asciiTheme="majorHAnsi" w:hAnsiTheme="majorHAnsi" w:cstheme="majorHAnsi"/>
                <w:b/>
                <w:bCs/>
              </w:rPr>
              <w:t>BEST</w:t>
            </w:r>
          </w:p>
        </w:tc>
        <w:tc>
          <w:tcPr>
            <w:tcW w:w="1802" w:type="dxa"/>
          </w:tcPr>
          <w:p w14:paraId="49785F72" w14:textId="4880BA3E" w:rsidR="00943324" w:rsidRPr="00943324" w:rsidRDefault="00943324" w:rsidP="00671524">
            <w:pPr>
              <w:spacing w:before="100" w:beforeAutospacing="1" w:after="100" w:afterAutospacing="1" w:line="360" w:lineRule="auto"/>
              <w:rPr>
                <w:rFonts w:asciiTheme="majorHAnsi" w:hAnsiTheme="majorHAnsi" w:cstheme="majorHAnsi"/>
                <w:b/>
                <w:bCs/>
              </w:rPr>
            </w:pPr>
            <w:r w:rsidRPr="00943324">
              <w:rPr>
                <w:rFonts w:asciiTheme="majorHAnsi" w:hAnsiTheme="majorHAnsi" w:cstheme="majorHAnsi"/>
                <w:b/>
                <w:bCs/>
              </w:rPr>
              <w:t>BEST</w:t>
            </w:r>
          </w:p>
        </w:tc>
        <w:tc>
          <w:tcPr>
            <w:tcW w:w="1802" w:type="dxa"/>
          </w:tcPr>
          <w:p w14:paraId="29F283DD" w14:textId="0CC5C604" w:rsidR="00943324" w:rsidRPr="00943324" w:rsidRDefault="00943324" w:rsidP="00671524">
            <w:pPr>
              <w:spacing w:before="100" w:beforeAutospacing="1" w:after="100" w:afterAutospacing="1" w:line="360" w:lineRule="auto"/>
              <w:rPr>
                <w:rFonts w:asciiTheme="majorHAnsi" w:hAnsiTheme="majorHAnsi" w:cstheme="majorHAnsi"/>
                <w:b/>
                <w:bCs/>
              </w:rPr>
            </w:pPr>
            <w:r w:rsidRPr="00943324">
              <w:rPr>
                <w:rFonts w:asciiTheme="majorHAnsi" w:hAnsiTheme="majorHAnsi" w:cstheme="majorHAnsi"/>
                <w:b/>
                <w:bCs/>
              </w:rPr>
              <w:t>Non-BEST</w:t>
            </w:r>
          </w:p>
        </w:tc>
        <w:tc>
          <w:tcPr>
            <w:tcW w:w="1802" w:type="dxa"/>
          </w:tcPr>
          <w:p w14:paraId="57B97AE4" w14:textId="4BBEBCEF" w:rsidR="00943324" w:rsidRPr="00943324" w:rsidRDefault="00943324" w:rsidP="00671524">
            <w:pPr>
              <w:spacing w:before="100" w:beforeAutospacing="1" w:after="100" w:afterAutospacing="1" w:line="360" w:lineRule="auto"/>
              <w:rPr>
                <w:rFonts w:asciiTheme="majorHAnsi" w:hAnsiTheme="majorHAnsi" w:cstheme="majorHAnsi"/>
                <w:b/>
                <w:bCs/>
              </w:rPr>
            </w:pPr>
            <w:r w:rsidRPr="00943324">
              <w:rPr>
                <w:rFonts w:asciiTheme="majorHAnsi" w:hAnsiTheme="majorHAnsi" w:cstheme="majorHAnsi"/>
                <w:b/>
                <w:bCs/>
              </w:rPr>
              <w:t>Non-BEST</w:t>
            </w:r>
          </w:p>
        </w:tc>
      </w:tr>
      <w:tr w:rsidR="00E3009B" w:rsidRPr="00C4630E" w14:paraId="4B3AD6EB" w14:textId="77777777" w:rsidTr="00F4751F">
        <w:trPr>
          <w:tblHeader/>
        </w:trPr>
        <w:tc>
          <w:tcPr>
            <w:tcW w:w="1802" w:type="dxa"/>
          </w:tcPr>
          <w:p w14:paraId="6E08EAEC" w14:textId="77777777" w:rsidR="00E3009B" w:rsidRPr="00C4630E" w:rsidRDefault="00E3009B" w:rsidP="00671524">
            <w:pPr>
              <w:spacing w:before="100" w:beforeAutospacing="1" w:after="100" w:afterAutospacing="1" w:line="360" w:lineRule="auto"/>
              <w:rPr>
                <w:rFonts w:asciiTheme="majorHAnsi" w:hAnsiTheme="majorHAnsi" w:cstheme="majorHAnsi"/>
              </w:rPr>
            </w:pPr>
          </w:p>
        </w:tc>
        <w:tc>
          <w:tcPr>
            <w:tcW w:w="1802" w:type="dxa"/>
          </w:tcPr>
          <w:p w14:paraId="672959A4" w14:textId="77777777" w:rsidR="00E3009B" w:rsidRPr="00943324" w:rsidRDefault="00E3009B" w:rsidP="00671524">
            <w:pPr>
              <w:spacing w:before="100" w:beforeAutospacing="1" w:after="100" w:afterAutospacing="1" w:line="360" w:lineRule="auto"/>
              <w:rPr>
                <w:rFonts w:asciiTheme="majorHAnsi" w:hAnsiTheme="majorHAnsi" w:cstheme="majorHAnsi"/>
                <w:b/>
                <w:bCs/>
              </w:rPr>
            </w:pPr>
            <w:r w:rsidRPr="00943324">
              <w:rPr>
                <w:rFonts w:asciiTheme="majorHAnsi" w:hAnsiTheme="majorHAnsi" w:cstheme="majorHAnsi"/>
                <w:b/>
                <w:bCs/>
              </w:rPr>
              <w:t>PSHs</w:t>
            </w:r>
          </w:p>
        </w:tc>
        <w:tc>
          <w:tcPr>
            <w:tcW w:w="1802" w:type="dxa"/>
          </w:tcPr>
          <w:p w14:paraId="3860D6CC" w14:textId="77777777" w:rsidR="00E3009B" w:rsidRPr="00943324" w:rsidRDefault="00E3009B" w:rsidP="00671524">
            <w:pPr>
              <w:spacing w:before="100" w:beforeAutospacing="1" w:after="100" w:afterAutospacing="1" w:line="360" w:lineRule="auto"/>
              <w:rPr>
                <w:rFonts w:asciiTheme="majorHAnsi" w:hAnsiTheme="majorHAnsi" w:cstheme="majorHAnsi"/>
                <w:b/>
                <w:bCs/>
              </w:rPr>
            </w:pPr>
            <w:r w:rsidRPr="00943324">
              <w:rPr>
                <w:rFonts w:asciiTheme="majorHAnsi" w:hAnsiTheme="majorHAnsi" w:cstheme="majorHAnsi"/>
                <w:b/>
                <w:bCs/>
              </w:rPr>
              <w:t>Teachers</w:t>
            </w:r>
          </w:p>
        </w:tc>
        <w:tc>
          <w:tcPr>
            <w:tcW w:w="1802" w:type="dxa"/>
          </w:tcPr>
          <w:p w14:paraId="761D315D" w14:textId="77777777" w:rsidR="00E3009B" w:rsidRPr="00943324" w:rsidRDefault="00E3009B" w:rsidP="00671524">
            <w:pPr>
              <w:spacing w:before="100" w:beforeAutospacing="1" w:after="100" w:afterAutospacing="1" w:line="360" w:lineRule="auto"/>
              <w:rPr>
                <w:rFonts w:asciiTheme="majorHAnsi" w:hAnsiTheme="majorHAnsi" w:cstheme="majorHAnsi"/>
                <w:b/>
                <w:bCs/>
              </w:rPr>
            </w:pPr>
            <w:r w:rsidRPr="00943324">
              <w:rPr>
                <w:rFonts w:asciiTheme="majorHAnsi" w:hAnsiTheme="majorHAnsi" w:cstheme="majorHAnsi"/>
                <w:b/>
                <w:bCs/>
              </w:rPr>
              <w:t>PSHs</w:t>
            </w:r>
          </w:p>
        </w:tc>
        <w:tc>
          <w:tcPr>
            <w:tcW w:w="1802" w:type="dxa"/>
          </w:tcPr>
          <w:p w14:paraId="58FBB425" w14:textId="77777777" w:rsidR="00E3009B" w:rsidRPr="00943324" w:rsidRDefault="00E3009B" w:rsidP="00671524">
            <w:pPr>
              <w:spacing w:before="100" w:beforeAutospacing="1" w:after="100" w:afterAutospacing="1" w:line="360" w:lineRule="auto"/>
              <w:rPr>
                <w:rFonts w:asciiTheme="majorHAnsi" w:hAnsiTheme="majorHAnsi" w:cstheme="majorHAnsi"/>
                <w:b/>
                <w:bCs/>
              </w:rPr>
            </w:pPr>
            <w:r w:rsidRPr="00943324">
              <w:rPr>
                <w:rFonts w:asciiTheme="majorHAnsi" w:hAnsiTheme="majorHAnsi" w:cstheme="majorHAnsi"/>
                <w:b/>
                <w:bCs/>
              </w:rPr>
              <w:t>Teachers</w:t>
            </w:r>
          </w:p>
        </w:tc>
      </w:tr>
      <w:tr w:rsidR="00943324" w:rsidRPr="00C4630E" w14:paraId="66F348B5" w14:textId="77777777" w:rsidTr="00E26D25">
        <w:tc>
          <w:tcPr>
            <w:tcW w:w="1802" w:type="dxa"/>
          </w:tcPr>
          <w:p w14:paraId="21242C11" w14:textId="7564527F" w:rsidR="00943324" w:rsidRPr="00C4630E" w:rsidRDefault="00943324" w:rsidP="00671524">
            <w:pPr>
              <w:spacing w:before="100" w:beforeAutospacing="1" w:after="100" w:afterAutospacing="1" w:line="360" w:lineRule="auto"/>
              <w:rPr>
                <w:rFonts w:asciiTheme="majorHAnsi" w:hAnsiTheme="majorHAnsi" w:cstheme="majorHAnsi"/>
                <w:b/>
                <w:bCs/>
              </w:rPr>
            </w:pPr>
            <w:r w:rsidRPr="00C4630E">
              <w:rPr>
                <w:rFonts w:asciiTheme="majorHAnsi" w:hAnsiTheme="majorHAnsi" w:cstheme="majorHAnsi"/>
                <w:b/>
                <w:bCs/>
              </w:rPr>
              <w:t>2019 Survey</w:t>
            </w:r>
          </w:p>
        </w:tc>
        <w:tc>
          <w:tcPr>
            <w:tcW w:w="1802" w:type="dxa"/>
          </w:tcPr>
          <w:p w14:paraId="03BB5595" w14:textId="77777777" w:rsidR="00943324" w:rsidRPr="00C4630E" w:rsidRDefault="00943324" w:rsidP="00671524">
            <w:pPr>
              <w:spacing w:before="100" w:beforeAutospacing="1" w:after="100" w:afterAutospacing="1" w:line="360" w:lineRule="auto"/>
              <w:rPr>
                <w:rFonts w:asciiTheme="majorHAnsi" w:hAnsiTheme="majorHAnsi" w:cstheme="majorHAnsi"/>
              </w:rPr>
            </w:pPr>
          </w:p>
        </w:tc>
        <w:tc>
          <w:tcPr>
            <w:tcW w:w="1802" w:type="dxa"/>
          </w:tcPr>
          <w:p w14:paraId="44CEDA98" w14:textId="77777777" w:rsidR="00943324" w:rsidRPr="00C4630E" w:rsidRDefault="00943324" w:rsidP="00671524">
            <w:pPr>
              <w:spacing w:before="100" w:beforeAutospacing="1" w:after="100" w:afterAutospacing="1" w:line="360" w:lineRule="auto"/>
              <w:rPr>
                <w:rFonts w:asciiTheme="majorHAnsi" w:hAnsiTheme="majorHAnsi" w:cstheme="majorHAnsi"/>
              </w:rPr>
            </w:pPr>
          </w:p>
        </w:tc>
        <w:tc>
          <w:tcPr>
            <w:tcW w:w="1802" w:type="dxa"/>
          </w:tcPr>
          <w:p w14:paraId="4EA4CC2A" w14:textId="77777777" w:rsidR="00943324" w:rsidRPr="00C4630E" w:rsidRDefault="00943324" w:rsidP="00671524">
            <w:pPr>
              <w:spacing w:before="100" w:beforeAutospacing="1" w:after="100" w:afterAutospacing="1" w:line="360" w:lineRule="auto"/>
              <w:rPr>
                <w:rFonts w:asciiTheme="majorHAnsi" w:hAnsiTheme="majorHAnsi" w:cstheme="majorHAnsi"/>
              </w:rPr>
            </w:pPr>
          </w:p>
        </w:tc>
        <w:tc>
          <w:tcPr>
            <w:tcW w:w="1802" w:type="dxa"/>
          </w:tcPr>
          <w:p w14:paraId="23394405" w14:textId="77777777" w:rsidR="00943324" w:rsidRPr="00C4630E" w:rsidRDefault="00943324" w:rsidP="00671524">
            <w:pPr>
              <w:spacing w:before="100" w:beforeAutospacing="1" w:after="100" w:afterAutospacing="1" w:line="360" w:lineRule="auto"/>
              <w:rPr>
                <w:rFonts w:asciiTheme="majorHAnsi" w:hAnsiTheme="majorHAnsi" w:cstheme="majorHAnsi"/>
              </w:rPr>
            </w:pPr>
          </w:p>
        </w:tc>
      </w:tr>
      <w:tr w:rsidR="00E3009B" w:rsidRPr="00C4630E" w14:paraId="5BEB79E9" w14:textId="77777777" w:rsidTr="00E26D25">
        <w:tc>
          <w:tcPr>
            <w:tcW w:w="1802" w:type="dxa"/>
          </w:tcPr>
          <w:p w14:paraId="5A2C6EE9" w14:textId="77777777" w:rsidR="00E3009B" w:rsidRPr="00C4630E" w:rsidRDefault="00E3009B" w:rsidP="00671524">
            <w:pPr>
              <w:spacing w:before="100" w:beforeAutospacing="1" w:after="100" w:afterAutospacing="1" w:line="360" w:lineRule="auto"/>
              <w:rPr>
                <w:rFonts w:asciiTheme="majorHAnsi" w:hAnsiTheme="majorHAnsi" w:cstheme="majorHAnsi"/>
                <w:b/>
                <w:bCs/>
              </w:rPr>
            </w:pPr>
            <w:r w:rsidRPr="00C4630E">
              <w:rPr>
                <w:rFonts w:asciiTheme="majorHAnsi" w:hAnsiTheme="majorHAnsi" w:cstheme="majorHAnsi"/>
                <w:b/>
                <w:bCs/>
              </w:rPr>
              <w:t>Used EBEIS</w:t>
            </w:r>
          </w:p>
        </w:tc>
        <w:tc>
          <w:tcPr>
            <w:tcW w:w="1802" w:type="dxa"/>
          </w:tcPr>
          <w:p w14:paraId="75A7B7A2" w14:textId="77777777" w:rsidR="00E3009B" w:rsidRPr="00C4630E" w:rsidRDefault="00E3009B" w:rsidP="00671524">
            <w:pPr>
              <w:spacing w:before="100" w:beforeAutospacing="1" w:after="100" w:afterAutospacing="1" w:line="360" w:lineRule="auto"/>
              <w:rPr>
                <w:rFonts w:asciiTheme="majorHAnsi" w:hAnsiTheme="majorHAnsi" w:cstheme="majorHAnsi"/>
              </w:rPr>
            </w:pPr>
            <w:r w:rsidRPr="00C4630E">
              <w:rPr>
                <w:rFonts w:asciiTheme="majorHAnsi" w:hAnsiTheme="majorHAnsi" w:cstheme="majorHAnsi"/>
              </w:rPr>
              <w:t>62%</w:t>
            </w:r>
          </w:p>
        </w:tc>
        <w:tc>
          <w:tcPr>
            <w:tcW w:w="1802" w:type="dxa"/>
          </w:tcPr>
          <w:p w14:paraId="3E3CBDA2" w14:textId="77777777" w:rsidR="00E3009B" w:rsidRPr="00C4630E" w:rsidRDefault="00E3009B" w:rsidP="00671524">
            <w:pPr>
              <w:spacing w:before="100" w:beforeAutospacing="1" w:after="100" w:afterAutospacing="1" w:line="360" w:lineRule="auto"/>
              <w:rPr>
                <w:rFonts w:asciiTheme="majorHAnsi" w:hAnsiTheme="majorHAnsi" w:cstheme="majorHAnsi"/>
              </w:rPr>
            </w:pPr>
            <w:r w:rsidRPr="00C4630E">
              <w:rPr>
                <w:rFonts w:asciiTheme="majorHAnsi" w:hAnsiTheme="majorHAnsi" w:cstheme="majorHAnsi"/>
              </w:rPr>
              <w:t>51%</w:t>
            </w:r>
          </w:p>
        </w:tc>
        <w:tc>
          <w:tcPr>
            <w:tcW w:w="1802" w:type="dxa"/>
          </w:tcPr>
          <w:p w14:paraId="3B43CC63" w14:textId="77777777" w:rsidR="00E3009B" w:rsidRPr="00C4630E" w:rsidRDefault="00E3009B" w:rsidP="00671524">
            <w:pPr>
              <w:spacing w:before="100" w:beforeAutospacing="1" w:after="100" w:afterAutospacing="1" w:line="360" w:lineRule="auto"/>
              <w:rPr>
                <w:rFonts w:asciiTheme="majorHAnsi" w:hAnsiTheme="majorHAnsi" w:cstheme="majorHAnsi"/>
              </w:rPr>
            </w:pPr>
            <w:r w:rsidRPr="00C4630E">
              <w:rPr>
                <w:rFonts w:asciiTheme="majorHAnsi" w:hAnsiTheme="majorHAnsi" w:cstheme="majorHAnsi"/>
              </w:rPr>
              <w:t>69%</w:t>
            </w:r>
          </w:p>
        </w:tc>
        <w:tc>
          <w:tcPr>
            <w:tcW w:w="1802" w:type="dxa"/>
          </w:tcPr>
          <w:p w14:paraId="3304D851" w14:textId="77777777" w:rsidR="00E3009B" w:rsidRPr="00C4630E" w:rsidRDefault="00E3009B" w:rsidP="00671524">
            <w:pPr>
              <w:spacing w:before="100" w:beforeAutospacing="1" w:after="100" w:afterAutospacing="1" w:line="360" w:lineRule="auto"/>
              <w:rPr>
                <w:rFonts w:asciiTheme="majorHAnsi" w:hAnsiTheme="majorHAnsi" w:cstheme="majorHAnsi"/>
              </w:rPr>
            </w:pPr>
            <w:r w:rsidRPr="00C4630E">
              <w:rPr>
                <w:rFonts w:asciiTheme="majorHAnsi" w:hAnsiTheme="majorHAnsi" w:cstheme="majorHAnsi"/>
              </w:rPr>
              <w:t>44%</w:t>
            </w:r>
          </w:p>
        </w:tc>
      </w:tr>
      <w:tr w:rsidR="00E3009B" w:rsidRPr="00C4630E" w14:paraId="63BF95AA" w14:textId="77777777" w:rsidTr="00E26D25">
        <w:tc>
          <w:tcPr>
            <w:tcW w:w="1802" w:type="dxa"/>
          </w:tcPr>
          <w:p w14:paraId="73B0BB5B" w14:textId="77777777" w:rsidR="00E3009B" w:rsidRPr="00C4630E" w:rsidRDefault="00E3009B" w:rsidP="00671524">
            <w:pPr>
              <w:spacing w:before="100" w:beforeAutospacing="1" w:after="100" w:afterAutospacing="1" w:line="360" w:lineRule="auto"/>
              <w:rPr>
                <w:rFonts w:asciiTheme="majorHAnsi" w:hAnsiTheme="majorHAnsi" w:cstheme="majorHAnsi"/>
                <w:b/>
                <w:bCs/>
              </w:rPr>
            </w:pPr>
            <w:r w:rsidRPr="00C4630E">
              <w:rPr>
                <w:rFonts w:asciiTheme="majorHAnsi" w:hAnsiTheme="majorHAnsi" w:cstheme="majorHAnsi"/>
                <w:b/>
                <w:bCs/>
              </w:rPr>
              <w:t>Used LIS</w:t>
            </w:r>
          </w:p>
        </w:tc>
        <w:tc>
          <w:tcPr>
            <w:tcW w:w="1802" w:type="dxa"/>
          </w:tcPr>
          <w:p w14:paraId="5E10787C" w14:textId="77777777" w:rsidR="00E3009B" w:rsidRPr="00C4630E" w:rsidRDefault="00E3009B" w:rsidP="00671524">
            <w:pPr>
              <w:spacing w:before="100" w:beforeAutospacing="1" w:after="100" w:afterAutospacing="1" w:line="360" w:lineRule="auto"/>
              <w:rPr>
                <w:rFonts w:asciiTheme="majorHAnsi" w:hAnsiTheme="majorHAnsi" w:cstheme="majorHAnsi"/>
              </w:rPr>
            </w:pPr>
            <w:r w:rsidRPr="00C4630E">
              <w:rPr>
                <w:rFonts w:asciiTheme="majorHAnsi" w:hAnsiTheme="majorHAnsi" w:cstheme="majorHAnsi"/>
              </w:rPr>
              <w:t>65%</w:t>
            </w:r>
          </w:p>
        </w:tc>
        <w:tc>
          <w:tcPr>
            <w:tcW w:w="1802" w:type="dxa"/>
          </w:tcPr>
          <w:p w14:paraId="38EB1293" w14:textId="77777777" w:rsidR="00E3009B" w:rsidRPr="00C4630E" w:rsidRDefault="00E3009B" w:rsidP="00671524">
            <w:pPr>
              <w:spacing w:before="100" w:beforeAutospacing="1" w:after="100" w:afterAutospacing="1" w:line="360" w:lineRule="auto"/>
              <w:rPr>
                <w:rFonts w:asciiTheme="majorHAnsi" w:hAnsiTheme="majorHAnsi" w:cstheme="majorHAnsi"/>
              </w:rPr>
            </w:pPr>
            <w:r w:rsidRPr="00C4630E">
              <w:rPr>
                <w:rFonts w:asciiTheme="majorHAnsi" w:hAnsiTheme="majorHAnsi" w:cstheme="majorHAnsi"/>
              </w:rPr>
              <w:t>82%</w:t>
            </w:r>
          </w:p>
        </w:tc>
        <w:tc>
          <w:tcPr>
            <w:tcW w:w="1802" w:type="dxa"/>
          </w:tcPr>
          <w:p w14:paraId="2D346FF7" w14:textId="77777777" w:rsidR="00E3009B" w:rsidRPr="00C4630E" w:rsidRDefault="00E3009B" w:rsidP="00671524">
            <w:pPr>
              <w:spacing w:before="100" w:beforeAutospacing="1" w:after="100" w:afterAutospacing="1" w:line="360" w:lineRule="auto"/>
              <w:rPr>
                <w:rFonts w:asciiTheme="majorHAnsi" w:hAnsiTheme="majorHAnsi" w:cstheme="majorHAnsi"/>
              </w:rPr>
            </w:pPr>
            <w:r w:rsidRPr="00C4630E">
              <w:rPr>
                <w:rFonts w:asciiTheme="majorHAnsi" w:hAnsiTheme="majorHAnsi" w:cstheme="majorHAnsi"/>
              </w:rPr>
              <w:t>77%</w:t>
            </w:r>
          </w:p>
        </w:tc>
        <w:tc>
          <w:tcPr>
            <w:tcW w:w="1802" w:type="dxa"/>
          </w:tcPr>
          <w:p w14:paraId="4FB8130C" w14:textId="77777777" w:rsidR="00E3009B" w:rsidRPr="00C4630E" w:rsidRDefault="00E3009B" w:rsidP="00671524">
            <w:pPr>
              <w:spacing w:before="100" w:beforeAutospacing="1" w:after="100" w:afterAutospacing="1" w:line="360" w:lineRule="auto"/>
              <w:rPr>
                <w:rFonts w:asciiTheme="majorHAnsi" w:hAnsiTheme="majorHAnsi" w:cstheme="majorHAnsi"/>
              </w:rPr>
            </w:pPr>
            <w:r w:rsidRPr="00C4630E">
              <w:rPr>
                <w:rFonts w:asciiTheme="majorHAnsi" w:hAnsiTheme="majorHAnsi" w:cstheme="majorHAnsi"/>
              </w:rPr>
              <w:t>70%</w:t>
            </w:r>
          </w:p>
        </w:tc>
      </w:tr>
      <w:tr w:rsidR="00E3009B" w:rsidRPr="00C4630E" w14:paraId="5FE913AE" w14:textId="77777777" w:rsidTr="00E26D25">
        <w:tc>
          <w:tcPr>
            <w:tcW w:w="1802" w:type="dxa"/>
          </w:tcPr>
          <w:p w14:paraId="47DD8096" w14:textId="77777777" w:rsidR="00E3009B" w:rsidRPr="00C4630E" w:rsidRDefault="00E3009B" w:rsidP="00671524">
            <w:pPr>
              <w:spacing w:before="100" w:beforeAutospacing="1" w:after="100" w:afterAutospacing="1" w:line="360" w:lineRule="auto"/>
              <w:rPr>
                <w:rFonts w:asciiTheme="majorHAnsi" w:hAnsiTheme="majorHAnsi" w:cstheme="majorHAnsi"/>
                <w:b/>
                <w:bCs/>
              </w:rPr>
            </w:pPr>
            <w:r w:rsidRPr="00C4630E">
              <w:rPr>
                <w:rFonts w:asciiTheme="majorHAnsi" w:hAnsiTheme="majorHAnsi" w:cstheme="majorHAnsi"/>
                <w:b/>
                <w:bCs/>
              </w:rPr>
              <w:t>Used LR Portal</w:t>
            </w:r>
          </w:p>
        </w:tc>
        <w:tc>
          <w:tcPr>
            <w:tcW w:w="1802" w:type="dxa"/>
          </w:tcPr>
          <w:p w14:paraId="179ACE91" w14:textId="77777777" w:rsidR="00E3009B" w:rsidRPr="00C4630E" w:rsidRDefault="00E3009B" w:rsidP="00671524">
            <w:pPr>
              <w:spacing w:before="100" w:beforeAutospacing="1" w:after="100" w:afterAutospacing="1" w:line="360" w:lineRule="auto"/>
              <w:rPr>
                <w:rFonts w:asciiTheme="majorHAnsi" w:hAnsiTheme="majorHAnsi" w:cstheme="majorHAnsi"/>
              </w:rPr>
            </w:pPr>
            <w:r w:rsidRPr="00C4630E">
              <w:rPr>
                <w:rFonts w:asciiTheme="majorHAnsi" w:hAnsiTheme="majorHAnsi" w:cstheme="majorHAnsi"/>
              </w:rPr>
              <w:t>65%</w:t>
            </w:r>
          </w:p>
        </w:tc>
        <w:tc>
          <w:tcPr>
            <w:tcW w:w="1802" w:type="dxa"/>
          </w:tcPr>
          <w:p w14:paraId="28F33C83" w14:textId="77777777" w:rsidR="00E3009B" w:rsidRPr="00C4630E" w:rsidRDefault="00E3009B" w:rsidP="00671524">
            <w:pPr>
              <w:spacing w:before="100" w:beforeAutospacing="1" w:after="100" w:afterAutospacing="1" w:line="360" w:lineRule="auto"/>
              <w:rPr>
                <w:rFonts w:asciiTheme="majorHAnsi" w:hAnsiTheme="majorHAnsi" w:cstheme="majorHAnsi"/>
              </w:rPr>
            </w:pPr>
            <w:r w:rsidRPr="00C4630E">
              <w:rPr>
                <w:rFonts w:asciiTheme="majorHAnsi" w:hAnsiTheme="majorHAnsi" w:cstheme="majorHAnsi"/>
              </w:rPr>
              <w:t>65%</w:t>
            </w:r>
          </w:p>
        </w:tc>
        <w:tc>
          <w:tcPr>
            <w:tcW w:w="1802" w:type="dxa"/>
          </w:tcPr>
          <w:p w14:paraId="16652B09" w14:textId="77777777" w:rsidR="00E3009B" w:rsidRPr="00C4630E" w:rsidRDefault="00E3009B" w:rsidP="00671524">
            <w:pPr>
              <w:spacing w:before="100" w:beforeAutospacing="1" w:after="100" w:afterAutospacing="1" w:line="360" w:lineRule="auto"/>
              <w:rPr>
                <w:rFonts w:asciiTheme="majorHAnsi" w:hAnsiTheme="majorHAnsi" w:cstheme="majorHAnsi"/>
              </w:rPr>
            </w:pPr>
            <w:r w:rsidRPr="00C4630E">
              <w:rPr>
                <w:rFonts w:asciiTheme="majorHAnsi" w:hAnsiTheme="majorHAnsi" w:cstheme="majorHAnsi"/>
              </w:rPr>
              <w:t>54%</w:t>
            </w:r>
          </w:p>
        </w:tc>
        <w:tc>
          <w:tcPr>
            <w:tcW w:w="1802" w:type="dxa"/>
          </w:tcPr>
          <w:p w14:paraId="4230A9A6" w14:textId="77777777" w:rsidR="00E3009B" w:rsidRPr="00C4630E" w:rsidRDefault="00E3009B" w:rsidP="00671524">
            <w:pPr>
              <w:spacing w:before="100" w:beforeAutospacing="1" w:after="100" w:afterAutospacing="1" w:line="360" w:lineRule="auto"/>
              <w:rPr>
                <w:rFonts w:asciiTheme="majorHAnsi" w:hAnsiTheme="majorHAnsi" w:cstheme="majorHAnsi"/>
              </w:rPr>
            </w:pPr>
            <w:r w:rsidRPr="00C4630E">
              <w:rPr>
                <w:rFonts w:asciiTheme="majorHAnsi" w:hAnsiTheme="majorHAnsi" w:cstheme="majorHAnsi"/>
              </w:rPr>
              <w:t>52%</w:t>
            </w:r>
          </w:p>
        </w:tc>
      </w:tr>
      <w:tr w:rsidR="00943324" w:rsidRPr="00C4630E" w14:paraId="13F5B850" w14:textId="77777777" w:rsidTr="00E26D25">
        <w:tc>
          <w:tcPr>
            <w:tcW w:w="1802" w:type="dxa"/>
          </w:tcPr>
          <w:p w14:paraId="1DDE4E02" w14:textId="2C29477F" w:rsidR="00943324" w:rsidRPr="00C4630E" w:rsidRDefault="00943324" w:rsidP="00671524">
            <w:pPr>
              <w:spacing w:before="100" w:beforeAutospacing="1" w:after="100" w:afterAutospacing="1" w:line="360" w:lineRule="auto"/>
              <w:rPr>
                <w:rFonts w:asciiTheme="majorHAnsi" w:hAnsiTheme="majorHAnsi" w:cstheme="majorHAnsi"/>
                <w:b/>
                <w:bCs/>
              </w:rPr>
            </w:pPr>
            <w:r>
              <w:rPr>
                <w:rFonts w:asciiTheme="majorHAnsi" w:hAnsiTheme="majorHAnsi" w:cstheme="majorHAnsi"/>
                <w:b/>
                <w:bCs/>
              </w:rPr>
              <w:t>2020 Survey</w:t>
            </w:r>
          </w:p>
        </w:tc>
        <w:tc>
          <w:tcPr>
            <w:tcW w:w="1802" w:type="dxa"/>
          </w:tcPr>
          <w:p w14:paraId="746363D6" w14:textId="77777777" w:rsidR="00943324" w:rsidRPr="00C4630E" w:rsidRDefault="00943324" w:rsidP="00671524">
            <w:pPr>
              <w:spacing w:before="100" w:beforeAutospacing="1" w:after="100" w:afterAutospacing="1" w:line="360" w:lineRule="auto"/>
              <w:rPr>
                <w:rFonts w:asciiTheme="majorHAnsi" w:hAnsiTheme="majorHAnsi" w:cstheme="majorHAnsi"/>
              </w:rPr>
            </w:pPr>
          </w:p>
        </w:tc>
        <w:tc>
          <w:tcPr>
            <w:tcW w:w="1802" w:type="dxa"/>
          </w:tcPr>
          <w:p w14:paraId="23FA0307" w14:textId="77777777" w:rsidR="00943324" w:rsidRPr="00C4630E" w:rsidRDefault="00943324" w:rsidP="00671524">
            <w:pPr>
              <w:spacing w:before="100" w:beforeAutospacing="1" w:after="100" w:afterAutospacing="1" w:line="360" w:lineRule="auto"/>
              <w:rPr>
                <w:rFonts w:asciiTheme="majorHAnsi" w:hAnsiTheme="majorHAnsi" w:cstheme="majorHAnsi"/>
              </w:rPr>
            </w:pPr>
          </w:p>
        </w:tc>
        <w:tc>
          <w:tcPr>
            <w:tcW w:w="1802" w:type="dxa"/>
          </w:tcPr>
          <w:p w14:paraId="4952E7CD" w14:textId="77777777" w:rsidR="00943324" w:rsidRPr="00C4630E" w:rsidRDefault="00943324" w:rsidP="00671524">
            <w:pPr>
              <w:spacing w:before="100" w:beforeAutospacing="1" w:after="100" w:afterAutospacing="1" w:line="360" w:lineRule="auto"/>
              <w:rPr>
                <w:rFonts w:asciiTheme="majorHAnsi" w:hAnsiTheme="majorHAnsi" w:cstheme="majorHAnsi"/>
              </w:rPr>
            </w:pPr>
          </w:p>
        </w:tc>
        <w:tc>
          <w:tcPr>
            <w:tcW w:w="1802" w:type="dxa"/>
          </w:tcPr>
          <w:p w14:paraId="0C938F86" w14:textId="77777777" w:rsidR="00943324" w:rsidRPr="00C4630E" w:rsidRDefault="00943324" w:rsidP="00671524">
            <w:pPr>
              <w:spacing w:before="100" w:beforeAutospacing="1" w:after="100" w:afterAutospacing="1" w:line="360" w:lineRule="auto"/>
              <w:rPr>
                <w:rFonts w:asciiTheme="majorHAnsi" w:hAnsiTheme="majorHAnsi" w:cstheme="majorHAnsi"/>
              </w:rPr>
            </w:pPr>
          </w:p>
        </w:tc>
      </w:tr>
      <w:tr w:rsidR="00E3009B" w:rsidRPr="00C4630E" w14:paraId="31463BA1" w14:textId="77777777" w:rsidTr="00E26D25">
        <w:tc>
          <w:tcPr>
            <w:tcW w:w="1802" w:type="dxa"/>
          </w:tcPr>
          <w:p w14:paraId="44F2D04D" w14:textId="77777777" w:rsidR="00E3009B" w:rsidRPr="00C4630E" w:rsidRDefault="00E3009B" w:rsidP="00671524">
            <w:pPr>
              <w:spacing w:before="100" w:beforeAutospacing="1" w:after="100" w:afterAutospacing="1" w:line="360" w:lineRule="auto"/>
              <w:rPr>
                <w:rFonts w:asciiTheme="majorHAnsi" w:hAnsiTheme="majorHAnsi" w:cstheme="majorHAnsi"/>
                <w:b/>
                <w:bCs/>
              </w:rPr>
            </w:pPr>
            <w:r w:rsidRPr="00C4630E">
              <w:rPr>
                <w:rFonts w:asciiTheme="majorHAnsi" w:hAnsiTheme="majorHAnsi" w:cstheme="majorHAnsi"/>
                <w:b/>
                <w:bCs/>
              </w:rPr>
              <w:t>Used EBEIS</w:t>
            </w:r>
          </w:p>
        </w:tc>
        <w:tc>
          <w:tcPr>
            <w:tcW w:w="1802" w:type="dxa"/>
          </w:tcPr>
          <w:p w14:paraId="322DE773" w14:textId="77777777" w:rsidR="00E3009B" w:rsidRPr="00C4630E" w:rsidRDefault="00E3009B" w:rsidP="00671524">
            <w:pPr>
              <w:spacing w:before="100" w:beforeAutospacing="1" w:after="100" w:afterAutospacing="1" w:line="360" w:lineRule="auto"/>
              <w:rPr>
                <w:rFonts w:asciiTheme="majorHAnsi" w:hAnsiTheme="majorHAnsi" w:cstheme="majorHAnsi"/>
              </w:rPr>
            </w:pPr>
            <w:r w:rsidRPr="00C4630E">
              <w:rPr>
                <w:rFonts w:asciiTheme="majorHAnsi" w:hAnsiTheme="majorHAnsi" w:cstheme="majorHAnsi"/>
              </w:rPr>
              <w:t>80%</w:t>
            </w:r>
          </w:p>
        </w:tc>
        <w:tc>
          <w:tcPr>
            <w:tcW w:w="1802" w:type="dxa"/>
          </w:tcPr>
          <w:p w14:paraId="2614F993" w14:textId="77777777" w:rsidR="00E3009B" w:rsidRPr="00C4630E" w:rsidRDefault="00E3009B" w:rsidP="00671524">
            <w:pPr>
              <w:spacing w:before="100" w:beforeAutospacing="1" w:after="100" w:afterAutospacing="1" w:line="360" w:lineRule="auto"/>
              <w:rPr>
                <w:rFonts w:asciiTheme="majorHAnsi" w:hAnsiTheme="majorHAnsi" w:cstheme="majorHAnsi"/>
              </w:rPr>
            </w:pPr>
            <w:r w:rsidRPr="00C4630E">
              <w:rPr>
                <w:rFonts w:asciiTheme="majorHAnsi" w:hAnsiTheme="majorHAnsi" w:cstheme="majorHAnsi"/>
              </w:rPr>
              <w:t>100%</w:t>
            </w:r>
          </w:p>
        </w:tc>
        <w:tc>
          <w:tcPr>
            <w:tcW w:w="1802" w:type="dxa"/>
          </w:tcPr>
          <w:p w14:paraId="0DB74B3B" w14:textId="77777777" w:rsidR="00E3009B" w:rsidRPr="00C4630E" w:rsidRDefault="00E3009B" w:rsidP="00671524">
            <w:pPr>
              <w:spacing w:before="100" w:beforeAutospacing="1" w:after="100" w:afterAutospacing="1" w:line="360" w:lineRule="auto"/>
              <w:rPr>
                <w:rFonts w:asciiTheme="majorHAnsi" w:hAnsiTheme="majorHAnsi" w:cstheme="majorHAnsi"/>
              </w:rPr>
            </w:pPr>
          </w:p>
        </w:tc>
        <w:tc>
          <w:tcPr>
            <w:tcW w:w="1802" w:type="dxa"/>
          </w:tcPr>
          <w:p w14:paraId="4BCDCD35" w14:textId="77777777" w:rsidR="00E3009B" w:rsidRPr="00C4630E" w:rsidRDefault="00E3009B" w:rsidP="00671524">
            <w:pPr>
              <w:spacing w:before="100" w:beforeAutospacing="1" w:after="100" w:afterAutospacing="1" w:line="360" w:lineRule="auto"/>
              <w:rPr>
                <w:rFonts w:asciiTheme="majorHAnsi" w:hAnsiTheme="majorHAnsi" w:cstheme="majorHAnsi"/>
              </w:rPr>
            </w:pPr>
          </w:p>
        </w:tc>
      </w:tr>
      <w:tr w:rsidR="00E3009B" w:rsidRPr="00C4630E" w14:paraId="2D9BA6E7" w14:textId="77777777" w:rsidTr="00E26D25">
        <w:tc>
          <w:tcPr>
            <w:tcW w:w="1802" w:type="dxa"/>
          </w:tcPr>
          <w:p w14:paraId="6E6A4D00" w14:textId="77777777" w:rsidR="00E3009B" w:rsidRPr="00C4630E" w:rsidRDefault="00E3009B" w:rsidP="00671524">
            <w:pPr>
              <w:spacing w:before="100" w:beforeAutospacing="1" w:after="100" w:afterAutospacing="1" w:line="360" w:lineRule="auto"/>
              <w:rPr>
                <w:rFonts w:asciiTheme="majorHAnsi" w:hAnsiTheme="majorHAnsi" w:cstheme="majorHAnsi"/>
                <w:b/>
                <w:bCs/>
              </w:rPr>
            </w:pPr>
            <w:r w:rsidRPr="00C4630E">
              <w:rPr>
                <w:rFonts w:asciiTheme="majorHAnsi" w:hAnsiTheme="majorHAnsi" w:cstheme="majorHAnsi"/>
                <w:b/>
                <w:bCs/>
              </w:rPr>
              <w:t>Used LIS</w:t>
            </w:r>
          </w:p>
        </w:tc>
        <w:tc>
          <w:tcPr>
            <w:tcW w:w="1802" w:type="dxa"/>
          </w:tcPr>
          <w:p w14:paraId="7F18FE12" w14:textId="77777777" w:rsidR="00E3009B" w:rsidRPr="00C4630E" w:rsidRDefault="00E3009B" w:rsidP="00671524">
            <w:pPr>
              <w:spacing w:before="100" w:beforeAutospacing="1" w:after="100" w:afterAutospacing="1" w:line="360" w:lineRule="auto"/>
              <w:rPr>
                <w:rFonts w:asciiTheme="majorHAnsi" w:hAnsiTheme="majorHAnsi" w:cstheme="majorHAnsi"/>
              </w:rPr>
            </w:pPr>
            <w:r w:rsidRPr="00C4630E">
              <w:rPr>
                <w:rFonts w:asciiTheme="majorHAnsi" w:hAnsiTheme="majorHAnsi" w:cstheme="majorHAnsi"/>
              </w:rPr>
              <w:t>100%</w:t>
            </w:r>
          </w:p>
        </w:tc>
        <w:tc>
          <w:tcPr>
            <w:tcW w:w="1802" w:type="dxa"/>
          </w:tcPr>
          <w:p w14:paraId="7CD7E927" w14:textId="77777777" w:rsidR="00E3009B" w:rsidRPr="00C4630E" w:rsidRDefault="00E3009B" w:rsidP="00671524">
            <w:pPr>
              <w:spacing w:before="100" w:beforeAutospacing="1" w:after="100" w:afterAutospacing="1" w:line="360" w:lineRule="auto"/>
              <w:rPr>
                <w:rFonts w:asciiTheme="majorHAnsi" w:hAnsiTheme="majorHAnsi" w:cstheme="majorHAnsi"/>
              </w:rPr>
            </w:pPr>
            <w:r w:rsidRPr="00C4630E">
              <w:rPr>
                <w:rFonts w:asciiTheme="majorHAnsi" w:hAnsiTheme="majorHAnsi" w:cstheme="majorHAnsi"/>
              </w:rPr>
              <w:t>100%</w:t>
            </w:r>
          </w:p>
        </w:tc>
        <w:tc>
          <w:tcPr>
            <w:tcW w:w="1802" w:type="dxa"/>
          </w:tcPr>
          <w:p w14:paraId="02187DAD" w14:textId="77777777" w:rsidR="00E3009B" w:rsidRPr="00C4630E" w:rsidRDefault="00E3009B" w:rsidP="00671524">
            <w:pPr>
              <w:spacing w:before="100" w:beforeAutospacing="1" w:after="100" w:afterAutospacing="1" w:line="360" w:lineRule="auto"/>
              <w:rPr>
                <w:rFonts w:asciiTheme="majorHAnsi" w:hAnsiTheme="majorHAnsi" w:cstheme="majorHAnsi"/>
              </w:rPr>
            </w:pPr>
          </w:p>
        </w:tc>
        <w:tc>
          <w:tcPr>
            <w:tcW w:w="1802" w:type="dxa"/>
          </w:tcPr>
          <w:p w14:paraId="0099F6BF" w14:textId="77777777" w:rsidR="00E3009B" w:rsidRPr="00C4630E" w:rsidRDefault="00E3009B" w:rsidP="00671524">
            <w:pPr>
              <w:spacing w:before="100" w:beforeAutospacing="1" w:after="100" w:afterAutospacing="1" w:line="360" w:lineRule="auto"/>
              <w:rPr>
                <w:rFonts w:asciiTheme="majorHAnsi" w:hAnsiTheme="majorHAnsi" w:cstheme="majorHAnsi"/>
              </w:rPr>
            </w:pPr>
          </w:p>
        </w:tc>
      </w:tr>
      <w:tr w:rsidR="00E3009B" w:rsidRPr="00C4630E" w14:paraId="5E8D4DA0" w14:textId="77777777" w:rsidTr="00E26D25">
        <w:tc>
          <w:tcPr>
            <w:tcW w:w="1802" w:type="dxa"/>
          </w:tcPr>
          <w:p w14:paraId="475EA828" w14:textId="77777777" w:rsidR="00E3009B" w:rsidRPr="00C4630E" w:rsidRDefault="00E3009B" w:rsidP="00671524">
            <w:pPr>
              <w:spacing w:before="100" w:beforeAutospacing="1" w:after="100" w:afterAutospacing="1" w:line="360" w:lineRule="auto"/>
              <w:rPr>
                <w:rFonts w:asciiTheme="majorHAnsi" w:hAnsiTheme="majorHAnsi" w:cstheme="majorHAnsi"/>
                <w:b/>
                <w:bCs/>
              </w:rPr>
            </w:pPr>
            <w:r w:rsidRPr="00C4630E">
              <w:rPr>
                <w:rFonts w:asciiTheme="majorHAnsi" w:hAnsiTheme="majorHAnsi" w:cstheme="majorHAnsi"/>
                <w:b/>
                <w:bCs/>
              </w:rPr>
              <w:t>Used LR Portal</w:t>
            </w:r>
          </w:p>
        </w:tc>
        <w:tc>
          <w:tcPr>
            <w:tcW w:w="1802" w:type="dxa"/>
          </w:tcPr>
          <w:p w14:paraId="1565CEBA" w14:textId="77777777" w:rsidR="00E3009B" w:rsidRPr="00C4630E" w:rsidRDefault="00E3009B" w:rsidP="00671524">
            <w:pPr>
              <w:spacing w:before="100" w:beforeAutospacing="1" w:after="100" w:afterAutospacing="1" w:line="360" w:lineRule="auto"/>
              <w:rPr>
                <w:rFonts w:asciiTheme="majorHAnsi" w:hAnsiTheme="majorHAnsi" w:cstheme="majorHAnsi"/>
              </w:rPr>
            </w:pPr>
            <w:r w:rsidRPr="00C4630E">
              <w:rPr>
                <w:rFonts w:asciiTheme="majorHAnsi" w:hAnsiTheme="majorHAnsi" w:cstheme="majorHAnsi"/>
              </w:rPr>
              <w:t>80%</w:t>
            </w:r>
          </w:p>
        </w:tc>
        <w:tc>
          <w:tcPr>
            <w:tcW w:w="1802" w:type="dxa"/>
          </w:tcPr>
          <w:p w14:paraId="7DB87C99" w14:textId="77777777" w:rsidR="00E3009B" w:rsidRPr="00C4630E" w:rsidRDefault="00E3009B" w:rsidP="00671524">
            <w:pPr>
              <w:spacing w:before="100" w:beforeAutospacing="1" w:after="100" w:afterAutospacing="1" w:line="360" w:lineRule="auto"/>
              <w:rPr>
                <w:rFonts w:asciiTheme="majorHAnsi" w:hAnsiTheme="majorHAnsi" w:cstheme="majorHAnsi"/>
              </w:rPr>
            </w:pPr>
            <w:r w:rsidRPr="00C4630E">
              <w:rPr>
                <w:rFonts w:asciiTheme="majorHAnsi" w:hAnsiTheme="majorHAnsi" w:cstheme="majorHAnsi"/>
              </w:rPr>
              <w:t>80%</w:t>
            </w:r>
          </w:p>
        </w:tc>
        <w:tc>
          <w:tcPr>
            <w:tcW w:w="1802" w:type="dxa"/>
          </w:tcPr>
          <w:p w14:paraId="29910147" w14:textId="77777777" w:rsidR="00E3009B" w:rsidRPr="00C4630E" w:rsidRDefault="00E3009B" w:rsidP="00671524">
            <w:pPr>
              <w:spacing w:before="100" w:beforeAutospacing="1" w:after="100" w:afterAutospacing="1" w:line="360" w:lineRule="auto"/>
              <w:rPr>
                <w:rFonts w:asciiTheme="majorHAnsi" w:hAnsiTheme="majorHAnsi" w:cstheme="majorHAnsi"/>
              </w:rPr>
            </w:pPr>
          </w:p>
        </w:tc>
        <w:tc>
          <w:tcPr>
            <w:tcW w:w="1802" w:type="dxa"/>
          </w:tcPr>
          <w:p w14:paraId="3AEAD8D6" w14:textId="77777777" w:rsidR="00E3009B" w:rsidRPr="00C4630E" w:rsidRDefault="00E3009B" w:rsidP="00671524">
            <w:pPr>
              <w:spacing w:before="100" w:beforeAutospacing="1" w:after="100" w:afterAutospacing="1" w:line="360" w:lineRule="auto"/>
              <w:rPr>
                <w:rFonts w:asciiTheme="majorHAnsi" w:hAnsiTheme="majorHAnsi" w:cstheme="majorHAnsi"/>
              </w:rPr>
            </w:pPr>
          </w:p>
        </w:tc>
      </w:tr>
    </w:tbl>
    <w:p w14:paraId="6DE7E2B1" w14:textId="77777777" w:rsidR="008D0CAD" w:rsidRPr="002339E6" w:rsidRDefault="008D0CAD" w:rsidP="00671524">
      <w:pPr>
        <w:spacing w:before="100" w:beforeAutospacing="1" w:after="100" w:afterAutospacing="1" w:line="360" w:lineRule="auto"/>
        <w:rPr>
          <w:rFonts w:asciiTheme="majorHAnsi" w:eastAsia="Garamond" w:hAnsiTheme="majorHAnsi" w:cstheme="majorHAnsi"/>
          <w:i/>
          <w:iCs/>
          <w:color w:val="000000" w:themeColor="text1"/>
          <w:sz w:val="14"/>
          <w:szCs w:val="14"/>
        </w:rPr>
      </w:pPr>
      <w:r w:rsidRPr="002339E6">
        <w:rPr>
          <w:rFonts w:asciiTheme="majorHAnsi" w:eastAsia="Garamond" w:hAnsiTheme="majorHAnsi" w:cstheme="majorHAnsi"/>
          <w:i/>
          <w:iCs/>
          <w:color w:val="000000" w:themeColor="text1"/>
          <w:sz w:val="14"/>
          <w:szCs w:val="14"/>
        </w:rPr>
        <w:t>Source: 2019 and 2020 Survey of Principals and Teachers</w:t>
      </w:r>
    </w:p>
    <w:p w14:paraId="73F08BE5" w14:textId="7B39F7E9" w:rsidR="008B6563" w:rsidRPr="002339E6" w:rsidRDefault="008D0CAD" w:rsidP="00671524">
      <w:pPr>
        <w:spacing w:before="100" w:beforeAutospacing="1" w:after="100" w:afterAutospacing="1" w:line="360" w:lineRule="auto"/>
        <w:rPr>
          <w:rFonts w:asciiTheme="majorHAnsi" w:hAnsiTheme="majorHAnsi" w:cstheme="majorHAnsi"/>
        </w:rPr>
      </w:pPr>
      <w:r>
        <w:rPr>
          <w:rFonts w:asciiTheme="majorHAnsi" w:hAnsiTheme="majorHAnsi" w:cstheme="majorHAnsi"/>
          <w:color w:val="000000" w:themeColor="text1"/>
        </w:rPr>
        <w:t xml:space="preserve">Respondents assessed the UISS in terms of three criteria: Ease of access; user-friendliness; and </w:t>
      </w:r>
      <w:r w:rsidRPr="00D3469C">
        <w:rPr>
          <w:rFonts w:asciiTheme="majorHAnsi" w:hAnsiTheme="majorHAnsi" w:cstheme="majorHAnsi"/>
          <w:color w:val="000000" w:themeColor="text1"/>
        </w:rPr>
        <w:t>usefulness and contributions.</w:t>
      </w:r>
      <w:r w:rsidR="00D434EB">
        <w:rPr>
          <w:rFonts w:asciiTheme="majorHAnsi" w:hAnsiTheme="majorHAnsi" w:cstheme="majorHAnsi"/>
          <w:color w:val="000000" w:themeColor="text1"/>
        </w:rPr>
        <w:t xml:space="preserve"> </w:t>
      </w:r>
      <w:r w:rsidRPr="00D3469C">
        <w:rPr>
          <w:rFonts w:asciiTheme="majorHAnsi" w:hAnsiTheme="majorHAnsi" w:cstheme="majorHAnsi"/>
          <w:color w:val="000000" w:themeColor="text1"/>
        </w:rPr>
        <w:t>The highest rated feature of the systems their “Usefulness” (Table 3</w:t>
      </w:r>
      <w:r>
        <w:rPr>
          <w:rFonts w:asciiTheme="majorHAnsi" w:hAnsiTheme="majorHAnsi" w:cstheme="majorHAnsi"/>
          <w:color w:val="000000" w:themeColor="text1"/>
        </w:rPr>
        <w:t>9</w:t>
      </w:r>
      <w:r w:rsidRPr="00D3469C">
        <w:rPr>
          <w:rFonts w:asciiTheme="majorHAnsi" w:hAnsiTheme="majorHAnsi" w:cstheme="majorHAnsi"/>
          <w:color w:val="000000" w:themeColor="text1"/>
        </w:rPr>
        <w:t>).</w:t>
      </w:r>
      <w:r w:rsidR="00D434EB">
        <w:rPr>
          <w:rFonts w:asciiTheme="majorHAnsi" w:hAnsiTheme="majorHAnsi" w:cstheme="majorHAnsi"/>
          <w:color w:val="000000" w:themeColor="text1"/>
        </w:rPr>
        <w:t xml:space="preserve"> </w:t>
      </w:r>
      <w:r w:rsidRPr="00D3469C">
        <w:rPr>
          <w:rFonts w:asciiTheme="majorHAnsi" w:hAnsiTheme="majorHAnsi" w:cstheme="majorHAnsi"/>
          <w:color w:val="000000" w:themeColor="text1"/>
        </w:rPr>
        <w:t xml:space="preserve">Of </w:t>
      </w:r>
      <w:r>
        <w:rPr>
          <w:rFonts w:asciiTheme="majorHAnsi" w:hAnsiTheme="majorHAnsi" w:cstheme="majorHAnsi"/>
          <w:color w:val="000000"/>
        </w:rPr>
        <w:t xml:space="preserve">the three </w:t>
      </w:r>
      <w:r w:rsidRPr="00612A36">
        <w:rPr>
          <w:rFonts w:asciiTheme="majorHAnsi" w:hAnsiTheme="majorHAnsi" w:cstheme="majorHAnsi"/>
          <w:color w:val="000000" w:themeColor="text1"/>
        </w:rPr>
        <w:t xml:space="preserve">sub-systems, LIS had the highest usefulness rating while the LR Portal </w:t>
      </w:r>
      <w:r>
        <w:rPr>
          <w:rFonts w:asciiTheme="majorHAnsi" w:hAnsiTheme="majorHAnsi" w:cstheme="majorHAnsi"/>
          <w:color w:val="000000" w:themeColor="text1"/>
        </w:rPr>
        <w:t>was rated</w:t>
      </w:r>
      <w:r w:rsidRPr="00612A36">
        <w:rPr>
          <w:rFonts w:asciiTheme="majorHAnsi" w:hAnsiTheme="majorHAnsi" w:cstheme="majorHAnsi"/>
          <w:color w:val="000000" w:themeColor="text1"/>
        </w:rPr>
        <w:t xml:space="preserve"> lowest. </w:t>
      </w:r>
      <w:r>
        <w:rPr>
          <w:rFonts w:asciiTheme="majorHAnsi" w:hAnsiTheme="majorHAnsi" w:cstheme="majorHAnsi"/>
        </w:rPr>
        <w:t xml:space="preserve">These survey results paralleled the </w:t>
      </w:r>
      <w:r w:rsidRPr="00FD7269">
        <w:rPr>
          <w:rFonts w:asciiTheme="majorHAnsi" w:hAnsiTheme="majorHAnsi" w:cstheme="majorHAnsi"/>
        </w:rPr>
        <w:t>qualitative responses in the FGDs</w:t>
      </w:r>
      <w:r>
        <w:rPr>
          <w:rFonts w:asciiTheme="majorHAnsi" w:hAnsiTheme="majorHAnsi" w:cstheme="majorHAnsi"/>
        </w:rPr>
        <w:t xml:space="preserve"> with teachers</w:t>
      </w:r>
      <w:r w:rsidRPr="00FD7269">
        <w:rPr>
          <w:rFonts w:asciiTheme="majorHAnsi" w:hAnsiTheme="majorHAnsi" w:cstheme="majorHAnsi"/>
        </w:rPr>
        <w:t>.</w:t>
      </w:r>
    </w:p>
    <w:p w14:paraId="6E33CA19" w14:textId="1E814E04" w:rsidR="00C4630E" w:rsidRPr="004A657A" w:rsidRDefault="008D0CAD" w:rsidP="00671524">
      <w:pPr>
        <w:pStyle w:val="Caption"/>
        <w:spacing w:before="100" w:beforeAutospacing="1" w:after="100" w:afterAutospacing="1" w:line="360" w:lineRule="auto"/>
        <w:rPr>
          <w:rFonts w:asciiTheme="majorHAnsi" w:hAnsiTheme="majorHAnsi" w:cstheme="majorHAnsi"/>
          <w:sz w:val="22"/>
          <w:szCs w:val="22"/>
        </w:rPr>
      </w:pPr>
      <w:bookmarkStart w:id="162" w:name="_Toc71616625"/>
      <w:r w:rsidRPr="004A657A">
        <w:rPr>
          <w:rFonts w:asciiTheme="majorHAnsi" w:hAnsiTheme="majorHAnsi" w:cstheme="majorHAnsi"/>
          <w:sz w:val="22"/>
          <w:szCs w:val="22"/>
        </w:rPr>
        <w:t xml:space="preserve">Table </w:t>
      </w:r>
      <w:r w:rsidRPr="004A657A">
        <w:rPr>
          <w:rFonts w:asciiTheme="majorHAnsi" w:hAnsiTheme="majorHAnsi" w:cstheme="majorHAnsi"/>
          <w:sz w:val="22"/>
          <w:szCs w:val="22"/>
        </w:rPr>
        <w:fldChar w:fldCharType="begin"/>
      </w:r>
      <w:r w:rsidRPr="004A657A">
        <w:rPr>
          <w:rFonts w:asciiTheme="majorHAnsi" w:hAnsiTheme="majorHAnsi" w:cstheme="majorHAnsi"/>
          <w:sz w:val="22"/>
          <w:szCs w:val="22"/>
        </w:rPr>
        <w:instrText xml:space="preserve"> SEQ Table \* ARABIC </w:instrText>
      </w:r>
      <w:r w:rsidRPr="004A657A">
        <w:rPr>
          <w:rFonts w:asciiTheme="majorHAnsi" w:hAnsiTheme="majorHAnsi" w:cstheme="majorHAnsi"/>
          <w:sz w:val="22"/>
          <w:szCs w:val="22"/>
        </w:rPr>
        <w:fldChar w:fldCharType="separate"/>
      </w:r>
      <w:r w:rsidR="00D6133D">
        <w:rPr>
          <w:rFonts w:asciiTheme="majorHAnsi" w:hAnsiTheme="majorHAnsi" w:cstheme="majorHAnsi"/>
          <w:noProof/>
          <w:sz w:val="22"/>
          <w:szCs w:val="22"/>
        </w:rPr>
        <w:t>34</w:t>
      </w:r>
      <w:r w:rsidRPr="004A657A">
        <w:rPr>
          <w:rFonts w:asciiTheme="majorHAnsi" w:hAnsiTheme="majorHAnsi" w:cstheme="majorHAnsi"/>
          <w:sz w:val="22"/>
          <w:szCs w:val="22"/>
        </w:rPr>
        <w:fldChar w:fldCharType="end"/>
      </w:r>
      <w:r w:rsidRPr="004A657A">
        <w:rPr>
          <w:rFonts w:asciiTheme="majorHAnsi" w:hAnsiTheme="majorHAnsi" w:cstheme="majorHAnsi"/>
          <w:sz w:val="22"/>
          <w:szCs w:val="22"/>
        </w:rPr>
        <w:t>. Assessment of UIS Sub-systems by School-level users</w:t>
      </w:r>
      <w:bookmarkEnd w:id="162"/>
    </w:p>
    <w:tbl>
      <w:tblPr>
        <w:tblStyle w:val="TableGrid"/>
        <w:tblW w:w="0" w:type="auto"/>
        <w:tblLook w:val="04A0" w:firstRow="1" w:lastRow="0" w:firstColumn="1" w:lastColumn="0" w:noHBand="0" w:noVBand="1"/>
      </w:tblPr>
      <w:tblGrid>
        <w:gridCol w:w="4980"/>
        <w:gridCol w:w="829"/>
        <w:gridCol w:w="1160"/>
        <w:gridCol w:w="844"/>
        <w:gridCol w:w="1162"/>
      </w:tblGrid>
      <w:tr w:rsidR="00DA2761" w:rsidRPr="008B6563" w14:paraId="5A2A4CD9" w14:textId="77777777" w:rsidTr="00F4751F">
        <w:trPr>
          <w:trHeight w:val="304"/>
          <w:tblHeader/>
        </w:trPr>
        <w:tc>
          <w:tcPr>
            <w:tcW w:w="4980" w:type="dxa"/>
          </w:tcPr>
          <w:p w14:paraId="2965875B" w14:textId="77777777" w:rsidR="00DA2761" w:rsidRPr="008B6563" w:rsidRDefault="00DA2761" w:rsidP="00DA2761">
            <w:pPr>
              <w:spacing w:before="100" w:beforeAutospacing="1" w:after="100" w:afterAutospacing="1" w:line="360" w:lineRule="auto"/>
              <w:rPr>
                <w:rFonts w:asciiTheme="majorHAnsi" w:hAnsiTheme="majorHAnsi" w:cstheme="majorHAnsi"/>
                <w:sz w:val="22"/>
                <w:szCs w:val="22"/>
              </w:rPr>
            </w:pPr>
          </w:p>
        </w:tc>
        <w:tc>
          <w:tcPr>
            <w:tcW w:w="829" w:type="dxa"/>
          </w:tcPr>
          <w:p w14:paraId="37067B63" w14:textId="402C63E9" w:rsidR="00DA2761" w:rsidRPr="008B6563" w:rsidRDefault="00DA2761" w:rsidP="00DA2761">
            <w:pPr>
              <w:spacing w:before="100" w:beforeAutospacing="1" w:after="100" w:afterAutospacing="1" w:line="360" w:lineRule="auto"/>
              <w:rPr>
                <w:rFonts w:asciiTheme="majorHAnsi" w:hAnsiTheme="majorHAnsi" w:cstheme="majorHAnsi"/>
                <w:b/>
                <w:bCs/>
                <w:sz w:val="22"/>
                <w:szCs w:val="22"/>
              </w:rPr>
            </w:pPr>
            <w:r>
              <w:rPr>
                <w:rFonts w:asciiTheme="majorHAnsi" w:hAnsiTheme="majorHAnsi" w:cstheme="majorHAnsi"/>
                <w:b/>
                <w:bCs/>
                <w:sz w:val="22"/>
                <w:szCs w:val="22"/>
              </w:rPr>
              <w:t>2019</w:t>
            </w:r>
          </w:p>
        </w:tc>
        <w:tc>
          <w:tcPr>
            <w:tcW w:w="1160" w:type="dxa"/>
          </w:tcPr>
          <w:p w14:paraId="0EB849D4" w14:textId="3CC2EEA9" w:rsidR="00DA2761" w:rsidRPr="008B6563" w:rsidRDefault="00DA2761" w:rsidP="00DA2761">
            <w:pPr>
              <w:spacing w:before="100" w:beforeAutospacing="1" w:after="100" w:afterAutospacing="1" w:line="360" w:lineRule="auto"/>
              <w:rPr>
                <w:rFonts w:asciiTheme="majorHAnsi" w:hAnsiTheme="majorHAnsi" w:cstheme="majorHAnsi"/>
                <w:b/>
                <w:bCs/>
                <w:sz w:val="22"/>
                <w:szCs w:val="22"/>
              </w:rPr>
            </w:pPr>
            <w:r>
              <w:rPr>
                <w:rFonts w:asciiTheme="majorHAnsi" w:hAnsiTheme="majorHAnsi" w:cstheme="majorHAnsi"/>
                <w:b/>
                <w:bCs/>
                <w:sz w:val="22"/>
                <w:szCs w:val="22"/>
              </w:rPr>
              <w:t>2019</w:t>
            </w:r>
          </w:p>
        </w:tc>
        <w:tc>
          <w:tcPr>
            <w:tcW w:w="844" w:type="dxa"/>
          </w:tcPr>
          <w:p w14:paraId="4EF4FAB8" w14:textId="63A851D2" w:rsidR="00DA2761" w:rsidRPr="008B6563" w:rsidRDefault="00DA2761" w:rsidP="00DA2761">
            <w:pPr>
              <w:spacing w:before="100" w:beforeAutospacing="1" w:after="100" w:afterAutospacing="1" w:line="360" w:lineRule="auto"/>
              <w:rPr>
                <w:rFonts w:asciiTheme="majorHAnsi" w:hAnsiTheme="majorHAnsi" w:cstheme="majorHAnsi"/>
                <w:b/>
                <w:bCs/>
                <w:sz w:val="22"/>
                <w:szCs w:val="22"/>
              </w:rPr>
            </w:pPr>
            <w:r>
              <w:rPr>
                <w:rFonts w:asciiTheme="majorHAnsi" w:hAnsiTheme="majorHAnsi" w:cstheme="majorHAnsi"/>
                <w:b/>
                <w:bCs/>
                <w:sz w:val="22"/>
                <w:szCs w:val="22"/>
              </w:rPr>
              <w:t>2020</w:t>
            </w:r>
          </w:p>
        </w:tc>
        <w:tc>
          <w:tcPr>
            <w:tcW w:w="1162" w:type="dxa"/>
          </w:tcPr>
          <w:p w14:paraId="2743413B" w14:textId="2A5ABA6B" w:rsidR="00DA2761" w:rsidRPr="008B6563" w:rsidRDefault="00DA2761" w:rsidP="00DA2761">
            <w:pPr>
              <w:spacing w:before="100" w:beforeAutospacing="1" w:after="100" w:afterAutospacing="1" w:line="360" w:lineRule="auto"/>
              <w:rPr>
                <w:rFonts w:asciiTheme="majorHAnsi" w:hAnsiTheme="majorHAnsi" w:cstheme="majorHAnsi"/>
                <w:b/>
                <w:bCs/>
                <w:sz w:val="22"/>
                <w:szCs w:val="22"/>
              </w:rPr>
            </w:pPr>
            <w:r>
              <w:rPr>
                <w:rFonts w:asciiTheme="majorHAnsi" w:hAnsiTheme="majorHAnsi" w:cstheme="majorHAnsi"/>
                <w:b/>
                <w:bCs/>
                <w:sz w:val="22"/>
                <w:szCs w:val="22"/>
              </w:rPr>
              <w:t>2020</w:t>
            </w:r>
          </w:p>
        </w:tc>
      </w:tr>
      <w:tr w:rsidR="00DA2761" w:rsidRPr="008B6563" w14:paraId="2D409F73" w14:textId="77777777" w:rsidTr="00F4751F">
        <w:trPr>
          <w:trHeight w:val="304"/>
          <w:tblHeader/>
        </w:trPr>
        <w:tc>
          <w:tcPr>
            <w:tcW w:w="4980" w:type="dxa"/>
          </w:tcPr>
          <w:p w14:paraId="07BDD0FD" w14:textId="77777777" w:rsidR="00DA2761" w:rsidRPr="008B6563" w:rsidRDefault="00DA2761" w:rsidP="00DA2761">
            <w:pPr>
              <w:spacing w:before="100" w:beforeAutospacing="1" w:after="100" w:afterAutospacing="1" w:line="360" w:lineRule="auto"/>
              <w:rPr>
                <w:rFonts w:asciiTheme="majorHAnsi" w:hAnsiTheme="majorHAnsi" w:cstheme="majorHAnsi"/>
                <w:sz w:val="22"/>
                <w:szCs w:val="22"/>
              </w:rPr>
            </w:pPr>
          </w:p>
        </w:tc>
        <w:tc>
          <w:tcPr>
            <w:tcW w:w="829" w:type="dxa"/>
          </w:tcPr>
          <w:p w14:paraId="1807316F" w14:textId="53F65365" w:rsidR="00DA2761" w:rsidRPr="008B6563" w:rsidRDefault="00DA2761" w:rsidP="00DA2761">
            <w:pPr>
              <w:spacing w:before="100" w:beforeAutospacing="1" w:after="100" w:afterAutospacing="1" w:line="360" w:lineRule="auto"/>
              <w:rPr>
                <w:rFonts w:asciiTheme="majorHAnsi" w:hAnsiTheme="majorHAnsi" w:cstheme="majorHAnsi"/>
                <w:sz w:val="22"/>
                <w:szCs w:val="22"/>
              </w:rPr>
            </w:pPr>
            <w:r w:rsidRPr="008B6563">
              <w:rPr>
                <w:rFonts w:asciiTheme="majorHAnsi" w:hAnsiTheme="majorHAnsi" w:cstheme="majorHAnsi"/>
                <w:b/>
                <w:bCs/>
                <w:sz w:val="22"/>
                <w:szCs w:val="22"/>
              </w:rPr>
              <w:t>PSHs</w:t>
            </w:r>
          </w:p>
        </w:tc>
        <w:tc>
          <w:tcPr>
            <w:tcW w:w="1160" w:type="dxa"/>
          </w:tcPr>
          <w:p w14:paraId="670039A7" w14:textId="2BEA3D4F" w:rsidR="00DA2761" w:rsidRPr="008B6563" w:rsidRDefault="00DA2761" w:rsidP="00DA2761">
            <w:pPr>
              <w:spacing w:before="100" w:beforeAutospacing="1" w:after="100" w:afterAutospacing="1" w:line="360" w:lineRule="auto"/>
              <w:rPr>
                <w:rFonts w:asciiTheme="majorHAnsi" w:hAnsiTheme="majorHAnsi" w:cstheme="majorHAnsi"/>
                <w:sz w:val="22"/>
                <w:szCs w:val="22"/>
              </w:rPr>
            </w:pPr>
            <w:r w:rsidRPr="008B6563">
              <w:rPr>
                <w:rFonts w:asciiTheme="majorHAnsi" w:hAnsiTheme="majorHAnsi" w:cstheme="majorHAnsi"/>
                <w:b/>
                <w:bCs/>
                <w:sz w:val="22"/>
                <w:szCs w:val="22"/>
              </w:rPr>
              <w:t>Teachers</w:t>
            </w:r>
          </w:p>
        </w:tc>
        <w:tc>
          <w:tcPr>
            <w:tcW w:w="844" w:type="dxa"/>
          </w:tcPr>
          <w:p w14:paraId="0EB09CB4" w14:textId="543EBD97" w:rsidR="00DA2761" w:rsidRPr="008B6563" w:rsidRDefault="00DA2761" w:rsidP="00DA2761">
            <w:pPr>
              <w:spacing w:before="100" w:beforeAutospacing="1" w:after="100" w:afterAutospacing="1" w:line="360" w:lineRule="auto"/>
              <w:rPr>
                <w:rFonts w:asciiTheme="majorHAnsi" w:hAnsiTheme="majorHAnsi" w:cstheme="majorHAnsi"/>
                <w:sz w:val="22"/>
                <w:szCs w:val="22"/>
              </w:rPr>
            </w:pPr>
            <w:r w:rsidRPr="008B6563">
              <w:rPr>
                <w:rFonts w:asciiTheme="majorHAnsi" w:hAnsiTheme="majorHAnsi" w:cstheme="majorHAnsi"/>
                <w:b/>
                <w:bCs/>
                <w:sz w:val="22"/>
                <w:szCs w:val="22"/>
              </w:rPr>
              <w:t>PSHs</w:t>
            </w:r>
          </w:p>
        </w:tc>
        <w:tc>
          <w:tcPr>
            <w:tcW w:w="1162" w:type="dxa"/>
          </w:tcPr>
          <w:p w14:paraId="2878617C" w14:textId="05FC250C" w:rsidR="00DA2761" w:rsidRPr="008B6563" w:rsidRDefault="00DA2761" w:rsidP="00DA2761">
            <w:pPr>
              <w:spacing w:before="100" w:beforeAutospacing="1" w:after="100" w:afterAutospacing="1" w:line="360" w:lineRule="auto"/>
              <w:rPr>
                <w:rFonts w:asciiTheme="majorHAnsi" w:hAnsiTheme="majorHAnsi" w:cstheme="majorHAnsi"/>
                <w:sz w:val="22"/>
                <w:szCs w:val="22"/>
              </w:rPr>
            </w:pPr>
            <w:r w:rsidRPr="008B6563">
              <w:rPr>
                <w:rFonts w:asciiTheme="majorHAnsi" w:hAnsiTheme="majorHAnsi" w:cstheme="majorHAnsi"/>
                <w:b/>
                <w:bCs/>
                <w:sz w:val="22"/>
                <w:szCs w:val="22"/>
              </w:rPr>
              <w:t>Teachers</w:t>
            </w:r>
          </w:p>
        </w:tc>
      </w:tr>
      <w:tr w:rsidR="00DA2761" w:rsidRPr="008B6563" w14:paraId="54293FA0" w14:textId="77777777" w:rsidTr="00E26D25">
        <w:trPr>
          <w:trHeight w:val="304"/>
        </w:trPr>
        <w:tc>
          <w:tcPr>
            <w:tcW w:w="4980" w:type="dxa"/>
          </w:tcPr>
          <w:p w14:paraId="09DE1B20" w14:textId="034982EF" w:rsidR="00DA2761" w:rsidRPr="008B6563" w:rsidRDefault="00DA2761" w:rsidP="00671524">
            <w:pPr>
              <w:spacing w:before="100" w:beforeAutospacing="1" w:after="100" w:afterAutospacing="1" w:line="360" w:lineRule="auto"/>
              <w:rPr>
                <w:rFonts w:asciiTheme="majorHAnsi" w:hAnsiTheme="majorHAnsi" w:cstheme="majorHAnsi"/>
                <w:sz w:val="22"/>
                <w:szCs w:val="22"/>
              </w:rPr>
            </w:pPr>
            <w:r w:rsidRPr="008B6563">
              <w:rPr>
                <w:rFonts w:asciiTheme="majorHAnsi" w:hAnsiTheme="majorHAnsi" w:cstheme="majorHAnsi"/>
                <w:sz w:val="22"/>
                <w:szCs w:val="22"/>
              </w:rPr>
              <w:t>Enhanced Basic Education Information System (EBEIS)</w:t>
            </w:r>
          </w:p>
        </w:tc>
        <w:tc>
          <w:tcPr>
            <w:tcW w:w="829" w:type="dxa"/>
          </w:tcPr>
          <w:p w14:paraId="28C35E49" w14:textId="77777777" w:rsidR="00DA2761" w:rsidRPr="008B6563" w:rsidRDefault="00DA2761" w:rsidP="00671524">
            <w:pPr>
              <w:spacing w:before="100" w:beforeAutospacing="1" w:after="100" w:afterAutospacing="1" w:line="360" w:lineRule="auto"/>
              <w:rPr>
                <w:rFonts w:asciiTheme="majorHAnsi" w:hAnsiTheme="majorHAnsi" w:cstheme="majorHAnsi"/>
                <w:sz w:val="22"/>
                <w:szCs w:val="22"/>
              </w:rPr>
            </w:pPr>
          </w:p>
        </w:tc>
        <w:tc>
          <w:tcPr>
            <w:tcW w:w="1160" w:type="dxa"/>
          </w:tcPr>
          <w:p w14:paraId="6A04F12E" w14:textId="77777777" w:rsidR="00DA2761" w:rsidRPr="008B6563" w:rsidRDefault="00DA2761" w:rsidP="00671524">
            <w:pPr>
              <w:spacing w:before="100" w:beforeAutospacing="1" w:after="100" w:afterAutospacing="1" w:line="360" w:lineRule="auto"/>
              <w:rPr>
                <w:rFonts w:asciiTheme="majorHAnsi" w:hAnsiTheme="majorHAnsi" w:cstheme="majorHAnsi"/>
                <w:sz w:val="22"/>
                <w:szCs w:val="22"/>
              </w:rPr>
            </w:pPr>
          </w:p>
        </w:tc>
        <w:tc>
          <w:tcPr>
            <w:tcW w:w="844" w:type="dxa"/>
          </w:tcPr>
          <w:p w14:paraId="5AA569AB" w14:textId="77777777" w:rsidR="00DA2761" w:rsidRPr="008B6563" w:rsidRDefault="00DA2761" w:rsidP="00671524">
            <w:pPr>
              <w:spacing w:before="100" w:beforeAutospacing="1" w:after="100" w:afterAutospacing="1" w:line="360" w:lineRule="auto"/>
              <w:rPr>
                <w:rFonts w:asciiTheme="majorHAnsi" w:hAnsiTheme="majorHAnsi" w:cstheme="majorHAnsi"/>
                <w:sz w:val="22"/>
                <w:szCs w:val="22"/>
              </w:rPr>
            </w:pPr>
          </w:p>
        </w:tc>
        <w:tc>
          <w:tcPr>
            <w:tcW w:w="1162" w:type="dxa"/>
          </w:tcPr>
          <w:p w14:paraId="16D3BDE9" w14:textId="77777777" w:rsidR="00DA2761" w:rsidRPr="008B6563" w:rsidRDefault="00DA2761" w:rsidP="00671524">
            <w:pPr>
              <w:spacing w:before="100" w:beforeAutospacing="1" w:after="100" w:afterAutospacing="1" w:line="360" w:lineRule="auto"/>
              <w:rPr>
                <w:rFonts w:asciiTheme="majorHAnsi" w:hAnsiTheme="majorHAnsi" w:cstheme="majorHAnsi"/>
                <w:sz w:val="22"/>
                <w:szCs w:val="22"/>
              </w:rPr>
            </w:pPr>
          </w:p>
        </w:tc>
      </w:tr>
      <w:tr w:rsidR="00C4630E" w:rsidRPr="008B6563" w14:paraId="03BC677F" w14:textId="77777777" w:rsidTr="00E26D25">
        <w:trPr>
          <w:trHeight w:val="304"/>
        </w:trPr>
        <w:tc>
          <w:tcPr>
            <w:tcW w:w="4980" w:type="dxa"/>
          </w:tcPr>
          <w:p w14:paraId="790D4F6A" w14:textId="77777777" w:rsidR="00C4630E" w:rsidRPr="008B6563" w:rsidRDefault="00C4630E" w:rsidP="00671524">
            <w:pPr>
              <w:spacing w:before="100" w:beforeAutospacing="1" w:after="100" w:afterAutospacing="1" w:line="360" w:lineRule="auto"/>
              <w:rPr>
                <w:rFonts w:asciiTheme="majorHAnsi" w:hAnsiTheme="majorHAnsi" w:cstheme="majorHAnsi"/>
                <w:sz w:val="22"/>
                <w:szCs w:val="22"/>
              </w:rPr>
            </w:pPr>
            <w:r w:rsidRPr="008B6563">
              <w:rPr>
                <w:rFonts w:asciiTheme="majorHAnsi" w:hAnsiTheme="majorHAnsi" w:cstheme="majorHAnsi"/>
                <w:sz w:val="22"/>
                <w:szCs w:val="22"/>
              </w:rPr>
              <w:t>Ease of access (connecting to the system)</w:t>
            </w:r>
          </w:p>
        </w:tc>
        <w:tc>
          <w:tcPr>
            <w:tcW w:w="829" w:type="dxa"/>
          </w:tcPr>
          <w:p w14:paraId="0EAC8F6B" w14:textId="77777777" w:rsidR="00C4630E" w:rsidRPr="008B6563" w:rsidRDefault="008B6563" w:rsidP="00671524">
            <w:pPr>
              <w:spacing w:before="100" w:beforeAutospacing="1" w:after="100" w:afterAutospacing="1" w:line="360" w:lineRule="auto"/>
              <w:rPr>
                <w:rFonts w:asciiTheme="majorHAnsi" w:hAnsiTheme="majorHAnsi" w:cstheme="majorHAnsi"/>
                <w:sz w:val="22"/>
                <w:szCs w:val="22"/>
              </w:rPr>
            </w:pPr>
            <w:r w:rsidRPr="008B6563">
              <w:rPr>
                <w:rFonts w:asciiTheme="majorHAnsi" w:hAnsiTheme="majorHAnsi" w:cstheme="majorHAnsi"/>
                <w:sz w:val="22"/>
                <w:szCs w:val="22"/>
              </w:rPr>
              <w:t>31%</w:t>
            </w:r>
          </w:p>
        </w:tc>
        <w:tc>
          <w:tcPr>
            <w:tcW w:w="1160" w:type="dxa"/>
          </w:tcPr>
          <w:p w14:paraId="0D06C3BB" w14:textId="77777777" w:rsidR="00C4630E" w:rsidRPr="008B6563" w:rsidRDefault="008B6563" w:rsidP="00671524">
            <w:pPr>
              <w:spacing w:before="100" w:beforeAutospacing="1" w:after="100" w:afterAutospacing="1" w:line="360" w:lineRule="auto"/>
              <w:rPr>
                <w:rFonts w:asciiTheme="majorHAnsi" w:hAnsiTheme="majorHAnsi" w:cstheme="majorHAnsi"/>
                <w:sz w:val="22"/>
                <w:szCs w:val="22"/>
              </w:rPr>
            </w:pPr>
            <w:r w:rsidRPr="008B6563">
              <w:rPr>
                <w:rFonts w:asciiTheme="majorHAnsi" w:hAnsiTheme="majorHAnsi" w:cstheme="majorHAnsi"/>
                <w:sz w:val="22"/>
                <w:szCs w:val="22"/>
              </w:rPr>
              <w:t>25%</w:t>
            </w:r>
          </w:p>
        </w:tc>
        <w:tc>
          <w:tcPr>
            <w:tcW w:w="844" w:type="dxa"/>
          </w:tcPr>
          <w:p w14:paraId="578F97D3" w14:textId="77777777" w:rsidR="00C4630E" w:rsidRPr="008B6563" w:rsidRDefault="008B6563" w:rsidP="00671524">
            <w:pPr>
              <w:spacing w:before="100" w:beforeAutospacing="1" w:after="100" w:afterAutospacing="1" w:line="360" w:lineRule="auto"/>
              <w:rPr>
                <w:rFonts w:asciiTheme="majorHAnsi" w:hAnsiTheme="majorHAnsi" w:cstheme="majorHAnsi"/>
                <w:sz w:val="22"/>
                <w:szCs w:val="22"/>
              </w:rPr>
            </w:pPr>
            <w:r w:rsidRPr="008B6563">
              <w:rPr>
                <w:rFonts w:asciiTheme="majorHAnsi" w:hAnsiTheme="majorHAnsi" w:cstheme="majorHAnsi"/>
                <w:sz w:val="22"/>
                <w:szCs w:val="22"/>
              </w:rPr>
              <w:t>89%</w:t>
            </w:r>
          </w:p>
        </w:tc>
        <w:tc>
          <w:tcPr>
            <w:tcW w:w="1162" w:type="dxa"/>
          </w:tcPr>
          <w:p w14:paraId="3AC07104" w14:textId="77777777" w:rsidR="00C4630E" w:rsidRPr="008B6563" w:rsidRDefault="008B6563" w:rsidP="00671524">
            <w:pPr>
              <w:spacing w:before="100" w:beforeAutospacing="1" w:after="100" w:afterAutospacing="1" w:line="360" w:lineRule="auto"/>
              <w:rPr>
                <w:rFonts w:asciiTheme="majorHAnsi" w:hAnsiTheme="majorHAnsi" w:cstheme="majorHAnsi"/>
                <w:sz w:val="22"/>
                <w:szCs w:val="22"/>
              </w:rPr>
            </w:pPr>
            <w:r w:rsidRPr="008B6563">
              <w:rPr>
                <w:rFonts w:asciiTheme="majorHAnsi" w:hAnsiTheme="majorHAnsi" w:cstheme="majorHAnsi"/>
                <w:sz w:val="22"/>
                <w:szCs w:val="22"/>
              </w:rPr>
              <w:t>59%</w:t>
            </w:r>
          </w:p>
        </w:tc>
      </w:tr>
      <w:tr w:rsidR="00C4630E" w:rsidRPr="008B6563" w14:paraId="7F33ACD9" w14:textId="77777777" w:rsidTr="00E26D25">
        <w:trPr>
          <w:trHeight w:val="304"/>
        </w:trPr>
        <w:tc>
          <w:tcPr>
            <w:tcW w:w="4980" w:type="dxa"/>
          </w:tcPr>
          <w:p w14:paraId="6DDB19B9" w14:textId="77777777" w:rsidR="00C4630E" w:rsidRPr="008B6563" w:rsidRDefault="00C4630E" w:rsidP="00671524">
            <w:pPr>
              <w:spacing w:before="100" w:beforeAutospacing="1" w:after="100" w:afterAutospacing="1" w:line="360" w:lineRule="auto"/>
              <w:rPr>
                <w:rFonts w:asciiTheme="majorHAnsi" w:hAnsiTheme="majorHAnsi" w:cstheme="majorHAnsi"/>
                <w:sz w:val="22"/>
                <w:szCs w:val="22"/>
              </w:rPr>
            </w:pPr>
            <w:r w:rsidRPr="008B6563">
              <w:rPr>
                <w:rFonts w:asciiTheme="majorHAnsi" w:hAnsiTheme="majorHAnsi" w:cstheme="majorHAnsi"/>
                <w:sz w:val="22"/>
                <w:szCs w:val="22"/>
              </w:rPr>
              <w:t>User-friendliness of system (navigation)</w:t>
            </w:r>
          </w:p>
        </w:tc>
        <w:tc>
          <w:tcPr>
            <w:tcW w:w="829" w:type="dxa"/>
          </w:tcPr>
          <w:p w14:paraId="0976BCF4" w14:textId="77777777" w:rsidR="00C4630E" w:rsidRPr="008B6563" w:rsidRDefault="008B6563" w:rsidP="00671524">
            <w:pPr>
              <w:spacing w:before="100" w:beforeAutospacing="1" w:after="100" w:afterAutospacing="1" w:line="360" w:lineRule="auto"/>
              <w:rPr>
                <w:rFonts w:asciiTheme="majorHAnsi" w:hAnsiTheme="majorHAnsi" w:cstheme="majorHAnsi"/>
                <w:sz w:val="22"/>
                <w:szCs w:val="22"/>
              </w:rPr>
            </w:pPr>
            <w:r w:rsidRPr="008B6563">
              <w:rPr>
                <w:rFonts w:asciiTheme="majorHAnsi" w:hAnsiTheme="majorHAnsi" w:cstheme="majorHAnsi"/>
                <w:sz w:val="22"/>
                <w:szCs w:val="22"/>
              </w:rPr>
              <w:t>46%</w:t>
            </w:r>
          </w:p>
        </w:tc>
        <w:tc>
          <w:tcPr>
            <w:tcW w:w="1160" w:type="dxa"/>
          </w:tcPr>
          <w:p w14:paraId="2B3BA21A" w14:textId="77777777" w:rsidR="00C4630E" w:rsidRPr="008B6563" w:rsidRDefault="008B6563" w:rsidP="00671524">
            <w:pPr>
              <w:spacing w:before="100" w:beforeAutospacing="1" w:after="100" w:afterAutospacing="1" w:line="360" w:lineRule="auto"/>
              <w:rPr>
                <w:rFonts w:asciiTheme="majorHAnsi" w:hAnsiTheme="majorHAnsi" w:cstheme="majorHAnsi"/>
                <w:sz w:val="22"/>
                <w:szCs w:val="22"/>
              </w:rPr>
            </w:pPr>
            <w:r w:rsidRPr="008B6563">
              <w:rPr>
                <w:rFonts w:asciiTheme="majorHAnsi" w:hAnsiTheme="majorHAnsi" w:cstheme="majorHAnsi"/>
                <w:sz w:val="22"/>
                <w:szCs w:val="22"/>
              </w:rPr>
              <w:t>33%</w:t>
            </w:r>
          </w:p>
        </w:tc>
        <w:tc>
          <w:tcPr>
            <w:tcW w:w="844" w:type="dxa"/>
          </w:tcPr>
          <w:p w14:paraId="29C68189" w14:textId="77777777" w:rsidR="00C4630E" w:rsidRPr="008B6563" w:rsidRDefault="008B6563" w:rsidP="00671524">
            <w:pPr>
              <w:spacing w:before="100" w:beforeAutospacing="1" w:after="100" w:afterAutospacing="1" w:line="360" w:lineRule="auto"/>
              <w:rPr>
                <w:rFonts w:asciiTheme="majorHAnsi" w:hAnsiTheme="majorHAnsi" w:cstheme="majorHAnsi"/>
                <w:sz w:val="22"/>
                <w:szCs w:val="22"/>
              </w:rPr>
            </w:pPr>
            <w:r w:rsidRPr="008B6563">
              <w:rPr>
                <w:rFonts w:asciiTheme="majorHAnsi" w:hAnsiTheme="majorHAnsi" w:cstheme="majorHAnsi"/>
                <w:sz w:val="22"/>
                <w:szCs w:val="22"/>
              </w:rPr>
              <w:t>100%</w:t>
            </w:r>
          </w:p>
        </w:tc>
        <w:tc>
          <w:tcPr>
            <w:tcW w:w="1162" w:type="dxa"/>
          </w:tcPr>
          <w:p w14:paraId="3F642030" w14:textId="77777777" w:rsidR="00C4630E" w:rsidRPr="008B6563" w:rsidRDefault="008B6563" w:rsidP="00671524">
            <w:pPr>
              <w:spacing w:before="100" w:beforeAutospacing="1" w:after="100" w:afterAutospacing="1" w:line="360" w:lineRule="auto"/>
              <w:rPr>
                <w:rFonts w:asciiTheme="majorHAnsi" w:hAnsiTheme="majorHAnsi" w:cstheme="majorHAnsi"/>
                <w:sz w:val="22"/>
                <w:szCs w:val="22"/>
              </w:rPr>
            </w:pPr>
            <w:r w:rsidRPr="008B6563">
              <w:rPr>
                <w:rFonts w:asciiTheme="majorHAnsi" w:hAnsiTheme="majorHAnsi" w:cstheme="majorHAnsi"/>
                <w:sz w:val="22"/>
                <w:szCs w:val="22"/>
              </w:rPr>
              <w:t>71%</w:t>
            </w:r>
          </w:p>
        </w:tc>
      </w:tr>
      <w:tr w:rsidR="00C4630E" w:rsidRPr="008B6563" w14:paraId="45921CD0" w14:textId="77777777" w:rsidTr="00E26D25">
        <w:trPr>
          <w:trHeight w:val="609"/>
        </w:trPr>
        <w:tc>
          <w:tcPr>
            <w:tcW w:w="4980" w:type="dxa"/>
          </w:tcPr>
          <w:p w14:paraId="7C7AF1BF" w14:textId="77777777" w:rsidR="00C4630E" w:rsidRPr="008B6563" w:rsidRDefault="008B6563" w:rsidP="00671524">
            <w:pPr>
              <w:spacing w:before="100" w:beforeAutospacing="1" w:after="100" w:afterAutospacing="1" w:line="360" w:lineRule="auto"/>
              <w:rPr>
                <w:rFonts w:asciiTheme="majorHAnsi" w:hAnsiTheme="majorHAnsi" w:cstheme="majorHAnsi"/>
                <w:sz w:val="22"/>
                <w:szCs w:val="22"/>
              </w:rPr>
            </w:pPr>
            <w:r w:rsidRPr="008B6563">
              <w:rPr>
                <w:rFonts w:asciiTheme="majorHAnsi" w:hAnsiTheme="majorHAnsi" w:cstheme="majorHAnsi"/>
                <w:sz w:val="22"/>
                <w:szCs w:val="22"/>
              </w:rPr>
              <w:t>Usefulness (school planning, budgeting &amp; operations, etc.)</w:t>
            </w:r>
          </w:p>
        </w:tc>
        <w:tc>
          <w:tcPr>
            <w:tcW w:w="829" w:type="dxa"/>
          </w:tcPr>
          <w:p w14:paraId="13992267" w14:textId="77777777" w:rsidR="00C4630E" w:rsidRPr="008B6563" w:rsidRDefault="008B6563" w:rsidP="00671524">
            <w:pPr>
              <w:spacing w:before="100" w:beforeAutospacing="1" w:after="100" w:afterAutospacing="1" w:line="360" w:lineRule="auto"/>
              <w:rPr>
                <w:rFonts w:asciiTheme="majorHAnsi" w:hAnsiTheme="majorHAnsi" w:cstheme="majorHAnsi"/>
                <w:sz w:val="22"/>
                <w:szCs w:val="22"/>
              </w:rPr>
            </w:pPr>
            <w:r w:rsidRPr="008B6563">
              <w:rPr>
                <w:rFonts w:asciiTheme="majorHAnsi" w:hAnsiTheme="majorHAnsi" w:cstheme="majorHAnsi"/>
                <w:sz w:val="22"/>
                <w:szCs w:val="22"/>
              </w:rPr>
              <w:t>59%</w:t>
            </w:r>
          </w:p>
        </w:tc>
        <w:tc>
          <w:tcPr>
            <w:tcW w:w="1160" w:type="dxa"/>
          </w:tcPr>
          <w:p w14:paraId="74C98030" w14:textId="77777777" w:rsidR="00C4630E" w:rsidRPr="008B6563" w:rsidRDefault="008B6563" w:rsidP="00671524">
            <w:pPr>
              <w:spacing w:before="100" w:beforeAutospacing="1" w:after="100" w:afterAutospacing="1" w:line="360" w:lineRule="auto"/>
              <w:rPr>
                <w:rFonts w:asciiTheme="majorHAnsi" w:hAnsiTheme="majorHAnsi" w:cstheme="majorHAnsi"/>
                <w:sz w:val="22"/>
                <w:szCs w:val="22"/>
              </w:rPr>
            </w:pPr>
            <w:r w:rsidRPr="008B6563">
              <w:rPr>
                <w:rFonts w:asciiTheme="majorHAnsi" w:hAnsiTheme="majorHAnsi" w:cstheme="majorHAnsi"/>
                <w:sz w:val="22"/>
                <w:szCs w:val="22"/>
              </w:rPr>
              <w:t>49%</w:t>
            </w:r>
          </w:p>
        </w:tc>
        <w:tc>
          <w:tcPr>
            <w:tcW w:w="844" w:type="dxa"/>
          </w:tcPr>
          <w:p w14:paraId="7147A92C" w14:textId="77777777" w:rsidR="00C4630E" w:rsidRPr="008B6563" w:rsidRDefault="008B6563" w:rsidP="00671524">
            <w:pPr>
              <w:spacing w:before="100" w:beforeAutospacing="1" w:after="100" w:afterAutospacing="1" w:line="360" w:lineRule="auto"/>
              <w:rPr>
                <w:rFonts w:asciiTheme="majorHAnsi" w:hAnsiTheme="majorHAnsi" w:cstheme="majorHAnsi"/>
                <w:sz w:val="22"/>
                <w:szCs w:val="22"/>
              </w:rPr>
            </w:pPr>
            <w:r w:rsidRPr="008B6563">
              <w:rPr>
                <w:rFonts w:asciiTheme="majorHAnsi" w:hAnsiTheme="majorHAnsi" w:cstheme="majorHAnsi"/>
                <w:sz w:val="22"/>
                <w:szCs w:val="22"/>
              </w:rPr>
              <w:t>100%</w:t>
            </w:r>
          </w:p>
        </w:tc>
        <w:tc>
          <w:tcPr>
            <w:tcW w:w="1162" w:type="dxa"/>
          </w:tcPr>
          <w:p w14:paraId="6531E103" w14:textId="77777777" w:rsidR="00C4630E" w:rsidRPr="008B6563" w:rsidRDefault="008B6563" w:rsidP="00671524">
            <w:pPr>
              <w:spacing w:before="100" w:beforeAutospacing="1" w:after="100" w:afterAutospacing="1" w:line="360" w:lineRule="auto"/>
              <w:rPr>
                <w:rFonts w:asciiTheme="majorHAnsi" w:hAnsiTheme="majorHAnsi" w:cstheme="majorHAnsi"/>
                <w:sz w:val="22"/>
                <w:szCs w:val="22"/>
              </w:rPr>
            </w:pPr>
            <w:r w:rsidRPr="008B6563">
              <w:rPr>
                <w:rFonts w:asciiTheme="majorHAnsi" w:hAnsiTheme="majorHAnsi" w:cstheme="majorHAnsi"/>
                <w:sz w:val="22"/>
                <w:szCs w:val="22"/>
              </w:rPr>
              <w:t>78%</w:t>
            </w:r>
          </w:p>
        </w:tc>
      </w:tr>
      <w:tr w:rsidR="00DA2761" w:rsidRPr="008B6563" w14:paraId="455CF27A" w14:textId="77777777" w:rsidTr="00E26D25">
        <w:trPr>
          <w:trHeight w:val="304"/>
        </w:trPr>
        <w:tc>
          <w:tcPr>
            <w:tcW w:w="4980" w:type="dxa"/>
          </w:tcPr>
          <w:p w14:paraId="23C0AC3E" w14:textId="392BDA62" w:rsidR="00DA2761" w:rsidRDefault="00DA2761" w:rsidP="00671524">
            <w:pPr>
              <w:spacing w:before="100" w:beforeAutospacing="1" w:after="100" w:afterAutospacing="1" w:line="360" w:lineRule="auto"/>
              <w:rPr>
                <w:rFonts w:asciiTheme="majorHAnsi" w:hAnsiTheme="majorHAnsi" w:cstheme="majorHAnsi"/>
                <w:sz w:val="22"/>
                <w:szCs w:val="22"/>
              </w:rPr>
            </w:pPr>
            <w:r w:rsidRPr="008B6563">
              <w:rPr>
                <w:rFonts w:asciiTheme="majorHAnsi" w:hAnsiTheme="majorHAnsi" w:cstheme="majorHAnsi"/>
                <w:sz w:val="22"/>
                <w:szCs w:val="22"/>
              </w:rPr>
              <w:t>Contribution to improving teaching delivery</w:t>
            </w:r>
          </w:p>
        </w:tc>
        <w:tc>
          <w:tcPr>
            <w:tcW w:w="829" w:type="dxa"/>
          </w:tcPr>
          <w:p w14:paraId="319C9832" w14:textId="77777777" w:rsidR="00DA2761" w:rsidRPr="008B6563" w:rsidRDefault="00DA2761" w:rsidP="00671524">
            <w:pPr>
              <w:spacing w:before="100" w:beforeAutospacing="1" w:after="100" w:afterAutospacing="1" w:line="360" w:lineRule="auto"/>
              <w:rPr>
                <w:rFonts w:asciiTheme="majorHAnsi" w:hAnsiTheme="majorHAnsi" w:cstheme="majorHAnsi"/>
                <w:sz w:val="22"/>
                <w:szCs w:val="22"/>
              </w:rPr>
            </w:pPr>
          </w:p>
        </w:tc>
        <w:tc>
          <w:tcPr>
            <w:tcW w:w="1160" w:type="dxa"/>
          </w:tcPr>
          <w:p w14:paraId="5F878F8D" w14:textId="77777777" w:rsidR="00DA2761" w:rsidRPr="008B6563" w:rsidRDefault="00DA2761" w:rsidP="00671524">
            <w:pPr>
              <w:spacing w:before="100" w:beforeAutospacing="1" w:after="100" w:afterAutospacing="1" w:line="360" w:lineRule="auto"/>
              <w:rPr>
                <w:rFonts w:asciiTheme="majorHAnsi" w:hAnsiTheme="majorHAnsi" w:cstheme="majorHAnsi"/>
                <w:sz w:val="22"/>
                <w:szCs w:val="22"/>
              </w:rPr>
            </w:pPr>
          </w:p>
        </w:tc>
        <w:tc>
          <w:tcPr>
            <w:tcW w:w="844" w:type="dxa"/>
          </w:tcPr>
          <w:p w14:paraId="6E9B08CF" w14:textId="77777777" w:rsidR="00DA2761" w:rsidRPr="008B6563" w:rsidRDefault="00DA2761" w:rsidP="00671524">
            <w:pPr>
              <w:spacing w:before="100" w:beforeAutospacing="1" w:after="100" w:afterAutospacing="1" w:line="360" w:lineRule="auto"/>
              <w:rPr>
                <w:rFonts w:asciiTheme="majorHAnsi" w:hAnsiTheme="majorHAnsi" w:cstheme="majorHAnsi"/>
                <w:sz w:val="22"/>
                <w:szCs w:val="22"/>
              </w:rPr>
            </w:pPr>
          </w:p>
        </w:tc>
        <w:tc>
          <w:tcPr>
            <w:tcW w:w="1162" w:type="dxa"/>
          </w:tcPr>
          <w:p w14:paraId="4CADDF51" w14:textId="495F0D2C" w:rsidR="00DA2761" w:rsidRPr="008B6563" w:rsidRDefault="00DA2761" w:rsidP="00671524">
            <w:pPr>
              <w:spacing w:before="100" w:beforeAutospacing="1" w:after="100" w:afterAutospacing="1" w:line="360" w:lineRule="auto"/>
              <w:rPr>
                <w:rFonts w:asciiTheme="majorHAnsi" w:hAnsiTheme="majorHAnsi" w:cstheme="majorHAnsi"/>
                <w:sz w:val="22"/>
                <w:szCs w:val="22"/>
              </w:rPr>
            </w:pPr>
            <w:r>
              <w:rPr>
                <w:rFonts w:asciiTheme="majorHAnsi" w:hAnsiTheme="majorHAnsi" w:cstheme="majorHAnsi"/>
                <w:sz w:val="22"/>
                <w:szCs w:val="22"/>
              </w:rPr>
              <w:t>68%</w:t>
            </w:r>
          </w:p>
        </w:tc>
      </w:tr>
      <w:tr w:rsidR="00C4630E" w:rsidRPr="008B6563" w14:paraId="261E3535" w14:textId="77777777" w:rsidTr="00E26D25">
        <w:trPr>
          <w:trHeight w:val="304"/>
        </w:trPr>
        <w:tc>
          <w:tcPr>
            <w:tcW w:w="4980" w:type="dxa"/>
          </w:tcPr>
          <w:p w14:paraId="7747CAC3" w14:textId="77777777" w:rsidR="00C4630E" w:rsidRPr="008B6563" w:rsidRDefault="008B6563" w:rsidP="00671524">
            <w:pPr>
              <w:spacing w:before="100" w:beforeAutospacing="1" w:after="100" w:afterAutospacing="1" w:line="360" w:lineRule="auto"/>
              <w:rPr>
                <w:rFonts w:asciiTheme="majorHAnsi" w:hAnsiTheme="majorHAnsi" w:cstheme="majorHAnsi"/>
                <w:sz w:val="22"/>
                <w:szCs w:val="22"/>
              </w:rPr>
            </w:pPr>
            <w:r>
              <w:rPr>
                <w:rFonts w:asciiTheme="majorHAnsi" w:hAnsiTheme="majorHAnsi" w:cstheme="majorHAnsi"/>
                <w:sz w:val="22"/>
                <w:szCs w:val="22"/>
              </w:rPr>
              <w:t>Learner Information (LIS)</w:t>
            </w:r>
          </w:p>
        </w:tc>
        <w:tc>
          <w:tcPr>
            <w:tcW w:w="829" w:type="dxa"/>
          </w:tcPr>
          <w:p w14:paraId="183A876A" w14:textId="77777777" w:rsidR="00C4630E" w:rsidRPr="008B6563" w:rsidRDefault="00C4630E" w:rsidP="00671524">
            <w:pPr>
              <w:spacing w:before="100" w:beforeAutospacing="1" w:after="100" w:afterAutospacing="1" w:line="360" w:lineRule="auto"/>
              <w:rPr>
                <w:rFonts w:asciiTheme="majorHAnsi" w:hAnsiTheme="majorHAnsi" w:cstheme="majorHAnsi"/>
                <w:sz w:val="22"/>
                <w:szCs w:val="22"/>
              </w:rPr>
            </w:pPr>
          </w:p>
        </w:tc>
        <w:tc>
          <w:tcPr>
            <w:tcW w:w="1160" w:type="dxa"/>
          </w:tcPr>
          <w:p w14:paraId="1869A8A1" w14:textId="77777777" w:rsidR="00C4630E" w:rsidRPr="008B6563" w:rsidRDefault="00C4630E" w:rsidP="00671524">
            <w:pPr>
              <w:spacing w:before="100" w:beforeAutospacing="1" w:after="100" w:afterAutospacing="1" w:line="360" w:lineRule="auto"/>
              <w:rPr>
                <w:rFonts w:asciiTheme="majorHAnsi" w:hAnsiTheme="majorHAnsi" w:cstheme="majorHAnsi"/>
                <w:sz w:val="22"/>
                <w:szCs w:val="22"/>
              </w:rPr>
            </w:pPr>
          </w:p>
        </w:tc>
        <w:tc>
          <w:tcPr>
            <w:tcW w:w="844" w:type="dxa"/>
          </w:tcPr>
          <w:p w14:paraId="2876E807" w14:textId="77777777" w:rsidR="00C4630E" w:rsidRPr="008B6563" w:rsidRDefault="00C4630E" w:rsidP="00671524">
            <w:pPr>
              <w:spacing w:before="100" w:beforeAutospacing="1" w:after="100" w:afterAutospacing="1" w:line="360" w:lineRule="auto"/>
              <w:rPr>
                <w:rFonts w:asciiTheme="majorHAnsi" w:hAnsiTheme="majorHAnsi" w:cstheme="majorHAnsi"/>
                <w:sz w:val="22"/>
                <w:szCs w:val="22"/>
              </w:rPr>
            </w:pPr>
          </w:p>
        </w:tc>
        <w:tc>
          <w:tcPr>
            <w:tcW w:w="1162" w:type="dxa"/>
          </w:tcPr>
          <w:p w14:paraId="74B02F94" w14:textId="77777777" w:rsidR="00C4630E" w:rsidRPr="008B6563" w:rsidRDefault="00C4630E" w:rsidP="00671524">
            <w:pPr>
              <w:spacing w:before="100" w:beforeAutospacing="1" w:after="100" w:afterAutospacing="1" w:line="360" w:lineRule="auto"/>
              <w:rPr>
                <w:rFonts w:asciiTheme="majorHAnsi" w:hAnsiTheme="majorHAnsi" w:cstheme="majorHAnsi"/>
                <w:sz w:val="22"/>
                <w:szCs w:val="22"/>
              </w:rPr>
            </w:pPr>
          </w:p>
        </w:tc>
      </w:tr>
      <w:tr w:rsidR="008B6563" w:rsidRPr="008B6563" w14:paraId="76142E6E" w14:textId="77777777" w:rsidTr="00E26D25">
        <w:trPr>
          <w:trHeight w:val="304"/>
        </w:trPr>
        <w:tc>
          <w:tcPr>
            <w:tcW w:w="4980" w:type="dxa"/>
          </w:tcPr>
          <w:p w14:paraId="6FEBF038" w14:textId="77777777" w:rsidR="008B6563" w:rsidRPr="008B6563" w:rsidRDefault="008B6563" w:rsidP="00671524">
            <w:pPr>
              <w:spacing w:before="100" w:beforeAutospacing="1" w:after="100" w:afterAutospacing="1" w:line="360" w:lineRule="auto"/>
              <w:rPr>
                <w:rFonts w:asciiTheme="majorHAnsi" w:hAnsiTheme="majorHAnsi" w:cstheme="majorHAnsi"/>
                <w:sz w:val="22"/>
                <w:szCs w:val="22"/>
              </w:rPr>
            </w:pPr>
            <w:r w:rsidRPr="008B6563">
              <w:rPr>
                <w:rFonts w:asciiTheme="majorHAnsi" w:hAnsiTheme="majorHAnsi" w:cstheme="majorHAnsi"/>
                <w:sz w:val="22"/>
                <w:szCs w:val="22"/>
              </w:rPr>
              <w:t>Ease of access (connecting to the system)</w:t>
            </w:r>
          </w:p>
        </w:tc>
        <w:tc>
          <w:tcPr>
            <w:tcW w:w="829" w:type="dxa"/>
          </w:tcPr>
          <w:p w14:paraId="496B7680" w14:textId="77777777" w:rsidR="008B6563" w:rsidRPr="008B6563" w:rsidRDefault="008B6563" w:rsidP="00671524">
            <w:pPr>
              <w:spacing w:before="100" w:beforeAutospacing="1" w:after="100" w:afterAutospacing="1" w:line="360" w:lineRule="auto"/>
              <w:rPr>
                <w:rFonts w:asciiTheme="majorHAnsi" w:hAnsiTheme="majorHAnsi" w:cstheme="majorHAnsi"/>
                <w:sz w:val="22"/>
                <w:szCs w:val="22"/>
              </w:rPr>
            </w:pPr>
            <w:r>
              <w:rPr>
                <w:rFonts w:asciiTheme="majorHAnsi" w:hAnsiTheme="majorHAnsi" w:cstheme="majorHAnsi"/>
                <w:sz w:val="22"/>
                <w:szCs w:val="22"/>
              </w:rPr>
              <w:t>44%</w:t>
            </w:r>
          </w:p>
        </w:tc>
        <w:tc>
          <w:tcPr>
            <w:tcW w:w="1160" w:type="dxa"/>
          </w:tcPr>
          <w:p w14:paraId="3AADE48B" w14:textId="77777777" w:rsidR="008B6563" w:rsidRPr="008B6563" w:rsidRDefault="008B6563" w:rsidP="00671524">
            <w:pPr>
              <w:spacing w:before="100" w:beforeAutospacing="1" w:after="100" w:afterAutospacing="1" w:line="360" w:lineRule="auto"/>
              <w:rPr>
                <w:rFonts w:asciiTheme="majorHAnsi" w:hAnsiTheme="majorHAnsi" w:cstheme="majorHAnsi"/>
                <w:sz w:val="22"/>
                <w:szCs w:val="22"/>
              </w:rPr>
            </w:pPr>
            <w:r>
              <w:rPr>
                <w:rFonts w:asciiTheme="majorHAnsi" w:hAnsiTheme="majorHAnsi" w:cstheme="majorHAnsi"/>
                <w:sz w:val="22"/>
                <w:szCs w:val="22"/>
              </w:rPr>
              <w:t>24%</w:t>
            </w:r>
          </w:p>
        </w:tc>
        <w:tc>
          <w:tcPr>
            <w:tcW w:w="844" w:type="dxa"/>
          </w:tcPr>
          <w:p w14:paraId="3C256C62" w14:textId="77777777" w:rsidR="008B6563" w:rsidRPr="008B6563" w:rsidRDefault="008B6563" w:rsidP="00671524">
            <w:pPr>
              <w:spacing w:before="100" w:beforeAutospacing="1" w:after="100" w:afterAutospacing="1" w:line="360" w:lineRule="auto"/>
              <w:rPr>
                <w:rFonts w:asciiTheme="majorHAnsi" w:hAnsiTheme="majorHAnsi" w:cstheme="majorHAnsi"/>
                <w:sz w:val="22"/>
                <w:szCs w:val="22"/>
              </w:rPr>
            </w:pPr>
            <w:r>
              <w:rPr>
                <w:rFonts w:asciiTheme="majorHAnsi" w:hAnsiTheme="majorHAnsi" w:cstheme="majorHAnsi"/>
                <w:sz w:val="22"/>
                <w:szCs w:val="22"/>
              </w:rPr>
              <w:t>80%</w:t>
            </w:r>
          </w:p>
        </w:tc>
        <w:tc>
          <w:tcPr>
            <w:tcW w:w="1162" w:type="dxa"/>
          </w:tcPr>
          <w:p w14:paraId="02BBB4D0" w14:textId="77777777" w:rsidR="008B6563" w:rsidRPr="008B6563" w:rsidRDefault="008B6563" w:rsidP="00671524">
            <w:pPr>
              <w:spacing w:before="100" w:beforeAutospacing="1" w:after="100" w:afterAutospacing="1" w:line="360" w:lineRule="auto"/>
              <w:rPr>
                <w:rFonts w:asciiTheme="majorHAnsi" w:hAnsiTheme="majorHAnsi" w:cstheme="majorHAnsi"/>
                <w:sz w:val="22"/>
                <w:szCs w:val="22"/>
              </w:rPr>
            </w:pPr>
            <w:r>
              <w:rPr>
                <w:rFonts w:asciiTheme="majorHAnsi" w:hAnsiTheme="majorHAnsi" w:cstheme="majorHAnsi"/>
                <w:sz w:val="22"/>
                <w:szCs w:val="22"/>
              </w:rPr>
              <w:t>58%</w:t>
            </w:r>
          </w:p>
        </w:tc>
      </w:tr>
      <w:tr w:rsidR="008B6563" w:rsidRPr="008B6563" w14:paraId="355BE03B" w14:textId="77777777" w:rsidTr="00E26D25">
        <w:trPr>
          <w:trHeight w:val="304"/>
        </w:trPr>
        <w:tc>
          <w:tcPr>
            <w:tcW w:w="4980" w:type="dxa"/>
          </w:tcPr>
          <w:p w14:paraId="7F462BDE" w14:textId="77777777" w:rsidR="008B6563" w:rsidRPr="008B6563" w:rsidRDefault="008B6563" w:rsidP="00671524">
            <w:pPr>
              <w:spacing w:before="100" w:beforeAutospacing="1" w:after="100" w:afterAutospacing="1" w:line="360" w:lineRule="auto"/>
              <w:rPr>
                <w:rFonts w:asciiTheme="majorHAnsi" w:hAnsiTheme="majorHAnsi" w:cstheme="majorHAnsi"/>
                <w:sz w:val="22"/>
                <w:szCs w:val="22"/>
              </w:rPr>
            </w:pPr>
            <w:r w:rsidRPr="008B6563">
              <w:rPr>
                <w:rFonts w:asciiTheme="majorHAnsi" w:hAnsiTheme="majorHAnsi" w:cstheme="majorHAnsi"/>
                <w:sz w:val="22"/>
                <w:szCs w:val="22"/>
              </w:rPr>
              <w:t>User-friendliness of system (navigation)</w:t>
            </w:r>
          </w:p>
        </w:tc>
        <w:tc>
          <w:tcPr>
            <w:tcW w:w="829" w:type="dxa"/>
          </w:tcPr>
          <w:p w14:paraId="420DE8CC" w14:textId="77777777" w:rsidR="008B6563" w:rsidRPr="008B6563" w:rsidRDefault="008B6563" w:rsidP="00671524">
            <w:pPr>
              <w:spacing w:before="100" w:beforeAutospacing="1" w:after="100" w:afterAutospacing="1" w:line="360" w:lineRule="auto"/>
              <w:rPr>
                <w:rFonts w:asciiTheme="majorHAnsi" w:hAnsiTheme="majorHAnsi" w:cstheme="majorHAnsi"/>
                <w:sz w:val="22"/>
                <w:szCs w:val="22"/>
              </w:rPr>
            </w:pPr>
            <w:r>
              <w:rPr>
                <w:rFonts w:asciiTheme="majorHAnsi" w:hAnsiTheme="majorHAnsi" w:cstheme="majorHAnsi"/>
                <w:sz w:val="22"/>
                <w:szCs w:val="22"/>
              </w:rPr>
              <w:t>46%</w:t>
            </w:r>
          </w:p>
        </w:tc>
        <w:tc>
          <w:tcPr>
            <w:tcW w:w="1160" w:type="dxa"/>
          </w:tcPr>
          <w:p w14:paraId="2AA8AB68" w14:textId="77777777" w:rsidR="008B6563" w:rsidRPr="008B6563" w:rsidRDefault="008B6563" w:rsidP="00671524">
            <w:pPr>
              <w:spacing w:before="100" w:beforeAutospacing="1" w:after="100" w:afterAutospacing="1" w:line="360" w:lineRule="auto"/>
              <w:rPr>
                <w:rFonts w:asciiTheme="majorHAnsi" w:hAnsiTheme="majorHAnsi" w:cstheme="majorHAnsi"/>
                <w:sz w:val="22"/>
                <w:szCs w:val="22"/>
              </w:rPr>
            </w:pPr>
            <w:r>
              <w:rPr>
                <w:rFonts w:asciiTheme="majorHAnsi" w:hAnsiTheme="majorHAnsi" w:cstheme="majorHAnsi"/>
                <w:sz w:val="22"/>
                <w:szCs w:val="22"/>
              </w:rPr>
              <w:t>40%</w:t>
            </w:r>
          </w:p>
        </w:tc>
        <w:tc>
          <w:tcPr>
            <w:tcW w:w="844" w:type="dxa"/>
          </w:tcPr>
          <w:p w14:paraId="23C491B2" w14:textId="77777777" w:rsidR="008B6563" w:rsidRPr="008B6563" w:rsidRDefault="008B6563" w:rsidP="00671524">
            <w:pPr>
              <w:spacing w:before="100" w:beforeAutospacing="1" w:after="100" w:afterAutospacing="1" w:line="360" w:lineRule="auto"/>
              <w:rPr>
                <w:rFonts w:asciiTheme="majorHAnsi" w:hAnsiTheme="majorHAnsi" w:cstheme="majorHAnsi"/>
                <w:sz w:val="22"/>
                <w:szCs w:val="22"/>
              </w:rPr>
            </w:pPr>
            <w:r>
              <w:rPr>
                <w:rFonts w:asciiTheme="majorHAnsi" w:hAnsiTheme="majorHAnsi" w:cstheme="majorHAnsi"/>
                <w:sz w:val="22"/>
                <w:szCs w:val="22"/>
              </w:rPr>
              <w:t>90%</w:t>
            </w:r>
          </w:p>
        </w:tc>
        <w:tc>
          <w:tcPr>
            <w:tcW w:w="1162" w:type="dxa"/>
          </w:tcPr>
          <w:p w14:paraId="47161622" w14:textId="77777777" w:rsidR="008B6563" w:rsidRPr="008B6563" w:rsidRDefault="008B6563" w:rsidP="00671524">
            <w:pPr>
              <w:spacing w:before="100" w:beforeAutospacing="1" w:after="100" w:afterAutospacing="1" w:line="360" w:lineRule="auto"/>
              <w:rPr>
                <w:rFonts w:asciiTheme="majorHAnsi" w:hAnsiTheme="majorHAnsi" w:cstheme="majorHAnsi"/>
                <w:sz w:val="22"/>
                <w:szCs w:val="22"/>
              </w:rPr>
            </w:pPr>
            <w:r>
              <w:rPr>
                <w:rFonts w:asciiTheme="majorHAnsi" w:hAnsiTheme="majorHAnsi" w:cstheme="majorHAnsi"/>
                <w:sz w:val="22"/>
                <w:szCs w:val="22"/>
              </w:rPr>
              <w:t>74%</w:t>
            </w:r>
          </w:p>
        </w:tc>
      </w:tr>
      <w:tr w:rsidR="008B6563" w:rsidRPr="008B6563" w14:paraId="02266C23" w14:textId="77777777" w:rsidTr="00E26D25">
        <w:trPr>
          <w:trHeight w:val="304"/>
        </w:trPr>
        <w:tc>
          <w:tcPr>
            <w:tcW w:w="4980" w:type="dxa"/>
          </w:tcPr>
          <w:p w14:paraId="20B61505" w14:textId="77777777" w:rsidR="008B6563" w:rsidRPr="008B6563" w:rsidRDefault="008B6563" w:rsidP="00671524">
            <w:pPr>
              <w:spacing w:before="100" w:beforeAutospacing="1" w:after="100" w:afterAutospacing="1" w:line="360" w:lineRule="auto"/>
              <w:rPr>
                <w:rFonts w:asciiTheme="majorHAnsi" w:hAnsiTheme="majorHAnsi" w:cstheme="majorHAnsi"/>
                <w:sz w:val="22"/>
                <w:szCs w:val="22"/>
              </w:rPr>
            </w:pPr>
            <w:r w:rsidRPr="008B6563">
              <w:rPr>
                <w:rFonts w:asciiTheme="majorHAnsi" w:hAnsiTheme="majorHAnsi" w:cstheme="majorHAnsi"/>
                <w:sz w:val="22"/>
                <w:szCs w:val="22"/>
              </w:rPr>
              <w:t>Usefulness (school planning, budgeting &amp; operations, etc.)</w:t>
            </w:r>
          </w:p>
        </w:tc>
        <w:tc>
          <w:tcPr>
            <w:tcW w:w="829" w:type="dxa"/>
          </w:tcPr>
          <w:p w14:paraId="045135A4" w14:textId="77777777" w:rsidR="008B6563" w:rsidRPr="008B6563" w:rsidRDefault="008B6563" w:rsidP="00671524">
            <w:pPr>
              <w:spacing w:before="100" w:beforeAutospacing="1" w:after="100" w:afterAutospacing="1" w:line="360" w:lineRule="auto"/>
              <w:rPr>
                <w:rFonts w:asciiTheme="majorHAnsi" w:hAnsiTheme="majorHAnsi" w:cstheme="majorHAnsi"/>
                <w:sz w:val="22"/>
                <w:szCs w:val="22"/>
              </w:rPr>
            </w:pPr>
            <w:r>
              <w:rPr>
                <w:rFonts w:asciiTheme="majorHAnsi" w:hAnsiTheme="majorHAnsi" w:cstheme="majorHAnsi"/>
                <w:sz w:val="22"/>
                <w:szCs w:val="22"/>
              </w:rPr>
              <w:t>62%</w:t>
            </w:r>
          </w:p>
        </w:tc>
        <w:tc>
          <w:tcPr>
            <w:tcW w:w="1160" w:type="dxa"/>
          </w:tcPr>
          <w:p w14:paraId="3A83795E" w14:textId="77777777" w:rsidR="008B6563" w:rsidRPr="008B6563" w:rsidRDefault="008B6563" w:rsidP="00671524">
            <w:pPr>
              <w:spacing w:before="100" w:beforeAutospacing="1" w:after="100" w:afterAutospacing="1" w:line="360" w:lineRule="auto"/>
              <w:rPr>
                <w:rFonts w:asciiTheme="majorHAnsi" w:hAnsiTheme="majorHAnsi" w:cstheme="majorHAnsi"/>
                <w:sz w:val="22"/>
                <w:szCs w:val="22"/>
              </w:rPr>
            </w:pPr>
            <w:r>
              <w:rPr>
                <w:rFonts w:asciiTheme="majorHAnsi" w:hAnsiTheme="majorHAnsi" w:cstheme="majorHAnsi"/>
                <w:sz w:val="22"/>
                <w:szCs w:val="22"/>
              </w:rPr>
              <w:t>55%</w:t>
            </w:r>
          </w:p>
        </w:tc>
        <w:tc>
          <w:tcPr>
            <w:tcW w:w="844" w:type="dxa"/>
          </w:tcPr>
          <w:p w14:paraId="60D3EC1B" w14:textId="77777777" w:rsidR="008B6563" w:rsidRPr="008B6563" w:rsidRDefault="008B6563" w:rsidP="00671524">
            <w:pPr>
              <w:spacing w:before="100" w:beforeAutospacing="1" w:after="100" w:afterAutospacing="1" w:line="360" w:lineRule="auto"/>
              <w:rPr>
                <w:rFonts w:asciiTheme="majorHAnsi" w:hAnsiTheme="majorHAnsi" w:cstheme="majorHAnsi"/>
                <w:sz w:val="22"/>
                <w:szCs w:val="22"/>
              </w:rPr>
            </w:pPr>
            <w:r>
              <w:rPr>
                <w:rFonts w:asciiTheme="majorHAnsi" w:hAnsiTheme="majorHAnsi" w:cstheme="majorHAnsi"/>
                <w:sz w:val="22"/>
                <w:szCs w:val="22"/>
              </w:rPr>
              <w:t>100%</w:t>
            </w:r>
          </w:p>
        </w:tc>
        <w:tc>
          <w:tcPr>
            <w:tcW w:w="1162" w:type="dxa"/>
          </w:tcPr>
          <w:p w14:paraId="3D15A34C" w14:textId="77777777" w:rsidR="008B6563" w:rsidRPr="008B6563" w:rsidRDefault="008B6563" w:rsidP="00671524">
            <w:pPr>
              <w:spacing w:before="100" w:beforeAutospacing="1" w:after="100" w:afterAutospacing="1" w:line="360" w:lineRule="auto"/>
              <w:rPr>
                <w:rFonts w:asciiTheme="majorHAnsi" w:hAnsiTheme="majorHAnsi" w:cstheme="majorHAnsi"/>
                <w:sz w:val="22"/>
                <w:szCs w:val="22"/>
              </w:rPr>
            </w:pPr>
            <w:r>
              <w:rPr>
                <w:rFonts w:asciiTheme="majorHAnsi" w:hAnsiTheme="majorHAnsi" w:cstheme="majorHAnsi"/>
                <w:sz w:val="22"/>
                <w:szCs w:val="22"/>
              </w:rPr>
              <w:t>84%</w:t>
            </w:r>
          </w:p>
        </w:tc>
      </w:tr>
      <w:tr w:rsidR="00DA2761" w:rsidRPr="008B6563" w14:paraId="4FC3DA16" w14:textId="77777777" w:rsidTr="00E26D25">
        <w:trPr>
          <w:trHeight w:val="304"/>
        </w:trPr>
        <w:tc>
          <w:tcPr>
            <w:tcW w:w="4980" w:type="dxa"/>
          </w:tcPr>
          <w:p w14:paraId="61B35299" w14:textId="7831CD6C" w:rsidR="00DA2761" w:rsidRDefault="00DA2761" w:rsidP="00671524">
            <w:pPr>
              <w:spacing w:before="100" w:beforeAutospacing="1" w:after="100" w:afterAutospacing="1" w:line="360" w:lineRule="auto"/>
              <w:rPr>
                <w:rFonts w:asciiTheme="majorHAnsi" w:hAnsiTheme="majorHAnsi" w:cstheme="majorHAnsi"/>
                <w:sz w:val="22"/>
                <w:szCs w:val="22"/>
              </w:rPr>
            </w:pPr>
            <w:r w:rsidRPr="008B6563">
              <w:rPr>
                <w:rFonts w:asciiTheme="majorHAnsi" w:hAnsiTheme="majorHAnsi" w:cstheme="majorHAnsi"/>
                <w:sz w:val="22"/>
                <w:szCs w:val="22"/>
              </w:rPr>
              <w:t>Contribution to improving teaching delivery</w:t>
            </w:r>
          </w:p>
        </w:tc>
        <w:tc>
          <w:tcPr>
            <w:tcW w:w="829" w:type="dxa"/>
          </w:tcPr>
          <w:p w14:paraId="37749FE2" w14:textId="77777777" w:rsidR="00DA2761" w:rsidRPr="008B6563" w:rsidRDefault="00DA2761" w:rsidP="00671524">
            <w:pPr>
              <w:spacing w:before="100" w:beforeAutospacing="1" w:after="100" w:afterAutospacing="1" w:line="360" w:lineRule="auto"/>
              <w:rPr>
                <w:rFonts w:asciiTheme="majorHAnsi" w:hAnsiTheme="majorHAnsi" w:cstheme="majorHAnsi"/>
                <w:sz w:val="22"/>
                <w:szCs w:val="22"/>
              </w:rPr>
            </w:pPr>
          </w:p>
        </w:tc>
        <w:tc>
          <w:tcPr>
            <w:tcW w:w="1160" w:type="dxa"/>
          </w:tcPr>
          <w:p w14:paraId="102674F3" w14:textId="77777777" w:rsidR="00DA2761" w:rsidRPr="008B6563" w:rsidRDefault="00DA2761" w:rsidP="00671524">
            <w:pPr>
              <w:spacing w:before="100" w:beforeAutospacing="1" w:after="100" w:afterAutospacing="1" w:line="360" w:lineRule="auto"/>
              <w:rPr>
                <w:rFonts w:asciiTheme="majorHAnsi" w:hAnsiTheme="majorHAnsi" w:cstheme="majorHAnsi"/>
                <w:sz w:val="22"/>
                <w:szCs w:val="22"/>
              </w:rPr>
            </w:pPr>
          </w:p>
        </w:tc>
        <w:tc>
          <w:tcPr>
            <w:tcW w:w="844" w:type="dxa"/>
          </w:tcPr>
          <w:p w14:paraId="2E614B92" w14:textId="77777777" w:rsidR="00DA2761" w:rsidRPr="008B6563" w:rsidRDefault="00DA2761" w:rsidP="00671524">
            <w:pPr>
              <w:spacing w:before="100" w:beforeAutospacing="1" w:after="100" w:afterAutospacing="1" w:line="360" w:lineRule="auto"/>
              <w:rPr>
                <w:rFonts w:asciiTheme="majorHAnsi" w:hAnsiTheme="majorHAnsi" w:cstheme="majorHAnsi"/>
                <w:sz w:val="22"/>
                <w:szCs w:val="22"/>
              </w:rPr>
            </w:pPr>
          </w:p>
        </w:tc>
        <w:tc>
          <w:tcPr>
            <w:tcW w:w="1162" w:type="dxa"/>
          </w:tcPr>
          <w:p w14:paraId="659CE9D7" w14:textId="5B528E51" w:rsidR="00DA2761" w:rsidRPr="008B6563" w:rsidRDefault="00DA2761" w:rsidP="00671524">
            <w:pPr>
              <w:spacing w:before="100" w:beforeAutospacing="1" w:after="100" w:afterAutospacing="1" w:line="360" w:lineRule="auto"/>
              <w:rPr>
                <w:rFonts w:asciiTheme="majorHAnsi" w:hAnsiTheme="majorHAnsi" w:cstheme="majorHAnsi"/>
                <w:sz w:val="22"/>
                <w:szCs w:val="22"/>
              </w:rPr>
            </w:pPr>
            <w:r>
              <w:rPr>
                <w:rFonts w:asciiTheme="majorHAnsi" w:hAnsiTheme="majorHAnsi" w:cstheme="majorHAnsi"/>
                <w:sz w:val="22"/>
                <w:szCs w:val="22"/>
              </w:rPr>
              <w:t>59%</w:t>
            </w:r>
          </w:p>
        </w:tc>
      </w:tr>
      <w:tr w:rsidR="008B6563" w:rsidRPr="008B6563" w14:paraId="1CC5DE97" w14:textId="77777777" w:rsidTr="00E26D25">
        <w:trPr>
          <w:trHeight w:val="304"/>
        </w:trPr>
        <w:tc>
          <w:tcPr>
            <w:tcW w:w="4980" w:type="dxa"/>
          </w:tcPr>
          <w:p w14:paraId="4BBE314A" w14:textId="77777777" w:rsidR="008B6563" w:rsidRPr="008B6563" w:rsidRDefault="008B6563" w:rsidP="00671524">
            <w:pPr>
              <w:spacing w:before="100" w:beforeAutospacing="1" w:after="100" w:afterAutospacing="1" w:line="360" w:lineRule="auto"/>
              <w:rPr>
                <w:rFonts w:asciiTheme="majorHAnsi" w:hAnsiTheme="majorHAnsi" w:cstheme="majorHAnsi"/>
                <w:sz w:val="22"/>
                <w:szCs w:val="22"/>
              </w:rPr>
            </w:pPr>
            <w:r>
              <w:rPr>
                <w:rFonts w:asciiTheme="majorHAnsi" w:hAnsiTheme="majorHAnsi" w:cstheme="majorHAnsi"/>
                <w:sz w:val="22"/>
                <w:szCs w:val="22"/>
              </w:rPr>
              <w:t>Learner Resource (LR) Portal</w:t>
            </w:r>
          </w:p>
        </w:tc>
        <w:tc>
          <w:tcPr>
            <w:tcW w:w="829" w:type="dxa"/>
          </w:tcPr>
          <w:p w14:paraId="5A75B494" w14:textId="77777777" w:rsidR="008B6563" w:rsidRPr="008B6563" w:rsidRDefault="008B6563" w:rsidP="00671524">
            <w:pPr>
              <w:spacing w:before="100" w:beforeAutospacing="1" w:after="100" w:afterAutospacing="1" w:line="360" w:lineRule="auto"/>
              <w:rPr>
                <w:rFonts w:asciiTheme="majorHAnsi" w:hAnsiTheme="majorHAnsi" w:cstheme="majorHAnsi"/>
                <w:sz w:val="22"/>
                <w:szCs w:val="22"/>
              </w:rPr>
            </w:pPr>
          </w:p>
        </w:tc>
        <w:tc>
          <w:tcPr>
            <w:tcW w:w="1160" w:type="dxa"/>
          </w:tcPr>
          <w:p w14:paraId="709D83A7" w14:textId="77777777" w:rsidR="008B6563" w:rsidRPr="008B6563" w:rsidRDefault="008B6563" w:rsidP="00671524">
            <w:pPr>
              <w:spacing w:before="100" w:beforeAutospacing="1" w:after="100" w:afterAutospacing="1" w:line="360" w:lineRule="auto"/>
              <w:rPr>
                <w:rFonts w:asciiTheme="majorHAnsi" w:hAnsiTheme="majorHAnsi" w:cstheme="majorHAnsi"/>
                <w:sz w:val="22"/>
                <w:szCs w:val="22"/>
              </w:rPr>
            </w:pPr>
          </w:p>
        </w:tc>
        <w:tc>
          <w:tcPr>
            <w:tcW w:w="844" w:type="dxa"/>
          </w:tcPr>
          <w:p w14:paraId="65D0A177" w14:textId="77777777" w:rsidR="008B6563" w:rsidRPr="008B6563" w:rsidRDefault="008B6563" w:rsidP="00671524">
            <w:pPr>
              <w:spacing w:before="100" w:beforeAutospacing="1" w:after="100" w:afterAutospacing="1" w:line="360" w:lineRule="auto"/>
              <w:rPr>
                <w:rFonts w:asciiTheme="majorHAnsi" w:hAnsiTheme="majorHAnsi" w:cstheme="majorHAnsi"/>
                <w:sz w:val="22"/>
                <w:szCs w:val="22"/>
              </w:rPr>
            </w:pPr>
          </w:p>
        </w:tc>
        <w:tc>
          <w:tcPr>
            <w:tcW w:w="1162" w:type="dxa"/>
          </w:tcPr>
          <w:p w14:paraId="0FCF3F8E" w14:textId="77777777" w:rsidR="008B6563" w:rsidRPr="008B6563" w:rsidRDefault="008B6563" w:rsidP="00671524">
            <w:pPr>
              <w:spacing w:before="100" w:beforeAutospacing="1" w:after="100" w:afterAutospacing="1" w:line="360" w:lineRule="auto"/>
              <w:rPr>
                <w:rFonts w:asciiTheme="majorHAnsi" w:hAnsiTheme="majorHAnsi" w:cstheme="majorHAnsi"/>
                <w:sz w:val="22"/>
                <w:szCs w:val="22"/>
              </w:rPr>
            </w:pPr>
          </w:p>
        </w:tc>
      </w:tr>
      <w:tr w:rsidR="008B6563" w:rsidRPr="008B6563" w14:paraId="3B73F8E4" w14:textId="77777777" w:rsidTr="00E26D25">
        <w:trPr>
          <w:trHeight w:val="304"/>
        </w:trPr>
        <w:tc>
          <w:tcPr>
            <w:tcW w:w="4980" w:type="dxa"/>
          </w:tcPr>
          <w:p w14:paraId="6DF8FC94" w14:textId="77777777" w:rsidR="008B6563" w:rsidRPr="008B6563" w:rsidRDefault="008B6563" w:rsidP="00671524">
            <w:pPr>
              <w:spacing w:before="100" w:beforeAutospacing="1" w:after="100" w:afterAutospacing="1" w:line="360" w:lineRule="auto"/>
              <w:rPr>
                <w:rFonts w:asciiTheme="majorHAnsi" w:hAnsiTheme="majorHAnsi" w:cstheme="majorHAnsi"/>
                <w:sz w:val="22"/>
                <w:szCs w:val="22"/>
              </w:rPr>
            </w:pPr>
            <w:r w:rsidRPr="008B6563">
              <w:rPr>
                <w:rFonts w:asciiTheme="majorHAnsi" w:hAnsiTheme="majorHAnsi" w:cstheme="majorHAnsi"/>
                <w:sz w:val="22"/>
                <w:szCs w:val="22"/>
              </w:rPr>
              <w:t>Ease of access (connecting to the system)</w:t>
            </w:r>
          </w:p>
        </w:tc>
        <w:tc>
          <w:tcPr>
            <w:tcW w:w="829" w:type="dxa"/>
          </w:tcPr>
          <w:p w14:paraId="03FE9CAD" w14:textId="77777777" w:rsidR="008B6563" w:rsidRPr="008B6563" w:rsidRDefault="008B6563" w:rsidP="00671524">
            <w:pPr>
              <w:spacing w:before="100" w:beforeAutospacing="1" w:after="100" w:afterAutospacing="1" w:line="360" w:lineRule="auto"/>
              <w:rPr>
                <w:rFonts w:asciiTheme="majorHAnsi" w:hAnsiTheme="majorHAnsi" w:cstheme="majorHAnsi"/>
                <w:sz w:val="22"/>
                <w:szCs w:val="22"/>
              </w:rPr>
            </w:pPr>
            <w:r>
              <w:rPr>
                <w:rFonts w:asciiTheme="majorHAnsi" w:hAnsiTheme="majorHAnsi" w:cstheme="majorHAnsi"/>
                <w:sz w:val="22"/>
                <w:szCs w:val="22"/>
              </w:rPr>
              <w:t>28%</w:t>
            </w:r>
          </w:p>
        </w:tc>
        <w:tc>
          <w:tcPr>
            <w:tcW w:w="1160" w:type="dxa"/>
          </w:tcPr>
          <w:p w14:paraId="59CD4355" w14:textId="77777777" w:rsidR="008B6563" w:rsidRPr="008B6563" w:rsidRDefault="008B6563" w:rsidP="00671524">
            <w:pPr>
              <w:spacing w:before="100" w:beforeAutospacing="1" w:after="100" w:afterAutospacing="1" w:line="360" w:lineRule="auto"/>
              <w:rPr>
                <w:rFonts w:asciiTheme="majorHAnsi" w:hAnsiTheme="majorHAnsi" w:cstheme="majorHAnsi"/>
                <w:sz w:val="22"/>
                <w:szCs w:val="22"/>
              </w:rPr>
            </w:pPr>
            <w:r>
              <w:rPr>
                <w:rFonts w:asciiTheme="majorHAnsi" w:hAnsiTheme="majorHAnsi" w:cstheme="majorHAnsi"/>
                <w:sz w:val="22"/>
                <w:szCs w:val="22"/>
              </w:rPr>
              <w:t>31%</w:t>
            </w:r>
          </w:p>
        </w:tc>
        <w:tc>
          <w:tcPr>
            <w:tcW w:w="844" w:type="dxa"/>
          </w:tcPr>
          <w:p w14:paraId="329CED58" w14:textId="77777777" w:rsidR="008B6563" w:rsidRPr="008B6563" w:rsidRDefault="008B6563" w:rsidP="00671524">
            <w:pPr>
              <w:spacing w:before="100" w:beforeAutospacing="1" w:after="100" w:afterAutospacing="1" w:line="360" w:lineRule="auto"/>
              <w:rPr>
                <w:rFonts w:asciiTheme="majorHAnsi" w:hAnsiTheme="majorHAnsi" w:cstheme="majorHAnsi"/>
                <w:sz w:val="22"/>
                <w:szCs w:val="22"/>
              </w:rPr>
            </w:pPr>
            <w:r>
              <w:rPr>
                <w:rFonts w:asciiTheme="majorHAnsi" w:hAnsiTheme="majorHAnsi" w:cstheme="majorHAnsi"/>
                <w:sz w:val="22"/>
                <w:szCs w:val="22"/>
              </w:rPr>
              <w:t>60%</w:t>
            </w:r>
          </w:p>
        </w:tc>
        <w:tc>
          <w:tcPr>
            <w:tcW w:w="1162" w:type="dxa"/>
          </w:tcPr>
          <w:p w14:paraId="494A1E29" w14:textId="77777777" w:rsidR="008B6563" w:rsidRPr="008B6563" w:rsidRDefault="008B6563" w:rsidP="00671524">
            <w:pPr>
              <w:spacing w:before="100" w:beforeAutospacing="1" w:after="100" w:afterAutospacing="1" w:line="360" w:lineRule="auto"/>
              <w:rPr>
                <w:rFonts w:asciiTheme="majorHAnsi" w:hAnsiTheme="majorHAnsi" w:cstheme="majorHAnsi"/>
                <w:sz w:val="22"/>
                <w:szCs w:val="22"/>
              </w:rPr>
            </w:pPr>
            <w:r>
              <w:rPr>
                <w:rFonts w:asciiTheme="majorHAnsi" w:hAnsiTheme="majorHAnsi" w:cstheme="majorHAnsi"/>
                <w:sz w:val="22"/>
                <w:szCs w:val="22"/>
              </w:rPr>
              <w:t>45%</w:t>
            </w:r>
          </w:p>
        </w:tc>
      </w:tr>
      <w:tr w:rsidR="008B6563" w:rsidRPr="008B6563" w14:paraId="250FA890" w14:textId="77777777" w:rsidTr="00E26D25">
        <w:trPr>
          <w:trHeight w:val="304"/>
        </w:trPr>
        <w:tc>
          <w:tcPr>
            <w:tcW w:w="4980" w:type="dxa"/>
          </w:tcPr>
          <w:p w14:paraId="6B200F2E" w14:textId="77777777" w:rsidR="008B6563" w:rsidRPr="008B6563" w:rsidRDefault="008B6563" w:rsidP="00671524">
            <w:pPr>
              <w:spacing w:before="100" w:beforeAutospacing="1" w:after="100" w:afterAutospacing="1" w:line="360" w:lineRule="auto"/>
              <w:rPr>
                <w:rFonts w:asciiTheme="majorHAnsi" w:hAnsiTheme="majorHAnsi" w:cstheme="majorHAnsi"/>
                <w:sz w:val="22"/>
                <w:szCs w:val="22"/>
              </w:rPr>
            </w:pPr>
            <w:r w:rsidRPr="008B6563">
              <w:rPr>
                <w:rFonts w:asciiTheme="majorHAnsi" w:hAnsiTheme="majorHAnsi" w:cstheme="majorHAnsi"/>
                <w:sz w:val="22"/>
                <w:szCs w:val="22"/>
              </w:rPr>
              <w:t>User-friendliness of system (navigation)</w:t>
            </w:r>
          </w:p>
        </w:tc>
        <w:tc>
          <w:tcPr>
            <w:tcW w:w="829" w:type="dxa"/>
          </w:tcPr>
          <w:p w14:paraId="47F33512" w14:textId="77777777" w:rsidR="008B6563" w:rsidRPr="008B6563" w:rsidRDefault="008B6563" w:rsidP="00671524">
            <w:pPr>
              <w:spacing w:before="100" w:beforeAutospacing="1" w:after="100" w:afterAutospacing="1" w:line="360" w:lineRule="auto"/>
              <w:rPr>
                <w:rFonts w:asciiTheme="majorHAnsi" w:hAnsiTheme="majorHAnsi" w:cstheme="majorHAnsi"/>
                <w:sz w:val="22"/>
                <w:szCs w:val="22"/>
              </w:rPr>
            </w:pPr>
            <w:r>
              <w:rPr>
                <w:rFonts w:asciiTheme="majorHAnsi" w:hAnsiTheme="majorHAnsi" w:cstheme="majorHAnsi"/>
                <w:sz w:val="22"/>
                <w:szCs w:val="22"/>
              </w:rPr>
              <w:t>33%</w:t>
            </w:r>
          </w:p>
        </w:tc>
        <w:tc>
          <w:tcPr>
            <w:tcW w:w="1160" w:type="dxa"/>
          </w:tcPr>
          <w:p w14:paraId="5847D9F7" w14:textId="77777777" w:rsidR="008B6563" w:rsidRPr="008B6563" w:rsidRDefault="008B6563" w:rsidP="00671524">
            <w:pPr>
              <w:spacing w:before="100" w:beforeAutospacing="1" w:after="100" w:afterAutospacing="1" w:line="360" w:lineRule="auto"/>
              <w:rPr>
                <w:rFonts w:asciiTheme="majorHAnsi" w:hAnsiTheme="majorHAnsi" w:cstheme="majorHAnsi"/>
                <w:sz w:val="22"/>
                <w:szCs w:val="22"/>
              </w:rPr>
            </w:pPr>
            <w:r>
              <w:rPr>
                <w:rFonts w:asciiTheme="majorHAnsi" w:hAnsiTheme="majorHAnsi" w:cstheme="majorHAnsi"/>
                <w:sz w:val="22"/>
                <w:szCs w:val="22"/>
              </w:rPr>
              <w:t>33%</w:t>
            </w:r>
          </w:p>
        </w:tc>
        <w:tc>
          <w:tcPr>
            <w:tcW w:w="844" w:type="dxa"/>
          </w:tcPr>
          <w:p w14:paraId="5781BE2F" w14:textId="77777777" w:rsidR="008B6563" w:rsidRPr="008B6563" w:rsidRDefault="008B6563" w:rsidP="00671524">
            <w:pPr>
              <w:spacing w:before="100" w:beforeAutospacing="1" w:after="100" w:afterAutospacing="1" w:line="360" w:lineRule="auto"/>
              <w:rPr>
                <w:rFonts w:asciiTheme="majorHAnsi" w:hAnsiTheme="majorHAnsi" w:cstheme="majorHAnsi"/>
                <w:sz w:val="22"/>
                <w:szCs w:val="22"/>
              </w:rPr>
            </w:pPr>
            <w:r>
              <w:rPr>
                <w:rFonts w:asciiTheme="majorHAnsi" w:hAnsiTheme="majorHAnsi" w:cstheme="majorHAnsi"/>
                <w:sz w:val="22"/>
                <w:szCs w:val="22"/>
              </w:rPr>
              <w:t>70%</w:t>
            </w:r>
          </w:p>
        </w:tc>
        <w:tc>
          <w:tcPr>
            <w:tcW w:w="1162" w:type="dxa"/>
          </w:tcPr>
          <w:p w14:paraId="2769E8AB" w14:textId="77777777" w:rsidR="008B6563" w:rsidRPr="008B6563" w:rsidRDefault="008B6563" w:rsidP="00671524">
            <w:pPr>
              <w:spacing w:before="100" w:beforeAutospacing="1" w:after="100" w:afterAutospacing="1" w:line="360" w:lineRule="auto"/>
              <w:rPr>
                <w:rFonts w:asciiTheme="majorHAnsi" w:hAnsiTheme="majorHAnsi" w:cstheme="majorHAnsi"/>
                <w:sz w:val="22"/>
                <w:szCs w:val="22"/>
              </w:rPr>
            </w:pPr>
            <w:r>
              <w:rPr>
                <w:rFonts w:asciiTheme="majorHAnsi" w:hAnsiTheme="majorHAnsi" w:cstheme="majorHAnsi"/>
                <w:sz w:val="22"/>
                <w:szCs w:val="22"/>
              </w:rPr>
              <w:t>54%</w:t>
            </w:r>
          </w:p>
        </w:tc>
      </w:tr>
      <w:tr w:rsidR="008B6563" w:rsidRPr="008B6563" w14:paraId="684864E8" w14:textId="77777777" w:rsidTr="00E26D25">
        <w:trPr>
          <w:trHeight w:val="304"/>
        </w:trPr>
        <w:tc>
          <w:tcPr>
            <w:tcW w:w="4980" w:type="dxa"/>
          </w:tcPr>
          <w:p w14:paraId="64C257E1" w14:textId="77777777" w:rsidR="008B6563" w:rsidRPr="008B6563" w:rsidRDefault="008B6563" w:rsidP="00671524">
            <w:pPr>
              <w:spacing w:before="100" w:beforeAutospacing="1" w:after="100" w:afterAutospacing="1" w:line="360" w:lineRule="auto"/>
              <w:rPr>
                <w:rFonts w:asciiTheme="majorHAnsi" w:hAnsiTheme="majorHAnsi" w:cstheme="majorHAnsi"/>
                <w:sz w:val="22"/>
                <w:szCs w:val="22"/>
              </w:rPr>
            </w:pPr>
            <w:r w:rsidRPr="008B6563">
              <w:rPr>
                <w:rFonts w:asciiTheme="majorHAnsi" w:hAnsiTheme="majorHAnsi" w:cstheme="majorHAnsi"/>
                <w:sz w:val="22"/>
                <w:szCs w:val="22"/>
              </w:rPr>
              <w:t>Usefulness (school planning, budgeting &amp; operations, etc.)</w:t>
            </w:r>
          </w:p>
        </w:tc>
        <w:tc>
          <w:tcPr>
            <w:tcW w:w="829" w:type="dxa"/>
          </w:tcPr>
          <w:p w14:paraId="0EB23C17" w14:textId="77777777" w:rsidR="008B6563" w:rsidRPr="008B6563" w:rsidRDefault="008B6563" w:rsidP="00671524">
            <w:pPr>
              <w:spacing w:before="100" w:beforeAutospacing="1" w:after="100" w:afterAutospacing="1" w:line="360" w:lineRule="auto"/>
              <w:rPr>
                <w:rFonts w:asciiTheme="majorHAnsi" w:hAnsiTheme="majorHAnsi" w:cstheme="majorHAnsi"/>
                <w:sz w:val="22"/>
                <w:szCs w:val="22"/>
              </w:rPr>
            </w:pPr>
            <w:r>
              <w:rPr>
                <w:rFonts w:asciiTheme="majorHAnsi" w:hAnsiTheme="majorHAnsi" w:cstheme="majorHAnsi"/>
                <w:sz w:val="22"/>
                <w:szCs w:val="22"/>
              </w:rPr>
              <w:t>44%</w:t>
            </w:r>
          </w:p>
        </w:tc>
        <w:tc>
          <w:tcPr>
            <w:tcW w:w="1160" w:type="dxa"/>
          </w:tcPr>
          <w:p w14:paraId="66B800AA" w14:textId="77777777" w:rsidR="008B6563" w:rsidRPr="008B6563" w:rsidRDefault="008B6563" w:rsidP="00671524">
            <w:pPr>
              <w:spacing w:before="100" w:beforeAutospacing="1" w:after="100" w:afterAutospacing="1" w:line="360" w:lineRule="auto"/>
              <w:rPr>
                <w:rFonts w:asciiTheme="majorHAnsi" w:hAnsiTheme="majorHAnsi" w:cstheme="majorHAnsi"/>
                <w:sz w:val="22"/>
                <w:szCs w:val="22"/>
              </w:rPr>
            </w:pPr>
            <w:r>
              <w:rPr>
                <w:rFonts w:asciiTheme="majorHAnsi" w:hAnsiTheme="majorHAnsi" w:cstheme="majorHAnsi"/>
                <w:sz w:val="22"/>
                <w:szCs w:val="22"/>
              </w:rPr>
              <w:t>45%</w:t>
            </w:r>
          </w:p>
        </w:tc>
        <w:tc>
          <w:tcPr>
            <w:tcW w:w="844" w:type="dxa"/>
          </w:tcPr>
          <w:p w14:paraId="3BFE7072" w14:textId="77777777" w:rsidR="008B6563" w:rsidRPr="008B6563" w:rsidRDefault="008B6563" w:rsidP="00671524">
            <w:pPr>
              <w:spacing w:before="100" w:beforeAutospacing="1" w:after="100" w:afterAutospacing="1" w:line="360" w:lineRule="auto"/>
              <w:rPr>
                <w:rFonts w:asciiTheme="majorHAnsi" w:hAnsiTheme="majorHAnsi" w:cstheme="majorHAnsi"/>
                <w:sz w:val="22"/>
                <w:szCs w:val="22"/>
              </w:rPr>
            </w:pPr>
            <w:r>
              <w:rPr>
                <w:rFonts w:asciiTheme="majorHAnsi" w:hAnsiTheme="majorHAnsi" w:cstheme="majorHAnsi"/>
                <w:sz w:val="22"/>
                <w:szCs w:val="22"/>
              </w:rPr>
              <w:t>70%</w:t>
            </w:r>
          </w:p>
        </w:tc>
        <w:tc>
          <w:tcPr>
            <w:tcW w:w="1162" w:type="dxa"/>
          </w:tcPr>
          <w:p w14:paraId="2B2C9477" w14:textId="77777777" w:rsidR="008B6563" w:rsidRPr="008B6563" w:rsidRDefault="008B6563" w:rsidP="00671524">
            <w:pPr>
              <w:spacing w:before="100" w:beforeAutospacing="1" w:after="100" w:afterAutospacing="1" w:line="360" w:lineRule="auto"/>
              <w:rPr>
                <w:rFonts w:asciiTheme="majorHAnsi" w:hAnsiTheme="majorHAnsi" w:cstheme="majorHAnsi"/>
                <w:sz w:val="22"/>
                <w:szCs w:val="22"/>
              </w:rPr>
            </w:pPr>
            <w:r>
              <w:rPr>
                <w:rFonts w:asciiTheme="majorHAnsi" w:hAnsiTheme="majorHAnsi" w:cstheme="majorHAnsi"/>
                <w:sz w:val="22"/>
                <w:szCs w:val="22"/>
              </w:rPr>
              <w:t>54%</w:t>
            </w:r>
          </w:p>
        </w:tc>
      </w:tr>
      <w:tr w:rsidR="00DA2761" w:rsidRPr="008B6563" w14:paraId="3F997C88" w14:textId="77777777" w:rsidTr="00E26D25">
        <w:trPr>
          <w:trHeight w:val="304"/>
        </w:trPr>
        <w:tc>
          <w:tcPr>
            <w:tcW w:w="4980" w:type="dxa"/>
          </w:tcPr>
          <w:p w14:paraId="741CA6C1" w14:textId="6C4B8454" w:rsidR="00DA2761" w:rsidRPr="008B6563" w:rsidRDefault="00DA2761" w:rsidP="00DA2761">
            <w:pPr>
              <w:spacing w:before="100" w:beforeAutospacing="1" w:after="100" w:afterAutospacing="1" w:line="360" w:lineRule="auto"/>
              <w:rPr>
                <w:rFonts w:asciiTheme="majorHAnsi" w:hAnsiTheme="majorHAnsi" w:cstheme="majorHAnsi"/>
                <w:sz w:val="22"/>
                <w:szCs w:val="22"/>
              </w:rPr>
            </w:pPr>
            <w:r w:rsidRPr="008B6563">
              <w:rPr>
                <w:rFonts w:asciiTheme="majorHAnsi" w:hAnsiTheme="majorHAnsi" w:cstheme="majorHAnsi"/>
                <w:sz w:val="22"/>
                <w:szCs w:val="22"/>
              </w:rPr>
              <w:t>Contribution to improving teaching delivery</w:t>
            </w:r>
          </w:p>
        </w:tc>
        <w:tc>
          <w:tcPr>
            <w:tcW w:w="829" w:type="dxa"/>
          </w:tcPr>
          <w:p w14:paraId="0A36372C" w14:textId="77777777" w:rsidR="00DA2761" w:rsidRDefault="00DA2761" w:rsidP="00DA2761">
            <w:pPr>
              <w:spacing w:before="100" w:beforeAutospacing="1" w:after="100" w:afterAutospacing="1" w:line="360" w:lineRule="auto"/>
              <w:rPr>
                <w:rFonts w:asciiTheme="majorHAnsi" w:hAnsiTheme="majorHAnsi" w:cstheme="majorHAnsi"/>
                <w:sz w:val="22"/>
                <w:szCs w:val="22"/>
              </w:rPr>
            </w:pPr>
          </w:p>
        </w:tc>
        <w:tc>
          <w:tcPr>
            <w:tcW w:w="1160" w:type="dxa"/>
          </w:tcPr>
          <w:p w14:paraId="5CEF4C9A" w14:textId="77777777" w:rsidR="00DA2761" w:rsidRDefault="00DA2761" w:rsidP="00DA2761">
            <w:pPr>
              <w:spacing w:before="100" w:beforeAutospacing="1" w:after="100" w:afterAutospacing="1" w:line="360" w:lineRule="auto"/>
              <w:rPr>
                <w:rFonts w:asciiTheme="majorHAnsi" w:hAnsiTheme="majorHAnsi" w:cstheme="majorHAnsi"/>
                <w:sz w:val="22"/>
                <w:szCs w:val="22"/>
              </w:rPr>
            </w:pPr>
          </w:p>
        </w:tc>
        <w:tc>
          <w:tcPr>
            <w:tcW w:w="844" w:type="dxa"/>
          </w:tcPr>
          <w:p w14:paraId="635AA3EF" w14:textId="77777777" w:rsidR="00DA2761" w:rsidRDefault="00DA2761" w:rsidP="00DA2761">
            <w:pPr>
              <w:spacing w:before="100" w:beforeAutospacing="1" w:after="100" w:afterAutospacing="1" w:line="360" w:lineRule="auto"/>
              <w:rPr>
                <w:rFonts w:asciiTheme="majorHAnsi" w:hAnsiTheme="majorHAnsi" w:cstheme="majorHAnsi"/>
                <w:sz w:val="22"/>
                <w:szCs w:val="22"/>
              </w:rPr>
            </w:pPr>
          </w:p>
        </w:tc>
        <w:tc>
          <w:tcPr>
            <w:tcW w:w="1162" w:type="dxa"/>
          </w:tcPr>
          <w:p w14:paraId="274FE88F" w14:textId="01CD19BC" w:rsidR="00DA2761" w:rsidRDefault="00DA2761" w:rsidP="00DA2761">
            <w:pPr>
              <w:spacing w:before="100" w:beforeAutospacing="1" w:after="100" w:afterAutospacing="1" w:line="360" w:lineRule="auto"/>
              <w:rPr>
                <w:rFonts w:asciiTheme="majorHAnsi" w:hAnsiTheme="majorHAnsi" w:cstheme="majorHAnsi"/>
                <w:sz w:val="22"/>
                <w:szCs w:val="22"/>
              </w:rPr>
            </w:pPr>
            <w:r>
              <w:rPr>
                <w:rFonts w:asciiTheme="majorHAnsi" w:hAnsiTheme="majorHAnsi" w:cstheme="majorHAnsi"/>
                <w:sz w:val="22"/>
                <w:szCs w:val="22"/>
              </w:rPr>
              <w:t>49%</w:t>
            </w:r>
          </w:p>
        </w:tc>
      </w:tr>
    </w:tbl>
    <w:p w14:paraId="68B371B3" w14:textId="168E8968" w:rsidR="008B6563" w:rsidRPr="00671524" w:rsidRDefault="008B6563" w:rsidP="00671524">
      <w:pPr>
        <w:spacing w:before="100" w:beforeAutospacing="1" w:after="100" w:afterAutospacing="1" w:line="360" w:lineRule="auto"/>
        <w:rPr>
          <w:rFonts w:asciiTheme="majorHAnsi" w:hAnsiTheme="majorHAnsi" w:cstheme="majorHAnsi"/>
          <w:sz w:val="14"/>
          <w:szCs w:val="14"/>
        </w:rPr>
      </w:pPr>
      <w:r w:rsidRPr="008B6563">
        <w:rPr>
          <w:rFonts w:asciiTheme="majorHAnsi" w:hAnsiTheme="majorHAnsi" w:cstheme="majorHAnsi"/>
          <w:sz w:val="14"/>
          <w:szCs w:val="14"/>
        </w:rPr>
        <w:t>Source: 2019 and 2020 Survey of PSHs and Teachers</w:t>
      </w:r>
    </w:p>
    <w:p w14:paraId="471DD1B2" w14:textId="77777777" w:rsidR="008D0CAD" w:rsidRDefault="008D0CAD" w:rsidP="00671524">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rPr>
        <w:t>T</w:t>
      </w:r>
      <w:r w:rsidRPr="00FD7269">
        <w:rPr>
          <w:rFonts w:asciiTheme="majorHAnsi" w:hAnsiTheme="majorHAnsi" w:cstheme="majorHAnsi"/>
        </w:rPr>
        <w:t>eachers acknowledged the general purpose of the LIS as the “gatekeeper” of learner/</w:t>
      </w:r>
      <w:r>
        <w:rPr>
          <w:rFonts w:asciiTheme="majorHAnsi" w:hAnsiTheme="majorHAnsi" w:cstheme="majorHAnsi"/>
        </w:rPr>
        <w:t xml:space="preserve"> </w:t>
      </w:r>
      <w:r w:rsidRPr="00FD7269">
        <w:rPr>
          <w:rFonts w:asciiTheme="majorHAnsi" w:hAnsiTheme="majorHAnsi" w:cstheme="majorHAnsi"/>
        </w:rPr>
        <w:t xml:space="preserve">student information. Key informants and FGD participants stressed the usefulness of the LIS in terms of getting rid of “ghost students” </w:t>
      </w:r>
      <w:r>
        <w:rPr>
          <w:rFonts w:asciiTheme="majorHAnsi" w:hAnsiTheme="majorHAnsi" w:cstheme="majorHAnsi"/>
        </w:rPr>
        <w:t xml:space="preserve">(fictitious entries) </w:t>
      </w:r>
      <w:r w:rsidRPr="00FD7269">
        <w:rPr>
          <w:rFonts w:asciiTheme="majorHAnsi" w:hAnsiTheme="majorHAnsi" w:cstheme="majorHAnsi"/>
        </w:rPr>
        <w:t>in the public</w:t>
      </w:r>
      <w:r>
        <w:rPr>
          <w:rFonts w:asciiTheme="majorHAnsi" w:hAnsiTheme="majorHAnsi" w:cstheme="majorHAnsi"/>
        </w:rPr>
        <w:t>-school</w:t>
      </w:r>
      <w:r w:rsidRPr="00FD7269">
        <w:rPr>
          <w:rFonts w:asciiTheme="majorHAnsi" w:hAnsiTheme="majorHAnsi" w:cstheme="majorHAnsi"/>
        </w:rPr>
        <w:t xml:space="preserve"> system. </w:t>
      </w:r>
      <w:r>
        <w:rPr>
          <w:rFonts w:asciiTheme="majorHAnsi" w:hAnsiTheme="majorHAnsi" w:cstheme="majorHAnsi"/>
          <w:color w:val="000000" w:themeColor="text1"/>
        </w:rPr>
        <w:t>In the case of the LR Portal,</w:t>
      </w:r>
      <w:r w:rsidRPr="00612A36">
        <w:rPr>
          <w:rFonts w:asciiTheme="majorHAnsi" w:hAnsiTheme="majorHAnsi" w:cstheme="majorHAnsi"/>
          <w:color w:val="000000" w:themeColor="text1"/>
        </w:rPr>
        <w:t xml:space="preserve"> teachers stated that </w:t>
      </w:r>
      <w:r>
        <w:rPr>
          <w:rFonts w:asciiTheme="majorHAnsi" w:hAnsiTheme="majorHAnsi" w:cstheme="majorHAnsi"/>
          <w:color w:val="000000" w:themeColor="text1"/>
        </w:rPr>
        <w:t>they</w:t>
      </w:r>
      <w:r w:rsidRPr="00612A36">
        <w:rPr>
          <w:rFonts w:asciiTheme="majorHAnsi" w:hAnsiTheme="majorHAnsi" w:cstheme="majorHAnsi"/>
          <w:color w:val="000000" w:themeColor="text1"/>
        </w:rPr>
        <w:t xml:space="preserve"> prefer</w:t>
      </w:r>
      <w:r>
        <w:rPr>
          <w:rFonts w:asciiTheme="majorHAnsi" w:hAnsiTheme="majorHAnsi" w:cstheme="majorHAnsi"/>
          <w:color w:val="000000" w:themeColor="text1"/>
        </w:rPr>
        <w:t>ed</w:t>
      </w:r>
      <w:r w:rsidRPr="00612A36">
        <w:rPr>
          <w:rFonts w:asciiTheme="majorHAnsi" w:hAnsiTheme="majorHAnsi" w:cstheme="majorHAnsi"/>
          <w:color w:val="000000" w:themeColor="text1"/>
        </w:rPr>
        <w:t xml:space="preserve"> to use other sources for teaching </w:t>
      </w:r>
      <w:r>
        <w:rPr>
          <w:rFonts w:asciiTheme="majorHAnsi" w:hAnsiTheme="majorHAnsi" w:cstheme="majorHAnsi"/>
          <w:color w:val="000000" w:themeColor="text1"/>
        </w:rPr>
        <w:t>and</w:t>
      </w:r>
      <w:r w:rsidRPr="00612A36">
        <w:rPr>
          <w:rFonts w:asciiTheme="majorHAnsi" w:hAnsiTheme="majorHAnsi" w:cstheme="majorHAnsi"/>
          <w:color w:val="000000" w:themeColor="text1"/>
        </w:rPr>
        <w:t xml:space="preserve"> learning materials such as You</w:t>
      </w:r>
      <w:r>
        <w:rPr>
          <w:rFonts w:asciiTheme="majorHAnsi" w:hAnsiTheme="majorHAnsi" w:cstheme="majorHAnsi"/>
          <w:color w:val="000000" w:themeColor="text1"/>
        </w:rPr>
        <w:t>T</w:t>
      </w:r>
      <w:r w:rsidRPr="00612A36">
        <w:rPr>
          <w:rFonts w:asciiTheme="majorHAnsi" w:hAnsiTheme="majorHAnsi" w:cstheme="majorHAnsi"/>
          <w:color w:val="000000" w:themeColor="text1"/>
        </w:rPr>
        <w:t xml:space="preserve">ube because of connectivity </w:t>
      </w:r>
      <w:r>
        <w:rPr>
          <w:rFonts w:asciiTheme="majorHAnsi" w:hAnsiTheme="majorHAnsi" w:cstheme="majorHAnsi"/>
          <w:color w:val="000000" w:themeColor="text1"/>
        </w:rPr>
        <w:t>challenges</w:t>
      </w:r>
      <w:r w:rsidRPr="00612A36">
        <w:rPr>
          <w:rFonts w:asciiTheme="majorHAnsi" w:hAnsiTheme="majorHAnsi" w:cstheme="majorHAnsi"/>
          <w:color w:val="000000" w:themeColor="text1"/>
        </w:rPr>
        <w:t>.</w:t>
      </w:r>
    </w:p>
    <w:p w14:paraId="5E026231" w14:textId="79E890A4" w:rsidR="008D0CAD" w:rsidRDefault="008D0CAD" w:rsidP="00671524">
      <w:pPr>
        <w:spacing w:before="100" w:beforeAutospacing="1" w:after="100" w:afterAutospacing="1" w:line="360" w:lineRule="auto"/>
        <w:rPr>
          <w:rFonts w:asciiTheme="majorHAnsi" w:hAnsiTheme="majorHAnsi" w:cstheme="majorHAnsi"/>
          <w:color w:val="000000" w:themeColor="text1"/>
        </w:rPr>
      </w:pPr>
      <w:r w:rsidRPr="00612A36">
        <w:rPr>
          <w:rFonts w:asciiTheme="majorHAnsi" w:hAnsiTheme="majorHAnsi" w:cstheme="majorHAnsi"/>
          <w:color w:val="000000" w:themeColor="text1"/>
        </w:rPr>
        <w:t>Access in terms of connectivity was rated the lowest for both groups but significantly lower for teachers.</w:t>
      </w:r>
      <w:r w:rsidR="00D434EB">
        <w:rPr>
          <w:rFonts w:asciiTheme="majorHAnsi" w:hAnsiTheme="majorHAnsi" w:cstheme="majorHAnsi"/>
          <w:color w:val="000000" w:themeColor="text1"/>
        </w:rPr>
        <w:t xml:space="preserve"> </w:t>
      </w:r>
      <w:r w:rsidRPr="00612A36">
        <w:rPr>
          <w:rFonts w:asciiTheme="majorHAnsi" w:hAnsiTheme="majorHAnsi" w:cstheme="majorHAnsi"/>
          <w:color w:val="000000" w:themeColor="text1"/>
        </w:rPr>
        <w:t>Th</w:t>
      </w:r>
      <w:r>
        <w:rPr>
          <w:rFonts w:asciiTheme="majorHAnsi" w:hAnsiTheme="majorHAnsi" w:cstheme="majorHAnsi"/>
          <w:color w:val="000000" w:themeColor="text1"/>
        </w:rPr>
        <w:t xml:space="preserve">ere are many issues </w:t>
      </w:r>
      <w:r w:rsidRPr="00612A36">
        <w:rPr>
          <w:rFonts w:asciiTheme="majorHAnsi" w:hAnsiTheme="majorHAnsi" w:cstheme="majorHAnsi"/>
          <w:color w:val="000000" w:themeColor="text1"/>
        </w:rPr>
        <w:t xml:space="preserve">related to </w:t>
      </w:r>
      <w:r>
        <w:rPr>
          <w:rFonts w:asciiTheme="majorHAnsi" w:hAnsiTheme="majorHAnsi" w:cstheme="majorHAnsi"/>
          <w:color w:val="000000" w:themeColor="text1"/>
        </w:rPr>
        <w:t xml:space="preserve">internet </w:t>
      </w:r>
      <w:r w:rsidRPr="00612A36">
        <w:rPr>
          <w:rFonts w:asciiTheme="majorHAnsi" w:hAnsiTheme="majorHAnsi" w:cstheme="majorHAnsi"/>
          <w:color w:val="000000" w:themeColor="text1"/>
        </w:rPr>
        <w:t>connectivity</w:t>
      </w:r>
      <w:r>
        <w:rPr>
          <w:rFonts w:asciiTheme="majorHAnsi" w:hAnsiTheme="majorHAnsi" w:cstheme="majorHAnsi"/>
          <w:color w:val="000000" w:themeColor="text1"/>
        </w:rPr>
        <w:t>, one of which is</w:t>
      </w:r>
      <w:r w:rsidRPr="00612A36">
        <w:rPr>
          <w:rFonts w:asciiTheme="majorHAnsi" w:hAnsiTheme="majorHAnsi" w:cstheme="majorHAnsi"/>
          <w:color w:val="000000" w:themeColor="text1"/>
        </w:rPr>
        <w:t xml:space="preserve"> the </w:t>
      </w:r>
      <w:r>
        <w:rPr>
          <w:rFonts w:asciiTheme="majorHAnsi" w:hAnsiTheme="majorHAnsi" w:cstheme="majorHAnsi"/>
          <w:color w:val="000000" w:themeColor="text1"/>
        </w:rPr>
        <w:t>common practice of</w:t>
      </w:r>
      <w:r w:rsidRPr="00612A36">
        <w:rPr>
          <w:rFonts w:asciiTheme="majorHAnsi" w:hAnsiTheme="majorHAnsi" w:cstheme="majorHAnsi"/>
          <w:color w:val="000000" w:themeColor="text1"/>
        </w:rPr>
        <w:t xml:space="preserve"> teachers pay</w:t>
      </w:r>
      <w:r>
        <w:rPr>
          <w:rFonts w:asciiTheme="majorHAnsi" w:hAnsiTheme="majorHAnsi" w:cstheme="majorHAnsi"/>
          <w:color w:val="000000" w:themeColor="text1"/>
        </w:rPr>
        <w:t>ing</w:t>
      </w:r>
      <w:r w:rsidRPr="00612A36">
        <w:rPr>
          <w:rFonts w:asciiTheme="majorHAnsi" w:hAnsiTheme="majorHAnsi" w:cstheme="majorHAnsi"/>
          <w:color w:val="000000" w:themeColor="text1"/>
        </w:rPr>
        <w:t xml:space="preserve"> for their own internet connection.</w:t>
      </w:r>
    </w:p>
    <w:p w14:paraId="1C7DEB69" w14:textId="6A01CC1A" w:rsidR="008D0CAD" w:rsidRPr="00306518" w:rsidRDefault="008D0CAD" w:rsidP="00671524">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rPr>
        <w:t xml:space="preserve">In the </w:t>
      </w:r>
      <w:r>
        <w:rPr>
          <w:rFonts w:asciiTheme="majorHAnsi" w:hAnsiTheme="majorHAnsi" w:cstheme="majorHAnsi"/>
          <w:color w:val="000000" w:themeColor="text1"/>
        </w:rPr>
        <w:t xml:space="preserve">Follow-up Study, </w:t>
      </w:r>
      <w:r w:rsidRPr="00306518">
        <w:rPr>
          <w:rFonts w:asciiTheme="majorHAnsi" w:hAnsiTheme="majorHAnsi" w:cstheme="majorHAnsi"/>
        </w:rPr>
        <w:t xml:space="preserve">findings were </w:t>
      </w:r>
      <w:r>
        <w:rPr>
          <w:rFonts w:asciiTheme="majorHAnsi" w:hAnsiTheme="majorHAnsi" w:cstheme="majorHAnsi"/>
        </w:rPr>
        <w:t>similar</w:t>
      </w:r>
      <w:r w:rsidRPr="00306518">
        <w:rPr>
          <w:rFonts w:asciiTheme="majorHAnsi" w:hAnsiTheme="majorHAnsi" w:cstheme="majorHAnsi"/>
        </w:rPr>
        <w:t xml:space="preserve">, i.e., access </w:t>
      </w:r>
      <w:r>
        <w:rPr>
          <w:rFonts w:asciiTheme="majorHAnsi" w:hAnsiTheme="majorHAnsi" w:cstheme="majorHAnsi"/>
        </w:rPr>
        <w:t xml:space="preserve">to the systems </w:t>
      </w:r>
      <w:r w:rsidRPr="00306518">
        <w:rPr>
          <w:rFonts w:asciiTheme="majorHAnsi" w:hAnsiTheme="majorHAnsi" w:cstheme="majorHAnsi"/>
        </w:rPr>
        <w:t xml:space="preserve">was rated the lowest feature and the LR Portal was the least useful sub-system in terms of </w:t>
      </w:r>
      <w:r w:rsidRPr="00306518">
        <w:rPr>
          <w:rFonts w:asciiTheme="majorHAnsi" w:hAnsiTheme="majorHAnsi" w:cstheme="majorHAnsi"/>
          <w:color w:val="000000" w:themeColor="text1"/>
        </w:rPr>
        <w:t xml:space="preserve">improving teaching delivery </w:t>
      </w:r>
      <w:r>
        <w:rPr>
          <w:rFonts w:asciiTheme="majorHAnsi" w:hAnsiTheme="majorHAnsi" w:cstheme="majorHAnsi"/>
          <w:color w:val="000000" w:themeColor="text1"/>
        </w:rPr>
        <w:t xml:space="preserve">as well as </w:t>
      </w:r>
      <w:r w:rsidRPr="00306518">
        <w:rPr>
          <w:rFonts w:asciiTheme="majorHAnsi" w:hAnsiTheme="majorHAnsi" w:cstheme="majorHAnsi"/>
          <w:color w:val="000000" w:themeColor="text1"/>
        </w:rPr>
        <w:t>enhancing school leadership and management</w:t>
      </w:r>
      <w:r>
        <w:rPr>
          <w:rFonts w:asciiTheme="majorHAnsi" w:hAnsiTheme="majorHAnsi" w:cstheme="majorHAnsi"/>
          <w:color w:val="000000" w:themeColor="text1"/>
        </w:rPr>
        <w:t>.</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However, respondents vacillated between “usefulness” and “user-friendliness” as the most important feature of the systems.</w:t>
      </w:r>
    </w:p>
    <w:p w14:paraId="25BCED6B" w14:textId="60473494" w:rsidR="008D0CAD" w:rsidRDefault="008D0CAD" w:rsidP="00671524">
      <w:pPr>
        <w:spacing w:before="100" w:beforeAutospacing="1" w:after="100" w:afterAutospacing="1" w:line="360" w:lineRule="auto"/>
        <w:rPr>
          <w:rFonts w:asciiTheme="majorHAnsi" w:hAnsiTheme="majorHAnsi" w:cstheme="majorHAnsi"/>
          <w:color w:val="000000" w:themeColor="text1"/>
        </w:rPr>
      </w:pPr>
      <w:r w:rsidRPr="00E65586">
        <w:rPr>
          <w:rFonts w:asciiTheme="majorHAnsi" w:hAnsiTheme="majorHAnsi" w:cstheme="majorHAnsi"/>
          <w:color w:val="000000" w:themeColor="text1"/>
        </w:rPr>
        <w:t>These findings provide several important insights.</w:t>
      </w:r>
      <w:r>
        <w:rPr>
          <w:rFonts w:asciiTheme="majorHAnsi" w:hAnsiTheme="majorHAnsi" w:cstheme="majorHAnsi"/>
          <w:color w:val="000000" w:themeColor="text1"/>
        </w:rPr>
        <w:t xml:space="preserve"> First, assessments in 2019 showed that utilisation of the three sub-systems was moderate, as a little more than half of respondents indicated having used them.</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However, in 2020, utilisation of the three sub-systems increased from high to very high. This indicates that the relevance of these systems to the schools was sustained – and increased - over time.</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However, the EOPE Study gives caution on the result of the use of the LR Portal.</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While principals and teachers note that they have used the sub-system, effectiveness of the LR Portal in providing relevant and quality teaching and learning materials was widely questioned.</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This is also discussed in Section 3.2.5.2</w:t>
      </w:r>
    </w:p>
    <w:p w14:paraId="5BECE647" w14:textId="20C5D8E1" w:rsidR="008D0CAD" w:rsidRDefault="008D0CAD" w:rsidP="00671524">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color w:val="000000" w:themeColor="text1"/>
        </w:rPr>
        <w:t>Second, there appears to be no significant distinction between the utilisation of the sub-systems by Program-supported schools and those schools not directly supported by BEST.</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This suggests positive systemic coverage of these reforms since they are not confined to direct Program beneficiaries.</w:t>
      </w:r>
      <w:r w:rsidR="00D434EB">
        <w:rPr>
          <w:rFonts w:asciiTheme="majorHAnsi" w:hAnsiTheme="majorHAnsi" w:cstheme="majorHAnsi"/>
          <w:color w:val="000000" w:themeColor="text1"/>
        </w:rPr>
        <w:t xml:space="preserve"> </w:t>
      </w:r>
    </w:p>
    <w:p w14:paraId="2A4B2BC7" w14:textId="5257CA04" w:rsidR="008D0CAD" w:rsidRPr="006229B9" w:rsidRDefault="008D0CAD" w:rsidP="00671524">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color w:val="000000" w:themeColor="text1"/>
        </w:rPr>
        <w:t>Third, the difficulties experienced by teachers related to access was the same in 2019 as in 2020, which suggest that these issues were not being addressed.</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If these issues remained unresolved, it might diminish the gains from the use of these sub-systems over time.</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For instance, schools still have difficulty uploading school data. Several school users stated in both 2019 and 2020 that they had to wake up at 2:00am, when there are fewer users on the system, just to upload their data.</w:t>
      </w:r>
    </w:p>
    <w:p w14:paraId="20DB400B" w14:textId="7ACC574D" w:rsidR="008D0CAD" w:rsidRPr="00CE3B78" w:rsidRDefault="008D0CAD" w:rsidP="00DD08E3">
      <w:pPr>
        <w:pStyle w:val="Heading5"/>
        <w:numPr>
          <w:ilvl w:val="3"/>
          <w:numId w:val="165"/>
        </w:numPr>
        <w:spacing w:before="100" w:beforeAutospacing="1" w:after="100" w:afterAutospacing="1" w:line="360" w:lineRule="auto"/>
      </w:pPr>
      <w:r>
        <w:t>Respondents’ Recommendations on the UISS</w:t>
      </w:r>
    </w:p>
    <w:p w14:paraId="1634BC2B" w14:textId="6E301001" w:rsidR="008D0CAD" w:rsidRPr="00B017B8" w:rsidRDefault="008D0CAD" w:rsidP="00671524">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color w:val="000000" w:themeColor="text1"/>
        </w:rPr>
        <w:t xml:space="preserve">Twelve principals (31 per cent) and </w:t>
      </w:r>
      <w:r w:rsidRPr="00650DB8">
        <w:rPr>
          <w:rFonts w:asciiTheme="majorHAnsi" w:hAnsiTheme="majorHAnsi" w:cstheme="majorHAnsi"/>
          <w:color w:val="000000"/>
        </w:rPr>
        <w:t>58 teachers (30</w:t>
      </w:r>
      <w:r>
        <w:rPr>
          <w:rFonts w:asciiTheme="majorHAnsi" w:hAnsiTheme="majorHAnsi" w:cstheme="majorHAnsi"/>
          <w:color w:val="000000"/>
        </w:rPr>
        <w:t xml:space="preserve"> per cent</w:t>
      </w:r>
      <w:r w:rsidRPr="00650DB8">
        <w:rPr>
          <w:rFonts w:asciiTheme="majorHAnsi" w:hAnsiTheme="majorHAnsi" w:cstheme="majorHAnsi"/>
          <w:color w:val="000000"/>
        </w:rPr>
        <w:t>) provide</w:t>
      </w:r>
      <w:r>
        <w:rPr>
          <w:rFonts w:asciiTheme="majorHAnsi" w:hAnsiTheme="majorHAnsi" w:cstheme="majorHAnsi"/>
          <w:color w:val="000000"/>
        </w:rPr>
        <w:t>d</w:t>
      </w:r>
      <w:r w:rsidRPr="00650DB8">
        <w:rPr>
          <w:rFonts w:asciiTheme="majorHAnsi" w:hAnsiTheme="majorHAnsi" w:cstheme="majorHAnsi"/>
          <w:color w:val="000000"/>
        </w:rPr>
        <w:t xml:space="preserve"> their own recommendations on how to ensure the full utili</w:t>
      </w:r>
      <w:r>
        <w:rPr>
          <w:rFonts w:asciiTheme="majorHAnsi" w:hAnsiTheme="majorHAnsi" w:cstheme="majorHAnsi"/>
          <w:color w:val="000000"/>
        </w:rPr>
        <w:t>s</w:t>
      </w:r>
      <w:r w:rsidRPr="00650DB8">
        <w:rPr>
          <w:rFonts w:asciiTheme="majorHAnsi" w:hAnsiTheme="majorHAnsi" w:cstheme="majorHAnsi"/>
          <w:color w:val="000000"/>
        </w:rPr>
        <w:t xml:space="preserve">ation of the </w:t>
      </w:r>
      <w:r>
        <w:rPr>
          <w:rFonts w:asciiTheme="majorHAnsi" w:hAnsiTheme="majorHAnsi" w:cstheme="majorHAnsi"/>
          <w:color w:val="000000"/>
        </w:rPr>
        <w:t>UISS</w:t>
      </w:r>
      <w:r w:rsidRPr="00650DB8">
        <w:rPr>
          <w:rFonts w:asciiTheme="majorHAnsi" w:hAnsiTheme="majorHAnsi" w:cstheme="majorHAnsi"/>
          <w:color w:val="000000"/>
        </w:rPr>
        <w:t>.</w:t>
      </w:r>
      <w:r w:rsidR="00D434EB">
        <w:rPr>
          <w:rFonts w:asciiTheme="majorHAnsi" w:hAnsiTheme="majorHAnsi" w:cstheme="majorHAnsi"/>
          <w:color w:val="000000"/>
        </w:rPr>
        <w:t xml:space="preserve"> </w:t>
      </w:r>
      <w:r w:rsidRPr="00650DB8">
        <w:rPr>
          <w:rFonts w:asciiTheme="majorHAnsi" w:hAnsiTheme="majorHAnsi" w:cstheme="majorHAnsi"/>
          <w:color w:val="000000"/>
        </w:rPr>
        <w:t xml:space="preserve">Their recommendations were clustered into </w:t>
      </w:r>
      <w:r>
        <w:rPr>
          <w:rFonts w:asciiTheme="majorHAnsi" w:hAnsiTheme="majorHAnsi" w:cstheme="majorHAnsi"/>
          <w:color w:val="000000"/>
        </w:rPr>
        <w:t>three</w:t>
      </w:r>
      <w:r w:rsidRPr="00650DB8">
        <w:rPr>
          <w:rFonts w:asciiTheme="majorHAnsi" w:hAnsiTheme="majorHAnsi" w:cstheme="majorHAnsi"/>
          <w:color w:val="000000"/>
        </w:rPr>
        <w:t xml:space="preserve"> themes.</w:t>
      </w:r>
      <w:r w:rsidR="00D434EB">
        <w:rPr>
          <w:rFonts w:asciiTheme="majorHAnsi" w:hAnsiTheme="majorHAnsi" w:cstheme="majorHAnsi"/>
          <w:color w:val="000000"/>
        </w:rPr>
        <w:t xml:space="preserve"> </w:t>
      </w:r>
      <w:r w:rsidRPr="00650DB8">
        <w:rPr>
          <w:rFonts w:asciiTheme="majorHAnsi" w:hAnsiTheme="majorHAnsi" w:cstheme="majorHAnsi"/>
          <w:color w:val="000000"/>
        </w:rPr>
        <w:t>The first and most common recommendation (</w:t>
      </w:r>
      <w:r>
        <w:rPr>
          <w:rFonts w:asciiTheme="majorHAnsi" w:hAnsiTheme="majorHAnsi" w:cstheme="majorHAnsi"/>
          <w:color w:val="000000"/>
        </w:rPr>
        <w:t>9 principals and</w:t>
      </w:r>
      <w:r w:rsidRPr="00650DB8">
        <w:rPr>
          <w:rFonts w:asciiTheme="majorHAnsi" w:hAnsiTheme="majorHAnsi" w:cstheme="majorHAnsi"/>
          <w:color w:val="000000"/>
        </w:rPr>
        <w:t xml:space="preserve"> 29 teachers) was </w:t>
      </w:r>
      <w:r>
        <w:rPr>
          <w:rFonts w:asciiTheme="majorHAnsi" w:hAnsiTheme="majorHAnsi" w:cstheme="majorHAnsi"/>
          <w:color w:val="000000"/>
        </w:rPr>
        <w:t>to</w:t>
      </w:r>
      <w:r w:rsidRPr="00650DB8">
        <w:rPr>
          <w:rFonts w:asciiTheme="majorHAnsi" w:hAnsiTheme="majorHAnsi" w:cstheme="majorHAnsi"/>
          <w:color w:val="000000"/>
        </w:rPr>
        <w:t xml:space="preserve"> </w:t>
      </w:r>
      <w:r>
        <w:rPr>
          <w:rFonts w:asciiTheme="majorHAnsi" w:hAnsiTheme="majorHAnsi" w:cstheme="majorHAnsi"/>
          <w:color w:val="000000"/>
        </w:rPr>
        <w:t>strengthen</w:t>
      </w:r>
      <w:r w:rsidRPr="00650DB8">
        <w:rPr>
          <w:rFonts w:asciiTheme="majorHAnsi" w:hAnsiTheme="majorHAnsi" w:cstheme="majorHAnsi"/>
          <w:color w:val="000000"/>
        </w:rPr>
        <w:t xml:space="preserve"> internet connections</w:t>
      </w:r>
      <w:r>
        <w:rPr>
          <w:rFonts w:asciiTheme="majorHAnsi" w:hAnsiTheme="majorHAnsi" w:cstheme="majorHAnsi"/>
          <w:color w:val="000000"/>
        </w:rPr>
        <w:t xml:space="preserve"> in schools</w:t>
      </w:r>
      <w:r w:rsidRPr="00650DB8">
        <w:rPr>
          <w:rFonts w:asciiTheme="majorHAnsi" w:hAnsiTheme="majorHAnsi" w:cstheme="majorHAnsi"/>
          <w:color w:val="000000"/>
        </w:rPr>
        <w:t xml:space="preserve"> to </w:t>
      </w:r>
      <w:r>
        <w:rPr>
          <w:rFonts w:asciiTheme="majorHAnsi" w:hAnsiTheme="majorHAnsi" w:cstheme="majorHAnsi"/>
          <w:color w:val="000000"/>
        </w:rPr>
        <w:t>enable</w:t>
      </w:r>
      <w:r w:rsidRPr="00650DB8">
        <w:rPr>
          <w:rFonts w:asciiTheme="majorHAnsi" w:hAnsiTheme="majorHAnsi" w:cstheme="majorHAnsi"/>
          <w:color w:val="000000"/>
        </w:rPr>
        <w:t xml:space="preserve"> teachers to visit the LR Portal </w:t>
      </w:r>
      <w:r>
        <w:rPr>
          <w:rFonts w:asciiTheme="majorHAnsi" w:hAnsiTheme="majorHAnsi" w:cstheme="majorHAnsi"/>
          <w:color w:val="000000"/>
        </w:rPr>
        <w:t xml:space="preserve">more often </w:t>
      </w:r>
      <w:r w:rsidRPr="00650DB8">
        <w:rPr>
          <w:rFonts w:asciiTheme="majorHAnsi" w:hAnsiTheme="majorHAnsi" w:cstheme="majorHAnsi"/>
          <w:color w:val="000000"/>
        </w:rPr>
        <w:t xml:space="preserve">and </w:t>
      </w:r>
      <w:r>
        <w:rPr>
          <w:rFonts w:asciiTheme="majorHAnsi" w:hAnsiTheme="majorHAnsi" w:cstheme="majorHAnsi"/>
          <w:color w:val="000000"/>
        </w:rPr>
        <w:t>to sustain the use of the EBEIS and</w:t>
      </w:r>
      <w:r w:rsidRPr="00650DB8">
        <w:rPr>
          <w:rFonts w:asciiTheme="majorHAnsi" w:hAnsiTheme="majorHAnsi" w:cstheme="majorHAnsi"/>
          <w:color w:val="000000"/>
        </w:rPr>
        <w:t xml:space="preserve"> LIS.</w:t>
      </w:r>
      <w:r w:rsidR="00D434EB">
        <w:rPr>
          <w:rFonts w:asciiTheme="majorHAnsi" w:hAnsiTheme="majorHAnsi" w:cstheme="majorHAnsi"/>
          <w:color w:val="000000"/>
        </w:rPr>
        <w:t xml:space="preserve"> </w:t>
      </w:r>
      <w:r w:rsidRPr="00650DB8">
        <w:rPr>
          <w:rFonts w:asciiTheme="majorHAnsi" w:hAnsiTheme="majorHAnsi" w:cstheme="majorHAnsi"/>
          <w:color w:val="000000"/>
        </w:rPr>
        <w:t xml:space="preserve"> One teacher went so far as to suggest a MOA or MOU between </w:t>
      </w:r>
      <w:r>
        <w:rPr>
          <w:rFonts w:asciiTheme="majorHAnsi" w:hAnsiTheme="majorHAnsi" w:cstheme="majorHAnsi"/>
          <w:color w:val="000000"/>
        </w:rPr>
        <w:t>DepEd</w:t>
      </w:r>
      <w:r w:rsidRPr="00650DB8">
        <w:rPr>
          <w:rFonts w:asciiTheme="majorHAnsi" w:hAnsiTheme="majorHAnsi" w:cstheme="majorHAnsi"/>
          <w:color w:val="000000"/>
        </w:rPr>
        <w:t>, DICT, DOST and other concerned agencies to facilitate the installation of internet connections to every school.</w:t>
      </w:r>
    </w:p>
    <w:p w14:paraId="00236CC1" w14:textId="1FE92A2C" w:rsidR="008D0CAD" w:rsidRPr="00DE4D7C" w:rsidRDefault="008D0CAD" w:rsidP="00671524">
      <w:pPr>
        <w:spacing w:before="100" w:beforeAutospacing="1" w:after="100" w:afterAutospacing="1" w:line="360" w:lineRule="auto"/>
        <w:rPr>
          <w:rFonts w:asciiTheme="majorHAnsi" w:hAnsiTheme="majorHAnsi" w:cstheme="majorHAnsi"/>
          <w:color w:val="000000"/>
        </w:rPr>
      </w:pPr>
      <w:r w:rsidRPr="00650DB8">
        <w:rPr>
          <w:rFonts w:asciiTheme="majorHAnsi" w:hAnsiTheme="majorHAnsi" w:cstheme="majorHAnsi"/>
          <w:color w:val="000000"/>
        </w:rPr>
        <w:t>The second recommendation (</w:t>
      </w:r>
      <w:r>
        <w:rPr>
          <w:rFonts w:asciiTheme="majorHAnsi" w:hAnsiTheme="majorHAnsi" w:cstheme="majorHAnsi"/>
          <w:color w:val="000000"/>
        </w:rPr>
        <w:t>from ne principal and</w:t>
      </w:r>
      <w:r w:rsidRPr="00650DB8">
        <w:rPr>
          <w:rFonts w:asciiTheme="majorHAnsi" w:hAnsiTheme="majorHAnsi" w:cstheme="majorHAnsi"/>
          <w:color w:val="000000"/>
        </w:rPr>
        <w:t xml:space="preserve"> 12 teachers) was to enhance </w:t>
      </w:r>
      <w:r>
        <w:rPr>
          <w:rFonts w:asciiTheme="majorHAnsi" w:hAnsiTheme="majorHAnsi" w:cstheme="majorHAnsi"/>
          <w:color w:val="000000"/>
        </w:rPr>
        <w:t xml:space="preserve">the </w:t>
      </w:r>
      <w:r w:rsidRPr="00650DB8">
        <w:rPr>
          <w:rFonts w:asciiTheme="majorHAnsi" w:hAnsiTheme="majorHAnsi" w:cstheme="majorHAnsi"/>
          <w:color w:val="000000"/>
        </w:rPr>
        <w:t>capacity of teachers on ICT in general and on the use of the systems in particular.</w:t>
      </w:r>
      <w:r w:rsidR="00D434EB">
        <w:rPr>
          <w:rFonts w:asciiTheme="majorHAnsi" w:hAnsiTheme="majorHAnsi" w:cstheme="majorHAnsi"/>
          <w:color w:val="000000"/>
        </w:rPr>
        <w:t xml:space="preserve"> </w:t>
      </w:r>
      <w:r w:rsidRPr="00650DB8">
        <w:rPr>
          <w:rFonts w:asciiTheme="majorHAnsi" w:hAnsiTheme="majorHAnsi" w:cstheme="majorHAnsi"/>
          <w:color w:val="000000"/>
        </w:rPr>
        <w:t>One teacher stated that the initial training</w:t>
      </w:r>
      <w:r>
        <w:rPr>
          <w:rFonts w:asciiTheme="majorHAnsi" w:hAnsiTheme="majorHAnsi" w:cstheme="majorHAnsi"/>
          <w:color w:val="000000"/>
        </w:rPr>
        <w:t xml:space="preserve"> provided</w:t>
      </w:r>
      <w:r w:rsidRPr="00650DB8">
        <w:rPr>
          <w:rFonts w:asciiTheme="majorHAnsi" w:hAnsiTheme="majorHAnsi" w:cstheme="majorHAnsi"/>
          <w:color w:val="000000"/>
        </w:rPr>
        <w:t xml:space="preserve"> was not sufficient and </w:t>
      </w:r>
      <w:r>
        <w:rPr>
          <w:rFonts w:asciiTheme="majorHAnsi" w:hAnsiTheme="majorHAnsi" w:cstheme="majorHAnsi"/>
          <w:color w:val="000000"/>
        </w:rPr>
        <w:t xml:space="preserve">that </w:t>
      </w:r>
      <w:r w:rsidRPr="00650DB8">
        <w:rPr>
          <w:rFonts w:asciiTheme="majorHAnsi" w:hAnsiTheme="majorHAnsi" w:cstheme="majorHAnsi"/>
          <w:color w:val="000000"/>
        </w:rPr>
        <w:t xml:space="preserve">refreshers courses (even through the LAC) should be conducted regularly. Another suggestion (by 13 teachers) was to provide the teachers with additional laptops, computers, projectors (for the video and PowerPoint materials) and printers (including inks and </w:t>
      </w:r>
      <w:r>
        <w:rPr>
          <w:rFonts w:asciiTheme="majorHAnsi" w:hAnsiTheme="majorHAnsi" w:cstheme="majorHAnsi"/>
          <w:color w:val="000000"/>
        </w:rPr>
        <w:t xml:space="preserve">copy </w:t>
      </w:r>
      <w:r w:rsidRPr="00650DB8">
        <w:rPr>
          <w:rFonts w:asciiTheme="majorHAnsi" w:hAnsiTheme="majorHAnsi" w:cstheme="majorHAnsi"/>
          <w:color w:val="000000"/>
        </w:rPr>
        <w:t>papers for printing learning materials downloaded from the Portal).</w:t>
      </w:r>
      <w:r w:rsidR="00D434EB">
        <w:rPr>
          <w:rFonts w:asciiTheme="majorHAnsi" w:hAnsiTheme="majorHAnsi" w:cstheme="majorHAnsi"/>
          <w:color w:val="000000"/>
        </w:rPr>
        <w:t xml:space="preserve"> </w:t>
      </w:r>
      <w:r>
        <w:rPr>
          <w:rFonts w:asciiTheme="majorHAnsi" w:hAnsiTheme="majorHAnsi" w:cstheme="majorHAnsi"/>
          <w:color w:val="000000"/>
        </w:rPr>
        <w:t>The third theme could be called miscellaneous. One principal recommended stricter monitoring on the use of the systems. Other</w:t>
      </w:r>
      <w:r w:rsidRPr="00650DB8">
        <w:rPr>
          <w:rFonts w:asciiTheme="majorHAnsi" w:hAnsiTheme="majorHAnsi" w:cstheme="majorHAnsi"/>
          <w:color w:val="000000"/>
        </w:rPr>
        <w:t xml:space="preserve"> recommendations </w:t>
      </w:r>
      <w:r>
        <w:rPr>
          <w:rFonts w:asciiTheme="majorHAnsi" w:hAnsiTheme="majorHAnsi" w:cstheme="majorHAnsi"/>
          <w:color w:val="000000"/>
        </w:rPr>
        <w:t xml:space="preserve">of teachers </w:t>
      </w:r>
      <w:r w:rsidRPr="00650DB8">
        <w:rPr>
          <w:rFonts w:asciiTheme="majorHAnsi" w:hAnsiTheme="majorHAnsi" w:cstheme="majorHAnsi"/>
          <w:color w:val="000000"/>
        </w:rPr>
        <w:t>relate to Content (6 comments), Design (6 comments), teachers’ behaviors (8 comments), among others.</w:t>
      </w:r>
      <w:r w:rsidR="00D434EB">
        <w:rPr>
          <w:rFonts w:asciiTheme="majorHAnsi" w:hAnsiTheme="majorHAnsi" w:cstheme="majorHAnsi"/>
          <w:color w:val="000000"/>
        </w:rPr>
        <w:t xml:space="preserve"> </w:t>
      </w:r>
      <w:r w:rsidRPr="00650DB8">
        <w:rPr>
          <w:rFonts w:asciiTheme="majorHAnsi" w:hAnsiTheme="majorHAnsi" w:cstheme="majorHAnsi"/>
          <w:color w:val="000000"/>
        </w:rPr>
        <w:t xml:space="preserve">Content pertained to improving the quality and number of Instructional Materials in the LR </w:t>
      </w:r>
      <w:r>
        <w:rPr>
          <w:rFonts w:asciiTheme="majorHAnsi" w:hAnsiTheme="majorHAnsi" w:cstheme="majorHAnsi"/>
          <w:color w:val="000000"/>
        </w:rPr>
        <w:t>P</w:t>
      </w:r>
      <w:r w:rsidRPr="00650DB8">
        <w:rPr>
          <w:rFonts w:asciiTheme="majorHAnsi" w:hAnsiTheme="majorHAnsi" w:cstheme="majorHAnsi"/>
          <w:color w:val="000000"/>
        </w:rPr>
        <w:t>ortal. For the LIS, content referred to the promptness in addressing the cases of pending cases of learners needing LRNs.</w:t>
      </w:r>
      <w:r w:rsidR="00D434EB">
        <w:rPr>
          <w:rFonts w:asciiTheme="majorHAnsi" w:hAnsiTheme="majorHAnsi" w:cstheme="majorHAnsi"/>
          <w:color w:val="000000"/>
        </w:rPr>
        <w:t xml:space="preserve"> </w:t>
      </w:r>
      <w:r w:rsidRPr="00650DB8">
        <w:rPr>
          <w:rFonts w:asciiTheme="majorHAnsi" w:hAnsiTheme="majorHAnsi" w:cstheme="majorHAnsi"/>
          <w:color w:val="000000"/>
        </w:rPr>
        <w:t>Design referred to user-friendliness and frequency of errors that pop up during use.</w:t>
      </w:r>
      <w:r w:rsidR="00D434EB">
        <w:rPr>
          <w:rFonts w:asciiTheme="majorHAnsi" w:hAnsiTheme="majorHAnsi" w:cstheme="majorHAnsi"/>
          <w:color w:val="000000"/>
        </w:rPr>
        <w:t xml:space="preserve"> </w:t>
      </w:r>
      <w:r w:rsidRPr="00650DB8">
        <w:rPr>
          <w:rFonts w:asciiTheme="majorHAnsi" w:hAnsiTheme="majorHAnsi" w:cstheme="majorHAnsi"/>
          <w:color w:val="000000"/>
        </w:rPr>
        <w:t>Teachers’ behaviors related to motivating teachers to use the LIS and the LR Portal despite the challenges being encountered at present.</w:t>
      </w:r>
      <w:bookmarkEnd w:id="158"/>
    </w:p>
    <w:p w14:paraId="6A0FE541" w14:textId="6F54AAE5" w:rsidR="008D0CAD" w:rsidRPr="00433FB6" w:rsidRDefault="008D0CAD" w:rsidP="0084650C">
      <w:pPr>
        <w:pStyle w:val="Heading6"/>
      </w:pPr>
      <w:r w:rsidRPr="00433FB6">
        <w:t>Enhancing human resource capacity</w:t>
      </w:r>
      <w:r w:rsidR="00D434EB">
        <w:t xml:space="preserve"> </w:t>
      </w:r>
      <w:r w:rsidRPr="00433FB6">
        <w:t xml:space="preserve"> </w:t>
      </w:r>
    </w:p>
    <w:p w14:paraId="7EDAD0D8" w14:textId="77777777" w:rsidR="008D0CAD" w:rsidRPr="00E91EBC" w:rsidRDefault="008D0CAD" w:rsidP="00671524">
      <w:pPr>
        <w:pStyle w:val="NormalWeb"/>
        <w:spacing w:line="360" w:lineRule="auto"/>
        <w:ind w:left="288" w:right="288"/>
        <w:rPr>
          <w:rFonts w:asciiTheme="majorHAnsi" w:hAnsiTheme="majorHAnsi" w:cstheme="majorHAnsi"/>
        </w:rPr>
      </w:pPr>
      <w:r>
        <w:rPr>
          <w:rFonts w:asciiTheme="majorHAnsi" w:hAnsiTheme="majorHAnsi" w:cstheme="majorHAnsi"/>
        </w:rPr>
        <w:t xml:space="preserve">IO11: </w:t>
      </w:r>
      <w:r w:rsidRPr="007A4995">
        <w:rPr>
          <w:rFonts w:asciiTheme="majorHAnsi" w:eastAsiaTheme="minorHAnsi" w:hAnsiTheme="majorHAnsi" w:cstheme="majorHAnsi"/>
          <w:sz w:val="22"/>
          <w:szCs w:val="22"/>
        </w:rPr>
        <w:t xml:space="preserve">Support </w:t>
      </w:r>
      <w:r>
        <w:rPr>
          <w:rFonts w:asciiTheme="majorHAnsi" w:eastAsiaTheme="minorHAnsi" w:hAnsiTheme="majorHAnsi" w:cstheme="majorHAnsi"/>
          <w:sz w:val="22"/>
          <w:szCs w:val="22"/>
        </w:rPr>
        <w:t>DepEd</w:t>
      </w:r>
      <w:r w:rsidRPr="007A4995">
        <w:rPr>
          <w:rFonts w:asciiTheme="majorHAnsi" w:eastAsiaTheme="minorHAnsi" w:hAnsiTheme="majorHAnsi" w:cstheme="majorHAnsi"/>
          <w:sz w:val="22"/>
          <w:szCs w:val="22"/>
        </w:rPr>
        <w:t xml:space="preserve"> management to ensure sufficient, capable staff in the right place with effective organisational structure</w:t>
      </w:r>
    </w:p>
    <w:p w14:paraId="2B8ADBB7" w14:textId="77777777" w:rsidR="008D0CAD" w:rsidRDefault="008D0CAD" w:rsidP="00671524">
      <w:pPr>
        <w:pStyle w:val="NormalWeb"/>
        <w:spacing w:line="360" w:lineRule="auto"/>
        <w:rPr>
          <w:rFonts w:asciiTheme="majorHAnsi" w:hAnsiTheme="majorHAnsi" w:cstheme="majorHAnsi"/>
        </w:rPr>
      </w:pPr>
      <w:r>
        <w:rPr>
          <w:rFonts w:asciiTheme="majorHAnsi" w:hAnsiTheme="majorHAnsi" w:cstheme="majorHAnsi"/>
        </w:rPr>
        <w:t xml:space="preserve">The original program design of the BEST Program related to Immediate Output </w:t>
      </w:r>
      <w:r w:rsidRPr="00EF135F">
        <w:rPr>
          <w:rFonts w:asciiTheme="majorHAnsi" w:hAnsiTheme="majorHAnsi" w:cstheme="majorHAnsi"/>
        </w:rPr>
        <w:t>11</w:t>
      </w:r>
      <w:r>
        <w:rPr>
          <w:rFonts w:asciiTheme="majorHAnsi" w:hAnsiTheme="majorHAnsi" w:cstheme="majorHAnsi"/>
        </w:rPr>
        <w:t xml:space="preserve"> (IO11) was to “</w:t>
      </w:r>
      <w:r w:rsidRPr="00663E12">
        <w:rPr>
          <w:rFonts w:asciiTheme="majorHAnsi" w:hAnsiTheme="majorHAnsi" w:cstheme="majorHAnsi"/>
          <w:i/>
          <w:iCs/>
        </w:rPr>
        <w:t>build organi</w:t>
      </w:r>
      <w:r>
        <w:rPr>
          <w:rFonts w:asciiTheme="majorHAnsi" w:hAnsiTheme="majorHAnsi" w:cstheme="majorHAnsi"/>
          <w:i/>
          <w:iCs/>
        </w:rPr>
        <w:t>s</w:t>
      </w:r>
      <w:r w:rsidRPr="00663E12">
        <w:rPr>
          <w:rFonts w:asciiTheme="majorHAnsi" w:hAnsiTheme="majorHAnsi" w:cstheme="majorHAnsi"/>
          <w:i/>
          <w:iCs/>
        </w:rPr>
        <w:t>ational capacity to identify, plan, prioriti</w:t>
      </w:r>
      <w:r>
        <w:rPr>
          <w:rFonts w:asciiTheme="majorHAnsi" w:hAnsiTheme="majorHAnsi" w:cstheme="majorHAnsi"/>
          <w:i/>
          <w:iCs/>
        </w:rPr>
        <w:t>s</w:t>
      </w:r>
      <w:r w:rsidRPr="00663E12">
        <w:rPr>
          <w:rFonts w:asciiTheme="majorHAnsi" w:hAnsiTheme="majorHAnsi" w:cstheme="majorHAnsi"/>
          <w:i/>
          <w:iCs/>
        </w:rPr>
        <w:t>e, implement, monitor, and learn from specific courses of action, mobili</w:t>
      </w:r>
      <w:r>
        <w:rPr>
          <w:rFonts w:asciiTheme="majorHAnsi" w:hAnsiTheme="majorHAnsi" w:cstheme="majorHAnsi"/>
          <w:i/>
          <w:iCs/>
        </w:rPr>
        <w:t>s</w:t>
      </w:r>
      <w:r w:rsidRPr="00663E12">
        <w:rPr>
          <w:rFonts w:asciiTheme="majorHAnsi" w:hAnsiTheme="majorHAnsi" w:cstheme="majorHAnsi"/>
          <w:i/>
          <w:iCs/>
        </w:rPr>
        <w:t>e, deploy and, where necessary, motivate resources (assets, people, money and information) consistently and continuously on agreed public priorities; and discipline a heavily constrained system to pursue agreed objectives collectively</w:t>
      </w:r>
      <w:r>
        <w:rPr>
          <w:rFonts w:asciiTheme="majorHAnsi" w:hAnsiTheme="majorHAnsi" w:cstheme="majorHAnsi"/>
        </w:rPr>
        <w:t>” (PDD, 2012)</w:t>
      </w:r>
      <w:r w:rsidRPr="007345CE">
        <w:rPr>
          <w:rFonts w:asciiTheme="majorHAnsi" w:hAnsiTheme="majorHAnsi" w:cstheme="majorHAnsi"/>
        </w:rPr>
        <w:t>.</w:t>
      </w:r>
      <w:r>
        <w:rPr>
          <w:rFonts w:asciiTheme="majorHAnsi" w:hAnsiTheme="majorHAnsi" w:cstheme="majorHAnsi"/>
        </w:rPr>
        <w:t xml:space="preserve"> </w:t>
      </w:r>
    </w:p>
    <w:p w14:paraId="091BCF07" w14:textId="3E99461E" w:rsidR="008D0CAD" w:rsidRDefault="008D0CAD" w:rsidP="00671524">
      <w:pPr>
        <w:spacing w:before="100" w:beforeAutospacing="1" w:after="100" w:afterAutospacing="1" w:line="360" w:lineRule="auto"/>
        <w:rPr>
          <w:rFonts w:asciiTheme="majorHAnsi" w:hAnsiTheme="majorHAnsi" w:cstheme="majorHAnsi"/>
          <w:bCs/>
          <w:color w:val="000000"/>
        </w:rPr>
      </w:pPr>
      <w:r>
        <w:rPr>
          <w:rFonts w:asciiTheme="majorHAnsi" w:hAnsiTheme="majorHAnsi" w:cstheme="majorHAnsi"/>
          <w:color w:val="000000"/>
        </w:rPr>
        <w:t xml:space="preserve">These </w:t>
      </w:r>
      <w:r w:rsidRPr="0045487A">
        <w:rPr>
          <w:rFonts w:asciiTheme="majorHAnsi" w:hAnsiTheme="majorHAnsi" w:cstheme="majorHAnsi"/>
          <w:color w:val="000000"/>
        </w:rPr>
        <w:t>Program interventions</w:t>
      </w:r>
      <w:r>
        <w:rPr>
          <w:rFonts w:asciiTheme="majorHAnsi" w:hAnsiTheme="majorHAnsi" w:cstheme="majorHAnsi"/>
          <w:color w:val="000000"/>
        </w:rPr>
        <w:t>, categorised under</w:t>
      </w:r>
      <w:r w:rsidRPr="0045487A">
        <w:rPr>
          <w:rFonts w:asciiTheme="majorHAnsi" w:hAnsiTheme="majorHAnsi" w:cstheme="majorHAnsi"/>
          <w:color w:val="000000"/>
        </w:rPr>
        <w:t xml:space="preserve"> </w:t>
      </w:r>
      <w:r>
        <w:rPr>
          <w:rFonts w:asciiTheme="majorHAnsi" w:hAnsiTheme="majorHAnsi" w:cstheme="majorHAnsi"/>
          <w:color w:val="000000"/>
        </w:rPr>
        <w:t xml:space="preserve">the heading of Organizational Development (OD), </w:t>
      </w:r>
      <w:r w:rsidRPr="0045487A">
        <w:rPr>
          <w:rFonts w:asciiTheme="majorHAnsi" w:hAnsiTheme="majorHAnsi" w:cstheme="majorHAnsi"/>
          <w:color w:val="000000"/>
        </w:rPr>
        <w:t>were directed</w:t>
      </w:r>
      <w:r>
        <w:rPr>
          <w:rFonts w:asciiTheme="majorHAnsi" w:hAnsiTheme="majorHAnsi" w:cstheme="majorHAnsi"/>
          <w:color w:val="000000"/>
        </w:rPr>
        <w:t xml:space="preserve"> primarily</w:t>
      </w:r>
      <w:r w:rsidRPr="0045487A">
        <w:rPr>
          <w:rFonts w:asciiTheme="majorHAnsi" w:hAnsiTheme="majorHAnsi" w:cstheme="majorHAnsi"/>
          <w:color w:val="000000"/>
        </w:rPr>
        <w:t xml:space="preserve"> at the Central Office</w:t>
      </w:r>
      <w:r>
        <w:rPr>
          <w:rFonts w:asciiTheme="majorHAnsi" w:hAnsiTheme="majorHAnsi" w:cstheme="majorHAnsi"/>
          <w:color w:val="000000"/>
        </w:rPr>
        <w:t>,</w:t>
      </w:r>
      <w:r w:rsidRPr="0045487A">
        <w:rPr>
          <w:rFonts w:asciiTheme="majorHAnsi" w:hAnsiTheme="majorHAnsi" w:cstheme="majorHAnsi"/>
          <w:color w:val="000000"/>
        </w:rPr>
        <w:t xml:space="preserve"> particularly towards BHROD and NEAP.</w:t>
      </w:r>
      <w:r w:rsidR="00D434EB">
        <w:rPr>
          <w:rFonts w:asciiTheme="majorHAnsi" w:hAnsiTheme="majorHAnsi" w:cstheme="majorHAnsi"/>
          <w:color w:val="000000"/>
        </w:rPr>
        <w:t xml:space="preserve"> </w:t>
      </w:r>
      <w:r>
        <w:rPr>
          <w:rFonts w:asciiTheme="majorHAnsi" w:hAnsiTheme="majorHAnsi" w:cstheme="majorHAnsi"/>
          <w:color w:val="000000"/>
        </w:rPr>
        <w:t xml:space="preserve">Activities were clustered under four main themes: (1) </w:t>
      </w:r>
      <w:r>
        <w:rPr>
          <w:rFonts w:asciiTheme="majorHAnsi" w:hAnsiTheme="majorHAnsi" w:cstheme="majorHAnsi"/>
        </w:rPr>
        <w:t xml:space="preserve">implementation of </w:t>
      </w:r>
      <w:r w:rsidRPr="0045487A">
        <w:rPr>
          <w:rFonts w:asciiTheme="majorHAnsi" w:hAnsiTheme="majorHAnsi" w:cstheme="majorHAnsi"/>
        </w:rPr>
        <w:t>the Rationalization Plan</w:t>
      </w:r>
      <w:r>
        <w:rPr>
          <w:rFonts w:asciiTheme="majorHAnsi" w:hAnsiTheme="majorHAnsi" w:cstheme="majorHAnsi"/>
        </w:rPr>
        <w:t xml:space="preserve"> (a </w:t>
      </w:r>
      <w:r w:rsidR="00D354DC">
        <w:rPr>
          <w:rFonts w:asciiTheme="majorHAnsi" w:hAnsiTheme="majorHAnsi" w:cstheme="majorHAnsi"/>
        </w:rPr>
        <w:t>wide-ranging</w:t>
      </w:r>
      <w:r>
        <w:rPr>
          <w:rFonts w:asciiTheme="majorHAnsi" w:hAnsiTheme="majorHAnsi" w:cstheme="majorHAnsi"/>
        </w:rPr>
        <w:t xml:space="preserve"> organisational restructure); </w:t>
      </w:r>
      <w:r>
        <w:rPr>
          <w:rFonts w:asciiTheme="majorHAnsi" w:hAnsiTheme="majorHAnsi" w:cstheme="majorHAnsi"/>
          <w:color w:val="000000"/>
        </w:rPr>
        <w:t xml:space="preserve">(2) </w:t>
      </w:r>
      <w:r>
        <w:rPr>
          <w:rFonts w:asciiTheme="majorHAnsi" w:hAnsiTheme="majorHAnsi" w:cstheme="majorHAnsi"/>
        </w:rPr>
        <w:t>i</w:t>
      </w:r>
      <w:r w:rsidRPr="0045487A">
        <w:rPr>
          <w:rFonts w:asciiTheme="majorHAnsi" w:hAnsiTheme="majorHAnsi" w:cstheme="majorHAnsi"/>
          <w:bCs/>
          <w:color w:val="000000"/>
        </w:rPr>
        <w:t xml:space="preserve">mproving major business processes using </w:t>
      </w:r>
      <w:r>
        <w:rPr>
          <w:rFonts w:asciiTheme="majorHAnsi" w:hAnsiTheme="majorHAnsi" w:cstheme="majorHAnsi"/>
          <w:bCs/>
          <w:color w:val="000000"/>
        </w:rPr>
        <w:t>‘C</w:t>
      </w:r>
      <w:r w:rsidRPr="0045487A">
        <w:rPr>
          <w:rFonts w:asciiTheme="majorHAnsi" w:hAnsiTheme="majorHAnsi" w:cstheme="majorHAnsi"/>
          <w:bCs/>
          <w:color w:val="000000"/>
        </w:rPr>
        <w:t xml:space="preserve">ontinuous </w:t>
      </w:r>
      <w:r>
        <w:rPr>
          <w:rFonts w:asciiTheme="majorHAnsi" w:hAnsiTheme="majorHAnsi" w:cstheme="majorHAnsi"/>
          <w:bCs/>
          <w:color w:val="000000"/>
        </w:rPr>
        <w:t>I</w:t>
      </w:r>
      <w:r w:rsidRPr="0045487A">
        <w:rPr>
          <w:rFonts w:asciiTheme="majorHAnsi" w:hAnsiTheme="majorHAnsi" w:cstheme="majorHAnsi"/>
          <w:bCs/>
          <w:color w:val="000000"/>
        </w:rPr>
        <w:t>mprovement</w:t>
      </w:r>
      <w:r>
        <w:rPr>
          <w:rFonts w:asciiTheme="majorHAnsi" w:hAnsiTheme="majorHAnsi" w:cstheme="majorHAnsi"/>
          <w:bCs/>
          <w:color w:val="000000"/>
        </w:rPr>
        <w:t>’ (CI)</w:t>
      </w:r>
      <w:r w:rsidRPr="0045487A">
        <w:rPr>
          <w:rFonts w:asciiTheme="majorHAnsi" w:hAnsiTheme="majorHAnsi" w:cstheme="majorHAnsi"/>
          <w:bCs/>
          <w:color w:val="000000"/>
        </w:rPr>
        <w:t xml:space="preserve"> competencies and tools</w:t>
      </w:r>
      <w:r>
        <w:rPr>
          <w:rFonts w:asciiTheme="majorHAnsi" w:hAnsiTheme="majorHAnsi" w:cstheme="majorHAnsi"/>
          <w:bCs/>
          <w:color w:val="000000"/>
        </w:rPr>
        <w:t xml:space="preserve">; </w:t>
      </w:r>
      <w:r>
        <w:rPr>
          <w:rFonts w:asciiTheme="majorHAnsi" w:hAnsiTheme="majorHAnsi" w:cstheme="majorHAnsi"/>
          <w:color w:val="000000"/>
        </w:rPr>
        <w:t xml:space="preserve">(3) </w:t>
      </w:r>
      <w:r>
        <w:rPr>
          <w:rFonts w:asciiTheme="majorHAnsi" w:hAnsiTheme="majorHAnsi" w:cstheme="majorHAnsi"/>
        </w:rPr>
        <w:t>increasing c</w:t>
      </w:r>
      <w:r w:rsidRPr="007345CE">
        <w:rPr>
          <w:rFonts w:asciiTheme="majorHAnsi" w:hAnsiTheme="majorHAnsi" w:cstheme="majorHAnsi"/>
        </w:rPr>
        <w:t xml:space="preserve">apacity </w:t>
      </w:r>
      <w:r>
        <w:rPr>
          <w:rFonts w:asciiTheme="majorHAnsi" w:hAnsiTheme="majorHAnsi" w:cstheme="majorHAnsi"/>
        </w:rPr>
        <w:t>in</w:t>
      </w:r>
      <w:r w:rsidRPr="007345CE">
        <w:rPr>
          <w:rFonts w:asciiTheme="majorHAnsi" w:hAnsiTheme="majorHAnsi" w:cstheme="majorHAnsi"/>
        </w:rPr>
        <w:t xml:space="preserve"> managing and institutionali</w:t>
      </w:r>
      <w:r>
        <w:rPr>
          <w:rFonts w:asciiTheme="majorHAnsi" w:hAnsiTheme="majorHAnsi" w:cstheme="majorHAnsi"/>
        </w:rPr>
        <w:t>s</w:t>
      </w:r>
      <w:r w:rsidRPr="007345CE">
        <w:rPr>
          <w:rFonts w:asciiTheme="majorHAnsi" w:hAnsiTheme="majorHAnsi" w:cstheme="majorHAnsi"/>
        </w:rPr>
        <w:t>ing change</w:t>
      </w:r>
      <w:r>
        <w:rPr>
          <w:rFonts w:asciiTheme="majorHAnsi" w:hAnsiTheme="majorHAnsi" w:cstheme="majorHAnsi"/>
        </w:rPr>
        <w:t xml:space="preserve">; and </w:t>
      </w:r>
      <w:r>
        <w:rPr>
          <w:rFonts w:asciiTheme="majorHAnsi" w:hAnsiTheme="majorHAnsi" w:cstheme="majorHAnsi"/>
          <w:color w:val="000000"/>
        </w:rPr>
        <w:t xml:space="preserve">(4) </w:t>
      </w:r>
      <w:r>
        <w:rPr>
          <w:rFonts w:asciiTheme="majorHAnsi" w:hAnsiTheme="majorHAnsi" w:cstheme="majorHAnsi"/>
        </w:rPr>
        <w:t>increasing DepEd’s c</w:t>
      </w:r>
      <w:r w:rsidRPr="007345CE">
        <w:rPr>
          <w:rFonts w:asciiTheme="majorHAnsi" w:hAnsiTheme="majorHAnsi" w:cstheme="majorHAnsi"/>
        </w:rPr>
        <w:t>apacity</w:t>
      </w:r>
      <w:r>
        <w:rPr>
          <w:rFonts w:asciiTheme="majorHAnsi" w:hAnsiTheme="majorHAnsi" w:cstheme="majorHAnsi"/>
        </w:rPr>
        <w:t xml:space="preserve"> in</w:t>
      </w:r>
      <w:r w:rsidRPr="007345CE">
        <w:rPr>
          <w:rFonts w:asciiTheme="majorHAnsi" w:hAnsiTheme="majorHAnsi" w:cstheme="majorHAnsi"/>
        </w:rPr>
        <w:t xml:space="preserve"> communications and advocacy</w:t>
      </w:r>
      <w:r>
        <w:rPr>
          <w:rFonts w:asciiTheme="majorHAnsi" w:hAnsiTheme="majorHAnsi" w:cstheme="majorHAnsi"/>
        </w:rPr>
        <w:t>. Due to the reduction of the BEST Program’s implementation period, only the first two interventions were able to be supported by the Program</w:t>
      </w:r>
      <w:r>
        <w:rPr>
          <w:rFonts w:asciiTheme="majorHAnsi" w:hAnsiTheme="majorHAnsi" w:cstheme="majorHAnsi"/>
          <w:bCs/>
          <w:color w:val="000000"/>
        </w:rPr>
        <w:t>.</w:t>
      </w:r>
      <w:r w:rsidR="00D434EB">
        <w:rPr>
          <w:rFonts w:asciiTheme="majorHAnsi" w:hAnsiTheme="majorHAnsi" w:cstheme="majorHAnsi"/>
          <w:bCs/>
          <w:color w:val="000000"/>
        </w:rPr>
        <w:t xml:space="preserve"> </w:t>
      </w:r>
      <w:r>
        <w:rPr>
          <w:rFonts w:asciiTheme="majorHAnsi" w:hAnsiTheme="majorHAnsi" w:cstheme="majorHAnsi"/>
          <w:bCs/>
          <w:color w:val="000000"/>
        </w:rPr>
        <w:t xml:space="preserve">Moreover, interventions related to </w:t>
      </w:r>
      <w:r w:rsidRPr="0045487A">
        <w:rPr>
          <w:rFonts w:asciiTheme="majorHAnsi" w:hAnsiTheme="majorHAnsi" w:cstheme="majorHAnsi"/>
        </w:rPr>
        <w:t>the Rationalization Plan</w:t>
      </w:r>
      <w:r>
        <w:rPr>
          <w:rFonts w:asciiTheme="majorHAnsi" w:hAnsiTheme="majorHAnsi" w:cstheme="majorHAnsi"/>
          <w:bCs/>
          <w:color w:val="000000"/>
        </w:rPr>
        <w:t xml:space="preserve"> were conducted at the Central Office level. Thus, at the field level, m</w:t>
      </w:r>
      <w:r>
        <w:rPr>
          <w:rFonts w:asciiTheme="majorHAnsi" w:eastAsiaTheme="minorHAnsi" w:hAnsiTheme="majorHAnsi" w:cstheme="majorHAnsi"/>
        </w:rPr>
        <w:t xml:space="preserve">ost </w:t>
      </w:r>
      <w:r w:rsidRPr="00C46DE3">
        <w:rPr>
          <w:rFonts w:asciiTheme="majorHAnsi" w:eastAsiaTheme="minorHAnsi" w:hAnsiTheme="majorHAnsi" w:cstheme="majorHAnsi"/>
        </w:rPr>
        <w:t>RO</w:t>
      </w:r>
      <w:r>
        <w:rPr>
          <w:rFonts w:asciiTheme="majorHAnsi" w:eastAsiaTheme="minorHAnsi" w:hAnsiTheme="majorHAnsi" w:cstheme="majorHAnsi"/>
        </w:rPr>
        <w:t>s</w:t>
      </w:r>
      <w:r w:rsidRPr="00C46DE3">
        <w:rPr>
          <w:rFonts w:asciiTheme="majorHAnsi" w:eastAsiaTheme="minorHAnsi" w:hAnsiTheme="majorHAnsi" w:cstheme="majorHAnsi"/>
        </w:rPr>
        <w:t xml:space="preserve"> and DO</w:t>
      </w:r>
      <w:r>
        <w:rPr>
          <w:rFonts w:asciiTheme="majorHAnsi" w:eastAsiaTheme="minorHAnsi" w:hAnsiTheme="majorHAnsi" w:cstheme="majorHAnsi"/>
        </w:rPr>
        <w:t>s</w:t>
      </w:r>
      <w:r w:rsidRPr="00C46DE3">
        <w:rPr>
          <w:rFonts w:asciiTheme="majorHAnsi" w:eastAsiaTheme="minorHAnsi" w:hAnsiTheme="majorHAnsi" w:cstheme="majorHAnsi"/>
        </w:rPr>
        <w:t xml:space="preserve"> equated OD interventions </w:t>
      </w:r>
      <w:r>
        <w:rPr>
          <w:rFonts w:asciiTheme="majorHAnsi" w:eastAsiaTheme="minorHAnsi" w:hAnsiTheme="majorHAnsi" w:cstheme="majorHAnsi"/>
        </w:rPr>
        <w:t xml:space="preserve">primarily </w:t>
      </w:r>
      <w:r w:rsidRPr="00C46DE3">
        <w:rPr>
          <w:rFonts w:asciiTheme="majorHAnsi" w:eastAsiaTheme="minorHAnsi" w:hAnsiTheme="majorHAnsi" w:cstheme="majorHAnsi"/>
        </w:rPr>
        <w:t>with CI</w:t>
      </w:r>
      <w:r>
        <w:rPr>
          <w:rFonts w:asciiTheme="majorHAnsi" w:eastAsiaTheme="minorHAnsi" w:hAnsiTheme="majorHAnsi" w:cstheme="majorHAnsi"/>
        </w:rPr>
        <w:t>.</w:t>
      </w:r>
      <w:r w:rsidRPr="00C46DE3">
        <w:rPr>
          <w:rFonts w:asciiTheme="majorHAnsi" w:eastAsiaTheme="minorHAnsi" w:hAnsiTheme="majorHAnsi" w:cstheme="majorHAnsi"/>
        </w:rPr>
        <w:t xml:space="preserve"> </w:t>
      </w:r>
      <w:r w:rsidR="00D354DC">
        <w:rPr>
          <w:rFonts w:asciiTheme="majorHAnsi" w:eastAsiaTheme="minorHAnsi" w:hAnsiTheme="majorHAnsi" w:cstheme="majorHAnsi"/>
        </w:rPr>
        <w:t>Also,</w:t>
      </w:r>
      <w:r>
        <w:rPr>
          <w:rFonts w:asciiTheme="majorHAnsi" w:eastAsiaTheme="minorHAnsi" w:hAnsiTheme="majorHAnsi" w:cstheme="majorHAnsi"/>
        </w:rPr>
        <w:t xml:space="preserve"> at the field level,</w:t>
      </w:r>
      <w:r w:rsidRPr="00C46DE3">
        <w:rPr>
          <w:rFonts w:asciiTheme="majorHAnsi" w:eastAsiaTheme="minorHAnsi" w:hAnsiTheme="majorHAnsi" w:cstheme="majorHAnsi"/>
        </w:rPr>
        <w:t xml:space="preserve"> CI </w:t>
      </w:r>
      <w:r>
        <w:rPr>
          <w:rFonts w:asciiTheme="majorHAnsi" w:eastAsiaTheme="minorHAnsi" w:hAnsiTheme="majorHAnsi" w:cstheme="majorHAnsi"/>
        </w:rPr>
        <w:t xml:space="preserve">interventions </w:t>
      </w:r>
      <w:r w:rsidRPr="00C46DE3">
        <w:rPr>
          <w:rFonts w:asciiTheme="majorHAnsi" w:eastAsiaTheme="minorHAnsi" w:hAnsiTheme="majorHAnsi" w:cstheme="majorHAnsi"/>
        </w:rPr>
        <w:t>were not attributed to the BEST Program.</w:t>
      </w:r>
    </w:p>
    <w:p w14:paraId="0AE20754" w14:textId="428CC796" w:rsidR="008D0CAD" w:rsidRPr="00663E12" w:rsidRDefault="008D0CAD" w:rsidP="00DD08E3">
      <w:pPr>
        <w:pStyle w:val="Heading5"/>
        <w:numPr>
          <w:ilvl w:val="3"/>
          <w:numId w:val="165"/>
        </w:numPr>
        <w:spacing w:before="100" w:beforeAutospacing="1" w:after="100" w:afterAutospacing="1" w:line="360" w:lineRule="auto"/>
      </w:pPr>
      <w:r>
        <w:t>Support to DepEd’s Rationalization Plan</w:t>
      </w:r>
    </w:p>
    <w:p w14:paraId="1C3FD572" w14:textId="1923B821" w:rsidR="008D0CAD" w:rsidRPr="00F5255D" w:rsidRDefault="008D0CAD" w:rsidP="00671524">
      <w:pPr>
        <w:spacing w:before="100" w:beforeAutospacing="1" w:after="100" w:afterAutospacing="1" w:line="360" w:lineRule="auto"/>
        <w:rPr>
          <w:rFonts w:asciiTheme="majorHAnsi" w:hAnsiTheme="majorHAnsi" w:cstheme="majorHAnsi"/>
          <w:color w:val="000000"/>
        </w:rPr>
      </w:pPr>
      <w:r w:rsidRPr="00F053C4">
        <w:rPr>
          <w:rFonts w:asciiTheme="majorHAnsi" w:hAnsiTheme="majorHAnsi" w:cstheme="majorHAnsi"/>
          <w:color w:val="000000"/>
        </w:rPr>
        <w:t xml:space="preserve">The BEST Program served a facilitating role in the transition of </w:t>
      </w:r>
      <w:r>
        <w:rPr>
          <w:rFonts w:asciiTheme="majorHAnsi" w:hAnsiTheme="majorHAnsi" w:cstheme="majorHAnsi"/>
          <w:color w:val="000000"/>
        </w:rPr>
        <w:t>DepEd</w:t>
      </w:r>
      <w:r w:rsidRPr="00F053C4">
        <w:rPr>
          <w:rFonts w:asciiTheme="majorHAnsi" w:hAnsiTheme="majorHAnsi" w:cstheme="majorHAnsi"/>
          <w:color w:val="000000"/>
        </w:rPr>
        <w:t xml:space="preserve"> to its new organi</w:t>
      </w:r>
      <w:r>
        <w:rPr>
          <w:rFonts w:asciiTheme="majorHAnsi" w:hAnsiTheme="majorHAnsi" w:cstheme="majorHAnsi"/>
          <w:color w:val="000000"/>
        </w:rPr>
        <w:t>s</w:t>
      </w:r>
      <w:r w:rsidRPr="00F053C4">
        <w:rPr>
          <w:rFonts w:asciiTheme="majorHAnsi" w:hAnsiTheme="majorHAnsi" w:cstheme="majorHAnsi"/>
          <w:color w:val="000000"/>
        </w:rPr>
        <w:t>ational structure, which necessitated clarification of functions and redefinition of new work processes</w:t>
      </w:r>
      <w:r>
        <w:rPr>
          <w:rFonts w:asciiTheme="majorHAnsi" w:hAnsiTheme="majorHAnsi" w:cstheme="majorHAnsi"/>
          <w:color w:val="000000"/>
        </w:rPr>
        <w:t xml:space="preserve"> due to the Rationalization Plan</w:t>
      </w:r>
      <w:r w:rsidRPr="00F053C4">
        <w:rPr>
          <w:rFonts w:asciiTheme="majorHAnsi" w:hAnsiTheme="majorHAnsi" w:cstheme="majorHAnsi"/>
          <w:color w:val="000000"/>
        </w:rPr>
        <w:t>.</w:t>
      </w:r>
      <w:r>
        <w:rPr>
          <w:rStyle w:val="FootnoteReference"/>
          <w:rFonts w:asciiTheme="majorHAnsi" w:eastAsia="Arial Unicode MS" w:hAnsiTheme="majorHAnsi" w:cstheme="majorHAnsi"/>
          <w:color w:val="000000"/>
        </w:rPr>
        <w:footnoteReference w:id="83"/>
      </w:r>
      <w:r w:rsidR="00D434EB">
        <w:rPr>
          <w:rFonts w:asciiTheme="majorHAnsi" w:hAnsiTheme="majorHAnsi" w:cstheme="majorHAnsi"/>
          <w:color w:val="000000"/>
        </w:rPr>
        <w:t xml:space="preserve"> </w:t>
      </w:r>
      <w:r>
        <w:rPr>
          <w:rFonts w:asciiTheme="majorHAnsi" w:hAnsiTheme="majorHAnsi" w:cstheme="majorHAnsi"/>
        </w:rPr>
        <w:t>During the first two years of implementation of the BEST Program (July 2014-June 2016)</w:t>
      </w:r>
      <w:r w:rsidRPr="00F053C4">
        <w:rPr>
          <w:rFonts w:asciiTheme="majorHAnsi" w:hAnsiTheme="majorHAnsi" w:cstheme="majorHAnsi"/>
          <w:color w:val="000000"/>
        </w:rPr>
        <w:t xml:space="preserve">, the Program focused on assisting </w:t>
      </w:r>
      <w:r>
        <w:rPr>
          <w:rFonts w:asciiTheme="majorHAnsi" w:hAnsiTheme="majorHAnsi" w:cstheme="majorHAnsi"/>
          <w:color w:val="000000"/>
        </w:rPr>
        <w:t>DepEd</w:t>
      </w:r>
      <w:r w:rsidRPr="00F053C4">
        <w:rPr>
          <w:rFonts w:asciiTheme="majorHAnsi" w:hAnsiTheme="majorHAnsi" w:cstheme="majorHAnsi"/>
          <w:color w:val="000000"/>
        </w:rPr>
        <w:t xml:space="preserve"> </w:t>
      </w:r>
      <w:r>
        <w:rPr>
          <w:rFonts w:asciiTheme="majorHAnsi" w:hAnsiTheme="majorHAnsi" w:cstheme="majorHAnsi"/>
          <w:color w:val="000000"/>
        </w:rPr>
        <w:t xml:space="preserve">(Central Office) </w:t>
      </w:r>
      <w:r w:rsidRPr="00F053C4">
        <w:rPr>
          <w:rFonts w:asciiTheme="majorHAnsi" w:hAnsiTheme="majorHAnsi" w:cstheme="majorHAnsi"/>
          <w:color w:val="000000"/>
        </w:rPr>
        <w:t>in the formulation of new office charters and the documentation of business processes</w:t>
      </w:r>
      <w:r>
        <w:rPr>
          <w:rFonts w:asciiTheme="majorHAnsi" w:hAnsiTheme="majorHAnsi" w:cstheme="majorHAnsi"/>
          <w:color w:val="000000"/>
        </w:rPr>
        <w:t xml:space="preserve"> particularly for the newly created offices</w:t>
      </w:r>
      <w:r w:rsidRPr="00F053C4">
        <w:rPr>
          <w:rFonts w:asciiTheme="majorHAnsi" w:hAnsiTheme="majorHAnsi" w:cstheme="majorHAnsi"/>
          <w:color w:val="000000"/>
        </w:rPr>
        <w:t xml:space="preserve">. </w:t>
      </w:r>
      <w:r>
        <w:rPr>
          <w:rFonts w:asciiTheme="majorHAnsi" w:hAnsiTheme="majorHAnsi" w:cstheme="majorHAnsi"/>
          <w:color w:val="000000"/>
        </w:rPr>
        <w:t xml:space="preserve">The Program assisted Units at the Central Office in </w:t>
      </w:r>
      <w:r w:rsidRPr="00F053C4">
        <w:rPr>
          <w:rFonts w:asciiTheme="majorHAnsi" w:hAnsiTheme="majorHAnsi" w:cstheme="majorHAnsi"/>
          <w:color w:val="000000"/>
        </w:rPr>
        <w:t>draft</w:t>
      </w:r>
      <w:r>
        <w:rPr>
          <w:rFonts w:asciiTheme="majorHAnsi" w:hAnsiTheme="majorHAnsi" w:cstheme="majorHAnsi"/>
          <w:color w:val="000000"/>
        </w:rPr>
        <w:t>ing</w:t>
      </w:r>
      <w:r w:rsidRPr="00F053C4">
        <w:rPr>
          <w:rFonts w:asciiTheme="majorHAnsi" w:hAnsiTheme="majorHAnsi" w:cstheme="majorHAnsi"/>
          <w:color w:val="000000"/>
        </w:rPr>
        <w:t xml:space="preserve"> their </w:t>
      </w:r>
      <w:r>
        <w:rPr>
          <w:rFonts w:asciiTheme="majorHAnsi" w:hAnsiTheme="majorHAnsi" w:cstheme="majorHAnsi"/>
          <w:color w:val="000000"/>
        </w:rPr>
        <w:t xml:space="preserve">respective </w:t>
      </w:r>
      <w:r w:rsidRPr="00F053C4">
        <w:rPr>
          <w:rFonts w:asciiTheme="majorHAnsi" w:hAnsiTheme="majorHAnsi" w:cstheme="majorHAnsi"/>
          <w:color w:val="000000"/>
        </w:rPr>
        <w:t>charters including BHROD, NEAP, Legal Service, Planning Service</w:t>
      </w:r>
      <w:r>
        <w:rPr>
          <w:rFonts w:asciiTheme="majorHAnsi" w:hAnsiTheme="majorHAnsi" w:cstheme="majorHAnsi"/>
          <w:color w:val="000000"/>
        </w:rPr>
        <w:t xml:space="preserve"> (PS)</w:t>
      </w:r>
      <w:r w:rsidRPr="00F053C4">
        <w:rPr>
          <w:rFonts w:asciiTheme="majorHAnsi" w:hAnsiTheme="majorHAnsi" w:cstheme="majorHAnsi"/>
          <w:color w:val="000000"/>
        </w:rPr>
        <w:t>, Project Management Service</w:t>
      </w:r>
      <w:r>
        <w:rPr>
          <w:rFonts w:asciiTheme="majorHAnsi" w:hAnsiTheme="majorHAnsi" w:cstheme="majorHAnsi"/>
          <w:color w:val="000000"/>
        </w:rPr>
        <w:t xml:space="preserve"> (PMS)</w:t>
      </w:r>
      <w:r w:rsidRPr="00F053C4">
        <w:rPr>
          <w:rFonts w:asciiTheme="majorHAnsi" w:hAnsiTheme="majorHAnsi" w:cstheme="majorHAnsi"/>
          <w:color w:val="000000"/>
        </w:rPr>
        <w:t>, Education Program Specialist, Information and Communications Technology Service</w:t>
      </w:r>
      <w:r>
        <w:rPr>
          <w:rFonts w:asciiTheme="majorHAnsi" w:hAnsiTheme="majorHAnsi" w:cstheme="majorHAnsi"/>
          <w:color w:val="000000"/>
        </w:rPr>
        <w:t xml:space="preserve"> (ICTS)</w:t>
      </w:r>
      <w:r w:rsidRPr="00F053C4">
        <w:rPr>
          <w:rFonts w:asciiTheme="majorHAnsi" w:hAnsiTheme="majorHAnsi" w:cstheme="majorHAnsi"/>
          <w:color w:val="000000"/>
        </w:rPr>
        <w:t xml:space="preserve">, Curriculum and Instruction, and Finance and Administration. The charters served as references in the </w:t>
      </w:r>
      <w:r>
        <w:rPr>
          <w:rFonts w:asciiTheme="majorHAnsi" w:hAnsiTheme="majorHAnsi" w:cstheme="majorHAnsi"/>
          <w:color w:val="000000"/>
        </w:rPr>
        <w:t>reformulation/enhancement</w:t>
      </w:r>
      <w:r w:rsidRPr="00F053C4">
        <w:rPr>
          <w:rFonts w:asciiTheme="majorHAnsi" w:hAnsiTheme="majorHAnsi" w:cstheme="majorHAnsi"/>
          <w:color w:val="000000"/>
        </w:rPr>
        <w:t xml:space="preserve"> of the </w:t>
      </w:r>
      <w:r w:rsidRPr="00F053C4">
        <w:rPr>
          <w:rFonts w:asciiTheme="majorHAnsi" w:hAnsiTheme="majorHAnsi" w:cstheme="majorHAnsi"/>
          <w:color w:val="000000"/>
          <w:u w:color="000000"/>
        </w:rPr>
        <w:t>Results-based Performance Management System</w:t>
      </w:r>
      <w:r>
        <w:rPr>
          <w:rFonts w:asciiTheme="majorHAnsi" w:hAnsiTheme="majorHAnsi" w:cstheme="majorHAnsi"/>
          <w:color w:val="000000"/>
          <w:u w:color="000000"/>
        </w:rPr>
        <w:t xml:space="preserve"> </w:t>
      </w:r>
      <w:r w:rsidRPr="00F053C4">
        <w:rPr>
          <w:rFonts w:asciiTheme="majorHAnsi" w:hAnsiTheme="majorHAnsi" w:cstheme="majorHAnsi"/>
          <w:color w:val="000000"/>
          <w:u w:color="000000"/>
        </w:rPr>
        <w:t>(RPMS)</w:t>
      </w:r>
      <w:r w:rsidRPr="00F053C4">
        <w:rPr>
          <w:rFonts w:asciiTheme="majorHAnsi" w:hAnsiTheme="majorHAnsi" w:cstheme="majorHAnsi"/>
          <w:color w:val="000000"/>
        </w:rPr>
        <w:t>.</w:t>
      </w:r>
    </w:p>
    <w:p w14:paraId="57EC252B" w14:textId="75057796" w:rsidR="008D0CAD" w:rsidRDefault="008D0CAD" w:rsidP="00671524">
      <w:pPr>
        <w:spacing w:before="100" w:beforeAutospacing="1" w:after="100" w:afterAutospacing="1" w:line="360" w:lineRule="auto"/>
        <w:rPr>
          <w:rFonts w:asciiTheme="majorHAnsi" w:hAnsiTheme="majorHAnsi" w:cstheme="majorHAnsi"/>
        </w:rPr>
      </w:pPr>
      <w:r>
        <w:rPr>
          <w:rFonts w:asciiTheme="majorHAnsi" w:eastAsiaTheme="minorHAnsi" w:hAnsiTheme="majorHAnsi" w:cstheme="majorHAnsi"/>
        </w:rPr>
        <w:t xml:space="preserve">Respondents from one region praised the contributions of the BEST Program interventions in the implementation of the </w:t>
      </w:r>
      <w:r w:rsidRPr="00E216B3">
        <w:rPr>
          <w:rFonts w:asciiTheme="majorHAnsi" w:hAnsiTheme="majorHAnsi" w:cstheme="majorHAnsi"/>
        </w:rPr>
        <w:t>Rationalization program</w:t>
      </w:r>
      <w:r>
        <w:rPr>
          <w:rFonts w:asciiTheme="majorHAnsi" w:hAnsiTheme="majorHAnsi" w:cstheme="majorHAnsi"/>
        </w:rPr>
        <w:t xml:space="preserve"> for providing clarity to their operations</w:t>
      </w:r>
      <w:r w:rsidRPr="00C46DE3">
        <w:rPr>
          <w:rFonts w:asciiTheme="majorHAnsi" w:hAnsiTheme="majorHAnsi" w:cstheme="majorHAnsi"/>
        </w:rPr>
        <w:t xml:space="preserve">. </w:t>
      </w:r>
      <w:r>
        <w:rPr>
          <w:rFonts w:asciiTheme="majorHAnsi" w:hAnsiTheme="majorHAnsi" w:cstheme="majorHAnsi"/>
        </w:rPr>
        <w:t>The noted that because of iterative reviews of functions, the k</w:t>
      </w:r>
      <w:r w:rsidRPr="00C46DE3">
        <w:rPr>
          <w:rFonts w:asciiTheme="majorHAnsi" w:hAnsiTheme="majorHAnsi" w:cstheme="majorHAnsi"/>
        </w:rPr>
        <w:t xml:space="preserve">ey results areas </w:t>
      </w:r>
      <w:r>
        <w:rPr>
          <w:rFonts w:asciiTheme="majorHAnsi" w:hAnsiTheme="majorHAnsi" w:cstheme="majorHAnsi"/>
        </w:rPr>
        <w:t>(KRAs) of the ROs and DOs are now much clearer. They said “</w:t>
      </w:r>
      <w:r w:rsidRPr="004D151B">
        <w:rPr>
          <w:rFonts w:asciiTheme="majorHAnsi" w:hAnsiTheme="majorHAnsi" w:cstheme="majorHAnsi"/>
          <w:i/>
        </w:rPr>
        <w:t>Dati nagtuturuan dahil di klarado</w:t>
      </w:r>
      <w:r>
        <w:rPr>
          <w:rFonts w:asciiTheme="majorHAnsi" w:hAnsiTheme="majorHAnsi" w:cstheme="majorHAnsi"/>
          <w:i/>
        </w:rPr>
        <w:t>”</w:t>
      </w:r>
      <w:r>
        <w:rPr>
          <w:rFonts w:asciiTheme="majorHAnsi" w:hAnsiTheme="majorHAnsi" w:cstheme="majorHAnsi"/>
        </w:rPr>
        <w:t>.</w:t>
      </w:r>
      <w:r>
        <w:rPr>
          <w:rStyle w:val="FootnoteReference"/>
          <w:rFonts w:asciiTheme="majorHAnsi" w:eastAsia="Arial Unicode MS" w:hAnsiTheme="majorHAnsi" w:cstheme="majorHAnsi"/>
        </w:rPr>
        <w:footnoteReference w:id="84"/>
      </w:r>
      <w:r w:rsidR="00D434EB">
        <w:rPr>
          <w:rFonts w:asciiTheme="majorHAnsi" w:hAnsiTheme="majorHAnsi" w:cstheme="majorHAnsi"/>
        </w:rPr>
        <w:t xml:space="preserve"> </w:t>
      </w:r>
      <w:r>
        <w:rPr>
          <w:rFonts w:asciiTheme="majorHAnsi" w:hAnsiTheme="majorHAnsi" w:cstheme="majorHAnsi"/>
        </w:rPr>
        <w:t xml:space="preserve">They stressed that because the </w:t>
      </w:r>
      <w:r w:rsidRPr="00C46DE3">
        <w:rPr>
          <w:rFonts w:asciiTheme="majorHAnsi" w:hAnsiTheme="majorHAnsi" w:cstheme="majorHAnsi"/>
        </w:rPr>
        <w:t>delineation of functions</w:t>
      </w:r>
      <w:r>
        <w:rPr>
          <w:rFonts w:asciiTheme="majorHAnsi" w:hAnsiTheme="majorHAnsi" w:cstheme="majorHAnsi"/>
        </w:rPr>
        <w:t xml:space="preserve"> was made clearer, </w:t>
      </w:r>
      <w:r w:rsidRPr="00C46DE3">
        <w:rPr>
          <w:rFonts w:asciiTheme="majorHAnsi" w:hAnsiTheme="majorHAnsi" w:cstheme="majorHAnsi"/>
        </w:rPr>
        <w:t>Regional and Division level coordination</w:t>
      </w:r>
      <w:r>
        <w:rPr>
          <w:rFonts w:asciiTheme="majorHAnsi" w:hAnsiTheme="majorHAnsi" w:cstheme="majorHAnsi"/>
        </w:rPr>
        <w:t xml:space="preserve"> had improved</w:t>
      </w:r>
      <w:r w:rsidRPr="00C46DE3">
        <w:rPr>
          <w:rFonts w:asciiTheme="majorHAnsi" w:hAnsiTheme="majorHAnsi" w:cstheme="majorHAnsi"/>
        </w:rPr>
        <w:t xml:space="preserve">. </w:t>
      </w:r>
      <w:r>
        <w:rPr>
          <w:rFonts w:asciiTheme="majorHAnsi" w:hAnsiTheme="majorHAnsi" w:cstheme="majorHAnsi"/>
        </w:rPr>
        <w:t>They also added that while</w:t>
      </w:r>
      <w:r w:rsidRPr="00C46DE3">
        <w:rPr>
          <w:rFonts w:asciiTheme="majorHAnsi" w:hAnsiTheme="majorHAnsi" w:cstheme="majorHAnsi"/>
        </w:rPr>
        <w:t xml:space="preserve"> </w:t>
      </w:r>
      <w:r>
        <w:rPr>
          <w:rFonts w:asciiTheme="majorHAnsi" w:hAnsiTheme="majorHAnsi" w:cstheme="majorHAnsi"/>
        </w:rPr>
        <w:t xml:space="preserve">the </w:t>
      </w:r>
      <w:r w:rsidRPr="00C46DE3">
        <w:rPr>
          <w:rFonts w:asciiTheme="majorHAnsi" w:hAnsiTheme="majorHAnsi" w:cstheme="majorHAnsi"/>
        </w:rPr>
        <w:t xml:space="preserve">BEST </w:t>
      </w:r>
      <w:r>
        <w:rPr>
          <w:rFonts w:asciiTheme="majorHAnsi" w:hAnsiTheme="majorHAnsi" w:cstheme="majorHAnsi"/>
        </w:rPr>
        <w:t xml:space="preserve">Program interventions stopped in </w:t>
      </w:r>
      <w:r w:rsidRPr="00C46DE3">
        <w:rPr>
          <w:rFonts w:asciiTheme="majorHAnsi" w:hAnsiTheme="majorHAnsi" w:cstheme="majorHAnsi"/>
        </w:rPr>
        <w:t xml:space="preserve">August 2017, </w:t>
      </w:r>
      <w:r>
        <w:rPr>
          <w:rFonts w:asciiTheme="majorHAnsi" w:hAnsiTheme="majorHAnsi" w:cstheme="majorHAnsi"/>
        </w:rPr>
        <w:t>the</w:t>
      </w:r>
      <w:r w:rsidRPr="00C46DE3">
        <w:rPr>
          <w:rFonts w:asciiTheme="majorHAnsi" w:hAnsiTheme="majorHAnsi" w:cstheme="majorHAnsi"/>
        </w:rPr>
        <w:t xml:space="preserve"> coaching continued</w:t>
      </w:r>
      <w:r>
        <w:rPr>
          <w:rFonts w:asciiTheme="majorHAnsi" w:hAnsiTheme="majorHAnsi" w:cstheme="majorHAnsi"/>
        </w:rPr>
        <w:t xml:space="preserve"> because the practice was</w:t>
      </w:r>
      <w:r w:rsidRPr="00C46DE3">
        <w:rPr>
          <w:rFonts w:asciiTheme="majorHAnsi" w:hAnsiTheme="majorHAnsi" w:cstheme="majorHAnsi"/>
        </w:rPr>
        <w:t xml:space="preserve"> </w:t>
      </w:r>
      <w:r>
        <w:rPr>
          <w:rFonts w:asciiTheme="majorHAnsi" w:hAnsiTheme="majorHAnsi" w:cstheme="majorHAnsi"/>
        </w:rPr>
        <w:t>adopted</w:t>
      </w:r>
      <w:r w:rsidRPr="00C46DE3">
        <w:rPr>
          <w:rFonts w:asciiTheme="majorHAnsi" w:hAnsiTheme="majorHAnsi" w:cstheme="majorHAnsi"/>
        </w:rPr>
        <w:t xml:space="preserve"> by </w:t>
      </w:r>
      <w:r>
        <w:rPr>
          <w:rFonts w:asciiTheme="majorHAnsi" w:hAnsiTheme="majorHAnsi" w:cstheme="majorHAnsi"/>
        </w:rPr>
        <w:t>the Regional Office.</w:t>
      </w:r>
      <w:r w:rsidR="00D434EB">
        <w:rPr>
          <w:rFonts w:asciiTheme="majorHAnsi" w:hAnsiTheme="majorHAnsi" w:cstheme="majorHAnsi"/>
        </w:rPr>
        <w:t xml:space="preserve"> </w:t>
      </w:r>
      <w:r>
        <w:rPr>
          <w:rFonts w:asciiTheme="majorHAnsi" w:hAnsiTheme="majorHAnsi" w:cstheme="majorHAnsi"/>
        </w:rPr>
        <w:t>Thus, support for the implementation of systems reforms was continuous.</w:t>
      </w:r>
    </w:p>
    <w:p w14:paraId="195AC9A6" w14:textId="6D1B8D1E" w:rsidR="008D0CAD" w:rsidRDefault="008D0CAD" w:rsidP="00671524">
      <w:pPr>
        <w:spacing w:before="100" w:beforeAutospacing="1" w:after="100" w:afterAutospacing="1" w:line="360" w:lineRule="auto"/>
        <w:rPr>
          <w:rFonts w:asciiTheme="majorHAnsi" w:hAnsiTheme="majorHAnsi" w:cstheme="majorHAnsi"/>
        </w:rPr>
      </w:pPr>
      <w:r>
        <w:rPr>
          <w:rFonts w:asciiTheme="majorHAnsi" w:hAnsiTheme="majorHAnsi" w:cstheme="majorHAnsi"/>
          <w:color w:val="000000"/>
        </w:rPr>
        <w:t>In</w:t>
      </w:r>
      <w:r w:rsidRPr="00F053C4">
        <w:rPr>
          <w:rFonts w:asciiTheme="majorHAnsi" w:hAnsiTheme="majorHAnsi" w:cstheme="majorHAnsi"/>
          <w:color w:val="000000"/>
        </w:rPr>
        <w:t xml:space="preserve"> </w:t>
      </w:r>
      <w:r>
        <w:rPr>
          <w:rFonts w:asciiTheme="majorHAnsi" w:hAnsiTheme="majorHAnsi" w:cstheme="majorHAnsi"/>
          <w:color w:val="000000"/>
        </w:rPr>
        <w:t>2017, the BEST Program shifted the focus of its OD interventions t</w:t>
      </w:r>
      <w:r>
        <w:rPr>
          <w:rFonts w:asciiTheme="majorHAnsi" w:hAnsiTheme="majorHAnsi" w:cstheme="majorHAnsi"/>
          <w:color w:val="000000"/>
          <w:u w:color="000000"/>
        </w:rPr>
        <w:t>o</w:t>
      </w:r>
      <w:r w:rsidRPr="00F053C4">
        <w:rPr>
          <w:rFonts w:asciiTheme="majorHAnsi" w:hAnsiTheme="majorHAnsi" w:cstheme="majorHAnsi"/>
          <w:color w:val="000000"/>
          <w:u w:color="000000"/>
        </w:rPr>
        <w:t xml:space="preserve"> improv</w:t>
      </w:r>
      <w:r>
        <w:rPr>
          <w:rFonts w:asciiTheme="majorHAnsi" w:hAnsiTheme="majorHAnsi" w:cstheme="majorHAnsi"/>
          <w:color w:val="000000"/>
          <w:u w:color="000000"/>
        </w:rPr>
        <w:t>ing</w:t>
      </w:r>
      <w:r w:rsidRPr="00F053C4">
        <w:rPr>
          <w:rFonts w:asciiTheme="majorHAnsi" w:hAnsiTheme="majorHAnsi" w:cstheme="majorHAnsi"/>
          <w:color w:val="000000"/>
          <w:u w:color="000000"/>
        </w:rPr>
        <w:t xml:space="preserve"> the capacity of </w:t>
      </w:r>
      <w:r>
        <w:rPr>
          <w:rFonts w:asciiTheme="majorHAnsi" w:hAnsiTheme="majorHAnsi" w:cstheme="majorHAnsi"/>
          <w:color w:val="000000"/>
          <w:u w:color="000000"/>
        </w:rPr>
        <w:t>DepEd</w:t>
      </w:r>
      <w:r w:rsidRPr="00F053C4">
        <w:rPr>
          <w:rFonts w:asciiTheme="majorHAnsi" w:hAnsiTheme="majorHAnsi" w:cstheme="majorHAnsi"/>
          <w:color w:val="000000"/>
          <w:u w:color="000000"/>
        </w:rPr>
        <w:t xml:space="preserve"> to implement </w:t>
      </w:r>
      <w:r>
        <w:rPr>
          <w:rFonts w:asciiTheme="majorHAnsi" w:hAnsiTheme="majorHAnsi" w:cstheme="majorHAnsi"/>
          <w:color w:val="000000"/>
          <w:u w:color="000000"/>
        </w:rPr>
        <w:t>the Learning &amp; Development (</w:t>
      </w:r>
      <w:r w:rsidRPr="00F053C4">
        <w:rPr>
          <w:rFonts w:asciiTheme="majorHAnsi" w:hAnsiTheme="majorHAnsi" w:cstheme="majorHAnsi"/>
          <w:color w:val="000000"/>
          <w:u w:color="000000"/>
        </w:rPr>
        <w:t>L&amp;D</w:t>
      </w:r>
      <w:r>
        <w:rPr>
          <w:rFonts w:asciiTheme="majorHAnsi" w:hAnsiTheme="majorHAnsi" w:cstheme="majorHAnsi"/>
          <w:color w:val="000000"/>
          <w:u w:color="000000"/>
        </w:rPr>
        <w:t>)</w:t>
      </w:r>
      <w:r w:rsidRPr="00F053C4">
        <w:rPr>
          <w:rFonts w:asciiTheme="majorHAnsi" w:hAnsiTheme="majorHAnsi" w:cstheme="majorHAnsi"/>
          <w:color w:val="000000"/>
          <w:u w:color="000000"/>
        </w:rPr>
        <w:t xml:space="preserve"> system </w:t>
      </w:r>
      <w:r>
        <w:rPr>
          <w:rFonts w:asciiTheme="majorHAnsi" w:hAnsiTheme="majorHAnsi" w:cstheme="majorHAnsi"/>
          <w:color w:val="000000"/>
          <w:u w:color="000000"/>
        </w:rPr>
        <w:t>at</w:t>
      </w:r>
      <w:r w:rsidRPr="00F053C4">
        <w:rPr>
          <w:rFonts w:asciiTheme="majorHAnsi" w:hAnsiTheme="majorHAnsi" w:cstheme="majorHAnsi"/>
          <w:color w:val="000000"/>
          <w:u w:color="000000"/>
        </w:rPr>
        <w:t xml:space="preserve"> all governance levels</w:t>
      </w:r>
      <w:r>
        <w:rPr>
          <w:rFonts w:asciiTheme="majorHAnsi" w:hAnsiTheme="majorHAnsi" w:cstheme="majorHAnsi"/>
          <w:color w:val="000000"/>
          <w:u w:color="000000"/>
        </w:rPr>
        <w:t>,</w:t>
      </w:r>
      <w:r w:rsidRPr="00F053C4">
        <w:rPr>
          <w:rFonts w:asciiTheme="majorHAnsi" w:hAnsiTheme="majorHAnsi" w:cstheme="majorHAnsi"/>
          <w:color w:val="000000"/>
          <w:u w:color="000000"/>
        </w:rPr>
        <w:t xml:space="preserve"> </w:t>
      </w:r>
      <w:r>
        <w:rPr>
          <w:rFonts w:asciiTheme="majorHAnsi" w:hAnsiTheme="majorHAnsi" w:cstheme="majorHAnsi"/>
          <w:color w:val="000000"/>
          <w:u w:color="000000"/>
        </w:rPr>
        <w:t>undergirded by</w:t>
      </w:r>
      <w:r w:rsidRPr="00F053C4">
        <w:rPr>
          <w:rFonts w:asciiTheme="majorHAnsi" w:hAnsiTheme="majorHAnsi" w:cstheme="majorHAnsi"/>
          <w:color w:val="000000"/>
          <w:u w:color="000000"/>
        </w:rPr>
        <w:t xml:space="preserve"> the adoption of the L&amp;D System Manuals.</w:t>
      </w:r>
      <w:r>
        <w:rPr>
          <w:rStyle w:val="FootnoteReference"/>
          <w:rFonts w:asciiTheme="majorHAnsi" w:eastAsia="Arial Unicode MS" w:hAnsiTheme="majorHAnsi" w:cstheme="majorHAnsi"/>
          <w:color w:val="000000"/>
        </w:rPr>
        <w:footnoteReference w:id="85"/>
      </w:r>
      <w:r>
        <w:rPr>
          <w:rFonts w:asciiTheme="majorHAnsi" w:hAnsiTheme="majorHAnsi" w:cstheme="majorHAnsi"/>
          <w:color w:val="000000"/>
        </w:rPr>
        <w:t xml:space="preserve"> </w:t>
      </w:r>
      <w:r>
        <w:rPr>
          <w:rFonts w:asciiTheme="majorHAnsi" w:hAnsiTheme="majorHAnsi" w:cstheme="majorHAnsi"/>
          <w:color w:val="000000"/>
          <w:u w:color="000000"/>
        </w:rPr>
        <w:t>A</w:t>
      </w:r>
      <w:r w:rsidRPr="00F053C4">
        <w:rPr>
          <w:rFonts w:asciiTheme="majorHAnsi" w:hAnsiTheme="majorHAnsi" w:cstheme="majorHAnsi"/>
          <w:color w:val="000000"/>
          <w:u w:color="000000"/>
        </w:rPr>
        <w:t xml:space="preserve">n unexpected outcome </w:t>
      </w:r>
      <w:r>
        <w:rPr>
          <w:rFonts w:asciiTheme="majorHAnsi" w:hAnsiTheme="majorHAnsi" w:cstheme="majorHAnsi"/>
          <w:color w:val="000000"/>
          <w:u w:color="000000"/>
        </w:rPr>
        <w:t>of this activity was the formulation of the</w:t>
      </w:r>
      <w:r w:rsidRPr="00F053C4">
        <w:rPr>
          <w:rFonts w:asciiTheme="majorHAnsi" w:hAnsiTheme="majorHAnsi" w:cstheme="majorHAnsi"/>
          <w:color w:val="000000"/>
          <w:u w:color="000000"/>
        </w:rPr>
        <w:t xml:space="preserve"> Human Resource Development plan</w:t>
      </w:r>
      <w:r>
        <w:rPr>
          <w:rFonts w:asciiTheme="majorHAnsi" w:hAnsiTheme="majorHAnsi" w:cstheme="majorHAnsi"/>
          <w:color w:val="000000"/>
          <w:u w:color="000000"/>
        </w:rPr>
        <w:t>s</w:t>
      </w:r>
      <w:r w:rsidRPr="00F053C4">
        <w:rPr>
          <w:rFonts w:asciiTheme="majorHAnsi" w:hAnsiTheme="majorHAnsi" w:cstheme="majorHAnsi"/>
          <w:color w:val="000000"/>
          <w:u w:color="000000"/>
        </w:rPr>
        <w:t xml:space="preserve"> of Regions and Divisions</w:t>
      </w:r>
      <w:r>
        <w:rPr>
          <w:rFonts w:asciiTheme="majorHAnsi" w:hAnsiTheme="majorHAnsi" w:cstheme="majorHAnsi"/>
          <w:color w:val="000000"/>
          <w:u w:color="000000"/>
        </w:rPr>
        <w:t xml:space="preserve"> involved that served as</w:t>
      </w:r>
      <w:r w:rsidRPr="00F053C4">
        <w:rPr>
          <w:rFonts w:asciiTheme="majorHAnsi" w:hAnsiTheme="majorHAnsi" w:cstheme="majorHAnsi"/>
          <w:color w:val="000000"/>
          <w:u w:color="000000"/>
        </w:rPr>
        <w:t xml:space="preserve"> guide for all professional development programs.</w:t>
      </w:r>
      <w:r w:rsidR="00D434EB">
        <w:rPr>
          <w:rFonts w:asciiTheme="majorHAnsi" w:hAnsiTheme="majorHAnsi" w:cstheme="majorHAnsi"/>
          <w:color w:val="000000"/>
          <w:u w:color="000000"/>
        </w:rPr>
        <w:t xml:space="preserve"> </w:t>
      </w:r>
      <w:r>
        <w:rPr>
          <w:rFonts w:asciiTheme="majorHAnsi" w:hAnsiTheme="majorHAnsi" w:cstheme="majorHAnsi"/>
          <w:color w:val="000000"/>
          <w:u w:color="000000"/>
        </w:rPr>
        <w:t xml:space="preserve">The </w:t>
      </w:r>
      <w:r w:rsidRPr="00F053C4">
        <w:rPr>
          <w:rFonts w:asciiTheme="majorHAnsi" w:hAnsiTheme="majorHAnsi" w:cstheme="majorHAnsi"/>
          <w:color w:val="000000"/>
          <w:u w:color="000000"/>
        </w:rPr>
        <w:t>series of workshops and consultations</w:t>
      </w:r>
      <w:r>
        <w:rPr>
          <w:rFonts w:asciiTheme="majorHAnsi" w:hAnsiTheme="majorHAnsi" w:cstheme="majorHAnsi"/>
          <w:color w:val="000000"/>
          <w:u w:color="000000"/>
        </w:rPr>
        <w:t xml:space="preserve"> led by</w:t>
      </w:r>
      <w:r w:rsidRPr="00F053C4">
        <w:rPr>
          <w:rFonts w:asciiTheme="majorHAnsi" w:hAnsiTheme="majorHAnsi" w:cstheme="majorHAnsi"/>
          <w:color w:val="000000"/>
          <w:u w:color="000000"/>
        </w:rPr>
        <w:t xml:space="preserve"> NEAP</w:t>
      </w:r>
      <w:r>
        <w:rPr>
          <w:rFonts w:asciiTheme="majorHAnsi" w:hAnsiTheme="majorHAnsi" w:cstheme="majorHAnsi"/>
          <w:color w:val="000000"/>
          <w:u w:color="000000"/>
        </w:rPr>
        <w:t xml:space="preserve"> with support from BEST</w:t>
      </w:r>
      <w:r w:rsidRPr="00F053C4">
        <w:rPr>
          <w:rFonts w:asciiTheme="majorHAnsi" w:hAnsiTheme="majorHAnsi" w:cstheme="majorHAnsi"/>
          <w:color w:val="000000"/>
          <w:u w:color="000000"/>
        </w:rPr>
        <w:t xml:space="preserve">, </w:t>
      </w:r>
      <w:r>
        <w:rPr>
          <w:rFonts w:asciiTheme="majorHAnsi" w:hAnsiTheme="majorHAnsi" w:cstheme="majorHAnsi"/>
          <w:color w:val="000000"/>
          <w:u w:color="000000"/>
        </w:rPr>
        <w:t>resulted in the drafting of four</w:t>
      </w:r>
      <w:r w:rsidRPr="00F053C4">
        <w:rPr>
          <w:rFonts w:asciiTheme="majorHAnsi" w:hAnsiTheme="majorHAnsi" w:cstheme="majorHAnsi"/>
          <w:color w:val="000000"/>
          <w:u w:color="000000"/>
        </w:rPr>
        <w:t xml:space="preserve"> </w:t>
      </w:r>
      <w:r>
        <w:rPr>
          <w:rFonts w:asciiTheme="majorHAnsi" w:hAnsiTheme="majorHAnsi" w:cstheme="majorHAnsi"/>
          <w:color w:val="000000"/>
          <w:u w:color="000000"/>
        </w:rPr>
        <w:t xml:space="preserve">sets of </w:t>
      </w:r>
      <w:r w:rsidRPr="00F053C4">
        <w:rPr>
          <w:rFonts w:asciiTheme="majorHAnsi" w:hAnsiTheme="majorHAnsi" w:cstheme="majorHAnsi"/>
          <w:color w:val="000000"/>
          <w:u w:color="000000"/>
        </w:rPr>
        <w:t xml:space="preserve">L&amp;D System </w:t>
      </w:r>
      <w:r>
        <w:rPr>
          <w:rFonts w:asciiTheme="majorHAnsi" w:hAnsiTheme="majorHAnsi" w:cstheme="majorHAnsi"/>
          <w:color w:val="000000"/>
          <w:u w:color="000000"/>
        </w:rPr>
        <w:t>m</w:t>
      </w:r>
      <w:r w:rsidRPr="00F053C4">
        <w:rPr>
          <w:rFonts w:asciiTheme="majorHAnsi" w:hAnsiTheme="majorHAnsi" w:cstheme="majorHAnsi"/>
          <w:color w:val="000000"/>
          <w:u w:color="000000"/>
        </w:rPr>
        <w:t>anuals</w:t>
      </w:r>
      <w:r>
        <w:rPr>
          <w:rFonts w:asciiTheme="majorHAnsi" w:hAnsiTheme="majorHAnsi" w:cstheme="majorHAnsi"/>
          <w:color w:val="000000"/>
          <w:u w:color="000000"/>
        </w:rPr>
        <w:t xml:space="preserve">, one </w:t>
      </w:r>
      <w:r w:rsidRPr="00F053C4">
        <w:rPr>
          <w:rFonts w:asciiTheme="majorHAnsi" w:hAnsiTheme="majorHAnsi" w:cstheme="majorHAnsi"/>
          <w:color w:val="000000"/>
          <w:u w:color="000000"/>
        </w:rPr>
        <w:t xml:space="preserve">for each governance level. The </w:t>
      </w:r>
      <w:r>
        <w:rPr>
          <w:rFonts w:asciiTheme="majorHAnsi" w:hAnsiTheme="majorHAnsi" w:cstheme="majorHAnsi"/>
          <w:color w:val="000000"/>
          <w:u w:color="000000"/>
        </w:rPr>
        <w:t>draft</w:t>
      </w:r>
      <w:r w:rsidRPr="00F053C4">
        <w:rPr>
          <w:rFonts w:asciiTheme="majorHAnsi" w:hAnsiTheme="majorHAnsi" w:cstheme="majorHAnsi"/>
          <w:color w:val="000000"/>
          <w:u w:color="000000"/>
        </w:rPr>
        <w:t xml:space="preserve"> manuals include</w:t>
      </w:r>
      <w:r>
        <w:rPr>
          <w:rFonts w:asciiTheme="majorHAnsi" w:hAnsiTheme="majorHAnsi" w:cstheme="majorHAnsi"/>
          <w:color w:val="000000"/>
          <w:u w:color="000000"/>
        </w:rPr>
        <w:t>d</w:t>
      </w:r>
      <w:r w:rsidRPr="00F053C4">
        <w:rPr>
          <w:rFonts w:asciiTheme="majorHAnsi" w:hAnsiTheme="majorHAnsi" w:cstheme="majorHAnsi"/>
          <w:color w:val="000000"/>
          <w:u w:color="000000"/>
        </w:rPr>
        <w:t xml:space="preserve"> the L&amp;D framework, audit protocols, and NEAP Standards for Facilities. </w:t>
      </w:r>
    </w:p>
    <w:p w14:paraId="4AF6B5C7" w14:textId="77777777" w:rsidR="008D0CAD" w:rsidRPr="008B6563" w:rsidRDefault="008D0CAD" w:rsidP="00671524">
      <w:pPr>
        <w:spacing w:before="100" w:beforeAutospacing="1" w:after="100" w:afterAutospacing="1" w:line="360" w:lineRule="auto"/>
        <w:rPr>
          <w:rFonts w:asciiTheme="majorHAnsi" w:hAnsiTheme="majorHAnsi" w:cstheme="majorHAnsi"/>
          <w:color w:val="000000"/>
          <w:u w:color="000000"/>
        </w:rPr>
      </w:pPr>
      <w:r>
        <w:rPr>
          <w:rFonts w:asciiTheme="majorHAnsi" w:hAnsiTheme="majorHAnsi" w:cstheme="majorHAnsi"/>
          <w:color w:val="000000"/>
          <w:u w:color="000000"/>
        </w:rPr>
        <w:t>By 2018, the interventions centered on the i</w:t>
      </w:r>
      <w:r w:rsidRPr="00F053C4">
        <w:rPr>
          <w:rFonts w:asciiTheme="majorHAnsi" w:hAnsiTheme="majorHAnsi" w:cstheme="majorHAnsi"/>
          <w:color w:val="000000"/>
          <w:u w:color="000000"/>
        </w:rPr>
        <w:t xml:space="preserve">ntegration of the RPMS </w:t>
      </w:r>
      <w:r>
        <w:rPr>
          <w:rFonts w:asciiTheme="majorHAnsi" w:hAnsiTheme="majorHAnsi" w:cstheme="majorHAnsi"/>
          <w:color w:val="000000"/>
          <w:u w:color="000000"/>
        </w:rPr>
        <w:t>with the</w:t>
      </w:r>
      <w:r w:rsidRPr="00F053C4">
        <w:rPr>
          <w:rFonts w:asciiTheme="majorHAnsi" w:hAnsiTheme="majorHAnsi" w:cstheme="majorHAnsi"/>
          <w:color w:val="000000"/>
          <w:u w:color="000000"/>
        </w:rPr>
        <w:t xml:space="preserve"> L&amp;D interventions directly contribut</w:t>
      </w:r>
      <w:r>
        <w:rPr>
          <w:rFonts w:asciiTheme="majorHAnsi" w:hAnsiTheme="majorHAnsi" w:cstheme="majorHAnsi"/>
          <w:color w:val="000000"/>
          <w:u w:color="000000"/>
        </w:rPr>
        <w:t>ing</w:t>
      </w:r>
      <w:r w:rsidRPr="00F053C4">
        <w:rPr>
          <w:rFonts w:asciiTheme="majorHAnsi" w:hAnsiTheme="majorHAnsi" w:cstheme="majorHAnsi"/>
          <w:color w:val="000000"/>
          <w:u w:color="000000"/>
        </w:rPr>
        <w:t xml:space="preserve"> to performance</w:t>
      </w:r>
      <w:r>
        <w:rPr>
          <w:rFonts w:asciiTheme="majorHAnsi" w:hAnsiTheme="majorHAnsi" w:cstheme="majorHAnsi"/>
          <w:color w:val="000000"/>
          <w:u w:color="000000"/>
        </w:rPr>
        <w:t>; the a</w:t>
      </w:r>
      <w:r w:rsidRPr="00F053C4">
        <w:rPr>
          <w:rFonts w:asciiTheme="majorHAnsi" w:hAnsiTheme="majorHAnsi" w:cstheme="majorHAnsi"/>
          <w:color w:val="000000"/>
          <w:u w:color="000000"/>
        </w:rPr>
        <w:t xml:space="preserve">lignment </w:t>
      </w:r>
      <w:r>
        <w:rPr>
          <w:rFonts w:asciiTheme="majorHAnsi" w:hAnsiTheme="majorHAnsi" w:cstheme="majorHAnsi"/>
          <w:color w:val="000000"/>
          <w:u w:color="000000"/>
        </w:rPr>
        <w:t xml:space="preserve">of the RPMS with the new </w:t>
      </w:r>
      <w:r w:rsidRPr="00F053C4">
        <w:rPr>
          <w:rFonts w:asciiTheme="majorHAnsi" w:hAnsiTheme="majorHAnsi" w:cstheme="majorHAnsi"/>
          <w:color w:val="000000"/>
          <w:u w:color="000000"/>
        </w:rPr>
        <w:t>Philippine Professional Standards for Teachers (PPST)</w:t>
      </w:r>
      <w:r>
        <w:rPr>
          <w:rFonts w:asciiTheme="majorHAnsi" w:hAnsiTheme="majorHAnsi" w:cstheme="majorHAnsi"/>
          <w:color w:val="000000"/>
          <w:u w:color="000000"/>
        </w:rPr>
        <w:t xml:space="preserve"> and the h</w:t>
      </w:r>
      <w:r w:rsidRPr="00F053C4">
        <w:rPr>
          <w:rFonts w:asciiTheme="majorHAnsi" w:hAnsiTheme="majorHAnsi" w:cstheme="majorHAnsi"/>
          <w:color w:val="000000"/>
          <w:u w:color="000000"/>
        </w:rPr>
        <w:t>armoni</w:t>
      </w:r>
      <w:r>
        <w:rPr>
          <w:rFonts w:asciiTheme="majorHAnsi" w:hAnsiTheme="majorHAnsi" w:cstheme="majorHAnsi"/>
          <w:color w:val="000000"/>
          <w:u w:color="000000"/>
        </w:rPr>
        <w:t>s</w:t>
      </w:r>
      <w:r w:rsidRPr="00F053C4">
        <w:rPr>
          <w:rFonts w:asciiTheme="majorHAnsi" w:hAnsiTheme="majorHAnsi" w:cstheme="majorHAnsi"/>
          <w:color w:val="000000"/>
          <w:u w:color="000000"/>
        </w:rPr>
        <w:t xml:space="preserve">ation of </w:t>
      </w:r>
      <w:r>
        <w:rPr>
          <w:rFonts w:asciiTheme="majorHAnsi" w:hAnsiTheme="majorHAnsi" w:cstheme="majorHAnsi"/>
          <w:color w:val="000000"/>
          <w:u w:color="000000"/>
        </w:rPr>
        <w:t xml:space="preserve">the PPST </w:t>
      </w:r>
      <w:r w:rsidRPr="00F053C4">
        <w:rPr>
          <w:rFonts w:asciiTheme="majorHAnsi" w:hAnsiTheme="majorHAnsi" w:cstheme="majorHAnsi"/>
          <w:color w:val="000000"/>
          <w:u w:color="000000"/>
        </w:rPr>
        <w:t xml:space="preserve">standards with the Program to Institutionalize Meritocracy and Excellence in Human Resource Management (PRIME-HRM) requirements of the Civil Service </w:t>
      </w:r>
      <w:r w:rsidRPr="008A6B83">
        <w:rPr>
          <w:rFonts w:asciiTheme="majorHAnsi" w:hAnsiTheme="majorHAnsi" w:cstheme="majorHAnsi"/>
          <w:color w:val="000000"/>
          <w:u w:color="000000"/>
        </w:rPr>
        <w:t>Commission.</w:t>
      </w:r>
      <w:r>
        <w:rPr>
          <w:rStyle w:val="FootnoteReference"/>
          <w:rFonts w:asciiTheme="majorHAnsi" w:eastAsia="Arial Unicode MS" w:hAnsiTheme="majorHAnsi" w:cstheme="majorHAnsi"/>
          <w:color w:val="000000"/>
        </w:rPr>
        <w:footnoteReference w:id="86"/>
      </w:r>
    </w:p>
    <w:p w14:paraId="75A87047" w14:textId="4E7801DA" w:rsidR="008D0CAD" w:rsidRDefault="008D0CAD" w:rsidP="00DD08E3">
      <w:pPr>
        <w:pStyle w:val="Heading5"/>
        <w:numPr>
          <w:ilvl w:val="3"/>
          <w:numId w:val="165"/>
        </w:numPr>
        <w:spacing w:before="100" w:beforeAutospacing="1" w:after="100" w:afterAutospacing="1" w:line="360" w:lineRule="auto"/>
      </w:pPr>
      <w:r>
        <w:t>Interventions on Continuous Improvements (CI)</w:t>
      </w:r>
    </w:p>
    <w:p w14:paraId="59E83D97" w14:textId="3B76EC6C" w:rsidR="008D0CAD" w:rsidRDefault="008D0CAD" w:rsidP="00671524">
      <w:pPr>
        <w:spacing w:before="100" w:beforeAutospacing="1" w:after="100" w:afterAutospacing="1" w:line="360" w:lineRule="auto"/>
        <w:rPr>
          <w:rFonts w:asciiTheme="majorHAnsi" w:hAnsiTheme="majorHAnsi" w:cstheme="majorHAnsi"/>
          <w:color w:val="000000"/>
        </w:rPr>
      </w:pPr>
      <w:r w:rsidRPr="00F053C4">
        <w:rPr>
          <w:rFonts w:asciiTheme="majorHAnsi" w:hAnsiTheme="majorHAnsi" w:cstheme="majorHAnsi"/>
          <w:color w:val="000000"/>
        </w:rPr>
        <w:t xml:space="preserve">The </w:t>
      </w:r>
      <w:r>
        <w:rPr>
          <w:rFonts w:asciiTheme="majorHAnsi" w:hAnsiTheme="majorHAnsi" w:cstheme="majorHAnsi"/>
          <w:color w:val="000000"/>
        </w:rPr>
        <w:t xml:space="preserve">Program </w:t>
      </w:r>
      <w:r w:rsidRPr="00F053C4">
        <w:rPr>
          <w:rFonts w:asciiTheme="majorHAnsi" w:hAnsiTheme="majorHAnsi" w:cstheme="majorHAnsi"/>
          <w:color w:val="000000"/>
        </w:rPr>
        <w:t>intervention</w:t>
      </w:r>
      <w:r>
        <w:rPr>
          <w:rFonts w:asciiTheme="majorHAnsi" w:hAnsiTheme="majorHAnsi" w:cstheme="majorHAnsi"/>
          <w:color w:val="000000"/>
        </w:rPr>
        <w:t>s</w:t>
      </w:r>
      <w:r w:rsidRPr="00F053C4">
        <w:rPr>
          <w:rFonts w:asciiTheme="majorHAnsi" w:hAnsiTheme="majorHAnsi" w:cstheme="majorHAnsi"/>
          <w:color w:val="000000"/>
        </w:rPr>
        <w:t xml:space="preserve"> on Total Quality Management </w:t>
      </w:r>
      <w:r>
        <w:rPr>
          <w:rFonts w:asciiTheme="majorHAnsi" w:hAnsiTheme="majorHAnsi" w:cstheme="majorHAnsi"/>
          <w:color w:val="000000"/>
        </w:rPr>
        <w:t xml:space="preserve">(TQM) </w:t>
      </w:r>
      <w:r w:rsidRPr="00F053C4">
        <w:rPr>
          <w:rFonts w:asciiTheme="majorHAnsi" w:hAnsiTheme="majorHAnsi" w:cstheme="majorHAnsi"/>
          <w:color w:val="000000"/>
        </w:rPr>
        <w:t xml:space="preserve">and Strengthening of Processes through Continuous Improvement </w:t>
      </w:r>
      <w:r>
        <w:rPr>
          <w:rFonts w:asciiTheme="majorHAnsi" w:hAnsiTheme="majorHAnsi" w:cstheme="majorHAnsi"/>
          <w:color w:val="000000"/>
        </w:rPr>
        <w:t xml:space="preserve">(CI) assisted in the </w:t>
      </w:r>
      <w:r w:rsidRPr="00F053C4">
        <w:rPr>
          <w:rFonts w:asciiTheme="majorHAnsi" w:hAnsiTheme="majorHAnsi" w:cstheme="majorHAnsi"/>
          <w:color w:val="000000"/>
        </w:rPr>
        <w:t>documentation and evaluation of the continuous improvement projects</w:t>
      </w:r>
      <w:r>
        <w:rPr>
          <w:rFonts w:asciiTheme="majorHAnsi" w:hAnsiTheme="majorHAnsi" w:cstheme="majorHAnsi"/>
          <w:color w:val="000000"/>
        </w:rPr>
        <w:t xml:space="preserve"> in the Central Office OUs. T</w:t>
      </w:r>
      <w:r w:rsidRPr="00F053C4">
        <w:rPr>
          <w:rFonts w:asciiTheme="majorHAnsi" w:hAnsiTheme="majorHAnsi" w:cstheme="majorHAnsi"/>
          <w:color w:val="000000"/>
        </w:rPr>
        <w:t xml:space="preserve">he BEST Program </w:t>
      </w:r>
      <w:r>
        <w:rPr>
          <w:rFonts w:asciiTheme="majorHAnsi" w:hAnsiTheme="majorHAnsi" w:cstheme="majorHAnsi"/>
          <w:color w:val="000000"/>
        </w:rPr>
        <w:t xml:space="preserve">also </w:t>
      </w:r>
      <w:r w:rsidRPr="00F053C4">
        <w:rPr>
          <w:rFonts w:asciiTheme="majorHAnsi" w:hAnsiTheme="majorHAnsi" w:cstheme="majorHAnsi"/>
          <w:color w:val="000000"/>
        </w:rPr>
        <w:t xml:space="preserve">assisted </w:t>
      </w:r>
      <w:r>
        <w:rPr>
          <w:rFonts w:asciiTheme="majorHAnsi" w:hAnsiTheme="majorHAnsi" w:cstheme="majorHAnsi"/>
          <w:color w:val="000000"/>
        </w:rPr>
        <w:t>DepEd</w:t>
      </w:r>
      <w:r w:rsidRPr="00F053C4">
        <w:rPr>
          <w:rFonts w:asciiTheme="majorHAnsi" w:hAnsiTheme="majorHAnsi" w:cstheme="majorHAnsi"/>
          <w:color w:val="000000"/>
        </w:rPr>
        <w:t xml:space="preserve"> in the development of policies and guidelines that formali</w:t>
      </w:r>
      <w:r>
        <w:rPr>
          <w:rFonts w:asciiTheme="majorHAnsi" w:hAnsiTheme="majorHAnsi" w:cstheme="majorHAnsi"/>
          <w:color w:val="000000"/>
        </w:rPr>
        <w:t>s</w:t>
      </w:r>
      <w:r w:rsidRPr="00F053C4">
        <w:rPr>
          <w:rFonts w:asciiTheme="majorHAnsi" w:hAnsiTheme="majorHAnsi" w:cstheme="majorHAnsi"/>
          <w:color w:val="000000"/>
        </w:rPr>
        <w:t>e</w:t>
      </w:r>
      <w:r>
        <w:rPr>
          <w:rFonts w:asciiTheme="majorHAnsi" w:hAnsiTheme="majorHAnsi" w:cstheme="majorHAnsi"/>
          <w:color w:val="000000"/>
        </w:rPr>
        <w:t>d</w:t>
      </w:r>
      <w:r w:rsidRPr="00F053C4">
        <w:rPr>
          <w:rFonts w:asciiTheme="majorHAnsi" w:hAnsiTheme="majorHAnsi" w:cstheme="majorHAnsi"/>
          <w:color w:val="000000"/>
        </w:rPr>
        <w:t xml:space="preserve"> and legitimi</w:t>
      </w:r>
      <w:r>
        <w:rPr>
          <w:rFonts w:asciiTheme="majorHAnsi" w:hAnsiTheme="majorHAnsi" w:cstheme="majorHAnsi"/>
          <w:color w:val="000000"/>
        </w:rPr>
        <w:t>s</w:t>
      </w:r>
      <w:r w:rsidRPr="00F053C4">
        <w:rPr>
          <w:rFonts w:asciiTheme="majorHAnsi" w:hAnsiTheme="majorHAnsi" w:cstheme="majorHAnsi"/>
          <w:color w:val="000000"/>
        </w:rPr>
        <w:t>e</w:t>
      </w:r>
      <w:r>
        <w:rPr>
          <w:rFonts w:asciiTheme="majorHAnsi" w:hAnsiTheme="majorHAnsi" w:cstheme="majorHAnsi"/>
          <w:color w:val="000000"/>
        </w:rPr>
        <w:t>d</w:t>
      </w:r>
      <w:r w:rsidRPr="00F053C4">
        <w:rPr>
          <w:rFonts w:asciiTheme="majorHAnsi" w:hAnsiTheme="majorHAnsi" w:cstheme="majorHAnsi"/>
          <w:color w:val="000000"/>
        </w:rPr>
        <w:t xml:space="preserve"> reforms introduced through the program, particularly in the areas of teacher development, curriculum and assessment, school-based management, and gender mainstreaming.</w:t>
      </w:r>
      <w:r w:rsidR="00D434EB">
        <w:rPr>
          <w:rFonts w:asciiTheme="majorHAnsi" w:hAnsiTheme="majorHAnsi" w:cstheme="majorHAnsi"/>
          <w:color w:val="000000"/>
        </w:rPr>
        <w:t xml:space="preserve"> </w:t>
      </w:r>
      <w:r>
        <w:rPr>
          <w:rFonts w:asciiTheme="majorHAnsi" w:hAnsiTheme="majorHAnsi" w:cstheme="majorHAnsi"/>
          <w:color w:val="000000"/>
        </w:rPr>
        <w:t xml:space="preserve">Likewise, a </w:t>
      </w:r>
      <w:r w:rsidRPr="00F053C4">
        <w:rPr>
          <w:rFonts w:asciiTheme="majorHAnsi" w:hAnsiTheme="majorHAnsi" w:cstheme="majorHAnsi"/>
          <w:color w:val="000000"/>
        </w:rPr>
        <w:t>nation</w:t>
      </w:r>
      <w:r>
        <w:rPr>
          <w:rFonts w:asciiTheme="majorHAnsi" w:hAnsiTheme="majorHAnsi" w:cstheme="majorHAnsi"/>
          <w:color w:val="000000"/>
        </w:rPr>
        <w:t>al</w:t>
      </w:r>
      <w:r w:rsidRPr="00F053C4">
        <w:rPr>
          <w:rFonts w:asciiTheme="majorHAnsi" w:hAnsiTheme="majorHAnsi" w:cstheme="majorHAnsi"/>
          <w:color w:val="000000"/>
        </w:rPr>
        <w:t xml:space="preserve"> pool of internal experts on continuous improvement</w:t>
      </w:r>
      <w:r>
        <w:rPr>
          <w:rFonts w:asciiTheme="majorHAnsi" w:hAnsiTheme="majorHAnsi" w:cstheme="majorHAnsi"/>
          <w:color w:val="000000"/>
        </w:rPr>
        <w:t xml:space="preserve"> were trained to facilitate its downloading to the field units</w:t>
      </w:r>
      <w:r w:rsidRPr="00F053C4">
        <w:rPr>
          <w:rFonts w:asciiTheme="majorHAnsi" w:hAnsiTheme="majorHAnsi" w:cstheme="majorHAnsi"/>
          <w:color w:val="000000"/>
        </w:rPr>
        <w:t>.</w:t>
      </w:r>
      <w:r w:rsidR="00D434EB">
        <w:rPr>
          <w:rFonts w:asciiTheme="majorHAnsi" w:hAnsiTheme="majorHAnsi" w:cstheme="majorHAnsi"/>
          <w:color w:val="000000"/>
        </w:rPr>
        <w:t xml:space="preserve"> </w:t>
      </w:r>
    </w:p>
    <w:p w14:paraId="3D8FB5FA" w14:textId="5C58AFDE" w:rsidR="008D0CAD" w:rsidRDefault="008D0CAD" w:rsidP="00671524">
      <w:pPr>
        <w:spacing w:before="100" w:beforeAutospacing="1" w:after="100" w:afterAutospacing="1" w:line="360" w:lineRule="auto"/>
        <w:rPr>
          <w:rFonts w:asciiTheme="majorHAnsi" w:hAnsiTheme="majorHAnsi" w:cstheme="majorHAnsi"/>
        </w:rPr>
      </w:pPr>
      <w:r w:rsidRPr="00245FEA">
        <w:rPr>
          <w:rFonts w:asciiTheme="majorHAnsi" w:hAnsiTheme="majorHAnsi" w:cstheme="majorHAnsi"/>
        </w:rPr>
        <w:t>Continuous Improvement</w:t>
      </w:r>
      <w:r w:rsidRPr="00C46DE3">
        <w:rPr>
          <w:rFonts w:asciiTheme="majorHAnsi" w:hAnsiTheme="majorHAnsi" w:cstheme="majorHAnsi"/>
        </w:rPr>
        <w:t>, as an intervention,</w:t>
      </w:r>
      <w:r>
        <w:rPr>
          <w:rFonts w:asciiTheme="majorHAnsi" w:hAnsiTheme="majorHAnsi" w:cstheme="majorHAnsi"/>
        </w:rPr>
        <w:t xml:space="preserve"> was</w:t>
      </w:r>
      <w:r w:rsidRPr="00C46DE3">
        <w:rPr>
          <w:rFonts w:asciiTheme="majorHAnsi" w:hAnsiTheme="majorHAnsi" w:cstheme="majorHAnsi"/>
        </w:rPr>
        <w:t xml:space="preserve"> intended to provide a tool for school improvement projects. It prescribed a process for analy</w:t>
      </w:r>
      <w:r>
        <w:rPr>
          <w:rFonts w:asciiTheme="majorHAnsi" w:hAnsiTheme="majorHAnsi" w:cstheme="majorHAnsi"/>
        </w:rPr>
        <w:t>s</w:t>
      </w:r>
      <w:r w:rsidRPr="00C46DE3">
        <w:rPr>
          <w:rFonts w:asciiTheme="majorHAnsi" w:hAnsiTheme="majorHAnsi" w:cstheme="majorHAnsi"/>
        </w:rPr>
        <w:t xml:space="preserve">ing problems and identifying solutions. CI was a </w:t>
      </w:r>
      <w:r>
        <w:rPr>
          <w:rFonts w:asciiTheme="majorHAnsi" w:hAnsiTheme="majorHAnsi" w:cstheme="majorHAnsi"/>
        </w:rPr>
        <w:t>DepEd</w:t>
      </w:r>
      <w:r w:rsidRPr="00C46DE3">
        <w:rPr>
          <w:rFonts w:asciiTheme="majorHAnsi" w:hAnsiTheme="majorHAnsi" w:cstheme="majorHAnsi"/>
        </w:rPr>
        <w:t xml:space="preserve"> activity</w:t>
      </w:r>
      <w:r>
        <w:rPr>
          <w:rFonts w:asciiTheme="majorHAnsi" w:hAnsiTheme="majorHAnsi" w:cstheme="majorHAnsi"/>
        </w:rPr>
        <w:t>,</w:t>
      </w:r>
      <w:r w:rsidRPr="00C46DE3">
        <w:rPr>
          <w:rFonts w:asciiTheme="majorHAnsi" w:hAnsiTheme="majorHAnsi" w:cstheme="majorHAnsi"/>
        </w:rPr>
        <w:t xml:space="preserve"> </w:t>
      </w:r>
      <w:r>
        <w:rPr>
          <w:rFonts w:asciiTheme="majorHAnsi" w:hAnsiTheme="majorHAnsi" w:cstheme="majorHAnsi"/>
        </w:rPr>
        <w:t>which was integrated into</w:t>
      </w:r>
      <w:r w:rsidRPr="00C46DE3">
        <w:rPr>
          <w:rFonts w:asciiTheme="majorHAnsi" w:hAnsiTheme="majorHAnsi" w:cstheme="majorHAnsi"/>
        </w:rPr>
        <w:t xml:space="preserve"> the BEST Program</w:t>
      </w:r>
      <w:r>
        <w:rPr>
          <w:rFonts w:asciiTheme="majorHAnsi" w:hAnsiTheme="majorHAnsi" w:cstheme="majorHAnsi"/>
        </w:rPr>
        <w:t xml:space="preserve"> approach</w:t>
      </w:r>
      <w:r w:rsidRPr="00C46DE3">
        <w:rPr>
          <w:rFonts w:asciiTheme="majorHAnsi" w:hAnsiTheme="majorHAnsi" w:cstheme="majorHAnsi"/>
        </w:rPr>
        <w:t>.</w:t>
      </w:r>
      <w:r w:rsidR="00D434EB">
        <w:rPr>
          <w:rFonts w:asciiTheme="majorHAnsi" w:hAnsiTheme="majorHAnsi" w:cstheme="majorHAnsi"/>
        </w:rPr>
        <w:t xml:space="preserve"> </w:t>
      </w:r>
      <w:r w:rsidRPr="00F053C4">
        <w:rPr>
          <w:rFonts w:asciiTheme="majorHAnsi" w:hAnsiTheme="majorHAnsi" w:cstheme="majorHAnsi"/>
          <w:color w:val="000000"/>
        </w:rPr>
        <w:t xml:space="preserve">The </w:t>
      </w:r>
      <w:r w:rsidRPr="00C46DE3">
        <w:rPr>
          <w:rFonts w:asciiTheme="majorHAnsi" w:hAnsiTheme="majorHAnsi" w:cstheme="majorHAnsi"/>
        </w:rPr>
        <w:t xml:space="preserve">BEST </w:t>
      </w:r>
      <w:r>
        <w:rPr>
          <w:rFonts w:asciiTheme="majorHAnsi" w:hAnsiTheme="majorHAnsi" w:cstheme="majorHAnsi"/>
          <w:color w:val="000000"/>
        </w:rPr>
        <w:t xml:space="preserve">Program </w:t>
      </w:r>
      <w:r w:rsidRPr="00C46DE3">
        <w:rPr>
          <w:rFonts w:asciiTheme="majorHAnsi" w:hAnsiTheme="majorHAnsi" w:cstheme="majorHAnsi"/>
        </w:rPr>
        <w:t>supported its implementation in 2015</w:t>
      </w:r>
      <w:r>
        <w:rPr>
          <w:rFonts w:asciiTheme="majorHAnsi" w:hAnsiTheme="majorHAnsi" w:cstheme="majorHAnsi"/>
        </w:rPr>
        <w:t>,</w:t>
      </w:r>
      <w:r w:rsidRPr="00C46DE3">
        <w:rPr>
          <w:rFonts w:asciiTheme="majorHAnsi" w:hAnsiTheme="majorHAnsi" w:cstheme="majorHAnsi"/>
        </w:rPr>
        <w:t xml:space="preserve"> first in pilot schools and </w:t>
      </w:r>
      <w:r>
        <w:rPr>
          <w:rFonts w:asciiTheme="majorHAnsi" w:hAnsiTheme="majorHAnsi" w:cstheme="majorHAnsi"/>
        </w:rPr>
        <w:t>eventually nationwide</w:t>
      </w:r>
      <w:r w:rsidRPr="00C46DE3">
        <w:rPr>
          <w:rFonts w:asciiTheme="majorHAnsi" w:hAnsiTheme="majorHAnsi" w:cstheme="majorHAnsi"/>
        </w:rPr>
        <w:t xml:space="preserve">. </w:t>
      </w:r>
    </w:p>
    <w:p w14:paraId="4D4515C8" w14:textId="515FC02C" w:rsidR="008D0CAD" w:rsidRPr="00245FEA" w:rsidRDefault="008D0CAD" w:rsidP="00671524">
      <w:pPr>
        <w:spacing w:before="100" w:beforeAutospacing="1" w:after="100" w:afterAutospacing="1" w:line="360" w:lineRule="auto"/>
        <w:rPr>
          <w:rFonts w:asciiTheme="majorHAnsi" w:hAnsiTheme="majorHAnsi" w:cstheme="majorHAnsi"/>
          <w:color w:val="000000"/>
        </w:rPr>
      </w:pPr>
      <w:r>
        <w:rPr>
          <w:rFonts w:asciiTheme="majorHAnsi" w:hAnsiTheme="majorHAnsi" w:cstheme="majorHAnsi"/>
          <w:color w:val="000000"/>
        </w:rPr>
        <w:t xml:space="preserve">In 2015, </w:t>
      </w:r>
      <w:r w:rsidRPr="00F053C4">
        <w:rPr>
          <w:rFonts w:asciiTheme="majorHAnsi" w:hAnsiTheme="majorHAnsi" w:cstheme="majorHAnsi"/>
          <w:color w:val="000000"/>
        </w:rPr>
        <w:t>Continuous Improvement</w:t>
      </w:r>
      <w:r>
        <w:rPr>
          <w:rFonts w:asciiTheme="majorHAnsi" w:hAnsiTheme="majorHAnsi" w:cstheme="majorHAnsi"/>
          <w:color w:val="000000"/>
        </w:rPr>
        <w:t xml:space="preserve"> interventions commenced with the provision of training to DOs and schools</w:t>
      </w:r>
      <w:r w:rsidRPr="00245FEA">
        <w:rPr>
          <w:rFonts w:asciiTheme="majorHAnsi" w:hAnsiTheme="majorHAnsi" w:cstheme="majorHAnsi"/>
          <w:color w:val="000000"/>
        </w:rPr>
        <w:t xml:space="preserve"> </w:t>
      </w:r>
      <w:r>
        <w:rPr>
          <w:rFonts w:asciiTheme="majorHAnsi" w:hAnsiTheme="majorHAnsi" w:cstheme="majorHAnsi"/>
          <w:color w:val="000000"/>
        </w:rPr>
        <w:t>in the BEST supported regions. The Study observed that</w:t>
      </w:r>
      <w:r w:rsidRPr="00F053C4">
        <w:rPr>
          <w:rFonts w:asciiTheme="majorHAnsi" w:hAnsiTheme="majorHAnsi" w:cstheme="majorHAnsi"/>
          <w:color w:val="000000"/>
        </w:rPr>
        <w:t xml:space="preserve"> the uptake of Continuous Improvement among BEST </w:t>
      </w:r>
      <w:r>
        <w:rPr>
          <w:rFonts w:asciiTheme="majorHAnsi" w:hAnsiTheme="majorHAnsi" w:cstheme="majorHAnsi"/>
          <w:color w:val="000000"/>
        </w:rPr>
        <w:t>Program-</w:t>
      </w:r>
      <w:r w:rsidRPr="00F053C4">
        <w:rPr>
          <w:rFonts w:asciiTheme="majorHAnsi" w:hAnsiTheme="majorHAnsi" w:cstheme="majorHAnsi"/>
          <w:color w:val="000000"/>
        </w:rPr>
        <w:t xml:space="preserve">supported </w:t>
      </w:r>
      <w:r>
        <w:rPr>
          <w:rFonts w:asciiTheme="majorHAnsi" w:hAnsiTheme="majorHAnsi" w:cstheme="majorHAnsi"/>
          <w:color w:val="000000"/>
        </w:rPr>
        <w:t>ROs</w:t>
      </w:r>
      <w:r w:rsidRPr="00F053C4">
        <w:rPr>
          <w:rFonts w:asciiTheme="majorHAnsi" w:hAnsiTheme="majorHAnsi" w:cstheme="majorHAnsi"/>
          <w:color w:val="000000"/>
        </w:rPr>
        <w:t xml:space="preserve"> and </w:t>
      </w:r>
      <w:r>
        <w:rPr>
          <w:rFonts w:asciiTheme="majorHAnsi" w:hAnsiTheme="majorHAnsi" w:cstheme="majorHAnsi"/>
          <w:color w:val="000000"/>
        </w:rPr>
        <w:t>DOs</w:t>
      </w:r>
      <w:r w:rsidRPr="00F053C4">
        <w:rPr>
          <w:rFonts w:asciiTheme="majorHAnsi" w:hAnsiTheme="majorHAnsi" w:cstheme="majorHAnsi"/>
          <w:color w:val="000000"/>
        </w:rPr>
        <w:t xml:space="preserve"> was very high because it was a reform whose effects were immediately felt at their</w:t>
      </w:r>
      <w:r>
        <w:rPr>
          <w:rFonts w:asciiTheme="majorHAnsi" w:hAnsiTheme="majorHAnsi" w:cstheme="majorHAnsi"/>
          <w:color w:val="000000"/>
        </w:rPr>
        <w:t xml:space="preserve"> respective</w:t>
      </w:r>
      <w:r w:rsidRPr="00F053C4">
        <w:rPr>
          <w:rFonts w:asciiTheme="majorHAnsi" w:hAnsiTheme="majorHAnsi" w:cstheme="majorHAnsi"/>
          <w:color w:val="000000"/>
        </w:rPr>
        <w:t xml:space="preserve"> levels.</w:t>
      </w:r>
      <w:r w:rsidR="00D434EB">
        <w:rPr>
          <w:rFonts w:asciiTheme="majorHAnsi" w:hAnsiTheme="majorHAnsi" w:cstheme="majorHAnsi"/>
          <w:color w:val="000000"/>
        </w:rPr>
        <w:t xml:space="preserve"> </w:t>
      </w:r>
      <w:r>
        <w:rPr>
          <w:rFonts w:asciiTheme="majorHAnsi" w:hAnsiTheme="majorHAnsi" w:cstheme="majorHAnsi"/>
          <w:color w:val="000000"/>
        </w:rPr>
        <w:t xml:space="preserve"> </w:t>
      </w:r>
      <w:r>
        <w:rPr>
          <w:rFonts w:asciiTheme="majorHAnsi" w:hAnsiTheme="majorHAnsi" w:cstheme="majorHAnsi"/>
        </w:rPr>
        <w:t>According to one RO, “</w:t>
      </w:r>
      <w:r w:rsidRPr="00C46DE3">
        <w:rPr>
          <w:rFonts w:asciiTheme="majorHAnsi" w:hAnsiTheme="majorHAnsi" w:cstheme="majorHAnsi"/>
          <w:i/>
        </w:rPr>
        <w:t>CI is also one of the modules or contents of the module of what we call SHDP – school heads development program – foundation course</w:t>
      </w:r>
      <w:r w:rsidRPr="00C46DE3">
        <w:rPr>
          <w:rFonts w:asciiTheme="majorHAnsi" w:hAnsiTheme="majorHAnsi" w:cstheme="majorHAnsi"/>
        </w:rPr>
        <w:t>.</w:t>
      </w:r>
      <w:r>
        <w:rPr>
          <w:rFonts w:asciiTheme="majorHAnsi" w:hAnsiTheme="majorHAnsi" w:cstheme="majorHAnsi"/>
        </w:rPr>
        <w:t>”</w:t>
      </w:r>
    </w:p>
    <w:p w14:paraId="6E616AF3" w14:textId="2B2C4397" w:rsidR="008D0CAD" w:rsidRDefault="008D0CAD" w:rsidP="00671524">
      <w:pPr>
        <w:spacing w:before="100" w:beforeAutospacing="1" w:after="100" w:afterAutospacing="1" w:line="360" w:lineRule="auto"/>
        <w:rPr>
          <w:rFonts w:asciiTheme="majorHAnsi" w:hAnsiTheme="majorHAnsi" w:cstheme="majorHAnsi"/>
        </w:rPr>
      </w:pPr>
      <w:r>
        <w:rPr>
          <w:rFonts w:asciiTheme="majorHAnsi" w:hAnsiTheme="majorHAnsi" w:cstheme="majorHAnsi"/>
          <w:color w:val="000000"/>
        </w:rPr>
        <w:t>In the</w:t>
      </w:r>
      <w:r w:rsidRPr="00C46DE3">
        <w:rPr>
          <w:rFonts w:asciiTheme="majorHAnsi" w:hAnsiTheme="majorHAnsi" w:cstheme="majorHAnsi"/>
          <w:color w:val="000000"/>
        </w:rPr>
        <w:t xml:space="preserve"> BEST </w:t>
      </w:r>
      <w:r>
        <w:rPr>
          <w:rFonts w:asciiTheme="majorHAnsi" w:hAnsiTheme="majorHAnsi" w:cstheme="majorHAnsi"/>
          <w:color w:val="000000"/>
        </w:rPr>
        <w:t xml:space="preserve">PMO </w:t>
      </w:r>
      <w:r w:rsidRPr="00C46DE3">
        <w:rPr>
          <w:rFonts w:asciiTheme="majorHAnsi" w:hAnsiTheme="majorHAnsi" w:cstheme="majorHAnsi"/>
          <w:color w:val="000000"/>
        </w:rPr>
        <w:t>database</w:t>
      </w:r>
      <w:r>
        <w:rPr>
          <w:rFonts w:asciiTheme="majorHAnsi" w:hAnsiTheme="majorHAnsi" w:cstheme="majorHAnsi"/>
          <w:color w:val="000000"/>
        </w:rPr>
        <w:t>,</w:t>
      </w:r>
      <w:r w:rsidRPr="00C46DE3">
        <w:rPr>
          <w:rFonts w:asciiTheme="majorHAnsi" w:hAnsiTheme="majorHAnsi" w:cstheme="majorHAnsi"/>
          <w:color w:val="000000"/>
        </w:rPr>
        <w:t xml:space="preserve"> consisting of 300 activities conducted from 2015 to 2019, at least five training programs related to CI</w:t>
      </w:r>
      <w:r>
        <w:rPr>
          <w:rFonts w:asciiTheme="majorHAnsi" w:hAnsiTheme="majorHAnsi" w:cstheme="majorHAnsi"/>
          <w:color w:val="000000"/>
        </w:rPr>
        <w:t xml:space="preserve"> were conducted in 2015 and 2016</w:t>
      </w:r>
      <w:r w:rsidRPr="00C46DE3">
        <w:rPr>
          <w:rFonts w:asciiTheme="majorHAnsi" w:hAnsiTheme="majorHAnsi" w:cstheme="majorHAnsi"/>
          <w:color w:val="000000"/>
        </w:rPr>
        <w:t>.</w:t>
      </w:r>
      <w:r w:rsidRPr="00C46DE3">
        <w:rPr>
          <w:rStyle w:val="FootnoteReference"/>
          <w:rFonts w:asciiTheme="majorHAnsi" w:eastAsia="Arial Unicode MS" w:hAnsiTheme="majorHAnsi" w:cstheme="majorHAnsi"/>
          <w:color w:val="000000"/>
        </w:rPr>
        <w:footnoteReference w:id="87"/>
      </w:r>
      <w:r w:rsidR="00D434EB">
        <w:rPr>
          <w:rFonts w:asciiTheme="majorHAnsi" w:eastAsiaTheme="minorHAnsi" w:hAnsiTheme="majorHAnsi" w:cstheme="majorHAnsi"/>
        </w:rPr>
        <w:t xml:space="preserve"> </w:t>
      </w:r>
      <w:r>
        <w:rPr>
          <w:rFonts w:asciiTheme="majorHAnsi" w:eastAsiaTheme="minorHAnsi" w:hAnsiTheme="majorHAnsi" w:cstheme="majorHAnsi"/>
        </w:rPr>
        <w:t>Some of t</w:t>
      </w:r>
      <w:r w:rsidRPr="00C46DE3">
        <w:rPr>
          <w:rFonts w:asciiTheme="majorHAnsi" w:eastAsiaTheme="minorHAnsi" w:hAnsiTheme="majorHAnsi" w:cstheme="majorHAnsi"/>
        </w:rPr>
        <w:t xml:space="preserve">hose who were trained then conducted roll-out training programs to the </w:t>
      </w:r>
      <w:r>
        <w:rPr>
          <w:rFonts w:asciiTheme="majorHAnsi" w:eastAsiaTheme="minorHAnsi" w:hAnsiTheme="majorHAnsi" w:cstheme="majorHAnsi"/>
        </w:rPr>
        <w:t>other D</w:t>
      </w:r>
      <w:r w:rsidRPr="00C46DE3">
        <w:rPr>
          <w:rFonts w:asciiTheme="majorHAnsi" w:eastAsiaTheme="minorHAnsi" w:hAnsiTheme="majorHAnsi" w:cstheme="majorHAnsi"/>
        </w:rPr>
        <w:t>Os</w:t>
      </w:r>
      <w:r>
        <w:rPr>
          <w:rFonts w:asciiTheme="majorHAnsi" w:eastAsiaTheme="minorHAnsi" w:hAnsiTheme="majorHAnsi" w:cstheme="majorHAnsi"/>
        </w:rPr>
        <w:t>.</w:t>
      </w:r>
      <w:r w:rsidRPr="00C46DE3">
        <w:rPr>
          <w:rFonts w:asciiTheme="majorHAnsi" w:eastAsiaTheme="minorHAnsi" w:hAnsiTheme="majorHAnsi" w:cstheme="majorHAnsi"/>
        </w:rPr>
        <w:t xml:space="preserve"> DOs in turn conducted school</w:t>
      </w:r>
      <w:r>
        <w:rPr>
          <w:rFonts w:asciiTheme="majorHAnsi" w:eastAsiaTheme="minorHAnsi" w:hAnsiTheme="majorHAnsi" w:cstheme="majorHAnsi"/>
        </w:rPr>
        <w:t>-</w:t>
      </w:r>
      <w:r w:rsidRPr="00C46DE3">
        <w:rPr>
          <w:rFonts w:asciiTheme="majorHAnsi" w:eastAsiaTheme="minorHAnsi" w:hAnsiTheme="majorHAnsi" w:cstheme="majorHAnsi"/>
        </w:rPr>
        <w:t xml:space="preserve">level training programs. </w:t>
      </w:r>
      <w:r>
        <w:rPr>
          <w:rFonts w:asciiTheme="majorHAnsi" w:hAnsiTheme="majorHAnsi" w:cstheme="majorHAnsi"/>
        </w:rPr>
        <w:t>According to PMO documents</w:t>
      </w:r>
      <w:r w:rsidRPr="00C46DE3">
        <w:rPr>
          <w:rFonts w:asciiTheme="majorHAnsi" w:hAnsiTheme="majorHAnsi" w:cstheme="majorHAnsi"/>
        </w:rPr>
        <w:t xml:space="preserve">, more than a hundred projects were implemented using the CI </w:t>
      </w:r>
      <w:r>
        <w:rPr>
          <w:rFonts w:asciiTheme="majorHAnsi" w:hAnsiTheme="majorHAnsi" w:cstheme="majorHAnsi"/>
        </w:rPr>
        <w:t>process</w:t>
      </w:r>
      <w:r w:rsidRPr="00C46DE3">
        <w:rPr>
          <w:rFonts w:asciiTheme="majorHAnsi" w:hAnsiTheme="majorHAnsi" w:cstheme="majorHAnsi"/>
        </w:rPr>
        <w:t xml:space="preserve"> in more than a hundred divisions across 16 regions.</w:t>
      </w:r>
      <w:r w:rsidRPr="00C46DE3">
        <w:rPr>
          <w:rStyle w:val="FootnoteReference"/>
          <w:rFonts w:asciiTheme="majorHAnsi" w:eastAsia="Arial Unicode MS" w:hAnsiTheme="majorHAnsi" w:cstheme="majorHAnsi"/>
        </w:rPr>
        <w:footnoteReference w:id="88"/>
      </w:r>
      <w:r w:rsidR="00D434EB">
        <w:rPr>
          <w:rFonts w:asciiTheme="majorHAnsi" w:hAnsiTheme="majorHAnsi" w:cstheme="majorHAnsi"/>
        </w:rPr>
        <w:t xml:space="preserve"> </w:t>
      </w:r>
      <w:r>
        <w:rPr>
          <w:rFonts w:asciiTheme="majorHAnsi" w:hAnsiTheme="majorHAnsi" w:cstheme="majorHAnsi"/>
        </w:rPr>
        <w:t>An e</w:t>
      </w:r>
      <w:r w:rsidRPr="00BD2DB9">
        <w:rPr>
          <w:rFonts w:asciiTheme="majorHAnsi" w:hAnsiTheme="majorHAnsi" w:cstheme="majorHAnsi"/>
        </w:rPr>
        <w:t xml:space="preserve">xample </w:t>
      </w:r>
      <w:r>
        <w:rPr>
          <w:rFonts w:asciiTheme="majorHAnsi" w:hAnsiTheme="majorHAnsi" w:cstheme="majorHAnsi"/>
        </w:rPr>
        <w:t>of</w:t>
      </w:r>
      <w:r w:rsidRPr="00BD2DB9">
        <w:rPr>
          <w:rFonts w:asciiTheme="majorHAnsi" w:hAnsiTheme="majorHAnsi" w:cstheme="majorHAnsi"/>
        </w:rPr>
        <w:t xml:space="preserve"> </w:t>
      </w:r>
      <w:r>
        <w:rPr>
          <w:rFonts w:asciiTheme="majorHAnsi" w:hAnsiTheme="majorHAnsi" w:cstheme="majorHAnsi"/>
        </w:rPr>
        <w:t xml:space="preserve">a </w:t>
      </w:r>
      <w:r w:rsidRPr="00BD2DB9">
        <w:rPr>
          <w:rFonts w:asciiTheme="majorHAnsi" w:hAnsiTheme="majorHAnsi" w:cstheme="majorHAnsi"/>
        </w:rPr>
        <w:t>CI</w:t>
      </w:r>
      <w:r>
        <w:rPr>
          <w:rFonts w:asciiTheme="majorHAnsi" w:hAnsiTheme="majorHAnsi" w:cstheme="majorHAnsi"/>
        </w:rPr>
        <w:t xml:space="preserve"> project in one DO was the streamlining of the process </w:t>
      </w:r>
      <w:r w:rsidRPr="00BD2DB9">
        <w:rPr>
          <w:rFonts w:asciiTheme="majorHAnsi" w:hAnsiTheme="majorHAnsi" w:cstheme="majorHAnsi"/>
        </w:rPr>
        <w:t>for downloading of funds</w:t>
      </w:r>
      <w:r>
        <w:rPr>
          <w:rFonts w:asciiTheme="majorHAnsi" w:hAnsiTheme="majorHAnsi" w:cstheme="majorHAnsi"/>
        </w:rPr>
        <w:t>, which was spearheaded by the</w:t>
      </w:r>
      <w:r w:rsidRPr="00BD2DB9">
        <w:rPr>
          <w:rFonts w:asciiTheme="majorHAnsi" w:hAnsiTheme="majorHAnsi" w:cstheme="majorHAnsi"/>
        </w:rPr>
        <w:t xml:space="preserve"> Finance Department</w:t>
      </w:r>
      <w:r>
        <w:rPr>
          <w:rFonts w:asciiTheme="majorHAnsi" w:hAnsiTheme="majorHAnsi" w:cstheme="majorHAnsi"/>
        </w:rPr>
        <w:t>.</w:t>
      </w:r>
    </w:p>
    <w:p w14:paraId="2A50EF8E" w14:textId="49226512" w:rsidR="008D0CAD" w:rsidRPr="00C46DE3" w:rsidRDefault="008D0CAD" w:rsidP="00671524">
      <w:pPr>
        <w:spacing w:before="100" w:beforeAutospacing="1" w:after="100" w:afterAutospacing="1" w:line="360" w:lineRule="auto"/>
        <w:rPr>
          <w:rFonts w:asciiTheme="majorHAnsi" w:hAnsiTheme="majorHAnsi" w:cstheme="majorHAnsi"/>
        </w:rPr>
      </w:pPr>
      <w:r>
        <w:rPr>
          <w:rFonts w:asciiTheme="majorHAnsi" w:eastAsiaTheme="minorHAnsi" w:hAnsiTheme="majorHAnsi" w:cstheme="majorHAnsi"/>
        </w:rPr>
        <w:t xml:space="preserve">The Study observed that </w:t>
      </w:r>
      <w:r w:rsidRPr="00C46DE3">
        <w:rPr>
          <w:rFonts w:asciiTheme="majorHAnsi" w:eastAsiaTheme="minorHAnsi" w:hAnsiTheme="majorHAnsi" w:cstheme="majorHAnsi"/>
        </w:rPr>
        <w:t xml:space="preserve">CI activities were highly appreciated by RO and DO personnel. </w:t>
      </w:r>
      <w:r>
        <w:rPr>
          <w:rFonts w:asciiTheme="majorHAnsi" w:eastAsiaTheme="minorHAnsi" w:hAnsiTheme="majorHAnsi" w:cstheme="majorHAnsi"/>
        </w:rPr>
        <w:t xml:space="preserve">Most respondents </w:t>
      </w:r>
      <w:r w:rsidRPr="00C46DE3">
        <w:rPr>
          <w:rFonts w:asciiTheme="majorHAnsi" w:eastAsiaTheme="minorHAnsi" w:hAnsiTheme="majorHAnsi" w:cstheme="majorHAnsi"/>
        </w:rPr>
        <w:t xml:space="preserve">noted that the CI activities helped in improving the ways they did their work. Its appeal emanated from its congruence with the </w:t>
      </w:r>
      <w:r>
        <w:rPr>
          <w:rFonts w:asciiTheme="majorHAnsi" w:eastAsiaTheme="minorHAnsi" w:hAnsiTheme="majorHAnsi" w:cstheme="majorHAnsi"/>
        </w:rPr>
        <w:t>International Standards Organisation (</w:t>
      </w:r>
      <w:r w:rsidRPr="00C46DE3">
        <w:rPr>
          <w:rFonts w:asciiTheme="majorHAnsi" w:eastAsiaTheme="minorHAnsi" w:hAnsiTheme="majorHAnsi" w:cstheme="majorHAnsi"/>
        </w:rPr>
        <w:t>ISO</w:t>
      </w:r>
      <w:r>
        <w:rPr>
          <w:rFonts w:asciiTheme="majorHAnsi" w:eastAsiaTheme="minorHAnsi" w:hAnsiTheme="majorHAnsi" w:cstheme="majorHAnsi"/>
        </w:rPr>
        <w:t>)</w:t>
      </w:r>
      <w:r w:rsidRPr="00C46DE3">
        <w:rPr>
          <w:rFonts w:asciiTheme="majorHAnsi" w:eastAsiaTheme="minorHAnsi" w:hAnsiTheme="majorHAnsi" w:cstheme="majorHAnsi"/>
        </w:rPr>
        <w:t xml:space="preserve"> approach, which many </w:t>
      </w:r>
      <w:r>
        <w:rPr>
          <w:rFonts w:asciiTheme="majorHAnsi" w:eastAsiaTheme="minorHAnsi" w:hAnsiTheme="majorHAnsi" w:cstheme="majorHAnsi"/>
        </w:rPr>
        <w:t>DepEd</w:t>
      </w:r>
      <w:r w:rsidRPr="00C46DE3">
        <w:rPr>
          <w:rFonts w:asciiTheme="majorHAnsi" w:eastAsiaTheme="minorHAnsi" w:hAnsiTheme="majorHAnsi" w:cstheme="majorHAnsi"/>
        </w:rPr>
        <w:t xml:space="preserve"> ROs are pursuing. At least two of the </w:t>
      </w:r>
      <w:r w:rsidRPr="00C46DE3">
        <w:rPr>
          <w:rFonts w:asciiTheme="majorHAnsi" w:eastAsiaTheme="minorHAnsi" w:hAnsiTheme="majorHAnsi" w:cstheme="majorHAnsi"/>
          <w:color w:val="000000" w:themeColor="text1"/>
        </w:rPr>
        <w:t>RO respondents stated that they were able to apply CI concepts and procedures to obtain their ISO certifications.</w:t>
      </w:r>
      <w:r w:rsidRPr="00C46DE3">
        <w:rPr>
          <w:rFonts w:asciiTheme="majorHAnsi" w:eastAsiaTheme="minorHAnsi" w:hAnsiTheme="majorHAnsi" w:cstheme="majorHAnsi"/>
        </w:rPr>
        <w:t xml:space="preserve"> </w:t>
      </w:r>
      <w:r w:rsidRPr="00C46DE3">
        <w:rPr>
          <w:rFonts w:asciiTheme="majorHAnsi" w:eastAsiaTheme="minorHAnsi" w:hAnsiTheme="majorHAnsi" w:cstheme="majorHAnsi"/>
          <w:color w:val="000000" w:themeColor="text1"/>
        </w:rPr>
        <w:t>On the other hand, one region equated CI with Teacher Quality Circles.</w:t>
      </w:r>
      <w:r w:rsidR="00D434EB">
        <w:rPr>
          <w:rFonts w:asciiTheme="majorHAnsi" w:eastAsiaTheme="minorHAnsi" w:hAnsiTheme="majorHAnsi" w:cstheme="majorHAnsi"/>
          <w:color w:val="000000" w:themeColor="text1"/>
        </w:rPr>
        <w:t xml:space="preserve"> </w:t>
      </w:r>
      <w:r w:rsidRPr="00C46DE3">
        <w:rPr>
          <w:rFonts w:asciiTheme="majorHAnsi" w:eastAsiaTheme="minorHAnsi" w:hAnsiTheme="majorHAnsi" w:cstheme="majorHAnsi"/>
          <w:color w:val="000000" w:themeColor="text1"/>
        </w:rPr>
        <w:t>Thus</w:t>
      </w:r>
      <w:r>
        <w:rPr>
          <w:rFonts w:asciiTheme="majorHAnsi" w:eastAsiaTheme="minorHAnsi" w:hAnsiTheme="majorHAnsi" w:cstheme="majorHAnsi"/>
          <w:color w:val="000000" w:themeColor="text1"/>
        </w:rPr>
        <w:t>,</w:t>
      </w:r>
      <w:r w:rsidRPr="00C46DE3">
        <w:rPr>
          <w:rFonts w:asciiTheme="majorHAnsi" w:eastAsiaTheme="minorHAnsi" w:hAnsiTheme="majorHAnsi" w:cstheme="majorHAnsi"/>
          <w:color w:val="000000" w:themeColor="text1"/>
        </w:rPr>
        <w:t xml:space="preserve"> they noted that in reality, schools were already practicing some aspects of CI </w:t>
      </w:r>
      <w:r>
        <w:rPr>
          <w:rFonts w:asciiTheme="majorHAnsi" w:eastAsiaTheme="minorHAnsi" w:hAnsiTheme="majorHAnsi" w:cstheme="majorHAnsi"/>
          <w:color w:val="000000" w:themeColor="text1"/>
        </w:rPr>
        <w:t>(</w:t>
      </w:r>
      <w:r w:rsidRPr="00C46DE3">
        <w:rPr>
          <w:rFonts w:asciiTheme="majorHAnsi" w:eastAsiaTheme="minorHAnsi" w:hAnsiTheme="majorHAnsi" w:cstheme="majorHAnsi"/>
          <w:color w:val="000000" w:themeColor="text1"/>
        </w:rPr>
        <w:t>although these activities were not called CI</w:t>
      </w:r>
      <w:r>
        <w:rPr>
          <w:rFonts w:asciiTheme="majorHAnsi" w:eastAsiaTheme="minorHAnsi" w:hAnsiTheme="majorHAnsi" w:cstheme="majorHAnsi"/>
          <w:color w:val="000000" w:themeColor="text1"/>
        </w:rPr>
        <w:t xml:space="preserve"> at that time).</w:t>
      </w:r>
      <w:r w:rsidR="00D434EB">
        <w:rPr>
          <w:rFonts w:asciiTheme="majorHAnsi" w:eastAsiaTheme="minorHAnsi" w:hAnsiTheme="majorHAnsi" w:cstheme="majorHAnsi"/>
          <w:color w:val="000000" w:themeColor="text1"/>
        </w:rPr>
        <w:t xml:space="preserve"> </w:t>
      </w:r>
    </w:p>
    <w:p w14:paraId="7E02D70D" w14:textId="77777777" w:rsidR="008D0CAD" w:rsidRDefault="008D0CAD" w:rsidP="00671524">
      <w:pPr>
        <w:spacing w:before="100" w:beforeAutospacing="1" w:after="100" w:afterAutospacing="1" w:line="360" w:lineRule="auto"/>
        <w:rPr>
          <w:rFonts w:asciiTheme="majorHAnsi" w:hAnsiTheme="majorHAnsi" w:cstheme="majorHAnsi"/>
        </w:rPr>
      </w:pPr>
      <w:r>
        <w:rPr>
          <w:rFonts w:asciiTheme="majorHAnsi" w:hAnsiTheme="majorHAnsi" w:cstheme="majorHAnsi"/>
        </w:rPr>
        <w:t>One RO</w:t>
      </w:r>
      <w:r w:rsidRPr="008A6B83">
        <w:rPr>
          <w:rFonts w:asciiTheme="majorHAnsi" w:hAnsiTheme="majorHAnsi" w:cstheme="majorHAnsi"/>
        </w:rPr>
        <w:t xml:space="preserve"> respondent</w:t>
      </w:r>
      <w:r>
        <w:rPr>
          <w:rFonts w:asciiTheme="majorHAnsi" w:hAnsiTheme="majorHAnsi" w:cstheme="majorHAnsi"/>
        </w:rPr>
        <w:t xml:space="preserve"> in an </w:t>
      </w:r>
      <w:r w:rsidRPr="008A6B83">
        <w:rPr>
          <w:rFonts w:asciiTheme="majorHAnsi" w:hAnsiTheme="majorHAnsi" w:cstheme="majorHAnsi"/>
        </w:rPr>
        <w:t xml:space="preserve">FGD described how the capacity building on CI was done. </w:t>
      </w:r>
    </w:p>
    <w:p w14:paraId="4E00FDF7" w14:textId="6C350BB9" w:rsidR="008D0CAD" w:rsidRDefault="008D0CAD" w:rsidP="00671524">
      <w:pPr>
        <w:spacing w:before="100" w:beforeAutospacing="1" w:after="100" w:afterAutospacing="1" w:line="360" w:lineRule="auto"/>
        <w:ind w:left="432" w:right="432"/>
        <w:rPr>
          <w:rFonts w:asciiTheme="majorHAnsi" w:hAnsiTheme="majorHAnsi" w:cstheme="majorHAnsi"/>
          <w:i/>
          <w:color w:val="000000"/>
          <w:u w:color="000000"/>
        </w:rPr>
      </w:pPr>
      <w:r w:rsidRPr="00EF135F">
        <w:rPr>
          <w:rFonts w:asciiTheme="majorHAnsi" w:hAnsiTheme="majorHAnsi" w:cstheme="majorHAnsi"/>
          <w:i/>
        </w:rPr>
        <w:t>The CI trainees were asked to bring their respective School Improvement Plans (SIPs) and all available school data.</w:t>
      </w:r>
      <w:r w:rsidR="00D434EB">
        <w:rPr>
          <w:rFonts w:asciiTheme="majorHAnsi" w:hAnsiTheme="majorHAnsi" w:cstheme="majorHAnsi"/>
          <w:i/>
        </w:rPr>
        <w:t xml:space="preserve"> </w:t>
      </w:r>
      <w:r w:rsidRPr="00EF135F">
        <w:rPr>
          <w:rFonts w:asciiTheme="majorHAnsi" w:hAnsiTheme="majorHAnsi" w:cstheme="majorHAnsi"/>
          <w:i/>
        </w:rPr>
        <w:t>They were guided in analy</w:t>
      </w:r>
      <w:r>
        <w:rPr>
          <w:rFonts w:asciiTheme="majorHAnsi" w:hAnsiTheme="majorHAnsi" w:cstheme="majorHAnsi"/>
          <w:i/>
        </w:rPr>
        <w:t>s</w:t>
      </w:r>
      <w:r w:rsidRPr="00EF135F">
        <w:rPr>
          <w:rFonts w:asciiTheme="majorHAnsi" w:hAnsiTheme="majorHAnsi" w:cstheme="majorHAnsi"/>
          <w:i/>
        </w:rPr>
        <w:t>ing their schools’ priority needs and finding solutions to these identified needs.</w:t>
      </w:r>
      <w:r w:rsidR="00D434EB">
        <w:rPr>
          <w:rFonts w:asciiTheme="majorHAnsi" w:hAnsiTheme="majorHAnsi" w:cstheme="majorHAnsi"/>
          <w:i/>
        </w:rPr>
        <w:t xml:space="preserve"> </w:t>
      </w:r>
      <w:r w:rsidRPr="00EF135F">
        <w:rPr>
          <w:rFonts w:asciiTheme="majorHAnsi" w:hAnsiTheme="majorHAnsi" w:cstheme="majorHAnsi"/>
          <w:i/>
        </w:rPr>
        <w:t xml:space="preserve">Since CI was just a short-term project, the schools were asked to focus on problems or needs that could be solved within six months. The problems that were usually identified or chosen focused on the teaching-learning process. </w:t>
      </w:r>
    </w:p>
    <w:p w14:paraId="171BCA78" w14:textId="77777777" w:rsidR="008D0CAD" w:rsidRPr="00877773" w:rsidRDefault="008D0CAD" w:rsidP="00671524">
      <w:pPr>
        <w:spacing w:before="100" w:beforeAutospacing="1" w:after="100" w:afterAutospacing="1" w:line="360" w:lineRule="auto"/>
        <w:ind w:left="432" w:right="432"/>
        <w:rPr>
          <w:rFonts w:asciiTheme="majorHAnsi" w:hAnsiTheme="majorHAnsi" w:cstheme="majorHAnsi"/>
          <w:i/>
          <w:color w:val="000000"/>
          <w:u w:color="000000"/>
        </w:rPr>
      </w:pPr>
      <w:r w:rsidRPr="00877773">
        <w:rPr>
          <w:rFonts w:asciiTheme="majorHAnsi" w:hAnsiTheme="majorHAnsi" w:cstheme="majorHAnsi"/>
          <w:i/>
        </w:rPr>
        <w:t>For example, we look at the available data in NAT. The lowest is rating in the learning areas for the last 3 years is for Math. We will look in what grade, in what sections, and then identify the identify root causes. To find the root cause, we examine the voice of the customers, like interview the learners and do a triangulation. We walk through the process. If the root cause is identified only then that they recommend or design the intervention</w:t>
      </w:r>
      <w:r w:rsidRPr="00904C34">
        <w:rPr>
          <w:rFonts w:asciiTheme="majorHAnsi" w:hAnsiTheme="majorHAnsi" w:cstheme="majorHAnsi"/>
        </w:rPr>
        <w:t>.</w:t>
      </w:r>
    </w:p>
    <w:p w14:paraId="203319FD" w14:textId="578FCC69" w:rsidR="008D0CAD" w:rsidRPr="006900BD" w:rsidRDefault="008D0CAD" w:rsidP="00671524">
      <w:pPr>
        <w:spacing w:before="100" w:beforeAutospacing="1" w:after="100" w:afterAutospacing="1" w:line="360" w:lineRule="auto"/>
        <w:rPr>
          <w:rFonts w:asciiTheme="majorHAnsi" w:hAnsiTheme="majorHAnsi" w:cstheme="majorHAnsi"/>
        </w:rPr>
      </w:pPr>
      <w:r>
        <w:rPr>
          <w:rFonts w:asciiTheme="majorHAnsi" w:hAnsiTheme="majorHAnsi" w:cstheme="majorHAnsi"/>
        </w:rPr>
        <w:t>On the other hand, most s</w:t>
      </w:r>
      <w:r w:rsidRPr="004C7B28">
        <w:rPr>
          <w:rFonts w:asciiTheme="majorHAnsi" w:hAnsiTheme="majorHAnsi" w:cstheme="majorHAnsi"/>
        </w:rPr>
        <w:t>chool</w:t>
      </w:r>
      <w:r>
        <w:rPr>
          <w:rFonts w:asciiTheme="majorHAnsi" w:hAnsiTheme="majorHAnsi" w:cstheme="majorHAnsi"/>
        </w:rPr>
        <w:t>-</w:t>
      </w:r>
      <w:r w:rsidRPr="004C7B28">
        <w:rPr>
          <w:rFonts w:asciiTheme="majorHAnsi" w:hAnsiTheme="majorHAnsi" w:cstheme="majorHAnsi"/>
        </w:rPr>
        <w:t>level respondents refer</w:t>
      </w:r>
      <w:r>
        <w:rPr>
          <w:rFonts w:asciiTheme="majorHAnsi" w:hAnsiTheme="majorHAnsi" w:cstheme="majorHAnsi"/>
        </w:rPr>
        <w:t>red</w:t>
      </w:r>
      <w:r w:rsidRPr="004C7B28">
        <w:rPr>
          <w:rFonts w:asciiTheme="majorHAnsi" w:hAnsiTheme="majorHAnsi" w:cstheme="majorHAnsi"/>
        </w:rPr>
        <w:t xml:space="preserve"> to the </w:t>
      </w:r>
      <w:r>
        <w:rPr>
          <w:rFonts w:asciiTheme="majorHAnsi" w:hAnsiTheme="majorHAnsi" w:cstheme="majorHAnsi"/>
        </w:rPr>
        <w:t xml:space="preserve">CI as </w:t>
      </w:r>
      <w:r w:rsidRPr="004C7B28">
        <w:rPr>
          <w:rFonts w:asciiTheme="majorHAnsi" w:hAnsiTheme="majorHAnsi" w:cstheme="majorHAnsi"/>
        </w:rPr>
        <w:t xml:space="preserve">an action research </w:t>
      </w:r>
      <w:r>
        <w:rPr>
          <w:rFonts w:asciiTheme="majorHAnsi" w:hAnsiTheme="majorHAnsi" w:cstheme="majorHAnsi"/>
        </w:rPr>
        <w:t xml:space="preserve">methodology </w:t>
      </w:r>
      <w:r w:rsidRPr="004C7B28">
        <w:rPr>
          <w:rFonts w:asciiTheme="majorHAnsi" w:hAnsiTheme="majorHAnsi" w:cstheme="majorHAnsi"/>
        </w:rPr>
        <w:t>implemented for the purpose of contributing to improving learning outcomes of learners</w:t>
      </w:r>
      <w:r>
        <w:rPr>
          <w:rFonts w:asciiTheme="majorHAnsi" w:hAnsiTheme="majorHAnsi" w:cstheme="majorHAnsi"/>
        </w:rPr>
        <w:t>,</w:t>
      </w:r>
      <w:r w:rsidRPr="004C7B28">
        <w:rPr>
          <w:rFonts w:asciiTheme="majorHAnsi" w:hAnsiTheme="majorHAnsi" w:cstheme="majorHAnsi"/>
        </w:rPr>
        <w:t xml:space="preserve"> especially those with learning difficult</w:t>
      </w:r>
      <w:r>
        <w:rPr>
          <w:rFonts w:asciiTheme="majorHAnsi" w:hAnsiTheme="majorHAnsi" w:cstheme="majorHAnsi"/>
        </w:rPr>
        <w:t>ies</w:t>
      </w:r>
      <w:r w:rsidRPr="004C7B28">
        <w:rPr>
          <w:rFonts w:asciiTheme="majorHAnsi" w:hAnsiTheme="majorHAnsi" w:cstheme="majorHAnsi"/>
        </w:rPr>
        <w:t>.</w:t>
      </w:r>
      <w:r w:rsidR="00D434EB">
        <w:rPr>
          <w:rFonts w:asciiTheme="majorHAnsi" w:hAnsiTheme="majorHAnsi" w:cstheme="majorHAnsi"/>
        </w:rPr>
        <w:t xml:space="preserve"> </w:t>
      </w:r>
      <w:r>
        <w:rPr>
          <w:rFonts w:asciiTheme="majorHAnsi" w:eastAsiaTheme="minorHAnsi" w:hAnsiTheme="majorHAnsi" w:cstheme="majorHAnsi"/>
        </w:rPr>
        <w:t xml:space="preserve">Although many schools were involved in CI activities, </w:t>
      </w:r>
      <w:r w:rsidRPr="00A77D0F">
        <w:rPr>
          <w:rFonts w:asciiTheme="majorHAnsi" w:eastAsiaTheme="minorHAnsi" w:hAnsiTheme="majorHAnsi" w:cstheme="majorHAnsi"/>
        </w:rPr>
        <w:t xml:space="preserve">there </w:t>
      </w:r>
      <w:r>
        <w:rPr>
          <w:rFonts w:asciiTheme="majorHAnsi" w:eastAsiaTheme="minorHAnsi" w:hAnsiTheme="majorHAnsi" w:cstheme="majorHAnsi"/>
        </w:rPr>
        <w:t>were still many that had</w:t>
      </w:r>
      <w:r w:rsidRPr="00A77D0F">
        <w:rPr>
          <w:rFonts w:asciiTheme="majorHAnsi" w:eastAsiaTheme="minorHAnsi" w:hAnsiTheme="majorHAnsi" w:cstheme="majorHAnsi"/>
        </w:rPr>
        <w:t xml:space="preserve"> generally low awareness </w:t>
      </w:r>
      <w:r>
        <w:rPr>
          <w:rFonts w:asciiTheme="majorHAnsi" w:eastAsiaTheme="minorHAnsi" w:hAnsiTheme="majorHAnsi" w:cstheme="majorHAnsi"/>
        </w:rPr>
        <w:t>of it. For instance</w:t>
      </w:r>
      <w:r w:rsidRPr="005B475F">
        <w:rPr>
          <w:rFonts w:asciiTheme="majorHAnsi" w:eastAsiaTheme="minorHAnsi" w:hAnsiTheme="majorHAnsi" w:cstheme="majorHAnsi"/>
          <w:color w:val="000000" w:themeColor="text1"/>
        </w:rPr>
        <w:t xml:space="preserve">, only </w:t>
      </w:r>
      <w:r>
        <w:rPr>
          <w:rFonts w:asciiTheme="majorHAnsi" w:eastAsiaTheme="minorHAnsi" w:hAnsiTheme="majorHAnsi" w:cstheme="majorHAnsi"/>
          <w:color w:val="000000" w:themeColor="text1"/>
        </w:rPr>
        <w:t xml:space="preserve">about a third </w:t>
      </w:r>
      <w:r w:rsidRPr="005B475F">
        <w:rPr>
          <w:rFonts w:asciiTheme="majorHAnsi" w:eastAsiaTheme="minorHAnsi" w:hAnsiTheme="majorHAnsi" w:cstheme="majorHAnsi"/>
          <w:color w:val="000000" w:themeColor="text1"/>
        </w:rPr>
        <w:t xml:space="preserve">of </w:t>
      </w:r>
      <w:r>
        <w:rPr>
          <w:rFonts w:asciiTheme="majorHAnsi" w:eastAsiaTheme="minorHAnsi" w:hAnsiTheme="majorHAnsi" w:cstheme="majorHAnsi"/>
          <w:color w:val="000000" w:themeColor="text1"/>
        </w:rPr>
        <w:t>principals</w:t>
      </w:r>
      <w:r w:rsidRPr="005B475F">
        <w:rPr>
          <w:rFonts w:asciiTheme="majorHAnsi" w:eastAsiaTheme="minorHAnsi" w:hAnsiTheme="majorHAnsi" w:cstheme="majorHAnsi"/>
          <w:color w:val="000000" w:themeColor="text1"/>
        </w:rPr>
        <w:t xml:space="preserve"> </w:t>
      </w:r>
      <w:r>
        <w:rPr>
          <w:rFonts w:asciiTheme="majorHAnsi" w:eastAsiaTheme="minorHAnsi" w:hAnsiTheme="majorHAnsi" w:cstheme="majorHAnsi"/>
          <w:color w:val="000000" w:themeColor="text1"/>
        </w:rPr>
        <w:t xml:space="preserve">(38 per cent) </w:t>
      </w:r>
      <w:r w:rsidRPr="005B475F">
        <w:rPr>
          <w:rFonts w:asciiTheme="majorHAnsi" w:eastAsiaTheme="minorHAnsi" w:hAnsiTheme="majorHAnsi" w:cstheme="majorHAnsi"/>
          <w:color w:val="000000" w:themeColor="text1"/>
        </w:rPr>
        <w:t xml:space="preserve">and teachers </w:t>
      </w:r>
      <w:r>
        <w:rPr>
          <w:rFonts w:asciiTheme="majorHAnsi" w:eastAsiaTheme="minorHAnsi" w:hAnsiTheme="majorHAnsi" w:cstheme="majorHAnsi"/>
          <w:color w:val="000000" w:themeColor="text1"/>
        </w:rPr>
        <w:t xml:space="preserve">(31 per cent) </w:t>
      </w:r>
      <w:r w:rsidRPr="005B475F">
        <w:rPr>
          <w:rFonts w:asciiTheme="majorHAnsi" w:eastAsiaTheme="minorHAnsi" w:hAnsiTheme="majorHAnsi" w:cstheme="majorHAnsi"/>
          <w:color w:val="000000" w:themeColor="text1"/>
        </w:rPr>
        <w:t xml:space="preserve">indicated </w:t>
      </w:r>
      <w:r w:rsidRPr="00A53436">
        <w:rPr>
          <w:rFonts w:asciiTheme="majorHAnsi" w:eastAsiaTheme="minorHAnsi" w:hAnsiTheme="majorHAnsi" w:cstheme="majorHAnsi"/>
          <w:color w:val="000000" w:themeColor="text1"/>
        </w:rPr>
        <w:t xml:space="preserve">that they </w:t>
      </w:r>
      <w:r>
        <w:rPr>
          <w:rFonts w:asciiTheme="majorHAnsi" w:eastAsiaTheme="minorHAnsi" w:hAnsiTheme="majorHAnsi" w:cstheme="majorHAnsi"/>
          <w:color w:val="000000" w:themeColor="text1"/>
        </w:rPr>
        <w:t xml:space="preserve">had </w:t>
      </w:r>
      <w:r w:rsidRPr="00A53436">
        <w:rPr>
          <w:rFonts w:asciiTheme="majorHAnsi" w:eastAsiaTheme="minorHAnsi" w:hAnsiTheme="majorHAnsi" w:cstheme="majorHAnsi"/>
          <w:color w:val="000000" w:themeColor="text1"/>
        </w:rPr>
        <w:t>participated in CI activities during the BEST Program implementation period</w:t>
      </w:r>
      <w:r>
        <w:rPr>
          <w:rStyle w:val="FootnoteReference"/>
          <w:rFonts w:asciiTheme="majorHAnsi" w:eastAsiaTheme="minorHAnsi" w:hAnsiTheme="majorHAnsi" w:cstheme="majorHAnsi"/>
          <w:color w:val="000000" w:themeColor="text1"/>
        </w:rPr>
        <w:footnoteReference w:id="89"/>
      </w:r>
      <w:r w:rsidRPr="00A53436">
        <w:rPr>
          <w:rFonts w:asciiTheme="majorHAnsi" w:eastAsiaTheme="minorHAnsi" w:hAnsiTheme="majorHAnsi" w:cstheme="majorHAnsi"/>
          <w:color w:val="000000" w:themeColor="text1"/>
        </w:rPr>
        <w:t xml:space="preserve">. These activities were primarily orientation sessions and CI training programs. </w:t>
      </w:r>
    </w:p>
    <w:p w14:paraId="6378C1D2" w14:textId="31F1339A" w:rsidR="008D0CAD" w:rsidRDefault="008D0CAD" w:rsidP="00671524">
      <w:pPr>
        <w:spacing w:before="100" w:beforeAutospacing="1" w:after="100" w:afterAutospacing="1" w:line="360" w:lineRule="auto"/>
        <w:rPr>
          <w:rFonts w:asciiTheme="majorHAnsi" w:eastAsiaTheme="minorHAnsi" w:hAnsiTheme="majorHAnsi" w:cstheme="majorHAnsi"/>
          <w:color w:val="000000" w:themeColor="text1"/>
        </w:rPr>
      </w:pPr>
      <w:r w:rsidRPr="00A53436">
        <w:rPr>
          <w:rFonts w:asciiTheme="majorHAnsi" w:eastAsiaTheme="minorHAnsi" w:hAnsiTheme="majorHAnsi" w:cstheme="majorHAnsi"/>
          <w:color w:val="000000" w:themeColor="text1"/>
        </w:rPr>
        <w:t>One reason given fo</w:t>
      </w:r>
      <w:r>
        <w:rPr>
          <w:rFonts w:asciiTheme="majorHAnsi" w:eastAsiaTheme="minorHAnsi" w:hAnsiTheme="majorHAnsi" w:cstheme="majorHAnsi"/>
          <w:color w:val="000000" w:themeColor="text1"/>
        </w:rPr>
        <w:t>r the high number of principals that did not participate in CI activities was because the activity was perceived to be the purview of the DOs.</w:t>
      </w:r>
      <w:r w:rsidR="00D434EB">
        <w:rPr>
          <w:rFonts w:asciiTheme="majorHAnsi" w:eastAsiaTheme="minorHAnsi" w:hAnsiTheme="majorHAnsi" w:cstheme="majorHAnsi"/>
          <w:color w:val="000000" w:themeColor="text1"/>
        </w:rPr>
        <w:t xml:space="preserve"> </w:t>
      </w:r>
      <w:r>
        <w:rPr>
          <w:rFonts w:asciiTheme="majorHAnsi" w:hAnsiTheme="majorHAnsi" w:cstheme="majorHAnsi"/>
        </w:rPr>
        <w:t>On the part of teachers, CI was seen as the responsibility of the principals.</w:t>
      </w:r>
      <w:r w:rsidR="00D434EB">
        <w:rPr>
          <w:rFonts w:asciiTheme="majorHAnsi" w:hAnsiTheme="majorHAnsi" w:cstheme="majorHAnsi"/>
        </w:rPr>
        <w:t xml:space="preserve"> </w:t>
      </w:r>
      <w:r>
        <w:rPr>
          <w:rFonts w:asciiTheme="majorHAnsi" w:hAnsiTheme="majorHAnsi" w:cstheme="majorHAnsi"/>
        </w:rPr>
        <w:t xml:space="preserve"> Also, </w:t>
      </w:r>
      <w:r>
        <w:rPr>
          <w:rFonts w:asciiTheme="majorHAnsi" w:hAnsiTheme="majorHAnsi" w:cstheme="majorHAnsi"/>
          <w:color w:val="000000" w:themeColor="text1"/>
        </w:rPr>
        <w:t>less</w:t>
      </w:r>
      <w:r w:rsidRPr="00ED1328">
        <w:rPr>
          <w:rFonts w:asciiTheme="majorHAnsi" w:hAnsiTheme="majorHAnsi" w:cstheme="majorHAnsi"/>
          <w:color w:val="000000" w:themeColor="text1"/>
        </w:rPr>
        <w:t xml:space="preserve"> than half of </w:t>
      </w:r>
      <w:r>
        <w:rPr>
          <w:rFonts w:asciiTheme="majorHAnsi" w:hAnsiTheme="majorHAnsi" w:cstheme="majorHAnsi"/>
          <w:color w:val="000000" w:themeColor="text1"/>
        </w:rPr>
        <w:t>principals</w:t>
      </w:r>
      <w:r w:rsidRPr="00ED1328">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had good </w:t>
      </w:r>
      <w:r w:rsidRPr="00ED1328">
        <w:rPr>
          <w:rFonts w:asciiTheme="majorHAnsi" w:hAnsiTheme="majorHAnsi" w:cstheme="majorHAnsi"/>
          <w:color w:val="000000" w:themeColor="text1"/>
        </w:rPr>
        <w:t xml:space="preserve">knowledge about the </w:t>
      </w:r>
      <w:r w:rsidRPr="00487AFA">
        <w:rPr>
          <w:rFonts w:asciiTheme="majorHAnsi" w:hAnsiTheme="majorHAnsi" w:cstheme="majorHAnsi"/>
          <w:color w:val="000000" w:themeColor="text1"/>
        </w:rPr>
        <w:t>Continuous Improvement Guidebook</w:t>
      </w:r>
      <w:r w:rsidRPr="00D3469C">
        <w:rPr>
          <w:rFonts w:asciiTheme="majorHAnsi" w:hAnsiTheme="majorHAnsi" w:cstheme="majorHAnsi"/>
          <w:color w:val="000000" w:themeColor="text1"/>
        </w:rPr>
        <w:t xml:space="preserve">, which was one of the outputs under the BEST Program (Table </w:t>
      </w:r>
      <w:r>
        <w:rPr>
          <w:rFonts w:asciiTheme="majorHAnsi" w:hAnsiTheme="majorHAnsi" w:cstheme="majorHAnsi"/>
          <w:color w:val="000000" w:themeColor="text1"/>
        </w:rPr>
        <w:t>40</w:t>
      </w:r>
      <w:r w:rsidRPr="00D3469C">
        <w:rPr>
          <w:rFonts w:asciiTheme="majorHAnsi" w:hAnsiTheme="majorHAnsi" w:cstheme="majorHAnsi"/>
          <w:color w:val="000000" w:themeColor="text1"/>
        </w:rPr>
        <w:t>)</w:t>
      </w:r>
      <w:r w:rsidRPr="00D3469C">
        <w:rPr>
          <w:rFonts w:asciiTheme="majorHAnsi" w:eastAsiaTheme="minorHAnsi" w:hAnsiTheme="majorHAnsi" w:cstheme="majorHAnsi"/>
          <w:color w:val="000000" w:themeColor="text1"/>
        </w:rPr>
        <w:t>.</w:t>
      </w:r>
      <w:r w:rsidR="00D434EB">
        <w:rPr>
          <w:rFonts w:asciiTheme="majorHAnsi" w:eastAsiaTheme="minorHAnsi" w:hAnsiTheme="majorHAnsi" w:cstheme="majorHAnsi"/>
          <w:color w:val="000000" w:themeColor="text1"/>
        </w:rPr>
        <w:t xml:space="preserve"> </w:t>
      </w:r>
      <w:r>
        <w:rPr>
          <w:rFonts w:asciiTheme="majorHAnsi" w:eastAsiaTheme="minorHAnsi" w:hAnsiTheme="majorHAnsi" w:cstheme="majorHAnsi"/>
          <w:color w:val="000000" w:themeColor="text1"/>
        </w:rPr>
        <w:t>However, during the Follow-up Study, knowledge and use of the CI Guidebook improved, which suggests that given more time, knowledge and practice of CI may significantly increase</w:t>
      </w:r>
    </w:p>
    <w:p w14:paraId="2AB076FF" w14:textId="61575084" w:rsidR="008D0CAD" w:rsidRPr="00D354DC" w:rsidRDefault="008D0CAD" w:rsidP="00671524">
      <w:pPr>
        <w:spacing w:before="100" w:beforeAutospacing="1" w:after="100" w:afterAutospacing="1" w:line="360" w:lineRule="auto"/>
        <w:rPr>
          <w:rFonts w:asciiTheme="majorHAnsi" w:eastAsiaTheme="minorHAnsi" w:hAnsiTheme="majorHAnsi" w:cstheme="majorHAnsi"/>
          <w:i/>
          <w:iCs/>
          <w:color w:val="44546A" w:themeColor="text2"/>
          <w:sz w:val="22"/>
          <w:szCs w:val="22"/>
        </w:rPr>
      </w:pPr>
      <w:bookmarkStart w:id="163" w:name="_Toc71616626"/>
      <w:r w:rsidRPr="00D354DC">
        <w:rPr>
          <w:rFonts w:asciiTheme="majorHAnsi" w:hAnsiTheme="majorHAnsi" w:cstheme="majorHAnsi"/>
          <w:i/>
          <w:iCs/>
          <w:color w:val="44546A" w:themeColor="text2"/>
          <w:sz w:val="22"/>
          <w:szCs w:val="22"/>
        </w:rPr>
        <w:t xml:space="preserve">Table </w:t>
      </w:r>
      <w:r w:rsidRPr="00D354DC">
        <w:rPr>
          <w:rFonts w:asciiTheme="majorHAnsi" w:hAnsiTheme="majorHAnsi" w:cstheme="majorHAnsi"/>
          <w:i/>
          <w:iCs/>
          <w:noProof/>
          <w:color w:val="44546A" w:themeColor="text2"/>
          <w:sz w:val="22"/>
          <w:szCs w:val="22"/>
        </w:rPr>
        <w:fldChar w:fldCharType="begin"/>
      </w:r>
      <w:r w:rsidRPr="00D354DC">
        <w:rPr>
          <w:rFonts w:asciiTheme="majorHAnsi" w:hAnsiTheme="majorHAnsi" w:cstheme="majorHAnsi"/>
          <w:i/>
          <w:iCs/>
          <w:noProof/>
          <w:color w:val="44546A" w:themeColor="text2"/>
          <w:sz w:val="22"/>
          <w:szCs w:val="22"/>
        </w:rPr>
        <w:instrText xml:space="preserve"> SEQ Table \* ARABIC </w:instrText>
      </w:r>
      <w:r w:rsidRPr="00D354DC">
        <w:rPr>
          <w:rFonts w:asciiTheme="majorHAnsi" w:hAnsiTheme="majorHAnsi" w:cstheme="majorHAnsi"/>
          <w:i/>
          <w:iCs/>
          <w:noProof/>
          <w:color w:val="44546A" w:themeColor="text2"/>
          <w:sz w:val="22"/>
          <w:szCs w:val="22"/>
        </w:rPr>
        <w:fldChar w:fldCharType="separate"/>
      </w:r>
      <w:r w:rsidR="00D6133D">
        <w:rPr>
          <w:rFonts w:asciiTheme="majorHAnsi" w:hAnsiTheme="majorHAnsi" w:cstheme="majorHAnsi"/>
          <w:i/>
          <w:iCs/>
          <w:noProof/>
          <w:color w:val="44546A" w:themeColor="text2"/>
          <w:sz w:val="22"/>
          <w:szCs w:val="22"/>
        </w:rPr>
        <w:t>35</w:t>
      </w:r>
      <w:r w:rsidRPr="00D354DC">
        <w:rPr>
          <w:rFonts w:asciiTheme="majorHAnsi" w:hAnsiTheme="majorHAnsi" w:cstheme="majorHAnsi"/>
          <w:i/>
          <w:iCs/>
          <w:noProof/>
          <w:color w:val="44546A" w:themeColor="text2"/>
          <w:sz w:val="22"/>
          <w:szCs w:val="22"/>
        </w:rPr>
        <w:fldChar w:fldCharType="end"/>
      </w:r>
      <w:r w:rsidRPr="00D354DC">
        <w:rPr>
          <w:rFonts w:asciiTheme="majorHAnsi" w:hAnsiTheme="majorHAnsi" w:cstheme="majorHAnsi"/>
          <w:i/>
          <w:iCs/>
          <w:color w:val="44546A" w:themeColor="text2"/>
          <w:sz w:val="22"/>
          <w:szCs w:val="22"/>
        </w:rPr>
        <w:t>.</w:t>
      </w:r>
      <w:r w:rsidRPr="00D354DC">
        <w:rPr>
          <w:rFonts w:asciiTheme="majorHAnsi" w:eastAsiaTheme="minorHAnsi" w:hAnsiTheme="majorHAnsi" w:cstheme="majorHAnsi"/>
          <w:i/>
          <w:iCs/>
          <w:color w:val="44546A" w:themeColor="text2"/>
          <w:sz w:val="22"/>
          <w:szCs w:val="22"/>
        </w:rPr>
        <w:t xml:space="preserve"> Knowledge, Access and Usefulness of the Continuous Improvement Guidebook</w:t>
      </w:r>
      <w:bookmarkEnd w:id="163"/>
    </w:p>
    <w:tbl>
      <w:tblPr>
        <w:tblStyle w:val="TableGrid"/>
        <w:tblW w:w="0" w:type="auto"/>
        <w:tblLook w:val="04A0" w:firstRow="1" w:lastRow="0" w:firstColumn="1" w:lastColumn="0" w:noHBand="0" w:noVBand="1"/>
      </w:tblPr>
      <w:tblGrid>
        <w:gridCol w:w="1993"/>
        <w:gridCol w:w="1090"/>
        <w:gridCol w:w="1462"/>
        <w:gridCol w:w="1423"/>
        <w:gridCol w:w="875"/>
        <w:gridCol w:w="1121"/>
        <w:gridCol w:w="1042"/>
      </w:tblGrid>
      <w:tr w:rsidR="00DC7DED" w:rsidRPr="007A4F32" w14:paraId="75484B57" w14:textId="77777777" w:rsidTr="00F4751F">
        <w:trPr>
          <w:trHeight w:val="542"/>
          <w:tblHeader/>
        </w:trPr>
        <w:tc>
          <w:tcPr>
            <w:tcW w:w="1993" w:type="dxa"/>
          </w:tcPr>
          <w:p w14:paraId="00F1148A" w14:textId="77777777" w:rsidR="00DC7DED" w:rsidRPr="007A4F32" w:rsidRDefault="00DC7DED" w:rsidP="00671524">
            <w:pPr>
              <w:spacing w:before="100" w:beforeAutospacing="1" w:after="100" w:afterAutospacing="1" w:line="360" w:lineRule="auto"/>
              <w:rPr>
                <w:rFonts w:asciiTheme="majorHAnsi" w:hAnsiTheme="majorHAnsi" w:cstheme="majorHAnsi"/>
                <w:color w:val="000000" w:themeColor="text1"/>
                <w:sz w:val="16"/>
                <w:szCs w:val="16"/>
              </w:rPr>
            </w:pPr>
          </w:p>
        </w:tc>
        <w:tc>
          <w:tcPr>
            <w:tcW w:w="1090" w:type="dxa"/>
            <w:vAlign w:val="center"/>
          </w:tcPr>
          <w:p w14:paraId="3BADA562" w14:textId="77777777" w:rsidR="00DC7DED" w:rsidRPr="007A4F32" w:rsidRDefault="00DC7DED" w:rsidP="00671524">
            <w:pPr>
              <w:spacing w:before="100" w:beforeAutospacing="1" w:after="100" w:afterAutospacing="1" w:line="360" w:lineRule="auto"/>
              <w:rPr>
                <w:rFonts w:asciiTheme="majorHAnsi" w:hAnsiTheme="majorHAnsi" w:cstheme="majorHAnsi"/>
                <w:b/>
                <w:bCs/>
                <w:color w:val="000000" w:themeColor="text1"/>
                <w:sz w:val="16"/>
                <w:szCs w:val="16"/>
              </w:rPr>
            </w:pPr>
            <w:r w:rsidRPr="007A4F32">
              <w:rPr>
                <w:rFonts w:asciiTheme="majorHAnsi" w:hAnsiTheme="majorHAnsi" w:cstheme="majorHAnsi"/>
                <w:b/>
                <w:bCs/>
                <w:color w:val="000000" w:themeColor="text1"/>
                <w:sz w:val="16"/>
                <w:szCs w:val="16"/>
              </w:rPr>
              <w:t>% Sufficient knowledge</w:t>
            </w:r>
          </w:p>
        </w:tc>
        <w:tc>
          <w:tcPr>
            <w:tcW w:w="1462" w:type="dxa"/>
            <w:vAlign w:val="center"/>
          </w:tcPr>
          <w:p w14:paraId="0FAE83BC" w14:textId="77777777" w:rsidR="00DC7DED" w:rsidRPr="007A4F32" w:rsidRDefault="00DC7DED" w:rsidP="00671524">
            <w:pPr>
              <w:spacing w:before="100" w:beforeAutospacing="1" w:after="100" w:afterAutospacing="1" w:line="360" w:lineRule="auto"/>
              <w:rPr>
                <w:rFonts w:asciiTheme="majorHAnsi" w:hAnsiTheme="majorHAnsi" w:cstheme="majorHAnsi"/>
                <w:b/>
                <w:bCs/>
                <w:color w:val="000000" w:themeColor="text1"/>
                <w:sz w:val="16"/>
                <w:szCs w:val="16"/>
              </w:rPr>
            </w:pPr>
            <w:r w:rsidRPr="007A4F32">
              <w:rPr>
                <w:rFonts w:asciiTheme="majorHAnsi" w:hAnsiTheme="majorHAnsi" w:cstheme="majorHAnsi"/>
                <w:b/>
                <w:bCs/>
                <w:color w:val="000000" w:themeColor="text1"/>
                <w:sz w:val="16"/>
                <w:szCs w:val="16"/>
              </w:rPr>
              <w:t>% Comprehensive knowledge</w:t>
            </w:r>
          </w:p>
        </w:tc>
        <w:tc>
          <w:tcPr>
            <w:tcW w:w="1423" w:type="dxa"/>
            <w:vAlign w:val="center"/>
          </w:tcPr>
          <w:p w14:paraId="35008E27" w14:textId="77777777" w:rsidR="00DC7DED" w:rsidRPr="007A4F32" w:rsidRDefault="00DC7DED" w:rsidP="00671524">
            <w:pPr>
              <w:spacing w:before="100" w:beforeAutospacing="1" w:after="100" w:afterAutospacing="1" w:line="360" w:lineRule="auto"/>
              <w:rPr>
                <w:rFonts w:asciiTheme="majorHAnsi" w:hAnsiTheme="majorHAnsi" w:cstheme="majorHAnsi"/>
                <w:b/>
                <w:bCs/>
                <w:color w:val="000000" w:themeColor="text1"/>
                <w:sz w:val="16"/>
                <w:szCs w:val="16"/>
              </w:rPr>
            </w:pPr>
            <w:r w:rsidRPr="007A4F32">
              <w:rPr>
                <w:rFonts w:asciiTheme="majorHAnsi" w:hAnsiTheme="majorHAnsi" w:cstheme="majorHAnsi"/>
                <w:b/>
                <w:bCs/>
                <w:color w:val="000000" w:themeColor="text1"/>
                <w:sz w:val="16"/>
                <w:szCs w:val="16"/>
              </w:rPr>
              <w:t>% Full access - individual</w:t>
            </w:r>
          </w:p>
        </w:tc>
        <w:tc>
          <w:tcPr>
            <w:tcW w:w="875" w:type="dxa"/>
            <w:vAlign w:val="center"/>
          </w:tcPr>
          <w:p w14:paraId="715A3340" w14:textId="77777777" w:rsidR="00DC7DED" w:rsidRPr="007A4F32" w:rsidRDefault="00DC7DED" w:rsidP="00671524">
            <w:pPr>
              <w:spacing w:before="100" w:beforeAutospacing="1" w:after="100" w:afterAutospacing="1" w:line="360" w:lineRule="auto"/>
              <w:rPr>
                <w:rFonts w:asciiTheme="majorHAnsi" w:hAnsiTheme="majorHAnsi" w:cstheme="majorHAnsi"/>
                <w:b/>
                <w:bCs/>
                <w:color w:val="000000" w:themeColor="text1"/>
                <w:sz w:val="16"/>
                <w:szCs w:val="16"/>
              </w:rPr>
            </w:pPr>
            <w:r w:rsidRPr="007A4F32">
              <w:rPr>
                <w:rFonts w:asciiTheme="majorHAnsi" w:hAnsiTheme="majorHAnsi" w:cstheme="majorHAnsi"/>
                <w:b/>
                <w:bCs/>
                <w:color w:val="000000" w:themeColor="text1"/>
                <w:sz w:val="16"/>
                <w:szCs w:val="16"/>
              </w:rPr>
              <w:t>% Full access - school</w:t>
            </w:r>
          </w:p>
        </w:tc>
        <w:tc>
          <w:tcPr>
            <w:tcW w:w="1121" w:type="dxa"/>
            <w:vAlign w:val="center"/>
          </w:tcPr>
          <w:p w14:paraId="2C6D0A39" w14:textId="77777777" w:rsidR="00DC7DED" w:rsidRPr="007A4F32" w:rsidRDefault="00DC7DED" w:rsidP="00671524">
            <w:pPr>
              <w:spacing w:before="100" w:beforeAutospacing="1" w:after="100" w:afterAutospacing="1" w:line="360" w:lineRule="auto"/>
              <w:rPr>
                <w:rFonts w:asciiTheme="majorHAnsi" w:hAnsiTheme="majorHAnsi" w:cstheme="majorHAnsi"/>
                <w:b/>
                <w:bCs/>
                <w:color w:val="000000" w:themeColor="text1"/>
                <w:sz w:val="16"/>
                <w:szCs w:val="16"/>
              </w:rPr>
            </w:pPr>
            <w:r w:rsidRPr="007A4F32">
              <w:rPr>
                <w:rFonts w:asciiTheme="majorHAnsi" w:hAnsiTheme="majorHAnsi" w:cstheme="majorHAnsi"/>
                <w:b/>
                <w:bCs/>
                <w:color w:val="000000" w:themeColor="text1"/>
                <w:sz w:val="16"/>
                <w:szCs w:val="16"/>
              </w:rPr>
              <w:t>% Sufficiently useful</w:t>
            </w:r>
          </w:p>
        </w:tc>
        <w:tc>
          <w:tcPr>
            <w:tcW w:w="1042" w:type="dxa"/>
            <w:vAlign w:val="center"/>
          </w:tcPr>
          <w:p w14:paraId="6E2DFCCE" w14:textId="77777777" w:rsidR="00DC7DED" w:rsidRPr="007A4F32" w:rsidRDefault="00DC7DED" w:rsidP="00671524">
            <w:pPr>
              <w:spacing w:before="100" w:beforeAutospacing="1" w:after="100" w:afterAutospacing="1" w:line="360" w:lineRule="auto"/>
              <w:rPr>
                <w:rFonts w:asciiTheme="majorHAnsi" w:hAnsiTheme="majorHAnsi" w:cstheme="majorHAnsi"/>
                <w:b/>
                <w:bCs/>
                <w:color w:val="000000" w:themeColor="text1"/>
                <w:sz w:val="16"/>
                <w:szCs w:val="16"/>
              </w:rPr>
            </w:pPr>
            <w:r w:rsidRPr="007A4F32">
              <w:rPr>
                <w:rFonts w:asciiTheme="majorHAnsi" w:hAnsiTheme="majorHAnsi" w:cstheme="majorHAnsi"/>
                <w:b/>
                <w:bCs/>
                <w:color w:val="000000" w:themeColor="text1"/>
                <w:sz w:val="16"/>
                <w:szCs w:val="16"/>
              </w:rPr>
              <w:t>% Extremely useful</w:t>
            </w:r>
          </w:p>
        </w:tc>
      </w:tr>
      <w:tr w:rsidR="00DC7DED" w:rsidRPr="007A4F32" w14:paraId="3FF474B3" w14:textId="77777777" w:rsidTr="00DC7DED">
        <w:trPr>
          <w:trHeight w:val="83"/>
        </w:trPr>
        <w:tc>
          <w:tcPr>
            <w:tcW w:w="1993" w:type="dxa"/>
            <w:shd w:val="clear" w:color="auto" w:fill="BFBFBF" w:themeFill="background1" w:themeFillShade="BF"/>
          </w:tcPr>
          <w:p w14:paraId="717F4702" w14:textId="77777777" w:rsidR="00DC7DED" w:rsidRPr="007A4F32" w:rsidRDefault="00DC7DED" w:rsidP="00671524">
            <w:pPr>
              <w:spacing w:before="100" w:beforeAutospacing="1" w:after="100" w:afterAutospacing="1" w:line="360" w:lineRule="auto"/>
              <w:rPr>
                <w:rFonts w:asciiTheme="majorHAnsi" w:hAnsiTheme="majorHAnsi" w:cstheme="majorHAnsi"/>
                <w:color w:val="000000" w:themeColor="text1"/>
                <w:sz w:val="16"/>
                <w:szCs w:val="16"/>
              </w:rPr>
            </w:pPr>
            <w:r w:rsidRPr="007A4F32">
              <w:rPr>
                <w:rFonts w:asciiTheme="majorHAnsi" w:hAnsiTheme="majorHAnsi" w:cstheme="majorHAnsi"/>
                <w:color w:val="000000" w:themeColor="text1"/>
                <w:sz w:val="16"/>
                <w:szCs w:val="16"/>
              </w:rPr>
              <w:t>Main Study*</w:t>
            </w:r>
          </w:p>
        </w:tc>
        <w:tc>
          <w:tcPr>
            <w:tcW w:w="1090" w:type="dxa"/>
            <w:shd w:val="clear" w:color="auto" w:fill="BFBFBF" w:themeFill="background1" w:themeFillShade="BF"/>
          </w:tcPr>
          <w:p w14:paraId="3AD4020D" w14:textId="77777777" w:rsidR="00DC7DED" w:rsidRPr="007A4F32" w:rsidRDefault="00DC7DED" w:rsidP="00671524">
            <w:pPr>
              <w:spacing w:before="100" w:beforeAutospacing="1" w:after="100" w:afterAutospacing="1" w:line="360" w:lineRule="auto"/>
              <w:rPr>
                <w:rFonts w:asciiTheme="majorHAnsi" w:hAnsiTheme="majorHAnsi" w:cstheme="majorHAnsi"/>
                <w:color w:val="000000" w:themeColor="text1"/>
                <w:sz w:val="16"/>
                <w:szCs w:val="16"/>
              </w:rPr>
            </w:pPr>
          </w:p>
        </w:tc>
        <w:tc>
          <w:tcPr>
            <w:tcW w:w="1462" w:type="dxa"/>
            <w:shd w:val="clear" w:color="auto" w:fill="BFBFBF" w:themeFill="background1" w:themeFillShade="BF"/>
          </w:tcPr>
          <w:p w14:paraId="725F7CF8" w14:textId="77777777" w:rsidR="00DC7DED" w:rsidRPr="007A4F32" w:rsidRDefault="00DC7DED" w:rsidP="00671524">
            <w:pPr>
              <w:spacing w:before="100" w:beforeAutospacing="1" w:after="100" w:afterAutospacing="1" w:line="360" w:lineRule="auto"/>
              <w:rPr>
                <w:rFonts w:asciiTheme="majorHAnsi" w:hAnsiTheme="majorHAnsi" w:cstheme="majorHAnsi"/>
                <w:color w:val="000000" w:themeColor="text1"/>
                <w:sz w:val="16"/>
                <w:szCs w:val="16"/>
              </w:rPr>
            </w:pPr>
          </w:p>
        </w:tc>
        <w:tc>
          <w:tcPr>
            <w:tcW w:w="1423" w:type="dxa"/>
            <w:shd w:val="clear" w:color="auto" w:fill="BFBFBF" w:themeFill="background1" w:themeFillShade="BF"/>
          </w:tcPr>
          <w:p w14:paraId="544A248A" w14:textId="77777777" w:rsidR="00DC7DED" w:rsidRPr="007A4F32" w:rsidRDefault="00DC7DED" w:rsidP="00671524">
            <w:pPr>
              <w:spacing w:before="100" w:beforeAutospacing="1" w:after="100" w:afterAutospacing="1" w:line="360" w:lineRule="auto"/>
              <w:rPr>
                <w:rFonts w:asciiTheme="majorHAnsi" w:hAnsiTheme="majorHAnsi" w:cstheme="majorHAnsi"/>
                <w:color w:val="000000" w:themeColor="text1"/>
                <w:sz w:val="16"/>
                <w:szCs w:val="16"/>
              </w:rPr>
            </w:pPr>
          </w:p>
        </w:tc>
        <w:tc>
          <w:tcPr>
            <w:tcW w:w="875" w:type="dxa"/>
            <w:shd w:val="clear" w:color="auto" w:fill="BFBFBF" w:themeFill="background1" w:themeFillShade="BF"/>
          </w:tcPr>
          <w:p w14:paraId="3B689215" w14:textId="77777777" w:rsidR="00DC7DED" w:rsidRPr="007A4F32" w:rsidRDefault="00DC7DED" w:rsidP="00671524">
            <w:pPr>
              <w:spacing w:before="100" w:beforeAutospacing="1" w:after="100" w:afterAutospacing="1" w:line="360" w:lineRule="auto"/>
              <w:rPr>
                <w:rFonts w:asciiTheme="majorHAnsi" w:hAnsiTheme="majorHAnsi" w:cstheme="majorHAnsi"/>
                <w:color w:val="000000" w:themeColor="text1"/>
                <w:sz w:val="16"/>
                <w:szCs w:val="16"/>
              </w:rPr>
            </w:pPr>
          </w:p>
        </w:tc>
        <w:tc>
          <w:tcPr>
            <w:tcW w:w="1121" w:type="dxa"/>
            <w:shd w:val="clear" w:color="auto" w:fill="BFBFBF" w:themeFill="background1" w:themeFillShade="BF"/>
          </w:tcPr>
          <w:p w14:paraId="35B90233" w14:textId="77777777" w:rsidR="00DC7DED" w:rsidRPr="007A4F32" w:rsidRDefault="00DC7DED" w:rsidP="00671524">
            <w:pPr>
              <w:spacing w:before="100" w:beforeAutospacing="1" w:after="100" w:afterAutospacing="1" w:line="360" w:lineRule="auto"/>
              <w:rPr>
                <w:rFonts w:asciiTheme="majorHAnsi" w:hAnsiTheme="majorHAnsi" w:cstheme="majorHAnsi"/>
                <w:color w:val="000000" w:themeColor="text1"/>
                <w:sz w:val="16"/>
                <w:szCs w:val="16"/>
              </w:rPr>
            </w:pPr>
          </w:p>
        </w:tc>
        <w:tc>
          <w:tcPr>
            <w:tcW w:w="1042" w:type="dxa"/>
            <w:shd w:val="clear" w:color="auto" w:fill="BFBFBF" w:themeFill="background1" w:themeFillShade="BF"/>
          </w:tcPr>
          <w:p w14:paraId="15963ED0" w14:textId="77777777" w:rsidR="00DC7DED" w:rsidRPr="007A4F32" w:rsidRDefault="00DC7DED" w:rsidP="00671524">
            <w:pPr>
              <w:spacing w:before="100" w:beforeAutospacing="1" w:after="100" w:afterAutospacing="1" w:line="360" w:lineRule="auto"/>
              <w:rPr>
                <w:rFonts w:asciiTheme="majorHAnsi" w:hAnsiTheme="majorHAnsi" w:cstheme="majorHAnsi"/>
                <w:color w:val="000000" w:themeColor="text1"/>
                <w:sz w:val="16"/>
                <w:szCs w:val="16"/>
              </w:rPr>
            </w:pPr>
          </w:p>
        </w:tc>
      </w:tr>
      <w:tr w:rsidR="00DC7DED" w:rsidRPr="007A4F32" w14:paraId="16505B8A" w14:textId="77777777" w:rsidTr="00DC7DED">
        <w:trPr>
          <w:trHeight w:val="38"/>
        </w:trPr>
        <w:tc>
          <w:tcPr>
            <w:tcW w:w="1993" w:type="dxa"/>
          </w:tcPr>
          <w:p w14:paraId="202DC747" w14:textId="77777777" w:rsidR="00DC7DED" w:rsidRPr="007A4F32" w:rsidRDefault="00DC7DED" w:rsidP="00671524">
            <w:pPr>
              <w:spacing w:before="100" w:beforeAutospacing="1" w:after="100" w:afterAutospacing="1" w:line="360" w:lineRule="auto"/>
              <w:rPr>
                <w:rFonts w:asciiTheme="majorHAnsi" w:hAnsiTheme="majorHAnsi" w:cstheme="majorHAnsi"/>
                <w:color w:val="000000" w:themeColor="text1"/>
                <w:sz w:val="16"/>
                <w:szCs w:val="16"/>
              </w:rPr>
            </w:pPr>
            <w:r w:rsidRPr="007A4F32">
              <w:rPr>
                <w:rFonts w:asciiTheme="majorHAnsi" w:hAnsiTheme="majorHAnsi" w:cstheme="majorHAnsi"/>
                <w:color w:val="000000" w:themeColor="text1"/>
                <w:sz w:val="16"/>
                <w:szCs w:val="16"/>
              </w:rPr>
              <w:t>PSHs (n=26)</w:t>
            </w:r>
          </w:p>
        </w:tc>
        <w:tc>
          <w:tcPr>
            <w:tcW w:w="1090" w:type="dxa"/>
          </w:tcPr>
          <w:p w14:paraId="1742B6E0" w14:textId="77777777" w:rsidR="00DC7DED" w:rsidRPr="007A4F32" w:rsidRDefault="005B4006" w:rsidP="00671524">
            <w:pPr>
              <w:spacing w:before="100" w:beforeAutospacing="1" w:after="100" w:afterAutospacing="1" w:line="360" w:lineRule="auto"/>
              <w:rPr>
                <w:rFonts w:asciiTheme="majorHAnsi" w:hAnsiTheme="majorHAnsi" w:cstheme="majorHAnsi"/>
                <w:color w:val="000000" w:themeColor="text1"/>
                <w:sz w:val="16"/>
                <w:szCs w:val="16"/>
              </w:rPr>
            </w:pPr>
            <w:r>
              <w:rPr>
                <w:rFonts w:asciiTheme="majorHAnsi" w:hAnsiTheme="majorHAnsi" w:cstheme="majorHAnsi"/>
                <w:color w:val="000000" w:themeColor="text1"/>
                <w:sz w:val="16"/>
                <w:szCs w:val="16"/>
              </w:rPr>
              <w:t>19%</w:t>
            </w:r>
          </w:p>
        </w:tc>
        <w:tc>
          <w:tcPr>
            <w:tcW w:w="1462" w:type="dxa"/>
          </w:tcPr>
          <w:p w14:paraId="756E7F2C" w14:textId="77777777" w:rsidR="00DC7DED" w:rsidRPr="007A4F32" w:rsidRDefault="005B4006" w:rsidP="00671524">
            <w:pPr>
              <w:spacing w:before="100" w:beforeAutospacing="1" w:after="100" w:afterAutospacing="1" w:line="360" w:lineRule="auto"/>
              <w:rPr>
                <w:rFonts w:asciiTheme="majorHAnsi" w:hAnsiTheme="majorHAnsi" w:cstheme="majorHAnsi"/>
                <w:color w:val="000000" w:themeColor="text1"/>
                <w:sz w:val="16"/>
                <w:szCs w:val="16"/>
              </w:rPr>
            </w:pPr>
            <w:r>
              <w:rPr>
                <w:rFonts w:asciiTheme="majorHAnsi" w:hAnsiTheme="majorHAnsi" w:cstheme="majorHAnsi"/>
                <w:color w:val="000000" w:themeColor="text1"/>
                <w:sz w:val="16"/>
                <w:szCs w:val="16"/>
              </w:rPr>
              <w:t>8%</w:t>
            </w:r>
          </w:p>
        </w:tc>
        <w:tc>
          <w:tcPr>
            <w:tcW w:w="1423" w:type="dxa"/>
          </w:tcPr>
          <w:p w14:paraId="2B11A5FC" w14:textId="77777777" w:rsidR="00DC7DED" w:rsidRPr="007A4F32" w:rsidRDefault="005B4006" w:rsidP="00671524">
            <w:pPr>
              <w:spacing w:before="100" w:beforeAutospacing="1" w:after="100" w:afterAutospacing="1" w:line="360" w:lineRule="auto"/>
              <w:rPr>
                <w:rFonts w:asciiTheme="majorHAnsi" w:hAnsiTheme="majorHAnsi" w:cstheme="majorHAnsi"/>
                <w:color w:val="000000" w:themeColor="text1"/>
                <w:sz w:val="16"/>
                <w:szCs w:val="16"/>
              </w:rPr>
            </w:pPr>
            <w:r>
              <w:rPr>
                <w:rFonts w:asciiTheme="majorHAnsi" w:hAnsiTheme="majorHAnsi" w:cstheme="majorHAnsi"/>
                <w:color w:val="000000" w:themeColor="text1"/>
                <w:sz w:val="16"/>
                <w:szCs w:val="16"/>
              </w:rPr>
              <w:t>12%</w:t>
            </w:r>
          </w:p>
        </w:tc>
        <w:tc>
          <w:tcPr>
            <w:tcW w:w="875" w:type="dxa"/>
          </w:tcPr>
          <w:p w14:paraId="5F1976B5" w14:textId="77777777" w:rsidR="00DC7DED" w:rsidRPr="007A4F32" w:rsidRDefault="005B4006" w:rsidP="00671524">
            <w:pPr>
              <w:spacing w:before="100" w:beforeAutospacing="1" w:after="100" w:afterAutospacing="1" w:line="360" w:lineRule="auto"/>
              <w:rPr>
                <w:rFonts w:asciiTheme="majorHAnsi" w:hAnsiTheme="majorHAnsi" w:cstheme="majorHAnsi"/>
                <w:color w:val="000000" w:themeColor="text1"/>
                <w:sz w:val="16"/>
                <w:szCs w:val="16"/>
              </w:rPr>
            </w:pPr>
            <w:r>
              <w:rPr>
                <w:rFonts w:asciiTheme="majorHAnsi" w:hAnsiTheme="majorHAnsi" w:cstheme="majorHAnsi"/>
                <w:color w:val="000000" w:themeColor="text1"/>
                <w:sz w:val="16"/>
                <w:szCs w:val="16"/>
              </w:rPr>
              <w:t>12%</w:t>
            </w:r>
          </w:p>
        </w:tc>
        <w:tc>
          <w:tcPr>
            <w:tcW w:w="1121" w:type="dxa"/>
          </w:tcPr>
          <w:p w14:paraId="6EEBE680" w14:textId="77777777" w:rsidR="00DC7DED" w:rsidRPr="007A4F32" w:rsidRDefault="005B4006" w:rsidP="00671524">
            <w:pPr>
              <w:spacing w:before="100" w:beforeAutospacing="1" w:after="100" w:afterAutospacing="1" w:line="360" w:lineRule="auto"/>
              <w:rPr>
                <w:rFonts w:asciiTheme="majorHAnsi" w:hAnsiTheme="majorHAnsi" w:cstheme="majorHAnsi"/>
                <w:color w:val="000000" w:themeColor="text1"/>
                <w:sz w:val="16"/>
                <w:szCs w:val="16"/>
              </w:rPr>
            </w:pPr>
            <w:r>
              <w:rPr>
                <w:rFonts w:asciiTheme="majorHAnsi" w:hAnsiTheme="majorHAnsi" w:cstheme="majorHAnsi"/>
                <w:color w:val="000000" w:themeColor="text1"/>
                <w:sz w:val="16"/>
                <w:szCs w:val="16"/>
              </w:rPr>
              <w:t>27%</w:t>
            </w:r>
          </w:p>
        </w:tc>
        <w:tc>
          <w:tcPr>
            <w:tcW w:w="1042" w:type="dxa"/>
          </w:tcPr>
          <w:p w14:paraId="6AF6BA27" w14:textId="77777777" w:rsidR="00DC7DED" w:rsidRPr="007A4F32" w:rsidRDefault="005B4006" w:rsidP="00671524">
            <w:pPr>
              <w:spacing w:before="100" w:beforeAutospacing="1" w:after="100" w:afterAutospacing="1" w:line="360" w:lineRule="auto"/>
              <w:rPr>
                <w:rFonts w:asciiTheme="majorHAnsi" w:hAnsiTheme="majorHAnsi" w:cstheme="majorHAnsi"/>
                <w:color w:val="000000" w:themeColor="text1"/>
                <w:sz w:val="16"/>
                <w:szCs w:val="16"/>
              </w:rPr>
            </w:pPr>
            <w:r>
              <w:rPr>
                <w:rFonts w:asciiTheme="majorHAnsi" w:hAnsiTheme="majorHAnsi" w:cstheme="majorHAnsi"/>
                <w:color w:val="000000" w:themeColor="text1"/>
                <w:sz w:val="16"/>
                <w:szCs w:val="16"/>
              </w:rPr>
              <w:t>19%</w:t>
            </w:r>
          </w:p>
        </w:tc>
      </w:tr>
      <w:tr w:rsidR="00DC7DED" w:rsidRPr="007A4F32" w14:paraId="2DE12D04" w14:textId="77777777" w:rsidTr="005B4006">
        <w:trPr>
          <w:trHeight w:val="123"/>
        </w:trPr>
        <w:tc>
          <w:tcPr>
            <w:tcW w:w="1993" w:type="dxa"/>
          </w:tcPr>
          <w:p w14:paraId="23D469DE" w14:textId="77777777" w:rsidR="00DC7DED" w:rsidRPr="007A4F32" w:rsidRDefault="00DC7DED" w:rsidP="00671524">
            <w:pPr>
              <w:spacing w:before="100" w:beforeAutospacing="1" w:after="100" w:afterAutospacing="1" w:line="360" w:lineRule="auto"/>
              <w:rPr>
                <w:rFonts w:asciiTheme="majorHAnsi" w:hAnsiTheme="majorHAnsi" w:cstheme="majorHAnsi"/>
                <w:color w:val="000000" w:themeColor="text1"/>
                <w:sz w:val="16"/>
                <w:szCs w:val="16"/>
              </w:rPr>
            </w:pPr>
            <w:r w:rsidRPr="007A4F32">
              <w:rPr>
                <w:rFonts w:asciiTheme="majorHAnsi" w:hAnsiTheme="majorHAnsi" w:cstheme="majorHAnsi"/>
                <w:color w:val="000000" w:themeColor="text1"/>
                <w:sz w:val="16"/>
                <w:szCs w:val="16"/>
              </w:rPr>
              <w:t>Teachers (n=107)</w:t>
            </w:r>
          </w:p>
        </w:tc>
        <w:tc>
          <w:tcPr>
            <w:tcW w:w="1090" w:type="dxa"/>
            <w:shd w:val="clear" w:color="auto" w:fill="BFBFBF" w:themeFill="background1" w:themeFillShade="BF"/>
          </w:tcPr>
          <w:p w14:paraId="26EE2DFC" w14:textId="77777777" w:rsidR="00DC7DED" w:rsidRPr="007A4F32" w:rsidRDefault="00DC7DED" w:rsidP="00671524">
            <w:pPr>
              <w:spacing w:before="100" w:beforeAutospacing="1" w:after="100" w:afterAutospacing="1" w:line="360" w:lineRule="auto"/>
              <w:rPr>
                <w:rFonts w:asciiTheme="majorHAnsi" w:hAnsiTheme="majorHAnsi" w:cstheme="majorHAnsi"/>
                <w:color w:val="000000" w:themeColor="text1"/>
                <w:sz w:val="16"/>
                <w:szCs w:val="16"/>
              </w:rPr>
            </w:pPr>
          </w:p>
        </w:tc>
        <w:tc>
          <w:tcPr>
            <w:tcW w:w="1462" w:type="dxa"/>
            <w:shd w:val="clear" w:color="auto" w:fill="BFBFBF" w:themeFill="background1" w:themeFillShade="BF"/>
          </w:tcPr>
          <w:p w14:paraId="1A66E933" w14:textId="77777777" w:rsidR="00DC7DED" w:rsidRPr="007A4F32" w:rsidRDefault="00DC7DED" w:rsidP="00671524">
            <w:pPr>
              <w:spacing w:before="100" w:beforeAutospacing="1" w:after="100" w:afterAutospacing="1" w:line="360" w:lineRule="auto"/>
              <w:rPr>
                <w:rFonts w:asciiTheme="majorHAnsi" w:hAnsiTheme="majorHAnsi" w:cstheme="majorHAnsi"/>
                <w:color w:val="000000" w:themeColor="text1"/>
                <w:sz w:val="16"/>
                <w:szCs w:val="16"/>
              </w:rPr>
            </w:pPr>
          </w:p>
        </w:tc>
        <w:tc>
          <w:tcPr>
            <w:tcW w:w="1423" w:type="dxa"/>
            <w:shd w:val="clear" w:color="auto" w:fill="BFBFBF" w:themeFill="background1" w:themeFillShade="BF"/>
          </w:tcPr>
          <w:p w14:paraId="790D1C65" w14:textId="77777777" w:rsidR="00DC7DED" w:rsidRPr="007A4F32" w:rsidRDefault="00DC7DED" w:rsidP="00671524">
            <w:pPr>
              <w:spacing w:before="100" w:beforeAutospacing="1" w:after="100" w:afterAutospacing="1" w:line="360" w:lineRule="auto"/>
              <w:rPr>
                <w:rFonts w:asciiTheme="majorHAnsi" w:hAnsiTheme="majorHAnsi" w:cstheme="majorHAnsi"/>
                <w:color w:val="000000" w:themeColor="text1"/>
                <w:sz w:val="16"/>
                <w:szCs w:val="16"/>
              </w:rPr>
            </w:pPr>
          </w:p>
        </w:tc>
        <w:tc>
          <w:tcPr>
            <w:tcW w:w="875" w:type="dxa"/>
            <w:shd w:val="clear" w:color="auto" w:fill="BFBFBF" w:themeFill="background1" w:themeFillShade="BF"/>
          </w:tcPr>
          <w:p w14:paraId="07074ADA" w14:textId="77777777" w:rsidR="00DC7DED" w:rsidRPr="007A4F32" w:rsidRDefault="00DC7DED" w:rsidP="00671524">
            <w:pPr>
              <w:spacing w:before="100" w:beforeAutospacing="1" w:after="100" w:afterAutospacing="1" w:line="360" w:lineRule="auto"/>
              <w:rPr>
                <w:rFonts w:asciiTheme="majorHAnsi" w:hAnsiTheme="majorHAnsi" w:cstheme="majorHAnsi"/>
                <w:color w:val="000000" w:themeColor="text1"/>
                <w:sz w:val="16"/>
                <w:szCs w:val="16"/>
              </w:rPr>
            </w:pPr>
          </w:p>
        </w:tc>
        <w:tc>
          <w:tcPr>
            <w:tcW w:w="1121" w:type="dxa"/>
            <w:shd w:val="clear" w:color="auto" w:fill="BFBFBF" w:themeFill="background1" w:themeFillShade="BF"/>
          </w:tcPr>
          <w:p w14:paraId="3DCF3FEC" w14:textId="77777777" w:rsidR="00DC7DED" w:rsidRPr="007A4F32" w:rsidRDefault="00DC7DED" w:rsidP="00671524">
            <w:pPr>
              <w:spacing w:before="100" w:beforeAutospacing="1" w:after="100" w:afterAutospacing="1" w:line="360" w:lineRule="auto"/>
              <w:rPr>
                <w:rFonts w:asciiTheme="majorHAnsi" w:hAnsiTheme="majorHAnsi" w:cstheme="majorHAnsi"/>
                <w:color w:val="000000" w:themeColor="text1"/>
                <w:sz w:val="16"/>
                <w:szCs w:val="16"/>
              </w:rPr>
            </w:pPr>
          </w:p>
        </w:tc>
        <w:tc>
          <w:tcPr>
            <w:tcW w:w="1042" w:type="dxa"/>
            <w:shd w:val="clear" w:color="auto" w:fill="BFBFBF" w:themeFill="background1" w:themeFillShade="BF"/>
          </w:tcPr>
          <w:p w14:paraId="52D41973" w14:textId="77777777" w:rsidR="00DC7DED" w:rsidRPr="007A4F32" w:rsidRDefault="00DC7DED" w:rsidP="00671524">
            <w:pPr>
              <w:spacing w:before="100" w:beforeAutospacing="1" w:after="100" w:afterAutospacing="1" w:line="360" w:lineRule="auto"/>
              <w:rPr>
                <w:rFonts w:asciiTheme="majorHAnsi" w:hAnsiTheme="majorHAnsi" w:cstheme="majorHAnsi"/>
                <w:color w:val="000000" w:themeColor="text1"/>
                <w:sz w:val="16"/>
                <w:szCs w:val="16"/>
              </w:rPr>
            </w:pPr>
          </w:p>
        </w:tc>
      </w:tr>
      <w:tr w:rsidR="00DC7DED" w:rsidRPr="007A4F32" w14:paraId="1FB36F1B" w14:textId="77777777" w:rsidTr="00DC7DED">
        <w:trPr>
          <w:trHeight w:val="171"/>
        </w:trPr>
        <w:tc>
          <w:tcPr>
            <w:tcW w:w="1993" w:type="dxa"/>
            <w:shd w:val="clear" w:color="auto" w:fill="BFBFBF" w:themeFill="background1" w:themeFillShade="BF"/>
          </w:tcPr>
          <w:p w14:paraId="3288BCEF" w14:textId="77777777" w:rsidR="00DC7DED" w:rsidRPr="007A4F32" w:rsidRDefault="00DC7DED" w:rsidP="00671524">
            <w:pPr>
              <w:spacing w:before="100" w:beforeAutospacing="1" w:after="100" w:afterAutospacing="1" w:line="360" w:lineRule="auto"/>
              <w:rPr>
                <w:rFonts w:asciiTheme="majorHAnsi" w:hAnsiTheme="majorHAnsi" w:cstheme="majorHAnsi"/>
                <w:color w:val="000000" w:themeColor="text1"/>
                <w:sz w:val="16"/>
                <w:szCs w:val="16"/>
              </w:rPr>
            </w:pPr>
            <w:r w:rsidRPr="007A4F32">
              <w:rPr>
                <w:rFonts w:asciiTheme="majorHAnsi" w:hAnsiTheme="majorHAnsi" w:cstheme="majorHAnsi"/>
                <w:color w:val="000000" w:themeColor="text1"/>
                <w:sz w:val="16"/>
                <w:szCs w:val="16"/>
              </w:rPr>
              <w:t>Follow-Up Study **</w:t>
            </w:r>
          </w:p>
        </w:tc>
        <w:tc>
          <w:tcPr>
            <w:tcW w:w="1090" w:type="dxa"/>
            <w:shd w:val="clear" w:color="auto" w:fill="BFBFBF" w:themeFill="background1" w:themeFillShade="BF"/>
          </w:tcPr>
          <w:p w14:paraId="42C4E56E" w14:textId="77777777" w:rsidR="00DC7DED" w:rsidRPr="007A4F32" w:rsidRDefault="00DC7DED" w:rsidP="00671524">
            <w:pPr>
              <w:spacing w:before="100" w:beforeAutospacing="1" w:after="100" w:afterAutospacing="1" w:line="360" w:lineRule="auto"/>
              <w:rPr>
                <w:rFonts w:asciiTheme="majorHAnsi" w:hAnsiTheme="majorHAnsi" w:cstheme="majorHAnsi"/>
                <w:color w:val="000000" w:themeColor="text1"/>
                <w:sz w:val="16"/>
                <w:szCs w:val="16"/>
              </w:rPr>
            </w:pPr>
          </w:p>
        </w:tc>
        <w:tc>
          <w:tcPr>
            <w:tcW w:w="1462" w:type="dxa"/>
            <w:shd w:val="clear" w:color="auto" w:fill="BFBFBF" w:themeFill="background1" w:themeFillShade="BF"/>
          </w:tcPr>
          <w:p w14:paraId="16A2872D" w14:textId="77777777" w:rsidR="00DC7DED" w:rsidRPr="007A4F32" w:rsidRDefault="00DC7DED" w:rsidP="00671524">
            <w:pPr>
              <w:spacing w:before="100" w:beforeAutospacing="1" w:after="100" w:afterAutospacing="1" w:line="360" w:lineRule="auto"/>
              <w:rPr>
                <w:rFonts w:asciiTheme="majorHAnsi" w:hAnsiTheme="majorHAnsi" w:cstheme="majorHAnsi"/>
                <w:color w:val="000000" w:themeColor="text1"/>
                <w:sz w:val="16"/>
                <w:szCs w:val="16"/>
              </w:rPr>
            </w:pPr>
          </w:p>
        </w:tc>
        <w:tc>
          <w:tcPr>
            <w:tcW w:w="1423" w:type="dxa"/>
            <w:shd w:val="clear" w:color="auto" w:fill="BFBFBF" w:themeFill="background1" w:themeFillShade="BF"/>
          </w:tcPr>
          <w:p w14:paraId="7428977F" w14:textId="77777777" w:rsidR="00DC7DED" w:rsidRPr="007A4F32" w:rsidRDefault="00DC7DED" w:rsidP="00671524">
            <w:pPr>
              <w:spacing w:before="100" w:beforeAutospacing="1" w:after="100" w:afterAutospacing="1" w:line="360" w:lineRule="auto"/>
              <w:rPr>
                <w:rFonts w:asciiTheme="majorHAnsi" w:hAnsiTheme="majorHAnsi" w:cstheme="majorHAnsi"/>
                <w:color w:val="000000" w:themeColor="text1"/>
                <w:sz w:val="16"/>
                <w:szCs w:val="16"/>
              </w:rPr>
            </w:pPr>
          </w:p>
        </w:tc>
        <w:tc>
          <w:tcPr>
            <w:tcW w:w="875" w:type="dxa"/>
            <w:shd w:val="clear" w:color="auto" w:fill="BFBFBF" w:themeFill="background1" w:themeFillShade="BF"/>
          </w:tcPr>
          <w:p w14:paraId="5448CE49" w14:textId="77777777" w:rsidR="00DC7DED" w:rsidRPr="007A4F32" w:rsidRDefault="00DC7DED" w:rsidP="00671524">
            <w:pPr>
              <w:spacing w:before="100" w:beforeAutospacing="1" w:after="100" w:afterAutospacing="1" w:line="360" w:lineRule="auto"/>
              <w:rPr>
                <w:rFonts w:asciiTheme="majorHAnsi" w:hAnsiTheme="majorHAnsi" w:cstheme="majorHAnsi"/>
                <w:color w:val="000000" w:themeColor="text1"/>
                <w:sz w:val="16"/>
                <w:szCs w:val="16"/>
              </w:rPr>
            </w:pPr>
          </w:p>
        </w:tc>
        <w:tc>
          <w:tcPr>
            <w:tcW w:w="1121" w:type="dxa"/>
            <w:shd w:val="clear" w:color="auto" w:fill="BFBFBF" w:themeFill="background1" w:themeFillShade="BF"/>
          </w:tcPr>
          <w:p w14:paraId="081E96C5" w14:textId="77777777" w:rsidR="00DC7DED" w:rsidRPr="007A4F32" w:rsidRDefault="00DC7DED" w:rsidP="00671524">
            <w:pPr>
              <w:spacing w:before="100" w:beforeAutospacing="1" w:after="100" w:afterAutospacing="1" w:line="360" w:lineRule="auto"/>
              <w:rPr>
                <w:rFonts w:asciiTheme="majorHAnsi" w:hAnsiTheme="majorHAnsi" w:cstheme="majorHAnsi"/>
                <w:color w:val="000000" w:themeColor="text1"/>
                <w:sz w:val="16"/>
                <w:szCs w:val="16"/>
              </w:rPr>
            </w:pPr>
          </w:p>
        </w:tc>
        <w:tc>
          <w:tcPr>
            <w:tcW w:w="1042" w:type="dxa"/>
            <w:shd w:val="clear" w:color="auto" w:fill="BFBFBF" w:themeFill="background1" w:themeFillShade="BF"/>
          </w:tcPr>
          <w:p w14:paraId="188ACBA6" w14:textId="77777777" w:rsidR="00DC7DED" w:rsidRPr="007A4F32" w:rsidRDefault="00DC7DED" w:rsidP="00671524">
            <w:pPr>
              <w:spacing w:before="100" w:beforeAutospacing="1" w:after="100" w:afterAutospacing="1" w:line="360" w:lineRule="auto"/>
              <w:rPr>
                <w:rFonts w:asciiTheme="majorHAnsi" w:hAnsiTheme="majorHAnsi" w:cstheme="majorHAnsi"/>
                <w:color w:val="000000" w:themeColor="text1"/>
                <w:sz w:val="16"/>
                <w:szCs w:val="16"/>
              </w:rPr>
            </w:pPr>
          </w:p>
        </w:tc>
      </w:tr>
      <w:tr w:rsidR="00DC7DED" w:rsidRPr="007A4F32" w14:paraId="245DE3C9" w14:textId="77777777" w:rsidTr="00DC7DED">
        <w:trPr>
          <w:trHeight w:val="68"/>
        </w:trPr>
        <w:tc>
          <w:tcPr>
            <w:tcW w:w="1993" w:type="dxa"/>
          </w:tcPr>
          <w:p w14:paraId="41BA2371" w14:textId="77777777" w:rsidR="00DC7DED" w:rsidRPr="007A4F32" w:rsidRDefault="00DC7DED" w:rsidP="00671524">
            <w:pPr>
              <w:spacing w:before="100" w:beforeAutospacing="1" w:after="100" w:afterAutospacing="1" w:line="360" w:lineRule="auto"/>
              <w:rPr>
                <w:rFonts w:asciiTheme="majorHAnsi" w:hAnsiTheme="majorHAnsi" w:cstheme="majorHAnsi"/>
                <w:color w:val="000000" w:themeColor="text1"/>
                <w:sz w:val="16"/>
                <w:szCs w:val="16"/>
              </w:rPr>
            </w:pPr>
            <w:r w:rsidRPr="007A4F32">
              <w:rPr>
                <w:rFonts w:asciiTheme="majorHAnsi" w:hAnsiTheme="majorHAnsi" w:cstheme="majorHAnsi"/>
                <w:color w:val="000000" w:themeColor="text1"/>
                <w:sz w:val="16"/>
                <w:szCs w:val="16"/>
              </w:rPr>
              <w:t>PSHs (n=11)</w:t>
            </w:r>
          </w:p>
        </w:tc>
        <w:tc>
          <w:tcPr>
            <w:tcW w:w="1090" w:type="dxa"/>
          </w:tcPr>
          <w:p w14:paraId="1CEE8E94" w14:textId="77777777" w:rsidR="00DC7DED" w:rsidRPr="007A4F32" w:rsidRDefault="005B4006" w:rsidP="00671524">
            <w:pPr>
              <w:spacing w:before="100" w:beforeAutospacing="1" w:after="100" w:afterAutospacing="1" w:line="360" w:lineRule="auto"/>
              <w:rPr>
                <w:rFonts w:asciiTheme="majorHAnsi" w:hAnsiTheme="majorHAnsi" w:cstheme="majorHAnsi"/>
                <w:color w:val="000000" w:themeColor="text1"/>
                <w:sz w:val="16"/>
                <w:szCs w:val="16"/>
              </w:rPr>
            </w:pPr>
            <w:r>
              <w:rPr>
                <w:rFonts w:asciiTheme="majorHAnsi" w:hAnsiTheme="majorHAnsi" w:cstheme="majorHAnsi"/>
                <w:color w:val="000000" w:themeColor="text1"/>
                <w:sz w:val="16"/>
                <w:szCs w:val="16"/>
              </w:rPr>
              <w:t>33%</w:t>
            </w:r>
          </w:p>
        </w:tc>
        <w:tc>
          <w:tcPr>
            <w:tcW w:w="1462" w:type="dxa"/>
          </w:tcPr>
          <w:p w14:paraId="06E08628" w14:textId="77777777" w:rsidR="00DC7DED" w:rsidRPr="007A4F32" w:rsidRDefault="005B4006" w:rsidP="00671524">
            <w:pPr>
              <w:spacing w:before="100" w:beforeAutospacing="1" w:after="100" w:afterAutospacing="1" w:line="360" w:lineRule="auto"/>
              <w:rPr>
                <w:rFonts w:asciiTheme="majorHAnsi" w:hAnsiTheme="majorHAnsi" w:cstheme="majorHAnsi"/>
                <w:color w:val="000000" w:themeColor="text1"/>
                <w:sz w:val="16"/>
                <w:szCs w:val="16"/>
              </w:rPr>
            </w:pPr>
            <w:r>
              <w:rPr>
                <w:rFonts w:asciiTheme="majorHAnsi" w:hAnsiTheme="majorHAnsi" w:cstheme="majorHAnsi"/>
                <w:color w:val="000000" w:themeColor="text1"/>
                <w:sz w:val="16"/>
                <w:szCs w:val="16"/>
              </w:rPr>
              <w:t>17%</w:t>
            </w:r>
          </w:p>
        </w:tc>
        <w:tc>
          <w:tcPr>
            <w:tcW w:w="1423" w:type="dxa"/>
          </w:tcPr>
          <w:p w14:paraId="6E875D75" w14:textId="77777777" w:rsidR="00DC7DED" w:rsidRPr="007A4F32" w:rsidRDefault="005B4006" w:rsidP="00671524">
            <w:pPr>
              <w:spacing w:before="100" w:beforeAutospacing="1" w:after="100" w:afterAutospacing="1" w:line="360" w:lineRule="auto"/>
              <w:rPr>
                <w:rFonts w:asciiTheme="majorHAnsi" w:hAnsiTheme="majorHAnsi" w:cstheme="majorHAnsi"/>
                <w:color w:val="000000" w:themeColor="text1"/>
                <w:sz w:val="16"/>
                <w:szCs w:val="16"/>
              </w:rPr>
            </w:pPr>
            <w:r>
              <w:rPr>
                <w:rFonts w:asciiTheme="majorHAnsi" w:hAnsiTheme="majorHAnsi" w:cstheme="majorHAnsi"/>
                <w:color w:val="000000" w:themeColor="text1"/>
                <w:sz w:val="16"/>
                <w:szCs w:val="16"/>
              </w:rPr>
              <w:t>25%</w:t>
            </w:r>
          </w:p>
        </w:tc>
        <w:tc>
          <w:tcPr>
            <w:tcW w:w="875" w:type="dxa"/>
          </w:tcPr>
          <w:p w14:paraId="5A1942CB" w14:textId="77777777" w:rsidR="00DC7DED" w:rsidRPr="007A4F32" w:rsidRDefault="005B4006" w:rsidP="00671524">
            <w:pPr>
              <w:spacing w:before="100" w:beforeAutospacing="1" w:after="100" w:afterAutospacing="1" w:line="360" w:lineRule="auto"/>
              <w:rPr>
                <w:rFonts w:asciiTheme="majorHAnsi" w:hAnsiTheme="majorHAnsi" w:cstheme="majorHAnsi"/>
                <w:color w:val="000000" w:themeColor="text1"/>
                <w:sz w:val="16"/>
                <w:szCs w:val="16"/>
              </w:rPr>
            </w:pPr>
            <w:r>
              <w:rPr>
                <w:rFonts w:asciiTheme="majorHAnsi" w:hAnsiTheme="majorHAnsi" w:cstheme="majorHAnsi"/>
                <w:color w:val="000000" w:themeColor="text1"/>
                <w:sz w:val="16"/>
                <w:szCs w:val="16"/>
              </w:rPr>
              <w:t>17%</w:t>
            </w:r>
          </w:p>
        </w:tc>
        <w:tc>
          <w:tcPr>
            <w:tcW w:w="1121" w:type="dxa"/>
          </w:tcPr>
          <w:p w14:paraId="1624582A" w14:textId="77777777" w:rsidR="00DC7DED" w:rsidRPr="007A4F32" w:rsidRDefault="005B4006" w:rsidP="00671524">
            <w:pPr>
              <w:spacing w:before="100" w:beforeAutospacing="1" w:after="100" w:afterAutospacing="1" w:line="360" w:lineRule="auto"/>
              <w:rPr>
                <w:rFonts w:asciiTheme="majorHAnsi" w:hAnsiTheme="majorHAnsi" w:cstheme="majorHAnsi"/>
                <w:color w:val="000000" w:themeColor="text1"/>
                <w:sz w:val="16"/>
                <w:szCs w:val="16"/>
              </w:rPr>
            </w:pPr>
            <w:r>
              <w:rPr>
                <w:rFonts w:asciiTheme="majorHAnsi" w:hAnsiTheme="majorHAnsi" w:cstheme="majorHAnsi"/>
                <w:color w:val="000000" w:themeColor="text1"/>
                <w:sz w:val="16"/>
                <w:szCs w:val="16"/>
              </w:rPr>
              <w:t>42%</w:t>
            </w:r>
          </w:p>
        </w:tc>
        <w:tc>
          <w:tcPr>
            <w:tcW w:w="1042" w:type="dxa"/>
          </w:tcPr>
          <w:p w14:paraId="0B5704C0" w14:textId="77777777" w:rsidR="00DC7DED" w:rsidRPr="007A4F32" w:rsidRDefault="005B4006" w:rsidP="00671524">
            <w:pPr>
              <w:spacing w:before="100" w:beforeAutospacing="1" w:after="100" w:afterAutospacing="1" w:line="360" w:lineRule="auto"/>
              <w:rPr>
                <w:rFonts w:asciiTheme="majorHAnsi" w:hAnsiTheme="majorHAnsi" w:cstheme="majorHAnsi"/>
                <w:color w:val="000000" w:themeColor="text1"/>
                <w:sz w:val="16"/>
                <w:szCs w:val="16"/>
              </w:rPr>
            </w:pPr>
            <w:r>
              <w:rPr>
                <w:rFonts w:asciiTheme="majorHAnsi" w:hAnsiTheme="majorHAnsi" w:cstheme="majorHAnsi"/>
                <w:color w:val="000000" w:themeColor="text1"/>
                <w:sz w:val="16"/>
                <w:szCs w:val="16"/>
              </w:rPr>
              <w:t>8%</w:t>
            </w:r>
          </w:p>
        </w:tc>
      </w:tr>
      <w:tr w:rsidR="00DC7DED" w:rsidRPr="007A4F32" w14:paraId="0EB6CB87" w14:textId="77777777" w:rsidTr="00DC7DED">
        <w:trPr>
          <w:trHeight w:val="38"/>
        </w:trPr>
        <w:tc>
          <w:tcPr>
            <w:tcW w:w="1993" w:type="dxa"/>
          </w:tcPr>
          <w:p w14:paraId="40F86C0A" w14:textId="77777777" w:rsidR="00DC7DED" w:rsidRPr="007A4F32" w:rsidRDefault="00DC7DED" w:rsidP="00671524">
            <w:pPr>
              <w:spacing w:before="100" w:beforeAutospacing="1" w:after="100" w:afterAutospacing="1" w:line="360" w:lineRule="auto"/>
              <w:rPr>
                <w:rFonts w:asciiTheme="majorHAnsi" w:hAnsiTheme="majorHAnsi" w:cstheme="majorHAnsi"/>
                <w:color w:val="000000" w:themeColor="text1"/>
                <w:sz w:val="16"/>
                <w:szCs w:val="16"/>
              </w:rPr>
            </w:pPr>
            <w:r w:rsidRPr="007A4F32">
              <w:rPr>
                <w:rFonts w:asciiTheme="majorHAnsi" w:hAnsiTheme="majorHAnsi" w:cstheme="majorHAnsi"/>
                <w:color w:val="000000" w:themeColor="text1"/>
                <w:sz w:val="16"/>
                <w:szCs w:val="16"/>
              </w:rPr>
              <w:t>Teachers (n=61)</w:t>
            </w:r>
          </w:p>
        </w:tc>
        <w:tc>
          <w:tcPr>
            <w:tcW w:w="1090" w:type="dxa"/>
          </w:tcPr>
          <w:p w14:paraId="15558331" w14:textId="77777777" w:rsidR="00DC7DED" w:rsidRPr="007A4F32" w:rsidRDefault="005B4006" w:rsidP="00671524">
            <w:pPr>
              <w:spacing w:before="100" w:beforeAutospacing="1" w:after="100" w:afterAutospacing="1" w:line="360" w:lineRule="auto"/>
              <w:rPr>
                <w:rFonts w:asciiTheme="majorHAnsi" w:hAnsiTheme="majorHAnsi" w:cstheme="majorHAnsi"/>
                <w:color w:val="000000" w:themeColor="text1"/>
                <w:sz w:val="16"/>
                <w:szCs w:val="16"/>
              </w:rPr>
            </w:pPr>
            <w:r>
              <w:rPr>
                <w:rFonts w:asciiTheme="majorHAnsi" w:hAnsiTheme="majorHAnsi" w:cstheme="majorHAnsi"/>
                <w:color w:val="000000" w:themeColor="text1"/>
                <w:sz w:val="16"/>
                <w:szCs w:val="16"/>
              </w:rPr>
              <w:t>7%</w:t>
            </w:r>
          </w:p>
        </w:tc>
        <w:tc>
          <w:tcPr>
            <w:tcW w:w="1462" w:type="dxa"/>
          </w:tcPr>
          <w:p w14:paraId="0C96B430" w14:textId="77777777" w:rsidR="00DC7DED" w:rsidRPr="007A4F32" w:rsidRDefault="005B4006" w:rsidP="00671524">
            <w:pPr>
              <w:spacing w:before="100" w:beforeAutospacing="1" w:after="100" w:afterAutospacing="1" w:line="360" w:lineRule="auto"/>
              <w:rPr>
                <w:rFonts w:asciiTheme="majorHAnsi" w:hAnsiTheme="majorHAnsi" w:cstheme="majorHAnsi"/>
                <w:color w:val="000000" w:themeColor="text1"/>
                <w:sz w:val="16"/>
                <w:szCs w:val="16"/>
              </w:rPr>
            </w:pPr>
            <w:r>
              <w:rPr>
                <w:rFonts w:asciiTheme="majorHAnsi" w:hAnsiTheme="majorHAnsi" w:cstheme="majorHAnsi"/>
                <w:color w:val="000000" w:themeColor="text1"/>
                <w:sz w:val="16"/>
                <w:szCs w:val="16"/>
              </w:rPr>
              <w:t>25%</w:t>
            </w:r>
          </w:p>
        </w:tc>
        <w:tc>
          <w:tcPr>
            <w:tcW w:w="1423" w:type="dxa"/>
          </w:tcPr>
          <w:p w14:paraId="0C8B508F" w14:textId="77777777" w:rsidR="00DC7DED" w:rsidRPr="007A4F32" w:rsidRDefault="005B4006" w:rsidP="00671524">
            <w:pPr>
              <w:spacing w:before="100" w:beforeAutospacing="1" w:after="100" w:afterAutospacing="1" w:line="360" w:lineRule="auto"/>
              <w:rPr>
                <w:rFonts w:asciiTheme="majorHAnsi" w:hAnsiTheme="majorHAnsi" w:cstheme="majorHAnsi"/>
                <w:color w:val="000000" w:themeColor="text1"/>
                <w:sz w:val="16"/>
                <w:szCs w:val="16"/>
              </w:rPr>
            </w:pPr>
            <w:r>
              <w:rPr>
                <w:rFonts w:asciiTheme="majorHAnsi" w:hAnsiTheme="majorHAnsi" w:cstheme="majorHAnsi"/>
                <w:color w:val="000000" w:themeColor="text1"/>
                <w:sz w:val="16"/>
                <w:szCs w:val="16"/>
              </w:rPr>
              <w:t>7%</w:t>
            </w:r>
          </w:p>
        </w:tc>
        <w:tc>
          <w:tcPr>
            <w:tcW w:w="875" w:type="dxa"/>
          </w:tcPr>
          <w:p w14:paraId="579E3D7D" w14:textId="77777777" w:rsidR="00DC7DED" w:rsidRPr="007A4F32" w:rsidRDefault="005B4006" w:rsidP="00671524">
            <w:pPr>
              <w:spacing w:before="100" w:beforeAutospacing="1" w:after="100" w:afterAutospacing="1" w:line="360" w:lineRule="auto"/>
              <w:rPr>
                <w:rFonts w:asciiTheme="majorHAnsi" w:hAnsiTheme="majorHAnsi" w:cstheme="majorHAnsi"/>
                <w:color w:val="000000" w:themeColor="text1"/>
                <w:sz w:val="16"/>
                <w:szCs w:val="16"/>
              </w:rPr>
            </w:pPr>
            <w:r>
              <w:rPr>
                <w:rFonts w:asciiTheme="majorHAnsi" w:hAnsiTheme="majorHAnsi" w:cstheme="majorHAnsi"/>
                <w:color w:val="000000" w:themeColor="text1"/>
                <w:sz w:val="16"/>
                <w:szCs w:val="16"/>
              </w:rPr>
              <w:t>26%</w:t>
            </w:r>
          </w:p>
        </w:tc>
        <w:tc>
          <w:tcPr>
            <w:tcW w:w="1121" w:type="dxa"/>
          </w:tcPr>
          <w:p w14:paraId="6CA9BF72" w14:textId="77777777" w:rsidR="00DC7DED" w:rsidRPr="007A4F32" w:rsidRDefault="005B4006" w:rsidP="00671524">
            <w:pPr>
              <w:spacing w:before="100" w:beforeAutospacing="1" w:after="100" w:afterAutospacing="1" w:line="360" w:lineRule="auto"/>
              <w:rPr>
                <w:rFonts w:asciiTheme="majorHAnsi" w:hAnsiTheme="majorHAnsi" w:cstheme="majorHAnsi"/>
                <w:color w:val="000000" w:themeColor="text1"/>
                <w:sz w:val="16"/>
                <w:szCs w:val="16"/>
              </w:rPr>
            </w:pPr>
            <w:r>
              <w:rPr>
                <w:rFonts w:asciiTheme="majorHAnsi" w:hAnsiTheme="majorHAnsi" w:cstheme="majorHAnsi"/>
                <w:color w:val="000000" w:themeColor="text1"/>
                <w:sz w:val="16"/>
                <w:szCs w:val="16"/>
              </w:rPr>
              <w:t>5%</w:t>
            </w:r>
          </w:p>
        </w:tc>
        <w:tc>
          <w:tcPr>
            <w:tcW w:w="1042" w:type="dxa"/>
          </w:tcPr>
          <w:p w14:paraId="47226CDA" w14:textId="77777777" w:rsidR="00DC7DED" w:rsidRPr="007A4F32" w:rsidRDefault="005B4006" w:rsidP="00671524">
            <w:pPr>
              <w:spacing w:before="100" w:beforeAutospacing="1" w:after="100" w:afterAutospacing="1" w:line="360" w:lineRule="auto"/>
              <w:rPr>
                <w:rFonts w:asciiTheme="majorHAnsi" w:hAnsiTheme="majorHAnsi" w:cstheme="majorHAnsi"/>
                <w:color w:val="000000" w:themeColor="text1"/>
                <w:sz w:val="16"/>
                <w:szCs w:val="16"/>
              </w:rPr>
            </w:pPr>
            <w:r>
              <w:rPr>
                <w:rFonts w:asciiTheme="majorHAnsi" w:hAnsiTheme="majorHAnsi" w:cstheme="majorHAnsi"/>
                <w:color w:val="000000" w:themeColor="text1"/>
                <w:sz w:val="16"/>
                <w:szCs w:val="16"/>
              </w:rPr>
              <w:t>26%</w:t>
            </w:r>
          </w:p>
        </w:tc>
      </w:tr>
    </w:tbl>
    <w:p w14:paraId="15AAB5D7" w14:textId="77777777" w:rsidR="005B4006" w:rsidRPr="005B4006" w:rsidRDefault="005B4006" w:rsidP="00671524">
      <w:pPr>
        <w:spacing w:before="100" w:beforeAutospacing="1" w:after="100" w:afterAutospacing="1" w:line="360" w:lineRule="auto"/>
        <w:rPr>
          <w:rFonts w:asciiTheme="majorHAnsi" w:eastAsiaTheme="minorHAnsi" w:hAnsiTheme="majorHAnsi" w:cstheme="majorHAnsi"/>
          <w:color w:val="000000" w:themeColor="text1"/>
          <w:sz w:val="14"/>
          <w:szCs w:val="14"/>
        </w:rPr>
      </w:pPr>
      <w:r w:rsidRPr="005B4006">
        <w:rPr>
          <w:rFonts w:asciiTheme="majorHAnsi" w:eastAsiaTheme="minorHAnsi" w:hAnsiTheme="majorHAnsi" w:cstheme="majorHAnsi"/>
          <w:color w:val="000000" w:themeColor="text1"/>
          <w:sz w:val="14"/>
          <w:szCs w:val="14"/>
        </w:rPr>
        <w:t>*2019 KAU Survey **2020 KAU Survey</w:t>
      </w:r>
    </w:p>
    <w:p w14:paraId="07987CCE" w14:textId="7D4E5DF6" w:rsidR="006B224B" w:rsidRDefault="008D0CAD" w:rsidP="00671524">
      <w:pPr>
        <w:spacing w:before="100" w:beforeAutospacing="1" w:after="100" w:afterAutospacing="1" w:line="360" w:lineRule="auto"/>
        <w:rPr>
          <w:rFonts w:asciiTheme="majorHAnsi" w:hAnsiTheme="majorHAnsi" w:cstheme="majorHAnsi"/>
          <w:i/>
          <w:iCs/>
          <w:sz w:val="14"/>
          <w:szCs w:val="14"/>
        </w:rPr>
      </w:pPr>
      <w:r w:rsidRPr="005B4006">
        <w:rPr>
          <w:rFonts w:asciiTheme="majorHAnsi" w:hAnsiTheme="majorHAnsi" w:cstheme="majorHAnsi"/>
          <w:i/>
          <w:iCs/>
          <w:sz w:val="14"/>
          <w:szCs w:val="14"/>
        </w:rPr>
        <w:t>*Teachers were not asked about the Continuous Improvement Guidebook in 2019</w:t>
      </w:r>
      <w:bookmarkStart w:id="164" w:name="_Toc12712002"/>
      <w:bookmarkStart w:id="165" w:name="_Toc13216293"/>
    </w:p>
    <w:p w14:paraId="3AB4E52A" w14:textId="24C2FBB4" w:rsidR="008D0CAD" w:rsidRPr="006B224B" w:rsidRDefault="008D0CAD" w:rsidP="0084650C">
      <w:pPr>
        <w:pStyle w:val="Heading6"/>
        <w:rPr>
          <w:rFonts w:eastAsiaTheme="minorHAnsi"/>
          <w:sz w:val="22"/>
          <w:szCs w:val="22"/>
        </w:rPr>
      </w:pPr>
      <w:r>
        <w:t xml:space="preserve">Systemic </w:t>
      </w:r>
      <w:r w:rsidRPr="006B224B">
        <w:t>Reforms</w:t>
      </w:r>
      <w:r w:rsidR="00D434EB">
        <w:t xml:space="preserve"> </w:t>
      </w:r>
      <w:r>
        <w:t xml:space="preserve"> </w:t>
      </w:r>
    </w:p>
    <w:p w14:paraId="48C84DB4" w14:textId="673EDD96" w:rsidR="008D0CAD" w:rsidRDefault="008D0CAD" w:rsidP="00671524">
      <w:pPr>
        <w:spacing w:before="100" w:beforeAutospacing="1" w:after="100" w:afterAutospacing="1" w:line="360" w:lineRule="auto"/>
        <w:contextualSpacing/>
        <w:rPr>
          <w:rFonts w:asciiTheme="majorHAnsi" w:hAnsiTheme="majorHAnsi" w:cstheme="majorHAnsi"/>
          <w:bCs/>
          <w:color w:val="000000" w:themeColor="text1"/>
        </w:rPr>
      </w:pPr>
      <w:r>
        <w:rPr>
          <w:rFonts w:asciiTheme="majorHAnsi" w:hAnsiTheme="majorHAnsi" w:cstheme="majorHAnsi"/>
          <w:bCs/>
          <w:color w:val="000000" w:themeColor="text1"/>
        </w:rPr>
        <w:t>The EOPE Study added an analytical framework focused on examining the efficacy of Program interventions in sustaining systemic reforms.</w:t>
      </w:r>
      <w:r w:rsidR="00D434EB">
        <w:rPr>
          <w:rFonts w:asciiTheme="majorHAnsi" w:hAnsiTheme="majorHAnsi" w:cstheme="majorHAnsi"/>
          <w:bCs/>
          <w:color w:val="000000" w:themeColor="text1"/>
        </w:rPr>
        <w:t xml:space="preserve"> </w:t>
      </w:r>
      <w:r>
        <w:rPr>
          <w:rFonts w:asciiTheme="majorHAnsi" w:hAnsiTheme="majorHAnsi" w:cstheme="majorHAnsi"/>
          <w:bCs/>
          <w:color w:val="000000" w:themeColor="text1"/>
        </w:rPr>
        <w:t xml:space="preserve">It is encapsulated in the hypothesis that increased </w:t>
      </w:r>
      <w:r w:rsidRPr="00487AFA">
        <w:rPr>
          <w:rFonts w:asciiTheme="majorHAnsi" w:hAnsiTheme="majorHAnsi" w:cstheme="majorHAnsi"/>
          <w:color w:val="000000" w:themeColor="text1"/>
        </w:rPr>
        <w:t>knowledge,</w:t>
      </w:r>
      <w:r>
        <w:rPr>
          <w:rFonts w:asciiTheme="majorHAnsi" w:hAnsiTheme="majorHAnsi" w:cstheme="majorHAnsi"/>
          <w:bCs/>
          <w:color w:val="000000" w:themeColor="text1"/>
        </w:rPr>
        <w:t xml:space="preserve"> clear </w:t>
      </w:r>
      <w:r w:rsidRPr="00487AFA">
        <w:rPr>
          <w:rFonts w:asciiTheme="majorHAnsi" w:hAnsiTheme="majorHAnsi" w:cstheme="majorHAnsi"/>
          <w:color w:val="000000" w:themeColor="text1"/>
        </w:rPr>
        <w:t>mechanisms</w:t>
      </w:r>
      <w:r>
        <w:rPr>
          <w:rFonts w:asciiTheme="majorHAnsi" w:hAnsiTheme="majorHAnsi" w:cstheme="majorHAnsi"/>
          <w:bCs/>
          <w:color w:val="000000" w:themeColor="text1"/>
        </w:rPr>
        <w:t xml:space="preserve"> and widespread </w:t>
      </w:r>
      <w:r w:rsidRPr="00487AFA">
        <w:rPr>
          <w:rFonts w:asciiTheme="majorHAnsi" w:hAnsiTheme="majorHAnsi" w:cstheme="majorHAnsi"/>
          <w:color w:val="000000" w:themeColor="text1"/>
        </w:rPr>
        <w:t>acceptability</w:t>
      </w:r>
      <w:r>
        <w:rPr>
          <w:rFonts w:asciiTheme="majorHAnsi" w:hAnsiTheme="majorHAnsi" w:cstheme="majorHAnsi"/>
          <w:bCs/>
          <w:color w:val="000000" w:themeColor="text1"/>
        </w:rPr>
        <w:t xml:space="preserve"> lead to increased </w:t>
      </w:r>
      <w:r w:rsidRPr="00487AFA">
        <w:rPr>
          <w:rFonts w:asciiTheme="majorHAnsi" w:hAnsiTheme="majorHAnsi" w:cstheme="majorHAnsi"/>
          <w:color w:val="000000" w:themeColor="text1"/>
        </w:rPr>
        <w:t>practices</w:t>
      </w:r>
      <w:r>
        <w:rPr>
          <w:rFonts w:asciiTheme="majorHAnsi" w:hAnsiTheme="majorHAnsi" w:cstheme="majorHAnsi"/>
          <w:bCs/>
          <w:color w:val="000000" w:themeColor="text1"/>
        </w:rPr>
        <w:t xml:space="preserve"> (i.e., changes in behavior) and in turn increased practices lead to </w:t>
      </w:r>
      <w:r w:rsidRPr="00487AFA">
        <w:rPr>
          <w:rFonts w:asciiTheme="majorHAnsi" w:hAnsiTheme="majorHAnsi" w:cstheme="majorHAnsi"/>
          <w:color w:val="000000" w:themeColor="text1"/>
        </w:rPr>
        <w:t>sustainability</w:t>
      </w:r>
      <w:r>
        <w:rPr>
          <w:rFonts w:asciiTheme="majorHAnsi" w:hAnsiTheme="majorHAnsi" w:cstheme="majorHAnsi"/>
          <w:bCs/>
          <w:color w:val="000000" w:themeColor="text1"/>
        </w:rPr>
        <w:t xml:space="preserve"> of program gains. </w:t>
      </w:r>
    </w:p>
    <w:p w14:paraId="4759DD3D" w14:textId="77777777" w:rsidR="008D0CAD" w:rsidRPr="00CE64E1" w:rsidRDefault="008D0CAD" w:rsidP="00671524">
      <w:pPr>
        <w:spacing w:before="100" w:beforeAutospacing="1" w:after="100" w:afterAutospacing="1" w:line="360" w:lineRule="auto"/>
        <w:contextualSpacing/>
        <w:rPr>
          <w:rFonts w:asciiTheme="majorHAnsi" w:hAnsiTheme="majorHAnsi" w:cstheme="majorHAnsi"/>
          <w:bCs/>
          <w:color w:val="C00000"/>
        </w:rPr>
      </w:pPr>
      <w:r>
        <w:rPr>
          <w:rFonts w:asciiTheme="majorHAnsi" w:hAnsiTheme="majorHAnsi" w:cstheme="majorHAnsi"/>
          <w:color w:val="000000"/>
        </w:rPr>
        <w:t>While</w:t>
      </w:r>
      <w:r w:rsidRPr="00CE64E1">
        <w:rPr>
          <w:rFonts w:asciiTheme="majorHAnsi" w:hAnsiTheme="majorHAnsi" w:cstheme="majorHAnsi"/>
          <w:color w:val="000000"/>
        </w:rPr>
        <w:t xml:space="preserve"> there were 10 program interventions </w:t>
      </w:r>
      <w:r>
        <w:rPr>
          <w:rFonts w:asciiTheme="majorHAnsi" w:hAnsiTheme="majorHAnsi" w:cstheme="majorHAnsi"/>
          <w:color w:val="000000"/>
        </w:rPr>
        <w:t>being examined under</w:t>
      </w:r>
      <w:r w:rsidRPr="00CE64E1">
        <w:rPr>
          <w:rFonts w:asciiTheme="majorHAnsi" w:hAnsiTheme="majorHAnsi" w:cstheme="majorHAnsi"/>
          <w:color w:val="000000"/>
        </w:rPr>
        <w:t xml:space="preserve"> in the EO</w:t>
      </w:r>
      <w:r>
        <w:rPr>
          <w:rFonts w:asciiTheme="majorHAnsi" w:hAnsiTheme="majorHAnsi" w:cstheme="majorHAnsi"/>
          <w:color w:val="000000"/>
        </w:rPr>
        <w:t>PE Study</w:t>
      </w:r>
      <w:r w:rsidRPr="00CE64E1">
        <w:rPr>
          <w:rFonts w:asciiTheme="majorHAnsi" w:hAnsiTheme="majorHAnsi" w:cstheme="majorHAnsi"/>
          <w:color w:val="000000"/>
        </w:rPr>
        <w:t>, only six of these involved system</w:t>
      </w:r>
      <w:r>
        <w:rPr>
          <w:rFonts w:asciiTheme="majorHAnsi" w:hAnsiTheme="majorHAnsi" w:cstheme="majorHAnsi"/>
          <w:color w:val="000000"/>
        </w:rPr>
        <w:t>s</w:t>
      </w:r>
      <w:r w:rsidRPr="00CE64E1">
        <w:rPr>
          <w:rFonts w:asciiTheme="majorHAnsi" w:hAnsiTheme="majorHAnsi" w:cstheme="majorHAnsi"/>
          <w:color w:val="000000"/>
        </w:rPr>
        <w:t xml:space="preserve">. </w:t>
      </w:r>
      <w:r w:rsidRPr="00CE64E1">
        <w:rPr>
          <w:rFonts w:asciiTheme="majorHAnsi" w:hAnsiTheme="majorHAnsi" w:cstheme="majorHAnsi"/>
        </w:rPr>
        <w:t>The EOPE Study applied th</w:t>
      </w:r>
      <w:r>
        <w:rPr>
          <w:rFonts w:asciiTheme="majorHAnsi" w:hAnsiTheme="majorHAnsi" w:cstheme="majorHAnsi"/>
        </w:rPr>
        <w:t>e</w:t>
      </w:r>
      <w:r w:rsidRPr="00CE64E1">
        <w:rPr>
          <w:rFonts w:asciiTheme="majorHAnsi" w:hAnsiTheme="majorHAnsi" w:cstheme="majorHAnsi"/>
        </w:rPr>
        <w:t xml:space="preserve"> analytical framework to five system</w:t>
      </w:r>
      <w:r>
        <w:rPr>
          <w:rFonts w:asciiTheme="majorHAnsi" w:hAnsiTheme="majorHAnsi" w:cstheme="majorHAnsi"/>
        </w:rPr>
        <w:t>ic reforms supported by the BEST Program</w:t>
      </w:r>
      <w:r w:rsidRPr="00CE64E1">
        <w:rPr>
          <w:rFonts w:asciiTheme="majorHAnsi" w:hAnsiTheme="majorHAnsi" w:cstheme="majorHAnsi"/>
        </w:rPr>
        <w:t xml:space="preserve"> </w:t>
      </w:r>
      <w:r>
        <w:rPr>
          <w:rFonts w:asciiTheme="majorHAnsi" w:hAnsiTheme="majorHAnsi" w:cstheme="majorHAnsi"/>
        </w:rPr>
        <w:t>namely</w:t>
      </w:r>
      <w:r w:rsidRPr="00CE64E1">
        <w:rPr>
          <w:rFonts w:asciiTheme="majorHAnsi" w:hAnsiTheme="majorHAnsi" w:cstheme="majorHAnsi"/>
        </w:rPr>
        <w:t xml:space="preserve"> </w:t>
      </w:r>
      <w:r>
        <w:rPr>
          <w:rFonts w:asciiTheme="majorHAnsi" w:hAnsiTheme="majorHAnsi" w:cstheme="majorHAnsi"/>
        </w:rPr>
        <w:t xml:space="preserve">the: </w:t>
      </w:r>
      <w:r w:rsidRPr="00CE64E1">
        <w:rPr>
          <w:rFonts w:asciiTheme="majorHAnsi" w:hAnsiTheme="majorHAnsi" w:cstheme="majorHAnsi"/>
        </w:rPr>
        <w:t>L&amp;D System</w:t>
      </w:r>
      <w:r>
        <w:rPr>
          <w:rFonts w:asciiTheme="majorHAnsi" w:hAnsiTheme="majorHAnsi" w:cstheme="majorHAnsi"/>
        </w:rPr>
        <w:t>;</w:t>
      </w:r>
      <w:r w:rsidRPr="00CE64E1">
        <w:rPr>
          <w:rFonts w:asciiTheme="majorHAnsi" w:hAnsiTheme="majorHAnsi" w:cstheme="majorHAnsi"/>
        </w:rPr>
        <w:t xml:space="preserve"> PPMES</w:t>
      </w:r>
      <w:r>
        <w:rPr>
          <w:rFonts w:asciiTheme="majorHAnsi" w:hAnsiTheme="majorHAnsi" w:cstheme="majorHAnsi"/>
        </w:rPr>
        <w:t>;</w:t>
      </w:r>
      <w:r w:rsidRPr="00CE64E1">
        <w:rPr>
          <w:rFonts w:asciiTheme="majorHAnsi" w:hAnsiTheme="majorHAnsi" w:cstheme="majorHAnsi"/>
        </w:rPr>
        <w:t xml:space="preserve"> UISS</w:t>
      </w:r>
      <w:r>
        <w:rPr>
          <w:rFonts w:asciiTheme="majorHAnsi" w:hAnsiTheme="majorHAnsi" w:cstheme="majorHAnsi"/>
        </w:rPr>
        <w:t>;</w:t>
      </w:r>
      <w:r w:rsidRPr="00CE64E1">
        <w:rPr>
          <w:rFonts w:asciiTheme="majorHAnsi" w:hAnsiTheme="majorHAnsi" w:cstheme="majorHAnsi"/>
        </w:rPr>
        <w:t xml:space="preserve"> SBM</w:t>
      </w:r>
      <w:r>
        <w:rPr>
          <w:rFonts w:asciiTheme="majorHAnsi" w:hAnsiTheme="majorHAnsi" w:cstheme="majorHAnsi"/>
        </w:rPr>
        <w:t>;</w:t>
      </w:r>
      <w:r w:rsidRPr="00CE64E1">
        <w:rPr>
          <w:rFonts w:asciiTheme="majorHAnsi" w:hAnsiTheme="majorHAnsi" w:cstheme="majorHAnsi"/>
        </w:rPr>
        <w:t xml:space="preserve"> and PPST-aligned RPMS. </w:t>
      </w:r>
    </w:p>
    <w:p w14:paraId="5D8947BF" w14:textId="77777777" w:rsidR="008D0CAD" w:rsidRDefault="008D0CAD" w:rsidP="00671524">
      <w:pPr>
        <w:spacing w:before="100" w:beforeAutospacing="1" w:after="100" w:afterAutospacing="1" w:line="360" w:lineRule="auto"/>
        <w:contextualSpacing/>
        <w:rPr>
          <w:rFonts w:asciiTheme="majorHAnsi" w:hAnsiTheme="majorHAnsi" w:cstheme="majorHAnsi"/>
          <w:bCs/>
          <w:color w:val="000000" w:themeColor="text1"/>
        </w:rPr>
      </w:pPr>
      <w:r>
        <w:rPr>
          <w:rFonts w:asciiTheme="majorHAnsi" w:hAnsiTheme="majorHAnsi" w:cstheme="majorHAnsi"/>
          <w:bCs/>
          <w:color w:val="000000" w:themeColor="text1"/>
        </w:rPr>
        <w:t>The Study theorises that knowledge among organisational actors were increased through the conduct of various capacity building activities and through the implementation of an effective communications campaign.</w:t>
      </w:r>
    </w:p>
    <w:p w14:paraId="76925B60" w14:textId="71C7C258" w:rsidR="008D0CAD" w:rsidRDefault="008D0CAD" w:rsidP="00671524">
      <w:pPr>
        <w:spacing w:before="100" w:beforeAutospacing="1" w:after="100" w:afterAutospacing="1" w:line="360" w:lineRule="auto"/>
        <w:contextualSpacing/>
        <w:rPr>
          <w:rFonts w:asciiTheme="majorHAnsi" w:hAnsiTheme="majorHAnsi" w:cstheme="majorHAnsi"/>
          <w:bCs/>
          <w:color w:val="000000" w:themeColor="text1"/>
        </w:rPr>
      </w:pPr>
      <w:r>
        <w:rPr>
          <w:rFonts w:asciiTheme="majorHAnsi" w:hAnsiTheme="majorHAnsi" w:cstheme="majorHAnsi"/>
          <w:bCs/>
          <w:color w:val="000000" w:themeColor="text1"/>
        </w:rPr>
        <w:t>A clear mechanism for the execution of the systemic reforms is facilitated by issuance of policies that clearly articulated an intention of the systemic change, accompanied by guidelines that provided step-by-step descriptions of how to undertake these reforms, whether in manualised form or not.</w:t>
      </w:r>
      <w:r w:rsidR="00D434EB">
        <w:rPr>
          <w:rFonts w:asciiTheme="majorHAnsi" w:hAnsiTheme="majorHAnsi" w:cstheme="majorHAnsi"/>
          <w:bCs/>
          <w:color w:val="000000" w:themeColor="text1"/>
        </w:rPr>
        <w:t xml:space="preserve"> </w:t>
      </w:r>
      <w:r>
        <w:rPr>
          <w:rFonts w:asciiTheme="majorHAnsi" w:hAnsiTheme="majorHAnsi" w:cstheme="majorHAnsi"/>
          <w:bCs/>
          <w:color w:val="000000" w:themeColor="text1"/>
        </w:rPr>
        <w:t>Acceptance of systemic reforms were gauged by the degree of positive response of the intended users as they embraced the changes.</w:t>
      </w:r>
    </w:p>
    <w:p w14:paraId="67C86EC7" w14:textId="084F7A6E" w:rsidR="008D0CAD" w:rsidRDefault="008D0CAD" w:rsidP="00671524">
      <w:pPr>
        <w:spacing w:before="100" w:beforeAutospacing="1" w:after="100" w:afterAutospacing="1" w:line="360" w:lineRule="auto"/>
        <w:contextualSpacing/>
        <w:rPr>
          <w:rFonts w:asciiTheme="majorHAnsi" w:hAnsiTheme="majorHAnsi" w:cstheme="majorHAnsi"/>
          <w:bCs/>
          <w:color w:val="000000" w:themeColor="text1"/>
        </w:rPr>
      </w:pPr>
      <w:r>
        <w:rPr>
          <w:rFonts w:asciiTheme="majorHAnsi" w:hAnsiTheme="majorHAnsi" w:cstheme="majorHAnsi"/>
          <w:bCs/>
          <w:color w:val="000000" w:themeColor="text1"/>
        </w:rPr>
        <w:t>Three levels of results are assessed.</w:t>
      </w:r>
      <w:r w:rsidR="00D434EB">
        <w:rPr>
          <w:rFonts w:asciiTheme="majorHAnsi" w:hAnsiTheme="majorHAnsi" w:cstheme="majorHAnsi"/>
          <w:bCs/>
          <w:color w:val="000000" w:themeColor="text1"/>
        </w:rPr>
        <w:t xml:space="preserve"> </w:t>
      </w:r>
      <w:r>
        <w:rPr>
          <w:rFonts w:asciiTheme="majorHAnsi" w:hAnsiTheme="majorHAnsi" w:cstheme="majorHAnsi"/>
          <w:bCs/>
          <w:color w:val="000000" w:themeColor="text1"/>
        </w:rPr>
        <w:t>At the output level are the tangible products produced through the Program interventions. The next level is assessing changes in behavior among intended organisational actors. Changes from previous to new practices may be judged as tokenism/compliance or adoption.</w:t>
      </w:r>
      <w:r w:rsidR="00D434EB">
        <w:rPr>
          <w:rFonts w:asciiTheme="majorHAnsi" w:hAnsiTheme="majorHAnsi" w:cstheme="majorHAnsi"/>
          <w:bCs/>
          <w:color w:val="000000" w:themeColor="text1"/>
        </w:rPr>
        <w:t xml:space="preserve"> </w:t>
      </w:r>
      <w:r>
        <w:rPr>
          <w:rFonts w:asciiTheme="majorHAnsi" w:hAnsiTheme="majorHAnsi" w:cstheme="majorHAnsi"/>
          <w:bCs/>
          <w:color w:val="000000" w:themeColor="text1"/>
        </w:rPr>
        <w:t>Sustained practices of adoption indicate sustainability of the gains introduced by the systemic reforms.</w:t>
      </w:r>
      <w:r w:rsidR="00D434EB">
        <w:rPr>
          <w:rFonts w:asciiTheme="majorHAnsi" w:hAnsiTheme="majorHAnsi" w:cstheme="majorHAnsi"/>
          <w:bCs/>
          <w:color w:val="000000" w:themeColor="text1"/>
        </w:rPr>
        <w:t xml:space="preserve"> </w:t>
      </w:r>
    </w:p>
    <w:p w14:paraId="0F4EC0B5" w14:textId="6C188C60" w:rsidR="008D0CAD" w:rsidRDefault="008D0CAD" w:rsidP="00671524">
      <w:pPr>
        <w:spacing w:before="100" w:beforeAutospacing="1" w:after="100" w:afterAutospacing="1" w:line="360" w:lineRule="auto"/>
        <w:contextualSpacing/>
        <w:rPr>
          <w:rFonts w:asciiTheme="majorHAnsi" w:hAnsiTheme="majorHAnsi" w:cstheme="majorHAnsi"/>
        </w:rPr>
      </w:pPr>
      <w:r w:rsidRPr="002A6197">
        <w:rPr>
          <w:rFonts w:asciiTheme="majorHAnsi" w:hAnsiTheme="majorHAnsi" w:cstheme="majorHAnsi"/>
        </w:rPr>
        <w:t xml:space="preserve">The </w:t>
      </w:r>
      <w:r>
        <w:rPr>
          <w:rFonts w:asciiTheme="majorHAnsi" w:hAnsiTheme="majorHAnsi" w:cstheme="majorHAnsi"/>
        </w:rPr>
        <w:t>central</w:t>
      </w:r>
      <w:r w:rsidRPr="002A6197">
        <w:rPr>
          <w:rFonts w:asciiTheme="majorHAnsi" w:hAnsiTheme="majorHAnsi" w:cstheme="majorHAnsi"/>
        </w:rPr>
        <w:t xml:space="preserve"> finding </w:t>
      </w:r>
      <w:r>
        <w:rPr>
          <w:rFonts w:asciiTheme="majorHAnsi" w:hAnsiTheme="majorHAnsi" w:cstheme="majorHAnsi"/>
        </w:rPr>
        <w:t xml:space="preserve">from the application of this framework supports the analysis was that </w:t>
      </w:r>
      <w:r w:rsidRPr="002A6197">
        <w:rPr>
          <w:rFonts w:asciiTheme="majorHAnsi" w:hAnsiTheme="majorHAnsi" w:cstheme="majorHAnsi"/>
        </w:rPr>
        <w:t xml:space="preserve">levels of awareness and praxis </w:t>
      </w:r>
      <w:r>
        <w:rPr>
          <w:rFonts w:asciiTheme="majorHAnsi" w:hAnsiTheme="majorHAnsi" w:cstheme="majorHAnsi"/>
        </w:rPr>
        <w:t>among</w:t>
      </w:r>
      <w:r w:rsidRPr="002A6197">
        <w:rPr>
          <w:rFonts w:asciiTheme="majorHAnsi" w:hAnsiTheme="majorHAnsi" w:cstheme="majorHAnsi"/>
        </w:rPr>
        <w:t xml:space="preserve"> </w:t>
      </w:r>
      <w:r>
        <w:rPr>
          <w:rFonts w:asciiTheme="majorHAnsi" w:hAnsiTheme="majorHAnsi" w:cstheme="majorHAnsi"/>
        </w:rPr>
        <w:t xml:space="preserve">CO, ROs, DOs </w:t>
      </w:r>
      <w:r w:rsidRPr="002A6197">
        <w:rPr>
          <w:rFonts w:asciiTheme="majorHAnsi" w:hAnsiTheme="majorHAnsi" w:cstheme="majorHAnsi"/>
        </w:rPr>
        <w:t xml:space="preserve">and schools </w:t>
      </w:r>
      <w:r>
        <w:rPr>
          <w:rFonts w:asciiTheme="majorHAnsi" w:hAnsiTheme="majorHAnsi" w:cstheme="majorHAnsi"/>
        </w:rPr>
        <w:t xml:space="preserve">on the </w:t>
      </w:r>
      <w:r w:rsidRPr="002A6197">
        <w:rPr>
          <w:rFonts w:asciiTheme="majorHAnsi" w:hAnsiTheme="majorHAnsi" w:cstheme="majorHAnsi"/>
        </w:rPr>
        <w:t xml:space="preserve">different </w:t>
      </w:r>
      <w:r>
        <w:rPr>
          <w:rFonts w:asciiTheme="majorHAnsi" w:hAnsiTheme="majorHAnsi" w:cstheme="majorHAnsi"/>
        </w:rPr>
        <w:t>systems were uneven (Table 41).</w:t>
      </w:r>
      <w:r w:rsidR="00D434EB">
        <w:rPr>
          <w:rFonts w:asciiTheme="majorHAnsi" w:hAnsiTheme="majorHAnsi" w:cstheme="majorHAnsi"/>
        </w:rPr>
        <w:t xml:space="preserve"> </w:t>
      </w:r>
      <w:r>
        <w:rPr>
          <w:rFonts w:asciiTheme="majorHAnsi" w:hAnsiTheme="majorHAnsi" w:cstheme="majorHAnsi"/>
        </w:rPr>
        <w:t>For instance, while some</w:t>
      </w:r>
      <w:r w:rsidRPr="002A6197">
        <w:rPr>
          <w:rFonts w:asciiTheme="majorHAnsi" w:hAnsiTheme="majorHAnsi" w:cstheme="majorHAnsi"/>
        </w:rPr>
        <w:t xml:space="preserve"> </w:t>
      </w:r>
      <w:r>
        <w:rPr>
          <w:rFonts w:asciiTheme="majorHAnsi" w:hAnsiTheme="majorHAnsi" w:cstheme="majorHAnsi"/>
        </w:rPr>
        <w:t>DepEd</w:t>
      </w:r>
      <w:r w:rsidRPr="002A6197">
        <w:rPr>
          <w:rFonts w:asciiTheme="majorHAnsi" w:hAnsiTheme="majorHAnsi" w:cstheme="majorHAnsi"/>
        </w:rPr>
        <w:t xml:space="preserve"> Order</w:t>
      </w:r>
      <w:r>
        <w:rPr>
          <w:rFonts w:asciiTheme="majorHAnsi" w:hAnsiTheme="majorHAnsi" w:cstheme="majorHAnsi"/>
        </w:rPr>
        <w:t>s</w:t>
      </w:r>
      <w:r w:rsidRPr="002A6197">
        <w:rPr>
          <w:rFonts w:asciiTheme="majorHAnsi" w:hAnsiTheme="majorHAnsi" w:cstheme="majorHAnsi"/>
        </w:rPr>
        <w:t xml:space="preserve"> </w:t>
      </w:r>
      <w:r>
        <w:rPr>
          <w:rFonts w:asciiTheme="majorHAnsi" w:hAnsiTheme="majorHAnsi" w:cstheme="majorHAnsi"/>
        </w:rPr>
        <w:t>and/or m</w:t>
      </w:r>
      <w:r w:rsidRPr="002A6197">
        <w:rPr>
          <w:rFonts w:asciiTheme="majorHAnsi" w:hAnsiTheme="majorHAnsi" w:cstheme="majorHAnsi"/>
        </w:rPr>
        <w:t xml:space="preserve">emoranda were </w:t>
      </w:r>
      <w:r>
        <w:rPr>
          <w:rFonts w:asciiTheme="majorHAnsi" w:hAnsiTheme="majorHAnsi" w:cstheme="majorHAnsi"/>
        </w:rPr>
        <w:t xml:space="preserve">widely </w:t>
      </w:r>
      <w:r w:rsidRPr="002A6197">
        <w:rPr>
          <w:rFonts w:asciiTheme="majorHAnsi" w:hAnsiTheme="majorHAnsi" w:cstheme="majorHAnsi"/>
        </w:rPr>
        <w:t>circulated</w:t>
      </w:r>
      <w:r>
        <w:rPr>
          <w:rFonts w:asciiTheme="majorHAnsi" w:hAnsiTheme="majorHAnsi" w:cstheme="majorHAnsi"/>
        </w:rPr>
        <w:t>, understanding of</w:t>
      </w:r>
      <w:r w:rsidRPr="002A6197">
        <w:rPr>
          <w:rFonts w:asciiTheme="majorHAnsi" w:hAnsiTheme="majorHAnsi" w:cstheme="majorHAnsi"/>
        </w:rPr>
        <w:t xml:space="preserve"> the contents as intended </w:t>
      </w:r>
      <w:r>
        <w:rPr>
          <w:rFonts w:asciiTheme="majorHAnsi" w:hAnsiTheme="majorHAnsi" w:cstheme="majorHAnsi"/>
        </w:rPr>
        <w:t>varied.</w:t>
      </w:r>
    </w:p>
    <w:p w14:paraId="5B438F42" w14:textId="2C41C159" w:rsidR="008D0CAD" w:rsidRPr="00BD2C56" w:rsidRDefault="008D0CAD" w:rsidP="00DD08E3">
      <w:pPr>
        <w:pStyle w:val="Heading5"/>
        <w:numPr>
          <w:ilvl w:val="3"/>
          <w:numId w:val="165"/>
        </w:numPr>
        <w:spacing w:before="100" w:beforeAutospacing="1" w:after="100" w:afterAutospacing="1" w:line="360" w:lineRule="auto"/>
      </w:pPr>
      <w:r w:rsidRPr="00BD2C56">
        <w:t>L&amp;D System</w:t>
      </w:r>
    </w:p>
    <w:p w14:paraId="49DBB6F6" w14:textId="689D0064" w:rsidR="008D0CAD" w:rsidRDefault="008D0CAD" w:rsidP="00671524">
      <w:pPr>
        <w:spacing w:before="100" w:beforeAutospacing="1" w:after="100" w:afterAutospacing="1" w:line="360" w:lineRule="auto"/>
        <w:rPr>
          <w:rFonts w:asciiTheme="majorHAnsi" w:hAnsiTheme="majorHAnsi" w:cstheme="majorHAnsi"/>
        </w:rPr>
      </w:pPr>
      <w:r w:rsidRPr="00BD2C56">
        <w:rPr>
          <w:rFonts w:asciiTheme="majorHAnsi" w:hAnsiTheme="majorHAnsi" w:cstheme="majorHAnsi"/>
        </w:rPr>
        <w:t>The concepts and principles of the L&amp;D System w</w:t>
      </w:r>
      <w:r>
        <w:rPr>
          <w:rFonts w:asciiTheme="majorHAnsi" w:hAnsiTheme="majorHAnsi" w:cstheme="majorHAnsi"/>
        </w:rPr>
        <w:t>ere</w:t>
      </w:r>
      <w:r w:rsidRPr="00BD2C56">
        <w:rPr>
          <w:rFonts w:asciiTheme="majorHAnsi" w:hAnsiTheme="majorHAnsi" w:cstheme="majorHAnsi"/>
        </w:rPr>
        <w:t xml:space="preserve"> widely accepted particularly when compared with the previous T</w:t>
      </w:r>
      <w:r>
        <w:rPr>
          <w:rFonts w:asciiTheme="majorHAnsi" w:hAnsiTheme="majorHAnsi" w:cstheme="majorHAnsi"/>
        </w:rPr>
        <w:t xml:space="preserve">raining </w:t>
      </w:r>
      <w:r w:rsidRPr="00BD2C56">
        <w:rPr>
          <w:rFonts w:asciiTheme="majorHAnsi" w:hAnsiTheme="majorHAnsi" w:cstheme="majorHAnsi"/>
        </w:rPr>
        <w:t>&amp;</w:t>
      </w:r>
      <w:r>
        <w:rPr>
          <w:rFonts w:asciiTheme="majorHAnsi" w:hAnsiTheme="majorHAnsi" w:cstheme="majorHAnsi"/>
        </w:rPr>
        <w:t xml:space="preserve"> </w:t>
      </w:r>
      <w:r w:rsidRPr="00BD2C56">
        <w:rPr>
          <w:rFonts w:asciiTheme="majorHAnsi" w:hAnsiTheme="majorHAnsi" w:cstheme="majorHAnsi"/>
        </w:rPr>
        <w:t>D</w:t>
      </w:r>
      <w:r>
        <w:rPr>
          <w:rFonts w:asciiTheme="majorHAnsi" w:hAnsiTheme="majorHAnsi" w:cstheme="majorHAnsi"/>
        </w:rPr>
        <w:t>evelopment</w:t>
      </w:r>
      <w:r w:rsidRPr="00BD2C56">
        <w:rPr>
          <w:rFonts w:asciiTheme="majorHAnsi" w:hAnsiTheme="majorHAnsi" w:cstheme="majorHAnsi"/>
        </w:rPr>
        <w:t xml:space="preserve"> System.</w:t>
      </w:r>
      <w:r w:rsidR="00D434EB">
        <w:rPr>
          <w:rFonts w:asciiTheme="majorHAnsi" w:hAnsiTheme="majorHAnsi" w:cstheme="majorHAnsi"/>
        </w:rPr>
        <w:t xml:space="preserve"> </w:t>
      </w:r>
      <w:r w:rsidRPr="00BD2C56">
        <w:rPr>
          <w:rFonts w:asciiTheme="majorHAnsi" w:hAnsiTheme="majorHAnsi" w:cstheme="majorHAnsi"/>
        </w:rPr>
        <w:t xml:space="preserve">However, all the ROs/DOs </w:t>
      </w:r>
      <w:r>
        <w:rPr>
          <w:rFonts w:asciiTheme="majorHAnsi" w:hAnsiTheme="majorHAnsi" w:cstheme="majorHAnsi"/>
        </w:rPr>
        <w:t>surveyed we</w:t>
      </w:r>
      <w:r w:rsidRPr="00BD2C56">
        <w:rPr>
          <w:rFonts w:asciiTheme="majorHAnsi" w:hAnsiTheme="majorHAnsi" w:cstheme="majorHAnsi"/>
        </w:rPr>
        <w:t>re still at the starting point, which is the L</w:t>
      </w:r>
      <w:r>
        <w:rPr>
          <w:rFonts w:asciiTheme="majorHAnsi" w:hAnsiTheme="majorHAnsi" w:cstheme="majorHAnsi"/>
        </w:rPr>
        <w:t xml:space="preserve">earning and </w:t>
      </w:r>
      <w:r w:rsidRPr="00BD2C56">
        <w:rPr>
          <w:rFonts w:asciiTheme="majorHAnsi" w:hAnsiTheme="majorHAnsi" w:cstheme="majorHAnsi"/>
        </w:rPr>
        <w:t>D</w:t>
      </w:r>
      <w:r>
        <w:rPr>
          <w:rFonts w:asciiTheme="majorHAnsi" w:hAnsiTheme="majorHAnsi" w:cstheme="majorHAnsi"/>
        </w:rPr>
        <w:t xml:space="preserve">evelopment </w:t>
      </w:r>
      <w:r w:rsidRPr="00BD2C56">
        <w:rPr>
          <w:rFonts w:asciiTheme="majorHAnsi" w:hAnsiTheme="majorHAnsi" w:cstheme="majorHAnsi"/>
        </w:rPr>
        <w:t>N</w:t>
      </w:r>
      <w:r>
        <w:rPr>
          <w:rFonts w:asciiTheme="majorHAnsi" w:hAnsiTheme="majorHAnsi" w:cstheme="majorHAnsi"/>
        </w:rPr>
        <w:t xml:space="preserve">eeds </w:t>
      </w:r>
      <w:r w:rsidRPr="00BD2C56">
        <w:rPr>
          <w:rFonts w:asciiTheme="majorHAnsi" w:hAnsiTheme="majorHAnsi" w:cstheme="majorHAnsi"/>
        </w:rPr>
        <w:t>A</w:t>
      </w:r>
      <w:r>
        <w:rPr>
          <w:rFonts w:asciiTheme="majorHAnsi" w:hAnsiTheme="majorHAnsi" w:cstheme="majorHAnsi"/>
        </w:rPr>
        <w:t>ssessment (LDNA)</w:t>
      </w:r>
      <w:r w:rsidRPr="00BD2C56">
        <w:rPr>
          <w:rFonts w:asciiTheme="majorHAnsi" w:hAnsiTheme="majorHAnsi" w:cstheme="majorHAnsi"/>
        </w:rPr>
        <w:t>. Sustainability of the L&amp;D System reforms are still subject to the issuance of a policy and the availability of resources to sustain the resulting recommendations derived from the LDNA. The benefits of the use of the L</w:t>
      </w:r>
      <w:r>
        <w:rPr>
          <w:rFonts w:asciiTheme="majorHAnsi" w:hAnsiTheme="majorHAnsi" w:cstheme="majorHAnsi"/>
        </w:rPr>
        <w:t xml:space="preserve">earning </w:t>
      </w:r>
      <w:r w:rsidRPr="00BD2C56">
        <w:rPr>
          <w:rFonts w:asciiTheme="majorHAnsi" w:hAnsiTheme="majorHAnsi" w:cstheme="majorHAnsi"/>
        </w:rPr>
        <w:t>A</w:t>
      </w:r>
      <w:r>
        <w:rPr>
          <w:rFonts w:asciiTheme="majorHAnsi" w:hAnsiTheme="majorHAnsi" w:cstheme="majorHAnsi"/>
        </w:rPr>
        <w:t xml:space="preserve">ction </w:t>
      </w:r>
      <w:r w:rsidRPr="00BD2C56">
        <w:rPr>
          <w:rFonts w:asciiTheme="majorHAnsi" w:hAnsiTheme="majorHAnsi" w:cstheme="majorHAnsi"/>
        </w:rPr>
        <w:t>C</w:t>
      </w:r>
      <w:r>
        <w:rPr>
          <w:rFonts w:asciiTheme="majorHAnsi" w:hAnsiTheme="majorHAnsi" w:cstheme="majorHAnsi"/>
        </w:rPr>
        <w:t>ell (LAC)</w:t>
      </w:r>
      <w:r w:rsidRPr="00BD2C56">
        <w:rPr>
          <w:rFonts w:asciiTheme="majorHAnsi" w:hAnsiTheme="majorHAnsi" w:cstheme="majorHAnsi"/>
        </w:rPr>
        <w:t xml:space="preserve"> as a </w:t>
      </w:r>
      <w:r>
        <w:rPr>
          <w:rFonts w:asciiTheme="majorHAnsi" w:hAnsiTheme="majorHAnsi" w:cstheme="majorHAnsi"/>
        </w:rPr>
        <w:t xml:space="preserve">primary </w:t>
      </w:r>
      <w:r w:rsidRPr="00BD2C56">
        <w:rPr>
          <w:rFonts w:asciiTheme="majorHAnsi" w:hAnsiTheme="majorHAnsi" w:cstheme="majorHAnsi"/>
        </w:rPr>
        <w:t>training modality of the L&amp;D System was ubiquitous.</w:t>
      </w:r>
      <w:r w:rsidR="00D434EB">
        <w:rPr>
          <w:rFonts w:asciiTheme="majorHAnsi" w:hAnsiTheme="majorHAnsi" w:cstheme="majorHAnsi"/>
        </w:rPr>
        <w:t xml:space="preserve"> </w:t>
      </w:r>
      <w:r w:rsidRPr="00BD2C56">
        <w:rPr>
          <w:rFonts w:asciiTheme="majorHAnsi" w:hAnsiTheme="majorHAnsi" w:cstheme="majorHAnsi"/>
        </w:rPr>
        <w:t>Despite several implementation challenges, its sustainability is considered high.</w:t>
      </w:r>
      <w:r w:rsidR="00D434EB">
        <w:rPr>
          <w:rFonts w:asciiTheme="majorHAnsi" w:hAnsiTheme="majorHAnsi" w:cstheme="majorHAnsi"/>
        </w:rPr>
        <w:t xml:space="preserve"> </w:t>
      </w:r>
    </w:p>
    <w:p w14:paraId="0D06C8FF" w14:textId="0A22A296" w:rsidR="008D0CAD" w:rsidRPr="00BD2C56" w:rsidRDefault="008D0CAD" w:rsidP="00DD08E3">
      <w:pPr>
        <w:pStyle w:val="Heading5"/>
        <w:numPr>
          <w:ilvl w:val="3"/>
          <w:numId w:val="165"/>
        </w:numPr>
        <w:spacing w:before="100" w:beforeAutospacing="1" w:after="100" w:afterAutospacing="1" w:line="360" w:lineRule="auto"/>
      </w:pPr>
      <w:r>
        <w:t>PPST-aligned RPMS</w:t>
      </w:r>
    </w:p>
    <w:p w14:paraId="58599901" w14:textId="6A24DF28" w:rsidR="008D0CAD" w:rsidRDefault="008D0CAD" w:rsidP="00671524">
      <w:pPr>
        <w:spacing w:before="100" w:beforeAutospacing="1" w:after="100" w:afterAutospacing="1" w:line="360" w:lineRule="auto"/>
        <w:rPr>
          <w:rFonts w:asciiTheme="majorHAnsi" w:hAnsiTheme="majorHAnsi" w:cstheme="majorHAnsi"/>
        </w:rPr>
      </w:pPr>
      <w:r>
        <w:rPr>
          <w:rFonts w:asciiTheme="majorHAnsi" w:hAnsiTheme="majorHAnsi" w:cstheme="majorHAnsi"/>
        </w:rPr>
        <w:t>The benefits of the PPST-aligned RPMS tools introduced with support from the BEST Program were widely accepted by principals and teachers.</w:t>
      </w:r>
      <w:r w:rsidR="00D434EB">
        <w:rPr>
          <w:rFonts w:asciiTheme="majorHAnsi" w:hAnsiTheme="majorHAnsi" w:cstheme="majorHAnsi"/>
        </w:rPr>
        <w:t xml:space="preserve"> </w:t>
      </w:r>
      <w:r>
        <w:rPr>
          <w:rFonts w:asciiTheme="majorHAnsi" w:hAnsiTheme="majorHAnsi" w:cstheme="majorHAnsi"/>
        </w:rPr>
        <w:t>However, it</w:t>
      </w:r>
      <w:r w:rsidR="00D354DC">
        <w:rPr>
          <w:rFonts w:asciiTheme="majorHAnsi" w:hAnsiTheme="majorHAnsi" w:cstheme="majorHAnsi"/>
        </w:rPr>
        <w:t>s</w:t>
      </w:r>
      <w:r>
        <w:rPr>
          <w:rFonts w:asciiTheme="majorHAnsi" w:hAnsiTheme="majorHAnsi" w:cstheme="majorHAnsi"/>
        </w:rPr>
        <w:t xml:space="preserve"> practice remains at the level of tokenism – not because teachers do not accept it but because the costs of behavior change remain high (meaning that shifting from compliance to development would require significant emotional and behavioral investment from teachers). </w:t>
      </w:r>
    </w:p>
    <w:p w14:paraId="004FA850" w14:textId="2391F1C7" w:rsidR="008D0CAD" w:rsidRPr="002A6197" w:rsidRDefault="008D0CAD" w:rsidP="00671524">
      <w:pPr>
        <w:spacing w:before="100" w:beforeAutospacing="1" w:after="100" w:afterAutospacing="1" w:line="360" w:lineRule="auto"/>
        <w:rPr>
          <w:rFonts w:asciiTheme="majorHAnsi" w:hAnsiTheme="majorHAnsi" w:cstheme="majorHAnsi"/>
        </w:rPr>
      </w:pPr>
      <w:r>
        <w:rPr>
          <w:rFonts w:asciiTheme="majorHAnsi" w:hAnsiTheme="majorHAnsi" w:cstheme="majorHAnsi"/>
        </w:rPr>
        <w:t>Even though these reforms (linking attainment of professional standards to performance bonuses through the Results-based Performance Management System), there is still considerable likelihood of tokenism, and even cheating.</w:t>
      </w:r>
      <w:r w:rsidR="00D434EB">
        <w:rPr>
          <w:rFonts w:asciiTheme="majorHAnsi" w:hAnsiTheme="majorHAnsi" w:cstheme="majorHAnsi"/>
        </w:rPr>
        <w:t xml:space="preserve"> </w:t>
      </w:r>
      <w:r>
        <w:rPr>
          <w:rFonts w:asciiTheme="majorHAnsi" w:hAnsiTheme="majorHAnsi" w:cstheme="majorHAnsi"/>
        </w:rPr>
        <w:t xml:space="preserve">Thus, while sustainability of the practice is high, the sustainability of intended objective (i.e., professional development of teachers leading to improvements in teaching quality) is only assessed as moderate. </w:t>
      </w:r>
    </w:p>
    <w:p w14:paraId="0AF8BC97" w14:textId="6E0B901A" w:rsidR="008D0CAD" w:rsidRPr="00BD2C56" w:rsidRDefault="008D0CAD" w:rsidP="00DD08E3">
      <w:pPr>
        <w:pStyle w:val="Heading5"/>
        <w:numPr>
          <w:ilvl w:val="3"/>
          <w:numId w:val="165"/>
        </w:numPr>
        <w:spacing w:before="100" w:beforeAutospacing="1" w:after="100" w:afterAutospacing="1" w:line="360" w:lineRule="auto"/>
      </w:pPr>
      <w:r>
        <w:t>SBM</w:t>
      </w:r>
    </w:p>
    <w:p w14:paraId="036790D4" w14:textId="456D9AC6" w:rsidR="008D0CAD" w:rsidRDefault="008D0CAD" w:rsidP="00671524">
      <w:pPr>
        <w:spacing w:before="100" w:beforeAutospacing="1" w:after="100" w:afterAutospacing="1" w:line="360" w:lineRule="auto"/>
        <w:rPr>
          <w:rFonts w:asciiTheme="majorHAnsi" w:hAnsiTheme="majorHAnsi" w:cstheme="majorHAnsi"/>
        </w:rPr>
      </w:pPr>
      <w:r w:rsidRPr="00BB5138">
        <w:rPr>
          <w:rFonts w:asciiTheme="majorHAnsi" w:hAnsiTheme="majorHAnsi" w:cstheme="majorHAnsi"/>
        </w:rPr>
        <w:t xml:space="preserve">The benefits of </w:t>
      </w:r>
      <w:r>
        <w:rPr>
          <w:rFonts w:asciiTheme="majorHAnsi" w:hAnsiTheme="majorHAnsi" w:cstheme="majorHAnsi"/>
        </w:rPr>
        <w:t>developing</w:t>
      </w:r>
      <w:r w:rsidRPr="00BB5138">
        <w:rPr>
          <w:rFonts w:asciiTheme="majorHAnsi" w:hAnsiTheme="majorHAnsi" w:cstheme="majorHAnsi"/>
        </w:rPr>
        <w:t xml:space="preserve"> School Improvement Plans</w:t>
      </w:r>
      <w:r>
        <w:rPr>
          <w:rFonts w:asciiTheme="majorHAnsi" w:hAnsiTheme="majorHAnsi" w:cstheme="majorHAnsi"/>
        </w:rPr>
        <w:t xml:space="preserve"> (SIPs),</w:t>
      </w:r>
      <w:r w:rsidRPr="00BB5138">
        <w:rPr>
          <w:rFonts w:asciiTheme="majorHAnsi" w:hAnsiTheme="majorHAnsi" w:cstheme="majorHAnsi"/>
        </w:rPr>
        <w:t xml:space="preserve"> and the involvement of external stakeholders are well accepted by school-level respondents.</w:t>
      </w:r>
      <w:r w:rsidR="00D434EB">
        <w:rPr>
          <w:rFonts w:asciiTheme="majorHAnsi" w:hAnsiTheme="majorHAnsi" w:cstheme="majorHAnsi"/>
        </w:rPr>
        <w:t xml:space="preserve"> </w:t>
      </w:r>
      <w:r w:rsidRPr="00BB5138">
        <w:rPr>
          <w:rFonts w:asciiTheme="majorHAnsi" w:hAnsiTheme="majorHAnsi" w:cstheme="majorHAnsi"/>
        </w:rPr>
        <w:t>The adoption of the SIP and S</w:t>
      </w:r>
      <w:r>
        <w:rPr>
          <w:rFonts w:asciiTheme="majorHAnsi" w:hAnsiTheme="majorHAnsi" w:cstheme="majorHAnsi"/>
        </w:rPr>
        <w:t xml:space="preserve">chool </w:t>
      </w:r>
      <w:r w:rsidRPr="00BB5138">
        <w:rPr>
          <w:rFonts w:asciiTheme="majorHAnsi" w:hAnsiTheme="majorHAnsi" w:cstheme="majorHAnsi"/>
        </w:rPr>
        <w:t>R</w:t>
      </w:r>
      <w:r>
        <w:rPr>
          <w:rFonts w:asciiTheme="majorHAnsi" w:hAnsiTheme="majorHAnsi" w:cstheme="majorHAnsi"/>
        </w:rPr>
        <w:t xml:space="preserve">eport </w:t>
      </w:r>
      <w:r w:rsidRPr="00BB5138">
        <w:rPr>
          <w:rFonts w:asciiTheme="majorHAnsi" w:hAnsiTheme="majorHAnsi" w:cstheme="majorHAnsi"/>
        </w:rPr>
        <w:t>C</w:t>
      </w:r>
      <w:r>
        <w:rPr>
          <w:rFonts w:asciiTheme="majorHAnsi" w:hAnsiTheme="majorHAnsi" w:cstheme="majorHAnsi"/>
        </w:rPr>
        <w:t>ard</w:t>
      </w:r>
      <w:r w:rsidRPr="00BB5138">
        <w:rPr>
          <w:rFonts w:asciiTheme="majorHAnsi" w:hAnsiTheme="majorHAnsi" w:cstheme="majorHAnsi"/>
        </w:rPr>
        <w:t xml:space="preserve"> policies/guidelines are assured because budget is tied </w:t>
      </w:r>
      <w:r>
        <w:rPr>
          <w:rFonts w:asciiTheme="majorHAnsi" w:hAnsiTheme="majorHAnsi" w:cstheme="majorHAnsi"/>
        </w:rPr>
        <w:t>to</w:t>
      </w:r>
      <w:r w:rsidRPr="00BB5138">
        <w:rPr>
          <w:rFonts w:asciiTheme="majorHAnsi" w:hAnsiTheme="majorHAnsi" w:cstheme="majorHAnsi"/>
        </w:rPr>
        <w:t xml:space="preserve"> the three-year plans of the schools.</w:t>
      </w:r>
      <w:r w:rsidR="00D434EB">
        <w:rPr>
          <w:rFonts w:asciiTheme="majorHAnsi" w:hAnsiTheme="majorHAnsi" w:cstheme="majorHAnsi"/>
        </w:rPr>
        <w:t xml:space="preserve"> </w:t>
      </w:r>
      <w:r w:rsidRPr="00BB5138">
        <w:rPr>
          <w:rFonts w:asciiTheme="majorHAnsi" w:hAnsiTheme="majorHAnsi" w:cstheme="majorHAnsi"/>
        </w:rPr>
        <w:t xml:space="preserve">Despite the need to improve monitoring and assessment of the quality of SIPs, </w:t>
      </w:r>
      <w:r>
        <w:rPr>
          <w:rFonts w:asciiTheme="majorHAnsi" w:hAnsiTheme="majorHAnsi" w:cstheme="majorHAnsi"/>
        </w:rPr>
        <w:t xml:space="preserve">the </w:t>
      </w:r>
      <w:r w:rsidRPr="00BB5138">
        <w:rPr>
          <w:rFonts w:asciiTheme="majorHAnsi" w:hAnsiTheme="majorHAnsi" w:cstheme="majorHAnsi"/>
        </w:rPr>
        <w:t xml:space="preserve">sustainability of the reforms under SBM is </w:t>
      </w:r>
      <w:r>
        <w:rPr>
          <w:rFonts w:asciiTheme="majorHAnsi" w:hAnsiTheme="majorHAnsi" w:cstheme="majorHAnsi"/>
        </w:rPr>
        <w:t xml:space="preserve">assessed as </w:t>
      </w:r>
      <w:r w:rsidRPr="00BB5138">
        <w:rPr>
          <w:rFonts w:asciiTheme="majorHAnsi" w:hAnsiTheme="majorHAnsi" w:cstheme="majorHAnsi"/>
        </w:rPr>
        <w:t>high.</w:t>
      </w:r>
    </w:p>
    <w:p w14:paraId="372BB7B3" w14:textId="4A207B1F" w:rsidR="008D0CAD" w:rsidRPr="00BD2C56" w:rsidRDefault="008D0CAD" w:rsidP="00DD08E3">
      <w:pPr>
        <w:pStyle w:val="Heading5"/>
        <w:numPr>
          <w:ilvl w:val="3"/>
          <w:numId w:val="165"/>
        </w:numPr>
        <w:spacing w:before="100" w:beforeAutospacing="1" w:after="100" w:afterAutospacing="1" w:line="360" w:lineRule="auto"/>
      </w:pPr>
      <w:r>
        <w:t>PPMES</w:t>
      </w:r>
    </w:p>
    <w:p w14:paraId="23331C6F" w14:textId="18D76916" w:rsidR="008D0CAD" w:rsidRDefault="008D0CAD" w:rsidP="00671524">
      <w:pPr>
        <w:spacing w:before="100" w:beforeAutospacing="1" w:after="100" w:afterAutospacing="1" w:line="360" w:lineRule="auto"/>
        <w:rPr>
          <w:rFonts w:asciiTheme="majorHAnsi" w:hAnsiTheme="majorHAnsi" w:cstheme="majorHAnsi"/>
          <w:color w:val="000000"/>
        </w:rPr>
      </w:pPr>
      <w:r w:rsidRPr="00BB5138">
        <w:rPr>
          <w:rFonts w:asciiTheme="majorHAnsi" w:hAnsiTheme="majorHAnsi" w:cstheme="majorHAnsi"/>
        </w:rPr>
        <w:t xml:space="preserve">The benefits of Policy and Planning </w:t>
      </w:r>
      <w:r>
        <w:rPr>
          <w:rFonts w:asciiTheme="majorHAnsi" w:hAnsiTheme="majorHAnsi" w:cstheme="majorHAnsi"/>
        </w:rPr>
        <w:t>interventions were largely concentrated</w:t>
      </w:r>
      <w:r w:rsidRPr="00BB5138">
        <w:rPr>
          <w:rFonts w:asciiTheme="majorHAnsi" w:hAnsiTheme="majorHAnsi" w:cstheme="majorHAnsi"/>
        </w:rPr>
        <w:t xml:space="preserve"> at the Central Office level and</w:t>
      </w:r>
      <w:r>
        <w:rPr>
          <w:rFonts w:asciiTheme="majorHAnsi" w:hAnsiTheme="majorHAnsi" w:cstheme="majorHAnsi"/>
        </w:rPr>
        <w:t xml:space="preserve"> will</w:t>
      </w:r>
      <w:r w:rsidRPr="00BB5138">
        <w:rPr>
          <w:rFonts w:asciiTheme="majorHAnsi" w:hAnsiTheme="majorHAnsi" w:cstheme="majorHAnsi"/>
        </w:rPr>
        <w:t xml:space="preserve"> only be cascaded </w:t>
      </w:r>
      <w:r>
        <w:rPr>
          <w:rFonts w:asciiTheme="majorHAnsi" w:hAnsiTheme="majorHAnsi" w:cstheme="majorHAnsi"/>
        </w:rPr>
        <w:t xml:space="preserve">to Region and Division Offices </w:t>
      </w:r>
      <w:r w:rsidRPr="00BB5138">
        <w:rPr>
          <w:rFonts w:asciiTheme="majorHAnsi" w:hAnsiTheme="majorHAnsi" w:cstheme="majorHAnsi"/>
        </w:rPr>
        <w:t>when policies are issued.</w:t>
      </w:r>
      <w:r w:rsidR="00D434EB">
        <w:rPr>
          <w:rFonts w:asciiTheme="majorHAnsi" w:hAnsiTheme="majorHAnsi" w:cstheme="majorHAnsi"/>
        </w:rPr>
        <w:t xml:space="preserve"> </w:t>
      </w:r>
      <w:r>
        <w:rPr>
          <w:rFonts w:asciiTheme="majorHAnsi" w:hAnsiTheme="majorHAnsi" w:cstheme="majorHAnsi"/>
        </w:rPr>
        <w:t>In</w:t>
      </w:r>
      <w:r w:rsidRPr="00BB5138">
        <w:rPr>
          <w:rFonts w:asciiTheme="majorHAnsi" w:hAnsiTheme="majorHAnsi" w:cstheme="majorHAnsi"/>
        </w:rPr>
        <w:t xml:space="preserve"> this </w:t>
      </w:r>
      <w:r>
        <w:rPr>
          <w:rFonts w:asciiTheme="majorHAnsi" w:hAnsiTheme="majorHAnsi" w:cstheme="majorHAnsi"/>
        </w:rPr>
        <w:t>sense</w:t>
      </w:r>
      <w:r w:rsidRPr="00BB5138">
        <w:rPr>
          <w:rFonts w:asciiTheme="majorHAnsi" w:hAnsiTheme="majorHAnsi" w:cstheme="majorHAnsi"/>
        </w:rPr>
        <w:t xml:space="preserve">, the </w:t>
      </w:r>
      <w:r>
        <w:rPr>
          <w:rFonts w:asciiTheme="majorHAnsi" w:hAnsiTheme="majorHAnsi" w:cstheme="majorHAnsi"/>
        </w:rPr>
        <w:t xml:space="preserve">BEST-supported </w:t>
      </w:r>
      <w:r w:rsidRPr="00BB5138">
        <w:rPr>
          <w:rFonts w:asciiTheme="majorHAnsi" w:hAnsiTheme="majorHAnsi" w:cstheme="majorHAnsi"/>
        </w:rPr>
        <w:t>reforms in policy and planning ha</w:t>
      </w:r>
      <w:r>
        <w:rPr>
          <w:rFonts w:asciiTheme="majorHAnsi" w:hAnsiTheme="majorHAnsi" w:cstheme="majorHAnsi"/>
        </w:rPr>
        <w:t>ve</w:t>
      </w:r>
      <w:r w:rsidRPr="00BB5138">
        <w:rPr>
          <w:rFonts w:asciiTheme="majorHAnsi" w:hAnsiTheme="majorHAnsi" w:cstheme="majorHAnsi"/>
        </w:rPr>
        <w:t xml:space="preserve"> a high likelihood</w:t>
      </w:r>
      <w:r>
        <w:rPr>
          <w:rFonts w:asciiTheme="majorHAnsi" w:hAnsiTheme="majorHAnsi" w:cstheme="majorHAnsi"/>
        </w:rPr>
        <w:t xml:space="preserve"> of sustainability, though </w:t>
      </w:r>
      <w:r w:rsidRPr="00BB5138">
        <w:rPr>
          <w:rFonts w:asciiTheme="majorHAnsi" w:hAnsiTheme="majorHAnsi" w:cstheme="majorHAnsi"/>
        </w:rPr>
        <w:t>it is not assured</w:t>
      </w:r>
      <w:r>
        <w:rPr>
          <w:rFonts w:asciiTheme="majorHAnsi" w:hAnsiTheme="majorHAnsi" w:cstheme="majorHAnsi"/>
          <w:color w:val="000000"/>
        </w:rPr>
        <w:t>.</w:t>
      </w:r>
    </w:p>
    <w:p w14:paraId="7AD68911" w14:textId="1AE72B97" w:rsidR="008D0CAD" w:rsidRDefault="008D0CAD" w:rsidP="00671524">
      <w:pPr>
        <w:spacing w:before="100" w:beforeAutospacing="1" w:after="100" w:afterAutospacing="1" w:line="360" w:lineRule="auto"/>
        <w:rPr>
          <w:rFonts w:asciiTheme="majorHAnsi" w:hAnsiTheme="majorHAnsi" w:cstheme="majorHAnsi"/>
        </w:rPr>
      </w:pPr>
      <w:r w:rsidRPr="00BB5138">
        <w:rPr>
          <w:rFonts w:asciiTheme="majorHAnsi" w:hAnsiTheme="majorHAnsi" w:cstheme="majorHAnsi"/>
        </w:rPr>
        <w:t>On the other hand, as part of PPMES, the benefits of the MEA were felt more at the level of ROs and DOs.</w:t>
      </w:r>
      <w:r w:rsidR="00D434EB">
        <w:rPr>
          <w:rFonts w:asciiTheme="majorHAnsi" w:hAnsiTheme="majorHAnsi" w:cstheme="majorHAnsi"/>
        </w:rPr>
        <w:t xml:space="preserve"> </w:t>
      </w:r>
      <w:r w:rsidRPr="00BB5138">
        <w:rPr>
          <w:rFonts w:asciiTheme="majorHAnsi" w:hAnsiTheme="majorHAnsi" w:cstheme="majorHAnsi"/>
        </w:rPr>
        <w:t>At this level, the sustainability of the reform gains is assured</w:t>
      </w:r>
      <w:r>
        <w:rPr>
          <w:rFonts w:asciiTheme="majorHAnsi" w:hAnsiTheme="majorHAnsi" w:cstheme="majorHAnsi"/>
        </w:rPr>
        <w:t>,</w:t>
      </w:r>
      <w:r w:rsidRPr="00BB5138">
        <w:rPr>
          <w:rFonts w:asciiTheme="majorHAnsi" w:hAnsiTheme="majorHAnsi" w:cstheme="majorHAnsi"/>
        </w:rPr>
        <w:t xml:space="preserve"> particularly as noted in the </w:t>
      </w:r>
      <w:r>
        <w:rPr>
          <w:rFonts w:asciiTheme="majorHAnsi" w:hAnsiTheme="majorHAnsi" w:cstheme="majorHAnsi"/>
        </w:rPr>
        <w:t xml:space="preserve">2017-18 BEST </w:t>
      </w:r>
      <w:r w:rsidRPr="00BB5138">
        <w:rPr>
          <w:rFonts w:asciiTheme="majorHAnsi" w:hAnsiTheme="majorHAnsi" w:cstheme="majorHAnsi"/>
        </w:rPr>
        <w:t>I</w:t>
      </w:r>
      <w:r>
        <w:rPr>
          <w:rFonts w:asciiTheme="majorHAnsi" w:hAnsiTheme="majorHAnsi" w:cstheme="majorHAnsi"/>
        </w:rPr>
        <w:t xml:space="preserve">ndependent </w:t>
      </w:r>
      <w:r w:rsidRPr="00BB5138">
        <w:rPr>
          <w:rFonts w:asciiTheme="majorHAnsi" w:hAnsiTheme="majorHAnsi" w:cstheme="majorHAnsi"/>
        </w:rPr>
        <w:t>P</w:t>
      </w:r>
      <w:r>
        <w:rPr>
          <w:rFonts w:asciiTheme="majorHAnsi" w:hAnsiTheme="majorHAnsi" w:cstheme="majorHAnsi"/>
        </w:rPr>
        <w:t xml:space="preserve">rogress </w:t>
      </w:r>
      <w:r w:rsidRPr="00BB5138">
        <w:rPr>
          <w:rFonts w:asciiTheme="majorHAnsi" w:hAnsiTheme="majorHAnsi" w:cstheme="majorHAnsi"/>
        </w:rPr>
        <w:t>R</w:t>
      </w:r>
      <w:r>
        <w:rPr>
          <w:rFonts w:asciiTheme="majorHAnsi" w:hAnsiTheme="majorHAnsi" w:cstheme="majorHAnsi"/>
        </w:rPr>
        <w:t>eview</w:t>
      </w:r>
      <w:r w:rsidRPr="00BB5138">
        <w:rPr>
          <w:rFonts w:asciiTheme="majorHAnsi" w:hAnsiTheme="majorHAnsi" w:cstheme="majorHAnsi"/>
        </w:rPr>
        <w:t>, a culture of M&amp;E has been cultivated within the field units and schools.</w:t>
      </w:r>
    </w:p>
    <w:p w14:paraId="13553A9A" w14:textId="46F9301B" w:rsidR="008D0CAD" w:rsidRPr="00BD2C56" w:rsidRDefault="008D0CAD" w:rsidP="00DD08E3">
      <w:pPr>
        <w:pStyle w:val="Heading5"/>
        <w:numPr>
          <w:ilvl w:val="3"/>
          <w:numId w:val="167"/>
        </w:numPr>
        <w:spacing w:before="100" w:beforeAutospacing="1" w:after="100" w:afterAutospacing="1" w:line="360" w:lineRule="auto"/>
      </w:pPr>
      <w:r>
        <w:t>UISS</w:t>
      </w:r>
    </w:p>
    <w:p w14:paraId="47B5EF4D" w14:textId="317FF4FB" w:rsidR="008D0CAD" w:rsidRPr="00BB5138" w:rsidRDefault="008D0CAD" w:rsidP="00671524">
      <w:pPr>
        <w:spacing w:before="100" w:beforeAutospacing="1" w:after="100" w:afterAutospacing="1" w:line="360" w:lineRule="auto"/>
        <w:rPr>
          <w:rFonts w:asciiTheme="majorHAnsi" w:hAnsiTheme="majorHAnsi" w:cstheme="majorHAnsi"/>
        </w:rPr>
      </w:pPr>
      <w:r w:rsidRPr="00BB5138">
        <w:rPr>
          <w:rFonts w:asciiTheme="majorHAnsi" w:hAnsiTheme="majorHAnsi" w:cstheme="majorHAnsi"/>
        </w:rPr>
        <w:t>The benefits of the use of the UISS were already be</w:t>
      </w:r>
      <w:r>
        <w:rPr>
          <w:rFonts w:asciiTheme="majorHAnsi" w:hAnsiTheme="majorHAnsi" w:cstheme="majorHAnsi"/>
        </w:rPr>
        <w:t>ing</w:t>
      </w:r>
      <w:r w:rsidRPr="00BB5138">
        <w:rPr>
          <w:rFonts w:asciiTheme="majorHAnsi" w:hAnsiTheme="majorHAnsi" w:cstheme="majorHAnsi"/>
        </w:rPr>
        <w:t xml:space="preserve"> felt by all organi</w:t>
      </w:r>
      <w:r>
        <w:rPr>
          <w:rFonts w:asciiTheme="majorHAnsi" w:hAnsiTheme="majorHAnsi" w:cstheme="majorHAnsi"/>
        </w:rPr>
        <w:t>s</w:t>
      </w:r>
      <w:r w:rsidRPr="00BB5138">
        <w:rPr>
          <w:rFonts w:asciiTheme="majorHAnsi" w:hAnsiTheme="majorHAnsi" w:cstheme="majorHAnsi"/>
        </w:rPr>
        <w:t>ational actors.</w:t>
      </w:r>
      <w:r w:rsidR="00D434EB">
        <w:rPr>
          <w:rFonts w:asciiTheme="majorHAnsi" w:hAnsiTheme="majorHAnsi" w:cstheme="majorHAnsi"/>
        </w:rPr>
        <w:t xml:space="preserve"> </w:t>
      </w:r>
      <w:r w:rsidRPr="00BB5138">
        <w:rPr>
          <w:rFonts w:asciiTheme="majorHAnsi" w:hAnsiTheme="majorHAnsi" w:cstheme="majorHAnsi"/>
        </w:rPr>
        <w:t xml:space="preserve">Thus, the sustainability of its use (practice) is ensured and judged as very high. Its processes were already embedded in the regular operations and procedures of </w:t>
      </w:r>
      <w:r>
        <w:rPr>
          <w:rFonts w:asciiTheme="majorHAnsi" w:hAnsiTheme="majorHAnsi" w:cstheme="majorHAnsi"/>
        </w:rPr>
        <w:t>DepEd during the BEST implementation period</w:t>
      </w:r>
      <w:r w:rsidRPr="00BB5138">
        <w:rPr>
          <w:rFonts w:asciiTheme="majorHAnsi" w:hAnsiTheme="majorHAnsi" w:cstheme="majorHAnsi"/>
        </w:rPr>
        <w:t>.</w:t>
      </w:r>
    </w:p>
    <w:p w14:paraId="29AA3025" w14:textId="77777777" w:rsidR="008D0CAD" w:rsidRDefault="008D0CAD" w:rsidP="00671524">
      <w:pPr>
        <w:spacing w:before="100" w:beforeAutospacing="1" w:after="100" w:afterAutospacing="1" w:line="360" w:lineRule="auto"/>
        <w:rPr>
          <w:rFonts w:asciiTheme="majorHAnsi" w:hAnsiTheme="majorHAnsi" w:cstheme="majorHAnsi"/>
        </w:rPr>
      </w:pPr>
      <w:r w:rsidRPr="00BB5138">
        <w:rPr>
          <w:rFonts w:asciiTheme="majorHAnsi" w:hAnsiTheme="majorHAnsi" w:cstheme="majorHAnsi"/>
          <w:color w:val="000000"/>
        </w:rPr>
        <w:t xml:space="preserve">The </w:t>
      </w:r>
      <w:r>
        <w:rPr>
          <w:rFonts w:asciiTheme="majorHAnsi" w:hAnsiTheme="majorHAnsi" w:cstheme="majorHAnsi"/>
          <w:color w:val="000000"/>
        </w:rPr>
        <w:t xml:space="preserve">key </w:t>
      </w:r>
      <w:r w:rsidRPr="00BB5138">
        <w:rPr>
          <w:rFonts w:asciiTheme="majorHAnsi" w:hAnsiTheme="majorHAnsi" w:cstheme="majorHAnsi"/>
          <w:color w:val="000000"/>
        </w:rPr>
        <w:t xml:space="preserve">remaining challenge for </w:t>
      </w:r>
      <w:r>
        <w:rPr>
          <w:rFonts w:asciiTheme="majorHAnsi" w:hAnsiTheme="majorHAnsi" w:cstheme="majorHAnsi"/>
          <w:color w:val="000000"/>
        </w:rPr>
        <w:t>DepEd</w:t>
      </w:r>
      <w:r w:rsidRPr="00BB5138">
        <w:rPr>
          <w:rFonts w:asciiTheme="majorHAnsi" w:hAnsiTheme="majorHAnsi" w:cstheme="majorHAnsi"/>
          <w:color w:val="000000"/>
        </w:rPr>
        <w:t xml:space="preserve"> w</w:t>
      </w:r>
      <w:r>
        <w:rPr>
          <w:rFonts w:asciiTheme="majorHAnsi" w:hAnsiTheme="majorHAnsi" w:cstheme="majorHAnsi"/>
          <w:color w:val="000000"/>
        </w:rPr>
        <w:t>il</w:t>
      </w:r>
      <w:r w:rsidRPr="00BB5138">
        <w:rPr>
          <w:rFonts w:asciiTheme="majorHAnsi" w:hAnsiTheme="majorHAnsi" w:cstheme="majorHAnsi"/>
          <w:color w:val="000000"/>
        </w:rPr>
        <w:t>l be to ensure that the factors of sustainability are strengthened while the elements reducing sustainability are addressed as soon as possible</w:t>
      </w:r>
      <w:r>
        <w:rPr>
          <w:rFonts w:asciiTheme="majorHAnsi" w:hAnsiTheme="majorHAnsi" w:cstheme="majorHAnsi"/>
          <w:color w:val="000000"/>
        </w:rPr>
        <w:t>.</w:t>
      </w:r>
    </w:p>
    <w:p w14:paraId="0105C6C0" w14:textId="77777777" w:rsidR="008D0CAD" w:rsidRPr="00106C67" w:rsidRDefault="008D0CAD" w:rsidP="002320B3">
      <w:pPr>
        <w:spacing w:after="120"/>
        <w:rPr>
          <w:rFonts w:asciiTheme="majorHAnsi" w:hAnsiTheme="majorHAnsi" w:cstheme="majorHAnsi"/>
          <w:i/>
          <w:iCs/>
        </w:rPr>
        <w:sectPr w:rsidR="008D0CAD" w:rsidRPr="00106C67" w:rsidSect="009C64E9">
          <w:headerReference w:type="default" r:id="rId42"/>
          <w:pgSz w:w="11900" w:h="16840"/>
          <w:pgMar w:top="1440" w:right="1440" w:bottom="1440" w:left="1440" w:header="720" w:footer="720" w:gutter="0"/>
          <w:cols w:space="720"/>
          <w:docGrid w:linePitch="360"/>
        </w:sectPr>
      </w:pPr>
    </w:p>
    <w:p w14:paraId="55A655EB" w14:textId="15FC505D" w:rsidR="008D0CAD" w:rsidRPr="00D354DC" w:rsidRDefault="008D0CAD" w:rsidP="002320B3">
      <w:pPr>
        <w:pStyle w:val="Caption"/>
        <w:spacing w:after="120"/>
        <w:rPr>
          <w:rFonts w:asciiTheme="majorHAnsi" w:eastAsiaTheme="minorHAnsi" w:hAnsiTheme="majorHAnsi" w:cstheme="majorHAnsi"/>
          <w:sz w:val="24"/>
          <w:szCs w:val="24"/>
        </w:rPr>
      </w:pPr>
      <w:bookmarkStart w:id="166" w:name="_Toc71616627"/>
      <w:r w:rsidRPr="00D354DC">
        <w:rPr>
          <w:rFonts w:asciiTheme="majorHAnsi" w:hAnsiTheme="majorHAnsi" w:cstheme="majorHAnsi"/>
          <w:sz w:val="24"/>
          <w:szCs w:val="24"/>
        </w:rPr>
        <w:t xml:space="preserve">Table </w:t>
      </w:r>
      <w:r w:rsidRPr="00D354DC">
        <w:rPr>
          <w:rFonts w:asciiTheme="majorHAnsi" w:hAnsiTheme="majorHAnsi" w:cstheme="majorHAnsi"/>
          <w:noProof/>
          <w:sz w:val="24"/>
          <w:szCs w:val="24"/>
        </w:rPr>
        <w:fldChar w:fldCharType="begin"/>
      </w:r>
      <w:r w:rsidRPr="00D354DC">
        <w:rPr>
          <w:rFonts w:asciiTheme="majorHAnsi" w:hAnsiTheme="majorHAnsi" w:cstheme="majorHAnsi"/>
          <w:noProof/>
          <w:sz w:val="24"/>
          <w:szCs w:val="24"/>
        </w:rPr>
        <w:instrText xml:space="preserve"> SEQ Table \* ARABIC </w:instrText>
      </w:r>
      <w:r w:rsidRPr="00D354DC">
        <w:rPr>
          <w:rFonts w:asciiTheme="majorHAnsi" w:hAnsiTheme="majorHAnsi" w:cstheme="majorHAnsi"/>
          <w:noProof/>
          <w:sz w:val="24"/>
          <w:szCs w:val="24"/>
        </w:rPr>
        <w:fldChar w:fldCharType="separate"/>
      </w:r>
      <w:r w:rsidR="00D6133D">
        <w:rPr>
          <w:rFonts w:asciiTheme="majorHAnsi" w:hAnsiTheme="majorHAnsi" w:cstheme="majorHAnsi"/>
          <w:noProof/>
          <w:sz w:val="24"/>
          <w:szCs w:val="24"/>
        </w:rPr>
        <w:t>36</w:t>
      </w:r>
      <w:r w:rsidRPr="00D354DC">
        <w:rPr>
          <w:rFonts w:asciiTheme="majorHAnsi" w:hAnsiTheme="majorHAnsi" w:cstheme="majorHAnsi"/>
          <w:noProof/>
          <w:sz w:val="24"/>
          <w:szCs w:val="24"/>
        </w:rPr>
        <w:fldChar w:fldCharType="end"/>
      </w:r>
      <w:r w:rsidRPr="00D354DC">
        <w:rPr>
          <w:rFonts w:asciiTheme="majorHAnsi" w:hAnsiTheme="majorHAnsi" w:cstheme="majorHAnsi"/>
          <w:sz w:val="24"/>
          <w:szCs w:val="24"/>
        </w:rPr>
        <w:t>.</w:t>
      </w:r>
      <w:r w:rsidRPr="00D354DC">
        <w:rPr>
          <w:rFonts w:asciiTheme="majorHAnsi" w:eastAsiaTheme="minorHAnsi" w:hAnsiTheme="majorHAnsi" w:cstheme="majorHAnsi"/>
          <w:sz w:val="24"/>
          <w:szCs w:val="24"/>
        </w:rPr>
        <w:t xml:space="preserve"> Assessment of Contributions of Systemic Reforms to EOPO 3</w:t>
      </w:r>
      <w:bookmarkEnd w:id="166"/>
    </w:p>
    <w:tbl>
      <w:tblPr>
        <w:tblStyle w:val="TableGrid"/>
        <w:tblW w:w="0" w:type="auto"/>
        <w:tblLook w:val="04A0" w:firstRow="1" w:lastRow="0" w:firstColumn="1" w:lastColumn="0" w:noHBand="0" w:noVBand="1"/>
      </w:tblPr>
      <w:tblGrid>
        <w:gridCol w:w="1610"/>
        <w:gridCol w:w="2255"/>
        <w:gridCol w:w="2070"/>
        <w:gridCol w:w="2070"/>
        <w:gridCol w:w="2340"/>
        <w:gridCol w:w="2700"/>
        <w:gridCol w:w="2085"/>
      </w:tblGrid>
      <w:tr w:rsidR="00DA2761" w:rsidRPr="004B064D" w14:paraId="3C5C6E14" w14:textId="77777777" w:rsidTr="004B064D">
        <w:trPr>
          <w:trHeight w:val="809"/>
          <w:tblHeader/>
        </w:trPr>
        <w:tc>
          <w:tcPr>
            <w:tcW w:w="1610" w:type="dxa"/>
          </w:tcPr>
          <w:p w14:paraId="5CBA7D99" w14:textId="77777777" w:rsidR="00DA2761" w:rsidRPr="004B064D" w:rsidRDefault="00DA2761" w:rsidP="00DA2761">
            <w:pPr>
              <w:rPr>
                <w:rFonts w:asciiTheme="majorHAnsi" w:hAnsiTheme="majorHAnsi" w:cstheme="majorHAnsi"/>
                <w:b/>
                <w:color w:val="000000" w:themeColor="text1"/>
                <w:sz w:val="20"/>
                <w:szCs w:val="20"/>
              </w:rPr>
            </w:pPr>
          </w:p>
        </w:tc>
        <w:tc>
          <w:tcPr>
            <w:tcW w:w="2255" w:type="dxa"/>
          </w:tcPr>
          <w:p w14:paraId="79714DCA" w14:textId="4DD7DEF3" w:rsidR="00DA2761" w:rsidRPr="004B064D" w:rsidRDefault="00876C11" w:rsidP="00DA2761">
            <w:pPr>
              <w:rPr>
                <w:rFonts w:asciiTheme="majorHAnsi" w:hAnsiTheme="majorHAnsi" w:cstheme="majorHAnsi"/>
                <w:b/>
                <w:color w:val="000000" w:themeColor="text1"/>
                <w:sz w:val="20"/>
                <w:szCs w:val="20"/>
              </w:rPr>
            </w:pPr>
            <w:r w:rsidRPr="004B064D">
              <w:rPr>
                <w:rFonts w:asciiTheme="majorHAnsi" w:hAnsiTheme="majorHAnsi" w:cstheme="majorHAnsi"/>
                <w:b/>
                <w:color w:val="000000" w:themeColor="text1"/>
                <w:sz w:val="20"/>
                <w:szCs w:val="20"/>
              </w:rPr>
              <w:t>Process</w:t>
            </w:r>
          </w:p>
        </w:tc>
        <w:tc>
          <w:tcPr>
            <w:tcW w:w="2070" w:type="dxa"/>
          </w:tcPr>
          <w:p w14:paraId="0AC23E37" w14:textId="48006C18" w:rsidR="00DA2761" w:rsidRPr="004B064D" w:rsidRDefault="00876C11" w:rsidP="00DA2761">
            <w:pPr>
              <w:rPr>
                <w:rFonts w:asciiTheme="majorHAnsi" w:hAnsiTheme="majorHAnsi" w:cstheme="majorHAnsi"/>
                <w:b/>
                <w:color w:val="000000" w:themeColor="text1"/>
                <w:sz w:val="20"/>
                <w:szCs w:val="20"/>
              </w:rPr>
            </w:pPr>
            <w:r w:rsidRPr="004B064D">
              <w:rPr>
                <w:rFonts w:asciiTheme="majorHAnsi" w:hAnsiTheme="majorHAnsi" w:cstheme="majorHAnsi"/>
                <w:b/>
                <w:color w:val="000000" w:themeColor="text1"/>
                <w:sz w:val="20"/>
                <w:szCs w:val="20"/>
              </w:rPr>
              <w:t>Proces</w:t>
            </w:r>
          </w:p>
        </w:tc>
        <w:tc>
          <w:tcPr>
            <w:tcW w:w="2070" w:type="dxa"/>
          </w:tcPr>
          <w:p w14:paraId="58D972F6" w14:textId="6079268D" w:rsidR="00DA2761" w:rsidRPr="004B064D" w:rsidRDefault="00876C11" w:rsidP="00DA2761">
            <w:pPr>
              <w:rPr>
                <w:rFonts w:asciiTheme="majorHAnsi" w:hAnsiTheme="majorHAnsi" w:cstheme="majorHAnsi"/>
                <w:b/>
                <w:color w:val="000000" w:themeColor="text1"/>
                <w:sz w:val="20"/>
                <w:szCs w:val="20"/>
              </w:rPr>
            </w:pPr>
            <w:r w:rsidRPr="004B064D">
              <w:rPr>
                <w:rFonts w:asciiTheme="majorHAnsi" w:hAnsiTheme="majorHAnsi" w:cstheme="majorHAnsi"/>
                <w:b/>
                <w:color w:val="000000" w:themeColor="text1"/>
                <w:sz w:val="20"/>
                <w:szCs w:val="20"/>
              </w:rPr>
              <w:t>Process</w:t>
            </w:r>
          </w:p>
        </w:tc>
        <w:tc>
          <w:tcPr>
            <w:tcW w:w="2340" w:type="dxa"/>
          </w:tcPr>
          <w:p w14:paraId="291C1CF0" w14:textId="1D41600F" w:rsidR="00DA2761" w:rsidRPr="004B064D" w:rsidRDefault="00DA2761" w:rsidP="00DA2761">
            <w:pPr>
              <w:rPr>
                <w:rFonts w:asciiTheme="majorHAnsi" w:hAnsiTheme="majorHAnsi" w:cstheme="majorHAnsi"/>
                <w:b/>
                <w:color w:val="000000" w:themeColor="text1"/>
                <w:sz w:val="20"/>
                <w:szCs w:val="20"/>
              </w:rPr>
            </w:pPr>
            <w:r w:rsidRPr="004B064D">
              <w:rPr>
                <w:rFonts w:asciiTheme="majorHAnsi" w:hAnsiTheme="majorHAnsi" w:cstheme="majorHAnsi"/>
                <w:b/>
                <w:color w:val="000000" w:themeColor="text1"/>
                <w:sz w:val="20"/>
                <w:szCs w:val="20"/>
              </w:rPr>
              <w:t>Outputs</w:t>
            </w:r>
          </w:p>
        </w:tc>
        <w:tc>
          <w:tcPr>
            <w:tcW w:w="2700" w:type="dxa"/>
          </w:tcPr>
          <w:p w14:paraId="368EE74C" w14:textId="700EE07C" w:rsidR="00DA2761" w:rsidRPr="004B064D" w:rsidRDefault="00DA2761" w:rsidP="00DA2761">
            <w:pPr>
              <w:rPr>
                <w:rFonts w:asciiTheme="majorHAnsi" w:hAnsiTheme="majorHAnsi" w:cstheme="majorHAnsi"/>
                <w:b/>
                <w:color w:val="000000" w:themeColor="text1"/>
                <w:sz w:val="20"/>
                <w:szCs w:val="20"/>
              </w:rPr>
            </w:pPr>
            <w:r w:rsidRPr="004B064D">
              <w:rPr>
                <w:rFonts w:asciiTheme="majorHAnsi" w:hAnsiTheme="majorHAnsi" w:cstheme="majorHAnsi"/>
                <w:b/>
                <w:color w:val="000000" w:themeColor="text1"/>
                <w:sz w:val="20"/>
                <w:szCs w:val="20"/>
              </w:rPr>
              <w:t>Immediate Outcome</w:t>
            </w:r>
          </w:p>
        </w:tc>
        <w:tc>
          <w:tcPr>
            <w:tcW w:w="2085" w:type="dxa"/>
          </w:tcPr>
          <w:p w14:paraId="234C2CB9" w14:textId="05C6E85E" w:rsidR="00DA2761" w:rsidRPr="004B064D" w:rsidRDefault="00DA2761" w:rsidP="00DA2761">
            <w:pPr>
              <w:rPr>
                <w:rFonts w:asciiTheme="majorHAnsi" w:hAnsiTheme="majorHAnsi" w:cstheme="majorHAnsi"/>
                <w:b/>
                <w:color w:val="000000" w:themeColor="text1"/>
                <w:sz w:val="20"/>
                <w:szCs w:val="20"/>
              </w:rPr>
            </w:pPr>
            <w:r w:rsidRPr="004B064D">
              <w:rPr>
                <w:rFonts w:asciiTheme="majorHAnsi" w:hAnsiTheme="majorHAnsi" w:cstheme="majorHAnsi"/>
                <w:b/>
                <w:color w:val="000000" w:themeColor="text1"/>
                <w:sz w:val="20"/>
                <w:szCs w:val="20"/>
              </w:rPr>
              <w:t>Intermediate Outcome</w:t>
            </w:r>
          </w:p>
        </w:tc>
      </w:tr>
      <w:tr w:rsidR="00DA2761" w:rsidRPr="004B064D" w14:paraId="4E0F9621" w14:textId="77777777" w:rsidTr="004B064D">
        <w:trPr>
          <w:trHeight w:val="809"/>
          <w:tblHeader/>
        </w:trPr>
        <w:tc>
          <w:tcPr>
            <w:tcW w:w="1610" w:type="dxa"/>
          </w:tcPr>
          <w:p w14:paraId="26FDC404" w14:textId="643A23D5" w:rsidR="00DA2761" w:rsidRPr="004B064D" w:rsidRDefault="00DA2761" w:rsidP="00DA2761">
            <w:pPr>
              <w:rPr>
                <w:rFonts w:asciiTheme="majorHAnsi" w:hAnsiTheme="majorHAnsi" w:cstheme="majorHAnsi"/>
                <w:b/>
                <w:color w:val="000000" w:themeColor="text1"/>
                <w:sz w:val="20"/>
                <w:szCs w:val="20"/>
              </w:rPr>
            </w:pPr>
            <w:r w:rsidRPr="004B064D">
              <w:rPr>
                <w:rFonts w:asciiTheme="majorHAnsi" w:hAnsiTheme="majorHAnsi" w:cstheme="majorHAnsi"/>
                <w:b/>
                <w:color w:val="000000" w:themeColor="text1"/>
                <w:sz w:val="20"/>
                <w:szCs w:val="20"/>
              </w:rPr>
              <w:t>System</w:t>
            </w:r>
          </w:p>
        </w:tc>
        <w:tc>
          <w:tcPr>
            <w:tcW w:w="2255" w:type="dxa"/>
          </w:tcPr>
          <w:p w14:paraId="705584D3" w14:textId="4C324009" w:rsidR="00DA2761" w:rsidRPr="004B064D" w:rsidRDefault="00DA2761" w:rsidP="00DA2761">
            <w:pPr>
              <w:rPr>
                <w:rFonts w:asciiTheme="majorHAnsi" w:hAnsiTheme="majorHAnsi" w:cstheme="majorHAnsi"/>
                <w:b/>
                <w:color w:val="000000" w:themeColor="text1"/>
                <w:sz w:val="20"/>
              </w:rPr>
            </w:pPr>
            <w:r w:rsidRPr="004B064D">
              <w:rPr>
                <w:rFonts w:asciiTheme="majorHAnsi" w:hAnsiTheme="majorHAnsi" w:cstheme="majorHAnsi"/>
                <w:b/>
                <w:color w:val="000000" w:themeColor="text1"/>
                <w:sz w:val="20"/>
                <w:szCs w:val="20"/>
              </w:rPr>
              <w:t>Knowledge building</w:t>
            </w:r>
          </w:p>
        </w:tc>
        <w:tc>
          <w:tcPr>
            <w:tcW w:w="2070" w:type="dxa"/>
          </w:tcPr>
          <w:p w14:paraId="1BD57569" w14:textId="3ECF68D8" w:rsidR="00DA2761" w:rsidRPr="004B064D" w:rsidRDefault="00DA2761" w:rsidP="00DA2761">
            <w:pPr>
              <w:rPr>
                <w:rFonts w:asciiTheme="majorHAnsi" w:hAnsiTheme="majorHAnsi" w:cstheme="majorHAnsi"/>
                <w:b/>
                <w:color w:val="000000" w:themeColor="text1"/>
                <w:sz w:val="20"/>
              </w:rPr>
            </w:pPr>
            <w:r w:rsidRPr="004B064D">
              <w:rPr>
                <w:rFonts w:asciiTheme="majorHAnsi" w:hAnsiTheme="majorHAnsi" w:cstheme="majorHAnsi"/>
                <w:b/>
                <w:color w:val="000000" w:themeColor="text1"/>
                <w:sz w:val="20"/>
                <w:szCs w:val="20"/>
              </w:rPr>
              <w:t>Mechanisms</w:t>
            </w:r>
          </w:p>
        </w:tc>
        <w:tc>
          <w:tcPr>
            <w:tcW w:w="2070" w:type="dxa"/>
          </w:tcPr>
          <w:p w14:paraId="67060034" w14:textId="35F60807" w:rsidR="00DA2761" w:rsidRPr="004B064D" w:rsidRDefault="00DA2761" w:rsidP="00DA2761">
            <w:pPr>
              <w:rPr>
                <w:rFonts w:asciiTheme="majorHAnsi" w:hAnsiTheme="majorHAnsi" w:cstheme="majorHAnsi"/>
                <w:b/>
                <w:color w:val="000000" w:themeColor="text1"/>
                <w:sz w:val="20"/>
              </w:rPr>
            </w:pPr>
            <w:r w:rsidRPr="004B064D">
              <w:rPr>
                <w:rFonts w:asciiTheme="majorHAnsi" w:hAnsiTheme="majorHAnsi" w:cstheme="majorHAnsi"/>
                <w:b/>
                <w:color w:val="000000" w:themeColor="text1"/>
                <w:sz w:val="20"/>
                <w:szCs w:val="20"/>
              </w:rPr>
              <w:t>Acceptance</w:t>
            </w:r>
          </w:p>
        </w:tc>
        <w:tc>
          <w:tcPr>
            <w:tcW w:w="2340" w:type="dxa"/>
          </w:tcPr>
          <w:p w14:paraId="6C42BA88" w14:textId="0057BE68" w:rsidR="00DA2761" w:rsidRPr="004B064D" w:rsidRDefault="00DA2761" w:rsidP="00DA2761">
            <w:pPr>
              <w:rPr>
                <w:rFonts w:asciiTheme="majorHAnsi" w:hAnsiTheme="majorHAnsi" w:cstheme="majorHAnsi"/>
                <w:b/>
                <w:color w:val="000000" w:themeColor="text1"/>
                <w:sz w:val="20"/>
              </w:rPr>
            </w:pPr>
            <w:r w:rsidRPr="004B064D">
              <w:rPr>
                <w:rFonts w:asciiTheme="majorHAnsi" w:hAnsiTheme="majorHAnsi" w:cstheme="majorHAnsi"/>
                <w:b/>
                <w:color w:val="000000" w:themeColor="text1"/>
                <w:sz w:val="20"/>
                <w:szCs w:val="20"/>
              </w:rPr>
              <w:t>Products</w:t>
            </w:r>
          </w:p>
        </w:tc>
        <w:tc>
          <w:tcPr>
            <w:tcW w:w="2700" w:type="dxa"/>
          </w:tcPr>
          <w:p w14:paraId="56FAE5F8" w14:textId="413053E7" w:rsidR="00DA2761" w:rsidRPr="004B064D" w:rsidRDefault="00DA2761" w:rsidP="00DA2761">
            <w:pPr>
              <w:rPr>
                <w:rFonts w:asciiTheme="majorHAnsi" w:hAnsiTheme="majorHAnsi" w:cstheme="majorHAnsi"/>
                <w:b/>
                <w:color w:val="000000" w:themeColor="text1"/>
                <w:sz w:val="20"/>
              </w:rPr>
            </w:pPr>
            <w:r w:rsidRPr="004B064D">
              <w:rPr>
                <w:rFonts w:asciiTheme="majorHAnsi" w:hAnsiTheme="majorHAnsi" w:cstheme="majorHAnsi"/>
                <w:b/>
                <w:color w:val="000000" w:themeColor="text1"/>
                <w:sz w:val="20"/>
                <w:szCs w:val="20"/>
              </w:rPr>
              <w:t>Practice</w:t>
            </w:r>
          </w:p>
        </w:tc>
        <w:tc>
          <w:tcPr>
            <w:tcW w:w="2085" w:type="dxa"/>
          </w:tcPr>
          <w:p w14:paraId="725550F4" w14:textId="760FA0A1" w:rsidR="00DA2761" w:rsidRPr="004B064D" w:rsidRDefault="00DA2761" w:rsidP="00DA2761">
            <w:pPr>
              <w:rPr>
                <w:rFonts w:asciiTheme="majorHAnsi" w:hAnsiTheme="majorHAnsi" w:cstheme="majorHAnsi"/>
                <w:b/>
                <w:color w:val="000000" w:themeColor="text1"/>
                <w:sz w:val="20"/>
                <w:szCs w:val="20"/>
              </w:rPr>
            </w:pPr>
            <w:r w:rsidRPr="004B064D">
              <w:rPr>
                <w:rFonts w:asciiTheme="majorHAnsi" w:hAnsiTheme="majorHAnsi" w:cstheme="majorHAnsi"/>
                <w:b/>
                <w:color w:val="000000" w:themeColor="text1"/>
                <w:sz w:val="20"/>
                <w:szCs w:val="20"/>
              </w:rPr>
              <w:t>Sustainability mechanisms</w:t>
            </w:r>
          </w:p>
        </w:tc>
      </w:tr>
      <w:tr w:rsidR="008D0CAD" w:rsidRPr="007B2B0D" w14:paraId="092A2A51" w14:textId="77777777" w:rsidTr="00E26D25">
        <w:trPr>
          <w:trHeight w:val="809"/>
        </w:trPr>
        <w:tc>
          <w:tcPr>
            <w:tcW w:w="1610" w:type="dxa"/>
          </w:tcPr>
          <w:p w14:paraId="0787EC8D" w14:textId="77777777" w:rsidR="008D0CAD" w:rsidRPr="007B2B0D" w:rsidRDefault="008D0CAD" w:rsidP="002320B3">
            <w:pPr>
              <w:rPr>
                <w:rFonts w:asciiTheme="majorHAnsi" w:hAnsiTheme="majorHAnsi" w:cstheme="majorHAnsi"/>
                <w:bCs/>
                <w:color w:val="000000" w:themeColor="text1"/>
                <w:sz w:val="20"/>
                <w:szCs w:val="20"/>
              </w:rPr>
            </w:pPr>
            <w:r w:rsidRPr="007B2B0D">
              <w:rPr>
                <w:rFonts w:asciiTheme="majorHAnsi" w:hAnsiTheme="majorHAnsi" w:cstheme="majorHAnsi"/>
                <w:bCs/>
                <w:color w:val="000000" w:themeColor="text1"/>
                <w:sz w:val="20"/>
                <w:szCs w:val="20"/>
              </w:rPr>
              <w:t>L&amp;D System</w:t>
            </w:r>
          </w:p>
        </w:tc>
        <w:tc>
          <w:tcPr>
            <w:tcW w:w="2255" w:type="dxa"/>
          </w:tcPr>
          <w:p w14:paraId="048A8B9B" w14:textId="77777777" w:rsidR="008D0CAD" w:rsidRPr="00273F9B" w:rsidRDefault="008D0CAD" w:rsidP="002320B3">
            <w:pPr>
              <w:pStyle w:val="ListParagraph"/>
              <w:numPr>
                <w:ilvl w:val="0"/>
                <w:numId w:val="24"/>
              </w:numPr>
              <w:rPr>
                <w:rFonts w:asciiTheme="majorHAnsi" w:hAnsiTheme="majorHAnsi" w:cstheme="majorHAnsi"/>
                <w:bCs/>
                <w:color w:val="000000" w:themeColor="text1"/>
                <w:sz w:val="20"/>
              </w:rPr>
            </w:pPr>
            <w:r w:rsidRPr="00273F9B">
              <w:rPr>
                <w:rFonts w:asciiTheme="majorHAnsi" w:hAnsiTheme="majorHAnsi" w:cstheme="majorHAnsi"/>
                <w:bCs/>
                <w:color w:val="000000" w:themeColor="text1"/>
                <w:sz w:val="20"/>
              </w:rPr>
              <w:t>Roll-out capacity building approach used</w:t>
            </w:r>
            <w:r>
              <w:rPr>
                <w:rFonts w:asciiTheme="majorHAnsi" w:hAnsiTheme="majorHAnsi" w:cs="Calibri Light (Headings)"/>
                <w:bCs/>
                <w:color w:val="000000" w:themeColor="text1"/>
                <w:sz w:val="20"/>
                <w:vertAlign w:val="superscript"/>
              </w:rPr>
              <w:t>1</w:t>
            </w:r>
          </w:p>
          <w:p w14:paraId="521A7D7E" w14:textId="77777777" w:rsidR="008D0CAD" w:rsidRPr="00273F9B" w:rsidRDefault="008D0CAD" w:rsidP="002320B3">
            <w:pPr>
              <w:pStyle w:val="ListParagraph"/>
              <w:numPr>
                <w:ilvl w:val="0"/>
                <w:numId w:val="24"/>
              </w:numPr>
              <w:rPr>
                <w:rFonts w:asciiTheme="majorHAnsi" w:hAnsiTheme="majorHAnsi" w:cstheme="majorHAnsi"/>
                <w:bCs/>
                <w:color w:val="000000" w:themeColor="text1"/>
                <w:sz w:val="20"/>
              </w:rPr>
            </w:pPr>
            <w:r w:rsidRPr="00273F9B">
              <w:rPr>
                <w:rFonts w:asciiTheme="majorHAnsi" w:hAnsiTheme="majorHAnsi" w:cstheme="majorHAnsi"/>
                <w:bCs/>
                <w:color w:val="000000" w:themeColor="text1"/>
                <w:sz w:val="20"/>
              </w:rPr>
              <w:t>Limited capacity building</w:t>
            </w:r>
            <w:r>
              <w:rPr>
                <w:rFonts w:asciiTheme="majorHAnsi" w:hAnsiTheme="majorHAnsi" w:cs="Calibri Light (Headings)"/>
                <w:bCs/>
                <w:color w:val="000000" w:themeColor="text1"/>
                <w:sz w:val="20"/>
                <w:vertAlign w:val="superscript"/>
              </w:rPr>
              <w:t>1,5&amp;8</w:t>
            </w:r>
          </w:p>
        </w:tc>
        <w:tc>
          <w:tcPr>
            <w:tcW w:w="2070" w:type="dxa"/>
          </w:tcPr>
          <w:p w14:paraId="5D4D2FDA" w14:textId="14E612B5" w:rsidR="008D0CAD" w:rsidRPr="00F872DB" w:rsidRDefault="008D0CAD" w:rsidP="002320B3">
            <w:pPr>
              <w:pStyle w:val="ListParagraph"/>
              <w:numPr>
                <w:ilvl w:val="0"/>
                <w:numId w:val="18"/>
              </w:numPr>
              <w:rPr>
                <w:rFonts w:asciiTheme="majorHAnsi" w:hAnsiTheme="majorHAnsi" w:cstheme="majorHAnsi"/>
                <w:bCs/>
                <w:color w:val="000000" w:themeColor="text1"/>
                <w:sz w:val="20"/>
              </w:rPr>
            </w:pPr>
            <w:r>
              <w:rPr>
                <w:rFonts w:asciiTheme="majorHAnsi" w:hAnsiTheme="majorHAnsi" w:cstheme="majorHAnsi"/>
                <w:bCs/>
                <w:color w:val="000000" w:themeColor="text1"/>
                <w:sz w:val="20"/>
              </w:rPr>
              <w:t>Learning and Development (</w:t>
            </w:r>
            <w:r w:rsidRPr="00F872DB">
              <w:rPr>
                <w:rFonts w:asciiTheme="majorHAnsi" w:hAnsiTheme="majorHAnsi" w:cstheme="majorHAnsi"/>
                <w:bCs/>
                <w:color w:val="000000" w:themeColor="text1"/>
                <w:sz w:val="20"/>
              </w:rPr>
              <w:t>L&amp;D</w:t>
            </w:r>
            <w:r>
              <w:rPr>
                <w:rFonts w:asciiTheme="majorHAnsi" w:hAnsiTheme="majorHAnsi" w:cstheme="majorHAnsi"/>
                <w:bCs/>
                <w:color w:val="000000" w:themeColor="text1"/>
                <w:sz w:val="20"/>
              </w:rPr>
              <w:t>)</w:t>
            </w:r>
            <w:r w:rsidRPr="00F872DB">
              <w:rPr>
                <w:rFonts w:asciiTheme="majorHAnsi" w:hAnsiTheme="majorHAnsi" w:cstheme="majorHAnsi"/>
                <w:bCs/>
                <w:color w:val="000000" w:themeColor="text1"/>
                <w:sz w:val="20"/>
              </w:rPr>
              <w:t xml:space="preserve"> System cycle well described</w:t>
            </w:r>
            <w:r>
              <w:rPr>
                <w:rFonts w:asciiTheme="majorHAnsi" w:hAnsiTheme="majorHAnsi" w:cs="Calibri Light (Headings)"/>
                <w:bCs/>
                <w:color w:val="000000" w:themeColor="text1"/>
                <w:sz w:val="20"/>
                <w:vertAlign w:val="superscript"/>
              </w:rPr>
              <w:t>1</w:t>
            </w:r>
            <w:r w:rsidR="00D434EB">
              <w:rPr>
                <w:rFonts w:asciiTheme="majorHAnsi" w:hAnsiTheme="majorHAnsi" w:cstheme="majorHAnsi"/>
                <w:bCs/>
                <w:color w:val="000000" w:themeColor="text1"/>
                <w:sz w:val="20"/>
              </w:rPr>
              <w:t xml:space="preserve"> </w:t>
            </w:r>
          </w:p>
          <w:p w14:paraId="7531994E" w14:textId="77777777" w:rsidR="008D0CAD" w:rsidRDefault="008D0CAD" w:rsidP="002320B3">
            <w:pPr>
              <w:pStyle w:val="ListParagraph"/>
              <w:numPr>
                <w:ilvl w:val="0"/>
                <w:numId w:val="18"/>
              </w:numPr>
              <w:rPr>
                <w:rFonts w:asciiTheme="majorHAnsi" w:hAnsiTheme="majorHAnsi" w:cstheme="majorHAnsi"/>
                <w:bCs/>
                <w:color w:val="000000" w:themeColor="text1"/>
                <w:sz w:val="20"/>
              </w:rPr>
            </w:pPr>
            <w:r w:rsidRPr="00F872DB">
              <w:rPr>
                <w:rFonts w:asciiTheme="majorHAnsi" w:hAnsiTheme="majorHAnsi" w:cstheme="majorHAnsi"/>
                <w:bCs/>
                <w:color w:val="000000" w:themeColor="text1"/>
                <w:sz w:val="20"/>
              </w:rPr>
              <w:t>Different modalities of training provided</w:t>
            </w:r>
            <w:r>
              <w:rPr>
                <w:rFonts w:asciiTheme="majorHAnsi" w:hAnsiTheme="majorHAnsi" w:cs="Calibri Light (Headings)"/>
                <w:bCs/>
                <w:color w:val="000000" w:themeColor="text1"/>
                <w:sz w:val="20"/>
                <w:vertAlign w:val="superscript"/>
              </w:rPr>
              <w:t>1&amp;5</w:t>
            </w:r>
          </w:p>
          <w:p w14:paraId="0AD340BF" w14:textId="59687535" w:rsidR="008D0CAD" w:rsidRPr="00F872DB" w:rsidRDefault="008D0CAD" w:rsidP="002320B3">
            <w:pPr>
              <w:pStyle w:val="ListParagraph"/>
              <w:numPr>
                <w:ilvl w:val="0"/>
                <w:numId w:val="18"/>
              </w:numPr>
              <w:rPr>
                <w:rFonts w:asciiTheme="majorHAnsi" w:hAnsiTheme="majorHAnsi" w:cstheme="majorHAnsi"/>
                <w:bCs/>
                <w:color w:val="000000" w:themeColor="text1"/>
                <w:sz w:val="20"/>
              </w:rPr>
            </w:pPr>
            <w:r>
              <w:rPr>
                <w:rFonts w:asciiTheme="majorHAnsi" w:hAnsiTheme="majorHAnsi" w:cstheme="majorHAnsi"/>
                <w:bCs/>
                <w:color w:val="000000" w:themeColor="text1"/>
                <w:sz w:val="20"/>
              </w:rPr>
              <w:t>Development of teaching and learning tools</w:t>
            </w:r>
            <w:r>
              <w:rPr>
                <w:rFonts w:asciiTheme="majorHAnsi" w:hAnsiTheme="majorHAnsi" w:cs="Calibri Light (Headings)"/>
                <w:bCs/>
                <w:color w:val="000000" w:themeColor="text1"/>
                <w:sz w:val="20"/>
                <w:vertAlign w:val="superscript"/>
              </w:rPr>
              <w:t>1</w:t>
            </w:r>
            <w:r w:rsidR="00D434EB">
              <w:rPr>
                <w:rFonts w:asciiTheme="majorHAnsi" w:hAnsiTheme="majorHAnsi" w:cstheme="majorHAnsi"/>
                <w:bCs/>
                <w:color w:val="000000" w:themeColor="text1"/>
                <w:sz w:val="20"/>
              </w:rPr>
              <w:t xml:space="preserve"> </w:t>
            </w:r>
          </w:p>
        </w:tc>
        <w:tc>
          <w:tcPr>
            <w:tcW w:w="2070" w:type="dxa"/>
          </w:tcPr>
          <w:p w14:paraId="65679928" w14:textId="77777777" w:rsidR="008D0CAD" w:rsidRPr="00596999" w:rsidRDefault="008D0CAD" w:rsidP="002320B3">
            <w:pPr>
              <w:pStyle w:val="ListParagraph"/>
              <w:numPr>
                <w:ilvl w:val="0"/>
                <w:numId w:val="18"/>
              </w:numPr>
              <w:rPr>
                <w:rFonts w:asciiTheme="majorHAnsi" w:hAnsiTheme="majorHAnsi" w:cstheme="majorHAnsi"/>
                <w:bCs/>
                <w:color w:val="000000" w:themeColor="text1"/>
                <w:sz w:val="20"/>
              </w:rPr>
            </w:pPr>
            <w:r w:rsidRPr="00596999">
              <w:rPr>
                <w:rFonts w:asciiTheme="majorHAnsi" w:hAnsiTheme="majorHAnsi" w:cstheme="majorHAnsi"/>
                <w:bCs/>
                <w:color w:val="000000" w:themeColor="text1"/>
                <w:sz w:val="20"/>
              </w:rPr>
              <w:t xml:space="preserve">High acceptance across all </w:t>
            </w:r>
            <w:r>
              <w:rPr>
                <w:rFonts w:asciiTheme="majorHAnsi" w:hAnsiTheme="majorHAnsi" w:cstheme="majorHAnsi"/>
                <w:bCs/>
                <w:color w:val="000000" w:themeColor="text1"/>
                <w:sz w:val="20"/>
              </w:rPr>
              <w:t>Regional Offices (</w:t>
            </w:r>
            <w:r w:rsidRPr="00596999">
              <w:rPr>
                <w:rFonts w:asciiTheme="majorHAnsi" w:hAnsiTheme="majorHAnsi" w:cstheme="majorHAnsi"/>
                <w:bCs/>
                <w:color w:val="000000" w:themeColor="text1"/>
                <w:sz w:val="20"/>
              </w:rPr>
              <w:t>ROs</w:t>
            </w:r>
            <w:r>
              <w:rPr>
                <w:rFonts w:asciiTheme="majorHAnsi" w:hAnsiTheme="majorHAnsi" w:cstheme="majorHAnsi"/>
                <w:bCs/>
                <w:color w:val="000000" w:themeColor="text1"/>
                <w:sz w:val="20"/>
              </w:rPr>
              <w:t>)</w:t>
            </w:r>
            <w:r w:rsidRPr="00596999">
              <w:rPr>
                <w:rFonts w:asciiTheme="majorHAnsi" w:hAnsiTheme="majorHAnsi" w:cstheme="majorHAnsi"/>
                <w:bCs/>
                <w:color w:val="000000" w:themeColor="text1"/>
                <w:sz w:val="20"/>
              </w:rPr>
              <w:t xml:space="preserve"> and </w:t>
            </w:r>
            <w:r>
              <w:rPr>
                <w:rFonts w:asciiTheme="majorHAnsi" w:hAnsiTheme="majorHAnsi" w:cstheme="majorHAnsi"/>
                <w:bCs/>
                <w:color w:val="000000" w:themeColor="text1"/>
                <w:sz w:val="20"/>
              </w:rPr>
              <w:t>District Offices (</w:t>
            </w:r>
            <w:r w:rsidRPr="00596999">
              <w:rPr>
                <w:rFonts w:asciiTheme="majorHAnsi" w:hAnsiTheme="majorHAnsi" w:cstheme="majorHAnsi"/>
                <w:bCs/>
                <w:color w:val="000000" w:themeColor="text1"/>
                <w:sz w:val="20"/>
              </w:rPr>
              <w:t>DOs</w:t>
            </w:r>
            <w:r>
              <w:rPr>
                <w:rFonts w:asciiTheme="majorHAnsi" w:hAnsiTheme="majorHAnsi" w:cstheme="majorHAnsi"/>
                <w:bCs/>
                <w:color w:val="000000" w:themeColor="text1"/>
                <w:sz w:val="20"/>
              </w:rPr>
              <w:t>)</w:t>
            </w:r>
            <w:r>
              <w:rPr>
                <w:rFonts w:asciiTheme="majorHAnsi" w:hAnsiTheme="majorHAnsi" w:cs="Calibri Light (Headings)"/>
                <w:bCs/>
                <w:color w:val="000000" w:themeColor="text1"/>
                <w:sz w:val="20"/>
                <w:vertAlign w:val="superscript"/>
              </w:rPr>
              <w:t xml:space="preserve"> 1&amp;5</w:t>
            </w:r>
          </w:p>
          <w:p w14:paraId="526B6F18" w14:textId="77777777" w:rsidR="008D0CAD" w:rsidRPr="00596999" w:rsidRDefault="008D0CAD" w:rsidP="002320B3">
            <w:pPr>
              <w:pStyle w:val="ListParagraph"/>
              <w:numPr>
                <w:ilvl w:val="0"/>
                <w:numId w:val="18"/>
              </w:numPr>
              <w:rPr>
                <w:rFonts w:asciiTheme="majorHAnsi" w:hAnsiTheme="majorHAnsi" w:cstheme="majorHAnsi"/>
                <w:bCs/>
                <w:color w:val="000000" w:themeColor="text1"/>
                <w:sz w:val="20"/>
              </w:rPr>
            </w:pPr>
            <w:r w:rsidRPr="00596999">
              <w:rPr>
                <w:rFonts w:asciiTheme="majorHAnsi" w:hAnsiTheme="majorHAnsi" w:cstheme="majorHAnsi"/>
                <w:bCs/>
                <w:color w:val="000000" w:themeColor="text1"/>
                <w:sz w:val="20"/>
              </w:rPr>
              <w:t xml:space="preserve">L&amp;D primarily equated with </w:t>
            </w:r>
            <w:r>
              <w:rPr>
                <w:rFonts w:asciiTheme="majorHAnsi" w:hAnsiTheme="majorHAnsi" w:cstheme="majorHAnsi"/>
                <w:bCs/>
                <w:color w:val="000000" w:themeColor="text1"/>
                <w:sz w:val="20"/>
              </w:rPr>
              <w:t>Learning Action Cells (</w:t>
            </w:r>
            <w:r w:rsidRPr="00596999">
              <w:rPr>
                <w:rFonts w:asciiTheme="majorHAnsi" w:hAnsiTheme="majorHAnsi" w:cstheme="majorHAnsi"/>
                <w:bCs/>
                <w:color w:val="000000" w:themeColor="text1"/>
                <w:sz w:val="20"/>
              </w:rPr>
              <w:t>LACs</w:t>
            </w:r>
            <w:r>
              <w:rPr>
                <w:rFonts w:asciiTheme="majorHAnsi" w:hAnsiTheme="majorHAnsi" w:cstheme="majorHAnsi"/>
                <w:bCs/>
                <w:color w:val="000000" w:themeColor="text1"/>
                <w:sz w:val="20"/>
              </w:rPr>
              <w:t>)</w:t>
            </w:r>
            <w:r w:rsidRPr="00596999">
              <w:rPr>
                <w:rFonts w:asciiTheme="majorHAnsi" w:hAnsiTheme="majorHAnsi" w:cstheme="majorHAnsi"/>
                <w:bCs/>
                <w:color w:val="000000" w:themeColor="text1"/>
                <w:sz w:val="20"/>
              </w:rPr>
              <w:t xml:space="preserve"> in schools</w:t>
            </w:r>
            <w:r>
              <w:rPr>
                <w:rFonts w:asciiTheme="majorHAnsi" w:hAnsiTheme="majorHAnsi" w:cs="Calibri Light (Headings)"/>
                <w:bCs/>
                <w:color w:val="000000" w:themeColor="text1"/>
                <w:sz w:val="20"/>
                <w:vertAlign w:val="superscript"/>
              </w:rPr>
              <w:t>1,5,&amp;8</w:t>
            </w:r>
          </w:p>
        </w:tc>
        <w:tc>
          <w:tcPr>
            <w:tcW w:w="2340" w:type="dxa"/>
          </w:tcPr>
          <w:p w14:paraId="7E91C435" w14:textId="77777777" w:rsidR="008D0CAD" w:rsidRPr="00F872DB" w:rsidRDefault="008D0CAD" w:rsidP="002320B3">
            <w:pPr>
              <w:pStyle w:val="ListParagraph"/>
              <w:numPr>
                <w:ilvl w:val="0"/>
                <w:numId w:val="19"/>
              </w:numPr>
              <w:rPr>
                <w:rFonts w:asciiTheme="majorHAnsi" w:hAnsiTheme="majorHAnsi" w:cstheme="majorHAnsi"/>
                <w:bCs/>
                <w:color w:val="000000" w:themeColor="text1"/>
                <w:sz w:val="20"/>
              </w:rPr>
            </w:pPr>
            <w:r w:rsidRPr="00F872DB">
              <w:rPr>
                <w:rFonts w:asciiTheme="majorHAnsi" w:hAnsiTheme="majorHAnsi" w:cstheme="majorHAnsi"/>
                <w:bCs/>
                <w:color w:val="000000" w:themeColor="text1"/>
                <w:sz w:val="20"/>
              </w:rPr>
              <w:t>Policy, framework, guidelines and manual developed</w:t>
            </w:r>
            <w:r>
              <w:rPr>
                <w:rFonts w:asciiTheme="majorHAnsi" w:hAnsiTheme="majorHAnsi" w:cstheme="majorHAnsi"/>
                <w:bCs/>
                <w:color w:val="000000" w:themeColor="text1"/>
                <w:sz w:val="20"/>
              </w:rPr>
              <w:t xml:space="preserve"> but no policy was issued</w:t>
            </w:r>
            <w:r>
              <w:rPr>
                <w:rFonts w:asciiTheme="majorHAnsi" w:hAnsiTheme="majorHAnsi" w:cs="Calibri Light (Headings)"/>
                <w:bCs/>
                <w:color w:val="000000" w:themeColor="text1"/>
                <w:sz w:val="20"/>
                <w:vertAlign w:val="superscript"/>
              </w:rPr>
              <w:t>1,3&amp;5</w:t>
            </w:r>
          </w:p>
          <w:p w14:paraId="392112F3" w14:textId="176548B9" w:rsidR="008D0CAD" w:rsidRPr="00F872DB" w:rsidRDefault="008D0CAD" w:rsidP="002320B3">
            <w:pPr>
              <w:pStyle w:val="ListParagraph"/>
              <w:numPr>
                <w:ilvl w:val="0"/>
                <w:numId w:val="19"/>
              </w:numPr>
              <w:rPr>
                <w:rFonts w:asciiTheme="majorHAnsi" w:hAnsiTheme="majorHAnsi" w:cstheme="majorHAnsi"/>
                <w:bCs/>
                <w:color w:val="000000" w:themeColor="text1"/>
                <w:sz w:val="20"/>
              </w:rPr>
            </w:pPr>
            <w:r w:rsidRPr="00F872DB">
              <w:rPr>
                <w:rFonts w:asciiTheme="majorHAnsi" w:hAnsiTheme="majorHAnsi" w:cstheme="majorHAnsi"/>
                <w:bCs/>
                <w:color w:val="000000" w:themeColor="text1"/>
                <w:sz w:val="20"/>
              </w:rPr>
              <w:t>Teaching &amp; Learning resources developed</w:t>
            </w:r>
            <w:r>
              <w:rPr>
                <w:rFonts w:asciiTheme="majorHAnsi" w:hAnsiTheme="majorHAnsi" w:cs="Calibri Light (Headings)"/>
                <w:bCs/>
                <w:color w:val="000000" w:themeColor="text1"/>
                <w:sz w:val="20"/>
                <w:vertAlign w:val="superscript"/>
              </w:rPr>
              <w:t>1</w:t>
            </w:r>
            <w:r w:rsidR="00D434EB">
              <w:rPr>
                <w:rFonts w:asciiTheme="majorHAnsi" w:hAnsiTheme="majorHAnsi" w:cstheme="majorHAnsi"/>
                <w:bCs/>
                <w:color w:val="000000" w:themeColor="text1"/>
                <w:sz w:val="20"/>
              </w:rPr>
              <w:t xml:space="preserve"> </w:t>
            </w:r>
          </w:p>
        </w:tc>
        <w:tc>
          <w:tcPr>
            <w:tcW w:w="2700" w:type="dxa"/>
          </w:tcPr>
          <w:p w14:paraId="44E0CB1F" w14:textId="77777777" w:rsidR="008D0CAD" w:rsidRPr="00CA2618" w:rsidRDefault="008D0CAD" w:rsidP="002320B3">
            <w:pPr>
              <w:pStyle w:val="ListParagraph"/>
              <w:numPr>
                <w:ilvl w:val="0"/>
                <w:numId w:val="19"/>
              </w:numPr>
              <w:rPr>
                <w:rFonts w:asciiTheme="majorHAnsi" w:hAnsiTheme="majorHAnsi" w:cstheme="majorHAnsi"/>
                <w:bCs/>
                <w:color w:val="000000" w:themeColor="text1"/>
                <w:sz w:val="20"/>
              </w:rPr>
            </w:pPr>
            <w:r w:rsidRPr="00CA2618">
              <w:rPr>
                <w:rFonts w:asciiTheme="majorHAnsi" w:hAnsiTheme="majorHAnsi" w:cstheme="majorHAnsi"/>
                <w:bCs/>
                <w:color w:val="000000" w:themeColor="text1"/>
                <w:sz w:val="20"/>
              </w:rPr>
              <w:t>At least two Regions have completed the Learning and Development Needs Assessment (LDNA) process</w:t>
            </w:r>
            <w:r w:rsidRPr="00CA2618">
              <w:rPr>
                <w:rFonts w:asciiTheme="majorHAnsi" w:hAnsiTheme="majorHAnsi" w:cs="Calibri Light (Headings)"/>
                <w:bCs/>
                <w:color w:val="000000" w:themeColor="text1"/>
                <w:sz w:val="20"/>
                <w:vertAlign w:val="superscript"/>
              </w:rPr>
              <w:t>5&amp;</w:t>
            </w:r>
            <w:r>
              <w:rPr>
                <w:rFonts w:asciiTheme="majorHAnsi" w:hAnsiTheme="majorHAnsi" w:cs="Calibri Light (Headings)"/>
                <w:bCs/>
                <w:color w:val="000000" w:themeColor="text1"/>
                <w:sz w:val="20"/>
                <w:vertAlign w:val="superscript"/>
              </w:rPr>
              <w:t>7</w:t>
            </w:r>
            <w:r w:rsidRPr="00CA2618">
              <w:rPr>
                <w:rFonts w:asciiTheme="majorHAnsi" w:hAnsiTheme="majorHAnsi" w:cstheme="majorHAnsi"/>
                <w:bCs/>
                <w:color w:val="000000" w:themeColor="text1"/>
                <w:sz w:val="20"/>
              </w:rPr>
              <w:t xml:space="preserve"> </w:t>
            </w:r>
          </w:p>
          <w:p w14:paraId="7EDD2BBD" w14:textId="77777777" w:rsidR="008D0CAD" w:rsidRPr="00CA2618" w:rsidRDefault="008D0CAD" w:rsidP="002320B3">
            <w:pPr>
              <w:pStyle w:val="ListParagraph"/>
              <w:numPr>
                <w:ilvl w:val="0"/>
                <w:numId w:val="19"/>
              </w:numPr>
              <w:rPr>
                <w:rFonts w:asciiTheme="majorHAnsi" w:hAnsiTheme="majorHAnsi" w:cstheme="majorHAnsi"/>
                <w:bCs/>
                <w:color w:val="000000" w:themeColor="text1"/>
                <w:sz w:val="20"/>
              </w:rPr>
            </w:pPr>
            <w:r w:rsidRPr="00CA2618">
              <w:rPr>
                <w:rFonts w:asciiTheme="majorHAnsi" w:hAnsiTheme="majorHAnsi" w:cstheme="majorHAnsi"/>
                <w:bCs/>
                <w:color w:val="000000" w:themeColor="text1"/>
                <w:sz w:val="20"/>
              </w:rPr>
              <w:t>Widespread use of LAC as training modality</w:t>
            </w:r>
            <w:r w:rsidRPr="00CA2618">
              <w:rPr>
                <w:rFonts w:asciiTheme="majorHAnsi" w:hAnsiTheme="majorHAnsi" w:cs="Calibri Light (Headings)"/>
                <w:bCs/>
                <w:color w:val="000000" w:themeColor="text1"/>
                <w:sz w:val="20"/>
                <w:vertAlign w:val="superscript"/>
              </w:rPr>
              <w:t>5&amp;</w:t>
            </w:r>
            <w:r>
              <w:rPr>
                <w:rFonts w:asciiTheme="majorHAnsi" w:hAnsiTheme="majorHAnsi" w:cs="Calibri Light (Headings)"/>
                <w:bCs/>
                <w:color w:val="000000" w:themeColor="text1"/>
                <w:sz w:val="20"/>
                <w:vertAlign w:val="superscript"/>
              </w:rPr>
              <w:t>8</w:t>
            </w:r>
          </w:p>
          <w:p w14:paraId="05E3FCCE" w14:textId="77777777" w:rsidR="008D0CAD" w:rsidRPr="00CA2618" w:rsidRDefault="008D0CAD" w:rsidP="002320B3">
            <w:pPr>
              <w:pStyle w:val="ListParagraph"/>
              <w:numPr>
                <w:ilvl w:val="0"/>
                <w:numId w:val="19"/>
              </w:numPr>
              <w:rPr>
                <w:rFonts w:asciiTheme="majorHAnsi" w:hAnsiTheme="majorHAnsi" w:cstheme="majorHAnsi"/>
                <w:bCs/>
                <w:color w:val="000000" w:themeColor="text1"/>
                <w:sz w:val="20"/>
              </w:rPr>
            </w:pPr>
            <w:r w:rsidRPr="00CA2618">
              <w:rPr>
                <w:rFonts w:asciiTheme="majorHAnsi" w:hAnsiTheme="majorHAnsi" w:cstheme="majorHAnsi"/>
                <w:bCs/>
                <w:color w:val="000000" w:themeColor="text1"/>
                <w:sz w:val="20"/>
              </w:rPr>
              <w:t>Tendency of LACs to become “burdensome” to teachers</w:t>
            </w:r>
            <w:r w:rsidRPr="00CA2618">
              <w:rPr>
                <w:rFonts w:asciiTheme="majorHAnsi" w:hAnsiTheme="majorHAnsi" w:cs="Calibri Light (Headings)"/>
                <w:bCs/>
                <w:color w:val="000000" w:themeColor="text1"/>
                <w:sz w:val="20"/>
                <w:vertAlign w:val="superscript"/>
              </w:rPr>
              <w:t>7</w:t>
            </w:r>
          </w:p>
          <w:p w14:paraId="16662A27" w14:textId="77777777" w:rsidR="008D0CAD" w:rsidRPr="00CA2618" w:rsidRDefault="008D0CAD" w:rsidP="002320B3">
            <w:pPr>
              <w:pStyle w:val="ListParagraph"/>
              <w:numPr>
                <w:ilvl w:val="0"/>
                <w:numId w:val="19"/>
              </w:numPr>
              <w:rPr>
                <w:rFonts w:asciiTheme="majorHAnsi" w:hAnsiTheme="majorHAnsi" w:cstheme="majorHAnsi"/>
                <w:bCs/>
                <w:color w:val="000000" w:themeColor="text1"/>
                <w:sz w:val="20"/>
              </w:rPr>
            </w:pPr>
            <w:r w:rsidRPr="00CA2618">
              <w:rPr>
                <w:rFonts w:asciiTheme="majorHAnsi" w:hAnsiTheme="majorHAnsi" w:cstheme="majorHAnsi"/>
                <w:bCs/>
                <w:color w:val="000000" w:themeColor="text1"/>
                <w:sz w:val="20"/>
              </w:rPr>
              <w:t>Monitoring of conduct of LACs not done</w:t>
            </w:r>
            <w:r w:rsidRPr="00CA2618">
              <w:rPr>
                <w:rFonts w:asciiTheme="majorHAnsi" w:hAnsiTheme="majorHAnsi" w:cs="Calibri Light (Headings)"/>
                <w:bCs/>
                <w:color w:val="000000" w:themeColor="text1"/>
                <w:sz w:val="20"/>
                <w:vertAlign w:val="superscript"/>
              </w:rPr>
              <w:t>3</w:t>
            </w:r>
          </w:p>
          <w:p w14:paraId="686BE04C" w14:textId="77777777" w:rsidR="008D0CAD" w:rsidRPr="00CA2618" w:rsidRDefault="008D0CAD" w:rsidP="002320B3">
            <w:pPr>
              <w:pStyle w:val="ListParagraph"/>
              <w:numPr>
                <w:ilvl w:val="0"/>
                <w:numId w:val="19"/>
              </w:numPr>
              <w:rPr>
                <w:rFonts w:asciiTheme="majorHAnsi" w:hAnsiTheme="majorHAnsi" w:cstheme="majorHAnsi"/>
                <w:bCs/>
                <w:color w:val="000000" w:themeColor="text1"/>
                <w:sz w:val="20"/>
              </w:rPr>
            </w:pPr>
            <w:r w:rsidRPr="00CA2618">
              <w:rPr>
                <w:rFonts w:asciiTheme="majorHAnsi" w:hAnsiTheme="majorHAnsi" w:cstheme="majorHAnsi"/>
                <w:bCs/>
                <w:color w:val="000000" w:themeColor="text1"/>
                <w:sz w:val="20"/>
              </w:rPr>
              <w:t>Monitoring of the use of Gender Equity, Disability and Social Inclusion (GEDSI) materials at schools not done</w:t>
            </w:r>
            <w:r w:rsidRPr="00CA2618">
              <w:rPr>
                <w:rFonts w:asciiTheme="majorHAnsi" w:hAnsiTheme="majorHAnsi" w:cs="Calibri Light (Headings)"/>
                <w:bCs/>
                <w:color w:val="000000" w:themeColor="text1"/>
                <w:sz w:val="20"/>
                <w:vertAlign w:val="superscript"/>
              </w:rPr>
              <w:t>3&amp;5</w:t>
            </w:r>
          </w:p>
          <w:p w14:paraId="0D88C46A" w14:textId="77777777" w:rsidR="008D0CAD" w:rsidRPr="00CA2618" w:rsidRDefault="008D0CAD" w:rsidP="002320B3">
            <w:pPr>
              <w:pStyle w:val="ListParagraph"/>
              <w:numPr>
                <w:ilvl w:val="0"/>
                <w:numId w:val="19"/>
              </w:numPr>
              <w:rPr>
                <w:rFonts w:asciiTheme="majorHAnsi" w:hAnsiTheme="majorHAnsi" w:cstheme="majorHAnsi"/>
                <w:bCs/>
                <w:color w:val="000000" w:themeColor="text1"/>
                <w:sz w:val="20"/>
              </w:rPr>
            </w:pPr>
            <w:r w:rsidRPr="00CA2618">
              <w:rPr>
                <w:rFonts w:asciiTheme="majorHAnsi" w:hAnsiTheme="majorHAnsi" w:cstheme="majorHAnsi"/>
                <w:bCs/>
                <w:color w:val="000000" w:themeColor="text1"/>
                <w:sz w:val="20"/>
              </w:rPr>
              <w:t>Understanding of GEDSI across governance levels and across regions are uneven</w:t>
            </w:r>
            <w:r w:rsidRPr="00CA2618">
              <w:rPr>
                <w:rFonts w:asciiTheme="majorHAnsi" w:hAnsiTheme="majorHAnsi" w:cs="Calibri Light (Headings)"/>
                <w:bCs/>
                <w:color w:val="000000" w:themeColor="text1"/>
                <w:sz w:val="20"/>
                <w:vertAlign w:val="superscript"/>
              </w:rPr>
              <w:t>4,5&amp;8</w:t>
            </w:r>
          </w:p>
        </w:tc>
        <w:tc>
          <w:tcPr>
            <w:tcW w:w="2085" w:type="dxa"/>
          </w:tcPr>
          <w:p w14:paraId="52E3D333" w14:textId="77777777" w:rsidR="008D0CAD" w:rsidRPr="007B2B0D" w:rsidRDefault="008D0CAD" w:rsidP="002320B3">
            <w:pPr>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t>Sustainability of L&amp;D initiatives are subject to availability of funds</w:t>
            </w:r>
            <w:r>
              <w:rPr>
                <w:rFonts w:asciiTheme="majorHAnsi" w:hAnsiTheme="majorHAnsi" w:cs="Calibri Light (Headings)"/>
                <w:bCs/>
                <w:color w:val="000000" w:themeColor="text1"/>
                <w:sz w:val="20"/>
                <w:vertAlign w:val="superscript"/>
              </w:rPr>
              <w:t>5&amp;8</w:t>
            </w:r>
          </w:p>
        </w:tc>
      </w:tr>
      <w:tr w:rsidR="008D0CAD" w:rsidRPr="007B2B0D" w14:paraId="5A478D4A" w14:textId="77777777" w:rsidTr="00E26D25">
        <w:trPr>
          <w:trHeight w:val="467"/>
        </w:trPr>
        <w:tc>
          <w:tcPr>
            <w:tcW w:w="1610" w:type="dxa"/>
          </w:tcPr>
          <w:p w14:paraId="31A61049" w14:textId="77777777" w:rsidR="008D0CAD" w:rsidRPr="007B2B0D" w:rsidRDefault="008D0CAD" w:rsidP="002320B3">
            <w:pPr>
              <w:rPr>
                <w:rFonts w:asciiTheme="majorHAnsi" w:hAnsiTheme="majorHAnsi" w:cstheme="majorHAnsi"/>
                <w:bCs/>
                <w:color w:val="000000" w:themeColor="text1"/>
                <w:sz w:val="20"/>
                <w:szCs w:val="20"/>
              </w:rPr>
            </w:pPr>
            <w:r w:rsidRPr="007B2B0D">
              <w:rPr>
                <w:rFonts w:asciiTheme="majorHAnsi" w:hAnsiTheme="majorHAnsi" w:cstheme="majorHAnsi"/>
                <w:bCs/>
                <w:color w:val="000000" w:themeColor="text1"/>
                <w:sz w:val="20"/>
                <w:szCs w:val="20"/>
              </w:rPr>
              <w:t>PPMES</w:t>
            </w:r>
          </w:p>
        </w:tc>
        <w:tc>
          <w:tcPr>
            <w:tcW w:w="2255" w:type="dxa"/>
          </w:tcPr>
          <w:p w14:paraId="4ACB9676" w14:textId="77777777" w:rsidR="008D0CAD" w:rsidRPr="007B2B0D" w:rsidRDefault="008D0CAD" w:rsidP="002320B3">
            <w:pPr>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t>C</w:t>
            </w:r>
            <w:r w:rsidRPr="007B2B0D">
              <w:rPr>
                <w:rFonts w:asciiTheme="majorHAnsi" w:hAnsiTheme="majorHAnsi" w:cstheme="majorHAnsi"/>
                <w:bCs/>
                <w:color w:val="000000" w:themeColor="text1"/>
                <w:sz w:val="20"/>
                <w:szCs w:val="20"/>
              </w:rPr>
              <w:t xml:space="preserve">apacity building </w:t>
            </w:r>
            <w:r>
              <w:rPr>
                <w:rFonts w:asciiTheme="majorHAnsi" w:hAnsiTheme="majorHAnsi" w:cstheme="majorHAnsi"/>
                <w:bCs/>
                <w:color w:val="000000" w:themeColor="text1"/>
                <w:sz w:val="20"/>
                <w:szCs w:val="20"/>
              </w:rPr>
              <w:t>conducted</w:t>
            </w:r>
            <w:r>
              <w:rPr>
                <w:rFonts w:asciiTheme="majorHAnsi" w:hAnsiTheme="majorHAnsi" w:cs="Calibri Light (Headings)"/>
                <w:bCs/>
                <w:color w:val="000000" w:themeColor="text1"/>
                <w:sz w:val="20"/>
                <w:vertAlign w:val="superscript"/>
              </w:rPr>
              <w:t>1</w:t>
            </w:r>
          </w:p>
        </w:tc>
        <w:tc>
          <w:tcPr>
            <w:tcW w:w="2070" w:type="dxa"/>
          </w:tcPr>
          <w:p w14:paraId="7F5813D1" w14:textId="77777777" w:rsidR="008D0CAD" w:rsidRPr="007B2B0D" w:rsidRDefault="008D0CAD" w:rsidP="002320B3">
            <w:pPr>
              <w:rPr>
                <w:rFonts w:asciiTheme="majorHAnsi" w:hAnsiTheme="majorHAnsi" w:cstheme="majorHAnsi"/>
                <w:bCs/>
                <w:color w:val="000000" w:themeColor="text1"/>
                <w:sz w:val="20"/>
                <w:szCs w:val="20"/>
              </w:rPr>
            </w:pPr>
            <w:r w:rsidRPr="007B2B0D">
              <w:rPr>
                <w:rFonts w:asciiTheme="majorHAnsi" w:hAnsiTheme="majorHAnsi" w:cstheme="majorHAnsi"/>
                <w:bCs/>
                <w:color w:val="000000" w:themeColor="text1"/>
                <w:sz w:val="20"/>
                <w:szCs w:val="20"/>
              </w:rPr>
              <w:t>Planning Cycle</w:t>
            </w:r>
            <w:r>
              <w:rPr>
                <w:rFonts w:asciiTheme="majorHAnsi" w:hAnsiTheme="majorHAnsi" w:cstheme="majorHAnsi"/>
                <w:bCs/>
                <w:color w:val="000000" w:themeColor="text1"/>
                <w:sz w:val="20"/>
                <w:szCs w:val="20"/>
              </w:rPr>
              <w:t xml:space="preserve"> identified</w:t>
            </w:r>
            <w:r>
              <w:rPr>
                <w:rFonts w:asciiTheme="majorHAnsi" w:hAnsiTheme="majorHAnsi" w:cs="Calibri Light (Headings)"/>
                <w:bCs/>
                <w:color w:val="000000" w:themeColor="text1"/>
                <w:sz w:val="20"/>
                <w:vertAlign w:val="superscript"/>
              </w:rPr>
              <w:t>1</w:t>
            </w:r>
          </w:p>
        </w:tc>
        <w:tc>
          <w:tcPr>
            <w:tcW w:w="2070" w:type="dxa"/>
          </w:tcPr>
          <w:p w14:paraId="70FD28CB" w14:textId="77777777" w:rsidR="008D0CAD" w:rsidRPr="007B2B0D" w:rsidRDefault="008D0CAD" w:rsidP="002320B3">
            <w:pPr>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t>High acceptance at Central Office (CO)</w:t>
            </w:r>
            <w:r>
              <w:rPr>
                <w:rFonts w:asciiTheme="majorHAnsi" w:hAnsiTheme="majorHAnsi" w:cs="Calibri Light (Headings)"/>
                <w:bCs/>
                <w:color w:val="000000" w:themeColor="text1"/>
                <w:sz w:val="20"/>
                <w:vertAlign w:val="superscript"/>
              </w:rPr>
              <w:t xml:space="preserve"> 3</w:t>
            </w:r>
            <w:r>
              <w:rPr>
                <w:rFonts w:asciiTheme="majorHAnsi" w:hAnsiTheme="majorHAnsi" w:cstheme="majorHAnsi"/>
                <w:bCs/>
                <w:color w:val="000000" w:themeColor="text1"/>
                <w:sz w:val="20"/>
                <w:szCs w:val="20"/>
              </w:rPr>
              <w:t xml:space="preserve"> (</w:t>
            </w:r>
            <w:r w:rsidRPr="00CA2618">
              <w:rPr>
                <w:rFonts w:asciiTheme="majorHAnsi" w:hAnsiTheme="majorHAnsi" w:cstheme="majorHAnsi"/>
                <w:bCs/>
                <w:i/>
                <w:iCs/>
                <w:color w:val="000000" w:themeColor="text1"/>
                <w:sz w:val="20"/>
                <w:szCs w:val="20"/>
              </w:rPr>
              <w:t>intervention only at CO</w:t>
            </w:r>
            <w:r>
              <w:rPr>
                <w:rFonts w:asciiTheme="majorHAnsi" w:hAnsiTheme="majorHAnsi" w:cstheme="majorHAnsi"/>
                <w:bCs/>
                <w:color w:val="000000" w:themeColor="text1"/>
                <w:sz w:val="20"/>
                <w:szCs w:val="20"/>
              </w:rPr>
              <w:t>)</w:t>
            </w:r>
          </w:p>
        </w:tc>
        <w:tc>
          <w:tcPr>
            <w:tcW w:w="2340" w:type="dxa"/>
          </w:tcPr>
          <w:p w14:paraId="3B12D4EE" w14:textId="77777777" w:rsidR="008D0CAD" w:rsidRPr="007B2B0D" w:rsidRDefault="008D0CAD" w:rsidP="002320B3">
            <w:pPr>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t>Planning and Budget Strategy (</w:t>
            </w:r>
            <w:r w:rsidRPr="007B2B0D">
              <w:rPr>
                <w:rFonts w:asciiTheme="majorHAnsi" w:hAnsiTheme="majorHAnsi" w:cstheme="majorHAnsi"/>
                <w:bCs/>
                <w:color w:val="000000" w:themeColor="text1"/>
                <w:sz w:val="20"/>
                <w:szCs w:val="20"/>
              </w:rPr>
              <w:t>PBS</w:t>
            </w:r>
            <w:r>
              <w:rPr>
                <w:rFonts w:asciiTheme="majorHAnsi" w:hAnsiTheme="majorHAnsi" w:cstheme="majorHAnsi"/>
                <w:bCs/>
                <w:color w:val="000000" w:themeColor="text1"/>
                <w:sz w:val="20"/>
                <w:szCs w:val="20"/>
              </w:rPr>
              <w:t>)</w:t>
            </w:r>
            <w:r w:rsidRPr="007B2B0D">
              <w:rPr>
                <w:rFonts w:asciiTheme="majorHAnsi" w:hAnsiTheme="majorHAnsi" w:cstheme="majorHAnsi"/>
                <w:bCs/>
                <w:color w:val="000000" w:themeColor="text1"/>
                <w:sz w:val="20"/>
                <w:szCs w:val="20"/>
              </w:rPr>
              <w:t xml:space="preserve"> framework developed</w:t>
            </w:r>
            <w:r>
              <w:rPr>
                <w:rFonts w:asciiTheme="majorHAnsi" w:hAnsiTheme="majorHAnsi" w:cs="Calibri Light (Headings)"/>
                <w:bCs/>
                <w:color w:val="000000" w:themeColor="text1"/>
                <w:sz w:val="20"/>
                <w:vertAlign w:val="superscript"/>
              </w:rPr>
              <w:t>1</w:t>
            </w:r>
          </w:p>
        </w:tc>
        <w:tc>
          <w:tcPr>
            <w:tcW w:w="2700" w:type="dxa"/>
          </w:tcPr>
          <w:p w14:paraId="5C7F7890" w14:textId="77777777" w:rsidR="008D0CAD" w:rsidRPr="007B2B0D" w:rsidRDefault="008D0CAD" w:rsidP="002320B3">
            <w:pPr>
              <w:rPr>
                <w:rFonts w:asciiTheme="majorHAnsi" w:hAnsiTheme="majorHAnsi" w:cstheme="majorHAnsi"/>
                <w:bCs/>
                <w:color w:val="000000" w:themeColor="text1"/>
                <w:sz w:val="20"/>
                <w:szCs w:val="20"/>
              </w:rPr>
            </w:pPr>
          </w:p>
        </w:tc>
        <w:tc>
          <w:tcPr>
            <w:tcW w:w="2085" w:type="dxa"/>
          </w:tcPr>
          <w:p w14:paraId="21411ECE" w14:textId="77777777" w:rsidR="008D0CAD" w:rsidRPr="007B2B0D" w:rsidRDefault="008D0CAD" w:rsidP="002320B3">
            <w:pPr>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t xml:space="preserve"> </w:t>
            </w:r>
          </w:p>
        </w:tc>
      </w:tr>
      <w:tr w:rsidR="008D0CAD" w:rsidRPr="007B2B0D" w14:paraId="717D9A2A" w14:textId="77777777" w:rsidTr="00E26D25">
        <w:trPr>
          <w:trHeight w:val="811"/>
        </w:trPr>
        <w:tc>
          <w:tcPr>
            <w:tcW w:w="1610" w:type="dxa"/>
          </w:tcPr>
          <w:p w14:paraId="06044287" w14:textId="77777777" w:rsidR="008D0CAD" w:rsidRPr="007B2B0D" w:rsidRDefault="008D0CAD" w:rsidP="002320B3">
            <w:pPr>
              <w:rPr>
                <w:rFonts w:asciiTheme="majorHAnsi" w:hAnsiTheme="majorHAnsi" w:cstheme="majorHAnsi"/>
                <w:bCs/>
                <w:color w:val="000000" w:themeColor="text1"/>
                <w:sz w:val="20"/>
                <w:szCs w:val="20"/>
              </w:rPr>
            </w:pPr>
            <w:r w:rsidRPr="007B2B0D">
              <w:rPr>
                <w:rFonts w:asciiTheme="majorHAnsi" w:hAnsiTheme="majorHAnsi" w:cstheme="majorHAnsi"/>
                <w:bCs/>
                <w:color w:val="000000" w:themeColor="text1"/>
                <w:sz w:val="20"/>
                <w:szCs w:val="20"/>
              </w:rPr>
              <w:t>MEA</w:t>
            </w:r>
          </w:p>
        </w:tc>
        <w:tc>
          <w:tcPr>
            <w:tcW w:w="2255" w:type="dxa"/>
          </w:tcPr>
          <w:p w14:paraId="6C78E512" w14:textId="77777777" w:rsidR="008D0CAD" w:rsidRPr="007B2B0D" w:rsidRDefault="008D0CAD" w:rsidP="002320B3">
            <w:pPr>
              <w:rPr>
                <w:rFonts w:asciiTheme="majorHAnsi" w:hAnsiTheme="majorHAnsi" w:cstheme="majorHAnsi"/>
                <w:bCs/>
                <w:color w:val="000000" w:themeColor="text1"/>
                <w:sz w:val="20"/>
                <w:szCs w:val="20"/>
              </w:rPr>
            </w:pPr>
            <w:r w:rsidRPr="007B2B0D">
              <w:rPr>
                <w:rFonts w:asciiTheme="majorHAnsi" w:hAnsiTheme="majorHAnsi" w:cstheme="majorHAnsi"/>
                <w:bCs/>
                <w:color w:val="000000" w:themeColor="text1"/>
                <w:sz w:val="20"/>
                <w:szCs w:val="20"/>
              </w:rPr>
              <w:t>Massive capacity building using roll-out approach</w:t>
            </w:r>
            <w:r>
              <w:rPr>
                <w:rFonts w:asciiTheme="majorHAnsi" w:hAnsiTheme="majorHAnsi" w:cs="Calibri Light (Headings)"/>
                <w:bCs/>
                <w:color w:val="000000" w:themeColor="text1"/>
                <w:sz w:val="20"/>
                <w:vertAlign w:val="superscript"/>
              </w:rPr>
              <w:t>1</w:t>
            </w:r>
          </w:p>
        </w:tc>
        <w:tc>
          <w:tcPr>
            <w:tcW w:w="2070" w:type="dxa"/>
          </w:tcPr>
          <w:p w14:paraId="74F8CDEF" w14:textId="77777777" w:rsidR="008D0CAD" w:rsidRDefault="008D0CAD" w:rsidP="002320B3">
            <w:pPr>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t>Monitoring, Evaluation and Adjustment (</w:t>
            </w:r>
            <w:r w:rsidRPr="007B2B0D">
              <w:rPr>
                <w:rFonts w:asciiTheme="majorHAnsi" w:hAnsiTheme="majorHAnsi" w:cstheme="majorHAnsi"/>
                <w:bCs/>
                <w:color w:val="000000" w:themeColor="text1"/>
                <w:sz w:val="20"/>
                <w:szCs w:val="20"/>
              </w:rPr>
              <w:t>MEA</w:t>
            </w:r>
            <w:r>
              <w:rPr>
                <w:rFonts w:asciiTheme="majorHAnsi" w:hAnsiTheme="majorHAnsi" w:cstheme="majorHAnsi"/>
                <w:bCs/>
                <w:color w:val="000000" w:themeColor="text1"/>
                <w:sz w:val="20"/>
                <w:szCs w:val="20"/>
              </w:rPr>
              <w:t>)</w:t>
            </w:r>
            <w:r w:rsidRPr="007B2B0D">
              <w:rPr>
                <w:rFonts w:asciiTheme="majorHAnsi" w:hAnsiTheme="majorHAnsi" w:cstheme="majorHAnsi"/>
                <w:bCs/>
                <w:color w:val="000000" w:themeColor="text1"/>
                <w:sz w:val="20"/>
                <w:szCs w:val="20"/>
              </w:rPr>
              <w:t xml:space="preserve"> technology</w:t>
            </w:r>
            <w:r>
              <w:rPr>
                <w:rFonts w:asciiTheme="majorHAnsi" w:hAnsiTheme="majorHAnsi" w:cs="Calibri Light (Headings)"/>
                <w:bCs/>
                <w:color w:val="000000" w:themeColor="text1"/>
                <w:sz w:val="20"/>
                <w:vertAlign w:val="superscript"/>
              </w:rPr>
              <w:t>1 &amp; 5</w:t>
            </w:r>
          </w:p>
          <w:p w14:paraId="08014755" w14:textId="77777777" w:rsidR="008D0CAD" w:rsidRPr="007B2B0D" w:rsidRDefault="008D0CAD" w:rsidP="002320B3">
            <w:pPr>
              <w:rPr>
                <w:rFonts w:asciiTheme="majorHAnsi" w:hAnsiTheme="majorHAnsi" w:cstheme="majorHAnsi"/>
                <w:bCs/>
                <w:color w:val="000000" w:themeColor="text1"/>
                <w:sz w:val="20"/>
                <w:szCs w:val="20"/>
              </w:rPr>
            </w:pPr>
          </w:p>
        </w:tc>
        <w:tc>
          <w:tcPr>
            <w:tcW w:w="2070" w:type="dxa"/>
          </w:tcPr>
          <w:p w14:paraId="341A44F2" w14:textId="77777777" w:rsidR="008D0CAD" w:rsidRPr="007B2B0D" w:rsidRDefault="008D0CAD" w:rsidP="002320B3">
            <w:pPr>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t>High acceptance among ROs and DOs especially in former program areas</w:t>
            </w:r>
            <w:r>
              <w:rPr>
                <w:rFonts w:asciiTheme="majorHAnsi" w:hAnsiTheme="majorHAnsi" w:cs="Calibri Light (Headings)"/>
                <w:bCs/>
                <w:color w:val="000000" w:themeColor="text1"/>
                <w:sz w:val="20"/>
                <w:vertAlign w:val="superscript"/>
              </w:rPr>
              <w:t>5</w:t>
            </w:r>
          </w:p>
        </w:tc>
        <w:tc>
          <w:tcPr>
            <w:tcW w:w="2340" w:type="dxa"/>
          </w:tcPr>
          <w:p w14:paraId="6ED3D32D" w14:textId="77777777" w:rsidR="008D0CAD" w:rsidRDefault="008D0CAD" w:rsidP="002320B3">
            <w:pPr>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t>Basic Education Monitoring and Evaluation Framework (</w:t>
            </w:r>
            <w:r w:rsidRPr="007B2B0D">
              <w:rPr>
                <w:rFonts w:asciiTheme="majorHAnsi" w:hAnsiTheme="majorHAnsi" w:cstheme="majorHAnsi"/>
                <w:bCs/>
                <w:color w:val="000000" w:themeColor="text1"/>
                <w:sz w:val="20"/>
                <w:szCs w:val="20"/>
              </w:rPr>
              <w:t>BEMEF</w:t>
            </w:r>
            <w:r>
              <w:rPr>
                <w:rFonts w:asciiTheme="majorHAnsi" w:hAnsiTheme="majorHAnsi" w:cstheme="majorHAnsi"/>
                <w:bCs/>
                <w:color w:val="000000" w:themeColor="text1"/>
                <w:sz w:val="20"/>
                <w:szCs w:val="20"/>
              </w:rPr>
              <w:t>)</w:t>
            </w:r>
            <w:r w:rsidRPr="007B2B0D">
              <w:rPr>
                <w:rFonts w:asciiTheme="majorHAnsi" w:hAnsiTheme="majorHAnsi" w:cstheme="majorHAnsi"/>
                <w:bCs/>
                <w:color w:val="000000" w:themeColor="text1"/>
                <w:sz w:val="20"/>
                <w:szCs w:val="20"/>
              </w:rPr>
              <w:t xml:space="preserve"> developed</w:t>
            </w:r>
            <w:r>
              <w:rPr>
                <w:rFonts w:asciiTheme="majorHAnsi" w:hAnsiTheme="majorHAnsi" w:cs="Calibri Light (Headings)"/>
                <w:bCs/>
                <w:color w:val="000000" w:themeColor="text1"/>
                <w:sz w:val="20"/>
                <w:vertAlign w:val="superscript"/>
              </w:rPr>
              <w:t>1</w:t>
            </w:r>
          </w:p>
          <w:p w14:paraId="4F594854" w14:textId="77777777" w:rsidR="008D0CAD" w:rsidRPr="007B2B0D" w:rsidRDefault="008D0CAD" w:rsidP="002320B3">
            <w:pPr>
              <w:rPr>
                <w:rFonts w:asciiTheme="majorHAnsi" w:hAnsiTheme="majorHAnsi" w:cstheme="majorHAnsi"/>
                <w:bCs/>
                <w:color w:val="000000" w:themeColor="text1"/>
                <w:sz w:val="20"/>
                <w:szCs w:val="20"/>
              </w:rPr>
            </w:pPr>
          </w:p>
        </w:tc>
        <w:tc>
          <w:tcPr>
            <w:tcW w:w="2700" w:type="dxa"/>
          </w:tcPr>
          <w:p w14:paraId="2F389668" w14:textId="77777777" w:rsidR="008D0CAD" w:rsidRPr="007B2B0D" w:rsidRDefault="008D0CAD" w:rsidP="002320B3">
            <w:pPr>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t>MEA practiced by ROs, DOs and some schools</w:t>
            </w:r>
            <w:r>
              <w:rPr>
                <w:rFonts w:asciiTheme="majorHAnsi" w:hAnsiTheme="majorHAnsi" w:cs="Calibri Light (Headings)"/>
                <w:bCs/>
                <w:color w:val="000000" w:themeColor="text1"/>
                <w:sz w:val="20"/>
                <w:vertAlign w:val="superscript"/>
              </w:rPr>
              <w:t>5&amp;8</w:t>
            </w:r>
          </w:p>
        </w:tc>
        <w:tc>
          <w:tcPr>
            <w:tcW w:w="2085" w:type="dxa"/>
          </w:tcPr>
          <w:p w14:paraId="28EEF018" w14:textId="77777777" w:rsidR="008D0CAD" w:rsidRPr="007B2B0D" w:rsidRDefault="008D0CAD" w:rsidP="002320B3">
            <w:pPr>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t xml:space="preserve"> </w:t>
            </w:r>
          </w:p>
        </w:tc>
      </w:tr>
      <w:tr w:rsidR="008D0CAD" w:rsidRPr="007B2B0D" w14:paraId="4AD04039" w14:textId="77777777" w:rsidTr="00E26D25">
        <w:trPr>
          <w:trHeight w:val="602"/>
        </w:trPr>
        <w:tc>
          <w:tcPr>
            <w:tcW w:w="1610" w:type="dxa"/>
          </w:tcPr>
          <w:p w14:paraId="7A90281A" w14:textId="77777777" w:rsidR="008D0CAD" w:rsidRPr="007B2B0D" w:rsidRDefault="008D0CAD" w:rsidP="002320B3">
            <w:pPr>
              <w:rPr>
                <w:rFonts w:asciiTheme="majorHAnsi" w:hAnsiTheme="majorHAnsi" w:cstheme="majorHAnsi"/>
                <w:bCs/>
                <w:color w:val="000000" w:themeColor="text1"/>
                <w:sz w:val="20"/>
                <w:szCs w:val="20"/>
              </w:rPr>
            </w:pPr>
            <w:r w:rsidRPr="007B2B0D">
              <w:rPr>
                <w:rFonts w:asciiTheme="majorHAnsi" w:hAnsiTheme="majorHAnsi" w:cstheme="majorHAnsi"/>
                <w:bCs/>
                <w:color w:val="000000" w:themeColor="text1"/>
                <w:sz w:val="20"/>
                <w:szCs w:val="20"/>
              </w:rPr>
              <w:t>UISS</w:t>
            </w:r>
          </w:p>
        </w:tc>
        <w:tc>
          <w:tcPr>
            <w:tcW w:w="2255" w:type="dxa"/>
          </w:tcPr>
          <w:p w14:paraId="075F6E8D" w14:textId="77777777" w:rsidR="008D0CAD" w:rsidRPr="00CA2618" w:rsidRDefault="008D0CAD" w:rsidP="002320B3">
            <w:pPr>
              <w:pStyle w:val="ListParagraph"/>
              <w:numPr>
                <w:ilvl w:val="0"/>
                <w:numId w:val="26"/>
              </w:numPr>
              <w:rPr>
                <w:rFonts w:asciiTheme="majorHAnsi" w:hAnsiTheme="majorHAnsi" w:cstheme="majorHAnsi"/>
                <w:color w:val="000000" w:themeColor="text1"/>
                <w:sz w:val="20"/>
              </w:rPr>
            </w:pPr>
            <w:r w:rsidRPr="00CA2618">
              <w:rPr>
                <w:rFonts w:asciiTheme="majorHAnsi" w:hAnsiTheme="majorHAnsi" w:cstheme="majorHAnsi"/>
                <w:color w:val="000000" w:themeColor="text1"/>
                <w:sz w:val="20"/>
              </w:rPr>
              <w:t>Coaching sessions for the management &amp; institutionali</w:t>
            </w:r>
            <w:r>
              <w:rPr>
                <w:rFonts w:asciiTheme="majorHAnsi" w:hAnsiTheme="majorHAnsi" w:cstheme="majorHAnsi"/>
                <w:color w:val="000000" w:themeColor="text1"/>
                <w:sz w:val="20"/>
              </w:rPr>
              <w:t>s</w:t>
            </w:r>
            <w:r w:rsidRPr="00CA2618">
              <w:rPr>
                <w:rFonts w:asciiTheme="majorHAnsi" w:hAnsiTheme="majorHAnsi" w:cstheme="majorHAnsi"/>
                <w:color w:val="000000" w:themeColor="text1"/>
                <w:sz w:val="20"/>
              </w:rPr>
              <w:t xml:space="preserve">ation of </w:t>
            </w:r>
            <w:r w:rsidRPr="00CA2618">
              <w:rPr>
                <w:rFonts w:asciiTheme="majorHAnsi" w:hAnsiTheme="majorHAnsi" w:cstheme="majorHAnsi"/>
                <w:bCs/>
                <w:color w:val="000000" w:themeColor="text1"/>
                <w:sz w:val="20"/>
              </w:rPr>
              <w:t>Enhanced Basic Education Information System (EBEIS)</w:t>
            </w:r>
            <w:r w:rsidRPr="00CA2618">
              <w:rPr>
                <w:rFonts w:asciiTheme="majorHAnsi" w:hAnsiTheme="majorHAnsi" w:cstheme="majorHAnsi"/>
                <w:color w:val="000000" w:themeColor="text1"/>
                <w:sz w:val="20"/>
              </w:rPr>
              <w:t>, Learner Information System (LIS) and LR (Learning Resource) Portal</w:t>
            </w:r>
            <w:r w:rsidRPr="00CA2618">
              <w:rPr>
                <w:rFonts w:asciiTheme="majorHAnsi" w:hAnsiTheme="majorHAnsi" w:cs="Calibri Light (Headings)"/>
                <w:bCs/>
                <w:color w:val="000000" w:themeColor="text1"/>
                <w:sz w:val="20"/>
                <w:vertAlign w:val="superscript"/>
              </w:rPr>
              <w:t>1</w:t>
            </w:r>
          </w:p>
          <w:p w14:paraId="7320C97F" w14:textId="77777777" w:rsidR="008D0CAD" w:rsidRPr="00CA2618" w:rsidRDefault="008D0CAD" w:rsidP="002320B3">
            <w:pPr>
              <w:pStyle w:val="ListParagraph"/>
              <w:numPr>
                <w:ilvl w:val="0"/>
                <w:numId w:val="24"/>
              </w:numPr>
              <w:rPr>
                <w:rFonts w:asciiTheme="majorHAnsi" w:hAnsiTheme="majorHAnsi" w:cstheme="majorHAnsi"/>
                <w:bCs/>
                <w:color w:val="000000" w:themeColor="text1"/>
                <w:sz w:val="20"/>
              </w:rPr>
            </w:pPr>
            <w:r w:rsidRPr="00CA2618">
              <w:rPr>
                <w:rFonts w:asciiTheme="majorHAnsi" w:hAnsiTheme="majorHAnsi" w:cstheme="majorHAnsi"/>
                <w:bCs/>
                <w:color w:val="000000" w:themeColor="text1"/>
                <w:sz w:val="20"/>
              </w:rPr>
              <w:t>Trainers’ Training on use of Project Management Information System (PMIS)</w:t>
            </w:r>
            <w:r w:rsidRPr="00CA2618">
              <w:rPr>
                <w:rFonts w:asciiTheme="majorHAnsi" w:hAnsiTheme="majorHAnsi" w:cs="Calibri Light (Headings)"/>
                <w:bCs/>
                <w:color w:val="000000" w:themeColor="text1"/>
                <w:sz w:val="20"/>
                <w:vertAlign w:val="superscript"/>
              </w:rPr>
              <w:t xml:space="preserve"> 1</w:t>
            </w:r>
          </w:p>
          <w:p w14:paraId="4BDF08C5" w14:textId="77777777" w:rsidR="008D0CAD" w:rsidRPr="00CA2618" w:rsidRDefault="008D0CAD" w:rsidP="002320B3">
            <w:pPr>
              <w:pStyle w:val="ListParagraph"/>
              <w:numPr>
                <w:ilvl w:val="0"/>
                <w:numId w:val="24"/>
              </w:numPr>
              <w:rPr>
                <w:rFonts w:asciiTheme="majorHAnsi" w:hAnsiTheme="majorHAnsi" w:cstheme="majorHAnsi"/>
                <w:bCs/>
                <w:color w:val="000000" w:themeColor="text1"/>
                <w:sz w:val="20"/>
              </w:rPr>
            </w:pPr>
            <w:r w:rsidRPr="00CA2618">
              <w:rPr>
                <w:rFonts w:asciiTheme="majorHAnsi" w:hAnsiTheme="majorHAnsi" w:cstheme="majorHAnsi"/>
                <w:bCs/>
                <w:color w:val="000000" w:themeColor="text1"/>
                <w:sz w:val="20"/>
              </w:rPr>
              <w:t>Roll-out capacity building approach used to orient users</w:t>
            </w:r>
            <w:r w:rsidRPr="00CA2618">
              <w:rPr>
                <w:rFonts w:asciiTheme="majorHAnsi" w:hAnsiTheme="majorHAnsi" w:cs="Calibri Light (Headings)"/>
                <w:bCs/>
                <w:color w:val="000000" w:themeColor="text1"/>
                <w:sz w:val="20"/>
                <w:vertAlign w:val="superscript"/>
              </w:rPr>
              <w:t>1</w:t>
            </w:r>
          </w:p>
          <w:p w14:paraId="46603C51" w14:textId="77777777" w:rsidR="008D0CAD" w:rsidRPr="00CA2618" w:rsidRDefault="008D0CAD" w:rsidP="002320B3">
            <w:pPr>
              <w:pStyle w:val="ListParagraph"/>
              <w:numPr>
                <w:ilvl w:val="0"/>
                <w:numId w:val="24"/>
              </w:numPr>
              <w:rPr>
                <w:rFonts w:asciiTheme="majorHAnsi" w:hAnsiTheme="majorHAnsi" w:cstheme="majorHAnsi"/>
                <w:bCs/>
                <w:color w:val="000000" w:themeColor="text1"/>
                <w:sz w:val="20"/>
              </w:rPr>
            </w:pPr>
            <w:r w:rsidRPr="00CA2618">
              <w:rPr>
                <w:rFonts w:asciiTheme="majorHAnsi" w:hAnsiTheme="majorHAnsi" w:cstheme="majorHAnsi"/>
                <w:bCs/>
                <w:color w:val="000000" w:themeColor="text1"/>
                <w:sz w:val="20"/>
              </w:rPr>
              <w:t>Low ICT literacy at some schools made training insufficient</w:t>
            </w:r>
            <w:r w:rsidRPr="00CA2618">
              <w:rPr>
                <w:rFonts w:asciiTheme="majorHAnsi" w:hAnsiTheme="majorHAnsi" w:cs="Calibri Light (Headings)"/>
                <w:bCs/>
                <w:color w:val="000000" w:themeColor="text1"/>
                <w:sz w:val="20"/>
                <w:vertAlign w:val="superscript"/>
              </w:rPr>
              <w:t>7</w:t>
            </w:r>
          </w:p>
        </w:tc>
        <w:tc>
          <w:tcPr>
            <w:tcW w:w="2070" w:type="dxa"/>
          </w:tcPr>
          <w:p w14:paraId="74F6C597" w14:textId="77777777" w:rsidR="008D0CAD" w:rsidRDefault="008D0CAD" w:rsidP="002320B3">
            <w:pPr>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t>Process of uploading to and accessing data from EBEIS and LR Portal identified</w:t>
            </w:r>
            <w:r>
              <w:rPr>
                <w:rFonts w:asciiTheme="majorHAnsi" w:hAnsiTheme="majorHAnsi" w:cs="Calibri Light (Headings)"/>
                <w:bCs/>
                <w:color w:val="000000" w:themeColor="text1"/>
                <w:sz w:val="20"/>
                <w:vertAlign w:val="superscript"/>
              </w:rPr>
              <w:t>1</w:t>
            </w:r>
          </w:p>
          <w:p w14:paraId="3A072DB6" w14:textId="77777777" w:rsidR="008D0CAD" w:rsidRPr="002D3658" w:rsidRDefault="008D0CAD" w:rsidP="002320B3">
            <w:pPr>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t>Process of using data from LIS identified</w:t>
            </w:r>
            <w:r>
              <w:rPr>
                <w:rFonts w:asciiTheme="majorHAnsi" w:hAnsiTheme="majorHAnsi" w:cs="Calibri Light (Headings)"/>
                <w:bCs/>
                <w:color w:val="000000" w:themeColor="text1"/>
                <w:sz w:val="20"/>
                <w:vertAlign w:val="superscript"/>
              </w:rPr>
              <w:t>1</w:t>
            </w:r>
          </w:p>
        </w:tc>
        <w:tc>
          <w:tcPr>
            <w:tcW w:w="2070" w:type="dxa"/>
          </w:tcPr>
          <w:p w14:paraId="407182B2" w14:textId="77777777" w:rsidR="008D0CAD" w:rsidRPr="00E80DF6" w:rsidRDefault="008D0CAD" w:rsidP="002320B3">
            <w:pPr>
              <w:pStyle w:val="ListParagraph"/>
              <w:numPr>
                <w:ilvl w:val="0"/>
                <w:numId w:val="27"/>
              </w:numPr>
              <w:rPr>
                <w:rFonts w:asciiTheme="majorHAnsi" w:hAnsiTheme="majorHAnsi" w:cstheme="majorHAnsi"/>
                <w:bCs/>
                <w:color w:val="000000" w:themeColor="text1"/>
                <w:sz w:val="20"/>
              </w:rPr>
            </w:pPr>
            <w:r w:rsidRPr="00BB1CD4">
              <w:rPr>
                <w:rFonts w:asciiTheme="majorHAnsi" w:hAnsiTheme="majorHAnsi" w:cstheme="majorHAnsi"/>
                <w:bCs/>
                <w:color w:val="000000" w:themeColor="text1"/>
                <w:sz w:val="20"/>
              </w:rPr>
              <w:t>High acceptance among CO, RO, DO and schools for EBEIS, LIS and PMIS</w:t>
            </w:r>
            <w:r w:rsidRPr="00A24A77">
              <w:rPr>
                <w:rFonts w:asciiTheme="majorHAnsi" w:hAnsiTheme="majorHAnsi" w:cs="Calibri Light (Headings)"/>
                <w:bCs/>
                <w:color w:val="000000" w:themeColor="text1"/>
                <w:sz w:val="20"/>
                <w:vertAlign w:val="superscript"/>
              </w:rPr>
              <w:t>3</w:t>
            </w:r>
          </w:p>
        </w:tc>
        <w:tc>
          <w:tcPr>
            <w:tcW w:w="2340" w:type="dxa"/>
          </w:tcPr>
          <w:p w14:paraId="5DAFCFDD" w14:textId="77777777" w:rsidR="008D0CAD" w:rsidRPr="002D3658" w:rsidRDefault="008D0CAD" w:rsidP="002320B3">
            <w:pPr>
              <w:pStyle w:val="ListParagraph"/>
              <w:numPr>
                <w:ilvl w:val="0"/>
                <w:numId w:val="20"/>
              </w:numPr>
              <w:rPr>
                <w:rFonts w:asciiTheme="majorHAnsi" w:hAnsiTheme="majorHAnsi" w:cstheme="majorHAnsi"/>
                <w:bCs/>
                <w:color w:val="000000" w:themeColor="text1"/>
                <w:sz w:val="20"/>
              </w:rPr>
            </w:pPr>
            <w:r w:rsidRPr="002D3658">
              <w:rPr>
                <w:rFonts w:asciiTheme="majorHAnsi" w:hAnsiTheme="majorHAnsi" w:cstheme="majorHAnsi"/>
                <w:bCs/>
                <w:color w:val="000000" w:themeColor="text1"/>
                <w:sz w:val="20"/>
              </w:rPr>
              <w:t>Systems developed</w:t>
            </w:r>
          </w:p>
          <w:p w14:paraId="3CC62C06" w14:textId="77777777" w:rsidR="008D0CAD" w:rsidRPr="002D3658" w:rsidRDefault="008D0CAD" w:rsidP="002320B3">
            <w:pPr>
              <w:pStyle w:val="ListParagraph"/>
              <w:numPr>
                <w:ilvl w:val="0"/>
                <w:numId w:val="20"/>
              </w:numPr>
              <w:rPr>
                <w:rFonts w:asciiTheme="majorHAnsi" w:hAnsiTheme="majorHAnsi" w:cstheme="majorHAnsi"/>
                <w:bCs/>
                <w:color w:val="000000" w:themeColor="text1"/>
                <w:sz w:val="20"/>
              </w:rPr>
            </w:pPr>
            <w:r w:rsidRPr="002D3658">
              <w:rPr>
                <w:rFonts w:asciiTheme="majorHAnsi" w:hAnsiTheme="majorHAnsi" w:cstheme="majorHAnsi"/>
                <w:bCs/>
                <w:sz w:val="20"/>
              </w:rPr>
              <w:t>Technological infrastructure</w:t>
            </w:r>
            <w:r>
              <w:rPr>
                <w:rFonts w:asciiTheme="majorHAnsi" w:hAnsiTheme="majorHAnsi" w:cstheme="majorHAnsi"/>
                <w:bCs/>
                <w:sz w:val="20"/>
              </w:rPr>
              <w:t xml:space="preserve"> delivered</w:t>
            </w:r>
            <w:r w:rsidRPr="00A24A77">
              <w:rPr>
                <w:rFonts w:asciiTheme="majorHAnsi" w:hAnsiTheme="majorHAnsi" w:cs="Calibri Light (Headings)"/>
                <w:bCs/>
                <w:color w:val="000000" w:themeColor="text1"/>
                <w:sz w:val="20"/>
                <w:vertAlign w:val="superscript"/>
              </w:rPr>
              <w:t>3</w:t>
            </w:r>
          </w:p>
          <w:p w14:paraId="1993BABF" w14:textId="77777777" w:rsidR="008D0CAD" w:rsidRPr="002D3658" w:rsidRDefault="008D0CAD" w:rsidP="002320B3">
            <w:pPr>
              <w:pStyle w:val="ListParagraph"/>
              <w:numPr>
                <w:ilvl w:val="0"/>
                <w:numId w:val="20"/>
              </w:numPr>
              <w:rPr>
                <w:rFonts w:asciiTheme="majorHAnsi" w:hAnsiTheme="majorHAnsi" w:cstheme="majorHAnsi"/>
                <w:bCs/>
                <w:color w:val="000000" w:themeColor="text1"/>
                <w:sz w:val="20"/>
              </w:rPr>
            </w:pPr>
            <w:r>
              <w:rPr>
                <w:rFonts w:asciiTheme="majorHAnsi" w:hAnsiTheme="majorHAnsi" w:cstheme="majorHAnsi"/>
                <w:sz w:val="20"/>
              </w:rPr>
              <w:t xml:space="preserve">Provision of </w:t>
            </w:r>
            <w:r w:rsidRPr="002D3658">
              <w:rPr>
                <w:rFonts w:asciiTheme="majorHAnsi" w:hAnsiTheme="majorHAnsi" w:cstheme="majorHAnsi"/>
                <w:sz w:val="20"/>
              </w:rPr>
              <w:t>Functional Design Document, Operations Manual and Users</w:t>
            </w:r>
            <w:r>
              <w:rPr>
                <w:rFonts w:asciiTheme="majorHAnsi" w:hAnsiTheme="majorHAnsi" w:cstheme="majorHAnsi"/>
                <w:sz w:val="20"/>
              </w:rPr>
              <w:t>’</w:t>
            </w:r>
            <w:r w:rsidRPr="002D3658">
              <w:rPr>
                <w:rFonts w:asciiTheme="majorHAnsi" w:hAnsiTheme="majorHAnsi" w:cstheme="majorHAnsi"/>
                <w:sz w:val="20"/>
              </w:rPr>
              <w:t xml:space="preserve"> Manual</w:t>
            </w:r>
            <w:r w:rsidRPr="00A24A77">
              <w:rPr>
                <w:rFonts w:asciiTheme="majorHAnsi" w:hAnsiTheme="majorHAnsi" w:cs="Calibri Light (Headings)"/>
                <w:bCs/>
                <w:color w:val="000000" w:themeColor="text1"/>
                <w:sz w:val="20"/>
                <w:vertAlign w:val="superscript"/>
              </w:rPr>
              <w:t>3</w:t>
            </w:r>
          </w:p>
        </w:tc>
        <w:tc>
          <w:tcPr>
            <w:tcW w:w="2700" w:type="dxa"/>
          </w:tcPr>
          <w:p w14:paraId="536FFFB0" w14:textId="77777777" w:rsidR="008D0CAD" w:rsidRPr="00273F9B" w:rsidRDefault="008D0CAD" w:rsidP="002320B3">
            <w:pPr>
              <w:pStyle w:val="ListParagraph"/>
              <w:numPr>
                <w:ilvl w:val="0"/>
                <w:numId w:val="21"/>
              </w:numPr>
              <w:rPr>
                <w:rFonts w:asciiTheme="majorHAnsi" w:hAnsiTheme="majorHAnsi" w:cstheme="majorHAnsi"/>
                <w:bCs/>
                <w:color w:val="000000" w:themeColor="text1"/>
                <w:sz w:val="20"/>
              </w:rPr>
            </w:pPr>
            <w:r w:rsidRPr="00273F9B">
              <w:rPr>
                <w:rFonts w:asciiTheme="majorHAnsi" w:hAnsiTheme="majorHAnsi" w:cstheme="majorHAnsi"/>
                <w:bCs/>
                <w:color w:val="000000" w:themeColor="text1"/>
                <w:sz w:val="20"/>
              </w:rPr>
              <w:t xml:space="preserve">CO, RO and DO and schools upload data to </w:t>
            </w:r>
            <w:r>
              <w:rPr>
                <w:rFonts w:asciiTheme="majorHAnsi" w:hAnsiTheme="majorHAnsi" w:cstheme="majorHAnsi"/>
                <w:bCs/>
                <w:color w:val="000000" w:themeColor="text1"/>
                <w:sz w:val="20"/>
              </w:rPr>
              <w:t>Enhanced Basic Education Information System (</w:t>
            </w:r>
            <w:r w:rsidRPr="00273F9B">
              <w:rPr>
                <w:rFonts w:asciiTheme="majorHAnsi" w:hAnsiTheme="majorHAnsi" w:cstheme="majorHAnsi"/>
                <w:bCs/>
                <w:color w:val="000000" w:themeColor="text1"/>
                <w:sz w:val="20"/>
              </w:rPr>
              <w:t>EBEIS</w:t>
            </w:r>
            <w:r>
              <w:rPr>
                <w:rFonts w:asciiTheme="majorHAnsi" w:hAnsiTheme="majorHAnsi" w:cstheme="majorHAnsi"/>
                <w:bCs/>
                <w:color w:val="000000" w:themeColor="text1"/>
                <w:sz w:val="20"/>
              </w:rPr>
              <w:t>)</w:t>
            </w:r>
            <w:r w:rsidRPr="00A24A77">
              <w:rPr>
                <w:rFonts w:asciiTheme="majorHAnsi" w:hAnsiTheme="majorHAnsi" w:cs="Calibri Light (Headings)"/>
                <w:bCs/>
                <w:color w:val="000000" w:themeColor="text1"/>
                <w:sz w:val="20"/>
                <w:vertAlign w:val="superscript"/>
              </w:rPr>
              <w:t xml:space="preserve"> 3</w:t>
            </w:r>
          </w:p>
          <w:p w14:paraId="0AB0D5A9" w14:textId="77777777" w:rsidR="008D0CAD" w:rsidRPr="00273F9B" w:rsidRDefault="008D0CAD" w:rsidP="002320B3">
            <w:pPr>
              <w:pStyle w:val="ListParagraph"/>
              <w:numPr>
                <w:ilvl w:val="0"/>
                <w:numId w:val="21"/>
              </w:numPr>
              <w:rPr>
                <w:rFonts w:asciiTheme="majorHAnsi" w:hAnsiTheme="majorHAnsi" w:cstheme="majorHAnsi"/>
                <w:bCs/>
                <w:color w:val="000000" w:themeColor="text1"/>
                <w:sz w:val="20"/>
              </w:rPr>
            </w:pPr>
            <w:r w:rsidRPr="00273F9B">
              <w:rPr>
                <w:rFonts w:asciiTheme="majorHAnsi" w:hAnsiTheme="majorHAnsi" w:cstheme="majorHAnsi"/>
                <w:bCs/>
                <w:color w:val="000000" w:themeColor="text1"/>
                <w:sz w:val="20"/>
              </w:rPr>
              <w:t>Schools get LRN from LIS</w:t>
            </w:r>
            <w:r w:rsidRPr="00A24A77">
              <w:rPr>
                <w:rFonts w:asciiTheme="majorHAnsi" w:hAnsiTheme="majorHAnsi" w:cs="Calibri Light (Headings)"/>
                <w:bCs/>
                <w:color w:val="000000" w:themeColor="text1"/>
                <w:sz w:val="20"/>
                <w:vertAlign w:val="superscript"/>
              </w:rPr>
              <w:t>3</w:t>
            </w:r>
          </w:p>
          <w:p w14:paraId="3D017C40" w14:textId="77777777" w:rsidR="008D0CAD" w:rsidRPr="00273F9B" w:rsidRDefault="008D0CAD" w:rsidP="002320B3">
            <w:pPr>
              <w:pStyle w:val="ListParagraph"/>
              <w:numPr>
                <w:ilvl w:val="0"/>
                <w:numId w:val="21"/>
              </w:numPr>
              <w:rPr>
                <w:rFonts w:asciiTheme="majorHAnsi" w:hAnsiTheme="majorHAnsi" w:cstheme="majorHAnsi"/>
                <w:bCs/>
                <w:color w:val="000000" w:themeColor="text1"/>
                <w:sz w:val="20"/>
              </w:rPr>
            </w:pPr>
            <w:r w:rsidRPr="00273F9B">
              <w:rPr>
                <w:rFonts w:asciiTheme="majorHAnsi" w:hAnsiTheme="majorHAnsi" w:cstheme="majorHAnsi"/>
                <w:bCs/>
                <w:color w:val="000000" w:themeColor="text1"/>
                <w:sz w:val="20"/>
              </w:rPr>
              <w:t>DOs use PMIS to monitor schools</w:t>
            </w:r>
            <w:r w:rsidRPr="00A24A77">
              <w:rPr>
                <w:rFonts w:asciiTheme="majorHAnsi" w:hAnsiTheme="majorHAnsi" w:cs="Calibri Light (Headings)"/>
                <w:bCs/>
                <w:color w:val="000000" w:themeColor="text1"/>
                <w:sz w:val="20"/>
                <w:vertAlign w:val="superscript"/>
              </w:rPr>
              <w:t>3</w:t>
            </w:r>
          </w:p>
        </w:tc>
        <w:tc>
          <w:tcPr>
            <w:tcW w:w="2085" w:type="dxa"/>
          </w:tcPr>
          <w:p w14:paraId="7D088481" w14:textId="77777777" w:rsidR="008D0CAD" w:rsidRPr="007B2B0D" w:rsidRDefault="008D0CAD" w:rsidP="002320B3">
            <w:pPr>
              <w:rPr>
                <w:rFonts w:asciiTheme="majorHAnsi" w:hAnsiTheme="majorHAnsi" w:cstheme="majorHAnsi"/>
                <w:bCs/>
                <w:color w:val="000000" w:themeColor="text1"/>
                <w:sz w:val="20"/>
                <w:szCs w:val="20"/>
              </w:rPr>
            </w:pPr>
            <w:r w:rsidRPr="007B2B0D">
              <w:rPr>
                <w:rFonts w:asciiTheme="majorHAnsi" w:hAnsiTheme="majorHAnsi" w:cstheme="majorHAnsi"/>
                <w:bCs/>
                <w:color w:val="000000" w:themeColor="text1"/>
                <w:sz w:val="20"/>
                <w:szCs w:val="20"/>
              </w:rPr>
              <w:t>Utili</w:t>
            </w:r>
            <w:r>
              <w:rPr>
                <w:rFonts w:asciiTheme="majorHAnsi" w:hAnsiTheme="majorHAnsi" w:cstheme="majorHAnsi"/>
                <w:bCs/>
                <w:color w:val="000000" w:themeColor="text1"/>
                <w:sz w:val="20"/>
                <w:szCs w:val="20"/>
              </w:rPr>
              <w:t>s</w:t>
            </w:r>
            <w:r w:rsidRPr="007B2B0D">
              <w:rPr>
                <w:rFonts w:asciiTheme="majorHAnsi" w:hAnsiTheme="majorHAnsi" w:cstheme="majorHAnsi"/>
                <w:bCs/>
                <w:color w:val="000000" w:themeColor="text1"/>
                <w:sz w:val="20"/>
                <w:szCs w:val="20"/>
              </w:rPr>
              <w:t xml:space="preserve">ation of EBEIS, LIS and PMIS already embedded in </w:t>
            </w:r>
            <w:r>
              <w:rPr>
                <w:rFonts w:asciiTheme="majorHAnsi" w:hAnsiTheme="majorHAnsi" w:cstheme="majorHAnsi"/>
                <w:bCs/>
                <w:color w:val="000000" w:themeColor="text1"/>
                <w:sz w:val="20"/>
                <w:szCs w:val="20"/>
              </w:rPr>
              <w:t>DepEd procedures</w:t>
            </w:r>
            <w:r w:rsidRPr="00A24A77">
              <w:rPr>
                <w:rFonts w:asciiTheme="majorHAnsi" w:hAnsiTheme="majorHAnsi" w:cs="Calibri Light (Headings)"/>
                <w:bCs/>
                <w:color w:val="000000" w:themeColor="text1"/>
                <w:sz w:val="20"/>
                <w:vertAlign w:val="superscript"/>
              </w:rPr>
              <w:t>3</w:t>
            </w:r>
          </w:p>
        </w:tc>
      </w:tr>
      <w:tr w:rsidR="008D0CAD" w:rsidRPr="007B2B0D" w14:paraId="237E73B0" w14:textId="77777777" w:rsidTr="00E26D25">
        <w:trPr>
          <w:trHeight w:val="476"/>
        </w:trPr>
        <w:tc>
          <w:tcPr>
            <w:tcW w:w="1610" w:type="dxa"/>
          </w:tcPr>
          <w:p w14:paraId="323CB22F" w14:textId="77777777" w:rsidR="008D0CAD" w:rsidRPr="007B2B0D" w:rsidRDefault="008D0CAD" w:rsidP="002320B3">
            <w:pPr>
              <w:rPr>
                <w:rFonts w:asciiTheme="majorHAnsi" w:hAnsiTheme="majorHAnsi" w:cstheme="majorHAnsi"/>
                <w:bCs/>
                <w:color w:val="000000" w:themeColor="text1"/>
                <w:sz w:val="20"/>
                <w:szCs w:val="20"/>
              </w:rPr>
            </w:pPr>
            <w:r w:rsidRPr="007B2B0D">
              <w:rPr>
                <w:rFonts w:asciiTheme="majorHAnsi" w:hAnsiTheme="majorHAnsi" w:cstheme="majorHAnsi"/>
                <w:bCs/>
                <w:color w:val="000000" w:themeColor="text1"/>
                <w:sz w:val="20"/>
                <w:szCs w:val="20"/>
              </w:rPr>
              <w:t>UISS</w:t>
            </w:r>
            <w:r>
              <w:rPr>
                <w:rFonts w:asciiTheme="majorHAnsi" w:hAnsiTheme="majorHAnsi" w:cstheme="majorHAnsi"/>
                <w:bCs/>
                <w:color w:val="000000" w:themeColor="text1"/>
                <w:sz w:val="20"/>
                <w:szCs w:val="20"/>
              </w:rPr>
              <w:t xml:space="preserve"> (con’t)</w:t>
            </w:r>
          </w:p>
        </w:tc>
        <w:tc>
          <w:tcPr>
            <w:tcW w:w="2255" w:type="dxa"/>
          </w:tcPr>
          <w:p w14:paraId="5D8C88FE" w14:textId="77777777" w:rsidR="008D0CAD" w:rsidRPr="007B2B0D" w:rsidRDefault="008D0CAD" w:rsidP="002320B3">
            <w:pPr>
              <w:rPr>
                <w:rFonts w:asciiTheme="majorHAnsi" w:hAnsiTheme="majorHAnsi" w:cstheme="majorHAnsi"/>
                <w:bCs/>
                <w:color w:val="000000" w:themeColor="text1"/>
                <w:sz w:val="20"/>
                <w:szCs w:val="20"/>
              </w:rPr>
            </w:pPr>
          </w:p>
        </w:tc>
        <w:tc>
          <w:tcPr>
            <w:tcW w:w="2070" w:type="dxa"/>
          </w:tcPr>
          <w:p w14:paraId="737062E5" w14:textId="77777777" w:rsidR="008D0CAD" w:rsidRPr="007B2B0D" w:rsidRDefault="008D0CAD" w:rsidP="002320B3">
            <w:pPr>
              <w:rPr>
                <w:rFonts w:asciiTheme="majorHAnsi" w:hAnsiTheme="majorHAnsi" w:cstheme="majorHAnsi"/>
                <w:bCs/>
                <w:color w:val="000000" w:themeColor="text1"/>
                <w:sz w:val="20"/>
                <w:szCs w:val="20"/>
              </w:rPr>
            </w:pPr>
          </w:p>
        </w:tc>
        <w:tc>
          <w:tcPr>
            <w:tcW w:w="2070" w:type="dxa"/>
          </w:tcPr>
          <w:p w14:paraId="398ED73D" w14:textId="77777777" w:rsidR="008D0CAD" w:rsidRPr="00CA2618" w:rsidRDefault="008D0CAD" w:rsidP="002320B3">
            <w:pPr>
              <w:rPr>
                <w:rFonts w:asciiTheme="majorHAnsi" w:hAnsiTheme="majorHAnsi" w:cstheme="majorHAnsi"/>
                <w:bCs/>
                <w:color w:val="000000" w:themeColor="text1"/>
                <w:sz w:val="20"/>
                <w:szCs w:val="20"/>
              </w:rPr>
            </w:pPr>
            <w:r w:rsidRPr="00CA2618">
              <w:rPr>
                <w:rFonts w:asciiTheme="majorHAnsi" w:hAnsiTheme="majorHAnsi" w:cstheme="majorHAnsi"/>
                <w:b/>
                <w:color w:val="000000" w:themeColor="text1"/>
                <w:sz w:val="20"/>
                <w:szCs w:val="20"/>
              </w:rPr>
              <w:t>For LR Portal</w:t>
            </w:r>
            <w:r w:rsidRPr="00CA2618">
              <w:rPr>
                <w:rFonts w:asciiTheme="majorHAnsi" w:hAnsiTheme="majorHAnsi" w:cstheme="majorHAnsi"/>
                <w:bCs/>
                <w:color w:val="000000" w:themeColor="text1"/>
                <w:sz w:val="20"/>
                <w:szCs w:val="20"/>
              </w:rPr>
              <w:t>: Moderate acceptance among schools due to limitations in internet connectivity</w:t>
            </w:r>
            <w:r>
              <w:rPr>
                <w:rFonts w:asciiTheme="majorHAnsi" w:hAnsiTheme="majorHAnsi" w:cs="Calibri Light (Headings)"/>
                <w:bCs/>
                <w:color w:val="000000" w:themeColor="text1"/>
                <w:sz w:val="20"/>
                <w:vertAlign w:val="superscript"/>
              </w:rPr>
              <w:t>7</w:t>
            </w:r>
          </w:p>
        </w:tc>
        <w:tc>
          <w:tcPr>
            <w:tcW w:w="2340" w:type="dxa"/>
          </w:tcPr>
          <w:p w14:paraId="37E4164D" w14:textId="77777777" w:rsidR="008D0CAD" w:rsidRPr="00CA2618" w:rsidRDefault="008D0CAD" w:rsidP="002320B3">
            <w:pPr>
              <w:rPr>
                <w:rFonts w:asciiTheme="majorHAnsi" w:hAnsiTheme="majorHAnsi" w:cstheme="majorHAnsi"/>
                <w:bCs/>
                <w:color w:val="000000" w:themeColor="text1"/>
                <w:sz w:val="20"/>
                <w:szCs w:val="20"/>
              </w:rPr>
            </w:pPr>
          </w:p>
        </w:tc>
        <w:tc>
          <w:tcPr>
            <w:tcW w:w="2700" w:type="dxa"/>
          </w:tcPr>
          <w:p w14:paraId="44386B54" w14:textId="77777777" w:rsidR="008D0CAD" w:rsidRPr="00CA2618" w:rsidRDefault="008D0CAD" w:rsidP="002320B3">
            <w:pPr>
              <w:pStyle w:val="ListParagraph"/>
              <w:numPr>
                <w:ilvl w:val="0"/>
                <w:numId w:val="21"/>
              </w:numPr>
              <w:rPr>
                <w:rFonts w:asciiTheme="majorHAnsi" w:hAnsiTheme="majorHAnsi" w:cstheme="majorHAnsi"/>
                <w:bCs/>
                <w:color w:val="000000" w:themeColor="text1"/>
                <w:sz w:val="20"/>
              </w:rPr>
            </w:pPr>
            <w:r w:rsidRPr="00CA2618">
              <w:rPr>
                <w:rFonts w:asciiTheme="majorHAnsi" w:hAnsiTheme="majorHAnsi" w:cstheme="majorHAnsi"/>
                <w:bCs/>
                <w:color w:val="000000" w:themeColor="text1"/>
                <w:sz w:val="20"/>
              </w:rPr>
              <w:t>Teachers acquired additional teaching and learning resources from LR Portal</w:t>
            </w:r>
            <w:r w:rsidRPr="00CA2618">
              <w:rPr>
                <w:rFonts w:asciiTheme="majorHAnsi" w:hAnsiTheme="majorHAnsi" w:cs="Calibri Light (Headings)"/>
                <w:bCs/>
                <w:color w:val="000000" w:themeColor="text1"/>
                <w:sz w:val="20"/>
                <w:vertAlign w:val="superscript"/>
              </w:rPr>
              <w:t>7</w:t>
            </w:r>
          </w:p>
          <w:p w14:paraId="437A49CF" w14:textId="77777777" w:rsidR="008D0CAD" w:rsidRPr="00CA2618" w:rsidRDefault="008D0CAD" w:rsidP="002320B3">
            <w:pPr>
              <w:pStyle w:val="ListParagraph"/>
              <w:numPr>
                <w:ilvl w:val="0"/>
                <w:numId w:val="21"/>
              </w:numPr>
              <w:rPr>
                <w:rFonts w:asciiTheme="majorHAnsi" w:hAnsiTheme="majorHAnsi" w:cstheme="majorHAnsi"/>
                <w:bCs/>
                <w:color w:val="000000" w:themeColor="text1"/>
                <w:sz w:val="20"/>
              </w:rPr>
            </w:pPr>
            <w:r w:rsidRPr="00CA2618">
              <w:rPr>
                <w:rFonts w:asciiTheme="majorHAnsi" w:hAnsiTheme="majorHAnsi" w:cstheme="majorHAnsi"/>
                <w:bCs/>
                <w:color w:val="000000" w:themeColor="text1"/>
                <w:sz w:val="20"/>
              </w:rPr>
              <w:t>It takes a lot of efforts for teachers to adopt its use</w:t>
            </w:r>
            <w:r w:rsidRPr="00CA2618">
              <w:rPr>
                <w:rFonts w:asciiTheme="majorHAnsi" w:hAnsiTheme="majorHAnsi" w:cs="Calibri Light (Headings)"/>
                <w:bCs/>
                <w:color w:val="000000" w:themeColor="text1"/>
                <w:sz w:val="20"/>
                <w:vertAlign w:val="superscript"/>
              </w:rPr>
              <w:t>7</w:t>
            </w:r>
          </w:p>
        </w:tc>
        <w:tc>
          <w:tcPr>
            <w:tcW w:w="2085" w:type="dxa"/>
          </w:tcPr>
          <w:p w14:paraId="456E714D" w14:textId="77777777" w:rsidR="008D0CAD" w:rsidRPr="00CA2618" w:rsidRDefault="008D0CAD" w:rsidP="002320B3">
            <w:pPr>
              <w:pStyle w:val="ListParagraph"/>
              <w:numPr>
                <w:ilvl w:val="0"/>
                <w:numId w:val="21"/>
              </w:numPr>
              <w:rPr>
                <w:rFonts w:asciiTheme="majorHAnsi" w:hAnsiTheme="majorHAnsi" w:cstheme="majorHAnsi"/>
                <w:bCs/>
                <w:color w:val="000000" w:themeColor="text1"/>
                <w:sz w:val="20"/>
              </w:rPr>
            </w:pPr>
            <w:r w:rsidRPr="00CA2618">
              <w:rPr>
                <w:rFonts w:asciiTheme="majorHAnsi" w:hAnsiTheme="majorHAnsi" w:cstheme="majorHAnsi"/>
                <w:bCs/>
                <w:color w:val="000000" w:themeColor="text1"/>
                <w:sz w:val="20"/>
              </w:rPr>
              <w:t>Additional capacity building programs on ICT and on use of Unified Information System and Sub-systems (UISS) were requested</w:t>
            </w:r>
            <w:r w:rsidRPr="00CA2618">
              <w:rPr>
                <w:rFonts w:asciiTheme="majorHAnsi" w:hAnsiTheme="majorHAnsi" w:cs="Calibri Light (Headings)"/>
                <w:bCs/>
                <w:color w:val="000000" w:themeColor="text1"/>
                <w:sz w:val="20"/>
                <w:vertAlign w:val="superscript"/>
              </w:rPr>
              <w:t>5&amp;</w:t>
            </w:r>
            <w:r>
              <w:rPr>
                <w:rFonts w:asciiTheme="majorHAnsi" w:hAnsiTheme="majorHAnsi" w:cs="Calibri Light (Headings)"/>
                <w:bCs/>
                <w:color w:val="000000" w:themeColor="text1"/>
                <w:sz w:val="20"/>
                <w:vertAlign w:val="superscript"/>
              </w:rPr>
              <w:t>8</w:t>
            </w:r>
          </w:p>
          <w:p w14:paraId="38FD6E6A" w14:textId="77777777" w:rsidR="008D0CAD" w:rsidRPr="00CA2618" w:rsidRDefault="008D0CAD" w:rsidP="002320B3">
            <w:pPr>
              <w:pStyle w:val="ListParagraph"/>
              <w:numPr>
                <w:ilvl w:val="0"/>
                <w:numId w:val="21"/>
              </w:numPr>
              <w:rPr>
                <w:rFonts w:asciiTheme="majorHAnsi" w:hAnsiTheme="majorHAnsi" w:cstheme="majorHAnsi"/>
                <w:bCs/>
                <w:color w:val="000000" w:themeColor="text1"/>
                <w:sz w:val="20"/>
              </w:rPr>
            </w:pPr>
            <w:r w:rsidRPr="00CA2618">
              <w:rPr>
                <w:rFonts w:asciiTheme="majorHAnsi" w:hAnsiTheme="majorHAnsi" w:cstheme="majorHAnsi"/>
                <w:bCs/>
                <w:color w:val="000000" w:themeColor="text1"/>
                <w:sz w:val="20"/>
              </w:rPr>
              <w:t>Poor internet connections in schools reduces sustainability</w:t>
            </w:r>
            <w:r w:rsidRPr="00CA2618">
              <w:rPr>
                <w:rFonts w:asciiTheme="majorHAnsi" w:hAnsiTheme="majorHAnsi" w:cs="Calibri Light (Headings)"/>
                <w:bCs/>
                <w:color w:val="000000" w:themeColor="text1"/>
                <w:sz w:val="20"/>
                <w:vertAlign w:val="superscript"/>
              </w:rPr>
              <w:t>8</w:t>
            </w:r>
            <w:r w:rsidRPr="00CA2618">
              <w:rPr>
                <w:rFonts w:asciiTheme="majorHAnsi" w:hAnsiTheme="majorHAnsi" w:cstheme="majorHAnsi"/>
                <w:bCs/>
                <w:color w:val="000000" w:themeColor="text1"/>
                <w:sz w:val="20"/>
              </w:rPr>
              <w:t xml:space="preserve"> </w:t>
            </w:r>
          </w:p>
          <w:p w14:paraId="6D81B15F" w14:textId="77777777" w:rsidR="008D0CAD" w:rsidRPr="00CA2618" w:rsidRDefault="008D0CAD" w:rsidP="002320B3">
            <w:pPr>
              <w:pStyle w:val="ListParagraph"/>
              <w:numPr>
                <w:ilvl w:val="0"/>
                <w:numId w:val="21"/>
              </w:numPr>
              <w:rPr>
                <w:rFonts w:asciiTheme="majorHAnsi" w:hAnsiTheme="majorHAnsi" w:cstheme="majorHAnsi"/>
                <w:bCs/>
                <w:color w:val="000000" w:themeColor="text1"/>
                <w:sz w:val="20"/>
              </w:rPr>
            </w:pPr>
            <w:r w:rsidRPr="00CA2618">
              <w:rPr>
                <w:rFonts w:asciiTheme="majorHAnsi" w:hAnsiTheme="majorHAnsi" w:cstheme="majorHAnsi"/>
                <w:bCs/>
                <w:color w:val="000000" w:themeColor="text1"/>
                <w:sz w:val="20"/>
              </w:rPr>
              <w:t>Presence of other social media platforms, which are more accessible and user-friendly, reduces relevance of LR Portal</w:t>
            </w:r>
            <w:r>
              <w:rPr>
                <w:rFonts w:asciiTheme="majorHAnsi" w:hAnsiTheme="majorHAnsi" w:cs="Calibri Light (Headings)"/>
                <w:bCs/>
                <w:color w:val="000000" w:themeColor="text1"/>
                <w:sz w:val="20"/>
                <w:vertAlign w:val="superscript"/>
              </w:rPr>
              <w:t>8</w:t>
            </w:r>
          </w:p>
        </w:tc>
      </w:tr>
      <w:tr w:rsidR="008D0CAD" w:rsidRPr="007B2B0D" w14:paraId="6745F433" w14:textId="77777777" w:rsidTr="00E26D25">
        <w:trPr>
          <w:trHeight w:val="60"/>
        </w:trPr>
        <w:tc>
          <w:tcPr>
            <w:tcW w:w="1610" w:type="dxa"/>
          </w:tcPr>
          <w:p w14:paraId="4528E940" w14:textId="77777777" w:rsidR="008D0CAD" w:rsidRPr="007B2B0D" w:rsidRDefault="008D0CAD" w:rsidP="002320B3">
            <w:pPr>
              <w:rPr>
                <w:rFonts w:asciiTheme="majorHAnsi" w:hAnsiTheme="majorHAnsi" w:cstheme="majorHAnsi"/>
                <w:bCs/>
                <w:color w:val="000000" w:themeColor="text1"/>
                <w:sz w:val="20"/>
                <w:szCs w:val="20"/>
              </w:rPr>
            </w:pPr>
            <w:r w:rsidRPr="007B2B0D">
              <w:rPr>
                <w:rFonts w:asciiTheme="majorHAnsi" w:hAnsiTheme="majorHAnsi" w:cstheme="majorHAnsi"/>
                <w:bCs/>
                <w:color w:val="000000" w:themeColor="text1"/>
                <w:sz w:val="20"/>
                <w:szCs w:val="20"/>
              </w:rPr>
              <w:t>SBM</w:t>
            </w:r>
          </w:p>
        </w:tc>
        <w:tc>
          <w:tcPr>
            <w:tcW w:w="2255" w:type="dxa"/>
          </w:tcPr>
          <w:p w14:paraId="4D890C93" w14:textId="77777777" w:rsidR="008D0CAD" w:rsidRPr="00CA2618" w:rsidRDefault="008D0CAD" w:rsidP="002320B3">
            <w:pPr>
              <w:pStyle w:val="ListParagraph"/>
              <w:numPr>
                <w:ilvl w:val="0"/>
                <w:numId w:val="21"/>
              </w:numPr>
              <w:rPr>
                <w:rFonts w:asciiTheme="majorHAnsi" w:hAnsiTheme="majorHAnsi" w:cstheme="majorHAnsi"/>
                <w:bCs/>
                <w:color w:val="000000" w:themeColor="text1"/>
                <w:sz w:val="20"/>
              </w:rPr>
            </w:pPr>
            <w:r w:rsidRPr="00CA2618">
              <w:rPr>
                <w:rFonts w:asciiTheme="majorHAnsi" w:hAnsiTheme="majorHAnsi" w:cstheme="majorHAnsi"/>
                <w:bCs/>
                <w:color w:val="000000" w:themeColor="text1"/>
                <w:sz w:val="20"/>
              </w:rPr>
              <w:t>Roll-out capacity building approach used</w:t>
            </w:r>
            <w:r w:rsidRPr="00CA2618">
              <w:rPr>
                <w:rFonts w:asciiTheme="majorHAnsi" w:hAnsiTheme="majorHAnsi" w:cs="Calibri Light (Headings)"/>
                <w:bCs/>
                <w:color w:val="000000" w:themeColor="text1"/>
                <w:sz w:val="20"/>
                <w:vertAlign w:val="superscript"/>
              </w:rPr>
              <w:t>1 &amp; 3</w:t>
            </w:r>
          </w:p>
          <w:p w14:paraId="1DB43274" w14:textId="77777777" w:rsidR="008D0CAD" w:rsidRPr="00CA2618" w:rsidRDefault="008D0CAD" w:rsidP="002320B3">
            <w:pPr>
              <w:pStyle w:val="ListParagraph"/>
              <w:numPr>
                <w:ilvl w:val="0"/>
                <w:numId w:val="21"/>
              </w:numPr>
              <w:rPr>
                <w:rFonts w:asciiTheme="majorHAnsi" w:hAnsiTheme="majorHAnsi" w:cstheme="majorHAnsi"/>
                <w:bCs/>
                <w:color w:val="000000" w:themeColor="text1"/>
                <w:sz w:val="20"/>
              </w:rPr>
            </w:pPr>
            <w:r w:rsidRPr="00CA2618">
              <w:rPr>
                <w:rFonts w:asciiTheme="majorHAnsi" w:hAnsiTheme="majorHAnsi" w:cstheme="majorHAnsi"/>
                <w:bCs/>
                <w:color w:val="000000" w:themeColor="text1"/>
                <w:sz w:val="20"/>
              </w:rPr>
              <w:t>Limited capacity building</w:t>
            </w:r>
            <w:r w:rsidRPr="00CA2618">
              <w:rPr>
                <w:rFonts w:asciiTheme="majorHAnsi" w:hAnsiTheme="majorHAnsi" w:cs="Calibri Light (Headings)"/>
                <w:bCs/>
                <w:color w:val="000000" w:themeColor="text1"/>
                <w:sz w:val="20"/>
                <w:vertAlign w:val="superscript"/>
              </w:rPr>
              <w:t>1</w:t>
            </w:r>
            <w:r w:rsidRPr="00CA2618">
              <w:rPr>
                <w:rFonts w:asciiTheme="majorHAnsi" w:hAnsiTheme="majorHAnsi" w:cstheme="majorHAnsi"/>
                <w:bCs/>
                <w:color w:val="000000" w:themeColor="text1"/>
                <w:sz w:val="20"/>
              </w:rPr>
              <w:t xml:space="preserve"> </w:t>
            </w:r>
          </w:p>
          <w:p w14:paraId="250057D2" w14:textId="77777777" w:rsidR="008D0CAD" w:rsidRPr="00CA2618" w:rsidRDefault="008D0CAD" w:rsidP="002320B3">
            <w:pPr>
              <w:pStyle w:val="ListParagraph"/>
              <w:numPr>
                <w:ilvl w:val="0"/>
                <w:numId w:val="21"/>
              </w:numPr>
              <w:rPr>
                <w:rFonts w:asciiTheme="majorHAnsi" w:hAnsiTheme="majorHAnsi" w:cstheme="majorHAnsi"/>
                <w:bCs/>
                <w:color w:val="000000" w:themeColor="text1"/>
                <w:sz w:val="20"/>
              </w:rPr>
            </w:pPr>
            <w:r w:rsidRPr="00CA2618">
              <w:rPr>
                <w:rFonts w:asciiTheme="majorHAnsi" w:hAnsiTheme="majorHAnsi" w:cstheme="majorHAnsi"/>
                <w:bCs/>
                <w:color w:val="000000" w:themeColor="text1"/>
                <w:sz w:val="20"/>
              </w:rPr>
              <w:t>Poor quality of roll-out caused uneven understanding of implementation procedures</w:t>
            </w:r>
            <w:r w:rsidRPr="00CA2618">
              <w:rPr>
                <w:rFonts w:asciiTheme="majorHAnsi" w:hAnsiTheme="majorHAnsi" w:cs="Calibri Light (Headings)"/>
                <w:bCs/>
                <w:color w:val="000000" w:themeColor="text1"/>
                <w:sz w:val="20"/>
                <w:vertAlign w:val="superscript"/>
              </w:rPr>
              <w:t>8</w:t>
            </w:r>
          </w:p>
        </w:tc>
        <w:tc>
          <w:tcPr>
            <w:tcW w:w="2070" w:type="dxa"/>
          </w:tcPr>
          <w:p w14:paraId="1935D84D" w14:textId="77777777" w:rsidR="008D0CAD" w:rsidRPr="00CA2618" w:rsidRDefault="008D0CAD" w:rsidP="002320B3">
            <w:pPr>
              <w:pStyle w:val="ListParagraph"/>
              <w:numPr>
                <w:ilvl w:val="0"/>
                <w:numId w:val="21"/>
              </w:numPr>
              <w:rPr>
                <w:rFonts w:asciiTheme="majorHAnsi" w:hAnsiTheme="majorHAnsi" w:cstheme="majorHAnsi"/>
                <w:bCs/>
                <w:color w:val="000000" w:themeColor="text1"/>
                <w:sz w:val="20"/>
              </w:rPr>
            </w:pPr>
            <w:r w:rsidRPr="00CA2618">
              <w:rPr>
                <w:rFonts w:asciiTheme="majorHAnsi" w:hAnsiTheme="majorHAnsi" w:cstheme="majorHAnsi"/>
                <w:bCs/>
                <w:color w:val="000000" w:themeColor="text1"/>
                <w:sz w:val="20"/>
              </w:rPr>
              <w:t>Process of involvement of external stakeholders in school developed</w:t>
            </w:r>
            <w:r w:rsidRPr="00CA2618">
              <w:rPr>
                <w:rFonts w:asciiTheme="majorHAnsi" w:hAnsiTheme="majorHAnsi" w:cs="Calibri Light (Headings)"/>
                <w:bCs/>
                <w:color w:val="000000" w:themeColor="text1"/>
                <w:sz w:val="20"/>
                <w:vertAlign w:val="superscript"/>
              </w:rPr>
              <w:t>1</w:t>
            </w:r>
          </w:p>
          <w:p w14:paraId="41B7C09D" w14:textId="23A3AC36" w:rsidR="008D0CAD" w:rsidRPr="00CA2618" w:rsidRDefault="008D0CAD" w:rsidP="002320B3">
            <w:pPr>
              <w:pStyle w:val="ListParagraph"/>
              <w:numPr>
                <w:ilvl w:val="0"/>
                <w:numId w:val="21"/>
              </w:numPr>
              <w:rPr>
                <w:rFonts w:asciiTheme="majorHAnsi" w:hAnsiTheme="majorHAnsi" w:cstheme="majorHAnsi"/>
                <w:bCs/>
                <w:color w:val="000000" w:themeColor="text1"/>
                <w:sz w:val="20"/>
              </w:rPr>
            </w:pPr>
            <w:r w:rsidRPr="00CA2618">
              <w:rPr>
                <w:rFonts w:asciiTheme="majorHAnsi" w:hAnsiTheme="majorHAnsi" w:cstheme="majorHAnsi"/>
                <w:bCs/>
                <w:color w:val="000000" w:themeColor="text1"/>
                <w:sz w:val="20"/>
              </w:rPr>
              <w:t>Assessment procedures developed</w:t>
            </w:r>
            <w:r w:rsidRPr="00CA2618">
              <w:rPr>
                <w:rFonts w:asciiTheme="majorHAnsi" w:hAnsiTheme="majorHAnsi" w:cs="Calibri Light (Headings)"/>
                <w:bCs/>
                <w:color w:val="000000" w:themeColor="text1"/>
                <w:sz w:val="20"/>
                <w:vertAlign w:val="superscript"/>
              </w:rPr>
              <w:t>1</w:t>
            </w:r>
            <w:r w:rsidR="00D434EB">
              <w:rPr>
                <w:rFonts w:asciiTheme="majorHAnsi" w:hAnsiTheme="majorHAnsi" w:cstheme="majorHAnsi"/>
                <w:bCs/>
                <w:color w:val="000000" w:themeColor="text1"/>
                <w:sz w:val="20"/>
              </w:rPr>
              <w:t xml:space="preserve"> </w:t>
            </w:r>
          </w:p>
        </w:tc>
        <w:tc>
          <w:tcPr>
            <w:tcW w:w="2070" w:type="dxa"/>
          </w:tcPr>
          <w:p w14:paraId="41651B2E" w14:textId="77777777" w:rsidR="008D0CAD" w:rsidRPr="00CA2618" w:rsidRDefault="008D0CAD" w:rsidP="002320B3">
            <w:pPr>
              <w:pStyle w:val="ListParagraph"/>
              <w:numPr>
                <w:ilvl w:val="0"/>
                <w:numId w:val="28"/>
              </w:numPr>
              <w:rPr>
                <w:rFonts w:asciiTheme="majorHAnsi" w:hAnsiTheme="majorHAnsi" w:cstheme="majorHAnsi"/>
                <w:bCs/>
                <w:color w:val="000000" w:themeColor="text1"/>
                <w:sz w:val="20"/>
              </w:rPr>
            </w:pPr>
            <w:r w:rsidRPr="00CA2618">
              <w:rPr>
                <w:rFonts w:asciiTheme="majorHAnsi" w:hAnsiTheme="majorHAnsi" w:cstheme="majorHAnsi"/>
                <w:bCs/>
                <w:color w:val="000000" w:themeColor="text1"/>
                <w:sz w:val="20"/>
              </w:rPr>
              <w:t>High acceptance among organi</w:t>
            </w:r>
            <w:r>
              <w:rPr>
                <w:rFonts w:asciiTheme="majorHAnsi" w:hAnsiTheme="majorHAnsi" w:cstheme="majorHAnsi"/>
                <w:bCs/>
                <w:color w:val="000000" w:themeColor="text1"/>
                <w:sz w:val="20"/>
              </w:rPr>
              <w:t>s</w:t>
            </w:r>
            <w:r w:rsidRPr="00CA2618">
              <w:rPr>
                <w:rFonts w:asciiTheme="majorHAnsi" w:hAnsiTheme="majorHAnsi" w:cstheme="majorHAnsi"/>
                <w:bCs/>
                <w:color w:val="000000" w:themeColor="text1"/>
                <w:sz w:val="20"/>
              </w:rPr>
              <w:t>ational actors</w:t>
            </w:r>
            <w:r w:rsidRPr="00CA2618">
              <w:rPr>
                <w:rFonts w:asciiTheme="majorHAnsi" w:hAnsiTheme="majorHAnsi" w:cs="Calibri Light (Headings)"/>
                <w:bCs/>
                <w:color w:val="000000" w:themeColor="text1"/>
                <w:sz w:val="20"/>
                <w:vertAlign w:val="superscript"/>
              </w:rPr>
              <w:t>8</w:t>
            </w:r>
          </w:p>
          <w:p w14:paraId="5ED08CE0" w14:textId="77777777" w:rsidR="008D0CAD" w:rsidRPr="00CA2618" w:rsidRDefault="008D0CAD" w:rsidP="002320B3">
            <w:pPr>
              <w:pStyle w:val="ListParagraph"/>
              <w:numPr>
                <w:ilvl w:val="0"/>
                <w:numId w:val="28"/>
              </w:numPr>
              <w:rPr>
                <w:rFonts w:asciiTheme="majorHAnsi" w:hAnsiTheme="majorHAnsi" w:cstheme="majorHAnsi"/>
                <w:bCs/>
                <w:color w:val="000000" w:themeColor="text1"/>
                <w:sz w:val="20"/>
              </w:rPr>
            </w:pPr>
            <w:r w:rsidRPr="00CA2618">
              <w:rPr>
                <w:rFonts w:asciiTheme="majorHAnsi" w:hAnsiTheme="majorHAnsi" w:cstheme="majorHAnsi"/>
                <w:bCs/>
                <w:color w:val="000000" w:themeColor="text1"/>
                <w:sz w:val="20"/>
              </w:rPr>
              <w:t>High acceptance among external stakeholders</w:t>
            </w:r>
            <w:r w:rsidRPr="00CA2618">
              <w:rPr>
                <w:rFonts w:asciiTheme="majorHAnsi" w:hAnsiTheme="majorHAnsi" w:cs="Calibri Light (Headings)"/>
                <w:bCs/>
                <w:color w:val="000000" w:themeColor="text1"/>
                <w:sz w:val="20"/>
                <w:vertAlign w:val="superscript"/>
              </w:rPr>
              <w:t>8</w:t>
            </w:r>
          </w:p>
        </w:tc>
        <w:tc>
          <w:tcPr>
            <w:tcW w:w="2340" w:type="dxa"/>
          </w:tcPr>
          <w:p w14:paraId="01B94D10" w14:textId="77777777" w:rsidR="008D0CAD" w:rsidRPr="00CA2618" w:rsidRDefault="008D0CAD" w:rsidP="002320B3">
            <w:pPr>
              <w:pStyle w:val="ListParagraph"/>
              <w:numPr>
                <w:ilvl w:val="0"/>
                <w:numId w:val="21"/>
              </w:numPr>
              <w:rPr>
                <w:rFonts w:asciiTheme="majorHAnsi" w:hAnsiTheme="majorHAnsi" w:cstheme="majorHAnsi"/>
                <w:bCs/>
                <w:color w:val="000000" w:themeColor="text1"/>
                <w:sz w:val="20"/>
              </w:rPr>
            </w:pPr>
            <w:r w:rsidRPr="00CA2618">
              <w:rPr>
                <w:rFonts w:asciiTheme="majorHAnsi" w:hAnsiTheme="majorHAnsi" w:cstheme="majorHAnsi"/>
                <w:bCs/>
                <w:color w:val="000000" w:themeColor="text1"/>
                <w:sz w:val="20"/>
              </w:rPr>
              <w:t>Policy on School Improvement Plan (SIP) and School Report Card (SRC) issued including guidelines</w:t>
            </w:r>
            <w:r w:rsidRPr="00CA2618">
              <w:rPr>
                <w:rFonts w:asciiTheme="majorHAnsi" w:hAnsiTheme="majorHAnsi" w:cs="Calibri Light (Headings)"/>
                <w:bCs/>
                <w:color w:val="000000" w:themeColor="text1"/>
                <w:sz w:val="20"/>
                <w:vertAlign w:val="superscript"/>
              </w:rPr>
              <w:t>1 &amp; 2</w:t>
            </w:r>
          </w:p>
          <w:p w14:paraId="3CCE1091" w14:textId="77777777" w:rsidR="008D0CAD" w:rsidRPr="00CA2618" w:rsidRDefault="008D0CAD" w:rsidP="002320B3">
            <w:pPr>
              <w:pStyle w:val="ListParagraph"/>
              <w:numPr>
                <w:ilvl w:val="0"/>
                <w:numId w:val="21"/>
              </w:numPr>
              <w:rPr>
                <w:rFonts w:asciiTheme="majorHAnsi" w:hAnsiTheme="majorHAnsi" w:cstheme="majorHAnsi"/>
                <w:bCs/>
                <w:color w:val="000000" w:themeColor="text1"/>
                <w:sz w:val="20"/>
              </w:rPr>
            </w:pPr>
            <w:r w:rsidRPr="00CA2618">
              <w:rPr>
                <w:rFonts w:asciiTheme="majorHAnsi" w:hAnsiTheme="majorHAnsi" w:cstheme="majorHAnsi"/>
                <w:bCs/>
                <w:color w:val="000000" w:themeColor="text1"/>
                <w:sz w:val="20"/>
              </w:rPr>
              <w:t>Video manual developed</w:t>
            </w:r>
            <w:r w:rsidRPr="00CA2618">
              <w:rPr>
                <w:rFonts w:asciiTheme="majorHAnsi" w:hAnsiTheme="majorHAnsi" w:cs="Calibri Light (Headings)"/>
                <w:bCs/>
                <w:color w:val="000000" w:themeColor="text1"/>
                <w:sz w:val="20"/>
                <w:vertAlign w:val="superscript"/>
              </w:rPr>
              <w:t>1</w:t>
            </w:r>
          </w:p>
          <w:p w14:paraId="485E5588" w14:textId="77777777" w:rsidR="008D0CAD" w:rsidRPr="00CA2618" w:rsidRDefault="008D0CAD" w:rsidP="002320B3">
            <w:pPr>
              <w:rPr>
                <w:rFonts w:asciiTheme="majorHAnsi" w:hAnsiTheme="majorHAnsi" w:cstheme="majorHAnsi"/>
                <w:bCs/>
                <w:color w:val="000000" w:themeColor="text1"/>
                <w:sz w:val="20"/>
                <w:szCs w:val="20"/>
              </w:rPr>
            </w:pPr>
          </w:p>
        </w:tc>
        <w:tc>
          <w:tcPr>
            <w:tcW w:w="2700" w:type="dxa"/>
          </w:tcPr>
          <w:p w14:paraId="66041E7E" w14:textId="77777777" w:rsidR="008D0CAD" w:rsidRPr="00CA2618" w:rsidRDefault="008D0CAD" w:rsidP="002320B3">
            <w:pPr>
              <w:pStyle w:val="ListParagraph"/>
              <w:numPr>
                <w:ilvl w:val="0"/>
                <w:numId w:val="21"/>
              </w:numPr>
              <w:rPr>
                <w:rFonts w:asciiTheme="majorHAnsi" w:hAnsiTheme="majorHAnsi" w:cstheme="majorHAnsi"/>
                <w:bCs/>
                <w:color w:val="000000" w:themeColor="text1"/>
                <w:sz w:val="20"/>
              </w:rPr>
            </w:pPr>
            <w:r w:rsidRPr="00CA2618">
              <w:rPr>
                <w:rFonts w:asciiTheme="majorHAnsi" w:hAnsiTheme="majorHAnsi" w:cstheme="majorHAnsi"/>
                <w:bCs/>
                <w:color w:val="000000" w:themeColor="text1"/>
                <w:sz w:val="20"/>
              </w:rPr>
              <w:t>SIPs were developed by each school</w:t>
            </w:r>
            <w:r w:rsidRPr="00CA2618">
              <w:rPr>
                <w:rFonts w:asciiTheme="majorHAnsi" w:hAnsiTheme="majorHAnsi" w:cs="Calibri Light (Headings)"/>
                <w:bCs/>
                <w:color w:val="000000" w:themeColor="text1"/>
                <w:sz w:val="20"/>
                <w:vertAlign w:val="superscript"/>
              </w:rPr>
              <w:t>3</w:t>
            </w:r>
          </w:p>
          <w:p w14:paraId="4712AAAE" w14:textId="77777777" w:rsidR="008D0CAD" w:rsidRPr="00CA2618" w:rsidRDefault="008D0CAD" w:rsidP="002320B3">
            <w:pPr>
              <w:pStyle w:val="ListParagraph"/>
              <w:numPr>
                <w:ilvl w:val="0"/>
                <w:numId w:val="21"/>
              </w:numPr>
              <w:rPr>
                <w:rFonts w:asciiTheme="majorHAnsi" w:hAnsiTheme="majorHAnsi" w:cstheme="majorHAnsi"/>
                <w:bCs/>
                <w:color w:val="000000" w:themeColor="text1"/>
                <w:sz w:val="20"/>
              </w:rPr>
            </w:pPr>
            <w:r w:rsidRPr="00CA2618">
              <w:rPr>
                <w:rFonts w:asciiTheme="majorHAnsi" w:hAnsiTheme="majorHAnsi" w:cstheme="majorHAnsi"/>
                <w:bCs/>
                <w:color w:val="000000" w:themeColor="text1"/>
                <w:sz w:val="20"/>
              </w:rPr>
              <w:t>Monitoring of compliance and quality of SIPs developed not yet undertaken</w:t>
            </w:r>
            <w:r w:rsidRPr="00CA2618">
              <w:rPr>
                <w:rFonts w:asciiTheme="majorHAnsi" w:hAnsiTheme="majorHAnsi" w:cs="Calibri Light (Headings)"/>
                <w:bCs/>
                <w:color w:val="000000" w:themeColor="text1"/>
                <w:sz w:val="20"/>
                <w:vertAlign w:val="superscript"/>
              </w:rPr>
              <w:t>3</w:t>
            </w:r>
          </w:p>
        </w:tc>
        <w:tc>
          <w:tcPr>
            <w:tcW w:w="2085" w:type="dxa"/>
          </w:tcPr>
          <w:p w14:paraId="322AA60F" w14:textId="77777777" w:rsidR="008D0CAD" w:rsidRPr="000A11A9" w:rsidRDefault="008D0CAD" w:rsidP="002320B3">
            <w:pPr>
              <w:pStyle w:val="ListParagraph"/>
              <w:numPr>
                <w:ilvl w:val="0"/>
                <w:numId w:val="21"/>
              </w:numPr>
              <w:rPr>
                <w:rFonts w:asciiTheme="majorHAnsi" w:hAnsiTheme="majorHAnsi" w:cstheme="majorHAnsi"/>
                <w:bCs/>
                <w:color w:val="000000" w:themeColor="text1"/>
                <w:sz w:val="20"/>
              </w:rPr>
            </w:pPr>
            <w:r w:rsidRPr="000A11A9">
              <w:rPr>
                <w:rFonts w:asciiTheme="majorHAnsi" w:hAnsiTheme="majorHAnsi" w:cstheme="majorHAnsi"/>
                <w:bCs/>
                <w:color w:val="000000" w:themeColor="text1"/>
                <w:sz w:val="20"/>
              </w:rPr>
              <w:t>Development of SIPs already institutionali</w:t>
            </w:r>
            <w:r>
              <w:rPr>
                <w:rFonts w:asciiTheme="majorHAnsi" w:hAnsiTheme="majorHAnsi" w:cstheme="majorHAnsi"/>
                <w:bCs/>
                <w:color w:val="000000" w:themeColor="text1"/>
                <w:sz w:val="20"/>
              </w:rPr>
              <w:t>s</w:t>
            </w:r>
            <w:r w:rsidRPr="000A11A9">
              <w:rPr>
                <w:rFonts w:asciiTheme="majorHAnsi" w:hAnsiTheme="majorHAnsi" w:cstheme="majorHAnsi"/>
                <w:bCs/>
                <w:color w:val="000000" w:themeColor="text1"/>
                <w:sz w:val="20"/>
              </w:rPr>
              <w:t>ed</w:t>
            </w:r>
            <w:r w:rsidRPr="00A24A77">
              <w:rPr>
                <w:rFonts w:asciiTheme="majorHAnsi" w:hAnsiTheme="majorHAnsi" w:cs="Calibri Light (Headings)"/>
                <w:bCs/>
                <w:color w:val="000000" w:themeColor="text1"/>
                <w:sz w:val="20"/>
                <w:vertAlign w:val="superscript"/>
              </w:rPr>
              <w:t>3</w:t>
            </w:r>
          </w:p>
          <w:p w14:paraId="293166EA" w14:textId="591266A3" w:rsidR="008D0CAD" w:rsidRPr="000A11A9" w:rsidRDefault="008D0CAD" w:rsidP="002320B3">
            <w:pPr>
              <w:pStyle w:val="ListParagraph"/>
              <w:numPr>
                <w:ilvl w:val="0"/>
                <w:numId w:val="21"/>
              </w:numPr>
              <w:rPr>
                <w:rFonts w:asciiTheme="majorHAnsi" w:hAnsiTheme="majorHAnsi" w:cstheme="majorHAnsi"/>
                <w:bCs/>
                <w:color w:val="000000" w:themeColor="text1"/>
                <w:sz w:val="20"/>
              </w:rPr>
            </w:pPr>
            <w:r w:rsidRPr="000A11A9">
              <w:rPr>
                <w:rFonts w:asciiTheme="majorHAnsi" w:hAnsiTheme="majorHAnsi" w:cstheme="majorHAnsi"/>
                <w:bCs/>
                <w:color w:val="000000" w:themeColor="text1"/>
                <w:sz w:val="20"/>
              </w:rPr>
              <w:t>SIP Quality Assessment tool finali</w:t>
            </w:r>
            <w:r>
              <w:rPr>
                <w:rFonts w:asciiTheme="majorHAnsi" w:hAnsiTheme="majorHAnsi" w:cstheme="majorHAnsi"/>
                <w:bCs/>
                <w:color w:val="000000" w:themeColor="text1"/>
                <w:sz w:val="20"/>
              </w:rPr>
              <w:t>s</w:t>
            </w:r>
            <w:r w:rsidRPr="000A11A9">
              <w:rPr>
                <w:rFonts w:asciiTheme="majorHAnsi" w:hAnsiTheme="majorHAnsi" w:cstheme="majorHAnsi"/>
                <w:bCs/>
                <w:color w:val="000000" w:themeColor="text1"/>
                <w:sz w:val="20"/>
              </w:rPr>
              <w:t>ed and scheduled for administration in 2020</w:t>
            </w:r>
            <w:r>
              <w:rPr>
                <w:rFonts w:asciiTheme="majorHAnsi" w:hAnsiTheme="majorHAnsi" w:cs="Calibri Light (Headings)"/>
                <w:bCs/>
                <w:color w:val="000000" w:themeColor="text1"/>
                <w:sz w:val="20"/>
                <w:vertAlign w:val="superscript"/>
              </w:rPr>
              <w:t>2 and 3</w:t>
            </w:r>
            <w:r w:rsidR="00D434EB">
              <w:rPr>
                <w:rFonts w:asciiTheme="majorHAnsi" w:hAnsiTheme="majorHAnsi" w:cstheme="majorHAnsi"/>
                <w:bCs/>
                <w:color w:val="000000" w:themeColor="text1"/>
                <w:sz w:val="20"/>
              </w:rPr>
              <w:t xml:space="preserve"> </w:t>
            </w:r>
          </w:p>
        </w:tc>
      </w:tr>
      <w:tr w:rsidR="008D0CAD" w:rsidRPr="00273F9B" w14:paraId="06CFEAF6" w14:textId="77777777" w:rsidTr="00E26D25">
        <w:trPr>
          <w:trHeight w:val="2226"/>
        </w:trPr>
        <w:tc>
          <w:tcPr>
            <w:tcW w:w="1610" w:type="dxa"/>
          </w:tcPr>
          <w:p w14:paraId="01B63687" w14:textId="77777777" w:rsidR="008D0CAD" w:rsidRPr="00273F9B" w:rsidRDefault="008D0CAD" w:rsidP="002320B3">
            <w:pPr>
              <w:rPr>
                <w:rFonts w:asciiTheme="majorHAnsi" w:hAnsiTheme="majorHAnsi" w:cstheme="majorHAnsi"/>
                <w:bCs/>
                <w:color w:val="000000" w:themeColor="text1"/>
                <w:sz w:val="20"/>
                <w:szCs w:val="20"/>
              </w:rPr>
            </w:pPr>
            <w:r w:rsidRPr="00273F9B">
              <w:rPr>
                <w:rFonts w:asciiTheme="majorHAnsi" w:hAnsiTheme="majorHAnsi" w:cstheme="majorHAnsi"/>
                <w:bCs/>
                <w:color w:val="000000" w:themeColor="text1"/>
                <w:sz w:val="20"/>
                <w:szCs w:val="20"/>
              </w:rPr>
              <w:t>RPMS-aligned PPST</w:t>
            </w:r>
          </w:p>
        </w:tc>
        <w:tc>
          <w:tcPr>
            <w:tcW w:w="2255" w:type="dxa"/>
          </w:tcPr>
          <w:p w14:paraId="46567F08" w14:textId="77777777" w:rsidR="008D0CAD" w:rsidRPr="00CA2618" w:rsidRDefault="008D0CAD" w:rsidP="002320B3">
            <w:pPr>
              <w:pStyle w:val="ListParagraph"/>
              <w:numPr>
                <w:ilvl w:val="0"/>
                <w:numId w:val="22"/>
              </w:numPr>
              <w:rPr>
                <w:rFonts w:asciiTheme="majorHAnsi" w:hAnsiTheme="majorHAnsi" w:cstheme="majorHAnsi"/>
                <w:bCs/>
                <w:color w:val="000000" w:themeColor="text1"/>
                <w:sz w:val="20"/>
              </w:rPr>
            </w:pPr>
            <w:r w:rsidRPr="00CA2618">
              <w:rPr>
                <w:rFonts w:asciiTheme="majorHAnsi" w:hAnsiTheme="majorHAnsi" w:cstheme="majorHAnsi"/>
                <w:bCs/>
                <w:color w:val="000000" w:themeColor="text1"/>
                <w:sz w:val="20"/>
              </w:rPr>
              <w:t>Roll-out capacity building approach used</w:t>
            </w:r>
            <w:r w:rsidRPr="00CA2618">
              <w:rPr>
                <w:rFonts w:asciiTheme="majorHAnsi" w:hAnsiTheme="majorHAnsi" w:cs="Calibri Light (Headings)"/>
                <w:bCs/>
                <w:color w:val="000000" w:themeColor="text1"/>
                <w:sz w:val="20"/>
                <w:vertAlign w:val="superscript"/>
              </w:rPr>
              <w:t>1</w:t>
            </w:r>
          </w:p>
          <w:p w14:paraId="7F543344" w14:textId="77777777" w:rsidR="008D0CAD" w:rsidRPr="00CA2618" w:rsidRDefault="008D0CAD" w:rsidP="002320B3">
            <w:pPr>
              <w:pStyle w:val="ListParagraph"/>
              <w:numPr>
                <w:ilvl w:val="0"/>
                <w:numId w:val="22"/>
              </w:numPr>
              <w:rPr>
                <w:rFonts w:asciiTheme="majorHAnsi" w:hAnsiTheme="majorHAnsi" w:cstheme="majorHAnsi"/>
                <w:bCs/>
                <w:color w:val="000000" w:themeColor="text1"/>
                <w:sz w:val="20"/>
              </w:rPr>
            </w:pPr>
            <w:r w:rsidRPr="00CA2618">
              <w:rPr>
                <w:rFonts w:asciiTheme="majorHAnsi" w:hAnsiTheme="majorHAnsi" w:cstheme="majorHAnsi"/>
                <w:bCs/>
                <w:color w:val="000000" w:themeColor="text1"/>
                <w:sz w:val="20"/>
              </w:rPr>
              <w:t>Poor quality of roll-out caused uneven understanding of implementation procedures</w:t>
            </w:r>
            <w:r w:rsidRPr="00CA2618">
              <w:rPr>
                <w:rFonts w:asciiTheme="majorHAnsi" w:hAnsiTheme="majorHAnsi" w:cs="Calibri Light (Headings)"/>
                <w:bCs/>
                <w:color w:val="000000" w:themeColor="text1"/>
                <w:sz w:val="20"/>
                <w:vertAlign w:val="superscript"/>
              </w:rPr>
              <w:t>3, 5&amp;</w:t>
            </w:r>
            <w:r>
              <w:rPr>
                <w:rFonts w:asciiTheme="majorHAnsi" w:hAnsiTheme="majorHAnsi" w:cs="Calibri Light (Headings)"/>
                <w:bCs/>
                <w:color w:val="000000" w:themeColor="text1"/>
                <w:sz w:val="20"/>
                <w:vertAlign w:val="superscript"/>
              </w:rPr>
              <w:t>8</w:t>
            </w:r>
          </w:p>
        </w:tc>
        <w:tc>
          <w:tcPr>
            <w:tcW w:w="2070" w:type="dxa"/>
          </w:tcPr>
          <w:p w14:paraId="5C3FB4FB" w14:textId="77777777" w:rsidR="008D0CAD" w:rsidRPr="00CA2618" w:rsidRDefault="008D0CAD" w:rsidP="002320B3">
            <w:pPr>
              <w:rPr>
                <w:rFonts w:asciiTheme="majorHAnsi" w:hAnsiTheme="majorHAnsi" w:cstheme="majorHAnsi"/>
                <w:bCs/>
                <w:color w:val="000000" w:themeColor="text1"/>
                <w:sz w:val="20"/>
                <w:szCs w:val="20"/>
              </w:rPr>
            </w:pPr>
            <w:r w:rsidRPr="00CA2618">
              <w:rPr>
                <w:rFonts w:asciiTheme="majorHAnsi" w:hAnsiTheme="majorHAnsi" w:cstheme="majorHAnsi"/>
                <w:bCs/>
                <w:color w:val="000000" w:themeColor="text1"/>
                <w:sz w:val="20"/>
                <w:szCs w:val="20"/>
              </w:rPr>
              <w:t xml:space="preserve">Alignment of existing performance assessment tools to </w:t>
            </w:r>
            <w:r w:rsidRPr="00CA2618">
              <w:rPr>
                <w:rFonts w:asciiTheme="majorHAnsi" w:hAnsiTheme="majorHAnsi" w:cstheme="majorHAnsi"/>
                <w:color w:val="000000" w:themeColor="text1"/>
                <w:sz w:val="20"/>
                <w:szCs w:val="20"/>
                <w:lang w:eastAsia="en-PH"/>
              </w:rPr>
              <w:t>Philippine Professional Standards for Teachers</w:t>
            </w:r>
            <w:r w:rsidRPr="00CA2618">
              <w:rPr>
                <w:rFonts w:asciiTheme="majorHAnsi" w:hAnsiTheme="majorHAnsi" w:cstheme="majorHAnsi"/>
                <w:bCs/>
                <w:color w:val="000000" w:themeColor="text1"/>
                <w:sz w:val="20"/>
                <w:szCs w:val="20"/>
              </w:rPr>
              <w:t xml:space="preserve"> (PPST)</w:t>
            </w:r>
            <w:r w:rsidRPr="00CA2618">
              <w:rPr>
                <w:rFonts w:asciiTheme="majorHAnsi" w:hAnsiTheme="majorHAnsi" w:cs="Calibri Light (Headings)"/>
                <w:bCs/>
                <w:color w:val="000000" w:themeColor="text1"/>
                <w:sz w:val="20"/>
                <w:vertAlign w:val="superscript"/>
              </w:rPr>
              <w:t xml:space="preserve"> 8</w:t>
            </w:r>
          </w:p>
        </w:tc>
        <w:tc>
          <w:tcPr>
            <w:tcW w:w="2070" w:type="dxa"/>
          </w:tcPr>
          <w:p w14:paraId="130EF600" w14:textId="77777777" w:rsidR="008D0CAD" w:rsidRPr="00CA2618" w:rsidRDefault="008D0CAD" w:rsidP="002320B3">
            <w:pPr>
              <w:rPr>
                <w:rFonts w:asciiTheme="majorHAnsi" w:hAnsiTheme="majorHAnsi" w:cstheme="majorHAnsi"/>
                <w:bCs/>
                <w:color w:val="000000" w:themeColor="text1"/>
                <w:sz w:val="20"/>
                <w:szCs w:val="20"/>
              </w:rPr>
            </w:pPr>
            <w:r w:rsidRPr="00CA2618">
              <w:rPr>
                <w:rFonts w:asciiTheme="majorHAnsi" w:hAnsiTheme="majorHAnsi" w:cstheme="majorHAnsi"/>
                <w:bCs/>
                <w:color w:val="000000" w:themeColor="text1"/>
                <w:sz w:val="20"/>
                <w:szCs w:val="20"/>
              </w:rPr>
              <w:t>Moderate acceptance among schools due to several unresolved issues related to guidelines</w:t>
            </w:r>
            <w:r>
              <w:rPr>
                <w:rFonts w:asciiTheme="majorHAnsi" w:hAnsiTheme="majorHAnsi" w:cs="Calibri Light (Headings)"/>
                <w:bCs/>
                <w:color w:val="000000" w:themeColor="text1"/>
                <w:sz w:val="20"/>
                <w:vertAlign w:val="superscript"/>
              </w:rPr>
              <w:t>7</w:t>
            </w:r>
          </w:p>
        </w:tc>
        <w:tc>
          <w:tcPr>
            <w:tcW w:w="2340" w:type="dxa"/>
          </w:tcPr>
          <w:p w14:paraId="4000184B" w14:textId="77777777" w:rsidR="008D0CAD" w:rsidRPr="00CA2618" w:rsidRDefault="008D0CAD" w:rsidP="002320B3">
            <w:pPr>
              <w:pStyle w:val="ListParagraph"/>
              <w:numPr>
                <w:ilvl w:val="0"/>
                <w:numId w:val="23"/>
              </w:numPr>
              <w:rPr>
                <w:rFonts w:asciiTheme="majorHAnsi" w:hAnsiTheme="majorHAnsi" w:cstheme="majorHAnsi"/>
                <w:bCs/>
                <w:color w:val="000000" w:themeColor="text1"/>
                <w:sz w:val="20"/>
              </w:rPr>
            </w:pPr>
            <w:r w:rsidRPr="00CA2618">
              <w:rPr>
                <w:rFonts w:asciiTheme="majorHAnsi" w:hAnsiTheme="majorHAnsi" w:cstheme="majorHAnsi"/>
                <w:bCs/>
                <w:color w:val="000000" w:themeColor="text1"/>
                <w:sz w:val="20"/>
              </w:rPr>
              <w:t>Policy and guidelines issued</w:t>
            </w:r>
            <w:r w:rsidRPr="00CA2618">
              <w:rPr>
                <w:rFonts w:asciiTheme="majorHAnsi" w:hAnsiTheme="majorHAnsi" w:cs="Calibri Light (Headings)"/>
                <w:bCs/>
                <w:color w:val="000000" w:themeColor="text1"/>
                <w:sz w:val="20"/>
                <w:vertAlign w:val="superscript"/>
              </w:rPr>
              <w:t>1</w:t>
            </w:r>
          </w:p>
          <w:p w14:paraId="5EB0DB39" w14:textId="77777777" w:rsidR="008D0CAD" w:rsidRPr="00CA2618" w:rsidRDefault="008D0CAD" w:rsidP="002320B3">
            <w:pPr>
              <w:pStyle w:val="ListParagraph"/>
              <w:numPr>
                <w:ilvl w:val="0"/>
                <w:numId w:val="23"/>
              </w:numPr>
              <w:rPr>
                <w:rFonts w:asciiTheme="majorHAnsi" w:hAnsiTheme="majorHAnsi" w:cstheme="majorHAnsi"/>
                <w:bCs/>
                <w:color w:val="000000" w:themeColor="text1"/>
                <w:sz w:val="20"/>
              </w:rPr>
            </w:pPr>
            <w:r w:rsidRPr="00CA2618">
              <w:rPr>
                <w:rFonts w:asciiTheme="majorHAnsi" w:hAnsiTheme="majorHAnsi" w:cstheme="majorHAnsi"/>
                <w:bCs/>
                <w:color w:val="000000" w:themeColor="text1"/>
                <w:sz w:val="20"/>
              </w:rPr>
              <w:t>Manuals developed</w:t>
            </w:r>
            <w:r w:rsidRPr="00CA2618">
              <w:rPr>
                <w:rFonts w:asciiTheme="majorHAnsi" w:hAnsiTheme="majorHAnsi" w:cs="Calibri Light (Headings)"/>
                <w:bCs/>
                <w:color w:val="000000" w:themeColor="text1"/>
                <w:sz w:val="20"/>
                <w:vertAlign w:val="superscript"/>
              </w:rPr>
              <w:t>1</w:t>
            </w:r>
          </w:p>
          <w:p w14:paraId="41D6FBB7" w14:textId="77777777" w:rsidR="008D0CAD" w:rsidRPr="00CA2618" w:rsidRDefault="008D0CAD" w:rsidP="002320B3">
            <w:pPr>
              <w:rPr>
                <w:rFonts w:asciiTheme="majorHAnsi" w:hAnsiTheme="majorHAnsi" w:cstheme="majorHAnsi"/>
                <w:bCs/>
                <w:color w:val="000000" w:themeColor="text1"/>
                <w:sz w:val="20"/>
                <w:szCs w:val="20"/>
              </w:rPr>
            </w:pPr>
          </w:p>
        </w:tc>
        <w:tc>
          <w:tcPr>
            <w:tcW w:w="2700" w:type="dxa"/>
          </w:tcPr>
          <w:p w14:paraId="6F83656F" w14:textId="77777777" w:rsidR="008D0CAD" w:rsidRPr="00CA2618" w:rsidRDefault="008D0CAD" w:rsidP="002320B3">
            <w:pPr>
              <w:pStyle w:val="ListParagraph"/>
              <w:numPr>
                <w:ilvl w:val="0"/>
                <w:numId w:val="25"/>
              </w:numPr>
              <w:rPr>
                <w:rFonts w:asciiTheme="majorHAnsi" w:hAnsiTheme="majorHAnsi" w:cstheme="majorHAnsi"/>
                <w:bCs/>
                <w:color w:val="000000" w:themeColor="text1"/>
                <w:sz w:val="20"/>
              </w:rPr>
            </w:pPr>
            <w:r w:rsidRPr="00CA2618">
              <w:rPr>
                <w:rFonts w:asciiTheme="majorHAnsi" w:hAnsiTheme="majorHAnsi" w:cstheme="majorHAnsi"/>
                <w:bCs/>
                <w:color w:val="000000" w:themeColor="text1"/>
                <w:sz w:val="20"/>
              </w:rPr>
              <w:t>PPST-aligned performance assessment tools used still primarily at the level of tokenism or compliance</w:t>
            </w:r>
            <w:r w:rsidRPr="00CA2618">
              <w:rPr>
                <w:rFonts w:asciiTheme="majorHAnsi" w:hAnsiTheme="majorHAnsi" w:cs="Calibri Light (Headings)"/>
                <w:bCs/>
                <w:color w:val="000000" w:themeColor="text1"/>
                <w:sz w:val="20"/>
                <w:vertAlign w:val="superscript"/>
              </w:rPr>
              <w:t>8</w:t>
            </w:r>
            <w:r w:rsidRPr="00CA2618">
              <w:rPr>
                <w:rFonts w:asciiTheme="majorHAnsi" w:hAnsiTheme="majorHAnsi" w:cstheme="majorHAnsi"/>
                <w:bCs/>
                <w:color w:val="000000" w:themeColor="text1"/>
                <w:sz w:val="20"/>
              </w:rPr>
              <w:t xml:space="preserve"> </w:t>
            </w:r>
          </w:p>
          <w:p w14:paraId="1ED737E1" w14:textId="77777777" w:rsidR="008D0CAD" w:rsidRPr="00CA2618" w:rsidRDefault="008D0CAD" w:rsidP="002320B3">
            <w:pPr>
              <w:pStyle w:val="ListParagraph"/>
              <w:numPr>
                <w:ilvl w:val="0"/>
                <w:numId w:val="25"/>
              </w:numPr>
              <w:rPr>
                <w:rFonts w:asciiTheme="majorHAnsi" w:hAnsiTheme="majorHAnsi" w:cstheme="majorHAnsi"/>
                <w:bCs/>
                <w:color w:val="000000" w:themeColor="text1"/>
                <w:sz w:val="20"/>
              </w:rPr>
            </w:pPr>
            <w:r w:rsidRPr="00CA2618">
              <w:rPr>
                <w:rFonts w:asciiTheme="majorHAnsi" w:hAnsiTheme="majorHAnsi" w:cstheme="majorHAnsi"/>
                <w:bCs/>
                <w:color w:val="000000" w:themeColor="text1"/>
                <w:sz w:val="20"/>
              </w:rPr>
              <w:t>Monitoring of submissions and quality submissions not yet done</w:t>
            </w:r>
            <w:r w:rsidRPr="00CA2618">
              <w:rPr>
                <w:rFonts w:asciiTheme="majorHAnsi" w:hAnsiTheme="majorHAnsi" w:cs="Calibri Light (Headings)"/>
                <w:bCs/>
                <w:color w:val="000000" w:themeColor="text1"/>
                <w:sz w:val="20"/>
                <w:vertAlign w:val="superscript"/>
              </w:rPr>
              <w:t>3</w:t>
            </w:r>
          </w:p>
        </w:tc>
        <w:tc>
          <w:tcPr>
            <w:tcW w:w="2085" w:type="dxa"/>
          </w:tcPr>
          <w:p w14:paraId="41878396" w14:textId="77777777" w:rsidR="008D0CAD" w:rsidRPr="00390592" w:rsidRDefault="008D0CAD" w:rsidP="002320B3">
            <w:pPr>
              <w:pStyle w:val="ListParagraph"/>
              <w:numPr>
                <w:ilvl w:val="0"/>
                <w:numId w:val="25"/>
              </w:numPr>
              <w:rPr>
                <w:rFonts w:asciiTheme="majorHAnsi" w:hAnsiTheme="majorHAnsi" w:cstheme="majorHAnsi"/>
                <w:bCs/>
                <w:color w:val="000000" w:themeColor="text1"/>
                <w:sz w:val="20"/>
              </w:rPr>
            </w:pPr>
            <w:r w:rsidRPr="00390592">
              <w:rPr>
                <w:rFonts w:asciiTheme="majorHAnsi" w:hAnsiTheme="majorHAnsi" w:cstheme="majorHAnsi"/>
                <w:bCs/>
                <w:color w:val="000000" w:themeColor="text1"/>
                <w:sz w:val="20"/>
              </w:rPr>
              <w:t>Memo issued for assessing submission</w:t>
            </w:r>
            <w:r>
              <w:rPr>
                <w:rFonts w:asciiTheme="majorHAnsi" w:hAnsiTheme="majorHAnsi" w:cstheme="majorHAnsi"/>
                <w:bCs/>
                <w:color w:val="000000" w:themeColor="text1"/>
                <w:sz w:val="20"/>
              </w:rPr>
              <w:t>s of SATs and COT</w:t>
            </w:r>
            <w:r w:rsidRPr="00390592">
              <w:rPr>
                <w:rFonts w:asciiTheme="majorHAnsi" w:hAnsiTheme="majorHAnsi" w:cstheme="majorHAnsi"/>
                <w:bCs/>
                <w:color w:val="000000" w:themeColor="text1"/>
                <w:sz w:val="20"/>
              </w:rPr>
              <w:t>s</w:t>
            </w:r>
            <w:r>
              <w:rPr>
                <w:rFonts w:asciiTheme="majorHAnsi" w:hAnsiTheme="majorHAnsi" w:cs="Calibri Light (Headings)"/>
                <w:bCs/>
                <w:color w:val="000000" w:themeColor="text1"/>
                <w:sz w:val="20"/>
                <w:vertAlign w:val="superscript"/>
              </w:rPr>
              <w:t>2 &amp; 3</w:t>
            </w:r>
          </w:p>
        </w:tc>
      </w:tr>
    </w:tbl>
    <w:p w14:paraId="71758E32" w14:textId="77777777" w:rsidR="008D0CAD" w:rsidRPr="0013607C" w:rsidRDefault="008D0CAD" w:rsidP="002320B3">
      <w:pPr>
        <w:rPr>
          <w:rFonts w:asciiTheme="majorHAnsi" w:hAnsiTheme="majorHAnsi" w:cstheme="majorHAnsi"/>
          <w:b/>
          <w:color w:val="000000" w:themeColor="text1"/>
          <w:sz w:val="20"/>
          <w:szCs w:val="20"/>
        </w:rPr>
      </w:pPr>
      <w:r w:rsidRPr="0013607C">
        <w:rPr>
          <w:rFonts w:asciiTheme="majorHAnsi" w:hAnsiTheme="majorHAnsi" w:cstheme="majorHAnsi"/>
          <w:b/>
          <w:color w:val="000000" w:themeColor="text1"/>
          <w:sz w:val="20"/>
          <w:szCs w:val="20"/>
        </w:rPr>
        <w:t xml:space="preserve">Legend/Sources: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80"/>
        <w:gridCol w:w="357"/>
        <w:gridCol w:w="6882"/>
      </w:tblGrid>
      <w:tr w:rsidR="008D0CAD" w14:paraId="7B71F029" w14:textId="77777777" w:rsidTr="009C64E9">
        <w:trPr>
          <w:trHeight w:val="53"/>
        </w:trPr>
        <w:tc>
          <w:tcPr>
            <w:tcW w:w="7680" w:type="dxa"/>
          </w:tcPr>
          <w:p w14:paraId="45DD0229" w14:textId="77777777" w:rsidR="008D0CAD" w:rsidRPr="009B5086" w:rsidRDefault="008D0CAD" w:rsidP="002320B3">
            <w:pPr>
              <w:rPr>
                <w:rFonts w:asciiTheme="majorHAnsi" w:hAnsiTheme="majorHAnsi" w:cstheme="majorHAnsi"/>
                <w:color w:val="000000" w:themeColor="text1"/>
                <w:sz w:val="20"/>
                <w:szCs w:val="20"/>
              </w:rPr>
            </w:pPr>
            <w:r>
              <w:rPr>
                <w:rFonts w:asciiTheme="majorHAnsi" w:hAnsiTheme="majorHAnsi" w:cs="Calibri Light (Headings)"/>
                <w:bCs/>
                <w:color w:val="000000" w:themeColor="text1"/>
                <w:sz w:val="20"/>
                <w:vertAlign w:val="superscript"/>
              </w:rPr>
              <w:t xml:space="preserve">1 </w:t>
            </w:r>
            <w:r>
              <w:rPr>
                <w:rFonts w:asciiTheme="majorHAnsi" w:hAnsiTheme="majorHAnsi" w:cstheme="majorHAnsi"/>
                <w:color w:val="000000" w:themeColor="text1"/>
                <w:sz w:val="20"/>
                <w:szCs w:val="20"/>
              </w:rPr>
              <w:t>Review of program documents</w:t>
            </w:r>
          </w:p>
        </w:tc>
        <w:tc>
          <w:tcPr>
            <w:tcW w:w="357" w:type="dxa"/>
          </w:tcPr>
          <w:p w14:paraId="4AA8AB3F" w14:textId="77777777" w:rsidR="008D0CAD" w:rsidRDefault="008D0CAD" w:rsidP="002320B3">
            <w:pPr>
              <w:rPr>
                <w:rFonts w:asciiTheme="majorHAnsi" w:hAnsiTheme="majorHAnsi" w:cstheme="majorHAnsi"/>
                <w:b/>
                <w:color w:val="000000" w:themeColor="text1"/>
              </w:rPr>
            </w:pPr>
          </w:p>
        </w:tc>
        <w:tc>
          <w:tcPr>
            <w:tcW w:w="6882" w:type="dxa"/>
          </w:tcPr>
          <w:p w14:paraId="43BE6D3F" w14:textId="77777777" w:rsidR="008D0CAD" w:rsidRPr="009B5086" w:rsidRDefault="008D0CAD" w:rsidP="002320B3">
            <w:pPr>
              <w:rPr>
                <w:rFonts w:asciiTheme="majorHAnsi" w:hAnsiTheme="majorHAnsi" w:cstheme="majorHAnsi"/>
                <w:color w:val="000000" w:themeColor="text1"/>
                <w:sz w:val="20"/>
                <w:szCs w:val="20"/>
              </w:rPr>
            </w:pPr>
            <w:r>
              <w:rPr>
                <w:rFonts w:asciiTheme="majorHAnsi" w:hAnsiTheme="majorHAnsi" w:cs="Calibri Light (Headings)"/>
                <w:bCs/>
                <w:color w:val="000000" w:themeColor="text1"/>
                <w:sz w:val="20"/>
                <w:vertAlign w:val="superscript"/>
              </w:rPr>
              <w:t xml:space="preserve">5 </w:t>
            </w:r>
            <w:r>
              <w:rPr>
                <w:rFonts w:asciiTheme="majorHAnsi" w:hAnsiTheme="majorHAnsi" w:cstheme="majorHAnsi"/>
                <w:color w:val="000000" w:themeColor="text1"/>
                <w:sz w:val="20"/>
                <w:szCs w:val="20"/>
              </w:rPr>
              <w:t>Focus Group Discussions</w:t>
            </w:r>
            <w:r w:rsidRPr="00A24A77">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FGDs</w:t>
            </w:r>
            <w:r w:rsidRPr="00A24A77">
              <w:rPr>
                <w:rFonts w:asciiTheme="majorHAnsi" w:hAnsiTheme="majorHAnsi" w:cstheme="majorHAnsi"/>
                <w:color w:val="000000" w:themeColor="text1"/>
                <w:sz w:val="20"/>
                <w:szCs w:val="20"/>
              </w:rPr>
              <w:t xml:space="preserve">) with respondents from </w:t>
            </w:r>
            <w:r>
              <w:rPr>
                <w:rFonts w:asciiTheme="majorHAnsi" w:hAnsiTheme="majorHAnsi" w:cstheme="majorHAnsi"/>
                <w:color w:val="000000" w:themeColor="text1"/>
                <w:sz w:val="20"/>
                <w:szCs w:val="20"/>
              </w:rPr>
              <w:t>ROs/DOs</w:t>
            </w:r>
          </w:p>
        </w:tc>
      </w:tr>
      <w:tr w:rsidR="008D0CAD" w14:paraId="4B7AB6CD" w14:textId="77777777" w:rsidTr="009C64E9">
        <w:trPr>
          <w:trHeight w:val="66"/>
        </w:trPr>
        <w:tc>
          <w:tcPr>
            <w:tcW w:w="7680" w:type="dxa"/>
          </w:tcPr>
          <w:p w14:paraId="5D1752C6" w14:textId="77777777" w:rsidR="008D0CAD" w:rsidRPr="009B5086" w:rsidRDefault="008D0CAD" w:rsidP="002320B3">
            <w:pPr>
              <w:rPr>
                <w:rFonts w:asciiTheme="majorHAnsi" w:hAnsiTheme="majorHAnsi" w:cstheme="majorHAnsi"/>
                <w:color w:val="000000" w:themeColor="text1"/>
                <w:sz w:val="20"/>
                <w:szCs w:val="20"/>
              </w:rPr>
            </w:pPr>
            <w:r>
              <w:rPr>
                <w:rFonts w:asciiTheme="majorHAnsi" w:hAnsiTheme="majorHAnsi" w:cs="Calibri Light (Headings)"/>
                <w:bCs/>
                <w:color w:val="000000" w:themeColor="text1"/>
                <w:sz w:val="20"/>
                <w:vertAlign w:val="superscript"/>
              </w:rPr>
              <w:t xml:space="preserve">2 </w:t>
            </w:r>
            <w:r>
              <w:rPr>
                <w:rFonts w:asciiTheme="majorHAnsi" w:hAnsiTheme="majorHAnsi" w:cstheme="majorHAnsi"/>
                <w:color w:val="000000" w:themeColor="text1"/>
                <w:sz w:val="20"/>
                <w:szCs w:val="20"/>
              </w:rPr>
              <w:t>Review of DepEd documents such as Memos, DepEd Orders</w:t>
            </w:r>
          </w:p>
        </w:tc>
        <w:tc>
          <w:tcPr>
            <w:tcW w:w="357" w:type="dxa"/>
          </w:tcPr>
          <w:p w14:paraId="62CF55C3" w14:textId="77777777" w:rsidR="008D0CAD" w:rsidRDefault="008D0CAD" w:rsidP="002320B3">
            <w:pPr>
              <w:rPr>
                <w:rFonts w:asciiTheme="majorHAnsi" w:hAnsiTheme="majorHAnsi" w:cstheme="majorHAnsi"/>
                <w:b/>
                <w:color w:val="000000" w:themeColor="text1"/>
              </w:rPr>
            </w:pPr>
          </w:p>
        </w:tc>
        <w:tc>
          <w:tcPr>
            <w:tcW w:w="6882" w:type="dxa"/>
          </w:tcPr>
          <w:p w14:paraId="4719FFE4" w14:textId="77777777" w:rsidR="008D0CAD" w:rsidRPr="009B5086" w:rsidRDefault="008D0CAD" w:rsidP="002320B3">
            <w:pPr>
              <w:rPr>
                <w:rFonts w:asciiTheme="majorHAnsi" w:hAnsiTheme="majorHAnsi" w:cstheme="majorHAnsi"/>
                <w:color w:val="000000" w:themeColor="text1"/>
                <w:sz w:val="20"/>
                <w:szCs w:val="20"/>
              </w:rPr>
            </w:pPr>
            <w:r>
              <w:rPr>
                <w:rFonts w:asciiTheme="majorHAnsi" w:hAnsiTheme="majorHAnsi" w:cs="Calibri Light (Headings)"/>
                <w:bCs/>
                <w:color w:val="000000" w:themeColor="text1"/>
                <w:sz w:val="20"/>
                <w:vertAlign w:val="superscript"/>
              </w:rPr>
              <w:t xml:space="preserve">6 </w:t>
            </w:r>
            <w:r>
              <w:rPr>
                <w:rFonts w:asciiTheme="majorHAnsi" w:hAnsiTheme="majorHAnsi" w:cstheme="majorHAnsi"/>
                <w:color w:val="000000" w:themeColor="text1"/>
                <w:sz w:val="20"/>
                <w:szCs w:val="20"/>
              </w:rPr>
              <w:t>Focus Group Discussions</w:t>
            </w:r>
            <w:r w:rsidRPr="00A24A77">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FGDs</w:t>
            </w:r>
            <w:r w:rsidRPr="00A24A77">
              <w:rPr>
                <w:rFonts w:asciiTheme="majorHAnsi" w:hAnsiTheme="majorHAnsi" w:cstheme="majorHAnsi"/>
                <w:color w:val="000000" w:themeColor="text1"/>
                <w:sz w:val="20"/>
                <w:szCs w:val="20"/>
              </w:rPr>
              <w:t xml:space="preserve">) with </w:t>
            </w:r>
            <w:r>
              <w:rPr>
                <w:rFonts w:asciiTheme="majorHAnsi" w:hAnsiTheme="majorHAnsi" w:cstheme="majorHAnsi"/>
                <w:color w:val="000000" w:themeColor="text1"/>
                <w:sz w:val="20"/>
                <w:szCs w:val="20"/>
              </w:rPr>
              <w:t>principals/School Heads</w:t>
            </w:r>
          </w:p>
        </w:tc>
      </w:tr>
      <w:tr w:rsidR="008D0CAD" w14:paraId="26B6EED8" w14:textId="77777777" w:rsidTr="009C64E9">
        <w:trPr>
          <w:trHeight w:val="66"/>
        </w:trPr>
        <w:tc>
          <w:tcPr>
            <w:tcW w:w="7680" w:type="dxa"/>
          </w:tcPr>
          <w:p w14:paraId="3DC3C2AB" w14:textId="77777777" w:rsidR="008D0CAD" w:rsidRPr="009B5086" w:rsidRDefault="008D0CAD" w:rsidP="002320B3">
            <w:pPr>
              <w:rPr>
                <w:rFonts w:asciiTheme="majorHAnsi" w:hAnsiTheme="majorHAnsi" w:cstheme="majorHAnsi"/>
                <w:color w:val="000000" w:themeColor="text1"/>
                <w:sz w:val="20"/>
                <w:szCs w:val="20"/>
              </w:rPr>
            </w:pPr>
            <w:r>
              <w:rPr>
                <w:rFonts w:asciiTheme="majorHAnsi" w:hAnsiTheme="majorHAnsi" w:cs="Calibri Light (Headings)"/>
                <w:bCs/>
                <w:color w:val="000000" w:themeColor="text1"/>
                <w:sz w:val="20"/>
                <w:vertAlign w:val="superscript"/>
              </w:rPr>
              <w:t xml:space="preserve">3 </w:t>
            </w:r>
            <w:r w:rsidRPr="00A24A77">
              <w:rPr>
                <w:rFonts w:asciiTheme="majorHAnsi" w:hAnsiTheme="majorHAnsi" w:cstheme="majorHAnsi"/>
                <w:color w:val="000000" w:themeColor="text1"/>
                <w:sz w:val="20"/>
                <w:szCs w:val="20"/>
              </w:rPr>
              <w:t>Key Informant Interviews (KIIs) with respondents from Central Office Operating Units (OUs)</w:t>
            </w:r>
          </w:p>
        </w:tc>
        <w:tc>
          <w:tcPr>
            <w:tcW w:w="357" w:type="dxa"/>
          </w:tcPr>
          <w:p w14:paraId="1A0FFF0D" w14:textId="77777777" w:rsidR="008D0CAD" w:rsidRDefault="008D0CAD" w:rsidP="002320B3">
            <w:pPr>
              <w:rPr>
                <w:rFonts w:asciiTheme="majorHAnsi" w:hAnsiTheme="majorHAnsi" w:cstheme="majorHAnsi"/>
                <w:b/>
                <w:color w:val="000000" w:themeColor="text1"/>
              </w:rPr>
            </w:pPr>
          </w:p>
        </w:tc>
        <w:tc>
          <w:tcPr>
            <w:tcW w:w="6882" w:type="dxa"/>
          </w:tcPr>
          <w:p w14:paraId="72B862E5" w14:textId="77777777" w:rsidR="008D0CAD" w:rsidRPr="009B5086" w:rsidRDefault="008D0CAD" w:rsidP="002320B3">
            <w:pPr>
              <w:rPr>
                <w:rFonts w:asciiTheme="majorHAnsi" w:hAnsiTheme="majorHAnsi" w:cstheme="majorHAnsi"/>
                <w:color w:val="000000" w:themeColor="text1"/>
                <w:sz w:val="20"/>
                <w:szCs w:val="20"/>
              </w:rPr>
            </w:pPr>
            <w:r>
              <w:rPr>
                <w:rFonts w:asciiTheme="majorHAnsi" w:hAnsiTheme="majorHAnsi" w:cs="Calibri Light (Headings)"/>
                <w:bCs/>
                <w:color w:val="000000" w:themeColor="text1"/>
                <w:sz w:val="20"/>
                <w:vertAlign w:val="superscript"/>
              </w:rPr>
              <w:t xml:space="preserve">7 </w:t>
            </w:r>
            <w:r>
              <w:rPr>
                <w:rFonts w:asciiTheme="majorHAnsi" w:hAnsiTheme="majorHAnsi" w:cstheme="majorHAnsi"/>
                <w:color w:val="000000" w:themeColor="text1"/>
                <w:sz w:val="20"/>
                <w:szCs w:val="20"/>
              </w:rPr>
              <w:t>Focus Group Discussions</w:t>
            </w:r>
            <w:r w:rsidRPr="00A24A77">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FGDs</w:t>
            </w:r>
            <w:r w:rsidRPr="00A24A77">
              <w:rPr>
                <w:rFonts w:asciiTheme="majorHAnsi" w:hAnsiTheme="majorHAnsi" w:cstheme="majorHAnsi"/>
                <w:color w:val="000000" w:themeColor="text1"/>
                <w:sz w:val="20"/>
                <w:szCs w:val="20"/>
              </w:rPr>
              <w:t xml:space="preserve">) with </w:t>
            </w:r>
            <w:r>
              <w:rPr>
                <w:rFonts w:asciiTheme="majorHAnsi" w:hAnsiTheme="majorHAnsi" w:cstheme="majorHAnsi"/>
                <w:color w:val="000000" w:themeColor="text1"/>
                <w:sz w:val="20"/>
                <w:szCs w:val="20"/>
              </w:rPr>
              <w:t>teachers</w:t>
            </w:r>
          </w:p>
        </w:tc>
      </w:tr>
      <w:tr w:rsidR="008D0CAD" w14:paraId="1FB32255" w14:textId="77777777" w:rsidTr="009C64E9">
        <w:trPr>
          <w:trHeight w:val="269"/>
        </w:trPr>
        <w:tc>
          <w:tcPr>
            <w:tcW w:w="7680" w:type="dxa"/>
          </w:tcPr>
          <w:p w14:paraId="52F58D7D" w14:textId="77777777" w:rsidR="008D0CAD" w:rsidRPr="009B5086" w:rsidRDefault="008D0CAD" w:rsidP="002320B3">
            <w:pPr>
              <w:rPr>
                <w:rFonts w:asciiTheme="majorHAnsi" w:hAnsiTheme="majorHAnsi" w:cstheme="majorHAnsi"/>
                <w:color w:val="000000" w:themeColor="text1"/>
                <w:sz w:val="20"/>
                <w:szCs w:val="20"/>
              </w:rPr>
            </w:pPr>
            <w:r>
              <w:rPr>
                <w:rFonts w:asciiTheme="majorHAnsi" w:hAnsiTheme="majorHAnsi" w:cs="Calibri Light (Headings)"/>
                <w:bCs/>
                <w:color w:val="000000" w:themeColor="text1"/>
                <w:sz w:val="20"/>
                <w:vertAlign w:val="superscript"/>
              </w:rPr>
              <w:t xml:space="preserve">4 </w:t>
            </w:r>
            <w:r w:rsidRPr="00A24A77">
              <w:rPr>
                <w:rFonts w:asciiTheme="majorHAnsi" w:hAnsiTheme="majorHAnsi" w:cstheme="majorHAnsi"/>
                <w:color w:val="000000" w:themeColor="text1"/>
                <w:sz w:val="20"/>
                <w:szCs w:val="20"/>
              </w:rPr>
              <w:t xml:space="preserve">Key Informant Interviews (KIIs) with respondents from </w:t>
            </w:r>
            <w:r>
              <w:rPr>
                <w:rFonts w:asciiTheme="majorHAnsi" w:hAnsiTheme="majorHAnsi" w:cstheme="majorHAnsi"/>
                <w:color w:val="000000" w:themeColor="text1"/>
                <w:sz w:val="20"/>
                <w:szCs w:val="20"/>
              </w:rPr>
              <w:t>ROs/Dos</w:t>
            </w:r>
          </w:p>
        </w:tc>
        <w:tc>
          <w:tcPr>
            <w:tcW w:w="357" w:type="dxa"/>
          </w:tcPr>
          <w:p w14:paraId="3141D704" w14:textId="77777777" w:rsidR="008D0CAD" w:rsidRDefault="008D0CAD" w:rsidP="002320B3">
            <w:pPr>
              <w:rPr>
                <w:rFonts w:asciiTheme="majorHAnsi" w:hAnsiTheme="majorHAnsi" w:cstheme="majorHAnsi"/>
                <w:b/>
                <w:color w:val="000000" w:themeColor="text1"/>
              </w:rPr>
            </w:pPr>
          </w:p>
        </w:tc>
        <w:tc>
          <w:tcPr>
            <w:tcW w:w="6882" w:type="dxa"/>
          </w:tcPr>
          <w:p w14:paraId="45E28FCA" w14:textId="77777777" w:rsidR="008D0CAD" w:rsidRPr="009B5086" w:rsidRDefault="008D0CAD" w:rsidP="002320B3">
            <w:pPr>
              <w:rPr>
                <w:rFonts w:asciiTheme="majorHAnsi" w:hAnsiTheme="majorHAnsi" w:cstheme="majorHAnsi"/>
                <w:color w:val="000000" w:themeColor="text1"/>
                <w:sz w:val="20"/>
                <w:szCs w:val="20"/>
              </w:rPr>
            </w:pPr>
            <w:r>
              <w:rPr>
                <w:rFonts w:asciiTheme="majorHAnsi" w:hAnsiTheme="majorHAnsi" w:cs="Calibri Light (Headings)"/>
                <w:bCs/>
                <w:color w:val="000000" w:themeColor="text1"/>
                <w:sz w:val="20"/>
                <w:vertAlign w:val="superscript"/>
              </w:rPr>
              <w:t xml:space="preserve">8 </w:t>
            </w:r>
            <w:r w:rsidRPr="00CA2618">
              <w:rPr>
                <w:rFonts w:asciiTheme="majorHAnsi" w:hAnsiTheme="majorHAnsi" w:cstheme="majorHAnsi"/>
                <w:color w:val="000000" w:themeColor="text1"/>
                <w:sz w:val="20"/>
                <w:szCs w:val="20"/>
              </w:rPr>
              <w:t xml:space="preserve">School-based assessment </w:t>
            </w:r>
            <w:r>
              <w:rPr>
                <w:rFonts w:asciiTheme="majorHAnsi" w:hAnsiTheme="majorHAnsi" w:cstheme="majorHAnsi"/>
                <w:color w:val="000000" w:themeColor="text1"/>
                <w:sz w:val="20"/>
                <w:szCs w:val="20"/>
              </w:rPr>
              <w:t>(principals and teachers)</w:t>
            </w:r>
          </w:p>
        </w:tc>
      </w:tr>
    </w:tbl>
    <w:p w14:paraId="3638EA93" w14:textId="77777777" w:rsidR="008D0CAD" w:rsidRPr="00CA2618" w:rsidRDefault="008D0CAD" w:rsidP="002320B3">
      <w:pPr>
        <w:rPr>
          <w:lang w:val="en-US"/>
        </w:rPr>
        <w:sectPr w:rsidR="008D0CAD" w:rsidRPr="00CA2618" w:rsidSect="009C64E9">
          <w:headerReference w:type="default" r:id="rId43"/>
          <w:pgSz w:w="16840" w:h="11900" w:orient="landscape"/>
          <w:pgMar w:top="720" w:right="720" w:bottom="720" w:left="720" w:header="720" w:footer="720" w:gutter="0"/>
          <w:cols w:space="720"/>
          <w:docGrid w:linePitch="360"/>
        </w:sectPr>
      </w:pPr>
    </w:p>
    <w:p w14:paraId="408BDF1F" w14:textId="5B4E412E" w:rsidR="008D0CAD" w:rsidRDefault="008D0CAD" w:rsidP="00DD08E3">
      <w:pPr>
        <w:pStyle w:val="Heading3"/>
        <w:numPr>
          <w:ilvl w:val="1"/>
          <w:numId w:val="167"/>
        </w:numPr>
        <w:spacing w:before="100" w:beforeAutospacing="1" w:after="100" w:afterAutospacing="1" w:line="360" w:lineRule="auto"/>
      </w:pPr>
      <w:bookmarkStart w:id="167" w:name="_Toc69820443"/>
      <w:r>
        <w:t xml:space="preserve">Facilitating and Hindering </w:t>
      </w:r>
      <w:bookmarkEnd w:id="164"/>
      <w:bookmarkEnd w:id="165"/>
      <w:r>
        <w:t>Factors</w:t>
      </w:r>
      <w:bookmarkStart w:id="168" w:name="_Toc10723003"/>
      <w:bookmarkEnd w:id="167"/>
    </w:p>
    <w:p w14:paraId="50FB7A4F" w14:textId="485D2FA3" w:rsidR="008D0CAD" w:rsidRDefault="008D0CAD" w:rsidP="00671524">
      <w:pPr>
        <w:pStyle w:val="NormalWeb"/>
        <w:spacing w:line="360" w:lineRule="auto"/>
        <w:rPr>
          <w:rFonts w:asciiTheme="majorHAnsi" w:hAnsiTheme="majorHAnsi" w:cstheme="majorHAnsi"/>
          <w:bCs/>
          <w:color w:val="000000" w:themeColor="text1"/>
        </w:rPr>
      </w:pPr>
      <w:r w:rsidRPr="00D3469C">
        <w:rPr>
          <w:rFonts w:asciiTheme="majorHAnsi" w:hAnsiTheme="majorHAnsi" w:cstheme="majorHAnsi"/>
          <w:bCs/>
          <w:color w:val="000000" w:themeColor="text1"/>
        </w:rPr>
        <w:t>The fifth research question of the Study asked, “</w:t>
      </w:r>
      <w:r w:rsidRPr="00D3469C">
        <w:rPr>
          <w:rFonts w:asciiTheme="majorHAnsi" w:hAnsiTheme="majorHAnsi" w:cstheme="majorHAnsi"/>
          <w:i/>
          <w:color w:val="000000" w:themeColor="text1"/>
        </w:rPr>
        <w:t>What factors facilitated and hindered the achievement of the EOPOs and intermediate outcomes</w:t>
      </w:r>
      <w:r w:rsidRPr="00D3469C">
        <w:rPr>
          <w:rFonts w:asciiTheme="majorHAnsi" w:hAnsiTheme="majorHAnsi" w:cstheme="majorHAnsi"/>
          <w:bCs/>
          <w:i/>
          <w:color w:val="000000" w:themeColor="text1"/>
        </w:rPr>
        <w:t>?</w:t>
      </w:r>
      <w:r w:rsidRPr="00D3469C">
        <w:rPr>
          <w:rFonts w:asciiTheme="majorHAnsi" w:hAnsiTheme="majorHAnsi" w:cstheme="majorHAnsi"/>
          <w:bCs/>
          <w:color w:val="000000" w:themeColor="text1"/>
        </w:rPr>
        <w:t>” T</w:t>
      </w:r>
      <w:r>
        <w:rPr>
          <w:rFonts w:asciiTheme="majorHAnsi" w:hAnsiTheme="majorHAnsi" w:cstheme="majorHAnsi"/>
          <w:bCs/>
          <w:color w:val="000000" w:themeColor="text1"/>
        </w:rPr>
        <w:t xml:space="preserve">he Study identified ten facilitating factors and eight hindering </w:t>
      </w:r>
      <w:r w:rsidRPr="00D3469C">
        <w:rPr>
          <w:rFonts w:asciiTheme="majorHAnsi" w:hAnsiTheme="majorHAnsi" w:cstheme="majorHAnsi"/>
          <w:bCs/>
          <w:color w:val="000000" w:themeColor="text1"/>
        </w:rPr>
        <w:t>factors, summari</w:t>
      </w:r>
      <w:r>
        <w:rPr>
          <w:rFonts w:asciiTheme="majorHAnsi" w:hAnsiTheme="majorHAnsi" w:cstheme="majorHAnsi"/>
          <w:bCs/>
          <w:color w:val="000000" w:themeColor="text1"/>
        </w:rPr>
        <w:t>s</w:t>
      </w:r>
      <w:r w:rsidRPr="00D3469C">
        <w:rPr>
          <w:rFonts w:asciiTheme="majorHAnsi" w:hAnsiTheme="majorHAnsi" w:cstheme="majorHAnsi"/>
          <w:bCs/>
          <w:color w:val="000000" w:themeColor="text1"/>
        </w:rPr>
        <w:t xml:space="preserve">ed in </w:t>
      </w:r>
      <w:r w:rsidRPr="005062EA">
        <w:rPr>
          <w:rFonts w:asciiTheme="majorHAnsi" w:hAnsiTheme="majorHAnsi" w:cstheme="majorHAnsi"/>
          <w:bCs/>
          <w:color w:val="000000" w:themeColor="text1"/>
        </w:rPr>
        <w:t>Table 4</w:t>
      </w:r>
      <w:r>
        <w:rPr>
          <w:rFonts w:asciiTheme="majorHAnsi" w:hAnsiTheme="majorHAnsi" w:cstheme="majorHAnsi"/>
          <w:bCs/>
          <w:color w:val="000000" w:themeColor="text1"/>
        </w:rPr>
        <w:t>2.</w:t>
      </w:r>
      <w:r w:rsidR="00D434EB">
        <w:rPr>
          <w:rFonts w:asciiTheme="majorHAnsi" w:hAnsiTheme="majorHAnsi" w:cstheme="majorHAnsi"/>
          <w:bCs/>
          <w:color w:val="000000" w:themeColor="text1"/>
        </w:rPr>
        <w:t xml:space="preserve"> </w:t>
      </w:r>
      <w:r>
        <w:rPr>
          <w:rFonts w:asciiTheme="majorHAnsi" w:hAnsiTheme="majorHAnsi" w:cstheme="majorHAnsi"/>
          <w:bCs/>
          <w:color w:val="000000" w:themeColor="text1"/>
        </w:rPr>
        <w:t>They</w:t>
      </w:r>
      <w:r w:rsidRPr="005062EA">
        <w:rPr>
          <w:rFonts w:asciiTheme="majorHAnsi" w:hAnsiTheme="majorHAnsi" w:cstheme="majorHAnsi"/>
          <w:bCs/>
          <w:color w:val="000000" w:themeColor="text1"/>
        </w:rPr>
        <w:t xml:space="preserve"> are cross-cutting and affect </w:t>
      </w:r>
      <w:r>
        <w:rPr>
          <w:rFonts w:asciiTheme="majorHAnsi" w:hAnsiTheme="majorHAnsi" w:cstheme="majorHAnsi"/>
          <w:bCs/>
          <w:color w:val="000000" w:themeColor="text1"/>
        </w:rPr>
        <w:t>all</w:t>
      </w:r>
      <w:r w:rsidRPr="005062EA">
        <w:rPr>
          <w:rFonts w:asciiTheme="majorHAnsi" w:hAnsiTheme="majorHAnsi" w:cstheme="majorHAnsi"/>
          <w:bCs/>
          <w:color w:val="000000" w:themeColor="text1"/>
        </w:rPr>
        <w:t xml:space="preserve"> three EOPOs and </w:t>
      </w:r>
      <w:r>
        <w:rPr>
          <w:rFonts w:asciiTheme="majorHAnsi" w:hAnsiTheme="majorHAnsi" w:cstheme="majorHAnsi"/>
          <w:bCs/>
          <w:color w:val="000000" w:themeColor="text1"/>
        </w:rPr>
        <w:t xml:space="preserve">the three </w:t>
      </w:r>
      <w:r w:rsidRPr="005062EA">
        <w:rPr>
          <w:rFonts w:asciiTheme="majorHAnsi" w:hAnsiTheme="majorHAnsi" w:cstheme="majorHAnsi"/>
          <w:bCs/>
          <w:color w:val="000000" w:themeColor="text1"/>
        </w:rPr>
        <w:t>related InOs</w:t>
      </w:r>
      <w:r>
        <w:rPr>
          <w:rFonts w:asciiTheme="majorHAnsi" w:hAnsiTheme="majorHAnsi" w:cstheme="majorHAnsi"/>
          <w:bCs/>
          <w:color w:val="000000" w:themeColor="text1"/>
        </w:rPr>
        <w:t>,</w:t>
      </w:r>
      <w:r w:rsidRPr="005062EA">
        <w:rPr>
          <w:rFonts w:asciiTheme="majorHAnsi" w:hAnsiTheme="majorHAnsi" w:cstheme="majorHAnsi"/>
          <w:bCs/>
          <w:color w:val="000000" w:themeColor="text1"/>
        </w:rPr>
        <w:t xml:space="preserve"> albeit </w:t>
      </w:r>
      <w:r>
        <w:rPr>
          <w:rFonts w:asciiTheme="majorHAnsi" w:hAnsiTheme="majorHAnsi" w:cstheme="majorHAnsi"/>
          <w:bCs/>
          <w:color w:val="000000" w:themeColor="text1"/>
        </w:rPr>
        <w:t xml:space="preserve">to </w:t>
      </w:r>
      <w:r w:rsidRPr="005062EA">
        <w:rPr>
          <w:rFonts w:asciiTheme="majorHAnsi" w:hAnsiTheme="majorHAnsi" w:cstheme="majorHAnsi"/>
          <w:bCs/>
          <w:color w:val="000000" w:themeColor="text1"/>
        </w:rPr>
        <w:t>varyin</w:t>
      </w:r>
      <w:r>
        <w:rPr>
          <w:rFonts w:asciiTheme="majorHAnsi" w:hAnsiTheme="majorHAnsi" w:cstheme="majorHAnsi"/>
          <w:bCs/>
          <w:color w:val="000000" w:themeColor="text1"/>
        </w:rPr>
        <w:t>g degrees</w:t>
      </w:r>
      <w:r w:rsidRPr="008307F9">
        <w:rPr>
          <w:rFonts w:asciiTheme="majorHAnsi" w:hAnsiTheme="majorHAnsi" w:cstheme="majorHAnsi"/>
          <w:bCs/>
          <w:color w:val="000000" w:themeColor="text1"/>
        </w:rPr>
        <w:t>.</w:t>
      </w:r>
      <w:r w:rsidR="00D434EB">
        <w:rPr>
          <w:rFonts w:asciiTheme="majorHAnsi" w:hAnsiTheme="majorHAnsi" w:cstheme="majorHAnsi"/>
          <w:bCs/>
          <w:color w:val="000000" w:themeColor="text1"/>
        </w:rPr>
        <w:t xml:space="preserve"> </w:t>
      </w:r>
      <w:r>
        <w:rPr>
          <w:rFonts w:asciiTheme="majorHAnsi" w:hAnsiTheme="majorHAnsi" w:cstheme="majorHAnsi"/>
          <w:bCs/>
          <w:color w:val="000000" w:themeColor="text1"/>
        </w:rPr>
        <w:t>Factors affecting the sustainability of program gains are Facilitating Factors no. 2 and 3 and Hindering Factors no. 2 and 3.</w:t>
      </w:r>
      <w:r w:rsidR="00D434EB">
        <w:rPr>
          <w:rFonts w:asciiTheme="majorHAnsi" w:hAnsiTheme="majorHAnsi" w:cstheme="majorHAnsi"/>
          <w:bCs/>
          <w:color w:val="000000" w:themeColor="text1"/>
        </w:rPr>
        <w:t xml:space="preserve"> </w:t>
      </w:r>
    </w:p>
    <w:p w14:paraId="5A8FFE91" w14:textId="2F7A7056" w:rsidR="008D0CAD" w:rsidRPr="00D354DC" w:rsidRDefault="008D0CAD" w:rsidP="00671524">
      <w:pPr>
        <w:pStyle w:val="Caption"/>
        <w:spacing w:before="100" w:beforeAutospacing="1" w:after="100" w:afterAutospacing="1" w:line="360" w:lineRule="auto"/>
        <w:rPr>
          <w:rFonts w:asciiTheme="majorHAnsi" w:eastAsiaTheme="minorHAnsi" w:hAnsiTheme="majorHAnsi" w:cstheme="majorHAnsi"/>
          <w:sz w:val="22"/>
          <w:szCs w:val="22"/>
        </w:rPr>
      </w:pPr>
      <w:bookmarkStart w:id="169" w:name="_Toc71616628"/>
      <w:r w:rsidRPr="00D354DC">
        <w:rPr>
          <w:rFonts w:asciiTheme="majorHAnsi" w:hAnsiTheme="majorHAnsi" w:cstheme="majorHAnsi"/>
          <w:sz w:val="22"/>
          <w:szCs w:val="22"/>
        </w:rPr>
        <w:t xml:space="preserve">Table </w:t>
      </w:r>
      <w:r w:rsidRPr="00D354DC">
        <w:rPr>
          <w:rFonts w:asciiTheme="majorHAnsi" w:hAnsiTheme="majorHAnsi" w:cstheme="majorHAnsi"/>
          <w:noProof/>
          <w:sz w:val="22"/>
          <w:szCs w:val="22"/>
        </w:rPr>
        <w:fldChar w:fldCharType="begin"/>
      </w:r>
      <w:r w:rsidRPr="00D354DC">
        <w:rPr>
          <w:rFonts w:asciiTheme="majorHAnsi" w:hAnsiTheme="majorHAnsi" w:cstheme="majorHAnsi"/>
          <w:noProof/>
          <w:sz w:val="22"/>
          <w:szCs w:val="22"/>
        </w:rPr>
        <w:instrText xml:space="preserve"> SEQ Table \* ARABIC </w:instrText>
      </w:r>
      <w:r w:rsidRPr="00D354DC">
        <w:rPr>
          <w:rFonts w:asciiTheme="majorHAnsi" w:hAnsiTheme="majorHAnsi" w:cstheme="majorHAnsi"/>
          <w:noProof/>
          <w:sz w:val="22"/>
          <w:szCs w:val="22"/>
        </w:rPr>
        <w:fldChar w:fldCharType="separate"/>
      </w:r>
      <w:r w:rsidR="00D6133D">
        <w:rPr>
          <w:rFonts w:asciiTheme="majorHAnsi" w:hAnsiTheme="majorHAnsi" w:cstheme="majorHAnsi"/>
          <w:noProof/>
          <w:sz w:val="22"/>
          <w:szCs w:val="22"/>
        </w:rPr>
        <w:t>37</w:t>
      </w:r>
      <w:r w:rsidRPr="00D354DC">
        <w:rPr>
          <w:rFonts w:asciiTheme="majorHAnsi" w:hAnsiTheme="majorHAnsi" w:cstheme="majorHAnsi"/>
          <w:noProof/>
          <w:sz w:val="22"/>
          <w:szCs w:val="22"/>
        </w:rPr>
        <w:fldChar w:fldCharType="end"/>
      </w:r>
      <w:r w:rsidRPr="00D354DC">
        <w:rPr>
          <w:rFonts w:asciiTheme="majorHAnsi" w:hAnsiTheme="majorHAnsi" w:cstheme="majorHAnsi"/>
          <w:sz w:val="22"/>
          <w:szCs w:val="22"/>
        </w:rPr>
        <w:t>.</w:t>
      </w:r>
      <w:r w:rsidRPr="00D354DC">
        <w:rPr>
          <w:rFonts w:asciiTheme="majorHAnsi" w:eastAsiaTheme="minorHAnsi" w:hAnsiTheme="majorHAnsi" w:cstheme="majorHAnsi"/>
          <w:sz w:val="22"/>
          <w:szCs w:val="22"/>
        </w:rPr>
        <w:t xml:space="preserve"> Summary of Facilitating and Hindering Factors</w:t>
      </w:r>
      <w:bookmarkEnd w:id="169"/>
    </w:p>
    <w:tbl>
      <w:tblPr>
        <w:tblStyle w:val="TableGrid"/>
        <w:tblW w:w="0" w:type="auto"/>
        <w:tblLook w:val="04A0" w:firstRow="1" w:lastRow="0" w:firstColumn="1" w:lastColumn="0" w:noHBand="0" w:noVBand="1"/>
      </w:tblPr>
      <w:tblGrid>
        <w:gridCol w:w="2003"/>
        <w:gridCol w:w="3379"/>
        <w:gridCol w:w="3628"/>
      </w:tblGrid>
      <w:tr w:rsidR="008D0CAD" w:rsidRPr="00CF2105" w14:paraId="27DF50CF" w14:textId="77777777" w:rsidTr="004B064D">
        <w:trPr>
          <w:trHeight w:val="153"/>
          <w:tblHeader/>
        </w:trPr>
        <w:tc>
          <w:tcPr>
            <w:tcW w:w="2003" w:type="dxa"/>
          </w:tcPr>
          <w:p w14:paraId="6125E0A8" w14:textId="77777777" w:rsidR="008D0CAD" w:rsidRPr="00CF2105" w:rsidRDefault="008D0CAD" w:rsidP="00671524">
            <w:pPr>
              <w:spacing w:before="100" w:beforeAutospacing="1" w:after="100" w:afterAutospacing="1" w:line="360" w:lineRule="auto"/>
              <w:rPr>
                <w:rFonts w:asciiTheme="majorHAnsi" w:hAnsiTheme="majorHAnsi" w:cstheme="majorHAnsi"/>
                <w:b/>
                <w:bCs/>
                <w:sz w:val="20"/>
                <w:szCs w:val="20"/>
              </w:rPr>
            </w:pPr>
          </w:p>
        </w:tc>
        <w:tc>
          <w:tcPr>
            <w:tcW w:w="3379" w:type="dxa"/>
          </w:tcPr>
          <w:p w14:paraId="05288106" w14:textId="77777777" w:rsidR="008D0CAD" w:rsidRPr="00CF2105" w:rsidRDefault="008D0CAD" w:rsidP="00671524">
            <w:pPr>
              <w:spacing w:before="100" w:beforeAutospacing="1" w:after="100" w:afterAutospacing="1" w:line="360" w:lineRule="auto"/>
              <w:rPr>
                <w:rFonts w:asciiTheme="majorHAnsi" w:hAnsiTheme="majorHAnsi" w:cstheme="majorHAnsi"/>
                <w:b/>
                <w:bCs/>
                <w:sz w:val="20"/>
                <w:szCs w:val="20"/>
              </w:rPr>
            </w:pPr>
            <w:r w:rsidRPr="00CF2105">
              <w:rPr>
                <w:rFonts w:asciiTheme="majorHAnsi" w:hAnsiTheme="majorHAnsi" w:cstheme="majorHAnsi"/>
                <w:b/>
                <w:bCs/>
                <w:sz w:val="20"/>
                <w:szCs w:val="20"/>
              </w:rPr>
              <w:t>Facilitating</w:t>
            </w:r>
          </w:p>
        </w:tc>
        <w:tc>
          <w:tcPr>
            <w:tcW w:w="3628" w:type="dxa"/>
          </w:tcPr>
          <w:p w14:paraId="7DEA7D8C" w14:textId="77777777" w:rsidR="008D0CAD" w:rsidRPr="00CF2105" w:rsidRDefault="008D0CAD" w:rsidP="00671524">
            <w:pPr>
              <w:spacing w:before="100" w:beforeAutospacing="1" w:after="100" w:afterAutospacing="1" w:line="360" w:lineRule="auto"/>
              <w:rPr>
                <w:rFonts w:asciiTheme="majorHAnsi" w:hAnsiTheme="majorHAnsi" w:cstheme="majorHAnsi"/>
                <w:b/>
                <w:bCs/>
                <w:sz w:val="20"/>
                <w:szCs w:val="20"/>
              </w:rPr>
            </w:pPr>
            <w:r w:rsidRPr="00CF2105">
              <w:rPr>
                <w:rFonts w:asciiTheme="majorHAnsi" w:hAnsiTheme="majorHAnsi" w:cstheme="majorHAnsi"/>
                <w:b/>
                <w:bCs/>
                <w:sz w:val="20"/>
                <w:szCs w:val="20"/>
              </w:rPr>
              <w:t>Hindering</w:t>
            </w:r>
          </w:p>
        </w:tc>
      </w:tr>
      <w:tr w:rsidR="008D0CAD" w:rsidRPr="00CF2105" w14:paraId="66A9861B" w14:textId="77777777" w:rsidTr="00E26D25">
        <w:trPr>
          <w:trHeight w:val="1314"/>
        </w:trPr>
        <w:tc>
          <w:tcPr>
            <w:tcW w:w="2003" w:type="dxa"/>
          </w:tcPr>
          <w:p w14:paraId="3D2BCCDF" w14:textId="77777777" w:rsidR="008D0CAD" w:rsidRPr="00CF2105" w:rsidRDefault="008D0CAD" w:rsidP="00671524">
            <w:pPr>
              <w:pStyle w:val="ListParagraph"/>
              <w:numPr>
                <w:ilvl w:val="0"/>
                <w:numId w:val="38"/>
              </w:numPr>
              <w:spacing w:before="100" w:beforeAutospacing="1" w:after="100" w:afterAutospacing="1" w:line="360" w:lineRule="auto"/>
              <w:rPr>
                <w:rFonts w:asciiTheme="majorHAnsi" w:hAnsiTheme="majorHAnsi" w:cstheme="majorHAnsi"/>
                <w:sz w:val="20"/>
                <w:szCs w:val="20"/>
              </w:rPr>
            </w:pPr>
            <w:r w:rsidRPr="00CF2105">
              <w:rPr>
                <w:rFonts w:asciiTheme="majorHAnsi" w:hAnsiTheme="majorHAnsi" w:cstheme="majorHAnsi"/>
                <w:sz w:val="20"/>
                <w:szCs w:val="20"/>
              </w:rPr>
              <w:t>Program level (BEST Program)</w:t>
            </w:r>
          </w:p>
        </w:tc>
        <w:tc>
          <w:tcPr>
            <w:tcW w:w="3379" w:type="dxa"/>
          </w:tcPr>
          <w:p w14:paraId="545F5F47" w14:textId="77777777" w:rsidR="008D0CAD" w:rsidRPr="00CF2105" w:rsidRDefault="008D0CAD" w:rsidP="00671524">
            <w:pPr>
              <w:pStyle w:val="ListParagraph"/>
              <w:numPr>
                <w:ilvl w:val="0"/>
                <w:numId w:val="37"/>
              </w:numPr>
              <w:spacing w:before="100" w:beforeAutospacing="1" w:after="100" w:afterAutospacing="1" w:line="360" w:lineRule="auto"/>
              <w:rPr>
                <w:rFonts w:asciiTheme="majorHAnsi" w:hAnsiTheme="majorHAnsi" w:cstheme="majorHAnsi"/>
                <w:bCs/>
                <w:color w:val="000000" w:themeColor="text1"/>
                <w:sz w:val="20"/>
                <w:szCs w:val="20"/>
              </w:rPr>
            </w:pPr>
            <w:r w:rsidRPr="00CF2105">
              <w:rPr>
                <w:rFonts w:asciiTheme="majorHAnsi" w:hAnsiTheme="majorHAnsi" w:cstheme="majorHAnsi"/>
                <w:bCs/>
                <w:color w:val="000000" w:themeColor="text1"/>
                <w:sz w:val="20"/>
                <w:szCs w:val="20"/>
              </w:rPr>
              <w:t xml:space="preserve">Strong </w:t>
            </w:r>
            <w:r>
              <w:rPr>
                <w:rFonts w:asciiTheme="majorHAnsi" w:hAnsiTheme="majorHAnsi" w:cstheme="majorHAnsi"/>
                <w:bCs/>
                <w:color w:val="000000" w:themeColor="text1"/>
                <w:sz w:val="20"/>
                <w:szCs w:val="20"/>
              </w:rPr>
              <w:t>support</w:t>
            </w:r>
            <w:r w:rsidRPr="00CF2105">
              <w:rPr>
                <w:rFonts w:asciiTheme="majorHAnsi" w:hAnsiTheme="majorHAnsi" w:cstheme="majorHAnsi"/>
                <w:bCs/>
                <w:color w:val="000000" w:themeColor="text1"/>
                <w:sz w:val="20"/>
                <w:szCs w:val="20"/>
              </w:rPr>
              <w:t xml:space="preserve"> </w:t>
            </w:r>
            <w:r>
              <w:rPr>
                <w:rFonts w:asciiTheme="majorHAnsi" w:hAnsiTheme="majorHAnsi" w:cstheme="majorHAnsi"/>
                <w:bCs/>
                <w:color w:val="000000" w:themeColor="text1"/>
                <w:sz w:val="20"/>
                <w:szCs w:val="20"/>
              </w:rPr>
              <w:t>from</w:t>
            </w:r>
            <w:r w:rsidRPr="00CF2105">
              <w:rPr>
                <w:rFonts w:asciiTheme="majorHAnsi" w:hAnsiTheme="majorHAnsi" w:cstheme="majorHAnsi"/>
                <w:bCs/>
                <w:color w:val="000000" w:themeColor="text1"/>
                <w:sz w:val="20"/>
                <w:szCs w:val="20"/>
              </w:rPr>
              <w:t xml:space="preserve"> the partner </w:t>
            </w:r>
            <w:r>
              <w:rPr>
                <w:rFonts w:asciiTheme="majorHAnsi" w:hAnsiTheme="majorHAnsi" w:cstheme="majorHAnsi"/>
                <w:bCs/>
                <w:color w:val="000000" w:themeColor="text1"/>
                <w:sz w:val="20"/>
                <w:szCs w:val="20"/>
              </w:rPr>
              <w:t>organisations</w:t>
            </w:r>
          </w:p>
          <w:p w14:paraId="69D6FF95" w14:textId="77777777" w:rsidR="008D0CAD" w:rsidRPr="00CF2105" w:rsidRDefault="008D0CAD" w:rsidP="00671524">
            <w:pPr>
              <w:pStyle w:val="ListParagraph"/>
              <w:numPr>
                <w:ilvl w:val="0"/>
                <w:numId w:val="37"/>
              </w:numPr>
              <w:spacing w:before="100" w:beforeAutospacing="1" w:after="100" w:afterAutospacing="1" w:line="360" w:lineRule="auto"/>
              <w:rPr>
                <w:rFonts w:asciiTheme="majorHAnsi" w:hAnsiTheme="majorHAnsi" w:cstheme="majorHAnsi"/>
                <w:b/>
                <w:bCs/>
                <w:color w:val="000000" w:themeColor="text1"/>
                <w:sz w:val="20"/>
                <w:szCs w:val="20"/>
              </w:rPr>
            </w:pPr>
            <w:r w:rsidRPr="00CF2105">
              <w:rPr>
                <w:rFonts w:asciiTheme="majorHAnsi" w:hAnsiTheme="majorHAnsi" w:cstheme="majorHAnsi"/>
                <w:b/>
                <w:bCs/>
                <w:color w:val="000000" w:themeColor="text1"/>
                <w:sz w:val="20"/>
                <w:szCs w:val="20"/>
              </w:rPr>
              <w:t xml:space="preserve">Embedding of the Program Management Unit within the </w:t>
            </w:r>
            <w:r>
              <w:rPr>
                <w:rFonts w:asciiTheme="majorHAnsi" w:hAnsiTheme="majorHAnsi" w:cstheme="majorHAnsi"/>
                <w:b/>
                <w:bCs/>
                <w:color w:val="000000" w:themeColor="text1"/>
                <w:sz w:val="20"/>
                <w:szCs w:val="20"/>
              </w:rPr>
              <w:t>DepEd</w:t>
            </w:r>
            <w:r w:rsidRPr="00CF2105">
              <w:rPr>
                <w:rFonts w:asciiTheme="majorHAnsi" w:hAnsiTheme="majorHAnsi" w:cstheme="majorHAnsi"/>
                <w:b/>
                <w:bCs/>
                <w:color w:val="000000" w:themeColor="text1"/>
                <w:sz w:val="20"/>
                <w:szCs w:val="20"/>
              </w:rPr>
              <w:t xml:space="preserve"> organi</w:t>
            </w:r>
            <w:r>
              <w:rPr>
                <w:rFonts w:asciiTheme="majorHAnsi" w:hAnsiTheme="majorHAnsi" w:cstheme="majorHAnsi"/>
                <w:b/>
                <w:bCs/>
                <w:color w:val="000000" w:themeColor="text1"/>
                <w:sz w:val="20"/>
                <w:szCs w:val="20"/>
              </w:rPr>
              <w:t>s</w:t>
            </w:r>
            <w:r w:rsidRPr="00CF2105">
              <w:rPr>
                <w:rFonts w:asciiTheme="majorHAnsi" w:hAnsiTheme="majorHAnsi" w:cstheme="majorHAnsi"/>
                <w:b/>
                <w:bCs/>
                <w:color w:val="000000" w:themeColor="text1"/>
                <w:sz w:val="20"/>
                <w:szCs w:val="20"/>
              </w:rPr>
              <w:t>ation</w:t>
            </w:r>
          </w:p>
          <w:p w14:paraId="7817DA55" w14:textId="39F96DD6" w:rsidR="008D0CAD" w:rsidRPr="00CF2105" w:rsidRDefault="008D0CAD" w:rsidP="00671524">
            <w:pPr>
              <w:pStyle w:val="ListParagraph"/>
              <w:numPr>
                <w:ilvl w:val="0"/>
                <w:numId w:val="37"/>
              </w:numPr>
              <w:spacing w:before="100" w:beforeAutospacing="1" w:after="100" w:afterAutospacing="1" w:line="360" w:lineRule="auto"/>
              <w:rPr>
                <w:rFonts w:asciiTheme="majorHAnsi" w:hAnsiTheme="majorHAnsi" w:cstheme="majorHAnsi"/>
                <w:bCs/>
                <w:sz w:val="20"/>
                <w:szCs w:val="20"/>
              </w:rPr>
            </w:pPr>
            <w:r w:rsidRPr="00CF2105">
              <w:rPr>
                <w:rFonts w:asciiTheme="majorHAnsi" w:hAnsiTheme="majorHAnsi" w:cstheme="majorHAnsi"/>
                <w:b/>
                <w:bCs/>
                <w:color w:val="000000" w:themeColor="text1"/>
                <w:sz w:val="20"/>
                <w:szCs w:val="20"/>
              </w:rPr>
              <w:t>Higher ownership of reforms due to non-branding of the BEST Program</w:t>
            </w:r>
            <w:r w:rsidR="00D434EB">
              <w:rPr>
                <w:rFonts w:asciiTheme="majorHAnsi" w:hAnsiTheme="majorHAnsi" w:cstheme="majorHAnsi"/>
                <w:b/>
                <w:bCs/>
                <w:color w:val="000000" w:themeColor="text1"/>
                <w:sz w:val="20"/>
                <w:szCs w:val="20"/>
              </w:rPr>
              <w:t xml:space="preserve"> </w:t>
            </w:r>
            <w:r w:rsidRPr="00CF2105">
              <w:rPr>
                <w:rFonts w:asciiTheme="majorHAnsi" w:hAnsiTheme="majorHAnsi" w:cstheme="majorHAnsi"/>
                <w:b/>
                <w:bCs/>
                <w:color w:val="000000" w:themeColor="text1"/>
                <w:sz w:val="20"/>
                <w:szCs w:val="20"/>
              </w:rPr>
              <w:t xml:space="preserve"> </w:t>
            </w:r>
          </w:p>
        </w:tc>
        <w:tc>
          <w:tcPr>
            <w:tcW w:w="3628" w:type="dxa"/>
          </w:tcPr>
          <w:p w14:paraId="461FDB9A" w14:textId="30F78901" w:rsidR="008D0CAD" w:rsidRPr="00CF2105" w:rsidRDefault="008D0CAD" w:rsidP="00671524">
            <w:pPr>
              <w:pStyle w:val="ListParagraph"/>
              <w:numPr>
                <w:ilvl w:val="0"/>
                <w:numId w:val="39"/>
              </w:numPr>
              <w:spacing w:before="100" w:beforeAutospacing="1" w:after="100" w:afterAutospacing="1" w:line="360" w:lineRule="auto"/>
              <w:rPr>
                <w:rFonts w:asciiTheme="majorHAnsi" w:hAnsiTheme="majorHAnsi" w:cstheme="majorHAnsi"/>
                <w:color w:val="000000" w:themeColor="text1"/>
                <w:sz w:val="20"/>
                <w:szCs w:val="20"/>
              </w:rPr>
            </w:pPr>
            <w:r w:rsidRPr="00CF2105">
              <w:rPr>
                <w:rFonts w:asciiTheme="majorHAnsi" w:hAnsiTheme="majorHAnsi" w:cstheme="majorHAnsi"/>
                <w:color w:val="000000" w:themeColor="text1"/>
                <w:sz w:val="20"/>
                <w:szCs w:val="20"/>
              </w:rPr>
              <w:t>Dormant governance mechanism in the early years of implementation</w:t>
            </w:r>
            <w:r w:rsidR="00D434EB">
              <w:rPr>
                <w:rFonts w:asciiTheme="majorHAnsi" w:hAnsiTheme="majorHAnsi" w:cstheme="majorHAnsi"/>
                <w:color w:val="000000" w:themeColor="text1"/>
                <w:sz w:val="20"/>
                <w:szCs w:val="20"/>
              </w:rPr>
              <w:t xml:space="preserve"> </w:t>
            </w:r>
          </w:p>
          <w:p w14:paraId="4F386C00" w14:textId="77777777" w:rsidR="008D0CAD" w:rsidRPr="00CF2105" w:rsidRDefault="008D0CAD" w:rsidP="00671524">
            <w:pPr>
              <w:pStyle w:val="ListParagraph"/>
              <w:numPr>
                <w:ilvl w:val="0"/>
                <w:numId w:val="39"/>
              </w:numPr>
              <w:spacing w:before="100" w:beforeAutospacing="1" w:after="100" w:afterAutospacing="1" w:line="360" w:lineRule="auto"/>
              <w:rPr>
                <w:rFonts w:asciiTheme="majorHAnsi" w:hAnsiTheme="majorHAnsi" w:cstheme="majorHAnsi"/>
                <w:b/>
                <w:bCs/>
                <w:color w:val="000000" w:themeColor="text1"/>
                <w:sz w:val="20"/>
                <w:szCs w:val="20"/>
              </w:rPr>
            </w:pPr>
            <w:r w:rsidRPr="00CF2105">
              <w:rPr>
                <w:rFonts w:asciiTheme="majorHAnsi" w:hAnsiTheme="majorHAnsi" w:cstheme="majorHAnsi"/>
                <w:b/>
                <w:bCs/>
                <w:color w:val="000000" w:themeColor="text1"/>
                <w:sz w:val="20"/>
                <w:szCs w:val="20"/>
              </w:rPr>
              <w:t>Absence of a change management component</w:t>
            </w:r>
          </w:p>
          <w:p w14:paraId="429419A9" w14:textId="77777777" w:rsidR="008D0CAD" w:rsidRPr="00CF2105" w:rsidRDefault="008D0CAD" w:rsidP="00671524">
            <w:pPr>
              <w:pStyle w:val="ListParagraph"/>
              <w:numPr>
                <w:ilvl w:val="0"/>
                <w:numId w:val="39"/>
              </w:numPr>
              <w:spacing w:before="100" w:beforeAutospacing="1" w:after="100" w:afterAutospacing="1" w:line="360" w:lineRule="auto"/>
              <w:rPr>
                <w:rFonts w:asciiTheme="majorHAnsi" w:hAnsiTheme="majorHAnsi" w:cstheme="majorHAnsi"/>
                <w:color w:val="000000" w:themeColor="text1"/>
                <w:sz w:val="20"/>
                <w:szCs w:val="20"/>
              </w:rPr>
            </w:pPr>
            <w:r w:rsidRPr="00CF2105">
              <w:rPr>
                <w:rFonts w:asciiTheme="majorHAnsi" w:hAnsiTheme="majorHAnsi" w:cstheme="majorHAnsi"/>
                <w:b/>
                <w:bCs/>
                <w:color w:val="000000" w:themeColor="text1"/>
                <w:sz w:val="20"/>
                <w:szCs w:val="20"/>
              </w:rPr>
              <w:t>Lack of convergence of the different Program interventions</w:t>
            </w:r>
            <w:r w:rsidRPr="00CF2105">
              <w:rPr>
                <w:rFonts w:asciiTheme="majorHAnsi" w:hAnsiTheme="majorHAnsi" w:cstheme="majorHAnsi"/>
                <w:color w:val="000000" w:themeColor="text1"/>
                <w:sz w:val="20"/>
                <w:szCs w:val="20"/>
              </w:rPr>
              <w:t xml:space="preserve"> </w:t>
            </w:r>
          </w:p>
          <w:p w14:paraId="46A9442E" w14:textId="77777777" w:rsidR="008D0CAD" w:rsidRPr="00CF2105" w:rsidRDefault="008D0CAD" w:rsidP="00671524">
            <w:pPr>
              <w:pStyle w:val="ListParagraph"/>
              <w:numPr>
                <w:ilvl w:val="0"/>
                <w:numId w:val="39"/>
              </w:numPr>
              <w:spacing w:before="100" w:beforeAutospacing="1" w:after="100" w:afterAutospacing="1" w:line="360" w:lineRule="auto"/>
              <w:rPr>
                <w:rFonts w:asciiTheme="majorHAnsi" w:hAnsiTheme="majorHAnsi" w:cstheme="majorHAnsi"/>
                <w:color w:val="000000" w:themeColor="text1"/>
                <w:sz w:val="20"/>
                <w:szCs w:val="20"/>
              </w:rPr>
            </w:pPr>
            <w:r w:rsidRPr="00CF2105">
              <w:rPr>
                <w:rFonts w:asciiTheme="majorHAnsi" w:hAnsiTheme="majorHAnsi" w:cstheme="majorHAnsi"/>
                <w:color w:val="000000" w:themeColor="text1"/>
                <w:sz w:val="20"/>
                <w:szCs w:val="20"/>
              </w:rPr>
              <w:t>Ineffective Program M&amp;E system</w:t>
            </w:r>
          </w:p>
        </w:tc>
      </w:tr>
      <w:tr w:rsidR="008D0CAD" w:rsidRPr="00CF2105" w14:paraId="5D502141" w14:textId="77777777" w:rsidTr="00E26D25">
        <w:trPr>
          <w:trHeight w:val="1011"/>
        </w:trPr>
        <w:tc>
          <w:tcPr>
            <w:tcW w:w="2003" w:type="dxa"/>
          </w:tcPr>
          <w:p w14:paraId="108A9B25" w14:textId="77777777" w:rsidR="008D0CAD" w:rsidRPr="00CF2105" w:rsidRDefault="008D0CAD" w:rsidP="00671524">
            <w:pPr>
              <w:pStyle w:val="ListParagraph"/>
              <w:numPr>
                <w:ilvl w:val="0"/>
                <w:numId w:val="38"/>
              </w:numPr>
              <w:spacing w:before="100" w:beforeAutospacing="1" w:after="100" w:afterAutospacing="1" w:line="360" w:lineRule="auto"/>
              <w:rPr>
                <w:rFonts w:asciiTheme="majorHAnsi" w:hAnsiTheme="majorHAnsi" w:cstheme="majorHAnsi"/>
                <w:sz w:val="20"/>
                <w:szCs w:val="20"/>
              </w:rPr>
            </w:pPr>
            <w:r w:rsidRPr="00CF2105">
              <w:rPr>
                <w:rFonts w:asciiTheme="majorHAnsi" w:hAnsiTheme="majorHAnsi" w:cstheme="majorHAnsi"/>
                <w:sz w:val="20"/>
                <w:szCs w:val="20"/>
              </w:rPr>
              <w:t>System level (CO-RO-DO-School interactions)</w:t>
            </w:r>
          </w:p>
        </w:tc>
        <w:tc>
          <w:tcPr>
            <w:tcW w:w="3379" w:type="dxa"/>
          </w:tcPr>
          <w:p w14:paraId="306E8C0C" w14:textId="77777777" w:rsidR="008D0CAD" w:rsidRPr="00CF2105" w:rsidRDefault="008D0CAD" w:rsidP="00671524">
            <w:pPr>
              <w:pStyle w:val="ListParagraph"/>
              <w:numPr>
                <w:ilvl w:val="0"/>
                <w:numId w:val="37"/>
              </w:numPr>
              <w:spacing w:before="100" w:beforeAutospacing="1" w:after="100" w:afterAutospacing="1" w:line="360" w:lineRule="auto"/>
              <w:rPr>
                <w:rFonts w:asciiTheme="majorHAnsi" w:hAnsiTheme="majorHAnsi" w:cstheme="majorHAnsi"/>
                <w:bCs/>
                <w:sz w:val="20"/>
                <w:szCs w:val="20"/>
              </w:rPr>
            </w:pPr>
            <w:r w:rsidRPr="00CF2105">
              <w:rPr>
                <w:rFonts w:asciiTheme="majorHAnsi" w:hAnsiTheme="majorHAnsi" w:cstheme="majorHAnsi"/>
                <w:bCs/>
                <w:color w:val="000000" w:themeColor="text1"/>
                <w:sz w:val="20"/>
                <w:szCs w:val="20"/>
              </w:rPr>
              <w:t>Q</w:t>
            </w:r>
            <w:r w:rsidRPr="00CF2105">
              <w:rPr>
                <w:rFonts w:asciiTheme="majorHAnsi" w:hAnsiTheme="majorHAnsi" w:cstheme="majorHAnsi"/>
                <w:bCs/>
                <w:sz w:val="20"/>
                <w:szCs w:val="20"/>
              </w:rPr>
              <w:t>uality of the technical experts</w:t>
            </w:r>
          </w:p>
          <w:p w14:paraId="1BFF6547" w14:textId="77777777" w:rsidR="008D0CAD" w:rsidRPr="00CF2105" w:rsidRDefault="008D0CAD" w:rsidP="00671524">
            <w:pPr>
              <w:pStyle w:val="ListParagraph"/>
              <w:numPr>
                <w:ilvl w:val="0"/>
                <w:numId w:val="37"/>
              </w:numPr>
              <w:spacing w:before="100" w:beforeAutospacing="1" w:after="100" w:afterAutospacing="1" w:line="360" w:lineRule="auto"/>
              <w:rPr>
                <w:rFonts w:asciiTheme="majorHAnsi" w:hAnsiTheme="majorHAnsi" w:cstheme="majorHAnsi"/>
                <w:bCs/>
                <w:sz w:val="20"/>
                <w:szCs w:val="20"/>
              </w:rPr>
            </w:pPr>
            <w:r w:rsidRPr="00CF2105">
              <w:rPr>
                <w:rFonts w:asciiTheme="majorHAnsi" w:hAnsiTheme="majorHAnsi" w:cstheme="majorHAnsi"/>
                <w:bCs/>
                <w:sz w:val="20"/>
                <w:szCs w:val="20"/>
              </w:rPr>
              <w:t xml:space="preserve">Fund Augmentation </w:t>
            </w:r>
          </w:p>
          <w:p w14:paraId="2FDD221F" w14:textId="77777777" w:rsidR="008D0CAD" w:rsidRPr="00CF2105" w:rsidRDefault="008D0CAD" w:rsidP="00671524">
            <w:pPr>
              <w:pStyle w:val="ListParagraph"/>
              <w:numPr>
                <w:ilvl w:val="0"/>
                <w:numId w:val="37"/>
              </w:numPr>
              <w:spacing w:before="100" w:beforeAutospacing="1" w:after="100" w:afterAutospacing="1" w:line="360" w:lineRule="auto"/>
              <w:rPr>
                <w:rFonts w:asciiTheme="majorHAnsi" w:hAnsiTheme="majorHAnsi" w:cstheme="majorHAnsi"/>
                <w:bCs/>
                <w:sz w:val="20"/>
                <w:szCs w:val="20"/>
              </w:rPr>
            </w:pPr>
            <w:r w:rsidRPr="00CF2105">
              <w:rPr>
                <w:rFonts w:asciiTheme="majorHAnsi" w:hAnsiTheme="majorHAnsi" w:cstheme="majorHAnsi"/>
                <w:bCs/>
                <w:sz w:val="20"/>
                <w:szCs w:val="20"/>
              </w:rPr>
              <w:t>Issuance of policy covers</w:t>
            </w:r>
          </w:p>
          <w:p w14:paraId="5172C41F" w14:textId="77777777" w:rsidR="008D0CAD" w:rsidRPr="00CF2105" w:rsidRDefault="008D0CAD" w:rsidP="00671524">
            <w:pPr>
              <w:pStyle w:val="ListParagraph"/>
              <w:numPr>
                <w:ilvl w:val="0"/>
                <w:numId w:val="37"/>
              </w:numPr>
              <w:spacing w:before="100" w:beforeAutospacing="1" w:after="100" w:afterAutospacing="1" w:line="360" w:lineRule="auto"/>
              <w:rPr>
                <w:rFonts w:asciiTheme="majorHAnsi" w:hAnsiTheme="majorHAnsi" w:cstheme="majorHAnsi"/>
                <w:color w:val="000000" w:themeColor="text1"/>
                <w:sz w:val="20"/>
                <w:szCs w:val="20"/>
              </w:rPr>
            </w:pPr>
            <w:r w:rsidRPr="00CF2105">
              <w:rPr>
                <w:rFonts w:asciiTheme="majorHAnsi" w:hAnsiTheme="majorHAnsi" w:cstheme="majorHAnsi"/>
                <w:sz w:val="20"/>
                <w:szCs w:val="20"/>
              </w:rPr>
              <w:t>Capacity building</w:t>
            </w:r>
            <w:r w:rsidRPr="00CF2105">
              <w:rPr>
                <w:rFonts w:asciiTheme="majorHAnsi" w:hAnsiTheme="majorHAnsi" w:cstheme="majorHAnsi"/>
                <w:color w:val="000000" w:themeColor="text1"/>
                <w:sz w:val="20"/>
                <w:szCs w:val="20"/>
              </w:rPr>
              <w:t xml:space="preserve"> interventions </w:t>
            </w:r>
            <w:r>
              <w:rPr>
                <w:rFonts w:asciiTheme="majorHAnsi" w:hAnsiTheme="majorHAnsi" w:cstheme="majorHAnsi"/>
                <w:color w:val="000000" w:themeColor="text1"/>
                <w:sz w:val="20"/>
                <w:szCs w:val="20"/>
              </w:rPr>
              <w:t>at CO/RO/DO level</w:t>
            </w:r>
          </w:p>
        </w:tc>
        <w:tc>
          <w:tcPr>
            <w:tcW w:w="3628" w:type="dxa"/>
          </w:tcPr>
          <w:p w14:paraId="3ADAB054" w14:textId="77777777" w:rsidR="008D0CAD" w:rsidRPr="00CF2105" w:rsidRDefault="008D0CAD" w:rsidP="00671524">
            <w:pPr>
              <w:pStyle w:val="ListParagraph"/>
              <w:numPr>
                <w:ilvl w:val="0"/>
                <w:numId w:val="39"/>
              </w:numPr>
              <w:tabs>
                <w:tab w:val="left" w:pos="317"/>
              </w:tabs>
              <w:spacing w:before="100" w:beforeAutospacing="1" w:after="100" w:afterAutospacing="1" w:line="360" w:lineRule="auto"/>
              <w:rPr>
                <w:rFonts w:asciiTheme="majorHAnsi" w:hAnsiTheme="majorHAnsi" w:cstheme="majorHAnsi"/>
                <w:color w:val="000000" w:themeColor="text1"/>
                <w:sz w:val="20"/>
                <w:szCs w:val="20"/>
              </w:rPr>
            </w:pPr>
            <w:r w:rsidRPr="00CF2105">
              <w:rPr>
                <w:rFonts w:asciiTheme="majorHAnsi" w:hAnsiTheme="majorHAnsi" w:cstheme="majorHAnsi"/>
                <w:color w:val="000000" w:themeColor="text1"/>
                <w:sz w:val="20"/>
                <w:szCs w:val="20"/>
              </w:rPr>
              <w:t>Quality issues with deployment or reforms or conduct of roll-out activities</w:t>
            </w:r>
          </w:p>
          <w:p w14:paraId="72AB62E6" w14:textId="77777777" w:rsidR="008D0CAD" w:rsidRPr="00CF2105" w:rsidRDefault="008D0CAD" w:rsidP="00671524">
            <w:pPr>
              <w:pStyle w:val="ListParagraph"/>
              <w:numPr>
                <w:ilvl w:val="1"/>
                <w:numId w:val="40"/>
              </w:numPr>
              <w:tabs>
                <w:tab w:val="left" w:pos="317"/>
              </w:tabs>
              <w:spacing w:before="100" w:beforeAutospacing="1" w:after="100" w:afterAutospacing="1" w:line="360" w:lineRule="auto"/>
              <w:rPr>
                <w:rFonts w:asciiTheme="majorHAnsi" w:hAnsiTheme="majorHAnsi" w:cstheme="majorHAnsi"/>
                <w:color w:val="000000" w:themeColor="text1"/>
                <w:sz w:val="20"/>
                <w:szCs w:val="20"/>
              </w:rPr>
            </w:pPr>
            <w:r w:rsidRPr="00CF2105">
              <w:rPr>
                <w:rFonts w:asciiTheme="majorHAnsi" w:hAnsiTheme="majorHAnsi" w:cstheme="majorHAnsi"/>
                <w:color w:val="000000" w:themeColor="text1"/>
                <w:sz w:val="20"/>
                <w:szCs w:val="20"/>
              </w:rPr>
              <w:t>Inadequate synergy/ coordination among CO Implementing Units</w:t>
            </w:r>
          </w:p>
          <w:p w14:paraId="33FE1056" w14:textId="77777777" w:rsidR="008D0CAD" w:rsidRPr="00CF2105" w:rsidRDefault="008D0CAD" w:rsidP="00671524">
            <w:pPr>
              <w:pStyle w:val="ListParagraph"/>
              <w:numPr>
                <w:ilvl w:val="1"/>
                <w:numId w:val="40"/>
              </w:numPr>
              <w:tabs>
                <w:tab w:val="left" w:pos="317"/>
              </w:tabs>
              <w:spacing w:before="100" w:beforeAutospacing="1" w:after="100" w:afterAutospacing="1" w:line="360" w:lineRule="auto"/>
              <w:rPr>
                <w:rFonts w:asciiTheme="majorHAnsi" w:hAnsiTheme="majorHAnsi" w:cstheme="majorHAnsi"/>
                <w:color w:val="000000" w:themeColor="text1"/>
                <w:sz w:val="20"/>
                <w:szCs w:val="20"/>
              </w:rPr>
            </w:pPr>
            <w:r w:rsidRPr="00CF2105">
              <w:rPr>
                <w:rFonts w:asciiTheme="majorHAnsi" w:hAnsiTheme="majorHAnsi" w:cstheme="majorHAnsi"/>
                <w:color w:val="000000" w:themeColor="text1"/>
                <w:sz w:val="20"/>
                <w:szCs w:val="20"/>
              </w:rPr>
              <w:t>Poor quality of training programs</w:t>
            </w:r>
          </w:p>
          <w:p w14:paraId="34C5739B" w14:textId="77777777" w:rsidR="008D0CAD" w:rsidRPr="00CF2105" w:rsidRDefault="008D0CAD" w:rsidP="00671524">
            <w:pPr>
              <w:pStyle w:val="ListParagraph"/>
              <w:numPr>
                <w:ilvl w:val="1"/>
                <w:numId w:val="40"/>
              </w:numPr>
              <w:tabs>
                <w:tab w:val="left" w:pos="317"/>
              </w:tabs>
              <w:spacing w:before="100" w:beforeAutospacing="1" w:after="100" w:afterAutospacing="1" w:line="360" w:lineRule="auto"/>
              <w:rPr>
                <w:rFonts w:asciiTheme="majorHAnsi" w:eastAsiaTheme="minorHAnsi" w:hAnsiTheme="majorHAnsi" w:cstheme="majorHAnsi"/>
                <w:color w:val="000000" w:themeColor="text1"/>
                <w:sz w:val="20"/>
                <w:szCs w:val="20"/>
              </w:rPr>
            </w:pPr>
            <w:r w:rsidRPr="00CF2105">
              <w:rPr>
                <w:rFonts w:asciiTheme="majorHAnsi" w:eastAsia="Calibri" w:hAnsiTheme="majorHAnsi" w:cstheme="majorHAnsi"/>
                <w:color w:val="000000" w:themeColor="text1"/>
                <w:sz w:val="20"/>
                <w:szCs w:val="20"/>
              </w:rPr>
              <w:t>Poor selection of participants</w:t>
            </w:r>
          </w:p>
          <w:p w14:paraId="15F0DC46" w14:textId="77777777" w:rsidR="008D0CAD" w:rsidRPr="00CF2105" w:rsidRDefault="008D0CAD" w:rsidP="00671524">
            <w:pPr>
              <w:pStyle w:val="ListParagraph"/>
              <w:numPr>
                <w:ilvl w:val="1"/>
                <w:numId w:val="40"/>
              </w:numPr>
              <w:tabs>
                <w:tab w:val="left" w:pos="317"/>
              </w:tabs>
              <w:spacing w:before="100" w:beforeAutospacing="1" w:after="100" w:afterAutospacing="1" w:line="360" w:lineRule="auto"/>
              <w:rPr>
                <w:rFonts w:asciiTheme="majorHAnsi" w:hAnsiTheme="majorHAnsi" w:cstheme="majorHAnsi"/>
                <w:color w:val="000000" w:themeColor="text1"/>
                <w:sz w:val="20"/>
                <w:szCs w:val="20"/>
              </w:rPr>
            </w:pPr>
            <w:r w:rsidRPr="00CF2105">
              <w:rPr>
                <w:rFonts w:asciiTheme="majorHAnsi" w:eastAsia="Calibri" w:hAnsiTheme="majorHAnsi" w:cstheme="majorHAnsi"/>
                <w:color w:val="000000" w:themeColor="text1"/>
                <w:sz w:val="20"/>
                <w:szCs w:val="20"/>
              </w:rPr>
              <w:t>Overlapping of activities</w:t>
            </w:r>
            <w:r w:rsidRPr="00CF2105">
              <w:rPr>
                <w:rFonts w:asciiTheme="majorHAnsi" w:hAnsiTheme="majorHAnsi" w:cstheme="majorHAnsi"/>
                <w:color w:val="000000" w:themeColor="text1"/>
                <w:sz w:val="20"/>
                <w:szCs w:val="20"/>
              </w:rPr>
              <w:t xml:space="preserve"> </w:t>
            </w:r>
          </w:p>
          <w:p w14:paraId="543F3089" w14:textId="77777777" w:rsidR="008D0CAD" w:rsidRPr="00CF2105" w:rsidRDefault="008D0CAD" w:rsidP="00671524">
            <w:pPr>
              <w:pStyle w:val="ListParagraph"/>
              <w:numPr>
                <w:ilvl w:val="1"/>
                <w:numId w:val="40"/>
              </w:numPr>
              <w:tabs>
                <w:tab w:val="left" w:pos="317"/>
              </w:tabs>
              <w:spacing w:before="100" w:beforeAutospacing="1" w:after="100" w:afterAutospacing="1" w:line="360" w:lineRule="auto"/>
              <w:rPr>
                <w:rFonts w:asciiTheme="majorHAnsi" w:hAnsiTheme="majorHAnsi" w:cstheme="majorHAnsi"/>
                <w:color w:val="000000" w:themeColor="text1"/>
                <w:sz w:val="20"/>
                <w:szCs w:val="20"/>
              </w:rPr>
            </w:pPr>
            <w:r w:rsidRPr="00CF2105">
              <w:rPr>
                <w:rFonts w:asciiTheme="majorHAnsi" w:hAnsiTheme="majorHAnsi" w:cstheme="majorHAnsi"/>
                <w:color w:val="000000" w:themeColor="text1"/>
                <w:sz w:val="20"/>
                <w:szCs w:val="20"/>
              </w:rPr>
              <w:t xml:space="preserve">Overwhelmed participants (e.g. </w:t>
            </w:r>
            <w:r>
              <w:rPr>
                <w:rFonts w:asciiTheme="majorHAnsi" w:hAnsiTheme="majorHAnsi" w:cstheme="majorHAnsi"/>
                <w:color w:val="000000" w:themeColor="text1"/>
                <w:sz w:val="20"/>
                <w:szCs w:val="20"/>
              </w:rPr>
              <w:t>principals</w:t>
            </w:r>
            <w:r w:rsidRPr="00CF2105">
              <w:rPr>
                <w:rFonts w:asciiTheme="majorHAnsi" w:hAnsiTheme="majorHAnsi" w:cstheme="majorHAnsi"/>
                <w:color w:val="000000" w:themeColor="text1"/>
                <w:sz w:val="20"/>
                <w:szCs w:val="20"/>
              </w:rPr>
              <w:t xml:space="preserve"> and teachers)</w:t>
            </w:r>
          </w:p>
          <w:p w14:paraId="1735E013" w14:textId="77777777" w:rsidR="008D0CAD" w:rsidRPr="00CF2105" w:rsidRDefault="008D0CAD" w:rsidP="00671524">
            <w:pPr>
              <w:pStyle w:val="ListParagraph"/>
              <w:numPr>
                <w:ilvl w:val="1"/>
                <w:numId w:val="40"/>
              </w:numPr>
              <w:tabs>
                <w:tab w:val="left" w:pos="317"/>
              </w:tabs>
              <w:spacing w:before="100" w:beforeAutospacing="1" w:after="100" w:afterAutospacing="1" w:line="360" w:lineRule="auto"/>
              <w:rPr>
                <w:rFonts w:asciiTheme="majorHAnsi" w:hAnsiTheme="majorHAnsi" w:cstheme="majorHAnsi"/>
                <w:color w:val="000000" w:themeColor="text1"/>
                <w:sz w:val="20"/>
                <w:szCs w:val="20"/>
              </w:rPr>
            </w:pPr>
            <w:r w:rsidRPr="00CF2105">
              <w:rPr>
                <w:rFonts w:asciiTheme="majorHAnsi" w:hAnsiTheme="majorHAnsi" w:cstheme="majorHAnsi"/>
                <w:color w:val="000000" w:themeColor="text1"/>
                <w:sz w:val="20"/>
                <w:szCs w:val="20"/>
              </w:rPr>
              <w:t>Reduced contact time with students</w:t>
            </w:r>
          </w:p>
          <w:p w14:paraId="08E1E663" w14:textId="77777777" w:rsidR="008D0CAD" w:rsidRPr="00CF2105" w:rsidRDefault="008D0CAD" w:rsidP="00671524">
            <w:pPr>
              <w:pStyle w:val="ListParagraph"/>
              <w:numPr>
                <w:ilvl w:val="1"/>
                <w:numId w:val="40"/>
              </w:numPr>
              <w:tabs>
                <w:tab w:val="left" w:pos="317"/>
              </w:tabs>
              <w:spacing w:before="100" w:beforeAutospacing="1" w:after="100" w:afterAutospacing="1" w:line="360" w:lineRule="auto"/>
              <w:rPr>
                <w:rFonts w:asciiTheme="majorHAnsi" w:hAnsiTheme="majorHAnsi" w:cstheme="majorHAnsi"/>
                <w:color w:val="000000" w:themeColor="text1"/>
                <w:sz w:val="20"/>
                <w:szCs w:val="20"/>
              </w:rPr>
            </w:pPr>
            <w:r w:rsidRPr="00CF2105">
              <w:rPr>
                <w:rFonts w:asciiTheme="majorHAnsi" w:hAnsiTheme="majorHAnsi" w:cstheme="majorHAnsi"/>
                <w:color w:val="000000" w:themeColor="text1"/>
                <w:sz w:val="20"/>
                <w:szCs w:val="20"/>
              </w:rPr>
              <w:t>Unreasonable demands from school-level stakeholders</w:t>
            </w:r>
          </w:p>
        </w:tc>
      </w:tr>
      <w:tr w:rsidR="008D0CAD" w:rsidRPr="00CF2105" w14:paraId="4282CDB3" w14:textId="77777777" w:rsidTr="00E26D25">
        <w:trPr>
          <w:trHeight w:val="703"/>
        </w:trPr>
        <w:tc>
          <w:tcPr>
            <w:tcW w:w="2003" w:type="dxa"/>
          </w:tcPr>
          <w:p w14:paraId="6618AAC7" w14:textId="77777777" w:rsidR="008D0CAD" w:rsidRPr="00CF2105" w:rsidRDefault="008D0CAD" w:rsidP="00671524">
            <w:pPr>
              <w:pStyle w:val="ListParagraph"/>
              <w:numPr>
                <w:ilvl w:val="0"/>
                <w:numId w:val="38"/>
              </w:numPr>
              <w:spacing w:before="100" w:beforeAutospacing="1" w:after="100" w:afterAutospacing="1" w:line="360" w:lineRule="auto"/>
              <w:rPr>
                <w:rFonts w:asciiTheme="majorHAnsi" w:hAnsiTheme="majorHAnsi" w:cstheme="majorHAnsi"/>
                <w:sz w:val="20"/>
                <w:szCs w:val="20"/>
              </w:rPr>
            </w:pPr>
            <w:r w:rsidRPr="00CF2105">
              <w:rPr>
                <w:rFonts w:asciiTheme="majorHAnsi" w:hAnsiTheme="majorHAnsi" w:cstheme="majorHAnsi"/>
                <w:sz w:val="20"/>
                <w:szCs w:val="20"/>
              </w:rPr>
              <w:t>School-level (</w:t>
            </w:r>
            <w:r>
              <w:rPr>
                <w:rFonts w:asciiTheme="majorHAnsi" w:hAnsiTheme="majorHAnsi" w:cstheme="majorHAnsi"/>
                <w:sz w:val="20"/>
                <w:szCs w:val="20"/>
              </w:rPr>
              <w:t>principals</w:t>
            </w:r>
            <w:r w:rsidRPr="00CF2105">
              <w:rPr>
                <w:rFonts w:asciiTheme="majorHAnsi" w:hAnsiTheme="majorHAnsi" w:cstheme="majorHAnsi"/>
                <w:sz w:val="20"/>
                <w:szCs w:val="20"/>
              </w:rPr>
              <w:t xml:space="preserve"> &amp; teachers)</w:t>
            </w:r>
          </w:p>
        </w:tc>
        <w:tc>
          <w:tcPr>
            <w:tcW w:w="3379" w:type="dxa"/>
          </w:tcPr>
          <w:p w14:paraId="5B5C9146" w14:textId="77777777" w:rsidR="008D0CAD" w:rsidRPr="00CF2105" w:rsidRDefault="008D0CAD" w:rsidP="00671524">
            <w:pPr>
              <w:pStyle w:val="ListParagraph"/>
              <w:numPr>
                <w:ilvl w:val="0"/>
                <w:numId w:val="37"/>
              </w:numPr>
              <w:spacing w:before="100" w:beforeAutospacing="1" w:after="100" w:afterAutospacing="1" w:line="360" w:lineRule="auto"/>
              <w:rPr>
                <w:rFonts w:asciiTheme="majorHAnsi" w:hAnsiTheme="majorHAnsi" w:cstheme="majorHAnsi"/>
                <w:color w:val="000000" w:themeColor="text1"/>
                <w:sz w:val="20"/>
                <w:szCs w:val="20"/>
              </w:rPr>
            </w:pPr>
            <w:r w:rsidRPr="00CF2105">
              <w:rPr>
                <w:rFonts w:asciiTheme="majorHAnsi" w:hAnsiTheme="majorHAnsi" w:cstheme="majorHAnsi"/>
                <w:sz w:val="20"/>
                <w:szCs w:val="20"/>
              </w:rPr>
              <w:t>Clarity of value-adding features of reforms (adds to w</w:t>
            </w:r>
            <w:r w:rsidRPr="00CF2105">
              <w:rPr>
                <w:rFonts w:asciiTheme="majorHAnsi" w:hAnsiTheme="majorHAnsi" w:cstheme="majorHAnsi"/>
                <w:bCs/>
                <w:color w:val="000000" w:themeColor="text1"/>
                <w:sz w:val="20"/>
                <w:szCs w:val="20"/>
              </w:rPr>
              <w:t>idespread acceptance of reforms</w:t>
            </w:r>
            <w:r w:rsidRPr="00CF2105">
              <w:rPr>
                <w:rFonts w:asciiTheme="majorHAnsi" w:hAnsiTheme="majorHAnsi" w:cstheme="majorHAnsi"/>
                <w:sz w:val="20"/>
                <w:szCs w:val="20"/>
              </w:rPr>
              <w:t>)</w:t>
            </w:r>
          </w:p>
          <w:p w14:paraId="093E0360" w14:textId="77777777" w:rsidR="008D0CAD" w:rsidRPr="00CF2105" w:rsidRDefault="008D0CAD" w:rsidP="00671524">
            <w:pPr>
              <w:pStyle w:val="ListParagraph"/>
              <w:numPr>
                <w:ilvl w:val="0"/>
                <w:numId w:val="37"/>
              </w:numPr>
              <w:spacing w:before="100" w:beforeAutospacing="1" w:after="100" w:afterAutospacing="1" w:line="360" w:lineRule="auto"/>
              <w:rPr>
                <w:rFonts w:asciiTheme="majorHAnsi" w:hAnsiTheme="majorHAnsi" w:cstheme="majorHAnsi"/>
                <w:color w:val="000000" w:themeColor="text1"/>
                <w:sz w:val="20"/>
                <w:szCs w:val="20"/>
              </w:rPr>
            </w:pPr>
            <w:r w:rsidRPr="00CF2105">
              <w:rPr>
                <w:rFonts w:asciiTheme="majorHAnsi" w:hAnsiTheme="majorHAnsi" w:cstheme="majorHAnsi"/>
                <w:sz w:val="20"/>
                <w:szCs w:val="20"/>
              </w:rPr>
              <w:t xml:space="preserve">Buy-in of external and internal stakeholders </w:t>
            </w:r>
          </w:p>
          <w:p w14:paraId="2B141E4B" w14:textId="77777777" w:rsidR="008D0CAD" w:rsidRPr="00CF2105" w:rsidRDefault="008D0CAD" w:rsidP="00671524">
            <w:pPr>
              <w:pStyle w:val="ListParagraph"/>
              <w:numPr>
                <w:ilvl w:val="0"/>
                <w:numId w:val="37"/>
              </w:numPr>
              <w:spacing w:before="100" w:beforeAutospacing="1" w:after="100" w:afterAutospacing="1" w:line="360" w:lineRule="auto"/>
              <w:rPr>
                <w:rFonts w:asciiTheme="majorHAnsi" w:hAnsiTheme="majorHAnsi" w:cstheme="majorHAnsi"/>
                <w:sz w:val="20"/>
                <w:szCs w:val="20"/>
              </w:rPr>
            </w:pPr>
            <w:r w:rsidRPr="00CF2105">
              <w:rPr>
                <w:rFonts w:asciiTheme="majorHAnsi" w:hAnsiTheme="majorHAnsi" w:cstheme="majorHAnsi"/>
                <w:sz w:val="20"/>
                <w:szCs w:val="20"/>
              </w:rPr>
              <w:t>Capacity building</w:t>
            </w:r>
            <w:r w:rsidRPr="00CF2105">
              <w:rPr>
                <w:rFonts w:asciiTheme="majorHAnsi" w:hAnsiTheme="majorHAnsi" w:cstheme="majorHAnsi"/>
                <w:color w:val="000000" w:themeColor="text1"/>
                <w:sz w:val="20"/>
                <w:szCs w:val="20"/>
              </w:rPr>
              <w:t xml:space="preserve"> interventions </w:t>
            </w:r>
            <w:r>
              <w:rPr>
                <w:rFonts w:asciiTheme="majorHAnsi" w:hAnsiTheme="majorHAnsi" w:cstheme="majorHAnsi"/>
                <w:color w:val="000000" w:themeColor="text1"/>
                <w:sz w:val="20"/>
                <w:szCs w:val="20"/>
              </w:rPr>
              <w:t>at school level</w:t>
            </w:r>
          </w:p>
        </w:tc>
        <w:tc>
          <w:tcPr>
            <w:tcW w:w="3628" w:type="dxa"/>
          </w:tcPr>
          <w:p w14:paraId="3DDAE15D" w14:textId="77777777" w:rsidR="008D0CAD" w:rsidRPr="00CF2105" w:rsidRDefault="008D0CAD" w:rsidP="00671524">
            <w:pPr>
              <w:pStyle w:val="ListParagraph"/>
              <w:numPr>
                <w:ilvl w:val="0"/>
                <w:numId w:val="40"/>
              </w:numPr>
              <w:spacing w:before="100" w:beforeAutospacing="1" w:after="100" w:afterAutospacing="1" w:line="360" w:lineRule="auto"/>
              <w:rPr>
                <w:rFonts w:asciiTheme="majorHAnsi" w:hAnsiTheme="majorHAnsi" w:cstheme="majorHAnsi"/>
                <w:color w:val="000000" w:themeColor="text1"/>
                <w:sz w:val="20"/>
                <w:szCs w:val="20"/>
              </w:rPr>
            </w:pPr>
            <w:r w:rsidRPr="00CF2105">
              <w:rPr>
                <w:rFonts w:asciiTheme="majorHAnsi" w:hAnsiTheme="majorHAnsi" w:cstheme="majorHAnsi"/>
                <w:color w:val="000000" w:themeColor="text1"/>
                <w:sz w:val="20"/>
                <w:szCs w:val="20"/>
              </w:rPr>
              <w:t>Tokenism in participation (i.e., in SBM)</w:t>
            </w:r>
          </w:p>
          <w:p w14:paraId="11047685" w14:textId="77777777" w:rsidR="008D0CAD" w:rsidRPr="00CF2105" w:rsidRDefault="008D0CAD" w:rsidP="00671524">
            <w:pPr>
              <w:pStyle w:val="ListParagraph"/>
              <w:numPr>
                <w:ilvl w:val="0"/>
                <w:numId w:val="40"/>
              </w:numPr>
              <w:spacing w:before="100" w:beforeAutospacing="1" w:after="100" w:afterAutospacing="1" w:line="360" w:lineRule="auto"/>
              <w:rPr>
                <w:rFonts w:asciiTheme="majorHAnsi" w:hAnsiTheme="majorHAnsi" w:cstheme="majorHAnsi"/>
                <w:color w:val="000000" w:themeColor="text1"/>
                <w:sz w:val="20"/>
                <w:szCs w:val="20"/>
              </w:rPr>
            </w:pPr>
            <w:r w:rsidRPr="00CF2105">
              <w:rPr>
                <w:rFonts w:asciiTheme="majorHAnsi" w:hAnsiTheme="majorHAnsi" w:cstheme="majorHAnsi"/>
                <w:color w:val="000000" w:themeColor="text1"/>
                <w:sz w:val="20"/>
                <w:szCs w:val="20"/>
              </w:rPr>
              <w:t>Insufficient ICT capacity and ICT infrastructure in schools</w:t>
            </w:r>
          </w:p>
          <w:p w14:paraId="73437599" w14:textId="77777777" w:rsidR="008D0CAD" w:rsidRPr="00CF2105" w:rsidRDefault="008D0CAD" w:rsidP="00671524">
            <w:pPr>
              <w:pStyle w:val="ListParagraph"/>
              <w:numPr>
                <w:ilvl w:val="1"/>
                <w:numId w:val="41"/>
              </w:numPr>
              <w:spacing w:before="100" w:beforeAutospacing="1" w:after="100" w:afterAutospacing="1" w:line="360" w:lineRule="auto"/>
              <w:rPr>
                <w:rFonts w:asciiTheme="majorHAnsi" w:hAnsiTheme="majorHAnsi" w:cstheme="majorHAnsi"/>
                <w:color w:val="000000" w:themeColor="text1"/>
                <w:sz w:val="20"/>
                <w:szCs w:val="20"/>
              </w:rPr>
            </w:pPr>
            <w:r w:rsidRPr="00CF2105">
              <w:rPr>
                <w:rFonts w:asciiTheme="majorHAnsi" w:hAnsiTheme="majorHAnsi" w:cstheme="majorHAnsi"/>
                <w:color w:val="000000" w:themeColor="text1"/>
                <w:sz w:val="20"/>
                <w:szCs w:val="20"/>
              </w:rPr>
              <w:t>Poor internet connectivity in schools</w:t>
            </w:r>
          </w:p>
          <w:p w14:paraId="7E037201" w14:textId="77777777" w:rsidR="008D0CAD" w:rsidRPr="00CF2105" w:rsidRDefault="008D0CAD" w:rsidP="00671524">
            <w:pPr>
              <w:pStyle w:val="ListParagraph"/>
              <w:numPr>
                <w:ilvl w:val="1"/>
                <w:numId w:val="41"/>
              </w:numPr>
              <w:spacing w:before="100" w:beforeAutospacing="1" w:after="100" w:afterAutospacing="1" w:line="360" w:lineRule="auto"/>
              <w:rPr>
                <w:rFonts w:asciiTheme="majorHAnsi" w:hAnsiTheme="majorHAnsi" w:cstheme="majorHAnsi"/>
                <w:color w:val="000000" w:themeColor="text1"/>
                <w:sz w:val="20"/>
                <w:szCs w:val="20"/>
              </w:rPr>
            </w:pPr>
            <w:r w:rsidRPr="00CF2105">
              <w:rPr>
                <w:rFonts w:asciiTheme="majorHAnsi" w:hAnsiTheme="majorHAnsi" w:cstheme="majorHAnsi"/>
                <w:color w:val="000000" w:themeColor="text1"/>
                <w:sz w:val="20"/>
                <w:szCs w:val="20"/>
              </w:rPr>
              <w:t>Lack of ICT hardware and software</w:t>
            </w:r>
          </w:p>
          <w:p w14:paraId="65398147" w14:textId="77777777" w:rsidR="008D0CAD" w:rsidRPr="00CF2105" w:rsidRDefault="008D0CAD" w:rsidP="00671524">
            <w:pPr>
              <w:pStyle w:val="ListParagraph"/>
              <w:numPr>
                <w:ilvl w:val="1"/>
                <w:numId w:val="41"/>
              </w:numPr>
              <w:spacing w:before="100" w:beforeAutospacing="1" w:after="100" w:afterAutospacing="1" w:line="360" w:lineRule="auto"/>
              <w:rPr>
                <w:rFonts w:asciiTheme="majorHAnsi" w:hAnsiTheme="majorHAnsi" w:cstheme="majorHAnsi"/>
                <w:color w:val="000000" w:themeColor="text1"/>
                <w:sz w:val="20"/>
                <w:szCs w:val="20"/>
              </w:rPr>
            </w:pPr>
            <w:r w:rsidRPr="00CF2105">
              <w:rPr>
                <w:rFonts w:asciiTheme="majorHAnsi" w:hAnsiTheme="majorHAnsi" w:cstheme="majorHAnsi"/>
                <w:color w:val="000000" w:themeColor="text1"/>
                <w:sz w:val="20"/>
                <w:szCs w:val="20"/>
              </w:rPr>
              <w:t>Lack of ICT competencies among teachers</w:t>
            </w:r>
          </w:p>
          <w:p w14:paraId="6A2176CE" w14:textId="77777777" w:rsidR="008D0CAD" w:rsidRPr="00CF2105" w:rsidRDefault="008D0CAD" w:rsidP="00671524">
            <w:pPr>
              <w:pStyle w:val="ListParagraph"/>
              <w:numPr>
                <w:ilvl w:val="0"/>
                <w:numId w:val="41"/>
              </w:numPr>
              <w:spacing w:before="100" w:beforeAutospacing="1" w:after="100" w:afterAutospacing="1" w:line="360" w:lineRule="auto"/>
              <w:rPr>
                <w:rFonts w:asciiTheme="majorHAnsi" w:hAnsiTheme="majorHAnsi" w:cstheme="majorHAnsi"/>
                <w:color w:val="000000" w:themeColor="text1"/>
                <w:sz w:val="20"/>
                <w:szCs w:val="20"/>
              </w:rPr>
            </w:pPr>
            <w:r w:rsidRPr="00CF2105">
              <w:rPr>
                <w:rFonts w:asciiTheme="majorHAnsi" w:hAnsiTheme="majorHAnsi" w:cstheme="majorHAnsi"/>
                <w:color w:val="000000" w:themeColor="text1"/>
                <w:sz w:val="20"/>
                <w:szCs w:val="20"/>
              </w:rPr>
              <w:t>Incomplete elements of systemic reforms</w:t>
            </w:r>
          </w:p>
          <w:p w14:paraId="20D799E6" w14:textId="77777777" w:rsidR="008D0CAD" w:rsidRPr="00CF2105" w:rsidRDefault="008D0CAD" w:rsidP="00671524">
            <w:pPr>
              <w:pStyle w:val="ListParagraph"/>
              <w:numPr>
                <w:ilvl w:val="1"/>
                <w:numId w:val="41"/>
              </w:numPr>
              <w:spacing w:before="100" w:beforeAutospacing="1" w:after="100" w:afterAutospacing="1" w:line="360" w:lineRule="auto"/>
              <w:rPr>
                <w:rFonts w:asciiTheme="majorHAnsi" w:hAnsiTheme="majorHAnsi" w:cstheme="majorHAnsi"/>
                <w:color w:val="000000" w:themeColor="text1"/>
                <w:sz w:val="20"/>
                <w:szCs w:val="20"/>
              </w:rPr>
            </w:pPr>
            <w:r w:rsidRPr="00CF2105">
              <w:rPr>
                <w:rFonts w:asciiTheme="majorHAnsi" w:hAnsiTheme="majorHAnsi" w:cstheme="majorHAnsi"/>
                <w:color w:val="000000" w:themeColor="text1"/>
                <w:sz w:val="20"/>
                <w:szCs w:val="20"/>
              </w:rPr>
              <w:t xml:space="preserve">Clinical assessment of </w:t>
            </w:r>
            <w:r>
              <w:rPr>
                <w:rFonts w:asciiTheme="majorHAnsi" w:hAnsiTheme="majorHAnsi" w:cstheme="majorHAnsi"/>
                <w:color w:val="000000" w:themeColor="text1"/>
                <w:sz w:val="20"/>
                <w:szCs w:val="20"/>
              </w:rPr>
              <w:t>children with disabilities</w:t>
            </w:r>
          </w:p>
          <w:p w14:paraId="0A37D6F6" w14:textId="77777777" w:rsidR="008D0CAD" w:rsidRPr="00CF2105" w:rsidRDefault="008D0CAD" w:rsidP="00671524">
            <w:pPr>
              <w:pStyle w:val="ListParagraph"/>
              <w:numPr>
                <w:ilvl w:val="1"/>
                <w:numId w:val="41"/>
              </w:numPr>
              <w:spacing w:before="100" w:beforeAutospacing="1" w:after="100" w:afterAutospacing="1" w:line="360" w:lineRule="auto"/>
              <w:rPr>
                <w:rFonts w:asciiTheme="majorHAnsi" w:hAnsiTheme="majorHAnsi" w:cstheme="majorHAnsi"/>
                <w:color w:val="000000" w:themeColor="text1"/>
                <w:sz w:val="20"/>
                <w:szCs w:val="20"/>
              </w:rPr>
            </w:pPr>
            <w:r w:rsidRPr="00CF2105">
              <w:rPr>
                <w:rFonts w:asciiTheme="majorHAnsi" w:hAnsiTheme="majorHAnsi" w:cstheme="majorHAnsi"/>
                <w:color w:val="000000" w:themeColor="text1"/>
                <w:sz w:val="20"/>
                <w:szCs w:val="20"/>
              </w:rPr>
              <w:t>Transition from Grade 3 (MTB) to Grade 4</w:t>
            </w:r>
          </w:p>
          <w:p w14:paraId="1B3E5D02" w14:textId="77777777" w:rsidR="008D0CAD" w:rsidRPr="00CF2105" w:rsidRDefault="008D0CAD" w:rsidP="00671524">
            <w:pPr>
              <w:pStyle w:val="ListParagraph"/>
              <w:numPr>
                <w:ilvl w:val="1"/>
                <w:numId w:val="41"/>
              </w:numPr>
              <w:spacing w:before="100" w:beforeAutospacing="1" w:after="100" w:afterAutospacing="1" w:line="360" w:lineRule="auto"/>
              <w:rPr>
                <w:rFonts w:asciiTheme="majorHAnsi" w:hAnsiTheme="majorHAnsi" w:cstheme="majorHAnsi"/>
                <w:color w:val="000000" w:themeColor="text1"/>
                <w:sz w:val="20"/>
                <w:szCs w:val="20"/>
              </w:rPr>
            </w:pPr>
            <w:r w:rsidRPr="00CF2105">
              <w:rPr>
                <w:rFonts w:asciiTheme="majorHAnsi" w:hAnsiTheme="majorHAnsi" w:cstheme="majorHAnsi"/>
                <w:color w:val="000000" w:themeColor="text1"/>
                <w:sz w:val="20"/>
                <w:szCs w:val="20"/>
              </w:rPr>
              <w:t>Dissemination of materials (both print and e-copies) that accompanied the reforms</w:t>
            </w:r>
          </w:p>
        </w:tc>
      </w:tr>
    </w:tbl>
    <w:p w14:paraId="175CBC25" w14:textId="6EC95FD2" w:rsidR="008D0CAD" w:rsidRDefault="008D0CAD" w:rsidP="00671524">
      <w:pPr>
        <w:pStyle w:val="Heading4"/>
        <w:numPr>
          <w:ilvl w:val="2"/>
          <w:numId w:val="38"/>
        </w:numPr>
        <w:spacing w:before="100" w:beforeAutospacing="1" w:after="100" w:afterAutospacing="1" w:line="360" w:lineRule="auto"/>
      </w:pPr>
      <w:r w:rsidRPr="003309BE">
        <w:t>Program</w:t>
      </w:r>
      <w:r>
        <w:t>-</w:t>
      </w:r>
      <w:r w:rsidRPr="003309BE">
        <w:t>level factors</w:t>
      </w:r>
    </w:p>
    <w:p w14:paraId="5BAA95C8" w14:textId="41A5677C" w:rsidR="008D0CAD" w:rsidRDefault="008D0CAD" w:rsidP="00671524">
      <w:pPr>
        <w:pStyle w:val="Heading5"/>
        <w:numPr>
          <w:ilvl w:val="3"/>
          <w:numId w:val="38"/>
        </w:numPr>
        <w:spacing w:before="100" w:beforeAutospacing="1" w:after="100" w:afterAutospacing="1" w:line="360" w:lineRule="auto"/>
      </w:pPr>
      <w:r>
        <w:t>Facilitating Factors</w:t>
      </w:r>
    </w:p>
    <w:p w14:paraId="3A40F84B" w14:textId="67A477EA" w:rsidR="008D0CAD" w:rsidRPr="001C5DFD" w:rsidRDefault="008D0CAD" w:rsidP="008C061C">
      <w:pPr>
        <w:pStyle w:val="Heading6"/>
      </w:pPr>
      <w:r w:rsidRPr="001C5DFD">
        <w:t xml:space="preserve">Strong support </w:t>
      </w:r>
      <w:r>
        <w:t>from the</w:t>
      </w:r>
      <w:r w:rsidRPr="001C5DFD">
        <w:t xml:space="preserve"> </w:t>
      </w:r>
      <w:r>
        <w:t>BEST</w:t>
      </w:r>
      <w:r w:rsidRPr="001C5DFD">
        <w:t xml:space="preserve"> partner </w:t>
      </w:r>
      <w:r>
        <w:t>organisations</w:t>
      </w:r>
    </w:p>
    <w:p w14:paraId="69821888" w14:textId="234FB22C" w:rsidR="008D0CAD" w:rsidRDefault="008D0CAD" w:rsidP="00671524">
      <w:pPr>
        <w:pStyle w:val="NormalWeb"/>
        <w:spacing w:line="360" w:lineRule="auto"/>
        <w:rPr>
          <w:rFonts w:asciiTheme="majorHAnsi" w:hAnsiTheme="majorHAnsi" w:cstheme="majorHAnsi"/>
          <w:color w:val="000000" w:themeColor="text1"/>
        </w:rPr>
      </w:pPr>
      <w:r w:rsidRPr="008F16F6">
        <w:rPr>
          <w:rFonts w:asciiTheme="majorHAnsi" w:hAnsiTheme="majorHAnsi" w:cstheme="majorHAnsi"/>
          <w:color w:val="000000" w:themeColor="text1"/>
        </w:rPr>
        <w:t xml:space="preserve">The strong support from partner research institutes RCTQ and ACTRC was considered a critical facilitating factor in the attainment of EOPO 1 </w:t>
      </w:r>
      <w:r>
        <w:rPr>
          <w:rFonts w:asciiTheme="majorHAnsi" w:hAnsiTheme="majorHAnsi" w:cstheme="majorHAnsi"/>
          <w:color w:val="000000" w:themeColor="text1"/>
        </w:rPr>
        <w:t>since their work</w:t>
      </w:r>
      <w:r w:rsidRPr="002166AC">
        <w:rPr>
          <w:rFonts w:asciiTheme="majorHAnsi" w:hAnsiTheme="majorHAnsi" w:cstheme="majorHAnsi"/>
          <w:color w:val="000000" w:themeColor="text1"/>
        </w:rPr>
        <w:t xml:space="preserve"> enabled </w:t>
      </w:r>
      <w:r>
        <w:rPr>
          <w:rFonts w:asciiTheme="majorHAnsi" w:hAnsiTheme="majorHAnsi" w:cstheme="majorHAnsi"/>
          <w:color w:val="000000" w:themeColor="text1"/>
        </w:rPr>
        <w:t xml:space="preserve">DepEd to fast track the development of K to 12 curriculum guides and the corresponding assessment instruments. The support of the research institutes was also vital in the generation of evidence (through solid </w:t>
      </w:r>
      <w:r w:rsidR="0046058A">
        <w:rPr>
          <w:rFonts w:asciiTheme="majorHAnsi" w:hAnsiTheme="majorHAnsi" w:cstheme="majorHAnsi"/>
          <w:color w:val="000000" w:themeColor="text1"/>
        </w:rPr>
        <w:t xml:space="preserve">research) </w:t>
      </w:r>
      <w:r w:rsidR="0046058A" w:rsidRPr="00D9588F">
        <w:rPr>
          <w:rFonts w:asciiTheme="majorHAnsi" w:hAnsiTheme="majorHAnsi" w:cstheme="majorHAnsi"/>
          <w:color w:val="000000" w:themeColor="text1"/>
        </w:rPr>
        <w:t>to</w:t>
      </w:r>
      <w:r>
        <w:rPr>
          <w:rFonts w:asciiTheme="majorHAnsi" w:hAnsiTheme="majorHAnsi" w:cstheme="majorHAnsi"/>
          <w:color w:val="000000" w:themeColor="text1"/>
        </w:rPr>
        <w:t xml:space="preserve"> underpin key reform policies such as t</w:t>
      </w:r>
      <w:r w:rsidRPr="008F16F6">
        <w:rPr>
          <w:rFonts w:asciiTheme="majorHAnsi" w:hAnsiTheme="majorHAnsi" w:cstheme="majorHAnsi"/>
          <w:color w:val="000000" w:themeColor="text1"/>
        </w:rPr>
        <w:t>he</w:t>
      </w:r>
      <w:r>
        <w:rPr>
          <w:rFonts w:asciiTheme="majorHAnsi" w:hAnsiTheme="majorHAnsi" w:cstheme="majorHAnsi"/>
          <w:color w:val="000000" w:themeColor="text1"/>
        </w:rPr>
        <w:t xml:space="preserve"> introduction of the</w:t>
      </w:r>
      <w:r w:rsidRPr="008F16F6">
        <w:rPr>
          <w:rFonts w:asciiTheme="majorHAnsi" w:hAnsiTheme="majorHAnsi" w:cstheme="majorHAnsi"/>
          <w:color w:val="000000" w:themeColor="text1"/>
        </w:rPr>
        <w:t xml:space="preserve"> PPST </w:t>
      </w:r>
      <w:r>
        <w:rPr>
          <w:rFonts w:asciiTheme="majorHAnsi" w:hAnsiTheme="majorHAnsi" w:cstheme="majorHAnsi"/>
          <w:color w:val="000000" w:themeColor="text1"/>
        </w:rPr>
        <w:t xml:space="preserve">and </w:t>
      </w:r>
      <w:r w:rsidRPr="008F16F6">
        <w:rPr>
          <w:rFonts w:asciiTheme="majorHAnsi" w:hAnsiTheme="majorHAnsi" w:cstheme="majorHAnsi"/>
          <w:color w:val="000000" w:themeColor="text1"/>
        </w:rPr>
        <w:t>the various assess</w:t>
      </w:r>
      <w:r>
        <w:rPr>
          <w:rFonts w:asciiTheme="majorHAnsi" w:hAnsiTheme="majorHAnsi" w:cstheme="majorHAnsi"/>
          <w:color w:val="000000" w:themeColor="text1"/>
        </w:rPr>
        <w:t>ment</w:t>
      </w:r>
      <w:r w:rsidRPr="008F16F6">
        <w:rPr>
          <w:rFonts w:asciiTheme="majorHAnsi" w:hAnsiTheme="majorHAnsi" w:cstheme="majorHAnsi"/>
          <w:color w:val="000000" w:themeColor="text1"/>
        </w:rPr>
        <w:t xml:space="preserve"> policies.</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 </w:t>
      </w:r>
    </w:p>
    <w:p w14:paraId="3EF3F797" w14:textId="4EF1475B" w:rsidR="008D0CAD" w:rsidRPr="00EA5FD7" w:rsidRDefault="008D0CAD" w:rsidP="00671524">
      <w:pPr>
        <w:pStyle w:val="NormalWeb"/>
        <w:spacing w:line="360" w:lineRule="auto"/>
        <w:rPr>
          <w:rFonts w:asciiTheme="majorHAnsi" w:hAnsiTheme="majorHAnsi" w:cstheme="majorHAnsi"/>
          <w:color w:val="000000" w:themeColor="text1"/>
        </w:rPr>
      </w:pPr>
      <w:r>
        <w:rPr>
          <w:rFonts w:asciiTheme="majorHAnsi" w:hAnsiTheme="majorHAnsi" w:cstheme="majorHAnsi"/>
          <w:color w:val="000000" w:themeColor="text1"/>
        </w:rPr>
        <w:t>Moreover, the implementation of Classroom Construction program by a competent partner, PBSP, enabled the BEST Program to focus more efforts on other critical aspects as this particular</w:t>
      </w:r>
      <w:r w:rsidR="0046058A">
        <w:rPr>
          <w:rFonts w:asciiTheme="majorHAnsi" w:hAnsiTheme="majorHAnsi" w:cstheme="majorHAnsi"/>
          <w:color w:val="000000" w:themeColor="text1"/>
        </w:rPr>
        <w:t xml:space="preserve"> </w:t>
      </w:r>
      <w:r>
        <w:rPr>
          <w:rFonts w:asciiTheme="majorHAnsi" w:hAnsiTheme="majorHAnsi" w:cstheme="majorHAnsi"/>
          <w:color w:val="000000" w:themeColor="text1"/>
        </w:rPr>
        <w:t>intervention progressed with minimal supervision from the BEST Program Management Unit. This was also true in the case of the scholarship program (STEP UP) implemented by PBEd.</w:t>
      </w:r>
    </w:p>
    <w:p w14:paraId="306E420F" w14:textId="727D1370" w:rsidR="008D0CAD" w:rsidRDefault="008D0CAD" w:rsidP="008C061C">
      <w:pPr>
        <w:pStyle w:val="Heading6"/>
      </w:pPr>
      <w:r w:rsidRPr="00EC58EC">
        <w:t xml:space="preserve">Embedding of the Program Management Unit within the </w:t>
      </w:r>
      <w:r>
        <w:t>DepEd</w:t>
      </w:r>
      <w:r w:rsidRPr="00EC58EC">
        <w:t xml:space="preserve"> organi</w:t>
      </w:r>
      <w:r>
        <w:t>s</w:t>
      </w:r>
      <w:r w:rsidRPr="00EC58EC">
        <w:t>ation</w:t>
      </w:r>
    </w:p>
    <w:p w14:paraId="10E90A00" w14:textId="43730E69" w:rsidR="008D0CAD" w:rsidRPr="001C5DFD" w:rsidRDefault="008D0CAD" w:rsidP="00671524">
      <w:pPr>
        <w:spacing w:before="100" w:beforeAutospacing="1" w:after="100" w:afterAutospacing="1" w:line="360" w:lineRule="auto"/>
        <w:rPr>
          <w:rFonts w:asciiTheme="majorHAnsi" w:hAnsiTheme="majorHAnsi" w:cstheme="majorHAnsi"/>
          <w:color w:val="000000" w:themeColor="text1"/>
        </w:rPr>
      </w:pPr>
      <w:r w:rsidRPr="001C5DFD">
        <w:rPr>
          <w:rFonts w:asciiTheme="majorHAnsi" w:hAnsiTheme="majorHAnsi" w:cstheme="majorHAnsi"/>
          <w:color w:val="000000" w:themeColor="text1"/>
        </w:rPr>
        <w:t xml:space="preserve">The embedding of the </w:t>
      </w:r>
      <w:r>
        <w:rPr>
          <w:rFonts w:asciiTheme="majorHAnsi" w:hAnsiTheme="majorHAnsi" w:cstheme="majorHAnsi"/>
          <w:color w:val="000000" w:themeColor="text1"/>
        </w:rPr>
        <w:t xml:space="preserve">BEST </w:t>
      </w:r>
      <w:r w:rsidRPr="001C5DFD">
        <w:rPr>
          <w:rFonts w:asciiTheme="majorHAnsi" w:hAnsiTheme="majorHAnsi" w:cstheme="majorHAnsi"/>
          <w:color w:val="000000" w:themeColor="text1"/>
        </w:rPr>
        <w:t xml:space="preserve">Program Management Unit within the </w:t>
      </w:r>
      <w:r>
        <w:rPr>
          <w:rFonts w:asciiTheme="majorHAnsi" w:hAnsiTheme="majorHAnsi" w:cstheme="majorHAnsi"/>
          <w:color w:val="000000" w:themeColor="text1"/>
        </w:rPr>
        <w:t>DepEd</w:t>
      </w:r>
      <w:r w:rsidRPr="001C5DFD">
        <w:rPr>
          <w:rFonts w:asciiTheme="majorHAnsi" w:hAnsiTheme="majorHAnsi" w:cstheme="majorHAnsi"/>
          <w:color w:val="000000" w:themeColor="text1"/>
        </w:rPr>
        <w:t xml:space="preserve"> organi</w:t>
      </w:r>
      <w:r>
        <w:rPr>
          <w:rFonts w:asciiTheme="majorHAnsi" w:hAnsiTheme="majorHAnsi" w:cstheme="majorHAnsi"/>
          <w:color w:val="000000" w:themeColor="text1"/>
        </w:rPr>
        <w:t>s</w:t>
      </w:r>
      <w:r w:rsidRPr="001C5DFD">
        <w:rPr>
          <w:rFonts w:asciiTheme="majorHAnsi" w:hAnsiTheme="majorHAnsi" w:cstheme="majorHAnsi"/>
          <w:color w:val="000000" w:themeColor="text1"/>
        </w:rPr>
        <w:t xml:space="preserve">ation was initially viewed negatively by some </w:t>
      </w:r>
      <w:r>
        <w:rPr>
          <w:rFonts w:asciiTheme="majorHAnsi" w:hAnsiTheme="majorHAnsi" w:cstheme="majorHAnsi"/>
          <w:color w:val="000000" w:themeColor="text1"/>
        </w:rPr>
        <w:t>DepEd</w:t>
      </w:r>
      <w:r w:rsidRPr="001C5DFD">
        <w:rPr>
          <w:rFonts w:asciiTheme="majorHAnsi" w:hAnsiTheme="majorHAnsi" w:cstheme="majorHAnsi"/>
          <w:color w:val="000000" w:themeColor="text1"/>
        </w:rPr>
        <w:t xml:space="preserve"> Operating Units because of the lack of </w:t>
      </w:r>
      <w:r>
        <w:rPr>
          <w:rFonts w:asciiTheme="majorHAnsi" w:hAnsiTheme="majorHAnsi" w:cstheme="majorHAnsi"/>
          <w:color w:val="000000" w:themeColor="text1"/>
        </w:rPr>
        <w:t xml:space="preserve">clarity around </w:t>
      </w:r>
      <w:r w:rsidRPr="001C5DFD">
        <w:rPr>
          <w:rFonts w:asciiTheme="majorHAnsi" w:hAnsiTheme="majorHAnsi" w:cstheme="majorHAnsi"/>
          <w:color w:val="000000" w:themeColor="text1"/>
        </w:rPr>
        <w:t xml:space="preserve">Program leadership. It was not </w:t>
      </w:r>
      <w:r>
        <w:rPr>
          <w:rFonts w:asciiTheme="majorHAnsi" w:hAnsiTheme="majorHAnsi" w:cstheme="majorHAnsi"/>
          <w:color w:val="000000" w:themeColor="text1"/>
        </w:rPr>
        <w:t>always</w:t>
      </w:r>
      <w:r w:rsidRPr="001C5DFD">
        <w:rPr>
          <w:rFonts w:asciiTheme="majorHAnsi" w:hAnsiTheme="majorHAnsi" w:cstheme="majorHAnsi"/>
          <w:color w:val="000000" w:themeColor="text1"/>
        </w:rPr>
        <w:t xml:space="preserve"> clear where to go to when issues related to the Program had to be discussed</w:t>
      </w:r>
      <w:r>
        <w:rPr>
          <w:rFonts w:asciiTheme="majorHAnsi" w:hAnsiTheme="majorHAnsi" w:cstheme="majorHAnsi"/>
          <w:color w:val="000000" w:themeColor="text1"/>
        </w:rPr>
        <w:t xml:space="preserve"> (refer also to Section 3.5.1.2.1</w:t>
      </w:r>
      <w:r w:rsidRPr="001C5DFD">
        <w:rPr>
          <w:rFonts w:asciiTheme="majorHAnsi" w:hAnsiTheme="majorHAnsi" w:cstheme="majorHAnsi"/>
          <w:color w:val="000000" w:themeColor="text1"/>
        </w:rPr>
        <w:t>.</w:t>
      </w:r>
      <w:r>
        <w:rPr>
          <w:rFonts w:asciiTheme="majorHAnsi" w:hAnsiTheme="majorHAnsi" w:cstheme="majorHAnsi"/>
          <w:color w:val="000000" w:themeColor="text1"/>
        </w:rPr>
        <w:t>).</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Moreover, because the PMU Office was located outside of the DepEd compound, it was generally viewed as external to the organisation.</w:t>
      </w:r>
    </w:p>
    <w:p w14:paraId="57315F97" w14:textId="2FFCB67A" w:rsidR="008D0CAD" w:rsidRPr="004C60A8" w:rsidRDefault="008D0CAD" w:rsidP="00671524">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color w:val="000000" w:themeColor="text1"/>
        </w:rPr>
        <w:t>However, the long-term positive effect of embedding was that fosters sustainability.</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Experiences in past foreign-funded Programs showed that when a Program ended, the lessons learned from implementation also dissipate as the PMU is disbanded. In the case of the BEST Program, the lessons learned remain with the different DepEd</w:t>
      </w:r>
      <w:r w:rsidRPr="001C5DFD">
        <w:rPr>
          <w:rFonts w:asciiTheme="majorHAnsi" w:hAnsiTheme="majorHAnsi" w:cstheme="majorHAnsi"/>
          <w:color w:val="000000" w:themeColor="text1"/>
        </w:rPr>
        <w:t xml:space="preserve"> Operating Units</w:t>
      </w:r>
      <w:r>
        <w:rPr>
          <w:rFonts w:asciiTheme="majorHAnsi" w:hAnsiTheme="majorHAnsi" w:cstheme="majorHAnsi"/>
          <w:color w:val="000000" w:themeColor="text1"/>
        </w:rPr>
        <w:t xml:space="preserve"> even after the Program ended.</w:t>
      </w:r>
    </w:p>
    <w:p w14:paraId="1C2D0989" w14:textId="032D6FBA" w:rsidR="008D0CAD" w:rsidRPr="004C60A8" w:rsidRDefault="008D0CAD" w:rsidP="008C061C">
      <w:pPr>
        <w:pStyle w:val="Heading6"/>
      </w:pPr>
      <w:r>
        <w:t>H</w:t>
      </w:r>
      <w:r w:rsidRPr="00EC58EC">
        <w:t>igh</w:t>
      </w:r>
      <w:r>
        <w:t>er</w:t>
      </w:r>
      <w:r w:rsidRPr="00EC58EC">
        <w:t xml:space="preserve"> ownership of reform</w:t>
      </w:r>
      <w:r>
        <w:t>s due to non-</w:t>
      </w:r>
      <w:r w:rsidRPr="00EC58EC">
        <w:t xml:space="preserve">branding of the BEST Program </w:t>
      </w:r>
    </w:p>
    <w:p w14:paraId="06D392E8" w14:textId="0CF1221E" w:rsidR="008D0CAD" w:rsidRDefault="008D0CAD" w:rsidP="00671524">
      <w:pPr>
        <w:pStyle w:val="NormalWeb"/>
        <w:spacing w:line="360" w:lineRule="auto"/>
        <w:rPr>
          <w:rFonts w:asciiTheme="majorHAnsi" w:hAnsiTheme="majorHAnsi" w:cstheme="majorHAnsi"/>
        </w:rPr>
      </w:pPr>
      <w:r>
        <w:rPr>
          <w:rFonts w:asciiTheme="majorHAnsi" w:hAnsiTheme="majorHAnsi" w:cstheme="majorHAnsi"/>
          <w:color w:val="000000" w:themeColor="text1"/>
        </w:rPr>
        <w:t>The l</w:t>
      </w:r>
      <w:r w:rsidRPr="00791EAF">
        <w:rPr>
          <w:rFonts w:asciiTheme="majorHAnsi" w:hAnsiTheme="majorHAnsi" w:cstheme="majorHAnsi"/>
          <w:color w:val="000000" w:themeColor="text1"/>
        </w:rPr>
        <w:t xml:space="preserve">ow branding of the Program </w:t>
      </w:r>
      <w:r w:rsidRPr="0010057B">
        <w:rPr>
          <w:rFonts w:asciiTheme="majorHAnsi" w:hAnsiTheme="majorHAnsi" w:cstheme="majorHAnsi"/>
        </w:rPr>
        <w:t xml:space="preserve">among </w:t>
      </w:r>
      <w:r>
        <w:rPr>
          <w:rFonts w:asciiTheme="majorHAnsi" w:hAnsiTheme="majorHAnsi" w:cstheme="majorHAnsi"/>
        </w:rPr>
        <w:t>several DepEd</w:t>
      </w:r>
      <w:r w:rsidRPr="0010057B">
        <w:rPr>
          <w:rFonts w:asciiTheme="majorHAnsi" w:hAnsiTheme="majorHAnsi" w:cstheme="majorHAnsi"/>
        </w:rPr>
        <w:t xml:space="preserve"> operating units</w:t>
      </w:r>
      <w:r w:rsidRPr="00791EAF">
        <w:rPr>
          <w:rFonts w:asciiTheme="majorHAnsi" w:hAnsiTheme="majorHAnsi" w:cstheme="majorHAnsi"/>
          <w:color w:val="000000" w:themeColor="text1"/>
        </w:rPr>
        <w:t xml:space="preserve"> result</w:t>
      </w:r>
      <w:r>
        <w:rPr>
          <w:rFonts w:asciiTheme="majorHAnsi" w:hAnsiTheme="majorHAnsi" w:cstheme="majorHAnsi"/>
          <w:color w:val="000000" w:themeColor="text1"/>
        </w:rPr>
        <w:t>ed</w:t>
      </w:r>
      <w:r w:rsidRPr="00791EAF">
        <w:rPr>
          <w:rFonts w:asciiTheme="majorHAnsi" w:hAnsiTheme="majorHAnsi" w:cstheme="majorHAnsi"/>
          <w:color w:val="000000" w:themeColor="text1"/>
        </w:rPr>
        <w:t xml:space="preserve"> in high ownership of reforms</w:t>
      </w:r>
      <w:r>
        <w:rPr>
          <w:rFonts w:asciiTheme="majorHAnsi" w:hAnsiTheme="majorHAnsi" w:cstheme="majorHAnsi"/>
          <w:color w:val="000000" w:themeColor="text1"/>
        </w:rPr>
        <w:t xml:space="preserve">. </w:t>
      </w:r>
      <w:r>
        <w:rPr>
          <w:rFonts w:asciiTheme="majorHAnsi" w:hAnsiTheme="majorHAnsi" w:cstheme="majorHAnsi"/>
        </w:rPr>
        <w:t xml:space="preserve">For instance, </w:t>
      </w:r>
      <w:r w:rsidRPr="00F9764B">
        <w:rPr>
          <w:rFonts w:asciiTheme="majorHAnsi" w:hAnsiTheme="majorHAnsi" w:cstheme="majorHAnsi"/>
        </w:rPr>
        <w:t>17</w:t>
      </w:r>
      <w:r>
        <w:rPr>
          <w:rFonts w:asciiTheme="majorHAnsi" w:hAnsiTheme="majorHAnsi" w:cstheme="majorHAnsi"/>
        </w:rPr>
        <w:t xml:space="preserve"> </w:t>
      </w:r>
      <w:r w:rsidRPr="00F9764B">
        <w:rPr>
          <w:rFonts w:asciiTheme="majorHAnsi" w:hAnsiTheme="majorHAnsi" w:cstheme="majorHAnsi"/>
        </w:rPr>
        <w:t>of the 39 principals</w:t>
      </w:r>
      <w:r>
        <w:rPr>
          <w:rFonts w:asciiTheme="majorHAnsi" w:hAnsiTheme="majorHAnsi" w:cstheme="majorHAnsi"/>
        </w:rPr>
        <w:t xml:space="preserve"> surveyed</w:t>
      </w:r>
      <w:r w:rsidRPr="00F9764B">
        <w:rPr>
          <w:rFonts w:asciiTheme="majorHAnsi" w:hAnsiTheme="majorHAnsi" w:cstheme="majorHAnsi"/>
        </w:rPr>
        <w:t xml:space="preserve"> </w:t>
      </w:r>
      <w:r>
        <w:rPr>
          <w:rFonts w:asciiTheme="majorHAnsi" w:hAnsiTheme="majorHAnsi" w:cstheme="majorHAnsi"/>
        </w:rPr>
        <w:t>(</w:t>
      </w:r>
      <w:r w:rsidRPr="00F9764B">
        <w:rPr>
          <w:rFonts w:asciiTheme="majorHAnsi" w:hAnsiTheme="majorHAnsi" w:cstheme="majorHAnsi"/>
        </w:rPr>
        <w:t>33</w:t>
      </w:r>
      <w:r>
        <w:rPr>
          <w:rFonts w:asciiTheme="majorHAnsi" w:hAnsiTheme="majorHAnsi" w:cstheme="majorHAnsi"/>
        </w:rPr>
        <w:t xml:space="preserve"> per cent</w:t>
      </w:r>
      <w:r w:rsidRPr="00F9764B">
        <w:rPr>
          <w:rFonts w:asciiTheme="majorHAnsi" w:hAnsiTheme="majorHAnsi" w:cstheme="majorHAnsi"/>
        </w:rPr>
        <w:t xml:space="preserve">) </w:t>
      </w:r>
      <w:r>
        <w:rPr>
          <w:rFonts w:asciiTheme="majorHAnsi" w:hAnsiTheme="majorHAnsi" w:cstheme="majorHAnsi"/>
        </w:rPr>
        <w:t xml:space="preserve">and </w:t>
      </w:r>
      <w:r w:rsidRPr="00F9764B">
        <w:rPr>
          <w:rFonts w:asciiTheme="majorHAnsi" w:hAnsiTheme="majorHAnsi" w:cstheme="majorHAnsi"/>
        </w:rPr>
        <w:t>79</w:t>
      </w:r>
      <w:r>
        <w:rPr>
          <w:rFonts w:asciiTheme="majorHAnsi" w:hAnsiTheme="majorHAnsi" w:cstheme="majorHAnsi"/>
        </w:rPr>
        <w:t xml:space="preserve"> </w:t>
      </w:r>
      <w:r w:rsidRPr="00F9764B">
        <w:rPr>
          <w:rFonts w:asciiTheme="majorHAnsi" w:hAnsiTheme="majorHAnsi" w:cstheme="majorHAnsi"/>
        </w:rPr>
        <w:t xml:space="preserve">of the 193 teachers </w:t>
      </w:r>
      <w:r>
        <w:rPr>
          <w:rFonts w:asciiTheme="majorHAnsi" w:hAnsiTheme="majorHAnsi" w:cstheme="majorHAnsi"/>
        </w:rPr>
        <w:t>(</w:t>
      </w:r>
      <w:r w:rsidRPr="00F9764B">
        <w:rPr>
          <w:rFonts w:asciiTheme="majorHAnsi" w:hAnsiTheme="majorHAnsi" w:cstheme="majorHAnsi"/>
        </w:rPr>
        <w:t>39</w:t>
      </w:r>
      <w:r>
        <w:rPr>
          <w:rFonts w:asciiTheme="majorHAnsi" w:hAnsiTheme="majorHAnsi" w:cstheme="majorHAnsi"/>
        </w:rPr>
        <w:t xml:space="preserve"> per cent</w:t>
      </w:r>
      <w:r w:rsidRPr="00F9764B">
        <w:rPr>
          <w:rFonts w:asciiTheme="majorHAnsi" w:hAnsiTheme="majorHAnsi" w:cstheme="majorHAnsi"/>
        </w:rPr>
        <w:t>), were not aware of the BEST Program</w:t>
      </w:r>
      <w:r>
        <w:rPr>
          <w:rFonts w:asciiTheme="majorHAnsi" w:hAnsiTheme="majorHAnsi" w:cstheme="majorHAnsi"/>
        </w:rPr>
        <w:t xml:space="preserve"> despite having each participated in at least one BEST-supported activity</w:t>
      </w:r>
      <w:r w:rsidRPr="00F9764B">
        <w:rPr>
          <w:rFonts w:asciiTheme="majorHAnsi" w:hAnsiTheme="majorHAnsi" w:cstheme="majorHAnsi"/>
        </w:rPr>
        <w:t>.</w:t>
      </w:r>
      <w:r w:rsidR="00D434EB">
        <w:rPr>
          <w:rFonts w:asciiTheme="majorHAnsi" w:hAnsiTheme="majorHAnsi" w:cstheme="majorHAnsi"/>
        </w:rPr>
        <w:t xml:space="preserve"> </w:t>
      </w:r>
    </w:p>
    <w:p w14:paraId="7DB7825A" w14:textId="0AE953EA" w:rsidR="008D0CAD" w:rsidRPr="004C60A8" w:rsidRDefault="008D0CAD" w:rsidP="00671524">
      <w:pPr>
        <w:pStyle w:val="NormalWeb"/>
        <w:spacing w:line="360" w:lineRule="auto"/>
        <w:rPr>
          <w:rFonts w:asciiTheme="majorHAnsi" w:hAnsiTheme="majorHAnsi" w:cstheme="majorHAnsi"/>
          <w:color w:val="000000" w:themeColor="text1"/>
        </w:rPr>
      </w:pPr>
      <w:r>
        <w:rPr>
          <w:rFonts w:asciiTheme="majorHAnsi" w:hAnsiTheme="majorHAnsi" w:cstheme="majorHAnsi"/>
          <w:color w:val="000000" w:themeColor="text1"/>
        </w:rPr>
        <w:t>T</w:t>
      </w:r>
      <w:r w:rsidRPr="009F1744">
        <w:rPr>
          <w:rFonts w:asciiTheme="majorHAnsi" w:hAnsiTheme="majorHAnsi" w:cstheme="majorHAnsi"/>
          <w:color w:val="000000" w:themeColor="text1"/>
        </w:rPr>
        <w:t>h</w:t>
      </w:r>
      <w:r>
        <w:rPr>
          <w:rFonts w:asciiTheme="majorHAnsi" w:hAnsiTheme="majorHAnsi" w:cstheme="majorHAnsi"/>
          <w:color w:val="000000" w:themeColor="text1"/>
        </w:rPr>
        <w:t>e</w:t>
      </w:r>
      <w:r w:rsidRPr="009F1744">
        <w:rPr>
          <w:rFonts w:asciiTheme="majorHAnsi" w:hAnsiTheme="majorHAnsi" w:cstheme="majorHAnsi"/>
          <w:color w:val="000000" w:themeColor="text1"/>
        </w:rPr>
        <w:t xml:space="preserve"> lack of branding was considered positive by the BEST Program because it provide</w:t>
      </w:r>
      <w:r>
        <w:rPr>
          <w:rFonts w:asciiTheme="majorHAnsi" w:hAnsiTheme="majorHAnsi" w:cstheme="majorHAnsi"/>
          <w:color w:val="000000" w:themeColor="text1"/>
        </w:rPr>
        <w:t>d</w:t>
      </w:r>
      <w:r w:rsidRPr="009F1744">
        <w:rPr>
          <w:rFonts w:asciiTheme="majorHAnsi" w:hAnsiTheme="majorHAnsi" w:cstheme="majorHAnsi"/>
          <w:color w:val="000000" w:themeColor="text1"/>
        </w:rPr>
        <w:t xml:space="preserve"> evidence that the systems </w:t>
      </w:r>
      <w:r>
        <w:rPr>
          <w:rFonts w:asciiTheme="majorHAnsi" w:hAnsiTheme="majorHAnsi" w:cstheme="majorHAnsi"/>
          <w:color w:val="000000" w:themeColor="text1"/>
        </w:rPr>
        <w:t xml:space="preserve">that it </w:t>
      </w:r>
      <w:r w:rsidRPr="009F1744">
        <w:rPr>
          <w:rFonts w:asciiTheme="majorHAnsi" w:hAnsiTheme="majorHAnsi" w:cstheme="majorHAnsi"/>
          <w:color w:val="000000" w:themeColor="text1"/>
        </w:rPr>
        <w:t xml:space="preserve">supported and enhanced </w:t>
      </w:r>
      <w:r>
        <w:rPr>
          <w:rFonts w:asciiTheme="majorHAnsi" w:hAnsiTheme="majorHAnsi" w:cstheme="majorHAnsi"/>
          <w:color w:val="000000" w:themeColor="text1"/>
        </w:rPr>
        <w:t>we</w:t>
      </w:r>
      <w:r w:rsidRPr="009F1744">
        <w:rPr>
          <w:rFonts w:asciiTheme="majorHAnsi" w:hAnsiTheme="majorHAnsi" w:cstheme="majorHAnsi"/>
          <w:color w:val="000000" w:themeColor="text1"/>
        </w:rPr>
        <w:t xml:space="preserve">re already deeply embedded in </w:t>
      </w:r>
      <w:r>
        <w:rPr>
          <w:rFonts w:asciiTheme="majorHAnsi" w:hAnsiTheme="majorHAnsi" w:cstheme="majorHAnsi"/>
          <w:color w:val="000000" w:themeColor="text1"/>
        </w:rPr>
        <w:t>DepEd</w:t>
      </w:r>
      <w:r w:rsidRPr="009F1744">
        <w:rPr>
          <w:rFonts w:asciiTheme="majorHAnsi" w:hAnsiTheme="majorHAnsi" w:cstheme="majorHAnsi"/>
          <w:color w:val="000000" w:themeColor="text1"/>
        </w:rPr>
        <w:t xml:space="preserve"> systems.</w:t>
      </w:r>
      <w:r w:rsidR="00D434EB">
        <w:rPr>
          <w:rFonts w:asciiTheme="majorHAnsi" w:hAnsiTheme="majorHAnsi" w:cstheme="majorHAnsi"/>
          <w:color w:val="000000" w:themeColor="text1"/>
        </w:rPr>
        <w:t xml:space="preserve"> </w:t>
      </w:r>
      <w:r w:rsidRPr="009F1744">
        <w:rPr>
          <w:rFonts w:asciiTheme="majorHAnsi" w:hAnsiTheme="majorHAnsi" w:cstheme="majorHAnsi"/>
          <w:color w:val="000000" w:themeColor="text1"/>
        </w:rPr>
        <w:t xml:space="preserve">This situation was also generally accepted by </w:t>
      </w:r>
      <w:r>
        <w:rPr>
          <w:rFonts w:asciiTheme="majorHAnsi" w:hAnsiTheme="majorHAnsi" w:cstheme="majorHAnsi"/>
          <w:color w:val="000000" w:themeColor="text1"/>
        </w:rPr>
        <w:t>DepEd</w:t>
      </w:r>
      <w:r w:rsidRPr="009F1744">
        <w:rPr>
          <w:rFonts w:asciiTheme="majorHAnsi" w:hAnsiTheme="majorHAnsi" w:cstheme="majorHAnsi"/>
          <w:color w:val="000000" w:themeColor="text1"/>
        </w:rPr>
        <w:t xml:space="preserve"> </w:t>
      </w:r>
      <w:r>
        <w:rPr>
          <w:rFonts w:asciiTheme="majorHAnsi" w:hAnsiTheme="majorHAnsi" w:cstheme="majorHAnsi"/>
          <w:color w:val="000000" w:themeColor="text1"/>
        </w:rPr>
        <w:t>Operating Units, which regarded</w:t>
      </w:r>
      <w:r w:rsidRPr="009F1744">
        <w:rPr>
          <w:rFonts w:asciiTheme="majorHAnsi" w:hAnsiTheme="majorHAnsi" w:cstheme="majorHAnsi"/>
          <w:color w:val="000000" w:themeColor="text1"/>
        </w:rPr>
        <w:t xml:space="preserve"> activities assisted by the BEST Program </w:t>
      </w:r>
      <w:r>
        <w:rPr>
          <w:rFonts w:asciiTheme="majorHAnsi" w:hAnsiTheme="majorHAnsi" w:cstheme="majorHAnsi"/>
          <w:color w:val="000000" w:themeColor="text1"/>
        </w:rPr>
        <w:t>as</w:t>
      </w:r>
      <w:r w:rsidRPr="009F1744">
        <w:rPr>
          <w:rFonts w:asciiTheme="majorHAnsi" w:hAnsiTheme="majorHAnsi" w:cstheme="majorHAnsi"/>
          <w:color w:val="000000" w:themeColor="text1"/>
        </w:rPr>
        <w:t xml:space="preserve"> their own</w:t>
      </w:r>
      <w:r>
        <w:rPr>
          <w:rFonts w:asciiTheme="majorHAnsi" w:hAnsiTheme="majorHAnsi" w:cstheme="majorHAnsi"/>
          <w:color w:val="000000" w:themeColor="text1"/>
        </w:rPr>
        <w:t>, since they aligned with and supported</w:t>
      </w:r>
      <w:r w:rsidRPr="009F1744">
        <w:rPr>
          <w:rFonts w:asciiTheme="majorHAnsi" w:hAnsiTheme="majorHAnsi" w:cstheme="majorHAnsi"/>
          <w:color w:val="000000" w:themeColor="text1"/>
        </w:rPr>
        <w:t xml:space="preserve"> their own work plans and reflected their own priorities. The reforms facilitated by the BEST Program w</w:t>
      </w:r>
      <w:r>
        <w:rPr>
          <w:rFonts w:asciiTheme="majorHAnsi" w:hAnsiTheme="majorHAnsi" w:cstheme="majorHAnsi"/>
          <w:color w:val="000000" w:themeColor="text1"/>
        </w:rPr>
        <w:t>ere</w:t>
      </w:r>
      <w:r w:rsidRPr="009F1744">
        <w:rPr>
          <w:rFonts w:asciiTheme="majorHAnsi" w:hAnsiTheme="majorHAnsi" w:cstheme="majorHAnsi"/>
          <w:color w:val="000000" w:themeColor="text1"/>
        </w:rPr>
        <w:t xml:space="preserve"> not seen as imposed by an external organi</w:t>
      </w:r>
      <w:r>
        <w:rPr>
          <w:rFonts w:asciiTheme="majorHAnsi" w:hAnsiTheme="majorHAnsi" w:cstheme="majorHAnsi"/>
          <w:color w:val="000000" w:themeColor="text1"/>
        </w:rPr>
        <w:t>s</w:t>
      </w:r>
      <w:r w:rsidRPr="009F1744">
        <w:rPr>
          <w:rFonts w:asciiTheme="majorHAnsi" w:hAnsiTheme="majorHAnsi" w:cstheme="majorHAnsi"/>
          <w:color w:val="000000" w:themeColor="text1"/>
        </w:rPr>
        <w:t>ation but organic.</w:t>
      </w:r>
      <w:r w:rsidR="00D434EB">
        <w:rPr>
          <w:rFonts w:asciiTheme="majorHAnsi" w:hAnsiTheme="majorHAnsi" w:cstheme="majorHAnsi"/>
          <w:color w:val="000000" w:themeColor="text1"/>
        </w:rPr>
        <w:t xml:space="preserve"> </w:t>
      </w:r>
      <w:r w:rsidRPr="009F1744">
        <w:rPr>
          <w:rFonts w:asciiTheme="majorHAnsi" w:hAnsiTheme="majorHAnsi" w:cstheme="majorHAnsi"/>
          <w:color w:val="000000" w:themeColor="text1"/>
        </w:rPr>
        <w:t>This agency-wide perspective increase</w:t>
      </w:r>
      <w:r>
        <w:rPr>
          <w:rFonts w:asciiTheme="majorHAnsi" w:hAnsiTheme="majorHAnsi" w:cstheme="majorHAnsi"/>
          <w:color w:val="000000" w:themeColor="text1"/>
        </w:rPr>
        <w:t>s</w:t>
      </w:r>
      <w:r w:rsidRPr="009F1744">
        <w:rPr>
          <w:rFonts w:asciiTheme="majorHAnsi" w:hAnsiTheme="majorHAnsi" w:cstheme="majorHAnsi"/>
          <w:color w:val="000000" w:themeColor="text1"/>
        </w:rPr>
        <w:t xml:space="preserve"> the likelihood </w:t>
      </w:r>
      <w:r>
        <w:rPr>
          <w:rFonts w:asciiTheme="majorHAnsi" w:hAnsiTheme="majorHAnsi" w:cstheme="majorHAnsi"/>
          <w:color w:val="000000" w:themeColor="text1"/>
        </w:rPr>
        <w:t xml:space="preserve">that the reforms will be </w:t>
      </w:r>
      <w:r w:rsidRPr="009F1744">
        <w:rPr>
          <w:rFonts w:asciiTheme="majorHAnsi" w:hAnsiTheme="majorHAnsi" w:cstheme="majorHAnsi"/>
          <w:color w:val="000000" w:themeColor="text1"/>
        </w:rPr>
        <w:t>sustain</w:t>
      </w:r>
      <w:r>
        <w:rPr>
          <w:rFonts w:asciiTheme="majorHAnsi" w:hAnsiTheme="majorHAnsi" w:cstheme="majorHAnsi"/>
          <w:color w:val="000000" w:themeColor="text1"/>
        </w:rPr>
        <w:t>ed</w:t>
      </w:r>
      <w:r w:rsidRPr="00685302">
        <w:rPr>
          <w:rFonts w:asciiTheme="majorHAnsi" w:hAnsiTheme="majorHAnsi" w:cstheme="majorHAnsi"/>
          <w:color w:val="000000" w:themeColor="text1"/>
        </w:rPr>
        <w:t>.</w:t>
      </w:r>
    </w:p>
    <w:p w14:paraId="0410C01E" w14:textId="422360C1" w:rsidR="008D0CAD" w:rsidRDefault="008D0CAD" w:rsidP="00671524">
      <w:pPr>
        <w:pStyle w:val="Heading5"/>
        <w:numPr>
          <w:ilvl w:val="3"/>
          <w:numId w:val="38"/>
        </w:numPr>
        <w:spacing w:before="100" w:beforeAutospacing="1" w:after="100" w:afterAutospacing="1" w:line="360" w:lineRule="auto"/>
      </w:pPr>
      <w:r>
        <w:t>Hindering Factors</w:t>
      </w:r>
    </w:p>
    <w:p w14:paraId="11A6F779" w14:textId="77777777" w:rsidR="008D0CAD" w:rsidRPr="00CF2105" w:rsidRDefault="008D0CAD" w:rsidP="008C061C">
      <w:pPr>
        <w:pStyle w:val="Heading6"/>
      </w:pPr>
      <w:r>
        <w:t>Dormant g</w:t>
      </w:r>
      <w:r w:rsidRPr="00EC58EC">
        <w:t xml:space="preserve">overnance mechanism </w:t>
      </w:r>
      <w:r>
        <w:t>during</w:t>
      </w:r>
      <w:r w:rsidRPr="00EC58EC">
        <w:t xml:space="preserve"> the early years of implementation </w:t>
      </w:r>
    </w:p>
    <w:p w14:paraId="4D7095C1" w14:textId="77777777" w:rsidR="008D0CAD" w:rsidRDefault="008D0CAD" w:rsidP="00671524">
      <w:pPr>
        <w:pStyle w:val="NormalWeb"/>
        <w:spacing w:line="360" w:lineRule="auto"/>
        <w:rPr>
          <w:rFonts w:asciiTheme="majorHAnsi" w:hAnsiTheme="majorHAnsi" w:cstheme="majorHAnsi"/>
        </w:rPr>
      </w:pPr>
      <w:r w:rsidRPr="00E77011">
        <w:rPr>
          <w:rFonts w:asciiTheme="majorHAnsi" w:hAnsiTheme="majorHAnsi" w:cstheme="majorHAnsi"/>
          <w:bCs/>
          <w:color w:val="000000" w:themeColor="text1"/>
        </w:rPr>
        <w:t xml:space="preserve">The </w:t>
      </w:r>
      <w:r w:rsidRPr="00E77011">
        <w:rPr>
          <w:rFonts w:asciiTheme="majorHAnsi" w:hAnsiTheme="majorHAnsi" w:cstheme="majorHAnsi"/>
        </w:rPr>
        <w:t xml:space="preserve">Governance and Management Arrangements </w:t>
      </w:r>
      <w:r w:rsidRPr="00E77011">
        <w:rPr>
          <w:rFonts w:asciiTheme="majorHAnsi" w:hAnsiTheme="majorHAnsi" w:cstheme="majorHAnsi"/>
          <w:bCs/>
          <w:color w:val="000000" w:themeColor="text1"/>
        </w:rPr>
        <w:t>of the BEST Program</w:t>
      </w:r>
      <w:r>
        <w:rPr>
          <w:rFonts w:asciiTheme="majorHAnsi" w:hAnsiTheme="majorHAnsi" w:cstheme="majorHAnsi"/>
          <w:bCs/>
          <w:color w:val="000000" w:themeColor="text1"/>
        </w:rPr>
        <w:t xml:space="preserve"> were well</w:t>
      </w:r>
      <w:r w:rsidRPr="00E77011">
        <w:rPr>
          <w:rFonts w:asciiTheme="majorHAnsi" w:hAnsiTheme="majorHAnsi" w:cstheme="majorHAnsi"/>
          <w:bCs/>
          <w:color w:val="000000" w:themeColor="text1"/>
        </w:rPr>
        <w:t xml:space="preserve"> enunciated in the Program Design Document. </w:t>
      </w:r>
      <w:r>
        <w:rPr>
          <w:rFonts w:asciiTheme="majorHAnsi" w:hAnsiTheme="majorHAnsi" w:cstheme="majorHAnsi"/>
        </w:rPr>
        <w:t>They</w:t>
      </w:r>
      <w:r w:rsidRPr="00E77011">
        <w:rPr>
          <w:rFonts w:asciiTheme="majorHAnsi" w:hAnsiTheme="majorHAnsi" w:cstheme="majorHAnsi"/>
        </w:rPr>
        <w:t xml:space="preserve"> consisted of: a Program Steering Committee (PSC) tasked with setting the program policy guidance, strategic direction and program approaches as well as in maintaining strategic oversight of the outcomes of the Program; a Program Management Committee (PMC) responsible for operational oversight; and a Program Support and Coordinating Office (PSCO) responsi</w:t>
      </w:r>
      <w:r>
        <w:rPr>
          <w:rFonts w:asciiTheme="majorHAnsi" w:hAnsiTheme="majorHAnsi" w:cstheme="majorHAnsi"/>
        </w:rPr>
        <w:t>bl</w:t>
      </w:r>
      <w:r w:rsidRPr="00E77011">
        <w:rPr>
          <w:rFonts w:asciiTheme="majorHAnsi" w:hAnsiTheme="majorHAnsi" w:cstheme="majorHAnsi"/>
        </w:rPr>
        <w:t>e for supporting operations as well as monitoring and evaluation of the program.</w:t>
      </w:r>
    </w:p>
    <w:p w14:paraId="732DDAD0" w14:textId="77777777" w:rsidR="008D0CAD" w:rsidRPr="00A27FA6" w:rsidRDefault="008D0CAD" w:rsidP="00671524">
      <w:pPr>
        <w:pStyle w:val="NormalWeb"/>
        <w:spacing w:line="360" w:lineRule="auto"/>
        <w:rPr>
          <w:rFonts w:asciiTheme="majorHAnsi" w:hAnsiTheme="majorHAnsi" w:cstheme="majorHAnsi"/>
        </w:rPr>
      </w:pPr>
      <w:r>
        <w:rPr>
          <w:rFonts w:asciiTheme="majorHAnsi" w:hAnsiTheme="majorHAnsi" w:cstheme="majorHAnsi"/>
        </w:rPr>
        <w:t xml:space="preserve">However, key respondents to the EOPE Study noted that this governance mechanism was not activated in the early years of program implementation. Several key stakeholders in the DepEd hierarchy felt disenfranchised during those early years. It was also noted that </w:t>
      </w:r>
      <w:r w:rsidRPr="00E77011">
        <w:rPr>
          <w:rFonts w:asciiTheme="majorHAnsi" w:hAnsiTheme="majorHAnsi" w:cstheme="majorHAnsi"/>
        </w:rPr>
        <w:t xml:space="preserve">Program governance </w:t>
      </w:r>
      <w:r>
        <w:rPr>
          <w:rFonts w:asciiTheme="majorHAnsi" w:hAnsiTheme="majorHAnsi" w:cstheme="majorHAnsi"/>
        </w:rPr>
        <w:t>significantly improved</w:t>
      </w:r>
      <w:r w:rsidRPr="00E77011">
        <w:rPr>
          <w:rFonts w:asciiTheme="majorHAnsi" w:hAnsiTheme="majorHAnsi" w:cstheme="majorHAnsi"/>
        </w:rPr>
        <w:t xml:space="preserve"> </w:t>
      </w:r>
      <w:r>
        <w:rPr>
          <w:rFonts w:asciiTheme="majorHAnsi" w:hAnsiTheme="majorHAnsi" w:cstheme="majorHAnsi"/>
        </w:rPr>
        <w:t>by</w:t>
      </w:r>
      <w:r w:rsidRPr="00E77011">
        <w:rPr>
          <w:rFonts w:asciiTheme="majorHAnsi" w:hAnsiTheme="majorHAnsi" w:cstheme="majorHAnsi"/>
        </w:rPr>
        <w:t xml:space="preserve"> </w:t>
      </w:r>
      <w:r>
        <w:rPr>
          <w:rFonts w:asciiTheme="majorHAnsi" w:hAnsiTheme="majorHAnsi" w:cstheme="majorHAnsi"/>
        </w:rPr>
        <w:t>mid-</w:t>
      </w:r>
      <w:r w:rsidRPr="00E77011">
        <w:rPr>
          <w:rFonts w:asciiTheme="majorHAnsi" w:hAnsiTheme="majorHAnsi" w:cstheme="majorHAnsi"/>
        </w:rPr>
        <w:t>2017</w:t>
      </w:r>
      <w:r>
        <w:rPr>
          <w:rFonts w:asciiTheme="majorHAnsi" w:hAnsiTheme="majorHAnsi" w:cstheme="majorHAnsi"/>
        </w:rPr>
        <w:t xml:space="preserve"> (AP4 and AP5). However, by this time, most of the developmental aspects of the Program were nearing conclusion and the focus started to shift to bringing the outputs of the development work down to the schools. </w:t>
      </w:r>
      <w:r w:rsidRPr="00A27FA6">
        <w:rPr>
          <w:rFonts w:asciiTheme="majorHAnsi" w:hAnsiTheme="majorHAnsi" w:cstheme="majorHAnsi"/>
          <w:color w:val="000000" w:themeColor="text1"/>
        </w:rPr>
        <w:t>Refer also to Section 3.7.</w:t>
      </w:r>
    </w:p>
    <w:p w14:paraId="41304543" w14:textId="77777777" w:rsidR="008D0CAD" w:rsidRDefault="008D0CAD" w:rsidP="008C061C">
      <w:pPr>
        <w:pStyle w:val="Heading6"/>
      </w:pPr>
      <w:r w:rsidRPr="00EC58EC">
        <w:t>Absence of a change management component</w:t>
      </w:r>
    </w:p>
    <w:p w14:paraId="73DE0429" w14:textId="2081A97B" w:rsidR="008D0CAD" w:rsidRDefault="008D0CAD" w:rsidP="00671524">
      <w:pPr>
        <w:spacing w:before="100" w:beforeAutospacing="1" w:after="100" w:afterAutospacing="1" w:line="360" w:lineRule="auto"/>
        <w:rPr>
          <w:rFonts w:asciiTheme="majorHAnsi" w:hAnsiTheme="majorHAnsi" w:cstheme="majorHAnsi"/>
          <w:color w:val="000000" w:themeColor="text1"/>
        </w:rPr>
      </w:pPr>
      <w:r w:rsidRPr="00A27FA6">
        <w:rPr>
          <w:rFonts w:asciiTheme="majorHAnsi" w:hAnsiTheme="majorHAnsi" w:cstheme="majorHAnsi"/>
          <w:color w:val="000000" w:themeColor="text1"/>
        </w:rPr>
        <w:t xml:space="preserve">Two critical factors </w:t>
      </w:r>
      <w:r>
        <w:rPr>
          <w:rFonts w:asciiTheme="majorHAnsi" w:hAnsiTheme="majorHAnsi" w:cstheme="majorHAnsi"/>
          <w:color w:val="000000" w:themeColor="text1"/>
        </w:rPr>
        <w:t>can be considered as having hampered</w:t>
      </w:r>
      <w:r w:rsidRPr="00791EAF">
        <w:rPr>
          <w:rFonts w:asciiTheme="majorHAnsi" w:hAnsiTheme="majorHAnsi" w:cstheme="majorHAnsi"/>
          <w:color w:val="000000" w:themeColor="text1"/>
        </w:rPr>
        <w:t xml:space="preserve"> the achievement of the intermediate outcomes </w:t>
      </w:r>
      <w:r>
        <w:rPr>
          <w:rFonts w:asciiTheme="majorHAnsi" w:hAnsiTheme="majorHAnsi" w:cstheme="majorHAnsi"/>
          <w:color w:val="000000" w:themeColor="text1"/>
        </w:rPr>
        <w:t>both at the Central Office and field (RO, DO and school) levels</w:t>
      </w:r>
      <w:r w:rsidRPr="00791EAF">
        <w:rPr>
          <w:rFonts w:asciiTheme="majorHAnsi" w:hAnsiTheme="majorHAnsi" w:cstheme="majorHAnsi"/>
          <w:color w:val="000000" w:themeColor="text1"/>
        </w:rPr>
        <w:t>.</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The first was t</w:t>
      </w:r>
      <w:r w:rsidRPr="008D66B9">
        <w:rPr>
          <w:rFonts w:asciiTheme="majorHAnsi" w:hAnsiTheme="majorHAnsi" w:cstheme="majorHAnsi"/>
          <w:color w:val="000000" w:themeColor="text1"/>
        </w:rPr>
        <w:t xml:space="preserve">he absence of a change management </w:t>
      </w:r>
      <w:r>
        <w:rPr>
          <w:rFonts w:asciiTheme="majorHAnsi" w:hAnsiTheme="majorHAnsi" w:cstheme="majorHAnsi"/>
          <w:color w:val="000000" w:themeColor="text1"/>
        </w:rPr>
        <w:t>approach</w:t>
      </w:r>
      <w:r w:rsidRPr="008D66B9">
        <w:rPr>
          <w:rFonts w:asciiTheme="majorHAnsi" w:hAnsiTheme="majorHAnsi" w:cstheme="majorHAnsi"/>
          <w:color w:val="000000" w:themeColor="text1"/>
        </w:rPr>
        <w:t xml:space="preserve"> to undergird the large-scale reforms </w:t>
      </w:r>
      <w:r>
        <w:rPr>
          <w:rFonts w:asciiTheme="majorHAnsi" w:hAnsiTheme="majorHAnsi" w:cstheme="majorHAnsi"/>
          <w:color w:val="000000" w:themeColor="text1"/>
        </w:rPr>
        <w:t>being supported by</w:t>
      </w:r>
      <w:r w:rsidRPr="008D66B9">
        <w:rPr>
          <w:rFonts w:asciiTheme="majorHAnsi" w:hAnsiTheme="majorHAnsi" w:cstheme="majorHAnsi"/>
          <w:color w:val="000000" w:themeColor="text1"/>
        </w:rPr>
        <w:t xml:space="preserve"> the Program</w:t>
      </w:r>
      <w:r>
        <w:rPr>
          <w:rFonts w:asciiTheme="majorHAnsi" w:hAnsiTheme="majorHAnsi" w:cstheme="majorHAnsi"/>
          <w:color w:val="000000" w:themeColor="text1"/>
        </w:rPr>
        <w:t>.</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The BEST Program aimed for massive institutional systemic reforms that affected not only knowledge but practices and attitudes of organisational actors. The absence of a </w:t>
      </w:r>
      <w:r w:rsidRPr="008D66B9">
        <w:rPr>
          <w:rFonts w:asciiTheme="majorHAnsi" w:hAnsiTheme="majorHAnsi" w:cstheme="majorHAnsi"/>
          <w:color w:val="000000" w:themeColor="text1"/>
        </w:rPr>
        <w:t xml:space="preserve">change management </w:t>
      </w:r>
      <w:r>
        <w:rPr>
          <w:rFonts w:asciiTheme="majorHAnsi" w:hAnsiTheme="majorHAnsi" w:cstheme="majorHAnsi"/>
          <w:color w:val="000000" w:themeColor="text1"/>
        </w:rPr>
        <w:t>program to guide the reactions and interactions of actors to changes reduces the efficacy of positive and magnifies the negative.</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It is interesting to note that a Change Management component was included in the Program’s original Program design. </w:t>
      </w:r>
    </w:p>
    <w:p w14:paraId="27529D85" w14:textId="77777777" w:rsidR="008D0CAD" w:rsidRDefault="008D0CAD" w:rsidP="008C061C">
      <w:pPr>
        <w:pStyle w:val="Heading6"/>
      </w:pPr>
      <w:r w:rsidRPr="00EC58EC">
        <w:t xml:space="preserve">Lack of convergence of </w:t>
      </w:r>
      <w:r>
        <w:t>BEST</w:t>
      </w:r>
      <w:r w:rsidRPr="00EC58EC">
        <w:t xml:space="preserve"> Program interventions </w:t>
      </w:r>
    </w:p>
    <w:p w14:paraId="2771BE46" w14:textId="3BA3C148" w:rsidR="008D0CAD" w:rsidRDefault="008D0CAD" w:rsidP="00671524">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color w:val="000000" w:themeColor="text1"/>
        </w:rPr>
        <w:t xml:space="preserve">Another significant hindering factor was the </w:t>
      </w:r>
      <w:r w:rsidRPr="00791EAF">
        <w:rPr>
          <w:rFonts w:asciiTheme="majorHAnsi" w:hAnsiTheme="majorHAnsi" w:cstheme="majorHAnsi"/>
          <w:color w:val="000000" w:themeColor="text1"/>
        </w:rPr>
        <w:t xml:space="preserve">lack of convergence </w:t>
      </w:r>
      <w:r>
        <w:rPr>
          <w:rFonts w:asciiTheme="majorHAnsi" w:hAnsiTheme="majorHAnsi" w:cstheme="majorHAnsi"/>
          <w:color w:val="000000" w:themeColor="text1"/>
        </w:rPr>
        <w:t>of</w:t>
      </w:r>
      <w:r w:rsidRPr="00791EAF">
        <w:rPr>
          <w:rFonts w:asciiTheme="majorHAnsi" w:hAnsiTheme="majorHAnsi" w:cstheme="majorHAnsi"/>
          <w:color w:val="000000" w:themeColor="text1"/>
        </w:rPr>
        <w:t xml:space="preserve"> the different Program interventions</w:t>
      </w:r>
      <w:r>
        <w:rPr>
          <w:rFonts w:asciiTheme="majorHAnsi" w:hAnsiTheme="majorHAnsi" w:cstheme="majorHAnsi"/>
          <w:color w:val="000000" w:themeColor="text1"/>
        </w:rPr>
        <w:t>,</w:t>
      </w:r>
      <w:r w:rsidRPr="00791EAF">
        <w:rPr>
          <w:rFonts w:asciiTheme="majorHAnsi" w:hAnsiTheme="majorHAnsi" w:cstheme="majorHAnsi"/>
          <w:color w:val="000000" w:themeColor="text1"/>
        </w:rPr>
        <w:t xml:space="preserve"> making it appear that each intervention was being implemented as a stand-alone</w:t>
      </w:r>
      <w:r>
        <w:rPr>
          <w:rFonts w:asciiTheme="majorHAnsi" w:hAnsiTheme="majorHAnsi" w:cstheme="majorHAnsi"/>
          <w:color w:val="000000" w:themeColor="text1"/>
        </w:rPr>
        <w:t xml:space="preserve">. To amplify this point, the experience of Classroom Construction (CC) is presented. </w:t>
      </w:r>
      <w:r>
        <w:rPr>
          <w:rFonts w:asciiTheme="majorHAnsi" w:hAnsiTheme="majorHAnsi" w:cstheme="majorHAnsi"/>
        </w:rPr>
        <w:t>In the initial years of implementation of the CC, PBSP supplemented its interventions with capacity building to enrich the provision of physical resources.</w:t>
      </w:r>
      <w:r w:rsidR="00D434EB">
        <w:rPr>
          <w:rFonts w:asciiTheme="majorHAnsi" w:hAnsiTheme="majorHAnsi" w:cstheme="majorHAnsi"/>
        </w:rPr>
        <w:t xml:space="preserve"> </w:t>
      </w:r>
      <w:r>
        <w:rPr>
          <w:rFonts w:asciiTheme="majorHAnsi" w:hAnsiTheme="majorHAnsi" w:cstheme="majorHAnsi"/>
        </w:rPr>
        <w:t>However, the BEST Program decided to stop this practice noting that capacity building falls under one of the other Program interventions (either PPMES or OD).</w:t>
      </w:r>
      <w:r w:rsidR="00D434EB">
        <w:rPr>
          <w:rFonts w:asciiTheme="majorHAnsi" w:hAnsiTheme="majorHAnsi" w:cstheme="majorHAnsi"/>
        </w:rPr>
        <w:t xml:space="preserve"> </w:t>
      </w:r>
      <w:r>
        <w:rPr>
          <w:rFonts w:asciiTheme="majorHAnsi" w:hAnsiTheme="majorHAnsi" w:cstheme="majorHAnsi"/>
        </w:rPr>
        <w:t xml:space="preserve">But when PBSP dropped capacity building for the schools receiving classroom construction, it was not picked up by the other </w:t>
      </w:r>
      <w:r w:rsidRPr="00DE05F4">
        <w:rPr>
          <w:rFonts w:asciiTheme="majorHAnsi" w:hAnsiTheme="majorHAnsi" w:cstheme="majorHAnsi"/>
        </w:rPr>
        <w:t>interventions</w:t>
      </w:r>
      <w:r>
        <w:rPr>
          <w:rFonts w:asciiTheme="majorHAnsi" w:hAnsiTheme="majorHAnsi" w:cstheme="majorHAnsi"/>
        </w:rPr>
        <w:t>.</w:t>
      </w:r>
      <w:r w:rsidR="00D434EB">
        <w:rPr>
          <w:rFonts w:asciiTheme="majorHAnsi" w:hAnsiTheme="majorHAnsi" w:cstheme="majorHAnsi"/>
        </w:rPr>
        <w:t xml:space="preserve"> </w:t>
      </w:r>
    </w:p>
    <w:p w14:paraId="519D5DCB" w14:textId="2B6CDAEF" w:rsidR="008D0CAD" w:rsidRPr="00D237BE" w:rsidRDefault="008D0CAD" w:rsidP="00671524">
      <w:pPr>
        <w:spacing w:before="100" w:beforeAutospacing="1" w:after="100" w:afterAutospacing="1" w:line="360" w:lineRule="auto"/>
        <w:rPr>
          <w:rFonts w:asciiTheme="majorHAnsi" w:hAnsiTheme="majorHAnsi" w:cstheme="majorHAnsi"/>
          <w:color w:val="000000" w:themeColor="text1"/>
        </w:rPr>
      </w:pPr>
      <w:r w:rsidRPr="00D237BE">
        <w:rPr>
          <w:rFonts w:asciiTheme="majorHAnsi" w:hAnsiTheme="majorHAnsi" w:cstheme="majorHAnsi"/>
        </w:rPr>
        <w:t>Of the 106 schools in the sample in the original study, only 8 (7.5 per cent) received two or more BEST interventions.</w:t>
      </w:r>
      <w:r w:rsidR="00D434EB">
        <w:rPr>
          <w:rFonts w:asciiTheme="majorHAnsi" w:hAnsiTheme="majorHAnsi" w:cstheme="majorHAnsi"/>
        </w:rPr>
        <w:t xml:space="preserve"> </w:t>
      </w:r>
      <w:r w:rsidRPr="00D237BE">
        <w:rPr>
          <w:rFonts w:asciiTheme="majorHAnsi" w:hAnsiTheme="majorHAnsi" w:cstheme="majorHAnsi"/>
        </w:rPr>
        <w:t xml:space="preserve">Three schools in the 106 sample received classroom construction and of these </w:t>
      </w:r>
      <w:r>
        <w:rPr>
          <w:rFonts w:asciiTheme="majorHAnsi" w:hAnsiTheme="majorHAnsi" w:cstheme="majorHAnsi"/>
        </w:rPr>
        <w:t xml:space="preserve">one </w:t>
      </w:r>
      <w:r w:rsidRPr="00D237BE">
        <w:rPr>
          <w:rFonts w:asciiTheme="majorHAnsi" w:hAnsiTheme="majorHAnsi" w:cstheme="majorHAnsi"/>
        </w:rPr>
        <w:t xml:space="preserve">was </w:t>
      </w:r>
      <w:r w:rsidRPr="00D237BE">
        <w:rPr>
          <w:rFonts w:asciiTheme="majorHAnsi" w:hAnsiTheme="majorHAnsi" w:cstheme="majorHAnsi"/>
          <w:color w:val="000000" w:themeColor="text1"/>
        </w:rPr>
        <w:t>supplemented by capacity building.</w:t>
      </w:r>
      <w:r w:rsidR="00D434EB">
        <w:rPr>
          <w:rFonts w:asciiTheme="majorHAnsi" w:hAnsiTheme="majorHAnsi" w:cstheme="majorHAnsi"/>
          <w:color w:val="000000" w:themeColor="text1"/>
        </w:rPr>
        <w:t xml:space="preserve"> </w:t>
      </w:r>
      <w:r w:rsidRPr="00D237BE">
        <w:rPr>
          <w:rFonts w:asciiTheme="majorHAnsi" w:hAnsiTheme="majorHAnsi" w:cstheme="majorHAnsi"/>
          <w:color w:val="000000" w:themeColor="text1"/>
        </w:rPr>
        <w:t>Thus, the mechanism to deepen and sustain the partnerships and a mechanism to build on each other’s inputs was inadequate and this may have contributed to the reduction of the attainment of the EOPOs.</w:t>
      </w:r>
    </w:p>
    <w:p w14:paraId="1D2410D6" w14:textId="75CB432C" w:rsidR="008D0CAD" w:rsidRPr="007453CF" w:rsidRDefault="008D0CAD" w:rsidP="00671524">
      <w:pPr>
        <w:spacing w:before="100" w:beforeAutospacing="1" w:after="100" w:afterAutospacing="1" w:line="360" w:lineRule="auto"/>
        <w:rPr>
          <w:rFonts w:asciiTheme="majorHAnsi" w:hAnsiTheme="majorHAnsi" w:cstheme="majorHAnsi"/>
          <w:color w:val="000000" w:themeColor="text1"/>
          <w:shd w:val="clear" w:color="auto" w:fill="FFFFFF"/>
        </w:rPr>
      </w:pPr>
      <w:r w:rsidRPr="008103D4">
        <w:rPr>
          <w:rFonts w:asciiTheme="majorHAnsi" w:hAnsiTheme="majorHAnsi" w:cstheme="majorHAnsi"/>
          <w:color w:val="000000" w:themeColor="text1"/>
          <w:shd w:val="clear" w:color="auto" w:fill="FFFFFF"/>
        </w:rPr>
        <w:t xml:space="preserve">According to one RO respondent, there is a need </w:t>
      </w:r>
      <w:r w:rsidRPr="008103D4">
        <w:rPr>
          <w:rFonts w:asciiTheme="majorHAnsi" w:hAnsiTheme="majorHAnsi" w:cstheme="majorHAnsi"/>
          <w:color w:val="000000" w:themeColor="text1"/>
        </w:rPr>
        <w:t>to level the understanding between CO and ROs noting that “</w:t>
      </w:r>
      <w:r w:rsidRPr="008103D4">
        <w:rPr>
          <w:rFonts w:asciiTheme="majorHAnsi" w:hAnsiTheme="majorHAnsi" w:cstheme="majorHAnsi"/>
          <w:i/>
          <w:color w:val="000000" w:themeColor="text1"/>
          <w:shd w:val="clear" w:color="auto" w:fill="FFFFFF"/>
        </w:rPr>
        <w:t>I think that is the area that we need to strengthen – the levelling of understanding</w:t>
      </w:r>
      <w:r w:rsidR="00FA24AA">
        <w:rPr>
          <w:rFonts w:asciiTheme="majorHAnsi" w:hAnsiTheme="majorHAnsi" w:cstheme="majorHAnsi"/>
          <w:i/>
          <w:color w:val="000000" w:themeColor="text1"/>
          <w:shd w:val="clear" w:color="auto" w:fill="FFFFFF"/>
        </w:rPr>
        <w:t>…</w:t>
      </w:r>
      <w:r w:rsidRPr="008103D4">
        <w:rPr>
          <w:rFonts w:asciiTheme="majorHAnsi" w:hAnsiTheme="majorHAnsi" w:cstheme="majorHAnsi"/>
          <w:i/>
          <w:color w:val="000000" w:themeColor="text1"/>
          <w:shd w:val="clear" w:color="auto" w:fill="FFFFFF"/>
        </w:rPr>
        <w:t xml:space="preserve"> </w:t>
      </w:r>
      <w:r w:rsidRPr="00170323">
        <w:rPr>
          <w:rFonts w:asciiTheme="majorHAnsi" w:hAnsiTheme="majorHAnsi" w:cstheme="majorHAnsi"/>
          <w:i/>
          <w:color w:val="000000" w:themeColor="text1"/>
          <w:shd w:val="clear" w:color="auto" w:fill="FFFFFF"/>
        </w:rPr>
        <w:t>In fact, the region right now is proud to have adopted the MEA system and that it is now being implemented down to the school level.</w:t>
      </w:r>
      <w:r w:rsidRPr="0055200F">
        <w:rPr>
          <w:rFonts w:asciiTheme="majorHAnsi" w:hAnsiTheme="majorHAnsi" w:cstheme="majorHAnsi"/>
          <w:color w:val="000000" w:themeColor="text1"/>
          <w:shd w:val="clear" w:color="auto" w:fill="FFFFFF"/>
        </w:rPr>
        <w:t>”</w:t>
      </w:r>
    </w:p>
    <w:p w14:paraId="0BA69E4A" w14:textId="77777777" w:rsidR="008D0CAD" w:rsidRPr="004E53E1" w:rsidRDefault="008D0CAD" w:rsidP="008C061C">
      <w:pPr>
        <w:pStyle w:val="Heading6"/>
      </w:pPr>
      <w:r>
        <w:t>Ineffective</w:t>
      </w:r>
      <w:r w:rsidRPr="006139E5">
        <w:t xml:space="preserve"> Program M&amp;E system</w:t>
      </w:r>
    </w:p>
    <w:p w14:paraId="1213275F" w14:textId="4D5A1B62" w:rsidR="008D0CAD" w:rsidRPr="00BB66A8" w:rsidRDefault="008D0CAD" w:rsidP="00671524">
      <w:pPr>
        <w:pStyle w:val="NormalWeb"/>
        <w:spacing w:line="360" w:lineRule="auto"/>
        <w:rPr>
          <w:rFonts w:asciiTheme="majorHAnsi" w:hAnsiTheme="majorHAnsi" w:cstheme="majorHAnsi"/>
          <w:color w:val="000000" w:themeColor="text1"/>
        </w:rPr>
      </w:pPr>
      <w:r>
        <w:rPr>
          <w:rFonts w:asciiTheme="majorHAnsi" w:hAnsiTheme="majorHAnsi" w:cstheme="majorHAnsi"/>
          <w:color w:val="000000" w:themeColor="text1"/>
        </w:rPr>
        <w:t xml:space="preserve">The EOPE Study found serious weaknesses with the BEST Program’s </w:t>
      </w:r>
      <w:r w:rsidRPr="0016420E">
        <w:rPr>
          <w:rFonts w:asciiTheme="majorHAnsi" w:hAnsiTheme="majorHAnsi" w:cstheme="majorHAnsi"/>
          <w:color w:val="000000" w:themeColor="text1"/>
        </w:rPr>
        <w:t xml:space="preserve">M&amp;E </w:t>
      </w:r>
      <w:r>
        <w:rPr>
          <w:rFonts w:asciiTheme="majorHAnsi" w:hAnsiTheme="majorHAnsi" w:cstheme="majorHAnsi"/>
          <w:color w:val="000000" w:themeColor="text1"/>
        </w:rPr>
        <w:t>S</w:t>
      </w:r>
      <w:r w:rsidRPr="0016420E">
        <w:rPr>
          <w:rFonts w:asciiTheme="majorHAnsi" w:hAnsiTheme="majorHAnsi" w:cstheme="majorHAnsi"/>
          <w:color w:val="000000" w:themeColor="text1"/>
        </w:rPr>
        <w:t>ystem</w:t>
      </w:r>
      <w:r>
        <w:rPr>
          <w:rFonts w:asciiTheme="majorHAnsi" w:hAnsiTheme="majorHAnsi" w:cstheme="majorHAnsi"/>
          <w:color w:val="000000" w:themeColor="text1"/>
        </w:rPr>
        <w:t>, a problem which had also been identified in the Independent Progress Review (IPR).</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The IPR noted that t</w:t>
      </w:r>
      <w:r w:rsidRPr="00106498">
        <w:rPr>
          <w:rFonts w:asciiTheme="majorHAnsi" w:hAnsiTheme="majorHAnsi" w:cstheme="majorHAnsi"/>
        </w:rPr>
        <w:t xml:space="preserve">he </w:t>
      </w:r>
      <w:r>
        <w:rPr>
          <w:rFonts w:asciiTheme="majorHAnsi" w:hAnsiTheme="majorHAnsi" w:cstheme="majorHAnsi"/>
        </w:rPr>
        <w:t xml:space="preserve">BEST Program </w:t>
      </w:r>
      <w:r w:rsidRPr="00106498">
        <w:rPr>
          <w:rFonts w:asciiTheme="majorHAnsi" w:hAnsiTheme="majorHAnsi" w:cstheme="majorHAnsi"/>
        </w:rPr>
        <w:t xml:space="preserve">M&amp;E system </w:t>
      </w:r>
      <w:r>
        <w:rPr>
          <w:rFonts w:asciiTheme="majorHAnsi" w:hAnsiTheme="majorHAnsi" w:cstheme="majorHAnsi"/>
        </w:rPr>
        <w:t>“</w:t>
      </w:r>
      <w:r w:rsidRPr="00BB66A8">
        <w:rPr>
          <w:rFonts w:asciiTheme="majorHAnsi" w:hAnsiTheme="majorHAnsi" w:cstheme="majorHAnsi"/>
          <w:i/>
        </w:rPr>
        <w:t xml:space="preserve">has not been adequately implemented to report on the contributions DFAT has made towards achieving intermediate or end of program outcomes (EOPO). While the contributions to institutional M&amp;E established for </w:t>
      </w:r>
      <w:r>
        <w:rPr>
          <w:rFonts w:asciiTheme="majorHAnsi" w:hAnsiTheme="majorHAnsi" w:cstheme="majorHAnsi"/>
          <w:i/>
        </w:rPr>
        <w:t>DepEd</w:t>
      </w:r>
      <w:r w:rsidRPr="00BB66A8">
        <w:rPr>
          <w:rFonts w:asciiTheme="majorHAnsi" w:hAnsiTheme="majorHAnsi" w:cstheme="majorHAnsi"/>
          <w:i/>
        </w:rPr>
        <w:t xml:space="preserve"> have been extensive, the M&amp;E needed for accountability, transparency and learning, from DFAT’s perspective, has not been as useful</w:t>
      </w:r>
      <w:r>
        <w:rPr>
          <w:rFonts w:asciiTheme="majorHAnsi" w:hAnsiTheme="majorHAnsi" w:cstheme="majorHAnsi"/>
          <w:i/>
        </w:rPr>
        <w:t>”</w:t>
      </w:r>
      <w:r w:rsidRPr="00BB66A8">
        <w:rPr>
          <w:rFonts w:asciiTheme="majorHAnsi" w:hAnsiTheme="majorHAnsi" w:cstheme="majorHAnsi"/>
          <w:i/>
        </w:rPr>
        <w:t xml:space="preserve"> </w:t>
      </w:r>
      <w:r>
        <w:rPr>
          <w:rFonts w:asciiTheme="majorHAnsi" w:hAnsiTheme="majorHAnsi" w:cstheme="majorHAnsi"/>
        </w:rPr>
        <w:t>(Cardno, 2018, p. 25).</w:t>
      </w:r>
    </w:p>
    <w:p w14:paraId="03DA1A9E" w14:textId="77777777" w:rsidR="008D0CAD" w:rsidRDefault="008D0CAD" w:rsidP="00671524">
      <w:pPr>
        <w:pStyle w:val="NormalWeb"/>
        <w:spacing w:line="360" w:lineRule="auto"/>
        <w:rPr>
          <w:rFonts w:asciiTheme="majorHAnsi" w:hAnsiTheme="majorHAnsi" w:cstheme="majorHAnsi"/>
          <w:color w:val="000000" w:themeColor="text1"/>
        </w:rPr>
      </w:pPr>
      <w:r>
        <w:rPr>
          <w:rFonts w:asciiTheme="majorHAnsi" w:hAnsiTheme="majorHAnsi" w:cstheme="majorHAnsi"/>
          <w:color w:val="000000" w:themeColor="text1"/>
        </w:rPr>
        <w:t>These M&amp;E issues include the following: the difficulty of obtaining a master list of training programs conducted under the BEST Program; and the difficult time getting program documents other than the Annual Plans and the SMPRs.</w:t>
      </w:r>
    </w:p>
    <w:p w14:paraId="613BCE3A" w14:textId="77777777" w:rsidR="008D0CAD" w:rsidRDefault="008D0CAD" w:rsidP="00671524">
      <w:pPr>
        <w:pStyle w:val="NormalWeb"/>
        <w:spacing w:line="360" w:lineRule="auto"/>
        <w:rPr>
          <w:rFonts w:asciiTheme="majorHAnsi" w:hAnsiTheme="majorHAnsi" w:cstheme="majorHAnsi"/>
        </w:rPr>
      </w:pPr>
      <w:r>
        <w:rPr>
          <w:rFonts w:asciiTheme="majorHAnsi" w:hAnsiTheme="majorHAnsi" w:cstheme="majorHAnsi"/>
        </w:rPr>
        <w:t>The IPR stated that “</w:t>
      </w:r>
      <w:r w:rsidRPr="00844ABC">
        <w:rPr>
          <w:rFonts w:asciiTheme="majorHAnsi" w:hAnsiTheme="majorHAnsi" w:cstheme="majorHAnsi"/>
          <w:i/>
        </w:rPr>
        <w:t>I</w:t>
      </w:r>
      <w:r w:rsidRPr="009B1BD0">
        <w:rPr>
          <w:rFonts w:asciiTheme="majorHAnsi" w:hAnsiTheme="majorHAnsi" w:cstheme="majorHAnsi"/>
          <w:i/>
        </w:rPr>
        <w:t>n the absence of a fully functioning M&amp;E system and PSCO for monitoring and verification, the BEST team compiled six monthly progress reports</w:t>
      </w:r>
      <w:r w:rsidRPr="00844ABC">
        <w:rPr>
          <w:rFonts w:asciiTheme="majorHAnsi" w:hAnsiTheme="majorHAnsi" w:cstheme="majorHAnsi"/>
          <w:i/>
        </w:rPr>
        <w:t xml:space="preserve"> </w:t>
      </w:r>
      <w:r w:rsidRPr="009B1BD0">
        <w:rPr>
          <w:rFonts w:asciiTheme="majorHAnsi" w:hAnsiTheme="majorHAnsi" w:cstheme="majorHAnsi"/>
          <w:i/>
        </w:rPr>
        <w:t>based on feedback from the Technical Specialists</w:t>
      </w:r>
      <w:r>
        <w:rPr>
          <w:rFonts w:asciiTheme="majorHAnsi" w:hAnsiTheme="majorHAnsi" w:cstheme="majorHAnsi"/>
        </w:rPr>
        <w:t>.</w:t>
      </w:r>
      <w:r w:rsidRPr="009B1BD0">
        <w:rPr>
          <w:rFonts w:asciiTheme="majorHAnsi" w:hAnsiTheme="majorHAnsi" w:cstheme="majorHAnsi"/>
          <w:position w:val="8"/>
        </w:rPr>
        <w:t xml:space="preserve"> </w:t>
      </w:r>
      <w:r>
        <w:rPr>
          <w:rFonts w:asciiTheme="majorHAnsi" w:hAnsiTheme="majorHAnsi" w:cstheme="majorHAnsi"/>
        </w:rPr>
        <w:t>[However]</w:t>
      </w:r>
      <w:r w:rsidRPr="009B1BD0">
        <w:rPr>
          <w:rFonts w:asciiTheme="majorHAnsi" w:hAnsiTheme="majorHAnsi" w:cstheme="majorHAnsi"/>
        </w:rPr>
        <w:t>, most reporting was focused on documenting activities and outputs (e.g. number of documents produced, number of people trained etc</w:t>
      </w:r>
      <w:r>
        <w:rPr>
          <w:rFonts w:asciiTheme="majorHAnsi" w:hAnsiTheme="majorHAnsi" w:cstheme="majorHAnsi"/>
        </w:rPr>
        <w:t>.</w:t>
      </w:r>
      <w:r w:rsidRPr="009B1BD0">
        <w:rPr>
          <w:rFonts w:asciiTheme="majorHAnsi" w:hAnsiTheme="majorHAnsi" w:cstheme="majorHAnsi"/>
        </w:rPr>
        <w:t>)</w:t>
      </w:r>
      <w:r w:rsidRPr="00844ABC">
        <w:rPr>
          <w:rFonts w:asciiTheme="majorHAnsi" w:hAnsiTheme="majorHAnsi" w:cstheme="majorHAnsi"/>
        </w:rPr>
        <w:t xml:space="preserve"> </w:t>
      </w:r>
      <w:r>
        <w:rPr>
          <w:rFonts w:asciiTheme="majorHAnsi" w:hAnsiTheme="majorHAnsi" w:cstheme="majorHAnsi"/>
        </w:rPr>
        <w:t>(Cardno, 2018, p. 27).</w:t>
      </w:r>
    </w:p>
    <w:p w14:paraId="4E637511" w14:textId="1F2DFAE9" w:rsidR="008D0CAD" w:rsidRDefault="008D0CAD" w:rsidP="00671524">
      <w:pPr>
        <w:pStyle w:val="NormalWeb"/>
        <w:spacing w:line="360" w:lineRule="auto"/>
        <w:rPr>
          <w:rFonts w:asciiTheme="majorHAnsi" w:hAnsiTheme="majorHAnsi" w:cstheme="majorHAnsi"/>
          <w:color w:val="000000" w:themeColor="text1"/>
        </w:rPr>
      </w:pPr>
      <w:r>
        <w:rPr>
          <w:rFonts w:asciiTheme="majorHAnsi" w:hAnsiTheme="majorHAnsi" w:cstheme="majorHAnsi"/>
          <w:color w:val="000000" w:themeColor="text1"/>
        </w:rPr>
        <w:t xml:space="preserve">This finding was validated in the EOPE Study. As part of its desk review, the EOPE Study attempted to assess the Program’s progress towards its EOPOs by comparing the </w:t>
      </w:r>
      <w:r w:rsidRPr="009B1BD0">
        <w:rPr>
          <w:rFonts w:asciiTheme="majorHAnsi" w:hAnsiTheme="majorHAnsi" w:cstheme="majorHAnsi"/>
        </w:rPr>
        <w:t>six</w:t>
      </w:r>
      <w:r>
        <w:rPr>
          <w:rFonts w:asciiTheme="majorHAnsi" w:hAnsiTheme="majorHAnsi" w:cstheme="majorHAnsi"/>
        </w:rPr>
        <w:t>-</w:t>
      </w:r>
      <w:r w:rsidRPr="009B1BD0">
        <w:rPr>
          <w:rFonts w:asciiTheme="majorHAnsi" w:hAnsiTheme="majorHAnsi" w:cstheme="majorHAnsi"/>
        </w:rPr>
        <w:t>month progress reports</w:t>
      </w:r>
      <w:r>
        <w:rPr>
          <w:rFonts w:asciiTheme="majorHAnsi" w:hAnsiTheme="majorHAnsi" w:cstheme="majorHAnsi"/>
        </w:rPr>
        <w:t xml:space="preserve"> (</w:t>
      </w:r>
      <w:r>
        <w:rPr>
          <w:rFonts w:asciiTheme="majorHAnsi" w:hAnsiTheme="majorHAnsi" w:cstheme="majorHAnsi"/>
          <w:color w:val="000000" w:themeColor="text1"/>
        </w:rPr>
        <w:t>SMPRs) against the Annual Plans (APs).</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The EOPE Study Team compared the activities and outputs indicated in the Annual Plans vis-à-vis the corresponding SMPRs.</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However, after completing this the Study was only able to validate completion of 83 per cent of activities indicated in the Annual Plans. The difficulty in assessment pointed to the different frameworks, templates and terminology used in the APs and the SMPRs. Moreover, reporting was not consistent.</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For instance, there were sometimes quantitative targets included in the APs (such number of Superintendents trained) but no equivalent quantitative accomplishments reported in the SMPRs.</w:t>
      </w:r>
    </w:p>
    <w:p w14:paraId="588ED987" w14:textId="7F3DE9C6" w:rsidR="008D0CAD" w:rsidRDefault="008D0CAD" w:rsidP="00671524">
      <w:pPr>
        <w:pStyle w:val="NormalWeb"/>
        <w:spacing w:line="360" w:lineRule="auto"/>
        <w:rPr>
          <w:rFonts w:asciiTheme="majorHAnsi" w:hAnsiTheme="majorHAnsi" w:cstheme="majorHAnsi"/>
          <w:color w:val="000000" w:themeColor="text1"/>
        </w:rPr>
      </w:pPr>
      <w:r>
        <w:rPr>
          <w:rFonts w:asciiTheme="majorHAnsi" w:hAnsiTheme="majorHAnsi" w:cstheme="majorHAnsi"/>
          <w:color w:val="000000" w:themeColor="text1"/>
        </w:rPr>
        <w:t xml:space="preserve">Another hindering factor was the poor state of </w:t>
      </w:r>
      <w:r w:rsidRPr="00A24784">
        <w:rPr>
          <w:rFonts w:asciiTheme="majorHAnsi" w:hAnsiTheme="majorHAnsi" w:cstheme="majorHAnsi"/>
          <w:color w:val="000000" w:themeColor="text1"/>
        </w:rPr>
        <w:t>data</w:t>
      </w:r>
      <w:r>
        <w:rPr>
          <w:rFonts w:asciiTheme="majorHAnsi" w:hAnsiTheme="majorHAnsi" w:cstheme="majorHAnsi"/>
          <w:color w:val="000000" w:themeColor="text1"/>
        </w:rPr>
        <w:t xml:space="preserve"> and </w:t>
      </w:r>
      <w:r w:rsidRPr="00A24784">
        <w:rPr>
          <w:rFonts w:asciiTheme="majorHAnsi" w:hAnsiTheme="majorHAnsi" w:cstheme="majorHAnsi"/>
          <w:color w:val="000000" w:themeColor="text1"/>
        </w:rPr>
        <w:t>records management</w:t>
      </w:r>
      <w:r>
        <w:rPr>
          <w:rFonts w:asciiTheme="majorHAnsi" w:hAnsiTheme="majorHAnsi" w:cstheme="majorHAnsi"/>
          <w:color w:val="000000" w:themeColor="text1"/>
        </w:rPr>
        <w:t xml:space="preserve"> in some schools included in the sample study.</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Many data were missing, and no backup was available.</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Electronic files were not centralised, and it was difficulty to acquire the files because different people held different files.</w:t>
      </w:r>
    </w:p>
    <w:p w14:paraId="7B3BED66" w14:textId="77777777" w:rsidR="008D0CAD" w:rsidRPr="00C00DC8" w:rsidRDefault="008D0CAD" w:rsidP="00671524">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color w:val="000000" w:themeColor="text1"/>
        </w:rPr>
        <w:t>This also pertains to the failure to establish the before and after situations of the Agency (i.e., baselines, not only in terms of education indicators, but in terms of the Agency beliefs and practices.</w:t>
      </w:r>
    </w:p>
    <w:p w14:paraId="450F6EB2" w14:textId="56818CCD" w:rsidR="008D0CAD" w:rsidRPr="00EC58EC" w:rsidRDefault="008D0CAD" w:rsidP="007B6836">
      <w:pPr>
        <w:pStyle w:val="Heading4"/>
        <w:numPr>
          <w:ilvl w:val="2"/>
          <w:numId w:val="38"/>
        </w:numPr>
        <w:spacing w:before="100" w:beforeAutospacing="1" w:after="100" w:afterAutospacing="1" w:line="360" w:lineRule="auto"/>
        <w:ind w:left="1418"/>
      </w:pPr>
      <w:r w:rsidRPr="003309BE">
        <w:t>System-level factors</w:t>
      </w:r>
    </w:p>
    <w:p w14:paraId="7C167A40" w14:textId="373A8858" w:rsidR="008D0CAD" w:rsidRDefault="008D0CAD" w:rsidP="007B6836">
      <w:pPr>
        <w:pStyle w:val="Heading5"/>
        <w:numPr>
          <w:ilvl w:val="3"/>
          <w:numId w:val="38"/>
        </w:numPr>
        <w:spacing w:before="100" w:beforeAutospacing="1" w:after="100" w:afterAutospacing="1" w:line="360" w:lineRule="auto"/>
      </w:pPr>
      <w:r>
        <w:t>Facilitating Factors</w:t>
      </w:r>
    </w:p>
    <w:p w14:paraId="055CF66B" w14:textId="77777777" w:rsidR="008D0CAD" w:rsidRPr="009521B7" w:rsidRDefault="008D0CAD" w:rsidP="008C061C">
      <w:pPr>
        <w:pStyle w:val="Heading6"/>
      </w:pPr>
      <w:r w:rsidRPr="00EC58EC">
        <w:t>Quality of the technical experts</w:t>
      </w:r>
    </w:p>
    <w:p w14:paraId="5A662270" w14:textId="053E5E9F" w:rsidR="008D0CAD" w:rsidRDefault="008D0CAD" w:rsidP="007B6836">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rPr>
        <w:t>The m</w:t>
      </w:r>
      <w:r w:rsidRPr="00F87C2F">
        <w:rPr>
          <w:rFonts w:asciiTheme="majorHAnsi" w:hAnsiTheme="majorHAnsi" w:cstheme="majorHAnsi"/>
        </w:rPr>
        <w:t xml:space="preserve">ajority of the </w:t>
      </w:r>
      <w:r>
        <w:rPr>
          <w:rFonts w:asciiTheme="majorHAnsi" w:hAnsiTheme="majorHAnsi" w:cstheme="majorHAnsi"/>
        </w:rPr>
        <w:t xml:space="preserve">CO, RO and DO respondents claimed that </w:t>
      </w:r>
      <w:r>
        <w:rPr>
          <w:rFonts w:asciiTheme="majorHAnsi" w:hAnsiTheme="majorHAnsi" w:cstheme="majorHAnsi"/>
          <w:color w:val="000000" w:themeColor="text1"/>
        </w:rPr>
        <w:t>t</w:t>
      </w:r>
      <w:r w:rsidRPr="00B647EB">
        <w:rPr>
          <w:rFonts w:asciiTheme="majorHAnsi" w:hAnsiTheme="majorHAnsi" w:cstheme="majorHAnsi"/>
          <w:color w:val="000000" w:themeColor="text1"/>
        </w:rPr>
        <w:t xml:space="preserve">he </w:t>
      </w:r>
      <w:r>
        <w:rPr>
          <w:rFonts w:asciiTheme="majorHAnsi" w:hAnsiTheme="majorHAnsi" w:cstheme="majorHAnsi"/>
          <w:color w:val="000000" w:themeColor="text1"/>
        </w:rPr>
        <w:t>provision of highly competent (and thus more expensive) technical experts by the BEST Program enabled DepEd to generate quality outputs such as the K to 12 curriculum guides and the 21</w:t>
      </w:r>
      <w:r w:rsidRPr="00461D95">
        <w:rPr>
          <w:rFonts w:asciiTheme="majorHAnsi" w:hAnsiTheme="majorHAnsi" w:cstheme="majorHAnsi"/>
          <w:color w:val="000000" w:themeColor="text1"/>
          <w:vertAlign w:val="superscript"/>
        </w:rPr>
        <w:t>st</w:t>
      </w:r>
      <w:r>
        <w:rPr>
          <w:rFonts w:asciiTheme="majorHAnsi" w:hAnsiTheme="majorHAnsi" w:cstheme="majorHAnsi"/>
          <w:color w:val="000000" w:themeColor="text1"/>
        </w:rPr>
        <w:t xml:space="preserve"> century national assessment system.</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 </w:t>
      </w:r>
    </w:p>
    <w:p w14:paraId="1B440C0A" w14:textId="318BAEC3" w:rsidR="008D0CAD" w:rsidRDefault="008D0CAD" w:rsidP="007B6836">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color w:val="000000" w:themeColor="text1"/>
        </w:rPr>
        <w:t>Although it was acknowledged that DepEd also has the capacity</w:t>
      </w:r>
      <w:r w:rsidRPr="00683A83">
        <w:rPr>
          <w:rFonts w:asciiTheme="majorHAnsi" w:hAnsiTheme="majorHAnsi" w:cstheme="majorHAnsi"/>
          <w:color w:val="000000" w:themeColor="text1"/>
        </w:rPr>
        <w:t xml:space="preserve"> to </w:t>
      </w:r>
      <w:r>
        <w:rPr>
          <w:rFonts w:asciiTheme="majorHAnsi" w:hAnsiTheme="majorHAnsi" w:cstheme="majorHAnsi"/>
          <w:color w:val="000000" w:themeColor="text1"/>
        </w:rPr>
        <w:t>engage</w:t>
      </w:r>
      <w:r w:rsidRPr="00683A83">
        <w:rPr>
          <w:rFonts w:asciiTheme="majorHAnsi" w:hAnsiTheme="majorHAnsi" w:cstheme="majorHAnsi"/>
          <w:color w:val="000000" w:themeColor="text1"/>
        </w:rPr>
        <w:t xml:space="preserve"> highly competent and well-meaning </w:t>
      </w:r>
      <w:r>
        <w:rPr>
          <w:rFonts w:asciiTheme="majorHAnsi" w:hAnsiTheme="majorHAnsi" w:cstheme="majorHAnsi"/>
          <w:color w:val="000000" w:themeColor="text1"/>
        </w:rPr>
        <w:t>t</w:t>
      </w:r>
      <w:r w:rsidRPr="00683A83">
        <w:rPr>
          <w:rFonts w:asciiTheme="majorHAnsi" w:hAnsiTheme="majorHAnsi" w:cstheme="majorHAnsi"/>
          <w:color w:val="000000" w:themeColor="text1"/>
        </w:rPr>
        <w:t xml:space="preserve">echnical </w:t>
      </w:r>
      <w:r>
        <w:rPr>
          <w:rFonts w:asciiTheme="majorHAnsi" w:hAnsiTheme="majorHAnsi" w:cstheme="majorHAnsi"/>
          <w:color w:val="000000" w:themeColor="text1"/>
        </w:rPr>
        <w:t>e</w:t>
      </w:r>
      <w:r w:rsidRPr="00683A83">
        <w:rPr>
          <w:rFonts w:asciiTheme="majorHAnsi" w:hAnsiTheme="majorHAnsi" w:cstheme="majorHAnsi"/>
          <w:color w:val="000000" w:themeColor="text1"/>
        </w:rPr>
        <w:t>xperts</w:t>
      </w:r>
      <w:r>
        <w:rPr>
          <w:rFonts w:asciiTheme="majorHAnsi" w:hAnsiTheme="majorHAnsi" w:cstheme="majorHAnsi"/>
          <w:color w:val="000000" w:themeColor="text1"/>
        </w:rPr>
        <w:t>,</w:t>
      </w:r>
      <w:r w:rsidRPr="00683A83">
        <w:rPr>
          <w:rFonts w:asciiTheme="majorHAnsi" w:hAnsiTheme="majorHAnsi" w:cstheme="majorHAnsi"/>
          <w:color w:val="000000" w:themeColor="text1"/>
        </w:rPr>
        <w:t xml:space="preserve"> who are willing </w:t>
      </w:r>
      <w:r>
        <w:rPr>
          <w:rFonts w:asciiTheme="majorHAnsi" w:hAnsiTheme="majorHAnsi" w:cstheme="majorHAnsi"/>
          <w:color w:val="000000" w:themeColor="text1"/>
        </w:rPr>
        <w:t>provide their assistance to the</w:t>
      </w:r>
      <w:r w:rsidRPr="00683A83">
        <w:rPr>
          <w:rFonts w:asciiTheme="majorHAnsi" w:hAnsiTheme="majorHAnsi" w:cstheme="majorHAnsi"/>
          <w:color w:val="000000" w:themeColor="text1"/>
        </w:rPr>
        <w:t xml:space="preserve"> </w:t>
      </w:r>
      <w:r>
        <w:rPr>
          <w:rFonts w:asciiTheme="majorHAnsi" w:hAnsiTheme="majorHAnsi" w:cstheme="majorHAnsi"/>
          <w:color w:val="000000" w:themeColor="text1"/>
        </w:rPr>
        <w:t>Agency (at a lower cost)</w:t>
      </w:r>
      <w:r w:rsidRPr="00683A83">
        <w:rPr>
          <w:rFonts w:asciiTheme="majorHAnsi" w:hAnsiTheme="majorHAnsi" w:cstheme="majorHAnsi"/>
          <w:color w:val="000000" w:themeColor="text1"/>
        </w:rPr>
        <w:t xml:space="preserve">, these experts </w:t>
      </w:r>
      <w:r>
        <w:rPr>
          <w:rFonts w:asciiTheme="majorHAnsi" w:hAnsiTheme="majorHAnsi" w:cstheme="majorHAnsi"/>
          <w:color w:val="000000" w:themeColor="text1"/>
        </w:rPr>
        <w:t>normally allocate</w:t>
      </w:r>
      <w:r w:rsidRPr="00683A83">
        <w:rPr>
          <w:rFonts w:asciiTheme="majorHAnsi" w:hAnsiTheme="majorHAnsi" w:cstheme="majorHAnsi"/>
          <w:color w:val="000000" w:themeColor="text1"/>
        </w:rPr>
        <w:t xml:space="preserve"> </w:t>
      </w:r>
      <w:r>
        <w:rPr>
          <w:rFonts w:asciiTheme="majorHAnsi" w:hAnsiTheme="majorHAnsi" w:cstheme="majorHAnsi"/>
          <w:color w:val="000000" w:themeColor="text1"/>
        </w:rPr>
        <w:t>limited time</w:t>
      </w:r>
      <w:r w:rsidRPr="00683A83">
        <w:rPr>
          <w:rFonts w:asciiTheme="majorHAnsi" w:hAnsiTheme="majorHAnsi" w:cstheme="majorHAnsi"/>
          <w:color w:val="000000" w:themeColor="text1"/>
        </w:rPr>
        <w:t xml:space="preserve"> f</w:t>
      </w:r>
      <w:r>
        <w:rPr>
          <w:rFonts w:asciiTheme="majorHAnsi" w:hAnsiTheme="majorHAnsi" w:cstheme="majorHAnsi"/>
          <w:color w:val="000000" w:themeColor="text1"/>
        </w:rPr>
        <w:t>or</w:t>
      </w:r>
      <w:r w:rsidRPr="00683A83">
        <w:rPr>
          <w:rFonts w:asciiTheme="majorHAnsi" w:hAnsiTheme="majorHAnsi" w:cstheme="majorHAnsi"/>
          <w:color w:val="000000" w:themeColor="text1"/>
        </w:rPr>
        <w:t xml:space="preserve"> development work.</w:t>
      </w:r>
      <w:r w:rsidR="00D434EB">
        <w:rPr>
          <w:rFonts w:asciiTheme="majorHAnsi" w:hAnsiTheme="majorHAnsi" w:cstheme="majorHAnsi"/>
          <w:color w:val="000000" w:themeColor="text1"/>
        </w:rPr>
        <w:t xml:space="preserve"> </w:t>
      </w:r>
      <w:r w:rsidRPr="00683A83">
        <w:rPr>
          <w:rFonts w:asciiTheme="majorHAnsi" w:hAnsiTheme="majorHAnsi" w:cstheme="majorHAnsi"/>
          <w:color w:val="000000" w:themeColor="text1"/>
        </w:rPr>
        <w:t>Th</w:t>
      </w:r>
      <w:r>
        <w:rPr>
          <w:rFonts w:asciiTheme="majorHAnsi" w:hAnsiTheme="majorHAnsi" w:cstheme="majorHAnsi"/>
          <w:color w:val="000000" w:themeColor="text1"/>
        </w:rPr>
        <w:t xml:space="preserve">e bulk of the work has to be taken up by DepEd’s </w:t>
      </w:r>
      <w:r w:rsidRPr="00683A83">
        <w:rPr>
          <w:rFonts w:asciiTheme="majorHAnsi" w:hAnsiTheme="majorHAnsi" w:cstheme="majorHAnsi"/>
          <w:color w:val="000000" w:themeColor="text1"/>
        </w:rPr>
        <w:t>C</w:t>
      </w:r>
      <w:r>
        <w:rPr>
          <w:rFonts w:asciiTheme="majorHAnsi" w:hAnsiTheme="majorHAnsi" w:cstheme="majorHAnsi"/>
          <w:color w:val="000000" w:themeColor="text1"/>
        </w:rPr>
        <w:t xml:space="preserve">entral </w:t>
      </w:r>
      <w:r w:rsidRPr="00683A83">
        <w:rPr>
          <w:rFonts w:asciiTheme="majorHAnsi" w:hAnsiTheme="majorHAnsi" w:cstheme="majorHAnsi"/>
          <w:color w:val="000000" w:themeColor="text1"/>
        </w:rPr>
        <w:t>O</w:t>
      </w:r>
      <w:r>
        <w:rPr>
          <w:rFonts w:asciiTheme="majorHAnsi" w:hAnsiTheme="majorHAnsi" w:cstheme="majorHAnsi"/>
          <w:color w:val="000000" w:themeColor="text1"/>
        </w:rPr>
        <w:t>ffice</w:t>
      </w:r>
      <w:r w:rsidRPr="00683A83">
        <w:rPr>
          <w:rFonts w:asciiTheme="majorHAnsi" w:hAnsiTheme="majorHAnsi" w:cstheme="majorHAnsi"/>
          <w:color w:val="000000" w:themeColor="text1"/>
        </w:rPr>
        <w:t xml:space="preserve"> </w:t>
      </w:r>
      <w:r>
        <w:rPr>
          <w:rFonts w:asciiTheme="majorHAnsi" w:hAnsiTheme="majorHAnsi" w:cstheme="majorHAnsi"/>
          <w:color w:val="000000" w:themeColor="text1"/>
        </w:rPr>
        <w:t>Operational Units (CO OUs)</w:t>
      </w:r>
      <w:r w:rsidRPr="00683A83">
        <w:rPr>
          <w:rFonts w:asciiTheme="majorHAnsi" w:hAnsiTheme="majorHAnsi" w:cstheme="majorHAnsi"/>
          <w:color w:val="000000" w:themeColor="text1"/>
        </w:rPr>
        <w:t>.</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The implication of this is that it would have taken the CO OUs longer (about two years more) to complete the outputs produced with the assistance of the Program.</w:t>
      </w:r>
    </w:p>
    <w:p w14:paraId="1C8E9DF2" w14:textId="0C7CF815" w:rsidR="008D0CAD" w:rsidRPr="009521B7" w:rsidRDefault="008D0CAD" w:rsidP="007B6836">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color w:val="000000" w:themeColor="text1"/>
        </w:rPr>
        <w:t>Another value addition emphasised was the expansion of DepEd’s network of technical experts.</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Since many of the technical staff at the Central Office are relatively new (i.e., many people joined the organisation in 2016 as a result of the implementation of the Rationalization Plan), their relational capital with technical experts was still low or their networks were shallow.</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The Program helped them to fast track the building of these networks.</w:t>
      </w:r>
    </w:p>
    <w:p w14:paraId="264E1D3D" w14:textId="77777777" w:rsidR="008D0CAD" w:rsidRDefault="008D0CAD" w:rsidP="008C061C">
      <w:pPr>
        <w:pStyle w:val="Heading6"/>
      </w:pPr>
      <w:r w:rsidRPr="00EC58EC">
        <w:t xml:space="preserve">Fund Augmentation </w:t>
      </w:r>
    </w:p>
    <w:p w14:paraId="1DC47C36" w14:textId="77777777" w:rsidR="008D0CAD" w:rsidRDefault="008D0CAD" w:rsidP="007B6836">
      <w:pPr>
        <w:pStyle w:val="NormalWeb"/>
        <w:spacing w:line="360" w:lineRule="auto"/>
        <w:rPr>
          <w:rFonts w:asciiTheme="majorHAnsi" w:hAnsiTheme="majorHAnsi" w:cstheme="majorHAnsi"/>
          <w:color w:val="000000" w:themeColor="text1"/>
        </w:rPr>
      </w:pPr>
      <w:r>
        <w:rPr>
          <w:rFonts w:asciiTheme="majorHAnsi" w:hAnsiTheme="majorHAnsi" w:cstheme="majorHAnsi"/>
          <w:color w:val="000000" w:themeColor="text1"/>
        </w:rPr>
        <w:t>CO, RO and DO respondents all acknowledged that the additional resources provided by t</w:t>
      </w:r>
      <w:r w:rsidRPr="00B647EB">
        <w:rPr>
          <w:rFonts w:asciiTheme="majorHAnsi" w:hAnsiTheme="majorHAnsi" w:cstheme="majorHAnsi"/>
          <w:color w:val="000000" w:themeColor="text1"/>
        </w:rPr>
        <w:t xml:space="preserve">he BEST Program </w:t>
      </w:r>
      <w:r>
        <w:rPr>
          <w:rFonts w:asciiTheme="majorHAnsi" w:hAnsiTheme="majorHAnsi" w:cstheme="majorHAnsi"/>
          <w:color w:val="000000" w:themeColor="text1"/>
        </w:rPr>
        <w:t>enabled them to fast track the completion of their work plans. CO respondents added that</w:t>
      </w:r>
      <w:r w:rsidRPr="009967E5">
        <w:rPr>
          <w:rFonts w:asciiTheme="majorHAnsi" w:hAnsiTheme="majorHAnsi" w:cstheme="majorHAnsi"/>
          <w:color w:val="000000" w:themeColor="text1"/>
        </w:rPr>
        <w:t xml:space="preserve"> the budget of the </w:t>
      </w:r>
      <w:r>
        <w:rPr>
          <w:rFonts w:asciiTheme="majorHAnsi" w:hAnsiTheme="majorHAnsi" w:cstheme="majorHAnsi"/>
          <w:color w:val="000000" w:themeColor="text1"/>
        </w:rPr>
        <w:t>various</w:t>
      </w:r>
      <w:r w:rsidRPr="009967E5">
        <w:rPr>
          <w:rFonts w:asciiTheme="majorHAnsi" w:hAnsiTheme="majorHAnsi" w:cstheme="majorHAnsi"/>
          <w:color w:val="000000" w:themeColor="text1"/>
        </w:rPr>
        <w:t xml:space="preserve"> </w:t>
      </w:r>
      <w:r>
        <w:rPr>
          <w:rFonts w:asciiTheme="majorHAnsi" w:hAnsiTheme="majorHAnsi" w:cstheme="majorHAnsi"/>
          <w:color w:val="000000" w:themeColor="text1"/>
        </w:rPr>
        <w:t>OUs</w:t>
      </w:r>
      <w:r w:rsidRPr="009967E5">
        <w:rPr>
          <w:rFonts w:asciiTheme="majorHAnsi" w:hAnsiTheme="majorHAnsi" w:cstheme="majorHAnsi"/>
          <w:color w:val="000000" w:themeColor="text1"/>
        </w:rPr>
        <w:t xml:space="preserve"> at the Central Office </w:t>
      </w:r>
      <w:r>
        <w:rPr>
          <w:rFonts w:asciiTheme="majorHAnsi" w:hAnsiTheme="majorHAnsi" w:cstheme="majorHAnsi"/>
          <w:color w:val="000000" w:themeColor="text1"/>
        </w:rPr>
        <w:t>we</w:t>
      </w:r>
      <w:r w:rsidRPr="009967E5">
        <w:rPr>
          <w:rFonts w:asciiTheme="majorHAnsi" w:hAnsiTheme="majorHAnsi" w:cstheme="majorHAnsi"/>
          <w:color w:val="000000" w:themeColor="text1"/>
        </w:rPr>
        <w:t xml:space="preserve">re </w:t>
      </w:r>
      <w:r>
        <w:rPr>
          <w:rFonts w:asciiTheme="majorHAnsi" w:hAnsiTheme="majorHAnsi" w:cstheme="majorHAnsi"/>
          <w:color w:val="000000" w:themeColor="text1"/>
        </w:rPr>
        <w:t xml:space="preserve">often </w:t>
      </w:r>
      <w:r w:rsidRPr="009967E5">
        <w:rPr>
          <w:rFonts w:asciiTheme="majorHAnsi" w:hAnsiTheme="majorHAnsi" w:cstheme="majorHAnsi"/>
          <w:color w:val="000000" w:themeColor="text1"/>
        </w:rPr>
        <w:t>insufficient</w:t>
      </w:r>
      <w:r>
        <w:rPr>
          <w:rFonts w:asciiTheme="majorHAnsi" w:hAnsiTheme="majorHAnsi" w:cstheme="majorHAnsi"/>
          <w:color w:val="000000" w:themeColor="text1"/>
        </w:rPr>
        <w:t xml:space="preserve"> and it</w:t>
      </w:r>
      <w:r w:rsidRPr="009967E5">
        <w:rPr>
          <w:rFonts w:asciiTheme="majorHAnsi" w:hAnsiTheme="majorHAnsi" w:cstheme="majorHAnsi"/>
          <w:color w:val="000000" w:themeColor="text1"/>
        </w:rPr>
        <w:t xml:space="preserve"> was even noted that there </w:t>
      </w:r>
      <w:r>
        <w:rPr>
          <w:rFonts w:asciiTheme="majorHAnsi" w:hAnsiTheme="majorHAnsi" w:cstheme="majorHAnsi"/>
          <w:color w:val="000000" w:themeColor="text1"/>
        </w:rPr>
        <w:t>we</w:t>
      </w:r>
      <w:r w:rsidRPr="009967E5">
        <w:rPr>
          <w:rFonts w:asciiTheme="majorHAnsi" w:hAnsiTheme="majorHAnsi" w:cstheme="majorHAnsi"/>
          <w:color w:val="000000" w:themeColor="text1"/>
        </w:rPr>
        <w:t xml:space="preserve">re </w:t>
      </w:r>
      <w:r>
        <w:rPr>
          <w:rFonts w:asciiTheme="majorHAnsi" w:hAnsiTheme="majorHAnsi" w:cstheme="majorHAnsi"/>
          <w:color w:val="000000" w:themeColor="text1"/>
        </w:rPr>
        <w:t xml:space="preserve">occasions when </w:t>
      </w:r>
      <w:r w:rsidRPr="009967E5">
        <w:rPr>
          <w:rFonts w:asciiTheme="majorHAnsi" w:hAnsiTheme="majorHAnsi" w:cstheme="majorHAnsi"/>
          <w:color w:val="000000" w:themeColor="text1"/>
        </w:rPr>
        <w:t>activities included in their work</w:t>
      </w:r>
      <w:r>
        <w:rPr>
          <w:rFonts w:asciiTheme="majorHAnsi" w:hAnsiTheme="majorHAnsi" w:cstheme="majorHAnsi"/>
          <w:color w:val="000000" w:themeColor="text1"/>
        </w:rPr>
        <w:t xml:space="preserve"> </w:t>
      </w:r>
      <w:r w:rsidRPr="009967E5">
        <w:rPr>
          <w:rFonts w:asciiTheme="majorHAnsi" w:hAnsiTheme="majorHAnsi" w:cstheme="majorHAnsi"/>
          <w:color w:val="000000" w:themeColor="text1"/>
        </w:rPr>
        <w:t>plans d</w:t>
      </w:r>
      <w:r>
        <w:rPr>
          <w:rFonts w:asciiTheme="majorHAnsi" w:hAnsiTheme="majorHAnsi" w:cstheme="majorHAnsi"/>
          <w:color w:val="000000" w:themeColor="text1"/>
        </w:rPr>
        <w:t>id</w:t>
      </w:r>
      <w:r w:rsidRPr="009967E5">
        <w:rPr>
          <w:rFonts w:asciiTheme="majorHAnsi" w:hAnsiTheme="majorHAnsi" w:cstheme="majorHAnsi"/>
          <w:color w:val="000000" w:themeColor="text1"/>
        </w:rPr>
        <w:t xml:space="preserve"> not have corresponding budgets. </w:t>
      </w:r>
      <w:r>
        <w:rPr>
          <w:rFonts w:asciiTheme="majorHAnsi" w:hAnsiTheme="majorHAnsi" w:cstheme="majorHAnsi"/>
          <w:color w:val="000000" w:themeColor="text1"/>
        </w:rPr>
        <w:t>With the additional funds from the Program, more activities were able to be completed.</w:t>
      </w:r>
    </w:p>
    <w:p w14:paraId="15DDEF4C" w14:textId="77777777" w:rsidR="008D0CAD" w:rsidRPr="004E53E1" w:rsidRDefault="008D0CAD" w:rsidP="007B6836">
      <w:pPr>
        <w:pStyle w:val="NormalWeb"/>
        <w:spacing w:line="360" w:lineRule="auto"/>
        <w:rPr>
          <w:rFonts w:asciiTheme="majorHAnsi" w:hAnsiTheme="majorHAnsi" w:cstheme="majorHAnsi"/>
        </w:rPr>
      </w:pPr>
      <w:r>
        <w:rPr>
          <w:rFonts w:asciiTheme="majorHAnsi" w:hAnsiTheme="majorHAnsi" w:cstheme="majorHAnsi"/>
        </w:rPr>
        <w:t>Moreover, majority of the respondents</w:t>
      </w:r>
      <w:r w:rsidRPr="00F87C2F">
        <w:rPr>
          <w:rFonts w:asciiTheme="majorHAnsi" w:hAnsiTheme="majorHAnsi" w:cstheme="majorHAnsi"/>
        </w:rPr>
        <w:t xml:space="preserve"> </w:t>
      </w:r>
      <w:r>
        <w:rPr>
          <w:rFonts w:asciiTheme="majorHAnsi" w:hAnsiTheme="majorHAnsi" w:cstheme="majorHAnsi"/>
        </w:rPr>
        <w:t>highlighted the contrast between</w:t>
      </w:r>
      <w:r w:rsidRPr="00F87C2F">
        <w:rPr>
          <w:rFonts w:asciiTheme="majorHAnsi" w:hAnsiTheme="majorHAnsi" w:cstheme="majorHAnsi"/>
        </w:rPr>
        <w:t xml:space="preserve"> </w:t>
      </w:r>
      <w:r>
        <w:rPr>
          <w:rFonts w:asciiTheme="majorHAnsi" w:hAnsiTheme="majorHAnsi" w:cstheme="majorHAnsi"/>
        </w:rPr>
        <w:t xml:space="preserve">DepEd and </w:t>
      </w:r>
      <w:r w:rsidRPr="00F87C2F">
        <w:rPr>
          <w:rFonts w:asciiTheme="majorHAnsi" w:hAnsiTheme="majorHAnsi" w:cstheme="majorHAnsi"/>
        </w:rPr>
        <w:t>BEST</w:t>
      </w:r>
      <w:r>
        <w:rPr>
          <w:rFonts w:asciiTheme="majorHAnsi" w:hAnsiTheme="majorHAnsi" w:cstheme="majorHAnsi"/>
        </w:rPr>
        <w:t>-supported</w:t>
      </w:r>
      <w:r w:rsidRPr="00F87C2F">
        <w:rPr>
          <w:rFonts w:asciiTheme="majorHAnsi" w:hAnsiTheme="majorHAnsi" w:cstheme="majorHAnsi"/>
        </w:rPr>
        <w:t xml:space="preserve"> </w:t>
      </w:r>
      <w:r>
        <w:rPr>
          <w:rFonts w:asciiTheme="majorHAnsi" w:hAnsiTheme="majorHAnsi" w:cstheme="majorHAnsi"/>
        </w:rPr>
        <w:t>training p</w:t>
      </w:r>
      <w:r w:rsidRPr="00F87C2F">
        <w:rPr>
          <w:rFonts w:asciiTheme="majorHAnsi" w:hAnsiTheme="majorHAnsi" w:cstheme="majorHAnsi"/>
        </w:rPr>
        <w:t>rogram</w:t>
      </w:r>
      <w:r>
        <w:rPr>
          <w:rFonts w:asciiTheme="majorHAnsi" w:hAnsiTheme="majorHAnsi" w:cstheme="majorHAnsi"/>
        </w:rPr>
        <w:t>s or</w:t>
      </w:r>
      <w:r w:rsidRPr="00F87C2F">
        <w:rPr>
          <w:rFonts w:asciiTheme="majorHAnsi" w:hAnsiTheme="majorHAnsi" w:cstheme="majorHAnsi"/>
        </w:rPr>
        <w:t xml:space="preserve"> workshops </w:t>
      </w:r>
      <w:r>
        <w:rPr>
          <w:rFonts w:asciiTheme="majorHAnsi" w:hAnsiTheme="majorHAnsi" w:cstheme="majorHAnsi"/>
        </w:rPr>
        <w:t>“</w:t>
      </w:r>
      <w:r w:rsidRPr="00F87C2F">
        <w:rPr>
          <w:rFonts w:asciiTheme="majorHAnsi" w:hAnsiTheme="majorHAnsi" w:cstheme="majorHAnsi"/>
          <w:i/>
        </w:rPr>
        <w:t>because of the venue and the food</w:t>
      </w:r>
      <w:r>
        <w:rPr>
          <w:rFonts w:asciiTheme="majorHAnsi" w:hAnsiTheme="majorHAnsi" w:cstheme="majorHAnsi"/>
          <w:i/>
        </w:rPr>
        <w:t>”</w:t>
      </w:r>
      <w:r w:rsidRPr="00F87C2F">
        <w:rPr>
          <w:rFonts w:asciiTheme="majorHAnsi" w:hAnsiTheme="majorHAnsi" w:cstheme="majorHAnsi"/>
        </w:rPr>
        <w:t>.</w:t>
      </w:r>
    </w:p>
    <w:p w14:paraId="7E31FB9D" w14:textId="77777777" w:rsidR="008D0CAD" w:rsidRPr="009521B7" w:rsidRDefault="008D0CAD" w:rsidP="008C061C">
      <w:pPr>
        <w:pStyle w:val="Heading6"/>
      </w:pPr>
      <w:r w:rsidRPr="00EC58EC">
        <w:t>Issuance of policy covers</w:t>
      </w:r>
    </w:p>
    <w:p w14:paraId="5E8EC166" w14:textId="77777777" w:rsidR="008D0CAD" w:rsidRPr="009521B7" w:rsidRDefault="008D0CAD" w:rsidP="007B6836">
      <w:pPr>
        <w:spacing w:before="100" w:beforeAutospacing="1" w:after="100" w:afterAutospacing="1" w:line="360" w:lineRule="auto"/>
        <w:rPr>
          <w:rFonts w:asciiTheme="majorHAnsi" w:hAnsiTheme="majorHAnsi" w:cstheme="majorHAnsi"/>
          <w:color w:val="000000" w:themeColor="text1"/>
          <w:shd w:val="clear" w:color="auto" w:fill="FFFFFF"/>
        </w:rPr>
      </w:pPr>
      <w:r w:rsidRPr="009521B7">
        <w:rPr>
          <w:rFonts w:asciiTheme="majorHAnsi" w:hAnsiTheme="majorHAnsi" w:cstheme="majorHAnsi"/>
          <w:bCs/>
        </w:rPr>
        <w:t>The issuance of polic</w:t>
      </w:r>
      <w:r>
        <w:rPr>
          <w:rFonts w:asciiTheme="majorHAnsi" w:hAnsiTheme="majorHAnsi" w:cstheme="majorHAnsi"/>
          <w:bCs/>
        </w:rPr>
        <w:t>ies</w:t>
      </w:r>
      <w:r w:rsidRPr="009521B7">
        <w:rPr>
          <w:rFonts w:asciiTheme="majorHAnsi" w:hAnsiTheme="majorHAnsi" w:cstheme="majorHAnsi"/>
          <w:b/>
        </w:rPr>
        <w:t xml:space="preserve"> </w:t>
      </w:r>
      <w:r w:rsidRPr="009521B7">
        <w:rPr>
          <w:rFonts w:asciiTheme="majorHAnsi" w:hAnsiTheme="majorHAnsi" w:cstheme="majorHAnsi"/>
        </w:rPr>
        <w:t>to institutionali</w:t>
      </w:r>
      <w:r>
        <w:rPr>
          <w:rFonts w:asciiTheme="majorHAnsi" w:hAnsiTheme="majorHAnsi" w:cstheme="majorHAnsi"/>
        </w:rPr>
        <w:t>s</w:t>
      </w:r>
      <w:r w:rsidRPr="009521B7">
        <w:rPr>
          <w:rFonts w:asciiTheme="majorHAnsi" w:hAnsiTheme="majorHAnsi" w:cstheme="majorHAnsi"/>
        </w:rPr>
        <w:t xml:space="preserve">e reforms introduced in the last five years, was identified as the most vital facilitating factor. RO respondents stressed that the issuance </w:t>
      </w:r>
      <w:r w:rsidRPr="009521B7">
        <w:rPr>
          <w:rFonts w:asciiTheme="majorHAnsi" w:hAnsiTheme="majorHAnsi" w:cstheme="majorHAnsi"/>
          <w:color w:val="000000" w:themeColor="text1"/>
        </w:rPr>
        <w:t xml:space="preserve">of </w:t>
      </w:r>
      <w:r>
        <w:rPr>
          <w:rFonts w:asciiTheme="majorHAnsi" w:hAnsiTheme="majorHAnsi" w:cstheme="majorHAnsi"/>
          <w:color w:val="000000" w:themeColor="text1"/>
          <w:shd w:val="clear" w:color="auto" w:fill="FFFFFF"/>
        </w:rPr>
        <w:t>DepEd</w:t>
      </w:r>
      <w:r w:rsidRPr="009521B7">
        <w:rPr>
          <w:rFonts w:asciiTheme="majorHAnsi" w:hAnsiTheme="majorHAnsi" w:cstheme="majorHAnsi"/>
          <w:color w:val="000000" w:themeColor="text1"/>
          <w:shd w:val="clear" w:color="auto" w:fill="FFFFFF"/>
        </w:rPr>
        <w:t xml:space="preserve"> Orders cemented the institutionali</w:t>
      </w:r>
      <w:r>
        <w:rPr>
          <w:rFonts w:asciiTheme="majorHAnsi" w:hAnsiTheme="majorHAnsi" w:cstheme="majorHAnsi"/>
          <w:color w:val="000000" w:themeColor="text1"/>
          <w:shd w:val="clear" w:color="auto" w:fill="FFFFFF"/>
        </w:rPr>
        <w:t>s</w:t>
      </w:r>
      <w:r w:rsidRPr="009521B7">
        <w:rPr>
          <w:rFonts w:asciiTheme="majorHAnsi" w:hAnsiTheme="majorHAnsi" w:cstheme="majorHAnsi"/>
          <w:color w:val="000000" w:themeColor="text1"/>
          <w:shd w:val="clear" w:color="auto" w:fill="FFFFFF"/>
        </w:rPr>
        <w:t>ation of the systemic reforms because “</w:t>
      </w:r>
      <w:r w:rsidRPr="009521B7">
        <w:rPr>
          <w:rFonts w:asciiTheme="majorHAnsi" w:hAnsiTheme="majorHAnsi" w:cstheme="majorHAnsi"/>
          <w:i/>
          <w:color w:val="000000" w:themeColor="text1"/>
          <w:shd w:val="clear" w:color="auto" w:fill="FFFFFF"/>
        </w:rPr>
        <w:t>we at the regional offices only follow what orders are brought to us</w:t>
      </w:r>
      <w:r w:rsidRPr="009521B7">
        <w:rPr>
          <w:rFonts w:asciiTheme="majorHAnsi" w:hAnsiTheme="majorHAnsi" w:cstheme="majorHAnsi"/>
          <w:color w:val="000000" w:themeColor="text1"/>
          <w:shd w:val="clear" w:color="auto" w:fill="FFFFFF"/>
        </w:rPr>
        <w:t>”.</w:t>
      </w:r>
      <w:r w:rsidRPr="009521B7">
        <w:rPr>
          <w:rStyle w:val="FootnoteReference"/>
          <w:rFonts w:asciiTheme="majorHAnsi" w:eastAsia="Arial Unicode MS" w:hAnsiTheme="majorHAnsi" w:cstheme="majorHAnsi"/>
          <w:color w:val="000000" w:themeColor="text1"/>
          <w:shd w:val="clear" w:color="auto" w:fill="FFFFFF"/>
        </w:rPr>
        <w:footnoteReference w:id="90"/>
      </w:r>
    </w:p>
    <w:p w14:paraId="259E6090" w14:textId="77777777" w:rsidR="008D0CAD" w:rsidRPr="009521B7" w:rsidRDefault="008D0CAD" w:rsidP="007B6836">
      <w:pPr>
        <w:spacing w:before="100" w:beforeAutospacing="1" w:after="100" w:afterAutospacing="1" w:line="360" w:lineRule="auto"/>
        <w:rPr>
          <w:rFonts w:asciiTheme="majorHAnsi" w:hAnsiTheme="majorHAnsi" w:cstheme="majorHAnsi"/>
          <w:color w:val="000000" w:themeColor="text1"/>
          <w:shd w:val="clear" w:color="auto" w:fill="FFFFFF"/>
        </w:rPr>
      </w:pPr>
      <w:r w:rsidRPr="009521B7">
        <w:rPr>
          <w:rFonts w:asciiTheme="majorHAnsi" w:hAnsiTheme="majorHAnsi" w:cstheme="majorHAnsi"/>
          <w:color w:val="000000" w:themeColor="text1"/>
          <w:shd w:val="clear" w:color="auto" w:fill="FFFFFF"/>
        </w:rPr>
        <w:t xml:space="preserve">The case of PPST was used as an illustration. These Standards were identified to be widely accepted across regions and governance levels not only because of </w:t>
      </w:r>
      <w:r>
        <w:rPr>
          <w:rFonts w:asciiTheme="majorHAnsi" w:hAnsiTheme="majorHAnsi" w:cstheme="majorHAnsi"/>
          <w:color w:val="000000" w:themeColor="text1"/>
          <w:shd w:val="clear" w:color="auto" w:fill="FFFFFF"/>
        </w:rPr>
        <w:t>their</w:t>
      </w:r>
      <w:r w:rsidRPr="009521B7">
        <w:rPr>
          <w:rFonts w:asciiTheme="majorHAnsi" w:hAnsiTheme="majorHAnsi" w:cstheme="majorHAnsi"/>
          <w:color w:val="000000" w:themeColor="text1"/>
          <w:shd w:val="clear" w:color="auto" w:fill="FFFFFF"/>
        </w:rPr>
        <w:t xml:space="preserve"> credibility (because it was based on sound research by RCTQ) but also because the issuance of the policy made implementation a certainty. On the other hand, </w:t>
      </w:r>
      <w:r w:rsidRPr="009521B7">
        <w:rPr>
          <w:rFonts w:asciiTheme="majorHAnsi" w:hAnsiTheme="majorHAnsi" w:cstheme="majorHAnsi"/>
          <w:color w:val="000000" w:themeColor="text1"/>
        </w:rPr>
        <w:t xml:space="preserve">the implementation of the L&amp;D System was not as persistent as the PPST because ROs were </w:t>
      </w:r>
      <w:r w:rsidRPr="009521B7">
        <w:rPr>
          <w:rFonts w:asciiTheme="majorHAnsi" w:hAnsiTheme="majorHAnsi" w:cstheme="majorHAnsi"/>
          <w:color w:val="000000" w:themeColor="text1"/>
          <w:shd w:val="clear" w:color="auto" w:fill="FFFFFF"/>
        </w:rPr>
        <w:t>“…</w:t>
      </w:r>
      <w:r w:rsidRPr="009521B7">
        <w:rPr>
          <w:rFonts w:asciiTheme="majorHAnsi" w:hAnsiTheme="majorHAnsi" w:cstheme="majorHAnsi"/>
          <w:i/>
          <w:color w:val="000000" w:themeColor="text1"/>
          <w:shd w:val="clear" w:color="auto" w:fill="FFFFFF"/>
        </w:rPr>
        <w:t>still waiting for the finali</w:t>
      </w:r>
      <w:r>
        <w:rPr>
          <w:rFonts w:asciiTheme="majorHAnsi" w:hAnsiTheme="majorHAnsi" w:cstheme="majorHAnsi"/>
          <w:i/>
          <w:color w:val="000000" w:themeColor="text1"/>
          <w:shd w:val="clear" w:color="auto" w:fill="FFFFFF"/>
        </w:rPr>
        <w:t>s</w:t>
      </w:r>
      <w:r w:rsidRPr="009521B7">
        <w:rPr>
          <w:rFonts w:asciiTheme="majorHAnsi" w:hAnsiTheme="majorHAnsi" w:cstheme="majorHAnsi"/>
          <w:i/>
          <w:color w:val="000000" w:themeColor="text1"/>
          <w:shd w:val="clear" w:color="auto" w:fill="FFFFFF"/>
        </w:rPr>
        <w:t>ation …. to become operationali</w:t>
      </w:r>
      <w:r>
        <w:rPr>
          <w:rFonts w:asciiTheme="majorHAnsi" w:hAnsiTheme="majorHAnsi" w:cstheme="majorHAnsi"/>
          <w:i/>
          <w:color w:val="000000" w:themeColor="text1"/>
          <w:shd w:val="clear" w:color="auto" w:fill="FFFFFF"/>
        </w:rPr>
        <w:t>s</w:t>
      </w:r>
      <w:r w:rsidRPr="009521B7">
        <w:rPr>
          <w:rFonts w:asciiTheme="majorHAnsi" w:hAnsiTheme="majorHAnsi" w:cstheme="majorHAnsi"/>
          <w:i/>
          <w:color w:val="000000" w:themeColor="text1"/>
          <w:shd w:val="clear" w:color="auto" w:fill="FFFFFF"/>
        </w:rPr>
        <w:t>ed</w:t>
      </w:r>
      <w:r w:rsidRPr="009521B7">
        <w:rPr>
          <w:rFonts w:asciiTheme="majorHAnsi" w:hAnsiTheme="majorHAnsi" w:cstheme="majorHAnsi"/>
          <w:color w:val="000000" w:themeColor="text1"/>
          <w:shd w:val="clear" w:color="auto" w:fill="FFFFFF"/>
        </w:rPr>
        <w:t xml:space="preserve">”. According to one RO respondent, </w:t>
      </w:r>
      <w:r w:rsidRPr="009521B7">
        <w:rPr>
          <w:rFonts w:asciiTheme="majorHAnsi" w:hAnsiTheme="majorHAnsi" w:cstheme="majorHAnsi"/>
          <w:i/>
          <w:color w:val="000000" w:themeColor="text1"/>
          <w:shd w:val="clear" w:color="auto" w:fill="FFFFFF"/>
        </w:rPr>
        <w:t>“… once there is a policy and guidance or manual, it would be easily implemented and cascaded to the regions and divisions. But [at the moment] we are still awaiting approval</w:t>
      </w:r>
      <w:r w:rsidRPr="009521B7">
        <w:rPr>
          <w:rFonts w:asciiTheme="majorHAnsi" w:hAnsiTheme="majorHAnsi" w:cstheme="majorHAnsi"/>
          <w:color w:val="000000" w:themeColor="text1"/>
          <w:shd w:val="clear" w:color="auto" w:fill="FFFFFF"/>
        </w:rPr>
        <w:t>”.</w:t>
      </w:r>
      <w:r w:rsidRPr="009521B7">
        <w:rPr>
          <w:rStyle w:val="FootnoteReference"/>
          <w:rFonts w:asciiTheme="majorHAnsi" w:eastAsia="Arial Unicode MS" w:hAnsiTheme="majorHAnsi" w:cstheme="majorHAnsi"/>
          <w:color w:val="000000" w:themeColor="text1"/>
          <w:shd w:val="clear" w:color="auto" w:fill="FFFFFF"/>
        </w:rPr>
        <w:t xml:space="preserve"> </w:t>
      </w:r>
      <w:r w:rsidRPr="009521B7">
        <w:rPr>
          <w:rStyle w:val="FootnoteReference"/>
          <w:rFonts w:asciiTheme="majorHAnsi" w:eastAsia="Arial Unicode MS" w:hAnsiTheme="majorHAnsi" w:cstheme="majorHAnsi"/>
          <w:color w:val="000000" w:themeColor="text1"/>
          <w:shd w:val="clear" w:color="auto" w:fill="FFFFFF"/>
        </w:rPr>
        <w:footnoteReference w:id="91"/>
      </w:r>
    </w:p>
    <w:p w14:paraId="47EB4D7A" w14:textId="627BF346" w:rsidR="008D0CAD" w:rsidRDefault="008D0CAD" w:rsidP="008C061C">
      <w:pPr>
        <w:pStyle w:val="Heading6"/>
      </w:pPr>
      <w:r>
        <w:t>Provision of c</w:t>
      </w:r>
      <w:r w:rsidRPr="00EC58EC">
        <w:t>apacity building interventions</w:t>
      </w:r>
      <w:r w:rsidR="00D434EB">
        <w:t xml:space="preserve"> </w:t>
      </w:r>
    </w:p>
    <w:p w14:paraId="29082101" w14:textId="7496CDA5" w:rsidR="008D0CAD" w:rsidRPr="00A24784" w:rsidRDefault="008D0CAD" w:rsidP="007B6836">
      <w:pPr>
        <w:spacing w:before="100" w:beforeAutospacing="1" w:after="100" w:afterAutospacing="1" w:line="360" w:lineRule="auto"/>
        <w:rPr>
          <w:rFonts w:asciiTheme="majorHAnsi" w:hAnsiTheme="majorHAnsi" w:cstheme="majorHAnsi"/>
          <w:color w:val="000000" w:themeColor="text1"/>
        </w:rPr>
      </w:pPr>
      <w:r w:rsidRPr="00170323">
        <w:rPr>
          <w:rFonts w:asciiTheme="majorHAnsi" w:hAnsiTheme="majorHAnsi" w:cstheme="majorHAnsi"/>
          <w:color w:val="000000" w:themeColor="text1"/>
        </w:rPr>
        <w:t xml:space="preserve">One of the key factors that facilitated the attainment of EOPO 3 </w:t>
      </w:r>
      <w:r>
        <w:rPr>
          <w:rFonts w:asciiTheme="majorHAnsi" w:hAnsiTheme="majorHAnsi" w:cstheme="majorHAnsi"/>
          <w:color w:val="000000" w:themeColor="text1"/>
        </w:rPr>
        <w:t>wa</w:t>
      </w:r>
      <w:r w:rsidRPr="00170323">
        <w:rPr>
          <w:rFonts w:asciiTheme="majorHAnsi" w:hAnsiTheme="majorHAnsi" w:cstheme="majorHAnsi"/>
          <w:color w:val="000000" w:themeColor="text1"/>
        </w:rPr>
        <w:t xml:space="preserve">s the </w:t>
      </w:r>
      <w:r>
        <w:rPr>
          <w:rFonts w:asciiTheme="majorHAnsi" w:hAnsiTheme="majorHAnsi" w:cstheme="majorHAnsi"/>
          <w:color w:val="000000" w:themeColor="text1"/>
        </w:rPr>
        <w:t>massive</w:t>
      </w:r>
      <w:r w:rsidRPr="00170323">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investment in </w:t>
      </w:r>
      <w:r w:rsidRPr="00170323">
        <w:rPr>
          <w:rFonts w:asciiTheme="majorHAnsi" w:hAnsiTheme="majorHAnsi" w:cstheme="majorHAnsi"/>
          <w:color w:val="000000" w:themeColor="text1"/>
        </w:rPr>
        <w:t>capacity building</w:t>
      </w:r>
      <w:r>
        <w:rPr>
          <w:rFonts w:asciiTheme="majorHAnsi" w:hAnsiTheme="majorHAnsi" w:cstheme="majorHAnsi"/>
          <w:color w:val="000000" w:themeColor="text1"/>
        </w:rPr>
        <w:t>, for instance,</w:t>
      </w:r>
      <w:r w:rsidRPr="00170323">
        <w:rPr>
          <w:rFonts w:asciiTheme="majorHAnsi" w:hAnsiTheme="majorHAnsi" w:cstheme="majorHAnsi"/>
          <w:color w:val="000000" w:themeColor="text1"/>
        </w:rPr>
        <w:t xml:space="preserve"> on Planning and MEA.</w:t>
      </w:r>
      <w:r w:rsidR="00D434EB">
        <w:rPr>
          <w:rFonts w:asciiTheme="majorHAnsi" w:hAnsiTheme="majorHAnsi" w:cstheme="majorHAnsi"/>
          <w:color w:val="000000" w:themeColor="text1"/>
        </w:rPr>
        <w:t xml:space="preserve"> </w:t>
      </w:r>
      <w:r w:rsidRPr="00170323">
        <w:rPr>
          <w:rFonts w:asciiTheme="majorHAnsi" w:hAnsiTheme="majorHAnsi" w:cstheme="majorHAnsi"/>
          <w:color w:val="000000" w:themeColor="text1"/>
        </w:rPr>
        <w:t xml:space="preserve">As early as 2016, </w:t>
      </w:r>
      <w:r>
        <w:rPr>
          <w:rFonts w:asciiTheme="majorHAnsi" w:hAnsiTheme="majorHAnsi" w:cstheme="majorHAnsi"/>
          <w:color w:val="000000" w:themeColor="text1"/>
        </w:rPr>
        <w:t xml:space="preserve">BEST supported </w:t>
      </w:r>
      <w:r w:rsidRPr="00170323">
        <w:rPr>
          <w:rFonts w:asciiTheme="majorHAnsi" w:hAnsiTheme="majorHAnsi" w:cstheme="majorHAnsi"/>
          <w:color w:val="000000" w:themeColor="text1"/>
        </w:rPr>
        <w:t xml:space="preserve">capacity building </w:t>
      </w:r>
      <w:r>
        <w:rPr>
          <w:rFonts w:asciiTheme="majorHAnsi" w:hAnsiTheme="majorHAnsi" w:cstheme="majorHAnsi"/>
          <w:color w:val="000000" w:themeColor="text1"/>
        </w:rPr>
        <w:t xml:space="preserve">activities </w:t>
      </w:r>
      <w:r w:rsidRPr="00170323">
        <w:rPr>
          <w:rFonts w:asciiTheme="majorHAnsi" w:hAnsiTheme="majorHAnsi" w:cstheme="majorHAnsi"/>
          <w:color w:val="000000" w:themeColor="text1"/>
        </w:rPr>
        <w:t>on monitoring, evaluation and adjustment (MEA) were already</w:t>
      </w:r>
      <w:r>
        <w:rPr>
          <w:rFonts w:asciiTheme="majorHAnsi" w:hAnsiTheme="majorHAnsi" w:cstheme="majorHAnsi"/>
          <w:color w:val="000000" w:themeColor="text1"/>
        </w:rPr>
        <w:t xml:space="preserve"> being</w:t>
      </w:r>
      <w:r w:rsidRPr="00170323">
        <w:rPr>
          <w:rFonts w:asciiTheme="majorHAnsi" w:hAnsiTheme="majorHAnsi" w:cstheme="majorHAnsi"/>
          <w:color w:val="000000" w:themeColor="text1"/>
        </w:rPr>
        <w:t xml:space="preserve"> conducted in the Regions.</w:t>
      </w:r>
      <w:r w:rsidR="00D434EB">
        <w:rPr>
          <w:rFonts w:asciiTheme="majorHAnsi" w:hAnsiTheme="majorHAnsi" w:cstheme="majorHAnsi"/>
          <w:color w:val="000000" w:themeColor="text1"/>
        </w:rPr>
        <w:t xml:space="preserve"> </w:t>
      </w:r>
      <w:r w:rsidRPr="00170323">
        <w:rPr>
          <w:rFonts w:asciiTheme="majorHAnsi" w:hAnsiTheme="majorHAnsi" w:cstheme="majorHAnsi"/>
          <w:color w:val="000000" w:themeColor="text1"/>
        </w:rPr>
        <w:t xml:space="preserve">In fact, 74 </w:t>
      </w:r>
      <w:r>
        <w:rPr>
          <w:rFonts w:asciiTheme="majorHAnsi" w:hAnsiTheme="majorHAnsi" w:cstheme="majorHAnsi"/>
          <w:color w:val="000000" w:themeColor="text1"/>
        </w:rPr>
        <w:t>per cent</w:t>
      </w:r>
      <w:r w:rsidRPr="00170323">
        <w:rPr>
          <w:rFonts w:asciiTheme="majorHAnsi" w:hAnsiTheme="majorHAnsi" w:cstheme="majorHAnsi"/>
          <w:color w:val="000000" w:themeColor="text1"/>
        </w:rPr>
        <w:t xml:space="preserve"> of the training programs under PPMES were related to MEA.</w:t>
      </w:r>
      <w:r w:rsidR="00D434EB">
        <w:rPr>
          <w:rFonts w:asciiTheme="majorHAnsi" w:hAnsiTheme="majorHAnsi" w:cstheme="majorHAnsi"/>
          <w:color w:val="000000" w:themeColor="text1"/>
        </w:rPr>
        <w:t xml:space="preserve"> </w:t>
      </w:r>
      <w:r w:rsidRPr="00170323">
        <w:rPr>
          <w:rFonts w:asciiTheme="majorHAnsi" w:hAnsiTheme="majorHAnsi" w:cstheme="majorHAnsi"/>
          <w:color w:val="000000" w:themeColor="text1"/>
        </w:rPr>
        <w:t xml:space="preserve">It was noted that before </w:t>
      </w:r>
      <w:r w:rsidRPr="00170323">
        <w:rPr>
          <w:rFonts w:asciiTheme="majorHAnsi" w:hAnsiTheme="majorHAnsi" w:cstheme="majorHAnsi"/>
        </w:rPr>
        <w:t>the implementation of the BEST Program, there was no clear standard tool used in MEA.</w:t>
      </w:r>
    </w:p>
    <w:p w14:paraId="37E6FB7B" w14:textId="77777777" w:rsidR="008D0CAD" w:rsidRPr="004C60A8" w:rsidRDefault="008D0CAD" w:rsidP="007B6836">
      <w:pPr>
        <w:pStyle w:val="NormalWeb"/>
        <w:spacing w:line="360" w:lineRule="auto"/>
        <w:rPr>
          <w:rFonts w:asciiTheme="majorHAnsi" w:hAnsiTheme="majorHAnsi" w:cstheme="majorHAnsi"/>
          <w:color w:val="000000"/>
        </w:rPr>
      </w:pPr>
      <w:r>
        <w:rPr>
          <w:rFonts w:asciiTheme="majorHAnsi" w:hAnsiTheme="majorHAnsi" w:cstheme="majorHAnsi"/>
        </w:rPr>
        <w:t xml:space="preserve">Capacity building was also a critical input in the successful implementation of the UISS. </w:t>
      </w:r>
    </w:p>
    <w:p w14:paraId="334A688A" w14:textId="0A1E61FE" w:rsidR="008D0CAD" w:rsidRDefault="008D0CAD" w:rsidP="007B6836">
      <w:pPr>
        <w:pStyle w:val="Heading5"/>
        <w:numPr>
          <w:ilvl w:val="3"/>
          <w:numId w:val="38"/>
        </w:numPr>
        <w:spacing w:before="100" w:beforeAutospacing="1" w:after="100" w:afterAutospacing="1" w:line="360" w:lineRule="auto"/>
      </w:pPr>
      <w:r>
        <w:t>Hindering Factors</w:t>
      </w:r>
    </w:p>
    <w:p w14:paraId="48993B37" w14:textId="77777777" w:rsidR="008D0CAD" w:rsidRPr="00EC58EC" w:rsidRDefault="008D0CAD" w:rsidP="008C061C">
      <w:pPr>
        <w:pStyle w:val="Heading6"/>
      </w:pPr>
      <w:r w:rsidRPr="00EC58EC">
        <w:t>Quality issues with deployment</w:t>
      </w:r>
      <w:r>
        <w:t xml:space="preserve"> of reforms or conduct of </w:t>
      </w:r>
      <w:r w:rsidRPr="00EC58EC">
        <w:t>roll-out activities</w:t>
      </w:r>
    </w:p>
    <w:p w14:paraId="398198F4" w14:textId="585C395D" w:rsidR="008D0CAD" w:rsidRDefault="008D0CAD" w:rsidP="007B6836">
      <w:pPr>
        <w:pStyle w:val="NormalWeb"/>
        <w:spacing w:line="360" w:lineRule="auto"/>
        <w:rPr>
          <w:rFonts w:asciiTheme="majorHAnsi" w:hAnsiTheme="majorHAnsi" w:cstheme="majorHAnsi"/>
        </w:rPr>
      </w:pPr>
      <w:r>
        <w:rPr>
          <w:rFonts w:asciiTheme="majorHAnsi" w:hAnsiTheme="majorHAnsi" w:cstheme="majorHAnsi"/>
        </w:rPr>
        <w:t>Attainment of EOPOs 1 and 2 was principally diminished by quality issues with the implementation of national policy and system reforms at the school level. Deployment of a range of BEST Program interventions at the school level commenced in 2018, simultaneously, based on a recommendation made in the IPR.</w:t>
      </w:r>
      <w:r w:rsidR="00D434EB">
        <w:rPr>
          <w:rFonts w:asciiTheme="majorHAnsi" w:hAnsiTheme="majorHAnsi" w:cstheme="majorHAnsi"/>
        </w:rPr>
        <w:t xml:space="preserve"> </w:t>
      </w:r>
      <w:r>
        <w:rPr>
          <w:rFonts w:asciiTheme="majorHAnsi" w:hAnsiTheme="majorHAnsi" w:cstheme="majorHAnsi"/>
        </w:rPr>
        <w:t xml:space="preserve">It was less than two years from the end of the Program. With the timing and volume of activities being rolled-out, there was a risk that quality would be compromised in the roll-out activities. </w:t>
      </w:r>
    </w:p>
    <w:p w14:paraId="3BD598AA" w14:textId="77777777" w:rsidR="008D0CAD" w:rsidRPr="000758B6" w:rsidRDefault="008D0CAD" w:rsidP="007B6836">
      <w:pPr>
        <w:tabs>
          <w:tab w:val="left" w:pos="317"/>
        </w:tabs>
        <w:spacing w:before="100" w:beforeAutospacing="1" w:after="100" w:afterAutospacing="1" w:line="360" w:lineRule="auto"/>
        <w:rPr>
          <w:rFonts w:asciiTheme="majorHAnsi" w:eastAsia="Calibri" w:hAnsiTheme="majorHAnsi" w:cstheme="majorHAnsi"/>
          <w:color w:val="000000" w:themeColor="text1"/>
        </w:rPr>
      </w:pPr>
      <w:r w:rsidRPr="000758B6">
        <w:rPr>
          <w:rFonts w:asciiTheme="majorHAnsi" w:hAnsiTheme="majorHAnsi" w:cstheme="majorHAnsi"/>
          <w:b/>
          <w:bCs/>
          <w:color w:val="000000" w:themeColor="text1"/>
        </w:rPr>
        <w:t>First</w:t>
      </w:r>
      <w:r>
        <w:rPr>
          <w:rFonts w:asciiTheme="majorHAnsi" w:hAnsiTheme="majorHAnsi" w:cstheme="majorHAnsi"/>
          <w:color w:val="000000" w:themeColor="text1"/>
        </w:rPr>
        <w:t>,</w:t>
      </w:r>
      <w:r w:rsidRPr="00E82BF8">
        <w:rPr>
          <w:rFonts w:asciiTheme="majorHAnsi" w:hAnsiTheme="majorHAnsi" w:cstheme="majorHAnsi"/>
          <w:color w:val="000000" w:themeColor="text1"/>
        </w:rPr>
        <w:t xml:space="preserve"> </w:t>
      </w:r>
      <w:r w:rsidRPr="000758B6">
        <w:rPr>
          <w:rFonts w:asciiTheme="majorHAnsi" w:hAnsiTheme="majorHAnsi" w:cstheme="majorHAnsi"/>
          <w:color w:val="000000" w:themeColor="text1"/>
        </w:rPr>
        <w:t xml:space="preserve">among these </w:t>
      </w:r>
      <w:r>
        <w:rPr>
          <w:rFonts w:asciiTheme="majorHAnsi" w:hAnsiTheme="majorHAnsi" w:cstheme="majorHAnsi"/>
          <w:color w:val="000000" w:themeColor="text1"/>
        </w:rPr>
        <w:t xml:space="preserve">quality </w:t>
      </w:r>
      <w:r w:rsidRPr="000758B6">
        <w:rPr>
          <w:rFonts w:asciiTheme="majorHAnsi" w:hAnsiTheme="majorHAnsi" w:cstheme="majorHAnsi"/>
          <w:color w:val="000000" w:themeColor="text1"/>
        </w:rPr>
        <w:t>issues was the ineffective synergy and coordination among the different CO Operating Units</w:t>
      </w:r>
      <w:r>
        <w:rPr>
          <w:rFonts w:asciiTheme="majorHAnsi" w:hAnsiTheme="majorHAnsi" w:cstheme="majorHAnsi"/>
          <w:color w:val="000000" w:themeColor="text1"/>
        </w:rPr>
        <w:t>, which</w:t>
      </w:r>
      <w:r w:rsidRPr="000758B6">
        <w:rPr>
          <w:rFonts w:asciiTheme="majorHAnsi" w:hAnsiTheme="majorHAnsi" w:cstheme="majorHAnsi"/>
          <w:color w:val="000000" w:themeColor="text1"/>
        </w:rPr>
        <w:t xml:space="preserve"> caus</w:t>
      </w:r>
      <w:r>
        <w:rPr>
          <w:rFonts w:asciiTheme="majorHAnsi" w:hAnsiTheme="majorHAnsi" w:cstheme="majorHAnsi"/>
          <w:color w:val="000000" w:themeColor="text1"/>
        </w:rPr>
        <w:t>ed</w:t>
      </w:r>
      <w:r w:rsidRPr="000758B6">
        <w:rPr>
          <w:rFonts w:asciiTheme="majorHAnsi" w:hAnsiTheme="majorHAnsi" w:cstheme="majorHAnsi"/>
          <w:color w:val="000000" w:themeColor="text1"/>
        </w:rPr>
        <w:t xml:space="preserve"> o</w:t>
      </w:r>
      <w:r w:rsidRPr="000758B6">
        <w:rPr>
          <w:rFonts w:asciiTheme="majorHAnsi" w:eastAsia="Calibri" w:hAnsiTheme="majorHAnsi" w:cstheme="majorHAnsi"/>
          <w:color w:val="000000" w:themeColor="text1"/>
        </w:rPr>
        <w:t xml:space="preserve">verlapping of activities. Field respondents noted that CO activities </w:t>
      </w:r>
      <w:r>
        <w:rPr>
          <w:rFonts w:asciiTheme="majorHAnsi" w:eastAsia="Calibri" w:hAnsiTheme="majorHAnsi" w:cstheme="majorHAnsi"/>
          <w:color w:val="000000" w:themeColor="text1"/>
        </w:rPr>
        <w:t xml:space="preserve">tend to be prioritised </w:t>
      </w:r>
      <w:r w:rsidRPr="000758B6">
        <w:rPr>
          <w:rFonts w:asciiTheme="majorHAnsi" w:eastAsia="Calibri" w:hAnsiTheme="majorHAnsi" w:cstheme="majorHAnsi"/>
          <w:color w:val="000000" w:themeColor="text1"/>
        </w:rPr>
        <w:t>over local activities, which often disrupts plans at the local level and o</w:t>
      </w:r>
      <w:r w:rsidRPr="000758B6">
        <w:rPr>
          <w:rFonts w:asciiTheme="majorHAnsi" w:hAnsiTheme="majorHAnsi" w:cstheme="majorHAnsi"/>
          <w:color w:val="000000" w:themeColor="text1"/>
        </w:rPr>
        <w:t xml:space="preserve">verwhelms participants (e.g. </w:t>
      </w:r>
      <w:r>
        <w:rPr>
          <w:rFonts w:asciiTheme="majorHAnsi" w:hAnsiTheme="majorHAnsi" w:cstheme="majorHAnsi"/>
          <w:color w:val="000000" w:themeColor="text1"/>
        </w:rPr>
        <w:t>principals</w:t>
      </w:r>
      <w:r w:rsidRPr="000758B6">
        <w:rPr>
          <w:rFonts w:asciiTheme="majorHAnsi" w:hAnsiTheme="majorHAnsi" w:cstheme="majorHAnsi"/>
          <w:color w:val="000000" w:themeColor="text1"/>
        </w:rPr>
        <w:t xml:space="preserve"> and teachers)</w:t>
      </w:r>
      <w:r>
        <w:rPr>
          <w:rFonts w:asciiTheme="majorHAnsi" w:hAnsiTheme="majorHAnsi" w:cstheme="majorHAnsi"/>
          <w:color w:val="000000" w:themeColor="text1"/>
        </w:rPr>
        <w:t>.</w:t>
      </w:r>
    </w:p>
    <w:p w14:paraId="0C4E8B4D" w14:textId="6A701A97" w:rsidR="008D0CAD" w:rsidRPr="00906B4B" w:rsidRDefault="008D0CAD" w:rsidP="007B6836">
      <w:pPr>
        <w:tabs>
          <w:tab w:val="left" w:pos="317"/>
        </w:tabs>
        <w:spacing w:before="100" w:beforeAutospacing="1" w:after="100" w:afterAutospacing="1" w:line="360" w:lineRule="auto"/>
        <w:rPr>
          <w:rFonts w:asciiTheme="majorHAnsi" w:hAnsiTheme="majorHAnsi" w:cstheme="majorHAnsi"/>
          <w:color w:val="000000" w:themeColor="text1"/>
        </w:rPr>
      </w:pPr>
      <w:r w:rsidRPr="000758B6">
        <w:rPr>
          <w:rFonts w:asciiTheme="majorHAnsi" w:eastAsia="Calibri" w:hAnsiTheme="majorHAnsi" w:cstheme="majorHAnsi"/>
          <w:b/>
          <w:bCs/>
          <w:color w:val="000000" w:themeColor="text1"/>
        </w:rPr>
        <w:t>Second</w:t>
      </w:r>
      <w:r>
        <w:rPr>
          <w:rFonts w:asciiTheme="majorHAnsi" w:eastAsia="Calibri" w:hAnsiTheme="majorHAnsi" w:cstheme="majorHAnsi"/>
          <w:color w:val="000000" w:themeColor="text1"/>
        </w:rPr>
        <w:t xml:space="preserve"> </w:t>
      </w:r>
      <w:r>
        <w:rPr>
          <w:rFonts w:asciiTheme="majorHAnsi" w:hAnsiTheme="majorHAnsi" w:cstheme="majorHAnsi"/>
          <w:color w:val="000000" w:themeColor="text1"/>
        </w:rPr>
        <w:t>there was</w:t>
      </w:r>
      <w:r w:rsidRPr="00906B4B">
        <w:rPr>
          <w:rFonts w:asciiTheme="majorHAnsi" w:hAnsiTheme="majorHAnsi" w:cstheme="majorHAnsi"/>
          <w:color w:val="000000" w:themeColor="text1"/>
        </w:rPr>
        <w:t xml:space="preserve"> inconsistency </w:t>
      </w:r>
      <w:r>
        <w:rPr>
          <w:rFonts w:asciiTheme="majorHAnsi" w:hAnsiTheme="majorHAnsi" w:cstheme="majorHAnsi"/>
          <w:color w:val="000000" w:themeColor="text1"/>
        </w:rPr>
        <w:t xml:space="preserve">in the duration and depth </w:t>
      </w:r>
      <w:r w:rsidRPr="00906B4B">
        <w:rPr>
          <w:rFonts w:asciiTheme="majorHAnsi" w:hAnsiTheme="majorHAnsi" w:cstheme="majorHAnsi"/>
          <w:color w:val="000000" w:themeColor="text1"/>
        </w:rPr>
        <w:t>of training</w:t>
      </w:r>
      <w:r>
        <w:rPr>
          <w:rFonts w:asciiTheme="majorHAnsi" w:hAnsiTheme="majorHAnsi" w:cstheme="majorHAnsi"/>
          <w:color w:val="000000" w:themeColor="text1"/>
        </w:rPr>
        <w:t>s offered</w:t>
      </w:r>
      <w:r w:rsidRPr="00906B4B">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with </w:t>
      </w:r>
      <w:r w:rsidRPr="00906B4B">
        <w:rPr>
          <w:rFonts w:asciiTheme="majorHAnsi" w:hAnsiTheme="majorHAnsi" w:cstheme="majorHAnsi"/>
          <w:color w:val="000000" w:themeColor="text1"/>
        </w:rPr>
        <w:t>variation in training content and/or messages</w:t>
      </w:r>
      <w:r>
        <w:rPr>
          <w:rFonts w:asciiTheme="majorHAnsi" w:hAnsiTheme="majorHAnsi" w:cstheme="majorHAnsi"/>
          <w:color w:val="000000" w:themeColor="text1"/>
        </w:rPr>
        <w:t>,</w:t>
      </w:r>
      <w:r w:rsidRPr="00906B4B">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and </w:t>
      </w:r>
      <w:r w:rsidRPr="00906B4B">
        <w:rPr>
          <w:rFonts w:asciiTheme="majorHAnsi" w:hAnsiTheme="majorHAnsi" w:cstheme="majorHAnsi"/>
          <w:color w:val="000000" w:themeColor="text1"/>
        </w:rPr>
        <w:t xml:space="preserve">differences in </w:t>
      </w:r>
      <w:r>
        <w:rPr>
          <w:rFonts w:asciiTheme="majorHAnsi" w:hAnsiTheme="majorHAnsi" w:cstheme="majorHAnsi"/>
          <w:color w:val="000000" w:themeColor="text1"/>
        </w:rPr>
        <w:t xml:space="preserve">the </w:t>
      </w:r>
      <w:r w:rsidRPr="00906B4B">
        <w:rPr>
          <w:rFonts w:asciiTheme="majorHAnsi" w:hAnsiTheme="majorHAnsi" w:cstheme="majorHAnsi"/>
          <w:color w:val="000000" w:themeColor="text1"/>
        </w:rPr>
        <w:t>quality of training materials</w:t>
      </w:r>
      <w:r>
        <w:rPr>
          <w:rFonts w:asciiTheme="majorHAnsi" w:hAnsiTheme="majorHAnsi" w:cstheme="majorHAnsi"/>
          <w:color w:val="000000" w:themeColor="text1"/>
        </w:rPr>
        <w:t xml:space="preserve"> at the local level.</w:t>
      </w:r>
      <w:r w:rsidR="00D434EB">
        <w:rPr>
          <w:rFonts w:asciiTheme="majorHAnsi" w:hAnsiTheme="majorHAnsi" w:cstheme="majorHAnsi"/>
          <w:color w:val="000000" w:themeColor="text1"/>
        </w:rPr>
        <w:t xml:space="preserve"> </w:t>
      </w:r>
      <w:r w:rsidRPr="00906B4B">
        <w:rPr>
          <w:rFonts w:asciiTheme="majorHAnsi" w:hAnsiTheme="majorHAnsi" w:cstheme="majorHAnsi"/>
          <w:color w:val="000000" w:themeColor="text1"/>
        </w:rPr>
        <w:t>To cascade information from the national level down to the DOs and school</w:t>
      </w:r>
      <w:r>
        <w:rPr>
          <w:rFonts w:asciiTheme="majorHAnsi" w:hAnsiTheme="majorHAnsi" w:cstheme="majorHAnsi"/>
          <w:color w:val="000000" w:themeColor="text1"/>
        </w:rPr>
        <w:t>s</w:t>
      </w:r>
      <w:r w:rsidRPr="00906B4B">
        <w:rPr>
          <w:rFonts w:asciiTheme="majorHAnsi" w:hAnsiTheme="majorHAnsi" w:cstheme="majorHAnsi"/>
          <w:color w:val="000000" w:themeColor="text1"/>
        </w:rPr>
        <w:t xml:space="preserve"> (such as orientations on a new policy issued or a training program on a new competency), the general process followed by the </w:t>
      </w:r>
      <w:r>
        <w:rPr>
          <w:rFonts w:asciiTheme="majorHAnsi" w:hAnsiTheme="majorHAnsi" w:cstheme="majorHAnsi"/>
          <w:color w:val="000000" w:themeColor="text1"/>
        </w:rPr>
        <w:t>Central Office</w:t>
      </w:r>
      <w:r w:rsidRPr="00906B4B">
        <w:rPr>
          <w:rFonts w:asciiTheme="majorHAnsi" w:hAnsiTheme="majorHAnsi" w:cstheme="majorHAnsi"/>
          <w:color w:val="000000" w:themeColor="text1"/>
        </w:rPr>
        <w:t xml:space="preserve"> OUs were as follows:</w:t>
      </w:r>
    </w:p>
    <w:p w14:paraId="3C42BEC6" w14:textId="77777777" w:rsidR="008D0CAD" w:rsidRDefault="008D0CAD" w:rsidP="007B6836">
      <w:pPr>
        <w:pStyle w:val="ListParagraph"/>
        <w:numPr>
          <w:ilvl w:val="0"/>
          <w:numId w:val="12"/>
        </w:numPr>
        <w:spacing w:before="100" w:beforeAutospacing="1" w:after="100" w:afterAutospacing="1" w:line="360" w:lineRule="auto"/>
        <w:rPr>
          <w:rFonts w:asciiTheme="majorHAnsi" w:hAnsiTheme="majorHAnsi" w:cstheme="majorHAnsi"/>
          <w:color w:val="000000" w:themeColor="text1"/>
        </w:rPr>
      </w:pPr>
      <w:r w:rsidRPr="00906B4B">
        <w:rPr>
          <w:rFonts w:asciiTheme="majorHAnsi" w:hAnsiTheme="majorHAnsi" w:cstheme="majorHAnsi"/>
          <w:color w:val="000000" w:themeColor="text1"/>
        </w:rPr>
        <w:t xml:space="preserve">A core training program or workshop </w:t>
      </w:r>
      <w:r>
        <w:rPr>
          <w:rFonts w:asciiTheme="majorHAnsi" w:hAnsiTheme="majorHAnsi" w:cstheme="majorHAnsi"/>
          <w:color w:val="000000" w:themeColor="text1"/>
        </w:rPr>
        <w:t>was</w:t>
      </w:r>
      <w:r w:rsidRPr="00906B4B">
        <w:rPr>
          <w:rFonts w:asciiTheme="majorHAnsi" w:hAnsiTheme="majorHAnsi" w:cstheme="majorHAnsi"/>
          <w:color w:val="000000" w:themeColor="text1"/>
        </w:rPr>
        <w:t xml:space="preserve"> organi</w:t>
      </w:r>
      <w:r>
        <w:rPr>
          <w:rFonts w:asciiTheme="majorHAnsi" w:hAnsiTheme="majorHAnsi" w:cstheme="majorHAnsi"/>
          <w:color w:val="000000" w:themeColor="text1"/>
        </w:rPr>
        <w:t>s</w:t>
      </w:r>
      <w:r w:rsidRPr="00906B4B">
        <w:rPr>
          <w:rFonts w:asciiTheme="majorHAnsi" w:hAnsiTheme="majorHAnsi" w:cstheme="majorHAnsi"/>
          <w:color w:val="000000" w:themeColor="text1"/>
        </w:rPr>
        <w:t xml:space="preserve">ed </w:t>
      </w:r>
      <w:r>
        <w:rPr>
          <w:rFonts w:asciiTheme="majorHAnsi" w:hAnsiTheme="majorHAnsi" w:cstheme="majorHAnsi"/>
          <w:color w:val="000000" w:themeColor="text1"/>
        </w:rPr>
        <w:t xml:space="preserve">in Manila or in a host Region (called National Training of Trainers or NTOT), </w:t>
      </w:r>
      <w:r w:rsidRPr="00906B4B">
        <w:rPr>
          <w:rFonts w:asciiTheme="majorHAnsi" w:hAnsiTheme="majorHAnsi" w:cstheme="majorHAnsi"/>
          <w:color w:val="000000" w:themeColor="text1"/>
        </w:rPr>
        <w:t>with participants coming from different RO</w:t>
      </w:r>
      <w:r>
        <w:rPr>
          <w:rFonts w:asciiTheme="majorHAnsi" w:hAnsiTheme="majorHAnsi" w:cstheme="majorHAnsi"/>
          <w:color w:val="000000" w:themeColor="text1"/>
        </w:rPr>
        <w:t>s</w:t>
      </w:r>
      <w:r w:rsidRPr="00906B4B">
        <w:rPr>
          <w:rFonts w:asciiTheme="majorHAnsi" w:hAnsiTheme="majorHAnsi" w:cstheme="majorHAnsi"/>
          <w:color w:val="000000" w:themeColor="text1"/>
        </w:rPr>
        <w:t xml:space="preserve"> and DO</w:t>
      </w:r>
      <w:r>
        <w:rPr>
          <w:rFonts w:asciiTheme="majorHAnsi" w:hAnsiTheme="majorHAnsi" w:cstheme="majorHAnsi"/>
          <w:color w:val="000000" w:themeColor="text1"/>
        </w:rPr>
        <w:t>s. The duration of these activities generally ranged from three to five days and sometimes longer depending on the program.</w:t>
      </w:r>
      <w:r w:rsidRPr="00906B4B">
        <w:rPr>
          <w:rFonts w:asciiTheme="majorHAnsi" w:hAnsiTheme="majorHAnsi" w:cstheme="majorHAnsi"/>
          <w:color w:val="000000" w:themeColor="text1"/>
        </w:rPr>
        <w:t xml:space="preserve"> </w:t>
      </w:r>
      <w:r>
        <w:rPr>
          <w:rFonts w:asciiTheme="majorHAnsi" w:hAnsiTheme="majorHAnsi" w:cstheme="majorHAnsi"/>
          <w:color w:val="000000" w:themeColor="text1"/>
        </w:rPr>
        <w:t>These programs were conducted with funding support from the Program.</w:t>
      </w:r>
    </w:p>
    <w:p w14:paraId="679D7570" w14:textId="69B8F7EE" w:rsidR="008D0CAD" w:rsidRDefault="008D0CAD" w:rsidP="007B6836">
      <w:pPr>
        <w:pStyle w:val="ListParagraph"/>
        <w:numPr>
          <w:ilvl w:val="0"/>
          <w:numId w:val="12"/>
        </w:num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color w:val="000000" w:themeColor="text1"/>
        </w:rPr>
        <w:t>The participants who attended these core training programs were then tasked to organise similar training sessions to ‘cascade’ the knowledge or skills to other personnel from their respective regions.</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Participants in this second round of trainings generally included other RO and DO personnel. These programs were often conducted without BEST Program technical support, though some programs did receive funding augmentation.</w:t>
      </w:r>
    </w:p>
    <w:p w14:paraId="1EAF3CC8" w14:textId="77777777" w:rsidR="008D0CAD" w:rsidRDefault="008D0CAD" w:rsidP="007B6836">
      <w:pPr>
        <w:pStyle w:val="ListParagraph"/>
        <w:numPr>
          <w:ilvl w:val="0"/>
          <w:numId w:val="12"/>
        </w:num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color w:val="000000" w:themeColor="text1"/>
        </w:rPr>
        <w:t xml:space="preserve">The trained participants from the DOs then conduct training to other DOs or directly to district personnel. </w:t>
      </w:r>
    </w:p>
    <w:p w14:paraId="43BB7822" w14:textId="77777777" w:rsidR="008D0CAD" w:rsidRPr="000758B6" w:rsidRDefault="008D0CAD" w:rsidP="007B6836">
      <w:pPr>
        <w:pStyle w:val="ListParagraph"/>
        <w:numPr>
          <w:ilvl w:val="0"/>
          <w:numId w:val="12"/>
        </w:numPr>
        <w:spacing w:before="100" w:beforeAutospacing="1" w:after="100" w:afterAutospacing="1" w:line="360" w:lineRule="auto"/>
        <w:rPr>
          <w:rFonts w:asciiTheme="majorHAnsi" w:hAnsiTheme="majorHAnsi" w:cstheme="majorHAnsi"/>
          <w:color w:val="000000" w:themeColor="text1"/>
        </w:rPr>
      </w:pPr>
      <w:r w:rsidRPr="00906B4B">
        <w:rPr>
          <w:rFonts w:asciiTheme="majorHAnsi" w:hAnsiTheme="majorHAnsi" w:cstheme="majorHAnsi"/>
          <w:color w:val="000000" w:themeColor="text1"/>
        </w:rPr>
        <w:t>Principals</w:t>
      </w:r>
      <w:r>
        <w:rPr>
          <w:rFonts w:asciiTheme="majorHAnsi" w:hAnsiTheme="majorHAnsi" w:cstheme="majorHAnsi"/>
          <w:color w:val="000000" w:themeColor="text1"/>
        </w:rPr>
        <w:t>/School Heads a</w:t>
      </w:r>
      <w:r w:rsidRPr="00906B4B">
        <w:rPr>
          <w:rFonts w:asciiTheme="majorHAnsi" w:hAnsiTheme="majorHAnsi" w:cstheme="majorHAnsi"/>
          <w:color w:val="000000" w:themeColor="text1"/>
        </w:rPr>
        <w:t xml:space="preserve"> and Master Teachers </w:t>
      </w:r>
      <w:r>
        <w:rPr>
          <w:rFonts w:asciiTheme="majorHAnsi" w:hAnsiTheme="majorHAnsi" w:cstheme="majorHAnsi"/>
          <w:color w:val="000000" w:themeColor="text1"/>
        </w:rPr>
        <w:t>are then trained by the DOs or Districts and they in turn cascade the information to the teachers.</w:t>
      </w:r>
    </w:p>
    <w:p w14:paraId="09FC8207" w14:textId="0ED5DA3C" w:rsidR="008D0CAD" w:rsidRDefault="008D0CAD" w:rsidP="007B6836">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color w:val="000000" w:themeColor="text1"/>
        </w:rPr>
        <w:t>I</w:t>
      </w:r>
      <w:r w:rsidRPr="00906B4B">
        <w:rPr>
          <w:rFonts w:asciiTheme="majorHAnsi" w:hAnsiTheme="majorHAnsi" w:cstheme="majorHAnsi"/>
          <w:color w:val="000000" w:themeColor="text1"/>
        </w:rPr>
        <w:t>nconsistenc</w:t>
      </w:r>
      <w:r>
        <w:rPr>
          <w:rFonts w:asciiTheme="majorHAnsi" w:hAnsiTheme="majorHAnsi" w:cstheme="majorHAnsi"/>
          <w:color w:val="000000" w:themeColor="text1"/>
        </w:rPr>
        <w:t>ies</w:t>
      </w:r>
      <w:r w:rsidRPr="00906B4B">
        <w:rPr>
          <w:rFonts w:asciiTheme="majorHAnsi" w:hAnsiTheme="majorHAnsi" w:cstheme="majorHAnsi"/>
          <w:color w:val="000000" w:themeColor="text1"/>
        </w:rPr>
        <w:t xml:space="preserve"> </w:t>
      </w:r>
      <w:r>
        <w:rPr>
          <w:rFonts w:asciiTheme="majorHAnsi" w:hAnsiTheme="majorHAnsi" w:cstheme="majorHAnsi"/>
          <w:color w:val="000000" w:themeColor="text1"/>
        </w:rPr>
        <w:t>with</w:t>
      </w:r>
      <w:r w:rsidRPr="00906B4B">
        <w:rPr>
          <w:rFonts w:asciiTheme="majorHAnsi" w:hAnsiTheme="majorHAnsi" w:cstheme="majorHAnsi"/>
          <w:color w:val="000000" w:themeColor="text1"/>
        </w:rPr>
        <w:t xml:space="preserve"> training duration</w:t>
      </w:r>
      <w:r>
        <w:rPr>
          <w:rFonts w:asciiTheme="majorHAnsi" w:hAnsiTheme="majorHAnsi" w:cstheme="majorHAnsi"/>
          <w:color w:val="000000" w:themeColor="text1"/>
        </w:rPr>
        <w:t xml:space="preserve"> occurred because the core training programs were conducted at an ideal duration, but the cascading programs were usually conducted at a truncated duration (e.g., a five-day training program was replicated as a three-day, two-day or one-day training program). When the roll-out reached the schools, the training programs were often conducted only through half-day LAC sessions.</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The main reasons given is the insufficient resources available to replicate the core training programs at the lower levels.</w:t>
      </w:r>
      <w:r w:rsidR="00D434EB">
        <w:rPr>
          <w:rFonts w:asciiTheme="majorHAnsi" w:hAnsiTheme="majorHAnsi" w:cstheme="majorHAnsi"/>
          <w:color w:val="000000" w:themeColor="text1"/>
        </w:rPr>
        <w:t xml:space="preserve"> </w:t>
      </w:r>
    </w:p>
    <w:p w14:paraId="3714F992" w14:textId="590A3B3D" w:rsidR="008D0CAD" w:rsidRDefault="008D0CAD" w:rsidP="007B6836">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color w:val="000000" w:themeColor="text1"/>
        </w:rPr>
        <w:t xml:space="preserve">The condensed roll-out training programs resulted in </w:t>
      </w:r>
      <w:r w:rsidRPr="00906B4B">
        <w:rPr>
          <w:rFonts w:asciiTheme="majorHAnsi" w:hAnsiTheme="majorHAnsi" w:cstheme="majorHAnsi"/>
          <w:color w:val="000000" w:themeColor="text1"/>
        </w:rPr>
        <w:t>variations in training content and messages</w:t>
      </w:r>
      <w:r>
        <w:rPr>
          <w:rFonts w:asciiTheme="majorHAnsi" w:hAnsiTheme="majorHAnsi" w:cstheme="majorHAnsi"/>
          <w:color w:val="000000" w:themeColor="text1"/>
        </w:rPr>
        <w:t>, which in turn leads to variations in level of knowledge and understanding.</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In addition, there are </w:t>
      </w:r>
      <w:r w:rsidRPr="00906B4B">
        <w:rPr>
          <w:rFonts w:asciiTheme="majorHAnsi" w:hAnsiTheme="majorHAnsi" w:cstheme="majorHAnsi"/>
          <w:color w:val="000000" w:themeColor="text1"/>
        </w:rPr>
        <w:t xml:space="preserve">differences in </w:t>
      </w:r>
      <w:r>
        <w:rPr>
          <w:rFonts w:asciiTheme="majorHAnsi" w:hAnsiTheme="majorHAnsi" w:cstheme="majorHAnsi"/>
          <w:color w:val="000000" w:themeColor="text1"/>
        </w:rPr>
        <w:t xml:space="preserve">the </w:t>
      </w:r>
      <w:r w:rsidRPr="00906B4B">
        <w:rPr>
          <w:rFonts w:asciiTheme="majorHAnsi" w:hAnsiTheme="majorHAnsi" w:cstheme="majorHAnsi"/>
          <w:color w:val="000000" w:themeColor="text1"/>
        </w:rPr>
        <w:t xml:space="preserve">quality of training materials </w:t>
      </w:r>
      <w:r>
        <w:rPr>
          <w:rFonts w:asciiTheme="majorHAnsi" w:hAnsiTheme="majorHAnsi" w:cstheme="majorHAnsi"/>
          <w:color w:val="000000" w:themeColor="text1"/>
        </w:rPr>
        <w:t>provided to participants who conduct the roll-out training programs, adding to the uneven understanding of the reforms.</w:t>
      </w:r>
    </w:p>
    <w:p w14:paraId="3AB72444" w14:textId="788F6BA6" w:rsidR="008D0CAD" w:rsidRDefault="008D0CAD" w:rsidP="007B6836">
      <w:pPr>
        <w:tabs>
          <w:tab w:val="left" w:pos="317"/>
        </w:tabs>
        <w:spacing w:before="100" w:beforeAutospacing="1" w:after="100" w:afterAutospacing="1" w:line="360" w:lineRule="auto"/>
        <w:rPr>
          <w:rFonts w:asciiTheme="majorHAnsi" w:hAnsiTheme="majorHAnsi" w:cstheme="majorHAnsi"/>
        </w:rPr>
      </w:pPr>
      <w:r w:rsidRPr="000758B6">
        <w:rPr>
          <w:rFonts w:asciiTheme="majorHAnsi" w:hAnsiTheme="majorHAnsi" w:cstheme="majorHAnsi"/>
          <w:b/>
          <w:bCs/>
          <w:color w:val="000000" w:themeColor="text1"/>
        </w:rPr>
        <w:t>Third</w:t>
      </w:r>
      <w:r>
        <w:rPr>
          <w:rFonts w:asciiTheme="majorHAnsi" w:hAnsiTheme="majorHAnsi" w:cstheme="majorHAnsi"/>
          <w:color w:val="000000" w:themeColor="text1"/>
        </w:rPr>
        <w:t xml:space="preserve"> is the absence of a systemic approach to participant selection.</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At the school level, the absence of a systemic approach in selecting participants to attend the trainings created tension in some units. </w:t>
      </w:r>
    </w:p>
    <w:p w14:paraId="1EF71075" w14:textId="3121AD00" w:rsidR="008D0CAD" w:rsidRPr="00D237BE" w:rsidRDefault="008D0CAD" w:rsidP="007B6836">
      <w:pPr>
        <w:tabs>
          <w:tab w:val="left" w:pos="317"/>
        </w:tabs>
        <w:spacing w:before="100" w:beforeAutospacing="1" w:after="100" w:afterAutospacing="1" w:line="360" w:lineRule="auto"/>
        <w:rPr>
          <w:rFonts w:asciiTheme="majorHAnsi" w:hAnsiTheme="majorHAnsi" w:cstheme="majorHAnsi"/>
          <w:color w:val="000000" w:themeColor="text1"/>
        </w:rPr>
      </w:pPr>
      <w:r w:rsidRPr="00D237BE">
        <w:rPr>
          <w:rFonts w:asciiTheme="majorHAnsi" w:hAnsiTheme="majorHAnsi" w:cstheme="majorHAnsi"/>
          <w:color w:val="000000" w:themeColor="text1"/>
        </w:rPr>
        <w:t>The fourth quality issue is the reduction of teachers’ contact time with students due to the competing demands on teachers’ time and attention.</w:t>
      </w:r>
      <w:r w:rsidR="00D434EB">
        <w:rPr>
          <w:rFonts w:asciiTheme="majorHAnsi" w:hAnsiTheme="majorHAnsi" w:cstheme="majorHAnsi"/>
          <w:color w:val="000000" w:themeColor="text1"/>
        </w:rPr>
        <w:t xml:space="preserve"> </w:t>
      </w:r>
      <w:r w:rsidRPr="00D237BE">
        <w:rPr>
          <w:rFonts w:asciiTheme="majorHAnsi" w:hAnsiTheme="majorHAnsi" w:cstheme="majorHAnsi"/>
          <w:color w:val="000000" w:themeColor="text1"/>
        </w:rPr>
        <w:t xml:space="preserve"> All </w:t>
      </w:r>
      <w:r w:rsidRPr="00D237BE">
        <w:rPr>
          <w:rFonts w:asciiTheme="majorHAnsi" w:hAnsiTheme="majorHAnsi" w:cstheme="majorHAnsi"/>
        </w:rPr>
        <w:t>FGDs conducted in the BEST-supported regions</w:t>
      </w:r>
      <w:r w:rsidRPr="00D237BE">
        <w:rPr>
          <w:rFonts w:asciiTheme="majorHAnsi" w:hAnsiTheme="majorHAnsi" w:cstheme="majorHAnsi"/>
          <w:color w:val="000000" w:themeColor="text1"/>
        </w:rPr>
        <w:t xml:space="preserve"> noted</w:t>
      </w:r>
      <w:r w:rsidRPr="00D237BE">
        <w:rPr>
          <w:rFonts w:asciiTheme="majorHAnsi" w:hAnsiTheme="majorHAnsi" w:cstheme="majorHAnsi"/>
        </w:rPr>
        <w:t xml:space="preserve"> the </w:t>
      </w:r>
      <w:r w:rsidRPr="00D237BE">
        <w:rPr>
          <w:rFonts w:asciiTheme="majorHAnsi" w:hAnsiTheme="majorHAnsi" w:cstheme="majorHAnsi"/>
          <w:color w:val="000000" w:themeColor="text1"/>
        </w:rPr>
        <w:t>reduction of teachers’ contact time with students which were partly attributed to the increase in teachers’ time spent doing their reports.</w:t>
      </w:r>
    </w:p>
    <w:p w14:paraId="073F247C" w14:textId="73F6AFD7" w:rsidR="008D0CAD" w:rsidRPr="00C00DC8" w:rsidRDefault="008D0CAD" w:rsidP="007B6836">
      <w:pPr>
        <w:tabs>
          <w:tab w:val="left" w:pos="317"/>
        </w:tabs>
        <w:spacing w:before="100" w:beforeAutospacing="1" w:after="100" w:afterAutospacing="1" w:line="360" w:lineRule="auto"/>
        <w:rPr>
          <w:rFonts w:asciiTheme="majorHAnsi" w:hAnsiTheme="majorHAnsi" w:cstheme="majorHAnsi"/>
          <w:color w:val="000000" w:themeColor="text1"/>
        </w:rPr>
      </w:pPr>
      <w:r w:rsidRPr="00CB78C8">
        <w:rPr>
          <w:rFonts w:asciiTheme="majorHAnsi" w:hAnsiTheme="majorHAnsi" w:cstheme="majorHAnsi"/>
          <w:color w:val="000000" w:themeColor="text1"/>
        </w:rPr>
        <w:t xml:space="preserve">Lastly, </w:t>
      </w:r>
      <w:r>
        <w:rPr>
          <w:rFonts w:asciiTheme="majorHAnsi" w:hAnsiTheme="majorHAnsi" w:cstheme="majorHAnsi"/>
          <w:color w:val="000000" w:themeColor="text1"/>
        </w:rPr>
        <w:t xml:space="preserve">there are </w:t>
      </w:r>
      <w:r w:rsidRPr="00CB78C8">
        <w:rPr>
          <w:rFonts w:asciiTheme="majorHAnsi" w:hAnsiTheme="majorHAnsi" w:cstheme="majorHAnsi"/>
          <w:color w:val="000000" w:themeColor="text1"/>
        </w:rPr>
        <w:t>unreasonable demands from school-level stakeholders</w:t>
      </w:r>
      <w:r>
        <w:rPr>
          <w:rFonts w:asciiTheme="majorHAnsi" w:hAnsiTheme="majorHAnsi" w:cstheme="majorHAnsi"/>
          <w:color w:val="000000" w:themeColor="text1"/>
        </w:rPr>
        <w:t xml:space="preserve">. One of the reasons for the resistance by some to the reforms being introduced with support from the BEST Program was the high behavioral and financial costs of some of the reforms. For instance, the teachers stressed that the </w:t>
      </w:r>
      <w:r w:rsidRPr="007E5319">
        <w:rPr>
          <w:rFonts w:asciiTheme="majorHAnsi" w:hAnsiTheme="majorHAnsi" w:cstheme="majorHAnsi"/>
          <w:color w:val="000000" w:themeColor="text1"/>
        </w:rPr>
        <w:t xml:space="preserve">preparation of the </w:t>
      </w:r>
      <w:r>
        <w:rPr>
          <w:rFonts w:asciiTheme="majorHAnsi" w:hAnsiTheme="majorHAnsi" w:cstheme="majorHAnsi"/>
          <w:color w:val="000000" w:themeColor="text1"/>
        </w:rPr>
        <w:t>Portfolio Assessment was so</w:t>
      </w:r>
      <w:r w:rsidRPr="00BE6230">
        <w:rPr>
          <w:rFonts w:asciiTheme="majorHAnsi" w:hAnsiTheme="majorHAnsi" w:cstheme="majorHAnsi"/>
          <w:color w:val="000000" w:themeColor="text1"/>
        </w:rPr>
        <w:t xml:space="preserve"> </w:t>
      </w:r>
      <w:r>
        <w:rPr>
          <w:rFonts w:asciiTheme="majorHAnsi" w:hAnsiTheme="majorHAnsi" w:cstheme="majorHAnsi"/>
          <w:color w:val="000000" w:themeColor="text1"/>
        </w:rPr>
        <w:t>t</w:t>
      </w:r>
      <w:r w:rsidRPr="00BE6230">
        <w:rPr>
          <w:rFonts w:asciiTheme="majorHAnsi" w:hAnsiTheme="majorHAnsi" w:cstheme="majorHAnsi"/>
          <w:color w:val="000000" w:themeColor="text1"/>
        </w:rPr>
        <w:t xml:space="preserve">ime consuming </w:t>
      </w:r>
      <w:r>
        <w:rPr>
          <w:rFonts w:asciiTheme="majorHAnsi" w:hAnsiTheme="majorHAnsi" w:cstheme="majorHAnsi"/>
          <w:color w:val="000000" w:themeColor="text1"/>
        </w:rPr>
        <w:t xml:space="preserve">that it fostered an environment that allowed </w:t>
      </w:r>
      <w:r w:rsidRPr="007E5319">
        <w:rPr>
          <w:rFonts w:asciiTheme="majorHAnsi" w:hAnsiTheme="majorHAnsi" w:cstheme="majorHAnsi"/>
          <w:color w:val="000000" w:themeColor="text1"/>
        </w:rPr>
        <w:t xml:space="preserve">entrepreneurial teachers </w:t>
      </w:r>
      <w:r>
        <w:rPr>
          <w:rFonts w:asciiTheme="majorHAnsi" w:hAnsiTheme="majorHAnsi" w:cstheme="majorHAnsi"/>
          <w:color w:val="000000" w:themeColor="text1"/>
        </w:rPr>
        <w:t>to</w:t>
      </w:r>
      <w:r w:rsidRPr="007E5319">
        <w:rPr>
          <w:rFonts w:asciiTheme="majorHAnsi" w:hAnsiTheme="majorHAnsi" w:cstheme="majorHAnsi"/>
          <w:color w:val="000000" w:themeColor="text1"/>
        </w:rPr>
        <w:t xml:space="preserve"> sell </w:t>
      </w:r>
      <w:r>
        <w:rPr>
          <w:rFonts w:asciiTheme="majorHAnsi" w:hAnsiTheme="majorHAnsi" w:cstheme="majorHAnsi"/>
          <w:color w:val="000000" w:themeColor="text1"/>
        </w:rPr>
        <w:t>documents as ‘Means Of Verification (MOVs) (evidence required for portfolios) to overwhelmed teachers.</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Another example is the use of the LR Portal. One of the factors preventing teachers from accessing resources from the LR Portal is that they often have to pay for internet connection and for the printing of the materials downloaded.</w:t>
      </w:r>
    </w:p>
    <w:p w14:paraId="1C676392" w14:textId="41F053BE" w:rsidR="008D0CAD" w:rsidRPr="003309BE" w:rsidRDefault="008D0CAD" w:rsidP="007B6836">
      <w:pPr>
        <w:pStyle w:val="Heading4"/>
        <w:numPr>
          <w:ilvl w:val="2"/>
          <w:numId w:val="38"/>
        </w:numPr>
        <w:spacing w:before="100" w:beforeAutospacing="1" w:after="100" w:afterAutospacing="1" w:line="360" w:lineRule="auto"/>
        <w:ind w:left="1418"/>
      </w:pPr>
      <w:r>
        <w:t>School-level factors</w:t>
      </w:r>
    </w:p>
    <w:p w14:paraId="45638632" w14:textId="5C150BA8" w:rsidR="008D0CAD" w:rsidRPr="004E53E1" w:rsidRDefault="008D0CAD" w:rsidP="007B6836">
      <w:pPr>
        <w:pStyle w:val="Heading5"/>
        <w:numPr>
          <w:ilvl w:val="3"/>
          <w:numId w:val="38"/>
        </w:numPr>
        <w:spacing w:before="100" w:beforeAutospacing="1" w:after="100" w:afterAutospacing="1" w:line="360" w:lineRule="auto"/>
      </w:pPr>
      <w:r>
        <w:t>Facilitating Factors</w:t>
      </w:r>
    </w:p>
    <w:p w14:paraId="162001CF" w14:textId="77777777" w:rsidR="008D0CAD" w:rsidRPr="004C60A8" w:rsidRDefault="008D0CAD" w:rsidP="008C061C">
      <w:pPr>
        <w:pStyle w:val="Heading6"/>
        <w:rPr>
          <w:color w:val="000000" w:themeColor="text1"/>
          <w14:textFill>
            <w14:solidFill>
              <w14:schemeClr w14:val="tx1">
                <w14:lumMod w14:val="50000"/>
                <w14:lumOff w14:val="50000"/>
                <w14:lumMod w14:val="65000"/>
                <w14:lumOff w14:val="35000"/>
              </w14:schemeClr>
            </w14:solidFill>
          </w14:textFill>
        </w:rPr>
      </w:pPr>
      <w:r w:rsidRPr="009521B7">
        <w:t xml:space="preserve">Clarity of value-adding features of reforms </w:t>
      </w:r>
      <w:r>
        <w:t>resulting in widespread acceptance</w:t>
      </w:r>
    </w:p>
    <w:p w14:paraId="64F22D47" w14:textId="6AF82734" w:rsidR="008D0CAD" w:rsidRDefault="008D0CAD" w:rsidP="007B6836">
      <w:pPr>
        <w:spacing w:before="100" w:beforeAutospacing="1" w:after="100" w:afterAutospacing="1" w:line="360" w:lineRule="auto"/>
        <w:rPr>
          <w:rFonts w:asciiTheme="majorHAnsi" w:hAnsiTheme="majorHAnsi" w:cstheme="majorHAnsi"/>
        </w:rPr>
      </w:pPr>
      <w:r>
        <w:rPr>
          <w:rFonts w:asciiTheme="majorHAnsi" w:hAnsiTheme="majorHAnsi" w:cstheme="majorHAnsi"/>
        </w:rPr>
        <w:t>One</w:t>
      </w:r>
      <w:r w:rsidRPr="00170323">
        <w:rPr>
          <w:rFonts w:asciiTheme="majorHAnsi" w:hAnsiTheme="majorHAnsi" w:cstheme="majorHAnsi"/>
        </w:rPr>
        <w:t xml:space="preserve"> facilitating factor </w:t>
      </w:r>
      <w:r>
        <w:rPr>
          <w:rFonts w:asciiTheme="majorHAnsi" w:hAnsiTheme="majorHAnsi" w:cstheme="majorHAnsi"/>
        </w:rPr>
        <w:t xml:space="preserve">for </w:t>
      </w:r>
      <w:r w:rsidRPr="00170323">
        <w:rPr>
          <w:rFonts w:asciiTheme="majorHAnsi" w:hAnsiTheme="majorHAnsi" w:cstheme="majorHAnsi"/>
        </w:rPr>
        <w:t xml:space="preserve">the </w:t>
      </w:r>
      <w:r w:rsidRPr="00170323">
        <w:rPr>
          <w:rFonts w:asciiTheme="majorHAnsi" w:eastAsiaTheme="minorHAnsi" w:hAnsiTheme="majorHAnsi" w:cstheme="majorHAnsi"/>
        </w:rPr>
        <w:t xml:space="preserve">UISS was </w:t>
      </w:r>
      <w:r>
        <w:rPr>
          <w:rFonts w:asciiTheme="majorHAnsi" w:eastAsiaTheme="minorHAnsi" w:hAnsiTheme="majorHAnsi" w:cstheme="majorHAnsi"/>
        </w:rPr>
        <w:t>the clarity of the benefits that it produced</w:t>
      </w:r>
      <w:r w:rsidRPr="00170323">
        <w:rPr>
          <w:rFonts w:asciiTheme="majorHAnsi" w:eastAsiaTheme="minorHAnsi" w:hAnsiTheme="majorHAnsi" w:cstheme="majorHAnsi"/>
        </w:rPr>
        <w:t xml:space="preserve">. </w:t>
      </w:r>
      <w:r w:rsidRPr="00170323">
        <w:rPr>
          <w:rFonts w:asciiTheme="majorHAnsi" w:hAnsiTheme="majorHAnsi" w:cstheme="majorHAnsi"/>
        </w:rPr>
        <w:t xml:space="preserve">According to the DOs, </w:t>
      </w:r>
      <w:r>
        <w:rPr>
          <w:rFonts w:asciiTheme="majorHAnsi" w:hAnsiTheme="majorHAnsi" w:cstheme="majorHAnsi"/>
        </w:rPr>
        <w:t xml:space="preserve">the use of the EBEIS, the LIS and the PMIS resulted in </w:t>
      </w:r>
      <w:r w:rsidRPr="00170323">
        <w:rPr>
          <w:rFonts w:asciiTheme="majorHAnsi" w:hAnsiTheme="majorHAnsi" w:cstheme="majorHAnsi"/>
        </w:rPr>
        <w:t xml:space="preserve">increased efficiency of </w:t>
      </w:r>
      <w:r>
        <w:rPr>
          <w:rFonts w:asciiTheme="majorHAnsi" w:hAnsiTheme="majorHAnsi" w:cstheme="majorHAnsi"/>
        </w:rPr>
        <w:t xml:space="preserve">their </w:t>
      </w:r>
      <w:r w:rsidRPr="00170323">
        <w:rPr>
          <w:rFonts w:asciiTheme="majorHAnsi" w:hAnsiTheme="majorHAnsi" w:cstheme="majorHAnsi"/>
        </w:rPr>
        <w:t>work. Report preparation became more efficient because of</w:t>
      </w:r>
      <w:r>
        <w:rPr>
          <w:rFonts w:asciiTheme="majorHAnsi" w:hAnsiTheme="majorHAnsi" w:cstheme="majorHAnsi"/>
        </w:rPr>
        <w:t xml:space="preserve"> UISS as the time it took to prepare such reports was drastically reduced</w:t>
      </w:r>
      <w:r w:rsidRPr="008C7FA7">
        <w:rPr>
          <w:rFonts w:asciiTheme="majorHAnsi" w:hAnsiTheme="majorHAnsi" w:cstheme="majorHAnsi"/>
        </w:rPr>
        <w:t>.</w:t>
      </w:r>
      <w:r w:rsidR="00D434EB">
        <w:rPr>
          <w:rFonts w:asciiTheme="majorHAnsi" w:hAnsiTheme="majorHAnsi" w:cstheme="majorHAnsi"/>
        </w:rPr>
        <w:t xml:space="preserve"> </w:t>
      </w:r>
      <w:r>
        <w:rPr>
          <w:rFonts w:asciiTheme="majorHAnsi" w:hAnsiTheme="majorHAnsi" w:cstheme="majorHAnsi"/>
        </w:rPr>
        <w:t>Moreover, the perception that</w:t>
      </w:r>
      <w:r w:rsidRPr="008C7FA7">
        <w:rPr>
          <w:rFonts w:asciiTheme="majorHAnsi" w:hAnsiTheme="majorHAnsi" w:cstheme="majorHAnsi"/>
          <w:color w:val="000000"/>
        </w:rPr>
        <w:t xml:space="preserve"> data </w:t>
      </w:r>
      <w:r>
        <w:rPr>
          <w:rFonts w:asciiTheme="majorHAnsi" w:hAnsiTheme="majorHAnsi" w:cstheme="majorHAnsi"/>
          <w:color w:val="000000"/>
        </w:rPr>
        <w:t>was now</w:t>
      </w:r>
      <w:r w:rsidRPr="008C7FA7">
        <w:rPr>
          <w:rFonts w:asciiTheme="majorHAnsi" w:hAnsiTheme="majorHAnsi" w:cstheme="majorHAnsi"/>
          <w:color w:val="000000"/>
        </w:rPr>
        <w:t xml:space="preserve"> more accurate</w:t>
      </w:r>
      <w:r>
        <w:rPr>
          <w:rFonts w:asciiTheme="majorHAnsi" w:hAnsiTheme="majorHAnsi" w:cstheme="majorHAnsi"/>
          <w:color w:val="000000"/>
        </w:rPr>
        <w:t xml:space="preserve"> also increased the capacity to undertake evidence-based decision making.</w:t>
      </w:r>
      <w:r w:rsidR="00D434EB">
        <w:rPr>
          <w:rFonts w:asciiTheme="majorHAnsi" w:hAnsiTheme="majorHAnsi" w:cstheme="majorHAnsi"/>
          <w:color w:val="000000"/>
        </w:rPr>
        <w:t xml:space="preserve"> </w:t>
      </w:r>
      <w:r>
        <w:rPr>
          <w:rFonts w:asciiTheme="majorHAnsi" w:hAnsiTheme="majorHAnsi" w:cstheme="majorHAnsi"/>
        </w:rPr>
        <w:t>Similarly, t</w:t>
      </w:r>
      <w:r w:rsidRPr="00000823">
        <w:rPr>
          <w:rFonts w:asciiTheme="majorHAnsi" w:hAnsiTheme="majorHAnsi" w:cstheme="majorHAnsi"/>
        </w:rPr>
        <w:t>he LR portal</w:t>
      </w:r>
      <w:r>
        <w:rPr>
          <w:rFonts w:asciiTheme="majorHAnsi" w:hAnsiTheme="majorHAnsi" w:cstheme="majorHAnsi"/>
        </w:rPr>
        <w:t xml:space="preserve"> could be observed to </w:t>
      </w:r>
      <w:r w:rsidRPr="00000823">
        <w:rPr>
          <w:rFonts w:asciiTheme="majorHAnsi" w:hAnsiTheme="majorHAnsi" w:cstheme="majorHAnsi"/>
        </w:rPr>
        <w:t>increase</w:t>
      </w:r>
      <w:r>
        <w:rPr>
          <w:rFonts w:asciiTheme="majorHAnsi" w:hAnsiTheme="majorHAnsi" w:cstheme="majorHAnsi"/>
        </w:rPr>
        <w:t xml:space="preserve"> </w:t>
      </w:r>
      <w:r w:rsidRPr="00000823">
        <w:rPr>
          <w:rFonts w:asciiTheme="majorHAnsi" w:hAnsiTheme="majorHAnsi" w:cstheme="majorHAnsi"/>
        </w:rPr>
        <w:t>teachers’ access to learning resources.</w:t>
      </w:r>
    </w:p>
    <w:p w14:paraId="39BFD6C8" w14:textId="4D04E96E" w:rsidR="008D0CAD" w:rsidRPr="00C00DC8" w:rsidRDefault="008D0CAD" w:rsidP="007B6836">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color w:val="000000" w:themeColor="text1"/>
          <w:shd w:val="clear" w:color="auto" w:fill="FFFFFF"/>
        </w:rPr>
        <w:t>The ability to directly observe the benefits of school level interventions such as the School Based Management (SBM) support was one of the</w:t>
      </w:r>
      <w:r w:rsidRPr="00C00DC8">
        <w:rPr>
          <w:rFonts w:asciiTheme="majorHAnsi" w:hAnsiTheme="majorHAnsi" w:cstheme="majorHAnsi"/>
          <w:color w:val="000000" w:themeColor="text1"/>
          <w:shd w:val="clear" w:color="auto" w:fill="FFFFFF"/>
        </w:rPr>
        <w:t xml:space="preserve"> factors that facilitated the attainment of EOPO 2 </w:t>
      </w:r>
      <w:r>
        <w:rPr>
          <w:rFonts w:asciiTheme="majorHAnsi" w:hAnsiTheme="majorHAnsi" w:cstheme="majorHAnsi"/>
          <w:color w:val="000000" w:themeColor="text1"/>
          <w:shd w:val="clear" w:color="auto" w:fill="FFFFFF"/>
        </w:rPr>
        <w:t>(</w:t>
      </w:r>
      <w:r w:rsidRPr="00C00DC8">
        <w:rPr>
          <w:rFonts w:asciiTheme="majorHAnsi" w:hAnsiTheme="majorHAnsi" w:cstheme="majorHAnsi"/>
          <w:color w:val="000000" w:themeColor="text1"/>
          <w:shd w:val="clear" w:color="auto" w:fill="FFFFFF"/>
        </w:rPr>
        <w:t>increas</w:t>
      </w:r>
      <w:r>
        <w:rPr>
          <w:rFonts w:asciiTheme="majorHAnsi" w:hAnsiTheme="majorHAnsi" w:cstheme="majorHAnsi"/>
          <w:color w:val="000000" w:themeColor="text1"/>
          <w:shd w:val="clear" w:color="auto" w:fill="FFFFFF"/>
        </w:rPr>
        <w:t>ing</w:t>
      </w:r>
      <w:r w:rsidRPr="00C00DC8">
        <w:rPr>
          <w:rFonts w:asciiTheme="majorHAnsi" w:hAnsiTheme="majorHAnsi" w:cstheme="majorHAnsi"/>
          <w:color w:val="000000" w:themeColor="text1"/>
          <w:shd w:val="clear" w:color="auto" w:fill="FFFFFF"/>
        </w:rPr>
        <w:t xml:space="preserve"> student participation and completion</w:t>
      </w:r>
      <w:r>
        <w:rPr>
          <w:rFonts w:asciiTheme="majorHAnsi" w:hAnsiTheme="majorHAnsi" w:cstheme="majorHAnsi"/>
          <w:color w:val="000000" w:themeColor="text1"/>
          <w:shd w:val="clear" w:color="auto" w:fill="FFFFFF"/>
        </w:rPr>
        <w:t>).</w:t>
      </w:r>
      <w:r w:rsidR="00D434EB">
        <w:rPr>
          <w:rFonts w:asciiTheme="majorHAnsi" w:hAnsiTheme="majorHAnsi" w:cstheme="majorHAnsi"/>
          <w:color w:val="000000" w:themeColor="text1"/>
        </w:rPr>
        <w:t xml:space="preserve"> </w:t>
      </w:r>
    </w:p>
    <w:p w14:paraId="0F9F9645" w14:textId="495D7071" w:rsidR="008D0CAD" w:rsidRDefault="008D0CAD" w:rsidP="007B6836">
      <w:pPr>
        <w:pStyle w:val="NormalWeb"/>
        <w:spacing w:line="360" w:lineRule="auto"/>
        <w:rPr>
          <w:rFonts w:asciiTheme="majorHAnsi" w:hAnsiTheme="majorHAnsi" w:cstheme="majorHAnsi"/>
        </w:rPr>
      </w:pPr>
      <w:r w:rsidRPr="00C00DC8">
        <w:rPr>
          <w:rFonts w:asciiTheme="majorHAnsi" w:hAnsiTheme="majorHAnsi" w:cstheme="majorHAnsi"/>
        </w:rPr>
        <w:t xml:space="preserve">RO/DO respondents stated that SBM had been in place for several years but there had been no serious progress on the SBM since the issuance of </w:t>
      </w:r>
      <w:r>
        <w:rPr>
          <w:rFonts w:asciiTheme="majorHAnsi" w:hAnsiTheme="majorHAnsi" w:cstheme="majorHAnsi"/>
        </w:rPr>
        <w:t>DepEd</w:t>
      </w:r>
      <w:r w:rsidRPr="00C00DC8">
        <w:rPr>
          <w:rFonts w:asciiTheme="majorHAnsi" w:hAnsiTheme="majorHAnsi" w:cstheme="majorHAnsi"/>
        </w:rPr>
        <w:t xml:space="preserve"> Order No. 83 s. 2012, or the SBM Assessment Processes and Tools (SBM APAT).</w:t>
      </w:r>
      <w:r w:rsidR="00D434EB">
        <w:rPr>
          <w:rFonts w:asciiTheme="majorHAnsi" w:hAnsiTheme="majorHAnsi" w:cstheme="majorHAnsi"/>
        </w:rPr>
        <w:t xml:space="preserve"> </w:t>
      </w:r>
      <w:r>
        <w:rPr>
          <w:rFonts w:asciiTheme="majorHAnsi" w:hAnsiTheme="majorHAnsi" w:cstheme="majorHAnsi"/>
        </w:rPr>
        <w:t>However,</w:t>
      </w:r>
      <w:r w:rsidRPr="00C00DC8">
        <w:rPr>
          <w:rFonts w:asciiTheme="majorHAnsi" w:hAnsiTheme="majorHAnsi" w:cstheme="majorHAnsi"/>
        </w:rPr>
        <w:t xml:space="preserve"> under the BEST Program, the crafting of the School Improvement Plan (SIP) was </w:t>
      </w:r>
      <w:r>
        <w:rPr>
          <w:rFonts w:asciiTheme="majorHAnsi" w:hAnsiTheme="majorHAnsi" w:cstheme="majorHAnsi"/>
        </w:rPr>
        <w:t>prioritised and helped to demonstrate the tangible benefits of SBM at school level.</w:t>
      </w:r>
      <w:r w:rsidRPr="00C00DC8">
        <w:rPr>
          <w:rFonts w:asciiTheme="majorHAnsi" w:hAnsiTheme="majorHAnsi" w:cstheme="majorHAnsi"/>
        </w:rPr>
        <w:t xml:space="preserve"> </w:t>
      </w:r>
      <w:r>
        <w:rPr>
          <w:rFonts w:asciiTheme="majorHAnsi" w:hAnsiTheme="majorHAnsi" w:cstheme="majorHAnsi"/>
        </w:rPr>
        <w:t>RO/DO participants</w:t>
      </w:r>
      <w:r w:rsidRPr="007174F2">
        <w:rPr>
          <w:rFonts w:asciiTheme="majorHAnsi" w:hAnsiTheme="majorHAnsi" w:cstheme="majorHAnsi"/>
        </w:rPr>
        <w:t xml:space="preserve"> </w:t>
      </w:r>
      <w:r>
        <w:rPr>
          <w:rFonts w:asciiTheme="majorHAnsi" w:hAnsiTheme="majorHAnsi" w:cstheme="majorHAnsi"/>
        </w:rPr>
        <w:t>noted that during the implementation of the BEST Program, there was a shift in</w:t>
      </w:r>
      <w:r w:rsidRPr="007174F2">
        <w:rPr>
          <w:rFonts w:asciiTheme="majorHAnsi" w:hAnsiTheme="majorHAnsi" w:cstheme="majorHAnsi"/>
        </w:rPr>
        <w:t xml:space="preserve"> </w:t>
      </w:r>
      <w:r>
        <w:rPr>
          <w:rFonts w:asciiTheme="majorHAnsi" w:hAnsiTheme="majorHAnsi" w:cstheme="majorHAnsi"/>
        </w:rPr>
        <w:t>the perceived</w:t>
      </w:r>
      <w:r w:rsidRPr="007174F2">
        <w:rPr>
          <w:rFonts w:asciiTheme="majorHAnsi" w:hAnsiTheme="majorHAnsi" w:cstheme="majorHAnsi"/>
        </w:rPr>
        <w:t xml:space="preserve"> relevance of SBM </w:t>
      </w:r>
      <w:r>
        <w:rPr>
          <w:rFonts w:asciiTheme="majorHAnsi" w:hAnsiTheme="majorHAnsi" w:cstheme="majorHAnsi"/>
        </w:rPr>
        <w:t>from simply a “</w:t>
      </w:r>
      <w:r w:rsidRPr="007174F2">
        <w:rPr>
          <w:rFonts w:asciiTheme="majorHAnsi" w:hAnsiTheme="majorHAnsi" w:cstheme="majorHAnsi"/>
        </w:rPr>
        <w:t>requirement</w:t>
      </w:r>
      <w:r>
        <w:rPr>
          <w:rFonts w:asciiTheme="majorHAnsi" w:hAnsiTheme="majorHAnsi" w:cstheme="majorHAnsi"/>
        </w:rPr>
        <w:t xml:space="preserve">” to a development </w:t>
      </w:r>
      <w:r w:rsidRPr="007174F2">
        <w:rPr>
          <w:rFonts w:asciiTheme="majorHAnsi" w:hAnsiTheme="majorHAnsi" w:cstheme="majorHAnsi"/>
          <w:color w:val="000000"/>
        </w:rPr>
        <w:t xml:space="preserve">intervention </w:t>
      </w:r>
      <w:r>
        <w:rPr>
          <w:rFonts w:asciiTheme="majorHAnsi" w:hAnsiTheme="majorHAnsi" w:cstheme="majorHAnsi"/>
          <w:color w:val="000000"/>
        </w:rPr>
        <w:t xml:space="preserve">designed </w:t>
      </w:r>
      <w:r w:rsidRPr="007174F2">
        <w:rPr>
          <w:rFonts w:asciiTheme="majorHAnsi" w:hAnsiTheme="majorHAnsi" w:cstheme="majorHAnsi"/>
          <w:color w:val="000000"/>
        </w:rPr>
        <w:t xml:space="preserve">to improve students’ performance and </w:t>
      </w:r>
      <w:r>
        <w:rPr>
          <w:rFonts w:asciiTheme="majorHAnsi" w:hAnsiTheme="majorHAnsi" w:cstheme="majorHAnsi"/>
          <w:color w:val="000000"/>
        </w:rPr>
        <w:t>strengthen the participation</w:t>
      </w:r>
      <w:r w:rsidRPr="007174F2">
        <w:rPr>
          <w:rFonts w:asciiTheme="majorHAnsi" w:hAnsiTheme="majorHAnsi" w:cstheme="majorHAnsi"/>
          <w:color w:val="000000"/>
        </w:rPr>
        <w:t xml:space="preserve"> of </w:t>
      </w:r>
      <w:r>
        <w:rPr>
          <w:rFonts w:asciiTheme="majorHAnsi" w:hAnsiTheme="majorHAnsi" w:cstheme="majorHAnsi"/>
          <w:color w:val="000000"/>
        </w:rPr>
        <w:t>external stakeholders in education governance</w:t>
      </w:r>
      <w:r w:rsidRPr="007174F2">
        <w:rPr>
          <w:rFonts w:asciiTheme="majorHAnsi" w:hAnsiTheme="majorHAnsi" w:cstheme="majorHAnsi"/>
        </w:rPr>
        <w:t xml:space="preserve">. </w:t>
      </w:r>
      <w:r>
        <w:rPr>
          <w:rFonts w:asciiTheme="majorHAnsi" w:hAnsiTheme="majorHAnsi" w:cstheme="majorHAnsi"/>
        </w:rPr>
        <w:t xml:space="preserve">This paradigm shift was a key facilitating factor. RO/DO respondents added that during the time of the Study, </w:t>
      </w:r>
      <w:r w:rsidRPr="007174F2">
        <w:rPr>
          <w:rFonts w:asciiTheme="majorHAnsi" w:hAnsiTheme="majorHAnsi" w:cstheme="majorHAnsi"/>
        </w:rPr>
        <w:t xml:space="preserve">SBM </w:t>
      </w:r>
      <w:r>
        <w:rPr>
          <w:rFonts w:asciiTheme="majorHAnsi" w:hAnsiTheme="majorHAnsi" w:cstheme="majorHAnsi"/>
        </w:rPr>
        <w:t xml:space="preserve">was being </w:t>
      </w:r>
      <w:r w:rsidRPr="007174F2">
        <w:rPr>
          <w:rFonts w:asciiTheme="majorHAnsi" w:hAnsiTheme="majorHAnsi" w:cstheme="majorHAnsi"/>
        </w:rPr>
        <w:t xml:space="preserve">implemented in all schools </w:t>
      </w:r>
      <w:r>
        <w:rPr>
          <w:rFonts w:asciiTheme="majorHAnsi" w:hAnsiTheme="majorHAnsi" w:cstheme="majorHAnsi"/>
        </w:rPr>
        <w:t>and that</w:t>
      </w:r>
      <w:r w:rsidRPr="007174F2">
        <w:rPr>
          <w:rFonts w:asciiTheme="majorHAnsi" w:hAnsiTheme="majorHAnsi" w:cstheme="majorHAnsi"/>
        </w:rPr>
        <w:t xml:space="preserve"> monitoring </w:t>
      </w:r>
      <w:r>
        <w:rPr>
          <w:rFonts w:asciiTheme="majorHAnsi" w:hAnsiTheme="majorHAnsi" w:cstheme="majorHAnsi"/>
        </w:rPr>
        <w:t>of implementation was being</w:t>
      </w:r>
      <w:r w:rsidRPr="007174F2">
        <w:rPr>
          <w:rFonts w:asciiTheme="majorHAnsi" w:hAnsiTheme="majorHAnsi" w:cstheme="majorHAnsi"/>
        </w:rPr>
        <w:t xml:space="preserve"> regular</w:t>
      </w:r>
      <w:r>
        <w:rPr>
          <w:rFonts w:asciiTheme="majorHAnsi" w:hAnsiTheme="majorHAnsi" w:cstheme="majorHAnsi"/>
        </w:rPr>
        <w:t>ly</w:t>
      </w:r>
      <w:r w:rsidR="00AD7421">
        <w:rPr>
          <w:rFonts w:asciiTheme="majorHAnsi" w:hAnsiTheme="majorHAnsi" w:cstheme="majorHAnsi"/>
        </w:rPr>
        <w:t xml:space="preserve"> conducted</w:t>
      </w:r>
      <w:r w:rsidRPr="007174F2">
        <w:rPr>
          <w:rFonts w:asciiTheme="majorHAnsi" w:hAnsiTheme="majorHAnsi" w:cstheme="majorHAnsi"/>
        </w:rPr>
        <w:t>.</w:t>
      </w:r>
    </w:p>
    <w:p w14:paraId="78547FD9" w14:textId="77777777" w:rsidR="008D0CAD" w:rsidRDefault="008D0CAD" w:rsidP="007B6836">
      <w:pPr>
        <w:pStyle w:val="NormalWeb"/>
        <w:spacing w:line="360" w:lineRule="auto"/>
        <w:rPr>
          <w:rFonts w:asciiTheme="majorHAnsi" w:hAnsiTheme="majorHAnsi" w:cstheme="majorHAnsi"/>
        </w:rPr>
      </w:pPr>
      <w:r>
        <w:rPr>
          <w:rFonts w:asciiTheme="majorHAnsi" w:hAnsiTheme="majorHAnsi" w:cstheme="majorHAnsi"/>
        </w:rPr>
        <w:t>Another facilitating factor was l</w:t>
      </w:r>
      <w:r w:rsidRPr="006105FF">
        <w:rPr>
          <w:rFonts w:asciiTheme="majorHAnsi" w:hAnsiTheme="majorHAnsi" w:cstheme="majorHAnsi"/>
        </w:rPr>
        <w:t xml:space="preserve">inking </w:t>
      </w:r>
      <w:r>
        <w:rPr>
          <w:rFonts w:asciiTheme="majorHAnsi" w:hAnsiTheme="majorHAnsi" w:cstheme="majorHAnsi"/>
        </w:rPr>
        <w:t xml:space="preserve">SBM </w:t>
      </w:r>
      <w:r w:rsidRPr="006105FF">
        <w:rPr>
          <w:rFonts w:asciiTheme="majorHAnsi" w:hAnsiTheme="majorHAnsi" w:cstheme="majorHAnsi"/>
        </w:rPr>
        <w:t>with performance</w:t>
      </w:r>
      <w:r>
        <w:rPr>
          <w:rFonts w:asciiTheme="majorHAnsi" w:hAnsiTheme="majorHAnsi" w:cstheme="majorHAnsi"/>
        </w:rPr>
        <w:t xml:space="preserve">. </w:t>
      </w:r>
      <w:r>
        <w:rPr>
          <w:rFonts w:asciiTheme="majorHAnsi" w:hAnsiTheme="majorHAnsi" w:cstheme="majorHAnsi"/>
          <w:color w:val="0A0A0A"/>
          <w:shd w:val="clear" w:color="auto" w:fill="FFFFFF"/>
        </w:rPr>
        <w:t xml:space="preserve">Departmental Order 44 (on the eSIP and SRC) tied </w:t>
      </w:r>
      <w:r>
        <w:rPr>
          <w:rFonts w:asciiTheme="majorHAnsi" w:hAnsiTheme="majorHAnsi" w:cstheme="majorHAnsi"/>
        </w:rPr>
        <w:t xml:space="preserve">the implementation of SBM to the performance assessments of school </w:t>
      </w:r>
      <w:r w:rsidRPr="00EB1752">
        <w:rPr>
          <w:rFonts w:asciiTheme="majorHAnsi" w:hAnsiTheme="majorHAnsi" w:cstheme="majorHAnsi"/>
        </w:rPr>
        <w:t>heads</w:t>
      </w:r>
      <w:r w:rsidRPr="00F70AF8">
        <w:rPr>
          <w:rFonts w:asciiTheme="majorHAnsi" w:hAnsiTheme="majorHAnsi" w:cstheme="majorHAnsi"/>
          <w:color w:val="0A0A0A"/>
          <w:shd w:val="clear" w:color="auto" w:fill="FFFFFF"/>
        </w:rPr>
        <w:t>, teachers, and staff</w:t>
      </w:r>
      <w:r>
        <w:rPr>
          <w:rFonts w:asciiTheme="majorHAnsi" w:hAnsiTheme="majorHAnsi" w:cstheme="majorHAnsi"/>
          <w:color w:val="0A0A0A"/>
          <w:shd w:val="clear" w:color="auto" w:fill="FFFFFF"/>
        </w:rPr>
        <w:t xml:space="preserve"> according to the provision below:</w:t>
      </w:r>
    </w:p>
    <w:p w14:paraId="5CB99D2B" w14:textId="77777777" w:rsidR="008D0CAD" w:rsidRPr="001D0436" w:rsidRDefault="008D0CAD" w:rsidP="007B6836">
      <w:pPr>
        <w:spacing w:before="100" w:beforeAutospacing="1" w:after="100" w:afterAutospacing="1" w:line="360" w:lineRule="auto"/>
        <w:ind w:left="432" w:right="432"/>
        <w:rPr>
          <w:rFonts w:asciiTheme="majorHAnsi" w:hAnsiTheme="majorHAnsi" w:cstheme="majorHAnsi"/>
          <w:i/>
          <w:color w:val="000000" w:themeColor="text1"/>
        </w:rPr>
      </w:pPr>
      <w:r w:rsidRPr="00EB1752">
        <w:rPr>
          <w:rFonts w:asciiTheme="majorHAnsi" w:hAnsiTheme="majorHAnsi" w:cstheme="majorHAnsi"/>
          <w:i/>
          <w:color w:val="0A0A0A"/>
          <w:shd w:val="clear" w:color="auto" w:fill="FFFFFF"/>
        </w:rPr>
        <w:t>“</w:t>
      </w:r>
      <w:r w:rsidRPr="00F70AF8">
        <w:rPr>
          <w:rFonts w:asciiTheme="majorHAnsi" w:hAnsiTheme="majorHAnsi" w:cstheme="majorHAnsi"/>
          <w:i/>
          <w:color w:val="0A0A0A"/>
          <w:shd w:val="clear" w:color="auto" w:fill="FFFFFF"/>
        </w:rPr>
        <w:t xml:space="preserve">The participation and involvement of the school head, teachers, and staff in the planning and implementation of the SIP and SRC may be included in the Results-Based Performance Management System (RPMS) as performance objectives under corresponding Key Result Areas. It can be incorporated in the Individual Performance </w:t>
      </w:r>
      <w:r w:rsidRPr="001D0436">
        <w:rPr>
          <w:rFonts w:asciiTheme="majorHAnsi" w:hAnsiTheme="majorHAnsi" w:cstheme="majorHAnsi"/>
          <w:i/>
          <w:color w:val="0A0A0A"/>
          <w:shd w:val="clear" w:color="auto" w:fill="FFFFFF"/>
        </w:rPr>
        <w:t xml:space="preserve">Commitment and Review Form (IPCRF) </w:t>
      </w:r>
      <w:r w:rsidRPr="001D0436">
        <w:rPr>
          <w:rFonts w:asciiTheme="majorHAnsi" w:hAnsiTheme="majorHAnsi" w:cstheme="majorHAnsi"/>
          <w:i/>
          <w:color w:val="000000" w:themeColor="text1"/>
          <w:shd w:val="clear" w:color="auto" w:fill="FFFFFF"/>
        </w:rPr>
        <w:t>of teachers and staff or in the Office Performance Commitment and Review Form (OPCRF) of the school head” (</w:t>
      </w:r>
      <w:r>
        <w:rPr>
          <w:rFonts w:asciiTheme="majorHAnsi" w:hAnsiTheme="majorHAnsi" w:cstheme="majorHAnsi"/>
          <w:i/>
          <w:color w:val="000000" w:themeColor="text1"/>
          <w:shd w:val="clear" w:color="auto" w:fill="FFFFFF"/>
        </w:rPr>
        <w:t>DepEd</w:t>
      </w:r>
      <w:r w:rsidRPr="001D0436">
        <w:rPr>
          <w:rFonts w:asciiTheme="majorHAnsi" w:hAnsiTheme="majorHAnsi" w:cstheme="majorHAnsi"/>
          <w:i/>
          <w:color w:val="000000" w:themeColor="text1"/>
          <w:shd w:val="clear" w:color="auto" w:fill="FFFFFF"/>
        </w:rPr>
        <w:t>, 2015).</w:t>
      </w:r>
    </w:p>
    <w:p w14:paraId="57CF65D8" w14:textId="77777777" w:rsidR="008D0CAD" w:rsidRPr="001D0436" w:rsidRDefault="008D0CAD" w:rsidP="008C061C">
      <w:pPr>
        <w:pStyle w:val="Heading6"/>
      </w:pPr>
      <w:r>
        <w:t xml:space="preserve">Buy-in of </w:t>
      </w:r>
      <w:r w:rsidRPr="001D0436">
        <w:t xml:space="preserve">External </w:t>
      </w:r>
      <w:r>
        <w:t xml:space="preserve">and </w:t>
      </w:r>
      <w:r w:rsidRPr="001D0436">
        <w:t>Internal stakeholder</w:t>
      </w:r>
      <w:r>
        <w:t>s</w:t>
      </w:r>
      <w:r w:rsidRPr="001D0436">
        <w:t xml:space="preserve"> </w:t>
      </w:r>
    </w:p>
    <w:p w14:paraId="4A82E689" w14:textId="3FDB55F0" w:rsidR="008D0CAD" w:rsidRDefault="008D0CAD" w:rsidP="007B6836">
      <w:pPr>
        <w:tabs>
          <w:tab w:val="left" w:pos="3178"/>
        </w:tabs>
        <w:spacing w:before="100" w:beforeAutospacing="1" w:after="100" w:afterAutospacing="1" w:line="360" w:lineRule="auto"/>
        <w:rPr>
          <w:rFonts w:asciiTheme="majorHAnsi" w:hAnsiTheme="majorHAnsi" w:cstheme="majorHAnsi"/>
          <w:color w:val="000000" w:themeColor="text1"/>
          <w:lang w:val="en-US"/>
        </w:rPr>
      </w:pPr>
      <w:r>
        <w:rPr>
          <w:rFonts w:asciiTheme="majorHAnsi" w:hAnsiTheme="majorHAnsi" w:cstheme="majorHAnsi"/>
          <w:color w:val="000000" w:themeColor="text1"/>
          <w:lang w:val="en-US"/>
        </w:rPr>
        <w:t xml:space="preserve">Although principals are critical to driving reforms at school level, the </w:t>
      </w:r>
      <w:r w:rsidRPr="00682B56">
        <w:rPr>
          <w:rFonts w:asciiTheme="majorHAnsi" w:hAnsiTheme="majorHAnsi" w:cstheme="majorHAnsi"/>
          <w:color w:val="000000" w:themeColor="text1"/>
          <w:lang w:val="en-US"/>
        </w:rPr>
        <w:t xml:space="preserve">buy-in of teachers </w:t>
      </w:r>
      <w:r>
        <w:rPr>
          <w:rFonts w:asciiTheme="majorHAnsi" w:hAnsiTheme="majorHAnsi" w:cstheme="majorHAnsi"/>
          <w:color w:val="000000" w:themeColor="text1"/>
          <w:lang w:val="en-US"/>
        </w:rPr>
        <w:t>ensures their sustainability.</w:t>
      </w:r>
      <w:r w:rsidR="00D434EB">
        <w:rPr>
          <w:rFonts w:asciiTheme="majorHAnsi" w:hAnsiTheme="majorHAnsi" w:cstheme="majorHAnsi"/>
          <w:color w:val="000000" w:themeColor="text1"/>
          <w:lang w:val="en-US"/>
        </w:rPr>
        <w:t xml:space="preserve"> </w:t>
      </w:r>
      <w:r>
        <w:rPr>
          <w:rFonts w:asciiTheme="majorHAnsi" w:hAnsiTheme="majorHAnsi" w:cstheme="majorHAnsi"/>
          <w:color w:val="000000" w:themeColor="text1"/>
          <w:lang w:val="en-US"/>
        </w:rPr>
        <w:t>Even when principals are replaced, the good practices among teachers continue.</w:t>
      </w:r>
    </w:p>
    <w:p w14:paraId="1AD2F229" w14:textId="77777777" w:rsidR="008D0CAD" w:rsidRPr="00682B56" w:rsidRDefault="008D0CAD" w:rsidP="007B6836">
      <w:pPr>
        <w:tabs>
          <w:tab w:val="left" w:pos="3178"/>
        </w:tabs>
        <w:spacing w:before="100" w:beforeAutospacing="1" w:after="100" w:afterAutospacing="1" w:line="360" w:lineRule="auto"/>
        <w:rPr>
          <w:rFonts w:asciiTheme="majorHAnsi" w:hAnsiTheme="majorHAnsi" w:cstheme="majorHAnsi"/>
          <w:color w:val="000000" w:themeColor="text1"/>
          <w:lang w:val="en-US"/>
        </w:rPr>
      </w:pPr>
      <w:r>
        <w:rPr>
          <w:rFonts w:asciiTheme="majorHAnsi" w:hAnsiTheme="majorHAnsi" w:cstheme="majorHAnsi"/>
          <w:color w:val="000000" w:themeColor="text1"/>
          <w:lang w:val="en-US"/>
        </w:rPr>
        <w:t>Moreover, as highlighted i</w:t>
      </w:r>
      <w:r w:rsidRPr="001D0436">
        <w:rPr>
          <w:rFonts w:asciiTheme="majorHAnsi" w:hAnsiTheme="majorHAnsi" w:cstheme="majorHAnsi"/>
          <w:color w:val="000000" w:themeColor="text1"/>
          <w:lang w:val="en-US"/>
        </w:rPr>
        <w:t xml:space="preserve">n the Follow-up Study, </w:t>
      </w:r>
      <w:r>
        <w:rPr>
          <w:rFonts w:asciiTheme="majorHAnsi" w:hAnsiTheme="majorHAnsi" w:cstheme="majorHAnsi"/>
          <w:color w:val="000000" w:themeColor="text1"/>
          <w:lang w:val="en-US"/>
        </w:rPr>
        <w:t>the high buy-in of external stakeholders (such as parents, barangay officials, local businesses, among others) in school development planning contributes to increased access of the school to certain critical resources held by these stakeholders (such as labor of parents, money from local businesses, security from barangays, among others)</w:t>
      </w:r>
      <w:r w:rsidRPr="00D30BDF">
        <w:rPr>
          <w:rFonts w:asciiTheme="majorHAnsi" w:hAnsiTheme="majorHAnsi" w:cstheme="majorHAnsi"/>
        </w:rPr>
        <w:t>.</w:t>
      </w:r>
    </w:p>
    <w:p w14:paraId="29A0C0F3" w14:textId="77777777" w:rsidR="008D0CAD" w:rsidRPr="001D0436" w:rsidRDefault="008D0CAD" w:rsidP="008C061C">
      <w:pPr>
        <w:pStyle w:val="Heading6"/>
      </w:pPr>
      <w:r>
        <w:t>Provision of c</w:t>
      </w:r>
      <w:r w:rsidRPr="001D0436">
        <w:t>apacity building interventions</w:t>
      </w:r>
      <w:r>
        <w:t xml:space="preserve"> at school-level</w:t>
      </w:r>
    </w:p>
    <w:p w14:paraId="1716EAA5" w14:textId="03D43C4E" w:rsidR="008D0CAD" w:rsidRPr="00D30BDF" w:rsidRDefault="008D0CAD" w:rsidP="007B6836">
      <w:pPr>
        <w:tabs>
          <w:tab w:val="left" w:pos="3178"/>
        </w:tabs>
        <w:spacing w:before="100" w:beforeAutospacing="1" w:after="100" w:afterAutospacing="1" w:line="360" w:lineRule="auto"/>
        <w:rPr>
          <w:rFonts w:asciiTheme="majorHAnsi" w:hAnsiTheme="majorHAnsi" w:cstheme="majorHAnsi"/>
        </w:rPr>
      </w:pPr>
      <w:r w:rsidRPr="001D0436">
        <w:rPr>
          <w:rFonts w:asciiTheme="majorHAnsi" w:hAnsiTheme="majorHAnsi" w:cstheme="majorHAnsi"/>
          <w:color w:val="000000" w:themeColor="text1"/>
          <w:lang w:val="en-US"/>
        </w:rPr>
        <w:t xml:space="preserve">In the Follow-up Study, it was noted that </w:t>
      </w:r>
      <w:r w:rsidRPr="001D0436">
        <w:rPr>
          <w:rFonts w:asciiTheme="majorHAnsi" w:hAnsiTheme="majorHAnsi" w:cstheme="majorHAnsi"/>
          <w:color w:val="000000" w:themeColor="text1"/>
        </w:rPr>
        <w:t>t</w:t>
      </w:r>
      <w:r w:rsidRPr="001D0436">
        <w:rPr>
          <w:rFonts w:asciiTheme="majorHAnsi" w:hAnsiTheme="majorHAnsi" w:cstheme="majorHAnsi"/>
          <w:bCs/>
          <w:color w:val="000000" w:themeColor="text1"/>
          <w:spacing w:val="-1"/>
        </w:rPr>
        <w:t xml:space="preserve">eaching practices were significantly improved by </w:t>
      </w:r>
      <w:r w:rsidRPr="001D0436">
        <w:rPr>
          <w:rFonts w:asciiTheme="majorHAnsi" w:hAnsiTheme="majorHAnsi" w:cstheme="majorHAnsi"/>
          <w:color w:val="000000" w:themeColor="text1"/>
        </w:rPr>
        <w:t xml:space="preserve">access to training, </w:t>
      </w:r>
      <w:r>
        <w:rPr>
          <w:rFonts w:asciiTheme="majorHAnsi" w:hAnsiTheme="majorHAnsi" w:cstheme="majorHAnsi"/>
          <w:color w:val="000000" w:themeColor="text1"/>
        </w:rPr>
        <w:t>primarily</w:t>
      </w:r>
      <w:r w:rsidRPr="001D0436">
        <w:rPr>
          <w:rFonts w:asciiTheme="majorHAnsi" w:hAnsiTheme="majorHAnsi" w:cstheme="majorHAnsi"/>
          <w:color w:val="000000" w:themeColor="text1"/>
        </w:rPr>
        <w:t xml:space="preserve"> through the conduct of the LAC sessions.</w:t>
      </w:r>
      <w:r w:rsidR="00D434EB">
        <w:rPr>
          <w:rFonts w:asciiTheme="majorHAnsi" w:hAnsiTheme="majorHAnsi" w:cstheme="majorHAnsi"/>
          <w:color w:val="000000" w:themeColor="text1"/>
        </w:rPr>
        <w:t xml:space="preserve"> </w:t>
      </w:r>
      <w:r>
        <w:rPr>
          <w:rFonts w:asciiTheme="majorHAnsi" w:hAnsiTheme="majorHAnsi" w:cstheme="majorHAnsi"/>
        </w:rPr>
        <w:t>Teachers from three small schools stated that they still had limited access to formal trainings held over the summer break (‘INSET’) because their schools are seldom invited to send participants to training.</w:t>
      </w:r>
      <w:r w:rsidR="00D434EB">
        <w:rPr>
          <w:rFonts w:asciiTheme="majorHAnsi" w:hAnsiTheme="majorHAnsi" w:cstheme="majorHAnsi"/>
        </w:rPr>
        <w:t xml:space="preserve"> </w:t>
      </w:r>
      <w:r>
        <w:rPr>
          <w:rFonts w:asciiTheme="majorHAnsi" w:hAnsiTheme="majorHAnsi" w:cstheme="majorHAnsi"/>
        </w:rPr>
        <w:t xml:space="preserve">One school, which was having difficulties with </w:t>
      </w:r>
      <w:r w:rsidRPr="00D30BDF">
        <w:rPr>
          <w:rFonts w:asciiTheme="majorHAnsi" w:hAnsiTheme="majorHAnsi" w:cstheme="majorHAnsi"/>
        </w:rPr>
        <w:t xml:space="preserve">mainstreaming </w:t>
      </w:r>
      <w:r>
        <w:rPr>
          <w:rFonts w:asciiTheme="majorHAnsi" w:hAnsiTheme="majorHAnsi" w:cstheme="majorHAnsi"/>
        </w:rPr>
        <w:t>children with disabilities</w:t>
      </w:r>
      <w:r w:rsidRPr="00D30BDF">
        <w:rPr>
          <w:rFonts w:asciiTheme="majorHAnsi" w:hAnsiTheme="majorHAnsi" w:cstheme="majorHAnsi"/>
        </w:rPr>
        <w:t xml:space="preserve"> in regular classes use</w:t>
      </w:r>
      <w:r>
        <w:rPr>
          <w:rFonts w:asciiTheme="majorHAnsi" w:hAnsiTheme="majorHAnsi" w:cstheme="majorHAnsi"/>
        </w:rPr>
        <w:t>d</w:t>
      </w:r>
      <w:r w:rsidRPr="00D30BDF">
        <w:rPr>
          <w:rFonts w:asciiTheme="majorHAnsi" w:hAnsiTheme="majorHAnsi" w:cstheme="majorHAnsi"/>
        </w:rPr>
        <w:t xml:space="preserve"> the</w:t>
      </w:r>
      <w:r>
        <w:rPr>
          <w:rFonts w:asciiTheme="majorHAnsi" w:hAnsiTheme="majorHAnsi" w:cstheme="majorHAnsi"/>
        </w:rPr>
        <w:t xml:space="preserve"> enhanced</w:t>
      </w:r>
      <w:r w:rsidRPr="00D30BDF">
        <w:rPr>
          <w:rFonts w:asciiTheme="majorHAnsi" w:hAnsiTheme="majorHAnsi" w:cstheme="majorHAnsi"/>
        </w:rPr>
        <w:t xml:space="preserve"> LAC sessions to inform their teachers on the basics of handling </w:t>
      </w:r>
      <w:r>
        <w:rPr>
          <w:rFonts w:asciiTheme="majorHAnsi" w:hAnsiTheme="majorHAnsi" w:cstheme="majorHAnsi"/>
        </w:rPr>
        <w:t>children with disabilities</w:t>
      </w:r>
      <w:r w:rsidRPr="00D30BDF">
        <w:rPr>
          <w:rFonts w:asciiTheme="majorHAnsi" w:hAnsiTheme="majorHAnsi" w:cstheme="majorHAnsi"/>
        </w:rPr>
        <w:t>.</w:t>
      </w:r>
      <w:r w:rsidR="00D434EB">
        <w:rPr>
          <w:rFonts w:asciiTheme="majorHAnsi" w:hAnsiTheme="majorHAnsi" w:cstheme="majorHAnsi"/>
        </w:rPr>
        <w:t xml:space="preserve"> </w:t>
      </w:r>
      <w:r>
        <w:rPr>
          <w:rFonts w:asciiTheme="majorHAnsi" w:hAnsiTheme="majorHAnsi" w:cstheme="majorHAnsi"/>
        </w:rPr>
        <w:t xml:space="preserve">This was made possible by the LAC reforms initiated through the BEST Program. </w:t>
      </w:r>
      <w:r w:rsidRPr="00D30BDF">
        <w:rPr>
          <w:rFonts w:asciiTheme="majorHAnsi" w:hAnsiTheme="majorHAnsi" w:cstheme="majorHAnsi"/>
        </w:rPr>
        <w:t xml:space="preserve">The LAC session was </w:t>
      </w:r>
      <w:r>
        <w:rPr>
          <w:rFonts w:asciiTheme="majorHAnsi" w:hAnsiTheme="majorHAnsi" w:cstheme="majorHAnsi"/>
        </w:rPr>
        <w:t>facilitated</w:t>
      </w:r>
      <w:r w:rsidRPr="00D30BDF">
        <w:rPr>
          <w:rFonts w:asciiTheme="majorHAnsi" w:hAnsiTheme="majorHAnsi" w:cstheme="majorHAnsi"/>
        </w:rPr>
        <w:t xml:space="preserve"> by a </w:t>
      </w:r>
      <w:r>
        <w:rPr>
          <w:rFonts w:asciiTheme="majorHAnsi" w:hAnsiTheme="majorHAnsi" w:cstheme="majorHAnsi"/>
        </w:rPr>
        <w:t>Special Education</w:t>
      </w:r>
      <w:r w:rsidRPr="00D30BDF">
        <w:rPr>
          <w:rFonts w:asciiTheme="majorHAnsi" w:hAnsiTheme="majorHAnsi" w:cstheme="majorHAnsi"/>
        </w:rPr>
        <w:t xml:space="preserve"> teacher.</w:t>
      </w:r>
    </w:p>
    <w:p w14:paraId="6534708A" w14:textId="424D6C96" w:rsidR="008D0CAD" w:rsidRPr="00D30BDF" w:rsidRDefault="008D0CAD" w:rsidP="007B6836">
      <w:pPr>
        <w:pStyle w:val="Heading5"/>
        <w:numPr>
          <w:ilvl w:val="3"/>
          <w:numId w:val="38"/>
        </w:numPr>
        <w:spacing w:before="100" w:beforeAutospacing="1" w:after="100" w:afterAutospacing="1" w:line="360" w:lineRule="auto"/>
      </w:pPr>
      <w:r w:rsidRPr="00D30BDF">
        <w:t>Hindering Factors</w:t>
      </w:r>
    </w:p>
    <w:p w14:paraId="27CE4B9B" w14:textId="77777777" w:rsidR="008D0CAD" w:rsidRPr="00D30BDF" w:rsidRDefault="008D0CAD" w:rsidP="008C061C">
      <w:pPr>
        <w:pStyle w:val="Heading6"/>
      </w:pPr>
      <w:r w:rsidRPr="00D30BDF">
        <w:t>Tokenism in participation (in SBM)</w:t>
      </w:r>
    </w:p>
    <w:p w14:paraId="30373B3F" w14:textId="19DD616E" w:rsidR="008D0CAD" w:rsidRPr="00D30BDF" w:rsidRDefault="008D0CAD" w:rsidP="007B6836">
      <w:pPr>
        <w:pStyle w:val="BodyText"/>
        <w:tabs>
          <w:tab w:val="left" w:pos="838"/>
        </w:tabs>
        <w:spacing w:before="100" w:beforeAutospacing="1" w:after="100" w:afterAutospacing="1" w:line="360" w:lineRule="auto"/>
        <w:rPr>
          <w:rFonts w:asciiTheme="majorHAnsi" w:hAnsiTheme="majorHAnsi" w:cstheme="majorHAnsi"/>
          <w:color w:val="000000" w:themeColor="text1"/>
          <w:spacing w:val="-1"/>
          <w:sz w:val="24"/>
          <w:szCs w:val="24"/>
        </w:rPr>
      </w:pPr>
      <w:r w:rsidRPr="00D30BDF">
        <w:rPr>
          <w:rFonts w:asciiTheme="majorHAnsi" w:hAnsiTheme="majorHAnsi" w:cstheme="majorHAnsi"/>
          <w:color w:val="000000" w:themeColor="text1"/>
          <w:sz w:val="24"/>
          <w:szCs w:val="24"/>
        </w:rPr>
        <w:t xml:space="preserve">In the Follow-up Study, </w:t>
      </w:r>
      <w:r w:rsidRPr="00D30BDF">
        <w:rPr>
          <w:rFonts w:asciiTheme="majorHAnsi" w:hAnsiTheme="majorHAnsi" w:cstheme="majorHAnsi"/>
          <w:color w:val="000000" w:themeColor="text1"/>
          <w:spacing w:val="-1"/>
          <w:sz w:val="24"/>
          <w:szCs w:val="24"/>
        </w:rPr>
        <w:t>at least three</w:t>
      </w:r>
      <w:r>
        <w:rPr>
          <w:rFonts w:asciiTheme="majorHAnsi" w:hAnsiTheme="majorHAnsi" w:cstheme="majorHAnsi"/>
          <w:color w:val="000000" w:themeColor="text1"/>
          <w:spacing w:val="-1"/>
          <w:sz w:val="24"/>
          <w:szCs w:val="24"/>
        </w:rPr>
        <w:t xml:space="preserve"> of the twelve</w:t>
      </w:r>
      <w:r w:rsidRPr="00D30BDF">
        <w:rPr>
          <w:rFonts w:asciiTheme="majorHAnsi" w:hAnsiTheme="majorHAnsi" w:cstheme="majorHAnsi"/>
          <w:color w:val="000000" w:themeColor="text1"/>
          <w:spacing w:val="-1"/>
          <w:sz w:val="24"/>
          <w:szCs w:val="24"/>
        </w:rPr>
        <w:t xml:space="preserve"> schools</w:t>
      </w:r>
      <w:r>
        <w:rPr>
          <w:rFonts w:asciiTheme="majorHAnsi" w:hAnsiTheme="majorHAnsi" w:cstheme="majorHAnsi"/>
          <w:color w:val="000000" w:themeColor="text1"/>
          <w:spacing w:val="-1"/>
          <w:sz w:val="24"/>
          <w:szCs w:val="24"/>
        </w:rPr>
        <w:t xml:space="preserve"> studied noted that </w:t>
      </w:r>
      <w:r w:rsidRPr="00D30BDF">
        <w:rPr>
          <w:rFonts w:asciiTheme="majorHAnsi" w:hAnsiTheme="majorHAnsi" w:cstheme="majorHAnsi"/>
          <w:color w:val="000000" w:themeColor="text1"/>
          <w:spacing w:val="-1"/>
          <w:sz w:val="24"/>
          <w:szCs w:val="24"/>
        </w:rPr>
        <w:t xml:space="preserve">participatory planning </w:t>
      </w:r>
      <w:r>
        <w:rPr>
          <w:rFonts w:asciiTheme="majorHAnsi" w:hAnsiTheme="majorHAnsi" w:cstheme="majorHAnsi"/>
          <w:color w:val="000000" w:themeColor="text1"/>
          <w:spacing w:val="-1"/>
          <w:sz w:val="24"/>
          <w:szCs w:val="24"/>
        </w:rPr>
        <w:t>had not been fully internalised at all governance levels.</w:t>
      </w:r>
      <w:r w:rsidRPr="00D30BDF">
        <w:rPr>
          <w:rFonts w:asciiTheme="majorHAnsi" w:hAnsiTheme="majorHAnsi" w:cstheme="majorHAnsi"/>
          <w:color w:val="000000" w:themeColor="text1"/>
          <w:spacing w:val="-1"/>
          <w:sz w:val="24"/>
          <w:szCs w:val="24"/>
        </w:rPr>
        <w:t xml:space="preserve"> </w:t>
      </w:r>
      <w:r>
        <w:rPr>
          <w:rFonts w:asciiTheme="majorHAnsi" w:hAnsiTheme="majorHAnsi" w:cstheme="majorHAnsi"/>
          <w:color w:val="000000" w:themeColor="text1"/>
          <w:spacing w:val="-1"/>
          <w:sz w:val="24"/>
          <w:szCs w:val="24"/>
        </w:rPr>
        <w:t>O</w:t>
      </w:r>
      <w:r w:rsidRPr="00D30BDF">
        <w:rPr>
          <w:rFonts w:asciiTheme="majorHAnsi" w:hAnsiTheme="majorHAnsi" w:cstheme="majorHAnsi"/>
          <w:color w:val="000000" w:themeColor="text1"/>
          <w:spacing w:val="-1"/>
          <w:sz w:val="24"/>
          <w:szCs w:val="24"/>
        </w:rPr>
        <w:t>ne school</w:t>
      </w:r>
      <w:r>
        <w:rPr>
          <w:rFonts w:asciiTheme="majorHAnsi" w:hAnsiTheme="majorHAnsi" w:cstheme="majorHAnsi"/>
          <w:color w:val="000000" w:themeColor="text1"/>
          <w:spacing w:val="-1"/>
          <w:sz w:val="24"/>
          <w:szCs w:val="24"/>
        </w:rPr>
        <w:t xml:space="preserve">, which </w:t>
      </w:r>
      <w:r w:rsidRPr="00D30BDF">
        <w:rPr>
          <w:rFonts w:asciiTheme="majorHAnsi" w:hAnsiTheme="majorHAnsi" w:cstheme="majorHAnsi"/>
          <w:color w:val="000000" w:themeColor="text1"/>
          <w:spacing w:val="-1"/>
          <w:sz w:val="24"/>
          <w:szCs w:val="24"/>
        </w:rPr>
        <w:t>formulated</w:t>
      </w:r>
      <w:r>
        <w:rPr>
          <w:rFonts w:asciiTheme="majorHAnsi" w:hAnsiTheme="majorHAnsi" w:cstheme="majorHAnsi"/>
          <w:color w:val="000000" w:themeColor="text1"/>
          <w:spacing w:val="-1"/>
          <w:sz w:val="24"/>
          <w:szCs w:val="24"/>
        </w:rPr>
        <w:t xml:space="preserve"> its SIP</w:t>
      </w:r>
      <w:r w:rsidRPr="00D30BDF">
        <w:rPr>
          <w:rFonts w:asciiTheme="majorHAnsi" w:hAnsiTheme="majorHAnsi" w:cstheme="majorHAnsi"/>
          <w:color w:val="000000" w:themeColor="text1"/>
          <w:spacing w:val="-1"/>
          <w:sz w:val="24"/>
          <w:szCs w:val="24"/>
        </w:rPr>
        <w:t xml:space="preserve"> with the participation of the </w:t>
      </w:r>
      <w:r>
        <w:rPr>
          <w:rFonts w:asciiTheme="majorHAnsi" w:hAnsiTheme="majorHAnsi" w:cstheme="majorHAnsi"/>
          <w:color w:val="000000" w:themeColor="text1"/>
          <w:spacing w:val="-1"/>
          <w:sz w:val="24"/>
          <w:szCs w:val="24"/>
        </w:rPr>
        <w:t xml:space="preserve">broader </w:t>
      </w:r>
      <w:r w:rsidRPr="00D30BDF">
        <w:rPr>
          <w:rFonts w:asciiTheme="majorHAnsi" w:hAnsiTheme="majorHAnsi" w:cstheme="majorHAnsi"/>
          <w:color w:val="000000" w:themeColor="text1"/>
          <w:spacing w:val="-1"/>
          <w:sz w:val="24"/>
          <w:szCs w:val="24"/>
        </w:rPr>
        <w:t xml:space="preserve">community </w:t>
      </w:r>
      <w:r>
        <w:rPr>
          <w:rFonts w:asciiTheme="majorHAnsi" w:hAnsiTheme="majorHAnsi" w:cstheme="majorHAnsi"/>
          <w:color w:val="000000" w:themeColor="text1"/>
          <w:spacing w:val="-1"/>
          <w:sz w:val="24"/>
          <w:szCs w:val="24"/>
        </w:rPr>
        <w:t>was not able to gain the approval of its Plan from the Division Office.</w:t>
      </w:r>
      <w:r w:rsidR="00D434EB">
        <w:rPr>
          <w:rFonts w:asciiTheme="majorHAnsi" w:hAnsiTheme="majorHAnsi" w:cstheme="majorHAnsi"/>
          <w:color w:val="000000" w:themeColor="text1"/>
          <w:spacing w:val="-1"/>
          <w:sz w:val="24"/>
          <w:szCs w:val="24"/>
        </w:rPr>
        <w:t xml:space="preserve"> </w:t>
      </w:r>
      <w:r>
        <w:rPr>
          <w:rFonts w:asciiTheme="majorHAnsi" w:hAnsiTheme="majorHAnsi" w:cstheme="majorHAnsi"/>
          <w:color w:val="000000" w:themeColor="text1"/>
          <w:spacing w:val="-1"/>
          <w:sz w:val="24"/>
          <w:szCs w:val="24"/>
        </w:rPr>
        <w:t>I</w:t>
      </w:r>
      <w:r w:rsidRPr="00D30BDF">
        <w:rPr>
          <w:rFonts w:asciiTheme="majorHAnsi" w:hAnsiTheme="majorHAnsi" w:cstheme="majorHAnsi"/>
          <w:color w:val="000000" w:themeColor="text1"/>
          <w:spacing w:val="-1"/>
          <w:sz w:val="24"/>
          <w:szCs w:val="24"/>
        </w:rPr>
        <w:t>n another</w:t>
      </w:r>
      <w:r>
        <w:rPr>
          <w:rFonts w:asciiTheme="majorHAnsi" w:hAnsiTheme="majorHAnsi" w:cstheme="majorHAnsi"/>
          <w:color w:val="000000" w:themeColor="text1"/>
          <w:spacing w:val="-1"/>
          <w:sz w:val="24"/>
          <w:szCs w:val="24"/>
        </w:rPr>
        <w:t xml:space="preserve"> school</w:t>
      </w:r>
      <w:r w:rsidRPr="00D30BDF">
        <w:rPr>
          <w:rFonts w:asciiTheme="majorHAnsi" w:hAnsiTheme="majorHAnsi" w:cstheme="majorHAnsi"/>
          <w:color w:val="000000" w:themeColor="text1"/>
          <w:spacing w:val="-1"/>
          <w:sz w:val="24"/>
          <w:szCs w:val="24"/>
        </w:rPr>
        <w:t xml:space="preserve">, the </w:t>
      </w:r>
      <w:r>
        <w:rPr>
          <w:rFonts w:asciiTheme="majorHAnsi" w:hAnsiTheme="majorHAnsi" w:cstheme="majorHAnsi"/>
          <w:color w:val="000000" w:themeColor="text1"/>
          <w:spacing w:val="-1"/>
          <w:sz w:val="24"/>
          <w:szCs w:val="24"/>
        </w:rPr>
        <w:t>principal</w:t>
      </w:r>
      <w:r w:rsidRPr="00D30BDF">
        <w:rPr>
          <w:rFonts w:asciiTheme="majorHAnsi" w:hAnsiTheme="majorHAnsi" w:cstheme="majorHAnsi"/>
          <w:color w:val="000000" w:themeColor="text1"/>
          <w:spacing w:val="-1"/>
          <w:sz w:val="24"/>
          <w:szCs w:val="24"/>
        </w:rPr>
        <w:t xml:space="preserve"> “</w:t>
      </w:r>
      <w:r w:rsidRPr="00D30BDF">
        <w:rPr>
          <w:rFonts w:asciiTheme="majorHAnsi" w:hAnsiTheme="majorHAnsi" w:cstheme="majorHAnsi"/>
          <w:i/>
          <w:iCs/>
          <w:color w:val="000000" w:themeColor="text1"/>
          <w:spacing w:val="-1"/>
          <w:sz w:val="24"/>
          <w:szCs w:val="24"/>
        </w:rPr>
        <w:t>instructed</w:t>
      </w:r>
      <w:r w:rsidRPr="00D30BDF">
        <w:rPr>
          <w:rFonts w:asciiTheme="majorHAnsi" w:hAnsiTheme="majorHAnsi" w:cstheme="majorHAnsi"/>
          <w:color w:val="000000" w:themeColor="text1"/>
          <w:spacing w:val="-1"/>
          <w:sz w:val="24"/>
          <w:szCs w:val="24"/>
        </w:rPr>
        <w:t>” external stakeholders on what to do during the planning process.</w:t>
      </w:r>
      <w:r w:rsidR="00D434EB">
        <w:rPr>
          <w:rFonts w:asciiTheme="majorHAnsi" w:hAnsiTheme="majorHAnsi" w:cstheme="majorHAnsi"/>
          <w:color w:val="000000" w:themeColor="text1"/>
          <w:spacing w:val="-1"/>
          <w:sz w:val="24"/>
          <w:szCs w:val="24"/>
        </w:rPr>
        <w:t xml:space="preserve"> </w:t>
      </w:r>
    </w:p>
    <w:p w14:paraId="51E8B3BB" w14:textId="77777777" w:rsidR="008D0CAD" w:rsidRDefault="008D0CAD" w:rsidP="007B6836">
      <w:pPr>
        <w:spacing w:before="100" w:beforeAutospacing="1" w:after="100" w:afterAutospacing="1" w:line="360" w:lineRule="auto"/>
        <w:rPr>
          <w:rFonts w:asciiTheme="majorHAnsi" w:hAnsiTheme="majorHAnsi" w:cstheme="majorHAnsi"/>
          <w:color w:val="000000" w:themeColor="text1"/>
          <w:spacing w:val="-1"/>
        </w:rPr>
      </w:pPr>
      <w:r>
        <w:rPr>
          <w:rFonts w:asciiTheme="majorHAnsi" w:hAnsiTheme="majorHAnsi" w:cstheme="majorHAnsi"/>
          <w:color w:val="000000" w:themeColor="text1"/>
          <w:spacing w:val="-1"/>
        </w:rPr>
        <w:t>I</w:t>
      </w:r>
      <w:r w:rsidRPr="00D30BDF">
        <w:rPr>
          <w:rFonts w:asciiTheme="majorHAnsi" w:hAnsiTheme="majorHAnsi" w:cstheme="majorHAnsi"/>
          <w:color w:val="000000" w:themeColor="text1"/>
          <w:spacing w:val="-1"/>
        </w:rPr>
        <w:t xml:space="preserve">t was also revealed that although </w:t>
      </w:r>
      <w:r>
        <w:rPr>
          <w:rFonts w:asciiTheme="majorHAnsi" w:hAnsiTheme="majorHAnsi" w:cstheme="majorHAnsi"/>
          <w:color w:val="000000" w:themeColor="text1"/>
          <w:spacing w:val="-1"/>
        </w:rPr>
        <w:t>principals</w:t>
      </w:r>
      <w:r w:rsidRPr="00D30BDF">
        <w:rPr>
          <w:rFonts w:asciiTheme="majorHAnsi" w:hAnsiTheme="majorHAnsi" w:cstheme="majorHAnsi"/>
          <w:color w:val="000000" w:themeColor="text1"/>
          <w:spacing w:val="-1"/>
        </w:rPr>
        <w:t xml:space="preserve"> and teachers learned to collect data for the formulation of their SIPs, the</w:t>
      </w:r>
      <w:r>
        <w:rPr>
          <w:rFonts w:asciiTheme="majorHAnsi" w:hAnsiTheme="majorHAnsi" w:cstheme="majorHAnsi"/>
          <w:color w:val="000000" w:themeColor="text1"/>
          <w:spacing w:val="-1"/>
        </w:rPr>
        <w:t>ir</w:t>
      </w:r>
      <w:r w:rsidRPr="00D30BDF">
        <w:rPr>
          <w:rFonts w:asciiTheme="majorHAnsi" w:hAnsiTheme="majorHAnsi" w:cstheme="majorHAnsi"/>
          <w:color w:val="000000" w:themeColor="text1"/>
          <w:spacing w:val="-1"/>
        </w:rPr>
        <w:t xml:space="preserve"> capacity </w:t>
      </w:r>
      <w:r>
        <w:rPr>
          <w:rFonts w:asciiTheme="majorHAnsi" w:hAnsiTheme="majorHAnsi" w:cstheme="majorHAnsi"/>
          <w:color w:val="000000" w:themeColor="text1"/>
          <w:spacing w:val="-1"/>
        </w:rPr>
        <w:t>to analyse and use the</w:t>
      </w:r>
      <w:r w:rsidRPr="00D30BDF">
        <w:rPr>
          <w:rFonts w:asciiTheme="majorHAnsi" w:hAnsiTheme="majorHAnsi" w:cstheme="majorHAnsi"/>
          <w:color w:val="000000" w:themeColor="text1"/>
          <w:spacing w:val="-1"/>
        </w:rPr>
        <w:t xml:space="preserve"> data for decision-making was not yet pervasive.</w:t>
      </w:r>
    </w:p>
    <w:p w14:paraId="6743F096" w14:textId="77777777" w:rsidR="008D0CAD" w:rsidRPr="00D30BDF" w:rsidRDefault="008D0CAD" w:rsidP="007B6836">
      <w:pPr>
        <w:spacing w:before="100" w:beforeAutospacing="1" w:after="100" w:afterAutospacing="1" w:line="360" w:lineRule="auto"/>
        <w:rPr>
          <w:rFonts w:asciiTheme="majorHAnsi" w:hAnsiTheme="majorHAnsi" w:cstheme="majorHAnsi"/>
          <w:color w:val="C00000"/>
          <w:lang w:val="en-US"/>
        </w:rPr>
      </w:pPr>
      <w:r>
        <w:rPr>
          <w:rFonts w:asciiTheme="majorHAnsi" w:hAnsiTheme="majorHAnsi" w:cstheme="majorHAnsi"/>
          <w:color w:val="000000" w:themeColor="text1"/>
          <w:spacing w:val="-1"/>
        </w:rPr>
        <w:t xml:space="preserve">These experiences tend to temper the enthusiasm of external stakeholders in participating meaningfully in the governance of their schools. Participation of parents, for instance, may be confined to physical activities. And the school might miss the opportunity to motivate parents to participate more substantially. </w:t>
      </w:r>
    </w:p>
    <w:p w14:paraId="34719AA9" w14:textId="77777777" w:rsidR="008D0CAD" w:rsidRPr="00100510" w:rsidRDefault="008D0CAD" w:rsidP="008C061C">
      <w:pPr>
        <w:pStyle w:val="Heading6"/>
      </w:pPr>
      <w:r w:rsidRPr="00D30BDF">
        <w:t>Insufficient ICT capacity and ICT infrastructure in schools</w:t>
      </w:r>
    </w:p>
    <w:p w14:paraId="05471C04" w14:textId="5CEF885F" w:rsidR="008D0CAD" w:rsidRDefault="008D0CAD" w:rsidP="007B6836">
      <w:pPr>
        <w:spacing w:before="100" w:beforeAutospacing="1" w:after="100" w:afterAutospacing="1" w:line="360" w:lineRule="auto"/>
        <w:rPr>
          <w:rFonts w:asciiTheme="majorHAnsi" w:hAnsiTheme="majorHAnsi" w:cstheme="majorHAnsi"/>
          <w:color w:val="000000" w:themeColor="text1"/>
        </w:rPr>
      </w:pPr>
      <w:r w:rsidRPr="001D0436">
        <w:rPr>
          <w:rFonts w:asciiTheme="majorHAnsi" w:hAnsiTheme="majorHAnsi" w:cstheme="majorHAnsi"/>
          <w:color w:val="000000" w:themeColor="text1"/>
        </w:rPr>
        <w:t xml:space="preserve">Because many of the systemic reforms introduced under the BEST Program required the support and </w:t>
      </w:r>
      <w:r w:rsidRPr="001D0436">
        <w:rPr>
          <w:rFonts w:asciiTheme="majorHAnsi" w:hAnsiTheme="majorHAnsi" w:cstheme="majorHAnsi"/>
        </w:rPr>
        <w:t>application</w:t>
      </w:r>
      <w:r w:rsidRPr="001D0436">
        <w:rPr>
          <w:rFonts w:asciiTheme="majorHAnsi" w:hAnsiTheme="majorHAnsi" w:cstheme="majorHAnsi"/>
          <w:color w:val="000000" w:themeColor="text1"/>
        </w:rPr>
        <w:t xml:space="preserve"> of ICT (such as the RPMS tools, the UISS, the LR Portal, among others), </w:t>
      </w:r>
      <w:r>
        <w:rPr>
          <w:rFonts w:asciiTheme="majorHAnsi" w:hAnsiTheme="majorHAnsi" w:cstheme="majorHAnsi"/>
          <w:color w:val="000000" w:themeColor="text1"/>
        </w:rPr>
        <w:t xml:space="preserve">weak or intermittent </w:t>
      </w:r>
      <w:r w:rsidRPr="001D0436">
        <w:rPr>
          <w:rFonts w:asciiTheme="majorHAnsi" w:hAnsiTheme="majorHAnsi" w:cstheme="majorHAnsi"/>
          <w:color w:val="000000" w:themeColor="text1"/>
        </w:rPr>
        <w:t xml:space="preserve">internet connectivity, </w:t>
      </w:r>
      <w:r>
        <w:rPr>
          <w:rFonts w:asciiTheme="majorHAnsi" w:hAnsiTheme="majorHAnsi" w:cstheme="majorHAnsi"/>
          <w:color w:val="000000" w:themeColor="text1"/>
        </w:rPr>
        <w:t>insufficient</w:t>
      </w:r>
      <w:r w:rsidRPr="001D0436">
        <w:rPr>
          <w:rFonts w:asciiTheme="majorHAnsi" w:hAnsiTheme="majorHAnsi" w:cstheme="majorHAnsi"/>
          <w:color w:val="000000" w:themeColor="text1"/>
        </w:rPr>
        <w:t xml:space="preserve"> ICT infrastructure in schools and </w:t>
      </w:r>
      <w:r>
        <w:rPr>
          <w:rFonts w:asciiTheme="majorHAnsi" w:hAnsiTheme="majorHAnsi" w:cstheme="majorHAnsi"/>
          <w:color w:val="000000" w:themeColor="text1"/>
        </w:rPr>
        <w:t xml:space="preserve">low </w:t>
      </w:r>
      <w:r w:rsidRPr="001D0436">
        <w:rPr>
          <w:rFonts w:asciiTheme="majorHAnsi" w:hAnsiTheme="majorHAnsi" w:cstheme="majorHAnsi"/>
          <w:color w:val="000000" w:themeColor="text1"/>
        </w:rPr>
        <w:t xml:space="preserve">ICT literacy </w:t>
      </w:r>
      <w:r>
        <w:rPr>
          <w:rFonts w:asciiTheme="majorHAnsi" w:hAnsiTheme="majorHAnsi" w:cstheme="majorHAnsi"/>
          <w:color w:val="000000" w:themeColor="text1"/>
        </w:rPr>
        <w:t>among older teachers were critical obstacles</w:t>
      </w:r>
      <w:r w:rsidRPr="001D0436">
        <w:rPr>
          <w:rFonts w:asciiTheme="majorHAnsi" w:hAnsiTheme="majorHAnsi" w:cstheme="majorHAnsi"/>
          <w:color w:val="000000" w:themeColor="text1"/>
        </w:rPr>
        <w:t xml:space="preserve">. </w:t>
      </w:r>
      <w:r>
        <w:rPr>
          <w:rFonts w:asciiTheme="majorHAnsi" w:hAnsiTheme="majorHAnsi" w:cstheme="majorHAnsi"/>
          <w:color w:val="000000" w:themeColor="text1"/>
        </w:rPr>
        <w:t>Several</w:t>
      </w:r>
      <w:r w:rsidRPr="001D0436">
        <w:rPr>
          <w:rFonts w:asciiTheme="majorHAnsi" w:hAnsiTheme="majorHAnsi" w:cstheme="majorHAnsi"/>
          <w:color w:val="000000" w:themeColor="text1"/>
        </w:rPr>
        <w:t xml:space="preserve"> factors identified by schools </w:t>
      </w:r>
      <w:r>
        <w:rPr>
          <w:rFonts w:asciiTheme="majorHAnsi" w:hAnsiTheme="majorHAnsi" w:cstheme="majorHAnsi"/>
          <w:color w:val="000000" w:themeColor="text1"/>
        </w:rPr>
        <w:t xml:space="preserve">that </w:t>
      </w:r>
      <w:r w:rsidRPr="001D0436">
        <w:rPr>
          <w:rFonts w:asciiTheme="majorHAnsi" w:hAnsiTheme="majorHAnsi" w:cstheme="majorHAnsi"/>
          <w:color w:val="000000" w:themeColor="text1"/>
        </w:rPr>
        <w:t>hindered attainment of EOPO</w:t>
      </w:r>
      <w:r>
        <w:rPr>
          <w:rFonts w:asciiTheme="majorHAnsi" w:hAnsiTheme="majorHAnsi" w:cstheme="majorHAnsi"/>
          <w:color w:val="000000" w:themeColor="text1"/>
        </w:rPr>
        <w:t>s</w:t>
      </w:r>
      <w:r w:rsidRPr="001D0436">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1 and </w:t>
      </w:r>
      <w:r w:rsidRPr="001D0436">
        <w:rPr>
          <w:rFonts w:asciiTheme="majorHAnsi" w:hAnsiTheme="majorHAnsi" w:cstheme="majorHAnsi"/>
          <w:color w:val="000000" w:themeColor="text1"/>
        </w:rPr>
        <w:t>3 were ICT</w:t>
      </w:r>
      <w:r>
        <w:rPr>
          <w:rFonts w:asciiTheme="majorHAnsi" w:hAnsiTheme="majorHAnsi" w:cstheme="majorHAnsi"/>
          <w:color w:val="000000" w:themeColor="text1"/>
        </w:rPr>
        <w:t>-</w:t>
      </w:r>
      <w:r w:rsidRPr="001D0436">
        <w:rPr>
          <w:rFonts w:asciiTheme="majorHAnsi" w:hAnsiTheme="majorHAnsi" w:cstheme="majorHAnsi"/>
          <w:color w:val="000000" w:themeColor="text1"/>
        </w:rPr>
        <w:t>related.</w:t>
      </w:r>
      <w:r w:rsidR="00D434EB">
        <w:rPr>
          <w:rFonts w:asciiTheme="majorHAnsi" w:hAnsiTheme="majorHAnsi" w:cstheme="majorHAnsi"/>
          <w:color w:val="000000" w:themeColor="text1"/>
        </w:rPr>
        <w:t xml:space="preserve"> </w:t>
      </w:r>
      <w:r w:rsidRPr="001D0436">
        <w:rPr>
          <w:rFonts w:asciiTheme="majorHAnsi" w:hAnsiTheme="majorHAnsi" w:cstheme="majorHAnsi"/>
          <w:color w:val="000000" w:themeColor="text1"/>
        </w:rPr>
        <w:t xml:space="preserve"> </w:t>
      </w:r>
    </w:p>
    <w:p w14:paraId="140A7808" w14:textId="6C4F7C23" w:rsidR="008D0CAD" w:rsidRPr="00100510" w:rsidRDefault="008D0CAD" w:rsidP="007B6836">
      <w:pPr>
        <w:spacing w:before="100" w:beforeAutospacing="1" w:after="100" w:afterAutospacing="1" w:line="360" w:lineRule="auto"/>
        <w:rPr>
          <w:rFonts w:asciiTheme="majorHAnsi" w:hAnsiTheme="majorHAnsi" w:cstheme="majorHAnsi"/>
          <w:b/>
          <w:bCs/>
          <w:color w:val="000000" w:themeColor="text1"/>
        </w:rPr>
      </w:pPr>
      <w:r w:rsidRPr="00100510">
        <w:rPr>
          <w:rFonts w:asciiTheme="majorHAnsi" w:hAnsiTheme="majorHAnsi" w:cstheme="majorHAnsi"/>
          <w:b/>
          <w:bCs/>
          <w:color w:val="000000" w:themeColor="text1"/>
        </w:rPr>
        <w:t>Weak or intermittent internet connectivity in schools.</w:t>
      </w:r>
      <w:r>
        <w:rPr>
          <w:rFonts w:asciiTheme="majorHAnsi" w:hAnsiTheme="majorHAnsi" w:cstheme="majorHAnsi"/>
          <w:b/>
          <w:bCs/>
          <w:color w:val="000000" w:themeColor="text1"/>
        </w:rPr>
        <w:t xml:space="preserve"> </w:t>
      </w:r>
      <w:r>
        <w:rPr>
          <w:rFonts w:asciiTheme="majorHAnsi" w:hAnsiTheme="majorHAnsi" w:cstheme="majorHAnsi"/>
          <w:color w:val="000000" w:themeColor="text1"/>
        </w:rPr>
        <w:t xml:space="preserve">The absence of stable </w:t>
      </w:r>
      <w:r w:rsidRPr="00A10F00">
        <w:rPr>
          <w:rFonts w:asciiTheme="majorHAnsi" w:hAnsiTheme="majorHAnsi" w:cstheme="majorHAnsi"/>
          <w:color w:val="000000" w:themeColor="text1"/>
        </w:rPr>
        <w:t>internet</w:t>
      </w:r>
      <w:r>
        <w:rPr>
          <w:rFonts w:asciiTheme="majorHAnsi" w:hAnsiTheme="majorHAnsi" w:cstheme="majorHAnsi"/>
          <w:color w:val="000000" w:themeColor="text1"/>
        </w:rPr>
        <w:t xml:space="preserve"> connections in school result in additional hardships for teachers, such as personally shouldering cost of internet access; using personal time to access UISS (e.g. at 2am); and limited</w:t>
      </w:r>
      <w:r w:rsidRPr="00A10F00">
        <w:rPr>
          <w:rFonts w:asciiTheme="majorHAnsi" w:hAnsiTheme="majorHAnsi" w:cstheme="majorHAnsi"/>
          <w:color w:val="000000" w:themeColor="text1"/>
        </w:rPr>
        <w:t xml:space="preserve"> access to updated, quality </w:t>
      </w:r>
      <w:r>
        <w:rPr>
          <w:rFonts w:asciiTheme="majorHAnsi" w:hAnsiTheme="majorHAnsi" w:cstheme="majorHAnsi"/>
          <w:color w:val="000000" w:themeColor="text1"/>
        </w:rPr>
        <w:t>assured</w:t>
      </w:r>
      <w:r w:rsidRPr="00A10F00">
        <w:rPr>
          <w:rFonts w:asciiTheme="majorHAnsi" w:hAnsiTheme="majorHAnsi" w:cstheme="majorHAnsi"/>
          <w:color w:val="000000" w:themeColor="text1"/>
        </w:rPr>
        <w:t xml:space="preserve"> teaching and learning materials (from the LR Portal).</w:t>
      </w:r>
      <w:r w:rsidR="00D434EB">
        <w:rPr>
          <w:rFonts w:asciiTheme="majorHAnsi" w:hAnsiTheme="majorHAnsi" w:cstheme="majorHAnsi"/>
          <w:color w:val="000000" w:themeColor="text1"/>
        </w:rPr>
        <w:t xml:space="preserve"> </w:t>
      </w:r>
    </w:p>
    <w:p w14:paraId="70AB95AF" w14:textId="628E8FFA" w:rsidR="008D0CAD" w:rsidRPr="001D0436" w:rsidRDefault="008D0CAD" w:rsidP="007B6836">
      <w:pPr>
        <w:pStyle w:val="NormalWeb"/>
        <w:spacing w:line="360" w:lineRule="auto"/>
        <w:rPr>
          <w:rFonts w:asciiTheme="majorHAnsi" w:hAnsiTheme="majorHAnsi" w:cstheme="majorHAnsi"/>
          <w:color w:val="000000" w:themeColor="text1"/>
        </w:rPr>
      </w:pPr>
      <w:r>
        <w:rPr>
          <w:rFonts w:asciiTheme="majorHAnsi" w:hAnsiTheme="majorHAnsi" w:cstheme="majorHAnsi"/>
          <w:b/>
        </w:rPr>
        <w:t>I</w:t>
      </w:r>
      <w:r w:rsidRPr="00BE6230">
        <w:rPr>
          <w:rFonts w:asciiTheme="majorHAnsi" w:hAnsiTheme="majorHAnsi" w:cstheme="majorHAnsi"/>
          <w:b/>
        </w:rPr>
        <w:t xml:space="preserve">nsufficient </w:t>
      </w:r>
      <w:r>
        <w:rPr>
          <w:rFonts w:asciiTheme="majorHAnsi" w:hAnsiTheme="majorHAnsi" w:cstheme="majorHAnsi"/>
          <w:b/>
        </w:rPr>
        <w:t xml:space="preserve">ICT infrastructure </w:t>
      </w:r>
      <w:r w:rsidRPr="00BE6230">
        <w:rPr>
          <w:rFonts w:asciiTheme="majorHAnsi" w:hAnsiTheme="majorHAnsi" w:cstheme="majorHAnsi"/>
          <w:b/>
        </w:rPr>
        <w:t>in schools</w:t>
      </w:r>
      <w:r>
        <w:rPr>
          <w:rFonts w:asciiTheme="majorHAnsi" w:hAnsiTheme="majorHAnsi" w:cstheme="majorHAnsi"/>
          <w:b/>
        </w:rPr>
        <w:t>.</w:t>
      </w:r>
      <w:r>
        <w:rPr>
          <w:rFonts w:asciiTheme="majorHAnsi" w:hAnsiTheme="majorHAnsi" w:cstheme="majorHAnsi"/>
        </w:rPr>
        <w:t xml:space="preserve"> </w:t>
      </w:r>
      <w:r>
        <w:rPr>
          <w:rFonts w:asciiTheme="majorHAnsi" w:hAnsiTheme="majorHAnsi" w:cstheme="majorHAnsi"/>
          <w:color w:val="000000" w:themeColor="text1"/>
        </w:rPr>
        <w:t>A</w:t>
      </w:r>
      <w:r w:rsidRPr="001D0436">
        <w:rPr>
          <w:rFonts w:asciiTheme="majorHAnsi" w:hAnsiTheme="majorHAnsi" w:cstheme="majorHAnsi"/>
          <w:color w:val="000000" w:themeColor="text1"/>
        </w:rPr>
        <w:t xml:space="preserve"> considerable number of schools </w:t>
      </w:r>
      <w:r>
        <w:rPr>
          <w:rFonts w:asciiTheme="majorHAnsi" w:hAnsiTheme="majorHAnsi" w:cstheme="majorHAnsi"/>
          <w:color w:val="000000" w:themeColor="text1"/>
        </w:rPr>
        <w:t xml:space="preserve">were found to have insufficient </w:t>
      </w:r>
      <w:r w:rsidRPr="001D0436">
        <w:rPr>
          <w:rFonts w:asciiTheme="majorHAnsi" w:hAnsiTheme="majorHAnsi" w:cstheme="majorHAnsi"/>
          <w:color w:val="000000" w:themeColor="text1"/>
        </w:rPr>
        <w:t xml:space="preserve">ICT </w:t>
      </w:r>
      <w:r>
        <w:rPr>
          <w:rFonts w:asciiTheme="majorHAnsi" w:hAnsiTheme="majorHAnsi" w:cstheme="majorHAnsi"/>
          <w:color w:val="000000" w:themeColor="text1"/>
        </w:rPr>
        <w:t>infrastructure</w:t>
      </w:r>
      <w:r w:rsidRPr="001D0436">
        <w:rPr>
          <w:rFonts w:asciiTheme="majorHAnsi" w:hAnsiTheme="majorHAnsi" w:cstheme="majorHAnsi"/>
          <w:color w:val="000000" w:themeColor="text1"/>
        </w:rPr>
        <w:t>.</w:t>
      </w:r>
      <w:r w:rsidR="00D434EB">
        <w:rPr>
          <w:rFonts w:asciiTheme="majorHAnsi" w:hAnsiTheme="majorHAnsi" w:cstheme="majorHAnsi"/>
          <w:color w:val="000000" w:themeColor="text1"/>
        </w:rPr>
        <w:t xml:space="preserve"> </w:t>
      </w:r>
      <w:r w:rsidRPr="001D0436">
        <w:rPr>
          <w:rFonts w:asciiTheme="majorHAnsi" w:hAnsiTheme="majorHAnsi" w:cstheme="majorHAnsi"/>
          <w:color w:val="000000" w:themeColor="text1"/>
        </w:rPr>
        <w:t>M</w:t>
      </w:r>
      <w:r>
        <w:rPr>
          <w:rFonts w:asciiTheme="majorHAnsi" w:hAnsiTheme="majorHAnsi" w:cstheme="majorHAnsi"/>
          <w:color w:val="000000" w:themeColor="text1"/>
        </w:rPr>
        <w:t xml:space="preserve">uch </w:t>
      </w:r>
      <w:r w:rsidRPr="001D0436">
        <w:rPr>
          <w:rFonts w:asciiTheme="majorHAnsi" w:hAnsiTheme="majorHAnsi" w:cstheme="majorHAnsi"/>
          <w:color w:val="000000" w:themeColor="text1"/>
        </w:rPr>
        <w:t xml:space="preserve">of the computer hardware provided by </w:t>
      </w:r>
      <w:r>
        <w:rPr>
          <w:rFonts w:asciiTheme="majorHAnsi" w:hAnsiTheme="majorHAnsi" w:cstheme="majorHAnsi"/>
          <w:color w:val="000000" w:themeColor="text1"/>
        </w:rPr>
        <w:t>DepEd</w:t>
      </w:r>
      <w:r w:rsidRPr="001D0436">
        <w:rPr>
          <w:rFonts w:asciiTheme="majorHAnsi" w:hAnsiTheme="majorHAnsi" w:cstheme="majorHAnsi"/>
          <w:color w:val="000000" w:themeColor="text1"/>
        </w:rPr>
        <w:t xml:space="preserve"> to these schools </w:t>
      </w:r>
      <w:r>
        <w:rPr>
          <w:rFonts w:asciiTheme="majorHAnsi" w:hAnsiTheme="majorHAnsi" w:cstheme="majorHAnsi"/>
          <w:color w:val="000000" w:themeColor="text1"/>
        </w:rPr>
        <w:t>under the DepEd Computerization Program (DCP)</w:t>
      </w:r>
      <w:r w:rsidRPr="001D0436">
        <w:rPr>
          <w:rFonts w:asciiTheme="majorHAnsi" w:hAnsiTheme="majorHAnsi" w:cstheme="majorHAnsi"/>
          <w:color w:val="000000" w:themeColor="text1"/>
        </w:rPr>
        <w:t xml:space="preserve"> w</w:t>
      </w:r>
      <w:r>
        <w:rPr>
          <w:rFonts w:asciiTheme="majorHAnsi" w:hAnsiTheme="majorHAnsi" w:cstheme="majorHAnsi"/>
          <w:color w:val="000000" w:themeColor="text1"/>
        </w:rPr>
        <w:t>as</w:t>
      </w:r>
      <w:r w:rsidRPr="001D0436">
        <w:rPr>
          <w:rFonts w:asciiTheme="majorHAnsi" w:hAnsiTheme="majorHAnsi" w:cstheme="majorHAnsi"/>
          <w:color w:val="000000" w:themeColor="text1"/>
        </w:rPr>
        <w:t xml:space="preserve"> no longer functioning.</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In the Follow-Up Study, one respondent noted that an ICT teacher uses his/her own laptop during computer classes, and that because each student is given a chance to use it, the entire class duration is used up.</w:t>
      </w:r>
    </w:p>
    <w:p w14:paraId="019A3F0F" w14:textId="48AE8678" w:rsidR="008D0CAD" w:rsidRDefault="008D0CAD" w:rsidP="007B6836">
      <w:pPr>
        <w:spacing w:before="100" w:beforeAutospacing="1" w:after="100" w:afterAutospacing="1" w:line="360" w:lineRule="auto"/>
        <w:rPr>
          <w:rFonts w:asciiTheme="majorHAnsi" w:hAnsiTheme="majorHAnsi" w:cstheme="majorHAnsi"/>
        </w:rPr>
      </w:pPr>
      <w:r w:rsidRPr="00100510">
        <w:rPr>
          <w:rFonts w:asciiTheme="majorHAnsi" w:hAnsiTheme="majorHAnsi" w:cstheme="majorHAnsi"/>
          <w:b/>
          <w:bCs/>
          <w:color w:val="000000" w:themeColor="text1"/>
        </w:rPr>
        <w:t>Low ICT literacy among some teachers</w:t>
      </w:r>
      <w:r>
        <w:rPr>
          <w:rFonts w:asciiTheme="majorHAnsi" w:hAnsiTheme="majorHAnsi" w:cstheme="majorHAnsi"/>
          <w:color w:val="000000" w:themeColor="text1"/>
        </w:rPr>
        <w:t>.</w:t>
      </w:r>
      <w:r w:rsidR="00D434EB">
        <w:rPr>
          <w:rFonts w:asciiTheme="majorHAnsi" w:hAnsiTheme="majorHAnsi" w:cstheme="majorHAnsi"/>
          <w:color w:val="000000" w:themeColor="text1"/>
        </w:rPr>
        <w:t xml:space="preserve"> </w:t>
      </w:r>
      <w:r>
        <w:rPr>
          <w:rFonts w:asciiTheme="majorHAnsi" w:hAnsiTheme="majorHAnsi" w:cstheme="majorHAnsi"/>
        </w:rPr>
        <w:t>Nearly half of the 193 respondent teachers were aged 40 years old and above.</w:t>
      </w:r>
      <w:r w:rsidR="00D434EB">
        <w:rPr>
          <w:rFonts w:asciiTheme="majorHAnsi" w:hAnsiTheme="majorHAnsi" w:cstheme="majorHAnsi"/>
        </w:rPr>
        <w:t xml:space="preserve"> </w:t>
      </w:r>
      <w:r>
        <w:rPr>
          <w:rFonts w:asciiTheme="majorHAnsi" w:hAnsiTheme="majorHAnsi" w:cstheme="majorHAnsi"/>
        </w:rPr>
        <w:t xml:space="preserve">Many of them are challenged in the use of </w:t>
      </w:r>
      <w:r w:rsidRPr="001D0436">
        <w:rPr>
          <w:rFonts w:asciiTheme="majorHAnsi" w:hAnsiTheme="majorHAnsi" w:cstheme="majorHAnsi"/>
          <w:color w:val="000000" w:themeColor="text1"/>
        </w:rPr>
        <w:t>use of computers and the internet</w:t>
      </w:r>
      <w:r>
        <w:rPr>
          <w:rFonts w:asciiTheme="majorHAnsi" w:hAnsiTheme="majorHAnsi" w:cstheme="majorHAnsi"/>
          <w:color w:val="000000" w:themeColor="text1"/>
        </w:rPr>
        <w:t xml:space="preserve"> and in accessing the UISS.</w:t>
      </w:r>
    </w:p>
    <w:p w14:paraId="1571C5E5" w14:textId="77777777" w:rsidR="008D0CAD" w:rsidRPr="001D0436" w:rsidRDefault="008D0CAD" w:rsidP="008C061C">
      <w:pPr>
        <w:pStyle w:val="Heading6"/>
      </w:pPr>
      <w:r w:rsidRPr="001D0436">
        <w:t>Incomplete systemic elements to underpin reforms</w:t>
      </w:r>
    </w:p>
    <w:p w14:paraId="48C19272" w14:textId="6A69854E" w:rsidR="008D0CAD" w:rsidRPr="00736EEF" w:rsidRDefault="008D0CAD" w:rsidP="007B6836">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color w:val="000000" w:themeColor="text1"/>
        </w:rPr>
        <w:t>Systemic reforms done under the BEST Program normally include various elements, involve multiple layers of changes, and often touch on institutional modifications, i.e., in terms of norms, values, attitudes.</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Instituting incomplete systemic reforms often risks the effectiveness of their implementation. </w:t>
      </w:r>
    </w:p>
    <w:p w14:paraId="451C03DB" w14:textId="508B8335" w:rsidR="008D0CAD" w:rsidRDefault="008D0CAD" w:rsidP="007B6836">
      <w:pPr>
        <w:spacing w:before="100" w:beforeAutospacing="1" w:after="100" w:afterAutospacing="1" w:line="360" w:lineRule="auto"/>
        <w:rPr>
          <w:rFonts w:asciiTheme="majorHAnsi" w:hAnsiTheme="majorHAnsi" w:cstheme="majorHAnsi"/>
          <w:color w:val="000000" w:themeColor="text1"/>
        </w:rPr>
      </w:pPr>
      <w:r w:rsidRPr="00736EEF">
        <w:rPr>
          <w:rFonts w:asciiTheme="majorHAnsi" w:hAnsiTheme="majorHAnsi" w:cstheme="majorHAnsi"/>
          <w:b/>
          <w:bCs/>
          <w:color w:val="000000" w:themeColor="text1"/>
        </w:rPr>
        <w:t xml:space="preserve">Clinical assessment of </w:t>
      </w:r>
      <w:r w:rsidRPr="002C3528">
        <w:rPr>
          <w:rFonts w:asciiTheme="majorHAnsi" w:hAnsiTheme="majorHAnsi" w:cstheme="majorHAnsi"/>
          <w:b/>
          <w:bCs/>
        </w:rPr>
        <w:t>children with disabilities</w:t>
      </w:r>
      <w:r>
        <w:rPr>
          <w:rFonts w:asciiTheme="majorHAnsi" w:hAnsiTheme="majorHAnsi" w:cstheme="majorHAnsi"/>
          <w:color w:val="000000" w:themeColor="text1"/>
        </w:rPr>
        <w:t>. Inclusive Education, by and large, was well accepted by school stakeholders - in theory.</w:t>
      </w:r>
      <w:r w:rsidRPr="001D0436">
        <w:rPr>
          <w:rFonts w:asciiTheme="majorHAnsi" w:hAnsiTheme="majorHAnsi" w:cstheme="majorHAnsi"/>
          <w:color w:val="000000" w:themeColor="text1"/>
        </w:rPr>
        <w:t xml:space="preserve"> </w:t>
      </w:r>
      <w:r>
        <w:rPr>
          <w:rFonts w:asciiTheme="majorHAnsi" w:hAnsiTheme="majorHAnsi" w:cstheme="majorHAnsi"/>
          <w:color w:val="000000" w:themeColor="text1"/>
        </w:rPr>
        <w:t>With the issuance of a policy on inclusive education, implementation was expected to follow</w:t>
      </w:r>
      <w:r w:rsidRPr="001D0436">
        <w:rPr>
          <w:rFonts w:asciiTheme="majorHAnsi" w:hAnsiTheme="majorHAnsi" w:cstheme="majorHAnsi"/>
          <w:color w:val="000000" w:themeColor="text1"/>
        </w:rPr>
        <w:t>.</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However, even a Special Education (SPED) school itself noted key elements missing from the reform initiative. First is the absence of clinical assessments of </w:t>
      </w:r>
      <w:r>
        <w:rPr>
          <w:rFonts w:asciiTheme="majorHAnsi" w:hAnsiTheme="majorHAnsi" w:cstheme="majorHAnsi"/>
        </w:rPr>
        <w:t>children with disabilities</w:t>
      </w:r>
      <w:r w:rsidDel="00C15FFE">
        <w:rPr>
          <w:rFonts w:asciiTheme="majorHAnsi" w:hAnsiTheme="majorHAnsi" w:cstheme="majorHAnsi"/>
          <w:color w:val="000000" w:themeColor="text1"/>
        </w:rPr>
        <w:t xml:space="preserve"> </w:t>
      </w:r>
      <w:r>
        <w:rPr>
          <w:rFonts w:asciiTheme="majorHAnsi" w:hAnsiTheme="majorHAnsi" w:cstheme="majorHAnsi"/>
          <w:color w:val="000000" w:themeColor="text1"/>
        </w:rPr>
        <w:t>prior to mainstreaming in regular classrooms.</w:t>
      </w:r>
      <w:r w:rsidR="00D434EB">
        <w:rPr>
          <w:rFonts w:asciiTheme="majorHAnsi" w:hAnsiTheme="majorHAnsi" w:cstheme="majorHAnsi"/>
          <w:color w:val="000000" w:themeColor="text1"/>
        </w:rPr>
        <w:t xml:space="preserve"> </w:t>
      </w:r>
      <w:r w:rsidRPr="001D0436">
        <w:rPr>
          <w:rFonts w:asciiTheme="majorHAnsi" w:hAnsiTheme="majorHAnsi" w:cstheme="majorHAnsi"/>
          <w:color w:val="000000" w:themeColor="text1"/>
        </w:rPr>
        <w:t xml:space="preserve">Teachers </w:t>
      </w:r>
      <w:r>
        <w:rPr>
          <w:rFonts w:asciiTheme="majorHAnsi" w:hAnsiTheme="majorHAnsi" w:cstheme="majorHAnsi"/>
          <w:color w:val="000000" w:themeColor="text1"/>
        </w:rPr>
        <w:t>cannot</w:t>
      </w:r>
      <w:r w:rsidRPr="001D0436">
        <w:rPr>
          <w:rFonts w:asciiTheme="majorHAnsi" w:hAnsiTheme="majorHAnsi" w:cstheme="majorHAnsi"/>
          <w:color w:val="000000" w:themeColor="text1"/>
        </w:rPr>
        <w:t xml:space="preserve"> assess </w:t>
      </w:r>
      <w:r>
        <w:rPr>
          <w:rFonts w:asciiTheme="majorHAnsi" w:hAnsiTheme="majorHAnsi" w:cstheme="majorHAnsi"/>
          <w:color w:val="000000" w:themeColor="text1"/>
        </w:rPr>
        <w:t xml:space="preserve">learning and physical disabilities among children because they are not competent to do so. Parents of </w:t>
      </w:r>
      <w:r>
        <w:rPr>
          <w:rFonts w:asciiTheme="majorHAnsi" w:hAnsiTheme="majorHAnsi" w:cstheme="majorHAnsi"/>
        </w:rPr>
        <w:t>children with disabilities</w:t>
      </w:r>
      <w:r w:rsidDel="00C15FFE">
        <w:rPr>
          <w:rFonts w:asciiTheme="majorHAnsi" w:hAnsiTheme="majorHAnsi" w:cstheme="majorHAnsi"/>
          <w:color w:val="000000" w:themeColor="text1"/>
        </w:rPr>
        <w:t xml:space="preserve"> </w:t>
      </w:r>
      <w:r>
        <w:rPr>
          <w:rFonts w:asciiTheme="majorHAnsi" w:hAnsiTheme="majorHAnsi" w:cstheme="majorHAnsi"/>
          <w:color w:val="000000" w:themeColor="text1"/>
        </w:rPr>
        <w:t>were not properly oriented causing some negative reactions.</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Principals and teachers prefer to have professionals undertake the clinical assessments of </w:t>
      </w:r>
      <w:r>
        <w:rPr>
          <w:rFonts w:asciiTheme="majorHAnsi" w:hAnsiTheme="majorHAnsi" w:cstheme="majorHAnsi"/>
        </w:rPr>
        <w:t>children with disabilities</w:t>
      </w:r>
      <w:r>
        <w:rPr>
          <w:rFonts w:asciiTheme="majorHAnsi" w:hAnsiTheme="majorHAnsi" w:cstheme="majorHAnsi"/>
          <w:color w:val="000000" w:themeColor="text1"/>
        </w:rPr>
        <w:t>.</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However, there are not enough professionals in the DOs to attend to the clinical assessment requirements of all schools.</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Parents usually cannot afford to pay for professional clinical assessments.</w:t>
      </w:r>
    </w:p>
    <w:p w14:paraId="5ECCC205" w14:textId="75C20BFD" w:rsidR="008D0CAD" w:rsidRPr="00D15762" w:rsidRDefault="008D0CAD" w:rsidP="007B6836">
      <w:pPr>
        <w:spacing w:before="100" w:beforeAutospacing="1" w:after="100" w:afterAutospacing="1" w:line="360" w:lineRule="auto"/>
        <w:rPr>
          <w:rFonts w:asciiTheme="majorHAnsi" w:hAnsiTheme="majorHAnsi" w:cstheme="majorHAnsi"/>
          <w:iCs/>
        </w:rPr>
      </w:pPr>
      <w:r w:rsidRPr="001F56E1">
        <w:rPr>
          <w:rFonts w:asciiTheme="majorHAnsi" w:hAnsiTheme="majorHAnsi" w:cstheme="majorHAnsi"/>
          <w:b/>
          <w:bCs/>
        </w:rPr>
        <w:t xml:space="preserve">Insufficient teaching-learning materials for </w:t>
      </w:r>
      <w:r>
        <w:rPr>
          <w:rFonts w:asciiTheme="majorHAnsi" w:hAnsiTheme="majorHAnsi" w:cstheme="majorHAnsi"/>
          <w:b/>
          <w:bCs/>
        </w:rPr>
        <w:t>inclusive education (</w:t>
      </w:r>
      <w:r w:rsidRPr="001F56E1">
        <w:rPr>
          <w:rFonts w:asciiTheme="majorHAnsi" w:hAnsiTheme="majorHAnsi" w:cstheme="majorHAnsi"/>
          <w:b/>
          <w:bCs/>
        </w:rPr>
        <w:t>IE</w:t>
      </w:r>
      <w:r>
        <w:rPr>
          <w:rFonts w:asciiTheme="majorHAnsi" w:hAnsiTheme="majorHAnsi" w:cstheme="majorHAnsi"/>
          <w:b/>
          <w:bCs/>
        </w:rPr>
        <w:t>)</w:t>
      </w:r>
      <w:r>
        <w:rPr>
          <w:rFonts w:asciiTheme="majorHAnsi" w:hAnsiTheme="majorHAnsi" w:cstheme="majorHAnsi"/>
        </w:rPr>
        <w:t>. Regular schools are insufficiently equipped to mainstream IE.</w:t>
      </w:r>
      <w:r w:rsidR="00D434EB">
        <w:rPr>
          <w:rFonts w:asciiTheme="majorHAnsi" w:hAnsiTheme="majorHAnsi" w:cstheme="majorHAnsi"/>
        </w:rPr>
        <w:t xml:space="preserve"> </w:t>
      </w:r>
      <w:r>
        <w:rPr>
          <w:rFonts w:asciiTheme="majorHAnsi" w:hAnsiTheme="majorHAnsi" w:cstheme="majorHAnsi"/>
        </w:rPr>
        <w:t>Only schools with special programs were found to be well-quipped.</w:t>
      </w:r>
      <w:r w:rsidR="00D434EB">
        <w:rPr>
          <w:rFonts w:asciiTheme="majorHAnsi" w:hAnsiTheme="majorHAnsi" w:cstheme="majorHAnsi"/>
        </w:rPr>
        <w:t xml:space="preserve"> </w:t>
      </w:r>
      <w:r>
        <w:rPr>
          <w:rFonts w:asciiTheme="majorHAnsi" w:hAnsiTheme="majorHAnsi" w:cstheme="majorHAnsi"/>
        </w:rPr>
        <w:t xml:space="preserve">For instance, one school in NCR was assisted by an international NGO for IE. In contrast, a </w:t>
      </w:r>
      <w:r w:rsidRPr="00FD65C7">
        <w:rPr>
          <w:rFonts w:asciiTheme="majorHAnsi" w:hAnsiTheme="majorHAnsi" w:cstheme="majorHAnsi"/>
        </w:rPr>
        <w:t xml:space="preserve">SPED school </w:t>
      </w:r>
      <w:r>
        <w:rPr>
          <w:rFonts w:asciiTheme="majorHAnsi" w:hAnsiTheme="majorHAnsi" w:cstheme="majorHAnsi"/>
        </w:rPr>
        <w:t xml:space="preserve">also in NCR noted that they were still </w:t>
      </w:r>
      <w:r w:rsidRPr="00FD65C7">
        <w:rPr>
          <w:rFonts w:asciiTheme="majorHAnsi" w:hAnsiTheme="majorHAnsi" w:cstheme="majorHAnsi"/>
        </w:rPr>
        <w:t xml:space="preserve">using the only available </w:t>
      </w:r>
      <w:r>
        <w:rPr>
          <w:rFonts w:asciiTheme="majorHAnsi" w:hAnsiTheme="majorHAnsi" w:cstheme="majorHAnsi"/>
        </w:rPr>
        <w:t>DepEd</w:t>
      </w:r>
      <w:r w:rsidRPr="00FD65C7">
        <w:rPr>
          <w:rFonts w:asciiTheme="majorHAnsi" w:hAnsiTheme="majorHAnsi" w:cstheme="majorHAnsi"/>
        </w:rPr>
        <w:t xml:space="preserve"> curriculum </w:t>
      </w:r>
      <w:r>
        <w:rPr>
          <w:rFonts w:asciiTheme="majorHAnsi" w:hAnsiTheme="majorHAnsi" w:cstheme="majorHAnsi"/>
        </w:rPr>
        <w:t xml:space="preserve">for children with disabilities, which had been </w:t>
      </w:r>
      <w:r w:rsidRPr="00FD65C7">
        <w:rPr>
          <w:rFonts w:asciiTheme="majorHAnsi" w:hAnsiTheme="majorHAnsi" w:cstheme="majorHAnsi"/>
        </w:rPr>
        <w:t>published in 1985</w:t>
      </w:r>
      <w:r>
        <w:rPr>
          <w:rFonts w:asciiTheme="majorHAnsi" w:hAnsiTheme="majorHAnsi" w:cstheme="majorHAnsi"/>
        </w:rPr>
        <w:t xml:space="preserve"> </w:t>
      </w:r>
      <w:r w:rsidRPr="00FD65C7">
        <w:rPr>
          <w:rFonts w:asciiTheme="majorHAnsi" w:hAnsiTheme="majorHAnsi" w:cstheme="majorHAnsi"/>
        </w:rPr>
        <w:t>(Instructional Materials for Children with Handicap).</w:t>
      </w:r>
      <w:r w:rsidR="00D434EB">
        <w:rPr>
          <w:rFonts w:asciiTheme="majorHAnsi" w:hAnsiTheme="majorHAnsi" w:cstheme="majorHAnsi"/>
          <w:iCs/>
        </w:rPr>
        <w:t xml:space="preserve"> </w:t>
      </w:r>
      <w:r>
        <w:rPr>
          <w:rFonts w:asciiTheme="majorHAnsi" w:hAnsiTheme="majorHAnsi" w:cstheme="majorHAnsi"/>
          <w:iCs/>
        </w:rPr>
        <w:t xml:space="preserve">Another </w:t>
      </w:r>
      <w:r>
        <w:rPr>
          <w:rFonts w:asciiTheme="majorHAnsi" w:hAnsiTheme="majorHAnsi" w:cstheme="majorHAnsi"/>
          <w:bCs/>
          <w:color w:val="000000"/>
        </w:rPr>
        <w:t>t</w:t>
      </w:r>
      <w:r w:rsidRPr="00CB31DB">
        <w:rPr>
          <w:rFonts w:asciiTheme="majorHAnsi" w:hAnsiTheme="majorHAnsi" w:cstheme="majorHAnsi"/>
          <w:bCs/>
          <w:color w:val="000000"/>
        </w:rPr>
        <w:t xml:space="preserve">eacher </w:t>
      </w:r>
      <w:r>
        <w:rPr>
          <w:rFonts w:asciiTheme="majorHAnsi" w:hAnsiTheme="majorHAnsi" w:cstheme="majorHAnsi"/>
          <w:color w:val="000000"/>
        </w:rPr>
        <w:t>noted the a</w:t>
      </w:r>
      <w:r w:rsidRPr="00A865D7">
        <w:rPr>
          <w:rFonts w:asciiTheme="majorHAnsi" w:hAnsiTheme="majorHAnsi" w:cstheme="majorHAnsi"/>
          <w:color w:val="000000"/>
        </w:rPr>
        <w:t>bsence of a responsive K-12 curriculum tailored for the Hearing Impaired (</w:t>
      </w:r>
      <w:r>
        <w:rPr>
          <w:rFonts w:asciiTheme="majorHAnsi" w:hAnsiTheme="majorHAnsi" w:cstheme="majorHAnsi"/>
          <w:color w:val="000000"/>
        </w:rPr>
        <w:t>HIs</w:t>
      </w:r>
      <w:r w:rsidRPr="00A865D7">
        <w:rPr>
          <w:rFonts w:asciiTheme="majorHAnsi" w:hAnsiTheme="majorHAnsi" w:cstheme="majorHAnsi"/>
          <w:color w:val="000000"/>
        </w:rPr>
        <w:t>)</w:t>
      </w:r>
      <w:r>
        <w:rPr>
          <w:rFonts w:asciiTheme="majorHAnsi" w:hAnsiTheme="majorHAnsi" w:cstheme="majorHAnsi"/>
          <w:color w:val="000000"/>
        </w:rPr>
        <w:t>.</w:t>
      </w:r>
    </w:p>
    <w:p w14:paraId="703C355F" w14:textId="76B79B6F" w:rsidR="008D0CAD" w:rsidRDefault="008D0CAD" w:rsidP="007B6836">
      <w:pPr>
        <w:spacing w:before="100" w:beforeAutospacing="1" w:after="100" w:afterAutospacing="1" w:line="360" w:lineRule="auto"/>
        <w:rPr>
          <w:rFonts w:asciiTheme="majorHAnsi" w:hAnsiTheme="majorHAnsi" w:cstheme="majorHAnsi"/>
          <w:color w:val="000000" w:themeColor="text1"/>
        </w:rPr>
      </w:pPr>
      <w:r w:rsidRPr="00D15762">
        <w:rPr>
          <w:rFonts w:asciiTheme="majorHAnsi" w:hAnsiTheme="majorHAnsi" w:cstheme="majorHAnsi"/>
          <w:b/>
          <w:bCs/>
        </w:rPr>
        <w:t>Mother-Tongue Based-Multilingual Education</w:t>
      </w:r>
      <w:r w:rsidRPr="00D15762">
        <w:rPr>
          <w:rFonts w:asciiTheme="majorHAnsi" w:hAnsiTheme="majorHAnsi" w:cstheme="majorHAnsi"/>
          <w:b/>
          <w:bCs/>
          <w:color w:val="000000" w:themeColor="text1"/>
        </w:rPr>
        <w:t xml:space="preserve"> (MTB-MLE)</w:t>
      </w:r>
      <w:r>
        <w:rPr>
          <w:rFonts w:asciiTheme="majorHAnsi" w:hAnsiTheme="majorHAnsi" w:cstheme="majorHAnsi"/>
          <w:color w:val="000000" w:themeColor="text1"/>
        </w:rPr>
        <w:t>.</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The policy on MTB-MLE is appears to be a double-edged sword.</w:t>
      </w:r>
      <w:r w:rsidRPr="00D15762">
        <w:rPr>
          <w:rFonts w:asciiTheme="majorHAnsi" w:hAnsiTheme="majorHAnsi" w:cstheme="majorHAnsi"/>
          <w:color w:val="000000" w:themeColor="text1"/>
        </w:rPr>
        <w:t xml:space="preserve"> </w:t>
      </w:r>
      <w:r>
        <w:rPr>
          <w:rFonts w:asciiTheme="majorHAnsi" w:hAnsiTheme="majorHAnsi" w:cstheme="majorHAnsi"/>
          <w:color w:val="000000" w:themeColor="text1"/>
        </w:rPr>
        <w:t>Some schools appreciate it but many others point to its weaknesses such as the difficulties students experience t</w:t>
      </w:r>
      <w:r w:rsidRPr="00736EEF">
        <w:rPr>
          <w:rFonts w:asciiTheme="majorHAnsi" w:hAnsiTheme="majorHAnsi" w:cstheme="majorHAnsi"/>
          <w:color w:val="000000" w:themeColor="text1"/>
        </w:rPr>
        <w:t>ransition</w:t>
      </w:r>
      <w:r>
        <w:rPr>
          <w:rFonts w:asciiTheme="majorHAnsi" w:hAnsiTheme="majorHAnsi" w:cstheme="majorHAnsi"/>
          <w:color w:val="000000" w:themeColor="text1"/>
        </w:rPr>
        <w:t>ing</w:t>
      </w:r>
      <w:r w:rsidRPr="00736EEF">
        <w:rPr>
          <w:rFonts w:asciiTheme="majorHAnsi" w:hAnsiTheme="majorHAnsi" w:cstheme="majorHAnsi"/>
          <w:color w:val="000000" w:themeColor="text1"/>
        </w:rPr>
        <w:t xml:space="preserve"> from Grade 3 (</w:t>
      </w:r>
      <w:r>
        <w:rPr>
          <w:rFonts w:asciiTheme="majorHAnsi" w:hAnsiTheme="majorHAnsi" w:cstheme="majorHAnsi"/>
          <w:color w:val="000000" w:themeColor="text1"/>
        </w:rPr>
        <w:t>mother tongue instruction</w:t>
      </w:r>
      <w:r w:rsidRPr="00736EEF">
        <w:rPr>
          <w:rFonts w:asciiTheme="majorHAnsi" w:hAnsiTheme="majorHAnsi" w:cstheme="majorHAnsi"/>
          <w:color w:val="000000" w:themeColor="text1"/>
        </w:rPr>
        <w:t>) to Grade 4</w:t>
      </w:r>
      <w:r>
        <w:rPr>
          <w:rFonts w:asciiTheme="majorHAnsi" w:hAnsiTheme="majorHAnsi" w:cstheme="majorHAnsi"/>
          <w:color w:val="000000" w:themeColor="text1"/>
        </w:rPr>
        <w:t xml:space="preserve"> (English language instruction) and the difficulty Science and Mathematics teachers face in teaching in mother tongues.</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Certain missing elements (such as bridging sessions from Grade 3 to 4) could have helped the reform solidify.</w:t>
      </w:r>
    </w:p>
    <w:p w14:paraId="50D86B81" w14:textId="7CD2FBCA" w:rsidR="008D0CAD" w:rsidRDefault="008D0CAD" w:rsidP="007B6836">
      <w:pPr>
        <w:spacing w:before="100" w:beforeAutospacing="1" w:after="100" w:afterAutospacing="1" w:line="360" w:lineRule="auto"/>
        <w:rPr>
          <w:rFonts w:asciiTheme="majorHAnsi" w:hAnsiTheme="majorHAnsi" w:cstheme="majorHAnsi"/>
        </w:rPr>
      </w:pPr>
      <w:r w:rsidRPr="00B74584">
        <w:rPr>
          <w:rFonts w:asciiTheme="majorHAnsi" w:hAnsiTheme="majorHAnsi" w:cstheme="majorHAnsi"/>
          <w:b/>
          <w:bCs/>
        </w:rPr>
        <w:t>Inadequate Materials</w:t>
      </w:r>
      <w:r>
        <w:rPr>
          <w:rFonts w:asciiTheme="majorHAnsi" w:hAnsiTheme="majorHAnsi" w:cstheme="majorHAnsi"/>
        </w:rPr>
        <w:t>. Stakeholders noted that there was i</w:t>
      </w:r>
      <w:r w:rsidRPr="00D15762">
        <w:rPr>
          <w:rFonts w:asciiTheme="majorHAnsi" w:hAnsiTheme="majorHAnsi" w:cstheme="majorHAnsi"/>
        </w:rPr>
        <w:t xml:space="preserve">nsufficient dissemination of </w:t>
      </w:r>
      <w:r>
        <w:rPr>
          <w:rFonts w:asciiTheme="majorHAnsi" w:hAnsiTheme="majorHAnsi" w:cstheme="majorHAnsi"/>
        </w:rPr>
        <w:t xml:space="preserve">teaching and learning </w:t>
      </w:r>
      <w:r w:rsidRPr="00D15762">
        <w:rPr>
          <w:rFonts w:asciiTheme="majorHAnsi" w:hAnsiTheme="majorHAnsi" w:cstheme="majorHAnsi"/>
        </w:rPr>
        <w:t>materials (both print and e-copies) that accompanied the reforms</w:t>
      </w:r>
      <w:r>
        <w:rPr>
          <w:rFonts w:asciiTheme="majorHAnsi" w:hAnsiTheme="majorHAnsi" w:cstheme="majorHAnsi"/>
        </w:rPr>
        <w:t>. This observation came from both respondents of the Main Study and the Follow-Up Study.</w:t>
      </w:r>
      <w:r w:rsidR="00D434EB">
        <w:rPr>
          <w:rFonts w:asciiTheme="majorHAnsi" w:hAnsiTheme="majorHAnsi" w:cstheme="majorHAnsi"/>
        </w:rPr>
        <w:t xml:space="preserve"> </w:t>
      </w:r>
      <w:r>
        <w:rPr>
          <w:rFonts w:asciiTheme="majorHAnsi" w:hAnsiTheme="majorHAnsi" w:cstheme="majorHAnsi"/>
        </w:rPr>
        <w:t>Unless the principals and teachers have mastered the art of note-taking, even those who attended orientations and workshops cite the lack of materials provided during these activities.</w:t>
      </w:r>
    </w:p>
    <w:p w14:paraId="19A12695" w14:textId="5CB3D8D9" w:rsidR="008D0CAD" w:rsidRPr="009A109A" w:rsidRDefault="008D0CAD" w:rsidP="007B6836">
      <w:pPr>
        <w:pStyle w:val="Heading4"/>
        <w:numPr>
          <w:ilvl w:val="2"/>
          <w:numId w:val="38"/>
        </w:numPr>
        <w:spacing w:before="100" w:beforeAutospacing="1" w:after="100" w:afterAutospacing="1" w:line="360" w:lineRule="auto"/>
      </w:pPr>
      <w:r>
        <w:t>Organisational</w:t>
      </w:r>
      <w:r w:rsidRPr="009A109A">
        <w:t xml:space="preserve"> factors</w:t>
      </w:r>
    </w:p>
    <w:p w14:paraId="5651D920" w14:textId="7D96F05E" w:rsidR="008D0CAD" w:rsidRPr="004E53E1" w:rsidRDefault="008D0CAD" w:rsidP="007B6836">
      <w:pPr>
        <w:pStyle w:val="Heading5"/>
        <w:numPr>
          <w:ilvl w:val="3"/>
          <w:numId w:val="38"/>
        </w:numPr>
        <w:spacing w:before="100" w:beforeAutospacing="1" w:after="100" w:afterAutospacing="1" w:line="360" w:lineRule="auto"/>
      </w:pPr>
      <w:r>
        <w:t>Facilitating Factors</w:t>
      </w:r>
    </w:p>
    <w:p w14:paraId="1D0386E8" w14:textId="7E727A81" w:rsidR="008D0CAD" w:rsidRPr="007E73A4" w:rsidRDefault="008D0CAD" w:rsidP="007B6836">
      <w:pPr>
        <w:spacing w:before="100" w:beforeAutospacing="1" w:after="100" w:afterAutospacing="1" w:line="360" w:lineRule="auto"/>
        <w:rPr>
          <w:rFonts w:asciiTheme="majorHAnsi" w:hAnsiTheme="majorHAnsi" w:cstheme="majorHAnsi"/>
          <w:color w:val="000000"/>
        </w:rPr>
      </w:pPr>
      <w:r w:rsidRPr="004E603D">
        <w:rPr>
          <w:rFonts w:asciiTheme="majorHAnsi" w:hAnsiTheme="majorHAnsi" w:cstheme="majorHAnsi"/>
          <w:color w:val="000000"/>
        </w:rPr>
        <w:t xml:space="preserve">One of the characteristics that the FC of </w:t>
      </w:r>
      <w:r>
        <w:rPr>
          <w:rFonts w:asciiTheme="majorHAnsi" w:hAnsiTheme="majorHAnsi" w:cstheme="majorHAnsi"/>
          <w:color w:val="000000"/>
        </w:rPr>
        <w:t xml:space="preserve">the </w:t>
      </w:r>
      <w:r w:rsidRPr="004E603D">
        <w:rPr>
          <w:rFonts w:asciiTheme="majorHAnsi" w:hAnsiTheme="majorHAnsi" w:cstheme="majorHAnsi"/>
          <w:color w:val="000000"/>
        </w:rPr>
        <w:t>BEST</w:t>
      </w:r>
      <w:r>
        <w:rPr>
          <w:rFonts w:asciiTheme="majorHAnsi" w:hAnsiTheme="majorHAnsi" w:cstheme="majorHAnsi"/>
          <w:color w:val="000000"/>
        </w:rPr>
        <w:t xml:space="preserve"> Program</w:t>
      </w:r>
      <w:r w:rsidRPr="004E603D">
        <w:rPr>
          <w:rFonts w:asciiTheme="majorHAnsi" w:hAnsiTheme="majorHAnsi" w:cstheme="majorHAnsi"/>
          <w:color w:val="000000"/>
        </w:rPr>
        <w:t xml:space="preserve"> highlighted was the flexibility of the program to adjust to the needs of </w:t>
      </w:r>
      <w:r>
        <w:rPr>
          <w:rFonts w:asciiTheme="majorHAnsi" w:hAnsiTheme="majorHAnsi" w:cstheme="majorHAnsi"/>
          <w:color w:val="000000"/>
        </w:rPr>
        <w:t>DepEd</w:t>
      </w:r>
      <w:r w:rsidRPr="004E603D">
        <w:rPr>
          <w:rFonts w:asciiTheme="majorHAnsi" w:hAnsiTheme="majorHAnsi" w:cstheme="majorHAnsi"/>
          <w:color w:val="000000"/>
        </w:rPr>
        <w:t xml:space="preserve"> as the owner of the program.</w:t>
      </w:r>
      <w:r w:rsidR="00D434EB">
        <w:rPr>
          <w:rFonts w:asciiTheme="majorHAnsi" w:hAnsiTheme="majorHAnsi" w:cstheme="majorHAnsi"/>
          <w:color w:val="000000"/>
        </w:rPr>
        <w:t xml:space="preserve"> </w:t>
      </w:r>
      <w:r w:rsidRPr="004E603D">
        <w:rPr>
          <w:rFonts w:asciiTheme="majorHAnsi" w:hAnsiTheme="majorHAnsi" w:cstheme="majorHAnsi"/>
          <w:color w:val="000000"/>
        </w:rPr>
        <w:t>Former Secretary Brother Armin Luistro spoke of the positive working relationship</w:t>
      </w:r>
      <w:r>
        <w:rPr>
          <w:rFonts w:asciiTheme="majorHAnsi" w:hAnsiTheme="majorHAnsi" w:cstheme="majorHAnsi"/>
          <w:color w:val="000000"/>
        </w:rPr>
        <w:t>s</w:t>
      </w:r>
      <w:r w:rsidRPr="004E603D">
        <w:rPr>
          <w:rFonts w:asciiTheme="majorHAnsi" w:hAnsiTheme="majorHAnsi" w:cstheme="majorHAnsi"/>
          <w:color w:val="000000"/>
        </w:rPr>
        <w:t xml:space="preserve"> with </w:t>
      </w:r>
      <w:r>
        <w:rPr>
          <w:rFonts w:asciiTheme="majorHAnsi" w:hAnsiTheme="majorHAnsi" w:cstheme="majorHAnsi"/>
          <w:color w:val="000000"/>
        </w:rPr>
        <w:t xml:space="preserve">the </w:t>
      </w:r>
      <w:r w:rsidRPr="004E603D">
        <w:rPr>
          <w:rFonts w:asciiTheme="majorHAnsi" w:hAnsiTheme="majorHAnsi" w:cstheme="majorHAnsi"/>
          <w:color w:val="000000"/>
        </w:rPr>
        <w:t>BEST</w:t>
      </w:r>
      <w:r>
        <w:rPr>
          <w:rFonts w:asciiTheme="majorHAnsi" w:hAnsiTheme="majorHAnsi" w:cstheme="majorHAnsi"/>
          <w:color w:val="000000"/>
        </w:rPr>
        <w:t xml:space="preserve"> Program</w:t>
      </w:r>
      <w:r w:rsidRPr="004E603D">
        <w:rPr>
          <w:rFonts w:asciiTheme="majorHAnsi" w:hAnsiTheme="majorHAnsi" w:cstheme="majorHAnsi"/>
          <w:color w:val="000000"/>
        </w:rPr>
        <w:t>: “</w:t>
      </w:r>
      <w:r w:rsidRPr="004E603D">
        <w:rPr>
          <w:rFonts w:asciiTheme="majorHAnsi" w:hAnsiTheme="majorHAnsi" w:cstheme="majorHAnsi"/>
          <w:i/>
        </w:rPr>
        <w:t>With K</w:t>
      </w:r>
      <w:r>
        <w:rPr>
          <w:rFonts w:asciiTheme="majorHAnsi" w:hAnsiTheme="majorHAnsi" w:cstheme="majorHAnsi"/>
          <w:i/>
        </w:rPr>
        <w:t>-</w:t>
      </w:r>
      <w:r w:rsidRPr="004E603D">
        <w:rPr>
          <w:rFonts w:asciiTheme="majorHAnsi" w:hAnsiTheme="majorHAnsi" w:cstheme="majorHAnsi"/>
          <w:i/>
        </w:rPr>
        <w:t xml:space="preserve">12 as the overarching framework, donor agencies had to consult </w:t>
      </w:r>
      <w:r>
        <w:rPr>
          <w:rFonts w:asciiTheme="majorHAnsi" w:hAnsiTheme="majorHAnsi" w:cstheme="majorHAnsi"/>
          <w:i/>
        </w:rPr>
        <w:t>DepEd</w:t>
      </w:r>
      <w:r w:rsidRPr="004E603D">
        <w:rPr>
          <w:rFonts w:asciiTheme="majorHAnsi" w:hAnsiTheme="majorHAnsi" w:cstheme="majorHAnsi"/>
          <w:i/>
        </w:rPr>
        <w:t>, listen to our needs and adjust to what the Department needed.</w:t>
      </w:r>
      <w:r w:rsidR="00D434EB">
        <w:rPr>
          <w:rFonts w:asciiTheme="majorHAnsi" w:hAnsiTheme="majorHAnsi" w:cstheme="majorHAnsi"/>
          <w:i/>
        </w:rPr>
        <w:t xml:space="preserve"> </w:t>
      </w:r>
      <w:r w:rsidRPr="004E603D">
        <w:rPr>
          <w:rFonts w:asciiTheme="majorHAnsi" w:hAnsiTheme="majorHAnsi" w:cstheme="majorHAnsi"/>
          <w:i/>
        </w:rPr>
        <w:t>The K</w:t>
      </w:r>
      <w:r>
        <w:rPr>
          <w:rFonts w:asciiTheme="majorHAnsi" w:hAnsiTheme="majorHAnsi" w:cstheme="majorHAnsi"/>
          <w:i/>
        </w:rPr>
        <w:t>-</w:t>
      </w:r>
      <w:r w:rsidRPr="004E603D">
        <w:rPr>
          <w:rFonts w:asciiTheme="majorHAnsi" w:hAnsiTheme="majorHAnsi" w:cstheme="majorHAnsi"/>
          <w:i/>
        </w:rPr>
        <w:t>12 program was work in progress and we were constantly adjusting our planning, what we were doing.</w:t>
      </w:r>
      <w:r w:rsidR="00D434EB">
        <w:rPr>
          <w:rFonts w:asciiTheme="majorHAnsi" w:hAnsiTheme="majorHAnsi" w:cstheme="majorHAnsi"/>
          <w:i/>
        </w:rPr>
        <w:t xml:space="preserve"> </w:t>
      </w:r>
      <w:r w:rsidRPr="004E603D">
        <w:rPr>
          <w:rFonts w:asciiTheme="majorHAnsi" w:hAnsiTheme="majorHAnsi" w:cstheme="majorHAnsi"/>
          <w:i/>
        </w:rPr>
        <w:t>FAPs had to keep up, not dictate the pace</w:t>
      </w:r>
      <w:r w:rsidRPr="004E603D">
        <w:rPr>
          <w:rFonts w:asciiTheme="majorHAnsi" w:hAnsiTheme="majorHAnsi" w:cstheme="majorHAnsi"/>
        </w:rPr>
        <w:t>.”</w:t>
      </w:r>
      <w:r w:rsidRPr="004E603D">
        <w:rPr>
          <w:rFonts w:asciiTheme="majorHAnsi" w:hAnsiTheme="majorHAnsi" w:cstheme="majorHAnsi"/>
          <w:vertAlign w:val="superscript"/>
        </w:rPr>
        <w:footnoteReference w:id="92"/>
      </w:r>
      <w:r w:rsidR="00D434EB">
        <w:rPr>
          <w:rFonts w:asciiTheme="majorHAnsi" w:hAnsiTheme="majorHAnsi" w:cstheme="majorHAnsi"/>
        </w:rPr>
        <w:t xml:space="preserve"> </w:t>
      </w:r>
    </w:p>
    <w:p w14:paraId="2B5B2370" w14:textId="1115CEE5" w:rsidR="008D0CAD" w:rsidRPr="004E603D" w:rsidRDefault="008D0CAD" w:rsidP="007B6836">
      <w:pPr>
        <w:autoSpaceDE w:val="0"/>
        <w:autoSpaceDN w:val="0"/>
        <w:adjustRightInd w:val="0"/>
        <w:spacing w:before="100" w:beforeAutospacing="1" w:after="100" w:afterAutospacing="1" w:line="360" w:lineRule="auto"/>
        <w:rPr>
          <w:rFonts w:asciiTheme="majorHAnsi" w:hAnsiTheme="majorHAnsi" w:cstheme="majorHAnsi"/>
          <w:color w:val="000000"/>
        </w:rPr>
      </w:pPr>
      <w:r w:rsidRPr="004E603D">
        <w:rPr>
          <w:rFonts w:asciiTheme="majorHAnsi" w:hAnsiTheme="majorHAnsi" w:cstheme="majorHAnsi"/>
          <w:color w:val="000000"/>
        </w:rPr>
        <w:t xml:space="preserve">The one constant that should have provided a framework for </w:t>
      </w:r>
      <w:r>
        <w:rPr>
          <w:rFonts w:asciiTheme="majorHAnsi" w:hAnsiTheme="majorHAnsi" w:cstheme="majorHAnsi"/>
          <w:color w:val="000000"/>
        </w:rPr>
        <w:t xml:space="preserve">the </w:t>
      </w:r>
      <w:r w:rsidRPr="004E603D">
        <w:rPr>
          <w:rFonts w:asciiTheme="majorHAnsi" w:hAnsiTheme="majorHAnsi" w:cstheme="majorHAnsi"/>
          <w:color w:val="000000"/>
        </w:rPr>
        <w:t>BEST</w:t>
      </w:r>
      <w:r>
        <w:rPr>
          <w:rFonts w:asciiTheme="majorHAnsi" w:hAnsiTheme="majorHAnsi" w:cstheme="majorHAnsi"/>
          <w:color w:val="000000"/>
        </w:rPr>
        <w:t xml:space="preserve"> Program</w:t>
      </w:r>
      <w:r w:rsidRPr="004E603D">
        <w:rPr>
          <w:rFonts w:asciiTheme="majorHAnsi" w:hAnsiTheme="majorHAnsi" w:cstheme="majorHAnsi"/>
          <w:color w:val="000000"/>
        </w:rPr>
        <w:t xml:space="preserve"> to provide a context for its Theory of Change was the K-12 Reform of </w:t>
      </w:r>
      <w:r>
        <w:rPr>
          <w:rFonts w:asciiTheme="majorHAnsi" w:hAnsiTheme="majorHAnsi" w:cstheme="majorHAnsi"/>
          <w:color w:val="000000"/>
        </w:rPr>
        <w:t>DepEd</w:t>
      </w:r>
      <w:r w:rsidRPr="004E603D">
        <w:rPr>
          <w:rFonts w:asciiTheme="majorHAnsi" w:hAnsiTheme="majorHAnsi" w:cstheme="majorHAnsi"/>
          <w:color w:val="000000"/>
        </w:rPr>
        <w:t>.</w:t>
      </w:r>
      <w:r w:rsidR="00D434EB">
        <w:rPr>
          <w:rFonts w:asciiTheme="majorHAnsi" w:hAnsiTheme="majorHAnsi" w:cstheme="majorHAnsi"/>
          <w:color w:val="000000"/>
        </w:rPr>
        <w:t xml:space="preserve"> </w:t>
      </w:r>
      <w:r w:rsidRPr="004E603D">
        <w:rPr>
          <w:rFonts w:asciiTheme="majorHAnsi" w:hAnsiTheme="majorHAnsi" w:cstheme="majorHAnsi"/>
          <w:color w:val="000000"/>
        </w:rPr>
        <w:t>This was the major structural reform that was to transform the entire basic education system and structure around which all the systems and processes would converge.</w:t>
      </w:r>
      <w:r w:rsidR="00D434EB">
        <w:rPr>
          <w:rFonts w:asciiTheme="majorHAnsi" w:hAnsiTheme="majorHAnsi" w:cstheme="majorHAnsi"/>
          <w:color w:val="000000"/>
        </w:rPr>
        <w:t xml:space="preserve"> </w:t>
      </w:r>
      <w:r w:rsidRPr="004E603D">
        <w:rPr>
          <w:rFonts w:asciiTheme="majorHAnsi" w:hAnsiTheme="majorHAnsi" w:cstheme="majorHAnsi"/>
          <w:color w:val="000000"/>
        </w:rPr>
        <w:t xml:space="preserve">Hence, the annual program of </w:t>
      </w:r>
      <w:r>
        <w:rPr>
          <w:rFonts w:asciiTheme="majorHAnsi" w:hAnsiTheme="majorHAnsi" w:cstheme="majorHAnsi"/>
          <w:color w:val="000000"/>
        </w:rPr>
        <w:t>DepEd</w:t>
      </w:r>
      <w:r w:rsidRPr="004E603D">
        <w:rPr>
          <w:rFonts w:asciiTheme="majorHAnsi" w:hAnsiTheme="majorHAnsi" w:cstheme="majorHAnsi"/>
          <w:color w:val="000000"/>
        </w:rPr>
        <w:t xml:space="preserve"> and BEST could be better managed and delivered following this as the roadmap.</w:t>
      </w:r>
    </w:p>
    <w:p w14:paraId="626B3928" w14:textId="0CAED401" w:rsidR="008D0CAD" w:rsidRPr="004E603D" w:rsidRDefault="008D0CAD" w:rsidP="007B6836">
      <w:pPr>
        <w:autoSpaceDE w:val="0"/>
        <w:autoSpaceDN w:val="0"/>
        <w:adjustRightInd w:val="0"/>
        <w:spacing w:before="100" w:beforeAutospacing="1" w:after="100" w:afterAutospacing="1" w:line="360" w:lineRule="auto"/>
        <w:rPr>
          <w:rFonts w:asciiTheme="majorHAnsi" w:hAnsiTheme="majorHAnsi" w:cstheme="majorHAnsi"/>
        </w:rPr>
      </w:pPr>
      <w:r w:rsidRPr="004E603D">
        <w:rPr>
          <w:rFonts w:asciiTheme="majorHAnsi" w:hAnsiTheme="majorHAnsi" w:cstheme="majorHAnsi"/>
          <w:color w:val="000000"/>
        </w:rPr>
        <w:t>Despite the stops and starts in the central office, it was the strength of the field offices</w:t>
      </w:r>
      <w:r>
        <w:rPr>
          <w:rFonts w:asciiTheme="majorHAnsi" w:hAnsiTheme="majorHAnsi" w:cstheme="majorHAnsi"/>
          <w:color w:val="000000"/>
        </w:rPr>
        <w:t>,</w:t>
      </w:r>
      <w:r w:rsidRPr="004E603D">
        <w:rPr>
          <w:rFonts w:asciiTheme="majorHAnsi" w:hAnsiTheme="majorHAnsi" w:cstheme="majorHAnsi"/>
          <w:color w:val="000000"/>
        </w:rPr>
        <w:t xml:space="preserve"> which continued the K-12 reforms and by extension, the success of many of the BEST </w:t>
      </w:r>
      <w:r>
        <w:rPr>
          <w:rFonts w:asciiTheme="majorHAnsi" w:hAnsiTheme="majorHAnsi" w:cstheme="majorHAnsi"/>
          <w:color w:val="000000"/>
        </w:rPr>
        <w:t xml:space="preserve">Program </w:t>
      </w:r>
      <w:r w:rsidRPr="004E603D">
        <w:rPr>
          <w:rFonts w:asciiTheme="majorHAnsi" w:hAnsiTheme="majorHAnsi" w:cstheme="majorHAnsi"/>
          <w:color w:val="000000"/>
        </w:rPr>
        <w:t>interventions.</w:t>
      </w:r>
      <w:r w:rsidR="00D434EB">
        <w:rPr>
          <w:rFonts w:asciiTheme="majorHAnsi" w:hAnsiTheme="majorHAnsi" w:cstheme="majorHAnsi"/>
          <w:color w:val="000000"/>
        </w:rPr>
        <w:t xml:space="preserve"> </w:t>
      </w:r>
      <w:r w:rsidRPr="004E603D">
        <w:rPr>
          <w:rFonts w:asciiTheme="majorHAnsi" w:hAnsiTheme="majorHAnsi" w:cstheme="majorHAnsi"/>
        </w:rPr>
        <w:t xml:space="preserve"> </w:t>
      </w:r>
    </w:p>
    <w:p w14:paraId="467C9995" w14:textId="49D636E5" w:rsidR="008D0CAD" w:rsidRPr="004E603D" w:rsidRDefault="008D0CAD" w:rsidP="007B6836">
      <w:pPr>
        <w:autoSpaceDE w:val="0"/>
        <w:autoSpaceDN w:val="0"/>
        <w:adjustRightInd w:val="0"/>
        <w:spacing w:before="100" w:beforeAutospacing="1" w:after="100" w:afterAutospacing="1" w:line="360" w:lineRule="auto"/>
        <w:rPr>
          <w:rFonts w:asciiTheme="majorHAnsi" w:hAnsiTheme="majorHAnsi" w:cstheme="majorHAnsi"/>
          <w:color w:val="000000"/>
        </w:rPr>
      </w:pPr>
      <w:r w:rsidRPr="004E603D">
        <w:rPr>
          <w:rFonts w:asciiTheme="majorHAnsi" w:hAnsiTheme="majorHAnsi" w:cstheme="majorHAnsi"/>
          <w:color w:val="000000"/>
        </w:rPr>
        <w:t>The biggest assets of the Department were its field offices starting with the regions.</w:t>
      </w:r>
      <w:r w:rsidR="00D434EB">
        <w:rPr>
          <w:rFonts w:asciiTheme="majorHAnsi" w:hAnsiTheme="majorHAnsi" w:cstheme="majorHAnsi"/>
          <w:color w:val="000000"/>
        </w:rPr>
        <w:t xml:space="preserve"> </w:t>
      </w:r>
      <w:r w:rsidRPr="004E603D">
        <w:rPr>
          <w:rFonts w:asciiTheme="majorHAnsi" w:hAnsiTheme="majorHAnsi" w:cstheme="majorHAnsi"/>
          <w:color w:val="000000"/>
        </w:rPr>
        <w:t xml:space="preserve">Regional directors </w:t>
      </w:r>
      <w:r>
        <w:rPr>
          <w:rFonts w:asciiTheme="majorHAnsi" w:hAnsiTheme="majorHAnsi" w:cstheme="majorHAnsi"/>
          <w:color w:val="000000"/>
        </w:rPr>
        <w:t>we</w:t>
      </w:r>
      <w:r w:rsidRPr="004E603D">
        <w:rPr>
          <w:rFonts w:asciiTheme="majorHAnsi" w:hAnsiTheme="majorHAnsi" w:cstheme="majorHAnsi"/>
          <w:color w:val="000000"/>
        </w:rPr>
        <w:t>re extremely qualified individually and as a team.</w:t>
      </w:r>
      <w:r w:rsidR="00D434EB">
        <w:rPr>
          <w:rFonts w:asciiTheme="majorHAnsi" w:hAnsiTheme="majorHAnsi" w:cstheme="majorHAnsi"/>
          <w:color w:val="000000"/>
        </w:rPr>
        <w:t xml:space="preserve"> </w:t>
      </w:r>
      <w:r w:rsidRPr="004E603D">
        <w:rPr>
          <w:rFonts w:asciiTheme="majorHAnsi" w:hAnsiTheme="majorHAnsi" w:cstheme="majorHAnsi"/>
          <w:color w:val="000000"/>
        </w:rPr>
        <w:t xml:space="preserve">On the K-12 reform agenda, regional directors and superintendents said there </w:t>
      </w:r>
      <w:r>
        <w:rPr>
          <w:rFonts w:asciiTheme="majorHAnsi" w:hAnsiTheme="majorHAnsi" w:cstheme="majorHAnsi"/>
          <w:color w:val="000000"/>
        </w:rPr>
        <w:t>were</w:t>
      </w:r>
      <w:r w:rsidRPr="004E603D">
        <w:rPr>
          <w:rFonts w:asciiTheme="majorHAnsi" w:hAnsiTheme="majorHAnsi" w:cstheme="majorHAnsi"/>
          <w:color w:val="000000"/>
        </w:rPr>
        <w:t xml:space="preserve"> no change</w:t>
      </w:r>
      <w:r>
        <w:rPr>
          <w:rFonts w:asciiTheme="majorHAnsi" w:hAnsiTheme="majorHAnsi" w:cstheme="majorHAnsi"/>
          <w:color w:val="000000"/>
        </w:rPr>
        <w:t>s</w:t>
      </w:r>
      <w:r w:rsidRPr="004E603D">
        <w:rPr>
          <w:rFonts w:asciiTheme="majorHAnsi" w:hAnsiTheme="majorHAnsi" w:cstheme="majorHAnsi"/>
          <w:color w:val="000000"/>
        </w:rPr>
        <w:t xml:space="preserve"> in the roll-out plans and schedules.</w:t>
      </w:r>
      <w:r w:rsidR="00D434EB">
        <w:rPr>
          <w:rFonts w:asciiTheme="majorHAnsi" w:hAnsiTheme="majorHAnsi" w:cstheme="majorHAnsi"/>
          <w:color w:val="000000"/>
        </w:rPr>
        <w:t xml:space="preserve"> </w:t>
      </w:r>
      <w:r w:rsidRPr="004E603D">
        <w:rPr>
          <w:rFonts w:asciiTheme="majorHAnsi" w:hAnsiTheme="majorHAnsi" w:cstheme="majorHAnsi"/>
          <w:color w:val="000000"/>
        </w:rPr>
        <w:t>The Rat-Plan for the regions “</w:t>
      </w:r>
      <w:r w:rsidRPr="000E08F8">
        <w:rPr>
          <w:rFonts w:asciiTheme="majorHAnsi" w:hAnsiTheme="majorHAnsi" w:cstheme="majorHAnsi"/>
          <w:i/>
          <w:color w:val="000000"/>
        </w:rPr>
        <w:t xml:space="preserve">has enabled </w:t>
      </w:r>
      <w:r>
        <w:rPr>
          <w:rFonts w:asciiTheme="majorHAnsi" w:hAnsiTheme="majorHAnsi" w:cstheme="majorHAnsi"/>
          <w:i/>
          <w:color w:val="000000"/>
        </w:rPr>
        <w:t>DepEd</w:t>
      </w:r>
      <w:r w:rsidRPr="000E08F8">
        <w:rPr>
          <w:rFonts w:asciiTheme="majorHAnsi" w:hAnsiTheme="majorHAnsi" w:cstheme="majorHAnsi"/>
          <w:i/>
          <w:color w:val="000000"/>
        </w:rPr>
        <w:t xml:space="preserve"> field offices to deliver its core mandate with more effectiveness and efficiency. The creation of organi</w:t>
      </w:r>
      <w:r>
        <w:rPr>
          <w:rFonts w:asciiTheme="majorHAnsi" w:hAnsiTheme="majorHAnsi" w:cstheme="majorHAnsi"/>
          <w:i/>
          <w:color w:val="000000"/>
        </w:rPr>
        <w:t>s</w:t>
      </w:r>
      <w:r w:rsidRPr="000E08F8">
        <w:rPr>
          <w:rFonts w:asciiTheme="majorHAnsi" w:hAnsiTheme="majorHAnsi" w:cstheme="majorHAnsi"/>
          <w:i/>
          <w:color w:val="000000"/>
        </w:rPr>
        <w:t>ational units on the basic functions has ensured the provision of clearer services by the field offices</w:t>
      </w:r>
      <w:r w:rsidRPr="004E603D">
        <w:rPr>
          <w:rFonts w:asciiTheme="majorHAnsi" w:hAnsiTheme="majorHAnsi" w:cstheme="majorHAnsi"/>
          <w:color w:val="000000"/>
        </w:rPr>
        <w:t>.”</w:t>
      </w:r>
      <w:r w:rsidRPr="004E603D">
        <w:rPr>
          <w:rFonts w:asciiTheme="majorHAnsi" w:hAnsiTheme="majorHAnsi" w:cstheme="majorHAnsi"/>
          <w:color w:val="000000"/>
          <w:vertAlign w:val="superscript"/>
        </w:rPr>
        <w:footnoteReference w:id="93"/>
      </w:r>
      <w:r w:rsidRPr="004E603D">
        <w:rPr>
          <w:rFonts w:asciiTheme="majorHAnsi" w:hAnsiTheme="majorHAnsi" w:cstheme="majorHAnsi"/>
          <w:color w:val="000000"/>
        </w:rPr>
        <w:t xml:space="preserve"> </w:t>
      </w:r>
    </w:p>
    <w:p w14:paraId="351CD21B" w14:textId="637EB6A3" w:rsidR="008D0CAD" w:rsidRDefault="008D0CAD" w:rsidP="007B6836">
      <w:pPr>
        <w:spacing w:before="100" w:beforeAutospacing="1" w:after="100" w:afterAutospacing="1" w:line="360" w:lineRule="auto"/>
        <w:rPr>
          <w:rFonts w:asciiTheme="majorHAnsi" w:hAnsiTheme="majorHAnsi" w:cstheme="majorHAnsi"/>
        </w:rPr>
      </w:pPr>
      <w:r w:rsidRPr="004E603D">
        <w:rPr>
          <w:rFonts w:asciiTheme="majorHAnsi" w:hAnsiTheme="majorHAnsi" w:cstheme="majorHAnsi"/>
          <w:color w:val="000000"/>
        </w:rPr>
        <w:t>Furthermore, a number of regional directors and superintendents interviewed stated that so long as the K-12 rollout was not disturbed, the field would continue to work without disruption.</w:t>
      </w:r>
      <w:r w:rsidRPr="004E603D">
        <w:rPr>
          <w:rFonts w:asciiTheme="majorHAnsi" w:hAnsiTheme="majorHAnsi" w:cstheme="majorHAnsi"/>
          <w:color w:val="000000"/>
          <w:vertAlign w:val="superscript"/>
        </w:rPr>
        <w:footnoteReference w:id="94"/>
      </w:r>
      <w:r w:rsidR="00D434EB">
        <w:rPr>
          <w:rFonts w:asciiTheme="majorHAnsi" w:hAnsiTheme="majorHAnsi" w:cstheme="majorHAnsi"/>
          <w:color w:val="000000"/>
        </w:rPr>
        <w:t xml:space="preserve"> </w:t>
      </w:r>
      <w:r w:rsidRPr="004E603D">
        <w:rPr>
          <w:rFonts w:asciiTheme="majorHAnsi" w:hAnsiTheme="majorHAnsi" w:cstheme="majorHAnsi"/>
          <w:color w:val="000000"/>
        </w:rPr>
        <w:t xml:space="preserve"> This was confirmed by successful K-12 planning and social marketing campaign of the previous administration.</w:t>
      </w:r>
      <w:r w:rsidR="00D434EB">
        <w:rPr>
          <w:rFonts w:asciiTheme="majorHAnsi" w:hAnsiTheme="majorHAnsi" w:cstheme="majorHAnsi"/>
          <w:color w:val="000000"/>
        </w:rPr>
        <w:t xml:space="preserve"> </w:t>
      </w:r>
      <w:r w:rsidRPr="004E603D">
        <w:rPr>
          <w:rFonts w:asciiTheme="majorHAnsi" w:hAnsiTheme="majorHAnsi" w:cstheme="majorHAnsi"/>
          <w:color w:val="000000"/>
        </w:rPr>
        <w:t>Everyone interviewed across the country had a similar message with reference to the K-12 reforms, particularly the senior high school rollout despite the fact it was still to be completely rolled out in SY 2017-2018.</w:t>
      </w:r>
    </w:p>
    <w:p w14:paraId="2DB51BA5" w14:textId="58C2A874" w:rsidR="008D0CAD" w:rsidRPr="001A2753" w:rsidRDefault="008D0CAD" w:rsidP="007B6836">
      <w:pPr>
        <w:pStyle w:val="Heading3"/>
        <w:numPr>
          <w:ilvl w:val="1"/>
          <w:numId w:val="38"/>
        </w:numPr>
        <w:spacing w:before="100" w:beforeAutospacing="1" w:after="100" w:afterAutospacing="1" w:line="360" w:lineRule="auto"/>
      </w:pPr>
      <w:bookmarkStart w:id="170" w:name="_Toc69820444"/>
      <w:r>
        <w:t>Capacity Building</w:t>
      </w:r>
      <w:r w:rsidRPr="002C76E0">
        <w:t xml:space="preserve"> </w:t>
      </w:r>
      <w:r>
        <w:t>under the BEST Program</w:t>
      </w:r>
      <w:bookmarkEnd w:id="170"/>
    </w:p>
    <w:p w14:paraId="17F24782" w14:textId="77777777" w:rsidR="008D0CAD" w:rsidRDefault="008D0CAD" w:rsidP="007B6836">
      <w:pPr>
        <w:pStyle w:val="NormalWeb"/>
        <w:spacing w:line="360" w:lineRule="auto"/>
        <w:rPr>
          <w:rFonts w:asciiTheme="majorHAnsi" w:hAnsiTheme="majorHAnsi" w:cstheme="majorHAnsi"/>
          <w:color w:val="000000" w:themeColor="text1"/>
        </w:rPr>
      </w:pPr>
      <w:r w:rsidRPr="00A97CE1">
        <w:rPr>
          <w:rFonts w:asciiTheme="majorHAnsi" w:hAnsiTheme="majorHAnsi" w:cstheme="majorHAnsi"/>
          <w:color w:val="000000" w:themeColor="text1"/>
        </w:rPr>
        <w:t xml:space="preserve">Capacity development (consisting of </w:t>
      </w:r>
      <w:r>
        <w:rPr>
          <w:rFonts w:asciiTheme="majorHAnsi" w:hAnsiTheme="majorHAnsi" w:cstheme="majorHAnsi"/>
          <w:color w:val="000000" w:themeColor="text1"/>
        </w:rPr>
        <w:t xml:space="preserve">planning workshops, </w:t>
      </w:r>
      <w:r w:rsidRPr="00A97CE1">
        <w:rPr>
          <w:rFonts w:asciiTheme="majorHAnsi" w:hAnsiTheme="majorHAnsi" w:cstheme="majorHAnsi"/>
          <w:color w:val="000000" w:themeColor="text1"/>
        </w:rPr>
        <w:t>training</w:t>
      </w:r>
      <w:r>
        <w:rPr>
          <w:rFonts w:asciiTheme="majorHAnsi" w:hAnsiTheme="majorHAnsi" w:cstheme="majorHAnsi"/>
          <w:color w:val="000000" w:themeColor="text1"/>
        </w:rPr>
        <w:t xml:space="preserve"> programs</w:t>
      </w:r>
      <w:r w:rsidRPr="00A97CE1">
        <w:rPr>
          <w:rFonts w:asciiTheme="majorHAnsi" w:hAnsiTheme="majorHAnsi" w:cstheme="majorHAnsi"/>
          <w:color w:val="000000" w:themeColor="text1"/>
        </w:rPr>
        <w:t xml:space="preserve">, scholarships, mentoring and coaching) was one of </w:t>
      </w:r>
      <w:r>
        <w:rPr>
          <w:rFonts w:asciiTheme="majorHAnsi" w:hAnsiTheme="majorHAnsi" w:cstheme="majorHAnsi"/>
          <w:color w:val="000000" w:themeColor="text1"/>
        </w:rPr>
        <w:t>the</w:t>
      </w:r>
      <w:r w:rsidRPr="00A97CE1">
        <w:rPr>
          <w:rFonts w:asciiTheme="majorHAnsi" w:hAnsiTheme="majorHAnsi" w:cstheme="majorHAnsi"/>
          <w:color w:val="000000" w:themeColor="text1"/>
        </w:rPr>
        <w:t xml:space="preserve"> main inputs of the BEST Program. Th</w:t>
      </w:r>
      <w:r>
        <w:rPr>
          <w:rFonts w:asciiTheme="majorHAnsi" w:hAnsiTheme="majorHAnsi" w:cstheme="majorHAnsi"/>
          <w:color w:val="000000" w:themeColor="text1"/>
        </w:rPr>
        <w:t>e</w:t>
      </w:r>
      <w:r w:rsidRPr="00A97CE1">
        <w:rPr>
          <w:rFonts w:asciiTheme="majorHAnsi" w:hAnsiTheme="majorHAnsi" w:cstheme="majorHAnsi"/>
          <w:color w:val="000000" w:themeColor="text1"/>
        </w:rPr>
        <w:t xml:space="preserve"> EOPE Study separately examined the capacity building activities of the Program </w:t>
      </w:r>
      <w:r>
        <w:rPr>
          <w:rFonts w:asciiTheme="majorHAnsi" w:hAnsiTheme="majorHAnsi" w:cstheme="majorHAnsi"/>
          <w:color w:val="000000" w:themeColor="text1"/>
        </w:rPr>
        <w:t>to gain insights into its implementation.</w:t>
      </w:r>
    </w:p>
    <w:p w14:paraId="44AE1367" w14:textId="79CFC446" w:rsidR="008D0CAD" w:rsidRDefault="008D0CAD" w:rsidP="007B6836">
      <w:pPr>
        <w:pStyle w:val="NormalWeb"/>
        <w:spacing w:line="360" w:lineRule="auto"/>
        <w:rPr>
          <w:rFonts w:asciiTheme="majorHAnsi" w:hAnsiTheme="majorHAnsi" w:cstheme="majorHAnsi"/>
          <w:color w:val="000000" w:themeColor="text1"/>
        </w:rPr>
      </w:pPr>
      <w:r>
        <w:rPr>
          <w:rFonts w:asciiTheme="majorHAnsi" w:hAnsiTheme="majorHAnsi" w:cstheme="majorHAnsi"/>
          <w:color w:val="000000" w:themeColor="text1"/>
        </w:rPr>
        <w:t>Based on the list that it was able to obtain, the EOPE Study found that a total of 4,217 different activities were undertaken by the Program.</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This list does not appear to be complete, considering that there were titles of programs that included Batch 3 but no batch 2 and 3 were found.</w:t>
      </w:r>
      <w:r>
        <w:rPr>
          <w:rStyle w:val="FootnoteReference"/>
          <w:rFonts w:asciiTheme="majorHAnsi" w:eastAsia="Arial Unicode MS" w:hAnsiTheme="majorHAnsi" w:cstheme="majorHAnsi"/>
          <w:color w:val="000000" w:themeColor="text1"/>
        </w:rPr>
        <w:footnoteReference w:id="95"/>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Nevertheless, in the absence of a complete master list of capacity building interventions, this list was considered as representative of the entire capacity building activities of the Program and was used to provide a snapshot of program accomplishments.</w:t>
      </w:r>
    </w:p>
    <w:p w14:paraId="652B33B4" w14:textId="0F6EDA11" w:rsidR="008D0CAD" w:rsidRPr="00D354DC" w:rsidRDefault="008D0CAD" w:rsidP="007B6836">
      <w:pPr>
        <w:spacing w:before="100" w:beforeAutospacing="1" w:after="100" w:afterAutospacing="1" w:line="360" w:lineRule="auto"/>
        <w:rPr>
          <w:rFonts w:asciiTheme="majorHAnsi" w:hAnsiTheme="majorHAnsi" w:cstheme="majorHAnsi"/>
          <w:i/>
          <w:color w:val="44546A" w:themeColor="text2"/>
          <w:sz w:val="22"/>
          <w:szCs w:val="22"/>
        </w:rPr>
      </w:pPr>
      <w:bookmarkStart w:id="171" w:name="_Toc71616547"/>
      <w:r w:rsidRPr="00D354DC">
        <w:rPr>
          <w:rFonts w:asciiTheme="majorHAnsi" w:hAnsiTheme="majorHAnsi" w:cstheme="majorHAnsi"/>
          <w:i/>
          <w:color w:val="44546A" w:themeColor="text2"/>
          <w:sz w:val="22"/>
          <w:szCs w:val="22"/>
        </w:rPr>
        <w:t xml:space="preserve">Figure </w:t>
      </w:r>
      <w:r w:rsidRPr="00D354DC">
        <w:rPr>
          <w:rFonts w:asciiTheme="majorHAnsi" w:hAnsiTheme="majorHAnsi" w:cstheme="majorHAnsi"/>
          <w:i/>
          <w:color w:val="44546A" w:themeColor="text2"/>
          <w:sz w:val="22"/>
          <w:szCs w:val="22"/>
        </w:rPr>
        <w:fldChar w:fldCharType="begin"/>
      </w:r>
      <w:r w:rsidRPr="00D354DC">
        <w:rPr>
          <w:rFonts w:asciiTheme="majorHAnsi" w:hAnsiTheme="majorHAnsi" w:cstheme="majorHAnsi"/>
          <w:i/>
          <w:color w:val="44546A" w:themeColor="text2"/>
          <w:sz w:val="22"/>
          <w:szCs w:val="22"/>
        </w:rPr>
        <w:instrText xml:space="preserve"> SEQ Figure \* ARABIC </w:instrText>
      </w:r>
      <w:r w:rsidRPr="00D354DC">
        <w:rPr>
          <w:rFonts w:asciiTheme="majorHAnsi" w:hAnsiTheme="majorHAnsi" w:cstheme="majorHAnsi"/>
          <w:i/>
          <w:color w:val="44546A" w:themeColor="text2"/>
          <w:sz w:val="22"/>
          <w:szCs w:val="22"/>
        </w:rPr>
        <w:fldChar w:fldCharType="separate"/>
      </w:r>
      <w:r w:rsidR="00D6133D">
        <w:rPr>
          <w:rFonts w:asciiTheme="majorHAnsi" w:hAnsiTheme="majorHAnsi" w:cstheme="majorHAnsi"/>
          <w:i/>
          <w:noProof/>
          <w:color w:val="44546A" w:themeColor="text2"/>
          <w:sz w:val="22"/>
          <w:szCs w:val="22"/>
        </w:rPr>
        <w:t>20</w:t>
      </w:r>
      <w:r w:rsidRPr="00D354DC">
        <w:rPr>
          <w:rFonts w:asciiTheme="majorHAnsi" w:hAnsiTheme="majorHAnsi" w:cstheme="majorHAnsi"/>
          <w:i/>
          <w:color w:val="44546A" w:themeColor="text2"/>
          <w:sz w:val="22"/>
          <w:szCs w:val="22"/>
        </w:rPr>
        <w:fldChar w:fldCharType="end"/>
      </w:r>
      <w:r w:rsidRPr="00D354DC">
        <w:rPr>
          <w:rFonts w:asciiTheme="majorHAnsi" w:hAnsiTheme="majorHAnsi" w:cstheme="majorHAnsi"/>
          <w:i/>
          <w:color w:val="44546A" w:themeColor="text2"/>
          <w:sz w:val="22"/>
          <w:szCs w:val="22"/>
        </w:rPr>
        <w:t>. Capacity Building Activities under BEST Program, 2015-2018</w:t>
      </w:r>
      <w:bookmarkEnd w:id="171"/>
    </w:p>
    <w:p w14:paraId="456B5FB3" w14:textId="77777777" w:rsidR="00E26D25" w:rsidRDefault="008D0CAD" w:rsidP="007B6836">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noProof/>
          <w:sz w:val="22"/>
          <w:szCs w:val="22"/>
          <w:lang w:val="en-AU" w:eastAsia="en-AU"/>
        </w:rPr>
        <w:drawing>
          <wp:inline distT="0" distB="0" distL="0" distR="0" wp14:anchorId="1DAB0F32" wp14:editId="268238A9">
            <wp:extent cx="3909115" cy="1963711"/>
            <wp:effectExtent l="0" t="0" r="0" b="0"/>
            <wp:docPr id="89" name="Picture 89" descr="Line graph of BEST capacity building activities, from 2015 to 2018; Highest is AP4, sloping down at A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Line graph of BEST capacity building activities, from 2015 to 2018; Highest is AP4, sloping down at AP5."/>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3909115" cy="1963711"/>
                    </a:xfrm>
                    <a:prstGeom prst="rect">
                      <a:avLst/>
                    </a:prstGeom>
                    <a:ln>
                      <a:noFill/>
                    </a:ln>
                    <a:extLst>
                      <a:ext uri="{53640926-AAD7-44D8-BBD7-CCE9431645EC}">
                        <a14:shadowObscured xmlns:a14="http://schemas.microsoft.com/office/drawing/2010/main"/>
                      </a:ext>
                    </a:extLst>
                  </pic:spPr>
                </pic:pic>
              </a:graphicData>
            </a:graphic>
          </wp:inline>
        </w:drawing>
      </w:r>
    </w:p>
    <w:p w14:paraId="434331AA" w14:textId="7B9F1A2A" w:rsidR="008D0CAD" w:rsidRDefault="008D0CAD" w:rsidP="007B6836">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color w:val="000000" w:themeColor="text1"/>
        </w:rPr>
        <w:t>Of the 4,217 capacity building activities, 57.3 per cent were undertaken during July 2017 – June 2018 (Figure 24).</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Moreover, 27.4 per cent of activities were undertaken from July 2016 to June 2017 and another 23.9 per cent conducted on the last implementation year (July 2018-June 2019).</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Less than 10 per cent of activities were undertaken during the first two years of implementation.</w:t>
      </w:r>
      <w:r w:rsidR="00D434EB">
        <w:rPr>
          <w:rFonts w:asciiTheme="majorHAnsi" w:hAnsiTheme="majorHAnsi" w:cstheme="majorHAnsi"/>
          <w:color w:val="000000" w:themeColor="text1"/>
        </w:rPr>
        <w:t xml:space="preserve"> </w:t>
      </w:r>
    </w:p>
    <w:p w14:paraId="03D52638" w14:textId="77777777" w:rsidR="008D0CAD" w:rsidRDefault="008D0CAD" w:rsidP="007B6836">
      <w:pPr>
        <w:pStyle w:val="NormalWeb"/>
        <w:spacing w:line="360" w:lineRule="auto"/>
        <w:rPr>
          <w:rFonts w:asciiTheme="majorHAnsi" w:hAnsiTheme="majorHAnsi" w:cstheme="majorHAnsi"/>
          <w:color w:val="000000" w:themeColor="text1"/>
        </w:rPr>
      </w:pPr>
      <w:r>
        <w:rPr>
          <w:rFonts w:asciiTheme="majorHAnsi" w:hAnsiTheme="majorHAnsi" w:cstheme="majorHAnsi"/>
          <w:color w:val="000000" w:themeColor="text1"/>
        </w:rPr>
        <w:t>This concentration of activities within a short timespan may have contributed to the complaints of principals/school heads and teachers that Program activities were significantly impeding on contact time of teachers with students.</w:t>
      </w:r>
    </w:p>
    <w:p w14:paraId="2327F58E" w14:textId="105F84F4" w:rsidR="008D0CAD" w:rsidRPr="00D354DC" w:rsidRDefault="008D0CAD" w:rsidP="007B6836">
      <w:pPr>
        <w:pageBreakBefore/>
        <w:spacing w:before="100" w:beforeAutospacing="1" w:after="100" w:afterAutospacing="1" w:line="360" w:lineRule="auto"/>
        <w:rPr>
          <w:rFonts w:asciiTheme="majorHAnsi" w:hAnsiTheme="majorHAnsi" w:cstheme="majorHAnsi"/>
          <w:i/>
          <w:color w:val="44546A" w:themeColor="text2"/>
          <w:sz w:val="22"/>
          <w:szCs w:val="22"/>
        </w:rPr>
      </w:pPr>
      <w:bookmarkStart w:id="172" w:name="_Toc71616548"/>
      <w:r w:rsidRPr="00D354DC">
        <w:rPr>
          <w:rFonts w:asciiTheme="majorHAnsi" w:hAnsiTheme="majorHAnsi" w:cstheme="majorHAnsi"/>
          <w:i/>
          <w:color w:val="44546A" w:themeColor="text2"/>
          <w:sz w:val="22"/>
          <w:szCs w:val="22"/>
        </w:rPr>
        <w:t xml:space="preserve">Figure </w:t>
      </w:r>
      <w:r w:rsidRPr="00D354DC">
        <w:rPr>
          <w:rFonts w:asciiTheme="majorHAnsi" w:hAnsiTheme="majorHAnsi" w:cstheme="majorHAnsi"/>
          <w:i/>
          <w:color w:val="44546A" w:themeColor="text2"/>
          <w:sz w:val="22"/>
          <w:szCs w:val="22"/>
        </w:rPr>
        <w:fldChar w:fldCharType="begin"/>
      </w:r>
      <w:r w:rsidRPr="00D354DC">
        <w:rPr>
          <w:rFonts w:asciiTheme="majorHAnsi" w:hAnsiTheme="majorHAnsi" w:cstheme="majorHAnsi"/>
          <w:i/>
          <w:color w:val="44546A" w:themeColor="text2"/>
          <w:sz w:val="22"/>
          <w:szCs w:val="22"/>
        </w:rPr>
        <w:instrText xml:space="preserve"> SEQ Figure \* ARABIC </w:instrText>
      </w:r>
      <w:r w:rsidRPr="00D354DC">
        <w:rPr>
          <w:rFonts w:asciiTheme="majorHAnsi" w:hAnsiTheme="majorHAnsi" w:cstheme="majorHAnsi"/>
          <w:i/>
          <w:color w:val="44546A" w:themeColor="text2"/>
          <w:sz w:val="22"/>
          <w:szCs w:val="22"/>
        </w:rPr>
        <w:fldChar w:fldCharType="separate"/>
      </w:r>
      <w:r w:rsidR="00D6133D">
        <w:rPr>
          <w:rFonts w:asciiTheme="majorHAnsi" w:hAnsiTheme="majorHAnsi" w:cstheme="majorHAnsi"/>
          <w:i/>
          <w:noProof/>
          <w:color w:val="44546A" w:themeColor="text2"/>
          <w:sz w:val="22"/>
          <w:szCs w:val="22"/>
        </w:rPr>
        <w:t>21</w:t>
      </w:r>
      <w:r w:rsidRPr="00D354DC">
        <w:rPr>
          <w:rFonts w:asciiTheme="majorHAnsi" w:hAnsiTheme="majorHAnsi" w:cstheme="majorHAnsi"/>
          <w:i/>
          <w:color w:val="44546A" w:themeColor="text2"/>
          <w:sz w:val="22"/>
          <w:szCs w:val="22"/>
        </w:rPr>
        <w:fldChar w:fldCharType="end"/>
      </w:r>
      <w:r w:rsidRPr="00D354DC">
        <w:rPr>
          <w:rFonts w:asciiTheme="majorHAnsi" w:hAnsiTheme="majorHAnsi" w:cstheme="majorHAnsi"/>
          <w:i/>
          <w:color w:val="44546A" w:themeColor="text2"/>
          <w:sz w:val="22"/>
          <w:szCs w:val="22"/>
        </w:rPr>
        <w:t>. BEST Program Capacity Building Activities by Regional Participants</w:t>
      </w:r>
      <w:bookmarkEnd w:id="172"/>
    </w:p>
    <w:p w14:paraId="4F041FCD" w14:textId="77777777" w:rsidR="00E26D25" w:rsidRDefault="008D0CAD" w:rsidP="007B6836">
      <w:pPr>
        <w:pStyle w:val="NormalWeb"/>
        <w:spacing w:line="360" w:lineRule="auto"/>
        <w:rPr>
          <w:rFonts w:asciiTheme="majorHAnsi" w:hAnsiTheme="majorHAnsi" w:cstheme="majorHAnsi"/>
          <w:color w:val="000000" w:themeColor="text1"/>
        </w:rPr>
      </w:pPr>
      <w:r>
        <w:rPr>
          <w:rFonts w:asciiTheme="majorHAnsi" w:hAnsiTheme="majorHAnsi" w:cstheme="majorHAnsi"/>
          <w:noProof/>
          <w:sz w:val="22"/>
          <w:szCs w:val="22"/>
          <w:lang w:val="en-AU" w:eastAsia="en-AU"/>
        </w:rPr>
        <w:drawing>
          <wp:inline distT="0" distB="0" distL="0" distR="0" wp14:anchorId="38BB26E3" wp14:editId="65F6B9C4">
            <wp:extent cx="4127157" cy="2203450"/>
            <wp:effectExtent l="0" t="0" r="6985" b="6350"/>
            <wp:docPr id="88" name="Picture 88" descr="Pie chart of BEST Program Capacity Building Activities by Regional Particip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Pie chart of BEST Program Capacity Building Activities by Regional Participants. "/>
                    <pic:cNvPicPr/>
                  </pic:nvPicPr>
                  <pic:blipFill rotWithShape="1">
                    <a:blip r:embed="rId45" cstate="print">
                      <a:extLst>
                        <a:ext uri="{28A0092B-C50C-407E-A947-70E740481C1C}">
                          <a14:useLocalDpi xmlns:a14="http://schemas.microsoft.com/office/drawing/2010/main" val="0"/>
                        </a:ext>
                      </a:extLst>
                    </a:blip>
                    <a:srcRect l="27618" t="27844" r="22783" b="30912"/>
                    <a:stretch/>
                  </pic:blipFill>
                  <pic:spPr bwMode="auto">
                    <a:xfrm>
                      <a:off x="0" y="0"/>
                      <a:ext cx="4138553" cy="2209534"/>
                    </a:xfrm>
                    <a:prstGeom prst="rect">
                      <a:avLst/>
                    </a:prstGeom>
                    <a:ln>
                      <a:noFill/>
                    </a:ln>
                    <a:extLst>
                      <a:ext uri="{53640926-AAD7-44D8-BBD7-CCE9431645EC}">
                        <a14:shadowObscured xmlns:a14="http://schemas.microsoft.com/office/drawing/2010/main"/>
                      </a:ext>
                    </a:extLst>
                  </pic:spPr>
                </pic:pic>
              </a:graphicData>
            </a:graphic>
          </wp:inline>
        </w:drawing>
      </w:r>
    </w:p>
    <w:p w14:paraId="6C44E5CB" w14:textId="21BBBD9D" w:rsidR="008D0CAD" w:rsidRDefault="008D0CAD" w:rsidP="007B6836">
      <w:pPr>
        <w:pStyle w:val="NormalWeb"/>
        <w:spacing w:line="360" w:lineRule="auto"/>
        <w:rPr>
          <w:rFonts w:asciiTheme="majorHAnsi" w:hAnsiTheme="majorHAnsi" w:cstheme="majorHAnsi"/>
          <w:color w:val="000000" w:themeColor="text1"/>
        </w:rPr>
      </w:pPr>
      <w:r>
        <w:rPr>
          <w:rFonts w:asciiTheme="majorHAnsi" w:hAnsiTheme="majorHAnsi" w:cstheme="majorHAnsi"/>
          <w:color w:val="000000" w:themeColor="text1"/>
        </w:rPr>
        <w:t>About two-thirds of these capacity building activities involved two regions: 40.9 per cent involved DepEd personnel and schools from Region VI while another 25.3 per cent involved personnel from Region VIII (Figure 25).</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This perhaps reveals why the program was very much appreciated in these two regions while the EOPE Study Team had a very difficult time engaging NCR.</w:t>
      </w:r>
      <w:r w:rsidRPr="00B17BCB">
        <w:rPr>
          <w:rFonts w:asciiTheme="majorHAnsi" w:hAnsiTheme="majorHAnsi" w:cstheme="majorHAnsi"/>
          <w:color w:val="000000" w:themeColor="text1"/>
        </w:rPr>
        <w:t xml:space="preserve"> </w:t>
      </w:r>
    </w:p>
    <w:p w14:paraId="2A309349" w14:textId="72B6202C" w:rsidR="008D0CAD" w:rsidRPr="00AE79BB" w:rsidRDefault="008D0CAD" w:rsidP="007B6836">
      <w:pPr>
        <w:pStyle w:val="NormalWeb"/>
        <w:spacing w:line="360" w:lineRule="auto"/>
        <w:rPr>
          <w:rFonts w:asciiTheme="majorHAnsi" w:hAnsiTheme="majorHAnsi" w:cstheme="majorHAnsi"/>
          <w:color w:val="000000" w:themeColor="text1"/>
        </w:rPr>
      </w:pPr>
      <w:r>
        <w:rPr>
          <w:rFonts w:asciiTheme="majorHAnsi" w:hAnsiTheme="majorHAnsi" w:cstheme="majorHAnsi"/>
          <w:color w:val="000000" w:themeColor="text1"/>
        </w:rPr>
        <w:t>Moreover, the capacity building activities were dominated by two interventions: L&amp;D System; and PPMES.</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PPMES-related capacity building activities comprised 62.7 per cent of the total 4,217 activities (Figure 26).</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On the other hand, L&amp;D System comprised 24.4 per cent.</w:t>
      </w:r>
    </w:p>
    <w:p w14:paraId="248F18C9" w14:textId="415D04FF" w:rsidR="008D0CAD" w:rsidRPr="00D354DC" w:rsidRDefault="008D0CAD" w:rsidP="007B6836">
      <w:pPr>
        <w:spacing w:before="100" w:beforeAutospacing="1" w:after="100" w:afterAutospacing="1" w:line="360" w:lineRule="auto"/>
        <w:rPr>
          <w:rFonts w:asciiTheme="majorHAnsi" w:hAnsiTheme="majorHAnsi" w:cstheme="majorHAnsi"/>
          <w:i/>
          <w:color w:val="44546A" w:themeColor="text2"/>
          <w:sz w:val="22"/>
          <w:szCs w:val="22"/>
        </w:rPr>
      </w:pPr>
      <w:r w:rsidRPr="00D354DC">
        <w:rPr>
          <w:rFonts w:asciiTheme="majorHAnsi" w:hAnsiTheme="majorHAnsi" w:cstheme="majorHAnsi"/>
          <w:i/>
          <w:color w:val="44546A" w:themeColor="text2"/>
          <w:sz w:val="22"/>
          <w:szCs w:val="22"/>
        </w:rPr>
        <w:t xml:space="preserve"> </w:t>
      </w:r>
      <w:bookmarkStart w:id="173" w:name="_Toc71616549"/>
      <w:r w:rsidRPr="00D354DC">
        <w:rPr>
          <w:rFonts w:asciiTheme="majorHAnsi" w:hAnsiTheme="majorHAnsi" w:cstheme="majorHAnsi"/>
          <w:i/>
          <w:color w:val="44546A" w:themeColor="text2"/>
          <w:sz w:val="22"/>
          <w:szCs w:val="22"/>
        </w:rPr>
        <w:t xml:space="preserve">Figure </w:t>
      </w:r>
      <w:r w:rsidRPr="00D354DC">
        <w:rPr>
          <w:rFonts w:asciiTheme="majorHAnsi" w:hAnsiTheme="majorHAnsi" w:cstheme="majorHAnsi"/>
          <w:i/>
          <w:color w:val="44546A" w:themeColor="text2"/>
          <w:sz w:val="22"/>
          <w:szCs w:val="22"/>
        </w:rPr>
        <w:fldChar w:fldCharType="begin"/>
      </w:r>
      <w:r w:rsidRPr="00D354DC">
        <w:rPr>
          <w:rFonts w:asciiTheme="majorHAnsi" w:hAnsiTheme="majorHAnsi" w:cstheme="majorHAnsi"/>
          <w:i/>
          <w:color w:val="44546A" w:themeColor="text2"/>
          <w:sz w:val="22"/>
          <w:szCs w:val="22"/>
        </w:rPr>
        <w:instrText xml:space="preserve"> SEQ Figure \* ARABIC </w:instrText>
      </w:r>
      <w:r w:rsidRPr="00D354DC">
        <w:rPr>
          <w:rFonts w:asciiTheme="majorHAnsi" w:hAnsiTheme="majorHAnsi" w:cstheme="majorHAnsi"/>
          <w:i/>
          <w:color w:val="44546A" w:themeColor="text2"/>
          <w:sz w:val="22"/>
          <w:szCs w:val="22"/>
        </w:rPr>
        <w:fldChar w:fldCharType="separate"/>
      </w:r>
      <w:r w:rsidR="00D6133D">
        <w:rPr>
          <w:rFonts w:asciiTheme="majorHAnsi" w:hAnsiTheme="majorHAnsi" w:cstheme="majorHAnsi"/>
          <w:i/>
          <w:noProof/>
          <w:color w:val="44546A" w:themeColor="text2"/>
          <w:sz w:val="22"/>
          <w:szCs w:val="22"/>
        </w:rPr>
        <w:t>22</w:t>
      </w:r>
      <w:r w:rsidRPr="00D354DC">
        <w:rPr>
          <w:rFonts w:asciiTheme="majorHAnsi" w:hAnsiTheme="majorHAnsi" w:cstheme="majorHAnsi"/>
          <w:i/>
          <w:color w:val="44546A" w:themeColor="text2"/>
          <w:sz w:val="22"/>
          <w:szCs w:val="22"/>
        </w:rPr>
        <w:fldChar w:fldCharType="end"/>
      </w:r>
      <w:r w:rsidRPr="00D354DC">
        <w:rPr>
          <w:rFonts w:asciiTheme="majorHAnsi" w:hAnsiTheme="majorHAnsi" w:cstheme="majorHAnsi"/>
          <w:i/>
          <w:color w:val="44546A" w:themeColor="text2"/>
          <w:sz w:val="22"/>
          <w:szCs w:val="22"/>
        </w:rPr>
        <w:t>. BEST Program Capacity Building Activities by Program Intervention</w:t>
      </w:r>
      <w:bookmarkEnd w:id="173"/>
    </w:p>
    <w:p w14:paraId="20B69284" w14:textId="77777777" w:rsidR="00E26D25" w:rsidRDefault="008D0CAD" w:rsidP="007B6836">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noProof/>
          <w:sz w:val="22"/>
          <w:szCs w:val="22"/>
          <w:lang w:val="en-AU" w:eastAsia="en-AU"/>
        </w:rPr>
        <w:drawing>
          <wp:inline distT="0" distB="0" distL="0" distR="0" wp14:anchorId="7E8B0F98" wp14:editId="5047888B">
            <wp:extent cx="4194067" cy="2345961"/>
            <wp:effectExtent l="0" t="0" r="0" b="0"/>
            <wp:docPr id="87" name="Picture 87" descr="Pie chart of BEST Program Capacity Building Activities by Program Intervention; Highest is PPMES at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Pie chart of BEST Program Capacity Building Activities by Program Intervention; Highest is PPMES at 62.7%"/>
                    <pic:cNvPicPr/>
                  </pic:nvPicPr>
                  <pic:blipFill rotWithShape="1">
                    <a:blip r:embed="rId46" cstate="print">
                      <a:extLst>
                        <a:ext uri="{28A0092B-C50C-407E-A947-70E740481C1C}">
                          <a14:useLocalDpi xmlns:a14="http://schemas.microsoft.com/office/drawing/2010/main" val="0"/>
                        </a:ext>
                      </a:extLst>
                    </a:blip>
                    <a:srcRect l="27754" t="37900" r="22892" b="17934"/>
                    <a:stretch/>
                  </pic:blipFill>
                  <pic:spPr bwMode="auto">
                    <a:xfrm>
                      <a:off x="0" y="0"/>
                      <a:ext cx="4194067" cy="2345961"/>
                    </a:xfrm>
                    <a:prstGeom prst="rect">
                      <a:avLst/>
                    </a:prstGeom>
                    <a:ln>
                      <a:noFill/>
                    </a:ln>
                    <a:extLst>
                      <a:ext uri="{53640926-AAD7-44D8-BBD7-CCE9431645EC}">
                        <a14:shadowObscured xmlns:a14="http://schemas.microsoft.com/office/drawing/2010/main"/>
                      </a:ext>
                    </a:extLst>
                  </pic:spPr>
                </pic:pic>
              </a:graphicData>
            </a:graphic>
          </wp:inline>
        </w:drawing>
      </w:r>
    </w:p>
    <w:p w14:paraId="171F8DF9" w14:textId="4FFD2933" w:rsidR="008D0CAD" w:rsidRPr="00021AC2" w:rsidRDefault="008D0CAD" w:rsidP="007B6836">
      <w:pPr>
        <w:spacing w:before="100" w:beforeAutospacing="1" w:after="100" w:afterAutospacing="1" w:line="360" w:lineRule="auto"/>
        <w:rPr>
          <w:rFonts w:asciiTheme="majorHAnsi" w:hAnsiTheme="majorHAnsi" w:cstheme="majorHAnsi"/>
          <w:color w:val="000000" w:themeColor="text1"/>
        </w:rPr>
      </w:pPr>
      <w:r w:rsidRPr="00AE79BB">
        <w:rPr>
          <w:rFonts w:asciiTheme="majorHAnsi" w:hAnsiTheme="majorHAnsi" w:cstheme="majorHAnsi"/>
          <w:color w:val="000000" w:themeColor="text1"/>
        </w:rPr>
        <w:t xml:space="preserve">GEDSI capacity building activities comprised a mere 7.9 </w:t>
      </w:r>
      <w:r>
        <w:rPr>
          <w:rFonts w:asciiTheme="majorHAnsi" w:hAnsiTheme="majorHAnsi" w:cstheme="majorHAnsi"/>
          <w:color w:val="000000" w:themeColor="text1"/>
        </w:rPr>
        <w:t>per cent</w:t>
      </w:r>
      <w:r w:rsidRPr="00AE79BB">
        <w:rPr>
          <w:rFonts w:asciiTheme="majorHAnsi" w:hAnsiTheme="majorHAnsi" w:cstheme="majorHAnsi"/>
          <w:color w:val="000000" w:themeColor="text1"/>
        </w:rPr>
        <w:t xml:space="preserve"> and most of these were conducted on the fourth year of implementation.</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Some of t</w:t>
      </w:r>
      <w:r w:rsidRPr="00AE79BB">
        <w:rPr>
          <w:rFonts w:asciiTheme="majorHAnsi" w:hAnsiTheme="majorHAnsi" w:cstheme="majorHAnsi"/>
          <w:color w:val="000000" w:themeColor="text1"/>
        </w:rPr>
        <w:t>hese training programs were:</w:t>
      </w:r>
      <w:r w:rsidRPr="00FE4D98">
        <w:rPr>
          <w:rFonts w:asciiTheme="majorHAnsi" w:hAnsiTheme="majorHAnsi" w:cstheme="majorHAnsi"/>
          <w:bCs/>
          <w:color w:val="000000"/>
        </w:rPr>
        <w:t xml:space="preserve"> </w:t>
      </w:r>
      <w:r w:rsidRPr="00FE4D98">
        <w:rPr>
          <w:rFonts w:asciiTheme="majorHAnsi" w:hAnsiTheme="majorHAnsi" w:cstheme="majorHAnsi"/>
          <w:color w:val="000000"/>
        </w:rPr>
        <w:t>In -Service Training on Inclusive Education and Disability for Divisions of Baybay and Biliran Clusters of Schools</w:t>
      </w:r>
      <w:r>
        <w:rPr>
          <w:rFonts w:asciiTheme="majorHAnsi" w:hAnsiTheme="majorHAnsi" w:cstheme="majorHAnsi"/>
          <w:color w:val="000000"/>
        </w:rPr>
        <w:t xml:space="preserve">; </w:t>
      </w:r>
      <w:r w:rsidRPr="00FE4D98">
        <w:rPr>
          <w:rFonts w:asciiTheme="majorHAnsi" w:hAnsiTheme="majorHAnsi" w:cstheme="majorHAnsi"/>
          <w:color w:val="000000"/>
        </w:rPr>
        <w:t>Capacity Building for Inclusive Education Advocates in Region V</w:t>
      </w:r>
      <w:r>
        <w:rPr>
          <w:rFonts w:asciiTheme="majorHAnsi" w:hAnsiTheme="majorHAnsi" w:cstheme="majorHAnsi"/>
          <w:color w:val="000000"/>
        </w:rPr>
        <w:t xml:space="preserve">; </w:t>
      </w:r>
      <w:r w:rsidRPr="00FE4D98">
        <w:rPr>
          <w:rFonts w:asciiTheme="majorHAnsi" w:hAnsiTheme="majorHAnsi" w:cstheme="majorHAnsi"/>
          <w:color w:val="000000"/>
        </w:rPr>
        <w:t>Braille Production Workshop</w:t>
      </w:r>
      <w:r>
        <w:rPr>
          <w:rFonts w:asciiTheme="majorHAnsi" w:hAnsiTheme="majorHAnsi" w:cstheme="majorHAnsi"/>
          <w:color w:val="000000"/>
        </w:rPr>
        <w:t xml:space="preserve">; </w:t>
      </w:r>
      <w:r w:rsidRPr="00FE4D98">
        <w:rPr>
          <w:rFonts w:asciiTheme="majorHAnsi" w:hAnsiTheme="majorHAnsi" w:cstheme="majorHAnsi"/>
          <w:color w:val="000000"/>
        </w:rPr>
        <w:t>IE GAD, Storytelling Training, Batch 1 and Batch</w:t>
      </w:r>
      <w:r>
        <w:rPr>
          <w:rFonts w:asciiTheme="majorHAnsi" w:hAnsiTheme="majorHAnsi" w:cstheme="majorHAnsi"/>
          <w:color w:val="000000"/>
        </w:rPr>
        <w:t xml:space="preserve">; and </w:t>
      </w:r>
      <w:r w:rsidRPr="00FE4D98">
        <w:rPr>
          <w:rFonts w:asciiTheme="majorHAnsi" w:hAnsiTheme="majorHAnsi" w:cstheme="majorHAnsi"/>
          <w:color w:val="000000"/>
        </w:rPr>
        <w:t>Training on the LAC Toolkit and GEDSI Awareness for R6, R7, R8 Batch 2</w:t>
      </w:r>
      <w:r>
        <w:rPr>
          <w:rFonts w:asciiTheme="majorHAnsi" w:hAnsiTheme="majorHAnsi" w:cstheme="majorHAnsi"/>
          <w:color w:val="000000"/>
        </w:rPr>
        <w:t>.</w:t>
      </w:r>
    </w:p>
    <w:p w14:paraId="30964FE4" w14:textId="76FA02E3" w:rsidR="008D0CAD" w:rsidRPr="001A2753" w:rsidRDefault="008D0CAD" w:rsidP="007B6836">
      <w:pPr>
        <w:pStyle w:val="Heading3"/>
        <w:numPr>
          <w:ilvl w:val="1"/>
          <w:numId w:val="38"/>
        </w:numPr>
        <w:spacing w:before="100" w:beforeAutospacing="1" w:after="100" w:afterAutospacing="1" w:line="360" w:lineRule="auto"/>
      </w:pPr>
      <w:bookmarkStart w:id="174" w:name="_Toc69820445"/>
      <w:r>
        <w:t>Program Governance and Management</w:t>
      </w:r>
      <w:bookmarkEnd w:id="174"/>
    </w:p>
    <w:p w14:paraId="1183ADC8" w14:textId="3E22750D" w:rsidR="008D0CAD" w:rsidRDefault="008D0CAD" w:rsidP="007B6836">
      <w:pPr>
        <w:spacing w:before="100" w:beforeAutospacing="1" w:after="100" w:afterAutospacing="1" w:line="360" w:lineRule="auto"/>
        <w:rPr>
          <w:rFonts w:asciiTheme="majorHAnsi" w:hAnsiTheme="majorHAnsi" w:cstheme="majorHAnsi"/>
        </w:rPr>
      </w:pPr>
      <w:r>
        <w:rPr>
          <w:rFonts w:asciiTheme="majorHAnsi" w:hAnsiTheme="majorHAnsi" w:cstheme="majorHAnsi"/>
        </w:rPr>
        <w:t>Over its lifetime, the</w:t>
      </w:r>
      <w:r w:rsidRPr="005342CC">
        <w:rPr>
          <w:rFonts w:asciiTheme="majorHAnsi" w:hAnsiTheme="majorHAnsi" w:cstheme="majorHAnsi"/>
        </w:rPr>
        <w:t xml:space="preserve"> BEST </w:t>
      </w:r>
      <w:r>
        <w:rPr>
          <w:rFonts w:asciiTheme="majorHAnsi" w:hAnsiTheme="majorHAnsi" w:cstheme="majorHAnsi"/>
        </w:rPr>
        <w:t xml:space="preserve">Program experienced numerous </w:t>
      </w:r>
      <w:r w:rsidRPr="005342CC">
        <w:rPr>
          <w:rFonts w:asciiTheme="majorHAnsi" w:hAnsiTheme="majorHAnsi" w:cstheme="majorHAnsi"/>
        </w:rPr>
        <w:t xml:space="preserve">challenges </w:t>
      </w:r>
      <w:r>
        <w:rPr>
          <w:rFonts w:asciiTheme="majorHAnsi" w:hAnsiTheme="majorHAnsi" w:cstheme="majorHAnsi"/>
        </w:rPr>
        <w:t xml:space="preserve">that weakened Program </w:t>
      </w:r>
      <w:r w:rsidRPr="005342CC">
        <w:rPr>
          <w:rFonts w:asciiTheme="majorHAnsi" w:hAnsiTheme="majorHAnsi" w:cstheme="majorHAnsi"/>
        </w:rPr>
        <w:t>governance and management</w:t>
      </w:r>
      <w:r>
        <w:rPr>
          <w:rFonts w:asciiTheme="majorHAnsi" w:hAnsiTheme="majorHAnsi" w:cstheme="majorHAnsi"/>
        </w:rPr>
        <w:t>,</w:t>
      </w:r>
      <w:r w:rsidRPr="005342CC">
        <w:rPr>
          <w:rFonts w:asciiTheme="majorHAnsi" w:hAnsiTheme="majorHAnsi" w:cstheme="majorHAnsi"/>
        </w:rPr>
        <w:t xml:space="preserve"> </w:t>
      </w:r>
      <w:r>
        <w:rPr>
          <w:rFonts w:asciiTheme="majorHAnsi" w:hAnsiTheme="majorHAnsi" w:cstheme="majorHAnsi"/>
        </w:rPr>
        <w:t>and consequently</w:t>
      </w:r>
      <w:r w:rsidRPr="003153D8">
        <w:rPr>
          <w:rFonts w:asciiTheme="majorHAnsi" w:hAnsiTheme="majorHAnsi" w:cstheme="majorHAnsi"/>
        </w:rPr>
        <w:t xml:space="preserve"> undermined effectiveness and efficiency of </w:t>
      </w:r>
      <w:r>
        <w:rPr>
          <w:rFonts w:asciiTheme="majorHAnsi" w:hAnsiTheme="majorHAnsi" w:cstheme="majorHAnsi"/>
        </w:rPr>
        <w:t>its</w:t>
      </w:r>
      <w:r w:rsidRPr="003153D8">
        <w:rPr>
          <w:rFonts w:asciiTheme="majorHAnsi" w:hAnsiTheme="majorHAnsi" w:cstheme="majorHAnsi"/>
        </w:rPr>
        <w:t xml:space="preserve"> </w:t>
      </w:r>
      <w:r>
        <w:rPr>
          <w:rFonts w:asciiTheme="majorHAnsi" w:hAnsiTheme="majorHAnsi" w:cstheme="majorHAnsi"/>
        </w:rPr>
        <w:t xml:space="preserve">various </w:t>
      </w:r>
      <w:r w:rsidRPr="003153D8">
        <w:rPr>
          <w:rFonts w:asciiTheme="majorHAnsi" w:hAnsiTheme="majorHAnsi" w:cstheme="majorHAnsi"/>
        </w:rPr>
        <w:t>interventions</w:t>
      </w:r>
      <w:r>
        <w:rPr>
          <w:rFonts w:asciiTheme="majorHAnsi" w:hAnsiTheme="majorHAnsi" w:cstheme="majorHAnsi"/>
        </w:rPr>
        <w:t>. Many of these challenges were already highlighted</w:t>
      </w:r>
      <w:r w:rsidRPr="005342CC">
        <w:rPr>
          <w:rFonts w:asciiTheme="majorHAnsi" w:hAnsiTheme="majorHAnsi" w:cstheme="majorHAnsi"/>
        </w:rPr>
        <w:t xml:space="preserve"> </w:t>
      </w:r>
      <w:r>
        <w:rPr>
          <w:rFonts w:asciiTheme="majorHAnsi" w:hAnsiTheme="majorHAnsi" w:cstheme="majorHAnsi"/>
        </w:rPr>
        <w:t>in t</w:t>
      </w:r>
      <w:r w:rsidRPr="005342CC">
        <w:rPr>
          <w:rFonts w:asciiTheme="majorHAnsi" w:hAnsiTheme="majorHAnsi" w:cstheme="majorHAnsi"/>
        </w:rPr>
        <w:t>he</w:t>
      </w:r>
      <w:r>
        <w:rPr>
          <w:rFonts w:asciiTheme="majorHAnsi" w:hAnsiTheme="majorHAnsi" w:cstheme="majorHAnsi"/>
        </w:rPr>
        <w:t xml:space="preserve"> 2017</w:t>
      </w:r>
      <w:r w:rsidRPr="005342CC">
        <w:rPr>
          <w:rFonts w:asciiTheme="majorHAnsi" w:hAnsiTheme="majorHAnsi" w:cstheme="majorHAnsi"/>
        </w:rPr>
        <w:t xml:space="preserve"> Independent Progress Review (IPR) </w:t>
      </w:r>
      <w:r>
        <w:rPr>
          <w:rFonts w:asciiTheme="majorHAnsi" w:hAnsiTheme="majorHAnsi" w:cstheme="majorHAnsi"/>
        </w:rPr>
        <w:t>of the</w:t>
      </w:r>
      <w:r w:rsidRPr="005342CC">
        <w:rPr>
          <w:rFonts w:asciiTheme="majorHAnsi" w:hAnsiTheme="majorHAnsi" w:cstheme="majorHAnsi"/>
        </w:rPr>
        <w:t xml:space="preserve"> BEST </w:t>
      </w:r>
      <w:r>
        <w:rPr>
          <w:rFonts w:asciiTheme="majorHAnsi" w:hAnsiTheme="majorHAnsi" w:cstheme="majorHAnsi"/>
        </w:rPr>
        <w:t xml:space="preserve">Program </w:t>
      </w:r>
      <w:r w:rsidRPr="005342CC">
        <w:rPr>
          <w:rFonts w:asciiTheme="majorHAnsi" w:hAnsiTheme="majorHAnsi" w:cstheme="majorHAnsi"/>
        </w:rPr>
        <w:t xml:space="preserve">commissioned by </w:t>
      </w:r>
      <w:r>
        <w:rPr>
          <w:rFonts w:asciiTheme="majorHAnsi" w:hAnsiTheme="majorHAnsi" w:cstheme="majorHAnsi"/>
        </w:rPr>
        <w:t>DFAT in the Australian Embassy in the Philippines.</w:t>
      </w:r>
      <w:r w:rsidR="00D434EB">
        <w:rPr>
          <w:rFonts w:asciiTheme="majorHAnsi" w:hAnsiTheme="majorHAnsi" w:cstheme="majorHAnsi"/>
        </w:rPr>
        <w:t xml:space="preserve"> </w:t>
      </w:r>
      <w:r>
        <w:rPr>
          <w:rFonts w:asciiTheme="majorHAnsi" w:hAnsiTheme="majorHAnsi" w:cstheme="majorHAnsi"/>
        </w:rPr>
        <w:t xml:space="preserve">These included, among others, the </w:t>
      </w:r>
      <w:r w:rsidRPr="00AB26D7">
        <w:rPr>
          <w:rFonts w:asciiTheme="majorHAnsi" w:hAnsiTheme="majorHAnsi" w:cstheme="majorHAnsi"/>
        </w:rPr>
        <w:t>variable quality of technical consultants, the absence of a clear guiding</w:t>
      </w:r>
      <w:r>
        <w:rPr>
          <w:rFonts w:asciiTheme="majorHAnsi" w:hAnsiTheme="majorHAnsi" w:cstheme="majorHAnsi"/>
        </w:rPr>
        <w:t xml:space="preserve"> program</w:t>
      </w:r>
      <w:r w:rsidRPr="00AB26D7">
        <w:rPr>
          <w:rFonts w:asciiTheme="majorHAnsi" w:hAnsiTheme="majorHAnsi" w:cstheme="majorHAnsi"/>
        </w:rPr>
        <w:t xml:space="preserve"> strategy</w:t>
      </w:r>
      <w:r>
        <w:rPr>
          <w:rFonts w:asciiTheme="majorHAnsi" w:hAnsiTheme="majorHAnsi" w:cstheme="majorHAnsi"/>
        </w:rPr>
        <w:t>,</w:t>
      </w:r>
      <w:r w:rsidRPr="00AB26D7">
        <w:rPr>
          <w:rFonts w:asciiTheme="majorHAnsi" w:hAnsiTheme="majorHAnsi" w:cstheme="majorHAnsi"/>
        </w:rPr>
        <w:t xml:space="preserve"> </w:t>
      </w:r>
      <w:r>
        <w:rPr>
          <w:rFonts w:asciiTheme="majorHAnsi" w:hAnsiTheme="majorHAnsi" w:cstheme="majorHAnsi"/>
        </w:rPr>
        <w:t>and the</w:t>
      </w:r>
      <w:r w:rsidRPr="00AB26D7">
        <w:rPr>
          <w:rFonts w:asciiTheme="majorHAnsi" w:hAnsiTheme="majorHAnsi" w:cstheme="majorHAnsi"/>
        </w:rPr>
        <w:t xml:space="preserve"> weak </w:t>
      </w:r>
      <w:r>
        <w:rPr>
          <w:rFonts w:asciiTheme="majorHAnsi" w:hAnsiTheme="majorHAnsi" w:cstheme="majorHAnsi"/>
        </w:rPr>
        <w:t xml:space="preserve">or </w:t>
      </w:r>
      <w:r w:rsidRPr="00AB26D7">
        <w:rPr>
          <w:rFonts w:asciiTheme="majorHAnsi" w:hAnsiTheme="majorHAnsi" w:cstheme="majorHAnsi"/>
        </w:rPr>
        <w:t>absent formal program governance structures</w:t>
      </w:r>
      <w:r>
        <w:rPr>
          <w:rFonts w:asciiTheme="majorHAnsi" w:hAnsiTheme="majorHAnsi" w:cstheme="majorHAnsi"/>
        </w:rPr>
        <w:t xml:space="preserve">. </w:t>
      </w:r>
    </w:p>
    <w:p w14:paraId="03AE7DDE" w14:textId="77777777" w:rsidR="008D0CAD" w:rsidRDefault="008D0CAD" w:rsidP="007B6836">
      <w:pPr>
        <w:spacing w:before="100" w:beforeAutospacing="1" w:after="100" w:afterAutospacing="1" w:line="360" w:lineRule="auto"/>
        <w:rPr>
          <w:rFonts w:asciiTheme="majorHAnsi" w:hAnsiTheme="majorHAnsi" w:cstheme="majorHAnsi"/>
        </w:rPr>
      </w:pPr>
      <w:r w:rsidRPr="005342CC">
        <w:rPr>
          <w:rFonts w:asciiTheme="majorHAnsi" w:hAnsiTheme="majorHAnsi" w:cstheme="majorHAnsi"/>
        </w:rPr>
        <w:t xml:space="preserve">The </w:t>
      </w:r>
      <w:r>
        <w:rPr>
          <w:rFonts w:asciiTheme="majorHAnsi" w:hAnsiTheme="majorHAnsi" w:cstheme="majorHAnsi"/>
        </w:rPr>
        <w:t xml:space="preserve">IPR </w:t>
      </w:r>
      <w:r w:rsidRPr="005342CC">
        <w:rPr>
          <w:rFonts w:asciiTheme="majorHAnsi" w:hAnsiTheme="majorHAnsi" w:cstheme="majorHAnsi"/>
        </w:rPr>
        <w:t>Evaluators presented the</w:t>
      </w:r>
      <w:r>
        <w:rPr>
          <w:rFonts w:asciiTheme="majorHAnsi" w:hAnsiTheme="majorHAnsi" w:cstheme="majorHAnsi"/>
        </w:rPr>
        <w:t>se</w:t>
      </w:r>
      <w:r w:rsidRPr="005342CC">
        <w:rPr>
          <w:rFonts w:asciiTheme="majorHAnsi" w:hAnsiTheme="majorHAnsi" w:cstheme="majorHAnsi"/>
        </w:rPr>
        <w:t xml:space="preserve"> Program challenges in three phases</w:t>
      </w:r>
      <w:r>
        <w:rPr>
          <w:rFonts w:asciiTheme="majorHAnsi" w:hAnsiTheme="majorHAnsi" w:cstheme="majorHAnsi"/>
        </w:rPr>
        <w:t>, which the</w:t>
      </w:r>
      <w:r w:rsidRPr="005342CC">
        <w:rPr>
          <w:rFonts w:asciiTheme="majorHAnsi" w:hAnsiTheme="majorHAnsi" w:cstheme="majorHAnsi"/>
        </w:rPr>
        <w:t xml:space="preserve"> EOPE Study </w:t>
      </w:r>
      <w:r>
        <w:rPr>
          <w:rFonts w:asciiTheme="majorHAnsi" w:hAnsiTheme="majorHAnsi" w:cstheme="majorHAnsi"/>
        </w:rPr>
        <w:t xml:space="preserve">builds and adds on </w:t>
      </w:r>
      <w:r w:rsidRPr="005342CC">
        <w:rPr>
          <w:rFonts w:asciiTheme="majorHAnsi" w:hAnsiTheme="majorHAnsi" w:cstheme="majorHAnsi"/>
        </w:rPr>
        <w:t>for continuity.</w:t>
      </w:r>
    </w:p>
    <w:p w14:paraId="581F6791" w14:textId="77777777" w:rsidR="008D0CAD" w:rsidRPr="007F77AE" w:rsidRDefault="008D0CAD" w:rsidP="007B6836">
      <w:pPr>
        <w:spacing w:before="100" w:beforeAutospacing="1" w:after="100" w:afterAutospacing="1" w:line="360" w:lineRule="auto"/>
        <w:rPr>
          <w:rFonts w:asciiTheme="majorHAnsi" w:hAnsiTheme="majorHAnsi" w:cstheme="majorHAnsi"/>
          <w:b/>
          <w:bCs/>
          <w:color w:val="0070C0"/>
        </w:rPr>
      </w:pPr>
      <w:bookmarkStart w:id="175" w:name="_Toc15887264"/>
      <w:r w:rsidRPr="007F77AE">
        <w:rPr>
          <w:rFonts w:asciiTheme="majorHAnsi" w:hAnsiTheme="majorHAnsi" w:cstheme="majorHAnsi"/>
          <w:b/>
          <w:bCs/>
          <w:color w:val="0070C0"/>
        </w:rPr>
        <w:t>Phase 1: August 2014 - January 2015</w:t>
      </w:r>
      <w:bookmarkEnd w:id="175"/>
    </w:p>
    <w:p w14:paraId="47D50F2D" w14:textId="243C95E1" w:rsidR="008D0CAD" w:rsidRPr="005342CC" w:rsidRDefault="008D0CAD" w:rsidP="007B6836">
      <w:pPr>
        <w:spacing w:before="100" w:beforeAutospacing="1" w:after="100" w:afterAutospacing="1" w:line="360" w:lineRule="auto"/>
        <w:rPr>
          <w:rFonts w:asciiTheme="majorHAnsi" w:hAnsiTheme="majorHAnsi" w:cstheme="majorHAnsi"/>
        </w:rPr>
      </w:pPr>
      <w:r>
        <w:rPr>
          <w:rFonts w:asciiTheme="majorHAnsi" w:hAnsiTheme="majorHAnsi" w:cstheme="majorHAnsi"/>
        </w:rPr>
        <w:t>The first six months (</w:t>
      </w:r>
      <w:r w:rsidRPr="00D07E37">
        <w:rPr>
          <w:rFonts w:asciiTheme="majorHAnsi" w:hAnsiTheme="majorHAnsi" w:cstheme="majorHAnsi"/>
        </w:rPr>
        <w:t>Phase 1</w:t>
      </w:r>
      <w:r>
        <w:rPr>
          <w:rFonts w:asciiTheme="majorHAnsi" w:hAnsiTheme="majorHAnsi" w:cstheme="majorHAnsi"/>
        </w:rPr>
        <w:t>)</w:t>
      </w:r>
      <w:r w:rsidRPr="005342CC">
        <w:rPr>
          <w:rFonts w:asciiTheme="majorHAnsi" w:hAnsiTheme="majorHAnsi" w:cstheme="majorHAnsi"/>
        </w:rPr>
        <w:t xml:space="preserve"> was </w:t>
      </w:r>
      <w:r>
        <w:rPr>
          <w:rFonts w:asciiTheme="majorHAnsi" w:hAnsiTheme="majorHAnsi" w:cstheme="majorHAnsi"/>
        </w:rPr>
        <w:t>charaterised as</w:t>
      </w:r>
      <w:r w:rsidRPr="005342CC">
        <w:rPr>
          <w:rFonts w:asciiTheme="majorHAnsi" w:hAnsiTheme="majorHAnsi" w:cstheme="majorHAnsi"/>
        </w:rPr>
        <w:t xml:space="preserve"> the mobili</w:t>
      </w:r>
      <w:r>
        <w:rPr>
          <w:rFonts w:asciiTheme="majorHAnsi" w:hAnsiTheme="majorHAnsi" w:cstheme="majorHAnsi"/>
        </w:rPr>
        <w:t>s</w:t>
      </w:r>
      <w:r w:rsidRPr="005342CC">
        <w:rPr>
          <w:rFonts w:asciiTheme="majorHAnsi" w:hAnsiTheme="majorHAnsi" w:cstheme="majorHAnsi"/>
        </w:rPr>
        <w:t xml:space="preserve">ation and start-up phase for the Facilitating Contractor (FC). </w:t>
      </w:r>
      <w:r>
        <w:rPr>
          <w:rFonts w:asciiTheme="majorHAnsi" w:hAnsiTheme="majorHAnsi" w:cstheme="majorHAnsi"/>
        </w:rPr>
        <w:t>A</w:t>
      </w:r>
      <w:r w:rsidRPr="005342CC">
        <w:rPr>
          <w:rFonts w:asciiTheme="majorHAnsi" w:hAnsiTheme="majorHAnsi" w:cstheme="majorHAnsi"/>
        </w:rPr>
        <w:t xml:space="preserve"> one-year delay </w:t>
      </w:r>
      <w:r>
        <w:rPr>
          <w:rFonts w:asciiTheme="majorHAnsi" w:hAnsiTheme="majorHAnsi" w:cstheme="majorHAnsi"/>
        </w:rPr>
        <w:t>greeted</w:t>
      </w:r>
      <w:r w:rsidRPr="005342CC">
        <w:rPr>
          <w:rFonts w:asciiTheme="majorHAnsi" w:hAnsiTheme="majorHAnsi" w:cstheme="majorHAnsi"/>
        </w:rPr>
        <w:t xml:space="preserve"> program start due to the change in priorities of the Australian government.</w:t>
      </w:r>
      <w:r w:rsidRPr="005342CC">
        <w:rPr>
          <w:rStyle w:val="FootnoteReference"/>
          <w:rFonts w:asciiTheme="majorHAnsi" w:eastAsia="Arial Unicode MS" w:hAnsiTheme="majorHAnsi" w:cstheme="majorHAnsi"/>
        </w:rPr>
        <w:footnoteReference w:id="96"/>
      </w:r>
      <w:r w:rsidR="00D434EB">
        <w:rPr>
          <w:rFonts w:asciiTheme="majorHAnsi" w:hAnsiTheme="majorHAnsi" w:cstheme="majorHAnsi"/>
        </w:rPr>
        <w:t xml:space="preserve"> </w:t>
      </w:r>
      <w:r w:rsidRPr="005342CC">
        <w:rPr>
          <w:rFonts w:asciiTheme="majorHAnsi" w:hAnsiTheme="majorHAnsi" w:cstheme="majorHAnsi"/>
        </w:rPr>
        <w:t xml:space="preserve"> However, even after the Program started, the IPR </w:t>
      </w:r>
      <w:r>
        <w:rPr>
          <w:rFonts w:asciiTheme="majorHAnsi" w:hAnsiTheme="majorHAnsi" w:cstheme="majorHAnsi"/>
        </w:rPr>
        <w:t>noted</w:t>
      </w:r>
      <w:r w:rsidRPr="005342CC">
        <w:rPr>
          <w:rFonts w:asciiTheme="majorHAnsi" w:hAnsiTheme="majorHAnsi" w:cstheme="majorHAnsi"/>
        </w:rPr>
        <w:t xml:space="preserve"> that the Program proceeded “much slower than anticipated” due to </w:t>
      </w:r>
      <w:r>
        <w:rPr>
          <w:rFonts w:asciiTheme="majorHAnsi" w:hAnsiTheme="majorHAnsi" w:cstheme="majorHAnsi"/>
        </w:rPr>
        <w:t>additional difficulties</w:t>
      </w:r>
      <w:r w:rsidRPr="005342CC">
        <w:rPr>
          <w:rFonts w:asciiTheme="majorHAnsi" w:hAnsiTheme="majorHAnsi" w:cstheme="majorHAnsi"/>
        </w:rPr>
        <w:t xml:space="preserve"> in engaging technical specialists.</w:t>
      </w:r>
      <w:r w:rsidR="00D434EB">
        <w:rPr>
          <w:rFonts w:asciiTheme="majorHAnsi" w:hAnsiTheme="majorHAnsi" w:cstheme="majorHAnsi"/>
        </w:rPr>
        <w:t xml:space="preserve"> </w:t>
      </w:r>
    </w:p>
    <w:p w14:paraId="53B40198" w14:textId="434E8C4A" w:rsidR="008D0CAD" w:rsidRDefault="008D0CAD" w:rsidP="007B6836">
      <w:pPr>
        <w:spacing w:before="100" w:beforeAutospacing="1" w:after="100" w:afterAutospacing="1" w:line="360" w:lineRule="auto"/>
        <w:rPr>
          <w:rFonts w:asciiTheme="majorHAnsi" w:hAnsiTheme="majorHAnsi" w:cstheme="majorHAnsi"/>
        </w:rPr>
      </w:pPr>
      <w:r w:rsidRPr="005342CC">
        <w:rPr>
          <w:rFonts w:asciiTheme="majorHAnsi" w:hAnsiTheme="majorHAnsi" w:cstheme="majorHAnsi"/>
        </w:rPr>
        <w:t>Despite the</w:t>
      </w:r>
      <w:r>
        <w:rPr>
          <w:rFonts w:asciiTheme="majorHAnsi" w:hAnsiTheme="majorHAnsi" w:cstheme="majorHAnsi"/>
        </w:rPr>
        <w:t xml:space="preserve"> challenging </w:t>
      </w:r>
      <w:r w:rsidRPr="005342CC">
        <w:rPr>
          <w:rFonts w:asciiTheme="majorHAnsi" w:hAnsiTheme="majorHAnsi" w:cstheme="majorHAnsi"/>
        </w:rPr>
        <w:t xml:space="preserve">startup, the Program </w:t>
      </w:r>
      <w:r>
        <w:rPr>
          <w:rFonts w:asciiTheme="majorHAnsi" w:hAnsiTheme="majorHAnsi" w:cstheme="majorHAnsi"/>
        </w:rPr>
        <w:t>got</w:t>
      </w:r>
      <w:r w:rsidRPr="005342CC">
        <w:rPr>
          <w:rFonts w:asciiTheme="majorHAnsi" w:hAnsiTheme="majorHAnsi" w:cstheme="majorHAnsi"/>
        </w:rPr>
        <w:t xml:space="preserve"> on the right track based on </w:t>
      </w:r>
      <w:r>
        <w:rPr>
          <w:rFonts w:asciiTheme="majorHAnsi" w:hAnsiTheme="majorHAnsi" w:cstheme="majorHAnsi"/>
        </w:rPr>
        <w:t>the</w:t>
      </w:r>
      <w:r w:rsidRPr="005342CC">
        <w:rPr>
          <w:rFonts w:asciiTheme="majorHAnsi" w:hAnsiTheme="majorHAnsi" w:cstheme="majorHAnsi"/>
        </w:rPr>
        <w:t xml:space="preserve"> first Six-Month Progress Review</w:t>
      </w:r>
      <w:r w:rsidRPr="005342CC">
        <w:rPr>
          <w:rStyle w:val="FootnoteReference"/>
          <w:rFonts w:asciiTheme="majorHAnsi" w:eastAsia="Arial Unicode MS" w:hAnsiTheme="majorHAnsi" w:cstheme="majorHAnsi"/>
        </w:rPr>
        <w:footnoteReference w:id="97"/>
      </w:r>
      <w:r w:rsidRPr="005342CC">
        <w:rPr>
          <w:rFonts w:asciiTheme="majorHAnsi" w:hAnsiTheme="majorHAnsi" w:cstheme="majorHAnsi"/>
        </w:rPr>
        <w:t xml:space="preserve"> (SMPR</w:t>
      </w:r>
      <w:r w:rsidRPr="005342CC">
        <w:rPr>
          <w:rStyle w:val="FootnoteReference"/>
          <w:rFonts w:asciiTheme="majorHAnsi" w:eastAsia="Arial Unicode MS" w:hAnsiTheme="majorHAnsi" w:cstheme="majorHAnsi"/>
        </w:rPr>
        <w:footnoteReference w:id="98"/>
      </w:r>
      <w:r w:rsidRPr="005342CC">
        <w:rPr>
          <w:rFonts w:asciiTheme="majorHAnsi" w:hAnsiTheme="majorHAnsi" w:cstheme="majorHAnsi"/>
        </w:rPr>
        <w:t>).</w:t>
      </w:r>
      <w:r w:rsidR="00D434EB">
        <w:rPr>
          <w:rFonts w:asciiTheme="majorHAnsi" w:hAnsiTheme="majorHAnsi" w:cstheme="majorHAnsi"/>
        </w:rPr>
        <w:t xml:space="preserve"> </w:t>
      </w:r>
      <w:r>
        <w:rPr>
          <w:rFonts w:asciiTheme="majorHAnsi" w:hAnsiTheme="majorHAnsi" w:cstheme="majorHAnsi"/>
        </w:rPr>
        <w:t>T</w:t>
      </w:r>
      <w:r w:rsidRPr="005342CC">
        <w:rPr>
          <w:rFonts w:asciiTheme="majorHAnsi" w:hAnsiTheme="majorHAnsi" w:cstheme="majorHAnsi"/>
        </w:rPr>
        <w:t>he FC reported the “</w:t>
      </w:r>
      <w:r w:rsidRPr="005342CC">
        <w:rPr>
          <w:rFonts w:asciiTheme="majorHAnsi" w:hAnsiTheme="majorHAnsi" w:cstheme="majorHAnsi"/>
          <w:i/>
        </w:rPr>
        <w:t>o</w:t>
      </w:r>
      <w:r w:rsidRPr="00C737CF">
        <w:rPr>
          <w:rFonts w:asciiTheme="majorHAnsi" w:hAnsiTheme="majorHAnsi" w:cstheme="majorHAnsi"/>
          <w:i/>
        </w:rPr>
        <w:t>perationalisation of the BEST Governance and Management Arrangements</w:t>
      </w:r>
      <w:r w:rsidRPr="005342CC">
        <w:rPr>
          <w:rFonts w:asciiTheme="majorHAnsi" w:hAnsiTheme="majorHAnsi" w:cstheme="majorHAnsi"/>
        </w:rPr>
        <w:t>” through the conduct of the first PMC meeting, convening of the PSC and the six Technical Working Groups (TWGs)</w:t>
      </w:r>
      <w:r w:rsidRPr="005342CC">
        <w:rPr>
          <w:rStyle w:val="FootnoteReference"/>
          <w:rFonts w:asciiTheme="majorHAnsi" w:eastAsia="Arial Unicode MS" w:hAnsiTheme="majorHAnsi" w:cstheme="majorHAnsi"/>
        </w:rPr>
        <w:footnoteReference w:id="99"/>
      </w:r>
      <w:r w:rsidRPr="005342CC">
        <w:rPr>
          <w:rFonts w:asciiTheme="majorHAnsi" w:hAnsiTheme="majorHAnsi" w:cstheme="majorHAnsi"/>
        </w:rPr>
        <w:t xml:space="preserve">, initial consultations for the creation of the PSCO, and creation of the regional BEST implementing teams in every region. It was also reported that “the </w:t>
      </w:r>
      <w:r w:rsidRPr="005342CC">
        <w:rPr>
          <w:rFonts w:asciiTheme="majorHAnsi" w:hAnsiTheme="majorHAnsi" w:cstheme="majorHAnsi"/>
          <w:i/>
        </w:rPr>
        <w:t>standalone governance arrangements for activities that started in 2013 (PBSP Classroom Construction Support, ACTRC and RCTQ) have been discontinued. All implementing partners are now part of one BEST governance structure</w:t>
      </w:r>
      <w:r w:rsidRPr="005342CC">
        <w:rPr>
          <w:rFonts w:asciiTheme="majorHAnsi" w:hAnsiTheme="majorHAnsi" w:cstheme="majorHAnsi"/>
        </w:rPr>
        <w:t>.”</w:t>
      </w:r>
    </w:p>
    <w:p w14:paraId="3BAE12AA" w14:textId="77777777" w:rsidR="008D0CAD" w:rsidRPr="00060705" w:rsidRDefault="008D0CAD" w:rsidP="007B6836">
      <w:pPr>
        <w:spacing w:before="100" w:beforeAutospacing="1" w:after="100" w:afterAutospacing="1" w:line="360" w:lineRule="auto"/>
        <w:rPr>
          <w:rFonts w:asciiTheme="majorHAnsi" w:hAnsiTheme="majorHAnsi" w:cstheme="majorHAnsi"/>
          <w:color w:val="000000" w:themeColor="text1"/>
        </w:rPr>
      </w:pPr>
      <w:r w:rsidRPr="00060705">
        <w:rPr>
          <w:rFonts w:asciiTheme="majorHAnsi" w:hAnsiTheme="majorHAnsi" w:cstheme="majorHAnsi"/>
          <w:color w:val="000000" w:themeColor="text1"/>
        </w:rPr>
        <w:t xml:space="preserve">However, </w:t>
      </w:r>
      <w:r>
        <w:rPr>
          <w:rFonts w:asciiTheme="majorHAnsi" w:hAnsiTheme="majorHAnsi" w:cstheme="majorHAnsi"/>
          <w:color w:val="000000" w:themeColor="text1"/>
        </w:rPr>
        <w:t xml:space="preserve">although the institutional arrangements were designed and planned for, </w:t>
      </w:r>
      <w:r w:rsidRPr="00060705">
        <w:rPr>
          <w:rFonts w:asciiTheme="majorHAnsi" w:hAnsiTheme="majorHAnsi" w:cstheme="majorHAnsi"/>
          <w:color w:val="000000" w:themeColor="text1"/>
        </w:rPr>
        <w:t xml:space="preserve">many of the implementation problems of the BEST Program appeared to point back to the failure to </w:t>
      </w:r>
      <w:r>
        <w:rPr>
          <w:rFonts w:asciiTheme="majorHAnsi" w:hAnsiTheme="majorHAnsi" w:cstheme="majorHAnsi"/>
          <w:color w:val="000000" w:themeColor="text1"/>
        </w:rPr>
        <w:t>execute</w:t>
      </w:r>
      <w:r w:rsidRPr="00060705">
        <w:rPr>
          <w:rFonts w:asciiTheme="majorHAnsi" w:hAnsiTheme="majorHAnsi" w:cstheme="majorHAnsi"/>
          <w:color w:val="000000" w:themeColor="text1"/>
        </w:rPr>
        <w:t xml:space="preserve"> these systems.</w:t>
      </w:r>
    </w:p>
    <w:p w14:paraId="200ED38F" w14:textId="3768CB86" w:rsidR="008D0CAD" w:rsidRDefault="008D0CAD" w:rsidP="007B6836">
      <w:pPr>
        <w:spacing w:before="100" w:beforeAutospacing="1" w:after="100" w:afterAutospacing="1" w:line="360" w:lineRule="auto"/>
        <w:rPr>
          <w:rFonts w:asciiTheme="majorHAnsi" w:hAnsiTheme="majorHAnsi" w:cstheme="majorHAnsi"/>
        </w:rPr>
      </w:pPr>
      <w:r>
        <w:rPr>
          <w:rFonts w:asciiTheme="majorHAnsi" w:hAnsiTheme="majorHAnsi" w:cstheme="majorHAnsi"/>
        </w:rPr>
        <w:t>Respondents</w:t>
      </w:r>
      <w:r>
        <w:rPr>
          <w:rStyle w:val="FootnoteReference"/>
          <w:rFonts w:asciiTheme="majorHAnsi" w:eastAsia="Arial Unicode MS" w:hAnsiTheme="majorHAnsi" w:cstheme="majorHAnsi"/>
        </w:rPr>
        <w:footnoteReference w:id="100"/>
      </w:r>
      <w:r>
        <w:rPr>
          <w:rFonts w:asciiTheme="majorHAnsi" w:hAnsiTheme="majorHAnsi" w:cstheme="majorHAnsi"/>
        </w:rPr>
        <w:t xml:space="preserve"> noted that during the early years of Program implementation (prior to 2017), the governance mechanism was not fully functional or were perceived as less than effective.</w:t>
      </w:r>
      <w:r w:rsidR="00D434EB">
        <w:rPr>
          <w:rFonts w:asciiTheme="majorHAnsi" w:hAnsiTheme="majorHAnsi" w:cstheme="majorHAnsi"/>
        </w:rPr>
        <w:t xml:space="preserve"> </w:t>
      </w:r>
      <w:r>
        <w:rPr>
          <w:rFonts w:asciiTheme="majorHAnsi" w:hAnsiTheme="majorHAnsi" w:cstheme="majorHAnsi"/>
        </w:rPr>
        <w:t xml:space="preserve">This finding was validated in SMPR 8, which acknowledged that the </w:t>
      </w:r>
      <w:r w:rsidRPr="00383E4A">
        <w:rPr>
          <w:rFonts w:asciiTheme="majorHAnsi" w:hAnsiTheme="majorHAnsi" w:cstheme="majorHAnsi"/>
        </w:rPr>
        <w:t xml:space="preserve">Program Governance </w:t>
      </w:r>
      <w:r>
        <w:rPr>
          <w:rFonts w:asciiTheme="majorHAnsi" w:hAnsiTheme="majorHAnsi" w:cstheme="majorHAnsi"/>
        </w:rPr>
        <w:t>s</w:t>
      </w:r>
      <w:r w:rsidRPr="00383E4A">
        <w:rPr>
          <w:rFonts w:asciiTheme="majorHAnsi" w:hAnsiTheme="majorHAnsi" w:cstheme="majorHAnsi"/>
        </w:rPr>
        <w:t>tructures</w:t>
      </w:r>
      <w:r>
        <w:rPr>
          <w:rFonts w:asciiTheme="majorHAnsi" w:hAnsiTheme="majorHAnsi" w:cstheme="majorHAnsi"/>
        </w:rPr>
        <w:t xml:space="preserve"> took effect only in the fourth Annual Plan and that prior to that, the structures were not being fully utilised:</w:t>
      </w:r>
    </w:p>
    <w:p w14:paraId="73D6D995" w14:textId="77777777" w:rsidR="008D0CAD" w:rsidRPr="005E6AB5" w:rsidRDefault="008D0CAD" w:rsidP="002320B3">
      <w:pPr>
        <w:spacing w:after="120"/>
        <w:ind w:left="432" w:right="432"/>
        <w:rPr>
          <w:rFonts w:asciiTheme="majorHAnsi" w:hAnsiTheme="majorHAnsi" w:cstheme="majorHAnsi"/>
          <w:i/>
        </w:rPr>
      </w:pPr>
      <w:r w:rsidRPr="005E6AB5">
        <w:rPr>
          <w:rFonts w:asciiTheme="majorHAnsi" w:hAnsiTheme="majorHAnsi" w:cstheme="majorHAnsi"/>
          <w:i/>
        </w:rPr>
        <w:t>“</w:t>
      </w:r>
      <w:r w:rsidRPr="00383E4A">
        <w:rPr>
          <w:rFonts w:asciiTheme="majorHAnsi" w:hAnsiTheme="majorHAnsi" w:cstheme="majorHAnsi"/>
          <w:i/>
        </w:rPr>
        <w:t xml:space="preserve">BEST implemented formal program governance structures in AP4 to ensure that decisions were appropriately processed and collaborative. BEST and the Project Management Service of </w:t>
      </w:r>
      <w:r>
        <w:rPr>
          <w:rFonts w:asciiTheme="majorHAnsi" w:hAnsiTheme="majorHAnsi" w:cstheme="majorHAnsi"/>
          <w:i/>
        </w:rPr>
        <w:t>DepEd</w:t>
      </w:r>
      <w:r w:rsidRPr="00383E4A">
        <w:rPr>
          <w:rFonts w:asciiTheme="majorHAnsi" w:hAnsiTheme="majorHAnsi" w:cstheme="majorHAnsi"/>
          <w:i/>
        </w:rPr>
        <w:t xml:space="preserve"> worked together on the development of an AP5 strategic framework (refer to Annex 5)</w:t>
      </w:r>
      <w:r w:rsidRPr="005E6AB5">
        <w:rPr>
          <w:rFonts w:asciiTheme="majorHAnsi" w:hAnsiTheme="majorHAnsi" w:cstheme="majorHAnsi"/>
          <w:i/>
        </w:rPr>
        <w:t>” (</w:t>
      </w:r>
      <w:r w:rsidRPr="00540E5E">
        <w:rPr>
          <w:rFonts w:asciiTheme="majorHAnsi" w:hAnsiTheme="majorHAnsi" w:cstheme="majorHAnsi"/>
          <w:i/>
        </w:rPr>
        <w:t>Cardno Emerging Markets</w:t>
      </w:r>
      <w:r>
        <w:rPr>
          <w:rFonts w:asciiTheme="majorHAnsi" w:hAnsiTheme="majorHAnsi" w:cstheme="majorHAnsi"/>
          <w:i/>
        </w:rPr>
        <w:t xml:space="preserve">, SMPR 8, </w:t>
      </w:r>
      <w:r w:rsidRPr="005E6AB5">
        <w:rPr>
          <w:rFonts w:asciiTheme="majorHAnsi" w:hAnsiTheme="majorHAnsi" w:cstheme="majorHAnsi"/>
          <w:i/>
        </w:rPr>
        <w:t>p. 16)</w:t>
      </w:r>
      <w:r w:rsidRPr="00383E4A">
        <w:rPr>
          <w:rFonts w:asciiTheme="majorHAnsi" w:hAnsiTheme="majorHAnsi" w:cstheme="majorHAnsi"/>
          <w:i/>
        </w:rPr>
        <w:t>.</w:t>
      </w:r>
    </w:p>
    <w:p w14:paraId="146611A8" w14:textId="77777777" w:rsidR="008D0CAD" w:rsidRDefault="008D0CAD" w:rsidP="007B6836">
      <w:pPr>
        <w:pStyle w:val="NormalWeb"/>
        <w:spacing w:line="360" w:lineRule="auto"/>
        <w:rPr>
          <w:rFonts w:asciiTheme="majorHAnsi" w:hAnsiTheme="majorHAnsi" w:cstheme="majorHAnsi"/>
        </w:rPr>
      </w:pPr>
      <w:r>
        <w:rPr>
          <w:rFonts w:asciiTheme="majorHAnsi" w:eastAsiaTheme="minorHAnsi" w:hAnsiTheme="majorHAnsi" w:cstheme="majorHAnsi"/>
        </w:rPr>
        <w:t xml:space="preserve">The AP5 Strategic Framework mentioned in the above statement was provided as </w:t>
      </w:r>
      <w:r w:rsidRPr="005A7954">
        <w:rPr>
          <w:rFonts w:asciiTheme="majorHAnsi" w:hAnsiTheme="majorHAnsi" w:cstheme="majorHAnsi"/>
        </w:rPr>
        <w:t>Annex 5 BEST Strategic Framework</w:t>
      </w:r>
      <w:r>
        <w:rPr>
          <w:rFonts w:asciiTheme="majorHAnsi" w:hAnsiTheme="majorHAnsi" w:cstheme="majorHAnsi"/>
        </w:rPr>
        <w:t xml:space="preserve"> in SMPR 8 stated that: </w:t>
      </w:r>
    </w:p>
    <w:p w14:paraId="2AC01C7F" w14:textId="77777777" w:rsidR="008D0CAD" w:rsidRPr="00597C9B" w:rsidRDefault="008D0CAD" w:rsidP="002320B3">
      <w:pPr>
        <w:pStyle w:val="NormalWeb"/>
        <w:spacing w:before="0" w:beforeAutospacing="0" w:after="120" w:afterAutospacing="0"/>
        <w:ind w:left="432" w:right="432"/>
        <w:rPr>
          <w:rFonts w:asciiTheme="majorHAnsi" w:hAnsiTheme="majorHAnsi" w:cstheme="majorHAnsi"/>
          <w:i/>
        </w:rPr>
      </w:pPr>
      <w:r w:rsidRPr="00597C9B">
        <w:rPr>
          <w:rFonts w:asciiTheme="majorHAnsi" w:hAnsiTheme="majorHAnsi" w:cstheme="majorHAnsi"/>
          <w:i/>
        </w:rPr>
        <w:t>“The formal program governance structures will be utilised to ensure broad-based engagement and transparent decision-making in relation to the preparation, review and approval of the 5</w:t>
      </w:r>
      <w:r w:rsidRPr="00597C9B">
        <w:rPr>
          <w:rFonts w:asciiTheme="majorHAnsi" w:hAnsiTheme="majorHAnsi" w:cstheme="majorHAnsi"/>
          <w:i/>
          <w:vertAlign w:val="superscript"/>
        </w:rPr>
        <w:t>th</w:t>
      </w:r>
      <w:r w:rsidRPr="00597C9B">
        <w:rPr>
          <w:rFonts w:asciiTheme="majorHAnsi" w:hAnsiTheme="majorHAnsi" w:cstheme="majorHAnsi"/>
          <w:i/>
        </w:rPr>
        <w:t xml:space="preserve"> Annual Plan” (</w:t>
      </w:r>
      <w:r w:rsidRPr="006A5B51">
        <w:rPr>
          <w:rFonts w:asciiTheme="majorHAnsi" w:hAnsiTheme="majorHAnsi" w:cstheme="majorHAnsi"/>
          <w:i/>
        </w:rPr>
        <w:t>Cardno Emerging Markets</w:t>
      </w:r>
      <w:r w:rsidRPr="00597C9B">
        <w:rPr>
          <w:rFonts w:asciiTheme="majorHAnsi" w:hAnsiTheme="majorHAnsi" w:cstheme="majorHAnsi"/>
          <w:i/>
        </w:rPr>
        <w:t>, SMPR 8, p. 74).</w:t>
      </w:r>
    </w:p>
    <w:p w14:paraId="2711EC09" w14:textId="77777777" w:rsidR="008D0CAD" w:rsidRDefault="008D0CAD" w:rsidP="007B6836">
      <w:pPr>
        <w:spacing w:before="100" w:beforeAutospacing="1" w:after="100" w:afterAutospacing="1" w:line="360" w:lineRule="auto"/>
        <w:rPr>
          <w:rFonts w:asciiTheme="majorHAnsi" w:hAnsiTheme="majorHAnsi" w:cstheme="majorHAnsi"/>
        </w:rPr>
      </w:pPr>
      <w:r>
        <w:rPr>
          <w:rFonts w:asciiTheme="majorHAnsi" w:hAnsiTheme="majorHAnsi" w:cstheme="majorHAnsi"/>
        </w:rPr>
        <w:t xml:space="preserve">Thus, it was clear that the BEST Program Management itself, recognised that there were problems with program governance and that adjustments had to be initiated during AP4. </w:t>
      </w:r>
    </w:p>
    <w:p w14:paraId="7598DC13" w14:textId="2CE240E1" w:rsidR="008D0CAD" w:rsidRDefault="008D0CAD" w:rsidP="007B6836">
      <w:pPr>
        <w:spacing w:before="100" w:beforeAutospacing="1" w:after="100" w:afterAutospacing="1" w:line="360" w:lineRule="auto"/>
        <w:rPr>
          <w:rFonts w:asciiTheme="majorHAnsi" w:hAnsiTheme="majorHAnsi" w:cstheme="majorHAnsi"/>
        </w:rPr>
      </w:pPr>
      <w:r>
        <w:rPr>
          <w:rFonts w:asciiTheme="majorHAnsi" w:hAnsiTheme="majorHAnsi" w:cstheme="majorHAnsi"/>
        </w:rPr>
        <w:t>Moreover</w:t>
      </w:r>
      <w:r w:rsidRPr="006A5B51">
        <w:rPr>
          <w:rFonts w:asciiTheme="majorHAnsi" w:hAnsiTheme="majorHAnsi" w:cstheme="majorHAnsi"/>
        </w:rPr>
        <w:t xml:space="preserve">, the FC </w:t>
      </w:r>
      <w:r>
        <w:rPr>
          <w:rFonts w:asciiTheme="majorHAnsi" w:hAnsiTheme="majorHAnsi" w:cstheme="majorHAnsi"/>
        </w:rPr>
        <w:t>reported that at the start of Program implementation,</w:t>
      </w:r>
      <w:r w:rsidRPr="006A5B51">
        <w:rPr>
          <w:rFonts w:asciiTheme="majorHAnsi" w:hAnsiTheme="majorHAnsi" w:cstheme="majorHAnsi"/>
        </w:rPr>
        <w:t xml:space="preserve"> two program management systems for monitoring </w:t>
      </w:r>
      <w:r>
        <w:rPr>
          <w:rFonts w:asciiTheme="majorHAnsi" w:hAnsiTheme="majorHAnsi" w:cstheme="majorHAnsi"/>
        </w:rPr>
        <w:t>––</w:t>
      </w:r>
      <w:r w:rsidRPr="006A5B51">
        <w:rPr>
          <w:rFonts w:asciiTheme="majorHAnsi" w:hAnsiTheme="majorHAnsi" w:cstheme="majorHAnsi"/>
        </w:rPr>
        <w:t xml:space="preserve"> the Activity Implementation and Control System (AICS) and the BEST Decision Support System (DSS)</w:t>
      </w:r>
      <w:r>
        <w:rPr>
          <w:rFonts w:asciiTheme="majorHAnsi" w:hAnsiTheme="majorHAnsi" w:cstheme="majorHAnsi"/>
        </w:rPr>
        <w:t xml:space="preserve"> ––were</w:t>
      </w:r>
      <w:r w:rsidRPr="006A5B51">
        <w:rPr>
          <w:rFonts w:asciiTheme="majorHAnsi" w:hAnsiTheme="majorHAnsi" w:cstheme="majorHAnsi"/>
        </w:rPr>
        <w:t xml:space="preserve"> operationali</w:t>
      </w:r>
      <w:r>
        <w:rPr>
          <w:rFonts w:asciiTheme="majorHAnsi" w:hAnsiTheme="majorHAnsi" w:cstheme="majorHAnsi"/>
        </w:rPr>
        <w:t xml:space="preserve">sed </w:t>
      </w:r>
      <w:r w:rsidRPr="006A5B51">
        <w:rPr>
          <w:rFonts w:asciiTheme="majorHAnsi" w:hAnsiTheme="majorHAnsi" w:cstheme="majorHAnsi"/>
        </w:rPr>
        <w:t>(</w:t>
      </w:r>
      <w:r>
        <w:rPr>
          <w:rFonts w:asciiTheme="majorHAnsi" w:hAnsiTheme="majorHAnsi" w:cstheme="majorHAnsi"/>
        </w:rPr>
        <w:t xml:space="preserve">Cardno Emerging Markets, </w:t>
      </w:r>
      <w:r w:rsidRPr="006A5B51">
        <w:rPr>
          <w:rFonts w:asciiTheme="majorHAnsi" w:hAnsiTheme="majorHAnsi" w:cstheme="majorHAnsi"/>
        </w:rPr>
        <w:t>SMPR 1, p. 28).</w:t>
      </w:r>
      <w:r w:rsidR="00D434EB">
        <w:rPr>
          <w:rFonts w:asciiTheme="majorHAnsi" w:hAnsiTheme="majorHAnsi" w:cstheme="majorHAnsi"/>
        </w:rPr>
        <w:t xml:space="preserve"> </w:t>
      </w:r>
      <w:r w:rsidRPr="006A5B51">
        <w:rPr>
          <w:rFonts w:asciiTheme="majorHAnsi" w:hAnsiTheme="majorHAnsi" w:cstheme="majorHAnsi"/>
        </w:rPr>
        <w:t xml:space="preserve">The AICS </w:t>
      </w:r>
      <w:r>
        <w:rPr>
          <w:rFonts w:asciiTheme="majorHAnsi" w:hAnsiTheme="majorHAnsi" w:cstheme="majorHAnsi"/>
        </w:rPr>
        <w:t>was defined as “</w:t>
      </w:r>
      <w:r w:rsidRPr="006A5B51">
        <w:rPr>
          <w:rFonts w:asciiTheme="majorHAnsi" w:hAnsiTheme="majorHAnsi" w:cstheme="majorHAnsi"/>
          <w:i/>
        </w:rPr>
        <w:t xml:space="preserve">a mechanism for tracking efficiency and measuring effectiveness of activities to be implemented by </w:t>
      </w:r>
      <w:r>
        <w:rPr>
          <w:rFonts w:asciiTheme="majorHAnsi" w:hAnsiTheme="majorHAnsi" w:cstheme="majorHAnsi"/>
          <w:i/>
        </w:rPr>
        <w:t>DepEd</w:t>
      </w:r>
      <w:r w:rsidRPr="006A5B51">
        <w:rPr>
          <w:rFonts w:asciiTheme="majorHAnsi" w:hAnsiTheme="majorHAnsi" w:cstheme="majorHAnsi"/>
          <w:i/>
        </w:rPr>
        <w:t xml:space="preserve"> and partners under BEST. It is a mechanism for governance which defines the </w:t>
      </w:r>
      <w:r>
        <w:rPr>
          <w:rFonts w:asciiTheme="majorHAnsi" w:hAnsiTheme="majorHAnsi" w:cstheme="majorHAnsi"/>
          <w:i/>
        </w:rPr>
        <w:t>‘</w:t>
      </w:r>
      <w:r w:rsidRPr="006A5B51">
        <w:rPr>
          <w:rFonts w:asciiTheme="majorHAnsi" w:hAnsiTheme="majorHAnsi" w:cstheme="majorHAnsi"/>
          <w:i/>
        </w:rPr>
        <w:t>business</w:t>
      </w:r>
      <w:r>
        <w:rPr>
          <w:rFonts w:asciiTheme="majorHAnsi" w:hAnsiTheme="majorHAnsi" w:cstheme="majorHAnsi"/>
          <w:i/>
        </w:rPr>
        <w:t>’</w:t>
      </w:r>
      <w:r w:rsidRPr="006A5B51">
        <w:rPr>
          <w:rFonts w:asciiTheme="majorHAnsi" w:hAnsiTheme="majorHAnsi" w:cstheme="majorHAnsi"/>
          <w:i/>
        </w:rPr>
        <w:t xml:space="preserve"> process for managing all BEST supported activities. All </w:t>
      </w:r>
      <w:r>
        <w:rPr>
          <w:rFonts w:asciiTheme="majorHAnsi" w:hAnsiTheme="majorHAnsi" w:cstheme="majorHAnsi"/>
          <w:i/>
        </w:rPr>
        <w:t>DepEd</w:t>
      </w:r>
      <w:r w:rsidRPr="006A5B51">
        <w:rPr>
          <w:rFonts w:asciiTheme="majorHAnsi" w:hAnsiTheme="majorHAnsi" w:cstheme="majorHAnsi"/>
          <w:i/>
        </w:rPr>
        <w:t xml:space="preserve"> and non-</w:t>
      </w:r>
      <w:r>
        <w:rPr>
          <w:rFonts w:asciiTheme="majorHAnsi" w:hAnsiTheme="majorHAnsi" w:cstheme="majorHAnsi"/>
          <w:i/>
        </w:rPr>
        <w:t>DepEd</w:t>
      </w:r>
      <w:r w:rsidRPr="006A5B51">
        <w:rPr>
          <w:rFonts w:asciiTheme="majorHAnsi" w:hAnsiTheme="majorHAnsi" w:cstheme="majorHAnsi"/>
          <w:i/>
        </w:rPr>
        <w:t xml:space="preserve"> partners will be oriented on the processes and requirements of the system</w:t>
      </w:r>
      <w:r>
        <w:rPr>
          <w:rFonts w:asciiTheme="majorHAnsi" w:hAnsiTheme="majorHAnsi" w:cstheme="majorHAnsi"/>
        </w:rPr>
        <w:t>”</w:t>
      </w:r>
      <w:r w:rsidRPr="006A5B51">
        <w:rPr>
          <w:rFonts w:asciiTheme="majorHAnsi" w:hAnsiTheme="majorHAnsi" w:cstheme="majorHAnsi"/>
        </w:rPr>
        <w:t>.</w:t>
      </w:r>
      <w:r w:rsidR="00D434EB">
        <w:rPr>
          <w:rFonts w:asciiTheme="majorHAnsi" w:hAnsiTheme="majorHAnsi" w:cstheme="majorHAnsi"/>
        </w:rPr>
        <w:t xml:space="preserve"> </w:t>
      </w:r>
    </w:p>
    <w:p w14:paraId="043FB7B2" w14:textId="7EDFBFF7" w:rsidR="008D0CAD" w:rsidRDefault="008D0CAD" w:rsidP="002320B3">
      <w:pPr>
        <w:spacing w:after="120"/>
        <w:rPr>
          <w:rFonts w:asciiTheme="majorHAnsi" w:hAnsiTheme="majorHAnsi" w:cstheme="majorHAnsi"/>
        </w:rPr>
      </w:pPr>
      <w:r>
        <w:rPr>
          <w:rFonts w:asciiTheme="majorHAnsi" w:hAnsiTheme="majorHAnsi" w:cstheme="majorHAnsi"/>
        </w:rPr>
        <w:t>On the other hand, the DSS was defined as “</w:t>
      </w:r>
      <w:r w:rsidRPr="006A5B51">
        <w:rPr>
          <w:rFonts w:asciiTheme="majorHAnsi" w:hAnsiTheme="majorHAnsi" w:cstheme="majorHAnsi"/>
          <w:i/>
        </w:rPr>
        <w:t>a web-based database</w:t>
      </w:r>
      <w:r w:rsidRPr="00625E80">
        <w:rPr>
          <w:rFonts w:asciiTheme="majorHAnsi" w:hAnsiTheme="majorHAnsi" w:cstheme="majorHAnsi"/>
        </w:rPr>
        <w:t xml:space="preserve"> </w:t>
      </w:r>
      <w:r w:rsidRPr="006A5B51">
        <w:rPr>
          <w:rFonts w:asciiTheme="majorHAnsi" w:hAnsiTheme="majorHAnsi" w:cstheme="majorHAnsi"/>
          <w:i/>
        </w:rPr>
        <w:t xml:space="preserve">application that will serve as the program’s information and communication technology platform. It will provide information on program baseline, interventions, and results. Implementation of the system will include installation and training of selected </w:t>
      </w:r>
      <w:r>
        <w:rPr>
          <w:rFonts w:asciiTheme="majorHAnsi" w:hAnsiTheme="majorHAnsi" w:cstheme="majorHAnsi"/>
          <w:i/>
        </w:rPr>
        <w:t>DepEd</w:t>
      </w:r>
      <w:r w:rsidRPr="006A5B51">
        <w:rPr>
          <w:rFonts w:asciiTheme="majorHAnsi" w:hAnsiTheme="majorHAnsi" w:cstheme="majorHAnsi"/>
          <w:i/>
        </w:rPr>
        <w:t xml:space="preserve"> staff and implementing partners on how to access, use, and manage the system</w:t>
      </w:r>
      <w:r>
        <w:rPr>
          <w:rFonts w:asciiTheme="majorHAnsi" w:hAnsiTheme="majorHAnsi" w:cstheme="majorHAnsi"/>
        </w:rPr>
        <w:t xml:space="preserve">” </w:t>
      </w:r>
      <w:r w:rsidRPr="006A5B51">
        <w:rPr>
          <w:rFonts w:asciiTheme="majorHAnsi" w:hAnsiTheme="majorHAnsi" w:cstheme="majorHAnsi"/>
        </w:rPr>
        <w:t>(</w:t>
      </w:r>
      <w:r>
        <w:rPr>
          <w:rFonts w:asciiTheme="majorHAnsi" w:hAnsiTheme="majorHAnsi" w:cstheme="majorHAnsi"/>
        </w:rPr>
        <w:t xml:space="preserve">Cardno Emerging Markets, </w:t>
      </w:r>
      <w:r w:rsidRPr="006A5B51">
        <w:rPr>
          <w:rFonts w:asciiTheme="majorHAnsi" w:hAnsiTheme="majorHAnsi" w:cstheme="majorHAnsi"/>
        </w:rPr>
        <w:t>SMPR 1, p. 28)</w:t>
      </w:r>
      <w:r>
        <w:rPr>
          <w:rFonts w:asciiTheme="majorHAnsi" w:hAnsiTheme="majorHAnsi" w:cstheme="majorHAnsi"/>
        </w:rPr>
        <w:t>.</w:t>
      </w:r>
      <w:r w:rsidR="00D434EB">
        <w:rPr>
          <w:rFonts w:asciiTheme="majorHAnsi" w:hAnsiTheme="majorHAnsi" w:cstheme="majorHAnsi"/>
        </w:rPr>
        <w:t xml:space="preserve"> </w:t>
      </w:r>
    </w:p>
    <w:p w14:paraId="1B76E5A2" w14:textId="68D46AD4" w:rsidR="008D0CAD" w:rsidRDefault="008D0CAD" w:rsidP="007B6836">
      <w:pPr>
        <w:spacing w:before="100" w:beforeAutospacing="1" w:after="100" w:afterAutospacing="1" w:line="360" w:lineRule="auto"/>
        <w:rPr>
          <w:rFonts w:asciiTheme="majorHAnsi" w:hAnsiTheme="majorHAnsi" w:cstheme="majorHAnsi"/>
        </w:rPr>
      </w:pPr>
      <w:r>
        <w:rPr>
          <w:rFonts w:asciiTheme="majorHAnsi" w:hAnsiTheme="majorHAnsi" w:cstheme="majorHAnsi"/>
        </w:rPr>
        <w:t xml:space="preserve">The </w:t>
      </w:r>
      <w:r w:rsidRPr="001B1AFA">
        <w:rPr>
          <w:rFonts w:asciiTheme="majorHAnsi" w:hAnsiTheme="majorHAnsi" w:cstheme="majorHAnsi"/>
          <w:color w:val="000000" w:themeColor="text1"/>
        </w:rPr>
        <w:t>full operationali</w:t>
      </w:r>
      <w:r>
        <w:rPr>
          <w:rFonts w:asciiTheme="majorHAnsi" w:hAnsiTheme="majorHAnsi" w:cstheme="majorHAnsi"/>
          <w:color w:val="000000" w:themeColor="text1"/>
        </w:rPr>
        <w:t>s</w:t>
      </w:r>
      <w:r w:rsidRPr="001B1AFA">
        <w:rPr>
          <w:rFonts w:asciiTheme="majorHAnsi" w:hAnsiTheme="majorHAnsi" w:cstheme="majorHAnsi"/>
          <w:color w:val="000000" w:themeColor="text1"/>
        </w:rPr>
        <w:t>ation of these two systems would have strengthened the program M&amp;E.</w:t>
      </w:r>
      <w:r w:rsidR="00D434EB">
        <w:rPr>
          <w:rFonts w:asciiTheme="majorHAnsi" w:hAnsiTheme="majorHAnsi" w:cstheme="majorHAnsi"/>
          <w:color w:val="000000" w:themeColor="text1"/>
        </w:rPr>
        <w:t xml:space="preserve"> </w:t>
      </w:r>
      <w:r w:rsidRPr="001B1AFA">
        <w:rPr>
          <w:rFonts w:asciiTheme="majorHAnsi" w:hAnsiTheme="majorHAnsi" w:cstheme="majorHAnsi"/>
          <w:color w:val="000000" w:themeColor="text1"/>
        </w:rPr>
        <w:t>But it was only operationalized</w:t>
      </w:r>
      <w:r>
        <w:rPr>
          <w:rFonts w:asciiTheme="majorHAnsi" w:hAnsiTheme="majorHAnsi" w:cstheme="majorHAnsi"/>
          <w:color w:val="000000" w:themeColor="text1"/>
        </w:rPr>
        <w:t xml:space="preserve"> in</w:t>
      </w:r>
      <w:r w:rsidRPr="001B1AFA">
        <w:rPr>
          <w:rFonts w:asciiTheme="majorHAnsi" w:hAnsiTheme="majorHAnsi" w:cstheme="majorHAnsi"/>
          <w:color w:val="000000" w:themeColor="text1"/>
        </w:rPr>
        <w:t xml:space="preserve"> the latter half of 2018</w:t>
      </w:r>
      <w:r w:rsidRPr="001B1AFA">
        <w:rPr>
          <w:rFonts w:asciiTheme="majorHAnsi" w:hAnsiTheme="majorHAnsi" w:cstheme="majorHAnsi"/>
          <w:color w:val="000000" w:themeColor="text1"/>
          <w:sz w:val="22"/>
          <w:szCs w:val="22"/>
        </w:rPr>
        <w:t xml:space="preserve"> </w:t>
      </w:r>
      <w:r>
        <w:rPr>
          <w:rFonts w:asciiTheme="majorHAnsi" w:hAnsiTheme="majorHAnsi" w:cstheme="majorHAnsi"/>
        </w:rPr>
        <w:t>as noted in SMPR 9 (July – December 2018):</w:t>
      </w:r>
      <w:r>
        <w:rPr>
          <w:rStyle w:val="FootnoteReference"/>
          <w:rFonts w:asciiTheme="majorHAnsi" w:eastAsia="Arial Unicode MS" w:hAnsiTheme="majorHAnsi" w:cstheme="majorHAnsi"/>
        </w:rPr>
        <w:footnoteReference w:id="101"/>
      </w:r>
    </w:p>
    <w:p w14:paraId="3B5433A5" w14:textId="77777777" w:rsidR="008D0CAD" w:rsidRPr="00663D6C" w:rsidRDefault="008D0CAD" w:rsidP="002320B3">
      <w:pPr>
        <w:spacing w:after="120"/>
        <w:ind w:left="432" w:right="432"/>
        <w:rPr>
          <w:rFonts w:asciiTheme="majorHAnsi" w:hAnsiTheme="majorHAnsi" w:cstheme="majorHAnsi"/>
          <w:i/>
        </w:rPr>
      </w:pPr>
      <w:r w:rsidRPr="00931837">
        <w:rPr>
          <w:rFonts w:asciiTheme="majorHAnsi" w:hAnsiTheme="majorHAnsi" w:cstheme="majorHAnsi"/>
          <w:i/>
        </w:rPr>
        <w:t>“Decision Support System (DSS), an updated online M&amp;E and reporting platform, was operationalised during this period to replace the previous database platform and to improve the collection of data on the program’s activities and outputs. Mandatory activity reporting by all BEST teams is now done through the DSS, which allows for systematic reporting on implementation progress and outputs and links progress towards the achievement of target outcomes set in the BEST M&amp;E Framework. The DSS also enables collection of information on immediate outcomes such as improvements in training participants’ knowledge through pre-training and post-training assessments as well as early qualitative observations of process or institutional changes arising from the application of new knowledge and / or use of outputs, now regularly reported at the TWG” (Cardno Emerging Markets, 2019, p. 6)</w:t>
      </w:r>
      <w:r>
        <w:rPr>
          <w:rFonts w:asciiTheme="majorHAnsi" w:hAnsiTheme="majorHAnsi" w:cstheme="majorHAnsi"/>
          <w:i/>
        </w:rPr>
        <w:t>.</w:t>
      </w:r>
    </w:p>
    <w:p w14:paraId="284E18D6" w14:textId="447E9036" w:rsidR="008D0CAD" w:rsidRDefault="008D0CAD" w:rsidP="007B6836">
      <w:pPr>
        <w:spacing w:before="100" w:beforeAutospacing="1" w:after="100" w:afterAutospacing="1" w:line="360" w:lineRule="auto"/>
        <w:rPr>
          <w:rFonts w:asciiTheme="majorHAnsi" w:hAnsiTheme="majorHAnsi" w:cstheme="majorHAnsi"/>
        </w:rPr>
      </w:pPr>
      <w:r>
        <w:rPr>
          <w:rFonts w:asciiTheme="majorHAnsi" w:hAnsiTheme="majorHAnsi" w:cstheme="majorHAnsi"/>
        </w:rPr>
        <w:t xml:space="preserve">Another key </w:t>
      </w:r>
      <w:r w:rsidRPr="005342CC">
        <w:rPr>
          <w:rFonts w:asciiTheme="majorHAnsi" w:hAnsiTheme="majorHAnsi" w:cstheme="majorHAnsi"/>
        </w:rPr>
        <w:t>issue</w:t>
      </w:r>
      <w:r>
        <w:rPr>
          <w:rFonts w:asciiTheme="majorHAnsi" w:hAnsiTheme="majorHAnsi" w:cstheme="majorHAnsi"/>
        </w:rPr>
        <w:t xml:space="preserve"> uncovered by the Study was the issue in locating </w:t>
      </w:r>
      <w:r w:rsidRPr="005342CC">
        <w:rPr>
          <w:rFonts w:asciiTheme="majorHAnsi" w:hAnsiTheme="majorHAnsi" w:cstheme="majorHAnsi"/>
        </w:rPr>
        <w:t>the Program Management Office</w:t>
      </w:r>
      <w:r>
        <w:rPr>
          <w:rFonts w:asciiTheme="majorHAnsi" w:hAnsiTheme="majorHAnsi" w:cstheme="majorHAnsi"/>
        </w:rPr>
        <w:t>.</w:t>
      </w:r>
      <w:r w:rsidR="00D434EB">
        <w:rPr>
          <w:rFonts w:asciiTheme="majorHAnsi" w:hAnsiTheme="majorHAnsi" w:cstheme="majorHAnsi"/>
        </w:rPr>
        <w:t xml:space="preserve"> </w:t>
      </w:r>
      <w:r>
        <w:rPr>
          <w:rFonts w:asciiTheme="majorHAnsi" w:hAnsiTheme="majorHAnsi" w:cstheme="majorHAnsi"/>
        </w:rPr>
        <w:t xml:space="preserve">The FC </w:t>
      </w:r>
      <w:r w:rsidRPr="00D236C5">
        <w:rPr>
          <w:rFonts w:asciiTheme="majorHAnsi" w:hAnsiTheme="majorHAnsi" w:cstheme="majorHAnsi"/>
        </w:rPr>
        <w:t xml:space="preserve">was originally expected to be embedded within </w:t>
      </w:r>
      <w:r>
        <w:rPr>
          <w:rFonts w:asciiTheme="majorHAnsi" w:hAnsiTheme="majorHAnsi" w:cstheme="majorHAnsi"/>
        </w:rPr>
        <w:t>DepEd</w:t>
      </w:r>
      <w:r w:rsidRPr="00D236C5">
        <w:rPr>
          <w:rFonts w:asciiTheme="majorHAnsi" w:hAnsiTheme="majorHAnsi" w:cstheme="majorHAnsi"/>
        </w:rPr>
        <w:t xml:space="preserve"> </w:t>
      </w:r>
      <w:r>
        <w:rPr>
          <w:rFonts w:asciiTheme="majorHAnsi" w:hAnsiTheme="majorHAnsi" w:cstheme="majorHAnsi"/>
        </w:rPr>
        <w:t xml:space="preserve">as a strategy </w:t>
      </w:r>
      <w:r w:rsidRPr="00D236C5">
        <w:rPr>
          <w:rFonts w:asciiTheme="majorHAnsi" w:hAnsiTheme="majorHAnsi" w:cstheme="majorHAnsi"/>
        </w:rPr>
        <w:t>to build internal project management capacity</w:t>
      </w:r>
      <w:r>
        <w:rPr>
          <w:rFonts w:asciiTheme="majorHAnsi" w:hAnsiTheme="majorHAnsi" w:cstheme="majorHAnsi"/>
        </w:rPr>
        <w:t xml:space="preserve"> of the Department.</w:t>
      </w:r>
      <w:r w:rsidR="00D434EB">
        <w:rPr>
          <w:rFonts w:asciiTheme="majorHAnsi" w:hAnsiTheme="majorHAnsi" w:cstheme="majorHAnsi"/>
        </w:rPr>
        <w:t xml:space="preserve"> </w:t>
      </w:r>
      <w:r>
        <w:rPr>
          <w:rFonts w:asciiTheme="majorHAnsi" w:hAnsiTheme="majorHAnsi" w:cstheme="majorHAnsi"/>
        </w:rPr>
        <w:t xml:space="preserve">Instead, the </w:t>
      </w:r>
      <w:r w:rsidRPr="00467A19">
        <w:rPr>
          <w:rFonts w:asciiTheme="majorHAnsi" w:hAnsiTheme="majorHAnsi" w:cstheme="majorHAnsi"/>
        </w:rPr>
        <w:t>Program Support and Coordination Office (PSCO)</w:t>
      </w:r>
      <w:r>
        <w:rPr>
          <w:rFonts w:asciiTheme="majorHAnsi" w:hAnsiTheme="majorHAnsi" w:cstheme="majorHAnsi"/>
        </w:rPr>
        <w:t xml:space="preserve"> was set up in a hotel near DepEd Central Office,</w:t>
      </w:r>
      <w:r w:rsidRPr="005342CC">
        <w:rPr>
          <w:rFonts w:asciiTheme="majorHAnsi" w:hAnsiTheme="majorHAnsi" w:cstheme="majorHAnsi"/>
        </w:rPr>
        <w:t xml:space="preserve"> </w:t>
      </w:r>
      <w:r>
        <w:rPr>
          <w:rFonts w:asciiTheme="majorHAnsi" w:hAnsiTheme="majorHAnsi" w:cstheme="majorHAnsi"/>
        </w:rPr>
        <w:t>after the FC determined that the workplace conditions and safety standards of the building assigned to the BEST Program was deemed inadequate.</w:t>
      </w:r>
      <w:r w:rsidR="00D434EB">
        <w:rPr>
          <w:rFonts w:asciiTheme="majorHAnsi" w:hAnsiTheme="majorHAnsi" w:cstheme="majorHAnsi"/>
        </w:rPr>
        <w:t xml:space="preserve"> </w:t>
      </w:r>
      <w:r>
        <w:rPr>
          <w:rFonts w:asciiTheme="majorHAnsi" w:hAnsiTheme="majorHAnsi" w:cstheme="majorHAnsi"/>
        </w:rPr>
        <w:t>To most of the CO respondents, the decision not to locate the PMO within the DepEd compound was seen as a serious setback and a hindering factor.</w:t>
      </w:r>
      <w:r>
        <w:rPr>
          <w:rStyle w:val="FootnoteReference"/>
          <w:rFonts w:asciiTheme="majorHAnsi" w:eastAsia="Arial Unicode MS" w:hAnsiTheme="majorHAnsi" w:cstheme="majorHAnsi"/>
        </w:rPr>
        <w:footnoteReference w:id="102"/>
      </w:r>
      <w:r w:rsidR="00D434EB">
        <w:rPr>
          <w:rFonts w:asciiTheme="majorHAnsi" w:hAnsiTheme="majorHAnsi" w:cstheme="majorHAnsi"/>
        </w:rPr>
        <w:t xml:space="preserve"> </w:t>
      </w:r>
    </w:p>
    <w:p w14:paraId="571B7FB1" w14:textId="77777777" w:rsidR="008D0CAD" w:rsidRDefault="008D0CAD" w:rsidP="007B6836">
      <w:pPr>
        <w:spacing w:before="100" w:beforeAutospacing="1" w:after="100" w:afterAutospacing="1" w:line="360" w:lineRule="auto"/>
        <w:rPr>
          <w:rFonts w:asciiTheme="majorHAnsi" w:hAnsiTheme="majorHAnsi" w:cstheme="majorHAnsi"/>
        </w:rPr>
      </w:pPr>
      <w:r>
        <w:rPr>
          <w:rFonts w:asciiTheme="majorHAnsi" w:hAnsiTheme="majorHAnsi" w:cstheme="majorHAnsi"/>
        </w:rPr>
        <w:t>Partnership was another key issue with Program implementation. Initially, the FC reported that it conducted p</w:t>
      </w:r>
      <w:r w:rsidRPr="00D236C5">
        <w:rPr>
          <w:rFonts w:asciiTheme="majorHAnsi" w:hAnsiTheme="majorHAnsi" w:cstheme="majorHAnsi"/>
        </w:rPr>
        <w:t>artnership meeting</w:t>
      </w:r>
      <w:r>
        <w:rPr>
          <w:rFonts w:asciiTheme="majorHAnsi" w:hAnsiTheme="majorHAnsi" w:cstheme="majorHAnsi"/>
        </w:rPr>
        <w:t>s</w:t>
      </w:r>
      <w:r w:rsidRPr="00D236C5">
        <w:rPr>
          <w:rFonts w:asciiTheme="majorHAnsi" w:hAnsiTheme="majorHAnsi" w:cstheme="majorHAnsi"/>
        </w:rPr>
        <w:t xml:space="preserve"> with all existing partners</w:t>
      </w:r>
      <w:r>
        <w:rPr>
          <w:rFonts w:asciiTheme="majorHAnsi" w:hAnsiTheme="majorHAnsi" w:cstheme="majorHAnsi"/>
        </w:rPr>
        <w:t xml:space="preserve"> (namely </w:t>
      </w:r>
      <w:r w:rsidRPr="00D236C5">
        <w:rPr>
          <w:rFonts w:asciiTheme="majorHAnsi" w:hAnsiTheme="majorHAnsi" w:cstheme="majorHAnsi"/>
        </w:rPr>
        <w:t>CHED, PBED, ACTRC, RCTQ, and PBSP</w:t>
      </w:r>
      <w:r>
        <w:rPr>
          <w:rFonts w:asciiTheme="majorHAnsi" w:hAnsiTheme="majorHAnsi" w:cstheme="majorHAnsi"/>
        </w:rPr>
        <w:t>).</w:t>
      </w:r>
      <w:r>
        <w:rPr>
          <w:rStyle w:val="FootnoteReference"/>
          <w:rFonts w:asciiTheme="majorHAnsi" w:eastAsia="Arial Unicode MS" w:hAnsiTheme="majorHAnsi" w:cstheme="majorHAnsi"/>
        </w:rPr>
        <w:footnoteReference w:id="103"/>
      </w:r>
      <w:r>
        <w:rPr>
          <w:rFonts w:asciiTheme="majorHAnsi" w:hAnsiTheme="majorHAnsi" w:cstheme="majorHAnsi"/>
        </w:rPr>
        <w:t xml:space="preserve"> However, the IPR noted that “</w:t>
      </w:r>
      <w:r w:rsidRPr="00597C9B">
        <w:rPr>
          <w:rFonts w:asciiTheme="majorHAnsi" w:hAnsiTheme="majorHAnsi" w:cstheme="majorHAnsi"/>
          <w:i/>
        </w:rPr>
        <w:t>Due to the gradual start-up it does not appear that a partnership meeting with all existing partners (PBEd, PBSP, RCTQ and ACTRC) and specialists was convened to discuss reporting arrangements, work programs and to establish working arrangements</w:t>
      </w:r>
      <w:r>
        <w:rPr>
          <w:rFonts w:asciiTheme="majorHAnsi" w:hAnsiTheme="majorHAnsi" w:cstheme="majorHAnsi"/>
        </w:rPr>
        <w:t>” (IPR, p. 23)</w:t>
      </w:r>
      <w:r w:rsidRPr="00467A19">
        <w:rPr>
          <w:rFonts w:asciiTheme="majorHAnsi" w:hAnsiTheme="majorHAnsi" w:cstheme="majorHAnsi"/>
        </w:rPr>
        <w:t xml:space="preserve">. </w:t>
      </w:r>
    </w:p>
    <w:p w14:paraId="54FE7ABF" w14:textId="0A7E8326" w:rsidR="008D0CAD" w:rsidRDefault="008D0CAD" w:rsidP="007B6836">
      <w:pPr>
        <w:spacing w:before="100" w:beforeAutospacing="1" w:after="100" w:afterAutospacing="1" w:line="360" w:lineRule="auto"/>
        <w:rPr>
          <w:rFonts w:asciiTheme="majorHAnsi" w:hAnsiTheme="majorHAnsi" w:cstheme="majorHAnsi"/>
        </w:rPr>
      </w:pPr>
      <w:r w:rsidRPr="00467A19">
        <w:rPr>
          <w:rFonts w:asciiTheme="majorHAnsi" w:hAnsiTheme="majorHAnsi" w:cstheme="majorHAnsi"/>
        </w:rPr>
        <w:t>The</w:t>
      </w:r>
      <w:r>
        <w:rPr>
          <w:rFonts w:asciiTheme="majorHAnsi" w:hAnsiTheme="majorHAnsi" w:cstheme="majorHAnsi"/>
        </w:rPr>
        <w:t xml:space="preserve"> EOPE Study further validated the inadequate relationships between the FC and the BEST implementing </w:t>
      </w:r>
      <w:r w:rsidRPr="00467A19">
        <w:rPr>
          <w:rFonts w:asciiTheme="majorHAnsi" w:hAnsiTheme="majorHAnsi" w:cstheme="majorHAnsi"/>
        </w:rPr>
        <w:t>partners.</w:t>
      </w:r>
      <w:r>
        <w:rPr>
          <w:rStyle w:val="FootnoteReference"/>
          <w:rFonts w:asciiTheme="majorHAnsi" w:eastAsia="Arial Unicode MS" w:hAnsiTheme="majorHAnsi" w:cstheme="majorHAnsi"/>
        </w:rPr>
        <w:footnoteReference w:id="104"/>
      </w:r>
      <w:r w:rsidR="00D434EB">
        <w:rPr>
          <w:rFonts w:asciiTheme="majorHAnsi" w:hAnsiTheme="majorHAnsi" w:cstheme="majorHAnsi"/>
        </w:rPr>
        <w:t xml:space="preserve"> </w:t>
      </w:r>
      <w:r>
        <w:rPr>
          <w:rFonts w:asciiTheme="majorHAnsi" w:hAnsiTheme="majorHAnsi" w:cstheme="majorHAnsi"/>
        </w:rPr>
        <w:t>The Implementing Partners noted the following arrangements:</w:t>
      </w:r>
      <w:r w:rsidR="00D434EB">
        <w:rPr>
          <w:rFonts w:asciiTheme="majorHAnsi" w:hAnsiTheme="majorHAnsi" w:cstheme="majorHAnsi"/>
        </w:rPr>
        <w:t xml:space="preserve"> </w:t>
      </w:r>
      <w:r>
        <w:rPr>
          <w:rFonts w:asciiTheme="majorHAnsi" w:hAnsiTheme="majorHAnsi" w:cstheme="majorHAnsi"/>
        </w:rPr>
        <w:t>that they dealt directly with DFAT and DepEd and received directions from DepEd (in terms of program directions).</w:t>
      </w:r>
      <w:r w:rsidR="00D434EB">
        <w:rPr>
          <w:rFonts w:asciiTheme="majorHAnsi" w:hAnsiTheme="majorHAnsi" w:cstheme="majorHAnsi"/>
        </w:rPr>
        <w:t xml:space="preserve"> </w:t>
      </w:r>
      <w:r>
        <w:rPr>
          <w:rFonts w:asciiTheme="majorHAnsi" w:hAnsiTheme="majorHAnsi" w:cstheme="majorHAnsi"/>
        </w:rPr>
        <w:t>Further, they submitted reports directly to DFAT with copies furnished to the FC.</w:t>
      </w:r>
      <w:r w:rsidR="00D434EB">
        <w:rPr>
          <w:rFonts w:asciiTheme="majorHAnsi" w:hAnsiTheme="majorHAnsi" w:cstheme="majorHAnsi"/>
        </w:rPr>
        <w:t xml:space="preserve"> </w:t>
      </w:r>
      <w:r>
        <w:rPr>
          <w:rFonts w:asciiTheme="majorHAnsi" w:hAnsiTheme="majorHAnsi" w:cstheme="majorHAnsi"/>
        </w:rPr>
        <w:t>The Implementing Partners continued to receive funding directly from DFAT.</w:t>
      </w:r>
    </w:p>
    <w:p w14:paraId="41B7DC3C" w14:textId="77777777" w:rsidR="008D0CAD" w:rsidRPr="00AF3DF2" w:rsidRDefault="008D0CAD" w:rsidP="007B6836">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rPr>
        <w:t xml:space="preserve">As a result, the FC and the Implementing Partners may have failed to optimize their partnerships thereby missing opportunities to leverage on each other’s strengths. To illustrate examples, refer to </w:t>
      </w:r>
      <w:r w:rsidRPr="002B377B">
        <w:rPr>
          <w:rFonts w:asciiTheme="majorHAnsi" w:hAnsiTheme="majorHAnsi" w:cstheme="majorHAnsi"/>
          <w:color w:val="000000" w:themeColor="text1"/>
        </w:rPr>
        <w:t xml:space="preserve">Section </w:t>
      </w:r>
      <w:r w:rsidRPr="007D6909">
        <w:rPr>
          <w:rFonts w:asciiTheme="majorHAnsi" w:hAnsiTheme="majorHAnsi" w:cstheme="majorHAnsi"/>
          <w:color w:val="000000" w:themeColor="text1"/>
        </w:rPr>
        <w:t>3.3.2 on Classroom Construction, Section 3.2.2.1.5 on PBEd and Section 3.2.2.1 on TPQI</w:t>
      </w:r>
      <w:r w:rsidRPr="00AF3DF2">
        <w:rPr>
          <w:rFonts w:asciiTheme="majorHAnsi" w:hAnsiTheme="majorHAnsi" w:cstheme="majorHAnsi"/>
          <w:color w:val="C00000"/>
        </w:rPr>
        <w:t>.</w:t>
      </w:r>
    </w:p>
    <w:p w14:paraId="4588C463" w14:textId="73C55E65" w:rsidR="008D0CAD" w:rsidRDefault="008D0CAD" w:rsidP="007B6836">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color w:val="000000" w:themeColor="text1"/>
        </w:rPr>
        <w:t>F</w:t>
      </w:r>
      <w:r w:rsidRPr="0065657F">
        <w:rPr>
          <w:rFonts w:asciiTheme="majorHAnsi" w:hAnsiTheme="majorHAnsi" w:cstheme="majorHAnsi"/>
          <w:color w:val="000000" w:themeColor="text1"/>
        </w:rPr>
        <w:t>urther</w:t>
      </w:r>
      <w:r>
        <w:rPr>
          <w:rFonts w:asciiTheme="majorHAnsi" w:hAnsiTheme="majorHAnsi" w:cstheme="majorHAnsi"/>
          <w:color w:val="000000" w:themeColor="text1"/>
        </w:rPr>
        <w:t>,</w:t>
      </w:r>
      <w:r w:rsidRPr="0065657F">
        <w:rPr>
          <w:rFonts w:asciiTheme="majorHAnsi" w:hAnsiTheme="majorHAnsi" w:cstheme="majorHAnsi"/>
          <w:color w:val="000000" w:themeColor="text1"/>
        </w:rPr>
        <w:t xml:space="preserve"> SMPR 1 </w:t>
      </w:r>
      <w:r>
        <w:rPr>
          <w:rFonts w:asciiTheme="majorHAnsi" w:hAnsiTheme="majorHAnsi" w:cstheme="majorHAnsi"/>
          <w:color w:val="000000" w:themeColor="text1"/>
        </w:rPr>
        <w:t>reported</w:t>
      </w:r>
      <w:r w:rsidRPr="0065657F">
        <w:rPr>
          <w:rFonts w:asciiTheme="majorHAnsi" w:hAnsiTheme="majorHAnsi" w:cstheme="majorHAnsi"/>
          <w:color w:val="000000" w:themeColor="text1"/>
        </w:rPr>
        <w:t xml:space="preserve"> that a scoping study was conducted to identify program needs and to schedule priorities</w:t>
      </w:r>
      <w:r>
        <w:rPr>
          <w:rFonts w:asciiTheme="majorHAnsi" w:hAnsiTheme="majorHAnsi" w:cstheme="majorHAnsi"/>
          <w:color w:val="000000" w:themeColor="text1"/>
        </w:rPr>
        <w:t xml:space="preserve"> at the start of implementation</w:t>
      </w:r>
      <w:r w:rsidRPr="0065657F">
        <w:rPr>
          <w:rFonts w:asciiTheme="majorHAnsi" w:hAnsiTheme="majorHAnsi" w:cstheme="majorHAnsi"/>
          <w:color w:val="000000" w:themeColor="text1"/>
        </w:rPr>
        <w:t>.</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A</w:t>
      </w:r>
      <w:r w:rsidRPr="0065657F">
        <w:rPr>
          <w:rFonts w:asciiTheme="majorHAnsi" w:hAnsiTheme="majorHAnsi" w:cstheme="majorHAnsi"/>
          <w:color w:val="000000" w:themeColor="text1"/>
        </w:rPr>
        <w:t>ccording to some respondents</w:t>
      </w:r>
      <w:r w:rsidRPr="0065657F">
        <w:rPr>
          <w:rStyle w:val="FootnoteReference"/>
          <w:rFonts w:asciiTheme="majorHAnsi" w:eastAsia="Arial Unicode MS" w:hAnsiTheme="majorHAnsi" w:cstheme="majorHAnsi"/>
          <w:color w:val="000000" w:themeColor="text1"/>
        </w:rPr>
        <w:footnoteReference w:id="105"/>
      </w:r>
      <w:r w:rsidRPr="0065657F">
        <w:rPr>
          <w:rFonts w:asciiTheme="majorHAnsi" w:hAnsiTheme="majorHAnsi" w:cstheme="majorHAnsi"/>
          <w:color w:val="000000" w:themeColor="text1"/>
        </w:rPr>
        <w:t xml:space="preserve">, Regional Directors were initially excited </w:t>
      </w:r>
      <w:r>
        <w:rPr>
          <w:rFonts w:asciiTheme="majorHAnsi" w:hAnsiTheme="majorHAnsi" w:cstheme="majorHAnsi"/>
          <w:color w:val="000000" w:themeColor="text1"/>
        </w:rPr>
        <w:t xml:space="preserve">during this scoping study particularly </w:t>
      </w:r>
      <w:r w:rsidRPr="0065657F">
        <w:rPr>
          <w:rFonts w:asciiTheme="majorHAnsi" w:hAnsiTheme="majorHAnsi" w:cstheme="majorHAnsi"/>
          <w:color w:val="000000" w:themeColor="text1"/>
        </w:rPr>
        <w:t xml:space="preserve">when </w:t>
      </w:r>
      <w:r>
        <w:rPr>
          <w:rFonts w:asciiTheme="majorHAnsi" w:hAnsiTheme="majorHAnsi" w:cstheme="majorHAnsi"/>
          <w:color w:val="000000" w:themeColor="text1"/>
        </w:rPr>
        <w:t>regions</w:t>
      </w:r>
      <w:r w:rsidRPr="0065657F">
        <w:rPr>
          <w:rFonts w:asciiTheme="majorHAnsi" w:hAnsiTheme="majorHAnsi" w:cstheme="majorHAnsi"/>
          <w:color w:val="000000" w:themeColor="text1"/>
        </w:rPr>
        <w:t xml:space="preserve"> were asked to prepare regional project proposals.</w:t>
      </w:r>
      <w:r w:rsidR="00D434EB">
        <w:rPr>
          <w:rFonts w:asciiTheme="majorHAnsi" w:hAnsiTheme="majorHAnsi" w:cstheme="majorHAnsi"/>
          <w:color w:val="000000" w:themeColor="text1"/>
        </w:rPr>
        <w:t xml:space="preserve"> </w:t>
      </w:r>
      <w:r w:rsidRPr="0065657F">
        <w:rPr>
          <w:rFonts w:asciiTheme="majorHAnsi" w:hAnsiTheme="majorHAnsi" w:cstheme="majorHAnsi"/>
          <w:color w:val="000000" w:themeColor="text1"/>
        </w:rPr>
        <w:t xml:space="preserve">One respondent </w:t>
      </w:r>
      <w:r>
        <w:rPr>
          <w:rFonts w:asciiTheme="majorHAnsi" w:hAnsiTheme="majorHAnsi" w:cstheme="majorHAnsi"/>
          <w:color w:val="000000" w:themeColor="text1"/>
        </w:rPr>
        <w:t>stated</w:t>
      </w:r>
      <w:r w:rsidRPr="0065657F">
        <w:rPr>
          <w:rFonts w:asciiTheme="majorHAnsi" w:hAnsiTheme="majorHAnsi" w:cstheme="majorHAnsi"/>
          <w:color w:val="000000" w:themeColor="text1"/>
        </w:rPr>
        <w:t xml:space="preserve"> that presenting the project proposal was likened to </w:t>
      </w:r>
      <w:r>
        <w:rPr>
          <w:rFonts w:asciiTheme="majorHAnsi" w:hAnsiTheme="majorHAnsi" w:cstheme="majorHAnsi"/>
          <w:color w:val="000000" w:themeColor="text1"/>
        </w:rPr>
        <w:t>“</w:t>
      </w:r>
      <w:r w:rsidRPr="0065657F">
        <w:rPr>
          <w:rFonts w:asciiTheme="majorHAnsi" w:hAnsiTheme="majorHAnsi" w:cstheme="majorHAnsi"/>
          <w:color w:val="000000" w:themeColor="text1"/>
        </w:rPr>
        <w:t>making a dissertation defense</w:t>
      </w:r>
      <w:r>
        <w:rPr>
          <w:rFonts w:asciiTheme="majorHAnsi" w:hAnsiTheme="majorHAnsi" w:cstheme="majorHAnsi"/>
          <w:color w:val="000000" w:themeColor="text1"/>
        </w:rPr>
        <w:t>”</w:t>
      </w:r>
      <w:r w:rsidRPr="0065657F">
        <w:rPr>
          <w:rFonts w:asciiTheme="majorHAnsi" w:hAnsiTheme="majorHAnsi" w:cstheme="majorHAnsi"/>
          <w:color w:val="000000" w:themeColor="text1"/>
        </w:rPr>
        <w:t xml:space="preserve">. </w:t>
      </w:r>
      <w:r>
        <w:rPr>
          <w:rFonts w:asciiTheme="majorHAnsi" w:hAnsiTheme="majorHAnsi" w:cstheme="majorHAnsi"/>
          <w:color w:val="000000" w:themeColor="text1"/>
        </w:rPr>
        <w:t>Disappointments rose when nothing happened after the proposal presentations were made and no feedback/communication was given to explain what happened.</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These respondents accepted the idea that the BEST Program was earmarked only for the Central Office as the reason why their proposals were not approved. </w:t>
      </w:r>
    </w:p>
    <w:p w14:paraId="2AE2D498" w14:textId="75C34213" w:rsidR="008D0CAD" w:rsidRDefault="008D0CAD" w:rsidP="007B6836">
      <w:pPr>
        <w:spacing w:before="100" w:beforeAutospacing="1" w:after="100" w:afterAutospacing="1" w:line="360" w:lineRule="auto"/>
        <w:rPr>
          <w:rFonts w:asciiTheme="majorHAnsi" w:hAnsiTheme="majorHAnsi" w:cstheme="majorHAnsi"/>
        </w:rPr>
      </w:pPr>
      <w:r>
        <w:rPr>
          <w:rFonts w:asciiTheme="majorHAnsi" w:hAnsiTheme="majorHAnsi" w:cstheme="majorHAnsi"/>
          <w:color w:val="000000" w:themeColor="text1"/>
        </w:rPr>
        <w:t>Hope was revived in 2017, however, when Regions were once again asked to submit Concept Notes during AP4 planning.</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The SMPR 8 noted that “</w:t>
      </w:r>
      <w:r w:rsidRPr="007B6ABC">
        <w:rPr>
          <w:rFonts w:asciiTheme="majorHAnsi" w:hAnsiTheme="majorHAnsi" w:cstheme="majorHAnsi"/>
          <w:i/>
        </w:rPr>
        <w:t xml:space="preserve">With this strategic framework designed, a meeting was held with Regional Directors and Central Office Directors of </w:t>
      </w:r>
      <w:r>
        <w:rPr>
          <w:rFonts w:asciiTheme="majorHAnsi" w:hAnsiTheme="majorHAnsi" w:cstheme="majorHAnsi"/>
          <w:i/>
        </w:rPr>
        <w:t>DepEd</w:t>
      </w:r>
      <w:r w:rsidRPr="007B6ABC">
        <w:rPr>
          <w:rFonts w:asciiTheme="majorHAnsi" w:hAnsiTheme="majorHAnsi" w:cstheme="majorHAnsi"/>
          <w:i/>
        </w:rPr>
        <w:t xml:space="preserve"> at which all stakeholders were encouraged to develop their own concept note proposals</w:t>
      </w:r>
      <w:r>
        <w:rPr>
          <w:rFonts w:asciiTheme="majorHAnsi" w:hAnsiTheme="majorHAnsi" w:cstheme="majorHAnsi"/>
        </w:rPr>
        <w:t xml:space="preserve">” </w:t>
      </w:r>
      <w:r w:rsidRPr="00597C9B">
        <w:rPr>
          <w:rFonts w:asciiTheme="majorHAnsi" w:hAnsiTheme="majorHAnsi" w:cstheme="majorHAnsi"/>
          <w:i/>
        </w:rPr>
        <w:t>(</w:t>
      </w:r>
      <w:r w:rsidRPr="006A5B51">
        <w:rPr>
          <w:rFonts w:asciiTheme="majorHAnsi" w:hAnsiTheme="majorHAnsi" w:cstheme="majorHAnsi"/>
          <w:i/>
        </w:rPr>
        <w:t>Cardno Emerging Markets</w:t>
      </w:r>
      <w:r w:rsidRPr="00597C9B">
        <w:rPr>
          <w:rFonts w:asciiTheme="majorHAnsi" w:hAnsiTheme="majorHAnsi" w:cstheme="majorHAnsi"/>
          <w:i/>
        </w:rPr>
        <w:t xml:space="preserve">, SMPR 8, p. </w:t>
      </w:r>
      <w:r>
        <w:rPr>
          <w:rFonts w:asciiTheme="majorHAnsi" w:hAnsiTheme="majorHAnsi" w:cstheme="majorHAnsi"/>
          <w:i/>
        </w:rPr>
        <w:t>16</w:t>
      </w:r>
      <w:r w:rsidRPr="00597C9B">
        <w:rPr>
          <w:rFonts w:asciiTheme="majorHAnsi" w:hAnsiTheme="majorHAnsi" w:cstheme="majorHAnsi"/>
          <w:i/>
        </w:rPr>
        <w:t>)</w:t>
      </w:r>
      <w:r w:rsidRPr="007B6ABC">
        <w:rPr>
          <w:rFonts w:asciiTheme="majorHAnsi" w:hAnsiTheme="majorHAnsi" w:cstheme="majorHAnsi"/>
        </w:rPr>
        <w:t>.</w:t>
      </w:r>
    </w:p>
    <w:p w14:paraId="5B02A1C2" w14:textId="77777777" w:rsidR="008D0CAD" w:rsidRPr="007F77AE" w:rsidRDefault="008D0CAD" w:rsidP="007B6836">
      <w:pPr>
        <w:spacing w:before="100" w:beforeAutospacing="1" w:after="100" w:afterAutospacing="1" w:line="360" w:lineRule="auto"/>
        <w:rPr>
          <w:rFonts w:asciiTheme="majorHAnsi" w:hAnsiTheme="majorHAnsi" w:cstheme="majorHAnsi"/>
          <w:b/>
          <w:bCs/>
          <w:color w:val="0070C0"/>
        </w:rPr>
      </w:pPr>
      <w:bookmarkStart w:id="176" w:name="_Toc15887265"/>
      <w:r w:rsidRPr="007F77AE">
        <w:rPr>
          <w:rFonts w:asciiTheme="majorHAnsi" w:hAnsiTheme="majorHAnsi" w:cstheme="majorHAnsi"/>
          <w:b/>
          <w:bCs/>
          <w:color w:val="0070C0"/>
        </w:rPr>
        <w:t>Phase 2: February 2015 - April 2016</w:t>
      </w:r>
      <w:r w:rsidRPr="007F77AE">
        <w:rPr>
          <w:rStyle w:val="FootnoteReference"/>
          <w:rFonts w:asciiTheme="majorHAnsi" w:eastAsia="Arial Unicode MS" w:hAnsiTheme="majorHAnsi" w:cstheme="majorHAnsi"/>
          <w:b/>
          <w:bCs/>
          <w:color w:val="0070C0"/>
        </w:rPr>
        <w:footnoteReference w:id="106"/>
      </w:r>
      <w:bookmarkEnd w:id="176"/>
    </w:p>
    <w:p w14:paraId="0F0487D1" w14:textId="77777777" w:rsidR="008D0CAD" w:rsidRDefault="008D0CAD" w:rsidP="007B6836">
      <w:pPr>
        <w:spacing w:before="100" w:beforeAutospacing="1" w:after="100" w:afterAutospacing="1" w:line="360" w:lineRule="auto"/>
        <w:rPr>
          <w:rFonts w:asciiTheme="majorHAnsi" w:hAnsiTheme="majorHAnsi" w:cstheme="majorHAnsi"/>
        </w:rPr>
      </w:pPr>
      <w:r>
        <w:rPr>
          <w:rFonts w:asciiTheme="majorHAnsi" w:hAnsiTheme="majorHAnsi" w:cstheme="majorHAnsi"/>
        </w:rPr>
        <w:t xml:space="preserve">The </w:t>
      </w:r>
      <w:r w:rsidRPr="00467A19">
        <w:rPr>
          <w:rFonts w:asciiTheme="majorHAnsi" w:hAnsiTheme="majorHAnsi" w:cstheme="majorHAnsi"/>
        </w:rPr>
        <w:t>second phase</w:t>
      </w:r>
      <w:r>
        <w:rPr>
          <w:rFonts w:asciiTheme="majorHAnsi" w:hAnsiTheme="majorHAnsi" w:cstheme="majorHAnsi"/>
        </w:rPr>
        <w:t xml:space="preserve"> of Program implementation, which the IPR called the resource build-up phase both </w:t>
      </w:r>
      <w:r w:rsidRPr="00467A19">
        <w:rPr>
          <w:rFonts w:asciiTheme="majorHAnsi" w:hAnsiTheme="majorHAnsi" w:cstheme="majorHAnsi"/>
        </w:rPr>
        <w:t xml:space="preserve">within the </w:t>
      </w:r>
      <w:r>
        <w:rPr>
          <w:rFonts w:asciiTheme="majorHAnsi" w:hAnsiTheme="majorHAnsi" w:cstheme="majorHAnsi"/>
        </w:rPr>
        <w:t>FC</w:t>
      </w:r>
      <w:r w:rsidRPr="00467A19">
        <w:rPr>
          <w:rFonts w:asciiTheme="majorHAnsi" w:hAnsiTheme="majorHAnsi" w:cstheme="majorHAnsi"/>
        </w:rPr>
        <w:t xml:space="preserve"> and in </w:t>
      </w:r>
      <w:r>
        <w:rPr>
          <w:rFonts w:asciiTheme="majorHAnsi" w:hAnsiTheme="majorHAnsi" w:cstheme="majorHAnsi"/>
        </w:rPr>
        <w:t>DepEd.</w:t>
      </w:r>
      <w:r w:rsidRPr="00467A19">
        <w:rPr>
          <w:rFonts w:asciiTheme="majorHAnsi" w:hAnsiTheme="majorHAnsi" w:cstheme="majorHAnsi"/>
        </w:rPr>
        <w:t xml:space="preserve"> </w:t>
      </w:r>
      <w:r>
        <w:rPr>
          <w:rFonts w:asciiTheme="majorHAnsi" w:hAnsiTheme="majorHAnsi" w:cstheme="majorHAnsi"/>
        </w:rPr>
        <w:t xml:space="preserve">A massive build-up of personnel occurred </w:t>
      </w:r>
      <w:r w:rsidRPr="00467A19">
        <w:rPr>
          <w:rFonts w:asciiTheme="majorHAnsi" w:hAnsiTheme="majorHAnsi" w:cstheme="majorHAnsi"/>
        </w:rPr>
        <w:t xml:space="preserve">to address emerging program issues </w:t>
      </w:r>
      <w:r>
        <w:rPr>
          <w:rFonts w:asciiTheme="majorHAnsi" w:hAnsiTheme="majorHAnsi" w:cstheme="majorHAnsi"/>
        </w:rPr>
        <w:t>as well as program</w:t>
      </w:r>
      <w:r w:rsidRPr="00467A19">
        <w:rPr>
          <w:rFonts w:asciiTheme="majorHAnsi" w:hAnsiTheme="majorHAnsi" w:cstheme="majorHAnsi"/>
        </w:rPr>
        <w:t xml:space="preserve"> demands</w:t>
      </w:r>
      <w:r>
        <w:rPr>
          <w:rFonts w:asciiTheme="majorHAnsi" w:hAnsiTheme="majorHAnsi" w:cstheme="majorHAnsi"/>
        </w:rPr>
        <w:t>.</w:t>
      </w:r>
    </w:p>
    <w:p w14:paraId="3BDB0576" w14:textId="5ECAB6A1" w:rsidR="008D0CAD" w:rsidRDefault="008D0CAD" w:rsidP="007B6836">
      <w:pPr>
        <w:pStyle w:val="NormalWeb"/>
        <w:spacing w:line="360" w:lineRule="auto"/>
        <w:rPr>
          <w:rFonts w:asciiTheme="majorHAnsi" w:hAnsiTheme="majorHAnsi" w:cstheme="majorHAnsi"/>
        </w:rPr>
      </w:pPr>
      <w:r w:rsidRPr="00D308CD">
        <w:rPr>
          <w:rFonts w:asciiTheme="majorHAnsi" w:hAnsiTheme="majorHAnsi" w:cstheme="majorHAnsi"/>
        </w:rPr>
        <w:t>The IPR noted that “</w:t>
      </w:r>
      <w:r w:rsidRPr="006309DE">
        <w:rPr>
          <w:rFonts w:asciiTheme="majorHAnsi" w:hAnsiTheme="majorHAnsi" w:cstheme="majorHAnsi"/>
          <w:i/>
        </w:rPr>
        <w:t xml:space="preserve">Significant portions of the program were driven by </w:t>
      </w:r>
      <w:r>
        <w:rPr>
          <w:rFonts w:asciiTheme="majorHAnsi" w:hAnsiTheme="majorHAnsi" w:cstheme="majorHAnsi"/>
          <w:i/>
        </w:rPr>
        <w:t>DepEd</w:t>
      </w:r>
      <w:r w:rsidRPr="006309DE">
        <w:rPr>
          <w:rFonts w:asciiTheme="majorHAnsi" w:hAnsiTheme="majorHAnsi" w:cstheme="majorHAnsi"/>
          <w:i/>
        </w:rPr>
        <w:t>’s continuation of pre-existing programs such as organisational development, continuous improvement, information systems development and monitoring and evaluation. Others appear to have been more ad hoc and ‘specialist driven’ such as the investment in the LACs and Inclusive Education. At one stage the Facilitating Contractor had over 100 staff</w:t>
      </w:r>
      <w:r>
        <w:rPr>
          <w:rFonts w:asciiTheme="majorHAnsi" w:hAnsiTheme="majorHAnsi" w:cstheme="majorHAnsi"/>
        </w:rPr>
        <w:t>” (IPR, p. 24)</w:t>
      </w:r>
      <w:r w:rsidRPr="00D308CD">
        <w:rPr>
          <w:rFonts w:asciiTheme="majorHAnsi" w:hAnsiTheme="majorHAnsi" w:cstheme="majorHAnsi"/>
        </w:rPr>
        <w:t>.</w:t>
      </w:r>
      <w:r w:rsidR="00D434EB">
        <w:rPr>
          <w:rFonts w:asciiTheme="majorHAnsi" w:hAnsiTheme="majorHAnsi" w:cstheme="majorHAnsi"/>
        </w:rPr>
        <w:t xml:space="preserve"> </w:t>
      </w:r>
    </w:p>
    <w:p w14:paraId="5C6D63F8" w14:textId="21CD35B4" w:rsidR="008D0CAD" w:rsidRDefault="008D0CAD" w:rsidP="007B6836">
      <w:pPr>
        <w:pStyle w:val="NormalWeb"/>
        <w:spacing w:line="360" w:lineRule="auto"/>
        <w:rPr>
          <w:rFonts w:asciiTheme="majorHAnsi" w:hAnsiTheme="majorHAnsi" w:cstheme="majorHAnsi"/>
          <w:color w:val="000000" w:themeColor="text1"/>
        </w:rPr>
      </w:pPr>
      <w:r>
        <w:rPr>
          <w:rFonts w:asciiTheme="majorHAnsi" w:hAnsiTheme="majorHAnsi" w:cstheme="majorHAnsi"/>
          <w:color w:val="000000" w:themeColor="text1"/>
        </w:rPr>
        <w:t>On the side of the FC, this massive increase in personnel came with additional problems. R</w:t>
      </w:r>
      <w:r w:rsidRPr="006309DE">
        <w:rPr>
          <w:rFonts w:asciiTheme="majorHAnsi" w:hAnsiTheme="majorHAnsi" w:cstheme="majorHAnsi"/>
          <w:color w:val="000000" w:themeColor="text1"/>
        </w:rPr>
        <w:t>espondents</w:t>
      </w:r>
      <w:r>
        <w:rPr>
          <w:rFonts w:asciiTheme="majorHAnsi" w:hAnsiTheme="majorHAnsi" w:cstheme="majorHAnsi"/>
          <w:color w:val="000000" w:themeColor="text1"/>
        </w:rPr>
        <w:t xml:space="preserve"> from DepEd Central Office Operating Units</w:t>
      </w:r>
      <w:r w:rsidRPr="006309DE">
        <w:rPr>
          <w:rStyle w:val="FootnoteReference"/>
          <w:rFonts w:asciiTheme="majorHAnsi" w:eastAsia="Arial Unicode MS" w:hAnsiTheme="majorHAnsi" w:cstheme="majorHAnsi"/>
          <w:color w:val="000000" w:themeColor="text1"/>
        </w:rPr>
        <w:footnoteReference w:id="107"/>
      </w:r>
      <w:r w:rsidRPr="006309DE">
        <w:rPr>
          <w:rFonts w:asciiTheme="majorHAnsi" w:hAnsiTheme="majorHAnsi" w:cstheme="majorHAnsi"/>
          <w:color w:val="000000" w:themeColor="text1"/>
        </w:rPr>
        <w:t xml:space="preserve"> noted that during this time, there were </w:t>
      </w:r>
      <w:r>
        <w:rPr>
          <w:rFonts w:asciiTheme="majorHAnsi" w:hAnsiTheme="majorHAnsi" w:cstheme="majorHAnsi"/>
          <w:color w:val="000000" w:themeColor="text1"/>
        </w:rPr>
        <w:t xml:space="preserve">so many </w:t>
      </w:r>
      <w:r w:rsidRPr="006309DE">
        <w:rPr>
          <w:rFonts w:asciiTheme="majorHAnsi" w:hAnsiTheme="majorHAnsi" w:cstheme="majorHAnsi"/>
          <w:color w:val="000000" w:themeColor="text1"/>
        </w:rPr>
        <w:t xml:space="preserve">technical consultants </w:t>
      </w:r>
      <w:r>
        <w:rPr>
          <w:rFonts w:asciiTheme="majorHAnsi" w:hAnsiTheme="majorHAnsi" w:cstheme="majorHAnsi"/>
          <w:color w:val="000000" w:themeColor="text1"/>
        </w:rPr>
        <w:t xml:space="preserve">but some </w:t>
      </w:r>
      <w:r w:rsidRPr="006309DE">
        <w:rPr>
          <w:rFonts w:asciiTheme="majorHAnsi" w:hAnsiTheme="majorHAnsi" w:cstheme="majorHAnsi"/>
          <w:color w:val="000000" w:themeColor="text1"/>
        </w:rPr>
        <w:t>were not competent in their field</w:t>
      </w:r>
      <w:r>
        <w:rPr>
          <w:rFonts w:asciiTheme="majorHAnsi" w:hAnsiTheme="majorHAnsi" w:cstheme="majorHAnsi"/>
          <w:color w:val="000000" w:themeColor="text1"/>
        </w:rPr>
        <w:t>s</w:t>
      </w:r>
      <w:r w:rsidRPr="006309DE">
        <w:rPr>
          <w:rFonts w:asciiTheme="majorHAnsi" w:hAnsiTheme="majorHAnsi" w:cstheme="majorHAnsi"/>
          <w:color w:val="000000" w:themeColor="text1"/>
        </w:rPr>
        <w:t xml:space="preserve"> or at the very least were not knowledgeable about the education sector.</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They also observed that these Consultants did not coordinate their work amongst themselves. </w:t>
      </w:r>
      <w:r w:rsidRPr="006309DE">
        <w:rPr>
          <w:rFonts w:asciiTheme="majorHAnsi" w:hAnsiTheme="majorHAnsi" w:cstheme="majorHAnsi"/>
          <w:color w:val="000000" w:themeColor="text1"/>
        </w:rPr>
        <w:t xml:space="preserve">It was </w:t>
      </w:r>
      <w:r>
        <w:rPr>
          <w:rFonts w:asciiTheme="majorHAnsi" w:hAnsiTheme="majorHAnsi" w:cstheme="majorHAnsi"/>
          <w:color w:val="000000" w:themeColor="text1"/>
        </w:rPr>
        <w:t>also</w:t>
      </w:r>
      <w:r w:rsidRPr="006309DE">
        <w:rPr>
          <w:rFonts w:asciiTheme="majorHAnsi" w:hAnsiTheme="majorHAnsi" w:cstheme="majorHAnsi"/>
          <w:color w:val="000000" w:themeColor="text1"/>
        </w:rPr>
        <w:t xml:space="preserve"> noted that one OU almost rejected a report provided by the Technical </w:t>
      </w:r>
      <w:r w:rsidRPr="0065657F">
        <w:rPr>
          <w:rFonts w:asciiTheme="majorHAnsi" w:hAnsiTheme="majorHAnsi" w:cstheme="majorHAnsi"/>
          <w:color w:val="000000" w:themeColor="text1"/>
        </w:rPr>
        <w:t xml:space="preserve">Consultant, but they eventually accepted </w:t>
      </w:r>
      <w:r>
        <w:rPr>
          <w:rFonts w:asciiTheme="majorHAnsi" w:hAnsiTheme="majorHAnsi" w:cstheme="majorHAnsi"/>
          <w:color w:val="000000" w:themeColor="text1"/>
        </w:rPr>
        <w:t xml:space="preserve">the output </w:t>
      </w:r>
      <w:r w:rsidRPr="0065657F">
        <w:rPr>
          <w:rFonts w:asciiTheme="majorHAnsi" w:hAnsiTheme="majorHAnsi" w:cstheme="majorHAnsi"/>
          <w:color w:val="000000" w:themeColor="text1"/>
        </w:rPr>
        <w:t>after reaching a compromise.</w:t>
      </w:r>
      <w:r w:rsidRPr="0065657F">
        <w:rPr>
          <w:rStyle w:val="FootnoteReference"/>
          <w:rFonts w:asciiTheme="majorHAnsi" w:eastAsia="Arial Unicode MS" w:hAnsiTheme="majorHAnsi" w:cstheme="majorHAnsi"/>
          <w:color w:val="000000" w:themeColor="text1"/>
        </w:rPr>
        <w:footnoteReference w:id="108"/>
      </w:r>
    </w:p>
    <w:p w14:paraId="6BA114B5" w14:textId="444724BA" w:rsidR="008D0CAD" w:rsidRPr="0065657F" w:rsidRDefault="008D0CAD" w:rsidP="007B6836">
      <w:pPr>
        <w:pStyle w:val="NormalWeb"/>
        <w:spacing w:line="360" w:lineRule="auto"/>
        <w:rPr>
          <w:rFonts w:asciiTheme="majorHAnsi" w:hAnsiTheme="majorHAnsi" w:cstheme="majorHAnsi"/>
          <w:color w:val="000000" w:themeColor="text1"/>
        </w:rPr>
      </w:pPr>
      <w:r>
        <w:rPr>
          <w:rFonts w:asciiTheme="majorHAnsi" w:hAnsiTheme="majorHAnsi" w:cstheme="majorHAnsi"/>
          <w:color w:val="000000" w:themeColor="text1"/>
        </w:rPr>
        <w:t>DepEd, on the other hand, was undergoing a massive organisational change during the critical years of program implementation.</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The Rationalization Plan</w:t>
      </w:r>
      <w:r>
        <w:rPr>
          <w:rStyle w:val="FootnoteReference"/>
          <w:rFonts w:asciiTheme="majorHAnsi" w:eastAsia="Arial Unicode MS" w:hAnsiTheme="majorHAnsi" w:cstheme="majorHAnsi"/>
          <w:color w:val="000000" w:themeColor="text1"/>
        </w:rPr>
        <w:footnoteReference w:id="109"/>
      </w:r>
      <w:r>
        <w:rPr>
          <w:rFonts w:asciiTheme="majorHAnsi" w:hAnsiTheme="majorHAnsi" w:cstheme="majorHAnsi"/>
          <w:color w:val="000000" w:themeColor="text1"/>
        </w:rPr>
        <w:t xml:space="preserve"> (organisational restructure), which was a national initiative covering the entire Philippine bureaucracy, consumed significant management attention.</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Thus, during 2015-2016 period, DepEd was thick in the process of hiring new people into the organisation.</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This was the reason why m</w:t>
      </w:r>
      <w:r w:rsidRPr="002A72A5">
        <w:rPr>
          <w:rFonts w:asciiTheme="majorHAnsi" w:hAnsiTheme="majorHAnsi" w:cstheme="majorHAnsi"/>
          <w:color w:val="000000" w:themeColor="text1"/>
        </w:rPr>
        <w:t xml:space="preserve">ost of the new entrants to the </w:t>
      </w:r>
      <w:r>
        <w:rPr>
          <w:rFonts w:asciiTheme="majorHAnsi" w:hAnsiTheme="majorHAnsi" w:cstheme="majorHAnsi"/>
          <w:color w:val="000000" w:themeColor="text1"/>
        </w:rPr>
        <w:t>DepEd</w:t>
      </w:r>
      <w:r w:rsidRPr="002A72A5">
        <w:rPr>
          <w:rFonts w:asciiTheme="majorHAnsi" w:hAnsiTheme="majorHAnsi" w:cstheme="majorHAnsi"/>
          <w:color w:val="000000" w:themeColor="text1"/>
        </w:rPr>
        <w:t xml:space="preserve"> Central Office were not aware of the BEST Program.</w:t>
      </w:r>
      <w:r>
        <w:rPr>
          <w:rStyle w:val="FootnoteReference"/>
          <w:rFonts w:asciiTheme="majorHAnsi" w:eastAsia="Arial Unicode MS" w:hAnsiTheme="majorHAnsi" w:cstheme="majorHAnsi"/>
          <w:color w:val="000000" w:themeColor="text1"/>
        </w:rPr>
        <w:footnoteReference w:id="110"/>
      </w:r>
    </w:p>
    <w:p w14:paraId="1DA44803" w14:textId="7FC79E17" w:rsidR="008D0CAD" w:rsidRDefault="008D0CAD" w:rsidP="007B6836">
      <w:pPr>
        <w:pStyle w:val="NormalWeb"/>
        <w:spacing w:line="360" w:lineRule="auto"/>
        <w:rPr>
          <w:rFonts w:asciiTheme="majorHAnsi" w:hAnsiTheme="majorHAnsi" w:cstheme="majorHAnsi"/>
          <w:color w:val="000000" w:themeColor="text1"/>
        </w:rPr>
      </w:pPr>
      <w:r>
        <w:rPr>
          <w:rFonts w:asciiTheme="majorHAnsi" w:hAnsiTheme="majorHAnsi" w:cstheme="majorHAnsi"/>
          <w:color w:val="000000" w:themeColor="text1"/>
        </w:rPr>
        <w:t xml:space="preserve">Moreover, another </w:t>
      </w:r>
      <w:r w:rsidRPr="00226117">
        <w:rPr>
          <w:rFonts w:asciiTheme="majorHAnsi" w:hAnsiTheme="majorHAnsi" w:cstheme="majorHAnsi"/>
          <w:color w:val="000000" w:themeColor="text1"/>
        </w:rPr>
        <w:t>respondent</w:t>
      </w:r>
      <w:r>
        <w:rPr>
          <w:rStyle w:val="FootnoteReference"/>
          <w:rFonts w:asciiTheme="majorHAnsi" w:eastAsia="Arial Unicode MS" w:hAnsiTheme="majorHAnsi" w:cstheme="majorHAnsi"/>
          <w:color w:val="000000" w:themeColor="text1"/>
        </w:rPr>
        <w:footnoteReference w:id="111"/>
      </w:r>
      <w:r w:rsidRPr="00226117">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interviewed remarked </w:t>
      </w:r>
      <w:r w:rsidRPr="00226117">
        <w:rPr>
          <w:rFonts w:asciiTheme="majorHAnsi" w:hAnsiTheme="majorHAnsi" w:cstheme="majorHAnsi"/>
          <w:color w:val="000000" w:themeColor="text1"/>
        </w:rPr>
        <w:t>that there were so many different kinds of training programs being offered which the respondent felt were not relevant to the Program outcomes such as: Workshop on Practical Tips in Job Application</w:t>
      </w:r>
      <w:r w:rsidRPr="00226117">
        <w:rPr>
          <w:rStyle w:val="FootnoteReference"/>
          <w:rFonts w:asciiTheme="majorHAnsi" w:eastAsia="Arial Unicode MS" w:hAnsiTheme="majorHAnsi" w:cstheme="majorHAnsi"/>
          <w:color w:val="000000" w:themeColor="text1"/>
        </w:rPr>
        <w:footnoteReference w:id="112"/>
      </w:r>
      <w:r w:rsidRPr="00226117">
        <w:rPr>
          <w:rFonts w:asciiTheme="majorHAnsi" w:hAnsiTheme="majorHAnsi" w:cstheme="majorHAnsi"/>
          <w:color w:val="000000" w:themeColor="text1"/>
        </w:rPr>
        <w:t>; and Training on Hiring the Right People and Training on Mediation</w:t>
      </w:r>
      <w:r w:rsidRPr="00226117">
        <w:rPr>
          <w:rStyle w:val="FootnoteReference"/>
          <w:rFonts w:asciiTheme="majorHAnsi" w:eastAsia="Arial Unicode MS" w:hAnsiTheme="majorHAnsi" w:cstheme="majorHAnsi"/>
          <w:color w:val="000000" w:themeColor="text1"/>
        </w:rPr>
        <w:footnoteReference w:id="113"/>
      </w:r>
      <w:r w:rsidRPr="00226117">
        <w:rPr>
          <w:rFonts w:asciiTheme="majorHAnsi" w:hAnsiTheme="majorHAnsi" w:cstheme="majorHAnsi"/>
          <w:color w:val="000000" w:themeColor="text1"/>
        </w:rPr>
        <w:t>.</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T</w:t>
      </w:r>
      <w:r w:rsidRPr="00226117">
        <w:rPr>
          <w:rFonts w:asciiTheme="majorHAnsi" w:hAnsiTheme="majorHAnsi" w:cstheme="majorHAnsi"/>
          <w:color w:val="000000" w:themeColor="text1"/>
        </w:rPr>
        <w:t xml:space="preserve">he respondent further </w:t>
      </w:r>
      <w:r>
        <w:rPr>
          <w:rFonts w:asciiTheme="majorHAnsi" w:hAnsiTheme="majorHAnsi" w:cstheme="majorHAnsi"/>
          <w:color w:val="000000" w:themeColor="text1"/>
        </w:rPr>
        <w:t>noted</w:t>
      </w:r>
      <w:r w:rsidRPr="00226117">
        <w:rPr>
          <w:rFonts w:asciiTheme="majorHAnsi" w:hAnsiTheme="majorHAnsi" w:cstheme="majorHAnsi"/>
          <w:color w:val="000000" w:themeColor="text1"/>
        </w:rPr>
        <w:t xml:space="preserve"> that it was easy to identify a training program funded by the BEST Program from the one that was funded by </w:t>
      </w:r>
      <w:r>
        <w:rPr>
          <w:rFonts w:asciiTheme="majorHAnsi" w:hAnsiTheme="majorHAnsi" w:cstheme="majorHAnsi"/>
          <w:color w:val="000000" w:themeColor="text1"/>
        </w:rPr>
        <w:t>DepEd</w:t>
      </w:r>
      <w:r w:rsidRPr="00226117">
        <w:rPr>
          <w:rFonts w:asciiTheme="majorHAnsi" w:hAnsiTheme="majorHAnsi" w:cstheme="majorHAnsi"/>
          <w:color w:val="000000" w:themeColor="text1"/>
        </w:rPr>
        <w:t xml:space="preserve"> – the difference was the venue and the food.</w:t>
      </w:r>
      <w:r w:rsidR="00D434EB">
        <w:rPr>
          <w:rFonts w:asciiTheme="majorHAnsi" w:hAnsiTheme="majorHAnsi" w:cstheme="majorHAnsi"/>
          <w:color w:val="000000" w:themeColor="text1"/>
        </w:rPr>
        <w:t xml:space="preserve"> </w:t>
      </w:r>
      <w:r w:rsidRPr="00226117">
        <w:rPr>
          <w:rFonts w:asciiTheme="majorHAnsi" w:hAnsiTheme="majorHAnsi" w:cstheme="majorHAnsi"/>
          <w:color w:val="000000" w:themeColor="text1"/>
        </w:rPr>
        <w:t xml:space="preserve">This observation was also validated </w:t>
      </w:r>
      <w:r>
        <w:rPr>
          <w:rFonts w:asciiTheme="majorHAnsi" w:hAnsiTheme="majorHAnsi" w:cstheme="majorHAnsi"/>
          <w:color w:val="000000" w:themeColor="text1"/>
        </w:rPr>
        <w:t>by</w:t>
      </w:r>
      <w:r w:rsidRPr="00226117">
        <w:rPr>
          <w:rFonts w:asciiTheme="majorHAnsi" w:hAnsiTheme="majorHAnsi" w:cstheme="majorHAnsi"/>
          <w:color w:val="000000" w:themeColor="text1"/>
        </w:rPr>
        <w:t xml:space="preserve"> the </w:t>
      </w:r>
      <w:r>
        <w:rPr>
          <w:rFonts w:asciiTheme="majorHAnsi" w:hAnsiTheme="majorHAnsi" w:cstheme="majorHAnsi"/>
          <w:color w:val="000000" w:themeColor="text1"/>
        </w:rPr>
        <w:t>principal</w:t>
      </w:r>
      <w:r w:rsidRPr="00226117">
        <w:rPr>
          <w:rFonts w:asciiTheme="majorHAnsi" w:hAnsiTheme="majorHAnsi" w:cstheme="majorHAnsi"/>
          <w:color w:val="000000" w:themeColor="text1"/>
        </w:rPr>
        <w:t xml:space="preserve">s and </w:t>
      </w:r>
      <w:r>
        <w:rPr>
          <w:rFonts w:asciiTheme="majorHAnsi" w:hAnsiTheme="majorHAnsi" w:cstheme="majorHAnsi"/>
          <w:color w:val="000000" w:themeColor="text1"/>
        </w:rPr>
        <w:t>teacher</w:t>
      </w:r>
      <w:r w:rsidRPr="00226117">
        <w:rPr>
          <w:rFonts w:asciiTheme="majorHAnsi" w:hAnsiTheme="majorHAnsi" w:cstheme="majorHAnsi"/>
          <w:color w:val="000000" w:themeColor="text1"/>
        </w:rPr>
        <w:t>s</w:t>
      </w:r>
      <w:r w:rsidRPr="007E182C">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during the regional </w:t>
      </w:r>
      <w:r w:rsidRPr="00226117">
        <w:rPr>
          <w:rFonts w:asciiTheme="majorHAnsi" w:hAnsiTheme="majorHAnsi" w:cstheme="majorHAnsi"/>
          <w:color w:val="000000" w:themeColor="text1"/>
        </w:rPr>
        <w:t xml:space="preserve">FGDs. </w:t>
      </w:r>
    </w:p>
    <w:p w14:paraId="426B5010" w14:textId="2808E526" w:rsidR="008D0CAD" w:rsidRPr="007E182C" w:rsidRDefault="008D0CAD" w:rsidP="007B6836">
      <w:pPr>
        <w:pStyle w:val="NormalWeb"/>
        <w:spacing w:line="360" w:lineRule="auto"/>
        <w:rPr>
          <w:rFonts w:asciiTheme="majorHAnsi" w:hAnsiTheme="majorHAnsi" w:cstheme="majorHAnsi"/>
          <w:color w:val="000000" w:themeColor="text1"/>
        </w:rPr>
      </w:pPr>
      <w:r>
        <w:rPr>
          <w:rFonts w:asciiTheme="majorHAnsi" w:hAnsiTheme="majorHAnsi" w:cstheme="majorHAnsi"/>
          <w:color w:val="000000" w:themeColor="text1"/>
        </w:rPr>
        <w:t>All these misunderstandings and problems may be attributed to poor communications or coordination with the Program partners and implementers.</w:t>
      </w:r>
      <w:r w:rsidR="00D434EB">
        <w:rPr>
          <w:rFonts w:asciiTheme="majorHAnsi" w:hAnsiTheme="majorHAnsi" w:cstheme="majorHAnsi"/>
          <w:color w:val="000000" w:themeColor="text1"/>
        </w:rPr>
        <w:t xml:space="preserve"> </w:t>
      </w:r>
      <w:r>
        <w:rPr>
          <w:rFonts w:asciiTheme="majorHAnsi" w:hAnsiTheme="majorHAnsi" w:cstheme="majorHAnsi"/>
        </w:rPr>
        <w:t>The IPR attributed the massive resource build-up within the FC and DepEd to the need to “</w:t>
      </w:r>
      <w:r w:rsidRPr="00BF69B9">
        <w:rPr>
          <w:rFonts w:asciiTheme="majorHAnsi" w:hAnsiTheme="majorHAnsi" w:cstheme="majorHAnsi"/>
          <w:i/>
        </w:rPr>
        <w:t xml:space="preserve">meet expenditure targets as well as urgent program requirements in </w:t>
      </w:r>
      <w:r>
        <w:rPr>
          <w:rFonts w:asciiTheme="majorHAnsi" w:hAnsiTheme="majorHAnsi" w:cstheme="majorHAnsi"/>
          <w:i/>
        </w:rPr>
        <w:t>DepEd</w:t>
      </w:r>
      <w:r w:rsidRPr="00BF69B9">
        <w:rPr>
          <w:rFonts w:asciiTheme="majorHAnsi" w:hAnsiTheme="majorHAnsi" w:cstheme="majorHAnsi"/>
          <w:i/>
        </w:rPr>
        <w:t xml:space="preserve"> such as implementing the K–12 program</w:t>
      </w:r>
      <w:r>
        <w:rPr>
          <w:rFonts w:asciiTheme="majorHAnsi" w:hAnsiTheme="majorHAnsi" w:cstheme="majorHAnsi"/>
        </w:rPr>
        <w:t>” (IPR, p. 24).</w:t>
      </w:r>
    </w:p>
    <w:p w14:paraId="29EB5FC3" w14:textId="77777777" w:rsidR="008D0CAD" w:rsidRDefault="008D0CAD" w:rsidP="007B6836">
      <w:pPr>
        <w:pStyle w:val="NormalWeb"/>
        <w:spacing w:line="360" w:lineRule="auto"/>
        <w:rPr>
          <w:rFonts w:asciiTheme="majorHAnsi" w:hAnsiTheme="majorHAnsi" w:cstheme="majorHAnsi"/>
          <w:color w:val="000000" w:themeColor="text1"/>
        </w:rPr>
      </w:pPr>
      <w:r w:rsidRPr="002B4D0F">
        <w:rPr>
          <w:rFonts w:asciiTheme="majorHAnsi" w:hAnsiTheme="majorHAnsi" w:cstheme="majorHAnsi"/>
          <w:color w:val="000000" w:themeColor="text1"/>
        </w:rPr>
        <w:t xml:space="preserve">However, the EOPE Study </w:t>
      </w:r>
      <w:r>
        <w:rPr>
          <w:rFonts w:asciiTheme="majorHAnsi" w:hAnsiTheme="majorHAnsi" w:cstheme="majorHAnsi"/>
          <w:color w:val="000000" w:themeColor="text1"/>
        </w:rPr>
        <w:t>found</w:t>
      </w:r>
      <w:r w:rsidRPr="002B4D0F">
        <w:rPr>
          <w:rFonts w:asciiTheme="majorHAnsi" w:hAnsiTheme="majorHAnsi" w:cstheme="majorHAnsi"/>
          <w:color w:val="000000" w:themeColor="text1"/>
        </w:rPr>
        <w:t xml:space="preserve"> that the massive build-up of </w:t>
      </w:r>
      <w:r>
        <w:rPr>
          <w:rFonts w:asciiTheme="majorHAnsi" w:hAnsiTheme="majorHAnsi" w:cstheme="majorHAnsi"/>
          <w:color w:val="000000" w:themeColor="text1"/>
        </w:rPr>
        <w:t>personnel was more a function of</w:t>
      </w:r>
      <w:r w:rsidRPr="002B4D0F">
        <w:rPr>
          <w:rFonts w:asciiTheme="majorHAnsi" w:hAnsiTheme="majorHAnsi" w:cstheme="majorHAnsi"/>
          <w:color w:val="000000" w:themeColor="text1"/>
        </w:rPr>
        <w:t xml:space="preserve"> the lack of program focus, absence of a general Program workplan (</w:t>
      </w:r>
      <w:r>
        <w:rPr>
          <w:rFonts w:asciiTheme="majorHAnsi" w:hAnsiTheme="majorHAnsi" w:cstheme="majorHAnsi"/>
          <w:color w:val="000000" w:themeColor="text1"/>
        </w:rPr>
        <w:t>besides</w:t>
      </w:r>
      <w:r w:rsidRPr="002B4D0F">
        <w:rPr>
          <w:rFonts w:asciiTheme="majorHAnsi" w:hAnsiTheme="majorHAnsi" w:cstheme="majorHAnsi"/>
          <w:color w:val="000000" w:themeColor="text1"/>
        </w:rPr>
        <w:t xml:space="preserve"> the Annual Plans), and the absence of a program critical path</w:t>
      </w:r>
      <w:r>
        <w:rPr>
          <w:rFonts w:asciiTheme="majorHAnsi" w:hAnsiTheme="majorHAnsi" w:cstheme="majorHAnsi"/>
          <w:color w:val="000000" w:themeColor="text1"/>
        </w:rPr>
        <w:t xml:space="preserve"> that would have identified resource requirements at different stages of program implementation</w:t>
      </w:r>
      <w:r w:rsidRPr="002B4D0F">
        <w:rPr>
          <w:rFonts w:asciiTheme="majorHAnsi" w:hAnsiTheme="majorHAnsi" w:cstheme="majorHAnsi"/>
          <w:color w:val="000000" w:themeColor="text1"/>
        </w:rPr>
        <w:t>.</w:t>
      </w:r>
    </w:p>
    <w:p w14:paraId="45C58F89" w14:textId="089185A8" w:rsidR="008D0CAD" w:rsidRDefault="008D0CAD" w:rsidP="007B6836">
      <w:pPr>
        <w:pStyle w:val="NormalWeb"/>
        <w:spacing w:line="360" w:lineRule="auto"/>
        <w:rPr>
          <w:rFonts w:asciiTheme="majorHAnsi" w:hAnsiTheme="majorHAnsi" w:cstheme="majorHAnsi"/>
          <w:color w:val="000000" w:themeColor="text1"/>
        </w:rPr>
      </w:pPr>
      <w:r>
        <w:rPr>
          <w:rFonts w:asciiTheme="majorHAnsi" w:hAnsiTheme="majorHAnsi" w:cstheme="majorHAnsi"/>
          <w:color w:val="000000" w:themeColor="text1"/>
        </w:rPr>
        <w:t>The updated Theory of Change (refer to Annex B) also identified the absence of critical path analysis as a problem.</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Activities designed to contribute the Program’s three distinct End of Program Outcomes were to be pursued simultaneously with no one activity being a prerequisite of another.</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This was in contrast to the original Theory of Change in which EOPO 3, which was the foundational outcome, was to be pursued before the other two EOPOs (on participation and learning outcomes). </w:t>
      </w:r>
    </w:p>
    <w:p w14:paraId="4720507D" w14:textId="51C13A7F" w:rsidR="008D0CAD" w:rsidRPr="00A461E4" w:rsidRDefault="008D0CAD" w:rsidP="007B6836">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color w:val="000000" w:themeColor="text1"/>
        </w:rPr>
        <w:t>According to the FC and DepEd, there was no need for a six-year program work plan because the Program followed a “</w:t>
      </w:r>
      <w:r w:rsidRPr="002B4D0F">
        <w:rPr>
          <w:rFonts w:asciiTheme="majorHAnsi" w:hAnsiTheme="majorHAnsi" w:cstheme="majorHAnsi"/>
        </w:rPr>
        <w:t>flexible design</w:t>
      </w:r>
      <w:r>
        <w:rPr>
          <w:rFonts w:asciiTheme="majorHAnsi" w:hAnsiTheme="majorHAnsi" w:cstheme="majorHAnsi"/>
        </w:rPr>
        <w:t>”.</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The BEST Program implementers (both the FC and DepEd) underscored the fact that </w:t>
      </w:r>
      <w:r>
        <w:rPr>
          <w:rFonts w:asciiTheme="majorHAnsi" w:hAnsiTheme="majorHAnsi" w:cstheme="majorHAnsi"/>
        </w:rPr>
        <w:t>t</w:t>
      </w:r>
      <w:r w:rsidRPr="002B4D0F">
        <w:rPr>
          <w:rFonts w:asciiTheme="majorHAnsi" w:hAnsiTheme="majorHAnsi" w:cstheme="majorHAnsi"/>
        </w:rPr>
        <w:t xml:space="preserve">he flexible </w:t>
      </w:r>
      <w:r>
        <w:rPr>
          <w:rFonts w:asciiTheme="majorHAnsi" w:hAnsiTheme="majorHAnsi" w:cstheme="majorHAnsi"/>
        </w:rPr>
        <w:t xml:space="preserve">program </w:t>
      </w:r>
      <w:r w:rsidRPr="002B4D0F">
        <w:rPr>
          <w:rFonts w:asciiTheme="majorHAnsi" w:hAnsiTheme="majorHAnsi" w:cstheme="majorHAnsi"/>
        </w:rPr>
        <w:t xml:space="preserve">design took off from the </w:t>
      </w:r>
      <w:r w:rsidRPr="00363522">
        <w:rPr>
          <w:rFonts w:asciiTheme="majorHAnsi" w:hAnsiTheme="majorHAnsi" w:cstheme="majorHAnsi"/>
          <w:bCs/>
        </w:rPr>
        <w:t>annual identification of activities</w:t>
      </w:r>
      <w:r w:rsidRPr="002B4D0F">
        <w:rPr>
          <w:rFonts w:asciiTheme="majorHAnsi" w:hAnsiTheme="majorHAnsi" w:cstheme="majorHAnsi"/>
        </w:rPr>
        <w:t xml:space="preserve"> to be supported by the Program</w:t>
      </w:r>
      <w:r>
        <w:rPr>
          <w:rFonts w:asciiTheme="majorHAnsi" w:hAnsiTheme="majorHAnsi" w:cstheme="majorHAnsi"/>
        </w:rPr>
        <w:t>, which was intended</w:t>
      </w:r>
      <w:r w:rsidRPr="002B4D0F">
        <w:rPr>
          <w:rFonts w:asciiTheme="majorHAnsi" w:hAnsiTheme="majorHAnsi" w:cstheme="majorHAnsi"/>
        </w:rPr>
        <w:t xml:space="preserve"> to increase the ownership of the process/product owners</w:t>
      </w:r>
      <w:r>
        <w:rPr>
          <w:rFonts w:asciiTheme="majorHAnsi" w:hAnsiTheme="majorHAnsi" w:cstheme="majorHAnsi"/>
        </w:rPr>
        <w:t xml:space="preserve"> and put DepEd in the driver’s seat of the Program</w:t>
      </w:r>
      <w:r w:rsidRPr="002B4D0F">
        <w:rPr>
          <w:rFonts w:asciiTheme="majorHAnsi" w:hAnsiTheme="majorHAnsi" w:cstheme="majorHAnsi"/>
        </w:rPr>
        <w:t>.</w:t>
      </w:r>
    </w:p>
    <w:p w14:paraId="3DBC9D75" w14:textId="531108D3" w:rsidR="008D0CAD" w:rsidRPr="0063153D" w:rsidRDefault="008D0CAD" w:rsidP="007B6836">
      <w:pPr>
        <w:spacing w:before="100" w:beforeAutospacing="1" w:after="100" w:afterAutospacing="1" w:line="360" w:lineRule="auto"/>
        <w:rPr>
          <w:rFonts w:asciiTheme="majorHAnsi" w:hAnsiTheme="majorHAnsi" w:cstheme="majorHAnsi"/>
        </w:rPr>
      </w:pPr>
      <w:r w:rsidRPr="00F34125">
        <w:rPr>
          <w:rFonts w:asciiTheme="majorHAnsi" w:hAnsiTheme="majorHAnsi" w:cstheme="majorHAnsi"/>
        </w:rPr>
        <w:t xml:space="preserve">However, the pursuit of this flexible arrangement appeared to have </w:t>
      </w:r>
      <w:r>
        <w:rPr>
          <w:rFonts w:asciiTheme="majorHAnsi" w:hAnsiTheme="majorHAnsi" w:cstheme="majorHAnsi"/>
        </w:rPr>
        <w:t>come at the expense of</w:t>
      </w:r>
      <w:r w:rsidRPr="00F34125">
        <w:rPr>
          <w:rFonts w:asciiTheme="majorHAnsi" w:hAnsiTheme="majorHAnsi" w:cstheme="majorHAnsi"/>
        </w:rPr>
        <w:t xml:space="preserve"> critical program management </w:t>
      </w:r>
      <w:r w:rsidRPr="00F34125">
        <w:rPr>
          <w:rFonts w:asciiTheme="majorHAnsi" w:hAnsiTheme="majorHAnsi" w:cstheme="majorHAnsi"/>
          <w:color w:val="222222"/>
          <w:shd w:val="clear" w:color="auto" w:fill="FFFFFF"/>
        </w:rPr>
        <w:t xml:space="preserve">pillars </w:t>
      </w:r>
      <w:r w:rsidRPr="00F34125">
        <w:rPr>
          <w:rFonts w:asciiTheme="majorHAnsi" w:hAnsiTheme="majorHAnsi" w:cstheme="majorHAnsi"/>
        </w:rPr>
        <w:t>such as the establish</w:t>
      </w:r>
      <w:r>
        <w:rPr>
          <w:rFonts w:asciiTheme="majorHAnsi" w:hAnsiTheme="majorHAnsi" w:cstheme="majorHAnsi"/>
        </w:rPr>
        <w:t>ment of</w:t>
      </w:r>
      <w:r w:rsidRPr="00F34125">
        <w:rPr>
          <w:rFonts w:asciiTheme="majorHAnsi" w:hAnsiTheme="majorHAnsi" w:cstheme="majorHAnsi"/>
        </w:rPr>
        <w:t xml:space="preserve"> the program’s baselines, identification of the program’s critical path (to </w:t>
      </w:r>
      <w:r>
        <w:rPr>
          <w:rFonts w:asciiTheme="majorHAnsi" w:hAnsiTheme="majorHAnsi" w:cstheme="majorHAnsi"/>
        </w:rPr>
        <w:t>flag critical prerequisites</w:t>
      </w:r>
      <w:r w:rsidRPr="00F34125">
        <w:rPr>
          <w:rFonts w:asciiTheme="majorHAnsi" w:hAnsiTheme="majorHAnsi" w:cstheme="majorHAnsi"/>
        </w:rPr>
        <w:t xml:space="preserve"> such as the administration of a globali</w:t>
      </w:r>
      <w:r>
        <w:rPr>
          <w:rFonts w:asciiTheme="majorHAnsi" w:hAnsiTheme="majorHAnsi" w:cstheme="majorHAnsi"/>
        </w:rPr>
        <w:t>s</w:t>
      </w:r>
      <w:r w:rsidRPr="00F34125">
        <w:rPr>
          <w:rFonts w:asciiTheme="majorHAnsi" w:hAnsiTheme="majorHAnsi" w:cstheme="majorHAnsi"/>
        </w:rPr>
        <w:t xml:space="preserve">ed assessment tool prior to the implementation of the revised curriculum or the issuance of the </w:t>
      </w:r>
      <w:r>
        <w:rPr>
          <w:rFonts w:asciiTheme="majorHAnsi" w:hAnsiTheme="majorHAnsi" w:cstheme="majorHAnsi"/>
        </w:rPr>
        <w:t>DepEd</w:t>
      </w:r>
      <w:r w:rsidRPr="00F34125">
        <w:rPr>
          <w:rFonts w:asciiTheme="majorHAnsi" w:hAnsiTheme="majorHAnsi" w:cstheme="majorHAnsi"/>
        </w:rPr>
        <w:t xml:space="preserve"> Order </w:t>
      </w:r>
      <w:r>
        <w:rPr>
          <w:rFonts w:asciiTheme="majorHAnsi" w:hAnsiTheme="majorHAnsi" w:cstheme="majorHAnsi"/>
        </w:rPr>
        <w:t xml:space="preserve">for </w:t>
      </w:r>
      <w:r w:rsidRPr="00F34125">
        <w:rPr>
          <w:rFonts w:asciiTheme="majorHAnsi" w:hAnsiTheme="majorHAnsi" w:cstheme="majorHAnsi"/>
        </w:rPr>
        <w:t xml:space="preserve">PPST a few months after the issuance of the </w:t>
      </w:r>
      <w:r>
        <w:rPr>
          <w:rFonts w:asciiTheme="majorHAnsi" w:hAnsiTheme="majorHAnsi" w:cstheme="majorHAnsi"/>
        </w:rPr>
        <w:t>CHED Memorandum Orders (</w:t>
      </w:r>
      <w:r w:rsidRPr="00F34125">
        <w:rPr>
          <w:rFonts w:asciiTheme="majorHAnsi" w:hAnsiTheme="majorHAnsi" w:cstheme="majorHAnsi"/>
        </w:rPr>
        <w:t>CMOs</w:t>
      </w:r>
      <w:r>
        <w:rPr>
          <w:rFonts w:asciiTheme="majorHAnsi" w:hAnsiTheme="majorHAnsi" w:cstheme="majorHAnsi"/>
        </w:rPr>
        <w:t>)</w:t>
      </w:r>
      <w:r w:rsidRPr="00F34125">
        <w:rPr>
          <w:rFonts w:asciiTheme="majorHAnsi" w:hAnsiTheme="majorHAnsi" w:cstheme="majorHAnsi"/>
        </w:rPr>
        <w:t xml:space="preserve"> on Teacher Education), and adherence to the program’s Results Framework.</w:t>
      </w:r>
      <w:r w:rsidR="00D434EB">
        <w:rPr>
          <w:rFonts w:asciiTheme="majorHAnsi" w:hAnsiTheme="majorHAnsi" w:cstheme="majorHAnsi"/>
        </w:rPr>
        <w:t xml:space="preserve"> </w:t>
      </w:r>
      <w:r w:rsidRPr="00F34125">
        <w:rPr>
          <w:rFonts w:asciiTheme="majorHAnsi" w:hAnsiTheme="majorHAnsi" w:cstheme="majorHAnsi"/>
          <w:color w:val="222222"/>
          <w:shd w:val="clear" w:color="auto" w:fill="FFFFFF"/>
        </w:rPr>
        <w:t>In a</w:t>
      </w:r>
      <w:r w:rsidRPr="00F34125">
        <w:rPr>
          <w:rFonts w:asciiTheme="majorHAnsi" w:hAnsiTheme="majorHAnsi" w:cstheme="majorHAnsi"/>
        </w:rPr>
        <w:t xml:space="preserve"> flexible program design, it</w:t>
      </w:r>
      <w:r w:rsidR="00D434EB">
        <w:rPr>
          <w:rFonts w:asciiTheme="majorHAnsi" w:hAnsiTheme="majorHAnsi" w:cstheme="majorHAnsi"/>
        </w:rPr>
        <w:t xml:space="preserve"> </w:t>
      </w:r>
      <w:r>
        <w:rPr>
          <w:rFonts w:asciiTheme="majorHAnsi" w:hAnsiTheme="majorHAnsi" w:cstheme="majorHAnsi"/>
        </w:rPr>
        <w:t xml:space="preserve">is still important </w:t>
      </w:r>
      <w:r w:rsidRPr="00F34125">
        <w:rPr>
          <w:rFonts w:asciiTheme="majorHAnsi" w:hAnsiTheme="majorHAnsi" w:cstheme="majorHAnsi"/>
        </w:rPr>
        <w:t>to define what flexible arrangement</w:t>
      </w:r>
      <w:r>
        <w:rPr>
          <w:rFonts w:asciiTheme="majorHAnsi" w:hAnsiTheme="majorHAnsi" w:cstheme="majorHAnsi"/>
        </w:rPr>
        <w:t>s</w:t>
      </w:r>
      <w:r w:rsidRPr="00F34125">
        <w:rPr>
          <w:rFonts w:asciiTheme="majorHAnsi" w:hAnsiTheme="majorHAnsi" w:cstheme="majorHAnsi"/>
        </w:rPr>
        <w:t xml:space="preserve"> meant and set </w:t>
      </w:r>
      <w:r>
        <w:rPr>
          <w:rFonts w:asciiTheme="majorHAnsi" w:hAnsiTheme="majorHAnsi" w:cstheme="majorHAnsi"/>
        </w:rPr>
        <w:t>clear</w:t>
      </w:r>
      <w:r w:rsidRPr="00F34125">
        <w:rPr>
          <w:rFonts w:asciiTheme="majorHAnsi" w:hAnsiTheme="majorHAnsi" w:cstheme="majorHAnsi"/>
        </w:rPr>
        <w:t xml:space="preserve"> parameters f</w:t>
      </w:r>
      <w:r>
        <w:rPr>
          <w:rFonts w:asciiTheme="majorHAnsi" w:hAnsiTheme="majorHAnsi" w:cstheme="majorHAnsi"/>
        </w:rPr>
        <w:t>or</w:t>
      </w:r>
      <w:r w:rsidRPr="00F34125">
        <w:rPr>
          <w:rFonts w:asciiTheme="majorHAnsi" w:hAnsiTheme="majorHAnsi" w:cstheme="majorHAnsi"/>
        </w:rPr>
        <w:t xml:space="preserve"> what it entail</w:t>
      </w:r>
      <w:r>
        <w:rPr>
          <w:rFonts w:asciiTheme="majorHAnsi" w:hAnsiTheme="majorHAnsi" w:cstheme="majorHAnsi"/>
        </w:rPr>
        <w:t>ed</w:t>
      </w:r>
      <w:r w:rsidRPr="00F34125">
        <w:rPr>
          <w:rFonts w:asciiTheme="majorHAnsi" w:hAnsiTheme="majorHAnsi" w:cstheme="majorHAnsi"/>
        </w:rPr>
        <w:t>.</w:t>
      </w:r>
    </w:p>
    <w:p w14:paraId="07F16760" w14:textId="77777777" w:rsidR="008D0CAD" w:rsidRPr="007F77AE" w:rsidRDefault="008D0CAD" w:rsidP="007B6836">
      <w:pPr>
        <w:spacing w:before="100" w:beforeAutospacing="1" w:after="100" w:afterAutospacing="1" w:line="360" w:lineRule="auto"/>
        <w:rPr>
          <w:rFonts w:asciiTheme="majorHAnsi" w:hAnsiTheme="majorHAnsi" w:cstheme="majorHAnsi"/>
          <w:b/>
          <w:bCs/>
          <w:color w:val="0070C0"/>
        </w:rPr>
      </w:pPr>
      <w:bookmarkStart w:id="177" w:name="_Toc15887266"/>
      <w:r w:rsidRPr="007F77AE">
        <w:rPr>
          <w:rFonts w:asciiTheme="majorHAnsi" w:hAnsiTheme="majorHAnsi" w:cstheme="majorHAnsi"/>
          <w:b/>
          <w:bCs/>
          <w:color w:val="0070C0"/>
        </w:rPr>
        <w:t>Phase 3: July 2016 to May 2018</w:t>
      </w:r>
      <w:r w:rsidRPr="007F77AE">
        <w:rPr>
          <w:rStyle w:val="FootnoteReference"/>
          <w:rFonts w:asciiTheme="majorHAnsi" w:eastAsia="Arial Unicode MS" w:hAnsiTheme="majorHAnsi" w:cstheme="majorHAnsi"/>
          <w:b/>
          <w:bCs/>
          <w:color w:val="0070C0"/>
        </w:rPr>
        <w:footnoteReference w:id="114"/>
      </w:r>
      <w:bookmarkEnd w:id="177"/>
    </w:p>
    <w:p w14:paraId="5317877E" w14:textId="77777777" w:rsidR="008D0CAD" w:rsidRDefault="008D0CAD" w:rsidP="007B6836">
      <w:pPr>
        <w:spacing w:before="100" w:beforeAutospacing="1" w:after="100" w:afterAutospacing="1" w:line="360" w:lineRule="auto"/>
        <w:rPr>
          <w:rFonts w:asciiTheme="majorHAnsi" w:hAnsiTheme="majorHAnsi" w:cstheme="majorHAnsi"/>
        </w:rPr>
      </w:pPr>
      <w:r>
        <w:rPr>
          <w:rFonts w:asciiTheme="majorHAnsi" w:hAnsiTheme="majorHAnsi" w:cstheme="majorHAnsi"/>
        </w:rPr>
        <w:t xml:space="preserve">Phase 3 was charaterised by a second wave of massive personnel change. </w:t>
      </w:r>
    </w:p>
    <w:p w14:paraId="48B5E0C3" w14:textId="15B1E210" w:rsidR="008D0CAD" w:rsidRDefault="008D0CAD" w:rsidP="007B6836">
      <w:pPr>
        <w:spacing w:before="100" w:beforeAutospacing="1" w:after="100" w:afterAutospacing="1" w:line="360" w:lineRule="auto"/>
        <w:rPr>
          <w:rFonts w:asciiTheme="majorHAnsi" w:hAnsiTheme="majorHAnsi" w:cstheme="majorHAnsi"/>
          <w:color w:val="C00000"/>
        </w:rPr>
      </w:pPr>
      <w:r>
        <w:rPr>
          <w:rFonts w:asciiTheme="majorHAnsi" w:hAnsiTheme="majorHAnsi" w:cstheme="majorHAnsi"/>
        </w:rPr>
        <w:t>A change in Philippine Administration occurred in June after the Philippine national elections in May 2016. This ushered in the appointment of a new Department Secretary and a new batch of undersecretaries. During this period (from July 2016 to about May 2017), senior personnel across the organisation were replaced and consequently</w:t>
      </w:r>
      <w:r w:rsidRPr="006309DE">
        <w:rPr>
          <w:rFonts w:asciiTheme="majorHAnsi" w:hAnsiTheme="majorHAnsi" w:cstheme="majorHAnsi"/>
          <w:color w:val="000000" w:themeColor="text1"/>
        </w:rPr>
        <w:t xml:space="preserve"> </w:t>
      </w:r>
      <w:r w:rsidR="001262B9">
        <w:rPr>
          <w:rFonts w:asciiTheme="majorHAnsi" w:hAnsiTheme="majorHAnsi" w:cstheme="majorHAnsi"/>
          <w:color w:val="000000" w:themeColor="text1"/>
        </w:rPr>
        <w:t xml:space="preserve">slowed </w:t>
      </w:r>
      <w:r w:rsidRPr="006309DE">
        <w:rPr>
          <w:rFonts w:asciiTheme="majorHAnsi" w:hAnsiTheme="majorHAnsi" w:cstheme="majorHAnsi"/>
          <w:color w:val="000000" w:themeColor="text1"/>
        </w:rPr>
        <w:t>the implementation of the BEST Program activities.</w:t>
      </w:r>
      <w:r>
        <w:rPr>
          <w:rStyle w:val="FootnoteReference"/>
          <w:rFonts w:asciiTheme="majorHAnsi" w:eastAsia="Arial Unicode MS" w:hAnsiTheme="majorHAnsi" w:cstheme="majorHAnsi"/>
          <w:color w:val="000000" w:themeColor="text1"/>
        </w:rPr>
        <w:footnoteReference w:id="115"/>
      </w:r>
      <w:r w:rsidR="00D434EB">
        <w:rPr>
          <w:rFonts w:asciiTheme="majorHAnsi" w:hAnsiTheme="majorHAnsi" w:cstheme="majorHAnsi"/>
          <w:color w:val="000000" w:themeColor="text1"/>
        </w:rPr>
        <w:t xml:space="preserve"> </w:t>
      </w:r>
    </w:p>
    <w:p w14:paraId="047C7994" w14:textId="74240904" w:rsidR="008D0CAD" w:rsidRDefault="008D0CAD" w:rsidP="007B6836">
      <w:pPr>
        <w:spacing w:before="100" w:beforeAutospacing="1" w:after="100" w:afterAutospacing="1" w:line="360" w:lineRule="auto"/>
        <w:rPr>
          <w:rFonts w:asciiTheme="majorHAnsi" w:hAnsiTheme="majorHAnsi" w:cstheme="majorHAnsi"/>
          <w:color w:val="C00000"/>
        </w:rPr>
      </w:pPr>
      <w:r>
        <w:rPr>
          <w:rFonts w:asciiTheme="majorHAnsi" w:hAnsiTheme="majorHAnsi" w:cstheme="majorHAnsi"/>
        </w:rPr>
        <w:t xml:space="preserve">More importantly, this period </w:t>
      </w:r>
      <w:r w:rsidRPr="00467A19">
        <w:rPr>
          <w:rFonts w:asciiTheme="majorHAnsi" w:hAnsiTheme="majorHAnsi" w:cstheme="majorHAnsi"/>
        </w:rPr>
        <w:t>coincided with changes in DFAT staff</w:t>
      </w:r>
      <w:r>
        <w:rPr>
          <w:rFonts w:asciiTheme="majorHAnsi" w:hAnsiTheme="majorHAnsi" w:cstheme="majorHAnsi"/>
        </w:rPr>
        <w:t xml:space="preserve"> </w:t>
      </w:r>
      <w:r w:rsidRPr="00467A19">
        <w:rPr>
          <w:rFonts w:asciiTheme="majorHAnsi" w:hAnsiTheme="majorHAnsi" w:cstheme="majorHAnsi"/>
        </w:rPr>
        <w:t xml:space="preserve">and </w:t>
      </w:r>
      <w:r>
        <w:rPr>
          <w:rFonts w:asciiTheme="majorHAnsi" w:hAnsiTheme="majorHAnsi" w:cstheme="majorHAnsi"/>
        </w:rPr>
        <w:t>drastic changes in</w:t>
      </w:r>
      <w:r w:rsidRPr="00467A19">
        <w:rPr>
          <w:rFonts w:asciiTheme="majorHAnsi" w:hAnsiTheme="majorHAnsi" w:cstheme="majorHAnsi"/>
        </w:rPr>
        <w:t xml:space="preserve"> </w:t>
      </w:r>
      <w:r>
        <w:rPr>
          <w:rFonts w:asciiTheme="majorHAnsi" w:hAnsiTheme="majorHAnsi" w:cstheme="majorHAnsi"/>
        </w:rPr>
        <w:t>the Program Management organisation of the</w:t>
      </w:r>
      <w:r w:rsidRPr="00467A19">
        <w:rPr>
          <w:rFonts w:asciiTheme="majorHAnsi" w:hAnsiTheme="majorHAnsi" w:cstheme="majorHAnsi"/>
        </w:rPr>
        <w:t xml:space="preserve"> </w:t>
      </w:r>
      <w:r>
        <w:rPr>
          <w:rFonts w:asciiTheme="majorHAnsi" w:hAnsiTheme="majorHAnsi" w:cstheme="majorHAnsi"/>
        </w:rPr>
        <w:t>Facilitating Contractor.</w:t>
      </w:r>
      <w:r w:rsidR="00D434EB">
        <w:rPr>
          <w:rFonts w:asciiTheme="majorHAnsi" w:hAnsiTheme="majorHAnsi" w:cstheme="majorHAnsi"/>
        </w:rPr>
        <w:t xml:space="preserve"> </w:t>
      </w:r>
      <w:r>
        <w:rPr>
          <w:rFonts w:asciiTheme="majorHAnsi" w:hAnsiTheme="majorHAnsi" w:cstheme="majorHAnsi"/>
        </w:rPr>
        <w:t>The 2017 Independent Progress Review noted that:</w:t>
      </w:r>
    </w:p>
    <w:p w14:paraId="3650C2FC" w14:textId="69DA79C8" w:rsidR="008D0CAD" w:rsidRPr="00711F70" w:rsidRDefault="008D0CAD" w:rsidP="007B6836">
      <w:pPr>
        <w:spacing w:before="100" w:beforeAutospacing="1" w:after="100" w:afterAutospacing="1" w:line="360" w:lineRule="auto"/>
        <w:ind w:left="432" w:right="432"/>
        <w:rPr>
          <w:rFonts w:asciiTheme="majorHAnsi" w:hAnsiTheme="majorHAnsi" w:cstheme="majorHAnsi"/>
          <w:i/>
          <w:color w:val="000000" w:themeColor="text1"/>
        </w:rPr>
      </w:pPr>
      <w:r>
        <w:rPr>
          <w:rFonts w:asciiTheme="majorHAnsi" w:hAnsiTheme="majorHAnsi" w:cstheme="majorHAnsi"/>
          <w:i/>
          <w:color w:val="000000" w:themeColor="text1"/>
        </w:rPr>
        <w:t>“</w:t>
      </w:r>
      <w:r w:rsidRPr="00711F70">
        <w:rPr>
          <w:rFonts w:asciiTheme="majorHAnsi" w:hAnsiTheme="majorHAnsi" w:cstheme="majorHAnsi"/>
          <w:i/>
          <w:color w:val="000000" w:themeColor="text1"/>
        </w:rPr>
        <w:t xml:space="preserve">Between October and </w:t>
      </w:r>
      <w:r w:rsidR="00D354DC" w:rsidRPr="00711F70">
        <w:rPr>
          <w:rFonts w:asciiTheme="majorHAnsi" w:hAnsiTheme="majorHAnsi" w:cstheme="majorHAnsi"/>
          <w:i/>
          <w:color w:val="000000" w:themeColor="text1"/>
        </w:rPr>
        <w:t>December</w:t>
      </w:r>
      <w:r w:rsidR="00D354DC">
        <w:rPr>
          <w:rFonts w:asciiTheme="majorHAnsi" w:hAnsiTheme="majorHAnsi" w:cstheme="majorHAnsi"/>
          <w:i/>
          <w:color w:val="000000" w:themeColor="text1"/>
        </w:rPr>
        <w:t xml:space="preserve"> </w:t>
      </w:r>
      <w:r w:rsidR="00D354DC" w:rsidRPr="00711F70">
        <w:rPr>
          <w:rFonts w:asciiTheme="majorHAnsi" w:hAnsiTheme="majorHAnsi" w:cstheme="majorHAnsi"/>
          <w:i/>
          <w:color w:val="000000" w:themeColor="text1"/>
        </w:rPr>
        <w:t>2016,</w:t>
      </w:r>
      <w:r w:rsidRPr="00711F70">
        <w:rPr>
          <w:rFonts w:asciiTheme="majorHAnsi" w:hAnsiTheme="majorHAnsi" w:cstheme="majorHAnsi"/>
          <w:i/>
          <w:color w:val="000000" w:themeColor="text1"/>
        </w:rPr>
        <w:t xml:space="preserve"> the Facilitating Contractor conducted a review and did not renew the contracts of the M&amp;E Specialist, OD Specialist and Team Leader, and significantly cut staffing. Within the next six months all senior positions within the Facilitating Contractor had changed, and a new team appointed with two component leads instead of six specialists. The decision not to renew the contracts of key specialists was poorly communicated resulting in significant tensions between partners in 2016. Some programs were left unfinished. </w:t>
      </w:r>
      <w:r>
        <w:rPr>
          <w:rFonts w:asciiTheme="majorHAnsi" w:hAnsiTheme="majorHAnsi" w:cstheme="majorHAnsi"/>
          <w:i/>
          <w:color w:val="000000" w:themeColor="text1"/>
        </w:rPr>
        <w:t>DepEd</w:t>
      </w:r>
      <w:r w:rsidRPr="00711F70">
        <w:rPr>
          <w:rFonts w:asciiTheme="majorHAnsi" w:hAnsiTheme="majorHAnsi" w:cstheme="majorHAnsi"/>
          <w:i/>
          <w:color w:val="000000" w:themeColor="text1"/>
        </w:rPr>
        <w:t xml:space="preserve"> assigned resources at the sub-national level to ensure many of these could be completed for regions where they had commenced.</w:t>
      </w:r>
      <w:r>
        <w:rPr>
          <w:rFonts w:asciiTheme="majorHAnsi" w:hAnsiTheme="majorHAnsi" w:cstheme="majorHAnsi"/>
          <w:i/>
          <w:color w:val="000000" w:themeColor="text1"/>
        </w:rPr>
        <w:t>”</w:t>
      </w:r>
    </w:p>
    <w:p w14:paraId="53551B6E" w14:textId="760A415C" w:rsidR="008D0CAD" w:rsidRPr="00711F70" w:rsidRDefault="008D0CAD" w:rsidP="007B6836">
      <w:pPr>
        <w:pStyle w:val="NormalWeb"/>
        <w:spacing w:line="360" w:lineRule="auto"/>
        <w:rPr>
          <w:rFonts w:asciiTheme="majorHAnsi" w:hAnsiTheme="majorHAnsi" w:cstheme="majorHAnsi"/>
          <w:color w:val="000000" w:themeColor="text1"/>
        </w:rPr>
      </w:pPr>
      <w:r w:rsidRPr="00711F70">
        <w:rPr>
          <w:rFonts w:asciiTheme="majorHAnsi" w:hAnsiTheme="majorHAnsi" w:cstheme="majorHAnsi"/>
          <w:color w:val="000000" w:themeColor="text1"/>
        </w:rPr>
        <w:t>It was further noted that the substantial organi</w:t>
      </w:r>
      <w:r>
        <w:rPr>
          <w:rFonts w:asciiTheme="majorHAnsi" w:hAnsiTheme="majorHAnsi" w:cstheme="majorHAnsi"/>
          <w:color w:val="000000" w:themeColor="text1"/>
        </w:rPr>
        <w:t>s</w:t>
      </w:r>
      <w:r w:rsidRPr="00711F70">
        <w:rPr>
          <w:rFonts w:asciiTheme="majorHAnsi" w:hAnsiTheme="majorHAnsi" w:cstheme="majorHAnsi"/>
          <w:color w:val="000000" w:themeColor="text1"/>
        </w:rPr>
        <w:t>ational changes that occurred simultaneous</w:t>
      </w:r>
      <w:r>
        <w:rPr>
          <w:rFonts w:asciiTheme="majorHAnsi" w:hAnsiTheme="majorHAnsi" w:cstheme="majorHAnsi"/>
          <w:color w:val="000000" w:themeColor="text1"/>
        </w:rPr>
        <w:t>ly</w:t>
      </w:r>
      <w:r w:rsidRPr="00711F70">
        <w:rPr>
          <w:rFonts w:asciiTheme="majorHAnsi" w:hAnsiTheme="majorHAnsi" w:cstheme="majorHAnsi"/>
          <w:color w:val="000000" w:themeColor="text1"/>
        </w:rPr>
        <w:t xml:space="preserve"> in DFAT, Cardno and </w:t>
      </w:r>
      <w:r>
        <w:rPr>
          <w:rFonts w:asciiTheme="majorHAnsi" w:hAnsiTheme="majorHAnsi" w:cstheme="majorHAnsi"/>
          <w:color w:val="000000" w:themeColor="text1"/>
        </w:rPr>
        <w:t>DepEd</w:t>
      </w:r>
      <w:r w:rsidRPr="00711F70">
        <w:rPr>
          <w:rFonts w:asciiTheme="majorHAnsi" w:hAnsiTheme="majorHAnsi" w:cstheme="majorHAnsi"/>
          <w:color w:val="000000" w:themeColor="text1"/>
        </w:rPr>
        <w:t xml:space="preserve"> resulted in sweeping loss of institutional knowledge about the program as well as muddled M&amp;E documents and </w:t>
      </w:r>
      <w:r>
        <w:rPr>
          <w:rFonts w:asciiTheme="majorHAnsi" w:hAnsiTheme="majorHAnsi" w:cstheme="majorHAnsi"/>
          <w:color w:val="000000" w:themeColor="text1"/>
        </w:rPr>
        <w:t xml:space="preserve">program </w:t>
      </w:r>
      <w:r w:rsidRPr="00711F70">
        <w:rPr>
          <w:rFonts w:asciiTheme="majorHAnsi" w:hAnsiTheme="majorHAnsi" w:cstheme="majorHAnsi"/>
          <w:color w:val="000000" w:themeColor="text1"/>
        </w:rPr>
        <w:t>data.</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In contrast, the four BEST implementing partners were generally unaffected by these changes and were able to continue implementing their workplans</w:t>
      </w:r>
      <w:r w:rsidRPr="00711F70">
        <w:rPr>
          <w:rFonts w:asciiTheme="majorHAnsi" w:hAnsiTheme="majorHAnsi" w:cstheme="majorHAnsi"/>
          <w:color w:val="000000" w:themeColor="text1"/>
        </w:rPr>
        <w:t>.</w:t>
      </w:r>
      <w:r w:rsidR="00D434EB">
        <w:rPr>
          <w:rFonts w:asciiTheme="majorHAnsi" w:hAnsiTheme="majorHAnsi" w:cstheme="majorHAnsi"/>
          <w:color w:val="000000" w:themeColor="text1"/>
        </w:rPr>
        <w:t xml:space="preserve"> </w:t>
      </w:r>
    </w:p>
    <w:p w14:paraId="3102C074" w14:textId="2CC98FBF" w:rsidR="008D0CAD" w:rsidRPr="00DA3502" w:rsidRDefault="008D0CAD" w:rsidP="009145F5">
      <w:pPr>
        <w:spacing w:before="100" w:beforeAutospacing="1" w:after="100" w:afterAutospacing="1" w:line="360" w:lineRule="auto"/>
        <w:rPr>
          <w:rFonts w:asciiTheme="majorHAnsi" w:hAnsiTheme="majorHAnsi" w:cstheme="majorHAnsi"/>
        </w:rPr>
      </w:pPr>
      <w:r>
        <w:rPr>
          <w:rFonts w:asciiTheme="majorHAnsi" w:hAnsiTheme="majorHAnsi" w:cstheme="majorHAnsi"/>
        </w:rPr>
        <w:t>During this period, the Facilitating Contractor commissioned a third-party consultant to provide an independent assessment of the reasons for the lull in program activities</w:t>
      </w:r>
      <w:r w:rsidR="009145F5">
        <w:rPr>
          <w:rFonts w:asciiTheme="majorHAnsi" w:hAnsiTheme="majorHAnsi" w:cstheme="majorHAnsi"/>
        </w:rPr>
        <w:t>.</w:t>
      </w:r>
      <w:r>
        <w:rPr>
          <w:rFonts w:asciiTheme="majorHAnsi" w:hAnsiTheme="majorHAnsi" w:cstheme="majorHAnsi"/>
        </w:rPr>
        <w:t xml:space="preserve"> </w:t>
      </w:r>
      <w:r w:rsidRPr="0063153D">
        <w:rPr>
          <w:rFonts w:asciiTheme="majorHAnsi" w:hAnsiTheme="majorHAnsi" w:cstheme="majorHAnsi"/>
        </w:rPr>
        <w:t>The slowdown coincided with the change in administration in the middle of 2016</w:t>
      </w:r>
      <w:r>
        <w:rPr>
          <w:rFonts w:asciiTheme="majorHAnsi" w:hAnsiTheme="majorHAnsi" w:cstheme="majorHAnsi"/>
        </w:rPr>
        <w:t xml:space="preserve">, </w:t>
      </w:r>
      <w:r w:rsidRPr="0063153D">
        <w:rPr>
          <w:rFonts w:asciiTheme="majorHAnsi" w:hAnsiTheme="majorHAnsi" w:cstheme="majorHAnsi"/>
        </w:rPr>
        <w:t>which extended through the middle of 2017.</w:t>
      </w:r>
      <w:r w:rsidR="00D434EB">
        <w:rPr>
          <w:rFonts w:asciiTheme="majorHAnsi" w:hAnsiTheme="majorHAnsi" w:cstheme="majorHAnsi"/>
        </w:rPr>
        <w:t xml:space="preserve"> </w:t>
      </w:r>
    </w:p>
    <w:p w14:paraId="519DE4E7" w14:textId="0F1282A4" w:rsidR="008D0CAD" w:rsidRPr="00E400EB" w:rsidRDefault="008D0CAD" w:rsidP="007B6836">
      <w:pPr>
        <w:autoSpaceDE w:val="0"/>
        <w:autoSpaceDN w:val="0"/>
        <w:adjustRightInd w:val="0"/>
        <w:spacing w:before="100" w:beforeAutospacing="1" w:after="100" w:afterAutospacing="1" w:line="360" w:lineRule="auto"/>
        <w:rPr>
          <w:rFonts w:asciiTheme="majorHAnsi" w:hAnsiTheme="majorHAnsi" w:cstheme="majorHAnsi"/>
          <w:color w:val="000000"/>
        </w:rPr>
      </w:pPr>
      <w:r w:rsidRPr="00E400EB">
        <w:rPr>
          <w:rFonts w:asciiTheme="majorHAnsi" w:hAnsiTheme="majorHAnsi" w:cstheme="majorHAnsi"/>
          <w:color w:val="000000"/>
        </w:rPr>
        <w:t xml:space="preserve">In every change in administration at </w:t>
      </w:r>
      <w:r>
        <w:rPr>
          <w:rFonts w:asciiTheme="majorHAnsi" w:hAnsiTheme="majorHAnsi" w:cstheme="majorHAnsi"/>
          <w:color w:val="000000"/>
        </w:rPr>
        <w:t>DepEd</w:t>
      </w:r>
      <w:r w:rsidRPr="00E400EB">
        <w:rPr>
          <w:rFonts w:asciiTheme="majorHAnsi" w:hAnsiTheme="majorHAnsi" w:cstheme="majorHAnsi"/>
          <w:color w:val="000000"/>
        </w:rPr>
        <w:t xml:space="preserve"> since 1986, there ha</w:t>
      </w:r>
      <w:r>
        <w:rPr>
          <w:rFonts w:asciiTheme="majorHAnsi" w:hAnsiTheme="majorHAnsi" w:cstheme="majorHAnsi"/>
          <w:color w:val="000000"/>
        </w:rPr>
        <w:t>d</w:t>
      </w:r>
      <w:r w:rsidRPr="00E400EB">
        <w:rPr>
          <w:rFonts w:asciiTheme="majorHAnsi" w:hAnsiTheme="majorHAnsi" w:cstheme="majorHAnsi"/>
          <w:color w:val="000000"/>
        </w:rPr>
        <w:t xml:space="preserve"> been a wholesale or near-wholesale change in the senior management team</w:t>
      </w:r>
      <w:r w:rsidR="009145F5">
        <w:rPr>
          <w:rFonts w:asciiTheme="majorHAnsi" w:hAnsiTheme="majorHAnsi" w:cstheme="majorHAnsi"/>
          <w:color w:val="000000"/>
        </w:rPr>
        <w:t xml:space="preserve">. </w:t>
      </w:r>
    </w:p>
    <w:p w14:paraId="572FC10D" w14:textId="1E845EF8" w:rsidR="008D0CAD" w:rsidRPr="00E400EB" w:rsidRDefault="00800ABF" w:rsidP="007B6836">
      <w:pPr>
        <w:autoSpaceDE w:val="0"/>
        <w:autoSpaceDN w:val="0"/>
        <w:adjustRightInd w:val="0"/>
        <w:spacing w:before="100" w:beforeAutospacing="1" w:after="100" w:afterAutospacing="1" w:line="360" w:lineRule="auto"/>
        <w:rPr>
          <w:rFonts w:asciiTheme="majorHAnsi" w:hAnsiTheme="majorHAnsi" w:cstheme="majorHAnsi"/>
          <w:color w:val="000000"/>
        </w:rPr>
      </w:pPr>
      <w:r>
        <w:rPr>
          <w:rFonts w:asciiTheme="majorHAnsi" w:hAnsiTheme="majorHAnsi" w:cstheme="majorHAnsi"/>
        </w:rPr>
        <w:t>T</w:t>
      </w:r>
      <w:r w:rsidR="008D0CAD" w:rsidRPr="00E400EB">
        <w:rPr>
          <w:rFonts w:asciiTheme="majorHAnsi" w:hAnsiTheme="majorHAnsi" w:cstheme="majorHAnsi"/>
        </w:rPr>
        <w:t>he Briones Administration pursued new priorities</w:t>
      </w:r>
      <w:r w:rsidR="008D0CAD">
        <w:rPr>
          <w:rFonts w:asciiTheme="majorHAnsi" w:hAnsiTheme="majorHAnsi" w:cstheme="majorHAnsi"/>
        </w:rPr>
        <w:t>.</w:t>
      </w:r>
      <w:r w:rsidR="00D434EB">
        <w:rPr>
          <w:rFonts w:asciiTheme="majorHAnsi" w:hAnsiTheme="majorHAnsi" w:cstheme="majorHAnsi"/>
        </w:rPr>
        <w:t xml:space="preserve"> </w:t>
      </w:r>
      <w:r w:rsidR="008D0CAD">
        <w:rPr>
          <w:rFonts w:asciiTheme="majorHAnsi" w:hAnsiTheme="majorHAnsi" w:cstheme="majorHAnsi"/>
        </w:rPr>
        <w:t>Wh</w:t>
      </w:r>
      <w:r w:rsidR="008D0CAD" w:rsidRPr="00E400EB">
        <w:rPr>
          <w:rFonts w:asciiTheme="majorHAnsi" w:hAnsiTheme="majorHAnsi" w:cstheme="majorHAnsi"/>
        </w:rPr>
        <w:t>ile not abandoning the K-12 reforms of the Luistro Administration</w:t>
      </w:r>
      <w:r w:rsidR="008D0CAD">
        <w:rPr>
          <w:rFonts w:asciiTheme="majorHAnsi" w:hAnsiTheme="majorHAnsi" w:cstheme="majorHAnsi"/>
        </w:rPr>
        <w:t>, new reforms took priority</w:t>
      </w:r>
      <w:r w:rsidR="008D0CAD" w:rsidRPr="00E400EB">
        <w:rPr>
          <w:rFonts w:asciiTheme="majorHAnsi" w:hAnsiTheme="majorHAnsi" w:cstheme="majorHAnsi"/>
        </w:rPr>
        <w:t>.</w:t>
      </w:r>
      <w:r w:rsidR="00D434EB">
        <w:rPr>
          <w:rFonts w:asciiTheme="majorHAnsi" w:hAnsiTheme="majorHAnsi" w:cstheme="majorHAnsi"/>
        </w:rPr>
        <w:t xml:space="preserve"> </w:t>
      </w:r>
      <w:r w:rsidR="008D0CAD">
        <w:rPr>
          <w:rFonts w:asciiTheme="majorHAnsi" w:hAnsiTheme="majorHAnsi" w:cstheme="majorHAnsi"/>
        </w:rPr>
        <w:t>The n</w:t>
      </w:r>
      <w:r w:rsidR="008D0CAD" w:rsidRPr="00E400EB">
        <w:rPr>
          <w:rFonts w:asciiTheme="majorHAnsi" w:hAnsiTheme="majorHAnsi" w:cstheme="majorHAnsi"/>
          <w:color w:val="000000"/>
        </w:rPr>
        <w:t>ew priorities were principally in the realm of public administration with</w:t>
      </w:r>
      <w:r w:rsidR="008D0CAD">
        <w:rPr>
          <w:rFonts w:asciiTheme="majorHAnsi" w:hAnsiTheme="majorHAnsi" w:cstheme="majorHAnsi"/>
          <w:color w:val="000000"/>
        </w:rPr>
        <w:t xml:space="preserve"> an</w:t>
      </w:r>
      <w:r w:rsidR="008D0CAD" w:rsidRPr="00E400EB">
        <w:rPr>
          <w:rFonts w:asciiTheme="majorHAnsi" w:hAnsiTheme="majorHAnsi" w:cstheme="majorHAnsi"/>
          <w:color w:val="000000"/>
        </w:rPr>
        <w:t xml:space="preserve"> emphasis on financial and fiscal management</w:t>
      </w:r>
      <w:r w:rsidR="008D0CAD">
        <w:rPr>
          <w:rFonts w:asciiTheme="majorHAnsi" w:hAnsiTheme="majorHAnsi" w:cstheme="majorHAnsi"/>
          <w:color w:val="000000"/>
        </w:rPr>
        <w:t xml:space="preserve">, </w:t>
      </w:r>
      <w:r w:rsidR="008D0CAD" w:rsidRPr="00E400EB">
        <w:rPr>
          <w:rFonts w:asciiTheme="majorHAnsi" w:hAnsiTheme="majorHAnsi" w:cstheme="majorHAnsi"/>
          <w:color w:val="000000"/>
        </w:rPr>
        <w:t>includ</w:t>
      </w:r>
      <w:r w:rsidR="008D0CAD">
        <w:rPr>
          <w:rFonts w:asciiTheme="majorHAnsi" w:hAnsiTheme="majorHAnsi" w:cstheme="majorHAnsi"/>
          <w:color w:val="000000"/>
        </w:rPr>
        <w:t>ing</w:t>
      </w:r>
      <w:r w:rsidR="008D0CAD" w:rsidRPr="00E400EB">
        <w:rPr>
          <w:rFonts w:asciiTheme="majorHAnsi" w:hAnsiTheme="majorHAnsi" w:cstheme="majorHAnsi"/>
          <w:color w:val="000000"/>
        </w:rPr>
        <w:t>:</w:t>
      </w:r>
      <w:r w:rsidR="008D0CAD" w:rsidRPr="00E400EB">
        <w:rPr>
          <w:rFonts w:asciiTheme="majorHAnsi" w:hAnsiTheme="majorHAnsi" w:cstheme="majorHAnsi"/>
          <w:color w:val="000000"/>
          <w:vertAlign w:val="superscript"/>
        </w:rPr>
        <w:footnoteReference w:id="116"/>
      </w:r>
      <w:r w:rsidR="008D0CAD" w:rsidRPr="00E400EB">
        <w:rPr>
          <w:rFonts w:asciiTheme="majorHAnsi" w:hAnsiTheme="majorHAnsi" w:cstheme="majorHAnsi"/>
          <w:color w:val="000000"/>
        </w:rPr>
        <w:t xml:space="preserve"> </w:t>
      </w:r>
    </w:p>
    <w:p w14:paraId="5E0DE5F7" w14:textId="77777777" w:rsidR="008D0CAD" w:rsidRPr="00DA3502" w:rsidRDefault="008D0CAD" w:rsidP="007B6836">
      <w:pPr>
        <w:pStyle w:val="ListParagraph"/>
        <w:numPr>
          <w:ilvl w:val="0"/>
          <w:numId w:val="12"/>
        </w:numPr>
        <w:autoSpaceDE w:val="0"/>
        <w:autoSpaceDN w:val="0"/>
        <w:adjustRightInd w:val="0"/>
        <w:spacing w:before="100" w:beforeAutospacing="1" w:after="100" w:afterAutospacing="1" w:line="360" w:lineRule="auto"/>
        <w:rPr>
          <w:rFonts w:asciiTheme="majorHAnsi" w:hAnsiTheme="majorHAnsi" w:cstheme="majorHAnsi"/>
          <w:color w:val="000000"/>
        </w:rPr>
      </w:pPr>
      <w:r w:rsidRPr="00DA3502">
        <w:rPr>
          <w:rFonts w:asciiTheme="majorHAnsi" w:hAnsiTheme="majorHAnsi" w:cstheme="majorHAnsi"/>
          <w:color w:val="000000"/>
        </w:rPr>
        <w:t>Budget utili</w:t>
      </w:r>
      <w:r>
        <w:rPr>
          <w:rFonts w:asciiTheme="majorHAnsi" w:hAnsiTheme="majorHAnsi" w:cstheme="majorHAnsi"/>
          <w:color w:val="000000"/>
        </w:rPr>
        <w:t>s</w:t>
      </w:r>
      <w:r w:rsidRPr="00DA3502">
        <w:rPr>
          <w:rFonts w:asciiTheme="majorHAnsi" w:hAnsiTheme="majorHAnsi" w:cstheme="majorHAnsi"/>
          <w:color w:val="000000"/>
        </w:rPr>
        <w:t>ation (i.e., budget spending was too slow);</w:t>
      </w:r>
    </w:p>
    <w:p w14:paraId="563C1131" w14:textId="77777777" w:rsidR="008D0CAD" w:rsidRPr="00DA3502" w:rsidRDefault="008D0CAD" w:rsidP="007B6836">
      <w:pPr>
        <w:pStyle w:val="ListParagraph"/>
        <w:numPr>
          <w:ilvl w:val="0"/>
          <w:numId w:val="12"/>
        </w:numPr>
        <w:autoSpaceDE w:val="0"/>
        <w:autoSpaceDN w:val="0"/>
        <w:adjustRightInd w:val="0"/>
        <w:spacing w:before="100" w:beforeAutospacing="1" w:after="100" w:afterAutospacing="1" w:line="360" w:lineRule="auto"/>
        <w:rPr>
          <w:rFonts w:asciiTheme="majorHAnsi" w:hAnsiTheme="majorHAnsi" w:cstheme="majorHAnsi"/>
          <w:color w:val="000000"/>
        </w:rPr>
      </w:pPr>
      <w:r w:rsidRPr="00DA3502">
        <w:rPr>
          <w:rFonts w:asciiTheme="majorHAnsi" w:hAnsiTheme="majorHAnsi" w:cstheme="majorHAnsi"/>
          <w:color w:val="000000"/>
        </w:rPr>
        <w:t>Financial monitoring (i.e., low budget utili</w:t>
      </w:r>
      <w:r>
        <w:rPr>
          <w:rFonts w:asciiTheme="majorHAnsi" w:hAnsiTheme="majorHAnsi" w:cstheme="majorHAnsi"/>
          <w:color w:val="000000"/>
        </w:rPr>
        <w:t>s</w:t>
      </w:r>
      <w:r w:rsidRPr="00DA3502">
        <w:rPr>
          <w:rFonts w:asciiTheme="majorHAnsi" w:hAnsiTheme="majorHAnsi" w:cstheme="majorHAnsi"/>
          <w:color w:val="000000"/>
        </w:rPr>
        <w:t>ation rate especially in the field);</w:t>
      </w:r>
    </w:p>
    <w:p w14:paraId="596C642F" w14:textId="77777777" w:rsidR="008D0CAD" w:rsidRPr="00DA3502" w:rsidRDefault="008D0CAD" w:rsidP="007B6836">
      <w:pPr>
        <w:pStyle w:val="ListParagraph"/>
        <w:numPr>
          <w:ilvl w:val="0"/>
          <w:numId w:val="12"/>
        </w:numPr>
        <w:autoSpaceDE w:val="0"/>
        <w:autoSpaceDN w:val="0"/>
        <w:adjustRightInd w:val="0"/>
        <w:spacing w:before="100" w:beforeAutospacing="1" w:after="100" w:afterAutospacing="1" w:line="360" w:lineRule="auto"/>
        <w:rPr>
          <w:rFonts w:asciiTheme="majorHAnsi" w:hAnsiTheme="majorHAnsi" w:cstheme="majorHAnsi"/>
          <w:color w:val="000000"/>
        </w:rPr>
      </w:pPr>
      <w:r w:rsidRPr="00DA3502">
        <w:rPr>
          <w:rFonts w:asciiTheme="majorHAnsi" w:hAnsiTheme="majorHAnsi" w:cstheme="majorHAnsi"/>
          <w:color w:val="000000"/>
        </w:rPr>
        <w:t>Procurement reforms (to address the slow delivery of learning materials to schools and to unlock bottlenecks in the system); and</w:t>
      </w:r>
    </w:p>
    <w:p w14:paraId="2E4C41AE" w14:textId="77777777" w:rsidR="008D0CAD" w:rsidRPr="00DA3502" w:rsidRDefault="008D0CAD" w:rsidP="007B6836">
      <w:pPr>
        <w:pStyle w:val="ListParagraph"/>
        <w:numPr>
          <w:ilvl w:val="0"/>
          <w:numId w:val="12"/>
        </w:numPr>
        <w:autoSpaceDE w:val="0"/>
        <w:autoSpaceDN w:val="0"/>
        <w:adjustRightInd w:val="0"/>
        <w:spacing w:before="100" w:beforeAutospacing="1" w:after="100" w:afterAutospacing="1" w:line="360" w:lineRule="auto"/>
        <w:rPr>
          <w:rFonts w:asciiTheme="majorHAnsi" w:hAnsiTheme="majorHAnsi" w:cstheme="majorHAnsi"/>
          <w:color w:val="000000"/>
        </w:rPr>
      </w:pPr>
      <w:r w:rsidRPr="00DA3502">
        <w:rPr>
          <w:rFonts w:asciiTheme="majorHAnsi" w:hAnsiTheme="majorHAnsi" w:cstheme="majorHAnsi"/>
          <w:color w:val="000000"/>
        </w:rPr>
        <w:t xml:space="preserve">Downloading of funds to the region (i.e., to speed up the spending rate of </w:t>
      </w:r>
      <w:r>
        <w:rPr>
          <w:rFonts w:asciiTheme="majorHAnsi" w:hAnsiTheme="majorHAnsi" w:cstheme="majorHAnsi"/>
          <w:color w:val="000000"/>
        </w:rPr>
        <w:t>DepEd</w:t>
      </w:r>
      <w:r w:rsidRPr="00DA3502">
        <w:rPr>
          <w:rFonts w:asciiTheme="majorHAnsi" w:hAnsiTheme="majorHAnsi" w:cstheme="majorHAnsi"/>
          <w:color w:val="000000"/>
        </w:rPr>
        <w:t>).</w:t>
      </w:r>
    </w:p>
    <w:p w14:paraId="647663CE" w14:textId="77777777" w:rsidR="008D0CAD" w:rsidRPr="00E400EB" w:rsidRDefault="008D0CAD" w:rsidP="007B6836">
      <w:pPr>
        <w:autoSpaceDE w:val="0"/>
        <w:autoSpaceDN w:val="0"/>
        <w:adjustRightInd w:val="0"/>
        <w:spacing w:before="100" w:beforeAutospacing="1" w:after="100" w:afterAutospacing="1" w:line="360" w:lineRule="auto"/>
        <w:rPr>
          <w:rFonts w:asciiTheme="majorHAnsi" w:hAnsiTheme="majorHAnsi" w:cstheme="majorHAnsi"/>
          <w:color w:val="000000"/>
        </w:rPr>
      </w:pPr>
      <w:r w:rsidRPr="00E400EB">
        <w:rPr>
          <w:rFonts w:asciiTheme="majorHAnsi" w:hAnsiTheme="majorHAnsi" w:cstheme="majorHAnsi"/>
          <w:color w:val="000000"/>
        </w:rPr>
        <w:t>“</w:t>
      </w:r>
      <w:r w:rsidRPr="004E603D">
        <w:rPr>
          <w:rFonts w:asciiTheme="majorHAnsi" w:hAnsiTheme="majorHAnsi" w:cstheme="majorHAnsi"/>
          <w:i/>
          <w:color w:val="000000"/>
        </w:rPr>
        <w:t>A major thrust of the Secretary, the one thing she was most conscious to resolve as a social accountability advocate</w:t>
      </w:r>
      <w:r w:rsidRPr="00E400EB">
        <w:rPr>
          <w:rFonts w:asciiTheme="majorHAnsi" w:hAnsiTheme="majorHAnsi" w:cstheme="majorHAnsi"/>
          <w:color w:val="000000"/>
        </w:rPr>
        <w:t>,” said Undersecretary Malaluan, “</w:t>
      </w:r>
      <w:r w:rsidRPr="004E603D">
        <w:rPr>
          <w:rFonts w:asciiTheme="majorHAnsi" w:hAnsiTheme="majorHAnsi" w:cstheme="majorHAnsi"/>
          <w:i/>
          <w:color w:val="000000"/>
        </w:rPr>
        <w:t>was the poor fiscal management of the Department of Education most notably budget utili</w:t>
      </w:r>
      <w:r>
        <w:rPr>
          <w:rFonts w:asciiTheme="majorHAnsi" w:hAnsiTheme="majorHAnsi" w:cstheme="majorHAnsi"/>
          <w:i/>
          <w:color w:val="000000"/>
        </w:rPr>
        <w:t>s</w:t>
      </w:r>
      <w:r w:rsidRPr="004E603D">
        <w:rPr>
          <w:rFonts w:asciiTheme="majorHAnsi" w:hAnsiTheme="majorHAnsi" w:cstheme="majorHAnsi"/>
          <w:i/>
          <w:color w:val="000000"/>
        </w:rPr>
        <w:t>ation which was very low in the previous administration</w:t>
      </w:r>
      <w:r w:rsidRPr="00E400EB">
        <w:rPr>
          <w:rFonts w:asciiTheme="majorHAnsi" w:hAnsiTheme="majorHAnsi" w:cstheme="majorHAnsi"/>
          <w:color w:val="000000"/>
        </w:rPr>
        <w:t xml:space="preserve">.” </w:t>
      </w:r>
      <w:r w:rsidRPr="00E400EB">
        <w:rPr>
          <w:rFonts w:asciiTheme="majorHAnsi" w:hAnsiTheme="majorHAnsi" w:cstheme="majorHAnsi"/>
          <w:color w:val="000000"/>
          <w:vertAlign w:val="superscript"/>
        </w:rPr>
        <w:footnoteReference w:id="117"/>
      </w:r>
      <w:r w:rsidRPr="00E400EB">
        <w:rPr>
          <w:rFonts w:asciiTheme="majorHAnsi" w:hAnsiTheme="majorHAnsi" w:cstheme="majorHAnsi"/>
          <w:color w:val="000000"/>
        </w:rPr>
        <w:t xml:space="preserve"> Financial monitoring, he added was weak particularly in the field and among partners. </w:t>
      </w:r>
    </w:p>
    <w:p w14:paraId="2CDFCFE5" w14:textId="77777777" w:rsidR="008D0CAD" w:rsidRPr="00E400EB" w:rsidRDefault="008D0CAD" w:rsidP="007B6836">
      <w:pPr>
        <w:autoSpaceDE w:val="0"/>
        <w:autoSpaceDN w:val="0"/>
        <w:adjustRightInd w:val="0"/>
        <w:spacing w:before="100" w:beforeAutospacing="1" w:after="100" w:afterAutospacing="1" w:line="360" w:lineRule="auto"/>
        <w:rPr>
          <w:rFonts w:asciiTheme="majorHAnsi" w:hAnsiTheme="majorHAnsi" w:cstheme="majorHAnsi"/>
          <w:color w:val="000000"/>
        </w:rPr>
      </w:pPr>
      <w:r w:rsidRPr="00E400EB">
        <w:rPr>
          <w:rFonts w:asciiTheme="majorHAnsi" w:hAnsiTheme="majorHAnsi" w:cstheme="majorHAnsi"/>
          <w:color w:val="000000"/>
        </w:rPr>
        <w:t xml:space="preserve">Another major priority of the </w:t>
      </w:r>
      <w:r>
        <w:rPr>
          <w:rFonts w:asciiTheme="majorHAnsi" w:hAnsiTheme="majorHAnsi" w:cstheme="majorHAnsi"/>
          <w:color w:val="000000"/>
        </w:rPr>
        <w:t>DepEd S</w:t>
      </w:r>
      <w:r w:rsidRPr="00E400EB">
        <w:rPr>
          <w:rFonts w:asciiTheme="majorHAnsi" w:hAnsiTheme="majorHAnsi" w:cstheme="majorHAnsi"/>
          <w:color w:val="000000"/>
        </w:rPr>
        <w:t xml:space="preserve">ecretary centered around the delivery of materials to schools. Here, better procurement processes and practices was key. For this purpose, a fourth senior management officer was added to the financial management section of </w:t>
      </w:r>
      <w:r>
        <w:rPr>
          <w:rFonts w:asciiTheme="majorHAnsi" w:hAnsiTheme="majorHAnsi" w:cstheme="majorHAnsi"/>
          <w:color w:val="000000"/>
        </w:rPr>
        <w:t>DepEd</w:t>
      </w:r>
      <w:r w:rsidRPr="00E400EB">
        <w:rPr>
          <w:rFonts w:asciiTheme="majorHAnsi" w:hAnsiTheme="majorHAnsi" w:cstheme="majorHAnsi"/>
          <w:color w:val="000000"/>
        </w:rPr>
        <w:t>, an Assistant Secretary for Procurement who also reports directly to the Secretary. The driving principle of Secretary Briones: Budget-based procurement.</w:t>
      </w:r>
      <w:r w:rsidRPr="00E400EB">
        <w:rPr>
          <w:rFonts w:asciiTheme="majorHAnsi" w:hAnsiTheme="majorHAnsi" w:cstheme="majorHAnsi"/>
          <w:color w:val="000000"/>
          <w:vertAlign w:val="superscript"/>
        </w:rPr>
        <w:footnoteReference w:id="118"/>
      </w:r>
      <w:r w:rsidRPr="00E400EB">
        <w:rPr>
          <w:rFonts w:asciiTheme="majorHAnsi" w:hAnsiTheme="majorHAnsi" w:cstheme="majorHAnsi"/>
          <w:color w:val="000000"/>
        </w:rPr>
        <w:t xml:space="preserve"> </w:t>
      </w:r>
    </w:p>
    <w:p w14:paraId="213759E9" w14:textId="28409EDB" w:rsidR="008D0CAD" w:rsidRPr="00E90161" w:rsidRDefault="008D0CAD" w:rsidP="007B6836">
      <w:pPr>
        <w:autoSpaceDE w:val="0"/>
        <w:autoSpaceDN w:val="0"/>
        <w:adjustRightInd w:val="0"/>
        <w:spacing w:before="100" w:beforeAutospacing="1" w:after="100" w:afterAutospacing="1" w:line="360" w:lineRule="auto"/>
        <w:rPr>
          <w:rFonts w:asciiTheme="majorHAnsi" w:hAnsiTheme="majorHAnsi" w:cstheme="majorHAnsi"/>
          <w:color w:val="000000"/>
        </w:rPr>
      </w:pPr>
      <w:r w:rsidRPr="00E90161">
        <w:rPr>
          <w:rFonts w:asciiTheme="majorHAnsi" w:hAnsiTheme="majorHAnsi" w:cstheme="majorHAnsi"/>
          <w:color w:val="000000"/>
        </w:rPr>
        <w:t xml:space="preserve">Thus, the first year of the Briones </w:t>
      </w:r>
      <w:r>
        <w:rPr>
          <w:rFonts w:asciiTheme="majorHAnsi" w:hAnsiTheme="majorHAnsi" w:cstheme="majorHAnsi"/>
          <w:color w:val="000000"/>
        </w:rPr>
        <w:t>a</w:t>
      </w:r>
      <w:r w:rsidRPr="00E90161">
        <w:rPr>
          <w:rFonts w:asciiTheme="majorHAnsi" w:hAnsiTheme="majorHAnsi" w:cstheme="majorHAnsi"/>
          <w:color w:val="000000"/>
        </w:rPr>
        <w:t>dministration was focused on fiscal and budgetary reforms</w:t>
      </w:r>
      <w:r w:rsidR="00800ABF">
        <w:rPr>
          <w:rFonts w:asciiTheme="majorHAnsi" w:hAnsiTheme="majorHAnsi" w:cstheme="majorHAnsi"/>
          <w:color w:val="000000"/>
        </w:rPr>
        <w:t>.</w:t>
      </w:r>
    </w:p>
    <w:p w14:paraId="638111B0" w14:textId="77777777" w:rsidR="008D0CAD" w:rsidRPr="00AA352A" w:rsidRDefault="008D0CAD" w:rsidP="007B6836">
      <w:pPr>
        <w:spacing w:before="100" w:beforeAutospacing="1" w:after="100" w:afterAutospacing="1" w:line="360" w:lineRule="auto"/>
        <w:rPr>
          <w:rFonts w:asciiTheme="majorHAnsi" w:hAnsiTheme="majorHAnsi" w:cstheme="majorHAnsi"/>
          <w:b/>
          <w:bCs/>
          <w:color w:val="0070C0"/>
        </w:rPr>
      </w:pPr>
      <w:bookmarkStart w:id="178" w:name="_Toc15887267"/>
      <w:r w:rsidRPr="00AA352A">
        <w:rPr>
          <w:rFonts w:asciiTheme="majorHAnsi" w:hAnsiTheme="majorHAnsi" w:cstheme="majorHAnsi"/>
          <w:b/>
          <w:bCs/>
          <w:color w:val="0070C0"/>
        </w:rPr>
        <w:t>Phase 4: April 2018 onwards to June 2019</w:t>
      </w:r>
      <w:bookmarkEnd w:id="178"/>
    </w:p>
    <w:p w14:paraId="6990892B" w14:textId="77777777" w:rsidR="008D0CAD" w:rsidRDefault="008D0CAD" w:rsidP="007B6836">
      <w:pPr>
        <w:spacing w:before="100" w:beforeAutospacing="1" w:after="100" w:afterAutospacing="1" w:line="360" w:lineRule="auto"/>
        <w:rPr>
          <w:rFonts w:asciiTheme="majorHAnsi" w:hAnsiTheme="majorHAnsi" w:cstheme="majorHAnsi"/>
        </w:rPr>
      </w:pPr>
      <w:r w:rsidRPr="00CE6EA6">
        <w:rPr>
          <w:rFonts w:asciiTheme="majorHAnsi" w:hAnsiTheme="majorHAnsi" w:cstheme="majorHAnsi"/>
        </w:rPr>
        <w:t xml:space="preserve">The </w:t>
      </w:r>
      <w:r>
        <w:rPr>
          <w:rFonts w:asciiTheme="majorHAnsi" w:hAnsiTheme="majorHAnsi" w:cstheme="majorHAnsi"/>
        </w:rPr>
        <w:t xml:space="preserve">EOPE Study further contributed to this analysis by adding a </w:t>
      </w:r>
      <w:r w:rsidRPr="00CE6EA6">
        <w:rPr>
          <w:rFonts w:asciiTheme="majorHAnsi" w:hAnsiTheme="majorHAnsi" w:cstheme="majorHAnsi"/>
        </w:rPr>
        <w:t xml:space="preserve">fourth implementation phase </w:t>
      </w:r>
      <w:r>
        <w:rPr>
          <w:rFonts w:asciiTheme="majorHAnsi" w:hAnsiTheme="majorHAnsi" w:cstheme="majorHAnsi"/>
        </w:rPr>
        <w:t xml:space="preserve">covering the period April 2018 (after </w:t>
      </w:r>
      <w:r w:rsidRPr="00CE6EA6">
        <w:rPr>
          <w:rFonts w:asciiTheme="majorHAnsi" w:hAnsiTheme="majorHAnsi" w:cstheme="majorHAnsi"/>
        </w:rPr>
        <w:t xml:space="preserve">the IPR </w:t>
      </w:r>
      <w:r>
        <w:rPr>
          <w:rFonts w:asciiTheme="majorHAnsi" w:hAnsiTheme="majorHAnsi" w:cstheme="majorHAnsi"/>
        </w:rPr>
        <w:t>was finalised in</w:t>
      </w:r>
      <w:r w:rsidRPr="00CE6EA6">
        <w:rPr>
          <w:rFonts w:asciiTheme="majorHAnsi" w:hAnsiTheme="majorHAnsi" w:cstheme="majorHAnsi"/>
        </w:rPr>
        <w:t xml:space="preserve"> February 2018)</w:t>
      </w:r>
      <w:r>
        <w:rPr>
          <w:rFonts w:asciiTheme="majorHAnsi" w:hAnsiTheme="majorHAnsi" w:cstheme="majorHAnsi"/>
        </w:rPr>
        <w:t xml:space="preserve"> until the Program’s end in June 2019. This was considered another phase of implementation because the Program instituted several key changes that critically impacted the Program’s success.</w:t>
      </w:r>
    </w:p>
    <w:p w14:paraId="68EB169A" w14:textId="77777777" w:rsidR="008D0CAD" w:rsidRDefault="008D0CAD" w:rsidP="007B6836">
      <w:pPr>
        <w:spacing w:before="100" w:beforeAutospacing="1" w:after="100" w:afterAutospacing="1" w:line="360" w:lineRule="auto"/>
        <w:rPr>
          <w:rFonts w:asciiTheme="majorHAnsi" w:hAnsiTheme="majorHAnsi" w:cstheme="majorHAnsi"/>
        </w:rPr>
      </w:pPr>
      <w:r>
        <w:rPr>
          <w:rFonts w:asciiTheme="majorHAnsi" w:hAnsiTheme="majorHAnsi" w:cstheme="majorHAnsi"/>
        </w:rPr>
        <w:t>According to the SMPR 8</w:t>
      </w:r>
      <w:r>
        <w:rPr>
          <w:rStyle w:val="FootnoteReference"/>
          <w:rFonts w:asciiTheme="majorHAnsi" w:eastAsia="Arial Unicode MS" w:hAnsiTheme="majorHAnsi" w:cstheme="majorHAnsi"/>
        </w:rPr>
        <w:footnoteReference w:id="119"/>
      </w:r>
      <w:r>
        <w:rPr>
          <w:rFonts w:asciiTheme="majorHAnsi" w:hAnsiTheme="majorHAnsi" w:cstheme="majorHAnsi"/>
        </w:rPr>
        <w:t>, “</w:t>
      </w:r>
      <w:r w:rsidRPr="00CE6EA6">
        <w:rPr>
          <w:rFonts w:asciiTheme="majorHAnsi" w:hAnsiTheme="majorHAnsi" w:cstheme="majorHAnsi"/>
          <w:i/>
        </w:rPr>
        <w:t>The period of January–June 2018 saw key reforms in the management of BEST to respond to the recommendations of the Independent Progress Review (IPR) that influenced the direction for the period</w:t>
      </w:r>
      <w:r>
        <w:rPr>
          <w:rFonts w:asciiTheme="majorHAnsi" w:hAnsiTheme="majorHAnsi" w:cstheme="majorHAnsi"/>
        </w:rPr>
        <w:t>” (Cardno Emerging Markets, SMPR 8, p. 13).</w:t>
      </w:r>
    </w:p>
    <w:p w14:paraId="1DCF05F0" w14:textId="77777777" w:rsidR="008D0CAD" w:rsidRDefault="008D0CAD" w:rsidP="007B6836">
      <w:pPr>
        <w:spacing w:before="100" w:beforeAutospacing="1" w:after="100" w:afterAutospacing="1" w:line="360" w:lineRule="auto"/>
        <w:rPr>
          <w:rFonts w:asciiTheme="majorHAnsi" w:hAnsiTheme="majorHAnsi" w:cstheme="majorHAnsi"/>
        </w:rPr>
      </w:pPr>
      <w:r>
        <w:rPr>
          <w:rFonts w:asciiTheme="majorHAnsi" w:hAnsiTheme="majorHAnsi" w:cstheme="majorHAnsi"/>
        </w:rPr>
        <w:t>One of the significant changes of the Program was the shift in the focus of interventions from policy making and standards development (thereby primarily focusing on the Central and Regional Offices) to the Divisions and the schools.</w:t>
      </w:r>
    </w:p>
    <w:p w14:paraId="2A23828F" w14:textId="7C3F0C02" w:rsidR="008D0CAD" w:rsidRPr="004E603D" w:rsidRDefault="008D0CAD" w:rsidP="007B6836">
      <w:pPr>
        <w:tabs>
          <w:tab w:val="left" w:pos="6840"/>
        </w:tabs>
        <w:spacing w:before="100" w:beforeAutospacing="1" w:after="100" w:afterAutospacing="1" w:line="360" w:lineRule="auto"/>
        <w:rPr>
          <w:rFonts w:asciiTheme="majorHAnsi" w:hAnsiTheme="majorHAnsi" w:cstheme="majorHAnsi"/>
          <w:color w:val="000000" w:themeColor="text1"/>
        </w:rPr>
      </w:pPr>
      <w:r w:rsidRPr="005E6AB5">
        <w:rPr>
          <w:rFonts w:asciiTheme="majorHAnsi" w:hAnsiTheme="majorHAnsi" w:cstheme="majorHAnsi"/>
        </w:rPr>
        <w:t>In December 2018, the Program Management Committee identified new priorities</w:t>
      </w:r>
      <w:r>
        <w:rPr>
          <w:rFonts w:asciiTheme="majorHAnsi" w:hAnsiTheme="majorHAnsi" w:cstheme="majorHAnsi"/>
        </w:rPr>
        <w:t xml:space="preserve">, one of which was </w:t>
      </w:r>
      <w:r w:rsidRPr="005E6AB5">
        <w:rPr>
          <w:rFonts w:asciiTheme="majorHAnsi" w:hAnsiTheme="majorHAnsi" w:cstheme="majorHAnsi"/>
        </w:rPr>
        <w:t xml:space="preserve">the Whole School Development Program </w:t>
      </w:r>
      <w:r>
        <w:rPr>
          <w:rFonts w:asciiTheme="majorHAnsi" w:hAnsiTheme="majorHAnsi" w:cstheme="majorHAnsi"/>
        </w:rPr>
        <w:t>(SMPR 8, p. 28).</w:t>
      </w:r>
      <w:r w:rsidR="00D434EB">
        <w:rPr>
          <w:rFonts w:asciiTheme="majorHAnsi" w:hAnsiTheme="majorHAnsi" w:cstheme="majorHAnsi"/>
        </w:rPr>
        <w:t xml:space="preserve"> </w:t>
      </w:r>
      <w:r w:rsidRPr="004E603D">
        <w:rPr>
          <w:rFonts w:asciiTheme="majorHAnsi" w:hAnsiTheme="majorHAnsi" w:cstheme="majorHAnsi"/>
          <w:color w:val="000000" w:themeColor="text1"/>
        </w:rPr>
        <w:t xml:space="preserve">This unprogrammed shift </w:t>
      </w:r>
      <w:r>
        <w:rPr>
          <w:rFonts w:asciiTheme="majorHAnsi" w:hAnsiTheme="majorHAnsi" w:cstheme="majorHAnsi"/>
          <w:color w:val="000000" w:themeColor="text1"/>
        </w:rPr>
        <w:t xml:space="preserve">was initially welcomed by the Regions although it </w:t>
      </w:r>
      <w:r w:rsidRPr="004E603D">
        <w:rPr>
          <w:rFonts w:asciiTheme="majorHAnsi" w:hAnsiTheme="majorHAnsi" w:cstheme="majorHAnsi"/>
          <w:color w:val="000000" w:themeColor="text1"/>
        </w:rPr>
        <w:t>created a new set of problems</w:t>
      </w:r>
      <w:r>
        <w:rPr>
          <w:rFonts w:asciiTheme="majorHAnsi" w:hAnsiTheme="majorHAnsi" w:cstheme="majorHAnsi"/>
          <w:color w:val="000000" w:themeColor="text1"/>
        </w:rPr>
        <w:t>.</w:t>
      </w:r>
      <w:r w:rsidRPr="004E603D">
        <w:rPr>
          <w:rFonts w:asciiTheme="majorHAnsi" w:hAnsiTheme="majorHAnsi" w:cstheme="majorHAnsi"/>
          <w:color w:val="000000" w:themeColor="text1"/>
        </w:rPr>
        <w:t xml:space="preserve"> </w:t>
      </w:r>
      <w:r>
        <w:rPr>
          <w:rFonts w:asciiTheme="majorHAnsi" w:hAnsiTheme="majorHAnsi" w:cstheme="majorHAnsi"/>
          <w:color w:val="000000" w:themeColor="text1"/>
        </w:rPr>
        <w:t>B</w:t>
      </w:r>
      <w:r w:rsidRPr="004E603D">
        <w:rPr>
          <w:rFonts w:asciiTheme="majorHAnsi" w:hAnsiTheme="majorHAnsi" w:cstheme="majorHAnsi"/>
          <w:color w:val="000000" w:themeColor="text1"/>
        </w:rPr>
        <w:t xml:space="preserve">ecause the different </w:t>
      </w:r>
      <w:r>
        <w:rPr>
          <w:rFonts w:asciiTheme="majorHAnsi" w:hAnsiTheme="majorHAnsi" w:cstheme="majorHAnsi"/>
          <w:color w:val="000000" w:themeColor="text1"/>
        </w:rPr>
        <w:t xml:space="preserve">Central Office </w:t>
      </w:r>
      <w:r w:rsidRPr="004E603D">
        <w:rPr>
          <w:rFonts w:asciiTheme="majorHAnsi" w:hAnsiTheme="majorHAnsi" w:cstheme="majorHAnsi"/>
          <w:color w:val="000000" w:themeColor="text1"/>
        </w:rPr>
        <w:t>Operating Units simultaneously implemented their respective programs</w:t>
      </w:r>
      <w:r>
        <w:rPr>
          <w:rFonts w:asciiTheme="majorHAnsi" w:hAnsiTheme="majorHAnsi" w:cstheme="majorHAnsi"/>
          <w:color w:val="000000" w:themeColor="text1"/>
        </w:rPr>
        <w:t>, the shift to schools</w:t>
      </w:r>
      <w:r w:rsidRPr="004E603D">
        <w:rPr>
          <w:rFonts w:asciiTheme="majorHAnsi" w:hAnsiTheme="majorHAnsi" w:cstheme="majorHAnsi"/>
          <w:color w:val="000000" w:themeColor="text1"/>
        </w:rPr>
        <w:t xml:space="preserve"> result</w:t>
      </w:r>
      <w:r>
        <w:rPr>
          <w:rFonts w:asciiTheme="majorHAnsi" w:hAnsiTheme="majorHAnsi" w:cstheme="majorHAnsi"/>
          <w:color w:val="000000" w:themeColor="text1"/>
        </w:rPr>
        <w:t>ed</w:t>
      </w:r>
      <w:r w:rsidRPr="004E603D">
        <w:rPr>
          <w:rFonts w:asciiTheme="majorHAnsi" w:hAnsiTheme="majorHAnsi" w:cstheme="majorHAnsi"/>
          <w:color w:val="000000" w:themeColor="text1"/>
        </w:rPr>
        <w:t xml:space="preserve"> in the simultaneously pouring of interventions to the schools.</w:t>
      </w:r>
      <w:r w:rsidR="00D434EB">
        <w:rPr>
          <w:rFonts w:asciiTheme="majorHAnsi" w:hAnsiTheme="majorHAnsi" w:cstheme="majorHAnsi"/>
          <w:color w:val="000000" w:themeColor="text1"/>
        </w:rPr>
        <w:t xml:space="preserve"> </w:t>
      </w:r>
      <w:r w:rsidRPr="004E603D">
        <w:rPr>
          <w:rFonts w:asciiTheme="majorHAnsi" w:hAnsiTheme="majorHAnsi" w:cstheme="majorHAnsi"/>
          <w:color w:val="000000" w:themeColor="text1"/>
        </w:rPr>
        <w:t xml:space="preserve">This triggered one principal to comment that the teachers were doing everything except teach (refer to </w:t>
      </w:r>
      <w:r>
        <w:rPr>
          <w:rFonts w:asciiTheme="majorHAnsi" w:hAnsiTheme="majorHAnsi" w:cstheme="majorHAnsi"/>
          <w:color w:val="000000" w:themeColor="text1"/>
        </w:rPr>
        <w:t>Box 3</w:t>
      </w:r>
      <w:r w:rsidRPr="004E603D">
        <w:rPr>
          <w:rFonts w:asciiTheme="majorHAnsi" w:hAnsiTheme="majorHAnsi" w:cstheme="majorHAnsi"/>
          <w:color w:val="000000" w:themeColor="text1"/>
        </w:rPr>
        <w:t xml:space="preserve">). </w:t>
      </w:r>
    </w:p>
    <w:p w14:paraId="5521354A" w14:textId="4A281E0C" w:rsidR="008D0CAD" w:rsidRPr="007B6836" w:rsidRDefault="008D0CAD" w:rsidP="007B6836">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color w:val="000000" w:themeColor="text1"/>
        </w:rPr>
        <w:t>Another observed problem was that because the Program M&amp;E systems were not properly established, the push to move interventions down to the schools was not appropriately monitored.</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Evidence of this was the lack of master lists of Training of Trainers (TOTs) conducted at the national and regional levels as well as the echo training programs conducted in the field.</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Moreover, although the national and regional training programs were called TOTs, they were not designed as such.</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Thus, the issues with the quality of roll-out or cascaded training programs abounded.</w:t>
      </w:r>
    </w:p>
    <w:p w14:paraId="76064892" w14:textId="7BB93530" w:rsidR="008D0CAD" w:rsidRPr="001A2753" w:rsidRDefault="008D0CAD" w:rsidP="007B6836">
      <w:pPr>
        <w:pStyle w:val="Heading2"/>
        <w:numPr>
          <w:ilvl w:val="0"/>
          <w:numId w:val="38"/>
        </w:numPr>
        <w:spacing w:before="100" w:beforeAutospacing="1" w:after="100" w:afterAutospacing="1" w:line="360" w:lineRule="auto"/>
      </w:pPr>
      <w:bookmarkStart w:id="179" w:name="_Toc69820446"/>
      <w:r w:rsidRPr="0083624B">
        <w:t>Assessment</w:t>
      </w:r>
      <w:r>
        <w:t xml:space="preserve"> of Contributions of 10 Program Interventions to Outcomes</w:t>
      </w:r>
      <w:bookmarkEnd w:id="179"/>
    </w:p>
    <w:p w14:paraId="6A1B106F" w14:textId="58E0AD78" w:rsidR="008D0CAD" w:rsidRPr="00D27025" w:rsidRDefault="008D0CAD" w:rsidP="007B6836">
      <w:pPr>
        <w:pStyle w:val="NormalWeb"/>
        <w:spacing w:line="360" w:lineRule="auto"/>
        <w:rPr>
          <w:rFonts w:asciiTheme="majorHAnsi" w:hAnsiTheme="majorHAnsi" w:cstheme="majorHAnsi"/>
          <w:color w:val="000000" w:themeColor="text1"/>
        </w:rPr>
      </w:pPr>
      <w:r w:rsidRPr="00D27025">
        <w:rPr>
          <w:rFonts w:asciiTheme="majorHAnsi" w:hAnsiTheme="majorHAnsi" w:cstheme="majorHAnsi"/>
          <w:color w:val="000000" w:themeColor="text1"/>
        </w:rPr>
        <w:t>The two studies</w:t>
      </w:r>
      <w:r>
        <w:rPr>
          <w:rFonts w:asciiTheme="majorHAnsi" w:hAnsiTheme="majorHAnsi" w:cstheme="majorHAnsi"/>
          <w:color w:val="000000" w:themeColor="text1"/>
        </w:rPr>
        <w:t xml:space="preserve"> that comprise the EOPE Study</w:t>
      </w:r>
      <w:r w:rsidRPr="00D27025">
        <w:rPr>
          <w:rFonts w:asciiTheme="majorHAnsi" w:hAnsiTheme="majorHAnsi" w:cstheme="majorHAnsi"/>
          <w:color w:val="000000" w:themeColor="text1"/>
        </w:rPr>
        <w:t xml:space="preserve"> are differentiated by the</w:t>
      </w:r>
      <w:r>
        <w:rPr>
          <w:rFonts w:asciiTheme="majorHAnsi" w:hAnsiTheme="majorHAnsi" w:cstheme="majorHAnsi"/>
          <w:color w:val="000000" w:themeColor="text1"/>
        </w:rPr>
        <w:t>ir</w:t>
      </w:r>
      <w:r w:rsidRPr="00D27025">
        <w:rPr>
          <w:rFonts w:asciiTheme="majorHAnsi" w:hAnsiTheme="majorHAnsi" w:cstheme="majorHAnsi"/>
          <w:color w:val="000000" w:themeColor="text1"/>
        </w:rPr>
        <w:t xml:space="preserve"> </w:t>
      </w:r>
      <w:r>
        <w:rPr>
          <w:rFonts w:asciiTheme="majorHAnsi" w:hAnsiTheme="majorHAnsi" w:cstheme="majorHAnsi"/>
          <w:color w:val="000000" w:themeColor="text1"/>
        </w:rPr>
        <w:t>primary focus</w:t>
      </w:r>
      <w:r w:rsidRPr="00D27025">
        <w:rPr>
          <w:rFonts w:asciiTheme="majorHAnsi" w:hAnsiTheme="majorHAnsi" w:cstheme="majorHAnsi"/>
          <w:color w:val="000000" w:themeColor="text1"/>
        </w:rPr>
        <w:t>.</w:t>
      </w:r>
      <w:r w:rsidR="00D434EB">
        <w:rPr>
          <w:rFonts w:asciiTheme="majorHAnsi" w:hAnsiTheme="majorHAnsi" w:cstheme="majorHAnsi"/>
          <w:color w:val="000000" w:themeColor="text1"/>
        </w:rPr>
        <w:t xml:space="preserve"> </w:t>
      </w:r>
      <w:r w:rsidRPr="00D27025">
        <w:rPr>
          <w:rFonts w:asciiTheme="majorHAnsi" w:hAnsiTheme="majorHAnsi" w:cstheme="majorHAnsi"/>
          <w:color w:val="000000" w:themeColor="text1"/>
        </w:rPr>
        <w:t xml:space="preserve">The </w:t>
      </w:r>
      <w:r>
        <w:rPr>
          <w:rFonts w:asciiTheme="majorHAnsi" w:hAnsiTheme="majorHAnsi" w:cstheme="majorHAnsi"/>
          <w:color w:val="000000" w:themeColor="text1"/>
        </w:rPr>
        <w:t>main</w:t>
      </w:r>
      <w:r w:rsidRPr="00D27025">
        <w:rPr>
          <w:rFonts w:asciiTheme="majorHAnsi" w:hAnsiTheme="majorHAnsi" w:cstheme="majorHAnsi"/>
          <w:color w:val="000000" w:themeColor="text1"/>
        </w:rPr>
        <w:t xml:space="preserve"> study </w:t>
      </w:r>
      <w:r>
        <w:rPr>
          <w:rFonts w:asciiTheme="majorHAnsi" w:hAnsiTheme="majorHAnsi" w:cstheme="majorHAnsi"/>
          <w:color w:val="000000" w:themeColor="text1"/>
        </w:rPr>
        <w:t>(2019 EOPE Study) gauged the Program from</w:t>
      </w:r>
      <w:r w:rsidRPr="00D27025">
        <w:rPr>
          <w:rFonts w:asciiTheme="majorHAnsi" w:hAnsiTheme="majorHAnsi" w:cstheme="majorHAnsi"/>
          <w:color w:val="000000" w:themeColor="text1"/>
        </w:rPr>
        <w:t xml:space="preserve"> </w:t>
      </w:r>
      <w:r>
        <w:rPr>
          <w:rFonts w:asciiTheme="majorHAnsi" w:hAnsiTheme="majorHAnsi" w:cstheme="majorHAnsi"/>
          <w:color w:val="000000" w:themeColor="text1"/>
        </w:rPr>
        <w:t>a</w:t>
      </w:r>
      <w:r w:rsidRPr="00D27025">
        <w:rPr>
          <w:rFonts w:asciiTheme="majorHAnsi" w:hAnsiTheme="majorHAnsi" w:cstheme="majorHAnsi"/>
          <w:color w:val="000000" w:themeColor="text1"/>
        </w:rPr>
        <w:t xml:space="preserve"> macro perspective, </w:t>
      </w:r>
      <w:r>
        <w:rPr>
          <w:rFonts w:asciiTheme="majorHAnsi" w:hAnsiTheme="majorHAnsi" w:cstheme="majorHAnsi"/>
          <w:color w:val="000000" w:themeColor="text1"/>
        </w:rPr>
        <w:t>assessing entirety of</w:t>
      </w:r>
      <w:r w:rsidRPr="00D27025">
        <w:rPr>
          <w:rFonts w:asciiTheme="majorHAnsi" w:hAnsiTheme="majorHAnsi" w:cstheme="majorHAnsi"/>
          <w:color w:val="000000" w:themeColor="text1"/>
        </w:rPr>
        <w:t xml:space="preserve"> the systemic reforms</w:t>
      </w:r>
      <w:r>
        <w:rPr>
          <w:rFonts w:asciiTheme="majorHAnsi" w:hAnsiTheme="majorHAnsi" w:cstheme="majorHAnsi"/>
          <w:color w:val="000000" w:themeColor="text1"/>
        </w:rPr>
        <w:t xml:space="preserve"> across governance levels (i.e.,</w:t>
      </w:r>
      <w:r w:rsidRPr="00D27025">
        <w:rPr>
          <w:rFonts w:asciiTheme="majorHAnsi" w:hAnsiTheme="majorHAnsi" w:cstheme="majorHAnsi"/>
          <w:color w:val="000000" w:themeColor="text1"/>
        </w:rPr>
        <w:t xml:space="preserve"> Central Office, its partners, Regional and Division Offices</w:t>
      </w:r>
      <w:r>
        <w:rPr>
          <w:rFonts w:asciiTheme="majorHAnsi" w:hAnsiTheme="majorHAnsi" w:cstheme="majorHAnsi"/>
          <w:color w:val="000000" w:themeColor="text1"/>
        </w:rPr>
        <w:t>)</w:t>
      </w:r>
      <w:r w:rsidRPr="00D27025">
        <w:rPr>
          <w:rFonts w:asciiTheme="majorHAnsi" w:hAnsiTheme="majorHAnsi" w:cstheme="majorHAnsi"/>
          <w:color w:val="000000" w:themeColor="text1"/>
        </w:rPr>
        <w:t>.</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 </w:t>
      </w:r>
    </w:p>
    <w:p w14:paraId="2B5254DB" w14:textId="3E6BC0DE" w:rsidR="008D0CAD" w:rsidRPr="00705CA1" w:rsidRDefault="008D0CAD" w:rsidP="007B6836">
      <w:pPr>
        <w:pStyle w:val="NormalWeb"/>
        <w:spacing w:line="360" w:lineRule="auto"/>
        <w:rPr>
          <w:rFonts w:asciiTheme="majorHAnsi" w:hAnsiTheme="majorHAnsi" w:cstheme="majorHAnsi"/>
          <w:color w:val="000000" w:themeColor="text1"/>
        </w:rPr>
      </w:pPr>
      <w:r w:rsidRPr="00705CA1">
        <w:rPr>
          <w:rFonts w:asciiTheme="majorHAnsi" w:hAnsiTheme="majorHAnsi" w:cstheme="majorHAnsi"/>
          <w:color w:val="000000" w:themeColor="text1"/>
        </w:rPr>
        <w:t>The Follow-up study (2020 EOPE Study), examined effects of reforms at the school level. The focus was to validate some finding</w:t>
      </w:r>
      <w:r>
        <w:rPr>
          <w:rFonts w:asciiTheme="majorHAnsi" w:hAnsiTheme="majorHAnsi" w:cstheme="majorHAnsi"/>
          <w:color w:val="000000" w:themeColor="text1"/>
        </w:rPr>
        <w:t>s</w:t>
      </w:r>
      <w:r w:rsidRPr="00705CA1">
        <w:rPr>
          <w:rFonts w:asciiTheme="majorHAnsi" w:hAnsiTheme="majorHAnsi" w:cstheme="majorHAnsi"/>
          <w:color w:val="000000" w:themeColor="text1"/>
        </w:rPr>
        <w:t xml:space="preserve"> from the first study and to identify specific experiences of schools that could </w:t>
      </w:r>
      <w:r>
        <w:rPr>
          <w:rFonts w:asciiTheme="majorHAnsi" w:hAnsiTheme="majorHAnsi" w:cstheme="majorHAnsi"/>
          <w:color w:val="000000" w:themeColor="text1"/>
        </w:rPr>
        <w:t>further illustrate</w:t>
      </w:r>
      <w:r w:rsidRPr="00705CA1">
        <w:rPr>
          <w:rFonts w:asciiTheme="majorHAnsi" w:hAnsiTheme="majorHAnsi" w:cstheme="majorHAnsi"/>
          <w:color w:val="000000" w:themeColor="text1"/>
        </w:rPr>
        <w:t xml:space="preserve"> the effects of the Program interventions even if these were anecdotal.</w:t>
      </w:r>
      <w:r w:rsidR="00D434EB">
        <w:rPr>
          <w:rFonts w:asciiTheme="majorHAnsi" w:hAnsiTheme="majorHAnsi" w:cstheme="majorHAnsi"/>
          <w:color w:val="000000" w:themeColor="text1"/>
        </w:rPr>
        <w:t xml:space="preserve"> </w:t>
      </w:r>
      <w:r w:rsidRPr="00705CA1">
        <w:rPr>
          <w:rFonts w:asciiTheme="majorHAnsi" w:hAnsiTheme="majorHAnsi" w:cstheme="majorHAnsi"/>
          <w:color w:val="000000" w:themeColor="text1"/>
        </w:rPr>
        <w:t>It should be noted that there was a time gap of seven months between the main study and the follow-up study.</w:t>
      </w:r>
      <w:r w:rsidRPr="00705CA1">
        <w:rPr>
          <w:rStyle w:val="FootnoteReference"/>
          <w:rFonts w:asciiTheme="majorHAnsi" w:eastAsiaTheme="majorEastAsia" w:hAnsiTheme="majorHAnsi" w:cstheme="majorHAnsi"/>
          <w:color w:val="000000" w:themeColor="text1"/>
        </w:rPr>
        <w:footnoteReference w:id="120"/>
      </w:r>
      <w:r w:rsidRPr="00705CA1">
        <w:rPr>
          <w:rFonts w:asciiTheme="majorHAnsi" w:hAnsiTheme="majorHAnsi" w:cstheme="majorHAnsi"/>
          <w:color w:val="000000" w:themeColor="text1"/>
        </w:rPr>
        <w:t xml:space="preserve"> Ultimately, the effectiveness of the BEST Program interventions should be </w:t>
      </w:r>
      <w:r>
        <w:rPr>
          <w:rFonts w:asciiTheme="majorHAnsi" w:hAnsiTheme="majorHAnsi" w:cstheme="majorHAnsi"/>
          <w:color w:val="000000" w:themeColor="text1"/>
        </w:rPr>
        <w:t>evident</w:t>
      </w:r>
      <w:r w:rsidRPr="00705CA1">
        <w:rPr>
          <w:rFonts w:asciiTheme="majorHAnsi" w:hAnsiTheme="majorHAnsi" w:cstheme="majorHAnsi"/>
          <w:color w:val="000000" w:themeColor="text1"/>
        </w:rPr>
        <w:t xml:space="preserve"> at school</w:t>
      </w:r>
      <w:r>
        <w:rPr>
          <w:rFonts w:asciiTheme="majorHAnsi" w:hAnsiTheme="majorHAnsi" w:cstheme="majorHAnsi"/>
          <w:color w:val="000000" w:themeColor="text1"/>
        </w:rPr>
        <w:t xml:space="preserve"> level</w:t>
      </w:r>
      <w:r w:rsidRPr="00705CA1">
        <w:rPr>
          <w:rFonts w:asciiTheme="majorHAnsi" w:hAnsiTheme="majorHAnsi" w:cstheme="majorHAnsi"/>
          <w:color w:val="000000" w:themeColor="text1"/>
        </w:rPr>
        <w:t xml:space="preserve"> since </w:t>
      </w:r>
      <w:r>
        <w:rPr>
          <w:rFonts w:asciiTheme="majorHAnsi" w:hAnsiTheme="majorHAnsi" w:cstheme="majorHAnsi"/>
          <w:color w:val="000000" w:themeColor="text1"/>
        </w:rPr>
        <w:t>all</w:t>
      </w:r>
      <w:r w:rsidRPr="00705CA1">
        <w:rPr>
          <w:rFonts w:asciiTheme="majorHAnsi" w:hAnsiTheme="majorHAnsi" w:cstheme="majorHAnsi"/>
          <w:color w:val="000000" w:themeColor="text1"/>
        </w:rPr>
        <w:t xml:space="preserve"> Program</w:t>
      </w:r>
      <w:r>
        <w:rPr>
          <w:rFonts w:asciiTheme="majorHAnsi" w:hAnsiTheme="majorHAnsi" w:cstheme="majorHAnsi"/>
          <w:color w:val="000000" w:themeColor="text1"/>
        </w:rPr>
        <w:t xml:space="preserve"> interventions</w:t>
      </w:r>
      <w:r w:rsidRPr="00705CA1">
        <w:rPr>
          <w:rFonts w:asciiTheme="majorHAnsi" w:hAnsiTheme="majorHAnsi" w:cstheme="majorHAnsi"/>
          <w:color w:val="000000" w:themeColor="text1"/>
        </w:rPr>
        <w:t xml:space="preserve">, </w:t>
      </w:r>
      <w:r>
        <w:rPr>
          <w:rFonts w:asciiTheme="majorHAnsi" w:hAnsiTheme="majorHAnsi" w:cstheme="majorHAnsi"/>
          <w:color w:val="000000" w:themeColor="text1"/>
        </w:rPr>
        <w:t>whether</w:t>
      </w:r>
      <w:r w:rsidRPr="00705CA1">
        <w:rPr>
          <w:rFonts w:asciiTheme="majorHAnsi" w:hAnsiTheme="majorHAnsi" w:cstheme="majorHAnsi"/>
          <w:color w:val="000000" w:themeColor="text1"/>
        </w:rPr>
        <w:t xml:space="preserve"> policy</w:t>
      </w:r>
      <w:r>
        <w:rPr>
          <w:rFonts w:asciiTheme="majorHAnsi" w:hAnsiTheme="majorHAnsi" w:cstheme="majorHAnsi"/>
          <w:color w:val="000000" w:themeColor="text1"/>
        </w:rPr>
        <w:t>, teacher development</w:t>
      </w:r>
      <w:r w:rsidRPr="00705CA1">
        <w:rPr>
          <w:rFonts w:asciiTheme="majorHAnsi" w:hAnsiTheme="majorHAnsi" w:cstheme="majorHAnsi"/>
          <w:color w:val="000000" w:themeColor="text1"/>
        </w:rPr>
        <w:t xml:space="preserve"> or teaching-learning materials</w:t>
      </w:r>
      <w:r>
        <w:rPr>
          <w:rFonts w:asciiTheme="majorHAnsi" w:hAnsiTheme="majorHAnsi" w:cstheme="majorHAnsi"/>
          <w:color w:val="000000" w:themeColor="text1"/>
        </w:rPr>
        <w:t xml:space="preserve"> are designed ultimately to improve participation and learning in schools</w:t>
      </w:r>
      <w:r w:rsidRPr="00705CA1">
        <w:rPr>
          <w:rFonts w:asciiTheme="majorHAnsi" w:hAnsiTheme="majorHAnsi" w:cstheme="majorHAnsi"/>
          <w:color w:val="000000" w:themeColor="text1"/>
        </w:rPr>
        <w:t>.</w:t>
      </w:r>
    </w:p>
    <w:p w14:paraId="108E29EE" w14:textId="21AE5E98" w:rsidR="008D0CAD" w:rsidRDefault="008D0CAD" w:rsidP="007B6836">
      <w:pPr>
        <w:pStyle w:val="NormalWeb"/>
        <w:spacing w:line="360" w:lineRule="auto"/>
        <w:rPr>
          <w:rFonts w:asciiTheme="majorHAnsi" w:hAnsiTheme="majorHAnsi" w:cstheme="majorHAnsi"/>
          <w:color w:val="C00000"/>
        </w:rPr>
      </w:pPr>
      <w:r w:rsidRPr="00705CA1">
        <w:rPr>
          <w:rFonts w:asciiTheme="majorHAnsi" w:hAnsiTheme="majorHAnsi" w:cstheme="majorHAnsi"/>
        </w:rPr>
        <w:t xml:space="preserve">The EOPE Study </w:t>
      </w:r>
      <w:r w:rsidRPr="00705CA1">
        <w:rPr>
          <w:rFonts w:asciiTheme="majorHAnsi" w:hAnsiTheme="majorHAnsi" w:cstheme="majorHAnsi"/>
          <w:color w:val="000000" w:themeColor="text1"/>
        </w:rPr>
        <w:t>assess</w:t>
      </w:r>
      <w:r>
        <w:rPr>
          <w:rFonts w:asciiTheme="majorHAnsi" w:hAnsiTheme="majorHAnsi" w:cstheme="majorHAnsi"/>
          <w:color w:val="000000" w:themeColor="text1"/>
        </w:rPr>
        <w:t>ed</w:t>
      </w:r>
      <w:r w:rsidRPr="00705CA1">
        <w:rPr>
          <w:rFonts w:asciiTheme="majorHAnsi" w:hAnsiTheme="majorHAnsi" w:cstheme="majorHAnsi"/>
          <w:color w:val="000000" w:themeColor="text1"/>
        </w:rPr>
        <w:t xml:space="preserve"> the BEST Program </w:t>
      </w:r>
      <w:r>
        <w:rPr>
          <w:rFonts w:asciiTheme="majorHAnsi" w:hAnsiTheme="majorHAnsi" w:cstheme="majorHAnsi"/>
          <w:color w:val="000000" w:themeColor="text1"/>
        </w:rPr>
        <w:t>as a whole albeit greater attention was placed on</w:t>
      </w:r>
      <w:r w:rsidRPr="00705CA1">
        <w:rPr>
          <w:rFonts w:asciiTheme="majorHAnsi" w:hAnsiTheme="majorHAnsi" w:cstheme="majorHAnsi"/>
          <w:color w:val="000000" w:themeColor="text1"/>
        </w:rPr>
        <w:t xml:space="preserve"> the contributions of 10</w:t>
      </w:r>
      <w:r>
        <w:rPr>
          <w:rFonts w:asciiTheme="majorHAnsi" w:hAnsiTheme="majorHAnsi" w:cstheme="majorHAnsi"/>
          <w:color w:val="000000" w:themeColor="text1"/>
        </w:rPr>
        <w:t xml:space="preserve"> key</w:t>
      </w:r>
      <w:r w:rsidRPr="00705CA1">
        <w:rPr>
          <w:rFonts w:asciiTheme="majorHAnsi" w:hAnsiTheme="majorHAnsi" w:cstheme="majorHAnsi"/>
          <w:color w:val="000000" w:themeColor="text1"/>
        </w:rPr>
        <w:t xml:space="preserve"> Program interventions. The reasons were that the EOPE</w:t>
      </w:r>
      <w:r>
        <w:rPr>
          <w:rFonts w:asciiTheme="majorHAnsi" w:hAnsiTheme="majorHAnsi" w:cstheme="majorHAnsi"/>
          <w:color w:val="000000" w:themeColor="text1"/>
        </w:rPr>
        <w:t xml:space="preserve"> was limited to the assessment of the 10 Programs identified by the Facilitating Contractor and excluded several other interventions such as the Innovation Fund.</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Moreover, the EOPE Study focused only on interventions directed at elementary schools and excluded interventions for secondary schools</w:t>
      </w:r>
      <w:r>
        <w:rPr>
          <w:rFonts w:asciiTheme="majorHAnsi" w:hAnsiTheme="majorHAnsi" w:cstheme="majorHAnsi"/>
        </w:rPr>
        <w:t>.</w:t>
      </w:r>
      <w:r w:rsidR="00D434EB">
        <w:rPr>
          <w:rFonts w:asciiTheme="majorHAnsi" w:hAnsiTheme="majorHAnsi" w:cstheme="majorHAnsi"/>
        </w:rPr>
        <w:t xml:space="preserve"> </w:t>
      </w:r>
      <w:r>
        <w:rPr>
          <w:rFonts w:asciiTheme="majorHAnsi" w:hAnsiTheme="majorHAnsi" w:cstheme="majorHAnsi"/>
        </w:rPr>
        <w:t xml:space="preserve">These delimitations were included in the RFT. Thus, to make the evaluation systematic, the Study applied the assessment criteria to each of the </w:t>
      </w:r>
      <w:r>
        <w:rPr>
          <w:rFonts w:asciiTheme="majorHAnsi" w:hAnsiTheme="majorHAnsi" w:cstheme="majorHAnsi"/>
          <w:color w:val="000000" w:themeColor="text1"/>
        </w:rPr>
        <w:t>10 Program interventions.</w:t>
      </w:r>
    </w:p>
    <w:p w14:paraId="38EB572B" w14:textId="0D9C5A00" w:rsidR="008D0CAD" w:rsidRDefault="008D0CAD" w:rsidP="007B6836">
      <w:pPr>
        <w:spacing w:before="100" w:beforeAutospacing="1" w:after="100" w:afterAutospacing="1" w:line="360" w:lineRule="auto"/>
        <w:rPr>
          <w:rFonts w:asciiTheme="majorHAnsi" w:hAnsiTheme="majorHAnsi" w:cstheme="majorHAnsi"/>
        </w:rPr>
      </w:pPr>
      <w:r>
        <w:rPr>
          <w:rFonts w:asciiTheme="majorHAnsi" w:hAnsiTheme="majorHAnsi" w:cstheme="majorHAnsi"/>
        </w:rPr>
        <w:t>T</w:t>
      </w:r>
      <w:r w:rsidRPr="00AD5009">
        <w:rPr>
          <w:rFonts w:asciiTheme="majorHAnsi" w:hAnsiTheme="majorHAnsi" w:cstheme="majorHAnsi"/>
        </w:rPr>
        <w:t xml:space="preserve">he EOPE Study </w:t>
      </w:r>
      <w:r>
        <w:rPr>
          <w:rFonts w:asciiTheme="majorHAnsi" w:hAnsiTheme="majorHAnsi" w:cstheme="majorHAnsi"/>
        </w:rPr>
        <w:t>used</w:t>
      </w:r>
      <w:r w:rsidRPr="00AD5009">
        <w:rPr>
          <w:rFonts w:asciiTheme="majorHAnsi" w:hAnsiTheme="majorHAnsi" w:cstheme="majorHAnsi"/>
        </w:rPr>
        <w:t xml:space="preserve"> a set of rubrics</w:t>
      </w:r>
      <w:r>
        <w:rPr>
          <w:rFonts w:asciiTheme="majorHAnsi" w:hAnsiTheme="majorHAnsi" w:cstheme="majorHAnsi"/>
        </w:rPr>
        <w:t xml:space="preserve"> (a 4-point rating scale)</w:t>
      </w:r>
      <w:r w:rsidRPr="00AD5009">
        <w:rPr>
          <w:rFonts w:asciiTheme="majorHAnsi" w:hAnsiTheme="majorHAnsi" w:cstheme="majorHAnsi"/>
        </w:rPr>
        <w:t xml:space="preserve"> </w:t>
      </w:r>
      <w:r>
        <w:rPr>
          <w:rFonts w:asciiTheme="majorHAnsi" w:hAnsiTheme="majorHAnsi" w:cstheme="majorHAnsi"/>
        </w:rPr>
        <w:t>in assessing the 10 BEST Program interventions, aligned with the Study’s Evaluation Framework (see Annex W).</w:t>
      </w:r>
      <w:r w:rsidR="00D434EB">
        <w:rPr>
          <w:rFonts w:asciiTheme="majorHAnsi" w:hAnsiTheme="majorHAnsi" w:cstheme="majorHAnsi"/>
        </w:rPr>
        <w:t xml:space="preserve"> </w:t>
      </w:r>
      <w:r>
        <w:rPr>
          <w:rFonts w:asciiTheme="majorHAnsi" w:hAnsiTheme="majorHAnsi" w:cstheme="majorHAnsi"/>
        </w:rPr>
        <w:t>The set of rubrics used the internationally recognised criteria of Relevance, Efficiency, Effectiveness and Sustainability (REES).</w:t>
      </w:r>
      <w:r w:rsidR="00D434EB">
        <w:rPr>
          <w:rFonts w:asciiTheme="majorHAnsi" w:hAnsiTheme="majorHAnsi" w:cstheme="majorHAnsi"/>
        </w:rPr>
        <w:t xml:space="preserve"> </w:t>
      </w:r>
      <w:r>
        <w:rPr>
          <w:rFonts w:asciiTheme="majorHAnsi" w:hAnsiTheme="majorHAnsi" w:cstheme="majorHAnsi"/>
        </w:rPr>
        <w:t>The summary of assessment is shown in Table 43.</w:t>
      </w:r>
    </w:p>
    <w:p w14:paraId="377BDFF1" w14:textId="126FF446" w:rsidR="008D0CAD" w:rsidRPr="00353268" w:rsidRDefault="007162E7" w:rsidP="007B6836">
      <w:pPr>
        <w:pStyle w:val="Heading3"/>
        <w:spacing w:before="100" w:beforeAutospacing="1" w:after="100" w:afterAutospacing="1" w:line="360" w:lineRule="auto"/>
      </w:pPr>
      <w:bookmarkStart w:id="180" w:name="_Toc69820447"/>
      <w:r>
        <w:t xml:space="preserve">4.1. </w:t>
      </w:r>
      <w:r w:rsidR="008D0CAD">
        <w:t>Relevance</w:t>
      </w:r>
      <w:bookmarkEnd w:id="180"/>
    </w:p>
    <w:p w14:paraId="264AF9CB" w14:textId="42355DE8" w:rsidR="008D0CAD" w:rsidRDefault="008D0CAD" w:rsidP="007B6836">
      <w:pPr>
        <w:shd w:val="clear" w:color="auto" w:fill="FFFFFF"/>
        <w:spacing w:before="100" w:beforeAutospacing="1" w:after="100" w:afterAutospacing="1" w:line="360" w:lineRule="auto"/>
        <w:textAlignment w:val="baseline"/>
        <w:rPr>
          <w:rFonts w:asciiTheme="majorHAnsi" w:hAnsiTheme="majorHAnsi" w:cstheme="majorHAnsi"/>
        </w:rPr>
      </w:pPr>
      <w:r w:rsidRPr="004F28FD">
        <w:rPr>
          <w:rFonts w:asciiTheme="majorHAnsi" w:hAnsiTheme="majorHAnsi" w:cstheme="majorHAnsi"/>
        </w:rPr>
        <w:t xml:space="preserve">The </w:t>
      </w:r>
      <w:r>
        <w:rPr>
          <w:rFonts w:asciiTheme="majorHAnsi" w:hAnsiTheme="majorHAnsi" w:cstheme="majorHAnsi"/>
        </w:rPr>
        <w:t xml:space="preserve">literature </w:t>
      </w:r>
      <w:r w:rsidRPr="004F28FD">
        <w:rPr>
          <w:rFonts w:asciiTheme="majorHAnsi" w:hAnsiTheme="majorHAnsi" w:cstheme="majorHAnsi"/>
        </w:rPr>
        <w:t xml:space="preserve">review </w:t>
      </w:r>
      <w:r>
        <w:rPr>
          <w:rFonts w:asciiTheme="majorHAnsi" w:hAnsiTheme="majorHAnsi" w:cstheme="majorHAnsi"/>
        </w:rPr>
        <w:t xml:space="preserve">undertaken by the </w:t>
      </w:r>
      <w:r w:rsidRPr="00625893">
        <w:rPr>
          <w:rFonts w:asciiTheme="majorHAnsi" w:hAnsiTheme="majorHAnsi" w:cstheme="majorHAnsi"/>
          <w:color w:val="000000" w:themeColor="text1"/>
        </w:rPr>
        <w:t xml:space="preserve">EOPE Study </w:t>
      </w:r>
      <w:r>
        <w:rPr>
          <w:rFonts w:asciiTheme="majorHAnsi" w:hAnsiTheme="majorHAnsi" w:cstheme="majorHAnsi"/>
        </w:rPr>
        <w:t>underscored</w:t>
      </w:r>
      <w:r w:rsidRPr="004F28FD">
        <w:rPr>
          <w:rFonts w:asciiTheme="majorHAnsi" w:hAnsiTheme="majorHAnsi" w:cstheme="majorHAnsi"/>
        </w:rPr>
        <w:t xml:space="preserve"> </w:t>
      </w:r>
      <w:r>
        <w:rPr>
          <w:rFonts w:asciiTheme="majorHAnsi" w:hAnsiTheme="majorHAnsi" w:cstheme="majorHAnsi"/>
        </w:rPr>
        <w:t>the relevance of</w:t>
      </w:r>
      <w:r w:rsidRPr="004F28FD">
        <w:rPr>
          <w:rFonts w:asciiTheme="majorHAnsi" w:hAnsiTheme="majorHAnsi" w:cstheme="majorHAnsi"/>
        </w:rPr>
        <w:t xml:space="preserve"> </w:t>
      </w:r>
      <w:r>
        <w:rPr>
          <w:rFonts w:asciiTheme="majorHAnsi" w:hAnsiTheme="majorHAnsi" w:cstheme="majorHAnsi"/>
        </w:rPr>
        <w:t xml:space="preserve">all of the 10 </w:t>
      </w:r>
      <w:r w:rsidRPr="004F28FD">
        <w:rPr>
          <w:rFonts w:asciiTheme="majorHAnsi" w:hAnsiTheme="majorHAnsi" w:cstheme="majorHAnsi"/>
        </w:rPr>
        <w:t xml:space="preserve">BEST </w:t>
      </w:r>
      <w:r>
        <w:rPr>
          <w:rFonts w:asciiTheme="majorHAnsi" w:hAnsiTheme="majorHAnsi" w:cstheme="majorHAnsi"/>
        </w:rPr>
        <w:t>Program interventions albeit some were more relevant than others and some were more relevant at specific governance level.</w:t>
      </w:r>
      <w:r w:rsidR="00D434EB">
        <w:rPr>
          <w:rFonts w:asciiTheme="majorHAnsi" w:hAnsiTheme="majorHAnsi" w:cstheme="majorHAnsi"/>
        </w:rPr>
        <w:t xml:space="preserve"> </w:t>
      </w:r>
      <w:r>
        <w:rPr>
          <w:rFonts w:asciiTheme="majorHAnsi" w:hAnsiTheme="majorHAnsi" w:cstheme="majorHAnsi"/>
        </w:rPr>
        <w:t>In addition, findings relate to the following assessments on relevance.</w:t>
      </w:r>
    </w:p>
    <w:p w14:paraId="255DA109" w14:textId="77777777" w:rsidR="008D0CAD" w:rsidRDefault="008D0CAD" w:rsidP="007B6836">
      <w:pPr>
        <w:pStyle w:val="NormalWeb"/>
        <w:shd w:val="clear" w:color="auto" w:fill="FFFFFF"/>
        <w:spacing w:line="360" w:lineRule="auto"/>
        <w:rPr>
          <w:rFonts w:asciiTheme="majorHAnsi" w:hAnsiTheme="majorHAnsi" w:cstheme="majorHAnsi"/>
        </w:rPr>
      </w:pPr>
      <w:r w:rsidRPr="00AF5346">
        <w:rPr>
          <w:rFonts w:asciiTheme="majorHAnsi" w:hAnsiTheme="majorHAnsi"/>
        </w:rPr>
        <w:t xml:space="preserve">Of the four BEST Program interventions that directly contributed to </w:t>
      </w:r>
      <w:r w:rsidRPr="00AF5346">
        <w:rPr>
          <w:rFonts w:asciiTheme="majorHAnsi" w:hAnsiTheme="majorHAnsi" w:cstheme="majorHAnsi"/>
          <w:color w:val="000000" w:themeColor="text1"/>
          <w:spacing w:val="2"/>
        </w:rPr>
        <w:t xml:space="preserve">increasing student mastery of the curriculum, </w:t>
      </w:r>
      <w:r>
        <w:rPr>
          <w:rFonts w:asciiTheme="majorHAnsi" w:hAnsiTheme="majorHAnsi" w:cstheme="majorHAnsi"/>
        </w:rPr>
        <w:t>three interventions were assessed as Highly Relevant: L&amp;D System; PPST; and C&amp;A.</w:t>
      </w:r>
    </w:p>
    <w:p w14:paraId="13F7AA44" w14:textId="53EA84B4" w:rsidR="008D0CAD" w:rsidRDefault="008D0CAD" w:rsidP="007B6836">
      <w:pPr>
        <w:pStyle w:val="NormalWeb"/>
        <w:shd w:val="clear" w:color="auto" w:fill="FFFFFF"/>
        <w:spacing w:line="360" w:lineRule="auto"/>
        <w:rPr>
          <w:rFonts w:asciiTheme="majorHAnsi" w:hAnsiTheme="majorHAnsi"/>
          <w:color w:val="000000"/>
        </w:rPr>
      </w:pPr>
      <w:r w:rsidRPr="00A96AD6">
        <w:rPr>
          <w:rFonts w:asciiTheme="majorHAnsi" w:hAnsiTheme="majorHAnsi"/>
          <w:b/>
          <w:bCs/>
          <w:color w:val="000000"/>
        </w:rPr>
        <w:t>Curriculum and Assessment</w:t>
      </w:r>
      <w:r w:rsidRPr="00037AA6">
        <w:rPr>
          <w:rFonts w:asciiTheme="majorHAnsi" w:hAnsiTheme="majorHAnsi"/>
          <w:color w:val="000000"/>
        </w:rPr>
        <w:t xml:space="preserve"> (C&amp;A)</w:t>
      </w:r>
      <w:r w:rsidRPr="00AF5346">
        <w:rPr>
          <w:rFonts w:asciiTheme="majorHAnsi" w:hAnsiTheme="majorHAnsi"/>
          <w:b/>
          <w:bCs/>
          <w:color w:val="000000"/>
        </w:rPr>
        <w:t xml:space="preserve"> </w:t>
      </w:r>
      <w:r w:rsidRPr="00037AA6">
        <w:rPr>
          <w:rFonts w:asciiTheme="majorHAnsi" w:hAnsiTheme="majorHAnsi"/>
          <w:color w:val="000000"/>
        </w:rPr>
        <w:t>was</w:t>
      </w:r>
      <w:r w:rsidRPr="00AF5346">
        <w:rPr>
          <w:rFonts w:asciiTheme="majorHAnsi" w:hAnsiTheme="majorHAnsi"/>
          <w:b/>
          <w:bCs/>
          <w:color w:val="000000"/>
        </w:rPr>
        <w:t xml:space="preserve"> </w:t>
      </w:r>
      <w:r w:rsidRPr="00AF5346">
        <w:rPr>
          <w:rFonts w:asciiTheme="majorHAnsi" w:hAnsiTheme="majorHAnsi" w:cstheme="majorHAnsi"/>
          <w:b/>
          <w:bCs/>
          <w:color w:val="538135" w:themeColor="accent6" w:themeShade="BF"/>
        </w:rPr>
        <w:t>Highly Relevant</w:t>
      </w:r>
      <w:r w:rsidRPr="00AF5346">
        <w:rPr>
          <w:rFonts w:asciiTheme="majorHAnsi" w:hAnsiTheme="majorHAnsi"/>
          <w:color w:val="538135" w:themeColor="accent6" w:themeShade="BF"/>
        </w:rPr>
        <w:t xml:space="preserve"> </w:t>
      </w:r>
      <w:r w:rsidRPr="00AF5346">
        <w:rPr>
          <w:rFonts w:asciiTheme="majorHAnsi" w:hAnsiTheme="majorHAnsi"/>
          <w:color w:val="000000"/>
        </w:rPr>
        <w:t xml:space="preserve">because it was coherent with the objectives of the K to 12 curriculum, </w:t>
      </w:r>
      <w:r>
        <w:rPr>
          <w:rFonts w:asciiTheme="majorHAnsi" w:hAnsiTheme="majorHAnsi"/>
          <w:color w:val="000000"/>
        </w:rPr>
        <w:t>a</w:t>
      </w:r>
      <w:r w:rsidRPr="00AF5346">
        <w:rPr>
          <w:rFonts w:asciiTheme="majorHAnsi" w:hAnsiTheme="majorHAnsi"/>
          <w:color w:val="000000"/>
        </w:rPr>
        <w:t xml:space="preserve"> </w:t>
      </w:r>
      <w:r>
        <w:rPr>
          <w:rFonts w:asciiTheme="majorHAnsi" w:hAnsiTheme="majorHAnsi"/>
          <w:color w:val="000000"/>
        </w:rPr>
        <w:t>DepEd</w:t>
      </w:r>
      <w:r w:rsidRPr="00AF5346">
        <w:rPr>
          <w:rFonts w:asciiTheme="majorHAnsi" w:hAnsiTheme="majorHAnsi"/>
          <w:color w:val="000000"/>
        </w:rPr>
        <w:t xml:space="preserve"> flagship program</w:t>
      </w:r>
      <w:r>
        <w:rPr>
          <w:rFonts w:asciiTheme="majorHAnsi" w:hAnsiTheme="majorHAnsi"/>
          <w:color w:val="000000"/>
        </w:rPr>
        <w:t xml:space="preserve"> at the start of the BEST Program</w:t>
      </w:r>
      <w:r w:rsidRPr="00AF5346">
        <w:rPr>
          <w:rFonts w:asciiTheme="majorHAnsi" w:hAnsiTheme="majorHAnsi"/>
          <w:color w:val="000000"/>
        </w:rPr>
        <w:t>.</w:t>
      </w:r>
      <w:r w:rsidR="00D434EB">
        <w:rPr>
          <w:rFonts w:asciiTheme="majorHAnsi" w:hAnsiTheme="majorHAnsi"/>
          <w:color w:val="000000"/>
        </w:rPr>
        <w:t xml:space="preserve"> </w:t>
      </w:r>
      <w:r>
        <w:rPr>
          <w:rFonts w:asciiTheme="majorHAnsi" w:hAnsiTheme="majorHAnsi"/>
          <w:color w:val="000000"/>
        </w:rPr>
        <w:t>T</w:t>
      </w:r>
      <w:r w:rsidRPr="00AF5346">
        <w:rPr>
          <w:rFonts w:asciiTheme="majorHAnsi" w:hAnsiTheme="majorHAnsi"/>
          <w:color w:val="000000"/>
        </w:rPr>
        <w:t xml:space="preserve">he </w:t>
      </w:r>
      <w:r w:rsidRPr="00037AA6">
        <w:rPr>
          <w:rFonts w:asciiTheme="majorHAnsi" w:hAnsiTheme="majorHAnsi"/>
          <w:color w:val="000000"/>
        </w:rPr>
        <w:t xml:space="preserve">Curriculum and Assessment </w:t>
      </w:r>
      <w:r>
        <w:rPr>
          <w:rFonts w:asciiTheme="majorHAnsi" w:hAnsiTheme="majorHAnsi"/>
          <w:color w:val="000000"/>
        </w:rPr>
        <w:t xml:space="preserve">developed by the Program </w:t>
      </w:r>
      <w:r w:rsidRPr="00AF5346">
        <w:rPr>
          <w:rFonts w:asciiTheme="majorHAnsi" w:hAnsiTheme="majorHAnsi"/>
          <w:color w:val="000000"/>
        </w:rPr>
        <w:t xml:space="preserve">were based on rigorous studies conducted by ACTRC. </w:t>
      </w:r>
      <w:r>
        <w:rPr>
          <w:rFonts w:asciiTheme="majorHAnsi" w:hAnsiTheme="majorHAnsi"/>
          <w:color w:val="000000"/>
        </w:rPr>
        <w:t>Similarly</w:t>
      </w:r>
      <w:r w:rsidRPr="00AF5346">
        <w:rPr>
          <w:rFonts w:asciiTheme="majorHAnsi" w:hAnsiTheme="majorHAnsi"/>
          <w:color w:val="000000"/>
        </w:rPr>
        <w:t xml:space="preserve">, </w:t>
      </w:r>
      <w:r w:rsidRPr="00A96AD6">
        <w:rPr>
          <w:rFonts w:asciiTheme="majorHAnsi" w:hAnsiTheme="majorHAnsi"/>
          <w:b/>
          <w:bCs/>
          <w:color w:val="000000"/>
        </w:rPr>
        <w:t>PPST</w:t>
      </w:r>
      <w:r>
        <w:rPr>
          <w:rFonts w:asciiTheme="majorHAnsi" w:hAnsiTheme="majorHAnsi"/>
          <w:color w:val="000000"/>
        </w:rPr>
        <w:t xml:space="preserve"> also considered</w:t>
      </w:r>
      <w:r w:rsidRPr="00037AA6">
        <w:rPr>
          <w:rFonts w:asciiTheme="majorHAnsi" w:hAnsiTheme="majorHAnsi"/>
          <w:color w:val="000000"/>
        </w:rPr>
        <w:t xml:space="preserve"> </w:t>
      </w:r>
      <w:r w:rsidRPr="00AF5346">
        <w:rPr>
          <w:rFonts w:asciiTheme="majorHAnsi" w:hAnsiTheme="majorHAnsi" w:cstheme="majorHAnsi"/>
          <w:b/>
          <w:bCs/>
          <w:color w:val="538135" w:themeColor="accent6" w:themeShade="BF"/>
        </w:rPr>
        <w:t>Highly Relevant</w:t>
      </w:r>
      <w:r w:rsidRPr="00AF5346">
        <w:rPr>
          <w:rFonts w:asciiTheme="majorHAnsi" w:hAnsiTheme="majorHAnsi"/>
          <w:color w:val="538135" w:themeColor="accent6" w:themeShade="BF"/>
        </w:rPr>
        <w:t xml:space="preserve"> </w:t>
      </w:r>
      <w:r w:rsidRPr="00AF5346">
        <w:rPr>
          <w:rFonts w:asciiTheme="majorHAnsi" w:hAnsiTheme="majorHAnsi"/>
          <w:color w:val="000000"/>
        </w:rPr>
        <w:t xml:space="preserve">because </w:t>
      </w:r>
      <w:r>
        <w:rPr>
          <w:rFonts w:asciiTheme="majorHAnsi" w:hAnsiTheme="majorHAnsi"/>
          <w:color w:val="000000"/>
        </w:rPr>
        <w:t>it</w:t>
      </w:r>
      <w:r w:rsidRPr="00AF5346">
        <w:rPr>
          <w:rFonts w:asciiTheme="majorHAnsi" w:hAnsiTheme="majorHAnsi" w:cstheme="majorHAnsi"/>
          <w:color w:val="000000"/>
        </w:rPr>
        <w:t xml:space="preserve"> provide</w:t>
      </w:r>
      <w:r>
        <w:rPr>
          <w:rFonts w:asciiTheme="majorHAnsi" w:hAnsiTheme="majorHAnsi" w:cstheme="majorHAnsi"/>
          <w:color w:val="000000"/>
        </w:rPr>
        <w:t>d</w:t>
      </w:r>
      <w:r w:rsidRPr="00AF5346">
        <w:rPr>
          <w:rFonts w:asciiTheme="majorHAnsi" w:hAnsiTheme="majorHAnsi" w:cstheme="majorHAnsi"/>
          <w:color w:val="000000"/>
        </w:rPr>
        <w:t xml:space="preserve"> innovative features an</w:t>
      </w:r>
      <w:r>
        <w:rPr>
          <w:rFonts w:asciiTheme="majorHAnsi" w:hAnsiTheme="majorHAnsi" w:cstheme="majorHAnsi"/>
          <w:color w:val="000000"/>
        </w:rPr>
        <w:t>d</w:t>
      </w:r>
      <w:r w:rsidRPr="00F77E71">
        <w:rPr>
          <w:rFonts w:asciiTheme="majorHAnsi" w:hAnsiTheme="majorHAnsi" w:cstheme="majorHAnsi"/>
          <w:color w:val="000000"/>
        </w:rPr>
        <w:t xml:space="preserve"> significant transformative effects</w:t>
      </w:r>
      <w:r>
        <w:rPr>
          <w:rFonts w:asciiTheme="majorHAnsi" w:hAnsiTheme="majorHAnsi" w:cstheme="majorHAnsi"/>
          <w:color w:val="000000"/>
        </w:rPr>
        <w:t xml:space="preserve"> on teacher performance</w:t>
      </w:r>
      <w:r w:rsidRPr="00F77E71">
        <w:rPr>
          <w:rFonts w:asciiTheme="majorHAnsi" w:hAnsiTheme="majorHAnsi" w:cstheme="majorHAnsi"/>
          <w:color w:val="000000"/>
        </w:rPr>
        <w:t>.</w:t>
      </w:r>
      <w:r w:rsidR="00D434EB">
        <w:rPr>
          <w:rFonts w:asciiTheme="majorHAnsi" w:hAnsiTheme="majorHAnsi" w:cstheme="majorHAnsi"/>
          <w:color w:val="000000"/>
        </w:rPr>
        <w:t xml:space="preserve"> </w:t>
      </w:r>
      <w:r>
        <w:rPr>
          <w:rFonts w:asciiTheme="majorHAnsi" w:hAnsiTheme="majorHAnsi" w:cstheme="majorHAnsi"/>
          <w:color w:val="000000"/>
        </w:rPr>
        <w:t>It was</w:t>
      </w:r>
      <w:r w:rsidRPr="00F77E71">
        <w:rPr>
          <w:rFonts w:asciiTheme="majorHAnsi" w:hAnsiTheme="majorHAnsi" w:cstheme="majorHAnsi"/>
          <w:color w:val="000000"/>
        </w:rPr>
        <w:t xml:space="preserve"> </w:t>
      </w:r>
      <w:r>
        <w:rPr>
          <w:rFonts w:asciiTheme="majorHAnsi" w:hAnsiTheme="majorHAnsi"/>
          <w:color w:val="000000"/>
        </w:rPr>
        <w:t>also</w:t>
      </w:r>
      <w:r w:rsidRPr="00AF5346">
        <w:rPr>
          <w:rFonts w:asciiTheme="majorHAnsi" w:hAnsiTheme="majorHAnsi"/>
          <w:color w:val="000000"/>
        </w:rPr>
        <w:t xml:space="preserve"> based </w:t>
      </w:r>
      <w:r>
        <w:rPr>
          <w:rFonts w:asciiTheme="majorHAnsi" w:hAnsiTheme="majorHAnsi"/>
          <w:color w:val="000000"/>
        </w:rPr>
        <w:t>on a</w:t>
      </w:r>
      <w:r w:rsidRPr="00AF5346">
        <w:rPr>
          <w:rFonts w:asciiTheme="majorHAnsi" w:hAnsiTheme="majorHAnsi"/>
          <w:color w:val="000000"/>
        </w:rPr>
        <w:t xml:space="preserve"> </w:t>
      </w:r>
      <w:r>
        <w:rPr>
          <w:rFonts w:asciiTheme="majorHAnsi" w:hAnsiTheme="majorHAnsi"/>
          <w:color w:val="000000"/>
        </w:rPr>
        <w:t>comprehensive</w:t>
      </w:r>
      <w:r w:rsidRPr="00AF5346">
        <w:rPr>
          <w:rFonts w:asciiTheme="majorHAnsi" w:hAnsiTheme="majorHAnsi"/>
          <w:color w:val="000000"/>
        </w:rPr>
        <w:t xml:space="preserve"> stud</w:t>
      </w:r>
      <w:r>
        <w:rPr>
          <w:rFonts w:asciiTheme="majorHAnsi" w:hAnsiTheme="majorHAnsi"/>
          <w:color w:val="000000"/>
        </w:rPr>
        <w:t>y</w:t>
      </w:r>
      <w:r w:rsidRPr="00AF5346">
        <w:rPr>
          <w:rFonts w:asciiTheme="majorHAnsi" w:hAnsiTheme="majorHAnsi"/>
          <w:color w:val="000000"/>
        </w:rPr>
        <w:t xml:space="preserve"> conducted by</w:t>
      </w:r>
      <w:r>
        <w:rPr>
          <w:rFonts w:asciiTheme="majorHAnsi" w:hAnsiTheme="majorHAnsi"/>
          <w:color w:val="000000"/>
        </w:rPr>
        <w:t xml:space="preserve"> RCTQ.</w:t>
      </w:r>
    </w:p>
    <w:p w14:paraId="1F4BBDEF" w14:textId="688B4507" w:rsidR="008D0CAD" w:rsidRDefault="008D0CAD" w:rsidP="007B6836">
      <w:pPr>
        <w:shd w:val="clear" w:color="auto" w:fill="FFFFFF"/>
        <w:spacing w:before="100" w:beforeAutospacing="1" w:after="100" w:afterAutospacing="1" w:line="360" w:lineRule="auto"/>
        <w:textAlignment w:val="baseline"/>
        <w:rPr>
          <w:rFonts w:asciiTheme="majorHAnsi" w:hAnsiTheme="majorHAnsi" w:cstheme="majorHAnsi"/>
        </w:rPr>
      </w:pPr>
      <w:r w:rsidRPr="00037AA6">
        <w:rPr>
          <w:rFonts w:asciiTheme="majorHAnsi" w:hAnsiTheme="majorHAnsi" w:cstheme="majorHAnsi"/>
          <w:color w:val="000000" w:themeColor="text1"/>
          <w:spacing w:val="2"/>
        </w:rPr>
        <w:t xml:space="preserve">The </w:t>
      </w:r>
      <w:r w:rsidRPr="00A96AD6">
        <w:rPr>
          <w:rFonts w:asciiTheme="majorHAnsi" w:hAnsiTheme="majorHAnsi" w:cstheme="majorHAnsi"/>
          <w:b/>
          <w:bCs/>
          <w:color w:val="000000" w:themeColor="text1"/>
          <w:spacing w:val="2"/>
        </w:rPr>
        <w:t>L&amp;D System</w:t>
      </w:r>
      <w:r w:rsidRPr="00037AA6">
        <w:rPr>
          <w:rFonts w:asciiTheme="majorHAnsi" w:hAnsiTheme="majorHAnsi" w:cstheme="majorHAnsi"/>
          <w:color w:val="000000" w:themeColor="text1"/>
          <w:spacing w:val="2"/>
        </w:rPr>
        <w:t xml:space="preserve"> was </w:t>
      </w:r>
      <w:r w:rsidRPr="00037AA6">
        <w:rPr>
          <w:rFonts w:asciiTheme="majorHAnsi" w:hAnsiTheme="majorHAnsi" w:cstheme="majorHAnsi"/>
        </w:rPr>
        <w:t>judged as</w:t>
      </w:r>
      <w:r w:rsidRPr="00AF5346">
        <w:rPr>
          <w:rFonts w:asciiTheme="majorHAnsi" w:hAnsiTheme="majorHAnsi" w:cstheme="majorHAnsi"/>
          <w:b/>
          <w:bCs/>
        </w:rPr>
        <w:t xml:space="preserve"> </w:t>
      </w:r>
      <w:r w:rsidRPr="00AF5346">
        <w:rPr>
          <w:rFonts w:asciiTheme="majorHAnsi" w:hAnsiTheme="majorHAnsi" w:cstheme="majorHAnsi"/>
          <w:b/>
          <w:bCs/>
          <w:color w:val="538135" w:themeColor="accent6" w:themeShade="BF"/>
        </w:rPr>
        <w:t>Highly Relevant</w:t>
      </w:r>
      <w:r w:rsidRPr="00AF5346">
        <w:rPr>
          <w:rFonts w:asciiTheme="majorHAnsi" w:hAnsiTheme="majorHAnsi"/>
          <w:color w:val="538135" w:themeColor="accent6" w:themeShade="BF"/>
        </w:rPr>
        <w:t xml:space="preserve"> </w:t>
      </w:r>
      <w:r>
        <w:rPr>
          <w:rFonts w:asciiTheme="majorHAnsi" w:hAnsiTheme="majorHAnsi" w:cstheme="majorHAnsi"/>
        </w:rPr>
        <w:t>since it was also aligned with the priorities of the Civil Service Commission (CSC), which covers all government agencies including DepEd.</w:t>
      </w:r>
      <w:r w:rsidR="00D434EB">
        <w:rPr>
          <w:rFonts w:asciiTheme="majorHAnsi" w:hAnsiTheme="majorHAnsi" w:cstheme="majorHAnsi"/>
        </w:rPr>
        <w:t xml:space="preserve"> </w:t>
      </w:r>
      <w:r>
        <w:rPr>
          <w:rFonts w:asciiTheme="majorHAnsi" w:hAnsiTheme="majorHAnsi" w:cstheme="majorHAnsi"/>
        </w:rPr>
        <w:t>In the 2019 Study, its transformative effects, although promising, have not yet crystallised.</w:t>
      </w:r>
      <w:r w:rsidR="00D434EB">
        <w:rPr>
          <w:rFonts w:asciiTheme="majorHAnsi" w:hAnsiTheme="majorHAnsi" w:cstheme="majorHAnsi"/>
        </w:rPr>
        <w:t xml:space="preserve"> </w:t>
      </w:r>
      <w:r>
        <w:rPr>
          <w:rFonts w:asciiTheme="majorHAnsi" w:hAnsiTheme="majorHAnsi" w:cstheme="majorHAnsi"/>
        </w:rPr>
        <w:t>However, in the 2020 Follow-Up Study, the transformative effects of the Program interventions were concretely felt at the school level.</w:t>
      </w:r>
    </w:p>
    <w:p w14:paraId="37C23B63" w14:textId="41E41966" w:rsidR="008D0CAD" w:rsidRDefault="008D0CAD" w:rsidP="007B6836">
      <w:pPr>
        <w:shd w:val="clear" w:color="auto" w:fill="FFFFFF"/>
        <w:spacing w:before="100" w:beforeAutospacing="1" w:after="100" w:afterAutospacing="1" w:line="360" w:lineRule="auto"/>
        <w:textAlignment w:val="baseline"/>
        <w:rPr>
          <w:rFonts w:asciiTheme="majorHAnsi" w:hAnsiTheme="majorHAnsi" w:cstheme="majorHAnsi"/>
        </w:rPr>
      </w:pPr>
      <w:r w:rsidRPr="008A3DA0">
        <w:rPr>
          <w:rFonts w:asciiTheme="majorHAnsi" w:hAnsiTheme="majorHAnsi" w:cstheme="majorHAnsi"/>
          <w:b/>
          <w:bCs/>
        </w:rPr>
        <w:t>TPQI</w:t>
      </w:r>
      <w:r w:rsidRPr="00A96AD6">
        <w:rPr>
          <w:rFonts w:asciiTheme="majorHAnsi" w:hAnsiTheme="majorHAnsi" w:cstheme="majorHAnsi"/>
        </w:rPr>
        <w:t xml:space="preserve"> </w:t>
      </w:r>
      <w:r>
        <w:rPr>
          <w:rFonts w:asciiTheme="majorHAnsi" w:hAnsiTheme="majorHAnsi" w:cstheme="majorHAnsi"/>
        </w:rPr>
        <w:t xml:space="preserve">(teacher pre-service quality improvement) </w:t>
      </w:r>
      <w:r w:rsidRPr="00A96AD6">
        <w:rPr>
          <w:rFonts w:asciiTheme="majorHAnsi" w:hAnsiTheme="majorHAnsi" w:cstheme="majorHAnsi"/>
        </w:rPr>
        <w:t xml:space="preserve">was highly relevant in theory but not </w:t>
      </w:r>
      <w:r>
        <w:rPr>
          <w:rFonts w:asciiTheme="majorHAnsi" w:hAnsiTheme="majorHAnsi" w:cstheme="majorHAnsi"/>
        </w:rPr>
        <w:t>in practice</w:t>
      </w:r>
      <w:r w:rsidRPr="00A96AD6">
        <w:rPr>
          <w:rFonts w:asciiTheme="majorHAnsi" w:hAnsiTheme="majorHAnsi" w:cstheme="majorHAnsi"/>
        </w:rPr>
        <w:t>.</w:t>
      </w:r>
      <w:r>
        <w:rPr>
          <w:rFonts w:asciiTheme="majorHAnsi" w:hAnsiTheme="majorHAnsi" w:cstheme="majorHAnsi"/>
        </w:rPr>
        <w:t xml:space="preserve"> </w:t>
      </w:r>
      <w:r w:rsidRPr="00A96AD6">
        <w:rPr>
          <w:rFonts w:asciiTheme="majorHAnsi" w:hAnsiTheme="majorHAnsi" w:cstheme="majorHAnsi"/>
        </w:rPr>
        <w:t xml:space="preserve">TPQI was </w:t>
      </w:r>
      <w:r>
        <w:rPr>
          <w:rFonts w:asciiTheme="majorHAnsi" w:hAnsiTheme="majorHAnsi" w:cstheme="majorHAnsi"/>
        </w:rPr>
        <w:t>assessed</w:t>
      </w:r>
      <w:r w:rsidRPr="00A96AD6">
        <w:rPr>
          <w:rFonts w:asciiTheme="majorHAnsi" w:hAnsiTheme="majorHAnsi" w:cstheme="majorHAnsi"/>
        </w:rPr>
        <w:t xml:space="preserve"> as </w:t>
      </w:r>
      <w:r w:rsidRPr="00363522">
        <w:rPr>
          <w:rFonts w:asciiTheme="majorHAnsi" w:hAnsiTheme="majorHAnsi" w:cstheme="majorHAnsi"/>
          <w:b/>
          <w:bCs/>
          <w:color w:val="0070C0"/>
        </w:rPr>
        <w:t>Relevant</w:t>
      </w:r>
      <w:r w:rsidRPr="00363522">
        <w:rPr>
          <w:rFonts w:asciiTheme="majorHAnsi" w:hAnsiTheme="majorHAnsi" w:cstheme="majorHAnsi"/>
          <w:color w:val="0070C0"/>
        </w:rPr>
        <w:t xml:space="preserve"> </w:t>
      </w:r>
      <w:r>
        <w:rPr>
          <w:rFonts w:asciiTheme="majorHAnsi" w:hAnsiTheme="majorHAnsi" w:cstheme="majorHAnsi"/>
        </w:rPr>
        <w:t>as i</w:t>
      </w:r>
      <w:r w:rsidRPr="00A96AD6">
        <w:rPr>
          <w:rFonts w:asciiTheme="majorHAnsi" w:hAnsiTheme="majorHAnsi" w:cstheme="majorHAnsi"/>
        </w:rPr>
        <w:t>ts</w:t>
      </w:r>
      <w:r>
        <w:rPr>
          <w:rFonts w:asciiTheme="majorHAnsi" w:hAnsiTheme="majorHAnsi" w:cstheme="majorHAnsi"/>
        </w:rPr>
        <w:t xml:space="preserve"> full</w:t>
      </w:r>
      <w:r w:rsidRPr="00A96AD6">
        <w:rPr>
          <w:rFonts w:asciiTheme="majorHAnsi" w:hAnsiTheme="majorHAnsi" w:cstheme="majorHAnsi"/>
        </w:rPr>
        <w:t xml:space="preserve"> transformative effect</w:t>
      </w:r>
      <w:r>
        <w:rPr>
          <w:rFonts w:asciiTheme="majorHAnsi" w:hAnsiTheme="majorHAnsi" w:cstheme="majorHAnsi"/>
        </w:rPr>
        <w:t>s were not realized during the time of review.</w:t>
      </w:r>
      <w:r w:rsidRPr="00A96AD6">
        <w:rPr>
          <w:rFonts w:asciiTheme="majorHAnsi" w:hAnsiTheme="majorHAnsi" w:cstheme="majorHAnsi"/>
        </w:rPr>
        <w:t xml:space="preserve"> </w:t>
      </w:r>
      <w:r>
        <w:rPr>
          <w:rFonts w:asciiTheme="majorHAnsi" w:hAnsiTheme="majorHAnsi" w:cstheme="majorHAnsi"/>
        </w:rPr>
        <w:t xml:space="preserve">Its success </w:t>
      </w:r>
      <w:r w:rsidRPr="00A96AD6">
        <w:rPr>
          <w:rFonts w:asciiTheme="majorHAnsi" w:hAnsiTheme="majorHAnsi" w:cstheme="majorHAnsi"/>
        </w:rPr>
        <w:t xml:space="preserve">was linked to the integration of PPST into the educational curricula </w:t>
      </w:r>
      <w:r>
        <w:rPr>
          <w:rFonts w:asciiTheme="majorHAnsi" w:hAnsiTheme="majorHAnsi" w:cstheme="majorHAnsi"/>
        </w:rPr>
        <w:t>of</w:t>
      </w:r>
      <w:r w:rsidRPr="00A96AD6">
        <w:rPr>
          <w:rFonts w:asciiTheme="majorHAnsi" w:hAnsiTheme="majorHAnsi" w:cstheme="majorHAnsi"/>
        </w:rPr>
        <w:t xml:space="preserve"> Teaching Education </w:t>
      </w:r>
      <w:r>
        <w:rPr>
          <w:rFonts w:asciiTheme="majorHAnsi" w:hAnsiTheme="majorHAnsi" w:cstheme="majorHAnsi"/>
        </w:rPr>
        <w:t>Institutions (TEIs), through a CHED Memo.</w:t>
      </w:r>
      <w:r w:rsidR="00D434EB">
        <w:rPr>
          <w:rFonts w:asciiTheme="majorHAnsi" w:hAnsiTheme="majorHAnsi" w:cstheme="majorHAnsi"/>
        </w:rPr>
        <w:t xml:space="preserve"> </w:t>
      </w:r>
      <w:r>
        <w:rPr>
          <w:rFonts w:asciiTheme="majorHAnsi" w:hAnsiTheme="majorHAnsi" w:cstheme="majorHAnsi"/>
        </w:rPr>
        <w:t xml:space="preserve">Moreover, the graduates of the STEP UP teacher scholarship initiative, which placed scholars in TEIs that had already adjusted their pre-service curricula to align with the PPST, made a small but significant contribution, but were not able to address the massive gap in competent teachers in the basic education sector. </w:t>
      </w:r>
    </w:p>
    <w:p w14:paraId="316D1C55" w14:textId="6C72ED2E" w:rsidR="008D0CAD" w:rsidRDefault="008D0CAD" w:rsidP="007B6836">
      <w:pPr>
        <w:pStyle w:val="NormalWeb"/>
        <w:shd w:val="clear" w:color="auto" w:fill="FFFFFF"/>
        <w:spacing w:line="360" w:lineRule="auto"/>
        <w:rPr>
          <w:rFonts w:asciiTheme="majorHAnsi" w:hAnsiTheme="majorHAnsi" w:cstheme="majorHAnsi"/>
        </w:rPr>
      </w:pPr>
      <w:r w:rsidRPr="00AF5346">
        <w:rPr>
          <w:rFonts w:asciiTheme="majorHAnsi" w:hAnsiTheme="majorHAnsi"/>
        </w:rPr>
        <w:t>Of the three BEST Program interventions that directly contributed to</w:t>
      </w:r>
      <w:r w:rsidRPr="00AF5346">
        <w:rPr>
          <w:rFonts w:asciiTheme="majorHAnsi" w:hAnsiTheme="majorHAnsi"/>
          <w:b/>
          <w:bCs/>
        </w:rPr>
        <w:t xml:space="preserve"> </w:t>
      </w:r>
      <w:r>
        <w:rPr>
          <w:rFonts w:asciiTheme="majorHAnsi" w:hAnsiTheme="majorHAnsi" w:cstheme="majorHAnsi"/>
        </w:rPr>
        <w:t xml:space="preserve">increasing student participation, </w:t>
      </w:r>
      <w:r w:rsidRPr="00162164">
        <w:rPr>
          <w:rFonts w:asciiTheme="majorHAnsi" w:hAnsiTheme="majorHAnsi" w:cstheme="majorHAnsi"/>
          <w:b/>
          <w:bCs/>
        </w:rPr>
        <w:t>School-Based Management</w:t>
      </w:r>
      <w:r w:rsidRPr="00A96AD6">
        <w:rPr>
          <w:rFonts w:asciiTheme="majorHAnsi" w:hAnsiTheme="majorHAnsi" w:cstheme="majorHAnsi"/>
        </w:rPr>
        <w:t xml:space="preserve"> was </w:t>
      </w:r>
      <w:r>
        <w:rPr>
          <w:rFonts w:asciiTheme="majorHAnsi" w:hAnsiTheme="majorHAnsi" w:cstheme="majorHAnsi"/>
        </w:rPr>
        <w:t>assessed as</w:t>
      </w:r>
      <w:r w:rsidRPr="00AF5346">
        <w:rPr>
          <w:rFonts w:asciiTheme="majorHAnsi" w:hAnsiTheme="majorHAnsi" w:cstheme="majorHAnsi"/>
          <w:b/>
          <w:bCs/>
        </w:rPr>
        <w:t xml:space="preserve"> </w:t>
      </w:r>
      <w:r w:rsidRPr="00AF5346">
        <w:rPr>
          <w:rFonts w:asciiTheme="majorHAnsi" w:hAnsiTheme="majorHAnsi" w:cstheme="majorHAnsi"/>
          <w:b/>
          <w:bCs/>
          <w:color w:val="538135" w:themeColor="accent6" w:themeShade="BF"/>
        </w:rPr>
        <w:t>Highly Relevant</w:t>
      </w:r>
      <w:r>
        <w:rPr>
          <w:rFonts w:asciiTheme="majorHAnsi" w:hAnsiTheme="majorHAnsi" w:cstheme="majorHAnsi"/>
        </w:rPr>
        <w:t>.</w:t>
      </w:r>
      <w:r w:rsidR="00D434EB">
        <w:rPr>
          <w:rFonts w:asciiTheme="majorHAnsi" w:hAnsiTheme="majorHAnsi" w:cstheme="majorHAnsi"/>
        </w:rPr>
        <w:t xml:space="preserve"> </w:t>
      </w:r>
      <w:r>
        <w:rPr>
          <w:rFonts w:asciiTheme="majorHAnsi" w:hAnsiTheme="majorHAnsi" w:cstheme="majorHAnsi"/>
        </w:rPr>
        <w:t xml:space="preserve">SBM was fully aligned with Philippine and DepEd </w:t>
      </w:r>
      <w:r w:rsidRPr="00F77E71">
        <w:rPr>
          <w:rFonts w:asciiTheme="majorHAnsi" w:hAnsiTheme="majorHAnsi" w:cstheme="majorHAnsi"/>
          <w:color w:val="000000"/>
        </w:rPr>
        <w:t>development priorities</w:t>
      </w:r>
      <w:r>
        <w:rPr>
          <w:rFonts w:asciiTheme="majorHAnsi" w:hAnsiTheme="majorHAnsi" w:cstheme="majorHAnsi"/>
        </w:rPr>
        <w:t>.</w:t>
      </w:r>
      <w:r w:rsidR="00D434EB">
        <w:rPr>
          <w:rFonts w:asciiTheme="majorHAnsi" w:hAnsiTheme="majorHAnsi" w:cstheme="majorHAnsi"/>
        </w:rPr>
        <w:t xml:space="preserve"> </w:t>
      </w:r>
      <w:r>
        <w:rPr>
          <w:rFonts w:asciiTheme="majorHAnsi" w:hAnsiTheme="majorHAnsi" w:cstheme="majorHAnsi"/>
        </w:rPr>
        <w:t>Moreover, SBM is an approach that had been effective in other countries where it has been implemented.</w:t>
      </w:r>
    </w:p>
    <w:p w14:paraId="41E4BAC7" w14:textId="3277A561" w:rsidR="008D0CAD" w:rsidRPr="00472DEA" w:rsidRDefault="008D0CAD" w:rsidP="007B6836">
      <w:pPr>
        <w:pStyle w:val="NormalWeb"/>
        <w:shd w:val="clear" w:color="auto" w:fill="FFFFFF"/>
        <w:spacing w:line="360" w:lineRule="auto"/>
        <w:rPr>
          <w:rFonts w:asciiTheme="majorHAnsi" w:hAnsiTheme="majorHAnsi" w:cstheme="majorHAnsi"/>
        </w:rPr>
      </w:pPr>
      <w:r w:rsidRPr="00472DEA">
        <w:rPr>
          <w:rFonts w:asciiTheme="majorHAnsi" w:hAnsiTheme="majorHAnsi" w:cstheme="majorHAnsi"/>
        </w:rPr>
        <w:t>GEDSI</w:t>
      </w:r>
      <w:r w:rsidRPr="00A96AD6">
        <w:rPr>
          <w:rFonts w:asciiTheme="majorHAnsi" w:hAnsiTheme="majorHAnsi" w:cstheme="majorHAnsi"/>
        </w:rPr>
        <w:t xml:space="preserve"> and Classroom Construction</w:t>
      </w:r>
      <w:r>
        <w:rPr>
          <w:rFonts w:asciiTheme="majorHAnsi" w:hAnsiTheme="majorHAnsi" w:cstheme="majorHAnsi"/>
        </w:rPr>
        <w:t xml:space="preserve"> interventions</w:t>
      </w:r>
      <w:r w:rsidRPr="00A96AD6">
        <w:rPr>
          <w:rFonts w:asciiTheme="majorHAnsi" w:hAnsiTheme="majorHAnsi" w:cstheme="majorHAnsi"/>
        </w:rPr>
        <w:t xml:space="preserve">, </w:t>
      </w:r>
      <w:r>
        <w:rPr>
          <w:rFonts w:asciiTheme="majorHAnsi" w:hAnsiTheme="majorHAnsi" w:cstheme="majorHAnsi"/>
        </w:rPr>
        <w:t>in terms of their</w:t>
      </w:r>
      <w:r w:rsidRPr="00A96AD6">
        <w:rPr>
          <w:rFonts w:asciiTheme="majorHAnsi" w:hAnsiTheme="majorHAnsi" w:cstheme="majorHAnsi"/>
        </w:rPr>
        <w:t xml:space="preserve"> overall Program design were found to be</w:t>
      </w:r>
      <w:r w:rsidRPr="00AF5346">
        <w:rPr>
          <w:rFonts w:asciiTheme="majorHAnsi" w:hAnsiTheme="majorHAnsi" w:cstheme="majorHAnsi"/>
          <w:b/>
          <w:bCs/>
        </w:rPr>
        <w:t xml:space="preserve"> </w:t>
      </w:r>
      <w:r w:rsidRPr="00AF5346">
        <w:rPr>
          <w:rFonts w:asciiTheme="majorHAnsi" w:hAnsiTheme="majorHAnsi" w:cstheme="majorHAnsi"/>
          <w:b/>
          <w:bCs/>
          <w:color w:val="2E74B5" w:themeColor="accent5" w:themeShade="BF"/>
        </w:rPr>
        <w:t>Relevant</w:t>
      </w:r>
      <w:r>
        <w:rPr>
          <w:rFonts w:asciiTheme="majorHAnsi" w:hAnsiTheme="majorHAnsi" w:cstheme="majorHAnsi"/>
        </w:rPr>
        <w:t xml:space="preserve"> but their effects were not as transformative</w:t>
      </w:r>
      <w:r>
        <w:rPr>
          <w:rFonts w:asciiTheme="majorHAnsi" w:hAnsiTheme="majorHAnsi" w:cstheme="majorHAnsi"/>
          <w:color w:val="000000"/>
        </w:rPr>
        <w:t>.</w:t>
      </w:r>
      <w:r w:rsidR="00D434EB">
        <w:rPr>
          <w:rFonts w:asciiTheme="majorHAnsi" w:hAnsiTheme="majorHAnsi" w:cstheme="majorHAnsi"/>
        </w:rPr>
        <w:t xml:space="preserve"> </w:t>
      </w:r>
      <w:r w:rsidRPr="00A96AD6">
        <w:rPr>
          <w:rFonts w:asciiTheme="majorHAnsi" w:hAnsiTheme="majorHAnsi" w:cstheme="majorHAnsi"/>
        </w:rPr>
        <w:t xml:space="preserve">At the </w:t>
      </w:r>
      <w:r>
        <w:rPr>
          <w:rFonts w:asciiTheme="majorHAnsi" w:hAnsiTheme="majorHAnsi" w:cstheme="majorHAnsi"/>
        </w:rPr>
        <w:t>S</w:t>
      </w:r>
      <w:r w:rsidRPr="00A96AD6">
        <w:rPr>
          <w:rFonts w:asciiTheme="majorHAnsi" w:hAnsiTheme="majorHAnsi" w:cstheme="majorHAnsi"/>
        </w:rPr>
        <w:t xml:space="preserve">ystems level, </w:t>
      </w:r>
      <w:r w:rsidRPr="00A96AD6">
        <w:rPr>
          <w:rFonts w:asciiTheme="majorHAnsi" w:hAnsiTheme="majorHAnsi" w:cstheme="majorHAnsi"/>
          <w:b/>
          <w:bCs/>
        </w:rPr>
        <w:t>Classroom construction</w:t>
      </w:r>
      <w:r>
        <w:rPr>
          <w:rFonts w:asciiTheme="majorHAnsi" w:hAnsiTheme="majorHAnsi" w:cstheme="majorHAnsi"/>
          <w:b/>
          <w:bCs/>
        </w:rPr>
        <w:t xml:space="preserve"> </w:t>
      </w:r>
      <w:r>
        <w:rPr>
          <w:rFonts w:asciiTheme="majorHAnsi" w:hAnsiTheme="majorHAnsi" w:cstheme="majorHAnsi"/>
        </w:rPr>
        <w:t>is relevant because</w:t>
      </w:r>
      <w:r w:rsidRPr="00162164">
        <w:rPr>
          <w:rFonts w:asciiTheme="majorHAnsi" w:hAnsiTheme="majorHAnsi" w:cstheme="majorHAnsi"/>
          <w:color w:val="000000" w:themeColor="text1"/>
        </w:rPr>
        <w:t xml:space="preserve"> </w:t>
      </w:r>
      <w:r>
        <w:rPr>
          <w:rFonts w:asciiTheme="majorHAnsi" w:hAnsiTheme="majorHAnsi" w:cstheme="majorHAnsi"/>
          <w:color w:val="000000" w:themeColor="text1"/>
        </w:rPr>
        <w:t>t</w:t>
      </w:r>
      <w:r w:rsidRPr="00162164">
        <w:rPr>
          <w:rFonts w:asciiTheme="majorHAnsi" w:hAnsiTheme="majorHAnsi" w:cstheme="majorHAnsi"/>
          <w:color w:val="000000" w:themeColor="text1"/>
        </w:rPr>
        <w:t>he requirement for classrooms remained high</w:t>
      </w:r>
      <w:r>
        <w:rPr>
          <w:rFonts w:asciiTheme="majorHAnsi" w:hAnsiTheme="majorHAnsi" w:cstheme="majorHAnsi"/>
          <w:color w:val="000000" w:themeColor="text1"/>
        </w:rPr>
        <w:t>.</w:t>
      </w:r>
      <w:r>
        <w:rPr>
          <w:rStyle w:val="FootnoteReference"/>
          <w:rFonts w:asciiTheme="majorHAnsi" w:eastAsia="Arial Unicode MS" w:hAnsiTheme="majorHAnsi" w:cstheme="majorHAnsi"/>
          <w:color w:val="000000" w:themeColor="text1"/>
        </w:rPr>
        <w:footnoteReference w:id="121"/>
      </w:r>
      <w:r>
        <w:rPr>
          <w:rFonts w:asciiTheme="majorHAnsi" w:hAnsiTheme="majorHAnsi" w:cstheme="majorHAnsi"/>
          <w:color w:val="000000" w:themeColor="text1"/>
        </w:rPr>
        <w:t xml:space="preserve"> However, from 2013 onwards, the organisational capacity of DepEd to respond to its </w:t>
      </w:r>
      <w:r w:rsidRPr="00162164">
        <w:rPr>
          <w:rFonts w:asciiTheme="majorHAnsi" w:hAnsiTheme="majorHAnsi" w:cstheme="majorHAnsi"/>
          <w:color w:val="000000" w:themeColor="text1"/>
        </w:rPr>
        <w:t>classroom requirements</w:t>
      </w:r>
      <w:r>
        <w:rPr>
          <w:rFonts w:asciiTheme="majorHAnsi" w:hAnsiTheme="majorHAnsi" w:cstheme="majorHAnsi"/>
          <w:color w:val="000000" w:themeColor="text1"/>
        </w:rPr>
        <w:t xml:space="preserve"> also increased precipitated by the significant increase of classroom construction budget.</w:t>
      </w:r>
      <w:r w:rsidR="00D434EB">
        <w:rPr>
          <w:rFonts w:asciiTheme="majorHAnsi" w:hAnsiTheme="majorHAnsi" w:cstheme="majorHAnsi"/>
        </w:rPr>
        <w:t xml:space="preserve"> </w:t>
      </w:r>
      <w:r>
        <w:rPr>
          <w:rFonts w:asciiTheme="majorHAnsi" w:hAnsiTheme="majorHAnsi" w:cstheme="majorHAnsi"/>
        </w:rPr>
        <w:t xml:space="preserve">The effectiveness of </w:t>
      </w:r>
      <w:r w:rsidRPr="00A96AD6">
        <w:rPr>
          <w:rFonts w:asciiTheme="majorHAnsi" w:hAnsiTheme="majorHAnsi" w:cstheme="majorHAnsi"/>
          <w:b/>
          <w:bCs/>
          <w:color w:val="000000" w:themeColor="text1"/>
        </w:rPr>
        <w:t>GEDSI</w:t>
      </w:r>
      <w:r w:rsidRPr="00A96AD6">
        <w:rPr>
          <w:rFonts w:asciiTheme="majorHAnsi" w:hAnsiTheme="majorHAnsi" w:cstheme="majorHAnsi"/>
        </w:rPr>
        <w:t xml:space="preserve"> interventions </w:t>
      </w:r>
      <w:r>
        <w:rPr>
          <w:rFonts w:asciiTheme="majorHAnsi" w:hAnsiTheme="majorHAnsi" w:cstheme="majorHAnsi"/>
        </w:rPr>
        <w:t>in increasing student participation were not yet manifest. In terms of the provision of GEDSI-related teaching and learning materials, its transformative effects were not yet evident at the school level.</w:t>
      </w:r>
    </w:p>
    <w:p w14:paraId="7EDE2C38" w14:textId="77777777" w:rsidR="008D0CAD" w:rsidRPr="00A96AD6" w:rsidRDefault="008D0CAD" w:rsidP="007B6836">
      <w:pPr>
        <w:shd w:val="clear" w:color="auto" w:fill="FFFFFF"/>
        <w:spacing w:before="100" w:beforeAutospacing="1" w:after="100" w:afterAutospacing="1" w:line="360" w:lineRule="auto"/>
        <w:textAlignment w:val="baseline"/>
        <w:rPr>
          <w:rFonts w:asciiTheme="majorHAnsi" w:hAnsiTheme="majorHAnsi" w:cstheme="majorHAnsi"/>
        </w:rPr>
      </w:pPr>
      <w:r w:rsidRPr="00A96AD6">
        <w:rPr>
          <w:rFonts w:asciiTheme="majorHAnsi" w:hAnsiTheme="majorHAnsi" w:cstheme="majorHAnsi"/>
        </w:rPr>
        <w:t xml:space="preserve">At the </w:t>
      </w:r>
      <w:r>
        <w:rPr>
          <w:rFonts w:asciiTheme="majorHAnsi" w:hAnsiTheme="majorHAnsi" w:cstheme="majorHAnsi"/>
        </w:rPr>
        <w:t>S</w:t>
      </w:r>
      <w:r w:rsidRPr="00A96AD6">
        <w:rPr>
          <w:rFonts w:asciiTheme="majorHAnsi" w:hAnsiTheme="majorHAnsi" w:cstheme="majorHAnsi"/>
        </w:rPr>
        <w:t xml:space="preserve">ystems level, </w:t>
      </w:r>
      <w:r>
        <w:rPr>
          <w:rFonts w:asciiTheme="majorHAnsi" w:hAnsiTheme="majorHAnsi" w:cstheme="majorHAnsi"/>
        </w:rPr>
        <w:t xml:space="preserve">the </w:t>
      </w:r>
      <w:r w:rsidRPr="00A96AD6">
        <w:rPr>
          <w:rFonts w:asciiTheme="majorHAnsi" w:hAnsiTheme="majorHAnsi" w:cstheme="majorHAnsi"/>
        </w:rPr>
        <w:t>three Program interventions (</w:t>
      </w:r>
      <w:r>
        <w:rPr>
          <w:rFonts w:asciiTheme="majorHAnsi" w:hAnsiTheme="majorHAnsi" w:cstheme="majorHAnsi"/>
        </w:rPr>
        <w:t xml:space="preserve">i.e., </w:t>
      </w:r>
      <w:r w:rsidRPr="00A96AD6">
        <w:rPr>
          <w:rFonts w:asciiTheme="majorHAnsi" w:hAnsiTheme="majorHAnsi" w:cstheme="majorHAnsi"/>
          <w:b/>
          <w:bCs/>
        </w:rPr>
        <w:t xml:space="preserve">PPMES, </w:t>
      </w:r>
      <w:r>
        <w:rPr>
          <w:rFonts w:asciiTheme="majorHAnsi" w:hAnsiTheme="majorHAnsi" w:cstheme="majorHAnsi"/>
          <w:b/>
          <w:bCs/>
        </w:rPr>
        <w:t>UISS</w:t>
      </w:r>
      <w:r w:rsidRPr="00A96AD6">
        <w:rPr>
          <w:rFonts w:asciiTheme="majorHAnsi" w:hAnsiTheme="majorHAnsi" w:cstheme="majorHAnsi"/>
          <w:b/>
          <w:bCs/>
        </w:rPr>
        <w:t xml:space="preserve"> </w:t>
      </w:r>
      <w:r w:rsidRPr="00A96AD6">
        <w:rPr>
          <w:rFonts w:asciiTheme="majorHAnsi" w:hAnsiTheme="majorHAnsi" w:cstheme="majorHAnsi"/>
        </w:rPr>
        <w:t>and</w:t>
      </w:r>
      <w:r>
        <w:rPr>
          <w:rFonts w:asciiTheme="majorHAnsi" w:hAnsiTheme="majorHAnsi" w:cstheme="majorHAnsi"/>
          <w:b/>
          <w:bCs/>
        </w:rPr>
        <w:t xml:space="preserve"> OD</w:t>
      </w:r>
      <w:r w:rsidRPr="00A96AD6">
        <w:rPr>
          <w:rFonts w:asciiTheme="majorHAnsi" w:hAnsiTheme="majorHAnsi" w:cstheme="majorHAnsi"/>
        </w:rPr>
        <w:t xml:space="preserve">) are gauged as </w:t>
      </w:r>
      <w:r w:rsidRPr="00A96AD6">
        <w:rPr>
          <w:rFonts w:asciiTheme="majorHAnsi" w:hAnsiTheme="majorHAnsi" w:cstheme="majorHAnsi"/>
          <w:b/>
          <w:bCs/>
          <w:color w:val="0070C0"/>
        </w:rPr>
        <w:t>Relevant</w:t>
      </w:r>
      <w:r>
        <w:rPr>
          <w:rFonts w:asciiTheme="majorHAnsi" w:hAnsiTheme="majorHAnsi" w:cstheme="majorHAnsi"/>
          <w:b/>
          <w:bCs/>
          <w:color w:val="0070C0"/>
        </w:rPr>
        <w:t>,</w:t>
      </w:r>
      <w:r w:rsidRPr="00A96AD6">
        <w:rPr>
          <w:rFonts w:asciiTheme="majorHAnsi" w:hAnsiTheme="majorHAnsi" w:cstheme="majorHAnsi"/>
          <w:color w:val="0070C0"/>
        </w:rPr>
        <w:t xml:space="preserve"> </w:t>
      </w:r>
      <w:r w:rsidRPr="00A96AD6">
        <w:rPr>
          <w:rFonts w:asciiTheme="majorHAnsi" w:hAnsiTheme="majorHAnsi" w:cstheme="majorHAnsi"/>
        </w:rPr>
        <w:t>particular</w:t>
      </w:r>
      <w:r>
        <w:rPr>
          <w:rFonts w:asciiTheme="majorHAnsi" w:hAnsiTheme="majorHAnsi" w:cstheme="majorHAnsi"/>
        </w:rPr>
        <w:t>ly to specific</w:t>
      </w:r>
      <w:r w:rsidRPr="00A96AD6">
        <w:rPr>
          <w:rFonts w:asciiTheme="majorHAnsi" w:hAnsiTheme="majorHAnsi" w:cstheme="majorHAnsi"/>
        </w:rPr>
        <w:t xml:space="preserve"> offices </w:t>
      </w:r>
      <w:r>
        <w:rPr>
          <w:rFonts w:asciiTheme="majorHAnsi" w:hAnsiTheme="majorHAnsi" w:cstheme="majorHAnsi"/>
        </w:rPr>
        <w:t>at the Central Office</w:t>
      </w:r>
      <w:r w:rsidRPr="00A96AD6">
        <w:rPr>
          <w:rFonts w:asciiTheme="majorHAnsi" w:hAnsiTheme="majorHAnsi" w:cstheme="majorHAnsi"/>
        </w:rPr>
        <w:t>.</w:t>
      </w:r>
      <w:r>
        <w:rPr>
          <w:rFonts w:asciiTheme="majorHAnsi" w:hAnsiTheme="majorHAnsi" w:cstheme="majorHAnsi"/>
        </w:rPr>
        <w:t xml:space="preserve"> </w:t>
      </w:r>
    </w:p>
    <w:p w14:paraId="2C536EEF" w14:textId="226001F1" w:rsidR="008D0CAD" w:rsidRDefault="008D0CAD" w:rsidP="007B6836">
      <w:pPr>
        <w:pStyle w:val="ListParagraph"/>
        <w:spacing w:before="100" w:beforeAutospacing="1" w:after="100" w:afterAutospacing="1" w:line="360" w:lineRule="auto"/>
        <w:ind w:left="0"/>
        <w:contextualSpacing w:val="0"/>
      </w:pPr>
      <w:r w:rsidRPr="00AF5346">
        <w:rPr>
          <w:rFonts w:asciiTheme="majorHAnsi" w:hAnsiTheme="majorHAnsi" w:cstheme="majorHAnsi"/>
          <w:b/>
          <w:bCs/>
        </w:rPr>
        <w:t xml:space="preserve">PPMES </w:t>
      </w:r>
      <w:r>
        <w:rPr>
          <w:rFonts w:asciiTheme="majorHAnsi" w:hAnsiTheme="majorHAnsi" w:cstheme="majorHAnsi"/>
        </w:rPr>
        <w:t xml:space="preserve">is </w:t>
      </w:r>
      <w:r w:rsidRPr="00F77E71">
        <w:rPr>
          <w:rFonts w:asciiTheme="majorHAnsi" w:hAnsiTheme="majorHAnsi" w:cstheme="majorHAnsi"/>
          <w:color w:val="000000"/>
        </w:rPr>
        <w:t xml:space="preserve">fully aligned with </w:t>
      </w:r>
      <w:r>
        <w:rPr>
          <w:rFonts w:asciiTheme="majorHAnsi" w:hAnsiTheme="majorHAnsi" w:cstheme="majorHAnsi"/>
          <w:color w:val="000000"/>
        </w:rPr>
        <w:t>DepEd’s</w:t>
      </w:r>
      <w:r w:rsidRPr="00F77E71">
        <w:rPr>
          <w:rFonts w:asciiTheme="majorHAnsi" w:hAnsiTheme="majorHAnsi" w:cstheme="majorHAnsi"/>
          <w:color w:val="000000"/>
        </w:rPr>
        <w:t xml:space="preserve"> development priorities</w:t>
      </w:r>
      <w:r>
        <w:rPr>
          <w:rFonts w:asciiTheme="majorHAnsi" w:hAnsiTheme="majorHAnsi" w:cstheme="majorHAnsi"/>
        </w:rPr>
        <w:t>.</w:t>
      </w:r>
      <w:r w:rsidR="00D434EB">
        <w:rPr>
          <w:rFonts w:asciiTheme="majorHAnsi" w:hAnsiTheme="majorHAnsi" w:cstheme="majorHAnsi"/>
        </w:rPr>
        <w:t xml:space="preserve"> </w:t>
      </w:r>
      <w:r w:rsidRPr="00FA26C1">
        <w:rPr>
          <w:rFonts w:asciiTheme="majorHAnsi" w:hAnsiTheme="majorHAnsi" w:cstheme="majorHAnsi"/>
        </w:rPr>
        <w:t xml:space="preserve">Strengthening the capacity of </w:t>
      </w:r>
      <w:r>
        <w:rPr>
          <w:rFonts w:asciiTheme="majorHAnsi" w:hAnsiTheme="majorHAnsi" w:cstheme="majorHAnsi"/>
        </w:rPr>
        <w:t>DepEd</w:t>
      </w:r>
      <w:r w:rsidRPr="00FA26C1">
        <w:rPr>
          <w:rFonts w:asciiTheme="majorHAnsi" w:hAnsiTheme="majorHAnsi" w:cstheme="majorHAnsi"/>
        </w:rPr>
        <w:t xml:space="preserve"> in evidence-based policy and plan formulation became more critical since the Central Office is the only policy-making body within the bureaucracy and it is essential that personnel at the Central Office possess competencies for crafting and enacting policy for </w:t>
      </w:r>
      <w:r>
        <w:rPr>
          <w:rFonts w:asciiTheme="majorHAnsi" w:hAnsiTheme="majorHAnsi" w:cstheme="majorHAnsi"/>
        </w:rPr>
        <w:t>DepEd</w:t>
      </w:r>
      <w:r w:rsidRPr="00FA26C1">
        <w:rPr>
          <w:rFonts w:asciiTheme="majorHAnsi" w:hAnsiTheme="majorHAnsi" w:cstheme="majorHAnsi"/>
        </w:rPr>
        <w:t>.</w:t>
      </w:r>
      <w:r w:rsidR="00D434EB">
        <w:rPr>
          <w:rFonts w:asciiTheme="majorHAnsi" w:hAnsiTheme="majorHAnsi" w:cstheme="majorHAnsi"/>
        </w:rPr>
        <w:t xml:space="preserve"> </w:t>
      </w:r>
      <w:r>
        <w:rPr>
          <w:rFonts w:asciiTheme="majorHAnsi" w:hAnsiTheme="majorHAnsi" w:cstheme="majorHAnsi"/>
        </w:rPr>
        <w:t xml:space="preserve"> </w:t>
      </w:r>
      <w:r w:rsidRPr="00F8205A">
        <w:rPr>
          <w:rFonts w:asciiTheme="majorHAnsi" w:hAnsiTheme="majorHAnsi" w:cstheme="majorHAnsi"/>
          <w:color w:val="000000"/>
        </w:rPr>
        <w:t>However, the program design fell short of providing innovative features</w:t>
      </w:r>
      <w:r>
        <w:rPr>
          <w:rFonts w:asciiTheme="majorHAnsi" w:hAnsiTheme="majorHAnsi" w:cstheme="majorHAnsi"/>
          <w:color w:val="000000"/>
        </w:rPr>
        <w:t xml:space="preserve"> in policy and plan formulation as well as</w:t>
      </w:r>
      <w:r w:rsidRPr="00F8205A">
        <w:rPr>
          <w:rFonts w:asciiTheme="majorHAnsi" w:hAnsiTheme="majorHAnsi" w:cstheme="majorHAnsi"/>
          <w:color w:val="000000"/>
        </w:rPr>
        <w:t xml:space="preserve"> significant demonstration value</w:t>
      </w:r>
      <w:r>
        <w:rPr>
          <w:rFonts w:asciiTheme="majorHAnsi" w:hAnsiTheme="majorHAnsi" w:cstheme="majorHAnsi"/>
          <w:color w:val="000000"/>
        </w:rPr>
        <w:t xml:space="preserve"> of positive reforms</w:t>
      </w:r>
      <w:r w:rsidRPr="00F8205A">
        <w:rPr>
          <w:rFonts w:asciiTheme="majorHAnsi" w:hAnsiTheme="majorHAnsi" w:cstheme="majorHAnsi"/>
          <w:color w:val="000000"/>
        </w:rPr>
        <w:t>.</w:t>
      </w:r>
      <w:r w:rsidR="00D434EB">
        <w:rPr>
          <w:rFonts w:asciiTheme="majorHAnsi" w:hAnsiTheme="majorHAnsi" w:cstheme="majorHAnsi"/>
          <w:color w:val="000000"/>
        </w:rPr>
        <w:t xml:space="preserve"> </w:t>
      </w:r>
      <w:r>
        <w:rPr>
          <w:rFonts w:asciiTheme="majorHAnsi" w:hAnsiTheme="majorHAnsi" w:cstheme="majorHAnsi"/>
          <w:color w:val="000000"/>
        </w:rPr>
        <w:t xml:space="preserve"> </w:t>
      </w:r>
    </w:p>
    <w:p w14:paraId="17D393C7" w14:textId="0686CA68" w:rsidR="008D0CAD" w:rsidRDefault="008D0CAD" w:rsidP="007B6836">
      <w:pPr>
        <w:pStyle w:val="BodyText"/>
        <w:spacing w:before="100" w:beforeAutospacing="1" w:after="100" w:afterAutospacing="1" w:line="360" w:lineRule="auto"/>
        <w:ind w:right="20"/>
        <w:rPr>
          <w:rFonts w:asciiTheme="majorHAnsi" w:hAnsiTheme="majorHAnsi" w:cstheme="majorHAnsi"/>
          <w:sz w:val="24"/>
          <w:szCs w:val="24"/>
          <w:lang w:val="en-GB"/>
        </w:rPr>
      </w:pPr>
      <w:r>
        <w:rPr>
          <w:rFonts w:asciiTheme="majorHAnsi" w:hAnsiTheme="majorHAnsi" w:cstheme="majorHAnsi"/>
          <w:sz w:val="24"/>
          <w:szCs w:val="24"/>
        </w:rPr>
        <w:t xml:space="preserve">The Program interventions under </w:t>
      </w:r>
      <w:r w:rsidRPr="00162164">
        <w:rPr>
          <w:rFonts w:asciiTheme="majorHAnsi" w:hAnsiTheme="majorHAnsi" w:cstheme="majorHAnsi"/>
          <w:b/>
          <w:bCs/>
          <w:sz w:val="24"/>
          <w:szCs w:val="24"/>
        </w:rPr>
        <w:t>UISS</w:t>
      </w:r>
      <w:r w:rsidRPr="007A5C44">
        <w:rPr>
          <w:rFonts w:asciiTheme="majorHAnsi" w:hAnsiTheme="majorHAnsi" w:cstheme="majorHAnsi"/>
          <w:sz w:val="24"/>
          <w:szCs w:val="24"/>
        </w:rPr>
        <w:t xml:space="preserve"> </w:t>
      </w:r>
      <w:r>
        <w:rPr>
          <w:rFonts w:asciiTheme="majorHAnsi" w:hAnsiTheme="majorHAnsi" w:cstheme="majorHAnsi"/>
          <w:sz w:val="24"/>
          <w:szCs w:val="24"/>
        </w:rPr>
        <w:t xml:space="preserve">were assessed as </w:t>
      </w:r>
      <w:r w:rsidRPr="007A5C44">
        <w:rPr>
          <w:rFonts w:asciiTheme="majorHAnsi" w:hAnsiTheme="majorHAnsi" w:cstheme="majorHAnsi"/>
          <w:sz w:val="24"/>
          <w:szCs w:val="24"/>
        </w:rPr>
        <w:t xml:space="preserve">relevant and appropriate and are generally valid and responsive to </w:t>
      </w:r>
      <w:r>
        <w:rPr>
          <w:rFonts w:asciiTheme="majorHAnsi" w:hAnsiTheme="majorHAnsi" w:cstheme="majorHAnsi"/>
          <w:sz w:val="24"/>
          <w:szCs w:val="24"/>
        </w:rPr>
        <w:t>DepEd</w:t>
      </w:r>
      <w:r w:rsidRPr="007A5C44">
        <w:rPr>
          <w:rFonts w:asciiTheme="majorHAnsi" w:hAnsiTheme="majorHAnsi" w:cstheme="majorHAnsi"/>
          <w:sz w:val="24"/>
          <w:szCs w:val="24"/>
        </w:rPr>
        <w:t xml:space="preserve"> needs and priorities, especially in terms of students and school information.</w:t>
      </w:r>
      <w:r w:rsidR="00D434EB">
        <w:rPr>
          <w:rFonts w:asciiTheme="majorHAnsi" w:hAnsiTheme="majorHAnsi" w:cstheme="majorHAnsi"/>
          <w:sz w:val="24"/>
          <w:szCs w:val="24"/>
        </w:rPr>
        <w:t xml:space="preserve"> </w:t>
      </w:r>
      <w:r w:rsidRPr="007A5C44">
        <w:rPr>
          <w:rFonts w:asciiTheme="majorHAnsi" w:hAnsiTheme="majorHAnsi" w:cstheme="majorHAnsi"/>
          <w:sz w:val="24"/>
          <w:szCs w:val="24"/>
        </w:rPr>
        <w:t xml:space="preserve">At the </w:t>
      </w:r>
      <w:r>
        <w:rPr>
          <w:rFonts w:asciiTheme="majorHAnsi" w:hAnsiTheme="majorHAnsi" w:cstheme="majorHAnsi"/>
          <w:sz w:val="24"/>
          <w:szCs w:val="24"/>
        </w:rPr>
        <w:t>DepEd</w:t>
      </w:r>
      <w:r w:rsidRPr="007A5C44">
        <w:rPr>
          <w:rFonts w:asciiTheme="majorHAnsi" w:hAnsiTheme="majorHAnsi" w:cstheme="majorHAnsi"/>
          <w:sz w:val="24"/>
          <w:szCs w:val="24"/>
        </w:rPr>
        <w:t xml:space="preserve"> Central Office level, the UISS is highly relevant, strongly</w:t>
      </w:r>
      <w:r>
        <w:rPr>
          <w:rFonts w:asciiTheme="majorHAnsi" w:hAnsiTheme="majorHAnsi" w:cstheme="majorHAnsi"/>
          <w:sz w:val="24"/>
          <w:szCs w:val="24"/>
        </w:rPr>
        <w:t xml:space="preserve"> aligned</w:t>
      </w:r>
      <w:r w:rsidRPr="007A5C44">
        <w:rPr>
          <w:rFonts w:asciiTheme="majorHAnsi" w:hAnsiTheme="majorHAnsi" w:cstheme="majorHAnsi"/>
          <w:sz w:val="24"/>
          <w:szCs w:val="24"/>
        </w:rPr>
        <w:t xml:space="preserve"> </w:t>
      </w:r>
      <w:r>
        <w:rPr>
          <w:rFonts w:asciiTheme="majorHAnsi" w:hAnsiTheme="majorHAnsi" w:cstheme="majorHAnsi"/>
          <w:sz w:val="24"/>
          <w:szCs w:val="24"/>
        </w:rPr>
        <w:t>with C</w:t>
      </w:r>
      <w:r w:rsidRPr="007A5C44">
        <w:rPr>
          <w:rFonts w:asciiTheme="majorHAnsi" w:hAnsiTheme="majorHAnsi" w:cstheme="majorHAnsi"/>
          <w:sz w:val="24"/>
          <w:szCs w:val="24"/>
        </w:rPr>
        <w:t xml:space="preserve">entral </w:t>
      </w:r>
      <w:r>
        <w:rPr>
          <w:rFonts w:asciiTheme="majorHAnsi" w:hAnsiTheme="majorHAnsi" w:cstheme="majorHAnsi"/>
          <w:sz w:val="24"/>
          <w:szCs w:val="24"/>
        </w:rPr>
        <w:t>O</w:t>
      </w:r>
      <w:r w:rsidRPr="007A5C44">
        <w:rPr>
          <w:rFonts w:asciiTheme="majorHAnsi" w:hAnsiTheme="majorHAnsi" w:cstheme="majorHAnsi"/>
          <w:sz w:val="24"/>
          <w:szCs w:val="24"/>
        </w:rPr>
        <w:t>ffice priorities on information systems. T</w:t>
      </w:r>
      <w:r w:rsidRPr="007A5C44">
        <w:rPr>
          <w:rFonts w:asciiTheme="majorHAnsi" w:eastAsiaTheme="minorEastAsia" w:hAnsiTheme="majorHAnsi" w:cstheme="majorHAnsi"/>
          <w:sz w:val="24"/>
          <w:szCs w:val="24"/>
          <w:lang w:val="en-PH"/>
        </w:rPr>
        <w:t>he UISS was project was designed to accommodate a wide range of actors across governance levels, from Departments (at the national central office, regional, division, district</w:t>
      </w:r>
      <w:r>
        <w:rPr>
          <w:rFonts w:asciiTheme="majorHAnsi" w:eastAsiaTheme="minorEastAsia" w:hAnsiTheme="majorHAnsi" w:cstheme="majorHAnsi"/>
          <w:sz w:val="24"/>
          <w:szCs w:val="24"/>
          <w:lang w:val="en-PH"/>
        </w:rPr>
        <w:t xml:space="preserve"> offices)</w:t>
      </w:r>
      <w:r w:rsidRPr="007A5C44">
        <w:rPr>
          <w:rFonts w:asciiTheme="majorHAnsi" w:eastAsiaTheme="minorEastAsia" w:hAnsiTheme="majorHAnsi" w:cstheme="majorHAnsi"/>
          <w:sz w:val="24"/>
          <w:szCs w:val="24"/>
          <w:lang w:val="en-PH"/>
        </w:rPr>
        <w:t xml:space="preserve">, </w:t>
      </w:r>
      <w:r>
        <w:rPr>
          <w:rFonts w:asciiTheme="majorHAnsi" w:eastAsiaTheme="minorEastAsia" w:hAnsiTheme="majorHAnsi" w:cstheme="majorHAnsi"/>
          <w:sz w:val="24"/>
          <w:szCs w:val="24"/>
          <w:lang w:val="en-PH"/>
        </w:rPr>
        <w:t xml:space="preserve">and </w:t>
      </w:r>
      <w:r w:rsidRPr="007A5C44">
        <w:rPr>
          <w:rFonts w:asciiTheme="majorHAnsi" w:eastAsiaTheme="minorEastAsia" w:hAnsiTheme="majorHAnsi" w:cstheme="majorHAnsi"/>
          <w:sz w:val="24"/>
          <w:szCs w:val="24"/>
          <w:lang w:val="en-PH"/>
        </w:rPr>
        <w:t xml:space="preserve">down to schools. With regard to ownership, </w:t>
      </w:r>
      <w:r>
        <w:rPr>
          <w:rFonts w:asciiTheme="majorHAnsi" w:eastAsiaTheme="minorEastAsia" w:hAnsiTheme="majorHAnsi" w:cstheme="majorHAnsi"/>
          <w:sz w:val="24"/>
          <w:szCs w:val="24"/>
          <w:lang w:val="en-PH"/>
        </w:rPr>
        <w:t>‘</w:t>
      </w:r>
      <w:r w:rsidRPr="007A5C44">
        <w:rPr>
          <w:rFonts w:asciiTheme="majorHAnsi" w:eastAsiaTheme="minorEastAsia" w:hAnsiTheme="majorHAnsi" w:cstheme="majorHAnsi"/>
          <w:sz w:val="24"/>
          <w:szCs w:val="24"/>
          <w:lang w:val="en-PH"/>
        </w:rPr>
        <w:t>process owners</w:t>
      </w:r>
      <w:r>
        <w:rPr>
          <w:rFonts w:asciiTheme="majorHAnsi" w:eastAsiaTheme="minorEastAsia" w:hAnsiTheme="majorHAnsi" w:cstheme="majorHAnsi"/>
          <w:sz w:val="24"/>
          <w:szCs w:val="24"/>
          <w:lang w:val="en-PH"/>
        </w:rPr>
        <w:t>’</w:t>
      </w:r>
      <w:r w:rsidRPr="007A5C44">
        <w:rPr>
          <w:rFonts w:asciiTheme="majorHAnsi" w:eastAsiaTheme="minorEastAsia" w:hAnsiTheme="majorHAnsi" w:cstheme="majorHAnsi"/>
          <w:sz w:val="24"/>
          <w:szCs w:val="24"/>
          <w:lang w:val="en-PH"/>
        </w:rPr>
        <w:t xml:space="preserve"> were defined at the </w:t>
      </w:r>
      <w:r>
        <w:rPr>
          <w:rFonts w:asciiTheme="majorHAnsi" w:eastAsiaTheme="minorEastAsia" w:hAnsiTheme="majorHAnsi" w:cstheme="majorHAnsi"/>
          <w:sz w:val="24"/>
          <w:szCs w:val="24"/>
          <w:lang w:val="en-PH"/>
        </w:rPr>
        <w:t>C</w:t>
      </w:r>
      <w:r w:rsidRPr="007A5C44">
        <w:rPr>
          <w:rFonts w:asciiTheme="majorHAnsi" w:eastAsiaTheme="minorEastAsia" w:hAnsiTheme="majorHAnsi" w:cstheme="majorHAnsi"/>
          <w:sz w:val="24"/>
          <w:szCs w:val="24"/>
          <w:lang w:val="en-PH"/>
        </w:rPr>
        <w:t xml:space="preserve">entral </w:t>
      </w:r>
      <w:r>
        <w:rPr>
          <w:rFonts w:asciiTheme="majorHAnsi" w:eastAsiaTheme="minorEastAsia" w:hAnsiTheme="majorHAnsi" w:cstheme="majorHAnsi"/>
          <w:sz w:val="24"/>
          <w:szCs w:val="24"/>
          <w:lang w:val="en-PH"/>
        </w:rPr>
        <w:t>O</w:t>
      </w:r>
      <w:r w:rsidRPr="007A5C44">
        <w:rPr>
          <w:rFonts w:asciiTheme="majorHAnsi" w:eastAsiaTheme="minorEastAsia" w:hAnsiTheme="majorHAnsi" w:cstheme="majorHAnsi"/>
          <w:sz w:val="24"/>
          <w:szCs w:val="24"/>
          <w:lang w:val="en-PH"/>
        </w:rPr>
        <w:t>ffice with support from the Information and Communication Technology Services (ICTS).</w:t>
      </w:r>
      <w:r w:rsidR="00D434EB">
        <w:rPr>
          <w:rFonts w:asciiTheme="majorHAnsi" w:eastAsiaTheme="minorEastAsia" w:hAnsiTheme="majorHAnsi" w:cstheme="majorHAnsi"/>
          <w:sz w:val="24"/>
          <w:szCs w:val="24"/>
          <w:lang w:val="en-PH"/>
        </w:rPr>
        <w:t xml:space="preserve"> </w:t>
      </w:r>
      <w:r>
        <w:rPr>
          <w:rFonts w:asciiTheme="majorHAnsi" w:hAnsiTheme="majorHAnsi" w:cstheme="majorHAnsi"/>
          <w:sz w:val="24"/>
          <w:szCs w:val="24"/>
          <w:lang w:val="en-GB"/>
        </w:rPr>
        <w:t>In particular, the EBEIS and the LIS contributed to systemic improvement in evidence-based planning.</w:t>
      </w:r>
      <w:r w:rsidR="00D434EB">
        <w:rPr>
          <w:rFonts w:asciiTheme="majorHAnsi" w:hAnsiTheme="majorHAnsi" w:cstheme="majorHAnsi"/>
          <w:sz w:val="24"/>
          <w:szCs w:val="24"/>
          <w:lang w:val="en-GB"/>
        </w:rPr>
        <w:t xml:space="preserve"> </w:t>
      </w:r>
      <w:r>
        <w:rPr>
          <w:rFonts w:asciiTheme="majorHAnsi" w:hAnsiTheme="majorHAnsi" w:cstheme="majorHAnsi"/>
          <w:sz w:val="24"/>
          <w:szCs w:val="24"/>
          <w:lang w:val="en-GB"/>
        </w:rPr>
        <w:t>However, the LR Portal had many issues.</w:t>
      </w:r>
      <w:r w:rsidR="00D434EB">
        <w:rPr>
          <w:rFonts w:asciiTheme="majorHAnsi" w:hAnsiTheme="majorHAnsi" w:cstheme="majorHAnsi"/>
          <w:sz w:val="24"/>
          <w:szCs w:val="24"/>
          <w:lang w:val="en-GB"/>
        </w:rPr>
        <w:t xml:space="preserve"> </w:t>
      </w:r>
      <w:r>
        <w:rPr>
          <w:rFonts w:asciiTheme="majorHAnsi" w:hAnsiTheme="majorHAnsi" w:cstheme="majorHAnsi"/>
          <w:sz w:val="24"/>
          <w:szCs w:val="24"/>
          <w:lang w:val="en-GB"/>
        </w:rPr>
        <w:t>A key issue that saddled the entire UISS, and remained unanswered at the time of the Follow-Up Study, is connectivity and system capacity.</w:t>
      </w:r>
    </w:p>
    <w:p w14:paraId="2AD901AD" w14:textId="77777777" w:rsidR="008D0CAD" w:rsidRDefault="008D0CAD" w:rsidP="007B6836">
      <w:pPr>
        <w:shd w:val="clear" w:color="auto" w:fill="FFFFFF"/>
        <w:spacing w:before="100" w:beforeAutospacing="1" w:after="100" w:afterAutospacing="1" w:line="360" w:lineRule="auto"/>
        <w:textAlignment w:val="baseline"/>
        <w:rPr>
          <w:rFonts w:asciiTheme="majorHAnsi" w:hAnsiTheme="majorHAnsi" w:cstheme="majorHAnsi"/>
        </w:rPr>
      </w:pPr>
      <w:r w:rsidRPr="00BF54E9">
        <w:rPr>
          <w:rFonts w:asciiTheme="majorHAnsi" w:hAnsiTheme="majorHAnsi" w:cstheme="majorHAnsi"/>
          <w:b/>
          <w:bCs/>
        </w:rPr>
        <w:t xml:space="preserve">OD </w:t>
      </w:r>
      <w:r w:rsidRPr="00472DEA">
        <w:rPr>
          <w:rFonts w:asciiTheme="majorHAnsi" w:hAnsiTheme="majorHAnsi" w:cstheme="majorHAnsi"/>
        </w:rPr>
        <w:t>interventions</w:t>
      </w:r>
      <w:r w:rsidRPr="00A96AD6">
        <w:rPr>
          <w:rFonts w:asciiTheme="majorHAnsi" w:hAnsiTheme="majorHAnsi" w:cstheme="majorHAnsi"/>
        </w:rPr>
        <w:t xml:space="preserve">, which </w:t>
      </w:r>
      <w:r>
        <w:rPr>
          <w:rFonts w:asciiTheme="majorHAnsi" w:hAnsiTheme="majorHAnsi" w:cstheme="majorHAnsi"/>
        </w:rPr>
        <w:t>are</w:t>
      </w:r>
      <w:r w:rsidRPr="00A96AD6">
        <w:rPr>
          <w:rFonts w:asciiTheme="majorHAnsi" w:hAnsiTheme="majorHAnsi" w:cstheme="majorHAnsi"/>
        </w:rPr>
        <w:t xml:space="preserve"> </w:t>
      </w:r>
      <w:r>
        <w:rPr>
          <w:rFonts w:asciiTheme="majorHAnsi" w:hAnsiTheme="majorHAnsi" w:cstheme="majorHAnsi"/>
        </w:rPr>
        <w:t>focused</w:t>
      </w:r>
      <w:r w:rsidRPr="00A96AD6">
        <w:rPr>
          <w:rFonts w:asciiTheme="majorHAnsi" w:hAnsiTheme="majorHAnsi" w:cstheme="majorHAnsi"/>
        </w:rPr>
        <w:t xml:space="preserve"> </w:t>
      </w:r>
      <w:r>
        <w:rPr>
          <w:rFonts w:asciiTheme="majorHAnsi" w:hAnsiTheme="majorHAnsi" w:cstheme="majorHAnsi"/>
        </w:rPr>
        <w:t>on</w:t>
      </w:r>
      <w:r w:rsidRPr="00A96AD6">
        <w:rPr>
          <w:rFonts w:asciiTheme="majorHAnsi" w:hAnsiTheme="majorHAnsi" w:cstheme="majorHAnsi"/>
        </w:rPr>
        <w:t xml:space="preserve"> CI activities, </w:t>
      </w:r>
      <w:r>
        <w:rPr>
          <w:rFonts w:asciiTheme="majorHAnsi" w:hAnsiTheme="majorHAnsi" w:cstheme="majorHAnsi"/>
        </w:rPr>
        <w:t>are</w:t>
      </w:r>
      <w:r w:rsidRPr="00472DEA">
        <w:rPr>
          <w:rFonts w:asciiTheme="majorHAnsi" w:hAnsiTheme="majorHAnsi" w:cstheme="majorHAnsi"/>
        </w:rPr>
        <w:t xml:space="preserve"> assessed </w:t>
      </w:r>
      <w:r w:rsidRPr="00A96AD6">
        <w:rPr>
          <w:rFonts w:asciiTheme="majorHAnsi" w:hAnsiTheme="majorHAnsi" w:cstheme="majorHAnsi"/>
        </w:rPr>
        <w:t xml:space="preserve">as </w:t>
      </w:r>
      <w:r w:rsidRPr="00A96AD6">
        <w:rPr>
          <w:rFonts w:asciiTheme="majorHAnsi" w:hAnsiTheme="majorHAnsi" w:cstheme="majorHAnsi"/>
          <w:b/>
          <w:bCs/>
          <w:color w:val="0070C0"/>
        </w:rPr>
        <w:t>Relevant</w:t>
      </w:r>
      <w:r w:rsidRPr="00A96AD6">
        <w:rPr>
          <w:rFonts w:asciiTheme="majorHAnsi" w:hAnsiTheme="majorHAnsi" w:cstheme="majorHAnsi"/>
          <w:color w:val="0070C0"/>
        </w:rPr>
        <w:t xml:space="preserve"> </w:t>
      </w:r>
      <w:r w:rsidRPr="00A96AD6">
        <w:rPr>
          <w:rFonts w:asciiTheme="majorHAnsi" w:hAnsiTheme="majorHAnsi" w:cstheme="majorHAnsi"/>
        </w:rPr>
        <w:t xml:space="preserve">at the level of ROs and DOs particularly those </w:t>
      </w:r>
      <w:r>
        <w:rPr>
          <w:rFonts w:asciiTheme="majorHAnsi" w:hAnsiTheme="majorHAnsi" w:cstheme="majorHAnsi"/>
        </w:rPr>
        <w:t>pursuing</w:t>
      </w:r>
      <w:r w:rsidRPr="00A96AD6">
        <w:rPr>
          <w:rFonts w:asciiTheme="majorHAnsi" w:hAnsiTheme="majorHAnsi" w:cstheme="majorHAnsi"/>
        </w:rPr>
        <w:t xml:space="preserve"> ISO</w:t>
      </w:r>
      <w:r>
        <w:rPr>
          <w:rFonts w:asciiTheme="majorHAnsi" w:hAnsiTheme="majorHAnsi" w:cstheme="majorHAnsi"/>
        </w:rPr>
        <w:t xml:space="preserve"> certification.</w:t>
      </w:r>
    </w:p>
    <w:p w14:paraId="62220F28" w14:textId="77777777" w:rsidR="008D0CAD" w:rsidRDefault="008D0CAD" w:rsidP="007B6836">
      <w:pPr>
        <w:shd w:val="clear" w:color="auto" w:fill="FFFFFF"/>
        <w:spacing w:before="100" w:beforeAutospacing="1" w:after="100" w:afterAutospacing="1" w:line="360" w:lineRule="auto"/>
        <w:textAlignment w:val="baseline"/>
        <w:rPr>
          <w:rFonts w:asciiTheme="majorHAnsi" w:hAnsiTheme="majorHAnsi" w:cstheme="majorHAnsi"/>
        </w:rPr>
      </w:pPr>
      <w:r w:rsidRPr="00273C02">
        <w:rPr>
          <w:rFonts w:asciiTheme="majorHAnsi" w:hAnsiTheme="majorHAnsi" w:cstheme="majorHAnsi"/>
        </w:rPr>
        <w:t xml:space="preserve">The Knowledge/Usefulness Matrix (KAU Survey) provides additional evidence of </w:t>
      </w:r>
      <w:r>
        <w:rPr>
          <w:rFonts w:asciiTheme="majorHAnsi" w:hAnsiTheme="majorHAnsi" w:cstheme="majorHAnsi"/>
        </w:rPr>
        <w:t xml:space="preserve">the </w:t>
      </w:r>
      <w:r w:rsidRPr="00273C02">
        <w:rPr>
          <w:rFonts w:asciiTheme="majorHAnsi" w:hAnsiTheme="majorHAnsi" w:cstheme="majorHAnsi"/>
        </w:rPr>
        <w:t xml:space="preserve">Relevance of Program interventions (i.e., policies and outputs) at </w:t>
      </w:r>
      <w:r>
        <w:rPr>
          <w:rFonts w:asciiTheme="majorHAnsi" w:hAnsiTheme="majorHAnsi" w:cstheme="majorHAnsi"/>
        </w:rPr>
        <w:t>school</w:t>
      </w:r>
      <w:r w:rsidRPr="00273C02">
        <w:rPr>
          <w:rFonts w:asciiTheme="majorHAnsi" w:hAnsiTheme="majorHAnsi" w:cstheme="majorHAnsi"/>
        </w:rPr>
        <w:t xml:space="preserve"> level. The Study looked at the interventions </w:t>
      </w:r>
      <w:r>
        <w:rPr>
          <w:rFonts w:asciiTheme="majorHAnsi" w:hAnsiTheme="majorHAnsi" w:cstheme="majorHAnsi"/>
        </w:rPr>
        <w:t xml:space="preserve">assessed by at least </w:t>
      </w:r>
      <w:r w:rsidRPr="00864186">
        <w:rPr>
          <w:rFonts w:asciiTheme="majorHAnsi" w:hAnsiTheme="majorHAnsi" w:cstheme="majorHAnsi"/>
          <w:b/>
          <w:bCs/>
        </w:rPr>
        <w:t xml:space="preserve">70 </w:t>
      </w:r>
      <w:r>
        <w:rPr>
          <w:rFonts w:asciiTheme="majorHAnsi" w:hAnsiTheme="majorHAnsi" w:cstheme="majorHAnsi"/>
          <w:b/>
          <w:bCs/>
        </w:rPr>
        <w:t>per cent</w:t>
      </w:r>
      <w:r w:rsidRPr="00864186">
        <w:rPr>
          <w:rFonts w:asciiTheme="majorHAnsi" w:hAnsiTheme="majorHAnsi" w:cstheme="majorHAnsi"/>
          <w:b/>
          <w:bCs/>
        </w:rPr>
        <w:t xml:space="preserve"> of </w:t>
      </w:r>
      <w:r>
        <w:rPr>
          <w:rFonts w:asciiTheme="majorHAnsi" w:hAnsiTheme="majorHAnsi" w:cstheme="majorHAnsi"/>
          <w:b/>
          <w:bCs/>
        </w:rPr>
        <w:t>principals</w:t>
      </w:r>
      <w:r w:rsidRPr="00864186">
        <w:rPr>
          <w:rFonts w:asciiTheme="majorHAnsi" w:hAnsiTheme="majorHAnsi" w:cstheme="majorHAnsi"/>
          <w:b/>
          <w:bCs/>
        </w:rPr>
        <w:t xml:space="preserve"> and </w:t>
      </w:r>
      <w:r>
        <w:rPr>
          <w:rFonts w:asciiTheme="majorHAnsi" w:hAnsiTheme="majorHAnsi" w:cstheme="majorHAnsi"/>
          <w:b/>
          <w:bCs/>
        </w:rPr>
        <w:t>teacher</w:t>
      </w:r>
      <w:r w:rsidRPr="00864186">
        <w:rPr>
          <w:rFonts w:asciiTheme="majorHAnsi" w:hAnsiTheme="majorHAnsi" w:cstheme="majorHAnsi"/>
          <w:b/>
          <w:bCs/>
        </w:rPr>
        <w:t>s</w:t>
      </w:r>
      <w:r>
        <w:rPr>
          <w:rFonts w:asciiTheme="majorHAnsi" w:hAnsiTheme="majorHAnsi" w:cstheme="majorHAnsi"/>
          <w:b/>
          <w:bCs/>
        </w:rPr>
        <w:t xml:space="preserve"> </w:t>
      </w:r>
      <w:r>
        <w:rPr>
          <w:rFonts w:asciiTheme="majorHAnsi" w:hAnsiTheme="majorHAnsi" w:cstheme="majorHAnsi"/>
        </w:rPr>
        <w:t>as having high or very high utility</w:t>
      </w:r>
      <w:r w:rsidRPr="00273C02">
        <w:rPr>
          <w:rFonts w:asciiTheme="majorHAnsi" w:hAnsiTheme="majorHAnsi" w:cstheme="majorHAnsi"/>
        </w:rPr>
        <w:t xml:space="preserve"> </w:t>
      </w:r>
      <w:r>
        <w:rPr>
          <w:rFonts w:asciiTheme="majorHAnsi" w:hAnsiTheme="majorHAnsi" w:cstheme="majorHAnsi"/>
        </w:rPr>
        <w:t xml:space="preserve">in both in the 2019 Study and in the 2020 Follow-Up Study </w:t>
      </w:r>
      <w:r w:rsidRPr="00273C02">
        <w:rPr>
          <w:rFonts w:asciiTheme="majorHAnsi" w:hAnsiTheme="majorHAnsi" w:cstheme="majorHAnsi"/>
        </w:rPr>
        <w:t xml:space="preserve">(refer also to Annex Y). The results showed that </w:t>
      </w:r>
      <w:r>
        <w:rPr>
          <w:rFonts w:asciiTheme="majorHAnsi" w:hAnsiTheme="majorHAnsi" w:cstheme="majorHAnsi"/>
        </w:rPr>
        <w:t xml:space="preserve">the highly relevant </w:t>
      </w:r>
      <w:r w:rsidRPr="00273C02">
        <w:rPr>
          <w:rFonts w:asciiTheme="majorHAnsi" w:hAnsiTheme="majorHAnsi" w:cstheme="majorHAnsi"/>
        </w:rPr>
        <w:t xml:space="preserve">Program interventions </w:t>
      </w:r>
      <w:r>
        <w:rPr>
          <w:rFonts w:asciiTheme="majorHAnsi" w:hAnsiTheme="majorHAnsi" w:cstheme="majorHAnsi"/>
        </w:rPr>
        <w:t xml:space="preserve">at the school-level were: </w:t>
      </w:r>
      <w:r w:rsidRPr="00273C02">
        <w:rPr>
          <w:rFonts w:asciiTheme="majorHAnsi" w:hAnsiTheme="majorHAnsi" w:cstheme="majorHAnsi"/>
        </w:rPr>
        <w:t>PPST (</w:t>
      </w:r>
      <w:r w:rsidRPr="00273C02">
        <w:rPr>
          <w:rFonts w:asciiTheme="majorHAnsi" w:hAnsiTheme="majorHAnsi" w:cstheme="majorHAnsi"/>
          <w:color w:val="000000"/>
        </w:rPr>
        <w:t>DO 42-2017 PPST, DO 2-2015 RPMS,</w:t>
      </w:r>
      <w:r w:rsidRPr="00273C02">
        <w:rPr>
          <w:rFonts w:asciiTheme="majorHAnsi" w:hAnsiTheme="majorHAnsi" w:cstheme="majorHAnsi"/>
        </w:rPr>
        <w:t xml:space="preserve"> COT and SAT)</w:t>
      </w:r>
      <w:r>
        <w:rPr>
          <w:rFonts w:asciiTheme="majorHAnsi" w:hAnsiTheme="majorHAnsi" w:cstheme="majorHAnsi"/>
        </w:rPr>
        <w:t xml:space="preserve">; </w:t>
      </w:r>
      <w:r w:rsidRPr="00273C02">
        <w:rPr>
          <w:rFonts w:asciiTheme="majorHAnsi" w:hAnsiTheme="majorHAnsi" w:cstheme="majorHAnsi"/>
        </w:rPr>
        <w:t>C</w:t>
      </w:r>
      <w:r>
        <w:rPr>
          <w:rFonts w:asciiTheme="majorHAnsi" w:hAnsiTheme="majorHAnsi" w:cstheme="majorHAnsi"/>
        </w:rPr>
        <w:t>&amp;</w:t>
      </w:r>
      <w:r w:rsidRPr="00273C02">
        <w:rPr>
          <w:rFonts w:asciiTheme="majorHAnsi" w:hAnsiTheme="majorHAnsi" w:cstheme="majorHAnsi"/>
        </w:rPr>
        <w:t>A (</w:t>
      </w:r>
      <w:r w:rsidRPr="00273C02">
        <w:rPr>
          <w:rFonts w:asciiTheme="majorHAnsi" w:hAnsiTheme="majorHAnsi" w:cstheme="majorHAnsi"/>
          <w:color w:val="000000"/>
        </w:rPr>
        <w:t>DO 8-2015 Classroom Assessment</w:t>
      </w:r>
      <w:r w:rsidRPr="00273C02">
        <w:rPr>
          <w:rFonts w:asciiTheme="majorHAnsi" w:hAnsiTheme="majorHAnsi" w:cstheme="majorHAnsi"/>
        </w:rPr>
        <w:t xml:space="preserve">, K-12 Curriculum Guides and Classroom Assessment) and LIS. </w:t>
      </w:r>
    </w:p>
    <w:p w14:paraId="4FAC4C0B" w14:textId="732FD703" w:rsidR="008D0CAD" w:rsidRPr="00B9436F" w:rsidRDefault="007162E7" w:rsidP="007B6836">
      <w:pPr>
        <w:pStyle w:val="Heading3"/>
        <w:spacing w:before="100" w:beforeAutospacing="1" w:after="100" w:afterAutospacing="1" w:line="360" w:lineRule="auto"/>
      </w:pPr>
      <w:bookmarkStart w:id="181" w:name="_Toc69820448"/>
      <w:r>
        <w:t xml:space="preserve">4.2. </w:t>
      </w:r>
      <w:r w:rsidR="008D0CAD">
        <w:t>Efficiency</w:t>
      </w:r>
      <w:bookmarkEnd w:id="181"/>
    </w:p>
    <w:p w14:paraId="1FEE2C06" w14:textId="77777777" w:rsidR="008D0CAD" w:rsidRDefault="008D0CAD" w:rsidP="007B6836">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color w:val="000000" w:themeColor="text1"/>
        </w:rPr>
        <w:t xml:space="preserve">The EOPE Study was not able to assess the Efficiency of the </w:t>
      </w:r>
      <w:r w:rsidRPr="004F28FD">
        <w:rPr>
          <w:rFonts w:asciiTheme="majorHAnsi" w:hAnsiTheme="majorHAnsi" w:cstheme="majorHAnsi"/>
        </w:rPr>
        <w:t xml:space="preserve">BEST </w:t>
      </w:r>
      <w:r>
        <w:rPr>
          <w:rFonts w:asciiTheme="majorHAnsi" w:hAnsiTheme="majorHAnsi" w:cstheme="majorHAnsi"/>
        </w:rPr>
        <w:t xml:space="preserve">Program interventions </w:t>
      </w:r>
      <w:r>
        <w:rPr>
          <w:rFonts w:asciiTheme="majorHAnsi" w:hAnsiTheme="majorHAnsi" w:cstheme="majorHAnsi"/>
          <w:color w:val="000000" w:themeColor="text1"/>
        </w:rPr>
        <w:t>for several reasons:</w:t>
      </w:r>
    </w:p>
    <w:p w14:paraId="0F1B967C" w14:textId="7C0F9BF8" w:rsidR="008D0CAD" w:rsidRPr="00B9436F" w:rsidRDefault="008D0CAD" w:rsidP="007B6836">
      <w:pPr>
        <w:pStyle w:val="ListParagraph"/>
        <w:numPr>
          <w:ilvl w:val="0"/>
          <w:numId w:val="45"/>
        </w:numPr>
        <w:spacing w:before="100" w:beforeAutospacing="1" w:after="100" w:afterAutospacing="1" w:line="360" w:lineRule="auto"/>
        <w:rPr>
          <w:rFonts w:asciiTheme="majorHAnsi" w:hAnsiTheme="majorHAnsi" w:cstheme="majorHAnsi"/>
        </w:rPr>
      </w:pPr>
      <w:r w:rsidRPr="0073199B">
        <w:rPr>
          <w:rFonts w:asciiTheme="majorHAnsi" w:hAnsiTheme="majorHAnsi" w:cstheme="majorHAnsi"/>
          <w:b/>
          <w:bCs/>
          <w:color w:val="000000" w:themeColor="text1"/>
        </w:rPr>
        <w:t>Insufficient financial details</w:t>
      </w:r>
      <w:r w:rsidRPr="0073199B">
        <w:rPr>
          <w:rFonts w:asciiTheme="majorHAnsi" w:hAnsiTheme="majorHAnsi" w:cstheme="majorHAnsi"/>
          <w:color w:val="000000" w:themeColor="text1"/>
        </w:rPr>
        <w:t>.</w:t>
      </w:r>
      <w:r>
        <w:rPr>
          <w:rStyle w:val="FootnoteReference"/>
          <w:rFonts w:asciiTheme="majorHAnsi" w:eastAsia="Arial Unicode MS" w:hAnsiTheme="majorHAnsi" w:cstheme="majorHAnsi"/>
          <w:color w:val="000000" w:themeColor="text1"/>
        </w:rPr>
        <w:footnoteReference w:id="122"/>
      </w:r>
      <w:r w:rsidRPr="00B9436F">
        <w:rPr>
          <w:rFonts w:asciiTheme="majorHAnsi" w:hAnsiTheme="majorHAnsi" w:cstheme="majorHAnsi"/>
        </w:rPr>
        <w:t xml:space="preserve"> </w:t>
      </w:r>
      <w:r>
        <w:rPr>
          <w:rFonts w:asciiTheme="majorHAnsi" w:hAnsiTheme="majorHAnsi" w:cstheme="majorHAnsi"/>
        </w:rPr>
        <w:t>Assessment of e</w:t>
      </w:r>
      <w:r w:rsidRPr="00B9436F">
        <w:rPr>
          <w:rFonts w:asciiTheme="majorHAnsi" w:hAnsiTheme="majorHAnsi" w:cstheme="majorHAnsi"/>
        </w:rPr>
        <w:t xml:space="preserve">fficiency </w:t>
      </w:r>
      <w:r>
        <w:rPr>
          <w:rFonts w:asciiTheme="majorHAnsi" w:hAnsiTheme="majorHAnsi" w:cstheme="majorHAnsi"/>
        </w:rPr>
        <w:t>would require detailed analysis of</w:t>
      </w:r>
      <w:r w:rsidRPr="00B9436F">
        <w:rPr>
          <w:rFonts w:asciiTheme="majorHAnsi" w:hAnsiTheme="majorHAnsi" w:cstheme="majorHAnsi"/>
        </w:rPr>
        <w:t xml:space="preserve"> the program’s financials.</w:t>
      </w:r>
      <w:r w:rsidR="00D434EB">
        <w:rPr>
          <w:rFonts w:asciiTheme="majorHAnsi" w:hAnsiTheme="majorHAnsi" w:cstheme="majorHAnsi"/>
        </w:rPr>
        <w:t xml:space="preserve"> </w:t>
      </w:r>
      <w:r w:rsidRPr="00B9436F">
        <w:rPr>
          <w:rFonts w:asciiTheme="majorHAnsi" w:hAnsiTheme="majorHAnsi" w:cstheme="majorHAnsi"/>
        </w:rPr>
        <w:t>However, because the five Annual Plans (APs) and the nine Six-Month Progress Reports (SMPRs) did not provide sufficient</w:t>
      </w:r>
      <w:r>
        <w:rPr>
          <w:rFonts w:asciiTheme="majorHAnsi" w:hAnsiTheme="majorHAnsi" w:cstheme="majorHAnsi"/>
        </w:rPr>
        <w:t>ly detailed</w:t>
      </w:r>
      <w:r w:rsidRPr="00B9436F">
        <w:rPr>
          <w:rFonts w:asciiTheme="majorHAnsi" w:hAnsiTheme="majorHAnsi" w:cstheme="majorHAnsi"/>
        </w:rPr>
        <w:t xml:space="preserve"> financial </w:t>
      </w:r>
      <w:r>
        <w:rPr>
          <w:rFonts w:asciiTheme="majorHAnsi" w:hAnsiTheme="majorHAnsi" w:cstheme="majorHAnsi"/>
        </w:rPr>
        <w:t>information</w:t>
      </w:r>
      <w:r w:rsidRPr="00B9436F">
        <w:rPr>
          <w:rFonts w:asciiTheme="majorHAnsi" w:hAnsiTheme="majorHAnsi" w:cstheme="majorHAnsi"/>
        </w:rPr>
        <w:t xml:space="preserve"> to complete </w:t>
      </w:r>
      <w:r>
        <w:rPr>
          <w:rFonts w:asciiTheme="majorHAnsi" w:hAnsiTheme="majorHAnsi" w:cstheme="majorHAnsi"/>
        </w:rPr>
        <w:t>a</w:t>
      </w:r>
      <w:r w:rsidRPr="00B9436F">
        <w:rPr>
          <w:rFonts w:asciiTheme="majorHAnsi" w:hAnsiTheme="majorHAnsi" w:cstheme="majorHAnsi"/>
        </w:rPr>
        <w:t xml:space="preserve"> comparative assessment of program interventions’ costs against program intervention benefits. </w:t>
      </w:r>
    </w:p>
    <w:p w14:paraId="3068BE48" w14:textId="7DDF6F07" w:rsidR="008D0CAD" w:rsidRPr="00876089" w:rsidRDefault="008D0CAD" w:rsidP="007B6836">
      <w:pPr>
        <w:pStyle w:val="ListParagraph"/>
        <w:numPr>
          <w:ilvl w:val="0"/>
          <w:numId w:val="45"/>
        </w:numPr>
        <w:spacing w:before="100" w:beforeAutospacing="1" w:after="100" w:afterAutospacing="1" w:line="360" w:lineRule="auto"/>
        <w:rPr>
          <w:rFonts w:asciiTheme="majorHAnsi" w:hAnsiTheme="majorHAnsi" w:cstheme="majorHAnsi"/>
          <w:color w:val="000000" w:themeColor="text1"/>
        </w:rPr>
      </w:pPr>
      <w:r w:rsidRPr="0073199B">
        <w:rPr>
          <w:rFonts w:asciiTheme="majorHAnsi" w:hAnsiTheme="majorHAnsi" w:cstheme="majorHAnsi"/>
          <w:b/>
          <w:bCs/>
          <w:color w:val="000000" w:themeColor="text1"/>
        </w:rPr>
        <w:t>Targets changed annually</w:t>
      </w:r>
      <w:r>
        <w:rPr>
          <w:rFonts w:asciiTheme="majorHAnsi" w:hAnsiTheme="majorHAnsi" w:cstheme="majorHAnsi"/>
        </w:rPr>
        <w:t xml:space="preserve">. </w:t>
      </w:r>
      <w:r w:rsidRPr="00B9436F">
        <w:rPr>
          <w:rFonts w:asciiTheme="majorHAnsi" w:hAnsiTheme="majorHAnsi" w:cstheme="majorHAnsi"/>
        </w:rPr>
        <w:t xml:space="preserve">Efficiency also </w:t>
      </w:r>
      <w:r>
        <w:rPr>
          <w:rFonts w:asciiTheme="majorHAnsi" w:hAnsiTheme="majorHAnsi" w:cstheme="majorHAnsi"/>
        </w:rPr>
        <w:t>requires an assessment of p</w:t>
      </w:r>
      <w:r w:rsidRPr="00B9436F">
        <w:rPr>
          <w:rFonts w:asciiTheme="majorHAnsi" w:hAnsiTheme="majorHAnsi" w:cstheme="majorHAnsi"/>
        </w:rPr>
        <w:t xml:space="preserve">lanned versus </w:t>
      </w:r>
      <w:r>
        <w:rPr>
          <w:rFonts w:asciiTheme="majorHAnsi" w:hAnsiTheme="majorHAnsi" w:cstheme="majorHAnsi"/>
        </w:rPr>
        <w:t>a</w:t>
      </w:r>
      <w:r w:rsidRPr="00B9436F">
        <w:rPr>
          <w:rFonts w:asciiTheme="majorHAnsi" w:hAnsiTheme="majorHAnsi" w:cstheme="majorHAnsi"/>
        </w:rPr>
        <w:t>ctual</w:t>
      </w:r>
      <w:r>
        <w:rPr>
          <w:rFonts w:asciiTheme="majorHAnsi" w:hAnsiTheme="majorHAnsi" w:cstheme="majorHAnsi"/>
        </w:rPr>
        <w:t xml:space="preserve"> accomplishments. This</w:t>
      </w:r>
      <w:r w:rsidRPr="00B9436F">
        <w:rPr>
          <w:rFonts w:asciiTheme="majorHAnsi" w:hAnsiTheme="majorHAnsi" w:cstheme="majorHAnsi"/>
        </w:rPr>
        <w:t xml:space="preserve"> proved very </w:t>
      </w:r>
      <w:r>
        <w:rPr>
          <w:rFonts w:asciiTheme="majorHAnsi" w:hAnsiTheme="majorHAnsi" w:cstheme="majorHAnsi"/>
        </w:rPr>
        <w:t xml:space="preserve">challenging </w:t>
      </w:r>
      <w:r w:rsidRPr="00B9436F">
        <w:rPr>
          <w:rFonts w:asciiTheme="majorHAnsi" w:hAnsiTheme="majorHAnsi" w:cstheme="majorHAnsi"/>
        </w:rPr>
        <w:t xml:space="preserve">because the Program’s targets </w:t>
      </w:r>
      <w:r>
        <w:rPr>
          <w:rFonts w:asciiTheme="majorHAnsi" w:hAnsiTheme="majorHAnsi" w:cstheme="majorHAnsi"/>
        </w:rPr>
        <w:t>changed every year, and there were also multiple changes to</w:t>
      </w:r>
      <w:r w:rsidRPr="00B9436F">
        <w:rPr>
          <w:rFonts w:asciiTheme="majorHAnsi" w:hAnsiTheme="majorHAnsi" w:cstheme="majorHAnsi"/>
        </w:rPr>
        <w:t xml:space="preserve"> reporting templates</w:t>
      </w:r>
      <w:r>
        <w:rPr>
          <w:rFonts w:asciiTheme="majorHAnsi" w:hAnsiTheme="majorHAnsi" w:cstheme="majorHAnsi"/>
        </w:rPr>
        <w:t>.</w:t>
      </w:r>
      <w:r>
        <w:rPr>
          <w:rStyle w:val="FootnoteReference"/>
          <w:rFonts w:asciiTheme="majorHAnsi" w:eastAsia="Arial Unicode MS" w:hAnsiTheme="majorHAnsi" w:cstheme="majorHAnsi"/>
        </w:rPr>
        <w:footnoteReference w:id="123"/>
      </w:r>
      <w:r w:rsidRPr="00B9436F">
        <w:rPr>
          <w:rFonts w:asciiTheme="majorHAnsi" w:hAnsiTheme="majorHAnsi" w:cstheme="majorHAnsi"/>
        </w:rPr>
        <w:t xml:space="preserve"> </w:t>
      </w:r>
      <w:r>
        <w:rPr>
          <w:rFonts w:asciiTheme="majorHAnsi" w:hAnsiTheme="majorHAnsi" w:cstheme="majorHAnsi"/>
        </w:rPr>
        <w:t>W</w:t>
      </w:r>
      <w:r w:rsidRPr="00B9436F">
        <w:rPr>
          <w:rFonts w:asciiTheme="majorHAnsi" w:hAnsiTheme="majorHAnsi" w:cstheme="majorHAnsi"/>
        </w:rPr>
        <w:t xml:space="preserve">hen </w:t>
      </w:r>
      <w:r>
        <w:rPr>
          <w:rFonts w:asciiTheme="majorHAnsi" w:hAnsiTheme="majorHAnsi" w:cstheme="majorHAnsi"/>
        </w:rPr>
        <w:t xml:space="preserve">a target was </w:t>
      </w:r>
      <w:r w:rsidRPr="00B9436F">
        <w:rPr>
          <w:rFonts w:asciiTheme="majorHAnsi" w:hAnsiTheme="majorHAnsi" w:cstheme="majorHAnsi"/>
        </w:rPr>
        <w:t>not completed</w:t>
      </w:r>
      <w:r>
        <w:rPr>
          <w:rFonts w:asciiTheme="majorHAnsi" w:hAnsiTheme="majorHAnsi" w:cstheme="majorHAnsi"/>
        </w:rPr>
        <w:t xml:space="preserve"> within an implementation year</w:t>
      </w:r>
      <w:r w:rsidRPr="00B9436F">
        <w:rPr>
          <w:rFonts w:asciiTheme="majorHAnsi" w:hAnsiTheme="majorHAnsi" w:cstheme="majorHAnsi"/>
        </w:rPr>
        <w:t>, it was not carried over to the next year</w:t>
      </w:r>
      <w:r>
        <w:rPr>
          <w:rFonts w:asciiTheme="majorHAnsi" w:hAnsiTheme="majorHAnsi" w:cstheme="majorHAnsi"/>
        </w:rPr>
        <w:t xml:space="preserve"> and neither was there any notation on what happened to it</w:t>
      </w:r>
      <w:r w:rsidRPr="00B9436F">
        <w:rPr>
          <w:rFonts w:asciiTheme="majorHAnsi" w:hAnsiTheme="majorHAnsi" w:cstheme="majorHAnsi"/>
        </w:rPr>
        <w:t xml:space="preserve">. Moreover, the SMPRs </w:t>
      </w:r>
      <w:r>
        <w:rPr>
          <w:rFonts w:asciiTheme="majorHAnsi" w:hAnsiTheme="majorHAnsi" w:cstheme="majorHAnsi"/>
        </w:rPr>
        <w:t xml:space="preserve">often </w:t>
      </w:r>
      <w:r w:rsidRPr="00B9436F">
        <w:rPr>
          <w:rFonts w:asciiTheme="majorHAnsi" w:hAnsiTheme="majorHAnsi" w:cstheme="majorHAnsi"/>
        </w:rPr>
        <w:t>used different terminolog</w:t>
      </w:r>
      <w:r>
        <w:rPr>
          <w:rFonts w:asciiTheme="majorHAnsi" w:hAnsiTheme="majorHAnsi" w:cstheme="majorHAnsi"/>
        </w:rPr>
        <w:t>y</w:t>
      </w:r>
      <w:r w:rsidRPr="00B9436F">
        <w:rPr>
          <w:rFonts w:asciiTheme="majorHAnsi" w:hAnsiTheme="majorHAnsi" w:cstheme="majorHAnsi"/>
        </w:rPr>
        <w:t xml:space="preserve"> from that of the APs and thus it was difficult to </w:t>
      </w:r>
      <w:r>
        <w:rPr>
          <w:rFonts w:asciiTheme="majorHAnsi" w:hAnsiTheme="majorHAnsi" w:cstheme="majorHAnsi"/>
        </w:rPr>
        <w:t>ascertain</w:t>
      </w:r>
      <w:r w:rsidRPr="00B9436F">
        <w:rPr>
          <w:rFonts w:asciiTheme="majorHAnsi" w:hAnsiTheme="majorHAnsi" w:cstheme="majorHAnsi"/>
        </w:rPr>
        <w:t xml:space="preserve"> whether a planned activity was indeed accomplished.</w:t>
      </w:r>
      <w:r w:rsidR="00D434EB">
        <w:rPr>
          <w:rFonts w:asciiTheme="majorHAnsi" w:hAnsiTheme="majorHAnsi" w:cstheme="majorHAnsi"/>
        </w:rPr>
        <w:t xml:space="preserve"> </w:t>
      </w:r>
      <w:r>
        <w:rPr>
          <w:rFonts w:asciiTheme="majorHAnsi" w:hAnsiTheme="majorHAnsi" w:cstheme="majorHAnsi"/>
        </w:rPr>
        <w:t>For instance, the title of one training program can have three or four variations in depending on the region.</w:t>
      </w:r>
    </w:p>
    <w:p w14:paraId="3D58A294" w14:textId="04AAC209" w:rsidR="008D0CAD" w:rsidRPr="0082571A" w:rsidRDefault="008D0CAD" w:rsidP="007B6836">
      <w:pPr>
        <w:pStyle w:val="ListParagraph"/>
        <w:numPr>
          <w:ilvl w:val="0"/>
          <w:numId w:val="45"/>
        </w:numPr>
        <w:spacing w:before="100" w:beforeAutospacing="1" w:after="100" w:afterAutospacing="1" w:line="360" w:lineRule="auto"/>
        <w:rPr>
          <w:rFonts w:asciiTheme="majorHAnsi" w:hAnsiTheme="majorHAnsi" w:cstheme="majorHAnsi"/>
          <w:color w:val="000000" w:themeColor="text1"/>
        </w:rPr>
      </w:pPr>
      <w:r w:rsidRPr="0082571A">
        <w:rPr>
          <w:rFonts w:asciiTheme="majorHAnsi" w:hAnsiTheme="majorHAnsi" w:cstheme="majorHAnsi"/>
          <w:b/>
          <w:bCs/>
          <w:color w:val="000000" w:themeColor="text1"/>
        </w:rPr>
        <w:t>Absence of accurate monitoring data, including baselines.</w:t>
      </w:r>
      <w:r w:rsidRPr="0082571A">
        <w:rPr>
          <w:rFonts w:asciiTheme="majorHAnsi" w:hAnsiTheme="majorHAnsi" w:cstheme="majorHAnsi"/>
          <w:color w:val="000000" w:themeColor="text1"/>
        </w:rPr>
        <w:t xml:space="preserve"> </w:t>
      </w:r>
      <w:r w:rsidRPr="0073199B">
        <w:rPr>
          <w:rFonts w:asciiTheme="majorHAnsi" w:hAnsiTheme="majorHAnsi" w:cstheme="majorHAnsi"/>
          <w:color w:val="000000" w:themeColor="text1"/>
        </w:rPr>
        <w:t>There w</w:t>
      </w:r>
      <w:r>
        <w:rPr>
          <w:rFonts w:asciiTheme="majorHAnsi" w:hAnsiTheme="majorHAnsi" w:cstheme="majorHAnsi"/>
          <w:color w:val="000000" w:themeColor="text1"/>
        </w:rPr>
        <w:t>as</w:t>
      </w:r>
      <w:r w:rsidRPr="0073199B">
        <w:rPr>
          <w:rFonts w:asciiTheme="majorHAnsi" w:hAnsiTheme="majorHAnsi" w:cstheme="majorHAnsi"/>
          <w:color w:val="000000" w:themeColor="text1"/>
        </w:rPr>
        <w:t xml:space="preserve"> no complete database </w:t>
      </w:r>
      <w:r>
        <w:rPr>
          <w:rFonts w:asciiTheme="majorHAnsi" w:hAnsiTheme="majorHAnsi" w:cstheme="majorHAnsi"/>
          <w:color w:val="000000" w:themeColor="text1"/>
        </w:rPr>
        <w:t xml:space="preserve">available (either from DepEd nor the PMO) </w:t>
      </w:r>
      <w:r>
        <w:rPr>
          <w:rFonts w:asciiTheme="majorHAnsi" w:hAnsiTheme="majorHAnsi" w:cstheme="majorHAnsi"/>
        </w:rPr>
        <w:t>on the number of personnel that participated in which workshops, orientations, training programs or other Program-supported activities.</w:t>
      </w:r>
      <w:r w:rsidR="00D434EB">
        <w:rPr>
          <w:rFonts w:asciiTheme="majorHAnsi" w:hAnsiTheme="majorHAnsi" w:cstheme="majorHAnsi"/>
        </w:rPr>
        <w:t xml:space="preserve"> </w:t>
      </w:r>
      <w:r w:rsidRPr="0082571A">
        <w:rPr>
          <w:rFonts w:asciiTheme="majorHAnsi" w:hAnsiTheme="majorHAnsi" w:cstheme="majorHAnsi"/>
          <w:color w:val="000000" w:themeColor="text1"/>
        </w:rPr>
        <w:t>To compare planned with actual, baselines are critical.</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For instance, the BEST Program often supported the development of a policy by funding the validation workshop. When the policy is issued, it was not clear what was the per cent contribution of the program.</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There were also no baselines on the current practices prior to the institution of reforms.</w:t>
      </w:r>
    </w:p>
    <w:p w14:paraId="0C61DA1E" w14:textId="25E2925C" w:rsidR="008D0CAD" w:rsidRPr="00B9436F" w:rsidRDefault="008D0CAD" w:rsidP="007B6836">
      <w:pPr>
        <w:pStyle w:val="ListParagraph"/>
        <w:numPr>
          <w:ilvl w:val="0"/>
          <w:numId w:val="45"/>
        </w:numPr>
        <w:spacing w:before="100" w:beforeAutospacing="1" w:after="100" w:afterAutospacing="1" w:line="360" w:lineRule="auto"/>
        <w:rPr>
          <w:rFonts w:asciiTheme="majorHAnsi" w:hAnsiTheme="majorHAnsi" w:cstheme="majorHAnsi"/>
          <w:color w:val="000000" w:themeColor="text1"/>
        </w:rPr>
      </w:pPr>
      <w:r w:rsidRPr="0082571A">
        <w:rPr>
          <w:rFonts w:asciiTheme="majorHAnsi" w:hAnsiTheme="majorHAnsi" w:cstheme="majorHAnsi"/>
          <w:b/>
          <w:bCs/>
          <w:color w:val="000000" w:themeColor="text1"/>
        </w:rPr>
        <w:t>Fungibility of costs</w:t>
      </w:r>
      <w:r>
        <w:rPr>
          <w:rFonts w:asciiTheme="majorHAnsi" w:hAnsiTheme="majorHAnsi" w:cstheme="majorHAnsi"/>
        </w:rPr>
        <w:t>.</w:t>
      </w:r>
      <w:r w:rsidRPr="0082571A">
        <w:rPr>
          <w:rFonts w:asciiTheme="majorHAnsi" w:hAnsiTheme="majorHAnsi" w:cstheme="majorHAnsi"/>
        </w:rPr>
        <w:t xml:space="preserve"> </w:t>
      </w:r>
      <w:r>
        <w:rPr>
          <w:rFonts w:asciiTheme="majorHAnsi" w:hAnsiTheme="majorHAnsi" w:cstheme="majorHAnsi"/>
        </w:rPr>
        <w:t>The difference in fiscal years of DepEd and the funder raises the issue of fungibility of costs (in relation to the second and third bullet points). CO Operating Units would identify, for funding by the BEST Program, those</w:t>
      </w:r>
      <w:r w:rsidRPr="00B44C66">
        <w:rPr>
          <w:rFonts w:asciiTheme="majorHAnsi" w:hAnsiTheme="majorHAnsi" w:cstheme="majorHAnsi"/>
        </w:rPr>
        <w:t xml:space="preserve"> </w:t>
      </w:r>
      <w:r>
        <w:rPr>
          <w:rFonts w:asciiTheme="majorHAnsi" w:hAnsiTheme="majorHAnsi" w:cstheme="majorHAnsi"/>
        </w:rPr>
        <w:t>activities that they were not able to fund through the DepEd budget.</w:t>
      </w:r>
      <w:r w:rsidR="00D434EB">
        <w:rPr>
          <w:rFonts w:asciiTheme="majorHAnsi" w:hAnsiTheme="majorHAnsi" w:cstheme="majorHAnsi"/>
        </w:rPr>
        <w:t xml:space="preserve"> </w:t>
      </w:r>
    </w:p>
    <w:p w14:paraId="20F955EA" w14:textId="0015AB04" w:rsidR="008D0CAD" w:rsidRDefault="008D0CAD" w:rsidP="007B6836">
      <w:pPr>
        <w:spacing w:before="100" w:beforeAutospacing="1" w:after="100" w:afterAutospacing="1" w:line="360" w:lineRule="auto"/>
        <w:rPr>
          <w:rFonts w:asciiTheme="majorHAnsi" w:hAnsiTheme="majorHAnsi" w:cstheme="majorHAnsi"/>
        </w:rPr>
      </w:pPr>
      <w:r w:rsidRPr="00876089">
        <w:rPr>
          <w:rFonts w:asciiTheme="majorHAnsi" w:hAnsiTheme="majorHAnsi" w:cstheme="majorHAnsi"/>
          <w:color w:val="000000" w:themeColor="text1"/>
        </w:rPr>
        <w:t>In the end</w:t>
      </w:r>
      <w:r w:rsidRPr="00876089">
        <w:rPr>
          <w:rFonts w:asciiTheme="majorHAnsi" w:hAnsiTheme="majorHAnsi" w:cstheme="majorHAnsi"/>
        </w:rPr>
        <w:t xml:space="preserve">, </w:t>
      </w:r>
      <w:r>
        <w:rPr>
          <w:rFonts w:asciiTheme="majorHAnsi" w:hAnsiTheme="majorHAnsi" w:cstheme="majorHAnsi"/>
        </w:rPr>
        <w:t xml:space="preserve">this evaluation makes </w:t>
      </w:r>
      <w:r w:rsidRPr="00876089">
        <w:rPr>
          <w:rFonts w:asciiTheme="majorHAnsi" w:hAnsiTheme="majorHAnsi" w:cstheme="majorHAnsi"/>
        </w:rPr>
        <w:t xml:space="preserve">no judgment on </w:t>
      </w:r>
      <w:r>
        <w:rPr>
          <w:rFonts w:asciiTheme="majorHAnsi" w:hAnsiTheme="majorHAnsi" w:cstheme="majorHAnsi"/>
        </w:rPr>
        <w:t xml:space="preserve">the </w:t>
      </w:r>
      <w:r w:rsidRPr="00876089">
        <w:rPr>
          <w:rFonts w:asciiTheme="majorHAnsi" w:hAnsiTheme="majorHAnsi" w:cstheme="majorHAnsi"/>
        </w:rPr>
        <w:t>efficiency of Program intervention</w:t>
      </w:r>
      <w:r>
        <w:rPr>
          <w:rFonts w:asciiTheme="majorHAnsi" w:hAnsiTheme="majorHAnsi" w:cstheme="majorHAnsi"/>
        </w:rPr>
        <w:t>s</w:t>
      </w:r>
      <w:r w:rsidRPr="00876089">
        <w:rPr>
          <w:rFonts w:asciiTheme="majorHAnsi" w:hAnsiTheme="majorHAnsi" w:cstheme="majorHAnsi"/>
        </w:rPr>
        <w:t>.</w:t>
      </w:r>
      <w:r w:rsidR="00D434EB">
        <w:rPr>
          <w:rFonts w:asciiTheme="majorHAnsi" w:hAnsiTheme="majorHAnsi" w:cstheme="majorHAnsi"/>
          <w:color w:val="000000" w:themeColor="text1"/>
        </w:rPr>
        <w:t xml:space="preserve"> </w:t>
      </w:r>
      <w:r w:rsidRPr="00876089">
        <w:rPr>
          <w:rFonts w:asciiTheme="majorHAnsi" w:hAnsiTheme="majorHAnsi" w:cstheme="majorHAnsi"/>
        </w:rPr>
        <w:t xml:space="preserve"> </w:t>
      </w:r>
      <w:r>
        <w:rPr>
          <w:rFonts w:asciiTheme="majorHAnsi" w:hAnsiTheme="majorHAnsi" w:cstheme="majorHAnsi"/>
          <w:color w:val="000000" w:themeColor="text1"/>
        </w:rPr>
        <w:t xml:space="preserve">Nor does it provide analysis of cost-effectiveness due to data limitations on data. </w:t>
      </w:r>
    </w:p>
    <w:p w14:paraId="1861C182" w14:textId="3FD68465" w:rsidR="008D0CAD" w:rsidRPr="00353268" w:rsidRDefault="007162E7" w:rsidP="007B6836">
      <w:pPr>
        <w:pStyle w:val="Heading3"/>
        <w:spacing w:before="100" w:beforeAutospacing="1" w:after="100" w:afterAutospacing="1" w:line="360" w:lineRule="auto"/>
      </w:pPr>
      <w:bookmarkStart w:id="182" w:name="_Toc69820449"/>
      <w:r>
        <w:t xml:space="preserve">4.3. </w:t>
      </w:r>
      <w:r w:rsidR="008D0CAD">
        <w:t>Effectiveness</w:t>
      </w:r>
      <w:bookmarkEnd w:id="182"/>
    </w:p>
    <w:p w14:paraId="79496759" w14:textId="5A4E78E4" w:rsidR="008D0CAD" w:rsidRDefault="008D0CAD" w:rsidP="007B6836">
      <w:pPr>
        <w:shd w:val="clear" w:color="auto" w:fill="FFFFFF"/>
        <w:spacing w:before="100" w:beforeAutospacing="1" w:after="100" w:afterAutospacing="1" w:line="360" w:lineRule="auto"/>
        <w:textAlignment w:val="baseline"/>
        <w:rPr>
          <w:rFonts w:asciiTheme="majorHAnsi" w:hAnsiTheme="majorHAnsi" w:cstheme="majorHAnsi"/>
        </w:rPr>
      </w:pPr>
      <w:r w:rsidRPr="000A33B8">
        <w:rPr>
          <w:rFonts w:asciiTheme="majorHAnsi" w:hAnsiTheme="majorHAnsi" w:cstheme="majorHAnsi"/>
          <w:color w:val="000000" w:themeColor="text1"/>
        </w:rPr>
        <w:t xml:space="preserve">Effectiveness was </w:t>
      </w:r>
      <w:r>
        <w:rPr>
          <w:rFonts w:asciiTheme="majorHAnsi" w:hAnsiTheme="majorHAnsi" w:cstheme="majorHAnsi"/>
          <w:color w:val="000000" w:themeColor="text1"/>
        </w:rPr>
        <w:t xml:space="preserve">assessed </w:t>
      </w:r>
      <w:r w:rsidRPr="000A33B8">
        <w:rPr>
          <w:rFonts w:asciiTheme="majorHAnsi" w:hAnsiTheme="majorHAnsi" w:cstheme="majorHAnsi"/>
          <w:color w:val="000000" w:themeColor="text1"/>
        </w:rPr>
        <w:t xml:space="preserve">based on the contributions of </w:t>
      </w:r>
      <w:r>
        <w:rPr>
          <w:rFonts w:asciiTheme="majorHAnsi" w:hAnsiTheme="majorHAnsi" w:cstheme="majorHAnsi"/>
          <w:color w:val="000000" w:themeColor="text1"/>
        </w:rPr>
        <w:t>Program interventions (i.e., policies and</w:t>
      </w:r>
      <w:r w:rsidRPr="000A33B8">
        <w:rPr>
          <w:rFonts w:asciiTheme="majorHAnsi" w:hAnsiTheme="majorHAnsi" w:cstheme="majorHAnsi"/>
          <w:color w:val="000000" w:themeColor="text1"/>
        </w:rPr>
        <w:t xml:space="preserve"> outputs</w:t>
      </w:r>
      <w:r>
        <w:rPr>
          <w:rFonts w:asciiTheme="majorHAnsi" w:hAnsiTheme="majorHAnsi" w:cstheme="majorHAnsi"/>
          <w:color w:val="000000" w:themeColor="text1"/>
        </w:rPr>
        <w:t>)</w:t>
      </w:r>
      <w:r w:rsidRPr="000A33B8">
        <w:rPr>
          <w:rFonts w:asciiTheme="majorHAnsi" w:hAnsiTheme="majorHAnsi" w:cstheme="majorHAnsi"/>
          <w:color w:val="000000" w:themeColor="text1"/>
        </w:rPr>
        <w:t xml:space="preserve"> to the attainment of </w:t>
      </w:r>
      <w:r>
        <w:rPr>
          <w:rFonts w:asciiTheme="majorHAnsi" w:hAnsiTheme="majorHAnsi" w:cstheme="majorHAnsi"/>
          <w:color w:val="000000" w:themeColor="text1"/>
        </w:rPr>
        <w:t xml:space="preserve">the Program’s immediate </w:t>
      </w:r>
      <w:r w:rsidRPr="000A33B8">
        <w:rPr>
          <w:rFonts w:asciiTheme="majorHAnsi" w:hAnsiTheme="majorHAnsi" w:cstheme="majorHAnsi"/>
          <w:color w:val="000000" w:themeColor="text1"/>
        </w:rPr>
        <w:t>outcomes.</w:t>
      </w:r>
      <w:r w:rsidRPr="0023363D">
        <w:rPr>
          <w:rFonts w:asciiTheme="majorHAnsi" w:hAnsiTheme="majorHAnsi" w:cstheme="majorHAnsi"/>
        </w:rPr>
        <w:t xml:space="preserve"> </w:t>
      </w:r>
      <w:r>
        <w:rPr>
          <w:rFonts w:asciiTheme="majorHAnsi" w:hAnsiTheme="majorHAnsi" w:cstheme="majorHAnsi"/>
        </w:rPr>
        <w:t xml:space="preserve">Other considerations in </w:t>
      </w:r>
      <w:r w:rsidRPr="004560E6">
        <w:rPr>
          <w:rFonts w:asciiTheme="majorHAnsi" w:hAnsiTheme="majorHAnsi" w:cstheme="majorHAnsi"/>
        </w:rPr>
        <w:t xml:space="preserve">assessing the level of effectiveness </w:t>
      </w:r>
      <w:r>
        <w:rPr>
          <w:rFonts w:asciiTheme="majorHAnsi" w:hAnsiTheme="majorHAnsi" w:cstheme="majorHAnsi"/>
        </w:rPr>
        <w:t xml:space="preserve">of Program interventions are </w:t>
      </w:r>
      <w:r w:rsidRPr="004560E6">
        <w:rPr>
          <w:rFonts w:asciiTheme="majorHAnsi" w:hAnsiTheme="majorHAnsi" w:cstheme="majorHAnsi"/>
        </w:rPr>
        <w:t>the degree of alignment of systemic factors</w:t>
      </w:r>
      <w:r>
        <w:rPr>
          <w:rFonts w:asciiTheme="majorHAnsi" w:hAnsiTheme="majorHAnsi" w:cstheme="majorHAnsi"/>
        </w:rPr>
        <w:t xml:space="preserve">, </w:t>
      </w:r>
      <w:r>
        <w:rPr>
          <w:rFonts w:asciiTheme="majorHAnsi" w:hAnsiTheme="majorHAnsi" w:cstheme="majorHAnsi"/>
          <w:color w:val="000000" w:themeColor="text1"/>
          <w:spacing w:val="-1"/>
        </w:rPr>
        <w:t>d</w:t>
      </w:r>
      <w:r w:rsidRPr="004560E6">
        <w:rPr>
          <w:rFonts w:asciiTheme="majorHAnsi" w:hAnsiTheme="majorHAnsi" w:cstheme="majorHAnsi"/>
          <w:color w:val="000000" w:themeColor="text1"/>
          <w:spacing w:val="-1"/>
        </w:rPr>
        <w:t>egree of acceptability of reforms</w:t>
      </w:r>
      <w:r>
        <w:rPr>
          <w:rFonts w:asciiTheme="majorHAnsi" w:hAnsiTheme="majorHAnsi" w:cstheme="majorHAnsi"/>
        </w:rPr>
        <w:t xml:space="preserve"> and the </w:t>
      </w:r>
      <w:r w:rsidRPr="004560E6">
        <w:rPr>
          <w:rFonts w:asciiTheme="majorHAnsi" w:hAnsiTheme="majorHAnsi" w:cstheme="majorHAnsi"/>
          <w:i/>
          <w:iCs/>
        </w:rPr>
        <w:t>normali</w:t>
      </w:r>
      <w:r>
        <w:rPr>
          <w:rFonts w:asciiTheme="majorHAnsi" w:hAnsiTheme="majorHAnsi" w:cstheme="majorHAnsi"/>
          <w:i/>
          <w:iCs/>
        </w:rPr>
        <w:t>s</w:t>
      </w:r>
      <w:r w:rsidRPr="004560E6">
        <w:rPr>
          <w:rFonts w:asciiTheme="majorHAnsi" w:hAnsiTheme="majorHAnsi" w:cstheme="majorHAnsi"/>
          <w:i/>
          <w:iCs/>
        </w:rPr>
        <w:t>ing</w:t>
      </w:r>
      <w:r>
        <w:rPr>
          <w:rFonts w:asciiTheme="majorHAnsi" w:hAnsiTheme="majorHAnsi" w:cstheme="majorHAnsi"/>
        </w:rPr>
        <w:t xml:space="preserve"> of </w:t>
      </w:r>
      <w:r>
        <w:rPr>
          <w:rFonts w:asciiTheme="majorHAnsi" w:hAnsiTheme="majorHAnsi" w:cstheme="majorHAnsi"/>
          <w:color w:val="000000" w:themeColor="text1"/>
          <w:spacing w:val="-1"/>
        </w:rPr>
        <w:t>n</w:t>
      </w:r>
      <w:r w:rsidRPr="004560E6">
        <w:rPr>
          <w:rFonts w:asciiTheme="majorHAnsi" w:hAnsiTheme="majorHAnsi" w:cstheme="majorHAnsi"/>
          <w:color w:val="000000" w:themeColor="text1"/>
          <w:spacing w:val="-1"/>
        </w:rPr>
        <w:t>ew behaviors and practices</w:t>
      </w:r>
      <w:r>
        <w:rPr>
          <w:rFonts w:asciiTheme="majorHAnsi" w:hAnsiTheme="majorHAnsi" w:cstheme="majorHAnsi"/>
          <w:color w:val="000000" w:themeColor="text1"/>
          <w:spacing w:val="-1"/>
        </w:rPr>
        <w:t>.</w:t>
      </w:r>
      <w:r w:rsidR="00D434EB">
        <w:rPr>
          <w:rFonts w:asciiTheme="majorHAnsi" w:hAnsiTheme="majorHAnsi" w:cstheme="majorHAnsi"/>
        </w:rPr>
        <w:t xml:space="preserve"> </w:t>
      </w:r>
      <w:r w:rsidRPr="000A33B8">
        <w:rPr>
          <w:rFonts w:asciiTheme="majorHAnsi" w:hAnsiTheme="majorHAnsi" w:cstheme="majorHAnsi"/>
        </w:rPr>
        <w:t>The key findings</w:t>
      </w:r>
      <w:r>
        <w:rPr>
          <w:rFonts w:asciiTheme="majorHAnsi" w:hAnsiTheme="majorHAnsi" w:cstheme="majorHAnsi"/>
        </w:rPr>
        <w:t xml:space="preserve"> are presented by EOPOs.</w:t>
      </w:r>
    </w:p>
    <w:p w14:paraId="100EBA58" w14:textId="1DD23FAC" w:rsidR="008D0CAD" w:rsidRPr="00197366" w:rsidRDefault="007162E7" w:rsidP="007B6836">
      <w:pPr>
        <w:pStyle w:val="Heading4"/>
        <w:spacing w:before="100" w:beforeAutospacing="1" w:after="100" w:afterAutospacing="1" w:line="360" w:lineRule="auto"/>
        <w:ind w:left="1418" w:hanging="709"/>
      </w:pPr>
      <w:r>
        <w:t xml:space="preserve">4.3.1. </w:t>
      </w:r>
      <w:r w:rsidR="008D0CAD" w:rsidRPr="00197366">
        <w:t>Towards Increasing Student Mastery</w:t>
      </w:r>
    </w:p>
    <w:p w14:paraId="200F82EF" w14:textId="77777777" w:rsidR="008D0CAD" w:rsidRDefault="008D0CAD" w:rsidP="007B6836">
      <w:pPr>
        <w:pStyle w:val="NormalWeb"/>
        <w:shd w:val="clear" w:color="auto" w:fill="FFFFFF"/>
        <w:spacing w:line="360" w:lineRule="auto"/>
        <w:rPr>
          <w:rFonts w:asciiTheme="majorHAnsi" w:hAnsiTheme="majorHAnsi"/>
          <w:b/>
          <w:bCs/>
        </w:rPr>
      </w:pPr>
      <w:r w:rsidRPr="008A4ED9">
        <w:rPr>
          <w:rFonts w:asciiTheme="majorHAnsi" w:hAnsiTheme="majorHAnsi"/>
        </w:rPr>
        <w:t>Effectiveness</w:t>
      </w:r>
      <w:r>
        <w:rPr>
          <w:rFonts w:asciiTheme="majorHAnsi" w:hAnsiTheme="majorHAnsi"/>
          <w:b/>
          <w:bCs/>
        </w:rPr>
        <w:t xml:space="preserve"> </w:t>
      </w:r>
      <w:r w:rsidRPr="006A49E0">
        <w:rPr>
          <w:rFonts w:asciiTheme="majorHAnsi" w:hAnsiTheme="majorHAnsi" w:cstheme="majorHAnsi"/>
        </w:rPr>
        <w:t xml:space="preserve">of </w:t>
      </w:r>
      <w:r>
        <w:rPr>
          <w:rFonts w:asciiTheme="majorHAnsi" w:hAnsiTheme="majorHAnsi" w:cstheme="majorHAnsi"/>
        </w:rPr>
        <w:t xml:space="preserve">one of the </w:t>
      </w:r>
      <w:r w:rsidRPr="006A49E0">
        <w:rPr>
          <w:rFonts w:asciiTheme="majorHAnsi" w:hAnsiTheme="majorHAnsi" w:cstheme="majorHAnsi"/>
        </w:rPr>
        <w:t xml:space="preserve">Program interventions towards increasing student mastery were assessed to </w:t>
      </w:r>
      <w:r>
        <w:rPr>
          <w:rFonts w:asciiTheme="majorHAnsi" w:hAnsiTheme="majorHAnsi" w:cstheme="majorHAnsi"/>
        </w:rPr>
        <w:t xml:space="preserve">be Highly Significant, two were Significant and one was Considerable. </w:t>
      </w:r>
    </w:p>
    <w:p w14:paraId="0E1ED0D0" w14:textId="0F80A4C4" w:rsidR="008D0CAD" w:rsidRPr="0047212B" w:rsidRDefault="008D0CAD" w:rsidP="007B6836">
      <w:pPr>
        <w:pStyle w:val="NormalWeb"/>
        <w:shd w:val="clear" w:color="auto" w:fill="FFFFFF"/>
        <w:spacing w:line="360" w:lineRule="auto"/>
        <w:rPr>
          <w:rFonts w:asciiTheme="majorHAnsi" w:hAnsiTheme="majorHAnsi" w:cstheme="majorHAnsi"/>
        </w:rPr>
      </w:pPr>
      <w:r w:rsidRPr="002C6589">
        <w:rPr>
          <w:rFonts w:asciiTheme="majorHAnsi" w:hAnsiTheme="majorHAnsi"/>
          <w:b/>
          <w:bCs/>
        </w:rPr>
        <w:t>Curriculum and Assessment</w:t>
      </w:r>
      <w:r w:rsidRPr="001E1DE6">
        <w:rPr>
          <w:rFonts w:asciiTheme="majorHAnsi" w:hAnsiTheme="majorHAnsi"/>
        </w:rPr>
        <w:t xml:space="preserve"> was </w:t>
      </w:r>
      <w:r>
        <w:rPr>
          <w:rFonts w:asciiTheme="majorHAnsi" w:hAnsiTheme="majorHAnsi"/>
        </w:rPr>
        <w:t>gauged as</w:t>
      </w:r>
      <w:r w:rsidRPr="000E4681">
        <w:rPr>
          <w:rFonts w:asciiTheme="majorHAnsi" w:hAnsiTheme="majorHAnsi"/>
          <w:b/>
          <w:bCs/>
        </w:rPr>
        <w:t xml:space="preserve"> </w:t>
      </w:r>
      <w:r w:rsidRPr="000E4681">
        <w:rPr>
          <w:rFonts w:asciiTheme="majorHAnsi" w:hAnsiTheme="majorHAnsi"/>
          <w:b/>
          <w:bCs/>
          <w:color w:val="538135" w:themeColor="accent6" w:themeShade="BF"/>
        </w:rPr>
        <w:t>Highly significant</w:t>
      </w:r>
      <w:r w:rsidRPr="000E4681">
        <w:rPr>
          <w:rFonts w:asciiTheme="majorHAnsi" w:hAnsiTheme="majorHAnsi" w:cstheme="majorHAnsi"/>
          <w:color w:val="538135" w:themeColor="accent6" w:themeShade="BF"/>
        </w:rPr>
        <w:t xml:space="preserve"> </w:t>
      </w:r>
      <w:r w:rsidRPr="0047212B">
        <w:rPr>
          <w:rFonts w:asciiTheme="majorHAnsi" w:hAnsiTheme="majorHAnsi" w:cstheme="majorHAnsi"/>
        </w:rPr>
        <w:t>because it directly responded to the requirements of the K to 12 curriculum reform.</w:t>
      </w:r>
      <w:r w:rsidR="00D434EB">
        <w:rPr>
          <w:rFonts w:asciiTheme="majorHAnsi" w:hAnsiTheme="majorHAnsi" w:cstheme="majorHAnsi"/>
        </w:rPr>
        <w:t xml:space="preserve"> </w:t>
      </w:r>
      <w:r w:rsidRPr="0047212B">
        <w:rPr>
          <w:rFonts w:asciiTheme="majorHAnsi" w:hAnsiTheme="majorHAnsi" w:cstheme="majorHAnsi"/>
        </w:rPr>
        <w:t>In particular, the outputs under this intervention (namely the K to 12 Curriculum Guides and the assessment tools) were met</w:t>
      </w:r>
      <w:r>
        <w:rPr>
          <w:rFonts w:asciiTheme="majorHAnsi" w:hAnsiTheme="majorHAnsi" w:cstheme="majorHAnsi"/>
        </w:rPr>
        <w:t>.</w:t>
      </w:r>
      <w:r w:rsidRPr="0047212B">
        <w:rPr>
          <w:rFonts w:asciiTheme="majorHAnsi" w:hAnsiTheme="majorHAnsi" w:cstheme="majorHAnsi"/>
        </w:rPr>
        <w:t xml:space="preserve"> </w:t>
      </w:r>
      <w:r>
        <w:rPr>
          <w:rFonts w:asciiTheme="majorHAnsi" w:hAnsiTheme="majorHAnsi" w:cstheme="majorHAnsi"/>
        </w:rPr>
        <w:t>D</w:t>
      </w:r>
      <w:r w:rsidRPr="0047212B">
        <w:rPr>
          <w:rFonts w:asciiTheme="majorHAnsi" w:hAnsiTheme="majorHAnsi" w:cstheme="majorHAnsi"/>
        </w:rPr>
        <w:t>esign</w:t>
      </w:r>
      <w:r>
        <w:rPr>
          <w:rFonts w:asciiTheme="majorHAnsi" w:hAnsiTheme="majorHAnsi" w:cstheme="majorHAnsi"/>
        </w:rPr>
        <w:t xml:space="preserve"> and approach to curriculum and assessment aligned with international standards as these were backed by solid research by ACTRC. The issue that affected this program intervention had to do with its simultaneous pursuit. Thus, assessment was administered even before the effects of the new curriculum took root.</w:t>
      </w:r>
    </w:p>
    <w:p w14:paraId="4F3D61B3" w14:textId="5331EA5D" w:rsidR="008D0CAD" w:rsidRDefault="008D0CAD" w:rsidP="007B6836">
      <w:pPr>
        <w:pStyle w:val="NormalWeb"/>
        <w:shd w:val="clear" w:color="auto" w:fill="FFFFFF"/>
        <w:spacing w:line="360" w:lineRule="auto"/>
        <w:rPr>
          <w:rFonts w:asciiTheme="majorHAnsi" w:hAnsiTheme="majorHAnsi" w:cstheme="majorHAnsi"/>
          <w:color w:val="000000"/>
        </w:rPr>
      </w:pPr>
      <w:r>
        <w:rPr>
          <w:rFonts w:asciiTheme="majorHAnsi" w:hAnsiTheme="majorHAnsi" w:cstheme="majorHAnsi"/>
          <w:b/>
          <w:bCs/>
        </w:rPr>
        <w:t xml:space="preserve">The </w:t>
      </w:r>
      <w:r w:rsidRPr="00D17925">
        <w:rPr>
          <w:rFonts w:asciiTheme="majorHAnsi" w:hAnsiTheme="majorHAnsi" w:cstheme="majorHAnsi"/>
          <w:b/>
          <w:bCs/>
        </w:rPr>
        <w:t>L&amp;D System</w:t>
      </w:r>
      <w:r w:rsidRPr="001E1DE6">
        <w:rPr>
          <w:rFonts w:asciiTheme="majorHAnsi" w:hAnsiTheme="majorHAnsi" w:cstheme="majorHAnsi"/>
        </w:rPr>
        <w:t xml:space="preserve"> and </w:t>
      </w:r>
      <w:r w:rsidRPr="00D17925">
        <w:rPr>
          <w:rFonts w:asciiTheme="majorHAnsi" w:hAnsiTheme="majorHAnsi" w:cstheme="majorHAnsi"/>
          <w:b/>
          <w:bCs/>
        </w:rPr>
        <w:t>PPST</w:t>
      </w:r>
      <w:r w:rsidRPr="001E1DE6">
        <w:rPr>
          <w:rFonts w:asciiTheme="majorHAnsi" w:hAnsiTheme="majorHAnsi" w:cstheme="majorHAnsi"/>
        </w:rPr>
        <w:t xml:space="preserve"> </w:t>
      </w:r>
      <w:r>
        <w:rPr>
          <w:rFonts w:asciiTheme="majorHAnsi" w:hAnsiTheme="majorHAnsi" w:cstheme="majorHAnsi"/>
        </w:rPr>
        <w:t xml:space="preserve">interventions </w:t>
      </w:r>
      <w:r w:rsidRPr="001E1DE6">
        <w:rPr>
          <w:rFonts w:asciiTheme="majorHAnsi" w:hAnsiTheme="majorHAnsi" w:cstheme="majorHAnsi"/>
        </w:rPr>
        <w:t xml:space="preserve">were </w:t>
      </w:r>
      <w:r>
        <w:rPr>
          <w:rFonts w:asciiTheme="majorHAnsi" w:hAnsiTheme="majorHAnsi" w:cstheme="majorHAnsi"/>
        </w:rPr>
        <w:t>assessed as making</w:t>
      </w:r>
      <w:r w:rsidRPr="000E4681">
        <w:rPr>
          <w:rFonts w:asciiTheme="majorHAnsi" w:hAnsiTheme="majorHAnsi" w:cstheme="majorHAnsi"/>
          <w:b/>
          <w:bCs/>
        </w:rPr>
        <w:t xml:space="preserve"> </w:t>
      </w:r>
      <w:r w:rsidRPr="000E4681">
        <w:rPr>
          <w:rFonts w:asciiTheme="majorHAnsi" w:hAnsiTheme="majorHAnsi" w:cstheme="majorHAnsi"/>
          <w:b/>
          <w:bCs/>
          <w:color w:val="2E74B5" w:themeColor="accent5" w:themeShade="BF"/>
        </w:rPr>
        <w:t>Significant</w:t>
      </w:r>
      <w:r w:rsidRPr="0047212B">
        <w:rPr>
          <w:rFonts w:asciiTheme="majorHAnsi" w:hAnsiTheme="majorHAnsi" w:cstheme="majorHAnsi"/>
        </w:rPr>
        <w:t xml:space="preserve"> </w:t>
      </w:r>
      <w:r>
        <w:rPr>
          <w:rFonts w:asciiTheme="majorHAnsi" w:hAnsiTheme="majorHAnsi" w:cstheme="majorHAnsi"/>
        </w:rPr>
        <w:t xml:space="preserve">contributions to the attainment of </w:t>
      </w:r>
      <w:r w:rsidRPr="0047212B">
        <w:rPr>
          <w:rFonts w:asciiTheme="majorHAnsi" w:hAnsiTheme="majorHAnsi" w:cstheme="majorHAnsi"/>
          <w:color w:val="000000"/>
        </w:rPr>
        <w:t>Program outcomes</w:t>
      </w:r>
      <w:r>
        <w:rPr>
          <w:rFonts w:asciiTheme="majorHAnsi" w:hAnsiTheme="majorHAnsi" w:cstheme="majorHAnsi"/>
          <w:color w:val="000000"/>
        </w:rPr>
        <w:t xml:space="preserve">. </w:t>
      </w:r>
      <w:r w:rsidRPr="00740DBA">
        <w:rPr>
          <w:rFonts w:asciiTheme="majorHAnsi" w:hAnsiTheme="majorHAnsi" w:cstheme="majorHAnsi"/>
          <w:b/>
          <w:bCs/>
          <w:color w:val="000000"/>
        </w:rPr>
        <w:t xml:space="preserve">LAC </w:t>
      </w:r>
      <w:r>
        <w:rPr>
          <w:rFonts w:asciiTheme="majorHAnsi" w:hAnsiTheme="majorHAnsi" w:cstheme="majorHAnsi"/>
          <w:color w:val="000000"/>
        </w:rPr>
        <w:t xml:space="preserve">and </w:t>
      </w:r>
      <w:r w:rsidRPr="00740DBA">
        <w:rPr>
          <w:rFonts w:asciiTheme="majorHAnsi" w:hAnsiTheme="majorHAnsi" w:cstheme="majorHAnsi"/>
          <w:b/>
          <w:bCs/>
          <w:color w:val="000000"/>
        </w:rPr>
        <w:t>Action Research</w:t>
      </w:r>
      <w:r>
        <w:rPr>
          <w:rFonts w:asciiTheme="majorHAnsi" w:hAnsiTheme="majorHAnsi" w:cstheme="majorHAnsi"/>
          <w:color w:val="000000"/>
        </w:rPr>
        <w:t>, which initially garnered negative feedback during the 2019 Study due to issues in deployment/roll-out, turned out to have positive transformative effects in schools.</w:t>
      </w:r>
      <w:r w:rsidR="00D434EB">
        <w:rPr>
          <w:rFonts w:asciiTheme="majorHAnsi" w:hAnsiTheme="majorHAnsi" w:cstheme="majorHAnsi"/>
          <w:color w:val="000000"/>
        </w:rPr>
        <w:t xml:space="preserve">  </w:t>
      </w:r>
      <w:r>
        <w:rPr>
          <w:rFonts w:asciiTheme="majorHAnsi" w:hAnsiTheme="majorHAnsi" w:cstheme="majorHAnsi"/>
          <w:color w:val="000000"/>
        </w:rPr>
        <w:t xml:space="preserve">Likewise, </w:t>
      </w:r>
      <w:r w:rsidR="00D354DC">
        <w:rPr>
          <w:rFonts w:asciiTheme="majorHAnsi" w:hAnsiTheme="majorHAnsi" w:cstheme="majorHAnsi"/>
          <w:color w:val="000000"/>
        </w:rPr>
        <w:t>respondents</w:t>
      </w:r>
      <w:r>
        <w:rPr>
          <w:rFonts w:asciiTheme="majorHAnsi" w:hAnsiTheme="majorHAnsi" w:cstheme="majorHAnsi"/>
          <w:color w:val="000000"/>
        </w:rPr>
        <w:t xml:space="preserve"> in the initial Study, provided mixed views on the PPST and the PPST-aligned RPMS tools.</w:t>
      </w:r>
      <w:r w:rsidR="00D434EB">
        <w:rPr>
          <w:rFonts w:asciiTheme="majorHAnsi" w:hAnsiTheme="majorHAnsi" w:cstheme="majorHAnsi"/>
          <w:color w:val="000000"/>
        </w:rPr>
        <w:t xml:space="preserve"> </w:t>
      </w:r>
      <w:r>
        <w:rPr>
          <w:rFonts w:asciiTheme="majorHAnsi" w:hAnsiTheme="majorHAnsi" w:cstheme="majorHAnsi"/>
          <w:color w:val="000000"/>
        </w:rPr>
        <w:t>Acceptance of the Standards (from all governance levels) were positive from all governance levels, particularly since the credibility of the tools was high (since they are based on evidence).</w:t>
      </w:r>
      <w:r w:rsidR="00D434EB">
        <w:rPr>
          <w:rFonts w:asciiTheme="majorHAnsi" w:hAnsiTheme="majorHAnsi" w:cstheme="majorHAnsi"/>
          <w:color w:val="000000"/>
        </w:rPr>
        <w:t xml:space="preserve"> </w:t>
      </w:r>
      <w:r>
        <w:rPr>
          <w:rFonts w:asciiTheme="majorHAnsi" w:hAnsiTheme="majorHAnsi" w:cstheme="majorHAnsi"/>
          <w:color w:val="000000"/>
        </w:rPr>
        <w:t>However, the effectiveness of the PPST-aligned RPMS tools was somewhat hampered by the manner with which the reforms were forced into the schools.</w:t>
      </w:r>
      <w:r w:rsidR="00D434EB">
        <w:rPr>
          <w:rFonts w:asciiTheme="majorHAnsi" w:hAnsiTheme="majorHAnsi" w:cstheme="majorHAnsi"/>
          <w:color w:val="000000"/>
        </w:rPr>
        <w:t xml:space="preserve"> </w:t>
      </w:r>
      <w:r>
        <w:rPr>
          <w:rFonts w:asciiTheme="majorHAnsi" w:hAnsiTheme="majorHAnsi" w:cstheme="majorHAnsi"/>
          <w:color w:val="000000"/>
        </w:rPr>
        <w:t xml:space="preserve">In the 2020 Study, all the schools experienced transformative effects of this reform. </w:t>
      </w:r>
    </w:p>
    <w:p w14:paraId="00D9FB54" w14:textId="33B35C3E" w:rsidR="008D0CAD" w:rsidRDefault="008D0CAD" w:rsidP="007B6836">
      <w:pPr>
        <w:pStyle w:val="NoSpacing"/>
        <w:spacing w:before="100" w:beforeAutospacing="1" w:after="100" w:afterAutospacing="1" w:line="360" w:lineRule="auto"/>
        <w:rPr>
          <w:rFonts w:asciiTheme="majorHAnsi" w:eastAsia="Calibri Light" w:hAnsiTheme="majorHAnsi" w:cstheme="majorHAnsi"/>
          <w:bCs/>
          <w:color w:val="000000" w:themeColor="text1"/>
          <w:sz w:val="24"/>
          <w:szCs w:val="24"/>
        </w:rPr>
      </w:pPr>
      <w:r w:rsidRPr="0014439F">
        <w:rPr>
          <w:rFonts w:asciiTheme="majorHAnsi" w:eastAsia="Calibri Light" w:hAnsiTheme="majorHAnsi" w:cstheme="majorHAnsi"/>
          <w:bCs/>
          <w:color w:val="000000" w:themeColor="text1"/>
          <w:sz w:val="24"/>
          <w:szCs w:val="24"/>
        </w:rPr>
        <w:t xml:space="preserve">New behaviors and practices arising from the education reforms or interventions like LAC, INSET, K-12 CGs, COT and SAT are now </w:t>
      </w:r>
      <w:r>
        <w:rPr>
          <w:rFonts w:asciiTheme="majorHAnsi" w:eastAsia="Calibri Light" w:hAnsiTheme="majorHAnsi" w:cstheme="majorHAnsi"/>
          <w:bCs/>
          <w:color w:val="000000" w:themeColor="text1"/>
          <w:sz w:val="24"/>
          <w:szCs w:val="24"/>
        </w:rPr>
        <w:t>the norms</w:t>
      </w:r>
      <w:r w:rsidRPr="0014439F">
        <w:rPr>
          <w:rFonts w:asciiTheme="majorHAnsi" w:eastAsia="Calibri Light" w:hAnsiTheme="majorHAnsi" w:cstheme="majorHAnsi"/>
          <w:bCs/>
          <w:color w:val="000000" w:themeColor="text1"/>
          <w:sz w:val="24"/>
          <w:szCs w:val="24"/>
        </w:rPr>
        <w:t xml:space="preserve"> to the teachers.</w:t>
      </w:r>
      <w:r w:rsidR="00D434EB">
        <w:rPr>
          <w:rFonts w:asciiTheme="majorHAnsi" w:eastAsia="Calibri Light" w:hAnsiTheme="majorHAnsi" w:cstheme="majorHAnsi"/>
          <w:bCs/>
          <w:color w:val="000000" w:themeColor="text1"/>
          <w:sz w:val="24"/>
          <w:szCs w:val="24"/>
        </w:rPr>
        <w:t xml:space="preserve"> </w:t>
      </w:r>
      <w:r>
        <w:rPr>
          <w:rFonts w:asciiTheme="majorHAnsi" w:eastAsia="Calibri Light" w:hAnsiTheme="majorHAnsi" w:cstheme="majorHAnsi"/>
          <w:bCs/>
          <w:color w:val="000000" w:themeColor="text1"/>
          <w:sz w:val="24"/>
          <w:szCs w:val="24"/>
        </w:rPr>
        <w:t>Although the introduction of these reforms raised many issues and incurred initial negative feedback, most teachers now</w:t>
      </w:r>
      <w:r w:rsidRPr="0014439F">
        <w:rPr>
          <w:rFonts w:asciiTheme="majorHAnsi" w:eastAsia="Calibri Light" w:hAnsiTheme="majorHAnsi" w:cstheme="majorHAnsi"/>
          <w:bCs/>
          <w:color w:val="000000" w:themeColor="text1"/>
          <w:sz w:val="24"/>
          <w:szCs w:val="24"/>
        </w:rPr>
        <w:t xml:space="preserve"> speak the same language and understand each other very well. They also relate well with the School Head, the parents and community. </w:t>
      </w:r>
    </w:p>
    <w:p w14:paraId="458B7D30" w14:textId="77777777" w:rsidR="008D0CAD" w:rsidRPr="0014439F" w:rsidRDefault="008D0CAD" w:rsidP="007B6836">
      <w:pPr>
        <w:pStyle w:val="NoSpacing"/>
        <w:spacing w:before="100" w:beforeAutospacing="1" w:after="100" w:afterAutospacing="1" w:line="360" w:lineRule="auto"/>
        <w:rPr>
          <w:rFonts w:asciiTheme="majorHAnsi" w:eastAsia="Calibri Light" w:hAnsiTheme="majorHAnsi" w:cstheme="majorHAnsi"/>
          <w:bCs/>
          <w:color w:val="000000" w:themeColor="text1"/>
          <w:sz w:val="24"/>
          <w:szCs w:val="24"/>
        </w:rPr>
      </w:pPr>
      <w:r w:rsidRPr="004033C7">
        <w:rPr>
          <w:rFonts w:asciiTheme="majorHAnsi" w:eastAsia="Calibri Light" w:hAnsiTheme="majorHAnsi" w:cstheme="majorHAnsi"/>
          <w:bCs/>
          <w:color w:val="000000" w:themeColor="text1"/>
          <w:sz w:val="24"/>
          <w:szCs w:val="24"/>
        </w:rPr>
        <w:t xml:space="preserve">The effectiveness of </w:t>
      </w:r>
      <w:r w:rsidRPr="004033C7">
        <w:rPr>
          <w:rFonts w:asciiTheme="majorHAnsi" w:eastAsia="Calibri Light" w:hAnsiTheme="majorHAnsi" w:cstheme="majorHAnsi"/>
          <w:b/>
          <w:color w:val="000000" w:themeColor="text1"/>
          <w:sz w:val="24"/>
          <w:szCs w:val="24"/>
        </w:rPr>
        <w:t>TPQI</w:t>
      </w:r>
      <w:r w:rsidRPr="004033C7">
        <w:rPr>
          <w:rFonts w:asciiTheme="majorHAnsi" w:eastAsia="Calibri Light" w:hAnsiTheme="majorHAnsi" w:cstheme="majorHAnsi"/>
          <w:bCs/>
          <w:color w:val="000000" w:themeColor="text1"/>
          <w:sz w:val="24"/>
          <w:szCs w:val="24"/>
        </w:rPr>
        <w:t xml:space="preserve"> was </w:t>
      </w:r>
      <w:r>
        <w:rPr>
          <w:rFonts w:asciiTheme="majorHAnsi" w:eastAsia="Calibri Light" w:hAnsiTheme="majorHAnsi" w:cstheme="majorHAnsi"/>
          <w:bCs/>
          <w:color w:val="000000" w:themeColor="text1"/>
          <w:sz w:val="24"/>
          <w:szCs w:val="24"/>
        </w:rPr>
        <w:t>assessed</w:t>
      </w:r>
      <w:r w:rsidRPr="00740DBA">
        <w:rPr>
          <w:rFonts w:asciiTheme="majorHAnsi" w:eastAsia="Calibri Light" w:hAnsiTheme="majorHAnsi" w:cstheme="majorHAnsi"/>
          <w:bCs/>
          <w:color w:val="000000" w:themeColor="text1"/>
          <w:sz w:val="24"/>
          <w:szCs w:val="24"/>
        </w:rPr>
        <w:t xml:space="preserve"> as</w:t>
      </w:r>
      <w:r w:rsidRPr="004033C7">
        <w:rPr>
          <w:rFonts w:asciiTheme="majorHAnsi" w:eastAsia="Calibri Light" w:hAnsiTheme="majorHAnsi" w:cstheme="majorHAnsi"/>
          <w:bCs/>
          <w:color w:val="000000" w:themeColor="text1"/>
          <w:sz w:val="24"/>
          <w:szCs w:val="24"/>
        </w:rPr>
        <w:t xml:space="preserve"> </w:t>
      </w:r>
      <w:r w:rsidRPr="004033C7">
        <w:rPr>
          <w:rFonts w:asciiTheme="majorHAnsi" w:eastAsia="Calibri Light" w:hAnsiTheme="majorHAnsi" w:cstheme="majorHAnsi"/>
          <w:b/>
          <w:color w:val="000000" w:themeColor="text1"/>
          <w:sz w:val="24"/>
          <w:szCs w:val="24"/>
        </w:rPr>
        <w:t>Considerable</w:t>
      </w:r>
      <w:r w:rsidRPr="004033C7">
        <w:rPr>
          <w:rFonts w:asciiTheme="majorHAnsi" w:eastAsia="Calibri Light" w:hAnsiTheme="majorHAnsi" w:cstheme="majorHAnsi"/>
          <w:bCs/>
          <w:color w:val="000000" w:themeColor="text1"/>
          <w:sz w:val="24"/>
          <w:szCs w:val="24"/>
        </w:rPr>
        <w:t>.</w:t>
      </w:r>
      <w:r w:rsidRPr="00740DBA">
        <w:rPr>
          <w:rFonts w:asciiTheme="majorHAnsi" w:eastAsia="Calibri Light" w:hAnsiTheme="majorHAnsi" w:cstheme="majorHAnsi"/>
          <w:bCs/>
          <w:color w:val="000000" w:themeColor="text1"/>
          <w:sz w:val="24"/>
          <w:szCs w:val="24"/>
        </w:rPr>
        <w:t xml:space="preserve"> The Program aimed to achieve three key goals, but inroads were not achieved in two. One was in terms of influencing public opinion on the teaching profession and the other was reducing the quality gap for competent basic education teachers.</w:t>
      </w:r>
    </w:p>
    <w:p w14:paraId="134E72B5" w14:textId="05F4C9AD" w:rsidR="008D0CAD" w:rsidRPr="000A33B8" w:rsidRDefault="007162E7" w:rsidP="007B6836">
      <w:pPr>
        <w:pStyle w:val="Heading4"/>
        <w:spacing w:before="100" w:beforeAutospacing="1" w:after="100" w:afterAutospacing="1" w:line="360" w:lineRule="auto"/>
        <w:ind w:left="1418" w:hanging="709"/>
      </w:pPr>
      <w:r>
        <w:t xml:space="preserve">4.3.2. </w:t>
      </w:r>
      <w:r w:rsidR="008D0CAD" w:rsidRPr="000A33B8">
        <w:t>Towards Increasing Student Participation</w:t>
      </w:r>
    </w:p>
    <w:p w14:paraId="439347A5" w14:textId="02E67624" w:rsidR="008D0CAD" w:rsidRPr="0014439F" w:rsidRDefault="008D0CAD" w:rsidP="007B6836">
      <w:pPr>
        <w:pStyle w:val="NormalWeb"/>
        <w:shd w:val="clear" w:color="auto" w:fill="FFFFFF"/>
        <w:spacing w:line="360" w:lineRule="auto"/>
        <w:rPr>
          <w:rFonts w:asciiTheme="majorHAnsi" w:hAnsiTheme="majorHAnsi" w:cstheme="majorHAnsi"/>
          <w:color w:val="000000" w:themeColor="text1"/>
        </w:rPr>
      </w:pPr>
      <w:r w:rsidRPr="0014439F">
        <w:rPr>
          <w:rFonts w:asciiTheme="majorHAnsi" w:hAnsiTheme="majorHAnsi" w:cstheme="majorHAnsi"/>
          <w:color w:val="000000" w:themeColor="text1"/>
        </w:rPr>
        <w:t>The contributions of SBM and Classroom Construction to increasing Student Participation was assessed to be Significant while that of GEDSI was Considerable.</w:t>
      </w:r>
      <w:r w:rsidR="00D434EB">
        <w:rPr>
          <w:rFonts w:asciiTheme="majorHAnsi" w:hAnsiTheme="majorHAnsi" w:cstheme="majorHAnsi"/>
          <w:color w:val="000000" w:themeColor="text1"/>
        </w:rPr>
        <w:t xml:space="preserve"> </w:t>
      </w:r>
    </w:p>
    <w:p w14:paraId="04306022" w14:textId="28519AC6" w:rsidR="008D0CAD" w:rsidRDefault="008D0CAD" w:rsidP="007B6836">
      <w:pPr>
        <w:pStyle w:val="NormalWeb"/>
        <w:shd w:val="clear" w:color="auto" w:fill="FFFFFF"/>
        <w:spacing w:line="360" w:lineRule="auto"/>
        <w:rPr>
          <w:rFonts w:asciiTheme="majorHAnsi" w:hAnsiTheme="majorHAnsi" w:cstheme="majorHAnsi"/>
          <w:color w:val="000000" w:themeColor="text1"/>
        </w:rPr>
      </w:pPr>
      <w:r w:rsidRPr="002B16FE">
        <w:rPr>
          <w:rFonts w:asciiTheme="majorHAnsi" w:hAnsiTheme="majorHAnsi" w:cstheme="majorHAnsi"/>
          <w:color w:val="000000" w:themeColor="text1"/>
        </w:rPr>
        <w:t xml:space="preserve">The </w:t>
      </w:r>
      <w:r>
        <w:rPr>
          <w:rFonts w:asciiTheme="majorHAnsi" w:hAnsiTheme="majorHAnsi" w:cstheme="majorHAnsi"/>
          <w:color w:val="000000" w:themeColor="text1"/>
        </w:rPr>
        <w:t>most critical contribution of Program</w:t>
      </w:r>
      <w:r>
        <w:rPr>
          <w:rFonts w:asciiTheme="majorHAnsi" w:hAnsiTheme="majorHAnsi" w:cstheme="majorHAnsi"/>
          <w:b/>
          <w:bCs/>
          <w:color w:val="000000" w:themeColor="text1"/>
        </w:rPr>
        <w:t xml:space="preserve"> </w:t>
      </w:r>
      <w:r>
        <w:rPr>
          <w:rFonts w:asciiTheme="majorHAnsi" w:hAnsiTheme="majorHAnsi" w:cstheme="majorHAnsi"/>
          <w:color w:val="000000" w:themeColor="text1"/>
        </w:rPr>
        <w:t xml:space="preserve">interventions under </w:t>
      </w:r>
      <w:r w:rsidRPr="002B16FE">
        <w:rPr>
          <w:rFonts w:asciiTheme="majorHAnsi" w:hAnsiTheme="majorHAnsi" w:cstheme="majorHAnsi"/>
          <w:b/>
          <w:bCs/>
          <w:color w:val="000000" w:themeColor="text1"/>
        </w:rPr>
        <w:t>SBM</w:t>
      </w:r>
      <w:r w:rsidRPr="00380C06">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was </w:t>
      </w:r>
      <w:r w:rsidRPr="005759B3">
        <w:rPr>
          <w:rFonts w:asciiTheme="majorHAnsi" w:hAnsiTheme="majorHAnsi" w:cstheme="majorHAnsi"/>
          <w:i/>
          <w:iCs/>
          <w:color w:val="000000" w:themeColor="text1"/>
        </w:rPr>
        <w:t>shifting paradigms</w:t>
      </w:r>
      <w:r>
        <w:rPr>
          <w:rFonts w:asciiTheme="majorHAnsi" w:hAnsiTheme="majorHAnsi" w:cstheme="majorHAnsi"/>
          <w:color w:val="000000" w:themeColor="text1"/>
        </w:rPr>
        <w:t xml:space="preserve"> of school stakeholders – both internal and external.</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The paradigm shift was from a </w:t>
      </w:r>
      <w:r>
        <w:rPr>
          <w:rFonts w:asciiTheme="majorHAnsi" w:hAnsiTheme="majorHAnsi" w:cstheme="majorHAnsi"/>
          <w:i/>
          <w:iCs/>
          <w:color w:val="000000" w:themeColor="text1"/>
        </w:rPr>
        <w:t>principal</w:t>
      </w:r>
      <w:r w:rsidRPr="005759B3">
        <w:rPr>
          <w:rFonts w:asciiTheme="majorHAnsi" w:hAnsiTheme="majorHAnsi" w:cstheme="majorHAnsi"/>
          <w:i/>
          <w:iCs/>
          <w:color w:val="000000" w:themeColor="text1"/>
        </w:rPr>
        <w:t>-centric leadership and management approach</w:t>
      </w:r>
      <w:r>
        <w:rPr>
          <w:rFonts w:asciiTheme="majorHAnsi" w:hAnsiTheme="majorHAnsi" w:cstheme="majorHAnsi"/>
          <w:color w:val="000000" w:themeColor="text1"/>
        </w:rPr>
        <w:t xml:space="preserve"> to a </w:t>
      </w:r>
      <w:r w:rsidRPr="005759B3">
        <w:rPr>
          <w:rFonts w:asciiTheme="majorHAnsi" w:hAnsiTheme="majorHAnsi" w:cstheme="majorHAnsi"/>
          <w:i/>
          <w:iCs/>
          <w:color w:val="000000" w:themeColor="text1"/>
        </w:rPr>
        <w:t>participatory approach</w:t>
      </w:r>
      <w:r>
        <w:rPr>
          <w:rFonts w:asciiTheme="majorHAnsi" w:hAnsiTheme="majorHAnsi" w:cstheme="majorHAnsi"/>
          <w:color w:val="000000" w:themeColor="text1"/>
        </w:rPr>
        <w:t xml:space="preserve"> to school planning and development.</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The </w:t>
      </w:r>
      <w:r w:rsidRPr="005759B3">
        <w:rPr>
          <w:rFonts w:asciiTheme="majorHAnsi" w:hAnsiTheme="majorHAnsi" w:cstheme="majorHAnsi"/>
          <w:i/>
          <w:iCs/>
          <w:color w:val="000000" w:themeColor="text1"/>
        </w:rPr>
        <w:t>participatory approach</w:t>
      </w:r>
      <w:r>
        <w:rPr>
          <w:rFonts w:asciiTheme="majorHAnsi" w:hAnsiTheme="majorHAnsi" w:cstheme="majorHAnsi"/>
          <w:color w:val="000000" w:themeColor="text1"/>
        </w:rPr>
        <w:t xml:space="preserve"> necessitated the greater involvement of a broader set of stakeholders in school affairs and decision-making.</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The changes in thinking and practices were noted in the 2019 study and validated in 2020.</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However, it was too soon to determine whether the paradigm shift and participatory approach improved student participation as a whole</w:t>
      </w:r>
      <w:r w:rsidRPr="00380C06">
        <w:rPr>
          <w:rFonts w:asciiTheme="majorHAnsi" w:hAnsiTheme="majorHAnsi" w:cstheme="majorHAnsi"/>
          <w:color w:val="000000" w:themeColor="text1"/>
        </w:rPr>
        <w:t>.</w:t>
      </w:r>
    </w:p>
    <w:p w14:paraId="4EE4AE00" w14:textId="14192985" w:rsidR="008D0CAD" w:rsidRPr="002F7840" w:rsidRDefault="008D0CAD" w:rsidP="007B6836">
      <w:pPr>
        <w:pStyle w:val="NormalWeb"/>
        <w:shd w:val="clear" w:color="auto" w:fill="FFFFFF"/>
        <w:spacing w:line="360" w:lineRule="auto"/>
        <w:rPr>
          <w:rFonts w:asciiTheme="majorHAnsi" w:hAnsiTheme="majorHAnsi" w:cstheme="majorHAnsi"/>
        </w:rPr>
      </w:pPr>
      <w:r w:rsidRPr="002B16FE">
        <w:rPr>
          <w:rFonts w:asciiTheme="majorHAnsi" w:hAnsiTheme="majorHAnsi" w:cstheme="majorHAnsi"/>
          <w:b/>
          <w:bCs/>
        </w:rPr>
        <w:t>Classroom Construction</w:t>
      </w:r>
      <w:r>
        <w:rPr>
          <w:rFonts w:asciiTheme="majorHAnsi" w:hAnsiTheme="majorHAnsi" w:cstheme="majorHAnsi"/>
        </w:rPr>
        <w:t xml:space="preserve"> contributed to increasing the supply of inclusive</w:t>
      </w:r>
      <w:r w:rsidRPr="002F7840">
        <w:rPr>
          <w:rFonts w:asciiTheme="majorHAnsi" w:hAnsiTheme="majorHAnsi" w:cstheme="majorHAnsi"/>
          <w:color w:val="000000" w:themeColor="text1"/>
        </w:rPr>
        <w:t xml:space="preserve"> </w:t>
      </w:r>
      <w:r>
        <w:rPr>
          <w:rFonts w:asciiTheme="majorHAnsi" w:hAnsiTheme="majorHAnsi" w:cstheme="majorHAnsi"/>
          <w:color w:val="000000" w:themeColor="text1"/>
        </w:rPr>
        <w:t>e</w:t>
      </w:r>
      <w:r w:rsidRPr="002F7840">
        <w:rPr>
          <w:rFonts w:asciiTheme="majorHAnsi" w:hAnsiTheme="majorHAnsi" w:cstheme="majorHAnsi"/>
          <w:color w:val="000000" w:themeColor="text1"/>
        </w:rPr>
        <w:t xml:space="preserve">ducation facilities </w:t>
      </w:r>
      <w:r>
        <w:rPr>
          <w:rFonts w:asciiTheme="majorHAnsi" w:hAnsiTheme="majorHAnsi" w:cstheme="majorHAnsi"/>
          <w:color w:val="000000" w:themeColor="text1"/>
        </w:rPr>
        <w:t>in key locations. Through PBSP, the BEST Program not only provided additional classrooms but that it also resulted in disaster-resilient, inclusive designs of classrooms (disability accessible with separate boys’ and girls’ toilets).</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Similar designs were eventually adopted by DepEd and the Department of Public Works and Highways in the construction of other classrooms outside the Program.</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The BEST </w:t>
      </w:r>
      <w:r w:rsidRPr="002F7840">
        <w:rPr>
          <w:rFonts w:asciiTheme="majorHAnsi" w:hAnsiTheme="majorHAnsi" w:cstheme="majorHAnsi"/>
        </w:rPr>
        <w:t>Classroom Construction</w:t>
      </w:r>
      <w:r>
        <w:rPr>
          <w:rFonts w:asciiTheme="majorHAnsi" w:hAnsiTheme="majorHAnsi" w:cstheme="majorHAnsi"/>
        </w:rPr>
        <w:t xml:space="preserve"> program provided a model for improved classroom design. Although, the implementation of the BEST </w:t>
      </w:r>
      <w:r w:rsidRPr="002F7840">
        <w:rPr>
          <w:rFonts w:asciiTheme="majorHAnsi" w:hAnsiTheme="majorHAnsi" w:cstheme="majorHAnsi"/>
        </w:rPr>
        <w:t>Classroom Construction</w:t>
      </w:r>
      <w:r>
        <w:rPr>
          <w:rFonts w:asciiTheme="majorHAnsi" w:hAnsiTheme="majorHAnsi" w:cstheme="majorHAnsi"/>
        </w:rPr>
        <w:t xml:space="preserve"> program without the participation and involvement of the school stakeholders lessened the effectiveness of the intervention, the network of community established by PBSP helped mitigate this. </w:t>
      </w:r>
    </w:p>
    <w:p w14:paraId="35F411F0" w14:textId="4089EB1C" w:rsidR="008D0CAD" w:rsidRPr="0023363D" w:rsidRDefault="008D0CAD" w:rsidP="007B6836">
      <w:pPr>
        <w:pStyle w:val="NormalWeb"/>
        <w:shd w:val="clear" w:color="auto" w:fill="FFFFFF"/>
        <w:spacing w:line="360" w:lineRule="auto"/>
        <w:rPr>
          <w:rFonts w:asciiTheme="majorHAnsi" w:hAnsiTheme="majorHAnsi" w:cstheme="majorHAnsi"/>
          <w:color w:val="000000" w:themeColor="text1"/>
        </w:rPr>
      </w:pPr>
      <w:r>
        <w:rPr>
          <w:rFonts w:asciiTheme="majorHAnsi" w:hAnsiTheme="majorHAnsi" w:cstheme="majorHAnsi"/>
          <w:color w:val="000000" w:themeColor="text1"/>
        </w:rPr>
        <w:t>One key contribution of the BEST Program’s ‘GEDSI’ work to student participation was in terms of the gender-responsiveness and inclusiveness of the design of the classrooms constructed.</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However, in terms of actual mainstreaming IE and GRBE perspectives in the school plans, the evidence was not overwhelming.</w:t>
      </w:r>
      <w:r w:rsidR="00D434EB">
        <w:rPr>
          <w:rFonts w:asciiTheme="majorHAnsi" w:hAnsiTheme="majorHAnsi" w:cstheme="majorHAnsi"/>
          <w:color w:val="000000" w:themeColor="text1"/>
        </w:rPr>
        <w:t xml:space="preserve">  </w:t>
      </w:r>
    </w:p>
    <w:p w14:paraId="6F60F927" w14:textId="2DF1695C" w:rsidR="008D0CAD" w:rsidRPr="0023363D" w:rsidRDefault="007162E7" w:rsidP="007B6836">
      <w:pPr>
        <w:pStyle w:val="Heading4"/>
        <w:spacing w:before="100" w:beforeAutospacing="1" w:after="100" w:afterAutospacing="1" w:line="360" w:lineRule="auto"/>
        <w:ind w:left="1418" w:hanging="709"/>
      </w:pPr>
      <w:r>
        <w:t xml:space="preserve">4.3.3. </w:t>
      </w:r>
      <w:r w:rsidR="008D0CAD" w:rsidRPr="007A5C44">
        <w:t xml:space="preserve">Toward increasing capacity to deliver responsive and inclusive </w:t>
      </w:r>
      <w:r w:rsidR="008D0CAD">
        <w:t xml:space="preserve">basic </w:t>
      </w:r>
      <w:r w:rsidR="008D0CAD" w:rsidRPr="007A5C44">
        <w:t xml:space="preserve">education services </w:t>
      </w:r>
    </w:p>
    <w:p w14:paraId="76434C9E" w14:textId="77777777" w:rsidR="008D0CAD" w:rsidRPr="007B6836" w:rsidRDefault="008D0CAD" w:rsidP="007B6836">
      <w:pPr>
        <w:pStyle w:val="NormalWeb"/>
        <w:shd w:val="clear" w:color="auto" w:fill="FFFFFF"/>
        <w:spacing w:line="360" w:lineRule="auto"/>
        <w:rPr>
          <w:rFonts w:asciiTheme="majorHAnsi" w:hAnsiTheme="majorHAnsi" w:cstheme="majorHAnsi"/>
        </w:rPr>
      </w:pPr>
      <w:r w:rsidRPr="007B6836">
        <w:rPr>
          <w:rStyle w:val="Strong"/>
          <w:rFonts w:asciiTheme="majorHAnsi" w:eastAsiaTheme="majorEastAsia" w:hAnsiTheme="majorHAnsi" w:cstheme="majorHAnsi"/>
          <w:color w:val="000000" w:themeColor="text1"/>
          <w:spacing w:val="2"/>
        </w:rPr>
        <w:t xml:space="preserve">In terms of </w:t>
      </w:r>
      <w:r w:rsidRPr="007B6836">
        <w:rPr>
          <w:rFonts w:asciiTheme="majorHAnsi" w:hAnsiTheme="majorHAnsi" w:cstheme="majorHAnsi"/>
        </w:rPr>
        <w:t xml:space="preserve">increasing DepEd’s capacity to deliver responsive and inclusive education services with greater decentralisation, the contributions of </w:t>
      </w:r>
      <w:r w:rsidRPr="007B6836">
        <w:rPr>
          <w:rFonts w:asciiTheme="majorHAnsi" w:hAnsiTheme="majorHAnsi" w:cstheme="majorHAnsi"/>
          <w:b/>
          <w:bCs/>
        </w:rPr>
        <w:t xml:space="preserve">UISS </w:t>
      </w:r>
      <w:r w:rsidRPr="007B6836">
        <w:rPr>
          <w:rFonts w:asciiTheme="majorHAnsi" w:hAnsiTheme="majorHAnsi" w:cstheme="majorHAnsi"/>
        </w:rPr>
        <w:t>was found to be</w:t>
      </w:r>
      <w:r w:rsidRPr="007B6836">
        <w:rPr>
          <w:rFonts w:asciiTheme="majorHAnsi" w:hAnsiTheme="majorHAnsi" w:cstheme="majorHAnsi"/>
          <w:b/>
          <w:bCs/>
        </w:rPr>
        <w:t xml:space="preserve"> </w:t>
      </w:r>
      <w:r w:rsidRPr="007B6836">
        <w:rPr>
          <w:rFonts w:asciiTheme="majorHAnsi" w:hAnsiTheme="majorHAnsi" w:cstheme="majorHAnsi"/>
          <w:b/>
          <w:bCs/>
          <w:color w:val="538135" w:themeColor="accent6" w:themeShade="BF"/>
        </w:rPr>
        <w:t>Highly Significant</w:t>
      </w:r>
      <w:r w:rsidRPr="007B6836">
        <w:rPr>
          <w:rFonts w:asciiTheme="majorHAnsi" w:hAnsiTheme="majorHAnsi" w:cstheme="majorHAnsi"/>
        </w:rPr>
        <w:t xml:space="preserve"> while the other three interventions were Significant. </w:t>
      </w:r>
    </w:p>
    <w:p w14:paraId="0EDF488E" w14:textId="77777777" w:rsidR="008D0CAD" w:rsidRPr="007B6836" w:rsidRDefault="008D0CAD" w:rsidP="007B6836">
      <w:pPr>
        <w:pStyle w:val="NormalWeb"/>
        <w:shd w:val="clear" w:color="auto" w:fill="FFFFFF"/>
        <w:spacing w:line="360" w:lineRule="auto"/>
        <w:rPr>
          <w:rFonts w:asciiTheme="majorHAnsi" w:hAnsiTheme="majorHAnsi" w:cstheme="majorHAnsi"/>
        </w:rPr>
      </w:pPr>
      <w:r w:rsidRPr="007B6836">
        <w:rPr>
          <w:rFonts w:asciiTheme="majorHAnsi" w:hAnsiTheme="majorHAnsi" w:cstheme="majorHAnsi"/>
        </w:rPr>
        <w:t>UISS p</w:t>
      </w:r>
      <w:r w:rsidRPr="007B6836">
        <w:rPr>
          <w:rFonts w:asciiTheme="majorHAnsi" w:hAnsiTheme="majorHAnsi" w:cstheme="majorHAnsi"/>
          <w:color w:val="000000"/>
        </w:rPr>
        <w:t>rogram outcome and outputs were all met and were being fully utilised during program implementation.</w:t>
      </w:r>
    </w:p>
    <w:p w14:paraId="26EF2C81" w14:textId="77777777" w:rsidR="008D0CAD" w:rsidRPr="007B6836" w:rsidRDefault="008D0CAD" w:rsidP="007B6836">
      <w:pPr>
        <w:pStyle w:val="NormalWeb"/>
        <w:shd w:val="clear" w:color="auto" w:fill="FFFFFF"/>
        <w:spacing w:line="360" w:lineRule="auto"/>
        <w:rPr>
          <w:rFonts w:asciiTheme="majorHAnsi" w:hAnsiTheme="majorHAnsi" w:cstheme="majorHAnsi"/>
        </w:rPr>
      </w:pPr>
      <w:r w:rsidRPr="007B6836">
        <w:rPr>
          <w:rFonts w:asciiTheme="majorHAnsi" w:hAnsiTheme="majorHAnsi" w:cstheme="majorHAnsi"/>
        </w:rPr>
        <w:t xml:space="preserve">The </w:t>
      </w:r>
      <w:r w:rsidRPr="007B6836">
        <w:rPr>
          <w:rFonts w:asciiTheme="majorHAnsi" w:hAnsiTheme="majorHAnsi" w:cstheme="majorHAnsi"/>
          <w:b/>
          <w:bCs/>
        </w:rPr>
        <w:t>PPMES</w:t>
      </w:r>
      <w:r w:rsidRPr="007B6836">
        <w:rPr>
          <w:rFonts w:asciiTheme="majorHAnsi" w:hAnsiTheme="majorHAnsi" w:cstheme="majorHAnsi"/>
        </w:rPr>
        <w:t xml:space="preserve"> work was intended to contribute to IO8: “</w:t>
      </w:r>
      <w:r w:rsidRPr="007B6836">
        <w:rPr>
          <w:rFonts w:asciiTheme="majorHAnsi" w:eastAsiaTheme="minorHAnsi" w:hAnsiTheme="majorHAnsi" w:cstheme="majorHAnsi"/>
          <w:color w:val="000000" w:themeColor="text1"/>
        </w:rPr>
        <w:t xml:space="preserve">Strengthen capacity for planning and evidence-based decision making and policy formulation” and in this case, it was judged to be </w:t>
      </w:r>
      <w:r w:rsidRPr="007B6836">
        <w:rPr>
          <w:rFonts w:asciiTheme="majorHAnsi" w:hAnsiTheme="majorHAnsi" w:cstheme="majorHAnsi"/>
          <w:b/>
          <w:bCs/>
          <w:color w:val="2E74B5" w:themeColor="accent5" w:themeShade="BF"/>
        </w:rPr>
        <w:t>Significant</w:t>
      </w:r>
      <w:r w:rsidRPr="007B6836">
        <w:rPr>
          <w:rFonts w:asciiTheme="majorHAnsi" w:hAnsiTheme="majorHAnsi" w:cstheme="majorHAnsi"/>
          <w:b/>
          <w:bCs/>
        </w:rPr>
        <w:t xml:space="preserve"> </w:t>
      </w:r>
      <w:r w:rsidRPr="007B6836">
        <w:rPr>
          <w:rFonts w:asciiTheme="majorHAnsi" w:hAnsiTheme="majorHAnsi" w:cstheme="majorHAnsi"/>
          <w:color w:val="000000"/>
        </w:rPr>
        <w:t>since program outcomes and outputs were substantially achieved</w:t>
      </w:r>
      <w:r w:rsidRPr="007B6836">
        <w:rPr>
          <w:rFonts w:asciiTheme="majorHAnsi" w:hAnsiTheme="majorHAnsi" w:cstheme="majorHAnsi"/>
        </w:rPr>
        <w:t>.</w:t>
      </w:r>
    </w:p>
    <w:p w14:paraId="408B1E31" w14:textId="060D773A" w:rsidR="008D0CAD" w:rsidRPr="007B6836" w:rsidRDefault="008D0CAD" w:rsidP="007B6836">
      <w:pPr>
        <w:pStyle w:val="NormalWeb"/>
        <w:shd w:val="clear" w:color="auto" w:fill="FFFFFF"/>
        <w:spacing w:line="360" w:lineRule="auto"/>
        <w:rPr>
          <w:rFonts w:asciiTheme="majorHAnsi" w:hAnsiTheme="majorHAnsi" w:cstheme="majorHAnsi"/>
        </w:rPr>
      </w:pPr>
      <w:r w:rsidRPr="007B6836">
        <w:rPr>
          <w:rFonts w:asciiTheme="majorHAnsi" w:hAnsiTheme="majorHAnsi" w:cstheme="majorHAnsi"/>
        </w:rPr>
        <w:t xml:space="preserve">OD was intended to contribute to </w:t>
      </w:r>
      <w:r w:rsidRPr="007B6836">
        <w:rPr>
          <w:rFonts w:asciiTheme="majorHAnsi" w:eastAsiaTheme="minorHAnsi" w:hAnsiTheme="majorHAnsi" w:cstheme="majorHAnsi"/>
          <w:color w:val="000000" w:themeColor="text1"/>
        </w:rPr>
        <w:t>IO11 or “Support DepEd management to ensure sufficient, capable staff in the right place with effective organisational structure (Rationalization Plan)”.</w:t>
      </w:r>
      <w:r w:rsidR="00D434EB">
        <w:rPr>
          <w:rFonts w:asciiTheme="majorHAnsi" w:eastAsiaTheme="minorHAnsi" w:hAnsiTheme="majorHAnsi" w:cstheme="majorHAnsi"/>
          <w:color w:val="000000" w:themeColor="text1"/>
        </w:rPr>
        <w:t xml:space="preserve"> </w:t>
      </w:r>
      <w:r w:rsidRPr="007B6836">
        <w:rPr>
          <w:rFonts w:asciiTheme="majorHAnsi" w:eastAsiaTheme="minorHAnsi" w:hAnsiTheme="majorHAnsi" w:cstheme="majorHAnsi"/>
          <w:color w:val="000000" w:themeColor="text1"/>
        </w:rPr>
        <w:t xml:space="preserve">In terms of its contribution to IO11, </w:t>
      </w:r>
      <w:r w:rsidRPr="007B6836">
        <w:rPr>
          <w:rFonts w:asciiTheme="majorHAnsi" w:eastAsiaTheme="minorHAnsi" w:hAnsiTheme="majorHAnsi" w:cstheme="majorHAnsi"/>
          <w:b/>
          <w:bCs/>
          <w:color w:val="000000" w:themeColor="text1"/>
        </w:rPr>
        <w:t xml:space="preserve">OD </w:t>
      </w:r>
      <w:r w:rsidRPr="007B6836">
        <w:rPr>
          <w:rFonts w:asciiTheme="majorHAnsi" w:eastAsiaTheme="minorHAnsi" w:hAnsiTheme="majorHAnsi" w:cstheme="majorHAnsi"/>
          <w:color w:val="000000" w:themeColor="text1"/>
        </w:rPr>
        <w:t>was found to be</w:t>
      </w:r>
      <w:r w:rsidRPr="007B6836">
        <w:rPr>
          <w:rFonts w:asciiTheme="majorHAnsi" w:eastAsiaTheme="minorHAnsi" w:hAnsiTheme="majorHAnsi" w:cstheme="majorHAnsi"/>
          <w:b/>
          <w:bCs/>
          <w:color w:val="000000" w:themeColor="text1"/>
        </w:rPr>
        <w:t xml:space="preserve"> </w:t>
      </w:r>
      <w:r w:rsidRPr="007B6836">
        <w:rPr>
          <w:rFonts w:asciiTheme="majorHAnsi" w:eastAsiaTheme="minorHAnsi" w:hAnsiTheme="majorHAnsi" w:cstheme="majorHAnsi"/>
          <w:b/>
          <w:bCs/>
          <w:color w:val="2E74B5" w:themeColor="accent5" w:themeShade="BF"/>
        </w:rPr>
        <w:t>Significant</w:t>
      </w:r>
      <w:r w:rsidRPr="007B6836">
        <w:rPr>
          <w:rFonts w:asciiTheme="majorHAnsi" w:eastAsiaTheme="minorHAnsi" w:hAnsiTheme="majorHAnsi" w:cstheme="majorHAnsi"/>
          <w:color w:val="000000" w:themeColor="text1"/>
        </w:rPr>
        <w:t xml:space="preserve"> </w:t>
      </w:r>
      <w:r w:rsidRPr="007B6836">
        <w:rPr>
          <w:rFonts w:asciiTheme="majorHAnsi" w:hAnsiTheme="majorHAnsi" w:cstheme="majorHAnsi"/>
          <w:color w:val="000000"/>
        </w:rPr>
        <w:t>since program outcomes and outputs were also substantially achieved.</w:t>
      </w:r>
    </w:p>
    <w:p w14:paraId="341202A9" w14:textId="1D3DE9AB" w:rsidR="008D0CAD" w:rsidRPr="00353268" w:rsidRDefault="007162E7" w:rsidP="007B6836">
      <w:pPr>
        <w:pStyle w:val="Heading3"/>
        <w:spacing w:before="100" w:beforeAutospacing="1" w:after="100" w:afterAutospacing="1" w:line="360" w:lineRule="auto"/>
      </w:pPr>
      <w:bookmarkStart w:id="183" w:name="_Toc69820450"/>
      <w:r>
        <w:t xml:space="preserve">4.4. </w:t>
      </w:r>
      <w:r w:rsidR="008D0CAD">
        <w:t>Sustainability</w:t>
      </w:r>
      <w:bookmarkEnd w:id="183"/>
    </w:p>
    <w:p w14:paraId="31FCE476" w14:textId="1B713569" w:rsidR="008D0CAD" w:rsidRDefault="008D0CAD" w:rsidP="007B6836">
      <w:pPr>
        <w:shd w:val="clear" w:color="auto" w:fill="FFFFFF"/>
        <w:spacing w:before="100" w:beforeAutospacing="1" w:after="100" w:afterAutospacing="1" w:line="360" w:lineRule="auto"/>
        <w:textAlignment w:val="baseline"/>
        <w:rPr>
          <w:rFonts w:asciiTheme="majorHAnsi" w:hAnsiTheme="majorHAnsi" w:cstheme="majorHAnsi"/>
        </w:rPr>
      </w:pPr>
      <w:r>
        <w:rPr>
          <w:rFonts w:asciiTheme="majorHAnsi" w:hAnsiTheme="majorHAnsi" w:cstheme="majorHAnsi"/>
        </w:rPr>
        <w:t>A</w:t>
      </w:r>
      <w:r w:rsidRPr="00055BD6">
        <w:rPr>
          <w:rFonts w:asciiTheme="majorHAnsi" w:hAnsiTheme="majorHAnsi" w:cstheme="majorHAnsi"/>
        </w:rPr>
        <w:t xml:space="preserve"> key </w:t>
      </w:r>
      <w:r w:rsidRPr="00F42BAE">
        <w:rPr>
          <w:rFonts w:asciiTheme="majorHAnsi" w:hAnsiTheme="majorHAnsi" w:cstheme="majorHAnsi"/>
        </w:rPr>
        <w:t>finding</w:t>
      </w:r>
      <w:r w:rsidRPr="00055BD6">
        <w:rPr>
          <w:rFonts w:asciiTheme="majorHAnsi" w:hAnsiTheme="majorHAnsi" w:cstheme="majorHAnsi"/>
        </w:rPr>
        <w:t xml:space="preserve"> on the sustainability of Program interventions w</w:t>
      </w:r>
      <w:r>
        <w:rPr>
          <w:rFonts w:asciiTheme="majorHAnsi" w:hAnsiTheme="majorHAnsi" w:cstheme="majorHAnsi"/>
        </w:rPr>
        <w:t>as that they were heavily dependent on</w:t>
      </w:r>
      <w:r w:rsidRPr="00055BD6">
        <w:rPr>
          <w:rFonts w:asciiTheme="majorHAnsi" w:hAnsiTheme="majorHAnsi" w:cstheme="majorHAnsi"/>
        </w:rPr>
        <w:t xml:space="preserve"> policy support.</w:t>
      </w:r>
      <w:r w:rsidR="00D434EB">
        <w:rPr>
          <w:rFonts w:asciiTheme="majorHAnsi" w:hAnsiTheme="majorHAnsi" w:cstheme="majorHAnsi"/>
        </w:rPr>
        <w:t xml:space="preserve"> </w:t>
      </w:r>
      <w:r w:rsidRPr="00E9563A">
        <w:rPr>
          <w:rFonts w:asciiTheme="majorHAnsi" w:hAnsiTheme="majorHAnsi" w:cstheme="majorHAnsi"/>
          <w:bCs/>
          <w:color w:val="000000" w:themeColor="text1"/>
        </w:rPr>
        <w:t xml:space="preserve">Adherence to policy is </w:t>
      </w:r>
      <w:r>
        <w:rPr>
          <w:rFonts w:asciiTheme="majorHAnsi" w:hAnsiTheme="majorHAnsi" w:cstheme="majorHAnsi"/>
          <w:bCs/>
          <w:color w:val="000000" w:themeColor="text1"/>
        </w:rPr>
        <w:t xml:space="preserve">an enduring norm in DepEd. </w:t>
      </w:r>
      <w:r>
        <w:rPr>
          <w:rFonts w:asciiTheme="majorHAnsi" w:hAnsiTheme="majorHAnsi" w:cstheme="majorHAnsi"/>
        </w:rPr>
        <w:t>However, other factors were also considered.</w:t>
      </w:r>
      <w:r w:rsidRPr="007D1D5B">
        <w:rPr>
          <w:rFonts w:asciiTheme="majorHAnsi" w:hAnsiTheme="majorHAnsi" w:cstheme="majorHAnsi"/>
        </w:rPr>
        <w:t xml:space="preserve"> </w:t>
      </w:r>
      <w:r>
        <w:rPr>
          <w:rFonts w:asciiTheme="majorHAnsi" w:hAnsiTheme="majorHAnsi" w:cstheme="majorHAnsi"/>
        </w:rPr>
        <w:t>These include the widespread acceptance among stakeholders of the new practices or the degree</w:t>
      </w:r>
      <w:r w:rsidRPr="00E9563A">
        <w:rPr>
          <w:rFonts w:asciiTheme="majorHAnsi" w:hAnsiTheme="majorHAnsi" w:cstheme="majorHAnsi"/>
          <w:color w:val="000000" w:themeColor="text1"/>
          <w:lang w:val="en-GB"/>
        </w:rPr>
        <w:t xml:space="preserve"> </w:t>
      </w:r>
      <w:r>
        <w:rPr>
          <w:rFonts w:asciiTheme="majorHAnsi" w:hAnsiTheme="majorHAnsi" w:cstheme="majorHAnsi"/>
          <w:color w:val="000000" w:themeColor="text1"/>
          <w:lang w:val="en-GB"/>
        </w:rPr>
        <w:t>to which reforms were</w:t>
      </w:r>
      <w:r w:rsidRPr="00E9563A">
        <w:rPr>
          <w:rFonts w:asciiTheme="majorHAnsi" w:hAnsiTheme="majorHAnsi" w:cstheme="majorHAnsi"/>
          <w:color w:val="000000" w:themeColor="text1"/>
          <w:lang w:val="en-GB"/>
        </w:rPr>
        <w:t xml:space="preserve"> embedded</w:t>
      </w:r>
      <w:r>
        <w:rPr>
          <w:rFonts w:asciiTheme="majorHAnsi" w:hAnsiTheme="majorHAnsi" w:cstheme="majorHAnsi"/>
          <w:color w:val="000000" w:themeColor="text1"/>
          <w:lang w:val="en-GB"/>
        </w:rPr>
        <w:t xml:space="preserve"> in </w:t>
      </w:r>
      <w:r w:rsidRPr="00E9563A">
        <w:rPr>
          <w:rFonts w:asciiTheme="majorHAnsi" w:hAnsiTheme="majorHAnsi" w:cstheme="majorHAnsi"/>
          <w:color w:val="000000" w:themeColor="text1"/>
          <w:lang w:val="en-GB"/>
        </w:rPr>
        <w:t>school leadership and management and teaching delivery</w:t>
      </w:r>
      <w:r>
        <w:rPr>
          <w:rFonts w:asciiTheme="majorHAnsi" w:hAnsiTheme="majorHAnsi" w:cstheme="majorHAnsi"/>
          <w:color w:val="000000" w:themeColor="text1"/>
          <w:lang w:val="en-GB"/>
        </w:rPr>
        <w:t>.</w:t>
      </w:r>
      <w:r w:rsidR="00D434EB">
        <w:rPr>
          <w:rFonts w:asciiTheme="majorHAnsi" w:hAnsiTheme="majorHAnsi" w:cstheme="majorHAnsi"/>
          <w:color w:val="000000" w:themeColor="text1"/>
          <w:lang w:val="en-GB"/>
        </w:rPr>
        <w:t xml:space="preserve"> </w:t>
      </w:r>
      <w:r>
        <w:rPr>
          <w:rFonts w:asciiTheme="majorHAnsi" w:hAnsiTheme="majorHAnsi" w:cstheme="majorHAnsi"/>
          <w:color w:val="000000" w:themeColor="text1"/>
          <w:lang w:val="en-GB"/>
        </w:rPr>
        <w:t>Another important sustainability factor was the degree to which the benefits of new practices were evident – if teachers, principals or officials could see tangible benefit in implementing reforms, they were more likely to be supportive</w:t>
      </w:r>
      <w:r>
        <w:rPr>
          <w:rFonts w:asciiTheme="majorHAnsi" w:hAnsiTheme="majorHAnsi" w:cstheme="majorHAnsi"/>
          <w:bCs/>
          <w:color w:val="000000" w:themeColor="text1"/>
        </w:rPr>
        <w:t>.</w:t>
      </w:r>
    </w:p>
    <w:p w14:paraId="4DD55F41" w14:textId="611ABBB5" w:rsidR="008D0CAD" w:rsidRPr="00FA713F" w:rsidRDefault="008D0CAD" w:rsidP="007B6836">
      <w:pPr>
        <w:pStyle w:val="NormalWeb"/>
        <w:shd w:val="clear" w:color="auto" w:fill="FFFFFF"/>
        <w:spacing w:line="360" w:lineRule="auto"/>
        <w:rPr>
          <w:rFonts w:asciiTheme="majorHAnsi" w:hAnsiTheme="majorHAnsi" w:cstheme="majorHAnsi"/>
          <w:b/>
          <w:bCs/>
          <w:color w:val="538135" w:themeColor="accent6" w:themeShade="BF"/>
        </w:rPr>
      </w:pPr>
      <w:r w:rsidRPr="006A49E0">
        <w:rPr>
          <w:rFonts w:asciiTheme="majorHAnsi" w:hAnsiTheme="majorHAnsi" w:cstheme="majorHAnsi"/>
        </w:rPr>
        <w:t xml:space="preserve">Sustainability of </w:t>
      </w:r>
      <w:r>
        <w:rPr>
          <w:rFonts w:asciiTheme="majorHAnsi" w:hAnsiTheme="majorHAnsi" w:cstheme="majorHAnsi"/>
        </w:rPr>
        <w:t xml:space="preserve">two </w:t>
      </w:r>
      <w:r w:rsidRPr="006A49E0">
        <w:rPr>
          <w:rFonts w:asciiTheme="majorHAnsi" w:hAnsiTheme="majorHAnsi" w:cstheme="majorHAnsi"/>
        </w:rPr>
        <w:t xml:space="preserve">Program interventions </w:t>
      </w:r>
      <w:r>
        <w:rPr>
          <w:rFonts w:asciiTheme="majorHAnsi" w:hAnsiTheme="majorHAnsi" w:cstheme="majorHAnsi"/>
        </w:rPr>
        <w:t>intended to improve</w:t>
      </w:r>
      <w:r w:rsidRPr="006A49E0">
        <w:rPr>
          <w:rFonts w:asciiTheme="majorHAnsi" w:hAnsiTheme="majorHAnsi" w:cstheme="majorHAnsi"/>
        </w:rPr>
        <w:t xml:space="preserve"> student mastery were assessed to have</w:t>
      </w:r>
      <w:r>
        <w:rPr>
          <w:rFonts w:asciiTheme="majorHAnsi" w:hAnsiTheme="majorHAnsi" w:cstheme="majorHAnsi"/>
          <w:b/>
          <w:bCs/>
        </w:rPr>
        <w:t xml:space="preserve"> </w:t>
      </w:r>
      <w:r>
        <w:rPr>
          <w:rFonts w:asciiTheme="majorHAnsi" w:hAnsiTheme="majorHAnsi" w:cstheme="majorHAnsi"/>
          <w:b/>
          <w:bCs/>
          <w:color w:val="538135" w:themeColor="accent6" w:themeShade="BF"/>
        </w:rPr>
        <w:t>Very</w:t>
      </w:r>
      <w:r w:rsidRPr="00F92C08">
        <w:rPr>
          <w:rFonts w:asciiTheme="majorHAnsi" w:hAnsiTheme="majorHAnsi" w:cstheme="majorHAnsi"/>
          <w:b/>
          <w:bCs/>
          <w:color w:val="538135" w:themeColor="accent6" w:themeShade="BF"/>
        </w:rPr>
        <w:t xml:space="preserve"> High Likelihood of Sustainability</w:t>
      </w:r>
      <w:r>
        <w:rPr>
          <w:rFonts w:asciiTheme="majorHAnsi" w:hAnsiTheme="majorHAnsi" w:cstheme="majorHAnsi"/>
          <w:b/>
          <w:bCs/>
          <w:color w:val="538135" w:themeColor="accent6" w:themeShade="BF"/>
        </w:rPr>
        <w:t>.</w:t>
      </w:r>
      <w:r w:rsidR="00D434EB">
        <w:rPr>
          <w:rFonts w:asciiTheme="majorHAnsi" w:hAnsiTheme="majorHAnsi" w:cstheme="majorHAnsi"/>
          <w:b/>
          <w:bCs/>
          <w:color w:val="538135" w:themeColor="accent6" w:themeShade="BF"/>
        </w:rPr>
        <w:t xml:space="preserve"> </w:t>
      </w:r>
      <w:r>
        <w:rPr>
          <w:rFonts w:asciiTheme="majorHAnsi" w:hAnsiTheme="majorHAnsi" w:cstheme="majorHAnsi"/>
        </w:rPr>
        <w:t>Very High Likelihood pertained to “</w:t>
      </w:r>
      <w:r w:rsidRPr="005728D9">
        <w:rPr>
          <w:rFonts w:asciiTheme="majorHAnsi" w:hAnsiTheme="majorHAnsi" w:cstheme="majorHAnsi"/>
          <w:color w:val="000000"/>
        </w:rPr>
        <w:t>Demonstrated persistence of results across all governance levels and continuing results are supported by necessary policies, systems, people and infrastructure</w:t>
      </w:r>
      <w:r>
        <w:rPr>
          <w:rFonts w:asciiTheme="majorHAnsi" w:hAnsiTheme="majorHAnsi" w:cstheme="majorHAnsi"/>
          <w:color w:val="000000"/>
        </w:rPr>
        <w:t>”</w:t>
      </w:r>
      <w:r w:rsidRPr="005728D9">
        <w:rPr>
          <w:rFonts w:asciiTheme="majorHAnsi" w:hAnsiTheme="majorHAnsi" w:cstheme="majorHAnsi"/>
          <w:color w:val="000000"/>
        </w:rPr>
        <w:t>.</w:t>
      </w:r>
      <w:r>
        <w:rPr>
          <w:rFonts w:asciiTheme="majorHAnsi" w:hAnsiTheme="majorHAnsi" w:cstheme="majorHAnsi"/>
        </w:rPr>
        <w:t xml:space="preserve"> </w:t>
      </w:r>
    </w:p>
    <w:p w14:paraId="0DB41908" w14:textId="04DA44B8" w:rsidR="008D0CAD" w:rsidRDefault="008D0CAD" w:rsidP="007B6836">
      <w:pPr>
        <w:pStyle w:val="NormalWeb"/>
        <w:shd w:val="clear" w:color="auto" w:fill="FFFFFF"/>
        <w:spacing w:line="360" w:lineRule="auto"/>
        <w:rPr>
          <w:rFonts w:asciiTheme="majorHAnsi" w:hAnsiTheme="majorHAnsi" w:cstheme="majorHAnsi"/>
        </w:rPr>
      </w:pPr>
      <w:r w:rsidRPr="006A49E0">
        <w:rPr>
          <w:rFonts w:asciiTheme="majorHAnsi" w:hAnsiTheme="majorHAnsi" w:cstheme="majorHAnsi"/>
          <w:color w:val="000000" w:themeColor="text1"/>
        </w:rPr>
        <w:t xml:space="preserve">The likelihood that the </w:t>
      </w:r>
      <w:r>
        <w:rPr>
          <w:rFonts w:asciiTheme="majorHAnsi" w:hAnsiTheme="majorHAnsi" w:cstheme="majorHAnsi"/>
          <w:color w:val="000000" w:themeColor="text1"/>
        </w:rPr>
        <w:t>Program gains instituted through the</w:t>
      </w:r>
      <w:r w:rsidRPr="006A49E0">
        <w:rPr>
          <w:rFonts w:asciiTheme="majorHAnsi" w:hAnsiTheme="majorHAnsi" w:cstheme="majorHAnsi"/>
          <w:b/>
          <w:bCs/>
          <w:color w:val="000000" w:themeColor="text1"/>
        </w:rPr>
        <w:t xml:space="preserve"> </w:t>
      </w:r>
      <w:r>
        <w:rPr>
          <w:rFonts w:asciiTheme="majorHAnsi" w:hAnsiTheme="majorHAnsi" w:cstheme="majorHAnsi"/>
          <w:b/>
          <w:bCs/>
        </w:rPr>
        <w:t xml:space="preserve">PPST </w:t>
      </w:r>
      <w:r w:rsidRPr="006A49E0">
        <w:rPr>
          <w:rFonts w:asciiTheme="majorHAnsi" w:hAnsiTheme="majorHAnsi" w:cstheme="majorHAnsi"/>
        </w:rPr>
        <w:t>and</w:t>
      </w:r>
      <w:r>
        <w:rPr>
          <w:rFonts w:asciiTheme="majorHAnsi" w:hAnsiTheme="majorHAnsi" w:cstheme="majorHAnsi"/>
          <w:b/>
          <w:bCs/>
        </w:rPr>
        <w:t xml:space="preserve"> C&amp;A </w:t>
      </w:r>
      <w:r w:rsidRPr="006A49E0">
        <w:rPr>
          <w:rFonts w:asciiTheme="majorHAnsi" w:hAnsiTheme="majorHAnsi" w:cstheme="majorHAnsi"/>
        </w:rPr>
        <w:t>is</w:t>
      </w:r>
      <w:r>
        <w:rPr>
          <w:rFonts w:asciiTheme="majorHAnsi" w:hAnsiTheme="majorHAnsi" w:cstheme="majorHAnsi"/>
        </w:rPr>
        <w:t xml:space="preserve"> very</w:t>
      </w:r>
      <w:r w:rsidRPr="006A49E0">
        <w:rPr>
          <w:rFonts w:asciiTheme="majorHAnsi" w:hAnsiTheme="majorHAnsi" w:cstheme="majorHAnsi"/>
        </w:rPr>
        <w:t xml:space="preserve"> high </w:t>
      </w:r>
      <w:r>
        <w:rPr>
          <w:rFonts w:asciiTheme="majorHAnsi" w:hAnsiTheme="majorHAnsi" w:cstheme="majorHAnsi"/>
        </w:rPr>
        <w:t>because of the policies that supported the implementation of reforms and the wide acceptance by concerned stakeholders. For instance, the shift to the K-12 curriculum and the use of its attendant classroom assessment tools, although contentious in the beginning, have settled into the norms at school level. Their use is no longer questioned and the classroom assessment tools are in fact appreciated by teachers.</w:t>
      </w:r>
      <w:r w:rsidR="00D434EB">
        <w:rPr>
          <w:rFonts w:asciiTheme="majorHAnsi" w:hAnsiTheme="majorHAnsi" w:cstheme="majorHAnsi"/>
        </w:rPr>
        <w:t xml:space="preserve"> </w:t>
      </w:r>
      <w:r>
        <w:rPr>
          <w:rFonts w:asciiTheme="majorHAnsi" w:hAnsiTheme="majorHAnsi" w:cstheme="majorHAnsi"/>
        </w:rPr>
        <w:t>The use of the PPST-linked Classroom Observation Tool (COT) was found to have a high degree of acceptance on the part of principals. Although also contentious when first introduced, the COT and the Self-Assessment Tool (SAT) have also been accepted by the teachers after their value was revealed over the initial year of implementation.</w:t>
      </w:r>
      <w:r w:rsidR="00D434EB">
        <w:rPr>
          <w:rFonts w:asciiTheme="majorHAnsi" w:hAnsiTheme="majorHAnsi" w:cstheme="majorHAnsi"/>
        </w:rPr>
        <w:t xml:space="preserve"> </w:t>
      </w:r>
      <w:r>
        <w:rPr>
          <w:rFonts w:asciiTheme="majorHAnsi" w:hAnsiTheme="majorHAnsi" w:cstheme="majorHAnsi"/>
        </w:rPr>
        <w:t>In addition, PPST has been married to whole of government Results based Performance Management System (RPMS), which will help ensure that future improvements and updating of the Standards will continue.</w:t>
      </w:r>
      <w:r w:rsidR="00D434EB">
        <w:rPr>
          <w:rFonts w:asciiTheme="majorHAnsi" w:hAnsiTheme="majorHAnsi" w:cstheme="majorHAnsi"/>
        </w:rPr>
        <w:t xml:space="preserve"> </w:t>
      </w:r>
    </w:p>
    <w:p w14:paraId="51310845" w14:textId="77777777" w:rsidR="008D0CAD" w:rsidRPr="005252DB" w:rsidRDefault="008D0CAD" w:rsidP="007B6836">
      <w:pPr>
        <w:pStyle w:val="NormalWeb"/>
        <w:shd w:val="clear" w:color="auto" w:fill="FFFFFF"/>
        <w:spacing w:line="360" w:lineRule="auto"/>
        <w:rPr>
          <w:rFonts w:asciiTheme="majorHAnsi" w:hAnsiTheme="majorHAnsi" w:cstheme="majorHAnsi"/>
          <w:color w:val="000000" w:themeColor="text1"/>
        </w:rPr>
      </w:pPr>
      <w:r>
        <w:rPr>
          <w:rFonts w:asciiTheme="majorHAnsi" w:hAnsiTheme="majorHAnsi" w:cstheme="majorHAnsi"/>
          <w:b/>
          <w:bCs/>
        </w:rPr>
        <w:t xml:space="preserve">The </w:t>
      </w:r>
      <w:r w:rsidRPr="00EA7801">
        <w:rPr>
          <w:rFonts w:asciiTheme="majorHAnsi" w:hAnsiTheme="majorHAnsi" w:cstheme="majorHAnsi"/>
          <w:b/>
          <w:bCs/>
        </w:rPr>
        <w:t>L&amp;D System</w:t>
      </w:r>
      <w:r>
        <w:rPr>
          <w:rFonts w:asciiTheme="majorHAnsi" w:hAnsiTheme="majorHAnsi" w:cstheme="majorHAnsi"/>
        </w:rPr>
        <w:t xml:space="preserve"> was assessed as having a </w:t>
      </w:r>
      <w:r w:rsidRPr="0083021C">
        <w:rPr>
          <w:rFonts w:asciiTheme="majorHAnsi" w:hAnsiTheme="majorHAnsi"/>
          <w:b/>
          <w:bCs/>
          <w:color w:val="0070C0"/>
        </w:rPr>
        <w:t>High Likelihood of Sustainability</w:t>
      </w:r>
      <w:r>
        <w:rPr>
          <w:rFonts w:asciiTheme="majorHAnsi" w:hAnsiTheme="majorHAnsi"/>
          <w:b/>
          <w:bCs/>
          <w:color w:val="0070C0"/>
        </w:rPr>
        <w:t>.</w:t>
      </w:r>
      <w:r w:rsidRPr="0083021C">
        <w:rPr>
          <w:rFonts w:asciiTheme="majorHAnsi" w:hAnsiTheme="majorHAnsi"/>
          <w:color w:val="0070C0"/>
        </w:rPr>
        <w:t xml:space="preserve"> </w:t>
      </w:r>
      <w:r w:rsidRPr="007C2107">
        <w:rPr>
          <w:rFonts w:asciiTheme="majorHAnsi" w:hAnsiTheme="majorHAnsi"/>
        </w:rPr>
        <w:t>T</w:t>
      </w:r>
      <w:r>
        <w:rPr>
          <w:rFonts w:asciiTheme="majorHAnsi" w:hAnsiTheme="majorHAnsi" w:cstheme="majorHAnsi"/>
        </w:rPr>
        <w:t>he practices on LAC and Action Research have resonated with teachers as its benefits to them were revealed in a short time.</w:t>
      </w:r>
    </w:p>
    <w:p w14:paraId="61171A07" w14:textId="22F6EA5C" w:rsidR="008D0CAD" w:rsidRPr="00FA713F" w:rsidRDefault="008D0CAD" w:rsidP="007B6836">
      <w:pPr>
        <w:pStyle w:val="NormalWeb"/>
        <w:shd w:val="clear" w:color="auto" w:fill="FFFFFF"/>
        <w:spacing w:line="360" w:lineRule="auto"/>
        <w:rPr>
          <w:rFonts w:asciiTheme="majorHAnsi" w:hAnsiTheme="majorHAnsi" w:cstheme="majorHAnsi"/>
        </w:rPr>
      </w:pPr>
      <w:r w:rsidRPr="005252DB">
        <w:rPr>
          <w:rFonts w:asciiTheme="majorHAnsi" w:hAnsiTheme="majorHAnsi" w:cstheme="majorHAnsi"/>
          <w:color w:val="000000" w:themeColor="text1"/>
        </w:rPr>
        <w:t xml:space="preserve">In contrast, </w:t>
      </w:r>
      <w:r w:rsidRPr="005252DB">
        <w:rPr>
          <w:rFonts w:asciiTheme="majorHAnsi" w:hAnsiTheme="majorHAnsi" w:cstheme="majorHAnsi"/>
          <w:b/>
          <w:bCs/>
          <w:color w:val="000000" w:themeColor="text1"/>
        </w:rPr>
        <w:t xml:space="preserve">TPQI </w:t>
      </w:r>
      <w:r w:rsidRPr="005252DB">
        <w:rPr>
          <w:rFonts w:asciiTheme="majorHAnsi" w:hAnsiTheme="majorHAnsi" w:cstheme="majorHAnsi"/>
          <w:color w:val="000000" w:themeColor="text1"/>
        </w:rPr>
        <w:t>was judged to have</w:t>
      </w:r>
      <w:r>
        <w:rPr>
          <w:rFonts w:asciiTheme="majorHAnsi" w:hAnsiTheme="majorHAnsi" w:cstheme="majorHAnsi"/>
          <w:color w:val="000000" w:themeColor="text1"/>
        </w:rPr>
        <w:t xml:space="preserve"> a</w:t>
      </w:r>
      <w:r w:rsidRPr="005252DB">
        <w:rPr>
          <w:rFonts w:asciiTheme="majorHAnsi" w:hAnsiTheme="majorHAnsi" w:cstheme="majorHAnsi"/>
          <w:b/>
          <w:bCs/>
          <w:color w:val="000000" w:themeColor="text1"/>
        </w:rPr>
        <w:t xml:space="preserve"> Moderate Likelihood of Sustainability</w:t>
      </w:r>
      <w:r w:rsidRPr="005252DB">
        <w:rPr>
          <w:rFonts w:asciiTheme="majorHAnsi" w:hAnsiTheme="majorHAnsi" w:cstheme="majorHAnsi"/>
          <w:color w:val="000000" w:themeColor="text1"/>
        </w:rPr>
        <w:t xml:space="preserve"> be</w:t>
      </w:r>
      <w:r>
        <w:rPr>
          <w:rFonts w:asciiTheme="majorHAnsi" w:hAnsiTheme="majorHAnsi" w:cstheme="majorHAnsi"/>
        </w:rPr>
        <w:t xml:space="preserve">cause to sustain the Program gains would necessitate the full cooperation of a separate national agency (i.e., CHED). </w:t>
      </w:r>
      <w:r w:rsidRPr="00FA713F">
        <w:rPr>
          <w:rFonts w:asciiTheme="majorHAnsi" w:hAnsiTheme="majorHAnsi" w:cstheme="majorHAnsi"/>
          <w:color w:val="000000" w:themeColor="text1"/>
        </w:rPr>
        <w:t xml:space="preserve">Moreover, </w:t>
      </w:r>
      <w:r>
        <w:rPr>
          <w:rFonts w:asciiTheme="majorHAnsi" w:hAnsiTheme="majorHAnsi" w:cstheme="majorHAnsi"/>
        </w:rPr>
        <w:t>implementing the PPST- aligned pre-service teacher education curriculum would require the active participation of the TEIs, which are more often independent entities.</w:t>
      </w:r>
      <w:r w:rsidR="00D434EB">
        <w:rPr>
          <w:rFonts w:asciiTheme="majorHAnsi" w:hAnsiTheme="majorHAnsi" w:cstheme="majorHAnsi"/>
        </w:rPr>
        <w:t xml:space="preserve"> </w:t>
      </w:r>
      <w:r>
        <w:rPr>
          <w:rFonts w:asciiTheme="majorHAnsi" w:hAnsiTheme="majorHAnsi" w:cstheme="majorHAnsi"/>
        </w:rPr>
        <w:t>Nevertheless, several of the TEIs that were trained under the BEST Program, particularly PNU which hosts RCTQ, suggests some degree of sustainability.</w:t>
      </w:r>
      <w:r w:rsidR="00D434EB">
        <w:rPr>
          <w:rFonts w:asciiTheme="majorHAnsi" w:hAnsiTheme="majorHAnsi" w:cstheme="majorHAnsi"/>
        </w:rPr>
        <w:t xml:space="preserve"> </w:t>
      </w:r>
      <w:r>
        <w:rPr>
          <w:rFonts w:asciiTheme="majorHAnsi" w:hAnsiTheme="majorHAnsi" w:cstheme="majorHAnsi"/>
        </w:rPr>
        <w:t xml:space="preserve">Although the continuity of the interventions introduced through the STEP UP Program (such as the provision of mentoring to the scholars and the absorption of graduates to DepEd) is not certain, the BEST Program nevertheless provided a scholarship model, which can be replicated or even scaled up. </w:t>
      </w:r>
    </w:p>
    <w:p w14:paraId="4E4E6C03" w14:textId="3931B412" w:rsidR="008D0CAD" w:rsidRDefault="008D0CAD" w:rsidP="007B6836">
      <w:pPr>
        <w:pStyle w:val="NormalWeb"/>
        <w:shd w:val="clear" w:color="auto" w:fill="FFFFFF"/>
        <w:spacing w:line="360" w:lineRule="auto"/>
        <w:rPr>
          <w:rFonts w:asciiTheme="majorHAnsi" w:hAnsiTheme="majorHAnsi" w:cstheme="majorHAnsi"/>
        </w:rPr>
      </w:pPr>
      <w:r>
        <w:rPr>
          <w:rFonts w:asciiTheme="majorHAnsi" w:hAnsiTheme="majorHAnsi" w:cstheme="majorHAnsi"/>
        </w:rPr>
        <w:t>The s</w:t>
      </w:r>
      <w:r w:rsidRPr="006A49E0">
        <w:rPr>
          <w:rFonts w:asciiTheme="majorHAnsi" w:hAnsiTheme="majorHAnsi" w:cstheme="majorHAnsi"/>
        </w:rPr>
        <w:t xml:space="preserve">ustainability of </w:t>
      </w:r>
      <w:r>
        <w:rPr>
          <w:rFonts w:asciiTheme="majorHAnsi" w:hAnsiTheme="majorHAnsi" w:cstheme="majorHAnsi"/>
        </w:rPr>
        <w:t xml:space="preserve">the </w:t>
      </w:r>
      <w:r w:rsidRPr="006A49E0">
        <w:rPr>
          <w:rFonts w:asciiTheme="majorHAnsi" w:hAnsiTheme="majorHAnsi" w:cstheme="majorHAnsi"/>
        </w:rPr>
        <w:t xml:space="preserve">Program interventions </w:t>
      </w:r>
      <w:r>
        <w:rPr>
          <w:rFonts w:asciiTheme="majorHAnsi" w:hAnsiTheme="majorHAnsi" w:cstheme="majorHAnsi"/>
        </w:rPr>
        <w:t xml:space="preserve">geared </w:t>
      </w:r>
      <w:r w:rsidRPr="006A49E0">
        <w:rPr>
          <w:rFonts w:asciiTheme="majorHAnsi" w:hAnsiTheme="majorHAnsi" w:cstheme="majorHAnsi"/>
        </w:rPr>
        <w:t xml:space="preserve">towards increasing student </w:t>
      </w:r>
      <w:r>
        <w:rPr>
          <w:rFonts w:asciiTheme="majorHAnsi" w:hAnsiTheme="majorHAnsi" w:cstheme="majorHAnsi"/>
        </w:rPr>
        <w:t>participation</w:t>
      </w:r>
      <w:r w:rsidRPr="006A49E0">
        <w:rPr>
          <w:rFonts w:asciiTheme="majorHAnsi" w:hAnsiTheme="majorHAnsi" w:cstheme="majorHAnsi"/>
        </w:rPr>
        <w:t xml:space="preserve"> </w:t>
      </w:r>
      <w:r>
        <w:rPr>
          <w:rFonts w:asciiTheme="majorHAnsi" w:hAnsiTheme="majorHAnsi" w:cstheme="majorHAnsi"/>
        </w:rPr>
        <w:t xml:space="preserve">were varied. The sustainability of the BEST-supported </w:t>
      </w:r>
      <w:r w:rsidRPr="00F92C08">
        <w:rPr>
          <w:rFonts w:asciiTheme="majorHAnsi" w:hAnsiTheme="majorHAnsi" w:cstheme="majorHAnsi"/>
          <w:b/>
          <w:bCs/>
          <w:color w:val="000000" w:themeColor="text1"/>
        </w:rPr>
        <w:t xml:space="preserve">Classroom Construction </w:t>
      </w:r>
      <w:r w:rsidRPr="0083021C">
        <w:rPr>
          <w:rFonts w:asciiTheme="majorHAnsi" w:hAnsiTheme="majorHAnsi" w:cstheme="majorHAnsi"/>
          <w:color w:val="000000" w:themeColor="text1"/>
        </w:rPr>
        <w:t xml:space="preserve">was </w:t>
      </w:r>
      <w:r>
        <w:rPr>
          <w:rFonts w:asciiTheme="majorHAnsi" w:hAnsiTheme="majorHAnsi" w:cstheme="majorHAnsi"/>
          <w:color w:val="000000" w:themeColor="text1"/>
        </w:rPr>
        <w:t xml:space="preserve">assessed as </w:t>
      </w:r>
      <w:r w:rsidRPr="005252DB">
        <w:rPr>
          <w:rFonts w:asciiTheme="majorHAnsi" w:hAnsiTheme="majorHAnsi" w:cstheme="majorHAnsi"/>
          <w:color w:val="000000" w:themeColor="text1"/>
        </w:rPr>
        <w:t>having</w:t>
      </w:r>
      <w:r w:rsidRPr="005252DB">
        <w:rPr>
          <w:rFonts w:asciiTheme="majorHAnsi" w:hAnsiTheme="majorHAnsi" w:cstheme="majorHAnsi"/>
          <w:b/>
          <w:bCs/>
          <w:color w:val="000000" w:themeColor="text1"/>
        </w:rPr>
        <w:t xml:space="preserve"> </w:t>
      </w:r>
      <w:r w:rsidRPr="00B24C68">
        <w:rPr>
          <w:rFonts w:asciiTheme="majorHAnsi" w:hAnsiTheme="majorHAnsi" w:cstheme="majorHAnsi"/>
          <w:color w:val="000000" w:themeColor="text1"/>
        </w:rPr>
        <w:t>a</w:t>
      </w:r>
      <w:r>
        <w:rPr>
          <w:rFonts w:asciiTheme="majorHAnsi" w:hAnsiTheme="majorHAnsi" w:cstheme="majorHAnsi"/>
          <w:b/>
          <w:bCs/>
          <w:color w:val="000000" w:themeColor="text1"/>
        </w:rPr>
        <w:t xml:space="preserve"> </w:t>
      </w:r>
      <w:r w:rsidRPr="005252DB">
        <w:rPr>
          <w:rFonts w:asciiTheme="majorHAnsi" w:hAnsiTheme="majorHAnsi" w:cstheme="majorHAnsi"/>
          <w:b/>
          <w:bCs/>
          <w:color w:val="000000" w:themeColor="text1"/>
        </w:rPr>
        <w:t>Moderate Likelihood</w:t>
      </w:r>
      <w:r w:rsidRPr="005252DB">
        <w:rPr>
          <w:rFonts w:asciiTheme="majorHAnsi" w:hAnsiTheme="majorHAnsi" w:cstheme="majorHAnsi"/>
          <w:color w:val="000000" w:themeColor="text1"/>
        </w:rPr>
        <w:t xml:space="preserve"> </w:t>
      </w:r>
      <w:r w:rsidRPr="005252DB">
        <w:rPr>
          <w:rFonts w:asciiTheme="majorHAnsi" w:hAnsiTheme="majorHAnsi" w:cstheme="majorHAnsi"/>
          <w:b/>
          <w:bCs/>
          <w:color w:val="000000" w:themeColor="text1"/>
        </w:rPr>
        <w:t>of Sustainability</w:t>
      </w:r>
      <w:r w:rsidRPr="005252DB">
        <w:rPr>
          <w:rFonts w:asciiTheme="majorHAnsi" w:hAnsiTheme="majorHAnsi" w:cstheme="majorHAnsi"/>
          <w:color w:val="000000" w:themeColor="text1"/>
        </w:rPr>
        <w:t xml:space="preserve"> in terms of the capacity of the schools to maintain the disaster-resilient, gender-responsive and inclusive classroom designs</w:t>
      </w:r>
      <w:r>
        <w:rPr>
          <w:rFonts w:asciiTheme="majorHAnsi" w:hAnsiTheme="majorHAnsi" w:cstheme="majorHAnsi"/>
          <w:color w:val="000000" w:themeColor="text1"/>
        </w:rPr>
        <w:t xml:space="preserve"> and more so to replicate it</w:t>
      </w:r>
      <w:r w:rsidRPr="005252DB">
        <w:rPr>
          <w:rFonts w:asciiTheme="majorHAnsi" w:hAnsiTheme="majorHAnsi" w:cstheme="majorHAnsi"/>
          <w:color w:val="000000" w:themeColor="text1"/>
        </w:rPr>
        <w:t>.</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However, the BEST Program did provide DepEd with a design of a model, which it could continue.</w:t>
      </w:r>
    </w:p>
    <w:p w14:paraId="31929764" w14:textId="212C30AD" w:rsidR="008D0CAD" w:rsidRPr="00EA7801" w:rsidRDefault="008D0CAD" w:rsidP="007B6836">
      <w:pPr>
        <w:pStyle w:val="NormalWeb"/>
        <w:shd w:val="clear" w:color="auto" w:fill="FFFFFF"/>
        <w:spacing w:line="360" w:lineRule="auto"/>
        <w:rPr>
          <w:rFonts w:asciiTheme="majorHAnsi" w:hAnsiTheme="majorHAnsi"/>
          <w:color w:val="0070C0"/>
        </w:rPr>
      </w:pPr>
      <w:r>
        <w:rPr>
          <w:rFonts w:asciiTheme="majorHAnsi" w:hAnsiTheme="majorHAnsi"/>
          <w:b/>
          <w:bCs/>
        </w:rPr>
        <w:t>School Based Management (</w:t>
      </w:r>
      <w:r w:rsidRPr="000E4681">
        <w:rPr>
          <w:rFonts w:asciiTheme="majorHAnsi" w:hAnsiTheme="majorHAnsi"/>
          <w:b/>
          <w:bCs/>
        </w:rPr>
        <w:t>SBM</w:t>
      </w:r>
      <w:r>
        <w:rPr>
          <w:rFonts w:asciiTheme="majorHAnsi" w:hAnsiTheme="majorHAnsi"/>
          <w:b/>
          <w:bCs/>
        </w:rPr>
        <w:t xml:space="preserve">) </w:t>
      </w:r>
      <w:r w:rsidRPr="007C2107">
        <w:rPr>
          <w:rFonts w:asciiTheme="majorHAnsi" w:hAnsiTheme="majorHAnsi"/>
        </w:rPr>
        <w:t xml:space="preserve">interventions </w:t>
      </w:r>
      <w:r w:rsidRPr="0023363D">
        <w:rPr>
          <w:rFonts w:asciiTheme="majorHAnsi" w:hAnsiTheme="majorHAnsi"/>
        </w:rPr>
        <w:t>w</w:t>
      </w:r>
      <w:r>
        <w:rPr>
          <w:rFonts w:asciiTheme="majorHAnsi" w:hAnsiTheme="majorHAnsi"/>
        </w:rPr>
        <w:t>ere</w:t>
      </w:r>
      <w:r w:rsidRPr="0023363D">
        <w:rPr>
          <w:rFonts w:asciiTheme="majorHAnsi" w:hAnsiTheme="majorHAnsi"/>
        </w:rPr>
        <w:t xml:space="preserve"> </w:t>
      </w:r>
      <w:r>
        <w:rPr>
          <w:rFonts w:asciiTheme="majorHAnsi" w:hAnsiTheme="majorHAnsi"/>
        </w:rPr>
        <w:t>assessed</w:t>
      </w:r>
      <w:r w:rsidRPr="0023363D">
        <w:rPr>
          <w:rFonts w:asciiTheme="majorHAnsi" w:hAnsiTheme="majorHAnsi"/>
        </w:rPr>
        <w:t xml:space="preserve"> to have</w:t>
      </w:r>
      <w:r>
        <w:rPr>
          <w:rFonts w:asciiTheme="majorHAnsi" w:hAnsiTheme="majorHAnsi"/>
        </w:rPr>
        <w:t xml:space="preserve"> a</w:t>
      </w:r>
      <w:r w:rsidRPr="000E4681">
        <w:rPr>
          <w:rFonts w:asciiTheme="majorHAnsi" w:hAnsiTheme="majorHAnsi"/>
          <w:b/>
          <w:bCs/>
        </w:rPr>
        <w:t xml:space="preserve"> </w:t>
      </w:r>
      <w:r w:rsidRPr="0083021C">
        <w:rPr>
          <w:rFonts w:asciiTheme="majorHAnsi" w:hAnsiTheme="majorHAnsi"/>
          <w:b/>
          <w:bCs/>
          <w:color w:val="0070C0"/>
        </w:rPr>
        <w:t>High Likelihood of Sustainability</w:t>
      </w:r>
      <w:r w:rsidRPr="00EA7801">
        <w:rPr>
          <w:rFonts w:asciiTheme="majorHAnsi" w:hAnsiTheme="majorHAnsi"/>
          <w:color w:val="000000" w:themeColor="text1"/>
        </w:rPr>
        <w:t xml:space="preserve"> for</w:t>
      </w:r>
      <w:r>
        <w:rPr>
          <w:rFonts w:asciiTheme="majorHAnsi" w:hAnsiTheme="majorHAnsi"/>
        </w:rPr>
        <w:t xml:space="preserve"> several reasons: the presence of policy support; the availability of guidelines and instructional materials; the massive capacity building that supported the reforms; as well as the widespread acceptance.</w:t>
      </w:r>
      <w:r w:rsidR="00D434EB">
        <w:rPr>
          <w:rFonts w:asciiTheme="majorHAnsi" w:hAnsiTheme="majorHAnsi"/>
        </w:rPr>
        <w:t xml:space="preserve"> </w:t>
      </w:r>
      <w:r>
        <w:rPr>
          <w:rFonts w:asciiTheme="majorHAnsi" w:hAnsiTheme="majorHAnsi"/>
        </w:rPr>
        <w:t>In addition,</w:t>
      </w:r>
      <w:r w:rsidRPr="00EA7801">
        <w:rPr>
          <w:rFonts w:asciiTheme="majorHAnsi" w:hAnsiTheme="majorHAnsi"/>
        </w:rPr>
        <w:t xml:space="preserve"> </w:t>
      </w:r>
      <w:r>
        <w:rPr>
          <w:rFonts w:asciiTheme="majorHAnsi" w:hAnsiTheme="majorHAnsi"/>
        </w:rPr>
        <w:t xml:space="preserve">a </w:t>
      </w:r>
      <w:r w:rsidRPr="000E4681">
        <w:rPr>
          <w:rFonts w:asciiTheme="majorHAnsi" w:hAnsiTheme="majorHAnsi"/>
        </w:rPr>
        <w:t xml:space="preserve">specific plan of action </w:t>
      </w:r>
      <w:r>
        <w:rPr>
          <w:rFonts w:asciiTheme="majorHAnsi" w:hAnsiTheme="majorHAnsi"/>
        </w:rPr>
        <w:t xml:space="preserve">has been formulated (by </w:t>
      </w:r>
      <w:r w:rsidRPr="000E4681">
        <w:rPr>
          <w:rFonts w:asciiTheme="majorHAnsi" w:hAnsiTheme="majorHAnsi"/>
        </w:rPr>
        <w:t>the BHROD-SED</w:t>
      </w:r>
      <w:r>
        <w:rPr>
          <w:rFonts w:asciiTheme="majorHAnsi" w:hAnsiTheme="majorHAnsi"/>
        </w:rPr>
        <w:t>)</w:t>
      </w:r>
      <w:r w:rsidRPr="000E4681">
        <w:rPr>
          <w:rFonts w:asciiTheme="majorHAnsi" w:hAnsiTheme="majorHAnsi"/>
        </w:rPr>
        <w:t xml:space="preserve"> to </w:t>
      </w:r>
      <w:r>
        <w:rPr>
          <w:rFonts w:asciiTheme="majorHAnsi" w:hAnsiTheme="majorHAnsi"/>
        </w:rPr>
        <w:t xml:space="preserve">build on the </w:t>
      </w:r>
      <w:r w:rsidRPr="000E4681">
        <w:rPr>
          <w:rFonts w:asciiTheme="majorHAnsi" w:hAnsiTheme="majorHAnsi"/>
        </w:rPr>
        <w:t xml:space="preserve">program gains </w:t>
      </w:r>
      <w:r>
        <w:rPr>
          <w:rFonts w:asciiTheme="majorHAnsi" w:hAnsiTheme="majorHAnsi"/>
        </w:rPr>
        <w:t>experienced in the previous cycle of the School Improvement Plans (SIPs).</w:t>
      </w:r>
      <w:r w:rsidR="00D434EB">
        <w:rPr>
          <w:rFonts w:asciiTheme="majorHAnsi" w:hAnsiTheme="majorHAnsi" w:cstheme="majorHAnsi"/>
        </w:rPr>
        <w:t xml:space="preserve"> </w:t>
      </w:r>
      <w:r>
        <w:rPr>
          <w:rFonts w:asciiTheme="majorHAnsi" w:hAnsiTheme="majorHAnsi" w:cstheme="majorHAnsi"/>
        </w:rPr>
        <w:t>However, the quality of the SIPs (in terms of strategic focus) have yet to be examined.</w:t>
      </w:r>
    </w:p>
    <w:p w14:paraId="5FC6AB2C" w14:textId="37541DF6" w:rsidR="008D0CAD" w:rsidRDefault="008D0CAD" w:rsidP="007B6836">
      <w:pPr>
        <w:pStyle w:val="NormalWeb"/>
        <w:shd w:val="clear" w:color="auto" w:fill="FFFFFF"/>
        <w:spacing w:line="360" w:lineRule="auto"/>
        <w:rPr>
          <w:rFonts w:asciiTheme="majorHAnsi" w:hAnsiTheme="majorHAnsi" w:cstheme="majorHAnsi"/>
          <w:color w:val="000000" w:themeColor="text1"/>
        </w:rPr>
      </w:pPr>
      <w:r>
        <w:rPr>
          <w:rFonts w:asciiTheme="majorHAnsi" w:hAnsiTheme="majorHAnsi" w:cstheme="majorHAnsi"/>
        </w:rPr>
        <w:t xml:space="preserve">In contrast, </w:t>
      </w:r>
      <w:r w:rsidRPr="000E4681">
        <w:rPr>
          <w:rFonts w:asciiTheme="majorHAnsi" w:hAnsiTheme="majorHAnsi" w:cstheme="majorHAnsi"/>
          <w:b/>
          <w:bCs/>
        </w:rPr>
        <w:t xml:space="preserve">GEDSI </w:t>
      </w:r>
      <w:r w:rsidRPr="00FA713F">
        <w:rPr>
          <w:rFonts w:asciiTheme="majorHAnsi" w:hAnsiTheme="majorHAnsi" w:cstheme="majorHAnsi"/>
        </w:rPr>
        <w:t xml:space="preserve">was found to </w:t>
      </w:r>
      <w:r w:rsidRPr="005252DB">
        <w:rPr>
          <w:rFonts w:asciiTheme="majorHAnsi" w:hAnsiTheme="majorHAnsi" w:cstheme="majorHAnsi"/>
          <w:color w:val="000000" w:themeColor="text1"/>
        </w:rPr>
        <w:t>have</w:t>
      </w:r>
      <w:r w:rsidRPr="005252DB">
        <w:rPr>
          <w:rFonts w:asciiTheme="majorHAnsi" w:hAnsiTheme="majorHAnsi" w:cstheme="majorHAnsi"/>
          <w:b/>
          <w:bCs/>
          <w:color w:val="000000" w:themeColor="text1"/>
        </w:rPr>
        <w:t xml:space="preserve"> Moderate likelihood</w:t>
      </w:r>
      <w:r w:rsidRPr="005252DB">
        <w:rPr>
          <w:rFonts w:asciiTheme="majorHAnsi" w:hAnsiTheme="majorHAnsi" w:cstheme="majorHAnsi"/>
          <w:color w:val="000000" w:themeColor="text1"/>
        </w:rPr>
        <w:t xml:space="preserve"> of </w:t>
      </w:r>
      <w:r w:rsidRPr="005252DB">
        <w:rPr>
          <w:rFonts w:asciiTheme="majorHAnsi" w:hAnsiTheme="majorHAnsi" w:cstheme="majorHAnsi"/>
          <w:b/>
          <w:bCs/>
          <w:color w:val="000000" w:themeColor="text1"/>
        </w:rPr>
        <w:t>Sustainability</w:t>
      </w:r>
      <w:r w:rsidRPr="005252DB">
        <w:rPr>
          <w:rFonts w:asciiTheme="majorHAnsi" w:hAnsiTheme="majorHAnsi" w:cstheme="majorHAnsi"/>
          <w:color w:val="000000" w:themeColor="text1"/>
        </w:rPr>
        <w:t xml:space="preserve"> because </w:t>
      </w:r>
      <w:r>
        <w:rPr>
          <w:rFonts w:asciiTheme="majorHAnsi" w:hAnsiTheme="majorHAnsi" w:cstheme="majorHAnsi"/>
          <w:color w:val="000000" w:themeColor="text1"/>
        </w:rPr>
        <w:t>although the IE and GRBE had policy support, understanding of the concepts were not yet deep enough to become organic within the organisation.</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The interventions remained exogenous.</w:t>
      </w:r>
    </w:p>
    <w:p w14:paraId="63A19AA3" w14:textId="483C6A20" w:rsidR="008D0CAD" w:rsidRPr="00632738" w:rsidRDefault="008D0CAD" w:rsidP="007B6836">
      <w:pPr>
        <w:pStyle w:val="NormalWeb"/>
        <w:shd w:val="clear" w:color="auto" w:fill="FFFFFF"/>
        <w:spacing w:line="360" w:lineRule="auto"/>
        <w:rPr>
          <w:rFonts w:asciiTheme="majorHAnsi" w:hAnsiTheme="majorHAnsi"/>
          <w:color w:val="000000" w:themeColor="text1"/>
        </w:rPr>
      </w:pPr>
      <w:r w:rsidRPr="006A49E0">
        <w:rPr>
          <w:rFonts w:asciiTheme="majorHAnsi" w:hAnsiTheme="majorHAnsi" w:cstheme="majorHAnsi"/>
        </w:rPr>
        <w:t xml:space="preserve">Sustainability of </w:t>
      </w:r>
      <w:r>
        <w:rPr>
          <w:rFonts w:asciiTheme="majorHAnsi" w:hAnsiTheme="majorHAnsi" w:cstheme="majorHAnsi"/>
        </w:rPr>
        <w:t xml:space="preserve">the four </w:t>
      </w:r>
      <w:r w:rsidRPr="006A49E0">
        <w:rPr>
          <w:rFonts w:asciiTheme="majorHAnsi" w:hAnsiTheme="majorHAnsi" w:cstheme="majorHAnsi"/>
        </w:rPr>
        <w:t>Program interventions</w:t>
      </w:r>
      <w:r>
        <w:rPr>
          <w:rFonts w:asciiTheme="majorHAnsi" w:hAnsiTheme="majorHAnsi" w:cstheme="majorHAnsi"/>
        </w:rPr>
        <w:t xml:space="preserve"> contributing to systemic reforms (i.e., </w:t>
      </w:r>
      <w:r w:rsidRPr="00F92C08">
        <w:rPr>
          <w:rFonts w:asciiTheme="majorHAnsi" w:hAnsiTheme="majorHAnsi"/>
          <w:b/>
          <w:bCs/>
        </w:rPr>
        <w:t xml:space="preserve">PPMES, </w:t>
      </w:r>
      <w:r>
        <w:rPr>
          <w:rFonts w:asciiTheme="majorHAnsi" w:hAnsiTheme="majorHAnsi"/>
          <w:b/>
          <w:bCs/>
        </w:rPr>
        <w:t xml:space="preserve">SBM, </w:t>
      </w:r>
      <w:r w:rsidRPr="00F92C08">
        <w:rPr>
          <w:rFonts w:asciiTheme="majorHAnsi" w:hAnsiTheme="majorHAnsi"/>
          <w:b/>
          <w:bCs/>
        </w:rPr>
        <w:t xml:space="preserve">UISS </w:t>
      </w:r>
      <w:r w:rsidRPr="00EA7801">
        <w:rPr>
          <w:rFonts w:asciiTheme="majorHAnsi" w:hAnsiTheme="majorHAnsi"/>
        </w:rPr>
        <w:t>and</w:t>
      </w:r>
      <w:r w:rsidRPr="00F92C08">
        <w:rPr>
          <w:rFonts w:asciiTheme="majorHAnsi" w:hAnsiTheme="majorHAnsi"/>
          <w:b/>
          <w:bCs/>
        </w:rPr>
        <w:t xml:space="preserve"> OD</w:t>
      </w:r>
      <w:r>
        <w:rPr>
          <w:rFonts w:asciiTheme="majorHAnsi" w:hAnsiTheme="majorHAnsi"/>
          <w:b/>
          <w:bCs/>
        </w:rPr>
        <w:t>)</w:t>
      </w:r>
      <w:r w:rsidRPr="00F92C08">
        <w:rPr>
          <w:rFonts w:asciiTheme="majorHAnsi" w:hAnsiTheme="majorHAnsi"/>
          <w:b/>
          <w:bCs/>
        </w:rPr>
        <w:t xml:space="preserve"> </w:t>
      </w:r>
      <w:r>
        <w:rPr>
          <w:rFonts w:asciiTheme="majorHAnsi" w:hAnsiTheme="majorHAnsi"/>
        </w:rPr>
        <w:t xml:space="preserve">are all </w:t>
      </w:r>
      <w:r w:rsidRPr="00FA713F">
        <w:rPr>
          <w:rFonts w:asciiTheme="majorHAnsi" w:hAnsiTheme="majorHAnsi"/>
        </w:rPr>
        <w:t xml:space="preserve">assessed </w:t>
      </w:r>
      <w:r>
        <w:rPr>
          <w:rFonts w:asciiTheme="majorHAnsi" w:hAnsiTheme="majorHAnsi"/>
        </w:rPr>
        <w:t>as having</w:t>
      </w:r>
      <w:r w:rsidRPr="00F92C08">
        <w:rPr>
          <w:rFonts w:asciiTheme="majorHAnsi" w:hAnsiTheme="majorHAnsi"/>
          <w:b/>
          <w:bCs/>
        </w:rPr>
        <w:t xml:space="preserve"> </w:t>
      </w:r>
      <w:r w:rsidRPr="0083021C">
        <w:rPr>
          <w:rFonts w:asciiTheme="majorHAnsi" w:hAnsiTheme="majorHAnsi"/>
          <w:b/>
          <w:bCs/>
          <w:color w:val="0070C0"/>
        </w:rPr>
        <w:t>High Likelihood of Sustainability</w:t>
      </w:r>
      <w:r>
        <w:rPr>
          <w:rFonts w:asciiTheme="majorHAnsi" w:hAnsiTheme="majorHAnsi"/>
          <w:b/>
          <w:bCs/>
          <w:color w:val="0070C0"/>
        </w:rPr>
        <w:t xml:space="preserve"> </w:t>
      </w:r>
      <w:r w:rsidRPr="00632738">
        <w:rPr>
          <w:rFonts w:asciiTheme="majorHAnsi" w:hAnsiTheme="majorHAnsi"/>
          <w:color w:val="000000" w:themeColor="text1"/>
        </w:rPr>
        <w:t xml:space="preserve">for the </w:t>
      </w:r>
      <w:r>
        <w:rPr>
          <w:rFonts w:asciiTheme="majorHAnsi" w:hAnsiTheme="majorHAnsi"/>
          <w:color w:val="000000" w:themeColor="text1"/>
        </w:rPr>
        <w:t>factors</w:t>
      </w:r>
      <w:r w:rsidRPr="00632738">
        <w:rPr>
          <w:rFonts w:asciiTheme="majorHAnsi" w:hAnsiTheme="majorHAnsi"/>
          <w:color w:val="000000" w:themeColor="text1"/>
        </w:rPr>
        <w:t xml:space="preserve"> stated </w:t>
      </w:r>
      <w:r>
        <w:rPr>
          <w:rFonts w:asciiTheme="majorHAnsi" w:hAnsiTheme="majorHAnsi"/>
          <w:color w:val="000000" w:themeColor="text1"/>
        </w:rPr>
        <w:t>above.</w:t>
      </w:r>
      <w:r w:rsidR="00D434EB">
        <w:rPr>
          <w:rFonts w:asciiTheme="majorHAnsi" w:hAnsiTheme="majorHAnsi"/>
          <w:color w:val="000000" w:themeColor="text1"/>
        </w:rPr>
        <w:t xml:space="preserve"> </w:t>
      </w:r>
      <w:r>
        <w:rPr>
          <w:rFonts w:asciiTheme="majorHAnsi" w:hAnsiTheme="majorHAnsi"/>
        </w:rPr>
        <w:t>In addition, the likelihood of sustainability</w:t>
      </w:r>
      <w:r w:rsidRPr="00F92C08">
        <w:rPr>
          <w:rFonts w:asciiTheme="majorHAnsi" w:hAnsiTheme="majorHAnsi"/>
        </w:rPr>
        <w:t xml:space="preserve"> </w:t>
      </w:r>
      <w:r>
        <w:rPr>
          <w:rFonts w:asciiTheme="majorHAnsi" w:hAnsiTheme="majorHAnsi"/>
        </w:rPr>
        <w:t xml:space="preserve">is high </w:t>
      </w:r>
      <w:r w:rsidRPr="00F92C08">
        <w:rPr>
          <w:rFonts w:asciiTheme="majorHAnsi" w:hAnsiTheme="majorHAnsi"/>
        </w:rPr>
        <w:t xml:space="preserve">primarily because </w:t>
      </w:r>
      <w:r>
        <w:rPr>
          <w:rFonts w:asciiTheme="majorHAnsi" w:hAnsiTheme="majorHAnsi"/>
        </w:rPr>
        <w:t>DepEd</w:t>
      </w:r>
      <w:r w:rsidRPr="00F92C08">
        <w:rPr>
          <w:rFonts w:asciiTheme="majorHAnsi" w:hAnsiTheme="majorHAnsi"/>
        </w:rPr>
        <w:t xml:space="preserve"> has no other option but to continue the gains started by the BEST Program.</w:t>
      </w:r>
      <w:r w:rsidR="00D434EB">
        <w:rPr>
          <w:rFonts w:asciiTheme="majorHAnsi" w:hAnsiTheme="majorHAnsi"/>
        </w:rPr>
        <w:t xml:space="preserve"> </w:t>
      </w:r>
      <w:r w:rsidRPr="00F92C08">
        <w:rPr>
          <w:rFonts w:asciiTheme="majorHAnsi" w:hAnsiTheme="majorHAnsi"/>
        </w:rPr>
        <w:t xml:space="preserve">These Program interventions were rightly identified as Foundational work, which was understood to mean that the sustainability of the other Program interventions </w:t>
      </w:r>
      <w:r>
        <w:rPr>
          <w:rFonts w:asciiTheme="majorHAnsi" w:hAnsiTheme="majorHAnsi"/>
        </w:rPr>
        <w:t>would</w:t>
      </w:r>
      <w:r w:rsidRPr="00F92C08">
        <w:rPr>
          <w:rFonts w:asciiTheme="majorHAnsi" w:hAnsiTheme="majorHAnsi"/>
        </w:rPr>
        <w:t xml:space="preserve"> be in danger of dissolving if these interventions </w:t>
      </w:r>
      <w:r>
        <w:rPr>
          <w:rFonts w:asciiTheme="majorHAnsi" w:hAnsiTheme="majorHAnsi"/>
        </w:rPr>
        <w:t>do not continue</w:t>
      </w:r>
      <w:r w:rsidRPr="00F92C08">
        <w:rPr>
          <w:rFonts w:asciiTheme="majorHAnsi" w:hAnsiTheme="majorHAnsi"/>
        </w:rPr>
        <w:t>.</w:t>
      </w:r>
      <w:r w:rsidR="00D434EB">
        <w:rPr>
          <w:rFonts w:asciiTheme="majorHAnsi" w:hAnsiTheme="majorHAnsi"/>
        </w:rPr>
        <w:t xml:space="preserve"> </w:t>
      </w:r>
      <w:r>
        <w:rPr>
          <w:rFonts w:asciiTheme="majorHAnsi" w:hAnsiTheme="majorHAnsi"/>
        </w:rPr>
        <w:t xml:space="preserve">Also, the massive investment poured into UISS (in terms of infrastructure, technical support and capacity building) which would not have been possible without the Program, demands that DepEd be accountable for the return on the investment. </w:t>
      </w:r>
    </w:p>
    <w:p w14:paraId="72103937" w14:textId="002BAC77" w:rsidR="008D0CAD" w:rsidRDefault="008D0CAD" w:rsidP="004B064D">
      <w:pPr>
        <w:pStyle w:val="NormalWeb"/>
        <w:shd w:val="clear" w:color="auto" w:fill="FFFFFF"/>
        <w:spacing w:line="360" w:lineRule="auto"/>
        <w:rPr>
          <w:rFonts w:asciiTheme="majorHAnsi" w:hAnsiTheme="majorHAnsi"/>
          <w:color w:val="000000"/>
        </w:rPr>
      </w:pPr>
      <w:r>
        <w:rPr>
          <w:rFonts w:asciiTheme="majorHAnsi" w:hAnsiTheme="majorHAnsi"/>
          <w:color w:val="000000" w:themeColor="text1"/>
        </w:rPr>
        <w:t xml:space="preserve">Although PPMES did not benefit from the issuance of a policy cover (policy drafts were completed but were not promulgated within the implementation period of the program), it is nonetheless assessed as sustainable due to the </w:t>
      </w:r>
      <w:r>
        <w:rPr>
          <w:rFonts w:asciiTheme="majorHAnsi" w:hAnsiTheme="majorHAnsi" w:cstheme="majorHAnsi"/>
          <w:color w:val="000000" w:themeColor="text1"/>
          <w:lang w:val="en-GB"/>
        </w:rPr>
        <w:t>d</w:t>
      </w:r>
      <w:r w:rsidRPr="00E9563A">
        <w:rPr>
          <w:rFonts w:asciiTheme="majorHAnsi" w:hAnsiTheme="majorHAnsi" w:cstheme="majorHAnsi"/>
          <w:color w:val="000000" w:themeColor="text1"/>
          <w:lang w:val="en-GB"/>
        </w:rPr>
        <w:t xml:space="preserve">egree </w:t>
      </w:r>
      <w:r>
        <w:rPr>
          <w:rFonts w:asciiTheme="majorHAnsi" w:hAnsiTheme="majorHAnsi" w:cstheme="majorHAnsi"/>
          <w:color w:val="000000" w:themeColor="text1"/>
          <w:lang w:val="en-GB"/>
        </w:rPr>
        <w:t>to which it is embedded in existing planning practices.</w:t>
      </w:r>
      <w:r w:rsidR="00D434EB">
        <w:rPr>
          <w:rFonts w:asciiTheme="majorHAnsi" w:hAnsiTheme="majorHAnsi" w:cstheme="majorHAnsi"/>
          <w:color w:val="000000" w:themeColor="text1"/>
          <w:lang w:val="en-GB"/>
        </w:rPr>
        <w:t xml:space="preserve"> </w:t>
      </w:r>
      <w:r>
        <w:rPr>
          <w:rFonts w:asciiTheme="majorHAnsi" w:hAnsiTheme="majorHAnsi" w:cstheme="majorHAnsi"/>
          <w:color w:val="000000" w:themeColor="text1"/>
          <w:lang w:val="en-GB"/>
        </w:rPr>
        <w:t>Moreover, PPMES, SBM and UISS complement each other in terms of enabling DepEd to ensure evidence-based planning.</w:t>
      </w:r>
      <w:r w:rsidR="00D434EB">
        <w:rPr>
          <w:rFonts w:asciiTheme="majorHAnsi" w:hAnsiTheme="majorHAnsi" w:cstheme="majorHAnsi"/>
          <w:color w:val="000000" w:themeColor="text1"/>
          <w:lang w:val="en-GB"/>
        </w:rPr>
        <w:t xml:space="preserve"> </w:t>
      </w:r>
    </w:p>
    <w:p w14:paraId="736FF248" w14:textId="77777777" w:rsidR="008D0CAD" w:rsidRPr="00ED05D3" w:rsidRDefault="008D0CAD" w:rsidP="002320B3">
      <w:pPr>
        <w:pStyle w:val="NormalWeb"/>
        <w:shd w:val="clear" w:color="auto" w:fill="FFFFFF"/>
        <w:spacing w:before="0" w:beforeAutospacing="0" w:after="120" w:afterAutospacing="0"/>
        <w:rPr>
          <w:rFonts w:asciiTheme="majorHAnsi" w:hAnsiTheme="majorHAnsi"/>
          <w:color w:val="000000"/>
        </w:rPr>
        <w:sectPr w:rsidR="008D0CAD" w:rsidRPr="00ED05D3" w:rsidSect="009C64E9">
          <w:headerReference w:type="even" r:id="rId47"/>
          <w:headerReference w:type="default" r:id="rId48"/>
          <w:footerReference w:type="even" r:id="rId49"/>
          <w:footerReference w:type="default" r:id="rId50"/>
          <w:headerReference w:type="first" r:id="rId51"/>
          <w:pgSz w:w="11900" w:h="16840"/>
          <w:pgMar w:top="1440" w:right="1440" w:bottom="1440" w:left="1440" w:header="720" w:footer="720" w:gutter="0"/>
          <w:cols w:space="720"/>
          <w:docGrid w:linePitch="360"/>
        </w:sectPr>
      </w:pPr>
    </w:p>
    <w:p w14:paraId="28AEA560" w14:textId="19B0BD90" w:rsidR="008D0CAD" w:rsidRPr="00D354DC" w:rsidRDefault="008D0CAD" w:rsidP="007B6836">
      <w:pPr>
        <w:pStyle w:val="Caption"/>
        <w:keepNext/>
        <w:pageBreakBefore/>
        <w:rPr>
          <w:rFonts w:asciiTheme="majorHAnsi" w:hAnsiTheme="majorHAnsi" w:cstheme="majorHAnsi"/>
          <w:bCs/>
          <w:iCs w:val="0"/>
          <w:sz w:val="22"/>
          <w:szCs w:val="22"/>
        </w:rPr>
      </w:pPr>
      <w:bookmarkStart w:id="184" w:name="_Toc71616629"/>
      <w:r w:rsidRPr="00D354DC">
        <w:rPr>
          <w:rFonts w:asciiTheme="majorHAnsi" w:hAnsiTheme="majorHAnsi" w:cstheme="majorHAnsi"/>
          <w:sz w:val="22"/>
          <w:szCs w:val="22"/>
        </w:rPr>
        <w:t xml:space="preserve">Table </w:t>
      </w:r>
      <w:r w:rsidRPr="00D354DC">
        <w:rPr>
          <w:rFonts w:asciiTheme="majorHAnsi" w:hAnsiTheme="majorHAnsi" w:cstheme="majorHAnsi"/>
          <w:sz w:val="22"/>
          <w:szCs w:val="22"/>
        </w:rPr>
        <w:fldChar w:fldCharType="begin"/>
      </w:r>
      <w:r w:rsidRPr="00D354DC">
        <w:rPr>
          <w:rFonts w:asciiTheme="majorHAnsi" w:hAnsiTheme="majorHAnsi" w:cstheme="majorHAnsi"/>
          <w:sz w:val="22"/>
          <w:szCs w:val="22"/>
        </w:rPr>
        <w:instrText xml:space="preserve"> SEQ Table \* ARABIC </w:instrText>
      </w:r>
      <w:r w:rsidRPr="00D354DC">
        <w:rPr>
          <w:rFonts w:asciiTheme="majorHAnsi" w:hAnsiTheme="majorHAnsi" w:cstheme="majorHAnsi"/>
          <w:sz w:val="22"/>
          <w:szCs w:val="22"/>
        </w:rPr>
        <w:fldChar w:fldCharType="separate"/>
      </w:r>
      <w:r w:rsidR="00D6133D">
        <w:rPr>
          <w:rFonts w:asciiTheme="majorHAnsi" w:hAnsiTheme="majorHAnsi" w:cstheme="majorHAnsi"/>
          <w:noProof/>
          <w:sz w:val="22"/>
          <w:szCs w:val="22"/>
        </w:rPr>
        <w:t>38</w:t>
      </w:r>
      <w:r w:rsidRPr="00D354DC">
        <w:rPr>
          <w:rFonts w:asciiTheme="majorHAnsi" w:hAnsiTheme="majorHAnsi" w:cstheme="majorHAnsi"/>
          <w:sz w:val="22"/>
          <w:szCs w:val="22"/>
        </w:rPr>
        <w:fldChar w:fldCharType="end"/>
      </w:r>
      <w:r w:rsidRPr="00D354DC">
        <w:rPr>
          <w:rFonts w:asciiTheme="majorHAnsi" w:hAnsiTheme="majorHAnsi" w:cstheme="majorHAnsi"/>
          <w:sz w:val="22"/>
          <w:szCs w:val="22"/>
        </w:rPr>
        <w:t>.</w:t>
      </w:r>
      <w:r w:rsidRPr="00D354DC">
        <w:rPr>
          <w:rFonts w:asciiTheme="majorHAnsi" w:hAnsiTheme="majorHAnsi" w:cstheme="majorHAnsi"/>
          <w:iCs w:val="0"/>
          <w:sz w:val="22"/>
          <w:szCs w:val="22"/>
        </w:rPr>
        <w:t xml:space="preserve"> </w:t>
      </w:r>
      <w:r w:rsidRPr="00D354DC">
        <w:rPr>
          <w:rFonts w:asciiTheme="majorHAnsi" w:hAnsiTheme="majorHAnsi" w:cstheme="majorHAnsi"/>
          <w:bCs/>
          <w:iCs w:val="0"/>
          <w:sz w:val="22"/>
          <w:szCs w:val="22"/>
        </w:rPr>
        <w:t>Findings on the BEST Program interventions’ contributions to Program Outcomes</w:t>
      </w:r>
      <w:bookmarkEnd w:id="184"/>
    </w:p>
    <w:tbl>
      <w:tblPr>
        <w:tblStyle w:val="TableGrid"/>
        <w:tblW w:w="14485" w:type="dxa"/>
        <w:tblLayout w:type="fixed"/>
        <w:tblLook w:val="04A0" w:firstRow="1" w:lastRow="0" w:firstColumn="1" w:lastColumn="0" w:noHBand="0" w:noVBand="1"/>
      </w:tblPr>
      <w:tblGrid>
        <w:gridCol w:w="2605"/>
        <w:gridCol w:w="5850"/>
        <w:gridCol w:w="1980"/>
        <w:gridCol w:w="2070"/>
        <w:gridCol w:w="1980"/>
      </w:tblGrid>
      <w:tr w:rsidR="00D65254" w:rsidRPr="004B064D" w14:paraId="056B7AF5" w14:textId="77777777" w:rsidTr="004B064D">
        <w:trPr>
          <w:trHeight w:val="701"/>
          <w:tblHeader/>
        </w:trPr>
        <w:tc>
          <w:tcPr>
            <w:tcW w:w="2605" w:type="dxa"/>
            <w:tcBorders>
              <w:bottom w:val="single" w:sz="4" w:space="0" w:color="auto"/>
            </w:tcBorders>
          </w:tcPr>
          <w:p w14:paraId="03A51D11" w14:textId="77777777" w:rsidR="00D65254" w:rsidRPr="004B064D" w:rsidRDefault="00D65254" w:rsidP="00C24C22">
            <w:pPr>
              <w:pStyle w:val="NormalWeb"/>
              <w:spacing w:before="0" w:beforeAutospacing="0" w:after="0" w:afterAutospacing="0"/>
              <w:rPr>
                <w:rFonts w:asciiTheme="majorHAnsi" w:hAnsiTheme="majorHAnsi" w:cstheme="majorHAnsi"/>
                <w:b/>
                <w:bCs/>
                <w:color w:val="000000" w:themeColor="text1"/>
                <w:sz w:val="20"/>
                <w:szCs w:val="20"/>
              </w:rPr>
            </w:pPr>
            <w:r w:rsidRPr="004B064D">
              <w:rPr>
                <w:rFonts w:asciiTheme="majorHAnsi" w:hAnsiTheme="majorHAnsi" w:cstheme="majorHAnsi"/>
                <w:b/>
                <w:bCs/>
                <w:color w:val="000000" w:themeColor="text1"/>
                <w:sz w:val="20"/>
                <w:szCs w:val="20"/>
              </w:rPr>
              <w:t>Specific Program Intervention</w:t>
            </w:r>
          </w:p>
          <w:p w14:paraId="3F4FBB06" w14:textId="7058BCCF" w:rsidR="00D65254" w:rsidRPr="004B064D" w:rsidRDefault="00D65254" w:rsidP="00C24C22">
            <w:pPr>
              <w:pStyle w:val="NormalWeb"/>
              <w:spacing w:before="0" w:beforeAutospacing="0" w:after="0" w:afterAutospacing="0"/>
              <w:rPr>
                <w:rFonts w:asciiTheme="majorHAnsi" w:hAnsiTheme="majorHAnsi" w:cstheme="majorHAnsi"/>
                <w:b/>
                <w:bCs/>
                <w:color w:val="000000" w:themeColor="text1"/>
                <w:sz w:val="20"/>
                <w:szCs w:val="20"/>
              </w:rPr>
            </w:pPr>
            <w:r w:rsidRPr="004B064D">
              <w:rPr>
                <w:rFonts w:asciiTheme="majorHAnsi" w:hAnsiTheme="majorHAnsi" w:cstheme="majorHAnsi"/>
                <w:b/>
                <w:bCs/>
                <w:color w:val="000000" w:themeColor="text1"/>
                <w:sz w:val="20"/>
                <w:szCs w:val="20"/>
              </w:rPr>
              <w:t>(1)</w:t>
            </w:r>
          </w:p>
        </w:tc>
        <w:tc>
          <w:tcPr>
            <w:tcW w:w="5850" w:type="dxa"/>
          </w:tcPr>
          <w:p w14:paraId="70FA62BB" w14:textId="77777777" w:rsidR="00D65254" w:rsidRPr="004B064D" w:rsidRDefault="00D65254" w:rsidP="002320B3">
            <w:pPr>
              <w:pStyle w:val="NormalWeb"/>
              <w:spacing w:before="0" w:beforeAutospacing="0" w:after="0" w:afterAutospacing="0"/>
              <w:rPr>
                <w:rFonts w:asciiTheme="majorHAnsi" w:hAnsiTheme="majorHAnsi" w:cstheme="majorHAnsi"/>
                <w:b/>
                <w:bCs/>
                <w:color w:val="000000" w:themeColor="text1"/>
                <w:sz w:val="20"/>
                <w:szCs w:val="20"/>
              </w:rPr>
            </w:pPr>
            <w:r w:rsidRPr="004B064D">
              <w:rPr>
                <w:rFonts w:asciiTheme="majorHAnsi" w:hAnsiTheme="majorHAnsi" w:cstheme="majorHAnsi"/>
                <w:b/>
                <w:bCs/>
                <w:color w:val="000000" w:themeColor="text1"/>
                <w:sz w:val="20"/>
                <w:szCs w:val="20"/>
              </w:rPr>
              <w:t>Immediate Outcome (IO)</w:t>
            </w:r>
          </w:p>
          <w:p w14:paraId="50AAA049" w14:textId="77777777" w:rsidR="00D65254" w:rsidRPr="004B064D" w:rsidRDefault="00D65254" w:rsidP="002320B3">
            <w:pPr>
              <w:pStyle w:val="NormalWeb"/>
              <w:spacing w:before="0" w:beforeAutospacing="0" w:after="0" w:afterAutospacing="0"/>
              <w:rPr>
                <w:rFonts w:asciiTheme="majorHAnsi" w:hAnsiTheme="majorHAnsi" w:cstheme="majorHAnsi"/>
                <w:b/>
                <w:bCs/>
                <w:color w:val="000000" w:themeColor="text1"/>
                <w:sz w:val="20"/>
                <w:szCs w:val="20"/>
              </w:rPr>
            </w:pPr>
            <w:r w:rsidRPr="004B064D">
              <w:rPr>
                <w:rFonts w:asciiTheme="majorHAnsi" w:hAnsiTheme="majorHAnsi" w:cstheme="majorHAnsi"/>
                <w:b/>
                <w:bCs/>
                <w:color w:val="000000" w:themeColor="text1"/>
                <w:sz w:val="20"/>
                <w:szCs w:val="20"/>
              </w:rPr>
              <w:t>(1)</w:t>
            </w:r>
          </w:p>
        </w:tc>
        <w:tc>
          <w:tcPr>
            <w:tcW w:w="1980" w:type="dxa"/>
          </w:tcPr>
          <w:p w14:paraId="3CD3F034" w14:textId="77777777" w:rsidR="00D65254" w:rsidRPr="004B064D" w:rsidRDefault="00D65254" w:rsidP="002320B3">
            <w:pPr>
              <w:pStyle w:val="NormalWeb"/>
              <w:spacing w:before="0" w:beforeAutospacing="0" w:after="0" w:afterAutospacing="0"/>
              <w:rPr>
                <w:rFonts w:asciiTheme="majorHAnsi" w:hAnsiTheme="majorHAnsi" w:cstheme="majorHAnsi"/>
                <w:b/>
                <w:bCs/>
                <w:color w:val="000000" w:themeColor="text1"/>
                <w:sz w:val="20"/>
                <w:szCs w:val="20"/>
              </w:rPr>
            </w:pPr>
            <w:r w:rsidRPr="004B064D">
              <w:rPr>
                <w:rFonts w:asciiTheme="majorHAnsi" w:hAnsiTheme="majorHAnsi" w:cstheme="majorHAnsi"/>
                <w:b/>
                <w:bCs/>
                <w:color w:val="000000" w:themeColor="text1"/>
                <w:sz w:val="20"/>
                <w:szCs w:val="20"/>
              </w:rPr>
              <w:t>Relevance of Program intervention</w:t>
            </w:r>
          </w:p>
          <w:p w14:paraId="29B2D302" w14:textId="77777777" w:rsidR="00D65254" w:rsidRPr="004B064D" w:rsidRDefault="00D65254" w:rsidP="002320B3">
            <w:pPr>
              <w:pStyle w:val="NormalWeb"/>
              <w:spacing w:before="0" w:beforeAutospacing="0" w:after="0" w:afterAutospacing="0"/>
              <w:rPr>
                <w:rFonts w:asciiTheme="majorHAnsi" w:hAnsiTheme="majorHAnsi" w:cstheme="majorHAnsi"/>
                <w:b/>
                <w:bCs/>
                <w:color w:val="000000" w:themeColor="text1"/>
                <w:sz w:val="20"/>
                <w:szCs w:val="20"/>
              </w:rPr>
            </w:pPr>
            <w:r w:rsidRPr="004B064D">
              <w:rPr>
                <w:rFonts w:asciiTheme="majorHAnsi" w:hAnsiTheme="majorHAnsi" w:cstheme="majorHAnsi"/>
                <w:b/>
                <w:bCs/>
                <w:color w:val="000000" w:themeColor="text1"/>
                <w:sz w:val="20"/>
                <w:szCs w:val="20"/>
              </w:rPr>
              <w:t>(3)</w:t>
            </w:r>
          </w:p>
        </w:tc>
        <w:tc>
          <w:tcPr>
            <w:tcW w:w="2070" w:type="dxa"/>
          </w:tcPr>
          <w:p w14:paraId="4C55BE94" w14:textId="77777777" w:rsidR="00D65254" w:rsidRPr="004B064D" w:rsidRDefault="00D65254" w:rsidP="002320B3">
            <w:pPr>
              <w:pStyle w:val="NormalWeb"/>
              <w:spacing w:before="0" w:beforeAutospacing="0" w:after="0" w:afterAutospacing="0"/>
              <w:rPr>
                <w:rFonts w:asciiTheme="majorHAnsi" w:hAnsiTheme="majorHAnsi" w:cstheme="majorHAnsi"/>
                <w:b/>
                <w:bCs/>
                <w:color w:val="000000" w:themeColor="text1"/>
                <w:sz w:val="20"/>
                <w:szCs w:val="20"/>
              </w:rPr>
            </w:pPr>
            <w:r w:rsidRPr="004B064D">
              <w:rPr>
                <w:rFonts w:asciiTheme="majorHAnsi" w:hAnsiTheme="majorHAnsi" w:cstheme="majorHAnsi"/>
                <w:b/>
                <w:bCs/>
                <w:color w:val="000000" w:themeColor="text1"/>
                <w:sz w:val="20"/>
                <w:szCs w:val="20"/>
              </w:rPr>
              <w:t>Contributions to Outcomes</w:t>
            </w:r>
          </w:p>
          <w:p w14:paraId="107D1F37" w14:textId="77777777" w:rsidR="00D65254" w:rsidRPr="004B064D" w:rsidRDefault="00D65254" w:rsidP="002320B3">
            <w:pPr>
              <w:pStyle w:val="NormalWeb"/>
              <w:spacing w:before="0" w:beforeAutospacing="0" w:after="0" w:afterAutospacing="0"/>
              <w:rPr>
                <w:rFonts w:asciiTheme="majorHAnsi" w:hAnsiTheme="majorHAnsi" w:cstheme="majorHAnsi"/>
                <w:b/>
                <w:bCs/>
                <w:color w:val="000000" w:themeColor="text1"/>
                <w:sz w:val="20"/>
                <w:szCs w:val="20"/>
              </w:rPr>
            </w:pPr>
            <w:r w:rsidRPr="004B064D">
              <w:rPr>
                <w:rFonts w:asciiTheme="majorHAnsi" w:hAnsiTheme="majorHAnsi" w:cstheme="majorHAnsi"/>
                <w:b/>
                <w:bCs/>
                <w:color w:val="000000" w:themeColor="text1"/>
                <w:sz w:val="20"/>
                <w:szCs w:val="20"/>
              </w:rPr>
              <w:t>(Effectiveness)</w:t>
            </w:r>
          </w:p>
          <w:p w14:paraId="2B234697" w14:textId="77777777" w:rsidR="00D65254" w:rsidRPr="004B064D" w:rsidRDefault="00D65254" w:rsidP="002320B3">
            <w:pPr>
              <w:pStyle w:val="NormalWeb"/>
              <w:spacing w:before="0" w:beforeAutospacing="0" w:after="0" w:afterAutospacing="0"/>
              <w:rPr>
                <w:rFonts w:asciiTheme="majorHAnsi" w:hAnsiTheme="majorHAnsi" w:cstheme="majorHAnsi"/>
                <w:b/>
                <w:bCs/>
                <w:color w:val="000000" w:themeColor="text1"/>
                <w:sz w:val="20"/>
                <w:szCs w:val="20"/>
              </w:rPr>
            </w:pPr>
            <w:r w:rsidRPr="004B064D">
              <w:rPr>
                <w:rFonts w:asciiTheme="majorHAnsi" w:hAnsiTheme="majorHAnsi" w:cstheme="majorHAnsi"/>
                <w:b/>
                <w:bCs/>
                <w:color w:val="000000" w:themeColor="text1"/>
                <w:sz w:val="20"/>
                <w:szCs w:val="20"/>
              </w:rPr>
              <w:t>(4)</w:t>
            </w:r>
          </w:p>
        </w:tc>
        <w:tc>
          <w:tcPr>
            <w:tcW w:w="1980" w:type="dxa"/>
          </w:tcPr>
          <w:p w14:paraId="0357DEE2" w14:textId="77777777" w:rsidR="00D65254" w:rsidRPr="004B064D" w:rsidRDefault="00D65254" w:rsidP="002320B3">
            <w:pPr>
              <w:pStyle w:val="NormalWeb"/>
              <w:spacing w:before="0" w:beforeAutospacing="0" w:after="0" w:afterAutospacing="0"/>
              <w:rPr>
                <w:rFonts w:asciiTheme="majorHAnsi" w:hAnsiTheme="majorHAnsi" w:cstheme="majorHAnsi"/>
                <w:b/>
                <w:bCs/>
                <w:color w:val="000000" w:themeColor="text1"/>
                <w:sz w:val="20"/>
                <w:szCs w:val="20"/>
              </w:rPr>
            </w:pPr>
            <w:r w:rsidRPr="004B064D">
              <w:rPr>
                <w:rFonts w:asciiTheme="majorHAnsi" w:hAnsiTheme="majorHAnsi" w:cstheme="majorHAnsi"/>
                <w:b/>
                <w:bCs/>
                <w:color w:val="000000" w:themeColor="text1"/>
                <w:sz w:val="20"/>
                <w:szCs w:val="20"/>
              </w:rPr>
              <w:t>Sustainability of Program Gains</w:t>
            </w:r>
          </w:p>
          <w:p w14:paraId="5D0E3747" w14:textId="77777777" w:rsidR="00D65254" w:rsidRPr="004B064D" w:rsidRDefault="00D65254" w:rsidP="002320B3">
            <w:pPr>
              <w:pStyle w:val="NormalWeb"/>
              <w:spacing w:before="0" w:beforeAutospacing="0" w:after="0" w:afterAutospacing="0"/>
              <w:rPr>
                <w:rFonts w:asciiTheme="majorHAnsi" w:hAnsiTheme="majorHAnsi" w:cstheme="majorHAnsi"/>
                <w:b/>
                <w:bCs/>
                <w:color w:val="000000" w:themeColor="text1"/>
                <w:sz w:val="20"/>
                <w:szCs w:val="20"/>
              </w:rPr>
            </w:pPr>
            <w:r w:rsidRPr="004B064D">
              <w:rPr>
                <w:rFonts w:asciiTheme="majorHAnsi" w:hAnsiTheme="majorHAnsi" w:cstheme="majorHAnsi"/>
                <w:b/>
                <w:bCs/>
                <w:color w:val="000000" w:themeColor="text1"/>
                <w:sz w:val="20"/>
                <w:szCs w:val="20"/>
              </w:rPr>
              <w:t>(5)</w:t>
            </w:r>
          </w:p>
        </w:tc>
      </w:tr>
      <w:tr w:rsidR="00D65254" w:rsidRPr="00F6352D" w14:paraId="1F491EBF" w14:textId="77777777" w:rsidTr="00FF4CA3">
        <w:trPr>
          <w:trHeight w:val="287"/>
        </w:trPr>
        <w:tc>
          <w:tcPr>
            <w:tcW w:w="2605" w:type="dxa"/>
            <w:tcBorders>
              <w:bottom w:val="nil"/>
            </w:tcBorders>
          </w:tcPr>
          <w:p w14:paraId="15A9B3F9" w14:textId="77777777" w:rsidR="00D65254" w:rsidRDefault="00D65254" w:rsidP="002320B3">
            <w:pPr>
              <w:pStyle w:val="NormalWeb"/>
              <w:spacing w:before="0" w:beforeAutospacing="0" w:after="0" w:afterAutospacing="0"/>
              <w:rPr>
                <w:rFonts w:asciiTheme="majorHAnsi" w:hAnsiTheme="majorHAnsi" w:cstheme="majorHAnsi"/>
                <w:color w:val="000000" w:themeColor="text1"/>
                <w:sz w:val="20"/>
                <w:szCs w:val="20"/>
              </w:rPr>
            </w:pPr>
          </w:p>
        </w:tc>
        <w:tc>
          <w:tcPr>
            <w:tcW w:w="5850" w:type="dxa"/>
          </w:tcPr>
          <w:p w14:paraId="74AAB0AD" w14:textId="77777777" w:rsidR="00D65254" w:rsidRPr="00B9716C" w:rsidRDefault="00D65254" w:rsidP="002320B3">
            <w:pPr>
              <w:rPr>
                <w:rFonts w:asciiTheme="majorHAnsi" w:hAnsiTheme="majorHAnsi" w:cstheme="majorHAnsi"/>
                <w:color w:val="000000" w:themeColor="text1"/>
                <w:sz w:val="20"/>
                <w:szCs w:val="20"/>
              </w:rPr>
            </w:pPr>
            <w:r w:rsidRPr="00F6352D">
              <w:rPr>
                <w:rFonts w:asciiTheme="majorHAnsi" w:hAnsiTheme="majorHAnsi" w:cstheme="majorHAnsi"/>
                <w:color w:val="000000" w:themeColor="text1"/>
                <w:sz w:val="20"/>
                <w:szCs w:val="20"/>
              </w:rPr>
              <w:t>EOPO1: More children are able to demonstrate improved mastery of curriculum competencies in (English, Mathematics and Science) and difference in learning outcomes for boys and girls are reduced in target areas</w:t>
            </w:r>
          </w:p>
        </w:tc>
        <w:tc>
          <w:tcPr>
            <w:tcW w:w="1980" w:type="dxa"/>
          </w:tcPr>
          <w:p w14:paraId="5348DD0D" w14:textId="77777777" w:rsidR="00D65254" w:rsidRDefault="00D65254" w:rsidP="002320B3">
            <w:pPr>
              <w:pStyle w:val="NormalWeb"/>
              <w:spacing w:before="0" w:beforeAutospacing="0" w:after="0" w:afterAutospacing="0"/>
              <w:rPr>
                <w:rFonts w:asciiTheme="majorHAnsi" w:hAnsiTheme="majorHAnsi" w:cstheme="majorHAnsi"/>
                <w:color w:val="000000" w:themeColor="text1"/>
                <w:sz w:val="20"/>
                <w:szCs w:val="20"/>
              </w:rPr>
            </w:pPr>
          </w:p>
        </w:tc>
        <w:tc>
          <w:tcPr>
            <w:tcW w:w="2070" w:type="dxa"/>
          </w:tcPr>
          <w:p w14:paraId="2D550D79" w14:textId="77777777" w:rsidR="00D65254" w:rsidRDefault="00D65254" w:rsidP="002320B3">
            <w:pPr>
              <w:pStyle w:val="NormalWeb"/>
              <w:spacing w:before="0" w:beforeAutospacing="0" w:after="0" w:afterAutospacing="0"/>
              <w:rPr>
                <w:rFonts w:asciiTheme="majorHAnsi" w:hAnsiTheme="majorHAnsi" w:cstheme="majorHAnsi"/>
                <w:color w:val="000000" w:themeColor="text1"/>
                <w:sz w:val="20"/>
                <w:szCs w:val="20"/>
              </w:rPr>
            </w:pPr>
            <w:r w:rsidRPr="00FF4CA3">
              <w:rPr>
                <w:rFonts w:asciiTheme="majorHAnsi" w:hAnsiTheme="majorHAnsi" w:cstheme="majorHAnsi"/>
                <w:color w:val="2E74B5" w:themeColor="accent5" w:themeShade="BF"/>
                <w:sz w:val="20"/>
                <w:szCs w:val="20"/>
              </w:rPr>
              <w:t>Not evident at this time</w:t>
            </w:r>
          </w:p>
        </w:tc>
        <w:tc>
          <w:tcPr>
            <w:tcW w:w="1980" w:type="dxa"/>
          </w:tcPr>
          <w:p w14:paraId="32F294F4" w14:textId="77777777" w:rsidR="00D65254" w:rsidRPr="00082AF8" w:rsidRDefault="00D65254" w:rsidP="002320B3">
            <w:pPr>
              <w:pStyle w:val="NormalWeb"/>
              <w:spacing w:before="0" w:beforeAutospacing="0" w:after="0" w:afterAutospacing="0"/>
              <w:rPr>
                <w:rFonts w:asciiTheme="majorHAnsi" w:hAnsiTheme="majorHAnsi" w:cstheme="majorHAnsi"/>
                <w:color w:val="000000" w:themeColor="text1"/>
                <w:sz w:val="20"/>
                <w:szCs w:val="20"/>
              </w:rPr>
            </w:pPr>
          </w:p>
        </w:tc>
      </w:tr>
      <w:tr w:rsidR="00D65254" w:rsidRPr="00F6352D" w14:paraId="4C338289" w14:textId="77777777" w:rsidTr="00FF4CA3">
        <w:trPr>
          <w:trHeight w:val="287"/>
        </w:trPr>
        <w:tc>
          <w:tcPr>
            <w:tcW w:w="2605" w:type="dxa"/>
            <w:tcBorders>
              <w:top w:val="nil"/>
              <w:bottom w:val="single" w:sz="4" w:space="0" w:color="auto"/>
            </w:tcBorders>
          </w:tcPr>
          <w:p w14:paraId="5FEF4438" w14:textId="77777777" w:rsidR="00D65254" w:rsidRDefault="00D65254" w:rsidP="002320B3">
            <w:pPr>
              <w:pStyle w:val="NormalWeb"/>
              <w:spacing w:before="0" w:beforeAutospacing="0" w:after="0" w:afterAutospacing="0"/>
              <w:rPr>
                <w:rFonts w:asciiTheme="majorHAnsi" w:hAnsiTheme="majorHAnsi" w:cstheme="majorHAnsi"/>
                <w:color w:val="000000" w:themeColor="text1"/>
                <w:sz w:val="20"/>
                <w:szCs w:val="20"/>
              </w:rPr>
            </w:pPr>
          </w:p>
        </w:tc>
        <w:tc>
          <w:tcPr>
            <w:tcW w:w="5850" w:type="dxa"/>
          </w:tcPr>
          <w:p w14:paraId="0C9CFD6A" w14:textId="77777777" w:rsidR="00D65254" w:rsidRPr="00B9716C" w:rsidRDefault="00D65254" w:rsidP="002320B3">
            <w:pPr>
              <w:rPr>
                <w:rFonts w:asciiTheme="majorHAnsi" w:hAnsiTheme="majorHAnsi" w:cstheme="majorHAnsi"/>
                <w:color w:val="000000" w:themeColor="text1"/>
                <w:sz w:val="20"/>
                <w:szCs w:val="20"/>
              </w:rPr>
            </w:pPr>
            <w:r w:rsidRPr="00F6352D">
              <w:rPr>
                <w:rFonts w:asciiTheme="majorHAnsi" w:eastAsiaTheme="minorHAnsi" w:hAnsiTheme="majorHAnsi" w:cstheme="majorHAnsi"/>
                <w:color w:val="000000" w:themeColor="text1"/>
                <w:sz w:val="20"/>
                <w:szCs w:val="20"/>
              </w:rPr>
              <w:t>InO1: Teachers, Education leaders and managers applying gender responsive evidence-based, contextualised approaches, methods and materials for student learning</w:t>
            </w:r>
          </w:p>
        </w:tc>
        <w:tc>
          <w:tcPr>
            <w:tcW w:w="1980" w:type="dxa"/>
          </w:tcPr>
          <w:p w14:paraId="7DB2716B" w14:textId="77777777" w:rsidR="00D65254" w:rsidRDefault="00D65254" w:rsidP="002320B3">
            <w:pPr>
              <w:pStyle w:val="NormalWeb"/>
              <w:spacing w:before="0" w:beforeAutospacing="0" w:after="0" w:afterAutospacing="0"/>
              <w:rPr>
                <w:rFonts w:asciiTheme="majorHAnsi" w:hAnsiTheme="majorHAnsi" w:cstheme="majorHAnsi"/>
                <w:color w:val="000000" w:themeColor="text1"/>
                <w:sz w:val="20"/>
                <w:szCs w:val="20"/>
              </w:rPr>
            </w:pPr>
          </w:p>
        </w:tc>
        <w:tc>
          <w:tcPr>
            <w:tcW w:w="2070" w:type="dxa"/>
          </w:tcPr>
          <w:p w14:paraId="41B612A0" w14:textId="77777777" w:rsidR="00D65254" w:rsidRPr="00493494" w:rsidRDefault="00D65254" w:rsidP="002320B3">
            <w:pPr>
              <w:pStyle w:val="NormalWeb"/>
              <w:spacing w:before="0" w:beforeAutospacing="0" w:after="0" w:afterAutospacing="0"/>
              <w:rPr>
                <w:rFonts w:ascii="Candara" w:hAnsi="Candara" w:cs="Calibri"/>
                <w:bCs/>
                <w:sz w:val="20"/>
                <w:szCs w:val="20"/>
              </w:rPr>
            </w:pPr>
            <w:r w:rsidRPr="00F6352D">
              <w:rPr>
                <w:rFonts w:asciiTheme="majorHAnsi" w:hAnsiTheme="majorHAnsi" w:cstheme="majorHAnsi"/>
                <w:color w:val="000000" w:themeColor="text1"/>
                <w:sz w:val="20"/>
                <w:szCs w:val="20"/>
              </w:rPr>
              <w:t xml:space="preserve"> </w:t>
            </w:r>
            <w:r w:rsidRPr="00493494">
              <w:rPr>
                <w:rFonts w:asciiTheme="majorHAnsi" w:hAnsiTheme="majorHAnsi" w:cstheme="majorHAnsi"/>
                <w:sz w:val="20"/>
                <w:szCs w:val="20"/>
              </w:rPr>
              <w:t>Significant</w:t>
            </w:r>
          </w:p>
          <w:p w14:paraId="00F56E9A" w14:textId="77777777" w:rsidR="00D65254" w:rsidRDefault="00D65254" w:rsidP="002320B3">
            <w:pPr>
              <w:pStyle w:val="NormalWeb"/>
              <w:spacing w:before="0" w:beforeAutospacing="0" w:after="0" w:afterAutospacing="0"/>
              <w:rPr>
                <w:rFonts w:asciiTheme="majorHAnsi" w:hAnsiTheme="majorHAnsi" w:cstheme="majorHAnsi"/>
                <w:color w:val="000000" w:themeColor="text1"/>
                <w:sz w:val="20"/>
                <w:szCs w:val="20"/>
              </w:rPr>
            </w:pPr>
          </w:p>
        </w:tc>
        <w:tc>
          <w:tcPr>
            <w:tcW w:w="1980" w:type="dxa"/>
          </w:tcPr>
          <w:p w14:paraId="62A0C1B1" w14:textId="77777777" w:rsidR="00D65254" w:rsidRPr="00082AF8" w:rsidRDefault="00D65254" w:rsidP="002320B3">
            <w:pPr>
              <w:pStyle w:val="NormalWeb"/>
              <w:spacing w:before="0" w:beforeAutospacing="0" w:after="0" w:afterAutospacing="0"/>
              <w:rPr>
                <w:rFonts w:asciiTheme="majorHAnsi" w:hAnsiTheme="majorHAnsi" w:cstheme="majorHAnsi"/>
                <w:color w:val="000000" w:themeColor="text1"/>
                <w:sz w:val="20"/>
                <w:szCs w:val="20"/>
              </w:rPr>
            </w:pPr>
          </w:p>
        </w:tc>
      </w:tr>
      <w:tr w:rsidR="00D65254" w:rsidRPr="00F6352D" w14:paraId="0FC8290D" w14:textId="77777777" w:rsidTr="00FF4CA3">
        <w:trPr>
          <w:trHeight w:val="287"/>
        </w:trPr>
        <w:tc>
          <w:tcPr>
            <w:tcW w:w="2605" w:type="dxa"/>
            <w:tcBorders>
              <w:bottom w:val="nil"/>
            </w:tcBorders>
          </w:tcPr>
          <w:p w14:paraId="545F09E9" w14:textId="0CFA61EE" w:rsidR="00D65254" w:rsidRDefault="00D65254" w:rsidP="003D2349">
            <w:pPr>
              <w:pStyle w:val="NormalWeb"/>
              <w:spacing w:before="0" w:beforeAutospacing="0" w:after="0" w:afterAutospacing="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Learning and Development (L</w:t>
            </w:r>
            <w:r w:rsidRPr="00F6352D">
              <w:rPr>
                <w:rFonts w:asciiTheme="majorHAnsi" w:hAnsiTheme="majorHAnsi" w:cstheme="majorHAnsi"/>
                <w:color w:val="000000" w:themeColor="text1"/>
                <w:sz w:val="20"/>
                <w:szCs w:val="20"/>
              </w:rPr>
              <w:t>&amp;D</w:t>
            </w:r>
            <w:r>
              <w:rPr>
                <w:rFonts w:asciiTheme="majorHAnsi" w:hAnsiTheme="majorHAnsi" w:cstheme="majorHAnsi"/>
                <w:color w:val="000000" w:themeColor="text1"/>
                <w:sz w:val="20"/>
                <w:szCs w:val="20"/>
              </w:rPr>
              <w:t>)</w:t>
            </w:r>
            <w:r w:rsidRPr="00F6352D">
              <w:rPr>
                <w:rFonts w:asciiTheme="majorHAnsi" w:hAnsiTheme="majorHAnsi" w:cstheme="majorHAnsi"/>
                <w:color w:val="000000" w:themeColor="text1"/>
                <w:sz w:val="20"/>
                <w:szCs w:val="20"/>
              </w:rPr>
              <w:t xml:space="preserve"> System</w:t>
            </w:r>
          </w:p>
        </w:tc>
        <w:tc>
          <w:tcPr>
            <w:tcW w:w="5850" w:type="dxa"/>
          </w:tcPr>
          <w:p w14:paraId="4506F67B" w14:textId="77777777" w:rsidR="00D65254" w:rsidRPr="00B9716C" w:rsidRDefault="00D65254" w:rsidP="002320B3">
            <w:pPr>
              <w:rPr>
                <w:rFonts w:asciiTheme="majorHAnsi" w:hAnsiTheme="majorHAnsi" w:cstheme="majorHAnsi"/>
                <w:color w:val="000000" w:themeColor="text1"/>
                <w:sz w:val="20"/>
                <w:szCs w:val="20"/>
              </w:rPr>
            </w:pPr>
            <w:r w:rsidRPr="00B9716C">
              <w:rPr>
                <w:rFonts w:asciiTheme="majorHAnsi" w:hAnsiTheme="majorHAnsi" w:cstheme="majorHAnsi"/>
                <w:color w:val="000000" w:themeColor="text1"/>
                <w:sz w:val="20"/>
                <w:szCs w:val="20"/>
              </w:rPr>
              <w:t>IO1:</w:t>
            </w:r>
            <w:r w:rsidRPr="00B9716C">
              <w:rPr>
                <w:rFonts w:asciiTheme="majorHAnsi" w:hAnsiTheme="majorHAnsi" w:cstheme="majorHAnsi"/>
                <w:color w:val="000000" w:themeColor="text1"/>
                <w:sz w:val="20"/>
                <w:szCs w:val="20"/>
                <w:shd w:val="clear" w:color="auto" w:fill="FFFFFF"/>
              </w:rPr>
              <w:t xml:space="preserve"> </w:t>
            </w:r>
            <w:r w:rsidRPr="00B9716C">
              <w:rPr>
                <w:rFonts w:asciiTheme="majorHAnsi" w:hAnsiTheme="majorHAnsi" w:cstheme="majorHAnsi"/>
                <w:color w:val="000000" w:themeColor="text1"/>
                <w:sz w:val="20"/>
                <w:szCs w:val="20"/>
              </w:rPr>
              <w:t>Teachers are better qualified and capable to deliver the curriculum</w:t>
            </w:r>
          </w:p>
        </w:tc>
        <w:tc>
          <w:tcPr>
            <w:tcW w:w="1980" w:type="dxa"/>
          </w:tcPr>
          <w:p w14:paraId="372AA553" w14:textId="77777777" w:rsidR="00D65254" w:rsidRPr="00F6352D" w:rsidRDefault="00D65254" w:rsidP="002320B3">
            <w:pPr>
              <w:pStyle w:val="NormalWeb"/>
              <w:spacing w:before="0" w:beforeAutospacing="0" w:after="0" w:afterAutospacing="0"/>
              <w:rPr>
                <w:rFonts w:asciiTheme="majorHAnsi" w:hAnsiTheme="majorHAnsi" w:cstheme="majorHAnsi"/>
                <w:color w:val="000000" w:themeColor="text1"/>
                <w:sz w:val="20"/>
                <w:szCs w:val="20"/>
              </w:rPr>
            </w:pPr>
            <w:r w:rsidRPr="005E5133">
              <w:rPr>
                <w:rFonts w:asciiTheme="majorHAnsi" w:hAnsiTheme="majorHAnsi" w:cstheme="majorHAnsi"/>
                <w:color w:val="538135" w:themeColor="accent6" w:themeShade="BF"/>
                <w:sz w:val="20"/>
                <w:szCs w:val="20"/>
              </w:rPr>
              <w:t>Highly relevant</w:t>
            </w:r>
          </w:p>
        </w:tc>
        <w:tc>
          <w:tcPr>
            <w:tcW w:w="2070" w:type="dxa"/>
          </w:tcPr>
          <w:p w14:paraId="7A15366B" w14:textId="77777777" w:rsidR="00D65254" w:rsidRPr="00F6352D" w:rsidRDefault="00D65254" w:rsidP="002320B3">
            <w:pPr>
              <w:pStyle w:val="NormalWeb"/>
              <w:spacing w:before="0" w:beforeAutospacing="0" w:after="0" w:afterAutospacing="0"/>
              <w:rPr>
                <w:rFonts w:asciiTheme="majorHAnsi" w:hAnsiTheme="majorHAnsi" w:cstheme="majorHAnsi"/>
                <w:color w:val="000000" w:themeColor="text1"/>
                <w:sz w:val="20"/>
                <w:szCs w:val="20"/>
              </w:rPr>
            </w:pPr>
            <w:r w:rsidRPr="00493494">
              <w:rPr>
                <w:rFonts w:asciiTheme="majorHAnsi" w:hAnsiTheme="majorHAnsi" w:cstheme="majorHAnsi"/>
                <w:sz w:val="20"/>
                <w:szCs w:val="20"/>
              </w:rPr>
              <w:t>Significant</w:t>
            </w:r>
          </w:p>
        </w:tc>
        <w:tc>
          <w:tcPr>
            <w:tcW w:w="1980" w:type="dxa"/>
          </w:tcPr>
          <w:p w14:paraId="1AD59BD6" w14:textId="77777777" w:rsidR="00D65254" w:rsidRPr="00F6352D" w:rsidRDefault="00D65254" w:rsidP="002320B3">
            <w:pPr>
              <w:pStyle w:val="NormalWeb"/>
              <w:spacing w:before="0" w:beforeAutospacing="0" w:after="0" w:afterAutospacing="0"/>
              <w:rPr>
                <w:rFonts w:asciiTheme="majorHAnsi" w:hAnsiTheme="majorHAnsi" w:cstheme="majorHAnsi"/>
                <w:color w:val="000000" w:themeColor="text1"/>
                <w:sz w:val="20"/>
                <w:szCs w:val="20"/>
              </w:rPr>
            </w:pPr>
            <w:r w:rsidRPr="00493494">
              <w:rPr>
                <w:rFonts w:asciiTheme="majorHAnsi" w:hAnsiTheme="majorHAnsi" w:cstheme="majorHAnsi"/>
                <w:sz w:val="20"/>
                <w:szCs w:val="20"/>
              </w:rPr>
              <w:t>High likelihood</w:t>
            </w:r>
          </w:p>
        </w:tc>
      </w:tr>
      <w:tr w:rsidR="00D65254" w:rsidRPr="00F6352D" w14:paraId="106B2CA8" w14:textId="77777777" w:rsidTr="00FF4CA3">
        <w:trPr>
          <w:trHeight w:val="60"/>
        </w:trPr>
        <w:tc>
          <w:tcPr>
            <w:tcW w:w="2605" w:type="dxa"/>
            <w:tcBorders>
              <w:top w:val="nil"/>
              <w:bottom w:val="nil"/>
            </w:tcBorders>
          </w:tcPr>
          <w:p w14:paraId="32B26351" w14:textId="77777777" w:rsidR="00D65254" w:rsidRDefault="00D65254" w:rsidP="002320B3">
            <w:pPr>
              <w:pStyle w:val="NormalWeb"/>
              <w:spacing w:before="0" w:beforeAutospacing="0" w:after="0" w:afterAutospacing="0"/>
              <w:rPr>
                <w:rFonts w:asciiTheme="majorHAnsi" w:hAnsiTheme="majorHAnsi" w:cstheme="majorHAnsi"/>
                <w:color w:val="000000" w:themeColor="text1"/>
                <w:sz w:val="20"/>
                <w:szCs w:val="20"/>
              </w:rPr>
            </w:pPr>
          </w:p>
        </w:tc>
        <w:tc>
          <w:tcPr>
            <w:tcW w:w="5850" w:type="dxa"/>
          </w:tcPr>
          <w:p w14:paraId="5F18C272" w14:textId="77777777" w:rsidR="00D65254" w:rsidRPr="00B9716C" w:rsidRDefault="00D65254" w:rsidP="002320B3">
            <w:pPr>
              <w:rPr>
                <w:rFonts w:asciiTheme="majorHAnsi" w:hAnsiTheme="majorHAnsi" w:cstheme="majorHAnsi"/>
                <w:color w:val="000000" w:themeColor="text1"/>
                <w:sz w:val="20"/>
                <w:szCs w:val="20"/>
              </w:rPr>
            </w:pPr>
            <w:r w:rsidRPr="00B9716C">
              <w:rPr>
                <w:rFonts w:asciiTheme="majorHAnsi" w:hAnsiTheme="majorHAnsi" w:cstheme="majorHAnsi"/>
                <w:color w:val="000000" w:themeColor="text1"/>
                <w:sz w:val="20"/>
                <w:szCs w:val="20"/>
              </w:rPr>
              <w:t>IO2: Education leaders and managers have strengthened capacity to implement school-based learning outcomes initiatives</w:t>
            </w:r>
          </w:p>
        </w:tc>
        <w:tc>
          <w:tcPr>
            <w:tcW w:w="1980" w:type="dxa"/>
          </w:tcPr>
          <w:p w14:paraId="53E87910" w14:textId="77777777" w:rsidR="00D65254" w:rsidRPr="00F6352D" w:rsidRDefault="00D65254" w:rsidP="002320B3">
            <w:pPr>
              <w:pStyle w:val="NormalWeb"/>
              <w:spacing w:before="0" w:beforeAutospacing="0" w:after="0" w:afterAutospacing="0"/>
              <w:rPr>
                <w:rFonts w:asciiTheme="majorHAnsi" w:hAnsiTheme="majorHAnsi" w:cstheme="majorHAnsi"/>
                <w:color w:val="000000" w:themeColor="text1"/>
                <w:sz w:val="20"/>
                <w:szCs w:val="20"/>
              </w:rPr>
            </w:pPr>
            <w:r w:rsidRPr="005E5133">
              <w:rPr>
                <w:rFonts w:asciiTheme="majorHAnsi" w:hAnsiTheme="majorHAnsi" w:cstheme="majorHAnsi"/>
                <w:sz w:val="20"/>
                <w:szCs w:val="20"/>
              </w:rPr>
              <w:t>Relevant</w:t>
            </w:r>
          </w:p>
        </w:tc>
        <w:tc>
          <w:tcPr>
            <w:tcW w:w="2070" w:type="dxa"/>
          </w:tcPr>
          <w:p w14:paraId="18793900" w14:textId="77777777" w:rsidR="00D65254" w:rsidRPr="00F6352D" w:rsidRDefault="00D65254" w:rsidP="002320B3">
            <w:pPr>
              <w:pStyle w:val="NormalWeb"/>
              <w:spacing w:before="0" w:beforeAutospacing="0" w:after="0" w:afterAutospacing="0"/>
              <w:rPr>
                <w:rFonts w:asciiTheme="majorHAnsi" w:hAnsiTheme="majorHAnsi" w:cstheme="majorHAnsi"/>
                <w:color w:val="000000" w:themeColor="text1"/>
                <w:sz w:val="20"/>
                <w:szCs w:val="20"/>
              </w:rPr>
            </w:pPr>
            <w:r w:rsidRPr="00950A14">
              <w:rPr>
                <w:rFonts w:asciiTheme="majorHAnsi" w:hAnsiTheme="majorHAnsi" w:cstheme="majorHAnsi"/>
                <w:color w:val="000000" w:themeColor="text1"/>
                <w:sz w:val="20"/>
                <w:szCs w:val="20"/>
              </w:rPr>
              <w:t>Considerable</w:t>
            </w:r>
          </w:p>
        </w:tc>
        <w:tc>
          <w:tcPr>
            <w:tcW w:w="1980" w:type="dxa"/>
          </w:tcPr>
          <w:p w14:paraId="7D8C74D6" w14:textId="77777777" w:rsidR="00D65254" w:rsidRPr="00F6352D" w:rsidRDefault="00D65254" w:rsidP="002320B3">
            <w:pPr>
              <w:pStyle w:val="NormalWeb"/>
              <w:spacing w:before="0" w:beforeAutospacing="0" w:after="0" w:afterAutospacing="0"/>
              <w:rPr>
                <w:rFonts w:asciiTheme="majorHAnsi" w:hAnsiTheme="majorHAnsi" w:cstheme="majorHAnsi"/>
                <w:color w:val="000000" w:themeColor="text1"/>
                <w:sz w:val="20"/>
                <w:szCs w:val="20"/>
              </w:rPr>
            </w:pPr>
            <w:r w:rsidRPr="00950A14">
              <w:rPr>
                <w:rFonts w:asciiTheme="majorHAnsi" w:hAnsiTheme="majorHAnsi" w:cstheme="majorHAnsi"/>
                <w:color w:val="538135" w:themeColor="accent6" w:themeShade="BF"/>
                <w:sz w:val="20"/>
                <w:szCs w:val="20"/>
              </w:rPr>
              <w:t>Very high likelihood</w:t>
            </w:r>
          </w:p>
        </w:tc>
      </w:tr>
      <w:tr w:rsidR="00D65254" w:rsidRPr="00F6352D" w14:paraId="601226ED" w14:textId="77777777" w:rsidTr="00FF4CA3">
        <w:trPr>
          <w:trHeight w:val="60"/>
        </w:trPr>
        <w:tc>
          <w:tcPr>
            <w:tcW w:w="2605" w:type="dxa"/>
            <w:tcBorders>
              <w:top w:val="nil"/>
              <w:bottom w:val="single" w:sz="4" w:space="0" w:color="auto"/>
            </w:tcBorders>
          </w:tcPr>
          <w:p w14:paraId="28869901" w14:textId="77777777" w:rsidR="00D65254" w:rsidRDefault="00D65254" w:rsidP="002320B3">
            <w:pPr>
              <w:pStyle w:val="NormalWeb"/>
              <w:spacing w:before="0" w:beforeAutospacing="0" w:after="0" w:afterAutospacing="0"/>
              <w:rPr>
                <w:rFonts w:asciiTheme="majorHAnsi" w:hAnsiTheme="majorHAnsi" w:cstheme="majorHAnsi"/>
                <w:color w:val="000000" w:themeColor="text1"/>
                <w:sz w:val="20"/>
                <w:szCs w:val="20"/>
              </w:rPr>
            </w:pPr>
          </w:p>
        </w:tc>
        <w:tc>
          <w:tcPr>
            <w:tcW w:w="5850" w:type="dxa"/>
          </w:tcPr>
          <w:p w14:paraId="704B274F" w14:textId="77777777" w:rsidR="00D65254" w:rsidRPr="00B9716C" w:rsidRDefault="00D65254" w:rsidP="002320B3">
            <w:pPr>
              <w:rPr>
                <w:rFonts w:asciiTheme="majorHAnsi" w:eastAsiaTheme="minorHAnsi" w:hAnsiTheme="majorHAnsi" w:cstheme="majorHAnsi"/>
                <w:color w:val="000000" w:themeColor="text1"/>
                <w:sz w:val="20"/>
                <w:szCs w:val="20"/>
              </w:rPr>
            </w:pPr>
            <w:r w:rsidRPr="00B9716C">
              <w:rPr>
                <w:rFonts w:asciiTheme="majorHAnsi" w:hAnsiTheme="majorHAnsi" w:cstheme="majorHAnsi"/>
                <w:color w:val="000000" w:themeColor="text1"/>
                <w:sz w:val="20"/>
                <w:szCs w:val="20"/>
              </w:rPr>
              <w:t>IO4: Appropriate learning and teaching materials are available and more accessible</w:t>
            </w:r>
          </w:p>
        </w:tc>
        <w:tc>
          <w:tcPr>
            <w:tcW w:w="1980" w:type="dxa"/>
          </w:tcPr>
          <w:p w14:paraId="0E2FEA3A" w14:textId="77777777" w:rsidR="00D65254" w:rsidRPr="00F6352D" w:rsidRDefault="00D65254" w:rsidP="002320B3">
            <w:pPr>
              <w:pStyle w:val="NormalWeb"/>
              <w:spacing w:before="0" w:beforeAutospacing="0" w:after="0" w:afterAutospacing="0"/>
              <w:rPr>
                <w:rFonts w:asciiTheme="majorHAnsi" w:hAnsiTheme="majorHAnsi" w:cstheme="majorHAnsi"/>
                <w:color w:val="000000" w:themeColor="text1"/>
                <w:sz w:val="20"/>
                <w:szCs w:val="20"/>
              </w:rPr>
            </w:pPr>
            <w:r w:rsidRPr="005E5133">
              <w:rPr>
                <w:rFonts w:asciiTheme="majorHAnsi" w:hAnsiTheme="majorHAnsi" w:cstheme="majorHAnsi"/>
                <w:sz w:val="20"/>
                <w:szCs w:val="20"/>
              </w:rPr>
              <w:t>Relevant</w:t>
            </w:r>
          </w:p>
        </w:tc>
        <w:tc>
          <w:tcPr>
            <w:tcW w:w="2070" w:type="dxa"/>
          </w:tcPr>
          <w:p w14:paraId="5F397588" w14:textId="77777777" w:rsidR="00D65254" w:rsidRPr="00F6352D" w:rsidRDefault="00D65254" w:rsidP="002320B3">
            <w:pPr>
              <w:pStyle w:val="NormalWeb"/>
              <w:spacing w:before="0" w:beforeAutospacing="0" w:after="0" w:afterAutospacing="0"/>
              <w:rPr>
                <w:rFonts w:asciiTheme="majorHAnsi" w:hAnsiTheme="majorHAnsi" w:cstheme="majorHAnsi"/>
                <w:color w:val="000000" w:themeColor="text1"/>
                <w:sz w:val="20"/>
                <w:szCs w:val="20"/>
              </w:rPr>
            </w:pPr>
            <w:r w:rsidRPr="00493494">
              <w:rPr>
                <w:rFonts w:asciiTheme="majorHAnsi" w:hAnsiTheme="majorHAnsi" w:cstheme="majorHAnsi"/>
                <w:sz w:val="20"/>
                <w:szCs w:val="20"/>
              </w:rPr>
              <w:t>Significant</w:t>
            </w:r>
          </w:p>
        </w:tc>
        <w:tc>
          <w:tcPr>
            <w:tcW w:w="1980" w:type="dxa"/>
          </w:tcPr>
          <w:p w14:paraId="3A5EC0AB" w14:textId="77777777" w:rsidR="00D65254" w:rsidRPr="00F6352D" w:rsidRDefault="00D65254" w:rsidP="002320B3">
            <w:pPr>
              <w:pStyle w:val="NormalWeb"/>
              <w:spacing w:before="0" w:beforeAutospacing="0" w:after="0" w:afterAutospacing="0"/>
              <w:rPr>
                <w:rFonts w:asciiTheme="majorHAnsi" w:hAnsiTheme="majorHAnsi" w:cstheme="majorHAnsi"/>
                <w:color w:val="000000" w:themeColor="text1"/>
                <w:sz w:val="20"/>
                <w:szCs w:val="20"/>
              </w:rPr>
            </w:pPr>
            <w:r w:rsidRPr="00950A14">
              <w:rPr>
                <w:rFonts w:asciiTheme="majorHAnsi" w:hAnsiTheme="majorHAnsi" w:cstheme="majorHAnsi"/>
                <w:color w:val="000000" w:themeColor="text1"/>
                <w:sz w:val="20"/>
                <w:szCs w:val="20"/>
              </w:rPr>
              <w:t>Moderate likelihood</w:t>
            </w:r>
          </w:p>
        </w:tc>
      </w:tr>
      <w:tr w:rsidR="00D65254" w:rsidRPr="00F6352D" w14:paraId="62ECC9E8" w14:textId="77777777" w:rsidTr="00FF4CA3">
        <w:trPr>
          <w:trHeight w:val="548"/>
        </w:trPr>
        <w:tc>
          <w:tcPr>
            <w:tcW w:w="2605" w:type="dxa"/>
            <w:tcBorders>
              <w:bottom w:val="nil"/>
            </w:tcBorders>
          </w:tcPr>
          <w:p w14:paraId="058CA3BB" w14:textId="244F21C9" w:rsidR="00D65254" w:rsidRDefault="00D65254" w:rsidP="002320B3">
            <w:pPr>
              <w:pStyle w:val="NormalWeb"/>
              <w:numPr>
                <w:ilvl w:val="0"/>
                <w:numId w:val="32"/>
              </w:numPr>
              <w:spacing w:before="0" w:beforeAutospacing="0" w:after="0" w:afterAutospacing="0"/>
              <w:ind w:left="510" w:hanging="453"/>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Philippine Professional Standards for Teachers (</w:t>
            </w:r>
            <w:r w:rsidRPr="00F6352D">
              <w:rPr>
                <w:rFonts w:asciiTheme="majorHAnsi" w:hAnsiTheme="majorHAnsi" w:cstheme="majorHAnsi"/>
                <w:color w:val="000000" w:themeColor="text1"/>
                <w:sz w:val="20"/>
                <w:szCs w:val="20"/>
              </w:rPr>
              <w:t>PPST</w:t>
            </w:r>
            <w:r>
              <w:rPr>
                <w:rFonts w:asciiTheme="majorHAnsi" w:hAnsiTheme="majorHAnsi" w:cstheme="majorHAnsi"/>
                <w:color w:val="000000" w:themeColor="text1"/>
                <w:sz w:val="20"/>
                <w:szCs w:val="20"/>
              </w:rPr>
              <w:t>)</w:t>
            </w:r>
          </w:p>
        </w:tc>
        <w:tc>
          <w:tcPr>
            <w:tcW w:w="5850" w:type="dxa"/>
          </w:tcPr>
          <w:p w14:paraId="5B9B9CCB" w14:textId="77777777" w:rsidR="00D65254" w:rsidRPr="00B9716C" w:rsidRDefault="00D65254" w:rsidP="002320B3">
            <w:pPr>
              <w:rPr>
                <w:rFonts w:asciiTheme="majorHAnsi" w:hAnsiTheme="majorHAnsi" w:cstheme="majorHAnsi"/>
                <w:color w:val="000000" w:themeColor="text1"/>
                <w:sz w:val="20"/>
                <w:szCs w:val="20"/>
              </w:rPr>
            </w:pPr>
            <w:r w:rsidRPr="00B9716C">
              <w:rPr>
                <w:rFonts w:asciiTheme="majorHAnsi" w:hAnsiTheme="majorHAnsi" w:cstheme="majorHAnsi"/>
                <w:color w:val="000000" w:themeColor="text1"/>
                <w:sz w:val="20"/>
                <w:szCs w:val="20"/>
              </w:rPr>
              <w:t>IO1: Teachers are better qualified and capable to deliver the curriculum</w:t>
            </w:r>
          </w:p>
        </w:tc>
        <w:tc>
          <w:tcPr>
            <w:tcW w:w="1980" w:type="dxa"/>
          </w:tcPr>
          <w:p w14:paraId="7BDAF9E6" w14:textId="77777777" w:rsidR="00D65254" w:rsidRPr="00F6352D" w:rsidRDefault="00D65254" w:rsidP="002320B3">
            <w:pPr>
              <w:pStyle w:val="NormalWeb"/>
              <w:spacing w:before="0" w:beforeAutospacing="0" w:after="0" w:afterAutospacing="0"/>
              <w:rPr>
                <w:rFonts w:asciiTheme="majorHAnsi" w:hAnsiTheme="majorHAnsi" w:cstheme="majorHAnsi"/>
                <w:color w:val="000000" w:themeColor="text1"/>
                <w:sz w:val="20"/>
                <w:szCs w:val="20"/>
              </w:rPr>
            </w:pPr>
            <w:r w:rsidRPr="005E5133">
              <w:rPr>
                <w:rFonts w:asciiTheme="majorHAnsi" w:hAnsiTheme="majorHAnsi" w:cstheme="majorHAnsi"/>
                <w:color w:val="538135" w:themeColor="accent6" w:themeShade="BF"/>
                <w:sz w:val="20"/>
                <w:szCs w:val="20"/>
              </w:rPr>
              <w:t>Highly relevant</w:t>
            </w:r>
          </w:p>
        </w:tc>
        <w:tc>
          <w:tcPr>
            <w:tcW w:w="2070" w:type="dxa"/>
          </w:tcPr>
          <w:p w14:paraId="1AB1EAD0" w14:textId="77777777" w:rsidR="00D65254" w:rsidRPr="00F6352D" w:rsidRDefault="00D65254" w:rsidP="002320B3">
            <w:pPr>
              <w:pStyle w:val="NormalWeb"/>
              <w:spacing w:before="0" w:beforeAutospacing="0" w:after="0" w:afterAutospacing="0"/>
              <w:rPr>
                <w:rFonts w:asciiTheme="majorHAnsi" w:hAnsiTheme="majorHAnsi" w:cstheme="majorHAnsi"/>
                <w:color w:val="000000" w:themeColor="text1"/>
                <w:sz w:val="20"/>
                <w:szCs w:val="20"/>
              </w:rPr>
            </w:pPr>
            <w:r w:rsidRPr="00493494">
              <w:rPr>
                <w:rFonts w:asciiTheme="majorHAnsi" w:hAnsiTheme="majorHAnsi" w:cstheme="majorHAnsi"/>
                <w:color w:val="538135" w:themeColor="accent6" w:themeShade="BF"/>
                <w:sz w:val="20"/>
                <w:szCs w:val="20"/>
              </w:rPr>
              <w:t>Highly significant</w:t>
            </w:r>
          </w:p>
        </w:tc>
        <w:tc>
          <w:tcPr>
            <w:tcW w:w="1980" w:type="dxa"/>
          </w:tcPr>
          <w:p w14:paraId="3689E396" w14:textId="77777777" w:rsidR="00D65254" w:rsidRPr="00F6352D" w:rsidRDefault="00D65254" w:rsidP="002320B3">
            <w:pPr>
              <w:pStyle w:val="NormalWeb"/>
              <w:spacing w:before="0" w:beforeAutospacing="0" w:after="0" w:afterAutospacing="0"/>
              <w:rPr>
                <w:rFonts w:asciiTheme="majorHAnsi" w:hAnsiTheme="majorHAnsi" w:cstheme="majorHAnsi"/>
                <w:color w:val="000000" w:themeColor="text1"/>
                <w:sz w:val="20"/>
                <w:szCs w:val="20"/>
              </w:rPr>
            </w:pPr>
            <w:r w:rsidRPr="00950A14">
              <w:rPr>
                <w:rFonts w:asciiTheme="majorHAnsi" w:hAnsiTheme="majorHAnsi" w:cstheme="majorHAnsi"/>
                <w:color w:val="538135" w:themeColor="accent6" w:themeShade="BF"/>
                <w:sz w:val="20"/>
                <w:szCs w:val="20"/>
              </w:rPr>
              <w:t>Very high likelihood</w:t>
            </w:r>
          </w:p>
        </w:tc>
      </w:tr>
      <w:tr w:rsidR="00D65254" w:rsidRPr="00F6352D" w14:paraId="7A3928E8" w14:textId="77777777" w:rsidTr="00FF4CA3">
        <w:trPr>
          <w:trHeight w:val="548"/>
        </w:trPr>
        <w:tc>
          <w:tcPr>
            <w:tcW w:w="2605" w:type="dxa"/>
            <w:tcBorders>
              <w:top w:val="nil"/>
              <w:bottom w:val="single" w:sz="4" w:space="0" w:color="auto"/>
            </w:tcBorders>
          </w:tcPr>
          <w:p w14:paraId="2730598F" w14:textId="77777777" w:rsidR="00D65254" w:rsidRDefault="00D65254" w:rsidP="002320B3">
            <w:pPr>
              <w:pStyle w:val="NormalWeb"/>
              <w:spacing w:before="0" w:beforeAutospacing="0" w:after="0" w:afterAutospacing="0"/>
              <w:rPr>
                <w:rFonts w:asciiTheme="majorHAnsi" w:hAnsiTheme="majorHAnsi" w:cstheme="majorHAnsi"/>
                <w:color w:val="000000" w:themeColor="text1"/>
                <w:sz w:val="20"/>
                <w:szCs w:val="20"/>
              </w:rPr>
            </w:pPr>
          </w:p>
        </w:tc>
        <w:tc>
          <w:tcPr>
            <w:tcW w:w="5850" w:type="dxa"/>
          </w:tcPr>
          <w:p w14:paraId="020F17B2" w14:textId="77777777" w:rsidR="00D65254" w:rsidRPr="00B9716C" w:rsidRDefault="00D65254" w:rsidP="002320B3">
            <w:pPr>
              <w:rPr>
                <w:rFonts w:asciiTheme="majorHAnsi" w:hAnsiTheme="majorHAnsi" w:cstheme="majorHAnsi"/>
                <w:color w:val="000000" w:themeColor="text1"/>
                <w:sz w:val="20"/>
                <w:szCs w:val="20"/>
              </w:rPr>
            </w:pPr>
            <w:r w:rsidRPr="00B9716C">
              <w:rPr>
                <w:rFonts w:asciiTheme="majorHAnsi" w:hAnsiTheme="majorHAnsi" w:cstheme="majorHAnsi"/>
                <w:color w:val="000000" w:themeColor="text1"/>
                <w:sz w:val="20"/>
                <w:szCs w:val="20"/>
              </w:rPr>
              <w:t>IO2: Education leaders and managers have strengthened capacity to implement school-based learning outcomes initiatives</w:t>
            </w:r>
          </w:p>
        </w:tc>
        <w:tc>
          <w:tcPr>
            <w:tcW w:w="1980" w:type="dxa"/>
          </w:tcPr>
          <w:p w14:paraId="180CA869" w14:textId="77777777" w:rsidR="00D65254" w:rsidRPr="00F6352D" w:rsidRDefault="00D65254" w:rsidP="002320B3">
            <w:pPr>
              <w:pStyle w:val="NormalWeb"/>
              <w:spacing w:before="0" w:beforeAutospacing="0" w:after="0" w:afterAutospacing="0"/>
              <w:rPr>
                <w:rFonts w:asciiTheme="majorHAnsi" w:hAnsiTheme="majorHAnsi" w:cstheme="majorHAnsi"/>
                <w:color w:val="000000" w:themeColor="text1"/>
                <w:sz w:val="20"/>
                <w:szCs w:val="20"/>
              </w:rPr>
            </w:pPr>
            <w:r w:rsidRPr="005E5133">
              <w:rPr>
                <w:rFonts w:asciiTheme="majorHAnsi" w:hAnsiTheme="majorHAnsi" w:cstheme="majorHAnsi"/>
                <w:sz w:val="20"/>
                <w:szCs w:val="20"/>
              </w:rPr>
              <w:t>Relevant</w:t>
            </w:r>
          </w:p>
        </w:tc>
        <w:tc>
          <w:tcPr>
            <w:tcW w:w="2070" w:type="dxa"/>
          </w:tcPr>
          <w:p w14:paraId="38A58616" w14:textId="77777777" w:rsidR="00D65254" w:rsidRPr="00F6352D" w:rsidRDefault="00D65254" w:rsidP="002320B3">
            <w:pPr>
              <w:pStyle w:val="NormalWeb"/>
              <w:spacing w:before="0" w:beforeAutospacing="0" w:after="0" w:afterAutospacing="0"/>
              <w:rPr>
                <w:rFonts w:asciiTheme="majorHAnsi" w:hAnsiTheme="majorHAnsi" w:cstheme="majorHAnsi"/>
                <w:color w:val="000000" w:themeColor="text1"/>
                <w:sz w:val="20"/>
                <w:szCs w:val="20"/>
              </w:rPr>
            </w:pPr>
            <w:r w:rsidRPr="00950A14">
              <w:rPr>
                <w:rFonts w:asciiTheme="majorHAnsi" w:hAnsiTheme="majorHAnsi" w:cstheme="majorHAnsi"/>
                <w:color w:val="000000" w:themeColor="text1"/>
                <w:sz w:val="20"/>
                <w:szCs w:val="20"/>
              </w:rPr>
              <w:t>Considerable</w:t>
            </w:r>
          </w:p>
        </w:tc>
        <w:tc>
          <w:tcPr>
            <w:tcW w:w="1980" w:type="dxa"/>
          </w:tcPr>
          <w:p w14:paraId="4115BE7A" w14:textId="77777777" w:rsidR="00D65254" w:rsidRPr="00493494" w:rsidRDefault="00D65254" w:rsidP="002320B3">
            <w:pPr>
              <w:pStyle w:val="NormalWeb"/>
              <w:spacing w:before="0" w:beforeAutospacing="0" w:after="0" w:afterAutospacing="0"/>
              <w:rPr>
                <w:rFonts w:asciiTheme="majorHAnsi" w:hAnsiTheme="majorHAnsi" w:cstheme="majorHAnsi"/>
                <w:color w:val="C45911" w:themeColor="accent2" w:themeShade="BF"/>
                <w:sz w:val="20"/>
                <w:szCs w:val="20"/>
              </w:rPr>
            </w:pPr>
            <w:r w:rsidRPr="00950A14">
              <w:rPr>
                <w:rFonts w:asciiTheme="majorHAnsi" w:hAnsiTheme="majorHAnsi" w:cstheme="majorHAnsi"/>
                <w:color w:val="000000" w:themeColor="text1"/>
                <w:sz w:val="20"/>
                <w:szCs w:val="20"/>
              </w:rPr>
              <w:t>Moderate likelihood</w:t>
            </w:r>
          </w:p>
        </w:tc>
      </w:tr>
      <w:tr w:rsidR="00D65254" w:rsidRPr="00F6352D" w14:paraId="677215FF" w14:textId="77777777" w:rsidTr="00FF4CA3">
        <w:trPr>
          <w:trHeight w:val="548"/>
        </w:trPr>
        <w:tc>
          <w:tcPr>
            <w:tcW w:w="2605" w:type="dxa"/>
            <w:tcBorders>
              <w:bottom w:val="nil"/>
            </w:tcBorders>
          </w:tcPr>
          <w:p w14:paraId="78C2B576" w14:textId="0AA663E4" w:rsidR="00D65254" w:rsidRDefault="00D65254" w:rsidP="002320B3">
            <w:pPr>
              <w:pStyle w:val="NormalWeb"/>
              <w:numPr>
                <w:ilvl w:val="0"/>
                <w:numId w:val="32"/>
              </w:numPr>
              <w:spacing w:before="0" w:beforeAutospacing="0" w:after="0" w:afterAutospacing="0"/>
              <w:ind w:left="510" w:hanging="453"/>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Curriculum and Assessment (C&amp;A)</w:t>
            </w:r>
          </w:p>
        </w:tc>
        <w:tc>
          <w:tcPr>
            <w:tcW w:w="5850" w:type="dxa"/>
          </w:tcPr>
          <w:p w14:paraId="11B27CFA" w14:textId="77777777" w:rsidR="00D65254" w:rsidRPr="00B9716C" w:rsidRDefault="00D65254" w:rsidP="002320B3">
            <w:pPr>
              <w:rPr>
                <w:rFonts w:asciiTheme="majorHAnsi" w:hAnsiTheme="majorHAnsi" w:cstheme="majorHAnsi"/>
                <w:color w:val="000000" w:themeColor="text1"/>
                <w:sz w:val="20"/>
                <w:szCs w:val="20"/>
              </w:rPr>
            </w:pPr>
            <w:r w:rsidRPr="00B9716C">
              <w:rPr>
                <w:rFonts w:asciiTheme="majorHAnsi" w:hAnsiTheme="majorHAnsi" w:cstheme="majorHAnsi"/>
                <w:color w:val="000000" w:themeColor="text1"/>
                <w:sz w:val="20"/>
                <w:szCs w:val="20"/>
              </w:rPr>
              <w:t>IO1: Teachers are better qualified and capable to deliver the curriculum</w:t>
            </w:r>
          </w:p>
        </w:tc>
        <w:tc>
          <w:tcPr>
            <w:tcW w:w="1980" w:type="dxa"/>
          </w:tcPr>
          <w:p w14:paraId="07712E82" w14:textId="77777777" w:rsidR="00D65254" w:rsidRPr="00F6352D" w:rsidRDefault="00D65254" w:rsidP="002320B3">
            <w:pPr>
              <w:pStyle w:val="NormalWeb"/>
              <w:spacing w:before="0" w:beforeAutospacing="0" w:after="0" w:afterAutospacing="0"/>
              <w:rPr>
                <w:rFonts w:asciiTheme="majorHAnsi" w:hAnsiTheme="majorHAnsi" w:cstheme="majorHAnsi"/>
                <w:color w:val="000000" w:themeColor="text1"/>
                <w:sz w:val="20"/>
                <w:szCs w:val="20"/>
              </w:rPr>
            </w:pPr>
            <w:r w:rsidRPr="005E5133">
              <w:rPr>
                <w:rFonts w:asciiTheme="majorHAnsi" w:hAnsiTheme="majorHAnsi" w:cstheme="majorHAnsi"/>
                <w:color w:val="538135" w:themeColor="accent6" w:themeShade="BF"/>
                <w:sz w:val="20"/>
                <w:szCs w:val="20"/>
              </w:rPr>
              <w:t>Highly relevant</w:t>
            </w:r>
          </w:p>
        </w:tc>
        <w:tc>
          <w:tcPr>
            <w:tcW w:w="2070" w:type="dxa"/>
          </w:tcPr>
          <w:p w14:paraId="1C11E0BC" w14:textId="77777777" w:rsidR="00D65254" w:rsidRPr="00950A14" w:rsidRDefault="00D65254" w:rsidP="002320B3">
            <w:pPr>
              <w:pStyle w:val="NormalWeb"/>
              <w:spacing w:before="0" w:beforeAutospacing="0" w:after="0" w:afterAutospacing="0"/>
              <w:rPr>
                <w:rFonts w:asciiTheme="majorHAnsi" w:hAnsiTheme="majorHAnsi" w:cstheme="majorHAnsi"/>
                <w:color w:val="000000" w:themeColor="text1"/>
                <w:sz w:val="20"/>
                <w:szCs w:val="20"/>
                <w:highlight w:val="yellow"/>
              </w:rPr>
            </w:pPr>
            <w:r w:rsidRPr="00950A14">
              <w:rPr>
                <w:rFonts w:asciiTheme="majorHAnsi" w:hAnsiTheme="majorHAnsi" w:cstheme="majorHAnsi"/>
                <w:color w:val="538135" w:themeColor="accent6" w:themeShade="BF"/>
                <w:sz w:val="20"/>
                <w:szCs w:val="20"/>
              </w:rPr>
              <w:t>Highly significant</w:t>
            </w:r>
          </w:p>
        </w:tc>
        <w:tc>
          <w:tcPr>
            <w:tcW w:w="1980" w:type="dxa"/>
          </w:tcPr>
          <w:p w14:paraId="74E745EA" w14:textId="77777777" w:rsidR="00D65254" w:rsidRPr="00F6352D" w:rsidRDefault="00D65254" w:rsidP="002320B3">
            <w:pPr>
              <w:pStyle w:val="NormalWeb"/>
              <w:spacing w:before="0" w:beforeAutospacing="0" w:after="0" w:afterAutospacing="0"/>
              <w:rPr>
                <w:rFonts w:asciiTheme="majorHAnsi" w:hAnsiTheme="majorHAnsi" w:cstheme="majorHAnsi"/>
                <w:color w:val="000000" w:themeColor="text1"/>
                <w:sz w:val="20"/>
                <w:szCs w:val="20"/>
              </w:rPr>
            </w:pPr>
            <w:r w:rsidRPr="00493494">
              <w:rPr>
                <w:rFonts w:asciiTheme="majorHAnsi" w:hAnsiTheme="majorHAnsi" w:cstheme="majorHAnsi"/>
                <w:sz w:val="20"/>
                <w:szCs w:val="20"/>
              </w:rPr>
              <w:t>Highly likelihood</w:t>
            </w:r>
          </w:p>
        </w:tc>
      </w:tr>
      <w:tr w:rsidR="00D65254" w:rsidRPr="00F6352D" w14:paraId="719BE657" w14:textId="77777777" w:rsidTr="00FF4CA3">
        <w:trPr>
          <w:trHeight w:val="60"/>
        </w:trPr>
        <w:tc>
          <w:tcPr>
            <w:tcW w:w="2605" w:type="dxa"/>
            <w:tcBorders>
              <w:top w:val="nil"/>
              <w:bottom w:val="nil"/>
            </w:tcBorders>
          </w:tcPr>
          <w:p w14:paraId="71702694" w14:textId="77777777" w:rsidR="00D65254" w:rsidRDefault="00D65254" w:rsidP="002320B3">
            <w:pPr>
              <w:pStyle w:val="NormalWeb"/>
              <w:spacing w:before="0" w:beforeAutospacing="0" w:after="0" w:afterAutospacing="0"/>
              <w:rPr>
                <w:rFonts w:asciiTheme="majorHAnsi" w:hAnsiTheme="majorHAnsi" w:cstheme="majorHAnsi"/>
                <w:color w:val="000000" w:themeColor="text1"/>
                <w:sz w:val="20"/>
                <w:szCs w:val="20"/>
              </w:rPr>
            </w:pPr>
          </w:p>
        </w:tc>
        <w:tc>
          <w:tcPr>
            <w:tcW w:w="5850" w:type="dxa"/>
          </w:tcPr>
          <w:p w14:paraId="2F27DB18" w14:textId="77777777" w:rsidR="00D65254" w:rsidRPr="00B9716C" w:rsidRDefault="00D65254" w:rsidP="002320B3">
            <w:pPr>
              <w:rPr>
                <w:rFonts w:asciiTheme="majorHAnsi" w:hAnsiTheme="majorHAnsi" w:cstheme="majorHAnsi"/>
                <w:color w:val="000000" w:themeColor="text1"/>
                <w:sz w:val="20"/>
                <w:szCs w:val="20"/>
              </w:rPr>
            </w:pPr>
            <w:r w:rsidRPr="00B9716C">
              <w:rPr>
                <w:rFonts w:asciiTheme="majorHAnsi" w:hAnsiTheme="majorHAnsi" w:cstheme="majorHAnsi"/>
                <w:color w:val="000000" w:themeColor="text1"/>
                <w:sz w:val="20"/>
                <w:szCs w:val="20"/>
              </w:rPr>
              <w:t>IO2: Education leaders and managers have strengthened capacity to implement school-based learning outcomes initiatives</w:t>
            </w:r>
          </w:p>
        </w:tc>
        <w:tc>
          <w:tcPr>
            <w:tcW w:w="1980" w:type="dxa"/>
          </w:tcPr>
          <w:p w14:paraId="270D059B" w14:textId="77777777" w:rsidR="00D65254" w:rsidRPr="005E5133" w:rsidRDefault="00D65254" w:rsidP="002320B3">
            <w:pPr>
              <w:pStyle w:val="NormalWeb"/>
              <w:spacing w:before="0" w:beforeAutospacing="0" w:after="0" w:afterAutospacing="0"/>
              <w:rPr>
                <w:rFonts w:asciiTheme="majorHAnsi" w:hAnsiTheme="majorHAnsi" w:cstheme="majorHAnsi"/>
                <w:sz w:val="20"/>
                <w:szCs w:val="20"/>
              </w:rPr>
            </w:pPr>
            <w:r w:rsidRPr="005E5133">
              <w:rPr>
                <w:rFonts w:asciiTheme="majorHAnsi" w:hAnsiTheme="majorHAnsi" w:cstheme="majorHAnsi"/>
                <w:sz w:val="20"/>
                <w:szCs w:val="20"/>
              </w:rPr>
              <w:t>Relevant</w:t>
            </w:r>
          </w:p>
        </w:tc>
        <w:tc>
          <w:tcPr>
            <w:tcW w:w="2070" w:type="dxa"/>
          </w:tcPr>
          <w:p w14:paraId="399CD5A3" w14:textId="77777777" w:rsidR="00D65254" w:rsidRPr="00F6352D" w:rsidRDefault="00D65254" w:rsidP="002320B3">
            <w:pPr>
              <w:pStyle w:val="NormalWeb"/>
              <w:spacing w:before="0" w:beforeAutospacing="0" w:after="0" w:afterAutospacing="0"/>
              <w:rPr>
                <w:rFonts w:asciiTheme="majorHAnsi" w:hAnsiTheme="majorHAnsi" w:cstheme="majorHAnsi"/>
                <w:color w:val="000000" w:themeColor="text1"/>
                <w:sz w:val="20"/>
                <w:szCs w:val="20"/>
              </w:rPr>
            </w:pPr>
            <w:r w:rsidRPr="00950A14">
              <w:rPr>
                <w:rFonts w:asciiTheme="majorHAnsi" w:hAnsiTheme="majorHAnsi" w:cstheme="majorHAnsi"/>
                <w:color w:val="000000" w:themeColor="text1"/>
                <w:sz w:val="20"/>
                <w:szCs w:val="20"/>
              </w:rPr>
              <w:t>Considerable</w:t>
            </w:r>
          </w:p>
        </w:tc>
        <w:tc>
          <w:tcPr>
            <w:tcW w:w="1980" w:type="dxa"/>
          </w:tcPr>
          <w:p w14:paraId="50BCAF3F" w14:textId="77777777" w:rsidR="00D65254" w:rsidRPr="00F6352D" w:rsidRDefault="00D65254" w:rsidP="002320B3">
            <w:pPr>
              <w:pStyle w:val="NormalWeb"/>
              <w:spacing w:before="0" w:beforeAutospacing="0" w:after="0" w:afterAutospacing="0"/>
              <w:rPr>
                <w:rFonts w:asciiTheme="majorHAnsi" w:hAnsiTheme="majorHAnsi" w:cstheme="majorHAnsi"/>
                <w:color w:val="000000" w:themeColor="text1"/>
                <w:sz w:val="20"/>
                <w:szCs w:val="20"/>
              </w:rPr>
            </w:pPr>
            <w:r w:rsidRPr="00950A14">
              <w:rPr>
                <w:rFonts w:asciiTheme="majorHAnsi" w:hAnsiTheme="majorHAnsi" w:cstheme="majorHAnsi"/>
                <w:color w:val="000000" w:themeColor="text1"/>
                <w:sz w:val="20"/>
                <w:szCs w:val="20"/>
              </w:rPr>
              <w:t>Moderate likelihood</w:t>
            </w:r>
          </w:p>
        </w:tc>
      </w:tr>
      <w:tr w:rsidR="00D65254" w:rsidRPr="00F6352D" w14:paraId="22C7F88B" w14:textId="77777777" w:rsidTr="00FF4CA3">
        <w:trPr>
          <w:trHeight w:val="60"/>
        </w:trPr>
        <w:tc>
          <w:tcPr>
            <w:tcW w:w="2605" w:type="dxa"/>
            <w:tcBorders>
              <w:top w:val="nil"/>
              <w:bottom w:val="nil"/>
            </w:tcBorders>
          </w:tcPr>
          <w:p w14:paraId="4B5B3339" w14:textId="77777777" w:rsidR="00D65254" w:rsidRDefault="00D65254" w:rsidP="002320B3">
            <w:pPr>
              <w:pStyle w:val="NormalWeb"/>
              <w:spacing w:before="0" w:beforeAutospacing="0" w:after="0" w:afterAutospacing="0"/>
              <w:rPr>
                <w:rFonts w:asciiTheme="majorHAnsi" w:hAnsiTheme="majorHAnsi" w:cstheme="majorHAnsi"/>
                <w:color w:val="000000" w:themeColor="text1"/>
                <w:sz w:val="20"/>
                <w:szCs w:val="20"/>
              </w:rPr>
            </w:pPr>
          </w:p>
        </w:tc>
        <w:tc>
          <w:tcPr>
            <w:tcW w:w="5850" w:type="dxa"/>
          </w:tcPr>
          <w:p w14:paraId="354F876A" w14:textId="77777777" w:rsidR="00D65254" w:rsidRPr="00B9716C" w:rsidRDefault="00D65254" w:rsidP="002320B3">
            <w:pPr>
              <w:rPr>
                <w:rFonts w:asciiTheme="majorHAnsi" w:hAnsiTheme="majorHAnsi" w:cstheme="majorHAnsi"/>
                <w:color w:val="000000" w:themeColor="text1"/>
                <w:sz w:val="20"/>
                <w:szCs w:val="20"/>
              </w:rPr>
            </w:pPr>
            <w:r w:rsidRPr="00B9716C">
              <w:rPr>
                <w:rFonts w:asciiTheme="majorHAnsi" w:hAnsiTheme="majorHAnsi" w:cstheme="majorHAnsi"/>
                <w:color w:val="000000" w:themeColor="text1"/>
                <w:sz w:val="20"/>
                <w:szCs w:val="20"/>
              </w:rPr>
              <w:t>IO3: Curriculum and assessment approach international standards</w:t>
            </w:r>
          </w:p>
        </w:tc>
        <w:tc>
          <w:tcPr>
            <w:tcW w:w="1980" w:type="dxa"/>
          </w:tcPr>
          <w:p w14:paraId="470AC76C" w14:textId="77777777" w:rsidR="00D65254" w:rsidRPr="00F6352D" w:rsidRDefault="00D65254" w:rsidP="002320B3">
            <w:pPr>
              <w:pStyle w:val="NormalWeb"/>
              <w:spacing w:before="0" w:beforeAutospacing="0" w:after="0" w:afterAutospacing="0"/>
              <w:rPr>
                <w:rFonts w:asciiTheme="majorHAnsi" w:hAnsiTheme="majorHAnsi" w:cstheme="majorHAnsi"/>
                <w:color w:val="000000" w:themeColor="text1"/>
                <w:sz w:val="20"/>
                <w:szCs w:val="20"/>
              </w:rPr>
            </w:pPr>
            <w:r w:rsidRPr="005E5133">
              <w:rPr>
                <w:rFonts w:asciiTheme="majorHAnsi" w:hAnsiTheme="majorHAnsi" w:cstheme="majorHAnsi"/>
                <w:color w:val="538135" w:themeColor="accent6" w:themeShade="BF"/>
                <w:sz w:val="20"/>
                <w:szCs w:val="20"/>
              </w:rPr>
              <w:t>Highly relevant</w:t>
            </w:r>
          </w:p>
        </w:tc>
        <w:tc>
          <w:tcPr>
            <w:tcW w:w="2070" w:type="dxa"/>
          </w:tcPr>
          <w:p w14:paraId="039152E1" w14:textId="77777777" w:rsidR="00D65254" w:rsidRPr="00950A14" w:rsidRDefault="00D65254" w:rsidP="002320B3">
            <w:pPr>
              <w:pStyle w:val="NormalWeb"/>
              <w:spacing w:before="0" w:beforeAutospacing="0" w:after="0" w:afterAutospacing="0"/>
              <w:rPr>
                <w:rFonts w:asciiTheme="majorHAnsi" w:hAnsiTheme="majorHAnsi" w:cstheme="majorHAnsi"/>
                <w:color w:val="000000" w:themeColor="text1"/>
                <w:sz w:val="20"/>
                <w:szCs w:val="20"/>
              </w:rPr>
            </w:pPr>
            <w:r w:rsidRPr="00950A14">
              <w:rPr>
                <w:rFonts w:asciiTheme="majorHAnsi" w:hAnsiTheme="majorHAnsi" w:cstheme="majorHAnsi"/>
                <w:color w:val="538135" w:themeColor="accent6" w:themeShade="BF"/>
                <w:sz w:val="20"/>
                <w:szCs w:val="20"/>
              </w:rPr>
              <w:t>Highly significant</w:t>
            </w:r>
          </w:p>
        </w:tc>
        <w:tc>
          <w:tcPr>
            <w:tcW w:w="1980" w:type="dxa"/>
          </w:tcPr>
          <w:p w14:paraId="792530A4" w14:textId="77777777" w:rsidR="00D65254" w:rsidRPr="00493494" w:rsidRDefault="00D65254" w:rsidP="002320B3">
            <w:pPr>
              <w:pStyle w:val="NormalWeb"/>
              <w:spacing w:before="0" w:beforeAutospacing="0" w:after="0" w:afterAutospacing="0"/>
              <w:rPr>
                <w:rFonts w:asciiTheme="majorHAnsi" w:hAnsiTheme="majorHAnsi" w:cstheme="majorHAnsi"/>
                <w:sz w:val="20"/>
                <w:szCs w:val="20"/>
              </w:rPr>
            </w:pPr>
            <w:r w:rsidRPr="00493494">
              <w:rPr>
                <w:rFonts w:asciiTheme="majorHAnsi" w:hAnsiTheme="majorHAnsi" w:cstheme="majorHAnsi"/>
                <w:sz w:val="20"/>
                <w:szCs w:val="20"/>
              </w:rPr>
              <w:t>High likelihood</w:t>
            </w:r>
          </w:p>
        </w:tc>
      </w:tr>
      <w:tr w:rsidR="00D65254" w:rsidRPr="00F6352D" w14:paraId="03D9FC69" w14:textId="77777777" w:rsidTr="00FF4CA3">
        <w:trPr>
          <w:trHeight w:val="60"/>
        </w:trPr>
        <w:tc>
          <w:tcPr>
            <w:tcW w:w="2605" w:type="dxa"/>
            <w:tcBorders>
              <w:top w:val="nil"/>
              <w:bottom w:val="single" w:sz="4" w:space="0" w:color="auto"/>
            </w:tcBorders>
          </w:tcPr>
          <w:p w14:paraId="127EEC74" w14:textId="77777777" w:rsidR="00D65254" w:rsidRDefault="00D65254" w:rsidP="002320B3">
            <w:pPr>
              <w:pStyle w:val="NormalWeb"/>
              <w:spacing w:before="0" w:beforeAutospacing="0" w:after="0" w:afterAutospacing="0"/>
              <w:rPr>
                <w:rFonts w:asciiTheme="majorHAnsi" w:hAnsiTheme="majorHAnsi" w:cstheme="majorHAnsi"/>
                <w:color w:val="000000" w:themeColor="text1"/>
                <w:sz w:val="20"/>
                <w:szCs w:val="20"/>
              </w:rPr>
            </w:pPr>
          </w:p>
        </w:tc>
        <w:tc>
          <w:tcPr>
            <w:tcW w:w="5850" w:type="dxa"/>
          </w:tcPr>
          <w:p w14:paraId="6CA3012D" w14:textId="77777777" w:rsidR="00D65254" w:rsidRPr="00B9716C" w:rsidRDefault="00D65254" w:rsidP="002320B3">
            <w:pPr>
              <w:rPr>
                <w:rFonts w:asciiTheme="majorHAnsi" w:hAnsiTheme="majorHAnsi" w:cstheme="majorHAnsi"/>
                <w:color w:val="000000" w:themeColor="text1"/>
                <w:sz w:val="20"/>
                <w:szCs w:val="20"/>
              </w:rPr>
            </w:pPr>
            <w:r w:rsidRPr="00B9716C">
              <w:rPr>
                <w:rFonts w:asciiTheme="majorHAnsi" w:hAnsiTheme="majorHAnsi" w:cstheme="majorHAnsi"/>
                <w:color w:val="000000" w:themeColor="text1"/>
                <w:sz w:val="20"/>
                <w:szCs w:val="20"/>
              </w:rPr>
              <w:t>IO4: Appropriate learning and teaching materials are available and more accessible</w:t>
            </w:r>
          </w:p>
        </w:tc>
        <w:tc>
          <w:tcPr>
            <w:tcW w:w="1980" w:type="dxa"/>
          </w:tcPr>
          <w:p w14:paraId="4470F9FB" w14:textId="77777777" w:rsidR="00D65254" w:rsidRPr="00F6352D" w:rsidRDefault="00D65254" w:rsidP="002320B3">
            <w:pPr>
              <w:pStyle w:val="NormalWeb"/>
              <w:spacing w:before="0" w:beforeAutospacing="0" w:after="0" w:afterAutospacing="0"/>
              <w:rPr>
                <w:rFonts w:asciiTheme="majorHAnsi" w:hAnsiTheme="majorHAnsi" w:cstheme="majorHAnsi"/>
                <w:color w:val="000000" w:themeColor="text1"/>
                <w:sz w:val="20"/>
                <w:szCs w:val="20"/>
              </w:rPr>
            </w:pPr>
            <w:r w:rsidRPr="005E5133">
              <w:rPr>
                <w:rFonts w:asciiTheme="majorHAnsi" w:hAnsiTheme="majorHAnsi" w:cstheme="majorHAnsi"/>
                <w:sz w:val="20"/>
                <w:szCs w:val="20"/>
              </w:rPr>
              <w:t>Relevant</w:t>
            </w:r>
          </w:p>
        </w:tc>
        <w:tc>
          <w:tcPr>
            <w:tcW w:w="2070" w:type="dxa"/>
          </w:tcPr>
          <w:p w14:paraId="3D32FBE8" w14:textId="77777777" w:rsidR="00D65254" w:rsidRPr="00F6352D" w:rsidRDefault="00D65254" w:rsidP="002320B3">
            <w:pPr>
              <w:pStyle w:val="NormalWeb"/>
              <w:spacing w:before="0" w:beforeAutospacing="0" w:after="0" w:afterAutospacing="0"/>
              <w:rPr>
                <w:rFonts w:asciiTheme="majorHAnsi" w:hAnsiTheme="majorHAnsi" w:cstheme="majorHAnsi"/>
                <w:color w:val="000000" w:themeColor="text1"/>
                <w:sz w:val="20"/>
                <w:szCs w:val="20"/>
              </w:rPr>
            </w:pPr>
            <w:r w:rsidRPr="00493494">
              <w:rPr>
                <w:rFonts w:asciiTheme="majorHAnsi" w:hAnsiTheme="majorHAnsi" w:cstheme="majorHAnsi"/>
                <w:sz w:val="20"/>
                <w:szCs w:val="20"/>
              </w:rPr>
              <w:t>Significant</w:t>
            </w:r>
          </w:p>
        </w:tc>
        <w:tc>
          <w:tcPr>
            <w:tcW w:w="1980" w:type="dxa"/>
          </w:tcPr>
          <w:p w14:paraId="67F6D86F" w14:textId="77777777" w:rsidR="00D65254" w:rsidRPr="00493494" w:rsidRDefault="00D65254" w:rsidP="002320B3">
            <w:pPr>
              <w:pStyle w:val="NormalWeb"/>
              <w:spacing w:before="0" w:beforeAutospacing="0" w:after="0" w:afterAutospacing="0"/>
              <w:rPr>
                <w:rFonts w:asciiTheme="majorHAnsi" w:hAnsiTheme="majorHAnsi" w:cstheme="majorHAnsi"/>
                <w:sz w:val="20"/>
                <w:szCs w:val="20"/>
              </w:rPr>
            </w:pPr>
            <w:r w:rsidRPr="00493494">
              <w:rPr>
                <w:rFonts w:asciiTheme="majorHAnsi" w:hAnsiTheme="majorHAnsi" w:cstheme="majorHAnsi"/>
                <w:sz w:val="20"/>
                <w:szCs w:val="20"/>
              </w:rPr>
              <w:t>High likelihood</w:t>
            </w:r>
          </w:p>
        </w:tc>
      </w:tr>
      <w:tr w:rsidR="00D65254" w:rsidRPr="00F6352D" w14:paraId="573A9156" w14:textId="77777777" w:rsidTr="00FF4CA3">
        <w:trPr>
          <w:trHeight w:val="548"/>
        </w:trPr>
        <w:tc>
          <w:tcPr>
            <w:tcW w:w="2605" w:type="dxa"/>
            <w:tcBorders>
              <w:bottom w:val="nil"/>
            </w:tcBorders>
          </w:tcPr>
          <w:p w14:paraId="1C87B18F" w14:textId="7E28B821" w:rsidR="00D65254" w:rsidRDefault="00D65254" w:rsidP="002320B3">
            <w:pPr>
              <w:pStyle w:val="NormalWeb"/>
              <w:numPr>
                <w:ilvl w:val="0"/>
                <w:numId w:val="32"/>
              </w:numPr>
              <w:spacing w:before="0" w:beforeAutospacing="0" w:after="0" w:afterAutospacing="0"/>
              <w:ind w:left="510" w:hanging="453"/>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Teacher Pre-Service Quality Improvement (TPQI)</w:t>
            </w:r>
          </w:p>
        </w:tc>
        <w:tc>
          <w:tcPr>
            <w:tcW w:w="5850" w:type="dxa"/>
          </w:tcPr>
          <w:p w14:paraId="24CFC3D3" w14:textId="77777777" w:rsidR="00D65254" w:rsidRPr="00B9716C" w:rsidRDefault="00D65254" w:rsidP="002320B3">
            <w:pPr>
              <w:rPr>
                <w:rFonts w:asciiTheme="majorHAnsi" w:eastAsiaTheme="minorHAnsi" w:hAnsiTheme="majorHAnsi" w:cstheme="majorHAnsi"/>
                <w:color w:val="000000" w:themeColor="text1"/>
                <w:sz w:val="20"/>
                <w:szCs w:val="20"/>
              </w:rPr>
            </w:pPr>
            <w:r w:rsidRPr="00B9716C">
              <w:rPr>
                <w:rFonts w:asciiTheme="majorHAnsi" w:hAnsiTheme="majorHAnsi" w:cstheme="majorHAnsi"/>
                <w:color w:val="000000" w:themeColor="text1"/>
                <w:sz w:val="20"/>
                <w:szCs w:val="20"/>
              </w:rPr>
              <w:t>IO1: Teachers are better qualified and capable to deliver the curriculum</w:t>
            </w:r>
          </w:p>
        </w:tc>
        <w:tc>
          <w:tcPr>
            <w:tcW w:w="1980" w:type="dxa"/>
          </w:tcPr>
          <w:p w14:paraId="519846B9" w14:textId="77777777" w:rsidR="00D65254" w:rsidRPr="005E5133" w:rsidRDefault="00D65254" w:rsidP="002320B3">
            <w:pPr>
              <w:pStyle w:val="NormalWeb"/>
              <w:spacing w:before="0" w:beforeAutospacing="0" w:after="0" w:afterAutospacing="0"/>
              <w:rPr>
                <w:rFonts w:asciiTheme="majorHAnsi" w:hAnsiTheme="majorHAnsi" w:cstheme="majorHAnsi"/>
                <w:color w:val="538135" w:themeColor="accent6" w:themeShade="BF"/>
                <w:sz w:val="20"/>
                <w:szCs w:val="20"/>
              </w:rPr>
            </w:pPr>
            <w:r w:rsidRPr="005E5133">
              <w:rPr>
                <w:rFonts w:asciiTheme="majorHAnsi" w:hAnsiTheme="majorHAnsi" w:cstheme="majorHAnsi"/>
                <w:sz w:val="20"/>
                <w:szCs w:val="20"/>
              </w:rPr>
              <w:t>Relevant</w:t>
            </w:r>
          </w:p>
        </w:tc>
        <w:tc>
          <w:tcPr>
            <w:tcW w:w="2070" w:type="dxa"/>
          </w:tcPr>
          <w:p w14:paraId="59DE1593" w14:textId="77777777" w:rsidR="00D65254" w:rsidRPr="00F6352D" w:rsidRDefault="00D65254" w:rsidP="002320B3">
            <w:pPr>
              <w:pStyle w:val="NormalWeb"/>
              <w:spacing w:before="0" w:beforeAutospacing="0" w:after="0" w:afterAutospacing="0"/>
              <w:rPr>
                <w:rFonts w:asciiTheme="majorHAnsi" w:hAnsiTheme="majorHAnsi" w:cstheme="majorHAnsi"/>
                <w:color w:val="000000" w:themeColor="text1"/>
                <w:sz w:val="20"/>
                <w:szCs w:val="20"/>
              </w:rPr>
            </w:pPr>
            <w:r w:rsidRPr="00950A14">
              <w:rPr>
                <w:rFonts w:asciiTheme="majorHAnsi" w:hAnsiTheme="majorHAnsi" w:cstheme="majorHAnsi"/>
                <w:color w:val="000000" w:themeColor="text1"/>
                <w:sz w:val="20"/>
                <w:szCs w:val="20"/>
              </w:rPr>
              <w:t>Considerable</w:t>
            </w:r>
          </w:p>
        </w:tc>
        <w:tc>
          <w:tcPr>
            <w:tcW w:w="1980" w:type="dxa"/>
          </w:tcPr>
          <w:p w14:paraId="37EE9799" w14:textId="77777777" w:rsidR="00D65254" w:rsidRPr="00F6352D" w:rsidRDefault="00D65254" w:rsidP="002320B3">
            <w:pPr>
              <w:pStyle w:val="NormalWeb"/>
              <w:spacing w:before="0" w:beforeAutospacing="0" w:after="0" w:afterAutospacing="0"/>
              <w:rPr>
                <w:rFonts w:asciiTheme="majorHAnsi" w:hAnsiTheme="majorHAnsi" w:cstheme="majorHAnsi"/>
                <w:color w:val="000000" w:themeColor="text1"/>
                <w:sz w:val="20"/>
                <w:szCs w:val="20"/>
              </w:rPr>
            </w:pPr>
            <w:r w:rsidRPr="00950A14">
              <w:rPr>
                <w:rFonts w:asciiTheme="majorHAnsi" w:hAnsiTheme="majorHAnsi" w:cstheme="majorHAnsi"/>
                <w:color w:val="000000" w:themeColor="text1"/>
                <w:sz w:val="20"/>
                <w:szCs w:val="20"/>
              </w:rPr>
              <w:t>Moderate likelihood</w:t>
            </w:r>
          </w:p>
        </w:tc>
      </w:tr>
      <w:tr w:rsidR="00D65254" w:rsidRPr="00F6352D" w14:paraId="2B71D1C8" w14:textId="77777777" w:rsidTr="00FF4CA3">
        <w:trPr>
          <w:trHeight w:val="548"/>
        </w:trPr>
        <w:tc>
          <w:tcPr>
            <w:tcW w:w="2605" w:type="dxa"/>
            <w:tcBorders>
              <w:top w:val="nil"/>
            </w:tcBorders>
          </w:tcPr>
          <w:p w14:paraId="0F2CA82D" w14:textId="77777777" w:rsidR="00D65254" w:rsidRDefault="00D65254" w:rsidP="002320B3">
            <w:pPr>
              <w:pStyle w:val="NormalWeb"/>
              <w:spacing w:before="0" w:beforeAutospacing="0" w:after="0" w:afterAutospacing="0"/>
              <w:rPr>
                <w:rFonts w:asciiTheme="majorHAnsi" w:hAnsiTheme="majorHAnsi" w:cstheme="majorHAnsi"/>
                <w:color w:val="000000" w:themeColor="text1"/>
                <w:sz w:val="20"/>
                <w:szCs w:val="20"/>
              </w:rPr>
            </w:pPr>
          </w:p>
        </w:tc>
        <w:tc>
          <w:tcPr>
            <w:tcW w:w="5850" w:type="dxa"/>
          </w:tcPr>
          <w:p w14:paraId="30A5809A" w14:textId="77777777" w:rsidR="00D65254" w:rsidRPr="00501EE9" w:rsidRDefault="00D65254" w:rsidP="002320B3">
            <w:pPr>
              <w:rPr>
                <w:rFonts w:asciiTheme="majorHAnsi" w:hAnsiTheme="majorHAnsi" w:cstheme="majorHAnsi"/>
                <w:color w:val="000000" w:themeColor="text1"/>
                <w:sz w:val="20"/>
                <w:szCs w:val="20"/>
              </w:rPr>
            </w:pPr>
            <w:r w:rsidRPr="00501EE9">
              <w:rPr>
                <w:rFonts w:asciiTheme="majorHAnsi" w:hAnsiTheme="majorHAnsi" w:cstheme="majorHAnsi"/>
                <w:iCs/>
                <w:color w:val="000000" w:themeColor="text1"/>
                <w:sz w:val="20"/>
                <w:szCs w:val="20"/>
              </w:rPr>
              <w:t>EOPO2: More boys and girls participate and complete a basic education in target areas</w:t>
            </w:r>
          </w:p>
        </w:tc>
        <w:tc>
          <w:tcPr>
            <w:tcW w:w="1980" w:type="dxa"/>
          </w:tcPr>
          <w:p w14:paraId="5843598D" w14:textId="77777777" w:rsidR="00D65254" w:rsidRDefault="00D65254" w:rsidP="002320B3">
            <w:pPr>
              <w:pStyle w:val="NormalWeb"/>
              <w:spacing w:before="0" w:beforeAutospacing="0" w:after="0" w:afterAutospacing="0"/>
              <w:rPr>
                <w:rFonts w:asciiTheme="majorHAnsi" w:hAnsiTheme="majorHAnsi" w:cstheme="majorHAnsi"/>
                <w:color w:val="000000" w:themeColor="text1"/>
                <w:sz w:val="20"/>
                <w:szCs w:val="20"/>
              </w:rPr>
            </w:pPr>
          </w:p>
        </w:tc>
        <w:tc>
          <w:tcPr>
            <w:tcW w:w="2070" w:type="dxa"/>
          </w:tcPr>
          <w:p w14:paraId="2ACF6C9C" w14:textId="77777777" w:rsidR="00D65254" w:rsidRDefault="00D65254" w:rsidP="002320B3">
            <w:pPr>
              <w:pStyle w:val="NormalWeb"/>
              <w:spacing w:before="0" w:beforeAutospacing="0" w:after="0" w:afterAutospacing="0"/>
              <w:rPr>
                <w:rFonts w:asciiTheme="majorHAnsi" w:hAnsiTheme="majorHAnsi" w:cstheme="majorHAnsi"/>
                <w:color w:val="000000" w:themeColor="text1"/>
                <w:sz w:val="20"/>
                <w:szCs w:val="20"/>
              </w:rPr>
            </w:pPr>
            <w:r w:rsidRPr="00FF4CA3">
              <w:rPr>
                <w:rFonts w:asciiTheme="majorHAnsi" w:hAnsiTheme="majorHAnsi" w:cstheme="majorHAnsi"/>
                <w:color w:val="2E74B5" w:themeColor="accent5" w:themeShade="BF"/>
                <w:sz w:val="20"/>
                <w:szCs w:val="20"/>
              </w:rPr>
              <w:t>Not evident at this time</w:t>
            </w:r>
          </w:p>
        </w:tc>
        <w:tc>
          <w:tcPr>
            <w:tcW w:w="1980" w:type="dxa"/>
          </w:tcPr>
          <w:p w14:paraId="72867635" w14:textId="77777777" w:rsidR="00D65254" w:rsidRPr="00082AF8" w:rsidRDefault="00D65254" w:rsidP="002320B3">
            <w:pPr>
              <w:pStyle w:val="NormalWeb"/>
              <w:spacing w:before="0" w:beforeAutospacing="0" w:after="0" w:afterAutospacing="0"/>
              <w:rPr>
                <w:rFonts w:asciiTheme="majorHAnsi" w:hAnsiTheme="majorHAnsi" w:cstheme="majorHAnsi"/>
                <w:color w:val="000000" w:themeColor="text1"/>
                <w:sz w:val="20"/>
                <w:szCs w:val="20"/>
              </w:rPr>
            </w:pPr>
          </w:p>
        </w:tc>
      </w:tr>
      <w:tr w:rsidR="00D65254" w:rsidRPr="00F6352D" w14:paraId="5E982545" w14:textId="77777777" w:rsidTr="00FF4CA3">
        <w:trPr>
          <w:trHeight w:val="548"/>
        </w:trPr>
        <w:tc>
          <w:tcPr>
            <w:tcW w:w="2605" w:type="dxa"/>
            <w:tcBorders>
              <w:bottom w:val="single" w:sz="4" w:space="0" w:color="auto"/>
            </w:tcBorders>
          </w:tcPr>
          <w:p w14:paraId="4951875B" w14:textId="77777777" w:rsidR="00D65254" w:rsidRDefault="00D65254" w:rsidP="002320B3">
            <w:pPr>
              <w:pStyle w:val="NormalWeb"/>
              <w:spacing w:before="0" w:beforeAutospacing="0" w:after="0" w:afterAutospacing="0"/>
              <w:rPr>
                <w:rFonts w:asciiTheme="majorHAnsi" w:hAnsiTheme="majorHAnsi" w:cstheme="majorHAnsi"/>
                <w:color w:val="000000" w:themeColor="text1"/>
                <w:sz w:val="20"/>
                <w:szCs w:val="20"/>
              </w:rPr>
            </w:pPr>
          </w:p>
        </w:tc>
        <w:tc>
          <w:tcPr>
            <w:tcW w:w="5850" w:type="dxa"/>
          </w:tcPr>
          <w:p w14:paraId="64316316" w14:textId="77777777" w:rsidR="00D65254" w:rsidRPr="00501EE9" w:rsidRDefault="00D65254" w:rsidP="002320B3">
            <w:pPr>
              <w:rPr>
                <w:rFonts w:asciiTheme="majorHAnsi" w:hAnsiTheme="majorHAnsi" w:cstheme="majorHAnsi"/>
                <w:color w:val="000000" w:themeColor="text1"/>
                <w:sz w:val="20"/>
                <w:szCs w:val="20"/>
              </w:rPr>
            </w:pPr>
            <w:r w:rsidRPr="00501EE9">
              <w:rPr>
                <w:rFonts w:asciiTheme="majorHAnsi" w:eastAsiaTheme="minorHAnsi" w:hAnsiTheme="majorHAnsi" w:cstheme="majorHAnsi"/>
                <w:color w:val="000000" w:themeColor="text1"/>
                <w:sz w:val="20"/>
                <w:szCs w:val="20"/>
              </w:rPr>
              <w:t>InO2: Education leaders and managers applying innovative SBM, GEDSI and IE approaches to school planning, student enrolment and retention</w:t>
            </w:r>
          </w:p>
        </w:tc>
        <w:tc>
          <w:tcPr>
            <w:tcW w:w="1980" w:type="dxa"/>
          </w:tcPr>
          <w:p w14:paraId="55B33AF4" w14:textId="77777777" w:rsidR="00D65254" w:rsidRDefault="00D65254" w:rsidP="002320B3">
            <w:pPr>
              <w:pStyle w:val="NormalWeb"/>
              <w:spacing w:before="0" w:beforeAutospacing="0" w:after="0" w:afterAutospacing="0"/>
              <w:rPr>
                <w:rFonts w:asciiTheme="majorHAnsi" w:hAnsiTheme="majorHAnsi" w:cstheme="majorHAnsi"/>
                <w:color w:val="000000" w:themeColor="text1"/>
                <w:sz w:val="20"/>
                <w:szCs w:val="20"/>
              </w:rPr>
            </w:pPr>
          </w:p>
        </w:tc>
        <w:tc>
          <w:tcPr>
            <w:tcW w:w="2070" w:type="dxa"/>
          </w:tcPr>
          <w:p w14:paraId="57E97510" w14:textId="77777777" w:rsidR="00D65254" w:rsidRPr="00493494" w:rsidRDefault="00D65254" w:rsidP="002320B3">
            <w:pPr>
              <w:pStyle w:val="NormalWeb"/>
              <w:spacing w:before="0" w:beforeAutospacing="0" w:after="0" w:afterAutospacing="0"/>
              <w:rPr>
                <w:rFonts w:asciiTheme="majorHAnsi" w:hAnsiTheme="majorHAnsi" w:cstheme="majorHAnsi"/>
                <w:sz w:val="20"/>
                <w:szCs w:val="20"/>
              </w:rPr>
            </w:pPr>
            <w:r w:rsidRPr="00493494">
              <w:rPr>
                <w:rFonts w:asciiTheme="majorHAnsi" w:hAnsiTheme="majorHAnsi" w:cstheme="majorHAnsi"/>
                <w:sz w:val="20"/>
                <w:szCs w:val="20"/>
              </w:rPr>
              <w:t>Significant</w:t>
            </w:r>
          </w:p>
        </w:tc>
        <w:tc>
          <w:tcPr>
            <w:tcW w:w="1980" w:type="dxa"/>
          </w:tcPr>
          <w:p w14:paraId="323CB929" w14:textId="77777777" w:rsidR="00D65254" w:rsidRPr="00082AF8" w:rsidRDefault="00D65254" w:rsidP="002320B3">
            <w:pPr>
              <w:pStyle w:val="NormalWeb"/>
              <w:spacing w:before="0" w:beforeAutospacing="0" w:after="0" w:afterAutospacing="0"/>
              <w:rPr>
                <w:rFonts w:asciiTheme="majorHAnsi" w:hAnsiTheme="majorHAnsi" w:cstheme="majorHAnsi"/>
                <w:color w:val="000000" w:themeColor="text1"/>
                <w:sz w:val="20"/>
                <w:szCs w:val="20"/>
              </w:rPr>
            </w:pPr>
          </w:p>
        </w:tc>
      </w:tr>
      <w:tr w:rsidR="00D65254" w:rsidRPr="00F6352D" w14:paraId="78BFF7CB" w14:textId="77777777" w:rsidTr="00FF4CA3">
        <w:trPr>
          <w:trHeight w:val="548"/>
        </w:trPr>
        <w:tc>
          <w:tcPr>
            <w:tcW w:w="2605" w:type="dxa"/>
            <w:tcBorders>
              <w:bottom w:val="nil"/>
            </w:tcBorders>
          </w:tcPr>
          <w:p w14:paraId="37CA10B7" w14:textId="56160EB8" w:rsidR="00D65254" w:rsidRDefault="00D65254" w:rsidP="002320B3">
            <w:pPr>
              <w:pStyle w:val="NormalWeb"/>
              <w:numPr>
                <w:ilvl w:val="0"/>
                <w:numId w:val="32"/>
              </w:numPr>
              <w:spacing w:before="0" w:beforeAutospacing="0" w:after="0" w:afterAutospacing="0"/>
              <w:ind w:left="510" w:hanging="453"/>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School-Based Management (SBM)</w:t>
            </w:r>
          </w:p>
        </w:tc>
        <w:tc>
          <w:tcPr>
            <w:tcW w:w="5850" w:type="dxa"/>
          </w:tcPr>
          <w:p w14:paraId="1BB52296" w14:textId="77777777" w:rsidR="00D65254" w:rsidRPr="00B9716C" w:rsidRDefault="00D65254" w:rsidP="002320B3">
            <w:pPr>
              <w:rPr>
                <w:rFonts w:asciiTheme="majorHAnsi" w:hAnsiTheme="majorHAnsi" w:cstheme="majorHAnsi"/>
                <w:color w:val="000000" w:themeColor="text1"/>
                <w:sz w:val="20"/>
                <w:szCs w:val="20"/>
              </w:rPr>
            </w:pPr>
            <w:r w:rsidRPr="00B9716C">
              <w:rPr>
                <w:rFonts w:asciiTheme="majorHAnsi" w:hAnsiTheme="majorHAnsi" w:cstheme="majorHAnsi"/>
                <w:color w:val="000000" w:themeColor="text1"/>
                <w:sz w:val="20"/>
                <w:szCs w:val="20"/>
              </w:rPr>
              <w:t>IO2: Education leaders and managers have strengthened capacity to implement school-based learning outcomes initiatives</w:t>
            </w:r>
          </w:p>
        </w:tc>
        <w:tc>
          <w:tcPr>
            <w:tcW w:w="1980" w:type="dxa"/>
          </w:tcPr>
          <w:p w14:paraId="0EFCA724" w14:textId="77777777" w:rsidR="00D65254" w:rsidRPr="00F6352D" w:rsidRDefault="00D65254" w:rsidP="002320B3">
            <w:pPr>
              <w:pStyle w:val="NormalWeb"/>
              <w:spacing w:before="0" w:beforeAutospacing="0" w:after="0" w:afterAutospacing="0"/>
              <w:rPr>
                <w:rFonts w:asciiTheme="majorHAnsi" w:hAnsiTheme="majorHAnsi" w:cstheme="majorHAnsi"/>
                <w:color w:val="000000" w:themeColor="text1"/>
                <w:sz w:val="20"/>
                <w:szCs w:val="20"/>
              </w:rPr>
            </w:pPr>
            <w:r w:rsidRPr="00493494">
              <w:rPr>
                <w:rFonts w:asciiTheme="majorHAnsi" w:hAnsiTheme="majorHAnsi" w:cstheme="majorHAnsi"/>
                <w:color w:val="538135" w:themeColor="accent6" w:themeShade="BF"/>
                <w:sz w:val="20"/>
                <w:szCs w:val="20"/>
              </w:rPr>
              <w:t>Highly Relevant</w:t>
            </w:r>
          </w:p>
        </w:tc>
        <w:tc>
          <w:tcPr>
            <w:tcW w:w="2070" w:type="dxa"/>
          </w:tcPr>
          <w:p w14:paraId="0DA4D0F8" w14:textId="77777777" w:rsidR="00D65254" w:rsidRPr="00493494" w:rsidRDefault="00D65254" w:rsidP="002320B3">
            <w:pPr>
              <w:pStyle w:val="NormalWeb"/>
              <w:spacing w:before="0" w:beforeAutospacing="0" w:after="0" w:afterAutospacing="0"/>
              <w:rPr>
                <w:rFonts w:asciiTheme="majorHAnsi" w:hAnsiTheme="majorHAnsi" w:cstheme="majorHAnsi"/>
                <w:sz w:val="20"/>
                <w:szCs w:val="20"/>
              </w:rPr>
            </w:pPr>
            <w:r w:rsidRPr="00493494">
              <w:rPr>
                <w:rFonts w:asciiTheme="majorHAnsi" w:hAnsiTheme="majorHAnsi" w:cstheme="majorHAnsi"/>
                <w:sz w:val="20"/>
                <w:szCs w:val="20"/>
              </w:rPr>
              <w:t>Significant</w:t>
            </w:r>
          </w:p>
        </w:tc>
        <w:tc>
          <w:tcPr>
            <w:tcW w:w="1980" w:type="dxa"/>
          </w:tcPr>
          <w:p w14:paraId="06F1791D" w14:textId="77777777" w:rsidR="00D65254" w:rsidRPr="00493494" w:rsidRDefault="00D65254" w:rsidP="002320B3">
            <w:pPr>
              <w:pStyle w:val="NormalWeb"/>
              <w:spacing w:before="0" w:beforeAutospacing="0" w:after="0" w:afterAutospacing="0"/>
              <w:rPr>
                <w:rFonts w:asciiTheme="majorHAnsi" w:hAnsiTheme="majorHAnsi" w:cstheme="majorHAnsi"/>
                <w:sz w:val="20"/>
                <w:szCs w:val="20"/>
              </w:rPr>
            </w:pPr>
            <w:r w:rsidRPr="00493494">
              <w:rPr>
                <w:rFonts w:asciiTheme="majorHAnsi" w:hAnsiTheme="majorHAnsi" w:cstheme="majorHAnsi"/>
                <w:sz w:val="20"/>
                <w:szCs w:val="20"/>
              </w:rPr>
              <w:t>High likelihood</w:t>
            </w:r>
          </w:p>
        </w:tc>
      </w:tr>
      <w:tr w:rsidR="00D65254" w:rsidRPr="00F6352D" w14:paraId="48E9661D" w14:textId="77777777" w:rsidTr="00FF4CA3">
        <w:trPr>
          <w:trHeight w:val="60"/>
        </w:trPr>
        <w:tc>
          <w:tcPr>
            <w:tcW w:w="2605" w:type="dxa"/>
            <w:tcBorders>
              <w:top w:val="nil"/>
              <w:bottom w:val="single" w:sz="4" w:space="0" w:color="auto"/>
            </w:tcBorders>
          </w:tcPr>
          <w:p w14:paraId="569C48F8" w14:textId="77777777" w:rsidR="00D65254" w:rsidRDefault="00D65254" w:rsidP="002320B3">
            <w:pPr>
              <w:pStyle w:val="NormalWeb"/>
              <w:spacing w:before="0" w:beforeAutospacing="0" w:after="0" w:afterAutospacing="0"/>
              <w:rPr>
                <w:rFonts w:asciiTheme="majorHAnsi" w:hAnsiTheme="majorHAnsi" w:cstheme="majorHAnsi"/>
                <w:color w:val="000000" w:themeColor="text1"/>
                <w:sz w:val="20"/>
                <w:szCs w:val="20"/>
              </w:rPr>
            </w:pPr>
          </w:p>
        </w:tc>
        <w:tc>
          <w:tcPr>
            <w:tcW w:w="5850" w:type="dxa"/>
          </w:tcPr>
          <w:p w14:paraId="39BCAEC1" w14:textId="77777777" w:rsidR="00D65254" w:rsidRPr="00B9716C" w:rsidRDefault="00D65254" w:rsidP="002320B3">
            <w:pPr>
              <w:rPr>
                <w:rFonts w:asciiTheme="majorHAnsi" w:eastAsiaTheme="minorHAnsi" w:hAnsiTheme="majorHAnsi" w:cstheme="majorHAnsi"/>
                <w:color w:val="000000" w:themeColor="text1"/>
                <w:sz w:val="20"/>
                <w:szCs w:val="20"/>
              </w:rPr>
            </w:pPr>
            <w:r w:rsidRPr="00B9716C">
              <w:rPr>
                <w:rFonts w:asciiTheme="majorHAnsi" w:hAnsiTheme="majorHAnsi" w:cstheme="majorHAnsi"/>
                <w:color w:val="000000" w:themeColor="text1"/>
                <w:sz w:val="20"/>
                <w:szCs w:val="20"/>
              </w:rPr>
              <w:t xml:space="preserve">IO7: </w:t>
            </w:r>
            <w:r>
              <w:rPr>
                <w:rFonts w:asciiTheme="majorHAnsi" w:hAnsiTheme="majorHAnsi" w:cstheme="majorHAnsi"/>
                <w:color w:val="000000" w:themeColor="text1"/>
                <w:sz w:val="20"/>
                <w:szCs w:val="20"/>
              </w:rPr>
              <w:t>DepEd</w:t>
            </w:r>
            <w:r w:rsidRPr="00B9716C">
              <w:rPr>
                <w:rFonts w:asciiTheme="majorHAnsi" w:hAnsiTheme="majorHAnsi" w:cstheme="majorHAnsi"/>
                <w:color w:val="000000" w:themeColor="text1"/>
                <w:sz w:val="20"/>
                <w:szCs w:val="20"/>
              </w:rPr>
              <w:t xml:space="preserve"> able to articulate implementation strategies to improve access for children from specific contexts</w:t>
            </w:r>
          </w:p>
        </w:tc>
        <w:tc>
          <w:tcPr>
            <w:tcW w:w="1980" w:type="dxa"/>
          </w:tcPr>
          <w:p w14:paraId="1688EFAB" w14:textId="77777777" w:rsidR="00D65254" w:rsidRPr="00493494" w:rsidRDefault="00D65254" w:rsidP="002320B3">
            <w:pPr>
              <w:pStyle w:val="NormalWeb"/>
              <w:spacing w:before="0" w:beforeAutospacing="0" w:after="0" w:afterAutospacing="0"/>
              <w:rPr>
                <w:rFonts w:asciiTheme="majorHAnsi" w:hAnsiTheme="majorHAnsi" w:cstheme="majorHAnsi"/>
                <w:sz w:val="20"/>
                <w:szCs w:val="20"/>
              </w:rPr>
            </w:pPr>
            <w:r w:rsidRPr="00493494">
              <w:rPr>
                <w:rFonts w:asciiTheme="majorHAnsi" w:hAnsiTheme="majorHAnsi" w:cstheme="majorHAnsi"/>
                <w:sz w:val="20"/>
                <w:szCs w:val="20"/>
              </w:rPr>
              <w:t>Relevant</w:t>
            </w:r>
          </w:p>
        </w:tc>
        <w:tc>
          <w:tcPr>
            <w:tcW w:w="2070" w:type="dxa"/>
          </w:tcPr>
          <w:p w14:paraId="1E5F2686" w14:textId="77777777" w:rsidR="00D65254" w:rsidRPr="00493494" w:rsidRDefault="00D65254" w:rsidP="002320B3">
            <w:pPr>
              <w:pStyle w:val="NormalWeb"/>
              <w:spacing w:before="0" w:beforeAutospacing="0" w:after="0" w:afterAutospacing="0"/>
              <w:rPr>
                <w:rFonts w:asciiTheme="majorHAnsi" w:hAnsiTheme="majorHAnsi" w:cstheme="majorHAnsi"/>
                <w:color w:val="C45911" w:themeColor="accent2" w:themeShade="BF"/>
                <w:sz w:val="20"/>
                <w:szCs w:val="20"/>
              </w:rPr>
            </w:pPr>
            <w:r w:rsidRPr="00950A14">
              <w:rPr>
                <w:rFonts w:asciiTheme="majorHAnsi" w:hAnsiTheme="majorHAnsi" w:cstheme="majorHAnsi"/>
                <w:color w:val="000000" w:themeColor="text1"/>
                <w:sz w:val="20"/>
                <w:szCs w:val="20"/>
              </w:rPr>
              <w:t>Considerable</w:t>
            </w:r>
          </w:p>
        </w:tc>
        <w:tc>
          <w:tcPr>
            <w:tcW w:w="1980" w:type="dxa"/>
          </w:tcPr>
          <w:p w14:paraId="4355AD62" w14:textId="77777777" w:rsidR="00D65254" w:rsidRPr="00493494" w:rsidRDefault="00D65254" w:rsidP="002320B3">
            <w:pPr>
              <w:pStyle w:val="NormalWeb"/>
              <w:spacing w:before="0" w:beforeAutospacing="0" w:after="0" w:afterAutospacing="0"/>
              <w:rPr>
                <w:rFonts w:asciiTheme="majorHAnsi" w:hAnsiTheme="majorHAnsi" w:cstheme="majorHAnsi"/>
                <w:sz w:val="20"/>
                <w:szCs w:val="20"/>
              </w:rPr>
            </w:pPr>
            <w:r w:rsidRPr="00493494">
              <w:rPr>
                <w:rFonts w:asciiTheme="majorHAnsi" w:hAnsiTheme="majorHAnsi" w:cstheme="majorHAnsi"/>
                <w:sz w:val="20"/>
                <w:szCs w:val="20"/>
              </w:rPr>
              <w:t>High likelihood</w:t>
            </w:r>
          </w:p>
        </w:tc>
      </w:tr>
      <w:tr w:rsidR="00D65254" w:rsidRPr="00F6352D" w14:paraId="2A473CED" w14:textId="77777777" w:rsidTr="00FF4CA3">
        <w:trPr>
          <w:trHeight w:val="548"/>
        </w:trPr>
        <w:tc>
          <w:tcPr>
            <w:tcW w:w="2605" w:type="dxa"/>
            <w:tcBorders>
              <w:bottom w:val="nil"/>
            </w:tcBorders>
          </w:tcPr>
          <w:p w14:paraId="36D8E1FB" w14:textId="240081FC" w:rsidR="00D65254" w:rsidRDefault="00D65254" w:rsidP="002320B3">
            <w:pPr>
              <w:pStyle w:val="NormalWeb"/>
              <w:numPr>
                <w:ilvl w:val="0"/>
                <w:numId w:val="32"/>
              </w:numPr>
              <w:spacing w:before="0" w:beforeAutospacing="0" w:after="0" w:afterAutospacing="0"/>
              <w:ind w:left="510" w:hanging="453"/>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Gender Equity, Disability and Social Inclusion (GEDSI)</w:t>
            </w:r>
          </w:p>
        </w:tc>
        <w:tc>
          <w:tcPr>
            <w:tcW w:w="5850" w:type="dxa"/>
          </w:tcPr>
          <w:p w14:paraId="2589893E" w14:textId="77777777" w:rsidR="00D65254" w:rsidRPr="00B9716C" w:rsidRDefault="00D65254" w:rsidP="002320B3">
            <w:pPr>
              <w:rPr>
                <w:rFonts w:asciiTheme="majorHAnsi" w:hAnsiTheme="majorHAnsi" w:cstheme="majorHAnsi"/>
                <w:color w:val="000000" w:themeColor="text1"/>
                <w:sz w:val="20"/>
                <w:szCs w:val="20"/>
              </w:rPr>
            </w:pPr>
            <w:r w:rsidRPr="00B9716C">
              <w:rPr>
                <w:rFonts w:asciiTheme="majorHAnsi" w:hAnsiTheme="majorHAnsi" w:cstheme="majorHAnsi"/>
                <w:color w:val="000000" w:themeColor="text1"/>
                <w:sz w:val="20"/>
                <w:szCs w:val="20"/>
              </w:rPr>
              <w:t>IO1: Teachers are better qualified and capable to deliver the curriculum</w:t>
            </w:r>
          </w:p>
        </w:tc>
        <w:tc>
          <w:tcPr>
            <w:tcW w:w="1980" w:type="dxa"/>
          </w:tcPr>
          <w:p w14:paraId="2862C9BF" w14:textId="77777777" w:rsidR="00D65254" w:rsidRPr="00493494" w:rsidRDefault="00D65254" w:rsidP="002320B3">
            <w:pPr>
              <w:pStyle w:val="NormalWeb"/>
              <w:spacing w:before="0" w:beforeAutospacing="0" w:after="0" w:afterAutospacing="0"/>
              <w:rPr>
                <w:rFonts w:asciiTheme="majorHAnsi" w:hAnsiTheme="majorHAnsi" w:cstheme="majorHAnsi"/>
                <w:sz w:val="20"/>
                <w:szCs w:val="20"/>
              </w:rPr>
            </w:pPr>
            <w:r w:rsidRPr="00493494">
              <w:rPr>
                <w:rFonts w:asciiTheme="majorHAnsi" w:hAnsiTheme="majorHAnsi" w:cstheme="majorHAnsi"/>
                <w:sz w:val="20"/>
                <w:szCs w:val="20"/>
              </w:rPr>
              <w:t>Relevant</w:t>
            </w:r>
          </w:p>
        </w:tc>
        <w:tc>
          <w:tcPr>
            <w:tcW w:w="2070" w:type="dxa"/>
          </w:tcPr>
          <w:p w14:paraId="70E25D08" w14:textId="77777777" w:rsidR="00D65254" w:rsidRPr="00493494" w:rsidRDefault="00D65254" w:rsidP="002320B3">
            <w:pPr>
              <w:pStyle w:val="NormalWeb"/>
              <w:spacing w:before="0" w:beforeAutospacing="0" w:after="0" w:afterAutospacing="0"/>
              <w:rPr>
                <w:rFonts w:asciiTheme="majorHAnsi" w:hAnsiTheme="majorHAnsi" w:cstheme="majorHAnsi"/>
                <w:color w:val="C45911" w:themeColor="accent2" w:themeShade="BF"/>
                <w:sz w:val="20"/>
                <w:szCs w:val="20"/>
              </w:rPr>
            </w:pPr>
            <w:r w:rsidRPr="00950A14">
              <w:rPr>
                <w:rFonts w:asciiTheme="majorHAnsi" w:hAnsiTheme="majorHAnsi" w:cstheme="majorHAnsi"/>
                <w:color w:val="000000" w:themeColor="text1"/>
                <w:sz w:val="20"/>
                <w:szCs w:val="20"/>
              </w:rPr>
              <w:t>Considerable</w:t>
            </w:r>
          </w:p>
        </w:tc>
        <w:tc>
          <w:tcPr>
            <w:tcW w:w="1980" w:type="dxa"/>
          </w:tcPr>
          <w:p w14:paraId="3717E209" w14:textId="77777777" w:rsidR="00D65254" w:rsidRPr="00493494" w:rsidRDefault="00D65254" w:rsidP="002320B3">
            <w:pPr>
              <w:pStyle w:val="NormalWeb"/>
              <w:spacing w:before="0" w:beforeAutospacing="0" w:after="0" w:afterAutospacing="0"/>
              <w:rPr>
                <w:rFonts w:asciiTheme="majorHAnsi" w:hAnsiTheme="majorHAnsi" w:cstheme="majorHAnsi"/>
                <w:color w:val="C45911" w:themeColor="accent2" w:themeShade="BF"/>
                <w:sz w:val="20"/>
                <w:szCs w:val="20"/>
              </w:rPr>
            </w:pPr>
            <w:r w:rsidRPr="00950A14">
              <w:rPr>
                <w:rFonts w:asciiTheme="majorHAnsi" w:hAnsiTheme="majorHAnsi" w:cstheme="majorHAnsi"/>
                <w:color w:val="000000" w:themeColor="text1"/>
                <w:sz w:val="20"/>
                <w:szCs w:val="20"/>
              </w:rPr>
              <w:t>Moderate likelihood</w:t>
            </w:r>
          </w:p>
        </w:tc>
      </w:tr>
      <w:tr w:rsidR="00D65254" w:rsidRPr="00F6352D" w14:paraId="417D0E7D" w14:textId="77777777" w:rsidTr="00FF4CA3">
        <w:trPr>
          <w:trHeight w:val="60"/>
        </w:trPr>
        <w:tc>
          <w:tcPr>
            <w:tcW w:w="2605" w:type="dxa"/>
            <w:tcBorders>
              <w:top w:val="nil"/>
              <w:bottom w:val="nil"/>
            </w:tcBorders>
          </w:tcPr>
          <w:p w14:paraId="16EFC4B7" w14:textId="77777777" w:rsidR="00D65254" w:rsidRDefault="00D65254" w:rsidP="002320B3">
            <w:pPr>
              <w:pStyle w:val="NormalWeb"/>
              <w:spacing w:before="0" w:beforeAutospacing="0" w:after="0" w:afterAutospacing="0"/>
              <w:rPr>
                <w:rFonts w:asciiTheme="majorHAnsi" w:hAnsiTheme="majorHAnsi" w:cstheme="majorHAnsi"/>
                <w:color w:val="000000" w:themeColor="text1"/>
                <w:sz w:val="20"/>
                <w:szCs w:val="20"/>
              </w:rPr>
            </w:pPr>
          </w:p>
        </w:tc>
        <w:tc>
          <w:tcPr>
            <w:tcW w:w="5850" w:type="dxa"/>
          </w:tcPr>
          <w:p w14:paraId="34386B7A" w14:textId="77777777" w:rsidR="00D65254" w:rsidRPr="00B9716C" w:rsidRDefault="00D65254" w:rsidP="002320B3">
            <w:pPr>
              <w:rPr>
                <w:rFonts w:asciiTheme="majorHAnsi" w:hAnsiTheme="majorHAnsi" w:cstheme="majorHAnsi"/>
                <w:color w:val="000000" w:themeColor="text1"/>
                <w:sz w:val="20"/>
                <w:szCs w:val="20"/>
              </w:rPr>
            </w:pPr>
            <w:r w:rsidRPr="00B9716C">
              <w:rPr>
                <w:rFonts w:asciiTheme="majorHAnsi" w:hAnsiTheme="majorHAnsi" w:cstheme="majorHAnsi"/>
                <w:color w:val="000000" w:themeColor="text1"/>
                <w:sz w:val="20"/>
                <w:szCs w:val="20"/>
              </w:rPr>
              <w:t>IO2: Education leaders and managers have strengthened capacity to implement school-based learning outcomes initiatives</w:t>
            </w:r>
          </w:p>
        </w:tc>
        <w:tc>
          <w:tcPr>
            <w:tcW w:w="1980" w:type="dxa"/>
          </w:tcPr>
          <w:p w14:paraId="737FF159" w14:textId="77777777" w:rsidR="00D65254" w:rsidRPr="00493494" w:rsidRDefault="00D65254" w:rsidP="002320B3">
            <w:pPr>
              <w:pStyle w:val="NormalWeb"/>
              <w:spacing w:before="0" w:beforeAutospacing="0" w:after="0" w:afterAutospacing="0"/>
              <w:rPr>
                <w:rFonts w:asciiTheme="majorHAnsi" w:hAnsiTheme="majorHAnsi" w:cstheme="majorHAnsi"/>
                <w:sz w:val="20"/>
                <w:szCs w:val="20"/>
              </w:rPr>
            </w:pPr>
            <w:r w:rsidRPr="00493494">
              <w:rPr>
                <w:rFonts w:asciiTheme="majorHAnsi" w:hAnsiTheme="majorHAnsi" w:cstheme="majorHAnsi"/>
                <w:sz w:val="20"/>
                <w:szCs w:val="20"/>
              </w:rPr>
              <w:t>Relevant</w:t>
            </w:r>
          </w:p>
        </w:tc>
        <w:tc>
          <w:tcPr>
            <w:tcW w:w="2070" w:type="dxa"/>
          </w:tcPr>
          <w:p w14:paraId="0E5ACEDC" w14:textId="77777777" w:rsidR="00D65254" w:rsidRPr="00493494" w:rsidRDefault="00D65254" w:rsidP="002320B3">
            <w:pPr>
              <w:pStyle w:val="NormalWeb"/>
              <w:spacing w:before="0" w:beforeAutospacing="0" w:after="0" w:afterAutospacing="0"/>
              <w:rPr>
                <w:rFonts w:asciiTheme="majorHAnsi" w:hAnsiTheme="majorHAnsi" w:cstheme="majorHAnsi"/>
                <w:color w:val="C45911" w:themeColor="accent2" w:themeShade="BF"/>
                <w:sz w:val="20"/>
                <w:szCs w:val="20"/>
              </w:rPr>
            </w:pPr>
            <w:r w:rsidRPr="00950A14">
              <w:rPr>
                <w:rFonts w:asciiTheme="majorHAnsi" w:hAnsiTheme="majorHAnsi" w:cstheme="majorHAnsi"/>
                <w:color w:val="000000" w:themeColor="text1"/>
                <w:sz w:val="20"/>
                <w:szCs w:val="20"/>
              </w:rPr>
              <w:t>Considerable</w:t>
            </w:r>
          </w:p>
        </w:tc>
        <w:tc>
          <w:tcPr>
            <w:tcW w:w="1980" w:type="dxa"/>
          </w:tcPr>
          <w:p w14:paraId="4CBE7436" w14:textId="77777777" w:rsidR="00D65254" w:rsidRPr="00493494" w:rsidRDefault="00D65254" w:rsidP="002320B3">
            <w:pPr>
              <w:pStyle w:val="NormalWeb"/>
              <w:spacing w:before="0" w:beforeAutospacing="0" w:after="0" w:afterAutospacing="0"/>
              <w:rPr>
                <w:rFonts w:asciiTheme="majorHAnsi" w:hAnsiTheme="majorHAnsi" w:cstheme="majorHAnsi"/>
                <w:color w:val="C45911" w:themeColor="accent2" w:themeShade="BF"/>
                <w:sz w:val="20"/>
                <w:szCs w:val="20"/>
              </w:rPr>
            </w:pPr>
            <w:r w:rsidRPr="00950A14">
              <w:rPr>
                <w:rFonts w:asciiTheme="majorHAnsi" w:hAnsiTheme="majorHAnsi" w:cstheme="majorHAnsi"/>
                <w:color w:val="000000" w:themeColor="text1"/>
                <w:sz w:val="20"/>
                <w:szCs w:val="20"/>
              </w:rPr>
              <w:t>Moderate likelihood</w:t>
            </w:r>
          </w:p>
        </w:tc>
      </w:tr>
      <w:tr w:rsidR="00D65254" w:rsidRPr="00F6352D" w14:paraId="5DB8624E" w14:textId="77777777" w:rsidTr="00FF4CA3">
        <w:trPr>
          <w:trHeight w:val="60"/>
        </w:trPr>
        <w:tc>
          <w:tcPr>
            <w:tcW w:w="2605" w:type="dxa"/>
            <w:tcBorders>
              <w:top w:val="nil"/>
              <w:bottom w:val="nil"/>
            </w:tcBorders>
          </w:tcPr>
          <w:p w14:paraId="06870B7B" w14:textId="77777777" w:rsidR="00D65254" w:rsidRDefault="00D65254" w:rsidP="002320B3">
            <w:pPr>
              <w:pStyle w:val="NormalWeb"/>
              <w:spacing w:before="0" w:beforeAutospacing="0" w:after="0" w:afterAutospacing="0"/>
              <w:rPr>
                <w:rFonts w:asciiTheme="majorHAnsi" w:hAnsiTheme="majorHAnsi" w:cstheme="majorHAnsi"/>
                <w:color w:val="000000" w:themeColor="text1"/>
                <w:sz w:val="20"/>
                <w:szCs w:val="20"/>
              </w:rPr>
            </w:pPr>
          </w:p>
        </w:tc>
        <w:tc>
          <w:tcPr>
            <w:tcW w:w="5850" w:type="dxa"/>
          </w:tcPr>
          <w:p w14:paraId="55984EE8" w14:textId="77777777" w:rsidR="00D65254" w:rsidRPr="00B9716C" w:rsidRDefault="00D65254" w:rsidP="002320B3">
            <w:pPr>
              <w:rPr>
                <w:rFonts w:asciiTheme="majorHAnsi" w:hAnsiTheme="majorHAnsi" w:cstheme="majorHAnsi"/>
                <w:color w:val="000000" w:themeColor="text1"/>
                <w:sz w:val="20"/>
                <w:szCs w:val="20"/>
              </w:rPr>
            </w:pPr>
            <w:r w:rsidRPr="00B9716C">
              <w:rPr>
                <w:rFonts w:asciiTheme="majorHAnsi" w:hAnsiTheme="majorHAnsi" w:cstheme="majorHAnsi"/>
                <w:color w:val="000000" w:themeColor="text1"/>
                <w:sz w:val="20"/>
                <w:szCs w:val="20"/>
              </w:rPr>
              <w:t>IO3: Curriculum and assessment approach international standards</w:t>
            </w:r>
          </w:p>
        </w:tc>
        <w:tc>
          <w:tcPr>
            <w:tcW w:w="1980" w:type="dxa"/>
          </w:tcPr>
          <w:p w14:paraId="4F17EC07" w14:textId="77777777" w:rsidR="00D65254" w:rsidRDefault="00D65254" w:rsidP="002320B3">
            <w:pPr>
              <w:pStyle w:val="NormalWeb"/>
              <w:spacing w:before="0" w:beforeAutospacing="0" w:after="0" w:afterAutospacing="0"/>
              <w:rPr>
                <w:rFonts w:asciiTheme="majorHAnsi" w:hAnsiTheme="majorHAnsi" w:cstheme="majorHAnsi"/>
                <w:color w:val="000000" w:themeColor="text1"/>
                <w:sz w:val="20"/>
                <w:szCs w:val="20"/>
              </w:rPr>
            </w:pPr>
            <w:r w:rsidRPr="00493494">
              <w:rPr>
                <w:rFonts w:asciiTheme="majorHAnsi" w:hAnsiTheme="majorHAnsi" w:cstheme="majorHAnsi"/>
                <w:color w:val="538135" w:themeColor="accent6" w:themeShade="BF"/>
                <w:sz w:val="20"/>
                <w:szCs w:val="20"/>
              </w:rPr>
              <w:t>Highly relevant</w:t>
            </w:r>
          </w:p>
        </w:tc>
        <w:tc>
          <w:tcPr>
            <w:tcW w:w="2070" w:type="dxa"/>
          </w:tcPr>
          <w:p w14:paraId="63C6A8E6" w14:textId="77777777" w:rsidR="00D65254" w:rsidRDefault="00D65254" w:rsidP="002320B3">
            <w:pPr>
              <w:pStyle w:val="NormalWeb"/>
              <w:spacing w:before="0" w:beforeAutospacing="0" w:after="0" w:afterAutospacing="0"/>
              <w:rPr>
                <w:rFonts w:asciiTheme="majorHAnsi" w:hAnsiTheme="majorHAnsi" w:cstheme="majorHAnsi"/>
                <w:color w:val="000000" w:themeColor="text1"/>
                <w:sz w:val="20"/>
                <w:szCs w:val="20"/>
              </w:rPr>
            </w:pPr>
            <w:r w:rsidRPr="00493494">
              <w:rPr>
                <w:rFonts w:asciiTheme="majorHAnsi" w:hAnsiTheme="majorHAnsi" w:cstheme="majorHAnsi"/>
                <w:sz w:val="20"/>
                <w:szCs w:val="20"/>
              </w:rPr>
              <w:t>Significant</w:t>
            </w:r>
          </w:p>
        </w:tc>
        <w:tc>
          <w:tcPr>
            <w:tcW w:w="1980" w:type="dxa"/>
          </w:tcPr>
          <w:p w14:paraId="574A7005" w14:textId="77777777" w:rsidR="00D65254" w:rsidRPr="00493494" w:rsidRDefault="00D65254" w:rsidP="002320B3">
            <w:pPr>
              <w:pStyle w:val="NormalWeb"/>
              <w:spacing w:before="0" w:beforeAutospacing="0" w:after="0" w:afterAutospacing="0"/>
              <w:rPr>
                <w:rFonts w:asciiTheme="majorHAnsi" w:hAnsiTheme="majorHAnsi" w:cstheme="majorHAnsi"/>
                <w:sz w:val="20"/>
                <w:szCs w:val="20"/>
              </w:rPr>
            </w:pPr>
            <w:r w:rsidRPr="00493494">
              <w:rPr>
                <w:rFonts w:asciiTheme="majorHAnsi" w:hAnsiTheme="majorHAnsi" w:cstheme="majorHAnsi"/>
                <w:sz w:val="20"/>
                <w:szCs w:val="20"/>
              </w:rPr>
              <w:t>High likelihood</w:t>
            </w:r>
          </w:p>
        </w:tc>
      </w:tr>
      <w:tr w:rsidR="00D65254" w:rsidRPr="00F6352D" w14:paraId="4EE6F63B" w14:textId="77777777" w:rsidTr="00FF4CA3">
        <w:trPr>
          <w:trHeight w:val="60"/>
        </w:trPr>
        <w:tc>
          <w:tcPr>
            <w:tcW w:w="2605" w:type="dxa"/>
            <w:tcBorders>
              <w:top w:val="nil"/>
              <w:bottom w:val="nil"/>
            </w:tcBorders>
          </w:tcPr>
          <w:p w14:paraId="3CA7E7D1" w14:textId="77777777" w:rsidR="00D65254" w:rsidRDefault="00D65254" w:rsidP="002320B3">
            <w:pPr>
              <w:pStyle w:val="NormalWeb"/>
              <w:spacing w:before="0" w:beforeAutospacing="0" w:after="0" w:afterAutospacing="0"/>
              <w:rPr>
                <w:rFonts w:asciiTheme="majorHAnsi" w:hAnsiTheme="majorHAnsi" w:cstheme="majorHAnsi"/>
                <w:color w:val="000000" w:themeColor="text1"/>
                <w:sz w:val="20"/>
                <w:szCs w:val="20"/>
              </w:rPr>
            </w:pPr>
          </w:p>
        </w:tc>
        <w:tc>
          <w:tcPr>
            <w:tcW w:w="5850" w:type="dxa"/>
          </w:tcPr>
          <w:p w14:paraId="6EBD7FCE" w14:textId="77777777" w:rsidR="00D65254" w:rsidRPr="00B9716C" w:rsidRDefault="00D65254" w:rsidP="002320B3">
            <w:pPr>
              <w:rPr>
                <w:rFonts w:asciiTheme="majorHAnsi" w:hAnsiTheme="majorHAnsi" w:cstheme="majorHAnsi"/>
                <w:color w:val="000000" w:themeColor="text1"/>
                <w:sz w:val="20"/>
                <w:szCs w:val="20"/>
              </w:rPr>
            </w:pPr>
            <w:r w:rsidRPr="00B9716C">
              <w:rPr>
                <w:rFonts w:asciiTheme="majorHAnsi" w:hAnsiTheme="majorHAnsi" w:cstheme="majorHAnsi"/>
                <w:color w:val="000000" w:themeColor="text1"/>
                <w:sz w:val="20"/>
                <w:szCs w:val="20"/>
              </w:rPr>
              <w:t>IO4: Appropriate learning and teaching materials are available and more accessible</w:t>
            </w:r>
          </w:p>
        </w:tc>
        <w:tc>
          <w:tcPr>
            <w:tcW w:w="1980" w:type="dxa"/>
          </w:tcPr>
          <w:p w14:paraId="76DCFE97" w14:textId="77777777" w:rsidR="00D65254" w:rsidRPr="00493494" w:rsidRDefault="00D65254" w:rsidP="002320B3">
            <w:pPr>
              <w:pStyle w:val="NormalWeb"/>
              <w:spacing w:before="0" w:beforeAutospacing="0" w:after="0" w:afterAutospacing="0"/>
              <w:rPr>
                <w:rFonts w:asciiTheme="majorHAnsi" w:hAnsiTheme="majorHAnsi" w:cstheme="majorHAnsi"/>
                <w:sz w:val="20"/>
                <w:szCs w:val="20"/>
              </w:rPr>
            </w:pPr>
            <w:r w:rsidRPr="00493494">
              <w:rPr>
                <w:rFonts w:asciiTheme="majorHAnsi" w:hAnsiTheme="majorHAnsi" w:cstheme="majorHAnsi"/>
                <w:sz w:val="20"/>
                <w:szCs w:val="20"/>
              </w:rPr>
              <w:t>Relevant</w:t>
            </w:r>
          </w:p>
        </w:tc>
        <w:tc>
          <w:tcPr>
            <w:tcW w:w="2070" w:type="dxa"/>
          </w:tcPr>
          <w:p w14:paraId="171FD155" w14:textId="77777777" w:rsidR="00D65254" w:rsidRDefault="00D65254" w:rsidP="002320B3">
            <w:pPr>
              <w:pStyle w:val="NormalWeb"/>
              <w:spacing w:before="0" w:beforeAutospacing="0" w:after="0" w:afterAutospacing="0"/>
              <w:rPr>
                <w:rFonts w:asciiTheme="majorHAnsi" w:hAnsiTheme="majorHAnsi" w:cstheme="majorHAnsi"/>
                <w:color w:val="000000" w:themeColor="text1"/>
                <w:sz w:val="20"/>
                <w:szCs w:val="20"/>
              </w:rPr>
            </w:pPr>
            <w:r w:rsidRPr="00950A14">
              <w:rPr>
                <w:rFonts w:asciiTheme="majorHAnsi" w:hAnsiTheme="majorHAnsi" w:cstheme="majorHAnsi"/>
                <w:color w:val="000000" w:themeColor="text1"/>
                <w:sz w:val="20"/>
                <w:szCs w:val="20"/>
              </w:rPr>
              <w:t>Considerable</w:t>
            </w:r>
          </w:p>
        </w:tc>
        <w:tc>
          <w:tcPr>
            <w:tcW w:w="1980" w:type="dxa"/>
          </w:tcPr>
          <w:p w14:paraId="3AAE61B3" w14:textId="77777777" w:rsidR="00D65254" w:rsidRPr="00082AF8" w:rsidRDefault="00D65254" w:rsidP="002320B3">
            <w:pPr>
              <w:pStyle w:val="NormalWeb"/>
              <w:spacing w:before="0" w:beforeAutospacing="0" w:after="0" w:afterAutospacing="0"/>
              <w:rPr>
                <w:rFonts w:asciiTheme="majorHAnsi" w:hAnsiTheme="majorHAnsi" w:cstheme="majorHAnsi"/>
                <w:color w:val="000000" w:themeColor="text1"/>
                <w:sz w:val="20"/>
                <w:szCs w:val="20"/>
              </w:rPr>
            </w:pPr>
            <w:r w:rsidRPr="00950A14">
              <w:rPr>
                <w:rFonts w:asciiTheme="majorHAnsi" w:hAnsiTheme="majorHAnsi" w:cstheme="majorHAnsi"/>
                <w:color w:val="000000" w:themeColor="text1"/>
                <w:sz w:val="20"/>
                <w:szCs w:val="20"/>
              </w:rPr>
              <w:t>Moderate likelihood</w:t>
            </w:r>
          </w:p>
        </w:tc>
      </w:tr>
      <w:tr w:rsidR="00D65254" w:rsidRPr="00F6352D" w14:paraId="3B1A1869" w14:textId="77777777" w:rsidTr="00FF4CA3">
        <w:trPr>
          <w:trHeight w:val="60"/>
        </w:trPr>
        <w:tc>
          <w:tcPr>
            <w:tcW w:w="2605" w:type="dxa"/>
            <w:tcBorders>
              <w:top w:val="nil"/>
              <w:bottom w:val="nil"/>
            </w:tcBorders>
          </w:tcPr>
          <w:p w14:paraId="2EEDDF50" w14:textId="77777777" w:rsidR="00D65254" w:rsidRDefault="00D65254" w:rsidP="002320B3">
            <w:pPr>
              <w:pStyle w:val="NormalWeb"/>
              <w:spacing w:before="0" w:beforeAutospacing="0" w:after="0" w:afterAutospacing="0"/>
              <w:rPr>
                <w:rFonts w:asciiTheme="majorHAnsi" w:hAnsiTheme="majorHAnsi" w:cstheme="majorHAnsi"/>
                <w:color w:val="000000" w:themeColor="text1"/>
                <w:sz w:val="20"/>
                <w:szCs w:val="20"/>
              </w:rPr>
            </w:pPr>
          </w:p>
        </w:tc>
        <w:tc>
          <w:tcPr>
            <w:tcW w:w="5850" w:type="dxa"/>
          </w:tcPr>
          <w:p w14:paraId="29CF5224" w14:textId="77777777" w:rsidR="00D65254" w:rsidRPr="00B9716C" w:rsidRDefault="00D65254" w:rsidP="002320B3">
            <w:pPr>
              <w:rPr>
                <w:rFonts w:asciiTheme="majorHAnsi" w:hAnsiTheme="majorHAnsi" w:cstheme="majorHAnsi"/>
                <w:color w:val="000000" w:themeColor="text1"/>
                <w:sz w:val="20"/>
                <w:szCs w:val="20"/>
              </w:rPr>
            </w:pPr>
            <w:r w:rsidRPr="00B9716C">
              <w:rPr>
                <w:rFonts w:asciiTheme="majorHAnsi" w:hAnsiTheme="majorHAnsi" w:cstheme="majorHAnsi"/>
                <w:color w:val="000000" w:themeColor="text1"/>
                <w:sz w:val="20"/>
                <w:szCs w:val="20"/>
              </w:rPr>
              <w:t>IO5: Education facilities built within appropriate standards and in the right places.</w:t>
            </w:r>
          </w:p>
        </w:tc>
        <w:tc>
          <w:tcPr>
            <w:tcW w:w="1980" w:type="dxa"/>
          </w:tcPr>
          <w:p w14:paraId="118EEE65" w14:textId="77777777" w:rsidR="00D65254" w:rsidRPr="00493494" w:rsidRDefault="00D65254" w:rsidP="002320B3">
            <w:pPr>
              <w:pStyle w:val="NormalWeb"/>
              <w:spacing w:before="0" w:beforeAutospacing="0" w:after="0" w:afterAutospacing="0"/>
              <w:rPr>
                <w:rFonts w:asciiTheme="majorHAnsi" w:hAnsiTheme="majorHAnsi" w:cstheme="majorHAnsi"/>
                <w:sz w:val="20"/>
                <w:szCs w:val="20"/>
              </w:rPr>
            </w:pPr>
            <w:r w:rsidRPr="00493494">
              <w:rPr>
                <w:rFonts w:asciiTheme="majorHAnsi" w:hAnsiTheme="majorHAnsi" w:cstheme="majorHAnsi"/>
                <w:sz w:val="20"/>
                <w:szCs w:val="20"/>
              </w:rPr>
              <w:t>Relevant</w:t>
            </w:r>
          </w:p>
        </w:tc>
        <w:tc>
          <w:tcPr>
            <w:tcW w:w="2070" w:type="dxa"/>
          </w:tcPr>
          <w:p w14:paraId="335C5ED3" w14:textId="77777777" w:rsidR="00D65254" w:rsidRDefault="00D65254" w:rsidP="002320B3">
            <w:pPr>
              <w:pStyle w:val="NormalWeb"/>
              <w:spacing w:before="0" w:beforeAutospacing="0" w:after="0" w:afterAutospacing="0"/>
              <w:rPr>
                <w:rFonts w:asciiTheme="majorHAnsi" w:hAnsiTheme="majorHAnsi" w:cstheme="majorHAnsi"/>
                <w:color w:val="000000" w:themeColor="text1"/>
                <w:sz w:val="20"/>
                <w:szCs w:val="20"/>
              </w:rPr>
            </w:pPr>
            <w:r w:rsidRPr="00493494">
              <w:rPr>
                <w:rFonts w:asciiTheme="majorHAnsi" w:hAnsiTheme="majorHAnsi" w:cstheme="majorHAnsi"/>
                <w:sz w:val="20"/>
                <w:szCs w:val="20"/>
              </w:rPr>
              <w:t>Significant</w:t>
            </w:r>
          </w:p>
        </w:tc>
        <w:tc>
          <w:tcPr>
            <w:tcW w:w="1980" w:type="dxa"/>
          </w:tcPr>
          <w:p w14:paraId="79AE9F16" w14:textId="77777777" w:rsidR="00D65254" w:rsidRPr="00082AF8" w:rsidRDefault="00D65254" w:rsidP="002320B3">
            <w:pPr>
              <w:pStyle w:val="NormalWeb"/>
              <w:spacing w:before="0" w:beforeAutospacing="0" w:after="0" w:afterAutospacing="0"/>
              <w:rPr>
                <w:rFonts w:asciiTheme="majorHAnsi" w:hAnsiTheme="majorHAnsi" w:cstheme="majorHAnsi"/>
                <w:color w:val="000000" w:themeColor="text1"/>
                <w:sz w:val="20"/>
                <w:szCs w:val="20"/>
              </w:rPr>
            </w:pPr>
            <w:r w:rsidRPr="00493494">
              <w:rPr>
                <w:rFonts w:asciiTheme="majorHAnsi" w:hAnsiTheme="majorHAnsi" w:cstheme="majorHAnsi"/>
                <w:sz w:val="20"/>
                <w:szCs w:val="20"/>
              </w:rPr>
              <w:t>High likelihood</w:t>
            </w:r>
          </w:p>
        </w:tc>
      </w:tr>
      <w:tr w:rsidR="00D65254" w:rsidRPr="00F6352D" w14:paraId="150E9D59" w14:textId="77777777" w:rsidTr="00FF4CA3">
        <w:trPr>
          <w:trHeight w:val="60"/>
        </w:trPr>
        <w:tc>
          <w:tcPr>
            <w:tcW w:w="2605" w:type="dxa"/>
            <w:tcBorders>
              <w:top w:val="nil"/>
              <w:bottom w:val="nil"/>
            </w:tcBorders>
          </w:tcPr>
          <w:p w14:paraId="1BEBF62F" w14:textId="77777777" w:rsidR="00D65254" w:rsidRDefault="00D65254" w:rsidP="002320B3">
            <w:pPr>
              <w:pStyle w:val="NormalWeb"/>
              <w:spacing w:before="0" w:beforeAutospacing="0" w:after="0" w:afterAutospacing="0"/>
              <w:rPr>
                <w:rFonts w:asciiTheme="majorHAnsi" w:hAnsiTheme="majorHAnsi" w:cstheme="majorHAnsi"/>
                <w:color w:val="000000" w:themeColor="text1"/>
                <w:sz w:val="20"/>
                <w:szCs w:val="20"/>
              </w:rPr>
            </w:pPr>
          </w:p>
        </w:tc>
        <w:tc>
          <w:tcPr>
            <w:tcW w:w="5850" w:type="dxa"/>
          </w:tcPr>
          <w:p w14:paraId="46AB056D" w14:textId="77777777" w:rsidR="00D65254" w:rsidRPr="00B9716C" w:rsidRDefault="00D65254" w:rsidP="002320B3">
            <w:pPr>
              <w:rPr>
                <w:rFonts w:asciiTheme="majorHAnsi" w:eastAsiaTheme="minorHAnsi" w:hAnsiTheme="majorHAnsi" w:cstheme="majorHAnsi"/>
                <w:color w:val="000000" w:themeColor="text1"/>
                <w:sz w:val="20"/>
                <w:szCs w:val="20"/>
              </w:rPr>
            </w:pPr>
            <w:r w:rsidRPr="00B9716C">
              <w:rPr>
                <w:rFonts w:asciiTheme="majorHAnsi" w:hAnsiTheme="majorHAnsi" w:cstheme="majorHAnsi"/>
                <w:color w:val="000000" w:themeColor="text1"/>
                <w:sz w:val="20"/>
                <w:szCs w:val="20"/>
              </w:rPr>
              <w:t xml:space="preserve">IO7: </w:t>
            </w:r>
            <w:r>
              <w:rPr>
                <w:rFonts w:asciiTheme="majorHAnsi" w:hAnsiTheme="majorHAnsi" w:cstheme="majorHAnsi"/>
                <w:color w:val="000000" w:themeColor="text1"/>
                <w:sz w:val="20"/>
                <w:szCs w:val="20"/>
              </w:rPr>
              <w:t>DepEd</w:t>
            </w:r>
            <w:r w:rsidRPr="00B9716C">
              <w:rPr>
                <w:rFonts w:asciiTheme="majorHAnsi" w:hAnsiTheme="majorHAnsi" w:cstheme="majorHAnsi"/>
                <w:color w:val="000000" w:themeColor="text1"/>
                <w:sz w:val="20"/>
                <w:szCs w:val="20"/>
              </w:rPr>
              <w:t xml:space="preserve"> able to articulate implementation strategies to improve access for children from specific contexts</w:t>
            </w:r>
          </w:p>
        </w:tc>
        <w:tc>
          <w:tcPr>
            <w:tcW w:w="1980" w:type="dxa"/>
          </w:tcPr>
          <w:p w14:paraId="29FBF473" w14:textId="77777777" w:rsidR="00D65254" w:rsidRPr="00493494" w:rsidRDefault="00D65254" w:rsidP="002320B3">
            <w:pPr>
              <w:pStyle w:val="NormalWeb"/>
              <w:spacing w:before="0" w:beforeAutospacing="0" w:after="0" w:afterAutospacing="0"/>
              <w:rPr>
                <w:rFonts w:asciiTheme="majorHAnsi" w:hAnsiTheme="majorHAnsi" w:cstheme="majorHAnsi"/>
                <w:sz w:val="20"/>
                <w:szCs w:val="20"/>
              </w:rPr>
            </w:pPr>
            <w:r w:rsidRPr="00493494">
              <w:rPr>
                <w:rFonts w:asciiTheme="majorHAnsi" w:hAnsiTheme="majorHAnsi" w:cstheme="majorHAnsi"/>
                <w:sz w:val="20"/>
                <w:szCs w:val="20"/>
              </w:rPr>
              <w:t>Relevant</w:t>
            </w:r>
          </w:p>
        </w:tc>
        <w:tc>
          <w:tcPr>
            <w:tcW w:w="2070" w:type="dxa"/>
          </w:tcPr>
          <w:p w14:paraId="41DDAF0D" w14:textId="77777777" w:rsidR="00D65254" w:rsidRPr="00493494" w:rsidRDefault="00D65254" w:rsidP="002320B3">
            <w:pPr>
              <w:pStyle w:val="NormalWeb"/>
              <w:spacing w:before="0" w:beforeAutospacing="0" w:after="0" w:afterAutospacing="0"/>
              <w:rPr>
                <w:rFonts w:asciiTheme="majorHAnsi" w:hAnsiTheme="majorHAnsi" w:cstheme="majorHAnsi"/>
                <w:color w:val="C45911" w:themeColor="accent2" w:themeShade="BF"/>
                <w:sz w:val="20"/>
                <w:szCs w:val="20"/>
              </w:rPr>
            </w:pPr>
            <w:r w:rsidRPr="00950A14">
              <w:rPr>
                <w:rFonts w:asciiTheme="majorHAnsi" w:hAnsiTheme="majorHAnsi" w:cstheme="majorHAnsi"/>
                <w:color w:val="000000" w:themeColor="text1"/>
                <w:sz w:val="20"/>
                <w:szCs w:val="20"/>
              </w:rPr>
              <w:t>Considerable</w:t>
            </w:r>
          </w:p>
        </w:tc>
        <w:tc>
          <w:tcPr>
            <w:tcW w:w="1980" w:type="dxa"/>
          </w:tcPr>
          <w:p w14:paraId="7091664D" w14:textId="77777777" w:rsidR="00D65254" w:rsidRPr="00493494" w:rsidRDefault="00D65254" w:rsidP="002320B3">
            <w:pPr>
              <w:pStyle w:val="NormalWeb"/>
              <w:spacing w:before="0" w:beforeAutospacing="0" w:after="0" w:afterAutospacing="0"/>
              <w:rPr>
                <w:rFonts w:asciiTheme="majorHAnsi" w:hAnsiTheme="majorHAnsi" w:cstheme="majorHAnsi"/>
                <w:color w:val="C45911" w:themeColor="accent2" w:themeShade="BF"/>
                <w:sz w:val="20"/>
                <w:szCs w:val="20"/>
              </w:rPr>
            </w:pPr>
            <w:r w:rsidRPr="00950A14">
              <w:rPr>
                <w:rFonts w:asciiTheme="majorHAnsi" w:hAnsiTheme="majorHAnsi" w:cstheme="majorHAnsi"/>
                <w:color w:val="000000" w:themeColor="text1"/>
                <w:sz w:val="20"/>
                <w:szCs w:val="20"/>
              </w:rPr>
              <w:t>Moderate likelihood</w:t>
            </w:r>
          </w:p>
        </w:tc>
      </w:tr>
      <w:tr w:rsidR="00D65254" w:rsidRPr="00F6352D" w14:paraId="3475DFB4" w14:textId="77777777" w:rsidTr="00FF4CA3">
        <w:trPr>
          <w:trHeight w:val="60"/>
        </w:trPr>
        <w:tc>
          <w:tcPr>
            <w:tcW w:w="2605" w:type="dxa"/>
            <w:tcBorders>
              <w:top w:val="nil"/>
              <w:bottom w:val="single" w:sz="4" w:space="0" w:color="auto"/>
            </w:tcBorders>
          </w:tcPr>
          <w:p w14:paraId="2EC1AD8B" w14:textId="77777777" w:rsidR="00D65254" w:rsidRDefault="00D65254" w:rsidP="002320B3">
            <w:pPr>
              <w:pStyle w:val="NormalWeb"/>
              <w:spacing w:before="0" w:beforeAutospacing="0" w:after="0" w:afterAutospacing="0"/>
              <w:rPr>
                <w:rFonts w:asciiTheme="majorHAnsi" w:hAnsiTheme="majorHAnsi" w:cstheme="majorHAnsi"/>
                <w:color w:val="000000" w:themeColor="text1"/>
                <w:sz w:val="20"/>
                <w:szCs w:val="20"/>
              </w:rPr>
            </w:pPr>
          </w:p>
        </w:tc>
        <w:tc>
          <w:tcPr>
            <w:tcW w:w="5850" w:type="dxa"/>
          </w:tcPr>
          <w:p w14:paraId="4830CBA9" w14:textId="77777777" w:rsidR="00D65254" w:rsidRPr="00B9716C" w:rsidRDefault="00D65254" w:rsidP="002320B3">
            <w:pPr>
              <w:rPr>
                <w:rFonts w:asciiTheme="majorHAnsi" w:eastAsiaTheme="minorHAnsi" w:hAnsiTheme="majorHAnsi" w:cstheme="majorHAnsi"/>
                <w:color w:val="000000" w:themeColor="text1"/>
                <w:sz w:val="20"/>
                <w:szCs w:val="20"/>
              </w:rPr>
            </w:pPr>
            <w:r w:rsidRPr="00B9716C">
              <w:rPr>
                <w:rFonts w:asciiTheme="majorHAnsi" w:eastAsiaTheme="minorHAnsi" w:hAnsiTheme="majorHAnsi" w:cstheme="majorHAnsi"/>
                <w:color w:val="000000" w:themeColor="text1"/>
                <w:sz w:val="20"/>
                <w:szCs w:val="20"/>
              </w:rPr>
              <w:t>IO8: Strengthen capacity for planning and evidence-based decision making and policy formulation</w:t>
            </w:r>
          </w:p>
        </w:tc>
        <w:tc>
          <w:tcPr>
            <w:tcW w:w="1980" w:type="dxa"/>
          </w:tcPr>
          <w:p w14:paraId="1301FA9F" w14:textId="77777777" w:rsidR="00D65254" w:rsidRPr="00493494" w:rsidRDefault="00D65254" w:rsidP="002320B3">
            <w:pPr>
              <w:pStyle w:val="NormalWeb"/>
              <w:spacing w:before="0" w:beforeAutospacing="0" w:after="0" w:afterAutospacing="0"/>
              <w:rPr>
                <w:rFonts w:asciiTheme="majorHAnsi" w:hAnsiTheme="majorHAnsi" w:cstheme="majorHAnsi"/>
                <w:sz w:val="20"/>
                <w:szCs w:val="20"/>
              </w:rPr>
            </w:pPr>
            <w:r w:rsidRPr="00493494">
              <w:rPr>
                <w:rFonts w:asciiTheme="majorHAnsi" w:hAnsiTheme="majorHAnsi" w:cstheme="majorHAnsi"/>
                <w:sz w:val="20"/>
                <w:szCs w:val="20"/>
              </w:rPr>
              <w:t>Relevant</w:t>
            </w:r>
          </w:p>
        </w:tc>
        <w:tc>
          <w:tcPr>
            <w:tcW w:w="2070" w:type="dxa"/>
          </w:tcPr>
          <w:p w14:paraId="4DF872A3" w14:textId="77777777" w:rsidR="00D65254" w:rsidRPr="00493494" w:rsidRDefault="00D65254" w:rsidP="002320B3">
            <w:pPr>
              <w:pStyle w:val="NormalWeb"/>
              <w:spacing w:before="0" w:beforeAutospacing="0" w:after="0" w:afterAutospacing="0"/>
              <w:rPr>
                <w:rFonts w:asciiTheme="majorHAnsi" w:hAnsiTheme="majorHAnsi" w:cstheme="majorHAnsi"/>
                <w:color w:val="C45911" w:themeColor="accent2" w:themeShade="BF"/>
                <w:sz w:val="20"/>
                <w:szCs w:val="20"/>
              </w:rPr>
            </w:pPr>
            <w:r w:rsidRPr="00950A14">
              <w:rPr>
                <w:rFonts w:asciiTheme="majorHAnsi" w:hAnsiTheme="majorHAnsi" w:cstheme="majorHAnsi"/>
                <w:color w:val="000000" w:themeColor="text1"/>
                <w:sz w:val="20"/>
                <w:szCs w:val="20"/>
              </w:rPr>
              <w:t>Considerable</w:t>
            </w:r>
          </w:p>
        </w:tc>
        <w:tc>
          <w:tcPr>
            <w:tcW w:w="1980" w:type="dxa"/>
          </w:tcPr>
          <w:p w14:paraId="4F52BEFD" w14:textId="77777777" w:rsidR="00D65254" w:rsidRPr="00493494" w:rsidRDefault="00D65254" w:rsidP="002320B3">
            <w:pPr>
              <w:pStyle w:val="NormalWeb"/>
              <w:spacing w:before="0" w:beforeAutospacing="0" w:after="0" w:afterAutospacing="0"/>
              <w:rPr>
                <w:rFonts w:asciiTheme="majorHAnsi" w:hAnsiTheme="majorHAnsi" w:cstheme="majorHAnsi"/>
                <w:color w:val="C45911" w:themeColor="accent2" w:themeShade="BF"/>
                <w:sz w:val="20"/>
                <w:szCs w:val="20"/>
              </w:rPr>
            </w:pPr>
            <w:r w:rsidRPr="00950A14">
              <w:rPr>
                <w:rFonts w:asciiTheme="majorHAnsi" w:hAnsiTheme="majorHAnsi" w:cstheme="majorHAnsi"/>
                <w:sz w:val="20"/>
                <w:szCs w:val="20"/>
              </w:rPr>
              <w:t>High likelihood</w:t>
            </w:r>
          </w:p>
        </w:tc>
      </w:tr>
      <w:tr w:rsidR="00D65254" w:rsidRPr="00F6352D" w14:paraId="1D08F304" w14:textId="77777777" w:rsidTr="00FF4CA3">
        <w:trPr>
          <w:trHeight w:val="548"/>
        </w:trPr>
        <w:tc>
          <w:tcPr>
            <w:tcW w:w="2605" w:type="dxa"/>
            <w:tcBorders>
              <w:bottom w:val="nil"/>
            </w:tcBorders>
          </w:tcPr>
          <w:p w14:paraId="2A2938CC" w14:textId="72E3971B" w:rsidR="00D65254" w:rsidRDefault="00D65254" w:rsidP="002320B3">
            <w:pPr>
              <w:pStyle w:val="NormalWeb"/>
              <w:numPr>
                <w:ilvl w:val="0"/>
                <w:numId w:val="32"/>
              </w:numPr>
              <w:spacing w:before="0" w:beforeAutospacing="0" w:after="0" w:afterAutospacing="0"/>
              <w:ind w:left="510" w:hanging="453"/>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Classroom Construction</w:t>
            </w:r>
          </w:p>
        </w:tc>
        <w:tc>
          <w:tcPr>
            <w:tcW w:w="5850" w:type="dxa"/>
          </w:tcPr>
          <w:p w14:paraId="7919E696" w14:textId="77777777" w:rsidR="00D65254" w:rsidRPr="00B9716C" w:rsidRDefault="00D65254" w:rsidP="002320B3">
            <w:pPr>
              <w:rPr>
                <w:rFonts w:asciiTheme="majorHAnsi" w:eastAsiaTheme="minorHAnsi" w:hAnsiTheme="majorHAnsi" w:cstheme="majorHAnsi"/>
                <w:color w:val="000000" w:themeColor="text1"/>
                <w:sz w:val="20"/>
                <w:szCs w:val="20"/>
              </w:rPr>
            </w:pPr>
            <w:r w:rsidRPr="00B9716C">
              <w:rPr>
                <w:rFonts w:asciiTheme="majorHAnsi" w:hAnsiTheme="majorHAnsi" w:cstheme="majorHAnsi"/>
                <w:color w:val="000000" w:themeColor="text1"/>
                <w:sz w:val="20"/>
                <w:szCs w:val="20"/>
              </w:rPr>
              <w:t>IO5: Education facilities built within appropriate standards and in the right places.</w:t>
            </w:r>
          </w:p>
        </w:tc>
        <w:tc>
          <w:tcPr>
            <w:tcW w:w="1980" w:type="dxa"/>
          </w:tcPr>
          <w:p w14:paraId="71AFF7C2" w14:textId="77777777" w:rsidR="00D65254" w:rsidRPr="00493494" w:rsidRDefault="00D65254" w:rsidP="002320B3">
            <w:pPr>
              <w:pStyle w:val="NormalWeb"/>
              <w:spacing w:before="0" w:beforeAutospacing="0" w:after="0" w:afterAutospacing="0"/>
              <w:rPr>
                <w:rFonts w:asciiTheme="majorHAnsi" w:hAnsiTheme="majorHAnsi" w:cstheme="majorHAnsi"/>
                <w:sz w:val="20"/>
                <w:szCs w:val="20"/>
              </w:rPr>
            </w:pPr>
            <w:r w:rsidRPr="00493494">
              <w:rPr>
                <w:rFonts w:asciiTheme="majorHAnsi" w:hAnsiTheme="majorHAnsi" w:cstheme="majorHAnsi"/>
                <w:sz w:val="20"/>
                <w:szCs w:val="20"/>
              </w:rPr>
              <w:t>Relevant</w:t>
            </w:r>
          </w:p>
        </w:tc>
        <w:tc>
          <w:tcPr>
            <w:tcW w:w="2070" w:type="dxa"/>
          </w:tcPr>
          <w:p w14:paraId="06C0C3A4" w14:textId="77777777" w:rsidR="00D65254" w:rsidRPr="00493494" w:rsidRDefault="00D65254" w:rsidP="002320B3">
            <w:pPr>
              <w:pStyle w:val="NormalWeb"/>
              <w:spacing w:before="0" w:beforeAutospacing="0" w:after="0" w:afterAutospacing="0"/>
              <w:rPr>
                <w:rFonts w:asciiTheme="majorHAnsi" w:hAnsiTheme="majorHAnsi" w:cstheme="majorHAnsi"/>
                <w:sz w:val="20"/>
                <w:szCs w:val="20"/>
              </w:rPr>
            </w:pPr>
            <w:r w:rsidRPr="00493494">
              <w:rPr>
                <w:rFonts w:asciiTheme="majorHAnsi" w:hAnsiTheme="majorHAnsi" w:cstheme="majorHAnsi"/>
                <w:sz w:val="20"/>
                <w:szCs w:val="20"/>
              </w:rPr>
              <w:t>Significant</w:t>
            </w:r>
          </w:p>
        </w:tc>
        <w:tc>
          <w:tcPr>
            <w:tcW w:w="1980" w:type="dxa"/>
          </w:tcPr>
          <w:p w14:paraId="2C1E2F4A" w14:textId="77777777" w:rsidR="00D65254" w:rsidRPr="00493494" w:rsidRDefault="00D65254" w:rsidP="002320B3">
            <w:pPr>
              <w:pStyle w:val="NormalWeb"/>
              <w:spacing w:before="0" w:beforeAutospacing="0" w:after="0" w:afterAutospacing="0"/>
              <w:rPr>
                <w:rFonts w:asciiTheme="majorHAnsi" w:hAnsiTheme="majorHAnsi" w:cstheme="majorHAnsi"/>
                <w:color w:val="C45911" w:themeColor="accent2" w:themeShade="BF"/>
                <w:sz w:val="20"/>
                <w:szCs w:val="20"/>
              </w:rPr>
            </w:pPr>
            <w:r w:rsidRPr="00950A14">
              <w:rPr>
                <w:rFonts w:asciiTheme="majorHAnsi" w:hAnsiTheme="majorHAnsi" w:cstheme="majorHAnsi"/>
                <w:sz w:val="20"/>
                <w:szCs w:val="20"/>
              </w:rPr>
              <w:t>High likelihood</w:t>
            </w:r>
          </w:p>
        </w:tc>
      </w:tr>
      <w:tr w:rsidR="00D65254" w:rsidRPr="00F6352D" w14:paraId="7F5CF345" w14:textId="77777777" w:rsidTr="00FF4CA3">
        <w:trPr>
          <w:trHeight w:val="548"/>
        </w:trPr>
        <w:tc>
          <w:tcPr>
            <w:tcW w:w="2605" w:type="dxa"/>
            <w:tcBorders>
              <w:top w:val="nil"/>
              <w:bottom w:val="nil"/>
            </w:tcBorders>
          </w:tcPr>
          <w:p w14:paraId="30D8303B" w14:textId="77777777" w:rsidR="00D65254" w:rsidRDefault="00D65254" w:rsidP="002320B3">
            <w:pPr>
              <w:pStyle w:val="NormalWeb"/>
              <w:spacing w:before="0" w:beforeAutospacing="0" w:after="0" w:afterAutospacing="0"/>
              <w:ind w:left="360"/>
              <w:rPr>
                <w:rFonts w:asciiTheme="majorHAnsi" w:hAnsiTheme="majorHAnsi" w:cstheme="majorHAnsi"/>
                <w:color w:val="000000" w:themeColor="text1"/>
                <w:sz w:val="20"/>
                <w:szCs w:val="20"/>
              </w:rPr>
            </w:pPr>
          </w:p>
        </w:tc>
        <w:tc>
          <w:tcPr>
            <w:tcW w:w="5850" w:type="dxa"/>
          </w:tcPr>
          <w:p w14:paraId="1E58D083" w14:textId="77777777" w:rsidR="00D65254" w:rsidRPr="00501EE9" w:rsidRDefault="00D65254" w:rsidP="002320B3">
            <w:pPr>
              <w:rPr>
                <w:rFonts w:asciiTheme="majorHAnsi" w:eastAsiaTheme="minorHAnsi" w:hAnsiTheme="majorHAnsi" w:cstheme="majorHAnsi"/>
                <w:color w:val="000000" w:themeColor="text1"/>
                <w:sz w:val="20"/>
                <w:szCs w:val="20"/>
              </w:rPr>
            </w:pPr>
            <w:r w:rsidRPr="00501EE9">
              <w:rPr>
                <w:rFonts w:asciiTheme="majorHAnsi" w:hAnsiTheme="majorHAnsi" w:cstheme="majorHAnsi"/>
                <w:iCs/>
                <w:color w:val="000000" w:themeColor="text1"/>
                <w:sz w:val="20"/>
                <w:szCs w:val="20"/>
              </w:rPr>
              <w:t xml:space="preserve">EOPO3: </w:t>
            </w:r>
            <w:r>
              <w:rPr>
                <w:rFonts w:asciiTheme="majorHAnsi" w:eastAsiaTheme="minorHAnsi" w:hAnsiTheme="majorHAnsi" w:cstheme="majorHAnsi"/>
                <w:color w:val="000000" w:themeColor="text1"/>
                <w:sz w:val="20"/>
                <w:szCs w:val="20"/>
              </w:rPr>
              <w:t>DepEd</w:t>
            </w:r>
            <w:r w:rsidRPr="00501EE9">
              <w:rPr>
                <w:rFonts w:asciiTheme="majorHAnsi" w:eastAsiaTheme="minorHAnsi" w:hAnsiTheme="majorHAnsi" w:cstheme="majorHAnsi"/>
                <w:color w:val="000000" w:themeColor="text1"/>
                <w:sz w:val="20"/>
                <w:szCs w:val="20"/>
              </w:rPr>
              <w:t xml:space="preserve"> is better able to deliver basic education services that is more gender responsive and inclusive and with greater decentralisation of management and accountability to the field offices and schools</w:t>
            </w:r>
          </w:p>
        </w:tc>
        <w:tc>
          <w:tcPr>
            <w:tcW w:w="1980" w:type="dxa"/>
          </w:tcPr>
          <w:p w14:paraId="5043F925" w14:textId="77777777" w:rsidR="00D65254" w:rsidRPr="00493494" w:rsidRDefault="00D65254" w:rsidP="002320B3">
            <w:pPr>
              <w:pStyle w:val="NormalWeb"/>
              <w:spacing w:before="0" w:beforeAutospacing="0" w:after="0" w:afterAutospacing="0"/>
              <w:rPr>
                <w:rFonts w:asciiTheme="majorHAnsi" w:hAnsiTheme="majorHAnsi" w:cstheme="majorHAnsi"/>
                <w:sz w:val="20"/>
                <w:szCs w:val="20"/>
              </w:rPr>
            </w:pPr>
          </w:p>
        </w:tc>
        <w:tc>
          <w:tcPr>
            <w:tcW w:w="2070" w:type="dxa"/>
          </w:tcPr>
          <w:p w14:paraId="5AB9EC30" w14:textId="77777777" w:rsidR="00D65254" w:rsidRPr="00493494" w:rsidRDefault="00D65254" w:rsidP="002320B3">
            <w:pPr>
              <w:pStyle w:val="NormalWeb"/>
              <w:spacing w:before="0" w:beforeAutospacing="0" w:after="0" w:afterAutospacing="0"/>
              <w:rPr>
                <w:rFonts w:asciiTheme="majorHAnsi" w:hAnsiTheme="majorHAnsi" w:cstheme="majorHAnsi"/>
                <w:sz w:val="20"/>
                <w:szCs w:val="20"/>
              </w:rPr>
            </w:pPr>
            <w:r w:rsidRPr="00493494">
              <w:rPr>
                <w:rFonts w:asciiTheme="majorHAnsi" w:hAnsiTheme="majorHAnsi" w:cstheme="majorHAnsi"/>
                <w:sz w:val="20"/>
                <w:szCs w:val="20"/>
              </w:rPr>
              <w:t>Significant</w:t>
            </w:r>
          </w:p>
        </w:tc>
        <w:tc>
          <w:tcPr>
            <w:tcW w:w="1980" w:type="dxa"/>
          </w:tcPr>
          <w:p w14:paraId="29A6CEEC" w14:textId="77777777" w:rsidR="00D65254" w:rsidRPr="00082AF8" w:rsidRDefault="00D65254" w:rsidP="002320B3">
            <w:pPr>
              <w:pStyle w:val="NormalWeb"/>
              <w:spacing w:before="0" w:beforeAutospacing="0" w:after="0" w:afterAutospacing="0"/>
              <w:rPr>
                <w:rFonts w:asciiTheme="majorHAnsi" w:hAnsiTheme="majorHAnsi" w:cstheme="majorHAnsi"/>
                <w:color w:val="000000" w:themeColor="text1"/>
                <w:sz w:val="20"/>
                <w:szCs w:val="20"/>
              </w:rPr>
            </w:pPr>
          </w:p>
        </w:tc>
      </w:tr>
      <w:tr w:rsidR="00D65254" w:rsidRPr="00F6352D" w14:paraId="2D7D2CC2" w14:textId="77777777" w:rsidTr="00FF4CA3">
        <w:trPr>
          <w:trHeight w:val="548"/>
        </w:trPr>
        <w:tc>
          <w:tcPr>
            <w:tcW w:w="2605" w:type="dxa"/>
            <w:tcBorders>
              <w:top w:val="nil"/>
            </w:tcBorders>
          </w:tcPr>
          <w:p w14:paraId="35813C2E" w14:textId="77777777" w:rsidR="00D65254" w:rsidRDefault="00D65254" w:rsidP="002320B3">
            <w:pPr>
              <w:pStyle w:val="NormalWeb"/>
              <w:spacing w:before="0" w:beforeAutospacing="0" w:after="0" w:afterAutospacing="0"/>
              <w:ind w:left="360"/>
              <w:rPr>
                <w:rFonts w:asciiTheme="majorHAnsi" w:hAnsiTheme="majorHAnsi" w:cstheme="majorHAnsi"/>
                <w:color w:val="000000" w:themeColor="text1"/>
                <w:sz w:val="20"/>
                <w:szCs w:val="20"/>
              </w:rPr>
            </w:pPr>
          </w:p>
        </w:tc>
        <w:tc>
          <w:tcPr>
            <w:tcW w:w="5850" w:type="dxa"/>
          </w:tcPr>
          <w:p w14:paraId="560B8CBE" w14:textId="77777777" w:rsidR="00D65254" w:rsidRPr="00501EE9" w:rsidRDefault="00D65254" w:rsidP="002320B3">
            <w:pPr>
              <w:rPr>
                <w:rFonts w:asciiTheme="majorHAnsi" w:eastAsiaTheme="minorHAnsi" w:hAnsiTheme="majorHAnsi" w:cstheme="majorHAnsi"/>
                <w:color w:val="000000" w:themeColor="text1"/>
                <w:sz w:val="20"/>
                <w:szCs w:val="20"/>
              </w:rPr>
            </w:pPr>
            <w:r w:rsidRPr="00501EE9">
              <w:rPr>
                <w:rFonts w:asciiTheme="majorHAnsi" w:eastAsiaTheme="minorHAnsi" w:hAnsiTheme="majorHAnsi" w:cstheme="majorHAnsi"/>
                <w:color w:val="000000" w:themeColor="text1"/>
                <w:sz w:val="20"/>
                <w:szCs w:val="20"/>
              </w:rPr>
              <w:t xml:space="preserve">InO3: </w:t>
            </w:r>
            <w:r>
              <w:rPr>
                <w:rFonts w:asciiTheme="majorHAnsi" w:eastAsiaTheme="minorHAnsi" w:hAnsiTheme="majorHAnsi" w:cstheme="majorHAnsi"/>
                <w:color w:val="000000" w:themeColor="text1"/>
                <w:sz w:val="20"/>
                <w:szCs w:val="20"/>
              </w:rPr>
              <w:t>DepEd</w:t>
            </w:r>
            <w:r w:rsidRPr="00501EE9">
              <w:rPr>
                <w:rFonts w:asciiTheme="majorHAnsi" w:eastAsiaTheme="minorHAnsi" w:hAnsiTheme="majorHAnsi" w:cstheme="majorHAnsi"/>
                <w:color w:val="000000" w:themeColor="text1"/>
                <w:sz w:val="20"/>
                <w:szCs w:val="20"/>
              </w:rPr>
              <w:t xml:space="preserve"> policies, plans and practices are gender responsive, linked across governance levels and are being informed by effective OD, HR, UIS, Research and M&amp;E systems</w:t>
            </w:r>
          </w:p>
        </w:tc>
        <w:tc>
          <w:tcPr>
            <w:tcW w:w="1980" w:type="dxa"/>
          </w:tcPr>
          <w:p w14:paraId="1423402D" w14:textId="77777777" w:rsidR="00D65254" w:rsidRPr="00493494" w:rsidRDefault="00D65254" w:rsidP="002320B3">
            <w:pPr>
              <w:pStyle w:val="NormalWeb"/>
              <w:spacing w:before="0" w:beforeAutospacing="0" w:after="0" w:afterAutospacing="0"/>
              <w:rPr>
                <w:rFonts w:asciiTheme="majorHAnsi" w:hAnsiTheme="majorHAnsi" w:cstheme="majorHAnsi"/>
                <w:sz w:val="20"/>
                <w:szCs w:val="20"/>
              </w:rPr>
            </w:pPr>
          </w:p>
        </w:tc>
        <w:tc>
          <w:tcPr>
            <w:tcW w:w="2070" w:type="dxa"/>
          </w:tcPr>
          <w:p w14:paraId="2761A816" w14:textId="77777777" w:rsidR="00D65254" w:rsidRPr="00493494" w:rsidRDefault="00D65254" w:rsidP="002320B3">
            <w:pPr>
              <w:pStyle w:val="NormalWeb"/>
              <w:spacing w:before="0" w:beforeAutospacing="0" w:after="0" w:afterAutospacing="0"/>
              <w:rPr>
                <w:rFonts w:asciiTheme="majorHAnsi" w:hAnsiTheme="majorHAnsi" w:cstheme="majorHAnsi"/>
                <w:sz w:val="20"/>
                <w:szCs w:val="20"/>
              </w:rPr>
            </w:pPr>
            <w:r w:rsidRPr="00493494">
              <w:rPr>
                <w:rFonts w:asciiTheme="majorHAnsi" w:hAnsiTheme="majorHAnsi" w:cstheme="majorHAnsi"/>
                <w:sz w:val="20"/>
                <w:szCs w:val="20"/>
              </w:rPr>
              <w:t>Significant</w:t>
            </w:r>
          </w:p>
        </w:tc>
        <w:tc>
          <w:tcPr>
            <w:tcW w:w="1980" w:type="dxa"/>
          </w:tcPr>
          <w:p w14:paraId="687A0E22" w14:textId="77777777" w:rsidR="00D65254" w:rsidRPr="00082AF8" w:rsidRDefault="00D65254" w:rsidP="002320B3">
            <w:pPr>
              <w:pStyle w:val="NormalWeb"/>
              <w:spacing w:before="0" w:beforeAutospacing="0" w:after="0" w:afterAutospacing="0"/>
              <w:rPr>
                <w:rFonts w:asciiTheme="majorHAnsi" w:hAnsiTheme="majorHAnsi" w:cstheme="majorHAnsi"/>
                <w:color w:val="000000" w:themeColor="text1"/>
                <w:sz w:val="20"/>
                <w:szCs w:val="20"/>
              </w:rPr>
            </w:pPr>
          </w:p>
        </w:tc>
      </w:tr>
      <w:tr w:rsidR="00D65254" w:rsidRPr="00F6352D" w14:paraId="32205AA4" w14:textId="77777777" w:rsidTr="00FF4CA3">
        <w:trPr>
          <w:trHeight w:val="548"/>
        </w:trPr>
        <w:tc>
          <w:tcPr>
            <w:tcW w:w="2605" w:type="dxa"/>
            <w:tcBorders>
              <w:bottom w:val="single" w:sz="4" w:space="0" w:color="auto"/>
            </w:tcBorders>
          </w:tcPr>
          <w:p w14:paraId="1D931FAD" w14:textId="240B076B" w:rsidR="00D65254" w:rsidRDefault="00D65254" w:rsidP="002320B3">
            <w:pPr>
              <w:pStyle w:val="NormalWeb"/>
              <w:numPr>
                <w:ilvl w:val="0"/>
                <w:numId w:val="32"/>
              </w:numPr>
              <w:spacing w:before="0" w:beforeAutospacing="0" w:after="0" w:afterAutospacing="0"/>
              <w:ind w:left="510" w:hanging="453"/>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Policy, Planning, Monitoring and Evaluation System (PPMES)</w:t>
            </w:r>
          </w:p>
        </w:tc>
        <w:tc>
          <w:tcPr>
            <w:tcW w:w="5850" w:type="dxa"/>
          </w:tcPr>
          <w:p w14:paraId="23D502FE" w14:textId="77777777" w:rsidR="00D65254" w:rsidRPr="00B9716C" w:rsidRDefault="00D65254" w:rsidP="002320B3">
            <w:pPr>
              <w:rPr>
                <w:rFonts w:asciiTheme="majorHAnsi" w:eastAsiaTheme="minorHAnsi" w:hAnsiTheme="majorHAnsi" w:cstheme="majorHAnsi"/>
                <w:color w:val="000000" w:themeColor="text1"/>
                <w:sz w:val="20"/>
                <w:szCs w:val="20"/>
              </w:rPr>
            </w:pPr>
            <w:r w:rsidRPr="00B9716C">
              <w:rPr>
                <w:rFonts w:asciiTheme="majorHAnsi" w:eastAsiaTheme="minorHAnsi" w:hAnsiTheme="majorHAnsi" w:cstheme="majorHAnsi"/>
                <w:color w:val="000000" w:themeColor="text1"/>
                <w:sz w:val="20"/>
                <w:szCs w:val="20"/>
              </w:rPr>
              <w:t>IO8: Strengthen capacity for planning and evidence-based decision making and policy formulation</w:t>
            </w:r>
          </w:p>
          <w:p w14:paraId="3DE08F82" w14:textId="77777777" w:rsidR="00D65254" w:rsidRPr="00B9716C" w:rsidRDefault="00D65254" w:rsidP="002320B3">
            <w:pPr>
              <w:rPr>
                <w:rFonts w:asciiTheme="majorHAnsi" w:eastAsiaTheme="minorHAnsi" w:hAnsiTheme="majorHAnsi" w:cstheme="majorHAnsi"/>
                <w:color w:val="000000" w:themeColor="text1"/>
                <w:sz w:val="20"/>
                <w:szCs w:val="20"/>
              </w:rPr>
            </w:pPr>
          </w:p>
        </w:tc>
        <w:tc>
          <w:tcPr>
            <w:tcW w:w="1980" w:type="dxa"/>
          </w:tcPr>
          <w:p w14:paraId="6AEE41C5" w14:textId="77777777" w:rsidR="00D65254" w:rsidRPr="00493494" w:rsidRDefault="00D65254" w:rsidP="002320B3">
            <w:pPr>
              <w:pStyle w:val="NormalWeb"/>
              <w:spacing w:before="0" w:beforeAutospacing="0" w:after="0" w:afterAutospacing="0"/>
              <w:rPr>
                <w:rFonts w:asciiTheme="majorHAnsi" w:hAnsiTheme="majorHAnsi" w:cstheme="majorHAnsi"/>
                <w:sz w:val="20"/>
                <w:szCs w:val="20"/>
              </w:rPr>
            </w:pPr>
            <w:r w:rsidRPr="00493494">
              <w:rPr>
                <w:rFonts w:asciiTheme="majorHAnsi" w:hAnsiTheme="majorHAnsi" w:cstheme="majorHAnsi"/>
                <w:sz w:val="20"/>
                <w:szCs w:val="20"/>
              </w:rPr>
              <w:t>Relevant</w:t>
            </w:r>
          </w:p>
        </w:tc>
        <w:tc>
          <w:tcPr>
            <w:tcW w:w="2070" w:type="dxa"/>
          </w:tcPr>
          <w:p w14:paraId="515E10B6" w14:textId="77777777" w:rsidR="00D65254" w:rsidRPr="00493494" w:rsidRDefault="00D65254" w:rsidP="002320B3">
            <w:pPr>
              <w:pStyle w:val="NormalWeb"/>
              <w:spacing w:before="0" w:beforeAutospacing="0" w:after="0" w:afterAutospacing="0"/>
              <w:rPr>
                <w:rFonts w:asciiTheme="majorHAnsi" w:hAnsiTheme="majorHAnsi" w:cstheme="majorHAnsi"/>
                <w:sz w:val="20"/>
                <w:szCs w:val="20"/>
              </w:rPr>
            </w:pPr>
            <w:r w:rsidRPr="00493494">
              <w:rPr>
                <w:rFonts w:asciiTheme="majorHAnsi" w:hAnsiTheme="majorHAnsi" w:cstheme="majorHAnsi"/>
                <w:sz w:val="20"/>
                <w:szCs w:val="20"/>
              </w:rPr>
              <w:t>Significant</w:t>
            </w:r>
          </w:p>
        </w:tc>
        <w:tc>
          <w:tcPr>
            <w:tcW w:w="1980" w:type="dxa"/>
          </w:tcPr>
          <w:p w14:paraId="20B3F08F" w14:textId="77777777" w:rsidR="00D65254" w:rsidRPr="00F6352D" w:rsidRDefault="00D65254" w:rsidP="002320B3">
            <w:pPr>
              <w:pStyle w:val="NormalWeb"/>
              <w:spacing w:before="0" w:beforeAutospacing="0" w:after="0" w:afterAutospacing="0"/>
              <w:rPr>
                <w:rFonts w:asciiTheme="majorHAnsi" w:hAnsiTheme="majorHAnsi" w:cstheme="majorHAnsi"/>
                <w:color w:val="000000" w:themeColor="text1"/>
                <w:sz w:val="20"/>
                <w:szCs w:val="20"/>
              </w:rPr>
            </w:pPr>
            <w:r w:rsidRPr="00493494">
              <w:rPr>
                <w:rFonts w:asciiTheme="majorHAnsi" w:hAnsiTheme="majorHAnsi" w:cstheme="majorHAnsi"/>
                <w:sz w:val="20"/>
                <w:szCs w:val="20"/>
              </w:rPr>
              <w:t>High likelihood</w:t>
            </w:r>
          </w:p>
        </w:tc>
      </w:tr>
      <w:tr w:rsidR="00D65254" w:rsidRPr="00F6352D" w14:paraId="1FBCDEE4" w14:textId="77777777" w:rsidTr="00FF4CA3">
        <w:trPr>
          <w:trHeight w:val="548"/>
        </w:trPr>
        <w:tc>
          <w:tcPr>
            <w:tcW w:w="2605" w:type="dxa"/>
            <w:tcBorders>
              <w:bottom w:val="single" w:sz="4" w:space="0" w:color="auto"/>
            </w:tcBorders>
          </w:tcPr>
          <w:p w14:paraId="4ACDBC21" w14:textId="06CC730E" w:rsidR="00D65254" w:rsidRDefault="00D65254" w:rsidP="002320B3">
            <w:pPr>
              <w:pStyle w:val="NormalWeb"/>
              <w:numPr>
                <w:ilvl w:val="0"/>
                <w:numId w:val="32"/>
              </w:numPr>
              <w:spacing w:before="0" w:beforeAutospacing="0" w:after="0" w:afterAutospacing="0"/>
              <w:ind w:left="510" w:hanging="453"/>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Unified Information System and Sub-systems (UISS)</w:t>
            </w:r>
          </w:p>
        </w:tc>
        <w:tc>
          <w:tcPr>
            <w:tcW w:w="5850" w:type="dxa"/>
          </w:tcPr>
          <w:p w14:paraId="6A79D501" w14:textId="77777777" w:rsidR="00D65254" w:rsidRPr="00B9716C" w:rsidRDefault="00D65254" w:rsidP="002320B3">
            <w:pPr>
              <w:rPr>
                <w:rFonts w:asciiTheme="majorHAnsi" w:hAnsiTheme="majorHAnsi" w:cstheme="majorHAnsi"/>
                <w:color w:val="000000" w:themeColor="text1"/>
                <w:sz w:val="20"/>
                <w:szCs w:val="20"/>
              </w:rPr>
            </w:pPr>
            <w:r w:rsidRPr="00B9716C">
              <w:rPr>
                <w:rFonts w:asciiTheme="majorHAnsi" w:hAnsiTheme="majorHAnsi" w:cstheme="majorHAnsi"/>
                <w:color w:val="000000" w:themeColor="text1"/>
                <w:sz w:val="20"/>
                <w:szCs w:val="20"/>
              </w:rPr>
              <w:t>IO2: Education leaders and managers have strengthened capacity to implement school-based learning outcomes initiatives</w:t>
            </w:r>
          </w:p>
        </w:tc>
        <w:tc>
          <w:tcPr>
            <w:tcW w:w="1980" w:type="dxa"/>
          </w:tcPr>
          <w:p w14:paraId="5EED83AB" w14:textId="77777777" w:rsidR="00D65254" w:rsidRPr="00493494" w:rsidRDefault="00D65254" w:rsidP="002320B3">
            <w:pPr>
              <w:pStyle w:val="NormalWeb"/>
              <w:spacing w:before="0" w:beforeAutospacing="0" w:after="0" w:afterAutospacing="0"/>
              <w:rPr>
                <w:rFonts w:asciiTheme="majorHAnsi" w:hAnsiTheme="majorHAnsi" w:cstheme="majorHAnsi"/>
                <w:sz w:val="20"/>
                <w:szCs w:val="20"/>
              </w:rPr>
            </w:pPr>
            <w:r w:rsidRPr="00493494">
              <w:rPr>
                <w:rFonts w:asciiTheme="majorHAnsi" w:hAnsiTheme="majorHAnsi" w:cstheme="majorHAnsi"/>
                <w:sz w:val="20"/>
                <w:szCs w:val="20"/>
              </w:rPr>
              <w:t>Relevant</w:t>
            </w:r>
          </w:p>
        </w:tc>
        <w:tc>
          <w:tcPr>
            <w:tcW w:w="2070" w:type="dxa"/>
          </w:tcPr>
          <w:p w14:paraId="58E11E12" w14:textId="77777777" w:rsidR="00D65254" w:rsidRPr="00493494" w:rsidRDefault="00D65254" w:rsidP="002320B3">
            <w:pPr>
              <w:pStyle w:val="NormalWeb"/>
              <w:spacing w:before="0" w:beforeAutospacing="0" w:after="0" w:afterAutospacing="0"/>
              <w:rPr>
                <w:rFonts w:asciiTheme="majorHAnsi" w:hAnsiTheme="majorHAnsi" w:cstheme="majorHAnsi"/>
                <w:color w:val="C45911" w:themeColor="accent2" w:themeShade="BF"/>
                <w:sz w:val="20"/>
                <w:szCs w:val="20"/>
              </w:rPr>
            </w:pPr>
            <w:r w:rsidRPr="00950A14">
              <w:rPr>
                <w:rFonts w:asciiTheme="majorHAnsi" w:hAnsiTheme="majorHAnsi" w:cstheme="majorHAnsi"/>
                <w:color w:val="000000" w:themeColor="text1"/>
                <w:sz w:val="20"/>
                <w:szCs w:val="20"/>
              </w:rPr>
              <w:t>Considerable</w:t>
            </w:r>
          </w:p>
        </w:tc>
        <w:tc>
          <w:tcPr>
            <w:tcW w:w="1980" w:type="dxa"/>
          </w:tcPr>
          <w:p w14:paraId="4F4B8868" w14:textId="77777777" w:rsidR="00D65254" w:rsidRPr="00493494" w:rsidRDefault="00D65254" w:rsidP="002320B3">
            <w:pPr>
              <w:pStyle w:val="NormalWeb"/>
              <w:spacing w:before="0" w:beforeAutospacing="0" w:after="0" w:afterAutospacing="0"/>
              <w:rPr>
                <w:rFonts w:asciiTheme="majorHAnsi" w:hAnsiTheme="majorHAnsi" w:cstheme="majorHAnsi"/>
                <w:color w:val="C45911" w:themeColor="accent2" w:themeShade="BF"/>
                <w:sz w:val="20"/>
                <w:szCs w:val="20"/>
              </w:rPr>
            </w:pPr>
            <w:r w:rsidRPr="00950A14">
              <w:rPr>
                <w:rFonts w:asciiTheme="majorHAnsi" w:hAnsiTheme="majorHAnsi" w:cstheme="majorHAnsi"/>
                <w:sz w:val="20"/>
                <w:szCs w:val="20"/>
              </w:rPr>
              <w:t>High likelihood</w:t>
            </w:r>
          </w:p>
        </w:tc>
      </w:tr>
      <w:tr w:rsidR="00D65254" w:rsidRPr="00F6352D" w14:paraId="7F337FA4" w14:textId="77777777" w:rsidTr="00FF4CA3">
        <w:trPr>
          <w:trHeight w:val="60"/>
        </w:trPr>
        <w:tc>
          <w:tcPr>
            <w:tcW w:w="2605" w:type="dxa"/>
            <w:tcBorders>
              <w:top w:val="single" w:sz="4" w:space="0" w:color="auto"/>
              <w:bottom w:val="single" w:sz="4" w:space="0" w:color="auto"/>
            </w:tcBorders>
          </w:tcPr>
          <w:p w14:paraId="55B214E2" w14:textId="77777777" w:rsidR="00D65254" w:rsidRDefault="00D65254" w:rsidP="002320B3">
            <w:pPr>
              <w:pStyle w:val="NormalWeb"/>
              <w:spacing w:before="0" w:beforeAutospacing="0" w:after="0" w:afterAutospacing="0"/>
              <w:rPr>
                <w:rFonts w:asciiTheme="majorHAnsi" w:hAnsiTheme="majorHAnsi" w:cstheme="majorHAnsi"/>
                <w:color w:val="000000" w:themeColor="text1"/>
                <w:sz w:val="20"/>
                <w:szCs w:val="20"/>
              </w:rPr>
            </w:pPr>
          </w:p>
        </w:tc>
        <w:tc>
          <w:tcPr>
            <w:tcW w:w="5850" w:type="dxa"/>
          </w:tcPr>
          <w:p w14:paraId="6F995B1B" w14:textId="77777777" w:rsidR="00D65254" w:rsidRPr="00B9716C" w:rsidRDefault="00D65254" w:rsidP="002320B3">
            <w:pPr>
              <w:rPr>
                <w:rFonts w:asciiTheme="majorHAnsi" w:hAnsiTheme="majorHAnsi" w:cstheme="majorHAnsi"/>
                <w:color w:val="000000" w:themeColor="text1"/>
                <w:sz w:val="20"/>
                <w:szCs w:val="20"/>
              </w:rPr>
            </w:pPr>
            <w:r w:rsidRPr="00B9716C">
              <w:rPr>
                <w:rFonts w:asciiTheme="majorHAnsi" w:hAnsiTheme="majorHAnsi" w:cstheme="majorHAnsi"/>
                <w:color w:val="000000" w:themeColor="text1"/>
                <w:sz w:val="20"/>
                <w:szCs w:val="20"/>
              </w:rPr>
              <w:t>IO4: Appropriate learning and teaching materials are available and more accessible (LR Portal)</w:t>
            </w:r>
          </w:p>
        </w:tc>
        <w:tc>
          <w:tcPr>
            <w:tcW w:w="1980" w:type="dxa"/>
          </w:tcPr>
          <w:p w14:paraId="69490D5F" w14:textId="77777777" w:rsidR="00D65254" w:rsidRPr="00493494" w:rsidRDefault="00D65254" w:rsidP="002320B3">
            <w:pPr>
              <w:pStyle w:val="NormalWeb"/>
              <w:spacing w:before="0" w:beforeAutospacing="0" w:after="0" w:afterAutospacing="0"/>
              <w:rPr>
                <w:rFonts w:asciiTheme="majorHAnsi" w:hAnsiTheme="majorHAnsi" w:cstheme="majorHAnsi"/>
                <w:sz w:val="20"/>
                <w:szCs w:val="20"/>
              </w:rPr>
            </w:pPr>
            <w:r w:rsidRPr="00493494">
              <w:rPr>
                <w:rFonts w:asciiTheme="majorHAnsi" w:hAnsiTheme="majorHAnsi" w:cstheme="majorHAnsi"/>
                <w:sz w:val="20"/>
                <w:szCs w:val="20"/>
              </w:rPr>
              <w:t>Relevant</w:t>
            </w:r>
          </w:p>
        </w:tc>
        <w:tc>
          <w:tcPr>
            <w:tcW w:w="2070" w:type="dxa"/>
          </w:tcPr>
          <w:p w14:paraId="3292EB60" w14:textId="77777777" w:rsidR="00D65254" w:rsidRPr="00493494" w:rsidRDefault="00D65254" w:rsidP="002320B3">
            <w:pPr>
              <w:pStyle w:val="NormalWeb"/>
              <w:spacing w:before="0" w:beforeAutospacing="0" w:after="0" w:afterAutospacing="0"/>
              <w:rPr>
                <w:rFonts w:asciiTheme="majorHAnsi" w:hAnsiTheme="majorHAnsi" w:cstheme="majorHAnsi"/>
                <w:color w:val="C45911" w:themeColor="accent2" w:themeShade="BF"/>
                <w:sz w:val="20"/>
                <w:szCs w:val="20"/>
              </w:rPr>
            </w:pPr>
            <w:r w:rsidRPr="00950A14">
              <w:rPr>
                <w:rFonts w:asciiTheme="majorHAnsi" w:hAnsiTheme="majorHAnsi" w:cstheme="majorHAnsi"/>
                <w:color w:val="000000" w:themeColor="text1"/>
                <w:sz w:val="20"/>
                <w:szCs w:val="20"/>
              </w:rPr>
              <w:t>Considerable</w:t>
            </w:r>
          </w:p>
        </w:tc>
        <w:tc>
          <w:tcPr>
            <w:tcW w:w="1980" w:type="dxa"/>
          </w:tcPr>
          <w:p w14:paraId="495C9100" w14:textId="77777777" w:rsidR="00D65254" w:rsidRPr="00493494" w:rsidRDefault="00D65254" w:rsidP="002320B3">
            <w:pPr>
              <w:pStyle w:val="NormalWeb"/>
              <w:spacing w:before="0" w:beforeAutospacing="0" w:after="0" w:afterAutospacing="0"/>
              <w:rPr>
                <w:rFonts w:asciiTheme="majorHAnsi" w:hAnsiTheme="majorHAnsi" w:cstheme="majorHAnsi"/>
                <w:color w:val="C45911" w:themeColor="accent2" w:themeShade="BF"/>
                <w:sz w:val="20"/>
                <w:szCs w:val="20"/>
              </w:rPr>
            </w:pPr>
            <w:r w:rsidRPr="00950A14">
              <w:rPr>
                <w:rFonts w:asciiTheme="majorHAnsi" w:hAnsiTheme="majorHAnsi" w:cstheme="majorHAnsi"/>
                <w:color w:val="000000" w:themeColor="text1"/>
                <w:sz w:val="20"/>
                <w:szCs w:val="20"/>
              </w:rPr>
              <w:t>Moderate likelihood</w:t>
            </w:r>
          </w:p>
        </w:tc>
      </w:tr>
      <w:tr w:rsidR="00D65254" w:rsidRPr="00F6352D" w14:paraId="3FE2D35B" w14:textId="77777777" w:rsidTr="00FF4CA3">
        <w:trPr>
          <w:trHeight w:val="60"/>
        </w:trPr>
        <w:tc>
          <w:tcPr>
            <w:tcW w:w="2605" w:type="dxa"/>
            <w:tcBorders>
              <w:bottom w:val="nil"/>
            </w:tcBorders>
          </w:tcPr>
          <w:p w14:paraId="5068350F" w14:textId="77777777" w:rsidR="00D65254" w:rsidRDefault="00D65254" w:rsidP="002320B3">
            <w:pPr>
              <w:pStyle w:val="NormalWeb"/>
              <w:spacing w:before="0" w:beforeAutospacing="0" w:after="0" w:afterAutospacing="0"/>
              <w:rPr>
                <w:rFonts w:asciiTheme="majorHAnsi" w:hAnsiTheme="majorHAnsi" w:cstheme="majorHAnsi"/>
                <w:color w:val="000000" w:themeColor="text1"/>
                <w:sz w:val="20"/>
                <w:szCs w:val="20"/>
              </w:rPr>
            </w:pPr>
          </w:p>
        </w:tc>
        <w:tc>
          <w:tcPr>
            <w:tcW w:w="5850" w:type="dxa"/>
          </w:tcPr>
          <w:p w14:paraId="32D77154" w14:textId="77777777" w:rsidR="00D65254" w:rsidRPr="00B9716C" w:rsidRDefault="00D65254" w:rsidP="002320B3">
            <w:pPr>
              <w:rPr>
                <w:rFonts w:asciiTheme="majorHAnsi" w:eastAsiaTheme="minorHAnsi" w:hAnsiTheme="majorHAnsi" w:cstheme="majorHAnsi"/>
                <w:color w:val="000000" w:themeColor="text1"/>
                <w:sz w:val="20"/>
                <w:szCs w:val="20"/>
              </w:rPr>
            </w:pPr>
            <w:r w:rsidRPr="00B9716C">
              <w:rPr>
                <w:rFonts w:asciiTheme="majorHAnsi" w:eastAsiaTheme="minorHAnsi" w:hAnsiTheme="majorHAnsi" w:cstheme="majorHAnsi"/>
                <w:color w:val="000000" w:themeColor="text1"/>
                <w:sz w:val="20"/>
                <w:szCs w:val="20"/>
              </w:rPr>
              <w:t>IO8: Strengthen capacity for planning and evidence-based decision making and policy formulation</w:t>
            </w:r>
          </w:p>
        </w:tc>
        <w:tc>
          <w:tcPr>
            <w:tcW w:w="1980" w:type="dxa"/>
          </w:tcPr>
          <w:p w14:paraId="0E238227" w14:textId="77777777" w:rsidR="00D65254" w:rsidRPr="00493494" w:rsidRDefault="00D65254" w:rsidP="002320B3">
            <w:pPr>
              <w:pStyle w:val="NormalWeb"/>
              <w:spacing w:before="0" w:beforeAutospacing="0" w:after="0" w:afterAutospacing="0"/>
              <w:rPr>
                <w:rFonts w:asciiTheme="majorHAnsi" w:hAnsiTheme="majorHAnsi" w:cstheme="majorHAnsi"/>
                <w:sz w:val="20"/>
                <w:szCs w:val="20"/>
              </w:rPr>
            </w:pPr>
            <w:r w:rsidRPr="00493494">
              <w:rPr>
                <w:rFonts w:asciiTheme="majorHAnsi" w:hAnsiTheme="majorHAnsi" w:cstheme="majorHAnsi"/>
                <w:sz w:val="20"/>
                <w:szCs w:val="20"/>
              </w:rPr>
              <w:t>Relevant</w:t>
            </w:r>
          </w:p>
        </w:tc>
        <w:tc>
          <w:tcPr>
            <w:tcW w:w="2070" w:type="dxa"/>
          </w:tcPr>
          <w:p w14:paraId="0344D575" w14:textId="77777777" w:rsidR="00D65254" w:rsidRPr="00493494" w:rsidRDefault="00D65254" w:rsidP="002320B3">
            <w:pPr>
              <w:pStyle w:val="NormalWeb"/>
              <w:spacing w:before="0" w:beforeAutospacing="0" w:after="0" w:afterAutospacing="0"/>
              <w:rPr>
                <w:rFonts w:asciiTheme="majorHAnsi" w:hAnsiTheme="majorHAnsi" w:cstheme="majorHAnsi"/>
                <w:color w:val="538135" w:themeColor="accent6" w:themeShade="BF"/>
                <w:sz w:val="20"/>
                <w:szCs w:val="20"/>
              </w:rPr>
            </w:pPr>
            <w:r w:rsidRPr="00493494">
              <w:rPr>
                <w:rFonts w:asciiTheme="majorHAnsi" w:hAnsiTheme="majorHAnsi" w:cstheme="majorHAnsi"/>
                <w:color w:val="538135" w:themeColor="accent6" w:themeShade="BF"/>
                <w:sz w:val="20"/>
                <w:szCs w:val="20"/>
              </w:rPr>
              <w:t>Highly Significant</w:t>
            </w:r>
          </w:p>
        </w:tc>
        <w:tc>
          <w:tcPr>
            <w:tcW w:w="1980" w:type="dxa"/>
          </w:tcPr>
          <w:p w14:paraId="02BDA154" w14:textId="77777777" w:rsidR="00D65254" w:rsidRPr="00493494" w:rsidRDefault="00D65254" w:rsidP="002320B3">
            <w:pPr>
              <w:pStyle w:val="NormalWeb"/>
              <w:spacing w:before="0" w:beforeAutospacing="0" w:after="0" w:afterAutospacing="0"/>
              <w:rPr>
                <w:rFonts w:asciiTheme="majorHAnsi" w:hAnsiTheme="majorHAnsi" w:cstheme="majorHAnsi"/>
                <w:color w:val="538135" w:themeColor="accent6" w:themeShade="BF"/>
                <w:sz w:val="20"/>
                <w:szCs w:val="20"/>
              </w:rPr>
            </w:pPr>
            <w:r w:rsidRPr="00493494">
              <w:rPr>
                <w:rFonts w:asciiTheme="majorHAnsi" w:hAnsiTheme="majorHAnsi" w:cstheme="majorHAnsi"/>
                <w:color w:val="538135" w:themeColor="accent6" w:themeShade="BF"/>
                <w:sz w:val="20"/>
                <w:szCs w:val="20"/>
              </w:rPr>
              <w:t>Very high likelihood</w:t>
            </w:r>
          </w:p>
        </w:tc>
      </w:tr>
      <w:tr w:rsidR="00D65254" w:rsidRPr="00F6352D" w14:paraId="276D1A7F" w14:textId="77777777" w:rsidTr="00FF4CA3">
        <w:trPr>
          <w:trHeight w:val="60"/>
        </w:trPr>
        <w:tc>
          <w:tcPr>
            <w:tcW w:w="2605" w:type="dxa"/>
            <w:tcBorders>
              <w:top w:val="nil"/>
            </w:tcBorders>
          </w:tcPr>
          <w:p w14:paraId="07F794BA" w14:textId="77777777" w:rsidR="00D65254" w:rsidRDefault="00D65254" w:rsidP="002320B3">
            <w:pPr>
              <w:pStyle w:val="NormalWeb"/>
              <w:spacing w:before="0" w:beforeAutospacing="0" w:after="0" w:afterAutospacing="0"/>
              <w:rPr>
                <w:rFonts w:asciiTheme="majorHAnsi" w:hAnsiTheme="majorHAnsi" w:cstheme="majorHAnsi"/>
                <w:color w:val="000000" w:themeColor="text1"/>
                <w:sz w:val="20"/>
                <w:szCs w:val="20"/>
              </w:rPr>
            </w:pPr>
          </w:p>
        </w:tc>
        <w:tc>
          <w:tcPr>
            <w:tcW w:w="5850" w:type="dxa"/>
          </w:tcPr>
          <w:p w14:paraId="7022DA8D" w14:textId="77777777" w:rsidR="00D65254" w:rsidRPr="00B9716C" w:rsidRDefault="00D65254" w:rsidP="002320B3">
            <w:pPr>
              <w:rPr>
                <w:rFonts w:asciiTheme="majorHAnsi" w:hAnsiTheme="majorHAnsi" w:cstheme="majorHAnsi"/>
                <w:color w:val="000000" w:themeColor="text1"/>
                <w:sz w:val="20"/>
                <w:szCs w:val="20"/>
              </w:rPr>
            </w:pPr>
            <w:r w:rsidRPr="00B9716C">
              <w:rPr>
                <w:rFonts w:asciiTheme="majorHAnsi" w:eastAsiaTheme="minorHAnsi" w:hAnsiTheme="majorHAnsi" w:cstheme="majorHAnsi"/>
                <w:color w:val="000000" w:themeColor="text1"/>
                <w:sz w:val="20"/>
                <w:szCs w:val="20"/>
              </w:rPr>
              <w:t>IO9: Support the development and use of a Unified Information Systems</w:t>
            </w:r>
          </w:p>
        </w:tc>
        <w:tc>
          <w:tcPr>
            <w:tcW w:w="1980" w:type="dxa"/>
          </w:tcPr>
          <w:p w14:paraId="04274BF0" w14:textId="77777777" w:rsidR="00D65254" w:rsidRPr="00493494" w:rsidRDefault="00D65254" w:rsidP="002320B3">
            <w:pPr>
              <w:pStyle w:val="NormalWeb"/>
              <w:spacing w:before="0" w:beforeAutospacing="0" w:after="0" w:afterAutospacing="0"/>
              <w:rPr>
                <w:rFonts w:asciiTheme="majorHAnsi" w:hAnsiTheme="majorHAnsi" w:cstheme="majorHAnsi"/>
                <w:sz w:val="20"/>
                <w:szCs w:val="20"/>
              </w:rPr>
            </w:pPr>
            <w:r w:rsidRPr="00493494">
              <w:rPr>
                <w:rFonts w:asciiTheme="majorHAnsi" w:hAnsiTheme="majorHAnsi" w:cstheme="majorHAnsi"/>
                <w:sz w:val="20"/>
                <w:szCs w:val="20"/>
              </w:rPr>
              <w:t>Relevant</w:t>
            </w:r>
          </w:p>
        </w:tc>
        <w:tc>
          <w:tcPr>
            <w:tcW w:w="2070" w:type="dxa"/>
          </w:tcPr>
          <w:p w14:paraId="7298DB46" w14:textId="77777777" w:rsidR="00D65254" w:rsidRPr="00493494" w:rsidRDefault="00D65254" w:rsidP="002320B3">
            <w:pPr>
              <w:pStyle w:val="NormalWeb"/>
              <w:spacing w:before="0" w:beforeAutospacing="0" w:after="0" w:afterAutospacing="0"/>
              <w:rPr>
                <w:rFonts w:asciiTheme="majorHAnsi" w:hAnsiTheme="majorHAnsi" w:cstheme="majorHAnsi"/>
                <w:color w:val="538135" w:themeColor="accent6" w:themeShade="BF"/>
                <w:sz w:val="20"/>
                <w:szCs w:val="20"/>
              </w:rPr>
            </w:pPr>
            <w:r w:rsidRPr="00493494">
              <w:rPr>
                <w:rFonts w:asciiTheme="majorHAnsi" w:hAnsiTheme="majorHAnsi" w:cstheme="majorHAnsi"/>
                <w:color w:val="538135" w:themeColor="accent6" w:themeShade="BF"/>
                <w:sz w:val="20"/>
                <w:szCs w:val="20"/>
              </w:rPr>
              <w:t>Highly Significant</w:t>
            </w:r>
          </w:p>
        </w:tc>
        <w:tc>
          <w:tcPr>
            <w:tcW w:w="1980" w:type="dxa"/>
          </w:tcPr>
          <w:p w14:paraId="6D210942" w14:textId="77777777" w:rsidR="00D65254" w:rsidRPr="00493494" w:rsidRDefault="00D65254" w:rsidP="002320B3">
            <w:pPr>
              <w:pStyle w:val="NormalWeb"/>
              <w:spacing w:before="0" w:beforeAutospacing="0" w:after="0" w:afterAutospacing="0"/>
              <w:rPr>
                <w:rFonts w:asciiTheme="majorHAnsi" w:hAnsiTheme="majorHAnsi" w:cstheme="majorHAnsi"/>
                <w:color w:val="538135" w:themeColor="accent6" w:themeShade="BF"/>
                <w:sz w:val="20"/>
                <w:szCs w:val="20"/>
              </w:rPr>
            </w:pPr>
            <w:r w:rsidRPr="00493494">
              <w:rPr>
                <w:rFonts w:asciiTheme="majorHAnsi" w:hAnsiTheme="majorHAnsi" w:cstheme="majorHAnsi"/>
                <w:color w:val="538135" w:themeColor="accent6" w:themeShade="BF"/>
                <w:sz w:val="20"/>
                <w:szCs w:val="20"/>
              </w:rPr>
              <w:t>Very high likelihood</w:t>
            </w:r>
          </w:p>
        </w:tc>
      </w:tr>
      <w:tr w:rsidR="00D65254" w:rsidRPr="00F6352D" w14:paraId="505A925F" w14:textId="77777777" w:rsidTr="00FF4CA3">
        <w:trPr>
          <w:trHeight w:val="548"/>
        </w:trPr>
        <w:tc>
          <w:tcPr>
            <w:tcW w:w="2605" w:type="dxa"/>
          </w:tcPr>
          <w:p w14:paraId="5AF35566" w14:textId="7BE175F6" w:rsidR="00D65254" w:rsidRDefault="00D65254" w:rsidP="002320B3">
            <w:pPr>
              <w:pStyle w:val="NormalWeb"/>
              <w:numPr>
                <w:ilvl w:val="0"/>
                <w:numId w:val="32"/>
              </w:numPr>
              <w:spacing w:before="0" w:beforeAutospacing="0" w:after="0" w:afterAutospacing="0"/>
              <w:ind w:left="510" w:hanging="453"/>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Organizational Development (OD)</w:t>
            </w:r>
          </w:p>
        </w:tc>
        <w:tc>
          <w:tcPr>
            <w:tcW w:w="5850" w:type="dxa"/>
          </w:tcPr>
          <w:p w14:paraId="135CA54B" w14:textId="77777777" w:rsidR="00D65254" w:rsidRPr="00B9716C" w:rsidRDefault="00D65254" w:rsidP="002320B3">
            <w:pPr>
              <w:rPr>
                <w:rFonts w:asciiTheme="majorHAnsi" w:eastAsiaTheme="minorHAnsi" w:hAnsiTheme="majorHAnsi" w:cstheme="majorHAnsi"/>
                <w:color w:val="000000" w:themeColor="text1"/>
                <w:sz w:val="20"/>
                <w:szCs w:val="20"/>
              </w:rPr>
            </w:pPr>
            <w:r w:rsidRPr="00B9716C">
              <w:rPr>
                <w:rFonts w:asciiTheme="majorHAnsi" w:eastAsiaTheme="minorHAnsi" w:hAnsiTheme="majorHAnsi" w:cstheme="majorHAnsi"/>
                <w:color w:val="000000" w:themeColor="text1"/>
                <w:sz w:val="20"/>
                <w:szCs w:val="20"/>
              </w:rPr>
              <w:t xml:space="preserve">IO11: Support </w:t>
            </w:r>
            <w:r>
              <w:rPr>
                <w:rFonts w:asciiTheme="majorHAnsi" w:eastAsiaTheme="minorHAnsi" w:hAnsiTheme="majorHAnsi" w:cstheme="majorHAnsi"/>
                <w:color w:val="000000" w:themeColor="text1"/>
                <w:sz w:val="20"/>
                <w:szCs w:val="20"/>
              </w:rPr>
              <w:t>DepEd</w:t>
            </w:r>
            <w:r w:rsidRPr="00B9716C">
              <w:rPr>
                <w:rFonts w:asciiTheme="majorHAnsi" w:eastAsiaTheme="minorHAnsi" w:hAnsiTheme="majorHAnsi" w:cstheme="majorHAnsi"/>
                <w:color w:val="000000" w:themeColor="text1"/>
                <w:sz w:val="20"/>
                <w:szCs w:val="20"/>
              </w:rPr>
              <w:t xml:space="preserve"> management to ensure sufficient, capable staff in the right place with effective organisational structure</w:t>
            </w:r>
            <w:r>
              <w:rPr>
                <w:rFonts w:asciiTheme="majorHAnsi" w:eastAsiaTheme="minorHAnsi" w:hAnsiTheme="majorHAnsi" w:cstheme="majorHAnsi"/>
                <w:color w:val="000000" w:themeColor="text1"/>
                <w:sz w:val="20"/>
                <w:szCs w:val="20"/>
              </w:rPr>
              <w:t xml:space="preserve"> (Rationalization Plan)</w:t>
            </w:r>
          </w:p>
        </w:tc>
        <w:tc>
          <w:tcPr>
            <w:tcW w:w="1980" w:type="dxa"/>
          </w:tcPr>
          <w:p w14:paraId="643DFBA5" w14:textId="77777777" w:rsidR="00D65254" w:rsidRPr="00493494" w:rsidRDefault="00D65254" w:rsidP="002320B3">
            <w:pPr>
              <w:pStyle w:val="NormalWeb"/>
              <w:spacing w:before="0" w:beforeAutospacing="0" w:after="0" w:afterAutospacing="0"/>
              <w:rPr>
                <w:rFonts w:asciiTheme="majorHAnsi" w:hAnsiTheme="majorHAnsi" w:cstheme="majorHAnsi"/>
                <w:sz w:val="20"/>
                <w:szCs w:val="20"/>
              </w:rPr>
            </w:pPr>
            <w:r w:rsidRPr="00493494">
              <w:rPr>
                <w:rFonts w:asciiTheme="majorHAnsi" w:hAnsiTheme="majorHAnsi" w:cstheme="majorHAnsi"/>
                <w:sz w:val="20"/>
                <w:szCs w:val="20"/>
              </w:rPr>
              <w:t>Relevant</w:t>
            </w:r>
          </w:p>
        </w:tc>
        <w:tc>
          <w:tcPr>
            <w:tcW w:w="2070" w:type="dxa"/>
          </w:tcPr>
          <w:p w14:paraId="38EBDB22" w14:textId="77777777" w:rsidR="00D65254" w:rsidRPr="00F6352D" w:rsidRDefault="00D65254" w:rsidP="002320B3">
            <w:pPr>
              <w:pStyle w:val="NormalWeb"/>
              <w:spacing w:before="0" w:beforeAutospacing="0" w:after="0" w:afterAutospacing="0"/>
              <w:rPr>
                <w:rFonts w:asciiTheme="majorHAnsi" w:hAnsiTheme="majorHAnsi" w:cstheme="majorHAnsi"/>
                <w:color w:val="000000" w:themeColor="text1"/>
                <w:sz w:val="20"/>
                <w:szCs w:val="20"/>
              </w:rPr>
            </w:pPr>
            <w:r w:rsidRPr="00493494">
              <w:rPr>
                <w:rFonts w:asciiTheme="majorHAnsi" w:hAnsiTheme="majorHAnsi" w:cstheme="majorHAnsi"/>
                <w:sz w:val="20"/>
                <w:szCs w:val="20"/>
              </w:rPr>
              <w:t>Significant</w:t>
            </w:r>
          </w:p>
        </w:tc>
        <w:tc>
          <w:tcPr>
            <w:tcW w:w="1980" w:type="dxa"/>
          </w:tcPr>
          <w:p w14:paraId="4B427A4C" w14:textId="77777777" w:rsidR="00D65254" w:rsidRPr="00F6352D" w:rsidRDefault="00D65254" w:rsidP="002320B3">
            <w:pPr>
              <w:pStyle w:val="NormalWeb"/>
              <w:spacing w:before="0" w:beforeAutospacing="0" w:after="0" w:afterAutospacing="0"/>
              <w:rPr>
                <w:rFonts w:asciiTheme="majorHAnsi" w:hAnsiTheme="majorHAnsi" w:cstheme="majorHAnsi"/>
                <w:color w:val="000000" w:themeColor="text1"/>
                <w:sz w:val="20"/>
                <w:szCs w:val="20"/>
              </w:rPr>
            </w:pPr>
            <w:r w:rsidRPr="00493494">
              <w:rPr>
                <w:rFonts w:asciiTheme="majorHAnsi" w:hAnsiTheme="majorHAnsi" w:cstheme="majorHAnsi"/>
                <w:sz w:val="20"/>
                <w:szCs w:val="20"/>
              </w:rPr>
              <w:t>High likelihood</w:t>
            </w:r>
          </w:p>
        </w:tc>
      </w:tr>
    </w:tbl>
    <w:p w14:paraId="5B5E36E7" w14:textId="2684114C" w:rsidR="008D0CAD" w:rsidRDefault="008D0CAD" w:rsidP="004B064D">
      <w:pPr>
        <w:pStyle w:val="NormalWeb"/>
        <w:spacing w:before="0" w:beforeAutospacing="0" w:after="0" w:afterAutospacing="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*For the Rating</w:t>
      </w:r>
      <w:r w:rsidRPr="00082AF8">
        <w:rPr>
          <w:rFonts w:asciiTheme="majorHAnsi" w:hAnsiTheme="majorHAnsi" w:cstheme="majorHAnsi"/>
          <w:color w:val="000000" w:themeColor="text1"/>
          <w:sz w:val="20"/>
          <w:szCs w:val="20"/>
        </w:rPr>
        <w:t xml:space="preserve"> Scale</w:t>
      </w:r>
      <w:r>
        <w:rPr>
          <w:rFonts w:asciiTheme="majorHAnsi" w:hAnsiTheme="majorHAnsi" w:cstheme="majorHAnsi"/>
          <w:color w:val="000000" w:themeColor="text1"/>
          <w:sz w:val="20"/>
          <w:szCs w:val="20"/>
        </w:rPr>
        <w:t xml:space="preserve"> refer to Annex W </w:t>
      </w:r>
    </w:p>
    <w:p w14:paraId="486D18C1" w14:textId="77777777" w:rsidR="008D0CAD" w:rsidRPr="007967BC" w:rsidRDefault="008D0CAD" w:rsidP="002320B3">
      <w:pPr>
        <w:spacing w:after="120"/>
        <w:rPr>
          <w:rFonts w:asciiTheme="majorHAnsi" w:hAnsiTheme="majorHAnsi" w:cstheme="majorHAnsi"/>
          <w:color w:val="000000" w:themeColor="text1"/>
        </w:rPr>
      </w:pPr>
      <w:r>
        <w:rPr>
          <w:rFonts w:asciiTheme="majorHAnsi" w:hAnsiTheme="majorHAnsi" w:cstheme="majorHAnsi"/>
          <w:color w:val="000000" w:themeColor="text1"/>
        </w:rPr>
        <w:t xml:space="preserve"> </w:t>
      </w:r>
    </w:p>
    <w:p w14:paraId="1C5B7FFA" w14:textId="77777777" w:rsidR="008D0CAD" w:rsidRPr="00386A63" w:rsidRDefault="008D0CAD" w:rsidP="002320B3">
      <w:pPr>
        <w:tabs>
          <w:tab w:val="left" w:pos="4926"/>
        </w:tabs>
        <w:spacing w:after="120"/>
        <w:rPr>
          <w:rFonts w:asciiTheme="majorHAnsi" w:hAnsiTheme="majorHAnsi" w:cstheme="majorHAnsi"/>
          <w:color w:val="000000" w:themeColor="text1"/>
        </w:rPr>
        <w:sectPr w:rsidR="008D0CAD" w:rsidRPr="00386A63" w:rsidSect="009C64E9">
          <w:pgSz w:w="16840" w:h="11900" w:orient="landscape"/>
          <w:pgMar w:top="1152" w:right="1008" w:bottom="1152" w:left="1008" w:header="720" w:footer="720" w:gutter="0"/>
          <w:cols w:space="720"/>
          <w:docGrid w:linePitch="360"/>
        </w:sectPr>
      </w:pPr>
      <w:bookmarkStart w:id="185" w:name="_Toc12712003"/>
      <w:bookmarkStart w:id="186" w:name="_Toc13216294"/>
    </w:p>
    <w:p w14:paraId="7D4967D1" w14:textId="0D4C2BA7" w:rsidR="008D0CAD" w:rsidRDefault="008D0CAD" w:rsidP="009443E0">
      <w:pPr>
        <w:pStyle w:val="Heading2"/>
        <w:numPr>
          <w:ilvl w:val="0"/>
          <w:numId w:val="38"/>
        </w:numPr>
        <w:spacing w:before="100" w:beforeAutospacing="1" w:after="100" w:afterAutospacing="1" w:line="360" w:lineRule="auto"/>
      </w:pPr>
      <w:bookmarkStart w:id="187" w:name="_Toc12712009"/>
      <w:bookmarkStart w:id="188" w:name="_Toc13216300"/>
      <w:bookmarkStart w:id="189" w:name="_Toc69820451"/>
      <w:bookmarkEnd w:id="168"/>
      <w:bookmarkEnd w:id="185"/>
      <w:bookmarkEnd w:id="186"/>
      <w:r>
        <w:t>CONCLUSIONS AND IMPLICATIONS</w:t>
      </w:r>
      <w:bookmarkEnd w:id="187"/>
      <w:bookmarkEnd w:id="188"/>
      <w:bookmarkEnd w:id="189"/>
    </w:p>
    <w:p w14:paraId="0420C081" w14:textId="077B3BC0" w:rsidR="008D0CAD" w:rsidRPr="009933B1" w:rsidRDefault="008D0CAD" w:rsidP="009443E0">
      <w:pPr>
        <w:pStyle w:val="Heading3"/>
        <w:numPr>
          <w:ilvl w:val="1"/>
          <w:numId w:val="3"/>
        </w:numPr>
        <w:spacing w:before="100" w:beforeAutospacing="1" w:after="100" w:afterAutospacing="1" w:line="360" w:lineRule="auto"/>
      </w:pPr>
      <w:bookmarkStart w:id="190" w:name="_Toc16503165"/>
      <w:bookmarkStart w:id="191" w:name="_Toc69820452"/>
      <w:r w:rsidRPr="009933B1">
        <w:t>Conclusions</w:t>
      </w:r>
      <w:bookmarkEnd w:id="190"/>
      <w:bookmarkEnd w:id="191"/>
    </w:p>
    <w:p w14:paraId="7785C6D6" w14:textId="69B0D730" w:rsidR="008D0CAD" w:rsidRPr="009933B1" w:rsidRDefault="008D0CAD" w:rsidP="009443E0">
      <w:pPr>
        <w:pStyle w:val="Heading4"/>
        <w:numPr>
          <w:ilvl w:val="2"/>
          <w:numId w:val="3"/>
        </w:numPr>
        <w:spacing w:before="100" w:beforeAutospacing="1" w:after="100" w:afterAutospacing="1" w:line="360" w:lineRule="auto"/>
      </w:pPr>
      <w:bookmarkStart w:id="192" w:name="_Toc16503166"/>
      <w:r w:rsidRPr="009933B1">
        <w:t>On Student Mastery</w:t>
      </w:r>
      <w:bookmarkEnd w:id="192"/>
    </w:p>
    <w:p w14:paraId="622A05DD" w14:textId="061E8122" w:rsidR="008D0CAD" w:rsidRDefault="008D0CAD" w:rsidP="009443E0">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color w:val="000000" w:themeColor="text1"/>
        </w:rPr>
        <w:t>T</w:t>
      </w:r>
      <w:r w:rsidRPr="00BD7862">
        <w:rPr>
          <w:rFonts w:asciiTheme="majorHAnsi" w:hAnsiTheme="majorHAnsi" w:cstheme="majorHAnsi"/>
          <w:color w:val="000000" w:themeColor="text1"/>
        </w:rPr>
        <w:t>he effects of the Program on increasing student mastery</w:t>
      </w:r>
      <w:r>
        <w:rPr>
          <w:rFonts w:asciiTheme="majorHAnsi" w:hAnsiTheme="majorHAnsi" w:cstheme="majorHAnsi"/>
          <w:color w:val="000000" w:themeColor="text1"/>
        </w:rPr>
        <w:t>,</w:t>
      </w:r>
      <w:r w:rsidRPr="00BD7862">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as evidenced by the average grades of boys and girls, </w:t>
      </w:r>
      <w:r w:rsidRPr="00BD7862">
        <w:rPr>
          <w:rFonts w:asciiTheme="majorHAnsi" w:hAnsiTheme="majorHAnsi" w:cstheme="majorHAnsi"/>
          <w:color w:val="000000" w:themeColor="text1"/>
        </w:rPr>
        <w:t xml:space="preserve">was not </w:t>
      </w:r>
      <w:r>
        <w:rPr>
          <w:rFonts w:asciiTheme="majorHAnsi" w:hAnsiTheme="majorHAnsi" w:cstheme="majorHAnsi"/>
          <w:color w:val="000000" w:themeColor="text1"/>
        </w:rPr>
        <w:t>manifest at the time of the Study</w:t>
      </w:r>
      <w:r w:rsidRPr="00BD7862">
        <w:rPr>
          <w:rFonts w:asciiTheme="majorHAnsi" w:hAnsiTheme="majorHAnsi" w:cstheme="majorHAnsi"/>
          <w:color w:val="000000" w:themeColor="text1"/>
        </w:rPr>
        <w:t>.</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BEST Program-supported reforms commenced at the school level mainly in 2018, less than a year prior to the Evaluation.</w:t>
      </w:r>
    </w:p>
    <w:p w14:paraId="012FCE86" w14:textId="19F80232" w:rsidR="008D0CAD" w:rsidRDefault="008D0CAD" w:rsidP="009443E0">
      <w:pPr>
        <w:spacing w:before="100" w:beforeAutospacing="1" w:after="100" w:afterAutospacing="1" w:line="360" w:lineRule="auto"/>
        <w:rPr>
          <w:rFonts w:asciiTheme="majorHAnsi" w:eastAsiaTheme="minorHAnsi" w:hAnsiTheme="majorHAnsi" w:cstheme="majorHAnsi"/>
          <w:color w:val="000000" w:themeColor="text1"/>
        </w:rPr>
      </w:pPr>
      <w:r>
        <w:rPr>
          <w:rFonts w:asciiTheme="majorHAnsi" w:hAnsiTheme="majorHAnsi" w:cstheme="majorHAnsi"/>
          <w:color w:val="000000" w:themeColor="text1"/>
        </w:rPr>
        <w:t>Nevertheless</w:t>
      </w:r>
      <w:r w:rsidRPr="00BD7862">
        <w:rPr>
          <w:rFonts w:asciiTheme="majorHAnsi" w:hAnsiTheme="majorHAnsi" w:cstheme="majorHAnsi"/>
          <w:color w:val="000000" w:themeColor="text1"/>
        </w:rPr>
        <w:t>, there w</w:t>
      </w:r>
      <w:r>
        <w:rPr>
          <w:rFonts w:asciiTheme="majorHAnsi" w:hAnsiTheme="majorHAnsi" w:cstheme="majorHAnsi"/>
          <w:color w:val="000000" w:themeColor="text1"/>
        </w:rPr>
        <w:t>as</w:t>
      </w:r>
      <w:r w:rsidRPr="00BD7862">
        <w:rPr>
          <w:rFonts w:asciiTheme="majorHAnsi" w:hAnsiTheme="majorHAnsi" w:cstheme="majorHAnsi"/>
          <w:color w:val="000000" w:themeColor="text1"/>
        </w:rPr>
        <w:t xml:space="preserve"> clear evidence to support </w:t>
      </w:r>
      <w:r>
        <w:rPr>
          <w:rFonts w:asciiTheme="majorHAnsi" w:hAnsiTheme="majorHAnsi" w:cstheme="majorHAnsi"/>
          <w:color w:val="000000" w:themeColor="text1"/>
        </w:rPr>
        <w:t>improved</w:t>
      </w:r>
      <w:r w:rsidRPr="00BD7862">
        <w:rPr>
          <w:rFonts w:asciiTheme="majorHAnsi" w:hAnsiTheme="majorHAnsi" w:cstheme="majorHAnsi"/>
          <w:color w:val="000000" w:themeColor="text1"/>
        </w:rPr>
        <w:t xml:space="preserve"> capacity of </w:t>
      </w:r>
      <w:r>
        <w:rPr>
          <w:rFonts w:asciiTheme="majorHAnsi" w:hAnsiTheme="majorHAnsi" w:cstheme="majorHAnsi"/>
          <w:color w:val="000000" w:themeColor="text1"/>
        </w:rPr>
        <w:t xml:space="preserve">principals and </w:t>
      </w:r>
      <w:r w:rsidRPr="00BD7862">
        <w:rPr>
          <w:rFonts w:asciiTheme="majorHAnsi" w:eastAsiaTheme="minorHAnsi" w:hAnsiTheme="majorHAnsi" w:cstheme="majorHAnsi"/>
          <w:color w:val="000000" w:themeColor="text1"/>
        </w:rPr>
        <w:t>teachers</w:t>
      </w:r>
      <w:r>
        <w:rPr>
          <w:rFonts w:asciiTheme="majorHAnsi" w:eastAsiaTheme="minorHAnsi" w:hAnsiTheme="majorHAnsi" w:cstheme="majorHAnsi"/>
          <w:color w:val="000000" w:themeColor="text1"/>
        </w:rPr>
        <w:t xml:space="preserve"> to support student </w:t>
      </w:r>
      <w:r w:rsidRPr="00BD7862">
        <w:rPr>
          <w:rFonts w:asciiTheme="majorHAnsi" w:eastAsiaTheme="minorHAnsi" w:hAnsiTheme="majorHAnsi" w:cstheme="majorHAnsi"/>
          <w:color w:val="000000" w:themeColor="text1"/>
        </w:rPr>
        <w:t>learning</w:t>
      </w:r>
      <w:r>
        <w:rPr>
          <w:rFonts w:asciiTheme="majorHAnsi" w:eastAsiaTheme="minorHAnsi" w:hAnsiTheme="majorHAnsi" w:cstheme="majorHAnsi"/>
          <w:color w:val="000000" w:themeColor="text1"/>
        </w:rPr>
        <w:t>. First, several competencies of principals and teachers that were perceived to have significantly improved over a period of time are related to BEST Program interventions.</w:t>
      </w:r>
      <w:r w:rsidR="00D434EB">
        <w:rPr>
          <w:rFonts w:asciiTheme="majorHAnsi" w:eastAsiaTheme="minorHAnsi" w:hAnsiTheme="majorHAnsi" w:cstheme="majorHAnsi"/>
          <w:color w:val="000000" w:themeColor="text1"/>
        </w:rPr>
        <w:t xml:space="preserve"> </w:t>
      </w:r>
      <w:r>
        <w:rPr>
          <w:rFonts w:asciiTheme="majorHAnsi" w:eastAsiaTheme="minorHAnsi" w:hAnsiTheme="majorHAnsi" w:cstheme="majorHAnsi"/>
          <w:color w:val="000000" w:themeColor="text1"/>
        </w:rPr>
        <w:t>For principals, these were competencies in assessing teacher performance</w:t>
      </w:r>
      <w:r w:rsidRPr="00A22F57">
        <w:rPr>
          <w:rFonts w:asciiTheme="majorHAnsi" w:eastAsiaTheme="minorHAnsi" w:hAnsiTheme="majorHAnsi" w:cstheme="majorHAnsi"/>
          <w:color w:val="000000" w:themeColor="text1"/>
        </w:rPr>
        <w:t xml:space="preserve"> </w:t>
      </w:r>
      <w:r>
        <w:rPr>
          <w:rFonts w:asciiTheme="majorHAnsi" w:eastAsiaTheme="minorHAnsi" w:hAnsiTheme="majorHAnsi" w:cstheme="majorHAnsi"/>
          <w:color w:val="000000" w:themeColor="text1"/>
        </w:rPr>
        <w:t>and</w:t>
      </w:r>
      <w:r w:rsidRPr="00A22F57">
        <w:rPr>
          <w:rFonts w:asciiTheme="majorHAnsi" w:eastAsiaTheme="minorHAnsi" w:hAnsiTheme="majorHAnsi" w:cstheme="majorHAnsi"/>
          <w:color w:val="000000" w:themeColor="text1"/>
        </w:rPr>
        <w:t xml:space="preserve"> </w:t>
      </w:r>
      <w:r>
        <w:rPr>
          <w:rFonts w:asciiTheme="majorHAnsi" w:eastAsiaTheme="minorHAnsi" w:hAnsiTheme="majorHAnsi" w:cstheme="majorHAnsi"/>
          <w:color w:val="000000" w:themeColor="text1"/>
        </w:rPr>
        <w:t>assessing student learning outcomes.</w:t>
      </w:r>
      <w:r w:rsidR="00D434EB">
        <w:rPr>
          <w:rFonts w:asciiTheme="majorHAnsi" w:eastAsiaTheme="minorHAnsi" w:hAnsiTheme="majorHAnsi" w:cstheme="majorHAnsi"/>
          <w:color w:val="000000" w:themeColor="text1"/>
        </w:rPr>
        <w:t xml:space="preserve"> </w:t>
      </w:r>
      <w:r>
        <w:rPr>
          <w:rFonts w:asciiTheme="majorHAnsi" w:eastAsiaTheme="minorHAnsi" w:hAnsiTheme="majorHAnsi" w:cstheme="majorHAnsi"/>
          <w:color w:val="000000" w:themeColor="text1"/>
        </w:rPr>
        <w:t>For teachers, these were competencies in delivering lessons effectively in the classroom and assessing student learning outcomes.</w:t>
      </w:r>
      <w:r w:rsidR="00D434EB">
        <w:rPr>
          <w:rFonts w:asciiTheme="majorHAnsi" w:eastAsiaTheme="minorHAnsi" w:hAnsiTheme="majorHAnsi" w:cstheme="majorHAnsi"/>
          <w:color w:val="000000" w:themeColor="text1"/>
        </w:rPr>
        <w:t xml:space="preserve"> </w:t>
      </w:r>
      <w:r>
        <w:rPr>
          <w:rFonts w:asciiTheme="majorHAnsi" w:eastAsiaTheme="minorHAnsi" w:hAnsiTheme="majorHAnsi" w:cstheme="majorHAnsi"/>
          <w:color w:val="000000" w:themeColor="text1"/>
        </w:rPr>
        <w:t>The Program interventions under PPST/RPMS and Curriculum and Assessment have clear links to these competencies. In other words, there is potential for the BEST program interventions supporting teachers and principals to contribute to improved student mastery over time.</w:t>
      </w:r>
    </w:p>
    <w:p w14:paraId="221298FD" w14:textId="6E4AA959" w:rsidR="008D0CAD" w:rsidRDefault="008D0CAD" w:rsidP="009443E0">
      <w:pPr>
        <w:spacing w:before="100" w:beforeAutospacing="1" w:after="100" w:afterAutospacing="1" w:line="360" w:lineRule="auto"/>
        <w:rPr>
          <w:rFonts w:asciiTheme="majorHAnsi" w:hAnsiTheme="majorHAnsi" w:cstheme="majorHAnsi"/>
          <w:color w:val="000000" w:themeColor="text1"/>
          <w:spacing w:val="-1"/>
        </w:rPr>
      </w:pPr>
      <w:r>
        <w:rPr>
          <w:rFonts w:asciiTheme="majorHAnsi" w:eastAsiaTheme="minorHAnsi" w:hAnsiTheme="majorHAnsi" w:cstheme="majorHAnsi"/>
          <w:color w:val="000000" w:themeColor="text1"/>
        </w:rPr>
        <w:t xml:space="preserve">Second, </w:t>
      </w:r>
      <w:r w:rsidRPr="00A549E8">
        <w:rPr>
          <w:rFonts w:asciiTheme="majorHAnsi" w:eastAsiaTheme="minorHAnsi" w:hAnsiTheme="majorHAnsi" w:cstheme="majorHAnsi"/>
          <w:iCs/>
          <w:color w:val="000000" w:themeColor="text1"/>
        </w:rPr>
        <w:t>evidence-based and contextuali</w:t>
      </w:r>
      <w:r>
        <w:rPr>
          <w:rFonts w:asciiTheme="majorHAnsi" w:eastAsiaTheme="minorHAnsi" w:hAnsiTheme="majorHAnsi" w:cstheme="majorHAnsi"/>
          <w:iCs/>
          <w:color w:val="000000" w:themeColor="text1"/>
        </w:rPr>
        <w:t>s</w:t>
      </w:r>
      <w:r w:rsidRPr="00A549E8">
        <w:rPr>
          <w:rFonts w:asciiTheme="majorHAnsi" w:eastAsiaTheme="minorHAnsi" w:hAnsiTheme="majorHAnsi" w:cstheme="majorHAnsi"/>
          <w:iCs/>
          <w:color w:val="000000" w:themeColor="text1"/>
        </w:rPr>
        <w:t>ed approaches and methods</w:t>
      </w:r>
      <w:r w:rsidRPr="00BD7862">
        <w:rPr>
          <w:rFonts w:asciiTheme="majorHAnsi" w:eastAsiaTheme="minorHAnsi" w:hAnsiTheme="majorHAnsi" w:cstheme="majorHAnsi"/>
          <w:i/>
          <w:color w:val="000000" w:themeColor="text1"/>
        </w:rPr>
        <w:t xml:space="preserve"> </w:t>
      </w:r>
      <w:r>
        <w:rPr>
          <w:rFonts w:asciiTheme="majorHAnsi" w:eastAsiaTheme="minorHAnsi" w:hAnsiTheme="majorHAnsi" w:cstheme="majorHAnsi"/>
          <w:color w:val="000000" w:themeColor="text1"/>
        </w:rPr>
        <w:t>that</w:t>
      </w:r>
      <w:r w:rsidRPr="00BD7862">
        <w:rPr>
          <w:rFonts w:asciiTheme="majorHAnsi" w:eastAsiaTheme="minorHAnsi" w:hAnsiTheme="majorHAnsi" w:cstheme="majorHAnsi"/>
          <w:color w:val="000000" w:themeColor="text1"/>
        </w:rPr>
        <w:t xml:space="preserve"> support student learning</w:t>
      </w:r>
      <w:r>
        <w:rPr>
          <w:rFonts w:asciiTheme="majorHAnsi" w:eastAsiaTheme="minorHAnsi" w:hAnsiTheme="majorHAnsi" w:cstheme="majorHAnsi"/>
          <w:color w:val="000000" w:themeColor="text1"/>
        </w:rPr>
        <w:t xml:space="preserve"> are applied at the Field Units (RO/DO/School levels).</w:t>
      </w:r>
      <w:r w:rsidR="00D434EB">
        <w:rPr>
          <w:rFonts w:asciiTheme="majorHAnsi" w:eastAsiaTheme="minorHAnsi" w:hAnsiTheme="majorHAnsi" w:cstheme="majorHAnsi"/>
          <w:color w:val="000000" w:themeColor="text1"/>
        </w:rPr>
        <w:t xml:space="preserve"> </w:t>
      </w:r>
      <w:r>
        <w:rPr>
          <w:rFonts w:asciiTheme="majorHAnsi" w:eastAsiaTheme="minorHAnsi" w:hAnsiTheme="majorHAnsi" w:cstheme="majorHAnsi"/>
          <w:color w:val="000000" w:themeColor="text1"/>
        </w:rPr>
        <w:t>One example is the conduct of division/district level LACs.</w:t>
      </w:r>
      <w:r w:rsidR="00D434EB">
        <w:rPr>
          <w:rFonts w:asciiTheme="majorHAnsi" w:eastAsiaTheme="minorHAnsi" w:hAnsiTheme="majorHAnsi" w:cstheme="majorHAnsi"/>
          <w:color w:val="000000" w:themeColor="text1"/>
        </w:rPr>
        <w:t xml:space="preserve"> </w:t>
      </w:r>
      <w:r>
        <w:rPr>
          <w:rFonts w:asciiTheme="majorHAnsi" w:eastAsiaTheme="minorHAnsi" w:hAnsiTheme="majorHAnsi" w:cstheme="majorHAnsi"/>
          <w:color w:val="000000" w:themeColor="text1"/>
        </w:rPr>
        <w:t>T</w:t>
      </w:r>
      <w:r w:rsidRPr="007B7F58">
        <w:rPr>
          <w:rFonts w:asciiTheme="majorHAnsi" w:hAnsiTheme="majorHAnsi" w:cstheme="majorHAnsi"/>
          <w:color w:val="000000" w:themeColor="text1"/>
          <w:spacing w:val="-1"/>
        </w:rPr>
        <w:t xml:space="preserve">eachers </w:t>
      </w:r>
      <w:r>
        <w:rPr>
          <w:rFonts w:asciiTheme="majorHAnsi" w:hAnsiTheme="majorHAnsi" w:cstheme="majorHAnsi"/>
          <w:color w:val="000000" w:themeColor="text1"/>
          <w:spacing w:val="-1"/>
        </w:rPr>
        <w:t>underscored the influence of LACs on</w:t>
      </w:r>
      <w:r w:rsidRPr="007B7F58">
        <w:rPr>
          <w:rFonts w:asciiTheme="majorHAnsi" w:hAnsiTheme="majorHAnsi" w:cstheme="majorHAnsi"/>
          <w:color w:val="000000" w:themeColor="text1"/>
          <w:spacing w:val="-1"/>
        </w:rPr>
        <w:t xml:space="preserve"> teaching practices</w:t>
      </w:r>
      <w:r>
        <w:rPr>
          <w:rFonts w:asciiTheme="majorHAnsi" w:hAnsiTheme="majorHAnsi" w:cstheme="majorHAnsi"/>
          <w:color w:val="000000" w:themeColor="text1"/>
          <w:spacing w:val="-1"/>
        </w:rPr>
        <w:t xml:space="preserve"> in terms of </w:t>
      </w:r>
      <w:r w:rsidRPr="007B7F58">
        <w:rPr>
          <w:rFonts w:asciiTheme="majorHAnsi" w:hAnsiTheme="majorHAnsi" w:cstheme="majorHAnsi"/>
          <w:color w:val="000000" w:themeColor="text1"/>
          <w:spacing w:val="-1"/>
        </w:rPr>
        <w:t>LAC</w:t>
      </w:r>
      <w:r>
        <w:rPr>
          <w:rFonts w:asciiTheme="majorHAnsi" w:hAnsiTheme="majorHAnsi" w:cstheme="majorHAnsi"/>
          <w:color w:val="000000" w:themeColor="text1"/>
          <w:spacing w:val="-1"/>
        </w:rPr>
        <w:t>s</w:t>
      </w:r>
      <w:r w:rsidRPr="007B7F58">
        <w:rPr>
          <w:rFonts w:asciiTheme="majorHAnsi" w:hAnsiTheme="majorHAnsi" w:cstheme="majorHAnsi"/>
          <w:color w:val="000000" w:themeColor="text1"/>
          <w:spacing w:val="-1"/>
        </w:rPr>
        <w:t xml:space="preserve"> provid</w:t>
      </w:r>
      <w:r>
        <w:rPr>
          <w:rFonts w:asciiTheme="majorHAnsi" w:hAnsiTheme="majorHAnsi" w:cstheme="majorHAnsi"/>
          <w:color w:val="000000" w:themeColor="text1"/>
          <w:spacing w:val="-1"/>
        </w:rPr>
        <w:t>ing</w:t>
      </w:r>
      <w:r w:rsidRPr="007B7F58">
        <w:rPr>
          <w:rFonts w:asciiTheme="majorHAnsi" w:hAnsiTheme="majorHAnsi" w:cstheme="majorHAnsi"/>
          <w:color w:val="000000" w:themeColor="text1"/>
          <w:spacing w:val="-1"/>
        </w:rPr>
        <w:t xml:space="preserve"> a much-needed venue to</w:t>
      </w:r>
      <w:r>
        <w:rPr>
          <w:rFonts w:asciiTheme="majorHAnsi" w:hAnsiTheme="majorHAnsi" w:cstheme="majorHAnsi"/>
          <w:color w:val="000000" w:themeColor="text1"/>
          <w:spacing w:val="-1"/>
        </w:rPr>
        <w:t>:</w:t>
      </w:r>
      <w:r w:rsidRPr="007B7F58">
        <w:rPr>
          <w:rFonts w:asciiTheme="majorHAnsi" w:hAnsiTheme="majorHAnsi" w:cstheme="majorHAnsi"/>
          <w:color w:val="000000" w:themeColor="text1"/>
          <w:spacing w:val="-1"/>
        </w:rPr>
        <w:t xml:space="preserve"> learn new things (e.g. </w:t>
      </w:r>
      <w:r>
        <w:rPr>
          <w:rFonts w:asciiTheme="majorHAnsi" w:hAnsiTheme="majorHAnsi" w:cstheme="majorHAnsi"/>
          <w:color w:val="000000" w:themeColor="text1"/>
          <w:spacing w:val="-1"/>
        </w:rPr>
        <w:t>supporting children with disabilities</w:t>
      </w:r>
      <w:r w:rsidRPr="007B7F58">
        <w:rPr>
          <w:rFonts w:asciiTheme="majorHAnsi" w:hAnsiTheme="majorHAnsi" w:cstheme="majorHAnsi"/>
          <w:color w:val="000000" w:themeColor="text1"/>
          <w:spacing w:val="-1"/>
        </w:rPr>
        <w:t>)</w:t>
      </w:r>
      <w:r>
        <w:rPr>
          <w:rFonts w:asciiTheme="majorHAnsi" w:hAnsiTheme="majorHAnsi" w:cstheme="majorHAnsi"/>
          <w:color w:val="000000" w:themeColor="text1"/>
          <w:spacing w:val="-1"/>
        </w:rPr>
        <w:t>;</w:t>
      </w:r>
      <w:r w:rsidRPr="007B7F58">
        <w:rPr>
          <w:rFonts w:asciiTheme="majorHAnsi" w:hAnsiTheme="majorHAnsi" w:cstheme="majorHAnsi"/>
          <w:color w:val="000000" w:themeColor="text1"/>
          <w:spacing w:val="-1"/>
        </w:rPr>
        <w:t xml:space="preserve"> validate previous concepts (update methodologies)</w:t>
      </w:r>
      <w:r>
        <w:rPr>
          <w:rFonts w:asciiTheme="majorHAnsi" w:hAnsiTheme="majorHAnsi" w:cstheme="majorHAnsi"/>
          <w:color w:val="000000" w:themeColor="text1"/>
          <w:spacing w:val="-1"/>
        </w:rPr>
        <w:t>;</w:t>
      </w:r>
      <w:r w:rsidRPr="007B7F58">
        <w:rPr>
          <w:rFonts w:asciiTheme="majorHAnsi" w:hAnsiTheme="majorHAnsi" w:cstheme="majorHAnsi"/>
          <w:color w:val="000000" w:themeColor="text1"/>
          <w:spacing w:val="-1"/>
        </w:rPr>
        <w:t xml:space="preserve"> and share/test new ideas (e.g. echo training).</w:t>
      </w:r>
    </w:p>
    <w:p w14:paraId="3E83DF21" w14:textId="77777777" w:rsidR="008D0CAD" w:rsidRDefault="008D0CAD" w:rsidP="009443E0">
      <w:pPr>
        <w:spacing w:before="100" w:beforeAutospacing="1" w:after="100" w:afterAutospacing="1" w:line="360" w:lineRule="auto"/>
        <w:rPr>
          <w:rFonts w:asciiTheme="majorHAnsi" w:hAnsiTheme="majorHAnsi" w:cstheme="majorHAnsi"/>
          <w:color w:val="000000" w:themeColor="text1"/>
          <w:spacing w:val="-1"/>
        </w:rPr>
      </w:pPr>
      <w:r>
        <w:rPr>
          <w:rFonts w:asciiTheme="majorHAnsi" w:hAnsiTheme="majorHAnsi" w:cstheme="majorHAnsi"/>
          <w:color w:val="000000" w:themeColor="text1"/>
          <w:spacing w:val="-1"/>
        </w:rPr>
        <w:t>Another piece of evidence was t</w:t>
      </w:r>
      <w:r w:rsidRPr="007B7F58">
        <w:rPr>
          <w:rFonts w:asciiTheme="majorHAnsi" w:hAnsiTheme="majorHAnsi" w:cstheme="majorHAnsi"/>
          <w:color w:val="000000" w:themeColor="text1"/>
          <w:spacing w:val="-1"/>
        </w:rPr>
        <w:t xml:space="preserve">he </w:t>
      </w:r>
      <w:r>
        <w:rPr>
          <w:rFonts w:asciiTheme="majorHAnsi" w:hAnsiTheme="majorHAnsi" w:cstheme="majorHAnsi"/>
          <w:color w:val="000000" w:themeColor="text1"/>
          <w:spacing w:val="-1"/>
        </w:rPr>
        <w:t xml:space="preserve">shift in the acceptance of the PPST-aligned tools over time (highlighting the importance of time in making reforms stick). The conduct of teacher performance assessments using the </w:t>
      </w:r>
      <w:r w:rsidRPr="007B7F58">
        <w:rPr>
          <w:rFonts w:asciiTheme="majorHAnsi" w:hAnsiTheme="majorHAnsi" w:cstheme="majorHAnsi"/>
          <w:color w:val="000000" w:themeColor="text1"/>
          <w:spacing w:val="-1"/>
        </w:rPr>
        <w:t xml:space="preserve">COT and the preparation of the SATs were </w:t>
      </w:r>
      <w:r>
        <w:rPr>
          <w:rFonts w:asciiTheme="majorHAnsi" w:hAnsiTheme="majorHAnsi" w:cstheme="majorHAnsi"/>
          <w:color w:val="000000" w:themeColor="text1"/>
          <w:spacing w:val="-1"/>
        </w:rPr>
        <w:t xml:space="preserve">highly contested during the 2019 Study but were regarded as a </w:t>
      </w:r>
      <w:r w:rsidRPr="007B7F58">
        <w:rPr>
          <w:rFonts w:asciiTheme="majorHAnsi" w:hAnsiTheme="majorHAnsi" w:cstheme="majorHAnsi"/>
          <w:color w:val="000000" w:themeColor="text1"/>
          <w:spacing w:val="-1"/>
        </w:rPr>
        <w:t xml:space="preserve">welcome </w:t>
      </w:r>
      <w:r>
        <w:rPr>
          <w:rFonts w:asciiTheme="majorHAnsi" w:hAnsiTheme="majorHAnsi" w:cstheme="majorHAnsi"/>
          <w:color w:val="000000" w:themeColor="text1"/>
          <w:spacing w:val="-1"/>
        </w:rPr>
        <w:t>and</w:t>
      </w:r>
      <w:r w:rsidRPr="007B7F58">
        <w:rPr>
          <w:rFonts w:asciiTheme="majorHAnsi" w:hAnsiTheme="majorHAnsi" w:cstheme="majorHAnsi"/>
          <w:color w:val="000000" w:themeColor="text1"/>
          <w:spacing w:val="-1"/>
        </w:rPr>
        <w:t xml:space="preserve"> objective approach to identifying strengths and weaknesses of teachers</w:t>
      </w:r>
      <w:r>
        <w:rPr>
          <w:rFonts w:asciiTheme="majorHAnsi" w:hAnsiTheme="majorHAnsi" w:cstheme="majorHAnsi"/>
          <w:color w:val="000000" w:themeColor="text1"/>
          <w:spacing w:val="-1"/>
        </w:rPr>
        <w:t xml:space="preserve"> in the 2020 study</w:t>
      </w:r>
      <w:r w:rsidRPr="007B7F58">
        <w:rPr>
          <w:rFonts w:asciiTheme="majorHAnsi" w:hAnsiTheme="majorHAnsi" w:cstheme="majorHAnsi"/>
          <w:color w:val="000000" w:themeColor="text1"/>
          <w:spacing w:val="-1"/>
        </w:rPr>
        <w:t>.</w:t>
      </w:r>
    </w:p>
    <w:p w14:paraId="6413C353" w14:textId="77777777" w:rsidR="008D0CAD" w:rsidRDefault="008D0CAD" w:rsidP="009443E0">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rPr>
        <w:t xml:space="preserve">The provision of clear policies and </w:t>
      </w:r>
      <w:r w:rsidRPr="00B1694E">
        <w:rPr>
          <w:rFonts w:asciiTheme="majorHAnsi" w:hAnsiTheme="majorHAnsi" w:cstheme="majorHAnsi"/>
          <w:color w:val="000000" w:themeColor="text1"/>
        </w:rPr>
        <w:t>guidelines also ensured high sustainability in implementation of the reforms such as DO 8 s. 2015 on Classroom Assessment, DO 42 s. 2017 on PPST and DO 35, s. 2016 on LAC, among others.</w:t>
      </w:r>
    </w:p>
    <w:p w14:paraId="65393080" w14:textId="414FADE6" w:rsidR="008D0CAD" w:rsidRDefault="008D0CAD" w:rsidP="009443E0">
      <w:pPr>
        <w:spacing w:before="100" w:beforeAutospacing="1" w:after="100" w:afterAutospacing="1" w:line="360" w:lineRule="auto"/>
        <w:rPr>
          <w:rFonts w:asciiTheme="majorHAnsi" w:hAnsiTheme="majorHAnsi" w:cstheme="majorHAnsi"/>
          <w:color w:val="000000" w:themeColor="text1"/>
          <w:spacing w:val="-1"/>
        </w:rPr>
      </w:pPr>
      <w:r>
        <w:rPr>
          <w:rFonts w:asciiTheme="majorHAnsi" w:eastAsiaTheme="minorHAnsi" w:hAnsiTheme="majorHAnsi" w:cstheme="majorHAnsi"/>
          <w:color w:val="000000" w:themeColor="text1"/>
        </w:rPr>
        <w:t xml:space="preserve">Furthermore, </w:t>
      </w:r>
      <w:r w:rsidRPr="00E1010D">
        <w:rPr>
          <w:rFonts w:asciiTheme="majorHAnsi" w:eastAsiaTheme="minorHAnsi" w:hAnsiTheme="majorHAnsi" w:cstheme="majorHAnsi"/>
          <w:iCs/>
          <w:color w:val="000000" w:themeColor="text1"/>
        </w:rPr>
        <w:t>gender responsive</w:t>
      </w:r>
      <w:r w:rsidRPr="00BD7862">
        <w:rPr>
          <w:rFonts w:asciiTheme="majorHAnsi" w:eastAsiaTheme="minorHAnsi" w:hAnsiTheme="majorHAnsi" w:cstheme="majorHAnsi"/>
          <w:i/>
          <w:color w:val="000000" w:themeColor="text1"/>
        </w:rPr>
        <w:t xml:space="preserve"> </w:t>
      </w:r>
      <w:r w:rsidRPr="00BD7862">
        <w:rPr>
          <w:rFonts w:asciiTheme="majorHAnsi" w:eastAsiaTheme="minorHAnsi" w:hAnsiTheme="majorHAnsi" w:cstheme="majorHAnsi"/>
          <w:color w:val="000000" w:themeColor="text1"/>
        </w:rPr>
        <w:t>knowledge products produced under the</w:t>
      </w:r>
      <w:r>
        <w:rPr>
          <w:rFonts w:asciiTheme="majorHAnsi" w:eastAsiaTheme="minorHAnsi" w:hAnsiTheme="majorHAnsi" w:cstheme="majorHAnsi"/>
          <w:color w:val="000000" w:themeColor="text1"/>
        </w:rPr>
        <w:t xml:space="preserve"> different</w:t>
      </w:r>
      <w:r w:rsidRPr="00BD7862">
        <w:rPr>
          <w:rFonts w:asciiTheme="majorHAnsi" w:eastAsiaTheme="minorHAnsi" w:hAnsiTheme="majorHAnsi" w:cstheme="majorHAnsi"/>
          <w:color w:val="000000" w:themeColor="text1"/>
        </w:rPr>
        <w:t xml:space="preserve"> BEST Program</w:t>
      </w:r>
      <w:r>
        <w:rPr>
          <w:rFonts w:asciiTheme="majorHAnsi" w:eastAsiaTheme="minorHAnsi" w:hAnsiTheme="majorHAnsi" w:cstheme="majorHAnsi"/>
          <w:color w:val="000000" w:themeColor="text1"/>
        </w:rPr>
        <w:t xml:space="preserve"> interventions, at least those that have been made available at the </w:t>
      </w:r>
      <w:r w:rsidRPr="00757825">
        <w:rPr>
          <w:rFonts w:asciiTheme="majorHAnsi" w:eastAsiaTheme="minorHAnsi" w:hAnsiTheme="majorHAnsi" w:cstheme="majorHAnsi"/>
          <w:color w:val="000000" w:themeColor="text1"/>
        </w:rPr>
        <w:t>school</w:t>
      </w:r>
      <w:r>
        <w:rPr>
          <w:rFonts w:asciiTheme="majorHAnsi" w:eastAsiaTheme="minorHAnsi" w:hAnsiTheme="majorHAnsi" w:cstheme="majorHAnsi"/>
          <w:color w:val="000000" w:themeColor="text1"/>
        </w:rPr>
        <w:t xml:space="preserve"> levels</w:t>
      </w:r>
      <w:r w:rsidRPr="00757825">
        <w:rPr>
          <w:rFonts w:asciiTheme="majorHAnsi" w:eastAsiaTheme="minorHAnsi" w:hAnsiTheme="majorHAnsi" w:cstheme="majorHAnsi"/>
          <w:color w:val="000000" w:themeColor="text1"/>
        </w:rPr>
        <w:t>, are being utili</w:t>
      </w:r>
      <w:r>
        <w:rPr>
          <w:rFonts w:asciiTheme="majorHAnsi" w:eastAsiaTheme="minorHAnsi" w:hAnsiTheme="majorHAnsi" w:cstheme="majorHAnsi"/>
          <w:color w:val="000000" w:themeColor="text1"/>
        </w:rPr>
        <w:t>s</w:t>
      </w:r>
      <w:r w:rsidRPr="00757825">
        <w:rPr>
          <w:rFonts w:asciiTheme="majorHAnsi" w:eastAsiaTheme="minorHAnsi" w:hAnsiTheme="majorHAnsi" w:cstheme="majorHAnsi"/>
          <w:color w:val="000000" w:themeColor="text1"/>
        </w:rPr>
        <w:t>ed.</w:t>
      </w:r>
      <w:r w:rsidR="00D434EB">
        <w:rPr>
          <w:rFonts w:asciiTheme="majorHAnsi" w:eastAsiaTheme="minorHAnsi" w:hAnsiTheme="majorHAnsi" w:cstheme="majorHAnsi"/>
          <w:color w:val="000000" w:themeColor="text1"/>
        </w:rPr>
        <w:t xml:space="preserve"> </w:t>
      </w:r>
      <w:r>
        <w:rPr>
          <w:rFonts w:asciiTheme="majorHAnsi" w:eastAsiaTheme="minorHAnsi" w:hAnsiTheme="majorHAnsi" w:cstheme="majorHAnsi"/>
          <w:color w:val="000000" w:themeColor="text1"/>
        </w:rPr>
        <w:t xml:space="preserve"> Examples are the K-12 Curriculum Guides, the COT, the SAT, among others. </w:t>
      </w:r>
      <w:r>
        <w:rPr>
          <w:rFonts w:asciiTheme="majorHAnsi" w:hAnsiTheme="majorHAnsi" w:cstheme="majorHAnsi"/>
          <w:color w:val="000000" w:themeColor="text1"/>
          <w:spacing w:val="-1"/>
        </w:rPr>
        <w:t>Another example is t</w:t>
      </w:r>
      <w:r w:rsidRPr="007B7F58">
        <w:rPr>
          <w:rFonts w:asciiTheme="majorHAnsi" w:hAnsiTheme="majorHAnsi" w:cstheme="majorHAnsi"/>
          <w:color w:val="000000" w:themeColor="text1"/>
          <w:spacing w:val="-1"/>
        </w:rPr>
        <w:t>he classroom assessment guidelines</w:t>
      </w:r>
      <w:r>
        <w:rPr>
          <w:rFonts w:asciiTheme="majorHAnsi" w:hAnsiTheme="majorHAnsi" w:cstheme="majorHAnsi"/>
          <w:color w:val="000000" w:themeColor="text1"/>
          <w:spacing w:val="-1"/>
        </w:rPr>
        <w:t>, which</w:t>
      </w:r>
      <w:r w:rsidRPr="007B7F58">
        <w:rPr>
          <w:rFonts w:asciiTheme="majorHAnsi" w:hAnsiTheme="majorHAnsi" w:cstheme="majorHAnsi"/>
          <w:color w:val="000000" w:themeColor="text1"/>
          <w:spacing w:val="-1"/>
        </w:rPr>
        <w:t xml:space="preserve"> standardi</w:t>
      </w:r>
      <w:r>
        <w:rPr>
          <w:rFonts w:asciiTheme="majorHAnsi" w:hAnsiTheme="majorHAnsi" w:cstheme="majorHAnsi"/>
          <w:color w:val="000000" w:themeColor="text1"/>
          <w:spacing w:val="-1"/>
        </w:rPr>
        <w:t>s</w:t>
      </w:r>
      <w:r w:rsidRPr="007B7F58">
        <w:rPr>
          <w:rFonts w:asciiTheme="majorHAnsi" w:hAnsiTheme="majorHAnsi" w:cstheme="majorHAnsi"/>
          <w:color w:val="000000" w:themeColor="text1"/>
          <w:spacing w:val="-1"/>
        </w:rPr>
        <w:t>ed the previously subjective and teacher-centric approach to testing, resulting in reduced time allocated for this activity.</w:t>
      </w:r>
    </w:p>
    <w:p w14:paraId="5E06872C" w14:textId="28CF200E" w:rsidR="008D0CAD" w:rsidRPr="00BD7862" w:rsidRDefault="008D0CAD" w:rsidP="009443E0">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color w:val="000000" w:themeColor="text1"/>
        </w:rPr>
        <w:t>And yet</w:t>
      </w:r>
      <w:r w:rsidRPr="00BD7862">
        <w:rPr>
          <w:rFonts w:asciiTheme="majorHAnsi" w:hAnsiTheme="majorHAnsi" w:cstheme="majorHAnsi"/>
          <w:color w:val="000000" w:themeColor="text1"/>
        </w:rPr>
        <w:t xml:space="preserve">, there were </w:t>
      </w:r>
      <w:r>
        <w:rPr>
          <w:rFonts w:asciiTheme="majorHAnsi" w:hAnsiTheme="majorHAnsi" w:cstheme="majorHAnsi"/>
          <w:color w:val="000000" w:themeColor="text1"/>
        </w:rPr>
        <w:t xml:space="preserve">also </w:t>
      </w:r>
      <w:r w:rsidRPr="00BD7862">
        <w:rPr>
          <w:rFonts w:asciiTheme="majorHAnsi" w:hAnsiTheme="majorHAnsi" w:cstheme="majorHAnsi"/>
          <w:color w:val="000000" w:themeColor="text1"/>
        </w:rPr>
        <w:t xml:space="preserve">clear </w:t>
      </w:r>
      <w:r>
        <w:rPr>
          <w:rFonts w:asciiTheme="majorHAnsi" w:hAnsiTheme="majorHAnsi" w:cstheme="majorHAnsi"/>
          <w:color w:val="000000" w:themeColor="text1"/>
        </w:rPr>
        <w:t>manifestations of hindrances to the attainment of Student Mastery.</w:t>
      </w:r>
      <w:r w:rsidR="00D434EB">
        <w:rPr>
          <w:rFonts w:asciiTheme="majorHAnsi" w:eastAsiaTheme="minorHAnsi" w:hAnsiTheme="majorHAnsi" w:cstheme="majorHAnsi"/>
          <w:color w:val="000000" w:themeColor="text1"/>
        </w:rPr>
        <w:t xml:space="preserve"> </w:t>
      </w:r>
    </w:p>
    <w:p w14:paraId="3B7C99AC" w14:textId="77777777" w:rsidR="008D0CAD" w:rsidRDefault="008D0CAD" w:rsidP="009443E0">
      <w:pPr>
        <w:spacing w:before="100" w:beforeAutospacing="1" w:after="100" w:afterAutospacing="1" w:line="360" w:lineRule="auto"/>
        <w:rPr>
          <w:rFonts w:asciiTheme="majorHAnsi" w:hAnsiTheme="majorHAnsi" w:cstheme="majorHAnsi"/>
          <w:bCs/>
          <w:color w:val="000000" w:themeColor="text1"/>
        </w:rPr>
      </w:pPr>
      <w:r w:rsidRPr="00BD7862">
        <w:rPr>
          <w:rFonts w:asciiTheme="majorHAnsi" w:hAnsiTheme="majorHAnsi" w:cstheme="majorHAnsi"/>
          <w:color w:val="000000" w:themeColor="text1"/>
        </w:rPr>
        <w:t>The</w:t>
      </w:r>
      <w:r>
        <w:rPr>
          <w:rFonts w:asciiTheme="majorHAnsi" w:hAnsiTheme="majorHAnsi" w:cstheme="majorHAnsi"/>
          <w:color w:val="000000" w:themeColor="text1"/>
        </w:rPr>
        <w:t xml:space="preserve"> simultaneous deployment of multiple</w:t>
      </w:r>
      <w:r w:rsidRPr="00BD7862">
        <w:rPr>
          <w:rFonts w:asciiTheme="majorHAnsi" w:hAnsiTheme="majorHAnsi" w:cstheme="majorHAnsi"/>
          <w:color w:val="000000" w:themeColor="text1"/>
        </w:rPr>
        <w:t xml:space="preserve"> system</w:t>
      </w:r>
      <w:r>
        <w:rPr>
          <w:rFonts w:asciiTheme="majorHAnsi" w:hAnsiTheme="majorHAnsi" w:cstheme="majorHAnsi"/>
          <w:color w:val="000000" w:themeColor="text1"/>
        </w:rPr>
        <w:t>ic</w:t>
      </w:r>
      <w:r w:rsidRPr="00BD7862">
        <w:rPr>
          <w:rFonts w:asciiTheme="majorHAnsi" w:hAnsiTheme="majorHAnsi" w:cstheme="majorHAnsi"/>
          <w:color w:val="000000" w:themeColor="text1"/>
        </w:rPr>
        <w:t xml:space="preserve"> reforms</w:t>
      </w:r>
      <w:r>
        <w:rPr>
          <w:rFonts w:asciiTheme="majorHAnsi" w:hAnsiTheme="majorHAnsi" w:cstheme="majorHAnsi"/>
          <w:color w:val="000000" w:themeColor="text1"/>
        </w:rPr>
        <w:t>, particularly at the school level,</w:t>
      </w:r>
      <w:r w:rsidRPr="00BD7862">
        <w:rPr>
          <w:rFonts w:asciiTheme="majorHAnsi" w:hAnsiTheme="majorHAnsi" w:cstheme="majorHAnsi"/>
          <w:color w:val="000000" w:themeColor="text1"/>
        </w:rPr>
        <w:t xml:space="preserve"> overwhelmed </w:t>
      </w:r>
      <w:r>
        <w:rPr>
          <w:rFonts w:asciiTheme="majorHAnsi" w:eastAsiaTheme="minorHAnsi" w:hAnsiTheme="majorHAnsi" w:cstheme="majorHAnsi"/>
          <w:color w:val="000000" w:themeColor="text1"/>
        </w:rPr>
        <w:t>principals</w:t>
      </w:r>
      <w:r w:rsidRPr="00BD7862">
        <w:rPr>
          <w:rFonts w:asciiTheme="majorHAnsi" w:eastAsiaTheme="minorHAnsi" w:hAnsiTheme="majorHAnsi" w:cstheme="majorHAnsi"/>
          <w:color w:val="000000" w:themeColor="text1"/>
        </w:rPr>
        <w:t xml:space="preserve"> and</w:t>
      </w:r>
      <w:r w:rsidRPr="00D11D9F">
        <w:rPr>
          <w:rFonts w:asciiTheme="majorHAnsi" w:eastAsiaTheme="minorHAnsi" w:hAnsiTheme="majorHAnsi" w:cstheme="majorHAnsi"/>
          <w:color w:val="000000" w:themeColor="text1"/>
        </w:rPr>
        <w:t xml:space="preserve"> </w:t>
      </w:r>
      <w:r w:rsidRPr="00BD7862">
        <w:rPr>
          <w:rFonts w:asciiTheme="majorHAnsi" w:eastAsiaTheme="minorHAnsi" w:hAnsiTheme="majorHAnsi" w:cstheme="majorHAnsi"/>
          <w:color w:val="000000" w:themeColor="text1"/>
        </w:rPr>
        <w:t>teachers</w:t>
      </w:r>
      <w:r>
        <w:rPr>
          <w:rFonts w:asciiTheme="majorHAnsi" w:eastAsiaTheme="minorHAnsi" w:hAnsiTheme="majorHAnsi" w:cstheme="majorHAnsi"/>
          <w:color w:val="000000" w:themeColor="text1"/>
        </w:rPr>
        <w:t>,</w:t>
      </w:r>
      <w:r w:rsidRPr="00D11D9F">
        <w:rPr>
          <w:rFonts w:asciiTheme="majorHAnsi" w:hAnsiTheme="majorHAnsi" w:cstheme="majorHAnsi"/>
          <w:bCs/>
          <w:color w:val="000000" w:themeColor="text1"/>
        </w:rPr>
        <w:t xml:space="preserve"> </w:t>
      </w:r>
      <w:r>
        <w:rPr>
          <w:rFonts w:asciiTheme="majorHAnsi" w:hAnsiTheme="majorHAnsi" w:cstheme="majorHAnsi"/>
          <w:bCs/>
          <w:color w:val="000000" w:themeColor="text1"/>
        </w:rPr>
        <w:t xml:space="preserve">raising </w:t>
      </w:r>
      <w:r w:rsidRPr="00BD7862">
        <w:rPr>
          <w:rFonts w:asciiTheme="majorHAnsi" w:hAnsiTheme="majorHAnsi" w:cstheme="majorHAnsi"/>
          <w:bCs/>
          <w:color w:val="000000" w:themeColor="text1"/>
        </w:rPr>
        <w:t xml:space="preserve">barriers to the </w:t>
      </w:r>
      <w:r w:rsidRPr="00B95192">
        <w:rPr>
          <w:rFonts w:asciiTheme="majorHAnsi" w:hAnsiTheme="majorHAnsi" w:cstheme="majorHAnsi"/>
          <w:bCs/>
          <w:color w:val="000000" w:themeColor="text1"/>
        </w:rPr>
        <w:t>full adoption of these reforms</w:t>
      </w:r>
      <w:r>
        <w:rPr>
          <w:rFonts w:asciiTheme="majorHAnsi" w:hAnsiTheme="majorHAnsi" w:cstheme="majorHAnsi"/>
          <w:bCs/>
          <w:color w:val="000000" w:themeColor="text1"/>
        </w:rPr>
        <w:t xml:space="preserve"> and causing unnecessary anxiety among implementers</w:t>
      </w:r>
      <w:r w:rsidRPr="00B95192">
        <w:rPr>
          <w:rFonts w:asciiTheme="majorHAnsi" w:hAnsiTheme="majorHAnsi" w:cstheme="majorHAnsi"/>
          <w:bCs/>
          <w:color w:val="000000" w:themeColor="text1"/>
        </w:rPr>
        <w:t>.</w:t>
      </w:r>
    </w:p>
    <w:p w14:paraId="36202A89" w14:textId="77777777" w:rsidR="008D0CAD" w:rsidRPr="00C319AC" w:rsidRDefault="008D0CAD" w:rsidP="009443E0">
      <w:pPr>
        <w:spacing w:before="100" w:beforeAutospacing="1" w:after="100" w:afterAutospacing="1" w:line="360" w:lineRule="auto"/>
        <w:rPr>
          <w:rFonts w:asciiTheme="majorHAnsi" w:eastAsiaTheme="minorHAnsi" w:hAnsiTheme="majorHAnsi" w:cstheme="majorHAnsi"/>
          <w:color w:val="000000" w:themeColor="text1"/>
        </w:rPr>
      </w:pPr>
      <w:r>
        <w:rPr>
          <w:rFonts w:asciiTheme="majorHAnsi" w:eastAsiaTheme="minorHAnsi" w:hAnsiTheme="majorHAnsi" w:cstheme="majorHAnsi"/>
          <w:color w:val="000000" w:themeColor="text1"/>
        </w:rPr>
        <w:t>The c</w:t>
      </w:r>
      <w:r w:rsidRPr="00C319AC">
        <w:rPr>
          <w:rFonts w:asciiTheme="majorHAnsi" w:eastAsiaTheme="minorHAnsi" w:hAnsiTheme="majorHAnsi" w:cstheme="majorHAnsi"/>
          <w:color w:val="000000" w:themeColor="text1"/>
        </w:rPr>
        <w:t xml:space="preserve">apacity of both </w:t>
      </w:r>
      <w:r>
        <w:rPr>
          <w:rFonts w:asciiTheme="majorHAnsi" w:eastAsiaTheme="minorHAnsi" w:hAnsiTheme="majorHAnsi" w:cstheme="majorHAnsi"/>
          <w:color w:val="000000" w:themeColor="text1"/>
        </w:rPr>
        <w:t>principals</w:t>
      </w:r>
      <w:r w:rsidRPr="00C319AC">
        <w:rPr>
          <w:rFonts w:asciiTheme="majorHAnsi" w:eastAsiaTheme="minorHAnsi" w:hAnsiTheme="majorHAnsi" w:cstheme="majorHAnsi"/>
          <w:color w:val="000000" w:themeColor="text1"/>
        </w:rPr>
        <w:t xml:space="preserve"> and teachers in some competencies, particularly on research which is critical in the establishment of a culture of evidence-based policy and decision-making, remains low.</w:t>
      </w:r>
    </w:p>
    <w:p w14:paraId="0B0C9573" w14:textId="2D0D8836" w:rsidR="008D0CAD" w:rsidRPr="00C319AC" w:rsidRDefault="008D0CAD" w:rsidP="009443E0">
      <w:pPr>
        <w:spacing w:before="100" w:beforeAutospacing="1" w:after="100" w:afterAutospacing="1" w:line="360" w:lineRule="auto"/>
        <w:contextualSpacing/>
        <w:rPr>
          <w:rFonts w:asciiTheme="majorHAnsi" w:eastAsiaTheme="minorHAnsi" w:hAnsiTheme="majorHAnsi" w:cstheme="majorHAnsi"/>
          <w:color w:val="000000" w:themeColor="text1"/>
        </w:rPr>
      </w:pPr>
      <w:r w:rsidRPr="00B95192">
        <w:rPr>
          <w:rFonts w:asciiTheme="majorHAnsi" w:hAnsiTheme="majorHAnsi" w:cstheme="majorHAnsi"/>
          <w:bCs/>
          <w:color w:val="000000" w:themeColor="text1"/>
        </w:rPr>
        <w:t xml:space="preserve">Issues </w:t>
      </w:r>
      <w:r>
        <w:rPr>
          <w:rFonts w:asciiTheme="majorHAnsi" w:hAnsiTheme="majorHAnsi" w:cstheme="majorHAnsi"/>
          <w:bCs/>
          <w:color w:val="000000" w:themeColor="text1"/>
        </w:rPr>
        <w:t>related to</w:t>
      </w:r>
      <w:r w:rsidRPr="00B95192">
        <w:rPr>
          <w:rFonts w:asciiTheme="majorHAnsi" w:hAnsiTheme="majorHAnsi" w:cstheme="majorHAnsi"/>
          <w:bCs/>
          <w:color w:val="000000" w:themeColor="text1"/>
        </w:rPr>
        <w:t xml:space="preserve"> internet access, overlapping of activities causing reduction of contact time with students and poor dissemination of knowledge products</w:t>
      </w:r>
      <w:r>
        <w:rPr>
          <w:rFonts w:asciiTheme="majorHAnsi" w:hAnsiTheme="majorHAnsi" w:cstheme="majorHAnsi"/>
          <w:bCs/>
          <w:color w:val="000000" w:themeColor="text1"/>
        </w:rPr>
        <w:t xml:space="preserve"> all</w:t>
      </w:r>
      <w:r w:rsidRPr="00B95192">
        <w:rPr>
          <w:rFonts w:asciiTheme="majorHAnsi" w:hAnsiTheme="majorHAnsi" w:cstheme="majorHAnsi"/>
          <w:bCs/>
          <w:color w:val="000000" w:themeColor="text1"/>
        </w:rPr>
        <w:t xml:space="preserve"> compromis</w:t>
      </w:r>
      <w:r>
        <w:rPr>
          <w:rFonts w:asciiTheme="majorHAnsi" w:hAnsiTheme="majorHAnsi" w:cstheme="majorHAnsi"/>
          <w:bCs/>
          <w:color w:val="000000" w:themeColor="text1"/>
        </w:rPr>
        <w:t>ed the</w:t>
      </w:r>
      <w:r w:rsidRPr="00B95192">
        <w:rPr>
          <w:rFonts w:asciiTheme="majorHAnsi" w:hAnsiTheme="majorHAnsi" w:cstheme="majorHAnsi"/>
          <w:bCs/>
          <w:color w:val="000000" w:themeColor="text1"/>
        </w:rPr>
        <w:t xml:space="preserve"> sustainability of </w:t>
      </w:r>
      <w:r>
        <w:rPr>
          <w:rFonts w:asciiTheme="majorHAnsi" w:hAnsiTheme="majorHAnsi" w:cstheme="majorHAnsi"/>
          <w:bCs/>
          <w:color w:val="000000" w:themeColor="text1"/>
        </w:rPr>
        <w:t xml:space="preserve">school-level </w:t>
      </w:r>
      <w:r w:rsidRPr="00B95192">
        <w:rPr>
          <w:rFonts w:asciiTheme="majorHAnsi" w:hAnsiTheme="majorHAnsi" w:cstheme="majorHAnsi"/>
          <w:bCs/>
          <w:color w:val="000000" w:themeColor="text1"/>
        </w:rPr>
        <w:t>Program gains.</w:t>
      </w:r>
      <w:r w:rsidR="00D434EB">
        <w:rPr>
          <w:rFonts w:asciiTheme="majorHAnsi" w:hAnsiTheme="majorHAnsi" w:cstheme="majorHAnsi"/>
          <w:bCs/>
          <w:color w:val="000000" w:themeColor="text1"/>
        </w:rPr>
        <w:t xml:space="preserve"> </w:t>
      </w:r>
      <w:r w:rsidRPr="00B95192">
        <w:rPr>
          <w:rFonts w:asciiTheme="majorHAnsi" w:hAnsiTheme="majorHAnsi" w:cstheme="majorHAnsi"/>
          <w:bCs/>
          <w:color w:val="000000" w:themeColor="text1"/>
        </w:rPr>
        <w:t xml:space="preserve"> </w:t>
      </w:r>
      <w:r>
        <w:rPr>
          <w:rFonts w:asciiTheme="majorHAnsi" w:hAnsiTheme="majorHAnsi" w:cstheme="majorHAnsi"/>
          <w:bCs/>
          <w:color w:val="000000" w:themeColor="text1"/>
        </w:rPr>
        <w:t>During</w:t>
      </w:r>
      <w:r w:rsidRPr="00B95192">
        <w:rPr>
          <w:rFonts w:asciiTheme="majorHAnsi" w:hAnsiTheme="majorHAnsi" w:cstheme="majorHAnsi"/>
          <w:bCs/>
          <w:color w:val="000000" w:themeColor="text1"/>
        </w:rPr>
        <w:t xml:space="preserve"> the Follow-up Study, done seven months after</w:t>
      </w:r>
      <w:r>
        <w:rPr>
          <w:rFonts w:asciiTheme="majorHAnsi" w:hAnsiTheme="majorHAnsi" w:cstheme="majorHAnsi"/>
          <w:bCs/>
          <w:color w:val="000000" w:themeColor="text1"/>
        </w:rPr>
        <w:t xml:space="preserve"> the end of the BEST Program</w:t>
      </w:r>
      <w:r w:rsidRPr="00B95192">
        <w:rPr>
          <w:rFonts w:asciiTheme="majorHAnsi" w:hAnsiTheme="majorHAnsi" w:cstheme="majorHAnsi"/>
          <w:bCs/>
          <w:color w:val="000000" w:themeColor="text1"/>
        </w:rPr>
        <w:t xml:space="preserve">, </w:t>
      </w:r>
      <w:r>
        <w:rPr>
          <w:rFonts w:asciiTheme="majorHAnsi" w:hAnsiTheme="majorHAnsi" w:cstheme="majorHAnsi"/>
          <w:bCs/>
          <w:color w:val="000000" w:themeColor="text1"/>
        </w:rPr>
        <w:t>several</w:t>
      </w:r>
      <w:r w:rsidRPr="00B95192">
        <w:rPr>
          <w:rFonts w:asciiTheme="majorHAnsi" w:hAnsiTheme="majorHAnsi" w:cstheme="majorHAnsi"/>
          <w:bCs/>
          <w:color w:val="000000" w:themeColor="text1"/>
        </w:rPr>
        <w:t xml:space="preserve"> </w:t>
      </w:r>
      <w:r>
        <w:rPr>
          <w:rFonts w:asciiTheme="majorHAnsi" w:hAnsiTheme="majorHAnsi" w:cstheme="majorHAnsi"/>
          <w:bCs/>
          <w:color w:val="000000" w:themeColor="text1"/>
        </w:rPr>
        <w:t xml:space="preserve">of the </w:t>
      </w:r>
      <w:r w:rsidRPr="00B95192">
        <w:rPr>
          <w:rFonts w:asciiTheme="majorHAnsi" w:hAnsiTheme="majorHAnsi" w:cstheme="majorHAnsi"/>
          <w:bCs/>
          <w:color w:val="000000" w:themeColor="text1"/>
        </w:rPr>
        <w:t xml:space="preserve">issues </w:t>
      </w:r>
      <w:r>
        <w:rPr>
          <w:rFonts w:asciiTheme="majorHAnsi" w:hAnsiTheme="majorHAnsi" w:cstheme="majorHAnsi"/>
          <w:bCs/>
          <w:color w:val="000000" w:themeColor="text1"/>
        </w:rPr>
        <w:t>that had been identified in 2019, were still present</w:t>
      </w:r>
      <w:r w:rsidRPr="00B95192">
        <w:rPr>
          <w:rFonts w:asciiTheme="majorHAnsi" w:hAnsiTheme="majorHAnsi" w:cstheme="majorHAnsi"/>
          <w:bCs/>
          <w:color w:val="000000" w:themeColor="text1"/>
        </w:rPr>
        <w:t>.</w:t>
      </w:r>
    </w:p>
    <w:p w14:paraId="7CCE21C8" w14:textId="7402C224" w:rsidR="008D0CAD" w:rsidRPr="009933B1" w:rsidRDefault="008D0CAD" w:rsidP="009443E0">
      <w:pPr>
        <w:pStyle w:val="Heading4"/>
        <w:numPr>
          <w:ilvl w:val="2"/>
          <w:numId w:val="3"/>
        </w:numPr>
        <w:spacing w:before="100" w:beforeAutospacing="1" w:after="100" w:afterAutospacing="1" w:line="360" w:lineRule="auto"/>
      </w:pPr>
      <w:bookmarkStart w:id="193" w:name="_Toc16503167"/>
      <w:r w:rsidRPr="009933B1">
        <w:t>On Student Participation</w:t>
      </w:r>
      <w:bookmarkEnd w:id="193"/>
    </w:p>
    <w:p w14:paraId="0AF30107" w14:textId="7B2F5243" w:rsidR="008D0CAD" w:rsidRDefault="008D0CAD" w:rsidP="009443E0">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color w:val="000000" w:themeColor="text1"/>
        </w:rPr>
        <w:t>T</w:t>
      </w:r>
      <w:r w:rsidRPr="00BD7862">
        <w:rPr>
          <w:rFonts w:asciiTheme="majorHAnsi" w:hAnsiTheme="majorHAnsi" w:cstheme="majorHAnsi"/>
          <w:color w:val="000000" w:themeColor="text1"/>
        </w:rPr>
        <w:t xml:space="preserve">he effects of the Program on increasing student </w:t>
      </w:r>
      <w:r>
        <w:rPr>
          <w:rFonts w:asciiTheme="majorHAnsi" w:hAnsiTheme="majorHAnsi" w:cstheme="majorHAnsi"/>
          <w:color w:val="000000" w:themeColor="text1"/>
        </w:rPr>
        <w:t>participation,</w:t>
      </w:r>
      <w:r w:rsidRPr="00BD7862">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as evidenced by indicators such as changes in enrollment and attendance among boys and girls including children with disabilities and indigenous learners, </w:t>
      </w:r>
      <w:r w:rsidRPr="00BD7862">
        <w:rPr>
          <w:rFonts w:asciiTheme="majorHAnsi" w:hAnsiTheme="majorHAnsi" w:cstheme="majorHAnsi"/>
          <w:color w:val="000000" w:themeColor="text1"/>
        </w:rPr>
        <w:t>w</w:t>
      </w:r>
      <w:r>
        <w:rPr>
          <w:rFonts w:asciiTheme="majorHAnsi" w:hAnsiTheme="majorHAnsi" w:cstheme="majorHAnsi"/>
          <w:color w:val="000000" w:themeColor="text1"/>
        </w:rPr>
        <w:t>ere</w:t>
      </w:r>
      <w:r w:rsidRPr="00BD7862">
        <w:rPr>
          <w:rFonts w:asciiTheme="majorHAnsi" w:hAnsiTheme="majorHAnsi" w:cstheme="majorHAnsi"/>
          <w:color w:val="000000" w:themeColor="text1"/>
        </w:rPr>
        <w:t xml:space="preserve"> not </w:t>
      </w:r>
      <w:r>
        <w:rPr>
          <w:rFonts w:asciiTheme="majorHAnsi" w:hAnsiTheme="majorHAnsi" w:cstheme="majorHAnsi"/>
          <w:color w:val="000000" w:themeColor="text1"/>
        </w:rPr>
        <w:t>apparent at the time of the Study</w:t>
      </w:r>
      <w:r w:rsidRPr="00BD7862">
        <w:rPr>
          <w:rFonts w:asciiTheme="majorHAnsi" w:hAnsiTheme="majorHAnsi" w:cstheme="majorHAnsi"/>
          <w:color w:val="000000" w:themeColor="text1"/>
        </w:rPr>
        <w:t>.</w:t>
      </w:r>
      <w:r w:rsidR="00D434EB">
        <w:rPr>
          <w:rFonts w:asciiTheme="majorHAnsi" w:hAnsiTheme="majorHAnsi" w:cstheme="majorHAnsi"/>
          <w:color w:val="000000" w:themeColor="text1"/>
        </w:rPr>
        <w:t xml:space="preserve"> </w:t>
      </w:r>
    </w:p>
    <w:p w14:paraId="277B1753" w14:textId="77777777" w:rsidR="008D0CAD" w:rsidRDefault="008D0CAD" w:rsidP="009443E0">
      <w:pPr>
        <w:spacing w:before="100" w:beforeAutospacing="1" w:after="100" w:afterAutospacing="1" w:line="360" w:lineRule="auto"/>
        <w:rPr>
          <w:rFonts w:asciiTheme="majorHAnsi" w:eastAsiaTheme="minorHAnsi" w:hAnsiTheme="majorHAnsi" w:cstheme="majorHAnsi"/>
        </w:rPr>
      </w:pPr>
      <w:r w:rsidRPr="0022785E">
        <w:rPr>
          <w:rFonts w:asciiTheme="majorHAnsi" w:hAnsiTheme="majorHAnsi" w:cstheme="majorHAnsi"/>
          <w:color w:val="000000" w:themeColor="text1"/>
        </w:rPr>
        <w:t xml:space="preserve">What </w:t>
      </w:r>
      <w:r>
        <w:rPr>
          <w:rFonts w:asciiTheme="majorHAnsi" w:hAnsiTheme="majorHAnsi" w:cstheme="majorHAnsi"/>
          <w:color w:val="000000" w:themeColor="text1"/>
        </w:rPr>
        <w:t>was</w:t>
      </w:r>
      <w:r w:rsidRPr="0022785E">
        <w:rPr>
          <w:rFonts w:asciiTheme="majorHAnsi" w:hAnsiTheme="majorHAnsi" w:cstheme="majorHAnsi"/>
          <w:color w:val="000000" w:themeColor="text1"/>
        </w:rPr>
        <w:t xml:space="preserve"> clearly evident, as a result of BEST Program interventions, w</w:t>
      </w:r>
      <w:r>
        <w:rPr>
          <w:rFonts w:asciiTheme="majorHAnsi" w:hAnsiTheme="majorHAnsi" w:cstheme="majorHAnsi"/>
          <w:color w:val="000000" w:themeColor="text1"/>
        </w:rPr>
        <w:t>as</w:t>
      </w:r>
      <w:r w:rsidRPr="0022785E">
        <w:rPr>
          <w:rFonts w:asciiTheme="majorHAnsi" w:hAnsiTheme="majorHAnsi" w:cstheme="majorHAnsi"/>
          <w:color w:val="000000" w:themeColor="text1"/>
        </w:rPr>
        <w:t xml:space="preserve"> that additional spaces were made available for marginali</w:t>
      </w:r>
      <w:r>
        <w:rPr>
          <w:rFonts w:asciiTheme="majorHAnsi" w:hAnsiTheme="majorHAnsi" w:cstheme="majorHAnsi"/>
          <w:color w:val="000000" w:themeColor="text1"/>
        </w:rPr>
        <w:t>s</w:t>
      </w:r>
      <w:r w:rsidRPr="0022785E">
        <w:rPr>
          <w:rFonts w:asciiTheme="majorHAnsi" w:hAnsiTheme="majorHAnsi" w:cstheme="majorHAnsi"/>
          <w:color w:val="000000" w:themeColor="text1"/>
        </w:rPr>
        <w:t xml:space="preserve">ed students, that teachers’ awareness and acceptance of GEDSI increased, and that </w:t>
      </w:r>
      <w:r w:rsidRPr="0022785E">
        <w:rPr>
          <w:rFonts w:asciiTheme="majorHAnsi" w:eastAsiaTheme="minorHAnsi" w:hAnsiTheme="majorHAnsi" w:cstheme="majorHAnsi"/>
          <w:color w:val="000000" w:themeColor="text1"/>
        </w:rPr>
        <w:t>education leaders and managers ha</w:t>
      </w:r>
      <w:r>
        <w:rPr>
          <w:rFonts w:asciiTheme="majorHAnsi" w:eastAsiaTheme="minorHAnsi" w:hAnsiTheme="majorHAnsi" w:cstheme="majorHAnsi"/>
          <w:color w:val="000000" w:themeColor="text1"/>
        </w:rPr>
        <w:t>d</w:t>
      </w:r>
      <w:r w:rsidRPr="0022785E">
        <w:rPr>
          <w:rFonts w:asciiTheme="majorHAnsi" w:eastAsiaTheme="minorHAnsi" w:hAnsiTheme="majorHAnsi" w:cstheme="majorHAnsi"/>
          <w:color w:val="000000" w:themeColor="text1"/>
        </w:rPr>
        <w:t xml:space="preserve"> started to integrate new approaches </w:t>
      </w:r>
      <w:r w:rsidRPr="0022785E">
        <w:rPr>
          <w:rFonts w:asciiTheme="majorHAnsi" w:eastAsiaTheme="minorHAnsi" w:hAnsiTheme="majorHAnsi" w:cstheme="majorHAnsi"/>
        </w:rPr>
        <w:t>to increasing student enrolment and retention</w:t>
      </w:r>
      <w:r>
        <w:rPr>
          <w:rFonts w:asciiTheme="majorHAnsi" w:eastAsiaTheme="minorHAnsi" w:hAnsiTheme="majorHAnsi" w:cstheme="majorHAnsi"/>
        </w:rPr>
        <w:t>,</w:t>
      </w:r>
      <w:r w:rsidRPr="0022785E">
        <w:rPr>
          <w:rFonts w:asciiTheme="majorHAnsi" w:eastAsiaTheme="minorHAnsi" w:hAnsiTheme="majorHAnsi" w:cstheme="majorHAnsi"/>
        </w:rPr>
        <w:t xml:space="preserve"> and expansion of inclusive education through SIPs.</w:t>
      </w:r>
    </w:p>
    <w:p w14:paraId="383AA451" w14:textId="77777777" w:rsidR="008D0CAD" w:rsidRDefault="008D0CAD" w:rsidP="009443E0">
      <w:pPr>
        <w:spacing w:before="100" w:beforeAutospacing="1" w:after="100" w:afterAutospacing="1" w:line="360" w:lineRule="auto"/>
        <w:rPr>
          <w:rFonts w:asciiTheme="majorHAnsi" w:eastAsiaTheme="minorHAnsi" w:hAnsiTheme="majorHAnsi" w:cstheme="majorHAnsi"/>
        </w:rPr>
      </w:pPr>
      <w:r>
        <w:rPr>
          <w:rFonts w:asciiTheme="majorHAnsi" w:hAnsiTheme="majorHAnsi" w:cstheme="majorHAnsi"/>
          <w:color w:val="000000" w:themeColor="text1"/>
        </w:rPr>
        <w:t xml:space="preserve">The actual classrooms constructed under the BEST Program, located mostly in rural areas and in small schools, were evidence that </w:t>
      </w:r>
      <w:r w:rsidRPr="00AC3923">
        <w:rPr>
          <w:rFonts w:asciiTheme="majorHAnsi" w:hAnsiTheme="majorHAnsi" w:cstheme="majorHAnsi"/>
          <w:color w:val="000000" w:themeColor="text1"/>
        </w:rPr>
        <w:t>additional spaces were made available for marginali</w:t>
      </w:r>
      <w:r>
        <w:rPr>
          <w:rFonts w:asciiTheme="majorHAnsi" w:hAnsiTheme="majorHAnsi" w:cstheme="majorHAnsi"/>
          <w:color w:val="000000" w:themeColor="text1"/>
        </w:rPr>
        <w:t>s</w:t>
      </w:r>
      <w:r w:rsidRPr="00AC3923">
        <w:rPr>
          <w:rFonts w:asciiTheme="majorHAnsi" w:hAnsiTheme="majorHAnsi" w:cstheme="majorHAnsi"/>
          <w:color w:val="000000" w:themeColor="text1"/>
        </w:rPr>
        <w:t>ed students</w:t>
      </w:r>
      <w:r>
        <w:rPr>
          <w:rFonts w:asciiTheme="majorHAnsi" w:hAnsiTheme="majorHAnsi" w:cstheme="majorHAnsi"/>
          <w:color w:val="000000" w:themeColor="text1"/>
        </w:rPr>
        <w:t>.</w:t>
      </w:r>
      <w:r>
        <w:rPr>
          <w:rFonts w:asciiTheme="majorHAnsi" w:eastAsiaTheme="minorHAnsi" w:hAnsiTheme="majorHAnsi" w:cstheme="majorHAnsi"/>
        </w:rPr>
        <w:t xml:space="preserve"> However, as shown in the 2020 Study, external environmental factors put pressure on enrollment and attendance regardless of availability of educational seats.</w:t>
      </w:r>
    </w:p>
    <w:p w14:paraId="3CBE971C" w14:textId="6173BB97" w:rsidR="008D0CAD" w:rsidRDefault="008D0CAD" w:rsidP="009443E0">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spacing w:val="-1"/>
        </w:rPr>
        <w:t>E</w:t>
      </w:r>
      <w:r w:rsidRPr="007B7F58">
        <w:rPr>
          <w:rFonts w:asciiTheme="majorHAnsi" w:hAnsiTheme="majorHAnsi" w:cstheme="majorHAnsi"/>
          <w:color w:val="000000" w:themeColor="text1"/>
        </w:rPr>
        <w:t>xternal factors and conditions (</w:t>
      </w:r>
      <w:r w:rsidRPr="007B7F58">
        <w:rPr>
          <w:rFonts w:asciiTheme="majorHAnsi" w:hAnsiTheme="majorHAnsi" w:cstheme="majorHAnsi"/>
          <w:i/>
          <w:color w:val="000000" w:themeColor="text1"/>
        </w:rPr>
        <w:t>such as poverty of students and distance from center</w:t>
      </w:r>
      <w:r w:rsidRPr="007B7F58">
        <w:rPr>
          <w:rFonts w:asciiTheme="majorHAnsi" w:hAnsiTheme="majorHAnsi" w:cstheme="majorHAnsi"/>
          <w:color w:val="000000" w:themeColor="text1"/>
        </w:rPr>
        <w:t xml:space="preserve">) generally affect leadership and management approaches as well as teaching delivery. These factors awaken </w:t>
      </w:r>
      <w:r>
        <w:rPr>
          <w:rFonts w:asciiTheme="majorHAnsi" w:hAnsiTheme="majorHAnsi" w:cstheme="majorHAnsi"/>
          <w:color w:val="000000" w:themeColor="text1"/>
        </w:rPr>
        <w:t>principals</w:t>
      </w:r>
      <w:r w:rsidRPr="007B7F58">
        <w:rPr>
          <w:rFonts w:asciiTheme="majorHAnsi" w:hAnsiTheme="majorHAnsi" w:cstheme="majorHAnsi"/>
          <w:color w:val="000000" w:themeColor="text1"/>
        </w:rPr>
        <w:t xml:space="preserve"> and teachers to the reality that basic education cannot be detached from the realities of what is happening outside the school walls.</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Increased awareness brought forth the impetus to </w:t>
      </w:r>
      <w:r w:rsidRPr="007B7F58">
        <w:rPr>
          <w:rFonts w:asciiTheme="majorHAnsi" w:hAnsiTheme="majorHAnsi" w:cstheme="majorHAnsi"/>
          <w:color w:val="000000" w:themeColor="text1"/>
        </w:rPr>
        <w:t>provide “extra-curricular” interventions such as their feeding programs, home-based activities during typhoon</w:t>
      </w:r>
      <w:r>
        <w:rPr>
          <w:rFonts w:asciiTheme="majorHAnsi" w:hAnsiTheme="majorHAnsi" w:cstheme="majorHAnsi"/>
          <w:color w:val="000000" w:themeColor="text1"/>
        </w:rPr>
        <w:t>-induced</w:t>
      </w:r>
      <w:r w:rsidRPr="007B7F58">
        <w:rPr>
          <w:rFonts w:asciiTheme="majorHAnsi" w:hAnsiTheme="majorHAnsi" w:cstheme="majorHAnsi"/>
          <w:color w:val="000000" w:themeColor="text1"/>
        </w:rPr>
        <w:t xml:space="preserve"> class suspensions and reading programs.</w:t>
      </w:r>
    </w:p>
    <w:p w14:paraId="76B7E549" w14:textId="77777777" w:rsidR="008D0CAD" w:rsidRDefault="008D0CAD" w:rsidP="009443E0">
      <w:pPr>
        <w:spacing w:before="100" w:beforeAutospacing="1" w:after="100" w:afterAutospacing="1" w:line="360" w:lineRule="auto"/>
        <w:rPr>
          <w:rFonts w:asciiTheme="majorHAnsi" w:eastAsiaTheme="minorHAnsi" w:hAnsiTheme="majorHAnsi" w:cstheme="majorHAnsi"/>
          <w:color w:val="000000" w:themeColor="text1"/>
        </w:rPr>
      </w:pPr>
      <w:r>
        <w:rPr>
          <w:rFonts w:asciiTheme="majorHAnsi" w:hAnsiTheme="majorHAnsi" w:cstheme="majorHAnsi"/>
          <w:color w:val="000000" w:themeColor="text1"/>
        </w:rPr>
        <w:t xml:space="preserve">Within the classrooms, increased GEDSI awareness (through capacity building) among teachers paved the way for higher tolerance of differences among students and respect of each learner’s capacity. </w:t>
      </w:r>
      <w:r w:rsidRPr="00590BD2">
        <w:rPr>
          <w:rFonts w:asciiTheme="majorHAnsi" w:eastAsiaTheme="minorHAnsi" w:hAnsiTheme="majorHAnsi" w:cstheme="majorHAnsi"/>
          <w:color w:val="000000" w:themeColor="text1"/>
        </w:rPr>
        <w:t xml:space="preserve">However, </w:t>
      </w:r>
      <w:r>
        <w:rPr>
          <w:rFonts w:asciiTheme="majorHAnsi" w:eastAsiaTheme="minorHAnsi" w:hAnsiTheme="majorHAnsi" w:cstheme="majorHAnsi"/>
          <w:color w:val="000000" w:themeColor="text1"/>
        </w:rPr>
        <w:t>there is a need to raise awareness of Gender Equity (learning differences) beyond issues on bullying and LGBT inclusion.</w:t>
      </w:r>
    </w:p>
    <w:p w14:paraId="53AFA1D1" w14:textId="2FF07562" w:rsidR="008D0CAD" w:rsidRDefault="008D0CAD" w:rsidP="009443E0">
      <w:pPr>
        <w:spacing w:before="100" w:beforeAutospacing="1" w:after="100" w:afterAutospacing="1" w:line="360" w:lineRule="auto"/>
        <w:rPr>
          <w:rFonts w:asciiTheme="majorHAnsi" w:hAnsiTheme="majorHAnsi" w:cstheme="majorHAnsi"/>
        </w:rPr>
      </w:pPr>
      <w:r>
        <w:rPr>
          <w:rFonts w:asciiTheme="majorHAnsi" w:eastAsiaTheme="minorHAnsi" w:hAnsiTheme="majorHAnsi" w:cstheme="majorHAnsi"/>
        </w:rPr>
        <w:t>T</w:t>
      </w:r>
      <w:r w:rsidRPr="007B7F58">
        <w:rPr>
          <w:rFonts w:asciiTheme="majorHAnsi" w:hAnsiTheme="majorHAnsi" w:cstheme="majorHAnsi"/>
        </w:rPr>
        <w:t xml:space="preserve">he issuance of policy </w:t>
      </w:r>
      <w:r>
        <w:rPr>
          <w:rFonts w:asciiTheme="majorHAnsi" w:hAnsiTheme="majorHAnsi" w:cstheme="majorHAnsi"/>
        </w:rPr>
        <w:t>on SBM</w:t>
      </w:r>
      <w:r w:rsidRPr="007B7F58">
        <w:rPr>
          <w:rFonts w:asciiTheme="majorHAnsi" w:hAnsiTheme="majorHAnsi" w:cstheme="majorHAnsi"/>
        </w:rPr>
        <w:t xml:space="preserve"> </w:t>
      </w:r>
      <w:r>
        <w:rPr>
          <w:rFonts w:asciiTheme="majorHAnsi" w:hAnsiTheme="majorHAnsi" w:cstheme="majorHAnsi"/>
        </w:rPr>
        <w:t>(</w:t>
      </w:r>
      <w:r w:rsidRPr="007B7F58">
        <w:rPr>
          <w:rFonts w:asciiTheme="majorHAnsi" w:hAnsiTheme="majorHAnsi" w:cstheme="majorHAnsi"/>
        </w:rPr>
        <w:t>DO 44, s. 2015 on the SIP</w:t>
      </w:r>
      <w:r>
        <w:rPr>
          <w:rFonts w:asciiTheme="majorHAnsi" w:hAnsiTheme="majorHAnsi" w:cstheme="majorHAnsi"/>
        </w:rPr>
        <w:t>) obliged to principals to engage external stakeholders, to help ensure that the concerns of these stakeholders were brought to the attention of schools in a more concrete and visual manner.</w:t>
      </w:r>
      <w:r w:rsidR="00D434EB">
        <w:rPr>
          <w:rFonts w:asciiTheme="majorHAnsi" w:hAnsiTheme="majorHAnsi" w:cstheme="majorHAnsi"/>
        </w:rPr>
        <w:t xml:space="preserve"> </w:t>
      </w:r>
      <w:r>
        <w:rPr>
          <w:rFonts w:asciiTheme="majorHAnsi" w:hAnsiTheme="majorHAnsi" w:cstheme="majorHAnsi"/>
        </w:rPr>
        <w:t>Such recognition demands that these concerns (such as drop-out rates) are addressed, or efforts made to address them in the SIPs.</w:t>
      </w:r>
    </w:p>
    <w:p w14:paraId="13DFC1DE" w14:textId="36D40F29" w:rsidR="008D0CAD" w:rsidRDefault="008D0CAD" w:rsidP="009443E0">
      <w:pPr>
        <w:spacing w:before="100" w:beforeAutospacing="1" w:after="100" w:afterAutospacing="1" w:line="360" w:lineRule="auto"/>
        <w:rPr>
          <w:rFonts w:asciiTheme="majorHAnsi" w:hAnsiTheme="majorHAnsi" w:cstheme="majorHAnsi"/>
          <w:color w:val="000000" w:themeColor="text1"/>
          <w:spacing w:val="-1"/>
        </w:rPr>
      </w:pPr>
      <w:r>
        <w:rPr>
          <w:rFonts w:asciiTheme="majorHAnsi" w:hAnsiTheme="majorHAnsi" w:cstheme="majorHAnsi"/>
          <w:color w:val="000000" w:themeColor="text1"/>
          <w:spacing w:val="-1"/>
        </w:rPr>
        <w:t>However,</w:t>
      </w:r>
      <w:r w:rsidRPr="007B7F58">
        <w:rPr>
          <w:rFonts w:asciiTheme="majorHAnsi" w:hAnsiTheme="majorHAnsi" w:cstheme="majorHAnsi"/>
          <w:color w:val="000000" w:themeColor="text1"/>
          <w:spacing w:val="-1"/>
        </w:rPr>
        <w:t xml:space="preserve"> </w:t>
      </w:r>
      <w:r>
        <w:rPr>
          <w:rFonts w:asciiTheme="majorHAnsi" w:hAnsiTheme="majorHAnsi" w:cstheme="majorHAnsi"/>
          <w:color w:val="000000" w:themeColor="text1"/>
          <w:spacing w:val="-1"/>
        </w:rPr>
        <w:t>while most schools embraced participatory planning, in at least one Division and in several</w:t>
      </w:r>
      <w:r w:rsidRPr="007B7F58">
        <w:rPr>
          <w:rFonts w:asciiTheme="majorHAnsi" w:hAnsiTheme="majorHAnsi" w:cstheme="majorHAnsi"/>
          <w:color w:val="000000" w:themeColor="text1"/>
          <w:spacing w:val="-1"/>
        </w:rPr>
        <w:t xml:space="preserve"> schools, </w:t>
      </w:r>
      <w:r>
        <w:rPr>
          <w:rFonts w:asciiTheme="majorHAnsi" w:hAnsiTheme="majorHAnsi" w:cstheme="majorHAnsi"/>
          <w:color w:val="000000" w:themeColor="text1"/>
          <w:spacing w:val="-1"/>
        </w:rPr>
        <w:t>it</w:t>
      </w:r>
      <w:r w:rsidRPr="007B7F58">
        <w:rPr>
          <w:rFonts w:asciiTheme="majorHAnsi" w:hAnsiTheme="majorHAnsi" w:cstheme="majorHAnsi"/>
          <w:color w:val="000000" w:themeColor="text1"/>
          <w:spacing w:val="-1"/>
        </w:rPr>
        <w:t xml:space="preserve"> remained at the level of tokenism. </w:t>
      </w:r>
      <w:r>
        <w:rPr>
          <w:rFonts w:asciiTheme="majorHAnsi" w:hAnsiTheme="majorHAnsi" w:cstheme="majorHAnsi"/>
          <w:color w:val="000000" w:themeColor="text1"/>
          <w:spacing w:val="-1"/>
        </w:rPr>
        <w:t xml:space="preserve">One narrative highlighted the </w:t>
      </w:r>
      <w:r w:rsidRPr="007B7F58">
        <w:rPr>
          <w:rFonts w:asciiTheme="majorHAnsi" w:hAnsiTheme="majorHAnsi" w:cstheme="majorHAnsi"/>
          <w:color w:val="000000" w:themeColor="text1"/>
          <w:spacing w:val="-1"/>
        </w:rPr>
        <w:t>unilateral</w:t>
      </w:r>
      <w:r>
        <w:rPr>
          <w:rFonts w:asciiTheme="majorHAnsi" w:hAnsiTheme="majorHAnsi" w:cstheme="majorHAnsi"/>
          <w:color w:val="000000" w:themeColor="text1"/>
          <w:spacing w:val="-1"/>
        </w:rPr>
        <w:t xml:space="preserve"> rejection by the Division of a</w:t>
      </w:r>
      <w:r w:rsidRPr="007B7F58">
        <w:rPr>
          <w:rFonts w:asciiTheme="majorHAnsi" w:hAnsiTheme="majorHAnsi" w:cstheme="majorHAnsi"/>
          <w:color w:val="000000" w:themeColor="text1"/>
          <w:spacing w:val="-1"/>
        </w:rPr>
        <w:t xml:space="preserve"> S</w:t>
      </w:r>
      <w:r>
        <w:rPr>
          <w:rFonts w:asciiTheme="majorHAnsi" w:hAnsiTheme="majorHAnsi" w:cstheme="majorHAnsi"/>
          <w:color w:val="000000" w:themeColor="text1"/>
          <w:spacing w:val="-1"/>
        </w:rPr>
        <w:t xml:space="preserve">chool </w:t>
      </w:r>
      <w:r w:rsidRPr="007B7F58">
        <w:rPr>
          <w:rFonts w:asciiTheme="majorHAnsi" w:hAnsiTheme="majorHAnsi" w:cstheme="majorHAnsi"/>
          <w:color w:val="000000" w:themeColor="text1"/>
          <w:spacing w:val="-1"/>
        </w:rPr>
        <w:t>I</w:t>
      </w:r>
      <w:r>
        <w:rPr>
          <w:rFonts w:asciiTheme="majorHAnsi" w:hAnsiTheme="majorHAnsi" w:cstheme="majorHAnsi"/>
          <w:color w:val="000000" w:themeColor="text1"/>
          <w:spacing w:val="-1"/>
        </w:rPr>
        <w:t xml:space="preserve">mprovement </w:t>
      </w:r>
      <w:r w:rsidRPr="007B7F58">
        <w:rPr>
          <w:rFonts w:asciiTheme="majorHAnsi" w:hAnsiTheme="majorHAnsi" w:cstheme="majorHAnsi"/>
          <w:color w:val="000000" w:themeColor="text1"/>
          <w:spacing w:val="-1"/>
        </w:rPr>
        <w:t>P</w:t>
      </w:r>
      <w:r>
        <w:rPr>
          <w:rFonts w:asciiTheme="majorHAnsi" w:hAnsiTheme="majorHAnsi" w:cstheme="majorHAnsi"/>
          <w:color w:val="000000" w:themeColor="text1"/>
          <w:spacing w:val="-1"/>
        </w:rPr>
        <w:t>lan</w:t>
      </w:r>
      <w:r w:rsidRPr="007B7F58">
        <w:rPr>
          <w:rFonts w:asciiTheme="majorHAnsi" w:hAnsiTheme="majorHAnsi" w:cstheme="majorHAnsi"/>
          <w:color w:val="000000" w:themeColor="text1"/>
          <w:spacing w:val="-1"/>
        </w:rPr>
        <w:t xml:space="preserve"> </w:t>
      </w:r>
      <w:r>
        <w:rPr>
          <w:rFonts w:asciiTheme="majorHAnsi" w:hAnsiTheme="majorHAnsi" w:cstheme="majorHAnsi"/>
          <w:color w:val="000000" w:themeColor="text1"/>
          <w:spacing w:val="-1"/>
        </w:rPr>
        <w:t>that had been through a rigorous</w:t>
      </w:r>
      <w:r w:rsidRPr="007B7F58">
        <w:rPr>
          <w:rFonts w:asciiTheme="majorHAnsi" w:hAnsiTheme="majorHAnsi" w:cstheme="majorHAnsi"/>
          <w:color w:val="000000" w:themeColor="text1"/>
          <w:spacing w:val="-1"/>
        </w:rPr>
        <w:t xml:space="preserve"> </w:t>
      </w:r>
      <w:r>
        <w:rPr>
          <w:rFonts w:asciiTheme="majorHAnsi" w:hAnsiTheme="majorHAnsi" w:cstheme="majorHAnsi"/>
          <w:color w:val="000000" w:themeColor="text1"/>
          <w:spacing w:val="-1"/>
        </w:rPr>
        <w:t>consultation process.</w:t>
      </w:r>
      <w:r w:rsidRPr="007B7F58">
        <w:rPr>
          <w:rFonts w:asciiTheme="majorHAnsi" w:hAnsiTheme="majorHAnsi" w:cstheme="majorHAnsi"/>
          <w:color w:val="000000" w:themeColor="text1"/>
          <w:spacing w:val="-1"/>
        </w:rPr>
        <w:t xml:space="preserve"> </w:t>
      </w:r>
      <w:r>
        <w:rPr>
          <w:rFonts w:asciiTheme="majorHAnsi" w:hAnsiTheme="majorHAnsi" w:cstheme="majorHAnsi"/>
          <w:color w:val="000000" w:themeColor="text1"/>
          <w:spacing w:val="-1"/>
        </w:rPr>
        <w:t>I</w:t>
      </w:r>
      <w:r w:rsidRPr="007B7F58">
        <w:rPr>
          <w:rFonts w:asciiTheme="majorHAnsi" w:hAnsiTheme="majorHAnsi" w:cstheme="majorHAnsi"/>
          <w:color w:val="000000" w:themeColor="text1"/>
          <w:spacing w:val="-1"/>
        </w:rPr>
        <w:t xml:space="preserve">n another, the </w:t>
      </w:r>
      <w:r>
        <w:rPr>
          <w:rFonts w:asciiTheme="majorHAnsi" w:hAnsiTheme="majorHAnsi" w:cstheme="majorHAnsi"/>
          <w:color w:val="000000" w:themeColor="text1"/>
          <w:spacing w:val="-1"/>
        </w:rPr>
        <w:t>principal</w:t>
      </w:r>
      <w:r w:rsidRPr="007B7F58">
        <w:rPr>
          <w:rFonts w:asciiTheme="majorHAnsi" w:hAnsiTheme="majorHAnsi" w:cstheme="majorHAnsi"/>
          <w:color w:val="000000" w:themeColor="text1"/>
          <w:spacing w:val="-1"/>
        </w:rPr>
        <w:t xml:space="preserve"> “</w:t>
      </w:r>
      <w:r w:rsidRPr="007B7F58">
        <w:rPr>
          <w:rFonts w:asciiTheme="majorHAnsi" w:hAnsiTheme="majorHAnsi" w:cstheme="majorHAnsi"/>
          <w:i/>
          <w:iCs/>
          <w:color w:val="000000" w:themeColor="text1"/>
          <w:spacing w:val="-1"/>
        </w:rPr>
        <w:t>instructed</w:t>
      </w:r>
      <w:r w:rsidRPr="007B7F58">
        <w:rPr>
          <w:rFonts w:asciiTheme="majorHAnsi" w:hAnsiTheme="majorHAnsi" w:cstheme="majorHAnsi"/>
          <w:color w:val="000000" w:themeColor="text1"/>
          <w:spacing w:val="-1"/>
        </w:rPr>
        <w:t>” external stakeholders on what to do during the planning process</w:t>
      </w:r>
      <w:r>
        <w:rPr>
          <w:rFonts w:asciiTheme="majorHAnsi" w:hAnsiTheme="majorHAnsi" w:cstheme="majorHAnsi"/>
          <w:color w:val="000000" w:themeColor="text1"/>
          <w:spacing w:val="-1"/>
        </w:rPr>
        <w:t xml:space="preserve"> rather than facilitating their participation</w:t>
      </w:r>
      <w:r w:rsidRPr="007B7F58">
        <w:rPr>
          <w:rFonts w:asciiTheme="majorHAnsi" w:hAnsiTheme="majorHAnsi" w:cstheme="majorHAnsi"/>
          <w:color w:val="000000" w:themeColor="text1"/>
          <w:spacing w:val="-1"/>
        </w:rPr>
        <w:t>.</w:t>
      </w:r>
      <w:r w:rsidR="00D434EB">
        <w:rPr>
          <w:rFonts w:asciiTheme="majorHAnsi" w:hAnsiTheme="majorHAnsi" w:cstheme="majorHAnsi"/>
          <w:color w:val="000000" w:themeColor="text1"/>
          <w:spacing w:val="-1"/>
        </w:rPr>
        <w:t xml:space="preserve"> </w:t>
      </w:r>
      <w:r>
        <w:rPr>
          <w:rFonts w:asciiTheme="majorHAnsi" w:hAnsiTheme="majorHAnsi" w:cstheme="majorHAnsi"/>
          <w:color w:val="000000" w:themeColor="text1"/>
          <w:spacing w:val="-1"/>
        </w:rPr>
        <w:t>The experience of another school</w:t>
      </w:r>
      <w:r w:rsidRPr="007B7F58">
        <w:rPr>
          <w:rFonts w:asciiTheme="majorHAnsi" w:hAnsiTheme="majorHAnsi" w:cstheme="majorHAnsi"/>
          <w:color w:val="000000" w:themeColor="text1"/>
          <w:spacing w:val="-1"/>
        </w:rPr>
        <w:t xml:space="preserve"> </w:t>
      </w:r>
      <w:r>
        <w:rPr>
          <w:rFonts w:asciiTheme="majorHAnsi" w:hAnsiTheme="majorHAnsi" w:cstheme="majorHAnsi"/>
          <w:color w:val="000000" w:themeColor="text1"/>
          <w:spacing w:val="-1"/>
        </w:rPr>
        <w:t xml:space="preserve">revealed that although the principal and teachers </w:t>
      </w:r>
      <w:r w:rsidRPr="007B7F58">
        <w:rPr>
          <w:rFonts w:asciiTheme="majorHAnsi" w:hAnsiTheme="majorHAnsi" w:cstheme="majorHAnsi"/>
          <w:color w:val="000000" w:themeColor="text1"/>
          <w:spacing w:val="-1"/>
        </w:rPr>
        <w:t>learned to collect data for the formulation of their SIPs, the</w:t>
      </w:r>
      <w:r>
        <w:rPr>
          <w:rFonts w:asciiTheme="majorHAnsi" w:hAnsiTheme="majorHAnsi" w:cstheme="majorHAnsi"/>
          <w:color w:val="000000" w:themeColor="text1"/>
          <w:spacing w:val="-1"/>
        </w:rPr>
        <w:t>ir</w:t>
      </w:r>
      <w:r w:rsidRPr="007B7F58">
        <w:rPr>
          <w:rFonts w:asciiTheme="majorHAnsi" w:hAnsiTheme="majorHAnsi" w:cstheme="majorHAnsi"/>
          <w:color w:val="000000" w:themeColor="text1"/>
          <w:spacing w:val="-1"/>
        </w:rPr>
        <w:t xml:space="preserve"> capacity for data analysis and use for decision-making was not yet pervasive.</w:t>
      </w:r>
    </w:p>
    <w:p w14:paraId="0A1D2D8E" w14:textId="00567A94" w:rsidR="008D0CAD" w:rsidRPr="007B7F58" w:rsidRDefault="008D0CAD" w:rsidP="009443E0">
      <w:pPr>
        <w:spacing w:before="100" w:beforeAutospacing="1" w:after="100" w:afterAutospacing="1" w:line="360" w:lineRule="auto"/>
        <w:rPr>
          <w:rFonts w:asciiTheme="majorHAnsi" w:hAnsiTheme="majorHAnsi" w:cstheme="majorHAnsi"/>
        </w:rPr>
      </w:pPr>
      <w:r>
        <w:rPr>
          <w:rFonts w:asciiTheme="majorHAnsi" w:hAnsiTheme="majorHAnsi" w:cstheme="majorHAnsi"/>
          <w:color w:val="000000" w:themeColor="text1"/>
          <w:spacing w:val="-1"/>
        </w:rPr>
        <w:t>In sum, i</w:t>
      </w:r>
      <w:r w:rsidRPr="007B7F58">
        <w:rPr>
          <w:rFonts w:asciiTheme="majorHAnsi" w:hAnsiTheme="majorHAnsi" w:cstheme="majorHAnsi"/>
          <w:color w:val="000000" w:themeColor="text1"/>
          <w:spacing w:val="-1"/>
        </w:rPr>
        <w:t xml:space="preserve">mprovements in </w:t>
      </w:r>
      <w:r>
        <w:rPr>
          <w:rFonts w:asciiTheme="majorHAnsi" w:hAnsiTheme="majorHAnsi" w:cstheme="majorHAnsi"/>
          <w:color w:val="000000" w:themeColor="text1"/>
          <w:spacing w:val="-1"/>
        </w:rPr>
        <w:t>knowledge and practices</w:t>
      </w:r>
      <w:r w:rsidRPr="007B7F58">
        <w:rPr>
          <w:rFonts w:asciiTheme="majorHAnsi" w:hAnsiTheme="majorHAnsi" w:cstheme="majorHAnsi"/>
          <w:color w:val="000000" w:themeColor="text1"/>
          <w:spacing w:val="-1"/>
        </w:rPr>
        <w:t xml:space="preserve"> in school</w:t>
      </w:r>
      <w:r w:rsidRPr="007B7F58">
        <w:rPr>
          <w:rFonts w:asciiTheme="majorHAnsi" w:hAnsiTheme="majorHAnsi" w:cstheme="majorHAnsi"/>
          <w:color w:val="000000" w:themeColor="text1"/>
          <w:spacing w:val="18"/>
        </w:rPr>
        <w:t xml:space="preserve"> </w:t>
      </w:r>
      <w:r w:rsidRPr="007B7F58">
        <w:rPr>
          <w:rFonts w:asciiTheme="majorHAnsi" w:hAnsiTheme="majorHAnsi" w:cstheme="majorHAnsi"/>
          <w:color w:val="000000" w:themeColor="text1"/>
          <w:spacing w:val="-1"/>
        </w:rPr>
        <w:t>leadership</w:t>
      </w:r>
      <w:r>
        <w:rPr>
          <w:rFonts w:asciiTheme="majorHAnsi" w:hAnsiTheme="majorHAnsi" w:cstheme="majorHAnsi"/>
          <w:color w:val="000000" w:themeColor="text1"/>
          <w:spacing w:val="75"/>
          <w:w w:val="99"/>
        </w:rPr>
        <w:t xml:space="preserve"> </w:t>
      </w:r>
      <w:r w:rsidRPr="007B7F58">
        <w:rPr>
          <w:rFonts w:asciiTheme="majorHAnsi" w:hAnsiTheme="majorHAnsi" w:cstheme="majorHAnsi"/>
          <w:color w:val="000000" w:themeColor="text1"/>
        </w:rPr>
        <w:t>and</w:t>
      </w:r>
      <w:r w:rsidRPr="007B7F58">
        <w:rPr>
          <w:rFonts w:asciiTheme="majorHAnsi" w:hAnsiTheme="majorHAnsi" w:cstheme="majorHAnsi"/>
          <w:color w:val="000000" w:themeColor="text1"/>
          <w:spacing w:val="-6"/>
        </w:rPr>
        <w:t xml:space="preserve"> </w:t>
      </w:r>
      <w:r w:rsidRPr="007B7F58">
        <w:rPr>
          <w:rFonts w:asciiTheme="majorHAnsi" w:hAnsiTheme="majorHAnsi" w:cstheme="majorHAnsi"/>
          <w:color w:val="000000" w:themeColor="text1"/>
        </w:rPr>
        <w:t xml:space="preserve">management and </w:t>
      </w:r>
      <w:r w:rsidRPr="007B7F58">
        <w:rPr>
          <w:rFonts w:asciiTheme="majorHAnsi" w:hAnsiTheme="majorHAnsi" w:cstheme="majorHAnsi"/>
          <w:color w:val="000000" w:themeColor="text1"/>
          <w:spacing w:val="-1"/>
        </w:rPr>
        <w:t>teaching</w:t>
      </w:r>
      <w:r w:rsidRPr="007B7F58">
        <w:rPr>
          <w:rFonts w:asciiTheme="majorHAnsi" w:hAnsiTheme="majorHAnsi" w:cstheme="majorHAnsi"/>
          <w:color w:val="000000" w:themeColor="text1"/>
          <w:spacing w:val="21"/>
        </w:rPr>
        <w:t xml:space="preserve"> </w:t>
      </w:r>
      <w:r w:rsidRPr="007B7F58">
        <w:rPr>
          <w:rFonts w:asciiTheme="majorHAnsi" w:hAnsiTheme="majorHAnsi" w:cstheme="majorHAnsi"/>
          <w:color w:val="000000" w:themeColor="text1"/>
          <w:spacing w:val="-1"/>
        </w:rPr>
        <w:t xml:space="preserve">delivery </w:t>
      </w:r>
      <w:r w:rsidRPr="007B7F58">
        <w:rPr>
          <w:rFonts w:asciiTheme="majorHAnsi" w:hAnsiTheme="majorHAnsi" w:cstheme="majorHAnsi"/>
        </w:rPr>
        <w:t xml:space="preserve">did </w:t>
      </w:r>
      <w:r w:rsidR="00D354DC" w:rsidRPr="007B7F58">
        <w:rPr>
          <w:rFonts w:asciiTheme="majorHAnsi" w:hAnsiTheme="majorHAnsi" w:cstheme="majorHAnsi"/>
        </w:rPr>
        <w:t>not significantly</w:t>
      </w:r>
      <w:r w:rsidRPr="007B7F58">
        <w:rPr>
          <w:rFonts w:asciiTheme="majorHAnsi" w:hAnsiTheme="majorHAnsi" w:cstheme="majorHAnsi"/>
        </w:rPr>
        <w:t xml:space="preserve"> alter delivery of inclusive (</w:t>
      </w:r>
      <w:r w:rsidRPr="007B7F58">
        <w:rPr>
          <w:rFonts w:asciiTheme="majorHAnsi" w:hAnsiTheme="majorHAnsi" w:cstheme="majorHAnsi"/>
          <w:i/>
          <w:iCs/>
        </w:rPr>
        <w:t>e.</w:t>
      </w:r>
      <w:r>
        <w:rPr>
          <w:rFonts w:asciiTheme="majorHAnsi" w:hAnsiTheme="majorHAnsi" w:cstheme="majorHAnsi"/>
          <w:i/>
          <w:iCs/>
        </w:rPr>
        <w:t>g.</w:t>
      </w:r>
      <w:r w:rsidRPr="007B7F58">
        <w:rPr>
          <w:rFonts w:asciiTheme="majorHAnsi" w:hAnsiTheme="majorHAnsi" w:cstheme="majorHAnsi"/>
          <w:i/>
          <w:iCs/>
        </w:rPr>
        <w:t xml:space="preserve">, relative to </w:t>
      </w:r>
      <w:r>
        <w:rPr>
          <w:rFonts w:asciiTheme="majorHAnsi" w:hAnsiTheme="majorHAnsi" w:cstheme="majorHAnsi"/>
          <w:i/>
          <w:iCs/>
        </w:rPr>
        <w:t>children with disabilities</w:t>
      </w:r>
      <w:r w:rsidRPr="007B7F58">
        <w:rPr>
          <w:rFonts w:asciiTheme="majorHAnsi" w:hAnsiTheme="majorHAnsi" w:cstheme="majorHAnsi"/>
          <w:i/>
          <w:iCs/>
        </w:rPr>
        <w:t xml:space="preserve"> in the classroom</w:t>
      </w:r>
      <w:r w:rsidRPr="007B7F58">
        <w:rPr>
          <w:rFonts w:asciiTheme="majorHAnsi" w:hAnsiTheme="majorHAnsi" w:cstheme="majorHAnsi"/>
        </w:rPr>
        <w:t>) and responsive (</w:t>
      </w:r>
      <w:r w:rsidRPr="007B7F58">
        <w:rPr>
          <w:rFonts w:asciiTheme="majorHAnsi" w:hAnsiTheme="majorHAnsi" w:cstheme="majorHAnsi"/>
          <w:i/>
          <w:iCs/>
        </w:rPr>
        <w:t>e.</w:t>
      </w:r>
      <w:r>
        <w:rPr>
          <w:rFonts w:asciiTheme="majorHAnsi" w:hAnsiTheme="majorHAnsi" w:cstheme="majorHAnsi"/>
          <w:i/>
          <w:iCs/>
        </w:rPr>
        <w:t>g.</w:t>
      </w:r>
      <w:r w:rsidRPr="007B7F58">
        <w:rPr>
          <w:rFonts w:asciiTheme="majorHAnsi" w:hAnsiTheme="majorHAnsi" w:cstheme="majorHAnsi"/>
          <w:i/>
          <w:iCs/>
        </w:rPr>
        <w:t xml:space="preserve">, relative to </w:t>
      </w:r>
      <w:r>
        <w:rPr>
          <w:rFonts w:asciiTheme="majorHAnsi" w:hAnsiTheme="majorHAnsi" w:cstheme="majorHAnsi"/>
          <w:i/>
          <w:iCs/>
        </w:rPr>
        <w:t>gender responsive</w:t>
      </w:r>
      <w:r w:rsidRPr="007B7F58">
        <w:rPr>
          <w:rFonts w:asciiTheme="majorHAnsi" w:hAnsiTheme="majorHAnsi" w:cstheme="majorHAnsi"/>
        </w:rPr>
        <w:t>) basic education services</w:t>
      </w:r>
      <w:r>
        <w:rPr>
          <w:rFonts w:asciiTheme="majorHAnsi" w:hAnsiTheme="majorHAnsi" w:cstheme="majorHAnsi"/>
        </w:rPr>
        <w:t xml:space="preserve"> at the time of either of the studies (2019 and 2020)</w:t>
      </w:r>
      <w:r w:rsidRPr="007B7F58">
        <w:rPr>
          <w:rFonts w:asciiTheme="majorHAnsi" w:hAnsiTheme="majorHAnsi" w:cstheme="majorHAnsi"/>
        </w:rPr>
        <w:t>.</w:t>
      </w:r>
      <w:r w:rsidR="00D434EB">
        <w:rPr>
          <w:rFonts w:asciiTheme="majorHAnsi" w:hAnsiTheme="majorHAnsi" w:cstheme="majorHAnsi"/>
        </w:rPr>
        <w:t xml:space="preserve"> </w:t>
      </w:r>
      <w:r>
        <w:rPr>
          <w:rFonts w:asciiTheme="majorHAnsi" w:hAnsiTheme="majorHAnsi" w:cstheme="majorHAnsi"/>
        </w:rPr>
        <w:t>However, there were clear signs of efforts towards integrating inclusive and responsive education in the enhanced SIPs introduced with support from the BEST Program.</w:t>
      </w:r>
    </w:p>
    <w:p w14:paraId="1C695424" w14:textId="27FF96DB" w:rsidR="008D0CAD" w:rsidRDefault="008D0CAD" w:rsidP="009443E0">
      <w:pPr>
        <w:pStyle w:val="Heading4"/>
        <w:numPr>
          <w:ilvl w:val="2"/>
          <w:numId w:val="3"/>
        </w:numPr>
        <w:spacing w:before="100" w:beforeAutospacing="1" w:after="100" w:afterAutospacing="1" w:line="360" w:lineRule="auto"/>
      </w:pPr>
      <w:bookmarkStart w:id="194" w:name="_Toc16503168"/>
      <w:r w:rsidRPr="009933B1">
        <w:t xml:space="preserve">On enhancing </w:t>
      </w:r>
      <w:r>
        <w:t>DepEd</w:t>
      </w:r>
      <w:r w:rsidRPr="009933B1">
        <w:t xml:space="preserve">’s capability </w:t>
      </w:r>
      <w:r>
        <w:t>to</w:t>
      </w:r>
      <w:r w:rsidRPr="009933B1">
        <w:t xml:space="preserve"> deliver responsive and inclusive basic education</w:t>
      </w:r>
      <w:bookmarkEnd w:id="194"/>
      <w:r>
        <w:t xml:space="preserve"> </w:t>
      </w:r>
    </w:p>
    <w:p w14:paraId="0FCD9B5C" w14:textId="10A93BB6" w:rsidR="008D0CAD" w:rsidRDefault="008D0CAD" w:rsidP="009443E0">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color w:val="000000" w:themeColor="text1"/>
        </w:rPr>
        <w:t>T</w:t>
      </w:r>
      <w:r w:rsidRPr="00BD7862">
        <w:rPr>
          <w:rFonts w:asciiTheme="majorHAnsi" w:hAnsiTheme="majorHAnsi" w:cstheme="majorHAnsi"/>
          <w:color w:val="000000" w:themeColor="text1"/>
        </w:rPr>
        <w:t xml:space="preserve">he effects of the </w:t>
      </w:r>
      <w:r>
        <w:rPr>
          <w:rFonts w:asciiTheme="majorHAnsi" w:hAnsiTheme="majorHAnsi" w:cstheme="majorHAnsi"/>
          <w:color w:val="000000" w:themeColor="text1"/>
        </w:rPr>
        <w:t xml:space="preserve">BEST </w:t>
      </w:r>
      <w:r w:rsidRPr="00BD7862">
        <w:rPr>
          <w:rFonts w:asciiTheme="majorHAnsi" w:hAnsiTheme="majorHAnsi" w:cstheme="majorHAnsi"/>
          <w:color w:val="000000" w:themeColor="text1"/>
        </w:rPr>
        <w:t xml:space="preserve">Program </w:t>
      </w:r>
      <w:r>
        <w:rPr>
          <w:rFonts w:asciiTheme="majorHAnsi" w:hAnsiTheme="majorHAnsi" w:cstheme="majorHAnsi"/>
          <w:color w:val="000000" w:themeColor="text1"/>
        </w:rPr>
        <w:t>on reforming systems within DepEd and the education sector were apparent at the time of the Study</w:t>
      </w:r>
      <w:r w:rsidRPr="00BD7862">
        <w:rPr>
          <w:rFonts w:asciiTheme="majorHAnsi" w:hAnsiTheme="majorHAnsi" w:cstheme="majorHAnsi"/>
          <w:color w:val="000000" w:themeColor="text1"/>
        </w:rPr>
        <w:t>.</w:t>
      </w:r>
      <w:r w:rsidR="00D434EB">
        <w:rPr>
          <w:rFonts w:asciiTheme="majorHAnsi" w:hAnsiTheme="majorHAnsi" w:cstheme="majorHAnsi"/>
          <w:color w:val="000000" w:themeColor="text1"/>
        </w:rPr>
        <w:t xml:space="preserve"> </w:t>
      </w:r>
    </w:p>
    <w:p w14:paraId="5DCDC753" w14:textId="747441F1" w:rsidR="008D0CAD" w:rsidRDefault="008D0CAD" w:rsidP="009443E0">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color w:val="000000" w:themeColor="text1"/>
        </w:rPr>
        <w:t>The clearest</w:t>
      </w:r>
      <w:r w:rsidRPr="0063710C">
        <w:rPr>
          <w:rFonts w:asciiTheme="majorHAnsi" w:hAnsiTheme="majorHAnsi" w:cstheme="majorHAnsi"/>
          <w:color w:val="000000" w:themeColor="text1"/>
        </w:rPr>
        <w:t xml:space="preserve"> example was the use of the EBEIS and the LIS, which are part of the </w:t>
      </w:r>
      <w:r w:rsidRPr="0063710C">
        <w:rPr>
          <w:rFonts w:asciiTheme="majorHAnsi" w:hAnsiTheme="majorHAnsi" w:cstheme="majorHAnsi"/>
          <w:b/>
          <w:bCs/>
          <w:color w:val="000000" w:themeColor="text1"/>
        </w:rPr>
        <w:t>UISS</w:t>
      </w:r>
      <w:r w:rsidRPr="0063710C">
        <w:rPr>
          <w:rFonts w:asciiTheme="majorHAnsi" w:hAnsiTheme="majorHAnsi" w:cstheme="majorHAnsi"/>
          <w:color w:val="000000" w:themeColor="text1"/>
        </w:rPr>
        <w:t>.</w:t>
      </w:r>
      <w:r w:rsidR="00D434EB">
        <w:rPr>
          <w:rFonts w:asciiTheme="majorHAnsi" w:hAnsiTheme="majorHAnsi" w:cstheme="majorHAnsi"/>
          <w:color w:val="000000" w:themeColor="text1"/>
        </w:rPr>
        <w:t xml:space="preserve"> </w:t>
      </w:r>
      <w:r w:rsidRPr="0063710C">
        <w:rPr>
          <w:rFonts w:asciiTheme="majorHAnsi" w:hAnsiTheme="majorHAnsi" w:cstheme="majorHAnsi"/>
          <w:color w:val="000000" w:themeColor="text1"/>
        </w:rPr>
        <w:t>U</w:t>
      </w:r>
      <w:r>
        <w:rPr>
          <w:rFonts w:asciiTheme="majorHAnsi" w:hAnsiTheme="majorHAnsi" w:cstheme="majorHAnsi"/>
          <w:color w:val="000000" w:themeColor="text1"/>
        </w:rPr>
        <w:t>se</w:t>
      </w:r>
      <w:r w:rsidRPr="0063710C">
        <w:rPr>
          <w:rFonts w:asciiTheme="majorHAnsi" w:hAnsiTheme="majorHAnsi" w:cstheme="majorHAnsi"/>
          <w:color w:val="000000" w:themeColor="text1"/>
        </w:rPr>
        <w:t xml:space="preserve"> of these sub-systems were evident across governance levels, across regions and even across private/public schools.</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Thus, the system is well-entrenched in the education sector. Even the LR Portal has reached a certain level of utilisation, albeit significantly hampered by the lower quality of the resource materials available.</w:t>
      </w:r>
      <w:r w:rsidR="00D434EB">
        <w:rPr>
          <w:rFonts w:asciiTheme="majorHAnsi" w:hAnsiTheme="majorHAnsi" w:cstheme="majorHAnsi"/>
          <w:color w:val="000000" w:themeColor="text1"/>
        </w:rPr>
        <w:t xml:space="preserve"> </w:t>
      </w:r>
    </w:p>
    <w:p w14:paraId="3A64B01E" w14:textId="4EACB540" w:rsidR="008D0CAD" w:rsidRDefault="008D0CAD" w:rsidP="009443E0">
      <w:pPr>
        <w:spacing w:before="100" w:beforeAutospacing="1" w:after="100" w:afterAutospacing="1" w:line="360" w:lineRule="auto"/>
        <w:rPr>
          <w:rFonts w:asciiTheme="majorHAnsi" w:hAnsiTheme="majorHAnsi" w:cstheme="majorHAnsi"/>
        </w:rPr>
      </w:pPr>
      <w:r w:rsidRPr="00590BD2">
        <w:rPr>
          <w:rFonts w:asciiTheme="majorHAnsi" w:hAnsiTheme="majorHAnsi" w:cstheme="majorHAnsi"/>
          <w:spacing w:val="-1"/>
        </w:rPr>
        <w:t>T</w:t>
      </w:r>
      <w:r w:rsidRPr="007B7F58">
        <w:rPr>
          <w:rFonts w:asciiTheme="majorHAnsi" w:hAnsiTheme="majorHAnsi" w:cstheme="majorHAnsi"/>
          <w:spacing w:val="-1"/>
        </w:rPr>
        <w:t xml:space="preserve">he presence of </w:t>
      </w:r>
      <w:r w:rsidRPr="007B7F58">
        <w:rPr>
          <w:rFonts w:asciiTheme="majorHAnsi" w:hAnsiTheme="majorHAnsi" w:cstheme="majorHAnsi"/>
        </w:rPr>
        <w:t>BEST Program interventions (</w:t>
      </w:r>
      <w:r w:rsidRPr="007B7F58">
        <w:rPr>
          <w:rFonts w:asciiTheme="majorHAnsi" w:hAnsiTheme="majorHAnsi" w:cstheme="majorHAnsi"/>
          <w:i/>
        </w:rPr>
        <w:t>with the exception of OD and Classroom Construction</w:t>
      </w:r>
      <w:r w:rsidRPr="007B7F58">
        <w:rPr>
          <w:rFonts w:asciiTheme="majorHAnsi" w:hAnsiTheme="majorHAnsi" w:cstheme="majorHAnsi"/>
        </w:rPr>
        <w:t>) were ubiquitous among the schools studied</w:t>
      </w:r>
      <w:r>
        <w:rPr>
          <w:rFonts w:asciiTheme="majorHAnsi" w:hAnsiTheme="majorHAnsi" w:cstheme="majorHAnsi"/>
        </w:rPr>
        <w:t>.</w:t>
      </w:r>
      <w:r w:rsidR="00D434EB">
        <w:rPr>
          <w:rFonts w:asciiTheme="majorHAnsi" w:hAnsiTheme="majorHAnsi" w:cstheme="majorHAnsi"/>
        </w:rPr>
        <w:t xml:space="preserve"> </w:t>
      </w:r>
      <w:r>
        <w:rPr>
          <w:rFonts w:asciiTheme="majorHAnsi" w:hAnsiTheme="majorHAnsi" w:cstheme="majorHAnsi"/>
        </w:rPr>
        <w:t xml:space="preserve">In fact, some of the </w:t>
      </w:r>
      <w:r w:rsidRPr="007B7F58">
        <w:rPr>
          <w:rFonts w:asciiTheme="majorHAnsi" w:hAnsiTheme="majorHAnsi" w:cstheme="majorHAnsi"/>
        </w:rPr>
        <w:t xml:space="preserve">Program interventions </w:t>
      </w:r>
      <w:r>
        <w:rPr>
          <w:rFonts w:asciiTheme="majorHAnsi" w:hAnsiTheme="majorHAnsi" w:cstheme="majorHAnsi"/>
        </w:rPr>
        <w:t>were present even within those that were “</w:t>
      </w:r>
      <w:r w:rsidRPr="005F5CCE">
        <w:rPr>
          <w:rFonts w:asciiTheme="majorHAnsi" w:hAnsiTheme="majorHAnsi" w:cstheme="majorHAnsi"/>
          <w:i/>
          <w:iCs/>
        </w:rPr>
        <w:t>non-BEST Program schools</w:t>
      </w:r>
      <w:r>
        <w:rPr>
          <w:rFonts w:asciiTheme="majorHAnsi" w:hAnsiTheme="majorHAnsi" w:cstheme="majorHAnsi"/>
        </w:rPr>
        <w:t>” (i.e. schools that did not receive direct program interventions but benefited from BEST system reforms implemented more broadly by DepEd)</w:t>
      </w:r>
      <w:r w:rsidRPr="007B7F58">
        <w:rPr>
          <w:rFonts w:asciiTheme="majorHAnsi" w:hAnsiTheme="majorHAnsi" w:cstheme="majorHAnsi"/>
        </w:rPr>
        <w:t>.</w:t>
      </w:r>
      <w:r w:rsidR="00D434EB">
        <w:rPr>
          <w:rFonts w:asciiTheme="majorHAnsi" w:hAnsiTheme="majorHAnsi" w:cstheme="majorHAnsi"/>
        </w:rPr>
        <w:t xml:space="preserve"> </w:t>
      </w:r>
      <w:r w:rsidRPr="007B7F58">
        <w:rPr>
          <w:rFonts w:asciiTheme="majorHAnsi" w:hAnsiTheme="majorHAnsi" w:cstheme="majorHAnsi"/>
        </w:rPr>
        <w:t xml:space="preserve">It would appear that </w:t>
      </w:r>
      <w:r>
        <w:rPr>
          <w:rFonts w:asciiTheme="majorHAnsi" w:hAnsiTheme="majorHAnsi" w:cstheme="majorHAnsi"/>
        </w:rPr>
        <w:t>despite having a list of direct recipient</w:t>
      </w:r>
      <w:r w:rsidRPr="007B7F58">
        <w:rPr>
          <w:rFonts w:asciiTheme="majorHAnsi" w:hAnsiTheme="majorHAnsi" w:cstheme="majorHAnsi"/>
        </w:rPr>
        <w:t xml:space="preserve"> schools under the </w:t>
      </w:r>
      <w:r>
        <w:rPr>
          <w:rFonts w:asciiTheme="majorHAnsi" w:hAnsiTheme="majorHAnsi" w:cstheme="majorHAnsi"/>
        </w:rPr>
        <w:t>Program</w:t>
      </w:r>
      <w:r w:rsidRPr="007B7F58">
        <w:rPr>
          <w:rFonts w:asciiTheme="majorHAnsi" w:hAnsiTheme="majorHAnsi" w:cstheme="majorHAnsi"/>
        </w:rPr>
        <w:t xml:space="preserve">, </w:t>
      </w:r>
      <w:r>
        <w:rPr>
          <w:rFonts w:asciiTheme="majorHAnsi" w:hAnsiTheme="majorHAnsi" w:cstheme="majorHAnsi"/>
        </w:rPr>
        <w:t xml:space="preserve">this list </w:t>
      </w:r>
      <w:r w:rsidRPr="007B7F58">
        <w:rPr>
          <w:rFonts w:asciiTheme="majorHAnsi" w:hAnsiTheme="majorHAnsi" w:cstheme="majorHAnsi"/>
        </w:rPr>
        <w:t>did not wholly reflect the true nature of the diffusion of program interventions.</w:t>
      </w:r>
      <w:r w:rsidR="00D434EB">
        <w:rPr>
          <w:rFonts w:asciiTheme="majorHAnsi" w:hAnsiTheme="majorHAnsi" w:cstheme="majorHAnsi"/>
        </w:rPr>
        <w:t xml:space="preserve">  </w:t>
      </w:r>
      <w:r w:rsidRPr="007B7F58">
        <w:rPr>
          <w:rFonts w:asciiTheme="majorHAnsi" w:hAnsiTheme="majorHAnsi" w:cstheme="majorHAnsi"/>
          <w:spacing w:val="-1"/>
        </w:rPr>
        <w:t>Corollary to this</w:t>
      </w:r>
      <w:r>
        <w:rPr>
          <w:rFonts w:asciiTheme="majorHAnsi" w:hAnsiTheme="majorHAnsi" w:cstheme="majorHAnsi"/>
          <w:spacing w:val="-1"/>
        </w:rPr>
        <w:t xml:space="preserve"> </w:t>
      </w:r>
      <w:r w:rsidRPr="007B7F58">
        <w:rPr>
          <w:rFonts w:asciiTheme="majorHAnsi" w:hAnsiTheme="majorHAnsi" w:cstheme="majorHAnsi"/>
          <w:spacing w:val="-1"/>
        </w:rPr>
        <w:t xml:space="preserve">was </w:t>
      </w:r>
      <w:r>
        <w:rPr>
          <w:rFonts w:asciiTheme="majorHAnsi" w:hAnsiTheme="majorHAnsi" w:cstheme="majorHAnsi"/>
          <w:spacing w:val="-1"/>
        </w:rPr>
        <w:t xml:space="preserve">the </w:t>
      </w:r>
      <w:r w:rsidRPr="007B7F58">
        <w:rPr>
          <w:rFonts w:asciiTheme="majorHAnsi" w:hAnsiTheme="majorHAnsi" w:cstheme="majorHAnsi"/>
        </w:rPr>
        <w:t xml:space="preserve">general lack of recognition of the BEST Program in the various interventions and outputs implemented </w:t>
      </w:r>
      <w:r>
        <w:rPr>
          <w:rFonts w:asciiTheme="majorHAnsi" w:hAnsiTheme="majorHAnsi" w:cstheme="majorHAnsi"/>
        </w:rPr>
        <w:t>at the DO and school levels</w:t>
      </w:r>
      <w:r w:rsidRPr="007B7F58">
        <w:rPr>
          <w:rFonts w:asciiTheme="majorHAnsi" w:hAnsiTheme="majorHAnsi" w:cstheme="majorHAnsi"/>
        </w:rPr>
        <w:t xml:space="preserve">. </w:t>
      </w:r>
      <w:r>
        <w:rPr>
          <w:rFonts w:asciiTheme="majorHAnsi" w:hAnsiTheme="majorHAnsi" w:cstheme="majorHAnsi"/>
        </w:rPr>
        <w:t>Most interventions</w:t>
      </w:r>
      <w:r w:rsidRPr="007B7F58">
        <w:rPr>
          <w:rFonts w:asciiTheme="majorHAnsi" w:hAnsiTheme="majorHAnsi" w:cstheme="majorHAnsi"/>
        </w:rPr>
        <w:t xml:space="preserve"> </w:t>
      </w:r>
      <w:r>
        <w:rPr>
          <w:rFonts w:asciiTheme="majorHAnsi" w:hAnsiTheme="majorHAnsi" w:cstheme="majorHAnsi"/>
        </w:rPr>
        <w:t>were recognised</w:t>
      </w:r>
      <w:r w:rsidRPr="007B7F58">
        <w:rPr>
          <w:rFonts w:asciiTheme="majorHAnsi" w:hAnsiTheme="majorHAnsi" w:cstheme="majorHAnsi"/>
        </w:rPr>
        <w:t xml:space="preserve"> as </w:t>
      </w:r>
      <w:r>
        <w:rPr>
          <w:rFonts w:asciiTheme="majorHAnsi" w:hAnsiTheme="majorHAnsi" w:cstheme="majorHAnsi"/>
        </w:rPr>
        <w:t>DepEd</w:t>
      </w:r>
      <w:r w:rsidRPr="007B7F58">
        <w:rPr>
          <w:rFonts w:asciiTheme="majorHAnsi" w:hAnsiTheme="majorHAnsi" w:cstheme="majorHAnsi"/>
        </w:rPr>
        <w:t xml:space="preserve"> initiatives.</w:t>
      </w:r>
    </w:p>
    <w:p w14:paraId="43C53721" w14:textId="77777777" w:rsidR="008D0CAD" w:rsidRPr="0063710C" w:rsidRDefault="008D0CAD" w:rsidP="009443E0">
      <w:pPr>
        <w:spacing w:before="100" w:beforeAutospacing="1" w:after="100" w:afterAutospacing="1" w:line="360" w:lineRule="auto"/>
        <w:rPr>
          <w:rFonts w:asciiTheme="majorHAnsi" w:hAnsiTheme="majorHAnsi" w:cstheme="majorHAnsi"/>
          <w:color w:val="000000" w:themeColor="text1"/>
        </w:rPr>
      </w:pPr>
      <w:r w:rsidRPr="007B7F58">
        <w:rPr>
          <w:rFonts w:asciiTheme="majorHAnsi" w:hAnsiTheme="majorHAnsi" w:cstheme="majorHAnsi"/>
        </w:rPr>
        <w:t>Th</w:t>
      </w:r>
      <w:r>
        <w:rPr>
          <w:rFonts w:asciiTheme="majorHAnsi" w:hAnsiTheme="majorHAnsi" w:cstheme="majorHAnsi"/>
        </w:rPr>
        <w:t xml:space="preserve">us, the embedding of the reforms within </w:t>
      </w:r>
      <w:r>
        <w:rPr>
          <w:rFonts w:asciiTheme="majorHAnsi" w:hAnsiTheme="majorHAnsi" w:cstheme="majorHAnsi"/>
          <w:color w:val="000000" w:themeColor="text1"/>
        </w:rPr>
        <w:t>DepEd</w:t>
      </w:r>
      <w:r w:rsidRPr="0063710C">
        <w:rPr>
          <w:rFonts w:asciiTheme="majorHAnsi" w:hAnsiTheme="majorHAnsi" w:cstheme="majorHAnsi"/>
          <w:color w:val="000000" w:themeColor="text1"/>
        </w:rPr>
        <w:t xml:space="preserve"> was indeed achieved.</w:t>
      </w:r>
    </w:p>
    <w:p w14:paraId="7FE0CAB8" w14:textId="1A88BEE6" w:rsidR="008D0CAD" w:rsidRDefault="008D0CAD" w:rsidP="009443E0">
      <w:pPr>
        <w:spacing w:before="100" w:beforeAutospacing="1" w:after="100" w:afterAutospacing="1" w:line="360" w:lineRule="auto"/>
        <w:rPr>
          <w:rFonts w:asciiTheme="majorHAnsi" w:hAnsiTheme="majorHAnsi" w:cstheme="majorHAnsi"/>
        </w:rPr>
      </w:pPr>
      <w:r w:rsidRPr="00506986">
        <w:rPr>
          <w:rFonts w:asciiTheme="majorHAnsi" w:hAnsiTheme="majorHAnsi" w:cstheme="majorHAnsi"/>
          <w:color w:val="000000" w:themeColor="text1"/>
        </w:rPr>
        <w:t>A</w:t>
      </w:r>
      <w:r>
        <w:rPr>
          <w:rFonts w:asciiTheme="majorHAnsi" w:hAnsiTheme="majorHAnsi" w:cstheme="majorHAnsi"/>
          <w:color w:val="000000" w:themeColor="text1"/>
        </w:rPr>
        <w:t xml:space="preserve">nother </w:t>
      </w:r>
      <w:r w:rsidRPr="00506986">
        <w:rPr>
          <w:rFonts w:asciiTheme="majorHAnsi" w:hAnsiTheme="majorHAnsi" w:cstheme="majorHAnsi"/>
          <w:color w:val="000000" w:themeColor="text1"/>
        </w:rPr>
        <w:t xml:space="preserve">reform implemented </w:t>
      </w:r>
      <w:r>
        <w:rPr>
          <w:rFonts w:asciiTheme="majorHAnsi" w:hAnsiTheme="majorHAnsi" w:cstheme="majorHAnsi"/>
          <w:color w:val="000000" w:themeColor="text1"/>
        </w:rPr>
        <w:t>widely</w:t>
      </w:r>
      <w:r w:rsidRPr="00506986">
        <w:rPr>
          <w:rFonts w:asciiTheme="majorHAnsi" w:hAnsiTheme="majorHAnsi" w:cstheme="majorHAnsi"/>
          <w:color w:val="000000" w:themeColor="text1"/>
        </w:rPr>
        <w:t xml:space="preserve"> at the </w:t>
      </w:r>
      <w:r>
        <w:rPr>
          <w:rFonts w:asciiTheme="majorHAnsi" w:hAnsiTheme="majorHAnsi" w:cstheme="majorHAnsi"/>
          <w:color w:val="000000" w:themeColor="text1"/>
        </w:rPr>
        <w:t xml:space="preserve">DO and </w:t>
      </w:r>
      <w:r w:rsidRPr="00506986">
        <w:rPr>
          <w:rFonts w:asciiTheme="majorHAnsi" w:hAnsiTheme="majorHAnsi" w:cstheme="majorHAnsi"/>
          <w:color w:val="000000" w:themeColor="text1"/>
        </w:rPr>
        <w:t xml:space="preserve">school level is the participatory </w:t>
      </w:r>
      <w:r>
        <w:rPr>
          <w:rFonts w:asciiTheme="majorHAnsi" w:hAnsiTheme="majorHAnsi" w:cstheme="majorHAnsi"/>
          <w:color w:val="000000" w:themeColor="text1"/>
        </w:rPr>
        <w:t xml:space="preserve">approach to </w:t>
      </w:r>
      <w:r w:rsidRPr="00506986">
        <w:rPr>
          <w:rFonts w:asciiTheme="majorHAnsi" w:hAnsiTheme="majorHAnsi" w:cstheme="majorHAnsi"/>
          <w:color w:val="000000" w:themeColor="text1"/>
        </w:rPr>
        <w:t>development of SIPs, which is under SBM.</w:t>
      </w:r>
      <w:r>
        <w:rPr>
          <w:rFonts w:asciiTheme="majorHAnsi" w:hAnsiTheme="majorHAnsi" w:cstheme="majorHAnsi"/>
          <w:color w:val="000000" w:themeColor="text1"/>
        </w:rPr>
        <w:t xml:space="preserve"> As mentioned previously, participation of external stakeholders brings to attention other issues not usually attended to in the SIPs.</w:t>
      </w:r>
      <w:r w:rsidR="00D434EB">
        <w:rPr>
          <w:rFonts w:asciiTheme="majorHAnsi" w:hAnsiTheme="majorHAnsi" w:cstheme="majorHAnsi"/>
          <w:color w:val="000000" w:themeColor="text1"/>
        </w:rPr>
        <w:t xml:space="preserve"> </w:t>
      </w:r>
      <w:r>
        <w:rPr>
          <w:rFonts w:asciiTheme="majorHAnsi" w:hAnsiTheme="majorHAnsi" w:cstheme="majorHAnsi"/>
        </w:rPr>
        <w:t>LAC and Action Research</w:t>
      </w:r>
      <w:r w:rsidRPr="00506986">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practices were also </w:t>
      </w:r>
      <w:r w:rsidRPr="00506986">
        <w:rPr>
          <w:rFonts w:asciiTheme="majorHAnsi" w:hAnsiTheme="majorHAnsi" w:cstheme="majorHAnsi"/>
          <w:color w:val="000000" w:themeColor="text1"/>
        </w:rPr>
        <w:t>widely implemented at school level</w:t>
      </w:r>
      <w:r>
        <w:rPr>
          <w:rFonts w:asciiTheme="majorHAnsi" w:hAnsiTheme="majorHAnsi" w:cstheme="majorHAnsi"/>
        </w:rPr>
        <w:t>.</w:t>
      </w:r>
    </w:p>
    <w:p w14:paraId="6DCDFDF6" w14:textId="427BCC5A" w:rsidR="008D0CAD" w:rsidRDefault="008D0CAD" w:rsidP="009443E0">
      <w:pPr>
        <w:spacing w:before="100" w:beforeAutospacing="1" w:after="100" w:afterAutospacing="1" w:line="360" w:lineRule="auto"/>
        <w:rPr>
          <w:rFonts w:asciiTheme="majorHAnsi" w:hAnsiTheme="majorHAnsi" w:cstheme="majorHAnsi"/>
        </w:rPr>
      </w:pPr>
      <w:r>
        <w:rPr>
          <w:rFonts w:asciiTheme="majorHAnsi" w:eastAsiaTheme="minorHAnsi" w:hAnsiTheme="majorHAnsi" w:cstheme="majorHAnsi"/>
        </w:rPr>
        <w:t xml:space="preserve">Although the </w:t>
      </w:r>
      <w:r w:rsidRPr="00583797">
        <w:rPr>
          <w:rFonts w:asciiTheme="majorHAnsi" w:eastAsiaTheme="minorHAnsi" w:hAnsiTheme="majorHAnsi" w:cstheme="majorHAnsi"/>
        </w:rPr>
        <w:t xml:space="preserve">gender </w:t>
      </w:r>
      <w:r>
        <w:rPr>
          <w:rFonts w:asciiTheme="majorHAnsi" w:eastAsiaTheme="minorHAnsi" w:hAnsiTheme="majorHAnsi" w:cstheme="majorHAnsi"/>
        </w:rPr>
        <w:t>responsiveness and inclusiveness of the actual CO/RO/DO plans and the SIPs were not directly assessed in the Study, low awareness among RO/DO/School respondents on strategic IE and GRBE interventions may indicate remaining gaps.</w:t>
      </w:r>
      <w:r w:rsidR="00D434EB">
        <w:rPr>
          <w:rFonts w:asciiTheme="majorHAnsi" w:eastAsiaTheme="minorHAnsi" w:hAnsiTheme="majorHAnsi" w:cstheme="majorHAnsi"/>
        </w:rPr>
        <w:t xml:space="preserve"> </w:t>
      </w:r>
      <w:r>
        <w:rPr>
          <w:rFonts w:asciiTheme="majorHAnsi" w:eastAsiaTheme="minorHAnsi" w:hAnsiTheme="majorHAnsi" w:cstheme="majorHAnsi"/>
        </w:rPr>
        <w:t>For instance, gender-responsiveness and inclusiveness mostly remains at the level of data disaggregation (by sex, by disability, by locality, or bullying).</w:t>
      </w:r>
      <w:r w:rsidR="00D434EB">
        <w:rPr>
          <w:rFonts w:asciiTheme="majorHAnsi" w:eastAsiaTheme="minorHAnsi" w:hAnsiTheme="majorHAnsi" w:cstheme="majorHAnsi"/>
        </w:rPr>
        <w:t xml:space="preserve"> </w:t>
      </w:r>
      <w:r>
        <w:rPr>
          <w:rFonts w:asciiTheme="majorHAnsi" w:eastAsiaTheme="minorHAnsi" w:hAnsiTheme="majorHAnsi" w:cstheme="majorHAnsi"/>
        </w:rPr>
        <w:t>Issue-based responses or interventions to address gender disparities or access of children with disabilities were still limited or absent.</w:t>
      </w:r>
      <w:r w:rsidR="00D434EB">
        <w:rPr>
          <w:rFonts w:asciiTheme="majorHAnsi" w:eastAsiaTheme="minorHAnsi" w:hAnsiTheme="majorHAnsi" w:cstheme="majorHAnsi"/>
        </w:rPr>
        <w:t xml:space="preserve"> </w:t>
      </w:r>
      <w:r>
        <w:rPr>
          <w:rFonts w:asciiTheme="majorHAnsi" w:eastAsiaTheme="minorHAnsi" w:hAnsiTheme="majorHAnsi" w:cstheme="majorHAnsi"/>
        </w:rPr>
        <w:t>The dormancy of the GAD Focal Point System (GFPS) at the Central Office level significantly contributes to this situation.</w:t>
      </w:r>
      <w:r w:rsidR="00D434EB">
        <w:rPr>
          <w:rFonts w:asciiTheme="majorHAnsi" w:eastAsiaTheme="minorHAnsi" w:hAnsiTheme="majorHAnsi" w:cstheme="majorHAnsi"/>
        </w:rPr>
        <w:t xml:space="preserve"> </w:t>
      </w:r>
      <w:r w:rsidRPr="0047501C">
        <w:rPr>
          <w:rFonts w:asciiTheme="majorHAnsi" w:eastAsiaTheme="minorHAnsi" w:hAnsiTheme="majorHAnsi" w:cstheme="majorHAnsi"/>
          <w:color w:val="000000" w:themeColor="text1"/>
        </w:rPr>
        <w:t xml:space="preserve">In the Follow-up Report, gender responsiveness and inclusiveness in SIPs </w:t>
      </w:r>
      <w:r>
        <w:rPr>
          <w:rFonts w:asciiTheme="majorHAnsi" w:eastAsiaTheme="minorHAnsi" w:hAnsiTheme="majorHAnsi" w:cstheme="majorHAnsi"/>
          <w:color w:val="000000" w:themeColor="text1"/>
        </w:rPr>
        <w:t>and</w:t>
      </w:r>
      <w:r w:rsidRPr="0047501C">
        <w:rPr>
          <w:rFonts w:asciiTheme="majorHAnsi" w:eastAsiaTheme="minorHAnsi" w:hAnsiTheme="majorHAnsi" w:cstheme="majorHAnsi"/>
          <w:color w:val="000000" w:themeColor="text1"/>
        </w:rPr>
        <w:t xml:space="preserve"> its linkages across stakeholders </w:t>
      </w:r>
      <w:r>
        <w:rPr>
          <w:rFonts w:asciiTheme="majorHAnsi" w:eastAsiaTheme="minorHAnsi" w:hAnsiTheme="majorHAnsi" w:cstheme="majorHAnsi"/>
          <w:color w:val="000000" w:themeColor="text1"/>
        </w:rPr>
        <w:t>are just beginning</w:t>
      </w:r>
      <w:r w:rsidRPr="0047501C">
        <w:rPr>
          <w:rFonts w:asciiTheme="majorHAnsi" w:eastAsiaTheme="minorHAnsi" w:hAnsiTheme="majorHAnsi" w:cstheme="majorHAnsi"/>
          <w:color w:val="000000" w:themeColor="text1"/>
        </w:rPr>
        <w:t xml:space="preserve"> to take root.</w:t>
      </w:r>
      <w:r>
        <w:rPr>
          <w:rFonts w:asciiTheme="majorHAnsi" w:eastAsiaTheme="minorHAnsi" w:hAnsiTheme="majorHAnsi" w:cstheme="majorHAnsi"/>
          <w:color w:val="000000" w:themeColor="text1"/>
        </w:rPr>
        <w:t xml:space="preserve"> </w:t>
      </w:r>
      <w:r>
        <w:rPr>
          <w:rFonts w:asciiTheme="majorHAnsi" w:hAnsiTheme="majorHAnsi" w:cstheme="majorHAnsi"/>
        </w:rPr>
        <w:t>On the other hand, there was also evidence of gaps.</w:t>
      </w:r>
    </w:p>
    <w:p w14:paraId="1294AFCB" w14:textId="77777777" w:rsidR="008D0CAD" w:rsidRDefault="008D0CAD" w:rsidP="009443E0">
      <w:pPr>
        <w:spacing w:before="100" w:beforeAutospacing="1" w:after="100" w:afterAutospacing="1" w:line="360" w:lineRule="auto"/>
        <w:rPr>
          <w:rFonts w:asciiTheme="majorHAnsi" w:hAnsiTheme="majorHAnsi" w:cstheme="majorHAnsi"/>
          <w:color w:val="000000" w:themeColor="text1"/>
        </w:rPr>
      </w:pPr>
      <w:r>
        <w:rPr>
          <w:rFonts w:asciiTheme="majorHAnsi" w:hAnsiTheme="majorHAnsi" w:cstheme="majorHAnsi"/>
          <w:color w:val="000000" w:themeColor="text1"/>
        </w:rPr>
        <w:t>The 2019 evaluation study underscored the gap in the implementation of the UISS. The Study team had to go to each one of the 106 schools to collect data because the data that should have been available through the EBEIS were not. Another critical gap is the inadequate capacity of the system to handle user traffic (resulting in some teachers having to use the system at 2am when user traffic is low).</w:t>
      </w:r>
    </w:p>
    <w:p w14:paraId="6D28C819" w14:textId="225B6E91" w:rsidR="008D0CAD" w:rsidRPr="0047501C" w:rsidRDefault="008D0CAD" w:rsidP="009443E0">
      <w:pPr>
        <w:spacing w:before="100" w:beforeAutospacing="1" w:after="100" w:afterAutospacing="1" w:line="360" w:lineRule="auto"/>
        <w:rPr>
          <w:rFonts w:asciiTheme="majorHAnsi" w:eastAsiaTheme="minorHAnsi" w:hAnsiTheme="majorHAnsi" w:cstheme="majorHAnsi"/>
        </w:rPr>
      </w:pPr>
      <w:r>
        <w:rPr>
          <w:rFonts w:asciiTheme="majorHAnsi" w:hAnsiTheme="majorHAnsi" w:cstheme="majorHAnsi"/>
          <w:color w:val="000000" w:themeColor="text1"/>
        </w:rPr>
        <w:t xml:space="preserve">In the case of SBM, caution should be used in the promotion of the </w:t>
      </w:r>
      <w:r w:rsidRPr="00506986">
        <w:rPr>
          <w:rFonts w:asciiTheme="majorHAnsi" w:hAnsiTheme="majorHAnsi" w:cstheme="majorHAnsi"/>
          <w:color w:val="000000" w:themeColor="text1"/>
        </w:rPr>
        <w:t xml:space="preserve">participatory </w:t>
      </w:r>
      <w:r>
        <w:rPr>
          <w:rFonts w:asciiTheme="majorHAnsi" w:hAnsiTheme="majorHAnsi" w:cstheme="majorHAnsi"/>
          <w:color w:val="000000" w:themeColor="text1"/>
        </w:rPr>
        <w:t>approach to planning.</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When participation is maintained in a token way, and not used to meaningfully engage stakeholders, the gains obtained would be in danger of dissolving.</w:t>
      </w:r>
    </w:p>
    <w:p w14:paraId="5091609D" w14:textId="1D543B48" w:rsidR="008D0CAD" w:rsidRPr="00DD6E4B" w:rsidRDefault="008D0CAD" w:rsidP="009443E0">
      <w:pPr>
        <w:pStyle w:val="Heading4"/>
        <w:numPr>
          <w:ilvl w:val="2"/>
          <w:numId w:val="3"/>
        </w:numPr>
        <w:spacing w:before="100" w:beforeAutospacing="1" w:after="100" w:afterAutospacing="1" w:line="360" w:lineRule="auto"/>
      </w:pPr>
      <w:r w:rsidRPr="009B53B5">
        <w:t>On Future Program Management</w:t>
      </w:r>
    </w:p>
    <w:p w14:paraId="743458D9" w14:textId="77777777" w:rsidR="008D0CAD" w:rsidRDefault="008D0CAD" w:rsidP="009443E0">
      <w:pPr>
        <w:spacing w:before="100" w:beforeAutospacing="1" w:after="100" w:afterAutospacing="1" w:line="360" w:lineRule="auto"/>
        <w:rPr>
          <w:rFonts w:asciiTheme="majorHAnsi" w:hAnsiTheme="majorHAnsi" w:cstheme="majorHAnsi"/>
        </w:rPr>
      </w:pPr>
      <w:r w:rsidRPr="00F86356">
        <w:rPr>
          <w:rFonts w:asciiTheme="majorHAnsi" w:hAnsiTheme="majorHAnsi" w:cstheme="majorHAnsi"/>
        </w:rPr>
        <w:t xml:space="preserve">From the point of view of </w:t>
      </w:r>
      <w:r w:rsidRPr="007F69FD">
        <w:rPr>
          <w:rFonts w:asciiTheme="majorHAnsi" w:hAnsiTheme="majorHAnsi" w:cstheme="majorHAnsi"/>
        </w:rPr>
        <w:t>Program Management</w:t>
      </w:r>
      <w:r w:rsidRPr="009B53B5">
        <w:rPr>
          <w:rFonts w:asciiTheme="majorHAnsi" w:hAnsiTheme="majorHAnsi" w:cstheme="majorHAnsi"/>
        </w:rPr>
        <w:t xml:space="preserve">, for future programs, better monitoring and evaluation systems should be installed at all governance levels </w:t>
      </w:r>
      <w:r w:rsidRPr="009B53B5">
        <w:rPr>
          <w:rFonts w:asciiTheme="majorHAnsi" w:hAnsiTheme="majorHAnsi" w:cstheme="majorHAnsi"/>
          <w:bCs/>
        </w:rPr>
        <w:t>prior to program implementation (including baselines)</w:t>
      </w:r>
      <w:r w:rsidRPr="009B53B5">
        <w:rPr>
          <w:rFonts w:asciiTheme="majorHAnsi" w:hAnsiTheme="majorHAnsi" w:cstheme="majorHAnsi"/>
        </w:rPr>
        <w:t xml:space="preserve"> in order to better capture school-level changes and transformations.</w:t>
      </w:r>
    </w:p>
    <w:p w14:paraId="174179AA" w14:textId="178FE588" w:rsidR="008D0CAD" w:rsidRPr="0032457A" w:rsidRDefault="008D0CAD" w:rsidP="009443E0">
      <w:pPr>
        <w:spacing w:before="100" w:beforeAutospacing="1" w:after="100" w:afterAutospacing="1" w:line="360" w:lineRule="auto"/>
        <w:rPr>
          <w:rFonts w:asciiTheme="majorHAnsi" w:hAnsiTheme="majorHAnsi" w:cstheme="majorHAnsi"/>
          <w:color w:val="000000" w:themeColor="text1"/>
        </w:rPr>
      </w:pPr>
      <w:r w:rsidRPr="00107C74">
        <w:rPr>
          <w:rFonts w:asciiTheme="majorHAnsi" w:hAnsiTheme="majorHAnsi" w:cstheme="majorHAnsi"/>
          <w:color w:val="000000" w:themeColor="text1"/>
          <w:spacing w:val="-1"/>
        </w:rPr>
        <w:t>It is also critical to develop a culture of</w:t>
      </w:r>
      <w:r w:rsidRPr="00107C74">
        <w:rPr>
          <w:rFonts w:asciiTheme="majorHAnsi" w:hAnsiTheme="majorHAnsi" w:cstheme="majorHAnsi"/>
          <w:color w:val="000000" w:themeColor="text1"/>
        </w:rPr>
        <w:t xml:space="preserve"> Program Evaluation in the organi</w:t>
      </w:r>
      <w:r>
        <w:rPr>
          <w:rFonts w:asciiTheme="majorHAnsi" w:hAnsiTheme="majorHAnsi" w:cstheme="majorHAnsi"/>
          <w:color w:val="000000" w:themeColor="text1"/>
        </w:rPr>
        <w:t>s</w:t>
      </w:r>
      <w:r w:rsidRPr="00107C74">
        <w:rPr>
          <w:rFonts w:asciiTheme="majorHAnsi" w:hAnsiTheme="majorHAnsi" w:cstheme="majorHAnsi"/>
          <w:color w:val="000000" w:themeColor="text1"/>
        </w:rPr>
        <w:t>ations.</w:t>
      </w:r>
      <w:r w:rsidR="00D434EB">
        <w:rPr>
          <w:rFonts w:asciiTheme="majorHAnsi" w:hAnsiTheme="majorHAnsi" w:cstheme="majorHAnsi"/>
          <w:color w:val="000000" w:themeColor="text1"/>
        </w:rPr>
        <w:t xml:space="preserve"> </w:t>
      </w:r>
      <w:r w:rsidRPr="00107C74">
        <w:rPr>
          <w:rFonts w:asciiTheme="majorHAnsi" w:hAnsiTheme="majorHAnsi" w:cstheme="majorHAnsi"/>
          <w:color w:val="000000" w:themeColor="text1"/>
        </w:rPr>
        <w:t>The respondents (</w:t>
      </w:r>
      <w:r w:rsidRPr="00107C74">
        <w:rPr>
          <w:rFonts w:asciiTheme="majorHAnsi" w:hAnsiTheme="majorHAnsi" w:cstheme="majorHAnsi"/>
          <w:i/>
          <w:iCs/>
          <w:color w:val="000000" w:themeColor="text1"/>
        </w:rPr>
        <w:t>particularly schools in the Regions</w:t>
      </w:r>
      <w:r w:rsidRPr="00107C74">
        <w:rPr>
          <w:rFonts w:asciiTheme="majorHAnsi" w:hAnsiTheme="majorHAnsi" w:cstheme="majorHAnsi"/>
          <w:color w:val="000000" w:themeColor="text1"/>
        </w:rPr>
        <w:t>) equate Program Evaluation with Performance Evaluation and thus, they tend to put their best feet forward when the Evaluation Team visits their school.</w:t>
      </w:r>
      <w:r w:rsidR="00D434EB">
        <w:rPr>
          <w:rFonts w:asciiTheme="majorHAnsi" w:hAnsiTheme="majorHAnsi" w:cstheme="majorHAnsi"/>
          <w:color w:val="000000" w:themeColor="text1"/>
        </w:rPr>
        <w:t xml:space="preserve"> </w:t>
      </w:r>
      <w:r w:rsidRPr="00107C74">
        <w:rPr>
          <w:rFonts w:asciiTheme="majorHAnsi" w:hAnsiTheme="majorHAnsi" w:cstheme="majorHAnsi"/>
          <w:color w:val="000000" w:themeColor="text1"/>
        </w:rPr>
        <w:t>This was despite the methodical explanation of the Team that strict confidentiality of responses will be upheld.</w:t>
      </w:r>
      <w:r w:rsidR="00D434EB">
        <w:rPr>
          <w:rFonts w:asciiTheme="majorHAnsi" w:hAnsiTheme="majorHAnsi" w:cstheme="majorHAnsi"/>
          <w:color w:val="000000" w:themeColor="text1"/>
        </w:rPr>
        <w:t xml:space="preserve"> </w:t>
      </w:r>
      <w:r w:rsidRPr="00107C74">
        <w:rPr>
          <w:rFonts w:asciiTheme="majorHAnsi" w:hAnsiTheme="majorHAnsi" w:cstheme="majorHAnsi"/>
          <w:color w:val="000000" w:themeColor="text1"/>
        </w:rPr>
        <w:t xml:space="preserve">Moreover, the two far flung schools noted that it </w:t>
      </w:r>
      <w:r>
        <w:rPr>
          <w:rFonts w:asciiTheme="majorHAnsi" w:hAnsiTheme="majorHAnsi" w:cstheme="majorHAnsi"/>
          <w:color w:val="000000" w:themeColor="text1"/>
        </w:rPr>
        <w:t>wa</w:t>
      </w:r>
      <w:r w:rsidRPr="00107C74">
        <w:rPr>
          <w:rFonts w:asciiTheme="majorHAnsi" w:hAnsiTheme="majorHAnsi" w:cstheme="majorHAnsi"/>
          <w:color w:val="000000" w:themeColor="text1"/>
        </w:rPr>
        <w:t>s the first time that they were included as a respondent and thus they also wanted to present their best accomplishments.</w:t>
      </w:r>
    </w:p>
    <w:p w14:paraId="45E539E9" w14:textId="5D24AA49" w:rsidR="008D0CAD" w:rsidRPr="00B95192" w:rsidRDefault="008D0CAD" w:rsidP="009443E0">
      <w:pPr>
        <w:pStyle w:val="Heading3"/>
        <w:numPr>
          <w:ilvl w:val="1"/>
          <w:numId w:val="3"/>
        </w:numPr>
        <w:spacing w:before="100" w:beforeAutospacing="1" w:after="100" w:afterAutospacing="1" w:line="360" w:lineRule="auto"/>
      </w:pPr>
      <w:bookmarkStart w:id="195" w:name="_Toc69820453"/>
      <w:bookmarkStart w:id="196" w:name="_Toc12712012"/>
      <w:bookmarkStart w:id="197" w:name="_Toc13216303"/>
      <w:r>
        <w:t>Implications</w:t>
      </w:r>
      <w:bookmarkEnd w:id="195"/>
    </w:p>
    <w:p w14:paraId="05EB809B" w14:textId="523D84F4" w:rsidR="008D0CAD" w:rsidRPr="006E21A8" w:rsidRDefault="008D0CAD" w:rsidP="009443E0">
      <w:pPr>
        <w:pStyle w:val="Heading4"/>
        <w:numPr>
          <w:ilvl w:val="2"/>
          <w:numId w:val="3"/>
        </w:numPr>
        <w:spacing w:before="100" w:beforeAutospacing="1" w:after="100" w:afterAutospacing="1" w:line="360" w:lineRule="auto"/>
      </w:pPr>
      <w:r w:rsidRPr="009933B1">
        <w:t>On Student Mastery</w:t>
      </w:r>
    </w:p>
    <w:p w14:paraId="36B16F6F" w14:textId="066558FE" w:rsidR="008D0CAD" w:rsidRPr="006254AC" w:rsidRDefault="008D0CAD" w:rsidP="009443E0">
      <w:pPr>
        <w:pStyle w:val="Caption"/>
        <w:spacing w:before="100" w:beforeAutospacing="1" w:after="100" w:afterAutospacing="1" w:line="360" w:lineRule="auto"/>
        <w:rPr>
          <w:rFonts w:asciiTheme="majorHAnsi" w:hAnsiTheme="majorHAnsi" w:cstheme="majorHAnsi"/>
          <w:b/>
          <w:bCs/>
          <w:iCs w:val="0"/>
          <w:color w:val="0070C0"/>
          <w:sz w:val="24"/>
          <w:szCs w:val="24"/>
        </w:rPr>
      </w:pPr>
      <w:r w:rsidRPr="006254AC">
        <w:rPr>
          <w:rFonts w:asciiTheme="majorHAnsi" w:hAnsiTheme="majorHAnsi" w:cstheme="majorHAnsi"/>
          <w:b/>
          <w:color w:val="0070C0"/>
          <w:sz w:val="24"/>
          <w:szCs w:val="24"/>
        </w:rPr>
        <w:t>Implication No.</w:t>
      </w:r>
      <w:r w:rsidR="00D434EB">
        <w:rPr>
          <w:rFonts w:asciiTheme="majorHAnsi" w:hAnsiTheme="majorHAnsi" w:cstheme="majorHAnsi"/>
          <w:b/>
          <w:color w:val="0070C0"/>
          <w:sz w:val="24"/>
          <w:szCs w:val="24"/>
        </w:rPr>
        <w:t xml:space="preserve"> </w:t>
      </w:r>
      <w:r w:rsidRPr="006254AC">
        <w:rPr>
          <w:rFonts w:asciiTheme="majorHAnsi" w:hAnsiTheme="majorHAnsi" w:cstheme="majorHAnsi"/>
          <w:b/>
          <w:color w:val="0070C0"/>
          <w:sz w:val="24"/>
          <w:szCs w:val="24"/>
        </w:rPr>
        <w:fldChar w:fldCharType="begin"/>
      </w:r>
      <w:r w:rsidRPr="006254AC">
        <w:rPr>
          <w:rFonts w:asciiTheme="majorHAnsi" w:hAnsiTheme="majorHAnsi" w:cstheme="majorHAnsi"/>
          <w:b/>
          <w:color w:val="0070C0"/>
          <w:sz w:val="24"/>
          <w:szCs w:val="24"/>
        </w:rPr>
        <w:instrText xml:space="preserve"> SEQ Implication_No._ \* ARABIC </w:instrText>
      </w:r>
      <w:r w:rsidRPr="006254AC">
        <w:rPr>
          <w:rFonts w:asciiTheme="majorHAnsi" w:hAnsiTheme="majorHAnsi" w:cstheme="majorHAnsi"/>
          <w:b/>
          <w:color w:val="0070C0"/>
          <w:sz w:val="24"/>
          <w:szCs w:val="24"/>
        </w:rPr>
        <w:fldChar w:fldCharType="separate"/>
      </w:r>
      <w:r w:rsidR="00D6133D">
        <w:rPr>
          <w:rFonts w:asciiTheme="majorHAnsi" w:hAnsiTheme="majorHAnsi" w:cstheme="majorHAnsi"/>
          <w:b/>
          <w:noProof/>
          <w:color w:val="0070C0"/>
          <w:sz w:val="24"/>
          <w:szCs w:val="24"/>
        </w:rPr>
        <w:t>4</w:t>
      </w:r>
      <w:r w:rsidRPr="006254AC">
        <w:rPr>
          <w:rFonts w:asciiTheme="majorHAnsi" w:hAnsiTheme="majorHAnsi" w:cstheme="majorHAnsi"/>
          <w:b/>
          <w:color w:val="0070C0"/>
          <w:sz w:val="24"/>
          <w:szCs w:val="24"/>
        </w:rPr>
        <w:fldChar w:fldCharType="end"/>
      </w:r>
      <w:r w:rsidRPr="006254AC">
        <w:rPr>
          <w:rFonts w:asciiTheme="majorHAnsi" w:hAnsiTheme="majorHAnsi" w:cstheme="majorHAnsi"/>
          <w:b/>
          <w:color w:val="0070C0"/>
          <w:sz w:val="24"/>
          <w:szCs w:val="24"/>
        </w:rPr>
        <w:t>:</w:t>
      </w:r>
      <w:r w:rsidRPr="006254AC">
        <w:rPr>
          <w:rFonts w:asciiTheme="majorHAnsi" w:hAnsiTheme="majorHAnsi" w:cstheme="majorHAnsi"/>
          <w:b/>
          <w:bCs/>
          <w:iCs w:val="0"/>
          <w:color w:val="0070C0"/>
          <w:sz w:val="24"/>
          <w:szCs w:val="24"/>
        </w:rPr>
        <w:t xml:space="preserve"> Give sufficient time for reforms or new practices to mature before conducting an assessment of its outcomes [</w:t>
      </w:r>
      <w:r>
        <w:rPr>
          <w:rFonts w:asciiTheme="majorHAnsi" w:hAnsiTheme="majorHAnsi" w:cstheme="majorHAnsi"/>
          <w:b/>
          <w:bCs/>
          <w:iCs w:val="0"/>
          <w:color w:val="0070C0"/>
          <w:sz w:val="24"/>
          <w:szCs w:val="24"/>
        </w:rPr>
        <w:t>DepEd</w:t>
      </w:r>
      <w:r w:rsidRPr="006254AC">
        <w:rPr>
          <w:rFonts w:asciiTheme="majorHAnsi" w:hAnsiTheme="majorHAnsi" w:cstheme="majorHAnsi"/>
          <w:b/>
          <w:bCs/>
          <w:iCs w:val="0"/>
          <w:color w:val="0070C0"/>
          <w:sz w:val="24"/>
          <w:szCs w:val="24"/>
        </w:rPr>
        <w:t>]</w:t>
      </w:r>
    </w:p>
    <w:p w14:paraId="500CC6D8" w14:textId="0F0A0CB9" w:rsidR="008D0CAD" w:rsidRPr="00ED00A0" w:rsidRDefault="008D0CAD" w:rsidP="009443E0">
      <w:pPr>
        <w:spacing w:before="100" w:beforeAutospacing="1" w:after="100" w:afterAutospacing="1" w:line="360" w:lineRule="auto"/>
        <w:rPr>
          <w:rFonts w:asciiTheme="majorHAnsi" w:hAnsiTheme="majorHAnsi" w:cstheme="majorHAnsi"/>
          <w:bCs/>
          <w:iCs/>
          <w:color w:val="000000" w:themeColor="text1"/>
        </w:rPr>
      </w:pPr>
      <w:r>
        <w:rPr>
          <w:rFonts w:asciiTheme="majorHAnsi" w:hAnsiTheme="majorHAnsi" w:cstheme="majorHAnsi"/>
          <w:bCs/>
          <w:iCs/>
        </w:rPr>
        <w:t>At</w:t>
      </w:r>
      <w:r w:rsidRPr="00ED00A0">
        <w:rPr>
          <w:rFonts w:asciiTheme="majorHAnsi" w:hAnsiTheme="majorHAnsi" w:cstheme="majorHAnsi"/>
          <w:bCs/>
          <w:iCs/>
        </w:rPr>
        <w:t xml:space="preserve"> the time of the evaluation, </w:t>
      </w:r>
      <w:r>
        <w:rPr>
          <w:rFonts w:asciiTheme="majorHAnsi" w:hAnsiTheme="majorHAnsi" w:cstheme="majorHAnsi"/>
          <w:bCs/>
          <w:iCs/>
        </w:rPr>
        <w:t>school-level</w:t>
      </w:r>
      <w:r w:rsidRPr="00ED00A0">
        <w:rPr>
          <w:rFonts w:asciiTheme="majorHAnsi" w:hAnsiTheme="majorHAnsi" w:cstheme="majorHAnsi"/>
          <w:bCs/>
          <w:iCs/>
        </w:rPr>
        <w:t xml:space="preserve"> </w:t>
      </w:r>
      <w:r>
        <w:rPr>
          <w:rFonts w:asciiTheme="majorHAnsi" w:hAnsiTheme="majorHAnsi" w:cstheme="majorHAnsi"/>
          <w:bCs/>
          <w:iCs/>
        </w:rPr>
        <w:t>program interventions</w:t>
      </w:r>
      <w:r w:rsidRPr="00ED00A0">
        <w:rPr>
          <w:rFonts w:asciiTheme="majorHAnsi" w:hAnsiTheme="majorHAnsi" w:cstheme="majorHAnsi"/>
          <w:bCs/>
          <w:iCs/>
        </w:rPr>
        <w:t xml:space="preserve"> ha</w:t>
      </w:r>
      <w:r>
        <w:rPr>
          <w:rFonts w:asciiTheme="majorHAnsi" w:hAnsiTheme="majorHAnsi" w:cstheme="majorHAnsi"/>
          <w:bCs/>
          <w:iCs/>
        </w:rPr>
        <w:t>d</w:t>
      </w:r>
      <w:r w:rsidRPr="00ED00A0">
        <w:rPr>
          <w:rFonts w:asciiTheme="majorHAnsi" w:hAnsiTheme="majorHAnsi" w:cstheme="majorHAnsi"/>
          <w:bCs/>
          <w:iCs/>
        </w:rPr>
        <w:t xml:space="preserve"> only been</w:t>
      </w:r>
      <w:r>
        <w:rPr>
          <w:rFonts w:asciiTheme="majorHAnsi" w:hAnsiTheme="majorHAnsi" w:cstheme="majorHAnsi"/>
          <w:bCs/>
          <w:iCs/>
        </w:rPr>
        <w:t xml:space="preserve"> being implemented</w:t>
      </w:r>
      <w:r w:rsidRPr="00ED00A0">
        <w:rPr>
          <w:rFonts w:asciiTheme="majorHAnsi" w:hAnsiTheme="majorHAnsi" w:cstheme="majorHAnsi"/>
          <w:bCs/>
          <w:iCs/>
        </w:rPr>
        <w:t xml:space="preserve"> </w:t>
      </w:r>
      <w:r>
        <w:rPr>
          <w:rFonts w:asciiTheme="majorHAnsi" w:hAnsiTheme="majorHAnsi" w:cstheme="majorHAnsi"/>
          <w:bCs/>
          <w:iCs/>
        </w:rPr>
        <w:t>for about 12 to 18 months</w:t>
      </w:r>
      <w:r w:rsidRPr="00ED00A0">
        <w:rPr>
          <w:rFonts w:asciiTheme="majorHAnsi" w:hAnsiTheme="majorHAnsi" w:cstheme="majorHAnsi"/>
          <w:bCs/>
          <w:iCs/>
        </w:rPr>
        <w:t>.</w:t>
      </w:r>
      <w:r w:rsidR="00D434EB">
        <w:rPr>
          <w:rFonts w:asciiTheme="majorHAnsi" w:hAnsiTheme="majorHAnsi" w:cstheme="majorHAnsi"/>
          <w:bCs/>
          <w:iCs/>
        </w:rPr>
        <w:t xml:space="preserve"> </w:t>
      </w:r>
      <w:r w:rsidRPr="00ED00A0">
        <w:rPr>
          <w:rFonts w:asciiTheme="majorHAnsi" w:hAnsiTheme="majorHAnsi" w:cstheme="majorHAnsi"/>
          <w:bCs/>
          <w:iCs/>
        </w:rPr>
        <w:t>Th</w:t>
      </w:r>
      <w:r>
        <w:rPr>
          <w:rFonts w:asciiTheme="majorHAnsi" w:hAnsiTheme="majorHAnsi" w:cstheme="majorHAnsi"/>
          <w:bCs/>
          <w:iCs/>
        </w:rPr>
        <w:t>e</w:t>
      </w:r>
      <w:r w:rsidRPr="00ED00A0">
        <w:rPr>
          <w:rFonts w:asciiTheme="majorHAnsi" w:hAnsiTheme="majorHAnsi" w:cstheme="majorHAnsi"/>
          <w:bCs/>
          <w:iCs/>
        </w:rPr>
        <w:t xml:space="preserve"> reforms </w:t>
      </w:r>
      <w:r>
        <w:rPr>
          <w:rFonts w:asciiTheme="majorHAnsi" w:hAnsiTheme="majorHAnsi" w:cstheme="majorHAnsi"/>
          <w:bCs/>
          <w:iCs/>
        </w:rPr>
        <w:t>had</w:t>
      </w:r>
      <w:r w:rsidRPr="00ED00A0">
        <w:rPr>
          <w:rFonts w:asciiTheme="majorHAnsi" w:hAnsiTheme="majorHAnsi" w:cstheme="majorHAnsi"/>
          <w:bCs/>
          <w:iCs/>
        </w:rPr>
        <w:t xml:space="preserve"> not </w:t>
      </w:r>
      <w:r>
        <w:rPr>
          <w:rFonts w:asciiTheme="majorHAnsi" w:hAnsiTheme="majorHAnsi" w:cstheme="majorHAnsi"/>
          <w:bCs/>
          <w:iCs/>
        </w:rPr>
        <w:t>had</w:t>
      </w:r>
      <w:r w:rsidRPr="00ED00A0">
        <w:rPr>
          <w:rFonts w:asciiTheme="majorHAnsi" w:hAnsiTheme="majorHAnsi" w:cstheme="majorHAnsi"/>
          <w:bCs/>
          <w:iCs/>
        </w:rPr>
        <w:t xml:space="preserve"> sufficient time to mature. </w:t>
      </w:r>
      <w:r>
        <w:rPr>
          <w:rFonts w:asciiTheme="majorHAnsi" w:hAnsiTheme="majorHAnsi" w:cstheme="majorHAnsi"/>
          <w:bCs/>
          <w:iCs/>
        </w:rPr>
        <w:t xml:space="preserve">The changes in practices had not had time to stick. </w:t>
      </w:r>
      <w:r w:rsidRPr="00ED00A0">
        <w:rPr>
          <w:rFonts w:asciiTheme="majorHAnsi" w:hAnsiTheme="majorHAnsi" w:cstheme="majorHAnsi"/>
          <w:bCs/>
          <w:color w:val="000000" w:themeColor="text1"/>
        </w:rPr>
        <w:t xml:space="preserve">Moreover, the </w:t>
      </w:r>
      <w:r>
        <w:rPr>
          <w:rFonts w:asciiTheme="majorHAnsi" w:hAnsiTheme="majorHAnsi" w:cstheme="majorHAnsi"/>
          <w:bCs/>
          <w:color w:val="000000" w:themeColor="text1"/>
        </w:rPr>
        <w:t>cumulative</w:t>
      </w:r>
      <w:r w:rsidRPr="00ED00A0">
        <w:rPr>
          <w:rFonts w:asciiTheme="majorHAnsi" w:hAnsiTheme="majorHAnsi" w:cstheme="majorHAnsi"/>
          <w:bCs/>
          <w:color w:val="000000" w:themeColor="text1"/>
        </w:rPr>
        <w:t xml:space="preserve"> effects of the various program interventions may be more evident with a longer implementation horizon.</w:t>
      </w:r>
      <w:r w:rsidR="00D434EB">
        <w:rPr>
          <w:rFonts w:asciiTheme="majorHAnsi" w:hAnsiTheme="majorHAnsi" w:cstheme="majorHAnsi"/>
          <w:bCs/>
          <w:color w:val="000000" w:themeColor="text1"/>
        </w:rPr>
        <w:t xml:space="preserve"> </w:t>
      </w:r>
    </w:p>
    <w:p w14:paraId="15353E4A" w14:textId="77777777" w:rsidR="008D0CAD" w:rsidRDefault="008D0CAD" w:rsidP="009443E0">
      <w:pPr>
        <w:spacing w:before="100" w:beforeAutospacing="1" w:after="100" w:afterAutospacing="1" w:line="360" w:lineRule="auto"/>
        <w:rPr>
          <w:rFonts w:asciiTheme="majorHAnsi" w:hAnsiTheme="majorHAnsi" w:cstheme="majorHAnsi"/>
          <w:bCs/>
          <w:color w:val="000000" w:themeColor="text1"/>
        </w:rPr>
      </w:pPr>
      <w:r w:rsidRPr="00ED00A0">
        <w:rPr>
          <w:rFonts w:asciiTheme="majorHAnsi" w:hAnsiTheme="majorHAnsi" w:cstheme="majorHAnsi"/>
          <w:color w:val="000000" w:themeColor="text1"/>
        </w:rPr>
        <w:t xml:space="preserve">While </w:t>
      </w:r>
      <w:r>
        <w:rPr>
          <w:rFonts w:asciiTheme="majorHAnsi" w:hAnsiTheme="majorHAnsi" w:cstheme="majorHAnsi"/>
          <w:color w:val="000000" w:themeColor="text1"/>
        </w:rPr>
        <w:t xml:space="preserve">some additional </w:t>
      </w:r>
      <w:r w:rsidRPr="00ED00A0">
        <w:rPr>
          <w:rFonts w:asciiTheme="majorHAnsi" w:hAnsiTheme="majorHAnsi" w:cstheme="majorHAnsi"/>
          <w:color w:val="000000" w:themeColor="text1"/>
        </w:rPr>
        <w:t xml:space="preserve">gains </w:t>
      </w:r>
      <w:r>
        <w:rPr>
          <w:rFonts w:asciiTheme="majorHAnsi" w:hAnsiTheme="majorHAnsi" w:cstheme="majorHAnsi"/>
          <w:color w:val="000000" w:themeColor="text1"/>
        </w:rPr>
        <w:t>were</w:t>
      </w:r>
      <w:r w:rsidRPr="00ED00A0">
        <w:rPr>
          <w:rFonts w:asciiTheme="majorHAnsi" w:hAnsiTheme="majorHAnsi" w:cstheme="majorHAnsi"/>
          <w:color w:val="000000" w:themeColor="text1"/>
        </w:rPr>
        <w:t xml:space="preserve"> observed in the Follow-up report barely seven months after</w:t>
      </w:r>
      <w:r>
        <w:rPr>
          <w:rFonts w:asciiTheme="majorHAnsi" w:hAnsiTheme="majorHAnsi" w:cstheme="majorHAnsi"/>
          <w:color w:val="000000" w:themeColor="text1"/>
        </w:rPr>
        <w:t xml:space="preserve"> the initial evaluation study,</w:t>
      </w:r>
      <w:r w:rsidRPr="00ED00A0">
        <w:rPr>
          <w:rFonts w:asciiTheme="majorHAnsi" w:hAnsiTheme="majorHAnsi" w:cstheme="majorHAnsi"/>
          <w:color w:val="000000" w:themeColor="text1"/>
        </w:rPr>
        <w:t xml:space="preserve"> </w:t>
      </w:r>
      <w:r>
        <w:rPr>
          <w:rFonts w:asciiTheme="majorHAnsi" w:hAnsiTheme="majorHAnsi" w:cstheme="majorHAnsi"/>
          <w:color w:val="000000" w:themeColor="text1"/>
        </w:rPr>
        <w:t>the</w:t>
      </w:r>
      <w:r w:rsidRPr="00ED00A0">
        <w:rPr>
          <w:rFonts w:asciiTheme="majorHAnsi" w:hAnsiTheme="majorHAnsi" w:cstheme="majorHAnsi"/>
          <w:color w:val="000000" w:themeColor="text1"/>
        </w:rPr>
        <w:t xml:space="preserve"> impact of </w:t>
      </w:r>
      <w:r>
        <w:rPr>
          <w:rFonts w:asciiTheme="majorHAnsi" w:hAnsiTheme="majorHAnsi" w:cstheme="majorHAnsi"/>
          <w:color w:val="000000" w:themeColor="text1"/>
        </w:rPr>
        <w:t xml:space="preserve">the </w:t>
      </w:r>
      <w:r w:rsidRPr="00ED00A0">
        <w:rPr>
          <w:rFonts w:asciiTheme="majorHAnsi" w:hAnsiTheme="majorHAnsi" w:cstheme="majorHAnsi"/>
          <w:color w:val="000000" w:themeColor="text1"/>
        </w:rPr>
        <w:t xml:space="preserve">BEST Program interventions on the student learning outcomes, gender grade differentials and participation </w:t>
      </w:r>
      <w:r>
        <w:rPr>
          <w:rFonts w:asciiTheme="majorHAnsi" w:hAnsiTheme="majorHAnsi" w:cstheme="majorHAnsi"/>
          <w:color w:val="000000" w:themeColor="text1"/>
        </w:rPr>
        <w:t>are still indiscernible</w:t>
      </w:r>
      <w:r w:rsidRPr="00ED00A0">
        <w:rPr>
          <w:rFonts w:asciiTheme="majorHAnsi" w:hAnsiTheme="majorHAnsi" w:cstheme="majorHAnsi"/>
          <w:bCs/>
          <w:color w:val="000000" w:themeColor="text1"/>
        </w:rPr>
        <w:t xml:space="preserve">. </w:t>
      </w:r>
    </w:p>
    <w:p w14:paraId="36A34CFD" w14:textId="0F96D14E" w:rsidR="008D0CAD" w:rsidRDefault="008D0CAD" w:rsidP="009443E0">
      <w:pPr>
        <w:spacing w:before="100" w:beforeAutospacing="1" w:after="100" w:afterAutospacing="1" w:line="360" w:lineRule="auto"/>
        <w:rPr>
          <w:rFonts w:asciiTheme="majorHAnsi" w:hAnsiTheme="majorHAnsi" w:cstheme="majorHAnsi"/>
          <w:bCs/>
          <w:color w:val="000000" w:themeColor="text1"/>
        </w:rPr>
      </w:pPr>
      <w:r>
        <w:rPr>
          <w:rFonts w:asciiTheme="majorHAnsi" w:hAnsiTheme="majorHAnsi" w:cstheme="majorHAnsi"/>
        </w:rPr>
        <w:t xml:space="preserve">Moreover, </w:t>
      </w:r>
      <w:r w:rsidRPr="00ED00A0">
        <w:rPr>
          <w:rFonts w:asciiTheme="majorHAnsi" w:hAnsiTheme="majorHAnsi" w:cstheme="majorHAnsi"/>
        </w:rPr>
        <w:t xml:space="preserve">too many reforms </w:t>
      </w:r>
      <w:r>
        <w:rPr>
          <w:rFonts w:asciiTheme="majorHAnsi" w:hAnsiTheme="majorHAnsi" w:cstheme="majorHAnsi"/>
        </w:rPr>
        <w:t xml:space="preserve">were introduced </w:t>
      </w:r>
      <w:r w:rsidRPr="00ED00A0">
        <w:rPr>
          <w:rFonts w:asciiTheme="majorHAnsi" w:hAnsiTheme="majorHAnsi" w:cstheme="majorHAnsi"/>
        </w:rPr>
        <w:t>all at the same time</w:t>
      </w:r>
      <w:r>
        <w:rPr>
          <w:rFonts w:asciiTheme="majorHAnsi" w:hAnsiTheme="majorHAnsi" w:cstheme="majorHAnsi"/>
        </w:rPr>
        <w:t xml:space="preserve"> with more or less the same set of beneficiaries</w:t>
      </w:r>
      <w:r w:rsidRPr="00ED00A0">
        <w:rPr>
          <w:rFonts w:asciiTheme="majorHAnsi" w:hAnsiTheme="majorHAnsi" w:cstheme="majorHAnsi"/>
        </w:rPr>
        <w:t>.</w:t>
      </w:r>
      <w:r w:rsidR="00D434EB">
        <w:rPr>
          <w:rFonts w:asciiTheme="majorHAnsi" w:hAnsiTheme="majorHAnsi" w:cstheme="majorHAnsi"/>
        </w:rPr>
        <w:t xml:space="preserve"> </w:t>
      </w:r>
      <w:r>
        <w:rPr>
          <w:rFonts w:asciiTheme="majorHAnsi" w:hAnsiTheme="majorHAnsi" w:cstheme="majorHAnsi"/>
        </w:rPr>
        <w:t>This compounded the problems encountered such as the significant reduction in teachers’ contact time with students. Each reform should be given enough time to</w:t>
      </w:r>
      <w:r w:rsidRPr="00F42C90">
        <w:rPr>
          <w:rFonts w:asciiTheme="majorHAnsi" w:hAnsiTheme="majorHAnsi" w:cstheme="majorHAnsi"/>
          <w:bCs/>
          <w:color w:val="000000" w:themeColor="text1"/>
        </w:rPr>
        <w:t xml:space="preserve"> </w:t>
      </w:r>
      <w:r w:rsidRPr="00ED00A0">
        <w:rPr>
          <w:rFonts w:asciiTheme="majorHAnsi" w:hAnsiTheme="majorHAnsi" w:cstheme="majorHAnsi"/>
          <w:bCs/>
          <w:color w:val="000000" w:themeColor="text1"/>
        </w:rPr>
        <w:t>becom</w:t>
      </w:r>
      <w:r>
        <w:rPr>
          <w:rFonts w:asciiTheme="majorHAnsi" w:hAnsiTheme="majorHAnsi" w:cstheme="majorHAnsi"/>
          <w:bCs/>
          <w:color w:val="000000" w:themeColor="text1"/>
        </w:rPr>
        <w:t>e</w:t>
      </w:r>
      <w:r w:rsidRPr="00ED00A0">
        <w:rPr>
          <w:rFonts w:asciiTheme="majorHAnsi" w:hAnsiTheme="majorHAnsi" w:cstheme="majorHAnsi"/>
          <w:bCs/>
          <w:color w:val="000000" w:themeColor="text1"/>
        </w:rPr>
        <w:t xml:space="preserve"> “</w:t>
      </w:r>
      <w:r w:rsidRPr="00ED00A0">
        <w:rPr>
          <w:rFonts w:asciiTheme="majorHAnsi" w:hAnsiTheme="majorHAnsi" w:cstheme="majorHAnsi"/>
          <w:bCs/>
          <w:i/>
          <w:iCs/>
          <w:color w:val="000000" w:themeColor="text1"/>
        </w:rPr>
        <w:t>embedded</w:t>
      </w:r>
      <w:r w:rsidRPr="00ED00A0">
        <w:rPr>
          <w:rFonts w:asciiTheme="majorHAnsi" w:hAnsiTheme="majorHAnsi" w:cstheme="majorHAnsi"/>
          <w:bCs/>
          <w:color w:val="000000" w:themeColor="text1"/>
        </w:rPr>
        <w:t xml:space="preserve">” in the regular activities of the </w:t>
      </w:r>
      <w:r>
        <w:rPr>
          <w:rFonts w:asciiTheme="majorHAnsi" w:hAnsiTheme="majorHAnsi" w:cstheme="majorHAnsi"/>
          <w:bCs/>
          <w:color w:val="000000" w:themeColor="text1"/>
        </w:rPr>
        <w:t xml:space="preserve">field units or the </w:t>
      </w:r>
      <w:r w:rsidRPr="00ED00A0">
        <w:rPr>
          <w:rFonts w:asciiTheme="majorHAnsi" w:hAnsiTheme="majorHAnsi" w:cstheme="majorHAnsi"/>
          <w:bCs/>
          <w:color w:val="000000" w:themeColor="text1"/>
        </w:rPr>
        <w:t>school</w:t>
      </w:r>
      <w:r>
        <w:rPr>
          <w:rFonts w:asciiTheme="majorHAnsi" w:hAnsiTheme="majorHAnsi" w:cstheme="majorHAnsi"/>
          <w:bCs/>
          <w:color w:val="000000" w:themeColor="text1"/>
        </w:rPr>
        <w:t>s</w:t>
      </w:r>
      <w:r w:rsidRPr="00ED00A0">
        <w:rPr>
          <w:rFonts w:asciiTheme="majorHAnsi" w:hAnsiTheme="majorHAnsi" w:cstheme="majorHAnsi"/>
          <w:bCs/>
          <w:color w:val="000000" w:themeColor="text1"/>
        </w:rPr>
        <w:t>.</w:t>
      </w:r>
    </w:p>
    <w:p w14:paraId="31CD50EA" w14:textId="27E84460" w:rsidR="008D0CAD" w:rsidRPr="006254AC" w:rsidRDefault="008D0CAD" w:rsidP="009443E0">
      <w:pPr>
        <w:pStyle w:val="Caption"/>
        <w:spacing w:before="100" w:beforeAutospacing="1" w:after="100" w:afterAutospacing="1" w:line="360" w:lineRule="auto"/>
        <w:rPr>
          <w:rFonts w:asciiTheme="majorHAnsi" w:hAnsiTheme="majorHAnsi" w:cstheme="majorHAnsi"/>
          <w:b/>
          <w:color w:val="0070C0"/>
          <w:sz w:val="24"/>
          <w:szCs w:val="24"/>
        </w:rPr>
      </w:pPr>
      <w:r w:rsidRPr="006254AC">
        <w:rPr>
          <w:rFonts w:asciiTheme="majorHAnsi" w:hAnsiTheme="majorHAnsi" w:cstheme="majorHAnsi"/>
          <w:b/>
          <w:color w:val="0070C0"/>
          <w:sz w:val="24"/>
          <w:szCs w:val="24"/>
        </w:rPr>
        <w:t>Implication No.</w:t>
      </w:r>
      <w:r w:rsidR="00D434EB">
        <w:rPr>
          <w:rFonts w:asciiTheme="majorHAnsi" w:hAnsiTheme="majorHAnsi" w:cstheme="majorHAnsi"/>
          <w:b/>
          <w:color w:val="0070C0"/>
          <w:sz w:val="24"/>
          <w:szCs w:val="24"/>
        </w:rPr>
        <w:t xml:space="preserve"> </w:t>
      </w:r>
      <w:r w:rsidRPr="006254AC">
        <w:rPr>
          <w:rFonts w:asciiTheme="majorHAnsi" w:hAnsiTheme="majorHAnsi" w:cstheme="majorHAnsi"/>
          <w:b/>
          <w:color w:val="0070C0"/>
          <w:sz w:val="24"/>
          <w:szCs w:val="24"/>
        </w:rPr>
        <w:fldChar w:fldCharType="begin"/>
      </w:r>
      <w:r w:rsidRPr="006254AC">
        <w:rPr>
          <w:rFonts w:asciiTheme="majorHAnsi" w:hAnsiTheme="majorHAnsi" w:cstheme="majorHAnsi"/>
          <w:b/>
          <w:color w:val="0070C0"/>
          <w:sz w:val="24"/>
          <w:szCs w:val="24"/>
        </w:rPr>
        <w:instrText xml:space="preserve"> SEQ Implication_No._ \* ARABIC </w:instrText>
      </w:r>
      <w:r w:rsidRPr="006254AC">
        <w:rPr>
          <w:rFonts w:asciiTheme="majorHAnsi" w:hAnsiTheme="majorHAnsi" w:cstheme="majorHAnsi"/>
          <w:b/>
          <w:color w:val="0070C0"/>
          <w:sz w:val="24"/>
          <w:szCs w:val="24"/>
        </w:rPr>
        <w:fldChar w:fldCharType="separate"/>
      </w:r>
      <w:r w:rsidR="00D6133D">
        <w:rPr>
          <w:rFonts w:asciiTheme="majorHAnsi" w:hAnsiTheme="majorHAnsi" w:cstheme="majorHAnsi"/>
          <w:b/>
          <w:noProof/>
          <w:color w:val="0070C0"/>
          <w:sz w:val="24"/>
          <w:szCs w:val="24"/>
        </w:rPr>
        <w:t>5</w:t>
      </w:r>
      <w:r w:rsidRPr="006254AC">
        <w:rPr>
          <w:rFonts w:asciiTheme="majorHAnsi" w:hAnsiTheme="majorHAnsi" w:cstheme="majorHAnsi"/>
          <w:b/>
          <w:color w:val="0070C0"/>
          <w:sz w:val="24"/>
          <w:szCs w:val="24"/>
        </w:rPr>
        <w:fldChar w:fldCharType="end"/>
      </w:r>
      <w:r w:rsidRPr="006254AC">
        <w:rPr>
          <w:rFonts w:asciiTheme="majorHAnsi" w:hAnsiTheme="majorHAnsi" w:cstheme="majorHAnsi"/>
          <w:b/>
          <w:color w:val="0070C0"/>
          <w:sz w:val="24"/>
          <w:szCs w:val="24"/>
        </w:rPr>
        <w:t>:</w:t>
      </w:r>
      <w:r w:rsidRPr="006254AC">
        <w:rPr>
          <w:rFonts w:asciiTheme="majorHAnsi" w:hAnsiTheme="majorHAnsi" w:cstheme="majorHAnsi"/>
          <w:b/>
          <w:bCs/>
          <w:iCs w:val="0"/>
          <w:color w:val="0070C0"/>
          <w:sz w:val="24"/>
          <w:szCs w:val="24"/>
        </w:rPr>
        <w:t xml:space="preserve"> Focus on responding to the barriers to the acceptability, access and sustainability of the reforms [</w:t>
      </w:r>
      <w:r>
        <w:rPr>
          <w:rFonts w:asciiTheme="majorHAnsi" w:hAnsiTheme="majorHAnsi" w:cstheme="majorHAnsi"/>
          <w:b/>
          <w:bCs/>
          <w:iCs w:val="0"/>
          <w:color w:val="0070C0"/>
          <w:sz w:val="24"/>
          <w:szCs w:val="24"/>
        </w:rPr>
        <w:t>DepEd</w:t>
      </w:r>
      <w:r w:rsidRPr="006254AC">
        <w:rPr>
          <w:rFonts w:asciiTheme="majorHAnsi" w:hAnsiTheme="majorHAnsi" w:cstheme="majorHAnsi"/>
          <w:b/>
          <w:bCs/>
          <w:iCs w:val="0"/>
          <w:color w:val="0070C0"/>
          <w:sz w:val="24"/>
          <w:szCs w:val="24"/>
        </w:rPr>
        <w:t>]</w:t>
      </w:r>
    </w:p>
    <w:p w14:paraId="2CA5F408" w14:textId="5EAB6CE3" w:rsidR="008D0CAD" w:rsidRDefault="008D0CAD" w:rsidP="009443E0">
      <w:pPr>
        <w:spacing w:before="100" w:beforeAutospacing="1" w:after="100" w:afterAutospacing="1" w:line="360" w:lineRule="auto"/>
        <w:rPr>
          <w:rFonts w:asciiTheme="majorHAnsi" w:hAnsiTheme="majorHAnsi" w:cstheme="majorHAnsi"/>
          <w:bCs/>
          <w:iCs/>
          <w:color w:val="000000" w:themeColor="text1"/>
        </w:rPr>
      </w:pPr>
      <w:r>
        <w:rPr>
          <w:rFonts w:asciiTheme="majorHAnsi" w:hAnsiTheme="majorHAnsi" w:cstheme="majorHAnsi"/>
          <w:bCs/>
          <w:iCs/>
          <w:color w:val="000000" w:themeColor="text1"/>
        </w:rPr>
        <w:t>The basic education reforms introduced in the last five years generally aimed to raise education standards to international levels. And yet, the field data gathering showed schools experiencing significant challenges implementing the reforms introduced with support from the Program.</w:t>
      </w:r>
    </w:p>
    <w:p w14:paraId="758F9445" w14:textId="1493E2B5" w:rsidR="008D0CAD" w:rsidRPr="009C0BE0" w:rsidRDefault="008D0CAD" w:rsidP="009443E0">
      <w:pPr>
        <w:pStyle w:val="Caption"/>
        <w:spacing w:before="100" w:beforeAutospacing="1" w:after="100" w:afterAutospacing="1" w:line="360" w:lineRule="auto"/>
        <w:rPr>
          <w:rFonts w:asciiTheme="majorHAnsi" w:hAnsiTheme="majorHAnsi" w:cstheme="majorHAnsi"/>
          <w:i w:val="0"/>
          <w:iCs w:val="0"/>
          <w:color w:val="000000"/>
          <w:sz w:val="24"/>
          <w:szCs w:val="24"/>
        </w:rPr>
      </w:pPr>
      <w:r w:rsidRPr="00E1010D">
        <w:rPr>
          <w:rFonts w:asciiTheme="majorHAnsi" w:hAnsiTheme="majorHAnsi" w:cstheme="majorHAnsi"/>
          <w:i w:val="0"/>
          <w:iCs w:val="0"/>
          <w:color w:val="000000"/>
          <w:sz w:val="24"/>
          <w:szCs w:val="24"/>
        </w:rPr>
        <w:t>Th</w:t>
      </w:r>
      <w:r w:rsidRPr="009C0BE0">
        <w:rPr>
          <w:rFonts w:asciiTheme="majorHAnsi" w:hAnsiTheme="majorHAnsi" w:cstheme="majorHAnsi"/>
          <w:i w:val="0"/>
          <w:iCs w:val="0"/>
          <w:color w:val="000000"/>
          <w:sz w:val="24"/>
          <w:szCs w:val="24"/>
        </w:rPr>
        <w:t>e simple</w:t>
      </w:r>
      <w:r>
        <w:rPr>
          <w:rFonts w:asciiTheme="majorHAnsi" w:hAnsiTheme="majorHAnsi" w:cstheme="majorHAnsi"/>
          <w:i w:val="0"/>
          <w:iCs w:val="0"/>
          <w:color w:val="000000"/>
          <w:sz w:val="24"/>
          <w:szCs w:val="24"/>
        </w:rPr>
        <w:t>r implementation challenges</w:t>
      </w:r>
      <w:r w:rsidRPr="009C0BE0">
        <w:rPr>
          <w:rFonts w:asciiTheme="majorHAnsi" w:hAnsiTheme="majorHAnsi" w:cstheme="majorHAnsi"/>
          <w:i w:val="0"/>
          <w:iCs w:val="0"/>
          <w:color w:val="000000"/>
          <w:sz w:val="24"/>
          <w:szCs w:val="24"/>
        </w:rPr>
        <w:t xml:space="preserve"> </w:t>
      </w:r>
      <w:r w:rsidRPr="00E1010D">
        <w:rPr>
          <w:rFonts w:asciiTheme="majorHAnsi" w:hAnsiTheme="majorHAnsi" w:cstheme="majorHAnsi"/>
          <w:i w:val="0"/>
          <w:iCs w:val="0"/>
          <w:color w:val="000000"/>
          <w:sz w:val="24"/>
          <w:szCs w:val="24"/>
        </w:rPr>
        <w:t xml:space="preserve">include </w:t>
      </w:r>
      <w:r>
        <w:rPr>
          <w:rFonts w:asciiTheme="majorHAnsi" w:hAnsiTheme="majorHAnsi" w:cstheme="majorHAnsi"/>
          <w:i w:val="0"/>
          <w:iCs w:val="0"/>
          <w:color w:val="000000"/>
          <w:sz w:val="24"/>
          <w:szCs w:val="24"/>
        </w:rPr>
        <w:t>limited</w:t>
      </w:r>
      <w:r w:rsidRPr="00E1010D">
        <w:rPr>
          <w:rFonts w:asciiTheme="majorHAnsi" w:hAnsiTheme="majorHAnsi" w:cstheme="majorHAnsi"/>
          <w:i w:val="0"/>
          <w:iCs w:val="0"/>
          <w:color w:val="000000"/>
          <w:sz w:val="24"/>
          <w:szCs w:val="24"/>
        </w:rPr>
        <w:t xml:space="preserve"> dissemination of key outputs such as </w:t>
      </w:r>
      <w:r>
        <w:rPr>
          <w:rFonts w:asciiTheme="majorHAnsi" w:hAnsiTheme="majorHAnsi" w:cstheme="majorHAnsi"/>
          <w:i w:val="0"/>
          <w:iCs w:val="0"/>
          <w:color w:val="000000"/>
          <w:sz w:val="24"/>
          <w:szCs w:val="24"/>
        </w:rPr>
        <w:t>Classroom Assessment Resource Book (</w:t>
      </w:r>
      <w:r w:rsidRPr="00E1010D">
        <w:rPr>
          <w:rFonts w:asciiTheme="majorHAnsi" w:hAnsiTheme="majorHAnsi" w:cstheme="majorHAnsi"/>
          <w:i w:val="0"/>
          <w:iCs w:val="0"/>
          <w:color w:val="000000"/>
          <w:sz w:val="24"/>
          <w:szCs w:val="24"/>
        </w:rPr>
        <w:t>CARB</w:t>
      </w:r>
      <w:r>
        <w:rPr>
          <w:rFonts w:asciiTheme="majorHAnsi" w:hAnsiTheme="majorHAnsi" w:cstheme="majorHAnsi"/>
          <w:i w:val="0"/>
          <w:iCs w:val="0"/>
          <w:color w:val="000000"/>
          <w:sz w:val="24"/>
          <w:szCs w:val="24"/>
        </w:rPr>
        <w:t>)</w:t>
      </w:r>
      <w:r w:rsidRPr="009C0BE0">
        <w:rPr>
          <w:rFonts w:asciiTheme="majorHAnsi" w:hAnsiTheme="majorHAnsi" w:cstheme="majorHAnsi"/>
          <w:i w:val="0"/>
          <w:iCs w:val="0"/>
          <w:color w:val="000000"/>
          <w:sz w:val="24"/>
          <w:szCs w:val="24"/>
        </w:rPr>
        <w:t xml:space="preserve">, </w:t>
      </w:r>
      <w:r w:rsidRPr="00E1010D">
        <w:rPr>
          <w:rFonts w:asciiTheme="majorHAnsi" w:hAnsiTheme="majorHAnsi" w:cstheme="majorHAnsi"/>
          <w:i w:val="0"/>
          <w:iCs w:val="0"/>
          <w:color w:val="000000"/>
          <w:sz w:val="24"/>
          <w:szCs w:val="24"/>
        </w:rPr>
        <w:t xml:space="preserve">the </w:t>
      </w:r>
      <w:r w:rsidRPr="009C0BE0">
        <w:rPr>
          <w:rFonts w:asciiTheme="majorHAnsi" w:hAnsiTheme="majorHAnsi" w:cstheme="majorHAnsi"/>
          <w:i w:val="0"/>
          <w:iCs w:val="0"/>
          <w:color w:val="000000"/>
          <w:sz w:val="24"/>
          <w:szCs w:val="24"/>
        </w:rPr>
        <w:t xml:space="preserve">various </w:t>
      </w:r>
      <w:r w:rsidRPr="00E1010D">
        <w:rPr>
          <w:rFonts w:asciiTheme="majorHAnsi" w:hAnsiTheme="majorHAnsi" w:cstheme="majorHAnsi"/>
          <w:i w:val="0"/>
          <w:iCs w:val="0"/>
          <w:color w:val="000000"/>
          <w:sz w:val="24"/>
          <w:szCs w:val="24"/>
        </w:rPr>
        <w:t>toolkits</w:t>
      </w:r>
      <w:r w:rsidRPr="009C0BE0">
        <w:rPr>
          <w:rFonts w:asciiTheme="majorHAnsi" w:hAnsiTheme="majorHAnsi" w:cstheme="majorHAnsi"/>
          <w:i w:val="0"/>
          <w:iCs w:val="0"/>
          <w:color w:val="000000"/>
          <w:sz w:val="24"/>
          <w:szCs w:val="24"/>
        </w:rPr>
        <w:t xml:space="preserve"> and the I</w:t>
      </w:r>
      <w:r>
        <w:rPr>
          <w:rFonts w:asciiTheme="majorHAnsi" w:hAnsiTheme="majorHAnsi" w:cstheme="majorHAnsi"/>
          <w:i w:val="0"/>
          <w:iCs w:val="0"/>
          <w:color w:val="000000"/>
          <w:sz w:val="24"/>
          <w:szCs w:val="24"/>
        </w:rPr>
        <w:t xml:space="preserve">nclusive </w:t>
      </w:r>
      <w:r w:rsidRPr="009C0BE0">
        <w:rPr>
          <w:rFonts w:asciiTheme="majorHAnsi" w:hAnsiTheme="majorHAnsi" w:cstheme="majorHAnsi"/>
          <w:i w:val="0"/>
          <w:iCs w:val="0"/>
          <w:color w:val="000000"/>
          <w:sz w:val="24"/>
          <w:szCs w:val="24"/>
        </w:rPr>
        <w:t>E</w:t>
      </w:r>
      <w:r>
        <w:rPr>
          <w:rFonts w:asciiTheme="majorHAnsi" w:hAnsiTheme="majorHAnsi" w:cstheme="majorHAnsi"/>
          <w:i w:val="0"/>
          <w:iCs w:val="0"/>
          <w:color w:val="000000"/>
          <w:sz w:val="24"/>
          <w:szCs w:val="24"/>
        </w:rPr>
        <w:t>ducation</w:t>
      </w:r>
      <w:r w:rsidRPr="009C0BE0">
        <w:rPr>
          <w:rFonts w:asciiTheme="majorHAnsi" w:hAnsiTheme="majorHAnsi" w:cstheme="majorHAnsi"/>
          <w:i w:val="0"/>
          <w:iCs w:val="0"/>
          <w:color w:val="000000"/>
          <w:sz w:val="24"/>
          <w:szCs w:val="24"/>
        </w:rPr>
        <w:t xml:space="preserve"> teaching resources</w:t>
      </w:r>
      <w:r w:rsidRPr="00E1010D">
        <w:rPr>
          <w:rFonts w:asciiTheme="majorHAnsi" w:hAnsiTheme="majorHAnsi" w:cstheme="majorHAnsi"/>
          <w:i w:val="0"/>
          <w:iCs w:val="0"/>
          <w:color w:val="000000"/>
          <w:sz w:val="24"/>
          <w:szCs w:val="24"/>
        </w:rPr>
        <w:t xml:space="preserve">. </w:t>
      </w:r>
      <w:r>
        <w:rPr>
          <w:rFonts w:asciiTheme="majorHAnsi" w:hAnsiTheme="majorHAnsi" w:cstheme="majorHAnsi"/>
          <w:i w:val="0"/>
          <w:iCs w:val="0"/>
          <w:color w:val="000000"/>
          <w:sz w:val="24"/>
          <w:szCs w:val="24"/>
        </w:rPr>
        <w:t>The r</w:t>
      </w:r>
      <w:r w:rsidRPr="009C0BE0">
        <w:rPr>
          <w:rFonts w:asciiTheme="majorHAnsi" w:hAnsiTheme="majorHAnsi" w:cstheme="majorHAnsi"/>
          <w:i w:val="0"/>
          <w:iCs w:val="0"/>
          <w:color w:val="000000"/>
          <w:sz w:val="24"/>
          <w:szCs w:val="24"/>
        </w:rPr>
        <w:t xml:space="preserve">eturn on investment on the BEST Program would </w:t>
      </w:r>
      <w:r>
        <w:rPr>
          <w:rFonts w:asciiTheme="majorHAnsi" w:hAnsiTheme="majorHAnsi" w:cstheme="majorHAnsi"/>
          <w:i w:val="0"/>
          <w:iCs w:val="0"/>
          <w:color w:val="000000"/>
          <w:sz w:val="24"/>
          <w:szCs w:val="24"/>
        </w:rPr>
        <w:t xml:space="preserve">have </w:t>
      </w:r>
      <w:r w:rsidRPr="009C0BE0">
        <w:rPr>
          <w:rFonts w:asciiTheme="majorHAnsi" w:hAnsiTheme="majorHAnsi" w:cstheme="majorHAnsi"/>
          <w:i w:val="0"/>
          <w:iCs w:val="0"/>
          <w:color w:val="000000"/>
          <w:sz w:val="24"/>
          <w:szCs w:val="24"/>
        </w:rPr>
        <w:t>significantly improve</w:t>
      </w:r>
      <w:r>
        <w:rPr>
          <w:rFonts w:asciiTheme="majorHAnsi" w:hAnsiTheme="majorHAnsi" w:cstheme="majorHAnsi"/>
          <w:i w:val="0"/>
          <w:iCs w:val="0"/>
          <w:color w:val="000000"/>
          <w:sz w:val="24"/>
          <w:szCs w:val="24"/>
        </w:rPr>
        <w:t>d</w:t>
      </w:r>
      <w:r w:rsidRPr="009C0BE0">
        <w:rPr>
          <w:rFonts w:asciiTheme="majorHAnsi" w:hAnsiTheme="majorHAnsi" w:cstheme="majorHAnsi"/>
          <w:i w:val="0"/>
          <w:iCs w:val="0"/>
          <w:color w:val="000000"/>
          <w:sz w:val="24"/>
          <w:szCs w:val="24"/>
        </w:rPr>
        <w:t xml:space="preserve"> with the full utili</w:t>
      </w:r>
      <w:r>
        <w:rPr>
          <w:rFonts w:asciiTheme="majorHAnsi" w:hAnsiTheme="majorHAnsi" w:cstheme="majorHAnsi"/>
          <w:i w:val="0"/>
          <w:iCs w:val="0"/>
          <w:color w:val="000000"/>
          <w:sz w:val="24"/>
          <w:szCs w:val="24"/>
        </w:rPr>
        <w:t>s</w:t>
      </w:r>
      <w:r w:rsidRPr="009C0BE0">
        <w:rPr>
          <w:rFonts w:asciiTheme="majorHAnsi" w:hAnsiTheme="majorHAnsi" w:cstheme="majorHAnsi"/>
          <w:i w:val="0"/>
          <w:iCs w:val="0"/>
          <w:color w:val="000000"/>
          <w:sz w:val="24"/>
          <w:szCs w:val="24"/>
        </w:rPr>
        <w:t xml:space="preserve">ation of these materials by the schools. The </w:t>
      </w:r>
      <w:r w:rsidRPr="009C0BE0">
        <w:rPr>
          <w:rFonts w:asciiTheme="majorHAnsi" w:hAnsiTheme="majorHAnsi" w:cstheme="majorHAnsi"/>
          <w:bCs/>
          <w:i w:val="0"/>
          <w:iCs w:val="0"/>
          <w:color w:val="000000" w:themeColor="text1"/>
          <w:sz w:val="24"/>
          <w:szCs w:val="24"/>
        </w:rPr>
        <w:t xml:space="preserve">physical access of teachers to teaching and learning materials and tools </w:t>
      </w:r>
      <w:r>
        <w:rPr>
          <w:rFonts w:asciiTheme="majorHAnsi" w:hAnsiTheme="majorHAnsi" w:cstheme="majorHAnsi"/>
          <w:bCs/>
          <w:i w:val="0"/>
          <w:iCs w:val="0"/>
          <w:color w:val="000000" w:themeColor="text1"/>
          <w:sz w:val="24"/>
          <w:szCs w:val="24"/>
        </w:rPr>
        <w:t>could be the easiest</w:t>
      </w:r>
      <w:r w:rsidRPr="009C0BE0">
        <w:rPr>
          <w:rFonts w:asciiTheme="majorHAnsi" w:hAnsiTheme="majorHAnsi" w:cstheme="majorHAnsi"/>
          <w:bCs/>
          <w:i w:val="0"/>
          <w:iCs w:val="0"/>
          <w:color w:val="000000" w:themeColor="text1"/>
          <w:sz w:val="24"/>
          <w:szCs w:val="24"/>
        </w:rPr>
        <w:t xml:space="preserve"> </w:t>
      </w:r>
      <w:r>
        <w:rPr>
          <w:rFonts w:asciiTheme="majorHAnsi" w:hAnsiTheme="majorHAnsi" w:cstheme="majorHAnsi"/>
          <w:bCs/>
          <w:i w:val="0"/>
          <w:iCs w:val="0"/>
          <w:color w:val="000000" w:themeColor="text1"/>
          <w:sz w:val="24"/>
          <w:szCs w:val="24"/>
        </w:rPr>
        <w:t>to address</w:t>
      </w:r>
      <w:r w:rsidRPr="009C0BE0">
        <w:rPr>
          <w:rFonts w:asciiTheme="majorHAnsi" w:hAnsiTheme="majorHAnsi" w:cstheme="majorHAnsi"/>
          <w:bCs/>
          <w:i w:val="0"/>
          <w:iCs w:val="0"/>
          <w:color w:val="000000" w:themeColor="text1"/>
          <w:sz w:val="24"/>
          <w:szCs w:val="24"/>
        </w:rPr>
        <w:t>.</w:t>
      </w:r>
      <w:r w:rsidR="00D434EB">
        <w:rPr>
          <w:rFonts w:asciiTheme="majorHAnsi" w:hAnsiTheme="majorHAnsi" w:cstheme="majorHAnsi"/>
          <w:bCs/>
          <w:i w:val="0"/>
          <w:iCs w:val="0"/>
          <w:color w:val="000000" w:themeColor="text1"/>
          <w:sz w:val="24"/>
          <w:szCs w:val="24"/>
        </w:rPr>
        <w:t xml:space="preserve"> </w:t>
      </w:r>
      <w:r w:rsidRPr="009C0BE0">
        <w:rPr>
          <w:rFonts w:asciiTheme="majorHAnsi" w:hAnsiTheme="majorHAnsi" w:cstheme="majorHAnsi"/>
          <w:bCs/>
          <w:i w:val="0"/>
          <w:iCs w:val="0"/>
          <w:color w:val="000000" w:themeColor="text1"/>
          <w:sz w:val="24"/>
          <w:szCs w:val="24"/>
        </w:rPr>
        <w:t xml:space="preserve">This </w:t>
      </w:r>
      <w:r w:rsidRPr="009C0BE0">
        <w:rPr>
          <w:rFonts w:asciiTheme="majorHAnsi" w:hAnsiTheme="majorHAnsi" w:cstheme="majorHAnsi"/>
          <w:i w:val="0"/>
          <w:iCs w:val="0"/>
          <w:color w:val="000000" w:themeColor="text1"/>
          <w:sz w:val="24"/>
          <w:szCs w:val="24"/>
        </w:rPr>
        <w:t xml:space="preserve">means </w:t>
      </w:r>
      <w:r>
        <w:rPr>
          <w:rFonts w:asciiTheme="majorHAnsi" w:hAnsiTheme="majorHAnsi" w:cstheme="majorHAnsi"/>
          <w:i w:val="0"/>
          <w:iCs w:val="0"/>
          <w:color w:val="000000" w:themeColor="text1"/>
          <w:sz w:val="24"/>
          <w:szCs w:val="24"/>
        </w:rPr>
        <w:t>providing teachers with</w:t>
      </w:r>
      <w:r w:rsidRPr="009C0BE0">
        <w:rPr>
          <w:rFonts w:asciiTheme="majorHAnsi" w:hAnsiTheme="majorHAnsi" w:cstheme="majorHAnsi"/>
          <w:i w:val="0"/>
          <w:iCs w:val="0"/>
          <w:color w:val="000000" w:themeColor="text1"/>
          <w:sz w:val="24"/>
          <w:szCs w:val="24"/>
        </w:rPr>
        <w:t xml:space="preserve"> quality learning materials right “</w:t>
      </w:r>
      <w:r w:rsidRPr="009C0BE0">
        <w:rPr>
          <w:rFonts w:asciiTheme="majorHAnsi" w:hAnsiTheme="majorHAnsi" w:cstheme="majorHAnsi"/>
          <w:color w:val="000000" w:themeColor="text1"/>
          <w:sz w:val="24"/>
          <w:szCs w:val="24"/>
        </w:rPr>
        <w:t>at their doorsteps</w:t>
      </w:r>
      <w:r w:rsidRPr="009C0BE0">
        <w:rPr>
          <w:rFonts w:asciiTheme="majorHAnsi" w:hAnsiTheme="majorHAnsi" w:cstheme="majorHAnsi"/>
          <w:i w:val="0"/>
          <w:iCs w:val="0"/>
          <w:color w:val="000000" w:themeColor="text1"/>
          <w:sz w:val="24"/>
          <w:szCs w:val="24"/>
        </w:rPr>
        <w:t>” without asking them to pay for those materials (which they do when they still have to go to the internet cafe to download them</w:t>
      </w:r>
      <w:r>
        <w:rPr>
          <w:rFonts w:asciiTheme="majorHAnsi" w:hAnsiTheme="majorHAnsi" w:cstheme="majorHAnsi"/>
          <w:i w:val="0"/>
          <w:iCs w:val="0"/>
          <w:color w:val="000000" w:themeColor="text1"/>
          <w:sz w:val="24"/>
          <w:szCs w:val="24"/>
        </w:rPr>
        <w:t xml:space="preserve"> these materials and print them</w:t>
      </w:r>
      <w:r w:rsidRPr="009C0BE0">
        <w:rPr>
          <w:rFonts w:asciiTheme="majorHAnsi" w:hAnsiTheme="majorHAnsi" w:cstheme="majorHAnsi"/>
          <w:i w:val="0"/>
          <w:iCs w:val="0"/>
          <w:color w:val="000000" w:themeColor="text1"/>
          <w:sz w:val="24"/>
          <w:szCs w:val="24"/>
        </w:rPr>
        <w:t>).</w:t>
      </w:r>
    </w:p>
    <w:p w14:paraId="20381234" w14:textId="086CE657" w:rsidR="008D0CAD" w:rsidRDefault="008D0CAD" w:rsidP="009443E0">
      <w:pPr>
        <w:spacing w:before="100" w:beforeAutospacing="1" w:after="100" w:afterAutospacing="1" w:line="360" w:lineRule="auto"/>
        <w:rPr>
          <w:rFonts w:asciiTheme="majorHAnsi" w:hAnsiTheme="majorHAnsi" w:cstheme="majorHAnsi"/>
          <w:bCs/>
          <w:iCs/>
          <w:color w:val="000000" w:themeColor="text1"/>
        </w:rPr>
      </w:pPr>
      <w:r w:rsidRPr="009C0BE0">
        <w:rPr>
          <w:rFonts w:asciiTheme="majorHAnsi" w:hAnsiTheme="majorHAnsi" w:cstheme="majorHAnsi"/>
          <w:bCs/>
          <w:iCs/>
          <w:color w:val="000000" w:themeColor="text1"/>
        </w:rPr>
        <w:t>The more challenging barriers to the BEST Program-assisted reforms at the school-level include: the inadequate number of functioning computers despite the</w:t>
      </w:r>
      <w:r>
        <w:rPr>
          <w:rFonts w:asciiTheme="majorHAnsi" w:hAnsiTheme="majorHAnsi" w:cstheme="majorHAnsi"/>
          <w:bCs/>
          <w:iCs/>
          <w:color w:val="000000" w:themeColor="text1"/>
        </w:rPr>
        <w:t xml:space="preserve"> DepEd Computerization Program</w:t>
      </w:r>
      <w:r w:rsidRPr="009C0BE0">
        <w:rPr>
          <w:rFonts w:asciiTheme="majorHAnsi" w:hAnsiTheme="majorHAnsi" w:cstheme="majorHAnsi"/>
          <w:bCs/>
          <w:iCs/>
          <w:color w:val="000000" w:themeColor="text1"/>
        </w:rPr>
        <w:t xml:space="preserve"> </w:t>
      </w:r>
      <w:r>
        <w:rPr>
          <w:rFonts w:asciiTheme="majorHAnsi" w:hAnsiTheme="majorHAnsi" w:cstheme="majorHAnsi"/>
          <w:bCs/>
          <w:iCs/>
          <w:color w:val="000000" w:themeColor="text1"/>
        </w:rPr>
        <w:t>(</w:t>
      </w:r>
      <w:r w:rsidRPr="009C0BE0">
        <w:rPr>
          <w:rFonts w:asciiTheme="majorHAnsi" w:hAnsiTheme="majorHAnsi" w:cstheme="majorHAnsi"/>
          <w:bCs/>
          <w:iCs/>
          <w:color w:val="000000" w:themeColor="text1"/>
        </w:rPr>
        <w:t>DCP</w:t>
      </w:r>
      <w:r>
        <w:rPr>
          <w:rFonts w:asciiTheme="majorHAnsi" w:hAnsiTheme="majorHAnsi" w:cstheme="majorHAnsi"/>
          <w:bCs/>
          <w:iCs/>
          <w:color w:val="000000" w:themeColor="text1"/>
        </w:rPr>
        <w:t>)</w:t>
      </w:r>
      <w:r w:rsidRPr="009C0BE0">
        <w:rPr>
          <w:rFonts w:asciiTheme="majorHAnsi" w:hAnsiTheme="majorHAnsi" w:cstheme="majorHAnsi"/>
          <w:bCs/>
          <w:iCs/>
          <w:color w:val="000000" w:themeColor="text1"/>
        </w:rPr>
        <w:t>; the absence of or</w:t>
      </w:r>
      <w:r>
        <w:rPr>
          <w:rFonts w:asciiTheme="majorHAnsi" w:hAnsiTheme="majorHAnsi" w:cstheme="majorHAnsi"/>
          <w:bCs/>
          <w:iCs/>
          <w:color w:val="000000" w:themeColor="text1"/>
        </w:rPr>
        <w:t xml:space="preserve"> unreliability of school internet connections; the lack of teaching aids (such as projectors, printers and laptops for teachers); and the insufficient ICT capacity among the more senior teachers. While this situation is not uniform across all schools, the number of such schools were significant enough to create a digital divide.</w:t>
      </w:r>
      <w:r w:rsidR="00D434EB">
        <w:rPr>
          <w:rFonts w:asciiTheme="majorHAnsi" w:hAnsiTheme="majorHAnsi" w:cstheme="majorHAnsi"/>
          <w:bCs/>
          <w:iCs/>
          <w:color w:val="000000" w:themeColor="text1"/>
        </w:rPr>
        <w:t xml:space="preserve"> </w:t>
      </w:r>
      <w:r>
        <w:rPr>
          <w:rFonts w:asciiTheme="majorHAnsi" w:hAnsiTheme="majorHAnsi" w:cstheme="majorHAnsi"/>
          <w:bCs/>
          <w:iCs/>
          <w:color w:val="000000" w:themeColor="text1"/>
        </w:rPr>
        <w:t>This was evidenced by the number of schools that submitted student</w:t>
      </w:r>
      <w:r w:rsidRPr="00FA533B">
        <w:rPr>
          <w:rFonts w:asciiTheme="majorHAnsi" w:hAnsiTheme="majorHAnsi" w:cstheme="majorHAnsi"/>
          <w:bCs/>
          <w:iCs/>
          <w:color w:val="000000" w:themeColor="text1"/>
        </w:rPr>
        <w:t xml:space="preserve"> grades in handwritten form</w:t>
      </w:r>
      <w:r>
        <w:rPr>
          <w:rFonts w:asciiTheme="majorHAnsi" w:hAnsiTheme="majorHAnsi" w:cstheme="majorHAnsi"/>
          <w:bCs/>
          <w:iCs/>
          <w:color w:val="000000" w:themeColor="text1"/>
        </w:rPr>
        <w:t>. On the positive side, it is noteworthy to repeat that small schools in far-flung areas increased student participation simply by improving their teaching materials with the use of PowerPoint.</w:t>
      </w:r>
    </w:p>
    <w:p w14:paraId="221F278A" w14:textId="63365141" w:rsidR="008D0CAD" w:rsidRDefault="008D0CAD" w:rsidP="009443E0">
      <w:pPr>
        <w:spacing w:before="100" w:beforeAutospacing="1" w:after="100" w:afterAutospacing="1" w:line="360" w:lineRule="auto"/>
        <w:rPr>
          <w:rFonts w:asciiTheme="majorHAnsi" w:hAnsiTheme="majorHAnsi" w:cstheme="majorHAnsi"/>
          <w:bCs/>
          <w:iCs/>
          <w:color w:val="000000" w:themeColor="text1"/>
        </w:rPr>
      </w:pPr>
      <w:r>
        <w:rPr>
          <w:rFonts w:asciiTheme="majorHAnsi" w:hAnsiTheme="majorHAnsi" w:cstheme="majorHAnsi"/>
          <w:color w:val="000000" w:themeColor="text1"/>
        </w:rPr>
        <w:t xml:space="preserve">While building the capabilities of </w:t>
      </w:r>
      <w:r w:rsidRPr="00FA533B">
        <w:rPr>
          <w:rFonts w:asciiTheme="majorHAnsi" w:hAnsiTheme="majorHAnsi" w:cstheme="majorHAnsi"/>
          <w:bCs/>
          <w:iCs/>
          <w:color w:val="000000" w:themeColor="text1"/>
        </w:rPr>
        <w:t xml:space="preserve">teachers </w:t>
      </w:r>
      <w:r>
        <w:rPr>
          <w:rFonts w:asciiTheme="majorHAnsi" w:hAnsiTheme="majorHAnsi" w:cstheme="majorHAnsi"/>
          <w:bCs/>
          <w:iCs/>
          <w:color w:val="000000" w:themeColor="text1"/>
        </w:rPr>
        <w:t xml:space="preserve">(in line with the K to 12 curriculum and the PPST) </w:t>
      </w:r>
      <w:r>
        <w:rPr>
          <w:rFonts w:asciiTheme="majorHAnsi" w:hAnsiTheme="majorHAnsi" w:cstheme="majorHAnsi"/>
          <w:color w:val="000000" w:themeColor="text1"/>
        </w:rPr>
        <w:t xml:space="preserve">is indispensable, </w:t>
      </w:r>
      <w:r>
        <w:rPr>
          <w:rFonts w:asciiTheme="majorHAnsi" w:hAnsiTheme="majorHAnsi" w:cstheme="majorHAnsi"/>
          <w:bCs/>
          <w:iCs/>
          <w:color w:val="000000" w:themeColor="text1"/>
        </w:rPr>
        <w:t>providing them with quality</w:t>
      </w:r>
      <w:r>
        <w:rPr>
          <w:rFonts w:asciiTheme="majorHAnsi" w:hAnsiTheme="majorHAnsi" w:cstheme="majorHAnsi"/>
          <w:color w:val="000000" w:themeColor="text1"/>
        </w:rPr>
        <w:t xml:space="preserve"> teaching resources and tools is equally vital </w:t>
      </w:r>
      <w:r>
        <w:rPr>
          <w:rFonts w:asciiTheme="majorHAnsi" w:hAnsiTheme="majorHAnsi" w:cstheme="majorHAnsi"/>
          <w:bCs/>
          <w:iCs/>
          <w:color w:val="000000" w:themeColor="text1"/>
        </w:rPr>
        <w:t>t</w:t>
      </w:r>
      <w:r w:rsidRPr="00FA533B">
        <w:rPr>
          <w:rFonts w:asciiTheme="majorHAnsi" w:hAnsiTheme="majorHAnsi" w:cstheme="majorHAnsi"/>
          <w:bCs/>
          <w:iCs/>
          <w:color w:val="000000" w:themeColor="text1"/>
        </w:rPr>
        <w:t>o make education services more responsive.</w:t>
      </w:r>
      <w:r w:rsidR="00D434EB">
        <w:rPr>
          <w:rFonts w:asciiTheme="majorHAnsi" w:hAnsiTheme="majorHAnsi" w:cstheme="majorHAnsi"/>
          <w:bCs/>
          <w:iCs/>
          <w:color w:val="000000" w:themeColor="text1"/>
        </w:rPr>
        <w:t xml:space="preserve"> </w:t>
      </w:r>
      <w:r w:rsidRPr="0047501C">
        <w:rPr>
          <w:rFonts w:asciiTheme="majorHAnsi" w:hAnsiTheme="majorHAnsi" w:cstheme="majorHAnsi"/>
          <w:bCs/>
          <w:iCs/>
          <w:color w:val="000000" w:themeColor="text1"/>
        </w:rPr>
        <w:t>Moreover, the absence of such basic “tools of the trade” of basic education teachers reveals a disconnect with the method of access provided to teachers, which was, to access the teaching and learning materials from the Learning Resource Portal. This was validated by the findings in the Follow-up Report.</w:t>
      </w:r>
    </w:p>
    <w:p w14:paraId="203C9A06" w14:textId="7A7943B8" w:rsidR="008D0CAD" w:rsidRPr="006E21A8" w:rsidRDefault="008D0CAD" w:rsidP="009443E0">
      <w:pPr>
        <w:pStyle w:val="Heading4"/>
        <w:numPr>
          <w:ilvl w:val="2"/>
          <w:numId w:val="3"/>
        </w:numPr>
        <w:spacing w:before="100" w:beforeAutospacing="1" w:after="100" w:afterAutospacing="1" w:line="360" w:lineRule="auto"/>
      </w:pPr>
      <w:bookmarkStart w:id="198" w:name="_Toc39051163"/>
      <w:r>
        <w:t>On Increasing Student Participation</w:t>
      </w:r>
      <w:bookmarkEnd w:id="198"/>
    </w:p>
    <w:p w14:paraId="4FED9732" w14:textId="35D82319" w:rsidR="008D0CAD" w:rsidRPr="006254AC" w:rsidRDefault="008D0CAD" w:rsidP="009443E0">
      <w:pPr>
        <w:pStyle w:val="Caption"/>
        <w:spacing w:before="100" w:beforeAutospacing="1" w:after="100" w:afterAutospacing="1" w:line="360" w:lineRule="auto"/>
        <w:rPr>
          <w:rFonts w:asciiTheme="majorHAnsi" w:hAnsiTheme="majorHAnsi" w:cstheme="majorHAnsi"/>
          <w:b/>
          <w:bCs/>
          <w:iCs w:val="0"/>
          <w:color w:val="0070C0"/>
          <w:sz w:val="24"/>
          <w:szCs w:val="24"/>
        </w:rPr>
      </w:pPr>
      <w:r w:rsidRPr="006254AC">
        <w:rPr>
          <w:rFonts w:asciiTheme="majorHAnsi" w:hAnsiTheme="majorHAnsi" w:cstheme="majorHAnsi"/>
          <w:b/>
          <w:color w:val="0070C0"/>
          <w:sz w:val="24"/>
          <w:szCs w:val="24"/>
        </w:rPr>
        <w:t>Implication No.</w:t>
      </w:r>
      <w:r w:rsidR="00D434EB">
        <w:rPr>
          <w:rFonts w:asciiTheme="majorHAnsi" w:hAnsiTheme="majorHAnsi" w:cstheme="majorHAnsi"/>
          <w:b/>
          <w:color w:val="0070C0"/>
          <w:sz w:val="24"/>
          <w:szCs w:val="24"/>
        </w:rPr>
        <w:t xml:space="preserve"> </w:t>
      </w:r>
      <w:r w:rsidRPr="006254AC">
        <w:rPr>
          <w:rFonts w:asciiTheme="majorHAnsi" w:hAnsiTheme="majorHAnsi" w:cstheme="majorHAnsi"/>
          <w:b/>
          <w:color w:val="0070C0"/>
          <w:sz w:val="24"/>
          <w:szCs w:val="24"/>
        </w:rPr>
        <w:fldChar w:fldCharType="begin"/>
      </w:r>
      <w:r w:rsidRPr="006254AC">
        <w:rPr>
          <w:rFonts w:asciiTheme="majorHAnsi" w:hAnsiTheme="majorHAnsi" w:cstheme="majorHAnsi"/>
          <w:b/>
          <w:color w:val="0070C0"/>
          <w:sz w:val="24"/>
          <w:szCs w:val="24"/>
        </w:rPr>
        <w:instrText xml:space="preserve"> SEQ Implication_No._ \* ARABIC </w:instrText>
      </w:r>
      <w:r w:rsidRPr="006254AC">
        <w:rPr>
          <w:rFonts w:asciiTheme="majorHAnsi" w:hAnsiTheme="majorHAnsi" w:cstheme="majorHAnsi"/>
          <w:b/>
          <w:color w:val="0070C0"/>
          <w:sz w:val="24"/>
          <w:szCs w:val="24"/>
        </w:rPr>
        <w:fldChar w:fldCharType="separate"/>
      </w:r>
      <w:r w:rsidR="00D6133D">
        <w:rPr>
          <w:rFonts w:asciiTheme="majorHAnsi" w:hAnsiTheme="majorHAnsi" w:cstheme="majorHAnsi"/>
          <w:b/>
          <w:noProof/>
          <w:color w:val="0070C0"/>
          <w:sz w:val="24"/>
          <w:szCs w:val="24"/>
        </w:rPr>
        <w:t>6</w:t>
      </w:r>
      <w:r w:rsidRPr="006254AC">
        <w:rPr>
          <w:rFonts w:asciiTheme="majorHAnsi" w:hAnsiTheme="majorHAnsi" w:cstheme="majorHAnsi"/>
          <w:b/>
          <w:color w:val="0070C0"/>
          <w:sz w:val="24"/>
          <w:szCs w:val="24"/>
        </w:rPr>
        <w:fldChar w:fldCharType="end"/>
      </w:r>
      <w:r w:rsidRPr="006254AC">
        <w:rPr>
          <w:rFonts w:asciiTheme="majorHAnsi" w:hAnsiTheme="majorHAnsi" w:cstheme="majorHAnsi"/>
          <w:b/>
          <w:color w:val="0070C0"/>
          <w:sz w:val="24"/>
          <w:szCs w:val="24"/>
        </w:rPr>
        <w:t>:</w:t>
      </w:r>
      <w:r w:rsidRPr="006254AC">
        <w:rPr>
          <w:rFonts w:asciiTheme="majorHAnsi" w:hAnsiTheme="majorHAnsi" w:cstheme="majorHAnsi"/>
          <w:b/>
          <w:bCs/>
          <w:iCs w:val="0"/>
          <w:color w:val="0070C0"/>
          <w:sz w:val="24"/>
          <w:szCs w:val="24"/>
        </w:rPr>
        <w:t xml:space="preserve"> </w:t>
      </w:r>
      <w:r>
        <w:rPr>
          <w:rFonts w:asciiTheme="majorHAnsi" w:hAnsiTheme="majorHAnsi" w:cstheme="majorHAnsi"/>
          <w:b/>
          <w:bCs/>
          <w:iCs w:val="0"/>
          <w:color w:val="0070C0"/>
          <w:sz w:val="24"/>
          <w:szCs w:val="24"/>
        </w:rPr>
        <w:t>In lieu of a</w:t>
      </w:r>
      <w:r w:rsidRPr="006254AC">
        <w:rPr>
          <w:rFonts w:asciiTheme="majorHAnsi" w:hAnsiTheme="majorHAnsi" w:cstheme="majorHAnsi"/>
          <w:b/>
          <w:bCs/>
          <w:iCs w:val="0"/>
          <w:color w:val="0070C0"/>
          <w:sz w:val="24"/>
          <w:szCs w:val="24"/>
        </w:rPr>
        <w:t xml:space="preserve"> “one-size fits all” approach to systemic reforms</w:t>
      </w:r>
      <w:r>
        <w:rPr>
          <w:rFonts w:asciiTheme="majorHAnsi" w:hAnsiTheme="majorHAnsi" w:cstheme="majorHAnsi"/>
          <w:b/>
          <w:bCs/>
          <w:iCs w:val="0"/>
          <w:color w:val="0070C0"/>
          <w:sz w:val="24"/>
          <w:szCs w:val="24"/>
        </w:rPr>
        <w:t>,</w:t>
      </w:r>
      <w:r w:rsidRPr="006254AC">
        <w:rPr>
          <w:rFonts w:asciiTheme="majorHAnsi" w:hAnsiTheme="majorHAnsi" w:cstheme="majorHAnsi"/>
          <w:b/>
          <w:bCs/>
          <w:iCs w:val="0"/>
          <w:color w:val="0070C0"/>
          <w:sz w:val="24"/>
          <w:szCs w:val="24"/>
        </w:rPr>
        <w:t xml:space="preserve"> a segmented or strategic approach</w:t>
      </w:r>
      <w:r>
        <w:rPr>
          <w:rFonts w:asciiTheme="majorHAnsi" w:hAnsiTheme="majorHAnsi" w:cstheme="majorHAnsi"/>
          <w:b/>
          <w:bCs/>
          <w:iCs w:val="0"/>
          <w:color w:val="0070C0"/>
          <w:sz w:val="24"/>
          <w:szCs w:val="24"/>
        </w:rPr>
        <w:t xml:space="preserve"> to reforming systems may be more effective</w:t>
      </w:r>
      <w:r w:rsidRPr="006254AC">
        <w:rPr>
          <w:rFonts w:asciiTheme="majorHAnsi" w:hAnsiTheme="majorHAnsi" w:cstheme="majorHAnsi"/>
          <w:b/>
          <w:bCs/>
          <w:iCs w:val="0"/>
          <w:color w:val="0070C0"/>
          <w:sz w:val="24"/>
          <w:szCs w:val="24"/>
        </w:rPr>
        <w:t xml:space="preserve"> [</w:t>
      </w:r>
      <w:r>
        <w:rPr>
          <w:rFonts w:asciiTheme="majorHAnsi" w:hAnsiTheme="majorHAnsi" w:cstheme="majorHAnsi"/>
          <w:b/>
          <w:bCs/>
          <w:iCs w:val="0"/>
          <w:color w:val="0070C0"/>
          <w:sz w:val="24"/>
          <w:szCs w:val="24"/>
        </w:rPr>
        <w:t>DepEd</w:t>
      </w:r>
      <w:r w:rsidRPr="006254AC">
        <w:rPr>
          <w:rFonts w:asciiTheme="majorHAnsi" w:hAnsiTheme="majorHAnsi" w:cstheme="majorHAnsi"/>
          <w:b/>
          <w:bCs/>
          <w:iCs w:val="0"/>
          <w:color w:val="0070C0"/>
          <w:sz w:val="24"/>
          <w:szCs w:val="24"/>
        </w:rPr>
        <w:t>]</w:t>
      </w:r>
    </w:p>
    <w:p w14:paraId="68CE29C9" w14:textId="23AA26E6" w:rsidR="008D0CAD" w:rsidRDefault="008D0CAD" w:rsidP="009443E0">
      <w:pPr>
        <w:pStyle w:val="Caption"/>
        <w:spacing w:before="100" w:beforeAutospacing="1" w:after="100" w:afterAutospacing="1" w:line="360" w:lineRule="auto"/>
        <w:rPr>
          <w:rFonts w:asciiTheme="majorHAnsi" w:hAnsiTheme="majorHAnsi" w:cstheme="majorHAnsi"/>
          <w:i w:val="0"/>
          <w:iCs w:val="0"/>
          <w:color w:val="000000"/>
          <w:sz w:val="24"/>
          <w:szCs w:val="24"/>
        </w:rPr>
      </w:pPr>
      <w:r>
        <w:rPr>
          <w:rFonts w:asciiTheme="majorHAnsi" w:hAnsiTheme="majorHAnsi" w:cstheme="majorHAnsi"/>
          <w:i w:val="0"/>
          <w:iCs w:val="0"/>
          <w:color w:val="000000"/>
          <w:sz w:val="24"/>
          <w:szCs w:val="24"/>
        </w:rPr>
        <w:t>BEST-supported reforms such as the PPST and the SBM were rolled-out across all schools.</w:t>
      </w:r>
      <w:r w:rsidR="00D434EB">
        <w:rPr>
          <w:rFonts w:asciiTheme="majorHAnsi" w:hAnsiTheme="majorHAnsi" w:cstheme="majorHAnsi"/>
          <w:i w:val="0"/>
          <w:iCs w:val="0"/>
          <w:color w:val="000000"/>
          <w:sz w:val="24"/>
          <w:szCs w:val="24"/>
        </w:rPr>
        <w:t xml:space="preserve"> </w:t>
      </w:r>
      <w:r>
        <w:rPr>
          <w:rFonts w:asciiTheme="majorHAnsi" w:hAnsiTheme="majorHAnsi" w:cstheme="majorHAnsi"/>
          <w:i w:val="0"/>
          <w:iCs w:val="0"/>
          <w:color w:val="000000"/>
          <w:sz w:val="24"/>
          <w:szCs w:val="24"/>
        </w:rPr>
        <w:t xml:space="preserve">However, this was not an appropriate approach for at least two reforms, </w:t>
      </w:r>
      <w:r w:rsidR="002615C5">
        <w:rPr>
          <w:rFonts w:asciiTheme="majorHAnsi" w:hAnsiTheme="majorHAnsi" w:cstheme="majorHAnsi"/>
          <w:i w:val="0"/>
          <w:iCs w:val="0"/>
          <w:color w:val="000000"/>
          <w:sz w:val="24"/>
          <w:szCs w:val="24"/>
        </w:rPr>
        <w:t>which could</w:t>
      </w:r>
      <w:r>
        <w:rPr>
          <w:rFonts w:asciiTheme="majorHAnsi" w:hAnsiTheme="majorHAnsi" w:cstheme="majorHAnsi"/>
          <w:i w:val="0"/>
          <w:iCs w:val="0"/>
          <w:color w:val="000000"/>
          <w:sz w:val="24"/>
          <w:szCs w:val="24"/>
        </w:rPr>
        <w:t xml:space="preserve"> have benefitted from a segmented or strategic approach or perhaps a pilot-testing approach.</w:t>
      </w:r>
      <w:r w:rsidR="00D434EB">
        <w:rPr>
          <w:rFonts w:asciiTheme="majorHAnsi" w:hAnsiTheme="majorHAnsi" w:cstheme="majorHAnsi"/>
          <w:i w:val="0"/>
          <w:iCs w:val="0"/>
          <w:color w:val="000000"/>
          <w:sz w:val="24"/>
          <w:szCs w:val="24"/>
        </w:rPr>
        <w:t xml:space="preserve"> </w:t>
      </w:r>
      <w:r>
        <w:rPr>
          <w:rFonts w:asciiTheme="majorHAnsi" w:hAnsiTheme="majorHAnsi" w:cstheme="majorHAnsi"/>
          <w:i w:val="0"/>
          <w:iCs w:val="0"/>
          <w:color w:val="000000"/>
          <w:sz w:val="24"/>
          <w:szCs w:val="24"/>
        </w:rPr>
        <w:t>A key example is the implementation of the mother tongue instruction (MTB-MLE) policy, which encountered a range of problems on the part of both learners and teachers.</w:t>
      </w:r>
      <w:r w:rsidR="00D434EB">
        <w:rPr>
          <w:rFonts w:asciiTheme="majorHAnsi" w:hAnsiTheme="majorHAnsi" w:cstheme="majorHAnsi"/>
          <w:i w:val="0"/>
          <w:iCs w:val="0"/>
          <w:color w:val="000000"/>
          <w:sz w:val="24"/>
          <w:szCs w:val="24"/>
        </w:rPr>
        <w:t xml:space="preserve"> </w:t>
      </w:r>
      <w:r>
        <w:rPr>
          <w:rFonts w:asciiTheme="majorHAnsi" w:hAnsiTheme="majorHAnsi" w:cstheme="majorHAnsi"/>
          <w:i w:val="0"/>
          <w:iCs w:val="0"/>
          <w:color w:val="000000"/>
          <w:sz w:val="24"/>
          <w:szCs w:val="24"/>
        </w:rPr>
        <w:t>It was revealed that not all learners “needed” this reform, and some were unnecessarily affected negatively (some learners’ grades fell when they reached Grade 4 due to the shift from mother tongue to English).</w:t>
      </w:r>
    </w:p>
    <w:p w14:paraId="4825EEF1" w14:textId="77777777" w:rsidR="008D0CAD" w:rsidRDefault="008D0CAD" w:rsidP="009443E0">
      <w:pPr>
        <w:pStyle w:val="Caption"/>
        <w:spacing w:before="100" w:beforeAutospacing="1" w:after="100" w:afterAutospacing="1" w:line="360" w:lineRule="auto"/>
        <w:rPr>
          <w:rFonts w:asciiTheme="majorHAnsi" w:hAnsiTheme="majorHAnsi" w:cstheme="majorHAnsi"/>
          <w:i w:val="0"/>
          <w:iCs w:val="0"/>
          <w:color w:val="000000"/>
          <w:sz w:val="24"/>
          <w:szCs w:val="24"/>
        </w:rPr>
      </w:pPr>
      <w:r>
        <w:rPr>
          <w:rFonts w:asciiTheme="majorHAnsi" w:hAnsiTheme="majorHAnsi" w:cstheme="majorHAnsi"/>
          <w:i w:val="0"/>
          <w:iCs w:val="0"/>
          <w:color w:val="000000"/>
          <w:sz w:val="24"/>
          <w:szCs w:val="24"/>
        </w:rPr>
        <w:t xml:space="preserve">Another example is the implementation of Inclusive Education, which required schools to accept all types of learners without the benefit of assessment. The accommodation of students with learning disabilities came at the expense of the slowing down of the learning of regular students in some instances </w:t>
      </w:r>
      <w:r w:rsidRPr="00497D5B">
        <w:rPr>
          <w:rFonts w:asciiTheme="majorHAnsi" w:hAnsiTheme="majorHAnsi" w:cstheme="majorHAnsi"/>
          <w:b/>
          <w:bCs/>
          <w:color w:val="000000"/>
          <w:sz w:val="24"/>
          <w:szCs w:val="24"/>
        </w:rPr>
        <w:t>because</w:t>
      </w:r>
      <w:r>
        <w:rPr>
          <w:rFonts w:asciiTheme="majorHAnsi" w:hAnsiTheme="majorHAnsi" w:cstheme="majorHAnsi"/>
          <w:i w:val="0"/>
          <w:iCs w:val="0"/>
          <w:color w:val="000000"/>
          <w:sz w:val="24"/>
          <w:szCs w:val="24"/>
        </w:rPr>
        <w:t xml:space="preserve"> of the additional burden on the teachers.</w:t>
      </w:r>
    </w:p>
    <w:p w14:paraId="724C751B" w14:textId="55F4B6BF" w:rsidR="008D0CAD" w:rsidRDefault="008D0CAD" w:rsidP="009443E0">
      <w:pPr>
        <w:pStyle w:val="Caption"/>
        <w:spacing w:before="100" w:beforeAutospacing="1" w:after="100" w:afterAutospacing="1" w:line="360" w:lineRule="auto"/>
        <w:rPr>
          <w:rFonts w:asciiTheme="majorHAnsi" w:hAnsiTheme="majorHAnsi" w:cstheme="majorHAnsi"/>
          <w:i w:val="0"/>
          <w:iCs w:val="0"/>
          <w:color w:val="000000"/>
          <w:sz w:val="24"/>
          <w:szCs w:val="24"/>
        </w:rPr>
      </w:pPr>
      <w:r>
        <w:rPr>
          <w:rFonts w:asciiTheme="majorHAnsi" w:hAnsiTheme="majorHAnsi" w:cstheme="majorHAnsi"/>
          <w:i w:val="0"/>
          <w:iCs w:val="0"/>
          <w:color w:val="000000"/>
          <w:sz w:val="24"/>
          <w:szCs w:val="24"/>
        </w:rPr>
        <w:t>GEDSI-related reforms focused on marginalised learners with disabilities or minority ethnic backgrounds.</w:t>
      </w:r>
      <w:r w:rsidR="00D434EB">
        <w:rPr>
          <w:rFonts w:asciiTheme="majorHAnsi" w:hAnsiTheme="majorHAnsi" w:cstheme="majorHAnsi"/>
          <w:i w:val="0"/>
          <w:iCs w:val="0"/>
          <w:color w:val="000000"/>
          <w:sz w:val="24"/>
          <w:szCs w:val="24"/>
        </w:rPr>
        <w:t xml:space="preserve"> </w:t>
      </w:r>
      <w:r>
        <w:rPr>
          <w:rFonts w:asciiTheme="majorHAnsi" w:hAnsiTheme="majorHAnsi" w:cstheme="majorHAnsi"/>
          <w:i w:val="0"/>
          <w:iCs w:val="0"/>
          <w:color w:val="000000"/>
          <w:sz w:val="24"/>
          <w:szCs w:val="24"/>
        </w:rPr>
        <w:t>Yet, the evaluation studies also showed that there were learners experiencing other forms of marginalisation (e.g. poverty, geographic isolation or vulnerability to natural disasters) whose particular challenges were not addressed in the program’s efforts to address barriers to participation</w:t>
      </w:r>
      <w:r w:rsidRPr="00C9419B">
        <w:rPr>
          <w:rFonts w:asciiTheme="majorHAnsi" w:hAnsiTheme="majorHAnsi" w:cstheme="majorHAnsi"/>
          <w:i w:val="0"/>
          <w:iCs w:val="0"/>
          <w:color w:val="000000"/>
          <w:sz w:val="24"/>
          <w:szCs w:val="24"/>
        </w:rPr>
        <w:t>.</w:t>
      </w:r>
      <w:r w:rsidR="00D434EB">
        <w:rPr>
          <w:rFonts w:asciiTheme="majorHAnsi" w:hAnsiTheme="majorHAnsi" w:cstheme="majorHAnsi"/>
          <w:i w:val="0"/>
          <w:iCs w:val="0"/>
          <w:color w:val="000000"/>
          <w:sz w:val="24"/>
          <w:szCs w:val="24"/>
        </w:rPr>
        <w:t xml:space="preserve"> </w:t>
      </w:r>
      <w:r w:rsidRPr="00C9419B">
        <w:rPr>
          <w:rFonts w:asciiTheme="majorHAnsi" w:hAnsiTheme="majorHAnsi" w:cstheme="majorHAnsi"/>
          <w:i w:val="0"/>
          <w:iCs w:val="0"/>
          <w:color w:val="000000"/>
          <w:sz w:val="24"/>
          <w:szCs w:val="24"/>
        </w:rPr>
        <w:t xml:space="preserve">This is where the use of the Alternative Learning System (ALS) Handbook </w:t>
      </w:r>
      <w:r>
        <w:rPr>
          <w:rFonts w:asciiTheme="majorHAnsi" w:hAnsiTheme="majorHAnsi" w:cstheme="majorHAnsi"/>
          <w:i w:val="0"/>
          <w:iCs w:val="0"/>
          <w:color w:val="000000"/>
          <w:sz w:val="24"/>
          <w:szCs w:val="24"/>
        </w:rPr>
        <w:t>c</w:t>
      </w:r>
      <w:r w:rsidRPr="00C9419B">
        <w:rPr>
          <w:rFonts w:asciiTheme="majorHAnsi" w:hAnsiTheme="majorHAnsi" w:cstheme="majorHAnsi"/>
          <w:i w:val="0"/>
          <w:iCs w:val="0"/>
          <w:color w:val="000000"/>
          <w:sz w:val="24"/>
          <w:szCs w:val="24"/>
        </w:rPr>
        <w:t>ould have</w:t>
      </w:r>
      <w:r>
        <w:rPr>
          <w:rFonts w:asciiTheme="majorHAnsi" w:hAnsiTheme="majorHAnsi" w:cstheme="majorHAnsi"/>
          <w:i w:val="0"/>
          <w:iCs w:val="0"/>
          <w:color w:val="000000"/>
          <w:sz w:val="24"/>
          <w:szCs w:val="24"/>
        </w:rPr>
        <w:t xml:space="preserve"> assisted</w:t>
      </w:r>
      <w:r w:rsidRPr="00C9419B">
        <w:rPr>
          <w:rFonts w:asciiTheme="majorHAnsi" w:hAnsiTheme="majorHAnsi" w:cstheme="majorHAnsi"/>
          <w:i w:val="0"/>
          <w:iCs w:val="0"/>
          <w:color w:val="000000"/>
          <w:sz w:val="24"/>
          <w:szCs w:val="24"/>
        </w:rPr>
        <w:t xml:space="preserve">. Yet, both studies found that the use of the ALS Handbook was negligible in despite is high relevance when it comes to increasing participation. </w:t>
      </w:r>
    </w:p>
    <w:p w14:paraId="7A3579AD" w14:textId="79CD194D" w:rsidR="008D0CAD" w:rsidRPr="00152B31" w:rsidRDefault="008D0CAD" w:rsidP="009443E0">
      <w:pPr>
        <w:pStyle w:val="Caption"/>
        <w:spacing w:before="100" w:beforeAutospacing="1" w:after="100" w:afterAutospacing="1" w:line="360" w:lineRule="auto"/>
        <w:rPr>
          <w:rFonts w:asciiTheme="majorHAnsi" w:hAnsiTheme="majorHAnsi" w:cstheme="majorHAnsi"/>
          <w:i w:val="0"/>
          <w:iCs w:val="0"/>
          <w:color w:val="000000" w:themeColor="text1"/>
          <w:sz w:val="24"/>
          <w:szCs w:val="24"/>
        </w:rPr>
      </w:pPr>
      <w:r w:rsidRPr="00C9419B">
        <w:rPr>
          <w:rFonts w:asciiTheme="majorHAnsi" w:hAnsiTheme="majorHAnsi" w:cstheme="majorHAnsi"/>
          <w:i w:val="0"/>
          <w:iCs w:val="0"/>
          <w:color w:val="000000" w:themeColor="text1"/>
          <w:sz w:val="24"/>
          <w:szCs w:val="24"/>
        </w:rPr>
        <w:t xml:space="preserve">This highlights the value of a </w:t>
      </w:r>
      <w:r>
        <w:rPr>
          <w:rFonts w:asciiTheme="majorHAnsi" w:hAnsiTheme="majorHAnsi" w:cstheme="majorHAnsi"/>
          <w:i w:val="0"/>
          <w:iCs w:val="0"/>
          <w:color w:val="000000" w:themeColor="text1"/>
          <w:sz w:val="24"/>
          <w:szCs w:val="24"/>
        </w:rPr>
        <w:t>context-specific</w:t>
      </w:r>
      <w:r w:rsidRPr="00C9419B">
        <w:rPr>
          <w:rFonts w:asciiTheme="majorHAnsi" w:hAnsiTheme="majorHAnsi" w:cstheme="majorHAnsi"/>
          <w:i w:val="0"/>
          <w:iCs w:val="0"/>
          <w:color w:val="000000" w:themeColor="text1"/>
          <w:sz w:val="24"/>
          <w:szCs w:val="24"/>
        </w:rPr>
        <w:t xml:space="preserve"> approach to GEDSI over a one-size fits all approach.</w:t>
      </w:r>
      <w:r w:rsidR="00D434EB">
        <w:rPr>
          <w:rFonts w:asciiTheme="majorHAnsi" w:hAnsiTheme="majorHAnsi" w:cstheme="majorHAnsi"/>
          <w:i w:val="0"/>
          <w:iCs w:val="0"/>
          <w:color w:val="000000" w:themeColor="text1"/>
          <w:sz w:val="24"/>
          <w:szCs w:val="24"/>
        </w:rPr>
        <w:t xml:space="preserve"> </w:t>
      </w:r>
      <w:r w:rsidRPr="00C9419B">
        <w:rPr>
          <w:rFonts w:asciiTheme="majorHAnsi" w:hAnsiTheme="majorHAnsi" w:cstheme="majorHAnsi"/>
          <w:i w:val="0"/>
          <w:iCs w:val="0"/>
          <w:color w:val="000000" w:themeColor="text1"/>
          <w:sz w:val="24"/>
          <w:szCs w:val="24"/>
        </w:rPr>
        <w:t>Certain segments of the student population may benefit from a curriculum that allows them to have “Learn-from-Home” modules or activities</w:t>
      </w:r>
      <w:r>
        <w:rPr>
          <w:rFonts w:asciiTheme="majorHAnsi" w:hAnsiTheme="majorHAnsi" w:cstheme="majorHAnsi"/>
          <w:i w:val="0"/>
          <w:iCs w:val="0"/>
          <w:color w:val="000000" w:themeColor="text1"/>
          <w:sz w:val="24"/>
          <w:szCs w:val="24"/>
        </w:rPr>
        <w:t xml:space="preserve"> (not necessarily internet-based)</w:t>
      </w:r>
      <w:r w:rsidRPr="00C9419B">
        <w:rPr>
          <w:rFonts w:asciiTheme="majorHAnsi" w:hAnsiTheme="majorHAnsi" w:cstheme="majorHAnsi"/>
          <w:i w:val="0"/>
          <w:iCs w:val="0"/>
          <w:color w:val="000000" w:themeColor="text1"/>
          <w:sz w:val="24"/>
          <w:szCs w:val="24"/>
        </w:rPr>
        <w:t>.</w:t>
      </w:r>
      <w:r w:rsidR="00D434EB">
        <w:rPr>
          <w:rFonts w:asciiTheme="majorHAnsi" w:hAnsiTheme="majorHAnsi" w:cstheme="majorHAnsi"/>
          <w:i w:val="0"/>
          <w:iCs w:val="0"/>
          <w:color w:val="000000" w:themeColor="text1"/>
          <w:sz w:val="24"/>
          <w:szCs w:val="24"/>
        </w:rPr>
        <w:t xml:space="preserve"> </w:t>
      </w:r>
      <w:r w:rsidRPr="00C9419B">
        <w:rPr>
          <w:rFonts w:asciiTheme="majorHAnsi" w:hAnsiTheme="majorHAnsi" w:cstheme="majorHAnsi"/>
          <w:i w:val="0"/>
          <w:iCs w:val="0"/>
          <w:color w:val="000000" w:themeColor="text1"/>
          <w:sz w:val="24"/>
          <w:szCs w:val="24"/>
        </w:rPr>
        <w:t xml:space="preserve">Some schools are already </w:t>
      </w:r>
      <w:r w:rsidRPr="00152B31">
        <w:rPr>
          <w:rFonts w:asciiTheme="majorHAnsi" w:hAnsiTheme="majorHAnsi" w:cstheme="majorHAnsi"/>
          <w:i w:val="0"/>
          <w:iCs w:val="0"/>
          <w:color w:val="000000" w:themeColor="text1"/>
          <w:sz w:val="24"/>
          <w:szCs w:val="24"/>
        </w:rPr>
        <w:t>implementing this in response to suspension of classes due to typhoons.</w:t>
      </w:r>
      <w:r w:rsidR="00D434EB">
        <w:rPr>
          <w:rFonts w:asciiTheme="majorHAnsi" w:hAnsiTheme="majorHAnsi" w:cstheme="majorHAnsi"/>
          <w:i w:val="0"/>
          <w:iCs w:val="0"/>
          <w:color w:val="000000" w:themeColor="text1"/>
          <w:sz w:val="24"/>
          <w:szCs w:val="24"/>
        </w:rPr>
        <w:t xml:space="preserve"> </w:t>
      </w:r>
      <w:r w:rsidRPr="00152B31">
        <w:rPr>
          <w:rFonts w:asciiTheme="majorHAnsi" w:hAnsiTheme="majorHAnsi" w:cstheme="majorHAnsi"/>
          <w:i w:val="0"/>
          <w:iCs w:val="0"/>
          <w:color w:val="000000" w:themeColor="text1"/>
          <w:sz w:val="24"/>
          <w:szCs w:val="24"/>
        </w:rPr>
        <w:t>There is no reason why it c</w:t>
      </w:r>
      <w:r>
        <w:rPr>
          <w:rFonts w:asciiTheme="majorHAnsi" w:hAnsiTheme="majorHAnsi" w:cstheme="majorHAnsi"/>
          <w:i w:val="0"/>
          <w:iCs w:val="0"/>
          <w:color w:val="000000" w:themeColor="text1"/>
          <w:sz w:val="24"/>
          <w:szCs w:val="24"/>
        </w:rPr>
        <w:t xml:space="preserve">ould </w:t>
      </w:r>
      <w:r w:rsidRPr="00152B31">
        <w:rPr>
          <w:rFonts w:asciiTheme="majorHAnsi" w:hAnsiTheme="majorHAnsi" w:cstheme="majorHAnsi"/>
          <w:i w:val="0"/>
          <w:iCs w:val="0"/>
          <w:color w:val="000000" w:themeColor="text1"/>
          <w:sz w:val="24"/>
          <w:szCs w:val="24"/>
        </w:rPr>
        <w:t>not be implemented to certain student segments who need to walk</w:t>
      </w:r>
      <w:r>
        <w:rPr>
          <w:rFonts w:asciiTheme="majorHAnsi" w:hAnsiTheme="majorHAnsi" w:cstheme="majorHAnsi"/>
          <w:i w:val="0"/>
          <w:iCs w:val="0"/>
          <w:color w:val="000000" w:themeColor="text1"/>
          <w:sz w:val="24"/>
          <w:szCs w:val="24"/>
        </w:rPr>
        <w:t xml:space="preserve"> long distances to school</w:t>
      </w:r>
      <w:r w:rsidRPr="00152B31">
        <w:rPr>
          <w:rFonts w:asciiTheme="majorHAnsi" w:hAnsiTheme="majorHAnsi" w:cstheme="majorHAnsi"/>
          <w:i w:val="0"/>
          <w:iCs w:val="0"/>
          <w:color w:val="000000" w:themeColor="text1"/>
          <w:sz w:val="24"/>
          <w:szCs w:val="24"/>
        </w:rPr>
        <w:t xml:space="preserve"> or work</w:t>
      </w:r>
      <w:r>
        <w:rPr>
          <w:rFonts w:asciiTheme="majorHAnsi" w:hAnsiTheme="majorHAnsi" w:cstheme="majorHAnsi"/>
          <w:i w:val="0"/>
          <w:iCs w:val="0"/>
          <w:color w:val="000000" w:themeColor="text1"/>
          <w:sz w:val="24"/>
          <w:szCs w:val="24"/>
        </w:rPr>
        <w:t xml:space="preserve"> to help support their families</w:t>
      </w:r>
      <w:r w:rsidRPr="00152B31">
        <w:rPr>
          <w:rFonts w:asciiTheme="majorHAnsi" w:hAnsiTheme="majorHAnsi" w:cstheme="majorHAnsi"/>
          <w:i w:val="0"/>
          <w:iCs w:val="0"/>
          <w:color w:val="000000" w:themeColor="text1"/>
          <w:sz w:val="24"/>
          <w:szCs w:val="24"/>
        </w:rPr>
        <w:t xml:space="preserve">. Some </w:t>
      </w:r>
      <w:r w:rsidRPr="008B37F2">
        <w:rPr>
          <w:rFonts w:asciiTheme="majorHAnsi" w:hAnsiTheme="majorHAnsi" w:cstheme="majorHAnsi"/>
          <w:i w:val="0"/>
          <w:iCs w:val="0"/>
          <w:color w:val="000000" w:themeColor="text1"/>
          <w:sz w:val="24"/>
          <w:szCs w:val="24"/>
        </w:rPr>
        <w:t xml:space="preserve">students </w:t>
      </w:r>
      <w:r>
        <w:rPr>
          <w:rFonts w:asciiTheme="majorHAnsi" w:hAnsiTheme="majorHAnsi" w:cstheme="majorHAnsi"/>
          <w:i w:val="0"/>
          <w:iCs w:val="0"/>
          <w:color w:val="000000" w:themeColor="text1"/>
          <w:sz w:val="24"/>
          <w:szCs w:val="24"/>
        </w:rPr>
        <w:t>may have been able to</w:t>
      </w:r>
      <w:r w:rsidRPr="008B37F2">
        <w:rPr>
          <w:rFonts w:asciiTheme="majorHAnsi" w:hAnsiTheme="majorHAnsi" w:cstheme="majorHAnsi"/>
          <w:i w:val="0"/>
          <w:iCs w:val="0"/>
          <w:color w:val="000000" w:themeColor="text1"/>
          <w:sz w:val="24"/>
          <w:szCs w:val="24"/>
        </w:rPr>
        <w:t xml:space="preserve"> do independent </w:t>
      </w:r>
      <w:r w:rsidR="002615C5" w:rsidRPr="008B37F2">
        <w:rPr>
          <w:rFonts w:asciiTheme="majorHAnsi" w:hAnsiTheme="majorHAnsi" w:cstheme="majorHAnsi"/>
          <w:i w:val="0"/>
          <w:iCs w:val="0"/>
          <w:color w:val="000000" w:themeColor="text1"/>
          <w:sz w:val="24"/>
          <w:szCs w:val="24"/>
        </w:rPr>
        <w:t>schoolwork</w:t>
      </w:r>
      <w:r>
        <w:rPr>
          <w:rFonts w:asciiTheme="majorHAnsi" w:hAnsiTheme="majorHAnsi" w:cstheme="majorHAnsi"/>
          <w:i w:val="0"/>
          <w:iCs w:val="0"/>
          <w:color w:val="000000" w:themeColor="text1"/>
          <w:sz w:val="24"/>
          <w:szCs w:val="24"/>
        </w:rPr>
        <w:t xml:space="preserve"> at home</w:t>
      </w:r>
      <w:r w:rsidRPr="008B37F2">
        <w:rPr>
          <w:rFonts w:asciiTheme="majorHAnsi" w:hAnsiTheme="majorHAnsi" w:cstheme="majorHAnsi"/>
          <w:i w:val="0"/>
          <w:iCs w:val="0"/>
          <w:color w:val="000000" w:themeColor="text1"/>
          <w:sz w:val="24"/>
          <w:szCs w:val="24"/>
        </w:rPr>
        <w:t>, especially in areas where internet access remains a challenge</w:t>
      </w:r>
      <w:r w:rsidRPr="00152B31">
        <w:rPr>
          <w:rFonts w:asciiTheme="majorHAnsi" w:hAnsiTheme="majorHAnsi" w:cstheme="majorHAnsi"/>
          <w:i w:val="0"/>
          <w:iCs w:val="0"/>
          <w:color w:val="000000" w:themeColor="text1"/>
          <w:sz w:val="24"/>
          <w:szCs w:val="24"/>
        </w:rPr>
        <w:t>, and just submit work one or twice a week</w:t>
      </w:r>
      <w:r w:rsidRPr="008B37F2">
        <w:rPr>
          <w:rFonts w:asciiTheme="majorHAnsi" w:hAnsiTheme="majorHAnsi" w:cstheme="majorHAnsi"/>
          <w:i w:val="0"/>
          <w:iCs w:val="0"/>
          <w:color w:val="000000" w:themeColor="text1"/>
          <w:sz w:val="24"/>
          <w:szCs w:val="24"/>
        </w:rPr>
        <w:t>.</w:t>
      </w:r>
      <w:r w:rsidR="00D434EB">
        <w:rPr>
          <w:rFonts w:asciiTheme="majorHAnsi" w:hAnsiTheme="majorHAnsi" w:cstheme="majorHAnsi"/>
          <w:i w:val="0"/>
          <w:iCs w:val="0"/>
          <w:color w:val="000000" w:themeColor="text1"/>
          <w:sz w:val="24"/>
          <w:szCs w:val="24"/>
        </w:rPr>
        <w:t xml:space="preserve"> </w:t>
      </w:r>
    </w:p>
    <w:p w14:paraId="7089DF33" w14:textId="77777777" w:rsidR="008D0CAD" w:rsidRPr="00152B31" w:rsidRDefault="008D0CAD" w:rsidP="009443E0">
      <w:pPr>
        <w:pStyle w:val="Caption"/>
        <w:spacing w:before="100" w:beforeAutospacing="1" w:after="100" w:afterAutospacing="1" w:line="360" w:lineRule="auto"/>
        <w:rPr>
          <w:rFonts w:asciiTheme="majorHAnsi" w:hAnsiTheme="majorHAnsi" w:cstheme="majorHAnsi"/>
          <w:i w:val="0"/>
          <w:iCs w:val="0"/>
          <w:color w:val="000000" w:themeColor="text1"/>
          <w:sz w:val="24"/>
          <w:szCs w:val="24"/>
        </w:rPr>
      </w:pPr>
      <w:r>
        <w:rPr>
          <w:rFonts w:asciiTheme="majorHAnsi" w:hAnsiTheme="majorHAnsi" w:cstheme="majorHAnsi"/>
          <w:i w:val="0"/>
          <w:iCs w:val="0"/>
          <w:color w:val="000000" w:themeColor="text1"/>
          <w:sz w:val="24"/>
          <w:szCs w:val="24"/>
        </w:rPr>
        <w:t>Principals and teachers could have been supported to devise and implement o</w:t>
      </w:r>
      <w:r w:rsidRPr="00152B31">
        <w:rPr>
          <w:rFonts w:asciiTheme="majorHAnsi" w:hAnsiTheme="majorHAnsi" w:cstheme="majorHAnsi"/>
          <w:i w:val="0"/>
          <w:iCs w:val="0"/>
          <w:color w:val="000000" w:themeColor="text1"/>
          <w:sz w:val="24"/>
          <w:szCs w:val="24"/>
        </w:rPr>
        <w:t>ther more appropriate models for certain segments of students in their schools.</w:t>
      </w:r>
    </w:p>
    <w:p w14:paraId="7444A362" w14:textId="3ABC5EF7" w:rsidR="008D0CAD" w:rsidRPr="006254AC" w:rsidRDefault="008D0CAD" w:rsidP="009443E0">
      <w:pPr>
        <w:pStyle w:val="Caption"/>
        <w:spacing w:before="100" w:beforeAutospacing="1" w:after="100" w:afterAutospacing="1" w:line="360" w:lineRule="auto"/>
        <w:rPr>
          <w:rFonts w:asciiTheme="majorHAnsi" w:hAnsiTheme="majorHAnsi" w:cstheme="majorHAnsi"/>
          <w:b/>
          <w:color w:val="0070C0"/>
          <w:sz w:val="24"/>
          <w:szCs w:val="24"/>
        </w:rPr>
      </w:pPr>
      <w:r w:rsidRPr="00DD6E4B">
        <w:rPr>
          <w:rFonts w:asciiTheme="majorHAnsi" w:hAnsiTheme="majorHAnsi" w:cstheme="majorHAnsi"/>
          <w:b/>
          <w:color w:val="0070C0"/>
          <w:sz w:val="24"/>
          <w:szCs w:val="24"/>
        </w:rPr>
        <w:t>Implication</w:t>
      </w:r>
      <w:r w:rsidRPr="006254AC">
        <w:rPr>
          <w:rFonts w:asciiTheme="majorHAnsi" w:hAnsiTheme="majorHAnsi" w:cstheme="majorHAnsi"/>
          <w:b/>
          <w:color w:val="0070C0"/>
          <w:sz w:val="24"/>
          <w:szCs w:val="24"/>
        </w:rPr>
        <w:t xml:space="preserve"> No.</w:t>
      </w:r>
      <w:r w:rsidR="00D434EB">
        <w:rPr>
          <w:rFonts w:asciiTheme="majorHAnsi" w:hAnsiTheme="majorHAnsi" w:cstheme="majorHAnsi"/>
          <w:b/>
          <w:color w:val="0070C0"/>
          <w:sz w:val="24"/>
          <w:szCs w:val="24"/>
        </w:rPr>
        <w:t xml:space="preserve"> </w:t>
      </w:r>
      <w:r w:rsidRPr="006254AC">
        <w:rPr>
          <w:rFonts w:asciiTheme="majorHAnsi" w:hAnsiTheme="majorHAnsi" w:cstheme="majorHAnsi"/>
          <w:b/>
          <w:color w:val="0070C0"/>
          <w:sz w:val="24"/>
          <w:szCs w:val="24"/>
        </w:rPr>
        <w:fldChar w:fldCharType="begin"/>
      </w:r>
      <w:r w:rsidRPr="006254AC">
        <w:rPr>
          <w:rFonts w:asciiTheme="majorHAnsi" w:hAnsiTheme="majorHAnsi" w:cstheme="majorHAnsi"/>
          <w:b/>
          <w:color w:val="0070C0"/>
          <w:sz w:val="24"/>
          <w:szCs w:val="24"/>
        </w:rPr>
        <w:instrText xml:space="preserve"> SEQ Implication_No._ \* ARABIC </w:instrText>
      </w:r>
      <w:r w:rsidRPr="006254AC">
        <w:rPr>
          <w:rFonts w:asciiTheme="majorHAnsi" w:hAnsiTheme="majorHAnsi" w:cstheme="majorHAnsi"/>
          <w:b/>
          <w:color w:val="0070C0"/>
          <w:sz w:val="24"/>
          <w:szCs w:val="24"/>
        </w:rPr>
        <w:fldChar w:fldCharType="separate"/>
      </w:r>
      <w:r w:rsidR="00D6133D">
        <w:rPr>
          <w:rFonts w:asciiTheme="majorHAnsi" w:hAnsiTheme="majorHAnsi" w:cstheme="majorHAnsi"/>
          <w:b/>
          <w:noProof/>
          <w:color w:val="0070C0"/>
          <w:sz w:val="24"/>
          <w:szCs w:val="24"/>
        </w:rPr>
        <w:t>7</w:t>
      </w:r>
      <w:r w:rsidRPr="006254AC">
        <w:rPr>
          <w:rFonts w:asciiTheme="majorHAnsi" w:hAnsiTheme="majorHAnsi" w:cstheme="majorHAnsi"/>
          <w:b/>
          <w:color w:val="0070C0"/>
          <w:sz w:val="24"/>
          <w:szCs w:val="24"/>
        </w:rPr>
        <w:fldChar w:fldCharType="end"/>
      </w:r>
      <w:r w:rsidRPr="006254AC">
        <w:rPr>
          <w:rFonts w:asciiTheme="majorHAnsi" w:hAnsiTheme="majorHAnsi" w:cstheme="majorHAnsi"/>
          <w:b/>
          <w:color w:val="0070C0"/>
          <w:sz w:val="24"/>
          <w:szCs w:val="24"/>
        </w:rPr>
        <w:t>:</w:t>
      </w:r>
      <w:r w:rsidRPr="006254AC">
        <w:rPr>
          <w:rFonts w:asciiTheme="majorHAnsi" w:hAnsiTheme="majorHAnsi" w:cstheme="majorHAnsi"/>
          <w:b/>
          <w:bCs/>
          <w:iCs w:val="0"/>
          <w:color w:val="0070C0"/>
          <w:sz w:val="24"/>
          <w:szCs w:val="24"/>
        </w:rPr>
        <w:t xml:space="preserve"> Reinforce capacity </w:t>
      </w:r>
      <w:r>
        <w:rPr>
          <w:rFonts w:asciiTheme="majorHAnsi" w:hAnsiTheme="majorHAnsi" w:cstheme="majorHAnsi"/>
          <w:b/>
          <w:bCs/>
          <w:iCs w:val="0"/>
          <w:color w:val="0070C0"/>
          <w:sz w:val="24"/>
          <w:szCs w:val="24"/>
        </w:rPr>
        <w:t>of DOs, principals and school stakeholders on Participatory Planning and Development</w:t>
      </w:r>
      <w:r w:rsidRPr="006254AC">
        <w:rPr>
          <w:rFonts w:asciiTheme="majorHAnsi" w:hAnsiTheme="majorHAnsi" w:cstheme="majorHAnsi"/>
          <w:b/>
          <w:bCs/>
          <w:iCs w:val="0"/>
          <w:color w:val="0070C0"/>
          <w:sz w:val="24"/>
          <w:szCs w:val="24"/>
        </w:rPr>
        <w:t xml:space="preserve"> [</w:t>
      </w:r>
      <w:r>
        <w:rPr>
          <w:rFonts w:asciiTheme="majorHAnsi" w:hAnsiTheme="majorHAnsi" w:cstheme="majorHAnsi"/>
          <w:b/>
          <w:bCs/>
          <w:iCs w:val="0"/>
          <w:color w:val="0070C0"/>
          <w:sz w:val="24"/>
          <w:szCs w:val="24"/>
        </w:rPr>
        <w:t>DepEd</w:t>
      </w:r>
      <w:r w:rsidRPr="006254AC">
        <w:rPr>
          <w:rFonts w:asciiTheme="majorHAnsi" w:hAnsiTheme="majorHAnsi" w:cstheme="majorHAnsi"/>
          <w:b/>
          <w:bCs/>
          <w:iCs w:val="0"/>
          <w:color w:val="0070C0"/>
          <w:sz w:val="24"/>
          <w:szCs w:val="24"/>
        </w:rPr>
        <w:t>]</w:t>
      </w:r>
    </w:p>
    <w:p w14:paraId="083CCA2F" w14:textId="6793F807" w:rsidR="008D0CAD" w:rsidRPr="001A3F16" w:rsidRDefault="008D0CAD" w:rsidP="009443E0">
      <w:pPr>
        <w:spacing w:before="100" w:beforeAutospacing="1" w:after="100" w:afterAutospacing="1" w:line="360" w:lineRule="auto"/>
        <w:rPr>
          <w:rFonts w:asciiTheme="majorHAnsi" w:hAnsiTheme="majorHAnsi" w:cstheme="majorHAnsi"/>
          <w:color w:val="000000"/>
        </w:rPr>
      </w:pPr>
      <w:r w:rsidRPr="00E1010D">
        <w:rPr>
          <w:rFonts w:asciiTheme="majorHAnsi" w:hAnsiTheme="majorHAnsi" w:cstheme="majorHAnsi"/>
          <w:color w:val="000000"/>
        </w:rPr>
        <w:t xml:space="preserve">Inherent in the use of the participatory approach to development is the levelling of capacity to participate on </w:t>
      </w:r>
      <w:r>
        <w:rPr>
          <w:rFonts w:asciiTheme="majorHAnsi" w:hAnsiTheme="majorHAnsi" w:cstheme="majorHAnsi"/>
          <w:color w:val="000000"/>
        </w:rPr>
        <w:t xml:space="preserve">both </w:t>
      </w:r>
      <w:r w:rsidRPr="00E1010D">
        <w:rPr>
          <w:rFonts w:asciiTheme="majorHAnsi" w:hAnsiTheme="majorHAnsi" w:cstheme="majorHAnsi"/>
          <w:color w:val="000000"/>
        </w:rPr>
        <w:t xml:space="preserve">the side of external stakeholders and the capacity to delegate on the side of </w:t>
      </w:r>
      <w:r>
        <w:rPr>
          <w:rFonts w:asciiTheme="majorHAnsi" w:hAnsiTheme="majorHAnsi" w:cstheme="majorHAnsi"/>
          <w:color w:val="000000"/>
        </w:rPr>
        <w:t>DepEd - or at the very least, making stakeholders aware of power asymmetries.</w:t>
      </w:r>
      <w:r w:rsidR="00D434EB">
        <w:rPr>
          <w:rFonts w:asciiTheme="majorHAnsi" w:hAnsiTheme="majorHAnsi" w:cstheme="majorHAnsi"/>
          <w:color w:val="000000"/>
        </w:rPr>
        <w:t xml:space="preserve"> </w:t>
      </w:r>
      <w:r>
        <w:rPr>
          <w:rFonts w:asciiTheme="majorHAnsi" w:hAnsiTheme="majorHAnsi" w:cstheme="majorHAnsi"/>
          <w:color w:val="000000"/>
        </w:rPr>
        <w:t xml:space="preserve">At most, building the </w:t>
      </w:r>
      <w:r w:rsidRPr="00E1010D">
        <w:rPr>
          <w:rFonts w:asciiTheme="majorHAnsi" w:hAnsiTheme="majorHAnsi" w:cstheme="majorHAnsi"/>
          <w:color w:val="000000"/>
        </w:rPr>
        <w:t>capacit</w:t>
      </w:r>
      <w:r>
        <w:rPr>
          <w:rFonts w:asciiTheme="majorHAnsi" w:hAnsiTheme="majorHAnsi" w:cstheme="majorHAnsi"/>
          <w:color w:val="000000"/>
        </w:rPr>
        <w:t>y of</w:t>
      </w:r>
      <w:r w:rsidRPr="00E1010D">
        <w:rPr>
          <w:rFonts w:asciiTheme="majorHAnsi" w:hAnsiTheme="majorHAnsi" w:cstheme="majorHAnsi"/>
          <w:color w:val="000000"/>
        </w:rPr>
        <w:t xml:space="preserve"> both school stakeholders and </w:t>
      </w:r>
      <w:r>
        <w:rPr>
          <w:rFonts w:asciiTheme="majorHAnsi" w:hAnsiTheme="majorHAnsi" w:cstheme="majorHAnsi"/>
          <w:color w:val="000000"/>
        </w:rPr>
        <w:t>DepEd</w:t>
      </w:r>
      <w:r w:rsidRPr="00E1010D">
        <w:rPr>
          <w:rFonts w:asciiTheme="majorHAnsi" w:hAnsiTheme="majorHAnsi" w:cstheme="majorHAnsi"/>
          <w:color w:val="000000"/>
        </w:rPr>
        <w:t> in the principles and methods of participation</w:t>
      </w:r>
      <w:r>
        <w:rPr>
          <w:rFonts w:asciiTheme="majorHAnsi" w:hAnsiTheme="majorHAnsi" w:cstheme="majorHAnsi"/>
          <w:color w:val="000000"/>
        </w:rPr>
        <w:t xml:space="preserve"> would help improve the quality of participation and </w:t>
      </w:r>
      <w:r w:rsidRPr="00E1010D">
        <w:rPr>
          <w:rFonts w:asciiTheme="majorHAnsi" w:hAnsiTheme="majorHAnsi" w:cstheme="majorHAnsi"/>
          <w:color w:val="000000"/>
        </w:rPr>
        <w:t>S</w:t>
      </w:r>
      <w:r>
        <w:rPr>
          <w:rFonts w:asciiTheme="majorHAnsi" w:hAnsiTheme="majorHAnsi" w:cstheme="majorHAnsi"/>
          <w:color w:val="000000"/>
        </w:rPr>
        <w:t xml:space="preserve">chool </w:t>
      </w:r>
      <w:r w:rsidRPr="00E1010D">
        <w:rPr>
          <w:rFonts w:asciiTheme="majorHAnsi" w:hAnsiTheme="majorHAnsi" w:cstheme="majorHAnsi"/>
          <w:color w:val="000000"/>
        </w:rPr>
        <w:t>I</w:t>
      </w:r>
      <w:r>
        <w:rPr>
          <w:rFonts w:asciiTheme="majorHAnsi" w:hAnsiTheme="majorHAnsi" w:cstheme="majorHAnsi"/>
          <w:color w:val="000000"/>
        </w:rPr>
        <w:t xml:space="preserve">mprovement </w:t>
      </w:r>
      <w:r w:rsidRPr="00E1010D">
        <w:rPr>
          <w:rFonts w:asciiTheme="majorHAnsi" w:hAnsiTheme="majorHAnsi" w:cstheme="majorHAnsi"/>
          <w:color w:val="000000"/>
        </w:rPr>
        <w:t>P</w:t>
      </w:r>
      <w:r>
        <w:rPr>
          <w:rFonts w:asciiTheme="majorHAnsi" w:hAnsiTheme="majorHAnsi" w:cstheme="majorHAnsi"/>
          <w:color w:val="000000"/>
        </w:rPr>
        <w:t>lan</w:t>
      </w:r>
      <w:r w:rsidRPr="00E1010D">
        <w:rPr>
          <w:rFonts w:asciiTheme="majorHAnsi" w:hAnsiTheme="majorHAnsi" w:cstheme="majorHAnsi"/>
          <w:color w:val="000000"/>
        </w:rPr>
        <w:t xml:space="preserve">s </w:t>
      </w:r>
      <w:r>
        <w:rPr>
          <w:rFonts w:asciiTheme="majorHAnsi" w:hAnsiTheme="majorHAnsi" w:cstheme="majorHAnsi"/>
          <w:color w:val="000000"/>
        </w:rPr>
        <w:t>would become</w:t>
      </w:r>
      <w:r w:rsidRPr="00E1010D">
        <w:rPr>
          <w:rFonts w:asciiTheme="majorHAnsi" w:hAnsiTheme="majorHAnsi" w:cstheme="majorHAnsi"/>
          <w:color w:val="000000"/>
        </w:rPr>
        <w:t xml:space="preserve"> more </w:t>
      </w:r>
      <w:r>
        <w:rPr>
          <w:rFonts w:asciiTheme="majorHAnsi" w:hAnsiTheme="majorHAnsi" w:cstheme="majorHAnsi"/>
          <w:color w:val="000000"/>
        </w:rPr>
        <w:t>meaningful</w:t>
      </w:r>
      <w:r w:rsidRPr="00E1010D">
        <w:rPr>
          <w:rFonts w:asciiTheme="majorHAnsi" w:hAnsiTheme="majorHAnsi" w:cstheme="majorHAnsi"/>
          <w:color w:val="000000"/>
        </w:rPr>
        <w:t xml:space="preserve"> to the users.</w:t>
      </w:r>
      <w:r w:rsidR="00D354DC">
        <w:rPr>
          <w:rFonts w:asciiTheme="majorHAnsi" w:hAnsiTheme="majorHAnsi" w:cstheme="majorHAnsi"/>
          <w:color w:val="000000"/>
        </w:rPr>
        <w:t xml:space="preserve"> Thus,</w:t>
      </w:r>
      <w:r>
        <w:rPr>
          <w:rFonts w:asciiTheme="majorHAnsi" w:hAnsiTheme="majorHAnsi" w:cstheme="majorHAnsi"/>
          <w:color w:val="000000"/>
        </w:rPr>
        <w:t xml:space="preserve"> the conduct of capacity building on participatory approaches to development is critical. This capacity building should include DepEd</w:t>
      </w:r>
      <w:r w:rsidRPr="00E1010D">
        <w:rPr>
          <w:rFonts w:asciiTheme="majorHAnsi" w:hAnsiTheme="majorHAnsi" w:cstheme="majorHAnsi"/>
          <w:color w:val="000000"/>
        </w:rPr>
        <w:t xml:space="preserve"> </w:t>
      </w:r>
      <w:r>
        <w:rPr>
          <w:rFonts w:asciiTheme="majorHAnsi" w:hAnsiTheme="majorHAnsi" w:cstheme="majorHAnsi"/>
          <w:color w:val="000000"/>
        </w:rPr>
        <w:t xml:space="preserve">making the conscious decision to </w:t>
      </w:r>
      <w:r w:rsidRPr="00E1010D">
        <w:rPr>
          <w:rFonts w:asciiTheme="majorHAnsi" w:hAnsiTheme="majorHAnsi" w:cstheme="majorHAnsi"/>
          <w:color w:val="000000"/>
        </w:rPr>
        <w:t>allow school</w:t>
      </w:r>
      <w:r>
        <w:rPr>
          <w:rFonts w:asciiTheme="majorHAnsi" w:hAnsiTheme="majorHAnsi" w:cstheme="majorHAnsi"/>
          <w:color w:val="000000"/>
        </w:rPr>
        <w:t>-level</w:t>
      </w:r>
      <w:r w:rsidRPr="00E1010D">
        <w:rPr>
          <w:rFonts w:asciiTheme="majorHAnsi" w:hAnsiTheme="majorHAnsi" w:cstheme="majorHAnsi"/>
          <w:color w:val="000000"/>
        </w:rPr>
        <w:t xml:space="preserve"> stakeholders </w:t>
      </w:r>
      <w:r>
        <w:rPr>
          <w:rFonts w:asciiTheme="majorHAnsi" w:hAnsiTheme="majorHAnsi" w:cstheme="majorHAnsi"/>
          <w:color w:val="000000"/>
        </w:rPr>
        <w:t xml:space="preserve">to </w:t>
      </w:r>
      <w:r w:rsidRPr="00E1010D">
        <w:rPr>
          <w:rFonts w:asciiTheme="majorHAnsi" w:hAnsiTheme="majorHAnsi" w:cstheme="majorHAnsi"/>
          <w:color w:val="000000"/>
        </w:rPr>
        <w:t xml:space="preserve">make mistakes </w:t>
      </w:r>
      <w:r>
        <w:rPr>
          <w:rFonts w:asciiTheme="majorHAnsi" w:hAnsiTheme="majorHAnsi" w:cstheme="majorHAnsi"/>
          <w:color w:val="000000"/>
        </w:rPr>
        <w:t xml:space="preserve">in planning so that </w:t>
      </w:r>
      <w:r w:rsidRPr="00E1010D">
        <w:rPr>
          <w:rFonts w:asciiTheme="majorHAnsi" w:hAnsiTheme="majorHAnsi" w:cstheme="majorHAnsi"/>
          <w:color w:val="000000"/>
        </w:rPr>
        <w:t>learn</w:t>
      </w:r>
      <w:r>
        <w:rPr>
          <w:rFonts w:asciiTheme="majorHAnsi" w:hAnsiTheme="majorHAnsi" w:cstheme="majorHAnsi"/>
          <w:color w:val="000000"/>
        </w:rPr>
        <w:t>ing is</w:t>
      </w:r>
      <w:r w:rsidRPr="00E1010D">
        <w:rPr>
          <w:rFonts w:asciiTheme="majorHAnsi" w:hAnsiTheme="majorHAnsi" w:cstheme="majorHAnsi"/>
          <w:color w:val="000000"/>
        </w:rPr>
        <w:t xml:space="preserve"> </w:t>
      </w:r>
      <w:r>
        <w:rPr>
          <w:rFonts w:asciiTheme="majorHAnsi" w:hAnsiTheme="majorHAnsi" w:cstheme="majorHAnsi"/>
          <w:color w:val="000000"/>
        </w:rPr>
        <w:t xml:space="preserve">internalised </w:t>
      </w:r>
      <w:r w:rsidRPr="00E1010D">
        <w:rPr>
          <w:rFonts w:asciiTheme="majorHAnsi" w:hAnsiTheme="majorHAnsi" w:cstheme="majorHAnsi"/>
          <w:color w:val="000000"/>
        </w:rPr>
        <w:t>over</w:t>
      </w:r>
      <w:r>
        <w:rPr>
          <w:rFonts w:asciiTheme="majorHAnsi" w:hAnsiTheme="majorHAnsi" w:cstheme="majorHAnsi"/>
          <w:color w:val="000000"/>
        </w:rPr>
        <w:t xml:space="preserve"> </w:t>
      </w:r>
      <w:r w:rsidRPr="00E1010D">
        <w:rPr>
          <w:rFonts w:asciiTheme="majorHAnsi" w:hAnsiTheme="majorHAnsi" w:cstheme="majorHAnsi"/>
          <w:color w:val="000000"/>
        </w:rPr>
        <w:t>time.</w:t>
      </w:r>
    </w:p>
    <w:p w14:paraId="1F252FFD" w14:textId="1D407159" w:rsidR="008D0CAD" w:rsidRPr="006319B2" w:rsidRDefault="008D0CAD" w:rsidP="009443E0">
      <w:pPr>
        <w:spacing w:before="100" w:beforeAutospacing="1" w:after="100" w:afterAutospacing="1" w:line="360" w:lineRule="auto"/>
        <w:rPr>
          <w:rFonts w:asciiTheme="majorHAnsi" w:hAnsiTheme="majorHAnsi" w:cstheme="majorHAnsi"/>
          <w:bCs/>
          <w:iCs/>
          <w:color w:val="000000" w:themeColor="text1"/>
        </w:rPr>
      </w:pPr>
      <w:r>
        <w:rPr>
          <w:rFonts w:asciiTheme="majorHAnsi" w:hAnsiTheme="majorHAnsi" w:cstheme="majorHAnsi"/>
          <w:bCs/>
          <w:iCs/>
          <w:color w:val="000000" w:themeColor="text1"/>
        </w:rPr>
        <w:t>Moreover, o</w:t>
      </w:r>
      <w:r w:rsidRPr="006319B2">
        <w:rPr>
          <w:rFonts w:asciiTheme="majorHAnsi" w:hAnsiTheme="majorHAnsi" w:cstheme="majorHAnsi"/>
          <w:bCs/>
          <w:iCs/>
          <w:color w:val="000000" w:themeColor="text1"/>
        </w:rPr>
        <w:t xml:space="preserve">ne long-standing precept validated by the </w:t>
      </w:r>
      <w:r>
        <w:rPr>
          <w:rFonts w:asciiTheme="majorHAnsi" w:hAnsiTheme="majorHAnsi" w:cstheme="majorHAnsi"/>
          <w:bCs/>
          <w:iCs/>
          <w:color w:val="000000" w:themeColor="text1"/>
        </w:rPr>
        <w:t>Evaluation Study</w:t>
      </w:r>
      <w:r w:rsidRPr="006319B2">
        <w:rPr>
          <w:rFonts w:asciiTheme="majorHAnsi" w:hAnsiTheme="majorHAnsi" w:cstheme="majorHAnsi"/>
          <w:bCs/>
          <w:iCs/>
          <w:color w:val="000000" w:themeColor="text1"/>
        </w:rPr>
        <w:t xml:space="preserve"> is that </w:t>
      </w:r>
      <w:r>
        <w:rPr>
          <w:rFonts w:asciiTheme="majorHAnsi" w:hAnsiTheme="majorHAnsi" w:cstheme="majorHAnsi"/>
          <w:bCs/>
          <w:iCs/>
          <w:color w:val="000000" w:themeColor="text1"/>
        </w:rPr>
        <w:t>principals</w:t>
      </w:r>
      <w:r w:rsidRPr="006319B2">
        <w:rPr>
          <w:rFonts w:asciiTheme="majorHAnsi" w:hAnsiTheme="majorHAnsi" w:cstheme="majorHAnsi"/>
          <w:bCs/>
          <w:iCs/>
          <w:color w:val="000000" w:themeColor="text1"/>
        </w:rPr>
        <w:t xml:space="preserve"> are the lynchpins of basic education reforms</w:t>
      </w:r>
      <w:r>
        <w:rPr>
          <w:rFonts w:asciiTheme="majorHAnsi" w:hAnsiTheme="majorHAnsi" w:cstheme="majorHAnsi"/>
          <w:bCs/>
          <w:iCs/>
          <w:color w:val="000000" w:themeColor="text1"/>
        </w:rPr>
        <w:t xml:space="preserve"> at the school level</w:t>
      </w:r>
      <w:r w:rsidRPr="006319B2">
        <w:rPr>
          <w:rFonts w:asciiTheme="majorHAnsi" w:hAnsiTheme="majorHAnsi" w:cstheme="majorHAnsi"/>
          <w:bCs/>
          <w:iCs/>
          <w:color w:val="000000" w:themeColor="text1"/>
        </w:rPr>
        <w:t>. In schools that performed better or had better data records, the principals were very supportive of the teachers.</w:t>
      </w:r>
      <w:r w:rsidR="00D434EB">
        <w:rPr>
          <w:rFonts w:asciiTheme="majorHAnsi" w:hAnsiTheme="majorHAnsi" w:cstheme="majorHAnsi"/>
          <w:bCs/>
          <w:iCs/>
          <w:color w:val="000000" w:themeColor="text1"/>
        </w:rPr>
        <w:t xml:space="preserve"> </w:t>
      </w:r>
      <w:r>
        <w:rPr>
          <w:rFonts w:asciiTheme="majorHAnsi" w:hAnsiTheme="majorHAnsi" w:cstheme="majorHAnsi"/>
          <w:bCs/>
          <w:iCs/>
          <w:color w:val="000000" w:themeColor="text1"/>
        </w:rPr>
        <w:t>S</w:t>
      </w:r>
      <w:r w:rsidRPr="006319B2">
        <w:rPr>
          <w:rFonts w:asciiTheme="majorHAnsi" w:hAnsiTheme="majorHAnsi" w:cstheme="majorHAnsi"/>
          <w:bCs/>
          <w:iCs/>
          <w:color w:val="000000" w:themeColor="text1"/>
        </w:rPr>
        <w:t xml:space="preserve">chools </w:t>
      </w:r>
      <w:r>
        <w:rPr>
          <w:rFonts w:asciiTheme="majorHAnsi" w:hAnsiTheme="majorHAnsi" w:cstheme="majorHAnsi"/>
          <w:bCs/>
          <w:iCs/>
          <w:color w:val="000000" w:themeColor="text1"/>
        </w:rPr>
        <w:t>in which</w:t>
      </w:r>
      <w:r w:rsidRPr="006319B2">
        <w:rPr>
          <w:rFonts w:asciiTheme="majorHAnsi" w:hAnsiTheme="majorHAnsi" w:cstheme="majorHAnsi"/>
          <w:bCs/>
          <w:iCs/>
          <w:color w:val="000000" w:themeColor="text1"/>
        </w:rPr>
        <w:t xml:space="preserve"> teachers were more proactive and upbeat </w:t>
      </w:r>
      <w:r>
        <w:rPr>
          <w:rFonts w:asciiTheme="majorHAnsi" w:hAnsiTheme="majorHAnsi" w:cstheme="majorHAnsi"/>
          <w:bCs/>
          <w:iCs/>
          <w:color w:val="000000" w:themeColor="text1"/>
        </w:rPr>
        <w:t xml:space="preserve">tended to </w:t>
      </w:r>
      <w:r w:rsidRPr="006319B2">
        <w:rPr>
          <w:rFonts w:asciiTheme="majorHAnsi" w:hAnsiTheme="majorHAnsi" w:cstheme="majorHAnsi"/>
          <w:bCs/>
          <w:iCs/>
          <w:color w:val="000000" w:themeColor="text1"/>
        </w:rPr>
        <w:t>ha</w:t>
      </w:r>
      <w:r>
        <w:rPr>
          <w:rFonts w:asciiTheme="majorHAnsi" w:hAnsiTheme="majorHAnsi" w:cstheme="majorHAnsi"/>
          <w:bCs/>
          <w:iCs/>
          <w:color w:val="000000" w:themeColor="text1"/>
        </w:rPr>
        <w:t>ve</w:t>
      </w:r>
      <w:r w:rsidRPr="006319B2">
        <w:rPr>
          <w:rFonts w:asciiTheme="majorHAnsi" w:hAnsiTheme="majorHAnsi" w:cstheme="majorHAnsi"/>
          <w:bCs/>
          <w:iCs/>
          <w:color w:val="000000" w:themeColor="text1"/>
        </w:rPr>
        <w:t xml:space="preserve"> principals who were more collaborative and developmental in orientation.</w:t>
      </w:r>
      <w:r w:rsidR="00D434EB">
        <w:rPr>
          <w:rFonts w:asciiTheme="majorHAnsi" w:hAnsiTheme="majorHAnsi" w:cstheme="majorHAnsi"/>
          <w:bCs/>
          <w:iCs/>
          <w:color w:val="000000" w:themeColor="text1"/>
        </w:rPr>
        <w:t xml:space="preserve"> </w:t>
      </w:r>
      <w:r w:rsidRPr="006319B2">
        <w:rPr>
          <w:rFonts w:asciiTheme="majorHAnsi" w:hAnsiTheme="majorHAnsi" w:cstheme="majorHAnsi"/>
          <w:bCs/>
          <w:iCs/>
          <w:color w:val="000000" w:themeColor="text1"/>
        </w:rPr>
        <w:t>On the other hand, in schools where teachers demonstrated the opposite attitudes</w:t>
      </w:r>
      <w:r w:rsidRPr="006319B2">
        <w:rPr>
          <w:rStyle w:val="FootnoteReference"/>
          <w:rFonts w:asciiTheme="majorHAnsi" w:eastAsiaTheme="majorEastAsia" w:hAnsiTheme="majorHAnsi" w:cstheme="majorHAnsi"/>
          <w:bCs/>
          <w:iCs/>
          <w:color w:val="000000" w:themeColor="text1"/>
        </w:rPr>
        <w:footnoteReference w:id="124"/>
      </w:r>
      <w:r w:rsidRPr="006319B2">
        <w:rPr>
          <w:rFonts w:asciiTheme="majorHAnsi" w:hAnsiTheme="majorHAnsi" w:cstheme="majorHAnsi"/>
          <w:bCs/>
          <w:iCs/>
          <w:color w:val="000000" w:themeColor="text1"/>
        </w:rPr>
        <w:t>, the principals were perceived to be less developmental.</w:t>
      </w:r>
    </w:p>
    <w:p w14:paraId="70AEB840" w14:textId="2C196812" w:rsidR="008D0CAD" w:rsidRPr="006319B2" w:rsidRDefault="008D0CAD" w:rsidP="009443E0">
      <w:pPr>
        <w:spacing w:before="100" w:beforeAutospacing="1" w:after="100" w:afterAutospacing="1" w:line="360" w:lineRule="auto"/>
        <w:rPr>
          <w:rFonts w:asciiTheme="majorHAnsi" w:hAnsiTheme="majorHAnsi" w:cstheme="majorHAnsi"/>
          <w:bCs/>
          <w:iCs/>
          <w:color w:val="000000" w:themeColor="text1"/>
        </w:rPr>
      </w:pPr>
      <w:r w:rsidRPr="006319B2">
        <w:rPr>
          <w:rFonts w:asciiTheme="majorHAnsi" w:hAnsiTheme="majorHAnsi" w:cstheme="majorHAnsi"/>
          <w:bCs/>
          <w:iCs/>
          <w:color w:val="000000" w:themeColor="text1"/>
        </w:rPr>
        <w:t>No matter how much capacity building is given to the teachers, they cannot institute changes in the schools without support</w:t>
      </w:r>
      <w:r>
        <w:rPr>
          <w:rFonts w:asciiTheme="majorHAnsi" w:hAnsiTheme="majorHAnsi" w:cstheme="majorHAnsi"/>
          <w:bCs/>
          <w:iCs/>
          <w:color w:val="000000" w:themeColor="text1"/>
        </w:rPr>
        <w:t xml:space="preserve"> from principals</w:t>
      </w:r>
      <w:r w:rsidRPr="006319B2">
        <w:rPr>
          <w:rFonts w:asciiTheme="majorHAnsi" w:hAnsiTheme="majorHAnsi" w:cstheme="majorHAnsi"/>
          <w:bCs/>
          <w:iCs/>
          <w:color w:val="000000" w:themeColor="text1"/>
        </w:rPr>
        <w:t>.</w:t>
      </w:r>
      <w:r w:rsidR="00D434EB">
        <w:rPr>
          <w:rFonts w:asciiTheme="majorHAnsi" w:hAnsiTheme="majorHAnsi" w:cstheme="majorHAnsi"/>
          <w:bCs/>
          <w:iCs/>
          <w:color w:val="000000" w:themeColor="text1"/>
        </w:rPr>
        <w:t xml:space="preserve"> </w:t>
      </w:r>
      <w:r w:rsidRPr="006319B2">
        <w:rPr>
          <w:rFonts w:asciiTheme="majorHAnsi" w:hAnsiTheme="majorHAnsi" w:cstheme="majorHAnsi"/>
          <w:bCs/>
          <w:iCs/>
          <w:color w:val="000000" w:themeColor="text1"/>
        </w:rPr>
        <w:t>Recogni</w:t>
      </w:r>
      <w:r>
        <w:rPr>
          <w:rFonts w:asciiTheme="majorHAnsi" w:hAnsiTheme="majorHAnsi" w:cstheme="majorHAnsi"/>
          <w:bCs/>
          <w:iCs/>
          <w:color w:val="000000" w:themeColor="text1"/>
        </w:rPr>
        <w:t>s</w:t>
      </w:r>
      <w:r w:rsidRPr="006319B2">
        <w:rPr>
          <w:rFonts w:asciiTheme="majorHAnsi" w:hAnsiTheme="majorHAnsi" w:cstheme="majorHAnsi"/>
          <w:bCs/>
          <w:iCs/>
          <w:color w:val="000000" w:themeColor="text1"/>
        </w:rPr>
        <w:t xml:space="preserve">ing this situation, it is </w:t>
      </w:r>
      <w:r>
        <w:rPr>
          <w:rFonts w:asciiTheme="majorHAnsi" w:hAnsiTheme="majorHAnsi" w:cstheme="majorHAnsi"/>
          <w:bCs/>
          <w:iCs/>
          <w:color w:val="000000" w:themeColor="text1"/>
        </w:rPr>
        <w:t>thus</w:t>
      </w:r>
      <w:r w:rsidRPr="006319B2">
        <w:rPr>
          <w:rFonts w:asciiTheme="majorHAnsi" w:hAnsiTheme="majorHAnsi" w:cstheme="majorHAnsi"/>
          <w:bCs/>
          <w:iCs/>
          <w:color w:val="000000" w:themeColor="text1"/>
        </w:rPr>
        <w:t xml:space="preserve"> </w:t>
      </w:r>
      <w:r>
        <w:rPr>
          <w:rFonts w:asciiTheme="majorHAnsi" w:hAnsiTheme="majorHAnsi" w:cstheme="majorHAnsi"/>
          <w:bCs/>
          <w:iCs/>
          <w:color w:val="000000" w:themeColor="text1"/>
        </w:rPr>
        <w:t>strategic</w:t>
      </w:r>
      <w:r w:rsidRPr="006319B2">
        <w:rPr>
          <w:rFonts w:asciiTheme="majorHAnsi" w:hAnsiTheme="majorHAnsi" w:cstheme="majorHAnsi"/>
          <w:bCs/>
          <w:iCs/>
          <w:color w:val="000000" w:themeColor="text1"/>
        </w:rPr>
        <w:t xml:space="preserve"> to continue to strengthen the leadership capacity of </w:t>
      </w:r>
      <w:r>
        <w:rPr>
          <w:rFonts w:asciiTheme="majorHAnsi" w:hAnsiTheme="majorHAnsi" w:cstheme="majorHAnsi"/>
          <w:bCs/>
          <w:iCs/>
          <w:color w:val="000000" w:themeColor="text1"/>
        </w:rPr>
        <w:t>principals</w:t>
      </w:r>
      <w:r w:rsidRPr="006319B2">
        <w:rPr>
          <w:rFonts w:asciiTheme="majorHAnsi" w:hAnsiTheme="majorHAnsi" w:cstheme="majorHAnsi"/>
          <w:bCs/>
          <w:iCs/>
          <w:color w:val="000000" w:themeColor="text1"/>
        </w:rPr>
        <w:t xml:space="preserve"> in terms of more intensive and higher quality Leadership and Management development programs.</w:t>
      </w:r>
      <w:r w:rsidR="00D434EB">
        <w:rPr>
          <w:rFonts w:asciiTheme="majorHAnsi" w:hAnsiTheme="majorHAnsi" w:cstheme="majorHAnsi"/>
          <w:bCs/>
          <w:iCs/>
          <w:color w:val="000000" w:themeColor="text1"/>
        </w:rPr>
        <w:t xml:space="preserve"> </w:t>
      </w:r>
      <w:r w:rsidRPr="006319B2">
        <w:rPr>
          <w:rFonts w:asciiTheme="majorHAnsi" w:hAnsiTheme="majorHAnsi" w:cstheme="majorHAnsi"/>
          <w:bCs/>
          <w:iCs/>
          <w:color w:val="000000" w:themeColor="text1"/>
        </w:rPr>
        <w:t xml:space="preserve">The planned leadership and management courses to be conducted by the transformed NEAP is a step in the right direction. </w:t>
      </w:r>
    </w:p>
    <w:p w14:paraId="79DF6A0E" w14:textId="09C0803A" w:rsidR="008D0CAD" w:rsidRPr="0047501C" w:rsidRDefault="008D0CAD" w:rsidP="009443E0">
      <w:pPr>
        <w:spacing w:before="100" w:beforeAutospacing="1" w:after="100" w:afterAutospacing="1" w:line="360" w:lineRule="auto"/>
        <w:rPr>
          <w:rFonts w:asciiTheme="majorHAnsi" w:hAnsiTheme="majorHAnsi" w:cstheme="majorHAnsi"/>
          <w:color w:val="000000" w:themeColor="text1"/>
        </w:rPr>
      </w:pPr>
      <w:r w:rsidRPr="006319B2">
        <w:rPr>
          <w:rFonts w:asciiTheme="majorHAnsi" w:hAnsiTheme="majorHAnsi" w:cstheme="majorHAnsi"/>
          <w:bCs/>
          <w:iCs/>
          <w:color w:val="000000" w:themeColor="text1"/>
        </w:rPr>
        <w:t>The Follow-up study reinforced this finding.</w:t>
      </w:r>
      <w:r w:rsidR="00D434EB">
        <w:rPr>
          <w:rFonts w:asciiTheme="majorHAnsi" w:hAnsiTheme="majorHAnsi" w:cstheme="majorHAnsi"/>
          <w:bCs/>
          <w:iCs/>
          <w:color w:val="000000" w:themeColor="text1"/>
        </w:rPr>
        <w:t xml:space="preserve"> </w:t>
      </w:r>
      <w:r w:rsidRPr="006319B2">
        <w:rPr>
          <w:rFonts w:asciiTheme="majorHAnsi" w:hAnsiTheme="majorHAnsi" w:cstheme="majorHAnsi"/>
          <w:bCs/>
          <w:iCs/>
          <w:color w:val="000000" w:themeColor="text1"/>
        </w:rPr>
        <w:t xml:space="preserve">The most significant intervention for </w:t>
      </w:r>
      <w:r>
        <w:rPr>
          <w:rFonts w:asciiTheme="majorHAnsi" w:hAnsiTheme="majorHAnsi" w:cstheme="majorHAnsi"/>
          <w:bCs/>
          <w:iCs/>
          <w:color w:val="000000" w:themeColor="text1"/>
        </w:rPr>
        <w:t>principals</w:t>
      </w:r>
      <w:r w:rsidRPr="006319B2">
        <w:rPr>
          <w:rFonts w:asciiTheme="majorHAnsi" w:hAnsiTheme="majorHAnsi" w:cstheme="majorHAnsi"/>
          <w:bCs/>
          <w:iCs/>
          <w:color w:val="000000" w:themeColor="text1"/>
        </w:rPr>
        <w:t xml:space="preserve"> was the SBM.</w:t>
      </w:r>
      <w:r w:rsidR="00D434EB">
        <w:rPr>
          <w:rFonts w:asciiTheme="majorHAnsi" w:hAnsiTheme="majorHAnsi" w:cstheme="majorHAnsi"/>
          <w:bCs/>
          <w:iCs/>
          <w:color w:val="000000" w:themeColor="text1"/>
        </w:rPr>
        <w:t xml:space="preserve"> </w:t>
      </w:r>
      <w:r w:rsidRPr="006319B2">
        <w:rPr>
          <w:rFonts w:asciiTheme="majorHAnsi" w:hAnsiTheme="majorHAnsi" w:cstheme="majorHAnsi"/>
          <w:bCs/>
          <w:iCs/>
          <w:color w:val="000000" w:themeColor="text1"/>
        </w:rPr>
        <w:t>This provided them with added managerial skills in running the school and improved their external relations with their stakeholders through collaboration in the</w:t>
      </w:r>
      <w:r>
        <w:rPr>
          <w:rFonts w:asciiTheme="majorHAnsi" w:hAnsiTheme="majorHAnsi" w:cstheme="majorHAnsi"/>
          <w:bCs/>
          <w:iCs/>
          <w:color w:val="000000" w:themeColor="text1"/>
        </w:rPr>
        <w:t xml:space="preserve"> development of</w:t>
      </w:r>
      <w:r w:rsidRPr="006319B2">
        <w:rPr>
          <w:rFonts w:asciiTheme="majorHAnsi" w:hAnsiTheme="majorHAnsi" w:cstheme="majorHAnsi"/>
          <w:bCs/>
          <w:iCs/>
          <w:color w:val="000000" w:themeColor="text1"/>
        </w:rPr>
        <w:t xml:space="preserve"> SIP</w:t>
      </w:r>
      <w:r>
        <w:rPr>
          <w:rFonts w:asciiTheme="majorHAnsi" w:hAnsiTheme="majorHAnsi" w:cstheme="majorHAnsi"/>
          <w:bCs/>
          <w:iCs/>
          <w:color w:val="000000" w:themeColor="text1"/>
        </w:rPr>
        <w:t>s</w:t>
      </w:r>
      <w:r w:rsidRPr="006319B2">
        <w:rPr>
          <w:rFonts w:asciiTheme="majorHAnsi" w:hAnsiTheme="majorHAnsi" w:cstheme="majorHAnsi"/>
          <w:bCs/>
          <w:iCs/>
          <w:color w:val="000000" w:themeColor="text1"/>
        </w:rPr>
        <w:t>.</w:t>
      </w:r>
      <w:r w:rsidR="00D434EB">
        <w:rPr>
          <w:rFonts w:asciiTheme="majorHAnsi" w:hAnsiTheme="majorHAnsi" w:cstheme="majorHAnsi"/>
          <w:bCs/>
          <w:iCs/>
          <w:color w:val="000000" w:themeColor="text1"/>
        </w:rPr>
        <w:t xml:space="preserve"> </w:t>
      </w:r>
      <w:r w:rsidRPr="006319B2">
        <w:rPr>
          <w:rFonts w:asciiTheme="majorHAnsi" w:hAnsiTheme="majorHAnsi" w:cstheme="majorHAnsi"/>
          <w:bCs/>
          <w:iCs/>
          <w:color w:val="000000" w:themeColor="text1"/>
        </w:rPr>
        <w:t>Though at the</w:t>
      </w:r>
      <w:r w:rsidRPr="0047501C">
        <w:rPr>
          <w:rFonts w:asciiTheme="majorHAnsi" w:hAnsiTheme="majorHAnsi" w:cstheme="majorHAnsi"/>
          <w:bCs/>
          <w:iCs/>
          <w:color w:val="000000" w:themeColor="text1"/>
        </w:rPr>
        <w:t xml:space="preserve"> time of the Follow-up Study, engagement with stakeholders ha</w:t>
      </w:r>
      <w:r>
        <w:rPr>
          <w:rFonts w:asciiTheme="majorHAnsi" w:hAnsiTheme="majorHAnsi" w:cstheme="majorHAnsi"/>
          <w:bCs/>
          <w:iCs/>
          <w:color w:val="000000" w:themeColor="text1"/>
        </w:rPr>
        <w:t>d</w:t>
      </w:r>
      <w:r w:rsidRPr="0047501C">
        <w:rPr>
          <w:rFonts w:asciiTheme="majorHAnsi" w:hAnsiTheme="majorHAnsi" w:cstheme="majorHAnsi"/>
          <w:bCs/>
          <w:iCs/>
          <w:color w:val="000000" w:themeColor="text1"/>
        </w:rPr>
        <w:t xml:space="preserve"> improved, there still is room for participat</w:t>
      </w:r>
      <w:r>
        <w:rPr>
          <w:rFonts w:asciiTheme="majorHAnsi" w:hAnsiTheme="majorHAnsi" w:cstheme="majorHAnsi"/>
          <w:bCs/>
          <w:iCs/>
          <w:color w:val="000000" w:themeColor="text1"/>
        </w:rPr>
        <w:t>ory</w:t>
      </w:r>
      <w:r w:rsidRPr="0047501C">
        <w:rPr>
          <w:rFonts w:asciiTheme="majorHAnsi" w:hAnsiTheme="majorHAnsi" w:cstheme="majorHAnsi"/>
          <w:bCs/>
          <w:iCs/>
          <w:color w:val="000000" w:themeColor="text1"/>
        </w:rPr>
        <w:t>, rather than nominal engagement with stakeholders.</w:t>
      </w:r>
    </w:p>
    <w:p w14:paraId="0AF49034" w14:textId="680FC1C0" w:rsidR="008D0CAD" w:rsidRPr="00FF45FD" w:rsidRDefault="008D0CAD" w:rsidP="009443E0">
      <w:pPr>
        <w:spacing w:before="100" w:beforeAutospacing="1" w:after="100" w:afterAutospacing="1" w:line="360" w:lineRule="auto"/>
        <w:rPr>
          <w:rFonts w:asciiTheme="majorHAnsi" w:hAnsiTheme="majorHAnsi" w:cstheme="majorHAnsi"/>
          <w:color w:val="000000" w:themeColor="text1"/>
        </w:rPr>
      </w:pPr>
      <w:r w:rsidRPr="0047501C">
        <w:rPr>
          <w:rFonts w:asciiTheme="majorHAnsi" w:hAnsiTheme="majorHAnsi" w:cstheme="majorHAnsi"/>
          <w:bCs/>
          <w:iCs/>
          <w:color w:val="000000" w:themeColor="text1"/>
        </w:rPr>
        <w:t xml:space="preserve">Parallel to this intervention, strengthening of downward accountability of </w:t>
      </w:r>
      <w:r>
        <w:rPr>
          <w:rFonts w:asciiTheme="majorHAnsi" w:hAnsiTheme="majorHAnsi" w:cstheme="majorHAnsi"/>
          <w:bCs/>
          <w:iCs/>
          <w:color w:val="000000" w:themeColor="text1"/>
        </w:rPr>
        <w:t>principals</w:t>
      </w:r>
      <w:r w:rsidRPr="0047501C">
        <w:rPr>
          <w:rFonts w:asciiTheme="majorHAnsi" w:hAnsiTheme="majorHAnsi" w:cstheme="majorHAnsi"/>
          <w:bCs/>
          <w:iCs/>
          <w:color w:val="000000" w:themeColor="text1"/>
        </w:rPr>
        <w:t xml:space="preserve"> should be increased.</w:t>
      </w:r>
      <w:r w:rsidR="00D434EB">
        <w:rPr>
          <w:rFonts w:asciiTheme="majorHAnsi" w:hAnsiTheme="majorHAnsi" w:cstheme="majorHAnsi"/>
          <w:bCs/>
          <w:iCs/>
          <w:color w:val="000000" w:themeColor="text1"/>
        </w:rPr>
        <w:t xml:space="preserve"> </w:t>
      </w:r>
      <w:r w:rsidRPr="0047501C">
        <w:rPr>
          <w:rFonts w:asciiTheme="majorHAnsi" w:hAnsiTheme="majorHAnsi" w:cstheme="majorHAnsi"/>
          <w:bCs/>
          <w:iCs/>
          <w:color w:val="000000" w:themeColor="text1"/>
        </w:rPr>
        <w:t xml:space="preserve">This means ensuring that the principals report not only to the higher ups in the </w:t>
      </w:r>
      <w:r>
        <w:rPr>
          <w:rFonts w:asciiTheme="majorHAnsi" w:hAnsiTheme="majorHAnsi" w:cstheme="majorHAnsi"/>
          <w:color w:val="000000"/>
        </w:rPr>
        <w:t>DepEd</w:t>
      </w:r>
      <w:r w:rsidRPr="00E1010D">
        <w:rPr>
          <w:rFonts w:asciiTheme="majorHAnsi" w:hAnsiTheme="majorHAnsi" w:cstheme="majorHAnsi"/>
          <w:color w:val="000000"/>
        </w:rPr>
        <w:t xml:space="preserve"> </w:t>
      </w:r>
      <w:r w:rsidRPr="00FF45FD">
        <w:rPr>
          <w:rFonts w:asciiTheme="majorHAnsi" w:hAnsiTheme="majorHAnsi" w:cstheme="majorHAnsi"/>
          <w:bCs/>
          <w:iCs/>
          <w:color w:val="000000" w:themeColor="text1"/>
        </w:rPr>
        <w:t>hierarchy but also downward to the teachers, parents and students.</w:t>
      </w:r>
      <w:r w:rsidR="00D434EB">
        <w:rPr>
          <w:rFonts w:asciiTheme="majorHAnsi" w:hAnsiTheme="majorHAnsi" w:cstheme="majorHAnsi"/>
          <w:bCs/>
          <w:iCs/>
          <w:color w:val="000000" w:themeColor="text1"/>
        </w:rPr>
        <w:t xml:space="preserve"> </w:t>
      </w:r>
      <w:r w:rsidRPr="00FF45FD">
        <w:rPr>
          <w:rFonts w:asciiTheme="majorHAnsi" w:hAnsiTheme="majorHAnsi" w:cstheme="majorHAnsi"/>
          <w:bCs/>
          <w:iCs/>
          <w:color w:val="000000" w:themeColor="text1"/>
        </w:rPr>
        <w:t>It is further recommended that this downward accountability be formali</w:t>
      </w:r>
      <w:r>
        <w:rPr>
          <w:rFonts w:asciiTheme="majorHAnsi" w:hAnsiTheme="majorHAnsi" w:cstheme="majorHAnsi"/>
          <w:bCs/>
          <w:iCs/>
          <w:color w:val="000000" w:themeColor="text1"/>
        </w:rPr>
        <w:t>s</w:t>
      </w:r>
      <w:r w:rsidRPr="00FF45FD">
        <w:rPr>
          <w:rFonts w:asciiTheme="majorHAnsi" w:hAnsiTheme="majorHAnsi" w:cstheme="majorHAnsi"/>
          <w:bCs/>
          <w:iCs/>
          <w:color w:val="000000" w:themeColor="text1"/>
        </w:rPr>
        <w:t>ed in the sense that the opinions of school stakeholders contribute significantly to principals’ performance evaluation</w:t>
      </w:r>
      <w:r>
        <w:rPr>
          <w:rFonts w:asciiTheme="majorHAnsi" w:hAnsiTheme="majorHAnsi" w:cstheme="majorHAnsi"/>
          <w:bCs/>
          <w:iCs/>
          <w:color w:val="000000" w:themeColor="text1"/>
        </w:rPr>
        <w:t>s</w:t>
      </w:r>
      <w:r w:rsidRPr="00FF45FD">
        <w:rPr>
          <w:rFonts w:asciiTheme="majorHAnsi" w:hAnsiTheme="majorHAnsi" w:cstheme="majorHAnsi"/>
          <w:bCs/>
          <w:iCs/>
          <w:color w:val="000000" w:themeColor="text1"/>
        </w:rPr>
        <w:t>. Better performing schools should also be incentivi</w:t>
      </w:r>
      <w:r>
        <w:rPr>
          <w:rFonts w:asciiTheme="majorHAnsi" w:hAnsiTheme="majorHAnsi" w:cstheme="majorHAnsi"/>
          <w:bCs/>
          <w:iCs/>
          <w:color w:val="000000" w:themeColor="text1"/>
        </w:rPr>
        <w:t>s</w:t>
      </w:r>
      <w:r w:rsidRPr="00FF45FD">
        <w:rPr>
          <w:rFonts w:asciiTheme="majorHAnsi" w:hAnsiTheme="majorHAnsi" w:cstheme="majorHAnsi"/>
          <w:bCs/>
          <w:iCs/>
          <w:color w:val="000000" w:themeColor="text1"/>
        </w:rPr>
        <w:t>ed.</w:t>
      </w:r>
    </w:p>
    <w:p w14:paraId="634CCAC5" w14:textId="3F88CCC6" w:rsidR="008D0CAD" w:rsidRDefault="008D0CAD" w:rsidP="009443E0">
      <w:pPr>
        <w:spacing w:before="100" w:beforeAutospacing="1" w:after="100" w:afterAutospacing="1" w:line="360" w:lineRule="auto"/>
        <w:rPr>
          <w:rFonts w:asciiTheme="majorHAnsi" w:hAnsiTheme="majorHAnsi" w:cstheme="majorHAnsi"/>
          <w:bCs/>
          <w:color w:val="000000" w:themeColor="text1"/>
        </w:rPr>
      </w:pPr>
      <w:r w:rsidRPr="00FF45FD">
        <w:rPr>
          <w:rFonts w:asciiTheme="majorHAnsi" w:hAnsiTheme="majorHAnsi" w:cstheme="majorHAnsi"/>
          <w:bCs/>
          <w:color w:val="000000" w:themeColor="text1"/>
        </w:rPr>
        <w:t>In terms of organi</w:t>
      </w:r>
      <w:r>
        <w:rPr>
          <w:rFonts w:asciiTheme="majorHAnsi" w:hAnsiTheme="majorHAnsi" w:cstheme="majorHAnsi"/>
          <w:bCs/>
          <w:color w:val="000000" w:themeColor="text1"/>
        </w:rPr>
        <w:t>s</w:t>
      </w:r>
      <w:r w:rsidRPr="00FF45FD">
        <w:rPr>
          <w:rFonts w:asciiTheme="majorHAnsi" w:hAnsiTheme="majorHAnsi" w:cstheme="majorHAnsi"/>
          <w:bCs/>
          <w:color w:val="000000" w:themeColor="text1"/>
        </w:rPr>
        <w:t xml:space="preserve">ational improvements, </w:t>
      </w:r>
      <w:r>
        <w:rPr>
          <w:rFonts w:asciiTheme="majorHAnsi" w:hAnsiTheme="majorHAnsi" w:cstheme="majorHAnsi"/>
          <w:color w:val="000000"/>
        </w:rPr>
        <w:t>DepEd</w:t>
      </w:r>
      <w:r w:rsidRPr="00E1010D">
        <w:rPr>
          <w:rFonts w:asciiTheme="majorHAnsi" w:hAnsiTheme="majorHAnsi" w:cstheme="majorHAnsi"/>
          <w:color w:val="000000"/>
        </w:rPr>
        <w:t> </w:t>
      </w:r>
      <w:r>
        <w:rPr>
          <w:rFonts w:asciiTheme="majorHAnsi" w:hAnsiTheme="majorHAnsi" w:cstheme="majorHAnsi"/>
          <w:bCs/>
          <w:color w:val="000000" w:themeColor="text1"/>
        </w:rPr>
        <w:t>might</w:t>
      </w:r>
      <w:r w:rsidRPr="00FF45FD">
        <w:rPr>
          <w:rFonts w:asciiTheme="majorHAnsi" w:hAnsiTheme="majorHAnsi" w:cstheme="majorHAnsi"/>
          <w:bCs/>
          <w:color w:val="000000" w:themeColor="text1"/>
        </w:rPr>
        <w:t xml:space="preserve"> consider having a twin-track approach for teachers: an administrative track and an academic track. High performing teachers with an administrative acumen c</w:t>
      </w:r>
      <w:r>
        <w:rPr>
          <w:rFonts w:asciiTheme="majorHAnsi" w:hAnsiTheme="majorHAnsi" w:cstheme="majorHAnsi"/>
          <w:bCs/>
          <w:color w:val="000000" w:themeColor="text1"/>
        </w:rPr>
        <w:t>ould</w:t>
      </w:r>
      <w:r w:rsidRPr="00FF45FD">
        <w:rPr>
          <w:rFonts w:asciiTheme="majorHAnsi" w:hAnsiTheme="majorHAnsi" w:cstheme="majorHAnsi"/>
          <w:bCs/>
          <w:color w:val="000000" w:themeColor="text1"/>
        </w:rPr>
        <w:t xml:space="preserve"> be promoted into administrative or managerial position at a younger</w:t>
      </w:r>
      <w:r>
        <w:rPr>
          <w:rFonts w:asciiTheme="majorHAnsi" w:hAnsiTheme="majorHAnsi" w:cstheme="majorHAnsi"/>
          <w:bCs/>
          <w:color w:val="000000" w:themeColor="text1"/>
        </w:rPr>
        <w:t xml:space="preserve"> age</w:t>
      </w:r>
      <w:r w:rsidRPr="00FF45FD">
        <w:rPr>
          <w:rFonts w:asciiTheme="majorHAnsi" w:hAnsiTheme="majorHAnsi" w:cstheme="majorHAnsi"/>
          <w:bCs/>
          <w:color w:val="000000" w:themeColor="text1"/>
        </w:rPr>
        <w:t>.</w:t>
      </w:r>
      <w:r w:rsidR="00D434EB">
        <w:rPr>
          <w:rFonts w:asciiTheme="majorHAnsi" w:hAnsiTheme="majorHAnsi" w:cstheme="majorHAnsi"/>
          <w:bCs/>
          <w:color w:val="000000" w:themeColor="text1"/>
        </w:rPr>
        <w:t xml:space="preserve"> </w:t>
      </w:r>
      <w:r w:rsidRPr="00FF45FD">
        <w:rPr>
          <w:rFonts w:asciiTheme="majorHAnsi" w:hAnsiTheme="majorHAnsi" w:cstheme="majorHAnsi"/>
          <w:bCs/>
          <w:color w:val="000000" w:themeColor="text1"/>
        </w:rPr>
        <w:t>However, high performing teachers who desire to remain as teachers can still be promoted as master teachers almost equal in rank with principals.</w:t>
      </w:r>
    </w:p>
    <w:p w14:paraId="140BC408" w14:textId="5E7E72D0" w:rsidR="008D0CAD" w:rsidRPr="001E440C" w:rsidRDefault="008D0CAD" w:rsidP="009443E0">
      <w:pPr>
        <w:pStyle w:val="Caption"/>
        <w:spacing w:before="100" w:beforeAutospacing="1" w:after="100" w:afterAutospacing="1" w:line="360" w:lineRule="auto"/>
        <w:rPr>
          <w:rFonts w:asciiTheme="majorHAnsi" w:hAnsiTheme="majorHAnsi" w:cstheme="majorHAnsi"/>
          <w:b/>
          <w:color w:val="0070C0"/>
          <w:sz w:val="24"/>
          <w:szCs w:val="24"/>
        </w:rPr>
      </w:pPr>
      <w:r w:rsidRPr="001E440C">
        <w:rPr>
          <w:rFonts w:asciiTheme="majorHAnsi" w:hAnsiTheme="majorHAnsi" w:cstheme="majorHAnsi"/>
          <w:b/>
          <w:color w:val="0070C0"/>
          <w:sz w:val="24"/>
          <w:szCs w:val="24"/>
        </w:rPr>
        <w:t>Implication No.</w:t>
      </w:r>
      <w:r w:rsidR="00D434EB">
        <w:rPr>
          <w:rFonts w:asciiTheme="majorHAnsi" w:hAnsiTheme="majorHAnsi" w:cstheme="majorHAnsi"/>
          <w:b/>
          <w:color w:val="0070C0"/>
          <w:sz w:val="24"/>
          <w:szCs w:val="24"/>
        </w:rPr>
        <w:t xml:space="preserve"> </w:t>
      </w:r>
      <w:r w:rsidRPr="001E440C">
        <w:rPr>
          <w:rFonts w:asciiTheme="majorHAnsi" w:hAnsiTheme="majorHAnsi" w:cstheme="majorHAnsi"/>
          <w:b/>
          <w:color w:val="0070C0"/>
          <w:sz w:val="24"/>
          <w:szCs w:val="24"/>
        </w:rPr>
        <w:fldChar w:fldCharType="begin"/>
      </w:r>
      <w:r w:rsidRPr="001E440C">
        <w:rPr>
          <w:rFonts w:asciiTheme="majorHAnsi" w:hAnsiTheme="majorHAnsi" w:cstheme="majorHAnsi"/>
          <w:b/>
          <w:color w:val="0070C0"/>
          <w:sz w:val="24"/>
          <w:szCs w:val="24"/>
        </w:rPr>
        <w:instrText xml:space="preserve"> SEQ Implication_No._ \* ARABIC </w:instrText>
      </w:r>
      <w:r w:rsidRPr="001E440C">
        <w:rPr>
          <w:rFonts w:asciiTheme="majorHAnsi" w:hAnsiTheme="majorHAnsi" w:cstheme="majorHAnsi"/>
          <w:b/>
          <w:color w:val="0070C0"/>
          <w:sz w:val="24"/>
          <w:szCs w:val="24"/>
        </w:rPr>
        <w:fldChar w:fldCharType="separate"/>
      </w:r>
      <w:r w:rsidR="00D6133D">
        <w:rPr>
          <w:rFonts w:asciiTheme="majorHAnsi" w:hAnsiTheme="majorHAnsi" w:cstheme="majorHAnsi"/>
          <w:b/>
          <w:noProof/>
          <w:color w:val="0070C0"/>
          <w:sz w:val="24"/>
          <w:szCs w:val="24"/>
        </w:rPr>
        <w:t>8</w:t>
      </w:r>
      <w:r w:rsidRPr="001E440C">
        <w:rPr>
          <w:rFonts w:asciiTheme="majorHAnsi" w:hAnsiTheme="majorHAnsi" w:cstheme="majorHAnsi"/>
          <w:b/>
          <w:color w:val="0070C0"/>
          <w:sz w:val="24"/>
          <w:szCs w:val="24"/>
        </w:rPr>
        <w:fldChar w:fldCharType="end"/>
      </w:r>
      <w:r w:rsidRPr="001E440C">
        <w:rPr>
          <w:rFonts w:asciiTheme="majorHAnsi" w:hAnsiTheme="majorHAnsi" w:cstheme="majorHAnsi"/>
          <w:b/>
          <w:color w:val="0070C0"/>
          <w:sz w:val="24"/>
          <w:szCs w:val="24"/>
        </w:rPr>
        <w:t>:</w:t>
      </w:r>
      <w:r w:rsidR="00D434EB">
        <w:rPr>
          <w:rFonts w:asciiTheme="majorHAnsi" w:hAnsiTheme="majorHAnsi" w:cstheme="majorHAnsi"/>
          <w:b/>
          <w:bCs/>
          <w:iCs w:val="0"/>
          <w:color w:val="0070C0"/>
          <w:sz w:val="24"/>
          <w:szCs w:val="24"/>
        </w:rPr>
        <w:t xml:space="preserve"> </w:t>
      </w:r>
      <w:r w:rsidRPr="001E440C">
        <w:rPr>
          <w:rFonts w:asciiTheme="majorHAnsi" w:hAnsiTheme="majorHAnsi" w:cstheme="majorHAnsi"/>
          <w:b/>
          <w:bCs/>
          <w:iCs w:val="0"/>
          <w:color w:val="0070C0"/>
          <w:sz w:val="24"/>
          <w:szCs w:val="24"/>
        </w:rPr>
        <w:t>GEDSI</w:t>
      </w:r>
      <w:r>
        <w:rPr>
          <w:rFonts w:asciiTheme="majorHAnsi" w:hAnsiTheme="majorHAnsi" w:cstheme="majorHAnsi"/>
          <w:b/>
          <w:bCs/>
          <w:iCs w:val="0"/>
          <w:color w:val="0070C0"/>
          <w:sz w:val="24"/>
          <w:szCs w:val="24"/>
        </w:rPr>
        <w:t>-related reforms</w:t>
      </w:r>
      <w:r w:rsidRPr="001E440C">
        <w:rPr>
          <w:rFonts w:asciiTheme="majorHAnsi" w:hAnsiTheme="majorHAnsi" w:cstheme="majorHAnsi"/>
          <w:b/>
          <w:bCs/>
          <w:iCs w:val="0"/>
          <w:color w:val="0070C0"/>
          <w:sz w:val="24"/>
          <w:szCs w:val="24"/>
        </w:rPr>
        <w:t xml:space="preserve"> </w:t>
      </w:r>
      <w:r>
        <w:rPr>
          <w:rFonts w:asciiTheme="majorHAnsi" w:hAnsiTheme="majorHAnsi" w:cstheme="majorHAnsi"/>
          <w:b/>
          <w:bCs/>
          <w:iCs w:val="0"/>
          <w:color w:val="0070C0"/>
          <w:sz w:val="24"/>
          <w:szCs w:val="24"/>
        </w:rPr>
        <w:t xml:space="preserve">must be backed </w:t>
      </w:r>
      <w:r w:rsidRPr="001E440C">
        <w:rPr>
          <w:rFonts w:asciiTheme="majorHAnsi" w:hAnsiTheme="majorHAnsi" w:cstheme="majorHAnsi"/>
          <w:b/>
          <w:bCs/>
          <w:iCs w:val="0"/>
          <w:color w:val="0070C0"/>
          <w:sz w:val="24"/>
          <w:szCs w:val="24"/>
        </w:rPr>
        <w:t>by strong research</w:t>
      </w:r>
      <w:r>
        <w:rPr>
          <w:rFonts w:asciiTheme="majorHAnsi" w:hAnsiTheme="majorHAnsi" w:cstheme="majorHAnsi"/>
          <w:b/>
          <w:bCs/>
          <w:iCs w:val="0"/>
          <w:color w:val="0070C0"/>
          <w:sz w:val="24"/>
          <w:szCs w:val="24"/>
        </w:rPr>
        <w:t xml:space="preserve">, led by DepEd’s GFPS </w:t>
      </w:r>
      <w:r w:rsidRPr="001E440C">
        <w:rPr>
          <w:rFonts w:asciiTheme="majorHAnsi" w:hAnsiTheme="majorHAnsi" w:cstheme="majorHAnsi"/>
          <w:b/>
          <w:bCs/>
          <w:color w:val="0070C0"/>
          <w:sz w:val="24"/>
          <w:szCs w:val="24"/>
        </w:rPr>
        <w:t>[</w:t>
      </w:r>
      <w:r>
        <w:rPr>
          <w:rFonts w:asciiTheme="majorHAnsi" w:hAnsiTheme="majorHAnsi" w:cstheme="majorHAnsi"/>
          <w:b/>
          <w:bCs/>
          <w:color w:val="0070C0"/>
          <w:sz w:val="24"/>
          <w:szCs w:val="24"/>
        </w:rPr>
        <w:t>DepEd</w:t>
      </w:r>
      <w:r w:rsidRPr="001E440C">
        <w:rPr>
          <w:rFonts w:asciiTheme="majorHAnsi" w:hAnsiTheme="majorHAnsi" w:cstheme="majorHAnsi"/>
          <w:b/>
          <w:bCs/>
          <w:color w:val="0070C0"/>
          <w:sz w:val="24"/>
          <w:szCs w:val="24"/>
        </w:rPr>
        <w:t xml:space="preserve"> and </w:t>
      </w:r>
      <w:r w:rsidRPr="001E440C">
        <w:rPr>
          <w:rFonts w:asciiTheme="majorHAnsi" w:hAnsiTheme="majorHAnsi" w:cstheme="majorHAnsi"/>
          <w:b/>
          <w:bCs/>
          <w:iCs w:val="0"/>
          <w:color w:val="0070C0"/>
          <w:sz w:val="24"/>
          <w:szCs w:val="24"/>
        </w:rPr>
        <w:t>DFAT]</w:t>
      </w:r>
    </w:p>
    <w:p w14:paraId="226C1FEE" w14:textId="77777777" w:rsidR="008D0CAD" w:rsidRDefault="008D0CAD" w:rsidP="009443E0">
      <w:pPr>
        <w:spacing w:before="100" w:beforeAutospacing="1" w:after="100" w:afterAutospacing="1" w:line="360" w:lineRule="auto"/>
        <w:rPr>
          <w:rFonts w:asciiTheme="majorHAnsi" w:hAnsiTheme="majorHAnsi" w:cstheme="majorHAnsi"/>
          <w:color w:val="000000" w:themeColor="text1"/>
        </w:rPr>
      </w:pPr>
      <w:r w:rsidRPr="00693EEE">
        <w:rPr>
          <w:rFonts w:asciiTheme="majorHAnsi" w:hAnsiTheme="majorHAnsi" w:cstheme="majorHAnsi"/>
          <w:bCs/>
          <w:color w:val="000000" w:themeColor="text1"/>
        </w:rPr>
        <w:t xml:space="preserve">Similar to the PPST and Classroom Assessments, which benefitted from strong research </w:t>
      </w:r>
      <w:r>
        <w:rPr>
          <w:rFonts w:asciiTheme="majorHAnsi" w:hAnsiTheme="majorHAnsi" w:cstheme="majorHAnsi"/>
          <w:bCs/>
          <w:color w:val="000000" w:themeColor="text1"/>
        </w:rPr>
        <w:t>conducted by</w:t>
      </w:r>
      <w:r w:rsidRPr="00693EEE">
        <w:rPr>
          <w:rFonts w:asciiTheme="majorHAnsi" w:hAnsiTheme="majorHAnsi" w:cstheme="majorHAnsi"/>
          <w:bCs/>
          <w:color w:val="000000" w:themeColor="text1"/>
        </w:rPr>
        <w:t xml:space="preserve"> RCTQ and ACTRC, the design of future GEDSI-related programs </w:t>
      </w:r>
      <w:r w:rsidRPr="00693EEE">
        <w:rPr>
          <w:rFonts w:asciiTheme="majorHAnsi" w:hAnsiTheme="majorHAnsi" w:cstheme="majorHAnsi"/>
          <w:color w:val="000000" w:themeColor="text1"/>
        </w:rPr>
        <w:t xml:space="preserve">would </w:t>
      </w:r>
      <w:r>
        <w:rPr>
          <w:rFonts w:asciiTheme="majorHAnsi" w:hAnsiTheme="majorHAnsi" w:cstheme="majorHAnsi"/>
          <w:color w:val="000000" w:themeColor="text1"/>
        </w:rPr>
        <w:t>greatly</w:t>
      </w:r>
      <w:r w:rsidRPr="00693EEE">
        <w:rPr>
          <w:rFonts w:asciiTheme="majorHAnsi" w:hAnsiTheme="majorHAnsi" w:cstheme="majorHAnsi"/>
          <w:color w:val="000000" w:themeColor="text1"/>
        </w:rPr>
        <w:t xml:space="preserve"> benefit from </w:t>
      </w:r>
      <w:r>
        <w:rPr>
          <w:rFonts w:asciiTheme="majorHAnsi" w:hAnsiTheme="majorHAnsi" w:cstheme="majorHAnsi"/>
          <w:color w:val="000000" w:themeColor="text1"/>
        </w:rPr>
        <w:t xml:space="preserve">such </w:t>
      </w:r>
      <w:r w:rsidRPr="00693EEE">
        <w:rPr>
          <w:rFonts w:asciiTheme="majorHAnsi" w:hAnsiTheme="majorHAnsi" w:cstheme="majorHAnsi"/>
          <w:color w:val="000000" w:themeColor="text1"/>
        </w:rPr>
        <w:t>comprehensive studies</w:t>
      </w:r>
    </w:p>
    <w:p w14:paraId="2911A9B4" w14:textId="23A24E7B" w:rsidR="008D0CAD" w:rsidRDefault="008D0CAD" w:rsidP="009443E0">
      <w:pPr>
        <w:spacing w:before="100" w:beforeAutospacing="1" w:after="100" w:afterAutospacing="1" w:line="360" w:lineRule="auto"/>
        <w:rPr>
          <w:rFonts w:asciiTheme="majorHAnsi" w:hAnsiTheme="majorHAnsi" w:cstheme="majorHAnsi"/>
        </w:rPr>
      </w:pPr>
      <w:r>
        <w:rPr>
          <w:rFonts w:asciiTheme="majorHAnsi" w:hAnsiTheme="majorHAnsi" w:cstheme="majorHAnsi"/>
          <w:bCs/>
          <w:color w:val="000000" w:themeColor="text1"/>
        </w:rPr>
        <w:t>Many schools found it difficult to identify appropriate GEDSI interventions. However, it might be very difficult to implement standardised GEDSI interventions simply because the school situations are so diverse</w:t>
      </w:r>
      <w:r w:rsidRPr="00FF45FD">
        <w:rPr>
          <w:rFonts w:asciiTheme="majorHAnsi" w:hAnsiTheme="majorHAnsi" w:cstheme="majorHAnsi"/>
          <w:bCs/>
          <w:color w:val="000000" w:themeColor="text1"/>
        </w:rPr>
        <w:t>.</w:t>
      </w:r>
      <w:r w:rsidR="00D434EB">
        <w:rPr>
          <w:rFonts w:asciiTheme="majorHAnsi" w:hAnsiTheme="majorHAnsi" w:cstheme="majorHAnsi"/>
          <w:bCs/>
          <w:color w:val="000000" w:themeColor="text1"/>
        </w:rPr>
        <w:t xml:space="preserve"> </w:t>
      </w:r>
      <w:r>
        <w:rPr>
          <w:rFonts w:asciiTheme="majorHAnsi" w:hAnsiTheme="majorHAnsi" w:cstheme="majorHAnsi"/>
        </w:rPr>
        <w:t xml:space="preserve">Thus, GEDSI-related reforms benefits from being backed by strong research. Such research </w:t>
      </w:r>
      <w:r w:rsidRPr="00E1010D">
        <w:rPr>
          <w:rFonts w:asciiTheme="majorHAnsi" w:hAnsiTheme="majorHAnsi" w:cstheme="majorHAnsi"/>
          <w:color w:val="000000"/>
        </w:rPr>
        <w:t>studies c</w:t>
      </w:r>
      <w:r>
        <w:rPr>
          <w:rFonts w:asciiTheme="majorHAnsi" w:hAnsiTheme="majorHAnsi" w:cstheme="majorHAnsi"/>
          <w:color w:val="000000"/>
        </w:rPr>
        <w:t>ould</w:t>
      </w:r>
      <w:r w:rsidRPr="00E1010D">
        <w:rPr>
          <w:rFonts w:asciiTheme="majorHAnsi" w:hAnsiTheme="majorHAnsi" w:cstheme="majorHAnsi"/>
          <w:color w:val="000000"/>
        </w:rPr>
        <w:t xml:space="preserve"> be spearheaded by the GFPS</w:t>
      </w:r>
      <w:r>
        <w:rPr>
          <w:rFonts w:asciiTheme="majorHAnsi" w:hAnsiTheme="majorHAnsi" w:cstheme="majorHAnsi"/>
          <w:color w:val="000000"/>
        </w:rPr>
        <w:t>, since these can also be used as bases for policy amendments or proposals</w:t>
      </w:r>
      <w:r w:rsidRPr="00E1010D">
        <w:rPr>
          <w:rFonts w:asciiTheme="majorHAnsi" w:hAnsiTheme="majorHAnsi" w:cstheme="majorHAnsi"/>
          <w:color w:val="000000"/>
        </w:rPr>
        <w:t>.</w:t>
      </w:r>
      <w:r w:rsidR="00D434EB">
        <w:rPr>
          <w:rFonts w:asciiTheme="majorHAnsi" w:hAnsiTheme="majorHAnsi" w:cstheme="majorHAnsi"/>
        </w:rPr>
        <w:t xml:space="preserve"> </w:t>
      </w:r>
      <w:r>
        <w:rPr>
          <w:rFonts w:asciiTheme="majorHAnsi" w:hAnsiTheme="majorHAnsi" w:cstheme="majorHAnsi"/>
        </w:rPr>
        <w:t>The Study suggests three studies:</w:t>
      </w:r>
    </w:p>
    <w:p w14:paraId="25A839BB" w14:textId="726FEEA0" w:rsidR="008D0CAD" w:rsidRPr="001A3F16" w:rsidRDefault="008D0CAD" w:rsidP="009443E0">
      <w:pPr>
        <w:pStyle w:val="Caption"/>
        <w:numPr>
          <w:ilvl w:val="0"/>
          <w:numId w:val="48"/>
        </w:numPr>
        <w:spacing w:before="100" w:beforeAutospacing="1" w:after="100" w:afterAutospacing="1" w:line="360" w:lineRule="auto"/>
        <w:rPr>
          <w:rFonts w:asciiTheme="majorHAnsi" w:hAnsiTheme="majorHAnsi" w:cstheme="majorHAnsi"/>
          <w:b/>
          <w:i w:val="0"/>
          <w:color w:val="0070C0"/>
          <w:sz w:val="24"/>
          <w:szCs w:val="24"/>
        </w:rPr>
      </w:pPr>
      <w:r w:rsidRPr="00FF4CA3">
        <w:rPr>
          <w:rFonts w:asciiTheme="majorHAnsi" w:hAnsiTheme="majorHAnsi" w:cstheme="majorHAnsi"/>
          <w:b/>
          <w:bCs/>
          <w:i w:val="0"/>
          <w:color w:val="auto"/>
          <w:sz w:val="24"/>
          <w:szCs w:val="24"/>
        </w:rPr>
        <w:t>National Study on the Manifestations of Gender Bias in Basic Education</w:t>
      </w:r>
      <w:r w:rsidRPr="001A3F16">
        <w:rPr>
          <w:rFonts w:asciiTheme="majorHAnsi" w:hAnsiTheme="majorHAnsi" w:cstheme="majorHAnsi"/>
          <w:b/>
          <w:bCs/>
          <w:iCs w:val="0"/>
          <w:color w:val="0070C0"/>
          <w:sz w:val="24"/>
          <w:szCs w:val="24"/>
        </w:rPr>
        <w:t>.</w:t>
      </w:r>
      <w:r w:rsidR="00D434EB">
        <w:rPr>
          <w:rFonts w:asciiTheme="majorHAnsi" w:hAnsiTheme="majorHAnsi" w:cstheme="majorHAnsi"/>
          <w:b/>
          <w:bCs/>
          <w:iCs w:val="0"/>
          <w:color w:val="0070C0"/>
          <w:sz w:val="24"/>
          <w:szCs w:val="24"/>
        </w:rPr>
        <w:t xml:space="preserve"> </w:t>
      </w:r>
      <w:r w:rsidRPr="001A3F16">
        <w:rPr>
          <w:rFonts w:asciiTheme="majorHAnsi" w:hAnsiTheme="majorHAnsi" w:cstheme="majorHAnsi"/>
          <w:i w:val="0"/>
          <w:color w:val="000000" w:themeColor="text1"/>
          <w:sz w:val="24"/>
          <w:szCs w:val="24"/>
        </w:rPr>
        <w:t>The EOPE Main Study observed that while knowledge on gender equity and women</w:t>
      </w:r>
      <w:r>
        <w:rPr>
          <w:rFonts w:asciiTheme="majorHAnsi" w:hAnsiTheme="majorHAnsi" w:cstheme="majorHAnsi"/>
          <w:i w:val="0"/>
          <w:color w:val="000000" w:themeColor="text1"/>
          <w:sz w:val="24"/>
          <w:szCs w:val="24"/>
        </w:rPr>
        <w:t>’s</w:t>
      </w:r>
      <w:r w:rsidRPr="001A3F16">
        <w:rPr>
          <w:rFonts w:asciiTheme="majorHAnsi" w:hAnsiTheme="majorHAnsi" w:cstheme="majorHAnsi"/>
          <w:i w:val="0"/>
          <w:color w:val="000000" w:themeColor="text1"/>
          <w:sz w:val="24"/>
          <w:szCs w:val="24"/>
        </w:rPr>
        <w:t xml:space="preserve"> empowerment is general</w:t>
      </w:r>
      <w:r>
        <w:rPr>
          <w:rFonts w:asciiTheme="majorHAnsi" w:hAnsiTheme="majorHAnsi" w:cstheme="majorHAnsi"/>
          <w:i w:val="0"/>
          <w:color w:val="000000" w:themeColor="text1"/>
          <w:sz w:val="24"/>
          <w:szCs w:val="24"/>
        </w:rPr>
        <w:t>ly</w:t>
      </w:r>
      <w:r w:rsidRPr="001A3F16">
        <w:rPr>
          <w:rFonts w:asciiTheme="majorHAnsi" w:hAnsiTheme="majorHAnsi" w:cstheme="majorHAnsi"/>
          <w:i w:val="0"/>
          <w:color w:val="000000" w:themeColor="text1"/>
          <w:sz w:val="24"/>
          <w:szCs w:val="24"/>
        </w:rPr>
        <w:t xml:space="preserve"> high among </w:t>
      </w:r>
      <w:r>
        <w:rPr>
          <w:rFonts w:asciiTheme="majorHAnsi" w:hAnsiTheme="majorHAnsi" w:cstheme="majorHAnsi"/>
          <w:i w:val="0"/>
          <w:color w:val="000000" w:themeColor="text1"/>
          <w:sz w:val="24"/>
          <w:szCs w:val="24"/>
        </w:rPr>
        <w:t>DepEd</w:t>
      </w:r>
      <w:r w:rsidRPr="001A3F16">
        <w:rPr>
          <w:rFonts w:asciiTheme="majorHAnsi" w:hAnsiTheme="majorHAnsi" w:cstheme="majorHAnsi"/>
          <w:i w:val="0"/>
          <w:color w:val="000000" w:themeColor="text1"/>
          <w:sz w:val="24"/>
          <w:szCs w:val="24"/>
        </w:rPr>
        <w:t xml:space="preserve"> personnel, understanding is uneven and lacks depth</w:t>
      </w:r>
      <w:r w:rsidRPr="001A3F16">
        <w:rPr>
          <w:rFonts w:asciiTheme="majorHAnsi" w:hAnsiTheme="majorHAnsi" w:cstheme="majorHAnsi"/>
          <w:bCs/>
          <w:i w:val="0"/>
          <w:color w:val="000000" w:themeColor="text1"/>
          <w:sz w:val="24"/>
          <w:szCs w:val="24"/>
        </w:rPr>
        <w:t>.</w:t>
      </w:r>
      <w:r w:rsidR="00D434EB">
        <w:rPr>
          <w:rFonts w:asciiTheme="majorHAnsi" w:hAnsiTheme="majorHAnsi" w:cstheme="majorHAnsi"/>
          <w:bCs/>
          <w:i w:val="0"/>
          <w:color w:val="000000" w:themeColor="text1"/>
          <w:sz w:val="24"/>
          <w:szCs w:val="24"/>
        </w:rPr>
        <w:t xml:space="preserve"> </w:t>
      </w:r>
      <w:r>
        <w:rPr>
          <w:rFonts w:asciiTheme="majorHAnsi" w:hAnsiTheme="majorHAnsi" w:cstheme="majorHAnsi"/>
          <w:bCs/>
          <w:i w:val="0"/>
          <w:color w:val="000000" w:themeColor="text1"/>
          <w:sz w:val="24"/>
          <w:szCs w:val="24"/>
        </w:rPr>
        <w:t>in practical terms, g</w:t>
      </w:r>
      <w:r w:rsidRPr="001A3F16">
        <w:rPr>
          <w:rFonts w:asciiTheme="majorHAnsi" w:hAnsiTheme="majorHAnsi" w:cstheme="majorHAnsi"/>
          <w:bCs/>
          <w:i w:val="0"/>
          <w:color w:val="000000" w:themeColor="text1"/>
          <w:sz w:val="24"/>
          <w:szCs w:val="24"/>
        </w:rPr>
        <w:t>ender equity is mainly associated with collecting sex disaggregated data. The GRBE Policy is not yet widely</w:t>
      </w:r>
      <w:r w:rsidRPr="001A3F16">
        <w:rPr>
          <w:rFonts w:asciiTheme="majorHAnsi" w:hAnsiTheme="majorHAnsi" w:cstheme="majorHAnsi"/>
          <w:bCs/>
          <w:color w:val="000000" w:themeColor="text1"/>
          <w:sz w:val="24"/>
          <w:szCs w:val="24"/>
        </w:rPr>
        <w:t xml:space="preserve"> </w:t>
      </w:r>
      <w:r w:rsidRPr="001A3F16">
        <w:rPr>
          <w:rFonts w:asciiTheme="majorHAnsi" w:hAnsiTheme="majorHAnsi" w:cstheme="majorHAnsi"/>
          <w:bCs/>
          <w:i w:val="0"/>
          <w:color w:val="000000" w:themeColor="text1"/>
          <w:sz w:val="24"/>
          <w:szCs w:val="24"/>
        </w:rPr>
        <w:t xml:space="preserve">understood within the </w:t>
      </w:r>
      <w:r>
        <w:rPr>
          <w:rFonts w:asciiTheme="majorHAnsi" w:hAnsiTheme="majorHAnsi" w:cstheme="majorHAnsi"/>
          <w:bCs/>
          <w:i w:val="0"/>
          <w:color w:val="000000" w:themeColor="text1"/>
          <w:sz w:val="24"/>
          <w:szCs w:val="24"/>
        </w:rPr>
        <w:t>DepEd</w:t>
      </w:r>
      <w:r w:rsidRPr="001A3F16">
        <w:rPr>
          <w:rFonts w:asciiTheme="majorHAnsi" w:hAnsiTheme="majorHAnsi" w:cstheme="majorHAnsi"/>
          <w:bCs/>
          <w:i w:val="0"/>
          <w:color w:val="000000" w:themeColor="text1"/>
          <w:sz w:val="24"/>
          <w:szCs w:val="24"/>
        </w:rPr>
        <w:t xml:space="preserve"> organi</w:t>
      </w:r>
      <w:r>
        <w:rPr>
          <w:rFonts w:asciiTheme="majorHAnsi" w:hAnsiTheme="majorHAnsi" w:cstheme="majorHAnsi"/>
          <w:bCs/>
          <w:i w:val="0"/>
          <w:color w:val="000000" w:themeColor="text1"/>
          <w:sz w:val="24"/>
          <w:szCs w:val="24"/>
        </w:rPr>
        <w:t>s</w:t>
      </w:r>
      <w:r w:rsidRPr="001A3F16">
        <w:rPr>
          <w:rFonts w:asciiTheme="majorHAnsi" w:hAnsiTheme="majorHAnsi" w:cstheme="majorHAnsi"/>
          <w:bCs/>
          <w:i w:val="0"/>
          <w:color w:val="000000" w:themeColor="text1"/>
          <w:sz w:val="24"/>
          <w:szCs w:val="24"/>
        </w:rPr>
        <w:t>ation. This is also considered a factor for the lack of enthusiasm in the implementation of the Gender Focal Point System and the lack of substantial and meaningful activities in the GAD Plans of OUs, field units and schools.</w:t>
      </w:r>
      <w:r w:rsidR="00D434EB">
        <w:rPr>
          <w:rFonts w:asciiTheme="majorHAnsi" w:hAnsiTheme="majorHAnsi" w:cstheme="majorHAnsi"/>
          <w:bCs/>
          <w:i w:val="0"/>
          <w:color w:val="000000" w:themeColor="text1"/>
          <w:sz w:val="24"/>
          <w:szCs w:val="24"/>
        </w:rPr>
        <w:t xml:space="preserve"> </w:t>
      </w:r>
      <w:r w:rsidRPr="001A3F16">
        <w:rPr>
          <w:rFonts w:asciiTheme="majorHAnsi" w:hAnsiTheme="majorHAnsi" w:cstheme="majorHAnsi"/>
          <w:bCs/>
          <w:i w:val="0"/>
          <w:color w:val="000000" w:themeColor="text1"/>
          <w:sz w:val="24"/>
          <w:szCs w:val="24"/>
        </w:rPr>
        <w:t xml:space="preserve">Thus, it is suggested that </w:t>
      </w:r>
      <w:r>
        <w:rPr>
          <w:rFonts w:asciiTheme="majorHAnsi" w:hAnsiTheme="majorHAnsi" w:cstheme="majorHAnsi"/>
          <w:bCs/>
          <w:i w:val="0"/>
          <w:color w:val="000000" w:themeColor="text1"/>
          <w:sz w:val="24"/>
          <w:szCs w:val="24"/>
        </w:rPr>
        <w:t>DepEd</w:t>
      </w:r>
      <w:r w:rsidRPr="001A3F16">
        <w:rPr>
          <w:rFonts w:asciiTheme="majorHAnsi" w:hAnsiTheme="majorHAnsi" w:cstheme="majorHAnsi"/>
          <w:bCs/>
          <w:i w:val="0"/>
          <w:color w:val="000000" w:themeColor="text1"/>
          <w:sz w:val="24"/>
          <w:szCs w:val="24"/>
        </w:rPr>
        <w:t xml:space="preserve"> or DFAT commission a study on the manifestations of gender bias in basic education, which includes recommendations on specific activities that OUs, field units and schools c</w:t>
      </w:r>
      <w:r>
        <w:rPr>
          <w:rFonts w:asciiTheme="majorHAnsi" w:hAnsiTheme="majorHAnsi" w:cstheme="majorHAnsi"/>
          <w:bCs/>
          <w:i w:val="0"/>
          <w:color w:val="000000" w:themeColor="text1"/>
          <w:sz w:val="24"/>
          <w:szCs w:val="24"/>
        </w:rPr>
        <w:t>ould</w:t>
      </w:r>
      <w:r w:rsidRPr="001A3F16">
        <w:rPr>
          <w:rFonts w:asciiTheme="majorHAnsi" w:hAnsiTheme="majorHAnsi" w:cstheme="majorHAnsi"/>
          <w:bCs/>
          <w:i w:val="0"/>
          <w:color w:val="000000" w:themeColor="text1"/>
          <w:sz w:val="24"/>
          <w:szCs w:val="24"/>
        </w:rPr>
        <w:t xml:space="preserve"> pursue through their annual GAD Plans.</w:t>
      </w:r>
    </w:p>
    <w:p w14:paraId="41BB7E85" w14:textId="7FC6C017" w:rsidR="008D0CAD" w:rsidRPr="001A3F16" w:rsidRDefault="008D0CAD" w:rsidP="009443E0">
      <w:pPr>
        <w:pStyle w:val="Caption"/>
        <w:numPr>
          <w:ilvl w:val="0"/>
          <w:numId w:val="48"/>
        </w:numPr>
        <w:spacing w:before="100" w:beforeAutospacing="1" w:after="100" w:afterAutospacing="1" w:line="360" w:lineRule="auto"/>
        <w:rPr>
          <w:rFonts w:asciiTheme="majorHAnsi" w:hAnsiTheme="majorHAnsi" w:cstheme="majorHAnsi"/>
          <w:b/>
          <w:i w:val="0"/>
          <w:iCs w:val="0"/>
          <w:color w:val="000000" w:themeColor="text1"/>
          <w:sz w:val="24"/>
          <w:szCs w:val="24"/>
        </w:rPr>
      </w:pPr>
      <w:r w:rsidRPr="00FF4CA3">
        <w:rPr>
          <w:rFonts w:asciiTheme="majorHAnsi" w:hAnsiTheme="majorHAnsi" w:cstheme="majorHAnsi"/>
          <w:b/>
          <w:bCs/>
          <w:i w:val="0"/>
          <w:iCs w:val="0"/>
          <w:color w:val="auto"/>
          <w:sz w:val="24"/>
          <w:szCs w:val="24"/>
        </w:rPr>
        <w:t xml:space="preserve">Study on the Gender Grade Differentials. </w:t>
      </w:r>
      <w:r w:rsidRPr="001A3F16">
        <w:rPr>
          <w:rFonts w:asciiTheme="majorHAnsi" w:hAnsiTheme="majorHAnsi" w:cstheme="majorHAnsi"/>
          <w:i w:val="0"/>
          <w:iCs w:val="0"/>
          <w:color w:val="000000" w:themeColor="text1"/>
          <w:sz w:val="24"/>
          <w:szCs w:val="24"/>
        </w:rPr>
        <w:t xml:space="preserve">The </w:t>
      </w:r>
      <w:r>
        <w:rPr>
          <w:rFonts w:asciiTheme="majorHAnsi" w:hAnsiTheme="majorHAnsi" w:cstheme="majorHAnsi"/>
          <w:i w:val="0"/>
          <w:iCs w:val="0"/>
          <w:color w:val="000000" w:themeColor="text1"/>
          <w:sz w:val="24"/>
          <w:szCs w:val="24"/>
        </w:rPr>
        <w:t>results</w:t>
      </w:r>
      <w:r w:rsidRPr="001A3F16">
        <w:rPr>
          <w:rFonts w:asciiTheme="majorHAnsi" w:hAnsiTheme="majorHAnsi" w:cstheme="majorHAnsi"/>
          <w:i w:val="0"/>
          <w:iCs w:val="0"/>
          <w:color w:val="000000" w:themeColor="text1"/>
          <w:sz w:val="24"/>
          <w:szCs w:val="24"/>
        </w:rPr>
        <w:t xml:space="preserve"> of gender grade differentials </w:t>
      </w:r>
      <w:r>
        <w:rPr>
          <w:rFonts w:asciiTheme="majorHAnsi" w:hAnsiTheme="majorHAnsi" w:cstheme="majorHAnsi"/>
          <w:i w:val="0"/>
          <w:iCs w:val="0"/>
          <w:color w:val="000000" w:themeColor="text1"/>
          <w:sz w:val="24"/>
          <w:szCs w:val="24"/>
        </w:rPr>
        <w:t xml:space="preserve">assessment </w:t>
      </w:r>
      <w:r w:rsidRPr="001A3F16">
        <w:rPr>
          <w:rFonts w:asciiTheme="majorHAnsi" w:hAnsiTheme="majorHAnsi" w:cstheme="majorHAnsi"/>
          <w:i w:val="0"/>
          <w:iCs w:val="0"/>
          <w:color w:val="000000" w:themeColor="text1"/>
          <w:sz w:val="24"/>
          <w:szCs w:val="24"/>
        </w:rPr>
        <w:t xml:space="preserve">revealed </w:t>
      </w:r>
      <w:r>
        <w:rPr>
          <w:rFonts w:asciiTheme="majorHAnsi" w:hAnsiTheme="majorHAnsi" w:cstheme="majorHAnsi"/>
          <w:i w:val="0"/>
          <w:iCs w:val="0"/>
          <w:color w:val="000000" w:themeColor="text1"/>
          <w:sz w:val="24"/>
          <w:szCs w:val="24"/>
        </w:rPr>
        <w:t>that the gap between</w:t>
      </w:r>
      <w:r w:rsidRPr="001A3F16">
        <w:rPr>
          <w:rFonts w:asciiTheme="majorHAnsi" w:hAnsiTheme="majorHAnsi" w:cstheme="majorHAnsi"/>
          <w:i w:val="0"/>
          <w:iCs w:val="0"/>
          <w:color w:val="000000" w:themeColor="text1"/>
          <w:sz w:val="24"/>
          <w:szCs w:val="24"/>
        </w:rPr>
        <w:t xml:space="preserve"> Grades 4 </w:t>
      </w:r>
      <w:r>
        <w:rPr>
          <w:rFonts w:asciiTheme="majorHAnsi" w:hAnsiTheme="majorHAnsi" w:cstheme="majorHAnsi"/>
          <w:i w:val="0"/>
          <w:iCs w:val="0"/>
          <w:color w:val="000000" w:themeColor="text1"/>
          <w:sz w:val="24"/>
          <w:szCs w:val="24"/>
        </w:rPr>
        <w:t xml:space="preserve">boys and girls </w:t>
      </w:r>
      <w:r w:rsidRPr="001A3F16">
        <w:rPr>
          <w:rFonts w:asciiTheme="majorHAnsi" w:hAnsiTheme="majorHAnsi" w:cstheme="majorHAnsi"/>
          <w:i w:val="0"/>
          <w:iCs w:val="0"/>
          <w:color w:val="000000" w:themeColor="text1"/>
          <w:sz w:val="24"/>
          <w:szCs w:val="24"/>
        </w:rPr>
        <w:t xml:space="preserve">and </w:t>
      </w:r>
      <w:r>
        <w:rPr>
          <w:rFonts w:asciiTheme="majorHAnsi" w:hAnsiTheme="majorHAnsi" w:cstheme="majorHAnsi"/>
          <w:i w:val="0"/>
          <w:iCs w:val="0"/>
          <w:color w:val="000000" w:themeColor="text1"/>
          <w:sz w:val="24"/>
          <w:szCs w:val="24"/>
        </w:rPr>
        <w:t xml:space="preserve">Grade </w:t>
      </w:r>
      <w:r w:rsidRPr="001A3F16">
        <w:rPr>
          <w:rFonts w:asciiTheme="majorHAnsi" w:hAnsiTheme="majorHAnsi" w:cstheme="majorHAnsi"/>
          <w:i w:val="0"/>
          <w:iCs w:val="0"/>
          <w:color w:val="000000" w:themeColor="text1"/>
          <w:sz w:val="24"/>
          <w:szCs w:val="24"/>
        </w:rPr>
        <w:t xml:space="preserve">6 </w:t>
      </w:r>
      <w:r>
        <w:rPr>
          <w:rFonts w:asciiTheme="majorHAnsi" w:hAnsiTheme="majorHAnsi" w:cstheme="majorHAnsi"/>
          <w:i w:val="0"/>
          <w:iCs w:val="0"/>
          <w:color w:val="000000" w:themeColor="text1"/>
          <w:sz w:val="24"/>
          <w:szCs w:val="24"/>
        </w:rPr>
        <w:t>boys and girls,</w:t>
      </w:r>
      <w:r w:rsidRPr="001A3F16">
        <w:rPr>
          <w:rFonts w:asciiTheme="majorHAnsi" w:hAnsiTheme="majorHAnsi" w:cstheme="majorHAnsi"/>
          <w:i w:val="0"/>
          <w:iCs w:val="0"/>
          <w:color w:val="000000" w:themeColor="text1"/>
          <w:sz w:val="24"/>
          <w:szCs w:val="24"/>
        </w:rPr>
        <w:t xml:space="preserve"> in all four subjects</w:t>
      </w:r>
      <w:r>
        <w:rPr>
          <w:rFonts w:asciiTheme="majorHAnsi" w:hAnsiTheme="majorHAnsi" w:cstheme="majorHAnsi"/>
          <w:i w:val="0"/>
          <w:iCs w:val="0"/>
          <w:color w:val="000000" w:themeColor="text1"/>
          <w:sz w:val="24"/>
          <w:szCs w:val="24"/>
        </w:rPr>
        <w:t>,</w:t>
      </w:r>
      <w:r w:rsidRPr="001A3F16">
        <w:rPr>
          <w:rFonts w:asciiTheme="majorHAnsi" w:hAnsiTheme="majorHAnsi" w:cstheme="majorHAnsi"/>
          <w:i w:val="0"/>
          <w:iCs w:val="0"/>
          <w:color w:val="000000" w:themeColor="text1"/>
          <w:sz w:val="24"/>
          <w:szCs w:val="24"/>
        </w:rPr>
        <w:t xml:space="preserve"> in all the years review</w:t>
      </w:r>
      <w:r>
        <w:rPr>
          <w:rFonts w:asciiTheme="majorHAnsi" w:hAnsiTheme="majorHAnsi" w:cstheme="majorHAnsi"/>
          <w:i w:val="0"/>
          <w:iCs w:val="0"/>
          <w:color w:val="000000" w:themeColor="text1"/>
          <w:sz w:val="24"/>
          <w:szCs w:val="24"/>
        </w:rPr>
        <w:t>ed</w:t>
      </w:r>
      <w:r w:rsidRPr="001A3F16">
        <w:rPr>
          <w:rFonts w:asciiTheme="majorHAnsi" w:hAnsiTheme="majorHAnsi" w:cstheme="majorHAnsi"/>
          <w:i w:val="0"/>
          <w:iCs w:val="0"/>
          <w:color w:val="000000" w:themeColor="text1"/>
          <w:sz w:val="24"/>
          <w:szCs w:val="24"/>
        </w:rPr>
        <w:t xml:space="preserve"> declined</w:t>
      </w:r>
      <w:r>
        <w:rPr>
          <w:rFonts w:asciiTheme="majorHAnsi" w:hAnsiTheme="majorHAnsi" w:cstheme="majorHAnsi"/>
          <w:i w:val="0"/>
          <w:iCs w:val="0"/>
          <w:color w:val="000000" w:themeColor="text1"/>
          <w:sz w:val="24"/>
          <w:szCs w:val="24"/>
        </w:rPr>
        <w:t>. In contrast,</w:t>
      </w:r>
      <w:r w:rsidRPr="001A3F16">
        <w:rPr>
          <w:rFonts w:asciiTheme="majorHAnsi" w:hAnsiTheme="majorHAnsi" w:cstheme="majorHAnsi"/>
          <w:i w:val="0"/>
          <w:iCs w:val="0"/>
          <w:color w:val="000000" w:themeColor="text1"/>
          <w:sz w:val="24"/>
          <w:szCs w:val="24"/>
        </w:rPr>
        <w:t xml:space="preserve"> </w:t>
      </w:r>
      <w:r>
        <w:rPr>
          <w:rFonts w:asciiTheme="majorHAnsi" w:hAnsiTheme="majorHAnsi" w:cstheme="majorHAnsi"/>
          <w:i w:val="0"/>
          <w:iCs w:val="0"/>
          <w:color w:val="000000" w:themeColor="text1"/>
          <w:sz w:val="24"/>
          <w:szCs w:val="24"/>
        </w:rPr>
        <w:t xml:space="preserve">the gap </w:t>
      </w:r>
      <w:r w:rsidRPr="001A3F16">
        <w:rPr>
          <w:rFonts w:asciiTheme="majorHAnsi" w:hAnsiTheme="majorHAnsi" w:cstheme="majorHAnsi"/>
          <w:i w:val="0"/>
          <w:iCs w:val="0"/>
          <w:color w:val="000000" w:themeColor="text1"/>
          <w:sz w:val="24"/>
          <w:szCs w:val="24"/>
        </w:rPr>
        <w:t xml:space="preserve">worsened </w:t>
      </w:r>
      <w:r>
        <w:rPr>
          <w:rFonts w:asciiTheme="majorHAnsi" w:hAnsiTheme="majorHAnsi" w:cstheme="majorHAnsi"/>
          <w:i w:val="0"/>
          <w:iCs w:val="0"/>
          <w:color w:val="000000" w:themeColor="text1"/>
          <w:sz w:val="24"/>
          <w:szCs w:val="24"/>
        </w:rPr>
        <w:t>between</w:t>
      </w:r>
      <w:r w:rsidRPr="001A3F16">
        <w:rPr>
          <w:rFonts w:asciiTheme="majorHAnsi" w:hAnsiTheme="majorHAnsi" w:cstheme="majorHAnsi"/>
          <w:i w:val="0"/>
          <w:iCs w:val="0"/>
          <w:color w:val="000000" w:themeColor="text1"/>
          <w:sz w:val="24"/>
          <w:szCs w:val="24"/>
        </w:rPr>
        <w:t xml:space="preserve"> Grade 5 </w:t>
      </w:r>
      <w:r>
        <w:rPr>
          <w:rFonts w:asciiTheme="majorHAnsi" w:hAnsiTheme="majorHAnsi" w:cstheme="majorHAnsi"/>
          <w:i w:val="0"/>
          <w:iCs w:val="0"/>
          <w:color w:val="000000" w:themeColor="text1"/>
          <w:sz w:val="24"/>
          <w:szCs w:val="24"/>
        </w:rPr>
        <w:t>boys and girls during the same period</w:t>
      </w:r>
      <w:r w:rsidRPr="001A3F16">
        <w:rPr>
          <w:rFonts w:asciiTheme="majorHAnsi" w:hAnsiTheme="majorHAnsi" w:cstheme="majorHAnsi"/>
          <w:i w:val="0"/>
          <w:iCs w:val="0"/>
          <w:color w:val="000000" w:themeColor="text1"/>
          <w:sz w:val="24"/>
          <w:szCs w:val="24"/>
        </w:rPr>
        <w:t>.</w:t>
      </w:r>
      <w:r w:rsidR="00D434EB">
        <w:rPr>
          <w:rFonts w:asciiTheme="majorHAnsi" w:hAnsiTheme="majorHAnsi" w:cstheme="majorHAnsi"/>
          <w:i w:val="0"/>
          <w:iCs w:val="0"/>
          <w:color w:val="000000" w:themeColor="text1"/>
          <w:sz w:val="24"/>
          <w:szCs w:val="24"/>
        </w:rPr>
        <w:t xml:space="preserve"> </w:t>
      </w:r>
      <w:r w:rsidRPr="001A3F16">
        <w:rPr>
          <w:rFonts w:asciiTheme="majorHAnsi" w:hAnsiTheme="majorHAnsi" w:cstheme="majorHAnsi"/>
          <w:i w:val="0"/>
          <w:iCs w:val="0"/>
          <w:color w:val="000000" w:themeColor="text1"/>
          <w:sz w:val="24"/>
          <w:szCs w:val="24"/>
        </w:rPr>
        <w:t>The phenomenon could not be explained by this Study.</w:t>
      </w:r>
      <w:r w:rsidR="00D434EB">
        <w:rPr>
          <w:rFonts w:asciiTheme="majorHAnsi" w:hAnsiTheme="majorHAnsi" w:cstheme="majorHAnsi"/>
          <w:i w:val="0"/>
          <w:iCs w:val="0"/>
          <w:color w:val="000000" w:themeColor="text1"/>
          <w:sz w:val="24"/>
          <w:szCs w:val="24"/>
        </w:rPr>
        <w:t xml:space="preserve"> </w:t>
      </w:r>
      <w:r w:rsidRPr="001A3F16">
        <w:rPr>
          <w:rFonts w:asciiTheme="majorHAnsi" w:hAnsiTheme="majorHAnsi" w:cstheme="majorHAnsi"/>
          <w:i w:val="0"/>
          <w:iCs w:val="0"/>
          <w:color w:val="000000" w:themeColor="text1"/>
          <w:sz w:val="24"/>
          <w:szCs w:val="24"/>
        </w:rPr>
        <w:t xml:space="preserve">Thus, it is </w:t>
      </w:r>
      <w:r w:rsidRPr="001A3F16">
        <w:rPr>
          <w:rFonts w:asciiTheme="majorHAnsi" w:hAnsiTheme="majorHAnsi" w:cstheme="majorHAnsi"/>
          <w:bCs/>
          <w:i w:val="0"/>
          <w:iCs w:val="0"/>
          <w:color w:val="000000" w:themeColor="text1"/>
          <w:sz w:val="24"/>
          <w:szCs w:val="24"/>
        </w:rPr>
        <w:t>suggested that a study be commissioned to investigate this finding</w:t>
      </w:r>
      <w:r w:rsidRPr="001A3F16">
        <w:rPr>
          <w:rFonts w:asciiTheme="majorHAnsi" w:hAnsiTheme="majorHAnsi" w:cstheme="majorHAnsi"/>
          <w:i w:val="0"/>
          <w:iCs w:val="0"/>
          <w:color w:val="000000" w:themeColor="text1"/>
          <w:sz w:val="24"/>
          <w:szCs w:val="24"/>
        </w:rPr>
        <w:t>.</w:t>
      </w:r>
    </w:p>
    <w:p w14:paraId="50F18803" w14:textId="77777777" w:rsidR="008D0CAD" w:rsidRPr="001A3F16" w:rsidRDefault="008D0CAD" w:rsidP="009443E0">
      <w:pPr>
        <w:pStyle w:val="Caption"/>
        <w:numPr>
          <w:ilvl w:val="0"/>
          <w:numId w:val="48"/>
        </w:numPr>
        <w:spacing w:before="100" w:beforeAutospacing="1" w:after="100" w:afterAutospacing="1" w:line="360" w:lineRule="auto"/>
        <w:rPr>
          <w:rFonts w:asciiTheme="majorHAnsi" w:hAnsiTheme="majorHAnsi" w:cstheme="majorHAnsi"/>
          <w:b/>
          <w:i w:val="0"/>
          <w:iCs w:val="0"/>
          <w:color w:val="0070C0"/>
          <w:sz w:val="24"/>
          <w:szCs w:val="24"/>
        </w:rPr>
      </w:pPr>
      <w:r w:rsidRPr="00FF4CA3">
        <w:rPr>
          <w:rFonts w:asciiTheme="majorHAnsi" w:hAnsiTheme="majorHAnsi" w:cstheme="majorHAnsi"/>
          <w:b/>
          <w:bCs/>
          <w:i w:val="0"/>
          <w:iCs w:val="0"/>
          <w:color w:val="auto"/>
          <w:sz w:val="24"/>
          <w:szCs w:val="24"/>
        </w:rPr>
        <w:t>Study on gender inclusiveness strategies and implementation at the school level to document best practices and outcomes.</w:t>
      </w:r>
      <w:r w:rsidRPr="001A3F16">
        <w:rPr>
          <w:rFonts w:asciiTheme="majorHAnsi" w:hAnsiTheme="majorHAnsi" w:cstheme="majorHAnsi"/>
          <w:b/>
          <w:bCs/>
          <w:i w:val="0"/>
          <w:iCs w:val="0"/>
          <w:color w:val="0070C0"/>
          <w:sz w:val="24"/>
          <w:szCs w:val="24"/>
        </w:rPr>
        <w:t xml:space="preserve"> </w:t>
      </w:r>
      <w:r w:rsidRPr="001A3F16">
        <w:rPr>
          <w:rFonts w:asciiTheme="majorHAnsi" w:hAnsiTheme="majorHAnsi" w:cstheme="majorHAnsi"/>
          <w:i w:val="0"/>
          <w:iCs w:val="0"/>
          <w:color w:val="000000" w:themeColor="text1"/>
          <w:sz w:val="24"/>
          <w:szCs w:val="24"/>
        </w:rPr>
        <w:t>To improve practice among schools, it would help the schools that have not yet mainstreamed gender inclusiveness in their schools to provide stories how schools could better adopt this in their schools.</w:t>
      </w:r>
    </w:p>
    <w:p w14:paraId="5CFBB0CE" w14:textId="39E81350" w:rsidR="008D0CAD" w:rsidRPr="0047501C" w:rsidRDefault="008D0CAD" w:rsidP="009443E0">
      <w:pPr>
        <w:pStyle w:val="Heading4"/>
        <w:numPr>
          <w:ilvl w:val="2"/>
          <w:numId w:val="3"/>
        </w:numPr>
        <w:spacing w:before="100" w:beforeAutospacing="1" w:after="100" w:afterAutospacing="1" w:line="360" w:lineRule="auto"/>
      </w:pPr>
      <w:bookmarkStart w:id="199" w:name="_Toc39051164"/>
      <w:r w:rsidRPr="0047501C">
        <w:t xml:space="preserve">On </w:t>
      </w:r>
      <w:r>
        <w:t>DepEd</w:t>
      </w:r>
      <w:r w:rsidRPr="0047501C">
        <w:t>’s capability to deliver responsive and inclusive basic education</w:t>
      </w:r>
      <w:bookmarkEnd w:id="199"/>
    </w:p>
    <w:p w14:paraId="3EBAC73F" w14:textId="314CF8D5" w:rsidR="008D0CAD" w:rsidRPr="001E440C" w:rsidRDefault="008D0CAD" w:rsidP="009443E0">
      <w:pPr>
        <w:pStyle w:val="Caption"/>
        <w:spacing w:before="100" w:beforeAutospacing="1" w:after="100" w:afterAutospacing="1" w:line="360" w:lineRule="auto"/>
        <w:rPr>
          <w:rFonts w:asciiTheme="majorHAnsi" w:hAnsiTheme="majorHAnsi" w:cstheme="majorHAnsi"/>
          <w:b/>
          <w:color w:val="0070C0"/>
          <w:sz w:val="24"/>
          <w:szCs w:val="24"/>
        </w:rPr>
      </w:pPr>
      <w:r w:rsidRPr="001E440C">
        <w:rPr>
          <w:rFonts w:asciiTheme="majorHAnsi" w:hAnsiTheme="majorHAnsi" w:cstheme="majorHAnsi"/>
          <w:b/>
          <w:color w:val="0070C0"/>
          <w:sz w:val="24"/>
          <w:szCs w:val="24"/>
        </w:rPr>
        <w:t>Implication No.</w:t>
      </w:r>
      <w:r w:rsidR="00D434EB">
        <w:rPr>
          <w:rFonts w:asciiTheme="majorHAnsi" w:hAnsiTheme="majorHAnsi" w:cstheme="majorHAnsi"/>
          <w:b/>
          <w:color w:val="0070C0"/>
          <w:sz w:val="24"/>
          <w:szCs w:val="24"/>
        </w:rPr>
        <w:t xml:space="preserve"> </w:t>
      </w:r>
      <w:r w:rsidRPr="001E440C">
        <w:rPr>
          <w:rFonts w:asciiTheme="majorHAnsi" w:hAnsiTheme="majorHAnsi" w:cstheme="majorHAnsi"/>
          <w:b/>
          <w:color w:val="0070C0"/>
          <w:sz w:val="24"/>
          <w:szCs w:val="24"/>
        </w:rPr>
        <w:fldChar w:fldCharType="begin"/>
      </w:r>
      <w:r w:rsidRPr="001E440C">
        <w:rPr>
          <w:rFonts w:asciiTheme="majorHAnsi" w:hAnsiTheme="majorHAnsi" w:cstheme="majorHAnsi"/>
          <w:b/>
          <w:color w:val="0070C0"/>
          <w:sz w:val="24"/>
          <w:szCs w:val="24"/>
        </w:rPr>
        <w:instrText xml:space="preserve"> SEQ Implication_No._ \* ARABIC </w:instrText>
      </w:r>
      <w:r w:rsidRPr="001E440C">
        <w:rPr>
          <w:rFonts w:asciiTheme="majorHAnsi" w:hAnsiTheme="majorHAnsi" w:cstheme="majorHAnsi"/>
          <w:b/>
          <w:color w:val="0070C0"/>
          <w:sz w:val="24"/>
          <w:szCs w:val="24"/>
        </w:rPr>
        <w:fldChar w:fldCharType="separate"/>
      </w:r>
      <w:r w:rsidR="00D6133D">
        <w:rPr>
          <w:rFonts w:asciiTheme="majorHAnsi" w:hAnsiTheme="majorHAnsi" w:cstheme="majorHAnsi"/>
          <w:b/>
          <w:noProof/>
          <w:color w:val="0070C0"/>
          <w:sz w:val="24"/>
          <w:szCs w:val="24"/>
        </w:rPr>
        <w:t>9</w:t>
      </w:r>
      <w:r w:rsidRPr="001E440C">
        <w:rPr>
          <w:rFonts w:asciiTheme="majorHAnsi" w:hAnsiTheme="majorHAnsi" w:cstheme="majorHAnsi"/>
          <w:b/>
          <w:color w:val="0070C0"/>
          <w:sz w:val="24"/>
          <w:szCs w:val="24"/>
        </w:rPr>
        <w:fldChar w:fldCharType="end"/>
      </w:r>
      <w:r w:rsidRPr="001E440C">
        <w:rPr>
          <w:rFonts w:asciiTheme="majorHAnsi" w:hAnsiTheme="majorHAnsi" w:cstheme="majorHAnsi"/>
          <w:b/>
          <w:color w:val="0070C0"/>
          <w:sz w:val="24"/>
          <w:szCs w:val="24"/>
        </w:rPr>
        <w:t>:</w:t>
      </w:r>
      <w:r w:rsidR="00D434EB">
        <w:rPr>
          <w:rFonts w:asciiTheme="majorHAnsi" w:hAnsiTheme="majorHAnsi" w:cstheme="majorHAnsi"/>
          <w:b/>
          <w:bCs/>
          <w:iCs w:val="0"/>
          <w:color w:val="0070C0"/>
          <w:sz w:val="24"/>
          <w:szCs w:val="24"/>
        </w:rPr>
        <w:t xml:space="preserve"> </w:t>
      </w:r>
      <w:r w:rsidRPr="001E440C">
        <w:rPr>
          <w:rFonts w:asciiTheme="majorHAnsi" w:hAnsiTheme="majorHAnsi" w:cstheme="majorHAnsi"/>
          <w:b/>
          <w:bCs/>
          <w:i w:val="0"/>
          <w:iCs w:val="0"/>
          <w:color w:val="0070C0"/>
          <w:sz w:val="24"/>
          <w:szCs w:val="24"/>
        </w:rPr>
        <w:t xml:space="preserve">Strengthen both institutional and program/project </w:t>
      </w:r>
      <w:r>
        <w:rPr>
          <w:rFonts w:asciiTheme="majorHAnsi" w:hAnsiTheme="majorHAnsi" w:cstheme="majorHAnsi"/>
          <w:b/>
          <w:bCs/>
          <w:i w:val="0"/>
          <w:iCs w:val="0"/>
          <w:color w:val="0070C0"/>
          <w:sz w:val="24"/>
          <w:szCs w:val="24"/>
        </w:rPr>
        <w:t xml:space="preserve">results-based </w:t>
      </w:r>
      <w:r w:rsidRPr="001E440C">
        <w:rPr>
          <w:rFonts w:asciiTheme="majorHAnsi" w:hAnsiTheme="majorHAnsi" w:cstheme="majorHAnsi"/>
          <w:b/>
          <w:bCs/>
          <w:i w:val="0"/>
          <w:iCs w:val="0"/>
          <w:color w:val="0070C0"/>
          <w:sz w:val="24"/>
          <w:szCs w:val="24"/>
        </w:rPr>
        <w:t xml:space="preserve">monitoring and evaluation </w:t>
      </w:r>
      <w:r w:rsidRPr="001E440C">
        <w:rPr>
          <w:rFonts w:asciiTheme="majorHAnsi" w:hAnsiTheme="majorHAnsi" w:cstheme="majorHAnsi"/>
          <w:b/>
          <w:bCs/>
          <w:iCs w:val="0"/>
          <w:color w:val="0070C0"/>
          <w:sz w:val="24"/>
          <w:szCs w:val="24"/>
        </w:rPr>
        <w:t>[</w:t>
      </w:r>
      <w:r>
        <w:rPr>
          <w:rFonts w:asciiTheme="majorHAnsi" w:hAnsiTheme="majorHAnsi" w:cstheme="majorHAnsi"/>
          <w:b/>
          <w:bCs/>
          <w:iCs w:val="0"/>
          <w:color w:val="0070C0"/>
          <w:sz w:val="24"/>
          <w:szCs w:val="24"/>
        </w:rPr>
        <w:t>DepEd</w:t>
      </w:r>
      <w:r w:rsidRPr="001E440C">
        <w:rPr>
          <w:rFonts w:asciiTheme="majorHAnsi" w:hAnsiTheme="majorHAnsi" w:cstheme="majorHAnsi"/>
          <w:b/>
          <w:bCs/>
          <w:iCs w:val="0"/>
          <w:color w:val="0070C0"/>
          <w:sz w:val="24"/>
          <w:szCs w:val="24"/>
        </w:rPr>
        <w:t>]</w:t>
      </w:r>
    </w:p>
    <w:p w14:paraId="1E7A91C2" w14:textId="70F2C191" w:rsidR="008D0CAD" w:rsidRDefault="008D0CAD" w:rsidP="009443E0">
      <w:pPr>
        <w:spacing w:before="100" w:beforeAutospacing="1" w:after="100" w:afterAutospacing="1" w:line="360" w:lineRule="auto"/>
        <w:rPr>
          <w:rFonts w:asciiTheme="majorHAnsi" w:hAnsiTheme="majorHAnsi" w:cstheme="majorHAnsi"/>
          <w:bCs/>
          <w:iCs/>
          <w:color w:val="000000" w:themeColor="text1"/>
        </w:rPr>
      </w:pPr>
      <w:r>
        <w:rPr>
          <w:rFonts w:asciiTheme="majorHAnsi" w:hAnsiTheme="majorHAnsi" w:cstheme="majorHAnsi"/>
          <w:bCs/>
          <w:iCs/>
          <w:color w:val="000000" w:themeColor="text1"/>
        </w:rPr>
        <w:t>Strengthening results-based monitoring and evaluation undergirds effective evidence-based policy- and decision-making. The evaluation of the BEST Program highlighted a large gap in M&amp;E both at the institutional level and program level. For instance, there were no accurate and complete database of which capacity building was provided for which schools.</w:t>
      </w:r>
      <w:r w:rsidR="00D434EB">
        <w:rPr>
          <w:rFonts w:asciiTheme="majorHAnsi" w:hAnsiTheme="majorHAnsi" w:cstheme="majorHAnsi"/>
          <w:bCs/>
          <w:iCs/>
          <w:color w:val="000000" w:themeColor="text1"/>
        </w:rPr>
        <w:t xml:space="preserve"> </w:t>
      </w:r>
      <w:r>
        <w:rPr>
          <w:rFonts w:asciiTheme="majorHAnsi" w:hAnsiTheme="majorHAnsi" w:cstheme="majorHAnsi"/>
          <w:bCs/>
          <w:iCs/>
          <w:color w:val="000000" w:themeColor="text1"/>
        </w:rPr>
        <w:t>Another example was the absence of data on which schools did indeed submit SIPs according to the guidelines and which teachers submitted SATs.</w:t>
      </w:r>
    </w:p>
    <w:p w14:paraId="5F367918" w14:textId="77777777" w:rsidR="008D0CAD" w:rsidRDefault="008D0CAD" w:rsidP="009443E0">
      <w:pPr>
        <w:spacing w:before="100" w:beforeAutospacing="1" w:after="100" w:afterAutospacing="1" w:line="360" w:lineRule="auto"/>
        <w:rPr>
          <w:rFonts w:asciiTheme="majorHAnsi" w:hAnsiTheme="majorHAnsi" w:cstheme="majorHAnsi"/>
          <w:bCs/>
          <w:iCs/>
          <w:color w:val="000000" w:themeColor="text1"/>
        </w:rPr>
      </w:pPr>
      <w:r>
        <w:rPr>
          <w:rFonts w:asciiTheme="majorHAnsi" w:hAnsiTheme="majorHAnsi" w:cstheme="majorHAnsi"/>
          <w:bCs/>
          <w:iCs/>
          <w:color w:val="000000" w:themeColor="text1"/>
        </w:rPr>
        <w:t>Among others, this includes several aspects.</w:t>
      </w:r>
    </w:p>
    <w:p w14:paraId="47D081B5" w14:textId="2BF8CEBD" w:rsidR="008D0CAD" w:rsidRPr="0072720B" w:rsidRDefault="008D0CAD" w:rsidP="009443E0">
      <w:pPr>
        <w:spacing w:before="100" w:beforeAutospacing="1" w:after="100" w:afterAutospacing="1" w:line="360" w:lineRule="auto"/>
        <w:rPr>
          <w:rFonts w:asciiTheme="majorHAnsi" w:hAnsiTheme="majorHAnsi" w:cstheme="majorHAnsi"/>
          <w:bCs/>
          <w:iCs/>
          <w:color w:val="000000" w:themeColor="text1"/>
        </w:rPr>
      </w:pPr>
      <w:r>
        <w:rPr>
          <w:rFonts w:asciiTheme="majorHAnsi" w:hAnsiTheme="majorHAnsi" w:cstheme="majorHAnsi"/>
          <w:b/>
          <w:bCs/>
        </w:rPr>
        <w:t>Formulation of</w:t>
      </w:r>
      <w:r w:rsidRPr="00D51FF7">
        <w:rPr>
          <w:rFonts w:asciiTheme="majorHAnsi" w:hAnsiTheme="majorHAnsi" w:cstheme="majorHAnsi"/>
          <w:b/>
          <w:bCs/>
        </w:rPr>
        <w:t xml:space="preserve"> </w:t>
      </w:r>
      <w:r>
        <w:rPr>
          <w:rFonts w:asciiTheme="majorHAnsi" w:hAnsiTheme="majorHAnsi" w:cstheme="majorHAnsi"/>
          <w:b/>
          <w:bCs/>
        </w:rPr>
        <w:t>RBME Plans</w:t>
      </w:r>
      <w:r w:rsidRPr="00D51FF7">
        <w:rPr>
          <w:rFonts w:asciiTheme="majorHAnsi" w:hAnsiTheme="majorHAnsi" w:cstheme="majorHAnsi"/>
          <w:b/>
          <w:bCs/>
        </w:rPr>
        <w:t>.</w:t>
      </w:r>
      <w:r>
        <w:rPr>
          <w:rFonts w:asciiTheme="majorHAnsi" w:hAnsiTheme="majorHAnsi" w:cstheme="majorHAnsi"/>
          <w:b/>
          <w:bCs/>
        </w:rPr>
        <w:t xml:space="preserve"> </w:t>
      </w:r>
      <w:r>
        <w:rPr>
          <w:rFonts w:asciiTheme="majorHAnsi" w:hAnsiTheme="majorHAnsi" w:cstheme="majorHAnsi"/>
          <w:bCs/>
          <w:iCs/>
          <w:color w:val="000000" w:themeColor="text1"/>
        </w:rPr>
        <w:t>This should start with a clear-cut formulation of an M&amp;E framework, illustrating the collection of data from the lowest level, to its transformation to relevant information, up to its use in policy making.</w:t>
      </w:r>
      <w:r w:rsidR="00D434EB">
        <w:rPr>
          <w:rFonts w:asciiTheme="majorHAnsi" w:hAnsiTheme="majorHAnsi" w:cstheme="majorHAnsi"/>
          <w:bCs/>
          <w:iCs/>
          <w:color w:val="000000" w:themeColor="text1"/>
        </w:rPr>
        <w:t xml:space="preserve"> </w:t>
      </w:r>
      <w:r>
        <w:rPr>
          <w:rFonts w:asciiTheme="majorHAnsi" w:hAnsiTheme="majorHAnsi" w:cstheme="majorHAnsi"/>
          <w:bCs/>
          <w:iCs/>
          <w:color w:val="000000" w:themeColor="text1"/>
        </w:rPr>
        <w:t xml:space="preserve">It should also </w:t>
      </w:r>
      <w:r w:rsidRPr="0072720B">
        <w:rPr>
          <w:rFonts w:asciiTheme="majorHAnsi" w:hAnsiTheme="majorHAnsi" w:cstheme="majorHAnsi"/>
          <w:bCs/>
          <w:iCs/>
          <w:color w:val="000000" w:themeColor="text1"/>
        </w:rPr>
        <w:t xml:space="preserve">include, among others: </w:t>
      </w:r>
      <w:r>
        <w:rPr>
          <w:rFonts w:asciiTheme="majorHAnsi" w:hAnsiTheme="majorHAnsi" w:cstheme="majorHAnsi"/>
          <w:bCs/>
          <w:iCs/>
          <w:color w:val="000000" w:themeColor="text1"/>
        </w:rPr>
        <w:t xml:space="preserve">the </w:t>
      </w:r>
      <w:r w:rsidRPr="0072720B">
        <w:rPr>
          <w:rFonts w:asciiTheme="majorHAnsi" w:hAnsiTheme="majorHAnsi" w:cstheme="majorHAnsi"/>
          <w:color w:val="000000" w:themeColor="text1"/>
        </w:rPr>
        <w:t>development of M&amp;E templates used across all implementation years to facilitate comparability of reports; having back up data and reports on the cloud to ensure completeness and availability even when personnel turnover occurs or when data is destroyed due to natural calamities; and strengthening capacity in M&amp;E.</w:t>
      </w:r>
    </w:p>
    <w:p w14:paraId="250CDD7D" w14:textId="049DD895" w:rsidR="008D0CAD" w:rsidRDefault="008D0CAD" w:rsidP="009443E0">
      <w:pPr>
        <w:spacing w:before="100" w:beforeAutospacing="1" w:after="100" w:afterAutospacing="1" w:line="360" w:lineRule="auto"/>
        <w:rPr>
          <w:rFonts w:asciiTheme="majorHAnsi" w:hAnsiTheme="majorHAnsi" w:cstheme="majorHAnsi"/>
          <w:color w:val="000000" w:themeColor="text1"/>
        </w:rPr>
      </w:pPr>
      <w:r w:rsidRPr="00D51FF7">
        <w:rPr>
          <w:rFonts w:asciiTheme="majorHAnsi" w:hAnsiTheme="majorHAnsi" w:cstheme="majorHAnsi"/>
          <w:b/>
          <w:bCs/>
          <w:color w:val="000000" w:themeColor="text1"/>
        </w:rPr>
        <w:t>Collecting feedback.</w:t>
      </w:r>
      <w:r>
        <w:rPr>
          <w:rFonts w:asciiTheme="majorHAnsi" w:hAnsiTheme="majorHAnsi" w:cstheme="majorHAnsi"/>
          <w:color w:val="000000" w:themeColor="text1"/>
        </w:rPr>
        <w:t xml:space="preserve"> An</w:t>
      </w:r>
      <w:r w:rsidRPr="0072720B">
        <w:rPr>
          <w:rFonts w:asciiTheme="majorHAnsi" w:hAnsiTheme="majorHAnsi" w:cstheme="majorHAnsi"/>
          <w:color w:val="000000" w:themeColor="text1"/>
        </w:rPr>
        <w:t xml:space="preserve"> effective M&amp;E </w:t>
      </w:r>
      <w:r>
        <w:rPr>
          <w:rFonts w:asciiTheme="majorHAnsi" w:hAnsiTheme="majorHAnsi" w:cstheme="majorHAnsi"/>
          <w:color w:val="000000" w:themeColor="text1"/>
        </w:rPr>
        <w:t xml:space="preserve">system </w:t>
      </w:r>
      <w:r w:rsidRPr="0072720B">
        <w:rPr>
          <w:rFonts w:asciiTheme="majorHAnsi" w:hAnsiTheme="majorHAnsi" w:cstheme="majorHAnsi"/>
          <w:color w:val="000000" w:themeColor="text1"/>
        </w:rPr>
        <w:t xml:space="preserve">should </w:t>
      </w:r>
      <w:r>
        <w:rPr>
          <w:rFonts w:asciiTheme="majorHAnsi" w:hAnsiTheme="majorHAnsi" w:cstheme="majorHAnsi"/>
          <w:color w:val="000000" w:themeColor="text1"/>
        </w:rPr>
        <w:t xml:space="preserve">also </w:t>
      </w:r>
      <w:r w:rsidRPr="0072720B">
        <w:rPr>
          <w:rFonts w:asciiTheme="majorHAnsi" w:hAnsiTheme="majorHAnsi" w:cstheme="majorHAnsi"/>
          <w:color w:val="000000" w:themeColor="text1"/>
        </w:rPr>
        <w:t>enable more robust feedback.</w:t>
      </w:r>
      <w:r w:rsidR="00D434EB">
        <w:rPr>
          <w:rFonts w:asciiTheme="majorHAnsi" w:hAnsiTheme="majorHAnsi" w:cstheme="majorHAnsi"/>
          <w:color w:val="000000" w:themeColor="text1"/>
        </w:rPr>
        <w:t xml:space="preserve"> </w:t>
      </w:r>
      <w:r w:rsidRPr="0072720B">
        <w:rPr>
          <w:rFonts w:asciiTheme="majorHAnsi" w:hAnsiTheme="majorHAnsi" w:cstheme="majorHAnsi"/>
          <w:color w:val="000000" w:themeColor="text1"/>
        </w:rPr>
        <w:t xml:space="preserve">While </w:t>
      </w:r>
      <w:r>
        <w:rPr>
          <w:rFonts w:asciiTheme="majorHAnsi" w:hAnsiTheme="majorHAnsi" w:cstheme="majorHAnsi"/>
          <w:color w:val="000000" w:themeColor="text1"/>
        </w:rPr>
        <w:t>an</w:t>
      </w:r>
      <w:r w:rsidRPr="0072720B">
        <w:rPr>
          <w:rFonts w:asciiTheme="majorHAnsi" w:hAnsiTheme="majorHAnsi" w:cstheme="majorHAnsi"/>
          <w:color w:val="000000" w:themeColor="text1"/>
        </w:rPr>
        <w:t xml:space="preserve"> improved monitoring and evaluation system allows for adjustments and calibration, the aggregation and generali</w:t>
      </w:r>
      <w:r>
        <w:rPr>
          <w:rFonts w:asciiTheme="majorHAnsi" w:hAnsiTheme="majorHAnsi" w:cstheme="majorHAnsi"/>
          <w:color w:val="000000" w:themeColor="text1"/>
        </w:rPr>
        <w:t>s</w:t>
      </w:r>
      <w:r w:rsidRPr="0072720B">
        <w:rPr>
          <w:rFonts w:asciiTheme="majorHAnsi" w:hAnsiTheme="majorHAnsi" w:cstheme="majorHAnsi"/>
          <w:color w:val="000000" w:themeColor="text1"/>
        </w:rPr>
        <w:t>ation of the issues could lose the nuances and real issues at the school level. Th</w:t>
      </w:r>
      <w:r>
        <w:rPr>
          <w:rFonts w:asciiTheme="majorHAnsi" w:hAnsiTheme="majorHAnsi" w:cstheme="majorHAnsi"/>
          <w:color w:val="000000" w:themeColor="text1"/>
        </w:rPr>
        <w:t>us, it is further recommended that a</w:t>
      </w:r>
      <w:r w:rsidRPr="0072720B">
        <w:rPr>
          <w:rFonts w:asciiTheme="majorHAnsi" w:hAnsiTheme="majorHAnsi" w:cstheme="majorHAnsi"/>
          <w:color w:val="000000" w:themeColor="text1"/>
        </w:rPr>
        <w:t xml:space="preserve"> feedback system should support and reinforce </w:t>
      </w:r>
      <w:r>
        <w:rPr>
          <w:rFonts w:asciiTheme="majorHAnsi" w:hAnsiTheme="majorHAnsi" w:cstheme="majorHAnsi"/>
          <w:color w:val="000000" w:themeColor="text1"/>
        </w:rPr>
        <w:t>M&amp;E at the field</w:t>
      </w:r>
      <w:r w:rsidRPr="0072720B">
        <w:rPr>
          <w:rFonts w:asciiTheme="majorHAnsi" w:hAnsiTheme="majorHAnsi" w:cstheme="majorHAnsi"/>
          <w:color w:val="000000" w:themeColor="text1"/>
        </w:rPr>
        <w:t xml:space="preserve"> </w:t>
      </w:r>
      <w:r>
        <w:rPr>
          <w:rFonts w:asciiTheme="majorHAnsi" w:hAnsiTheme="majorHAnsi" w:cstheme="majorHAnsi"/>
          <w:color w:val="000000" w:themeColor="text1"/>
        </w:rPr>
        <w:t>levels</w:t>
      </w:r>
      <w:r w:rsidRPr="0072720B">
        <w:rPr>
          <w:rFonts w:asciiTheme="majorHAnsi" w:hAnsiTheme="majorHAnsi" w:cstheme="majorHAnsi"/>
          <w:color w:val="000000" w:themeColor="text1"/>
        </w:rPr>
        <w:t>.</w:t>
      </w:r>
      <w:r w:rsidR="00D434EB">
        <w:rPr>
          <w:rFonts w:asciiTheme="majorHAnsi" w:hAnsiTheme="majorHAnsi" w:cstheme="majorHAnsi"/>
          <w:color w:val="000000" w:themeColor="text1"/>
        </w:rPr>
        <w:t xml:space="preserve"> </w:t>
      </w:r>
      <w:r w:rsidRPr="0072720B">
        <w:rPr>
          <w:rFonts w:asciiTheme="majorHAnsi" w:hAnsiTheme="majorHAnsi" w:cstheme="majorHAnsi"/>
          <w:color w:val="000000" w:themeColor="text1"/>
        </w:rPr>
        <w:t>Consequently,</w:t>
      </w:r>
      <w:r>
        <w:rPr>
          <w:rFonts w:asciiTheme="majorHAnsi" w:hAnsiTheme="majorHAnsi" w:cstheme="majorHAnsi"/>
          <w:color w:val="000000" w:themeColor="text1"/>
        </w:rPr>
        <w:t xml:space="preserve"> effective M&amp;E should</w:t>
      </w:r>
      <w:r w:rsidRPr="0072720B">
        <w:rPr>
          <w:rFonts w:asciiTheme="majorHAnsi" w:hAnsiTheme="majorHAnsi" w:cstheme="majorHAnsi"/>
          <w:color w:val="000000" w:themeColor="text1"/>
        </w:rPr>
        <w:t xml:space="preserve"> </w:t>
      </w:r>
      <w:r>
        <w:rPr>
          <w:rFonts w:asciiTheme="majorHAnsi" w:hAnsiTheme="majorHAnsi" w:cstheme="majorHAnsi"/>
          <w:color w:val="000000" w:themeColor="text1"/>
        </w:rPr>
        <w:t>also en</w:t>
      </w:r>
      <w:r w:rsidRPr="0072720B">
        <w:rPr>
          <w:rFonts w:asciiTheme="majorHAnsi" w:hAnsiTheme="majorHAnsi" w:cstheme="majorHAnsi"/>
          <w:color w:val="000000" w:themeColor="text1"/>
        </w:rPr>
        <w:t xml:space="preserve">able </w:t>
      </w:r>
      <w:r>
        <w:rPr>
          <w:rFonts w:asciiTheme="majorHAnsi" w:hAnsiTheme="majorHAnsi" w:cstheme="majorHAnsi"/>
          <w:color w:val="000000" w:themeColor="text1"/>
        </w:rPr>
        <w:t>the</w:t>
      </w:r>
      <w:r w:rsidRPr="0072720B">
        <w:rPr>
          <w:rFonts w:asciiTheme="majorHAnsi" w:hAnsiTheme="majorHAnsi" w:cstheme="majorHAnsi"/>
          <w:color w:val="000000" w:themeColor="text1"/>
        </w:rPr>
        <w:t xml:space="preserve"> </w:t>
      </w:r>
      <w:r>
        <w:rPr>
          <w:rFonts w:asciiTheme="majorHAnsi" w:hAnsiTheme="majorHAnsi" w:cstheme="majorHAnsi"/>
          <w:color w:val="000000" w:themeColor="text1"/>
        </w:rPr>
        <w:t>documentation</w:t>
      </w:r>
      <w:r w:rsidRPr="0072720B">
        <w:rPr>
          <w:rFonts w:asciiTheme="majorHAnsi" w:hAnsiTheme="majorHAnsi" w:cstheme="majorHAnsi"/>
          <w:color w:val="000000" w:themeColor="text1"/>
        </w:rPr>
        <w:t xml:space="preserve"> some of bright spots </w:t>
      </w:r>
      <w:r>
        <w:rPr>
          <w:rFonts w:asciiTheme="majorHAnsi" w:hAnsiTheme="majorHAnsi" w:cstheme="majorHAnsi"/>
          <w:color w:val="000000" w:themeColor="text1"/>
        </w:rPr>
        <w:t>in the implementation of the reforms that can inform</w:t>
      </w:r>
      <w:r w:rsidRPr="0072720B">
        <w:rPr>
          <w:rFonts w:asciiTheme="majorHAnsi" w:hAnsiTheme="majorHAnsi" w:cstheme="majorHAnsi"/>
          <w:color w:val="000000" w:themeColor="text1"/>
        </w:rPr>
        <w:t xml:space="preserve"> how </w:t>
      </w:r>
      <w:r>
        <w:rPr>
          <w:rFonts w:asciiTheme="majorHAnsi" w:hAnsiTheme="majorHAnsi" w:cstheme="majorHAnsi"/>
          <w:color w:val="000000" w:themeColor="text1"/>
        </w:rPr>
        <w:t>reforms should be</w:t>
      </w:r>
      <w:r w:rsidRPr="0072720B">
        <w:rPr>
          <w:rFonts w:asciiTheme="majorHAnsi" w:hAnsiTheme="majorHAnsi" w:cstheme="majorHAnsi"/>
          <w:color w:val="000000" w:themeColor="text1"/>
        </w:rPr>
        <w:t xml:space="preserve"> packaged for scaling and replication.</w:t>
      </w:r>
      <w:r w:rsidR="00D434EB">
        <w:rPr>
          <w:rFonts w:asciiTheme="majorHAnsi" w:hAnsiTheme="majorHAnsi" w:cstheme="majorHAnsi"/>
          <w:color w:val="000000" w:themeColor="text1"/>
        </w:rPr>
        <w:t xml:space="preserve"> </w:t>
      </w:r>
    </w:p>
    <w:p w14:paraId="7999CAFD" w14:textId="368A7976" w:rsidR="008D0CAD" w:rsidRDefault="008D0CAD" w:rsidP="009443E0">
      <w:pPr>
        <w:spacing w:before="100" w:beforeAutospacing="1" w:after="100" w:afterAutospacing="1" w:line="360" w:lineRule="auto"/>
        <w:rPr>
          <w:rFonts w:asciiTheme="majorHAnsi" w:hAnsiTheme="majorHAnsi" w:cstheme="majorHAnsi"/>
          <w:bCs/>
          <w:color w:val="000000" w:themeColor="text1"/>
        </w:rPr>
      </w:pPr>
      <w:r w:rsidRPr="00D51FF7">
        <w:rPr>
          <w:rFonts w:asciiTheme="majorHAnsi" w:hAnsiTheme="majorHAnsi" w:cstheme="majorHAnsi"/>
          <w:b/>
          <w:bCs/>
        </w:rPr>
        <w:t>Establishing baselines.</w:t>
      </w:r>
      <w:r>
        <w:rPr>
          <w:rFonts w:asciiTheme="majorHAnsi" w:hAnsiTheme="majorHAnsi" w:cstheme="majorHAnsi"/>
        </w:rPr>
        <w:t xml:space="preserve"> Baselines are the </w:t>
      </w:r>
      <w:r w:rsidRPr="0072720B">
        <w:rPr>
          <w:rFonts w:asciiTheme="majorHAnsi" w:hAnsiTheme="majorHAnsi" w:cstheme="majorHAnsi"/>
          <w:i/>
        </w:rPr>
        <w:t>sine qua non</w:t>
      </w:r>
      <w:r>
        <w:rPr>
          <w:rFonts w:asciiTheme="majorHAnsi" w:hAnsiTheme="majorHAnsi" w:cstheme="majorHAnsi"/>
        </w:rPr>
        <w:t xml:space="preserve"> (prerequisite) of an effective monitoring and evaluation system</w:t>
      </w:r>
      <w:r>
        <w:rPr>
          <w:rFonts w:asciiTheme="majorHAnsi" w:hAnsiTheme="majorHAnsi" w:cstheme="majorHAnsi"/>
          <w:bCs/>
          <w:color w:val="000000" w:themeColor="text1"/>
        </w:rPr>
        <w:t>.</w:t>
      </w:r>
      <w:r w:rsidR="00D434EB">
        <w:rPr>
          <w:rFonts w:asciiTheme="majorHAnsi" w:hAnsiTheme="majorHAnsi" w:cstheme="majorHAnsi"/>
          <w:bCs/>
          <w:color w:val="000000" w:themeColor="text1"/>
        </w:rPr>
        <w:t xml:space="preserve"> </w:t>
      </w:r>
      <w:r>
        <w:rPr>
          <w:rFonts w:asciiTheme="majorHAnsi" w:hAnsiTheme="majorHAnsi" w:cstheme="majorHAnsi"/>
          <w:bCs/>
          <w:color w:val="000000" w:themeColor="text1"/>
        </w:rPr>
        <w:t xml:space="preserve">It is thus recommended that DepEd pursue the </w:t>
      </w:r>
      <w:r w:rsidRPr="0072720B">
        <w:rPr>
          <w:rFonts w:asciiTheme="majorHAnsi" w:hAnsiTheme="majorHAnsi" w:cstheme="majorHAnsi"/>
          <w:bCs/>
          <w:iCs/>
          <w:color w:val="000000" w:themeColor="text1"/>
        </w:rPr>
        <w:t>d</w:t>
      </w:r>
      <w:r w:rsidRPr="0072720B">
        <w:rPr>
          <w:rFonts w:asciiTheme="majorHAnsi" w:hAnsiTheme="majorHAnsi" w:cstheme="majorHAnsi"/>
          <w:color w:val="000000" w:themeColor="text1"/>
        </w:rPr>
        <w:t xml:space="preserve">evelopment of baseline data for all </w:t>
      </w:r>
      <w:r>
        <w:rPr>
          <w:rFonts w:asciiTheme="majorHAnsi" w:hAnsiTheme="majorHAnsi" w:cstheme="majorHAnsi"/>
          <w:color w:val="000000" w:themeColor="text1"/>
        </w:rPr>
        <w:t xml:space="preserve">its </w:t>
      </w:r>
      <w:r w:rsidRPr="0072720B">
        <w:rPr>
          <w:rFonts w:asciiTheme="majorHAnsi" w:hAnsiTheme="majorHAnsi" w:cstheme="majorHAnsi"/>
          <w:color w:val="000000" w:themeColor="text1"/>
        </w:rPr>
        <w:t>key performance indicators</w:t>
      </w:r>
      <w:r>
        <w:rPr>
          <w:rFonts w:asciiTheme="majorHAnsi" w:hAnsiTheme="majorHAnsi" w:cstheme="majorHAnsi"/>
          <w:color w:val="000000" w:themeColor="text1"/>
        </w:rPr>
        <w:t xml:space="preserve"> in the basic education sector.</w:t>
      </w:r>
    </w:p>
    <w:p w14:paraId="1C0D5029" w14:textId="51DF418A" w:rsidR="008D0CAD" w:rsidRDefault="008D0CAD" w:rsidP="009443E0">
      <w:pPr>
        <w:spacing w:before="100" w:beforeAutospacing="1" w:after="100" w:afterAutospacing="1" w:line="360" w:lineRule="auto"/>
        <w:rPr>
          <w:rFonts w:asciiTheme="majorHAnsi" w:hAnsiTheme="majorHAnsi" w:cstheme="majorHAnsi"/>
          <w:bCs/>
          <w:color w:val="000000" w:themeColor="text1"/>
        </w:rPr>
      </w:pPr>
      <w:r w:rsidRPr="00D51FF7">
        <w:rPr>
          <w:rFonts w:asciiTheme="majorHAnsi" w:hAnsiTheme="majorHAnsi" w:cstheme="majorHAnsi"/>
          <w:b/>
        </w:rPr>
        <w:t>Records and data management.</w:t>
      </w:r>
      <w:r w:rsidRPr="00C066A6">
        <w:rPr>
          <w:rFonts w:asciiTheme="majorHAnsi" w:hAnsiTheme="majorHAnsi" w:cstheme="majorHAnsi"/>
          <w:bCs/>
        </w:rPr>
        <w:t xml:space="preserve"> Records and data management at the school-level</w:t>
      </w:r>
      <w:r>
        <w:rPr>
          <w:rFonts w:asciiTheme="majorHAnsi" w:hAnsiTheme="majorHAnsi" w:cstheme="majorHAnsi"/>
          <w:bCs/>
        </w:rPr>
        <w:t xml:space="preserve"> also needs to be improved.</w:t>
      </w:r>
      <w:r>
        <w:rPr>
          <w:rFonts w:asciiTheme="majorHAnsi" w:hAnsiTheme="majorHAnsi" w:cstheme="majorHAnsi"/>
          <w:bCs/>
          <w:color w:val="000000" w:themeColor="text1"/>
        </w:rPr>
        <w:t xml:space="preserve"> Schools are the primary source of data used by CO, ROs and DOs in their planning, budgeting and decision-making.</w:t>
      </w:r>
      <w:r w:rsidR="00D434EB">
        <w:rPr>
          <w:rFonts w:asciiTheme="majorHAnsi" w:hAnsiTheme="majorHAnsi" w:cstheme="majorHAnsi"/>
          <w:bCs/>
          <w:color w:val="000000" w:themeColor="text1"/>
        </w:rPr>
        <w:t xml:space="preserve"> </w:t>
      </w:r>
      <w:r>
        <w:rPr>
          <w:rFonts w:asciiTheme="majorHAnsi" w:hAnsiTheme="majorHAnsi" w:cstheme="majorHAnsi"/>
          <w:bCs/>
          <w:color w:val="000000" w:themeColor="text1"/>
        </w:rPr>
        <w:t>It is thus, an understatement to say that schools must have good data and data management systems.</w:t>
      </w:r>
      <w:r w:rsidR="00D434EB">
        <w:rPr>
          <w:rFonts w:asciiTheme="majorHAnsi" w:hAnsiTheme="majorHAnsi" w:cstheme="majorHAnsi"/>
          <w:bCs/>
          <w:color w:val="000000" w:themeColor="text1"/>
        </w:rPr>
        <w:t xml:space="preserve"> </w:t>
      </w:r>
      <w:r>
        <w:rPr>
          <w:rFonts w:asciiTheme="majorHAnsi" w:hAnsiTheme="majorHAnsi" w:cstheme="majorHAnsi"/>
          <w:bCs/>
          <w:color w:val="000000" w:themeColor="text1"/>
        </w:rPr>
        <w:t>But as observed in this EOPE Main Study, many schools do not have the capacity and infrastructure to maintain effective data management systems.</w:t>
      </w:r>
    </w:p>
    <w:p w14:paraId="45C8FF4C" w14:textId="7CE22112" w:rsidR="008D0CAD" w:rsidRPr="00FF4650" w:rsidRDefault="008D0CAD" w:rsidP="009443E0">
      <w:pPr>
        <w:spacing w:before="100" w:beforeAutospacing="1" w:after="100" w:afterAutospacing="1" w:line="360" w:lineRule="auto"/>
        <w:rPr>
          <w:rFonts w:asciiTheme="majorHAnsi" w:hAnsiTheme="majorHAnsi" w:cstheme="majorHAnsi"/>
        </w:rPr>
      </w:pPr>
      <w:r w:rsidRPr="00D51FF7">
        <w:rPr>
          <w:rFonts w:asciiTheme="majorHAnsi" w:hAnsiTheme="majorHAnsi" w:cstheme="majorHAnsi"/>
          <w:b/>
          <w:color w:val="000000" w:themeColor="text1"/>
        </w:rPr>
        <w:t>Capacity-building</w:t>
      </w:r>
      <w:r>
        <w:rPr>
          <w:rFonts w:asciiTheme="majorHAnsi" w:hAnsiTheme="majorHAnsi" w:cstheme="majorHAnsi"/>
          <w:b/>
          <w:color w:val="000000" w:themeColor="text1"/>
        </w:rPr>
        <w:t xml:space="preserve"> on RBME</w:t>
      </w:r>
      <w:r w:rsidRPr="00D51FF7">
        <w:rPr>
          <w:rFonts w:asciiTheme="majorHAnsi" w:hAnsiTheme="majorHAnsi" w:cstheme="majorHAnsi"/>
          <w:b/>
          <w:color w:val="000000" w:themeColor="text1"/>
        </w:rPr>
        <w:t>.</w:t>
      </w:r>
      <w:r>
        <w:rPr>
          <w:rFonts w:asciiTheme="majorHAnsi" w:hAnsiTheme="majorHAnsi" w:cstheme="majorHAnsi"/>
          <w:bCs/>
          <w:color w:val="000000" w:themeColor="text1"/>
        </w:rPr>
        <w:t xml:space="preserve"> The capacity of personnel across all governance levels on ICT and data management must be strengthened not only through capability building interventions but through the provision of ICT infrastructure and reliable internet connections.</w:t>
      </w:r>
      <w:r w:rsidR="00D434EB">
        <w:rPr>
          <w:rFonts w:asciiTheme="majorHAnsi" w:hAnsiTheme="majorHAnsi" w:cstheme="majorHAnsi"/>
          <w:bCs/>
          <w:color w:val="000000" w:themeColor="text1"/>
        </w:rPr>
        <w:t xml:space="preserve"> </w:t>
      </w:r>
      <w:r>
        <w:rPr>
          <w:rFonts w:asciiTheme="majorHAnsi" w:hAnsiTheme="majorHAnsi" w:cstheme="majorHAnsi"/>
        </w:rPr>
        <w:t>It is further recommended to p</w:t>
      </w:r>
      <w:r w:rsidRPr="00A65123">
        <w:rPr>
          <w:rFonts w:asciiTheme="majorHAnsi" w:hAnsiTheme="majorHAnsi" w:cstheme="majorHAnsi"/>
        </w:rPr>
        <w:t xml:space="preserve">rovide </w:t>
      </w:r>
      <w:r>
        <w:rPr>
          <w:rFonts w:asciiTheme="majorHAnsi" w:hAnsiTheme="majorHAnsi" w:cstheme="majorHAnsi"/>
        </w:rPr>
        <w:t xml:space="preserve">at least one </w:t>
      </w:r>
      <w:r w:rsidRPr="00A65123">
        <w:rPr>
          <w:rFonts w:asciiTheme="majorHAnsi" w:hAnsiTheme="majorHAnsi" w:cstheme="majorHAnsi"/>
        </w:rPr>
        <w:t>administrative support staff to</w:t>
      </w:r>
      <w:r>
        <w:rPr>
          <w:rFonts w:asciiTheme="majorHAnsi" w:hAnsiTheme="majorHAnsi" w:cstheme="majorHAnsi"/>
        </w:rPr>
        <w:t xml:space="preserve"> larger </w:t>
      </w:r>
      <w:r w:rsidRPr="00A65123">
        <w:rPr>
          <w:rFonts w:asciiTheme="majorHAnsi" w:hAnsiTheme="majorHAnsi" w:cstheme="majorHAnsi"/>
        </w:rPr>
        <w:t>schools</w:t>
      </w:r>
      <w:r>
        <w:rPr>
          <w:rFonts w:asciiTheme="majorHAnsi" w:hAnsiTheme="majorHAnsi" w:cstheme="majorHAnsi"/>
        </w:rPr>
        <w:t xml:space="preserve"> and one </w:t>
      </w:r>
      <w:r w:rsidRPr="00A65123">
        <w:rPr>
          <w:rFonts w:asciiTheme="majorHAnsi" w:hAnsiTheme="majorHAnsi" w:cstheme="majorHAnsi"/>
        </w:rPr>
        <w:t>administrative support staff</w:t>
      </w:r>
      <w:r>
        <w:rPr>
          <w:rFonts w:asciiTheme="majorHAnsi" w:hAnsiTheme="majorHAnsi" w:cstheme="majorHAnsi"/>
        </w:rPr>
        <w:t xml:space="preserve"> in each district to support a group of </w:t>
      </w:r>
      <w:r w:rsidRPr="00A65123">
        <w:rPr>
          <w:rFonts w:asciiTheme="majorHAnsi" w:hAnsiTheme="majorHAnsi" w:cstheme="majorHAnsi"/>
        </w:rPr>
        <w:t>smaller schools</w:t>
      </w:r>
      <w:r>
        <w:rPr>
          <w:rFonts w:asciiTheme="majorHAnsi" w:hAnsiTheme="majorHAnsi" w:cstheme="majorHAnsi"/>
        </w:rPr>
        <w:t>.</w:t>
      </w:r>
    </w:p>
    <w:p w14:paraId="4AF6EE9C" w14:textId="0F1A7C2C" w:rsidR="008D0CAD" w:rsidRPr="00D54AD6" w:rsidRDefault="008D0CAD" w:rsidP="009443E0">
      <w:pPr>
        <w:pStyle w:val="Heading4"/>
        <w:numPr>
          <w:ilvl w:val="2"/>
          <w:numId w:val="3"/>
        </w:numPr>
        <w:spacing w:before="100" w:beforeAutospacing="1" w:after="100" w:afterAutospacing="1" w:line="360" w:lineRule="auto"/>
      </w:pPr>
      <w:bookmarkStart w:id="200" w:name="_Toc39051165"/>
      <w:r>
        <w:t>On future reforms</w:t>
      </w:r>
      <w:bookmarkEnd w:id="200"/>
    </w:p>
    <w:p w14:paraId="7E2CB501" w14:textId="77777777" w:rsidR="008D0CAD" w:rsidRDefault="008D0CAD" w:rsidP="009443E0">
      <w:pPr>
        <w:spacing w:before="100" w:beforeAutospacing="1" w:after="100" w:afterAutospacing="1" w:line="360" w:lineRule="auto"/>
        <w:rPr>
          <w:rFonts w:asciiTheme="majorHAnsi" w:hAnsiTheme="majorHAnsi" w:cstheme="majorHAnsi"/>
          <w:bCs/>
          <w:color w:val="000000" w:themeColor="text1"/>
        </w:rPr>
      </w:pPr>
      <w:r w:rsidRPr="00E26D25">
        <w:rPr>
          <w:rFonts w:asciiTheme="majorHAnsi" w:hAnsiTheme="majorHAnsi" w:cstheme="majorHAnsi"/>
          <w:bCs/>
          <w:color w:val="000000" w:themeColor="text1"/>
        </w:rPr>
        <w:t>The Study also provides the following implications on designing future reform programs and interventions:</w:t>
      </w:r>
    </w:p>
    <w:p w14:paraId="1428DB81" w14:textId="6528E736" w:rsidR="008D0CAD" w:rsidRPr="001E440C" w:rsidRDefault="008D0CAD" w:rsidP="009443E0">
      <w:pPr>
        <w:pStyle w:val="Caption"/>
        <w:spacing w:before="100" w:beforeAutospacing="1" w:after="100" w:afterAutospacing="1" w:line="360" w:lineRule="auto"/>
        <w:rPr>
          <w:rFonts w:asciiTheme="majorHAnsi" w:hAnsiTheme="majorHAnsi" w:cstheme="majorHAnsi"/>
          <w:b/>
          <w:color w:val="0070C0"/>
          <w:sz w:val="24"/>
          <w:szCs w:val="24"/>
        </w:rPr>
      </w:pPr>
      <w:r w:rsidRPr="001E440C">
        <w:rPr>
          <w:rFonts w:asciiTheme="majorHAnsi" w:hAnsiTheme="majorHAnsi" w:cstheme="majorHAnsi"/>
          <w:b/>
          <w:color w:val="0070C0"/>
          <w:sz w:val="24"/>
          <w:szCs w:val="24"/>
        </w:rPr>
        <w:t>Implication No.</w:t>
      </w:r>
      <w:r w:rsidR="00D434EB">
        <w:rPr>
          <w:rFonts w:asciiTheme="majorHAnsi" w:hAnsiTheme="majorHAnsi" w:cstheme="majorHAnsi"/>
          <w:b/>
          <w:color w:val="0070C0"/>
          <w:sz w:val="24"/>
          <w:szCs w:val="24"/>
        </w:rPr>
        <w:t xml:space="preserve"> </w:t>
      </w:r>
      <w:r w:rsidRPr="001E440C">
        <w:rPr>
          <w:rFonts w:asciiTheme="majorHAnsi" w:hAnsiTheme="majorHAnsi" w:cstheme="majorHAnsi"/>
          <w:b/>
          <w:color w:val="0070C0"/>
          <w:sz w:val="24"/>
          <w:szCs w:val="24"/>
        </w:rPr>
        <w:fldChar w:fldCharType="begin"/>
      </w:r>
      <w:r w:rsidRPr="001E440C">
        <w:rPr>
          <w:rFonts w:asciiTheme="majorHAnsi" w:hAnsiTheme="majorHAnsi" w:cstheme="majorHAnsi"/>
          <w:b/>
          <w:color w:val="0070C0"/>
          <w:sz w:val="24"/>
          <w:szCs w:val="24"/>
        </w:rPr>
        <w:instrText xml:space="preserve"> SEQ Implication_No._ \* ARABIC </w:instrText>
      </w:r>
      <w:r w:rsidRPr="001E440C">
        <w:rPr>
          <w:rFonts w:asciiTheme="majorHAnsi" w:hAnsiTheme="majorHAnsi" w:cstheme="majorHAnsi"/>
          <w:b/>
          <w:color w:val="0070C0"/>
          <w:sz w:val="24"/>
          <w:szCs w:val="24"/>
        </w:rPr>
        <w:fldChar w:fldCharType="separate"/>
      </w:r>
      <w:r w:rsidR="00D6133D">
        <w:rPr>
          <w:rFonts w:asciiTheme="majorHAnsi" w:hAnsiTheme="majorHAnsi" w:cstheme="majorHAnsi"/>
          <w:b/>
          <w:noProof/>
          <w:color w:val="0070C0"/>
          <w:sz w:val="24"/>
          <w:szCs w:val="24"/>
        </w:rPr>
        <w:t>10</w:t>
      </w:r>
      <w:r w:rsidRPr="001E440C">
        <w:rPr>
          <w:rFonts w:asciiTheme="majorHAnsi" w:hAnsiTheme="majorHAnsi" w:cstheme="majorHAnsi"/>
          <w:b/>
          <w:color w:val="0070C0"/>
          <w:sz w:val="24"/>
          <w:szCs w:val="24"/>
        </w:rPr>
        <w:fldChar w:fldCharType="end"/>
      </w:r>
      <w:r w:rsidRPr="001E440C">
        <w:rPr>
          <w:rFonts w:asciiTheme="majorHAnsi" w:hAnsiTheme="majorHAnsi" w:cstheme="majorHAnsi"/>
          <w:b/>
          <w:color w:val="0070C0"/>
          <w:sz w:val="24"/>
          <w:szCs w:val="24"/>
        </w:rPr>
        <w:t>:</w:t>
      </w:r>
      <w:r w:rsidR="00D434EB">
        <w:rPr>
          <w:rFonts w:asciiTheme="majorHAnsi" w:hAnsiTheme="majorHAnsi" w:cstheme="majorHAnsi"/>
          <w:b/>
          <w:bCs/>
          <w:iCs w:val="0"/>
          <w:color w:val="0070C0"/>
          <w:sz w:val="24"/>
          <w:szCs w:val="24"/>
        </w:rPr>
        <w:t xml:space="preserve"> </w:t>
      </w:r>
      <w:r>
        <w:rPr>
          <w:rFonts w:asciiTheme="majorHAnsi" w:hAnsiTheme="majorHAnsi" w:cstheme="majorHAnsi"/>
          <w:b/>
          <w:color w:val="0070C0"/>
          <w:sz w:val="24"/>
          <w:szCs w:val="24"/>
        </w:rPr>
        <w:t>F</w:t>
      </w:r>
      <w:r>
        <w:rPr>
          <w:rFonts w:asciiTheme="majorHAnsi" w:hAnsiTheme="majorHAnsi" w:cstheme="majorHAnsi"/>
          <w:b/>
          <w:bCs/>
          <w:iCs w:val="0"/>
          <w:color w:val="0070C0"/>
          <w:sz w:val="24"/>
          <w:szCs w:val="24"/>
        </w:rPr>
        <w:t>uture r</w:t>
      </w:r>
      <w:r w:rsidRPr="001E440C">
        <w:rPr>
          <w:rFonts w:asciiTheme="majorHAnsi" w:hAnsiTheme="majorHAnsi" w:cstheme="majorHAnsi"/>
          <w:b/>
          <w:bCs/>
          <w:iCs w:val="0"/>
          <w:color w:val="0070C0"/>
          <w:sz w:val="24"/>
          <w:szCs w:val="24"/>
        </w:rPr>
        <w:t xml:space="preserve">eforms should </w:t>
      </w:r>
      <w:r>
        <w:rPr>
          <w:rFonts w:asciiTheme="majorHAnsi" w:hAnsiTheme="majorHAnsi" w:cstheme="majorHAnsi"/>
          <w:b/>
          <w:bCs/>
          <w:iCs w:val="0"/>
          <w:color w:val="0070C0"/>
          <w:sz w:val="24"/>
          <w:szCs w:val="24"/>
        </w:rPr>
        <w:t>propel principals and teachers</w:t>
      </w:r>
      <w:r w:rsidRPr="001E440C">
        <w:rPr>
          <w:rFonts w:asciiTheme="majorHAnsi" w:hAnsiTheme="majorHAnsi" w:cstheme="majorHAnsi"/>
          <w:b/>
          <w:bCs/>
          <w:iCs w:val="0"/>
          <w:color w:val="0070C0"/>
          <w:sz w:val="24"/>
          <w:szCs w:val="24"/>
        </w:rPr>
        <w:t xml:space="preserve"> </w:t>
      </w:r>
      <w:r>
        <w:rPr>
          <w:rFonts w:asciiTheme="majorHAnsi" w:hAnsiTheme="majorHAnsi" w:cstheme="majorHAnsi"/>
          <w:b/>
          <w:bCs/>
          <w:iCs w:val="0"/>
          <w:color w:val="0070C0"/>
          <w:sz w:val="24"/>
          <w:szCs w:val="24"/>
        </w:rPr>
        <w:t xml:space="preserve">to success, and be mindful of not complicating their tasks and roles </w:t>
      </w:r>
      <w:r w:rsidRPr="001E440C">
        <w:rPr>
          <w:rFonts w:asciiTheme="majorHAnsi" w:hAnsiTheme="majorHAnsi" w:cstheme="majorHAnsi"/>
          <w:b/>
          <w:bCs/>
          <w:color w:val="0070C0"/>
          <w:sz w:val="24"/>
          <w:szCs w:val="24"/>
        </w:rPr>
        <w:t>[</w:t>
      </w:r>
      <w:r>
        <w:rPr>
          <w:rFonts w:asciiTheme="majorHAnsi" w:hAnsiTheme="majorHAnsi" w:cstheme="majorHAnsi"/>
          <w:b/>
          <w:bCs/>
          <w:color w:val="0070C0"/>
          <w:sz w:val="24"/>
          <w:szCs w:val="24"/>
        </w:rPr>
        <w:t>DepEd</w:t>
      </w:r>
      <w:r w:rsidRPr="001E440C">
        <w:rPr>
          <w:rFonts w:asciiTheme="majorHAnsi" w:hAnsiTheme="majorHAnsi" w:cstheme="majorHAnsi"/>
          <w:b/>
          <w:bCs/>
          <w:color w:val="0070C0"/>
          <w:sz w:val="24"/>
          <w:szCs w:val="24"/>
        </w:rPr>
        <w:t xml:space="preserve"> and </w:t>
      </w:r>
      <w:r w:rsidRPr="001E440C">
        <w:rPr>
          <w:rFonts w:asciiTheme="majorHAnsi" w:hAnsiTheme="majorHAnsi" w:cstheme="majorHAnsi"/>
          <w:b/>
          <w:bCs/>
          <w:iCs w:val="0"/>
          <w:color w:val="0070C0"/>
          <w:sz w:val="24"/>
          <w:szCs w:val="24"/>
        </w:rPr>
        <w:t>DFAT]</w:t>
      </w:r>
    </w:p>
    <w:p w14:paraId="7E79AC51" w14:textId="6D3AF1A9" w:rsidR="008D0CAD" w:rsidRPr="0076694D" w:rsidRDefault="008D0CAD" w:rsidP="009443E0">
      <w:pPr>
        <w:pStyle w:val="Caption"/>
        <w:spacing w:before="100" w:beforeAutospacing="1" w:after="100" w:afterAutospacing="1" w:line="360" w:lineRule="auto"/>
        <w:rPr>
          <w:rFonts w:asciiTheme="majorHAnsi" w:hAnsiTheme="majorHAnsi" w:cstheme="majorHAnsi"/>
          <w:i w:val="0"/>
          <w:iCs w:val="0"/>
          <w:color w:val="000000" w:themeColor="text1"/>
          <w:sz w:val="24"/>
          <w:szCs w:val="24"/>
        </w:rPr>
      </w:pPr>
      <w:r w:rsidRPr="0076694D">
        <w:rPr>
          <w:rFonts w:asciiTheme="majorHAnsi" w:hAnsiTheme="majorHAnsi" w:cstheme="majorHAnsi"/>
          <w:i w:val="0"/>
          <w:color w:val="000000" w:themeColor="text1"/>
          <w:sz w:val="24"/>
          <w:szCs w:val="24"/>
        </w:rPr>
        <w:t xml:space="preserve">For </w:t>
      </w:r>
      <w:r>
        <w:rPr>
          <w:rFonts w:asciiTheme="majorHAnsi" w:hAnsiTheme="majorHAnsi" w:cstheme="majorHAnsi"/>
          <w:i w:val="0"/>
          <w:color w:val="000000" w:themeColor="text1"/>
          <w:sz w:val="24"/>
          <w:szCs w:val="24"/>
        </w:rPr>
        <w:t>principals</w:t>
      </w:r>
      <w:r w:rsidRPr="0076694D">
        <w:rPr>
          <w:rFonts w:asciiTheme="majorHAnsi" w:hAnsiTheme="majorHAnsi" w:cstheme="majorHAnsi"/>
          <w:i w:val="0"/>
          <w:color w:val="000000" w:themeColor="text1"/>
          <w:sz w:val="24"/>
          <w:szCs w:val="24"/>
        </w:rPr>
        <w:t>, reforms</w:t>
      </w:r>
      <w:r>
        <w:rPr>
          <w:rFonts w:asciiTheme="majorHAnsi" w:hAnsiTheme="majorHAnsi" w:cstheme="majorHAnsi"/>
          <w:i w:val="0"/>
          <w:color w:val="000000" w:themeColor="text1"/>
          <w:sz w:val="24"/>
          <w:szCs w:val="24"/>
        </w:rPr>
        <w:t xml:space="preserve"> </w:t>
      </w:r>
      <w:r w:rsidRPr="00D51FF7">
        <w:rPr>
          <w:rFonts w:asciiTheme="majorHAnsi" w:hAnsiTheme="majorHAnsi" w:cstheme="majorHAnsi"/>
          <w:i w:val="0"/>
          <w:iCs w:val="0"/>
          <w:color w:val="000000" w:themeColor="text1"/>
          <w:sz w:val="24"/>
          <w:szCs w:val="24"/>
        </w:rPr>
        <w:t xml:space="preserve">should be mindful of </w:t>
      </w:r>
      <w:r>
        <w:rPr>
          <w:rFonts w:asciiTheme="majorHAnsi" w:hAnsiTheme="majorHAnsi" w:cstheme="majorHAnsi"/>
          <w:i w:val="0"/>
          <w:iCs w:val="0"/>
          <w:color w:val="000000" w:themeColor="text1"/>
          <w:sz w:val="24"/>
          <w:szCs w:val="24"/>
        </w:rPr>
        <w:t>balancing the roles of principals in school leadership and management.</w:t>
      </w:r>
      <w:r w:rsidR="00D434EB">
        <w:rPr>
          <w:rFonts w:asciiTheme="majorHAnsi" w:hAnsiTheme="majorHAnsi" w:cstheme="majorHAnsi"/>
          <w:i w:val="0"/>
          <w:iCs w:val="0"/>
          <w:color w:val="000000" w:themeColor="text1"/>
          <w:sz w:val="24"/>
          <w:szCs w:val="24"/>
        </w:rPr>
        <w:t xml:space="preserve"> </w:t>
      </w:r>
      <w:r>
        <w:rPr>
          <w:rFonts w:asciiTheme="majorHAnsi" w:hAnsiTheme="majorHAnsi" w:cstheme="majorHAnsi"/>
          <w:i w:val="0"/>
          <w:iCs w:val="0"/>
          <w:color w:val="000000" w:themeColor="text1"/>
          <w:sz w:val="24"/>
          <w:szCs w:val="24"/>
        </w:rPr>
        <w:t xml:space="preserve">For instance, the voluminous requirements for reports with tight deadlines and numerous requirements to attend meetings slants the principals towards management and limiting their leadership and developmental roles. </w:t>
      </w:r>
      <w:r>
        <w:rPr>
          <w:rFonts w:asciiTheme="majorHAnsi" w:hAnsiTheme="majorHAnsi" w:cstheme="majorHAnsi"/>
          <w:i w:val="0"/>
          <w:color w:val="000000" w:themeColor="text1"/>
          <w:sz w:val="24"/>
          <w:szCs w:val="24"/>
        </w:rPr>
        <w:t>Also, r</w:t>
      </w:r>
      <w:r w:rsidRPr="0076694D">
        <w:rPr>
          <w:rFonts w:asciiTheme="majorHAnsi" w:hAnsiTheme="majorHAnsi" w:cstheme="majorHAnsi"/>
          <w:i w:val="0"/>
          <w:color w:val="000000" w:themeColor="text1"/>
          <w:sz w:val="24"/>
          <w:szCs w:val="24"/>
        </w:rPr>
        <w:t>eforms</w:t>
      </w:r>
      <w:r>
        <w:rPr>
          <w:rFonts w:asciiTheme="majorHAnsi" w:hAnsiTheme="majorHAnsi" w:cstheme="majorHAnsi"/>
          <w:i w:val="0"/>
          <w:color w:val="000000" w:themeColor="text1"/>
          <w:sz w:val="24"/>
          <w:szCs w:val="24"/>
        </w:rPr>
        <w:t xml:space="preserve"> </w:t>
      </w:r>
      <w:r w:rsidRPr="00D51FF7">
        <w:rPr>
          <w:rFonts w:asciiTheme="majorHAnsi" w:hAnsiTheme="majorHAnsi" w:cstheme="majorHAnsi"/>
          <w:i w:val="0"/>
          <w:iCs w:val="0"/>
          <w:color w:val="000000" w:themeColor="text1"/>
          <w:sz w:val="24"/>
          <w:szCs w:val="24"/>
        </w:rPr>
        <w:t xml:space="preserve">should be mindful of </w:t>
      </w:r>
      <w:r>
        <w:rPr>
          <w:rFonts w:asciiTheme="majorHAnsi" w:hAnsiTheme="majorHAnsi" w:cstheme="majorHAnsi"/>
          <w:i w:val="0"/>
          <w:iCs w:val="0"/>
          <w:color w:val="000000" w:themeColor="text1"/>
          <w:sz w:val="24"/>
          <w:szCs w:val="24"/>
        </w:rPr>
        <w:t xml:space="preserve">reducing the need for principals to </w:t>
      </w:r>
      <w:r w:rsidRPr="0076694D">
        <w:rPr>
          <w:rFonts w:asciiTheme="majorHAnsi" w:hAnsiTheme="majorHAnsi" w:cstheme="majorHAnsi"/>
          <w:color w:val="000000" w:themeColor="text1"/>
          <w:sz w:val="24"/>
          <w:szCs w:val="24"/>
        </w:rPr>
        <w:t>cope</w:t>
      </w:r>
      <w:r>
        <w:rPr>
          <w:rFonts w:asciiTheme="majorHAnsi" w:hAnsiTheme="majorHAnsi" w:cstheme="majorHAnsi"/>
          <w:i w:val="0"/>
          <w:iCs w:val="0"/>
          <w:color w:val="000000" w:themeColor="text1"/>
          <w:sz w:val="24"/>
          <w:szCs w:val="24"/>
        </w:rPr>
        <w:t>, which happens when they have to devise work arounds because certain requirements cannot be met by their schools (such as the provision of clinical assessment for children with disabilities required for the implementation of Inclusive Education and the conduct of bridging sessions to implement the mother tongue policy (MTB-MLE)).</w:t>
      </w:r>
    </w:p>
    <w:p w14:paraId="1CD49212" w14:textId="39F014DF" w:rsidR="008D0CAD" w:rsidRPr="00D51FF7" w:rsidRDefault="008D0CAD" w:rsidP="009443E0">
      <w:pPr>
        <w:pStyle w:val="Caption"/>
        <w:spacing w:before="100" w:beforeAutospacing="1" w:after="100" w:afterAutospacing="1" w:line="360" w:lineRule="auto"/>
        <w:rPr>
          <w:rFonts w:asciiTheme="majorHAnsi" w:hAnsiTheme="majorHAnsi" w:cstheme="majorHAnsi"/>
          <w:b/>
          <w:i w:val="0"/>
          <w:iCs w:val="0"/>
          <w:color w:val="000000" w:themeColor="text1"/>
          <w:sz w:val="24"/>
          <w:szCs w:val="24"/>
        </w:rPr>
      </w:pPr>
      <w:r w:rsidRPr="0076694D">
        <w:rPr>
          <w:rFonts w:asciiTheme="majorHAnsi" w:hAnsiTheme="majorHAnsi" w:cstheme="majorHAnsi"/>
          <w:i w:val="0"/>
          <w:color w:val="000000" w:themeColor="text1"/>
          <w:sz w:val="24"/>
          <w:szCs w:val="24"/>
        </w:rPr>
        <w:t xml:space="preserve">For </w:t>
      </w:r>
      <w:r>
        <w:rPr>
          <w:rFonts w:asciiTheme="majorHAnsi" w:hAnsiTheme="majorHAnsi" w:cstheme="majorHAnsi"/>
          <w:i w:val="0"/>
          <w:color w:val="000000" w:themeColor="text1"/>
          <w:sz w:val="24"/>
          <w:szCs w:val="24"/>
        </w:rPr>
        <w:t>teachers</w:t>
      </w:r>
      <w:r w:rsidRPr="0076694D">
        <w:rPr>
          <w:rFonts w:asciiTheme="majorHAnsi" w:hAnsiTheme="majorHAnsi" w:cstheme="majorHAnsi"/>
          <w:i w:val="0"/>
          <w:color w:val="000000" w:themeColor="text1"/>
          <w:sz w:val="24"/>
          <w:szCs w:val="24"/>
        </w:rPr>
        <w:t>, reforms</w:t>
      </w:r>
      <w:r w:rsidRPr="00D51FF7">
        <w:rPr>
          <w:rFonts w:asciiTheme="majorHAnsi" w:hAnsiTheme="majorHAnsi" w:cstheme="majorHAnsi"/>
          <w:i w:val="0"/>
          <w:iCs w:val="0"/>
          <w:color w:val="000000" w:themeColor="text1"/>
          <w:sz w:val="24"/>
          <w:szCs w:val="24"/>
        </w:rPr>
        <w:t xml:space="preserve"> should be</w:t>
      </w:r>
      <w:r>
        <w:rPr>
          <w:rFonts w:asciiTheme="majorHAnsi" w:hAnsiTheme="majorHAnsi" w:cstheme="majorHAnsi"/>
          <w:i w:val="0"/>
          <w:iCs w:val="0"/>
          <w:color w:val="000000" w:themeColor="text1"/>
          <w:sz w:val="24"/>
          <w:szCs w:val="24"/>
        </w:rPr>
        <w:t xml:space="preserve"> designed in ways that do</w:t>
      </w:r>
      <w:r w:rsidRPr="00D51FF7">
        <w:rPr>
          <w:rFonts w:asciiTheme="majorHAnsi" w:hAnsiTheme="majorHAnsi" w:cstheme="majorHAnsi"/>
          <w:i w:val="0"/>
          <w:iCs w:val="0"/>
          <w:color w:val="000000" w:themeColor="text1"/>
          <w:sz w:val="24"/>
          <w:szCs w:val="24"/>
        </w:rPr>
        <w:t xml:space="preserve"> not reduc</w:t>
      </w:r>
      <w:r>
        <w:rPr>
          <w:rFonts w:asciiTheme="majorHAnsi" w:hAnsiTheme="majorHAnsi" w:cstheme="majorHAnsi"/>
          <w:i w:val="0"/>
          <w:iCs w:val="0"/>
          <w:color w:val="000000" w:themeColor="text1"/>
          <w:sz w:val="24"/>
          <w:szCs w:val="24"/>
        </w:rPr>
        <w:t>e</w:t>
      </w:r>
      <w:r w:rsidRPr="00D51FF7">
        <w:rPr>
          <w:rFonts w:asciiTheme="majorHAnsi" w:hAnsiTheme="majorHAnsi" w:cstheme="majorHAnsi"/>
          <w:i w:val="0"/>
          <w:iCs w:val="0"/>
          <w:color w:val="000000" w:themeColor="text1"/>
          <w:sz w:val="24"/>
          <w:szCs w:val="24"/>
        </w:rPr>
        <w:t xml:space="preserve"> teacher</w:t>
      </w:r>
      <w:r>
        <w:rPr>
          <w:rFonts w:asciiTheme="majorHAnsi" w:hAnsiTheme="majorHAnsi" w:cstheme="majorHAnsi"/>
          <w:i w:val="0"/>
          <w:iCs w:val="0"/>
          <w:color w:val="000000" w:themeColor="text1"/>
          <w:sz w:val="24"/>
          <w:szCs w:val="24"/>
        </w:rPr>
        <w:t>s’</w:t>
      </w:r>
      <w:r w:rsidRPr="00D51FF7">
        <w:rPr>
          <w:rFonts w:asciiTheme="majorHAnsi" w:hAnsiTheme="majorHAnsi" w:cstheme="majorHAnsi"/>
          <w:i w:val="0"/>
          <w:iCs w:val="0"/>
          <w:color w:val="000000" w:themeColor="text1"/>
          <w:sz w:val="24"/>
          <w:szCs w:val="24"/>
        </w:rPr>
        <w:t xml:space="preserve"> contact time with students. Contact time with students is perhaps the most important factor </w:t>
      </w:r>
      <w:r>
        <w:rPr>
          <w:rFonts w:asciiTheme="majorHAnsi" w:hAnsiTheme="majorHAnsi" w:cstheme="majorHAnsi"/>
          <w:i w:val="0"/>
          <w:iCs w:val="0"/>
          <w:color w:val="000000" w:themeColor="text1"/>
          <w:sz w:val="24"/>
          <w:szCs w:val="24"/>
        </w:rPr>
        <w:t>in</w:t>
      </w:r>
      <w:r w:rsidRPr="00D51FF7">
        <w:rPr>
          <w:rFonts w:asciiTheme="majorHAnsi" w:hAnsiTheme="majorHAnsi" w:cstheme="majorHAnsi"/>
          <w:i w:val="0"/>
          <w:iCs w:val="0"/>
          <w:color w:val="000000" w:themeColor="text1"/>
          <w:sz w:val="24"/>
          <w:szCs w:val="24"/>
        </w:rPr>
        <w:t xml:space="preserve"> ensur</w:t>
      </w:r>
      <w:r>
        <w:rPr>
          <w:rFonts w:asciiTheme="majorHAnsi" w:hAnsiTheme="majorHAnsi" w:cstheme="majorHAnsi"/>
          <w:i w:val="0"/>
          <w:iCs w:val="0"/>
          <w:color w:val="000000" w:themeColor="text1"/>
          <w:sz w:val="24"/>
          <w:szCs w:val="24"/>
        </w:rPr>
        <w:t>ing</w:t>
      </w:r>
      <w:r w:rsidRPr="00D51FF7">
        <w:rPr>
          <w:rFonts w:asciiTheme="majorHAnsi" w:hAnsiTheme="majorHAnsi" w:cstheme="majorHAnsi"/>
          <w:i w:val="0"/>
          <w:iCs w:val="0"/>
          <w:color w:val="000000" w:themeColor="text1"/>
          <w:sz w:val="24"/>
          <w:szCs w:val="24"/>
        </w:rPr>
        <w:t xml:space="preserve"> that students learn (without prejudice to other factors). The experience </w:t>
      </w:r>
      <w:r>
        <w:rPr>
          <w:rFonts w:asciiTheme="majorHAnsi" w:hAnsiTheme="majorHAnsi" w:cstheme="majorHAnsi"/>
          <w:i w:val="0"/>
          <w:iCs w:val="0"/>
          <w:color w:val="000000" w:themeColor="text1"/>
          <w:sz w:val="24"/>
          <w:szCs w:val="24"/>
        </w:rPr>
        <w:t>of</w:t>
      </w:r>
      <w:r w:rsidRPr="00D51FF7">
        <w:rPr>
          <w:rFonts w:asciiTheme="majorHAnsi" w:hAnsiTheme="majorHAnsi" w:cstheme="majorHAnsi"/>
          <w:i w:val="0"/>
          <w:iCs w:val="0"/>
          <w:color w:val="000000" w:themeColor="text1"/>
          <w:sz w:val="24"/>
          <w:szCs w:val="24"/>
        </w:rPr>
        <w:t xml:space="preserve"> implementatin</w:t>
      </w:r>
      <w:r>
        <w:rPr>
          <w:rFonts w:asciiTheme="majorHAnsi" w:hAnsiTheme="majorHAnsi" w:cstheme="majorHAnsi"/>
          <w:i w:val="0"/>
          <w:iCs w:val="0"/>
          <w:color w:val="000000" w:themeColor="text1"/>
          <w:sz w:val="24"/>
          <w:szCs w:val="24"/>
        </w:rPr>
        <w:t>g</w:t>
      </w:r>
      <w:r w:rsidRPr="00D51FF7">
        <w:rPr>
          <w:rFonts w:asciiTheme="majorHAnsi" w:hAnsiTheme="majorHAnsi" w:cstheme="majorHAnsi"/>
          <w:i w:val="0"/>
          <w:iCs w:val="0"/>
          <w:color w:val="000000" w:themeColor="text1"/>
          <w:sz w:val="24"/>
          <w:szCs w:val="24"/>
        </w:rPr>
        <w:t xml:space="preserve"> the K-12 reforms at the field level revealed that conduct</w:t>
      </w:r>
      <w:r>
        <w:rPr>
          <w:rFonts w:asciiTheme="majorHAnsi" w:hAnsiTheme="majorHAnsi" w:cstheme="majorHAnsi"/>
          <w:i w:val="0"/>
          <w:iCs w:val="0"/>
          <w:color w:val="000000" w:themeColor="text1"/>
          <w:sz w:val="24"/>
          <w:szCs w:val="24"/>
        </w:rPr>
        <w:t>ing</w:t>
      </w:r>
      <w:r w:rsidRPr="00D51FF7">
        <w:rPr>
          <w:rFonts w:asciiTheme="majorHAnsi" w:hAnsiTheme="majorHAnsi" w:cstheme="majorHAnsi"/>
          <w:i w:val="0"/>
          <w:iCs w:val="0"/>
          <w:color w:val="000000" w:themeColor="text1"/>
          <w:sz w:val="24"/>
          <w:szCs w:val="24"/>
        </w:rPr>
        <w:t xml:space="preserve"> activities </w:t>
      </w:r>
      <w:r>
        <w:rPr>
          <w:rFonts w:asciiTheme="majorHAnsi" w:hAnsiTheme="majorHAnsi" w:cstheme="majorHAnsi"/>
          <w:i w:val="0"/>
          <w:iCs w:val="0"/>
          <w:color w:val="000000" w:themeColor="text1"/>
          <w:sz w:val="24"/>
          <w:szCs w:val="24"/>
        </w:rPr>
        <w:t>simultaneously or</w:t>
      </w:r>
      <w:r w:rsidR="00D434EB">
        <w:rPr>
          <w:rFonts w:asciiTheme="majorHAnsi" w:hAnsiTheme="majorHAnsi" w:cstheme="majorHAnsi"/>
          <w:i w:val="0"/>
          <w:iCs w:val="0"/>
          <w:color w:val="000000" w:themeColor="text1"/>
          <w:sz w:val="24"/>
          <w:szCs w:val="24"/>
        </w:rPr>
        <w:t xml:space="preserve"> </w:t>
      </w:r>
      <w:r w:rsidRPr="00D51FF7">
        <w:rPr>
          <w:rFonts w:asciiTheme="majorHAnsi" w:hAnsiTheme="majorHAnsi" w:cstheme="majorHAnsi"/>
          <w:i w:val="0"/>
          <w:iCs w:val="0"/>
          <w:color w:val="000000" w:themeColor="text1"/>
          <w:sz w:val="24"/>
          <w:szCs w:val="24"/>
        </w:rPr>
        <w:t>scheduled close to each other significantly reduced the contact time of teachers with the</w:t>
      </w:r>
      <w:r>
        <w:rPr>
          <w:rFonts w:asciiTheme="majorHAnsi" w:hAnsiTheme="majorHAnsi" w:cstheme="majorHAnsi"/>
          <w:i w:val="0"/>
          <w:iCs w:val="0"/>
          <w:color w:val="000000" w:themeColor="text1"/>
          <w:sz w:val="24"/>
          <w:szCs w:val="24"/>
        </w:rPr>
        <w:t>ir</w:t>
      </w:r>
      <w:r w:rsidRPr="00D51FF7">
        <w:rPr>
          <w:rFonts w:asciiTheme="majorHAnsi" w:hAnsiTheme="majorHAnsi" w:cstheme="majorHAnsi"/>
          <w:i w:val="0"/>
          <w:iCs w:val="0"/>
          <w:color w:val="000000" w:themeColor="text1"/>
          <w:sz w:val="24"/>
          <w:szCs w:val="24"/>
        </w:rPr>
        <w:t xml:space="preserve"> students</w:t>
      </w:r>
      <w:r>
        <w:rPr>
          <w:rFonts w:asciiTheme="majorHAnsi" w:hAnsiTheme="majorHAnsi" w:cstheme="majorHAnsi"/>
          <w:i w:val="0"/>
          <w:iCs w:val="0"/>
          <w:color w:val="000000" w:themeColor="text1"/>
          <w:sz w:val="24"/>
          <w:szCs w:val="24"/>
        </w:rPr>
        <w:t>,</w:t>
      </w:r>
      <w:r w:rsidRPr="00D51FF7">
        <w:rPr>
          <w:rFonts w:asciiTheme="majorHAnsi" w:hAnsiTheme="majorHAnsi" w:cstheme="majorHAnsi"/>
          <w:i w:val="0"/>
          <w:iCs w:val="0"/>
          <w:color w:val="000000" w:themeColor="text1"/>
          <w:sz w:val="24"/>
          <w:szCs w:val="24"/>
        </w:rPr>
        <w:t xml:space="preserve"> prompting one principal to ruminate on why teacher performance </w:t>
      </w:r>
      <w:r>
        <w:rPr>
          <w:rFonts w:asciiTheme="majorHAnsi" w:hAnsiTheme="majorHAnsi" w:cstheme="majorHAnsi"/>
          <w:i w:val="0"/>
          <w:iCs w:val="0"/>
          <w:color w:val="000000" w:themeColor="text1"/>
          <w:sz w:val="24"/>
          <w:szCs w:val="24"/>
        </w:rPr>
        <w:t>improved</w:t>
      </w:r>
      <w:r w:rsidRPr="00D51FF7">
        <w:rPr>
          <w:rFonts w:asciiTheme="majorHAnsi" w:hAnsiTheme="majorHAnsi" w:cstheme="majorHAnsi"/>
          <w:i w:val="0"/>
          <w:iCs w:val="0"/>
          <w:color w:val="000000" w:themeColor="text1"/>
          <w:sz w:val="24"/>
          <w:szCs w:val="24"/>
        </w:rPr>
        <w:t xml:space="preserve"> while student performance decreased. </w:t>
      </w:r>
    </w:p>
    <w:p w14:paraId="21F46CB8" w14:textId="4F9E400C" w:rsidR="008D0CAD" w:rsidRPr="00D51FF7" w:rsidRDefault="008D0CAD" w:rsidP="009443E0">
      <w:pPr>
        <w:spacing w:before="100" w:beforeAutospacing="1" w:after="100" w:afterAutospacing="1" w:line="360" w:lineRule="auto"/>
        <w:rPr>
          <w:rFonts w:asciiTheme="majorHAnsi" w:hAnsiTheme="majorHAnsi" w:cstheme="majorHAnsi"/>
          <w:bCs/>
          <w:color w:val="000000" w:themeColor="text1"/>
        </w:rPr>
      </w:pPr>
      <w:r>
        <w:rPr>
          <w:rFonts w:asciiTheme="majorHAnsi" w:hAnsiTheme="majorHAnsi" w:cstheme="majorHAnsi"/>
          <w:bCs/>
          <w:color w:val="000000" w:themeColor="text1"/>
        </w:rPr>
        <w:t>As DepEd continues to implement the reforms developed with support from the BEST Program, careful scheduling of activities is strongly recommended to ensure that the contact time of teachers with their students is not negatively affected.</w:t>
      </w:r>
      <w:r w:rsidR="00D434EB">
        <w:rPr>
          <w:rFonts w:asciiTheme="majorHAnsi" w:hAnsiTheme="majorHAnsi" w:cstheme="majorHAnsi"/>
          <w:bCs/>
          <w:color w:val="000000" w:themeColor="text1"/>
        </w:rPr>
        <w:t xml:space="preserve"> </w:t>
      </w:r>
      <w:r>
        <w:rPr>
          <w:rFonts w:asciiTheme="majorHAnsi" w:hAnsiTheme="majorHAnsi" w:cstheme="majorHAnsi"/>
          <w:bCs/>
          <w:color w:val="000000" w:themeColor="text1"/>
        </w:rPr>
        <w:t xml:space="preserve">Design improvements </w:t>
      </w:r>
      <w:r>
        <w:rPr>
          <w:rFonts w:asciiTheme="majorHAnsi" w:hAnsiTheme="majorHAnsi" w:cstheme="majorHAnsi"/>
        </w:rPr>
        <w:t>such as complex performance evaluation tools</w:t>
      </w:r>
      <w:r w:rsidRPr="007F69FD">
        <w:rPr>
          <w:rFonts w:asciiTheme="majorHAnsi" w:hAnsiTheme="majorHAnsi" w:cstheme="majorHAnsi"/>
          <w:bCs/>
          <w:color w:val="000000" w:themeColor="text1"/>
        </w:rPr>
        <w:t xml:space="preserve"> </w:t>
      </w:r>
      <w:r>
        <w:rPr>
          <w:rFonts w:asciiTheme="majorHAnsi" w:hAnsiTheme="majorHAnsi" w:cstheme="majorHAnsi"/>
          <w:bCs/>
          <w:color w:val="000000" w:themeColor="text1"/>
        </w:rPr>
        <w:t xml:space="preserve">should not </w:t>
      </w:r>
      <w:r>
        <w:rPr>
          <w:rFonts w:asciiTheme="majorHAnsi" w:hAnsiTheme="majorHAnsi" w:cstheme="majorHAnsi"/>
        </w:rPr>
        <w:t>take up</w:t>
      </w:r>
      <w:r w:rsidRPr="00A65123">
        <w:rPr>
          <w:rFonts w:asciiTheme="majorHAnsi" w:hAnsiTheme="majorHAnsi" w:cstheme="majorHAnsi"/>
        </w:rPr>
        <w:t xml:space="preserve"> </w:t>
      </w:r>
      <w:r>
        <w:rPr>
          <w:rFonts w:asciiTheme="majorHAnsi" w:hAnsiTheme="majorHAnsi" w:cstheme="majorHAnsi"/>
          <w:bCs/>
          <w:iCs/>
        </w:rPr>
        <w:t xml:space="preserve">teachers’ time </w:t>
      </w:r>
      <w:r>
        <w:rPr>
          <w:rFonts w:asciiTheme="majorHAnsi" w:hAnsiTheme="majorHAnsi" w:cstheme="majorHAnsi"/>
        </w:rPr>
        <w:t>unnecessarily.</w:t>
      </w:r>
      <w:r w:rsidR="00D434EB">
        <w:rPr>
          <w:rFonts w:asciiTheme="majorHAnsi" w:hAnsiTheme="majorHAnsi" w:cstheme="majorHAnsi"/>
        </w:rPr>
        <w:t xml:space="preserve"> </w:t>
      </w:r>
      <w:r>
        <w:rPr>
          <w:rFonts w:asciiTheme="majorHAnsi" w:hAnsiTheme="majorHAnsi" w:cstheme="majorHAnsi"/>
        </w:rPr>
        <w:t xml:space="preserve">If these systems are inevitable, </w:t>
      </w:r>
      <w:r w:rsidRPr="00A65123">
        <w:rPr>
          <w:rFonts w:asciiTheme="majorHAnsi" w:hAnsiTheme="majorHAnsi" w:cstheme="majorHAnsi"/>
        </w:rPr>
        <w:t>teacher-friendly systems</w:t>
      </w:r>
      <w:r w:rsidRPr="00255523">
        <w:rPr>
          <w:rFonts w:asciiTheme="majorHAnsi" w:hAnsiTheme="majorHAnsi" w:cstheme="majorHAnsi"/>
        </w:rPr>
        <w:t xml:space="preserve"> </w:t>
      </w:r>
      <w:r>
        <w:rPr>
          <w:rFonts w:asciiTheme="majorHAnsi" w:hAnsiTheme="majorHAnsi" w:cstheme="majorHAnsi"/>
        </w:rPr>
        <w:t>should be factored in the d</w:t>
      </w:r>
      <w:r w:rsidRPr="00A65123">
        <w:rPr>
          <w:rFonts w:asciiTheme="majorHAnsi" w:hAnsiTheme="majorHAnsi" w:cstheme="majorHAnsi"/>
        </w:rPr>
        <w:t>esign</w:t>
      </w:r>
      <w:r>
        <w:rPr>
          <w:rFonts w:asciiTheme="majorHAnsi" w:hAnsiTheme="majorHAnsi" w:cstheme="majorHAnsi"/>
        </w:rPr>
        <w:t>s.</w:t>
      </w:r>
      <w:r w:rsidR="00D434EB">
        <w:rPr>
          <w:rFonts w:asciiTheme="majorHAnsi" w:hAnsiTheme="majorHAnsi" w:cstheme="majorHAnsi"/>
        </w:rPr>
        <w:t xml:space="preserve"> </w:t>
      </w:r>
      <w:r>
        <w:rPr>
          <w:rFonts w:asciiTheme="majorHAnsi" w:hAnsiTheme="majorHAnsi" w:cstheme="majorHAnsi"/>
        </w:rPr>
        <w:t>Assessing the performance of teachers should have the barest number of indicators such as contact time with the learners and the extent of students’ mastery of a subject from one period to another.</w:t>
      </w:r>
    </w:p>
    <w:p w14:paraId="38FBA0D1" w14:textId="050BE2E8" w:rsidR="008D0CAD" w:rsidRDefault="008D0CAD" w:rsidP="009443E0">
      <w:pPr>
        <w:pStyle w:val="Caption"/>
        <w:spacing w:before="100" w:beforeAutospacing="1" w:after="100" w:afterAutospacing="1" w:line="360" w:lineRule="auto"/>
        <w:rPr>
          <w:rFonts w:asciiTheme="majorHAnsi" w:hAnsiTheme="majorHAnsi" w:cstheme="majorHAnsi"/>
          <w:b/>
          <w:color w:val="0070C0"/>
          <w:sz w:val="24"/>
          <w:szCs w:val="24"/>
        </w:rPr>
      </w:pPr>
      <w:r w:rsidRPr="001E440C">
        <w:rPr>
          <w:rFonts w:asciiTheme="majorHAnsi" w:hAnsiTheme="majorHAnsi" w:cstheme="majorHAnsi"/>
          <w:b/>
          <w:color w:val="0070C0"/>
          <w:sz w:val="24"/>
          <w:szCs w:val="24"/>
        </w:rPr>
        <w:t>Implication No.</w:t>
      </w:r>
      <w:r w:rsidR="00D434EB">
        <w:rPr>
          <w:rFonts w:asciiTheme="majorHAnsi" w:hAnsiTheme="majorHAnsi" w:cstheme="majorHAnsi"/>
          <w:b/>
          <w:color w:val="0070C0"/>
          <w:sz w:val="24"/>
          <w:szCs w:val="24"/>
        </w:rPr>
        <w:t xml:space="preserve"> </w:t>
      </w:r>
      <w:r w:rsidRPr="001E440C">
        <w:rPr>
          <w:rFonts w:asciiTheme="majorHAnsi" w:hAnsiTheme="majorHAnsi" w:cstheme="majorHAnsi"/>
          <w:b/>
          <w:color w:val="0070C0"/>
          <w:sz w:val="24"/>
          <w:szCs w:val="24"/>
        </w:rPr>
        <w:fldChar w:fldCharType="begin"/>
      </w:r>
      <w:r w:rsidRPr="001E440C">
        <w:rPr>
          <w:rFonts w:asciiTheme="majorHAnsi" w:hAnsiTheme="majorHAnsi" w:cstheme="majorHAnsi"/>
          <w:b/>
          <w:color w:val="0070C0"/>
          <w:sz w:val="24"/>
          <w:szCs w:val="24"/>
        </w:rPr>
        <w:instrText xml:space="preserve"> SEQ Implication_No._ \* ARABIC </w:instrText>
      </w:r>
      <w:r w:rsidRPr="001E440C">
        <w:rPr>
          <w:rFonts w:asciiTheme="majorHAnsi" w:hAnsiTheme="majorHAnsi" w:cstheme="majorHAnsi"/>
          <w:b/>
          <w:color w:val="0070C0"/>
          <w:sz w:val="24"/>
          <w:szCs w:val="24"/>
        </w:rPr>
        <w:fldChar w:fldCharType="separate"/>
      </w:r>
      <w:r w:rsidR="00D6133D">
        <w:rPr>
          <w:rFonts w:asciiTheme="majorHAnsi" w:hAnsiTheme="majorHAnsi" w:cstheme="majorHAnsi"/>
          <w:b/>
          <w:noProof/>
          <w:color w:val="0070C0"/>
          <w:sz w:val="24"/>
          <w:szCs w:val="24"/>
        </w:rPr>
        <w:t>11</w:t>
      </w:r>
      <w:r w:rsidRPr="001E440C">
        <w:rPr>
          <w:rFonts w:asciiTheme="majorHAnsi" w:hAnsiTheme="majorHAnsi" w:cstheme="majorHAnsi"/>
          <w:b/>
          <w:color w:val="0070C0"/>
          <w:sz w:val="24"/>
          <w:szCs w:val="24"/>
        </w:rPr>
        <w:fldChar w:fldCharType="end"/>
      </w:r>
      <w:r w:rsidRPr="001E440C">
        <w:rPr>
          <w:rFonts w:asciiTheme="majorHAnsi" w:hAnsiTheme="majorHAnsi" w:cstheme="majorHAnsi"/>
          <w:b/>
          <w:color w:val="0070C0"/>
          <w:sz w:val="24"/>
          <w:szCs w:val="24"/>
        </w:rPr>
        <w:t>:</w:t>
      </w:r>
      <w:r w:rsidRPr="001E440C">
        <w:rPr>
          <w:rFonts w:asciiTheme="majorHAnsi" w:hAnsiTheme="majorHAnsi" w:cstheme="majorHAnsi"/>
          <w:b/>
          <w:bCs/>
          <w:i w:val="0"/>
          <w:color w:val="0070C0"/>
          <w:sz w:val="24"/>
          <w:szCs w:val="24"/>
        </w:rPr>
        <w:t xml:space="preserve"> </w:t>
      </w:r>
      <w:r>
        <w:rPr>
          <w:rFonts w:asciiTheme="majorHAnsi" w:hAnsiTheme="majorHAnsi" w:cstheme="majorHAnsi"/>
          <w:b/>
          <w:bCs/>
          <w:i w:val="0"/>
          <w:color w:val="0070C0"/>
          <w:sz w:val="24"/>
          <w:szCs w:val="24"/>
        </w:rPr>
        <w:t xml:space="preserve">In implementing programs and projects, </w:t>
      </w:r>
      <w:r>
        <w:rPr>
          <w:rFonts w:asciiTheme="majorHAnsi" w:hAnsiTheme="majorHAnsi" w:cstheme="majorHAnsi"/>
          <w:b/>
          <w:bCs/>
          <w:color w:val="0070C0"/>
          <w:sz w:val="24"/>
          <w:szCs w:val="24"/>
        </w:rPr>
        <w:t>attention to the tenets and principles of program/project</w:t>
      </w:r>
      <w:r w:rsidRPr="001E440C">
        <w:rPr>
          <w:rFonts w:asciiTheme="majorHAnsi" w:hAnsiTheme="majorHAnsi" w:cstheme="majorHAnsi"/>
          <w:b/>
          <w:bCs/>
          <w:color w:val="0070C0"/>
          <w:sz w:val="24"/>
          <w:szCs w:val="24"/>
        </w:rPr>
        <w:t xml:space="preserve"> management is indispensable [</w:t>
      </w:r>
      <w:r>
        <w:rPr>
          <w:rFonts w:asciiTheme="majorHAnsi" w:hAnsiTheme="majorHAnsi" w:cstheme="majorHAnsi"/>
          <w:b/>
          <w:bCs/>
          <w:color w:val="0070C0"/>
          <w:sz w:val="24"/>
          <w:szCs w:val="24"/>
        </w:rPr>
        <w:t>DepEd</w:t>
      </w:r>
      <w:r w:rsidRPr="001E440C">
        <w:rPr>
          <w:rFonts w:asciiTheme="majorHAnsi" w:hAnsiTheme="majorHAnsi" w:cstheme="majorHAnsi"/>
          <w:b/>
          <w:bCs/>
          <w:color w:val="0070C0"/>
          <w:sz w:val="24"/>
          <w:szCs w:val="24"/>
        </w:rPr>
        <w:t xml:space="preserve"> and </w:t>
      </w:r>
      <w:r w:rsidRPr="001E440C">
        <w:rPr>
          <w:rFonts w:asciiTheme="majorHAnsi" w:hAnsiTheme="majorHAnsi" w:cstheme="majorHAnsi"/>
          <w:b/>
          <w:bCs/>
          <w:iCs w:val="0"/>
          <w:color w:val="0070C0"/>
          <w:sz w:val="24"/>
          <w:szCs w:val="24"/>
        </w:rPr>
        <w:t>DFAT]</w:t>
      </w:r>
    </w:p>
    <w:p w14:paraId="285540D4" w14:textId="77777777" w:rsidR="008D0CAD" w:rsidRPr="00E44EBC" w:rsidRDefault="008D0CAD" w:rsidP="009443E0">
      <w:pPr>
        <w:spacing w:before="100" w:beforeAutospacing="1" w:after="100" w:afterAutospacing="1" w:line="360" w:lineRule="auto"/>
        <w:rPr>
          <w:rFonts w:asciiTheme="majorHAnsi" w:hAnsiTheme="majorHAnsi" w:cstheme="majorHAnsi"/>
          <w:bCs/>
          <w:color w:val="000000" w:themeColor="text1"/>
        </w:rPr>
      </w:pPr>
      <w:r w:rsidRPr="00152B31">
        <w:rPr>
          <w:rFonts w:asciiTheme="majorHAnsi" w:hAnsiTheme="majorHAnsi" w:cstheme="majorHAnsi"/>
          <w:b/>
          <w:bCs/>
          <w:color w:val="000000" w:themeColor="text1"/>
        </w:rPr>
        <w:t>Convergence approach</w:t>
      </w:r>
      <w:r>
        <w:rPr>
          <w:rFonts w:asciiTheme="majorHAnsi" w:hAnsiTheme="majorHAnsi" w:cstheme="majorHAnsi"/>
          <w:b/>
          <w:bCs/>
          <w:color w:val="000000" w:themeColor="text1"/>
        </w:rPr>
        <w:t xml:space="preserve"> is more strategic</w:t>
      </w:r>
      <w:r w:rsidRPr="00152B31">
        <w:rPr>
          <w:rFonts w:asciiTheme="majorHAnsi" w:hAnsiTheme="majorHAnsi" w:cstheme="majorHAnsi"/>
          <w:b/>
          <w:bCs/>
          <w:color w:val="000000" w:themeColor="text1"/>
        </w:rPr>
        <w:t>.</w:t>
      </w:r>
      <w:r>
        <w:rPr>
          <w:rFonts w:asciiTheme="majorHAnsi" w:hAnsiTheme="majorHAnsi" w:cstheme="majorHAnsi"/>
          <w:color w:val="000000" w:themeColor="text1"/>
        </w:rPr>
        <w:t xml:space="preserve"> </w:t>
      </w:r>
      <w:r w:rsidRPr="00E44EBC">
        <w:rPr>
          <w:rFonts w:asciiTheme="majorHAnsi" w:hAnsiTheme="majorHAnsi" w:cstheme="majorHAnsi"/>
          <w:color w:val="000000" w:themeColor="text1"/>
        </w:rPr>
        <w:t>The value of an Integrative Framework to link all the different components and activities of a reform program cannot be overstated</w:t>
      </w:r>
      <w:r w:rsidRPr="00E44EBC">
        <w:rPr>
          <w:rFonts w:asciiTheme="majorHAnsi" w:hAnsiTheme="majorHAnsi" w:cstheme="majorHAnsi"/>
          <w:b/>
          <w:color w:val="000000" w:themeColor="text1"/>
        </w:rPr>
        <w:t>.</w:t>
      </w:r>
      <w:r w:rsidRPr="00E44EBC">
        <w:rPr>
          <w:rFonts w:asciiTheme="majorHAnsi" w:hAnsiTheme="majorHAnsi" w:cstheme="majorHAnsi"/>
          <w:color w:val="000000" w:themeColor="text1"/>
        </w:rPr>
        <w:t xml:space="preserve"> One of the main reflections among program participants was the lack of an integrative mindset of the Program. </w:t>
      </w:r>
      <w:r>
        <w:rPr>
          <w:rFonts w:asciiTheme="majorHAnsi" w:hAnsiTheme="majorHAnsi" w:cstheme="majorHAnsi"/>
          <w:color w:val="000000" w:themeColor="text1"/>
        </w:rPr>
        <w:t>Most of the respondents</w:t>
      </w:r>
      <w:r w:rsidRPr="00E44EBC">
        <w:rPr>
          <w:rFonts w:asciiTheme="majorHAnsi" w:hAnsiTheme="majorHAnsi" w:cstheme="majorHAnsi"/>
          <w:color w:val="000000" w:themeColor="text1"/>
        </w:rPr>
        <w:t xml:space="preserve"> did not see the connections </w:t>
      </w:r>
      <w:r>
        <w:rPr>
          <w:rFonts w:asciiTheme="majorHAnsi" w:hAnsiTheme="majorHAnsi" w:cstheme="majorHAnsi"/>
          <w:color w:val="000000" w:themeColor="text1"/>
        </w:rPr>
        <w:t>between</w:t>
      </w:r>
      <w:r w:rsidRPr="00E44EBC">
        <w:rPr>
          <w:rFonts w:asciiTheme="majorHAnsi" w:hAnsiTheme="majorHAnsi" w:cstheme="majorHAnsi"/>
          <w:color w:val="000000" w:themeColor="text1"/>
        </w:rPr>
        <w:t xml:space="preserve"> the different program interventions</w:t>
      </w:r>
      <w:r>
        <w:rPr>
          <w:rFonts w:asciiTheme="majorHAnsi" w:hAnsiTheme="majorHAnsi" w:cstheme="majorHAnsi"/>
          <w:color w:val="000000" w:themeColor="text1"/>
        </w:rPr>
        <w:t>,</w:t>
      </w:r>
      <w:r w:rsidRPr="00E44EBC">
        <w:rPr>
          <w:rFonts w:asciiTheme="majorHAnsi" w:hAnsiTheme="majorHAnsi" w:cstheme="majorHAnsi"/>
          <w:color w:val="000000" w:themeColor="text1"/>
        </w:rPr>
        <w:t xml:space="preserve"> which reduced their ability to understand the reforms properly. When program components were implemented as stand-alone components or implemented </w:t>
      </w:r>
      <w:r>
        <w:rPr>
          <w:rFonts w:asciiTheme="majorHAnsi" w:hAnsiTheme="majorHAnsi" w:cstheme="majorHAnsi"/>
          <w:color w:val="000000" w:themeColor="text1"/>
        </w:rPr>
        <w:t xml:space="preserve">in </w:t>
      </w:r>
      <w:r w:rsidRPr="00E44EBC">
        <w:rPr>
          <w:rFonts w:asciiTheme="majorHAnsi" w:hAnsiTheme="majorHAnsi" w:cstheme="majorHAnsi"/>
          <w:color w:val="000000" w:themeColor="text1"/>
        </w:rPr>
        <w:t xml:space="preserve">parallel with little interaction, innovation and creativity were stunted because participants </w:t>
      </w:r>
      <w:r>
        <w:rPr>
          <w:rFonts w:asciiTheme="majorHAnsi" w:hAnsiTheme="majorHAnsi" w:cstheme="majorHAnsi"/>
          <w:color w:val="000000" w:themeColor="text1"/>
        </w:rPr>
        <w:t>we</w:t>
      </w:r>
      <w:r w:rsidRPr="00E44EBC">
        <w:rPr>
          <w:rFonts w:asciiTheme="majorHAnsi" w:hAnsiTheme="majorHAnsi" w:cstheme="majorHAnsi"/>
          <w:color w:val="000000" w:themeColor="text1"/>
        </w:rPr>
        <w:t>re not conscious of how each intervention flow</w:t>
      </w:r>
      <w:r>
        <w:rPr>
          <w:rFonts w:asciiTheme="majorHAnsi" w:hAnsiTheme="majorHAnsi" w:cstheme="majorHAnsi"/>
          <w:color w:val="000000" w:themeColor="text1"/>
        </w:rPr>
        <w:t>ed</w:t>
      </w:r>
      <w:r w:rsidRPr="00E44EBC">
        <w:rPr>
          <w:rFonts w:asciiTheme="majorHAnsi" w:hAnsiTheme="majorHAnsi" w:cstheme="majorHAnsi"/>
          <w:color w:val="000000" w:themeColor="text1"/>
        </w:rPr>
        <w:t xml:space="preserve"> and connect</w:t>
      </w:r>
      <w:r>
        <w:rPr>
          <w:rFonts w:asciiTheme="majorHAnsi" w:hAnsiTheme="majorHAnsi" w:cstheme="majorHAnsi"/>
          <w:color w:val="000000" w:themeColor="text1"/>
        </w:rPr>
        <w:t>ed</w:t>
      </w:r>
      <w:r w:rsidRPr="00E44EBC">
        <w:rPr>
          <w:rFonts w:asciiTheme="majorHAnsi" w:hAnsiTheme="majorHAnsi" w:cstheme="majorHAnsi"/>
          <w:color w:val="000000" w:themeColor="text1"/>
        </w:rPr>
        <w:t xml:space="preserve"> in the system. Viewing program interventions as solitary and one-off limited perspectives </w:t>
      </w:r>
      <w:r>
        <w:rPr>
          <w:rFonts w:asciiTheme="majorHAnsi" w:hAnsiTheme="majorHAnsi" w:cstheme="majorHAnsi"/>
          <w:color w:val="000000" w:themeColor="text1"/>
        </w:rPr>
        <w:t>inhibited the</w:t>
      </w:r>
      <w:r w:rsidRPr="00E44EBC">
        <w:rPr>
          <w:rFonts w:asciiTheme="majorHAnsi" w:hAnsiTheme="majorHAnsi" w:cstheme="majorHAnsi"/>
          <w:color w:val="000000" w:themeColor="text1"/>
        </w:rPr>
        <w:t xml:space="preserve"> develop</w:t>
      </w:r>
      <w:r>
        <w:rPr>
          <w:rFonts w:asciiTheme="majorHAnsi" w:hAnsiTheme="majorHAnsi" w:cstheme="majorHAnsi"/>
          <w:color w:val="000000" w:themeColor="text1"/>
        </w:rPr>
        <w:t>ment of</w:t>
      </w:r>
      <w:r w:rsidRPr="00E44EBC">
        <w:rPr>
          <w:rFonts w:asciiTheme="majorHAnsi" w:hAnsiTheme="majorHAnsi" w:cstheme="majorHAnsi"/>
          <w:color w:val="000000" w:themeColor="text1"/>
        </w:rPr>
        <w:t xml:space="preserve"> appropriate and locali</w:t>
      </w:r>
      <w:r>
        <w:rPr>
          <w:rFonts w:asciiTheme="majorHAnsi" w:hAnsiTheme="majorHAnsi" w:cstheme="majorHAnsi"/>
          <w:color w:val="000000" w:themeColor="text1"/>
        </w:rPr>
        <w:t>s</w:t>
      </w:r>
      <w:r w:rsidRPr="00E44EBC">
        <w:rPr>
          <w:rFonts w:asciiTheme="majorHAnsi" w:hAnsiTheme="majorHAnsi" w:cstheme="majorHAnsi"/>
          <w:color w:val="000000" w:themeColor="text1"/>
        </w:rPr>
        <w:t>ed solutions.</w:t>
      </w:r>
    </w:p>
    <w:p w14:paraId="69A4C2C1" w14:textId="77777777" w:rsidR="008D0CAD" w:rsidRPr="00152B31" w:rsidRDefault="008D0CAD" w:rsidP="009443E0">
      <w:pPr>
        <w:spacing w:before="100" w:beforeAutospacing="1" w:after="100" w:afterAutospacing="1" w:line="360" w:lineRule="auto"/>
        <w:rPr>
          <w:rFonts w:asciiTheme="majorHAnsi" w:hAnsiTheme="majorHAnsi" w:cstheme="majorHAnsi"/>
        </w:rPr>
      </w:pPr>
      <w:r w:rsidRPr="00E44EBC">
        <w:rPr>
          <w:rFonts w:asciiTheme="majorHAnsi" w:hAnsiTheme="majorHAnsi" w:cstheme="majorHAnsi"/>
          <w:color w:val="000000" w:themeColor="text1"/>
        </w:rPr>
        <w:t xml:space="preserve">The roll-out plans suffered from the same </w:t>
      </w:r>
      <w:r>
        <w:rPr>
          <w:rFonts w:asciiTheme="majorHAnsi" w:hAnsiTheme="majorHAnsi" w:cstheme="majorHAnsi"/>
          <w:color w:val="000000" w:themeColor="text1"/>
        </w:rPr>
        <w:t>problem</w:t>
      </w:r>
      <w:r w:rsidRPr="00E44EBC">
        <w:rPr>
          <w:rFonts w:asciiTheme="majorHAnsi" w:hAnsiTheme="majorHAnsi" w:cstheme="majorHAnsi"/>
          <w:color w:val="000000" w:themeColor="text1"/>
        </w:rPr>
        <w:t xml:space="preserve"> as the pilot</w:t>
      </w:r>
      <w:r>
        <w:rPr>
          <w:rFonts w:asciiTheme="majorHAnsi" w:hAnsiTheme="majorHAnsi" w:cstheme="majorHAnsi"/>
          <w:color w:val="000000" w:themeColor="text1"/>
        </w:rPr>
        <w:t xml:space="preserve"> activities</w:t>
      </w:r>
      <w:r w:rsidRPr="00E44EBC">
        <w:rPr>
          <w:rFonts w:asciiTheme="majorHAnsi" w:hAnsiTheme="majorHAnsi" w:cstheme="majorHAnsi"/>
          <w:color w:val="000000" w:themeColor="text1"/>
        </w:rPr>
        <w:t xml:space="preserve"> because the interventions were </w:t>
      </w:r>
      <w:r w:rsidRPr="00537709">
        <w:rPr>
          <w:rFonts w:asciiTheme="majorHAnsi" w:hAnsiTheme="majorHAnsi" w:cstheme="majorHAnsi"/>
        </w:rPr>
        <w:t xml:space="preserve">being implemented </w:t>
      </w:r>
      <w:r>
        <w:rPr>
          <w:rFonts w:asciiTheme="majorHAnsi" w:hAnsiTheme="majorHAnsi" w:cstheme="majorHAnsi"/>
        </w:rPr>
        <w:t>i</w:t>
      </w:r>
      <w:r w:rsidRPr="00537709">
        <w:rPr>
          <w:rFonts w:asciiTheme="majorHAnsi" w:hAnsiTheme="majorHAnsi" w:cstheme="majorHAnsi"/>
        </w:rPr>
        <w:t xml:space="preserve">n a piecemeal </w:t>
      </w:r>
      <w:r>
        <w:rPr>
          <w:rFonts w:asciiTheme="majorHAnsi" w:hAnsiTheme="majorHAnsi" w:cstheme="majorHAnsi"/>
        </w:rPr>
        <w:t>way</w:t>
      </w:r>
      <w:r w:rsidRPr="00537709">
        <w:rPr>
          <w:rFonts w:asciiTheme="majorHAnsi" w:hAnsiTheme="majorHAnsi" w:cstheme="majorHAnsi"/>
        </w:rPr>
        <w:t xml:space="preserve">. It would </w:t>
      </w:r>
      <w:r>
        <w:rPr>
          <w:rFonts w:asciiTheme="majorHAnsi" w:hAnsiTheme="majorHAnsi" w:cstheme="majorHAnsi"/>
        </w:rPr>
        <w:t xml:space="preserve">have </w:t>
      </w:r>
      <w:r w:rsidRPr="00537709">
        <w:rPr>
          <w:rFonts w:asciiTheme="majorHAnsi" w:hAnsiTheme="majorHAnsi" w:cstheme="majorHAnsi"/>
        </w:rPr>
        <w:t>be</w:t>
      </w:r>
      <w:r>
        <w:rPr>
          <w:rFonts w:asciiTheme="majorHAnsi" w:hAnsiTheme="majorHAnsi" w:cstheme="majorHAnsi"/>
        </w:rPr>
        <w:t>en</w:t>
      </w:r>
      <w:r w:rsidRPr="00537709">
        <w:rPr>
          <w:rFonts w:asciiTheme="majorHAnsi" w:hAnsiTheme="majorHAnsi" w:cstheme="majorHAnsi"/>
        </w:rPr>
        <w:t xml:space="preserve"> advantageous </w:t>
      </w:r>
      <w:r>
        <w:rPr>
          <w:rFonts w:asciiTheme="majorHAnsi" w:hAnsiTheme="majorHAnsi" w:cstheme="majorHAnsi"/>
        </w:rPr>
        <w:t xml:space="preserve">if in </w:t>
      </w:r>
      <w:r w:rsidRPr="00537709">
        <w:rPr>
          <w:rFonts w:asciiTheme="majorHAnsi" w:hAnsiTheme="majorHAnsi" w:cstheme="majorHAnsi"/>
        </w:rPr>
        <w:t>the program design document</w:t>
      </w:r>
      <w:r>
        <w:rPr>
          <w:rFonts w:asciiTheme="majorHAnsi" w:hAnsiTheme="majorHAnsi" w:cstheme="majorHAnsi"/>
        </w:rPr>
        <w:t xml:space="preserve"> and/or in Annual Plans</w:t>
      </w:r>
      <w:r w:rsidRPr="00537709">
        <w:rPr>
          <w:rFonts w:asciiTheme="majorHAnsi" w:hAnsiTheme="majorHAnsi" w:cstheme="majorHAnsi"/>
        </w:rPr>
        <w:t xml:space="preserve">, the connections </w:t>
      </w:r>
      <w:r>
        <w:rPr>
          <w:rFonts w:asciiTheme="majorHAnsi" w:hAnsiTheme="majorHAnsi" w:cstheme="majorHAnsi"/>
        </w:rPr>
        <w:t>between</w:t>
      </w:r>
      <w:r w:rsidRPr="00537709">
        <w:rPr>
          <w:rFonts w:asciiTheme="majorHAnsi" w:hAnsiTheme="majorHAnsi" w:cstheme="majorHAnsi"/>
        </w:rPr>
        <w:t xml:space="preserve"> the different interventions </w:t>
      </w:r>
      <w:r>
        <w:rPr>
          <w:rFonts w:asciiTheme="majorHAnsi" w:hAnsiTheme="majorHAnsi" w:cstheme="majorHAnsi"/>
        </w:rPr>
        <w:t>we</w:t>
      </w:r>
      <w:r w:rsidRPr="00537709">
        <w:rPr>
          <w:rFonts w:asciiTheme="majorHAnsi" w:hAnsiTheme="majorHAnsi" w:cstheme="majorHAnsi"/>
        </w:rPr>
        <w:t xml:space="preserve">re established. </w:t>
      </w:r>
      <w:r>
        <w:rPr>
          <w:rFonts w:asciiTheme="majorHAnsi" w:hAnsiTheme="majorHAnsi" w:cstheme="majorHAnsi"/>
        </w:rPr>
        <w:t>I</w:t>
      </w:r>
      <w:r w:rsidRPr="00537709">
        <w:rPr>
          <w:rFonts w:asciiTheme="majorHAnsi" w:hAnsiTheme="majorHAnsi" w:cstheme="majorHAnsi"/>
        </w:rPr>
        <w:t xml:space="preserve">t </w:t>
      </w:r>
      <w:r>
        <w:rPr>
          <w:rFonts w:asciiTheme="majorHAnsi" w:hAnsiTheme="majorHAnsi" w:cstheme="majorHAnsi"/>
        </w:rPr>
        <w:t>would have</w:t>
      </w:r>
      <w:r w:rsidRPr="00537709">
        <w:rPr>
          <w:rFonts w:asciiTheme="majorHAnsi" w:hAnsiTheme="majorHAnsi" w:cstheme="majorHAnsi"/>
        </w:rPr>
        <w:t xml:space="preserve"> allow</w:t>
      </w:r>
      <w:r>
        <w:rPr>
          <w:rFonts w:asciiTheme="majorHAnsi" w:hAnsiTheme="majorHAnsi" w:cstheme="majorHAnsi"/>
        </w:rPr>
        <w:t>ed</w:t>
      </w:r>
      <w:r w:rsidRPr="00537709">
        <w:rPr>
          <w:rFonts w:asciiTheme="majorHAnsi" w:hAnsiTheme="majorHAnsi" w:cstheme="majorHAnsi"/>
        </w:rPr>
        <w:t xml:space="preserve"> the whole system to shift in the same direction and create</w:t>
      </w:r>
      <w:r>
        <w:rPr>
          <w:rFonts w:asciiTheme="majorHAnsi" w:hAnsiTheme="majorHAnsi" w:cstheme="majorHAnsi"/>
        </w:rPr>
        <w:t>d</w:t>
      </w:r>
      <w:r w:rsidRPr="00537709">
        <w:rPr>
          <w:rFonts w:asciiTheme="majorHAnsi" w:hAnsiTheme="majorHAnsi" w:cstheme="majorHAnsi"/>
        </w:rPr>
        <w:t xml:space="preserve"> more gains for stakeholders</w:t>
      </w:r>
      <w:r>
        <w:rPr>
          <w:rFonts w:asciiTheme="majorHAnsi" w:hAnsiTheme="majorHAnsi" w:cstheme="majorHAnsi"/>
        </w:rPr>
        <w:t xml:space="preserve"> if integration from central office to the school level was part of the design</w:t>
      </w:r>
      <w:r w:rsidRPr="00537709">
        <w:rPr>
          <w:rFonts w:asciiTheme="majorHAnsi" w:hAnsiTheme="majorHAnsi" w:cstheme="majorHAnsi"/>
        </w:rPr>
        <w:t>.</w:t>
      </w:r>
    </w:p>
    <w:p w14:paraId="70D059BA" w14:textId="340C89E4" w:rsidR="008D0CAD" w:rsidRPr="00D51FF7" w:rsidRDefault="008D0CAD" w:rsidP="009443E0">
      <w:pPr>
        <w:spacing w:before="100" w:beforeAutospacing="1" w:after="100" w:afterAutospacing="1" w:line="360" w:lineRule="auto"/>
        <w:rPr>
          <w:rFonts w:asciiTheme="majorHAnsi" w:hAnsiTheme="majorHAnsi" w:cstheme="majorHAnsi"/>
          <w:bCs/>
          <w:color w:val="000000" w:themeColor="text1"/>
        </w:rPr>
      </w:pPr>
      <w:r w:rsidRPr="00152B31">
        <w:rPr>
          <w:rFonts w:asciiTheme="majorHAnsi" w:hAnsiTheme="majorHAnsi" w:cstheme="majorHAnsi"/>
          <w:b/>
          <w:bCs/>
          <w:color w:val="000000" w:themeColor="text1"/>
        </w:rPr>
        <w:t xml:space="preserve">Change </w:t>
      </w:r>
      <w:r>
        <w:rPr>
          <w:rFonts w:asciiTheme="majorHAnsi" w:hAnsiTheme="majorHAnsi" w:cstheme="majorHAnsi"/>
          <w:b/>
          <w:bCs/>
          <w:color w:val="000000" w:themeColor="text1"/>
        </w:rPr>
        <w:t>m</w:t>
      </w:r>
      <w:r w:rsidRPr="00152B31">
        <w:rPr>
          <w:rFonts w:asciiTheme="majorHAnsi" w:hAnsiTheme="majorHAnsi" w:cstheme="majorHAnsi"/>
          <w:b/>
          <w:bCs/>
          <w:color w:val="000000" w:themeColor="text1"/>
        </w:rPr>
        <w:t>anagement</w:t>
      </w:r>
      <w:r>
        <w:rPr>
          <w:rFonts w:asciiTheme="majorHAnsi" w:hAnsiTheme="majorHAnsi" w:cstheme="majorHAnsi"/>
          <w:b/>
          <w:bCs/>
          <w:color w:val="000000" w:themeColor="text1"/>
        </w:rPr>
        <w:t xml:space="preserve"> in indispensable</w:t>
      </w:r>
      <w:r w:rsidRPr="00152B31">
        <w:rPr>
          <w:rFonts w:asciiTheme="majorHAnsi" w:hAnsiTheme="majorHAnsi" w:cstheme="majorHAnsi"/>
          <w:b/>
          <w:bCs/>
          <w:color w:val="000000" w:themeColor="text1"/>
        </w:rPr>
        <w:t>.</w:t>
      </w:r>
      <w:r>
        <w:rPr>
          <w:rFonts w:asciiTheme="majorHAnsi" w:hAnsiTheme="majorHAnsi" w:cstheme="majorHAnsi"/>
          <w:color w:val="000000" w:themeColor="text1"/>
        </w:rPr>
        <w:t xml:space="preserve"> Future reform programs should include a strong Change Management component to handle the coordination of the soft side of organisational change</w:t>
      </w:r>
      <w:r w:rsidRPr="00E44EBC">
        <w:rPr>
          <w:rFonts w:asciiTheme="majorHAnsi" w:hAnsiTheme="majorHAnsi" w:cstheme="majorHAnsi"/>
          <w:color w:val="000000" w:themeColor="text1"/>
        </w:rPr>
        <w:t>.</w:t>
      </w:r>
      <w:r>
        <w:rPr>
          <w:rFonts w:asciiTheme="majorHAnsi" w:hAnsiTheme="majorHAnsi" w:cstheme="majorHAnsi"/>
          <w:color w:val="000000" w:themeColor="text1"/>
        </w:rPr>
        <w:t xml:space="preserve"> Change Management was in fact one of the critical components of the BEST Program in its original design.</w:t>
      </w:r>
      <w:r w:rsidR="00D434EB">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However, this component was not carried over when the program scope was delimited, and a revised design was prepared. </w:t>
      </w:r>
      <w:r>
        <w:rPr>
          <w:rFonts w:asciiTheme="majorHAnsi" w:hAnsiTheme="majorHAnsi" w:cstheme="majorHAnsi"/>
          <w:bCs/>
          <w:color w:val="000000" w:themeColor="text1"/>
        </w:rPr>
        <w:t>Problems with uneven understandings among DepEd personnel and misunderstandings about how each intervention linked with other interventions could have been addressed by a solid change management strategy.</w:t>
      </w:r>
    </w:p>
    <w:p w14:paraId="040F18D4" w14:textId="744F43F0" w:rsidR="008D0CAD" w:rsidRDefault="008D0CAD" w:rsidP="009443E0">
      <w:pPr>
        <w:pStyle w:val="Heading2"/>
        <w:numPr>
          <w:ilvl w:val="0"/>
          <w:numId w:val="3"/>
        </w:numPr>
        <w:spacing w:before="100" w:beforeAutospacing="1" w:after="100" w:afterAutospacing="1" w:line="360" w:lineRule="auto"/>
      </w:pPr>
      <w:bookmarkStart w:id="201" w:name="_Toc69820454"/>
      <w:r>
        <w:t>LESSONS LEARNED</w:t>
      </w:r>
      <w:bookmarkEnd w:id="196"/>
      <w:bookmarkEnd w:id="197"/>
      <w:bookmarkEnd w:id="201"/>
    </w:p>
    <w:p w14:paraId="523831FD" w14:textId="5F7FBAC2" w:rsidR="008D0CAD" w:rsidRPr="007F6FD7" w:rsidRDefault="008D0CAD" w:rsidP="009443E0">
      <w:pPr>
        <w:pStyle w:val="NormalWeb"/>
        <w:spacing w:line="360" w:lineRule="auto"/>
        <w:rPr>
          <w:rFonts w:asciiTheme="majorHAnsi" w:hAnsiTheme="majorHAnsi" w:cstheme="majorHAnsi"/>
        </w:rPr>
      </w:pPr>
      <w:r>
        <w:rPr>
          <w:rFonts w:asciiTheme="majorHAnsi" w:hAnsiTheme="majorHAnsi" w:cstheme="majorHAnsi"/>
        </w:rPr>
        <w:t>A number of</w:t>
      </w:r>
      <w:r w:rsidRPr="007F6FD7">
        <w:rPr>
          <w:rFonts w:asciiTheme="majorHAnsi" w:hAnsiTheme="majorHAnsi" w:cstheme="majorHAnsi"/>
        </w:rPr>
        <w:t xml:space="preserve"> lessons </w:t>
      </w:r>
      <w:r>
        <w:rPr>
          <w:rFonts w:asciiTheme="majorHAnsi" w:hAnsiTheme="majorHAnsi" w:cstheme="majorHAnsi"/>
        </w:rPr>
        <w:t>and insights can</w:t>
      </w:r>
      <w:r w:rsidRPr="007F6FD7">
        <w:rPr>
          <w:rFonts w:asciiTheme="majorHAnsi" w:hAnsiTheme="majorHAnsi" w:cstheme="majorHAnsi"/>
        </w:rPr>
        <w:t xml:space="preserve"> be </w:t>
      </w:r>
      <w:r>
        <w:rPr>
          <w:rFonts w:asciiTheme="majorHAnsi" w:hAnsiTheme="majorHAnsi" w:cstheme="majorHAnsi"/>
        </w:rPr>
        <w:t>distilled</w:t>
      </w:r>
      <w:r w:rsidRPr="007F6FD7">
        <w:rPr>
          <w:rFonts w:asciiTheme="majorHAnsi" w:hAnsiTheme="majorHAnsi" w:cstheme="majorHAnsi"/>
        </w:rPr>
        <w:t xml:space="preserve"> from the implementation of </w:t>
      </w:r>
      <w:r>
        <w:rPr>
          <w:rFonts w:asciiTheme="majorHAnsi" w:hAnsiTheme="majorHAnsi" w:cstheme="majorHAnsi"/>
        </w:rPr>
        <w:t xml:space="preserve">the </w:t>
      </w:r>
      <w:r w:rsidRPr="007F6FD7">
        <w:rPr>
          <w:rFonts w:asciiTheme="majorHAnsi" w:hAnsiTheme="majorHAnsi" w:cstheme="majorHAnsi"/>
        </w:rPr>
        <w:t xml:space="preserve">BEST </w:t>
      </w:r>
      <w:r>
        <w:rPr>
          <w:rFonts w:asciiTheme="majorHAnsi" w:hAnsiTheme="majorHAnsi" w:cstheme="majorHAnsi"/>
        </w:rPr>
        <w:t>Program to inform</w:t>
      </w:r>
      <w:r w:rsidRPr="007F6FD7">
        <w:rPr>
          <w:rFonts w:asciiTheme="majorHAnsi" w:hAnsiTheme="majorHAnsi" w:cstheme="majorHAnsi"/>
        </w:rPr>
        <w:t xml:space="preserve"> future investments in education </w:t>
      </w:r>
      <w:r>
        <w:rPr>
          <w:rFonts w:asciiTheme="majorHAnsi" w:hAnsiTheme="majorHAnsi" w:cstheme="majorHAnsi"/>
        </w:rPr>
        <w:t>as well as in</w:t>
      </w:r>
      <w:r w:rsidRPr="007F6FD7">
        <w:rPr>
          <w:rFonts w:asciiTheme="majorHAnsi" w:hAnsiTheme="majorHAnsi" w:cstheme="majorHAnsi"/>
        </w:rPr>
        <w:t xml:space="preserve"> other sectors.</w:t>
      </w:r>
      <w:r w:rsidR="00D434EB">
        <w:rPr>
          <w:rFonts w:asciiTheme="majorHAnsi" w:hAnsiTheme="majorHAnsi" w:cstheme="majorHAnsi"/>
        </w:rPr>
        <w:t xml:space="preserve"> </w:t>
      </w:r>
    </w:p>
    <w:p w14:paraId="50E2A0DC" w14:textId="799B9ECF" w:rsidR="008D0CAD" w:rsidRDefault="008D0CAD" w:rsidP="009443E0">
      <w:pPr>
        <w:pStyle w:val="ListParagraph"/>
        <w:numPr>
          <w:ilvl w:val="0"/>
          <w:numId w:val="9"/>
        </w:numPr>
        <w:spacing w:before="100" w:beforeAutospacing="1" w:after="100" w:afterAutospacing="1" w:line="360" w:lineRule="auto"/>
        <w:contextualSpacing w:val="0"/>
        <w:rPr>
          <w:rFonts w:asciiTheme="majorHAnsi" w:hAnsiTheme="majorHAnsi" w:cstheme="majorHAnsi"/>
        </w:rPr>
      </w:pPr>
      <w:r w:rsidRPr="00376B92">
        <w:rPr>
          <w:rFonts w:asciiTheme="majorHAnsi" w:hAnsiTheme="majorHAnsi" w:cstheme="majorHAnsi"/>
          <w:b/>
          <w:bCs/>
        </w:rPr>
        <w:t>Resistance to reforms</w:t>
      </w:r>
      <w:r>
        <w:rPr>
          <w:rFonts w:asciiTheme="majorHAnsi" w:hAnsiTheme="majorHAnsi" w:cstheme="majorHAnsi"/>
          <w:bCs/>
        </w:rPr>
        <w:t xml:space="preserve">. </w:t>
      </w:r>
      <w:r w:rsidRPr="00BC312C">
        <w:rPr>
          <w:rFonts w:asciiTheme="majorHAnsi" w:hAnsiTheme="majorHAnsi" w:cstheme="majorHAnsi"/>
          <w:bCs/>
        </w:rPr>
        <w:t>Program interventions that experienced challenges were those that required the highest behavioral investments from stakeholder-beneficiaries</w:t>
      </w:r>
      <w:r w:rsidRPr="00BC312C">
        <w:rPr>
          <w:rFonts w:asciiTheme="majorHAnsi" w:hAnsiTheme="majorHAnsi" w:cstheme="majorHAnsi"/>
        </w:rPr>
        <w:t xml:space="preserve">. </w:t>
      </w:r>
      <w:r>
        <w:rPr>
          <w:rFonts w:asciiTheme="majorHAnsi" w:hAnsiTheme="majorHAnsi" w:cstheme="majorHAnsi"/>
        </w:rPr>
        <w:t>T</w:t>
      </w:r>
      <w:r w:rsidRPr="00BC312C">
        <w:rPr>
          <w:rFonts w:asciiTheme="majorHAnsi" w:hAnsiTheme="majorHAnsi" w:cstheme="majorHAnsi"/>
        </w:rPr>
        <w:t>his w</w:t>
      </w:r>
      <w:r>
        <w:rPr>
          <w:rFonts w:asciiTheme="majorHAnsi" w:hAnsiTheme="majorHAnsi" w:cstheme="majorHAnsi"/>
        </w:rPr>
        <w:t>as</w:t>
      </w:r>
      <w:r w:rsidRPr="00BC312C">
        <w:rPr>
          <w:rFonts w:asciiTheme="majorHAnsi" w:hAnsiTheme="majorHAnsi" w:cstheme="majorHAnsi"/>
        </w:rPr>
        <w:t xml:space="preserve"> </w:t>
      </w:r>
      <w:r>
        <w:rPr>
          <w:rFonts w:asciiTheme="majorHAnsi" w:hAnsiTheme="majorHAnsi" w:cstheme="majorHAnsi"/>
        </w:rPr>
        <w:t>strongly</w:t>
      </w:r>
      <w:r w:rsidRPr="00BC312C">
        <w:rPr>
          <w:rFonts w:asciiTheme="majorHAnsi" w:hAnsiTheme="majorHAnsi" w:cstheme="majorHAnsi"/>
        </w:rPr>
        <w:t xml:space="preserve"> demonstrated in use of the Learning Resource Portal</w:t>
      </w:r>
      <w:r>
        <w:rPr>
          <w:rFonts w:asciiTheme="majorHAnsi" w:hAnsiTheme="majorHAnsi" w:cstheme="majorHAnsi"/>
        </w:rPr>
        <w:t>,</w:t>
      </w:r>
      <w:r w:rsidRPr="00BC312C">
        <w:rPr>
          <w:rFonts w:asciiTheme="majorHAnsi" w:hAnsiTheme="majorHAnsi" w:cstheme="majorHAnsi"/>
        </w:rPr>
        <w:t xml:space="preserve"> </w:t>
      </w:r>
      <w:r>
        <w:rPr>
          <w:rFonts w:asciiTheme="majorHAnsi" w:hAnsiTheme="majorHAnsi" w:cstheme="majorHAnsi"/>
        </w:rPr>
        <w:t>for which</w:t>
      </w:r>
      <w:r w:rsidRPr="00BC312C">
        <w:rPr>
          <w:rFonts w:asciiTheme="majorHAnsi" w:hAnsiTheme="majorHAnsi" w:cstheme="majorHAnsi"/>
        </w:rPr>
        <w:t xml:space="preserve"> many </w:t>
      </w:r>
      <w:r>
        <w:rPr>
          <w:rFonts w:asciiTheme="majorHAnsi" w:hAnsiTheme="majorHAnsi" w:cstheme="majorHAnsi"/>
        </w:rPr>
        <w:t>teachers</w:t>
      </w:r>
      <w:r w:rsidRPr="00BC312C">
        <w:rPr>
          <w:rFonts w:asciiTheme="majorHAnsi" w:hAnsiTheme="majorHAnsi" w:cstheme="majorHAnsi"/>
        </w:rPr>
        <w:t xml:space="preserve"> had to use personal </w:t>
      </w:r>
      <w:r>
        <w:rPr>
          <w:rFonts w:asciiTheme="majorHAnsi" w:hAnsiTheme="majorHAnsi" w:cstheme="majorHAnsi"/>
        </w:rPr>
        <w:t>resources</w:t>
      </w:r>
      <w:r w:rsidRPr="00BC312C">
        <w:rPr>
          <w:rFonts w:asciiTheme="majorHAnsi" w:hAnsiTheme="majorHAnsi" w:cstheme="majorHAnsi"/>
        </w:rPr>
        <w:t xml:space="preserve"> to access materials</w:t>
      </w:r>
      <w:r>
        <w:rPr>
          <w:rFonts w:asciiTheme="majorHAnsi" w:hAnsiTheme="majorHAnsi" w:cstheme="majorHAnsi"/>
        </w:rPr>
        <w:t xml:space="preserve"> from the Portal</w:t>
      </w:r>
      <w:r w:rsidRPr="00BC312C">
        <w:rPr>
          <w:rFonts w:asciiTheme="majorHAnsi" w:hAnsiTheme="majorHAnsi" w:cstheme="majorHAnsi"/>
        </w:rPr>
        <w:t xml:space="preserve"> (that is, pay for their own internet connecti</w:t>
      </w:r>
      <w:r>
        <w:rPr>
          <w:rFonts w:asciiTheme="majorHAnsi" w:hAnsiTheme="majorHAnsi" w:cstheme="majorHAnsi"/>
        </w:rPr>
        <w:t>on</w:t>
      </w:r>
      <w:r w:rsidRPr="00BC312C">
        <w:rPr>
          <w:rFonts w:asciiTheme="majorHAnsi" w:hAnsiTheme="majorHAnsi" w:cstheme="majorHAnsi"/>
        </w:rPr>
        <w:t xml:space="preserve">) and the preparation of the Portfolio Assessment Tool for Teachers, </w:t>
      </w:r>
      <w:r>
        <w:rPr>
          <w:rFonts w:asciiTheme="majorHAnsi" w:hAnsiTheme="majorHAnsi" w:cstheme="majorHAnsi"/>
        </w:rPr>
        <w:t>for which</w:t>
      </w:r>
      <w:r w:rsidRPr="00BC312C">
        <w:rPr>
          <w:rFonts w:asciiTheme="majorHAnsi" w:hAnsiTheme="majorHAnsi" w:cstheme="majorHAnsi"/>
        </w:rPr>
        <w:t xml:space="preserve"> many </w:t>
      </w:r>
      <w:r>
        <w:rPr>
          <w:rFonts w:asciiTheme="majorHAnsi" w:hAnsiTheme="majorHAnsi" w:cstheme="majorHAnsi"/>
        </w:rPr>
        <w:t>teachers</w:t>
      </w:r>
      <w:r w:rsidRPr="00BC312C">
        <w:rPr>
          <w:rFonts w:asciiTheme="majorHAnsi" w:hAnsiTheme="majorHAnsi" w:cstheme="majorHAnsi"/>
        </w:rPr>
        <w:t xml:space="preserve"> </w:t>
      </w:r>
      <w:r>
        <w:rPr>
          <w:rFonts w:asciiTheme="majorHAnsi" w:hAnsiTheme="majorHAnsi" w:cstheme="majorHAnsi"/>
        </w:rPr>
        <w:t>had</w:t>
      </w:r>
      <w:r w:rsidRPr="00BC312C">
        <w:rPr>
          <w:rFonts w:asciiTheme="majorHAnsi" w:hAnsiTheme="majorHAnsi" w:cstheme="majorHAnsi"/>
        </w:rPr>
        <w:t xml:space="preserve"> to spend extended hours of both official and personal time to complete the documentary requirements. </w:t>
      </w:r>
    </w:p>
    <w:p w14:paraId="2141EB9E" w14:textId="77777777" w:rsidR="008D0CAD" w:rsidRPr="00426955" w:rsidRDefault="008D0CAD" w:rsidP="009443E0">
      <w:pPr>
        <w:spacing w:before="100" w:beforeAutospacing="1" w:after="100" w:afterAutospacing="1" w:line="360" w:lineRule="auto"/>
        <w:ind w:left="360"/>
        <w:rPr>
          <w:rFonts w:asciiTheme="majorHAnsi" w:hAnsiTheme="majorHAnsi" w:cstheme="majorHAnsi"/>
        </w:rPr>
      </w:pPr>
      <w:r w:rsidRPr="00426955">
        <w:rPr>
          <w:rFonts w:asciiTheme="majorHAnsi" w:hAnsiTheme="majorHAnsi" w:cstheme="majorHAnsi"/>
        </w:rPr>
        <w:t>Change Management</w:t>
      </w:r>
      <w:r>
        <w:rPr>
          <w:rFonts w:asciiTheme="majorHAnsi" w:hAnsiTheme="majorHAnsi" w:cstheme="majorHAnsi"/>
        </w:rPr>
        <w:t>, a component included in the original design but eventually removed, could have helped managed the resistance more systematically. For instance, some schools through their initiatives levelled understanding among their teachers so that the use of the COTs and the preparation of the Portfolio Assessment Tool were mutually agreed among school stakeholders.</w:t>
      </w:r>
    </w:p>
    <w:p w14:paraId="78F8E21D" w14:textId="422C92B2" w:rsidR="008D0CAD" w:rsidRDefault="008D0CAD" w:rsidP="009443E0">
      <w:pPr>
        <w:pStyle w:val="ListParagraph"/>
        <w:numPr>
          <w:ilvl w:val="0"/>
          <w:numId w:val="9"/>
        </w:numPr>
        <w:spacing w:before="100" w:beforeAutospacing="1" w:after="100" w:afterAutospacing="1" w:line="360" w:lineRule="auto"/>
        <w:contextualSpacing w:val="0"/>
        <w:rPr>
          <w:rFonts w:asciiTheme="majorHAnsi" w:hAnsiTheme="majorHAnsi" w:cstheme="majorHAnsi"/>
        </w:rPr>
      </w:pPr>
      <w:r w:rsidRPr="00376B92">
        <w:rPr>
          <w:rFonts w:asciiTheme="majorHAnsi" w:hAnsiTheme="majorHAnsi" w:cstheme="majorHAnsi"/>
          <w:b/>
          <w:bCs/>
        </w:rPr>
        <w:t>Acceptance of reforms.</w:t>
      </w:r>
      <w:r>
        <w:rPr>
          <w:rFonts w:asciiTheme="majorHAnsi" w:hAnsiTheme="majorHAnsi" w:cstheme="majorHAnsi"/>
          <w:bCs/>
        </w:rPr>
        <w:t xml:space="preserve"> </w:t>
      </w:r>
      <w:r w:rsidRPr="00BC312C">
        <w:rPr>
          <w:rFonts w:asciiTheme="majorHAnsi" w:hAnsiTheme="majorHAnsi" w:cstheme="majorHAnsi"/>
          <w:bCs/>
        </w:rPr>
        <w:t>Program interventions that were considered of highest value by stakeholder-beneficiaries</w:t>
      </w:r>
      <w:r w:rsidRPr="00BC312C">
        <w:rPr>
          <w:rFonts w:asciiTheme="majorHAnsi" w:hAnsiTheme="majorHAnsi" w:cstheme="majorHAnsi"/>
        </w:rPr>
        <w:t xml:space="preserve"> </w:t>
      </w:r>
      <w:r w:rsidRPr="00BC312C">
        <w:rPr>
          <w:rFonts w:asciiTheme="majorHAnsi" w:hAnsiTheme="majorHAnsi" w:cstheme="majorHAnsi"/>
          <w:bCs/>
        </w:rPr>
        <w:t xml:space="preserve">were those </w:t>
      </w:r>
      <w:r>
        <w:rPr>
          <w:rFonts w:asciiTheme="majorHAnsi" w:hAnsiTheme="majorHAnsi" w:cstheme="majorHAnsi"/>
          <w:bCs/>
        </w:rPr>
        <w:t>whose</w:t>
      </w:r>
      <w:r w:rsidRPr="00BC312C">
        <w:rPr>
          <w:rFonts w:asciiTheme="majorHAnsi" w:hAnsiTheme="majorHAnsi" w:cstheme="majorHAnsi"/>
        </w:rPr>
        <w:t xml:space="preserve"> benefits were immediately </w:t>
      </w:r>
      <w:r>
        <w:rPr>
          <w:rFonts w:asciiTheme="majorHAnsi" w:hAnsiTheme="majorHAnsi" w:cstheme="majorHAnsi"/>
        </w:rPr>
        <w:t>visible in</w:t>
      </w:r>
      <w:r w:rsidRPr="00BC312C">
        <w:rPr>
          <w:rFonts w:asciiTheme="majorHAnsi" w:hAnsiTheme="majorHAnsi" w:cstheme="majorHAnsi"/>
        </w:rPr>
        <w:t xml:space="preserve"> the</w:t>
      </w:r>
      <w:r>
        <w:rPr>
          <w:rFonts w:asciiTheme="majorHAnsi" w:hAnsiTheme="majorHAnsi" w:cstheme="majorHAnsi"/>
        </w:rPr>
        <w:t>ir</w:t>
      </w:r>
      <w:r w:rsidRPr="00BC312C">
        <w:rPr>
          <w:rFonts w:asciiTheme="majorHAnsi" w:hAnsiTheme="majorHAnsi" w:cstheme="majorHAnsi"/>
        </w:rPr>
        <w:t xml:space="preserve"> work, or </w:t>
      </w:r>
      <w:r>
        <w:rPr>
          <w:rFonts w:asciiTheme="majorHAnsi" w:hAnsiTheme="majorHAnsi" w:cstheme="majorHAnsi"/>
        </w:rPr>
        <w:t xml:space="preserve">for which </w:t>
      </w:r>
      <w:r w:rsidRPr="00BC312C">
        <w:rPr>
          <w:rFonts w:asciiTheme="majorHAnsi" w:hAnsiTheme="majorHAnsi" w:cstheme="majorHAnsi"/>
        </w:rPr>
        <w:t>the potential w</w:t>
      </w:r>
      <w:r>
        <w:rPr>
          <w:rFonts w:asciiTheme="majorHAnsi" w:hAnsiTheme="majorHAnsi" w:cstheme="majorHAnsi"/>
        </w:rPr>
        <w:t>as</w:t>
      </w:r>
      <w:r w:rsidRPr="00BC312C">
        <w:rPr>
          <w:rFonts w:asciiTheme="majorHAnsi" w:hAnsiTheme="majorHAnsi" w:cstheme="majorHAnsi"/>
        </w:rPr>
        <w:t xml:space="preserve"> clearer</w:t>
      </w:r>
      <w:r w:rsidRPr="005D6035">
        <w:rPr>
          <w:rFonts w:asciiTheme="majorHAnsi" w:hAnsiTheme="majorHAnsi" w:cstheme="majorHAnsi"/>
        </w:rPr>
        <w:t xml:space="preserve"> </w:t>
      </w:r>
      <w:r>
        <w:rPr>
          <w:rFonts w:asciiTheme="majorHAnsi" w:hAnsiTheme="majorHAnsi" w:cstheme="majorHAnsi"/>
        </w:rPr>
        <w:t xml:space="preserve">and </w:t>
      </w:r>
      <w:r w:rsidRPr="00BC312C">
        <w:rPr>
          <w:rFonts w:asciiTheme="majorHAnsi" w:hAnsiTheme="majorHAnsi" w:cstheme="majorHAnsi"/>
        </w:rPr>
        <w:t>more tangible.</w:t>
      </w:r>
      <w:r w:rsidR="00D434EB">
        <w:rPr>
          <w:rFonts w:asciiTheme="majorHAnsi" w:hAnsiTheme="majorHAnsi" w:cstheme="majorHAnsi"/>
        </w:rPr>
        <w:t xml:space="preserve"> </w:t>
      </w:r>
      <w:r>
        <w:rPr>
          <w:rFonts w:asciiTheme="majorHAnsi" w:hAnsiTheme="majorHAnsi" w:cstheme="majorHAnsi"/>
        </w:rPr>
        <w:t xml:space="preserve">For example, the benefits of implementing </w:t>
      </w:r>
      <w:r w:rsidRPr="00BC312C">
        <w:rPr>
          <w:rFonts w:asciiTheme="majorHAnsi" w:hAnsiTheme="majorHAnsi" w:cstheme="majorHAnsi"/>
        </w:rPr>
        <w:t>Learning Action Cells</w:t>
      </w:r>
      <w:r>
        <w:rPr>
          <w:rFonts w:asciiTheme="majorHAnsi" w:hAnsiTheme="majorHAnsi" w:cstheme="majorHAnsi"/>
        </w:rPr>
        <w:t xml:space="preserve"> were demonstrated</w:t>
      </w:r>
      <w:r w:rsidRPr="00BC312C">
        <w:rPr>
          <w:rFonts w:asciiTheme="majorHAnsi" w:hAnsiTheme="majorHAnsi" w:cstheme="majorHAnsi"/>
        </w:rPr>
        <w:t xml:space="preserve"> at school level</w:t>
      </w:r>
      <w:r>
        <w:rPr>
          <w:rFonts w:asciiTheme="majorHAnsi" w:hAnsiTheme="majorHAnsi" w:cstheme="majorHAnsi"/>
        </w:rPr>
        <w:t>; and</w:t>
      </w:r>
      <w:r w:rsidRPr="00BC312C">
        <w:rPr>
          <w:rFonts w:asciiTheme="majorHAnsi" w:hAnsiTheme="majorHAnsi" w:cstheme="majorHAnsi"/>
        </w:rPr>
        <w:t xml:space="preserve"> the implementation of the Continuous Improvement</w:t>
      </w:r>
      <w:r>
        <w:rPr>
          <w:rFonts w:asciiTheme="majorHAnsi" w:hAnsiTheme="majorHAnsi" w:cstheme="majorHAnsi"/>
        </w:rPr>
        <w:t xml:space="preserve"> approach was evident</w:t>
      </w:r>
      <w:r w:rsidRPr="00BC312C">
        <w:rPr>
          <w:rFonts w:asciiTheme="majorHAnsi" w:hAnsiTheme="majorHAnsi" w:cstheme="majorHAnsi"/>
        </w:rPr>
        <w:t xml:space="preserve"> at the Regional Office and Division Office levels and the use of the Learner Information System by the schools. </w:t>
      </w:r>
    </w:p>
    <w:p w14:paraId="7F076AF1" w14:textId="77777777" w:rsidR="008D0CAD" w:rsidRPr="00426955" w:rsidRDefault="008D0CAD" w:rsidP="009443E0">
      <w:pPr>
        <w:spacing w:before="100" w:beforeAutospacing="1" w:after="100" w:afterAutospacing="1" w:line="360" w:lineRule="auto"/>
        <w:ind w:left="360"/>
        <w:rPr>
          <w:rFonts w:asciiTheme="majorHAnsi" w:hAnsiTheme="majorHAnsi" w:cstheme="majorHAnsi"/>
        </w:rPr>
      </w:pPr>
      <w:r>
        <w:rPr>
          <w:rFonts w:asciiTheme="majorHAnsi" w:hAnsiTheme="majorHAnsi" w:cstheme="majorHAnsi"/>
        </w:rPr>
        <w:t xml:space="preserve">Again, an effective </w:t>
      </w:r>
      <w:r w:rsidRPr="00426955">
        <w:rPr>
          <w:rFonts w:asciiTheme="majorHAnsi" w:hAnsiTheme="majorHAnsi" w:cstheme="majorHAnsi"/>
        </w:rPr>
        <w:t>Change Management</w:t>
      </w:r>
      <w:r>
        <w:rPr>
          <w:rFonts w:asciiTheme="majorHAnsi" w:hAnsiTheme="majorHAnsi" w:cstheme="majorHAnsi"/>
        </w:rPr>
        <w:t xml:space="preserve"> </w:t>
      </w:r>
      <w:r w:rsidRPr="00426955">
        <w:rPr>
          <w:rFonts w:asciiTheme="majorHAnsi" w:hAnsiTheme="majorHAnsi" w:cstheme="majorHAnsi"/>
        </w:rPr>
        <w:t>component</w:t>
      </w:r>
      <w:r>
        <w:rPr>
          <w:rFonts w:asciiTheme="majorHAnsi" w:hAnsiTheme="majorHAnsi" w:cstheme="majorHAnsi"/>
        </w:rPr>
        <w:t>,</w:t>
      </w:r>
      <w:r w:rsidRPr="00426955">
        <w:rPr>
          <w:rFonts w:asciiTheme="majorHAnsi" w:hAnsiTheme="majorHAnsi" w:cstheme="majorHAnsi"/>
        </w:rPr>
        <w:t xml:space="preserve"> </w:t>
      </w:r>
      <w:r>
        <w:rPr>
          <w:rFonts w:asciiTheme="majorHAnsi" w:hAnsiTheme="majorHAnsi" w:cstheme="majorHAnsi"/>
        </w:rPr>
        <w:t>could have amplified positive experiences of implementers and thus boosted program gains</w:t>
      </w:r>
      <w:r w:rsidRPr="00426955">
        <w:rPr>
          <w:rFonts w:asciiTheme="majorHAnsi" w:hAnsiTheme="majorHAnsi" w:cstheme="majorHAnsi"/>
        </w:rPr>
        <w:t>.</w:t>
      </w:r>
    </w:p>
    <w:p w14:paraId="5A9E9BDB" w14:textId="224509BC" w:rsidR="008D0CAD" w:rsidRDefault="008D0CAD" w:rsidP="009443E0">
      <w:pPr>
        <w:pStyle w:val="ListParagraph"/>
        <w:numPr>
          <w:ilvl w:val="0"/>
          <w:numId w:val="9"/>
        </w:numPr>
        <w:spacing w:before="100" w:beforeAutospacing="1" w:after="100" w:afterAutospacing="1" w:line="360" w:lineRule="auto"/>
        <w:contextualSpacing w:val="0"/>
        <w:rPr>
          <w:rFonts w:asciiTheme="majorHAnsi" w:hAnsiTheme="majorHAnsi" w:cstheme="majorHAnsi"/>
        </w:rPr>
      </w:pPr>
      <w:r w:rsidRPr="00376B92">
        <w:rPr>
          <w:rFonts w:asciiTheme="majorHAnsi" w:hAnsiTheme="majorHAnsi" w:cstheme="majorHAnsi"/>
          <w:b/>
          <w:bCs/>
        </w:rPr>
        <w:t>Unevenness in Program Management capacity</w:t>
      </w:r>
      <w:r>
        <w:rPr>
          <w:rFonts w:asciiTheme="majorHAnsi" w:hAnsiTheme="majorHAnsi" w:cstheme="majorHAnsi"/>
          <w:b/>
          <w:bCs/>
        </w:rPr>
        <w:t xml:space="preserve"> – importance of capacity development rather than substitution</w:t>
      </w:r>
      <w:r>
        <w:rPr>
          <w:rFonts w:asciiTheme="majorHAnsi" w:hAnsiTheme="majorHAnsi" w:cstheme="majorHAnsi"/>
          <w:bCs/>
        </w:rPr>
        <w:t xml:space="preserve">. </w:t>
      </w:r>
      <w:r w:rsidRPr="00BC312C">
        <w:rPr>
          <w:rFonts w:asciiTheme="majorHAnsi" w:hAnsiTheme="majorHAnsi" w:cstheme="majorHAnsi"/>
          <w:bCs/>
        </w:rPr>
        <w:t>The unevenness of the leadership and management capacity</w:t>
      </w:r>
      <w:r w:rsidRPr="00BC312C">
        <w:rPr>
          <w:rFonts w:asciiTheme="majorHAnsi" w:hAnsiTheme="majorHAnsi" w:cstheme="majorHAnsi"/>
        </w:rPr>
        <w:t xml:space="preserve"> among the different operating units (</w:t>
      </w:r>
      <w:r>
        <w:rPr>
          <w:rFonts w:asciiTheme="majorHAnsi" w:hAnsiTheme="majorHAnsi" w:cstheme="majorHAnsi"/>
        </w:rPr>
        <w:t xml:space="preserve">DepEd </w:t>
      </w:r>
      <w:r w:rsidRPr="00BC312C">
        <w:rPr>
          <w:rFonts w:asciiTheme="majorHAnsi" w:hAnsiTheme="majorHAnsi" w:cstheme="majorHAnsi"/>
        </w:rPr>
        <w:t>Bureaus and Services as well as the divisions under them)</w:t>
      </w:r>
      <w:r>
        <w:rPr>
          <w:rFonts w:asciiTheme="majorHAnsi" w:hAnsiTheme="majorHAnsi" w:cstheme="majorHAnsi"/>
        </w:rPr>
        <w:t xml:space="preserve"> and </w:t>
      </w:r>
      <w:r>
        <w:rPr>
          <w:rFonts w:asciiTheme="majorHAnsi" w:hAnsiTheme="majorHAnsi" w:cstheme="majorHAnsi"/>
          <w:bCs/>
          <w:iCs/>
        </w:rPr>
        <w:t>at the different levels of governance</w:t>
      </w:r>
      <w:r w:rsidRPr="00BC312C">
        <w:rPr>
          <w:rFonts w:asciiTheme="majorHAnsi" w:hAnsiTheme="majorHAnsi" w:cstheme="majorHAnsi"/>
        </w:rPr>
        <w:t xml:space="preserve"> in an agency significantly affect</w:t>
      </w:r>
      <w:r>
        <w:rPr>
          <w:rFonts w:asciiTheme="majorHAnsi" w:hAnsiTheme="majorHAnsi" w:cstheme="majorHAnsi"/>
        </w:rPr>
        <w:t>s</w:t>
      </w:r>
      <w:r w:rsidRPr="00BC312C">
        <w:rPr>
          <w:rFonts w:asciiTheme="majorHAnsi" w:hAnsiTheme="majorHAnsi" w:cstheme="majorHAnsi"/>
        </w:rPr>
        <w:t xml:space="preserve"> the overall performance of </w:t>
      </w:r>
      <w:r>
        <w:rPr>
          <w:rFonts w:asciiTheme="majorHAnsi" w:hAnsiTheme="majorHAnsi" w:cstheme="majorHAnsi"/>
        </w:rPr>
        <w:t xml:space="preserve">institutional and sector </w:t>
      </w:r>
      <w:r w:rsidRPr="00BC312C">
        <w:rPr>
          <w:rFonts w:asciiTheme="majorHAnsi" w:hAnsiTheme="majorHAnsi" w:cstheme="majorHAnsi"/>
        </w:rPr>
        <w:t>reform programs.</w:t>
      </w:r>
      <w:r w:rsidR="00D434EB">
        <w:rPr>
          <w:rFonts w:asciiTheme="majorHAnsi" w:hAnsiTheme="majorHAnsi" w:cstheme="majorHAnsi"/>
          <w:bCs/>
          <w:iCs/>
        </w:rPr>
        <w:t xml:space="preserve"> </w:t>
      </w:r>
      <w:r>
        <w:rPr>
          <w:rFonts w:asciiTheme="majorHAnsi" w:hAnsiTheme="majorHAnsi" w:cstheme="majorHAnsi"/>
          <w:bCs/>
          <w:iCs/>
        </w:rPr>
        <w:t>Thus, investments in capacity building on program management for a large-scale program like the BEST Program may be recouped in higher attainment of outcomes.</w:t>
      </w:r>
      <w:r w:rsidR="00D434EB">
        <w:rPr>
          <w:rFonts w:asciiTheme="majorHAnsi" w:hAnsiTheme="majorHAnsi" w:cstheme="majorHAnsi"/>
          <w:bCs/>
          <w:iCs/>
        </w:rPr>
        <w:t xml:space="preserve"> </w:t>
      </w:r>
      <w:r>
        <w:rPr>
          <w:rFonts w:asciiTheme="majorHAnsi" w:hAnsiTheme="majorHAnsi" w:cstheme="majorHAnsi"/>
          <w:bCs/>
          <w:iCs/>
        </w:rPr>
        <w:t xml:space="preserve">This capacity-building includes, among others: leadership in program management; resource planning, budgeting and scheduling; stakeholder engagement; as well as </w:t>
      </w:r>
      <w:r>
        <w:rPr>
          <w:rFonts w:asciiTheme="majorHAnsi" w:hAnsiTheme="majorHAnsi" w:cstheme="majorHAnsi"/>
        </w:rPr>
        <w:t>program Communications.</w:t>
      </w:r>
    </w:p>
    <w:p w14:paraId="11CE0797" w14:textId="77777777" w:rsidR="008D0CAD" w:rsidRPr="000A5A7F" w:rsidRDefault="008D0CAD" w:rsidP="009443E0">
      <w:pPr>
        <w:spacing w:before="100" w:beforeAutospacing="1" w:after="100" w:afterAutospacing="1" w:line="360" w:lineRule="auto"/>
        <w:ind w:left="360"/>
        <w:rPr>
          <w:rFonts w:asciiTheme="majorHAnsi" w:hAnsiTheme="majorHAnsi" w:cstheme="majorHAnsi"/>
        </w:rPr>
      </w:pPr>
      <w:r w:rsidRPr="000A5A7F">
        <w:rPr>
          <w:rFonts w:asciiTheme="majorHAnsi" w:hAnsiTheme="majorHAnsi" w:cstheme="majorHAnsi"/>
        </w:rPr>
        <w:t>Relative to Number 3, the Operating Units that were able to manage their working relationships with the Technical Experts generally were able to deliver good outputs and expressed high ownership of these outputs. In contrast, those that did not have good relationships with the Technical Experts felt that they were not able to influence the direction of the activities and thus had lower ownerships of the outputs they produced.</w:t>
      </w:r>
    </w:p>
    <w:p w14:paraId="2805D5F8" w14:textId="2605788C" w:rsidR="008D0CAD" w:rsidRDefault="008D0CAD" w:rsidP="009443E0">
      <w:pPr>
        <w:pStyle w:val="ListParagraph"/>
        <w:numPr>
          <w:ilvl w:val="0"/>
          <w:numId w:val="9"/>
        </w:numPr>
        <w:spacing w:before="100" w:beforeAutospacing="1" w:after="100" w:afterAutospacing="1" w:line="360" w:lineRule="auto"/>
        <w:contextualSpacing w:val="0"/>
        <w:rPr>
          <w:rFonts w:asciiTheme="majorHAnsi" w:hAnsiTheme="majorHAnsi" w:cstheme="majorHAnsi"/>
        </w:rPr>
      </w:pPr>
      <w:r w:rsidRPr="00376B92">
        <w:rPr>
          <w:rFonts w:asciiTheme="majorHAnsi" w:hAnsiTheme="majorHAnsi" w:cstheme="majorHAnsi"/>
          <w:b/>
        </w:rPr>
        <w:t>National vs. Regional</w:t>
      </w:r>
      <w:r>
        <w:rPr>
          <w:rFonts w:asciiTheme="majorHAnsi" w:hAnsiTheme="majorHAnsi" w:cstheme="majorHAnsi"/>
        </w:rPr>
        <w:t>.</w:t>
      </w:r>
      <w:r w:rsidRPr="00BC312C">
        <w:rPr>
          <w:rFonts w:asciiTheme="majorHAnsi" w:hAnsiTheme="majorHAnsi" w:cstheme="majorHAnsi"/>
        </w:rPr>
        <w:t xml:space="preserve"> </w:t>
      </w:r>
      <w:r>
        <w:rPr>
          <w:rFonts w:asciiTheme="majorHAnsi" w:hAnsiTheme="majorHAnsi" w:cstheme="majorHAnsi"/>
        </w:rPr>
        <w:t>The original designers of the BEST Program highlighted the deficiencies of pilot implementation of programs (i.e., implementing in only selected regions) and underscored the importance of shifting to national implementation scale at a fast pace.</w:t>
      </w:r>
      <w:r w:rsidR="00D434EB">
        <w:rPr>
          <w:rFonts w:asciiTheme="majorHAnsi" w:hAnsiTheme="majorHAnsi" w:cstheme="majorHAnsi"/>
        </w:rPr>
        <w:t xml:space="preserve"> </w:t>
      </w:r>
      <w:r w:rsidRPr="00376B92">
        <w:rPr>
          <w:rFonts w:asciiTheme="majorHAnsi" w:hAnsiTheme="majorHAnsi" w:cstheme="majorHAnsi"/>
        </w:rPr>
        <w:t xml:space="preserve">However, </w:t>
      </w:r>
      <w:r>
        <w:rPr>
          <w:rFonts w:asciiTheme="majorHAnsi" w:hAnsiTheme="majorHAnsi" w:cstheme="majorHAnsi"/>
        </w:rPr>
        <w:t>in doing so, there was little attention given to ensuring that the challenges encountered in going national do not become greater than the challenges of a modelling approach.</w:t>
      </w:r>
      <w:r w:rsidR="00D434EB">
        <w:rPr>
          <w:rFonts w:asciiTheme="majorHAnsi" w:hAnsiTheme="majorHAnsi" w:cstheme="majorHAnsi"/>
        </w:rPr>
        <w:t xml:space="preserve"> </w:t>
      </w:r>
      <w:r>
        <w:rPr>
          <w:rFonts w:asciiTheme="majorHAnsi" w:hAnsiTheme="majorHAnsi" w:cstheme="majorHAnsi"/>
        </w:rPr>
        <w:t xml:space="preserve">The </w:t>
      </w:r>
      <w:r w:rsidRPr="000A5A7F">
        <w:rPr>
          <w:rFonts w:asciiTheme="majorHAnsi" w:hAnsiTheme="majorHAnsi" w:cstheme="majorHAnsi"/>
        </w:rPr>
        <w:t xml:space="preserve">simultaneous </w:t>
      </w:r>
      <w:r>
        <w:rPr>
          <w:rFonts w:asciiTheme="majorHAnsi" w:hAnsiTheme="majorHAnsi" w:cstheme="majorHAnsi"/>
        </w:rPr>
        <w:t>‘</w:t>
      </w:r>
      <w:r w:rsidRPr="000A5A7F">
        <w:rPr>
          <w:rFonts w:asciiTheme="majorHAnsi" w:hAnsiTheme="majorHAnsi" w:cstheme="majorHAnsi"/>
        </w:rPr>
        <w:t>downloading</w:t>
      </w:r>
      <w:r>
        <w:rPr>
          <w:rFonts w:asciiTheme="majorHAnsi" w:hAnsiTheme="majorHAnsi" w:cstheme="majorHAnsi"/>
        </w:rPr>
        <w:t>’</w:t>
      </w:r>
      <w:r w:rsidRPr="000A5A7F">
        <w:rPr>
          <w:rFonts w:asciiTheme="majorHAnsi" w:hAnsiTheme="majorHAnsi" w:cstheme="majorHAnsi"/>
        </w:rPr>
        <w:t xml:space="preserve"> of the various program interventions was </w:t>
      </w:r>
      <w:r>
        <w:rPr>
          <w:rFonts w:asciiTheme="majorHAnsi" w:hAnsiTheme="majorHAnsi" w:cstheme="majorHAnsi"/>
        </w:rPr>
        <w:t xml:space="preserve">observed to be </w:t>
      </w:r>
      <w:r w:rsidRPr="000A5A7F">
        <w:rPr>
          <w:rFonts w:asciiTheme="majorHAnsi" w:hAnsiTheme="majorHAnsi" w:cstheme="majorHAnsi"/>
        </w:rPr>
        <w:t xml:space="preserve">too rapid </w:t>
      </w:r>
      <w:r>
        <w:rPr>
          <w:rFonts w:asciiTheme="majorHAnsi" w:hAnsiTheme="majorHAnsi" w:cstheme="majorHAnsi"/>
        </w:rPr>
        <w:t xml:space="preserve">for the bureaucracy </w:t>
      </w:r>
      <w:r w:rsidRPr="000A5A7F">
        <w:rPr>
          <w:rFonts w:asciiTheme="majorHAnsi" w:hAnsiTheme="majorHAnsi" w:cstheme="majorHAnsi"/>
        </w:rPr>
        <w:t xml:space="preserve">and participant stakeholders were left with little time to </w:t>
      </w:r>
      <w:r>
        <w:rPr>
          <w:rFonts w:asciiTheme="majorHAnsi" w:hAnsiTheme="majorHAnsi" w:cstheme="majorHAnsi"/>
        </w:rPr>
        <w:t xml:space="preserve">digest, </w:t>
      </w:r>
      <w:r w:rsidRPr="000A5A7F">
        <w:rPr>
          <w:rFonts w:asciiTheme="majorHAnsi" w:hAnsiTheme="majorHAnsi" w:cstheme="majorHAnsi"/>
        </w:rPr>
        <w:t>adjust and iterate the interventions. Th</w:t>
      </w:r>
      <w:r>
        <w:rPr>
          <w:rFonts w:asciiTheme="majorHAnsi" w:hAnsiTheme="majorHAnsi" w:cstheme="majorHAnsi"/>
        </w:rPr>
        <w:t>us, the</w:t>
      </w:r>
      <w:r w:rsidRPr="000A5A7F">
        <w:rPr>
          <w:rFonts w:asciiTheme="majorHAnsi" w:hAnsiTheme="majorHAnsi" w:cstheme="majorHAnsi"/>
        </w:rPr>
        <w:t xml:space="preserve"> issues and pain points </w:t>
      </w:r>
      <w:r>
        <w:rPr>
          <w:rFonts w:asciiTheme="majorHAnsi" w:hAnsiTheme="majorHAnsi" w:cstheme="majorHAnsi"/>
        </w:rPr>
        <w:t>in</w:t>
      </w:r>
      <w:r w:rsidRPr="000A5A7F">
        <w:rPr>
          <w:rFonts w:asciiTheme="majorHAnsi" w:hAnsiTheme="majorHAnsi" w:cstheme="majorHAnsi"/>
        </w:rPr>
        <w:t xml:space="preserve"> implementation</w:t>
      </w:r>
      <w:r>
        <w:rPr>
          <w:rFonts w:asciiTheme="majorHAnsi" w:hAnsiTheme="majorHAnsi" w:cstheme="majorHAnsi"/>
        </w:rPr>
        <w:t xml:space="preserve"> were magnified rather than worked through and ironed out prior to scale-up</w:t>
      </w:r>
      <w:r w:rsidRPr="000A5A7F">
        <w:rPr>
          <w:rFonts w:asciiTheme="majorHAnsi" w:hAnsiTheme="majorHAnsi" w:cstheme="majorHAnsi"/>
        </w:rPr>
        <w:t xml:space="preserve">. </w:t>
      </w:r>
    </w:p>
    <w:p w14:paraId="02EE41B8" w14:textId="3AEE582B" w:rsidR="008D0CAD" w:rsidRPr="00760312" w:rsidRDefault="008D0CAD" w:rsidP="009443E0">
      <w:pPr>
        <w:pStyle w:val="ListParagraph"/>
        <w:numPr>
          <w:ilvl w:val="0"/>
          <w:numId w:val="9"/>
        </w:numPr>
        <w:spacing w:before="100" w:beforeAutospacing="1" w:after="100" w:afterAutospacing="1" w:line="360" w:lineRule="auto"/>
        <w:contextualSpacing w:val="0"/>
        <w:rPr>
          <w:rFonts w:asciiTheme="majorHAnsi" w:hAnsiTheme="majorHAnsi" w:cstheme="majorHAnsi"/>
        </w:rPr>
      </w:pPr>
      <w:r>
        <w:rPr>
          <w:rFonts w:asciiTheme="majorHAnsi" w:hAnsiTheme="majorHAnsi" w:cstheme="majorHAnsi"/>
          <w:b/>
        </w:rPr>
        <w:t>The value of a</w:t>
      </w:r>
      <w:r w:rsidRPr="000A5A7F">
        <w:rPr>
          <w:rFonts w:asciiTheme="majorHAnsi" w:hAnsiTheme="majorHAnsi" w:cstheme="majorHAnsi"/>
          <w:b/>
        </w:rPr>
        <w:t xml:space="preserve"> flexible program design</w:t>
      </w:r>
      <w:r>
        <w:rPr>
          <w:rFonts w:asciiTheme="majorHAnsi" w:hAnsiTheme="majorHAnsi" w:cstheme="majorHAnsi"/>
          <w:b/>
        </w:rPr>
        <w:t>.</w:t>
      </w:r>
      <w:r w:rsidR="00D434EB">
        <w:rPr>
          <w:rFonts w:asciiTheme="majorHAnsi" w:hAnsiTheme="majorHAnsi" w:cstheme="majorHAnsi"/>
          <w:b/>
        </w:rPr>
        <w:t xml:space="preserve"> </w:t>
      </w:r>
      <w:r w:rsidRPr="000A5A7F">
        <w:rPr>
          <w:rFonts w:asciiTheme="majorHAnsi" w:hAnsiTheme="majorHAnsi" w:cstheme="majorHAnsi"/>
        </w:rPr>
        <w:t xml:space="preserve">The Program </w:t>
      </w:r>
      <w:r>
        <w:rPr>
          <w:rFonts w:asciiTheme="majorHAnsi" w:hAnsiTheme="majorHAnsi" w:cstheme="majorHAnsi"/>
        </w:rPr>
        <w:t xml:space="preserve">designers and </w:t>
      </w:r>
      <w:r w:rsidRPr="000A5A7F">
        <w:rPr>
          <w:rFonts w:asciiTheme="majorHAnsi" w:hAnsiTheme="majorHAnsi" w:cstheme="majorHAnsi"/>
        </w:rPr>
        <w:t xml:space="preserve">implementers took pains </w:t>
      </w:r>
      <w:r>
        <w:rPr>
          <w:rFonts w:asciiTheme="majorHAnsi" w:hAnsiTheme="majorHAnsi" w:cstheme="majorHAnsi"/>
        </w:rPr>
        <w:t xml:space="preserve">to </w:t>
      </w:r>
      <w:r w:rsidRPr="000A5A7F">
        <w:rPr>
          <w:rFonts w:asciiTheme="majorHAnsi" w:hAnsiTheme="majorHAnsi" w:cstheme="majorHAnsi"/>
        </w:rPr>
        <w:t xml:space="preserve">explain that </w:t>
      </w:r>
      <w:r>
        <w:rPr>
          <w:rFonts w:asciiTheme="majorHAnsi" w:hAnsiTheme="majorHAnsi" w:cstheme="majorHAnsi"/>
        </w:rPr>
        <w:t xml:space="preserve">the BEST Program design differed from the traditional program implementation approach and instead opted for a flexible program </w:t>
      </w:r>
      <w:r w:rsidRPr="000A5A7F">
        <w:rPr>
          <w:rFonts w:asciiTheme="majorHAnsi" w:hAnsiTheme="majorHAnsi" w:cstheme="majorHAnsi"/>
        </w:rPr>
        <w:t>management</w:t>
      </w:r>
      <w:r>
        <w:rPr>
          <w:rFonts w:asciiTheme="majorHAnsi" w:hAnsiTheme="majorHAnsi" w:cstheme="majorHAnsi"/>
        </w:rPr>
        <w:t xml:space="preserve"> approach. The flexible design was enabled through the </w:t>
      </w:r>
      <w:r w:rsidRPr="00760312">
        <w:rPr>
          <w:rFonts w:asciiTheme="majorHAnsi" w:hAnsiTheme="majorHAnsi" w:cstheme="majorHAnsi"/>
          <w:b/>
        </w:rPr>
        <w:t>annual</w:t>
      </w:r>
      <w:r>
        <w:rPr>
          <w:rFonts w:asciiTheme="majorHAnsi" w:hAnsiTheme="majorHAnsi" w:cstheme="majorHAnsi"/>
        </w:rPr>
        <w:t xml:space="preserve"> identification of activities to be supported by the Program, which was designed to increase the ownership of the process/product owners.</w:t>
      </w:r>
    </w:p>
    <w:p w14:paraId="2790D6EB" w14:textId="4A708EBB" w:rsidR="008D0CAD" w:rsidRDefault="008D0CAD" w:rsidP="004B064D">
      <w:pPr>
        <w:spacing w:before="100" w:beforeAutospacing="1" w:after="100" w:afterAutospacing="1" w:line="360" w:lineRule="auto"/>
        <w:ind w:left="360"/>
      </w:pPr>
      <w:r w:rsidRPr="00F34125">
        <w:rPr>
          <w:rFonts w:asciiTheme="majorHAnsi" w:hAnsiTheme="majorHAnsi" w:cstheme="majorHAnsi"/>
        </w:rPr>
        <w:t xml:space="preserve">However, the pursuit of this flexible arrangement </w:t>
      </w:r>
      <w:r>
        <w:rPr>
          <w:rFonts w:asciiTheme="majorHAnsi" w:hAnsiTheme="majorHAnsi" w:cstheme="majorHAnsi"/>
        </w:rPr>
        <w:t>sometimes came at the cost of</w:t>
      </w:r>
      <w:r w:rsidRPr="00F34125">
        <w:rPr>
          <w:rFonts w:asciiTheme="majorHAnsi" w:hAnsiTheme="majorHAnsi" w:cstheme="majorHAnsi"/>
        </w:rPr>
        <w:t xml:space="preserve"> critical program management </w:t>
      </w:r>
      <w:r w:rsidRPr="00F34125">
        <w:rPr>
          <w:rFonts w:asciiTheme="majorHAnsi" w:hAnsiTheme="majorHAnsi" w:cstheme="majorHAnsi"/>
          <w:color w:val="222222"/>
          <w:shd w:val="clear" w:color="auto" w:fill="FFFFFF"/>
        </w:rPr>
        <w:t xml:space="preserve">pillars </w:t>
      </w:r>
      <w:r w:rsidRPr="00F34125">
        <w:rPr>
          <w:rFonts w:asciiTheme="majorHAnsi" w:hAnsiTheme="majorHAnsi" w:cstheme="majorHAnsi"/>
        </w:rPr>
        <w:t>such as the establish</w:t>
      </w:r>
      <w:r>
        <w:rPr>
          <w:rFonts w:asciiTheme="majorHAnsi" w:hAnsiTheme="majorHAnsi" w:cstheme="majorHAnsi"/>
        </w:rPr>
        <w:t>ment of</w:t>
      </w:r>
      <w:r w:rsidRPr="00F34125">
        <w:rPr>
          <w:rFonts w:asciiTheme="majorHAnsi" w:hAnsiTheme="majorHAnsi" w:cstheme="majorHAnsi"/>
        </w:rPr>
        <w:t xml:space="preserve"> the program’s baselines, identification of the program’s critical path</w:t>
      </w:r>
      <w:r>
        <w:rPr>
          <w:rFonts w:asciiTheme="majorHAnsi" w:hAnsiTheme="majorHAnsi" w:cstheme="majorHAnsi"/>
        </w:rPr>
        <w:t>s</w:t>
      </w:r>
      <w:r w:rsidRPr="00F34125">
        <w:rPr>
          <w:rFonts w:asciiTheme="majorHAnsi" w:hAnsiTheme="majorHAnsi" w:cstheme="majorHAnsi"/>
        </w:rPr>
        <w:t xml:space="preserve"> (to</w:t>
      </w:r>
      <w:r w:rsidR="00D434EB">
        <w:rPr>
          <w:rFonts w:asciiTheme="majorHAnsi" w:hAnsiTheme="majorHAnsi" w:cstheme="majorHAnsi"/>
        </w:rPr>
        <w:t xml:space="preserve"> </w:t>
      </w:r>
      <w:r>
        <w:rPr>
          <w:rFonts w:asciiTheme="majorHAnsi" w:hAnsiTheme="majorHAnsi" w:cstheme="majorHAnsi"/>
        </w:rPr>
        <w:t>identify critical prerequisites</w:t>
      </w:r>
      <w:r w:rsidRPr="00F34125">
        <w:rPr>
          <w:rFonts w:asciiTheme="majorHAnsi" w:hAnsiTheme="majorHAnsi" w:cstheme="majorHAnsi"/>
        </w:rPr>
        <w:t xml:space="preserve"> such as the administration of a globali</w:t>
      </w:r>
      <w:r>
        <w:rPr>
          <w:rFonts w:asciiTheme="majorHAnsi" w:hAnsiTheme="majorHAnsi" w:cstheme="majorHAnsi"/>
        </w:rPr>
        <w:t>s</w:t>
      </w:r>
      <w:r w:rsidRPr="00F34125">
        <w:rPr>
          <w:rFonts w:asciiTheme="majorHAnsi" w:hAnsiTheme="majorHAnsi" w:cstheme="majorHAnsi"/>
        </w:rPr>
        <w:t>ed assessment tool prior to the implementation of the revised curriculum</w:t>
      </w:r>
      <w:r>
        <w:rPr>
          <w:rFonts w:asciiTheme="majorHAnsi" w:hAnsiTheme="majorHAnsi" w:cstheme="majorHAnsi"/>
        </w:rPr>
        <w:t>,</w:t>
      </w:r>
      <w:r w:rsidRPr="00F34125">
        <w:rPr>
          <w:rFonts w:asciiTheme="majorHAnsi" w:hAnsiTheme="majorHAnsi" w:cstheme="majorHAnsi"/>
        </w:rPr>
        <w:t xml:space="preserve"> or the issuance of the </w:t>
      </w:r>
      <w:r>
        <w:rPr>
          <w:rFonts w:asciiTheme="majorHAnsi" w:hAnsiTheme="majorHAnsi" w:cstheme="majorHAnsi"/>
        </w:rPr>
        <w:t>DepEd</w:t>
      </w:r>
      <w:r w:rsidRPr="00F34125">
        <w:rPr>
          <w:rFonts w:asciiTheme="majorHAnsi" w:hAnsiTheme="majorHAnsi" w:cstheme="majorHAnsi"/>
        </w:rPr>
        <w:t xml:space="preserve"> Order </w:t>
      </w:r>
      <w:r>
        <w:rPr>
          <w:rFonts w:asciiTheme="majorHAnsi" w:hAnsiTheme="majorHAnsi" w:cstheme="majorHAnsi"/>
        </w:rPr>
        <w:t xml:space="preserve">on the </w:t>
      </w:r>
      <w:r w:rsidRPr="00F34125">
        <w:rPr>
          <w:rFonts w:asciiTheme="majorHAnsi" w:hAnsiTheme="majorHAnsi" w:cstheme="majorHAnsi"/>
        </w:rPr>
        <w:t>PPST a few months after the issuance of the CMOs on Teacher Education), and adherence to the program’s Results Framework.</w:t>
      </w:r>
      <w:r w:rsidR="00D434EB">
        <w:rPr>
          <w:rFonts w:asciiTheme="majorHAnsi" w:hAnsiTheme="majorHAnsi" w:cstheme="majorHAnsi"/>
        </w:rPr>
        <w:t xml:space="preserve"> </w:t>
      </w:r>
      <w:r w:rsidRPr="00F34125">
        <w:rPr>
          <w:rFonts w:asciiTheme="majorHAnsi" w:hAnsiTheme="majorHAnsi" w:cstheme="majorHAnsi"/>
          <w:color w:val="222222"/>
          <w:shd w:val="clear" w:color="auto" w:fill="FFFFFF"/>
        </w:rPr>
        <w:t>In a</w:t>
      </w:r>
      <w:r w:rsidRPr="00F34125">
        <w:rPr>
          <w:rFonts w:asciiTheme="majorHAnsi" w:hAnsiTheme="majorHAnsi" w:cstheme="majorHAnsi"/>
        </w:rPr>
        <w:t xml:space="preserve"> flexible program design, it </w:t>
      </w:r>
      <w:r>
        <w:rPr>
          <w:rFonts w:asciiTheme="majorHAnsi" w:hAnsiTheme="majorHAnsi" w:cstheme="majorHAnsi"/>
        </w:rPr>
        <w:t>would</w:t>
      </w:r>
      <w:r w:rsidRPr="00F34125">
        <w:rPr>
          <w:rFonts w:asciiTheme="majorHAnsi" w:hAnsiTheme="majorHAnsi" w:cstheme="majorHAnsi"/>
        </w:rPr>
        <w:t xml:space="preserve"> be beneficial to define what </w:t>
      </w:r>
      <w:r>
        <w:rPr>
          <w:rFonts w:asciiTheme="majorHAnsi" w:hAnsiTheme="majorHAnsi" w:cstheme="majorHAnsi"/>
        </w:rPr>
        <w:t>“</w:t>
      </w:r>
      <w:r w:rsidRPr="00F34125">
        <w:rPr>
          <w:rFonts w:asciiTheme="majorHAnsi" w:hAnsiTheme="majorHAnsi" w:cstheme="majorHAnsi"/>
        </w:rPr>
        <w:t>flexible arrangement</w:t>
      </w:r>
      <w:r>
        <w:rPr>
          <w:rFonts w:asciiTheme="majorHAnsi" w:hAnsiTheme="majorHAnsi" w:cstheme="majorHAnsi"/>
        </w:rPr>
        <w:t>s”</w:t>
      </w:r>
      <w:r w:rsidRPr="00F34125">
        <w:rPr>
          <w:rFonts w:asciiTheme="majorHAnsi" w:hAnsiTheme="majorHAnsi" w:cstheme="majorHAnsi"/>
        </w:rPr>
        <w:t xml:space="preserve"> mean</w:t>
      </w:r>
      <w:r>
        <w:rPr>
          <w:rFonts w:asciiTheme="majorHAnsi" w:hAnsiTheme="majorHAnsi" w:cstheme="majorHAnsi"/>
        </w:rPr>
        <w:t>s</w:t>
      </w:r>
      <w:r w:rsidRPr="00F34125">
        <w:rPr>
          <w:rFonts w:asciiTheme="majorHAnsi" w:hAnsiTheme="majorHAnsi" w:cstheme="majorHAnsi"/>
        </w:rPr>
        <w:t xml:space="preserve"> and set the parameters of what it entails.</w:t>
      </w:r>
    </w:p>
    <w:p w14:paraId="203E1060" w14:textId="7D0EC9D6" w:rsidR="008D0CAD" w:rsidRPr="0004079C" w:rsidRDefault="008D0CAD" w:rsidP="009443E0">
      <w:pPr>
        <w:pStyle w:val="Heading2"/>
        <w:pageBreakBefore/>
        <w:numPr>
          <w:ilvl w:val="0"/>
          <w:numId w:val="0"/>
        </w:numPr>
        <w:spacing w:before="100" w:beforeAutospacing="1" w:after="100" w:afterAutospacing="1" w:line="360" w:lineRule="auto"/>
        <w:ind w:left="709" w:hanging="284"/>
      </w:pPr>
      <w:bookmarkStart w:id="202" w:name="_Toc39938350"/>
      <w:bookmarkStart w:id="203" w:name="_Toc69820455"/>
      <w:r w:rsidRPr="0004079C">
        <w:t>Annex A. The BEST Program’s Theory of Change (TOC)</w:t>
      </w:r>
      <w:bookmarkEnd w:id="202"/>
      <w:bookmarkEnd w:id="203"/>
    </w:p>
    <w:p w14:paraId="080708E5" w14:textId="65BF51BC" w:rsidR="008D0CAD" w:rsidRPr="0004079C" w:rsidRDefault="008D0CAD" w:rsidP="009443E0">
      <w:pPr>
        <w:spacing w:before="100" w:beforeAutospacing="1" w:after="100" w:afterAutospacing="1" w:line="360" w:lineRule="auto"/>
        <w:rPr>
          <w:rFonts w:asciiTheme="majorHAnsi" w:hAnsiTheme="majorHAnsi" w:cstheme="majorHAnsi"/>
          <w:lang w:val="en-US"/>
        </w:rPr>
      </w:pPr>
      <w:r w:rsidRPr="0004079C">
        <w:rPr>
          <w:rFonts w:asciiTheme="majorHAnsi" w:hAnsiTheme="majorHAnsi" w:cstheme="majorHAnsi"/>
          <w:lang w:val="en-US"/>
        </w:rPr>
        <w:t>The BEST Program’s Theory of Change (TOC)</w:t>
      </w:r>
      <w:r w:rsidRPr="0004079C">
        <w:rPr>
          <w:rFonts w:asciiTheme="majorHAnsi" w:hAnsiTheme="majorHAnsi" w:cstheme="majorHAnsi"/>
          <w:vertAlign w:val="superscript"/>
          <w:lang w:val="en-US"/>
        </w:rPr>
        <w:footnoteReference w:id="125"/>
      </w:r>
      <w:r w:rsidRPr="0004079C">
        <w:rPr>
          <w:rFonts w:asciiTheme="majorHAnsi" w:hAnsiTheme="majorHAnsi" w:cstheme="majorHAnsi"/>
          <w:lang w:val="en-US"/>
        </w:rPr>
        <w:t xml:space="preserve"> has experienced at least three revisions during the lifetime of program implementation.</w:t>
      </w:r>
      <w:r w:rsidR="00D434EB">
        <w:rPr>
          <w:rFonts w:asciiTheme="majorHAnsi" w:hAnsiTheme="majorHAnsi" w:cstheme="majorHAnsi"/>
          <w:lang w:val="en-US"/>
        </w:rPr>
        <w:t xml:space="preserve"> </w:t>
      </w:r>
      <w:r w:rsidRPr="0004079C">
        <w:rPr>
          <w:rFonts w:asciiTheme="majorHAnsi" w:hAnsiTheme="majorHAnsi" w:cstheme="majorHAnsi"/>
          <w:lang w:val="en-US"/>
        </w:rPr>
        <w:t>This Section briefly presents these changes and its implications.</w:t>
      </w:r>
    </w:p>
    <w:p w14:paraId="10ED00C0" w14:textId="77777777" w:rsidR="008D0CAD" w:rsidRPr="0004079C" w:rsidRDefault="008D0CAD" w:rsidP="009443E0">
      <w:pPr>
        <w:spacing w:before="100" w:beforeAutospacing="1" w:after="100" w:afterAutospacing="1" w:line="360" w:lineRule="auto"/>
        <w:rPr>
          <w:rFonts w:asciiTheme="majorHAnsi" w:hAnsiTheme="majorHAnsi" w:cstheme="majorHAnsi"/>
          <w:lang w:val="en-US"/>
        </w:rPr>
      </w:pPr>
      <w:r w:rsidRPr="0004079C">
        <w:rPr>
          <w:rFonts w:asciiTheme="majorHAnsi" w:hAnsiTheme="majorHAnsi" w:cstheme="majorHAnsi"/>
          <w:lang w:val="en-US"/>
        </w:rPr>
        <w:t>According to the BEST Program Design Document (PDD), “</w:t>
      </w:r>
      <w:r w:rsidRPr="0004079C">
        <w:rPr>
          <w:rFonts w:asciiTheme="majorHAnsi" w:hAnsiTheme="majorHAnsi" w:cstheme="majorHAnsi"/>
          <w:i/>
          <w:lang w:val="en-US"/>
        </w:rPr>
        <w:t>The BEST Theory of Change is based on a thorough and careful analysis of how change can occur in the Philippines context, considering political structures and processes, institutional culture and organisational capability, and evidence drawn from Australian Government’s experience in the sector of more than 20 years</w:t>
      </w:r>
      <w:r w:rsidRPr="0004079C">
        <w:rPr>
          <w:rFonts w:asciiTheme="majorHAnsi" w:hAnsiTheme="majorHAnsi" w:cstheme="majorHAnsi"/>
          <w:lang w:val="en-US"/>
        </w:rPr>
        <w:t>” (PDD, p. 38).</w:t>
      </w:r>
    </w:p>
    <w:p w14:paraId="6F428B22" w14:textId="77777777" w:rsidR="008D0CAD" w:rsidRPr="0004079C" w:rsidRDefault="008D0CAD" w:rsidP="009443E0">
      <w:pPr>
        <w:spacing w:before="100" w:beforeAutospacing="1" w:after="100" w:afterAutospacing="1" w:line="360" w:lineRule="auto"/>
        <w:rPr>
          <w:rFonts w:asciiTheme="majorHAnsi" w:hAnsiTheme="majorHAnsi" w:cstheme="majorHAnsi"/>
          <w:lang w:val="en-US"/>
        </w:rPr>
      </w:pPr>
      <w:r w:rsidRPr="0004079C">
        <w:rPr>
          <w:rFonts w:asciiTheme="majorHAnsi" w:hAnsiTheme="majorHAnsi" w:cstheme="majorHAnsi"/>
          <w:lang w:val="en-US"/>
        </w:rPr>
        <w:t>The original Theory of Change (TOC), shown in Figure 1, was described as follows:</w:t>
      </w:r>
    </w:p>
    <w:p w14:paraId="66E078D5" w14:textId="77777777" w:rsidR="008D0CAD" w:rsidRPr="0004079C" w:rsidRDefault="008D0CAD" w:rsidP="009443E0">
      <w:pPr>
        <w:spacing w:before="100" w:beforeAutospacing="1" w:after="100" w:afterAutospacing="1"/>
        <w:ind w:left="720" w:right="720"/>
        <w:rPr>
          <w:rFonts w:asciiTheme="majorHAnsi" w:hAnsiTheme="majorHAnsi" w:cstheme="majorHAnsi"/>
          <w:i/>
          <w:lang w:val="en-US"/>
        </w:rPr>
      </w:pPr>
      <w:r w:rsidRPr="0004079C">
        <w:rPr>
          <w:rFonts w:asciiTheme="majorHAnsi" w:hAnsiTheme="majorHAnsi" w:cstheme="majorHAnsi"/>
          <w:lang w:val="en-US"/>
        </w:rPr>
        <w:t>“</w:t>
      </w:r>
      <w:r w:rsidRPr="0004079C">
        <w:rPr>
          <w:rFonts w:asciiTheme="majorHAnsi" w:hAnsiTheme="majorHAnsi" w:cstheme="majorHAnsi"/>
          <w:i/>
          <w:lang w:val="en-US"/>
        </w:rPr>
        <w:t xml:space="preserve">The long-term goals (blue) are the goals that this program will contribute towards along with other Australian Government supported initiatives, the work of the Department of Education and other development partners. </w:t>
      </w:r>
    </w:p>
    <w:p w14:paraId="4C88695B" w14:textId="77777777" w:rsidR="008D0CAD" w:rsidRPr="0004079C" w:rsidRDefault="008D0CAD" w:rsidP="009443E0">
      <w:pPr>
        <w:spacing w:before="100" w:beforeAutospacing="1" w:after="100" w:afterAutospacing="1"/>
        <w:ind w:left="720" w:right="720"/>
        <w:rPr>
          <w:rFonts w:asciiTheme="majorHAnsi" w:hAnsiTheme="majorHAnsi" w:cstheme="majorHAnsi"/>
          <w:i/>
          <w:lang w:val="en-US"/>
        </w:rPr>
      </w:pPr>
      <w:r w:rsidRPr="0004079C">
        <w:rPr>
          <w:rFonts w:asciiTheme="majorHAnsi" w:hAnsiTheme="majorHAnsi" w:cstheme="majorHAnsi"/>
          <w:i/>
          <w:lang w:val="en-US"/>
        </w:rPr>
        <w:t>The program outcomes (grey) represent what BEST Phase 1 aims to achieve by the end of year 6.</w:t>
      </w:r>
    </w:p>
    <w:p w14:paraId="283EAA11" w14:textId="77777777" w:rsidR="008D0CAD" w:rsidRPr="0004079C" w:rsidRDefault="008D0CAD" w:rsidP="009443E0">
      <w:pPr>
        <w:spacing w:before="100" w:beforeAutospacing="1" w:after="100" w:afterAutospacing="1"/>
        <w:ind w:left="720" w:right="720"/>
        <w:rPr>
          <w:rFonts w:asciiTheme="majorHAnsi" w:hAnsiTheme="majorHAnsi" w:cstheme="majorHAnsi"/>
          <w:i/>
          <w:lang w:val="en-US"/>
        </w:rPr>
      </w:pPr>
      <w:r w:rsidRPr="0004079C">
        <w:rPr>
          <w:rFonts w:asciiTheme="majorHAnsi" w:hAnsiTheme="majorHAnsi" w:cstheme="majorHAnsi"/>
          <w:i/>
          <w:lang w:val="en-US"/>
        </w:rPr>
        <w:t xml:space="preserve">The intermediate outcomes (green) are the preconditions for the program outcomes, i.e. these outcomes need to happen in order to realise the program outcomes. </w:t>
      </w:r>
    </w:p>
    <w:p w14:paraId="070F1822" w14:textId="77777777" w:rsidR="008D0CAD" w:rsidRPr="0004079C" w:rsidRDefault="008D0CAD" w:rsidP="009443E0">
      <w:pPr>
        <w:spacing w:before="100" w:beforeAutospacing="1" w:after="100" w:afterAutospacing="1"/>
        <w:ind w:left="720" w:right="720"/>
        <w:rPr>
          <w:rFonts w:asciiTheme="majorHAnsi" w:hAnsiTheme="majorHAnsi" w:cstheme="majorHAnsi"/>
          <w:i/>
          <w:lang w:val="en-US"/>
        </w:rPr>
      </w:pPr>
      <w:r w:rsidRPr="0004079C">
        <w:rPr>
          <w:rFonts w:asciiTheme="majorHAnsi" w:hAnsiTheme="majorHAnsi" w:cstheme="majorHAnsi"/>
          <w:i/>
          <w:lang w:val="en-US"/>
        </w:rPr>
        <w:t>The implementation strategies (red) are what are needed to achieve these outcomes. (The implementation strategies are translated to sub-components in Section 3)</w:t>
      </w:r>
    </w:p>
    <w:p w14:paraId="2DF23B32" w14:textId="3B6216DF" w:rsidR="008D0CAD" w:rsidRPr="009443E0" w:rsidRDefault="008D0CAD" w:rsidP="009443E0">
      <w:pPr>
        <w:spacing w:before="100" w:beforeAutospacing="1" w:after="100" w:afterAutospacing="1"/>
        <w:ind w:left="720" w:right="720"/>
        <w:rPr>
          <w:rFonts w:asciiTheme="majorHAnsi" w:hAnsiTheme="majorHAnsi" w:cstheme="majorHAnsi"/>
          <w:i/>
          <w:lang w:val="en-US"/>
        </w:rPr>
      </w:pPr>
      <w:r w:rsidRPr="0004079C">
        <w:rPr>
          <w:rFonts w:asciiTheme="majorHAnsi" w:hAnsiTheme="majorHAnsi" w:cstheme="majorHAnsi"/>
          <w:i/>
          <w:lang w:val="en-US"/>
        </w:rPr>
        <w:t>Foundation outcomes (dark orange) and related foundation work to support the end of program outcomes</w:t>
      </w:r>
      <w:r w:rsidRPr="0004079C">
        <w:rPr>
          <w:rFonts w:asciiTheme="majorHAnsi" w:hAnsiTheme="majorHAnsi" w:cstheme="majorHAnsi"/>
          <w:lang w:val="en-US"/>
        </w:rPr>
        <w:t>.”</w:t>
      </w:r>
    </w:p>
    <w:p w14:paraId="40D5B8B1" w14:textId="77AF73A8" w:rsidR="008D0CAD" w:rsidRPr="0004079C" w:rsidRDefault="008D0CAD" w:rsidP="009443E0">
      <w:pPr>
        <w:spacing w:before="100" w:beforeAutospacing="1" w:after="100" w:afterAutospacing="1" w:line="360" w:lineRule="auto"/>
        <w:rPr>
          <w:rFonts w:asciiTheme="majorHAnsi" w:hAnsiTheme="majorHAnsi" w:cstheme="majorHAnsi"/>
          <w:lang w:val="en-US"/>
        </w:rPr>
      </w:pPr>
      <w:r w:rsidRPr="0004079C">
        <w:rPr>
          <w:rFonts w:asciiTheme="majorHAnsi" w:hAnsiTheme="majorHAnsi" w:cstheme="majorHAnsi"/>
          <w:lang w:val="en-US"/>
        </w:rPr>
        <w:t>The BEST Program TOC “</w:t>
      </w:r>
      <w:r w:rsidRPr="0004079C">
        <w:rPr>
          <w:rFonts w:asciiTheme="majorHAnsi" w:hAnsiTheme="majorHAnsi" w:cstheme="majorHAnsi"/>
          <w:i/>
          <w:lang w:val="en-US"/>
        </w:rPr>
        <w:t>was revisited, reviewed and enhanced</w:t>
      </w:r>
      <w:r w:rsidRPr="0004079C">
        <w:rPr>
          <w:rFonts w:asciiTheme="majorHAnsi" w:hAnsiTheme="majorHAnsi" w:cstheme="majorHAnsi"/>
          <w:lang w:val="en-US"/>
        </w:rPr>
        <w:t>” in 2014 (Cardno Emerging Markets, SMPR 1, p. 3).</w:t>
      </w:r>
      <w:r w:rsidR="00D434EB">
        <w:rPr>
          <w:rFonts w:asciiTheme="majorHAnsi" w:hAnsiTheme="majorHAnsi" w:cstheme="majorHAnsi"/>
          <w:b/>
          <w:lang w:val="en-US"/>
        </w:rPr>
        <w:t xml:space="preserve"> </w:t>
      </w:r>
      <w:r w:rsidRPr="0004079C">
        <w:rPr>
          <w:rFonts w:asciiTheme="majorHAnsi" w:hAnsiTheme="majorHAnsi" w:cstheme="majorHAnsi"/>
          <w:lang w:val="en-US"/>
        </w:rPr>
        <w:t>It added</w:t>
      </w:r>
      <w:r w:rsidRPr="0004079C">
        <w:rPr>
          <w:rFonts w:asciiTheme="majorHAnsi" w:hAnsiTheme="majorHAnsi" w:cstheme="majorHAnsi"/>
          <w:b/>
          <w:lang w:val="en-US"/>
        </w:rPr>
        <w:t xml:space="preserve"> </w:t>
      </w:r>
      <w:r w:rsidRPr="0004079C">
        <w:rPr>
          <w:rFonts w:asciiTheme="majorHAnsi" w:hAnsiTheme="majorHAnsi" w:cstheme="majorHAnsi"/>
          <w:lang w:val="en-US"/>
        </w:rPr>
        <w:t xml:space="preserve">another program outcome making the three major outcomes as: </w:t>
      </w:r>
    </w:p>
    <w:p w14:paraId="621B3BBC" w14:textId="77777777" w:rsidR="008D0CAD" w:rsidRPr="0004079C" w:rsidRDefault="008D0CAD" w:rsidP="00DD08E3">
      <w:pPr>
        <w:widowControl w:val="0"/>
        <w:numPr>
          <w:ilvl w:val="0"/>
          <w:numId w:val="56"/>
        </w:numPr>
        <w:spacing w:before="100" w:beforeAutospacing="1" w:after="100" w:afterAutospacing="1" w:line="360" w:lineRule="auto"/>
        <w:rPr>
          <w:rFonts w:asciiTheme="majorHAnsi" w:hAnsiTheme="majorHAnsi" w:cstheme="majorHAnsi"/>
          <w:b/>
          <w:snapToGrid w:val="0"/>
          <w:szCs w:val="20"/>
          <w:lang w:val="en-US"/>
        </w:rPr>
      </w:pPr>
      <w:r w:rsidRPr="0004079C">
        <w:rPr>
          <w:rFonts w:asciiTheme="majorHAnsi" w:hAnsiTheme="majorHAnsi" w:cstheme="majorHAnsi"/>
          <w:snapToGrid w:val="0"/>
          <w:szCs w:val="20"/>
          <w:lang w:val="en-US"/>
        </w:rPr>
        <w:t xml:space="preserve">More children are able to demonstrate improved mastery of basic education curriculum competencies (especially in English, Mathematics, and Science) and difference in learning outcomes for boys and girls are reduced in target areas. </w:t>
      </w:r>
    </w:p>
    <w:p w14:paraId="49CF888B" w14:textId="77777777" w:rsidR="008D0CAD" w:rsidRPr="0004079C" w:rsidRDefault="008D0CAD" w:rsidP="00DD08E3">
      <w:pPr>
        <w:widowControl w:val="0"/>
        <w:numPr>
          <w:ilvl w:val="0"/>
          <w:numId w:val="56"/>
        </w:numPr>
        <w:spacing w:before="100" w:beforeAutospacing="1" w:after="100" w:afterAutospacing="1" w:line="360" w:lineRule="auto"/>
        <w:rPr>
          <w:rFonts w:asciiTheme="majorHAnsi" w:hAnsiTheme="majorHAnsi" w:cstheme="majorHAnsi"/>
          <w:b/>
          <w:snapToGrid w:val="0"/>
          <w:szCs w:val="20"/>
          <w:lang w:val="en-US"/>
        </w:rPr>
      </w:pPr>
      <w:r w:rsidRPr="0004079C">
        <w:rPr>
          <w:rFonts w:asciiTheme="majorHAnsi" w:hAnsiTheme="majorHAnsi" w:cstheme="majorHAnsi"/>
          <w:snapToGrid w:val="0"/>
          <w:szCs w:val="20"/>
          <w:lang w:val="en-US"/>
        </w:rPr>
        <w:t xml:space="preserve">Mastery of competencies is distinct for each segment. At the Kindergarten to Grade 3 level, focus is on pupils’ mastery of reading and numeracy. For Grade 10, it is measured by readiness for Senior High School (SHS); while at Grade 12, it is indicated by competence in selected academic or non-academic tracks. </w:t>
      </w:r>
    </w:p>
    <w:p w14:paraId="39B60FE4" w14:textId="77777777" w:rsidR="008D0CAD" w:rsidRPr="00082441" w:rsidRDefault="008D0CAD" w:rsidP="00DD08E3">
      <w:pPr>
        <w:widowControl w:val="0"/>
        <w:numPr>
          <w:ilvl w:val="0"/>
          <w:numId w:val="56"/>
        </w:numPr>
        <w:spacing w:before="100" w:beforeAutospacing="1" w:after="100" w:afterAutospacing="1" w:line="360" w:lineRule="auto"/>
        <w:rPr>
          <w:rFonts w:asciiTheme="majorHAnsi" w:hAnsiTheme="majorHAnsi" w:cstheme="majorHAnsi"/>
          <w:b/>
          <w:snapToGrid w:val="0"/>
          <w:szCs w:val="20"/>
          <w:lang w:val="en-US"/>
        </w:rPr>
      </w:pPr>
      <w:r w:rsidRPr="0004079C">
        <w:rPr>
          <w:rFonts w:asciiTheme="majorHAnsi" w:hAnsiTheme="majorHAnsi" w:cstheme="majorHAnsi"/>
          <w:snapToGrid w:val="0"/>
          <w:szCs w:val="20"/>
          <w:lang w:val="en-US"/>
        </w:rPr>
        <w:t xml:space="preserve">More boys and girls participate in, and complete education in target areas. </w:t>
      </w:r>
    </w:p>
    <w:p w14:paraId="188C7E0A" w14:textId="77777777" w:rsidR="008D0CAD" w:rsidRDefault="008D0CAD" w:rsidP="002320B3">
      <w:pPr>
        <w:widowControl w:val="0"/>
        <w:rPr>
          <w:rFonts w:asciiTheme="majorHAnsi" w:hAnsiTheme="majorHAnsi" w:cstheme="majorHAnsi"/>
          <w:b/>
          <w:snapToGrid w:val="0"/>
          <w:szCs w:val="20"/>
          <w:lang w:val="en-US"/>
        </w:rPr>
        <w:sectPr w:rsidR="008D0CAD" w:rsidSect="009C64E9">
          <w:headerReference w:type="even" r:id="rId52"/>
          <w:headerReference w:type="default" r:id="rId53"/>
          <w:footerReference w:type="even" r:id="rId54"/>
          <w:footerReference w:type="default" r:id="rId55"/>
          <w:headerReference w:type="first" r:id="rId56"/>
          <w:pgSz w:w="11900" w:h="16840"/>
          <w:pgMar w:top="1440" w:right="1440" w:bottom="1440" w:left="1440" w:header="720" w:footer="720" w:gutter="0"/>
          <w:cols w:space="720"/>
          <w:docGrid w:linePitch="360"/>
        </w:sectPr>
      </w:pPr>
    </w:p>
    <w:p w14:paraId="60CC01CC" w14:textId="77777777" w:rsidR="008D0CAD" w:rsidRPr="0004079C" w:rsidRDefault="008D0CAD" w:rsidP="002320B3">
      <w:pPr>
        <w:widowControl w:val="0"/>
        <w:rPr>
          <w:rFonts w:asciiTheme="majorHAnsi" w:hAnsiTheme="majorHAnsi" w:cstheme="majorHAnsi"/>
          <w:b/>
          <w:snapToGrid w:val="0"/>
          <w:szCs w:val="20"/>
          <w:lang w:val="en-US"/>
        </w:rPr>
      </w:pPr>
    </w:p>
    <w:p w14:paraId="0D6DE9D8" w14:textId="77777777" w:rsidR="008D0CAD" w:rsidRDefault="008D0CAD" w:rsidP="002320B3">
      <w:pPr>
        <w:rPr>
          <w:rFonts w:asciiTheme="majorHAnsi" w:hAnsiTheme="majorHAnsi" w:cstheme="majorHAnsi"/>
          <w:b/>
        </w:rPr>
      </w:pPr>
    </w:p>
    <w:p w14:paraId="4CB0CB2D" w14:textId="77777777" w:rsidR="008D0CAD" w:rsidRPr="00C54F00" w:rsidRDefault="008D0CAD" w:rsidP="002320B3">
      <w:pPr>
        <w:ind w:firstLine="360"/>
        <w:rPr>
          <w:rFonts w:asciiTheme="majorHAnsi" w:hAnsiTheme="majorHAnsi" w:cstheme="majorHAnsi"/>
          <w:b/>
        </w:rPr>
      </w:pPr>
      <w:r>
        <w:rPr>
          <w:rFonts w:asciiTheme="majorHAnsi" w:hAnsiTheme="majorHAnsi" w:cstheme="majorHAnsi"/>
          <w:b/>
        </w:rPr>
        <w:t>Figure 1. Diagram 3A – Simplified</w:t>
      </w:r>
      <w:r w:rsidRPr="00C54F00">
        <w:rPr>
          <w:rFonts w:asciiTheme="majorHAnsi" w:hAnsiTheme="majorHAnsi" w:cstheme="majorHAnsi"/>
          <w:b/>
        </w:rPr>
        <w:t xml:space="preserve"> Theory of Change</w:t>
      </w:r>
    </w:p>
    <w:p w14:paraId="356F50AB" w14:textId="77777777" w:rsidR="008D0CAD" w:rsidRDefault="008D0CAD" w:rsidP="002320B3">
      <w:pPr>
        <w:rPr>
          <w:rFonts w:asciiTheme="majorHAnsi" w:hAnsiTheme="majorHAnsi" w:cstheme="majorHAnsi"/>
        </w:rPr>
      </w:pPr>
      <w:r w:rsidRPr="00B55DF8">
        <w:rPr>
          <w:rFonts w:asciiTheme="majorHAnsi" w:hAnsiTheme="majorHAnsi" w:cstheme="majorHAnsi"/>
          <w:noProof/>
          <w:lang w:val="en-AU" w:eastAsia="en-AU"/>
        </w:rPr>
        <w:drawing>
          <wp:inline distT="0" distB="0" distL="0" distR="0" wp14:anchorId="7A9DAD5C" wp14:editId="0E10A5D9">
            <wp:extent cx="9525000" cy="5357813"/>
            <wp:effectExtent l="0" t="0" r="0" b="1905"/>
            <wp:docPr id="1" name="Picture 1" descr="Diagram of Simplified Theory of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of Simplified Theory of Change"/>
                    <pic:cNvPicPr/>
                  </pic:nvPicPr>
                  <pic:blipFill>
                    <a:blip r:embed="rId57"/>
                    <a:stretch>
                      <a:fillRect/>
                    </a:stretch>
                  </pic:blipFill>
                  <pic:spPr>
                    <a:xfrm>
                      <a:off x="0" y="0"/>
                      <a:ext cx="9532016" cy="5361759"/>
                    </a:xfrm>
                    <a:prstGeom prst="rect">
                      <a:avLst/>
                    </a:prstGeom>
                  </pic:spPr>
                </pic:pic>
              </a:graphicData>
            </a:graphic>
          </wp:inline>
        </w:drawing>
      </w:r>
    </w:p>
    <w:p w14:paraId="0A76895D" w14:textId="77777777" w:rsidR="008D0CAD" w:rsidRDefault="008D0CAD" w:rsidP="002320B3">
      <w:pPr>
        <w:rPr>
          <w:rFonts w:asciiTheme="majorHAnsi" w:hAnsiTheme="majorHAnsi" w:cstheme="majorHAnsi"/>
        </w:rPr>
      </w:pPr>
    </w:p>
    <w:p w14:paraId="00807514" w14:textId="77777777" w:rsidR="008D0CAD" w:rsidRDefault="008D0CAD" w:rsidP="002320B3">
      <w:pPr>
        <w:rPr>
          <w:rFonts w:asciiTheme="majorHAnsi" w:hAnsiTheme="majorHAnsi" w:cstheme="majorHAnsi"/>
        </w:rPr>
      </w:pPr>
    </w:p>
    <w:p w14:paraId="5B182DE5" w14:textId="77777777" w:rsidR="008D0CAD" w:rsidRDefault="008D0CAD" w:rsidP="002320B3">
      <w:pPr>
        <w:rPr>
          <w:rFonts w:asciiTheme="majorHAnsi" w:hAnsiTheme="majorHAnsi" w:cstheme="majorHAnsi"/>
        </w:rPr>
        <w:sectPr w:rsidR="008D0CAD" w:rsidSect="009C64E9">
          <w:pgSz w:w="16840" w:h="11900" w:orient="landscape"/>
          <w:pgMar w:top="720" w:right="720" w:bottom="720" w:left="720" w:header="720" w:footer="720" w:gutter="0"/>
          <w:cols w:space="720"/>
          <w:docGrid w:linePitch="360"/>
        </w:sectPr>
      </w:pPr>
    </w:p>
    <w:p w14:paraId="49A59BC9" w14:textId="77777777" w:rsidR="008D0CAD" w:rsidRDefault="008D0CAD" w:rsidP="009443E0">
      <w:pPr>
        <w:spacing w:before="100" w:beforeAutospacing="1" w:after="100" w:afterAutospacing="1" w:line="360" w:lineRule="auto"/>
        <w:rPr>
          <w:rFonts w:asciiTheme="majorHAnsi" w:hAnsiTheme="majorHAnsi" w:cstheme="majorHAnsi"/>
          <w:b/>
        </w:rPr>
      </w:pPr>
      <w:r>
        <w:rPr>
          <w:rFonts w:asciiTheme="majorHAnsi" w:hAnsiTheme="majorHAnsi" w:cstheme="majorHAnsi"/>
        </w:rPr>
        <w:t>The fourth Program Outcome was considered the foundational outcome and was elaborated as follows</w:t>
      </w:r>
      <w:r w:rsidRPr="00D179BD">
        <w:rPr>
          <w:rFonts w:asciiTheme="majorHAnsi" w:hAnsiTheme="majorHAnsi" w:cstheme="majorHAnsi"/>
        </w:rPr>
        <w:t xml:space="preserve">: </w:t>
      </w:r>
    </w:p>
    <w:p w14:paraId="14240AB6" w14:textId="622860E9" w:rsidR="008D0CAD" w:rsidRPr="00D354DC" w:rsidRDefault="008D0CAD" w:rsidP="002320B3">
      <w:pPr>
        <w:spacing w:after="120"/>
        <w:ind w:left="432" w:right="432"/>
        <w:rPr>
          <w:rFonts w:asciiTheme="majorHAnsi" w:hAnsiTheme="majorHAnsi" w:cstheme="majorHAnsi"/>
          <w:b/>
        </w:rPr>
      </w:pPr>
      <w:r>
        <w:rPr>
          <w:rFonts w:asciiTheme="majorHAnsi" w:hAnsiTheme="majorHAnsi" w:cstheme="majorHAnsi"/>
        </w:rPr>
        <w:t>“</w:t>
      </w:r>
      <w:r w:rsidRPr="00893717">
        <w:rPr>
          <w:rFonts w:asciiTheme="majorHAnsi" w:hAnsiTheme="majorHAnsi" w:cstheme="majorHAnsi"/>
          <w:i/>
        </w:rPr>
        <w:t>The foundational outcome is focused on DepED’s capacity to deliver basic education services. This capacity is based on the ability of DepED to decentralize management according to the different roles and responsibilities of the different levels of governance of its Central Office (CO), Regional Office (RO), Schools Divisions and schools. A fully functional DepED will mean that CO business processes are responsive, the Regions are able to customize policy and provide for inclusive education programs, the Schools Divisions are able to efficiently allocate resources and the schools effectively engage the learners. If these levels are fully functioning and delivering education services, this should result in more boys and girls participating and completing basic education. If there are more boys and girls participating in school, this will enable DepED to ensure that more children master the necessary competencies expected at their grade level</w:t>
      </w:r>
      <w:r>
        <w:rPr>
          <w:rFonts w:asciiTheme="majorHAnsi" w:hAnsiTheme="majorHAnsi" w:cstheme="majorHAnsi"/>
        </w:rPr>
        <w:t>” (Cardno Emerging Markets, SMPR 1, p. 3).</w:t>
      </w:r>
    </w:p>
    <w:p w14:paraId="45BBA961" w14:textId="77777777" w:rsidR="008D0CAD" w:rsidRPr="008E11D8" w:rsidRDefault="008D0CAD" w:rsidP="009443E0">
      <w:pPr>
        <w:pStyle w:val="NormalWeb"/>
        <w:spacing w:line="360" w:lineRule="auto"/>
        <w:rPr>
          <w:rFonts w:asciiTheme="majorHAnsi" w:hAnsiTheme="majorHAnsi" w:cstheme="majorHAnsi"/>
        </w:rPr>
      </w:pPr>
      <w:r>
        <w:rPr>
          <w:rFonts w:asciiTheme="majorHAnsi" w:hAnsiTheme="majorHAnsi" w:cstheme="majorHAnsi"/>
        </w:rPr>
        <w:t>Furthermore, the</w:t>
      </w:r>
      <w:r w:rsidRPr="008E11D8">
        <w:rPr>
          <w:rFonts w:asciiTheme="majorHAnsi" w:hAnsiTheme="majorHAnsi" w:cstheme="majorHAnsi"/>
        </w:rPr>
        <w:t xml:space="preserve"> </w:t>
      </w:r>
      <w:r>
        <w:rPr>
          <w:rFonts w:asciiTheme="majorHAnsi" w:hAnsiTheme="majorHAnsi" w:cstheme="majorHAnsi"/>
        </w:rPr>
        <w:t>revised TOC included six</w:t>
      </w:r>
      <w:r w:rsidRPr="008E11D8">
        <w:rPr>
          <w:rFonts w:asciiTheme="majorHAnsi" w:hAnsiTheme="majorHAnsi" w:cstheme="majorHAnsi"/>
        </w:rPr>
        <w:t xml:space="preserve"> intermediate outcomes </w:t>
      </w:r>
      <w:r>
        <w:rPr>
          <w:rFonts w:asciiTheme="majorHAnsi" w:hAnsiTheme="majorHAnsi" w:cstheme="majorHAnsi"/>
        </w:rPr>
        <w:t>(</w:t>
      </w:r>
      <w:r w:rsidRPr="008E11D8">
        <w:rPr>
          <w:rFonts w:asciiTheme="majorHAnsi" w:hAnsiTheme="majorHAnsi" w:cstheme="majorHAnsi"/>
        </w:rPr>
        <w:t xml:space="preserve">Cardno Emerging Markets, SMPR 1, </w:t>
      </w:r>
      <w:r>
        <w:rPr>
          <w:rFonts w:asciiTheme="majorHAnsi" w:hAnsiTheme="majorHAnsi" w:cstheme="majorHAnsi"/>
        </w:rPr>
        <w:t>pp. 3-4):</w:t>
      </w:r>
    </w:p>
    <w:p w14:paraId="4B5DD018" w14:textId="77777777" w:rsidR="008D0CAD" w:rsidRPr="00215D4E" w:rsidRDefault="008D0CAD" w:rsidP="00DD08E3">
      <w:pPr>
        <w:pStyle w:val="NormalWeb"/>
        <w:numPr>
          <w:ilvl w:val="0"/>
          <w:numId w:val="57"/>
        </w:numPr>
        <w:spacing w:line="360" w:lineRule="auto"/>
        <w:rPr>
          <w:rFonts w:asciiTheme="majorHAnsi" w:hAnsiTheme="majorHAnsi" w:cstheme="majorHAnsi"/>
          <w:i/>
        </w:rPr>
      </w:pPr>
      <w:r w:rsidRPr="00215D4E">
        <w:rPr>
          <w:rFonts w:asciiTheme="majorHAnsi" w:hAnsiTheme="majorHAnsi" w:cstheme="majorHAnsi"/>
          <w:i/>
        </w:rPr>
        <w:t xml:space="preserve">More learners have access to basic education services. </w:t>
      </w:r>
    </w:p>
    <w:p w14:paraId="69050B19" w14:textId="263964F5" w:rsidR="008D0CAD" w:rsidRPr="00215D4E" w:rsidRDefault="008D0CAD" w:rsidP="00DD08E3">
      <w:pPr>
        <w:pStyle w:val="NormalWeb"/>
        <w:numPr>
          <w:ilvl w:val="0"/>
          <w:numId w:val="57"/>
        </w:numPr>
        <w:spacing w:line="360" w:lineRule="auto"/>
        <w:rPr>
          <w:rFonts w:asciiTheme="majorHAnsi" w:hAnsiTheme="majorHAnsi" w:cstheme="majorHAnsi"/>
          <w:i/>
        </w:rPr>
      </w:pPr>
      <w:r w:rsidRPr="00215D4E">
        <w:rPr>
          <w:rFonts w:asciiTheme="majorHAnsi" w:hAnsiTheme="majorHAnsi" w:cstheme="majorHAnsi"/>
          <w:i/>
        </w:rPr>
        <w:t>Teachers are qualified and capable to deliver the curriculum.</w:t>
      </w:r>
      <w:r w:rsidR="00D434EB">
        <w:rPr>
          <w:rFonts w:asciiTheme="majorHAnsi" w:hAnsiTheme="majorHAnsi" w:cstheme="majorHAnsi"/>
          <w:i/>
        </w:rPr>
        <w:t xml:space="preserve"> </w:t>
      </w:r>
    </w:p>
    <w:p w14:paraId="0187AAE2" w14:textId="77777777" w:rsidR="008D0CAD" w:rsidRPr="00215D4E" w:rsidRDefault="008D0CAD" w:rsidP="00DD08E3">
      <w:pPr>
        <w:pStyle w:val="NormalWeb"/>
        <w:numPr>
          <w:ilvl w:val="0"/>
          <w:numId w:val="57"/>
        </w:numPr>
        <w:spacing w:line="360" w:lineRule="auto"/>
        <w:rPr>
          <w:rFonts w:asciiTheme="majorHAnsi" w:hAnsiTheme="majorHAnsi" w:cstheme="majorHAnsi"/>
          <w:i/>
        </w:rPr>
      </w:pPr>
      <w:r w:rsidRPr="00215D4E">
        <w:rPr>
          <w:rFonts w:asciiTheme="majorHAnsi" w:hAnsiTheme="majorHAnsi" w:cstheme="majorHAnsi"/>
          <w:i/>
        </w:rPr>
        <w:t xml:space="preserve">Education leaders and managers are better able to manage education learning systems. </w:t>
      </w:r>
    </w:p>
    <w:p w14:paraId="4CB349B0" w14:textId="77777777" w:rsidR="008D0CAD" w:rsidRPr="00215D4E" w:rsidRDefault="008D0CAD" w:rsidP="00DD08E3">
      <w:pPr>
        <w:pStyle w:val="NormalWeb"/>
        <w:numPr>
          <w:ilvl w:val="0"/>
          <w:numId w:val="57"/>
        </w:numPr>
        <w:spacing w:line="360" w:lineRule="auto"/>
        <w:rPr>
          <w:rFonts w:asciiTheme="majorHAnsi" w:hAnsiTheme="majorHAnsi" w:cstheme="majorHAnsi"/>
          <w:i/>
        </w:rPr>
      </w:pPr>
      <w:r w:rsidRPr="00215D4E">
        <w:rPr>
          <w:rFonts w:asciiTheme="majorHAnsi" w:hAnsiTheme="majorHAnsi" w:cstheme="majorHAnsi"/>
          <w:i/>
        </w:rPr>
        <w:t xml:space="preserve">Schools Division are able to provide needs-based or demand-driven technical and training assistance to all schools. </w:t>
      </w:r>
    </w:p>
    <w:p w14:paraId="151EB783" w14:textId="77777777" w:rsidR="008D0CAD" w:rsidRPr="00215D4E" w:rsidRDefault="008D0CAD" w:rsidP="00DD08E3">
      <w:pPr>
        <w:pStyle w:val="NormalWeb"/>
        <w:numPr>
          <w:ilvl w:val="0"/>
          <w:numId w:val="57"/>
        </w:numPr>
        <w:spacing w:line="360" w:lineRule="auto"/>
        <w:rPr>
          <w:rFonts w:asciiTheme="majorHAnsi" w:hAnsiTheme="majorHAnsi" w:cstheme="majorHAnsi"/>
          <w:i/>
        </w:rPr>
      </w:pPr>
      <w:r w:rsidRPr="00215D4E">
        <w:rPr>
          <w:rFonts w:asciiTheme="majorHAnsi" w:hAnsiTheme="majorHAnsi" w:cstheme="majorHAnsi"/>
          <w:i/>
        </w:rPr>
        <w:t xml:space="preserve">Regions are able to timely customise and/or adopt policies and programs according to the requirements of different divisions. </w:t>
      </w:r>
    </w:p>
    <w:p w14:paraId="1053EEF1" w14:textId="152706DA" w:rsidR="008D0CAD" w:rsidRPr="009443E0" w:rsidRDefault="008D0CAD" w:rsidP="00DD08E3">
      <w:pPr>
        <w:pStyle w:val="NormalWeb"/>
        <w:numPr>
          <w:ilvl w:val="0"/>
          <w:numId w:val="57"/>
        </w:numPr>
        <w:spacing w:line="360" w:lineRule="auto"/>
        <w:rPr>
          <w:rFonts w:asciiTheme="majorHAnsi" w:hAnsiTheme="majorHAnsi" w:cstheme="majorHAnsi"/>
        </w:rPr>
      </w:pPr>
      <w:r w:rsidRPr="00215D4E">
        <w:rPr>
          <w:rFonts w:asciiTheme="majorHAnsi" w:hAnsiTheme="majorHAnsi" w:cstheme="majorHAnsi"/>
          <w:i/>
        </w:rPr>
        <w:t>Central Office is able to operationalise the core “business” processes and accountability systems for a more responsive and inclusive basic education program</w:t>
      </w:r>
      <w:r w:rsidRPr="008E11D8">
        <w:rPr>
          <w:rFonts w:asciiTheme="majorHAnsi" w:hAnsiTheme="majorHAnsi" w:cstheme="majorHAnsi"/>
        </w:rPr>
        <w:t xml:space="preserve">. </w:t>
      </w:r>
    </w:p>
    <w:p w14:paraId="7F025316" w14:textId="77777777" w:rsidR="008D0CAD" w:rsidRDefault="008D0CAD" w:rsidP="009443E0">
      <w:pPr>
        <w:spacing w:before="100" w:beforeAutospacing="1" w:after="100" w:afterAutospacing="1" w:line="360" w:lineRule="auto"/>
        <w:rPr>
          <w:rFonts w:asciiTheme="majorHAnsi" w:hAnsiTheme="majorHAnsi" w:cstheme="majorHAnsi"/>
        </w:rPr>
      </w:pPr>
      <w:r w:rsidRPr="008E11D8">
        <w:rPr>
          <w:rFonts w:asciiTheme="majorHAnsi" w:hAnsiTheme="majorHAnsi" w:cstheme="majorHAnsi"/>
        </w:rPr>
        <w:t>Th</w:t>
      </w:r>
      <w:r>
        <w:rPr>
          <w:rFonts w:asciiTheme="majorHAnsi" w:hAnsiTheme="majorHAnsi" w:cstheme="majorHAnsi"/>
        </w:rPr>
        <w:t>is</w:t>
      </w:r>
      <w:r w:rsidRPr="008E11D8">
        <w:rPr>
          <w:rFonts w:asciiTheme="majorHAnsi" w:hAnsiTheme="majorHAnsi" w:cstheme="majorHAnsi"/>
        </w:rPr>
        <w:t xml:space="preserve"> revised TOC was </w:t>
      </w:r>
      <w:r>
        <w:rPr>
          <w:rFonts w:asciiTheme="majorHAnsi" w:hAnsiTheme="majorHAnsi" w:cstheme="majorHAnsi"/>
        </w:rPr>
        <w:t>“</w:t>
      </w:r>
      <w:r w:rsidRPr="00215D4E">
        <w:rPr>
          <w:rFonts w:asciiTheme="majorHAnsi" w:hAnsiTheme="majorHAnsi" w:cstheme="majorHAnsi"/>
          <w:i/>
        </w:rPr>
        <w:t>presented during the CO and Regional orientations and non-DepED Program partners’ orientation and was presented to the 1st meeting of the BEST PMC</w:t>
      </w:r>
      <w:r>
        <w:rPr>
          <w:rFonts w:asciiTheme="majorHAnsi" w:hAnsiTheme="majorHAnsi" w:cstheme="majorHAnsi"/>
        </w:rPr>
        <w:t>”</w:t>
      </w:r>
      <w:r w:rsidRPr="008E11D8">
        <w:rPr>
          <w:rFonts w:asciiTheme="majorHAnsi" w:hAnsiTheme="majorHAnsi" w:cstheme="majorHAnsi"/>
        </w:rPr>
        <w:t xml:space="preserve"> (Cardno Emerging Markets, SMPR 1, p. 20)</w:t>
      </w:r>
      <w:r>
        <w:rPr>
          <w:rFonts w:asciiTheme="majorHAnsi" w:hAnsiTheme="majorHAnsi" w:cstheme="majorHAnsi"/>
        </w:rPr>
        <w:t>.</w:t>
      </w:r>
    </w:p>
    <w:p w14:paraId="389014D8" w14:textId="02E2CF1E" w:rsidR="008D0CAD" w:rsidRDefault="008D0CAD" w:rsidP="009443E0">
      <w:pPr>
        <w:spacing w:before="100" w:beforeAutospacing="1" w:after="100" w:afterAutospacing="1" w:line="360" w:lineRule="auto"/>
        <w:rPr>
          <w:rFonts w:asciiTheme="majorHAnsi" w:hAnsiTheme="majorHAnsi" w:cstheme="majorHAnsi"/>
        </w:rPr>
      </w:pPr>
      <w:r>
        <w:rPr>
          <w:rFonts w:asciiTheme="majorHAnsi" w:hAnsiTheme="majorHAnsi" w:cstheme="majorHAnsi"/>
        </w:rPr>
        <w:t>However, the following year, the Program’s TOC was again reviewed and revised.</w:t>
      </w:r>
      <w:r w:rsidR="00D434EB">
        <w:rPr>
          <w:rFonts w:asciiTheme="majorHAnsi" w:hAnsiTheme="majorHAnsi" w:cstheme="majorHAnsi"/>
        </w:rPr>
        <w:t xml:space="preserve"> </w:t>
      </w:r>
    </w:p>
    <w:p w14:paraId="37FF3EA0" w14:textId="523069A5" w:rsidR="008D0CAD" w:rsidRPr="009443E0" w:rsidRDefault="008D0CAD" w:rsidP="009443E0">
      <w:pPr>
        <w:spacing w:after="120"/>
        <w:ind w:left="432" w:right="432"/>
        <w:rPr>
          <w:rFonts w:asciiTheme="majorHAnsi" w:hAnsiTheme="majorHAnsi" w:cstheme="majorHAnsi"/>
          <w:i/>
        </w:rPr>
      </w:pPr>
      <w:r w:rsidRPr="00215D4E">
        <w:rPr>
          <w:rFonts w:asciiTheme="majorHAnsi" w:hAnsiTheme="majorHAnsi" w:cstheme="majorHAnsi"/>
          <w:i/>
        </w:rPr>
        <w:t>“On September 2015, the FC facilitated an updating of the BEST Theory of Change (ToC) in light of education reform progress and DFAT budget moderation. This review was participated by BEST Program stakeholders which include DepEd, DFAT, ACTRC, RCTQ, PBEd, and PBSP. The updated Theory of Change reflects enhanced program outcome statements, recasting of intermediate outcomes to show better integration between and among the Program subcomponents and deletion of some intermediate outcomes/outputs and revision in others.</w:t>
      </w:r>
      <w:r w:rsidR="00D434EB">
        <w:rPr>
          <w:rFonts w:asciiTheme="majorHAnsi" w:hAnsiTheme="majorHAnsi" w:cstheme="majorHAnsi"/>
          <w:i/>
        </w:rPr>
        <w:t xml:space="preserve"> </w:t>
      </w:r>
      <w:r w:rsidRPr="00215D4E">
        <w:rPr>
          <w:rFonts w:asciiTheme="majorHAnsi" w:hAnsiTheme="majorHAnsi" w:cstheme="majorHAnsi"/>
          <w:i/>
        </w:rPr>
        <w:t xml:space="preserve">This TOC was presented to the PMC on November 6, 2015 and did not receive additional comments on the updated TOC </w:t>
      </w:r>
      <w:r>
        <w:rPr>
          <w:rFonts w:asciiTheme="majorHAnsi" w:hAnsiTheme="majorHAnsi" w:cstheme="majorHAnsi"/>
          <w:i/>
        </w:rPr>
        <w:t>...</w:t>
      </w:r>
      <w:r w:rsidRPr="00215D4E">
        <w:rPr>
          <w:rFonts w:asciiTheme="majorHAnsi" w:hAnsiTheme="majorHAnsi" w:cstheme="majorHAnsi"/>
          <w:i/>
        </w:rPr>
        <w:t xml:space="preserve">” </w:t>
      </w:r>
      <w:r w:rsidRPr="008E11D8">
        <w:rPr>
          <w:rFonts w:asciiTheme="majorHAnsi" w:hAnsiTheme="majorHAnsi" w:cstheme="majorHAnsi"/>
        </w:rPr>
        <w:t xml:space="preserve">(Cardno Emerging Markets, SMPR </w:t>
      </w:r>
      <w:r>
        <w:rPr>
          <w:rFonts w:asciiTheme="majorHAnsi" w:hAnsiTheme="majorHAnsi" w:cstheme="majorHAnsi"/>
        </w:rPr>
        <w:t>3</w:t>
      </w:r>
      <w:r w:rsidRPr="008E11D8">
        <w:rPr>
          <w:rFonts w:asciiTheme="majorHAnsi" w:hAnsiTheme="majorHAnsi" w:cstheme="majorHAnsi"/>
        </w:rPr>
        <w:t xml:space="preserve">, p. </w:t>
      </w:r>
      <w:r>
        <w:rPr>
          <w:rFonts w:asciiTheme="majorHAnsi" w:hAnsiTheme="majorHAnsi" w:cstheme="majorHAnsi"/>
        </w:rPr>
        <w:t>2</w:t>
      </w:r>
      <w:r w:rsidRPr="008E11D8">
        <w:rPr>
          <w:rFonts w:asciiTheme="majorHAnsi" w:hAnsiTheme="majorHAnsi" w:cstheme="majorHAnsi"/>
        </w:rPr>
        <w:t>)</w:t>
      </w:r>
    </w:p>
    <w:p w14:paraId="5612582A" w14:textId="77777777" w:rsidR="008D0CAD" w:rsidRPr="00215D4E" w:rsidRDefault="008D0CAD" w:rsidP="009443E0">
      <w:pPr>
        <w:spacing w:before="100" w:beforeAutospacing="1" w:after="100" w:afterAutospacing="1" w:line="360" w:lineRule="auto"/>
        <w:rPr>
          <w:rFonts w:asciiTheme="majorHAnsi" w:hAnsiTheme="majorHAnsi" w:cstheme="majorHAnsi"/>
          <w:color w:val="000000" w:themeColor="text1"/>
        </w:rPr>
      </w:pPr>
      <w:r w:rsidRPr="007A6052">
        <w:rPr>
          <w:rFonts w:asciiTheme="majorHAnsi" w:hAnsiTheme="majorHAnsi" w:cstheme="majorHAnsi"/>
          <w:color w:val="000000" w:themeColor="text1"/>
        </w:rPr>
        <w:t>The revised TOC</w:t>
      </w:r>
      <w:r>
        <w:rPr>
          <w:rFonts w:asciiTheme="majorHAnsi" w:hAnsiTheme="majorHAnsi" w:cstheme="majorHAnsi"/>
          <w:color w:val="000000" w:themeColor="text1"/>
        </w:rPr>
        <w:t xml:space="preserve">, shown in Figure 2, </w:t>
      </w:r>
      <w:r w:rsidRPr="007A6052">
        <w:rPr>
          <w:rFonts w:asciiTheme="majorHAnsi" w:hAnsiTheme="majorHAnsi" w:cstheme="majorHAnsi"/>
          <w:color w:val="000000" w:themeColor="text1"/>
        </w:rPr>
        <w:t xml:space="preserve">presented three </w:t>
      </w:r>
      <w:r w:rsidRPr="00215D4E">
        <w:rPr>
          <w:rFonts w:asciiTheme="majorHAnsi" w:hAnsiTheme="majorHAnsi" w:cstheme="majorHAnsi"/>
          <w:color w:val="000000" w:themeColor="text1"/>
        </w:rPr>
        <w:t xml:space="preserve">Program Outcomes </w:t>
      </w:r>
      <w:r w:rsidRPr="007A6052">
        <w:rPr>
          <w:rFonts w:asciiTheme="majorHAnsi" w:hAnsiTheme="majorHAnsi" w:cstheme="majorHAnsi"/>
          <w:color w:val="000000" w:themeColor="text1"/>
        </w:rPr>
        <w:t>(</w:t>
      </w:r>
      <w:r w:rsidRPr="00215D4E">
        <w:rPr>
          <w:rFonts w:asciiTheme="majorHAnsi" w:hAnsiTheme="majorHAnsi" w:cstheme="majorHAnsi"/>
          <w:color w:val="000000" w:themeColor="text1"/>
        </w:rPr>
        <w:t>expected at the end of Year 6</w:t>
      </w:r>
      <w:r w:rsidRPr="007A6052">
        <w:rPr>
          <w:rFonts w:asciiTheme="majorHAnsi" w:hAnsiTheme="majorHAnsi" w:cstheme="majorHAnsi"/>
          <w:color w:val="000000" w:themeColor="text1"/>
        </w:rPr>
        <w:t xml:space="preserve">) and a total of nine Intermediate Outcomes </w:t>
      </w:r>
      <w:r w:rsidRPr="007A6052">
        <w:rPr>
          <w:rFonts w:asciiTheme="majorHAnsi" w:hAnsiTheme="majorHAnsi" w:cstheme="majorHAnsi"/>
        </w:rPr>
        <w:t xml:space="preserve">(Cardno Emerging Markets, SMPR 3, </w:t>
      </w:r>
      <w:r w:rsidRPr="007A6052">
        <w:rPr>
          <w:rFonts w:asciiTheme="majorHAnsi" w:hAnsiTheme="majorHAnsi" w:cstheme="majorHAnsi"/>
          <w:color w:val="000000" w:themeColor="text1"/>
        </w:rPr>
        <w:t>pp. 2-5):</w:t>
      </w:r>
    </w:p>
    <w:p w14:paraId="18CD2D82" w14:textId="77777777" w:rsidR="008D0CAD" w:rsidRPr="00215D4E" w:rsidRDefault="008D0CAD" w:rsidP="00DD08E3">
      <w:pPr>
        <w:numPr>
          <w:ilvl w:val="0"/>
          <w:numId w:val="60"/>
        </w:numPr>
        <w:spacing w:before="100" w:beforeAutospacing="1" w:after="100" w:afterAutospacing="1" w:line="360" w:lineRule="auto"/>
        <w:rPr>
          <w:rFonts w:asciiTheme="majorHAnsi" w:hAnsiTheme="majorHAnsi" w:cstheme="majorHAnsi"/>
          <w:color w:val="000000" w:themeColor="text1"/>
        </w:rPr>
      </w:pPr>
      <w:r w:rsidRPr="00215D4E">
        <w:rPr>
          <w:rFonts w:asciiTheme="majorHAnsi" w:hAnsiTheme="majorHAnsi" w:cstheme="majorHAnsi"/>
          <w:color w:val="000000" w:themeColor="text1"/>
        </w:rPr>
        <w:t xml:space="preserve">More children are able to demonstrate improved mastery of curriculum competencies in English, science, and mathematics, and difference in learning outcomes for boys and girls are reduced in target areas </w:t>
      </w:r>
    </w:p>
    <w:p w14:paraId="12579D6F" w14:textId="77777777" w:rsidR="008D0CAD" w:rsidRPr="00215D4E" w:rsidRDefault="008D0CAD" w:rsidP="00DD08E3">
      <w:pPr>
        <w:numPr>
          <w:ilvl w:val="0"/>
          <w:numId w:val="60"/>
        </w:numPr>
        <w:spacing w:before="100" w:beforeAutospacing="1" w:after="100" w:afterAutospacing="1" w:line="360" w:lineRule="auto"/>
        <w:rPr>
          <w:rFonts w:asciiTheme="majorHAnsi" w:hAnsiTheme="majorHAnsi" w:cstheme="majorHAnsi"/>
          <w:color w:val="000000" w:themeColor="text1"/>
        </w:rPr>
      </w:pPr>
      <w:r w:rsidRPr="00215D4E">
        <w:rPr>
          <w:rFonts w:asciiTheme="majorHAnsi" w:hAnsiTheme="majorHAnsi" w:cstheme="majorHAnsi"/>
          <w:color w:val="000000" w:themeColor="text1"/>
        </w:rPr>
        <w:t xml:space="preserve">More boys and girls participate in and complete basic education in target areas. </w:t>
      </w:r>
    </w:p>
    <w:p w14:paraId="463F708F" w14:textId="77777777" w:rsidR="008D0CAD" w:rsidRPr="007A6052" w:rsidRDefault="008D0CAD" w:rsidP="00DD08E3">
      <w:pPr>
        <w:numPr>
          <w:ilvl w:val="0"/>
          <w:numId w:val="60"/>
        </w:numPr>
        <w:spacing w:before="100" w:beforeAutospacing="1" w:after="100" w:afterAutospacing="1" w:line="360" w:lineRule="auto"/>
        <w:rPr>
          <w:rFonts w:asciiTheme="majorHAnsi" w:hAnsiTheme="majorHAnsi" w:cstheme="majorHAnsi"/>
          <w:color w:val="000000" w:themeColor="text1"/>
        </w:rPr>
      </w:pPr>
      <w:r w:rsidRPr="00215D4E">
        <w:rPr>
          <w:rFonts w:asciiTheme="majorHAnsi" w:hAnsiTheme="majorHAnsi" w:cstheme="majorHAnsi"/>
          <w:color w:val="000000" w:themeColor="text1"/>
        </w:rPr>
        <w:t>Better governance and management</w:t>
      </w:r>
      <w:r w:rsidRPr="007A6052">
        <w:rPr>
          <w:rFonts w:asciiTheme="majorHAnsi" w:hAnsiTheme="majorHAnsi" w:cstheme="majorHAnsi"/>
          <w:color w:val="000000" w:themeColor="text1"/>
        </w:rPr>
        <w:t xml:space="preserve"> (</w:t>
      </w:r>
      <w:r w:rsidRPr="00215D4E">
        <w:rPr>
          <w:rFonts w:asciiTheme="majorHAnsi" w:hAnsiTheme="majorHAnsi" w:cstheme="majorHAnsi"/>
          <w:color w:val="000000" w:themeColor="text1"/>
        </w:rPr>
        <w:t>The third outcome is a foundational outcome</w:t>
      </w:r>
      <w:r w:rsidRPr="007A6052">
        <w:rPr>
          <w:rFonts w:asciiTheme="majorHAnsi" w:hAnsiTheme="majorHAnsi" w:cstheme="majorHAnsi"/>
          <w:color w:val="000000" w:themeColor="text1"/>
        </w:rPr>
        <w:t>)</w:t>
      </w:r>
      <w:r w:rsidRPr="00215D4E">
        <w:rPr>
          <w:rFonts w:asciiTheme="majorHAnsi" w:hAnsiTheme="majorHAnsi" w:cstheme="majorHAnsi"/>
          <w:color w:val="000000" w:themeColor="text1"/>
        </w:rPr>
        <w:t xml:space="preserve">. </w:t>
      </w:r>
    </w:p>
    <w:p w14:paraId="0ACDF17F" w14:textId="77777777" w:rsidR="008D0CAD" w:rsidRPr="00215D4E" w:rsidRDefault="008D0CAD" w:rsidP="009443E0">
      <w:pPr>
        <w:spacing w:before="100" w:beforeAutospacing="1" w:after="100" w:afterAutospacing="1" w:line="360" w:lineRule="auto"/>
        <w:rPr>
          <w:rFonts w:asciiTheme="majorHAnsi" w:hAnsiTheme="majorHAnsi" w:cstheme="majorHAnsi"/>
          <w:color w:val="000000" w:themeColor="text1"/>
        </w:rPr>
      </w:pPr>
      <w:r w:rsidRPr="007A6052">
        <w:rPr>
          <w:rFonts w:asciiTheme="majorHAnsi" w:hAnsiTheme="majorHAnsi" w:cstheme="majorHAnsi"/>
          <w:color w:val="000000" w:themeColor="text1"/>
        </w:rPr>
        <w:t xml:space="preserve">Six </w:t>
      </w:r>
      <w:r w:rsidRPr="00215D4E">
        <w:rPr>
          <w:rFonts w:asciiTheme="majorHAnsi" w:hAnsiTheme="majorHAnsi" w:cstheme="majorHAnsi"/>
          <w:color w:val="000000" w:themeColor="text1"/>
        </w:rPr>
        <w:t>Intermediate Outcomes</w:t>
      </w:r>
      <w:r w:rsidRPr="007A6052">
        <w:rPr>
          <w:rFonts w:asciiTheme="majorHAnsi" w:hAnsiTheme="majorHAnsi" w:cstheme="majorHAnsi"/>
          <w:color w:val="000000" w:themeColor="text1"/>
        </w:rPr>
        <w:t xml:space="preserve"> were identified under the first Program Outcome</w:t>
      </w:r>
      <w:r>
        <w:rPr>
          <w:rFonts w:asciiTheme="majorHAnsi" w:hAnsiTheme="majorHAnsi" w:cstheme="majorHAnsi"/>
          <w:color w:val="000000" w:themeColor="text1"/>
        </w:rPr>
        <w:t xml:space="preserve"> </w:t>
      </w:r>
      <w:r w:rsidRPr="007A6052">
        <w:rPr>
          <w:rFonts w:asciiTheme="majorHAnsi" w:hAnsiTheme="majorHAnsi" w:cstheme="majorHAnsi"/>
          <w:color w:val="000000" w:themeColor="text1"/>
        </w:rPr>
        <w:t>(p. 4)</w:t>
      </w:r>
      <w:r>
        <w:rPr>
          <w:rFonts w:asciiTheme="majorHAnsi" w:hAnsiTheme="majorHAnsi" w:cstheme="majorHAnsi"/>
          <w:color w:val="000000" w:themeColor="text1"/>
        </w:rPr>
        <w:t>:</w:t>
      </w:r>
    </w:p>
    <w:p w14:paraId="19B65CEC" w14:textId="77777777" w:rsidR="008D0CAD" w:rsidRPr="007A6052" w:rsidRDefault="008D0CAD" w:rsidP="00DD08E3">
      <w:pPr>
        <w:numPr>
          <w:ilvl w:val="0"/>
          <w:numId w:val="58"/>
        </w:numPr>
        <w:spacing w:before="100" w:beforeAutospacing="1" w:after="100" w:afterAutospacing="1" w:line="360" w:lineRule="auto"/>
        <w:rPr>
          <w:rFonts w:asciiTheme="majorHAnsi" w:hAnsiTheme="majorHAnsi" w:cstheme="majorHAnsi"/>
          <w:color w:val="000000" w:themeColor="text1"/>
        </w:rPr>
      </w:pPr>
      <w:r w:rsidRPr="00215D4E">
        <w:rPr>
          <w:rFonts w:asciiTheme="majorHAnsi" w:hAnsiTheme="majorHAnsi" w:cstheme="majorHAnsi"/>
          <w:color w:val="000000" w:themeColor="text1"/>
        </w:rPr>
        <w:t>Teachers are better qualified and capable to deliver the curriculum</w:t>
      </w:r>
      <w:r w:rsidRPr="007A6052">
        <w:rPr>
          <w:rFonts w:asciiTheme="majorHAnsi" w:hAnsiTheme="majorHAnsi" w:cstheme="majorHAnsi"/>
          <w:color w:val="000000" w:themeColor="text1"/>
        </w:rPr>
        <w:t xml:space="preserve"> </w:t>
      </w:r>
    </w:p>
    <w:p w14:paraId="04177DAA" w14:textId="77777777" w:rsidR="008D0CAD" w:rsidRPr="007A6052" w:rsidRDefault="008D0CAD" w:rsidP="00DD08E3">
      <w:pPr>
        <w:numPr>
          <w:ilvl w:val="0"/>
          <w:numId w:val="58"/>
        </w:numPr>
        <w:spacing w:before="100" w:beforeAutospacing="1" w:after="100" w:afterAutospacing="1" w:line="360" w:lineRule="auto"/>
        <w:rPr>
          <w:rFonts w:asciiTheme="majorHAnsi" w:hAnsiTheme="majorHAnsi" w:cstheme="majorHAnsi"/>
          <w:color w:val="000000" w:themeColor="text1"/>
        </w:rPr>
      </w:pPr>
      <w:r w:rsidRPr="00215D4E">
        <w:rPr>
          <w:rFonts w:asciiTheme="majorHAnsi" w:hAnsiTheme="majorHAnsi" w:cstheme="majorHAnsi"/>
          <w:color w:val="000000" w:themeColor="text1"/>
        </w:rPr>
        <w:t>Education leaders and managers have strengthened capacity to improve learning outcomes for all boys and girls</w:t>
      </w:r>
    </w:p>
    <w:p w14:paraId="143C9184" w14:textId="28F9B005" w:rsidR="008D0CAD" w:rsidRPr="00215D4E" w:rsidRDefault="008D0CAD" w:rsidP="00DD08E3">
      <w:pPr>
        <w:numPr>
          <w:ilvl w:val="0"/>
          <w:numId w:val="58"/>
        </w:numPr>
        <w:spacing w:before="100" w:beforeAutospacing="1" w:after="100" w:afterAutospacing="1" w:line="360" w:lineRule="auto"/>
        <w:rPr>
          <w:rFonts w:asciiTheme="majorHAnsi" w:hAnsiTheme="majorHAnsi" w:cstheme="majorHAnsi"/>
          <w:color w:val="000000" w:themeColor="text1"/>
        </w:rPr>
      </w:pPr>
      <w:r w:rsidRPr="00215D4E">
        <w:rPr>
          <w:rFonts w:asciiTheme="majorHAnsi" w:hAnsiTheme="majorHAnsi" w:cstheme="majorHAnsi"/>
          <w:color w:val="000000" w:themeColor="text1"/>
        </w:rPr>
        <w:t>Curriculum and assessment at par with international standards.</w:t>
      </w:r>
      <w:r w:rsidR="00D434EB">
        <w:rPr>
          <w:rFonts w:asciiTheme="majorHAnsi" w:hAnsiTheme="majorHAnsi" w:cstheme="majorHAnsi"/>
          <w:color w:val="000000" w:themeColor="text1"/>
        </w:rPr>
        <w:t xml:space="preserve"> </w:t>
      </w:r>
    </w:p>
    <w:p w14:paraId="72A7359D" w14:textId="46E1A28A" w:rsidR="008D0CAD" w:rsidRPr="00215D4E" w:rsidRDefault="008D0CAD" w:rsidP="00DD08E3">
      <w:pPr>
        <w:numPr>
          <w:ilvl w:val="0"/>
          <w:numId w:val="58"/>
        </w:numPr>
        <w:spacing w:before="100" w:beforeAutospacing="1" w:after="100" w:afterAutospacing="1" w:line="360" w:lineRule="auto"/>
        <w:rPr>
          <w:rFonts w:asciiTheme="majorHAnsi" w:hAnsiTheme="majorHAnsi" w:cstheme="majorHAnsi"/>
          <w:color w:val="000000" w:themeColor="text1"/>
        </w:rPr>
      </w:pPr>
      <w:r w:rsidRPr="00215D4E">
        <w:rPr>
          <w:rFonts w:asciiTheme="majorHAnsi" w:hAnsiTheme="majorHAnsi" w:cstheme="majorHAnsi"/>
          <w:color w:val="000000" w:themeColor="text1"/>
        </w:rPr>
        <w:t>Appropriate learning and teaching materials are available and more accessible.</w:t>
      </w:r>
      <w:r w:rsidR="00D434EB">
        <w:rPr>
          <w:rFonts w:asciiTheme="majorHAnsi" w:hAnsiTheme="majorHAnsi" w:cstheme="majorHAnsi"/>
          <w:color w:val="000000" w:themeColor="text1"/>
        </w:rPr>
        <w:t xml:space="preserve"> </w:t>
      </w:r>
    </w:p>
    <w:p w14:paraId="13C0BEE0" w14:textId="0A4BFDB6" w:rsidR="008D0CAD" w:rsidRPr="00215D4E" w:rsidRDefault="008D0CAD" w:rsidP="00DD08E3">
      <w:pPr>
        <w:numPr>
          <w:ilvl w:val="0"/>
          <w:numId w:val="58"/>
        </w:numPr>
        <w:spacing w:before="100" w:beforeAutospacing="1" w:after="100" w:afterAutospacing="1" w:line="360" w:lineRule="auto"/>
        <w:rPr>
          <w:rFonts w:asciiTheme="majorHAnsi" w:hAnsiTheme="majorHAnsi" w:cstheme="majorHAnsi"/>
          <w:color w:val="000000" w:themeColor="text1"/>
        </w:rPr>
      </w:pPr>
      <w:r w:rsidRPr="00215D4E">
        <w:rPr>
          <w:rFonts w:asciiTheme="majorHAnsi" w:hAnsiTheme="majorHAnsi" w:cstheme="majorHAnsi"/>
          <w:color w:val="000000" w:themeColor="text1"/>
        </w:rPr>
        <w:t>Education facilities built according to standards and in appropriate places.</w:t>
      </w:r>
      <w:r w:rsidR="00D434EB">
        <w:rPr>
          <w:rFonts w:asciiTheme="majorHAnsi" w:hAnsiTheme="majorHAnsi" w:cstheme="majorHAnsi"/>
          <w:color w:val="000000" w:themeColor="text1"/>
        </w:rPr>
        <w:t xml:space="preserve"> </w:t>
      </w:r>
    </w:p>
    <w:p w14:paraId="64674E25" w14:textId="58F51FB1" w:rsidR="008D0CAD" w:rsidRPr="007A6052" w:rsidRDefault="008D0CAD" w:rsidP="00DD08E3">
      <w:pPr>
        <w:numPr>
          <w:ilvl w:val="0"/>
          <w:numId w:val="58"/>
        </w:numPr>
        <w:spacing w:before="100" w:beforeAutospacing="1" w:after="100" w:afterAutospacing="1" w:line="360" w:lineRule="auto"/>
        <w:rPr>
          <w:rFonts w:asciiTheme="majorHAnsi" w:hAnsiTheme="majorHAnsi" w:cstheme="majorHAnsi"/>
          <w:color w:val="000000" w:themeColor="text1"/>
        </w:rPr>
      </w:pPr>
      <w:r w:rsidRPr="00215D4E">
        <w:rPr>
          <w:rFonts w:asciiTheme="majorHAnsi" w:hAnsiTheme="majorHAnsi" w:cstheme="majorHAnsi"/>
          <w:color w:val="000000" w:themeColor="text1"/>
        </w:rPr>
        <w:t>Basic education system more inclusive.</w:t>
      </w:r>
      <w:r w:rsidR="00D434EB">
        <w:rPr>
          <w:rFonts w:asciiTheme="majorHAnsi" w:hAnsiTheme="majorHAnsi" w:cstheme="majorHAnsi"/>
          <w:color w:val="000000" w:themeColor="text1"/>
        </w:rPr>
        <w:t xml:space="preserve"> </w:t>
      </w:r>
      <w:r w:rsidRPr="00215D4E">
        <w:rPr>
          <w:rFonts w:asciiTheme="majorHAnsi" w:hAnsiTheme="majorHAnsi" w:cstheme="majorHAnsi"/>
          <w:color w:val="000000" w:themeColor="text1"/>
        </w:rPr>
        <w:t xml:space="preserve"> </w:t>
      </w:r>
    </w:p>
    <w:p w14:paraId="6A2DD92D" w14:textId="77777777" w:rsidR="008D0CAD" w:rsidRPr="00215D4E" w:rsidRDefault="008D0CAD" w:rsidP="009443E0">
      <w:pPr>
        <w:spacing w:before="100" w:beforeAutospacing="1" w:after="100" w:afterAutospacing="1" w:line="360" w:lineRule="auto"/>
        <w:rPr>
          <w:rFonts w:asciiTheme="majorHAnsi" w:hAnsiTheme="majorHAnsi" w:cstheme="majorHAnsi"/>
          <w:color w:val="000000" w:themeColor="text1"/>
        </w:rPr>
      </w:pPr>
      <w:r w:rsidRPr="007A6052">
        <w:rPr>
          <w:rFonts w:asciiTheme="majorHAnsi" w:hAnsiTheme="majorHAnsi" w:cstheme="majorHAnsi"/>
          <w:color w:val="000000" w:themeColor="text1"/>
        </w:rPr>
        <w:t xml:space="preserve">Three </w:t>
      </w:r>
      <w:r w:rsidRPr="00215D4E">
        <w:rPr>
          <w:rFonts w:asciiTheme="majorHAnsi" w:hAnsiTheme="majorHAnsi" w:cstheme="majorHAnsi"/>
          <w:color w:val="000000" w:themeColor="text1"/>
        </w:rPr>
        <w:t xml:space="preserve">Intermediate Outcomes </w:t>
      </w:r>
      <w:r w:rsidRPr="007A6052">
        <w:rPr>
          <w:rFonts w:asciiTheme="majorHAnsi" w:hAnsiTheme="majorHAnsi" w:cstheme="majorHAnsi"/>
          <w:color w:val="000000" w:themeColor="text1"/>
        </w:rPr>
        <w:t>were identified for the second Program Outcome (p. 5)</w:t>
      </w:r>
      <w:r>
        <w:rPr>
          <w:rFonts w:asciiTheme="majorHAnsi" w:hAnsiTheme="majorHAnsi" w:cstheme="majorHAnsi"/>
          <w:color w:val="000000" w:themeColor="text1"/>
        </w:rPr>
        <w:t>:</w:t>
      </w:r>
    </w:p>
    <w:p w14:paraId="7BF17739" w14:textId="77777777" w:rsidR="008D0CAD" w:rsidRPr="007A6052" w:rsidRDefault="008D0CAD" w:rsidP="00DD08E3">
      <w:pPr>
        <w:numPr>
          <w:ilvl w:val="0"/>
          <w:numId w:val="59"/>
        </w:numPr>
        <w:spacing w:before="100" w:beforeAutospacing="1" w:after="100" w:afterAutospacing="1" w:line="360" w:lineRule="auto"/>
        <w:rPr>
          <w:rFonts w:asciiTheme="majorHAnsi" w:hAnsiTheme="majorHAnsi" w:cstheme="majorHAnsi"/>
          <w:color w:val="000000" w:themeColor="text1"/>
        </w:rPr>
      </w:pPr>
      <w:r w:rsidRPr="00215D4E">
        <w:rPr>
          <w:rFonts w:asciiTheme="majorHAnsi" w:hAnsiTheme="majorHAnsi" w:cstheme="majorHAnsi"/>
          <w:color w:val="000000" w:themeColor="text1"/>
        </w:rPr>
        <w:t xml:space="preserve">Improved capacity of DepEd to manage education in a decentralised setting. </w:t>
      </w:r>
    </w:p>
    <w:p w14:paraId="7977CAC7" w14:textId="77777777" w:rsidR="008D0CAD" w:rsidRPr="00215D4E" w:rsidRDefault="008D0CAD" w:rsidP="00DD08E3">
      <w:pPr>
        <w:numPr>
          <w:ilvl w:val="0"/>
          <w:numId w:val="59"/>
        </w:numPr>
        <w:spacing w:before="100" w:beforeAutospacing="1" w:after="100" w:afterAutospacing="1" w:line="360" w:lineRule="auto"/>
        <w:rPr>
          <w:rFonts w:asciiTheme="majorHAnsi" w:hAnsiTheme="majorHAnsi" w:cstheme="majorHAnsi"/>
          <w:color w:val="000000" w:themeColor="text1"/>
        </w:rPr>
      </w:pPr>
      <w:r w:rsidRPr="00215D4E">
        <w:rPr>
          <w:rFonts w:asciiTheme="majorHAnsi" w:hAnsiTheme="majorHAnsi" w:cstheme="majorHAnsi"/>
          <w:color w:val="000000" w:themeColor="text1"/>
        </w:rPr>
        <w:t xml:space="preserve">Increased levels of competency of DepEd staff. </w:t>
      </w:r>
    </w:p>
    <w:p w14:paraId="03AB24EA" w14:textId="77777777" w:rsidR="008D0CAD" w:rsidRPr="007A6052" w:rsidRDefault="008D0CAD" w:rsidP="00DD08E3">
      <w:pPr>
        <w:numPr>
          <w:ilvl w:val="0"/>
          <w:numId w:val="59"/>
        </w:numPr>
        <w:spacing w:before="100" w:beforeAutospacing="1" w:after="100" w:afterAutospacing="1" w:line="360" w:lineRule="auto"/>
        <w:rPr>
          <w:rFonts w:asciiTheme="majorHAnsi" w:hAnsiTheme="majorHAnsi" w:cstheme="majorHAnsi"/>
          <w:color w:val="000000" w:themeColor="text1"/>
        </w:rPr>
      </w:pPr>
      <w:r w:rsidRPr="00215D4E">
        <w:rPr>
          <w:rFonts w:asciiTheme="majorHAnsi" w:hAnsiTheme="majorHAnsi" w:cstheme="majorHAnsi"/>
          <w:color w:val="000000" w:themeColor="text1"/>
        </w:rPr>
        <w:t xml:space="preserve">Improved and sustained practices. </w:t>
      </w:r>
    </w:p>
    <w:p w14:paraId="29905E34" w14:textId="77777777" w:rsidR="008D0CAD" w:rsidRDefault="008D0CAD" w:rsidP="009443E0">
      <w:pPr>
        <w:pStyle w:val="Default"/>
        <w:spacing w:before="100" w:beforeAutospacing="1" w:after="100" w:afterAutospacing="1" w:line="360" w:lineRule="auto"/>
        <w:rPr>
          <w:rFonts w:asciiTheme="majorHAnsi" w:hAnsiTheme="majorHAnsi" w:cstheme="majorHAnsi"/>
        </w:rPr>
      </w:pPr>
      <w:r>
        <w:rPr>
          <w:rFonts w:asciiTheme="majorHAnsi" w:hAnsiTheme="majorHAnsi" w:cstheme="majorHAnsi"/>
        </w:rPr>
        <w:t>Every implementation year, the BEST Program TOC was reviewed as illustrated below:</w:t>
      </w:r>
    </w:p>
    <w:p w14:paraId="227AB9CC" w14:textId="77777777" w:rsidR="008D0CAD" w:rsidRPr="00916962" w:rsidRDefault="008D0CAD" w:rsidP="002320B3">
      <w:pPr>
        <w:pStyle w:val="Default"/>
        <w:spacing w:after="120"/>
        <w:ind w:left="432" w:right="432"/>
        <w:rPr>
          <w:rFonts w:asciiTheme="majorHAnsi" w:hAnsiTheme="majorHAnsi" w:cstheme="majorHAnsi"/>
          <w:i/>
          <w:color w:val="000000" w:themeColor="text1"/>
        </w:rPr>
      </w:pPr>
      <w:r w:rsidRPr="00916962">
        <w:rPr>
          <w:rFonts w:asciiTheme="majorHAnsi" w:hAnsiTheme="majorHAnsi" w:cstheme="majorHAnsi"/>
          <w:i/>
        </w:rPr>
        <w:t xml:space="preserve">“In August 2016, Cardno and BEST commenced an internal review of the BEST program, but with changes in key personnel the substantive pieces of that work were delivered during this reporting period. The review assessed whether the BEST Theory of Change (ToC) and Monitoring and Evaluation Framework (MEF), particularly the Results Framework, were appropriate to changing circumstances” (Cardno Emerging Markets, SMPR 6, </w:t>
      </w:r>
      <w:r w:rsidRPr="00916962">
        <w:rPr>
          <w:rFonts w:asciiTheme="majorHAnsi" w:hAnsiTheme="majorHAnsi" w:cstheme="majorHAnsi"/>
          <w:i/>
          <w:color w:val="000000" w:themeColor="text1"/>
        </w:rPr>
        <w:t>p. 21).</w:t>
      </w:r>
    </w:p>
    <w:p w14:paraId="593696D5" w14:textId="77777777" w:rsidR="008D0CAD" w:rsidRPr="00916962" w:rsidRDefault="008D0CAD" w:rsidP="002320B3">
      <w:pPr>
        <w:pStyle w:val="Default"/>
        <w:spacing w:after="120"/>
        <w:ind w:left="432" w:right="432"/>
        <w:rPr>
          <w:rFonts w:asciiTheme="majorHAnsi" w:hAnsiTheme="majorHAnsi" w:cstheme="majorHAnsi"/>
          <w:i/>
          <w:color w:val="000000" w:themeColor="text1"/>
        </w:rPr>
      </w:pPr>
      <w:r w:rsidRPr="00916962">
        <w:rPr>
          <w:rFonts w:asciiTheme="majorHAnsi" w:hAnsiTheme="majorHAnsi" w:cstheme="majorHAnsi"/>
          <w:i/>
        </w:rPr>
        <w:t xml:space="preserve">“Towards the end of Annual Plan 2016–2017 (AP3) the theory of change was updated to reflect changes to the program at output level as well as to consolidate the original intermediate outcomes into a practical framework for performance-based monitoring and evaluation. The updated theory of change is shown in Volume 2, Annex 2” (Cardno Emerging Markets, SMPR 7, </w:t>
      </w:r>
      <w:r w:rsidRPr="00916962">
        <w:rPr>
          <w:rFonts w:asciiTheme="majorHAnsi" w:hAnsiTheme="majorHAnsi" w:cstheme="majorHAnsi"/>
          <w:i/>
          <w:color w:val="000000" w:themeColor="text1"/>
        </w:rPr>
        <w:t>p. 1).</w:t>
      </w:r>
    </w:p>
    <w:p w14:paraId="5CB032ED" w14:textId="77777777" w:rsidR="008D0CAD" w:rsidRDefault="008D0CAD" w:rsidP="002320B3">
      <w:pPr>
        <w:rPr>
          <w:rFonts w:asciiTheme="majorHAnsi" w:hAnsiTheme="majorHAnsi" w:cstheme="majorHAnsi"/>
        </w:rPr>
      </w:pPr>
    </w:p>
    <w:p w14:paraId="6E9EA814" w14:textId="77777777" w:rsidR="008D0CAD" w:rsidRDefault="008D0CAD" w:rsidP="002320B3">
      <w:pPr>
        <w:rPr>
          <w:rFonts w:asciiTheme="majorHAnsi" w:hAnsiTheme="majorHAnsi" w:cstheme="majorHAnsi"/>
        </w:rPr>
        <w:sectPr w:rsidR="008D0CAD" w:rsidSect="009C64E9">
          <w:pgSz w:w="11900" w:h="16840"/>
          <w:pgMar w:top="1440" w:right="1440" w:bottom="1440" w:left="1440" w:header="720" w:footer="720" w:gutter="0"/>
          <w:cols w:space="720"/>
          <w:docGrid w:linePitch="360"/>
        </w:sectPr>
      </w:pPr>
    </w:p>
    <w:p w14:paraId="57A2FC61" w14:textId="77777777" w:rsidR="008D0CAD" w:rsidRDefault="008D0CAD" w:rsidP="002320B3">
      <w:pPr>
        <w:rPr>
          <w:rFonts w:asciiTheme="majorHAnsi" w:hAnsiTheme="majorHAnsi" w:cstheme="majorHAnsi"/>
        </w:rPr>
      </w:pPr>
    </w:p>
    <w:p w14:paraId="22B8EB7C" w14:textId="77777777" w:rsidR="008D0CAD" w:rsidRPr="00C54F00" w:rsidRDefault="008D0CAD" w:rsidP="002320B3">
      <w:pPr>
        <w:ind w:firstLine="720"/>
        <w:rPr>
          <w:rFonts w:asciiTheme="majorHAnsi" w:hAnsiTheme="majorHAnsi" w:cstheme="majorHAnsi"/>
          <w:b/>
        </w:rPr>
      </w:pPr>
      <w:r>
        <w:rPr>
          <w:rFonts w:asciiTheme="majorHAnsi" w:hAnsiTheme="majorHAnsi" w:cstheme="majorHAnsi"/>
          <w:b/>
        </w:rPr>
        <w:t>Figure 2. Updated</w:t>
      </w:r>
      <w:r w:rsidRPr="00C54F00">
        <w:rPr>
          <w:rFonts w:asciiTheme="majorHAnsi" w:hAnsiTheme="majorHAnsi" w:cstheme="majorHAnsi"/>
          <w:b/>
        </w:rPr>
        <w:t xml:space="preserve"> Theory of Change</w:t>
      </w:r>
    </w:p>
    <w:p w14:paraId="2B2EAA26" w14:textId="77777777" w:rsidR="008D0CAD" w:rsidRDefault="008D0CAD" w:rsidP="002320B3">
      <w:pPr>
        <w:rPr>
          <w:color w:val="0070C0"/>
        </w:rPr>
      </w:pPr>
    </w:p>
    <w:p w14:paraId="38422CD3" w14:textId="77777777" w:rsidR="008D0CAD" w:rsidRDefault="008D0CAD" w:rsidP="002320B3">
      <w:pPr>
        <w:rPr>
          <w:rFonts w:asciiTheme="majorHAnsi" w:hAnsiTheme="majorHAnsi" w:cstheme="majorHAnsi"/>
          <w:b/>
        </w:rPr>
      </w:pPr>
      <w:r>
        <w:rPr>
          <w:rFonts w:asciiTheme="majorHAnsi" w:hAnsiTheme="majorHAnsi" w:cstheme="majorHAnsi"/>
          <w:b/>
          <w:noProof/>
          <w:lang w:val="en-AU" w:eastAsia="en-AU"/>
        </w:rPr>
        <w:drawing>
          <wp:inline distT="0" distB="0" distL="0" distR="0" wp14:anchorId="2FB74063" wp14:editId="242DE58A">
            <wp:extent cx="9618133" cy="5174403"/>
            <wp:effectExtent l="0" t="0" r="0" b="0"/>
            <wp:docPr id="6" name="Picture 6" descr="Diagram of Updated Theory of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of Updated Theory of Change"/>
                    <pic:cNvPicPr/>
                  </pic:nvPicPr>
                  <pic:blipFill rotWithShape="1">
                    <a:blip r:embed="rId58" cstate="print">
                      <a:extLst>
                        <a:ext uri="{28A0092B-C50C-407E-A947-70E740481C1C}">
                          <a14:useLocalDpi xmlns:a14="http://schemas.microsoft.com/office/drawing/2010/main" val="0"/>
                        </a:ext>
                      </a:extLst>
                    </a:blip>
                    <a:srcRect t="6074" b="7849"/>
                    <a:stretch/>
                  </pic:blipFill>
                  <pic:spPr bwMode="auto">
                    <a:xfrm>
                      <a:off x="0" y="0"/>
                      <a:ext cx="9629296" cy="5180408"/>
                    </a:xfrm>
                    <a:prstGeom prst="rect">
                      <a:avLst/>
                    </a:prstGeom>
                    <a:ln>
                      <a:noFill/>
                    </a:ln>
                    <a:extLst>
                      <a:ext uri="{53640926-AAD7-44D8-BBD7-CCE9431645EC}">
                        <a14:shadowObscured xmlns:a14="http://schemas.microsoft.com/office/drawing/2010/main"/>
                      </a:ext>
                    </a:extLst>
                  </pic:spPr>
                </pic:pic>
              </a:graphicData>
            </a:graphic>
          </wp:inline>
        </w:drawing>
      </w:r>
    </w:p>
    <w:p w14:paraId="5DBE7D42" w14:textId="77777777" w:rsidR="008D0CAD" w:rsidRDefault="008D0CAD" w:rsidP="002320B3">
      <w:pPr>
        <w:rPr>
          <w:rFonts w:asciiTheme="majorHAnsi" w:hAnsiTheme="majorHAnsi" w:cstheme="majorHAnsi"/>
          <w:b/>
        </w:rPr>
      </w:pPr>
    </w:p>
    <w:p w14:paraId="6FD82850" w14:textId="77777777" w:rsidR="008D0CAD" w:rsidRPr="00916962" w:rsidRDefault="008D0CAD" w:rsidP="002320B3">
      <w:pPr>
        <w:rPr>
          <w:rFonts w:asciiTheme="majorHAnsi" w:hAnsiTheme="majorHAnsi" w:cstheme="majorHAnsi"/>
          <w:i/>
        </w:rPr>
      </w:pPr>
      <w:r w:rsidRPr="00C54F00">
        <w:rPr>
          <w:rFonts w:asciiTheme="majorHAnsi" w:hAnsiTheme="majorHAnsi" w:cstheme="majorHAnsi"/>
          <w:i/>
        </w:rPr>
        <w:t xml:space="preserve">Source: </w:t>
      </w:r>
      <w:r w:rsidRPr="00916962">
        <w:rPr>
          <w:rFonts w:asciiTheme="majorHAnsi" w:hAnsiTheme="majorHAnsi" w:cstheme="majorHAnsi"/>
          <w:i/>
        </w:rPr>
        <w:t>Cardno Emerging Markets, SMPR 3, p. 2</w:t>
      </w:r>
    </w:p>
    <w:p w14:paraId="528F6F03" w14:textId="77777777" w:rsidR="008D0CAD" w:rsidRDefault="008D0CAD" w:rsidP="002320B3">
      <w:pPr>
        <w:rPr>
          <w:rFonts w:asciiTheme="majorHAnsi" w:hAnsiTheme="majorHAnsi" w:cstheme="majorHAnsi"/>
        </w:rPr>
        <w:sectPr w:rsidR="008D0CAD" w:rsidSect="009C64E9">
          <w:pgSz w:w="16840" w:h="11900" w:orient="landscape"/>
          <w:pgMar w:top="720" w:right="720" w:bottom="720" w:left="720" w:header="720" w:footer="720" w:gutter="0"/>
          <w:cols w:space="720"/>
          <w:docGrid w:linePitch="360"/>
        </w:sectPr>
      </w:pPr>
    </w:p>
    <w:p w14:paraId="63A299EF" w14:textId="77777777" w:rsidR="008D0CAD" w:rsidRDefault="008D0CAD" w:rsidP="009443E0">
      <w:pPr>
        <w:pStyle w:val="Default"/>
        <w:spacing w:before="100" w:beforeAutospacing="1" w:after="100" w:afterAutospacing="1" w:line="360" w:lineRule="auto"/>
        <w:rPr>
          <w:rFonts w:asciiTheme="majorHAnsi" w:hAnsiTheme="majorHAnsi" w:cstheme="majorHAnsi"/>
        </w:rPr>
      </w:pPr>
      <w:r>
        <w:rPr>
          <w:rFonts w:asciiTheme="majorHAnsi" w:hAnsiTheme="majorHAnsi" w:cstheme="majorHAnsi"/>
        </w:rPr>
        <w:t>The final version of the Program TOC, shown in Figure 3, made at the end of 2017 and stated that:</w:t>
      </w:r>
    </w:p>
    <w:p w14:paraId="6FF8497A" w14:textId="77777777" w:rsidR="008D0CAD" w:rsidRPr="00DD6191" w:rsidRDefault="008D0CAD" w:rsidP="002320B3">
      <w:pPr>
        <w:pStyle w:val="Default"/>
        <w:spacing w:after="120"/>
        <w:ind w:left="432" w:right="432"/>
        <w:rPr>
          <w:rFonts w:asciiTheme="majorHAnsi" w:hAnsiTheme="majorHAnsi" w:cstheme="majorHAnsi"/>
          <w:i/>
          <w:color w:val="000000" w:themeColor="text1"/>
        </w:rPr>
      </w:pPr>
      <w:r w:rsidRPr="00DD6191">
        <w:rPr>
          <w:rFonts w:asciiTheme="majorHAnsi" w:hAnsiTheme="majorHAnsi" w:cstheme="majorHAnsi"/>
          <w:i/>
        </w:rPr>
        <w:t xml:space="preserve">“… the logic of the updated Theory of Change, namely, that if strategic interventions to improve and strengthen: </w:t>
      </w:r>
    </w:p>
    <w:p w14:paraId="2327BD7D" w14:textId="77777777" w:rsidR="008D0CAD" w:rsidRPr="00DD6191" w:rsidRDefault="008D0CAD" w:rsidP="00DD08E3">
      <w:pPr>
        <w:pStyle w:val="NormalWeb"/>
        <w:numPr>
          <w:ilvl w:val="0"/>
          <w:numId w:val="61"/>
        </w:numPr>
        <w:spacing w:line="360" w:lineRule="auto"/>
        <w:ind w:right="431"/>
        <w:rPr>
          <w:rFonts w:asciiTheme="majorHAnsi" w:hAnsiTheme="majorHAnsi" w:cstheme="majorHAnsi"/>
          <w:i/>
        </w:rPr>
      </w:pPr>
      <w:r w:rsidRPr="00DD6191">
        <w:rPr>
          <w:rFonts w:asciiTheme="majorHAnsi" w:hAnsiTheme="majorHAnsi" w:cstheme="majorHAnsi"/>
          <w:i/>
        </w:rPr>
        <w:t>the quality of teacher education</w:t>
      </w:r>
    </w:p>
    <w:p w14:paraId="469D3B1A" w14:textId="77777777" w:rsidR="008D0CAD" w:rsidRPr="00DD6191" w:rsidRDefault="008D0CAD" w:rsidP="00DD08E3">
      <w:pPr>
        <w:pStyle w:val="NormalWeb"/>
        <w:numPr>
          <w:ilvl w:val="0"/>
          <w:numId w:val="61"/>
        </w:numPr>
        <w:spacing w:line="360" w:lineRule="auto"/>
        <w:ind w:right="431"/>
        <w:rPr>
          <w:rFonts w:asciiTheme="majorHAnsi" w:hAnsiTheme="majorHAnsi" w:cstheme="majorHAnsi"/>
          <w:i/>
        </w:rPr>
      </w:pPr>
      <w:r w:rsidRPr="00DD6191">
        <w:rPr>
          <w:rFonts w:asciiTheme="majorHAnsi" w:hAnsiTheme="majorHAnsi" w:cstheme="majorHAnsi"/>
          <w:i/>
        </w:rPr>
        <w:t xml:space="preserve">the accessibility and availability of educational facilities and learning resources </w:t>
      </w:r>
    </w:p>
    <w:p w14:paraId="18F1345B" w14:textId="77777777" w:rsidR="008D0CAD" w:rsidRPr="00DD6191" w:rsidRDefault="008D0CAD" w:rsidP="00DD08E3">
      <w:pPr>
        <w:pStyle w:val="NormalWeb"/>
        <w:numPr>
          <w:ilvl w:val="0"/>
          <w:numId w:val="61"/>
        </w:numPr>
        <w:spacing w:line="360" w:lineRule="auto"/>
        <w:ind w:right="431"/>
        <w:rPr>
          <w:rFonts w:asciiTheme="majorHAnsi" w:hAnsiTheme="majorHAnsi" w:cstheme="majorHAnsi"/>
          <w:i/>
        </w:rPr>
      </w:pPr>
      <w:r w:rsidRPr="00DD6191">
        <w:rPr>
          <w:rFonts w:asciiTheme="majorHAnsi" w:hAnsiTheme="majorHAnsi" w:cstheme="majorHAnsi"/>
          <w:i/>
        </w:rPr>
        <w:t>the inclusiveness of education and gender equity</w:t>
      </w:r>
    </w:p>
    <w:p w14:paraId="78724DB6" w14:textId="77777777" w:rsidR="008D0CAD" w:rsidRPr="00DD6191" w:rsidRDefault="008D0CAD" w:rsidP="00DD08E3">
      <w:pPr>
        <w:pStyle w:val="NormalWeb"/>
        <w:numPr>
          <w:ilvl w:val="0"/>
          <w:numId w:val="61"/>
        </w:numPr>
        <w:spacing w:line="360" w:lineRule="auto"/>
        <w:ind w:right="431"/>
        <w:rPr>
          <w:rFonts w:asciiTheme="majorHAnsi" w:hAnsiTheme="majorHAnsi" w:cstheme="majorHAnsi"/>
          <w:i/>
        </w:rPr>
      </w:pPr>
      <w:r w:rsidRPr="00DD6191">
        <w:rPr>
          <w:rFonts w:asciiTheme="majorHAnsi" w:hAnsiTheme="majorHAnsi" w:cstheme="majorHAnsi"/>
          <w:i/>
        </w:rPr>
        <w:t>education management</w:t>
      </w:r>
    </w:p>
    <w:p w14:paraId="541C4A55" w14:textId="77777777" w:rsidR="008D0CAD" w:rsidRPr="00DD6191" w:rsidRDefault="008D0CAD" w:rsidP="00DD08E3">
      <w:pPr>
        <w:pStyle w:val="NormalWeb"/>
        <w:numPr>
          <w:ilvl w:val="0"/>
          <w:numId w:val="61"/>
        </w:numPr>
        <w:spacing w:line="360" w:lineRule="auto"/>
        <w:ind w:right="431"/>
        <w:rPr>
          <w:rFonts w:asciiTheme="majorHAnsi" w:hAnsiTheme="majorHAnsi" w:cstheme="majorHAnsi"/>
          <w:i/>
        </w:rPr>
      </w:pPr>
      <w:r w:rsidRPr="00DD6191">
        <w:rPr>
          <w:rFonts w:asciiTheme="majorHAnsi" w:hAnsiTheme="majorHAnsi" w:cstheme="majorHAnsi"/>
          <w:i/>
        </w:rPr>
        <w:t>the government, organisation structure; and information systems</w:t>
      </w:r>
    </w:p>
    <w:p w14:paraId="5C5C8B99" w14:textId="77777777" w:rsidR="008D0CAD" w:rsidRPr="00FC040D" w:rsidRDefault="008D0CAD" w:rsidP="00DD08E3">
      <w:pPr>
        <w:pStyle w:val="NormalWeb"/>
        <w:numPr>
          <w:ilvl w:val="0"/>
          <w:numId w:val="61"/>
        </w:numPr>
        <w:spacing w:line="360" w:lineRule="auto"/>
        <w:ind w:right="431"/>
        <w:rPr>
          <w:rFonts w:asciiTheme="majorHAnsi" w:hAnsiTheme="majorHAnsi" w:cstheme="majorHAnsi"/>
        </w:rPr>
      </w:pPr>
      <w:r w:rsidRPr="00DD6191">
        <w:rPr>
          <w:rFonts w:asciiTheme="majorHAnsi" w:hAnsiTheme="majorHAnsi" w:cstheme="majorHAnsi"/>
          <w:i/>
        </w:rPr>
        <w:t>spending efficiency and resource allocation</w:t>
      </w:r>
      <w:r w:rsidRPr="00FC040D">
        <w:rPr>
          <w:rFonts w:asciiTheme="majorHAnsi" w:hAnsiTheme="majorHAnsi" w:cstheme="majorHAnsi"/>
        </w:rPr>
        <w:t xml:space="preserve"> </w:t>
      </w:r>
    </w:p>
    <w:p w14:paraId="65645BEC" w14:textId="77777777" w:rsidR="008D0CAD" w:rsidRPr="00DD6191" w:rsidRDefault="008D0CAD" w:rsidP="009443E0">
      <w:pPr>
        <w:pStyle w:val="NormalWeb"/>
        <w:spacing w:line="360" w:lineRule="auto"/>
        <w:ind w:left="432" w:right="431"/>
        <w:rPr>
          <w:rFonts w:asciiTheme="majorHAnsi" w:hAnsiTheme="majorHAnsi" w:cstheme="majorHAnsi"/>
          <w:i/>
        </w:rPr>
      </w:pPr>
      <w:r w:rsidRPr="00DD6191">
        <w:rPr>
          <w:rFonts w:asciiTheme="majorHAnsi" w:hAnsiTheme="majorHAnsi" w:cstheme="majorHAnsi"/>
          <w:i/>
        </w:rPr>
        <w:t xml:space="preserve">are made, then DepEd at all levels will deliver better teaching and learning environments that will attract more children to participate and complete schooling and attain better learning outcomes. </w:t>
      </w:r>
    </w:p>
    <w:p w14:paraId="562769CA" w14:textId="77777777" w:rsidR="008D0CAD" w:rsidRDefault="008D0CAD" w:rsidP="009443E0">
      <w:pPr>
        <w:spacing w:before="100" w:beforeAutospacing="1" w:after="100" w:afterAutospacing="1" w:line="360" w:lineRule="auto"/>
        <w:ind w:left="432" w:right="431"/>
        <w:rPr>
          <w:rFonts w:asciiTheme="majorHAnsi" w:hAnsiTheme="majorHAnsi" w:cstheme="majorHAnsi"/>
          <w:b/>
        </w:rPr>
      </w:pPr>
      <w:r w:rsidRPr="00DD6191">
        <w:rPr>
          <w:rFonts w:asciiTheme="majorHAnsi" w:hAnsiTheme="majorHAnsi" w:cstheme="majorHAnsi"/>
          <w:i/>
        </w:rPr>
        <w:t>The program for this current phase adds to, consolidates and systemically embeds BEST achievements in all these six determinants of improved and more inclusive learning outcomes</w:t>
      </w:r>
      <w:r>
        <w:rPr>
          <w:rFonts w:asciiTheme="majorHAnsi" w:hAnsiTheme="majorHAnsi" w:cstheme="majorHAnsi"/>
        </w:rPr>
        <w:t xml:space="preserve">” </w:t>
      </w:r>
      <w:r w:rsidRPr="00FC040D">
        <w:rPr>
          <w:rFonts w:asciiTheme="majorHAnsi" w:hAnsiTheme="majorHAnsi" w:cstheme="majorHAnsi"/>
          <w:color w:val="000000"/>
        </w:rPr>
        <w:t>(</w:t>
      </w:r>
      <w:r w:rsidRPr="00FC040D">
        <w:rPr>
          <w:rFonts w:asciiTheme="majorHAnsi" w:hAnsiTheme="majorHAnsi" w:cstheme="majorHAnsi"/>
        </w:rPr>
        <w:t xml:space="preserve">Cardno Emerging Markets, SMPR 8, </w:t>
      </w:r>
      <w:r w:rsidRPr="00FC040D">
        <w:rPr>
          <w:rFonts w:asciiTheme="majorHAnsi" w:hAnsiTheme="majorHAnsi" w:cstheme="majorHAnsi"/>
          <w:color w:val="000000" w:themeColor="text1"/>
        </w:rPr>
        <w:t>p. 15)</w:t>
      </w:r>
    </w:p>
    <w:p w14:paraId="41124A4B" w14:textId="77777777" w:rsidR="008D0CAD" w:rsidRDefault="008D0CAD" w:rsidP="002320B3">
      <w:pPr>
        <w:rPr>
          <w:rFonts w:asciiTheme="majorHAnsi" w:hAnsiTheme="majorHAnsi" w:cstheme="majorHAnsi"/>
        </w:rPr>
        <w:sectPr w:rsidR="008D0CAD" w:rsidSect="009C64E9">
          <w:pgSz w:w="11900" w:h="16840"/>
          <w:pgMar w:top="1440" w:right="1440" w:bottom="1440" w:left="1440" w:header="720" w:footer="720" w:gutter="0"/>
          <w:cols w:space="720"/>
          <w:docGrid w:linePitch="360"/>
        </w:sectPr>
      </w:pPr>
    </w:p>
    <w:p w14:paraId="75B8E5E7" w14:textId="77777777" w:rsidR="008D0CAD" w:rsidRDefault="008D0CAD" w:rsidP="002320B3">
      <w:pPr>
        <w:rPr>
          <w:rFonts w:asciiTheme="majorHAnsi" w:hAnsiTheme="majorHAnsi" w:cstheme="majorHAnsi"/>
        </w:rPr>
      </w:pPr>
    </w:p>
    <w:p w14:paraId="5158B3C5" w14:textId="77777777" w:rsidR="008D0CAD" w:rsidRPr="00C54F00" w:rsidRDefault="008D0CAD" w:rsidP="002320B3">
      <w:pPr>
        <w:ind w:firstLine="720"/>
        <w:rPr>
          <w:rFonts w:asciiTheme="majorHAnsi" w:hAnsiTheme="majorHAnsi" w:cstheme="majorHAnsi"/>
          <w:b/>
        </w:rPr>
      </w:pPr>
      <w:r>
        <w:rPr>
          <w:rFonts w:asciiTheme="majorHAnsi" w:hAnsiTheme="majorHAnsi" w:cstheme="majorHAnsi"/>
          <w:b/>
        </w:rPr>
        <w:t>Figure 3. Revised</w:t>
      </w:r>
      <w:r w:rsidRPr="00C54F00">
        <w:rPr>
          <w:rFonts w:asciiTheme="majorHAnsi" w:hAnsiTheme="majorHAnsi" w:cstheme="majorHAnsi"/>
          <w:b/>
        </w:rPr>
        <w:t xml:space="preserve"> Theory of Change</w:t>
      </w:r>
      <w:r>
        <w:rPr>
          <w:rFonts w:asciiTheme="majorHAnsi" w:hAnsiTheme="majorHAnsi" w:cstheme="majorHAnsi"/>
          <w:b/>
        </w:rPr>
        <w:t xml:space="preserve"> </w:t>
      </w:r>
    </w:p>
    <w:p w14:paraId="52F57949" w14:textId="77777777" w:rsidR="008D0CAD" w:rsidRPr="000805A2" w:rsidRDefault="008D0CAD" w:rsidP="002320B3"/>
    <w:p w14:paraId="2E3AD4DD" w14:textId="77777777" w:rsidR="008D0CAD" w:rsidRDefault="008D0CAD" w:rsidP="002320B3">
      <w:r w:rsidRPr="000805A2">
        <w:rPr>
          <w:noProof/>
          <w:lang w:val="en-AU" w:eastAsia="en-AU"/>
        </w:rPr>
        <w:drawing>
          <wp:inline distT="0" distB="0" distL="0" distR="0" wp14:anchorId="0FCBB53B" wp14:editId="14F44099">
            <wp:extent cx="9304867" cy="5233988"/>
            <wp:effectExtent l="0" t="0" r="4445" b="0"/>
            <wp:docPr id="30" name="Picture 30" descr="Diagram of Revised Theory of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 of Revised Theory of Change"/>
                    <pic:cNvPicPr/>
                  </pic:nvPicPr>
                  <pic:blipFill>
                    <a:blip r:embed="rId59"/>
                    <a:stretch>
                      <a:fillRect/>
                    </a:stretch>
                  </pic:blipFill>
                  <pic:spPr>
                    <a:xfrm>
                      <a:off x="0" y="0"/>
                      <a:ext cx="9308201" cy="5235863"/>
                    </a:xfrm>
                    <a:prstGeom prst="rect">
                      <a:avLst/>
                    </a:prstGeom>
                  </pic:spPr>
                </pic:pic>
              </a:graphicData>
            </a:graphic>
          </wp:inline>
        </w:drawing>
      </w:r>
    </w:p>
    <w:p w14:paraId="2204F8FB" w14:textId="77777777" w:rsidR="008D0CAD" w:rsidRDefault="008D0CAD" w:rsidP="002320B3">
      <w:pPr>
        <w:rPr>
          <w:rFonts w:asciiTheme="majorHAnsi" w:hAnsiTheme="majorHAnsi" w:cstheme="majorHAnsi"/>
          <w:i/>
        </w:rPr>
        <w:sectPr w:rsidR="008D0CAD" w:rsidSect="009C64E9">
          <w:pgSz w:w="16840" w:h="11900" w:orient="landscape"/>
          <w:pgMar w:top="720" w:right="720" w:bottom="720" w:left="720" w:header="720" w:footer="720" w:gutter="0"/>
          <w:cols w:space="720"/>
          <w:docGrid w:linePitch="360"/>
        </w:sectPr>
      </w:pPr>
      <w:r w:rsidRPr="00C54F00">
        <w:rPr>
          <w:rFonts w:asciiTheme="majorHAnsi" w:hAnsiTheme="majorHAnsi" w:cstheme="majorHAnsi"/>
          <w:i/>
        </w:rPr>
        <w:t xml:space="preserve">Source: </w:t>
      </w:r>
      <w:r w:rsidRPr="00916962">
        <w:rPr>
          <w:rFonts w:asciiTheme="majorHAnsi" w:hAnsiTheme="majorHAnsi" w:cstheme="majorHAnsi"/>
          <w:i/>
        </w:rPr>
        <w:t xml:space="preserve">Cardno Emerging Markets, SMPR </w:t>
      </w:r>
      <w:r>
        <w:rPr>
          <w:rFonts w:asciiTheme="majorHAnsi" w:hAnsiTheme="majorHAnsi" w:cstheme="majorHAnsi"/>
          <w:i/>
        </w:rPr>
        <w:t>8</w:t>
      </w:r>
    </w:p>
    <w:p w14:paraId="33D06EBB" w14:textId="77777777" w:rsidR="008D0CAD" w:rsidRPr="00F93BAE" w:rsidRDefault="008D0CAD" w:rsidP="009443E0">
      <w:pPr>
        <w:pStyle w:val="Heading2"/>
        <w:numPr>
          <w:ilvl w:val="0"/>
          <w:numId w:val="0"/>
        </w:numPr>
        <w:spacing w:before="100" w:beforeAutospacing="1" w:after="100" w:afterAutospacing="1" w:line="360" w:lineRule="auto"/>
        <w:ind w:left="1288" w:hanging="720"/>
      </w:pPr>
      <w:bookmarkStart w:id="204" w:name="_Toc39938351"/>
      <w:bookmarkStart w:id="205" w:name="_Toc69820456"/>
      <w:r w:rsidRPr="00F93BAE">
        <w:t>Annex B. Description of 10 Program Interventions</w:t>
      </w:r>
      <w:bookmarkEnd w:id="204"/>
      <w:bookmarkEnd w:id="205"/>
    </w:p>
    <w:p w14:paraId="2919FFB6" w14:textId="458D647F" w:rsidR="008D0CAD" w:rsidRPr="009443E0" w:rsidRDefault="008D0CAD" w:rsidP="009443E0">
      <w:pPr>
        <w:spacing w:before="100" w:beforeAutospacing="1" w:after="100" w:afterAutospacing="1" w:line="360" w:lineRule="auto"/>
        <w:rPr>
          <w:rFonts w:asciiTheme="majorHAnsi" w:hAnsiTheme="majorHAnsi" w:cstheme="majorHAnsi"/>
          <w:lang w:val="en-US"/>
        </w:rPr>
      </w:pPr>
      <w:r w:rsidRPr="00F93BAE">
        <w:rPr>
          <w:rFonts w:asciiTheme="majorHAnsi" w:hAnsiTheme="majorHAnsi" w:cstheme="majorHAnsi"/>
          <w:lang w:val="en-US"/>
        </w:rPr>
        <w:t>The EOPE Study focused on 10 Program interventions that were selected/identified by the Facilitating Contractor/BEST Program Team and included in the RFT documents.</w:t>
      </w:r>
      <w:r w:rsidR="00D434EB">
        <w:rPr>
          <w:rFonts w:asciiTheme="majorHAnsi" w:hAnsiTheme="majorHAnsi" w:cstheme="majorHAnsi"/>
          <w:lang w:val="en-US"/>
        </w:rPr>
        <w:t xml:space="preserve"> </w:t>
      </w:r>
      <w:r w:rsidRPr="00F93BAE">
        <w:rPr>
          <w:rFonts w:asciiTheme="majorHAnsi" w:hAnsiTheme="majorHAnsi" w:cstheme="majorHAnsi"/>
          <w:lang w:val="en-US"/>
        </w:rPr>
        <w:t xml:space="preserve">These were: </w:t>
      </w:r>
    </w:p>
    <w:p w14:paraId="6573AF53" w14:textId="77777777" w:rsidR="008D0CAD" w:rsidRPr="00F93BAE" w:rsidRDefault="008D0CAD" w:rsidP="00DD08E3">
      <w:pPr>
        <w:numPr>
          <w:ilvl w:val="0"/>
          <w:numId w:val="62"/>
        </w:numPr>
        <w:spacing w:before="100" w:beforeAutospacing="1" w:after="100" w:afterAutospacing="1" w:line="360" w:lineRule="auto"/>
        <w:rPr>
          <w:rFonts w:asciiTheme="majorHAnsi" w:eastAsiaTheme="minorHAnsi" w:hAnsiTheme="majorHAnsi" w:cstheme="majorHAnsi"/>
          <w:lang w:val="en-US"/>
        </w:rPr>
      </w:pPr>
      <w:r w:rsidRPr="00F93BAE">
        <w:rPr>
          <w:rFonts w:asciiTheme="majorHAnsi" w:eastAsiaTheme="minorHAnsi" w:hAnsiTheme="majorHAnsi" w:cstheme="majorHAnsi"/>
          <w:lang w:val="en-US"/>
        </w:rPr>
        <w:t xml:space="preserve">Learning and development (L&amp;D) systems </w:t>
      </w:r>
    </w:p>
    <w:p w14:paraId="2219E490" w14:textId="77777777" w:rsidR="008D0CAD" w:rsidRPr="00F93BAE" w:rsidRDefault="008D0CAD" w:rsidP="00DD08E3">
      <w:pPr>
        <w:numPr>
          <w:ilvl w:val="0"/>
          <w:numId w:val="62"/>
        </w:numPr>
        <w:spacing w:before="100" w:beforeAutospacing="1" w:after="100" w:afterAutospacing="1" w:line="360" w:lineRule="auto"/>
        <w:rPr>
          <w:rFonts w:asciiTheme="majorHAnsi" w:eastAsiaTheme="minorHAnsi" w:hAnsiTheme="majorHAnsi" w:cstheme="majorHAnsi"/>
          <w:lang w:val="en-US"/>
        </w:rPr>
      </w:pPr>
      <w:r w:rsidRPr="00F93BAE">
        <w:rPr>
          <w:rFonts w:asciiTheme="majorHAnsi" w:eastAsiaTheme="minorHAnsi" w:hAnsiTheme="majorHAnsi" w:cstheme="majorHAnsi"/>
          <w:lang w:val="en-US"/>
        </w:rPr>
        <w:t>Philippine Professional Standards for Teachers (PPST)</w:t>
      </w:r>
    </w:p>
    <w:p w14:paraId="566220E2" w14:textId="77777777" w:rsidR="008D0CAD" w:rsidRPr="00F93BAE" w:rsidRDefault="008D0CAD" w:rsidP="00DD08E3">
      <w:pPr>
        <w:numPr>
          <w:ilvl w:val="0"/>
          <w:numId w:val="62"/>
        </w:numPr>
        <w:spacing w:before="100" w:beforeAutospacing="1" w:after="100" w:afterAutospacing="1" w:line="360" w:lineRule="auto"/>
        <w:rPr>
          <w:rFonts w:asciiTheme="majorHAnsi" w:eastAsiaTheme="minorHAnsi" w:hAnsiTheme="majorHAnsi" w:cstheme="majorHAnsi"/>
          <w:lang w:val="en-US"/>
        </w:rPr>
      </w:pPr>
      <w:r w:rsidRPr="00F93BAE">
        <w:rPr>
          <w:rFonts w:asciiTheme="majorHAnsi" w:eastAsiaTheme="minorHAnsi" w:hAnsiTheme="majorHAnsi" w:cstheme="majorHAnsi"/>
          <w:lang w:val="en-US"/>
        </w:rPr>
        <w:t>Curriculum and assessment systems (CAS)</w:t>
      </w:r>
    </w:p>
    <w:p w14:paraId="0D945D44" w14:textId="77777777" w:rsidR="008D0CAD" w:rsidRPr="00F93BAE" w:rsidRDefault="008D0CAD" w:rsidP="00DD08E3">
      <w:pPr>
        <w:numPr>
          <w:ilvl w:val="0"/>
          <w:numId w:val="62"/>
        </w:numPr>
        <w:spacing w:before="100" w:beforeAutospacing="1" w:after="100" w:afterAutospacing="1" w:line="360" w:lineRule="auto"/>
        <w:rPr>
          <w:rFonts w:asciiTheme="majorHAnsi" w:eastAsiaTheme="minorHAnsi" w:hAnsiTheme="majorHAnsi" w:cstheme="majorHAnsi"/>
          <w:lang w:val="en-US"/>
        </w:rPr>
      </w:pPr>
      <w:r w:rsidRPr="00F93BAE">
        <w:rPr>
          <w:rFonts w:asciiTheme="majorHAnsi" w:eastAsiaTheme="minorHAnsi" w:hAnsiTheme="majorHAnsi" w:cstheme="majorHAnsi"/>
          <w:lang w:val="en-US"/>
        </w:rPr>
        <w:t>Teacher pre-service quality improvement (TPQI)</w:t>
      </w:r>
    </w:p>
    <w:p w14:paraId="0FCAA10B" w14:textId="77777777" w:rsidR="008D0CAD" w:rsidRPr="00F93BAE" w:rsidRDefault="008D0CAD" w:rsidP="00DD08E3">
      <w:pPr>
        <w:numPr>
          <w:ilvl w:val="0"/>
          <w:numId w:val="62"/>
        </w:numPr>
        <w:spacing w:before="100" w:beforeAutospacing="1" w:after="100" w:afterAutospacing="1" w:line="360" w:lineRule="auto"/>
        <w:rPr>
          <w:rFonts w:asciiTheme="majorHAnsi" w:eastAsiaTheme="minorHAnsi" w:hAnsiTheme="majorHAnsi" w:cstheme="majorHAnsi"/>
          <w:lang w:val="en-US"/>
        </w:rPr>
      </w:pPr>
      <w:r w:rsidRPr="00F93BAE">
        <w:rPr>
          <w:rFonts w:asciiTheme="majorHAnsi" w:eastAsiaTheme="minorHAnsi" w:hAnsiTheme="majorHAnsi" w:cstheme="majorHAnsi"/>
          <w:lang w:val="en-US"/>
        </w:rPr>
        <w:t>School-based Management (SBM)</w:t>
      </w:r>
    </w:p>
    <w:p w14:paraId="6B90E455" w14:textId="77777777" w:rsidR="008D0CAD" w:rsidRPr="00F93BAE" w:rsidRDefault="008D0CAD" w:rsidP="00DD08E3">
      <w:pPr>
        <w:numPr>
          <w:ilvl w:val="0"/>
          <w:numId w:val="62"/>
        </w:numPr>
        <w:spacing w:before="100" w:beforeAutospacing="1" w:after="100" w:afterAutospacing="1" w:line="360" w:lineRule="auto"/>
        <w:rPr>
          <w:rFonts w:asciiTheme="majorHAnsi" w:eastAsiaTheme="minorHAnsi" w:hAnsiTheme="majorHAnsi" w:cstheme="majorHAnsi"/>
          <w:lang w:val="en-US"/>
        </w:rPr>
      </w:pPr>
      <w:r w:rsidRPr="00F93BAE">
        <w:rPr>
          <w:rFonts w:asciiTheme="majorHAnsi" w:eastAsiaTheme="minorHAnsi" w:hAnsiTheme="majorHAnsi" w:cstheme="majorHAnsi"/>
          <w:lang w:val="en-US"/>
        </w:rPr>
        <w:t xml:space="preserve">Policy, and planning and monitoring and evaluation systems (PPMES) </w:t>
      </w:r>
    </w:p>
    <w:p w14:paraId="309479B4" w14:textId="77777777" w:rsidR="008D0CAD" w:rsidRPr="00F93BAE" w:rsidRDefault="008D0CAD" w:rsidP="00DD08E3">
      <w:pPr>
        <w:numPr>
          <w:ilvl w:val="0"/>
          <w:numId w:val="62"/>
        </w:numPr>
        <w:spacing w:before="100" w:beforeAutospacing="1" w:after="100" w:afterAutospacing="1" w:line="360" w:lineRule="auto"/>
        <w:rPr>
          <w:rFonts w:asciiTheme="majorHAnsi" w:eastAsiaTheme="minorHAnsi" w:hAnsiTheme="majorHAnsi" w:cstheme="majorHAnsi"/>
          <w:lang w:val="en-US"/>
        </w:rPr>
      </w:pPr>
      <w:r w:rsidRPr="00F93BAE">
        <w:rPr>
          <w:rFonts w:asciiTheme="majorHAnsi" w:eastAsiaTheme="minorHAnsi" w:hAnsiTheme="majorHAnsi" w:cstheme="majorHAnsi"/>
          <w:lang w:val="en-US"/>
        </w:rPr>
        <w:t>Unified information system and sub-systems (UISS)</w:t>
      </w:r>
    </w:p>
    <w:p w14:paraId="4B0DCCBA" w14:textId="77777777" w:rsidR="008D0CAD" w:rsidRPr="00F93BAE" w:rsidRDefault="008D0CAD" w:rsidP="00DD08E3">
      <w:pPr>
        <w:numPr>
          <w:ilvl w:val="0"/>
          <w:numId w:val="62"/>
        </w:numPr>
        <w:spacing w:before="100" w:beforeAutospacing="1" w:after="100" w:afterAutospacing="1" w:line="360" w:lineRule="auto"/>
        <w:rPr>
          <w:rFonts w:asciiTheme="majorHAnsi" w:eastAsiaTheme="minorHAnsi" w:hAnsiTheme="majorHAnsi" w:cstheme="majorHAnsi"/>
          <w:lang w:val="en-US"/>
        </w:rPr>
      </w:pPr>
      <w:r w:rsidRPr="00F93BAE">
        <w:rPr>
          <w:rFonts w:asciiTheme="majorHAnsi" w:eastAsiaTheme="minorHAnsi" w:hAnsiTheme="majorHAnsi" w:cstheme="majorHAnsi"/>
          <w:lang w:val="en-US"/>
        </w:rPr>
        <w:t>Gender, disability and social inclusion (GEDSI)</w:t>
      </w:r>
    </w:p>
    <w:p w14:paraId="6B73C958" w14:textId="77777777" w:rsidR="008D0CAD" w:rsidRPr="00F93BAE" w:rsidRDefault="008D0CAD" w:rsidP="00DD08E3">
      <w:pPr>
        <w:numPr>
          <w:ilvl w:val="0"/>
          <w:numId w:val="62"/>
        </w:numPr>
        <w:spacing w:before="100" w:beforeAutospacing="1" w:after="100" w:afterAutospacing="1" w:line="360" w:lineRule="auto"/>
        <w:rPr>
          <w:rFonts w:asciiTheme="majorHAnsi" w:eastAsiaTheme="minorHAnsi" w:hAnsiTheme="majorHAnsi" w:cstheme="majorHAnsi"/>
          <w:lang w:val="en-US"/>
        </w:rPr>
      </w:pPr>
      <w:r w:rsidRPr="00F93BAE">
        <w:rPr>
          <w:rFonts w:asciiTheme="majorHAnsi" w:eastAsiaTheme="minorHAnsi" w:hAnsiTheme="majorHAnsi" w:cstheme="majorHAnsi"/>
          <w:lang w:val="en-US"/>
        </w:rPr>
        <w:t>Organizational Development (OD)</w:t>
      </w:r>
    </w:p>
    <w:p w14:paraId="246408FF" w14:textId="7060FD7F" w:rsidR="008D0CAD" w:rsidRPr="009443E0" w:rsidRDefault="008D0CAD" w:rsidP="00DD08E3">
      <w:pPr>
        <w:numPr>
          <w:ilvl w:val="0"/>
          <w:numId w:val="62"/>
        </w:numPr>
        <w:spacing w:before="100" w:beforeAutospacing="1" w:after="100" w:afterAutospacing="1" w:line="360" w:lineRule="auto"/>
        <w:rPr>
          <w:rFonts w:asciiTheme="majorHAnsi" w:eastAsiaTheme="minorHAnsi" w:hAnsiTheme="majorHAnsi" w:cstheme="majorHAnsi"/>
          <w:lang w:val="en-US"/>
        </w:rPr>
      </w:pPr>
      <w:r w:rsidRPr="00F93BAE">
        <w:rPr>
          <w:rFonts w:asciiTheme="majorHAnsi" w:eastAsiaTheme="minorHAnsi" w:hAnsiTheme="majorHAnsi" w:cstheme="majorHAnsi"/>
          <w:lang w:val="en-US"/>
        </w:rPr>
        <w:t>Classroom Construction (CC)</w:t>
      </w:r>
    </w:p>
    <w:p w14:paraId="7181BFE6" w14:textId="53E9D2B1" w:rsidR="008D0CAD" w:rsidRPr="00F93BAE" w:rsidRDefault="008D0CAD" w:rsidP="009443E0">
      <w:pPr>
        <w:spacing w:before="100" w:beforeAutospacing="1" w:after="100" w:afterAutospacing="1" w:line="360" w:lineRule="auto"/>
        <w:rPr>
          <w:rFonts w:asciiTheme="majorHAnsi" w:hAnsiTheme="majorHAnsi" w:cstheme="majorHAnsi"/>
          <w:lang w:val="en-US"/>
        </w:rPr>
      </w:pPr>
      <w:r w:rsidRPr="00F93BAE">
        <w:rPr>
          <w:rFonts w:asciiTheme="majorHAnsi" w:hAnsiTheme="majorHAnsi" w:cstheme="majorHAnsi"/>
          <w:lang w:val="en-US"/>
        </w:rPr>
        <w:t>The brief descriptions provided below were taken from the RFT documents.</w:t>
      </w:r>
    </w:p>
    <w:p w14:paraId="19ABDF7B" w14:textId="77777777" w:rsidR="008D0CAD" w:rsidRPr="00F93BAE" w:rsidRDefault="008D0CAD" w:rsidP="00DD08E3">
      <w:pPr>
        <w:numPr>
          <w:ilvl w:val="0"/>
          <w:numId w:val="63"/>
        </w:numPr>
        <w:spacing w:before="100" w:beforeAutospacing="1" w:after="100" w:afterAutospacing="1" w:line="360" w:lineRule="auto"/>
        <w:rPr>
          <w:rFonts w:asciiTheme="majorHAnsi" w:hAnsiTheme="majorHAnsi" w:cstheme="majorHAnsi"/>
          <w:b/>
          <w:bCs/>
          <w:snapToGrid w:val="0"/>
          <w:color w:val="000000"/>
          <w:lang w:val="en-US"/>
        </w:rPr>
      </w:pPr>
      <w:r w:rsidRPr="00F93BAE">
        <w:rPr>
          <w:rFonts w:asciiTheme="majorHAnsi" w:hAnsiTheme="majorHAnsi" w:cstheme="majorHAnsi"/>
          <w:b/>
          <w:bCs/>
          <w:snapToGrid w:val="0"/>
          <w:color w:val="000000"/>
          <w:lang w:val="en-US"/>
        </w:rPr>
        <w:t>Learning and Development System Trial</w:t>
      </w:r>
    </w:p>
    <w:p w14:paraId="71A92E26" w14:textId="136FCC7E" w:rsidR="008D0CAD" w:rsidRPr="00F93BAE" w:rsidRDefault="008D0CAD" w:rsidP="009443E0">
      <w:pPr>
        <w:spacing w:before="100" w:beforeAutospacing="1" w:after="100" w:afterAutospacing="1" w:line="360" w:lineRule="auto"/>
        <w:rPr>
          <w:rFonts w:asciiTheme="majorHAnsi" w:hAnsiTheme="majorHAnsi" w:cstheme="majorHAnsi"/>
          <w:color w:val="000000"/>
          <w:lang w:val="en-US"/>
        </w:rPr>
      </w:pPr>
      <w:r w:rsidRPr="00F93BAE">
        <w:rPr>
          <w:rFonts w:asciiTheme="majorHAnsi" w:hAnsiTheme="majorHAnsi" w:cstheme="majorHAnsi"/>
          <w:color w:val="000000"/>
          <w:lang w:val="en-US"/>
        </w:rPr>
        <w:t>The Learning and Development (L&amp;D) System is a mechanism for continuous professional development across all governance levels.</w:t>
      </w:r>
      <w:r w:rsidR="00D434EB">
        <w:rPr>
          <w:rFonts w:asciiTheme="majorHAnsi" w:hAnsiTheme="majorHAnsi" w:cstheme="majorHAnsi"/>
          <w:color w:val="000000"/>
          <w:lang w:val="en-US"/>
        </w:rPr>
        <w:t xml:space="preserve"> </w:t>
      </w:r>
      <w:r w:rsidRPr="00F93BAE">
        <w:rPr>
          <w:rFonts w:asciiTheme="majorHAnsi" w:hAnsiTheme="majorHAnsi" w:cstheme="majorHAnsi"/>
          <w:color w:val="000000"/>
          <w:lang w:val="en-US"/>
        </w:rPr>
        <w:t>It builds on the previous Training and Development System and included further learning modalities such as formal learning, Job Embedded Learning, Relationship-building and Learning Action Cells.</w:t>
      </w:r>
      <w:r w:rsidR="00D434EB">
        <w:rPr>
          <w:rFonts w:asciiTheme="majorHAnsi" w:hAnsiTheme="majorHAnsi" w:cstheme="majorHAnsi"/>
          <w:color w:val="000000"/>
          <w:lang w:val="en-US"/>
        </w:rPr>
        <w:t xml:space="preserve"> </w:t>
      </w:r>
      <w:r w:rsidRPr="00F93BAE">
        <w:rPr>
          <w:rFonts w:asciiTheme="majorHAnsi" w:hAnsiTheme="majorHAnsi" w:cstheme="majorHAnsi"/>
          <w:color w:val="000000"/>
          <w:lang w:val="en-US"/>
        </w:rPr>
        <w:t>The L&amp;D system processes are: Needs Assessment, Planning, Program Designing, Resource Package Development and Program Delivery.</w:t>
      </w:r>
      <w:r w:rsidR="00D434EB">
        <w:rPr>
          <w:rFonts w:asciiTheme="majorHAnsi" w:hAnsiTheme="majorHAnsi" w:cstheme="majorHAnsi"/>
          <w:color w:val="000000"/>
          <w:lang w:val="en-US"/>
        </w:rPr>
        <w:t xml:space="preserve"> </w:t>
      </w:r>
      <w:r w:rsidRPr="00F93BAE">
        <w:rPr>
          <w:rFonts w:asciiTheme="majorHAnsi" w:hAnsiTheme="majorHAnsi" w:cstheme="majorHAnsi"/>
          <w:color w:val="000000"/>
          <w:lang w:val="en-US"/>
        </w:rPr>
        <w:t>Lessons learned from the L&amp;D trial assisted the Department of Education (DepED) in the national implementation of professional development systems.</w:t>
      </w:r>
      <w:r w:rsidR="00D434EB">
        <w:rPr>
          <w:rFonts w:asciiTheme="majorHAnsi" w:hAnsiTheme="majorHAnsi" w:cstheme="majorHAnsi"/>
          <w:color w:val="000000"/>
          <w:lang w:val="en-US"/>
        </w:rPr>
        <w:t xml:space="preserve"> </w:t>
      </w:r>
      <w:r w:rsidRPr="00F93BAE">
        <w:rPr>
          <w:rFonts w:asciiTheme="majorHAnsi" w:hAnsiTheme="majorHAnsi" w:cstheme="majorHAnsi"/>
          <w:color w:val="000000"/>
          <w:lang w:val="en-US"/>
        </w:rPr>
        <w:t>BEST support relative to the L&amp;D System focused on:</w:t>
      </w:r>
    </w:p>
    <w:p w14:paraId="025C580D" w14:textId="77777777" w:rsidR="008D0CAD" w:rsidRPr="00F93BAE" w:rsidRDefault="008D0CAD" w:rsidP="00DD08E3">
      <w:pPr>
        <w:numPr>
          <w:ilvl w:val="0"/>
          <w:numId w:val="64"/>
        </w:numPr>
        <w:spacing w:before="100" w:beforeAutospacing="1" w:after="100" w:afterAutospacing="1" w:line="360" w:lineRule="auto"/>
        <w:contextualSpacing/>
        <w:rPr>
          <w:rFonts w:asciiTheme="majorHAnsi" w:hAnsiTheme="majorHAnsi" w:cstheme="majorHAnsi"/>
          <w:snapToGrid w:val="0"/>
          <w:color w:val="000000"/>
          <w:lang w:val="en-US"/>
        </w:rPr>
      </w:pPr>
      <w:r w:rsidRPr="00F93BAE">
        <w:rPr>
          <w:rFonts w:asciiTheme="majorHAnsi" w:hAnsiTheme="majorHAnsi" w:cstheme="majorHAnsi"/>
          <w:snapToGrid w:val="0"/>
          <w:color w:val="000000"/>
          <w:lang w:val="en-US"/>
        </w:rPr>
        <w:t>Delivering the L&amp;D Orientation Package: This involves an L&amp;D Orientation, Supervisors and Learning Facilitators Workshop on L&amp;D Modalities Training Course on Coaching &amp; Mentoring for Supervisors and Learning Facilitators and coaching and mentoring across the period of the trial.</w:t>
      </w:r>
    </w:p>
    <w:p w14:paraId="4C19557A" w14:textId="149AD062" w:rsidR="008D0CAD" w:rsidRPr="009443E0" w:rsidRDefault="008D0CAD" w:rsidP="00DD08E3">
      <w:pPr>
        <w:numPr>
          <w:ilvl w:val="0"/>
          <w:numId w:val="64"/>
        </w:numPr>
        <w:spacing w:before="100" w:beforeAutospacing="1" w:after="100" w:afterAutospacing="1" w:line="360" w:lineRule="auto"/>
        <w:contextualSpacing/>
        <w:rPr>
          <w:rFonts w:asciiTheme="majorHAnsi" w:hAnsiTheme="majorHAnsi" w:cstheme="majorHAnsi"/>
          <w:snapToGrid w:val="0"/>
          <w:color w:val="000000"/>
          <w:lang w:val="en-US"/>
        </w:rPr>
      </w:pPr>
      <w:r w:rsidRPr="00F93BAE">
        <w:rPr>
          <w:rFonts w:asciiTheme="majorHAnsi" w:hAnsiTheme="majorHAnsi" w:cstheme="majorHAnsi"/>
          <w:snapToGrid w:val="0"/>
          <w:color w:val="000000"/>
          <w:lang w:val="en-US"/>
        </w:rPr>
        <w:t>Delivering the Teacher Professional Development Package: This package includes two set items, the L&amp;D Overview on the LAC Toolkit and GEDSI Awareness for all divisions and schools. It also involves Context Specific support, as the divisions and schools select two topics from a menu that includes: PRIMALS, CARB, Action Research, Positive Discipline, ICT, LR for Visually Impaired and Inclusive Values Series.</w:t>
      </w:r>
    </w:p>
    <w:p w14:paraId="02F1033D" w14:textId="77777777" w:rsidR="008D0CAD" w:rsidRPr="00F93BAE" w:rsidRDefault="008D0CAD" w:rsidP="00DD08E3">
      <w:pPr>
        <w:numPr>
          <w:ilvl w:val="0"/>
          <w:numId w:val="63"/>
        </w:numPr>
        <w:spacing w:before="100" w:beforeAutospacing="1" w:after="100" w:afterAutospacing="1" w:line="360" w:lineRule="auto"/>
        <w:rPr>
          <w:rFonts w:asciiTheme="majorHAnsi" w:hAnsiTheme="majorHAnsi" w:cstheme="majorHAnsi"/>
          <w:b/>
          <w:bCs/>
          <w:snapToGrid w:val="0"/>
          <w:color w:val="000000"/>
          <w:lang w:val="en-US"/>
        </w:rPr>
      </w:pPr>
      <w:r w:rsidRPr="00F93BAE">
        <w:rPr>
          <w:rFonts w:asciiTheme="majorHAnsi" w:hAnsiTheme="majorHAnsi" w:cstheme="majorHAnsi"/>
          <w:b/>
          <w:bCs/>
          <w:snapToGrid w:val="0"/>
          <w:color w:val="000000"/>
          <w:lang w:val="en-US"/>
        </w:rPr>
        <w:t>Philippine Professional Standards for Teachers</w:t>
      </w:r>
    </w:p>
    <w:p w14:paraId="7315ED6F" w14:textId="4304A808" w:rsidR="008D0CAD" w:rsidRPr="00F93BAE" w:rsidRDefault="008D0CAD" w:rsidP="009443E0">
      <w:pPr>
        <w:spacing w:before="100" w:beforeAutospacing="1" w:after="100" w:afterAutospacing="1" w:line="360" w:lineRule="auto"/>
        <w:rPr>
          <w:rFonts w:asciiTheme="majorHAnsi" w:hAnsiTheme="majorHAnsi" w:cstheme="majorHAnsi"/>
          <w:color w:val="000000"/>
          <w:lang w:val="en-US"/>
        </w:rPr>
      </w:pPr>
      <w:r w:rsidRPr="00F93BAE">
        <w:rPr>
          <w:rFonts w:asciiTheme="majorHAnsi" w:hAnsiTheme="majorHAnsi" w:cstheme="majorHAnsi"/>
          <w:color w:val="000000"/>
          <w:lang w:val="en-US"/>
        </w:rPr>
        <w:t>The Philippine Professional Standards for Teachers (PPST) defined teacher quality in the Philippines. The standards described the expectations of teachers’ increasing levels of knowledge, practice and professional engagement throughout their career.</w:t>
      </w:r>
      <w:r w:rsidR="00D434EB">
        <w:rPr>
          <w:rFonts w:asciiTheme="majorHAnsi" w:hAnsiTheme="majorHAnsi" w:cstheme="majorHAnsi"/>
          <w:color w:val="000000"/>
          <w:lang w:val="en-US"/>
        </w:rPr>
        <w:t xml:space="preserve"> </w:t>
      </w:r>
      <w:r w:rsidRPr="00F93BAE">
        <w:rPr>
          <w:rFonts w:asciiTheme="majorHAnsi" w:hAnsiTheme="majorHAnsi" w:cstheme="majorHAnsi"/>
          <w:color w:val="000000"/>
          <w:lang w:val="en-US"/>
        </w:rPr>
        <w:t xml:space="preserve"> PPST’s development and trial was supported by the Research Centre for Teacher Quality (RCTQ), a BEST Program implementing partner. The PPST was based on the previous National Competency Based Teacher Standards and has been developed to reflect the requirements for delivering the enhanced basic education curriculum (K-12).</w:t>
      </w:r>
    </w:p>
    <w:p w14:paraId="2B42B6F6" w14:textId="51D428E9" w:rsidR="008D0CAD" w:rsidRPr="00F93BAE" w:rsidRDefault="008D0CAD" w:rsidP="009443E0">
      <w:pPr>
        <w:spacing w:before="100" w:beforeAutospacing="1" w:after="100" w:afterAutospacing="1" w:line="360" w:lineRule="auto"/>
        <w:rPr>
          <w:rFonts w:asciiTheme="majorHAnsi" w:hAnsiTheme="majorHAnsi" w:cstheme="majorHAnsi"/>
          <w:color w:val="000000"/>
          <w:lang w:val="en-US"/>
        </w:rPr>
      </w:pPr>
      <w:r w:rsidRPr="00F93BAE">
        <w:rPr>
          <w:rFonts w:asciiTheme="majorHAnsi" w:hAnsiTheme="majorHAnsi" w:cstheme="majorHAnsi"/>
          <w:color w:val="000000"/>
          <w:lang w:val="en-US"/>
        </w:rPr>
        <w:t>The national adoption of the PPST mandated that it serve as the basis for teacher performance assessments and for all learning and development programs. Toward this end, the Bureau of Human Resources and Organizational Development (BHROD) embedded the PPST in the Results-Based Performance Management System (RPMS), specifically, the Self- Assessment Tool (SAT), the Classroom Assessment Tool (COT) and the Portfolio Assessment for Teachers (PAT).</w:t>
      </w:r>
      <w:r w:rsidR="00D434EB">
        <w:rPr>
          <w:rFonts w:asciiTheme="majorHAnsi" w:hAnsiTheme="majorHAnsi" w:cstheme="majorHAnsi"/>
          <w:color w:val="000000"/>
          <w:lang w:val="en-US"/>
        </w:rPr>
        <w:t xml:space="preserve"> </w:t>
      </w:r>
      <w:r w:rsidRPr="00F93BAE">
        <w:rPr>
          <w:rFonts w:asciiTheme="majorHAnsi" w:hAnsiTheme="majorHAnsi" w:cstheme="majorHAnsi"/>
          <w:color w:val="000000"/>
          <w:lang w:val="en-US"/>
        </w:rPr>
        <w:t xml:space="preserve"> </w:t>
      </w:r>
      <w:r w:rsidRPr="00F93BAE">
        <w:rPr>
          <w:rFonts w:asciiTheme="majorHAnsi" w:hAnsiTheme="majorHAnsi" w:cstheme="majorHAnsi"/>
          <w:color w:val="000000"/>
          <w:lang w:val="en-US"/>
        </w:rPr>
        <w:br/>
        <w:t>As context, the key factor in determining the direction of teacher professional development had been the K–12 reforms.</w:t>
      </w:r>
      <w:r w:rsidR="00D434EB">
        <w:rPr>
          <w:rFonts w:asciiTheme="majorHAnsi" w:hAnsiTheme="majorHAnsi" w:cstheme="majorHAnsi"/>
          <w:color w:val="000000"/>
          <w:lang w:val="en-US"/>
        </w:rPr>
        <w:t xml:space="preserve"> </w:t>
      </w:r>
      <w:r w:rsidRPr="00F93BAE">
        <w:rPr>
          <w:rFonts w:asciiTheme="majorHAnsi" w:hAnsiTheme="majorHAnsi" w:cstheme="majorHAnsi"/>
          <w:color w:val="000000"/>
          <w:lang w:val="en-US"/>
        </w:rPr>
        <w:t>BEST support included the conduct of Pre-service and In-service Teacher Development Needs Assessment by RCTQ, the development, trial and national adoption of the PPST and ongoing support for professional development to ensure that the PPST is understood at all levels and that the standards were utilized.</w:t>
      </w:r>
      <w:r w:rsidR="00D434EB">
        <w:rPr>
          <w:rFonts w:asciiTheme="majorHAnsi" w:hAnsiTheme="majorHAnsi" w:cstheme="majorHAnsi"/>
          <w:color w:val="000000"/>
          <w:lang w:val="en-US"/>
        </w:rPr>
        <w:t xml:space="preserve"> </w:t>
      </w:r>
    </w:p>
    <w:p w14:paraId="3971BAAF" w14:textId="4B3FC7A2" w:rsidR="008D0CAD" w:rsidRPr="00F93BAE" w:rsidRDefault="008D0CAD" w:rsidP="009443E0">
      <w:pPr>
        <w:spacing w:before="100" w:beforeAutospacing="1" w:after="100" w:afterAutospacing="1" w:line="360" w:lineRule="auto"/>
        <w:rPr>
          <w:rFonts w:asciiTheme="majorHAnsi" w:hAnsiTheme="majorHAnsi" w:cstheme="majorHAnsi"/>
          <w:color w:val="000000"/>
          <w:lang w:val="en-US"/>
        </w:rPr>
      </w:pPr>
      <w:r w:rsidRPr="00F93BAE">
        <w:rPr>
          <w:rFonts w:asciiTheme="majorHAnsi" w:hAnsiTheme="majorHAnsi" w:cstheme="majorHAnsi"/>
          <w:color w:val="000000"/>
          <w:lang w:val="en-US"/>
        </w:rPr>
        <w:t>To prepare beginning teachers to transition teaching at DepEd, the Teacher Education Council (TEC) with further assistance from the BEST Program, developed and trialed self-paced learning modules for teachers in the beginning teaching stage (0-3 years stage).</w:t>
      </w:r>
      <w:r w:rsidR="00D434EB">
        <w:rPr>
          <w:rFonts w:asciiTheme="majorHAnsi" w:hAnsiTheme="majorHAnsi" w:cstheme="majorHAnsi"/>
          <w:color w:val="000000"/>
          <w:lang w:val="en-US"/>
        </w:rPr>
        <w:t xml:space="preserve"> </w:t>
      </w:r>
      <w:r w:rsidRPr="00F93BAE">
        <w:rPr>
          <w:rFonts w:asciiTheme="majorHAnsi" w:hAnsiTheme="majorHAnsi" w:cstheme="majorHAnsi"/>
          <w:color w:val="000000"/>
          <w:lang w:val="en-US"/>
        </w:rPr>
        <w:t>Resources intended to deepen teachers’ understanding of the first twelve indicators of the PPST were also developed and disseminated to all schools.</w:t>
      </w:r>
      <w:r w:rsidR="00D434EB">
        <w:rPr>
          <w:rFonts w:asciiTheme="majorHAnsi" w:hAnsiTheme="majorHAnsi" w:cstheme="majorHAnsi"/>
          <w:color w:val="000000"/>
          <w:lang w:val="en-US"/>
        </w:rPr>
        <w:t xml:space="preserve"> </w:t>
      </w:r>
      <w:r w:rsidRPr="00F93BAE">
        <w:rPr>
          <w:rFonts w:asciiTheme="majorHAnsi" w:hAnsiTheme="majorHAnsi" w:cstheme="majorHAnsi"/>
          <w:color w:val="000000"/>
          <w:lang w:val="en-US"/>
        </w:rPr>
        <w:t>To support continuing professional development in line with the PPST, BEST supported the National Educators Academy of the Philippines (NEAP) in the trial of the L&amp;D system in selected regions, divisions and schools.</w:t>
      </w:r>
    </w:p>
    <w:p w14:paraId="5B1391B5" w14:textId="77777777" w:rsidR="008D0CAD" w:rsidRPr="00F93BAE" w:rsidRDefault="008D0CAD" w:rsidP="00DD08E3">
      <w:pPr>
        <w:numPr>
          <w:ilvl w:val="0"/>
          <w:numId w:val="63"/>
        </w:numPr>
        <w:spacing w:before="100" w:beforeAutospacing="1" w:after="100" w:afterAutospacing="1" w:line="360" w:lineRule="auto"/>
        <w:rPr>
          <w:rFonts w:asciiTheme="majorHAnsi" w:hAnsiTheme="majorHAnsi" w:cstheme="majorHAnsi"/>
          <w:b/>
          <w:bCs/>
          <w:snapToGrid w:val="0"/>
          <w:color w:val="000000"/>
          <w:lang w:val="en-US"/>
        </w:rPr>
      </w:pPr>
      <w:r w:rsidRPr="00F93BAE">
        <w:rPr>
          <w:rFonts w:asciiTheme="majorHAnsi" w:hAnsiTheme="majorHAnsi" w:cstheme="majorHAnsi"/>
          <w:b/>
          <w:bCs/>
          <w:snapToGrid w:val="0"/>
          <w:color w:val="000000"/>
          <w:lang w:val="en-US"/>
        </w:rPr>
        <w:t>Curriculum and Assessment Systems</w:t>
      </w:r>
    </w:p>
    <w:p w14:paraId="18C9A732" w14:textId="68DA6E63" w:rsidR="008D0CAD" w:rsidRPr="00F93BAE" w:rsidRDefault="008D0CAD" w:rsidP="009443E0">
      <w:pPr>
        <w:spacing w:before="100" w:beforeAutospacing="1" w:after="100" w:afterAutospacing="1" w:line="360" w:lineRule="auto"/>
        <w:rPr>
          <w:rFonts w:asciiTheme="majorHAnsi" w:hAnsiTheme="majorHAnsi" w:cstheme="majorHAnsi"/>
          <w:color w:val="000000"/>
          <w:lang w:val="en-US"/>
        </w:rPr>
      </w:pPr>
      <w:r w:rsidRPr="00F93BAE">
        <w:rPr>
          <w:rFonts w:asciiTheme="majorHAnsi" w:hAnsiTheme="majorHAnsi" w:cstheme="majorHAnsi"/>
          <w:color w:val="000000"/>
          <w:lang w:val="en-US"/>
        </w:rPr>
        <w:t>DepED began work on the K-12 curriculum in 2011 with a phased approach, i.e., implementing two grades in each consecutive year. Curriculum guides and materials were developed in different stages of schooling.</w:t>
      </w:r>
      <w:r w:rsidR="00D434EB">
        <w:rPr>
          <w:rFonts w:asciiTheme="majorHAnsi" w:hAnsiTheme="majorHAnsi" w:cstheme="majorHAnsi"/>
          <w:color w:val="000000"/>
          <w:lang w:val="en-US"/>
        </w:rPr>
        <w:t xml:space="preserve"> </w:t>
      </w:r>
      <w:r w:rsidRPr="00F93BAE">
        <w:rPr>
          <w:rFonts w:asciiTheme="majorHAnsi" w:hAnsiTheme="majorHAnsi" w:cstheme="majorHAnsi"/>
          <w:color w:val="000000"/>
          <w:lang w:val="en-US"/>
        </w:rPr>
        <w:t>At the same time, the national assessment framework was developed to support the delivery of the curriculum.</w:t>
      </w:r>
    </w:p>
    <w:p w14:paraId="0B1FE5DC" w14:textId="77777777" w:rsidR="008D0CAD" w:rsidRPr="00F93BAE" w:rsidRDefault="008D0CAD" w:rsidP="009443E0">
      <w:pPr>
        <w:spacing w:before="100" w:beforeAutospacing="1" w:after="100" w:afterAutospacing="1" w:line="360" w:lineRule="auto"/>
        <w:rPr>
          <w:rFonts w:asciiTheme="majorHAnsi" w:hAnsiTheme="majorHAnsi" w:cstheme="majorHAnsi"/>
          <w:color w:val="000000"/>
          <w:lang w:val="en-US"/>
        </w:rPr>
      </w:pPr>
      <w:r w:rsidRPr="00F93BAE">
        <w:rPr>
          <w:rFonts w:asciiTheme="majorHAnsi" w:hAnsiTheme="majorHAnsi" w:cstheme="majorHAnsi"/>
          <w:color w:val="000000"/>
          <w:lang w:val="en-US"/>
        </w:rPr>
        <w:t>The BEST Program focused on providing support to the further development and implementation of K-12 curriculum and assessment systems. Interventions were through the provision of technical assistance to DepED in the development of the curriculum guides and the development and contextualization of learning materials. Support was also provided to DepED in the development of the National Assessment Framework. This included the provision of technical assistance in the development of the Classroom Assessment Resource Book (CARB). Research was undertaken by the Assessment, Curriculum, Technology Research Centre (ACTRC), a BEST implementing partner, in the development of assessment tools. ACTRC also provided DepED with significant technical advice in relation to the Philippines' participation in International Large-Scale Assessments.</w:t>
      </w:r>
    </w:p>
    <w:p w14:paraId="61C1E157" w14:textId="77777777" w:rsidR="008D0CAD" w:rsidRPr="00F93BAE" w:rsidRDefault="008D0CAD" w:rsidP="00DD08E3">
      <w:pPr>
        <w:numPr>
          <w:ilvl w:val="0"/>
          <w:numId w:val="63"/>
        </w:numPr>
        <w:spacing w:before="100" w:beforeAutospacing="1" w:after="100" w:afterAutospacing="1" w:line="360" w:lineRule="auto"/>
        <w:rPr>
          <w:rFonts w:asciiTheme="majorHAnsi" w:hAnsiTheme="majorHAnsi" w:cstheme="majorHAnsi"/>
          <w:b/>
          <w:bCs/>
          <w:snapToGrid w:val="0"/>
          <w:color w:val="000000"/>
          <w:lang w:val="en-US"/>
        </w:rPr>
      </w:pPr>
      <w:r w:rsidRPr="00F93BAE">
        <w:rPr>
          <w:rFonts w:asciiTheme="majorHAnsi" w:hAnsiTheme="majorHAnsi" w:cstheme="majorHAnsi"/>
          <w:b/>
          <w:bCs/>
          <w:snapToGrid w:val="0"/>
          <w:color w:val="000000"/>
          <w:lang w:val="en-US"/>
        </w:rPr>
        <w:t>Teacher Pre-service Quality Improvement</w:t>
      </w:r>
    </w:p>
    <w:p w14:paraId="65EEBE30" w14:textId="1EC9B252" w:rsidR="008D0CAD" w:rsidRPr="00F93BAE" w:rsidRDefault="008D0CAD" w:rsidP="009443E0">
      <w:pPr>
        <w:spacing w:before="100" w:beforeAutospacing="1" w:after="100" w:afterAutospacing="1" w:line="360" w:lineRule="auto"/>
        <w:rPr>
          <w:rFonts w:asciiTheme="majorHAnsi" w:hAnsiTheme="majorHAnsi" w:cstheme="majorHAnsi"/>
          <w:color w:val="000000"/>
          <w:lang w:val="en-US"/>
        </w:rPr>
      </w:pPr>
      <w:r w:rsidRPr="00F93BAE">
        <w:rPr>
          <w:rFonts w:asciiTheme="majorHAnsi" w:hAnsiTheme="majorHAnsi" w:cstheme="majorHAnsi"/>
          <w:color w:val="000000"/>
          <w:lang w:val="en-US"/>
        </w:rPr>
        <w:t>The context for pre-service quality improvement was the Enhanced Basic Education Act (signed on 15 May 2013), which emphasized the need for additional development for new teachers with a view to ensuring they meet the requirements required to teach the K-12 curriculum.</w:t>
      </w:r>
      <w:r w:rsidR="00D434EB">
        <w:rPr>
          <w:rFonts w:asciiTheme="majorHAnsi" w:hAnsiTheme="majorHAnsi" w:cstheme="majorHAnsi"/>
          <w:color w:val="000000"/>
          <w:lang w:val="en-US"/>
        </w:rPr>
        <w:t xml:space="preserve"> </w:t>
      </w:r>
      <w:r w:rsidRPr="00F93BAE">
        <w:rPr>
          <w:rFonts w:asciiTheme="majorHAnsi" w:hAnsiTheme="majorHAnsi" w:cstheme="majorHAnsi"/>
          <w:color w:val="000000"/>
          <w:lang w:val="en-US"/>
        </w:rPr>
        <w:t>The need to enhance the existing Teacher Education Institutes (TEI) curriculum to ensure that future graduates have the competencies required for Beginning Teachers defined in the PPST was also recognized as part of the necessary change. In addition, the teacher pool needed to be expanded to ensure that shortage areas such as science and mathematics were covered by trained graduates who fully met the new teacher competencies.</w:t>
      </w:r>
    </w:p>
    <w:p w14:paraId="130333BF" w14:textId="3ACAABE9" w:rsidR="008D0CAD" w:rsidRPr="00F93BAE" w:rsidRDefault="008D0CAD" w:rsidP="009443E0">
      <w:pPr>
        <w:spacing w:before="100" w:beforeAutospacing="1" w:after="100" w:afterAutospacing="1" w:line="360" w:lineRule="auto"/>
        <w:rPr>
          <w:rFonts w:asciiTheme="majorHAnsi" w:hAnsiTheme="majorHAnsi" w:cstheme="majorHAnsi"/>
          <w:color w:val="000000"/>
          <w:lang w:val="en-US"/>
        </w:rPr>
      </w:pPr>
      <w:r w:rsidRPr="00F93BAE">
        <w:rPr>
          <w:rFonts w:asciiTheme="majorHAnsi" w:hAnsiTheme="majorHAnsi" w:cstheme="majorHAnsi"/>
          <w:color w:val="000000"/>
          <w:lang w:val="en-US"/>
        </w:rPr>
        <w:t>BEST Program support to teacher pre-service quality improvement was delivered through various tracks. RCTQ completed the Pre-service Teachers’ Development Needs Study which assessed prospective new elementary and secondary school teachers’ knowledge in Math, Science, English and Filipino and their pedagogical knowledge that provided information on their level of preparedness to deliver the K–12 Curriculum.</w:t>
      </w:r>
      <w:r w:rsidR="00D434EB">
        <w:rPr>
          <w:rFonts w:asciiTheme="majorHAnsi" w:hAnsiTheme="majorHAnsi" w:cstheme="majorHAnsi"/>
          <w:color w:val="000000"/>
          <w:lang w:val="en-US"/>
        </w:rPr>
        <w:t xml:space="preserve"> </w:t>
      </w:r>
      <w:r w:rsidRPr="00F93BAE">
        <w:rPr>
          <w:rFonts w:asciiTheme="majorHAnsi" w:hAnsiTheme="majorHAnsi" w:cstheme="majorHAnsi"/>
          <w:color w:val="000000"/>
          <w:lang w:val="en-US"/>
        </w:rPr>
        <w:t xml:space="preserve">The results of this study informed the design of a curriculum for pre-service teachers that was consistent with K-12 and identified possible interventions for new teachers. BEST then further supported the development and implementation in select TEIs, of the National TEI Curriculum Quality Audit (CQA) and training which assisted TEIs to align their curriculum to the PPST. The CQA work was overseen by RCTQ. </w:t>
      </w:r>
    </w:p>
    <w:p w14:paraId="7CE4E6F9" w14:textId="77777777" w:rsidR="008D0CAD" w:rsidRPr="00F93BAE" w:rsidRDefault="008D0CAD" w:rsidP="009443E0">
      <w:pPr>
        <w:spacing w:before="100" w:beforeAutospacing="1" w:after="100" w:afterAutospacing="1" w:line="360" w:lineRule="auto"/>
        <w:rPr>
          <w:rFonts w:asciiTheme="majorHAnsi" w:hAnsiTheme="majorHAnsi" w:cstheme="majorHAnsi"/>
          <w:color w:val="000000"/>
          <w:lang w:val="en-US"/>
        </w:rPr>
      </w:pPr>
      <w:r w:rsidRPr="00F93BAE">
        <w:rPr>
          <w:rFonts w:asciiTheme="majorHAnsi" w:hAnsiTheme="majorHAnsi" w:cstheme="majorHAnsi"/>
          <w:color w:val="000000"/>
          <w:lang w:val="en-US"/>
        </w:rPr>
        <w:t>At a policy level, BEST continued to support the Commission on Higher Education (CHED) in the development of a National Research Agenda for Teacher Education (NRATE) which provided the directions and priorities of research in teacher education to inform policies, planning and programs in medium term to strengthen teacher education program in the Philippines. BEST also implemented a Capability Building Series for personnel from TEI’s to offer specific input and updates on a range of teaching and learning issues such as Inclusive Education, Action Research and Formative Assessment.</w:t>
      </w:r>
    </w:p>
    <w:p w14:paraId="747DCE52" w14:textId="0C31E55C" w:rsidR="008D0CAD" w:rsidRPr="00F93BAE" w:rsidRDefault="008D0CAD" w:rsidP="009443E0">
      <w:pPr>
        <w:spacing w:before="100" w:beforeAutospacing="1" w:after="100" w:afterAutospacing="1" w:line="360" w:lineRule="auto"/>
        <w:rPr>
          <w:rFonts w:asciiTheme="majorHAnsi" w:hAnsiTheme="majorHAnsi" w:cstheme="majorHAnsi"/>
          <w:color w:val="000000"/>
          <w:lang w:val="en-US"/>
        </w:rPr>
      </w:pPr>
      <w:r w:rsidRPr="00F93BAE">
        <w:rPr>
          <w:rFonts w:asciiTheme="majorHAnsi" w:hAnsiTheme="majorHAnsi" w:cstheme="majorHAnsi"/>
          <w:color w:val="000000"/>
          <w:lang w:val="en-US"/>
        </w:rPr>
        <w:t>The Philippines Business for Education (PBED), a BEST implementing partner, managed a local scholarship program aimed to attract highly qualified individuals to become teachers in learning areas where they were needed, e.g., Math, Science and English.</w:t>
      </w:r>
      <w:r w:rsidR="00D434EB">
        <w:rPr>
          <w:rFonts w:asciiTheme="majorHAnsi" w:hAnsiTheme="majorHAnsi" w:cstheme="majorHAnsi"/>
          <w:color w:val="000000"/>
          <w:lang w:val="en-US"/>
        </w:rPr>
        <w:t xml:space="preserve"> </w:t>
      </w:r>
      <w:r w:rsidRPr="00F93BAE">
        <w:rPr>
          <w:rFonts w:asciiTheme="majorHAnsi" w:hAnsiTheme="majorHAnsi" w:cstheme="majorHAnsi"/>
          <w:color w:val="000000"/>
          <w:lang w:val="en-US"/>
        </w:rPr>
        <w:t>PBED also implemented a campaign to raise the profile and attract qualified individuals to join the teaching profession.</w:t>
      </w:r>
    </w:p>
    <w:p w14:paraId="19612756" w14:textId="77777777" w:rsidR="008D0CAD" w:rsidRPr="00D354DC" w:rsidRDefault="008D0CAD" w:rsidP="00DD08E3">
      <w:pPr>
        <w:numPr>
          <w:ilvl w:val="0"/>
          <w:numId w:val="63"/>
        </w:numPr>
        <w:spacing w:before="100" w:beforeAutospacing="1" w:after="100" w:afterAutospacing="1" w:line="360" w:lineRule="auto"/>
        <w:contextualSpacing/>
        <w:rPr>
          <w:rFonts w:asciiTheme="majorHAnsi" w:hAnsiTheme="majorHAnsi" w:cstheme="majorHAnsi"/>
          <w:b/>
          <w:bCs/>
          <w:snapToGrid w:val="0"/>
          <w:lang w:val="en-US"/>
        </w:rPr>
      </w:pPr>
      <w:r w:rsidRPr="00D354DC">
        <w:rPr>
          <w:rFonts w:asciiTheme="majorHAnsi" w:hAnsiTheme="majorHAnsi" w:cstheme="majorHAnsi"/>
          <w:b/>
          <w:bCs/>
          <w:snapToGrid w:val="0"/>
          <w:color w:val="000000"/>
          <w:lang w:val="en-US"/>
        </w:rPr>
        <w:t>School-based Management</w:t>
      </w:r>
    </w:p>
    <w:p w14:paraId="3F2ED859" w14:textId="77777777" w:rsidR="008D0CAD" w:rsidRPr="00F93BAE" w:rsidRDefault="008D0CAD" w:rsidP="009443E0">
      <w:pPr>
        <w:spacing w:before="100" w:beforeAutospacing="1" w:after="100" w:afterAutospacing="1" w:line="360" w:lineRule="auto"/>
        <w:rPr>
          <w:rFonts w:asciiTheme="majorHAnsi" w:hAnsiTheme="majorHAnsi" w:cstheme="majorHAnsi"/>
          <w:color w:val="000000"/>
          <w:lang w:val="en-US"/>
        </w:rPr>
      </w:pPr>
      <w:r w:rsidRPr="00F93BAE">
        <w:rPr>
          <w:rFonts w:asciiTheme="majorHAnsi" w:hAnsiTheme="majorHAnsi" w:cstheme="majorHAnsi"/>
          <w:color w:val="000000"/>
          <w:lang w:val="en-US"/>
        </w:rPr>
        <w:t>School-based management (SBM) is a strategy to improve learning, by transferring significant decision-making from the central government to regions, divisions and schools. SBM provides principals, teachers, students, parents, communities and local governments with greater involvement over the education process to create more effective and contextualised learning environments for children that are based on transparency, accountability and ownership. The strengthened approach for a community and child-centered education system reinforces the principle of a community-based learning environment where stakeholders have a shared responsibility in protecting and promoting children’s rights to quality and accessible basic education.</w:t>
      </w:r>
    </w:p>
    <w:p w14:paraId="032E9A77" w14:textId="77777777" w:rsidR="008D0CAD" w:rsidRPr="00F93BAE" w:rsidRDefault="008D0CAD" w:rsidP="009443E0">
      <w:pPr>
        <w:spacing w:before="100" w:beforeAutospacing="1" w:after="100" w:afterAutospacing="1" w:line="360" w:lineRule="auto"/>
        <w:rPr>
          <w:rFonts w:asciiTheme="majorHAnsi" w:hAnsiTheme="majorHAnsi" w:cstheme="majorHAnsi"/>
          <w:color w:val="000000"/>
          <w:lang w:val="en-US"/>
        </w:rPr>
      </w:pPr>
      <w:r w:rsidRPr="00F93BAE">
        <w:rPr>
          <w:rFonts w:asciiTheme="majorHAnsi" w:hAnsiTheme="majorHAnsi" w:cstheme="majorHAnsi"/>
          <w:color w:val="000000"/>
          <w:lang w:val="en-US"/>
        </w:rPr>
        <w:t>As a decentralised mechanism to cascade prudent policy and planning processes and practices from the national level, the School Improvement Planning (SIP) was adopted to reflect the current and emerging situations and priority development needs of schools where resource allocation could be provided to improve learning outcomes.</w:t>
      </w:r>
    </w:p>
    <w:p w14:paraId="481D616E" w14:textId="55FF27D9" w:rsidR="008D0CAD" w:rsidRPr="009443E0" w:rsidRDefault="008D0CAD" w:rsidP="009443E0">
      <w:pPr>
        <w:spacing w:before="100" w:beforeAutospacing="1" w:after="100" w:afterAutospacing="1" w:line="360" w:lineRule="auto"/>
        <w:rPr>
          <w:rFonts w:asciiTheme="majorHAnsi" w:hAnsiTheme="majorHAnsi" w:cstheme="majorHAnsi"/>
          <w:color w:val="000000"/>
          <w:lang w:val="en-US"/>
        </w:rPr>
      </w:pPr>
      <w:r w:rsidRPr="00F93BAE">
        <w:rPr>
          <w:rFonts w:asciiTheme="majorHAnsi" w:hAnsiTheme="majorHAnsi" w:cstheme="majorHAnsi"/>
          <w:color w:val="000000"/>
          <w:lang w:val="en-US"/>
        </w:rPr>
        <w:t>BEST Program support to SBM included three tracks: the finalization of key SBM policies establishing SBM organizational structures, systems, and processes; the strengthening of the capacity of SBM coordinators and school personnel in pilot schools on implementing SBM; and the development of knowledge products on SBM.</w:t>
      </w:r>
    </w:p>
    <w:p w14:paraId="2A2FA65C" w14:textId="77777777" w:rsidR="008D0CAD" w:rsidRPr="00F93BAE" w:rsidRDefault="008D0CAD" w:rsidP="00DD08E3">
      <w:pPr>
        <w:numPr>
          <w:ilvl w:val="0"/>
          <w:numId w:val="63"/>
        </w:numPr>
        <w:spacing w:before="100" w:beforeAutospacing="1" w:after="100" w:afterAutospacing="1" w:line="360" w:lineRule="auto"/>
        <w:contextualSpacing/>
        <w:rPr>
          <w:rFonts w:asciiTheme="majorHAnsi" w:hAnsiTheme="majorHAnsi" w:cstheme="majorHAnsi"/>
          <w:b/>
          <w:bCs/>
          <w:snapToGrid w:val="0"/>
          <w:color w:val="000000"/>
          <w:lang w:val="en-US"/>
        </w:rPr>
      </w:pPr>
      <w:r w:rsidRPr="00F93BAE">
        <w:rPr>
          <w:rFonts w:asciiTheme="majorHAnsi" w:hAnsiTheme="majorHAnsi" w:cstheme="majorHAnsi"/>
          <w:b/>
          <w:bCs/>
          <w:snapToGrid w:val="0"/>
          <w:color w:val="000000"/>
          <w:lang w:val="en-US"/>
        </w:rPr>
        <w:t>Policy, Planning and Monitoring and Evaluation Systems</w:t>
      </w:r>
    </w:p>
    <w:p w14:paraId="010DD265" w14:textId="7138BA7C" w:rsidR="008D0CAD" w:rsidRPr="00F93BAE" w:rsidRDefault="008D0CAD" w:rsidP="009443E0">
      <w:pPr>
        <w:spacing w:before="100" w:beforeAutospacing="1" w:after="100" w:afterAutospacing="1" w:line="360" w:lineRule="auto"/>
        <w:rPr>
          <w:rFonts w:asciiTheme="majorHAnsi" w:hAnsiTheme="majorHAnsi" w:cstheme="majorHAnsi"/>
          <w:color w:val="000000"/>
          <w:lang w:val="en-US"/>
        </w:rPr>
      </w:pPr>
      <w:r w:rsidRPr="00F93BAE">
        <w:rPr>
          <w:rFonts w:asciiTheme="majorHAnsi" w:hAnsiTheme="majorHAnsi" w:cstheme="majorHAnsi"/>
          <w:color w:val="000000"/>
          <w:lang w:val="en-US"/>
        </w:rPr>
        <w:t>One of the major initiatives of DepED was the strengthening of its planning, monitoring and evaluation functions.</w:t>
      </w:r>
      <w:r w:rsidR="00D434EB">
        <w:rPr>
          <w:rFonts w:asciiTheme="majorHAnsi" w:hAnsiTheme="majorHAnsi" w:cstheme="majorHAnsi"/>
          <w:color w:val="000000"/>
          <w:lang w:val="en-US"/>
        </w:rPr>
        <w:t xml:space="preserve"> </w:t>
      </w:r>
      <w:r w:rsidRPr="00F93BAE">
        <w:rPr>
          <w:rFonts w:asciiTheme="majorHAnsi" w:hAnsiTheme="majorHAnsi" w:cstheme="majorHAnsi"/>
          <w:color w:val="000000"/>
          <w:lang w:val="en-US"/>
        </w:rPr>
        <w:t xml:space="preserve">Various development assistance programs and projects in the past had contributed to strengthening the planning and M&amp;E competencies of DepED staff at all governance levels. Each project provided technical support, systems improvement and a series of capability building activities on education planning, program monitoring and outcomes evaluation with schools. Schools were taught how to prepare and package the School Improvement Plan, while divisions were assisted to prepare their Division Education Development Plan, and the regions supported to develop their Regional Education Development Plan. </w:t>
      </w:r>
    </w:p>
    <w:p w14:paraId="0A4D1E4C" w14:textId="28570C80" w:rsidR="008D0CAD" w:rsidRPr="00F93BAE" w:rsidRDefault="008D0CAD" w:rsidP="009443E0">
      <w:pPr>
        <w:spacing w:before="100" w:beforeAutospacing="1" w:after="100" w:afterAutospacing="1" w:line="360" w:lineRule="auto"/>
        <w:rPr>
          <w:rFonts w:asciiTheme="majorHAnsi" w:hAnsiTheme="majorHAnsi" w:cstheme="majorHAnsi"/>
          <w:color w:val="000000"/>
          <w:lang w:val="en-US"/>
        </w:rPr>
      </w:pPr>
      <w:r w:rsidRPr="00F93BAE">
        <w:rPr>
          <w:rFonts w:asciiTheme="majorHAnsi" w:hAnsiTheme="majorHAnsi" w:cstheme="majorHAnsi"/>
          <w:color w:val="000000"/>
          <w:lang w:val="en-US"/>
        </w:rPr>
        <w:t>The BEST Program supported DepED in harmonizing past initiatives into one coherent system of planning, budgeting, and monitoring and evaluation with a view to having these processes linked to the teaching and learning processes in schools.</w:t>
      </w:r>
      <w:r w:rsidR="00D434EB">
        <w:rPr>
          <w:rFonts w:asciiTheme="majorHAnsi" w:hAnsiTheme="majorHAnsi" w:cstheme="majorHAnsi"/>
          <w:color w:val="000000"/>
          <w:lang w:val="en-US"/>
        </w:rPr>
        <w:t xml:space="preserve"> </w:t>
      </w:r>
      <w:r w:rsidRPr="00F93BAE">
        <w:rPr>
          <w:rFonts w:asciiTheme="majorHAnsi" w:hAnsiTheme="majorHAnsi" w:cstheme="majorHAnsi"/>
          <w:color w:val="000000"/>
          <w:lang w:val="en-US"/>
        </w:rPr>
        <w:t>BEST support included training, coaching and mentoring and most importantly the development of the Project Management Information System and the Enhanced Basic Education Information System, which enabled DepED to make full use of education data and information, formulate data-driven plans, make evidence-based decisions and to do more outcome driven evaluations.</w:t>
      </w:r>
    </w:p>
    <w:p w14:paraId="4B900687" w14:textId="77777777" w:rsidR="008D0CAD" w:rsidRPr="00F93BAE" w:rsidRDefault="008D0CAD" w:rsidP="00DD08E3">
      <w:pPr>
        <w:pageBreakBefore/>
        <w:numPr>
          <w:ilvl w:val="0"/>
          <w:numId w:val="63"/>
        </w:numPr>
        <w:spacing w:before="100" w:beforeAutospacing="1" w:after="100" w:afterAutospacing="1" w:line="360" w:lineRule="auto"/>
        <w:ind w:left="357" w:hanging="357"/>
        <w:contextualSpacing/>
        <w:rPr>
          <w:rFonts w:asciiTheme="majorHAnsi" w:hAnsiTheme="majorHAnsi" w:cstheme="majorHAnsi"/>
          <w:snapToGrid w:val="0"/>
          <w:lang w:val="en-US"/>
        </w:rPr>
      </w:pPr>
      <w:r w:rsidRPr="00F93BAE">
        <w:rPr>
          <w:rFonts w:asciiTheme="majorHAnsi" w:hAnsiTheme="majorHAnsi" w:cstheme="majorHAnsi"/>
          <w:b/>
          <w:bCs/>
          <w:snapToGrid w:val="0"/>
          <w:color w:val="000000"/>
          <w:lang w:val="en-US"/>
        </w:rPr>
        <w:t>Unified Information System and Sub Systems</w:t>
      </w:r>
    </w:p>
    <w:p w14:paraId="6F5741DE" w14:textId="77777777" w:rsidR="008D0CAD" w:rsidRPr="00F93BAE" w:rsidRDefault="008D0CAD" w:rsidP="009443E0">
      <w:pPr>
        <w:spacing w:before="100" w:beforeAutospacing="1" w:after="100" w:afterAutospacing="1" w:line="360" w:lineRule="auto"/>
        <w:rPr>
          <w:rFonts w:asciiTheme="majorHAnsi" w:hAnsiTheme="majorHAnsi" w:cstheme="majorHAnsi"/>
          <w:color w:val="000000"/>
          <w:lang w:val="en-US"/>
        </w:rPr>
      </w:pPr>
      <w:r w:rsidRPr="00F93BAE">
        <w:rPr>
          <w:rFonts w:asciiTheme="majorHAnsi" w:hAnsiTheme="majorHAnsi" w:cstheme="majorHAnsi"/>
          <w:color w:val="000000"/>
          <w:lang w:val="en-US"/>
        </w:rPr>
        <w:t>Data collection and analysis was a major challenge for DepED, considering its size, expanse, and breadth. Critical to the delivery of improved education services is an effective and efficient system for managing its data assets to enable evidence-based planning for resource allocation and providing crucial information within DepED and other agencies for decision-making.</w:t>
      </w:r>
    </w:p>
    <w:p w14:paraId="0186DB7C" w14:textId="2E87623E" w:rsidR="008D0CAD" w:rsidRPr="00F93BAE" w:rsidRDefault="008D0CAD" w:rsidP="009443E0">
      <w:pPr>
        <w:spacing w:before="100" w:beforeAutospacing="1" w:after="100" w:afterAutospacing="1" w:line="360" w:lineRule="auto"/>
        <w:rPr>
          <w:rFonts w:asciiTheme="majorHAnsi" w:hAnsiTheme="majorHAnsi" w:cstheme="majorHAnsi"/>
          <w:color w:val="000000"/>
          <w:lang w:val="en-US"/>
        </w:rPr>
      </w:pPr>
      <w:r w:rsidRPr="00F93BAE">
        <w:rPr>
          <w:rFonts w:asciiTheme="majorHAnsi" w:hAnsiTheme="majorHAnsi" w:cstheme="majorHAnsi"/>
          <w:color w:val="000000"/>
          <w:lang w:val="en-US"/>
        </w:rPr>
        <w:t>The Unified Information System consisted of several application systems (sub-systems) that were linked to support common processes and information requirements across DepED.</w:t>
      </w:r>
      <w:r w:rsidR="00D434EB">
        <w:rPr>
          <w:rFonts w:asciiTheme="majorHAnsi" w:hAnsiTheme="majorHAnsi" w:cstheme="majorHAnsi"/>
          <w:color w:val="000000"/>
          <w:lang w:val="en-US"/>
        </w:rPr>
        <w:t xml:space="preserve"> </w:t>
      </w:r>
      <w:r w:rsidRPr="00F93BAE">
        <w:rPr>
          <w:rFonts w:asciiTheme="majorHAnsi" w:hAnsiTheme="majorHAnsi" w:cstheme="majorHAnsi"/>
          <w:color w:val="000000"/>
          <w:lang w:val="en-US"/>
        </w:rPr>
        <w:t>DepED prioritized the roll-out the following critical sub-systems designed to increase access to information so as to enable data-driven decision-making at all levels from school to district, division, region and nation.</w:t>
      </w:r>
    </w:p>
    <w:p w14:paraId="2D9EE503" w14:textId="77777777" w:rsidR="008D0CAD" w:rsidRPr="00F93BAE" w:rsidRDefault="008D0CAD" w:rsidP="009443E0">
      <w:pPr>
        <w:spacing w:before="100" w:beforeAutospacing="1" w:after="100" w:afterAutospacing="1" w:line="360" w:lineRule="auto"/>
        <w:rPr>
          <w:rFonts w:asciiTheme="majorHAnsi" w:hAnsiTheme="majorHAnsi" w:cstheme="majorHAnsi"/>
          <w:color w:val="000000"/>
          <w:lang w:val="en-US"/>
        </w:rPr>
      </w:pPr>
      <w:r w:rsidRPr="00F93BAE">
        <w:rPr>
          <w:rFonts w:asciiTheme="majorHAnsi" w:hAnsiTheme="majorHAnsi" w:cstheme="majorHAnsi"/>
          <w:color w:val="000000"/>
          <w:lang w:val="en-US"/>
        </w:rPr>
        <w:t xml:space="preserve">The </w:t>
      </w:r>
      <w:r w:rsidRPr="00F93BAE">
        <w:rPr>
          <w:rFonts w:asciiTheme="majorHAnsi" w:hAnsiTheme="majorHAnsi" w:cstheme="majorHAnsi"/>
          <w:b/>
          <w:bCs/>
          <w:color w:val="000000"/>
          <w:lang w:val="en-US"/>
        </w:rPr>
        <w:t>Enhanced Basic Education Information System (EBEIS</w:t>
      </w:r>
      <w:r w:rsidRPr="00F93BAE">
        <w:rPr>
          <w:rFonts w:asciiTheme="majorHAnsi" w:hAnsiTheme="majorHAnsi" w:cstheme="majorHAnsi"/>
          <w:color w:val="000000"/>
          <w:lang w:val="en-US"/>
        </w:rPr>
        <w:t>) is a web-based system that maintains a database of public and private schools’ education statistics. The system was developed due to the urgent need to improve the collection of data from schools and to streamline data management processes to deliver timely, relevant and accurate information to effectively support planning, budgeting, formulating policies and other decision-making activities at various levels of the education system i.e. school, division, regional and national levels.</w:t>
      </w:r>
    </w:p>
    <w:p w14:paraId="43C46A13" w14:textId="77777777" w:rsidR="008D0CAD" w:rsidRPr="00F93BAE" w:rsidRDefault="008D0CAD" w:rsidP="009443E0">
      <w:pPr>
        <w:spacing w:before="100" w:beforeAutospacing="1" w:after="100" w:afterAutospacing="1" w:line="360" w:lineRule="auto"/>
        <w:rPr>
          <w:rFonts w:asciiTheme="majorHAnsi" w:hAnsiTheme="majorHAnsi" w:cstheme="majorHAnsi"/>
          <w:color w:val="000000"/>
          <w:lang w:val="en-US"/>
        </w:rPr>
      </w:pPr>
      <w:r w:rsidRPr="00F93BAE">
        <w:rPr>
          <w:rFonts w:asciiTheme="majorHAnsi" w:hAnsiTheme="majorHAnsi" w:cstheme="majorHAnsi"/>
          <w:color w:val="000000"/>
          <w:lang w:val="en-US"/>
        </w:rPr>
        <w:t>The</w:t>
      </w:r>
      <w:r w:rsidRPr="00F93BAE">
        <w:rPr>
          <w:rFonts w:asciiTheme="majorHAnsi" w:hAnsiTheme="majorHAnsi" w:cstheme="majorHAnsi"/>
          <w:b/>
          <w:bCs/>
          <w:color w:val="000000"/>
          <w:lang w:val="en-US"/>
        </w:rPr>
        <w:t xml:space="preserve"> Learner Information System (LIS)</w:t>
      </w:r>
      <w:r w:rsidRPr="00F93BAE">
        <w:rPr>
          <w:rFonts w:asciiTheme="majorHAnsi" w:hAnsiTheme="majorHAnsi" w:cstheme="majorHAnsi"/>
          <w:color w:val="000000"/>
          <w:lang w:val="en-US"/>
        </w:rPr>
        <w:t xml:space="preserve"> is an online registry of all formal and non-formal learners in the Philippine basic education system. It is a national database that contains every learner’s basic data, which includes among others, information on where and what program he or she is enrolled in for a given school year or duration of a program. The LIS was designed and implemented with the objectives of knowing who the learners are, where they are, who fall in and out of the system and how they are progressing so that the department is well-informed and properly guided in crafting learner-centered policies and programs to achieve the goal of providing quality education for all.</w:t>
      </w:r>
    </w:p>
    <w:p w14:paraId="612632E7" w14:textId="77777777" w:rsidR="008D0CAD" w:rsidRPr="00F93BAE" w:rsidRDefault="008D0CAD" w:rsidP="009443E0">
      <w:pPr>
        <w:spacing w:before="100" w:beforeAutospacing="1" w:after="100" w:afterAutospacing="1" w:line="360" w:lineRule="auto"/>
        <w:rPr>
          <w:rFonts w:asciiTheme="majorHAnsi" w:hAnsiTheme="majorHAnsi" w:cstheme="majorHAnsi"/>
          <w:color w:val="000000"/>
          <w:lang w:val="en-US"/>
        </w:rPr>
      </w:pPr>
      <w:r w:rsidRPr="00F93BAE">
        <w:rPr>
          <w:rFonts w:asciiTheme="majorHAnsi" w:hAnsiTheme="majorHAnsi" w:cstheme="majorHAnsi"/>
          <w:color w:val="000000"/>
          <w:lang w:val="en-US"/>
        </w:rPr>
        <w:t xml:space="preserve">The </w:t>
      </w:r>
      <w:r w:rsidRPr="00F93BAE">
        <w:rPr>
          <w:rFonts w:asciiTheme="majorHAnsi" w:hAnsiTheme="majorHAnsi" w:cstheme="majorHAnsi"/>
          <w:b/>
          <w:bCs/>
          <w:color w:val="000000"/>
          <w:lang w:val="en-US"/>
        </w:rPr>
        <w:t>Learning Resource Portal (LR</w:t>
      </w:r>
      <w:r w:rsidRPr="00F93BAE">
        <w:rPr>
          <w:rFonts w:asciiTheme="majorHAnsi" w:hAnsiTheme="majorHAnsi" w:cstheme="majorHAnsi"/>
          <w:color w:val="000000"/>
          <w:lang w:val="en-US"/>
        </w:rPr>
        <w:t>) is a content management portal that maintains a centralised repository of quality-assured learning resources that is accessible to schools. It is used as a vehicle for disseminating K–12 materials and a tool for teachers to access relevant materials for teaching and learning. It has had the crucial cataloguing and distribution of Senior High School, Alternative Learning System and Professional Development.</w:t>
      </w:r>
    </w:p>
    <w:p w14:paraId="117BC1E8" w14:textId="77777777" w:rsidR="008D0CAD" w:rsidRPr="00F93BAE" w:rsidRDefault="008D0CAD" w:rsidP="009443E0">
      <w:pPr>
        <w:spacing w:before="100" w:beforeAutospacing="1" w:after="100" w:afterAutospacing="1" w:line="360" w:lineRule="auto"/>
        <w:rPr>
          <w:rFonts w:asciiTheme="majorHAnsi" w:hAnsiTheme="majorHAnsi" w:cstheme="majorHAnsi"/>
          <w:color w:val="000000"/>
          <w:lang w:val="en-US"/>
        </w:rPr>
      </w:pPr>
      <w:r w:rsidRPr="00F93BAE">
        <w:rPr>
          <w:rFonts w:asciiTheme="majorHAnsi" w:hAnsiTheme="majorHAnsi" w:cstheme="majorHAnsi"/>
          <w:color w:val="000000"/>
          <w:lang w:val="en-US"/>
        </w:rPr>
        <w:t xml:space="preserve">The </w:t>
      </w:r>
      <w:r w:rsidRPr="00F93BAE">
        <w:rPr>
          <w:rFonts w:asciiTheme="majorHAnsi" w:hAnsiTheme="majorHAnsi" w:cstheme="majorHAnsi"/>
          <w:b/>
          <w:bCs/>
          <w:color w:val="000000"/>
          <w:lang w:val="en-US"/>
        </w:rPr>
        <w:t>Project Management Information System (PMIS)</w:t>
      </w:r>
      <w:r w:rsidRPr="00F93BAE">
        <w:rPr>
          <w:rFonts w:asciiTheme="majorHAnsi" w:hAnsiTheme="majorHAnsi" w:cstheme="majorHAnsi"/>
          <w:color w:val="000000"/>
          <w:lang w:val="en-US"/>
        </w:rPr>
        <w:t xml:space="preserve"> is an operations support system that aims to facilitate the effective and efficient planning, budgeting and implementation of programs and projects in the department. Through online and offline facilities, the system captures and maintains data on programs, projects and activities including budget allocations, procurement plan, physical and financial accomplishments. It also automates the processes for the review and approval of activities to be implemented such that information on budget utilisation and progress of implementation are readily accessible and available to enable proactive decision-making at all levels of governance. It also provides a platform that encourages a more careful and systematic preparation of plans and utilisation of budget. The system is implemented in all operating units of DepEd at the national, regional and division levels. The system will be implemented in all public schools in 2019.</w:t>
      </w:r>
    </w:p>
    <w:p w14:paraId="53CA89AB" w14:textId="77777777" w:rsidR="008D0CAD" w:rsidRPr="00F93BAE" w:rsidRDefault="008D0CAD" w:rsidP="00DD08E3">
      <w:pPr>
        <w:numPr>
          <w:ilvl w:val="0"/>
          <w:numId w:val="63"/>
        </w:numPr>
        <w:spacing w:before="100" w:beforeAutospacing="1" w:after="100" w:afterAutospacing="1" w:line="360" w:lineRule="auto"/>
        <w:contextualSpacing/>
        <w:rPr>
          <w:rFonts w:asciiTheme="majorHAnsi" w:hAnsiTheme="majorHAnsi" w:cstheme="majorHAnsi"/>
          <w:b/>
          <w:bCs/>
          <w:snapToGrid w:val="0"/>
          <w:color w:val="000000"/>
          <w:lang w:val="en-US"/>
        </w:rPr>
      </w:pPr>
      <w:r w:rsidRPr="00F93BAE">
        <w:rPr>
          <w:rFonts w:asciiTheme="majorHAnsi" w:hAnsiTheme="majorHAnsi" w:cstheme="majorHAnsi"/>
          <w:b/>
          <w:bCs/>
          <w:snapToGrid w:val="0"/>
          <w:color w:val="000000"/>
          <w:lang w:val="en-US"/>
        </w:rPr>
        <w:t>Gender Equity, Disability and Social Inclusion (GEDSI)</w:t>
      </w:r>
    </w:p>
    <w:p w14:paraId="1C103B4B" w14:textId="1AD0B2E7" w:rsidR="008D0CAD" w:rsidRPr="00F93BAE" w:rsidRDefault="008D0CAD" w:rsidP="009443E0">
      <w:pPr>
        <w:spacing w:before="100" w:beforeAutospacing="1" w:after="100" w:afterAutospacing="1" w:line="360" w:lineRule="auto"/>
        <w:rPr>
          <w:rFonts w:asciiTheme="majorHAnsi" w:hAnsiTheme="majorHAnsi" w:cstheme="majorHAnsi"/>
          <w:color w:val="000000"/>
          <w:lang w:val="en-US"/>
        </w:rPr>
      </w:pPr>
      <w:r w:rsidRPr="00F93BAE">
        <w:rPr>
          <w:rFonts w:asciiTheme="majorHAnsi" w:hAnsiTheme="majorHAnsi" w:cstheme="majorHAnsi"/>
          <w:color w:val="000000"/>
          <w:lang w:val="en-US"/>
        </w:rPr>
        <w:t>There had been an increased focus on inclusive education driven by DepEd Order No 72 s 2009 which seeks to address the ongoing challenge of children with disabilities’ low access to and participation in education.</w:t>
      </w:r>
      <w:r w:rsidR="00D434EB">
        <w:rPr>
          <w:rFonts w:asciiTheme="majorHAnsi" w:hAnsiTheme="majorHAnsi" w:cstheme="majorHAnsi"/>
          <w:color w:val="000000"/>
          <w:lang w:val="en-US"/>
        </w:rPr>
        <w:t xml:space="preserve"> </w:t>
      </w:r>
      <w:r w:rsidRPr="00F93BAE">
        <w:rPr>
          <w:rFonts w:asciiTheme="majorHAnsi" w:hAnsiTheme="majorHAnsi" w:cstheme="majorHAnsi"/>
          <w:color w:val="000000"/>
          <w:lang w:val="en-US"/>
        </w:rPr>
        <w:t>This resulted in some children with disabilities transitioning from Special Education centers to participate in regular classroom activities. However, there remained significant gaps and challenges within the educational system to support children with disabilities in regular classrooms. DepEd developed programs for marginalised groups including Muslim, indigenous, and socioeconomically disadvantaged students; however, these programs segregate children from their peers and were not inclusive in their approach. Improving knowledge and awareness regarding inclusive education more broadly, and strategies to improve school capacity to provide inclusive classrooms and activities, are ongoing factors important for the sustainability of inclusive education.</w:t>
      </w:r>
    </w:p>
    <w:p w14:paraId="35BF5B60" w14:textId="536BFB3E" w:rsidR="008D0CAD" w:rsidRPr="00F93BAE" w:rsidRDefault="008D0CAD" w:rsidP="009443E0">
      <w:pPr>
        <w:spacing w:before="100" w:beforeAutospacing="1" w:after="100" w:afterAutospacing="1" w:line="360" w:lineRule="auto"/>
        <w:rPr>
          <w:rFonts w:asciiTheme="majorHAnsi" w:hAnsiTheme="majorHAnsi" w:cstheme="majorHAnsi"/>
          <w:color w:val="000000"/>
          <w:lang w:val="en-US"/>
        </w:rPr>
      </w:pPr>
      <w:r w:rsidRPr="00F93BAE">
        <w:rPr>
          <w:rFonts w:asciiTheme="majorHAnsi" w:hAnsiTheme="majorHAnsi" w:cstheme="majorHAnsi"/>
          <w:color w:val="000000"/>
          <w:lang w:val="en-US"/>
        </w:rPr>
        <w:t>The BEST Program took a twin-track approach to gender equity, disability and social inclusion (GEDSI) to support DepED. The first track was the mainstreaming GEDSI by making it an integral part of the L&amp;D trial activities.</w:t>
      </w:r>
      <w:r w:rsidR="00D434EB">
        <w:rPr>
          <w:rFonts w:asciiTheme="majorHAnsi" w:hAnsiTheme="majorHAnsi" w:cstheme="majorHAnsi"/>
          <w:color w:val="000000"/>
          <w:lang w:val="en-US"/>
        </w:rPr>
        <w:t xml:space="preserve"> </w:t>
      </w:r>
      <w:r w:rsidRPr="00F93BAE">
        <w:rPr>
          <w:rFonts w:asciiTheme="majorHAnsi" w:hAnsiTheme="majorHAnsi" w:cstheme="majorHAnsi"/>
          <w:color w:val="000000"/>
          <w:lang w:val="en-US"/>
        </w:rPr>
        <w:t xml:space="preserve">For example, BEST provided teaching and non-teaching staff with professional development opportunities that work towards strengthening their organizational capacity at the division and school levels to deliver quality and inclusive learning environments for all boys and girls. </w:t>
      </w:r>
    </w:p>
    <w:p w14:paraId="09215562" w14:textId="3D566C3E" w:rsidR="008D0CAD" w:rsidRPr="00F93BAE" w:rsidRDefault="008D0CAD" w:rsidP="009443E0">
      <w:pPr>
        <w:spacing w:before="100" w:beforeAutospacing="1" w:after="100" w:afterAutospacing="1" w:line="360" w:lineRule="auto"/>
        <w:rPr>
          <w:rFonts w:asciiTheme="majorHAnsi" w:hAnsiTheme="majorHAnsi" w:cstheme="majorHAnsi"/>
          <w:color w:val="000000"/>
          <w:lang w:val="en-US"/>
        </w:rPr>
      </w:pPr>
      <w:r w:rsidRPr="00F93BAE">
        <w:rPr>
          <w:rFonts w:asciiTheme="majorHAnsi" w:hAnsiTheme="majorHAnsi" w:cstheme="majorHAnsi"/>
          <w:color w:val="000000"/>
          <w:lang w:val="en-US"/>
        </w:rPr>
        <w:t>The second track involved mainstreaming Gender Equity at an institution-wide approach.</w:t>
      </w:r>
      <w:r w:rsidR="00D434EB">
        <w:rPr>
          <w:rFonts w:asciiTheme="majorHAnsi" w:hAnsiTheme="majorHAnsi" w:cstheme="majorHAnsi"/>
          <w:color w:val="000000"/>
          <w:lang w:val="en-US"/>
        </w:rPr>
        <w:t xml:space="preserve"> </w:t>
      </w:r>
      <w:r w:rsidRPr="00F93BAE">
        <w:rPr>
          <w:rFonts w:asciiTheme="majorHAnsi" w:hAnsiTheme="majorHAnsi" w:cstheme="majorHAnsi"/>
          <w:color w:val="000000"/>
          <w:lang w:val="en-US"/>
        </w:rPr>
        <w:t>Despite the implementation of GRBE policy through the re-institution of the Gender Focal Point System (GFPS), awareness about gender equality issues in education and DepEd’s capacity to identify relevant gender activities that supported and promoted gender equality were still extremely limited. Evidence suggested that most divisions and schools do not identify and/or plan relevant gender activities that utilized the gender budget effectively to enable gender mainstreaming throughout the education system.</w:t>
      </w:r>
      <w:r w:rsidR="00D434EB">
        <w:rPr>
          <w:rFonts w:asciiTheme="majorHAnsi" w:hAnsiTheme="majorHAnsi" w:cstheme="majorHAnsi"/>
          <w:color w:val="000000"/>
          <w:lang w:val="en-US"/>
        </w:rPr>
        <w:t xml:space="preserve"> </w:t>
      </w:r>
      <w:r w:rsidRPr="00F93BAE">
        <w:rPr>
          <w:rFonts w:asciiTheme="majorHAnsi" w:hAnsiTheme="majorHAnsi" w:cstheme="majorHAnsi"/>
          <w:color w:val="000000"/>
          <w:lang w:val="en-US"/>
        </w:rPr>
        <w:t>BEST supported GEDSI mainstreaming at a systems level by supporting the GFPS and promoting the appropriate use of the GAD budget in implementing activities that address factors contributing to the exclusion of girls and boys, people with disabilities, and people from different ethnic, religious and economic backgrounds from participating and benefitting from education.</w:t>
      </w:r>
      <w:r w:rsidR="00D434EB">
        <w:rPr>
          <w:rFonts w:asciiTheme="majorHAnsi" w:hAnsiTheme="majorHAnsi" w:cstheme="majorHAnsi"/>
          <w:color w:val="000000"/>
          <w:lang w:val="en-US"/>
        </w:rPr>
        <w:t xml:space="preserve"> </w:t>
      </w:r>
    </w:p>
    <w:p w14:paraId="5ED54C78" w14:textId="77777777" w:rsidR="008D0CAD" w:rsidRPr="00F93BAE" w:rsidRDefault="008D0CAD" w:rsidP="00DD08E3">
      <w:pPr>
        <w:numPr>
          <w:ilvl w:val="0"/>
          <w:numId w:val="63"/>
        </w:numPr>
        <w:spacing w:before="100" w:beforeAutospacing="1" w:after="100" w:afterAutospacing="1" w:line="360" w:lineRule="auto"/>
        <w:contextualSpacing/>
        <w:rPr>
          <w:rFonts w:asciiTheme="majorHAnsi" w:hAnsiTheme="majorHAnsi" w:cstheme="majorHAnsi"/>
          <w:b/>
          <w:bCs/>
          <w:snapToGrid w:val="0"/>
          <w:color w:val="000000"/>
          <w:lang w:val="en-US"/>
        </w:rPr>
      </w:pPr>
      <w:r w:rsidRPr="00F93BAE">
        <w:rPr>
          <w:rFonts w:asciiTheme="majorHAnsi" w:hAnsiTheme="majorHAnsi" w:cstheme="majorHAnsi"/>
          <w:b/>
          <w:bCs/>
          <w:snapToGrid w:val="0"/>
          <w:color w:val="000000"/>
          <w:lang w:val="en-US"/>
        </w:rPr>
        <w:t>Organizational Development</w:t>
      </w:r>
    </w:p>
    <w:p w14:paraId="37E37674" w14:textId="77777777" w:rsidR="008D0CAD" w:rsidRPr="00F93BAE" w:rsidRDefault="008D0CAD" w:rsidP="009443E0">
      <w:pPr>
        <w:spacing w:before="100" w:beforeAutospacing="1" w:after="100" w:afterAutospacing="1" w:line="360" w:lineRule="auto"/>
        <w:rPr>
          <w:rFonts w:asciiTheme="majorHAnsi" w:hAnsiTheme="majorHAnsi" w:cstheme="majorHAnsi"/>
          <w:color w:val="000000"/>
          <w:lang w:val="en-US"/>
        </w:rPr>
      </w:pPr>
      <w:r w:rsidRPr="00F93BAE">
        <w:rPr>
          <w:rFonts w:asciiTheme="majorHAnsi" w:hAnsiTheme="majorHAnsi" w:cstheme="majorHAnsi"/>
          <w:color w:val="000000"/>
          <w:lang w:val="en-US"/>
        </w:rPr>
        <w:t xml:space="preserve">The Department of Education’s organizational development program that started in 2011 aimed to align and further strengthen the entire bureaucracy to effectively implement the K–12 and its other strategic priorities. </w:t>
      </w:r>
    </w:p>
    <w:p w14:paraId="2C441855" w14:textId="77777777" w:rsidR="008D0CAD" w:rsidRPr="00F93BAE" w:rsidRDefault="008D0CAD" w:rsidP="009443E0">
      <w:pPr>
        <w:spacing w:before="100" w:beforeAutospacing="1" w:after="100" w:afterAutospacing="1" w:line="360" w:lineRule="auto"/>
        <w:rPr>
          <w:rFonts w:asciiTheme="majorHAnsi" w:hAnsiTheme="majorHAnsi" w:cstheme="majorHAnsi"/>
          <w:color w:val="000000"/>
          <w:lang w:val="en-US"/>
        </w:rPr>
      </w:pPr>
      <w:r w:rsidRPr="00F93BAE">
        <w:rPr>
          <w:rFonts w:asciiTheme="majorHAnsi" w:hAnsiTheme="majorHAnsi" w:cstheme="majorHAnsi"/>
          <w:color w:val="000000"/>
          <w:lang w:val="en-US"/>
        </w:rPr>
        <w:t>DepED used the ‘large systems organization transformation approach’ for their organizational development efforts, where structural and systems changes were implemented simultaneously yet coherently and in synchronized manner. The change process was planned and managed through key champions and competent change management facilitators from DepED and with support from BEST technical advisers.</w:t>
      </w:r>
    </w:p>
    <w:p w14:paraId="4B6646B3" w14:textId="77777777" w:rsidR="008D0CAD" w:rsidRPr="00F93BAE" w:rsidRDefault="008D0CAD" w:rsidP="009443E0">
      <w:pPr>
        <w:spacing w:before="100" w:beforeAutospacing="1" w:after="100" w:afterAutospacing="1" w:line="360" w:lineRule="auto"/>
        <w:rPr>
          <w:rFonts w:asciiTheme="majorHAnsi" w:hAnsiTheme="majorHAnsi" w:cstheme="majorHAnsi"/>
          <w:color w:val="000000"/>
          <w:lang w:val="en-US"/>
        </w:rPr>
      </w:pPr>
      <w:r w:rsidRPr="00F93BAE">
        <w:rPr>
          <w:rFonts w:asciiTheme="majorHAnsi" w:hAnsiTheme="majorHAnsi" w:cstheme="majorHAnsi"/>
          <w:color w:val="000000"/>
          <w:lang w:val="en-US"/>
        </w:rPr>
        <w:t>The priorities identified by DepED for BEST technical support included Results-based Performance Management System (RPMS), professional development of teaching and non-teaching positions, installing continuous improvement competencies within management systems and capacity building for the BHROD office and NEAP.</w:t>
      </w:r>
    </w:p>
    <w:p w14:paraId="2DB3285B" w14:textId="77777777" w:rsidR="008D0CAD" w:rsidRPr="00F93BAE" w:rsidRDefault="008D0CAD" w:rsidP="00DD08E3">
      <w:pPr>
        <w:pageBreakBefore/>
        <w:numPr>
          <w:ilvl w:val="0"/>
          <w:numId w:val="63"/>
        </w:numPr>
        <w:spacing w:before="100" w:beforeAutospacing="1" w:after="100" w:afterAutospacing="1" w:line="360" w:lineRule="auto"/>
        <w:ind w:left="357" w:hanging="357"/>
        <w:contextualSpacing/>
        <w:rPr>
          <w:rFonts w:asciiTheme="majorHAnsi" w:hAnsiTheme="majorHAnsi" w:cstheme="majorHAnsi"/>
          <w:b/>
          <w:bCs/>
          <w:snapToGrid w:val="0"/>
          <w:color w:val="000000"/>
          <w:lang w:val="en-US"/>
        </w:rPr>
      </w:pPr>
      <w:r w:rsidRPr="00F93BAE">
        <w:rPr>
          <w:rFonts w:asciiTheme="majorHAnsi" w:hAnsiTheme="majorHAnsi" w:cstheme="majorHAnsi"/>
          <w:b/>
          <w:bCs/>
          <w:snapToGrid w:val="0"/>
          <w:color w:val="000000"/>
          <w:lang w:val="en-US"/>
        </w:rPr>
        <w:t>Classroom Construction</w:t>
      </w:r>
    </w:p>
    <w:p w14:paraId="4D1FF10B" w14:textId="323C7501" w:rsidR="008D0CAD" w:rsidRDefault="008D0CAD" w:rsidP="009443E0">
      <w:pPr>
        <w:spacing w:before="100" w:beforeAutospacing="1" w:after="100" w:afterAutospacing="1" w:line="360" w:lineRule="auto"/>
        <w:rPr>
          <w:rFonts w:asciiTheme="majorHAnsi" w:hAnsiTheme="majorHAnsi" w:cstheme="majorHAnsi"/>
          <w:color w:val="000000"/>
          <w:lang w:val="en-US"/>
        </w:rPr>
      </w:pPr>
      <w:r w:rsidRPr="00F93BAE">
        <w:rPr>
          <w:rFonts w:asciiTheme="majorHAnsi" w:hAnsiTheme="majorHAnsi" w:cstheme="majorHAnsi"/>
          <w:color w:val="000000"/>
          <w:lang w:val="en-US"/>
        </w:rPr>
        <w:t>The Australian Government committed to fund the building of up to 509 classrooms in the Philippines through the Philippine Business for Social Progress, a BEST implementing partner.</w:t>
      </w:r>
      <w:r w:rsidR="00D434EB">
        <w:rPr>
          <w:rFonts w:asciiTheme="majorHAnsi" w:hAnsiTheme="majorHAnsi" w:cstheme="majorHAnsi"/>
          <w:color w:val="000000"/>
          <w:lang w:val="en-US"/>
        </w:rPr>
        <w:t xml:space="preserve"> </w:t>
      </w:r>
      <w:r w:rsidRPr="00F93BAE">
        <w:rPr>
          <w:rFonts w:asciiTheme="majorHAnsi" w:hAnsiTheme="majorHAnsi" w:cstheme="majorHAnsi"/>
          <w:color w:val="000000"/>
          <w:lang w:val="en-US"/>
        </w:rPr>
        <w:t>Out of this total, 288 classrooms were earmarked for schools in the six BEST target regions.</w:t>
      </w:r>
      <w:r w:rsidR="00D434EB">
        <w:rPr>
          <w:rFonts w:asciiTheme="majorHAnsi" w:hAnsiTheme="majorHAnsi" w:cstheme="majorHAnsi"/>
          <w:color w:val="000000"/>
          <w:lang w:val="en-US"/>
        </w:rPr>
        <w:t xml:space="preserve"> </w:t>
      </w:r>
      <w:r w:rsidRPr="00F93BAE">
        <w:rPr>
          <w:rFonts w:asciiTheme="majorHAnsi" w:hAnsiTheme="majorHAnsi" w:cstheme="majorHAnsi"/>
          <w:color w:val="000000"/>
          <w:lang w:val="en-US"/>
        </w:rPr>
        <w:t>All classrooms were supplied with school furniture and separate toilets for boys and girls.</w:t>
      </w:r>
      <w:r w:rsidR="00D434EB">
        <w:rPr>
          <w:rFonts w:asciiTheme="majorHAnsi" w:hAnsiTheme="majorHAnsi" w:cstheme="majorHAnsi"/>
          <w:color w:val="000000"/>
          <w:lang w:val="en-US"/>
        </w:rPr>
        <w:t xml:space="preserve"> </w:t>
      </w:r>
      <w:r w:rsidRPr="00F93BAE">
        <w:rPr>
          <w:rFonts w:asciiTheme="majorHAnsi" w:hAnsiTheme="majorHAnsi" w:cstheme="majorHAnsi"/>
          <w:color w:val="000000"/>
          <w:lang w:val="en-US"/>
        </w:rPr>
        <w:t>Classroom design included disaster resilience, gender and disability considerations.</w:t>
      </w:r>
    </w:p>
    <w:p w14:paraId="308B0D7C" w14:textId="77777777" w:rsidR="009F7AC9" w:rsidRDefault="009F7AC9" w:rsidP="009443E0">
      <w:pPr>
        <w:pStyle w:val="Heading2"/>
        <w:numPr>
          <w:ilvl w:val="0"/>
          <w:numId w:val="0"/>
        </w:numPr>
        <w:spacing w:before="100" w:beforeAutospacing="1" w:after="100" w:afterAutospacing="1" w:line="360" w:lineRule="auto"/>
        <w:ind w:left="1288" w:hanging="720"/>
        <w:sectPr w:rsidR="009F7AC9" w:rsidSect="009C64E9">
          <w:pgSz w:w="11900" w:h="16840"/>
          <w:pgMar w:top="1440" w:right="1440" w:bottom="1440" w:left="1440" w:header="720" w:footer="720" w:gutter="0"/>
          <w:cols w:space="720"/>
          <w:docGrid w:linePitch="360"/>
        </w:sectPr>
      </w:pPr>
      <w:bookmarkStart w:id="206" w:name="_Toc39938352"/>
      <w:bookmarkStart w:id="207" w:name="_Toc69820457"/>
    </w:p>
    <w:p w14:paraId="010ECB38" w14:textId="5F288534" w:rsidR="008D0CAD" w:rsidRPr="00F93BAE" w:rsidRDefault="008D0CAD" w:rsidP="009443E0">
      <w:pPr>
        <w:pStyle w:val="Heading2"/>
        <w:numPr>
          <w:ilvl w:val="0"/>
          <w:numId w:val="0"/>
        </w:numPr>
        <w:spacing w:before="100" w:beforeAutospacing="1" w:after="100" w:afterAutospacing="1" w:line="360" w:lineRule="auto"/>
        <w:ind w:left="1288" w:hanging="720"/>
      </w:pPr>
      <w:r w:rsidRPr="00F93BAE">
        <w:t>Annex C. Overview of Evaluation Methodology</w:t>
      </w:r>
      <w:bookmarkEnd w:id="206"/>
      <w:bookmarkEnd w:id="207"/>
    </w:p>
    <w:p w14:paraId="2F96E6B5" w14:textId="5559F0FF" w:rsidR="008D0CAD" w:rsidRPr="00F93BAE" w:rsidRDefault="008D0CAD" w:rsidP="00DD08E3">
      <w:pPr>
        <w:pStyle w:val="Heading3"/>
        <w:numPr>
          <w:ilvl w:val="0"/>
          <w:numId w:val="168"/>
        </w:numPr>
        <w:spacing w:before="100" w:beforeAutospacing="1" w:after="100" w:afterAutospacing="1" w:line="360" w:lineRule="auto"/>
        <w:rPr>
          <w:lang w:val="en-US"/>
        </w:rPr>
      </w:pPr>
      <w:bookmarkStart w:id="208" w:name="_Toc39938353"/>
      <w:bookmarkStart w:id="209" w:name="_Toc69820458"/>
      <w:r w:rsidRPr="00F93BAE">
        <w:rPr>
          <w:lang w:val="en-US"/>
        </w:rPr>
        <w:t>Revisions in the Evaluation Methodology</w:t>
      </w:r>
      <w:bookmarkEnd w:id="208"/>
      <w:bookmarkEnd w:id="209"/>
    </w:p>
    <w:p w14:paraId="4B1D6C8B" w14:textId="4CC34B22" w:rsidR="008D0CAD" w:rsidRPr="00F93BAE" w:rsidRDefault="008D0CAD" w:rsidP="009443E0">
      <w:pPr>
        <w:spacing w:before="100" w:beforeAutospacing="1" w:after="100" w:afterAutospacing="1" w:line="360" w:lineRule="auto"/>
        <w:rPr>
          <w:rFonts w:asciiTheme="majorHAnsi" w:hAnsiTheme="majorHAnsi" w:cstheme="majorHAnsi"/>
          <w:lang w:val="en-US"/>
        </w:rPr>
      </w:pPr>
      <w:r w:rsidRPr="00F93BAE">
        <w:rPr>
          <w:rFonts w:asciiTheme="majorHAnsi" w:hAnsiTheme="majorHAnsi" w:cstheme="majorHAnsi"/>
          <w:lang w:val="en-US"/>
        </w:rPr>
        <w:t>In the Inception Report submitted by the EOPE Study Team, the CIPP was proposed as the Evaluation Framework to be used and the judgments on the Program interventions will be made using the Relevance, Efficiency, Effectiveness and Sustainability (REES) criteria.</w:t>
      </w:r>
      <w:r w:rsidR="00D434EB">
        <w:rPr>
          <w:rFonts w:asciiTheme="majorHAnsi" w:hAnsiTheme="majorHAnsi" w:cstheme="majorHAnsi"/>
          <w:lang w:val="en-US"/>
        </w:rPr>
        <w:t xml:space="preserve"> </w:t>
      </w:r>
      <w:r w:rsidRPr="00F93BAE">
        <w:rPr>
          <w:rFonts w:asciiTheme="majorHAnsi" w:hAnsiTheme="majorHAnsi" w:cstheme="majorHAnsi"/>
          <w:lang w:val="en-US"/>
        </w:rPr>
        <w:t>The original intention is described in the second Section of this Annex.</w:t>
      </w:r>
      <w:r w:rsidR="00D434EB">
        <w:rPr>
          <w:rFonts w:asciiTheme="majorHAnsi" w:hAnsiTheme="majorHAnsi" w:cstheme="majorHAnsi"/>
          <w:lang w:val="en-US"/>
        </w:rPr>
        <w:t xml:space="preserve"> </w:t>
      </w:r>
    </w:p>
    <w:p w14:paraId="42D9FE14" w14:textId="0193697D" w:rsidR="008D0CAD" w:rsidRPr="00F93BAE" w:rsidRDefault="008D0CAD" w:rsidP="009443E0">
      <w:pPr>
        <w:spacing w:before="100" w:beforeAutospacing="1" w:after="100" w:afterAutospacing="1" w:line="360" w:lineRule="auto"/>
        <w:rPr>
          <w:rFonts w:asciiTheme="majorHAnsi" w:hAnsiTheme="majorHAnsi" w:cstheme="majorHAnsi"/>
          <w:lang w:val="en-US"/>
        </w:rPr>
      </w:pPr>
      <w:r w:rsidRPr="00F93BAE">
        <w:rPr>
          <w:rFonts w:asciiTheme="majorHAnsi" w:hAnsiTheme="majorHAnsi" w:cstheme="majorHAnsi"/>
          <w:lang w:val="en-US"/>
        </w:rPr>
        <w:t>However, during the course of the evaluation, adjustments were made in the evaluation framework in response to the time and data limitations encountered.</w:t>
      </w:r>
      <w:r w:rsidR="00D434EB">
        <w:rPr>
          <w:rFonts w:asciiTheme="majorHAnsi" w:hAnsiTheme="majorHAnsi" w:cstheme="majorHAnsi"/>
          <w:lang w:val="en-US"/>
        </w:rPr>
        <w:t xml:space="preserve"> </w:t>
      </w:r>
      <w:r w:rsidRPr="00F93BAE">
        <w:rPr>
          <w:rFonts w:asciiTheme="majorHAnsi" w:hAnsiTheme="majorHAnsi" w:cstheme="majorHAnsi"/>
          <w:lang w:val="en-US"/>
        </w:rPr>
        <w:t>All limitations encountered were discussed with the Facilitating Contractor/BEST Program Team and adjustments were agreed upon.</w:t>
      </w:r>
      <w:r w:rsidR="00D434EB">
        <w:rPr>
          <w:rFonts w:asciiTheme="majorHAnsi" w:hAnsiTheme="majorHAnsi" w:cstheme="majorHAnsi"/>
          <w:lang w:val="en-US"/>
        </w:rPr>
        <w:t xml:space="preserve"> </w:t>
      </w:r>
      <w:r w:rsidRPr="00F93BAE">
        <w:rPr>
          <w:rFonts w:asciiTheme="majorHAnsi" w:hAnsiTheme="majorHAnsi" w:cstheme="majorHAnsi"/>
          <w:lang w:val="en-US"/>
        </w:rPr>
        <w:t>The key adjustments undertaken were as follows:</w:t>
      </w:r>
    </w:p>
    <w:p w14:paraId="3FF524E0" w14:textId="0F428B7F" w:rsidR="008D0CAD" w:rsidRPr="00F93BAE" w:rsidRDefault="008D0CAD" w:rsidP="00DD08E3">
      <w:pPr>
        <w:widowControl w:val="0"/>
        <w:numPr>
          <w:ilvl w:val="0"/>
          <w:numId w:val="66"/>
        </w:numPr>
        <w:spacing w:before="100" w:beforeAutospacing="1" w:after="100" w:afterAutospacing="1" w:line="360" w:lineRule="auto"/>
        <w:ind w:left="284" w:hanging="284"/>
        <w:rPr>
          <w:rFonts w:asciiTheme="majorHAnsi" w:hAnsiTheme="majorHAnsi" w:cstheme="majorHAnsi"/>
          <w:snapToGrid w:val="0"/>
          <w:szCs w:val="20"/>
          <w:lang w:val="en-US"/>
        </w:rPr>
      </w:pPr>
      <w:r w:rsidRPr="00F93BAE">
        <w:rPr>
          <w:rFonts w:asciiTheme="majorHAnsi" w:hAnsiTheme="majorHAnsi" w:cstheme="majorHAnsi"/>
          <w:snapToGrid w:val="0"/>
          <w:szCs w:val="20"/>
          <w:lang w:val="en-US"/>
        </w:rPr>
        <w:t>The Regression analysis could not be undertaken because there only 25 out of the 106 schools in the sample study submitted a complete set of average individual grades by grade level and by subject for the last five years under review.</w:t>
      </w:r>
      <w:r w:rsidR="00D434EB">
        <w:rPr>
          <w:rFonts w:asciiTheme="majorHAnsi" w:hAnsiTheme="majorHAnsi" w:cstheme="majorHAnsi"/>
          <w:snapToGrid w:val="0"/>
          <w:szCs w:val="20"/>
          <w:lang w:val="en-US"/>
        </w:rPr>
        <w:t xml:space="preserve"> </w:t>
      </w:r>
      <w:r w:rsidRPr="00F93BAE">
        <w:rPr>
          <w:rFonts w:asciiTheme="majorHAnsi" w:hAnsiTheme="majorHAnsi" w:cstheme="majorHAnsi"/>
          <w:snapToGrid w:val="0"/>
          <w:szCs w:val="20"/>
          <w:lang w:val="en-US"/>
        </w:rPr>
        <w:t>Instead of regression analysis, the EOPE Study Team performed a pooled difference-in-difference (DID) analysis.</w:t>
      </w:r>
    </w:p>
    <w:p w14:paraId="3A947686" w14:textId="77777777" w:rsidR="008D0CAD" w:rsidRPr="00F93BAE" w:rsidRDefault="008D0CAD" w:rsidP="00DD08E3">
      <w:pPr>
        <w:widowControl w:val="0"/>
        <w:numPr>
          <w:ilvl w:val="0"/>
          <w:numId w:val="66"/>
        </w:numPr>
        <w:spacing w:before="100" w:beforeAutospacing="1" w:after="100" w:afterAutospacing="1" w:line="360" w:lineRule="auto"/>
        <w:ind w:left="284" w:hanging="284"/>
        <w:rPr>
          <w:rFonts w:asciiTheme="majorHAnsi" w:hAnsiTheme="majorHAnsi" w:cstheme="majorHAnsi"/>
          <w:snapToGrid w:val="0"/>
          <w:szCs w:val="20"/>
          <w:lang w:val="en-US"/>
        </w:rPr>
      </w:pPr>
      <w:r w:rsidRPr="00F93BAE">
        <w:rPr>
          <w:rFonts w:asciiTheme="majorHAnsi" w:hAnsiTheme="majorHAnsi" w:cstheme="majorHAnsi"/>
          <w:snapToGrid w:val="0"/>
          <w:color w:val="000000"/>
          <w:szCs w:val="20"/>
          <w:lang w:val="en-US"/>
        </w:rPr>
        <w:t xml:space="preserve">Also, the EOPE Study Team attempted to do a cost-effectiveness analysis at the start of the Study but could not proceed due to the following limitations: </w:t>
      </w:r>
    </w:p>
    <w:p w14:paraId="6C93C1A7" w14:textId="06EE4BA0" w:rsidR="008D0CAD" w:rsidRPr="00F93BAE" w:rsidRDefault="008D0CAD" w:rsidP="00DD08E3">
      <w:pPr>
        <w:numPr>
          <w:ilvl w:val="1"/>
          <w:numId w:val="66"/>
        </w:numPr>
        <w:spacing w:before="100" w:beforeAutospacing="1" w:after="100" w:afterAutospacing="1" w:line="360" w:lineRule="auto"/>
        <w:rPr>
          <w:rFonts w:asciiTheme="majorHAnsi" w:hAnsiTheme="majorHAnsi" w:cstheme="majorHAnsi"/>
          <w:snapToGrid w:val="0"/>
          <w:color w:val="000000"/>
          <w:lang w:val="en-US"/>
        </w:rPr>
      </w:pPr>
      <w:r w:rsidRPr="00F93BAE">
        <w:rPr>
          <w:rFonts w:asciiTheme="majorHAnsi" w:hAnsiTheme="majorHAnsi" w:cstheme="majorHAnsi"/>
          <w:snapToGrid w:val="0"/>
          <w:color w:val="000000"/>
          <w:lang w:val="en-US"/>
        </w:rPr>
        <w:t xml:space="preserve">First, </w:t>
      </w:r>
      <w:r w:rsidRPr="00F93BAE">
        <w:rPr>
          <w:rFonts w:asciiTheme="majorHAnsi" w:hAnsiTheme="majorHAnsi" w:cstheme="majorHAnsi"/>
          <w:snapToGrid w:val="0"/>
          <w:color w:val="000000"/>
          <w:szCs w:val="20"/>
          <w:lang w:val="en-US"/>
        </w:rPr>
        <w:t xml:space="preserve">the EOPE Study Team </w:t>
      </w:r>
      <w:r w:rsidRPr="00F93BAE">
        <w:rPr>
          <w:rFonts w:asciiTheme="majorHAnsi" w:hAnsiTheme="majorHAnsi" w:cstheme="majorHAnsi"/>
          <w:snapToGrid w:val="0"/>
          <w:color w:val="000000"/>
          <w:lang w:val="en-US"/>
        </w:rPr>
        <w:t>lifted program costs from the Annual Plans (APs) and the SMPRs but found that the financial reports in the SMPRs and APs did not have sufficient details to match with the outputs/benefits identified.</w:t>
      </w:r>
      <w:r w:rsidR="00D434EB">
        <w:rPr>
          <w:rFonts w:asciiTheme="majorHAnsi" w:hAnsiTheme="majorHAnsi" w:cstheme="majorHAnsi"/>
          <w:snapToGrid w:val="0"/>
          <w:color w:val="000000"/>
          <w:lang w:val="en-US"/>
        </w:rPr>
        <w:t xml:space="preserve"> </w:t>
      </w:r>
      <w:r w:rsidRPr="00F93BAE">
        <w:rPr>
          <w:rFonts w:asciiTheme="majorHAnsi" w:hAnsiTheme="majorHAnsi" w:cstheme="majorHAnsi"/>
          <w:snapToGrid w:val="0"/>
          <w:color w:val="000000"/>
          <w:lang w:val="en-US"/>
        </w:rPr>
        <w:t xml:space="preserve">The Team requested for separate financial statements of the program, but the </w:t>
      </w:r>
      <w:r w:rsidRPr="00F93BAE">
        <w:rPr>
          <w:rFonts w:asciiTheme="majorHAnsi" w:hAnsiTheme="majorHAnsi" w:cstheme="majorHAnsi"/>
          <w:snapToGrid w:val="0"/>
          <w:szCs w:val="20"/>
          <w:lang w:val="en-US"/>
        </w:rPr>
        <w:t xml:space="preserve">Facilitating Contractor/BEST Program Team </w:t>
      </w:r>
      <w:r w:rsidRPr="00F93BAE">
        <w:rPr>
          <w:rFonts w:asciiTheme="majorHAnsi" w:hAnsiTheme="majorHAnsi" w:cstheme="majorHAnsi"/>
          <w:snapToGrid w:val="0"/>
          <w:color w:val="000000"/>
          <w:lang w:val="en-US"/>
        </w:rPr>
        <w:t>informed the Team that this was not necessary because a separate firm was conducting a financial evaluation.</w:t>
      </w:r>
    </w:p>
    <w:p w14:paraId="7B790EBD" w14:textId="1769D3B3" w:rsidR="008D0CAD" w:rsidRPr="00F93BAE" w:rsidRDefault="008D0CAD" w:rsidP="00DD08E3">
      <w:pPr>
        <w:numPr>
          <w:ilvl w:val="1"/>
          <w:numId w:val="66"/>
        </w:numPr>
        <w:spacing w:before="100" w:beforeAutospacing="1" w:after="100" w:afterAutospacing="1" w:line="360" w:lineRule="auto"/>
        <w:rPr>
          <w:rFonts w:asciiTheme="majorHAnsi" w:hAnsiTheme="majorHAnsi" w:cstheme="majorHAnsi"/>
          <w:snapToGrid w:val="0"/>
          <w:color w:val="000000"/>
          <w:lang w:val="en-US"/>
        </w:rPr>
      </w:pPr>
      <w:r w:rsidRPr="00F93BAE">
        <w:rPr>
          <w:rFonts w:asciiTheme="majorHAnsi" w:hAnsiTheme="majorHAnsi" w:cstheme="majorHAnsi"/>
          <w:snapToGrid w:val="0"/>
          <w:color w:val="000000"/>
          <w:szCs w:val="20"/>
          <w:lang w:val="en-US"/>
        </w:rPr>
        <w:t>Second, the EOPE Study Team conducted a planned vs. actual accomplishment analysis to match the deliverables.</w:t>
      </w:r>
      <w:r w:rsidR="00D434EB">
        <w:rPr>
          <w:rFonts w:asciiTheme="majorHAnsi" w:hAnsiTheme="majorHAnsi" w:cstheme="majorHAnsi"/>
          <w:snapToGrid w:val="0"/>
          <w:color w:val="000000"/>
          <w:szCs w:val="20"/>
          <w:lang w:val="en-US"/>
        </w:rPr>
        <w:t xml:space="preserve"> </w:t>
      </w:r>
      <w:r w:rsidRPr="00F93BAE">
        <w:rPr>
          <w:rFonts w:asciiTheme="majorHAnsi" w:hAnsiTheme="majorHAnsi" w:cstheme="majorHAnsi"/>
          <w:snapToGrid w:val="0"/>
          <w:color w:val="000000"/>
          <w:szCs w:val="20"/>
          <w:lang w:val="en-US"/>
        </w:rPr>
        <w:t xml:space="preserve">The Team was only able to find evidences of completion of 70 percent of the planned activities identified in the APs. In order to verify the results of our findings, the Team made an initial presentation to the </w:t>
      </w:r>
      <w:r w:rsidRPr="00F93BAE">
        <w:rPr>
          <w:rFonts w:asciiTheme="majorHAnsi" w:hAnsiTheme="majorHAnsi" w:cstheme="majorHAnsi"/>
          <w:snapToGrid w:val="0"/>
          <w:szCs w:val="20"/>
          <w:lang w:val="en-US"/>
        </w:rPr>
        <w:t>Facilitating Contractor/BEST Program Team.</w:t>
      </w:r>
      <w:r w:rsidR="00D434EB">
        <w:rPr>
          <w:rFonts w:asciiTheme="majorHAnsi" w:hAnsiTheme="majorHAnsi" w:cstheme="majorHAnsi"/>
          <w:snapToGrid w:val="0"/>
          <w:szCs w:val="20"/>
          <w:lang w:val="en-US"/>
        </w:rPr>
        <w:t xml:space="preserve"> </w:t>
      </w:r>
      <w:r w:rsidRPr="00F93BAE">
        <w:rPr>
          <w:rFonts w:asciiTheme="majorHAnsi" w:hAnsiTheme="majorHAnsi" w:cstheme="majorHAnsi"/>
          <w:snapToGrid w:val="0"/>
          <w:szCs w:val="20"/>
          <w:lang w:val="en-US"/>
        </w:rPr>
        <w:t>This discussion proved productive because additional documentary evidences were provided resulting in the increase of accomplishments with evidences to 83 percent.</w:t>
      </w:r>
      <w:r w:rsidR="00D434EB">
        <w:rPr>
          <w:rFonts w:asciiTheme="majorHAnsi" w:hAnsiTheme="majorHAnsi" w:cstheme="majorHAnsi"/>
          <w:snapToGrid w:val="0"/>
          <w:szCs w:val="20"/>
          <w:lang w:val="en-US"/>
        </w:rPr>
        <w:t xml:space="preserve"> </w:t>
      </w:r>
      <w:r w:rsidRPr="00F93BAE">
        <w:rPr>
          <w:rFonts w:asciiTheme="majorHAnsi" w:hAnsiTheme="majorHAnsi" w:cstheme="majorHAnsi"/>
          <w:snapToGrid w:val="0"/>
          <w:szCs w:val="20"/>
          <w:lang w:val="en-US"/>
        </w:rPr>
        <w:t>The BEST Program Team was supposed to provide the additional evidences for the other planned activities.</w:t>
      </w:r>
      <w:r w:rsidR="00D434EB">
        <w:rPr>
          <w:rFonts w:asciiTheme="majorHAnsi" w:hAnsiTheme="majorHAnsi" w:cstheme="majorHAnsi"/>
          <w:snapToGrid w:val="0"/>
          <w:szCs w:val="20"/>
          <w:lang w:val="en-US"/>
        </w:rPr>
        <w:t xml:space="preserve"> </w:t>
      </w:r>
      <w:r w:rsidRPr="00F93BAE">
        <w:rPr>
          <w:rFonts w:asciiTheme="majorHAnsi" w:hAnsiTheme="majorHAnsi" w:cstheme="majorHAnsi"/>
          <w:snapToGrid w:val="0"/>
          <w:szCs w:val="20"/>
          <w:lang w:val="en-US"/>
        </w:rPr>
        <w:t xml:space="preserve">However, because they because occupied by the Program closing activities, there was no more time to look for the other evidences. The Team was </w:t>
      </w:r>
      <w:r w:rsidRPr="00F93BAE">
        <w:rPr>
          <w:rFonts w:asciiTheme="majorHAnsi" w:hAnsiTheme="majorHAnsi" w:cstheme="majorHAnsi"/>
          <w:snapToGrid w:val="0"/>
          <w:color w:val="000000"/>
          <w:szCs w:val="20"/>
          <w:lang w:val="en-US"/>
        </w:rPr>
        <w:t xml:space="preserve">informed that this analysis was no longer required because all outputs were considered completed. </w:t>
      </w:r>
    </w:p>
    <w:p w14:paraId="6E37583A" w14:textId="46A4FAE1" w:rsidR="008D0CAD" w:rsidRPr="00F93BAE" w:rsidRDefault="008D0CAD" w:rsidP="00DD08E3">
      <w:pPr>
        <w:numPr>
          <w:ilvl w:val="1"/>
          <w:numId w:val="66"/>
        </w:numPr>
        <w:spacing w:before="100" w:beforeAutospacing="1" w:after="100" w:afterAutospacing="1" w:line="360" w:lineRule="auto"/>
        <w:rPr>
          <w:rFonts w:asciiTheme="majorHAnsi" w:hAnsiTheme="majorHAnsi" w:cstheme="majorHAnsi"/>
          <w:snapToGrid w:val="0"/>
          <w:color w:val="000000"/>
          <w:lang w:val="en-US"/>
        </w:rPr>
      </w:pPr>
      <w:r w:rsidRPr="00F93BAE">
        <w:rPr>
          <w:rFonts w:asciiTheme="majorHAnsi" w:hAnsiTheme="majorHAnsi" w:cstheme="majorHAnsi"/>
          <w:snapToGrid w:val="0"/>
          <w:color w:val="000000"/>
          <w:lang w:val="en-US"/>
        </w:rPr>
        <w:t xml:space="preserve">Third, </w:t>
      </w:r>
      <w:r w:rsidRPr="00F93BAE">
        <w:rPr>
          <w:rFonts w:asciiTheme="majorHAnsi" w:hAnsiTheme="majorHAnsi" w:cstheme="majorHAnsi"/>
          <w:snapToGrid w:val="0"/>
          <w:color w:val="000000"/>
          <w:szCs w:val="20"/>
          <w:lang w:val="en-US"/>
        </w:rPr>
        <w:t>the EOPE Study Team</w:t>
      </w:r>
      <w:r w:rsidRPr="00F93BAE">
        <w:rPr>
          <w:rFonts w:asciiTheme="majorHAnsi" w:hAnsiTheme="majorHAnsi" w:cstheme="majorHAnsi"/>
          <w:snapToGrid w:val="0"/>
          <w:color w:val="000000"/>
          <w:lang w:val="en-US"/>
        </w:rPr>
        <w:t xml:space="preserve"> </w:t>
      </w:r>
      <w:r w:rsidRPr="00F93BAE">
        <w:rPr>
          <w:rFonts w:asciiTheme="majorHAnsi" w:hAnsiTheme="majorHAnsi" w:cstheme="majorHAnsi"/>
          <w:snapToGrid w:val="0"/>
          <w:color w:val="000000"/>
          <w:szCs w:val="20"/>
          <w:lang w:val="en-US"/>
        </w:rPr>
        <w:t>also requested for a Master list of training programs and workshops undertaken either by DepEd or the BEST Program that were funded by the Program. The intention was precisely to do a cost-effectiveness analysis of at least the capacity development component.</w:t>
      </w:r>
      <w:r w:rsidR="00D434EB">
        <w:rPr>
          <w:rFonts w:asciiTheme="majorHAnsi" w:hAnsiTheme="majorHAnsi" w:cstheme="majorHAnsi"/>
          <w:snapToGrid w:val="0"/>
          <w:color w:val="000000"/>
          <w:szCs w:val="20"/>
          <w:lang w:val="en-US"/>
        </w:rPr>
        <w:t xml:space="preserve"> </w:t>
      </w:r>
      <w:r w:rsidRPr="00F93BAE">
        <w:rPr>
          <w:rFonts w:asciiTheme="majorHAnsi" w:hAnsiTheme="majorHAnsi" w:cstheme="majorHAnsi"/>
          <w:snapToGrid w:val="0"/>
          <w:color w:val="000000"/>
          <w:szCs w:val="20"/>
          <w:lang w:val="en-US"/>
        </w:rPr>
        <w:t>However, we were informed that the BEST Program did not have a master list because it was the respective Central Office Operating Units (OUs) that kept their respective lists.</w:t>
      </w:r>
      <w:r w:rsidR="00D434EB">
        <w:rPr>
          <w:rFonts w:asciiTheme="majorHAnsi" w:hAnsiTheme="majorHAnsi" w:cstheme="majorHAnsi"/>
          <w:snapToGrid w:val="0"/>
          <w:color w:val="000000"/>
          <w:szCs w:val="20"/>
          <w:lang w:val="en-US"/>
        </w:rPr>
        <w:t xml:space="preserve"> </w:t>
      </w:r>
      <w:r w:rsidRPr="00F93BAE">
        <w:rPr>
          <w:rFonts w:asciiTheme="majorHAnsi" w:hAnsiTheme="majorHAnsi" w:cstheme="majorHAnsi"/>
          <w:snapToGrid w:val="0"/>
          <w:color w:val="000000"/>
          <w:szCs w:val="20"/>
          <w:lang w:val="en-US"/>
        </w:rPr>
        <w:t xml:space="preserve">We attempted to obtain such list from the different OUs but found that some OUs did keep a master list while other said they kept a list but could not provide the list to the Team. Only BHROD-SED provided us a list of training programs conducted in connection with the School Improvement Plans. </w:t>
      </w:r>
    </w:p>
    <w:p w14:paraId="3497179D" w14:textId="086BACBA" w:rsidR="008D0CAD" w:rsidRPr="009443E0" w:rsidRDefault="008D0CAD" w:rsidP="00DD08E3">
      <w:pPr>
        <w:numPr>
          <w:ilvl w:val="1"/>
          <w:numId w:val="66"/>
        </w:numPr>
        <w:spacing w:before="100" w:beforeAutospacing="1" w:after="100" w:afterAutospacing="1" w:line="360" w:lineRule="auto"/>
        <w:rPr>
          <w:rFonts w:asciiTheme="majorHAnsi" w:hAnsiTheme="majorHAnsi" w:cstheme="majorHAnsi"/>
          <w:snapToGrid w:val="0"/>
          <w:color w:val="000000"/>
          <w:lang w:val="en-US"/>
        </w:rPr>
      </w:pPr>
      <w:r w:rsidRPr="00F93BAE">
        <w:rPr>
          <w:rFonts w:asciiTheme="majorHAnsi" w:hAnsiTheme="majorHAnsi" w:cstheme="majorHAnsi"/>
          <w:snapToGrid w:val="0"/>
          <w:color w:val="000000"/>
          <w:lang w:val="en-US"/>
        </w:rPr>
        <w:t>Because data on both financials and activities/outputs were insufficient/incomplete, the EOPE Study Team no longer conducted a cost-effective analysis as planned.</w:t>
      </w:r>
    </w:p>
    <w:p w14:paraId="2371ACAA" w14:textId="77777777" w:rsidR="008D0CAD" w:rsidRPr="00E26D25" w:rsidRDefault="008D0CAD" w:rsidP="00DD08E3">
      <w:pPr>
        <w:widowControl w:val="0"/>
        <w:numPr>
          <w:ilvl w:val="0"/>
          <w:numId w:val="66"/>
        </w:numPr>
        <w:spacing w:before="100" w:beforeAutospacing="1" w:after="100" w:afterAutospacing="1" w:line="360" w:lineRule="auto"/>
        <w:ind w:left="284" w:hanging="284"/>
        <w:rPr>
          <w:rFonts w:asciiTheme="majorHAnsi" w:hAnsiTheme="majorHAnsi" w:cstheme="majorHAnsi"/>
          <w:snapToGrid w:val="0"/>
          <w:szCs w:val="20"/>
          <w:lang w:val="en-US"/>
        </w:rPr>
      </w:pPr>
      <w:r w:rsidRPr="00E26D25">
        <w:rPr>
          <w:rFonts w:asciiTheme="majorHAnsi" w:hAnsiTheme="majorHAnsi" w:cstheme="majorHAnsi"/>
          <w:snapToGrid w:val="0"/>
          <w:szCs w:val="20"/>
          <w:lang w:val="en-US"/>
        </w:rPr>
        <w:t>Since the EOPE Study Team did not have access to the program financials, the assessment on Efficiency could also not be done.</w:t>
      </w:r>
    </w:p>
    <w:p w14:paraId="5AF9CC4C" w14:textId="17E1A54D" w:rsidR="008D0CAD" w:rsidRPr="00E26D25" w:rsidRDefault="008D0CAD" w:rsidP="00DD08E3">
      <w:pPr>
        <w:widowControl w:val="0"/>
        <w:numPr>
          <w:ilvl w:val="0"/>
          <w:numId w:val="66"/>
        </w:numPr>
        <w:spacing w:before="100" w:beforeAutospacing="1" w:after="100" w:afterAutospacing="1" w:line="360" w:lineRule="auto"/>
        <w:ind w:left="284" w:hanging="284"/>
        <w:rPr>
          <w:rFonts w:asciiTheme="majorHAnsi" w:hAnsiTheme="majorHAnsi" w:cstheme="majorHAnsi"/>
          <w:snapToGrid w:val="0"/>
          <w:szCs w:val="20"/>
          <w:lang w:val="en-US"/>
        </w:rPr>
      </w:pPr>
      <w:r w:rsidRPr="00E26D25">
        <w:rPr>
          <w:rFonts w:asciiTheme="majorHAnsi" w:hAnsiTheme="majorHAnsi" w:cstheme="majorHAnsi"/>
          <w:snapToGrid w:val="0"/>
          <w:szCs w:val="20"/>
          <w:lang w:val="en-US"/>
        </w:rPr>
        <w:t>The EOPE Study Team also designed a similar survey questionnaire for the Regional Directors and the Superintendents.</w:t>
      </w:r>
      <w:r w:rsidR="00D434EB">
        <w:rPr>
          <w:rFonts w:asciiTheme="majorHAnsi" w:hAnsiTheme="majorHAnsi" w:cstheme="majorHAnsi"/>
          <w:snapToGrid w:val="0"/>
          <w:szCs w:val="20"/>
          <w:lang w:val="en-US"/>
        </w:rPr>
        <w:t xml:space="preserve"> </w:t>
      </w:r>
      <w:r w:rsidRPr="00E26D25">
        <w:rPr>
          <w:rFonts w:asciiTheme="majorHAnsi" w:hAnsiTheme="majorHAnsi" w:cstheme="majorHAnsi"/>
          <w:snapToGrid w:val="0"/>
          <w:szCs w:val="20"/>
          <w:lang w:val="en-US"/>
        </w:rPr>
        <w:t>However, the Team had a very difficult time securing appointments with the Regional Directors and particularly the Superintendents.</w:t>
      </w:r>
      <w:r w:rsidR="00D434EB">
        <w:rPr>
          <w:rFonts w:asciiTheme="majorHAnsi" w:hAnsiTheme="majorHAnsi" w:cstheme="majorHAnsi"/>
          <w:snapToGrid w:val="0"/>
          <w:szCs w:val="20"/>
          <w:lang w:val="en-US"/>
        </w:rPr>
        <w:t xml:space="preserve"> </w:t>
      </w:r>
      <w:r w:rsidRPr="00E26D25">
        <w:rPr>
          <w:rFonts w:asciiTheme="majorHAnsi" w:hAnsiTheme="majorHAnsi" w:cstheme="majorHAnsi"/>
          <w:snapToGrid w:val="0"/>
          <w:szCs w:val="20"/>
          <w:lang w:val="en-US"/>
        </w:rPr>
        <w:t>Even when there was a chance to talk with them, time was so short that there was to period to ask them to answer the questionnaires.</w:t>
      </w:r>
      <w:r w:rsidR="00D434EB">
        <w:rPr>
          <w:rFonts w:asciiTheme="majorHAnsi" w:hAnsiTheme="majorHAnsi" w:cstheme="majorHAnsi"/>
          <w:snapToGrid w:val="0"/>
          <w:szCs w:val="20"/>
          <w:lang w:val="en-US"/>
        </w:rPr>
        <w:t xml:space="preserve"> </w:t>
      </w:r>
      <w:r w:rsidRPr="00E26D25">
        <w:rPr>
          <w:rFonts w:asciiTheme="majorHAnsi" w:hAnsiTheme="majorHAnsi" w:cstheme="majorHAnsi"/>
          <w:snapToGrid w:val="0"/>
          <w:szCs w:val="20"/>
          <w:lang w:val="en-US"/>
        </w:rPr>
        <w:t>Thus, only questionnaires answered by the Principals/School Heads and teachers were collected.</w:t>
      </w:r>
    </w:p>
    <w:p w14:paraId="3C1F77F2" w14:textId="7FB34F66" w:rsidR="008D0CAD" w:rsidRPr="00E26D25" w:rsidRDefault="008D0CAD" w:rsidP="00DD08E3">
      <w:pPr>
        <w:widowControl w:val="0"/>
        <w:numPr>
          <w:ilvl w:val="0"/>
          <w:numId w:val="66"/>
        </w:numPr>
        <w:spacing w:before="100" w:beforeAutospacing="1" w:after="100" w:afterAutospacing="1" w:line="360" w:lineRule="auto"/>
        <w:ind w:left="284" w:hanging="284"/>
        <w:rPr>
          <w:rFonts w:asciiTheme="majorHAnsi" w:hAnsiTheme="majorHAnsi" w:cstheme="majorHAnsi"/>
          <w:snapToGrid w:val="0"/>
          <w:szCs w:val="20"/>
          <w:lang w:val="en-US"/>
        </w:rPr>
      </w:pPr>
      <w:r w:rsidRPr="00E26D25">
        <w:rPr>
          <w:rFonts w:asciiTheme="majorHAnsi" w:hAnsiTheme="majorHAnsi" w:cstheme="majorHAnsi"/>
          <w:snapToGrid w:val="0"/>
          <w:szCs w:val="20"/>
          <w:lang w:val="en-US"/>
        </w:rPr>
        <w:t>Lastly, the EOPE Study Team had requested at the very start of the Study, some data from EBEIS (such as the Enrolment, drop-out rates, etc.) so that the time spent at going to the different schools could have been used for analyzing data.</w:t>
      </w:r>
      <w:r w:rsidR="00D434EB">
        <w:rPr>
          <w:rFonts w:asciiTheme="majorHAnsi" w:hAnsiTheme="majorHAnsi" w:cstheme="majorHAnsi"/>
          <w:snapToGrid w:val="0"/>
          <w:szCs w:val="20"/>
          <w:lang w:val="en-US"/>
        </w:rPr>
        <w:t xml:space="preserve"> </w:t>
      </w:r>
      <w:r w:rsidRPr="00E26D25">
        <w:rPr>
          <w:rFonts w:asciiTheme="majorHAnsi" w:hAnsiTheme="majorHAnsi" w:cstheme="majorHAnsi"/>
          <w:snapToGrid w:val="0"/>
          <w:szCs w:val="20"/>
          <w:lang w:val="en-US"/>
        </w:rPr>
        <w:t>However, the data at the Central Office level did not contain the level of details that the BEST Program wanted (such as the grades by subject).</w:t>
      </w:r>
      <w:r w:rsidR="00D434EB">
        <w:rPr>
          <w:rFonts w:asciiTheme="majorHAnsi" w:hAnsiTheme="majorHAnsi" w:cstheme="majorHAnsi"/>
          <w:snapToGrid w:val="0"/>
          <w:szCs w:val="20"/>
          <w:lang w:val="en-US"/>
        </w:rPr>
        <w:t xml:space="preserve"> </w:t>
      </w:r>
      <w:r w:rsidRPr="00E26D25">
        <w:rPr>
          <w:rFonts w:asciiTheme="majorHAnsi" w:hAnsiTheme="majorHAnsi" w:cstheme="majorHAnsi"/>
          <w:snapToGrid w:val="0"/>
          <w:szCs w:val="20"/>
          <w:lang w:val="en-US"/>
        </w:rPr>
        <w:t>Thus, the EOPE Study had used up a lot of time in data gathering.</w:t>
      </w:r>
    </w:p>
    <w:p w14:paraId="1E494DD1" w14:textId="77777777" w:rsidR="008D0CAD" w:rsidRPr="00F93BAE" w:rsidRDefault="008D0CAD" w:rsidP="002320B3">
      <w:pPr>
        <w:rPr>
          <w:lang w:val="en-US"/>
        </w:rPr>
      </w:pPr>
    </w:p>
    <w:p w14:paraId="7D3B08AA" w14:textId="7446DE64" w:rsidR="008D0CAD" w:rsidRPr="00F93BAE" w:rsidRDefault="008D0CAD" w:rsidP="00DD08E3">
      <w:pPr>
        <w:pStyle w:val="Heading3"/>
        <w:numPr>
          <w:ilvl w:val="0"/>
          <w:numId w:val="168"/>
        </w:numPr>
        <w:spacing w:before="100" w:beforeAutospacing="1" w:after="100" w:afterAutospacing="1" w:line="360" w:lineRule="auto"/>
        <w:rPr>
          <w:lang w:val="en-US"/>
        </w:rPr>
      </w:pPr>
      <w:bookmarkStart w:id="210" w:name="_Toc11510926"/>
      <w:bookmarkStart w:id="211" w:name="_Toc39938354"/>
      <w:bookmarkStart w:id="212" w:name="_Toc69820459"/>
      <w:r w:rsidRPr="00F93BAE">
        <w:rPr>
          <w:lang w:val="en-US"/>
        </w:rPr>
        <w:t>Proposed Evaluation Framework</w:t>
      </w:r>
      <w:bookmarkEnd w:id="210"/>
      <w:r w:rsidRPr="00F93BAE">
        <w:rPr>
          <w:lang w:val="en-US"/>
        </w:rPr>
        <w:t xml:space="preserve"> (in Inception Report)</w:t>
      </w:r>
      <w:bookmarkEnd w:id="211"/>
      <w:bookmarkEnd w:id="212"/>
    </w:p>
    <w:p w14:paraId="5CC8555F" w14:textId="1CFA0939" w:rsidR="008D0CAD" w:rsidRPr="00F93BAE" w:rsidRDefault="008D0CAD" w:rsidP="009443E0">
      <w:pPr>
        <w:spacing w:before="100" w:beforeAutospacing="1" w:after="100" w:afterAutospacing="1" w:line="360" w:lineRule="auto"/>
        <w:rPr>
          <w:rFonts w:asciiTheme="majorHAnsi" w:hAnsiTheme="majorHAnsi" w:cstheme="majorHAnsi"/>
          <w:lang w:val="en-US"/>
        </w:rPr>
      </w:pPr>
      <w:r w:rsidRPr="00F93BAE">
        <w:rPr>
          <w:rFonts w:asciiTheme="majorHAnsi" w:hAnsiTheme="majorHAnsi" w:cstheme="majorHAnsi"/>
          <w:lang w:val="en-US"/>
        </w:rPr>
        <w:t xml:space="preserve">In recognition of the program’s complexity, the Evaluation Study applied </w:t>
      </w:r>
      <w:r w:rsidRPr="00F93BAE">
        <w:rPr>
          <w:rFonts w:asciiTheme="majorHAnsi" w:hAnsiTheme="majorHAnsi" w:cstheme="majorHAnsi"/>
          <w:iCs/>
          <w:lang w:val="en-US"/>
        </w:rPr>
        <w:t xml:space="preserve">Stufflebeam’s </w:t>
      </w:r>
      <w:r w:rsidRPr="00F93BAE">
        <w:rPr>
          <w:rFonts w:asciiTheme="majorHAnsi" w:hAnsiTheme="majorHAnsi" w:cstheme="majorHAnsi"/>
          <w:lang w:val="en-US"/>
        </w:rPr>
        <w:t>Context, Input, Process, and Product (CIPP) Evaluation Model (Figure 1). The CIPP evaluation model is a comprehensive framework for conducting either formative and/or summative evaluations of programs and projects. It is designed to systematically guide both evaluators and stakeholders in posing relevant questions and conducting assessments at different stages of a program or project. It allows users to visualize the rich complexities possible in every program component and to think broadly about what elements and relations are important within each component, which is not possible when simply using logic models of evaluation.</w:t>
      </w:r>
      <w:r w:rsidR="00D434EB">
        <w:rPr>
          <w:rFonts w:asciiTheme="majorHAnsi" w:hAnsiTheme="majorHAnsi" w:cstheme="majorHAnsi"/>
          <w:lang w:val="en-US"/>
        </w:rPr>
        <w:t xml:space="preserve"> </w:t>
      </w:r>
    </w:p>
    <w:p w14:paraId="0C8001D8" w14:textId="3F408B47" w:rsidR="008D0CAD" w:rsidRPr="00F93BAE" w:rsidRDefault="008D0CAD" w:rsidP="009443E0">
      <w:pPr>
        <w:spacing w:before="100" w:beforeAutospacing="1" w:after="100" w:afterAutospacing="1" w:line="360" w:lineRule="auto"/>
        <w:rPr>
          <w:rFonts w:asciiTheme="majorHAnsi" w:hAnsiTheme="majorHAnsi" w:cstheme="majorHAnsi"/>
          <w:lang w:val="en-US"/>
        </w:rPr>
      </w:pPr>
      <w:r w:rsidRPr="00F93BAE">
        <w:rPr>
          <w:rFonts w:asciiTheme="majorHAnsi" w:hAnsiTheme="majorHAnsi" w:cstheme="majorHAnsi"/>
          <w:lang w:val="en-US"/>
        </w:rPr>
        <w:t>The CIPP Framework was thus applied to the 10 Program Interventions of the BEST Program included in the End-of-Program Evaluation Study namely: Learning and Development (L&amp;D) system; Philippine Professional Standards for Teachers (PPST); Curriculum and assessment (C&amp;A); Teacher pre-service quality improvement (TPQI); School-based Management (SBM); Policy, and planning and monitoring and evaluation systems (PPMES); Unified information system and sub-systems (UISS); Gender, disability and social inclusion (GEDSI); Organizational Development (OD); and Classroom Construction (CC).</w:t>
      </w:r>
      <w:r w:rsidR="00D434EB">
        <w:rPr>
          <w:rFonts w:asciiTheme="majorHAnsi" w:hAnsiTheme="majorHAnsi" w:cstheme="majorHAnsi"/>
          <w:lang w:val="en-US"/>
        </w:rPr>
        <w:t xml:space="preserve"> </w:t>
      </w:r>
      <w:r w:rsidRPr="00F93BAE">
        <w:rPr>
          <w:rFonts w:asciiTheme="majorHAnsi" w:hAnsiTheme="majorHAnsi" w:cstheme="majorHAnsi"/>
          <w:lang w:val="en-US"/>
        </w:rPr>
        <w:t xml:space="preserve">These 10 interventions are only a part of the whole range of interventions implemented by BEST and the selection of these 10 interventions was mainly for the purposes of the evaluation study as indicated in the RFT </w:t>
      </w:r>
      <w:r w:rsidRPr="00F93BAE">
        <w:rPr>
          <w:rFonts w:asciiTheme="majorHAnsi" w:hAnsiTheme="majorHAnsi" w:cstheme="majorHAnsi"/>
          <w:color w:val="000000" w:themeColor="text1"/>
          <w:lang w:val="en-US"/>
        </w:rPr>
        <w:t>document (refer RFT, p. 6).</w:t>
      </w:r>
    </w:p>
    <w:p w14:paraId="3C931D3B" w14:textId="711AEBF7" w:rsidR="008D0CAD" w:rsidRPr="00D354DC" w:rsidRDefault="008D0CAD" w:rsidP="009443E0">
      <w:pPr>
        <w:spacing w:before="100" w:beforeAutospacing="1" w:after="100" w:afterAutospacing="1" w:line="360" w:lineRule="auto"/>
        <w:rPr>
          <w:rFonts w:asciiTheme="majorHAnsi" w:eastAsia="Arial Unicode MS" w:hAnsiTheme="majorHAnsi" w:cstheme="majorHAnsi"/>
          <w:u w:color="000000"/>
          <w:lang w:val="en-US"/>
        </w:rPr>
      </w:pPr>
      <w:r w:rsidRPr="00F93BAE">
        <w:rPr>
          <w:rFonts w:asciiTheme="majorHAnsi" w:hAnsiTheme="majorHAnsi" w:cstheme="majorHAnsi"/>
          <w:u w:color="000000"/>
          <w:lang w:val="en-US"/>
        </w:rPr>
        <w:t>The Evaluation Study applied the CIPP Evaluation Framework in assessing the different program interventions.</w:t>
      </w:r>
      <w:r w:rsidR="00D434EB">
        <w:rPr>
          <w:rFonts w:asciiTheme="majorHAnsi" w:hAnsiTheme="majorHAnsi" w:cstheme="majorHAnsi"/>
          <w:u w:color="000000"/>
          <w:lang w:val="en-US"/>
        </w:rPr>
        <w:t xml:space="preserve"> </w:t>
      </w:r>
      <w:r w:rsidRPr="00F93BAE">
        <w:rPr>
          <w:rFonts w:asciiTheme="majorHAnsi" w:hAnsiTheme="majorHAnsi" w:cstheme="majorHAnsi"/>
          <w:u w:color="000000"/>
          <w:lang w:val="en-US"/>
        </w:rPr>
        <w:t xml:space="preserve"> </w:t>
      </w:r>
      <w:r w:rsidRPr="00F93BAE">
        <w:rPr>
          <w:rFonts w:asciiTheme="majorHAnsi" w:eastAsia="Arial Unicode MS" w:hAnsiTheme="majorHAnsi" w:cstheme="majorHAnsi"/>
          <w:iCs/>
          <w:u w:color="000000"/>
          <w:lang w:val="en-US"/>
        </w:rPr>
        <w:t xml:space="preserve">In the </w:t>
      </w:r>
      <w:r w:rsidRPr="00F93BAE">
        <w:rPr>
          <w:rFonts w:asciiTheme="majorHAnsi" w:eastAsia="Arial Unicode MS" w:hAnsiTheme="majorHAnsi" w:cstheme="majorHAnsi"/>
          <w:b/>
          <w:iCs/>
          <w:u w:color="000000"/>
          <w:lang w:val="en-US"/>
        </w:rPr>
        <w:t>Context evaluation,</w:t>
      </w:r>
      <w:r w:rsidRPr="00F93BAE">
        <w:rPr>
          <w:rFonts w:asciiTheme="majorHAnsi" w:eastAsia="Arial Unicode MS" w:hAnsiTheme="majorHAnsi" w:cstheme="majorHAnsi"/>
          <w:i/>
          <w:iCs/>
          <w:u w:color="000000"/>
          <w:lang w:val="en-US"/>
        </w:rPr>
        <w:t xml:space="preserve"> </w:t>
      </w:r>
      <w:r w:rsidRPr="00F93BAE">
        <w:rPr>
          <w:rFonts w:asciiTheme="majorHAnsi" w:eastAsia="Arial Unicode MS" w:hAnsiTheme="majorHAnsi" w:cstheme="majorHAnsi"/>
          <w:u w:color="000000"/>
          <w:lang w:val="en-US"/>
        </w:rPr>
        <w:t xml:space="preserve">the study assessed the education sector needs or gaps that the BEST Program intended to narrow or eliminate. The objective of context evaluation was to revisit the </w:t>
      </w:r>
      <w:r w:rsidRPr="00F93BAE">
        <w:rPr>
          <w:rFonts w:asciiTheme="majorHAnsi" w:eastAsia="Arial Unicode MS" w:hAnsiTheme="majorHAnsi" w:cstheme="majorHAnsi"/>
          <w:b/>
          <w:u w:color="000000"/>
          <w:lang w:val="en-US"/>
        </w:rPr>
        <w:t>relevance</w:t>
      </w:r>
      <w:r w:rsidRPr="00F93BAE">
        <w:rPr>
          <w:rFonts w:asciiTheme="majorHAnsi" w:eastAsia="Arial Unicode MS" w:hAnsiTheme="majorHAnsi" w:cstheme="majorHAnsi"/>
          <w:u w:color="000000"/>
          <w:lang w:val="en-US"/>
        </w:rPr>
        <w:t xml:space="preserve"> of the program’s context, the assessment of the identification of the intended population and their needs, the identification of opportunities for addressing those needs and diagnosis of problems underlying the needs. The key questions asked in the Context were:</w:t>
      </w:r>
      <w:r w:rsidR="00D434EB">
        <w:rPr>
          <w:rFonts w:asciiTheme="majorHAnsi" w:eastAsia="Arial Unicode MS" w:hAnsiTheme="majorHAnsi" w:cstheme="majorHAnsi"/>
          <w:u w:color="000000"/>
          <w:lang w:val="en-US"/>
        </w:rPr>
        <w:t xml:space="preserve"> </w:t>
      </w:r>
      <w:r w:rsidRPr="00F93BAE">
        <w:rPr>
          <w:rFonts w:asciiTheme="majorHAnsi" w:eastAsia="Arial Unicode MS" w:hAnsiTheme="majorHAnsi" w:cstheme="majorHAnsi"/>
          <w:i/>
          <w:color w:val="000000" w:themeColor="text1"/>
          <w:u w:color="000000"/>
          <w:lang w:val="en-US"/>
        </w:rPr>
        <w:t>What were the educational needs or gaps that the BEST Program intended to respond to</w:t>
      </w:r>
      <w:r w:rsidRPr="00F93BAE">
        <w:rPr>
          <w:rFonts w:asciiTheme="majorHAnsi" w:eastAsia="Arial Unicode MS" w:hAnsiTheme="majorHAnsi" w:cstheme="majorHAnsi"/>
          <w:bCs/>
          <w:i/>
          <w:color w:val="000000" w:themeColor="text1"/>
          <w:u w:color="000000"/>
          <w:lang w:val="en-US"/>
        </w:rPr>
        <w:t xml:space="preserve"> that undergirded the 10 program interventions</w:t>
      </w:r>
      <w:r w:rsidRPr="00F93BAE">
        <w:rPr>
          <w:rFonts w:asciiTheme="majorHAnsi" w:eastAsia="Arial Unicode MS" w:hAnsiTheme="majorHAnsi" w:cstheme="majorHAnsi"/>
          <w:i/>
          <w:color w:val="000000" w:themeColor="text1"/>
          <w:u w:color="000000"/>
          <w:lang w:val="en-US"/>
        </w:rPr>
        <w:t>?</w:t>
      </w:r>
    </w:p>
    <w:p w14:paraId="79883CD5" w14:textId="22B3B359" w:rsidR="008D0CAD" w:rsidRPr="009443E0" w:rsidRDefault="008D0CAD" w:rsidP="009443E0">
      <w:pPr>
        <w:pageBreakBefore/>
        <w:spacing w:before="100" w:beforeAutospacing="1" w:after="100" w:afterAutospacing="1" w:line="360" w:lineRule="auto"/>
        <w:rPr>
          <w:rFonts w:asciiTheme="majorHAnsi" w:hAnsiTheme="majorHAnsi" w:cstheme="majorHAnsi"/>
          <w:bCs/>
          <w:i/>
          <w:color w:val="44546A" w:themeColor="text2"/>
          <w:sz w:val="22"/>
          <w:szCs w:val="22"/>
          <w:lang w:val="en-US"/>
        </w:rPr>
      </w:pPr>
      <w:bookmarkStart w:id="213" w:name="_Toc11511215"/>
      <w:bookmarkStart w:id="214" w:name="_Toc71616550"/>
      <w:r w:rsidRPr="00D354DC">
        <w:rPr>
          <w:rFonts w:asciiTheme="majorHAnsi" w:hAnsiTheme="majorHAnsi" w:cstheme="majorHAnsi"/>
          <w:bCs/>
          <w:i/>
          <w:color w:val="44546A" w:themeColor="text2"/>
          <w:sz w:val="22"/>
          <w:szCs w:val="22"/>
          <w:lang w:val="en-US"/>
        </w:rPr>
        <w:t xml:space="preserve">Figure </w:t>
      </w:r>
      <w:r w:rsidRPr="00D354DC">
        <w:rPr>
          <w:rFonts w:asciiTheme="majorHAnsi" w:hAnsiTheme="majorHAnsi" w:cstheme="majorHAnsi"/>
          <w:bCs/>
          <w:i/>
          <w:color w:val="44546A" w:themeColor="text2"/>
          <w:sz w:val="22"/>
          <w:szCs w:val="22"/>
          <w:lang w:val="en-US"/>
        </w:rPr>
        <w:fldChar w:fldCharType="begin"/>
      </w:r>
      <w:r w:rsidRPr="00D354DC">
        <w:rPr>
          <w:rFonts w:asciiTheme="majorHAnsi" w:hAnsiTheme="majorHAnsi" w:cstheme="majorHAnsi"/>
          <w:bCs/>
          <w:i/>
          <w:color w:val="44546A" w:themeColor="text2"/>
          <w:sz w:val="22"/>
          <w:szCs w:val="22"/>
          <w:lang w:val="en-US"/>
        </w:rPr>
        <w:instrText xml:space="preserve"> SEQ Figure \* ARABIC </w:instrText>
      </w:r>
      <w:r w:rsidRPr="00D354DC">
        <w:rPr>
          <w:rFonts w:asciiTheme="majorHAnsi" w:hAnsiTheme="majorHAnsi" w:cstheme="majorHAnsi"/>
          <w:bCs/>
          <w:i/>
          <w:color w:val="44546A" w:themeColor="text2"/>
          <w:sz w:val="22"/>
          <w:szCs w:val="22"/>
          <w:lang w:val="en-US"/>
        </w:rPr>
        <w:fldChar w:fldCharType="separate"/>
      </w:r>
      <w:r w:rsidR="00D6133D">
        <w:rPr>
          <w:rFonts w:asciiTheme="majorHAnsi" w:hAnsiTheme="majorHAnsi" w:cstheme="majorHAnsi"/>
          <w:bCs/>
          <w:i/>
          <w:noProof/>
          <w:color w:val="44546A" w:themeColor="text2"/>
          <w:sz w:val="22"/>
          <w:szCs w:val="22"/>
          <w:lang w:val="en-US"/>
        </w:rPr>
        <w:t>23</w:t>
      </w:r>
      <w:r w:rsidRPr="00D354DC">
        <w:rPr>
          <w:rFonts w:asciiTheme="majorHAnsi" w:hAnsiTheme="majorHAnsi" w:cstheme="majorHAnsi"/>
          <w:bCs/>
          <w:i/>
          <w:color w:val="44546A" w:themeColor="text2"/>
          <w:sz w:val="22"/>
          <w:szCs w:val="22"/>
          <w:lang w:val="en-US"/>
        </w:rPr>
        <w:fldChar w:fldCharType="end"/>
      </w:r>
      <w:r w:rsidRPr="00D354DC">
        <w:rPr>
          <w:rFonts w:asciiTheme="majorHAnsi" w:hAnsiTheme="majorHAnsi" w:cstheme="majorHAnsi"/>
          <w:bCs/>
          <w:i/>
          <w:color w:val="44546A" w:themeColor="text2"/>
          <w:sz w:val="22"/>
          <w:szCs w:val="22"/>
          <w:lang w:val="en-US"/>
        </w:rPr>
        <w:t>. Context, Input, Process, and Product (CIPP) Evaluation</w:t>
      </w:r>
      <w:r w:rsidR="005A731E" w:rsidRPr="00D354DC">
        <w:rPr>
          <w:rFonts w:asciiTheme="majorHAnsi" w:hAnsiTheme="majorHAnsi" w:cstheme="majorHAnsi"/>
          <w:bCs/>
          <w:i/>
          <w:color w:val="44546A" w:themeColor="text2"/>
          <w:sz w:val="22"/>
          <w:szCs w:val="22"/>
          <w:lang w:val="en-US"/>
        </w:rPr>
        <w:t xml:space="preserve"> </w:t>
      </w:r>
      <w:r w:rsidRPr="00D354DC">
        <w:rPr>
          <w:rFonts w:asciiTheme="majorHAnsi" w:hAnsiTheme="majorHAnsi" w:cstheme="majorHAnsi"/>
          <w:bCs/>
          <w:i/>
          <w:color w:val="44546A" w:themeColor="text2"/>
          <w:sz w:val="22"/>
          <w:szCs w:val="22"/>
          <w:lang w:val="en-US"/>
        </w:rPr>
        <w:t>Model</w:t>
      </w:r>
      <w:bookmarkEnd w:id="213"/>
      <w:r w:rsidRPr="00D354DC">
        <w:rPr>
          <w:rFonts w:asciiTheme="majorHAnsi" w:hAnsiTheme="majorHAnsi" w:cstheme="majorHAnsi"/>
          <w:bCs/>
          <w:i/>
          <w:color w:val="44546A" w:themeColor="text2"/>
          <w:sz w:val="22"/>
          <w:szCs w:val="22"/>
          <w:lang w:val="en-US"/>
        </w:rPr>
        <w:t xml:space="preserve"> applied to BEST Program</w:t>
      </w:r>
      <w:bookmarkEnd w:id="214"/>
    </w:p>
    <w:p w14:paraId="7A92A24C" w14:textId="77777777" w:rsidR="008D0CAD" w:rsidRPr="00F93BAE" w:rsidRDefault="00E26D25" w:rsidP="00FF4CA3">
      <w:pPr>
        <w:spacing w:before="100" w:beforeAutospacing="1" w:after="100" w:afterAutospacing="1" w:line="360" w:lineRule="auto"/>
        <w:jc w:val="center"/>
        <w:rPr>
          <w:rFonts w:asciiTheme="majorHAnsi" w:hAnsiTheme="majorHAnsi" w:cstheme="majorHAnsi"/>
          <w:u w:color="000000"/>
          <w:lang w:val="en-US"/>
        </w:rPr>
      </w:pPr>
      <w:r w:rsidRPr="00F93BAE">
        <w:rPr>
          <w:rFonts w:ascii="Candara" w:hAnsi="Candara" w:cs="Arial"/>
          <w:noProof/>
          <w:sz w:val="22"/>
          <w:szCs w:val="22"/>
          <w:lang w:val="en-AU" w:eastAsia="en-AU"/>
        </w:rPr>
        <w:drawing>
          <wp:inline distT="0" distB="0" distL="0" distR="0" wp14:anchorId="795EEED7" wp14:editId="2B47D8A6">
            <wp:extent cx="4487998" cy="3107266"/>
            <wp:effectExtent l="0" t="0" r="8255" b="0"/>
            <wp:docPr id="15" name="Picture 15" descr="Diagram of Context, Input, Process, and Product (CIPP) Evaluation Model applied to BEST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of Context, Input, Process, and Product (CIPP) Evaluation Model applied to BEST Program"/>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487998" cy="3107266"/>
                    </a:xfrm>
                    <a:prstGeom prst="rect">
                      <a:avLst/>
                    </a:prstGeom>
                  </pic:spPr>
                </pic:pic>
              </a:graphicData>
            </a:graphic>
          </wp:inline>
        </w:drawing>
      </w:r>
    </w:p>
    <w:p w14:paraId="445E24D5" w14:textId="6A022CEB" w:rsidR="008D0CAD" w:rsidRPr="00F93BAE" w:rsidRDefault="008D0CAD" w:rsidP="009443E0">
      <w:pPr>
        <w:spacing w:before="100" w:beforeAutospacing="1" w:after="100" w:afterAutospacing="1" w:line="360" w:lineRule="auto"/>
        <w:rPr>
          <w:rFonts w:asciiTheme="majorHAnsi" w:eastAsia="Arial Unicode MS" w:hAnsiTheme="majorHAnsi" w:cstheme="majorHAnsi"/>
          <w:u w:color="000000"/>
          <w:lang w:val="en-US"/>
        </w:rPr>
      </w:pPr>
      <w:r w:rsidRPr="00F93BAE">
        <w:rPr>
          <w:rFonts w:asciiTheme="majorHAnsi" w:eastAsia="Arial Unicode MS" w:hAnsiTheme="majorHAnsi" w:cstheme="majorHAnsi"/>
          <w:u w:color="000000"/>
          <w:lang w:val="en-US"/>
        </w:rPr>
        <w:t>To</w:t>
      </w:r>
      <w:r w:rsidR="005A731E">
        <w:rPr>
          <w:rFonts w:asciiTheme="majorHAnsi" w:eastAsia="Arial Unicode MS" w:hAnsiTheme="majorHAnsi" w:cstheme="majorHAnsi"/>
          <w:u w:color="000000"/>
          <w:lang w:val="en-US"/>
        </w:rPr>
        <w:t xml:space="preserve"> g</w:t>
      </w:r>
      <w:r w:rsidRPr="00F93BAE">
        <w:rPr>
          <w:rFonts w:asciiTheme="majorHAnsi" w:eastAsia="Arial Unicode MS" w:hAnsiTheme="majorHAnsi" w:cstheme="majorHAnsi"/>
          <w:u w:color="000000"/>
          <w:lang w:val="en-US"/>
        </w:rPr>
        <w:t>enerate answers to this question, the EOPE Team conducted a document review and analysis.</w:t>
      </w:r>
      <w:r w:rsidR="00D434EB">
        <w:rPr>
          <w:rFonts w:asciiTheme="majorHAnsi" w:eastAsia="Arial Unicode MS" w:hAnsiTheme="majorHAnsi" w:cstheme="majorHAnsi"/>
          <w:u w:color="000000"/>
          <w:lang w:val="en-US"/>
        </w:rPr>
        <w:t xml:space="preserve"> </w:t>
      </w:r>
      <w:r w:rsidRPr="00F93BAE">
        <w:rPr>
          <w:rFonts w:asciiTheme="majorHAnsi" w:eastAsia="Arial Unicode MS" w:hAnsiTheme="majorHAnsi" w:cstheme="majorHAnsi"/>
          <w:u w:color="000000"/>
          <w:lang w:val="en-US"/>
        </w:rPr>
        <w:t>The EOPE Team also conducted interviews with program implementers from DepEd Central Office and selected BEST program implementers to supplement the desk review.</w:t>
      </w:r>
      <w:r w:rsidR="00D434EB">
        <w:rPr>
          <w:rFonts w:asciiTheme="majorHAnsi" w:eastAsia="Arial Unicode MS" w:hAnsiTheme="majorHAnsi" w:cstheme="majorHAnsi"/>
          <w:u w:color="000000"/>
          <w:lang w:val="en-US"/>
        </w:rPr>
        <w:t xml:space="preserve"> </w:t>
      </w:r>
      <w:r w:rsidRPr="00F93BAE">
        <w:rPr>
          <w:rFonts w:asciiTheme="majorHAnsi" w:eastAsia="Arial Unicode MS" w:hAnsiTheme="majorHAnsi" w:cstheme="majorHAnsi"/>
          <w:u w:color="000000"/>
          <w:lang w:val="en-US"/>
        </w:rPr>
        <w:t xml:space="preserve"> Interviews with Regional Directors and Assistant Regional Directors were also conducted in order to triangulate data sources.</w:t>
      </w:r>
    </w:p>
    <w:p w14:paraId="6AB7DE03" w14:textId="77777777" w:rsidR="008D0CAD" w:rsidRPr="00F93BAE" w:rsidRDefault="008D0CAD" w:rsidP="009443E0">
      <w:pPr>
        <w:spacing w:before="100" w:beforeAutospacing="1" w:after="100" w:afterAutospacing="1" w:line="360" w:lineRule="auto"/>
        <w:rPr>
          <w:rFonts w:asciiTheme="majorHAnsi" w:eastAsia="Arial Unicode MS" w:hAnsiTheme="majorHAnsi" w:cstheme="majorHAnsi"/>
          <w:u w:color="000000"/>
          <w:lang w:val="en-US"/>
        </w:rPr>
      </w:pPr>
      <w:r w:rsidRPr="00F93BAE">
        <w:rPr>
          <w:rFonts w:asciiTheme="majorHAnsi" w:eastAsia="Arial Unicode MS" w:hAnsiTheme="majorHAnsi" w:cstheme="majorHAnsi"/>
          <w:iCs/>
          <w:u w:color="000000"/>
          <w:lang w:val="en-US"/>
        </w:rPr>
        <w:t xml:space="preserve">In the </w:t>
      </w:r>
      <w:r w:rsidRPr="00F93BAE">
        <w:rPr>
          <w:rFonts w:asciiTheme="majorHAnsi" w:eastAsia="Arial Unicode MS" w:hAnsiTheme="majorHAnsi" w:cstheme="majorHAnsi"/>
          <w:b/>
          <w:iCs/>
          <w:u w:color="000000"/>
          <w:lang w:val="en-US"/>
        </w:rPr>
        <w:t>Input evaluation,</w:t>
      </w:r>
      <w:r w:rsidRPr="00F93BAE">
        <w:rPr>
          <w:rFonts w:asciiTheme="majorHAnsi" w:eastAsia="Arial Unicode MS" w:hAnsiTheme="majorHAnsi" w:cstheme="majorHAnsi"/>
          <w:i/>
          <w:iCs/>
          <w:u w:color="000000"/>
          <w:lang w:val="en-US"/>
        </w:rPr>
        <w:t xml:space="preserve"> </w:t>
      </w:r>
      <w:r w:rsidRPr="00F93BAE">
        <w:rPr>
          <w:rFonts w:asciiTheme="majorHAnsi" w:eastAsia="Arial Unicode MS" w:hAnsiTheme="majorHAnsi" w:cstheme="majorHAnsi"/>
          <w:u w:color="000000"/>
          <w:lang w:val="en-US"/>
        </w:rPr>
        <w:t>the study explored</w:t>
      </w:r>
      <w:r w:rsidRPr="00F93BAE">
        <w:rPr>
          <w:rFonts w:asciiTheme="majorHAnsi" w:eastAsia="Arial Unicode MS" w:hAnsiTheme="majorHAnsi" w:cstheme="majorHAnsi"/>
          <w:bCs/>
          <w:u w:color="000000"/>
          <w:lang w:val="en-US"/>
        </w:rPr>
        <w:t xml:space="preserve"> the design elements of the BEST Program interventions; </w:t>
      </w:r>
      <w:r w:rsidRPr="00F93BAE">
        <w:rPr>
          <w:rFonts w:asciiTheme="majorHAnsi" w:eastAsia="Arial Unicode MS" w:hAnsiTheme="majorHAnsi" w:cstheme="majorHAnsi"/>
          <w:u w:color="000000"/>
          <w:lang w:val="en-US"/>
        </w:rPr>
        <w:t>the strategies and approaches used to give the specific educational context of the needs and the cost-effectiveness of each identified intervention in relation to its contribution to the EOPOs. This stage of the evaluation answered, “</w:t>
      </w:r>
      <w:r w:rsidRPr="00F93BAE">
        <w:rPr>
          <w:rFonts w:asciiTheme="majorHAnsi" w:eastAsia="Arial Unicode MS" w:hAnsiTheme="majorHAnsi" w:cstheme="majorHAnsi"/>
          <w:bCs/>
          <w:u w:color="000000"/>
          <w:lang w:val="en-US"/>
        </w:rPr>
        <w:t>What were the design elements of the BEST Program and each of its 10 program interventions?”</w:t>
      </w:r>
      <w:r w:rsidRPr="00F93BAE">
        <w:rPr>
          <w:rFonts w:asciiTheme="majorHAnsi" w:eastAsia="Arial Unicode MS" w:hAnsiTheme="majorHAnsi" w:cstheme="majorHAnsi"/>
          <w:u w:color="000000"/>
          <w:lang w:val="en-US"/>
        </w:rPr>
        <w:t xml:space="preserve"> </w:t>
      </w:r>
      <w:r w:rsidRPr="00F93BAE">
        <w:rPr>
          <w:rFonts w:asciiTheme="majorHAnsi" w:eastAsia="Arial Unicode MS" w:hAnsiTheme="majorHAnsi" w:cstheme="majorHAnsi"/>
          <w:iCs/>
          <w:u w:color="000000"/>
          <w:lang w:val="en-US"/>
        </w:rPr>
        <w:t xml:space="preserve">Data that answered these questions was derived from desk reviews and key informant interviews with DepEd implementers. </w:t>
      </w:r>
    </w:p>
    <w:p w14:paraId="2ACD02BE" w14:textId="3BD36508" w:rsidR="008D0CAD" w:rsidRPr="00F93BAE" w:rsidRDefault="008D0CAD" w:rsidP="009443E0">
      <w:pPr>
        <w:spacing w:before="100" w:beforeAutospacing="1" w:after="100" w:afterAutospacing="1" w:line="360" w:lineRule="auto"/>
        <w:rPr>
          <w:rFonts w:asciiTheme="majorHAnsi" w:eastAsia="Arial Unicode MS" w:hAnsiTheme="majorHAnsi" w:cstheme="majorHAnsi"/>
          <w:u w:color="000000"/>
          <w:lang w:val="en-US"/>
        </w:rPr>
      </w:pPr>
      <w:r w:rsidRPr="00F93BAE">
        <w:rPr>
          <w:rFonts w:asciiTheme="majorHAnsi" w:eastAsia="Arial Unicode MS" w:hAnsiTheme="majorHAnsi" w:cstheme="majorHAnsi"/>
          <w:iCs/>
          <w:u w:color="000000"/>
          <w:lang w:val="en-US"/>
        </w:rPr>
        <w:t xml:space="preserve">The </w:t>
      </w:r>
      <w:r w:rsidRPr="00F93BAE">
        <w:rPr>
          <w:rFonts w:asciiTheme="majorHAnsi" w:eastAsia="Arial Unicode MS" w:hAnsiTheme="majorHAnsi" w:cstheme="majorHAnsi"/>
          <w:b/>
          <w:iCs/>
          <w:u w:color="000000"/>
          <w:lang w:val="en-US"/>
        </w:rPr>
        <w:t>Process evaluation</w:t>
      </w:r>
      <w:r w:rsidRPr="00F93BAE">
        <w:rPr>
          <w:rFonts w:asciiTheme="majorHAnsi" w:eastAsia="Arial Unicode MS" w:hAnsiTheme="majorHAnsi" w:cstheme="majorHAnsi"/>
          <w:iCs/>
          <w:u w:color="000000"/>
          <w:lang w:val="en-US"/>
        </w:rPr>
        <w:t xml:space="preserve"> </w:t>
      </w:r>
      <w:r w:rsidRPr="00F93BAE">
        <w:rPr>
          <w:rFonts w:asciiTheme="majorHAnsi" w:eastAsia="Arial Unicode MS" w:hAnsiTheme="majorHAnsi" w:cstheme="majorHAnsi"/>
          <w:u w:color="000000"/>
          <w:lang w:val="en-US"/>
        </w:rPr>
        <w:t>involved looking intently at the program implementation and assessing planned interventions from actual implementation. Its objectives included determining how the planned activities were carried out and whether adjustments or revisions to the plan were affected. An additional purpose of process evaluation was to assess the extent to which participants accept and carry out their assigned roles in activities supported by the program.</w:t>
      </w:r>
      <w:r w:rsidR="00D434EB">
        <w:rPr>
          <w:rFonts w:asciiTheme="majorHAnsi" w:eastAsia="Arial Unicode MS" w:hAnsiTheme="majorHAnsi" w:cstheme="majorHAnsi"/>
          <w:u w:color="000000"/>
          <w:lang w:val="en-US"/>
        </w:rPr>
        <w:t xml:space="preserve"> </w:t>
      </w:r>
      <w:r w:rsidRPr="00F93BAE">
        <w:rPr>
          <w:rFonts w:asciiTheme="majorHAnsi" w:eastAsia="Arial Unicode MS" w:hAnsiTheme="majorHAnsi" w:cstheme="majorHAnsi"/>
          <w:u w:color="000000"/>
          <w:lang w:val="en-US"/>
        </w:rPr>
        <w:t xml:space="preserve">It generally answered the </w:t>
      </w:r>
      <w:r w:rsidRPr="00F93BAE">
        <w:rPr>
          <w:rFonts w:asciiTheme="majorHAnsi" w:eastAsia="Arial Unicode MS" w:hAnsiTheme="majorHAnsi" w:cstheme="majorHAnsi"/>
          <w:i/>
          <w:u w:color="000000"/>
          <w:lang w:val="en-US"/>
        </w:rPr>
        <w:t>how</w:t>
      </w:r>
      <w:r w:rsidRPr="00F93BAE">
        <w:rPr>
          <w:rFonts w:asciiTheme="majorHAnsi" w:eastAsia="Arial Unicode MS" w:hAnsiTheme="majorHAnsi" w:cstheme="majorHAnsi"/>
          <w:u w:color="000000"/>
          <w:lang w:val="en-US"/>
        </w:rPr>
        <w:t xml:space="preserve"> parts of the research questions.</w:t>
      </w:r>
      <w:r w:rsidR="00D434EB">
        <w:rPr>
          <w:rFonts w:asciiTheme="majorHAnsi" w:eastAsia="Arial Unicode MS" w:hAnsiTheme="majorHAnsi" w:cstheme="majorHAnsi"/>
          <w:u w:color="000000"/>
          <w:lang w:val="en-US"/>
        </w:rPr>
        <w:t xml:space="preserve"> </w:t>
      </w:r>
      <w:r w:rsidRPr="00F93BAE">
        <w:rPr>
          <w:rFonts w:asciiTheme="majorHAnsi" w:eastAsia="Arial Unicode MS" w:hAnsiTheme="majorHAnsi" w:cstheme="majorHAnsi"/>
          <w:u w:color="000000"/>
          <w:lang w:val="en-US"/>
        </w:rPr>
        <w:t>Data that answered these questions was taken from the Focus Group Discussions, survey results, key informant interviews and classroom observations.</w:t>
      </w:r>
      <w:r w:rsidR="00D434EB">
        <w:rPr>
          <w:rFonts w:asciiTheme="majorHAnsi" w:eastAsia="Arial Unicode MS" w:hAnsiTheme="majorHAnsi" w:cstheme="majorHAnsi"/>
          <w:u w:color="000000"/>
          <w:lang w:val="en-US"/>
        </w:rPr>
        <w:t xml:space="preserve"> </w:t>
      </w:r>
      <w:r w:rsidRPr="00F93BAE">
        <w:rPr>
          <w:rFonts w:asciiTheme="majorHAnsi" w:eastAsia="Arial Unicode MS" w:hAnsiTheme="majorHAnsi" w:cstheme="majorHAnsi"/>
          <w:u w:color="000000"/>
          <w:lang w:val="en-US"/>
        </w:rPr>
        <w:t>The first three research questions were answered by secondary data collected from the schools and from the BEST Program.</w:t>
      </w:r>
    </w:p>
    <w:p w14:paraId="15EEEAD9" w14:textId="37D7BF05" w:rsidR="008D0CAD" w:rsidRPr="00F93BAE" w:rsidRDefault="008D0CAD" w:rsidP="009443E0">
      <w:pPr>
        <w:spacing w:before="100" w:beforeAutospacing="1" w:after="100" w:afterAutospacing="1" w:line="360" w:lineRule="auto"/>
        <w:rPr>
          <w:rFonts w:asciiTheme="majorHAnsi" w:eastAsia="Arial Unicode MS" w:hAnsiTheme="majorHAnsi" w:cstheme="majorHAnsi"/>
          <w:u w:color="000000"/>
          <w:lang w:val="en-US"/>
        </w:rPr>
      </w:pPr>
      <w:r w:rsidRPr="00F93BAE">
        <w:rPr>
          <w:rFonts w:asciiTheme="majorHAnsi" w:eastAsia="Arial Unicode MS" w:hAnsiTheme="majorHAnsi" w:cstheme="majorHAnsi"/>
          <w:iCs/>
          <w:u w:color="000000"/>
          <w:lang w:val="en-US"/>
        </w:rPr>
        <w:t xml:space="preserve">The </w:t>
      </w:r>
      <w:r w:rsidRPr="00F93BAE">
        <w:rPr>
          <w:rFonts w:asciiTheme="majorHAnsi" w:eastAsia="Arial Unicode MS" w:hAnsiTheme="majorHAnsi" w:cstheme="majorHAnsi"/>
          <w:b/>
          <w:iCs/>
          <w:u w:color="000000"/>
          <w:lang w:val="en-US"/>
        </w:rPr>
        <w:t>Product evaluation</w:t>
      </w:r>
      <w:r w:rsidRPr="00F93BAE">
        <w:rPr>
          <w:rFonts w:asciiTheme="majorHAnsi" w:eastAsia="Arial Unicode MS" w:hAnsiTheme="majorHAnsi" w:cstheme="majorHAnsi"/>
          <w:i/>
          <w:iCs/>
          <w:u w:color="000000"/>
          <w:lang w:val="en-US"/>
        </w:rPr>
        <w:t xml:space="preserve"> </w:t>
      </w:r>
      <w:r w:rsidRPr="00F93BAE">
        <w:rPr>
          <w:rFonts w:asciiTheme="majorHAnsi" w:eastAsia="Arial Unicode MS" w:hAnsiTheme="majorHAnsi" w:cstheme="majorHAnsi"/>
          <w:u w:color="000000"/>
          <w:lang w:val="en-US"/>
        </w:rPr>
        <w:t>was the evaluation of outcomes. Its purpose was to measure, interpret, and judge the project’s outcomes by assessing their merit, worth, significance, and probity. Its main purpose was to ascertain the extent to which the program outcomes were achieved and therefore whether the identified needs of all the participants were met.</w:t>
      </w:r>
      <w:r w:rsidR="00D434EB">
        <w:rPr>
          <w:rFonts w:asciiTheme="majorHAnsi" w:eastAsia="Arial Unicode MS" w:hAnsiTheme="majorHAnsi" w:cstheme="majorHAnsi"/>
          <w:u w:color="000000"/>
          <w:lang w:val="en-US"/>
        </w:rPr>
        <w:t xml:space="preserve"> </w:t>
      </w:r>
      <w:r w:rsidRPr="00F93BAE">
        <w:rPr>
          <w:rFonts w:asciiTheme="majorHAnsi" w:eastAsia="Arial Unicode MS" w:hAnsiTheme="majorHAnsi" w:cstheme="majorHAnsi"/>
          <w:u w:color="000000"/>
          <w:lang w:val="en-US"/>
        </w:rPr>
        <w:t>It answered the following evaluation questions:</w:t>
      </w:r>
    </w:p>
    <w:p w14:paraId="09B446AD" w14:textId="77777777" w:rsidR="008D0CAD" w:rsidRPr="00F93BAE" w:rsidRDefault="008D0CAD" w:rsidP="009443E0">
      <w:pPr>
        <w:numPr>
          <w:ilvl w:val="0"/>
          <w:numId w:val="3"/>
        </w:numPr>
        <w:spacing w:before="100" w:beforeAutospacing="1" w:after="100" w:afterAutospacing="1" w:line="360" w:lineRule="auto"/>
        <w:ind w:right="245"/>
        <w:rPr>
          <w:rFonts w:asciiTheme="majorHAnsi" w:eastAsia="Arial Unicode MS" w:hAnsiTheme="majorHAnsi" w:cstheme="majorHAnsi"/>
          <w:bCs/>
          <w:color w:val="000000" w:themeColor="text1"/>
          <w:u w:color="000000"/>
          <w:lang w:val="en-US"/>
        </w:rPr>
      </w:pPr>
      <w:r w:rsidRPr="00F93BAE">
        <w:rPr>
          <w:rFonts w:asciiTheme="majorHAnsi" w:eastAsia="Arial Unicode MS" w:hAnsiTheme="majorHAnsi" w:cstheme="majorHAnsi"/>
          <w:bCs/>
          <w:u w:color="000000"/>
          <w:lang w:val="en-US"/>
        </w:rPr>
        <w:t xml:space="preserve">To what extent did </w:t>
      </w:r>
      <w:r w:rsidRPr="00F93BAE">
        <w:rPr>
          <w:rFonts w:asciiTheme="majorHAnsi" w:eastAsia="Arial Unicode MS" w:hAnsiTheme="majorHAnsi" w:cstheme="majorHAnsi"/>
          <w:bCs/>
          <w:color w:val="000000" w:themeColor="text1"/>
          <w:u w:color="000000"/>
          <w:lang w:val="en-US"/>
        </w:rPr>
        <w:t>the BEST interventions increase the number of children able to demonstrate mastery of curriculum competencies in Filipino, English, Math and Science in target areas?</w:t>
      </w:r>
    </w:p>
    <w:p w14:paraId="64080508" w14:textId="77777777" w:rsidR="008D0CAD" w:rsidRPr="00F93BAE" w:rsidRDefault="008D0CAD" w:rsidP="009443E0">
      <w:pPr>
        <w:numPr>
          <w:ilvl w:val="0"/>
          <w:numId w:val="3"/>
        </w:numPr>
        <w:spacing w:before="100" w:beforeAutospacing="1" w:after="100" w:afterAutospacing="1" w:line="360" w:lineRule="auto"/>
        <w:ind w:right="245"/>
        <w:rPr>
          <w:rFonts w:asciiTheme="majorHAnsi" w:eastAsia="Arial Unicode MS" w:hAnsiTheme="majorHAnsi" w:cstheme="majorHAnsi"/>
          <w:bCs/>
          <w:color w:val="000000" w:themeColor="text1"/>
          <w:u w:color="000000"/>
          <w:lang w:val="en-US"/>
        </w:rPr>
      </w:pPr>
      <w:r w:rsidRPr="00F93BAE">
        <w:rPr>
          <w:rFonts w:asciiTheme="majorHAnsi" w:eastAsia="Arial Unicode MS" w:hAnsiTheme="majorHAnsi" w:cstheme="majorHAnsi"/>
          <w:bCs/>
          <w:u w:color="000000"/>
          <w:lang w:val="en-US"/>
        </w:rPr>
        <w:t xml:space="preserve">To what extent </w:t>
      </w:r>
      <w:r w:rsidRPr="00F93BAE">
        <w:rPr>
          <w:rFonts w:asciiTheme="majorHAnsi" w:eastAsia="Arial Unicode MS" w:hAnsiTheme="majorHAnsi" w:cstheme="majorHAnsi"/>
          <w:bCs/>
          <w:color w:val="000000" w:themeColor="text1"/>
          <w:u w:color="000000"/>
          <w:lang w:val="en-US"/>
        </w:rPr>
        <w:t>did BEST interventions reduce the differences in learning outcomes for boys and girls in target areas?</w:t>
      </w:r>
    </w:p>
    <w:p w14:paraId="22B5E7DD" w14:textId="77777777" w:rsidR="008D0CAD" w:rsidRPr="00F93BAE" w:rsidRDefault="008D0CAD" w:rsidP="009443E0">
      <w:pPr>
        <w:numPr>
          <w:ilvl w:val="0"/>
          <w:numId w:val="3"/>
        </w:numPr>
        <w:spacing w:before="100" w:beforeAutospacing="1" w:after="100" w:afterAutospacing="1" w:line="360" w:lineRule="auto"/>
        <w:ind w:right="245"/>
        <w:rPr>
          <w:rFonts w:asciiTheme="majorHAnsi" w:eastAsia="Arial Unicode MS" w:hAnsiTheme="majorHAnsi" w:cstheme="majorHAnsi"/>
          <w:bCs/>
          <w:color w:val="000000" w:themeColor="text1"/>
          <w:u w:color="000000"/>
          <w:lang w:val="en-US"/>
        </w:rPr>
      </w:pPr>
      <w:r w:rsidRPr="00F93BAE">
        <w:rPr>
          <w:rFonts w:asciiTheme="majorHAnsi" w:eastAsia="Arial Unicode MS" w:hAnsiTheme="majorHAnsi" w:cstheme="majorHAnsi"/>
          <w:bCs/>
          <w:u w:color="000000"/>
          <w:lang w:val="en-US"/>
        </w:rPr>
        <w:t xml:space="preserve">To what extent </w:t>
      </w:r>
      <w:r w:rsidRPr="00F93BAE">
        <w:rPr>
          <w:rFonts w:asciiTheme="majorHAnsi" w:eastAsia="Arial Unicode MS" w:hAnsiTheme="majorHAnsi" w:cstheme="majorHAnsi"/>
          <w:bCs/>
          <w:color w:val="000000" w:themeColor="text1"/>
          <w:u w:color="000000"/>
          <w:lang w:val="en-US"/>
        </w:rPr>
        <w:t>did BEST interventions increase the number of boys and girls participating and completing basic education in target areas?</w:t>
      </w:r>
    </w:p>
    <w:p w14:paraId="378CC89A" w14:textId="77777777" w:rsidR="008D0CAD" w:rsidRPr="00F93BAE" w:rsidRDefault="008D0CAD" w:rsidP="009443E0">
      <w:pPr>
        <w:numPr>
          <w:ilvl w:val="0"/>
          <w:numId w:val="3"/>
        </w:numPr>
        <w:spacing w:before="100" w:beforeAutospacing="1" w:after="100" w:afterAutospacing="1" w:line="360" w:lineRule="auto"/>
        <w:ind w:right="245"/>
        <w:rPr>
          <w:rFonts w:asciiTheme="majorHAnsi" w:eastAsia="Arial Unicode MS" w:hAnsiTheme="majorHAnsi" w:cstheme="majorHAnsi"/>
          <w:bCs/>
          <w:color w:val="000000" w:themeColor="text1"/>
          <w:u w:color="000000"/>
          <w:lang w:val="en-US"/>
        </w:rPr>
      </w:pPr>
      <w:r w:rsidRPr="00F93BAE">
        <w:rPr>
          <w:rFonts w:asciiTheme="majorHAnsi" w:eastAsia="Arial Unicode MS" w:hAnsiTheme="majorHAnsi" w:cstheme="majorHAnsi"/>
          <w:bCs/>
          <w:u w:color="000000"/>
          <w:lang w:val="en-US"/>
        </w:rPr>
        <w:t xml:space="preserve">To what extent </w:t>
      </w:r>
      <w:r w:rsidRPr="00F93BAE">
        <w:rPr>
          <w:rFonts w:asciiTheme="majorHAnsi" w:eastAsia="Arial Unicode MS" w:hAnsiTheme="majorHAnsi" w:cstheme="majorHAnsi"/>
          <w:bCs/>
          <w:color w:val="000000" w:themeColor="text1"/>
          <w:u w:color="000000"/>
          <w:lang w:val="en-US"/>
        </w:rPr>
        <w:t>did BEST interventions improve DepEd’s ability to deliver inclusive and responsive basic education services with greater decentralization of management and accountability to the field offices and schools?</w:t>
      </w:r>
    </w:p>
    <w:p w14:paraId="2EF88214" w14:textId="77777777" w:rsidR="008D0CAD" w:rsidRPr="00F93BAE" w:rsidRDefault="008D0CAD" w:rsidP="009443E0">
      <w:pPr>
        <w:numPr>
          <w:ilvl w:val="0"/>
          <w:numId w:val="3"/>
        </w:numPr>
        <w:spacing w:before="100" w:beforeAutospacing="1" w:after="100" w:afterAutospacing="1" w:line="360" w:lineRule="auto"/>
        <w:ind w:right="245"/>
        <w:rPr>
          <w:rFonts w:asciiTheme="majorHAnsi" w:eastAsia="Arial Unicode MS" w:hAnsiTheme="majorHAnsi" w:cstheme="majorHAnsi"/>
          <w:bCs/>
          <w:color w:val="000000" w:themeColor="text1"/>
          <w:u w:color="000000"/>
          <w:lang w:val="en-US"/>
        </w:rPr>
      </w:pPr>
      <w:r w:rsidRPr="00F93BAE">
        <w:rPr>
          <w:rFonts w:asciiTheme="majorHAnsi" w:eastAsia="Arial Unicode MS" w:hAnsiTheme="majorHAnsi" w:cstheme="majorHAnsi"/>
          <w:u w:color="000000"/>
          <w:lang w:val="en-US"/>
        </w:rPr>
        <w:t>How sustainable are the intended and positive program outcomes?</w:t>
      </w:r>
    </w:p>
    <w:p w14:paraId="0EA313B5" w14:textId="77777777" w:rsidR="008D0CAD" w:rsidRPr="00F93BAE" w:rsidRDefault="008D0CAD" w:rsidP="009443E0">
      <w:pPr>
        <w:spacing w:before="100" w:beforeAutospacing="1" w:after="100" w:afterAutospacing="1" w:line="360" w:lineRule="auto"/>
        <w:rPr>
          <w:rFonts w:asciiTheme="majorHAnsi" w:hAnsiTheme="majorHAnsi" w:cstheme="majorHAnsi"/>
          <w:lang w:val="en-US"/>
        </w:rPr>
      </w:pPr>
      <w:r w:rsidRPr="00F93BAE">
        <w:rPr>
          <w:rFonts w:asciiTheme="majorHAnsi" w:hAnsiTheme="majorHAnsi" w:cstheme="majorHAnsi"/>
          <w:lang w:val="en-US"/>
        </w:rPr>
        <w:t>Data to answer these questions was derived from the regression analysis, focus group discussions, survey questionnaires and classroom observations.</w:t>
      </w:r>
    </w:p>
    <w:p w14:paraId="2137C373" w14:textId="77777777" w:rsidR="008D0CAD" w:rsidRPr="00F93BAE" w:rsidRDefault="008D0CAD" w:rsidP="009443E0">
      <w:pPr>
        <w:spacing w:before="100" w:beforeAutospacing="1" w:after="100" w:afterAutospacing="1" w:line="360" w:lineRule="auto"/>
        <w:rPr>
          <w:rFonts w:asciiTheme="majorHAnsi" w:hAnsiTheme="majorHAnsi" w:cstheme="majorHAnsi"/>
          <w:lang w:val="en-US"/>
        </w:rPr>
      </w:pPr>
      <w:r w:rsidRPr="00F93BAE">
        <w:rPr>
          <w:rFonts w:asciiTheme="majorHAnsi" w:hAnsiTheme="majorHAnsi" w:cstheme="majorHAnsi"/>
          <w:lang w:val="en-US"/>
        </w:rPr>
        <w:t xml:space="preserve">For each program intervention, the evaluation study applied a sub-framework which this study called </w:t>
      </w:r>
      <w:r w:rsidRPr="00F93BAE">
        <w:rPr>
          <w:rFonts w:asciiTheme="majorHAnsi" w:hAnsiTheme="majorHAnsi" w:cstheme="majorHAnsi"/>
          <w:b/>
          <w:lang w:val="en-US"/>
        </w:rPr>
        <w:t>Knowledge-Practice assessment</w:t>
      </w:r>
      <w:r w:rsidRPr="00F93BAE">
        <w:rPr>
          <w:rFonts w:asciiTheme="majorHAnsi" w:hAnsiTheme="majorHAnsi" w:cstheme="majorHAnsi"/>
          <w:lang w:val="en-US"/>
        </w:rPr>
        <w:t>. In determining the “stickiness” of a particular systemic reform (e.g. PPST) introduced/enhanced/assisted by BEST, the evaluation looked at three levels:</w:t>
      </w:r>
    </w:p>
    <w:p w14:paraId="7351CB32" w14:textId="6AC7F7DC" w:rsidR="008D0CAD" w:rsidRPr="00F93BAE" w:rsidRDefault="008D0CAD" w:rsidP="00DD08E3">
      <w:pPr>
        <w:numPr>
          <w:ilvl w:val="0"/>
          <w:numId w:val="65"/>
        </w:numPr>
        <w:spacing w:before="100" w:beforeAutospacing="1" w:after="100" w:afterAutospacing="1" w:line="360" w:lineRule="auto"/>
        <w:rPr>
          <w:rFonts w:asciiTheme="majorHAnsi" w:hAnsiTheme="majorHAnsi" w:cstheme="majorHAnsi"/>
          <w:snapToGrid w:val="0"/>
          <w:szCs w:val="20"/>
          <w:lang w:val="en-US"/>
        </w:rPr>
      </w:pPr>
      <w:r w:rsidRPr="00F93BAE">
        <w:rPr>
          <w:rFonts w:asciiTheme="majorHAnsi" w:hAnsiTheme="majorHAnsi" w:cstheme="majorHAnsi"/>
          <w:i/>
          <w:snapToGrid w:val="0"/>
          <w:szCs w:val="20"/>
          <w:lang w:val="en-US"/>
        </w:rPr>
        <w:t>Knowledge</w:t>
      </w:r>
      <w:r w:rsidRPr="00F93BAE">
        <w:rPr>
          <w:rFonts w:asciiTheme="majorHAnsi" w:hAnsiTheme="majorHAnsi" w:cstheme="majorHAnsi"/>
          <w:snapToGrid w:val="0"/>
          <w:szCs w:val="20"/>
          <w:lang w:val="en-US"/>
        </w:rPr>
        <w:t xml:space="preserve"> referred to a continuum of awareness, understanding of concepts and access to the materials.</w:t>
      </w:r>
      <w:r w:rsidR="00D434EB">
        <w:rPr>
          <w:rFonts w:asciiTheme="majorHAnsi" w:hAnsiTheme="majorHAnsi" w:cstheme="majorHAnsi"/>
          <w:snapToGrid w:val="0"/>
          <w:szCs w:val="20"/>
          <w:lang w:val="en-US"/>
        </w:rPr>
        <w:t xml:space="preserve"> </w:t>
      </w:r>
      <w:r w:rsidRPr="00F93BAE">
        <w:rPr>
          <w:rFonts w:asciiTheme="majorHAnsi" w:hAnsiTheme="majorHAnsi" w:cstheme="majorHAnsi"/>
          <w:snapToGrid w:val="0"/>
          <w:szCs w:val="20"/>
          <w:lang w:val="en-US"/>
        </w:rPr>
        <w:t>It looked at whether the program stakeholders on the ground and near-ground level had a high-to-low level of knowledge of the specific BEST interventions (from awareness to cognition to ability to explain).</w:t>
      </w:r>
    </w:p>
    <w:p w14:paraId="5E0D7FB1" w14:textId="0A1F7BEE" w:rsidR="008D0CAD" w:rsidRPr="005902F7" w:rsidRDefault="008D0CAD" w:rsidP="00DD08E3">
      <w:pPr>
        <w:numPr>
          <w:ilvl w:val="0"/>
          <w:numId w:val="65"/>
        </w:numPr>
        <w:spacing w:before="100" w:beforeAutospacing="1" w:after="100" w:afterAutospacing="1" w:line="360" w:lineRule="auto"/>
        <w:rPr>
          <w:rFonts w:asciiTheme="majorHAnsi" w:hAnsiTheme="majorHAnsi" w:cstheme="majorHAnsi"/>
          <w:snapToGrid w:val="0"/>
          <w:szCs w:val="20"/>
          <w:lang w:val="en-US"/>
        </w:rPr>
      </w:pPr>
      <w:r w:rsidRPr="00F93BAE">
        <w:rPr>
          <w:rFonts w:asciiTheme="majorHAnsi" w:hAnsiTheme="majorHAnsi" w:cstheme="majorHAnsi"/>
          <w:i/>
          <w:snapToGrid w:val="0"/>
          <w:szCs w:val="20"/>
          <w:lang w:val="en-US"/>
        </w:rPr>
        <w:t>Practice</w:t>
      </w:r>
      <w:r w:rsidRPr="00F93BAE">
        <w:rPr>
          <w:rFonts w:asciiTheme="majorHAnsi" w:hAnsiTheme="majorHAnsi" w:cstheme="majorHAnsi"/>
          <w:snapToGrid w:val="0"/>
          <w:szCs w:val="20"/>
          <w:lang w:val="en-US"/>
        </w:rPr>
        <w:t xml:space="preserve"> referred to the use and adoption of the introduced reform.</w:t>
      </w:r>
      <w:r w:rsidR="00D434EB">
        <w:rPr>
          <w:rFonts w:asciiTheme="majorHAnsi" w:hAnsiTheme="majorHAnsi" w:cstheme="majorHAnsi"/>
          <w:snapToGrid w:val="0"/>
          <w:szCs w:val="20"/>
          <w:lang w:val="en-US"/>
        </w:rPr>
        <w:t xml:space="preserve"> </w:t>
      </w:r>
      <w:r w:rsidRPr="00F93BAE">
        <w:rPr>
          <w:rFonts w:asciiTheme="majorHAnsi" w:hAnsiTheme="majorHAnsi" w:cstheme="majorHAnsi"/>
          <w:snapToGrid w:val="0"/>
          <w:szCs w:val="20"/>
          <w:lang w:val="en-US"/>
        </w:rPr>
        <w:t>Usage was differentiated from adoption by looking at behavioral change rather than compliance.</w:t>
      </w:r>
      <w:r w:rsidR="00D434EB">
        <w:rPr>
          <w:rFonts w:asciiTheme="majorHAnsi" w:hAnsiTheme="majorHAnsi" w:cstheme="majorHAnsi"/>
          <w:snapToGrid w:val="0"/>
          <w:szCs w:val="20"/>
          <w:lang w:val="en-US"/>
        </w:rPr>
        <w:t xml:space="preserve"> </w:t>
      </w:r>
      <w:r w:rsidRPr="00F93BAE">
        <w:rPr>
          <w:rFonts w:asciiTheme="majorHAnsi" w:hAnsiTheme="majorHAnsi" w:cstheme="majorHAnsi"/>
          <w:snapToGrid w:val="0"/>
          <w:szCs w:val="20"/>
          <w:lang w:val="en-US"/>
        </w:rPr>
        <w:t xml:space="preserve">For example, utilizing the new information systems to make better decisions and improved school processes rather than simply complying with reports. </w:t>
      </w:r>
    </w:p>
    <w:p w14:paraId="46E89041" w14:textId="65442301" w:rsidR="008D0CAD" w:rsidRPr="00F93BAE" w:rsidRDefault="008D0CAD" w:rsidP="009443E0">
      <w:pPr>
        <w:spacing w:before="100" w:beforeAutospacing="1" w:after="100" w:afterAutospacing="1" w:line="360" w:lineRule="auto"/>
        <w:rPr>
          <w:rFonts w:asciiTheme="majorHAnsi" w:hAnsiTheme="majorHAnsi" w:cstheme="majorHAnsi"/>
          <w:lang w:val="en-US"/>
        </w:rPr>
      </w:pPr>
      <w:r w:rsidRPr="00F93BAE">
        <w:rPr>
          <w:rFonts w:asciiTheme="majorHAnsi" w:hAnsiTheme="majorHAnsi" w:cstheme="majorHAnsi"/>
          <w:lang w:val="en-US"/>
        </w:rPr>
        <w:t>The contributions of the BEST Program interventions will be based on the assessment of the four evaluation domains of Relevance, Efficiency, Effectiveness and Sustainability (REES).</w:t>
      </w:r>
      <w:r w:rsidR="00D434EB">
        <w:rPr>
          <w:rFonts w:asciiTheme="majorHAnsi" w:hAnsiTheme="majorHAnsi" w:cstheme="majorHAnsi"/>
          <w:lang w:val="en-US"/>
        </w:rPr>
        <w:t xml:space="preserve"> </w:t>
      </w:r>
      <w:r w:rsidRPr="00F93BAE">
        <w:rPr>
          <w:rFonts w:asciiTheme="majorHAnsi" w:hAnsiTheme="majorHAnsi" w:cstheme="majorHAnsi"/>
          <w:lang w:val="en-US"/>
        </w:rPr>
        <w:t>The discussion on the four domains is largely taken from ADB guidelines on Evaluation.</w:t>
      </w:r>
      <w:r w:rsidRPr="00F93BAE">
        <w:rPr>
          <w:rFonts w:asciiTheme="majorHAnsi" w:hAnsiTheme="majorHAnsi" w:cstheme="majorHAnsi"/>
          <w:vertAlign w:val="superscript"/>
          <w:lang w:val="en-US"/>
        </w:rPr>
        <w:footnoteReference w:id="126"/>
      </w:r>
      <w:r w:rsidRPr="00F93BAE">
        <w:rPr>
          <w:rFonts w:asciiTheme="majorHAnsi" w:hAnsiTheme="majorHAnsi" w:cstheme="majorHAnsi"/>
          <w:lang w:val="en-US"/>
        </w:rPr>
        <w:t xml:space="preserve"> Each core criterion is weighed evenly, and each domain uses a four-point scale (1 to 4), with 4 being the highest and most favorable result.</w:t>
      </w:r>
      <w:r w:rsidR="00D434EB">
        <w:rPr>
          <w:rFonts w:asciiTheme="majorHAnsi" w:hAnsiTheme="majorHAnsi" w:cstheme="majorHAnsi"/>
          <w:lang w:val="en-US"/>
        </w:rPr>
        <w:t xml:space="preserve"> </w:t>
      </w:r>
      <w:r w:rsidRPr="00F93BAE">
        <w:rPr>
          <w:rFonts w:asciiTheme="majorHAnsi" w:hAnsiTheme="majorHAnsi" w:cstheme="majorHAnsi"/>
          <w:lang w:val="en-US"/>
        </w:rPr>
        <w:t>The four assessment domains are logically complementary and interrelated but are rated independently. With this approach, each BEST Program intervention may be rated highly effective but less than sustainable but still regarded as successful, if it is rated relevant, effective and efficient.</w:t>
      </w:r>
      <w:r w:rsidR="00D434EB">
        <w:rPr>
          <w:rFonts w:asciiTheme="majorHAnsi" w:hAnsiTheme="majorHAnsi" w:cstheme="majorHAnsi"/>
          <w:lang w:val="en-US"/>
        </w:rPr>
        <w:t xml:space="preserve"> </w:t>
      </w:r>
      <w:r w:rsidRPr="00F93BAE">
        <w:rPr>
          <w:rFonts w:asciiTheme="majorHAnsi" w:hAnsiTheme="majorHAnsi" w:cstheme="majorHAnsi"/>
          <w:lang w:val="en-US"/>
        </w:rPr>
        <w:t>The application of each domain is discussed below. Table 1 (refer to Annex R of the Main Report) shows the proposed rubric for the assessment of the Program’s Relevance, Efficiency, Effectiveness and Sustainability.</w:t>
      </w:r>
    </w:p>
    <w:p w14:paraId="62F2D71E" w14:textId="77777777" w:rsidR="008D0CAD" w:rsidRPr="00F93BAE" w:rsidRDefault="008D0CAD" w:rsidP="009443E0">
      <w:pPr>
        <w:spacing w:before="100" w:beforeAutospacing="1" w:after="100" w:afterAutospacing="1" w:line="360" w:lineRule="auto"/>
        <w:rPr>
          <w:rFonts w:asciiTheme="majorHAnsi" w:hAnsiTheme="majorHAnsi" w:cstheme="majorHAnsi"/>
          <w:lang w:val="en-US"/>
        </w:rPr>
      </w:pPr>
      <w:r w:rsidRPr="00F93BAE">
        <w:rPr>
          <w:rFonts w:asciiTheme="majorHAnsi" w:hAnsiTheme="majorHAnsi" w:cstheme="majorHAnsi"/>
          <w:b/>
          <w:lang w:val="en-US"/>
        </w:rPr>
        <w:t>Relevance</w:t>
      </w:r>
      <w:r w:rsidRPr="00F93BAE">
        <w:rPr>
          <w:rFonts w:asciiTheme="majorHAnsi" w:hAnsiTheme="majorHAnsi" w:cstheme="majorHAnsi"/>
          <w:lang w:val="en-US"/>
        </w:rPr>
        <w:t>, in this evaluation study, addresses “</w:t>
      </w:r>
      <w:r w:rsidRPr="00F93BAE">
        <w:rPr>
          <w:rFonts w:asciiTheme="majorHAnsi" w:hAnsiTheme="majorHAnsi" w:cstheme="majorHAnsi"/>
          <w:i/>
          <w:lang w:val="en-US"/>
        </w:rPr>
        <w:t>the extent to which the intended outcomes of the BEST Program are strategically aligned with the country’s development priorities (considering both what is included in the project and what ought to be included) and do not duplicate the project work of other development partners</w:t>
      </w:r>
      <w:r w:rsidRPr="00F93BAE">
        <w:rPr>
          <w:rFonts w:asciiTheme="majorHAnsi" w:hAnsiTheme="majorHAnsi" w:cstheme="majorHAnsi"/>
          <w:lang w:val="en-US"/>
        </w:rPr>
        <w:t>” (ADB, 2016, p. 4). It also looks at the alignment with Australian Aid’s country and sector strategies and whether the program’s design was appropriate to respond to the identified sector gaps.</w:t>
      </w:r>
    </w:p>
    <w:p w14:paraId="19337B02" w14:textId="77777777" w:rsidR="008D0CAD" w:rsidRPr="00F93BAE" w:rsidRDefault="008D0CAD" w:rsidP="009443E0">
      <w:pPr>
        <w:spacing w:before="100" w:beforeAutospacing="1" w:after="100" w:afterAutospacing="1" w:line="360" w:lineRule="auto"/>
        <w:rPr>
          <w:rFonts w:asciiTheme="majorHAnsi" w:hAnsiTheme="majorHAnsi" w:cstheme="majorHAnsi"/>
          <w:lang w:val="en-US"/>
        </w:rPr>
      </w:pPr>
      <w:r w:rsidRPr="00F93BAE">
        <w:rPr>
          <w:rFonts w:asciiTheme="majorHAnsi" w:hAnsiTheme="majorHAnsi" w:cstheme="majorHAnsi"/>
          <w:b/>
          <w:lang w:val="en-US"/>
        </w:rPr>
        <w:t>Effectiveness</w:t>
      </w:r>
      <w:r w:rsidRPr="00F93BAE">
        <w:rPr>
          <w:rFonts w:asciiTheme="majorHAnsi" w:hAnsiTheme="majorHAnsi" w:cstheme="majorHAnsi"/>
          <w:lang w:val="en-US"/>
        </w:rPr>
        <w:t>. The assessment of effectiveness looks at whether the project’s intended outcomes were achieved or are expected to be achieved at the time of observation (i.e., at completion or later), and whether any unintended negative or positive outcomes occur that either reduced or increased the value of the program. The outcomes are evaluated against the baselines and targets set out in the program design and start-up.</w:t>
      </w:r>
    </w:p>
    <w:p w14:paraId="6702BEC9" w14:textId="77777777" w:rsidR="008D0CAD" w:rsidRPr="00F93BAE" w:rsidRDefault="008D0CAD" w:rsidP="009443E0">
      <w:pPr>
        <w:spacing w:before="100" w:beforeAutospacing="1" w:after="100" w:afterAutospacing="1" w:line="360" w:lineRule="auto"/>
        <w:rPr>
          <w:rFonts w:asciiTheme="majorHAnsi" w:hAnsiTheme="majorHAnsi" w:cstheme="majorHAnsi"/>
          <w:lang w:val="en-US"/>
        </w:rPr>
      </w:pPr>
      <w:r w:rsidRPr="00F93BAE">
        <w:rPr>
          <w:rFonts w:asciiTheme="majorHAnsi" w:hAnsiTheme="majorHAnsi" w:cstheme="majorHAnsi"/>
          <w:b/>
          <w:lang w:val="en-US"/>
        </w:rPr>
        <w:t>Efficiency</w:t>
      </w:r>
      <w:r w:rsidRPr="00F93BAE">
        <w:rPr>
          <w:rFonts w:asciiTheme="majorHAnsi" w:hAnsiTheme="majorHAnsi" w:cstheme="majorHAnsi"/>
          <w:lang w:val="en-US"/>
        </w:rPr>
        <w:t>. As noted in the ADB Guideline,</w:t>
      </w:r>
      <w:r w:rsidRPr="00F93BAE">
        <w:rPr>
          <w:rFonts w:asciiTheme="majorHAnsi" w:hAnsiTheme="majorHAnsi" w:cstheme="majorHAnsi"/>
          <w:b/>
          <w:lang w:val="en-US"/>
        </w:rPr>
        <w:t xml:space="preserve"> “</w:t>
      </w:r>
      <w:r w:rsidRPr="00F93BAE">
        <w:rPr>
          <w:rFonts w:asciiTheme="majorHAnsi" w:hAnsiTheme="majorHAnsi" w:cstheme="majorHAnsi"/>
          <w:lang w:val="en-US"/>
        </w:rPr>
        <w:t xml:space="preserve">Where benefits cannot be quantified with a high degree of confidence, or where data on benefits are not available, efficiency can sometimes be analyzed for an assumed level of economic benefits, </w:t>
      </w:r>
      <w:r w:rsidRPr="00F93BAE">
        <w:rPr>
          <w:rFonts w:asciiTheme="majorHAnsi" w:hAnsiTheme="majorHAnsi" w:cstheme="majorHAnsi"/>
          <w:b/>
          <w:lang w:val="en-US"/>
        </w:rPr>
        <w:t>based on an average unit cost analysis</w:t>
      </w:r>
      <w:r w:rsidRPr="00F93BAE">
        <w:rPr>
          <w:rFonts w:asciiTheme="majorHAnsi" w:hAnsiTheme="majorHAnsi" w:cstheme="majorHAnsi"/>
          <w:lang w:val="en-US"/>
        </w:rPr>
        <w:t xml:space="preserve"> based on industry benchmarks, at the time of appraisal and completion. Analysis can be based on unit costs for comparable activities that could achieve the same or similar benefits in order to assess efficiency on a least unit cost basis. If financial data are lacking, estimates can be prepared for indicators such as average financial unit costs for achieving a defined development outcome. Cost per beneficiary estimations can also be used in sectors such as education and health.” </w:t>
      </w:r>
    </w:p>
    <w:p w14:paraId="6F5E14A9" w14:textId="77777777" w:rsidR="008D0CAD" w:rsidRPr="00F93BAE" w:rsidRDefault="008D0CAD" w:rsidP="009443E0">
      <w:pPr>
        <w:spacing w:before="100" w:beforeAutospacing="1" w:after="100" w:afterAutospacing="1" w:line="360" w:lineRule="auto"/>
        <w:rPr>
          <w:rFonts w:asciiTheme="majorHAnsi" w:hAnsiTheme="majorHAnsi" w:cstheme="majorHAnsi"/>
          <w:color w:val="000000" w:themeColor="text1"/>
          <w:lang w:val="en-US"/>
        </w:rPr>
      </w:pPr>
      <w:r w:rsidRPr="00F93BAE">
        <w:rPr>
          <w:rFonts w:asciiTheme="majorHAnsi" w:hAnsiTheme="majorHAnsi" w:cstheme="majorHAnsi"/>
          <w:lang w:val="en-US"/>
        </w:rPr>
        <w:t>The EOPE Team will also undertake a process efficiency analysis which in effect examines aspects resources vis-à-vis time such as the scale of delays and cost overruns and their effects on project performance, including the factors that resulted or contributed to these overruns. Process efficiency also examines the timely availability and utilization of funds.</w:t>
      </w:r>
    </w:p>
    <w:p w14:paraId="074B89F7" w14:textId="63A2C788" w:rsidR="008D0CAD" w:rsidRPr="0028743E" w:rsidRDefault="008D0CAD" w:rsidP="009443E0">
      <w:pPr>
        <w:spacing w:before="100" w:beforeAutospacing="1" w:after="100" w:afterAutospacing="1" w:line="360" w:lineRule="auto"/>
        <w:rPr>
          <w:rFonts w:asciiTheme="majorHAnsi" w:hAnsiTheme="majorHAnsi" w:cstheme="majorHAnsi"/>
          <w:lang w:val="en-US"/>
        </w:rPr>
      </w:pPr>
      <w:r w:rsidRPr="00F93BAE">
        <w:rPr>
          <w:rFonts w:asciiTheme="majorHAnsi" w:hAnsiTheme="majorHAnsi" w:cstheme="majorHAnsi"/>
          <w:b/>
          <w:lang w:val="en-US"/>
        </w:rPr>
        <w:t>Sustainability</w:t>
      </w:r>
      <w:r w:rsidRPr="00F93BAE">
        <w:rPr>
          <w:rFonts w:asciiTheme="majorHAnsi" w:hAnsiTheme="majorHAnsi" w:cstheme="majorHAnsi"/>
          <w:lang w:val="en-US"/>
        </w:rPr>
        <w:t>. The assessment of sustainability focuses on the likelihood that project outcomes and outputs will be maintained over a longer-term horizon even after the withdrawal of BEST Program support.</w:t>
      </w:r>
      <w:r w:rsidR="00D434EB">
        <w:rPr>
          <w:rFonts w:asciiTheme="majorHAnsi" w:hAnsiTheme="majorHAnsi" w:cstheme="majorHAnsi"/>
          <w:lang w:val="en-US"/>
        </w:rPr>
        <w:t xml:space="preserve"> </w:t>
      </w:r>
      <w:r w:rsidRPr="00F93BAE">
        <w:rPr>
          <w:rFonts w:asciiTheme="majorHAnsi" w:hAnsiTheme="majorHAnsi" w:cstheme="majorHAnsi"/>
          <w:lang w:val="en-US"/>
        </w:rPr>
        <w:t>It will look at whether the program has demonstrated the persistence of results from the policy supported and institutional actions taken. The assessment refers to the sustainability of outcomes and outputs that were fully or partially achieved at the time of evaluation, and the intended outcomes that might be achieved in future.</w:t>
      </w:r>
      <w:r w:rsidR="00D434EB">
        <w:rPr>
          <w:rFonts w:asciiTheme="majorHAnsi" w:hAnsiTheme="majorHAnsi" w:cstheme="majorHAnsi"/>
          <w:lang w:val="en-US"/>
        </w:rPr>
        <w:t xml:space="preserve"> </w:t>
      </w:r>
      <w:r w:rsidRPr="00F93BAE">
        <w:rPr>
          <w:rFonts w:asciiTheme="majorHAnsi" w:hAnsiTheme="majorHAnsi" w:cstheme="majorHAnsi"/>
          <w:lang w:val="en-US"/>
        </w:rPr>
        <w:t>This assessment will include looking at institutional sustainability, which would include an analysis of how the ownership, functions, structures, and capacity of program-related stakeholders affected program-related inputs and service delivery, including the institution’s capacity to assume its identified role or mandate.</w:t>
      </w:r>
      <w:r w:rsidR="00D434EB">
        <w:rPr>
          <w:rFonts w:asciiTheme="majorHAnsi" w:hAnsiTheme="majorHAnsi" w:cstheme="majorHAnsi"/>
          <w:lang w:val="en-US"/>
        </w:rPr>
        <w:t xml:space="preserve"> </w:t>
      </w:r>
      <w:r w:rsidRPr="00F93BAE">
        <w:rPr>
          <w:rFonts w:asciiTheme="majorHAnsi" w:hAnsiTheme="majorHAnsi" w:cstheme="majorHAnsi"/>
          <w:lang w:val="en-US"/>
        </w:rPr>
        <w:t>Other factors of sustainability may be considered.</w:t>
      </w:r>
    </w:p>
    <w:p w14:paraId="113520C7" w14:textId="007A216C" w:rsidR="008D0CAD" w:rsidRPr="00D354DC" w:rsidRDefault="008D0CAD" w:rsidP="005902F7">
      <w:pPr>
        <w:pStyle w:val="Heading2"/>
        <w:pageBreakBefore/>
        <w:numPr>
          <w:ilvl w:val="0"/>
          <w:numId w:val="0"/>
        </w:numPr>
        <w:spacing w:before="100" w:beforeAutospacing="1" w:after="100" w:afterAutospacing="1" w:line="360" w:lineRule="auto"/>
        <w:ind w:left="1287" w:hanging="720"/>
      </w:pPr>
      <w:bookmarkStart w:id="215" w:name="_Toc39938355"/>
      <w:bookmarkStart w:id="216" w:name="_Toc69820460"/>
      <w:r w:rsidRPr="00F93BAE">
        <w:t>Annex D. Follow-Up Study Methodology</w:t>
      </w:r>
      <w:bookmarkEnd w:id="215"/>
      <w:bookmarkEnd w:id="216"/>
    </w:p>
    <w:p w14:paraId="3E371E93" w14:textId="77777777" w:rsidR="008D0CAD" w:rsidRPr="00F93BAE" w:rsidRDefault="008D0CAD" w:rsidP="00DD08E3">
      <w:pPr>
        <w:numPr>
          <w:ilvl w:val="1"/>
          <w:numId w:val="70"/>
        </w:numPr>
        <w:spacing w:before="100" w:beforeAutospacing="1" w:after="100" w:afterAutospacing="1" w:line="360" w:lineRule="auto"/>
        <w:contextualSpacing/>
        <w:rPr>
          <w:rFonts w:asciiTheme="majorHAnsi" w:hAnsiTheme="majorHAnsi" w:cstheme="majorHAnsi"/>
          <w:snapToGrid w:val="0"/>
          <w:szCs w:val="20"/>
          <w:lang w:val="en-US"/>
        </w:rPr>
      </w:pPr>
      <w:r w:rsidRPr="00F93BAE">
        <w:rPr>
          <w:rFonts w:asciiTheme="majorHAnsi" w:hAnsiTheme="majorHAnsi" w:cstheme="majorHAnsi"/>
          <w:b/>
          <w:snapToGrid w:val="0"/>
          <w:szCs w:val="20"/>
          <w:lang w:val="en-US"/>
        </w:rPr>
        <w:t>Conceptual Framework</w:t>
      </w:r>
    </w:p>
    <w:p w14:paraId="639CD4A7" w14:textId="48F9AA26" w:rsidR="008D0CAD" w:rsidRPr="00F93BAE" w:rsidRDefault="008D0CAD" w:rsidP="005902F7">
      <w:pPr>
        <w:spacing w:before="100" w:beforeAutospacing="1" w:after="100" w:afterAutospacing="1" w:line="360" w:lineRule="auto"/>
        <w:rPr>
          <w:rFonts w:asciiTheme="majorHAnsi" w:hAnsiTheme="majorHAnsi" w:cstheme="majorHAnsi"/>
          <w:lang w:val="en-US"/>
        </w:rPr>
      </w:pPr>
      <w:r w:rsidRPr="00F93BAE">
        <w:rPr>
          <w:rFonts w:asciiTheme="majorHAnsi" w:hAnsiTheme="majorHAnsi" w:cstheme="majorHAnsi"/>
          <w:lang w:val="en-US"/>
        </w:rPr>
        <w:t>The Conceptual Framework for the case study research, illustrated in Figure 1, intended to compare the effects of the BEST Program interventions in identified schools before the BEST Program interventions were introduced (i.e., at baseline) and at the end of the Program (i.e., at endline or after intervention was introduced).</w:t>
      </w:r>
      <w:r w:rsidR="00D434EB">
        <w:rPr>
          <w:rFonts w:asciiTheme="majorHAnsi" w:hAnsiTheme="majorHAnsi" w:cstheme="majorHAnsi"/>
          <w:lang w:val="en-US"/>
        </w:rPr>
        <w:t xml:space="preserve"> </w:t>
      </w:r>
      <w:r w:rsidRPr="00F93BAE">
        <w:rPr>
          <w:rFonts w:asciiTheme="majorHAnsi" w:hAnsiTheme="majorHAnsi" w:cstheme="majorHAnsi"/>
          <w:lang w:val="en-US"/>
        </w:rPr>
        <w:t>Specifically, it aimed to ascertain three levels of effects of the BEST Program interventions: (1) Effects of Program interventions on school leadership and management (i.e., changes in knowledge, skills, behaviors and practices of principals and school heads); (2) Effects of Program interventions on teaching delivery (i.e., changes in teacher knowledge, skills, behaviors and practices); and (3) Effects of the changes in school leadership and management and teaching delivery on school (organizational) outcomes.</w:t>
      </w:r>
      <w:r w:rsidR="00D434EB">
        <w:rPr>
          <w:rFonts w:asciiTheme="majorHAnsi" w:hAnsiTheme="majorHAnsi" w:cstheme="majorHAnsi"/>
          <w:lang w:val="en-US"/>
        </w:rPr>
        <w:t xml:space="preserve"> </w:t>
      </w:r>
    </w:p>
    <w:p w14:paraId="1296F00D" w14:textId="77777777" w:rsidR="008D0CAD" w:rsidRPr="00F93BAE" w:rsidRDefault="008D0CAD" w:rsidP="005902F7">
      <w:pPr>
        <w:spacing w:before="100" w:beforeAutospacing="1" w:after="100" w:afterAutospacing="1" w:line="360" w:lineRule="auto"/>
        <w:rPr>
          <w:rFonts w:asciiTheme="majorHAnsi" w:hAnsiTheme="majorHAnsi" w:cstheme="majorHAnsi"/>
          <w:b/>
          <w:lang w:val="en-US"/>
        </w:rPr>
      </w:pPr>
      <w:r w:rsidRPr="00F93BAE">
        <w:rPr>
          <w:rFonts w:asciiTheme="majorHAnsi" w:hAnsiTheme="majorHAnsi" w:cstheme="majorHAnsi"/>
          <w:b/>
          <w:lang w:val="en-US"/>
        </w:rPr>
        <w:t>Figure 1. Conceptual Framework for Case Study Development</w:t>
      </w:r>
    </w:p>
    <w:p w14:paraId="4383CCFB" w14:textId="77777777" w:rsidR="008D0CAD" w:rsidRPr="00F93BAE" w:rsidRDefault="008D0CAD" w:rsidP="005902F7">
      <w:pPr>
        <w:spacing w:before="100" w:beforeAutospacing="1" w:after="100" w:afterAutospacing="1" w:line="360" w:lineRule="auto"/>
        <w:rPr>
          <w:rFonts w:asciiTheme="majorHAnsi" w:hAnsiTheme="majorHAnsi" w:cstheme="majorHAnsi"/>
          <w:lang w:val="en-US"/>
        </w:rPr>
      </w:pPr>
      <w:r w:rsidRPr="00F93BAE">
        <w:rPr>
          <w:rFonts w:asciiTheme="majorHAnsi" w:hAnsiTheme="majorHAnsi" w:cstheme="majorHAnsi"/>
          <w:noProof/>
          <w:lang w:val="en-AU" w:eastAsia="en-AU"/>
        </w:rPr>
        <w:drawing>
          <wp:inline distT="0" distB="0" distL="0" distR="0" wp14:anchorId="254870AF" wp14:editId="6717BDF1">
            <wp:extent cx="5726787" cy="2637453"/>
            <wp:effectExtent l="0" t="0" r="1270" b="4445"/>
            <wp:docPr id="17" name="Picture 17" descr="Conceptual Framework for Case Study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onceptual Framework for Case Study Development"/>
                    <pic:cNvPicPr/>
                  </pic:nvPicPr>
                  <pic:blipFill rotWithShape="1">
                    <a:blip r:embed="rId61" cstate="print">
                      <a:extLst>
                        <a:ext uri="{28A0092B-C50C-407E-A947-70E740481C1C}">
                          <a14:useLocalDpi xmlns:a14="http://schemas.microsoft.com/office/drawing/2010/main" val="0"/>
                        </a:ext>
                      </a:extLst>
                    </a:blip>
                    <a:srcRect t="9208" b="17111"/>
                    <a:stretch/>
                  </pic:blipFill>
                  <pic:spPr bwMode="auto">
                    <a:xfrm>
                      <a:off x="0" y="0"/>
                      <a:ext cx="5727700" cy="2637873"/>
                    </a:xfrm>
                    <a:prstGeom prst="rect">
                      <a:avLst/>
                    </a:prstGeom>
                    <a:ln>
                      <a:noFill/>
                    </a:ln>
                    <a:extLst>
                      <a:ext uri="{53640926-AAD7-44D8-BBD7-CCE9431645EC}">
                        <a14:shadowObscured xmlns:a14="http://schemas.microsoft.com/office/drawing/2010/main"/>
                      </a:ext>
                    </a:extLst>
                  </pic:spPr>
                </pic:pic>
              </a:graphicData>
            </a:graphic>
          </wp:inline>
        </w:drawing>
      </w:r>
    </w:p>
    <w:p w14:paraId="325BA41C" w14:textId="2D0150F1" w:rsidR="008D0CAD" w:rsidRPr="00F93BAE" w:rsidRDefault="008D0CAD" w:rsidP="005902F7">
      <w:pPr>
        <w:spacing w:before="100" w:beforeAutospacing="1" w:after="100" w:afterAutospacing="1" w:line="360" w:lineRule="auto"/>
        <w:rPr>
          <w:rFonts w:asciiTheme="majorHAnsi" w:hAnsiTheme="majorHAnsi" w:cstheme="majorHAnsi"/>
          <w:color w:val="000000" w:themeColor="text1"/>
          <w:lang w:val="en-US"/>
        </w:rPr>
      </w:pPr>
      <w:r w:rsidRPr="00F93BAE">
        <w:rPr>
          <w:rFonts w:asciiTheme="majorHAnsi" w:hAnsiTheme="majorHAnsi" w:cstheme="majorHAnsi"/>
          <w:b/>
          <w:color w:val="000000" w:themeColor="text1"/>
          <w:lang w:val="en-US"/>
        </w:rPr>
        <w:t>Theory of Change.</w:t>
      </w:r>
      <w:r w:rsidRPr="00F93BAE">
        <w:rPr>
          <w:rFonts w:asciiTheme="majorHAnsi" w:hAnsiTheme="majorHAnsi" w:cstheme="majorHAnsi"/>
          <w:color w:val="000000" w:themeColor="text1"/>
          <w:lang w:val="en-US"/>
        </w:rPr>
        <w:t xml:space="preserve"> The BEST program was an opportunity to introduce reforms on education programming towards system improvement.</w:t>
      </w:r>
      <w:r w:rsidR="00D434EB">
        <w:rPr>
          <w:rFonts w:asciiTheme="majorHAnsi" w:hAnsiTheme="majorHAnsi" w:cstheme="majorHAnsi"/>
          <w:color w:val="000000" w:themeColor="text1"/>
          <w:lang w:val="en-US"/>
        </w:rPr>
        <w:t xml:space="preserve"> </w:t>
      </w:r>
      <w:r w:rsidRPr="00F93BAE">
        <w:rPr>
          <w:rFonts w:asciiTheme="majorHAnsi" w:hAnsiTheme="majorHAnsi" w:cstheme="majorHAnsi"/>
          <w:color w:val="000000" w:themeColor="text1"/>
          <w:lang w:val="en-US"/>
        </w:rPr>
        <w:t>It focused on program interventions that either introduced/installed new reforms (such as PRIMALS, MEA technology) or enhanced long-existing practices with innovations (such as the LAC, COT, SIP).</w:t>
      </w:r>
    </w:p>
    <w:p w14:paraId="00B3815F" w14:textId="77777777" w:rsidR="008D0CAD" w:rsidRPr="00F93BAE" w:rsidRDefault="008D0CAD" w:rsidP="005902F7">
      <w:pPr>
        <w:spacing w:before="100" w:beforeAutospacing="1" w:after="100" w:afterAutospacing="1" w:line="360" w:lineRule="auto"/>
        <w:rPr>
          <w:rFonts w:asciiTheme="majorHAnsi" w:hAnsiTheme="majorHAnsi" w:cstheme="majorHAnsi"/>
          <w:lang w:val="en-US"/>
        </w:rPr>
      </w:pPr>
      <w:r w:rsidRPr="00F93BAE">
        <w:rPr>
          <w:rFonts w:asciiTheme="majorHAnsi" w:hAnsiTheme="majorHAnsi" w:cstheme="majorHAnsi"/>
          <w:lang w:val="en-US"/>
        </w:rPr>
        <w:t>Reforms introduced by the BEST Program initially focused at the Central Office level particularly those under Organizational Development (OD) and Learning and Development (L&amp;D). However, for the effects to be concretized, the reforms have to be internalized and practiced at the lower levels, namely the division and school levels.</w:t>
      </w:r>
    </w:p>
    <w:p w14:paraId="0176B9A9" w14:textId="3D62879D" w:rsidR="008D0CAD" w:rsidRPr="00F93BAE" w:rsidRDefault="008D0CAD" w:rsidP="005902F7">
      <w:pPr>
        <w:spacing w:before="100" w:beforeAutospacing="1" w:after="100" w:afterAutospacing="1" w:line="360" w:lineRule="auto"/>
        <w:rPr>
          <w:rFonts w:asciiTheme="majorHAnsi" w:hAnsiTheme="majorHAnsi" w:cstheme="majorHAnsi"/>
          <w:lang w:val="en-US"/>
        </w:rPr>
      </w:pPr>
      <w:r w:rsidRPr="00F93BAE">
        <w:rPr>
          <w:rFonts w:asciiTheme="majorHAnsi" w:hAnsiTheme="majorHAnsi" w:cstheme="majorHAnsi"/>
          <w:lang w:val="en-US"/>
        </w:rPr>
        <w:t>School leadership matters most for reforms to stick.</w:t>
      </w:r>
      <w:r w:rsidR="00D434EB">
        <w:rPr>
          <w:rFonts w:asciiTheme="majorHAnsi" w:hAnsiTheme="majorHAnsi" w:cstheme="majorHAnsi"/>
          <w:lang w:val="en-US"/>
        </w:rPr>
        <w:t xml:space="preserve"> </w:t>
      </w:r>
      <w:r w:rsidRPr="00F93BAE">
        <w:rPr>
          <w:rFonts w:asciiTheme="majorHAnsi" w:hAnsiTheme="majorHAnsi" w:cstheme="majorHAnsi"/>
          <w:lang w:val="en-US"/>
        </w:rPr>
        <w:t>Internalizing reforms at the school level means that practices and behaviors of teachers are being changed hopefully as planned at the program design stage.</w:t>
      </w:r>
      <w:r w:rsidR="00D434EB">
        <w:rPr>
          <w:rFonts w:asciiTheme="majorHAnsi" w:hAnsiTheme="majorHAnsi" w:cstheme="majorHAnsi"/>
          <w:lang w:val="en-US"/>
        </w:rPr>
        <w:t xml:space="preserve"> </w:t>
      </w:r>
      <w:r w:rsidRPr="00F93BAE">
        <w:rPr>
          <w:rFonts w:asciiTheme="majorHAnsi" w:hAnsiTheme="majorHAnsi" w:cstheme="majorHAnsi"/>
          <w:lang w:val="en-US"/>
        </w:rPr>
        <w:t>If schools buy into program reforms, teacher practices will reflect these and the daily interaction with pupils, students will pay off with better learning.</w:t>
      </w:r>
    </w:p>
    <w:p w14:paraId="42BD38F3" w14:textId="194F82A5" w:rsidR="008D0CAD" w:rsidRPr="00F93BAE" w:rsidRDefault="008D0CAD" w:rsidP="005902F7">
      <w:pPr>
        <w:spacing w:before="100" w:beforeAutospacing="1" w:after="100" w:afterAutospacing="1" w:line="360" w:lineRule="auto"/>
        <w:rPr>
          <w:rFonts w:asciiTheme="majorHAnsi" w:hAnsiTheme="majorHAnsi" w:cstheme="majorHAnsi"/>
          <w:lang w:val="en-US"/>
        </w:rPr>
      </w:pPr>
      <w:r w:rsidRPr="00F93BAE">
        <w:rPr>
          <w:rFonts w:asciiTheme="majorHAnsi" w:hAnsiTheme="majorHAnsi" w:cstheme="majorHAnsi"/>
          <w:lang w:val="en-US"/>
        </w:rPr>
        <w:t>Large-scale reforms need support from divisions and regions to ensure that standards and system improvements are assured.</w:t>
      </w:r>
      <w:r w:rsidR="00D434EB">
        <w:rPr>
          <w:rFonts w:asciiTheme="majorHAnsi" w:hAnsiTheme="majorHAnsi" w:cstheme="majorHAnsi"/>
          <w:lang w:val="en-US"/>
        </w:rPr>
        <w:t xml:space="preserve"> </w:t>
      </w:r>
      <w:r w:rsidRPr="00F93BAE">
        <w:rPr>
          <w:rFonts w:asciiTheme="majorHAnsi" w:hAnsiTheme="majorHAnsi" w:cstheme="majorHAnsi"/>
          <w:lang w:val="en-US"/>
        </w:rPr>
        <w:t>The risk is that in such a large-scale reform, there will be different views and practices between levels (central office, region, division, school).</w:t>
      </w:r>
      <w:r w:rsidR="00D434EB">
        <w:rPr>
          <w:rFonts w:asciiTheme="majorHAnsi" w:hAnsiTheme="majorHAnsi" w:cstheme="majorHAnsi"/>
          <w:lang w:val="en-US"/>
        </w:rPr>
        <w:t xml:space="preserve"> </w:t>
      </w:r>
      <w:r w:rsidRPr="00F93BAE">
        <w:rPr>
          <w:rFonts w:asciiTheme="majorHAnsi" w:hAnsiTheme="majorHAnsi" w:cstheme="majorHAnsi"/>
          <w:lang w:val="en-US"/>
        </w:rPr>
        <w:t>The key to success is (a) a high understanding of the reform at all levels, and (b) high level of practice especially at the school and division levels.</w:t>
      </w:r>
      <w:r w:rsidR="00D434EB">
        <w:rPr>
          <w:rFonts w:asciiTheme="majorHAnsi" w:hAnsiTheme="majorHAnsi" w:cstheme="majorHAnsi"/>
          <w:lang w:val="en-US"/>
        </w:rPr>
        <w:t xml:space="preserve"> </w:t>
      </w:r>
      <w:r w:rsidRPr="00F93BAE">
        <w:rPr>
          <w:rFonts w:asciiTheme="majorHAnsi" w:hAnsiTheme="majorHAnsi" w:cstheme="majorHAnsi"/>
          <w:lang w:val="en-US"/>
        </w:rPr>
        <w:t>Alignment of understanding and practice of a reform is the key to sustainability of such a reform in the long-term.</w:t>
      </w:r>
    </w:p>
    <w:p w14:paraId="703E9C39" w14:textId="77777777" w:rsidR="008D0CAD" w:rsidRPr="00F93BAE" w:rsidRDefault="008D0CAD" w:rsidP="005902F7">
      <w:pPr>
        <w:spacing w:before="100" w:beforeAutospacing="1" w:after="100" w:afterAutospacing="1" w:line="360" w:lineRule="auto"/>
        <w:rPr>
          <w:rFonts w:asciiTheme="majorHAnsi" w:hAnsiTheme="majorHAnsi" w:cstheme="majorHAnsi"/>
          <w:lang w:val="en-US"/>
        </w:rPr>
      </w:pPr>
      <w:r w:rsidRPr="00F93BAE">
        <w:rPr>
          <w:rFonts w:asciiTheme="majorHAnsi" w:hAnsiTheme="majorHAnsi" w:cstheme="majorHAnsi"/>
          <w:lang w:val="en-US"/>
        </w:rPr>
        <w:t>The five key elements of this conceptual framework are explained in the succeeding paragraphs.</w:t>
      </w:r>
    </w:p>
    <w:p w14:paraId="2CFC356A" w14:textId="7EB4504B" w:rsidR="008D0CAD" w:rsidRPr="00F93BAE" w:rsidRDefault="008D0CAD" w:rsidP="005902F7">
      <w:pPr>
        <w:spacing w:before="100" w:beforeAutospacing="1" w:after="100" w:afterAutospacing="1" w:line="360" w:lineRule="auto"/>
        <w:rPr>
          <w:rFonts w:asciiTheme="majorHAnsi" w:hAnsiTheme="majorHAnsi" w:cstheme="majorHAnsi"/>
          <w:lang w:val="en-US"/>
        </w:rPr>
      </w:pPr>
      <w:r w:rsidRPr="00F93BAE">
        <w:rPr>
          <w:rFonts w:asciiTheme="majorHAnsi" w:hAnsiTheme="majorHAnsi" w:cstheme="majorHAnsi"/>
          <w:b/>
          <w:lang w:val="en-US"/>
        </w:rPr>
        <w:t>School Profile and Context</w:t>
      </w:r>
      <w:r w:rsidRPr="00F93BAE">
        <w:rPr>
          <w:rFonts w:asciiTheme="majorHAnsi" w:hAnsiTheme="majorHAnsi" w:cstheme="majorHAnsi"/>
          <w:lang w:val="en-US"/>
        </w:rPr>
        <w:t>. The Study collected general information on the selected school such as teacher and student population.</w:t>
      </w:r>
      <w:r w:rsidR="00D434EB">
        <w:rPr>
          <w:rFonts w:asciiTheme="majorHAnsi" w:hAnsiTheme="majorHAnsi" w:cstheme="majorHAnsi"/>
          <w:lang w:val="en-US"/>
        </w:rPr>
        <w:t xml:space="preserve"> </w:t>
      </w:r>
      <w:r w:rsidRPr="00F93BAE">
        <w:rPr>
          <w:rFonts w:asciiTheme="majorHAnsi" w:hAnsiTheme="majorHAnsi" w:cstheme="majorHAnsi"/>
          <w:lang w:val="en-US"/>
        </w:rPr>
        <w:t>It also looked at the context within which the schools operate such as the community.</w:t>
      </w:r>
      <w:r w:rsidR="00D434EB">
        <w:rPr>
          <w:rFonts w:asciiTheme="majorHAnsi" w:hAnsiTheme="majorHAnsi" w:cstheme="majorHAnsi"/>
          <w:lang w:val="en-US"/>
        </w:rPr>
        <w:t xml:space="preserve"> </w:t>
      </w:r>
      <w:r w:rsidRPr="00F93BAE">
        <w:rPr>
          <w:rFonts w:asciiTheme="majorHAnsi" w:hAnsiTheme="majorHAnsi" w:cstheme="majorHAnsi"/>
          <w:lang w:val="en-US"/>
        </w:rPr>
        <w:t>These were considered as external factors that affected school leadership and management as well as teaching delivery.</w:t>
      </w:r>
      <w:r w:rsidR="00D434EB">
        <w:rPr>
          <w:rFonts w:asciiTheme="majorHAnsi" w:hAnsiTheme="majorHAnsi" w:cstheme="majorHAnsi"/>
          <w:lang w:val="en-US"/>
        </w:rPr>
        <w:t xml:space="preserve"> </w:t>
      </w:r>
    </w:p>
    <w:p w14:paraId="6299DCFA" w14:textId="58AB0EEE" w:rsidR="008D0CAD" w:rsidRPr="00F93BAE" w:rsidRDefault="008D0CAD" w:rsidP="005902F7">
      <w:pPr>
        <w:spacing w:before="100" w:beforeAutospacing="1" w:after="100" w:afterAutospacing="1" w:line="360" w:lineRule="auto"/>
        <w:rPr>
          <w:rFonts w:asciiTheme="majorHAnsi" w:hAnsiTheme="majorHAnsi" w:cstheme="majorHAnsi"/>
          <w:lang w:val="en-US"/>
        </w:rPr>
      </w:pPr>
      <w:r w:rsidRPr="00F93BAE">
        <w:rPr>
          <w:rFonts w:asciiTheme="majorHAnsi" w:hAnsiTheme="majorHAnsi" w:cstheme="majorHAnsi"/>
          <w:lang w:val="en-US"/>
        </w:rPr>
        <w:t>Since the Study compared data points, it needed two points – baseline and endline.</w:t>
      </w:r>
      <w:r w:rsidRPr="00F93BAE">
        <w:rPr>
          <w:rFonts w:asciiTheme="majorHAnsi" w:hAnsiTheme="majorHAnsi" w:cstheme="majorHAnsi"/>
          <w:b/>
          <w:lang w:val="en-US"/>
        </w:rPr>
        <w:t xml:space="preserve"> </w:t>
      </w:r>
      <w:r w:rsidRPr="00F93BAE">
        <w:rPr>
          <w:rFonts w:asciiTheme="majorHAnsi" w:hAnsiTheme="majorHAnsi" w:cstheme="majorHAnsi"/>
          <w:lang w:val="en-US"/>
        </w:rPr>
        <w:t>The baseline year to be used for the study is SY2013-2014, which was the year prior to the start of BEST Program interventions. However, the timeline for determining when the changes in a school would have occurred or started to occur depended on when the specific Program interventions were provided to the selected schools.</w:t>
      </w:r>
      <w:r w:rsidR="00D434EB">
        <w:rPr>
          <w:rFonts w:asciiTheme="majorHAnsi" w:hAnsiTheme="majorHAnsi" w:cstheme="majorHAnsi"/>
          <w:lang w:val="en-US"/>
        </w:rPr>
        <w:t xml:space="preserve"> </w:t>
      </w:r>
      <w:r w:rsidRPr="00F93BAE">
        <w:rPr>
          <w:rFonts w:asciiTheme="majorHAnsi" w:hAnsiTheme="majorHAnsi" w:cstheme="majorHAnsi"/>
          <w:lang w:val="en-US"/>
        </w:rPr>
        <w:t>This was because the different Program interventions were administered at different years starting 2015.</w:t>
      </w:r>
      <w:r w:rsidR="00D434EB">
        <w:rPr>
          <w:rFonts w:asciiTheme="majorHAnsi" w:hAnsiTheme="majorHAnsi" w:cstheme="majorHAnsi"/>
          <w:lang w:val="en-US"/>
        </w:rPr>
        <w:t xml:space="preserve"> </w:t>
      </w:r>
      <w:r w:rsidRPr="00F93BAE">
        <w:rPr>
          <w:rFonts w:asciiTheme="majorHAnsi" w:hAnsiTheme="majorHAnsi" w:cstheme="majorHAnsi"/>
          <w:lang w:val="en-US"/>
        </w:rPr>
        <w:t>Most interventions, namely L&amp;D and PPMES were provided in the year 2018.</w:t>
      </w:r>
    </w:p>
    <w:p w14:paraId="43BF48DF" w14:textId="3568B4E7" w:rsidR="008D0CAD" w:rsidRPr="00F93BAE" w:rsidRDefault="008D0CAD" w:rsidP="005902F7">
      <w:pPr>
        <w:spacing w:before="100" w:beforeAutospacing="1" w:after="100" w:afterAutospacing="1" w:line="360" w:lineRule="auto"/>
        <w:rPr>
          <w:rFonts w:asciiTheme="majorHAnsi" w:hAnsiTheme="majorHAnsi" w:cstheme="majorHAnsi"/>
          <w:lang w:val="en-US"/>
        </w:rPr>
      </w:pPr>
      <w:r w:rsidRPr="00F93BAE">
        <w:rPr>
          <w:rFonts w:asciiTheme="majorHAnsi" w:hAnsiTheme="majorHAnsi" w:cstheme="majorHAnsi"/>
          <w:b/>
          <w:lang w:val="en-US"/>
        </w:rPr>
        <w:t>Knowledge, Skills, Behaviors and Practices.</w:t>
      </w:r>
      <w:r w:rsidRPr="00F93BAE">
        <w:rPr>
          <w:rFonts w:asciiTheme="majorHAnsi" w:hAnsiTheme="majorHAnsi" w:cstheme="majorHAnsi"/>
          <w:lang w:val="en-US"/>
        </w:rPr>
        <w:t xml:space="preserve"> The Study also assessed the Knowledge, Skills, Behaviors and Practices of Principals/School Heads at baseline and endline relative to school leadership and management.</w:t>
      </w:r>
      <w:r w:rsidR="00D434EB">
        <w:rPr>
          <w:rFonts w:asciiTheme="majorHAnsi" w:hAnsiTheme="majorHAnsi" w:cstheme="majorHAnsi"/>
          <w:lang w:val="en-US"/>
        </w:rPr>
        <w:t xml:space="preserve"> </w:t>
      </w:r>
      <w:r w:rsidRPr="00F93BAE">
        <w:rPr>
          <w:rFonts w:asciiTheme="majorHAnsi" w:hAnsiTheme="majorHAnsi" w:cstheme="majorHAnsi"/>
          <w:lang w:val="en-US"/>
        </w:rPr>
        <w:t>It conducted the same for teachers relative to teaching delivery. Knowledge and Skills focused on awareness of outputs of the BEST Program such as the support policies, systems development (e.g., L&amp;D System) as well as specific outputs such as the PPST, PRIMALS, LAC Toolkits, among others.</w:t>
      </w:r>
    </w:p>
    <w:p w14:paraId="1C5B7BFD" w14:textId="77777777" w:rsidR="008D0CAD" w:rsidRPr="00F93BAE" w:rsidRDefault="008D0CAD" w:rsidP="005902F7">
      <w:pPr>
        <w:spacing w:before="100" w:beforeAutospacing="1" w:after="100" w:afterAutospacing="1" w:line="360" w:lineRule="auto"/>
        <w:rPr>
          <w:rFonts w:asciiTheme="majorHAnsi" w:hAnsiTheme="majorHAnsi" w:cstheme="majorHAnsi"/>
          <w:lang w:val="en-US"/>
        </w:rPr>
      </w:pPr>
      <w:r w:rsidRPr="00F93BAE">
        <w:rPr>
          <w:rFonts w:asciiTheme="majorHAnsi" w:hAnsiTheme="majorHAnsi" w:cstheme="majorHAnsi"/>
          <w:lang w:val="en-US"/>
        </w:rPr>
        <w:t>Behaviors and Practices focused on their acceptance of the changes or reforms introduced and the practices being followed with regards to these reforms (i.e., are they complying with reforms or following old practices).</w:t>
      </w:r>
    </w:p>
    <w:p w14:paraId="7CB05EBD" w14:textId="760E9F15" w:rsidR="008D0CAD" w:rsidRPr="00F93BAE" w:rsidRDefault="008D0CAD" w:rsidP="005902F7">
      <w:pPr>
        <w:spacing w:before="100" w:beforeAutospacing="1" w:after="100" w:afterAutospacing="1" w:line="360" w:lineRule="auto"/>
        <w:rPr>
          <w:rFonts w:asciiTheme="majorHAnsi" w:hAnsiTheme="majorHAnsi" w:cstheme="majorHAnsi"/>
          <w:lang w:val="en-US"/>
        </w:rPr>
      </w:pPr>
      <w:r w:rsidRPr="00F93BAE">
        <w:rPr>
          <w:rFonts w:asciiTheme="majorHAnsi" w:hAnsiTheme="majorHAnsi" w:cstheme="majorHAnsi"/>
          <w:b/>
          <w:color w:val="000000" w:themeColor="text1"/>
          <w:lang w:val="en-US"/>
        </w:rPr>
        <w:t>BEST Program Interventions</w:t>
      </w:r>
      <w:r w:rsidRPr="00F93BAE">
        <w:rPr>
          <w:rFonts w:asciiTheme="majorHAnsi" w:hAnsiTheme="majorHAnsi" w:cstheme="majorHAnsi"/>
          <w:color w:val="000000" w:themeColor="text1"/>
          <w:lang w:val="en-US"/>
        </w:rPr>
        <w:t xml:space="preserve">. </w:t>
      </w:r>
      <w:r w:rsidRPr="00F93BAE">
        <w:rPr>
          <w:rFonts w:asciiTheme="majorHAnsi" w:hAnsiTheme="majorHAnsi" w:cstheme="majorHAnsi"/>
          <w:lang w:val="en-US"/>
        </w:rPr>
        <w:t xml:space="preserve">The four main </w:t>
      </w:r>
      <w:r w:rsidRPr="00F93BAE">
        <w:rPr>
          <w:rFonts w:asciiTheme="majorHAnsi" w:hAnsiTheme="majorHAnsi" w:cstheme="majorHAnsi"/>
          <w:color w:val="000000" w:themeColor="text1"/>
          <w:lang w:val="en-US"/>
        </w:rPr>
        <w:t xml:space="preserve">Interventions directed by the BEST Program directly to schools affecting </w:t>
      </w:r>
      <w:r w:rsidRPr="00F93BAE">
        <w:rPr>
          <w:rFonts w:asciiTheme="majorHAnsi" w:hAnsiTheme="majorHAnsi" w:cstheme="majorHAnsi"/>
          <w:lang w:val="en-US"/>
        </w:rPr>
        <w:t>school leadership and management and teaching delivery are: Learning and Development (L&amp;D); Curriculum and Assessment (CAS); Gender Equity, Disability and Social Inclusion (GEDSI); and Policy, Planning, Monitoring and Evaluation System (PPMES).</w:t>
      </w:r>
      <w:r w:rsidR="00D434EB">
        <w:rPr>
          <w:rFonts w:asciiTheme="majorHAnsi" w:hAnsiTheme="majorHAnsi" w:cstheme="majorHAnsi"/>
          <w:lang w:val="en-US"/>
        </w:rPr>
        <w:t xml:space="preserve"> </w:t>
      </w:r>
      <w:r w:rsidRPr="00F93BAE">
        <w:rPr>
          <w:rFonts w:asciiTheme="majorHAnsi" w:hAnsiTheme="majorHAnsi" w:cstheme="majorHAnsi"/>
          <w:lang w:val="en-US"/>
        </w:rPr>
        <w:t>These were the primary focus of the case study research.</w:t>
      </w:r>
      <w:r w:rsidR="00D434EB">
        <w:rPr>
          <w:rFonts w:asciiTheme="majorHAnsi" w:hAnsiTheme="majorHAnsi" w:cstheme="majorHAnsi"/>
          <w:lang w:val="en-US"/>
        </w:rPr>
        <w:t xml:space="preserve"> </w:t>
      </w:r>
      <w:r w:rsidRPr="00F93BAE">
        <w:rPr>
          <w:rFonts w:asciiTheme="majorHAnsi" w:hAnsiTheme="majorHAnsi" w:cstheme="majorHAnsi"/>
          <w:lang w:val="en-US"/>
        </w:rPr>
        <w:t>The Models, or the combination of program interventions, revolve around these four interventions.</w:t>
      </w:r>
      <w:r w:rsidR="00D434EB">
        <w:rPr>
          <w:rFonts w:asciiTheme="majorHAnsi" w:hAnsiTheme="majorHAnsi" w:cstheme="majorHAnsi"/>
          <w:lang w:val="en-US"/>
        </w:rPr>
        <w:t xml:space="preserve"> </w:t>
      </w:r>
      <w:r w:rsidRPr="00F93BAE">
        <w:rPr>
          <w:rFonts w:asciiTheme="majorHAnsi" w:hAnsiTheme="majorHAnsi" w:cstheme="majorHAnsi"/>
          <w:lang w:val="en-US"/>
        </w:rPr>
        <w:t>Thus, the study looked at how these interventions facilitated or aided the changes in knowledge, skills, behaviors and practices of P/SHs and teachers relative to school leadership and management (school-wide) and teaching delivery (classroom level).</w:t>
      </w:r>
    </w:p>
    <w:p w14:paraId="152F83F4" w14:textId="71EC385A" w:rsidR="008D0CAD" w:rsidRPr="00F93BAE" w:rsidRDefault="008D0CAD" w:rsidP="005902F7">
      <w:pPr>
        <w:spacing w:before="100" w:beforeAutospacing="1" w:after="100" w:afterAutospacing="1" w:line="360" w:lineRule="auto"/>
        <w:rPr>
          <w:rFonts w:asciiTheme="majorHAnsi" w:hAnsiTheme="majorHAnsi" w:cstheme="majorHAnsi"/>
          <w:color w:val="000000" w:themeColor="text1"/>
          <w:lang w:val="en-US"/>
        </w:rPr>
      </w:pPr>
      <w:r w:rsidRPr="00F93BAE">
        <w:rPr>
          <w:rFonts w:asciiTheme="majorHAnsi" w:hAnsiTheme="majorHAnsi" w:cstheme="majorHAnsi"/>
          <w:lang w:val="en-US"/>
        </w:rPr>
        <w:t>There were originally 10 BEST Program interventions included in the EOPE Study.</w:t>
      </w:r>
      <w:r w:rsidR="00D434EB">
        <w:rPr>
          <w:rFonts w:asciiTheme="majorHAnsi" w:hAnsiTheme="majorHAnsi" w:cstheme="majorHAnsi"/>
          <w:lang w:val="en-US"/>
        </w:rPr>
        <w:t xml:space="preserve"> </w:t>
      </w:r>
      <w:r w:rsidRPr="00F93BAE">
        <w:rPr>
          <w:rFonts w:asciiTheme="majorHAnsi" w:hAnsiTheme="majorHAnsi" w:cstheme="majorHAnsi"/>
          <w:lang w:val="en-US"/>
        </w:rPr>
        <w:t xml:space="preserve">Some interventions were considered universal in application such as the PPST, PPMES and UISS. </w:t>
      </w:r>
      <w:r w:rsidRPr="00F93BAE">
        <w:rPr>
          <w:rFonts w:asciiTheme="majorHAnsi" w:hAnsiTheme="majorHAnsi" w:cstheme="majorHAnsi"/>
          <w:color w:val="000000" w:themeColor="text1"/>
          <w:lang w:val="en-US"/>
        </w:rPr>
        <w:t>Moreover, due to their close links, the study inevitably touched on the three other interventions in addition to the four namely: Philippine Professional Standards for Teachers (PPST); School-based Management (SBM); and Unified Information System and sub-systems (UISS).</w:t>
      </w:r>
      <w:r w:rsidR="00D434EB">
        <w:rPr>
          <w:rFonts w:asciiTheme="majorHAnsi" w:hAnsiTheme="majorHAnsi" w:cstheme="majorHAnsi"/>
          <w:color w:val="000000" w:themeColor="text1"/>
          <w:lang w:val="en-US"/>
        </w:rPr>
        <w:t xml:space="preserve"> </w:t>
      </w:r>
      <w:r w:rsidRPr="00F93BAE">
        <w:rPr>
          <w:rFonts w:asciiTheme="majorHAnsi" w:hAnsiTheme="majorHAnsi" w:cstheme="majorHAnsi"/>
          <w:color w:val="000000" w:themeColor="text1"/>
          <w:lang w:val="en-US"/>
        </w:rPr>
        <w:t>PPST will be related to teacher performance in the classroom because of the COT and the SAT, which are distinct outputs of the BEST Program.</w:t>
      </w:r>
      <w:r w:rsidR="00D434EB">
        <w:rPr>
          <w:rFonts w:asciiTheme="majorHAnsi" w:hAnsiTheme="majorHAnsi" w:cstheme="majorHAnsi"/>
          <w:color w:val="000000" w:themeColor="text1"/>
          <w:lang w:val="en-US"/>
        </w:rPr>
        <w:t xml:space="preserve"> </w:t>
      </w:r>
      <w:r w:rsidRPr="00F93BAE">
        <w:rPr>
          <w:rFonts w:asciiTheme="majorHAnsi" w:hAnsiTheme="majorHAnsi" w:cstheme="majorHAnsi"/>
          <w:color w:val="000000" w:themeColor="text1"/>
          <w:lang w:val="en-US"/>
        </w:rPr>
        <w:t>SBM will be related to PPMES because of the formulation of School Improvement Plans (SIPs) and the attendant SIP Quality Assessment Tool.</w:t>
      </w:r>
      <w:r w:rsidR="00D434EB">
        <w:rPr>
          <w:rFonts w:asciiTheme="majorHAnsi" w:hAnsiTheme="majorHAnsi" w:cstheme="majorHAnsi"/>
          <w:color w:val="000000" w:themeColor="text1"/>
          <w:lang w:val="en-US"/>
        </w:rPr>
        <w:t xml:space="preserve"> </w:t>
      </w:r>
      <w:r w:rsidRPr="00F93BAE">
        <w:rPr>
          <w:rFonts w:asciiTheme="majorHAnsi" w:hAnsiTheme="majorHAnsi" w:cstheme="majorHAnsi"/>
          <w:color w:val="000000" w:themeColor="text1"/>
          <w:lang w:val="en-US"/>
        </w:rPr>
        <w:t>UISS was directly linked to PPMES because it provided the data for planning and budgeting.</w:t>
      </w:r>
    </w:p>
    <w:p w14:paraId="5AE5F4E4" w14:textId="017973B8" w:rsidR="008D0CAD" w:rsidRPr="00F93BAE" w:rsidRDefault="008D0CAD" w:rsidP="005902F7">
      <w:pPr>
        <w:spacing w:before="100" w:beforeAutospacing="1" w:after="100" w:afterAutospacing="1" w:line="360" w:lineRule="auto"/>
        <w:rPr>
          <w:rFonts w:asciiTheme="majorHAnsi" w:hAnsiTheme="majorHAnsi" w:cstheme="majorHAnsi"/>
          <w:lang w:val="en-US"/>
        </w:rPr>
      </w:pPr>
      <w:r w:rsidRPr="00F93BAE">
        <w:rPr>
          <w:rFonts w:asciiTheme="majorHAnsi" w:hAnsiTheme="majorHAnsi" w:cstheme="majorHAnsi"/>
          <w:lang w:val="en-US"/>
        </w:rPr>
        <w:t>For each of the case studies, the extended EOPE Study assessed how the various BEST Program interventions facilitated the positive (or negative) changes in the knowledge, skills and practices of P/SHs and teachers.</w:t>
      </w:r>
      <w:r w:rsidR="00D434EB">
        <w:rPr>
          <w:rFonts w:asciiTheme="majorHAnsi" w:hAnsiTheme="majorHAnsi" w:cstheme="majorHAnsi"/>
          <w:lang w:val="en-US"/>
        </w:rPr>
        <w:t xml:space="preserve"> </w:t>
      </w:r>
      <w:r w:rsidRPr="00F93BAE">
        <w:rPr>
          <w:rFonts w:asciiTheme="majorHAnsi" w:hAnsiTheme="majorHAnsi" w:cstheme="majorHAnsi"/>
          <w:lang w:val="en-US"/>
        </w:rPr>
        <w:t>Three aspects of intervention were explored: policy support; capacity development; and teaching and/or learning materials.</w:t>
      </w:r>
      <w:r w:rsidR="00D434EB">
        <w:rPr>
          <w:rFonts w:asciiTheme="majorHAnsi" w:hAnsiTheme="majorHAnsi" w:cstheme="majorHAnsi"/>
          <w:lang w:val="en-US"/>
        </w:rPr>
        <w:t xml:space="preserve"> </w:t>
      </w:r>
    </w:p>
    <w:p w14:paraId="42F0B315" w14:textId="77777777" w:rsidR="008D0CAD" w:rsidRPr="00F93BAE" w:rsidRDefault="008D0CAD" w:rsidP="00DD08E3">
      <w:pPr>
        <w:numPr>
          <w:ilvl w:val="1"/>
          <w:numId w:val="70"/>
        </w:numPr>
        <w:spacing w:before="100" w:beforeAutospacing="1" w:after="100" w:afterAutospacing="1" w:line="360" w:lineRule="auto"/>
        <w:contextualSpacing/>
        <w:rPr>
          <w:rFonts w:asciiTheme="majorHAnsi" w:hAnsiTheme="majorHAnsi" w:cstheme="majorHAnsi"/>
          <w:snapToGrid w:val="0"/>
          <w:szCs w:val="20"/>
          <w:lang w:val="en-US"/>
        </w:rPr>
      </w:pPr>
      <w:r w:rsidRPr="00F93BAE">
        <w:rPr>
          <w:rFonts w:asciiTheme="majorHAnsi" w:hAnsiTheme="majorHAnsi" w:cstheme="majorHAnsi"/>
          <w:b/>
          <w:snapToGrid w:val="0"/>
          <w:szCs w:val="20"/>
          <w:lang w:val="en-US"/>
        </w:rPr>
        <w:t>Data Collection Methods</w:t>
      </w:r>
    </w:p>
    <w:p w14:paraId="271307D2"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themeColor="text1"/>
          <w:lang w:val="en-US"/>
        </w:rPr>
      </w:pPr>
      <w:r w:rsidRPr="00F93BAE">
        <w:rPr>
          <w:rFonts w:asciiTheme="majorHAnsi" w:hAnsiTheme="majorHAnsi" w:cstheme="majorHAnsi"/>
          <w:color w:val="000000" w:themeColor="text1"/>
          <w:lang w:val="en-US"/>
        </w:rPr>
        <w:t>The EOPE Case Study used five methods to collect data for the case study analysis: Key Informant Interviews (KIIs); Focus Group Discussions (FGD); Survey; Observations; and secondary data analysis.</w:t>
      </w:r>
    </w:p>
    <w:p w14:paraId="201FB8F1" w14:textId="102A8DF1" w:rsidR="008D0CAD" w:rsidRPr="00F93BAE" w:rsidRDefault="008D0CAD" w:rsidP="005902F7">
      <w:pPr>
        <w:spacing w:before="100" w:beforeAutospacing="1" w:after="100" w:afterAutospacing="1" w:line="360" w:lineRule="auto"/>
        <w:rPr>
          <w:rFonts w:asciiTheme="majorHAnsi" w:hAnsiTheme="majorHAnsi" w:cstheme="majorHAnsi"/>
          <w:color w:val="000000" w:themeColor="text1"/>
          <w:lang w:val="en-US"/>
        </w:rPr>
      </w:pPr>
      <w:r w:rsidRPr="00F93BAE">
        <w:rPr>
          <w:rFonts w:asciiTheme="majorHAnsi" w:hAnsiTheme="majorHAnsi" w:cstheme="majorHAnsi"/>
          <w:b/>
          <w:color w:val="000000" w:themeColor="text1"/>
          <w:lang w:val="en-US"/>
        </w:rPr>
        <w:t>Key Informant Interviews (KIIs)</w:t>
      </w:r>
      <w:r w:rsidRPr="00F93BAE">
        <w:rPr>
          <w:rFonts w:asciiTheme="majorHAnsi" w:hAnsiTheme="majorHAnsi" w:cstheme="majorHAnsi"/>
          <w:color w:val="000000" w:themeColor="text1"/>
          <w:lang w:val="en-US"/>
        </w:rPr>
        <w:t xml:space="preserve">. Only 11 </w:t>
      </w:r>
      <w:r w:rsidRPr="00F93BAE">
        <w:rPr>
          <w:rFonts w:asciiTheme="majorHAnsi" w:hAnsiTheme="majorHAnsi" w:cstheme="majorHAnsi"/>
          <w:b/>
          <w:color w:val="000000" w:themeColor="text1"/>
          <w:lang w:val="en-US"/>
        </w:rPr>
        <w:t>Principals/Schools Heads (P/SH)</w:t>
      </w:r>
      <w:r w:rsidRPr="00F93BAE">
        <w:rPr>
          <w:rFonts w:asciiTheme="majorHAnsi" w:hAnsiTheme="majorHAnsi" w:cstheme="majorHAnsi"/>
          <w:color w:val="000000" w:themeColor="text1"/>
          <w:lang w:val="en-US"/>
        </w:rPr>
        <w:t xml:space="preserve"> were interviewed using the approved KII Guide.</w:t>
      </w:r>
      <w:r w:rsidR="00D434EB">
        <w:rPr>
          <w:rFonts w:asciiTheme="majorHAnsi" w:hAnsiTheme="majorHAnsi" w:cstheme="majorHAnsi"/>
          <w:color w:val="000000" w:themeColor="text1"/>
          <w:lang w:val="en-US"/>
        </w:rPr>
        <w:t xml:space="preserve"> </w:t>
      </w:r>
      <w:r w:rsidRPr="00F93BAE">
        <w:rPr>
          <w:rFonts w:asciiTheme="majorHAnsi" w:hAnsiTheme="majorHAnsi" w:cstheme="majorHAnsi"/>
          <w:color w:val="000000" w:themeColor="text1"/>
          <w:lang w:val="en-US"/>
        </w:rPr>
        <w:t xml:space="preserve">No interviews were intended to be conducted with the </w:t>
      </w:r>
      <w:r w:rsidRPr="00F93BAE">
        <w:rPr>
          <w:rFonts w:asciiTheme="majorHAnsi" w:hAnsiTheme="majorHAnsi" w:cstheme="majorHAnsi"/>
          <w:b/>
          <w:color w:val="000000" w:themeColor="text1"/>
          <w:lang w:val="en-US"/>
        </w:rPr>
        <w:t>School Division Superintendent</w:t>
      </w:r>
      <w:r w:rsidRPr="00F93BAE">
        <w:rPr>
          <w:rFonts w:asciiTheme="majorHAnsi" w:hAnsiTheme="majorHAnsi" w:cstheme="majorHAnsi"/>
          <w:color w:val="000000" w:themeColor="text1"/>
          <w:lang w:val="en-US"/>
        </w:rPr>
        <w:t xml:space="preserve"> </w:t>
      </w:r>
      <w:r w:rsidRPr="00F93BAE">
        <w:rPr>
          <w:rFonts w:asciiTheme="majorHAnsi" w:hAnsiTheme="majorHAnsi" w:cstheme="majorHAnsi"/>
          <w:b/>
          <w:color w:val="000000" w:themeColor="text1"/>
          <w:lang w:val="en-US"/>
        </w:rPr>
        <w:t>(SDS)</w:t>
      </w:r>
      <w:r w:rsidRPr="00F93BAE">
        <w:rPr>
          <w:rFonts w:asciiTheme="majorHAnsi" w:hAnsiTheme="majorHAnsi" w:cstheme="majorHAnsi"/>
          <w:color w:val="000000" w:themeColor="text1"/>
          <w:lang w:val="en-US"/>
        </w:rPr>
        <w:t xml:space="preserve"> or their representatives.</w:t>
      </w:r>
      <w:r w:rsidR="00D434EB">
        <w:rPr>
          <w:rFonts w:asciiTheme="majorHAnsi" w:hAnsiTheme="majorHAnsi" w:cstheme="majorHAnsi"/>
          <w:color w:val="000000" w:themeColor="text1"/>
          <w:lang w:val="en-US"/>
        </w:rPr>
        <w:t xml:space="preserve"> </w:t>
      </w:r>
      <w:r w:rsidRPr="00F93BAE">
        <w:rPr>
          <w:rFonts w:asciiTheme="majorHAnsi" w:hAnsiTheme="majorHAnsi" w:cstheme="majorHAnsi"/>
          <w:color w:val="000000" w:themeColor="text1"/>
          <w:lang w:val="en-US"/>
        </w:rPr>
        <w:t>However, two Education Supervisors joined the interviews.</w:t>
      </w:r>
    </w:p>
    <w:p w14:paraId="7C06AB1F" w14:textId="0BE81269" w:rsidR="008D0CAD" w:rsidRPr="00F93BAE" w:rsidRDefault="008D0CAD" w:rsidP="005902F7">
      <w:pPr>
        <w:spacing w:before="100" w:beforeAutospacing="1" w:after="100" w:afterAutospacing="1" w:line="360" w:lineRule="auto"/>
        <w:rPr>
          <w:rFonts w:asciiTheme="majorHAnsi" w:hAnsiTheme="majorHAnsi" w:cstheme="majorHAnsi"/>
          <w:color w:val="000000" w:themeColor="text1"/>
          <w:lang w:val="en-US"/>
        </w:rPr>
      </w:pPr>
      <w:r w:rsidRPr="00F93BAE">
        <w:rPr>
          <w:rFonts w:asciiTheme="majorHAnsi" w:hAnsiTheme="majorHAnsi" w:cstheme="majorHAnsi"/>
          <w:b/>
          <w:color w:val="000000" w:themeColor="text1"/>
          <w:lang w:val="en-US"/>
        </w:rPr>
        <w:t>Focus Group Discussions (FGD).</w:t>
      </w:r>
      <w:r w:rsidR="00D434EB">
        <w:rPr>
          <w:rFonts w:asciiTheme="majorHAnsi" w:hAnsiTheme="majorHAnsi" w:cstheme="majorHAnsi"/>
          <w:color w:val="000000" w:themeColor="text1"/>
          <w:lang w:val="en-US"/>
        </w:rPr>
        <w:t xml:space="preserve"> </w:t>
      </w:r>
      <w:r w:rsidRPr="00F93BAE">
        <w:rPr>
          <w:rFonts w:asciiTheme="majorHAnsi" w:hAnsiTheme="majorHAnsi" w:cstheme="majorHAnsi"/>
          <w:color w:val="000000" w:themeColor="text1"/>
          <w:lang w:val="en-US"/>
        </w:rPr>
        <w:t>One FGD with the teachers in each of the participating schools were conducted targeting three to five teachers. The smaller number of respondents is intended to facilitate a richer and deeper discussion and allow more probing by the interviewers. However, in some schools, more teachers participated.</w:t>
      </w:r>
      <w:r w:rsidR="00D434EB">
        <w:rPr>
          <w:rFonts w:asciiTheme="majorHAnsi" w:hAnsiTheme="majorHAnsi" w:cstheme="majorHAnsi"/>
          <w:color w:val="000000" w:themeColor="text1"/>
          <w:lang w:val="en-US"/>
        </w:rPr>
        <w:t xml:space="preserve"> </w:t>
      </w:r>
      <w:r w:rsidRPr="00F93BAE">
        <w:rPr>
          <w:rFonts w:asciiTheme="majorHAnsi" w:hAnsiTheme="majorHAnsi" w:cstheme="majorHAnsi"/>
          <w:color w:val="000000" w:themeColor="text1"/>
          <w:lang w:val="en-US"/>
        </w:rPr>
        <w:t xml:space="preserve"> The criteria for the selection of teachers will be aligned with the BEST EOPE Study itself and thus, teachers to be included in the FGDs were: Teaching in Grades 4, 5 and/or 6; Have been in teaching in the school for a minimum of 5 years; Preferably teaching in Math, Science, English and Filipino (for greater chances of having knowledge or used BEST Program outputs such as PRIMALs); and Preferably have attended an activity under the BEST Program (to have greater chances of knowing about the BEST Program). </w:t>
      </w:r>
    </w:p>
    <w:p w14:paraId="26DFBF98" w14:textId="1641C786" w:rsidR="008D0CAD" w:rsidRPr="00F93BAE" w:rsidRDefault="008D0CAD" w:rsidP="005902F7">
      <w:pPr>
        <w:spacing w:before="100" w:beforeAutospacing="1" w:after="100" w:afterAutospacing="1" w:line="360" w:lineRule="auto"/>
        <w:rPr>
          <w:rFonts w:asciiTheme="majorHAnsi" w:hAnsiTheme="majorHAnsi" w:cstheme="majorHAnsi"/>
          <w:color w:val="000000" w:themeColor="text1"/>
          <w:lang w:val="en-US"/>
        </w:rPr>
      </w:pPr>
      <w:r w:rsidRPr="00F93BAE">
        <w:rPr>
          <w:rFonts w:asciiTheme="majorHAnsi" w:hAnsiTheme="majorHAnsi" w:cstheme="majorHAnsi"/>
          <w:b/>
          <w:color w:val="000000" w:themeColor="text1"/>
          <w:lang w:val="en-US"/>
        </w:rPr>
        <w:t>Surveys.</w:t>
      </w:r>
      <w:r w:rsidR="00D434EB">
        <w:rPr>
          <w:rFonts w:asciiTheme="majorHAnsi" w:hAnsiTheme="majorHAnsi" w:cstheme="majorHAnsi"/>
          <w:color w:val="000000" w:themeColor="text1"/>
          <w:lang w:val="en-US"/>
        </w:rPr>
        <w:t xml:space="preserve"> </w:t>
      </w:r>
      <w:r w:rsidRPr="00F93BAE">
        <w:rPr>
          <w:rFonts w:asciiTheme="majorHAnsi" w:hAnsiTheme="majorHAnsi" w:cstheme="majorHAnsi"/>
          <w:color w:val="000000" w:themeColor="text1"/>
          <w:lang w:val="en-US"/>
        </w:rPr>
        <w:t>To supplement the KIIs and FGDs, all respondents were asked to accomplish two surveys: a Self-Assessment survey on the BEST-assisted Policies and Outputs; and a general Survey Questionnaire.</w:t>
      </w:r>
      <w:r w:rsidR="00D434EB">
        <w:rPr>
          <w:rFonts w:asciiTheme="majorHAnsi" w:hAnsiTheme="majorHAnsi" w:cstheme="majorHAnsi"/>
          <w:color w:val="000000" w:themeColor="text1"/>
          <w:lang w:val="en-US"/>
        </w:rPr>
        <w:t xml:space="preserve"> </w:t>
      </w:r>
      <w:r w:rsidRPr="00F93BAE">
        <w:rPr>
          <w:rFonts w:asciiTheme="majorHAnsi" w:hAnsiTheme="majorHAnsi" w:cstheme="majorHAnsi"/>
          <w:color w:val="000000" w:themeColor="text1"/>
          <w:lang w:val="en-US"/>
        </w:rPr>
        <w:t>This was intended to lessen the time needed for the KIIs and FGDs and focus discussions on the qualitative explanations.</w:t>
      </w:r>
      <w:r w:rsidR="00D434EB">
        <w:rPr>
          <w:rFonts w:asciiTheme="majorHAnsi" w:hAnsiTheme="majorHAnsi" w:cstheme="majorHAnsi"/>
          <w:color w:val="000000" w:themeColor="text1"/>
          <w:lang w:val="en-US"/>
        </w:rPr>
        <w:t xml:space="preserve">  </w:t>
      </w:r>
      <w:r w:rsidRPr="00F93BAE">
        <w:rPr>
          <w:rFonts w:asciiTheme="majorHAnsi" w:hAnsiTheme="majorHAnsi" w:cstheme="majorHAnsi"/>
          <w:color w:val="000000" w:themeColor="text1"/>
          <w:lang w:val="en-US"/>
        </w:rPr>
        <w:t xml:space="preserve"> </w:t>
      </w:r>
    </w:p>
    <w:p w14:paraId="70C60375" w14:textId="58805D14" w:rsidR="008D0CAD" w:rsidRPr="00F93BAE" w:rsidRDefault="008D0CAD" w:rsidP="005902F7">
      <w:pPr>
        <w:spacing w:before="100" w:beforeAutospacing="1" w:after="100" w:afterAutospacing="1" w:line="360" w:lineRule="auto"/>
        <w:rPr>
          <w:rFonts w:asciiTheme="majorHAnsi" w:hAnsiTheme="majorHAnsi" w:cstheme="majorHAnsi"/>
          <w:color w:val="000000" w:themeColor="text1"/>
          <w:lang w:val="en-US"/>
        </w:rPr>
      </w:pPr>
      <w:r w:rsidRPr="00F93BAE">
        <w:rPr>
          <w:rFonts w:asciiTheme="majorHAnsi" w:hAnsiTheme="majorHAnsi" w:cstheme="majorHAnsi"/>
          <w:b/>
          <w:color w:val="000000" w:themeColor="text1"/>
          <w:lang w:val="en-US"/>
        </w:rPr>
        <w:t>Observations.</w:t>
      </w:r>
      <w:r w:rsidR="00D434EB">
        <w:rPr>
          <w:rFonts w:asciiTheme="majorHAnsi" w:hAnsiTheme="majorHAnsi" w:cstheme="majorHAnsi"/>
          <w:color w:val="000000" w:themeColor="text1"/>
          <w:lang w:val="en-US"/>
        </w:rPr>
        <w:t xml:space="preserve"> </w:t>
      </w:r>
      <w:r w:rsidRPr="00F93BAE">
        <w:rPr>
          <w:rFonts w:asciiTheme="majorHAnsi" w:hAnsiTheme="majorHAnsi" w:cstheme="majorHAnsi"/>
          <w:color w:val="000000" w:themeColor="text1"/>
          <w:lang w:val="en-US"/>
        </w:rPr>
        <w:t>The Evaluation Researchers also observed the school practices whenever possible.</w:t>
      </w:r>
      <w:r w:rsidR="00D434EB">
        <w:rPr>
          <w:rFonts w:asciiTheme="majorHAnsi" w:hAnsiTheme="majorHAnsi" w:cstheme="majorHAnsi"/>
          <w:color w:val="000000" w:themeColor="text1"/>
          <w:lang w:val="en-US"/>
        </w:rPr>
        <w:t xml:space="preserve"> </w:t>
      </w:r>
      <w:r w:rsidRPr="00F93BAE">
        <w:rPr>
          <w:rFonts w:asciiTheme="majorHAnsi" w:hAnsiTheme="majorHAnsi" w:cstheme="majorHAnsi"/>
          <w:color w:val="000000" w:themeColor="text1"/>
          <w:lang w:val="en-US"/>
        </w:rPr>
        <w:t>They wrote their own respective observations on the school context.</w:t>
      </w:r>
    </w:p>
    <w:p w14:paraId="777F8627" w14:textId="70242456" w:rsidR="008D0CAD" w:rsidRPr="00F93BAE" w:rsidRDefault="008D0CAD" w:rsidP="005902F7">
      <w:pPr>
        <w:spacing w:before="100" w:beforeAutospacing="1" w:after="100" w:afterAutospacing="1" w:line="360" w:lineRule="auto"/>
        <w:rPr>
          <w:rFonts w:asciiTheme="majorHAnsi" w:hAnsiTheme="majorHAnsi" w:cstheme="majorHAnsi"/>
          <w:color w:val="000000" w:themeColor="text1"/>
          <w:lang w:val="en-US"/>
        </w:rPr>
      </w:pPr>
      <w:r w:rsidRPr="00F93BAE">
        <w:rPr>
          <w:rFonts w:asciiTheme="majorHAnsi" w:hAnsiTheme="majorHAnsi" w:cstheme="majorHAnsi"/>
          <w:b/>
          <w:color w:val="000000" w:themeColor="text1"/>
          <w:lang w:val="en-US"/>
        </w:rPr>
        <w:t>Secondary data analysis.</w:t>
      </w:r>
      <w:r w:rsidR="00D434EB">
        <w:rPr>
          <w:rFonts w:asciiTheme="majorHAnsi" w:hAnsiTheme="majorHAnsi" w:cstheme="majorHAnsi"/>
          <w:color w:val="000000" w:themeColor="text1"/>
          <w:lang w:val="en-US"/>
        </w:rPr>
        <w:t xml:space="preserve"> </w:t>
      </w:r>
      <w:r w:rsidRPr="00F93BAE">
        <w:rPr>
          <w:rFonts w:asciiTheme="majorHAnsi" w:hAnsiTheme="majorHAnsi" w:cstheme="majorHAnsi"/>
          <w:color w:val="000000" w:themeColor="text1"/>
          <w:lang w:val="en-US"/>
        </w:rPr>
        <w:t>The Evaluation Researchers requested for documentary evidences to validate the responses of the respondents.</w:t>
      </w:r>
      <w:r w:rsidR="00D434EB">
        <w:rPr>
          <w:rFonts w:asciiTheme="majorHAnsi" w:hAnsiTheme="majorHAnsi" w:cstheme="majorHAnsi"/>
          <w:color w:val="000000" w:themeColor="text1"/>
          <w:lang w:val="en-US"/>
        </w:rPr>
        <w:t xml:space="preserve"> </w:t>
      </w:r>
      <w:r w:rsidRPr="00F93BAE">
        <w:rPr>
          <w:rFonts w:asciiTheme="majorHAnsi" w:hAnsiTheme="majorHAnsi" w:cstheme="majorHAnsi"/>
          <w:color w:val="000000" w:themeColor="text1"/>
          <w:lang w:val="en-US"/>
        </w:rPr>
        <w:t>Only one school – Paranaque Elementary School Central – did not provide their School Improvement Plan.</w:t>
      </w:r>
    </w:p>
    <w:p w14:paraId="724A80AC" w14:textId="77777777" w:rsidR="008D0CAD" w:rsidRPr="00F93BAE" w:rsidRDefault="008D0CAD" w:rsidP="00DD08E3">
      <w:pPr>
        <w:numPr>
          <w:ilvl w:val="1"/>
          <w:numId w:val="70"/>
        </w:numPr>
        <w:spacing w:before="100" w:beforeAutospacing="1" w:after="100" w:afterAutospacing="1" w:line="360" w:lineRule="auto"/>
        <w:contextualSpacing/>
        <w:rPr>
          <w:rFonts w:asciiTheme="majorHAnsi" w:hAnsiTheme="majorHAnsi" w:cstheme="majorHAnsi"/>
          <w:snapToGrid w:val="0"/>
          <w:color w:val="000000" w:themeColor="text1"/>
          <w:szCs w:val="20"/>
          <w:lang w:val="en-US"/>
        </w:rPr>
      </w:pPr>
      <w:r w:rsidRPr="00F93BAE">
        <w:rPr>
          <w:rFonts w:asciiTheme="majorHAnsi" w:hAnsiTheme="majorHAnsi" w:cstheme="majorHAnsi"/>
          <w:b/>
          <w:snapToGrid w:val="0"/>
          <w:szCs w:val="20"/>
          <w:lang w:val="en-US"/>
        </w:rPr>
        <w:t>Data Analysis</w:t>
      </w:r>
    </w:p>
    <w:p w14:paraId="2F374617" w14:textId="77777777" w:rsidR="008D0CAD" w:rsidRPr="00F93BAE" w:rsidRDefault="008D0CAD" w:rsidP="005902F7">
      <w:pPr>
        <w:spacing w:before="100" w:beforeAutospacing="1" w:after="100" w:afterAutospacing="1" w:line="360" w:lineRule="auto"/>
        <w:rPr>
          <w:rFonts w:asciiTheme="majorHAnsi" w:hAnsiTheme="majorHAnsi" w:cstheme="majorHAnsi"/>
          <w:lang w:val="en-US"/>
        </w:rPr>
      </w:pPr>
      <w:r w:rsidRPr="00F93BAE">
        <w:rPr>
          <w:rFonts w:asciiTheme="majorHAnsi" w:hAnsiTheme="majorHAnsi" w:cstheme="majorHAnsi"/>
          <w:lang w:val="en-US"/>
        </w:rPr>
        <w:t>The EOPE Case Study Team used data collected from the interviews and FGDs supplemented by the survey and secondary data analysis to answer the research questions.</w:t>
      </w:r>
    </w:p>
    <w:p w14:paraId="7688A0B7" w14:textId="77777777" w:rsidR="008D0CAD" w:rsidRPr="00F93BAE" w:rsidRDefault="008D0CAD" w:rsidP="005902F7">
      <w:pPr>
        <w:spacing w:before="100" w:beforeAutospacing="1" w:after="100" w:afterAutospacing="1" w:line="360" w:lineRule="auto"/>
        <w:rPr>
          <w:rFonts w:asciiTheme="majorHAnsi" w:hAnsiTheme="majorHAnsi" w:cstheme="majorHAnsi"/>
          <w:lang w:val="en-US"/>
        </w:rPr>
      </w:pPr>
      <w:r w:rsidRPr="00F93BAE">
        <w:rPr>
          <w:rFonts w:asciiTheme="majorHAnsi" w:hAnsiTheme="majorHAnsi" w:cstheme="majorHAnsi"/>
          <w:color w:val="222222"/>
          <w:shd w:val="clear" w:color="auto" w:fill="FFFFFF"/>
          <w:lang w:val="en-US"/>
        </w:rPr>
        <w:t xml:space="preserve">Thematic analysis was used to process data collected from interviews and FGDs focusing on </w:t>
      </w:r>
      <w:r w:rsidRPr="00F93BAE">
        <w:rPr>
          <w:rFonts w:asciiTheme="majorHAnsi" w:hAnsiTheme="majorHAnsi" w:cstheme="majorHAnsi"/>
          <w:lang w:val="en-US"/>
        </w:rPr>
        <w:t xml:space="preserve">pinpointing and </w:t>
      </w:r>
      <w:r w:rsidRPr="00F93BAE">
        <w:rPr>
          <w:rFonts w:asciiTheme="majorHAnsi" w:hAnsiTheme="majorHAnsi" w:cstheme="majorHAnsi"/>
          <w:color w:val="222222"/>
          <w:shd w:val="clear" w:color="auto" w:fill="FFFFFF"/>
          <w:lang w:val="en-US"/>
        </w:rPr>
        <w:t>examining themes or patterns of meaning from within data</w:t>
      </w:r>
      <w:r w:rsidRPr="00F93BAE">
        <w:rPr>
          <w:rFonts w:asciiTheme="majorHAnsi" w:hAnsiTheme="majorHAnsi" w:cstheme="majorHAnsi"/>
          <w:lang w:val="en-US"/>
        </w:rPr>
        <w:t xml:space="preserve">. The themes or patterns across data sets were associated to the specific research question being answered. Since Thematic analysis was performed through the process of coding to create established and meaningful patterns, the Team followed an integrated approach to developing its coding structure. A </w:t>
      </w:r>
      <w:r w:rsidRPr="00F93BAE">
        <w:rPr>
          <w:rFonts w:asciiTheme="majorHAnsi" w:hAnsiTheme="majorHAnsi" w:cstheme="majorHAnsi"/>
          <w:bCs/>
          <w:lang w:val="en-US"/>
        </w:rPr>
        <w:t>Data Analytical Framework was submitted and approved.</w:t>
      </w:r>
    </w:p>
    <w:p w14:paraId="728A8DCE" w14:textId="77777777" w:rsidR="008D0CAD" w:rsidRPr="00F93BAE" w:rsidRDefault="008D0CAD" w:rsidP="00DD08E3">
      <w:pPr>
        <w:numPr>
          <w:ilvl w:val="1"/>
          <w:numId w:val="70"/>
        </w:numPr>
        <w:spacing w:before="100" w:beforeAutospacing="1" w:after="100" w:afterAutospacing="1" w:line="360" w:lineRule="auto"/>
        <w:contextualSpacing/>
        <w:rPr>
          <w:rFonts w:asciiTheme="majorHAnsi" w:hAnsiTheme="majorHAnsi" w:cstheme="majorHAnsi"/>
          <w:snapToGrid w:val="0"/>
          <w:szCs w:val="20"/>
          <w:lang w:val="en-US"/>
        </w:rPr>
      </w:pPr>
      <w:r w:rsidRPr="00F93BAE">
        <w:rPr>
          <w:rFonts w:asciiTheme="majorHAnsi" w:hAnsiTheme="majorHAnsi" w:cstheme="majorHAnsi"/>
          <w:b/>
          <w:snapToGrid w:val="0"/>
          <w:szCs w:val="20"/>
          <w:lang w:val="en-US"/>
        </w:rPr>
        <w:t>Selection of Models, Divisions and Schools</w:t>
      </w:r>
    </w:p>
    <w:p w14:paraId="486F0575" w14:textId="3592FAE4" w:rsidR="008D0CAD" w:rsidRPr="00F93BAE" w:rsidRDefault="008D0CAD" w:rsidP="005902F7">
      <w:pPr>
        <w:spacing w:before="100" w:beforeAutospacing="1" w:after="100" w:afterAutospacing="1" w:line="360" w:lineRule="auto"/>
        <w:rPr>
          <w:rFonts w:asciiTheme="majorHAnsi" w:hAnsiTheme="majorHAnsi" w:cstheme="majorHAnsi"/>
          <w:lang w:val="en-US"/>
        </w:rPr>
      </w:pPr>
      <w:r w:rsidRPr="00F93BAE">
        <w:rPr>
          <w:rFonts w:asciiTheme="majorHAnsi" w:hAnsiTheme="majorHAnsi" w:cstheme="majorHAnsi"/>
          <w:lang w:val="en-US"/>
        </w:rPr>
        <w:t xml:space="preserve">The extended EOPE Study initially focused only on elementary schools that </w:t>
      </w:r>
      <w:r w:rsidRPr="00F93BAE">
        <w:rPr>
          <w:rFonts w:asciiTheme="majorHAnsi" w:hAnsiTheme="majorHAnsi" w:cstheme="majorHAnsi"/>
          <w:b/>
          <w:lang w:val="en-US"/>
        </w:rPr>
        <w:t>directly received more than one BEST Program interventions</w:t>
      </w:r>
      <w:r w:rsidRPr="00F93BAE">
        <w:rPr>
          <w:rFonts w:asciiTheme="majorHAnsi" w:hAnsiTheme="majorHAnsi" w:cstheme="majorHAnsi"/>
          <w:lang w:val="en-US"/>
        </w:rPr>
        <w:t>.</w:t>
      </w:r>
      <w:r w:rsidR="00D434EB">
        <w:rPr>
          <w:rFonts w:asciiTheme="majorHAnsi" w:hAnsiTheme="majorHAnsi" w:cstheme="majorHAnsi"/>
          <w:lang w:val="en-US"/>
        </w:rPr>
        <w:t xml:space="preserve"> </w:t>
      </w:r>
      <w:r w:rsidRPr="00F93BAE">
        <w:rPr>
          <w:rFonts w:asciiTheme="majorHAnsi" w:hAnsiTheme="majorHAnsi" w:cstheme="majorHAnsi"/>
          <w:lang w:val="en-US"/>
        </w:rPr>
        <w:t>Direct recipients of BEST Program interventions referred to schools that sent participants to attend/participate in training programs or development workshops conducted and/or funded by the BEST Program.</w:t>
      </w:r>
    </w:p>
    <w:p w14:paraId="66312973" w14:textId="62AFDC36" w:rsidR="008D0CAD" w:rsidRPr="00F93BAE" w:rsidRDefault="008D0CAD" w:rsidP="005902F7">
      <w:pPr>
        <w:spacing w:before="100" w:beforeAutospacing="1" w:after="100" w:afterAutospacing="1" w:line="360" w:lineRule="auto"/>
        <w:rPr>
          <w:rFonts w:asciiTheme="majorHAnsi" w:hAnsiTheme="majorHAnsi" w:cstheme="majorHAnsi"/>
          <w:bCs/>
          <w:color w:val="000000" w:themeColor="text1"/>
          <w:lang w:val="en-US"/>
        </w:rPr>
      </w:pPr>
      <w:r w:rsidRPr="00F93BAE">
        <w:rPr>
          <w:rFonts w:asciiTheme="majorHAnsi" w:hAnsiTheme="majorHAnsi" w:cstheme="majorHAnsi"/>
          <w:b/>
          <w:lang w:val="en-US"/>
        </w:rPr>
        <w:t>Models.</w:t>
      </w:r>
      <w:r w:rsidRPr="00F93BAE">
        <w:rPr>
          <w:rFonts w:asciiTheme="majorHAnsi" w:hAnsiTheme="majorHAnsi" w:cstheme="majorHAnsi"/>
          <w:lang w:val="en-US"/>
        </w:rPr>
        <w:t xml:space="preserve"> </w:t>
      </w:r>
      <w:r w:rsidRPr="00F93BAE">
        <w:rPr>
          <w:rFonts w:asciiTheme="majorHAnsi" w:hAnsiTheme="majorHAnsi" w:cstheme="majorHAnsi"/>
          <w:bCs/>
          <w:color w:val="000000" w:themeColor="text1"/>
          <w:lang w:val="en-US"/>
        </w:rPr>
        <w:t>QED-ADII reviewed the list of 1,173 Elementary Schools that directly participated in the various activities organized by the BEST Program</w:t>
      </w:r>
      <w:r w:rsidRPr="00F93BAE">
        <w:rPr>
          <w:rFonts w:asciiTheme="majorHAnsi" w:hAnsiTheme="majorHAnsi" w:cstheme="majorHAnsi"/>
          <w:bCs/>
          <w:color w:val="000000" w:themeColor="text1"/>
          <w:vertAlign w:val="superscript"/>
          <w:lang w:val="en-US"/>
        </w:rPr>
        <w:footnoteReference w:id="127"/>
      </w:r>
      <w:r w:rsidRPr="00F93BAE">
        <w:rPr>
          <w:rFonts w:asciiTheme="majorHAnsi" w:hAnsiTheme="majorHAnsi" w:cstheme="majorHAnsi"/>
          <w:bCs/>
          <w:color w:val="000000" w:themeColor="text1"/>
          <w:lang w:val="en-US"/>
        </w:rPr>
        <w:t xml:space="preserve"> and from this list, only 132 elementary schools (11%) were recorded to have received two or more program interventions. The rest of the 1,041 schools (1,173 schools less 132 schools) were recorded to have received only one program intervention each.</w:t>
      </w:r>
      <w:r w:rsidR="00D434EB">
        <w:rPr>
          <w:rFonts w:asciiTheme="majorHAnsi" w:hAnsiTheme="majorHAnsi" w:cstheme="majorHAnsi"/>
          <w:bCs/>
          <w:color w:val="000000" w:themeColor="text1"/>
          <w:lang w:val="en-US"/>
        </w:rPr>
        <w:t xml:space="preserve"> </w:t>
      </w:r>
    </w:p>
    <w:p w14:paraId="071019B7" w14:textId="0A5233F3" w:rsidR="008D0CAD" w:rsidRPr="00F93BAE" w:rsidRDefault="008D0CAD" w:rsidP="005902F7">
      <w:pPr>
        <w:spacing w:before="100" w:beforeAutospacing="1" w:after="100" w:afterAutospacing="1" w:line="360" w:lineRule="auto"/>
        <w:rPr>
          <w:rFonts w:asciiTheme="majorHAnsi" w:hAnsiTheme="majorHAnsi" w:cstheme="majorHAnsi"/>
          <w:bCs/>
          <w:color w:val="000000" w:themeColor="text1"/>
          <w:lang w:val="en-US"/>
        </w:rPr>
      </w:pPr>
      <w:r w:rsidRPr="00F93BAE">
        <w:rPr>
          <w:rFonts w:asciiTheme="majorHAnsi" w:hAnsiTheme="majorHAnsi" w:cstheme="majorHAnsi"/>
          <w:lang w:val="en-US"/>
        </w:rPr>
        <w:t>Of the 132 schools that were recorded to have received more than one program intervention,</w:t>
      </w:r>
      <w:r w:rsidRPr="00F93BAE">
        <w:rPr>
          <w:rFonts w:asciiTheme="majorHAnsi" w:hAnsiTheme="majorHAnsi" w:cstheme="majorHAnsi"/>
          <w:b/>
          <w:lang w:val="en-US"/>
        </w:rPr>
        <w:t xml:space="preserve"> </w:t>
      </w:r>
      <w:r w:rsidRPr="00F93BAE">
        <w:rPr>
          <w:rFonts w:asciiTheme="majorHAnsi" w:hAnsiTheme="majorHAnsi" w:cstheme="majorHAnsi"/>
          <w:bCs/>
          <w:color w:val="000000" w:themeColor="text1"/>
          <w:lang w:val="en-US"/>
        </w:rPr>
        <w:t xml:space="preserve">it was ascertained that there were 19 different combinations of these interventions referred to as Models (Table 1). A </w:t>
      </w:r>
      <w:r w:rsidRPr="00F93BAE">
        <w:rPr>
          <w:rFonts w:asciiTheme="majorHAnsi" w:hAnsiTheme="majorHAnsi" w:cstheme="majorHAnsi"/>
          <w:b/>
          <w:bCs/>
          <w:color w:val="000000" w:themeColor="text1"/>
          <w:lang w:val="en-US"/>
        </w:rPr>
        <w:t>Model</w:t>
      </w:r>
      <w:r w:rsidRPr="00F93BAE">
        <w:rPr>
          <w:rFonts w:asciiTheme="majorHAnsi" w:hAnsiTheme="majorHAnsi" w:cstheme="majorHAnsi"/>
          <w:bCs/>
          <w:color w:val="000000" w:themeColor="text1"/>
          <w:lang w:val="en-US"/>
        </w:rPr>
        <w:t xml:space="preserve"> refers to the combination of two or more BEST Program interventions.</w:t>
      </w:r>
      <w:r w:rsidR="00D434EB">
        <w:rPr>
          <w:rFonts w:asciiTheme="majorHAnsi" w:hAnsiTheme="majorHAnsi" w:cstheme="majorHAnsi"/>
          <w:bCs/>
          <w:color w:val="000000" w:themeColor="text1"/>
          <w:lang w:val="en-US"/>
        </w:rPr>
        <w:t xml:space="preserve"> </w:t>
      </w:r>
      <w:r w:rsidRPr="00F93BAE">
        <w:rPr>
          <w:rFonts w:asciiTheme="majorHAnsi" w:hAnsiTheme="majorHAnsi" w:cstheme="majorHAnsi"/>
          <w:lang w:val="en-US"/>
        </w:rPr>
        <w:t>The EOPE Case Study proposes to study three models namely:</w:t>
      </w:r>
      <w:r w:rsidR="00D434EB">
        <w:rPr>
          <w:rFonts w:asciiTheme="majorHAnsi" w:hAnsiTheme="majorHAnsi" w:cstheme="majorHAnsi"/>
          <w:lang w:val="en-US"/>
        </w:rPr>
        <w:t xml:space="preserve"> </w:t>
      </w:r>
      <w:r w:rsidRPr="00F93BAE">
        <w:rPr>
          <w:rFonts w:asciiTheme="majorHAnsi" w:hAnsiTheme="majorHAnsi" w:cstheme="majorHAnsi"/>
          <w:bCs/>
          <w:color w:val="000000" w:themeColor="text1"/>
          <w:lang w:val="en-US"/>
        </w:rPr>
        <w:t xml:space="preserve"> </w:t>
      </w:r>
      <w:r w:rsidRPr="00F93BAE">
        <w:rPr>
          <w:rFonts w:asciiTheme="majorHAnsi" w:hAnsiTheme="majorHAnsi" w:cstheme="majorHAnsi"/>
          <w:color w:val="000000"/>
          <w:lang w:val="en-US"/>
        </w:rPr>
        <w:t>Model 3: PPMES, L&amp;D and GEDSI with 9 schools to choose from; Model 11: PPMES and L&amp;D with 46 schools to choose from; and</w:t>
      </w:r>
      <w:r w:rsidRPr="00F93BAE">
        <w:rPr>
          <w:rFonts w:asciiTheme="majorHAnsi" w:hAnsiTheme="majorHAnsi" w:cstheme="majorHAnsi"/>
          <w:bCs/>
          <w:color w:val="000000" w:themeColor="text1"/>
          <w:lang w:val="en-US"/>
        </w:rPr>
        <w:t xml:space="preserve"> </w:t>
      </w:r>
      <w:r w:rsidRPr="00F93BAE">
        <w:rPr>
          <w:rFonts w:asciiTheme="majorHAnsi" w:hAnsiTheme="majorHAnsi" w:cstheme="majorHAnsi"/>
          <w:color w:val="000000"/>
          <w:lang w:val="en-US"/>
        </w:rPr>
        <w:t>Model 14: PPMES and CAS with 17 schools to choose from;</w:t>
      </w:r>
    </w:p>
    <w:p w14:paraId="0FB73B67" w14:textId="77777777" w:rsidR="008D0CAD" w:rsidRPr="00F93BAE" w:rsidRDefault="008D0CAD" w:rsidP="005902F7">
      <w:pPr>
        <w:spacing w:before="100" w:beforeAutospacing="1" w:after="100" w:afterAutospacing="1" w:line="360" w:lineRule="auto"/>
        <w:rPr>
          <w:rFonts w:asciiTheme="majorHAnsi" w:hAnsiTheme="majorHAnsi" w:cstheme="majorHAnsi"/>
          <w:lang w:val="en-US"/>
        </w:rPr>
      </w:pPr>
      <w:r w:rsidRPr="00F93BAE">
        <w:rPr>
          <w:rFonts w:asciiTheme="majorHAnsi" w:hAnsiTheme="majorHAnsi" w:cstheme="majorHAnsi"/>
          <w:lang w:val="en-US"/>
        </w:rPr>
        <w:t>These Models are expected to provide the more substantive information to answer the research questions and having sufficient number of schools to be studied.</w:t>
      </w:r>
    </w:p>
    <w:p w14:paraId="036EA18F" w14:textId="0E9F9E9D" w:rsidR="008D0CAD" w:rsidRPr="00F93BAE" w:rsidRDefault="008D0CAD" w:rsidP="005902F7">
      <w:pPr>
        <w:spacing w:before="100" w:beforeAutospacing="1" w:after="100" w:afterAutospacing="1" w:line="360" w:lineRule="auto"/>
        <w:rPr>
          <w:rFonts w:asciiTheme="majorHAnsi" w:hAnsiTheme="majorHAnsi" w:cstheme="majorHAnsi"/>
          <w:lang w:val="en-US"/>
        </w:rPr>
      </w:pPr>
      <w:r w:rsidRPr="00F93BAE">
        <w:rPr>
          <w:rFonts w:asciiTheme="majorHAnsi" w:hAnsiTheme="majorHAnsi" w:cstheme="majorHAnsi"/>
          <w:b/>
          <w:lang w:val="en-US"/>
        </w:rPr>
        <w:t>Schools.</w:t>
      </w:r>
      <w:r w:rsidRPr="00F93BAE">
        <w:rPr>
          <w:rFonts w:asciiTheme="majorHAnsi" w:hAnsiTheme="majorHAnsi" w:cstheme="majorHAnsi"/>
          <w:lang w:val="en-US"/>
        </w:rPr>
        <w:t xml:space="preserve"> None of the schools were selected based on performance. The schools were simply selected from the roster of schools under each Model and the Regions and Divisions where they are located.</w:t>
      </w:r>
      <w:r w:rsidR="00D434EB">
        <w:rPr>
          <w:rFonts w:asciiTheme="majorHAnsi" w:hAnsiTheme="majorHAnsi" w:cstheme="majorHAnsi"/>
          <w:lang w:val="en-US"/>
        </w:rPr>
        <w:t xml:space="preserve"> </w:t>
      </w:r>
      <w:r w:rsidRPr="00F93BAE">
        <w:rPr>
          <w:rFonts w:asciiTheme="majorHAnsi" w:hAnsiTheme="majorHAnsi" w:cstheme="majorHAnsi"/>
          <w:lang w:val="en-US"/>
        </w:rPr>
        <w:t xml:space="preserve"> </w:t>
      </w:r>
    </w:p>
    <w:p w14:paraId="03B29DD4" w14:textId="1C949C64" w:rsidR="008D0CAD" w:rsidRPr="00D354DC" w:rsidRDefault="008D0CAD" w:rsidP="005902F7">
      <w:pPr>
        <w:spacing w:before="100" w:beforeAutospacing="1" w:after="100" w:afterAutospacing="1" w:line="360" w:lineRule="auto"/>
        <w:rPr>
          <w:rFonts w:asciiTheme="majorHAnsi" w:hAnsiTheme="majorHAnsi" w:cstheme="majorHAnsi"/>
          <w:lang w:val="en-US"/>
        </w:rPr>
      </w:pPr>
      <w:r w:rsidRPr="00F93BAE">
        <w:rPr>
          <w:rFonts w:asciiTheme="majorHAnsi" w:hAnsiTheme="majorHAnsi" w:cstheme="majorHAnsi"/>
          <w:lang w:val="en-US"/>
        </w:rPr>
        <w:t>Of the 132 schools, 20 percent (26 schools) in Urban areas, 77 percent (106 schools) are located in Partially Urban areas and 3 percent (4 schools) are located in Rural areas. The schools located in Rural areas are considered as outliers.</w:t>
      </w:r>
      <w:r w:rsidR="00D434EB">
        <w:rPr>
          <w:rFonts w:asciiTheme="majorHAnsi" w:hAnsiTheme="majorHAnsi" w:cstheme="majorHAnsi"/>
          <w:lang w:val="en-US"/>
        </w:rPr>
        <w:t xml:space="preserve"> </w:t>
      </w:r>
      <w:r w:rsidRPr="00F93BAE">
        <w:rPr>
          <w:rFonts w:asciiTheme="majorHAnsi" w:hAnsiTheme="majorHAnsi" w:cstheme="majorHAnsi"/>
          <w:lang w:val="en-US"/>
        </w:rPr>
        <w:t xml:space="preserve"> The final list of the 12 schools is shown in Table 3.</w:t>
      </w:r>
    </w:p>
    <w:p w14:paraId="765D7773" w14:textId="77777777" w:rsidR="008D0CAD" w:rsidRPr="00F93BAE" w:rsidRDefault="008D0CAD" w:rsidP="005902F7">
      <w:pPr>
        <w:spacing w:before="100" w:beforeAutospacing="1" w:after="100" w:afterAutospacing="1" w:line="360" w:lineRule="auto"/>
        <w:rPr>
          <w:rFonts w:asciiTheme="majorHAnsi" w:hAnsiTheme="majorHAnsi" w:cstheme="majorHAnsi"/>
          <w:b/>
          <w:bCs/>
          <w:color w:val="000000"/>
          <w:lang w:val="en-US"/>
        </w:rPr>
      </w:pPr>
      <w:r w:rsidRPr="00F93BAE">
        <w:rPr>
          <w:rFonts w:asciiTheme="majorHAnsi" w:hAnsiTheme="majorHAnsi" w:cstheme="majorHAnsi"/>
          <w:b/>
          <w:bCs/>
          <w:color w:val="000000"/>
          <w:lang w:val="en-US"/>
        </w:rPr>
        <w:t xml:space="preserve">Table 1. Distribution of 132 Schools by Models </w:t>
      </w:r>
    </w:p>
    <w:tbl>
      <w:tblPr>
        <w:tblStyle w:val="TableGrid11"/>
        <w:tblW w:w="7753" w:type="dxa"/>
        <w:tblLook w:val="04A0" w:firstRow="1" w:lastRow="0" w:firstColumn="1" w:lastColumn="0" w:noHBand="0" w:noVBand="1"/>
      </w:tblPr>
      <w:tblGrid>
        <w:gridCol w:w="1340"/>
        <w:gridCol w:w="3925"/>
        <w:gridCol w:w="1627"/>
        <w:gridCol w:w="861"/>
      </w:tblGrid>
      <w:tr w:rsidR="008D0CAD" w:rsidRPr="00F93BAE" w14:paraId="2768C315" w14:textId="77777777" w:rsidTr="007846B1">
        <w:trPr>
          <w:trHeight w:val="543"/>
          <w:tblHeader/>
        </w:trPr>
        <w:tc>
          <w:tcPr>
            <w:tcW w:w="1340" w:type="dxa"/>
            <w:hideMark/>
          </w:tcPr>
          <w:p w14:paraId="7ABC61C6" w14:textId="77777777" w:rsidR="008D0CAD" w:rsidRPr="00F93BAE" w:rsidRDefault="008D0CAD" w:rsidP="005902F7">
            <w:pPr>
              <w:spacing w:before="100" w:beforeAutospacing="1" w:after="100" w:afterAutospacing="1" w:line="360" w:lineRule="auto"/>
              <w:rPr>
                <w:rFonts w:asciiTheme="majorHAnsi" w:hAnsiTheme="majorHAnsi" w:cstheme="majorHAnsi"/>
                <w:b/>
                <w:bCs/>
                <w:color w:val="000000"/>
                <w:sz w:val="20"/>
                <w:szCs w:val="20"/>
                <w:lang w:val="en-US"/>
              </w:rPr>
            </w:pPr>
            <w:r w:rsidRPr="00F93BAE">
              <w:rPr>
                <w:rFonts w:asciiTheme="majorHAnsi" w:hAnsiTheme="majorHAnsi" w:cstheme="majorHAnsi"/>
                <w:b/>
                <w:bCs/>
                <w:color w:val="000000"/>
                <w:sz w:val="20"/>
                <w:szCs w:val="20"/>
                <w:lang w:val="en-US"/>
              </w:rPr>
              <w:t>Model No.</w:t>
            </w:r>
          </w:p>
        </w:tc>
        <w:tc>
          <w:tcPr>
            <w:tcW w:w="3925" w:type="dxa"/>
            <w:hideMark/>
          </w:tcPr>
          <w:p w14:paraId="27FFD175" w14:textId="77777777" w:rsidR="008D0CAD" w:rsidRPr="00F93BAE" w:rsidRDefault="008D0CAD" w:rsidP="005902F7">
            <w:pPr>
              <w:spacing w:before="100" w:beforeAutospacing="1" w:after="100" w:afterAutospacing="1" w:line="360" w:lineRule="auto"/>
              <w:rPr>
                <w:rFonts w:asciiTheme="majorHAnsi" w:hAnsiTheme="majorHAnsi" w:cstheme="majorHAnsi"/>
                <w:b/>
                <w:bCs/>
                <w:color w:val="000000"/>
                <w:sz w:val="20"/>
                <w:szCs w:val="20"/>
                <w:lang w:val="en-US"/>
              </w:rPr>
            </w:pPr>
            <w:r w:rsidRPr="00F93BAE">
              <w:rPr>
                <w:rFonts w:asciiTheme="majorHAnsi" w:hAnsiTheme="majorHAnsi" w:cstheme="majorHAnsi"/>
                <w:b/>
                <w:bCs/>
                <w:color w:val="000000"/>
                <w:sz w:val="20"/>
                <w:szCs w:val="20"/>
                <w:lang w:val="en-US"/>
              </w:rPr>
              <w:t>Models of Combinations of Interventions</w:t>
            </w:r>
          </w:p>
        </w:tc>
        <w:tc>
          <w:tcPr>
            <w:tcW w:w="1627" w:type="dxa"/>
            <w:hideMark/>
          </w:tcPr>
          <w:p w14:paraId="1C1337F8" w14:textId="77777777" w:rsidR="008D0CAD" w:rsidRPr="00F93BAE" w:rsidRDefault="008D0CAD" w:rsidP="005902F7">
            <w:pPr>
              <w:spacing w:before="100" w:beforeAutospacing="1" w:after="100" w:afterAutospacing="1" w:line="360" w:lineRule="auto"/>
              <w:rPr>
                <w:rFonts w:asciiTheme="majorHAnsi" w:hAnsiTheme="majorHAnsi" w:cstheme="majorHAnsi"/>
                <w:b/>
                <w:bCs/>
                <w:color w:val="000000"/>
                <w:sz w:val="20"/>
                <w:szCs w:val="20"/>
                <w:lang w:val="en-US"/>
              </w:rPr>
            </w:pPr>
            <w:r w:rsidRPr="00F93BAE">
              <w:rPr>
                <w:rFonts w:asciiTheme="majorHAnsi" w:hAnsiTheme="majorHAnsi" w:cstheme="majorHAnsi"/>
                <w:b/>
                <w:bCs/>
                <w:color w:val="000000"/>
                <w:sz w:val="20"/>
                <w:szCs w:val="20"/>
                <w:lang w:val="en-US"/>
              </w:rPr>
              <w:t>No. of Recipient Schools</w:t>
            </w:r>
          </w:p>
        </w:tc>
        <w:tc>
          <w:tcPr>
            <w:tcW w:w="861" w:type="dxa"/>
            <w:noWrap/>
            <w:hideMark/>
          </w:tcPr>
          <w:p w14:paraId="2856DCFE" w14:textId="77777777" w:rsidR="008D0CAD" w:rsidRPr="00F93BAE" w:rsidRDefault="008D0CAD" w:rsidP="005902F7">
            <w:pPr>
              <w:spacing w:before="100" w:beforeAutospacing="1" w:after="100" w:afterAutospacing="1" w:line="360" w:lineRule="auto"/>
              <w:rPr>
                <w:rFonts w:asciiTheme="majorHAnsi" w:hAnsiTheme="majorHAnsi" w:cstheme="majorHAnsi"/>
                <w:b/>
                <w:bCs/>
                <w:color w:val="000000"/>
                <w:sz w:val="20"/>
                <w:szCs w:val="20"/>
                <w:lang w:val="en-US"/>
              </w:rPr>
            </w:pPr>
            <w:r w:rsidRPr="00F93BAE">
              <w:rPr>
                <w:rFonts w:asciiTheme="majorHAnsi" w:hAnsiTheme="majorHAnsi" w:cstheme="majorHAnsi"/>
                <w:b/>
                <w:bCs/>
                <w:color w:val="000000"/>
                <w:sz w:val="20"/>
                <w:szCs w:val="20"/>
                <w:lang w:val="en-US"/>
              </w:rPr>
              <w:t>%</w:t>
            </w:r>
          </w:p>
        </w:tc>
      </w:tr>
      <w:tr w:rsidR="008D0CAD" w:rsidRPr="00F93BAE" w14:paraId="542D8182" w14:textId="77777777" w:rsidTr="00E26D25">
        <w:trPr>
          <w:trHeight w:val="262"/>
        </w:trPr>
        <w:tc>
          <w:tcPr>
            <w:tcW w:w="1340" w:type="dxa"/>
            <w:noWrap/>
            <w:hideMark/>
          </w:tcPr>
          <w:p w14:paraId="7910C90D"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1</w:t>
            </w:r>
          </w:p>
        </w:tc>
        <w:tc>
          <w:tcPr>
            <w:tcW w:w="3925" w:type="dxa"/>
            <w:noWrap/>
            <w:hideMark/>
          </w:tcPr>
          <w:p w14:paraId="13FE026B"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themeColor="text1"/>
                <w:sz w:val="20"/>
                <w:szCs w:val="20"/>
                <w:lang w:val="en-US"/>
              </w:rPr>
            </w:pPr>
            <w:r w:rsidRPr="00F93BAE">
              <w:rPr>
                <w:rFonts w:asciiTheme="majorHAnsi" w:hAnsiTheme="majorHAnsi" w:cstheme="majorHAnsi"/>
                <w:color w:val="000000" w:themeColor="text1"/>
                <w:sz w:val="20"/>
                <w:szCs w:val="20"/>
                <w:lang w:val="en-US"/>
              </w:rPr>
              <w:t>PPMES, L&amp;D and NA</w:t>
            </w:r>
          </w:p>
        </w:tc>
        <w:tc>
          <w:tcPr>
            <w:tcW w:w="1627" w:type="dxa"/>
            <w:noWrap/>
            <w:hideMark/>
          </w:tcPr>
          <w:p w14:paraId="12AF7EBE"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1</w:t>
            </w:r>
          </w:p>
        </w:tc>
        <w:tc>
          <w:tcPr>
            <w:tcW w:w="861" w:type="dxa"/>
            <w:noWrap/>
            <w:hideMark/>
          </w:tcPr>
          <w:p w14:paraId="719DF784"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1%</w:t>
            </w:r>
          </w:p>
        </w:tc>
      </w:tr>
      <w:tr w:rsidR="008D0CAD" w:rsidRPr="00F93BAE" w14:paraId="52D6D876" w14:textId="77777777" w:rsidTr="00E26D25">
        <w:trPr>
          <w:trHeight w:val="329"/>
        </w:trPr>
        <w:tc>
          <w:tcPr>
            <w:tcW w:w="1340" w:type="dxa"/>
            <w:noWrap/>
            <w:hideMark/>
          </w:tcPr>
          <w:p w14:paraId="70CE2A1F"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2</w:t>
            </w:r>
          </w:p>
        </w:tc>
        <w:tc>
          <w:tcPr>
            <w:tcW w:w="3925" w:type="dxa"/>
            <w:noWrap/>
            <w:hideMark/>
          </w:tcPr>
          <w:p w14:paraId="3032D58F"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themeColor="text1"/>
                <w:sz w:val="20"/>
                <w:szCs w:val="20"/>
                <w:lang w:val="en-US"/>
              </w:rPr>
            </w:pPr>
            <w:r w:rsidRPr="00F93BAE">
              <w:rPr>
                <w:rFonts w:asciiTheme="majorHAnsi" w:hAnsiTheme="majorHAnsi" w:cstheme="majorHAnsi"/>
                <w:color w:val="000000" w:themeColor="text1"/>
                <w:sz w:val="20"/>
                <w:szCs w:val="20"/>
                <w:lang w:val="en-US"/>
              </w:rPr>
              <w:t>PPMES, GEDSI and NA</w:t>
            </w:r>
          </w:p>
        </w:tc>
        <w:tc>
          <w:tcPr>
            <w:tcW w:w="1627" w:type="dxa"/>
            <w:noWrap/>
            <w:hideMark/>
          </w:tcPr>
          <w:p w14:paraId="293790D0"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1</w:t>
            </w:r>
          </w:p>
        </w:tc>
        <w:tc>
          <w:tcPr>
            <w:tcW w:w="861" w:type="dxa"/>
            <w:noWrap/>
            <w:hideMark/>
          </w:tcPr>
          <w:p w14:paraId="53BB4870"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1%</w:t>
            </w:r>
          </w:p>
        </w:tc>
      </w:tr>
      <w:tr w:rsidR="008D0CAD" w:rsidRPr="00F93BAE" w14:paraId="53FF3495" w14:textId="77777777" w:rsidTr="00E26D25">
        <w:trPr>
          <w:trHeight w:val="293"/>
        </w:trPr>
        <w:tc>
          <w:tcPr>
            <w:tcW w:w="1340" w:type="dxa"/>
            <w:noWrap/>
            <w:hideMark/>
          </w:tcPr>
          <w:p w14:paraId="173B16AA" w14:textId="77777777" w:rsidR="008D0CAD" w:rsidRPr="00F93BAE" w:rsidRDefault="008D0CAD" w:rsidP="005902F7">
            <w:pPr>
              <w:spacing w:before="100" w:beforeAutospacing="1" w:after="100" w:afterAutospacing="1" w:line="360" w:lineRule="auto"/>
              <w:rPr>
                <w:rFonts w:asciiTheme="majorHAnsi" w:hAnsiTheme="majorHAnsi" w:cstheme="majorHAnsi"/>
                <w:b/>
                <w:color w:val="000000"/>
                <w:sz w:val="20"/>
                <w:szCs w:val="20"/>
                <w:lang w:val="en-US"/>
              </w:rPr>
            </w:pPr>
            <w:r w:rsidRPr="00F93BAE">
              <w:rPr>
                <w:rFonts w:asciiTheme="majorHAnsi" w:hAnsiTheme="majorHAnsi" w:cstheme="majorHAnsi"/>
                <w:b/>
                <w:color w:val="000000"/>
                <w:sz w:val="20"/>
                <w:szCs w:val="20"/>
                <w:lang w:val="en-US"/>
              </w:rPr>
              <w:t>3</w:t>
            </w:r>
          </w:p>
        </w:tc>
        <w:tc>
          <w:tcPr>
            <w:tcW w:w="3925" w:type="dxa"/>
            <w:noWrap/>
            <w:hideMark/>
          </w:tcPr>
          <w:p w14:paraId="50E12B88" w14:textId="77777777" w:rsidR="008D0CAD" w:rsidRPr="00F93BAE" w:rsidRDefault="008D0CAD" w:rsidP="005902F7">
            <w:pPr>
              <w:spacing w:before="100" w:beforeAutospacing="1" w:after="100" w:afterAutospacing="1" w:line="360" w:lineRule="auto"/>
              <w:rPr>
                <w:rFonts w:asciiTheme="majorHAnsi" w:hAnsiTheme="majorHAnsi" w:cstheme="majorHAnsi"/>
                <w:b/>
                <w:color w:val="000000" w:themeColor="text1"/>
                <w:sz w:val="20"/>
                <w:szCs w:val="20"/>
                <w:lang w:val="en-US"/>
              </w:rPr>
            </w:pPr>
            <w:r w:rsidRPr="00F93BAE">
              <w:rPr>
                <w:rFonts w:asciiTheme="majorHAnsi" w:hAnsiTheme="majorHAnsi" w:cstheme="majorHAnsi"/>
                <w:b/>
                <w:color w:val="000000" w:themeColor="text1"/>
                <w:sz w:val="20"/>
                <w:szCs w:val="20"/>
                <w:lang w:val="en-US"/>
              </w:rPr>
              <w:t>PPMES, L&amp;D and GEDSI</w:t>
            </w:r>
          </w:p>
        </w:tc>
        <w:tc>
          <w:tcPr>
            <w:tcW w:w="1627" w:type="dxa"/>
            <w:noWrap/>
            <w:hideMark/>
          </w:tcPr>
          <w:p w14:paraId="694FEDF3" w14:textId="77777777" w:rsidR="008D0CAD" w:rsidRPr="00F93BAE" w:rsidRDefault="008D0CAD" w:rsidP="005902F7">
            <w:pPr>
              <w:spacing w:before="100" w:beforeAutospacing="1" w:after="100" w:afterAutospacing="1" w:line="360" w:lineRule="auto"/>
              <w:rPr>
                <w:rFonts w:asciiTheme="majorHAnsi" w:hAnsiTheme="majorHAnsi" w:cstheme="majorHAnsi"/>
                <w:b/>
                <w:color w:val="000000"/>
                <w:sz w:val="20"/>
                <w:szCs w:val="20"/>
                <w:lang w:val="en-US"/>
              </w:rPr>
            </w:pPr>
            <w:r w:rsidRPr="00F93BAE">
              <w:rPr>
                <w:rFonts w:asciiTheme="majorHAnsi" w:hAnsiTheme="majorHAnsi" w:cstheme="majorHAnsi"/>
                <w:b/>
                <w:color w:val="000000"/>
                <w:sz w:val="20"/>
                <w:szCs w:val="20"/>
                <w:lang w:val="en-US"/>
              </w:rPr>
              <w:t>9</w:t>
            </w:r>
          </w:p>
        </w:tc>
        <w:tc>
          <w:tcPr>
            <w:tcW w:w="861" w:type="dxa"/>
            <w:noWrap/>
            <w:hideMark/>
          </w:tcPr>
          <w:p w14:paraId="3A68728C" w14:textId="77777777" w:rsidR="008D0CAD" w:rsidRPr="00F93BAE" w:rsidRDefault="008D0CAD" w:rsidP="005902F7">
            <w:pPr>
              <w:spacing w:before="100" w:beforeAutospacing="1" w:after="100" w:afterAutospacing="1" w:line="360" w:lineRule="auto"/>
              <w:rPr>
                <w:rFonts w:asciiTheme="majorHAnsi" w:hAnsiTheme="majorHAnsi" w:cstheme="majorHAnsi"/>
                <w:b/>
                <w:color w:val="000000"/>
                <w:sz w:val="20"/>
                <w:szCs w:val="20"/>
                <w:lang w:val="en-US"/>
              </w:rPr>
            </w:pPr>
            <w:r w:rsidRPr="00F93BAE">
              <w:rPr>
                <w:rFonts w:asciiTheme="majorHAnsi" w:hAnsiTheme="majorHAnsi" w:cstheme="majorHAnsi"/>
                <w:b/>
                <w:color w:val="000000"/>
                <w:sz w:val="20"/>
                <w:szCs w:val="20"/>
                <w:lang w:val="en-US"/>
              </w:rPr>
              <w:t>7%</w:t>
            </w:r>
          </w:p>
        </w:tc>
      </w:tr>
      <w:tr w:rsidR="008D0CAD" w:rsidRPr="00F93BAE" w14:paraId="7728F88F" w14:textId="77777777" w:rsidTr="00E26D25">
        <w:trPr>
          <w:trHeight w:val="311"/>
        </w:trPr>
        <w:tc>
          <w:tcPr>
            <w:tcW w:w="1340" w:type="dxa"/>
            <w:noWrap/>
            <w:hideMark/>
          </w:tcPr>
          <w:p w14:paraId="00911C2A" w14:textId="77777777" w:rsidR="008D0CAD" w:rsidRPr="00F93BAE" w:rsidRDefault="008D0CAD" w:rsidP="005902F7">
            <w:pPr>
              <w:spacing w:before="100" w:beforeAutospacing="1" w:after="100" w:afterAutospacing="1" w:line="360" w:lineRule="auto"/>
              <w:rPr>
                <w:rFonts w:asciiTheme="majorHAnsi" w:hAnsiTheme="majorHAnsi" w:cstheme="majorHAnsi"/>
                <w:b/>
                <w:color w:val="000000"/>
                <w:sz w:val="20"/>
                <w:szCs w:val="20"/>
                <w:lang w:val="en-US"/>
              </w:rPr>
            </w:pPr>
            <w:r w:rsidRPr="00F93BAE">
              <w:rPr>
                <w:rFonts w:asciiTheme="majorHAnsi" w:hAnsiTheme="majorHAnsi" w:cstheme="majorHAnsi"/>
                <w:b/>
                <w:color w:val="000000"/>
                <w:sz w:val="20"/>
                <w:szCs w:val="20"/>
                <w:lang w:val="en-US"/>
              </w:rPr>
              <w:t>4</w:t>
            </w:r>
          </w:p>
        </w:tc>
        <w:tc>
          <w:tcPr>
            <w:tcW w:w="3925" w:type="dxa"/>
            <w:noWrap/>
            <w:hideMark/>
          </w:tcPr>
          <w:p w14:paraId="59F2172D" w14:textId="77777777" w:rsidR="008D0CAD" w:rsidRPr="00F93BAE" w:rsidRDefault="008D0CAD" w:rsidP="005902F7">
            <w:pPr>
              <w:spacing w:before="100" w:beforeAutospacing="1" w:after="100" w:afterAutospacing="1" w:line="360" w:lineRule="auto"/>
              <w:rPr>
                <w:rFonts w:asciiTheme="majorHAnsi" w:hAnsiTheme="majorHAnsi" w:cstheme="majorHAnsi"/>
                <w:b/>
                <w:color w:val="000000" w:themeColor="text1"/>
                <w:sz w:val="20"/>
                <w:szCs w:val="20"/>
                <w:lang w:val="en-US"/>
              </w:rPr>
            </w:pPr>
            <w:r w:rsidRPr="00F93BAE">
              <w:rPr>
                <w:rFonts w:asciiTheme="majorHAnsi" w:hAnsiTheme="majorHAnsi" w:cstheme="majorHAnsi"/>
                <w:b/>
                <w:color w:val="000000" w:themeColor="text1"/>
                <w:sz w:val="20"/>
                <w:szCs w:val="20"/>
                <w:lang w:val="en-US"/>
              </w:rPr>
              <w:t>PPMES, L&amp;D and CAS</w:t>
            </w:r>
          </w:p>
        </w:tc>
        <w:tc>
          <w:tcPr>
            <w:tcW w:w="1627" w:type="dxa"/>
            <w:noWrap/>
            <w:hideMark/>
          </w:tcPr>
          <w:p w14:paraId="377001BA" w14:textId="77777777" w:rsidR="008D0CAD" w:rsidRPr="00F93BAE" w:rsidRDefault="008D0CAD" w:rsidP="005902F7">
            <w:pPr>
              <w:spacing w:before="100" w:beforeAutospacing="1" w:after="100" w:afterAutospacing="1" w:line="360" w:lineRule="auto"/>
              <w:rPr>
                <w:rFonts w:asciiTheme="majorHAnsi" w:hAnsiTheme="majorHAnsi" w:cstheme="majorHAnsi"/>
                <w:b/>
                <w:color w:val="000000"/>
                <w:sz w:val="20"/>
                <w:szCs w:val="20"/>
                <w:lang w:val="en-US"/>
              </w:rPr>
            </w:pPr>
            <w:r w:rsidRPr="00F93BAE">
              <w:rPr>
                <w:rFonts w:asciiTheme="majorHAnsi" w:hAnsiTheme="majorHAnsi" w:cstheme="majorHAnsi"/>
                <w:b/>
                <w:color w:val="000000"/>
                <w:sz w:val="20"/>
                <w:szCs w:val="20"/>
                <w:lang w:val="en-US"/>
              </w:rPr>
              <w:t>4</w:t>
            </w:r>
          </w:p>
        </w:tc>
        <w:tc>
          <w:tcPr>
            <w:tcW w:w="861" w:type="dxa"/>
            <w:noWrap/>
            <w:hideMark/>
          </w:tcPr>
          <w:p w14:paraId="5EFEFC7C" w14:textId="77777777" w:rsidR="008D0CAD" w:rsidRPr="00F93BAE" w:rsidRDefault="008D0CAD" w:rsidP="005902F7">
            <w:pPr>
              <w:spacing w:before="100" w:beforeAutospacing="1" w:after="100" w:afterAutospacing="1" w:line="360" w:lineRule="auto"/>
              <w:rPr>
                <w:rFonts w:asciiTheme="majorHAnsi" w:hAnsiTheme="majorHAnsi" w:cstheme="majorHAnsi"/>
                <w:b/>
                <w:color w:val="000000"/>
                <w:sz w:val="20"/>
                <w:szCs w:val="20"/>
                <w:lang w:val="en-US"/>
              </w:rPr>
            </w:pPr>
            <w:r w:rsidRPr="00F93BAE">
              <w:rPr>
                <w:rFonts w:asciiTheme="majorHAnsi" w:hAnsiTheme="majorHAnsi" w:cstheme="majorHAnsi"/>
                <w:b/>
                <w:color w:val="000000"/>
                <w:sz w:val="20"/>
                <w:szCs w:val="20"/>
                <w:lang w:val="en-US"/>
              </w:rPr>
              <w:t>3%</w:t>
            </w:r>
          </w:p>
        </w:tc>
      </w:tr>
      <w:tr w:rsidR="008D0CAD" w:rsidRPr="00F93BAE" w14:paraId="1D058D27" w14:textId="77777777" w:rsidTr="00E26D25">
        <w:trPr>
          <w:trHeight w:val="280"/>
        </w:trPr>
        <w:tc>
          <w:tcPr>
            <w:tcW w:w="1340" w:type="dxa"/>
            <w:noWrap/>
            <w:hideMark/>
          </w:tcPr>
          <w:p w14:paraId="79D48C25"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5</w:t>
            </w:r>
          </w:p>
        </w:tc>
        <w:tc>
          <w:tcPr>
            <w:tcW w:w="3925" w:type="dxa"/>
            <w:noWrap/>
            <w:hideMark/>
          </w:tcPr>
          <w:p w14:paraId="6A114D91"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themeColor="text1"/>
                <w:sz w:val="20"/>
                <w:szCs w:val="20"/>
                <w:lang w:val="en-US"/>
              </w:rPr>
            </w:pPr>
            <w:r w:rsidRPr="00F93BAE">
              <w:rPr>
                <w:rFonts w:asciiTheme="majorHAnsi" w:hAnsiTheme="majorHAnsi" w:cstheme="majorHAnsi"/>
                <w:color w:val="000000" w:themeColor="text1"/>
                <w:sz w:val="20"/>
                <w:szCs w:val="20"/>
                <w:lang w:val="en-US"/>
              </w:rPr>
              <w:t>PPMES, CAS and GEDSI</w:t>
            </w:r>
          </w:p>
        </w:tc>
        <w:tc>
          <w:tcPr>
            <w:tcW w:w="1627" w:type="dxa"/>
            <w:noWrap/>
            <w:hideMark/>
          </w:tcPr>
          <w:p w14:paraId="34D9A3B2"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1</w:t>
            </w:r>
          </w:p>
        </w:tc>
        <w:tc>
          <w:tcPr>
            <w:tcW w:w="861" w:type="dxa"/>
            <w:noWrap/>
            <w:hideMark/>
          </w:tcPr>
          <w:p w14:paraId="1C69AC59"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1%</w:t>
            </w:r>
          </w:p>
        </w:tc>
      </w:tr>
      <w:tr w:rsidR="008D0CAD" w:rsidRPr="00F93BAE" w14:paraId="70DAE083" w14:textId="77777777" w:rsidTr="00E26D25">
        <w:trPr>
          <w:trHeight w:val="247"/>
        </w:trPr>
        <w:tc>
          <w:tcPr>
            <w:tcW w:w="1340" w:type="dxa"/>
            <w:noWrap/>
            <w:hideMark/>
          </w:tcPr>
          <w:p w14:paraId="7904DB32"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6</w:t>
            </w:r>
          </w:p>
        </w:tc>
        <w:tc>
          <w:tcPr>
            <w:tcW w:w="3925" w:type="dxa"/>
            <w:noWrap/>
            <w:hideMark/>
          </w:tcPr>
          <w:p w14:paraId="4A59F8B0"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themeColor="text1"/>
                <w:sz w:val="20"/>
                <w:szCs w:val="20"/>
                <w:lang w:val="en-US"/>
              </w:rPr>
            </w:pPr>
            <w:r w:rsidRPr="00F93BAE">
              <w:rPr>
                <w:rFonts w:asciiTheme="majorHAnsi" w:hAnsiTheme="majorHAnsi" w:cstheme="majorHAnsi"/>
                <w:color w:val="000000" w:themeColor="text1"/>
                <w:sz w:val="20"/>
                <w:szCs w:val="20"/>
                <w:lang w:val="en-US"/>
              </w:rPr>
              <w:t>L&amp;D, UISS and GEDSI</w:t>
            </w:r>
          </w:p>
        </w:tc>
        <w:tc>
          <w:tcPr>
            <w:tcW w:w="1627" w:type="dxa"/>
            <w:noWrap/>
            <w:hideMark/>
          </w:tcPr>
          <w:p w14:paraId="78A64496"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1</w:t>
            </w:r>
          </w:p>
        </w:tc>
        <w:tc>
          <w:tcPr>
            <w:tcW w:w="861" w:type="dxa"/>
            <w:noWrap/>
            <w:hideMark/>
          </w:tcPr>
          <w:p w14:paraId="1DA227BB"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1%</w:t>
            </w:r>
          </w:p>
        </w:tc>
      </w:tr>
      <w:tr w:rsidR="008D0CAD" w:rsidRPr="00F93BAE" w14:paraId="51EF8F7B" w14:textId="77777777" w:rsidTr="00E26D25">
        <w:trPr>
          <w:trHeight w:val="311"/>
        </w:trPr>
        <w:tc>
          <w:tcPr>
            <w:tcW w:w="1340" w:type="dxa"/>
            <w:noWrap/>
            <w:hideMark/>
          </w:tcPr>
          <w:p w14:paraId="17E3E88B"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7</w:t>
            </w:r>
          </w:p>
        </w:tc>
        <w:tc>
          <w:tcPr>
            <w:tcW w:w="3925" w:type="dxa"/>
            <w:noWrap/>
            <w:hideMark/>
          </w:tcPr>
          <w:p w14:paraId="1D5CE627"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themeColor="text1"/>
                <w:sz w:val="20"/>
                <w:szCs w:val="20"/>
                <w:lang w:val="en-US"/>
              </w:rPr>
            </w:pPr>
            <w:r w:rsidRPr="00F93BAE">
              <w:rPr>
                <w:rFonts w:asciiTheme="majorHAnsi" w:hAnsiTheme="majorHAnsi" w:cstheme="majorHAnsi"/>
                <w:color w:val="000000" w:themeColor="text1"/>
                <w:sz w:val="20"/>
                <w:szCs w:val="20"/>
                <w:lang w:val="en-US"/>
              </w:rPr>
              <w:t>L&amp;D, PPST and CAS</w:t>
            </w:r>
          </w:p>
        </w:tc>
        <w:tc>
          <w:tcPr>
            <w:tcW w:w="1627" w:type="dxa"/>
            <w:noWrap/>
            <w:hideMark/>
          </w:tcPr>
          <w:p w14:paraId="0FF62EDA"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1</w:t>
            </w:r>
          </w:p>
        </w:tc>
        <w:tc>
          <w:tcPr>
            <w:tcW w:w="861" w:type="dxa"/>
            <w:noWrap/>
            <w:hideMark/>
          </w:tcPr>
          <w:p w14:paraId="72701C03"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1%</w:t>
            </w:r>
          </w:p>
        </w:tc>
      </w:tr>
      <w:tr w:rsidR="008D0CAD" w:rsidRPr="00F93BAE" w14:paraId="316E0FD5" w14:textId="77777777" w:rsidTr="00E26D25">
        <w:trPr>
          <w:trHeight w:val="311"/>
        </w:trPr>
        <w:tc>
          <w:tcPr>
            <w:tcW w:w="1340" w:type="dxa"/>
            <w:noWrap/>
            <w:hideMark/>
          </w:tcPr>
          <w:p w14:paraId="6E604D34"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8</w:t>
            </w:r>
          </w:p>
        </w:tc>
        <w:tc>
          <w:tcPr>
            <w:tcW w:w="3925" w:type="dxa"/>
            <w:noWrap/>
            <w:hideMark/>
          </w:tcPr>
          <w:p w14:paraId="7F7EB6D4"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themeColor="text1"/>
                <w:sz w:val="20"/>
                <w:szCs w:val="20"/>
                <w:lang w:val="en-US"/>
              </w:rPr>
            </w:pPr>
            <w:r w:rsidRPr="00F93BAE">
              <w:rPr>
                <w:rFonts w:asciiTheme="majorHAnsi" w:hAnsiTheme="majorHAnsi" w:cstheme="majorHAnsi"/>
                <w:color w:val="000000" w:themeColor="text1"/>
                <w:sz w:val="20"/>
                <w:szCs w:val="20"/>
                <w:lang w:val="en-US"/>
              </w:rPr>
              <w:t>L&amp;D, CAS and GEDSI</w:t>
            </w:r>
          </w:p>
        </w:tc>
        <w:tc>
          <w:tcPr>
            <w:tcW w:w="1627" w:type="dxa"/>
            <w:noWrap/>
            <w:hideMark/>
          </w:tcPr>
          <w:p w14:paraId="3B38D56F"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3</w:t>
            </w:r>
          </w:p>
        </w:tc>
        <w:tc>
          <w:tcPr>
            <w:tcW w:w="861" w:type="dxa"/>
            <w:noWrap/>
            <w:hideMark/>
          </w:tcPr>
          <w:p w14:paraId="0E60C4E4"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2%</w:t>
            </w:r>
          </w:p>
        </w:tc>
      </w:tr>
      <w:tr w:rsidR="008D0CAD" w:rsidRPr="00F93BAE" w14:paraId="5F898F4D" w14:textId="77777777" w:rsidTr="00E26D25">
        <w:trPr>
          <w:trHeight w:val="293"/>
        </w:trPr>
        <w:tc>
          <w:tcPr>
            <w:tcW w:w="1340" w:type="dxa"/>
            <w:noWrap/>
            <w:hideMark/>
          </w:tcPr>
          <w:p w14:paraId="66623046"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9</w:t>
            </w:r>
          </w:p>
        </w:tc>
        <w:tc>
          <w:tcPr>
            <w:tcW w:w="3925" w:type="dxa"/>
            <w:noWrap/>
            <w:hideMark/>
          </w:tcPr>
          <w:p w14:paraId="5FE2DBB9"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themeColor="text1"/>
                <w:sz w:val="20"/>
                <w:szCs w:val="20"/>
                <w:lang w:val="en-US"/>
              </w:rPr>
            </w:pPr>
            <w:r w:rsidRPr="00F93BAE">
              <w:rPr>
                <w:rFonts w:asciiTheme="majorHAnsi" w:hAnsiTheme="majorHAnsi" w:cstheme="majorHAnsi"/>
                <w:color w:val="000000" w:themeColor="text1"/>
                <w:sz w:val="20"/>
                <w:szCs w:val="20"/>
                <w:lang w:val="en-US"/>
              </w:rPr>
              <w:t>PPMES and UISS</w:t>
            </w:r>
          </w:p>
        </w:tc>
        <w:tc>
          <w:tcPr>
            <w:tcW w:w="1627" w:type="dxa"/>
            <w:noWrap/>
            <w:hideMark/>
          </w:tcPr>
          <w:p w14:paraId="1D14306F"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1</w:t>
            </w:r>
          </w:p>
        </w:tc>
        <w:tc>
          <w:tcPr>
            <w:tcW w:w="861" w:type="dxa"/>
            <w:noWrap/>
            <w:hideMark/>
          </w:tcPr>
          <w:p w14:paraId="2A92DF34"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1%</w:t>
            </w:r>
          </w:p>
        </w:tc>
      </w:tr>
      <w:tr w:rsidR="008D0CAD" w:rsidRPr="00F93BAE" w14:paraId="30DA5DA1" w14:textId="77777777" w:rsidTr="00E26D25">
        <w:trPr>
          <w:trHeight w:val="311"/>
        </w:trPr>
        <w:tc>
          <w:tcPr>
            <w:tcW w:w="1340" w:type="dxa"/>
            <w:noWrap/>
            <w:hideMark/>
          </w:tcPr>
          <w:p w14:paraId="3B4B6CC4"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10</w:t>
            </w:r>
          </w:p>
        </w:tc>
        <w:tc>
          <w:tcPr>
            <w:tcW w:w="3925" w:type="dxa"/>
            <w:noWrap/>
            <w:hideMark/>
          </w:tcPr>
          <w:p w14:paraId="57987557"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themeColor="text1"/>
                <w:sz w:val="20"/>
                <w:szCs w:val="20"/>
                <w:lang w:val="en-US"/>
              </w:rPr>
            </w:pPr>
            <w:r w:rsidRPr="00F93BAE">
              <w:rPr>
                <w:rFonts w:asciiTheme="majorHAnsi" w:hAnsiTheme="majorHAnsi" w:cstheme="majorHAnsi"/>
                <w:color w:val="000000" w:themeColor="text1"/>
                <w:sz w:val="20"/>
                <w:szCs w:val="20"/>
                <w:lang w:val="en-US"/>
              </w:rPr>
              <w:t>PPMES and SBM</w:t>
            </w:r>
          </w:p>
        </w:tc>
        <w:tc>
          <w:tcPr>
            <w:tcW w:w="1627" w:type="dxa"/>
            <w:noWrap/>
            <w:hideMark/>
          </w:tcPr>
          <w:p w14:paraId="0EDA7827"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8</w:t>
            </w:r>
          </w:p>
        </w:tc>
        <w:tc>
          <w:tcPr>
            <w:tcW w:w="861" w:type="dxa"/>
            <w:noWrap/>
            <w:hideMark/>
          </w:tcPr>
          <w:p w14:paraId="6E403912"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6%</w:t>
            </w:r>
          </w:p>
        </w:tc>
      </w:tr>
      <w:tr w:rsidR="008D0CAD" w:rsidRPr="00F93BAE" w14:paraId="0EF43F89" w14:textId="77777777" w:rsidTr="00E26D25">
        <w:trPr>
          <w:trHeight w:val="338"/>
        </w:trPr>
        <w:tc>
          <w:tcPr>
            <w:tcW w:w="1340" w:type="dxa"/>
            <w:noWrap/>
            <w:hideMark/>
          </w:tcPr>
          <w:p w14:paraId="4446A728" w14:textId="77777777" w:rsidR="008D0CAD" w:rsidRPr="00F93BAE" w:rsidRDefault="008D0CAD" w:rsidP="005902F7">
            <w:pPr>
              <w:spacing w:before="100" w:beforeAutospacing="1" w:after="100" w:afterAutospacing="1" w:line="360" w:lineRule="auto"/>
              <w:rPr>
                <w:rFonts w:asciiTheme="majorHAnsi" w:hAnsiTheme="majorHAnsi" w:cstheme="majorHAnsi"/>
                <w:b/>
                <w:color w:val="000000"/>
                <w:sz w:val="20"/>
                <w:szCs w:val="20"/>
                <w:lang w:val="en-US"/>
              </w:rPr>
            </w:pPr>
            <w:r w:rsidRPr="00F93BAE">
              <w:rPr>
                <w:rFonts w:asciiTheme="majorHAnsi" w:hAnsiTheme="majorHAnsi" w:cstheme="majorHAnsi"/>
                <w:b/>
                <w:color w:val="000000"/>
                <w:sz w:val="20"/>
                <w:szCs w:val="20"/>
                <w:lang w:val="en-US"/>
              </w:rPr>
              <w:t>11</w:t>
            </w:r>
          </w:p>
        </w:tc>
        <w:tc>
          <w:tcPr>
            <w:tcW w:w="3925" w:type="dxa"/>
            <w:noWrap/>
            <w:hideMark/>
          </w:tcPr>
          <w:p w14:paraId="65876FD0" w14:textId="77777777" w:rsidR="008D0CAD" w:rsidRPr="00F93BAE" w:rsidRDefault="008D0CAD" w:rsidP="005902F7">
            <w:pPr>
              <w:spacing w:before="100" w:beforeAutospacing="1" w:after="100" w:afterAutospacing="1" w:line="360" w:lineRule="auto"/>
              <w:rPr>
                <w:rFonts w:asciiTheme="majorHAnsi" w:hAnsiTheme="majorHAnsi" w:cstheme="majorHAnsi"/>
                <w:b/>
                <w:color w:val="000000" w:themeColor="text1"/>
                <w:sz w:val="20"/>
                <w:szCs w:val="20"/>
                <w:lang w:val="en-US"/>
              </w:rPr>
            </w:pPr>
            <w:r w:rsidRPr="00F93BAE">
              <w:rPr>
                <w:rFonts w:asciiTheme="majorHAnsi" w:hAnsiTheme="majorHAnsi" w:cstheme="majorHAnsi"/>
                <w:b/>
                <w:color w:val="000000" w:themeColor="text1"/>
                <w:sz w:val="20"/>
                <w:szCs w:val="20"/>
                <w:lang w:val="en-US"/>
              </w:rPr>
              <w:t>PPMES and L&amp;D</w:t>
            </w:r>
          </w:p>
        </w:tc>
        <w:tc>
          <w:tcPr>
            <w:tcW w:w="1627" w:type="dxa"/>
            <w:noWrap/>
            <w:hideMark/>
          </w:tcPr>
          <w:p w14:paraId="17D966F1" w14:textId="77777777" w:rsidR="008D0CAD" w:rsidRPr="00F93BAE" w:rsidRDefault="008D0CAD" w:rsidP="005902F7">
            <w:pPr>
              <w:spacing w:before="100" w:beforeAutospacing="1" w:after="100" w:afterAutospacing="1" w:line="360" w:lineRule="auto"/>
              <w:rPr>
                <w:rFonts w:asciiTheme="majorHAnsi" w:hAnsiTheme="majorHAnsi" w:cstheme="majorHAnsi"/>
                <w:b/>
                <w:color w:val="000000"/>
                <w:sz w:val="20"/>
                <w:szCs w:val="20"/>
                <w:lang w:val="en-US"/>
              </w:rPr>
            </w:pPr>
            <w:r w:rsidRPr="00F93BAE">
              <w:rPr>
                <w:rFonts w:asciiTheme="majorHAnsi" w:hAnsiTheme="majorHAnsi" w:cstheme="majorHAnsi"/>
                <w:b/>
                <w:color w:val="000000"/>
                <w:sz w:val="20"/>
                <w:szCs w:val="20"/>
                <w:lang w:val="en-US"/>
              </w:rPr>
              <w:t>46</w:t>
            </w:r>
          </w:p>
        </w:tc>
        <w:tc>
          <w:tcPr>
            <w:tcW w:w="861" w:type="dxa"/>
            <w:noWrap/>
            <w:hideMark/>
          </w:tcPr>
          <w:p w14:paraId="0A4EE001" w14:textId="77777777" w:rsidR="008D0CAD" w:rsidRPr="00F93BAE" w:rsidRDefault="008D0CAD" w:rsidP="005902F7">
            <w:pPr>
              <w:spacing w:before="100" w:beforeAutospacing="1" w:after="100" w:afterAutospacing="1" w:line="360" w:lineRule="auto"/>
              <w:rPr>
                <w:rFonts w:asciiTheme="majorHAnsi" w:hAnsiTheme="majorHAnsi" w:cstheme="majorHAnsi"/>
                <w:b/>
                <w:color w:val="000000"/>
                <w:sz w:val="20"/>
                <w:szCs w:val="20"/>
                <w:lang w:val="en-US"/>
              </w:rPr>
            </w:pPr>
            <w:r w:rsidRPr="00F93BAE">
              <w:rPr>
                <w:rFonts w:asciiTheme="majorHAnsi" w:hAnsiTheme="majorHAnsi" w:cstheme="majorHAnsi"/>
                <w:b/>
                <w:color w:val="000000"/>
                <w:sz w:val="20"/>
                <w:szCs w:val="20"/>
                <w:lang w:val="en-US"/>
              </w:rPr>
              <w:t>35%</w:t>
            </w:r>
          </w:p>
        </w:tc>
      </w:tr>
      <w:tr w:rsidR="008D0CAD" w:rsidRPr="00F93BAE" w14:paraId="756D41EF" w14:textId="77777777" w:rsidTr="00E26D25">
        <w:trPr>
          <w:trHeight w:val="293"/>
        </w:trPr>
        <w:tc>
          <w:tcPr>
            <w:tcW w:w="1340" w:type="dxa"/>
            <w:noWrap/>
            <w:hideMark/>
          </w:tcPr>
          <w:p w14:paraId="4B3634F3"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12</w:t>
            </w:r>
          </w:p>
        </w:tc>
        <w:tc>
          <w:tcPr>
            <w:tcW w:w="3925" w:type="dxa"/>
            <w:noWrap/>
            <w:hideMark/>
          </w:tcPr>
          <w:p w14:paraId="799A215F"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themeColor="text1"/>
                <w:sz w:val="20"/>
                <w:szCs w:val="20"/>
                <w:lang w:val="en-US"/>
              </w:rPr>
            </w:pPr>
            <w:r w:rsidRPr="00F93BAE">
              <w:rPr>
                <w:rFonts w:asciiTheme="majorHAnsi" w:hAnsiTheme="majorHAnsi" w:cstheme="majorHAnsi"/>
                <w:color w:val="000000" w:themeColor="text1"/>
                <w:sz w:val="20"/>
                <w:szCs w:val="20"/>
                <w:lang w:val="en-US"/>
              </w:rPr>
              <w:t>PPMES and GEDSI</w:t>
            </w:r>
          </w:p>
        </w:tc>
        <w:tc>
          <w:tcPr>
            <w:tcW w:w="1627" w:type="dxa"/>
            <w:noWrap/>
            <w:hideMark/>
          </w:tcPr>
          <w:p w14:paraId="28FF2436"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2</w:t>
            </w:r>
          </w:p>
        </w:tc>
        <w:tc>
          <w:tcPr>
            <w:tcW w:w="861" w:type="dxa"/>
            <w:noWrap/>
            <w:hideMark/>
          </w:tcPr>
          <w:p w14:paraId="5F1CF844"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2%</w:t>
            </w:r>
          </w:p>
        </w:tc>
      </w:tr>
      <w:tr w:rsidR="008D0CAD" w:rsidRPr="00F93BAE" w14:paraId="6F2F3F94" w14:textId="77777777" w:rsidTr="00E26D25">
        <w:trPr>
          <w:trHeight w:val="293"/>
        </w:trPr>
        <w:tc>
          <w:tcPr>
            <w:tcW w:w="1340" w:type="dxa"/>
            <w:noWrap/>
            <w:hideMark/>
          </w:tcPr>
          <w:p w14:paraId="7B8769FA"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13</w:t>
            </w:r>
          </w:p>
        </w:tc>
        <w:tc>
          <w:tcPr>
            <w:tcW w:w="3925" w:type="dxa"/>
            <w:noWrap/>
            <w:hideMark/>
          </w:tcPr>
          <w:p w14:paraId="14F99B47"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themeColor="text1"/>
                <w:sz w:val="20"/>
                <w:szCs w:val="20"/>
                <w:lang w:val="en-US"/>
              </w:rPr>
            </w:pPr>
            <w:r w:rsidRPr="00F93BAE">
              <w:rPr>
                <w:rFonts w:asciiTheme="majorHAnsi" w:hAnsiTheme="majorHAnsi" w:cstheme="majorHAnsi"/>
                <w:color w:val="000000" w:themeColor="text1"/>
                <w:sz w:val="20"/>
                <w:szCs w:val="20"/>
                <w:lang w:val="en-US"/>
              </w:rPr>
              <w:t>PPMES and CC</w:t>
            </w:r>
          </w:p>
        </w:tc>
        <w:tc>
          <w:tcPr>
            <w:tcW w:w="1627" w:type="dxa"/>
            <w:noWrap/>
            <w:hideMark/>
          </w:tcPr>
          <w:p w14:paraId="46C6A538"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2</w:t>
            </w:r>
          </w:p>
        </w:tc>
        <w:tc>
          <w:tcPr>
            <w:tcW w:w="861" w:type="dxa"/>
            <w:noWrap/>
            <w:hideMark/>
          </w:tcPr>
          <w:p w14:paraId="4DBD388C"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2%</w:t>
            </w:r>
          </w:p>
        </w:tc>
      </w:tr>
      <w:tr w:rsidR="008D0CAD" w:rsidRPr="00F93BAE" w14:paraId="143ABFD9" w14:textId="77777777" w:rsidTr="00E26D25">
        <w:trPr>
          <w:trHeight w:val="263"/>
        </w:trPr>
        <w:tc>
          <w:tcPr>
            <w:tcW w:w="1340" w:type="dxa"/>
            <w:noWrap/>
            <w:hideMark/>
          </w:tcPr>
          <w:p w14:paraId="02A7001D" w14:textId="77777777" w:rsidR="008D0CAD" w:rsidRPr="00F93BAE" w:rsidRDefault="008D0CAD" w:rsidP="005902F7">
            <w:pPr>
              <w:spacing w:before="100" w:beforeAutospacing="1" w:after="100" w:afterAutospacing="1" w:line="360" w:lineRule="auto"/>
              <w:rPr>
                <w:rFonts w:asciiTheme="majorHAnsi" w:hAnsiTheme="majorHAnsi" w:cstheme="majorHAnsi"/>
                <w:b/>
                <w:color w:val="000000"/>
                <w:sz w:val="20"/>
                <w:szCs w:val="20"/>
                <w:lang w:val="en-US"/>
              </w:rPr>
            </w:pPr>
            <w:r w:rsidRPr="00F93BAE">
              <w:rPr>
                <w:rFonts w:asciiTheme="majorHAnsi" w:hAnsiTheme="majorHAnsi" w:cstheme="majorHAnsi"/>
                <w:b/>
                <w:color w:val="000000"/>
                <w:sz w:val="20"/>
                <w:szCs w:val="20"/>
                <w:lang w:val="en-US"/>
              </w:rPr>
              <w:t>14</w:t>
            </w:r>
          </w:p>
        </w:tc>
        <w:tc>
          <w:tcPr>
            <w:tcW w:w="3925" w:type="dxa"/>
            <w:noWrap/>
            <w:hideMark/>
          </w:tcPr>
          <w:p w14:paraId="5BBC0903" w14:textId="77777777" w:rsidR="008D0CAD" w:rsidRPr="00F93BAE" w:rsidRDefault="008D0CAD" w:rsidP="005902F7">
            <w:pPr>
              <w:spacing w:before="100" w:beforeAutospacing="1" w:after="100" w:afterAutospacing="1" w:line="360" w:lineRule="auto"/>
              <w:rPr>
                <w:rFonts w:asciiTheme="majorHAnsi" w:hAnsiTheme="majorHAnsi" w:cstheme="majorHAnsi"/>
                <w:b/>
                <w:color w:val="000000" w:themeColor="text1"/>
                <w:sz w:val="20"/>
                <w:szCs w:val="20"/>
                <w:lang w:val="en-US"/>
              </w:rPr>
            </w:pPr>
            <w:r w:rsidRPr="00F93BAE">
              <w:rPr>
                <w:rFonts w:asciiTheme="majorHAnsi" w:hAnsiTheme="majorHAnsi" w:cstheme="majorHAnsi"/>
                <w:b/>
                <w:color w:val="000000" w:themeColor="text1"/>
                <w:sz w:val="20"/>
                <w:szCs w:val="20"/>
                <w:lang w:val="en-US"/>
              </w:rPr>
              <w:t>PPMES and CAS</w:t>
            </w:r>
          </w:p>
        </w:tc>
        <w:tc>
          <w:tcPr>
            <w:tcW w:w="1627" w:type="dxa"/>
            <w:noWrap/>
            <w:hideMark/>
          </w:tcPr>
          <w:p w14:paraId="57B2A5F0" w14:textId="77777777" w:rsidR="008D0CAD" w:rsidRPr="00F93BAE" w:rsidRDefault="008D0CAD" w:rsidP="005902F7">
            <w:pPr>
              <w:spacing w:before="100" w:beforeAutospacing="1" w:after="100" w:afterAutospacing="1" w:line="360" w:lineRule="auto"/>
              <w:rPr>
                <w:rFonts w:asciiTheme="majorHAnsi" w:hAnsiTheme="majorHAnsi" w:cstheme="majorHAnsi"/>
                <w:b/>
                <w:color w:val="000000"/>
                <w:sz w:val="20"/>
                <w:szCs w:val="20"/>
                <w:lang w:val="en-US"/>
              </w:rPr>
            </w:pPr>
            <w:r w:rsidRPr="00F93BAE">
              <w:rPr>
                <w:rFonts w:asciiTheme="majorHAnsi" w:hAnsiTheme="majorHAnsi" w:cstheme="majorHAnsi"/>
                <w:b/>
                <w:color w:val="000000"/>
                <w:sz w:val="20"/>
                <w:szCs w:val="20"/>
                <w:lang w:val="en-US"/>
              </w:rPr>
              <w:t>17</w:t>
            </w:r>
          </w:p>
        </w:tc>
        <w:tc>
          <w:tcPr>
            <w:tcW w:w="861" w:type="dxa"/>
            <w:noWrap/>
            <w:hideMark/>
          </w:tcPr>
          <w:p w14:paraId="7B94BD9A" w14:textId="77777777" w:rsidR="008D0CAD" w:rsidRPr="00F93BAE" w:rsidRDefault="008D0CAD" w:rsidP="005902F7">
            <w:pPr>
              <w:spacing w:before="100" w:beforeAutospacing="1" w:after="100" w:afterAutospacing="1" w:line="360" w:lineRule="auto"/>
              <w:rPr>
                <w:rFonts w:asciiTheme="majorHAnsi" w:hAnsiTheme="majorHAnsi" w:cstheme="majorHAnsi"/>
                <w:b/>
                <w:color w:val="000000"/>
                <w:sz w:val="20"/>
                <w:szCs w:val="20"/>
                <w:lang w:val="en-US"/>
              </w:rPr>
            </w:pPr>
            <w:r w:rsidRPr="00F93BAE">
              <w:rPr>
                <w:rFonts w:asciiTheme="majorHAnsi" w:hAnsiTheme="majorHAnsi" w:cstheme="majorHAnsi"/>
                <w:b/>
                <w:color w:val="000000"/>
                <w:sz w:val="20"/>
                <w:szCs w:val="20"/>
                <w:lang w:val="en-US"/>
              </w:rPr>
              <w:t>13%</w:t>
            </w:r>
          </w:p>
        </w:tc>
      </w:tr>
      <w:tr w:rsidR="008D0CAD" w:rsidRPr="00F93BAE" w14:paraId="257E190F" w14:textId="77777777" w:rsidTr="00E26D25">
        <w:trPr>
          <w:trHeight w:val="288"/>
        </w:trPr>
        <w:tc>
          <w:tcPr>
            <w:tcW w:w="1340" w:type="dxa"/>
            <w:noWrap/>
            <w:hideMark/>
          </w:tcPr>
          <w:p w14:paraId="2CDEA7E6" w14:textId="77777777" w:rsidR="008D0CAD" w:rsidRPr="00F93BAE" w:rsidRDefault="008D0CAD" w:rsidP="005902F7">
            <w:pPr>
              <w:spacing w:before="100" w:beforeAutospacing="1" w:after="100" w:afterAutospacing="1" w:line="360" w:lineRule="auto"/>
              <w:rPr>
                <w:rFonts w:asciiTheme="majorHAnsi" w:hAnsiTheme="majorHAnsi" w:cstheme="majorHAnsi"/>
                <w:b/>
                <w:color w:val="000000"/>
                <w:sz w:val="20"/>
                <w:szCs w:val="20"/>
                <w:lang w:val="en-US"/>
              </w:rPr>
            </w:pPr>
            <w:r w:rsidRPr="00F93BAE">
              <w:rPr>
                <w:rFonts w:asciiTheme="majorHAnsi" w:hAnsiTheme="majorHAnsi" w:cstheme="majorHAnsi"/>
                <w:b/>
                <w:color w:val="000000"/>
                <w:sz w:val="20"/>
                <w:szCs w:val="20"/>
                <w:lang w:val="en-US"/>
              </w:rPr>
              <w:t>15</w:t>
            </w:r>
          </w:p>
        </w:tc>
        <w:tc>
          <w:tcPr>
            <w:tcW w:w="3925" w:type="dxa"/>
            <w:noWrap/>
            <w:hideMark/>
          </w:tcPr>
          <w:p w14:paraId="74DBE1A4" w14:textId="77777777" w:rsidR="008D0CAD" w:rsidRPr="00F93BAE" w:rsidRDefault="008D0CAD" w:rsidP="005902F7">
            <w:pPr>
              <w:spacing w:before="100" w:beforeAutospacing="1" w:after="100" w:afterAutospacing="1" w:line="360" w:lineRule="auto"/>
              <w:rPr>
                <w:rFonts w:asciiTheme="majorHAnsi" w:hAnsiTheme="majorHAnsi" w:cstheme="majorHAnsi"/>
                <w:b/>
                <w:color w:val="000000" w:themeColor="text1"/>
                <w:sz w:val="20"/>
                <w:szCs w:val="20"/>
                <w:lang w:val="en-US"/>
              </w:rPr>
            </w:pPr>
            <w:r w:rsidRPr="00F93BAE">
              <w:rPr>
                <w:rFonts w:asciiTheme="majorHAnsi" w:hAnsiTheme="majorHAnsi" w:cstheme="majorHAnsi"/>
                <w:b/>
                <w:color w:val="000000" w:themeColor="text1"/>
                <w:sz w:val="20"/>
                <w:szCs w:val="20"/>
                <w:lang w:val="en-US"/>
              </w:rPr>
              <w:t>L&amp;D and GEDSI</w:t>
            </w:r>
          </w:p>
        </w:tc>
        <w:tc>
          <w:tcPr>
            <w:tcW w:w="1627" w:type="dxa"/>
            <w:noWrap/>
            <w:hideMark/>
          </w:tcPr>
          <w:p w14:paraId="326C4E89" w14:textId="77777777" w:rsidR="008D0CAD" w:rsidRPr="00F93BAE" w:rsidRDefault="008D0CAD" w:rsidP="005902F7">
            <w:pPr>
              <w:spacing w:before="100" w:beforeAutospacing="1" w:after="100" w:afterAutospacing="1" w:line="360" w:lineRule="auto"/>
              <w:rPr>
                <w:rFonts w:asciiTheme="majorHAnsi" w:hAnsiTheme="majorHAnsi" w:cstheme="majorHAnsi"/>
                <w:b/>
                <w:color w:val="000000"/>
                <w:sz w:val="20"/>
                <w:szCs w:val="20"/>
                <w:lang w:val="en-US"/>
              </w:rPr>
            </w:pPr>
            <w:r w:rsidRPr="00F93BAE">
              <w:rPr>
                <w:rFonts w:asciiTheme="majorHAnsi" w:hAnsiTheme="majorHAnsi" w:cstheme="majorHAnsi"/>
                <w:b/>
                <w:color w:val="000000"/>
                <w:sz w:val="20"/>
                <w:szCs w:val="20"/>
                <w:lang w:val="en-US"/>
              </w:rPr>
              <w:t>27</w:t>
            </w:r>
          </w:p>
        </w:tc>
        <w:tc>
          <w:tcPr>
            <w:tcW w:w="861" w:type="dxa"/>
            <w:noWrap/>
            <w:hideMark/>
          </w:tcPr>
          <w:p w14:paraId="000D9E49" w14:textId="77777777" w:rsidR="008D0CAD" w:rsidRPr="00F93BAE" w:rsidRDefault="008D0CAD" w:rsidP="005902F7">
            <w:pPr>
              <w:spacing w:before="100" w:beforeAutospacing="1" w:after="100" w:afterAutospacing="1" w:line="360" w:lineRule="auto"/>
              <w:rPr>
                <w:rFonts w:asciiTheme="majorHAnsi" w:hAnsiTheme="majorHAnsi" w:cstheme="majorHAnsi"/>
                <w:b/>
                <w:color w:val="000000"/>
                <w:sz w:val="20"/>
                <w:szCs w:val="20"/>
                <w:lang w:val="en-US"/>
              </w:rPr>
            </w:pPr>
            <w:r w:rsidRPr="00F93BAE">
              <w:rPr>
                <w:rFonts w:asciiTheme="majorHAnsi" w:hAnsiTheme="majorHAnsi" w:cstheme="majorHAnsi"/>
                <w:b/>
                <w:color w:val="000000"/>
                <w:sz w:val="20"/>
                <w:szCs w:val="20"/>
                <w:lang w:val="en-US"/>
              </w:rPr>
              <w:t>20%</w:t>
            </w:r>
          </w:p>
        </w:tc>
      </w:tr>
      <w:tr w:rsidR="008D0CAD" w:rsidRPr="00F93BAE" w14:paraId="5D40072D" w14:textId="77777777" w:rsidTr="00E26D25">
        <w:trPr>
          <w:trHeight w:val="280"/>
        </w:trPr>
        <w:tc>
          <w:tcPr>
            <w:tcW w:w="1340" w:type="dxa"/>
            <w:noWrap/>
            <w:hideMark/>
          </w:tcPr>
          <w:p w14:paraId="71941350"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16</w:t>
            </w:r>
          </w:p>
        </w:tc>
        <w:tc>
          <w:tcPr>
            <w:tcW w:w="3925" w:type="dxa"/>
            <w:noWrap/>
            <w:hideMark/>
          </w:tcPr>
          <w:p w14:paraId="58B5DABF"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themeColor="text1"/>
                <w:sz w:val="20"/>
                <w:szCs w:val="20"/>
                <w:lang w:val="en-US"/>
              </w:rPr>
            </w:pPr>
            <w:r w:rsidRPr="00F93BAE">
              <w:rPr>
                <w:rFonts w:asciiTheme="majorHAnsi" w:hAnsiTheme="majorHAnsi" w:cstheme="majorHAnsi"/>
                <w:color w:val="000000" w:themeColor="text1"/>
                <w:sz w:val="20"/>
                <w:szCs w:val="20"/>
                <w:lang w:val="en-US"/>
              </w:rPr>
              <w:t>L&amp;D and CAS</w:t>
            </w:r>
          </w:p>
        </w:tc>
        <w:tc>
          <w:tcPr>
            <w:tcW w:w="1627" w:type="dxa"/>
            <w:noWrap/>
            <w:hideMark/>
          </w:tcPr>
          <w:p w14:paraId="5395C6CC"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4</w:t>
            </w:r>
          </w:p>
        </w:tc>
        <w:tc>
          <w:tcPr>
            <w:tcW w:w="861" w:type="dxa"/>
            <w:noWrap/>
            <w:hideMark/>
          </w:tcPr>
          <w:p w14:paraId="33F87227"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3%</w:t>
            </w:r>
          </w:p>
        </w:tc>
      </w:tr>
      <w:tr w:rsidR="008D0CAD" w:rsidRPr="00F93BAE" w14:paraId="20DD1CC2" w14:textId="77777777" w:rsidTr="00E26D25">
        <w:trPr>
          <w:trHeight w:val="293"/>
        </w:trPr>
        <w:tc>
          <w:tcPr>
            <w:tcW w:w="1340" w:type="dxa"/>
            <w:noWrap/>
            <w:hideMark/>
          </w:tcPr>
          <w:p w14:paraId="7C602E59"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17</w:t>
            </w:r>
          </w:p>
        </w:tc>
        <w:tc>
          <w:tcPr>
            <w:tcW w:w="3925" w:type="dxa"/>
            <w:noWrap/>
            <w:hideMark/>
          </w:tcPr>
          <w:p w14:paraId="10DF06D8"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themeColor="text1"/>
                <w:sz w:val="20"/>
                <w:szCs w:val="20"/>
                <w:lang w:val="en-US"/>
              </w:rPr>
            </w:pPr>
            <w:r w:rsidRPr="00F93BAE">
              <w:rPr>
                <w:rFonts w:asciiTheme="majorHAnsi" w:hAnsiTheme="majorHAnsi" w:cstheme="majorHAnsi"/>
                <w:color w:val="000000" w:themeColor="text1"/>
                <w:sz w:val="20"/>
                <w:szCs w:val="20"/>
                <w:lang w:val="en-US"/>
              </w:rPr>
              <w:t>CC and GEDSI</w:t>
            </w:r>
          </w:p>
        </w:tc>
        <w:tc>
          <w:tcPr>
            <w:tcW w:w="1627" w:type="dxa"/>
            <w:noWrap/>
            <w:hideMark/>
          </w:tcPr>
          <w:p w14:paraId="57163F58"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1</w:t>
            </w:r>
          </w:p>
        </w:tc>
        <w:tc>
          <w:tcPr>
            <w:tcW w:w="861" w:type="dxa"/>
            <w:noWrap/>
            <w:hideMark/>
          </w:tcPr>
          <w:p w14:paraId="0B88F9A0"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1%</w:t>
            </w:r>
          </w:p>
        </w:tc>
      </w:tr>
      <w:tr w:rsidR="008D0CAD" w:rsidRPr="00F93BAE" w14:paraId="3F01B2F3" w14:textId="77777777" w:rsidTr="00E26D25">
        <w:trPr>
          <w:trHeight w:val="293"/>
        </w:trPr>
        <w:tc>
          <w:tcPr>
            <w:tcW w:w="1340" w:type="dxa"/>
            <w:noWrap/>
            <w:hideMark/>
          </w:tcPr>
          <w:p w14:paraId="5DA509B4"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18</w:t>
            </w:r>
          </w:p>
        </w:tc>
        <w:tc>
          <w:tcPr>
            <w:tcW w:w="3925" w:type="dxa"/>
            <w:noWrap/>
            <w:hideMark/>
          </w:tcPr>
          <w:p w14:paraId="1F722652"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themeColor="text1"/>
                <w:sz w:val="20"/>
                <w:szCs w:val="20"/>
                <w:lang w:val="en-US"/>
              </w:rPr>
            </w:pPr>
            <w:r w:rsidRPr="00F93BAE">
              <w:rPr>
                <w:rFonts w:asciiTheme="majorHAnsi" w:hAnsiTheme="majorHAnsi" w:cstheme="majorHAnsi"/>
                <w:color w:val="000000" w:themeColor="text1"/>
                <w:sz w:val="20"/>
                <w:szCs w:val="20"/>
                <w:lang w:val="en-US"/>
              </w:rPr>
              <w:t>CC and CAS</w:t>
            </w:r>
          </w:p>
        </w:tc>
        <w:tc>
          <w:tcPr>
            <w:tcW w:w="1627" w:type="dxa"/>
            <w:noWrap/>
            <w:hideMark/>
          </w:tcPr>
          <w:p w14:paraId="7934C8CA"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1</w:t>
            </w:r>
          </w:p>
        </w:tc>
        <w:tc>
          <w:tcPr>
            <w:tcW w:w="861" w:type="dxa"/>
            <w:noWrap/>
            <w:hideMark/>
          </w:tcPr>
          <w:p w14:paraId="7907E5A4"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1%</w:t>
            </w:r>
          </w:p>
        </w:tc>
      </w:tr>
      <w:tr w:rsidR="008D0CAD" w:rsidRPr="00F93BAE" w14:paraId="3E00A5CC" w14:textId="77777777" w:rsidTr="00E26D25">
        <w:trPr>
          <w:trHeight w:val="59"/>
        </w:trPr>
        <w:tc>
          <w:tcPr>
            <w:tcW w:w="1340" w:type="dxa"/>
            <w:noWrap/>
            <w:hideMark/>
          </w:tcPr>
          <w:p w14:paraId="3F3ADD2F"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19</w:t>
            </w:r>
          </w:p>
        </w:tc>
        <w:tc>
          <w:tcPr>
            <w:tcW w:w="3925" w:type="dxa"/>
            <w:noWrap/>
            <w:hideMark/>
          </w:tcPr>
          <w:p w14:paraId="504423CC"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themeColor="text1"/>
                <w:sz w:val="20"/>
                <w:szCs w:val="20"/>
                <w:lang w:val="en-US"/>
              </w:rPr>
            </w:pPr>
            <w:r w:rsidRPr="00F93BAE">
              <w:rPr>
                <w:rFonts w:asciiTheme="majorHAnsi" w:hAnsiTheme="majorHAnsi" w:cstheme="majorHAnsi"/>
                <w:color w:val="000000" w:themeColor="text1"/>
                <w:sz w:val="20"/>
                <w:szCs w:val="20"/>
                <w:lang w:val="en-US"/>
              </w:rPr>
              <w:t>CAS and GEDSI</w:t>
            </w:r>
          </w:p>
        </w:tc>
        <w:tc>
          <w:tcPr>
            <w:tcW w:w="1627" w:type="dxa"/>
            <w:noWrap/>
            <w:hideMark/>
          </w:tcPr>
          <w:p w14:paraId="611E2D23"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2</w:t>
            </w:r>
          </w:p>
        </w:tc>
        <w:tc>
          <w:tcPr>
            <w:tcW w:w="861" w:type="dxa"/>
            <w:noWrap/>
            <w:hideMark/>
          </w:tcPr>
          <w:p w14:paraId="5DB6845C"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2%</w:t>
            </w:r>
          </w:p>
        </w:tc>
      </w:tr>
      <w:tr w:rsidR="008D0CAD" w:rsidRPr="00F93BAE" w14:paraId="6305E5E1" w14:textId="77777777" w:rsidTr="00E26D25">
        <w:trPr>
          <w:trHeight w:val="293"/>
        </w:trPr>
        <w:tc>
          <w:tcPr>
            <w:tcW w:w="1340" w:type="dxa"/>
            <w:noWrap/>
            <w:hideMark/>
          </w:tcPr>
          <w:p w14:paraId="39E55DEC"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 </w:t>
            </w:r>
          </w:p>
        </w:tc>
        <w:tc>
          <w:tcPr>
            <w:tcW w:w="3925" w:type="dxa"/>
            <w:noWrap/>
            <w:hideMark/>
          </w:tcPr>
          <w:p w14:paraId="2F510645"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 </w:t>
            </w:r>
          </w:p>
        </w:tc>
        <w:tc>
          <w:tcPr>
            <w:tcW w:w="1627" w:type="dxa"/>
            <w:noWrap/>
            <w:hideMark/>
          </w:tcPr>
          <w:p w14:paraId="526A4F3F" w14:textId="77777777" w:rsidR="008D0CAD" w:rsidRPr="00F93BAE" w:rsidRDefault="008D0CAD" w:rsidP="005902F7">
            <w:pPr>
              <w:spacing w:before="100" w:beforeAutospacing="1" w:after="100" w:afterAutospacing="1" w:line="360" w:lineRule="auto"/>
              <w:rPr>
                <w:rFonts w:asciiTheme="majorHAnsi" w:hAnsiTheme="majorHAnsi" w:cstheme="majorHAnsi"/>
                <w:b/>
                <w:bCs/>
                <w:color w:val="000000"/>
                <w:sz w:val="20"/>
                <w:szCs w:val="20"/>
                <w:lang w:val="en-US"/>
              </w:rPr>
            </w:pPr>
            <w:r w:rsidRPr="00F93BAE">
              <w:rPr>
                <w:rFonts w:asciiTheme="majorHAnsi" w:hAnsiTheme="majorHAnsi" w:cstheme="majorHAnsi"/>
                <w:b/>
                <w:bCs/>
                <w:color w:val="000000"/>
                <w:sz w:val="20"/>
                <w:szCs w:val="20"/>
                <w:lang w:val="en-US"/>
              </w:rPr>
              <w:t>132</w:t>
            </w:r>
          </w:p>
        </w:tc>
        <w:tc>
          <w:tcPr>
            <w:tcW w:w="861" w:type="dxa"/>
            <w:noWrap/>
            <w:hideMark/>
          </w:tcPr>
          <w:p w14:paraId="536EF6FB" w14:textId="77777777" w:rsidR="008D0CAD" w:rsidRPr="00F93BAE" w:rsidRDefault="008D0CAD" w:rsidP="005902F7">
            <w:pPr>
              <w:spacing w:before="100" w:beforeAutospacing="1" w:after="100" w:afterAutospacing="1" w:line="360" w:lineRule="auto"/>
              <w:rPr>
                <w:rFonts w:asciiTheme="majorHAnsi" w:hAnsiTheme="majorHAnsi" w:cstheme="majorHAnsi"/>
                <w:b/>
                <w:bCs/>
                <w:color w:val="000000"/>
                <w:sz w:val="20"/>
                <w:szCs w:val="20"/>
                <w:lang w:val="en-US"/>
              </w:rPr>
            </w:pPr>
            <w:r w:rsidRPr="00F93BAE">
              <w:rPr>
                <w:rFonts w:asciiTheme="majorHAnsi" w:hAnsiTheme="majorHAnsi" w:cstheme="majorHAnsi"/>
                <w:b/>
                <w:bCs/>
                <w:color w:val="000000"/>
                <w:sz w:val="20"/>
                <w:szCs w:val="20"/>
                <w:lang w:val="en-US"/>
              </w:rPr>
              <w:t>100%</w:t>
            </w:r>
          </w:p>
        </w:tc>
      </w:tr>
    </w:tbl>
    <w:p w14:paraId="5D0B4DFC" w14:textId="77777777" w:rsidR="008D0CAD" w:rsidRPr="00F93BAE" w:rsidRDefault="008D0CAD" w:rsidP="005902F7">
      <w:pPr>
        <w:spacing w:before="100" w:beforeAutospacing="1" w:after="100" w:afterAutospacing="1" w:line="360" w:lineRule="auto"/>
        <w:rPr>
          <w:rFonts w:asciiTheme="majorHAnsi" w:hAnsiTheme="majorHAnsi" w:cstheme="majorHAnsi"/>
          <w:b/>
          <w:bCs/>
          <w:color w:val="000000"/>
          <w:lang w:val="en-US"/>
        </w:rPr>
      </w:pPr>
      <w:r w:rsidRPr="00F93BAE">
        <w:rPr>
          <w:rFonts w:asciiTheme="majorHAnsi" w:hAnsiTheme="majorHAnsi" w:cstheme="majorHAnsi"/>
          <w:b/>
          <w:bCs/>
          <w:color w:val="000000"/>
          <w:lang w:val="en-US"/>
        </w:rPr>
        <w:t>Table 2. Distribution of Case Study Schools by Region and Division</w:t>
      </w:r>
    </w:p>
    <w:tbl>
      <w:tblPr>
        <w:tblStyle w:val="TableGrid11"/>
        <w:tblW w:w="7654" w:type="dxa"/>
        <w:tblLook w:val="04A0" w:firstRow="1" w:lastRow="0" w:firstColumn="1" w:lastColumn="0" w:noHBand="0" w:noVBand="1"/>
      </w:tblPr>
      <w:tblGrid>
        <w:gridCol w:w="1770"/>
        <w:gridCol w:w="3844"/>
        <w:gridCol w:w="2040"/>
      </w:tblGrid>
      <w:tr w:rsidR="008D0CAD" w:rsidRPr="00F93BAE" w14:paraId="3C6D38FE" w14:textId="77777777" w:rsidTr="00F4751F">
        <w:trPr>
          <w:trHeight w:val="289"/>
          <w:tblHeader/>
        </w:trPr>
        <w:tc>
          <w:tcPr>
            <w:tcW w:w="1770" w:type="dxa"/>
            <w:noWrap/>
            <w:hideMark/>
          </w:tcPr>
          <w:p w14:paraId="15BB927E" w14:textId="77777777" w:rsidR="008D0CAD" w:rsidRPr="00F93BAE" w:rsidRDefault="008D0CAD" w:rsidP="005902F7">
            <w:pPr>
              <w:spacing w:before="100" w:beforeAutospacing="1" w:after="100" w:afterAutospacing="1" w:line="360" w:lineRule="auto"/>
              <w:rPr>
                <w:rFonts w:asciiTheme="majorHAnsi" w:hAnsiTheme="majorHAnsi" w:cstheme="majorHAnsi"/>
                <w:b/>
                <w:bCs/>
                <w:color w:val="000000"/>
                <w:sz w:val="20"/>
                <w:szCs w:val="20"/>
                <w:lang w:val="en-US"/>
              </w:rPr>
            </w:pPr>
            <w:r w:rsidRPr="00F93BAE">
              <w:rPr>
                <w:rFonts w:asciiTheme="majorHAnsi" w:hAnsiTheme="majorHAnsi" w:cstheme="majorHAnsi"/>
                <w:b/>
                <w:bCs/>
                <w:color w:val="000000"/>
                <w:sz w:val="20"/>
                <w:szCs w:val="20"/>
                <w:lang w:val="en-US"/>
              </w:rPr>
              <w:t>Region</w:t>
            </w:r>
          </w:p>
        </w:tc>
        <w:tc>
          <w:tcPr>
            <w:tcW w:w="3844" w:type="dxa"/>
            <w:noWrap/>
            <w:hideMark/>
          </w:tcPr>
          <w:p w14:paraId="57EFAC5C" w14:textId="77777777" w:rsidR="008D0CAD" w:rsidRPr="00F93BAE" w:rsidRDefault="008D0CAD" w:rsidP="005902F7">
            <w:pPr>
              <w:spacing w:before="100" w:beforeAutospacing="1" w:after="100" w:afterAutospacing="1" w:line="360" w:lineRule="auto"/>
              <w:rPr>
                <w:rFonts w:asciiTheme="majorHAnsi" w:hAnsiTheme="majorHAnsi" w:cstheme="majorHAnsi"/>
                <w:b/>
                <w:bCs/>
                <w:color w:val="000000"/>
                <w:sz w:val="20"/>
                <w:szCs w:val="20"/>
                <w:lang w:val="en-US"/>
              </w:rPr>
            </w:pPr>
            <w:r w:rsidRPr="00F93BAE">
              <w:rPr>
                <w:rFonts w:asciiTheme="majorHAnsi" w:hAnsiTheme="majorHAnsi" w:cstheme="majorHAnsi"/>
                <w:b/>
                <w:bCs/>
                <w:color w:val="000000"/>
                <w:sz w:val="20"/>
                <w:szCs w:val="20"/>
                <w:lang w:val="en-US"/>
              </w:rPr>
              <w:t>Division</w:t>
            </w:r>
          </w:p>
        </w:tc>
        <w:tc>
          <w:tcPr>
            <w:tcW w:w="2040" w:type="dxa"/>
            <w:noWrap/>
            <w:hideMark/>
          </w:tcPr>
          <w:p w14:paraId="20B4354B" w14:textId="77777777" w:rsidR="008D0CAD" w:rsidRPr="00F93BAE" w:rsidRDefault="008D0CAD" w:rsidP="005902F7">
            <w:pPr>
              <w:spacing w:before="100" w:beforeAutospacing="1" w:after="100" w:afterAutospacing="1" w:line="360" w:lineRule="auto"/>
              <w:rPr>
                <w:rFonts w:asciiTheme="majorHAnsi" w:hAnsiTheme="majorHAnsi" w:cstheme="majorHAnsi"/>
                <w:b/>
                <w:bCs/>
                <w:color w:val="000000"/>
                <w:sz w:val="20"/>
                <w:szCs w:val="20"/>
                <w:lang w:val="en-US"/>
              </w:rPr>
            </w:pPr>
            <w:r w:rsidRPr="00F93BAE">
              <w:rPr>
                <w:rFonts w:asciiTheme="majorHAnsi" w:hAnsiTheme="majorHAnsi" w:cstheme="majorHAnsi"/>
                <w:b/>
                <w:bCs/>
                <w:color w:val="000000"/>
                <w:sz w:val="20"/>
                <w:szCs w:val="20"/>
                <w:lang w:val="en-US"/>
              </w:rPr>
              <w:t>No. of Schools</w:t>
            </w:r>
          </w:p>
        </w:tc>
      </w:tr>
      <w:tr w:rsidR="008D0CAD" w:rsidRPr="00F93BAE" w14:paraId="530CF086" w14:textId="77777777" w:rsidTr="00E26D25">
        <w:trPr>
          <w:trHeight w:val="289"/>
        </w:trPr>
        <w:tc>
          <w:tcPr>
            <w:tcW w:w="1770" w:type="dxa"/>
            <w:noWrap/>
            <w:hideMark/>
          </w:tcPr>
          <w:p w14:paraId="45302B56"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NCR</w:t>
            </w:r>
          </w:p>
        </w:tc>
        <w:tc>
          <w:tcPr>
            <w:tcW w:w="3844" w:type="dxa"/>
            <w:noWrap/>
            <w:hideMark/>
          </w:tcPr>
          <w:p w14:paraId="63FB4B85" w14:textId="77777777" w:rsidR="008D0CAD" w:rsidRPr="00F93BAE" w:rsidRDefault="008D0CAD" w:rsidP="00DD08E3">
            <w:pPr>
              <w:numPr>
                <w:ilvl w:val="0"/>
                <w:numId w:val="69"/>
              </w:numPr>
              <w:spacing w:before="100" w:beforeAutospacing="1" w:after="100" w:afterAutospacing="1" w:line="360" w:lineRule="auto"/>
              <w:ind w:left="489" w:hanging="489"/>
              <w:contextualSpacing/>
              <w:rPr>
                <w:rFonts w:asciiTheme="majorHAnsi" w:hAnsiTheme="majorHAnsi" w:cstheme="majorHAnsi"/>
                <w:snapToGrid w:val="0"/>
                <w:color w:val="000000"/>
                <w:sz w:val="20"/>
                <w:szCs w:val="20"/>
              </w:rPr>
            </w:pPr>
            <w:r w:rsidRPr="00F93BAE">
              <w:rPr>
                <w:rFonts w:asciiTheme="majorHAnsi" w:hAnsiTheme="majorHAnsi" w:cstheme="majorHAnsi"/>
                <w:snapToGrid w:val="0"/>
                <w:color w:val="000000"/>
                <w:sz w:val="20"/>
                <w:szCs w:val="20"/>
              </w:rPr>
              <w:t>Paranaque City</w:t>
            </w:r>
          </w:p>
        </w:tc>
        <w:tc>
          <w:tcPr>
            <w:tcW w:w="2040" w:type="dxa"/>
            <w:noWrap/>
            <w:hideMark/>
          </w:tcPr>
          <w:p w14:paraId="3A8D1FE2"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1</w:t>
            </w:r>
          </w:p>
        </w:tc>
      </w:tr>
      <w:tr w:rsidR="008D0CAD" w:rsidRPr="00F93BAE" w14:paraId="7C2F3428" w14:textId="77777777" w:rsidTr="00E26D25">
        <w:trPr>
          <w:trHeight w:val="289"/>
        </w:trPr>
        <w:tc>
          <w:tcPr>
            <w:tcW w:w="1770" w:type="dxa"/>
            <w:noWrap/>
            <w:hideMark/>
          </w:tcPr>
          <w:p w14:paraId="32743333"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sz w:val="20"/>
                <w:szCs w:val="20"/>
                <w:lang w:val="en-US"/>
              </w:rPr>
            </w:pPr>
          </w:p>
        </w:tc>
        <w:tc>
          <w:tcPr>
            <w:tcW w:w="3844" w:type="dxa"/>
            <w:noWrap/>
            <w:hideMark/>
          </w:tcPr>
          <w:p w14:paraId="2EDD024C" w14:textId="77777777" w:rsidR="008D0CAD" w:rsidRPr="00F93BAE" w:rsidRDefault="008D0CAD" w:rsidP="00DD08E3">
            <w:pPr>
              <w:numPr>
                <w:ilvl w:val="0"/>
                <w:numId w:val="69"/>
              </w:numPr>
              <w:spacing w:before="100" w:beforeAutospacing="1" w:after="100" w:afterAutospacing="1" w:line="360" w:lineRule="auto"/>
              <w:ind w:left="489" w:hanging="489"/>
              <w:contextualSpacing/>
              <w:rPr>
                <w:rFonts w:asciiTheme="majorHAnsi" w:hAnsiTheme="majorHAnsi" w:cstheme="majorHAnsi"/>
                <w:snapToGrid w:val="0"/>
                <w:color w:val="000000"/>
                <w:sz w:val="20"/>
                <w:szCs w:val="20"/>
              </w:rPr>
            </w:pPr>
            <w:r w:rsidRPr="00F93BAE">
              <w:rPr>
                <w:rFonts w:asciiTheme="majorHAnsi" w:hAnsiTheme="majorHAnsi" w:cstheme="majorHAnsi"/>
                <w:snapToGrid w:val="0"/>
                <w:color w:val="000000"/>
                <w:sz w:val="20"/>
                <w:szCs w:val="20"/>
              </w:rPr>
              <w:t>Quezon City</w:t>
            </w:r>
          </w:p>
        </w:tc>
        <w:tc>
          <w:tcPr>
            <w:tcW w:w="2040" w:type="dxa"/>
            <w:noWrap/>
            <w:hideMark/>
          </w:tcPr>
          <w:p w14:paraId="6FADDE1F"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2</w:t>
            </w:r>
          </w:p>
        </w:tc>
      </w:tr>
      <w:tr w:rsidR="008D0CAD" w:rsidRPr="00F93BAE" w14:paraId="3D8E9222" w14:textId="77777777" w:rsidTr="00E26D25">
        <w:trPr>
          <w:trHeight w:val="289"/>
        </w:trPr>
        <w:tc>
          <w:tcPr>
            <w:tcW w:w="1770" w:type="dxa"/>
            <w:noWrap/>
            <w:hideMark/>
          </w:tcPr>
          <w:p w14:paraId="39F0EE20"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V</w:t>
            </w:r>
          </w:p>
        </w:tc>
        <w:tc>
          <w:tcPr>
            <w:tcW w:w="3844" w:type="dxa"/>
            <w:noWrap/>
            <w:hideMark/>
          </w:tcPr>
          <w:p w14:paraId="6AEC0462" w14:textId="77777777" w:rsidR="008D0CAD" w:rsidRPr="00F93BAE" w:rsidRDefault="008D0CAD" w:rsidP="00DD08E3">
            <w:pPr>
              <w:numPr>
                <w:ilvl w:val="0"/>
                <w:numId w:val="69"/>
              </w:numPr>
              <w:spacing w:before="100" w:beforeAutospacing="1" w:after="100" w:afterAutospacing="1" w:line="360" w:lineRule="auto"/>
              <w:ind w:left="489" w:hanging="489"/>
              <w:contextualSpacing/>
              <w:rPr>
                <w:rFonts w:asciiTheme="majorHAnsi" w:hAnsiTheme="majorHAnsi" w:cstheme="majorHAnsi"/>
                <w:snapToGrid w:val="0"/>
                <w:color w:val="000000"/>
                <w:sz w:val="20"/>
                <w:szCs w:val="20"/>
              </w:rPr>
            </w:pPr>
            <w:r w:rsidRPr="00F93BAE">
              <w:rPr>
                <w:rFonts w:asciiTheme="majorHAnsi" w:hAnsiTheme="majorHAnsi" w:cstheme="majorHAnsi"/>
                <w:snapToGrid w:val="0"/>
                <w:color w:val="000000"/>
                <w:sz w:val="20"/>
                <w:szCs w:val="20"/>
              </w:rPr>
              <w:t>Albay</w:t>
            </w:r>
          </w:p>
        </w:tc>
        <w:tc>
          <w:tcPr>
            <w:tcW w:w="2040" w:type="dxa"/>
            <w:noWrap/>
            <w:hideMark/>
          </w:tcPr>
          <w:p w14:paraId="7B711DBB"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1</w:t>
            </w:r>
          </w:p>
        </w:tc>
      </w:tr>
      <w:tr w:rsidR="008D0CAD" w:rsidRPr="00F93BAE" w14:paraId="079C363D" w14:textId="77777777" w:rsidTr="00E26D25">
        <w:trPr>
          <w:trHeight w:val="289"/>
        </w:trPr>
        <w:tc>
          <w:tcPr>
            <w:tcW w:w="1770" w:type="dxa"/>
            <w:noWrap/>
            <w:hideMark/>
          </w:tcPr>
          <w:p w14:paraId="2188FE4A"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sz w:val="20"/>
                <w:szCs w:val="20"/>
                <w:lang w:val="en-US"/>
              </w:rPr>
            </w:pPr>
          </w:p>
        </w:tc>
        <w:tc>
          <w:tcPr>
            <w:tcW w:w="3844" w:type="dxa"/>
            <w:noWrap/>
            <w:hideMark/>
          </w:tcPr>
          <w:p w14:paraId="1F9031DB" w14:textId="77777777" w:rsidR="008D0CAD" w:rsidRPr="00F93BAE" w:rsidRDefault="008D0CAD" w:rsidP="00DD08E3">
            <w:pPr>
              <w:numPr>
                <w:ilvl w:val="0"/>
                <w:numId w:val="69"/>
              </w:numPr>
              <w:spacing w:before="100" w:beforeAutospacing="1" w:after="100" w:afterAutospacing="1" w:line="360" w:lineRule="auto"/>
              <w:ind w:left="489" w:hanging="489"/>
              <w:contextualSpacing/>
              <w:rPr>
                <w:rFonts w:asciiTheme="majorHAnsi" w:hAnsiTheme="majorHAnsi" w:cstheme="majorHAnsi"/>
                <w:snapToGrid w:val="0"/>
                <w:color w:val="000000"/>
                <w:sz w:val="20"/>
                <w:szCs w:val="20"/>
              </w:rPr>
            </w:pPr>
            <w:r w:rsidRPr="00F93BAE">
              <w:rPr>
                <w:rFonts w:asciiTheme="majorHAnsi" w:hAnsiTheme="majorHAnsi" w:cstheme="majorHAnsi"/>
                <w:snapToGrid w:val="0"/>
                <w:color w:val="000000"/>
                <w:sz w:val="20"/>
                <w:szCs w:val="20"/>
              </w:rPr>
              <w:t>Camarines sur</w:t>
            </w:r>
          </w:p>
        </w:tc>
        <w:tc>
          <w:tcPr>
            <w:tcW w:w="2040" w:type="dxa"/>
            <w:noWrap/>
            <w:hideMark/>
          </w:tcPr>
          <w:p w14:paraId="79D55148"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2</w:t>
            </w:r>
          </w:p>
        </w:tc>
      </w:tr>
      <w:tr w:rsidR="008D0CAD" w:rsidRPr="00F93BAE" w14:paraId="0736E647" w14:textId="77777777" w:rsidTr="00E26D25">
        <w:trPr>
          <w:trHeight w:val="289"/>
        </w:trPr>
        <w:tc>
          <w:tcPr>
            <w:tcW w:w="1770" w:type="dxa"/>
            <w:noWrap/>
            <w:hideMark/>
          </w:tcPr>
          <w:p w14:paraId="0ED97809"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sz w:val="20"/>
                <w:szCs w:val="20"/>
                <w:lang w:val="en-US"/>
              </w:rPr>
            </w:pPr>
          </w:p>
        </w:tc>
        <w:tc>
          <w:tcPr>
            <w:tcW w:w="3844" w:type="dxa"/>
            <w:noWrap/>
            <w:hideMark/>
          </w:tcPr>
          <w:p w14:paraId="47DEBBC0" w14:textId="77777777" w:rsidR="008D0CAD" w:rsidRPr="00F93BAE" w:rsidRDefault="008D0CAD" w:rsidP="00DD08E3">
            <w:pPr>
              <w:numPr>
                <w:ilvl w:val="0"/>
                <w:numId w:val="69"/>
              </w:numPr>
              <w:spacing w:before="100" w:beforeAutospacing="1" w:after="100" w:afterAutospacing="1" w:line="360" w:lineRule="auto"/>
              <w:ind w:left="489" w:hanging="489"/>
              <w:contextualSpacing/>
              <w:rPr>
                <w:rFonts w:asciiTheme="majorHAnsi" w:hAnsiTheme="majorHAnsi" w:cstheme="majorHAnsi"/>
                <w:snapToGrid w:val="0"/>
                <w:color w:val="000000"/>
                <w:sz w:val="20"/>
                <w:szCs w:val="20"/>
              </w:rPr>
            </w:pPr>
            <w:r w:rsidRPr="00F93BAE">
              <w:rPr>
                <w:rFonts w:asciiTheme="majorHAnsi" w:hAnsiTheme="majorHAnsi" w:cstheme="majorHAnsi"/>
                <w:snapToGrid w:val="0"/>
                <w:color w:val="000000"/>
                <w:sz w:val="20"/>
                <w:szCs w:val="20"/>
              </w:rPr>
              <w:t>Sorsogon</w:t>
            </w:r>
          </w:p>
        </w:tc>
        <w:tc>
          <w:tcPr>
            <w:tcW w:w="2040" w:type="dxa"/>
            <w:noWrap/>
            <w:hideMark/>
          </w:tcPr>
          <w:p w14:paraId="46D57D5B"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1</w:t>
            </w:r>
          </w:p>
        </w:tc>
      </w:tr>
      <w:tr w:rsidR="008D0CAD" w:rsidRPr="00F93BAE" w14:paraId="7B89BE50" w14:textId="77777777" w:rsidTr="00E26D25">
        <w:trPr>
          <w:trHeight w:val="289"/>
        </w:trPr>
        <w:tc>
          <w:tcPr>
            <w:tcW w:w="1770" w:type="dxa"/>
            <w:noWrap/>
            <w:hideMark/>
          </w:tcPr>
          <w:p w14:paraId="602CD994"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VI</w:t>
            </w:r>
          </w:p>
        </w:tc>
        <w:tc>
          <w:tcPr>
            <w:tcW w:w="3844" w:type="dxa"/>
            <w:noWrap/>
            <w:hideMark/>
          </w:tcPr>
          <w:p w14:paraId="33A3EDEA" w14:textId="77777777" w:rsidR="008D0CAD" w:rsidRPr="00F93BAE" w:rsidRDefault="008D0CAD" w:rsidP="00DD08E3">
            <w:pPr>
              <w:numPr>
                <w:ilvl w:val="0"/>
                <w:numId w:val="69"/>
              </w:numPr>
              <w:spacing w:before="100" w:beforeAutospacing="1" w:after="100" w:afterAutospacing="1" w:line="360" w:lineRule="auto"/>
              <w:ind w:left="489" w:hanging="489"/>
              <w:contextualSpacing/>
              <w:rPr>
                <w:rFonts w:asciiTheme="majorHAnsi" w:hAnsiTheme="majorHAnsi" w:cstheme="majorHAnsi"/>
                <w:snapToGrid w:val="0"/>
                <w:color w:val="000000"/>
                <w:sz w:val="20"/>
                <w:szCs w:val="20"/>
              </w:rPr>
            </w:pPr>
            <w:r w:rsidRPr="00F93BAE">
              <w:rPr>
                <w:rFonts w:asciiTheme="majorHAnsi" w:hAnsiTheme="majorHAnsi" w:cstheme="majorHAnsi"/>
                <w:snapToGrid w:val="0"/>
                <w:color w:val="000000"/>
                <w:sz w:val="20"/>
                <w:szCs w:val="20"/>
              </w:rPr>
              <w:t>Iloilo</w:t>
            </w:r>
          </w:p>
        </w:tc>
        <w:tc>
          <w:tcPr>
            <w:tcW w:w="2040" w:type="dxa"/>
            <w:noWrap/>
            <w:hideMark/>
          </w:tcPr>
          <w:p w14:paraId="32EAFA1B"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2</w:t>
            </w:r>
          </w:p>
        </w:tc>
      </w:tr>
      <w:tr w:rsidR="008D0CAD" w:rsidRPr="00F93BAE" w14:paraId="789B30D2" w14:textId="77777777" w:rsidTr="00E26D25">
        <w:trPr>
          <w:trHeight w:val="289"/>
        </w:trPr>
        <w:tc>
          <w:tcPr>
            <w:tcW w:w="1770" w:type="dxa"/>
            <w:noWrap/>
            <w:hideMark/>
          </w:tcPr>
          <w:p w14:paraId="6E570177"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sz w:val="20"/>
                <w:szCs w:val="20"/>
                <w:lang w:val="en-US"/>
              </w:rPr>
            </w:pPr>
          </w:p>
        </w:tc>
        <w:tc>
          <w:tcPr>
            <w:tcW w:w="3844" w:type="dxa"/>
            <w:noWrap/>
            <w:hideMark/>
          </w:tcPr>
          <w:p w14:paraId="1AE01C8E" w14:textId="77777777" w:rsidR="008D0CAD" w:rsidRPr="00F93BAE" w:rsidRDefault="008D0CAD" w:rsidP="00DD08E3">
            <w:pPr>
              <w:numPr>
                <w:ilvl w:val="0"/>
                <w:numId w:val="69"/>
              </w:numPr>
              <w:spacing w:before="100" w:beforeAutospacing="1" w:after="100" w:afterAutospacing="1" w:line="360" w:lineRule="auto"/>
              <w:ind w:left="489" w:hanging="489"/>
              <w:contextualSpacing/>
              <w:rPr>
                <w:rFonts w:asciiTheme="majorHAnsi" w:hAnsiTheme="majorHAnsi" w:cstheme="majorHAnsi"/>
                <w:snapToGrid w:val="0"/>
                <w:color w:val="000000"/>
                <w:sz w:val="20"/>
                <w:szCs w:val="20"/>
              </w:rPr>
            </w:pPr>
            <w:r w:rsidRPr="00F93BAE">
              <w:rPr>
                <w:rFonts w:asciiTheme="majorHAnsi" w:hAnsiTheme="majorHAnsi" w:cstheme="majorHAnsi"/>
                <w:snapToGrid w:val="0"/>
                <w:color w:val="000000"/>
                <w:sz w:val="20"/>
                <w:szCs w:val="20"/>
              </w:rPr>
              <w:t>Iloilo City</w:t>
            </w:r>
          </w:p>
        </w:tc>
        <w:tc>
          <w:tcPr>
            <w:tcW w:w="2040" w:type="dxa"/>
            <w:noWrap/>
            <w:hideMark/>
          </w:tcPr>
          <w:p w14:paraId="22B443D6"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2</w:t>
            </w:r>
          </w:p>
        </w:tc>
      </w:tr>
      <w:tr w:rsidR="008D0CAD" w:rsidRPr="00F93BAE" w14:paraId="6F6184A6" w14:textId="77777777" w:rsidTr="00E26D25">
        <w:trPr>
          <w:trHeight w:val="289"/>
        </w:trPr>
        <w:tc>
          <w:tcPr>
            <w:tcW w:w="1770" w:type="dxa"/>
            <w:noWrap/>
            <w:hideMark/>
          </w:tcPr>
          <w:p w14:paraId="74ACDE73"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sz w:val="20"/>
                <w:szCs w:val="20"/>
                <w:lang w:val="en-US"/>
              </w:rPr>
            </w:pPr>
          </w:p>
        </w:tc>
        <w:tc>
          <w:tcPr>
            <w:tcW w:w="3844" w:type="dxa"/>
            <w:noWrap/>
            <w:hideMark/>
          </w:tcPr>
          <w:p w14:paraId="26DECCDA" w14:textId="77777777" w:rsidR="008D0CAD" w:rsidRPr="00F93BAE" w:rsidRDefault="008D0CAD" w:rsidP="00DD08E3">
            <w:pPr>
              <w:numPr>
                <w:ilvl w:val="0"/>
                <w:numId w:val="69"/>
              </w:numPr>
              <w:spacing w:before="100" w:beforeAutospacing="1" w:after="100" w:afterAutospacing="1" w:line="360" w:lineRule="auto"/>
              <w:ind w:left="489" w:hanging="489"/>
              <w:contextualSpacing/>
              <w:rPr>
                <w:rFonts w:asciiTheme="majorHAnsi" w:hAnsiTheme="majorHAnsi" w:cstheme="majorHAnsi"/>
                <w:snapToGrid w:val="0"/>
                <w:color w:val="000000"/>
                <w:sz w:val="20"/>
                <w:szCs w:val="20"/>
              </w:rPr>
            </w:pPr>
            <w:r w:rsidRPr="00F93BAE">
              <w:rPr>
                <w:rFonts w:asciiTheme="majorHAnsi" w:hAnsiTheme="majorHAnsi" w:cstheme="majorHAnsi"/>
                <w:snapToGrid w:val="0"/>
                <w:color w:val="000000"/>
                <w:sz w:val="20"/>
                <w:szCs w:val="20"/>
              </w:rPr>
              <w:t>Guimaras</w:t>
            </w:r>
          </w:p>
        </w:tc>
        <w:tc>
          <w:tcPr>
            <w:tcW w:w="2040" w:type="dxa"/>
            <w:noWrap/>
            <w:hideMark/>
          </w:tcPr>
          <w:p w14:paraId="4C659066"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2</w:t>
            </w:r>
          </w:p>
        </w:tc>
      </w:tr>
      <w:tr w:rsidR="008D0CAD" w:rsidRPr="00F93BAE" w14:paraId="1C6B0B00" w14:textId="77777777" w:rsidTr="00E26D25">
        <w:trPr>
          <w:trHeight w:val="289"/>
        </w:trPr>
        <w:tc>
          <w:tcPr>
            <w:tcW w:w="1770" w:type="dxa"/>
            <w:noWrap/>
            <w:hideMark/>
          </w:tcPr>
          <w:p w14:paraId="0B2ACE37" w14:textId="77777777" w:rsidR="008D0CAD" w:rsidRPr="00F93BAE" w:rsidRDefault="008D0CAD" w:rsidP="005902F7">
            <w:pPr>
              <w:spacing w:before="100" w:beforeAutospacing="1" w:after="100" w:afterAutospacing="1" w:line="360" w:lineRule="auto"/>
              <w:rPr>
                <w:rFonts w:asciiTheme="majorHAnsi" w:hAnsiTheme="majorHAnsi" w:cstheme="majorHAnsi"/>
                <w:color w:val="000000"/>
                <w:sz w:val="20"/>
                <w:szCs w:val="20"/>
                <w:lang w:val="en-US"/>
              </w:rPr>
            </w:pPr>
          </w:p>
        </w:tc>
        <w:tc>
          <w:tcPr>
            <w:tcW w:w="3844" w:type="dxa"/>
            <w:noWrap/>
            <w:hideMark/>
          </w:tcPr>
          <w:p w14:paraId="0435DBD7" w14:textId="77777777" w:rsidR="008D0CAD" w:rsidRPr="00F93BAE" w:rsidRDefault="008D0CAD" w:rsidP="005902F7">
            <w:pPr>
              <w:spacing w:before="100" w:beforeAutospacing="1" w:after="100" w:afterAutospacing="1" w:line="360" w:lineRule="auto"/>
              <w:rPr>
                <w:rFonts w:asciiTheme="majorHAnsi" w:hAnsiTheme="majorHAnsi" w:cstheme="majorHAnsi"/>
                <w:b/>
                <w:bCs/>
                <w:color w:val="000000"/>
                <w:sz w:val="20"/>
                <w:szCs w:val="20"/>
                <w:lang w:val="en-US"/>
              </w:rPr>
            </w:pPr>
            <w:r w:rsidRPr="00F93BAE">
              <w:rPr>
                <w:rFonts w:asciiTheme="majorHAnsi" w:hAnsiTheme="majorHAnsi" w:cstheme="majorHAnsi"/>
                <w:b/>
                <w:bCs/>
                <w:color w:val="000000"/>
                <w:sz w:val="20"/>
                <w:szCs w:val="20"/>
                <w:lang w:val="en-US"/>
              </w:rPr>
              <w:t>Total</w:t>
            </w:r>
          </w:p>
        </w:tc>
        <w:tc>
          <w:tcPr>
            <w:tcW w:w="2040" w:type="dxa"/>
            <w:noWrap/>
            <w:hideMark/>
          </w:tcPr>
          <w:p w14:paraId="213F8200" w14:textId="77777777" w:rsidR="008D0CAD" w:rsidRPr="00F93BAE" w:rsidRDefault="008D0CAD" w:rsidP="005902F7">
            <w:pPr>
              <w:spacing w:before="100" w:beforeAutospacing="1" w:after="100" w:afterAutospacing="1" w:line="360" w:lineRule="auto"/>
              <w:rPr>
                <w:rFonts w:asciiTheme="majorHAnsi" w:hAnsiTheme="majorHAnsi" w:cstheme="majorHAnsi"/>
                <w:b/>
                <w:bCs/>
                <w:color w:val="000000"/>
                <w:sz w:val="20"/>
                <w:szCs w:val="20"/>
                <w:lang w:val="en-US"/>
              </w:rPr>
            </w:pPr>
            <w:r w:rsidRPr="00F93BAE">
              <w:rPr>
                <w:rFonts w:asciiTheme="majorHAnsi" w:hAnsiTheme="majorHAnsi" w:cstheme="majorHAnsi"/>
                <w:b/>
                <w:bCs/>
                <w:color w:val="000000"/>
                <w:sz w:val="20"/>
                <w:szCs w:val="20"/>
                <w:lang w:val="en-US"/>
              </w:rPr>
              <w:t>12</w:t>
            </w:r>
          </w:p>
        </w:tc>
      </w:tr>
    </w:tbl>
    <w:p w14:paraId="5F810C95" w14:textId="77777777" w:rsidR="008D0CAD" w:rsidRPr="00F93BAE" w:rsidRDefault="008D0CAD" w:rsidP="005902F7">
      <w:pPr>
        <w:spacing w:before="100" w:beforeAutospacing="1" w:after="100" w:afterAutospacing="1" w:line="360" w:lineRule="auto"/>
        <w:rPr>
          <w:rFonts w:asciiTheme="majorHAnsi" w:hAnsiTheme="majorHAnsi" w:cstheme="majorHAnsi"/>
          <w:b/>
          <w:bCs/>
          <w:color w:val="000000"/>
          <w:lang w:val="en-US"/>
        </w:rPr>
      </w:pPr>
      <w:r w:rsidRPr="00F93BAE">
        <w:rPr>
          <w:rFonts w:asciiTheme="majorHAnsi" w:hAnsiTheme="majorHAnsi" w:cstheme="majorHAnsi"/>
          <w:b/>
          <w:bCs/>
          <w:color w:val="000000"/>
          <w:lang w:val="en-US"/>
        </w:rPr>
        <w:t>Table 3. List of Case Study Schools by Region and Division</w:t>
      </w:r>
    </w:p>
    <w:tbl>
      <w:tblPr>
        <w:tblStyle w:val="TableGrid1"/>
        <w:tblW w:w="9040" w:type="dxa"/>
        <w:tblLook w:val="04A0" w:firstRow="1" w:lastRow="0" w:firstColumn="1" w:lastColumn="0" w:noHBand="0" w:noVBand="1"/>
      </w:tblPr>
      <w:tblGrid>
        <w:gridCol w:w="693"/>
        <w:gridCol w:w="1003"/>
        <w:gridCol w:w="1410"/>
        <w:gridCol w:w="1077"/>
        <w:gridCol w:w="3173"/>
        <w:gridCol w:w="1684"/>
      </w:tblGrid>
      <w:tr w:rsidR="00583D11" w:rsidRPr="00F93BAE" w14:paraId="3F6EBC39" w14:textId="5045CFB6" w:rsidTr="004B064D">
        <w:trPr>
          <w:trHeight w:val="503"/>
          <w:tblHeader/>
        </w:trPr>
        <w:tc>
          <w:tcPr>
            <w:tcW w:w="693" w:type="dxa"/>
            <w:noWrap/>
            <w:hideMark/>
          </w:tcPr>
          <w:p w14:paraId="74CC9EDF" w14:textId="77777777" w:rsidR="00583D11" w:rsidRPr="00F93BAE" w:rsidRDefault="00583D11" w:rsidP="00583D11">
            <w:pPr>
              <w:spacing w:before="100" w:beforeAutospacing="1" w:after="100" w:afterAutospacing="1" w:line="360" w:lineRule="auto"/>
              <w:rPr>
                <w:rFonts w:asciiTheme="majorHAnsi" w:hAnsiTheme="majorHAnsi" w:cstheme="majorHAnsi"/>
                <w:b/>
                <w:bCs/>
                <w:color w:val="000000"/>
                <w:sz w:val="20"/>
                <w:szCs w:val="20"/>
                <w:lang w:val="en-US"/>
              </w:rPr>
            </w:pPr>
            <w:r w:rsidRPr="00F93BAE">
              <w:rPr>
                <w:rFonts w:asciiTheme="majorHAnsi" w:hAnsiTheme="majorHAnsi" w:cstheme="majorHAnsi"/>
                <w:b/>
                <w:bCs/>
                <w:color w:val="000000"/>
                <w:sz w:val="20"/>
                <w:szCs w:val="20"/>
                <w:lang w:val="en-US"/>
              </w:rPr>
              <w:t>No.</w:t>
            </w:r>
          </w:p>
        </w:tc>
        <w:tc>
          <w:tcPr>
            <w:tcW w:w="1003" w:type="dxa"/>
            <w:noWrap/>
            <w:hideMark/>
          </w:tcPr>
          <w:p w14:paraId="68F7BCAE" w14:textId="77777777" w:rsidR="00583D11" w:rsidRPr="00F93BAE" w:rsidRDefault="00583D11" w:rsidP="00583D11">
            <w:pPr>
              <w:spacing w:before="100" w:beforeAutospacing="1" w:after="100" w:afterAutospacing="1" w:line="360" w:lineRule="auto"/>
              <w:rPr>
                <w:rFonts w:asciiTheme="majorHAnsi" w:hAnsiTheme="majorHAnsi" w:cstheme="majorHAnsi"/>
                <w:b/>
                <w:bCs/>
                <w:color w:val="000000"/>
                <w:sz w:val="20"/>
                <w:szCs w:val="20"/>
                <w:lang w:val="en-US"/>
              </w:rPr>
            </w:pPr>
            <w:r w:rsidRPr="00F93BAE">
              <w:rPr>
                <w:rFonts w:asciiTheme="majorHAnsi" w:hAnsiTheme="majorHAnsi" w:cstheme="majorHAnsi"/>
                <w:b/>
                <w:bCs/>
                <w:color w:val="000000"/>
                <w:sz w:val="20"/>
                <w:szCs w:val="20"/>
                <w:lang w:val="en-US"/>
              </w:rPr>
              <w:t>Region</w:t>
            </w:r>
          </w:p>
        </w:tc>
        <w:tc>
          <w:tcPr>
            <w:tcW w:w="1410" w:type="dxa"/>
            <w:noWrap/>
            <w:hideMark/>
          </w:tcPr>
          <w:p w14:paraId="030E602B" w14:textId="77777777" w:rsidR="00583D11" w:rsidRPr="00F93BAE" w:rsidRDefault="00583D11" w:rsidP="00583D11">
            <w:pPr>
              <w:spacing w:before="100" w:beforeAutospacing="1" w:after="100" w:afterAutospacing="1" w:line="360" w:lineRule="auto"/>
              <w:rPr>
                <w:rFonts w:asciiTheme="majorHAnsi" w:hAnsiTheme="majorHAnsi" w:cstheme="majorHAnsi"/>
                <w:b/>
                <w:bCs/>
                <w:color w:val="000000"/>
                <w:sz w:val="20"/>
                <w:szCs w:val="20"/>
                <w:lang w:val="en-US"/>
              </w:rPr>
            </w:pPr>
            <w:r w:rsidRPr="00F93BAE">
              <w:rPr>
                <w:rFonts w:asciiTheme="majorHAnsi" w:hAnsiTheme="majorHAnsi" w:cstheme="majorHAnsi"/>
                <w:b/>
                <w:bCs/>
                <w:color w:val="000000"/>
                <w:sz w:val="20"/>
                <w:szCs w:val="20"/>
                <w:lang w:val="en-US"/>
              </w:rPr>
              <w:t>Division</w:t>
            </w:r>
          </w:p>
        </w:tc>
        <w:tc>
          <w:tcPr>
            <w:tcW w:w="1077" w:type="dxa"/>
            <w:hideMark/>
          </w:tcPr>
          <w:p w14:paraId="598BF5E3" w14:textId="77777777" w:rsidR="00583D11" w:rsidRPr="00F93BAE" w:rsidRDefault="00583D11" w:rsidP="00583D11">
            <w:pPr>
              <w:spacing w:before="100" w:beforeAutospacing="1" w:after="100" w:afterAutospacing="1" w:line="360" w:lineRule="auto"/>
              <w:rPr>
                <w:rFonts w:asciiTheme="majorHAnsi" w:hAnsiTheme="majorHAnsi" w:cstheme="majorHAnsi"/>
                <w:b/>
                <w:bCs/>
                <w:color w:val="000000"/>
                <w:sz w:val="20"/>
                <w:szCs w:val="20"/>
                <w:lang w:val="en-US"/>
              </w:rPr>
            </w:pPr>
            <w:r w:rsidRPr="00F93BAE">
              <w:rPr>
                <w:rFonts w:asciiTheme="majorHAnsi" w:hAnsiTheme="majorHAnsi" w:cstheme="majorHAnsi"/>
                <w:b/>
                <w:bCs/>
                <w:color w:val="000000"/>
                <w:sz w:val="20"/>
                <w:szCs w:val="20"/>
                <w:lang w:val="en-US"/>
              </w:rPr>
              <w:t>School ID</w:t>
            </w:r>
          </w:p>
        </w:tc>
        <w:tc>
          <w:tcPr>
            <w:tcW w:w="3173" w:type="dxa"/>
            <w:noWrap/>
            <w:hideMark/>
          </w:tcPr>
          <w:p w14:paraId="6964DC02" w14:textId="77777777" w:rsidR="00583D11" w:rsidRPr="00F93BAE" w:rsidRDefault="00583D11" w:rsidP="00583D11">
            <w:pPr>
              <w:spacing w:before="100" w:beforeAutospacing="1" w:after="100" w:afterAutospacing="1" w:line="360" w:lineRule="auto"/>
              <w:rPr>
                <w:rFonts w:asciiTheme="majorHAnsi" w:hAnsiTheme="majorHAnsi" w:cstheme="majorHAnsi"/>
                <w:b/>
                <w:bCs/>
                <w:color w:val="000000"/>
                <w:sz w:val="20"/>
                <w:szCs w:val="20"/>
                <w:lang w:val="en-US"/>
              </w:rPr>
            </w:pPr>
            <w:r w:rsidRPr="00F93BAE">
              <w:rPr>
                <w:rFonts w:asciiTheme="majorHAnsi" w:hAnsiTheme="majorHAnsi" w:cstheme="majorHAnsi"/>
                <w:b/>
                <w:bCs/>
                <w:color w:val="000000"/>
                <w:sz w:val="20"/>
                <w:szCs w:val="20"/>
                <w:lang w:val="en-US"/>
              </w:rPr>
              <w:t>School Name</w:t>
            </w:r>
          </w:p>
        </w:tc>
        <w:tc>
          <w:tcPr>
            <w:tcW w:w="1684" w:type="dxa"/>
            <w:tcBorders>
              <w:bottom w:val="single" w:sz="4" w:space="0" w:color="auto"/>
            </w:tcBorders>
          </w:tcPr>
          <w:p w14:paraId="79A4F1E0" w14:textId="5C938083" w:rsidR="00583D11" w:rsidRPr="00F93BAE" w:rsidRDefault="00583D11" w:rsidP="00583D11">
            <w:pPr>
              <w:spacing w:before="100" w:beforeAutospacing="1" w:after="100" w:afterAutospacing="1" w:line="360" w:lineRule="auto"/>
              <w:rPr>
                <w:rFonts w:asciiTheme="majorHAnsi" w:hAnsiTheme="majorHAnsi" w:cstheme="majorHAnsi"/>
                <w:b/>
                <w:bCs/>
                <w:color w:val="000000"/>
                <w:sz w:val="20"/>
                <w:szCs w:val="20"/>
                <w:lang w:val="en-US"/>
              </w:rPr>
            </w:pPr>
            <w:r w:rsidRPr="00F93BAE">
              <w:rPr>
                <w:rFonts w:asciiTheme="majorHAnsi" w:hAnsiTheme="majorHAnsi" w:cstheme="majorHAnsi"/>
                <w:b/>
                <w:bCs/>
                <w:color w:val="000000"/>
                <w:sz w:val="20"/>
                <w:szCs w:val="20"/>
                <w:lang w:val="en-US"/>
              </w:rPr>
              <w:t>Program Interventions</w:t>
            </w:r>
          </w:p>
        </w:tc>
      </w:tr>
      <w:tr w:rsidR="00583D11" w:rsidRPr="00F93BAE" w14:paraId="0ABC6D0F" w14:textId="166C28D1" w:rsidTr="00583D11">
        <w:trPr>
          <w:trHeight w:val="310"/>
        </w:trPr>
        <w:tc>
          <w:tcPr>
            <w:tcW w:w="693" w:type="dxa"/>
            <w:noWrap/>
            <w:hideMark/>
          </w:tcPr>
          <w:p w14:paraId="1637BBA3" w14:textId="77777777" w:rsidR="00583D11" w:rsidRPr="00F93BAE" w:rsidRDefault="00583D11" w:rsidP="00583D11">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1</w:t>
            </w:r>
          </w:p>
        </w:tc>
        <w:tc>
          <w:tcPr>
            <w:tcW w:w="1003" w:type="dxa"/>
            <w:noWrap/>
            <w:hideMark/>
          </w:tcPr>
          <w:p w14:paraId="73262963" w14:textId="77777777" w:rsidR="00583D11" w:rsidRPr="00F93BAE" w:rsidRDefault="00583D11" w:rsidP="00583D11">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VI</w:t>
            </w:r>
          </w:p>
        </w:tc>
        <w:tc>
          <w:tcPr>
            <w:tcW w:w="1410" w:type="dxa"/>
            <w:hideMark/>
          </w:tcPr>
          <w:p w14:paraId="1A0EBE9E" w14:textId="77777777" w:rsidR="00583D11" w:rsidRPr="00F93BAE" w:rsidRDefault="00583D11" w:rsidP="00583D11">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Guimaras</w:t>
            </w:r>
          </w:p>
        </w:tc>
        <w:tc>
          <w:tcPr>
            <w:tcW w:w="1077" w:type="dxa"/>
            <w:noWrap/>
            <w:hideMark/>
          </w:tcPr>
          <w:p w14:paraId="42B36C6B" w14:textId="77777777" w:rsidR="00583D11" w:rsidRPr="00F93BAE" w:rsidRDefault="00583D11" w:rsidP="00583D11">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115864</w:t>
            </w:r>
          </w:p>
        </w:tc>
        <w:tc>
          <w:tcPr>
            <w:tcW w:w="3173" w:type="dxa"/>
            <w:hideMark/>
          </w:tcPr>
          <w:p w14:paraId="78532779" w14:textId="77777777" w:rsidR="00583D11" w:rsidRPr="00F93BAE" w:rsidRDefault="00583D11" w:rsidP="00583D11">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Jordan Central School</w:t>
            </w:r>
          </w:p>
        </w:tc>
        <w:tc>
          <w:tcPr>
            <w:tcW w:w="1684" w:type="dxa"/>
            <w:tcBorders>
              <w:bottom w:val="nil"/>
            </w:tcBorders>
          </w:tcPr>
          <w:p w14:paraId="2090A267" w14:textId="21B6180E" w:rsidR="00583D11" w:rsidRPr="00F93BAE" w:rsidRDefault="00583D11" w:rsidP="00583D11">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PPMES, L&amp;D and GEDSI</w:t>
            </w:r>
          </w:p>
        </w:tc>
      </w:tr>
      <w:tr w:rsidR="00583D11" w:rsidRPr="00F93BAE" w14:paraId="5E675B75" w14:textId="6AFD273D" w:rsidTr="00583D11">
        <w:trPr>
          <w:trHeight w:val="310"/>
        </w:trPr>
        <w:tc>
          <w:tcPr>
            <w:tcW w:w="693" w:type="dxa"/>
            <w:noWrap/>
            <w:hideMark/>
          </w:tcPr>
          <w:p w14:paraId="79B08CBF" w14:textId="77777777" w:rsidR="00583D11" w:rsidRPr="00F93BAE" w:rsidRDefault="00583D11" w:rsidP="00583D11">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2</w:t>
            </w:r>
          </w:p>
        </w:tc>
        <w:tc>
          <w:tcPr>
            <w:tcW w:w="1003" w:type="dxa"/>
            <w:noWrap/>
            <w:hideMark/>
          </w:tcPr>
          <w:p w14:paraId="0514735A" w14:textId="77777777" w:rsidR="00583D11" w:rsidRPr="00F93BAE" w:rsidRDefault="00583D11" w:rsidP="00583D11">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VI</w:t>
            </w:r>
          </w:p>
        </w:tc>
        <w:tc>
          <w:tcPr>
            <w:tcW w:w="1410" w:type="dxa"/>
            <w:hideMark/>
          </w:tcPr>
          <w:p w14:paraId="7C99EFD3" w14:textId="77777777" w:rsidR="00583D11" w:rsidRPr="00F93BAE" w:rsidRDefault="00583D11" w:rsidP="00583D11">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Iloilo City</w:t>
            </w:r>
          </w:p>
        </w:tc>
        <w:tc>
          <w:tcPr>
            <w:tcW w:w="1077" w:type="dxa"/>
            <w:noWrap/>
            <w:hideMark/>
          </w:tcPr>
          <w:p w14:paraId="38927155" w14:textId="77777777" w:rsidR="00583D11" w:rsidRPr="00F93BAE" w:rsidRDefault="00583D11" w:rsidP="00583D11">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117588</w:t>
            </w:r>
          </w:p>
        </w:tc>
        <w:tc>
          <w:tcPr>
            <w:tcW w:w="3173" w:type="dxa"/>
            <w:hideMark/>
          </w:tcPr>
          <w:p w14:paraId="65129122" w14:textId="77777777" w:rsidR="00583D11" w:rsidRPr="00F93BAE" w:rsidRDefault="00583D11" w:rsidP="00583D11">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Iloilo Central Elementary School</w:t>
            </w:r>
          </w:p>
        </w:tc>
        <w:tc>
          <w:tcPr>
            <w:tcW w:w="1684" w:type="dxa"/>
            <w:tcBorders>
              <w:top w:val="nil"/>
              <w:bottom w:val="nil"/>
            </w:tcBorders>
          </w:tcPr>
          <w:p w14:paraId="6EB03483" w14:textId="77777777" w:rsidR="00583D11" w:rsidRPr="00F93BAE" w:rsidRDefault="00583D11" w:rsidP="00583D11">
            <w:pPr>
              <w:spacing w:before="100" w:beforeAutospacing="1" w:after="100" w:afterAutospacing="1" w:line="360" w:lineRule="auto"/>
              <w:rPr>
                <w:rFonts w:asciiTheme="majorHAnsi" w:hAnsiTheme="majorHAnsi" w:cstheme="majorHAnsi"/>
                <w:color w:val="000000"/>
                <w:sz w:val="20"/>
                <w:szCs w:val="20"/>
                <w:lang w:val="en-US"/>
              </w:rPr>
            </w:pPr>
          </w:p>
        </w:tc>
      </w:tr>
      <w:tr w:rsidR="00583D11" w:rsidRPr="00F93BAE" w14:paraId="15ADD984" w14:textId="2060FDD9" w:rsidTr="00583D11">
        <w:trPr>
          <w:trHeight w:val="310"/>
        </w:trPr>
        <w:tc>
          <w:tcPr>
            <w:tcW w:w="693" w:type="dxa"/>
            <w:noWrap/>
            <w:hideMark/>
          </w:tcPr>
          <w:p w14:paraId="3E2C7BE9" w14:textId="77777777" w:rsidR="00583D11" w:rsidRPr="00F93BAE" w:rsidRDefault="00583D11" w:rsidP="00583D11">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3</w:t>
            </w:r>
          </w:p>
        </w:tc>
        <w:tc>
          <w:tcPr>
            <w:tcW w:w="1003" w:type="dxa"/>
            <w:noWrap/>
            <w:hideMark/>
          </w:tcPr>
          <w:p w14:paraId="4B9A5C68" w14:textId="77777777" w:rsidR="00583D11" w:rsidRPr="00F93BAE" w:rsidRDefault="00583D11" w:rsidP="00583D11">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VI</w:t>
            </w:r>
          </w:p>
        </w:tc>
        <w:tc>
          <w:tcPr>
            <w:tcW w:w="1410" w:type="dxa"/>
            <w:hideMark/>
          </w:tcPr>
          <w:p w14:paraId="7BD7D58C" w14:textId="77777777" w:rsidR="00583D11" w:rsidRPr="00F93BAE" w:rsidRDefault="00583D11" w:rsidP="00583D11">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Iloilo City</w:t>
            </w:r>
          </w:p>
        </w:tc>
        <w:tc>
          <w:tcPr>
            <w:tcW w:w="1077" w:type="dxa"/>
            <w:noWrap/>
            <w:hideMark/>
          </w:tcPr>
          <w:p w14:paraId="22285EE9" w14:textId="77777777" w:rsidR="00583D11" w:rsidRPr="00F93BAE" w:rsidRDefault="00583D11" w:rsidP="00583D11">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117597</w:t>
            </w:r>
          </w:p>
        </w:tc>
        <w:tc>
          <w:tcPr>
            <w:tcW w:w="3173" w:type="dxa"/>
            <w:hideMark/>
          </w:tcPr>
          <w:p w14:paraId="01CDDEA6" w14:textId="77777777" w:rsidR="00583D11" w:rsidRPr="00F93BAE" w:rsidRDefault="00583D11" w:rsidP="00583D11">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Jaro Elementary School I</w:t>
            </w:r>
          </w:p>
        </w:tc>
        <w:tc>
          <w:tcPr>
            <w:tcW w:w="1684" w:type="dxa"/>
            <w:tcBorders>
              <w:top w:val="nil"/>
              <w:bottom w:val="single" w:sz="4" w:space="0" w:color="auto"/>
            </w:tcBorders>
          </w:tcPr>
          <w:p w14:paraId="0F3EF4A7" w14:textId="77777777" w:rsidR="00583D11" w:rsidRPr="00F93BAE" w:rsidRDefault="00583D11" w:rsidP="00583D11">
            <w:pPr>
              <w:spacing w:before="100" w:beforeAutospacing="1" w:after="100" w:afterAutospacing="1" w:line="360" w:lineRule="auto"/>
              <w:rPr>
                <w:rFonts w:asciiTheme="majorHAnsi" w:hAnsiTheme="majorHAnsi" w:cstheme="majorHAnsi"/>
                <w:color w:val="000000"/>
                <w:sz w:val="20"/>
                <w:szCs w:val="20"/>
                <w:lang w:val="en-US"/>
              </w:rPr>
            </w:pPr>
          </w:p>
        </w:tc>
      </w:tr>
      <w:tr w:rsidR="00583D11" w:rsidRPr="00F93BAE" w14:paraId="5771AF86" w14:textId="370C6E88" w:rsidTr="00583D11">
        <w:trPr>
          <w:trHeight w:val="310"/>
        </w:trPr>
        <w:tc>
          <w:tcPr>
            <w:tcW w:w="693" w:type="dxa"/>
            <w:noWrap/>
            <w:hideMark/>
          </w:tcPr>
          <w:p w14:paraId="497E46FD" w14:textId="77777777" w:rsidR="00583D11" w:rsidRPr="00F93BAE" w:rsidRDefault="00583D11" w:rsidP="00583D11">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4</w:t>
            </w:r>
          </w:p>
        </w:tc>
        <w:tc>
          <w:tcPr>
            <w:tcW w:w="1003" w:type="dxa"/>
            <w:noWrap/>
            <w:hideMark/>
          </w:tcPr>
          <w:p w14:paraId="0C762DEE" w14:textId="77777777" w:rsidR="00583D11" w:rsidRPr="00F93BAE" w:rsidRDefault="00583D11" w:rsidP="00583D11">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NCR</w:t>
            </w:r>
          </w:p>
        </w:tc>
        <w:tc>
          <w:tcPr>
            <w:tcW w:w="1410" w:type="dxa"/>
            <w:hideMark/>
          </w:tcPr>
          <w:p w14:paraId="2CCCCB05" w14:textId="77777777" w:rsidR="00583D11" w:rsidRPr="00F93BAE" w:rsidRDefault="00583D11" w:rsidP="00583D11">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Quezon City</w:t>
            </w:r>
          </w:p>
        </w:tc>
        <w:tc>
          <w:tcPr>
            <w:tcW w:w="1077" w:type="dxa"/>
            <w:noWrap/>
            <w:hideMark/>
          </w:tcPr>
          <w:p w14:paraId="47954433" w14:textId="77777777" w:rsidR="00583D11" w:rsidRPr="00F93BAE" w:rsidRDefault="00583D11" w:rsidP="00583D11">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132828</w:t>
            </w:r>
          </w:p>
        </w:tc>
        <w:tc>
          <w:tcPr>
            <w:tcW w:w="3173" w:type="dxa"/>
            <w:hideMark/>
          </w:tcPr>
          <w:p w14:paraId="44663A02" w14:textId="77777777" w:rsidR="00583D11" w:rsidRPr="00F93BAE" w:rsidRDefault="00583D11" w:rsidP="00583D11">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San Antonio Elementary School</w:t>
            </w:r>
          </w:p>
        </w:tc>
        <w:tc>
          <w:tcPr>
            <w:tcW w:w="1684" w:type="dxa"/>
            <w:tcBorders>
              <w:bottom w:val="nil"/>
            </w:tcBorders>
          </w:tcPr>
          <w:p w14:paraId="787FE545" w14:textId="61C58B3B" w:rsidR="00583D11" w:rsidRPr="00F93BAE" w:rsidRDefault="00583D11" w:rsidP="00583D11">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PPMES and L&amp;D</w:t>
            </w:r>
          </w:p>
        </w:tc>
      </w:tr>
      <w:tr w:rsidR="00583D11" w:rsidRPr="00F93BAE" w14:paraId="6A0FF4CE" w14:textId="2B6D474A" w:rsidTr="00583D11">
        <w:trPr>
          <w:trHeight w:val="310"/>
        </w:trPr>
        <w:tc>
          <w:tcPr>
            <w:tcW w:w="693" w:type="dxa"/>
            <w:noWrap/>
            <w:hideMark/>
          </w:tcPr>
          <w:p w14:paraId="3F679C1E" w14:textId="77777777" w:rsidR="00583D11" w:rsidRPr="00F93BAE" w:rsidRDefault="00583D11" w:rsidP="00583D11">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5</w:t>
            </w:r>
          </w:p>
        </w:tc>
        <w:tc>
          <w:tcPr>
            <w:tcW w:w="1003" w:type="dxa"/>
            <w:noWrap/>
            <w:hideMark/>
          </w:tcPr>
          <w:p w14:paraId="04DD0F15" w14:textId="77777777" w:rsidR="00583D11" w:rsidRPr="00F93BAE" w:rsidRDefault="00583D11" w:rsidP="00583D11">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NCR</w:t>
            </w:r>
          </w:p>
        </w:tc>
        <w:tc>
          <w:tcPr>
            <w:tcW w:w="1410" w:type="dxa"/>
            <w:hideMark/>
          </w:tcPr>
          <w:p w14:paraId="2F98467D" w14:textId="77777777" w:rsidR="00583D11" w:rsidRPr="00F93BAE" w:rsidRDefault="00583D11" w:rsidP="00583D11">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Quezon City</w:t>
            </w:r>
          </w:p>
        </w:tc>
        <w:tc>
          <w:tcPr>
            <w:tcW w:w="1077" w:type="dxa"/>
            <w:noWrap/>
            <w:hideMark/>
          </w:tcPr>
          <w:p w14:paraId="7FD4E32D" w14:textId="77777777" w:rsidR="00583D11" w:rsidRPr="00F93BAE" w:rsidRDefault="00583D11" w:rsidP="00583D11">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136078</w:t>
            </w:r>
          </w:p>
        </w:tc>
        <w:tc>
          <w:tcPr>
            <w:tcW w:w="3173" w:type="dxa"/>
            <w:hideMark/>
          </w:tcPr>
          <w:p w14:paraId="251C3746" w14:textId="77777777" w:rsidR="00583D11" w:rsidRPr="00F93BAE" w:rsidRDefault="00583D11" w:rsidP="00583D11">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San Francisco Elementary School</w:t>
            </w:r>
          </w:p>
        </w:tc>
        <w:tc>
          <w:tcPr>
            <w:tcW w:w="1684" w:type="dxa"/>
            <w:tcBorders>
              <w:top w:val="nil"/>
              <w:bottom w:val="nil"/>
            </w:tcBorders>
          </w:tcPr>
          <w:p w14:paraId="0A9ED597" w14:textId="77777777" w:rsidR="00583D11" w:rsidRPr="00F93BAE" w:rsidRDefault="00583D11" w:rsidP="00583D11">
            <w:pPr>
              <w:spacing w:before="100" w:beforeAutospacing="1" w:after="100" w:afterAutospacing="1" w:line="360" w:lineRule="auto"/>
              <w:rPr>
                <w:rFonts w:asciiTheme="majorHAnsi" w:hAnsiTheme="majorHAnsi" w:cstheme="majorHAnsi"/>
                <w:color w:val="000000"/>
                <w:sz w:val="20"/>
                <w:szCs w:val="20"/>
                <w:lang w:val="en-US"/>
              </w:rPr>
            </w:pPr>
          </w:p>
        </w:tc>
      </w:tr>
      <w:tr w:rsidR="00583D11" w:rsidRPr="00F93BAE" w14:paraId="0C3A742F" w14:textId="52942D54" w:rsidTr="00583D11">
        <w:trPr>
          <w:trHeight w:val="310"/>
        </w:trPr>
        <w:tc>
          <w:tcPr>
            <w:tcW w:w="693" w:type="dxa"/>
            <w:noWrap/>
            <w:hideMark/>
          </w:tcPr>
          <w:p w14:paraId="012F77CE" w14:textId="77777777" w:rsidR="00583D11" w:rsidRPr="00F93BAE" w:rsidRDefault="00583D11" w:rsidP="00583D11">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6</w:t>
            </w:r>
          </w:p>
        </w:tc>
        <w:tc>
          <w:tcPr>
            <w:tcW w:w="1003" w:type="dxa"/>
            <w:noWrap/>
            <w:hideMark/>
          </w:tcPr>
          <w:p w14:paraId="1513BBB5" w14:textId="77777777" w:rsidR="00583D11" w:rsidRPr="00F93BAE" w:rsidRDefault="00583D11" w:rsidP="00583D11">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VI</w:t>
            </w:r>
          </w:p>
        </w:tc>
        <w:tc>
          <w:tcPr>
            <w:tcW w:w="1410" w:type="dxa"/>
            <w:hideMark/>
          </w:tcPr>
          <w:p w14:paraId="3114C621" w14:textId="77777777" w:rsidR="00583D11" w:rsidRPr="00F93BAE" w:rsidRDefault="00583D11" w:rsidP="00583D11">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Guimaras</w:t>
            </w:r>
          </w:p>
        </w:tc>
        <w:tc>
          <w:tcPr>
            <w:tcW w:w="1077" w:type="dxa"/>
            <w:noWrap/>
            <w:hideMark/>
          </w:tcPr>
          <w:p w14:paraId="0501A7E3" w14:textId="77777777" w:rsidR="00583D11" w:rsidRPr="00F93BAE" w:rsidRDefault="00583D11" w:rsidP="00583D11">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115879</w:t>
            </w:r>
          </w:p>
        </w:tc>
        <w:tc>
          <w:tcPr>
            <w:tcW w:w="3173" w:type="dxa"/>
            <w:hideMark/>
          </w:tcPr>
          <w:p w14:paraId="2B925AAA" w14:textId="77777777" w:rsidR="00583D11" w:rsidRPr="00F93BAE" w:rsidRDefault="00583D11" w:rsidP="00583D11">
            <w:pPr>
              <w:spacing w:before="100" w:beforeAutospacing="1" w:after="100" w:afterAutospacing="1" w:line="360" w:lineRule="auto"/>
              <w:rPr>
                <w:rFonts w:asciiTheme="majorHAnsi" w:hAnsiTheme="majorHAnsi" w:cstheme="majorHAnsi"/>
                <w:b/>
                <w:bCs/>
                <w:color w:val="0070C0"/>
                <w:sz w:val="20"/>
                <w:szCs w:val="20"/>
                <w:lang w:val="en-US"/>
              </w:rPr>
            </w:pPr>
            <w:r w:rsidRPr="00F93BAE">
              <w:rPr>
                <w:rFonts w:asciiTheme="majorHAnsi" w:hAnsiTheme="majorHAnsi" w:cstheme="majorHAnsi"/>
                <w:b/>
                <w:bCs/>
                <w:color w:val="0070C0"/>
                <w:sz w:val="20"/>
                <w:szCs w:val="20"/>
                <w:lang w:val="en-US"/>
              </w:rPr>
              <w:t xml:space="preserve">Liningwan Central School </w:t>
            </w:r>
            <w:r w:rsidRPr="00F93BAE">
              <w:rPr>
                <w:rFonts w:asciiTheme="majorHAnsi" w:hAnsiTheme="majorHAnsi" w:cstheme="majorHAnsi"/>
                <w:bCs/>
                <w:color w:val="000000" w:themeColor="text1"/>
                <w:sz w:val="20"/>
                <w:szCs w:val="20"/>
                <w:lang w:val="en-US"/>
              </w:rPr>
              <w:t>(Outlier)</w:t>
            </w:r>
          </w:p>
        </w:tc>
        <w:tc>
          <w:tcPr>
            <w:tcW w:w="1684" w:type="dxa"/>
            <w:tcBorders>
              <w:top w:val="nil"/>
              <w:bottom w:val="nil"/>
            </w:tcBorders>
          </w:tcPr>
          <w:p w14:paraId="29F99ED5" w14:textId="77777777" w:rsidR="00583D11" w:rsidRPr="00F93BAE" w:rsidRDefault="00583D11" w:rsidP="00583D11">
            <w:pPr>
              <w:spacing w:before="100" w:beforeAutospacing="1" w:after="100" w:afterAutospacing="1" w:line="360" w:lineRule="auto"/>
              <w:rPr>
                <w:rFonts w:asciiTheme="majorHAnsi" w:hAnsiTheme="majorHAnsi" w:cstheme="majorHAnsi"/>
                <w:color w:val="000000"/>
                <w:sz w:val="20"/>
                <w:szCs w:val="20"/>
                <w:lang w:val="en-US"/>
              </w:rPr>
            </w:pPr>
          </w:p>
        </w:tc>
      </w:tr>
      <w:tr w:rsidR="00583D11" w:rsidRPr="00F93BAE" w14:paraId="46636581" w14:textId="52B98330" w:rsidTr="00583D11">
        <w:trPr>
          <w:trHeight w:val="310"/>
        </w:trPr>
        <w:tc>
          <w:tcPr>
            <w:tcW w:w="693" w:type="dxa"/>
            <w:noWrap/>
            <w:hideMark/>
          </w:tcPr>
          <w:p w14:paraId="3987D3E7" w14:textId="77777777" w:rsidR="00583D11" w:rsidRPr="00F93BAE" w:rsidRDefault="00583D11" w:rsidP="00583D11">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7</w:t>
            </w:r>
          </w:p>
        </w:tc>
        <w:tc>
          <w:tcPr>
            <w:tcW w:w="1003" w:type="dxa"/>
            <w:noWrap/>
            <w:hideMark/>
          </w:tcPr>
          <w:p w14:paraId="2AD9162E" w14:textId="77777777" w:rsidR="00583D11" w:rsidRPr="00F93BAE" w:rsidRDefault="00583D11" w:rsidP="00583D11">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VI</w:t>
            </w:r>
          </w:p>
        </w:tc>
        <w:tc>
          <w:tcPr>
            <w:tcW w:w="1410" w:type="dxa"/>
            <w:hideMark/>
          </w:tcPr>
          <w:p w14:paraId="6534A8FE" w14:textId="77777777" w:rsidR="00583D11" w:rsidRPr="00F93BAE" w:rsidRDefault="00583D11" w:rsidP="00583D11">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Iloilo</w:t>
            </w:r>
          </w:p>
        </w:tc>
        <w:tc>
          <w:tcPr>
            <w:tcW w:w="1077" w:type="dxa"/>
            <w:noWrap/>
            <w:hideMark/>
          </w:tcPr>
          <w:p w14:paraId="304400A6" w14:textId="77777777" w:rsidR="00583D11" w:rsidRPr="00F93BAE" w:rsidRDefault="00583D11" w:rsidP="00583D11">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117595</w:t>
            </w:r>
          </w:p>
        </w:tc>
        <w:tc>
          <w:tcPr>
            <w:tcW w:w="3173" w:type="dxa"/>
            <w:noWrap/>
            <w:hideMark/>
          </w:tcPr>
          <w:p w14:paraId="3BD9BB1E" w14:textId="77777777" w:rsidR="00583D11" w:rsidRPr="00F93BAE" w:rsidRDefault="00583D11" w:rsidP="00583D11">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Janiuay Pilot Elementary School</w:t>
            </w:r>
          </w:p>
        </w:tc>
        <w:tc>
          <w:tcPr>
            <w:tcW w:w="1684" w:type="dxa"/>
            <w:tcBorders>
              <w:top w:val="nil"/>
              <w:bottom w:val="nil"/>
            </w:tcBorders>
          </w:tcPr>
          <w:p w14:paraId="0E7A954D" w14:textId="77777777" w:rsidR="00583D11" w:rsidRPr="00F93BAE" w:rsidRDefault="00583D11" w:rsidP="00583D11">
            <w:pPr>
              <w:spacing w:before="100" w:beforeAutospacing="1" w:after="100" w:afterAutospacing="1" w:line="360" w:lineRule="auto"/>
              <w:rPr>
                <w:rFonts w:asciiTheme="majorHAnsi" w:hAnsiTheme="majorHAnsi" w:cstheme="majorHAnsi"/>
                <w:color w:val="000000"/>
                <w:sz w:val="20"/>
                <w:szCs w:val="20"/>
                <w:lang w:val="en-US"/>
              </w:rPr>
            </w:pPr>
          </w:p>
        </w:tc>
      </w:tr>
      <w:tr w:rsidR="00583D11" w:rsidRPr="00F93BAE" w14:paraId="587492EC" w14:textId="73997A8F" w:rsidTr="00583D11">
        <w:trPr>
          <w:trHeight w:val="310"/>
        </w:trPr>
        <w:tc>
          <w:tcPr>
            <w:tcW w:w="693" w:type="dxa"/>
            <w:noWrap/>
            <w:hideMark/>
          </w:tcPr>
          <w:p w14:paraId="6E39D8F5" w14:textId="77777777" w:rsidR="00583D11" w:rsidRPr="00F93BAE" w:rsidRDefault="00583D11" w:rsidP="00583D11">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8</w:t>
            </w:r>
          </w:p>
        </w:tc>
        <w:tc>
          <w:tcPr>
            <w:tcW w:w="1003" w:type="dxa"/>
            <w:noWrap/>
            <w:hideMark/>
          </w:tcPr>
          <w:p w14:paraId="3C4519B4" w14:textId="77777777" w:rsidR="00583D11" w:rsidRPr="00F93BAE" w:rsidRDefault="00583D11" w:rsidP="00583D11">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 xml:space="preserve">V </w:t>
            </w:r>
          </w:p>
        </w:tc>
        <w:tc>
          <w:tcPr>
            <w:tcW w:w="1410" w:type="dxa"/>
            <w:hideMark/>
          </w:tcPr>
          <w:p w14:paraId="41F7DB0B" w14:textId="77777777" w:rsidR="00583D11" w:rsidRPr="00F93BAE" w:rsidRDefault="00583D11" w:rsidP="00583D11">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Sorsogon</w:t>
            </w:r>
          </w:p>
        </w:tc>
        <w:tc>
          <w:tcPr>
            <w:tcW w:w="1077" w:type="dxa"/>
            <w:noWrap/>
            <w:hideMark/>
          </w:tcPr>
          <w:p w14:paraId="5C9B07DE" w14:textId="77777777" w:rsidR="00583D11" w:rsidRPr="00F93BAE" w:rsidRDefault="00583D11" w:rsidP="00583D11">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114340</w:t>
            </w:r>
          </w:p>
        </w:tc>
        <w:tc>
          <w:tcPr>
            <w:tcW w:w="3173" w:type="dxa"/>
            <w:hideMark/>
          </w:tcPr>
          <w:p w14:paraId="4289A571" w14:textId="77777777" w:rsidR="00583D11" w:rsidRPr="00F93BAE" w:rsidRDefault="00583D11" w:rsidP="00583D11">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Bulabog Elementary School</w:t>
            </w:r>
          </w:p>
        </w:tc>
        <w:tc>
          <w:tcPr>
            <w:tcW w:w="1684" w:type="dxa"/>
            <w:tcBorders>
              <w:top w:val="nil"/>
              <w:bottom w:val="single" w:sz="4" w:space="0" w:color="auto"/>
            </w:tcBorders>
          </w:tcPr>
          <w:p w14:paraId="1CB85BAA" w14:textId="77777777" w:rsidR="00583D11" w:rsidRPr="00F93BAE" w:rsidRDefault="00583D11" w:rsidP="00583D11">
            <w:pPr>
              <w:spacing w:before="100" w:beforeAutospacing="1" w:after="100" w:afterAutospacing="1" w:line="360" w:lineRule="auto"/>
              <w:rPr>
                <w:rFonts w:asciiTheme="majorHAnsi" w:hAnsiTheme="majorHAnsi" w:cstheme="majorHAnsi"/>
                <w:color w:val="000000"/>
                <w:sz w:val="20"/>
                <w:szCs w:val="20"/>
                <w:lang w:val="en-US"/>
              </w:rPr>
            </w:pPr>
          </w:p>
        </w:tc>
      </w:tr>
      <w:tr w:rsidR="00583D11" w:rsidRPr="00F93BAE" w14:paraId="12BA2D0B" w14:textId="2B5DADAA" w:rsidTr="00583D11">
        <w:trPr>
          <w:trHeight w:val="310"/>
        </w:trPr>
        <w:tc>
          <w:tcPr>
            <w:tcW w:w="693" w:type="dxa"/>
            <w:noWrap/>
            <w:hideMark/>
          </w:tcPr>
          <w:p w14:paraId="0B354819" w14:textId="77777777" w:rsidR="00583D11" w:rsidRPr="00F93BAE" w:rsidRDefault="00583D11" w:rsidP="00583D11">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9</w:t>
            </w:r>
          </w:p>
        </w:tc>
        <w:tc>
          <w:tcPr>
            <w:tcW w:w="1003" w:type="dxa"/>
            <w:noWrap/>
            <w:hideMark/>
          </w:tcPr>
          <w:p w14:paraId="161B8AD3" w14:textId="77777777" w:rsidR="00583D11" w:rsidRPr="00F93BAE" w:rsidRDefault="00583D11" w:rsidP="00583D11">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 xml:space="preserve">V </w:t>
            </w:r>
          </w:p>
        </w:tc>
        <w:tc>
          <w:tcPr>
            <w:tcW w:w="1410" w:type="dxa"/>
            <w:hideMark/>
          </w:tcPr>
          <w:p w14:paraId="39A98CC8" w14:textId="77777777" w:rsidR="00583D11" w:rsidRPr="00F93BAE" w:rsidRDefault="00583D11" w:rsidP="00583D11">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Albay</w:t>
            </w:r>
          </w:p>
        </w:tc>
        <w:tc>
          <w:tcPr>
            <w:tcW w:w="1077" w:type="dxa"/>
            <w:noWrap/>
            <w:hideMark/>
          </w:tcPr>
          <w:p w14:paraId="388A9D1D" w14:textId="77777777" w:rsidR="00583D11" w:rsidRPr="00F93BAE" w:rsidRDefault="00583D11" w:rsidP="00583D11">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111802</w:t>
            </w:r>
          </w:p>
        </w:tc>
        <w:tc>
          <w:tcPr>
            <w:tcW w:w="3173" w:type="dxa"/>
            <w:hideMark/>
          </w:tcPr>
          <w:p w14:paraId="38BA2DD0" w14:textId="77777777" w:rsidR="00583D11" w:rsidRPr="00F93BAE" w:rsidRDefault="00583D11" w:rsidP="00583D11">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Sagrada Familia Elementary School</w:t>
            </w:r>
          </w:p>
        </w:tc>
        <w:tc>
          <w:tcPr>
            <w:tcW w:w="1684" w:type="dxa"/>
            <w:tcBorders>
              <w:bottom w:val="nil"/>
            </w:tcBorders>
          </w:tcPr>
          <w:p w14:paraId="66FA19D7" w14:textId="727B2E79" w:rsidR="00583D11" w:rsidRPr="00F93BAE" w:rsidRDefault="00583D11" w:rsidP="00583D11">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PPMES and CAS</w:t>
            </w:r>
          </w:p>
        </w:tc>
      </w:tr>
      <w:tr w:rsidR="00583D11" w:rsidRPr="00F93BAE" w14:paraId="0F06C0A8" w14:textId="69BF6031" w:rsidTr="00583D11">
        <w:trPr>
          <w:trHeight w:val="310"/>
        </w:trPr>
        <w:tc>
          <w:tcPr>
            <w:tcW w:w="693" w:type="dxa"/>
            <w:noWrap/>
            <w:hideMark/>
          </w:tcPr>
          <w:p w14:paraId="0B5EAFC7" w14:textId="77777777" w:rsidR="00583D11" w:rsidRPr="00F93BAE" w:rsidRDefault="00583D11" w:rsidP="00583D11">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10</w:t>
            </w:r>
          </w:p>
        </w:tc>
        <w:tc>
          <w:tcPr>
            <w:tcW w:w="1003" w:type="dxa"/>
            <w:noWrap/>
            <w:hideMark/>
          </w:tcPr>
          <w:p w14:paraId="4A8A2249" w14:textId="77777777" w:rsidR="00583D11" w:rsidRPr="00F93BAE" w:rsidRDefault="00583D11" w:rsidP="00583D11">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NCR</w:t>
            </w:r>
          </w:p>
        </w:tc>
        <w:tc>
          <w:tcPr>
            <w:tcW w:w="1410" w:type="dxa"/>
            <w:hideMark/>
          </w:tcPr>
          <w:p w14:paraId="30521ED1" w14:textId="77777777" w:rsidR="00583D11" w:rsidRPr="00F93BAE" w:rsidRDefault="00583D11" w:rsidP="00583D11">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 xml:space="preserve">Paranaque </w:t>
            </w:r>
          </w:p>
        </w:tc>
        <w:tc>
          <w:tcPr>
            <w:tcW w:w="1077" w:type="dxa"/>
            <w:noWrap/>
            <w:hideMark/>
          </w:tcPr>
          <w:p w14:paraId="5974F8AA" w14:textId="77777777" w:rsidR="00583D11" w:rsidRPr="00F93BAE" w:rsidRDefault="00583D11" w:rsidP="00583D11">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136756</w:t>
            </w:r>
          </w:p>
        </w:tc>
        <w:tc>
          <w:tcPr>
            <w:tcW w:w="3173" w:type="dxa"/>
            <w:hideMark/>
          </w:tcPr>
          <w:p w14:paraId="77746932" w14:textId="77777777" w:rsidR="00583D11" w:rsidRPr="00F93BAE" w:rsidRDefault="00583D11" w:rsidP="00583D11">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Paranaque ES Central</w:t>
            </w:r>
          </w:p>
        </w:tc>
        <w:tc>
          <w:tcPr>
            <w:tcW w:w="1684" w:type="dxa"/>
            <w:tcBorders>
              <w:top w:val="nil"/>
              <w:bottom w:val="nil"/>
            </w:tcBorders>
          </w:tcPr>
          <w:p w14:paraId="4A9219B8" w14:textId="77777777" w:rsidR="00583D11" w:rsidRPr="00F93BAE" w:rsidRDefault="00583D11" w:rsidP="00583D11">
            <w:pPr>
              <w:spacing w:before="100" w:beforeAutospacing="1" w:after="100" w:afterAutospacing="1" w:line="360" w:lineRule="auto"/>
              <w:rPr>
                <w:rFonts w:asciiTheme="majorHAnsi" w:hAnsiTheme="majorHAnsi" w:cstheme="majorHAnsi"/>
                <w:color w:val="000000"/>
                <w:sz w:val="20"/>
                <w:szCs w:val="20"/>
                <w:lang w:val="en-US"/>
              </w:rPr>
            </w:pPr>
          </w:p>
        </w:tc>
      </w:tr>
      <w:tr w:rsidR="00583D11" w:rsidRPr="00F93BAE" w14:paraId="1FD28105" w14:textId="587DEF44" w:rsidTr="00583D11">
        <w:trPr>
          <w:trHeight w:val="580"/>
        </w:trPr>
        <w:tc>
          <w:tcPr>
            <w:tcW w:w="693" w:type="dxa"/>
            <w:noWrap/>
            <w:hideMark/>
          </w:tcPr>
          <w:p w14:paraId="111996D8" w14:textId="77777777" w:rsidR="00583D11" w:rsidRPr="00F93BAE" w:rsidRDefault="00583D11" w:rsidP="00583D11">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11</w:t>
            </w:r>
          </w:p>
        </w:tc>
        <w:tc>
          <w:tcPr>
            <w:tcW w:w="1003" w:type="dxa"/>
            <w:noWrap/>
            <w:hideMark/>
          </w:tcPr>
          <w:p w14:paraId="1DBC9D95" w14:textId="77777777" w:rsidR="00583D11" w:rsidRPr="00F93BAE" w:rsidRDefault="00583D11" w:rsidP="00583D11">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 xml:space="preserve">V </w:t>
            </w:r>
          </w:p>
        </w:tc>
        <w:tc>
          <w:tcPr>
            <w:tcW w:w="1410" w:type="dxa"/>
            <w:hideMark/>
          </w:tcPr>
          <w:p w14:paraId="67F6310C" w14:textId="77777777" w:rsidR="00583D11" w:rsidRPr="00F93BAE" w:rsidRDefault="00583D11" w:rsidP="00583D11">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Camarines Sur</w:t>
            </w:r>
          </w:p>
        </w:tc>
        <w:tc>
          <w:tcPr>
            <w:tcW w:w="1077" w:type="dxa"/>
            <w:noWrap/>
            <w:hideMark/>
          </w:tcPr>
          <w:p w14:paraId="6AC483FB" w14:textId="77777777" w:rsidR="00583D11" w:rsidRPr="00F93BAE" w:rsidRDefault="00583D11" w:rsidP="00583D11">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112509</w:t>
            </w:r>
          </w:p>
        </w:tc>
        <w:tc>
          <w:tcPr>
            <w:tcW w:w="3173" w:type="dxa"/>
            <w:hideMark/>
          </w:tcPr>
          <w:p w14:paraId="1008203C" w14:textId="77777777" w:rsidR="00583D11" w:rsidRPr="00F93BAE" w:rsidRDefault="00583D11" w:rsidP="00583D11">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Haring San Agustin Elementary School - Annex</w:t>
            </w:r>
          </w:p>
        </w:tc>
        <w:tc>
          <w:tcPr>
            <w:tcW w:w="1684" w:type="dxa"/>
            <w:tcBorders>
              <w:top w:val="nil"/>
            </w:tcBorders>
          </w:tcPr>
          <w:p w14:paraId="70A89ACD" w14:textId="77777777" w:rsidR="00583D11" w:rsidRPr="00F93BAE" w:rsidRDefault="00583D11" w:rsidP="00583D11">
            <w:pPr>
              <w:spacing w:before="100" w:beforeAutospacing="1" w:after="100" w:afterAutospacing="1" w:line="360" w:lineRule="auto"/>
              <w:rPr>
                <w:rFonts w:asciiTheme="majorHAnsi" w:hAnsiTheme="majorHAnsi" w:cstheme="majorHAnsi"/>
                <w:color w:val="000000"/>
                <w:sz w:val="20"/>
                <w:szCs w:val="20"/>
                <w:lang w:val="en-US"/>
              </w:rPr>
            </w:pPr>
          </w:p>
        </w:tc>
      </w:tr>
      <w:tr w:rsidR="00583D11" w:rsidRPr="00F93BAE" w14:paraId="48C5D521" w14:textId="10DB78FA" w:rsidTr="00583D11">
        <w:trPr>
          <w:trHeight w:val="310"/>
        </w:trPr>
        <w:tc>
          <w:tcPr>
            <w:tcW w:w="693" w:type="dxa"/>
            <w:noWrap/>
            <w:hideMark/>
          </w:tcPr>
          <w:p w14:paraId="69AC52FD" w14:textId="77777777" w:rsidR="00583D11" w:rsidRPr="00F93BAE" w:rsidRDefault="00583D11" w:rsidP="00583D11">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12</w:t>
            </w:r>
          </w:p>
        </w:tc>
        <w:tc>
          <w:tcPr>
            <w:tcW w:w="1003" w:type="dxa"/>
            <w:noWrap/>
            <w:hideMark/>
          </w:tcPr>
          <w:p w14:paraId="12F89A44" w14:textId="77777777" w:rsidR="00583D11" w:rsidRPr="00F93BAE" w:rsidRDefault="00583D11" w:rsidP="00583D11">
            <w:pPr>
              <w:spacing w:before="100" w:beforeAutospacing="1" w:after="100" w:afterAutospacing="1" w:line="360" w:lineRule="auto"/>
              <w:rPr>
                <w:rFonts w:asciiTheme="majorHAnsi" w:hAnsiTheme="majorHAnsi" w:cstheme="majorHAnsi"/>
                <w:color w:val="000000"/>
                <w:sz w:val="20"/>
                <w:szCs w:val="20"/>
                <w:lang w:val="en-US"/>
              </w:rPr>
            </w:pPr>
            <w:r w:rsidRPr="00F93BAE">
              <w:rPr>
                <w:rFonts w:asciiTheme="majorHAnsi" w:hAnsiTheme="majorHAnsi" w:cstheme="majorHAnsi"/>
                <w:color w:val="000000"/>
                <w:sz w:val="20"/>
                <w:szCs w:val="20"/>
                <w:lang w:val="en-US"/>
              </w:rPr>
              <w:t>VI</w:t>
            </w:r>
          </w:p>
        </w:tc>
        <w:tc>
          <w:tcPr>
            <w:tcW w:w="1410" w:type="dxa"/>
            <w:hideMark/>
          </w:tcPr>
          <w:p w14:paraId="6642DAD3" w14:textId="77777777" w:rsidR="00583D11" w:rsidRPr="00F93BAE" w:rsidRDefault="00583D11" w:rsidP="00583D11">
            <w:pPr>
              <w:spacing w:before="100" w:beforeAutospacing="1" w:after="100" w:afterAutospacing="1" w:line="360" w:lineRule="auto"/>
              <w:rPr>
                <w:rFonts w:asciiTheme="majorHAnsi" w:hAnsiTheme="majorHAnsi" w:cstheme="majorHAnsi"/>
                <w:bCs/>
                <w:color w:val="000000"/>
                <w:sz w:val="20"/>
                <w:szCs w:val="20"/>
                <w:lang w:val="en-US"/>
              </w:rPr>
            </w:pPr>
            <w:r w:rsidRPr="00F93BAE">
              <w:rPr>
                <w:rFonts w:asciiTheme="majorHAnsi" w:hAnsiTheme="majorHAnsi" w:cstheme="majorHAnsi"/>
                <w:bCs/>
                <w:color w:val="000000"/>
                <w:sz w:val="20"/>
                <w:szCs w:val="20"/>
                <w:lang w:val="en-US"/>
              </w:rPr>
              <w:t>Iloilo</w:t>
            </w:r>
          </w:p>
        </w:tc>
        <w:tc>
          <w:tcPr>
            <w:tcW w:w="1077" w:type="dxa"/>
            <w:noWrap/>
            <w:hideMark/>
          </w:tcPr>
          <w:p w14:paraId="2DD1AC5E" w14:textId="77777777" w:rsidR="00583D11" w:rsidRPr="00F93BAE" w:rsidRDefault="00583D11" w:rsidP="00583D11">
            <w:pPr>
              <w:spacing w:before="100" w:beforeAutospacing="1" w:after="100" w:afterAutospacing="1" w:line="360" w:lineRule="auto"/>
              <w:rPr>
                <w:rFonts w:asciiTheme="majorHAnsi" w:hAnsiTheme="majorHAnsi" w:cstheme="majorHAnsi"/>
                <w:bCs/>
                <w:color w:val="000000"/>
                <w:sz w:val="20"/>
                <w:szCs w:val="20"/>
                <w:lang w:val="en-US"/>
              </w:rPr>
            </w:pPr>
            <w:r w:rsidRPr="00F93BAE">
              <w:rPr>
                <w:rFonts w:asciiTheme="majorHAnsi" w:hAnsiTheme="majorHAnsi" w:cstheme="majorHAnsi"/>
                <w:bCs/>
                <w:color w:val="000000"/>
                <w:sz w:val="20"/>
                <w:szCs w:val="20"/>
                <w:lang w:val="en-US"/>
              </w:rPr>
              <w:t>116535</w:t>
            </w:r>
          </w:p>
        </w:tc>
        <w:tc>
          <w:tcPr>
            <w:tcW w:w="3173" w:type="dxa"/>
            <w:hideMark/>
          </w:tcPr>
          <w:p w14:paraId="5FCE5236" w14:textId="77777777" w:rsidR="00583D11" w:rsidRPr="00F93BAE" w:rsidRDefault="00583D11" w:rsidP="00583D11">
            <w:pPr>
              <w:spacing w:before="100" w:beforeAutospacing="1" w:after="100" w:afterAutospacing="1" w:line="360" w:lineRule="auto"/>
              <w:rPr>
                <w:rFonts w:asciiTheme="majorHAnsi" w:hAnsiTheme="majorHAnsi" w:cstheme="majorHAnsi"/>
                <w:b/>
                <w:bCs/>
                <w:color w:val="0070C0"/>
                <w:sz w:val="20"/>
                <w:szCs w:val="20"/>
                <w:lang w:val="en-US"/>
              </w:rPr>
            </w:pPr>
            <w:r w:rsidRPr="00F93BAE">
              <w:rPr>
                <w:rFonts w:asciiTheme="majorHAnsi" w:hAnsiTheme="majorHAnsi" w:cstheme="majorHAnsi"/>
                <w:b/>
                <w:bCs/>
                <w:color w:val="0070C0"/>
                <w:sz w:val="20"/>
                <w:szCs w:val="20"/>
                <w:lang w:val="en-US"/>
              </w:rPr>
              <w:t xml:space="preserve">Burak Elementary School </w:t>
            </w:r>
            <w:r w:rsidRPr="00F93BAE">
              <w:rPr>
                <w:rFonts w:asciiTheme="majorHAnsi" w:hAnsiTheme="majorHAnsi" w:cstheme="majorHAnsi"/>
                <w:bCs/>
                <w:color w:val="000000" w:themeColor="text1"/>
                <w:sz w:val="20"/>
                <w:szCs w:val="20"/>
                <w:lang w:val="en-US"/>
              </w:rPr>
              <w:t>(Outlier)</w:t>
            </w:r>
          </w:p>
        </w:tc>
        <w:tc>
          <w:tcPr>
            <w:tcW w:w="1684" w:type="dxa"/>
          </w:tcPr>
          <w:p w14:paraId="742D2E1C" w14:textId="77777777" w:rsidR="00583D11" w:rsidRPr="00F93BAE" w:rsidRDefault="00583D11" w:rsidP="00583D11">
            <w:pPr>
              <w:spacing w:before="100" w:beforeAutospacing="1" w:after="100" w:afterAutospacing="1" w:line="360" w:lineRule="auto"/>
              <w:rPr>
                <w:rFonts w:asciiTheme="majorHAnsi" w:hAnsiTheme="majorHAnsi" w:cstheme="majorHAnsi"/>
                <w:color w:val="000000"/>
                <w:sz w:val="20"/>
                <w:szCs w:val="20"/>
                <w:lang w:val="en-US"/>
              </w:rPr>
            </w:pPr>
          </w:p>
        </w:tc>
      </w:tr>
    </w:tbl>
    <w:p w14:paraId="334BDC51" w14:textId="77777777" w:rsidR="008D0CAD" w:rsidRPr="00F93BAE" w:rsidRDefault="008D0CAD" w:rsidP="00DD08E3">
      <w:pPr>
        <w:numPr>
          <w:ilvl w:val="1"/>
          <w:numId w:val="70"/>
        </w:numPr>
        <w:spacing w:before="100" w:beforeAutospacing="1" w:after="100" w:afterAutospacing="1" w:line="360" w:lineRule="auto"/>
        <w:rPr>
          <w:rFonts w:asciiTheme="majorHAnsi" w:hAnsiTheme="majorHAnsi" w:cstheme="majorHAnsi"/>
          <w:snapToGrid w:val="0"/>
          <w:szCs w:val="20"/>
          <w:lang w:val="en-US"/>
        </w:rPr>
      </w:pPr>
      <w:r w:rsidRPr="00F93BAE">
        <w:rPr>
          <w:rFonts w:asciiTheme="majorHAnsi" w:hAnsiTheme="majorHAnsi" w:cstheme="majorHAnsi"/>
          <w:b/>
          <w:snapToGrid w:val="0"/>
          <w:szCs w:val="20"/>
          <w:lang w:val="en-US"/>
        </w:rPr>
        <w:t>Evaluation/Research Questions</w:t>
      </w:r>
    </w:p>
    <w:p w14:paraId="004FD26A" w14:textId="77777777" w:rsidR="008D0CAD" w:rsidRPr="00F93BAE" w:rsidRDefault="008D0CAD" w:rsidP="005902F7">
      <w:pPr>
        <w:spacing w:before="100" w:beforeAutospacing="1" w:after="100" w:afterAutospacing="1" w:line="360" w:lineRule="auto"/>
        <w:rPr>
          <w:rFonts w:asciiTheme="majorHAnsi" w:hAnsiTheme="majorHAnsi" w:cstheme="majorHAnsi"/>
          <w:lang w:val="en-US"/>
        </w:rPr>
      </w:pPr>
      <w:r w:rsidRPr="00F93BAE">
        <w:rPr>
          <w:rFonts w:asciiTheme="majorHAnsi" w:hAnsiTheme="majorHAnsi" w:cstheme="majorHAnsi"/>
          <w:color w:val="000000" w:themeColor="text1"/>
          <w:lang w:val="en-US"/>
        </w:rPr>
        <w:t xml:space="preserve">Generally, the extended EOPE Study (Case Study) intends to </w:t>
      </w:r>
      <w:r w:rsidRPr="00F93BAE">
        <w:rPr>
          <w:rFonts w:asciiTheme="majorHAnsi" w:hAnsiTheme="majorHAnsi" w:cstheme="majorHAnsi"/>
          <w:color w:val="000000" w:themeColor="text1"/>
          <w:u w:val="single"/>
          <w:lang w:val="en-US"/>
        </w:rPr>
        <w:t>contribute answers</w:t>
      </w:r>
      <w:r w:rsidRPr="00F93BAE">
        <w:rPr>
          <w:rFonts w:asciiTheme="majorHAnsi" w:hAnsiTheme="majorHAnsi" w:cstheme="majorHAnsi"/>
          <w:color w:val="000000" w:themeColor="text1"/>
          <w:lang w:val="en-US"/>
        </w:rPr>
        <w:t xml:space="preserve"> to two (2) of the five main research questions of the original EOPE Study, namely:</w:t>
      </w:r>
    </w:p>
    <w:p w14:paraId="1147EED3" w14:textId="77777777" w:rsidR="008D0CAD" w:rsidRPr="00F93BAE" w:rsidRDefault="008D0CAD" w:rsidP="00DD08E3">
      <w:pPr>
        <w:numPr>
          <w:ilvl w:val="0"/>
          <w:numId w:val="68"/>
        </w:numPr>
        <w:spacing w:before="100" w:beforeAutospacing="1" w:after="100" w:afterAutospacing="1" w:line="360" w:lineRule="auto"/>
        <w:ind w:left="1276" w:hanging="425"/>
        <w:rPr>
          <w:rFonts w:asciiTheme="majorHAnsi" w:hAnsiTheme="majorHAnsi" w:cstheme="majorHAnsi"/>
          <w:color w:val="000000" w:themeColor="text1"/>
          <w:lang w:val="en-US"/>
        </w:rPr>
      </w:pPr>
      <w:r w:rsidRPr="00F93BAE">
        <w:rPr>
          <w:rFonts w:asciiTheme="majorHAnsi" w:hAnsiTheme="majorHAnsi" w:cstheme="majorHAnsi"/>
          <w:color w:val="000000" w:themeColor="text1"/>
          <w:lang w:val="en-US"/>
        </w:rPr>
        <w:t>To what extent and how, did BEST interventions improve DepEd’s ability to deliver inclusive and responsive basic education services with greater decentralization of management and accountability to the field offices and schools?</w:t>
      </w:r>
    </w:p>
    <w:p w14:paraId="0FA1BE9E" w14:textId="77777777" w:rsidR="008D0CAD" w:rsidRPr="00F93BAE" w:rsidRDefault="008D0CAD" w:rsidP="00DD08E3">
      <w:pPr>
        <w:numPr>
          <w:ilvl w:val="0"/>
          <w:numId w:val="68"/>
        </w:numPr>
        <w:spacing w:before="100" w:beforeAutospacing="1" w:after="100" w:afterAutospacing="1" w:line="360" w:lineRule="auto"/>
        <w:ind w:left="1276" w:hanging="425"/>
        <w:rPr>
          <w:rFonts w:asciiTheme="majorHAnsi" w:hAnsiTheme="majorHAnsi" w:cstheme="majorHAnsi"/>
          <w:color w:val="000000" w:themeColor="text1"/>
          <w:lang w:val="en-US"/>
        </w:rPr>
      </w:pPr>
      <w:r w:rsidRPr="00F93BAE">
        <w:rPr>
          <w:rFonts w:asciiTheme="majorHAnsi" w:hAnsiTheme="majorHAnsi" w:cstheme="majorHAnsi"/>
          <w:color w:val="000000" w:themeColor="text1"/>
          <w:lang w:val="en-US"/>
        </w:rPr>
        <w:t>What factors facilitated and hindered the achievement of the EOPOs and intermediate outcomes?</w:t>
      </w:r>
    </w:p>
    <w:p w14:paraId="4B1A6A74" w14:textId="77777777" w:rsidR="008D0CAD" w:rsidRPr="00F93BAE" w:rsidRDefault="008D0CAD" w:rsidP="005902F7">
      <w:pPr>
        <w:spacing w:before="100" w:beforeAutospacing="1" w:after="100" w:afterAutospacing="1" w:line="360" w:lineRule="auto"/>
        <w:rPr>
          <w:rFonts w:asciiTheme="majorHAnsi" w:hAnsiTheme="majorHAnsi" w:cstheme="majorHAnsi"/>
          <w:lang w:val="en-US"/>
        </w:rPr>
      </w:pPr>
      <w:r w:rsidRPr="00F93BAE">
        <w:rPr>
          <w:rFonts w:asciiTheme="majorHAnsi" w:hAnsiTheme="majorHAnsi" w:cstheme="majorHAnsi"/>
          <w:color w:val="000000" w:themeColor="text1"/>
          <w:u w:val="single"/>
          <w:lang w:val="en-US"/>
        </w:rPr>
        <w:t>More specifically</w:t>
      </w:r>
      <w:r w:rsidRPr="00F93BAE">
        <w:rPr>
          <w:rFonts w:asciiTheme="majorHAnsi" w:hAnsiTheme="majorHAnsi" w:cstheme="majorHAnsi"/>
          <w:color w:val="000000" w:themeColor="text1"/>
          <w:lang w:val="en-US"/>
        </w:rPr>
        <w:t xml:space="preserve">, the extended EOPE Study (Case Study) intends primarily to </w:t>
      </w:r>
      <w:r w:rsidRPr="00F93BAE">
        <w:rPr>
          <w:rFonts w:asciiTheme="majorHAnsi" w:hAnsiTheme="majorHAnsi" w:cstheme="majorHAnsi"/>
          <w:color w:val="000000" w:themeColor="text1"/>
          <w:u w:val="single"/>
          <w:lang w:val="en-US"/>
        </w:rPr>
        <w:t>answer</w:t>
      </w:r>
      <w:r w:rsidRPr="00F93BAE">
        <w:rPr>
          <w:rFonts w:asciiTheme="majorHAnsi" w:hAnsiTheme="majorHAnsi" w:cstheme="majorHAnsi"/>
          <w:color w:val="000000" w:themeColor="text1"/>
          <w:lang w:val="en-US"/>
        </w:rPr>
        <w:t xml:space="preserve"> the research question, “</w:t>
      </w:r>
      <w:r w:rsidRPr="00F93BAE">
        <w:rPr>
          <w:rFonts w:asciiTheme="majorHAnsi" w:hAnsiTheme="majorHAnsi" w:cstheme="majorHAnsi"/>
          <w:spacing w:val="-1"/>
          <w:lang w:val="en-US"/>
        </w:rPr>
        <w:t xml:space="preserve">To what extent and how did </w:t>
      </w:r>
      <w:r w:rsidRPr="00F93BAE">
        <w:rPr>
          <w:rFonts w:asciiTheme="majorHAnsi" w:eastAsia="Calibri" w:hAnsiTheme="majorHAnsi" w:cstheme="majorHAnsi"/>
          <w:lang w:val="en-GB"/>
        </w:rPr>
        <w:t xml:space="preserve">BEST Program interventions improve the </w:t>
      </w:r>
      <w:r w:rsidRPr="00F93BAE">
        <w:rPr>
          <w:rFonts w:asciiTheme="majorHAnsi" w:hAnsiTheme="majorHAnsi" w:cstheme="majorHAnsi"/>
          <w:spacing w:val="-1"/>
          <w:lang w:val="en-US"/>
        </w:rPr>
        <w:t xml:space="preserve">ability of selected </w:t>
      </w:r>
      <w:r w:rsidRPr="00F93BAE">
        <w:rPr>
          <w:rFonts w:asciiTheme="majorHAnsi" w:eastAsia="Calibri" w:hAnsiTheme="majorHAnsi" w:cstheme="majorHAnsi"/>
          <w:lang w:val="en-GB"/>
        </w:rPr>
        <w:t xml:space="preserve">elementary schools </w:t>
      </w:r>
      <w:r w:rsidRPr="00F93BAE">
        <w:rPr>
          <w:rFonts w:asciiTheme="majorHAnsi" w:hAnsiTheme="majorHAnsi" w:cstheme="majorHAnsi"/>
          <w:spacing w:val="-1"/>
          <w:lang w:val="en-US"/>
        </w:rPr>
        <w:t xml:space="preserve">to deliver </w:t>
      </w:r>
      <w:r w:rsidRPr="00F93BAE">
        <w:rPr>
          <w:rFonts w:asciiTheme="majorHAnsi" w:hAnsiTheme="majorHAnsi" w:cstheme="majorHAnsi"/>
          <w:color w:val="000000" w:themeColor="text1"/>
          <w:lang w:val="en-US"/>
        </w:rPr>
        <w:t xml:space="preserve">inclusive and </w:t>
      </w:r>
      <w:r w:rsidRPr="00F93BAE">
        <w:rPr>
          <w:rFonts w:asciiTheme="majorHAnsi" w:hAnsiTheme="majorHAnsi" w:cstheme="majorHAnsi"/>
          <w:spacing w:val="-1"/>
          <w:lang w:val="en-US"/>
        </w:rPr>
        <w:t>responsive basic education services</w:t>
      </w:r>
      <w:r w:rsidRPr="00F93BAE">
        <w:rPr>
          <w:rFonts w:asciiTheme="majorHAnsi" w:eastAsia="Calibri" w:hAnsiTheme="majorHAnsi" w:cstheme="majorHAnsi"/>
          <w:lang w:val="en-GB"/>
        </w:rPr>
        <w:t xml:space="preserve">?” Specifically, the </w:t>
      </w:r>
      <w:r w:rsidRPr="00F93BAE">
        <w:rPr>
          <w:rFonts w:asciiTheme="majorHAnsi" w:hAnsiTheme="majorHAnsi" w:cstheme="majorHAnsi"/>
          <w:color w:val="000000" w:themeColor="text1"/>
          <w:lang w:val="en-US"/>
        </w:rPr>
        <w:t>extended EOPE Study (Case Study) will answer the following:</w:t>
      </w:r>
    </w:p>
    <w:p w14:paraId="4F72B2DF" w14:textId="77777777" w:rsidR="008D0CAD" w:rsidRPr="00F93BAE" w:rsidRDefault="008D0CAD" w:rsidP="005902F7">
      <w:pPr>
        <w:widowControl w:val="0"/>
        <w:numPr>
          <w:ilvl w:val="0"/>
          <w:numId w:val="33"/>
        </w:numPr>
        <w:tabs>
          <w:tab w:val="left" w:pos="838"/>
        </w:tabs>
        <w:spacing w:before="100" w:beforeAutospacing="1" w:after="100" w:afterAutospacing="1" w:line="360" w:lineRule="auto"/>
        <w:ind w:left="1208" w:right="202" w:hanging="357"/>
        <w:rPr>
          <w:rFonts w:asciiTheme="majorHAnsi" w:eastAsia="Arial Unicode MS" w:hAnsiTheme="majorHAnsi" w:cstheme="majorHAnsi"/>
          <w:color w:val="000000" w:themeColor="text1"/>
          <w:sz w:val="20"/>
          <w:szCs w:val="20"/>
          <w:u w:color="000000"/>
          <w:lang w:val="en-US"/>
        </w:rPr>
      </w:pPr>
      <w:r w:rsidRPr="00F93BAE">
        <w:rPr>
          <w:rFonts w:asciiTheme="majorHAnsi" w:eastAsia="Arial Unicode MS" w:hAnsiTheme="majorHAnsi" w:cstheme="majorHAnsi"/>
          <w:color w:val="000000" w:themeColor="text1"/>
          <w:sz w:val="20"/>
          <w:szCs w:val="20"/>
          <w:u w:color="000000"/>
          <w:lang w:val="en-US"/>
        </w:rPr>
        <w:t>What</w:t>
      </w:r>
      <w:r w:rsidRPr="00F93BAE">
        <w:rPr>
          <w:rFonts w:asciiTheme="majorHAnsi" w:eastAsia="Arial Unicode MS" w:hAnsiTheme="majorHAnsi" w:cstheme="majorHAnsi"/>
          <w:color w:val="000000" w:themeColor="text1"/>
          <w:spacing w:val="15"/>
          <w:sz w:val="20"/>
          <w:szCs w:val="20"/>
          <w:u w:color="000000"/>
          <w:lang w:val="en-US"/>
        </w:rPr>
        <w:t xml:space="preserve"> </w:t>
      </w:r>
      <w:r w:rsidRPr="00F93BAE">
        <w:rPr>
          <w:rFonts w:asciiTheme="majorHAnsi" w:eastAsia="Arial Unicode MS" w:hAnsiTheme="majorHAnsi" w:cstheme="majorHAnsi"/>
          <w:color w:val="000000" w:themeColor="text1"/>
          <w:spacing w:val="-1"/>
          <w:sz w:val="20"/>
          <w:szCs w:val="20"/>
          <w:u w:color="000000"/>
          <w:lang w:val="en-US"/>
        </w:rPr>
        <w:t>were</w:t>
      </w:r>
      <w:r w:rsidRPr="00F93BAE">
        <w:rPr>
          <w:rFonts w:asciiTheme="majorHAnsi" w:eastAsia="Arial Unicode MS" w:hAnsiTheme="majorHAnsi" w:cstheme="majorHAnsi"/>
          <w:color w:val="000000" w:themeColor="text1"/>
          <w:spacing w:val="19"/>
          <w:sz w:val="20"/>
          <w:szCs w:val="20"/>
          <w:u w:color="000000"/>
          <w:lang w:val="en-US"/>
        </w:rPr>
        <w:t xml:space="preserve"> </w:t>
      </w:r>
      <w:r w:rsidRPr="00F93BAE">
        <w:rPr>
          <w:rFonts w:asciiTheme="majorHAnsi" w:eastAsia="Arial Unicode MS" w:hAnsiTheme="majorHAnsi" w:cstheme="majorHAnsi"/>
          <w:color w:val="000000" w:themeColor="text1"/>
          <w:spacing w:val="-1"/>
          <w:sz w:val="20"/>
          <w:szCs w:val="20"/>
          <w:u w:color="000000"/>
          <w:lang w:val="en-US"/>
        </w:rPr>
        <w:t>the</w:t>
      </w:r>
      <w:r w:rsidRPr="00F93BAE">
        <w:rPr>
          <w:rFonts w:asciiTheme="majorHAnsi" w:eastAsia="Arial Unicode MS" w:hAnsiTheme="majorHAnsi" w:cstheme="majorHAnsi"/>
          <w:color w:val="000000" w:themeColor="text1"/>
          <w:spacing w:val="19"/>
          <w:sz w:val="20"/>
          <w:szCs w:val="20"/>
          <w:u w:color="000000"/>
          <w:lang w:val="en-US"/>
        </w:rPr>
        <w:t xml:space="preserve"> </w:t>
      </w:r>
      <w:r w:rsidRPr="00F93BAE">
        <w:rPr>
          <w:rFonts w:asciiTheme="majorHAnsi" w:eastAsia="Arial Unicode MS" w:hAnsiTheme="majorHAnsi" w:cstheme="majorHAnsi"/>
          <w:color w:val="000000" w:themeColor="text1"/>
          <w:spacing w:val="-1"/>
          <w:sz w:val="20"/>
          <w:szCs w:val="20"/>
          <w:u w:color="000000"/>
          <w:lang w:val="en-US"/>
        </w:rPr>
        <w:t>effects</w:t>
      </w:r>
      <w:r w:rsidRPr="00F93BAE">
        <w:rPr>
          <w:rFonts w:asciiTheme="majorHAnsi" w:eastAsia="Arial Unicode MS" w:hAnsiTheme="majorHAnsi" w:cstheme="majorHAnsi"/>
          <w:color w:val="000000" w:themeColor="text1"/>
          <w:spacing w:val="16"/>
          <w:sz w:val="20"/>
          <w:szCs w:val="20"/>
          <w:u w:color="000000"/>
          <w:lang w:val="en-US"/>
        </w:rPr>
        <w:t xml:space="preserve"> </w:t>
      </w:r>
      <w:r w:rsidRPr="00F93BAE">
        <w:rPr>
          <w:rFonts w:asciiTheme="majorHAnsi" w:eastAsia="Arial Unicode MS" w:hAnsiTheme="majorHAnsi" w:cstheme="majorHAnsi"/>
          <w:color w:val="000000" w:themeColor="text1"/>
          <w:spacing w:val="-1"/>
          <w:sz w:val="20"/>
          <w:szCs w:val="20"/>
          <w:u w:color="000000"/>
          <w:lang w:val="en-US"/>
        </w:rPr>
        <w:t>of</w:t>
      </w:r>
      <w:r w:rsidRPr="00F93BAE">
        <w:rPr>
          <w:rFonts w:asciiTheme="majorHAnsi" w:eastAsia="Arial Unicode MS" w:hAnsiTheme="majorHAnsi" w:cstheme="majorHAnsi"/>
          <w:color w:val="000000" w:themeColor="text1"/>
          <w:spacing w:val="18"/>
          <w:sz w:val="20"/>
          <w:szCs w:val="20"/>
          <w:u w:color="000000"/>
          <w:lang w:val="en-US"/>
        </w:rPr>
        <w:t xml:space="preserve"> </w:t>
      </w:r>
      <w:r w:rsidRPr="00F93BAE">
        <w:rPr>
          <w:rFonts w:asciiTheme="majorHAnsi" w:eastAsia="Arial Unicode MS" w:hAnsiTheme="majorHAnsi" w:cstheme="majorHAnsi"/>
          <w:color w:val="000000" w:themeColor="text1"/>
          <w:spacing w:val="-1"/>
          <w:sz w:val="20"/>
          <w:szCs w:val="20"/>
          <w:u w:color="000000"/>
          <w:lang w:val="en-US"/>
        </w:rPr>
        <w:t>BEST</w:t>
      </w:r>
      <w:r w:rsidRPr="00F93BAE">
        <w:rPr>
          <w:rFonts w:asciiTheme="majorHAnsi" w:eastAsia="Arial Unicode MS" w:hAnsiTheme="majorHAnsi" w:cstheme="majorHAnsi"/>
          <w:color w:val="000000" w:themeColor="text1"/>
          <w:spacing w:val="17"/>
          <w:sz w:val="20"/>
          <w:szCs w:val="20"/>
          <w:u w:color="000000"/>
          <w:lang w:val="en-US"/>
        </w:rPr>
        <w:t xml:space="preserve"> </w:t>
      </w:r>
      <w:r w:rsidRPr="00F93BAE">
        <w:rPr>
          <w:rFonts w:asciiTheme="majorHAnsi" w:eastAsia="Arial Unicode MS" w:hAnsiTheme="majorHAnsi" w:cstheme="majorHAnsi"/>
          <w:color w:val="000000" w:themeColor="text1"/>
          <w:spacing w:val="-1"/>
          <w:sz w:val="20"/>
          <w:szCs w:val="20"/>
          <w:u w:color="000000"/>
          <w:lang w:val="en-US"/>
        </w:rPr>
        <w:t>Program</w:t>
      </w:r>
      <w:r w:rsidRPr="00F93BAE">
        <w:rPr>
          <w:rFonts w:asciiTheme="majorHAnsi" w:eastAsia="Arial Unicode MS" w:hAnsiTheme="majorHAnsi" w:cstheme="majorHAnsi"/>
          <w:color w:val="000000" w:themeColor="text1"/>
          <w:spacing w:val="19"/>
          <w:sz w:val="20"/>
          <w:szCs w:val="20"/>
          <w:u w:color="000000"/>
          <w:lang w:val="en-US"/>
        </w:rPr>
        <w:t xml:space="preserve"> </w:t>
      </w:r>
      <w:r w:rsidRPr="00F93BAE">
        <w:rPr>
          <w:rFonts w:asciiTheme="majorHAnsi" w:eastAsia="Arial Unicode MS" w:hAnsiTheme="majorHAnsi" w:cstheme="majorHAnsi"/>
          <w:color w:val="000000" w:themeColor="text1"/>
          <w:spacing w:val="-1"/>
          <w:sz w:val="20"/>
          <w:szCs w:val="20"/>
          <w:u w:color="000000"/>
          <w:lang w:val="en-US"/>
        </w:rPr>
        <w:t>interventions</w:t>
      </w:r>
      <w:r w:rsidRPr="00F93BAE">
        <w:rPr>
          <w:rFonts w:asciiTheme="majorHAnsi" w:eastAsia="Arial Unicode MS" w:hAnsiTheme="majorHAnsi" w:cstheme="majorHAnsi"/>
          <w:color w:val="000000" w:themeColor="text1"/>
          <w:spacing w:val="16"/>
          <w:sz w:val="20"/>
          <w:szCs w:val="20"/>
          <w:u w:color="000000"/>
          <w:lang w:val="en-US"/>
        </w:rPr>
        <w:t xml:space="preserve"> </w:t>
      </w:r>
      <w:r w:rsidRPr="00F93BAE">
        <w:rPr>
          <w:rFonts w:asciiTheme="majorHAnsi" w:eastAsia="Arial Unicode MS" w:hAnsiTheme="majorHAnsi" w:cstheme="majorHAnsi"/>
          <w:color w:val="000000" w:themeColor="text1"/>
          <w:spacing w:val="-1"/>
          <w:sz w:val="20"/>
          <w:szCs w:val="20"/>
          <w:u w:color="000000"/>
          <w:lang w:val="en-US"/>
        </w:rPr>
        <w:t>on</w:t>
      </w:r>
      <w:r w:rsidRPr="00F93BAE">
        <w:rPr>
          <w:rFonts w:asciiTheme="majorHAnsi" w:eastAsia="Arial Unicode MS" w:hAnsiTheme="majorHAnsi" w:cstheme="majorHAnsi"/>
          <w:color w:val="000000" w:themeColor="text1"/>
          <w:spacing w:val="18"/>
          <w:sz w:val="20"/>
          <w:szCs w:val="20"/>
          <w:u w:color="000000"/>
          <w:lang w:val="en-US"/>
        </w:rPr>
        <w:t xml:space="preserve"> </w:t>
      </w:r>
      <w:r w:rsidRPr="00F93BAE">
        <w:rPr>
          <w:rFonts w:asciiTheme="majorHAnsi" w:eastAsia="Arial Unicode MS" w:hAnsiTheme="majorHAnsi" w:cstheme="majorHAnsi"/>
          <w:color w:val="000000" w:themeColor="text1"/>
          <w:spacing w:val="-1"/>
          <w:sz w:val="20"/>
          <w:szCs w:val="20"/>
          <w:u w:color="000000"/>
          <w:lang w:val="en-US"/>
        </w:rPr>
        <w:t>school</w:t>
      </w:r>
      <w:r w:rsidRPr="00F93BAE">
        <w:rPr>
          <w:rFonts w:asciiTheme="majorHAnsi" w:eastAsia="Arial Unicode MS" w:hAnsiTheme="majorHAnsi" w:cstheme="majorHAnsi"/>
          <w:color w:val="000000" w:themeColor="text1"/>
          <w:spacing w:val="18"/>
          <w:sz w:val="20"/>
          <w:szCs w:val="20"/>
          <w:u w:color="000000"/>
          <w:lang w:val="en-US"/>
        </w:rPr>
        <w:t xml:space="preserve"> </w:t>
      </w:r>
      <w:r w:rsidRPr="00F93BAE">
        <w:rPr>
          <w:rFonts w:asciiTheme="majorHAnsi" w:eastAsia="Arial Unicode MS" w:hAnsiTheme="majorHAnsi" w:cstheme="majorHAnsi"/>
          <w:color w:val="000000" w:themeColor="text1"/>
          <w:spacing w:val="-1"/>
          <w:sz w:val="20"/>
          <w:szCs w:val="20"/>
          <w:u w:color="000000"/>
          <w:lang w:val="en-US"/>
        </w:rPr>
        <w:t>leadership</w:t>
      </w:r>
      <w:r w:rsidRPr="00F93BAE">
        <w:rPr>
          <w:rFonts w:asciiTheme="majorHAnsi" w:eastAsia="Arial Unicode MS" w:hAnsiTheme="majorHAnsi" w:cstheme="majorHAnsi"/>
          <w:color w:val="000000" w:themeColor="text1"/>
          <w:spacing w:val="75"/>
          <w:w w:val="99"/>
          <w:sz w:val="20"/>
          <w:szCs w:val="20"/>
          <w:u w:color="000000"/>
          <w:lang w:val="en-US"/>
        </w:rPr>
        <w:t xml:space="preserve"> </w:t>
      </w:r>
      <w:r w:rsidRPr="00F93BAE">
        <w:rPr>
          <w:rFonts w:asciiTheme="majorHAnsi" w:eastAsia="Arial Unicode MS" w:hAnsiTheme="majorHAnsi" w:cstheme="majorHAnsi"/>
          <w:color w:val="000000" w:themeColor="text1"/>
          <w:sz w:val="20"/>
          <w:szCs w:val="20"/>
          <w:u w:color="000000"/>
          <w:lang w:val="en-US"/>
        </w:rPr>
        <w:t>and</w:t>
      </w:r>
      <w:r w:rsidRPr="00F93BAE">
        <w:rPr>
          <w:rFonts w:asciiTheme="majorHAnsi" w:eastAsia="Arial Unicode MS" w:hAnsiTheme="majorHAnsi" w:cstheme="majorHAnsi"/>
          <w:color w:val="000000" w:themeColor="text1"/>
          <w:spacing w:val="-6"/>
          <w:sz w:val="20"/>
          <w:szCs w:val="20"/>
          <w:u w:color="000000"/>
          <w:lang w:val="en-US"/>
        </w:rPr>
        <w:t xml:space="preserve"> </w:t>
      </w:r>
      <w:r w:rsidRPr="00F93BAE">
        <w:rPr>
          <w:rFonts w:asciiTheme="majorHAnsi" w:eastAsia="Arial Unicode MS" w:hAnsiTheme="majorHAnsi" w:cstheme="majorHAnsi"/>
          <w:color w:val="000000" w:themeColor="text1"/>
          <w:sz w:val="20"/>
          <w:szCs w:val="20"/>
          <w:u w:color="000000"/>
          <w:lang w:val="en-US"/>
        </w:rPr>
        <w:t>management</w:t>
      </w:r>
      <w:r w:rsidRPr="00F93BAE">
        <w:rPr>
          <w:rFonts w:asciiTheme="majorHAnsi" w:eastAsia="Arial Unicode MS" w:hAnsiTheme="majorHAnsi" w:cstheme="majorHAnsi"/>
          <w:color w:val="000000" w:themeColor="text1"/>
          <w:spacing w:val="-7"/>
          <w:sz w:val="20"/>
          <w:szCs w:val="20"/>
          <w:u w:color="000000"/>
          <w:lang w:val="en-US"/>
        </w:rPr>
        <w:t xml:space="preserve"> in selected elementary schools</w:t>
      </w:r>
      <w:r w:rsidRPr="00F93BAE">
        <w:rPr>
          <w:rFonts w:asciiTheme="majorHAnsi" w:eastAsia="Arial Unicode MS" w:hAnsiTheme="majorHAnsi" w:cstheme="majorHAnsi"/>
          <w:color w:val="000000" w:themeColor="text1"/>
          <w:spacing w:val="-1"/>
          <w:sz w:val="20"/>
          <w:szCs w:val="20"/>
          <w:u w:color="000000"/>
          <w:lang w:val="en-US"/>
        </w:rPr>
        <w:t xml:space="preserve"> in</w:t>
      </w:r>
      <w:r w:rsidRPr="00F93BAE">
        <w:rPr>
          <w:rFonts w:asciiTheme="majorHAnsi" w:eastAsia="Arial Unicode MS" w:hAnsiTheme="majorHAnsi" w:cstheme="majorHAnsi"/>
          <w:color w:val="000000" w:themeColor="text1"/>
          <w:spacing w:val="-5"/>
          <w:sz w:val="20"/>
          <w:szCs w:val="20"/>
          <w:u w:color="000000"/>
          <w:lang w:val="en-US"/>
        </w:rPr>
        <w:t xml:space="preserve"> </w:t>
      </w:r>
      <w:r w:rsidRPr="00F93BAE">
        <w:rPr>
          <w:rFonts w:asciiTheme="majorHAnsi" w:eastAsia="Arial Unicode MS" w:hAnsiTheme="majorHAnsi" w:cstheme="majorHAnsi"/>
          <w:color w:val="000000" w:themeColor="text1"/>
          <w:spacing w:val="-1"/>
          <w:sz w:val="20"/>
          <w:szCs w:val="20"/>
          <w:u w:color="000000"/>
          <w:lang w:val="en-US"/>
        </w:rPr>
        <w:t>terms</w:t>
      </w:r>
      <w:r w:rsidRPr="00F93BAE">
        <w:rPr>
          <w:rFonts w:asciiTheme="majorHAnsi" w:eastAsia="Arial Unicode MS" w:hAnsiTheme="majorHAnsi" w:cstheme="majorHAnsi"/>
          <w:color w:val="000000" w:themeColor="text1"/>
          <w:spacing w:val="-8"/>
          <w:sz w:val="20"/>
          <w:szCs w:val="20"/>
          <w:u w:color="000000"/>
          <w:lang w:val="en-US"/>
        </w:rPr>
        <w:t xml:space="preserve"> </w:t>
      </w:r>
      <w:r w:rsidRPr="00F93BAE">
        <w:rPr>
          <w:rFonts w:asciiTheme="majorHAnsi" w:eastAsia="Arial Unicode MS" w:hAnsiTheme="majorHAnsi" w:cstheme="majorHAnsi"/>
          <w:color w:val="000000" w:themeColor="text1"/>
          <w:spacing w:val="-1"/>
          <w:sz w:val="20"/>
          <w:szCs w:val="20"/>
          <w:u w:color="000000"/>
          <w:lang w:val="en-US"/>
        </w:rPr>
        <w:t>of</w:t>
      </w:r>
      <w:r w:rsidRPr="00F93BAE">
        <w:rPr>
          <w:rFonts w:asciiTheme="majorHAnsi" w:eastAsia="Arial Unicode MS" w:hAnsiTheme="majorHAnsi" w:cstheme="majorHAnsi"/>
          <w:color w:val="000000" w:themeColor="text1"/>
          <w:spacing w:val="-5"/>
          <w:sz w:val="20"/>
          <w:szCs w:val="20"/>
          <w:u w:color="000000"/>
          <w:lang w:val="en-US"/>
        </w:rPr>
        <w:t xml:space="preserve"> </w:t>
      </w:r>
      <w:r w:rsidRPr="00F93BAE">
        <w:rPr>
          <w:rFonts w:asciiTheme="majorHAnsi" w:eastAsia="Arial Unicode MS" w:hAnsiTheme="majorHAnsi" w:cstheme="majorHAnsi"/>
          <w:color w:val="000000" w:themeColor="text1"/>
          <w:sz w:val="20"/>
          <w:szCs w:val="20"/>
          <w:u w:color="000000"/>
          <w:lang w:val="en-US"/>
        </w:rPr>
        <w:t>level</w:t>
      </w:r>
      <w:r w:rsidRPr="00F93BAE">
        <w:rPr>
          <w:rFonts w:asciiTheme="majorHAnsi" w:eastAsia="Arial Unicode MS" w:hAnsiTheme="majorHAnsi" w:cstheme="majorHAnsi"/>
          <w:color w:val="000000" w:themeColor="text1"/>
          <w:spacing w:val="-5"/>
          <w:sz w:val="20"/>
          <w:szCs w:val="20"/>
          <w:u w:color="000000"/>
          <w:lang w:val="en-US"/>
        </w:rPr>
        <w:t xml:space="preserve"> </w:t>
      </w:r>
      <w:r w:rsidRPr="00F93BAE">
        <w:rPr>
          <w:rFonts w:asciiTheme="majorHAnsi" w:eastAsia="Arial Unicode MS" w:hAnsiTheme="majorHAnsi" w:cstheme="majorHAnsi"/>
          <w:color w:val="000000" w:themeColor="text1"/>
          <w:spacing w:val="-1"/>
          <w:sz w:val="20"/>
          <w:szCs w:val="20"/>
          <w:u w:color="000000"/>
          <w:lang w:val="en-US"/>
        </w:rPr>
        <w:t>of</w:t>
      </w:r>
      <w:r w:rsidRPr="00F93BAE">
        <w:rPr>
          <w:rFonts w:asciiTheme="majorHAnsi" w:eastAsia="Arial Unicode MS" w:hAnsiTheme="majorHAnsi" w:cstheme="majorHAnsi"/>
          <w:color w:val="000000" w:themeColor="text1"/>
          <w:spacing w:val="-6"/>
          <w:sz w:val="20"/>
          <w:szCs w:val="20"/>
          <w:u w:color="000000"/>
          <w:lang w:val="en-US"/>
        </w:rPr>
        <w:t xml:space="preserve"> </w:t>
      </w:r>
      <w:r w:rsidRPr="00F93BAE">
        <w:rPr>
          <w:rFonts w:asciiTheme="majorHAnsi" w:eastAsia="Arial Unicode MS" w:hAnsiTheme="majorHAnsi" w:cstheme="majorHAnsi"/>
          <w:color w:val="000000" w:themeColor="text1"/>
          <w:spacing w:val="-1"/>
          <w:sz w:val="20"/>
          <w:szCs w:val="20"/>
          <w:u w:color="000000"/>
          <w:lang w:val="en-US"/>
        </w:rPr>
        <w:t>knowledge,</w:t>
      </w:r>
      <w:r w:rsidRPr="00F93BAE">
        <w:rPr>
          <w:rFonts w:asciiTheme="majorHAnsi" w:eastAsia="Arial Unicode MS" w:hAnsiTheme="majorHAnsi" w:cstheme="majorHAnsi"/>
          <w:color w:val="000000" w:themeColor="text1"/>
          <w:spacing w:val="-4"/>
          <w:sz w:val="20"/>
          <w:szCs w:val="20"/>
          <w:u w:color="000000"/>
          <w:lang w:val="en-US"/>
        </w:rPr>
        <w:t xml:space="preserve"> </w:t>
      </w:r>
      <w:r w:rsidRPr="00F93BAE">
        <w:rPr>
          <w:rFonts w:asciiTheme="majorHAnsi" w:eastAsia="Arial Unicode MS" w:hAnsiTheme="majorHAnsi" w:cstheme="majorHAnsi"/>
          <w:color w:val="000000" w:themeColor="text1"/>
          <w:spacing w:val="-1"/>
          <w:sz w:val="20"/>
          <w:szCs w:val="20"/>
          <w:u w:color="000000"/>
          <w:lang w:val="en-US"/>
        </w:rPr>
        <w:t>skills,</w:t>
      </w:r>
      <w:r w:rsidRPr="00F93BAE">
        <w:rPr>
          <w:rFonts w:asciiTheme="majorHAnsi" w:eastAsia="Arial Unicode MS" w:hAnsiTheme="majorHAnsi" w:cstheme="majorHAnsi"/>
          <w:color w:val="000000" w:themeColor="text1"/>
          <w:spacing w:val="-8"/>
          <w:sz w:val="20"/>
          <w:szCs w:val="20"/>
          <w:u w:color="000000"/>
          <w:lang w:val="en-US"/>
        </w:rPr>
        <w:t xml:space="preserve"> </w:t>
      </w:r>
      <w:r w:rsidRPr="00F93BAE">
        <w:rPr>
          <w:rFonts w:asciiTheme="majorHAnsi" w:eastAsia="Arial Unicode MS" w:hAnsiTheme="majorHAnsi" w:cstheme="majorHAnsi"/>
          <w:color w:val="000000" w:themeColor="text1"/>
          <w:spacing w:val="-1"/>
          <w:sz w:val="20"/>
          <w:szCs w:val="20"/>
          <w:u w:color="000000"/>
          <w:lang w:val="en-US"/>
        </w:rPr>
        <w:t>behaviors</w:t>
      </w:r>
      <w:r w:rsidRPr="00F93BAE">
        <w:rPr>
          <w:rFonts w:asciiTheme="majorHAnsi" w:eastAsia="Arial Unicode MS" w:hAnsiTheme="majorHAnsi" w:cstheme="majorHAnsi"/>
          <w:color w:val="000000" w:themeColor="text1"/>
          <w:spacing w:val="22"/>
          <w:sz w:val="20"/>
          <w:szCs w:val="20"/>
          <w:u w:color="000000"/>
          <w:lang w:val="en-US"/>
        </w:rPr>
        <w:t xml:space="preserve"> </w:t>
      </w:r>
      <w:r w:rsidRPr="00F93BAE">
        <w:rPr>
          <w:rFonts w:asciiTheme="majorHAnsi" w:eastAsia="Arial Unicode MS" w:hAnsiTheme="majorHAnsi" w:cstheme="majorHAnsi"/>
          <w:color w:val="000000" w:themeColor="text1"/>
          <w:spacing w:val="1"/>
          <w:sz w:val="20"/>
          <w:szCs w:val="20"/>
          <w:u w:color="000000"/>
          <w:lang w:val="en-US"/>
        </w:rPr>
        <w:t xml:space="preserve">and </w:t>
      </w:r>
      <w:r w:rsidRPr="00F93BAE">
        <w:rPr>
          <w:rFonts w:asciiTheme="majorHAnsi" w:eastAsia="Arial Unicode MS" w:hAnsiTheme="majorHAnsi" w:cstheme="majorHAnsi"/>
          <w:color w:val="000000" w:themeColor="text1"/>
          <w:spacing w:val="-1"/>
          <w:sz w:val="20"/>
          <w:szCs w:val="20"/>
          <w:u w:color="000000"/>
          <w:lang w:val="en-US"/>
        </w:rPr>
        <w:t xml:space="preserve">practices? </w:t>
      </w:r>
      <w:r w:rsidRPr="00F93BAE">
        <w:rPr>
          <w:rFonts w:asciiTheme="majorHAnsi" w:eastAsia="Arial Unicode MS" w:hAnsiTheme="majorHAnsi" w:cstheme="majorHAnsi"/>
          <w:color w:val="000000" w:themeColor="text1"/>
          <w:sz w:val="20"/>
          <w:szCs w:val="20"/>
          <w:u w:color="000000"/>
          <w:lang w:val="en-GB"/>
        </w:rPr>
        <w:t>(</w:t>
      </w:r>
      <w:r w:rsidRPr="00F93BAE">
        <w:rPr>
          <w:rFonts w:asciiTheme="majorHAnsi" w:eastAsia="Arial Unicode MS" w:hAnsiTheme="majorHAnsi" w:cstheme="majorHAnsi"/>
          <w:b/>
          <w:color w:val="000000" w:themeColor="text1"/>
          <w:sz w:val="20"/>
          <w:szCs w:val="20"/>
          <w:u w:color="000000"/>
          <w:lang w:val="en-GB"/>
        </w:rPr>
        <w:t>RQ-1</w:t>
      </w:r>
      <w:r w:rsidRPr="00F93BAE">
        <w:rPr>
          <w:rFonts w:asciiTheme="majorHAnsi" w:eastAsia="Arial Unicode MS" w:hAnsiTheme="majorHAnsi" w:cstheme="majorHAnsi"/>
          <w:color w:val="000000" w:themeColor="text1"/>
          <w:sz w:val="20"/>
          <w:szCs w:val="20"/>
          <w:u w:color="000000"/>
          <w:lang w:val="en-GB"/>
        </w:rPr>
        <w:t>)</w:t>
      </w:r>
    </w:p>
    <w:p w14:paraId="7E44F30B" w14:textId="77777777" w:rsidR="008D0CAD" w:rsidRPr="00F93BAE" w:rsidRDefault="008D0CAD" w:rsidP="005902F7">
      <w:pPr>
        <w:widowControl w:val="0"/>
        <w:numPr>
          <w:ilvl w:val="0"/>
          <w:numId w:val="33"/>
        </w:numPr>
        <w:tabs>
          <w:tab w:val="left" w:pos="838"/>
        </w:tabs>
        <w:spacing w:before="100" w:beforeAutospacing="1" w:after="100" w:afterAutospacing="1" w:line="360" w:lineRule="auto"/>
        <w:ind w:left="1208" w:right="110" w:hanging="357"/>
        <w:rPr>
          <w:rFonts w:asciiTheme="majorHAnsi" w:eastAsia="Arial Unicode MS" w:hAnsiTheme="majorHAnsi" w:cstheme="majorHAnsi"/>
          <w:color w:val="000000" w:themeColor="text1"/>
          <w:sz w:val="20"/>
          <w:szCs w:val="20"/>
          <w:u w:color="000000"/>
          <w:lang w:val="en-US"/>
        </w:rPr>
      </w:pPr>
      <w:r w:rsidRPr="00F93BAE">
        <w:rPr>
          <w:rFonts w:asciiTheme="majorHAnsi" w:eastAsia="Arial Unicode MS" w:hAnsiTheme="majorHAnsi" w:cstheme="majorHAnsi"/>
          <w:color w:val="000000" w:themeColor="text1"/>
          <w:sz w:val="20"/>
          <w:szCs w:val="20"/>
          <w:u w:color="000000"/>
          <w:lang w:val="en-US"/>
        </w:rPr>
        <w:t>What</w:t>
      </w:r>
      <w:r w:rsidRPr="00F93BAE">
        <w:rPr>
          <w:rFonts w:asciiTheme="majorHAnsi" w:eastAsia="Arial Unicode MS" w:hAnsiTheme="majorHAnsi" w:cstheme="majorHAnsi"/>
          <w:color w:val="000000" w:themeColor="text1"/>
          <w:spacing w:val="6"/>
          <w:sz w:val="20"/>
          <w:szCs w:val="20"/>
          <w:u w:color="000000"/>
          <w:lang w:val="en-US"/>
        </w:rPr>
        <w:t xml:space="preserve"> </w:t>
      </w:r>
      <w:r w:rsidRPr="00F93BAE">
        <w:rPr>
          <w:rFonts w:asciiTheme="majorHAnsi" w:eastAsia="Arial Unicode MS" w:hAnsiTheme="majorHAnsi" w:cstheme="majorHAnsi"/>
          <w:color w:val="000000" w:themeColor="text1"/>
          <w:spacing w:val="-1"/>
          <w:sz w:val="20"/>
          <w:szCs w:val="20"/>
          <w:u w:color="000000"/>
          <w:lang w:val="en-US"/>
        </w:rPr>
        <w:t>were</w:t>
      </w:r>
      <w:r w:rsidRPr="00F93BAE">
        <w:rPr>
          <w:rFonts w:asciiTheme="majorHAnsi" w:eastAsia="Arial Unicode MS" w:hAnsiTheme="majorHAnsi" w:cstheme="majorHAnsi"/>
          <w:color w:val="000000" w:themeColor="text1"/>
          <w:spacing w:val="11"/>
          <w:sz w:val="20"/>
          <w:szCs w:val="20"/>
          <w:u w:color="000000"/>
          <w:lang w:val="en-US"/>
        </w:rPr>
        <w:t xml:space="preserve"> </w:t>
      </w:r>
      <w:r w:rsidRPr="00F93BAE">
        <w:rPr>
          <w:rFonts w:asciiTheme="majorHAnsi" w:eastAsia="Arial Unicode MS" w:hAnsiTheme="majorHAnsi" w:cstheme="majorHAnsi"/>
          <w:color w:val="000000" w:themeColor="text1"/>
          <w:spacing w:val="-1"/>
          <w:sz w:val="20"/>
          <w:szCs w:val="20"/>
          <w:u w:color="000000"/>
          <w:lang w:val="en-US"/>
        </w:rPr>
        <w:t>the</w:t>
      </w:r>
      <w:r w:rsidRPr="00F93BAE">
        <w:rPr>
          <w:rFonts w:asciiTheme="majorHAnsi" w:eastAsia="Arial Unicode MS" w:hAnsiTheme="majorHAnsi" w:cstheme="majorHAnsi"/>
          <w:color w:val="000000" w:themeColor="text1"/>
          <w:spacing w:val="15"/>
          <w:sz w:val="20"/>
          <w:szCs w:val="20"/>
          <w:u w:color="000000"/>
          <w:lang w:val="en-US"/>
        </w:rPr>
        <w:t xml:space="preserve"> </w:t>
      </w:r>
      <w:r w:rsidRPr="00F93BAE">
        <w:rPr>
          <w:rFonts w:asciiTheme="majorHAnsi" w:eastAsia="Arial Unicode MS" w:hAnsiTheme="majorHAnsi" w:cstheme="majorHAnsi"/>
          <w:color w:val="000000" w:themeColor="text1"/>
          <w:spacing w:val="-1"/>
          <w:sz w:val="20"/>
          <w:szCs w:val="20"/>
          <w:u w:color="000000"/>
          <w:lang w:val="en-US"/>
        </w:rPr>
        <w:t>effects</w:t>
      </w:r>
      <w:r w:rsidRPr="00F93BAE">
        <w:rPr>
          <w:rFonts w:asciiTheme="majorHAnsi" w:eastAsia="Arial Unicode MS" w:hAnsiTheme="majorHAnsi" w:cstheme="majorHAnsi"/>
          <w:color w:val="000000" w:themeColor="text1"/>
          <w:spacing w:val="12"/>
          <w:sz w:val="20"/>
          <w:szCs w:val="20"/>
          <w:u w:color="000000"/>
          <w:lang w:val="en-US"/>
        </w:rPr>
        <w:t xml:space="preserve"> </w:t>
      </w:r>
      <w:r w:rsidRPr="00F93BAE">
        <w:rPr>
          <w:rFonts w:asciiTheme="majorHAnsi" w:eastAsia="Arial Unicode MS" w:hAnsiTheme="majorHAnsi" w:cstheme="majorHAnsi"/>
          <w:color w:val="000000" w:themeColor="text1"/>
          <w:spacing w:val="-1"/>
          <w:sz w:val="20"/>
          <w:szCs w:val="20"/>
          <w:u w:color="000000"/>
          <w:lang w:val="en-US"/>
        </w:rPr>
        <w:t>of</w:t>
      </w:r>
      <w:r w:rsidRPr="00F93BAE">
        <w:rPr>
          <w:rFonts w:asciiTheme="majorHAnsi" w:eastAsia="Arial Unicode MS" w:hAnsiTheme="majorHAnsi" w:cstheme="majorHAnsi"/>
          <w:color w:val="000000" w:themeColor="text1"/>
          <w:spacing w:val="15"/>
          <w:sz w:val="20"/>
          <w:szCs w:val="20"/>
          <w:u w:color="000000"/>
          <w:lang w:val="en-US"/>
        </w:rPr>
        <w:t xml:space="preserve"> </w:t>
      </w:r>
      <w:r w:rsidRPr="00F93BAE">
        <w:rPr>
          <w:rFonts w:asciiTheme="majorHAnsi" w:eastAsia="Arial Unicode MS" w:hAnsiTheme="majorHAnsi" w:cstheme="majorHAnsi"/>
          <w:color w:val="000000" w:themeColor="text1"/>
          <w:sz w:val="20"/>
          <w:szCs w:val="20"/>
          <w:u w:color="000000"/>
          <w:lang w:val="en-US"/>
        </w:rPr>
        <w:t>BEST</w:t>
      </w:r>
      <w:r w:rsidRPr="00F93BAE">
        <w:rPr>
          <w:rFonts w:asciiTheme="majorHAnsi" w:eastAsia="Arial Unicode MS" w:hAnsiTheme="majorHAnsi" w:cstheme="majorHAnsi"/>
          <w:color w:val="000000" w:themeColor="text1"/>
          <w:spacing w:val="13"/>
          <w:sz w:val="20"/>
          <w:szCs w:val="20"/>
          <w:u w:color="000000"/>
          <w:lang w:val="en-US"/>
        </w:rPr>
        <w:t xml:space="preserve"> </w:t>
      </w:r>
      <w:r w:rsidRPr="00F93BAE">
        <w:rPr>
          <w:rFonts w:asciiTheme="majorHAnsi" w:eastAsia="Arial Unicode MS" w:hAnsiTheme="majorHAnsi" w:cstheme="majorHAnsi"/>
          <w:color w:val="000000" w:themeColor="text1"/>
          <w:spacing w:val="-2"/>
          <w:sz w:val="20"/>
          <w:szCs w:val="20"/>
          <w:u w:color="000000"/>
          <w:lang w:val="en-US"/>
        </w:rPr>
        <w:t>Program</w:t>
      </w:r>
      <w:r w:rsidRPr="00F93BAE">
        <w:rPr>
          <w:rFonts w:asciiTheme="majorHAnsi" w:eastAsia="Arial Unicode MS" w:hAnsiTheme="majorHAnsi" w:cstheme="majorHAnsi"/>
          <w:color w:val="000000" w:themeColor="text1"/>
          <w:spacing w:val="11"/>
          <w:sz w:val="20"/>
          <w:szCs w:val="20"/>
          <w:u w:color="000000"/>
          <w:lang w:val="en-US"/>
        </w:rPr>
        <w:t xml:space="preserve"> </w:t>
      </w:r>
      <w:r w:rsidRPr="00F93BAE">
        <w:rPr>
          <w:rFonts w:asciiTheme="majorHAnsi" w:eastAsia="Arial Unicode MS" w:hAnsiTheme="majorHAnsi" w:cstheme="majorHAnsi"/>
          <w:color w:val="000000" w:themeColor="text1"/>
          <w:spacing w:val="-1"/>
          <w:sz w:val="20"/>
          <w:szCs w:val="20"/>
          <w:u w:color="000000"/>
          <w:lang w:val="en-US"/>
        </w:rPr>
        <w:t>interventions</w:t>
      </w:r>
      <w:r w:rsidRPr="00F93BAE">
        <w:rPr>
          <w:rFonts w:asciiTheme="majorHAnsi" w:eastAsia="Arial Unicode MS" w:hAnsiTheme="majorHAnsi" w:cstheme="majorHAnsi"/>
          <w:color w:val="000000" w:themeColor="text1"/>
          <w:spacing w:val="13"/>
          <w:sz w:val="20"/>
          <w:szCs w:val="20"/>
          <w:u w:color="000000"/>
          <w:lang w:val="en-US"/>
        </w:rPr>
        <w:t xml:space="preserve"> </w:t>
      </w:r>
      <w:r w:rsidRPr="00F93BAE">
        <w:rPr>
          <w:rFonts w:asciiTheme="majorHAnsi" w:eastAsia="Arial Unicode MS" w:hAnsiTheme="majorHAnsi" w:cstheme="majorHAnsi"/>
          <w:color w:val="000000" w:themeColor="text1"/>
          <w:spacing w:val="-1"/>
          <w:sz w:val="20"/>
          <w:szCs w:val="20"/>
          <w:u w:color="000000"/>
          <w:lang w:val="en-US"/>
        </w:rPr>
        <w:t>on</w:t>
      </w:r>
      <w:r w:rsidRPr="00F93BAE">
        <w:rPr>
          <w:rFonts w:asciiTheme="majorHAnsi" w:eastAsia="Arial Unicode MS" w:hAnsiTheme="majorHAnsi" w:cstheme="majorHAnsi"/>
          <w:color w:val="000000" w:themeColor="text1"/>
          <w:spacing w:val="13"/>
          <w:sz w:val="20"/>
          <w:szCs w:val="20"/>
          <w:u w:color="000000"/>
          <w:lang w:val="en-US"/>
        </w:rPr>
        <w:t xml:space="preserve"> </w:t>
      </w:r>
      <w:r w:rsidRPr="00F93BAE">
        <w:rPr>
          <w:rFonts w:asciiTheme="majorHAnsi" w:eastAsia="Arial Unicode MS" w:hAnsiTheme="majorHAnsi" w:cstheme="majorHAnsi"/>
          <w:color w:val="000000" w:themeColor="text1"/>
          <w:spacing w:val="-1"/>
          <w:sz w:val="20"/>
          <w:szCs w:val="20"/>
          <w:u w:color="000000"/>
          <w:lang w:val="en-US"/>
        </w:rPr>
        <w:t>selected</w:t>
      </w:r>
      <w:r w:rsidRPr="00F93BAE">
        <w:rPr>
          <w:rFonts w:asciiTheme="majorHAnsi" w:eastAsia="Arial Unicode MS" w:hAnsiTheme="majorHAnsi" w:cstheme="majorHAnsi"/>
          <w:color w:val="000000" w:themeColor="text1"/>
          <w:spacing w:val="13"/>
          <w:sz w:val="20"/>
          <w:szCs w:val="20"/>
          <w:u w:color="000000"/>
          <w:lang w:val="en-US"/>
        </w:rPr>
        <w:t xml:space="preserve"> </w:t>
      </w:r>
      <w:r w:rsidRPr="00F93BAE">
        <w:rPr>
          <w:rFonts w:asciiTheme="majorHAnsi" w:eastAsia="Arial Unicode MS" w:hAnsiTheme="majorHAnsi" w:cstheme="majorHAnsi"/>
          <w:color w:val="000000" w:themeColor="text1"/>
          <w:spacing w:val="-1"/>
          <w:sz w:val="20"/>
          <w:szCs w:val="20"/>
          <w:u w:color="000000"/>
          <w:lang w:val="en-US"/>
        </w:rPr>
        <w:t>teachers’</w:t>
      </w:r>
      <w:r w:rsidRPr="00F93BAE">
        <w:rPr>
          <w:rFonts w:asciiTheme="majorHAnsi" w:eastAsia="Arial Unicode MS" w:hAnsiTheme="majorHAnsi" w:cstheme="majorHAnsi"/>
          <w:color w:val="000000" w:themeColor="text1"/>
          <w:spacing w:val="77"/>
          <w:w w:val="99"/>
          <w:sz w:val="20"/>
          <w:szCs w:val="20"/>
          <w:u w:color="000000"/>
          <w:lang w:val="en-US"/>
        </w:rPr>
        <w:t xml:space="preserve"> </w:t>
      </w:r>
      <w:r w:rsidRPr="00F93BAE">
        <w:rPr>
          <w:rFonts w:asciiTheme="majorHAnsi" w:eastAsia="Arial Unicode MS" w:hAnsiTheme="majorHAnsi" w:cstheme="majorHAnsi"/>
          <w:color w:val="000000" w:themeColor="text1"/>
          <w:spacing w:val="-1"/>
          <w:sz w:val="20"/>
          <w:szCs w:val="20"/>
          <w:u w:color="000000"/>
          <w:lang w:val="en-US"/>
        </w:rPr>
        <w:t>teaching</w:t>
      </w:r>
      <w:r w:rsidRPr="00F93BAE">
        <w:rPr>
          <w:rFonts w:asciiTheme="majorHAnsi" w:eastAsia="Arial Unicode MS" w:hAnsiTheme="majorHAnsi" w:cstheme="majorHAnsi"/>
          <w:color w:val="000000" w:themeColor="text1"/>
          <w:spacing w:val="21"/>
          <w:sz w:val="20"/>
          <w:szCs w:val="20"/>
          <w:u w:color="000000"/>
          <w:lang w:val="en-US"/>
        </w:rPr>
        <w:t xml:space="preserve"> </w:t>
      </w:r>
      <w:r w:rsidRPr="00F93BAE">
        <w:rPr>
          <w:rFonts w:asciiTheme="majorHAnsi" w:eastAsia="Arial Unicode MS" w:hAnsiTheme="majorHAnsi" w:cstheme="majorHAnsi"/>
          <w:color w:val="000000" w:themeColor="text1"/>
          <w:spacing w:val="-1"/>
          <w:sz w:val="20"/>
          <w:szCs w:val="20"/>
          <w:u w:color="000000"/>
          <w:lang w:val="en-US"/>
        </w:rPr>
        <w:t>delivery</w:t>
      </w:r>
      <w:r w:rsidRPr="00F93BAE">
        <w:rPr>
          <w:rFonts w:asciiTheme="majorHAnsi" w:eastAsia="Arial Unicode MS" w:hAnsiTheme="majorHAnsi" w:cstheme="majorHAnsi"/>
          <w:color w:val="000000" w:themeColor="text1"/>
          <w:spacing w:val="23"/>
          <w:sz w:val="20"/>
          <w:szCs w:val="20"/>
          <w:u w:color="000000"/>
          <w:lang w:val="en-US"/>
        </w:rPr>
        <w:t xml:space="preserve"> </w:t>
      </w:r>
      <w:r w:rsidRPr="00F93BAE">
        <w:rPr>
          <w:rFonts w:asciiTheme="majorHAnsi" w:eastAsia="Arial Unicode MS" w:hAnsiTheme="majorHAnsi" w:cstheme="majorHAnsi"/>
          <w:color w:val="000000" w:themeColor="text1"/>
          <w:spacing w:val="-7"/>
          <w:sz w:val="20"/>
          <w:szCs w:val="20"/>
          <w:u w:color="000000"/>
          <w:lang w:val="en-US"/>
        </w:rPr>
        <w:t>in selected elementary schools</w:t>
      </w:r>
      <w:r w:rsidRPr="00F93BAE">
        <w:rPr>
          <w:rFonts w:asciiTheme="majorHAnsi" w:eastAsia="Arial Unicode MS" w:hAnsiTheme="majorHAnsi" w:cstheme="majorHAnsi"/>
          <w:color w:val="000000" w:themeColor="text1"/>
          <w:spacing w:val="-1"/>
          <w:sz w:val="20"/>
          <w:szCs w:val="20"/>
          <w:u w:color="000000"/>
          <w:lang w:val="en-US"/>
        </w:rPr>
        <w:t xml:space="preserve"> in</w:t>
      </w:r>
      <w:r w:rsidRPr="00F93BAE">
        <w:rPr>
          <w:rFonts w:asciiTheme="majorHAnsi" w:eastAsia="Arial Unicode MS" w:hAnsiTheme="majorHAnsi" w:cstheme="majorHAnsi"/>
          <w:color w:val="000000" w:themeColor="text1"/>
          <w:spacing w:val="24"/>
          <w:sz w:val="20"/>
          <w:szCs w:val="20"/>
          <w:u w:color="000000"/>
          <w:lang w:val="en-US"/>
        </w:rPr>
        <w:t xml:space="preserve"> </w:t>
      </w:r>
      <w:r w:rsidRPr="00F93BAE">
        <w:rPr>
          <w:rFonts w:asciiTheme="majorHAnsi" w:eastAsia="Arial Unicode MS" w:hAnsiTheme="majorHAnsi" w:cstheme="majorHAnsi"/>
          <w:color w:val="000000" w:themeColor="text1"/>
          <w:spacing w:val="-1"/>
          <w:sz w:val="20"/>
          <w:szCs w:val="20"/>
          <w:u w:color="000000"/>
          <w:lang w:val="en-US"/>
        </w:rPr>
        <w:t>terms</w:t>
      </w:r>
      <w:r w:rsidRPr="00F93BAE">
        <w:rPr>
          <w:rFonts w:asciiTheme="majorHAnsi" w:eastAsia="Arial Unicode MS" w:hAnsiTheme="majorHAnsi" w:cstheme="majorHAnsi"/>
          <w:color w:val="000000" w:themeColor="text1"/>
          <w:spacing w:val="22"/>
          <w:sz w:val="20"/>
          <w:szCs w:val="20"/>
          <w:u w:color="000000"/>
          <w:lang w:val="en-US"/>
        </w:rPr>
        <w:t xml:space="preserve"> </w:t>
      </w:r>
      <w:r w:rsidRPr="00F93BAE">
        <w:rPr>
          <w:rFonts w:asciiTheme="majorHAnsi" w:eastAsia="Arial Unicode MS" w:hAnsiTheme="majorHAnsi" w:cstheme="majorHAnsi"/>
          <w:color w:val="000000" w:themeColor="text1"/>
          <w:spacing w:val="-1"/>
          <w:sz w:val="20"/>
          <w:szCs w:val="20"/>
          <w:u w:color="000000"/>
          <w:lang w:val="en-US"/>
        </w:rPr>
        <w:t>of</w:t>
      </w:r>
      <w:r w:rsidRPr="00F93BAE">
        <w:rPr>
          <w:rFonts w:asciiTheme="majorHAnsi" w:eastAsia="Arial Unicode MS" w:hAnsiTheme="majorHAnsi" w:cstheme="majorHAnsi"/>
          <w:color w:val="000000" w:themeColor="text1"/>
          <w:spacing w:val="24"/>
          <w:sz w:val="20"/>
          <w:szCs w:val="20"/>
          <w:u w:color="000000"/>
          <w:lang w:val="en-US"/>
        </w:rPr>
        <w:t xml:space="preserve"> </w:t>
      </w:r>
      <w:r w:rsidRPr="00F93BAE">
        <w:rPr>
          <w:rFonts w:asciiTheme="majorHAnsi" w:eastAsia="Arial Unicode MS" w:hAnsiTheme="majorHAnsi" w:cstheme="majorHAnsi"/>
          <w:color w:val="000000" w:themeColor="text1"/>
          <w:sz w:val="20"/>
          <w:szCs w:val="20"/>
          <w:u w:color="000000"/>
          <w:lang w:val="en-US"/>
        </w:rPr>
        <w:t>level</w:t>
      </w:r>
      <w:r w:rsidRPr="00F93BAE">
        <w:rPr>
          <w:rFonts w:asciiTheme="majorHAnsi" w:eastAsia="Arial Unicode MS" w:hAnsiTheme="majorHAnsi" w:cstheme="majorHAnsi"/>
          <w:color w:val="000000" w:themeColor="text1"/>
          <w:spacing w:val="23"/>
          <w:sz w:val="20"/>
          <w:szCs w:val="20"/>
          <w:u w:color="000000"/>
          <w:lang w:val="en-US"/>
        </w:rPr>
        <w:t xml:space="preserve"> </w:t>
      </w:r>
      <w:r w:rsidRPr="00F93BAE">
        <w:rPr>
          <w:rFonts w:asciiTheme="majorHAnsi" w:eastAsia="Arial Unicode MS" w:hAnsiTheme="majorHAnsi" w:cstheme="majorHAnsi"/>
          <w:color w:val="000000" w:themeColor="text1"/>
          <w:spacing w:val="-1"/>
          <w:sz w:val="20"/>
          <w:szCs w:val="20"/>
          <w:u w:color="000000"/>
          <w:lang w:val="en-US"/>
        </w:rPr>
        <w:t>of</w:t>
      </w:r>
      <w:r w:rsidRPr="00F93BAE">
        <w:rPr>
          <w:rFonts w:asciiTheme="majorHAnsi" w:eastAsia="Arial Unicode MS" w:hAnsiTheme="majorHAnsi" w:cstheme="majorHAnsi"/>
          <w:color w:val="000000" w:themeColor="text1"/>
          <w:spacing w:val="24"/>
          <w:sz w:val="20"/>
          <w:szCs w:val="20"/>
          <w:u w:color="000000"/>
          <w:lang w:val="en-US"/>
        </w:rPr>
        <w:t xml:space="preserve"> </w:t>
      </w:r>
      <w:r w:rsidRPr="00F93BAE">
        <w:rPr>
          <w:rFonts w:asciiTheme="majorHAnsi" w:eastAsia="Arial Unicode MS" w:hAnsiTheme="majorHAnsi" w:cstheme="majorHAnsi"/>
          <w:color w:val="000000" w:themeColor="text1"/>
          <w:spacing w:val="-1"/>
          <w:sz w:val="20"/>
          <w:szCs w:val="20"/>
          <w:u w:color="000000"/>
          <w:lang w:val="en-US"/>
        </w:rPr>
        <w:t>knowledge</w:t>
      </w:r>
      <w:r w:rsidRPr="00F93BAE">
        <w:rPr>
          <w:rFonts w:asciiTheme="majorHAnsi" w:eastAsia="Arial Unicode MS" w:hAnsiTheme="majorHAnsi" w:cstheme="majorHAnsi"/>
          <w:color w:val="000000" w:themeColor="text1"/>
          <w:spacing w:val="25"/>
          <w:sz w:val="20"/>
          <w:szCs w:val="20"/>
          <w:u w:color="000000"/>
          <w:lang w:val="en-US"/>
        </w:rPr>
        <w:t xml:space="preserve">, </w:t>
      </w:r>
      <w:r w:rsidRPr="00F93BAE">
        <w:rPr>
          <w:rFonts w:asciiTheme="majorHAnsi" w:eastAsia="Arial Unicode MS" w:hAnsiTheme="majorHAnsi" w:cstheme="majorHAnsi"/>
          <w:color w:val="000000" w:themeColor="text1"/>
          <w:spacing w:val="-1"/>
          <w:sz w:val="20"/>
          <w:szCs w:val="20"/>
          <w:u w:color="000000"/>
          <w:lang w:val="en-US"/>
        </w:rPr>
        <w:t>skills</w:t>
      </w:r>
      <w:r w:rsidRPr="00F93BAE">
        <w:rPr>
          <w:rFonts w:asciiTheme="majorHAnsi" w:eastAsia="Arial Unicode MS" w:hAnsiTheme="majorHAnsi" w:cstheme="majorHAnsi"/>
          <w:color w:val="000000" w:themeColor="text1"/>
          <w:spacing w:val="21"/>
          <w:sz w:val="20"/>
          <w:szCs w:val="20"/>
          <w:u w:color="000000"/>
          <w:lang w:val="en-US"/>
        </w:rPr>
        <w:t xml:space="preserve">, </w:t>
      </w:r>
      <w:r w:rsidRPr="00F93BAE">
        <w:rPr>
          <w:rFonts w:asciiTheme="majorHAnsi" w:eastAsia="Arial Unicode MS" w:hAnsiTheme="majorHAnsi" w:cstheme="majorHAnsi"/>
          <w:color w:val="000000" w:themeColor="text1"/>
          <w:spacing w:val="-1"/>
          <w:sz w:val="20"/>
          <w:szCs w:val="20"/>
          <w:u w:color="000000"/>
          <w:lang w:val="en-US"/>
        </w:rPr>
        <w:t>behaviors</w:t>
      </w:r>
      <w:r w:rsidRPr="00F93BAE">
        <w:rPr>
          <w:rFonts w:asciiTheme="majorHAnsi" w:eastAsia="Arial Unicode MS" w:hAnsiTheme="majorHAnsi" w:cstheme="majorHAnsi"/>
          <w:color w:val="000000" w:themeColor="text1"/>
          <w:spacing w:val="22"/>
          <w:sz w:val="20"/>
          <w:szCs w:val="20"/>
          <w:u w:color="000000"/>
          <w:lang w:val="en-US"/>
        </w:rPr>
        <w:t xml:space="preserve"> </w:t>
      </w:r>
      <w:r w:rsidRPr="00F93BAE">
        <w:rPr>
          <w:rFonts w:asciiTheme="majorHAnsi" w:eastAsia="Arial Unicode MS" w:hAnsiTheme="majorHAnsi" w:cstheme="majorHAnsi"/>
          <w:color w:val="000000" w:themeColor="text1"/>
          <w:sz w:val="20"/>
          <w:szCs w:val="20"/>
          <w:u w:color="000000"/>
          <w:lang w:val="en-US"/>
        </w:rPr>
        <w:t>and</w:t>
      </w:r>
      <w:r w:rsidRPr="00F93BAE">
        <w:rPr>
          <w:rFonts w:asciiTheme="majorHAnsi" w:eastAsia="Arial Unicode MS" w:hAnsiTheme="majorHAnsi" w:cstheme="majorHAnsi"/>
          <w:color w:val="000000" w:themeColor="text1"/>
          <w:spacing w:val="77"/>
          <w:w w:val="99"/>
          <w:sz w:val="20"/>
          <w:szCs w:val="20"/>
          <w:u w:color="000000"/>
          <w:lang w:val="en-US"/>
        </w:rPr>
        <w:t xml:space="preserve"> </w:t>
      </w:r>
      <w:r w:rsidRPr="00F93BAE">
        <w:rPr>
          <w:rFonts w:asciiTheme="majorHAnsi" w:eastAsia="Arial Unicode MS" w:hAnsiTheme="majorHAnsi" w:cstheme="majorHAnsi"/>
          <w:color w:val="000000" w:themeColor="text1"/>
          <w:spacing w:val="-1"/>
          <w:sz w:val="20"/>
          <w:szCs w:val="20"/>
          <w:u w:color="000000"/>
          <w:lang w:val="en-US"/>
        </w:rPr>
        <w:t xml:space="preserve">practices? </w:t>
      </w:r>
      <w:r w:rsidRPr="00F93BAE">
        <w:rPr>
          <w:rFonts w:asciiTheme="majorHAnsi" w:eastAsia="Arial Unicode MS" w:hAnsiTheme="majorHAnsi" w:cstheme="majorHAnsi"/>
          <w:color w:val="000000" w:themeColor="text1"/>
          <w:sz w:val="20"/>
          <w:szCs w:val="20"/>
          <w:u w:color="000000"/>
          <w:lang w:val="en-GB"/>
        </w:rPr>
        <w:t>(</w:t>
      </w:r>
      <w:r w:rsidRPr="00F93BAE">
        <w:rPr>
          <w:rFonts w:asciiTheme="majorHAnsi" w:eastAsia="Arial Unicode MS" w:hAnsiTheme="majorHAnsi" w:cstheme="majorHAnsi"/>
          <w:b/>
          <w:color w:val="000000" w:themeColor="text1"/>
          <w:sz w:val="20"/>
          <w:szCs w:val="20"/>
          <w:u w:color="000000"/>
          <w:lang w:val="en-GB"/>
        </w:rPr>
        <w:t>RQ-2</w:t>
      </w:r>
      <w:r w:rsidRPr="00F93BAE">
        <w:rPr>
          <w:rFonts w:asciiTheme="majorHAnsi" w:eastAsia="Arial Unicode MS" w:hAnsiTheme="majorHAnsi" w:cstheme="majorHAnsi"/>
          <w:color w:val="000000" w:themeColor="text1"/>
          <w:sz w:val="20"/>
          <w:szCs w:val="20"/>
          <w:u w:color="000000"/>
          <w:lang w:val="en-GB"/>
        </w:rPr>
        <w:t>)</w:t>
      </w:r>
    </w:p>
    <w:p w14:paraId="362CEBA0" w14:textId="77777777" w:rsidR="008D0CAD" w:rsidRPr="00F93BAE" w:rsidRDefault="008D0CAD" w:rsidP="005902F7">
      <w:pPr>
        <w:widowControl w:val="0"/>
        <w:numPr>
          <w:ilvl w:val="0"/>
          <w:numId w:val="33"/>
        </w:numPr>
        <w:tabs>
          <w:tab w:val="left" w:pos="838"/>
        </w:tabs>
        <w:spacing w:before="100" w:beforeAutospacing="1" w:after="100" w:afterAutospacing="1" w:line="360" w:lineRule="auto"/>
        <w:ind w:left="1208" w:right="202" w:hanging="357"/>
        <w:rPr>
          <w:rFonts w:asciiTheme="majorHAnsi" w:eastAsia="Arial Unicode MS" w:hAnsiTheme="majorHAnsi" w:cstheme="majorHAnsi"/>
          <w:color w:val="000000" w:themeColor="text1"/>
          <w:sz w:val="20"/>
          <w:szCs w:val="20"/>
          <w:u w:color="000000"/>
          <w:lang w:val="en-US"/>
        </w:rPr>
      </w:pPr>
      <w:r w:rsidRPr="00F93BAE">
        <w:rPr>
          <w:rFonts w:asciiTheme="majorHAnsi" w:eastAsia="Arial Unicode MS" w:hAnsiTheme="majorHAnsi" w:cstheme="majorHAnsi"/>
          <w:color w:val="000000" w:themeColor="text1"/>
          <w:spacing w:val="-1"/>
          <w:sz w:val="20"/>
          <w:szCs w:val="20"/>
          <w:u w:color="000000"/>
          <w:lang w:val="en-US"/>
        </w:rPr>
        <w:t>How did the changes in knowledge</w:t>
      </w:r>
      <w:r w:rsidRPr="00F93BAE">
        <w:rPr>
          <w:rFonts w:asciiTheme="majorHAnsi" w:eastAsia="Arial Unicode MS" w:hAnsiTheme="majorHAnsi" w:cstheme="majorHAnsi"/>
          <w:color w:val="000000" w:themeColor="text1"/>
          <w:spacing w:val="25"/>
          <w:sz w:val="20"/>
          <w:szCs w:val="20"/>
          <w:u w:color="000000"/>
          <w:lang w:val="en-US"/>
        </w:rPr>
        <w:t xml:space="preserve">, </w:t>
      </w:r>
      <w:r w:rsidRPr="00F93BAE">
        <w:rPr>
          <w:rFonts w:asciiTheme="majorHAnsi" w:eastAsia="Arial Unicode MS" w:hAnsiTheme="majorHAnsi" w:cstheme="majorHAnsi"/>
          <w:color w:val="000000" w:themeColor="text1"/>
          <w:spacing w:val="-1"/>
          <w:sz w:val="20"/>
          <w:szCs w:val="20"/>
          <w:u w:color="000000"/>
          <w:lang w:val="en-US"/>
        </w:rPr>
        <w:t>skills</w:t>
      </w:r>
      <w:r w:rsidRPr="00F93BAE">
        <w:rPr>
          <w:rFonts w:asciiTheme="majorHAnsi" w:eastAsia="Arial Unicode MS" w:hAnsiTheme="majorHAnsi" w:cstheme="majorHAnsi"/>
          <w:color w:val="000000" w:themeColor="text1"/>
          <w:spacing w:val="21"/>
          <w:sz w:val="20"/>
          <w:szCs w:val="20"/>
          <w:u w:color="000000"/>
          <w:lang w:val="en-US"/>
        </w:rPr>
        <w:t xml:space="preserve">, </w:t>
      </w:r>
      <w:r w:rsidRPr="00F93BAE">
        <w:rPr>
          <w:rFonts w:asciiTheme="majorHAnsi" w:eastAsia="Arial Unicode MS" w:hAnsiTheme="majorHAnsi" w:cstheme="majorHAnsi"/>
          <w:color w:val="000000" w:themeColor="text1"/>
          <w:spacing w:val="-1"/>
          <w:sz w:val="20"/>
          <w:szCs w:val="20"/>
          <w:u w:color="000000"/>
          <w:lang w:val="en-US"/>
        </w:rPr>
        <w:t>behaviors</w:t>
      </w:r>
      <w:r w:rsidRPr="00F93BAE">
        <w:rPr>
          <w:rFonts w:asciiTheme="majorHAnsi" w:eastAsia="Arial Unicode MS" w:hAnsiTheme="majorHAnsi" w:cstheme="majorHAnsi"/>
          <w:color w:val="000000" w:themeColor="text1"/>
          <w:spacing w:val="22"/>
          <w:sz w:val="20"/>
          <w:szCs w:val="20"/>
          <w:u w:color="000000"/>
          <w:lang w:val="en-US"/>
        </w:rPr>
        <w:t xml:space="preserve"> </w:t>
      </w:r>
      <w:r w:rsidRPr="00F93BAE">
        <w:rPr>
          <w:rFonts w:asciiTheme="majorHAnsi" w:eastAsia="Arial Unicode MS" w:hAnsiTheme="majorHAnsi" w:cstheme="majorHAnsi"/>
          <w:color w:val="000000" w:themeColor="text1"/>
          <w:sz w:val="20"/>
          <w:szCs w:val="20"/>
          <w:u w:color="000000"/>
          <w:lang w:val="en-US"/>
        </w:rPr>
        <w:t>and</w:t>
      </w:r>
      <w:r w:rsidRPr="00F93BAE">
        <w:rPr>
          <w:rFonts w:asciiTheme="majorHAnsi" w:eastAsia="Arial Unicode MS" w:hAnsiTheme="majorHAnsi" w:cstheme="majorHAnsi"/>
          <w:color w:val="000000" w:themeColor="text1"/>
          <w:spacing w:val="77"/>
          <w:w w:val="99"/>
          <w:sz w:val="20"/>
          <w:szCs w:val="20"/>
          <w:u w:color="000000"/>
          <w:lang w:val="en-US"/>
        </w:rPr>
        <w:t xml:space="preserve"> </w:t>
      </w:r>
      <w:r w:rsidRPr="00F93BAE">
        <w:rPr>
          <w:rFonts w:asciiTheme="majorHAnsi" w:eastAsia="Arial Unicode MS" w:hAnsiTheme="majorHAnsi" w:cstheme="majorHAnsi"/>
          <w:color w:val="000000" w:themeColor="text1"/>
          <w:spacing w:val="-1"/>
          <w:sz w:val="20"/>
          <w:szCs w:val="20"/>
          <w:u w:color="000000"/>
          <w:lang w:val="en-US"/>
        </w:rPr>
        <w:t>practices in school</w:t>
      </w:r>
      <w:r w:rsidRPr="00F93BAE">
        <w:rPr>
          <w:rFonts w:asciiTheme="majorHAnsi" w:eastAsia="Arial Unicode MS" w:hAnsiTheme="majorHAnsi" w:cstheme="majorHAnsi"/>
          <w:color w:val="000000" w:themeColor="text1"/>
          <w:spacing w:val="18"/>
          <w:sz w:val="20"/>
          <w:szCs w:val="20"/>
          <w:u w:color="000000"/>
          <w:lang w:val="en-US"/>
        </w:rPr>
        <w:t xml:space="preserve"> </w:t>
      </w:r>
      <w:r w:rsidRPr="00F93BAE">
        <w:rPr>
          <w:rFonts w:asciiTheme="majorHAnsi" w:eastAsia="Arial Unicode MS" w:hAnsiTheme="majorHAnsi" w:cstheme="majorHAnsi"/>
          <w:color w:val="000000" w:themeColor="text1"/>
          <w:spacing w:val="-1"/>
          <w:sz w:val="20"/>
          <w:szCs w:val="20"/>
          <w:u w:color="000000"/>
          <w:lang w:val="en-US"/>
        </w:rPr>
        <w:t>leadership</w:t>
      </w:r>
      <w:r w:rsidRPr="00F93BAE">
        <w:rPr>
          <w:rFonts w:asciiTheme="majorHAnsi" w:eastAsia="Arial Unicode MS" w:hAnsiTheme="majorHAnsi" w:cstheme="majorHAnsi"/>
          <w:color w:val="000000" w:themeColor="text1"/>
          <w:spacing w:val="75"/>
          <w:w w:val="99"/>
          <w:sz w:val="20"/>
          <w:szCs w:val="20"/>
          <w:u w:color="000000"/>
          <w:lang w:val="en-US"/>
        </w:rPr>
        <w:t xml:space="preserve"> </w:t>
      </w:r>
      <w:r w:rsidRPr="00F93BAE">
        <w:rPr>
          <w:rFonts w:asciiTheme="majorHAnsi" w:eastAsia="Arial Unicode MS" w:hAnsiTheme="majorHAnsi" w:cstheme="majorHAnsi"/>
          <w:color w:val="000000" w:themeColor="text1"/>
          <w:sz w:val="20"/>
          <w:szCs w:val="20"/>
          <w:u w:color="000000"/>
          <w:lang w:val="en-US"/>
        </w:rPr>
        <w:t>and</w:t>
      </w:r>
      <w:r w:rsidRPr="00F93BAE">
        <w:rPr>
          <w:rFonts w:asciiTheme="majorHAnsi" w:eastAsia="Arial Unicode MS" w:hAnsiTheme="majorHAnsi" w:cstheme="majorHAnsi"/>
          <w:color w:val="000000" w:themeColor="text1"/>
          <w:spacing w:val="-6"/>
          <w:sz w:val="20"/>
          <w:szCs w:val="20"/>
          <w:u w:color="000000"/>
          <w:lang w:val="en-US"/>
        </w:rPr>
        <w:t xml:space="preserve"> </w:t>
      </w:r>
      <w:r w:rsidRPr="00F93BAE">
        <w:rPr>
          <w:rFonts w:asciiTheme="majorHAnsi" w:eastAsia="Arial Unicode MS" w:hAnsiTheme="majorHAnsi" w:cstheme="majorHAnsi"/>
          <w:color w:val="000000" w:themeColor="text1"/>
          <w:sz w:val="20"/>
          <w:szCs w:val="20"/>
          <w:u w:color="000000"/>
          <w:lang w:val="en-US"/>
        </w:rPr>
        <w:t xml:space="preserve">management and </w:t>
      </w:r>
      <w:r w:rsidRPr="00F93BAE">
        <w:rPr>
          <w:rFonts w:asciiTheme="majorHAnsi" w:eastAsia="Arial Unicode MS" w:hAnsiTheme="majorHAnsi" w:cstheme="majorHAnsi"/>
          <w:color w:val="000000" w:themeColor="text1"/>
          <w:spacing w:val="-1"/>
          <w:sz w:val="20"/>
          <w:szCs w:val="20"/>
          <w:u w:color="000000"/>
          <w:lang w:val="en-US"/>
        </w:rPr>
        <w:t>teaching</w:t>
      </w:r>
      <w:r w:rsidRPr="00F93BAE">
        <w:rPr>
          <w:rFonts w:asciiTheme="majorHAnsi" w:eastAsia="Arial Unicode MS" w:hAnsiTheme="majorHAnsi" w:cstheme="majorHAnsi"/>
          <w:color w:val="000000" w:themeColor="text1"/>
          <w:spacing w:val="21"/>
          <w:sz w:val="20"/>
          <w:szCs w:val="20"/>
          <w:u w:color="000000"/>
          <w:lang w:val="en-US"/>
        </w:rPr>
        <w:t xml:space="preserve"> </w:t>
      </w:r>
      <w:r w:rsidRPr="00F93BAE">
        <w:rPr>
          <w:rFonts w:asciiTheme="majorHAnsi" w:eastAsia="Arial Unicode MS" w:hAnsiTheme="majorHAnsi" w:cstheme="majorHAnsi"/>
          <w:color w:val="000000" w:themeColor="text1"/>
          <w:spacing w:val="-1"/>
          <w:sz w:val="20"/>
          <w:szCs w:val="20"/>
          <w:u w:color="000000"/>
          <w:lang w:val="en-US"/>
        </w:rPr>
        <w:t xml:space="preserve">delivery </w:t>
      </w:r>
      <w:r w:rsidRPr="00F93BAE">
        <w:rPr>
          <w:rFonts w:asciiTheme="majorHAnsi" w:eastAsia="Arial Unicode MS" w:hAnsiTheme="majorHAnsi" w:cstheme="majorHAnsi"/>
          <w:color w:val="000000" w:themeColor="text1"/>
          <w:spacing w:val="-7"/>
          <w:sz w:val="20"/>
          <w:szCs w:val="20"/>
          <w:u w:color="000000"/>
          <w:lang w:val="en-US"/>
        </w:rPr>
        <w:t>in selected elementary schools</w:t>
      </w:r>
      <w:r w:rsidRPr="00F93BAE">
        <w:rPr>
          <w:rFonts w:asciiTheme="majorHAnsi" w:eastAsia="Arial Unicode MS" w:hAnsiTheme="majorHAnsi" w:cstheme="majorHAnsi"/>
          <w:color w:val="000000" w:themeColor="text1"/>
          <w:spacing w:val="-1"/>
          <w:sz w:val="20"/>
          <w:szCs w:val="20"/>
          <w:u w:color="000000"/>
          <w:lang w:val="en-US"/>
        </w:rPr>
        <w:t xml:space="preserve"> improve the inclusiveness and responsiveness of basic education services? </w:t>
      </w:r>
      <w:r w:rsidRPr="00F93BAE">
        <w:rPr>
          <w:rFonts w:asciiTheme="majorHAnsi" w:eastAsia="Arial Unicode MS" w:hAnsiTheme="majorHAnsi" w:cstheme="majorHAnsi"/>
          <w:color w:val="000000" w:themeColor="text1"/>
          <w:sz w:val="20"/>
          <w:szCs w:val="20"/>
          <w:u w:color="000000"/>
          <w:lang w:val="en-GB"/>
        </w:rPr>
        <w:t>(</w:t>
      </w:r>
      <w:r w:rsidRPr="00F93BAE">
        <w:rPr>
          <w:rFonts w:asciiTheme="majorHAnsi" w:eastAsia="Arial Unicode MS" w:hAnsiTheme="majorHAnsi" w:cstheme="majorHAnsi"/>
          <w:b/>
          <w:color w:val="000000" w:themeColor="text1"/>
          <w:sz w:val="20"/>
          <w:szCs w:val="20"/>
          <w:u w:color="000000"/>
          <w:lang w:val="en-GB"/>
        </w:rPr>
        <w:t>RQ-3</w:t>
      </w:r>
      <w:r w:rsidRPr="00F93BAE">
        <w:rPr>
          <w:rFonts w:asciiTheme="majorHAnsi" w:eastAsia="Arial Unicode MS" w:hAnsiTheme="majorHAnsi" w:cstheme="majorHAnsi"/>
          <w:color w:val="000000" w:themeColor="text1"/>
          <w:sz w:val="20"/>
          <w:szCs w:val="20"/>
          <w:u w:color="000000"/>
          <w:lang w:val="en-GB"/>
        </w:rPr>
        <w:t>)</w:t>
      </w:r>
    </w:p>
    <w:p w14:paraId="74583210" w14:textId="77777777" w:rsidR="008D0CAD" w:rsidRPr="00F93BAE" w:rsidRDefault="008D0CAD" w:rsidP="005902F7">
      <w:pPr>
        <w:widowControl w:val="0"/>
        <w:numPr>
          <w:ilvl w:val="0"/>
          <w:numId w:val="33"/>
        </w:numPr>
        <w:tabs>
          <w:tab w:val="left" w:pos="838"/>
        </w:tabs>
        <w:spacing w:before="100" w:beforeAutospacing="1" w:after="100" w:afterAutospacing="1" w:line="360" w:lineRule="auto"/>
        <w:ind w:left="1208" w:right="202" w:hanging="357"/>
        <w:rPr>
          <w:rFonts w:asciiTheme="majorHAnsi" w:eastAsia="Arial Unicode MS" w:hAnsiTheme="majorHAnsi" w:cstheme="majorHAnsi"/>
          <w:color w:val="000000" w:themeColor="text1"/>
          <w:sz w:val="20"/>
          <w:szCs w:val="20"/>
          <w:u w:color="000000"/>
          <w:lang w:val="en-US"/>
        </w:rPr>
      </w:pPr>
      <w:r w:rsidRPr="00F93BAE">
        <w:rPr>
          <w:rFonts w:asciiTheme="majorHAnsi" w:eastAsia="Arial Unicode MS" w:hAnsiTheme="majorHAnsi" w:cstheme="majorHAnsi"/>
          <w:color w:val="000000" w:themeColor="text1"/>
          <w:spacing w:val="-1"/>
          <w:sz w:val="20"/>
          <w:szCs w:val="20"/>
          <w:u w:color="000000"/>
          <w:lang w:val="en-US"/>
        </w:rPr>
        <w:t>How did external factors and conditions affect school</w:t>
      </w:r>
      <w:r w:rsidRPr="00F93BAE">
        <w:rPr>
          <w:rFonts w:asciiTheme="majorHAnsi" w:eastAsia="Arial Unicode MS" w:hAnsiTheme="majorHAnsi" w:cstheme="majorHAnsi"/>
          <w:color w:val="000000" w:themeColor="text1"/>
          <w:spacing w:val="18"/>
          <w:sz w:val="20"/>
          <w:szCs w:val="20"/>
          <w:u w:color="000000"/>
          <w:lang w:val="en-US"/>
        </w:rPr>
        <w:t xml:space="preserve"> </w:t>
      </w:r>
      <w:r w:rsidRPr="00F93BAE">
        <w:rPr>
          <w:rFonts w:asciiTheme="majorHAnsi" w:eastAsia="Arial Unicode MS" w:hAnsiTheme="majorHAnsi" w:cstheme="majorHAnsi"/>
          <w:color w:val="000000" w:themeColor="text1"/>
          <w:spacing w:val="-1"/>
          <w:sz w:val="20"/>
          <w:szCs w:val="20"/>
          <w:u w:color="000000"/>
          <w:lang w:val="en-US"/>
        </w:rPr>
        <w:t xml:space="preserve">leadership </w:t>
      </w:r>
      <w:r w:rsidRPr="00F93BAE">
        <w:rPr>
          <w:rFonts w:asciiTheme="majorHAnsi" w:eastAsia="Arial Unicode MS" w:hAnsiTheme="majorHAnsi" w:cstheme="majorHAnsi"/>
          <w:color w:val="000000" w:themeColor="text1"/>
          <w:sz w:val="20"/>
          <w:szCs w:val="20"/>
          <w:u w:color="000000"/>
          <w:lang w:val="en-US"/>
        </w:rPr>
        <w:t>and</w:t>
      </w:r>
      <w:r w:rsidRPr="00F93BAE">
        <w:rPr>
          <w:rFonts w:asciiTheme="majorHAnsi" w:eastAsia="Arial Unicode MS" w:hAnsiTheme="majorHAnsi" w:cstheme="majorHAnsi"/>
          <w:color w:val="000000" w:themeColor="text1"/>
          <w:spacing w:val="-6"/>
          <w:sz w:val="20"/>
          <w:szCs w:val="20"/>
          <w:u w:color="000000"/>
          <w:lang w:val="en-US"/>
        </w:rPr>
        <w:t xml:space="preserve"> </w:t>
      </w:r>
      <w:r w:rsidRPr="00F93BAE">
        <w:rPr>
          <w:rFonts w:asciiTheme="majorHAnsi" w:eastAsia="Arial Unicode MS" w:hAnsiTheme="majorHAnsi" w:cstheme="majorHAnsi"/>
          <w:color w:val="000000" w:themeColor="text1"/>
          <w:sz w:val="20"/>
          <w:szCs w:val="20"/>
          <w:u w:color="000000"/>
          <w:lang w:val="en-US"/>
        </w:rPr>
        <w:t xml:space="preserve">management and </w:t>
      </w:r>
      <w:r w:rsidRPr="00F93BAE">
        <w:rPr>
          <w:rFonts w:asciiTheme="majorHAnsi" w:eastAsia="Arial Unicode MS" w:hAnsiTheme="majorHAnsi" w:cstheme="majorHAnsi"/>
          <w:color w:val="000000" w:themeColor="text1"/>
          <w:spacing w:val="-1"/>
          <w:sz w:val="20"/>
          <w:szCs w:val="20"/>
          <w:u w:color="000000"/>
          <w:lang w:val="en-US"/>
        </w:rPr>
        <w:t>teaching</w:t>
      </w:r>
      <w:r w:rsidRPr="00F93BAE">
        <w:rPr>
          <w:rFonts w:asciiTheme="majorHAnsi" w:eastAsia="Arial Unicode MS" w:hAnsiTheme="majorHAnsi" w:cstheme="majorHAnsi"/>
          <w:color w:val="000000" w:themeColor="text1"/>
          <w:spacing w:val="21"/>
          <w:sz w:val="20"/>
          <w:szCs w:val="20"/>
          <w:u w:color="000000"/>
          <w:lang w:val="en-US"/>
        </w:rPr>
        <w:t xml:space="preserve"> </w:t>
      </w:r>
      <w:r w:rsidRPr="00F93BAE">
        <w:rPr>
          <w:rFonts w:asciiTheme="majorHAnsi" w:eastAsia="Arial Unicode MS" w:hAnsiTheme="majorHAnsi" w:cstheme="majorHAnsi"/>
          <w:color w:val="000000" w:themeColor="text1"/>
          <w:spacing w:val="-1"/>
          <w:sz w:val="20"/>
          <w:szCs w:val="20"/>
          <w:u w:color="000000"/>
          <w:lang w:val="en-US"/>
        </w:rPr>
        <w:t xml:space="preserve">delivery </w:t>
      </w:r>
      <w:r w:rsidRPr="00F93BAE">
        <w:rPr>
          <w:rFonts w:asciiTheme="majorHAnsi" w:eastAsia="Arial Unicode MS" w:hAnsiTheme="majorHAnsi" w:cstheme="majorHAnsi"/>
          <w:color w:val="000000" w:themeColor="text1"/>
          <w:spacing w:val="-7"/>
          <w:sz w:val="20"/>
          <w:szCs w:val="20"/>
          <w:u w:color="000000"/>
          <w:lang w:val="en-US"/>
        </w:rPr>
        <w:t>in selected elementary schools</w:t>
      </w:r>
      <w:r w:rsidRPr="00F93BAE">
        <w:rPr>
          <w:rFonts w:asciiTheme="majorHAnsi" w:eastAsia="Arial Unicode MS" w:hAnsiTheme="majorHAnsi" w:cstheme="majorHAnsi"/>
          <w:color w:val="000000" w:themeColor="text1"/>
          <w:sz w:val="20"/>
          <w:szCs w:val="20"/>
          <w:u w:color="000000"/>
          <w:lang w:val="en-GB"/>
        </w:rPr>
        <w:t>? (</w:t>
      </w:r>
      <w:r w:rsidRPr="00F93BAE">
        <w:rPr>
          <w:rFonts w:asciiTheme="majorHAnsi" w:eastAsia="Arial Unicode MS" w:hAnsiTheme="majorHAnsi" w:cstheme="majorHAnsi"/>
          <w:b/>
          <w:color w:val="000000" w:themeColor="text1"/>
          <w:sz w:val="20"/>
          <w:szCs w:val="20"/>
          <w:u w:color="000000"/>
          <w:lang w:val="en-GB"/>
        </w:rPr>
        <w:t>RQ-4</w:t>
      </w:r>
      <w:r w:rsidRPr="00F93BAE">
        <w:rPr>
          <w:rFonts w:asciiTheme="majorHAnsi" w:eastAsia="Arial Unicode MS" w:hAnsiTheme="majorHAnsi" w:cstheme="majorHAnsi"/>
          <w:color w:val="000000" w:themeColor="text1"/>
          <w:sz w:val="20"/>
          <w:szCs w:val="20"/>
          <w:u w:color="000000"/>
          <w:lang w:val="en-GB"/>
        </w:rPr>
        <w:t xml:space="preserve">) </w:t>
      </w:r>
    </w:p>
    <w:p w14:paraId="768580F4" w14:textId="77777777" w:rsidR="008D0CAD" w:rsidRPr="00F93BAE" w:rsidRDefault="008D0CAD" w:rsidP="005902F7">
      <w:pPr>
        <w:numPr>
          <w:ilvl w:val="0"/>
          <w:numId w:val="33"/>
        </w:numPr>
        <w:spacing w:before="100" w:beforeAutospacing="1" w:after="100" w:afterAutospacing="1" w:line="360" w:lineRule="auto"/>
        <w:ind w:left="1276" w:hanging="425"/>
        <w:rPr>
          <w:rFonts w:asciiTheme="majorHAnsi" w:hAnsiTheme="majorHAnsi" w:cstheme="majorHAnsi"/>
          <w:snapToGrid w:val="0"/>
          <w:color w:val="000000" w:themeColor="text1"/>
          <w:szCs w:val="20"/>
          <w:lang w:val="en-US"/>
        </w:rPr>
      </w:pPr>
      <w:r w:rsidRPr="00F93BAE">
        <w:rPr>
          <w:rFonts w:asciiTheme="majorHAnsi" w:hAnsiTheme="majorHAnsi" w:cstheme="majorHAnsi"/>
          <w:snapToGrid w:val="0"/>
          <w:color w:val="000000" w:themeColor="text1"/>
          <w:szCs w:val="20"/>
          <w:lang w:val="en-US"/>
        </w:rPr>
        <w:t>What</w:t>
      </w:r>
      <w:r w:rsidRPr="00F93BAE">
        <w:rPr>
          <w:rFonts w:asciiTheme="majorHAnsi" w:hAnsiTheme="majorHAnsi" w:cstheme="majorHAnsi"/>
          <w:snapToGrid w:val="0"/>
          <w:color w:val="000000" w:themeColor="text1"/>
          <w:spacing w:val="-14"/>
          <w:szCs w:val="20"/>
          <w:lang w:val="en-US"/>
        </w:rPr>
        <w:t xml:space="preserve"> </w:t>
      </w:r>
      <w:r w:rsidRPr="00F93BAE">
        <w:rPr>
          <w:rFonts w:asciiTheme="majorHAnsi" w:hAnsiTheme="majorHAnsi" w:cstheme="majorHAnsi"/>
          <w:snapToGrid w:val="0"/>
          <w:color w:val="000000" w:themeColor="text1"/>
          <w:szCs w:val="20"/>
          <w:lang w:val="en-US"/>
        </w:rPr>
        <w:t>models</w:t>
      </w:r>
      <w:r w:rsidRPr="00F93BAE">
        <w:rPr>
          <w:rFonts w:asciiTheme="majorHAnsi" w:hAnsiTheme="majorHAnsi" w:cstheme="majorHAnsi"/>
          <w:snapToGrid w:val="0"/>
          <w:color w:val="000000" w:themeColor="text1"/>
          <w:spacing w:val="-12"/>
          <w:szCs w:val="20"/>
          <w:lang w:val="en-US"/>
        </w:rPr>
        <w:t xml:space="preserve"> </w:t>
      </w:r>
      <w:r w:rsidRPr="00F93BAE">
        <w:rPr>
          <w:rFonts w:asciiTheme="majorHAnsi" w:hAnsiTheme="majorHAnsi" w:cstheme="majorHAnsi"/>
          <w:snapToGrid w:val="0"/>
          <w:color w:val="000000" w:themeColor="text1"/>
          <w:spacing w:val="-1"/>
          <w:szCs w:val="20"/>
          <w:lang w:val="en-US"/>
        </w:rPr>
        <w:t>or</w:t>
      </w:r>
      <w:r w:rsidRPr="00F93BAE">
        <w:rPr>
          <w:rFonts w:asciiTheme="majorHAnsi" w:hAnsiTheme="majorHAnsi" w:cstheme="majorHAnsi"/>
          <w:snapToGrid w:val="0"/>
          <w:color w:val="000000" w:themeColor="text1"/>
          <w:spacing w:val="-13"/>
          <w:szCs w:val="20"/>
          <w:lang w:val="en-US"/>
        </w:rPr>
        <w:t xml:space="preserve"> </w:t>
      </w:r>
      <w:r w:rsidRPr="00F93BAE">
        <w:rPr>
          <w:rFonts w:asciiTheme="majorHAnsi" w:hAnsiTheme="majorHAnsi" w:cstheme="majorHAnsi"/>
          <w:snapToGrid w:val="0"/>
          <w:color w:val="000000" w:themeColor="text1"/>
          <w:spacing w:val="-1"/>
          <w:szCs w:val="20"/>
          <w:lang w:val="en-US"/>
        </w:rPr>
        <w:t>combinations</w:t>
      </w:r>
      <w:r w:rsidRPr="00F93BAE">
        <w:rPr>
          <w:rFonts w:asciiTheme="majorHAnsi" w:hAnsiTheme="majorHAnsi" w:cstheme="majorHAnsi"/>
          <w:snapToGrid w:val="0"/>
          <w:color w:val="000000" w:themeColor="text1"/>
          <w:spacing w:val="-13"/>
          <w:szCs w:val="20"/>
          <w:lang w:val="en-US"/>
        </w:rPr>
        <w:t xml:space="preserve"> </w:t>
      </w:r>
      <w:r w:rsidRPr="00F93BAE">
        <w:rPr>
          <w:rFonts w:asciiTheme="majorHAnsi" w:hAnsiTheme="majorHAnsi" w:cstheme="majorHAnsi"/>
          <w:snapToGrid w:val="0"/>
          <w:color w:val="000000" w:themeColor="text1"/>
          <w:spacing w:val="-1"/>
          <w:szCs w:val="20"/>
          <w:lang w:val="en-US"/>
        </w:rPr>
        <w:t>of</w:t>
      </w:r>
      <w:r w:rsidRPr="00F93BAE">
        <w:rPr>
          <w:rFonts w:asciiTheme="majorHAnsi" w:hAnsiTheme="majorHAnsi" w:cstheme="majorHAnsi"/>
          <w:snapToGrid w:val="0"/>
          <w:color w:val="000000" w:themeColor="text1"/>
          <w:spacing w:val="-10"/>
          <w:szCs w:val="20"/>
          <w:lang w:val="en-US"/>
        </w:rPr>
        <w:t xml:space="preserve"> </w:t>
      </w:r>
      <w:r w:rsidRPr="00F93BAE">
        <w:rPr>
          <w:rFonts w:asciiTheme="majorHAnsi" w:hAnsiTheme="majorHAnsi" w:cstheme="majorHAnsi"/>
          <w:snapToGrid w:val="0"/>
          <w:color w:val="000000" w:themeColor="text1"/>
          <w:spacing w:val="-1"/>
          <w:szCs w:val="20"/>
          <w:lang w:val="en-US"/>
        </w:rPr>
        <w:t>interventions</w:t>
      </w:r>
      <w:r w:rsidRPr="00F93BAE">
        <w:rPr>
          <w:rFonts w:asciiTheme="majorHAnsi" w:hAnsiTheme="majorHAnsi" w:cstheme="majorHAnsi"/>
          <w:snapToGrid w:val="0"/>
          <w:color w:val="000000" w:themeColor="text1"/>
          <w:spacing w:val="-9"/>
          <w:szCs w:val="20"/>
          <w:lang w:val="en-US"/>
        </w:rPr>
        <w:t xml:space="preserve"> </w:t>
      </w:r>
      <w:r w:rsidRPr="00F93BAE">
        <w:rPr>
          <w:rFonts w:asciiTheme="majorHAnsi" w:hAnsiTheme="majorHAnsi" w:cstheme="majorHAnsi"/>
          <w:snapToGrid w:val="0"/>
          <w:color w:val="000000" w:themeColor="text1"/>
          <w:spacing w:val="-1"/>
          <w:szCs w:val="20"/>
          <w:lang w:val="en-US"/>
        </w:rPr>
        <w:t>resulted</w:t>
      </w:r>
      <w:r w:rsidRPr="00F93BAE">
        <w:rPr>
          <w:rFonts w:asciiTheme="majorHAnsi" w:hAnsiTheme="majorHAnsi" w:cstheme="majorHAnsi"/>
          <w:snapToGrid w:val="0"/>
          <w:color w:val="000000" w:themeColor="text1"/>
          <w:spacing w:val="-12"/>
          <w:szCs w:val="20"/>
          <w:lang w:val="en-US"/>
        </w:rPr>
        <w:t xml:space="preserve"> </w:t>
      </w:r>
      <w:r w:rsidRPr="00F93BAE">
        <w:rPr>
          <w:rFonts w:asciiTheme="majorHAnsi" w:hAnsiTheme="majorHAnsi" w:cstheme="majorHAnsi"/>
          <w:snapToGrid w:val="0"/>
          <w:color w:val="000000" w:themeColor="text1"/>
          <w:spacing w:val="-1"/>
          <w:szCs w:val="20"/>
          <w:lang w:val="en-US"/>
        </w:rPr>
        <w:t>in</w:t>
      </w:r>
      <w:r w:rsidRPr="00F93BAE">
        <w:rPr>
          <w:rFonts w:asciiTheme="majorHAnsi" w:hAnsiTheme="majorHAnsi" w:cstheme="majorHAnsi"/>
          <w:snapToGrid w:val="0"/>
          <w:color w:val="000000" w:themeColor="text1"/>
          <w:spacing w:val="-12"/>
          <w:szCs w:val="20"/>
          <w:lang w:val="en-US"/>
        </w:rPr>
        <w:t xml:space="preserve"> </w:t>
      </w:r>
      <w:r w:rsidRPr="00F93BAE">
        <w:rPr>
          <w:rFonts w:asciiTheme="majorHAnsi" w:hAnsiTheme="majorHAnsi" w:cstheme="majorHAnsi"/>
          <w:snapToGrid w:val="0"/>
          <w:color w:val="000000" w:themeColor="text1"/>
          <w:spacing w:val="-1"/>
          <w:szCs w:val="20"/>
          <w:lang w:val="en-US"/>
        </w:rPr>
        <w:t>the</w:t>
      </w:r>
      <w:r w:rsidRPr="00F93BAE">
        <w:rPr>
          <w:rFonts w:asciiTheme="majorHAnsi" w:hAnsiTheme="majorHAnsi" w:cstheme="majorHAnsi"/>
          <w:snapToGrid w:val="0"/>
          <w:color w:val="000000" w:themeColor="text1"/>
          <w:spacing w:val="-9"/>
          <w:szCs w:val="20"/>
          <w:lang w:val="en-US"/>
        </w:rPr>
        <w:t xml:space="preserve"> </w:t>
      </w:r>
      <w:r w:rsidRPr="00F93BAE">
        <w:rPr>
          <w:rFonts w:asciiTheme="majorHAnsi" w:hAnsiTheme="majorHAnsi" w:cstheme="majorHAnsi"/>
          <w:snapToGrid w:val="0"/>
          <w:color w:val="000000" w:themeColor="text1"/>
          <w:spacing w:val="-1"/>
          <w:szCs w:val="20"/>
          <w:lang w:val="en-US"/>
        </w:rPr>
        <w:t>most significant</w:t>
      </w:r>
      <w:r w:rsidRPr="00F93BAE">
        <w:rPr>
          <w:rFonts w:asciiTheme="majorHAnsi" w:hAnsiTheme="majorHAnsi" w:cstheme="majorHAnsi"/>
          <w:snapToGrid w:val="0"/>
          <w:color w:val="000000" w:themeColor="text1"/>
          <w:spacing w:val="-14"/>
          <w:szCs w:val="20"/>
          <w:lang w:val="en-US"/>
        </w:rPr>
        <w:t xml:space="preserve"> </w:t>
      </w:r>
      <w:r w:rsidRPr="00F93BAE">
        <w:rPr>
          <w:rFonts w:asciiTheme="majorHAnsi" w:hAnsiTheme="majorHAnsi" w:cstheme="majorHAnsi"/>
          <w:snapToGrid w:val="0"/>
          <w:color w:val="000000" w:themeColor="text1"/>
          <w:spacing w:val="-1"/>
          <w:szCs w:val="20"/>
          <w:lang w:val="en-US"/>
        </w:rPr>
        <w:t>results, instructive</w:t>
      </w:r>
      <w:r w:rsidRPr="00F93BAE">
        <w:rPr>
          <w:rFonts w:asciiTheme="majorHAnsi" w:hAnsiTheme="majorHAnsi" w:cstheme="majorHAnsi"/>
          <w:snapToGrid w:val="0"/>
          <w:color w:val="000000" w:themeColor="text1"/>
          <w:spacing w:val="-6"/>
          <w:szCs w:val="20"/>
          <w:lang w:val="en-US"/>
        </w:rPr>
        <w:t xml:space="preserve"> </w:t>
      </w:r>
      <w:r w:rsidRPr="00F93BAE">
        <w:rPr>
          <w:rFonts w:asciiTheme="majorHAnsi" w:hAnsiTheme="majorHAnsi" w:cstheme="majorHAnsi"/>
          <w:snapToGrid w:val="0"/>
          <w:color w:val="000000" w:themeColor="text1"/>
          <w:spacing w:val="-1"/>
          <w:szCs w:val="20"/>
          <w:lang w:val="en-US"/>
        </w:rPr>
        <w:t>for</w:t>
      </w:r>
      <w:r w:rsidRPr="00F93BAE">
        <w:rPr>
          <w:rFonts w:asciiTheme="majorHAnsi" w:hAnsiTheme="majorHAnsi" w:cstheme="majorHAnsi"/>
          <w:snapToGrid w:val="0"/>
          <w:color w:val="000000" w:themeColor="text1"/>
          <w:spacing w:val="-7"/>
          <w:szCs w:val="20"/>
          <w:lang w:val="en-US"/>
        </w:rPr>
        <w:t xml:space="preserve"> </w:t>
      </w:r>
      <w:r w:rsidRPr="00F93BAE">
        <w:rPr>
          <w:rFonts w:asciiTheme="majorHAnsi" w:hAnsiTheme="majorHAnsi" w:cstheme="majorHAnsi"/>
          <w:snapToGrid w:val="0"/>
          <w:color w:val="000000" w:themeColor="text1"/>
          <w:spacing w:val="-1"/>
          <w:szCs w:val="20"/>
          <w:lang w:val="en-US"/>
        </w:rPr>
        <w:t>replication</w:t>
      </w:r>
      <w:r w:rsidRPr="00F93BAE">
        <w:rPr>
          <w:rFonts w:asciiTheme="majorHAnsi" w:hAnsiTheme="majorHAnsi" w:cstheme="majorHAnsi"/>
          <w:snapToGrid w:val="0"/>
          <w:color w:val="000000" w:themeColor="text1"/>
          <w:spacing w:val="-2"/>
          <w:szCs w:val="20"/>
          <w:lang w:val="en-US"/>
        </w:rPr>
        <w:t xml:space="preserve"> </w:t>
      </w:r>
      <w:r w:rsidRPr="00F93BAE">
        <w:rPr>
          <w:rFonts w:asciiTheme="majorHAnsi" w:hAnsiTheme="majorHAnsi" w:cstheme="majorHAnsi"/>
          <w:snapToGrid w:val="0"/>
          <w:color w:val="000000" w:themeColor="text1"/>
          <w:szCs w:val="20"/>
          <w:lang w:val="en-US"/>
        </w:rPr>
        <w:t>and</w:t>
      </w:r>
      <w:r w:rsidRPr="00F93BAE">
        <w:rPr>
          <w:rFonts w:asciiTheme="majorHAnsi" w:hAnsiTheme="majorHAnsi" w:cstheme="majorHAnsi"/>
          <w:snapToGrid w:val="0"/>
          <w:color w:val="000000" w:themeColor="text1"/>
          <w:spacing w:val="-7"/>
          <w:szCs w:val="20"/>
          <w:lang w:val="en-US"/>
        </w:rPr>
        <w:t xml:space="preserve"> </w:t>
      </w:r>
      <w:r w:rsidRPr="00F93BAE">
        <w:rPr>
          <w:rFonts w:asciiTheme="majorHAnsi" w:hAnsiTheme="majorHAnsi" w:cstheme="majorHAnsi"/>
          <w:snapToGrid w:val="0"/>
          <w:color w:val="000000" w:themeColor="text1"/>
          <w:spacing w:val="-1"/>
          <w:szCs w:val="20"/>
          <w:lang w:val="en-US"/>
        </w:rPr>
        <w:t>overall</w:t>
      </w:r>
      <w:r w:rsidRPr="00F93BAE">
        <w:rPr>
          <w:rFonts w:asciiTheme="majorHAnsi" w:hAnsiTheme="majorHAnsi" w:cstheme="majorHAnsi"/>
          <w:snapToGrid w:val="0"/>
          <w:color w:val="000000" w:themeColor="text1"/>
          <w:spacing w:val="-7"/>
          <w:szCs w:val="20"/>
          <w:lang w:val="en-US"/>
        </w:rPr>
        <w:t xml:space="preserve"> </w:t>
      </w:r>
      <w:r w:rsidRPr="00F93BAE">
        <w:rPr>
          <w:rFonts w:asciiTheme="majorHAnsi" w:hAnsiTheme="majorHAnsi" w:cstheme="majorHAnsi"/>
          <w:snapToGrid w:val="0"/>
          <w:color w:val="000000" w:themeColor="text1"/>
          <w:spacing w:val="-2"/>
          <w:szCs w:val="20"/>
          <w:lang w:val="en-US"/>
        </w:rPr>
        <w:t>systems</w:t>
      </w:r>
      <w:r w:rsidRPr="00F93BAE">
        <w:rPr>
          <w:rFonts w:asciiTheme="majorHAnsi" w:hAnsiTheme="majorHAnsi" w:cstheme="majorHAnsi"/>
          <w:snapToGrid w:val="0"/>
          <w:color w:val="000000" w:themeColor="text1"/>
          <w:spacing w:val="-5"/>
          <w:szCs w:val="20"/>
          <w:lang w:val="en-US"/>
        </w:rPr>
        <w:t xml:space="preserve"> </w:t>
      </w:r>
      <w:r w:rsidRPr="00F93BAE">
        <w:rPr>
          <w:rFonts w:asciiTheme="majorHAnsi" w:hAnsiTheme="majorHAnsi" w:cstheme="majorHAnsi"/>
          <w:snapToGrid w:val="0"/>
          <w:color w:val="000000" w:themeColor="text1"/>
          <w:spacing w:val="-1"/>
          <w:szCs w:val="20"/>
          <w:lang w:val="en-US"/>
        </w:rPr>
        <w:t>improvement? (</w:t>
      </w:r>
      <w:r w:rsidRPr="00F93BAE">
        <w:rPr>
          <w:rFonts w:asciiTheme="majorHAnsi" w:hAnsiTheme="majorHAnsi" w:cstheme="majorHAnsi"/>
          <w:b/>
          <w:snapToGrid w:val="0"/>
          <w:color w:val="000000" w:themeColor="text1"/>
          <w:szCs w:val="20"/>
          <w:lang w:val="en-GB"/>
        </w:rPr>
        <w:t>RQ-5</w:t>
      </w:r>
      <w:r w:rsidRPr="00F93BAE">
        <w:rPr>
          <w:rFonts w:asciiTheme="majorHAnsi" w:hAnsiTheme="majorHAnsi" w:cstheme="majorHAnsi"/>
          <w:snapToGrid w:val="0"/>
          <w:color w:val="000000" w:themeColor="text1"/>
          <w:szCs w:val="20"/>
          <w:lang w:val="en-GB"/>
        </w:rPr>
        <w:t>)</w:t>
      </w:r>
    </w:p>
    <w:p w14:paraId="7AB0F544" w14:textId="77777777" w:rsidR="008D0CAD" w:rsidRPr="00173FD6" w:rsidRDefault="008D0CAD" w:rsidP="005902F7">
      <w:pPr>
        <w:pStyle w:val="Heading2"/>
        <w:pageBreakBefore/>
        <w:numPr>
          <w:ilvl w:val="0"/>
          <w:numId w:val="0"/>
        </w:numPr>
        <w:spacing w:before="100" w:beforeAutospacing="1" w:after="100" w:afterAutospacing="1" w:line="360" w:lineRule="auto"/>
        <w:ind w:left="1287" w:hanging="720"/>
      </w:pPr>
      <w:bookmarkStart w:id="217" w:name="_Toc39938356"/>
      <w:bookmarkStart w:id="218" w:name="_Toc69820461"/>
      <w:r w:rsidRPr="00173FD6">
        <w:t>Annex E. Sampling and Data Collection</w:t>
      </w:r>
      <w:bookmarkEnd w:id="217"/>
      <w:bookmarkEnd w:id="218"/>
      <w:r w:rsidRPr="00173FD6">
        <w:t xml:space="preserve"> </w:t>
      </w:r>
    </w:p>
    <w:p w14:paraId="71BE2FCE" w14:textId="0C407A61" w:rsidR="008D0CAD" w:rsidRPr="00173FD6" w:rsidRDefault="008D0CAD" w:rsidP="005902F7">
      <w:pPr>
        <w:spacing w:before="100" w:beforeAutospacing="1" w:after="100" w:afterAutospacing="1" w:line="360" w:lineRule="auto"/>
        <w:rPr>
          <w:rFonts w:asciiTheme="majorHAnsi" w:hAnsiTheme="majorHAnsi" w:cstheme="majorHAnsi"/>
          <w:lang w:val="en-US"/>
        </w:rPr>
      </w:pPr>
      <w:r w:rsidRPr="00173FD6">
        <w:rPr>
          <w:rFonts w:asciiTheme="majorHAnsi" w:hAnsiTheme="majorHAnsi" w:cstheme="majorHAnsi"/>
          <w:lang w:val="en-US"/>
        </w:rPr>
        <w:t xml:space="preserve">In the first half of Program implementation (AP1 to AP3), Program interventions were mainly directed at the Central Office. Thus, the </w:t>
      </w:r>
      <w:r w:rsidRPr="00173FD6">
        <w:rPr>
          <w:rFonts w:asciiTheme="majorHAnsi" w:hAnsiTheme="majorHAnsi" w:cstheme="majorHAnsi"/>
          <w:color w:val="000000"/>
          <w:lang w:val="en-US"/>
        </w:rPr>
        <w:t xml:space="preserve">EOPE Study Team requested </w:t>
      </w:r>
      <w:r w:rsidRPr="00173FD6">
        <w:rPr>
          <w:rFonts w:asciiTheme="majorHAnsi" w:hAnsiTheme="majorHAnsi" w:cstheme="majorHAnsi"/>
          <w:lang w:val="en-US"/>
        </w:rPr>
        <w:t>all key Operating Units (such as bureaus, divisions and services) at the DepEd Central Office to participate in the KIIs or FGDs.</w:t>
      </w:r>
      <w:r w:rsidR="00D434EB">
        <w:rPr>
          <w:rFonts w:asciiTheme="majorHAnsi" w:hAnsiTheme="majorHAnsi" w:cstheme="majorHAnsi"/>
          <w:lang w:val="en-US"/>
        </w:rPr>
        <w:t xml:space="preserve"> </w:t>
      </w:r>
      <w:r w:rsidRPr="00173FD6">
        <w:rPr>
          <w:rFonts w:asciiTheme="majorHAnsi" w:hAnsiTheme="majorHAnsi" w:cstheme="majorHAnsi"/>
          <w:lang w:val="en-US"/>
        </w:rPr>
        <w:t>The six BEST Regional Offices were also included as respondents to the Study.</w:t>
      </w:r>
    </w:p>
    <w:p w14:paraId="283CE6A7" w14:textId="014D710B" w:rsidR="008D0CAD" w:rsidRPr="00173FD6" w:rsidRDefault="008D0CAD" w:rsidP="00DD08E3">
      <w:pPr>
        <w:pStyle w:val="Heading3"/>
        <w:numPr>
          <w:ilvl w:val="0"/>
          <w:numId w:val="169"/>
        </w:numPr>
        <w:spacing w:before="100" w:beforeAutospacing="1" w:after="100" w:afterAutospacing="1" w:line="360" w:lineRule="auto"/>
        <w:rPr>
          <w:lang w:val="en-US"/>
        </w:rPr>
      </w:pPr>
      <w:bookmarkStart w:id="219" w:name="_Toc39938357"/>
      <w:bookmarkStart w:id="220" w:name="_Toc69820462"/>
      <w:r w:rsidRPr="00173FD6">
        <w:rPr>
          <w:lang w:val="en-US"/>
        </w:rPr>
        <w:t>Selection of Divisions</w:t>
      </w:r>
      <w:bookmarkEnd w:id="219"/>
      <w:bookmarkEnd w:id="220"/>
    </w:p>
    <w:p w14:paraId="43694F0A" w14:textId="20A38ABF" w:rsidR="008D0CAD" w:rsidRPr="00173FD6" w:rsidRDefault="008D0CAD" w:rsidP="005902F7">
      <w:pPr>
        <w:spacing w:before="100" w:beforeAutospacing="1" w:after="100" w:afterAutospacing="1" w:line="360" w:lineRule="auto"/>
        <w:rPr>
          <w:rFonts w:asciiTheme="majorHAnsi" w:hAnsiTheme="majorHAnsi" w:cstheme="majorHAnsi"/>
          <w:lang w:val="en-US"/>
        </w:rPr>
      </w:pPr>
      <w:r w:rsidRPr="00173FD6">
        <w:rPr>
          <w:rFonts w:asciiTheme="majorHAnsi" w:hAnsiTheme="majorHAnsi" w:cstheme="majorHAnsi"/>
          <w:lang w:val="en-US"/>
        </w:rPr>
        <w:t xml:space="preserve">Given the timing and logistics purposes, the </w:t>
      </w:r>
      <w:r w:rsidRPr="00173FD6">
        <w:rPr>
          <w:rFonts w:asciiTheme="majorHAnsi" w:hAnsiTheme="majorHAnsi" w:cstheme="majorHAnsi"/>
          <w:color w:val="000000"/>
          <w:lang w:val="en-US"/>
        </w:rPr>
        <w:t xml:space="preserve">EOPE Study </w:t>
      </w:r>
      <w:r w:rsidRPr="00173FD6">
        <w:rPr>
          <w:rFonts w:asciiTheme="majorHAnsi" w:hAnsiTheme="majorHAnsi" w:cstheme="majorHAnsi"/>
          <w:lang w:val="en-US"/>
        </w:rPr>
        <w:t>Team selected 14 Division Offices (DOs) within the six BEST supported regions to be included in the study.</w:t>
      </w:r>
      <w:r w:rsidR="00D434EB">
        <w:rPr>
          <w:rFonts w:asciiTheme="majorHAnsi" w:hAnsiTheme="majorHAnsi" w:cstheme="majorHAnsi"/>
          <w:lang w:val="en-US"/>
        </w:rPr>
        <w:t xml:space="preserve"> </w:t>
      </w:r>
      <w:r w:rsidRPr="00173FD6">
        <w:rPr>
          <w:rFonts w:asciiTheme="majorHAnsi" w:hAnsiTheme="majorHAnsi" w:cstheme="majorHAnsi"/>
          <w:lang w:val="en-US"/>
        </w:rPr>
        <w:t>These were:</w:t>
      </w:r>
    </w:p>
    <w:p w14:paraId="3A09F937" w14:textId="77777777" w:rsidR="008D0CAD" w:rsidRPr="00173FD6" w:rsidRDefault="008D0CAD" w:rsidP="005902F7">
      <w:pPr>
        <w:numPr>
          <w:ilvl w:val="0"/>
          <w:numId w:val="1"/>
        </w:numPr>
        <w:spacing w:before="100" w:beforeAutospacing="1" w:after="100" w:afterAutospacing="1" w:line="360" w:lineRule="auto"/>
        <w:rPr>
          <w:rFonts w:asciiTheme="majorHAnsi" w:hAnsiTheme="majorHAnsi" w:cstheme="majorHAnsi"/>
          <w:lang w:val="en-US"/>
        </w:rPr>
      </w:pPr>
      <w:r w:rsidRPr="00173FD6">
        <w:rPr>
          <w:rFonts w:asciiTheme="majorHAnsi" w:hAnsiTheme="majorHAnsi" w:cstheme="majorHAnsi"/>
        </w:rPr>
        <w:t>Region NCR – Quezon City, Manila, Paranaque and Las Piñas</w:t>
      </w:r>
    </w:p>
    <w:p w14:paraId="2BAA90DE" w14:textId="77777777" w:rsidR="008D0CAD" w:rsidRPr="00173FD6" w:rsidRDefault="008D0CAD" w:rsidP="005902F7">
      <w:pPr>
        <w:numPr>
          <w:ilvl w:val="0"/>
          <w:numId w:val="1"/>
        </w:numPr>
        <w:spacing w:before="100" w:beforeAutospacing="1" w:after="100" w:afterAutospacing="1" w:line="360" w:lineRule="auto"/>
        <w:rPr>
          <w:rFonts w:asciiTheme="majorHAnsi" w:hAnsiTheme="majorHAnsi" w:cstheme="majorHAnsi"/>
          <w:lang w:val="en-US"/>
        </w:rPr>
      </w:pPr>
      <w:r w:rsidRPr="00173FD6">
        <w:rPr>
          <w:rFonts w:asciiTheme="majorHAnsi" w:hAnsiTheme="majorHAnsi" w:cstheme="majorHAnsi"/>
        </w:rPr>
        <w:t>Region V – Sorsogon and Camarines Sur</w:t>
      </w:r>
    </w:p>
    <w:p w14:paraId="49845EFA" w14:textId="77777777" w:rsidR="008D0CAD" w:rsidRPr="00173FD6" w:rsidRDefault="008D0CAD" w:rsidP="005902F7">
      <w:pPr>
        <w:numPr>
          <w:ilvl w:val="0"/>
          <w:numId w:val="1"/>
        </w:numPr>
        <w:spacing w:before="100" w:beforeAutospacing="1" w:after="100" w:afterAutospacing="1" w:line="360" w:lineRule="auto"/>
        <w:rPr>
          <w:rFonts w:asciiTheme="majorHAnsi" w:hAnsiTheme="majorHAnsi" w:cstheme="majorHAnsi"/>
          <w:lang w:val="en-US"/>
        </w:rPr>
      </w:pPr>
      <w:r w:rsidRPr="00173FD6">
        <w:rPr>
          <w:rFonts w:asciiTheme="majorHAnsi" w:hAnsiTheme="majorHAnsi" w:cstheme="majorHAnsi"/>
        </w:rPr>
        <w:t>Region VI – Antique and Iloilo</w:t>
      </w:r>
    </w:p>
    <w:p w14:paraId="763C7DD9" w14:textId="77777777" w:rsidR="008D0CAD" w:rsidRPr="00173FD6" w:rsidRDefault="008D0CAD" w:rsidP="005902F7">
      <w:pPr>
        <w:numPr>
          <w:ilvl w:val="0"/>
          <w:numId w:val="1"/>
        </w:numPr>
        <w:spacing w:before="100" w:beforeAutospacing="1" w:after="100" w:afterAutospacing="1" w:line="360" w:lineRule="auto"/>
        <w:rPr>
          <w:rFonts w:asciiTheme="majorHAnsi" w:hAnsiTheme="majorHAnsi" w:cstheme="majorHAnsi"/>
          <w:lang w:val="en-US"/>
        </w:rPr>
      </w:pPr>
      <w:r w:rsidRPr="00173FD6">
        <w:rPr>
          <w:rFonts w:asciiTheme="majorHAnsi" w:hAnsiTheme="majorHAnsi" w:cstheme="majorHAnsi"/>
        </w:rPr>
        <w:t>Region VII – Cebu and Bohol</w:t>
      </w:r>
    </w:p>
    <w:p w14:paraId="09B4F6A8" w14:textId="77777777" w:rsidR="008D0CAD" w:rsidRPr="00173FD6" w:rsidRDefault="008D0CAD" w:rsidP="005902F7">
      <w:pPr>
        <w:numPr>
          <w:ilvl w:val="0"/>
          <w:numId w:val="1"/>
        </w:numPr>
        <w:spacing w:before="100" w:beforeAutospacing="1" w:after="100" w:afterAutospacing="1" w:line="360" w:lineRule="auto"/>
        <w:rPr>
          <w:rFonts w:asciiTheme="majorHAnsi" w:hAnsiTheme="majorHAnsi" w:cstheme="majorHAnsi"/>
          <w:lang w:val="en-US"/>
        </w:rPr>
      </w:pPr>
      <w:r w:rsidRPr="00173FD6">
        <w:rPr>
          <w:rFonts w:asciiTheme="majorHAnsi" w:hAnsiTheme="majorHAnsi" w:cstheme="majorHAnsi"/>
        </w:rPr>
        <w:t>Region VIII – Eastern Samar and Leyte</w:t>
      </w:r>
    </w:p>
    <w:p w14:paraId="7E673237" w14:textId="77777777" w:rsidR="008D0CAD" w:rsidRPr="00173FD6" w:rsidRDefault="008D0CAD" w:rsidP="005902F7">
      <w:pPr>
        <w:numPr>
          <w:ilvl w:val="0"/>
          <w:numId w:val="1"/>
        </w:numPr>
        <w:spacing w:before="100" w:beforeAutospacing="1" w:after="100" w:afterAutospacing="1" w:line="360" w:lineRule="auto"/>
        <w:rPr>
          <w:rFonts w:asciiTheme="majorHAnsi" w:hAnsiTheme="majorHAnsi" w:cstheme="majorHAnsi"/>
          <w:lang w:val="en-US"/>
        </w:rPr>
      </w:pPr>
      <w:r w:rsidRPr="00173FD6">
        <w:rPr>
          <w:rFonts w:asciiTheme="majorHAnsi" w:hAnsiTheme="majorHAnsi" w:cstheme="majorHAnsi"/>
        </w:rPr>
        <w:t>Region X – Cagayan de Oro and Misamis Oriental</w:t>
      </w:r>
    </w:p>
    <w:p w14:paraId="57FE681B" w14:textId="6F91C95A" w:rsidR="008D0CAD" w:rsidRPr="00173FD6" w:rsidRDefault="008D0CAD" w:rsidP="005902F7">
      <w:pPr>
        <w:spacing w:before="100" w:beforeAutospacing="1" w:after="100" w:afterAutospacing="1" w:line="360" w:lineRule="auto"/>
        <w:rPr>
          <w:rFonts w:asciiTheme="majorHAnsi" w:hAnsiTheme="majorHAnsi" w:cstheme="majorHAnsi"/>
          <w:lang w:val="en-US"/>
        </w:rPr>
      </w:pPr>
      <w:r w:rsidRPr="00173FD6">
        <w:rPr>
          <w:rFonts w:asciiTheme="majorHAnsi" w:hAnsiTheme="majorHAnsi" w:cstheme="majorHAnsi"/>
          <w:lang w:val="en-US"/>
        </w:rPr>
        <w:t>All the schools that were included in sample study (both treatment/direct and comparison/indirect recipient schools) came from these 14 Divisions.</w:t>
      </w:r>
      <w:r w:rsidR="00D434EB">
        <w:rPr>
          <w:rFonts w:asciiTheme="majorHAnsi" w:hAnsiTheme="majorHAnsi" w:cstheme="majorHAnsi"/>
          <w:lang w:val="en-US"/>
        </w:rPr>
        <w:t xml:space="preserve"> </w:t>
      </w:r>
      <w:r w:rsidRPr="00173FD6">
        <w:rPr>
          <w:rFonts w:asciiTheme="majorHAnsi" w:hAnsiTheme="majorHAnsi" w:cstheme="majorHAnsi"/>
          <w:lang w:val="en-US"/>
        </w:rPr>
        <w:t>After the selection process, 106 elementary schools, that is, 80 elementary schools that were direct recipients of BEST Program interventions and 26 schools that did not receive any direct support from the BEST Program although these are also recipients and users of DepEd system reforms were included in the Study.</w:t>
      </w:r>
      <w:r w:rsidR="00D434EB">
        <w:rPr>
          <w:rFonts w:asciiTheme="majorHAnsi" w:hAnsiTheme="majorHAnsi" w:cstheme="majorHAnsi"/>
          <w:lang w:val="en-US"/>
        </w:rPr>
        <w:t xml:space="preserve"> </w:t>
      </w:r>
      <w:r w:rsidRPr="00173FD6">
        <w:rPr>
          <w:rFonts w:asciiTheme="majorHAnsi" w:hAnsiTheme="majorHAnsi" w:cstheme="majorHAnsi"/>
          <w:lang w:val="en-US"/>
        </w:rPr>
        <w:t xml:space="preserve"> </w:t>
      </w:r>
    </w:p>
    <w:p w14:paraId="55ECC506" w14:textId="604C6119" w:rsidR="008D0CAD" w:rsidRPr="00173FD6" w:rsidRDefault="008D0CAD" w:rsidP="00DD08E3">
      <w:pPr>
        <w:pStyle w:val="Heading3"/>
        <w:numPr>
          <w:ilvl w:val="0"/>
          <w:numId w:val="169"/>
        </w:numPr>
        <w:spacing w:before="100" w:beforeAutospacing="1" w:after="100" w:afterAutospacing="1" w:line="360" w:lineRule="auto"/>
        <w:rPr>
          <w:lang w:val="en-US"/>
        </w:rPr>
      </w:pPr>
      <w:bookmarkStart w:id="221" w:name="_Toc39938358"/>
      <w:bookmarkStart w:id="222" w:name="_Toc69820463"/>
      <w:r w:rsidRPr="00173FD6">
        <w:rPr>
          <w:lang w:val="en-US"/>
        </w:rPr>
        <w:t>Selection Process</w:t>
      </w:r>
      <w:bookmarkEnd w:id="221"/>
      <w:bookmarkEnd w:id="222"/>
    </w:p>
    <w:p w14:paraId="774F62A0" w14:textId="46E6626D" w:rsidR="008D0CAD" w:rsidRPr="00173FD6" w:rsidRDefault="008D0CAD" w:rsidP="005902F7">
      <w:pPr>
        <w:spacing w:before="100" w:beforeAutospacing="1" w:after="100" w:afterAutospacing="1" w:line="360" w:lineRule="auto"/>
        <w:rPr>
          <w:rFonts w:asciiTheme="majorHAnsi" w:hAnsiTheme="majorHAnsi" w:cstheme="majorHAnsi"/>
          <w:lang w:val="en-US"/>
        </w:rPr>
      </w:pPr>
      <w:r w:rsidRPr="00173FD6">
        <w:rPr>
          <w:rFonts w:asciiTheme="majorHAnsi" w:hAnsiTheme="majorHAnsi" w:cstheme="majorHAnsi"/>
          <w:lang w:val="en-US"/>
        </w:rPr>
        <w:t>The selection process is described as follows. The study sample schools were identified from an initial list of 4,217 schools provided by the BEST Program Team.</w:t>
      </w:r>
      <w:r w:rsidR="00D434EB">
        <w:rPr>
          <w:rFonts w:asciiTheme="majorHAnsi" w:hAnsiTheme="majorHAnsi" w:cstheme="majorHAnsi"/>
          <w:lang w:val="en-US"/>
        </w:rPr>
        <w:t xml:space="preserve"> </w:t>
      </w:r>
      <w:r w:rsidRPr="00173FD6">
        <w:rPr>
          <w:rFonts w:asciiTheme="majorHAnsi" w:hAnsiTheme="majorHAnsi" w:cstheme="majorHAnsi"/>
          <w:lang w:val="en-US"/>
        </w:rPr>
        <w:t xml:space="preserve">The EOPE Study Team first removed names of schools that were duplicated and, from the remaining list of schools, all schools that were located outside of the six BEST supported Regions were deleted. </w:t>
      </w:r>
      <w:r w:rsidRPr="00173FD6">
        <w:rPr>
          <w:rFonts w:asciiTheme="majorHAnsi" w:hAnsiTheme="majorHAnsi" w:cstheme="majorHAnsi"/>
          <w:color w:val="000000"/>
          <w:lang w:val="en-US"/>
        </w:rPr>
        <w:t xml:space="preserve">Since </w:t>
      </w:r>
      <w:r w:rsidRPr="00173FD6">
        <w:rPr>
          <w:rFonts w:asciiTheme="majorHAnsi" w:hAnsiTheme="majorHAnsi" w:cstheme="majorHAnsi"/>
          <w:lang w:val="en-US"/>
        </w:rPr>
        <w:t xml:space="preserve">there are five times more elementary schools than secondary, and about 80 percent of the investments concentrated on elementary schools, the study focused on elementary schools. All other schools were removed from the list, leaving a total of 1,168 unique schools. </w:t>
      </w:r>
    </w:p>
    <w:p w14:paraId="3B878019" w14:textId="2BCE7E41" w:rsidR="008D0CAD" w:rsidRPr="00173FD6" w:rsidRDefault="008D0CAD" w:rsidP="005902F7">
      <w:pPr>
        <w:spacing w:before="100" w:beforeAutospacing="1" w:after="100" w:afterAutospacing="1" w:line="360" w:lineRule="auto"/>
        <w:rPr>
          <w:rFonts w:asciiTheme="majorHAnsi" w:hAnsiTheme="majorHAnsi" w:cstheme="majorHAnsi"/>
          <w:color w:val="000000" w:themeColor="text1"/>
          <w:lang w:val="en-US"/>
        </w:rPr>
      </w:pPr>
      <w:r w:rsidRPr="00173FD6">
        <w:rPr>
          <w:rFonts w:asciiTheme="majorHAnsi" w:hAnsiTheme="majorHAnsi" w:cstheme="majorHAnsi"/>
          <w:lang w:val="en-US"/>
        </w:rPr>
        <w:t xml:space="preserve">Of the 1,168 schools, only those located in the selected Division Offices were included resulting in a reduced population of </w:t>
      </w:r>
      <w:r w:rsidRPr="00173FD6">
        <w:rPr>
          <w:rFonts w:asciiTheme="majorHAnsi" w:hAnsiTheme="majorHAnsi" w:cstheme="majorHAnsi"/>
          <w:color w:val="000000" w:themeColor="text1"/>
          <w:lang w:val="en-US"/>
        </w:rPr>
        <w:t>682 elementary schools</w:t>
      </w:r>
      <w:r w:rsidRPr="00173FD6">
        <w:rPr>
          <w:rFonts w:asciiTheme="majorHAnsi" w:hAnsiTheme="majorHAnsi" w:cstheme="majorHAnsi"/>
          <w:lang w:val="en-US"/>
        </w:rPr>
        <w:t>.</w:t>
      </w:r>
      <w:r w:rsidR="00D434EB">
        <w:rPr>
          <w:rFonts w:asciiTheme="majorHAnsi" w:hAnsiTheme="majorHAnsi" w:cstheme="majorHAnsi"/>
          <w:lang w:val="en-US"/>
        </w:rPr>
        <w:t xml:space="preserve"> </w:t>
      </w:r>
      <w:r w:rsidRPr="00173FD6">
        <w:rPr>
          <w:rFonts w:asciiTheme="majorHAnsi" w:hAnsiTheme="majorHAnsi" w:cstheme="majorHAnsi"/>
          <w:lang w:val="en-US"/>
        </w:rPr>
        <w:t>These schools were then grouped according to the 10 BEST program interventions included in the study.</w:t>
      </w:r>
      <w:r w:rsidR="00D434EB">
        <w:rPr>
          <w:rFonts w:asciiTheme="majorHAnsi" w:hAnsiTheme="majorHAnsi" w:cstheme="majorHAnsi"/>
          <w:lang w:val="en-US"/>
        </w:rPr>
        <w:t xml:space="preserve"> </w:t>
      </w:r>
      <w:r w:rsidRPr="00173FD6">
        <w:rPr>
          <w:rFonts w:asciiTheme="majorHAnsi" w:hAnsiTheme="majorHAnsi" w:cstheme="majorHAnsi"/>
          <w:lang w:val="en-US"/>
        </w:rPr>
        <w:t xml:space="preserve">The distribution of the schools by intervention showed that 79 percent of these schools received </w:t>
      </w:r>
      <w:r w:rsidRPr="00173FD6">
        <w:rPr>
          <w:rFonts w:asciiTheme="majorHAnsi" w:hAnsiTheme="majorHAnsi" w:cstheme="majorHAnsi"/>
          <w:color w:val="000000" w:themeColor="text1"/>
          <w:lang w:val="en-US"/>
        </w:rPr>
        <w:t>interventions under the Policy, Planning and Monitoring and Evaluation System (PPMES) while 13.5 percent received interventions under the Learning and Development System (Table 1).</w:t>
      </w:r>
    </w:p>
    <w:p w14:paraId="584A0F2E" w14:textId="1256133D" w:rsidR="008D0CAD" w:rsidRPr="00173FD6" w:rsidRDefault="008D0CAD" w:rsidP="00DD08E3">
      <w:pPr>
        <w:pStyle w:val="Heading3"/>
        <w:numPr>
          <w:ilvl w:val="0"/>
          <w:numId w:val="169"/>
        </w:numPr>
        <w:spacing w:before="100" w:beforeAutospacing="1" w:after="100" w:afterAutospacing="1" w:line="360" w:lineRule="auto"/>
        <w:rPr>
          <w:lang w:val="en-US"/>
        </w:rPr>
      </w:pPr>
      <w:bookmarkStart w:id="223" w:name="_Toc10722981"/>
      <w:bookmarkStart w:id="224" w:name="_Toc11510928"/>
      <w:bookmarkStart w:id="225" w:name="_Toc39938359"/>
      <w:bookmarkStart w:id="226" w:name="_Toc69820464"/>
      <w:r w:rsidRPr="00173FD6">
        <w:rPr>
          <w:lang w:val="en-US"/>
        </w:rPr>
        <w:t>Sampling Results</w:t>
      </w:r>
      <w:bookmarkEnd w:id="223"/>
      <w:bookmarkEnd w:id="224"/>
      <w:bookmarkEnd w:id="225"/>
      <w:bookmarkEnd w:id="226"/>
      <w:r w:rsidRPr="00173FD6">
        <w:rPr>
          <w:lang w:val="en-US"/>
        </w:rPr>
        <w:t xml:space="preserve"> </w:t>
      </w:r>
    </w:p>
    <w:p w14:paraId="2C353838" w14:textId="77777777" w:rsidR="008D0CAD" w:rsidRPr="00173FD6" w:rsidRDefault="008D0CAD" w:rsidP="005902F7">
      <w:pPr>
        <w:spacing w:before="100" w:beforeAutospacing="1" w:after="100" w:afterAutospacing="1" w:line="360" w:lineRule="auto"/>
        <w:rPr>
          <w:rFonts w:asciiTheme="majorHAnsi" w:hAnsiTheme="majorHAnsi" w:cstheme="majorHAnsi"/>
          <w:lang w:val="en-US"/>
        </w:rPr>
      </w:pPr>
      <w:r w:rsidRPr="00173FD6">
        <w:rPr>
          <w:rFonts w:asciiTheme="majorHAnsi" w:hAnsiTheme="majorHAnsi" w:cstheme="majorHAnsi"/>
          <w:lang w:val="en-US"/>
        </w:rPr>
        <w:t>From the reduced population, the sampled population for the direct recipient schools were randomly selected using the following criteria:</w:t>
      </w:r>
    </w:p>
    <w:p w14:paraId="10BA9463" w14:textId="77777777" w:rsidR="008D0CAD" w:rsidRPr="00173FD6" w:rsidRDefault="008D0CAD" w:rsidP="00DD08E3">
      <w:pPr>
        <w:numPr>
          <w:ilvl w:val="0"/>
          <w:numId w:val="71"/>
        </w:numPr>
        <w:spacing w:before="100" w:beforeAutospacing="1" w:after="100" w:afterAutospacing="1" w:line="360" w:lineRule="auto"/>
        <w:rPr>
          <w:rFonts w:asciiTheme="majorHAnsi" w:hAnsiTheme="majorHAnsi" w:cstheme="majorHAnsi"/>
          <w:lang w:val="en-US"/>
        </w:rPr>
      </w:pPr>
      <w:r w:rsidRPr="00173FD6">
        <w:rPr>
          <w:rFonts w:asciiTheme="majorHAnsi" w:hAnsiTheme="majorHAnsi" w:cstheme="majorHAnsi"/>
          <w:lang w:val="en-US"/>
        </w:rPr>
        <w:t>Regions had approximately the same sample size (to eliminate regional bias);</w:t>
      </w:r>
    </w:p>
    <w:p w14:paraId="60DB5DD9" w14:textId="77777777" w:rsidR="008D0CAD" w:rsidRPr="00173FD6" w:rsidRDefault="008D0CAD" w:rsidP="00DD08E3">
      <w:pPr>
        <w:numPr>
          <w:ilvl w:val="0"/>
          <w:numId w:val="71"/>
        </w:numPr>
        <w:spacing w:before="100" w:beforeAutospacing="1" w:after="100" w:afterAutospacing="1" w:line="360" w:lineRule="auto"/>
        <w:rPr>
          <w:rFonts w:asciiTheme="majorHAnsi" w:hAnsiTheme="majorHAnsi" w:cstheme="majorHAnsi"/>
          <w:lang w:val="en-US"/>
        </w:rPr>
      </w:pPr>
      <w:r w:rsidRPr="00173FD6">
        <w:rPr>
          <w:rFonts w:asciiTheme="majorHAnsi" w:hAnsiTheme="majorHAnsi" w:cstheme="majorHAnsi"/>
          <w:lang w:val="en-US"/>
        </w:rPr>
        <w:t>Forced selection of schools was undertaken to ensure representation of all available interventions, which in this case, referred to schools that received interventions no. 2, 5, 7 and 10;</w:t>
      </w:r>
    </w:p>
    <w:p w14:paraId="5AAC3D66" w14:textId="77777777" w:rsidR="008D0CAD" w:rsidRPr="00173FD6" w:rsidRDefault="008D0CAD" w:rsidP="00DD08E3">
      <w:pPr>
        <w:numPr>
          <w:ilvl w:val="0"/>
          <w:numId w:val="71"/>
        </w:numPr>
        <w:spacing w:before="100" w:beforeAutospacing="1" w:after="100" w:afterAutospacing="1" w:line="360" w:lineRule="auto"/>
        <w:rPr>
          <w:rFonts w:asciiTheme="majorHAnsi" w:hAnsiTheme="majorHAnsi" w:cstheme="majorHAnsi"/>
          <w:lang w:val="en-US"/>
        </w:rPr>
      </w:pPr>
      <w:r w:rsidRPr="00173FD6">
        <w:rPr>
          <w:rFonts w:asciiTheme="majorHAnsi" w:hAnsiTheme="majorHAnsi" w:cstheme="majorHAnsi"/>
          <w:lang w:val="en-US"/>
        </w:rPr>
        <w:t>Sampling was balanced with respect to:</w:t>
      </w:r>
    </w:p>
    <w:p w14:paraId="1CBC5DA7" w14:textId="77777777" w:rsidR="008D0CAD" w:rsidRPr="00173FD6" w:rsidRDefault="008D0CAD" w:rsidP="00DD08E3">
      <w:pPr>
        <w:numPr>
          <w:ilvl w:val="1"/>
          <w:numId w:val="71"/>
        </w:numPr>
        <w:spacing w:before="100" w:beforeAutospacing="1" w:after="100" w:afterAutospacing="1" w:line="360" w:lineRule="auto"/>
        <w:rPr>
          <w:rFonts w:asciiTheme="majorHAnsi" w:hAnsiTheme="majorHAnsi" w:cstheme="majorHAnsi"/>
          <w:lang w:val="en-US"/>
        </w:rPr>
      </w:pPr>
      <w:r w:rsidRPr="00173FD6">
        <w:rPr>
          <w:rFonts w:asciiTheme="majorHAnsi" w:hAnsiTheme="majorHAnsi" w:cstheme="majorHAnsi"/>
          <w:lang w:val="en-US"/>
        </w:rPr>
        <w:t>Urbanity of area;</w:t>
      </w:r>
    </w:p>
    <w:p w14:paraId="0161A338" w14:textId="77777777" w:rsidR="008D0CAD" w:rsidRPr="00173FD6" w:rsidRDefault="008D0CAD" w:rsidP="00DD08E3">
      <w:pPr>
        <w:numPr>
          <w:ilvl w:val="1"/>
          <w:numId w:val="71"/>
        </w:numPr>
        <w:spacing w:before="100" w:beforeAutospacing="1" w:after="100" w:afterAutospacing="1" w:line="360" w:lineRule="auto"/>
        <w:rPr>
          <w:rFonts w:asciiTheme="majorHAnsi" w:hAnsiTheme="majorHAnsi" w:cstheme="majorHAnsi"/>
          <w:lang w:val="en-US"/>
        </w:rPr>
      </w:pPr>
      <w:r w:rsidRPr="00173FD6">
        <w:rPr>
          <w:rFonts w:asciiTheme="majorHAnsi" w:hAnsiTheme="majorHAnsi" w:cstheme="majorHAnsi"/>
          <w:lang w:val="en-US"/>
        </w:rPr>
        <w:t>Income class of barangay where the schools are located; and</w:t>
      </w:r>
    </w:p>
    <w:p w14:paraId="588ADF21" w14:textId="3FD5F009" w:rsidR="008D0CAD" w:rsidRPr="00D354DC" w:rsidRDefault="008D0CAD" w:rsidP="00DD08E3">
      <w:pPr>
        <w:numPr>
          <w:ilvl w:val="1"/>
          <w:numId w:val="71"/>
        </w:numPr>
        <w:spacing w:before="100" w:beforeAutospacing="1" w:after="100" w:afterAutospacing="1" w:line="360" w:lineRule="auto"/>
        <w:rPr>
          <w:rFonts w:asciiTheme="majorHAnsi" w:hAnsiTheme="majorHAnsi" w:cstheme="majorHAnsi"/>
          <w:lang w:val="en-US"/>
        </w:rPr>
      </w:pPr>
      <w:r w:rsidRPr="00173FD6">
        <w:rPr>
          <w:rFonts w:asciiTheme="majorHAnsi" w:hAnsiTheme="majorHAnsi" w:cstheme="majorHAnsi"/>
          <w:lang w:val="en-US"/>
        </w:rPr>
        <w:t>Size of the elementary school.</w:t>
      </w:r>
      <w:bookmarkStart w:id="227" w:name="_Toc11510965"/>
    </w:p>
    <w:p w14:paraId="629ED59B" w14:textId="3EBA0397" w:rsidR="008D0CAD" w:rsidRPr="00D354DC" w:rsidRDefault="008D0CAD" w:rsidP="005902F7">
      <w:pPr>
        <w:keepNext/>
        <w:spacing w:before="100" w:beforeAutospacing="1" w:after="100" w:afterAutospacing="1" w:line="360" w:lineRule="auto"/>
        <w:rPr>
          <w:rFonts w:asciiTheme="majorHAnsi" w:hAnsiTheme="majorHAnsi" w:cstheme="majorHAnsi"/>
          <w:bCs/>
          <w:i/>
          <w:color w:val="44546A" w:themeColor="text2"/>
          <w:sz w:val="22"/>
          <w:szCs w:val="22"/>
          <w:lang w:val="en-US"/>
        </w:rPr>
      </w:pPr>
      <w:bookmarkStart w:id="228" w:name="_Toc71616630"/>
      <w:r w:rsidRPr="00D354DC">
        <w:rPr>
          <w:rFonts w:asciiTheme="majorHAnsi" w:hAnsiTheme="majorHAnsi" w:cstheme="majorHAnsi"/>
          <w:bCs/>
          <w:i/>
          <w:color w:val="44546A" w:themeColor="text2"/>
          <w:sz w:val="22"/>
          <w:szCs w:val="22"/>
          <w:lang w:val="en-US"/>
        </w:rPr>
        <w:t xml:space="preserve">Table </w:t>
      </w:r>
      <w:r w:rsidRPr="00D354DC">
        <w:rPr>
          <w:rFonts w:asciiTheme="majorHAnsi" w:hAnsiTheme="majorHAnsi" w:cstheme="majorHAnsi"/>
          <w:bCs/>
          <w:i/>
          <w:color w:val="44546A" w:themeColor="text2"/>
          <w:sz w:val="22"/>
          <w:szCs w:val="22"/>
          <w:lang w:val="en-US"/>
        </w:rPr>
        <w:fldChar w:fldCharType="begin"/>
      </w:r>
      <w:r w:rsidRPr="00D354DC">
        <w:rPr>
          <w:rFonts w:asciiTheme="majorHAnsi" w:hAnsiTheme="majorHAnsi" w:cstheme="majorHAnsi"/>
          <w:bCs/>
          <w:i/>
          <w:color w:val="44546A" w:themeColor="text2"/>
          <w:sz w:val="22"/>
          <w:szCs w:val="22"/>
          <w:lang w:val="en-US"/>
        </w:rPr>
        <w:instrText xml:space="preserve"> SEQ Table \* ARABIC </w:instrText>
      </w:r>
      <w:r w:rsidRPr="00D354DC">
        <w:rPr>
          <w:rFonts w:asciiTheme="majorHAnsi" w:hAnsiTheme="majorHAnsi" w:cstheme="majorHAnsi"/>
          <w:bCs/>
          <w:i/>
          <w:color w:val="44546A" w:themeColor="text2"/>
          <w:sz w:val="22"/>
          <w:szCs w:val="22"/>
          <w:lang w:val="en-US"/>
        </w:rPr>
        <w:fldChar w:fldCharType="separate"/>
      </w:r>
      <w:r w:rsidR="00D6133D">
        <w:rPr>
          <w:rFonts w:asciiTheme="majorHAnsi" w:hAnsiTheme="majorHAnsi" w:cstheme="majorHAnsi"/>
          <w:bCs/>
          <w:i/>
          <w:noProof/>
          <w:color w:val="44546A" w:themeColor="text2"/>
          <w:sz w:val="22"/>
          <w:szCs w:val="22"/>
          <w:lang w:val="en-US"/>
        </w:rPr>
        <w:t>39</w:t>
      </w:r>
      <w:r w:rsidRPr="00D354DC">
        <w:rPr>
          <w:rFonts w:asciiTheme="majorHAnsi" w:hAnsiTheme="majorHAnsi" w:cstheme="majorHAnsi"/>
          <w:bCs/>
          <w:i/>
          <w:color w:val="44546A" w:themeColor="text2"/>
          <w:sz w:val="22"/>
          <w:szCs w:val="22"/>
          <w:lang w:val="en-US"/>
        </w:rPr>
        <w:fldChar w:fldCharType="end"/>
      </w:r>
      <w:r w:rsidRPr="00D354DC">
        <w:rPr>
          <w:rFonts w:asciiTheme="majorHAnsi" w:hAnsiTheme="majorHAnsi" w:cstheme="majorHAnsi"/>
          <w:bCs/>
          <w:i/>
          <w:color w:val="44546A" w:themeColor="text2"/>
          <w:sz w:val="22"/>
          <w:szCs w:val="22"/>
          <w:lang w:val="en-US"/>
        </w:rPr>
        <w:t>. Schools by Intervention Received (n=682)</w:t>
      </w:r>
      <w:bookmarkEnd w:id="227"/>
      <w:bookmarkEnd w:id="228"/>
    </w:p>
    <w:tbl>
      <w:tblPr>
        <w:tblStyle w:val="TableGrid11"/>
        <w:tblW w:w="6366" w:type="dxa"/>
        <w:tblLook w:val="0620" w:firstRow="1" w:lastRow="0" w:firstColumn="0" w:lastColumn="0" w:noHBand="1" w:noVBand="1"/>
      </w:tblPr>
      <w:tblGrid>
        <w:gridCol w:w="2305"/>
        <w:gridCol w:w="2029"/>
        <w:gridCol w:w="2032"/>
      </w:tblGrid>
      <w:tr w:rsidR="00B16F03" w:rsidRPr="00173FD6" w14:paraId="75AD3E64" w14:textId="77777777" w:rsidTr="00ED52DC">
        <w:trPr>
          <w:trHeight w:val="533"/>
          <w:tblHeader/>
        </w:trPr>
        <w:tc>
          <w:tcPr>
            <w:tcW w:w="2305" w:type="dxa"/>
            <w:vAlign w:val="center"/>
            <w:hideMark/>
          </w:tcPr>
          <w:p w14:paraId="641AE4F2" w14:textId="77777777" w:rsidR="00B16F03" w:rsidRPr="00173FD6" w:rsidRDefault="00B16F03" w:rsidP="005805AC">
            <w:pPr>
              <w:spacing w:before="100" w:beforeAutospacing="1" w:after="100" w:afterAutospacing="1" w:line="360" w:lineRule="auto"/>
              <w:rPr>
                <w:rFonts w:asciiTheme="majorHAnsi" w:hAnsiTheme="majorHAnsi" w:cstheme="majorHAnsi"/>
                <w:b/>
                <w:bCs/>
                <w:color w:val="000000"/>
                <w:sz w:val="22"/>
                <w:szCs w:val="22"/>
                <w:lang w:val="en-US"/>
              </w:rPr>
            </w:pPr>
            <w:r w:rsidRPr="00173FD6">
              <w:rPr>
                <w:rFonts w:asciiTheme="majorHAnsi" w:hAnsiTheme="majorHAnsi" w:cstheme="majorHAnsi"/>
                <w:b/>
                <w:bCs/>
                <w:color w:val="000000"/>
                <w:sz w:val="22"/>
                <w:szCs w:val="22"/>
                <w:lang w:val="en-US"/>
              </w:rPr>
              <w:t>Intervention</w:t>
            </w:r>
          </w:p>
        </w:tc>
        <w:tc>
          <w:tcPr>
            <w:tcW w:w="2029" w:type="dxa"/>
            <w:vAlign w:val="center"/>
            <w:hideMark/>
          </w:tcPr>
          <w:p w14:paraId="76CE0D2C" w14:textId="77777777" w:rsidR="00B16F03" w:rsidRPr="00173FD6" w:rsidRDefault="00B16F03" w:rsidP="005805AC">
            <w:pPr>
              <w:spacing w:before="100" w:beforeAutospacing="1" w:after="100" w:afterAutospacing="1" w:line="360" w:lineRule="auto"/>
              <w:rPr>
                <w:rFonts w:asciiTheme="majorHAnsi" w:hAnsiTheme="majorHAnsi" w:cstheme="majorHAnsi"/>
                <w:b/>
                <w:bCs/>
                <w:color w:val="000000"/>
                <w:sz w:val="22"/>
                <w:szCs w:val="22"/>
                <w:lang w:val="en-US"/>
              </w:rPr>
            </w:pPr>
            <w:r w:rsidRPr="00173FD6">
              <w:rPr>
                <w:rFonts w:asciiTheme="majorHAnsi" w:hAnsiTheme="majorHAnsi" w:cstheme="majorHAnsi"/>
                <w:b/>
                <w:bCs/>
                <w:color w:val="000000"/>
                <w:sz w:val="22"/>
                <w:szCs w:val="22"/>
                <w:lang w:val="en-US"/>
              </w:rPr>
              <w:t>Count of Schools</w:t>
            </w:r>
          </w:p>
        </w:tc>
        <w:tc>
          <w:tcPr>
            <w:tcW w:w="2032" w:type="dxa"/>
            <w:vAlign w:val="center"/>
            <w:hideMark/>
          </w:tcPr>
          <w:p w14:paraId="59DC5B73" w14:textId="77777777" w:rsidR="00B16F03" w:rsidRPr="00173FD6" w:rsidRDefault="00B16F03" w:rsidP="005805AC">
            <w:pPr>
              <w:spacing w:before="100" w:beforeAutospacing="1" w:after="100" w:afterAutospacing="1" w:line="360" w:lineRule="auto"/>
              <w:rPr>
                <w:rFonts w:asciiTheme="majorHAnsi" w:hAnsiTheme="majorHAnsi" w:cstheme="majorHAnsi"/>
                <w:b/>
                <w:bCs/>
                <w:color w:val="000000"/>
                <w:sz w:val="22"/>
                <w:szCs w:val="22"/>
                <w:lang w:val="en-US"/>
              </w:rPr>
            </w:pPr>
            <w:r w:rsidRPr="00173FD6">
              <w:rPr>
                <w:rFonts w:asciiTheme="majorHAnsi" w:hAnsiTheme="majorHAnsi" w:cstheme="majorHAnsi"/>
                <w:b/>
                <w:bCs/>
                <w:color w:val="000000"/>
                <w:sz w:val="22"/>
                <w:szCs w:val="22"/>
                <w:lang w:val="en-US"/>
              </w:rPr>
              <w:t>Percent</w:t>
            </w:r>
          </w:p>
        </w:tc>
      </w:tr>
      <w:tr w:rsidR="008D0CAD" w:rsidRPr="00173FD6" w14:paraId="3A408BD9" w14:textId="77777777" w:rsidTr="00FF4CA3">
        <w:trPr>
          <w:trHeight w:val="250"/>
        </w:trPr>
        <w:tc>
          <w:tcPr>
            <w:tcW w:w="2305" w:type="dxa"/>
            <w:vAlign w:val="bottom"/>
            <w:hideMark/>
          </w:tcPr>
          <w:p w14:paraId="4AA8B2DC" w14:textId="77777777" w:rsidR="008D0CAD" w:rsidRPr="00173FD6" w:rsidRDefault="008D0CAD">
            <w:pPr>
              <w:spacing w:before="100" w:beforeAutospacing="1" w:after="100" w:afterAutospacing="1" w:line="360" w:lineRule="auto"/>
              <w:rPr>
                <w:rFonts w:asciiTheme="majorHAnsi" w:hAnsiTheme="majorHAnsi" w:cstheme="majorHAnsi"/>
                <w:color w:val="000000"/>
                <w:sz w:val="22"/>
                <w:szCs w:val="22"/>
                <w:lang w:val="en-US"/>
              </w:rPr>
            </w:pPr>
            <w:r w:rsidRPr="00173FD6">
              <w:rPr>
                <w:rFonts w:asciiTheme="majorHAnsi" w:hAnsiTheme="majorHAnsi" w:cstheme="majorHAnsi"/>
                <w:color w:val="000000"/>
                <w:sz w:val="22"/>
                <w:szCs w:val="22"/>
                <w:lang w:val="en-US"/>
              </w:rPr>
              <w:t>1</w:t>
            </w:r>
          </w:p>
        </w:tc>
        <w:tc>
          <w:tcPr>
            <w:tcW w:w="2029" w:type="dxa"/>
            <w:vAlign w:val="bottom"/>
            <w:hideMark/>
          </w:tcPr>
          <w:p w14:paraId="44E28DAB" w14:textId="77777777" w:rsidR="008D0CAD" w:rsidRPr="00173FD6" w:rsidRDefault="008D0CAD">
            <w:pPr>
              <w:spacing w:before="100" w:beforeAutospacing="1" w:after="100" w:afterAutospacing="1" w:line="360" w:lineRule="auto"/>
              <w:rPr>
                <w:rFonts w:asciiTheme="majorHAnsi" w:hAnsiTheme="majorHAnsi" w:cstheme="majorHAnsi"/>
                <w:color w:val="000000"/>
                <w:sz w:val="22"/>
                <w:szCs w:val="22"/>
                <w:lang w:val="en-US"/>
              </w:rPr>
            </w:pPr>
            <w:r w:rsidRPr="00173FD6">
              <w:rPr>
                <w:rFonts w:asciiTheme="majorHAnsi" w:hAnsiTheme="majorHAnsi" w:cstheme="majorHAnsi"/>
                <w:color w:val="000000"/>
                <w:sz w:val="22"/>
                <w:szCs w:val="22"/>
                <w:lang w:val="en-US"/>
              </w:rPr>
              <w:t>107</w:t>
            </w:r>
          </w:p>
        </w:tc>
        <w:tc>
          <w:tcPr>
            <w:tcW w:w="2032" w:type="dxa"/>
            <w:vAlign w:val="bottom"/>
            <w:hideMark/>
          </w:tcPr>
          <w:p w14:paraId="4261BA9A" w14:textId="77777777" w:rsidR="008D0CAD" w:rsidRPr="00173FD6" w:rsidRDefault="008D0CAD">
            <w:pPr>
              <w:spacing w:before="100" w:beforeAutospacing="1" w:after="100" w:afterAutospacing="1" w:line="360" w:lineRule="auto"/>
              <w:rPr>
                <w:rFonts w:asciiTheme="majorHAnsi" w:hAnsiTheme="majorHAnsi" w:cstheme="majorHAnsi"/>
                <w:color w:val="000000"/>
                <w:sz w:val="22"/>
                <w:szCs w:val="22"/>
                <w:lang w:val="en-US"/>
              </w:rPr>
            </w:pPr>
            <w:r w:rsidRPr="00173FD6">
              <w:rPr>
                <w:rFonts w:asciiTheme="majorHAnsi" w:hAnsiTheme="majorHAnsi" w:cstheme="majorHAnsi"/>
                <w:color w:val="000000"/>
                <w:sz w:val="22"/>
                <w:szCs w:val="22"/>
                <w:lang w:val="en-US"/>
              </w:rPr>
              <w:t>13.5</w:t>
            </w:r>
          </w:p>
        </w:tc>
      </w:tr>
      <w:tr w:rsidR="008D0CAD" w:rsidRPr="00173FD6" w14:paraId="032DF335" w14:textId="77777777" w:rsidTr="00FF4CA3">
        <w:trPr>
          <w:trHeight w:val="250"/>
        </w:trPr>
        <w:tc>
          <w:tcPr>
            <w:tcW w:w="2305" w:type="dxa"/>
            <w:hideMark/>
          </w:tcPr>
          <w:p w14:paraId="5941DEDE" w14:textId="77777777" w:rsidR="008D0CAD" w:rsidRPr="00173FD6" w:rsidRDefault="008D0CAD" w:rsidP="005902F7">
            <w:pPr>
              <w:spacing w:before="100" w:beforeAutospacing="1" w:after="100" w:afterAutospacing="1" w:line="360" w:lineRule="auto"/>
              <w:rPr>
                <w:rFonts w:asciiTheme="majorHAnsi" w:hAnsiTheme="majorHAnsi" w:cstheme="majorHAnsi"/>
                <w:color w:val="000000"/>
                <w:sz w:val="22"/>
                <w:szCs w:val="22"/>
                <w:lang w:val="en-US"/>
              </w:rPr>
            </w:pPr>
            <w:r w:rsidRPr="00173FD6">
              <w:rPr>
                <w:rFonts w:asciiTheme="majorHAnsi" w:hAnsiTheme="majorHAnsi" w:cstheme="majorHAnsi"/>
                <w:color w:val="000000"/>
                <w:sz w:val="22"/>
                <w:szCs w:val="22"/>
                <w:lang w:val="en-US"/>
              </w:rPr>
              <w:t>2</w:t>
            </w:r>
          </w:p>
        </w:tc>
        <w:tc>
          <w:tcPr>
            <w:tcW w:w="2029" w:type="dxa"/>
            <w:hideMark/>
          </w:tcPr>
          <w:p w14:paraId="4F0FDF16" w14:textId="77777777" w:rsidR="008D0CAD" w:rsidRPr="00173FD6" w:rsidRDefault="008D0CAD" w:rsidP="005902F7">
            <w:pPr>
              <w:spacing w:before="100" w:beforeAutospacing="1" w:after="100" w:afterAutospacing="1" w:line="360" w:lineRule="auto"/>
              <w:rPr>
                <w:rFonts w:asciiTheme="majorHAnsi" w:hAnsiTheme="majorHAnsi" w:cstheme="majorHAnsi"/>
                <w:color w:val="000000"/>
                <w:sz w:val="22"/>
                <w:szCs w:val="22"/>
                <w:lang w:val="en-US"/>
              </w:rPr>
            </w:pPr>
            <w:r w:rsidRPr="00173FD6">
              <w:rPr>
                <w:rFonts w:asciiTheme="majorHAnsi" w:hAnsiTheme="majorHAnsi" w:cstheme="majorHAnsi"/>
                <w:color w:val="000000"/>
                <w:sz w:val="22"/>
                <w:szCs w:val="22"/>
                <w:lang w:val="en-US"/>
              </w:rPr>
              <w:t>1</w:t>
            </w:r>
          </w:p>
        </w:tc>
        <w:tc>
          <w:tcPr>
            <w:tcW w:w="2032" w:type="dxa"/>
            <w:hideMark/>
          </w:tcPr>
          <w:p w14:paraId="2EEE332C" w14:textId="77777777" w:rsidR="008D0CAD" w:rsidRPr="00173FD6" w:rsidRDefault="008D0CAD" w:rsidP="005902F7">
            <w:pPr>
              <w:spacing w:before="100" w:beforeAutospacing="1" w:after="100" w:afterAutospacing="1" w:line="360" w:lineRule="auto"/>
              <w:rPr>
                <w:rFonts w:asciiTheme="majorHAnsi" w:hAnsiTheme="majorHAnsi" w:cstheme="majorHAnsi"/>
                <w:color w:val="000000"/>
                <w:sz w:val="22"/>
                <w:szCs w:val="22"/>
                <w:lang w:val="en-US"/>
              </w:rPr>
            </w:pPr>
            <w:r w:rsidRPr="00173FD6">
              <w:rPr>
                <w:rFonts w:asciiTheme="majorHAnsi" w:hAnsiTheme="majorHAnsi" w:cstheme="majorHAnsi"/>
                <w:color w:val="000000"/>
                <w:sz w:val="22"/>
                <w:szCs w:val="22"/>
                <w:lang w:val="en-US"/>
              </w:rPr>
              <w:t>0.1</w:t>
            </w:r>
          </w:p>
        </w:tc>
      </w:tr>
      <w:tr w:rsidR="008D0CAD" w:rsidRPr="00173FD6" w14:paraId="162CB796" w14:textId="77777777" w:rsidTr="00FF4CA3">
        <w:trPr>
          <w:trHeight w:val="250"/>
        </w:trPr>
        <w:tc>
          <w:tcPr>
            <w:tcW w:w="2305" w:type="dxa"/>
            <w:hideMark/>
          </w:tcPr>
          <w:p w14:paraId="14D7F207" w14:textId="77777777" w:rsidR="008D0CAD" w:rsidRPr="00173FD6" w:rsidRDefault="008D0CAD" w:rsidP="005902F7">
            <w:pPr>
              <w:spacing w:before="100" w:beforeAutospacing="1" w:after="100" w:afterAutospacing="1" w:line="360" w:lineRule="auto"/>
              <w:rPr>
                <w:rFonts w:asciiTheme="majorHAnsi" w:hAnsiTheme="majorHAnsi" w:cstheme="majorHAnsi"/>
                <w:color w:val="000000"/>
                <w:sz w:val="22"/>
                <w:szCs w:val="22"/>
                <w:lang w:val="en-US"/>
              </w:rPr>
            </w:pPr>
            <w:r w:rsidRPr="00173FD6">
              <w:rPr>
                <w:rFonts w:asciiTheme="majorHAnsi" w:hAnsiTheme="majorHAnsi" w:cstheme="majorHAnsi"/>
                <w:color w:val="000000"/>
                <w:sz w:val="22"/>
                <w:szCs w:val="22"/>
                <w:lang w:val="en-US"/>
              </w:rPr>
              <w:t>3</w:t>
            </w:r>
          </w:p>
        </w:tc>
        <w:tc>
          <w:tcPr>
            <w:tcW w:w="2029" w:type="dxa"/>
            <w:hideMark/>
          </w:tcPr>
          <w:p w14:paraId="3B6CABBF" w14:textId="77777777" w:rsidR="008D0CAD" w:rsidRPr="00173FD6" w:rsidRDefault="008D0CAD" w:rsidP="005902F7">
            <w:pPr>
              <w:spacing w:before="100" w:beforeAutospacing="1" w:after="100" w:afterAutospacing="1" w:line="360" w:lineRule="auto"/>
              <w:rPr>
                <w:rFonts w:asciiTheme="majorHAnsi" w:hAnsiTheme="majorHAnsi" w:cstheme="majorHAnsi"/>
                <w:color w:val="000000"/>
                <w:sz w:val="22"/>
                <w:szCs w:val="22"/>
                <w:lang w:val="en-US"/>
              </w:rPr>
            </w:pPr>
            <w:r w:rsidRPr="00173FD6">
              <w:rPr>
                <w:rFonts w:asciiTheme="majorHAnsi" w:hAnsiTheme="majorHAnsi" w:cstheme="majorHAnsi"/>
                <w:color w:val="000000"/>
                <w:sz w:val="22"/>
                <w:szCs w:val="22"/>
                <w:lang w:val="en-US"/>
              </w:rPr>
              <w:t>17</w:t>
            </w:r>
          </w:p>
        </w:tc>
        <w:tc>
          <w:tcPr>
            <w:tcW w:w="2032" w:type="dxa"/>
            <w:hideMark/>
          </w:tcPr>
          <w:p w14:paraId="53058784" w14:textId="77777777" w:rsidR="008D0CAD" w:rsidRPr="00173FD6" w:rsidRDefault="008D0CAD" w:rsidP="005902F7">
            <w:pPr>
              <w:spacing w:before="100" w:beforeAutospacing="1" w:after="100" w:afterAutospacing="1" w:line="360" w:lineRule="auto"/>
              <w:rPr>
                <w:rFonts w:asciiTheme="majorHAnsi" w:hAnsiTheme="majorHAnsi" w:cstheme="majorHAnsi"/>
                <w:color w:val="000000"/>
                <w:sz w:val="22"/>
                <w:szCs w:val="22"/>
                <w:lang w:val="en-US"/>
              </w:rPr>
            </w:pPr>
            <w:r w:rsidRPr="00173FD6">
              <w:rPr>
                <w:rFonts w:asciiTheme="majorHAnsi" w:hAnsiTheme="majorHAnsi" w:cstheme="majorHAnsi"/>
                <w:color w:val="000000"/>
                <w:sz w:val="22"/>
                <w:szCs w:val="22"/>
                <w:lang w:val="en-US"/>
              </w:rPr>
              <w:t>2.1</w:t>
            </w:r>
          </w:p>
        </w:tc>
      </w:tr>
      <w:tr w:rsidR="008D0CAD" w:rsidRPr="00173FD6" w14:paraId="75AC3290" w14:textId="77777777" w:rsidTr="00FF4CA3">
        <w:trPr>
          <w:trHeight w:val="250"/>
        </w:trPr>
        <w:tc>
          <w:tcPr>
            <w:tcW w:w="2305" w:type="dxa"/>
            <w:hideMark/>
          </w:tcPr>
          <w:p w14:paraId="4C8BA6CB" w14:textId="77777777" w:rsidR="008D0CAD" w:rsidRPr="00173FD6" w:rsidRDefault="008D0CAD" w:rsidP="005902F7">
            <w:pPr>
              <w:spacing w:before="100" w:beforeAutospacing="1" w:after="100" w:afterAutospacing="1" w:line="360" w:lineRule="auto"/>
              <w:rPr>
                <w:rFonts w:asciiTheme="majorHAnsi" w:hAnsiTheme="majorHAnsi" w:cstheme="majorHAnsi"/>
                <w:color w:val="000000"/>
                <w:sz w:val="22"/>
                <w:szCs w:val="22"/>
                <w:lang w:val="en-US"/>
              </w:rPr>
            </w:pPr>
            <w:r w:rsidRPr="00173FD6">
              <w:rPr>
                <w:rFonts w:asciiTheme="majorHAnsi" w:hAnsiTheme="majorHAnsi" w:cstheme="majorHAnsi"/>
                <w:color w:val="000000"/>
                <w:sz w:val="22"/>
                <w:szCs w:val="22"/>
                <w:lang w:val="en-US"/>
              </w:rPr>
              <w:t>4</w:t>
            </w:r>
          </w:p>
        </w:tc>
        <w:tc>
          <w:tcPr>
            <w:tcW w:w="2029" w:type="dxa"/>
            <w:hideMark/>
          </w:tcPr>
          <w:p w14:paraId="248AA785" w14:textId="77777777" w:rsidR="008D0CAD" w:rsidRPr="00173FD6" w:rsidRDefault="008D0CAD" w:rsidP="005902F7">
            <w:pPr>
              <w:spacing w:before="100" w:beforeAutospacing="1" w:after="100" w:afterAutospacing="1" w:line="360" w:lineRule="auto"/>
              <w:rPr>
                <w:rFonts w:asciiTheme="majorHAnsi" w:hAnsiTheme="majorHAnsi" w:cstheme="majorHAnsi"/>
                <w:color w:val="000000"/>
                <w:sz w:val="22"/>
                <w:szCs w:val="22"/>
                <w:lang w:val="en-US"/>
              </w:rPr>
            </w:pPr>
            <w:r w:rsidRPr="00173FD6">
              <w:rPr>
                <w:rFonts w:asciiTheme="majorHAnsi" w:hAnsiTheme="majorHAnsi" w:cstheme="majorHAnsi"/>
                <w:color w:val="000000"/>
                <w:sz w:val="22"/>
                <w:szCs w:val="22"/>
                <w:lang w:val="en-US"/>
              </w:rPr>
              <w:t>0</w:t>
            </w:r>
          </w:p>
        </w:tc>
        <w:tc>
          <w:tcPr>
            <w:tcW w:w="2032" w:type="dxa"/>
            <w:hideMark/>
          </w:tcPr>
          <w:p w14:paraId="764950C3" w14:textId="77777777" w:rsidR="008D0CAD" w:rsidRPr="00173FD6" w:rsidRDefault="008D0CAD" w:rsidP="005902F7">
            <w:pPr>
              <w:spacing w:before="100" w:beforeAutospacing="1" w:after="100" w:afterAutospacing="1" w:line="360" w:lineRule="auto"/>
              <w:rPr>
                <w:rFonts w:asciiTheme="majorHAnsi" w:hAnsiTheme="majorHAnsi" w:cstheme="majorHAnsi"/>
                <w:color w:val="000000"/>
                <w:sz w:val="22"/>
                <w:szCs w:val="22"/>
                <w:lang w:val="en-US"/>
              </w:rPr>
            </w:pPr>
            <w:r w:rsidRPr="00173FD6">
              <w:rPr>
                <w:rFonts w:asciiTheme="majorHAnsi" w:hAnsiTheme="majorHAnsi" w:cstheme="majorHAnsi"/>
                <w:color w:val="000000"/>
                <w:sz w:val="22"/>
                <w:szCs w:val="22"/>
                <w:lang w:val="en-US"/>
              </w:rPr>
              <w:t>0.0</w:t>
            </w:r>
          </w:p>
        </w:tc>
      </w:tr>
      <w:tr w:rsidR="008D0CAD" w:rsidRPr="00173FD6" w14:paraId="5F55B512" w14:textId="77777777" w:rsidTr="00FF4CA3">
        <w:trPr>
          <w:trHeight w:val="250"/>
        </w:trPr>
        <w:tc>
          <w:tcPr>
            <w:tcW w:w="2305" w:type="dxa"/>
            <w:hideMark/>
          </w:tcPr>
          <w:p w14:paraId="6A1CA38A" w14:textId="77777777" w:rsidR="008D0CAD" w:rsidRPr="00173FD6" w:rsidRDefault="008D0CAD" w:rsidP="005902F7">
            <w:pPr>
              <w:spacing w:before="100" w:beforeAutospacing="1" w:after="100" w:afterAutospacing="1" w:line="360" w:lineRule="auto"/>
              <w:rPr>
                <w:rFonts w:asciiTheme="majorHAnsi" w:hAnsiTheme="majorHAnsi" w:cstheme="majorHAnsi"/>
                <w:color w:val="000000"/>
                <w:sz w:val="22"/>
                <w:szCs w:val="22"/>
                <w:lang w:val="en-US"/>
              </w:rPr>
            </w:pPr>
            <w:r w:rsidRPr="00173FD6">
              <w:rPr>
                <w:rFonts w:asciiTheme="majorHAnsi" w:hAnsiTheme="majorHAnsi" w:cstheme="majorHAnsi"/>
                <w:color w:val="000000"/>
                <w:sz w:val="22"/>
                <w:szCs w:val="22"/>
                <w:lang w:val="en-US"/>
              </w:rPr>
              <w:t>5</w:t>
            </w:r>
          </w:p>
        </w:tc>
        <w:tc>
          <w:tcPr>
            <w:tcW w:w="2029" w:type="dxa"/>
            <w:hideMark/>
          </w:tcPr>
          <w:p w14:paraId="67BACE41" w14:textId="77777777" w:rsidR="008D0CAD" w:rsidRPr="00173FD6" w:rsidRDefault="008D0CAD" w:rsidP="005902F7">
            <w:pPr>
              <w:spacing w:before="100" w:beforeAutospacing="1" w:after="100" w:afterAutospacing="1" w:line="360" w:lineRule="auto"/>
              <w:rPr>
                <w:rFonts w:asciiTheme="majorHAnsi" w:hAnsiTheme="majorHAnsi" w:cstheme="majorHAnsi"/>
                <w:color w:val="000000"/>
                <w:sz w:val="22"/>
                <w:szCs w:val="22"/>
                <w:lang w:val="en-US"/>
              </w:rPr>
            </w:pPr>
            <w:r w:rsidRPr="00173FD6">
              <w:rPr>
                <w:rFonts w:asciiTheme="majorHAnsi" w:hAnsiTheme="majorHAnsi" w:cstheme="majorHAnsi"/>
                <w:color w:val="000000"/>
                <w:sz w:val="22"/>
                <w:szCs w:val="22"/>
                <w:lang w:val="en-US"/>
              </w:rPr>
              <w:t>1</w:t>
            </w:r>
          </w:p>
        </w:tc>
        <w:tc>
          <w:tcPr>
            <w:tcW w:w="2032" w:type="dxa"/>
            <w:hideMark/>
          </w:tcPr>
          <w:p w14:paraId="04878DC0" w14:textId="77777777" w:rsidR="008D0CAD" w:rsidRPr="00173FD6" w:rsidRDefault="008D0CAD" w:rsidP="005902F7">
            <w:pPr>
              <w:spacing w:before="100" w:beforeAutospacing="1" w:after="100" w:afterAutospacing="1" w:line="360" w:lineRule="auto"/>
              <w:rPr>
                <w:rFonts w:asciiTheme="majorHAnsi" w:hAnsiTheme="majorHAnsi" w:cstheme="majorHAnsi"/>
                <w:color w:val="000000"/>
                <w:sz w:val="22"/>
                <w:szCs w:val="22"/>
                <w:lang w:val="en-US"/>
              </w:rPr>
            </w:pPr>
            <w:r w:rsidRPr="00173FD6">
              <w:rPr>
                <w:rFonts w:asciiTheme="majorHAnsi" w:hAnsiTheme="majorHAnsi" w:cstheme="majorHAnsi"/>
                <w:color w:val="000000"/>
                <w:sz w:val="22"/>
                <w:szCs w:val="22"/>
                <w:lang w:val="en-US"/>
              </w:rPr>
              <w:t>0.1</w:t>
            </w:r>
          </w:p>
        </w:tc>
      </w:tr>
      <w:tr w:rsidR="008D0CAD" w:rsidRPr="00173FD6" w14:paraId="4022FE04" w14:textId="77777777" w:rsidTr="00FF4CA3">
        <w:trPr>
          <w:trHeight w:val="250"/>
        </w:trPr>
        <w:tc>
          <w:tcPr>
            <w:tcW w:w="2305" w:type="dxa"/>
            <w:hideMark/>
          </w:tcPr>
          <w:p w14:paraId="761067D3" w14:textId="77777777" w:rsidR="008D0CAD" w:rsidRPr="00173FD6" w:rsidRDefault="008D0CAD" w:rsidP="005902F7">
            <w:pPr>
              <w:spacing w:before="100" w:beforeAutospacing="1" w:after="100" w:afterAutospacing="1" w:line="360" w:lineRule="auto"/>
              <w:rPr>
                <w:rFonts w:asciiTheme="majorHAnsi" w:hAnsiTheme="majorHAnsi" w:cstheme="majorHAnsi"/>
                <w:color w:val="000000"/>
                <w:sz w:val="22"/>
                <w:szCs w:val="22"/>
                <w:lang w:val="en-US"/>
              </w:rPr>
            </w:pPr>
            <w:r w:rsidRPr="00173FD6">
              <w:rPr>
                <w:rFonts w:asciiTheme="majorHAnsi" w:hAnsiTheme="majorHAnsi" w:cstheme="majorHAnsi"/>
                <w:color w:val="000000"/>
                <w:sz w:val="22"/>
                <w:szCs w:val="22"/>
                <w:lang w:val="en-US"/>
              </w:rPr>
              <w:t>6</w:t>
            </w:r>
          </w:p>
        </w:tc>
        <w:tc>
          <w:tcPr>
            <w:tcW w:w="2029" w:type="dxa"/>
            <w:hideMark/>
          </w:tcPr>
          <w:p w14:paraId="6E6C0641" w14:textId="77777777" w:rsidR="008D0CAD" w:rsidRPr="00173FD6" w:rsidRDefault="008D0CAD" w:rsidP="005902F7">
            <w:pPr>
              <w:spacing w:before="100" w:beforeAutospacing="1" w:after="100" w:afterAutospacing="1" w:line="360" w:lineRule="auto"/>
              <w:rPr>
                <w:rFonts w:asciiTheme="majorHAnsi" w:hAnsiTheme="majorHAnsi" w:cstheme="majorHAnsi"/>
                <w:color w:val="000000"/>
                <w:sz w:val="22"/>
                <w:szCs w:val="22"/>
                <w:lang w:val="en-US"/>
              </w:rPr>
            </w:pPr>
            <w:r w:rsidRPr="00173FD6">
              <w:rPr>
                <w:rFonts w:asciiTheme="majorHAnsi" w:hAnsiTheme="majorHAnsi" w:cstheme="majorHAnsi"/>
                <w:color w:val="000000"/>
                <w:sz w:val="22"/>
                <w:szCs w:val="22"/>
                <w:lang w:val="en-US"/>
              </w:rPr>
              <w:t>625</w:t>
            </w:r>
          </w:p>
        </w:tc>
        <w:tc>
          <w:tcPr>
            <w:tcW w:w="2032" w:type="dxa"/>
            <w:hideMark/>
          </w:tcPr>
          <w:p w14:paraId="4138EE83" w14:textId="77777777" w:rsidR="008D0CAD" w:rsidRPr="00173FD6" w:rsidRDefault="008D0CAD" w:rsidP="005902F7">
            <w:pPr>
              <w:spacing w:before="100" w:beforeAutospacing="1" w:after="100" w:afterAutospacing="1" w:line="360" w:lineRule="auto"/>
              <w:rPr>
                <w:rFonts w:asciiTheme="majorHAnsi" w:hAnsiTheme="majorHAnsi" w:cstheme="majorHAnsi"/>
                <w:color w:val="000000"/>
                <w:sz w:val="22"/>
                <w:szCs w:val="22"/>
                <w:lang w:val="en-US"/>
              </w:rPr>
            </w:pPr>
            <w:r w:rsidRPr="00173FD6">
              <w:rPr>
                <w:rFonts w:asciiTheme="majorHAnsi" w:hAnsiTheme="majorHAnsi" w:cstheme="majorHAnsi"/>
                <w:color w:val="000000"/>
                <w:sz w:val="22"/>
                <w:szCs w:val="22"/>
                <w:lang w:val="en-US"/>
              </w:rPr>
              <w:t>78.9</w:t>
            </w:r>
          </w:p>
        </w:tc>
      </w:tr>
      <w:tr w:rsidR="008D0CAD" w:rsidRPr="00173FD6" w14:paraId="1A4C017F" w14:textId="77777777" w:rsidTr="00FF4CA3">
        <w:trPr>
          <w:trHeight w:val="250"/>
        </w:trPr>
        <w:tc>
          <w:tcPr>
            <w:tcW w:w="2305" w:type="dxa"/>
            <w:hideMark/>
          </w:tcPr>
          <w:p w14:paraId="1977C4E9" w14:textId="77777777" w:rsidR="008D0CAD" w:rsidRPr="00173FD6" w:rsidRDefault="008D0CAD" w:rsidP="005902F7">
            <w:pPr>
              <w:spacing w:before="100" w:beforeAutospacing="1" w:after="100" w:afterAutospacing="1" w:line="360" w:lineRule="auto"/>
              <w:rPr>
                <w:rFonts w:asciiTheme="majorHAnsi" w:hAnsiTheme="majorHAnsi" w:cstheme="majorHAnsi"/>
                <w:color w:val="000000"/>
                <w:sz w:val="22"/>
                <w:szCs w:val="22"/>
                <w:lang w:val="en-US"/>
              </w:rPr>
            </w:pPr>
            <w:r w:rsidRPr="00173FD6">
              <w:rPr>
                <w:rFonts w:asciiTheme="majorHAnsi" w:hAnsiTheme="majorHAnsi" w:cstheme="majorHAnsi"/>
                <w:color w:val="000000"/>
                <w:sz w:val="22"/>
                <w:szCs w:val="22"/>
                <w:lang w:val="en-US"/>
              </w:rPr>
              <w:t>7</w:t>
            </w:r>
          </w:p>
        </w:tc>
        <w:tc>
          <w:tcPr>
            <w:tcW w:w="2029" w:type="dxa"/>
            <w:hideMark/>
          </w:tcPr>
          <w:p w14:paraId="22C9CFE0" w14:textId="77777777" w:rsidR="008D0CAD" w:rsidRPr="00173FD6" w:rsidRDefault="008D0CAD" w:rsidP="005902F7">
            <w:pPr>
              <w:spacing w:before="100" w:beforeAutospacing="1" w:after="100" w:afterAutospacing="1" w:line="360" w:lineRule="auto"/>
              <w:rPr>
                <w:rFonts w:asciiTheme="majorHAnsi" w:hAnsiTheme="majorHAnsi" w:cstheme="majorHAnsi"/>
                <w:color w:val="000000"/>
                <w:sz w:val="22"/>
                <w:szCs w:val="22"/>
                <w:lang w:val="en-US"/>
              </w:rPr>
            </w:pPr>
            <w:r w:rsidRPr="00173FD6">
              <w:rPr>
                <w:rFonts w:asciiTheme="majorHAnsi" w:hAnsiTheme="majorHAnsi" w:cstheme="majorHAnsi"/>
                <w:color w:val="000000"/>
                <w:sz w:val="22"/>
                <w:szCs w:val="22"/>
                <w:lang w:val="en-US"/>
              </w:rPr>
              <w:t>5</w:t>
            </w:r>
          </w:p>
        </w:tc>
        <w:tc>
          <w:tcPr>
            <w:tcW w:w="2032" w:type="dxa"/>
            <w:hideMark/>
          </w:tcPr>
          <w:p w14:paraId="333884D0" w14:textId="77777777" w:rsidR="008D0CAD" w:rsidRPr="00173FD6" w:rsidRDefault="008D0CAD" w:rsidP="005902F7">
            <w:pPr>
              <w:spacing w:before="100" w:beforeAutospacing="1" w:after="100" w:afterAutospacing="1" w:line="360" w:lineRule="auto"/>
              <w:rPr>
                <w:rFonts w:asciiTheme="majorHAnsi" w:hAnsiTheme="majorHAnsi" w:cstheme="majorHAnsi"/>
                <w:color w:val="000000"/>
                <w:sz w:val="22"/>
                <w:szCs w:val="22"/>
                <w:lang w:val="en-US"/>
              </w:rPr>
            </w:pPr>
            <w:r w:rsidRPr="00173FD6">
              <w:rPr>
                <w:rFonts w:asciiTheme="majorHAnsi" w:hAnsiTheme="majorHAnsi" w:cstheme="majorHAnsi"/>
                <w:color w:val="000000"/>
                <w:sz w:val="22"/>
                <w:szCs w:val="22"/>
                <w:lang w:val="en-US"/>
              </w:rPr>
              <w:t>0.6</w:t>
            </w:r>
          </w:p>
        </w:tc>
      </w:tr>
      <w:tr w:rsidR="008D0CAD" w:rsidRPr="00173FD6" w14:paraId="7DF11882" w14:textId="77777777" w:rsidTr="00FF4CA3">
        <w:trPr>
          <w:trHeight w:val="250"/>
        </w:trPr>
        <w:tc>
          <w:tcPr>
            <w:tcW w:w="2305" w:type="dxa"/>
            <w:hideMark/>
          </w:tcPr>
          <w:p w14:paraId="70E2281F" w14:textId="77777777" w:rsidR="008D0CAD" w:rsidRPr="00173FD6" w:rsidRDefault="008D0CAD" w:rsidP="005902F7">
            <w:pPr>
              <w:spacing w:before="100" w:beforeAutospacing="1" w:after="100" w:afterAutospacing="1" w:line="360" w:lineRule="auto"/>
              <w:rPr>
                <w:rFonts w:asciiTheme="majorHAnsi" w:hAnsiTheme="majorHAnsi" w:cstheme="majorHAnsi"/>
                <w:color w:val="000000"/>
                <w:sz w:val="22"/>
                <w:szCs w:val="22"/>
                <w:lang w:val="en-US"/>
              </w:rPr>
            </w:pPr>
            <w:r w:rsidRPr="00173FD6">
              <w:rPr>
                <w:rFonts w:asciiTheme="majorHAnsi" w:hAnsiTheme="majorHAnsi" w:cstheme="majorHAnsi"/>
                <w:color w:val="000000"/>
                <w:sz w:val="22"/>
                <w:szCs w:val="22"/>
                <w:lang w:val="en-US"/>
              </w:rPr>
              <w:t>8</w:t>
            </w:r>
          </w:p>
        </w:tc>
        <w:tc>
          <w:tcPr>
            <w:tcW w:w="2029" w:type="dxa"/>
            <w:hideMark/>
          </w:tcPr>
          <w:p w14:paraId="2F2A15F0" w14:textId="77777777" w:rsidR="008D0CAD" w:rsidRPr="00173FD6" w:rsidRDefault="008D0CAD" w:rsidP="005902F7">
            <w:pPr>
              <w:spacing w:before="100" w:beforeAutospacing="1" w:after="100" w:afterAutospacing="1" w:line="360" w:lineRule="auto"/>
              <w:rPr>
                <w:rFonts w:asciiTheme="majorHAnsi" w:hAnsiTheme="majorHAnsi" w:cstheme="majorHAnsi"/>
                <w:color w:val="000000"/>
                <w:sz w:val="22"/>
                <w:szCs w:val="22"/>
                <w:lang w:val="en-US"/>
              </w:rPr>
            </w:pPr>
            <w:r w:rsidRPr="00173FD6">
              <w:rPr>
                <w:rFonts w:asciiTheme="majorHAnsi" w:hAnsiTheme="majorHAnsi" w:cstheme="majorHAnsi"/>
                <w:color w:val="000000"/>
                <w:sz w:val="22"/>
                <w:szCs w:val="22"/>
                <w:lang w:val="en-US"/>
              </w:rPr>
              <w:t>33</w:t>
            </w:r>
          </w:p>
        </w:tc>
        <w:tc>
          <w:tcPr>
            <w:tcW w:w="2032" w:type="dxa"/>
            <w:hideMark/>
          </w:tcPr>
          <w:p w14:paraId="7C986895" w14:textId="77777777" w:rsidR="008D0CAD" w:rsidRPr="00173FD6" w:rsidRDefault="008D0CAD" w:rsidP="005902F7">
            <w:pPr>
              <w:spacing w:before="100" w:beforeAutospacing="1" w:after="100" w:afterAutospacing="1" w:line="360" w:lineRule="auto"/>
              <w:rPr>
                <w:rFonts w:asciiTheme="majorHAnsi" w:hAnsiTheme="majorHAnsi" w:cstheme="majorHAnsi"/>
                <w:color w:val="000000"/>
                <w:sz w:val="22"/>
                <w:szCs w:val="22"/>
                <w:lang w:val="en-US"/>
              </w:rPr>
            </w:pPr>
            <w:r w:rsidRPr="00173FD6">
              <w:rPr>
                <w:rFonts w:asciiTheme="majorHAnsi" w:hAnsiTheme="majorHAnsi" w:cstheme="majorHAnsi"/>
                <w:color w:val="000000"/>
                <w:sz w:val="22"/>
                <w:szCs w:val="22"/>
                <w:lang w:val="en-US"/>
              </w:rPr>
              <w:t>4.2</w:t>
            </w:r>
          </w:p>
        </w:tc>
      </w:tr>
      <w:tr w:rsidR="008D0CAD" w:rsidRPr="00173FD6" w14:paraId="3DEE252A" w14:textId="77777777" w:rsidTr="00FF4CA3">
        <w:trPr>
          <w:trHeight w:val="250"/>
        </w:trPr>
        <w:tc>
          <w:tcPr>
            <w:tcW w:w="2305" w:type="dxa"/>
            <w:hideMark/>
          </w:tcPr>
          <w:p w14:paraId="25462126" w14:textId="77777777" w:rsidR="008D0CAD" w:rsidRPr="00173FD6" w:rsidRDefault="008D0CAD" w:rsidP="005902F7">
            <w:pPr>
              <w:spacing w:before="100" w:beforeAutospacing="1" w:after="100" w:afterAutospacing="1" w:line="360" w:lineRule="auto"/>
              <w:rPr>
                <w:rFonts w:asciiTheme="majorHAnsi" w:hAnsiTheme="majorHAnsi" w:cstheme="majorHAnsi"/>
                <w:color w:val="000000"/>
                <w:sz w:val="22"/>
                <w:szCs w:val="22"/>
                <w:lang w:val="en-US"/>
              </w:rPr>
            </w:pPr>
            <w:r w:rsidRPr="00173FD6">
              <w:rPr>
                <w:rFonts w:asciiTheme="majorHAnsi" w:hAnsiTheme="majorHAnsi" w:cstheme="majorHAnsi"/>
                <w:color w:val="000000"/>
                <w:sz w:val="22"/>
                <w:szCs w:val="22"/>
                <w:lang w:val="en-US"/>
              </w:rPr>
              <w:t>9</w:t>
            </w:r>
          </w:p>
        </w:tc>
        <w:tc>
          <w:tcPr>
            <w:tcW w:w="2029" w:type="dxa"/>
            <w:hideMark/>
          </w:tcPr>
          <w:p w14:paraId="0E727444" w14:textId="77777777" w:rsidR="008D0CAD" w:rsidRPr="00173FD6" w:rsidRDefault="008D0CAD" w:rsidP="005902F7">
            <w:pPr>
              <w:spacing w:before="100" w:beforeAutospacing="1" w:after="100" w:afterAutospacing="1" w:line="360" w:lineRule="auto"/>
              <w:rPr>
                <w:rFonts w:asciiTheme="majorHAnsi" w:hAnsiTheme="majorHAnsi" w:cstheme="majorHAnsi"/>
                <w:color w:val="000000"/>
                <w:sz w:val="22"/>
                <w:szCs w:val="22"/>
                <w:lang w:val="en-US"/>
              </w:rPr>
            </w:pPr>
            <w:r w:rsidRPr="00173FD6">
              <w:rPr>
                <w:rFonts w:asciiTheme="majorHAnsi" w:hAnsiTheme="majorHAnsi" w:cstheme="majorHAnsi"/>
                <w:color w:val="000000"/>
                <w:sz w:val="22"/>
                <w:szCs w:val="22"/>
                <w:lang w:val="en-US"/>
              </w:rPr>
              <w:t>0</w:t>
            </w:r>
          </w:p>
        </w:tc>
        <w:tc>
          <w:tcPr>
            <w:tcW w:w="2032" w:type="dxa"/>
            <w:hideMark/>
          </w:tcPr>
          <w:p w14:paraId="57E316CA" w14:textId="77777777" w:rsidR="008D0CAD" w:rsidRPr="00173FD6" w:rsidRDefault="008D0CAD" w:rsidP="005902F7">
            <w:pPr>
              <w:spacing w:before="100" w:beforeAutospacing="1" w:after="100" w:afterAutospacing="1" w:line="360" w:lineRule="auto"/>
              <w:rPr>
                <w:rFonts w:asciiTheme="majorHAnsi" w:hAnsiTheme="majorHAnsi" w:cstheme="majorHAnsi"/>
                <w:color w:val="000000"/>
                <w:sz w:val="22"/>
                <w:szCs w:val="22"/>
                <w:lang w:val="en-US"/>
              </w:rPr>
            </w:pPr>
            <w:r w:rsidRPr="00173FD6">
              <w:rPr>
                <w:rFonts w:asciiTheme="majorHAnsi" w:hAnsiTheme="majorHAnsi" w:cstheme="majorHAnsi"/>
                <w:color w:val="000000"/>
                <w:sz w:val="22"/>
                <w:szCs w:val="22"/>
                <w:lang w:val="en-US"/>
              </w:rPr>
              <w:t>0.0</w:t>
            </w:r>
          </w:p>
        </w:tc>
      </w:tr>
      <w:tr w:rsidR="008D0CAD" w:rsidRPr="00173FD6" w14:paraId="57B82637" w14:textId="77777777" w:rsidTr="00FF4CA3">
        <w:trPr>
          <w:trHeight w:val="250"/>
        </w:trPr>
        <w:tc>
          <w:tcPr>
            <w:tcW w:w="2305" w:type="dxa"/>
            <w:hideMark/>
          </w:tcPr>
          <w:p w14:paraId="741497AB" w14:textId="77777777" w:rsidR="008D0CAD" w:rsidRPr="00173FD6" w:rsidRDefault="008D0CAD" w:rsidP="005902F7">
            <w:pPr>
              <w:spacing w:before="100" w:beforeAutospacing="1" w:after="100" w:afterAutospacing="1" w:line="360" w:lineRule="auto"/>
              <w:rPr>
                <w:rFonts w:asciiTheme="majorHAnsi" w:hAnsiTheme="majorHAnsi" w:cstheme="majorHAnsi"/>
                <w:color w:val="000000"/>
                <w:sz w:val="22"/>
                <w:szCs w:val="22"/>
                <w:lang w:val="en-US"/>
              </w:rPr>
            </w:pPr>
            <w:r w:rsidRPr="00173FD6">
              <w:rPr>
                <w:rFonts w:asciiTheme="majorHAnsi" w:hAnsiTheme="majorHAnsi" w:cstheme="majorHAnsi"/>
                <w:color w:val="000000"/>
                <w:sz w:val="22"/>
                <w:szCs w:val="22"/>
                <w:lang w:val="en-US"/>
              </w:rPr>
              <w:t>10</w:t>
            </w:r>
          </w:p>
        </w:tc>
        <w:tc>
          <w:tcPr>
            <w:tcW w:w="2029" w:type="dxa"/>
            <w:hideMark/>
          </w:tcPr>
          <w:p w14:paraId="550B6C09" w14:textId="77777777" w:rsidR="008D0CAD" w:rsidRPr="00173FD6" w:rsidRDefault="008D0CAD" w:rsidP="005902F7">
            <w:pPr>
              <w:spacing w:before="100" w:beforeAutospacing="1" w:after="100" w:afterAutospacing="1" w:line="360" w:lineRule="auto"/>
              <w:rPr>
                <w:rFonts w:asciiTheme="majorHAnsi" w:hAnsiTheme="majorHAnsi" w:cstheme="majorHAnsi"/>
                <w:color w:val="000000"/>
                <w:sz w:val="22"/>
                <w:szCs w:val="22"/>
                <w:lang w:val="en-US"/>
              </w:rPr>
            </w:pPr>
            <w:r w:rsidRPr="00173FD6">
              <w:rPr>
                <w:rFonts w:asciiTheme="majorHAnsi" w:hAnsiTheme="majorHAnsi" w:cstheme="majorHAnsi"/>
                <w:color w:val="000000"/>
                <w:sz w:val="22"/>
                <w:szCs w:val="22"/>
                <w:lang w:val="en-US"/>
              </w:rPr>
              <w:t>3</w:t>
            </w:r>
          </w:p>
        </w:tc>
        <w:tc>
          <w:tcPr>
            <w:tcW w:w="2032" w:type="dxa"/>
            <w:hideMark/>
          </w:tcPr>
          <w:p w14:paraId="323C8B48" w14:textId="77777777" w:rsidR="008D0CAD" w:rsidRPr="00173FD6" w:rsidRDefault="008D0CAD" w:rsidP="005902F7">
            <w:pPr>
              <w:spacing w:before="100" w:beforeAutospacing="1" w:after="100" w:afterAutospacing="1" w:line="360" w:lineRule="auto"/>
              <w:rPr>
                <w:rFonts w:asciiTheme="majorHAnsi" w:hAnsiTheme="majorHAnsi" w:cstheme="majorHAnsi"/>
                <w:color w:val="000000"/>
                <w:sz w:val="22"/>
                <w:szCs w:val="22"/>
                <w:lang w:val="en-US"/>
              </w:rPr>
            </w:pPr>
            <w:r w:rsidRPr="00173FD6">
              <w:rPr>
                <w:rFonts w:asciiTheme="majorHAnsi" w:hAnsiTheme="majorHAnsi" w:cstheme="majorHAnsi"/>
                <w:color w:val="000000"/>
                <w:sz w:val="22"/>
                <w:szCs w:val="22"/>
                <w:lang w:val="en-US"/>
              </w:rPr>
              <w:t>0.4</w:t>
            </w:r>
          </w:p>
        </w:tc>
      </w:tr>
    </w:tbl>
    <w:p w14:paraId="44531363" w14:textId="2BCE49D3" w:rsidR="008D0CAD" w:rsidRPr="00173FD6" w:rsidRDefault="008D0CAD" w:rsidP="005902F7">
      <w:pPr>
        <w:spacing w:before="100" w:beforeAutospacing="1" w:after="100" w:afterAutospacing="1" w:line="360" w:lineRule="auto"/>
        <w:rPr>
          <w:rFonts w:asciiTheme="majorHAnsi" w:hAnsiTheme="majorHAnsi" w:cstheme="majorHAnsi"/>
          <w:color w:val="000000" w:themeColor="text1"/>
          <w:lang w:val="en-US"/>
        </w:rPr>
      </w:pPr>
      <w:bookmarkStart w:id="229" w:name="_Toc11229183"/>
      <w:r w:rsidRPr="00173FD6">
        <w:rPr>
          <w:rFonts w:asciiTheme="majorHAnsi" w:hAnsiTheme="majorHAnsi" w:cstheme="majorHAnsi"/>
          <w:lang w:val="en-US"/>
        </w:rPr>
        <w:t>Finally, 80 elementary schools were selected as the treatment schools referred to as the direct recipient schools.</w:t>
      </w:r>
      <w:r w:rsidR="00D434EB">
        <w:rPr>
          <w:rFonts w:asciiTheme="majorHAnsi" w:hAnsiTheme="majorHAnsi" w:cstheme="majorHAnsi"/>
          <w:lang w:val="en-US"/>
        </w:rPr>
        <w:t xml:space="preserve"> </w:t>
      </w:r>
      <w:r w:rsidRPr="00173FD6">
        <w:rPr>
          <w:rFonts w:asciiTheme="majorHAnsi" w:hAnsiTheme="majorHAnsi" w:cstheme="majorHAnsi"/>
          <w:lang w:val="en-US"/>
        </w:rPr>
        <w:t xml:space="preserve">The BEST schools represented all available intervention in the reduced population. </w:t>
      </w:r>
    </w:p>
    <w:p w14:paraId="421B9B4D" w14:textId="37563199" w:rsidR="008D0CAD" w:rsidRPr="00173FD6" w:rsidRDefault="008D0CAD" w:rsidP="005902F7">
      <w:pPr>
        <w:spacing w:before="100" w:beforeAutospacing="1" w:after="100" w:afterAutospacing="1" w:line="360" w:lineRule="auto"/>
        <w:rPr>
          <w:rFonts w:asciiTheme="majorHAnsi" w:hAnsiTheme="majorHAnsi" w:cstheme="majorHAnsi"/>
          <w:color w:val="000000" w:themeColor="text1"/>
          <w:lang w:val="en-US"/>
        </w:rPr>
      </w:pPr>
      <w:bookmarkStart w:id="230" w:name="_Toc11229184"/>
      <w:bookmarkEnd w:id="229"/>
      <w:r w:rsidRPr="00173FD6">
        <w:rPr>
          <w:rFonts w:asciiTheme="majorHAnsi" w:hAnsiTheme="majorHAnsi" w:cstheme="majorHAnsi"/>
          <w:lang w:val="en-US"/>
        </w:rPr>
        <w:t>Once the BEST schools were selected, comparison schools were identified for each of the schools in the sample.</w:t>
      </w:r>
      <w:r w:rsidR="00D434EB">
        <w:rPr>
          <w:rFonts w:asciiTheme="majorHAnsi" w:hAnsiTheme="majorHAnsi" w:cstheme="majorHAnsi"/>
          <w:lang w:val="en-US"/>
        </w:rPr>
        <w:t xml:space="preserve"> </w:t>
      </w:r>
      <w:r w:rsidRPr="00173FD6">
        <w:rPr>
          <w:rFonts w:asciiTheme="majorHAnsi" w:hAnsiTheme="majorHAnsi" w:cstheme="majorHAnsi"/>
          <w:lang w:val="en-US"/>
        </w:rPr>
        <w:t>The comparison schools were taken from a list of 12,007 elementary that were not directly provided with interventions by the BEST Program but were considered indirect recipients of BEST Program support because of the cascading efforts of the Division Offices.</w:t>
      </w:r>
      <w:r w:rsidR="00D434EB">
        <w:rPr>
          <w:rFonts w:asciiTheme="majorHAnsi" w:hAnsiTheme="majorHAnsi" w:cstheme="majorHAnsi"/>
          <w:lang w:val="en-US"/>
        </w:rPr>
        <w:t xml:space="preserve"> </w:t>
      </w:r>
      <w:r w:rsidRPr="00173FD6">
        <w:rPr>
          <w:rFonts w:asciiTheme="majorHAnsi" w:hAnsiTheme="majorHAnsi" w:cstheme="majorHAnsi"/>
          <w:lang w:val="en-US"/>
        </w:rPr>
        <w:t xml:space="preserve">The comparison schools, referred to as indirect recipient schools, did not follow a 1:1 ratio. Instead, one comparison school could be considered a comparison </w:t>
      </w:r>
      <w:r w:rsidRPr="00173FD6">
        <w:rPr>
          <w:rFonts w:asciiTheme="majorHAnsi" w:hAnsiTheme="majorHAnsi" w:cstheme="majorHAnsi"/>
          <w:color w:val="000000" w:themeColor="text1"/>
          <w:lang w:val="en-US"/>
        </w:rPr>
        <w:t xml:space="preserve">for several schools. </w:t>
      </w:r>
    </w:p>
    <w:bookmarkEnd w:id="230"/>
    <w:p w14:paraId="3821A6C0" w14:textId="610A5737" w:rsidR="008D0CAD" w:rsidRPr="00173FD6" w:rsidRDefault="008D0CAD" w:rsidP="005902F7">
      <w:pPr>
        <w:spacing w:before="100" w:beforeAutospacing="1" w:after="100" w:afterAutospacing="1" w:line="360" w:lineRule="auto"/>
        <w:rPr>
          <w:rFonts w:asciiTheme="majorHAnsi" w:hAnsiTheme="majorHAnsi" w:cstheme="majorHAnsi"/>
          <w:lang w:val="en-US"/>
        </w:rPr>
      </w:pPr>
      <w:r w:rsidRPr="00173FD6">
        <w:rPr>
          <w:rFonts w:asciiTheme="majorHAnsi" w:hAnsiTheme="majorHAnsi" w:cstheme="majorHAnsi"/>
          <w:lang w:val="en-US"/>
        </w:rPr>
        <w:t xml:space="preserve">The distribution of the schools included in the sample study by region is </w:t>
      </w:r>
      <w:r w:rsidRPr="00173FD6">
        <w:rPr>
          <w:rFonts w:asciiTheme="majorHAnsi" w:hAnsiTheme="majorHAnsi" w:cstheme="majorHAnsi"/>
          <w:color w:val="000000" w:themeColor="text1"/>
          <w:lang w:val="en-US"/>
        </w:rPr>
        <w:t>shown in Table 2.</w:t>
      </w:r>
      <w:r w:rsidR="00D434EB">
        <w:rPr>
          <w:rFonts w:asciiTheme="majorHAnsi" w:hAnsiTheme="majorHAnsi" w:cstheme="majorHAnsi"/>
          <w:color w:val="000000" w:themeColor="text1"/>
          <w:lang w:val="en-US"/>
        </w:rPr>
        <w:t xml:space="preserve"> </w:t>
      </w:r>
      <w:r w:rsidRPr="00173FD6">
        <w:rPr>
          <w:rFonts w:asciiTheme="majorHAnsi" w:hAnsiTheme="majorHAnsi" w:cstheme="majorHAnsi"/>
          <w:color w:val="000000" w:themeColor="text1"/>
          <w:lang w:val="en-US"/>
        </w:rPr>
        <w:t xml:space="preserve">The distribution is as follows: 21% of the sample schools were in Region VIII; 20% were in Region </w:t>
      </w:r>
      <w:r w:rsidRPr="00173FD6">
        <w:rPr>
          <w:rFonts w:asciiTheme="majorHAnsi" w:hAnsiTheme="majorHAnsi" w:cstheme="majorHAnsi"/>
          <w:lang w:val="en-US"/>
        </w:rPr>
        <w:t xml:space="preserve">V; another 20% in NCR; 14% in Region VI; 15% in Region VII; and 10% in Region X. </w:t>
      </w:r>
    </w:p>
    <w:p w14:paraId="6834E9CA" w14:textId="64197280" w:rsidR="008D0CAD" w:rsidRPr="00173FD6" w:rsidRDefault="008D0CAD" w:rsidP="00DD08E3">
      <w:pPr>
        <w:pStyle w:val="Heading3"/>
        <w:numPr>
          <w:ilvl w:val="0"/>
          <w:numId w:val="71"/>
        </w:numPr>
        <w:spacing w:before="100" w:beforeAutospacing="1" w:after="100" w:afterAutospacing="1" w:line="360" w:lineRule="auto"/>
        <w:rPr>
          <w:lang w:val="en-US"/>
        </w:rPr>
      </w:pPr>
      <w:bookmarkStart w:id="231" w:name="_Toc39938360"/>
      <w:bookmarkStart w:id="232" w:name="_Toc69820465"/>
      <w:r w:rsidRPr="00173FD6">
        <w:rPr>
          <w:lang w:val="en-US"/>
        </w:rPr>
        <w:t>Data Collection Methods</w:t>
      </w:r>
      <w:bookmarkEnd w:id="231"/>
      <w:bookmarkEnd w:id="232"/>
    </w:p>
    <w:p w14:paraId="50F9C904" w14:textId="0A176E8B" w:rsidR="008D0CAD" w:rsidRPr="00173FD6" w:rsidRDefault="00D608F7" w:rsidP="005902F7">
      <w:pPr>
        <w:pStyle w:val="Heading4"/>
        <w:spacing w:before="100" w:beforeAutospacing="1" w:after="100" w:afterAutospacing="1" w:line="360" w:lineRule="auto"/>
        <w:rPr>
          <w:lang w:val="en-US"/>
        </w:rPr>
      </w:pPr>
      <w:bookmarkStart w:id="233" w:name="_Toc10722984"/>
      <w:bookmarkStart w:id="234" w:name="_Toc11510931"/>
      <w:bookmarkStart w:id="235" w:name="_Toc39938361"/>
      <w:bookmarkStart w:id="236" w:name="_Toc69820466"/>
      <w:r>
        <w:rPr>
          <w:lang w:val="en-US"/>
        </w:rPr>
        <w:t xml:space="preserve">4.1 </w:t>
      </w:r>
      <w:r w:rsidR="008D0CAD" w:rsidRPr="00173FD6">
        <w:rPr>
          <w:lang w:val="en-US"/>
        </w:rPr>
        <w:t>Secondary Data Collection</w:t>
      </w:r>
      <w:bookmarkEnd w:id="233"/>
      <w:bookmarkEnd w:id="234"/>
      <w:bookmarkEnd w:id="235"/>
      <w:bookmarkEnd w:id="236"/>
    </w:p>
    <w:p w14:paraId="64EF2BA1" w14:textId="6CBC84B3" w:rsidR="008D0CAD" w:rsidRPr="00173FD6" w:rsidRDefault="008D0CAD" w:rsidP="005902F7">
      <w:pPr>
        <w:spacing w:before="100" w:beforeAutospacing="1" w:after="100" w:afterAutospacing="1" w:line="360" w:lineRule="auto"/>
        <w:rPr>
          <w:rFonts w:asciiTheme="majorHAnsi" w:hAnsiTheme="majorHAnsi" w:cstheme="majorHAnsi"/>
          <w:color w:val="000000" w:themeColor="text1"/>
          <w:lang w:val="en-US"/>
        </w:rPr>
      </w:pPr>
      <w:bookmarkStart w:id="237" w:name="_Toc11229185"/>
      <w:r w:rsidRPr="00173FD6">
        <w:rPr>
          <w:rFonts w:asciiTheme="majorHAnsi" w:hAnsiTheme="majorHAnsi" w:cstheme="majorHAnsi"/>
          <w:lang w:val="en-US"/>
        </w:rPr>
        <w:t>The six Regional EOPE Teams simultaneously visited each of the 106 schools to collect the required school level data</w:t>
      </w:r>
      <w:r w:rsidRPr="00173FD6">
        <w:rPr>
          <w:rFonts w:asciiTheme="majorHAnsi" w:hAnsiTheme="majorHAnsi" w:cstheme="majorHAnsi"/>
          <w:color w:val="000000" w:themeColor="text1"/>
          <w:lang w:val="en-US"/>
        </w:rPr>
        <w:t>.</w:t>
      </w:r>
      <w:r w:rsidR="00D434EB">
        <w:rPr>
          <w:rFonts w:asciiTheme="majorHAnsi" w:hAnsiTheme="majorHAnsi" w:cstheme="majorHAnsi"/>
          <w:color w:val="000000" w:themeColor="text1"/>
          <w:lang w:val="en-US"/>
        </w:rPr>
        <w:t xml:space="preserve"> </w:t>
      </w:r>
      <w:r w:rsidRPr="00173FD6">
        <w:rPr>
          <w:rFonts w:asciiTheme="majorHAnsi" w:hAnsiTheme="majorHAnsi" w:cstheme="majorHAnsi"/>
          <w:color w:val="000000" w:themeColor="text1"/>
          <w:lang w:val="en-US"/>
        </w:rPr>
        <w:t xml:space="preserve">However, the challenges mentioned above seriously </w:t>
      </w:r>
      <w:r w:rsidRPr="00173FD6">
        <w:rPr>
          <w:rFonts w:asciiTheme="majorHAnsi" w:hAnsiTheme="majorHAnsi" w:cstheme="majorHAnsi"/>
          <w:lang w:val="en-US"/>
        </w:rPr>
        <w:t>affected data collection and as a result, complete data was obtained only from 25 schools (24%) – 15 BEST supported schools and 9 non-BEST supported schools (Table 3).</w:t>
      </w:r>
      <w:r w:rsidR="00D434EB">
        <w:rPr>
          <w:rFonts w:asciiTheme="majorHAnsi" w:hAnsiTheme="majorHAnsi" w:cstheme="majorHAnsi"/>
          <w:lang w:val="en-US"/>
        </w:rPr>
        <w:t xml:space="preserve"> </w:t>
      </w:r>
      <w:r w:rsidRPr="00173FD6">
        <w:rPr>
          <w:rFonts w:asciiTheme="majorHAnsi" w:hAnsiTheme="majorHAnsi" w:cstheme="majorHAnsi"/>
          <w:lang w:val="en-US"/>
        </w:rPr>
        <w:t xml:space="preserve">Data was also obtained from 37 other schools (31 BEST and 6 non-BEST schools), but the data was incomplete and could not be included in the </w:t>
      </w:r>
      <w:r w:rsidRPr="00173FD6">
        <w:rPr>
          <w:rFonts w:asciiTheme="majorHAnsi" w:hAnsiTheme="majorHAnsi" w:cstheme="majorHAnsi"/>
          <w:color w:val="000000" w:themeColor="text1"/>
          <w:lang w:val="en-US"/>
        </w:rPr>
        <w:t>analysis.</w:t>
      </w:r>
      <w:bookmarkEnd w:id="237"/>
      <w:r w:rsidR="00D434EB">
        <w:rPr>
          <w:rFonts w:asciiTheme="majorHAnsi" w:hAnsiTheme="majorHAnsi" w:cstheme="majorHAnsi"/>
          <w:color w:val="000000" w:themeColor="text1"/>
          <w:lang w:val="en-US"/>
        </w:rPr>
        <w:t xml:space="preserve"> </w:t>
      </w:r>
    </w:p>
    <w:p w14:paraId="5E0647D9" w14:textId="7A6BF86C" w:rsidR="008D0CAD" w:rsidRPr="00D354DC" w:rsidRDefault="008D0CAD" w:rsidP="005902F7">
      <w:pPr>
        <w:pageBreakBefore/>
        <w:spacing w:before="100" w:beforeAutospacing="1" w:after="100" w:afterAutospacing="1" w:line="360" w:lineRule="auto"/>
        <w:rPr>
          <w:rFonts w:asciiTheme="majorHAnsi" w:hAnsiTheme="majorHAnsi" w:cstheme="majorHAnsi"/>
          <w:i/>
          <w:iCs/>
          <w:color w:val="44546A" w:themeColor="text2"/>
          <w:sz w:val="22"/>
          <w:szCs w:val="22"/>
          <w:lang w:val="en-US"/>
        </w:rPr>
      </w:pPr>
      <w:bookmarkStart w:id="238" w:name="_Toc11510966"/>
      <w:bookmarkStart w:id="239" w:name="_Toc71616631"/>
      <w:r w:rsidRPr="00D354DC">
        <w:rPr>
          <w:rFonts w:asciiTheme="majorHAnsi" w:hAnsiTheme="majorHAnsi" w:cstheme="majorHAnsi"/>
          <w:i/>
          <w:iCs/>
          <w:color w:val="44546A" w:themeColor="text2"/>
          <w:sz w:val="22"/>
          <w:szCs w:val="22"/>
          <w:lang w:val="en-US"/>
        </w:rPr>
        <w:t xml:space="preserve">Table </w:t>
      </w:r>
      <w:r w:rsidRPr="00D354DC">
        <w:rPr>
          <w:rFonts w:asciiTheme="majorHAnsi" w:hAnsiTheme="majorHAnsi" w:cstheme="majorHAnsi"/>
          <w:i/>
          <w:iCs/>
          <w:color w:val="44546A" w:themeColor="text2"/>
          <w:sz w:val="22"/>
          <w:szCs w:val="22"/>
          <w:lang w:val="en-US"/>
        </w:rPr>
        <w:fldChar w:fldCharType="begin"/>
      </w:r>
      <w:r w:rsidRPr="00D354DC">
        <w:rPr>
          <w:rFonts w:asciiTheme="majorHAnsi" w:hAnsiTheme="majorHAnsi" w:cstheme="majorHAnsi"/>
          <w:i/>
          <w:iCs/>
          <w:color w:val="44546A" w:themeColor="text2"/>
          <w:sz w:val="22"/>
          <w:szCs w:val="22"/>
          <w:lang w:val="en-US"/>
        </w:rPr>
        <w:instrText xml:space="preserve"> SEQ Table \* ARABIC </w:instrText>
      </w:r>
      <w:r w:rsidRPr="00D354DC">
        <w:rPr>
          <w:rFonts w:asciiTheme="majorHAnsi" w:hAnsiTheme="majorHAnsi" w:cstheme="majorHAnsi"/>
          <w:i/>
          <w:iCs/>
          <w:color w:val="44546A" w:themeColor="text2"/>
          <w:sz w:val="22"/>
          <w:szCs w:val="22"/>
          <w:lang w:val="en-US"/>
        </w:rPr>
        <w:fldChar w:fldCharType="separate"/>
      </w:r>
      <w:r w:rsidR="00D6133D">
        <w:rPr>
          <w:rFonts w:asciiTheme="majorHAnsi" w:hAnsiTheme="majorHAnsi" w:cstheme="majorHAnsi"/>
          <w:i/>
          <w:iCs/>
          <w:noProof/>
          <w:color w:val="44546A" w:themeColor="text2"/>
          <w:sz w:val="22"/>
          <w:szCs w:val="22"/>
          <w:lang w:val="en-US"/>
        </w:rPr>
        <w:t>40</w:t>
      </w:r>
      <w:r w:rsidRPr="00D354DC">
        <w:rPr>
          <w:rFonts w:asciiTheme="majorHAnsi" w:hAnsiTheme="majorHAnsi" w:cstheme="majorHAnsi"/>
          <w:i/>
          <w:iCs/>
          <w:color w:val="44546A" w:themeColor="text2"/>
          <w:sz w:val="22"/>
          <w:szCs w:val="22"/>
          <w:lang w:val="en-US"/>
        </w:rPr>
        <w:fldChar w:fldCharType="end"/>
      </w:r>
      <w:r w:rsidRPr="00D354DC">
        <w:rPr>
          <w:rFonts w:asciiTheme="majorHAnsi" w:hAnsiTheme="majorHAnsi" w:cstheme="majorHAnsi"/>
          <w:i/>
          <w:iCs/>
          <w:color w:val="44546A" w:themeColor="text2"/>
          <w:sz w:val="22"/>
          <w:szCs w:val="22"/>
          <w:lang w:val="en-US"/>
        </w:rPr>
        <w:t>. Distribution of BEST and Non-BEST Schools by Region</w:t>
      </w:r>
      <w:bookmarkEnd w:id="238"/>
      <w:r w:rsidRPr="00D354DC">
        <w:rPr>
          <w:rFonts w:asciiTheme="majorHAnsi" w:hAnsiTheme="majorHAnsi" w:cstheme="majorHAnsi"/>
          <w:i/>
          <w:iCs/>
          <w:color w:val="44546A" w:themeColor="text2"/>
          <w:sz w:val="22"/>
          <w:szCs w:val="22"/>
          <w:lang w:val="en-US"/>
        </w:rPr>
        <w:t xml:space="preserve"> (n=106)</w:t>
      </w:r>
      <w:bookmarkEnd w:id="239"/>
    </w:p>
    <w:tbl>
      <w:tblPr>
        <w:tblStyle w:val="TableGrid11"/>
        <w:tblW w:w="6390" w:type="dxa"/>
        <w:tblLayout w:type="fixed"/>
        <w:tblLook w:val="04A0" w:firstRow="1" w:lastRow="0" w:firstColumn="1" w:lastColumn="0" w:noHBand="0" w:noVBand="1"/>
      </w:tblPr>
      <w:tblGrid>
        <w:gridCol w:w="1915"/>
        <w:gridCol w:w="1491"/>
        <w:gridCol w:w="1492"/>
        <w:gridCol w:w="1492"/>
      </w:tblGrid>
      <w:tr w:rsidR="00876C11" w:rsidRPr="00173FD6" w14:paraId="153025FD" w14:textId="77777777" w:rsidTr="00F4751F">
        <w:trPr>
          <w:trHeight w:val="286"/>
          <w:tblHeader/>
        </w:trPr>
        <w:tc>
          <w:tcPr>
            <w:tcW w:w="1915" w:type="dxa"/>
            <w:noWrap/>
          </w:tcPr>
          <w:p w14:paraId="7DC46BD4" w14:textId="77777777" w:rsidR="00876C11" w:rsidRPr="00876C11" w:rsidRDefault="00876C11" w:rsidP="005902F7">
            <w:pPr>
              <w:spacing w:before="100" w:beforeAutospacing="1" w:after="100" w:afterAutospacing="1" w:line="360" w:lineRule="auto"/>
              <w:rPr>
                <w:rFonts w:asciiTheme="majorHAnsi" w:hAnsiTheme="majorHAnsi" w:cstheme="majorHAnsi"/>
                <w:b/>
                <w:bCs/>
                <w:color w:val="000000"/>
                <w:sz w:val="22"/>
                <w:szCs w:val="22"/>
                <w:lang w:val="en-US"/>
              </w:rPr>
            </w:pPr>
          </w:p>
        </w:tc>
        <w:tc>
          <w:tcPr>
            <w:tcW w:w="1491" w:type="dxa"/>
            <w:noWrap/>
          </w:tcPr>
          <w:p w14:paraId="7369AABC" w14:textId="4FF5B329" w:rsidR="00876C11" w:rsidRPr="00876C11" w:rsidRDefault="00876C11" w:rsidP="005902F7">
            <w:pPr>
              <w:spacing w:before="100" w:beforeAutospacing="1" w:after="100" w:afterAutospacing="1" w:line="360" w:lineRule="auto"/>
              <w:rPr>
                <w:rFonts w:asciiTheme="majorHAnsi" w:hAnsiTheme="majorHAnsi" w:cstheme="majorHAnsi"/>
                <w:b/>
                <w:bCs/>
                <w:color w:val="000000"/>
                <w:sz w:val="22"/>
                <w:szCs w:val="22"/>
                <w:lang w:val="en-US"/>
              </w:rPr>
            </w:pPr>
            <w:r w:rsidRPr="00876C11">
              <w:rPr>
                <w:rFonts w:asciiTheme="majorHAnsi" w:hAnsiTheme="majorHAnsi" w:cstheme="majorHAnsi"/>
                <w:b/>
                <w:bCs/>
                <w:color w:val="000000"/>
                <w:sz w:val="22"/>
                <w:szCs w:val="22"/>
                <w:lang w:val="en-US"/>
              </w:rPr>
              <w:t>Study Sample</w:t>
            </w:r>
          </w:p>
        </w:tc>
        <w:tc>
          <w:tcPr>
            <w:tcW w:w="1492" w:type="dxa"/>
            <w:noWrap/>
          </w:tcPr>
          <w:p w14:paraId="37C7DEEA" w14:textId="1401B854" w:rsidR="00876C11" w:rsidRPr="00876C11" w:rsidRDefault="00876C11" w:rsidP="005902F7">
            <w:pPr>
              <w:spacing w:before="100" w:beforeAutospacing="1" w:after="100" w:afterAutospacing="1" w:line="360" w:lineRule="auto"/>
              <w:rPr>
                <w:rFonts w:asciiTheme="majorHAnsi" w:hAnsiTheme="majorHAnsi" w:cstheme="majorHAnsi"/>
                <w:b/>
                <w:bCs/>
                <w:color w:val="000000"/>
                <w:sz w:val="22"/>
                <w:szCs w:val="22"/>
                <w:lang w:val="en-US"/>
              </w:rPr>
            </w:pPr>
            <w:r w:rsidRPr="00876C11">
              <w:rPr>
                <w:rFonts w:asciiTheme="majorHAnsi" w:hAnsiTheme="majorHAnsi" w:cstheme="majorHAnsi"/>
                <w:b/>
                <w:bCs/>
                <w:color w:val="000000"/>
                <w:sz w:val="22"/>
                <w:szCs w:val="22"/>
                <w:lang w:val="en-US"/>
              </w:rPr>
              <w:t>Study Sample</w:t>
            </w:r>
          </w:p>
        </w:tc>
        <w:tc>
          <w:tcPr>
            <w:tcW w:w="1492" w:type="dxa"/>
          </w:tcPr>
          <w:p w14:paraId="09BF9126" w14:textId="6C1FAE34" w:rsidR="00876C11" w:rsidRPr="00876C11" w:rsidRDefault="00876C11" w:rsidP="005902F7">
            <w:pPr>
              <w:spacing w:before="100" w:beforeAutospacing="1" w:after="100" w:afterAutospacing="1" w:line="360" w:lineRule="auto"/>
              <w:rPr>
                <w:rFonts w:asciiTheme="majorHAnsi" w:hAnsiTheme="majorHAnsi" w:cstheme="majorHAnsi"/>
                <w:b/>
                <w:bCs/>
                <w:color w:val="000000"/>
                <w:sz w:val="22"/>
                <w:szCs w:val="22"/>
                <w:lang w:val="en-US"/>
              </w:rPr>
            </w:pPr>
          </w:p>
        </w:tc>
      </w:tr>
      <w:tr w:rsidR="00876C11" w:rsidRPr="00173FD6" w14:paraId="0ABB3909" w14:textId="77777777" w:rsidTr="00876C11">
        <w:trPr>
          <w:trHeight w:val="286"/>
        </w:trPr>
        <w:tc>
          <w:tcPr>
            <w:tcW w:w="1915" w:type="dxa"/>
            <w:noWrap/>
          </w:tcPr>
          <w:p w14:paraId="6916903F" w14:textId="7B932B58" w:rsidR="00876C11" w:rsidRPr="00876C11" w:rsidRDefault="00876C11" w:rsidP="005902F7">
            <w:pPr>
              <w:spacing w:before="100" w:beforeAutospacing="1" w:after="100" w:afterAutospacing="1" w:line="360" w:lineRule="auto"/>
              <w:rPr>
                <w:rFonts w:asciiTheme="majorHAnsi" w:hAnsiTheme="majorHAnsi" w:cstheme="majorHAnsi"/>
                <w:b/>
                <w:bCs/>
                <w:color w:val="000000"/>
                <w:sz w:val="22"/>
                <w:szCs w:val="22"/>
                <w:lang w:val="en-US"/>
              </w:rPr>
            </w:pPr>
            <w:r w:rsidRPr="00876C11">
              <w:rPr>
                <w:rFonts w:asciiTheme="majorHAnsi" w:hAnsiTheme="majorHAnsi" w:cstheme="majorHAnsi"/>
                <w:b/>
                <w:bCs/>
                <w:color w:val="000000"/>
                <w:sz w:val="22"/>
                <w:szCs w:val="22"/>
                <w:lang w:val="en-US"/>
              </w:rPr>
              <w:t>Region</w:t>
            </w:r>
          </w:p>
        </w:tc>
        <w:tc>
          <w:tcPr>
            <w:tcW w:w="1491" w:type="dxa"/>
            <w:noWrap/>
          </w:tcPr>
          <w:p w14:paraId="21A8BB2C" w14:textId="6CCB0AAB" w:rsidR="00876C11" w:rsidRPr="00876C11" w:rsidRDefault="00876C11" w:rsidP="005902F7">
            <w:pPr>
              <w:spacing w:before="100" w:beforeAutospacing="1" w:after="100" w:afterAutospacing="1" w:line="360" w:lineRule="auto"/>
              <w:rPr>
                <w:rFonts w:asciiTheme="majorHAnsi" w:hAnsiTheme="majorHAnsi" w:cstheme="majorHAnsi"/>
                <w:b/>
                <w:bCs/>
                <w:color w:val="000000"/>
                <w:sz w:val="22"/>
                <w:szCs w:val="22"/>
                <w:lang w:val="en-US"/>
              </w:rPr>
            </w:pPr>
            <w:r w:rsidRPr="00876C11">
              <w:rPr>
                <w:rFonts w:asciiTheme="majorHAnsi" w:hAnsiTheme="majorHAnsi" w:cstheme="majorHAnsi"/>
                <w:b/>
                <w:bCs/>
                <w:color w:val="000000"/>
                <w:sz w:val="22"/>
                <w:szCs w:val="22"/>
                <w:lang w:val="en-US"/>
              </w:rPr>
              <w:t>BEST</w:t>
            </w:r>
          </w:p>
        </w:tc>
        <w:tc>
          <w:tcPr>
            <w:tcW w:w="1492" w:type="dxa"/>
            <w:noWrap/>
          </w:tcPr>
          <w:p w14:paraId="61214B3E" w14:textId="6F049937" w:rsidR="00876C11" w:rsidRPr="00876C11" w:rsidRDefault="00876C11" w:rsidP="005902F7">
            <w:pPr>
              <w:spacing w:before="100" w:beforeAutospacing="1" w:after="100" w:afterAutospacing="1" w:line="360" w:lineRule="auto"/>
              <w:rPr>
                <w:rFonts w:asciiTheme="majorHAnsi" w:hAnsiTheme="majorHAnsi" w:cstheme="majorHAnsi"/>
                <w:b/>
                <w:bCs/>
                <w:color w:val="000000"/>
                <w:sz w:val="22"/>
                <w:szCs w:val="22"/>
                <w:lang w:val="en-US"/>
              </w:rPr>
            </w:pPr>
            <w:r w:rsidRPr="00876C11">
              <w:rPr>
                <w:rFonts w:asciiTheme="majorHAnsi" w:hAnsiTheme="majorHAnsi" w:cstheme="majorHAnsi"/>
                <w:b/>
                <w:bCs/>
                <w:color w:val="000000"/>
                <w:sz w:val="22"/>
                <w:szCs w:val="22"/>
                <w:lang w:val="en-US"/>
              </w:rPr>
              <w:t>Non-BEST</w:t>
            </w:r>
          </w:p>
        </w:tc>
        <w:tc>
          <w:tcPr>
            <w:tcW w:w="1492" w:type="dxa"/>
          </w:tcPr>
          <w:p w14:paraId="55507592" w14:textId="560F2220" w:rsidR="00876C11" w:rsidRPr="00876C11" w:rsidRDefault="00876C11" w:rsidP="005902F7">
            <w:pPr>
              <w:spacing w:before="100" w:beforeAutospacing="1" w:after="100" w:afterAutospacing="1" w:line="360" w:lineRule="auto"/>
              <w:rPr>
                <w:rFonts w:asciiTheme="majorHAnsi" w:hAnsiTheme="majorHAnsi" w:cstheme="majorHAnsi"/>
                <w:b/>
                <w:bCs/>
                <w:color w:val="000000"/>
                <w:sz w:val="22"/>
                <w:szCs w:val="22"/>
                <w:lang w:val="en-US"/>
              </w:rPr>
            </w:pPr>
            <w:r w:rsidRPr="00876C11">
              <w:rPr>
                <w:rFonts w:asciiTheme="majorHAnsi" w:hAnsiTheme="majorHAnsi" w:cstheme="majorHAnsi"/>
                <w:b/>
                <w:bCs/>
                <w:color w:val="000000"/>
                <w:sz w:val="22"/>
                <w:szCs w:val="22"/>
                <w:lang w:val="en-US"/>
              </w:rPr>
              <w:t>Total</w:t>
            </w:r>
          </w:p>
        </w:tc>
      </w:tr>
      <w:tr w:rsidR="008D0CAD" w:rsidRPr="00173FD6" w14:paraId="662FBB37" w14:textId="77777777" w:rsidTr="00876C11">
        <w:trPr>
          <w:trHeight w:val="286"/>
        </w:trPr>
        <w:tc>
          <w:tcPr>
            <w:tcW w:w="1915" w:type="dxa"/>
            <w:noWrap/>
            <w:hideMark/>
          </w:tcPr>
          <w:p w14:paraId="5F54001A" w14:textId="77777777" w:rsidR="008D0CAD" w:rsidRPr="00173FD6" w:rsidRDefault="008D0CAD" w:rsidP="005902F7">
            <w:pPr>
              <w:spacing w:before="100" w:beforeAutospacing="1" w:after="100" w:afterAutospacing="1" w:line="360" w:lineRule="auto"/>
              <w:rPr>
                <w:rFonts w:asciiTheme="majorHAnsi" w:hAnsiTheme="majorHAnsi" w:cstheme="majorHAnsi"/>
                <w:color w:val="000000"/>
                <w:sz w:val="22"/>
                <w:szCs w:val="22"/>
                <w:lang w:val="en-US"/>
              </w:rPr>
            </w:pPr>
            <w:r w:rsidRPr="00173FD6">
              <w:rPr>
                <w:rFonts w:asciiTheme="majorHAnsi" w:hAnsiTheme="majorHAnsi" w:cstheme="majorHAnsi"/>
                <w:color w:val="000000"/>
                <w:sz w:val="22"/>
                <w:szCs w:val="22"/>
                <w:lang w:val="en-US"/>
              </w:rPr>
              <w:t>NCR</w:t>
            </w:r>
          </w:p>
        </w:tc>
        <w:tc>
          <w:tcPr>
            <w:tcW w:w="1491" w:type="dxa"/>
            <w:noWrap/>
            <w:hideMark/>
          </w:tcPr>
          <w:p w14:paraId="3494CF3F" w14:textId="77777777" w:rsidR="008D0CAD" w:rsidRPr="00173FD6" w:rsidRDefault="008D0CAD" w:rsidP="005902F7">
            <w:pPr>
              <w:spacing w:before="100" w:beforeAutospacing="1" w:after="100" w:afterAutospacing="1" w:line="360" w:lineRule="auto"/>
              <w:rPr>
                <w:rFonts w:asciiTheme="majorHAnsi" w:hAnsiTheme="majorHAnsi" w:cstheme="majorHAnsi"/>
                <w:color w:val="000000"/>
                <w:sz w:val="22"/>
                <w:szCs w:val="22"/>
                <w:lang w:val="en-US"/>
              </w:rPr>
            </w:pPr>
            <w:r w:rsidRPr="00173FD6">
              <w:rPr>
                <w:rFonts w:asciiTheme="majorHAnsi" w:hAnsiTheme="majorHAnsi" w:cstheme="majorHAnsi"/>
                <w:color w:val="000000"/>
                <w:sz w:val="22"/>
                <w:szCs w:val="22"/>
                <w:lang w:val="en-US"/>
              </w:rPr>
              <w:t>16</w:t>
            </w:r>
          </w:p>
        </w:tc>
        <w:tc>
          <w:tcPr>
            <w:tcW w:w="1492" w:type="dxa"/>
            <w:noWrap/>
            <w:hideMark/>
          </w:tcPr>
          <w:p w14:paraId="4BDF69A5" w14:textId="77777777" w:rsidR="008D0CAD" w:rsidRPr="00173FD6" w:rsidRDefault="008D0CAD" w:rsidP="005902F7">
            <w:pPr>
              <w:spacing w:before="100" w:beforeAutospacing="1" w:after="100" w:afterAutospacing="1" w:line="360" w:lineRule="auto"/>
              <w:rPr>
                <w:rFonts w:asciiTheme="majorHAnsi" w:hAnsiTheme="majorHAnsi" w:cstheme="majorHAnsi"/>
                <w:color w:val="000000"/>
                <w:sz w:val="22"/>
                <w:szCs w:val="22"/>
                <w:lang w:val="en-US"/>
              </w:rPr>
            </w:pPr>
            <w:r w:rsidRPr="00173FD6">
              <w:rPr>
                <w:rFonts w:asciiTheme="majorHAnsi" w:hAnsiTheme="majorHAnsi" w:cstheme="majorHAnsi"/>
                <w:color w:val="000000"/>
                <w:sz w:val="22"/>
                <w:szCs w:val="22"/>
                <w:lang w:val="en-US"/>
              </w:rPr>
              <w:t>5</w:t>
            </w:r>
          </w:p>
        </w:tc>
        <w:tc>
          <w:tcPr>
            <w:tcW w:w="1492" w:type="dxa"/>
          </w:tcPr>
          <w:p w14:paraId="54E4BCE7" w14:textId="77777777" w:rsidR="008D0CAD" w:rsidRPr="00173FD6" w:rsidRDefault="008D0CAD" w:rsidP="005902F7">
            <w:pPr>
              <w:spacing w:before="100" w:beforeAutospacing="1" w:after="100" w:afterAutospacing="1" w:line="360" w:lineRule="auto"/>
              <w:rPr>
                <w:rFonts w:asciiTheme="majorHAnsi" w:hAnsiTheme="majorHAnsi" w:cstheme="majorHAnsi"/>
                <w:color w:val="000000"/>
                <w:sz w:val="22"/>
                <w:szCs w:val="22"/>
                <w:lang w:val="en-US"/>
              </w:rPr>
            </w:pPr>
            <w:r w:rsidRPr="00173FD6">
              <w:rPr>
                <w:rFonts w:asciiTheme="majorHAnsi" w:hAnsiTheme="majorHAnsi" w:cstheme="majorHAnsi"/>
                <w:color w:val="000000"/>
                <w:sz w:val="22"/>
                <w:szCs w:val="22"/>
                <w:lang w:val="en-US"/>
              </w:rPr>
              <w:t>21</w:t>
            </w:r>
          </w:p>
        </w:tc>
      </w:tr>
      <w:tr w:rsidR="008D0CAD" w:rsidRPr="00173FD6" w14:paraId="1DA8DC46" w14:textId="77777777" w:rsidTr="00876C11">
        <w:trPr>
          <w:trHeight w:val="286"/>
        </w:trPr>
        <w:tc>
          <w:tcPr>
            <w:tcW w:w="1915" w:type="dxa"/>
            <w:noWrap/>
            <w:hideMark/>
          </w:tcPr>
          <w:p w14:paraId="502E09E4" w14:textId="77777777" w:rsidR="008D0CAD" w:rsidRPr="00173FD6" w:rsidRDefault="008D0CAD" w:rsidP="005902F7">
            <w:pPr>
              <w:spacing w:before="100" w:beforeAutospacing="1" w:after="100" w:afterAutospacing="1" w:line="360" w:lineRule="auto"/>
              <w:rPr>
                <w:rFonts w:asciiTheme="majorHAnsi" w:hAnsiTheme="majorHAnsi" w:cstheme="majorHAnsi"/>
                <w:color w:val="000000"/>
                <w:sz w:val="22"/>
                <w:szCs w:val="22"/>
                <w:lang w:val="en-US"/>
              </w:rPr>
            </w:pPr>
            <w:r w:rsidRPr="00173FD6">
              <w:rPr>
                <w:rFonts w:asciiTheme="majorHAnsi" w:hAnsiTheme="majorHAnsi" w:cstheme="majorHAnsi"/>
                <w:color w:val="000000"/>
                <w:sz w:val="22"/>
                <w:szCs w:val="22"/>
                <w:lang w:val="en-US"/>
              </w:rPr>
              <w:t>Region 5</w:t>
            </w:r>
          </w:p>
        </w:tc>
        <w:tc>
          <w:tcPr>
            <w:tcW w:w="1491" w:type="dxa"/>
            <w:noWrap/>
            <w:hideMark/>
          </w:tcPr>
          <w:p w14:paraId="113E52A9" w14:textId="77777777" w:rsidR="008D0CAD" w:rsidRPr="00173FD6" w:rsidRDefault="008D0CAD" w:rsidP="005902F7">
            <w:pPr>
              <w:spacing w:before="100" w:beforeAutospacing="1" w:after="100" w:afterAutospacing="1" w:line="360" w:lineRule="auto"/>
              <w:rPr>
                <w:rFonts w:asciiTheme="majorHAnsi" w:hAnsiTheme="majorHAnsi" w:cstheme="majorHAnsi"/>
                <w:color w:val="000000"/>
                <w:sz w:val="22"/>
                <w:szCs w:val="22"/>
                <w:lang w:val="en-US"/>
              </w:rPr>
            </w:pPr>
            <w:r w:rsidRPr="00173FD6">
              <w:rPr>
                <w:rFonts w:asciiTheme="majorHAnsi" w:hAnsiTheme="majorHAnsi" w:cstheme="majorHAnsi"/>
                <w:color w:val="000000"/>
                <w:sz w:val="22"/>
                <w:szCs w:val="22"/>
                <w:lang w:val="en-US"/>
              </w:rPr>
              <w:t>17</w:t>
            </w:r>
          </w:p>
        </w:tc>
        <w:tc>
          <w:tcPr>
            <w:tcW w:w="1492" w:type="dxa"/>
            <w:noWrap/>
            <w:hideMark/>
          </w:tcPr>
          <w:p w14:paraId="1EF5E747" w14:textId="77777777" w:rsidR="008D0CAD" w:rsidRPr="00173FD6" w:rsidRDefault="008D0CAD" w:rsidP="005902F7">
            <w:pPr>
              <w:spacing w:before="100" w:beforeAutospacing="1" w:after="100" w:afterAutospacing="1" w:line="360" w:lineRule="auto"/>
              <w:rPr>
                <w:rFonts w:asciiTheme="majorHAnsi" w:hAnsiTheme="majorHAnsi" w:cstheme="majorHAnsi"/>
                <w:color w:val="000000"/>
                <w:sz w:val="22"/>
                <w:szCs w:val="22"/>
                <w:lang w:val="en-US"/>
              </w:rPr>
            </w:pPr>
            <w:r w:rsidRPr="00173FD6">
              <w:rPr>
                <w:rFonts w:asciiTheme="majorHAnsi" w:hAnsiTheme="majorHAnsi" w:cstheme="majorHAnsi"/>
                <w:color w:val="000000"/>
                <w:sz w:val="22"/>
                <w:szCs w:val="22"/>
                <w:lang w:val="en-US"/>
              </w:rPr>
              <w:t>4</w:t>
            </w:r>
          </w:p>
        </w:tc>
        <w:tc>
          <w:tcPr>
            <w:tcW w:w="1492" w:type="dxa"/>
          </w:tcPr>
          <w:p w14:paraId="5AB64604" w14:textId="77777777" w:rsidR="008D0CAD" w:rsidRPr="00173FD6" w:rsidRDefault="008D0CAD" w:rsidP="005902F7">
            <w:pPr>
              <w:spacing w:before="100" w:beforeAutospacing="1" w:after="100" w:afterAutospacing="1" w:line="360" w:lineRule="auto"/>
              <w:rPr>
                <w:rFonts w:asciiTheme="majorHAnsi" w:hAnsiTheme="majorHAnsi" w:cstheme="majorHAnsi"/>
                <w:color w:val="000000"/>
                <w:sz w:val="22"/>
                <w:szCs w:val="22"/>
                <w:lang w:val="en-US"/>
              </w:rPr>
            </w:pPr>
            <w:r w:rsidRPr="00173FD6">
              <w:rPr>
                <w:rFonts w:asciiTheme="majorHAnsi" w:hAnsiTheme="majorHAnsi" w:cstheme="majorHAnsi"/>
                <w:color w:val="000000"/>
                <w:sz w:val="22"/>
                <w:szCs w:val="22"/>
                <w:lang w:val="en-US"/>
              </w:rPr>
              <w:t>21</w:t>
            </w:r>
          </w:p>
        </w:tc>
      </w:tr>
      <w:tr w:rsidR="008D0CAD" w:rsidRPr="00173FD6" w14:paraId="6DEDCC5B" w14:textId="77777777" w:rsidTr="00876C11">
        <w:trPr>
          <w:trHeight w:val="286"/>
        </w:trPr>
        <w:tc>
          <w:tcPr>
            <w:tcW w:w="1915" w:type="dxa"/>
            <w:noWrap/>
            <w:hideMark/>
          </w:tcPr>
          <w:p w14:paraId="72173494" w14:textId="77777777" w:rsidR="008D0CAD" w:rsidRPr="00173FD6" w:rsidRDefault="008D0CAD" w:rsidP="005902F7">
            <w:pPr>
              <w:spacing w:before="100" w:beforeAutospacing="1" w:after="100" w:afterAutospacing="1" w:line="360" w:lineRule="auto"/>
              <w:rPr>
                <w:rFonts w:asciiTheme="majorHAnsi" w:hAnsiTheme="majorHAnsi" w:cstheme="majorHAnsi"/>
                <w:color w:val="000000"/>
                <w:sz w:val="22"/>
                <w:szCs w:val="22"/>
                <w:lang w:val="en-US"/>
              </w:rPr>
            </w:pPr>
            <w:r w:rsidRPr="00173FD6">
              <w:rPr>
                <w:rFonts w:asciiTheme="majorHAnsi" w:hAnsiTheme="majorHAnsi" w:cstheme="majorHAnsi"/>
                <w:color w:val="000000"/>
                <w:sz w:val="22"/>
                <w:szCs w:val="22"/>
                <w:lang w:val="en-US"/>
              </w:rPr>
              <w:t>Region 6</w:t>
            </w:r>
          </w:p>
        </w:tc>
        <w:tc>
          <w:tcPr>
            <w:tcW w:w="1491" w:type="dxa"/>
            <w:noWrap/>
            <w:hideMark/>
          </w:tcPr>
          <w:p w14:paraId="7F491915" w14:textId="77777777" w:rsidR="008D0CAD" w:rsidRPr="00173FD6" w:rsidRDefault="008D0CAD" w:rsidP="005902F7">
            <w:pPr>
              <w:spacing w:before="100" w:beforeAutospacing="1" w:after="100" w:afterAutospacing="1" w:line="360" w:lineRule="auto"/>
              <w:rPr>
                <w:rFonts w:asciiTheme="majorHAnsi" w:hAnsiTheme="majorHAnsi" w:cstheme="majorHAnsi"/>
                <w:color w:val="000000"/>
                <w:sz w:val="22"/>
                <w:szCs w:val="22"/>
                <w:lang w:val="en-US"/>
              </w:rPr>
            </w:pPr>
            <w:r w:rsidRPr="00173FD6">
              <w:rPr>
                <w:rFonts w:asciiTheme="majorHAnsi" w:hAnsiTheme="majorHAnsi" w:cstheme="majorHAnsi"/>
                <w:color w:val="000000"/>
                <w:sz w:val="22"/>
                <w:szCs w:val="22"/>
                <w:lang w:val="en-US"/>
              </w:rPr>
              <w:t>11</w:t>
            </w:r>
          </w:p>
        </w:tc>
        <w:tc>
          <w:tcPr>
            <w:tcW w:w="1492" w:type="dxa"/>
            <w:noWrap/>
            <w:hideMark/>
          </w:tcPr>
          <w:p w14:paraId="32543CA1" w14:textId="77777777" w:rsidR="008D0CAD" w:rsidRPr="00173FD6" w:rsidRDefault="008D0CAD" w:rsidP="005902F7">
            <w:pPr>
              <w:spacing w:before="100" w:beforeAutospacing="1" w:after="100" w:afterAutospacing="1" w:line="360" w:lineRule="auto"/>
              <w:rPr>
                <w:rFonts w:asciiTheme="majorHAnsi" w:hAnsiTheme="majorHAnsi" w:cstheme="majorHAnsi"/>
                <w:color w:val="000000"/>
                <w:sz w:val="22"/>
                <w:szCs w:val="22"/>
                <w:lang w:val="en-US"/>
              </w:rPr>
            </w:pPr>
            <w:r w:rsidRPr="00173FD6">
              <w:rPr>
                <w:rFonts w:asciiTheme="majorHAnsi" w:hAnsiTheme="majorHAnsi" w:cstheme="majorHAnsi"/>
                <w:color w:val="000000"/>
                <w:sz w:val="22"/>
                <w:szCs w:val="22"/>
                <w:lang w:val="en-US"/>
              </w:rPr>
              <w:t>4</w:t>
            </w:r>
          </w:p>
        </w:tc>
        <w:tc>
          <w:tcPr>
            <w:tcW w:w="1492" w:type="dxa"/>
          </w:tcPr>
          <w:p w14:paraId="64A6CC05" w14:textId="77777777" w:rsidR="008D0CAD" w:rsidRPr="00173FD6" w:rsidRDefault="008D0CAD" w:rsidP="005902F7">
            <w:pPr>
              <w:spacing w:before="100" w:beforeAutospacing="1" w:after="100" w:afterAutospacing="1" w:line="360" w:lineRule="auto"/>
              <w:rPr>
                <w:rFonts w:asciiTheme="majorHAnsi" w:hAnsiTheme="majorHAnsi" w:cstheme="majorHAnsi"/>
                <w:color w:val="000000"/>
                <w:sz w:val="22"/>
                <w:szCs w:val="22"/>
                <w:lang w:val="en-US"/>
              </w:rPr>
            </w:pPr>
            <w:r w:rsidRPr="00173FD6">
              <w:rPr>
                <w:rFonts w:asciiTheme="majorHAnsi" w:hAnsiTheme="majorHAnsi" w:cstheme="majorHAnsi"/>
                <w:color w:val="000000"/>
                <w:sz w:val="22"/>
                <w:szCs w:val="22"/>
                <w:lang w:val="en-US"/>
              </w:rPr>
              <w:t>15</w:t>
            </w:r>
          </w:p>
        </w:tc>
      </w:tr>
      <w:tr w:rsidR="008D0CAD" w:rsidRPr="00173FD6" w14:paraId="085A0265" w14:textId="77777777" w:rsidTr="00876C11">
        <w:trPr>
          <w:trHeight w:val="286"/>
        </w:trPr>
        <w:tc>
          <w:tcPr>
            <w:tcW w:w="1915" w:type="dxa"/>
            <w:noWrap/>
            <w:hideMark/>
          </w:tcPr>
          <w:p w14:paraId="56C5B884" w14:textId="77777777" w:rsidR="008D0CAD" w:rsidRPr="00173FD6" w:rsidRDefault="008D0CAD" w:rsidP="005902F7">
            <w:pPr>
              <w:spacing w:before="100" w:beforeAutospacing="1" w:after="100" w:afterAutospacing="1" w:line="360" w:lineRule="auto"/>
              <w:rPr>
                <w:rFonts w:asciiTheme="majorHAnsi" w:hAnsiTheme="majorHAnsi" w:cstheme="majorHAnsi"/>
                <w:color w:val="000000"/>
                <w:sz w:val="22"/>
                <w:szCs w:val="22"/>
                <w:lang w:val="en-US"/>
              </w:rPr>
            </w:pPr>
            <w:r w:rsidRPr="00173FD6">
              <w:rPr>
                <w:rFonts w:asciiTheme="majorHAnsi" w:hAnsiTheme="majorHAnsi" w:cstheme="majorHAnsi"/>
                <w:color w:val="000000"/>
                <w:sz w:val="22"/>
                <w:szCs w:val="22"/>
                <w:lang w:val="en-US"/>
              </w:rPr>
              <w:t>Region 7</w:t>
            </w:r>
          </w:p>
        </w:tc>
        <w:tc>
          <w:tcPr>
            <w:tcW w:w="1491" w:type="dxa"/>
            <w:noWrap/>
            <w:hideMark/>
          </w:tcPr>
          <w:p w14:paraId="7A448AB9" w14:textId="77777777" w:rsidR="008D0CAD" w:rsidRPr="00173FD6" w:rsidRDefault="008D0CAD" w:rsidP="005902F7">
            <w:pPr>
              <w:spacing w:before="100" w:beforeAutospacing="1" w:after="100" w:afterAutospacing="1" w:line="360" w:lineRule="auto"/>
              <w:rPr>
                <w:rFonts w:asciiTheme="majorHAnsi" w:hAnsiTheme="majorHAnsi" w:cstheme="majorHAnsi"/>
                <w:color w:val="000000"/>
                <w:sz w:val="22"/>
                <w:szCs w:val="22"/>
                <w:lang w:val="en-US"/>
              </w:rPr>
            </w:pPr>
            <w:r w:rsidRPr="00173FD6">
              <w:rPr>
                <w:rFonts w:asciiTheme="majorHAnsi" w:hAnsiTheme="majorHAnsi" w:cstheme="majorHAnsi"/>
                <w:color w:val="000000"/>
                <w:sz w:val="22"/>
                <w:szCs w:val="22"/>
                <w:lang w:val="en-US"/>
              </w:rPr>
              <w:t>11</w:t>
            </w:r>
          </w:p>
        </w:tc>
        <w:tc>
          <w:tcPr>
            <w:tcW w:w="1492" w:type="dxa"/>
            <w:noWrap/>
            <w:hideMark/>
          </w:tcPr>
          <w:p w14:paraId="328AD531" w14:textId="77777777" w:rsidR="008D0CAD" w:rsidRPr="00173FD6" w:rsidRDefault="008D0CAD" w:rsidP="005902F7">
            <w:pPr>
              <w:spacing w:before="100" w:beforeAutospacing="1" w:after="100" w:afterAutospacing="1" w:line="360" w:lineRule="auto"/>
              <w:rPr>
                <w:rFonts w:asciiTheme="majorHAnsi" w:hAnsiTheme="majorHAnsi" w:cstheme="majorHAnsi"/>
                <w:color w:val="000000"/>
                <w:sz w:val="22"/>
                <w:szCs w:val="22"/>
                <w:lang w:val="en-US"/>
              </w:rPr>
            </w:pPr>
            <w:r w:rsidRPr="00173FD6">
              <w:rPr>
                <w:rFonts w:asciiTheme="majorHAnsi" w:hAnsiTheme="majorHAnsi" w:cstheme="majorHAnsi"/>
                <w:color w:val="000000"/>
                <w:sz w:val="22"/>
                <w:szCs w:val="22"/>
                <w:lang w:val="en-US"/>
              </w:rPr>
              <w:t>5</w:t>
            </w:r>
          </w:p>
        </w:tc>
        <w:tc>
          <w:tcPr>
            <w:tcW w:w="1492" w:type="dxa"/>
          </w:tcPr>
          <w:p w14:paraId="1321878E" w14:textId="77777777" w:rsidR="008D0CAD" w:rsidRPr="00173FD6" w:rsidRDefault="008D0CAD" w:rsidP="005902F7">
            <w:pPr>
              <w:spacing w:before="100" w:beforeAutospacing="1" w:after="100" w:afterAutospacing="1" w:line="360" w:lineRule="auto"/>
              <w:rPr>
                <w:rFonts w:asciiTheme="majorHAnsi" w:hAnsiTheme="majorHAnsi" w:cstheme="majorHAnsi"/>
                <w:color w:val="000000"/>
                <w:sz w:val="22"/>
                <w:szCs w:val="22"/>
                <w:lang w:val="en-US"/>
              </w:rPr>
            </w:pPr>
            <w:r w:rsidRPr="00173FD6">
              <w:rPr>
                <w:rFonts w:asciiTheme="majorHAnsi" w:hAnsiTheme="majorHAnsi" w:cstheme="majorHAnsi"/>
                <w:color w:val="000000"/>
                <w:sz w:val="22"/>
                <w:szCs w:val="22"/>
                <w:lang w:val="en-US"/>
              </w:rPr>
              <w:t>16</w:t>
            </w:r>
          </w:p>
        </w:tc>
      </w:tr>
      <w:tr w:rsidR="008D0CAD" w:rsidRPr="00173FD6" w14:paraId="0A9BB2B3" w14:textId="77777777" w:rsidTr="00876C11">
        <w:trPr>
          <w:trHeight w:val="286"/>
        </w:trPr>
        <w:tc>
          <w:tcPr>
            <w:tcW w:w="1915" w:type="dxa"/>
            <w:noWrap/>
            <w:hideMark/>
          </w:tcPr>
          <w:p w14:paraId="001A8BD3" w14:textId="77777777" w:rsidR="008D0CAD" w:rsidRPr="00173FD6" w:rsidRDefault="008D0CAD" w:rsidP="005902F7">
            <w:pPr>
              <w:spacing w:before="100" w:beforeAutospacing="1" w:after="100" w:afterAutospacing="1" w:line="360" w:lineRule="auto"/>
              <w:rPr>
                <w:rFonts w:asciiTheme="majorHAnsi" w:hAnsiTheme="majorHAnsi" w:cstheme="majorHAnsi"/>
                <w:color w:val="000000"/>
                <w:sz w:val="22"/>
                <w:szCs w:val="22"/>
                <w:lang w:val="en-US"/>
              </w:rPr>
            </w:pPr>
            <w:r w:rsidRPr="00173FD6">
              <w:rPr>
                <w:rFonts w:asciiTheme="majorHAnsi" w:hAnsiTheme="majorHAnsi" w:cstheme="majorHAnsi"/>
                <w:color w:val="000000"/>
                <w:sz w:val="22"/>
                <w:szCs w:val="22"/>
                <w:lang w:val="en-US"/>
              </w:rPr>
              <w:t>Region 8</w:t>
            </w:r>
          </w:p>
        </w:tc>
        <w:tc>
          <w:tcPr>
            <w:tcW w:w="1491" w:type="dxa"/>
            <w:noWrap/>
            <w:hideMark/>
          </w:tcPr>
          <w:p w14:paraId="1572DACC" w14:textId="77777777" w:rsidR="008D0CAD" w:rsidRPr="00173FD6" w:rsidRDefault="008D0CAD" w:rsidP="005902F7">
            <w:pPr>
              <w:spacing w:before="100" w:beforeAutospacing="1" w:after="100" w:afterAutospacing="1" w:line="360" w:lineRule="auto"/>
              <w:rPr>
                <w:rFonts w:asciiTheme="majorHAnsi" w:hAnsiTheme="majorHAnsi" w:cstheme="majorHAnsi"/>
                <w:color w:val="000000"/>
                <w:sz w:val="22"/>
                <w:szCs w:val="22"/>
                <w:lang w:val="en-US"/>
              </w:rPr>
            </w:pPr>
            <w:r w:rsidRPr="00173FD6">
              <w:rPr>
                <w:rFonts w:asciiTheme="majorHAnsi" w:hAnsiTheme="majorHAnsi" w:cstheme="majorHAnsi"/>
                <w:color w:val="000000"/>
                <w:sz w:val="22"/>
                <w:szCs w:val="22"/>
                <w:lang w:val="en-US"/>
              </w:rPr>
              <w:t>17</w:t>
            </w:r>
          </w:p>
        </w:tc>
        <w:tc>
          <w:tcPr>
            <w:tcW w:w="1492" w:type="dxa"/>
            <w:noWrap/>
            <w:hideMark/>
          </w:tcPr>
          <w:p w14:paraId="72407FFA" w14:textId="77777777" w:rsidR="008D0CAD" w:rsidRPr="00173FD6" w:rsidRDefault="008D0CAD" w:rsidP="005902F7">
            <w:pPr>
              <w:spacing w:before="100" w:beforeAutospacing="1" w:after="100" w:afterAutospacing="1" w:line="360" w:lineRule="auto"/>
              <w:rPr>
                <w:rFonts w:asciiTheme="majorHAnsi" w:hAnsiTheme="majorHAnsi" w:cstheme="majorHAnsi"/>
                <w:color w:val="000000"/>
                <w:sz w:val="22"/>
                <w:szCs w:val="22"/>
                <w:lang w:val="en-US"/>
              </w:rPr>
            </w:pPr>
            <w:r w:rsidRPr="00173FD6">
              <w:rPr>
                <w:rFonts w:asciiTheme="majorHAnsi" w:hAnsiTheme="majorHAnsi" w:cstheme="majorHAnsi"/>
                <w:color w:val="000000"/>
                <w:sz w:val="22"/>
                <w:szCs w:val="22"/>
                <w:lang w:val="en-US"/>
              </w:rPr>
              <w:t>5</w:t>
            </w:r>
          </w:p>
        </w:tc>
        <w:tc>
          <w:tcPr>
            <w:tcW w:w="1492" w:type="dxa"/>
          </w:tcPr>
          <w:p w14:paraId="2F7A870C" w14:textId="77777777" w:rsidR="008D0CAD" w:rsidRPr="00173FD6" w:rsidRDefault="008D0CAD" w:rsidP="005902F7">
            <w:pPr>
              <w:spacing w:before="100" w:beforeAutospacing="1" w:after="100" w:afterAutospacing="1" w:line="360" w:lineRule="auto"/>
              <w:rPr>
                <w:rFonts w:asciiTheme="majorHAnsi" w:hAnsiTheme="majorHAnsi" w:cstheme="majorHAnsi"/>
                <w:color w:val="000000"/>
                <w:sz w:val="22"/>
                <w:szCs w:val="22"/>
                <w:lang w:val="en-US"/>
              </w:rPr>
            </w:pPr>
            <w:r w:rsidRPr="00173FD6">
              <w:rPr>
                <w:rFonts w:asciiTheme="majorHAnsi" w:hAnsiTheme="majorHAnsi" w:cstheme="majorHAnsi"/>
                <w:color w:val="000000"/>
                <w:sz w:val="22"/>
                <w:szCs w:val="22"/>
                <w:lang w:val="en-US"/>
              </w:rPr>
              <w:t>22</w:t>
            </w:r>
          </w:p>
        </w:tc>
      </w:tr>
      <w:tr w:rsidR="008D0CAD" w:rsidRPr="00173FD6" w14:paraId="1147AF5A" w14:textId="77777777" w:rsidTr="00876C11">
        <w:trPr>
          <w:trHeight w:val="286"/>
        </w:trPr>
        <w:tc>
          <w:tcPr>
            <w:tcW w:w="1915" w:type="dxa"/>
            <w:noWrap/>
            <w:hideMark/>
          </w:tcPr>
          <w:p w14:paraId="1223409E" w14:textId="77777777" w:rsidR="008D0CAD" w:rsidRPr="00173FD6" w:rsidRDefault="008D0CAD" w:rsidP="005902F7">
            <w:pPr>
              <w:spacing w:before="100" w:beforeAutospacing="1" w:after="100" w:afterAutospacing="1" w:line="360" w:lineRule="auto"/>
              <w:rPr>
                <w:rFonts w:asciiTheme="majorHAnsi" w:hAnsiTheme="majorHAnsi" w:cstheme="majorHAnsi"/>
                <w:color w:val="000000"/>
                <w:sz w:val="22"/>
                <w:szCs w:val="22"/>
                <w:lang w:val="en-US"/>
              </w:rPr>
            </w:pPr>
            <w:r w:rsidRPr="00173FD6">
              <w:rPr>
                <w:rFonts w:asciiTheme="majorHAnsi" w:hAnsiTheme="majorHAnsi" w:cstheme="majorHAnsi"/>
                <w:color w:val="000000"/>
                <w:sz w:val="22"/>
                <w:szCs w:val="22"/>
                <w:lang w:val="en-US"/>
              </w:rPr>
              <w:t>Region 10</w:t>
            </w:r>
          </w:p>
        </w:tc>
        <w:tc>
          <w:tcPr>
            <w:tcW w:w="1491" w:type="dxa"/>
            <w:noWrap/>
            <w:hideMark/>
          </w:tcPr>
          <w:p w14:paraId="6D729ABA" w14:textId="77777777" w:rsidR="008D0CAD" w:rsidRPr="00173FD6" w:rsidRDefault="008D0CAD" w:rsidP="005902F7">
            <w:pPr>
              <w:spacing w:before="100" w:beforeAutospacing="1" w:after="100" w:afterAutospacing="1" w:line="360" w:lineRule="auto"/>
              <w:rPr>
                <w:rFonts w:asciiTheme="majorHAnsi" w:hAnsiTheme="majorHAnsi" w:cstheme="majorHAnsi"/>
                <w:color w:val="000000"/>
                <w:sz w:val="22"/>
                <w:szCs w:val="22"/>
                <w:lang w:val="en-US"/>
              </w:rPr>
            </w:pPr>
            <w:r w:rsidRPr="00173FD6">
              <w:rPr>
                <w:rFonts w:asciiTheme="majorHAnsi" w:hAnsiTheme="majorHAnsi" w:cstheme="majorHAnsi"/>
                <w:color w:val="000000"/>
                <w:sz w:val="22"/>
                <w:szCs w:val="22"/>
                <w:lang w:val="en-US"/>
              </w:rPr>
              <w:t>8</w:t>
            </w:r>
          </w:p>
        </w:tc>
        <w:tc>
          <w:tcPr>
            <w:tcW w:w="1492" w:type="dxa"/>
            <w:noWrap/>
            <w:hideMark/>
          </w:tcPr>
          <w:p w14:paraId="60A6CDA6" w14:textId="77777777" w:rsidR="008D0CAD" w:rsidRPr="00173FD6" w:rsidRDefault="008D0CAD" w:rsidP="005902F7">
            <w:pPr>
              <w:spacing w:before="100" w:beforeAutospacing="1" w:after="100" w:afterAutospacing="1" w:line="360" w:lineRule="auto"/>
              <w:rPr>
                <w:rFonts w:asciiTheme="majorHAnsi" w:hAnsiTheme="majorHAnsi" w:cstheme="majorHAnsi"/>
                <w:color w:val="000000"/>
                <w:sz w:val="22"/>
                <w:szCs w:val="22"/>
                <w:lang w:val="en-US"/>
              </w:rPr>
            </w:pPr>
            <w:r w:rsidRPr="00173FD6">
              <w:rPr>
                <w:rFonts w:asciiTheme="majorHAnsi" w:hAnsiTheme="majorHAnsi" w:cstheme="majorHAnsi"/>
                <w:color w:val="000000"/>
                <w:sz w:val="22"/>
                <w:szCs w:val="22"/>
                <w:lang w:val="en-US"/>
              </w:rPr>
              <w:t>3</w:t>
            </w:r>
          </w:p>
        </w:tc>
        <w:tc>
          <w:tcPr>
            <w:tcW w:w="1492" w:type="dxa"/>
          </w:tcPr>
          <w:p w14:paraId="7A2C51B6" w14:textId="77777777" w:rsidR="008D0CAD" w:rsidRPr="00173FD6" w:rsidRDefault="008D0CAD" w:rsidP="005902F7">
            <w:pPr>
              <w:spacing w:before="100" w:beforeAutospacing="1" w:after="100" w:afterAutospacing="1" w:line="360" w:lineRule="auto"/>
              <w:rPr>
                <w:rFonts w:asciiTheme="majorHAnsi" w:hAnsiTheme="majorHAnsi" w:cstheme="majorHAnsi"/>
                <w:color w:val="000000"/>
                <w:sz w:val="22"/>
                <w:szCs w:val="22"/>
                <w:lang w:val="en-US"/>
              </w:rPr>
            </w:pPr>
            <w:r w:rsidRPr="00173FD6">
              <w:rPr>
                <w:rFonts w:asciiTheme="majorHAnsi" w:hAnsiTheme="majorHAnsi" w:cstheme="majorHAnsi"/>
                <w:color w:val="000000"/>
                <w:sz w:val="22"/>
                <w:szCs w:val="22"/>
                <w:lang w:val="en-US"/>
              </w:rPr>
              <w:t>11</w:t>
            </w:r>
          </w:p>
        </w:tc>
      </w:tr>
      <w:tr w:rsidR="008D0CAD" w:rsidRPr="00173FD6" w14:paraId="483F049E" w14:textId="77777777" w:rsidTr="00876C11">
        <w:trPr>
          <w:trHeight w:val="324"/>
        </w:trPr>
        <w:tc>
          <w:tcPr>
            <w:tcW w:w="1915" w:type="dxa"/>
            <w:noWrap/>
            <w:hideMark/>
          </w:tcPr>
          <w:p w14:paraId="061EC978" w14:textId="77777777" w:rsidR="008D0CAD" w:rsidRPr="00173FD6" w:rsidRDefault="008D0CAD" w:rsidP="005902F7">
            <w:pPr>
              <w:spacing w:before="100" w:beforeAutospacing="1" w:after="100" w:afterAutospacing="1" w:line="360" w:lineRule="auto"/>
              <w:rPr>
                <w:rFonts w:asciiTheme="majorHAnsi" w:hAnsiTheme="majorHAnsi" w:cstheme="majorHAnsi"/>
                <w:b/>
                <w:color w:val="000000"/>
                <w:sz w:val="22"/>
                <w:szCs w:val="22"/>
                <w:lang w:val="en-US"/>
              </w:rPr>
            </w:pPr>
            <w:r w:rsidRPr="00173FD6">
              <w:rPr>
                <w:rFonts w:asciiTheme="majorHAnsi" w:hAnsiTheme="majorHAnsi" w:cstheme="majorHAnsi"/>
                <w:b/>
                <w:color w:val="000000"/>
                <w:sz w:val="22"/>
                <w:szCs w:val="22"/>
                <w:lang w:val="en-US"/>
              </w:rPr>
              <w:t>Total</w:t>
            </w:r>
          </w:p>
        </w:tc>
        <w:tc>
          <w:tcPr>
            <w:tcW w:w="1491" w:type="dxa"/>
            <w:noWrap/>
            <w:hideMark/>
          </w:tcPr>
          <w:p w14:paraId="6623B5CA" w14:textId="77777777" w:rsidR="008D0CAD" w:rsidRPr="00173FD6" w:rsidRDefault="008D0CAD" w:rsidP="005902F7">
            <w:pPr>
              <w:spacing w:before="100" w:beforeAutospacing="1" w:after="100" w:afterAutospacing="1" w:line="360" w:lineRule="auto"/>
              <w:rPr>
                <w:rFonts w:asciiTheme="majorHAnsi" w:hAnsiTheme="majorHAnsi" w:cstheme="majorHAnsi"/>
                <w:b/>
                <w:color w:val="000000"/>
                <w:sz w:val="22"/>
                <w:szCs w:val="22"/>
                <w:lang w:val="en-US"/>
              </w:rPr>
            </w:pPr>
            <w:r w:rsidRPr="00173FD6">
              <w:rPr>
                <w:rFonts w:asciiTheme="majorHAnsi" w:hAnsiTheme="majorHAnsi" w:cstheme="majorHAnsi"/>
                <w:b/>
                <w:color w:val="000000"/>
                <w:sz w:val="22"/>
                <w:szCs w:val="22"/>
                <w:lang w:val="en-US"/>
              </w:rPr>
              <w:t>80</w:t>
            </w:r>
          </w:p>
        </w:tc>
        <w:tc>
          <w:tcPr>
            <w:tcW w:w="1492" w:type="dxa"/>
            <w:noWrap/>
            <w:hideMark/>
          </w:tcPr>
          <w:p w14:paraId="0302053E" w14:textId="77777777" w:rsidR="008D0CAD" w:rsidRPr="00173FD6" w:rsidRDefault="008D0CAD" w:rsidP="005902F7">
            <w:pPr>
              <w:spacing w:before="100" w:beforeAutospacing="1" w:after="100" w:afterAutospacing="1" w:line="360" w:lineRule="auto"/>
              <w:rPr>
                <w:rFonts w:asciiTheme="majorHAnsi" w:hAnsiTheme="majorHAnsi" w:cstheme="majorHAnsi"/>
                <w:b/>
                <w:color w:val="000000"/>
                <w:sz w:val="22"/>
                <w:szCs w:val="22"/>
                <w:lang w:val="en-US"/>
              </w:rPr>
            </w:pPr>
            <w:r w:rsidRPr="00173FD6">
              <w:rPr>
                <w:rFonts w:asciiTheme="majorHAnsi" w:hAnsiTheme="majorHAnsi" w:cstheme="majorHAnsi"/>
                <w:b/>
                <w:color w:val="000000"/>
                <w:sz w:val="22"/>
                <w:szCs w:val="22"/>
                <w:lang w:val="en-US"/>
              </w:rPr>
              <w:t>26</w:t>
            </w:r>
          </w:p>
        </w:tc>
        <w:tc>
          <w:tcPr>
            <w:tcW w:w="1492" w:type="dxa"/>
          </w:tcPr>
          <w:p w14:paraId="7F8FBC7D" w14:textId="77777777" w:rsidR="008D0CAD" w:rsidRPr="00173FD6" w:rsidRDefault="008D0CAD" w:rsidP="005902F7">
            <w:pPr>
              <w:spacing w:before="100" w:beforeAutospacing="1" w:after="100" w:afterAutospacing="1" w:line="360" w:lineRule="auto"/>
              <w:rPr>
                <w:rFonts w:asciiTheme="majorHAnsi" w:hAnsiTheme="majorHAnsi" w:cstheme="majorHAnsi"/>
                <w:b/>
                <w:color w:val="000000"/>
                <w:sz w:val="22"/>
                <w:szCs w:val="22"/>
                <w:lang w:val="en-US"/>
              </w:rPr>
            </w:pPr>
            <w:r w:rsidRPr="00173FD6">
              <w:rPr>
                <w:rFonts w:asciiTheme="majorHAnsi" w:hAnsiTheme="majorHAnsi" w:cstheme="majorHAnsi"/>
                <w:b/>
                <w:color w:val="000000"/>
                <w:sz w:val="22"/>
                <w:szCs w:val="22"/>
                <w:lang w:val="en-US"/>
              </w:rPr>
              <w:t>106</w:t>
            </w:r>
          </w:p>
        </w:tc>
      </w:tr>
    </w:tbl>
    <w:p w14:paraId="1F855CD1" w14:textId="306D15E7" w:rsidR="008D0CAD" w:rsidRPr="00D354DC" w:rsidRDefault="008D0CAD" w:rsidP="005902F7">
      <w:pPr>
        <w:keepNext/>
        <w:spacing w:before="100" w:beforeAutospacing="1" w:after="100" w:afterAutospacing="1" w:line="360" w:lineRule="auto"/>
        <w:rPr>
          <w:rFonts w:asciiTheme="majorHAnsi" w:hAnsiTheme="majorHAnsi" w:cstheme="majorHAnsi"/>
          <w:bCs/>
          <w:i/>
          <w:color w:val="44546A" w:themeColor="text2"/>
          <w:sz w:val="22"/>
          <w:szCs w:val="22"/>
          <w:lang w:val="en-US"/>
        </w:rPr>
      </w:pPr>
      <w:bookmarkStart w:id="240" w:name="_Toc11510967"/>
      <w:bookmarkStart w:id="241" w:name="_Toc71616632"/>
      <w:r w:rsidRPr="00D354DC">
        <w:rPr>
          <w:rFonts w:asciiTheme="majorHAnsi" w:hAnsiTheme="majorHAnsi" w:cstheme="majorHAnsi"/>
          <w:bCs/>
          <w:i/>
          <w:color w:val="44546A" w:themeColor="text2"/>
          <w:sz w:val="22"/>
          <w:szCs w:val="22"/>
          <w:lang w:val="en-US"/>
        </w:rPr>
        <w:t xml:space="preserve">Table </w:t>
      </w:r>
      <w:r w:rsidRPr="00D354DC">
        <w:rPr>
          <w:rFonts w:asciiTheme="majorHAnsi" w:hAnsiTheme="majorHAnsi" w:cstheme="majorHAnsi"/>
          <w:bCs/>
          <w:i/>
          <w:color w:val="44546A" w:themeColor="text2"/>
          <w:sz w:val="22"/>
          <w:szCs w:val="22"/>
          <w:lang w:val="en-US"/>
        </w:rPr>
        <w:fldChar w:fldCharType="begin"/>
      </w:r>
      <w:r w:rsidRPr="00D354DC">
        <w:rPr>
          <w:rFonts w:asciiTheme="majorHAnsi" w:hAnsiTheme="majorHAnsi" w:cstheme="majorHAnsi"/>
          <w:bCs/>
          <w:i/>
          <w:color w:val="44546A" w:themeColor="text2"/>
          <w:sz w:val="22"/>
          <w:szCs w:val="22"/>
          <w:lang w:val="en-US"/>
        </w:rPr>
        <w:instrText xml:space="preserve"> SEQ Table \* ARABIC </w:instrText>
      </w:r>
      <w:r w:rsidRPr="00D354DC">
        <w:rPr>
          <w:rFonts w:asciiTheme="majorHAnsi" w:hAnsiTheme="majorHAnsi" w:cstheme="majorHAnsi"/>
          <w:bCs/>
          <w:i/>
          <w:color w:val="44546A" w:themeColor="text2"/>
          <w:sz w:val="22"/>
          <w:szCs w:val="22"/>
          <w:lang w:val="en-US"/>
        </w:rPr>
        <w:fldChar w:fldCharType="separate"/>
      </w:r>
      <w:r w:rsidR="00D6133D">
        <w:rPr>
          <w:rFonts w:asciiTheme="majorHAnsi" w:hAnsiTheme="majorHAnsi" w:cstheme="majorHAnsi"/>
          <w:bCs/>
          <w:i/>
          <w:noProof/>
          <w:color w:val="44546A" w:themeColor="text2"/>
          <w:sz w:val="22"/>
          <w:szCs w:val="22"/>
          <w:lang w:val="en-US"/>
        </w:rPr>
        <w:t>41</w:t>
      </w:r>
      <w:r w:rsidRPr="00D354DC">
        <w:rPr>
          <w:rFonts w:asciiTheme="majorHAnsi" w:hAnsiTheme="majorHAnsi" w:cstheme="majorHAnsi"/>
          <w:bCs/>
          <w:i/>
          <w:color w:val="44546A" w:themeColor="text2"/>
          <w:sz w:val="22"/>
          <w:szCs w:val="22"/>
          <w:lang w:val="en-US"/>
        </w:rPr>
        <w:fldChar w:fldCharType="end"/>
      </w:r>
      <w:r w:rsidRPr="00D354DC">
        <w:rPr>
          <w:rFonts w:asciiTheme="majorHAnsi" w:hAnsiTheme="majorHAnsi" w:cstheme="majorHAnsi"/>
          <w:bCs/>
          <w:i/>
          <w:color w:val="44546A" w:themeColor="text2"/>
          <w:sz w:val="22"/>
          <w:szCs w:val="22"/>
          <w:lang w:val="en-US"/>
        </w:rPr>
        <w:t>. Schools that submitted secondary data (n=106)</w:t>
      </w:r>
      <w:bookmarkEnd w:id="240"/>
      <w:bookmarkEnd w:id="241"/>
    </w:p>
    <w:tbl>
      <w:tblPr>
        <w:tblStyle w:val="TableGrid11"/>
        <w:tblW w:w="9733" w:type="dxa"/>
        <w:tblLayout w:type="fixed"/>
        <w:tblLook w:val="04A0" w:firstRow="1" w:lastRow="0" w:firstColumn="1" w:lastColumn="0" w:noHBand="0" w:noVBand="1"/>
      </w:tblPr>
      <w:tblGrid>
        <w:gridCol w:w="1300"/>
        <w:gridCol w:w="1405"/>
        <w:gridCol w:w="1406"/>
        <w:gridCol w:w="1405"/>
        <w:gridCol w:w="1406"/>
        <w:gridCol w:w="1405"/>
        <w:gridCol w:w="1406"/>
      </w:tblGrid>
      <w:tr w:rsidR="00876C11" w:rsidRPr="00173FD6" w14:paraId="6A9F852F" w14:textId="77777777" w:rsidTr="00F4751F">
        <w:trPr>
          <w:trHeight w:val="300"/>
          <w:tblHeader/>
        </w:trPr>
        <w:tc>
          <w:tcPr>
            <w:tcW w:w="1300" w:type="dxa"/>
            <w:noWrap/>
          </w:tcPr>
          <w:p w14:paraId="1BF796E6" w14:textId="77777777" w:rsidR="00876C11" w:rsidRPr="00173FD6" w:rsidRDefault="00876C11" w:rsidP="005902F7">
            <w:pPr>
              <w:spacing w:before="100" w:beforeAutospacing="1" w:after="100" w:afterAutospacing="1" w:line="360" w:lineRule="auto"/>
              <w:rPr>
                <w:rFonts w:ascii="Calibri" w:hAnsi="Calibri" w:cs="Calibri"/>
                <w:color w:val="000000"/>
                <w:sz w:val="22"/>
                <w:szCs w:val="22"/>
                <w:lang w:val="en-US"/>
              </w:rPr>
            </w:pPr>
          </w:p>
        </w:tc>
        <w:tc>
          <w:tcPr>
            <w:tcW w:w="1405" w:type="dxa"/>
            <w:noWrap/>
          </w:tcPr>
          <w:p w14:paraId="0464AE8B" w14:textId="7066A0BA" w:rsidR="00876C11" w:rsidRPr="00173FD6" w:rsidRDefault="00876C11" w:rsidP="005902F7">
            <w:pPr>
              <w:spacing w:before="100" w:beforeAutospacing="1" w:after="100" w:afterAutospacing="1" w:line="360" w:lineRule="auto"/>
              <w:rPr>
                <w:rFonts w:ascii="Calibri" w:hAnsi="Calibri" w:cs="Calibri"/>
                <w:color w:val="000000"/>
                <w:sz w:val="22"/>
                <w:szCs w:val="22"/>
                <w:lang w:val="en-US"/>
              </w:rPr>
            </w:pPr>
            <w:r w:rsidRPr="00173FD6">
              <w:rPr>
                <w:rFonts w:ascii="Calibri" w:hAnsi="Calibri" w:cs="Calibri"/>
                <w:b/>
                <w:color w:val="000000"/>
                <w:sz w:val="22"/>
                <w:szCs w:val="22"/>
                <w:lang w:val="en-US"/>
              </w:rPr>
              <w:t>Study Sample</w:t>
            </w:r>
          </w:p>
        </w:tc>
        <w:tc>
          <w:tcPr>
            <w:tcW w:w="1406" w:type="dxa"/>
            <w:noWrap/>
          </w:tcPr>
          <w:p w14:paraId="2588B013" w14:textId="2C30F4FC" w:rsidR="00876C11" w:rsidRPr="00173FD6" w:rsidRDefault="00876C11" w:rsidP="005902F7">
            <w:pPr>
              <w:spacing w:before="100" w:beforeAutospacing="1" w:after="100" w:afterAutospacing="1" w:line="360" w:lineRule="auto"/>
              <w:rPr>
                <w:rFonts w:ascii="Calibri" w:hAnsi="Calibri" w:cs="Calibri"/>
                <w:color w:val="000000"/>
                <w:sz w:val="22"/>
                <w:szCs w:val="22"/>
                <w:lang w:val="en-US"/>
              </w:rPr>
            </w:pPr>
            <w:r w:rsidRPr="00173FD6">
              <w:rPr>
                <w:rFonts w:ascii="Calibri" w:hAnsi="Calibri" w:cs="Calibri"/>
                <w:b/>
                <w:color w:val="000000"/>
                <w:sz w:val="22"/>
                <w:szCs w:val="22"/>
                <w:lang w:val="en-US"/>
              </w:rPr>
              <w:t>Study Sample</w:t>
            </w:r>
          </w:p>
        </w:tc>
        <w:tc>
          <w:tcPr>
            <w:tcW w:w="1405" w:type="dxa"/>
            <w:noWrap/>
          </w:tcPr>
          <w:p w14:paraId="07D7931F" w14:textId="26803750" w:rsidR="00876C11" w:rsidRPr="00173FD6" w:rsidRDefault="00876C11" w:rsidP="005902F7">
            <w:pPr>
              <w:spacing w:before="100" w:beforeAutospacing="1" w:after="100" w:afterAutospacing="1" w:line="360" w:lineRule="auto"/>
              <w:rPr>
                <w:rFonts w:ascii="Calibri" w:hAnsi="Calibri" w:cs="Calibri"/>
                <w:color w:val="000000"/>
                <w:sz w:val="22"/>
                <w:szCs w:val="22"/>
                <w:lang w:val="en-US"/>
              </w:rPr>
            </w:pPr>
            <w:r w:rsidRPr="00173FD6">
              <w:rPr>
                <w:rFonts w:ascii="Calibri" w:hAnsi="Calibri" w:cs="Calibri"/>
                <w:b/>
                <w:color w:val="000000"/>
                <w:sz w:val="22"/>
                <w:szCs w:val="22"/>
                <w:lang w:val="en-US"/>
              </w:rPr>
              <w:t>Complete Data</w:t>
            </w:r>
          </w:p>
        </w:tc>
        <w:tc>
          <w:tcPr>
            <w:tcW w:w="1406" w:type="dxa"/>
            <w:noWrap/>
          </w:tcPr>
          <w:p w14:paraId="7433CFA8" w14:textId="1FD6B428" w:rsidR="00876C11" w:rsidRPr="00173FD6" w:rsidRDefault="00876C11" w:rsidP="005902F7">
            <w:pPr>
              <w:spacing w:before="100" w:beforeAutospacing="1" w:after="100" w:afterAutospacing="1" w:line="360" w:lineRule="auto"/>
              <w:rPr>
                <w:rFonts w:ascii="Calibri" w:hAnsi="Calibri" w:cs="Calibri"/>
                <w:color w:val="000000"/>
                <w:sz w:val="22"/>
                <w:szCs w:val="22"/>
                <w:lang w:val="en-US"/>
              </w:rPr>
            </w:pPr>
            <w:r w:rsidRPr="00173FD6">
              <w:rPr>
                <w:rFonts w:ascii="Calibri" w:hAnsi="Calibri" w:cs="Calibri"/>
                <w:b/>
                <w:color w:val="000000"/>
                <w:sz w:val="22"/>
                <w:szCs w:val="22"/>
                <w:lang w:val="en-US"/>
              </w:rPr>
              <w:t>Complete Data</w:t>
            </w:r>
          </w:p>
        </w:tc>
        <w:tc>
          <w:tcPr>
            <w:tcW w:w="1405" w:type="dxa"/>
            <w:noWrap/>
          </w:tcPr>
          <w:p w14:paraId="02B25BDB" w14:textId="01686C9E" w:rsidR="00876C11" w:rsidRPr="00173FD6" w:rsidRDefault="00876C11" w:rsidP="005902F7">
            <w:pPr>
              <w:spacing w:before="100" w:beforeAutospacing="1" w:after="100" w:afterAutospacing="1" w:line="360" w:lineRule="auto"/>
              <w:rPr>
                <w:rFonts w:ascii="Calibri" w:hAnsi="Calibri" w:cs="Calibri"/>
                <w:color w:val="000000"/>
                <w:sz w:val="22"/>
                <w:szCs w:val="22"/>
                <w:lang w:val="en-US"/>
              </w:rPr>
            </w:pPr>
            <w:r w:rsidRPr="00173FD6">
              <w:rPr>
                <w:rFonts w:ascii="Calibri" w:hAnsi="Calibri" w:cs="Calibri"/>
                <w:b/>
                <w:color w:val="000000"/>
                <w:sz w:val="22"/>
                <w:szCs w:val="22"/>
                <w:lang w:val="en-US"/>
              </w:rPr>
              <w:t>Incomplete Data</w:t>
            </w:r>
          </w:p>
        </w:tc>
        <w:tc>
          <w:tcPr>
            <w:tcW w:w="1406" w:type="dxa"/>
            <w:noWrap/>
          </w:tcPr>
          <w:p w14:paraId="0F7A8726" w14:textId="1E1B9FCC" w:rsidR="00876C11" w:rsidRPr="00173FD6" w:rsidRDefault="00876C11" w:rsidP="005902F7">
            <w:pPr>
              <w:spacing w:before="100" w:beforeAutospacing="1" w:after="100" w:afterAutospacing="1" w:line="360" w:lineRule="auto"/>
              <w:rPr>
                <w:rFonts w:ascii="Calibri" w:hAnsi="Calibri" w:cs="Calibri"/>
                <w:color w:val="000000"/>
                <w:sz w:val="22"/>
                <w:szCs w:val="22"/>
                <w:lang w:val="en-US"/>
              </w:rPr>
            </w:pPr>
            <w:r w:rsidRPr="00173FD6">
              <w:rPr>
                <w:rFonts w:ascii="Calibri" w:hAnsi="Calibri" w:cs="Calibri"/>
                <w:b/>
                <w:color w:val="000000"/>
                <w:sz w:val="22"/>
                <w:szCs w:val="22"/>
                <w:lang w:val="en-US"/>
              </w:rPr>
              <w:t>Incomplete Data</w:t>
            </w:r>
          </w:p>
        </w:tc>
      </w:tr>
      <w:tr w:rsidR="00876C11" w:rsidRPr="00173FD6" w14:paraId="28E45AEC" w14:textId="77777777" w:rsidTr="00876C11">
        <w:trPr>
          <w:trHeight w:val="300"/>
        </w:trPr>
        <w:tc>
          <w:tcPr>
            <w:tcW w:w="1300" w:type="dxa"/>
            <w:noWrap/>
          </w:tcPr>
          <w:p w14:paraId="551FF2B1" w14:textId="06DE5A98" w:rsidR="00876C11" w:rsidRPr="00876C11" w:rsidRDefault="00876C11" w:rsidP="00876C11">
            <w:pPr>
              <w:spacing w:before="100" w:beforeAutospacing="1" w:after="100" w:afterAutospacing="1" w:line="360" w:lineRule="auto"/>
              <w:rPr>
                <w:rFonts w:ascii="Calibri" w:hAnsi="Calibri" w:cs="Calibri"/>
                <w:b/>
                <w:bCs/>
                <w:color w:val="000000"/>
                <w:sz w:val="22"/>
                <w:szCs w:val="22"/>
                <w:lang w:val="en-US"/>
              </w:rPr>
            </w:pPr>
            <w:r w:rsidRPr="00876C11">
              <w:rPr>
                <w:rFonts w:ascii="Calibri" w:hAnsi="Calibri" w:cs="Calibri"/>
                <w:b/>
                <w:bCs/>
                <w:color w:val="000000"/>
                <w:sz w:val="22"/>
                <w:szCs w:val="22"/>
                <w:lang w:val="en-US"/>
              </w:rPr>
              <w:t>Region</w:t>
            </w:r>
          </w:p>
        </w:tc>
        <w:tc>
          <w:tcPr>
            <w:tcW w:w="1405" w:type="dxa"/>
            <w:noWrap/>
          </w:tcPr>
          <w:p w14:paraId="45AE5468" w14:textId="67846847" w:rsidR="00876C11" w:rsidRPr="00173FD6" w:rsidRDefault="00876C11" w:rsidP="00876C11">
            <w:pPr>
              <w:spacing w:before="100" w:beforeAutospacing="1" w:after="100" w:afterAutospacing="1" w:line="360" w:lineRule="auto"/>
              <w:rPr>
                <w:rFonts w:ascii="Calibri" w:hAnsi="Calibri" w:cs="Calibri"/>
                <w:color w:val="000000"/>
                <w:sz w:val="22"/>
                <w:szCs w:val="22"/>
                <w:lang w:val="en-US"/>
              </w:rPr>
            </w:pPr>
            <w:r w:rsidRPr="00173FD6">
              <w:rPr>
                <w:rFonts w:ascii="Calibri" w:hAnsi="Calibri" w:cs="Calibri"/>
                <w:b/>
                <w:color w:val="000000"/>
                <w:sz w:val="22"/>
                <w:szCs w:val="22"/>
                <w:lang w:val="en-US"/>
              </w:rPr>
              <w:t>BEST</w:t>
            </w:r>
          </w:p>
        </w:tc>
        <w:tc>
          <w:tcPr>
            <w:tcW w:w="1406" w:type="dxa"/>
            <w:noWrap/>
          </w:tcPr>
          <w:p w14:paraId="4BE8E708" w14:textId="5DA14C13" w:rsidR="00876C11" w:rsidRPr="00173FD6" w:rsidRDefault="00876C11" w:rsidP="00876C11">
            <w:pPr>
              <w:spacing w:before="100" w:beforeAutospacing="1" w:after="100" w:afterAutospacing="1" w:line="360" w:lineRule="auto"/>
              <w:rPr>
                <w:rFonts w:ascii="Calibri" w:hAnsi="Calibri" w:cs="Calibri"/>
                <w:color w:val="000000"/>
                <w:sz w:val="22"/>
                <w:szCs w:val="22"/>
                <w:lang w:val="en-US"/>
              </w:rPr>
            </w:pPr>
            <w:r w:rsidRPr="00173FD6">
              <w:rPr>
                <w:rFonts w:ascii="Calibri" w:hAnsi="Calibri" w:cs="Calibri"/>
                <w:b/>
                <w:color w:val="000000"/>
                <w:sz w:val="22"/>
                <w:szCs w:val="22"/>
                <w:lang w:val="en-US"/>
              </w:rPr>
              <w:t>Non-BEST</w:t>
            </w:r>
          </w:p>
        </w:tc>
        <w:tc>
          <w:tcPr>
            <w:tcW w:w="1405" w:type="dxa"/>
            <w:noWrap/>
          </w:tcPr>
          <w:p w14:paraId="40F40229" w14:textId="0FF05E68" w:rsidR="00876C11" w:rsidRPr="00173FD6" w:rsidRDefault="00876C11" w:rsidP="00876C11">
            <w:pPr>
              <w:spacing w:before="100" w:beforeAutospacing="1" w:after="100" w:afterAutospacing="1" w:line="360" w:lineRule="auto"/>
              <w:rPr>
                <w:rFonts w:ascii="Calibri" w:hAnsi="Calibri" w:cs="Calibri"/>
                <w:color w:val="000000"/>
                <w:sz w:val="22"/>
                <w:szCs w:val="22"/>
                <w:lang w:val="en-US"/>
              </w:rPr>
            </w:pPr>
            <w:r w:rsidRPr="00173FD6">
              <w:rPr>
                <w:rFonts w:ascii="Calibri" w:hAnsi="Calibri" w:cs="Calibri"/>
                <w:b/>
                <w:color w:val="000000"/>
                <w:sz w:val="22"/>
                <w:szCs w:val="22"/>
                <w:lang w:val="en-US"/>
              </w:rPr>
              <w:t>BEST</w:t>
            </w:r>
          </w:p>
        </w:tc>
        <w:tc>
          <w:tcPr>
            <w:tcW w:w="1406" w:type="dxa"/>
            <w:noWrap/>
          </w:tcPr>
          <w:p w14:paraId="6C03BA14" w14:textId="136265AB" w:rsidR="00876C11" w:rsidRPr="00173FD6" w:rsidRDefault="00876C11" w:rsidP="00876C11">
            <w:pPr>
              <w:spacing w:before="100" w:beforeAutospacing="1" w:after="100" w:afterAutospacing="1" w:line="360" w:lineRule="auto"/>
              <w:rPr>
                <w:rFonts w:ascii="Calibri" w:hAnsi="Calibri" w:cs="Calibri"/>
                <w:color w:val="000000"/>
                <w:sz w:val="22"/>
                <w:szCs w:val="22"/>
                <w:lang w:val="en-US"/>
              </w:rPr>
            </w:pPr>
            <w:r w:rsidRPr="00173FD6">
              <w:rPr>
                <w:rFonts w:ascii="Calibri" w:hAnsi="Calibri" w:cs="Calibri"/>
                <w:b/>
                <w:color w:val="000000"/>
                <w:sz w:val="22"/>
                <w:szCs w:val="22"/>
                <w:lang w:val="en-US"/>
              </w:rPr>
              <w:t>Non-BEST</w:t>
            </w:r>
          </w:p>
        </w:tc>
        <w:tc>
          <w:tcPr>
            <w:tcW w:w="1405" w:type="dxa"/>
            <w:noWrap/>
          </w:tcPr>
          <w:p w14:paraId="660693A4" w14:textId="40E31934" w:rsidR="00876C11" w:rsidRPr="00173FD6" w:rsidRDefault="00876C11" w:rsidP="00876C11">
            <w:pPr>
              <w:spacing w:before="100" w:beforeAutospacing="1" w:after="100" w:afterAutospacing="1" w:line="360" w:lineRule="auto"/>
              <w:rPr>
                <w:rFonts w:ascii="Calibri" w:hAnsi="Calibri" w:cs="Calibri"/>
                <w:color w:val="000000"/>
                <w:sz w:val="22"/>
                <w:szCs w:val="22"/>
                <w:lang w:val="en-US"/>
              </w:rPr>
            </w:pPr>
            <w:r w:rsidRPr="00173FD6">
              <w:rPr>
                <w:rFonts w:ascii="Calibri" w:hAnsi="Calibri" w:cs="Calibri"/>
                <w:b/>
                <w:color w:val="000000"/>
                <w:sz w:val="22"/>
                <w:szCs w:val="22"/>
                <w:lang w:val="en-US"/>
              </w:rPr>
              <w:t>BEST</w:t>
            </w:r>
          </w:p>
        </w:tc>
        <w:tc>
          <w:tcPr>
            <w:tcW w:w="1406" w:type="dxa"/>
            <w:noWrap/>
          </w:tcPr>
          <w:p w14:paraId="255AD684" w14:textId="634AAFB0" w:rsidR="00876C11" w:rsidRPr="00173FD6" w:rsidRDefault="00876C11" w:rsidP="00876C11">
            <w:pPr>
              <w:spacing w:before="100" w:beforeAutospacing="1" w:after="100" w:afterAutospacing="1" w:line="360" w:lineRule="auto"/>
              <w:rPr>
                <w:rFonts w:ascii="Calibri" w:hAnsi="Calibri" w:cs="Calibri"/>
                <w:color w:val="000000"/>
                <w:sz w:val="22"/>
                <w:szCs w:val="22"/>
                <w:lang w:val="en-US"/>
              </w:rPr>
            </w:pPr>
            <w:r w:rsidRPr="00173FD6">
              <w:rPr>
                <w:rFonts w:ascii="Calibri" w:hAnsi="Calibri" w:cs="Calibri"/>
                <w:b/>
                <w:color w:val="000000"/>
                <w:sz w:val="22"/>
                <w:szCs w:val="22"/>
                <w:lang w:val="en-US"/>
              </w:rPr>
              <w:t>Non-BEST</w:t>
            </w:r>
          </w:p>
        </w:tc>
      </w:tr>
      <w:tr w:rsidR="008D0CAD" w:rsidRPr="00173FD6" w14:paraId="6ED2BF18" w14:textId="77777777" w:rsidTr="00876C11">
        <w:trPr>
          <w:trHeight w:val="300"/>
        </w:trPr>
        <w:tc>
          <w:tcPr>
            <w:tcW w:w="1300" w:type="dxa"/>
            <w:noWrap/>
            <w:hideMark/>
          </w:tcPr>
          <w:p w14:paraId="10C5EF0B" w14:textId="77777777" w:rsidR="008D0CAD" w:rsidRPr="00173FD6" w:rsidRDefault="008D0CAD" w:rsidP="005902F7">
            <w:pPr>
              <w:spacing w:before="100" w:beforeAutospacing="1" w:after="100" w:afterAutospacing="1" w:line="360" w:lineRule="auto"/>
              <w:rPr>
                <w:rFonts w:ascii="Calibri" w:hAnsi="Calibri" w:cs="Calibri"/>
                <w:color w:val="000000"/>
                <w:sz w:val="22"/>
                <w:szCs w:val="22"/>
                <w:lang w:val="en-US"/>
              </w:rPr>
            </w:pPr>
            <w:r w:rsidRPr="00173FD6">
              <w:rPr>
                <w:rFonts w:ascii="Calibri" w:hAnsi="Calibri" w:cs="Calibri"/>
                <w:color w:val="000000"/>
                <w:sz w:val="22"/>
                <w:szCs w:val="22"/>
                <w:lang w:val="en-US"/>
              </w:rPr>
              <w:t>NCR</w:t>
            </w:r>
          </w:p>
        </w:tc>
        <w:tc>
          <w:tcPr>
            <w:tcW w:w="1405" w:type="dxa"/>
            <w:noWrap/>
            <w:hideMark/>
          </w:tcPr>
          <w:p w14:paraId="147033E5" w14:textId="77777777" w:rsidR="008D0CAD" w:rsidRPr="00173FD6" w:rsidRDefault="008D0CAD" w:rsidP="005902F7">
            <w:pPr>
              <w:spacing w:before="100" w:beforeAutospacing="1" w:after="100" w:afterAutospacing="1" w:line="360" w:lineRule="auto"/>
              <w:rPr>
                <w:rFonts w:ascii="Calibri" w:hAnsi="Calibri" w:cs="Calibri"/>
                <w:color w:val="000000"/>
                <w:sz w:val="22"/>
                <w:szCs w:val="22"/>
                <w:lang w:val="en-US"/>
              </w:rPr>
            </w:pPr>
            <w:r w:rsidRPr="00173FD6">
              <w:rPr>
                <w:rFonts w:ascii="Calibri" w:hAnsi="Calibri" w:cs="Calibri"/>
                <w:color w:val="000000"/>
                <w:sz w:val="22"/>
                <w:szCs w:val="22"/>
                <w:lang w:val="en-US"/>
              </w:rPr>
              <w:t>16</w:t>
            </w:r>
          </w:p>
        </w:tc>
        <w:tc>
          <w:tcPr>
            <w:tcW w:w="1406" w:type="dxa"/>
            <w:noWrap/>
            <w:hideMark/>
          </w:tcPr>
          <w:p w14:paraId="2F8382D4" w14:textId="77777777" w:rsidR="008D0CAD" w:rsidRPr="00173FD6" w:rsidRDefault="008D0CAD" w:rsidP="005902F7">
            <w:pPr>
              <w:spacing w:before="100" w:beforeAutospacing="1" w:after="100" w:afterAutospacing="1" w:line="360" w:lineRule="auto"/>
              <w:rPr>
                <w:rFonts w:ascii="Calibri" w:hAnsi="Calibri" w:cs="Calibri"/>
                <w:color w:val="000000"/>
                <w:sz w:val="22"/>
                <w:szCs w:val="22"/>
                <w:lang w:val="en-US"/>
              </w:rPr>
            </w:pPr>
            <w:r w:rsidRPr="00173FD6">
              <w:rPr>
                <w:rFonts w:ascii="Calibri" w:hAnsi="Calibri" w:cs="Calibri"/>
                <w:color w:val="000000"/>
                <w:sz w:val="22"/>
                <w:szCs w:val="22"/>
                <w:lang w:val="en-US"/>
              </w:rPr>
              <w:t>5</w:t>
            </w:r>
          </w:p>
        </w:tc>
        <w:tc>
          <w:tcPr>
            <w:tcW w:w="1405" w:type="dxa"/>
            <w:noWrap/>
            <w:hideMark/>
          </w:tcPr>
          <w:p w14:paraId="633EC00D" w14:textId="77777777" w:rsidR="008D0CAD" w:rsidRPr="00173FD6" w:rsidRDefault="008D0CAD" w:rsidP="005902F7">
            <w:pPr>
              <w:spacing w:before="100" w:beforeAutospacing="1" w:after="100" w:afterAutospacing="1" w:line="360" w:lineRule="auto"/>
              <w:rPr>
                <w:rFonts w:ascii="Calibri" w:hAnsi="Calibri" w:cs="Calibri"/>
                <w:color w:val="000000"/>
                <w:sz w:val="22"/>
                <w:szCs w:val="22"/>
                <w:lang w:val="en-US"/>
              </w:rPr>
            </w:pPr>
            <w:r w:rsidRPr="00173FD6">
              <w:rPr>
                <w:rFonts w:ascii="Calibri" w:hAnsi="Calibri" w:cs="Calibri"/>
                <w:color w:val="000000"/>
                <w:sz w:val="22"/>
                <w:szCs w:val="22"/>
                <w:lang w:val="en-US"/>
              </w:rPr>
              <w:t>6</w:t>
            </w:r>
          </w:p>
        </w:tc>
        <w:tc>
          <w:tcPr>
            <w:tcW w:w="1406" w:type="dxa"/>
            <w:noWrap/>
            <w:hideMark/>
          </w:tcPr>
          <w:p w14:paraId="795AA609" w14:textId="77777777" w:rsidR="008D0CAD" w:rsidRPr="00173FD6" w:rsidRDefault="008D0CAD" w:rsidP="005902F7">
            <w:pPr>
              <w:spacing w:before="100" w:beforeAutospacing="1" w:after="100" w:afterAutospacing="1" w:line="360" w:lineRule="auto"/>
              <w:rPr>
                <w:rFonts w:ascii="Calibri" w:hAnsi="Calibri" w:cs="Calibri"/>
                <w:color w:val="000000"/>
                <w:sz w:val="22"/>
                <w:szCs w:val="22"/>
                <w:lang w:val="en-US"/>
              </w:rPr>
            </w:pPr>
            <w:r w:rsidRPr="00173FD6">
              <w:rPr>
                <w:rFonts w:ascii="Calibri" w:hAnsi="Calibri" w:cs="Calibri"/>
                <w:color w:val="000000"/>
                <w:sz w:val="22"/>
                <w:szCs w:val="22"/>
                <w:lang w:val="en-US"/>
              </w:rPr>
              <w:t>2</w:t>
            </w:r>
          </w:p>
        </w:tc>
        <w:tc>
          <w:tcPr>
            <w:tcW w:w="1405" w:type="dxa"/>
            <w:noWrap/>
            <w:hideMark/>
          </w:tcPr>
          <w:p w14:paraId="25A09604" w14:textId="77777777" w:rsidR="008D0CAD" w:rsidRPr="00173FD6" w:rsidRDefault="008D0CAD" w:rsidP="005902F7">
            <w:pPr>
              <w:spacing w:before="100" w:beforeAutospacing="1" w:after="100" w:afterAutospacing="1" w:line="360" w:lineRule="auto"/>
              <w:rPr>
                <w:rFonts w:ascii="Calibri" w:hAnsi="Calibri" w:cs="Calibri"/>
                <w:color w:val="000000"/>
                <w:sz w:val="22"/>
                <w:szCs w:val="22"/>
                <w:lang w:val="en-US"/>
              </w:rPr>
            </w:pPr>
            <w:r w:rsidRPr="00173FD6">
              <w:rPr>
                <w:rFonts w:ascii="Calibri" w:hAnsi="Calibri" w:cs="Calibri"/>
                <w:color w:val="000000"/>
                <w:sz w:val="22"/>
                <w:szCs w:val="22"/>
                <w:lang w:val="en-US"/>
              </w:rPr>
              <w:t>2</w:t>
            </w:r>
          </w:p>
        </w:tc>
        <w:tc>
          <w:tcPr>
            <w:tcW w:w="1406" w:type="dxa"/>
            <w:noWrap/>
            <w:hideMark/>
          </w:tcPr>
          <w:p w14:paraId="1CA7DCEA" w14:textId="77777777" w:rsidR="008D0CAD" w:rsidRPr="00173FD6" w:rsidRDefault="008D0CAD" w:rsidP="005902F7">
            <w:pPr>
              <w:spacing w:before="100" w:beforeAutospacing="1" w:after="100" w:afterAutospacing="1" w:line="360" w:lineRule="auto"/>
              <w:rPr>
                <w:rFonts w:ascii="Calibri" w:hAnsi="Calibri" w:cs="Calibri"/>
                <w:color w:val="000000"/>
                <w:sz w:val="22"/>
                <w:szCs w:val="22"/>
                <w:lang w:val="en-US"/>
              </w:rPr>
            </w:pPr>
            <w:r w:rsidRPr="00173FD6">
              <w:rPr>
                <w:rFonts w:ascii="Calibri" w:hAnsi="Calibri" w:cs="Calibri"/>
                <w:color w:val="000000"/>
                <w:sz w:val="22"/>
                <w:szCs w:val="22"/>
                <w:lang w:val="en-US"/>
              </w:rPr>
              <w:t>1</w:t>
            </w:r>
          </w:p>
        </w:tc>
      </w:tr>
      <w:tr w:rsidR="008D0CAD" w:rsidRPr="00173FD6" w14:paraId="4E682D24" w14:textId="77777777" w:rsidTr="00876C11">
        <w:trPr>
          <w:trHeight w:val="300"/>
        </w:trPr>
        <w:tc>
          <w:tcPr>
            <w:tcW w:w="1300" w:type="dxa"/>
            <w:noWrap/>
            <w:hideMark/>
          </w:tcPr>
          <w:p w14:paraId="25F9DD81" w14:textId="77777777" w:rsidR="008D0CAD" w:rsidRPr="00173FD6" w:rsidRDefault="008D0CAD" w:rsidP="005902F7">
            <w:pPr>
              <w:spacing w:before="100" w:beforeAutospacing="1" w:after="100" w:afterAutospacing="1" w:line="360" w:lineRule="auto"/>
              <w:rPr>
                <w:rFonts w:ascii="Calibri" w:hAnsi="Calibri" w:cs="Calibri"/>
                <w:color w:val="000000"/>
                <w:sz w:val="22"/>
                <w:szCs w:val="22"/>
                <w:lang w:val="en-US"/>
              </w:rPr>
            </w:pPr>
            <w:r w:rsidRPr="00173FD6">
              <w:rPr>
                <w:rFonts w:ascii="Calibri" w:hAnsi="Calibri" w:cs="Calibri"/>
                <w:color w:val="000000"/>
                <w:sz w:val="22"/>
                <w:szCs w:val="22"/>
                <w:lang w:val="en-US"/>
              </w:rPr>
              <w:t>Region 5</w:t>
            </w:r>
          </w:p>
        </w:tc>
        <w:tc>
          <w:tcPr>
            <w:tcW w:w="1405" w:type="dxa"/>
            <w:noWrap/>
            <w:hideMark/>
          </w:tcPr>
          <w:p w14:paraId="7DB352FC" w14:textId="77777777" w:rsidR="008D0CAD" w:rsidRPr="00173FD6" w:rsidRDefault="008D0CAD" w:rsidP="005902F7">
            <w:pPr>
              <w:spacing w:before="100" w:beforeAutospacing="1" w:after="100" w:afterAutospacing="1" w:line="360" w:lineRule="auto"/>
              <w:rPr>
                <w:rFonts w:ascii="Calibri" w:hAnsi="Calibri" w:cs="Calibri"/>
                <w:color w:val="000000"/>
                <w:sz w:val="22"/>
                <w:szCs w:val="22"/>
                <w:lang w:val="en-US"/>
              </w:rPr>
            </w:pPr>
            <w:r w:rsidRPr="00173FD6">
              <w:rPr>
                <w:rFonts w:ascii="Calibri" w:hAnsi="Calibri" w:cs="Calibri"/>
                <w:color w:val="000000"/>
                <w:sz w:val="22"/>
                <w:szCs w:val="22"/>
                <w:lang w:val="en-US"/>
              </w:rPr>
              <w:t>17</w:t>
            </w:r>
          </w:p>
        </w:tc>
        <w:tc>
          <w:tcPr>
            <w:tcW w:w="1406" w:type="dxa"/>
            <w:noWrap/>
            <w:hideMark/>
          </w:tcPr>
          <w:p w14:paraId="6383856E" w14:textId="77777777" w:rsidR="008D0CAD" w:rsidRPr="00173FD6" w:rsidRDefault="008D0CAD" w:rsidP="005902F7">
            <w:pPr>
              <w:spacing w:before="100" w:beforeAutospacing="1" w:after="100" w:afterAutospacing="1" w:line="360" w:lineRule="auto"/>
              <w:rPr>
                <w:rFonts w:ascii="Calibri" w:hAnsi="Calibri" w:cs="Calibri"/>
                <w:color w:val="000000"/>
                <w:sz w:val="22"/>
                <w:szCs w:val="22"/>
                <w:lang w:val="en-US"/>
              </w:rPr>
            </w:pPr>
            <w:r w:rsidRPr="00173FD6">
              <w:rPr>
                <w:rFonts w:ascii="Calibri" w:hAnsi="Calibri" w:cs="Calibri"/>
                <w:color w:val="000000"/>
                <w:sz w:val="22"/>
                <w:szCs w:val="22"/>
                <w:lang w:val="en-US"/>
              </w:rPr>
              <w:t>4</w:t>
            </w:r>
          </w:p>
        </w:tc>
        <w:tc>
          <w:tcPr>
            <w:tcW w:w="1405" w:type="dxa"/>
            <w:noWrap/>
            <w:hideMark/>
          </w:tcPr>
          <w:p w14:paraId="47A2BEC7" w14:textId="77777777" w:rsidR="008D0CAD" w:rsidRPr="00173FD6" w:rsidRDefault="008D0CAD" w:rsidP="005902F7">
            <w:pPr>
              <w:spacing w:before="100" w:beforeAutospacing="1" w:after="100" w:afterAutospacing="1" w:line="360" w:lineRule="auto"/>
              <w:rPr>
                <w:rFonts w:ascii="Calibri" w:hAnsi="Calibri" w:cs="Calibri"/>
                <w:color w:val="000000"/>
                <w:sz w:val="22"/>
                <w:szCs w:val="22"/>
                <w:lang w:val="en-US"/>
              </w:rPr>
            </w:pPr>
            <w:r w:rsidRPr="00173FD6">
              <w:rPr>
                <w:rFonts w:ascii="Calibri" w:hAnsi="Calibri" w:cs="Calibri"/>
                <w:color w:val="000000"/>
                <w:sz w:val="22"/>
                <w:szCs w:val="22"/>
                <w:lang w:val="en-US"/>
              </w:rPr>
              <w:t>2</w:t>
            </w:r>
          </w:p>
        </w:tc>
        <w:tc>
          <w:tcPr>
            <w:tcW w:w="1406" w:type="dxa"/>
            <w:noWrap/>
            <w:hideMark/>
          </w:tcPr>
          <w:p w14:paraId="497DAEC3" w14:textId="77777777" w:rsidR="008D0CAD" w:rsidRPr="00173FD6" w:rsidRDefault="008D0CAD" w:rsidP="005902F7">
            <w:pPr>
              <w:spacing w:before="100" w:beforeAutospacing="1" w:after="100" w:afterAutospacing="1" w:line="360" w:lineRule="auto"/>
              <w:rPr>
                <w:rFonts w:ascii="Calibri" w:hAnsi="Calibri" w:cs="Calibri"/>
                <w:color w:val="000000"/>
                <w:sz w:val="22"/>
                <w:szCs w:val="22"/>
                <w:lang w:val="en-US"/>
              </w:rPr>
            </w:pPr>
            <w:r w:rsidRPr="00173FD6">
              <w:rPr>
                <w:rFonts w:ascii="Calibri" w:hAnsi="Calibri" w:cs="Calibri"/>
                <w:color w:val="000000"/>
                <w:sz w:val="22"/>
                <w:szCs w:val="22"/>
                <w:lang w:val="en-US"/>
              </w:rPr>
              <w:t>1</w:t>
            </w:r>
          </w:p>
        </w:tc>
        <w:tc>
          <w:tcPr>
            <w:tcW w:w="1405" w:type="dxa"/>
            <w:noWrap/>
            <w:hideMark/>
          </w:tcPr>
          <w:p w14:paraId="75A639D7" w14:textId="77777777" w:rsidR="008D0CAD" w:rsidRPr="00173FD6" w:rsidRDefault="008D0CAD" w:rsidP="005902F7">
            <w:pPr>
              <w:spacing w:before="100" w:beforeAutospacing="1" w:after="100" w:afterAutospacing="1" w:line="360" w:lineRule="auto"/>
              <w:rPr>
                <w:rFonts w:ascii="Calibri" w:hAnsi="Calibri" w:cs="Calibri"/>
                <w:color w:val="000000"/>
                <w:sz w:val="22"/>
                <w:szCs w:val="22"/>
                <w:lang w:val="en-US"/>
              </w:rPr>
            </w:pPr>
            <w:r w:rsidRPr="00173FD6">
              <w:rPr>
                <w:rFonts w:ascii="Calibri" w:hAnsi="Calibri" w:cs="Calibri"/>
                <w:color w:val="000000"/>
                <w:sz w:val="22"/>
                <w:szCs w:val="22"/>
                <w:lang w:val="en-US"/>
              </w:rPr>
              <w:t>8</w:t>
            </w:r>
          </w:p>
        </w:tc>
        <w:tc>
          <w:tcPr>
            <w:tcW w:w="1406" w:type="dxa"/>
            <w:noWrap/>
            <w:hideMark/>
          </w:tcPr>
          <w:p w14:paraId="0505E67E" w14:textId="77777777" w:rsidR="008D0CAD" w:rsidRPr="00173FD6" w:rsidRDefault="008D0CAD" w:rsidP="005902F7">
            <w:pPr>
              <w:spacing w:before="100" w:beforeAutospacing="1" w:after="100" w:afterAutospacing="1" w:line="360" w:lineRule="auto"/>
              <w:rPr>
                <w:rFonts w:ascii="Calibri" w:hAnsi="Calibri" w:cs="Calibri"/>
                <w:color w:val="000000"/>
                <w:sz w:val="22"/>
                <w:szCs w:val="22"/>
                <w:lang w:val="en-US"/>
              </w:rPr>
            </w:pPr>
            <w:r w:rsidRPr="00173FD6">
              <w:rPr>
                <w:rFonts w:ascii="Calibri" w:hAnsi="Calibri" w:cs="Calibri"/>
                <w:color w:val="000000"/>
                <w:sz w:val="22"/>
                <w:szCs w:val="22"/>
                <w:lang w:val="en-US"/>
              </w:rPr>
              <w:t>1</w:t>
            </w:r>
          </w:p>
        </w:tc>
      </w:tr>
      <w:tr w:rsidR="008D0CAD" w:rsidRPr="00173FD6" w14:paraId="1E0306F4" w14:textId="77777777" w:rsidTr="00876C11">
        <w:trPr>
          <w:trHeight w:val="300"/>
        </w:trPr>
        <w:tc>
          <w:tcPr>
            <w:tcW w:w="1300" w:type="dxa"/>
            <w:noWrap/>
            <w:hideMark/>
          </w:tcPr>
          <w:p w14:paraId="0D988EDB" w14:textId="77777777" w:rsidR="008D0CAD" w:rsidRPr="00173FD6" w:rsidRDefault="008D0CAD" w:rsidP="005902F7">
            <w:pPr>
              <w:spacing w:before="100" w:beforeAutospacing="1" w:after="100" w:afterAutospacing="1" w:line="360" w:lineRule="auto"/>
              <w:rPr>
                <w:rFonts w:ascii="Calibri" w:hAnsi="Calibri" w:cs="Calibri"/>
                <w:color w:val="000000"/>
                <w:sz w:val="22"/>
                <w:szCs w:val="22"/>
                <w:lang w:val="en-US"/>
              </w:rPr>
            </w:pPr>
            <w:r w:rsidRPr="00173FD6">
              <w:rPr>
                <w:rFonts w:ascii="Calibri" w:hAnsi="Calibri" w:cs="Calibri"/>
                <w:color w:val="000000"/>
                <w:sz w:val="22"/>
                <w:szCs w:val="22"/>
                <w:lang w:val="en-US"/>
              </w:rPr>
              <w:t>Region 6</w:t>
            </w:r>
          </w:p>
        </w:tc>
        <w:tc>
          <w:tcPr>
            <w:tcW w:w="1405" w:type="dxa"/>
            <w:noWrap/>
            <w:hideMark/>
          </w:tcPr>
          <w:p w14:paraId="30AD13B1" w14:textId="77777777" w:rsidR="008D0CAD" w:rsidRPr="00173FD6" w:rsidRDefault="008D0CAD" w:rsidP="005902F7">
            <w:pPr>
              <w:spacing w:before="100" w:beforeAutospacing="1" w:after="100" w:afterAutospacing="1" w:line="360" w:lineRule="auto"/>
              <w:rPr>
                <w:rFonts w:ascii="Calibri" w:hAnsi="Calibri" w:cs="Calibri"/>
                <w:color w:val="000000"/>
                <w:sz w:val="22"/>
                <w:szCs w:val="22"/>
                <w:lang w:val="en-US"/>
              </w:rPr>
            </w:pPr>
            <w:r w:rsidRPr="00173FD6">
              <w:rPr>
                <w:rFonts w:ascii="Calibri" w:hAnsi="Calibri" w:cs="Calibri"/>
                <w:color w:val="000000"/>
                <w:sz w:val="22"/>
                <w:szCs w:val="22"/>
                <w:lang w:val="en-US"/>
              </w:rPr>
              <w:t>11</w:t>
            </w:r>
          </w:p>
        </w:tc>
        <w:tc>
          <w:tcPr>
            <w:tcW w:w="1406" w:type="dxa"/>
            <w:noWrap/>
            <w:hideMark/>
          </w:tcPr>
          <w:p w14:paraId="7AD9469D" w14:textId="77777777" w:rsidR="008D0CAD" w:rsidRPr="00173FD6" w:rsidRDefault="008D0CAD" w:rsidP="005902F7">
            <w:pPr>
              <w:spacing w:before="100" w:beforeAutospacing="1" w:after="100" w:afterAutospacing="1" w:line="360" w:lineRule="auto"/>
              <w:rPr>
                <w:rFonts w:ascii="Calibri" w:hAnsi="Calibri" w:cs="Calibri"/>
                <w:color w:val="000000"/>
                <w:sz w:val="22"/>
                <w:szCs w:val="22"/>
                <w:lang w:val="en-US"/>
              </w:rPr>
            </w:pPr>
            <w:r w:rsidRPr="00173FD6">
              <w:rPr>
                <w:rFonts w:ascii="Calibri" w:hAnsi="Calibri" w:cs="Calibri"/>
                <w:color w:val="000000"/>
                <w:sz w:val="22"/>
                <w:szCs w:val="22"/>
                <w:lang w:val="en-US"/>
              </w:rPr>
              <w:t>4</w:t>
            </w:r>
          </w:p>
        </w:tc>
        <w:tc>
          <w:tcPr>
            <w:tcW w:w="1405" w:type="dxa"/>
            <w:noWrap/>
            <w:hideMark/>
          </w:tcPr>
          <w:p w14:paraId="7C76E2A7" w14:textId="77777777" w:rsidR="008D0CAD" w:rsidRPr="00173FD6" w:rsidRDefault="008D0CAD" w:rsidP="005902F7">
            <w:pPr>
              <w:spacing w:before="100" w:beforeAutospacing="1" w:after="100" w:afterAutospacing="1" w:line="360" w:lineRule="auto"/>
              <w:rPr>
                <w:rFonts w:ascii="Calibri" w:hAnsi="Calibri" w:cs="Calibri"/>
                <w:color w:val="000000"/>
                <w:sz w:val="22"/>
                <w:szCs w:val="22"/>
                <w:lang w:val="en-US"/>
              </w:rPr>
            </w:pPr>
            <w:r w:rsidRPr="00173FD6">
              <w:rPr>
                <w:rFonts w:ascii="Calibri" w:hAnsi="Calibri" w:cs="Calibri"/>
                <w:color w:val="000000"/>
                <w:sz w:val="22"/>
                <w:szCs w:val="22"/>
                <w:lang w:val="en-US"/>
              </w:rPr>
              <w:t>4</w:t>
            </w:r>
          </w:p>
        </w:tc>
        <w:tc>
          <w:tcPr>
            <w:tcW w:w="1406" w:type="dxa"/>
            <w:noWrap/>
            <w:hideMark/>
          </w:tcPr>
          <w:p w14:paraId="77E216FA" w14:textId="77777777" w:rsidR="008D0CAD" w:rsidRPr="00173FD6" w:rsidRDefault="008D0CAD" w:rsidP="005902F7">
            <w:pPr>
              <w:spacing w:before="100" w:beforeAutospacing="1" w:after="100" w:afterAutospacing="1" w:line="360" w:lineRule="auto"/>
              <w:rPr>
                <w:rFonts w:ascii="Calibri" w:hAnsi="Calibri" w:cs="Calibri"/>
                <w:color w:val="000000"/>
                <w:sz w:val="22"/>
                <w:szCs w:val="22"/>
                <w:lang w:val="en-US"/>
              </w:rPr>
            </w:pPr>
            <w:r w:rsidRPr="00173FD6">
              <w:rPr>
                <w:rFonts w:ascii="Calibri" w:hAnsi="Calibri" w:cs="Calibri"/>
                <w:color w:val="000000"/>
                <w:sz w:val="22"/>
                <w:szCs w:val="22"/>
                <w:lang w:val="en-US"/>
              </w:rPr>
              <w:t>2</w:t>
            </w:r>
          </w:p>
        </w:tc>
        <w:tc>
          <w:tcPr>
            <w:tcW w:w="1405" w:type="dxa"/>
            <w:noWrap/>
            <w:hideMark/>
          </w:tcPr>
          <w:p w14:paraId="37986DD5" w14:textId="77777777" w:rsidR="008D0CAD" w:rsidRPr="00173FD6" w:rsidRDefault="008D0CAD" w:rsidP="005902F7">
            <w:pPr>
              <w:spacing w:before="100" w:beforeAutospacing="1" w:after="100" w:afterAutospacing="1" w:line="360" w:lineRule="auto"/>
              <w:rPr>
                <w:rFonts w:ascii="Calibri" w:hAnsi="Calibri" w:cs="Calibri"/>
                <w:color w:val="000000"/>
                <w:sz w:val="22"/>
                <w:szCs w:val="22"/>
                <w:lang w:val="en-US"/>
              </w:rPr>
            </w:pPr>
            <w:r w:rsidRPr="00173FD6">
              <w:rPr>
                <w:rFonts w:ascii="Calibri" w:hAnsi="Calibri" w:cs="Calibri"/>
                <w:color w:val="000000"/>
                <w:sz w:val="22"/>
                <w:szCs w:val="22"/>
                <w:lang w:val="en-US"/>
              </w:rPr>
              <w:t>7</w:t>
            </w:r>
          </w:p>
        </w:tc>
        <w:tc>
          <w:tcPr>
            <w:tcW w:w="1406" w:type="dxa"/>
            <w:noWrap/>
            <w:hideMark/>
          </w:tcPr>
          <w:p w14:paraId="6DBA4557" w14:textId="77777777" w:rsidR="008D0CAD" w:rsidRPr="00173FD6" w:rsidRDefault="008D0CAD" w:rsidP="005902F7">
            <w:pPr>
              <w:spacing w:before="100" w:beforeAutospacing="1" w:after="100" w:afterAutospacing="1" w:line="360" w:lineRule="auto"/>
              <w:rPr>
                <w:rFonts w:ascii="Calibri" w:hAnsi="Calibri" w:cs="Calibri"/>
                <w:color w:val="000000"/>
                <w:sz w:val="22"/>
                <w:szCs w:val="22"/>
                <w:lang w:val="en-US"/>
              </w:rPr>
            </w:pPr>
            <w:r w:rsidRPr="00173FD6">
              <w:rPr>
                <w:rFonts w:ascii="Calibri" w:hAnsi="Calibri" w:cs="Calibri"/>
                <w:color w:val="000000"/>
                <w:sz w:val="22"/>
                <w:szCs w:val="22"/>
                <w:lang w:val="en-US"/>
              </w:rPr>
              <w:t>1</w:t>
            </w:r>
          </w:p>
        </w:tc>
      </w:tr>
      <w:tr w:rsidR="008D0CAD" w:rsidRPr="00173FD6" w14:paraId="3E5647D8" w14:textId="77777777" w:rsidTr="00876C11">
        <w:trPr>
          <w:trHeight w:val="300"/>
        </w:trPr>
        <w:tc>
          <w:tcPr>
            <w:tcW w:w="1300" w:type="dxa"/>
            <w:noWrap/>
            <w:hideMark/>
          </w:tcPr>
          <w:p w14:paraId="752E8B4A" w14:textId="77777777" w:rsidR="008D0CAD" w:rsidRPr="00173FD6" w:rsidRDefault="008D0CAD" w:rsidP="005902F7">
            <w:pPr>
              <w:spacing w:before="100" w:beforeAutospacing="1" w:after="100" w:afterAutospacing="1" w:line="360" w:lineRule="auto"/>
              <w:rPr>
                <w:rFonts w:ascii="Calibri" w:hAnsi="Calibri" w:cs="Calibri"/>
                <w:color w:val="000000"/>
                <w:sz w:val="22"/>
                <w:szCs w:val="22"/>
                <w:lang w:val="en-US"/>
              </w:rPr>
            </w:pPr>
            <w:r w:rsidRPr="00173FD6">
              <w:rPr>
                <w:rFonts w:ascii="Calibri" w:hAnsi="Calibri" w:cs="Calibri"/>
                <w:color w:val="000000"/>
                <w:sz w:val="22"/>
                <w:szCs w:val="22"/>
                <w:lang w:val="en-US"/>
              </w:rPr>
              <w:t>Region 7</w:t>
            </w:r>
          </w:p>
        </w:tc>
        <w:tc>
          <w:tcPr>
            <w:tcW w:w="1405" w:type="dxa"/>
            <w:noWrap/>
            <w:hideMark/>
          </w:tcPr>
          <w:p w14:paraId="15A28F1F" w14:textId="77777777" w:rsidR="008D0CAD" w:rsidRPr="00173FD6" w:rsidRDefault="008D0CAD" w:rsidP="005902F7">
            <w:pPr>
              <w:spacing w:before="100" w:beforeAutospacing="1" w:after="100" w:afterAutospacing="1" w:line="360" w:lineRule="auto"/>
              <w:rPr>
                <w:rFonts w:ascii="Calibri" w:hAnsi="Calibri" w:cs="Calibri"/>
                <w:color w:val="000000"/>
                <w:sz w:val="22"/>
                <w:szCs w:val="22"/>
                <w:lang w:val="en-US"/>
              </w:rPr>
            </w:pPr>
            <w:r w:rsidRPr="00173FD6">
              <w:rPr>
                <w:rFonts w:ascii="Calibri" w:hAnsi="Calibri" w:cs="Calibri"/>
                <w:color w:val="000000"/>
                <w:sz w:val="22"/>
                <w:szCs w:val="22"/>
                <w:lang w:val="en-US"/>
              </w:rPr>
              <w:t>11</w:t>
            </w:r>
          </w:p>
        </w:tc>
        <w:tc>
          <w:tcPr>
            <w:tcW w:w="1406" w:type="dxa"/>
            <w:noWrap/>
            <w:hideMark/>
          </w:tcPr>
          <w:p w14:paraId="185947D8" w14:textId="77777777" w:rsidR="008D0CAD" w:rsidRPr="00173FD6" w:rsidRDefault="008D0CAD" w:rsidP="005902F7">
            <w:pPr>
              <w:spacing w:before="100" w:beforeAutospacing="1" w:after="100" w:afterAutospacing="1" w:line="360" w:lineRule="auto"/>
              <w:rPr>
                <w:rFonts w:ascii="Calibri" w:hAnsi="Calibri" w:cs="Calibri"/>
                <w:color w:val="000000"/>
                <w:sz w:val="22"/>
                <w:szCs w:val="22"/>
                <w:lang w:val="en-US"/>
              </w:rPr>
            </w:pPr>
            <w:r w:rsidRPr="00173FD6">
              <w:rPr>
                <w:rFonts w:ascii="Calibri" w:hAnsi="Calibri" w:cs="Calibri"/>
                <w:color w:val="000000"/>
                <w:sz w:val="22"/>
                <w:szCs w:val="22"/>
                <w:lang w:val="en-US"/>
              </w:rPr>
              <w:t>5</w:t>
            </w:r>
          </w:p>
        </w:tc>
        <w:tc>
          <w:tcPr>
            <w:tcW w:w="1405" w:type="dxa"/>
            <w:noWrap/>
            <w:hideMark/>
          </w:tcPr>
          <w:p w14:paraId="3425EA0F" w14:textId="77777777" w:rsidR="008D0CAD" w:rsidRPr="00173FD6" w:rsidRDefault="008D0CAD" w:rsidP="005902F7">
            <w:pPr>
              <w:spacing w:before="100" w:beforeAutospacing="1" w:after="100" w:afterAutospacing="1" w:line="360" w:lineRule="auto"/>
              <w:rPr>
                <w:rFonts w:ascii="Calibri" w:hAnsi="Calibri" w:cs="Calibri"/>
                <w:color w:val="000000"/>
                <w:sz w:val="22"/>
                <w:szCs w:val="22"/>
                <w:lang w:val="en-US"/>
              </w:rPr>
            </w:pPr>
            <w:r w:rsidRPr="00173FD6">
              <w:rPr>
                <w:rFonts w:ascii="Calibri" w:hAnsi="Calibri" w:cs="Calibri"/>
                <w:color w:val="000000"/>
                <w:sz w:val="22"/>
                <w:szCs w:val="22"/>
                <w:lang w:val="en-US"/>
              </w:rPr>
              <w:t>2</w:t>
            </w:r>
          </w:p>
        </w:tc>
        <w:tc>
          <w:tcPr>
            <w:tcW w:w="1406" w:type="dxa"/>
            <w:noWrap/>
            <w:hideMark/>
          </w:tcPr>
          <w:p w14:paraId="2D910AF5" w14:textId="77777777" w:rsidR="008D0CAD" w:rsidRPr="00173FD6" w:rsidRDefault="008D0CAD" w:rsidP="005902F7">
            <w:pPr>
              <w:spacing w:before="100" w:beforeAutospacing="1" w:after="100" w:afterAutospacing="1" w:line="360" w:lineRule="auto"/>
              <w:rPr>
                <w:rFonts w:ascii="Calibri" w:hAnsi="Calibri" w:cs="Calibri"/>
                <w:color w:val="000000"/>
                <w:sz w:val="22"/>
                <w:szCs w:val="22"/>
                <w:lang w:val="en-US"/>
              </w:rPr>
            </w:pPr>
            <w:r w:rsidRPr="00173FD6">
              <w:rPr>
                <w:rFonts w:ascii="Calibri" w:hAnsi="Calibri" w:cs="Calibri"/>
                <w:color w:val="000000"/>
                <w:sz w:val="22"/>
                <w:szCs w:val="22"/>
                <w:lang w:val="en-US"/>
              </w:rPr>
              <w:t>1</w:t>
            </w:r>
          </w:p>
        </w:tc>
        <w:tc>
          <w:tcPr>
            <w:tcW w:w="1405" w:type="dxa"/>
            <w:noWrap/>
            <w:hideMark/>
          </w:tcPr>
          <w:p w14:paraId="305E13C0" w14:textId="77777777" w:rsidR="008D0CAD" w:rsidRPr="00173FD6" w:rsidRDefault="008D0CAD" w:rsidP="005902F7">
            <w:pPr>
              <w:spacing w:before="100" w:beforeAutospacing="1" w:after="100" w:afterAutospacing="1" w:line="360" w:lineRule="auto"/>
              <w:rPr>
                <w:rFonts w:ascii="Calibri" w:hAnsi="Calibri" w:cs="Calibri"/>
                <w:color w:val="000000"/>
                <w:sz w:val="22"/>
                <w:szCs w:val="22"/>
                <w:lang w:val="en-US"/>
              </w:rPr>
            </w:pPr>
            <w:r w:rsidRPr="00173FD6">
              <w:rPr>
                <w:rFonts w:ascii="Calibri" w:hAnsi="Calibri" w:cs="Calibri"/>
                <w:color w:val="000000"/>
                <w:sz w:val="22"/>
                <w:szCs w:val="22"/>
                <w:lang w:val="en-US"/>
              </w:rPr>
              <w:t>1</w:t>
            </w:r>
          </w:p>
        </w:tc>
        <w:tc>
          <w:tcPr>
            <w:tcW w:w="1406" w:type="dxa"/>
            <w:noWrap/>
            <w:hideMark/>
          </w:tcPr>
          <w:p w14:paraId="24286FD0" w14:textId="77777777" w:rsidR="008D0CAD" w:rsidRPr="00173FD6" w:rsidRDefault="008D0CAD" w:rsidP="005902F7">
            <w:pPr>
              <w:spacing w:before="100" w:beforeAutospacing="1" w:after="100" w:afterAutospacing="1" w:line="360" w:lineRule="auto"/>
              <w:rPr>
                <w:rFonts w:ascii="Calibri" w:hAnsi="Calibri" w:cs="Calibri"/>
                <w:color w:val="000000"/>
                <w:sz w:val="22"/>
                <w:szCs w:val="22"/>
                <w:lang w:val="en-US"/>
              </w:rPr>
            </w:pPr>
            <w:r w:rsidRPr="00173FD6">
              <w:rPr>
                <w:rFonts w:ascii="Calibri" w:hAnsi="Calibri" w:cs="Calibri"/>
                <w:color w:val="000000"/>
                <w:sz w:val="22"/>
                <w:szCs w:val="22"/>
                <w:lang w:val="en-US"/>
              </w:rPr>
              <w:t>1</w:t>
            </w:r>
          </w:p>
        </w:tc>
      </w:tr>
      <w:tr w:rsidR="008D0CAD" w:rsidRPr="00173FD6" w14:paraId="17D24DC6" w14:textId="77777777" w:rsidTr="00876C11">
        <w:trPr>
          <w:trHeight w:val="300"/>
        </w:trPr>
        <w:tc>
          <w:tcPr>
            <w:tcW w:w="1300" w:type="dxa"/>
            <w:noWrap/>
            <w:hideMark/>
          </w:tcPr>
          <w:p w14:paraId="0F0EF5AD" w14:textId="77777777" w:rsidR="008D0CAD" w:rsidRPr="00173FD6" w:rsidRDefault="008D0CAD" w:rsidP="005902F7">
            <w:pPr>
              <w:spacing w:before="100" w:beforeAutospacing="1" w:after="100" w:afterAutospacing="1" w:line="360" w:lineRule="auto"/>
              <w:rPr>
                <w:rFonts w:ascii="Calibri" w:hAnsi="Calibri" w:cs="Calibri"/>
                <w:color w:val="000000"/>
                <w:sz w:val="22"/>
                <w:szCs w:val="22"/>
                <w:lang w:val="en-US"/>
              </w:rPr>
            </w:pPr>
            <w:r w:rsidRPr="00173FD6">
              <w:rPr>
                <w:rFonts w:ascii="Calibri" w:hAnsi="Calibri" w:cs="Calibri"/>
                <w:color w:val="000000"/>
                <w:sz w:val="22"/>
                <w:szCs w:val="22"/>
                <w:lang w:val="en-US"/>
              </w:rPr>
              <w:t>Region 8</w:t>
            </w:r>
          </w:p>
        </w:tc>
        <w:tc>
          <w:tcPr>
            <w:tcW w:w="1405" w:type="dxa"/>
            <w:noWrap/>
            <w:hideMark/>
          </w:tcPr>
          <w:p w14:paraId="4BF396E8" w14:textId="77777777" w:rsidR="008D0CAD" w:rsidRPr="00173FD6" w:rsidRDefault="008D0CAD" w:rsidP="005902F7">
            <w:pPr>
              <w:spacing w:before="100" w:beforeAutospacing="1" w:after="100" w:afterAutospacing="1" w:line="360" w:lineRule="auto"/>
              <w:rPr>
                <w:rFonts w:ascii="Calibri" w:hAnsi="Calibri" w:cs="Calibri"/>
                <w:color w:val="000000"/>
                <w:sz w:val="22"/>
                <w:szCs w:val="22"/>
                <w:lang w:val="en-US"/>
              </w:rPr>
            </w:pPr>
            <w:r w:rsidRPr="00173FD6">
              <w:rPr>
                <w:rFonts w:ascii="Calibri" w:hAnsi="Calibri" w:cs="Calibri"/>
                <w:color w:val="000000"/>
                <w:sz w:val="22"/>
                <w:szCs w:val="22"/>
                <w:lang w:val="en-US"/>
              </w:rPr>
              <w:t>17</w:t>
            </w:r>
          </w:p>
        </w:tc>
        <w:tc>
          <w:tcPr>
            <w:tcW w:w="1406" w:type="dxa"/>
            <w:noWrap/>
            <w:hideMark/>
          </w:tcPr>
          <w:p w14:paraId="5AF130CD" w14:textId="77777777" w:rsidR="008D0CAD" w:rsidRPr="00173FD6" w:rsidRDefault="008D0CAD" w:rsidP="005902F7">
            <w:pPr>
              <w:spacing w:before="100" w:beforeAutospacing="1" w:after="100" w:afterAutospacing="1" w:line="360" w:lineRule="auto"/>
              <w:rPr>
                <w:rFonts w:ascii="Calibri" w:hAnsi="Calibri" w:cs="Calibri"/>
                <w:color w:val="000000"/>
                <w:sz w:val="22"/>
                <w:szCs w:val="22"/>
                <w:lang w:val="en-US"/>
              </w:rPr>
            </w:pPr>
            <w:r w:rsidRPr="00173FD6">
              <w:rPr>
                <w:rFonts w:ascii="Calibri" w:hAnsi="Calibri" w:cs="Calibri"/>
                <w:color w:val="000000"/>
                <w:sz w:val="22"/>
                <w:szCs w:val="22"/>
                <w:lang w:val="en-US"/>
              </w:rPr>
              <w:t>5</w:t>
            </w:r>
          </w:p>
        </w:tc>
        <w:tc>
          <w:tcPr>
            <w:tcW w:w="1405" w:type="dxa"/>
            <w:noWrap/>
            <w:hideMark/>
          </w:tcPr>
          <w:p w14:paraId="71E9FF3D" w14:textId="77777777" w:rsidR="008D0CAD" w:rsidRPr="00173FD6" w:rsidRDefault="008D0CAD" w:rsidP="005902F7">
            <w:pPr>
              <w:spacing w:before="100" w:beforeAutospacing="1" w:after="100" w:afterAutospacing="1" w:line="360" w:lineRule="auto"/>
              <w:rPr>
                <w:rFonts w:ascii="Calibri" w:hAnsi="Calibri" w:cs="Calibri"/>
                <w:color w:val="000000"/>
                <w:sz w:val="22"/>
                <w:szCs w:val="22"/>
                <w:lang w:val="en-US"/>
              </w:rPr>
            </w:pPr>
            <w:r w:rsidRPr="00173FD6">
              <w:rPr>
                <w:rFonts w:ascii="Calibri" w:hAnsi="Calibri" w:cs="Calibri"/>
                <w:color w:val="000000"/>
                <w:sz w:val="22"/>
                <w:szCs w:val="22"/>
                <w:lang w:val="en-US"/>
              </w:rPr>
              <w:t>2</w:t>
            </w:r>
          </w:p>
        </w:tc>
        <w:tc>
          <w:tcPr>
            <w:tcW w:w="1406" w:type="dxa"/>
            <w:noWrap/>
            <w:hideMark/>
          </w:tcPr>
          <w:p w14:paraId="38F1AE0A" w14:textId="77777777" w:rsidR="008D0CAD" w:rsidRPr="00173FD6" w:rsidRDefault="008D0CAD" w:rsidP="005902F7">
            <w:pPr>
              <w:spacing w:before="100" w:beforeAutospacing="1" w:after="100" w:afterAutospacing="1" w:line="360" w:lineRule="auto"/>
              <w:rPr>
                <w:rFonts w:ascii="Calibri" w:hAnsi="Calibri" w:cs="Calibri"/>
                <w:color w:val="000000"/>
                <w:sz w:val="22"/>
                <w:szCs w:val="22"/>
                <w:lang w:val="en-US"/>
              </w:rPr>
            </w:pPr>
            <w:r w:rsidRPr="00173FD6">
              <w:rPr>
                <w:rFonts w:ascii="Calibri" w:hAnsi="Calibri" w:cs="Calibri"/>
                <w:color w:val="000000"/>
                <w:sz w:val="22"/>
                <w:szCs w:val="22"/>
                <w:lang w:val="en-US"/>
              </w:rPr>
              <w:t>0</w:t>
            </w:r>
          </w:p>
        </w:tc>
        <w:tc>
          <w:tcPr>
            <w:tcW w:w="1405" w:type="dxa"/>
            <w:noWrap/>
            <w:hideMark/>
          </w:tcPr>
          <w:p w14:paraId="2AAE783F" w14:textId="77777777" w:rsidR="008D0CAD" w:rsidRPr="00173FD6" w:rsidRDefault="008D0CAD" w:rsidP="005902F7">
            <w:pPr>
              <w:spacing w:before="100" w:beforeAutospacing="1" w:after="100" w:afterAutospacing="1" w:line="360" w:lineRule="auto"/>
              <w:rPr>
                <w:rFonts w:ascii="Calibri" w:hAnsi="Calibri" w:cs="Calibri"/>
                <w:color w:val="000000"/>
                <w:sz w:val="22"/>
                <w:szCs w:val="22"/>
                <w:lang w:val="en-US"/>
              </w:rPr>
            </w:pPr>
            <w:r w:rsidRPr="00173FD6">
              <w:rPr>
                <w:rFonts w:ascii="Calibri" w:hAnsi="Calibri" w:cs="Calibri"/>
                <w:color w:val="000000"/>
                <w:sz w:val="22"/>
                <w:szCs w:val="22"/>
                <w:lang w:val="en-US"/>
              </w:rPr>
              <w:t>5</w:t>
            </w:r>
          </w:p>
        </w:tc>
        <w:tc>
          <w:tcPr>
            <w:tcW w:w="1406" w:type="dxa"/>
            <w:noWrap/>
            <w:hideMark/>
          </w:tcPr>
          <w:p w14:paraId="0247CEB9" w14:textId="77777777" w:rsidR="008D0CAD" w:rsidRPr="00173FD6" w:rsidRDefault="008D0CAD" w:rsidP="005902F7">
            <w:pPr>
              <w:spacing w:before="100" w:beforeAutospacing="1" w:after="100" w:afterAutospacing="1" w:line="360" w:lineRule="auto"/>
              <w:rPr>
                <w:rFonts w:ascii="Calibri" w:hAnsi="Calibri" w:cs="Calibri"/>
                <w:color w:val="000000"/>
                <w:sz w:val="22"/>
                <w:szCs w:val="22"/>
                <w:lang w:val="en-US"/>
              </w:rPr>
            </w:pPr>
            <w:r w:rsidRPr="00173FD6">
              <w:rPr>
                <w:rFonts w:ascii="Calibri" w:hAnsi="Calibri" w:cs="Calibri"/>
                <w:color w:val="000000"/>
                <w:sz w:val="22"/>
                <w:szCs w:val="22"/>
                <w:lang w:val="en-US"/>
              </w:rPr>
              <w:t>2</w:t>
            </w:r>
          </w:p>
        </w:tc>
      </w:tr>
      <w:tr w:rsidR="008D0CAD" w:rsidRPr="00173FD6" w14:paraId="60F8A5FA" w14:textId="77777777" w:rsidTr="00876C11">
        <w:trPr>
          <w:trHeight w:val="300"/>
        </w:trPr>
        <w:tc>
          <w:tcPr>
            <w:tcW w:w="1300" w:type="dxa"/>
            <w:noWrap/>
            <w:hideMark/>
          </w:tcPr>
          <w:p w14:paraId="79FE721B" w14:textId="77777777" w:rsidR="008D0CAD" w:rsidRPr="00173FD6" w:rsidRDefault="008D0CAD" w:rsidP="005902F7">
            <w:pPr>
              <w:spacing w:before="100" w:beforeAutospacing="1" w:after="100" w:afterAutospacing="1" w:line="360" w:lineRule="auto"/>
              <w:rPr>
                <w:rFonts w:ascii="Calibri" w:hAnsi="Calibri" w:cs="Calibri"/>
                <w:color w:val="000000"/>
                <w:sz w:val="22"/>
                <w:szCs w:val="22"/>
                <w:lang w:val="en-US"/>
              </w:rPr>
            </w:pPr>
            <w:r w:rsidRPr="00173FD6">
              <w:rPr>
                <w:rFonts w:ascii="Calibri" w:hAnsi="Calibri" w:cs="Calibri"/>
                <w:color w:val="000000"/>
                <w:sz w:val="22"/>
                <w:szCs w:val="22"/>
                <w:lang w:val="en-US"/>
              </w:rPr>
              <w:t>Region 10</w:t>
            </w:r>
          </w:p>
        </w:tc>
        <w:tc>
          <w:tcPr>
            <w:tcW w:w="1405" w:type="dxa"/>
            <w:noWrap/>
            <w:hideMark/>
          </w:tcPr>
          <w:p w14:paraId="316C6A19" w14:textId="77777777" w:rsidR="008D0CAD" w:rsidRPr="00173FD6" w:rsidRDefault="008D0CAD" w:rsidP="005902F7">
            <w:pPr>
              <w:spacing w:before="100" w:beforeAutospacing="1" w:after="100" w:afterAutospacing="1" w:line="360" w:lineRule="auto"/>
              <w:rPr>
                <w:rFonts w:ascii="Calibri" w:hAnsi="Calibri" w:cs="Calibri"/>
                <w:color w:val="000000"/>
                <w:sz w:val="22"/>
                <w:szCs w:val="22"/>
                <w:lang w:val="en-US"/>
              </w:rPr>
            </w:pPr>
            <w:r w:rsidRPr="00173FD6">
              <w:rPr>
                <w:rFonts w:ascii="Calibri" w:hAnsi="Calibri" w:cs="Calibri"/>
                <w:color w:val="000000"/>
                <w:sz w:val="22"/>
                <w:szCs w:val="22"/>
                <w:lang w:val="en-US"/>
              </w:rPr>
              <w:t>8</w:t>
            </w:r>
          </w:p>
        </w:tc>
        <w:tc>
          <w:tcPr>
            <w:tcW w:w="1406" w:type="dxa"/>
            <w:noWrap/>
            <w:hideMark/>
          </w:tcPr>
          <w:p w14:paraId="272F1754" w14:textId="77777777" w:rsidR="008D0CAD" w:rsidRPr="00173FD6" w:rsidRDefault="008D0CAD" w:rsidP="005902F7">
            <w:pPr>
              <w:spacing w:before="100" w:beforeAutospacing="1" w:after="100" w:afterAutospacing="1" w:line="360" w:lineRule="auto"/>
              <w:rPr>
                <w:rFonts w:ascii="Calibri" w:hAnsi="Calibri" w:cs="Calibri"/>
                <w:color w:val="000000"/>
                <w:sz w:val="22"/>
                <w:szCs w:val="22"/>
                <w:lang w:val="en-US"/>
              </w:rPr>
            </w:pPr>
            <w:r w:rsidRPr="00173FD6">
              <w:rPr>
                <w:rFonts w:ascii="Calibri" w:hAnsi="Calibri" w:cs="Calibri"/>
                <w:color w:val="000000"/>
                <w:sz w:val="22"/>
                <w:szCs w:val="22"/>
                <w:lang w:val="en-US"/>
              </w:rPr>
              <w:t>3</w:t>
            </w:r>
          </w:p>
        </w:tc>
        <w:tc>
          <w:tcPr>
            <w:tcW w:w="1405" w:type="dxa"/>
            <w:noWrap/>
            <w:hideMark/>
          </w:tcPr>
          <w:p w14:paraId="549EA79D" w14:textId="77777777" w:rsidR="008D0CAD" w:rsidRPr="00173FD6" w:rsidRDefault="008D0CAD" w:rsidP="005902F7">
            <w:pPr>
              <w:spacing w:before="100" w:beforeAutospacing="1" w:after="100" w:afterAutospacing="1" w:line="360" w:lineRule="auto"/>
              <w:rPr>
                <w:rFonts w:ascii="Calibri" w:hAnsi="Calibri" w:cs="Calibri"/>
                <w:color w:val="000000"/>
                <w:sz w:val="22"/>
                <w:szCs w:val="22"/>
                <w:lang w:val="en-US"/>
              </w:rPr>
            </w:pPr>
            <w:r w:rsidRPr="00173FD6">
              <w:rPr>
                <w:rFonts w:ascii="Calibri" w:hAnsi="Calibri" w:cs="Calibri"/>
                <w:color w:val="000000"/>
                <w:sz w:val="22"/>
                <w:szCs w:val="22"/>
                <w:lang w:val="en-US"/>
              </w:rPr>
              <w:t>0</w:t>
            </w:r>
          </w:p>
        </w:tc>
        <w:tc>
          <w:tcPr>
            <w:tcW w:w="1406" w:type="dxa"/>
            <w:noWrap/>
            <w:hideMark/>
          </w:tcPr>
          <w:p w14:paraId="6591116B" w14:textId="77777777" w:rsidR="008D0CAD" w:rsidRPr="00173FD6" w:rsidRDefault="008D0CAD" w:rsidP="005902F7">
            <w:pPr>
              <w:spacing w:before="100" w:beforeAutospacing="1" w:after="100" w:afterAutospacing="1" w:line="360" w:lineRule="auto"/>
              <w:rPr>
                <w:rFonts w:ascii="Calibri" w:hAnsi="Calibri" w:cs="Calibri"/>
                <w:color w:val="000000"/>
                <w:sz w:val="22"/>
                <w:szCs w:val="22"/>
                <w:lang w:val="en-US"/>
              </w:rPr>
            </w:pPr>
            <w:r w:rsidRPr="00173FD6">
              <w:rPr>
                <w:rFonts w:ascii="Calibri" w:hAnsi="Calibri" w:cs="Calibri"/>
                <w:color w:val="000000"/>
                <w:sz w:val="22"/>
                <w:szCs w:val="22"/>
                <w:lang w:val="en-US"/>
              </w:rPr>
              <w:t>3</w:t>
            </w:r>
          </w:p>
        </w:tc>
        <w:tc>
          <w:tcPr>
            <w:tcW w:w="1405" w:type="dxa"/>
            <w:noWrap/>
            <w:hideMark/>
          </w:tcPr>
          <w:p w14:paraId="0956187B" w14:textId="77777777" w:rsidR="008D0CAD" w:rsidRPr="00173FD6" w:rsidRDefault="008D0CAD" w:rsidP="005902F7">
            <w:pPr>
              <w:spacing w:before="100" w:beforeAutospacing="1" w:after="100" w:afterAutospacing="1" w:line="360" w:lineRule="auto"/>
              <w:rPr>
                <w:rFonts w:ascii="Calibri" w:hAnsi="Calibri" w:cs="Calibri"/>
                <w:color w:val="000000"/>
                <w:sz w:val="22"/>
                <w:szCs w:val="22"/>
                <w:lang w:val="en-US"/>
              </w:rPr>
            </w:pPr>
            <w:r w:rsidRPr="00173FD6">
              <w:rPr>
                <w:rFonts w:ascii="Calibri" w:hAnsi="Calibri" w:cs="Calibri"/>
                <w:color w:val="000000"/>
                <w:sz w:val="22"/>
                <w:szCs w:val="22"/>
                <w:lang w:val="en-US"/>
              </w:rPr>
              <w:t>8</w:t>
            </w:r>
          </w:p>
        </w:tc>
        <w:tc>
          <w:tcPr>
            <w:tcW w:w="1406" w:type="dxa"/>
            <w:noWrap/>
            <w:hideMark/>
          </w:tcPr>
          <w:p w14:paraId="46F5DBA8" w14:textId="77777777" w:rsidR="008D0CAD" w:rsidRPr="00173FD6" w:rsidRDefault="008D0CAD" w:rsidP="005902F7">
            <w:pPr>
              <w:spacing w:before="100" w:beforeAutospacing="1" w:after="100" w:afterAutospacing="1" w:line="360" w:lineRule="auto"/>
              <w:rPr>
                <w:rFonts w:ascii="Calibri" w:hAnsi="Calibri" w:cs="Calibri"/>
                <w:color w:val="000000"/>
                <w:sz w:val="22"/>
                <w:szCs w:val="22"/>
                <w:lang w:val="en-US"/>
              </w:rPr>
            </w:pPr>
            <w:r w:rsidRPr="00173FD6">
              <w:rPr>
                <w:rFonts w:ascii="Calibri" w:hAnsi="Calibri" w:cs="Calibri"/>
                <w:color w:val="000000"/>
                <w:sz w:val="22"/>
                <w:szCs w:val="22"/>
                <w:lang w:val="en-US"/>
              </w:rPr>
              <w:t>0</w:t>
            </w:r>
          </w:p>
        </w:tc>
      </w:tr>
      <w:tr w:rsidR="008D0CAD" w:rsidRPr="00173FD6" w14:paraId="28AA75F7" w14:textId="77777777" w:rsidTr="00876C11">
        <w:trPr>
          <w:trHeight w:val="300"/>
        </w:trPr>
        <w:tc>
          <w:tcPr>
            <w:tcW w:w="1300" w:type="dxa"/>
            <w:noWrap/>
            <w:hideMark/>
          </w:tcPr>
          <w:p w14:paraId="3E0461E1" w14:textId="77777777" w:rsidR="008D0CAD" w:rsidRPr="00173FD6" w:rsidRDefault="008D0CAD" w:rsidP="005902F7">
            <w:pPr>
              <w:spacing w:before="100" w:beforeAutospacing="1" w:after="100" w:afterAutospacing="1" w:line="360" w:lineRule="auto"/>
              <w:rPr>
                <w:rFonts w:ascii="Calibri" w:hAnsi="Calibri" w:cs="Calibri"/>
                <w:color w:val="000000"/>
                <w:sz w:val="22"/>
                <w:szCs w:val="22"/>
                <w:lang w:val="en-US"/>
              </w:rPr>
            </w:pPr>
            <w:r w:rsidRPr="00173FD6">
              <w:rPr>
                <w:rFonts w:ascii="Calibri" w:hAnsi="Calibri" w:cs="Calibri"/>
                <w:color w:val="000000"/>
                <w:sz w:val="22"/>
                <w:szCs w:val="22"/>
                <w:lang w:val="en-US"/>
              </w:rPr>
              <w:t>Total</w:t>
            </w:r>
          </w:p>
        </w:tc>
        <w:tc>
          <w:tcPr>
            <w:tcW w:w="1405" w:type="dxa"/>
            <w:noWrap/>
            <w:hideMark/>
          </w:tcPr>
          <w:p w14:paraId="492BCA75" w14:textId="77777777" w:rsidR="008D0CAD" w:rsidRPr="00173FD6" w:rsidRDefault="008D0CAD" w:rsidP="005902F7">
            <w:pPr>
              <w:spacing w:before="100" w:beforeAutospacing="1" w:after="100" w:afterAutospacing="1" w:line="360" w:lineRule="auto"/>
              <w:rPr>
                <w:rFonts w:ascii="Calibri" w:hAnsi="Calibri" w:cs="Calibri"/>
                <w:color w:val="000000"/>
                <w:sz w:val="22"/>
                <w:szCs w:val="22"/>
                <w:lang w:val="en-US"/>
              </w:rPr>
            </w:pPr>
            <w:r w:rsidRPr="00173FD6">
              <w:rPr>
                <w:rFonts w:ascii="Calibri" w:hAnsi="Calibri" w:cs="Calibri"/>
                <w:color w:val="000000"/>
                <w:sz w:val="22"/>
                <w:szCs w:val="22"/>
                <w:lang w:val="en-US"/>
              </w:rPr>
              <w:t>80</w:t>
            </w:r>
          </w:p>
        </w:tc>
        <w:tc>
          <w:tcPr>
            <w:tcW w:w="1406" w:type="dxa"/>
            <w:noWrap/>
            <w:hideMark/>
          </w:tcPr>
          <w:p w14:paraId="3002BC8D" w14:textId="77777777" w:rsidR="008D0CAD" w:rsidRPr="00173FD6" w:rsidRDefault="008D0CAD" w:rsidP="005902F7">
            <w:pPr>
              <w:spacing w:before="100" w:beforeAutospacing="1" w:after="100" w:afterAutospacing="1" w:line="360" w:lineRule="auto"/>
              <w:rPr>
                <w:rFonts w:ascii="Calibri" w:hAnsi="Calibri" w:cs="Calibri"/>
                <w:color w:val="000000"/>
                <w:sz w:val="22"/>
                <w:szCs w:val="22"/>
                <w:lang w:val="en-US"/>
              </w:rPr>
            </w:pPr>
            <w:r w:rsidRPr="00173FD6">
              <w:rPr>
                <w:rFonts w:ascii="Calibri" w:hAnsi="Calibri" w:cs="Calibri"/>
                <w:color w:val="000000"/>
                <w:sz w:val="22"/>
                <w:szCs w:val="22"/>
                <w:lang w:val="en-US"/>
              </w:rPr>
              <w:t>26</w:t>
            </w:r>
          </w:p>
        </w:tc>
        <w:tc>
          <w:tcPr>
            <w:tcW w:w="1405" w:type="dxa"/>
            <w:noWrap/>
            <w:hideMark/>
          </w:tcPr>
          <w:p w14:paraId="74084316" w14:textId="77777777" w:rsidR="008D0CAD" w:rsidRPr="00173FD6" w:rsidRDefault="008D0CAD" w:rsidP="005902F7">
            <w:pPr>
              <w:spacing w:before="100" w:beforeAutospacing="1" w:after="100" w:afterAutospacing="1" w:line="360" w:lineRule="auto"/>
              <w:rPr>
                <w:rFonts w:ascii="Calibri" w:hAnsi="Calibri" w:cs="Calibri"/>
                <w:color w:val="000000"/>
                <w:sz w:val="22"/>
                <w:szCs w:val="22"/>
                <w:lang w:val="en-US"/>
              </w:rPr>
            </w:pPr>
            <w:r w:rsidRPr="00173FD6">
              <w:rPr>
                <w:rFonts w:ascii="Calibri" w:hAnsi="Calibri" w:cs="Calibri"/>
                <w:color w:val="000000"/>
                <w:sz w:val="22"/>
                <w:szCs w:val="22"/>
                <w:lang w:val="en-US"/>
              </w:rPr>
              <w:t>16</w:t>
            </w:r>
          </w:p>
        </w:tc>
        <w:tc>
          <w:tcPr>
            <w:tcW w:w="1406" w:type="dxa"/>
            <w:noWrap/>
            <w:hideMark/>
          </w:tcPr>
          <w:p w14:paraId="7C02A956" w14:textId="77777777" w:rsidR="008D0CAD" w:rsidRPr="00173FD6" w:rsidRDefault="008D0CAD" w:rsidP="005902F7">
            <w:pPr>
              <w:spacing w:before="100" w:beforeAutospacing="1" w:after="100" w:afterAutospacing="1" w:line="360" w:lineRule="auto"/>
              <w:rPr>
                <w:rFonts w:ascii="Calibri" w:hAnsi="Calibri" w:cs="Calibri"/>
                <w:color w:val="000000"/>
                <w:sz w:val="22"/>
                <w:szCs w:val="22"/>
                <w:lang w:val="en-US"/>
              </w:rPr>
            </w:pPr>
            <w:r w:rsidRPr="00173FD6">
              <w:rPr>
                <w:rFonts w:ascii="Calibri" w:hAnsi="Calibri" w:cs="Calibri"/>
                <w:color w:val="000000"/>
                <w:sz w:val="22"/>
                <w:szCs w:val="22"/>
                <w:lang w:val="en-US"/>
              </w:rPr>
              <w:t>9</w:t>
            </w:r>
          </w:p>
        </w:tc>
        <w:tc>
          <w:tcPr>
            <w:tcW w:w="1405" w:type="dxa"/>
            <w:noWrap/>
            <w:hideMark/>
          </w:tcPr>
          <w:p w14:paraId="0D273C4F" w14:textId="77777777" w:rsidR="008D0CAD" w:rsidRPr="00173FD6" w:rsidRDefault="008D0CAD" w:rsidP="005902F7">
            <w:pPr>
              <w:spacing w:before="100" w:beforeAutospacing="1" w:after="100" w:afterAutospacing="1" w:line="360" w:lineRule="auto"/>
              <w:rPr>
                <w:rFonts w:ascii="Calibri" w:hAnsi="Calibri" w:cs="Calibri"/>
                <w:color w:val="000000"/>
                <w:sz w:val="22"/>
                <w:szCs w:val="22"/>
                <w:lang w:val="en-US"/>
              </w:rPr>
            </w:pPr>
            <w:r w:rsidRPr="00173FD6">
              <w:rPr>
                <w:rFonts w:ascii="Calibri" w:hAnsi="Calibri" w:cs="Calibri"/>
                <w:color w:val="000000"/>
                <w:sz w:val="22"/>
                <w:szCs w:val="22"/>
                <w:lang w:val="en-US"/>
              </w:rPr>
              <w:t>31</w:t>
            </w:r>
          </w:p>
        </w:tc>
        <w:tc>
          <w:tcPr>
            <w:tcW w:w="1406" w:type="dxa"/>
            <w:noWrap/>
            <w:hideMark/>
          </w:tcPr>
          <w:p w14:paraId="3541641D" w14:textId="77777777" w:rsidR="008D0CAD" w:rsidRPr="00173FD6" w:rsidRDefault="008D0CAD" w:rsidP="005902F7">
            <w:pPr>
              <w:spacing w:before="100" w:beforeAutospacing="1" w:after="100" w:afterAutospacing="1" w:line="360" w:lineRule="auto"/>
              <w:rPr>
                <w:rFonts w:ascii="Calibri" w:hAnsi="Calibri" w:cs="Calibri"/>
                <w:color w:val="000000"/>
                <w:sz w:val="22"/>
                <w:szCs w:val="22"/>
                <w:lang w:val="en-US"/>
              </w:rPr>
            </w:pPr>
            <w:r w:rsidRPr="00173FD6">
              <w:rPr>
                <w:rFonts w:ascii="Calibri" w:hAnsi="Calibri" w:cs="Calibri"/>
                <w:color w:val="000000"/>
                <w:sz w:val="22"/>
                <w:szCs w:val="22"/>
                <w:lang w:val="en-US"/>
              </w:rPr>
              <w:t>6</w:t>
            </w:r>
          </w:p>
        </w:tc>
      </w:tr>
    </w:tbl>
    <w:p w14:paraId="74505831" w14:textId="65AD829E" w:rsidR="008D0CAD" w:rsidRPr="00173FD6" w:rsidRDefault="00D608F7" w:rsidP="005902F7">
      <w:pPr>
        <w:pStyle w:val="Heading4"/>
        <w:spacing w:before="100" w:beforeAutospacing="1" w:after="100" w:afterAutospacing="1" w:line="360" w:lineRule="auto"/>
        <w:rPr>
          <w:lang w:val="en-US"/>
        </w:rPr>
      </w:pPr>
      <w:bookmarkStart w:id="242" w:name="_Toc10722985"/>
      <w:bookmarkStart w:id="243" w:name="_Toc11510932"/>
      <w:bookmarkStart w:id="244" w:name="_Toc39938362"/>
      <w:bookmarkStart w:id="245" w:name="_Toc69820467"/>
      <w:r>
        <w:rPr>
          <w:lang w:val="en-US"/>
        </w:rPr>
        <w:t xml:space="preserve">4.2 </w:t>
      </w:r>
      <w:r w:rsidR="008D0CAD" w:rsidRPr="00173FD6">
        <w:rPr>
          <w:lang w:val="en-US"/>
        </w:rPr>
        <w:t>Key Informant Interviews</w:t>
      </w:r>
      <w:bookmarkEnd w:id="242"/>
      <w:bookmarkEnd w:id="243"/>
      <w:bookmarkEnd w:id="244"/>
      <w:bookmarkEnd w:id="245"/>
      <w:r w:rsidR="008D0CAD" w:rsidRPr="00173FD6">
        <w:rPr>
          <w:lang w:val="en-US"/>
        </w:rPr>
        <w:t xml:space="preserve"> </w:t>
      </w:r>
    </w:p>
    <w:p w14:paraId="49543F12" w14:textId="139BF8CF" w:rsidR="008D0CAD" w:rsidRPr="00173FD6" w:rsidRDefault="008D0CAD" w:rsidP="005902F7">
      <w:pPr>
        <w:spacing w:before="100" w:beforeAutospacing="1" w:after="100" w:afterAutospacing="1" w:line="360" w:lineRule="auto"/>
        <w:rPr>
          <w:rFonts w:asciiTheme="majorHAnsi" w:hAnsiTheme="majorHAnsi" w:cstheme="majorHAnsi"/>
          <w:lang w:val="en-US"/>
        </w:rPr>
      </w:pPr>
      <w:r w:rsidRPr="00173FD6">
        <w:rPr>
          <w:rFonts w:asciiTheme="majorHAnsi" w:hAnsiTheme="majorHAnsi" w:cstheme="majorHAnsi"/>
          <w:lang w:val="en-US"/>
        </w:rPr>
        <w:t>The Regional EOPE Teams collectively conducted the 12 Key Informant Interviews (KIIs) with Regional Directors and Superintendents and 18 respondents were interviewed at the Central Office (refer to Annex H for list of KII respondents).</w:t>
      </w:r>
      <w:r w:rsidR="00D434EB">
        <w:rPr>
          <w:rFonts w:asciiTheme="majorHAnsi" w:hAnsiTheme="majorHAnsi" w:cstheme="majorHAnsi"/>
          <w:lang w:val="en-US"/>
        </w:rPr>
        <w:t xml:space="preserve"> </w:t>
      </w:r>
      <w:r w:rsidRPr="00173FD6">
        <w:rPr>
          <w:rFonts w:asciiTheme="majorHAnsi" w:hAnsiTheme="majorHAnsi" w:cstheme="majorHAnsi"/>
          <w:lang w:val="en-US"/>
        </w:rPr>
        <w:t xml:space="preserve">All of the BEST Partners were also interviewed. </w:t>
      </w:r>
    </w:p>
    <w:p w14:paraId="40046557" w14:textId="4DFDF78C" w:rsidR="008D0CAD" w:rsidRPr="00173FD6" w:rsidRDefault="00D608F7" w:rsidP="005902F7">
      <w:pPr>
        <w:pStyle w:val="Heading4"/>
        <w:spacing w:before="100" w:beforeAutospacing="1" w:after="100" w:afterAutospacing="1" w:line="360" w:lineRule="auto"/>
        <w:rPr>
          <w:lang w:val="en-US"/>
        </w:rPr>
      </w:pPr>
      <w:bookmarkStart w:id="246" w:name="_Toc10722986"/>
      <w:bookmarkStart w:id="247" w:name="_Toc11510933"/>
      <w:bookmarkStart w:id="248" w:name="_Toc39938363"/>
      <w:bookmarkStart w:id="249" w:name="_Toc69820468"/>
      <w:r>
        <w:rPr>
          <w:lang w:val="en-US"/>
        </w:rPr>
        <w:t xml:space="preserve">4.3 </w:t>
      </w:r>
      <w:r w:rsidR="008D0CAD" w:rsidRPr="00173FD6">
        <w:rPr>
          <w:lang w:val="en-US"/>
        </w:rPr>
        <w:t>Focus Group Discussions</w:t>
      </w:r>
      <w:bookmarkEnd w:id="246"/>
      <w:bookmarkEnd w:id="247"/>
      <w:bookmarkEnd w:id="248"/>
      <w:bookmarkEnd w:id="249"/>
      <w:r w:rsidR="008D0CAD" w:rsidRPr="00173FD6">
        <w:rPr>
          <w:lang w:val="en-US"/>
        </w:rPr>
        <w:t xml:space="preserve"> </w:t>
      </w:r>
    </w:p>
    <w:p w14:paraId="03B07F3E" w14:textId="61A4E880" w:rsidR="008D0CAD" w:rsidRPr="00173FD6" w:rsidRDefault="008D0CAD" w:rsidP="005902F7">
      <w:pPr>
        <w:spacing w:before="100" w:beforeAutospacing="1" w:after="100" w:afterAutospacing="1" w:line="360" w:lineRule="auto"/>
        <w:rPr>
          <w:rFonts w:asciiTheme="majorHAnsi" w:hAnsiTheme="majorHAnsi" w:cstheme="majorHAnsi"/>
          <w:lang w:val="en-US"/>
        </w:rPr>
      </w:pPr>
      <w:r w:rsidRPr="00173FD6">
        <w:rPr>
          <w:rFonts w:asciiTheme="majorHAnsi" w:hAnsiTheme="majorHAnsi" w:cstheme="majorHAnsi"/>
          <w:lang w:val="en-US"/>
        </w:rPr>
        <w:t>The Regional EOPE Teams collectively conducted 40 Focus Group Discussions (FGDs): 6 FGDs with Regional Office personnel; 6 FGDs with Division Office personnel; 6 FGDs with Principals from direct recipient schools; 6 FGDs with Principals from indirect recipient schools; 10 FGDs with Teachers from direct recipient schools; and 6 FGDs with Teachers from indirect recipient schools (refer to Annex J for list of FGD respondents).</w:t>
      </w:r>
      <w:r w:rsidR="00D434EB">
        <w:rPr>
          <w:rFonts w:asciiTheme="majorHAnsi" w:hAnsiTheme="majorHAnsi" w:cstheme="majorHAnsi"/>
          <w:lang w:val="en-US"/>
        </w:rPr>
        <w:t xml:space="preserve"> </w:t>
      </w:r>
    </w:p>
    <w:p w14:paraId="250E2FB0" w14:textId="0E975EE5" w:rsidR="008D0CAD" w:rsidRPr="00173FD6" w:rsidRDefault="00D608F7" w:rsidP="005902F7">
      <w:pPr>
        <w:pStyle w:val="Heading4"/>
        <w:spacing w:before="100" w:beforeAutospacing="1" w:after="100" w:afterAutospacing="1" w:line="360" w:lineRule="auto"/>
        <w:rPr>
          <w:lang w:val="en-US"/>
        </w:rPr>
      </w:pPr>
      <w:bookmarkStart w:id="250" w:name="_Toc11510935"/>
      <w:bookmarkStart w:id="251" w:name="_Toc39938364"/>
      <w:bookmarkStart w:id="252" w:name="_Toc69820469"/>
      <w:r>
        <w:rPr>
          <w:lang w:val="en-US"/>
        </w:rPr>
        <w:t xml:space="preserve">4.4 </w:t>
      </w:r>
      <w:r w:rsidR="008D0CAD" w:rsidRPr="00173FD6">
        <w:rPr>
          <w:lang w:val="en-US"/>
        </w:rPr>
        <w:t>Classroom Observations</w:t>
      </w:r>
      <w:bookmarkEnd w:id="250"/>
      <w:bookmarkEnd w:id="251"/>
      <w:bookmarkEnd w:id="252"/>
    </w:p>
    <w:p w14:paraId="2C483553" w14:textId="0E786566" w:rsidR="008D0CAD" w:rsidRPr="00173FD6" w:rsidRDefault="008D0CAD" w:rsidP="005902F7">
      <w:pPr>
        <w:spacing w:before="100" w:beforeAutospacing="1" w:after="100" w:afterAutospacing="1" w:line="360" w:lineRule="auto"/>
        <w:rPr>
          <w:rFonts w:asciiTheme="majorHAnsi" w:hAnsiTheme="majorHAnsi" w:cstheme="majorHAnsi"/>
          <w:color w:val="000000" w:themeColor="text1"/>
          <w:lang w:val="en-US"/>
        </w:rPr>
      </w:pPr>
      <w:r w:rsidRPr="00173FD6">
        <w:rPr>
          <w:rFonts w:asciiTheme="majorHAnsi" w:hAnsiTheme="majorHAnsi" w:cstheme="majorHAnsi"/>
          <w:color w:val="000000" w:themeColor="text1"/>
          <w:lang w:val="en-US"/>
        </w:rPr>
        <w:t>As part of the EOPE Study classroom observations were conducted in each of the 106 schools in the sample. The data gathering involved two separate processes. The first process involved the observation of the implementation of the COT process in schools that were scheduled to conduct it and the gathering of COTs conducted in previous quarters.</w:t>
      </w:r>
      <w:r w:rsidR="00D434EB">
        <w:rPr>
          <w:rFonts w:asciiTheme="majorHAnsi" w:hAnsiTheme="majorHAnsi" w:cstheme="majorHAnsi"/>
          <w:color w:val="000000" w:themeColor="text1"/>
          <w:lang w:val="en-US"/>
        </w:rPr>
        <w:t xml:space="preserve"> </w:t>
      </w:r>
      <w:r w:rsidRPr="00173FD6">
        <w:rPr>
          <w:rFonts w:asciiTheme="majorHAnsi" w:hAnsiTheme="majorHAnsi" w:cstheme="majorHAnsi"/>
          <w:color w:val="000000" w:themeColor="text1"/>
          <w:lang w:val="en-US"/>
        </w:rPr>
        <w:t>The second process involved the assessment of teacher performance using the TEACH Tool</w:t>
      </w:r>
      <w:r w:rsidRPr="00173FD6">
        <w:rPr>
          <w:rFonts w:asciiTheme="majorHAnsi" w:hAnsiTheme="majorHAnsi" w:cstheme="majorHAnsi"/>
          <w:color w:val="000000" w:themeColor="text1"/>
          <w:vertAlign w:val="superscript"/>
          <w:lang w:val="en-US"/>
        </w:rPr>
        <w:footnoteReference w:id="128"/>
      </w:r>
      <w:r w:rsidRPr="00173FD6">
        <w:rPr>
          <w:rFonts w:asciiTheme="majorHAnsi" w:hAnsiTheme="majorHAnsi" w:cstheme="majorHAnsi"/>
          <w:color w:val="000000" w:themeColor="text1"/>
          <w:lang w:val="en-US"/>
        </w:rPr>
        <w:t xml:space="preserve"> to respond to the broader question of how the BEST Program interventions contributed to EOPO 1.</w:t>
      </w:r>
    </w:p>
    <w:p w14:paraId="69328871" w14:textId="7DCD4D69" w:rsidR="008D0CAD" w:rsidRPr="00173FD6" w:rsidRDefault="008D0CAD" w:rsidP="005902F7">
      <w:pPr>
        <w:spacing w:before="100" w:beforeAutospacing="1" w:after="100" w:afterAutospacing="1" w:line="360" w:lineRule="auto"/>
        <w:rPr>
          <w:rFonts w:asciiTheme="majorHAnsi" w:hAnsiTheme="majorHAnsi" w:cstheme="majorHAnsi"/>
          <w:color w:val="000000" w:themeColor="text1"/>
          <w:lang w:val="en-US"/>
        </w:rPr>
      </w:pPr>
      <w:r w:rsidRPr="00173FD6">
        <w:rPr>
          <w:rFonts w:asciiTheme="majorHAnsi" w:hAnsiTheme="majorHAnsi" w:cstheme="majorHAnsi"/>
          <w:lang w:val="en-US"/>
        </w:rPr>
        <w:t>The classroom observations enabled a more in-depth evaluation of the PPST intervention although it was only downloaded to the schools in the third quarter of 2018 and the COT process schedule had been not been regularly implemented.</w:t>
      </w:r>
      <w:r w:rsidR="00D434EB">
        <w:rPr>
          <w:rFonts w:asciiTheme="majorHAnsi" w:hAnsiTheme="majorHAnsi" w:cstheme="majorHAnsi"/>
          <w:lang w:val="en-US"/>
        </w:rPr>
        <w:t xml:space="preserve"> </w:t>
      </w:r>
      <w:r w:rsidRPr="00173FD6">
        <w:rPr>
          <w:rFonts w:asciiTheme="majorHAnsi" w:hAnsiTheme="majorHAnsi" w:cstheme="majorHAnsi"/>
          <w:lang w:val="en-US"/>
        </w:rPr>
        <w:t>The number of COT observations were reduced to three schools per region instead of all the 106 schools in the sample, which resulted in a narrow number of schools from which to observe and draw findings.</w:t>
      </w:r>
      <w:r w:rsidR="00D434EB">
        <w:rPr>
          <w:rFonts w:asciiTheme="majorHAnsi" w:hAnsiTheme="majorHAnsi" w:cstheme="majorHAnsi"/>
          <w:lang w:val="en-US"/>
        </w:rPr>
        <w:t xml:space="preserve"> </w:t>
      </w:r>
      <w:r w:rsidRPr="00173FD6">
        <w:rPr>
          <w:rFonts w:asciiTheme="majorHAnsi" w:hAnsiTheme="majorHAnsi" w:cstheme="majorHAnsi"/>
          <w:lang w:val="en-US"/>
        </w:rPr>
        <w:t xml:space="preserve"> </w:t>
      </w:r>
      <w:r w:rsidRPr="00173FD6">
        <w:rPr>
          <w:rFonts w:asciiTheme="majorHAnsi" w:hAnsiTheme="majorHAnsi" w:cstheme="majorHAnsi"/>
          <w:bCs/>
          <w:color w:val="000000" w:themeColor="text1"/>
          <w:lang w:val="en-US"/>
        </w:rPr>
        <w:t>Additional tools were used to supplement the classroom observations:</w:t>
      </w:r>
      <w:r w:rsidRPr="00173FD6">
        <w:rPr>
          <w:rFonts w:asciiTheme="majorHAnsi" w:hAnsiTheme="majorHAnsi" w:cstheme="majorHAnsi"/>
          <w:lang w:val="en-US"/>
        </w:rPr>
        <w:t xml:space="preserve"> </w:t>
      </w:r>
      <w:r w:rsidRPr="00173FD6">
        <w:rPr>
          <w:rFonts w:asciiTheme="majorHAnsi" w:hAnsiTheme="majorHAnsi" w:cstheme="majorHAnsi"/>
          <w:color w:val="000000" w:themeColor="text1"/>
          <w:lang w:val="en-US"/>
        </w:rPr>
        <w:t>Pictures or copies of the complete portfolio of the teacher evaluated</w:t>
      </w:r>
      <w:r w:rsidRPr="00173FD6">
        <w:rPr>
          <w:rFonts w:asciiTheme="majorHAnsi" w:hAnsiTheme="majorHAnsi" w:cstheme="majorHAnsi"/>
          <w:b/>
          <w:color w:val="000000" w:themeColor="text1"/>
          <w:lang w:val="en-US"/>
        </w:rPr>
        <w:t xml:space="preserve">; </w:t>
      </w:r>
      <w:r w:rsidRPr="00173FD6">
        <w:rPr>
          <w:rFonts w:asciiTheme="majorHAnsi" w:hAnsiTheme="majorHAnsi" w:cstheme="majorHAnsi"/>
          <w:bCs/>
          <w:color w:val="000000" w:themeColor="text1"/>
          <w:lang w:val="en-US"/>
        </w:rPr>
        <w:t>Process observation tool for Priority 1</w:t>
      </w:r>
      <w:r w:rsidRPr="00173FD6">
        <w:rPr>
          <w:rFonts w:asciiTheme="majorHAnsi" w:hAnsiTheme="majorHAnsi" w:cstheme="majorHAnsi"/>
          <w:color w:val="000000" w:themeColor="text1"/>
          <w:lang w:val="en-US"/>
        </w:rPr>
        <w:t xml:space="preserve">; COT rating sheet for Q4; </w:t>
      </w:r>
      <w:r w:rsidRPr="00173FD6">
        <w:rPr>
          <w:rFonts w:asciiTheme="majorHAnsi" w:hAnsiTheme="majorHAnsi" w:cstheme="majorHAnsi"/>
          <w:bCs/>
          <w:color w:val="000000" w:themeColor="text1"/>
          <w:lang w:val="en-US"/>
        </w:rPr>
        <w:t>Process questions for Priority 2:</w:t>
      </w:r>
      <w:r w:rsidRPr="00173FD6">
        <w:rPr>
          <w:rFonts w:asciiTheme="majorHAnsi" w:hAnsiTheme="majorHAnsi" w:cstheme="majorHAnsi"/>
          <w:color w:val="000000" w:themeColor="text1"/>
          <w:lang w:val="en-US"/>
        </w:rPr>
        <w:t xml:space="preserve"> post evaluation observation evaluation portion; and </w:t>
      </w:r>
      <w:r w:rsidRPr="00173FD6">
        <w:rPr>
          <w:rFonts w:asciiTheme="majorHAnsi" w:hAnsiTheme="majorHAnsi" w:cstheme="majorHAnsi"/>
          <w:bCs/>
          <w:color w:val="000000" w:themeColor="text1"/>
          <w:lang w:val="en-US"/>
        </w:rPr>
        <w:t xml:space="preserve">Guide Questions for the KII </w:t>
      </w:r>
      <w:r w:rsidRPr="00173FD6">
        <w:rPr>
          <w:rFonts w:asciiTheme="majorHAnsi" w:hAnsiTheme="majorHAnsi" w:cstheme="majorHAnsi"/>
          <w:color w:val="000000" w:themeColor="text1"/>
          <w:lang w:val="en-US"/>
        </w:rPr>
        <w:t xml:space="preserve">for Principal and Teacher for </w:t>
      </w:r>
      <w:r w:rsidRPr="00173FD6">
        <w:rPr>
          <w:rFonts w:asciiTheme="majorHAnsi" w:hAnsiTheme="majorHAnsi" w:cstheme="majorHAnsi"/>
          <w:bCs/>
          <w:color w:val="000000" w:themeColor="text1"/>
          <w:lang w:val="en-US"/>
        </w:rPr>
        <w:t>Priority 3</w:t>
      </w:r>
      <w:r w:rsidRPr="00173FD6">
        <w:rPr>
          <w:rFonts w:asciiTheme="majorHAnsi" w:hAnsiTheme="majorHAnsi" w:cstheme="majorHAnsi"/>
          <w:color w:val="000000" w:themeColor="text1"/>
          <w:lang w:val="en-US"/>
        </w:rPr>
        <w:t>.</w:t>
      </w:r>
      <w:r w:rsidR="00D434EB">
        <w:rPr>
          <w:rFonts w:asciiTheme="majorHAnsi" w:hAnsiTheme="majorHAnsi" w:cstheme="majorHAnsi"/>
          <w:color w:val="000000" w:themeColor="text1"/>
          <w:lang w:val="en-US"/>
        </w:rPr>
        <w:t xml:space="preserve"> </w:t>
      </w:r>
      <w:r w:rsidRPr="00173FD6">
        <w:rPr>
          <w:rFonts w:asciiTheme="majorHAnsi" w:hAnsiTheme="majorHAnsi" w:cstheme="majorHAnsi"/>
          <w:color w:val="000000" w:themeColor="text1"/>
          <w:lang w:val="en-US"/>
        </w:rPr>
        <w:t xml:space="preserve">These tools can be found in the PPST Study, which is an accompanying document of this </w:t>
      </w:r>
      <w:r w:rsidRPr="00173FD6">
        <w:rPr>
          <w:rFonts w:asciiTheme="majorHAnsi" w:hAnsiTheme="majorHAnsi" w:cstheme="majorHAnsi"/>
          <w:lang w:val="en-US"/>
        </w:rPr>
        <w:t>EOPE Study Report</w:t>
      </w:r>
      <w:r w:rsidRPr="00173FD6">
        <w:rPr>
          <w:rFonts w:asciiTheme="majorHAnsi" w:hAnsiTheme="majorHAnsi" w:cstheme="majorHAnsi"/>
          <w:color w:val="000000" w:themeColor="text1"/>
          <w:lang w:val="en-US"/>
        </w:rPr>
        <w:t>.</w:t>
      </w:r>
    </w:p>
    <w:p w14:paraId="52A94857" w14:textId="77777777" w:rsidR="008D0CAD" w:rsidRPr="00173FD6" w:rsidRDefault="008D0CAD" w:rsidP="005902F7">
      <w:pPr>
        <w:spacing w:before="100" w:beforeAutospacing="1" w:after="100" w:afterAutospacing="1" w:line="360" w:lineRule="auto"/>
        <w:rPr>
          <w:lang w:val="en-US"/>
        </w:rPr>
      </w:pPr>
      <w:r w:rsidRPr="00173FD6">
        <w:rPr>
          <w:rFonts w:asciiTheme="majorHAnsi" w:hAnsiTheme="majorHAnsi" w:cstheme="majorHAnsi"/>
          <w:color w:val="000000" w:themeColor="text1"/>
          <w:lang w:val="en-US"/>
        </w:rPr>
        <w:t>Data collected on the COTs, complemented by TEACH tool, was used to measure teaching practice as a variable affecting learners’ outcome. The following data collection was conducted: 69 classroom observations using the TEACH Tool</w:t>
      </w:r>
      <w:r w:rsidRPr="00173FD6">
        <w:rPr>
          <w:rFonts w:asciiTheme="majorHAnsi" w:hAnsiTheme="majorHAnsi" w:cstheme="majorHAnsi"/>
          <w:color w:val="000000" w:themeColor="text1"/>
          <w:vertAlign w:val="superscript"/>
          <w:lang w:val="en-US"/>
        </w:rPr>
        <w:footnoteReference w:id="129"/>
      </w:r>
      <w:r w:rsidRPr="00173FD6">
        <w:rPr>
          <w:rFonts w:asciiTheme="majorHAnsi" w:hAnsiTheme="majorHAnsi" w:cstheme="majorHAnsi"/>
          <w:color w:val="000000" w:themeColor="text1"/>
          <w:lang w:val="en-US"/>
        </w:rPr>
        <w:t>; and 18 classroom observations on the process of Classroom Observation Tool (COT) in BEST supported schools. Previous COTs were also collected from the 18 schools where the COT process was observed.</w:t>
      </w:r>
    </w:p>
    <w:p w14:paraId="43492405" w14:textId="577C9D9F" w:rsidR="008D0CAD" w:rsidRPr="00173FD6" w:rsidRDefault="00D608F7" w:rsidP="005902F7">
      <w:pPr>
        <w:pStyle w:val="Heading4"/>
        <w:spacing w:before="100" w:beforeAutospacing="1" w:after="100" w:afterAutospacing="1" w:line="360" w:lineRule="auto"/>
        <w:rPr>
          <w:lang w:val="en-US"/>
        </w:rPr>
      </w:pPr>
      <w:bookmarkStart w:id="253" w:name="_Toc39938365"/>
      <w:bookmarkStart w:id="254" w:name="_Toc69820470"/>
      <w:bookmarkStart w:id="255" w:name="_Toc10722987"/>
      <w:bookmarkStart w:id="256" w:name="_Toc11510934"/>
      <w:r>
        <w:rPr>
          <w:lang w:val="en-US"/>
        </w:rPr>
        <w:t xml:space="preserve">4.5 </w:t>
      </w:r>
      <w:r w:rsidR="008D0CAD" w:rsidRPr="00173FD6">
        <w:rPr>
          <w:lang w:val="en-US"/>
        </w:rPr>
        <w:t>Knowledge-Access-Usefulness-Quality (KAUQ) Survey</w:t>
      </w:r>
      <w:bookmarkEnd w:id="253"/>
      <w:bookmarkEnd w:id="254"/>
    </w:p>
    <w:p w14:paraId="67F7BBAA" w14:textId="221E0FF4" w:rsidR="008D0CAD" w:rsidRPr="00173FD6" w:rsidRDefault="008D0CAD" w:rsidP="005902F7">
      <w:pPr>
        <w:spacing w:before="100" w:beforeAutospacing="1" w:after="100" w:afterAutospacing="1" w:line="360" w:lineRule="auto"/>
        <w:rPr>
          <w:rFonts w:asciiTheme="majorHAnsi" w:hAnsiTheme="majorHAnsi" w:cstheme="majorHAnsi"/>
          <w:lang w:val="en-US"/>
        </w:rPr>
      </w:pPr>
      <w:r w:rsidRPr="00173FD6">
        <w:rPr>
          <w:rFonts w:asciiTheme="majorHAnsi" w:hAnsiTheme="majorHAnsi" w:cstheme="majorHAnsi"/>
          <w:lang w:val="en-US"/>
        </w:rPr>
        <w:t>The EOPE Study used two types of questionnaires.</w:t>
      </w:r>
      <w:r w:rsidR="00D434EB">
        <w:rPr>
          <w:rFonts w:asciiTheme="majorHAnsi" w:hAnsiTheme="majorHAnsi" w:cstheme="majorHAnsi"/>
          <w:lang w:val="en-US"/>
        </w:rPr>
        <w:t xml:space="preserve"> </w:t>
      </w:r>
      <w:r w:rsidRPr="00173FD6">
        <w:rPr>
          <w:rFonts w:asciiTheme="majorHAnsi" w:hAnsiTheme="majorHAnsi" w:cstheme="majorHAnsi"/>
          <w:lang w:val="en-US"/>
        </w:rPr>
        <w:t>The first was the Knowledge-Access-Usefulness-Quality (KAUQ) Survey, which listed the different outputs of the BEST Program.</w:t>
      </w:r>
      <w:r w:rsidR="00D434EB">
        <w:rPr>
          <w:rFonts w:asciiTheme="majorHAnsi" w:hAnsiTheme="majorHAnsi" w:cstheme="majorHAnsi"/>
          <w:lang w:val="en-US"/>
        </w:rPr>
        <w:t xml:space="preserve"> </w:t>
      </w:r>
      <w:r w:rsidRPr="00173FD6">
        <w:rPr>
          <w:rFonts w:asciiTheme="majorHAnsi" w:hAnsiTheme="majorHAnsi" w:cstheme="majorHAnsi"/>
          <w:lang w:val="en-US"/>
        </w:rPr>
        <w:t>Respondents were asked to rate their Knowledge and Access of these outputs.</w:t>
      </w:r>
      <w:r w:rsidR="00D434EB">
        <w:rPr>
          <w:rFonts w:asciiTheme="majorHAnsi" w:hAnsiTheme="majorHAnsi" w:cstheme="majorHAnsi"/>
          <w:lang w:val="en-US"/>
        </w:rPr>
        <w:t xml:space="preserve"> </w:t>
      </w:r>
      <w:r w:rsidRPr="00173FD6">
        <w:rPr>
          <w:rFonts w:asciiTheme="majorHAnsi" w:hAnsiTheme="majorHAnsi" w:cstheme="majorHAnsi"/>
          <w:lang w:val="en-US"/>
        </w:rPr>
        <w:t>They were also asked regarding the extent of the usefulness of these outputs and to rate the quality and inclusiveness.</w:t>
      </w:r>
      <w:r w:rsidR="00D434EB">
        <w:rPr>
          <w:rFonts w:asciiTheme="majorHAnsi" w:hAnsiTheme="majorHAnsi" w:cstheme="majorHAnsi"/>
          <w:lang w:val="en-US"/>
        </w:rPr>
        <w:t xml:space="preserve"> </w:t>
      </w:r>
      <w:r w:rsidRPr="00173FD6">
        <w:rPr>
          <w:rFonts w:asciiTheme="majorHAnsi" w:hAnsiTheme="majorHAnsi" w:cstheme="majorHAnsi"/>
          <w:lang w:val="en-US"/>
        </w:rPr>
        <w:t>No demographic data was asked from the respondents. There were 32 principals and 126 teachers who submitted their accomplished KAUQ survey forms from both direct and indirect recipient schools.</w:t>
      </w:r>
      <w:r w:rsidR="00D434EB">
        <w:rPr>
          <w:rFonts w:asciiTheme="majorHAnsi" w:hAnsiTheme="majorHAnsi" w:cstheme="majorHAnsi"/>
          <w:lang w:val="en-US"/>
        </w:rPr>
        <w:t xml:space="preserve"> </w:t>
      </w:r>
    </w:p>
    <w:p w14:paraId="25E75F85" w14:textId="0638F8FF" w:rsidR="008D0CAD" w:rsidRPr="00173FD6" w:rsidRDefault="00D608F7" w:rsidP="005902F7">
      <w:pPr>
        <w:pStyle w:val="Heading4"/>
        <w:spacing w:before="100" w:beforeAutospacing="1" w:after="100" w:afterAutospacing="1" w:line="360" w:lineRule="auto"/>
        <w:rPr>
          <w:lang w:val="en-US"/>
        </w:rPr>
      </w:pPr>
      <w:bookmarkStart w:id="257" w:name="_Toc39938366"/>
      <w:bookmarkStart w:id="258" w:name="_Toc69820471"/>
      <w:r>
        <w:rPr>
          <w:lang w:val="en-US"/>
        </w:rPr>
        <w:t xml:space="preserve">4.6 </w:t>
      </w:r>
      <w:r w:rsidR="008D0CAD" w:rsidRPr="00173FD6">
        <w:rPr>
          <w:lang w:val="en-US"/>
        </w:rPr>
        <w:t>Survey on BEST Program Interventions</w:t>
      </w:r>
      <w:bookmarkEnd w:id="257"/>
      <w:bookmarkEnd w:id="258"/>
      <w:r w:rsidR="008D0CAD" w:rsidRPr="00173FD6">
        <w:rPr>
          <w:lang w:val="en-US"/>
        </w:rPr>
        <w:t xml:space="preserve"> </w:t>
      </w:r>
      <w:bookmarkEnd w:id="255"/>
      <w:bookmarkEnd w:id="256"/>
    </w:p>
    <w:p w14:paraId="38484756" w14:textId="7C7E3B7D" w:rsidR="008D0CAD" w:rsidRPr="00173FD6" w:rsidRDefault="008D0CAD" w:rsidP="005902F7">
      <w:pPr>
        <w:spacing w:before="100" w:beforeAutospacing="1" w:after="100" w:afterAutospacing="1" w:line="360" w:lineRule="auto"/>
        <w:rPr>
          <w:rFonts w:asciiTheme="majorHAnsi" w:hAnsiTheme="majorHAnsi" w:cstheme="majorHAnsi"/>
          <w:color w:val="000000" w:themeColor="text1"/>
          <w:lang w:val="en-US"/>
        </w:rPr>
      </w:pPr>
      <w:r w:rsidRPr="00173FD6">
        <w:rPr>
          <w:rFonts w:asciiTheme="majorHAnsi" w:hAnsiTheme="majorHAnsi" w:cstheme="majorHAnsi"/>
          <w:color w:val="000000" w:themeColor="text1"/>
          <w:lang w:val="en-US"/>
        </w:rPr>
        <w:t>The second questionnaire was the Survey on the BEST Program Interventions which was administered to both principals and teachers.</w:t>
      </w:r>
      <w:r w:rsidR="00DD6E21">
        <w:rPr>
          <w:rFonts w:asciiTheme="majorHAnsi" w:hAnsiTheme="majorHAnsi" w:cstheme="majorHAnsi"/>
          <w:color w:val="000000" w:themeColor="text1"/>
          <w:lang w:val="en-US"/>
        </w:rPr>
        <w:t xml:space="preserve"> </w:t>
      </w:r>
      <w:r w:rsidRPr="00173FD6">
        <w:rPr>
          <w:rFonts w:asciiTheme="majorHAnsi" w:hAnsiTheme="majorHAnsi" w:cstheme="majorHAnsi"/>
          <w:color w:val="000000" w:themeColor="text1"/>
          <w:lang w:val="en-US"/>
        </w:rPr>
        <w:t>The survey asked for some demographic data from the respondents such as sex, age and years of teaching in the public sector. A total of 39 principals (59 percent were females), responded to the survey (Table 4).</w:t>
      </w:r>
      <w:r w:rsidRPr="00173FD6">
        <w:rPr>
          <w:rFonts w:asciiTheme="majorHAnsi" w:hAnsiTheme="majorHAnsi" w:cstheme="majorHAnsi"/>
          <w:lang w:val="en-US"/>
        </w:rPr>
        <w:t xml:space="preserve"> </w:t>
      </w:r>
      <w:r w:rsidRPr="00173FD6">
        <w:rPr>
          <w:rFonts w:asciiTheme="majorHAnsi" w:hAnsiTheme="majorHAnsi" w:cstheme="majorHAnsi"/>
          <w:color w:val="000000" w:themeColor="text1"/>
          <w:lang w:val="en-US"/>
        </w:rPr>
        <w:t xml:space="preserve">A total of 193 teachers responded to the same survey (81 percent are females). </w:t>
      </w:r>
    </w:p>
    <w:p w14:paraId="47E575CC" w14:textId="71C8FF9C" w:rsidR="008D0CAD" w:rsidRPr="00173FD6" w:rsidRDefault="008D0CAD" w:rsidP="005902F7">
      <w:pPr>
        <w:spacing w:before="100" w:beforeAutospacing="1" w:after="100" w:afterAutospacing="1" w:line="360" w:lineRule="auto"/>
        <w:rPr>
          <w:rFonts w:asciiTheme="majorHAnsi" w:hAnsiTheme="majorHAnsi" w:cstheme="majorHAnsi"/>
          <w:lang w:val="en-US"/>
        </w:rPr>
      </w:pPr>
      <w:r w:rsidRPr="00173FD6">
        <w:rPr>
          <w:rFonts w:asciiTheme="majorHAnsi" w:hAnsiTheme="majorHAnsi" w:cstheme="majorHAnsi"/>
          <w:lang w:val="en-US"/>
        </w:rPr>
        <w:t>Forty-one percent of the respondent principals were between the ages of 50-59 years old while 34 percent of teachers were between the ages of 30-39 years old (Figure 2).</w:t>
      </w:r>
      <w:r w:rsidR="00D434EB">
        <w:rPr>
          <w:rFonts w:asciiTheme="majorHAnsi" w:hAnsiTheme="majorHAnsi" w:cstheme="majorHAnsi"/>
          <w:lang w:val="en-US"/>
        </w:rPr>
        <w:t xml:space="preserve"> </w:t>
      </w:r>
      <w:r w:rsidRPr="00173FD6">
        <w:rPr>
          <w:rFonts w:asciiTheme="majorHAnsi" w:hAnsiTheme="majorHAnsi" w:cstheme="majorHAnsi"/>
          <w:lang w:val="en-US"/>
        </w:rPr>
        <w:t>In terms of educational background, the majority of the respondent-principals (33%) had master’s degrees while teachers held bachelor’s degrees (45%) (Figure 3).</w:t>
      </w:r>
      <w:r w:rsidR="00D434EB">
        <w:rPr>
          <w:rFonts w:asciiTheme="majorHAnsi" w:hAnsiTheme="majorHAnsi" w:cstheme="majorHAnsi"/>
          <w:lang w:val="en-US"/>
        </w:rPr>
        <w:t xml:space="preserve"> </w:t>
      </w:r>
    </w:p>
    <w:p w14:paraId="48E4FEDB" w14:textId="06B97BFC" w:rsidR="008D0CAD" w:rsidRPr="00D354DC" w:rsidRDefault="008D0CAD" w:rsidP="005902F7">
      <w:pPr>
        <w:pageBreakBefore/>
        <w:spacing w:before="100" w:beforeAutospacing="1" w:after="100" w:afterAutospacing="1" w:line="360" w:lineRule="auto"/>
        <w:ind w:left="142"/>
        <w:rPr>
          <w:rFonts w:asciiTheme="majorHAnsi" w:hAnsiTheme="majorHAnsi" w:cstheme="majorHAnsi"/>
          <w:bCs/>
          <w:i/>
          <w:color w:val="44546A" w:themeColor="text2"/>
          <w:lang w:val="en-US"/>
        </w:rPr>
      </w:pPr>
      <w:bookmarkStart w:id="259" w:name="_Toc11510968"/>
      <w:bookmarkStart w:id="260" w:name="_Toc71616633"/>
      <w:r w:rsidRPr="00D354DC">
        <w:rPr>
          <w:rFonts w:asciiTheme="majorHAnsi" w:hAnsiTheme="majorHAnsi" w:cstheme="majorHAnsi"/>
          <w:bCs/>
          <w:i/>
          <w:color w:val="44546A" w:themeColor="text2"/>
          <w:lang w:val="en-US"/>
        </w:rPr>
        <w:t xml:space="preserve">Table </w:t>
      </w:r>
      <w:r w:rsidRPr="00D354DC">
        <w:rPr>
          <w:rFonts w:asciiTheme="majorHAnsi" w:hAnsiTheme="majorHAnsi" w:cstheme="majorHAnsi"/>
          <w:bCs/>
          <w:i/>
          <w:color w:val="44546A" w:themeColor="text2"/>
          <w:lang w:val="en-US"/>
        </w:rPr>
        <w:fldChar w:fldCharType="begin"/>
      </w:r>
      <w:r w:rsidRPr="00D354DC">
        <w:rPr>
          <w:rFonts w:asciiTheme="majorHAnsi" w:hAnsiTheme="majorHAnsi" w:cstheme="majorHAnsi"/>
          <w:bCs/>
          <w:i/>
          <w:color w:val="44546A" w:themeColor="text2"/>
          <w:lang w:val="en-US"/>
        </w:rPr>
        <w:instrText xml:space="preserve"> SEQ Table \* ARABIC </w:instrText>
      </w:r>
      <w:r w:rsidRPr="00D354DC">
        <w:rPr>
          <w:rFonts w:asciiTheme="majorHAnsi" w:hAnsiTheme="majorHAnsi" w:cstheme="majorHAnsi"/>
          <w:bCs/>
          <w:i/>
          <w:color w:val="44546A" w:themeColor="text2"/>
          <w:lang w:val="en-US"/>
        </w:rPr>
        <w:fldChar w:fldCharType="separate"/>
      </w:r>
      <w:r w:rsidR="00D6133D">
        <w:rPr>
          <w:rFonts w:asciiTheme="majorHAnsi" w:hAnsiTheme="majorHAnsi" w:cstheme="majorHAnsi"/>
          <w:bCs/>
          <w:i/>
          <w:noProof/>
          <w:color w:val="44546A" w:themeColor="text2"/>
          <w:lang w:val="en-US"/>
        </w:rPr>
        <w:t>42</w:t>
      </w:r>
      <w:r w:rsidRPr="00D354DC">
        <w:rPr>
          <w:rFonts w:asciiTheme="majorHAnsi" w:hAnsiTheme="majorHAnsi" w:cstheme="majorHAnsi"/>
          <w:bCs/>
          <w:i/>
          <w:color w:val="44546A" w:themeColor="text2"/>
          <w:lang w:val="en-US"/>
        </w:rPr>
        <w:fldChar w:fldCharType="end"/>
      </w:r>
      <w:r w:rsidRPr="00D354DC">
        <w:rPr>
          <w:rFonts w:asciiTheme="majorHAnsi" w:hAnsiTheme="majorHAnsi" w:cstheme="majorHAnsi"/>
          <w:bCs/>
          <w:i/>
          <w:color w:val="44546A" w:themeColor="text2"/>
          <w:lang w:val="en-US"/>
        </w:rPr>
        <w:t>. Survey Respondents by Sex</w:t>
      </w:r>
      <w:bookmarkEnd w:id="259"/>
      <w:bookmarkEnd w:id="260"/>
    </w:p>
    <w:tbl>
      <w:tblPr>
        <w:tblStyle w:val="TableGrid11"/>
        <w:tblW w:w="6020" w:type="dxa"/>
        <w:tblLook w:val="04A0" w:firstRow="1" w:lastRow="0" w:firstColumn="1" w:lastColumn="0" w:noHBand="0" w:noVBand="1"/>
      </w:tblPr>
      <w:tblGrid>
        <w:gridCol w:w="2780"/>
        <w:gridCol w:w="1620"/>
        <w:gridCol w:w="1620"/>
      </w:tblGrid>
      <w:tr w:rsidR="008D0CAD" w:rsidRPr="00173FD6" w14:paraId="715200E3" w14:textId="77777777" w:rsidTr="00F4751F">
        <w:trPr>
          <w:trHeight w:val="300"/>
          <w:tblHeader/>
        </w:trPr>
        <w:tc>
          <w:tcPr>
            <w:tcW w:w="2780" w:type="dxa"/>
            <w:noWrap/>
            <w:hideMark/>
          </w:tcPr>
          <w:p w14:paraId="1411F90B" w14:textId="77777777" w:rsidR="008D0CAD" w:rsidRPr="00173FD6" w:rsidRDefault="008D0CAD" w:rsidP="005902F7">
            <w:pPr>
              <w:spacing w:before="100" w:beforeAutospacing="1" w:after="100" w:afterAutospacing="1" w:line="360" w:lineRule="auto"/>
              <w:rPr>
                <w:rFonts w:ascii="Calibri" w:hAnsi="Calibri" w:cs="Calibri"/>
                <w:b/>
                <w:bCs/>
                <w:color w:val="000000"/>
                <w:sz w:val="22"/>
                <w:szCs w:val="22"/>
                <w:lang w:val="en-US"/>
              </w:rPr>
            </w:pPr>
            <w:r w:rsidRPr="00173FD6">
              <w:rPr>
                <w:rFonts w:ascii="Calibri" w:hAnsi="Calibri" w:cs="Calibri"/>
                <w:b/>
                <w:bCs/>
                <w:color w:val="000000"/>
                <w:sz w:val="22"/>
                <w:szCs w:val="22"/>
                <w:lang w:val="en-US"/>
              </w:rPr>
              <w:t>Respondents Sex</w:t>
            </w:r>
          </w:p>
        </w:tc>
        <w:tc>
          <w:tcPr>
            <w:tcW w:w="1620" w:type="dxa"/>
            <w:noWrap/>
            <w:hideMark/>
          </w:tcPr>
          <w:p w14:paraId="108BDA8A" w14:textId="77777777" w:rsidR="008D0CAD" w:rsidRPr="00173FD6" w:rsidRDefault="008D0CAD" w:rsidP="005902F7">
            <w:pPr>
              <w:spacing w:before="100" w:beforeAutospacing="1" w:after="100" w:afterAutospacing="1" w:line="360" w:lineRule="auto"/>
              <w:rPr>
                <w:rFonts w:ascii="Calibri" w:hAnsi="Calibri" w:cs="Calibri"/>
                <w:b/>
                <w:bCs/>
                <w:color w:val="000000"/>
                <w:sz w:val="22"/>
                <w:szCs w:val="22"/>
                <w:lang w:val="en-US"/>
              </w:rPr>
            </w:pPr>
            <w:r w:rsidRPr="00173FD6">
              <w:rPr>
                <w:rFonts w:ascii="Calibri" w:hAnsi="Calibri" w:cs="Calibri"/>
                <w:b/>
                <w:bCs/>
                <w:color w:val="000000"/>
                <w:sz w:val="22"/>
                <w:szCs w:val="22"/>
                <w:lang w:val="en-US"/>
              </w:rPr>
              <w:t>Principals</w:t>
            </w:r>
          </w:p>
          <w:p w14:paraId="604B94CE" w14:textId="77777777" w:rsidR="008D0CAD" w:rsidRPr="00173FD6" w:rsidRDefault="008D0CAD" w:rsidP="005902F7">
            <w:pPr>
              <w:spacing w:before="100" w:beforeAutospacing="1" w:after="100" w:afterAutospacing="1" w:line="360" w:lineRule="auto"/>
              <w:rPr>
                <w:rFonts w:ascii="Calibri" w:hAnsi="Calibri" w:cs="Calibri"/>
                <w:b/>
                <w:bCs/>
                <w:color w:val="000000"/>
                <w:sz w:val="22"/>
                <w:szCs w:val="22"/>
                <w:lang w:val="en-US"/>
              </w:rPr>
            </w:pPr>
            <w:r w:rsidRPr="00173FD6">
              <w:rPr>
                <w:rFonts w:ascii="Calibri" w:hAnsi="Calibri" w:cs="Calibri"/>
                <w:b/>
                <w:bCs/>
                <w:color w:val="000000"/>
                <w:sz w:val="22"/>
                <w:szCs w:val="22"/>
                <w:lang w:val="en-US"/>
              </w:rPr>
              <w:t>(n=39)</w:t>
            </w:r>
          </w:p>
        </w:tc>
        <w:tc>
          <w:tcPr>
            <w:tcW w:w="1620" w:type="dxa"/>
            <w:noWrap/>
            <w:hideMark/>
          </w:tcPr>
          <w:p w14:paraId="4E989746" w14:textId="77777777" w:rsidR="008D0CAD" w:rsidRPr="00173FD6" w:rsidRDefault="008D0CAD" w:rsidP="005902F7">
            <w:pPr>
              <w:spacing w:before="100" w:beforeAutospacing="1" w:after="100" w:afterAutospacing="1" w:line="360" w:lineRule="auto"/>
              <w:rPr>
                <w:rFonts w:ascii="Calibri" w:hAnsi="Calibri" w:cs="Calibri"/>
                <w:b/>
                <w:bCs/>
                <w:color w:val="000000"/>
                <w:sz w:val="22"/>
                <w:szCs w:val="22"/>
                <w:lang w:val="en-US"/>
              </w:rPr>
            </w:pPr>
            <w:r w:rsidRPr="00173FD6">
              <w:rPr>
                <w:rFonts w:ascii="Calibri" w:hAnsi="Calibri" w:cs="Calibri"/>
                <w:b/>
                <w:bCs/>
                <w:color w:val="000000"/>
                <w:sz w:val="22"/>
                <w:szCs w:val="22"/>
                <w:lang w:val="en-US"/>
              </w:rPr>
              <w:t>Teachers</w:t>
            </w:r>
          </w:p>
          <w:p w14:paraId="4EF03C9C" w14:textId="77777777" w:rsidR="008D0CAD" w:rsidRPr="00173FD6" w:rsidRDefault="008D0CAD" w:rsidP="005902F7">
            <w:pPr>
              <w:spacing w:before="100" w:beforeAutospacing="1" w:after="100" w:afterAutospacing="1" w:line="360" w:lineRule="auto"/>
              <w:rPr>
                <w:rFonts w:ascii="Calibri" w:hAnsi="Calibri" w:cs="Calibri"/>
                <w:b/>
                <w:bCs/>
                <w:color w:val="000000"/>
                <w:sz w:val="22"/>
                <w:szCs w:val="22"/>
                <w:lang w:val="en-US"/>
              </w:rPr>
            </w:pPr>
            <w:r w:rsidRPr="00173FD6">
              <w:rPr>
                <w:rFonts w:ascii="Calibri" w:hAnsi="Calibri" w:cs="Calibri"/>
                <w:b/>
                <w:bCs/>
                <w:color w:val="000000"/>
                <w:sz w:val="22"/>
                <w:szCs w:val="22"/>
                <w:lang w:val="en-US"/>
              </w:rPr>
              <w:t>(n=193)</w:t>
            </w:r>
          </w:p>
        </w:tc>
      </w:tr>
      <w:tr w:rsidR="008D0CAD" w:rsidRPr="00173FD6" w14:paraId="7BF485CE" w14:textId="77777777" w:rsidTr="00E26D25">
        <w:trPr>
          <w:trHeight w:val="300"/>
        </w:trPr>
        <w:tc>
          <w:tcPr>
            <w:tcW w:w="2780" w:type="dxa"/>
            <w:noWrap/>
            <w:hideMark/>
          </w:tcPr>
          <w:p w14:paraId="71F90AF5" w14:textId="77777777" w:rsidR="008D0CAD" w:rsidRPr="00173FD6" w:rsidRDefault="008D0CAD" w:rsidP="005902F7">
            <w:pPr>
              <w:spacing w:before="100" w:beforeAutospacing="1" w:after="100" w:afterAutospacing="1" w:line="360" w:lineRule="auto"/>
              <w:rPr>
                <w:rFonts w:ascii="Calibri" w:hAnsi="Calibri" w:cs="Calibri"/>
                <w:color w:val="000000"/>
                <w:sz w:val="22"/>
                <w:szCs w:val="22"/>
                <w:lang w:val="en-US"/>
              </w:rPr>
            </w:pPr>
            <w:r w:rsidRPr="00173FD6">
              <w:rPr>
                <w:rFonts w:ascii="Calibri" w:hAnsi="Calibri" w:cs="Calibri"/>
                <w:color w:val="000000"/>
                <w:sz w:val="22"/>
                <w:szCs w:val="22"/>
                <w:lang w:val="en-US"/>
              </w:rPr>
              <w:t>Female</w:t>
            </w:r>
          </w:p>
        </w:tc>
        <w:tc>
          <w:tcPr>
            <w:tcW w:w="1620" w:type="dxa"/>
            <w:noWrap/>
            <w:hideMark/>
          </w:tcPr>
          <w:p w14:paraId="7A265B00" w14:textId="77777777" w:rsidR="008D0CAD" w:rsidRPr="00173FD6" w:rsidRDefault="008D0CAD" w:rsidP="005902F7">
            <w:pPr>
              <w:spacing w:before="100" w:beforeAutospacing="1" w:after="100" w:afterAutospacing="1" w:line="360" w:lineRule="auto"/>
              <w:rPr>
                <w:rFonts w:ascii="Calibri" w:hAnsi="Calibri" w:cs="Calibri"/>
                <w:color w:val="000000"/>
                <w:sz w:val="22"/>
                <w:szCs w:val="22"/>
                <w:lang w:val="en-US"/>
              </w:rPr>
            </w:pPr>
            <w:r w:rsidRPr="00173FD6">
              <w:rPr>
                <w:rFonts w:ascii="Calibri" w:hAnsi="Calibri" w:cs="Calibri"/>
                <w:color w:val="000000"/>
                <w:sz w:val="22"/>
                <w:szCs w:val="22"/>
                <w:lang w:val="en-US"/>
              </w:rPr>
              <w:t>59%</w:t>
            </w:r>
          </w:p>
        </w:tc>
        <w:tc>
          <w:tcPr>
            <w:tcW w:w="1620" w:type="dxa"/>
            <w:noWrap/>
            <w:hideMark/>
          </w:tcPr>
          <w:p w14:paraId="2C7E14E6" w14:textId="77777777" w:rsidR="008D0CAD" w:rsidRPr="00173FD6" w:rsidRDefault="008D0CAD" w:rsidP="005902F7">
            <w:pPr>
              <w:spacing w:before="100" w:beforeAutospacing="1" w:after="100" w:afterAutospacing="1" w:line="360" w:lineRule="auto"/>
              <w:rPr>
                <w:rFonts w:ascii="Calibri" w:hAnsi="Calibri" w:cs="Calibri"/>
                <w:color w:val="000000"/>
                <w:sz w:val="22"/>
                <w:szCs w:val="22"/>
                <w:lang w:val="en-US"/>
              </w:rPr>
            </w:pPr>
            <w:r w:rsidRPr="00173FD6">
              <w:rPr>
                <w:rFonts w:ascii="Calibri" w:hAnsi="Calibri" w:cs="Calibri"/>
                <w:color w:val="000000"/>
                <w:sz w:val="22"/>
                <w:szCs w:val="22"/>
                <w:lang w:val="en-US"/>
              </w:rPr>
              <w:t>81%</w:t>
            </w:r>
          </w:p>
        </w:tc>
      </w:tr>
      <w:tr w:rsidR="008D0CAD" w:rsidRPr="00173FD6" w14:paraId="0C1EA00F" w14:textId="77777777" w:rsidTr="00E26D25">
        <w:trPr>
          <w:trHeight w:val="300"/>
        </w:trPr>
        <w:tc>
          <w:tcPr>
            <w:tcW w:w="2780" w:type="dxa"/>
            <w:noWrap/>
            <w:hideMark/>
          </w:tcPr>
          <w:p w14:paraId="6EBE3043" w14:textId="77777777" w:rsidR="008D0CAD" w:rsidRPr="00173FD6" w:rsidRDefault="008D0CAD" w:rsidP="005902F7">
            <w:pPr>
              <w:spacing w:before="100" w:beforeAutospacing="1" w:after="100" w:afterAutospacing="1" w:line="360" w:lineRule="auto"/>
              <w:rPr>
                <w:rFonts w:ascii="Calibri" w:hAnsi="Calibri" w:cs="Calibri"/>
                <w:color w:val="000000"/>
                <w:sz w:val="22"/>
                <w:szCs w:val="22"/>
                <w:lang w:val="en-US"/>
              </w:rPr>
            </w:pPr>
            <w:r w:rsidRPr="00173FD6">
              <w:rPr>
                <w:rFonts w:ascii="Calibri" w:hAnsi="Calibri" w:cs="Calibri"/>
                <w:color w:val="000000"/>
                <w:sz w:val="22"/>
                <w:szCs w:val="22"/>
                <w:lang w:val="en-US"/>
              </w:rPr>
              <w:t>Male</w:t>
            </w:r>
          </w:p>
        </w:tc>
        <w:tc>
          <w:tcPr>
            <w:tcW w:w="1620" w:type="dxa"/>
            <w:noWrap/>
            <w:hideMark/>
          </w:tcPr>
          <w:p w14:paraId="114E6112" w14:textId="77777777" w:rsidR="008D0CAD" w:rsidRPr="00173FD6" w:rsidRDefault="008D0CAD" w:rsidP="005902F7">
            <w:pPr>
              <w:spacing w:before="100" w:beforeAutospacing="1" w:after="100" w:afterAutospacing="1" w:line="360" w:lineRule="auto"/>
              <w:rPr>
                <w:rFonts w:ascii="Calibri" w:hAnsi="Calibri" w:cs="Calibri"/>
                <w:color w:val="000000"/>
                <w:sz w:val="22"/>
                <w:szCs w:val="22"/>
                <w:lang w:val="en-US"/>
              </w:rPr>
            </w:pPr>
            <w:r w:rsidRPr="00173FD6">
              <w:rPr>
                <w:rFonts w:ascii="Calibri" w:hAnsi="Calibri" w:cs="Calibri"/>
                <w:color w:val="000000"/>
                <w:sz w:val="22"/>
                <w:szCs w:val="22"/>
                <w:lang w:val="en-US"/>
              </w:rPr>
              <w:t>23%</w:t>
            </w:r>
          </w:p>
        </w:tc>
        <w:tc>
          <w:tcPr>
            <w:tcW w:w="1620" w:type="dxa"/>
            <w:noWrap/>
            <w:hideMark/>
          </w:tcPr>
          <w:p w14:paraId="06EEA438" w14:textId="77777777" w:rsidR="008D0CAD" w:rsidRPr="00173FD6" w:rsidRDefault="008D0CAD" w:rsidP="005902F7">
            <w:pPr>
              <w:spacing w:before="100" w:beforeAutospacing="1" w:after="100" w:afterAutospacing="1" w:line="360" w:lineRule="auto"/>
              <w:rPr>
                <w:rFonts w:ascii="Calibri" w:hAnsi="Calibri" w:cs="Calibri"/>
                <w:color w:val="000000"/>
                <w:sz w:val="22"/>
                <w:szCs w:val="22"/>
                <w:lang w:val="en-US"/>
              </w:rPr>
            </w:pPr>
            <w:r w:rsidRPr="00173FD6">
              <w:rPr>
                <w:rFonts w:ascii="Calibri" w:hAnsi="Calibri" w:cs="Calibri"/>
                <w:color w:val="000000"/>
                <w:sz w:val="22"/>
                <w:szCs w:val="22"/>
                <w:lang w:val="en-US"/>
              </w:rPr>
              <w:t>11%</w:t>
            </w:r>
          </w:p>
        </w:tc>
      </w:tr>
      <w:tr w:rsidR="008D0CAD" w:rsidRPr="00173FD6" w14:paraId="5F1BFE36" w14:textId="77777777" w:rsidTr="00E26D25">
        <w:trPr>
          <w:trHeight w:val="300"/>
        </w:trPr>
        <w:tc>
          <w:tcPr>
            <w:tcW w:w="2780" w:type="dxa"/>
            <w:noWrap/>
            <w:hideMark/>
          </w:tcPr>
          <w:p w14:paraId="0DEF1D45" w14:textId="77777777" w:rsidR="008D0CAD" w:rsidRPr="00173FD6" w:rsidRDefault="008D0CAD" w:rsidP="005902F7">
            <w:pPr>
              <w:spacing w:before="100" w:beforeAutospacing="1" w:after="100" w:afterAutospacing="1" w:line="360" w:lineRule="auto"/>
              <w:rPr>
                <w:rFonts w:ascii="Calibri" w:hAnsi="Calibri" w:cs="Calibri"/>
                <w:color w:val="000000"/>
                <w:sz w:val="22"/>
                <w:szCs w:val="22"/>
                <w:lang w:val="en-US"/>
              </w:rPr>
            </w:pPr>
            <w:r w:rsidRPr="00173FD6">
              <w:rPr>
                <w:rFonts w:ascii="Calibri" w:hAnsi="Calibri" w:cs="Calibri"/>
                <w:color w:val="000000"/>
                <w:sz w:val="22"/>
                <w:szCs w:val="22"/>
                <w:lang w:val="en-US"/>
              </w:rPr>
              <w:t>Not stated</w:t>
            </w:r>
          </w:p>
        </w:tc>
        <w:tc>
          <w:tcPr>
            <w:tcW w:w="1620" w:type="dxa"/>
            <w:noWrap/>
            <w:hideMark/>
          </w:tcPr>
          <w:p w14:paraId="29428DED" w14:textId="77777777" w:rsidR="008D0CAD" w:rsidRPr="00173FD6" w:rsidRDefault="008D0CAD" w:rsidP="005902F7">
            <w:pPr>
              <w:spacing w:before="100" w:beforeAutospacing="1" w:after="100" w:afterAutospacing="1" w:line="360" w:lineRule="auto"/>
              <w:rPr>
                <w:rFonts w:ascii="Calibri" w:hAnsi="Calibri" w:cs="Calibri"/>
                <w:color w:val="000000"/>
                <w:sz w:val="22"/>
                <w:szCs w:val="22"/>
                <w:lang w:val="en-US"/>
              </w:rPr>
            </w:pPr>
            <w:r w:rsidRPr="00173FD6">
              <w:rPr>
                <w:rFonts w:ascii="Calibri" w:hAnsi="Calibri" w:cs="Calibri"/>
                <w:color w:val="000000"/>
                <w:sz w:val="22"/>
                <w:szCs w:val="22"/>
                <w:lang w:val="en-US"/>
              </w:rPr>
              <w:t>18%</w:t>
            </w:r>
          </w:p>
        </w:tc>
        <w:tc>
          <w:tcPr>
            <w:tcW w:w="1620" w:type="dxa"/>
            <w:noWrap/>
            <w:hideMark/>
          </w:tcPr>
          <w:p w14:paraId="794B76DD" w14:textId="77777777" w:rsidR="008D0CAD" w:rsidRPr="00173FD6" w:rsidRDefault="008D0CAD" w:rsidP="005902F7">
            <w:pPr>
              <w:spacing w:before="100" w:beforeAutospacing="1" w:after="100" w:afterAutospacing="1" w:line="360" w:lineRule="auto"/>
              <w:rPr>
                <w:rFonts w:ascii="Calibri" w:hAnsi="Calibri" w:cs="Calibri"/>
                <w:color w:val="000000"/>
                <w:sz w:val="22"/>
                <w:szCs w:val="22"/>
                <w:lang w:val="en-US"/>
              </w:rPr>
            </w:pPr>
            <w:r w:rsidRPr="00173FD6">
              <w:rPr>
                <w:rFonts w:ascii="Calibri" w:hAnsi="Calibri" w:cs="Calibri"/>
                <w:color w:val="000000"/>
                <w:sz w:val="22"/>
                <w:szCs w:val="22"/>
                <w:lang w:val="en-US"/>
              </w:rPr>
              <w:t>8%</w:t>
            </w:r>
          </w:p>
        </w:tc>
      </w:tr>
      <w:tr w:rsidR="008D0CAD" w:rsidRPr="00173FD6" w14:paraId="2DEFB5A4" w14:textId="77777777" w:rsidTr="00E26D25">
        <w:trPr>
          <w:trHeight w:val="345"/>
        </w:trPr>
        <w:tc>
          <w:tcPr>
            <w:tcW w:w="2780" w:type="dxa"/>
            <w:noWrap/>
            <w:hideMark/>
          </w:tcPr>
          <w:p w14:paraId="4FF43642" w14:textId="77777777" w:rsidR="008D0CAD" w:rsidRPr="00173FD6" w:rsidRDefault="008D0CAD" w:rsidP="005902F7">
            <w:pPr>
              <w:spacing w:before="100" w:beforeAutospacing="1" w:after="100" w:afterAutospacing="1" w:line="360" w:lineRule="auto"/>
              <w:rPr>
                <w:rFonts w:ascii="Calibri" w:hAnsi="Calibri" w:cs="Calibri"/>
                <w:b/>
                <w:bCs/>
                <w:color w:val="000000"/>
                <w:sz w:val="22"/>
                <w:szCs w:val="22"/>
                <w:lang w:val="en-US"/>
              </w:rPr>
            </w:pPr>
            <w:r w:rsidRPr="00173FD6">
              <w:rPr>
                <w:rFonts w:ascii="Calibri" w:hAnsi="Calibri" w:cs="Calibri"/>
                <w:b/>
                <w:bCs/>
                <w:color w:val="000000"/>
                <w:sz w:val="22"/>
                <w:szCs w:val="22"/>
                <w:lang w:val="en-US"/>
              </w:rPr>
              <w:t>Total</w:t>
            </w:r>
          </w:p>
        </w:tc>
        <w:tc>
          <w:tcPr>
            <w:tcW w:w="1620" w:type="dxa"/>
            <w:noWrap/>
            <w:hideMark/>
          </w:tcPr>
          <w:p w14:paraId="66D2573E" w14:textId="77777777" w:rsidR="008D0CAD" w:rsidRPr="00173FD6" w:rsidRDefault="008D0CAD" w:rsidP="005902F7">
            <w:pPr>
              <w:spacing w:before="100" w:beforeAutospacing="1" w:after="100" w:afterAutospacing="1" w:line="360" w:lineRule="auto"/>
              <w:rPr>
                <w:rFonts w:ascii="Calibri" w:hAnsi="Calibri" w:cs="Calibri"/>
                <w:b/>
                <w:bCs/>
                <w:color w:val="000000"/>
                <w:sz w:val="22"/>
                <w:szCs w:val="22"/>
                <w:lang w:val="en-US"/>
              </w:rPr>
            </w:pPr>
            <w:r w:rsidRPr="00173FD6">
              <w:rPr>
                <w:rFonts w:ascii="Calibri" w:hAnsi="Calibri" w:cs="Calibri"/>
                <w:b/>
                <w:bCs/>
                <w:color w:val="000000"/>
                <w:sz w:val="22"/>
                <w:szCs w:val="22"/>
                <w:lang w:val="en-US"/>
              </w:rPr>
              <w:t>100%</w:t>
            </w:r>
          </w:p>
        </w:tc>
        <w:tc>
          <w:tcPr>
            <w:tcW w:w="1620" w:type="dxa"/>
            <w:noWrap/>
            <w:hideMark/>
          </w:tcPr>
          <w:p w14:paraId="2E69DA7D" w14:textId="77777777" w:rsidR="008D0CAD" w:rsidRPr="00173FD6" w:rsidRDefault="008D0CAD" w:rsidP="005902F7">
            <w:pPr>
              <w:spacing w:before="100" w:beforeAutospacing="1" w:after="100" w:afterAutospacing="1" w:line="360" w:lineRule="auto"/>
              <w:rPr>
                <w:rFonts w:ascii="Calibri" w:hAnsi="Calibri" w:cs="Calibri"/>
                <w:b/>
                <w:bCs/>
                <w:color w:val="000000"/>
                <w:sz w:val="22"/>
                <w:szCs w:val="22"/>
                <w:lang w:val="en-US"/>
              </w:rPr>
            </w:pPr>
            <w:r w:rsidRPr="00173FD6">
              <w:rPr>
                <w:rFonts w:ascii="Calibri" w:hAnsi="Calibri" w:cs="Calibri"/>
                <w:b/>
                <w:bCs/>
                <w:color w:val="000000"/>
                <w:sz w:val="22"/>
                <w:szCs w:val="22"/>
                <w:lang w:val="en-US"/>
              </w:rPr>
              <w:t>100%</w:t>
            </w:r>
          </w:p>
        </w:tc>
      </w:tr>
    </w:tbl>
    <w:p w14:paraId="1B4F09D2" w14:textId="102B28DB" w:rsidR="008D0CAD" w:rsidRPr="00D354DC" w:rsidRDefault="008D0CAD" w:rsidP="005902F7">
      <w:pPr>
        <w:spacing w:before="100" w:beforeAutospacing="1" w:after="100" w:afterAutospacing="1" w:line="360" w:lineRule="auto"/>
        <w:ind w:hanging="11"/>
        <w:rPr>
          <w:rFonts w:asciiTheme="majorHAnsi" w:hAnsiTheme="majorHAnsi" w:cstheme="majorHAnsi"/>
          <w:bCs/>
          <w:i/>
          <w:color w:val="44546A" w:themeColor="text2"/>
          <w:sz w:val="22"/>
          <w:szCs w:val="22"/>
          <w:lang w:val="en-US"/>
        </w:rPr>
      </w:pPr>
      <w:bookmarkStart w:id="261" w:name="_Toc11511216"/>
      <w:r w:rsidRPr="00D354DC">
        <w:rPr>
          <w:rFonts w:asciiTheme="majorHAnsi" w:hAnsiTheme="majorHAnsi" w:cstheme="majorHAnsi"/>
          <w:bCs/>
          <w:i/>
          <w:color w:val="44546A" w:themeColor="text2"/>
          <w:sz w:val="22"/>
          <w:szCs w:val="22"/>
          <w:lang w:val="en-US"/>
        </w:rPr>
        <w:t xml:space="preserve"> </w:t>
      </w:r>
      <w:bookmarkStart w:id="262" w:name="_Toc71616551"/>
      <w:r w:rsidRPr="00D354DC">
        <w:rPr>
          <w:rFonts w:asciiTheme="majorHAnsi" w:hAnsiTheme="majorHAnsi" w:cstheme="majorHAnsi"/>
          <w:bCs/>
          <w:i/>
          <w:color w:val="44546A" w:themeColor="text2"/>
          <w:sz w:val="22"/>
          <w:szCs w:val="22"/>
          <w:lang w:val="en-US"/>
        </w:rPr>
        <w:t xml:space="preserve">Figure </w:t>
      </w:r>
      <w:r w:rsidRPr="00D354DC">
        <w:rPr>
          <w:rFonts w:asciiTheme="majorHAnsi" w:hAnsiTheme="majorHAnsi" w:cstheme="majorHAnsi"/>
          <w:bCs/>
          <w:i/>
          <w:color w:val="44546A" w:themeColor="text2"/>
          <w:sz w:val="22"/>
          <w:szCs w:val="22"/>
          <w:lang w:val="en-US"/>
        </w:rPr>
        <w:fldChar w:fldCharType="begin"/>
      </w:r>
      <w:r w:rsidRPr="00D354DC">
        <w:rPr>
          <w:rFonts w:asciiTheme="majorHAnsi" w:hAnsiTheme="majorHAnsi" w:cstheme="majorHAnsi"/>
          <w:bCs/>
          <w:i/>
          <w:color w:val="44546A" w:themeColor="text2"/>
          <w:sz w:val="22"/>
          <w:szCs w:val="22"/>
          <w:lang w:val="en-US"/>
        </w:rPr>
        <w:instrText xml:space="preserve"> SEQ Figure \* ARABIC </w:instrText>
      </w:r>
      <w:r w:rsidRPr="00D354DC">
        <w:rPr>
          <w:rFonts w:asciiTheme="majorHAnsi" w:hAnsiTheme="majorHAnsi" w:cstheme="majorHAnsi"/>
          <w:bCs/>
          <w:i/>
          <w:color w:val="44546A" w:themeColor="text2"/>
          <w:sz w:val="22"/>
          <w:szCs w:val="22"/>
          <w:lang w:val="en-US"/>
        </w:rPr>
        <w:fldChar w:fldCharType="separate"/>
      </w:r>
      <w:r w:rsidR="00D6133D">
        <w:rPr>
          <w:rFonts w:asciiTheme="majorHAnsi" w:hAnsiTheme="majorHAnsi" w:cstheme="majorHAnsi"/>
          <w:bCs/>
          <w:i/>
          <w:noProof/>
          <w:color w:val="44546A" w:themeColor="text2"/>
          <w:sz w:val="22"/>
          <w:szCs w:val="22"/>
          <w:lang w:val="en-US"/>
        </w:rPr>
        <w:t>24</w:t>
      </w:r>
      <w:r w:rsidRPr="00D354DC">
        <w:rPr>
          <w:rFonts w:asciiTheme="majorHAnsi" w:hAnsiTheme="majorHAnsi" w:cstheme="majorHAnsi"/>
          <w:bCs/>
          <w:i/>
          <w:color w:val="44546A" w:themeColor="text2"/>
          <w:sz w:val="22"/>
          <w:szCs w:val="22"/>
          <w:lang w:val="en-US"/>
        </w:rPr>
        <w:fldChar w:fldCharType="end"/>
      </w:r>
      <w:r w:rsidRPr="00D354DC">
        <w:rPr>
          <w:rFonts w:asciiTheme="majorHAnsi" w:hAnsiTheme="majorHAnsi" w:cstheme="majorHAnsi"/>
          <w:bCs/>
          <w:i/>
          <w:color w:val="44546A" w:themeColor="text2"/>
          <w:sz w:val="22"/>
          <w:szCs w:val="22"/>
          <w:lang w:val="en-US"/>
        </w:rPr>
        <w:t>. Survey Respondents by Age</w:t>
      </w:r>
      <w:bookmarkEnd w:id="261"/>
      <w:bookmarkEnd w:id="262"/>
    </w:p>
    <w:p w14:paraId="42388033" w14:textId="77777777" w:rsidR="008D0CAD" w:rsidRPr="00173FD6" w:rsidRDefault="008D0CAD" w:rsidP="005902F7">
      <w:pPr>
        <w:spacing w:before="100" w:beforeAutospacing="1" w:after="100" w:afterAutospacing="1" w:line="360" w:lineRule="auto"/>
        <w:rPr>
          <w:rFonts w:asciiTheme="majorHAnsi" w:hAnsiTheme="majorHAnsi" w:cstheme="majorHAnsi"/>
          <w:lang w:val="en-US"/>
        </w:rPr>
      </w:pPr>
      <w:r w:rsidRPr="00173FD6">
        <w:rPr>
          <w:noProof/>
          <w:lang w:val="en-AU" w:eastAsia="en-AU"/>
        </w:rPr>
        <w:drawing>
          <wp:inline distT="0" distB="0" distL="0" distR="0" wp14:anchorId="14DEB4A0" wp14:editId="3AEE0228">
            <wp:extent cx="4226231" cy="1710559"/>
            <wp:effectExtent l="0" t="0" r="15875" b="17145"/>
            <wp:docPr id="97" name="Chart 97" descr="Survey respondents by age. Highest range, 50-59 years old">
              <a:extLst xmlns:a="http://schemas.openxmlformats.org/drawingml/2006/main">
                <a:ext uri="{FF2B5EF4-FFF2-40B4-BE49-F238E27FC236}">
                  <a16:creationId xmlns:a16="http://schemas.microsoft.com/office/drawing/2014/main" id="{F9841AA3-D4D2-6344-8B57-55728490F9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bookmarkStart w:id="263" w:name="_Toc11511217"/>
    </w:p>
    <w:p w14:paraId="0C9B063D" w14:textId="77C7ABA1" w:rsidR="008D0CAD" w:rsidRPr="00D354DC" w:rsidRDefault="008D0CAD" w:rsidP="005902F7">
      <w:pPr>
        <w:spacing w:before="100" w:beforeAutospacing="1" w:after="100" w:afterAutospacing="1" w:line="360" w:lineRule="auto"/>
        <w:ind w:hanging="11"/>
        <w:rPr>
          <w:rFonts w:asciiTheme="majorHAnsi" w:hAnsiTheme="majorHAnsi" w:cstheme="majorHAnsi"/>
          <w:bCs/>
          <w:i/>
          <w:color w:val="44546A" w:themeColor="text2"/>
          <w:sz w:val="22"/>
          <w:szCs w:val="22"/>
          <w:lang w:val="en-US"/>
        </w:rPr>
      </w:pPr>
      <w:bookmarkStart w:id="264" w:name="_Toc71616552"/>
      <w:r w:rsidRPr="00D354DC">
        <w:rPr>
          <w:rFonts w:asciiTheme="majorHAnsi" w:hAnsiTheme="majorHAnsi" w:cstheme="majorHAnsi"/>
          <w:bCs/>
          <w:i/>
          <w:color w:val="44546A" w:themeColor="text2"/>
          <w:sz w:val="22"/>
          <w:szCs w:val="22"/>
          <w:lang w:val="en-US"/>
        </w:rPr>
        <w:t xml:space="preserve">Figure </w:t>
      </w:r>
      <w:r w:rsidRPr="00D354DC">
        <w:rPr>
          <w:rFonts w:asciiTheme="majorHAnsi" w:hAnsiTheme="majorHAnsi" w:cstheme="majorHAnsi"/>
          <w:bCs/>
          <w:i/>
          <w:color w:val="44546A" w:themeColor="text2"/>
          <w:sz w:val="22"/>
          <w:szCs w:val="22"/>
          <w:lang w:val="en-US"/>
        </w:rPr>
        <w:fldChar w:fldCharType="begin"/>
      </w:r>
      <w:r w:rsidRPr="00D354DC">
        <w:rPr>
          <w:rFonts w:asciiTheme="majorHAnsi" w:hAnsiTheme="majorHAnsi" w:cstheme="majorHAnsi"/>
          <w:bCs/>
          <w:i/>
          <w:color w:val="44546A" w:themeColor="text2"/>
          <w:sz w:val="22"/>
          <w:szCs w:val="22"/>
          <w:lang w:val="en-US"/>
        </w:rPr>
        <w:instrText xml:space="preserve"> SEQ Figure \* ARABIC </w:instrText>
      </w:r>
      <w:r w:rsidRPr="00D354DC">
        <w:rPr>
          <w:rFonts w:asciiTheme="majorHAnsi" w:hAnsiTheme="majorHAnsi" w:cstheme="majorHAnsi"/>
          <w:bCs/>
          <w:i/>
          <w:color w:val="44546A" w:themeColor="text2"/>
          <w:sz w:val="22"/>
          <w:szCs w:val="22"/>
          <w:lang w:val="en-US"/>
        </w:rPr>
        <w:fldChar w:fldCharType="separate"/>
      </w:r>
      <w:r w:rsidR="00D6133D">
        <w:rPr>
          <w:rFonts w:asciiTheme="majorHAnsi" w:hAnsiTheme="majorHAnsi" w:cstheme="majorHAnsi"/>
          <w:bCs/>
          <w:i/>
          <w:noProof/>
          <w:color w:val="44546A" w:themeColor="text2"/>
          <w:sz w:val="22"/>
          <w:szCs w:val="22"/>
          <w:lang w:val="en-US"/>
        </w:rPr>
        <w:t>25</w:t>
      </w:r>
      <w:r w:rsidRPr="00D354DC">
        <w:rPr>
          <w:rFonts w:asciiTheme="majorHAnsi" w:hAnsiTheme="majorHAnsi" w:cstheme="majorHAnsi"/>
          <w:bCs/>
          <w:i/>
          <w:color w:val="44546A" w:themeColor="text2"/>
          <w:sz w:val="22"/>
          <w:szCs w:val="22"/>
          <w:lang w:val="en-US"/>
        </w:rPr>
        <w:fldChar w:fldCharType="end"/>
      </w:r>
      <w:r w:rsidRPr="00D354DC">
        <w:rPr>
          <w:rFonts w:asciiTheme="majorHAnsi" w:hAnsiTheme="majorHAnsi" w:cstheme="majorHAnsi"/>
          <w:bCs/>
          <w:i/>
          <w:color w:val="44546A" w:themeColor="text2"/>
          <w:sz w:val="22"/>
          <w:szCs w:val="22"/>
          <w:lang w:val="en-US"/>
        </w:rPr>
        <w:t>. Survey Respondents by Highest Educational Attainment</w:t>
      </w:r>
      <w:bookmarkEnd w:id="263"/>
      <w:bookmarkEnd w:id="264"/>
    </w:p>
    <w:p w14:paraId="324B003E" w14:textId="77777777" w:rsidR="008D0CAD" w:rsidRPr="00173FD6" w:rsidRDefault="008D0CAD" w:rsidP="005902F7">
      <w:pPr>
        <w:spacing w:before="100" w:beforeAutospacing="1" w:after="100" w:afterAutospacing="1" w:line="360" w:lineRule="auto"/>
        <w:rPr>
          <w:rFonts w:asciiTheme="majorHAnsi" w:hAnsiTheme="majorHAnsi" w:cstheme="majorHAnsi"/>
          <w:lang w:val="en-US"/>
        </w:rPr>
      </w:pPr>
      <w:r w:rsidRPr="00173FD6">
        <w:rPr>
          <w:noProof/>
          <w:lang w:val="en-AU" w:eastAsia="en-AU"/>
        </w:rPr>
        <w:drawing>
          <wp:inline distT="0" distB="0" distL="0" distR="0" wp14:anchorId="01E9FDDF" wp14:editId="62B220AC">
            <wp:extent cx="4222268" cy="1876097"/>
            <wp:effectExtent l="0" t="0" r="6985" b="16510"/>
            <wp:docPr id="98" name="Chart 98" descr="Bar chart of survey respondents by highest educational attainment. Highest range, Master's Degree Holders. ">
              <a:extLst xmlns:a="http://schemas.openxmlformats.org/drawingml/2006/main">
                <a:ext uri="{FF2B5EF4-FFF2-40B4-BE49-F238E27FC236}">
                  <a16:creationId xmlns:a16="http://schemas.microsoft.com/office/drawing/2014/main" id="{A54143C9-35B9-3D40-B2F7-D9297C5432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2551934" w14:textId="77777777" w:rsidR="008D0CAD" w:rsidRPr="00173FD6" w:rsidRDefault="008D0CAD" w:rsidP="005902F7">
      <w:pPr>
        <w:pStyle w:val="Heading2"/>
        <w:pageBreakBefore/>
        <w:numPr>
          <w:ilvl w:val="0"/>
          <w:numId w:val="0"/>
        </w:numPr>
        <w:spacing w:before="100" w:beforeAutospacing="1" w:after="100" w:afterAutospacing="1" w:line="360" w:lineRule="auto"/>
        <w:ind w:left="1287" w:hanging="720"/>
        <w:rPr>
          <w:rFonts w:asciiTheme="minorHAnsi" w:hAnsiTheme="minorHAnsi"/>
        </w:rPr>
      </w:pPr>
      <w:bookmarkStart w:id="265" w:name="_Toc39938367"/>
      <w:bookmarkStart w:id="266" w:name="_Toc69820472"/>
      <w:r w:rsidRPr="00173FD6">
        <w:t>Annex F. List of Direct (DRS) and Indirect Recipient Schools (IRS)</w:t>
      </w:r>
      <w:bookmarkEnd w:id="265"/>
      <w:bookmarkEnd w:id="266"/>
    </w:p>
    <w:p w14:paraId="15B488BB" w14:textId="77777777" w:rsidR="008D0CAD" w:rsidRPr="00173FD6" w:rsidRDefault="008D0CAD" w:rsidP="005902F7">
      <w:pPr>
        <w:spacing w:before="100" w:beforeAutospacing="1" w:after="100" w:afterAutospacing="1" w:line="360" w:lineRule="auto"/>
        <w:rPr>
          <w:rFonts w:asciiTheme="majorHAnsi" w:hAnsiTheme="majorHAnsi" w:cstheme="majorHAnsi"/>
          <w:b/>
          <w:lang w:val="en-US"/>
        </w:rPr>
      </w:pPr>
      <w:r w:rsidRPr="00173FD6">
        <w:rPr>
          <w:rFonts w:asciiTheme="majorHAnsi" w:hAnsiTheme="majorHAnsi" w:cstheme="majorHAnsi"/>
          <w:b/>
          <w:lang w:val="en-US"/>
        </w:rPr>
        <w:t xml:space="preserve">Introduction </w:t>
      </w:r>
    </w:p>
    <w:p w14:paraId="49EE2130" w14:textId="5A64F25C" w:rsidR="008D0CAD" w:rsidRPr="00173FD6" w:rsidRDefault="008D0CAD" w:rsidP="005902F7">
      <w:pPr>
        <w:spacing w:before="100" w:beforeAutospacing="1" w:after="100" w:afterAutospacing="1" w:line="360" w:lineRule="auto"/>
        <w:rPr>
          <w:rFonts w:asciiTheme="majorHAnsi" w:hAnsiTheme="majorHAnsi" w:cstheme="majorHAnsi"/>
          <w:lang w:val="en-US"/>
        </w:rPr>
      </w:pPr>
      <w:r w:rsidRPr="00173FD6">
        <w:rPr>
          <w:rFonts w:asciiTheme="majorHAnsi" w:hAnsiTheme="majorHAnsi" w:cstheme="majorHAnsi"/>
          <w:lang w:val="en-US"/>
        </w:rPr>
        <w:t>The EOPE Study Team requested several secondary data from the schools (refer to Annex G for list).</w:t>
      </w:r>
      <w:r w:rsidR="00D434EB">
        <w:rPr>
          <w:rFonts w:asciiTheme="majorHAnsi" w:hAnsiTheme="majorHAnsi" w:cstheme="majorHAnsi"/>
          <w:lang w:val="en-US"/>
        </w:rPr>
        <w:t xml:space="preserve"> </w:t>
      </w:r>
      <w:r w:rsidRPr="00173FD6">
        <w:rPr>
          <w:rFonts w:asciiTheme="majorHAnsi" w:hAnsiTheme="majorHAnsi" w:cstheme="majorHAnsi"/>
          <w:lang w:val="en-US"/>
        </w:rPr>
        <w:t>After being informed by DepEd Central Office that these data were not available at the CO level, it was agreed that the Team will go to each of the schools in the sample study to obtain the data sets.</w:t>
      </w:r>
      <w:r w:rsidR="00D434EB">
        <w:rPr>
          <w:rFonts w:asciiTheme="majorHAnsi" w:hAnsiTheme="majorHAnsi" w:cstheme="majorHAnsi"/>
          <w:lang w:val="en-US"/>
        </w:rPr>
        <w:t xml:space="preserve"> </w:t>
      </w:r>
      <w:r w:rsidRPr="00173FD6">
        <w:rPr>
          <w:rFonts w:asciiTheme="majorHAnsi" w:hAnsiTheme="majorHAnsi" w:cstheme="majorHAnsi"/>
          <w:lang w:val="en-US"/>
        </w:rPr>
        <w:t>The Team was assured that they data existed in the schools because these were submitted to the Division Offices every year.</w:t>
      </w:r>
    </w:p>
    <w:p w14:paraId="4F7C0235" w14:textId="77777777" w:rsidR="008D0CAD" w:rsidRPr="00173FD6" w:rsidRDefault="008D0CAD" w:rsidP="005902F7">
      <w:pPr>
        <w:spacing w:before="100" w:beforeAutospacing="1" w:after="100" w:afterAutospacing="1" w:line="360" w:lineRule="auto"/>
        <w:rPr>
          <w:rFonts w:asciiTheme="majorHAnsi" w:hAnsiTheme="majorHAnsi" w:cstheme="majorHAnsi"/>
          <w:lang w:val="en-US"/>
        </w:rPr>
      </w:pPr>
      <w:r w:rsidRPr="00173FD6">
        <w:rPr>
          <w:rFonts w:asciiTheme="majorHAnsi" w:hAnsiTheme="majorHAnsi" w:cstheme="majorHAnsi"/>
          <w:lang w:val="en-US"/>
        </w:rPr>
        <w:t>The EOPE Study Team first asked the Division Offices for these data set but were also informed to go to the individual schools.</w:t>
      </w:r>
    </w:p>
    <w:p w14:paraId="636D87F0" w14:textId="6DB2A90F" w:rsidR="008D0CAD" w:rsidRPr="00173FD6" w:rsidRDefault="008D0CAD" w:rsidP="005902F7">
      <w:pPr>
        <w:spacing w:before="100" w:beforeAutospacing="1" w:after="100" w:afterAutospacing="1" w:line="360" w:lineRule="auto"/>
        <w:rPr>
          <w:rFonts w:asciiTheme="majorHAnsi" w:hAnsiTheme="majorHAnsi" w:cstheme="majorHAnsi"/>
          <w:lang w:val="en-US"/>
        </w:rPr>
      </w:pPr>
      <w:r w:rsidRPr="00173FD6">
        <w:rPr>
          <w:rFonts w:asciiTheme="majorHAnsi" w:hAnsiTheme="majorHAnsi" w:cstheme="majorHAnsi"/>
          <w:lang w:val="en-US"/>
        </w:rPr>
        <w:t>There was a total of 106 schools (80 schools were BEST schools or direct recipient schools while 26 are indirect recipient schools) included in the study sample, located in the six BEST-supported regions and in 14 Divisions.</w:t>
      </w:r>
      <w:r w:rsidR="00D434EB">
        <w:rPr>
          <w:rFonts w:asciiTheme="majorHAnsi" w:hAnsiTheme="majorHAnsi" w:cstheme="majorHAnsi"/>
          <w:lang w:val="en-US"/>
        </w:rPr>
        <w:t xml:space="preserve"> </w:t>
      </w:r>
      <w:r w:rsidRPr="00173FD6">
        <w:rPr>
          <w:rFonts w:asciiTheme="majorHAnsi" w:hAnsiTheme="majorHAnsi" w:cstheme="majorHAnsi"/>
          <w:lang w:val="en-US"/>
        </w:rPr>
        <w:t>The EOPE Study Team went to each and every school, at least twice, to inform them about the Study, and invite them to the FGDs and to collect the secondary data. For the other schools, the Study Team had to visit them four times to include following up submissions.</w:t>
      </w:r>
    </w:p>
    <w:p w14:paraId="7C04F679" w14:textId="77777777" w:rsidR="008D0CAD" w:rsidRPr="00173FD6" w:rsidRDefault="008D0CAD" w:rsidP="005902F7">
      <w:pPr>
        <w:spacing w:before="100" w:beforeAutospacing="1" w:after="100" w:afterAutospacing="1" w:line="360" w:lineRule="auto"/>
        <w:rPr>
          <w:rFonts w:asciiTheme="majorHAnsi" w:hAnsiTheme="majorHAnsi" w:cstheme="majorHAnsi"/>
          <w:lang w:val="en-US"/>
        </w:rPr>
      </w:pPr>
      <w:r w:rsidRPr="00173FD6">
        <w:rPr>
          <w:rFonts w:asciiTheme="majorHAnsi" w:hAnsiTheme="majorHAnsi" w:cstheme="majorHAnsi"/>
          <w:lang w:val="en-US"/>
        </w:rPr>
        <w:t xml:space="preserve">Of the 80 BEST schools, only 16 direct recipient schools (20%) submitted complete secondary data sets while of the 26 indirect recipient schools only nine (34.6%) submitted complete data sets. </w:t>
      </w:r>
      <w:r w:rsidRPr="00173FD6">
        <w:rPr>
          <w:rFonts w:asciiTheme="majorHAnsi" w:hAnsiTheme="majorHAnsi" w:cstheme="majorHAnsi"/>
          <w:b/>
          <w:lang w:val="en-US"/>
        </w:rPr>
        <w:t>Complete secondary data</w:t>
      </w:r>
      <w:r w:rsidRPr="00173FD6">
        <w:rPr>
          <w:rFonts w:asciiTheme="majorHAnsi" w:hAnsiTheme="majorHAnsi" w:cstheme="majorHAnsi"/>
          <w:lang w:val="en-US"/>
        </w:rPr>
        <w:t xml:space="preserve"> sets referred to individual student average grades segregated by: sex (male and female); year level (Grade 4, 5 and 6); and by school year (SY2013-2014 to SY2017-2018).</w:t>
      </w:r>
    </w:p>
    <w:p w14:paraId="65707C90" w14:textId="4D5862FD" w:rsidR="008D0CAD" w:rsidRPr="00173FD6" w:rsidRDefault="008D0CAD" w:rsidP="005902F7">
      <w:pPr>
        <w:spacing w:before="100" w:beforeAutospacing="1" w:after="100" w:afterAutospacing="1" w:line="360" w:lineRule="auto"/>
        <w:rPr>
          <w:rFonts w:asciiTheme="majorHAnsi" w:hAnsiTheme="majorHAnsi" w:cstheme="majorHAnsi"/>
          <w:lang w:val="en-US"/>
        </w:rPr>
      </w:pPr>
      <w:r w:rsidRPr="00173FD6">
        <w:rPr>
          <w:rFonts w:asciiTheme="majorHAnsi" w:hAnsiTheme="majorHAnsi" w:cstheme="majorHAnsi"/>
          <w:lang w:val="en-US"/>
        </w:rPr>
        <w:t xml:space="preserve">Moreover, there were 35 schools that provided incomplete secondary data sets – 30 direct recipient schools (38%) and 5 indirect recipient schools (19%). </w:t>
      </w:r>
      <w:r w:rsidRPr="00173FD6">
        <w:rPr>
          <w:rFonts w:asciiTheme="majorHAnsi" w:hAnsiTheme="majorHAnsi" w:cstheme="majorHAnsi"/>
          <w:b/>
          <w:lang w:val="en-US"/>
        </w:rPr>
        <w:t>Incomplete secondary data</w:t>
      </w:r>
      <w:r w:rsidRPr="00173FD6">
        <w:rPr>
          <w:rFonts w:asciiTheme="majorHAnsi" w:hAnsiTheme="majorHAnsi" w:cstheme="majorHAnsi"/>
          <w:lang w:val="en-US"/>
        </w:rPr>
        <w:t xml:space="preserve"> referred to data that had missing years, for example, school submitted average grades by subject and by sex but there are no average grades for one school year.</w:t>
      </w:r>
      <w:r w:rsidR="00D434EB">
        <w:rPr>
          <w:rFonts w:asciiTheme="majorHAnsi" w:hAnsiTheme="majorHAnsi" w:cstheme="majorHAnsi"/>
          <w:lang w:val="en-US"/>
        </w:rPr>
        <w:t xml:space="preserve"> </w:t>
      </w:r>
      <w:r w:rsidRPr="00173FD6">
        <w:rPr>
          <w:rFonts w:asciiTheme="majorHAnsi" w:hAnsiTheme="majorHAnsi" w:cstheme="majorHAnsi"/>
          <w:lang w:val="en-US"/>
        </w:rPr>
        <w:t>If a data set was missing one or two years,</w:t>
      </w:r>
      <w:r w:rsidRPr="00173FD6">
        <w:rPr>
          <w:rFonts w:asciiTheme="majorHAnsi" w:hAnsiTheme="majorHAnsi" w:cstheme="majorHAnsi"/>
          <w:b/>
          <w:lang w:val="en-US"/>
        </w:rPr>
        <w:t xml:space="preserve"> </w:t>
      </w:r>
      <w:r w:rsidRPr="00173FD6">
        <w:rPr>
          <w:rFonts w:asciiTheme="majorHAnsi" w:hAnsiTheme="majorHAnsi" w:cstheme="majorHAnsi"/>
          <w:lang w:val="en-US"/>
        </w:rPr>
        <w:t xml:space="preserve">this meant that these could not be included in the analysis as these will </w:t>
      </w:r>
      <w:r w:rsidRPr="00173FD6">
        <w:rPr>
          <w:rFonts w:asciiTheme="majorHAnsi" w:hAnsiTheme="majorHAnsi" w:cstheme="majorHAnsi"/>
          <w:b/>
          <w:lang w:val="en-US"/>
        </w:rPr>
        <w:t>further distort the results</w:t>
      </w:r>
      <w:r w:rsidRPr="00173FD6">
        <w:rPr>
          <w:rFonts w:asciiTheme="majorHAnsi" w:hAnsiTheme="majorHAnsi" w:cstheme="majorHAnsi"/>
          <w:lang w:val="en-US"/>
        </w:rPr>
        <w:t>.</w:t>
      </w:r>
      <w:r w:rsidR="00D434EB">
        <w:rPr>
          <w:rFonts w:asciiTheme="majorHAnsi" w:hAnsiTheme="majorHAnsi" w:cstheme="majorHAnsi"/>
          <w:lang w:val="en-US"/>
        </w:rPr>
        <w:t xml:space="preserve"> </w:t>
      </w:r>
    </w:p>
    <w:p w14:paraId="27677CDA" w14:textId="52DA7114" w:rsidR="008D0CAD" w:rsidRPr="00173FD6" w:rsidRDefault="008D0CAD" w:rsidP="005902F7">
      <w:pPr>
        <w:spacing w:before="100" w:beforeAutospacing="1" w:after="100" w:afterAutospacing="1" w:line="360" w:lineRule="auto"/>
        <w:rPr>
          <w:rFonts w:asciiTheme="majorHAnsi" w:hAnsiTheme="majorHAnsi" w:cstheme="majorHAnsi"/>
          <w:lang w:val="en-US"/>
        </w:rPr>
      </w:pPr>
      <w:r w:rsidRPr="00173FD6">
        <w:rPr>
          <w:rFonts w:asciiTheme="majorHAnsi" w:hAnsiTheme="majorHAnsi" w:cstheme="majorHAnsi"/>
          <w:lang w:val="en-US"/>
        </w:rPr>
        <w:t>Schools that participated in the FGDs meant those that sent their principals and one or two teachers to attend the FGDs.</w:t>
      </w:r>
      <w:r w:rsidR="00D434EB">
        <w:rPr>
          <w:rFonts w:asciiTheme="majorHAnsi" w:hAnsiTheme="majorHAnsi" w:cstheme="majorHAnsi"/>
          <w:lang w:val="en-US"/>
        </w:rPr>
        <w:t xml:space="preserve"> </w:t>
      </w:r>
      <w:r w:rsidRPr="00173FD6">
        <w:rPr>
          <w:rFonts w:asciiTheme="majorHAnsi" w:hAnsiTheme="majorHAnsi" w:cstheme="majorHAnsi"/>
          <w:lang w:val="en-US"/>
        </w:rPr>
        <w:t xml:space="preserve">Sixty out of 106 schools (56.6%) participated in the FGDs. </w:t>
      </w:r>
      <w:r w:rsidRPr="00173FD6">
        <w:rPr>
          <w:rFonts w:asciiTheme="majorHAnsi" w:hAnsiTheme="majorHAnsi" w:cstheme="majorHAnsi"/>
          <w:color w:val="000000" w:themeColor="text1"/>
          <w:lang w:val="en-US"/>
        </w:rPr>
        <w:t>The</w:t>
      </w:r>
      <w:r w:rsidRPr="00173FD6">
        <w:rPr>
          <w:rFonts w:asciiTheme="majorHAnsi" w:hAnsiTheme="majorHAnsi" w:cstheme="majorHAnsi"/>
          <w:b/>
          <w:color w:val="000000" w:themeColor="text1"/>
          <w:lang w:val="en-US"/>
        </w:rPr>
        <w:t xml:space="preserve"> status of computers and internet connection </w:t>
      </w:r>
      <w:r w:rsidRPr="00173FD6">
        <w:rPr>
          <w:rFonts w:asciiTheme="majorHAnsi" w:hAnsiTheme="majorHAnsi" w:cstheme="majorHAnsi"/>
          <w:color w:val="000000" w:themeColor="text1"/>
          <w:lang w:val="en-US"/>
        </w:rPr>
        <w:t>of the schools</w:t>
      </w:r>
      <w:r w:rsidRPr="00173FD6">
        <w:rPr>
          <w:rFonts w:asciiTheme="majorHAnsi" w:hAnsiTheme="majorHAnsi" w:cstheme="majorHAnsi"/>
          <w:b/>
          <w:color w:val="000000" w:themeColor="text1"/>
          <w:lang w:val="en-US"/>
        </w:rPr>
        <w:t xml:space="preserve"> </w:t>
      </w:r>
      <w:r w:rsidRPr="00173FD6">
        <w:rPr>
          <w:rFonts w:asciiTheme="majorHAnsi" w:hAnsiTheme="majorHAnsi" w:cstheme="majorHAnsi"/>
          <w:color w:val="000000" w:themeColor="text1"/>
          <w:lang w:val="en-US"/>
        </w:rPr>
        <w:t>were included in the table because of the high number of FGD respondents that identified problems with internet connections and ICT infrastructure in their respective schools, thereby limiting their participation in the reforms.</w:t>
      </w:r>
    </w:p>
    <w:p w14:paraId="482D772F" w14:textId="77777777" w:rsidR="008D0CAD" w:rsidRDefault="008D0CAD" w:rsidP="002320B3">
      <w:pPr>
        <w:rPr>
          <w:rFonts w:asciiTheme="majorHAnsi" w:hAnsiTheme="majorHAnsi" w:cstheme="majorHAnsi"/>
        </w:rPr>
        <w:sectPr w:rsidR="008D0CAD" w:rsidSect="009C64E9">
          <w:pgSz w:w="11900" w:h="16840"/>
          <w:pgMar w:top="1440" w:right="1440" w:bottom="1440" w:left="1440" w:header="720" w:footer="720" w:gutter="0"/>
          <w:cols w:space="720"/>
          <w:docGrid w:linePitch="360"/>
        </w:sectPr>
      </w:pPr>
    </w:p>
    <w:p w14:paraId="13422490" w14:textId="77777777" w:rsidR="008D0CAD" w:rsidRDefault="008D0CAD" w:rsidP="002320B3">
      <w:pPr>
        <w:rPr>
          <w:rFonts w:asciiTheme="majorHAnsi" w:hAnsiTheme="majorHAnsi" w:cstheme="majorHAnsi"/>
        </w:rPr>
      </w:pPr>
    </w:p>
    <w:p w14:paraId="6B815DA9" w14:textId="77777777" w:rsidR="008D0CAD" w:rsidRPr="00173FD6" w:rsidRDefault="008D0CAD" w:rsidP="002320B3">
      <w:pPr>
        <w:ind w:firstLine="720"/>
        <w:rPr>
          <w:rFonts w:asciiTheme="majorHAnsi" w:hAnsiTheme="majorHAnsi" w:cstheme="majorHAnsi"/>
          <w:lang w:val="en-US"/>
        </w:rPr>
      </w:pPr>
      <w:r w:rsidRPr="00173FD6">
        <w:rPr>
          <w:rFonts w:asciiTheme="majorHAnsi" w:hAnsiTheme="majorHAnsi" w:cstheme="majorHAnsi"/>
          <w:lang w:val="en-US"/>
        </w:rPr>
        <w:t>Table 1. List of Schools included in the Sample Study by their Participation</w:t>
      </w:r>
    </w:p>
    <w:tbl>
      <w:tblPr>
        <w:tblStyle w:val="TableGrid11"/>
        <w:tblW w:w="14737" w:type="dxa"/>
        <w:tblLook w:val="04A0" w:firstRow="1" w:lastRow="0" w:firstColumn="1" w:lastColumn="0" w:noHBand="0" w:noVBand="1"/>
      </w:tblPr>
      <w:tblGrid>
        <w:gridCol w:w="940"/>
        <w:gridCol w:w="895"/>
        <w:gridCol w:w="3689"/>
        <w:gridCol w:w="1417"/>
        <w:gridCol w:w="1701"/>
        <w:gridCol w:w="1418"/>
        <w:gridCol w:w="1842"/>
        <w:gridCol w:w="2835"/>
      </w:tblGrid>
      <w:tr w:rsidR="006D1940" w:rsidRPr="00173FD6" w14:paraId="058C98A4" w14:textId="77777777" w:rsidTr="00C1120A">
        <w:trPr>
          <w:trHeight w:val="1376"/>
          <w:tblHeader/>
        </w:trPr>
        <w:tc>
          <w:tcPr>
            <w:tcW w:w="940" w:type="dxa"/>
            <w:tcBorders>
              <w:bottom w:val="single" w:sz="4" w:space="0" w:color="auto"/>
            </w:tcBorders>
          </w:tcPr>
          <w:p w14:paraId="374DB776" w14:textId="77777777"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Region</w:t>
            </w:r>
          </w:p>
          <w:p w14:paraId="2EB471BF" w14:textId="3B840D73"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(1)</w:t>
            </w:r>
          </w:p>
        </w:tc>
        <w:tc>
          <w:tcPr>
            <w:tcW w:w="895" w:type="dxa"/>
            <w:tcBorders>
              <w:bottom w:val="single" w:sz="4" w:space="0" w:color="auto"/>
            </w:tcBorders>
          </w:tcPr>
          <w:p w14:paraId="61EA6B32" w14:textId="196E11FA"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School (2)</w:t>
            </w:r>
          </w:p>
        </w:tc>
        <w:tc>
          <w:tcPr>
            <w:tcW w:w="3689" w:type="dxa"/>
          </w:tcPr>
          <w:p w14:paraId="0AB1E972" w14:textId="77777777" w:rsidR="006D1940" w:rsidRPr="00173FD6" w:rsidRDefault="006D1940" w:rsidP="00A31699">
            <w:pPr>
              <w:rPr>
                <w:rFonts w:ascii="Calibri Light" w:hAnsi="Calibri Light" w:cs="Calibri Light"/>
                <w:b/>
                <w:bCs/>
                <w:color w:val="000000" w:themeColor="text1"/>
                <w:sz w:val="20"/>
                <w:szCs w:val="20"/>
                <w:lang w:val="en-US"/>
              </w:rPr>
            </w:pPr>
            <w:r w:rsidRPr="00173FD6">
              <w:rPr>
                <w:rFonts w:ascii="Calibri Light" w:hAnsi="Calibri Light" w:cs="Calibri Light"/>
                <w:b/>
                <w:bCs/>
                <w:color w:val="000000" w:themeColor="text1"/>
                <w:sz w:val="20"/>
                <w:szCs w:val="20"/>
                <w:lang w:val="en-US"/>
              </w:rPr>
              <w:t>Name of Schools</w:t>
            </w:r>
          </w:p>
          <w:p w14:paraId="7351CD99" w14:textId="6655766E" w:rsidR="006D1940" w:rsidRPr="00173FD6" w:rsidRDefault="006D1940" w:rsidP="00A31699">
            <w:pPr>
              <w:rPr>
                <w:rFonts w:ascii="Calibri Light" w:hAnsi="Calibri Light" w:cs="Calibri Light"/>
                <w:b/>
                <w:bCs/>
                <w:color w:val="000000" w:themeColor="text1"/>
                <w:sz w:val="20"/>
                <w:szCs w:val="20"/>
                <w:lang w:val="en-US"/>
              </w:rPr>
            </w:pPr>
            <w:r w:rsidRPr="00173FD6">
              <w:rPr>
                <w:rFonts w:ascii="Calibri Light" w:hAnsi="Calibri Light" w:cs="Calibri Light"/>
                <w:b/>
                <w:bCs/>
                <w:color w:val="000000" w:themeColor="text1"/>
                <w:sz w:val="20"/>
                <w:szCs w:val="20"/>
                <w:lang w:val="en-US"/>
              </w:rPr>
              <w:t>(3)</w:t>
            </w:r>
          </w:p>
        </w:tc>
        <w:tc>
          <w:tcPr>
            <w:tcW w:w="1417" w:type="dxa"/>
            <w:hideMark/>
          </w:tcPr>
          <w:p w14:paraId="56326DDB" w14:textId="77777777" w:rsidR="006D1940" w:rsidRPr="00173FD6" w:rsidRDefault="006D1940" w:rsidP="00A31699">
            <w:pPr>
              <w:rPr>
                <w:rFonts w:ascii="Calibri Light" w:hAnsi="Calibri Light" w:cs="Calibri Light"/>
                <w:b/>
                <w:bCs/>
                <w:color w:val="000000" w:themeColor="text1"/>
                <w:sz w:val="20"/>
                <w:szCs w:val="20"/>
                <w:lang w:val="en-US"/>
              </w:rPr>
            </w:pPr>
            <w:r w:rsidRPr="00173FD6">
              <w:rPr>
                <w:rFonts w:ascii="Calibri Light" w:hAnsi="Calibri Light" w:cs="Calibri Light"/>
                <w:b/>
                <w:bCs/>
                <w:color w:val="000000" w:themeColor="text1"/>
                <w:sz w:val="20"/>
                <w:szCs w:val="20"/>
                <w:lang w:val="en-US"/>
              </w:rPr>
              <w:t>Provided complete data set</w:t>
            </w:r>
          </w:p>
          <w:p w14:paraId="67AD3B41" w14:textId="77777777" w:rsidR="006D1940" w:rsidRPr="00173FD6" w:rsidRDefault="006D1940" w:rsidP="00A31699">
            <w:pPr>
              <w:rPr>
                <w:rFonts w:ascii="Calibri Light" w:hAnsi="Calibri Light" w:cs="Calibri Light"/>
                <w:b/>
                <w:bCs/>
                <w:color w:val="000000" w:themeColor="text1"/>
                <w:sz w:val="20"/>
                <w:szCs w:val="20"/>
                <w:lang w:val="en-US"/>
              </w:rPr>
            </w:pPr>
            <w:r w:rsidRPr="00173FD6">
              <w:rPr>
                <w:rFonts w:ascii="Calibri Light" w:hAnsi="Calibri Light" w:cs="Calibri Light"/>
                <w:b/>
                <w:bCs/>
                <w:color w:val="000000" w:themeColor="text1"/>
                <w:sz w:val="20"/>
                <w:szCs w:val="20"/>
                <w:lang w:val="en-US"/>
              </w:rPr>
              <w:t>(4)</w:t>
            </w:r>
          </w:p>
        </w:tc>
        <w:tc>
          <w:tcPr>
            <w:tcW w:w="1701" w:type="dxa"/>
            <w:hideMark/>
          </w:tcPr>
          <w:p w14:paraId="7BC71E80" w14:textId="77777777" w:rsidR="006D1940" w:rsidRPr="00173FD6" w:rsidRDefault="006D1940" w:rsidP="00A31699">
            <w:pPr>
              <w:rPr>
                <w:rFonts w:ascii="Calibri Light" w:hAnsi="Calibri Light" w:cs="Calibri Light"/>
                <w:b/>
                <w:bCs/>
                <w:color w:val="000000" w:themeColor="text1"/>
                <w:sz w:val="20"/>
                <w:szCs w:val="20"/>
                <w:lang w:val="en-US"/>
              </w:rPr>
            </w:pPr>
            <w:r w:rsidRPr="00173FD6">
              <w:rPr>
                <w:rFonts w:ascii="Calibri Light" w:hAnsi="Calibri Light" w:cs="Calibri Light"/>
                <w:b/>
                <w:bCs/>
                <w:color w:val="000000" w:themeColor="text1"/>
                <w:sz w:val="20"/>
                <w:szCs w:val="20"/>
                <w:lang w:val="en-US"/>
              </w:rPr>
              <w:t>Provided data requirements but incomplete</w:t>
            </w:r>
          </w:p>
          <w:p w14:paraId="20EA184D" w14:textId="77777777" w:rsidR="006D1940" w:rsidRPr="00173FD6" w:rsidRDefault="006D1940" w:rsidP="00A31699">
            <w:pPr>
              <w:rPr>
                <w:rFonts w:ascii="Calibri Light" w:hAnsi="Calibri Light" w:cs="Calibri Light"/>
                <w:b/>
                <w:bCs/>
                <w:color w:val="000000" w:themeColor="text1"/>
                <w:sz w:val="20"/>
                <w:szCs w:val="20"/>
                <w:lang w:val="en-US"/>
              </w:rPr>
            </w:pPr>
            <w:r w:rsidRPr="00173FD6">
              <w:rPr>
                <w:rFonts w:ascii="Calibri Light" w:hAnsi="Calibri Light" w:cs="Calibri Light"/>
                <w:b/>
                <w:bCs/>
                <w:color w:val="000000" w:themeColor="text1"/>
                <w:sz w:val="20"/>
                <w:szCs w:val="20"/>
                <w:lang w:val="en-US"/>
              </w:rPr>
              <w:t>(5)</w:t>
            </w:r>
          </w:p>
        </w:tc>
        <w:tc>
          <w:tcPr>
            <w:tcW w:w="1418" w:type="dxa"/>
            <w:hideMark/>
          </w:tcPr>
          <w:p w14:paraId="4FB308EE" w14:textId="77777777" w:rsidR="006D1940" w:rsidRPr="00173FD6" w:rsidRDefault="006D1940" w:rsidP="00A31699">
            <w:pPr>
              <w:rPr>
                <w:rFonts w:ascii="Calibri Light" w:hAnsi="Calibri Light" w:cs="Calibri Light"/>
                <w:b/>
                <w:bCs/>
                <w:color w:val="000000" w:themeColor="text1"/>
                <w:sz w:val="20"/>
                <w:szCs w:val="20"/>
                <w:lang w:val="en-US"/>
              </w:rPr>
            </w:pPr>
            <w:r w:rsidRPr="00173FD6">
              <w:rPr>
                <w:rFonts w:ascii="Calibri Light" w:hAnsi="Calibri Light" w:cs="Calibri Light"/>
                <w:b/>
                <w:bCs/>
                <w:color w:val="000000" w:themeColor="text1"/>
                <w:sz w:val="20"/>
                <w:szCs w:val="20"/>
                <w:lang w:val="en-US"/>
              </w:rPr>
              <w:t>No data submitted</w:t>
            </w:r>
          </w:p>
          <w:p w14:paraId="226A6CD4" w14:textId="77777777" w:rsidR="006D1940" w:rsidRPr="00173FD6" w:rsidRDefault="006D1940" w:rsidP="00A31699">
            <w:pPr>
              <w:rPr>
                <w:rFonts w:ascii="Calibri Light" w:hAnsi="Calibri Light" w:cs="Calibri Light"/>
                <w:b/>
                <w:bCs/>
                <w:color w:val="000000" w:themeColor="text1"/>
                <w:sz w:val="20"/>
                <w:szCs w:val="20"/>
                <w:lang w:val="en-US"/>
              </w:rPr>
            </w:pPr>
            <w:r w:rsidRPr="00173FD6">
              <w:rPr>
                <w:rFonts w:ascii="Calibri Light" w:hAnsi="Calibri Light" w:cs="Calibri Light"/>
                <w:b/>
                <w:bCs/>
                <w:color w:val="000000" w:themeColor="text1"/>
                <w:sz w:val="20"/>
                <w:szCs w:val="20"/>
                <w:lang w:val="en-US"/>
              </w:rPr>
              <w:t>(6)</w:t>
            </w:r>
          </w:p>
        </w:tc>
        <w:tc>
          <w:tcPr>
            <w:tcW w:w="1842" w:type="dxa"/>
            <w:hideMark/>
          </w:tcPr>
          <w:p w14:paraId="67DDB6BD" w14:textId="77777777" w:rsidR="006D1940" w:rsidRPr="00173FD6" w:rsidRDefault="006D1940" w:rsidP="00A31699">
            <w:pPr>
              <w:rPr>
                <w:rFonts w:ascii="Calibri Light" w:hAnsi="Calibri Light" w:cs="Calibri Light"/>
                <w:b/>
                <w:bCs/>
                <w:color w:val="000000" w:themeColor="text1"/>
                <w:sz w:val="20"/>
                <w:szCs w:val="20"/>
                <w:lang w:val="en-US"/>
              </w:rPr>
            </w:pPr>
            <w:r w:rsidRPr="00173FD6">
              <w:rPr>
                <w:rFonts w:ascii="Calibri Light" w:hAnsi="Calibri Light" w:cs="Calibri Light"/>
                <w:b/>
                <w:bCs/>
                <w:color w:val="000000" w:themeColor="text1"/>
                <w:sz w:val="20"/>
                <w:szCs w:val="20"/>
                <w:lang w:val="en-US"/>
              </w:rPr>
              <w:t>Participated in FGDs</w:t>
            </w:r>
          </w:p>
          <w:p w14:paraId="3FB85391" w14:textId="77777777" w:rsidR="006D1940" w:rsidRPr="00173FD6" w:rsidRDefault="006D1940" w:rsidP="00A31699">
            <w:pPr>
              <w:rPr>
                <w:rFonts w:ascii="Calibri Light" w:hAnsi="Calibri Light" w:cs="Calibri Light"/>
                <w:b/>
                <w:bCs/>
                <w:color w:val="000000" w:themeColor="text1"/>
                <w:sz w:val="20"/>
                <w:szCs w:val="20"/>
                <w:lang w:val="en-US"/>
              </w:rPr>
            </w:pPr>
            <w:r w:rsidRPr="00173FD6">
              <w:rPr>
                <w:rFonts w:ascii="Calibri Light" w:hAnsi="Calibri Light" w:cs="Calibri Light"/>
                <w:b/>
                <w:bCs/>
                <w:color w:val="000000" w:themeColor="text1"/>
                <w:sz w:val="20"/>
                <w:szCs w:val="20"/>
                <w:lang w:val="en-US"/>
              </w:rPr>
              <w:t>(7)</w:t>
            </w:r>
          </w:p>
        </w:tc>
        <w:tc>
          <w:tcPr>
            <w:tcW w:w="2835" w:type="dxa"/>
            <w:tcBorders>
              <w:bottom w:val="single" w:sz="4" w:space="0" w:color="auto"/>
            </w:tcBorders>
          </w:tcPr>
          <w:p w14:paraId="78036089" w14:textId="77777777" w:rsidR="006D1940" w:rsidRPr="00173FD6" w:rsidRDefault="006D1940" w:rsidP="00A31699">
            <w:pPr>
              <w:rPr>
                <w:rFonts w:ascii="Calibri Light" w:hAnsi="Calibri Light" w:cs="Calibri Light"/>
                <w:b/>
                <w:bCs/>
                <w:color w:val="000000" w:themeColor="text1"/>
                <w:sz w:val="20"/>
                <w:szCs w:val="20"/>
                <w:lang w:val="en-US"/>
              </w:rPr>
            </w:pPr>
            <w:r w:rsidRPr="00173FD6">
              <w:rPr>
                <w:rFonts w:ascii="Calibri Light" w:hAnsi="Calibri Light" w:cs="Calibri Light"/>
                <w:b/>
                <w:bCs/>
                <w:color w:val="000000" w:themeColor="text1"/>
                <w:sz w:val="20"/>
                <w:szCs w:val="20"/>
                <w:lang w:val="en-US"/>
              </w:rPr>
              <w:t>Status of computers &amp; Internet connection in school</w:t>
            </w:r>
          </w:p>
          <w:p w14:paraId="7AB1A095" w14:textId="349B5E15" w:rsidR="006D1940" w:rsidRPr="00173FD6" w:rsidRDefault="006D1940" w:rsidP="00A31699">
            <w:pPr>
              <w:rPr>
                <w:rFonts w:ascii="Calibri Light" w:hAnsi="Calibri Light" w:cs="Calibri Light"/>
                <w:b/>
                <w:bCs/>
                <w:color w:val="000000" w:themeColor="text1"/>
                <w:sz w:val="20"/>
                <w:szCs w:val="20"/>
                <w:lang w:val="en-US"/>
              </w:rPr>
            </w:pPr>
            <w:r w:rsidRPr="00173FD6">
              <w:rPr>
                <w:rFonts w:ascii="Calibri Light" w:hAnsi="Calibri Light" w:cs="Calibri Light"/>
                <w:b/>
                <w:bCs/>
                <w:color w:val="000000" w:themeColor="text1"/>
                <w:sz w:val="20"/>
                <w:szCs w:val="20"/>
                <w:lang w:val="en-US"/>
              </w:rPr>
              <w:t>(8)</w:t>
            </w:r>
          </w:p>
        </w:tc>
      </w:tr>
      <w:tr w:rsidR="006D1940" w:rsidRPr="00173FD6" w14:paraId="619F49C2" w14:textId="77777777" w:rsidTr="00FF4CA3">
        <w:trPr>
          <w:trHeight w:val="161"/>
        </w:trPr>
        <w:tc>
          <w:tcPr>
            <w:tcW w:w="940" w:type="dxa"/>
            <w:tcBorders>
              <w:bottom w:val="nil"/>
            </w:tcBorders>
          </w:tcPr>
          <w:p w14:paraId="23F82101" w14:textId="684D0900" w:rsidR="006D1940" w:rsidRPr="00173FD6" w:rsidRDefault="006D1940" w:rsidP="00A31699">
            <w:pPr>
              <w:rPr>
                <w:rFonts w:ascii="Calibri" w:hAnsi="Calibri" w:cs="Calibri"/>
                <w:color w:val="000000" w:themeColor="text1"/>
                <w:sz w:val="22"/>
                <w:szCs w:val="22"/>
                <w:lang w:val="en-US"/>
              </w:rPr>
            </w:pPr>
            <w:r>
              <w:rPr>
                <w:rFonts w:ascii="Calibri" w:hAnsi="Calibri" w:cs="Calibri"/>
                <w:color w:val="000000" w:themeColor="text1"/>
                <w:sz w:val="22"/>
                <w:szCs w:val="22"/>
                <w:lang w:val="en-US"/>
              </w:rPr>
              <w:t>NCR</w:t>
            </w:r>
          </w:p>
        </w:tc>
        <w:tc>
          <w:tcPr>
            <w:tcW w:w="895" w:type="dxa"/>
            <w:tcBorders>
              <w:bottom w:val="nil"/>
            </w:tcBorders>
          </w:tcPr>
          <w:p w14:paraId="1C88F766" w14:textId="33C4E7AA"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BEST Schools</w:t>
            </w:r>
          </w:p>
        </w:tc>
        <w:tc>
          <w:tcPr>
            <w:tcW w:w="3689" w:type="dxa"/>
          </w:tcPr>
          <w:p w14:paraId="2CDC6275" w14:textId="77AD46C1"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Dona Manuela Elementary School</w:t>
            </w:r>
          </w:p>
        </w:tc>
        <w:tc>
          <w:tcPr>
            <w:tcW w:w="1417" w:type="dxa"/>
            <w:noWrap/>
            <w:hideMark/>
          </w:tcPr>
          <w:p w14:paraId="2D776579"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701" w:type="dxa"/>
            <w:noWrap/>
            <w:hideMark/>
          </w:tcPr>
          <w:p w14:paraId="587CA65A"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4106C1E8"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3B49BABF"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Borders>
              <w:bottom w:val="nil"/>
            </w:tcBorders>
          </w:tcPr>
          <w:p w14:paraId="13D5CCA1" w14:textId="5F98DA96"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NCR schools have computers, but main issue is internet speed. Teachers use personal computers at home because internet speed is better at home especially at night</w:t>
            </w:r>
          </w:p>
        </w:tc>
      </w:tr>
      <w:tr w:rsidR="006D1940" w:rsidRPr="00173FD6" w14:paraId="5BF4A827" w14:textId="77777777" w:rsidTr="00FF4CA3">
        <w:trPr>
          <w:trHeight w:val="300"/>
        </w:trPr>
        <w:tc>
          <w:tcPr>
            <w:tcW w:w="940" w:type="dxa"/>
            <w:tcBorders>
              <w:top w:val="nil"/>
              <w:bottom w:val="nil"/>
            </w:tcBorders>
          </w:tcPr>
          <w:p w14:paraId="1CA2B552"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5ACDC6B6" w14:textId="28493C80" w:rsidR="006D1940" w:rsidRPr="00173FD6" w:rsidRDefault="006D1940" w:rsidP="00A31699">
            <w:pPr>
              <w:rPr>
                <w:rFonts w:ascii="Calibri" w:hAnsi="Calibri" w:cs="Calibri"/>
                <w:color w:val="000000" w:themeColor="text1"/>
                <w:sz w:val="22"/>
                <w:szCs w:val="22"/>
                <w:lang w:val="en-US"/>
              </w:rPr>
            </w:pPr>
          </w:p>
        </w:tc>
        <w:tc>
          <w:tcPr>
            <w:tcW w:w="3689" w:type="dxa"/>
          </w:tcPr>
          <w:p w14:paraId="38F2E180" w14:textId="4D80506D"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Pamplona Elementary School I</w:t>
            </w:r>
          </w:p>
        </w:tc>
        <w:tc>
          <w:tcPr>
            <w:tcW w:w="1417" w:type="dxa"/>
            <w:noWrap/>
            <w:hideMark/>
          </w:tcPr>
          <w:p w14:paraId="61C2BD93"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701" w:type="dxa"/>
            <w:noWrap/>
            <w:hideMark/>
          </w:tcPr>
          <w:p w14:paraId="06EF9735"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308887D3"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00CF6CA4"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Borders>
              <w:top w:val="nil"/>
              <w:bottom w:val="nil"/>
            </w:tcBorders>
          </w:tcPr>
          <w:p w14:paraId="4FBCDA5C" w14:textId="77777777" w:rsidR="006D1940" w:rsidRPr="00173FD6" w:rsidRDefault="006D1940" w:rsidP="00A31699">
            <w:pPr>
              <w:rPr>
                <w:rFonts w:ascii="Calibri Light" w:hAnsi="Calibri Light" w:cs="Calibri Light"/>
                <w:color w:val="000000" w:themeColor="text1"/>
                <w:sz w:val="20"/>
                <w:szCs w:val="20"/>
                <w:lang w:val="en-US"/>
              </w:rPr>
            </w:pPr>
          </w:p>
        </w:tc>
      </w:tr>
      <w:tr w:rsidR="006D1940" w:rsidRPr="00173FD6" w14:paraId="0AE0CD3A" w14:textId="77777777" w:rsidTr="00FF4CA3">
        <w:trPr>
          <w:trHeight w:val="320"/>
        </w:trPr>
        <w:tc>
          <w:tcPr>
            <w:tcW w:w="940" w:type="dxa"/>
            <w:tcBorders>
              <w:top w:val="nil"/>
              <w:bottom w:val="nil"/>
            </w:tcBorders>
          </w:tcPr>
          <w:p w14:paraId="2AF65FF6"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6486138F" w14:textId="5D8AA55A" w:rsidR="006D1940" w:rsidRPr="00173FD6" w:rsidRDefault="006D1940" w:rsidP="00A31699">
            <w:pPr>
              <w:rPr>
                <w:rFonts w:ascii="Calibri" w:hAnsi="Calibri" w:cs="Calibri"/>
                <w:color w:val="000000" w:themeColor="text1"/>
                <w:sz w:val="22"/>
                <w:szCs w:val="22"/>
                <w:lang w:val="en-US"/>
              </w:rPr>
            </w:pPr>
          </w:p>
        </w:tc>
        <w:tc>
          <w:tcPr>
            <w:tcW w:w="3689" w:type="dxa"/>
          </w:tcPr>
          <w:p w14:paraId="7EEC53CA" w14:textId="4E9A383E"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Geronimo Santiago Elementary School</w:t>
            </w:r>
          </w:p>
        </w:tc>
        <w:tc>
          <w:tcPr>
            <w:tcW w:w="1417" w:type="dxa"/>
            <w:noWrap/>
            <w:hideMark/>
          </w:tcPr>
          <w:p w14:paraId="610F9C82"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2EF41E70"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66408826"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842" w:type="dxa"/>
            <w:noWrap/>
            <w:hideMark/>
          </w:tcPr>
          <w:p w14:paraId="54B4155C"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Borders>
              <w:top w:val="nil"/>
              <w:bottom w:val="nil"/>
            </w:tcBorders>
          </w:tcPr>
          <w:p w14:paraId="6FAD812B" w14:textId="77777777" w:rsidR="006D1940" w:rsidRPr="00173FD6" w:rsidRDefault="006D1940" w:rsidP="00A31699">
            <w:pPr>
              <w:rPr>
                <w:rFonts w:ascii="Calibri Light" w:hAnsi="Calibri Light" w:cs="Calibri Light"/>
                <w:color w:val="000000" w:themeColor="text1"/>
                <w:sz w:val="20"/>
                <w:szCs w:val="20"/>
                <w:lang w:val="en-US"/>
              </w:rPr>
            </w:pPr>
          </w:p>
        </w:tc>
      </w:tr>
      <w:tr w:rsidR="006D1940" w:rsidRPr="00173FD6" w14:paraId="152CFDE8" w14:textId="77777777" w:rsidTr="00FF4CA3">
        <w:trPr>
          <w:trHeight w:val="300"/>
        </w:trPr>
        <w:tc>
          <w:tcPr>
            <w:tcW w:w="940" w:type="dxa"/>
            <w:tcBorders>
              <w:top w:val="nil"/>
              <w:bottom w:val="nil"/>
            </w:tcBorders>
          </w:tcPr>
          <w:p w14:paraId="489F16D6"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3ACD6D82" w14:textId="29F8CB61" w:rsidR="006D1940" w:rsidRPr="00173FD6" w:rsidRDefault="006D1940" w:rsidP="00A31699">
            <w:pPr>
              <w:rPr>
                <w:rFonts w:ascii="Calibri" w:hAnsi="Calibri" w:cs="Calibri"/>
                <w:color w:val="000000" w:themeColor="text1"/>
                <w:sz w:val="22"/>
                <w:szCs w:val="22"/>
                <w:lang w:val="en-US"/>
              </w:rPr>
            </w:pPr>
          </w:p>
        </w:tc>
        <w:tc>
          <w:tcPr>
            <w:tcW w:w="3689" w:type="dxa"/>
          </w:tcPr>
          <w:p w14:paraId="64CB262B" w14:textId="0D6C89C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I. Delos Reyes Elementary School</w:t>
            </w:r>
          </w:p>
        </w:tc>
        <w:tc>
          <w:tcPr>
            <w:tcW w:w="1417" w:type="dxa"/>
            <w:noWrap/>
            <w:hideMark/>
          </w:tcPr>
          <w:p w14:paraId="129188BD"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7437763A"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0EBF786C"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842" w:type="dxa"/>
            <w:noWrap/>
            <w:hideMark/>
          </w:tcPr>
          <w:p w14:paraId="627B89B2"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Borders>
              <w:top w:val="nil"/>
              <w:bottom w:val="nil"/>
            </w:tcBorders>
          </w:tcPr>
          <w:p w14:paraId="27173840" w14:textId="77777777" w:rsidR="006D1940" w:rsidRPr="00173FD6" w:rsidRDefault="006D1940" w:rsidP="00A31699">
            <w:pPr>
              <w:rPr>
                <w:rFonts w:ascii="Calibri Light" w:hAnsi="Calibri Light" w:cs="Calibri Light"/>
                <w:color w:val="000000" w:themeColor="text1"/>
                <w:sz w:val="20"/>
                <w:szCs w:val="20"/>
                <w:lang w:val="en-US"/>
              </w:rPr>
            </w:pPr>
          </w:p>
        </w:tc>
      </w:tr>
      <w:tr w:rsidR="006D1940" w:rsidRPr="00173FD6" w14:paraId="0C7DF96B" w14:textId="77777777" w:rsidTr="00FF4CA3">
        <w:trPr>
          <w:trHeight w:val="300"/>
        </w:trPr>
        <w:tc>
          <w:tcPr>
            <w:tcW w:w="940" w:type="dxa"/>
            <w:tcBorders>
              <w:top w:val="nil"/>
              <w:bottom w:val="nil"/>
            </w:tcBorders>
          </w:tcPr>
          <w:p w14:paraId="3B36FBAD"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472D8892" w14:textId="2BAD8794" w:rsidR="006D1940" w:rsidRPr="00173FD6" w:rsidRDefault="006D1940" w:rsidP="00A31699">
            <w:pPr>
              <w:rPr>
                <w:rFonts w:ascii="Calibri" w:hAnsi="Calibri" w:cs="Calibri"/>
                <w:color w:val="000000" w:themeColor="text1"/>
                <w:sz w:val="22"/>
                <w:szCs w:val="22"/>
                <w:lang w:val="en-US"/>
              </w:rPr>
            </w:pPr>
          </w:p>
        </w:tc>
        <w:tc>
          <w:tcPr>
            <w:tcW w:w="3689" w:type="dxa"/>
          </w:tcPr>
          <w:p w14:paraId="2EA22916" w14:textId="17EE564F"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J. C. de Jesus Elementary School</w:t>
            </w:r>
          </w:p>
        </w:tc>
        <w:tc>
          <w:tcPr>
            <w:tcW w:w="1417" w:type="dxa"/>
            <w:noWrap/>
            <w:hideMark/>
          </w:tcPr>
          <w:p w14:paraId="0E5CE2C9"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1C74EAD9"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4C6258A7"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842" w:type="dxa"/>
            <w:noWrap/>
            <w:hideMark/>
          </w:tcPr>
          <w:p w14:paraId="73EFE5FE"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Borders>
              <w:top w:val="nil"/>
              <w:bottom w:val="nil"/>
            </w:tcBorders>
          </w:tcPr>
          <w:p w14:paraId="4DED1F64" w14:textId="77777777" w:rsidR="006D1940" w:rsidRPr="00173FD6" w:rsidRDefault="006D1940" w:rsidP="00A31699">
            <w:pPr>
              <w:rPr>
                <w:rFonts w:ascii="Calibri Light" w:hAnsi="Calibri Light" w:cs="Calibri Light"/>
                <w:color w:val="000000" w:themeColor="text1"/>
                <w:sz w:val="20"/>
                <w:szCs w:val="20"/>
                <w:lang w:val="en-US"/>
              </w:rPr>
            </w:pPr>
          </w:p>
        </w:tc>
      </w:tr>
      <w:tr w:rsidR="006D1940" w:rsidRPr="00173FD6" w14:paraId="01354192" w14:textId="77777777" w:rsidTr="00FF4CA3">
        <w:trPr>
          <w:trHeight w:val="300"/>
        </w:trPr>
        <w:tc>
          <w:tcPr>
            <w:tcW w:w="940" w:type="dxa"/>
            <w:tcBorders>
              <w:top w:val="nil"/>
              <w:bottom w:val="nil"/>
            </w:tcBorders>
          </w:tcPr>
          <w:p w14:paraId="5D656D54"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2C3CFD4C" w14:textId="2D52D295" w:rsidR="006D1940" w:rsidRPr="00173FD6" w:rsidRDefault="006D1940" w:rsidP="00A31699">
            <w:pPr>
              <w:rPr>
                <w:rFonts w:ascii="Calibri" w:hAnsi="Calibri" w:cs="Calibri"/>
                <w:color w:val="000000" w:themeColor="text1"/>
                <w:sz w:val="22"/>
                <w:szCs w:val="22"/>
                <w:lang w:val="en-US"/>
              </w:rPr>
            </w:pPr>
          </w:p>
        </w:tc>
        <w:tc>
          <w:tcPr>
            <w:tcW w:w="3689" w:type="dxa"/>
          </w:tcPr>
          <w:p w14:paraId="46FECC64" w14:textId="2D71E553"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La Huerta Elementary School</w:t>
            </w:r>
          </w:p>
        </w:tc>
        <w:tc>
          <w:tcPr>
            <w:tcW w:w="1417" w:type="dxa"/>
            <w:noWrap/>
            <w:hideMark/>
          </w:tcPr>
          <w:p w14:paraId="098B977C"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4B3F2A1E"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513F91F8"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842" w:type="dxa"/>
            <w:noWrap/>
            <w:hideMark/>
          </w:tcPr>
          <w:p w14:paraId="0ECFC577"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Borders>
              <w:top w:val="nil"/>
              <w:bottom w:val="nil"/>
            </w:tcBorders>
          </w:tcPr>
          <w:p w14:paraId="32DDA422" w14:textId="77777777" w:rsidR="006D1940" w:rsidRPr="00173FD6" w:rsidRDefault="006D1940" w:rsidP="00A31699">
            <w:pPr>
              <w:rPr>
                <w:rFonts w:ascii="Calibri Light" w:hAnsi="Calibri Light" w:cs="Calibri Light"/>
                <w:color w:val="000000" w:themeColor="text1"/>
                <w:sz w:val="20"/>
                <w:szCs w:val="20"/>
                <w:lang w:val="en-US"/>
              </w:rPr>
            </w:pPr>
          </w:p>
        </w:tc>
      </w:tr>
      <w:tr w:rsidR="006D1940" w:rsidRPr="00173FD6" w14:paraId="4434AE43" w14:textId="77777777" w:rsidTr="00FF4CA3">
        <w:trPr>
          <w:trHeight w:val="300"/>
        </w:trPr>
        <w:tc>
          <w:tcPr>
            <w:tcW w:w="940" w:type="dxa"/>
            <w:tcBorders>
              <w:top w:val="nil"/>
              <w:bottom w:val="nil"/>
            </w:tcBorders>
          </w:tcPr>
          <w:p w14:paraId="413891C5"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294235C8" w14:textId="1BF5D6A7" w:rsidR="006D1940" w:rsidRPr="00173FD6" w:rsidRDefault="006D1940" w:rsidP="00A31699">
            <w:pPr>
              <w:rPr>
                <w:rFonts w:ascii="Calibri" w:hAnsi="Calibri" w:cs="Calibri"/>
                <w:color w:val="000000" w:themeColor="text1"/>
                <w:sz w:val="22"/>
                <w:szCs w:val="22"/>
                <w:lang w:val="en-US"/>
              </w:rPr>
            </w:pPr>
          </w:p>
        </w:tc>
        <w:tc>
          <w:tcPr>
            <w:tcW w:w="3689" w:type="dxa"/>
          </w:tcPr>
          <w:p w14:paraId="2A480407" w14:textId="057765B7"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Masville Elementary School</w:t>
            </w:r>
          </w:p>
        </w:tc>
        <w:tc>
          <w:tcPr>
            <w:tcW w:w="1417" w:type="dxa"/>
            <w:noWrap/>
            <w:hideMark/>
          </w:tcPr>
          <w:p w14:paraId="7BFBB5DC"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701" w:type="dxa"/>
            <w:noWrap/>
            <w:hideMark/>
          </w:tcPr>
          <w:p w14:paraId="027CA400"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02AC36D9"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23C0C1B5"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Borders>
              <w:top w:val="nil"/>
              <w:bottom w:val="nil"/>
            </w:tcBorders>
          </w:tcPr>
          <w:p w14:paraId="2AB1A540" w14:textId="77777777" w:rsidR="006D1940" w:rsidRPr="00173FD6" w:rsidRDefault="006D1940" w:rsidP="00A31699">
            <w:pPr>
              <w:rPr>
                <w:rFonts w:ascii="Calibri Light" w:hAnsi="Calibri Light" w:cs="Calibri Light"/>
                <w:color w:val="000000" w:themeColor="text1"/>
                <w:sz w:val="20"/>
                <w:szCs w:val="20"/>
                <w:lang w:val="en-US"/>
              </w:rPr>
            </w:pPr>
          </w:p>
        </w:tc>
      </w:tr>
      <w:tr w:rsidR="006D1940" w:rsidRPr="00173FD6" w14:paraId="17755A66" w14:textId="77777777" w:rsidTr="00FF4CA3">
        <w:trPr>
          <w:trHeight w:val="300"/>
        </w:trPr>
        <w:tc>
          <w:tcPr>
            <w:tcW w:w="940" w:type="dxa"/>
            <w:tcBorders>
              <w:top w:val="nil"/>
              <w:bottom w:val="nil"/>
            </w:tcBorders>
          </w:tcPr>
          <w:p w14:paraId="01C5001B"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0CA6A252" w14:textId="6496A1AB" w:rsidR="006D1940" w:rsidRPr="00173FD6" w:rsidRDefault="006D1940" w:rsidP="00A31699">
            <w:pPr>
              <w:rPr>
                <w:rFonts w:ascii="Calibri" w:hAnsi="Calibri" w:cs="Calibri"/>
                <w:color w:val="000000" w:themeColor="text1"/>
                <w:sz w:val="22"/>
                <w:szCs w:val="22"/>
                <w:lang w:val="en-US"/>
              </w:rPr>
            </w:pPr>
          </w:p>
        </w:tc>
        <w:tc>
          <w:tcPr>
            <w:tcW w:w="3689" w:type="dxa"/>
          </w:tcPr>
          <w:p w14:paraId="37B42B7E" w14:textId="5085D8AC"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Paranaque Elementary School Central</w:t>
            </w:r>
          </w:p>
        </w:tc>
        <w:tc>
          <w:tcPr>
            <w:tcW w:w="1417" w:type="dxa"/>
            <w:noWrap/>
            <w:hideMark/>
          </w:tcPr>
          <w:p w14:paraId="58666B33"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6C2B57E5"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55D7DA43"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842" w:type="dxa"/>
            <w:noWrap/>
            <w:hideMark/>
          </w:tcPr>
          <w:p w14:paraId="54DD0FBC"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Borders>
              <w:top w:val="nil"/>
              <w:bottom w:val="nil"/>
            </w:tcBorders>
          </w:tcPr>
          <w:p w14:paraId="4ADB6912" w14:textId="77777777" w:rsidR="006D1940" w:rsidRPr="00173FD6" w:rsidRDefault="006D1940" w:rsidP="00A31699">
            <w:pPr>
              <w:rPr>
                <w:rFonts w:ascii="Calibri Light" w:hAnsi="Calibri Light" w:cs="Calibri Light"/>
                <w:color w:val="000000" w:themeColor="text1"/>
                <w:sz w:val="20"/>
                <w:szCs w:val="20"/>
                <w:lang w:val="en-US"/>
              </w:rPr>
            </w:pPr>
          </w:p>
        </w:tc>
      </w:tr>
      <w:tr w:rsidR="006D1940" w:rsidRPr="00173FD6" w14:paraId="6EDD20DC" w14:textId="77777777" w:rsidTr="00FF4CA3">
        <w:trPr>
          <w:trHeight w:val="300"/>
        </w:trPr>
        <w:tc>
          <w:tcPr>
            <w:tcW w:w="940" w:type="dxa"/>
            <w:tcBorders>
              <w:top w:val="nil"/>
              <w:bottom w:val="nil"/>
            </w:tcBorders>
          </w:tcPr>
          <w:p w14:paraId="675802D9"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16E4328D" w14:textId="67168E25" w:rsidR="006D1940" w:rsidRPr="00173FD6" w:rsidRDefault="006D1940" w:rsidP="00A31699">
            <w:pPr>
              <w:rPr>
                <w:rFonts w:ascii="Calibri" w:hAnsi="Calibri" w:cs="Calibri"/>
                <w:color w:val="000000" w:themeColor="text1"/>
                <w:sz w:val="22"/>
                <w:szCs w:val="22"/>
                <w:lang w:val="en-US"/>
              </w:rPr>
            </w:pPr>
          </w:p>
        </w:tc>
        <w:tc>
          <w:tcPr>
            <w:tcW w:w="3689" w:type="dxa"/>
          </w:tcPr>
          <w:p w14:paraId="3B5B0A03" w14:textId="39D62B5B"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Paranaque Elementary School Unit II</w:t>
            </w:r>
          </w:p>
        </w:tc>
        <w:tc>
          <w:tcPr>
            <w:tcW w:w="1417" w:type="dxa"/>
            <w:noWrap/>
            <w:hideMark/>
          </w:tcPr>
          <w:p w14:paraId="6C5D0574"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47A719CB"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709554E3"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842" w:type="dxa"/>
            <w:noWrap/>
            <w:hideMark/>
          </w:tcPr>
          <w:p w14:paraId="2BE687FF"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Borders>
              <w:top w:val="nil"/>
              <w:bottom w:val="nil"/>
            </w:tcBorders>
          </w:tcPr>
          <w:p w14:paraId="28FF381A" w14:textId="77777777" w:rsidR="006D1940" w:rsidRPr="00173FD6" w:rsidRDefault="006D1940" w:rsidP="00A31699">
            <w:pPr>
              <w:rPr>
                <w:rFonts w:ascii="Calibri Light" w:hAnsi="Calibri Light" w:cs="Calibri Light"/>
                <w:color w:val="000000" w:themeColor="text1"/>
                <w:sz w:val="20"/>
                <w:szCs w:val="20"/>
                <w:lang w:val="en-US"/>
              </w:rPr>
            </w:pPr>
          </w:p>
        </w:tc>
      </w:tr>
      <w:tr w:rsidR="006D1940" w:rsidRPr="00173FD6" w14:paraId="09F8D826" w14:textId="77777777" w:rsidTr="00FF4CA3">
        <w:trPr>
          <w:trHeight w:val="300"/>
        </w:trPr>
        <w:tc>
          <w:tcPr>
            <w:tcW w:w="940" w:type="dxa"/>
            <w:tcBorders>
              <w:top w:val="nil"/>
              <w:bottom w:val="nil"/>
            </w:tcBorders>
          </w:tcPr>
          <w:p w14:paraId="4FB764BF"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0D3CEA3E" w14:textId="60A9087C" w:rsidR="006D1940" w:rsidRPr="00173FD6" w:rsidRDefault="006D1940" w:rsidP="00A31699">
            <w:pPr>
              <w:rPr>
                <w:rFonts w:ascii="Calibri" w:hAnsi="Calibri" w:cs="Calibri"/>
                <w:color w:val="000000" w:themeColor="text1"/>
                <w:sz w:val="22"/>
                <w:szCs w:val="22"/>
                <w:lang w:val="en-US"/>
              </w:rPr>
            </w:pPr>
          </w:p>
        </w:tc>
        <w:tc>
          <w:tcPr>
            <w:tcW w:w="3689" w:type="dxa"/>
          </w:tcPr>
          <w:p w14:paraId="72F0BF9C" w14:textId="684A18F9"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Rogelio G. Gatchalian Elementary School</w:t>
            </w:r>
          </w:p>
        </w:tc>
        <w:tc>
          <w:tcPr>
            <w:tcW w:w="1417" w:type="dxa"/>
            <w:noWrap/>
            <w:hideMark/>
          </w:tcPr>
          <w:p w14:paraId="34907F42"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701" w:type="dxa"/>
            <w:noWrap/>
            <w:hideMark/>
          </w:tcPr>
          <w:p w14:paraId="266EE4A4"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07461D01"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27D37666"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Borders>
              <w:top w:val="nil"/>
              <w:bottom w:val="nil"/>
            </w:tcBorders>
          </w:tcPr>
          <w:p w14:paraId="3BC5566B" w14:textId="77777777" w:rsidR="006D1940" w:rsidRPr="00173FD6" w:rsidRDefault="006D1940" w:rsidP="00A31699">
            <w:pPr>
              <w:rPr>
                <w:rFonts w:ascii="Calibri Light" w:hAnsi="Calibri Light" w:cs="Calibri Light"/>
                <w:color w:val="000000" w:themeColor="text1"/>
                <w:sz w:val="20"/>
                <w:szCs w:val="20"/>
                <w:lang w:val="en-US"/>
              </w:rPr>
            </w:pPr>
          </w:p>
        </w:tc>
      </w:tr>
      <w:tr w:rsidR="006D1940" w:rsidRPr="00173FD6" w14:paraId="321CFFD6" w14:textId="77777777" w:rsidTr="00FF4CA3">
        <w:trPr>
          <w:trHeight w:val="300"/>
        </w:trPr>
        <w:tc>
          <w:tcPr>
            <w:tcW w:w="940" w:type="dxa"/>
            <w:tcBorders>
              <w:top w:val="nil"/>
              <w:bottom w:val="nil"/>
            </w:tcBorders>
          </w:tcPr>
          <w:p w14:paraId="59133649"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15DE5D1D" w14:textId="43E23B8C" w:rsidR="006D1940" w:rsidRPr="00173FD6" w:rsidRDefault="006D1940" w:rsidP="00A31699">
            <w:pPr>
              <w:rPr>
                <w:rFonts w:ascii="Calibri" w:hAnsi="Calibri" w:cs="Calibri"/>
                <w:color w:val="000000" w:themeColor="text1"/>
                <w:sz w:val="22"/>
                <w:szCs w:val="22"/>
                <w:lang w:val="en-US"/>
              </w:rPr>
            </w:pPr>
          </w:p>
        </w:tc>
        <w:tc>
          <w:tcPr>
            <w:tcW w:w="3689" w:type="dxa"/>
          </w:tcPr>
          <w:p w14:paraId="63B92D54" w14:textId="7DACFD44"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Tambo Elementary School Unit I</w:t>
            </w:r>
          </w:p>
        </w:tc>
        <w:tc>
          <w:tcPr>
            <w:tcW w:w="1417" w:type="dxa"/>
            <w:noWrap/>
            <w:hideMark/>
          </w:tcPr>
          <w:p w14:paraId="0039E7F7"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701" w:type="dxa"/>
            <w:noWrap/>
            <w:hideMark/>
          </w:tcPr>
          <w:p w14:paraId="48849DB6"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22A324B0"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67C3466E"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Borders>
              <w:top w:val="nil"/>
              <w:bottom w:val="nil"/>
            </w:tcBorders>
          </w:tcPr>
          <w:p w14:paraId="4D378FF2" w14:textId="77777777" w:rsidR="006D1940" w:rsidRPr="00173FD6" w:rsidRDefault="006D1940" w:rsidP="00A31699">
            <w:pPr>
              <w:rPr>
                <w:rFonts w:ascii="Calibri Light" w:hAnsi="Calibri Light" w:cs="Calibri Light"/>
                <w:color w:val="000000" w:themeColor="text1"/>
                <w:sz w:val="20"/>
                <w:szCs w:val="20"/>
                <w:lang w:val="en-US"/>
              </w:rPr>
            </w:pPr>
          </w:p>
        </w:tc>
      </w:tr>
      <w:tr w:rsidR="006D1940" w:rsidRPr="00173FD6" w14:paraId="1A2AC506" w14:textId="77777777" w:rsidTr="00FF4CA3">
        <w:trPr>
          <w:trHeight w:val="300"/>
        </w:trPr>
        <w:tc>
          <w:tcPr>
            <w:tcW w:w="940" w:type="dxa"/>
            <w:tcBorders>
              <w:top w:val="nil"/>
              <w:bottom w:val="nil"/>
            </w:tcBorders>
          </w:tcPr>
          <w:p w14:paraId="0EB501CA"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3999349F" w14:textId="029E51CE" w:rsidR="006D1940" w:rsidRPr="00173FD6" w:rsidRDefault="006D1940" w:rsidP="00A31699">
            <w:pPr>
              <w:rPr>
                <w:rFonts w:ascii="Calibri" w:hAnsi="Calibri" w:cs="Calibri"/>
                <w:color w:val="000000" w:themeColor="text1"/>
                <w:sz w:val="22"/>
                <w:szCs w:val="22"/>
                <w:lang w:val="en-US"/>
              </w:rPr>
            </w:pPr>
          </w:p>
        </w:tc>
        <w:tc>
          <w:tcPr>
            <w:tcW w:w="3689" w:type="dxa"/>
          </w:tcPr>
          <w:p w14:paraId="7E6C4D71" w14:textId="707D20B9"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Sinag-Tala Elementary School</w:t>
            </w:r>
          </w:p>
        </w:tc>
        <w:tc>
          <w:tcPr>
            <w:tcW w:w="1417" w:type="dxa"/>
            <w:noWrap/>
            <w:hideMark/>
          </w:tcPr>
          <w:p w14:paraId="5B88C18A"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2875C545"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491D9E64"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842" w:type="dxa"/>
            <w:noWrap/>
            <w:hideMark/>
          </w:tcPr>
          <w:p w14:paraId="10523042"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Borders>
              <w:top w:val="nil"/>
              <w:bottom w:val="nil"/>
            </w:tcBorders>
          </w:tcPr>
          <w:p w14:paraId="7E585D19" w14:textId="77777777" w:rsidR="006D1940" w:rsidRPr="00173FD6" w:rsidRDefault="006D1940" w:rsidP="00A31699">
            <w:pPr>
              <w:rPr>
                <w:rFonts w:ascii="Calibri Light" w:hAnsi="Calibri Light" w:cs="Calibri Light"/>
                <w:color w:val="000000" w:themeColor="text1"/>
                <w:sz w:val="20"/>
                <w:szCs w:val="20"/>
                <w:lang w:val="en-US"/>
              </w:rPr>
            </w:pPr>
          </w:p>
        </w:tc>
      </w:tr>
      <w:tr w:rsidR="006D1940" w:rsidRPr="00173FD6" w14:paraId="1C5AC546" w14:textId="77777777" w:rsidTr="00FF4CA3">
        <w:trPr>
          <w:trHeight w:val="300"/>
        </w:trPr>
        <w:tc>
          <w:tcPr>
            <w:tcW w:w="940" w:type="dxa"/>
            <w:tcBorders>
              <w:top w:val="nil"/>
              <w:bottom w:val="nil"/>
            </w:tcBorders>
          </w:tcPr>
          <w:p w14:paraId="1FFEAE9F"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72C2026D" w14:textId="26658727" w:rsidR="006D1940" w:rsidRPr="00173FD6" w:rsidRDefault="006D1940" w:rsidP="00A31699">
            <w:pPr>
              <w:rPr>
                <w:rFonts w:ascii="Calibri" w:hAnsi="Calibri" w:cs="Calibri"/>
                <w:color w:val="000000" w:themeColor="text1"/>
                <w:sz w:val="22"/>
                <w:szCs w:val="22"/>
                <w:lang w:val="en-US"/>
              </w:rPr>
            </w:pPr>
          </w:p>
        </w:tc>
        <w:tc>
          <w:tcPr>
            <w:tcW w:w="3689" w:type="dxa"/>
          </w:tcPr>
          <w:p w14:paraId="3A3C41C0" w14:textId="0B5D3F56"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Sto. Cristo Elementary School</w:t>
            </w:r>
          </w:p>
        </w:tc>
        <w:tc>
          <w:tcPr>
            <w:tcW w:w="1417" w:type="dxa"/>
            <w:noWrap/>
            <w:hideMark/>
          </w:tcPr>
          <w:p w14:paraId="29317FE3"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6B03FB28"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12C7299E"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842" w:type="dxa"/>
            <w:noWrap/>
            <w:hideMark/>
          </w:tcPr>
          <w:p w14:paraId="7D943E14"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Borders>
              <w:top w:val="nil"/>
              <w:bottom w:val="nil"/>
            </w:tcBorders>
          </w:tcPr>
          <w:p w14:paraId="61791CDC" w14:textId="77777777" w:rsidR="006D1940" w:rsidRPr="00173FD6" w:rsidRDefault="006D1940" w:rsidP="00A31699">
            <w:pPr>
              <w:rPr>
                <w:rFonts w:ascii="Calibri Light" w:hAnsi="Calibri Light" w:cs="Calibri Light"/>
                <w:color w:val="000000" w:themeColor="text1"/>
                <w:sz w:val="20"/>
                <w:szCs w:val="20"/>
                <w:lang w:val="en-US"/>
              </w:rPr>
            </w:pPr>
          </w:p>
        </w:tc>
      </w:tr>
      <w:tr w:rsidR="006D1940" w:rsidRPr="00173FD6" w14:paraId="4CD2D3EB" w14:textId="77777777" w:rsidTr="00FF4CA3">
        <w:trPr>
          <w:trHeight w:val="300"/>
        </w:trPr>
        <w:tc>
          <w:tcPr>
            <w:tcW w:w="940" w:type="dxa"/>
            <w:tcBorders>
              <w:top w:val="nil"/>
              <w:bottom w:val="nil"/>
            </w:tcBorders>
          </w:tcPr>
          <w:p w14:paraId="4A303D32"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6D53BB3D" w14:textId="6B5C2CD1" w:rsidR="006D1940" w:rsidRPr="00173FD6" w:rsidRDefault="006D1940" w:rsidP="00A31699">
            <w:pPr>
              <w:rPr>
                <w:rFonts w:ascii="Calibri" w:hAnsi="Calibri" w:cs="Calibri"/>
                <w:color w:val="000000" w:themeColor="text1"/>
                <w:sz w:val="22"/>
                <w:szCs w:val="22"/>
                <w:lang w:val="en-US"/>
              </w:rPr>
            </w:pPr>
          </w:p>
        </w:tc>
        <w:tc>
          <w:tcPr>
            <w:tcW w:w="3689" w:type="dxa"/>
          </w:tcPr>
          <w:p w14:paraId="32B3CF46" w14:textId="13538FE6"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Bagong Silangan Elementary School</w:t>
            </w:r>
          </w:p>
        </w:tc>
        <w:tc>
          <w:tcPr>
            <w:tcW w:w="1417" w:type="dxa"/>
            <w:noWrap/>
            <w:hideMark/>
          </w:tcPr>
          <w:p w14:paraId="424779CC"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4B184EAA"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7E8EBB80"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842" w:type="dxa"/>
            <w:noWrap/>
            <w:hideMark/>
          </w:tcPr>
          <w:p w14:paraId="44BC2558"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Borders>
              <w:top w:val="nil"/>
              <w:bottom w:val="nil"/>
            </w:tcBorders>
          </w:tcPr>
          <w:p w14:paraId="7481CF30" w14:textId="77777777" w:rsidR="006D1940" w:rsidRPr="00173FD6" w:rsidRDefault="006D1940" w:rsidP="00A31699">
            <w:pPr>
              <w:rPr>
                <w:rFonts w:ascii="Calibri Light" w:hAnsi="Calibri Light" w:cs="Calibri Light"/>
                <w:color w:val="000000" w:themeColor="text1"/>
                <w:sz w:val="20"/>
                <w:szCs w:val="20"/>
                <w:lang w:val="en-US"/>
              </w:rPr>
            </w:pPr>
          </w:p>
        </w:tc>
      </w:tr>
      <w:tr w:rsidR="006D1940" w:rsidRPr="00173FD6" w14:paraId="060B92B7" w14:textId="77777777" w:rsidTr="00FF4CA3">
        <w:trPr>
          <w:trHeight w:val="300"/>
        </w:trPr>
        <w:tc>
          <w:tcPr>
            <w:tcW w:w="940" w:type="dxa"/>
            <w:tcBorders>
              <w:top w:val="nil"/>
              <w:bottom w:val="nil"/>
            </w:tcBorders>
          </w:tcPr>
          <w:p w14:paraId="37218D73"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510FB4FD" w14:textId="7C43264F" w:rsidR="006D1940" w:rsidRPr="00173FD6" w:rsidRDefault="006D1940" w:rsidP="00A31699">
            <w:pPr>
              <w:rPr>
                <w:rFonts w:ascii="Calibri" w:hAnsi="Calibri" w:cs="Calibri"/>
                <w:color w:val="000000" w:themeColor="text1"/>
                <w:sz w:val="22"/>
                <w:szCs w:val="22"/>
                <w:lang w:val="en-US"/>
              </w:rPr>
            </w:pPr>
          </w:p>
        </w:tc>
        <w:tc>
          <w:tcPr>
            <w:tcW w:w="3689" w:type="dxa"/>
          </w:tcPr>
          <w:p w14:paraId="3EE50BB8" w14:textId="07C4333D"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Pura V. Kalaw Elementary School</w:t>
            </w:r>
          </w:p>
        </w:tc>
        <w:tc>
          <w:tcPr>
            <w:tcW w:w="1417" w:type="dxa"/>
            <w:noWrap/>
            <w:hideMark/>
          </w:tcPr>
          <w:p w14:paraId="53984AC1"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1478BE82"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418" w:type="dxa"/>
            <w:noWrap/>
            <w:hideMark/>
          </w:tcPr>
          <w:p w14:paraId="77314662"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3866108B"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Borders>
              <w:top w:val="nil"/>
              <w:bottom w:val="nil"/>
            </w:tcBorders>
          </w:tcPr>
          <w:p w14:paraId="66502C82" w14:textId="77777777" w:rsidR="006D1940" w:rsidRPr="00173FD6" w:rsidRDefault="006D1940" w:rsidP="00A31699">
            <w:pPr>
              <w:rPr>
                <w:rFonts w:ascii="Calibri Light" w:hAnsi="Calibri Light" w:cs="Calibri Light"/>
                <w:color w:val="000000" w:themeColor="text1"/>
                <w:sz w:val="20"/>
                <w:szCs w:val="20"/>
                <w:lang w:val="en-US"/>
              </w:rPr>
            </w:pPr>
          </w:p>
        </w:tc>
      </w:tr>
      <w:tr w:rsidR="006D1940" w:rsidRPr="00173FD6" w14:paraId="3F07C4FB" w14:textId="77777777" w:rsidTr="00FF4CA3">
        <w:trPr>
          <w:trHeight w:val="300"/>
        </w:trPr>
        <w:tc>
          <w:tcPr>
            <w:tcW w:w="940" w:type="dxa"/>
            <w:tcBorders>
              <w:top w:val="nil"/>
              <w:bottom w:val="nil"/>
            </w:tcBorders>
          </w:tcPr>
          <w:p w14:paraId="50762E32"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06D1F15E" w14:textId="454DB06D" w:rsidR="006D1940" w:rsidRPr="00173FD6" w:rsidRDefault="006D1940" w:rsidP="00A31699">
            <w:pPr>
              <w:rPr>
                <w:rFonts w:ascii="Calibri" w:hAnsi="Calibri" w:cs="Calibri"/>
                <w:color w:val="000000" w:themeColor="text1"/>
                <w:sz w:val="22"/>
                <w:szCs w:val="22"/>
                <w:lang w:val="en-US"/>
              </w:rPr>
            </w:pPr>
          </w:p>
        </w:tc>
        <w:tc>
          <w:tcPr>
            <w:tcW w:w="3689" w:type="dxa"/>
          </w:tcPr>
          <w:p w14:paraId="6B507038" w14:textId="0CEE65FB"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Ususan Elementary School</w:t>
            </w:r>
          </w:p>
        </w:tc>
        <w:tc>
          <w:tcPr>
            <w:tcW w:w="1417" w:type="dxa"/>
            <w:noWrap/>
            <w:hideMark/>
          </w:tcPr>
          <w:p w14:paraId="417CFBD6"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701" w:type="dxa"/>
            <w:noWrap/>
            <w:hideMark/>
          </w:tcPr>
          <w:p w14:paraId="72D62239"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1BEBCA9D"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3FC89DB6"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Borders>
              <w:top w:val="nil"/>
            </w:tcBorders>
          </w:tcPr>
          <w:p w14:paraId="01107B05" w14:textId="77777777" w:rsidR="006D1940" w:rsidRPr="00173FD6" w:rsidRDefault="006D1940" w:rsidP="00A31699">
            <w:pPr>
              <w:rPr>
                <w:rFonts w:ascii="Calibri Light" w:hAnsi="Calibri Light" w:cs="Calibri Light"/>
                <w:color w:val="000000" w:themeColor="text1"/>
                <w:sz w:val="20"/>
                <w:szCs w:val="20"/>
                <w:lang w:val="en-US"/>
              </w:rPr>
            </w:pPr>
          </w:p>
        </w:tc>
      </w:tr>
      <w:tr w:rsidR="006D1940" w:rsidRPr="00173FD6" w14:paraId="6353E002" w14:textId="77777777" w:rsidTr="00FF4CA3">
        <w:trPr>
          <w:trHeight w:val="300"/>
        </w:trPr>
        <w:tc>
          <w:tcPr>
            <w:tcW w:w="940" w:type="dxa"/>
            <w:tcBorders>
              <w:top w:val="nil"/>
              <w:bottom w:val="nil"/>
            </w:tcBorders>
          </w:tcPr>
          <w:p w14:paraId="172FC4D5"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single" w:sz="4" w:space="0" w:color="auto"/>
            </w:tcBorders>
          </w:tcPr>
          <w:p w14:paraId="79604AA8" w14:textId="641510BB" w:rsidR="006D1940" w:rsidRPr="00173FD6" w:rsidRDefault="006D1940" w:rsidP="00A31699">
            <w:pPr>
              <w:rPr>
                <w:rFonts w:ascii="Calibri" w:hAnsi="Calibri" w:cs="Calibri"/>
                <w:color w:val="000000" w:themeColor="text1"/>
                <w:sz w:val="22"/>
                <w:szCs w:val="22"/>
                <w:lang w:val="en-US"/>
              </w:rPr>
            </w:pPr>
          </w:p>
        </w:tc>
        <w:tc>
          <w:tcPr>
            <w:tcW w:w="3689" w:type="dxa"/>
          </w:tcPr>
          <w:p w14:paraId="51C101D0" w14:textId="30CB1837"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Sub-total</w:t>
            </w:r>
          </w:p>
        </w:tc>
        <w:tc>
          <w:tcPr>
            <w:tcW w:w="1417" w:type="dxa"/>
            <w:noWrap/>
            <w:hideMark/>
          </w:tcPr>
          <w:p w14:paraId="4AEFC3A9"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6</w:t>
            </w:r>
          </w:p>
        </w:tc>
        <w:tc>
          <w:tcPr>
            <w:tcW w:w="1701" w:type="dxa"/>
            <w:noWrap/>
            <w:hideMark/>
          </w:tcPr>
          <w:p w14:paraId="6B31FFA9"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418" w:type="dxa"/>
            <w:noWrap/>
            <w:hideMark/>
          </w:tcPr>
          <w:p w14:paraId="7829EB5B"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9</w:t>
            </w:r>
          </w:p>
        </w:tc>
        <w:tc>
          <w:tcPr>
            <w:tcW w:w="1842" w:type="dxa"/>
            <w:noWrap/>
            <w:hideMark/>
          </w:tcPr>
          <w:p w14:paraId="7B36F0B9"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12</w:t>
            </w:r>
          </w:p>
        </w:tc>
        <w:tc>
          <w:tcPr>
            <w:tcW w:w="2835" w:type="dxa"/>
          </w:tcPr>
          <w:p w14:paraId="06C076C4" w14:textId="77777777" w:rsidR="006D1940" w:rsidRPr="00173FD6" w:rsidRDefault="006D1940" w:rsidP="00A31699">
            <w:pPr>
              <w:rPr>
                <w:rFonts w:ascii="Calibri" w:hAnsi="Calibri" w:cs="Calibri"/>
                <w:color w:val="000000" w:themeColor="text1"/>
                <w:sz w:val="22"/>
                <w:szCs w:val="22"/>
                <w:lang w:val="en-US"/>
              </w:rPr>
            </w:pPr>
          </w:p>
        </w:tc>
      </w:tr>
      <w:tr w:rsidR="006D1940" w:rsidRPr="00173FD6" w14:paraId="1FA630FB" w14:textId="77777777" w:rsidTr="00FF4CA3">
        <w:trPr>
          <w:trHeight w:val="300"/>
        </w:trPr>
        <w:tc>
          <w:tcPr>
            <w:tcW w:w="940" w:type="dxa"/>
            <w:tcBorders>
              <w:top w:val="nil"/>
              <w:bottom w:val="nil"/>
            </w:tcBorders>
          </w:tcPr>
          <w:p w14:paraId="7047E008" w14:textId="77777777" w:rsidR="006D1940" w:rsidRPr="00173FD6" w:rsidRDefault="006D1940" w:rsidP="00A31699">
            <w:pPr>
              <w:rPr>
                <w:rFonts w:ascii="Calibri" w:hAnsi="Calibri" w:cs="Calibri"/>
                <w:color w:val="000000" w:themeColor="text1"/>
                <w:sz w:val="22"/>
                <w:szCs w:val="22"/>
                <w:lang w:val="en-US"/>
              </w:rPr>
            </w:pPr>
          </w:p>
        </w:tc>
        <w:tc>
          <w:tcPr>
            <w:tcW w:w="895" w:type="dxa"/>
            <w:tcBorders>
              <w:bottom w:val="nil"/>
            </w:tcBorders>
          </w:tcPr>
          <w:p w14:paraId="29BB7736" w14:textId="52646372"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Non-BEST Schools</w:t>
            </w:r>
          </w:p>
        </w:tc>
        <w:tc>
          <w:tcPr>
            <w:tcW w:w="3689" w:type="dxa"/>
          </w:tcPr>
          <w:p w14:paraId="3AB31B32" w14:textId="7A6CBB23"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Talon 3 Elementary School</w:t>
            </w:r>
          </w:p>
        </w:tc>
        <w:tc>
          <w:tcPr>
            <w:tcW w:w="1417" w:type="dxa"/>
            <w:noWrap/>
            <w:hideMark/>
          </w:tcPr>
          <w:p w14:paraId="44E72712"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701" w:type="dxa"/>
            <w:noWrap/>
            <w:hideMark/>
          </w:tcPr>
          <w:p w14:paraId="72D2BCB2"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199DECBB"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5A8F8358"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Pr>
          <w:p w14:paraId="64E575AB" w14:textId="77777777" w:rsidR="006D1940" w:rsidRPr="00173FD6" w:rsidRDefault="006D1940" w:rsidP="00A31699">
            <w:pPr>
              <w:rPr>
                <w:rFonts w:ascii="Calibri" w:hAnsi="Calibri" w:cs="Calibri"/>
                <w:color w:val="000000" w:themeColor="text1"/>
                <w:sz w:val="22"/>
                <w:szCs w:val="22"/>
                <w:lang w:val="en-US"/>
              </w:rPr>
            </w:pPr>
          </w:p>
        </w:tc>
      </w:tr>
      <w:tr w:rsidR="006D1940" w:rsidRPr="00173FD6" w14:paraId="36949B8A" w14:textId="77777777" w:rsidTr="00FF4CA3">
        <w:trPr>
          <w:trHeight w:val="300"/>
        </w:trPr>
        <w:tc>
          <w:tcPr>
            <w:tcW w:w="940" w:type="dxa"/>
            <w:tcBorders>
              <w:top w:val="nil"/>
              <w:bottom w:val="nil"/>
            </w:tcBorders>
          </w:tcPr>
          <w:p w14:paraId="016C0708"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5D37DE3C" w14:textId="754F61E8" w:rsidR="006D1940" w:rsidRPr="00173FD6" w:rsidRDefault="006D1940" w:rsidP="00A31699">
            <w:pPr>
              <w:rPr>
                <w:rFonts w:ascii="Calibri" w:hAnsi="Calibri" w:cs="Calibri"/>
                <w:color w:val="000000" w:themeColor="text1"/>
                <w:sz w:val="22"/>
                <w:szCs w:val="22"/>
                <w:lang w:val="en-US"/>
              </w:rPr>
            </w:pPr>
          </w:p>
        </w:tc>
        <w:tc>
          <w:tcPr>
            <w:tcW w:w="3689" w:type="dxa"/>
          </w:tcPr>
          <w:p w14:paraId="11498DDE" w14:textId="385420A8"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Beata Elementary School</w:t>
            </w:r>
          </w:p>
        </w:tc>
        <w:tc>
          <w:tcPr>
            <w:tcW w:w="1417" w:type="dxa"/>
            <w:noWrap/>
            <w:hideMark/>
          </w:tcPr>
          <w:p w14:paraId="2BDB6C3B"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701" w:type="dxa"/>
            <w:noWrap/>
            <w:hideMark/>
          </w:tcPr>
          <w:p w14:paraId="1BD3D9B8"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295429DB"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1CD69160"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Pr>
          <w:p w14:paraId="77892B9E" w14:textId="77777777" w:rsidR="006D1940" w:rsidRPr="00173FD6" w:rsidRDefault="006D1940" w:rsidP="00A31699">
            <w:pPr>
              <w:rPr>
                <w:rFonts w:ascii="Calibri" w:hAnsi="Calibri" w:cs="Calibri"/>
                <w:color w:val="000000" w:themeColor="text1"/>
                <w:sz w:val="22"/>
                <w:szCs w:val="22"/>
                <w:lang w:val="en-US"/>
              </w:rPr>
            </w:pPr>
          </w:p>
        </w:tc>
      </w:tr>
      <w:tr w:rsidR="006D1940" w:rsidRPr="00173FD6" w14:paraId="174170FF" w14:textId="77777777" w:rsidTr="00FF4CA3">
        <w:trPr>
          <w:trHeight w:val="300"/>
        </w:trPr>
        <w:tc>
          <w:tcPr>
            <w:tcW w:w="940" w:type="dxa"/>
            <w:tcBorders>
              <w:top w:val="nil"/>
              <w:bottom w:val="single" w:sz="4" w:space="0" w:color="auto"/>
            </w:tcBorders>
          </w:tcPr>
          <w:p w14:paraId="3B1E3697"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single" w:sz="4" w:space="0" w:color="auto"/>
            </w:tcBorders>
          </w:tcPr>
          <w:p w14:paraId="75441174" w14:textId="29FBC76C" w:rsidR="006D1940" w:rsidRPr="00173FD6" w:rsidRDefault="006D1940" w:rsidP="00A31699">
            <w:pPr>
              <w:rPr>
                <w:rFonts w:ascii="Calibri" w:hAnsi="Calibri" w:cs="Calibri"/>
                <w:color w:val="000000" w:themeColor="text1"/>
                <w:sz w:val="22"/>
                <w:szCs w:val="22"/>
                <w:lang w:val="en-US"/>
              </w:rPr>
            </w:pPr>
          </w:p>
        </w:tc>
        <w:tc>
          <w:tcPr>
            <w:tcW w:w="3689" w:type="dxa"/>
            <w:tcBorders>
              <w:bottom w:val="single" w:sz="4" w:space="0" w:color="auto"/>
            </w:tcBorders>
          </w:tcPr>
          <w:p w14:paraId="3A5836DD" w14:textId="0E759916"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Lupang Pangako Elementary School</w:t>
            </w:r>
          </w:p>
        </w:tc>
        <w:tc>
          <w:tcPr>
            <w:tcW w:w="1417" w:type="dxa"/>
            <w:tcBorders>
              <w:bottom w:val="single" w:sz="4" w:space="0" w:color="auto"/>
            </w:tcBorders>
            <w:noWrap/>
            <w:hideMark/>
          </w:tcPr>
          <w:p w14:paraId="65C4245C"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tcBorders>
              <w:bottom w:val="single" w:sz="4" w:space="0" w:color="auto"/>
            </w:tcBorders>
            <w:noWrap/>
            <w:hideMark/>
          </w:tcPr>
          <w:p w14:paraId="30B3CA4B"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tcBorders>
              <w:bottom w:val="single" w:sz="4" w:space="0" w:color="auto"/>
            </w:tcBorders>
            <w:noWrap/>
            <w:hideMark/>
          </w:tcPr>
          <w:p w14:paraId="7C647629"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842" w:type="dxa"/>
            <w:tcBorders>
              <w:bottom w:val="single" w:sz="4" w:space="0" w:color="auto"/>
            </w:tcBorders>
            <w:noWrap/>
            <w:hideMark/>
          </w:tcPr>
          <w:p w14:paraId="3515F7B5"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Borders>
              <w:bottom w:val="single" w:sz="4" w:space="0" w:color="auto"/>
            </w:tcBorders>
          </w:tcPr>
          <w:p w14:paraId="01F94DA5" w14:textId="77777777" w:rsidR="006D1940" w:rsidRPr="00173FD6" w:rsidRDefault="006D1940" w:rsidP="00A31699">
            <w:pPr>
              <w:rPr>
                <w:rFonts w:ascii="Calibri" w:hAnsi="Calibri" w:cs="Calibri"/>
                <w:color w:val="000000" w:themeColor="text1"/>
                <w:sz w:val="22"/>
                <w:szCs w:val="22"/>
                <w:lang w:val="en-US"/>
              </w:rPr>
            </w:pPr>
          </w:p>
        </w:tc>
      </w:tr>
      <w:tr w:rsidR="006D1940" w:rsidRPr="00173FD6" w14:paraId="004C5BD8" w14:textId="77777777" w:rsidTr="00FF4CA3">
        <w:trPr>
          <w:trHeight w:val="300"/>
        </w:trPr>
        <w:tc>
          <w:tcPr>
            <w:tcW w:w="940" w:type="dxa"/>
            <w:tcBorders>
              <w:top w:val="single" w:sz="4" w:space="0" w:color="auto"/>
              <w:bottom w:val="nil"/>
            </w:tcBorders>
          </w:tcPr>
          <w:p w14:paraId="72B2C074"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single" w:sz="4" w:space="0" w:color="auto"/>
              <w:bottom w:val="nil"/>
            </w:tcBorders>
          </w:tcPr>
          <w:p w14:paraId="6AE06136" w14:textId="0D50E01F" w:rsidR="006D1940" w:rsidRPr="00173FD6" w:rsidRDefault="006D1940" w:rsidP="00A31699">
            <w:pPr>
              <w:rPr>
                <w:rFonts w:ascii="Calibri" w:hAnsi="Calibri" w:cs="Calibri"/>
                <w:color w:val="000000" w:themeColor="text1"/>
                <w:sz w:val="22"/>
                <w:szCs w:val="22"/>
                <w:lang w:val="en-US"/>
              </w:rPr>
            </w:pPr>
          </w:p>
        </w:tc>
        <w:tc>
          <w:tcPr>
            <w:tcW w:w="3689" w:type="dxa"/>
            <w:tcBorders>
              <w:top w:val="single" w:sz="4" w:space="0" w:color="auto"/>
            </w:tcBorders>
          </w:tcPr>
          <w:p w14:paraId="5B337A44" w14:textId="507EA27B"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Bagumbayan Elementary School</w:t>
            </w:r>
          </w:p>
        </w:tc>
        <w:tc>
          <w:tcPr>
            <w:tcW w:w="1417" w:type="dxa"/>
            <w:tcBorders>
              <w:top w:val="single" w:sz="4" w:space="0" w:color="auto"/>
            </w:tcBorders>
            <w:noWrap/>
            <w:hideMark/>
          </w:tcPr>
          <w:p w14:paraId="798ED11D"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tcBorders>
              <w:top w:val="single" w:sz="4" w:space="0" w:color="auto"/>
            </w:tcBorders>
            <w:noWrap/>
            <w:hideMark/>
          </w:tcPr>
          <w:p w14:paraId="76F9394C"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tcBorders>
              <w:top w:val="single" w:sz="4" w:space="0" w:color="auto"/>
            </w:tcBorders>
            <w:noWrap/>
            <w:hideMark/>
          </w:tcPr>
          <w:p w14:paraId="52180AE0"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842" w:type="dxa"/>
            <w:tcBorders>
              <w:top w:val="single" w:sz="4" w:space="0" w:color="auto"/>
            </w:tcBorders>
            <w:noWrap/>
            <w:hideMark/>
          </w:tcPr>
          <w:p w14:paraId="7F660D5C"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Borders>
              <w:top w:val="single" w:sz="4" w:space="0" w:color="auto"/>
            </w:tcBorders>
          </w:tcPr>
          <w:p w14:paraId="132FF6F5" w14:textId="77777777" w:rsidR="006D1940" w:rsidRPr="00173FD6" w:rsidRDefault="006D1940" w:rsidP="00A31699">
            <w:pPr>
              <w:rPr>
                <w:rFonts w:ascii="Calibri" w:hAnsi="Calibri" w:cs="Calibri"/>
                <w:color w:val="000000" w:themeColor="text1"/>
                <w:sz w:val="22"/>
                <w:szCs w:val="22"/>
                <w:lang w:val="en-US"/>
              </w:rPr>
            </w:pPr>
          </w:p>
        </w:tc>
      </w:tr>
      <w:tr w:rsidR="006D1940" w:rsidRPr="00173FD6" w14:paraId="038BD025" w14:textId="77777777" w:rsidTr="00FF4CA3">
        <w:trPr>
          <w:trHeight w:val="300"/>
        </w:trPr>
        <w:tc>
          <w:tcPr>
            <w:tcW w:w="940" w:type="dxa"/>
            <w:tcBorders>
              <w:top w:val="nil"/>
              <w:bottom w:val="nil"/>
            </w:tcBorders>
          </w:tcPr>
          <w:p w14:paraId="73AE3CE5"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29423A6B" w14:textId="277CA40D" w:rsidR="006D1940" w:rsidRPr="00173FD6" w:rsidRDefault="006D1940" w:rsidP="00A31699">
            <w:pPr>
              <w:rPr>
                <w:rFonts w:ascii="Calibri" w:hAnsi="Calibri" w:cs="Calibri"/>
                <w:color w:val="000000" w:themeColor="text1"/>
                <w:sz w:val="22"/>
                <w:szCs w:val="22"/>
                <w:lang w:val="en-US"/>
              </w:rPr>
            </w:pPr>
          </w:p>
        </w:tc>
        <w:tc>
          <w:tcPr>
            <w:tcW w:w="3689" w:type="dxa"/>
          </w:tcPr>
          <w:p w14:paraId="1EC0AA02" w14:textId="252C1915"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North Fairview Elementary School</w:t>
            </w:r>
          </w:p>
        </w:tc>
        <w:tc>
          <w:tcPr>
            <w:tcW w:w="1417" w:type="dxa"/>
            <w:noWrap/>
            <w:hideMark/>
          </w:tcPr>
          <w:p w14:paraId="316B0E1F"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73098F7A"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418" w:type="dxa"/>
            <w:noWrap/>
            <w:hideMark/>
          </w:tcPr>
          <w:p w14:paraId="50D241D1"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2D33CA91"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Pr>
          <w:p w14:paraId="26CEAC3C" w14:textId="77777777" w:rsidR="006D1940" w:rsidRPr="00173FD6" w:rsidRDefault="006D1940" w:rsidP="00A31699">
            <w:pPr>
              <w:rPr>
                <w:rFonts w:ascii="Calibri" w:hAnsi="Calibri" w:cs="Calibri"/>
                <w:color w:val="000000" w:themeColor="text1"/>
                <w:sz w:val="22"/>
                <w:szCs w:val="22"/>
                <w:lang w:val="en-US"/>
              </w:rPr>
            </w:pPr>
          </w:p>
        </w:tc>
      </w:tr>
      <w:tr w:rsidR="006D1940" w:rsidRPr="00173FD6" w14:paraId="085EC34C" w14:textId="77777777" w:rsidTr="00FF4CA3">
        <w:trPr>
          <w:trHeight w:val="300"/>
        </w:trPr>
        <w:tc>
          <w:tcPr>
            <w:tcW w:w="940" w:type="dxa"/>
            <w:tcBorders>
              <w:top w:val="nil"/>
            </w:tcBorders>
          </w:tcPr>
          <w:p w14:paraId="1E0A5446"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tcBorders>
          </w:tcPr>
          <w:p w14:paraId="57BE4B60" w14:textId="08D63DB7" w:rsidR="006D1940" w:rsidRPr="00173FD6" w:rsidRDefault="006D1940" w:rsidP="00A31699">
            <w:pPr>
              <w:rPr>
                <w:rFonts w:ascii="Calibri" w:hAnsi="Calibri" w:cs="Calibri"/>
                <w:color w:val="000000" w:themeColor="text1"/>
                <w:sz w:val="22"/>
                <w:szCs w:val="22"/>
                <w:lang w:val="en-US"/>
              </w:rPr>
            </w:pPr>
          </w:p>
        </w:tc>
        <w:tc>
          <w:tcPr>
            <w:tcW w:w="3689" w:type="dxa"/>
          </w:tcPr>
          <w:p w14:paraId="5E8C6AA9" w14:textId="27CB10A6"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Sub-total</w:t>
            </w:r>
          </w:p>
        </w:tc>
        <w:tc>
          <w:tcPr>
            <w:tcW w:w="1417" w:type="dxa"/>
            <w:noWrap/>
            <w:hideMark/>
          </w:tcPr>
          <w:p w14:paraId="30C6E718"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2</w:t>
            </w:r>
          </w:p>
        </w:tc>
        <w:tc>
          <w:tcPr>
            <w:tcW w:w="1701" w:type="dxa"/>
            <w:noWrap/>
            <w:hideMark/>
          </w:tcPr>
          <w:p w14:paraId="599C57A3"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418" w:type="dxa"/>
            <w:noWrap/>
            <w:hideMark/>
          </w:tcPr>
          <w:p w14:paraId="5DDAF2D6"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2</w:t>
            </w:r>
          </w:p>
        </w:tc>
        <w:tc>
          <w:tcPr>
            <w:tcW w:w="1842" w:type="dxa"/>
            <w:noWrap/>
            <w:hideMark/>
          </w:tcPr>
          <w:p w14:paraId="33A2E7CA"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4</w:t>
            </w:r>
          </w:p>
        </w:tc>
        <w:tc>
          <w:tcPr>
            <w:tcW w:w="2835" w:type="dxa"/>
          </w:tcPr>
          <w:p w14:paraId="2E0996F7" w14:textId="1760F2CA" w:rsidR="006D1940" w:rsidRPr="00173FD6" w:rsidRDefault="006D1940" w:rsidP="00A31699">
            <w:pPr>
              <w:rPr>
                <w:rFonts w:ascii="Calibri" w:hAnsi="Calibri" w:cs="Calibri"/>
                <w:color w:val="000000" w:themeColor="text1"/>
                <w:sz w:val="22"/>
                <w:szCs w:val="22"/>
                <w:lang w:val="en-US"/>
              </w:rPr>
            </w:pPr>
            <w:r>
              <w:rPr>
                <w:rFonts w:ascii="Calibri" w:hAnsi="Calibri" w:cs="Calibri"/>
                <w:color w:val="000000" w:themeColor="text1"/>
                <w:sz w:val="22"/>
                <w:szCs w:val="22"/>
                <w:lang w:val="en-US"/>
              </w:rPr>
              <w:t>0</w:t>
            </w:r>
          </w:p>
        </w:tc>
      </w:tr>
      <w:tr w:rsidR="006D1940" w:rsidRPr="00173FD6" w14:paraId="646F60FB" w14:textId="77777777" w:rsidTr="00FF4CA3">
        <w:trPr>
          <w:trHeight w:val="300"/>
        </w:trPr>
        <w:tc>
          <w:tcPr>
            <w:tcW w:w="940" w:type="dxa"/>
            <w:tcBorders>
              <w:bottom w:val="single" w:sz="4" w:space="0" w:color="auto"/>
            </w:tcBorders>
          </w:tcPr>
          <w:p w14:paraId="44137A70" w14:textId="77777777" w:rsidR="006D1940" w:rsidRPr="00173FD6" w:rsidRDefault="006D1940" w:rsidP="00A31699">
            <w:pPr>
              <w:rPr>
                <w:rFonts w:ascii="Calibri" w:hAnsi="Calibri" w:cs="Calibri"/>
                <w:color w:val="000000" w:themeColor="text1"/>
                <w:sz w:val="22"/>
                <w:szCs w:val="22"/>
                <w:lang w:val="en-US"/>
              </w:rPr>
            </w:pPr>
          </w:p>
        </w:tc>
        <w:tc>
          <w:tcPr>
            <w:tcW w:w="895" w:type="dxa"/>
            <w:tcBorders>
              <w:bottom w:val="single" w:sz="4" w:space="0" w:color="auto"/>
            </w:tcBorders>
          </w:tcPr>
          <w:p w14:paraId="6E9F47FD" w14:textId="05525F02" w:rsidR="006D1940" w:rsidRPr="00173FD6" w:rsidRDefault="006D1940" w:rsidP="00A31699">
            <w:pPr>
              <w:rPr>
                <w:rFonts w:ascii="Calibri" w:hAnsi="Calibri" w:cs="Calibri"/>
                <w:color w:val="000000" w:themeColor="text1"/>
                <w:sz w:val="22"/>
                <w:szCs w:val="22"/>
                <w:lang w:val="en-US"/>
              </w:rPr>
            </w:pPr>
          </w:p>
        </w:tc>
        <w:tc>
          <w:tcPr>
            <w:tcW w:w="3689" w:type="dxa"/>
          </w:tcPr>
          <w:p w14:paraId="04241DF9" w14:textId="344A77DD"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Total NCR</w:t>
            </w:r>
          </w:p>
        </w:tc>
        <w:tc>
          <w:tcPr>
            <w:tcW w:w="1417" w:type="dxa"/>
            <w:noWrap/>
            <w:hideMark/>
          </w:tcPr>
          <w:p w14:paraId="0B5E5955" w14:textId="77777777"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8</w:t>
            </w:r>
          </w:p>
        </w:tc>
        <w:tc>
          <w:tcPr>
            <w:tcW w:w="1701" w:type="dxa"/>
            <w:noWrap/>
            <w:hideMark/>
          </w:tcPr>
          <w:p w14:paraId="3D95D1F1" w14:textId="77777777"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2</w:t>
            </w:r>
          </w:p>
        </w:tc>
        <w:tc>
          <w:tcPr>
            <w:tcW w:w="1418" w:type="dxa"/>
            <w:noWrap/>
            <w:hideMark/>
          </w:tcPr>
          <w:p w14:paraId="37A3F001" w14:textId="77777777"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11</w:t>
            </w:r>
          </w:p>
        </w:tc>
        <w:tc>
          <w:tcPr>
            <w:tcW w:w="1842" w:type="dxa"/>
            <w:noWrap/>
            <w:hideMark/>
          </w:tcPr>
          <w:p w14:paraId="273B2DF5" w14:textId="77777777"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16</w:t>
            </w:r>
          </w:p>
        </w:tc>
        <w:tc>
          <w:tcPr>
            <w:tcW w:w="2835" w:type="dxa"/>
          </w:tcPr>
          <w:p w14:paraId="4091AA77" w14:textId="77777777" w:rsidR="006D1940" w:rsidRPr="00173FD6" w:rsidRDefault="006D1940" w:rsidP="00A31699">
            <w:pPr>
              <w:rPr>
                <w:rFonts w:ascii="Calibri" w:hAnsi="Calibri" w:cs="Calibri"/>
                <w:b/>
                <w:bCs/>
                <w:color w:val="000000" w:themeColor="text1"/>
                <w:sz w:val="22"/>
                <w:szCs w:val="22"/>
                <w:lang w:val="en-US"/>
              </w:rPr>
            </w:pPr>
          </w:p>
        </w:tc>
      </w:tr>
      <w:tr w:rsidR="006D1940" w:rsidRPr="00173FD6" w14:paraId="2510C93E" w14:textId="77777777" w:rsidTr="00FF4CA3">
        <w:trPr>
          <w:trHeight w:val="300"/>
        </w:trPr>
        <w:tc>
          <w:tcPr>
            <w:tcW w:w="940" w:type="dxa"/>
            <w:tcBorders>
              <w:bottom w:val="nil"/>
            </w:tcBorders>
          </w:tcPr>
          <w:p w14:paraId="6709E9FA" w14:textId="4E1F87E8"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b/>
                <w:bCs/>
                <w:color w:val="000000" w:themeColor="text1"/>
                <w:sz w:val="22"/>
                <w:szCs w:val="22"/>
                <w:lang w:val="en-US"/>
              </w:rPr>
              <w:t>REGION V</w:t>
            </w:r>
          </w:p>
        </w:tc>
        <w:tc>
          <w:tcPr>
            <w:tcW w:w="895" w:type="dxa"/>
            <w:tcBorders>
              <w:bottom w:val="nil"/>
            </w:tcBorders>
          </w:tcPr>
          <w:p w14:paraId="6A4DB0B4" w14:textId="7B0AC3E4"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BEST Schools</w:t>
            </w:r>
          </w:p>
        </w:tc>
        <w:tc>
          <w:tcPr>
            <w:tcW w:w="3689" w:type="dxa"/>
          </w:tcPr>
          <w:p w14:paraId="11E182DD" w14:textId="27E51EAC"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Balatan Central School</w:t>
            </w:r>
          </w:p>
        </w:tc>
        <w:tc>
          <w:tcPr>
            <w:tcW w:w="1417" w:type="dxa"/>
            <w:noWrap/>
            <w:hideMark/>
          </w:tcPr>
          <w:p w14:paraId="265A78B1"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77D4E9FA"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418" w:type="dxa"/>
            <w:noWrap/>
            <w:hideMark/>
          </w:tcPr>
          <w:p w14:paraId="3E210731"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141DC7E2"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Pr>
          <w:p w14:paraId="2B038AB0" w14:textId="77777777" w:rsidR="006D1940" w:rsidRPr="00173FD6" w:rsidRDefault="006D1940" w:rsidP="00A31699">
            <w:pPr>
              <w:rPr>
                <w:rFonts w:ascii="Calibri" w:hAnsi="Calibri" w:cs="Calibri"/>
                <w:color w:val="000000" w:themeColor="text1"/>
                <w:sz w:val="22"/>
                <w:szCs w:val="22"/>
                <w:lang w:val="en-US"/>
              </w:rPr>
            </w:pPr>
          </w:p>
        </w:tc>
      </w:tr>
      <w:tr w:rsidR="006D1940" w:rsidRPr="00173FD6" w14:paraId="2CD828A5" w14:textId="77777777" w:rsidTr="00FF4CA3">
        <w:trPr>
          <w:trHeight w:val="300"/>
        </w:trPr>
        <w:tc>
          <w:tcPr>
            <w:tcW w:w="940" w:type="dxa"/>
            <w:tcBorders>
              <w:top w:val="nil"/>
              <w:bottom w:val="nil"/>
            </w:tcBorders>
          </w:tcPr>
          <w:p w14:paraId="023BD92F"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3C8E27E7" w14:textId="7169C873" w:rsidR="006D1940" w:rsidRPr="00173FD6" w:rsidRDefault="006D1940" w:rsidP="00A31699">
            <w:pPr>
              <w:rPr>
                <w:rFonts w:ascii="Calibri" w:hAnsi="Calibri" w:cs="Calibri"/>
                <w:color w:val="000000" w:themeColor="text1"/>
                <w:sz w:val="22"/>
                <w:szCs w:val="22"/>
                <w:lang w:val="en-US"/>
              </w:rPr>
            </w:pPr>
          </w:p>
        </w:tc>
        <w:tc>
          <w:tcPr>
            <w:tcW w:w="3689" w:type="dxa"/>
          </w:tcPr>
          <w:p w14:paraId="5CB6E466" w14:textId="1BD6679B"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Caorasan Elementary School</w:t>
            </w:r>
          </w:p>
        </w:tc>
        <w:tc>
          <w:tcPr>
            <w:tcW w:w="1417" w:type="dxa"/>
            <w:noWrap/>
            <w:hideMark/>
          </w:tcPr>
          <w:p w14:paraId="1B5C4B6F"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3EC69553"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418" w:type="dxa"/>
            <w:noWrap/>
            <w:hideMark/>
          </w:tcPr>
          <w:p w14:paraId="635B6D3D"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457AA011"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Pr>
          <w:p w14:paraId="26776E31" w14:textId="75AFF11E"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2 laptops</w:t>
            </w:r>
          </w:p>
        </w:tc>
      </w:tr>
      <w:tr w:rsidR="006D1940" w:rsidRPr="00173FD6" w14:paraId="5CB155BD" w14:textId="77777777" w:rsidTr="00FF4CA3">
        <w:trPr>
          <w:trHeight w:val="300"/>
        </w:trPr>
        <w:tc>
          <w:tcPr>
            <w:tcW w:w="940" w:type="dxa"/>
            <w:tcBorders>
              <w:top w:val="nil"/>
              <w:bottom w:val="nil"/>
            </w:tcBorders>
          </w:tcPr>
          <w:p w14:paraId="0B0855FD"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34A8B956" w14:textId="70EB3976" w:rsidR="006D1940" w:rsidRPr="00173FD6" w:rsidRDefault="006D1940" w:rsidP="00A31699">
            <w:pPr>
              <w:rPr>
                <w:rFonts w:ascii="Calibri" w:hAnsi="Calibri" w:cs="Calibri"/>
                <w:color w:val="000000" w:themeColor="text1"/>
                <w:sz w:val="22"/>
                <w:szCs w:val="22"/>
                <w:lang w:val="en-US"/>
              </w:rPr>
            </w:pPr>
          </w:p>
        </w:tc>
        <w:tc>
          <w:tcPr>
            <w:tcW w:w="3689" w:type="dxa"/>
          </w:tcPr>
          <w:p w14:paraId="3A4C81F9" w14:textId="77777777" w:rsidR="006D1940" w:rsidRPr="00173FD6" w:rsidRDefault="006D1940" w:rsidP="00A31699">
            <w:pPr>
              <w:rPr>
                <w:rFonts w:ascii="Calibri" w:hAnsi="Calibri" w:cs="Calibri"/>
                <w:color w:val="000000" w:themeColor="text1"/>
                <w:sz w:val="22"/>
                <w:szCs w:val="22"/>
                <w:lang w:val="en-US"/>
              </w:rPr>
            </w:pPr>
          </w:p>
        </w:tc>
        <w:tc>
          <w:tcPr>
            <w:tcW w:w="1417" w:type="dxa"/>
            <w:noWrap/>
            <w:hideMark/>
          </w:tcPr>
          <w:p w14:paraId="2F4A99F0"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5C004C1A"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127458F7"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1485B534"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Pr>
          <w:p w14:paraId="58E6A02E" w14:textId="79C1F552"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 xml:space="preserve">11 teachers using personal laptops </w:t>
            </w:r>
          </w:p>
        </w:tc>
      </w:tr>
      <w:tr w:rsidR="006D1940" w:rsidRPr="00173FD6" w14:paraId="7DF22E64" w14:textId="77777777" w:rsidTr="00FF4CA3">
        <w:trPr>
          <w:trHeight w:val="300"/>
        </w:trPr>
        <w:tc>
          <w:tcPr>
            <w:tcW w:w="940" w:type="dxa"/>
            <w:tcBorders>
              <w:top w:val="nil"/>
              <w:bottom w:val="nil"/>
            </w:tcBorders>
          </w:tcPr>
          <w:p w14:paraId="62DF6639"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45954E8B" w14:textId="7096C3B8" w:rsidR="006D1940" w:rsidRPr="00173FD6" w:rsidRDefault="006D1940" w:rsidP="00A31699">
            <w:pPr>
              <w:rPr>
                <w:rFonts w:ascii="Calibri" w:hAnsi="Calibri" w:cs="Calibri"/>
                <w:color w:val="000000" w:themeColor="text1"/>
                <w:sz w:val="22"/>
                <w:szCs w:val="22"/>
                <w:lang w:val="en-US"/>
              </w:rPr>
            </w:pPr>
          </w:p>
        </w:tc>
        <w:tc>
          <w:tcPr>
            <w:tcW w:w="3689" w:type="dxa"/>
          </w:tcPr>
          <w:p w14:paraId="38A491F5" w14:textId="77777777" w:rsidR="006D1940" w:rsidRPr="00173FD6" w:rsidRDefault="006D1940" w:rsidP="00A31699">
            <w:pPr>
              <w:rPr>
                <w:rFonts w:ascii="Calibri" w:hAnsi="Calibri" w:cs="Calibri"/>
                <w:color w:val="000000" w:themeColor="text1"/>
                <w:sz w:val="22"/>
                <w:szCs w:val="22"/>
                <w:lang w:val="en-US"/>
              </w:rPr>
            </w:pPr>
          </w:p>
        </w:tc>
        <w:tc>
          <w:tcPr>
            <w:tcW w:w="1417" w:type="dxa"/>
            <w:noWrap/>
            <w:hideMark/>
          </w:tcPr>
          <w:p w14:paraId="044140C8"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565EF19A"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13677C96"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04233F97"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Pr>
          <w:p w14:paraId="3F58A279" w14:textId="20ED3A82"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No</w:t>
            </w:r>
            <w:r w:rsidRPr="00173FD6">
              <w:rPr>
                <w:rFonts w:ascii="Calibri Light" w:hAnsi="Calibri Light" w:cs="Calibri Light"/>
                <w:i/>
                <w:iCs/>
                <w:color w:val="000000" w:themeColor="text1"/>
                <w:sz w:val="20"/>
                <w:szCs w:val="20"/>
                <w:lang w:val="en-US"/>
              </w:rPr>
              <w:t> </w:t>
            </w:r>
            <w:r w:rsidRPr="00173FD6">
              <w:rPr>
                <w:rFonts w:ascii="Calibri Light" w:hAnsi="Calibri Light" w:cs="Calibri Light"/>
                <w:color w:val="000000" w:themeColor="text1"/>
                <w:sz w:val="20"/>
                <w:szCs w:val="20"/>
                <w:lang w:val="en-US"/>
              </w:rPr>
              <w:t>internet connection in school</w:t>
            </w:r>
          </w:p>
        </w:tc>
      </w:tr>
      <w:tr w:rsidR="006D1940" w:rsidRPr="00173FD6" w14:paraId="20A95BEA" w14:textId="77777777" w:rsidTr="00FF4CA3">
        <w:trPr>
          <w:trHeight w:val="300"/>
        </w:trPr>
        <w:tc>
          <w:tcPr>
            <w:tcW w:w="940" w:type="dxa"/>
            <w:tcBorders>
              <w:top w:val="nil"/>
              <w:bottom w:val="nil"/>
            </w:tcBorders>
          </w:tcPr>
          <w:p w14:paraId="51D9CEAD"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70F01732" w14:textId="1F13B37F" w:rsidR="006D1940" w:rsidRPr="00173FD6" w:rsidRDefault="006D1940" w:rsidP="00A31699">
            <w:pPr>
              <w:rPr>
                <w:rFonts w:ascii="Calibri" w:hAnsi="Calibri" w:cs="Calibri"/>
                <w:color w:val="000000" w:themeColor="text1"/>
                <w:sz w:val="22"/>
                <w:szCs w:val="22"/>
                <w:lang w:val="en-US"/>
              </w:rPr>
            </w:pPr>
          </w:p>
        </w:tc>
        <w:tc>
          <w:tcPr>
            <w:tcW w:w="3689" w:type="dxa"/>
          </w:tcPr>
          <w:p w14:paraId="7A6D529A" w14:textId="0B5164DA"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Buyo Impact Elementary School</w:t>
            </w:r>
          </w:p>
        </w:tc>
        <w:tc>
          <w:tcPr>
            <w:tcW w:w="1417" w:type="dxa"/>
            <w:noWrap/>
            <w:hideMark/>
          </w:tcPr>
          <w:p w14:paraId="6D8FE6F0"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449B702F"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418" w:type="dxa"/>
            <w:noWrap/>
            <w:hideMark/>
          </w:tcPr>
          <w:p w14:paraId="1A2BA39A"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17300D56"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Pr>
          <w:p w14:paraId="4569EF84" w14:textId="47EA6079"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No</w:t>
            </w:r>
            <w:r w:rsidRPr="00173FD6">
              <w:rPr>
                <w:rFonts w:ascii="Calibri Light" w:hAnsi="Calibri Light" w:cs="Calibri Light"/>
                <w:i/>
                <w:iCs/>
                <w:color w:val="000000" w:themeColor="text1"/>
                <w:sz w:val="20"/>
                <w:szCs w:val="20"/>
                <w:lang w:val="en-US"/>
              </w:rPr>
              <w:t> </w:t>
            </w:r>
            <w:r w:rsidRPr="00173FD6">
              <w:rPr>
                <w:rFonts w:ascii="Calibri Light" w:hAnsi="Calibri Light" w:cs="Calibri Light"/>
                <w:color w:val="000000" w:themeColor="text1"/>
                <w:sz w:val="20"/>
                <w:szCs w:val="20"/>
                <w:lang w:val="en-US"/>
              </w:rPr>
              <w:t>internet connection in school</w:t>
            </w:r>
          </w:p>
        </w:tc>
      </w:tr>
      <w:tr w:rsidR="006D1940" w:rsidRPr="00173FD6" w14:paraId="654986BF" w14:textId="77777777" w:rsidTr="00FF4CA3">
        <w:trPr>
          <w:trHeight w:val="300"/>
        </w:trPr>
        <w:tc>
          <w:tcPr>
            <w:tcW w:w="940" w:type="dxa"/>
            <w:tcBorders>
              <w:top w:val="nil"/>
              <w:bottom w:val="nil"/>
            </w:tcBorders>
          </w:tcPr>
          <w:p w14:paraId="15B0CE5C"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753636DC" w14:textId="65DE214F" w:rsidR="006D1940" w:rsidRPr="00173FD6" w:rsidRDefault="006D1940" w:rsidP="00A31699">
            <w:pPr>
              <w:rPr>
                <w:rFonts w:ascii="Calibri" w:hAnsi="Calibri" w:cs="Calibri"/>
                <w:color w:val="000000" w:themeColor="text1"/>
                <w:sz w:val="22"/>
                <w:szCs w:val="22"/>
                <w:lang w:val="en-US"/>
              </w:rPr>
            </w:pPr>
          </w:p>
        </w:tc>
        <w:tc>
          <w:tcPr>
            <w:tcW w:w="3689" w:type="dxa"/>
          </w:tcPr>
          <w:p w14:paraId="0094BC53" w14:textId="4C96B3DF"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Libmanan South Central School</w:t>
            </w:r>
          </w:p>
        </w:tc>
        <w:tc>
          <w:tcPr>
            <w:tcW w:w="1417" w:type="dxa"/>
            <w:noWrap/>
            <w:hideMark/>
          </w:tcPr>
          <w:p w14:paraId="5977FF87"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6B92CBF6"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79A7881C"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842" w:type="dxa"/>
            <w:noWrap/>
            <w:hideMark/>
          </w:tcPr>
          <w:p w14:paraId="2B1DA22B"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Pr>
          <w:p w14:paraId="725E5C60" w14:textId="77777777" w:rsidR="006D1940" w:rsidRPr="00173FD6" w:rsidRDefault="006D1940" w:rsidP="00A31699">
            <w:pPr>
              <w:rPr>
                <w:rFonts w:ascii="Calibri" w:hAnsi="Calibri" w:cs="Calibri"/>
                <w:color w:val="000000" w:themeColor="text1"/>
                <w:sz w:val="22"/>
                <w:szCs w:val="22"/>
                <w:lang w:val="en-US"/>
              </w:rPr>
            </w:pPr>
          </w:p>
        </w:tc>
      </w:tr>
      <w:tr w:rsidR="006D1940" w:rsidRPr="00173FD6" w14:paraId="5A8C4848" w14:textId="77777777" w:rsidTr="00FF4CA3">
        <w:trPr>
          <w:trHeight w:val="300"/>
        </w:trPr>
        <w:tc>
          <w:tcPr>
            <w:tcW w:w="940" w:type="dxa"/>
            <w:tcBorders>
              <w:top w:val="nil"/>
              <w:bottom w:val="nil"/>
            </w:tcBorders>
          </w:tcPr>
          <w:p w14:paraId="28D4FDFC"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1808D684" w14:textId="6F83A81B" w:rsidR="006D1940" w:rsidRPr="00173FD6" w:rsidRDefault="006D1940" w:rsidP="00A31699">
            <w:pPr>
              <w:rPr>
                <w:rFonts w:ascii="Calibri" w:hAnsi="Calibri" w:cs="Calibri"/>
                <w:color w:val="000000" w:themeColor="text1"/>
                <w:sz w:val="22"/>
                <w:szCs w:val="22"/>
                <w:lang w:val="en-US"/>
              </w:rPr>
            </w:pPr>
          </w:p>
        </w:tc>
        <w:tc>
          <w:tcPr>
            <w:tcW w:w="3689" w:type="dxa"/>
          </w:tcPr>
          <w:p w14:paraId="5ADEF7CF" w14:textId="4C7F4016"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Bagongbong Elementary School</w:t>
            </w:r>
          </w:p>
        </w:tc>
        <w:tc>
          <w:tcPr>
            <w:tcW w:w="1417" w:type="dxa"/>
            <w:noWrap/>
            <w:hideMark/>
          </w:tcPr>
          <w:p w14:paraId="6BD96EAA"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0F775750"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705D4CBC"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842" w:type="dxa"/>
            <w:noWrap/>
            <w:hideMark/>
          </w:tcPr>
          <w:p w14:paraId="4655BCBC"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Pr>
          <w:p w14:paraId="48D784A4" w14:textId="77777777" w:rsidR="006D1940" w:rsidRPr="00173FD6" w:rsidRDefault="006D1940" w:rsidP="00A31699">
            <w:pPr>
              <w:rPr>
                <w:rFonts w:ascii="Calibri" w:hAnsi="Calibri" w:cs="Calibri"/>
                <w:color w:val="000000" w:themeColor="text1"/>
                <w:sz w:val="22"/>
                <w:szCs w:val="22"/>
                <w:lang w:val="en-US"/>
              </w:rPr>
            </w:pPr>
          </w:p>
        </w:tc>
      </w:tr>
      <w:tr w:rsidR="006D1940" w:rsidRPr="00173FD6" w14:paraId="720B3140" w14:textId="77777777" w:rsidTr="00FF4CA3">
        <w:trPr>
          <w:trHeight w:val="300"/>
        </w:trPr>
        <w:tc>
          <w:tcPr>
            <w:tcW w:w="940" w:type="dxa"/>
            <w:tcBorders>
              <w:top w:val="nil"/>
              <w:bottom w:val="nil"/>
            </w:tcBorders>
          </w:tcPr>
          <w:p w14:paraId="61CBD3DD"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5B137F69" w14:textId="611445EF" w:rsidR="006D1940" w:rsidRPr="00173FD6" w:rsidRDefault="006D1940" w:rsidP="00A31699">
            <w:pPr>
              <w:rPr>
                <w:rFonts w:ascii="Calibri" w:hAnsi="Calibri" w:cs="Calibri"/>
                <w:color w:val="000000" w:themeColor="text1"/>
                <w:sz w:val="22"/>
                <w:szCs w:val="22"/>
                <w:lang w:val="en-US"/>
              </w:rPr>
            </w:pPr>
          </w:p>
        </w:tc>
        <w:tc>
          <w:tcPr>
            <w:tcW w:w="3689" w:type="dxa"/>
          </w:tcPr>
          <w:p w14:paraId="3BF63308" w14:textId="48CA702C"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Nabua East Central School (Pilot)</w:t>
            </w:r>
          </w:p>
        </w:tc>
        <w:tc>
          <w:tcPr>
            <w:tcW w:w="1417" w:type="dxa"/>
            <w:noWrap/>
            <w:hideMark/>
          </w:tcPr>
          <w:p w14:paraId="7CAE4A4E"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4565934A"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64D04896"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842" w:type="dxa"/>
            <w:noWrap/>
            <w:hideMark/>
          </w:tcPr>
          <w:p w14:paraId="257D8001"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Pr>
          <w:p w14:paraId="0B156B52" w14:textId="77777777" w:rsidR="006D1940" w:rsidRPr="00173FD6" w:rsidRDefault="006D1940" w:rsidP="00A31699">
            <w:pPr>
              <w:rPr>
                <w:rFonts w:ascii="Calibri" w:hAnsi="Calibri" w:cs="Calibri"/>
                <w:color w:val="000000" w:themeColor="text1"/>
                <w:sz w:val="22"/>
                <w:szCs w:val="22"/>
                <w:lang w:val="en-US"/>
              </w:rPr>
            </w:pPr>
          </w:p>
        </w:tc>
      </w:tr>
      <w:tr w:rsidR="006D1940" w:rsidRPr="00173FD6" w14:paraId="45A5481B" w14:textId="77777777" w:rsidTr="00FF4CA3">
        <w:trPr>
          <w:trHeight w:val="300"/>
        </w:trPr>
        <w:tc>
          <w:tcPr>
            <w:tcW w:w="940" w:type="dxa"/>
            <w:tcBorders>
              <w:top w:val="nil"/>
              <w:bottom w:val="nil"/>
            </w:tcBorders>
          </w:tcPr>
          <w:p w14:paraId="0759A6AD"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25385EAA" w14:textId="382BE76A" w:rsidR="006D1940" w:rsidRPr="00173FD6" w:rsidRDefault="006D1940" w:rsidP="00A31699">
            <w:pPr>
              <w:rPr>
                <w:rFonts w:ascii="Calibri" w:hAnsi="Calibri" w:cs="Calibri"/>
                <w:color w:val="000000" w:themeColor="text1"/>
                <w:sz w:val="22"/>
                <w:szCs w:val="22"/>
                <w:lang w:val="en-US"/>
              </w:rPr>
            </w:pPr>
          </w:p>
        </w:tc>
        <w:tc>
          <w:tcPr>
            <w:tcW w:w="3689" w:type="dxa"/>
          </w:tcPr>
          <w:p w14:paraId="47FDDC0B" w14:textId="193E1C35"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Inapatan Elementary School</w:t>
            </w:r>
          </w:p>
        </w:tc>
        <w:tc>
          <w:tcPr>
            <w:tcW w:w="1417" w:type="dxa"/>
            <w:noWrap/>
            <w:hideMark/>
          </w:tcPr>
          <w:p w14:paraId="1B816E02"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4F6604D0"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418" w:type="dxa"/>
            <w:noWrap/>
            <w:hideMark/>
          </w:tcPr>
          <w:p w14:paraId="17D38159"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2815E862"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Pr>
          <w:p w14:paraId="15CE344A" w14:textId="77777777" w:rsidR="006D1940" w:rsidRPr="00173FD6" w:rsidRDefault="006D1940" w:rsidP="00A31699">
            <w:pPr>
              <w:rPr>
                <w:rFonts w:ascii="Calibri" w:hAnsi="Calibri" w:cs="Calibri"/>
                <w:color w:val="000000" w:themeColor="text1"/>
                <w:sz w:val="22"/>
                <w:szCs w:val="22"/>
                <w:lang w:val="en-US"/>
              </w:rPr>
            </w:pPr>
          </w:p>
        </w:tc>
      </w:tr>
      <w:tr w:rsidR="006D1940" w:rsidRPr="00173FD6" w14:paraId="4757D3D6" w14:textId="77777777" w:rsidTr="00FF4CA3">
        <w:trPr>
          <w:trHeight w:val="300"/>
        </w:trPr>
        <w:tc>
          <w:tcPr>
            <w:tcW w:w="940" w:type="dxa"/>
            <w:tcBorders>
              <w:top w:val="nil"/>
              <w:bottom w:val="nil"/>
            </w:tcBorders>
          </w:tcPr>
          <w:p w14:paraId="5F6F1A0F"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6A58586A" w14:textId="6A6C7FC8" w:rsidR="006D1940" w:rsidRPr="00173FD6" w:rsidRDefault="006D1940" w:rsidP="00A31699">
            <w:pPr>
              <w:rPr>
                <w:rFonts w:ascii="Calibri" w:hAnsi="Calibri" w:cs="Calibri"/>
                <w:color w:val="000000" w:themeColor="text1"/>
                <w:sz w:val="22"/>
                <w:szCs w:val="22"/>
                <w:lang w:val="en-US"/>
              </w:rPr>
            </w:pPr>
          </w:p>
        </w:tc>
        <w:tc>
          <w:tcPr>
            <w:tcW w:w="3689" w:type="dxa"/>
          </w:tcPr>
          <w:p w14:paraId="296CF38B" w14:textId="7ECCD705"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Binanuaanan Norte Elementary School</w:t>
            </w:r>
          </w:p>
        </w:tc>
        <w:tc>
          <w:tcPr>
            <w:tcW w:w="1417" w:type="dxa"/>
            <w:noWrap/>
            <w:hideMark/>
          </w:tcPr>
          <w:p w14:paraId="5E5BE5D9"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068DAF4B"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418" w:type="dxa"/>
            <w:noWrap/>
            <w:hideMark/>
          </w:tcPr>
          <w:p w14:paraId="048A9496"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5372E4C8"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Pr>
          <w:p w14:paraId="6CD73CED" w14:textId="6D4D0329"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 xml:space="preserve">2 laptops </w:t>
            </w:r>
          </w:p>
        </w:tc>
      </w:tr>
      <w:tr w:rsidR="006D1940" w:rsidRPr="00173FD6" w14:paraId="05659578" w14:textId="77777777" w:rsidTr="00FF4CA3">
        <w:trPr>
          <w:trHeight w:val="300"/>
        </w:trPr>
        <w:tc>
          <w:tcPr>
            <w:tcW w:w="940" w:type="dxa"/>
            <w:tcBorders>
              <w:top w:val="nil"/>
              <w:bottom w:val="nil"/>
            </w:tcBorders>
          </w:tcPr>
          <w:p w14:paraId="28AB6074"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7D0C5663" w14:textId="78492207" w:rsidR="006D1940" w:rsidRPr="00173FD6" w:rsidRDefault="006D1940" w:rsidP="00A31699">
            <w:pPr>
              <w:rPr>
                <w:rFonts w:ascii="Calibri" w:hAnsi="Calibri" w:cs="Calibri"/>
                <w:color w:val="000000" w:themeColor="text1"/>
                <w:sz w:val="22"/>
                <w:szCs w:val="22"/>
                <w:lang w:val="en-US"/>
              </w:rPr>
            </w:pPr>
          </w:p>
        </w:tc>
        <w:tc>
          <w:tcPr>
            <w:tcW w:w="3689" w:type="dxa"/>
          </w:tcPr>
          <w:p w14:paraId="6C4556D2" w14:textId="77777777" w:rsidR="006D1940" w:rsidRPr="00173FD6" w:rsidRDefault="006D1940" w:rsidP="00A31699">
            <w:pPr>
              <w:rPr>
                <w:rFonts w:ascii="Calibri" w:hAnsi="Calibri" w:cs="Calibri"/>
                <w:color w:val="000000" w:themeColor="text1"/>
                <w:sz w:val="22"/>
                <w:szCs w:val="22"/>
                <w:lang w:val="en-US"/>
              </w:rPr>
            </w:pPr>
          </w:p>
        </w:tc>
        <w:tc>
          <w:tcPr>
            <w:tcW w:w="1417" w:type="dxa"/>
            <w:noWrap/>
            <w:hideMark/>
          </w:tcPr>
          <w:p w14:paraId="71865E8E"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4AE66386"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0384E1ED"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1BDBF733"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Pr>
          <w:p w14:paraId="3F52721F" w14:textId="3E7F3607"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 xml:space="preserve">TIC uses personal pocket wifi </w:t>
            </w:r>
          </w:p>
        </w:tc>
      </w:tr>
      <w:tr w:rsidR="006D1940" w:rsidRPr="00173FD6" w14:paraId="6CA3C3B3" w14:textId="77777777" w:rsidTr="00FF4CA3">
        <w:trPr>
          <w:trHeight w:val="300"/>
        </w:trPr>
        <w:tc>
          <w:tcPr>
            <w:tcW w:w="940" w:type="dxa"/>
            <w:tcBorders>
              <w:top w:val="nil"/>
              <w:bottom w:val="nil"/>
            </w:tcBorders>
          </w:tcPr>
          <w:p w14:paraId="407FAED7"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3C458861" w14:textId="06748E31" w:rsidR="006D1940" w:rsidRPr="00173FD6" w:rsidRDefault="006D1940" w:rsidP="00A31699">
            <w:pPr>
              <w:rPr>
                <w:rFonts w:ascii="Calibri" w:hAnsi="Calibri" w:cs="Calibri"/>
                <w:color w:val="000000" w:themeColor="text1"/>
                <w:sz w:val="22"/>
                <w:szCs w:val="22"/>
                <w:lang w:val="en-US"/>
              </w:rPr>
            </w:pPr>
          </w:p>
        </w:tc>
        <w:tc>
          <w:tcPr>
            <w:tcW w:w="3689" w:type="dxa"/>
          </w:tcPr>
          <w:p w14:paraId="44C16283" w14:textId="77777777" w:rsidR="006D1940" w:rsidRPr="00173FD6" w:rsidRDefault="006D1940" w:rsidP="00A31699">
            <w:pPr>
              <w:rPr>
                <w:rFonts w:ascii="Calibri" w:hAnsi="Calibri" w:cs="Calibri"/>
                <w:color w:val="000000" w:themeColor="text1"/>
                <w:sz w:val="22"/>
                <w:szCs w:val="22"/>
                <w:lang w:val="en-US"/>
              </w:rPr>
            </w:pPr>
          </w:p>
        </w:tc>
        <w:tc>
          <w:tcPr>
            <w:tcW w:w="1417" w:type="dxa"/>
            <w:noWrap/>
            <w:hideMark/>
          </w:tcPr>
          <w:p w14:paraId="233AA002"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1B193EC7"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328A07CC"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7459FD17"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Pr>
          <w:p w14:paraId="150648DF" w14:textId="31488761"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No</w:t>
            </w:r>
            <w:r w:rsidRPr="00173FD6">
              <w:rPr>
                <w:rFonts w:ascii="Calibri Light" w:hAnsi="Calibri Light" w:cs="Calibri Light"/>
                <w:i/>
                <w:iCs/>
                <w:color w:val="000000" w:themeColor="text1"/>
                <w:sz w:val="20"/>
                <w:szCs w:val="20"/>
                <w:lang w:val="en-US"/>
              </w:rPr>
              <w:t> </w:t>
            </w:r>
            <w:r w:rsidRPr="00173FD6">
              <w:rPr>
                <w:rFonts w:ascii="Calibri Light" w:hAnsi="Calibri Light" w:cs="Calibri Light"/>
                <w:color w:val="000000" w:themeColor="text1"/>
                <w:sz w:val="20"/>
                <w:szCs w:val="20"/>
                <w:lang w:val="en-US"/>
              </w:rPr>
              <w:t>internet connection in school</w:t>
            </w:r>
          </w:p>
        </w:tc>
      </w:tr>
      <w:tr w:rsidR="006D1940" w:rsidRPr="00173FD6" w14:paraId="3A6E4356" w14:textId="77777777" w:rsidTr="00FF4CA3">
        <w:trPr>
          <w:trHeight w:val="320"/>
        </w:trPr>
        <w:tc>
          <w:tcPr>
            <w:tcW w:w="940" w:type="dxa"/>
            <w:tcBorders>
              <w:top w:val="nil"/>
              <w:bottom w:val="nil"/>
            </w:tcBorders>
          </w:tcPr>
          <w:p w14:paraId="46889031"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096063EF" w14:textId="65248ED6" w:rsidR="006D1940" w:rsidRPr="00173FD6" w:rsidRDefault="006D1940" w:rsidP="00A31699">
            <w:pPr>
              <w:rPr>
                <w:rFonts w:ascii="Calibri" w:hAnsi="Calibri" w:cs="Calibri"/>
                <w:color w:val="000000" w:themeColor="text1"/>
                <w:sz w:val="22"/>
                <w:szCs w:val="22"/>
                <w:lang w:val="en-US"/>
              </w:rPr>
            </w:pPr>
          </w:p>
        </w:tc>
        <w:tc>
          <w:tcPr>
            <w:tcW w:w="3689" w:type="dxa"/>
          </w:tcPr>
          <w:p w14:paraId="07C38E60" w14:textId="1361DCBF"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A. Manaog Elementary School (Hacienda Salamat)</w:t>
            </w:r>
          </w:p>
        </w:tc>
        <w:tc>
          <w:tcPr>
            <w:tcW w:w="1417" w:type="dxa"/>
            <w:hideMark/>
          </w:tcPr>
          <w:p w14:paraId="5AB2F66C"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hideMark/>
          </w:tcPr>
          <w:p w14:paraId="1EA47071"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hideMark/>
          </w:tcPr>
          <w:p w14:paraId="257A6569"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842" w:type="dxa"/>
            <w:noWrap/>
            <w:hideMark/>
          </w:tcPr>
          <w:p w14:paraId="6391361F"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Pr>
          <w:p w14:paraId="19323BF8" w14:textId="467E701A"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1 PC and 2 laptops</w:t>
            </w:r>
          </w:p>
        </w:tc>
      </w:tr>
      <w:tr w:rsidR="006D1940" w:rsidRPr="00173FD6" w14:paraId="3F16A1AA" w14:textId="77777777" w:rsidTr="00FF4CA3">
        <w:trPr>
          <w:trHeight w:val="300"/>
        </w:trPr>
        <w:tc>
          <w:tcPr>
            <w:tcW w:w="940" w:type="dxa"/>
            <w:tcBorders>
              <w:top w:val="nil"/>
              <w:bottom w:val="nil"/>
            </w:tcBorders>
          </w:tcPr>
          <w:p w14:paraId="238D26F4"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6F31EEF5" w14:textId="2904430E" w:rsidR="006D1940" w:rsidRPr="00173FD6" w:rsidRDefault="006D1940" w:rsidP="00A31699">
            <w:pPr>
              <w:rPr>
                <w:rFonts w:ascii="Calibri" w:hAnsi="Calibri" w:cs="Calibri"/>
                <w:color w:val="000000" w:themeColor="text1"/>
                <w:sz w:val="22"/>
                <w:szCs w:val="22"/>
                <w:lang w:val="en-US"/>
              </w:rPr>
            </w:pPr>
          </w:p>
        </w:tc>
        <w:tc>
          <w:tcPr>
            <w:tcW w:w="3689" w:type="dxa"/>
          </w:tcPr>
          <w:p w14:paraId="2D953AA0" w14:textId="77777777" w:rsidR="006D1940" w:rsidRPr="00173FD6" w:rsidRDefault="006D1940" w:rsidP="00A31699">
            <w:pPr>
              <w:rPr>
                <w:rFonts w:ascii="Calibri" w:hAnsi="Calibri" w:cs="Calibri"/>
                <w:color w:val="000000" w:themeColor="text1"/>
                <w:sz w:val="22"/>
                <w:szCs w:val="22"/>
                <w:lang w:val="en-US"/>
              </w:rPr>
            </w:pPr>
          </w:p>
        </w:tc>
        <w:tc>
          <w:tcPr>
            <w:tcW w:w="1417" w:type="dxa"/>
            <w:hideMark/>
          </w:tcPr>
          <w:p w14:paraId="725ED419"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hideMark/>
          </w:tcPr>
          <w:p w14:paraId="3AFBC861"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hideMark/>
          </w:tcPr>
          <w:p w14:paraId="68431078"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6FDBC6A0"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Pr>
          <w:p w14:paraId="3A8E3D96" w14:textId="7B9F6371"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No</w:t>
            </w:r>
            <w:r w:rsidRPr="00173FD6">
              <w:rPr>
                <w:rFonts w:ascii="Calibri Light" w:hAnsi="Calibri Light" w:cs="Calibri Light"/>
                <w:i/>
                <w:iCs/>
                <w:color w:val="000000" w:themeColor="text1"/>
                <w:sz w:val="20"/>
                <w:szCs w:val="20"/>
                <w:lang w:val="en-US"/>
              </w:rPr>
              <w:t> </w:t>
            </w:r>
            <w:r w:rsidRPr="00173FD6">
              <w:rPr>
                <w:rFonts w:ascii="Calibri Light" w:hAnsi="Calibri Light" w:cs="Calibri Light"/>
                <w:color w:val="000000" w:themeColor="text1"/>
                <w:sz w:val="20"/>
                <w:szCs w:val="20"/>
                <w:lang w:val="en-US"/>
              </w:rPr>
              <w:t>internet connection in school</w:t>
            </w:r>
          </w:p>
        </w:tc>
      </w:tr>
      <w:tr w:rsidR="006D1940" w:rsidRPr="00173FD6" w14:paraId="43E4B776" w14:textId="77777777" w:rsidTr="00FF4CA3">
        <w:trPr>
          <w:trHeight w:val="300"/>
        </w:trPr>
        <w:tc>
          <w:tcPr>
            <w:tcW w:w="940" w:type="dxa"/>
            <w:tcBorders>
              <w:top w:val="nil"/>
              <w:bottom w:val="nil"/>
            </w:tcBorders>
          </w:tcPr>
          <w:p w14:paraId="74FB2486"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7216DF91" w14:textId="75130030" w:rsidR="006D1940" w:rsidRPr="00173FD6" w:rsidRDefault="006D1940" w:rsidP="00A31699">
            <w:pPr>
              <w:rPr>
                <w:rFonts w:ascii="Calibri" w:hAnsi="Calibri" w:cs="Calibri"/>
                <w:color w:val="000000" w:themeColor="text1"/>
                <w:sz w:val="22"/>
                <w:szCs w:val="22"/>
                <w:lang w:val="en-US"/>
              </w:rPr>
            </w:pPr>
          </w:p>
        </w:tc>
        <w:tc>
          <w:tcPr>
            <w:tcW w:w="3689" w:type="dxa"/>
          </w:tcPr>
          <w:p w14:paraId="198BEEBE" w14:textId="2C5E3DAA"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Gabi Elementary School</w:t>
            </w:r>
          </w:p>
        </w:tc>
        <w:tc>
          <w:tcPr>
            <w:tcW w:w="1417" w:type="dxa"/>
            <w:noWrap/>
            <w:hideMark/>
          </w:tcPr>
          <w:p w14:paraId="78E4BBE0"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701" w:type="dxa"/>
            <w:noWrap/>
            <w:hideMark/>
          </w:tcPr>
          <w:p w14:paraId="7A088059"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3330DFD4"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7507877A"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Pr>
          <w:p w14:paraId="17E175DC" w14:textId="6FB5A06A"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No</w:t>
            </w:r>
            <w:r w:rsidR="00D434EB">
              <w:rPr>
                <w:rFonts w:ascii="Calibri Light" w:hAnsi="Calibri Light" w:cs="Calibri Light"/>
                <w:i/>
                <w:iCs/>
                <w:color w:val="000000" w:themeColor="text1"/>
                <w:sz w:val="20"/>
                <w:szCs w:val="20"/>
                <w:lang w:val="en-US"/>
              </w:rPr>
              <w:t xml:space="preserve"> </w:t>
            </w:r>
            <w:r w:rsidRPr="00173FD6">
              <w:rPr>
                <w:rFonts w:ascii="Calibri Light" w:hAnsi="Calibri Light" w:cs="Calibri Light"/>
                <w:color w:val="000000" w:themeColor="text1"/>
                <w:sz w:val="20"/>
                <w:szCs w:val="20"/>
                <w:lang w:val="en-US"/>
              </w:rPr>
              <w:t>internet connection in school</w:t>
            </w:r>
          </w:p>
        </w:tc>
      </w:tr>
      <w:tr w:rsidR="006D1940" w:rsidRPr="00173FD6" w14:paraId="63D09246" w14:textId="77777777" w:rsidTr="00FF4CA3">
        <w:trPr>
          <w:trHeight w:val="300"/>
        </w:trPr>
        <w:tc>
          <w:tcPr>
            <w:tcW w:w="940" w:type="dxa"/>
            <w:tcBorders>
              <w:top w:val="nil"/>
              <w:bottom w:val="nil"/>
            </w:tcBorders>
          </w:tcPr>
          <w:p w14:paraId="7F34020D"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2F4736EF" w14:textId="36E16031" w:rsidR="006D1940" w:rsidRPr="00173FD6" w:rsidRDefault="006D1940" w:rsidP="00A31699">
            <w:pPr>
              <w:rPr>
                <w:rFonts w:ascii="Calibri" w:hAnsi="Calibri" w:cs="Calibri"/>
                <w:color w:val="000000" w:themeColor="text1"/>
                <w:sz w:val="22"/>
                <w:szCs w:val="22"/>
                <w:lang w:val="en-US"/>
              </w:rPr>
            </w:pPr>
          </w:p>
        </w:tc>
        <w:tc>
          <w:tcPr>
            <w:tcW w:w="3689" w:type="dxa"/>
          </w:tcPr>
          <w:p w14:paraId="78549B15" w14:textId="3670780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H.A. Guballa Elementary School</w:t>
            </w:r>
          </w:p>
        </w:tc>
        <w:tc>
          <w:tcPr>
            <w:tcW w:w="1417" w:type="dxa"/>
            <w:noWrap/>
            <w:hideMark/>
          </w:tcPr>
          <w:p w14:paraId="38943F01"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2A41CA41"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38F8DEA1"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842" w:type="dxa"/>
            <w:noWrap/>
            <w:hideMark/>
          </w:tcPr>
          <w:p w14:paraId="3E81971D"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Pr>
          <w:p w14:paraId="3EC1F6F0" w14:textId="666C25CC"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No</w:t>
            </w:r>
            <w:r w:rsidR="00D434EB">
              <w:rPr>
                <w:rFonts w:ascii="Calibri Light" w:hAnsi="Calibri Light" w:cs="Calibri Light"/>
                <w:i/>
                <w:iCs/>
                <w:color w:val="000000" w:themeColor="text1"/>
                <w:sz w:val="20"/>
                <w:szCs w:val="20"/>
                <w:lang w:val="en-US"/>
              </w:rPr>
              <w:t xml:space="preserve"> </w:t>
            </w:r>
            <w:r w:rsidRPr="00173FD6">
              <w:rPr>
                <w:rFonts w:ascii="Calibri Light" w:hAnsi="Calibri Light" w:cs="Calibri Light"/>
                <w:color w:val="000000" w:themeColor="text1"/>
                <w:sz w:val="20"/>
                <w:szCs w:val="20"/>
                <w:lang w:val="en-US"/>
              </w:rPr>
              <w:t>internet connection in school</w:t>
            </w:r>
          </w:p>
        </w:tc>
      </w:tr>
      <w:tr w:rsidR="006D1940" w:rsidRPr="00173FD6" w14:paraId="6E4CD834" w14:textId="77777777" w:rsidTr="00FF4CA3">
        <w:trPr>
          <w:trHeight w:val="300"/>
        </w:trPr>
        <w:tc>
          <w:tcPr>
            <w:tcW w:w="940" w:type="dxa"/>
            <w:tcBorders>
              <w:top w:val="nil"/>
              <w:bottom w:val="nil"/>
            </w:tcBorders>
          </w:tcPr>
          <w:p w14:paraId="4D4D88C5"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62BFE5D5" w14:textId="0C2A495F" w:rsidR="006D1940" w:rsidRPr="00173FD6" w:rsidRDefault="006D1940" w:rsidP="00A31699">
            <w:pPr>
              <w:rPr>
                <w:rFonts w:ascii="Calibri" w:hAnsi="Calibri" w:cs="Calibri"/>
                <w:color w:val="000000" w:themeColor="text1"/>
                <w:sz w:val="22"/>
                <w:szCs w:val="22"/>
                <w:lang w:val="en-US"/>
              </w:rPr>
            </w:pPr>
          </w:p>
        </w:tc>
        <w:tc>
          <w:tcPr>
            <w:tcW w:w="3689" w:type="dxa"/>
          </w:tcPr>
          <w:p w14:paraId="1F4574EE" w14:textId="13B97325"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Don Lazaro Madara Memorial School</w:t>
            </w:r>
          </w:p>
        </w:tc>
        <w:tc>
          <w:tcPr>
            <w:tcW w:w="1417" w:type="dxa"/>
            <w:noWrap/>
            <w:hideMark/>
          </w:tcPr>
          <w:p w14:paraId="316B9D74"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08842AE9"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418" w:type="dxa"/>
            <w:noWrap/>
            <w:hideMark/>
          </w:tcPr>
          <w:p w14:paraId="516ECFDC"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23291300"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Pr>
          <w:p w14:paraId="287426D9" w14:textId="77777777" w:rsidR="006D1940" w:rsidRPr="00173FD6" w:rsidRDefault="006D1940" w:rsidP="00A31699">
            <w:pPr>
              <w:rPr>
                <w:rFonts w:ascii="Calibri" w:hAnsi="Calibri" w:cs="Calibri"/>
                <w:color w:val="000000" w:themeColor="text1"/>
                <w:sz w:val="22"/>
                <w:szCs w:val="22"/>
                <w:lang w:val="en-US"/>
              </w:rPr>
            </w:pPr>
          </w:p>
        </w:tc>
      </w:tr>
      <w:tr w:rsidR="006D1940" w:rsidRPr="00173FD6" w14:paraId="53CD7FD1" w14:textId="77777777" w:rsidTr="00FF4CA3">
        <w:trPr>
          <w:trHeight w:val="600"/>
        </w:trPr>
        <w:tc>
          <w:tcPr>
            <w:tcW w:w="940" w:type="dxa"/>
            <w:tcBorders>
              <w:top w:val="nil"/>
              <w:bottom w:val="nil"/>
            </w:tcBorders>
          </w:tcPr>
          <w:p w14:paraId="12A0B5AB"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214CA4E8" w14:textId="0B4FE213" w:rsidR="006D1940" w:rsidRPr="00173FD6" w:rsidRDefault="006D1940" w:rsidP="00A31699">
            <w:pPr>
              <w:rPr>
                <w:rFonts w:ascii="Calibri" w:hAnsi="Calibri" w:cs="Calibri"/>
                <w:color w:val="000000" w:themeColor="text1"/>
                <w:sz w:val="22"/>
                <w:szCs w:val="22"/>
                <w:lang w:val="en-US"/>
              </w:rPr>
            </w:pPr>
          </w:p>
        </w:tc>
        <w:tc>
          <w:tcPr>
            <w:tcW w:w="3689" w:type="dxa"/>
          </w:tcPr>
          <w:p w14:paraId="659C511C" w14:textId="4C831AAC"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Bulan south Central School</w:t>
            </w:r>
          </w:p>
        </w:tc>
        <w:tc>
          <w:tcPr>
            <w:tcW w:w="1417" w:type="dxa"/>
            <w:noWrap/>
            <w:hideMark/>
          </w:tcPr>
          <w:p w14:paraId="16FB46BC"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40D5545E"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418" w:type="dxa"/>
            <w:noWrap/>
            <w:hideMark/>
          </w:tcPr>
          <w:p w14:paraId="53126B38"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04A831B8"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Pr>
          <w:p w14:paraId="27F136E8" w14:textId="00EC74FB"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 xml:space="preserve">14 desktops and 2 laptops Teachers using their own laptops </w:t>
            </w:r>
          </w:p>
        </w:tc>
      </w:tr>
      <w:tr w:rsidR="006D1940" w:rsidRPr="00173FD6" w14:paraId="0DF22114" w14:textId="77777777" w:rsidTr="00FF4CA3">
        <w:trPr>
          <w:trHeight w:val="300"/>
        </w:trPr>
        <w:tc>
          <w:tcPr>
            <w:tcW w:w="940" w:type="dxa"/>
            <w:tcBorders>
              <w:top w:val="nil"/>
              <w:bottom w:val="nil"/>
            </w:tcBorders>
          </w:tcPr>
          <w:p w14:paraId="5538CA2A"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56E55DFC" w14:textId="040F2CDD" w:rsidR="006D1940" w:rsidRPr="00173FD6" w:rsidRDefault="006D1940" w:rsidP="00A31699">
            <w:pPr>
              <w:rPr>
                <w:rFonts w:ascii="Calibri" w:hAnsi="Calibri" w:cs="Calibri"/>
                <w:color w:val="000000" w:themeColor="text1"/>
                <w:sz w:val="22"/>
                <w:szCs w:val="22"/>
                <w:lang w:val="en-US"/>
              </w:rPr>
            </w:pPr>
          </w:p>
        </w:tc>
        <w:tc>
          <w:tcPr>
            <w:tcW w:w="3689" w:type="dxa"/>
          </w:tcPr>
          <w:p w14:paraId="49DA78C4" w14:textId="77777777" w:rsidR="006D1940" w:rsidRPr="00173FD6" w:rsidRDefault="006D1940" w:rsidP="00A31699">
            <w:pPr>
              <w:rPr>
                <w:rFonts w:ascii="Calibri" w:hAnsi="Calibri" w:cs="Calibri"/>
                <w:color w:val="000000" w:themeColor="text1"/>
                <w:sz w:val="22"/>
                <w:szCs w:val="22"/>
                <w:lang w:val="en-US"/>
              </w:rPr>
            </w:pPr>
          </w:p>
        </w:tc>
        <w:tc>
          <w:tcPr>
            <w:tcW w:w="1417" w:type="dxa"/>
            <w:noWrap/>
            <w:hideMark/>
          </w:tcPr>
          <w:p w14:paraId="1194BC29"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12032832"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1E29BB97"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420E56E3"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Pr>
          <w:p w14:paraId="40C828CB" w14:textId="0A508286"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No</w:t>
            </w:r>
            <w:r w:rsidRPr="00173FD6">
              <w:rPr>
                <w:rFonts w:ascii="Calibri Light" w:hAnsi="Calibri Light" w:cs="Calibri Light"/>
                <w:i/>
                <w:iCs/>
                <w:color w:val="000000" w:themeColor="text1"/>
                <w:sz w:val="20"/>
                <w:szCs w:val="20"/>
                <w:lang w:val="en-US"/>
              </w:rPr>
              <w:t> </w:t>
            </w:r>
            <w:r w:rsidRPr="00173FD6">
              <w:rPr>
                <w:rFonts w:ascii="Calibri Light" w:hAnsi="Calibri Light" w:cs="Calibri Light"/>
                <w:color w:val="000000" w:themeColor="text1"/>
                <w:sz w:val="20"/>
                <w:szCs w:val="20"/>
                <w:lang w:val="en-US"/>
              </w:rPr>
              <w:t>internet connection in school</w:t>
            </w:r>
          </w:p>
        </w:tc>
      </w:tr>
      <w:tr w:rsidR="006D1940" w:rsidRPr="00173FD6" w14:paraId="1353B572" w14:textId="77777777" w:rsidTr="00FF4CA3">
        <w:trPr>
          <w:trHeight w:val="600"/>
        </w:trPr>
        <w:tc>
          <w:tcPr>
            <w:tcW w:w="940" w:type="dxa"/>
            <w:tcBorders>
              <w:top w:val="nil"/>
              <w:bottom w:val="nil"/>
            </w:tcBorders>
          </w:tcPr>
          <w:p w14:paraId="32383E0F"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77D0D12C" w14:textId="7E738EBF" w:rsidR="006D1940" w:rsidRPr="00173FD6" w:rsidRDefault="006D1940" w:rsidP="00A31699">
            <w:pPr>
              <w:rPr>
                <w:rFonts w:ascii="Calibri" w:hAnsi="Calibri" w:cs="Calibri"/>
                <w:color w:val="000000" w:themeColor="text1"/>
                <w:sz w:val="22"/>
                <w:szCs w:val="22"/>
                <w:lang w:val="en-US"/>
              </w:rPr>
            </w:pPr>
          </w:p>
        </w:tc>
        <w:tc>
          <w:tcPr>
            <w:tcW w:w="3689" w:type="dxa"/>
          </w:tcPr>
          <w:p w14:paraId="11B75D36" w14:textId="5CA31638"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G. Del Pilar Elementary School</w:t>
            </w:r>
          </w:p>
        </w:tc>
        <w:tc>
          <w:tcPr>
            <w:tcW w:w="1417" w:type="dxa"/>
            <w:noWrap/>
            <w:hideMark/>
          </w:tcPr>
          <w:p w14:paraId="693D93DC"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7A5E3B4E"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418" w:type="dxa"/>
            <w:noWrap/>
            <w:hideMark/>
          </w:tcPr>
          <w:p w14:paraId="0C161E1E"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478E2543"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Pr>
          <w:p w14:paraId="0E241816" w14:textId="4DAC1124"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Of the 6 PCs, 4 are functional; 6 teachers use their own laptops</w:t>
            </w:r>
          </w:p>
        </w:tc>
      </w:tr>
      <w:tr w:rsidR="006D1940" w:rsidRPr="00173FD6" w14:paraId="18EB1BCC" w14:textId="77777777" w:rsidTr="00FF4CA3">
        <w:trPr>
          <w:trHeight w:val="300"/>
        </w:trPr>
        <w:tc>
          <w:tcPr>
            <w:tcW w:w="940" w:type="dxa"/>
            <w:tcBorders>
              <w:top w:val="nil"/>
              <w:bottom w:val="nil"/>
            </w:tcBorders>
          </w:tcPr>
          <w:p w14:paraId="5126E0AC"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43C4DCD2" w14:textId="6F48A676" w:rsidR="006D1940" w:rsidRPr="00173FD6" w:rsidRDefault="006D1940" w:rsidP="00A31699">
            <w:pPr>
              <w:rPr>
                <w:rFonts w:ascii="Calibri" w:hAnsi="Calibri" w:cs="Calibri"/>
                <w:color w:val="000000" w:themeColor="text1"/>
                <w:sz w:val="22"/>
                <w:szCs w:val="22"/>
                <w:lang w:val="en-US"/>
              </w:rPr>
            </w:pPr>
          </w:p>
        </w:tc>
        <w:tc>
          <w:tcPr>
            <w:tcW w:w="3689" w:type="dxa"/>
          </w:tcPr>
          <w:p w14:paraId="4FE97C94" w14:textId="77777777" w:rsidR="006D1940" w:rsidRPr="00173FD6" w:rsidRDefault="006D1940" w:rsidP="00A31699">
            <w:pPr>
              <w:rPr>
                <w:rFonts w:ascii="Calibri" w:hAnsi="Calibri" w:cs="Calibri"/>
                <w:color w:val="000000" w:themeColor="text1"/>
                <w:sz w:val="22"/>
                <w:szCs w:val="22"/>
                <w:lang w:val="en-US"/>
              </w:rPr>
            </w:pPr>
          </w:p>
        </w:tc>
        <w:tc>
          <w:tcPr>
            <w:tcW w:w="1417" w:type="dxa"/>
            <w:noWrap/>
            <w:hideMark/>
          </w:tcPr>
          <w:p w14:paraId="7852842F"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10A5FC0F"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4AC37E07"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48C69D52"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Pr>
          <w:p w14:paraId="6BD66D67" w14:textId="5D1A7BD7"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Has</w:t>
            </w:r>
            <w:r w:rsidRPr="00173FD6">
              <w:rPr>
                <w:rFonts w:ascii="Calibri Light" w:hAnsi="Calibri Light" w:cs="Calibri Light"/>
                <w:i/>
                <w:iCs/>
                <w:color w:val="000000" w:themeColor="text1"/>
                <w:sz w:val="20"/>
                <w:szCs w:val="20"/>
                <w:lang w:val="en-US"/>
              </w:rPr>
              <w:t> </w:t>
            </w:r>
            <w:r w:rsidRPr="00173FD6">
              <w:rPr>
                <w:rFonts w:ascii="Calibri Light" w:hAnsi="Calibri Light" w:cs="Calibri Light"/>
                <w:color w:val="000000" w:themeColor="text1"/>
                <w:sz w:val="20"/>
                <w:szCs w:val="20"/>
                <w:lang w:val="en-US"/>
              </w:rPr>
              <w:t>internet access in school</w:t>
            </w:r>
          </w:p>
        </w:tc>
      </w:tr>
      <w:tr w:rsidR="006D1940" w:rsidRPr="00173FD6" w14:paraId="5666AA9D" w14:textId="77777777" w:rsidTr="00FF4CA3">
        <w:trPr>
          <w:trHeight w:val="300"/>
        </w:trPr>
        <w:tc>
          <w:tcPr>
            <w:tcW w:w="940" w:type="dxa"/>
            <w:tcBorders>
              <w:top w:val="nil"/>
              <w:bottom w:val="nil"/>
            </w:tcBorders>
          </w:tcPr>
          <w:p w14:paraId="1C1C4F8C"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7E8EBE84" w14:textId="6D81801A" w:rsidR="006D1940" w:rsidRPr="00173FD6" w:rsidRDefault="006D1940" w:rsidP="00A31699">
            <w:pPr>
              <w:rPr>
                <w:rFonts w:ascii="Calibri" w:hAnsi="Calibri" w:cs="Calibri"/>
                <w:color w:val="000000" w:themeColor="text1"/>
                <w:sz w:val="22"/>
                <w:szCs w:val="22"/>
                <w:lang w:val="en-US"/>
              </w:rPr>
            </w:pPr>
          </w:p>
        </w:tc>
        <w:tc>
          <w:tcPr>
            <w:tcW w:w="3689" w:type="dxa"/>
          </w:tcPr>
          <w:p w14:paraId="74298DA6" w14:textId="77984519"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Ponong Elementary School</w:t>
            </w:r>
          </w:p>
        </w:tc>
        <w:tc>
          <w:tcPr>
            <w:tcW w:w="1417" w:type="dxa"/>
            <w:noWrap/>
            <w:hideMark/>
          </w:tcPr>
          <w:p w14:paraId="36E89EC5"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151FC9E7"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418" w:type="dxa"/>
            <w:noWrap/>
            <w:hideMark/>
          </w:tcPr>
          <w:p w14:paraId="7F9170B1"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099D24F9"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Pr>
          <w:p w14:paraId="3A3CAB01" w14:textId="5C0DBC86"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6 PCs and 1 laptop not functional</w:t>
            </w:r>
          </w:p>
        </w:tc>
      </w:tr>
      <w:tr w:rsidR="006D1940" w:rsidRPr="00173FD6" w14:paraId="27C28FB2" w14:textId="77777777" w:rsidTr="00FF4CA3">
        <w:trPr>
          <w:trHeight w:val="600"/>
        </w:trPr>
        <w:tc>
          <w:tcPr>
            <w:tcW w:w="940" w:type="dxa"/>
            <w:tcBorders>
              <w:top w:val="nil"/>
              <w:bottom w:val="nil"/>
            </w:tcBorders>
          </w:tcPr>
          <w:p w14:paraId="74D0E75D"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7C5BE770" w14:textId="55067C06" w:rsidR="006D1940" w:rsidRPr="00173FD6" w:rsidRDefault="006D1940" w:rsidP="00A31699">
            <w:pPr>
              <w:rPr>
                <w:rFonts w:ascii="Calibri" w:hAnsi="Calibri" w:cs="Calibri"/>
                <w:color w:val="000000" w:themeColor="text1"/>
                <w:sz w:val="22"/>
                <w:szCs w:val="22"/>
                <w:lang w:val="en-US"/>
              </w:rPr>
            </w:pPr>
          </w:p>
        </w:tc>
        <w:tc>
          <w:tcPr>
            <w:tcW w:w="3689" w:type="dxa"/>
          </w:tcPr>
          <w:p w14:paraId="27FBF6ED" w14:textId="77777777" w:rsidR="006D1940" w:rsidRPr="00173FD6" w:rsidRDefault="006D1940" w:rsidP="00A31699">
            <w:pPr>
              <w:rPr>
                <w:rFonts w:ascii="Calibri" w:hAnsi="Calibri" w:cs="Calibri"/>
                <w:color w:val="000000" w:themeColor="text1"/>
                <w:sz w:val="22"/>
                <w:szCs w:val="22"/>
                <w:lang w:val="en-US"/>
              </w:rPr>
            </w:pPr>
          </w:p>
        </w:tc>
        <w:tc>
          <w:tcPr>
            <w:tcW w:w="1417" w:type="dxa"/>
            <w:noWrap/>
            <w:hideMark/>
          </w:tcPr>
          <w:p w14:paraId="3CE9C99B"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6FE82522"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37E583C9"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7AFD885D"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Pr>
          <w:p w14:paraId="3E21CCA6" w14:textId="16063D38"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Teachers using their personal laptops No</w:t>
            </w:r>
            <w:r w:rsidRPr="00173FD6">
              <w:rPr>
                <w:rFonts w:ascii="Calibri Light" w:hAnsi="Calibri Light" w:cs="Calibri Light"/>
                <w:i/>
                <w:iCs/>
                <w:color w:val="000000" w:themeColor="text1"/>
                <w:sz w:val="20"/>
                <w:szCs w:val="20"/>
                <w:lang w:val="en-US"/>
              </w:rPr>
              <w:t> </w:t>
            </w:r>
            <w:r w:rsidRPr="00173FD6">
              <w:rPr>
                <w:rFonts w:ascii="Calibri Light" w:hAnsi="Calibri Light" w:cs="Calibri Light"/>
                <w:color w:val="000000" w:themeColor="text1"/>
                <w:sz w:val="20"/>
                <w:szCs w:val="20"/>
                <w:lang w:val="en-US"/>
              </w:rPr>
              <w:t>internet connection in school</w:t>
            </w:r>
          </w:p>
        </w:tc>
      </w:tr>
      <w:tr w:rsidR="006D1940" w:rsidRPr="00173FD6" w14:paraId="7D796DA0" w14:textId="77777777" w:rsidTr="00FF4CA3">
        <w:trPr>
          <w:trHeight w:val="300"/>
        </w:trPr>
        <w:tc>
          <w:tcPr>
            <w:tcW w:w="940" w:type="dxa"/>
            <w:tcBorders>
              <w:top w:val="nil"/>
              <w:bottom w:val="single" w:sz="4" w:space="0" w:color="auto"/>
            </w:tcBorders>
          </w:tcPr>
          <w:p w14:paraId="5D9A5D5A"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single" w:sz="4" w:space="0" w:color="auto"/>
            </w:tcBorders>
          </w:tcPr>
          <w:p w14:paraId="65536630" w14:textId="55955994" w:rsidR="006D1940" w:rsidRPr="00173FD6" w:rsidRDefault="006D1940" w:rsidP="00A31699">
            <w:pPr>
              <w:rPr>
                <w:rFonts w:ascii="Calibri" w:hAnsi="Calibri" w:cs="Calibri"/>
                <w:color w:val="000000" w:themeColor="text1"/>
                <w:sz w:val="22"/>
                <w:szCs w:val="22"/>
                <w:lang w:val="en-US"/>
              </w:rPr>
            </w:pPr>
          </w:p>
        </w:tc>
        <w:tc>
          <w:tcPr>
            <w:tcW w:w="3689" w:type="dxa"/>
            <w:tcBorders>
              <w:bottom w:val="single" w:sz="4" w:space="0" w:color="auto"/>
            </w:tcBorders>
          </w:tcPr>
          <w:p w14:paraId="0C1FCB59" w14:textId="279FB95C"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Bulabog Elementary School</w:t>
            </w:r>
          </w:p>
        </w:tc>
        <w:tc>
          <w:tcPr>
            <w:tcW w:w="1417" w:type="dxa"/>
            <w:tcBorders>
              <w:bottom w:val="single" w:sz="4" w:space="0" w:color="auto"/>
            </w:tcBorders>
            <w:noWrap/>
            <w:hideMark/>
          </w:tcPr>
          <w:p w14:paraId="3D3D83F8"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701" w:type="dxa"/>
            <w:tcBorders>
              <w:bottom w:val="single" w:sz="4" w:space="0" w:color="auto"/>
            </w:tcBorders>
            <w:noWrap/>
            <w:hideMark/>
          </w:tcPr>
          <w:p w14:paraId="7BFC831A"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tcBorders>
              <w:bottom w:val="single" w:sz="4" w:space="0" w:color="auto"/>
            </w:tcBorders>
            <w:noWrap/>
            <w:hideMark/>
          </w:tcPr>
          <w:p w14:paraId="213E7DA0"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tcBorders>
              <w:bottom w:val="single" w:sz="4" w:space="0" w:color="auto"/>
            </w:tcBorders>
            <w:noWrap/>
            <w:hideMark/>
          </w:tcPr>
          <w:p w14:paraId="75661C4B"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Borders>
              <w:bottom w:val="single" w:sz="4" w:space="0" w:color="auto"/>
            </w:tcBorders>
          </w:tcPr>
          <w:p w14:paraId="475BF1E6" w14:textId="08674D56"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 xml:space="preserve">6 PCs and 1 mother board (damaged) </w:t>
            </w:r>
          </w:p>
        </w:tc>
      </w:tr>
      <w:tr w:rsidR="006D1940" w:rsidRPr="00173FD6" w14:paraId="38E6C18F" w14:textId="77777777" w:rsidTr="00FF4CA3">
        <w:trPr>
          <w:trHeight w:val="300"/>
        </w:trPr>
        <w:tc>
          <w:tcPr>
            <w:tcW w:w="940" w:type="dxa"/>
            <w:tcBorders>
              <w:top w:val="single" w:sz="4" w:space="0" w:color="auto"/>
              <w:bottom w:val="nil"/>
            </w:tcBorders>
          </w:tcPr>
          <w:p w14:paraId="51C4AFEE"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single" w:sz="4" w:space="0" w:color="auto"/>
              <w:bottom w:val="nil"/>
            </w:tcBorders>
          </w:tcPr>
          <w:p w14:paraId="5EF3E445" w14:textId="7B4644A7" w:rsidR="006D1940" w:rsidRPr="00173FD6" w:rsidRDefault="006D1940" w:rsidP="00A31699">
            <w:pPr>
              <w:rPr>
                <w:rFonts w:ascii="Calibri" w:hAnsi="Calibri" w:cs="Calibri"/>
                <w:color w:val="000000" w:themeColor="text1"/>
                <w:sz w:val="22"/>
                <w:szCs w:val="22"/>
                <w:lang w:val="en-US"/>
              </w:rPr>
            </w:pPr>
          </w:p>
        </w:tc>
        <w:tc>
          <w:tcPr>
            <w:tcW w:w="3689" w:type="dxa"/>
            <w:tcBorders>
              <w:top w:val="single" w:sz="4" w:space="0" w:color="auto"/>
            </w:tcBorders>
          </w:tcPr>
          <w:p w14:paraId="0C7D436F" w14:textId="77777777" w:rsidR="006D1940" w:rsidRPr="00173FD6" w:rsidRDefault="006D1940" w:rsidP="00A31699">
            <w:pPr>
              <w:rPr>
                <w:rFonts w:ascii="Calibri" w:hAnsi="Calibri" w:cs="Calibri"/>
                <w:b/>
                <w:bCs/>
                <w:color w:val="000000" w:themeColor="text1"/>
                <w:sz w:val="22"/>
                <w:szCs w:val="22"/>
                <w:lang w:val="en-US"/>
              </w:rPr>
            </w:pPr>
          </w:p>
        </w:tc>
        <w:tc>
          <w:tcPr>
            <w:tcW w:w="1417" w:type="dxa"/>
            <w:tcBorders>
              <w:top w:val="single" w:sz="4" w:space="0" w:color="auto"/>
            </w:tcBorders>
            <w:noWrap/>
            <w:hideMark/>
          </w:tcPr>
          <w:p w14:paraId="7F21EBB0"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tcBorders>
              <w:top w:val="single" w:sz="4" w:space="0" w:color="auto"/>
            </w:tcBorders>
            <w:noWrap/>
            <w:hideMark/>
          </w:tcPr>
          <w:p w14:paraId="535BCA28"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tcBorders>
              <w:top w:val="single" w:sz="4" w:space="0" w:color="auto"/>
            </w:tcBorders>
            <w:noWrap/>
            <w:hideMark/>
          </w:tcPr>
          <w:p w14:paraId="03673248"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tcBorders>
              <w:top w:val="single" w:sz="4" w:space="0" w:color="auto"/>
            </w:tcBorders>
            <w:noWrap/>
            <w:hideMark/>
          </w:tcPr>
          <w:p w14:paraId="2900AE27"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Borders>
              <w:top w:val="single" w:sz="4" w:space="0" w:color="auto"/>
            </w:tcBorders>
          </w:tcPr>
          <w:p w14:paraId="7A9A0218" w14:textId="7E0E945C"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6 teachers using personal laptop</w:t>
            </w:r>
          </w:p>
        </w:tc>
      </w:tr>
      <w:tr w:rsidR="006D1940" w:rsidRPr="00173FD6" w14:paraId="187D363E" w14:textId="77777777" w:rsidTr="00FF4CA3">
        <w:trPr>
          <w:trHeight w:val="300"/>
        </w:trPr>
        <w:tc>
          <w:tcPr>
            <w:tcW w:w="940" w:type="dxa"/>
            <w:tcBorders>
              <w:top w:val="nil"/>
              <w:bottom w:val="nil"/>
            </w:tcBorders>
          </w:tcPr>
          <w:p w14:paraId="78121F96"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0942AE2A" w14:textId="2790C63F" w:rsidR="006D1940" w:rsidRPr="00173FD6" w:rsidRDefault="006D1940" w:rsidP="00A31699">
            <w:pPr>
              <w:rPr>
                <w:rFonts w:ascii="Calibri" w:hAnsi="Calibri" w:cs="Calibri"/>
                <w:color w:val="000000" w:themeColor="text1"/>
                <w:sz w:val="22"/>
                <w:szCs w:val="22"/>
                <w:lang w:val="en-US"/>
              </w:rPr>
            </w:pPr>
          </w:p>
        </w:tc>
        <w:tc>
          <w:tcPr>
            <w:tcW w:w="3689" w:type="dxa"/>
          </w:tcPr>
          <w:p w14:paraId="776701B3" w14:textId="77777777" w:rsidR="006D1940" w:rsidRPr="00173FD6" w:rsidRDefault="006D1940" w:rsidP="00A31699">
            <w:pPr>
              <w:rPr>
                <w:rFonts w:ascii="Calibri" w:hAnsi="Calibri" w:cs="Calibri"/>
                <w:b/>
                <w:bCs/>
                <w:color w:val="000000" w:themeColor="text1"/>
                <w:sz w:val="22"/>
                <w:szCs w:val="22"/>
                <w:lang w:val="en-US"/>
              </w:rPr>
            </w:pPr>
          </w:p>
        </w:tc>
        <w:tc>
          <w:tcPr>
            <w:tcW w:w="1417" w:type="dxa"/>
            <w:noWrap/>
            <w:hideMark/>
          </w:tcPr>
          <w:p w14:paraId="384E5481"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300CB002"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71C8F9B7"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4620DC23"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Pr>
          <w:p w14:paraId="6F83636F" w14:textId="105E8F80"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No</w:t>
            </w:r>
            <w:r w:rsidRPr="00173FD6">
              <w:rPr>
                <w:rFonts w:ascii="Calibri Light" w:hAnsi="Calibri Light" w:cs="Calibri Light"/>
                <w:i/>
                <w:iCs/>
                <w:color w:val="000000" w:themeColor="text1"/>
                <w:sz w:val="20"/>
                <w:szCs w:val="20"/>
                <w:lang w:val="en-US"/>
              </w:rPr>
              <w:t> </w:t>
            </w:r>
            <w:r w:rsidRPr="00173FD6">
              <w:rPr>
                <w:rFonts w:ascii="Calibri Light" w:hAnsi="Calibri Light" w:cs="Calibri Light"/>
                <w:color w:val="000000" w:themeColor="text1"/>
                <w:sz w:val="20"/>
                <w:szCs w:val="20"/>
                <w:lang w:val="en-US"/>
              </w:rPr>
              <w:t>internet connection in school</w:t>
            </w:r>
          </w:p>
        </w:tc>
      </w:tr>
      <w:tr w:rsidR="006D1940" w:rsidRPr="00173FD6" w14:paraId="79B5D62B" w14:textId="77777777" w:rsidTr="00FF4CA3">
        <w:trPr>
          <w:trHeight w:val="300"/>
        </w:trPr>
        <w:tc>
          <w:tcPr>
            <w:tcW w:w="940" w:type="dxa"/>
            <w:tcBorders>
              <w:top w:val="nil"/>
              <w:bottom w:val="nil"/>
            </w:tcBorders>
          </w:tcPr>
          <w:p w14:paraId="55E6D33C"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49E1164B" w14:textId="51A8DB03" w:rsidR="006D1940" w:rsidRPr="00173FD6" w:rsidRDefault="006D1940" w:rsidP="00A31699">
            <w:pPr>
              <w:rPr>
                <w:rFonts w:ascii="Calibri" w:hAnsi="Calibri" w:cs="Calibri"/>
                <w:color w:val="000000" w:themeColor="text1"/>
                <w:sz w:val="22"/>
                <w:szCs w:val="22"/>
                <w:lang w:val="en-US"/>
              </w:rPr>
            </w:pPr>
          </w:p>
        </w:tc>
        <w:tc>
          <w:tcPr>
            <w:tcW w:w="3689" w:type="dxa"/>
          </w:tcPr>
          <w:p w14:paraId="58658D25" w14:textId="3596B9D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Sorsogon East Central School</w:t>
            </w:r>
          </w:p>
        </w:tc>
        <w:tc>
          <w:tcPr>
            <w:tcW w:w="1417" w:type="dxa"/>
            <w:noWrap/>
            <w:hideMark/>
          </w:tcPr>
          <w:p w14:paraId="24B8F9D0"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6754759B"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2E309B5E"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842" w:type="dxa"/>
            <w:noWrap/>
            <w:hideMark/>
          </w:tcPr>
          <w:p w14:paraId="19C539BF"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Pr>
          <w:p w14:paraId="4D84E2BB" w14:textId="16B3E191"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No</w:t>
            </w:r>
            <w:r w:rsidRPr="00173FD6">
              <w:rPr>
                <w:rFonts w:ascii="Calibri Light" w:hAnsi="Calibri Light" w:cs="Calibri Light"/>
                <w:i/>
                <w:iCs/>
                <w:color w:val="000000" w:themeColor="text1"/>
                <w:sz w:val="20"/>
                <w:szCs w:val="20"/>
                <w:lang w:val="en-US"/>
              </w:rPr>
              <w:t> </w:t>
            </w:r>
            <w:r w:rsidRPr="00173FD6">
              <w:rPr>
                <w:rFonts w:ascii="Calibri Light" w:hAnsi="Calibri Light" w:cs="Calibri Light"/>
                <w:color w:val="000000" w:themeColor="text1"/>
                <w:sz w:val="20"/>
                <w:szCs w:val="20"/>
                <w:lang w:val="en-US"/>
              </w:rPr>
              <w:t>internet connection in school</w:t>
            </w:r>
          </w:p>
        </w:tc>
      </w:tr>
      <w:tr w:rsidR="006D1940" w:rsidRPr="00173FD6" w14:paraId="5433425F" w14:textId="77777777" w:rsidTr="00FF4CA3">
        <w:trPr>
          <w:trHeight w:val="300"/>
        </w:trPr>
        <w:tc>
          <w:tcPr>
            <w:tcW w:w="940" w:type="dxa"/>
            <w:tcBorders>
              <w:top w:val="nil"/>
              <w:bottom w:val="nil"/>
            </w:tcBorders>
          </w:tcPr>
          <w:p w14:paraId="68290732"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single" w:sz="4" w:space="0" w:color="auto"/>
            </w:tcBorders>
          </w:tcPr>
          <w:p w14:paraId="38EF49C0" w14:textId="4E171FBA" w:rsidR="006D1940" w:rsidRPr="00173FD6" w:rsidRDefault="006D1940" w:rsidP="00A31699">
            <w:pPr>
              <w:rPr>
                <w:rFonts w:ascii="Calibri" w:hAnsi="Calibri" w:cs="Calibri"/>
                <w:color w:val="000000" w:themeColor="text1"/>
                <w:sz w:val="22"/>
                <w:szCs w:val="22"/>
                <w:lang w:val="en-US"/>
              </w:rPr>
            </w:pPr>
          </w:p>
        </w:tc>
        <w:tc>
          <w:tcPr>
            <w:tcW w:w="3689" w:type="dxa"/>
          </w:tcPr>
          <w:p w14:paraId="34A5B1A5" w14:textId="72644884"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Sub-total</w:t>
            </w:r>
          </w:p>
        </w:tc>
        <w:tc>
          <w:tcPr>
            <w:tcW w:w="1417" w:type="dxa"/>
            <w:noWrap/>
            <w:hideMark/>
          </w:tcPr>
          <w:p w14:paraId="7D9507EB"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2</w:t>
            </w:r>
          </w:p>
        </w:tc>
        <w:tc>
          <w:tcPr>
            <w:tcW w:w="1701" w:type="dxa"/>
            <w:noWrap/>
            <w:hideMark/>
          </w:tcPr>
          <w:p w14:paraId="595DC2F2"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9</w:t>
            </w:r>
          </w:p>
        </w:tc>
        <w:tc>
          <w:tcPr>
            <w:tcW w:w="1418" w:type="dxa"/>
            <w:noWrap/>
            <w:hideMark/>
          </w:tcPr>
          <w:p w14:paraId="7D0CB26D"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6</w:t>
            </w:r>
          </w:p>
        </w:tc>
        <w:tc>
          <w:tcPr>
            <w:tcW w:w="1842" w:type="dxa"/>
            <w:noWrap/>
            <w:hideMark/>
          </w:tcPr>
          <w:p w14:paraId="6B25EABE"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16</w:t>
            </w:r>
          </w:p>
        </w:tc>
        <w:tc>
          <w:tcPr>
            <w:tcW w:w="2835" w:type="dxa"/>
          </w:tcPr>
          <w:p w14:paraId="0CA484A8" w14:textId="0DE136C5"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0</w:t>
            </w:r>
          </w:p>
        </w:tc>
      </w:tr>
      <w:tr w:rsidR="006D1940" w:rsidRPr="00173FD6" w14:paraId="5EC0BA56" w14:textId="77777777" w:rsidTr="00FF4CA3">
        <w:trPr>
          <w:trHeight w:val="300"/>
        </w:trPr>
        <w:tc>
          <w:tcPr>
            <w:tcW w:w="940" w:type="dxa"/>
            <w:tcBorders>
              <w:top w:val="nil"/>
              <w:bottom w:val="nil"/>
            </w:tcBorders>
          </w:tcPr>
          <w:p w14:paraId="7B71C48D" w14:textId="77777777" w:rsidR="006D1940" w:rsidRPr="00173FD6" w:rsidRDefault="006D1940" w:rsidP="00A31699">
            <w:pPr>
              <w:rPr>
                <w:rFonts w:ascii="Calibri" w:hAnsi="Calibri" w:cs="Calibri"/>
                <w:color w:val="000000" w:themeColor="text1"/>
                <w:sz w:val="22"/>
                <w:szCs w:val="22"/>
                <w:lang w:val="en-US"/>
              </w:rPr>
            </w:pPr>
          </w:p>
        </w:tc>
        <w:tc>
          <w:tcPr>
            <w:tcW w:w="895" w:type="dxa"/>
            <w:tcBorders>
              <w:bottom w:val="nil"/>
            </w:tcBorders>
          </w:tcPr>
          <w:p w14:paraId="5614524B" w14:textId="35A44EDA"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Non-BEST Schools</w:t>
            </w:r>
          </w:p>
        </w:tc>
        <w:tc>
          <w:tcPr>
            <w:tcW w:w="3689" w:type="dxa"/>
          </w:tcPr>
          <w:p w14:paraId="4D4865E7" w14:textId="0C3EE0E0"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Lopez Palsong Elementary School</w:t>
            </w:r>
          </w:p>
        </w:tc>
        <w:tc>
          <w:tcPr>
            <w:tcW w:w="1417" w:type="dxa"/>
            <w:noWrap/>
            <w:hideMark/>
          </w:tcPr>
          <w:p w14:paraId="4187050B"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73D9601E"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75495907"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842" w:type="dxa"/>
            <w:noWrap/>
            <w:hideMark/>
          </w:tcPr>
          <w:p w14:paraId="19E964BF"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Pr>
          <w:p w14:paraId="101C59E3" w14:textId="77777777" w:rsidR="006D1940" w:rsidRPr="00173FD6" w:rsidRDefault="006D1940" w:rsidP="00A31699">
            <w:pPr>
              <w:rPr>
                <w:rFonts w:ascii="Calibri" w:hAnsi="Calibri" w:cs="Calibri"/>
                <w:color w:val="000000" w:themeColor="text1"/>
                <w:sz w:val="22"/>
                <w:szCs w:val="22"/>
                <w:lang w:val="en-US"/>
              </w:rPr>
            </w:pPr>
          </w:p>
        </w:tc>
      </w:tr>
      <w:tr w:rsidR="006D1940" w:rsidRPr="00173FD6" w14:paraId="34FB3EA7" w14:textId="77777777" w:rsidTr="00FF4CA3">
        <w:trPr>
          <w:trHeight w:val="300"/>
        </w:trPr>
        <w:tc>
          <w:tcPr>
            <w:tcW w:w="940" w:type="dxa"/>
            <w:tcBorders>
              <w:top w:val="nil"/>
              <w:bottom w:val="nil"/>
            </w:tcBorders>
          </w:tcPr>
          <w:p w14:paraId="0D193122"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56C2DF97" w14:textId="49884DB0" w:rsidR="006D1940" w:rsidRPr="00173FD6" w:rsidRDefault="006D1940" w:rsidP="00A31699">
            <w:pPr>
              <w:rPr>
                <w:rFonts w:ascii="Calibri" w:hAnsi="Calibri" w:cs="Calibri"/>
                <w:color w:val="000000" w:themeColor="text1"/>
                <w:sz w:val="22"/>
                <w:szCs w:val="22"/>
                <w:lang w:val="en-US"/>
              </w:rPr>
            </w:pPr>
          </w:p>
        </w:tc>
        <w:tc>
          <w:tcPr>
            <w:tcW w:w="3689" w:type="dxa"/>
          </w:tcPr>
          <w:p w14:paraId="366434A0" w14:textId="63459AA9"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Mangayawan Elementary School</w:t>
            </w:r>
          </w:p>
        </w:tc>
        <w:tc>
          <w:tcPr>
            <w:tcW w:w="1417" w:type="dxa"/>
            <w:noWrap/>
            <w:hideMark/>
          </w:tcPr>
          <w:p w14:paraId="52E80CFB"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2B46E827"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5A44FA61"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842" w:type="dxa"/>
            <w:noWrap/>
            <w:hideMark/>
          </w:tcPr>
          <w:p w14:paraId="23464FC1"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Pr>
          <w:p w14:paraId="1198672B" w14:textId="77777777" w:rsidR="006D1940" w:rsidRPr="00173FD6" w:rsidRDefault="006D1940" w:rsidP="00A31699">
            <w:pPr>
              <w:rPr>
                <w:rFonts w:ascii="Calibri" w:hAnsi="Calibri" w:cs="Calibri"/>
                <w:color w:val="000000" w:themeColor="text1"/>
                <w:sz w:val="22"/>
                <w:szCs w:val="22"/>
                <w:lang w:val="en-US"/>
              </w:rPr>
            </w:pPr>
          </w:p>
        </w:tc>
      </w:tr>
      <w:tr w:rsidR="006D1940" w:rsidRPr="00173FD6" w14:paraId="00125602" w14:textId="77777777" w:rsidTr="00FF4CA3">
        <w:trPr>
          <w:trHeight w:val="300"/>
        </w:trPr>
        <w:tc>
          <w:tcPr>
            <w:tcW w:w="940" w:type="dxa"/>
            <w:tcBorders>
              <w:top w:val="nil"/>
              <w:bottom w:val="nil"/>
            </w:tcBorders>
          </w:tcPr>
          <w:p w14:paraId="47E2520B"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25BD56D3" w14:textId="2CCCCD07" w:rsidR="006D1940" w:rsidRPr="00173FD6" w:rsidRDefault="006D1940" w:rsidP="00A31699">
            <w:pPr>
              <w:rPr>
                <w:rFonts w:ascii="Calibri" w:hAnsi="Calibri" w:cs="Calibri"/>
                <w:color w:val="000000" w:themeColor="text1"/>
                <w:sz w:val="22"/>
                <w:szCs w:val="22"/>
                <w:lang w:val="en-US"/>
              </w:rPr>
            </w:pPr>
          </w:p>
        </w:tc>
        <w:tc>
          <w:tcPr>
            <w:tcW w:w="3689" w:type="dxa"/>
          </w:tcPr>
          <w:p w14:paraId="31E6F48B" w14:textId="004B2276"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Alteza Elementary School</w:t>
            </w:r>
          </w:p>
        </w:tc>
        <w:tc>
          <w:tcPr>
            <w:tcW w:w="1417" w:type="dxa"/>
            <w:noWrap/>
            <w:hideMark/>
          </w:tcPr>
          <w:p w14:paraId="550DAE56"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08E5EC6B"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77AB69CF"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842" w:type="dxa"/>
            <w:noWrap/>
            <w:hideMark/>
          </w:tcPr>
          <w:p w14:paraId="06071919"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Pr>
          <w:p w14:paraId="0F8C59EB" w14:textId="77777777" w:rsidR="006D1940" w:rsidRPr="00173FD6" w:rsidRDefault="006D1940" w:rsidP="00A31699">
            <w:pPr>
              <w:rPr>
                <w:rFonts w:ascii="Calibri" w:hAnsi="Calibri" w:cs="Calibri"/>
                <w:color w:val="000000" w:themeColor="text1"/>
                <w:sz w:val="22"/>
                <w:szCs w:val="22"/>
                <w:lang w:val="en-US"/>
              </w:rPr>
            </w:pPr>
          </w:p>
        </w:tc>
      </w:tr>
      <w:tr w:rsidR="006D1940" w:rsidRPr="00173FD6" w14:paraId="0B0078D8" w14:textId="77777777" w:rsidTr="00FF4CA3">
        <w:trPr>
          <w:trHeight w:val="300"/>
        </w:trPr>
        <w:tc>
          <w:tcPr>
            <w:tcW w:w="940" w:type="dxa"/>
            <w:tcBorders>
              <w:top w:val="nil"/>
              <w:bottom w:val="nil"/>
            </w:tcBorders>
          </w:tcPr>
          <w:p w14:paraId="15EEDC07"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0FF4CC40" w14:textId="02D3E46D" w:rsidR="006D1940" w:rsidRPr="00173FD6" w:rsidRDefault="006D1940" w:rsidP="00A31699">
            <w:pPr>
              <w:rPr>
                <w:rFonts w:ascii="Calibri" w:hAnsi="Calibri" w:cs="Calibri"/>
                <w:color w:val="000000" w:themeColor="text1"/>
                <w:sz w:val="22"/>
                <w:szCs w:val="22"/>
                <w:lang w:val="en-US"/>
              </w:rPr>
            </w:pPr>
          </w:p>
        </w:tc>
        <w:tc>
          <w:tcPr>
            <w:tcW w:w="3689" w:type="dxa"/>
          </w:tcPr>
          <w:p w14:paraId="31CD4125" w14:textId="5D75ACE8"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Tigaon Adventist Elementary School</w:t>
            </w:r>
          </w:p>
        </w:tc>
        <w:tc>
          <w:tcPr>
            <w:tcW w:w="1417" w:type="dxa"/>
            <w:noWrap/>
            <w:hideMark/>
          </w:tcPr>
          <w:p w14:paraId="22CEA117"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701" w:type="dxa"/>
            <w:noWrap/>
            <w:hideMark/>
          </w:tcPr>
          <w:p w14:paraId="6C06AFB7"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579000CE"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4A7BCC75"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Pr>
          <w:p w14:paraId="62E6EB5F" w14:textId="77777777" w:rsidR="006D1940" w:rsidRPr="00173FD6" w:rsidRDefault="006D1940" w:rsidP="00A31699">
            <w:pPr>
              <w:rPr>
                <w:rFonts w:ascii="Calibri" w:hAnsi="Calibri" w:cs="Calibri"/>
                <w:color w:val="000000" w:themeColor="text1"/>
                <w:sz w:val="22"/>
                <w:szCs w:val="22"/>
                <w:lang w:val="en-US"/>
              </w:rPr>
            </w:pPr>
          </w:p>
        </w:tc>
      </w:tr>
      <w:tr w:rsidR="006D1940" w:rsidRPr="00173FD6" w14:paraId="515426EE" w14:textId="77777777" w:rsidTr="00FF4CA3">
        <w:trPr>
          <w:trHeight w:val="300"/>
        </w:trPr>
        <w:tc>
          <w:tcPr>
            <w:tcW w:w="940" w:type="dxa"/>
            <w:tcBorders>
              <w:top w:val="nil"/>
              <w:bottom w:val="nil"/>
            </w:tcBorders>
          </w:tcPr>
          <w:p w14:paraId="78CEA579"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3EA157BD" w14:textId="507D7A6E" w:rsidR="006D1940" w:rsidRPr="00173FD6" w:rsidRDefault="006D1940" w:rsidP="00A31699">
            <w:pPr>
              <w:rPr>
                <w:rFonts w:ascii="Calibri" w:hAnsi="Calibri" w:cs="Calibri"/>
                <w:color w:val="000000" w:themeColor="text1"/>
                <w:sz w:val="22"/>
                <w:szCs w:val="22"/>
                <w:lang w:val="en-US"/>
              </w:rPr>
            </w:pPr>
          </w:p>
        </w:tc>
        <w:tc>
          <w:tcPr>
            <w:tcW w:w="3689" w:type="dxa"/>
          </w:tcPr>
          <w:p w14:paraId="3A389CA2" w14:textId="06772849"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Sub-total</w:t>
            </w:r>
          </w:p>
        </w:tc>
        <w:tc>
          <w:tcPr>
            <w:tcW w:w="1417" w:type="dxa"/>
            <w:noWrap/>
            <w:hideMark/>
          </w:tcPr>
          <w:p w14:paraId="333BC9EB"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701" w:type="dxa"/>
            <w:noWrap/>
            <w:hideMark/>
          </w:tcPr>
          <w:p w14:paraId="17BE0A4D"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0</w:t>
            </w:r>
          </w:p>
        </w:tc>
        <w:tc>
          <w:tcPr>
            <w:tcW w:w="1418" w:type="dxa"/>
            <w:noWrap/>
            <w:hideMark/>
          </w:tcPr>
          <w:p w14:paraId="709DDBD9"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3</w:t>
            </w:r>
          </w:p>
        </w:tc>
        <w:tc>
          <w:tcPr>
            <w:tcW w:w="1842" w:type="dxa"/>
            <w:noWrap/>
            <w:hideMark/>
          </w:tcPr>
          <w:p w14:paraId="730816A7"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3</w:t>
            </w:r>
          </w:p>
        </w:tc>
        <w:tc>
          <w:tcPr>
            <w:tcW w:w="2835" w:type="dxa"/>
          </w:tcPr>
          <w:p w14:paraId="2CE86D2E" w14:textId="69CACC9A" w:rsidR="006D1940" w:rsidRPr="00173FD6" w:rsidRDefault="006D1940" w:rsidP="00A31699">
            <w:pPr>
              <w:rPr>
                <w:rFonts w:ascii="Calibri" w:hAnsi="Calibri" w:cs="Calibri"/>
                <w:color w:val="000000" w:themeColor="text1"/>
                <w:sz w:val="22"/>
                <w:szCs w:val="22"/>
                <w:lang w:val="en-US"/>
              </w:rPr>
            </w:pPr>
            <w:r>
              <w:rPr>
                <w:rFonts w:ascii="Calibri" w:hAnsi="Calibri" w:cs="Calibri"/>
                <w:color w:val="000000" w:themeColor="text1"/>
                <w:sz w:val="22"/>
                <w:szCs w:val="22"/>
                <w:lang w:val="en-US"/>
              </w:rPr>
              <w:t>0</w:t>
            </w:r>
          </w:p>
        </w:tc>
      </w:tr>
      <w:tr w:rsidR="006D1940" w:rsidRPr="00173FD6" w14:paraId="6749D0B9" w14:textId="77777777" w:rsidTr="00FF4CA3">
        <w:trPr>
          <w:trHeight w:val="300"/>
        </w:trPr>
        <w:tc>
          <w:tcPr>
            <w:tcW w:w="940" w:type="dxa"/>
            <w:tcBorders>
              <w:top w:val="nil"/>
              <w:bottom w:val="single" w:sz="4" w:space="0" w:color="auto"/>
            </w:tcBorders>
          </w:tcPr>
          <w:p w14:paraId="1F7B1D84"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single" w:sz="4" w:space="0" w:color="auto"/>
            </w:tcBorders>
          </w:tcPr>
          <w:p w14:paraId="0E030739" w14:textId="290AD431" w:rsidR="006D1940" w:rsidRPr="00173FD6" w:rsidRDefault="006D1940" w:rsidP="00A31699">
            <w:pPr>
              <w:rPr>
                <w:rFonts w:ascii="Calibri" w:hAnsi="Calibri" w:cs="Calibri"/>
                <w:color w:val="000000" w:themeColor="text1"/>
                <w:sz w:val="22"/>
                <w:szCs w:val="22"/>
                <w:lang w:val="en-US"/>
              </w:rPr>
            </w:pPr>
          </w:p>
        </w:tc>
        <w:tc>
          <w:tcPr>
            <w:tcW w:w="3689" w:type="dxa"/>
          </w:tcPr>
          <w:p w14:paraId="25FEADED" w14:textId="24513EE1"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Total REGION V</w:t>
            </w:r>
          </w:p>
        </w:tc>
        <w:tc>
          <w:tcPr>
            <w:tcW w:w="1417" w:type="dxa"/>
            <w:noWrap/>
            <w:hideMark/>
          </w:tcPr>
          <w:p w14:paraId="77D4EFB6" w14:textId="77777777"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3</w:t>
            </w:r>
          </w:p>
        </w:tc>
        <w:tc>
          <w:tcPr>
            <w:tcW w:w="1701" w:type="dxa"/>
            <w:noWrap/>
            <w:hideMark/>
          </w:tcPr>
          <w:p w14:paraId="3EFD00AB" w14:textId="77777777"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9</w:t>
            </w:r>
          </w:p>
        </w:tc>
        <w:tc>
          <w:tcPr>
            <w:tcW w:w="1418" w:type="dxa"/>
            <w:noWrap/>
            <w:hideMark/>
          </w:tcPr>
          <w:p w14:paraId="0B0F7B2A" w14:textId="77777777"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9</w:t>
            </w:r>
          </w:p>
        </w:tc>
        <w:tc>
          <w:tcPr>
            <w:tcW w:w="1842" w:type="dxa"/>
            <w:noWrap/>
            <w:hideMark/>
          </w:tcPr>
          <w:p w14:paraId="6BF4A1F8" w14:textId="77777777"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19</w:t>
            </w:r>
          </w:p>
        </w:tc>
        <w:tc>
          <w:tcPr>
            <w:tcW w:w="2835" w:type="dxa"/>
          </w:tcPr>
          <w:p w14:paraId="73BCAC43" w14:textId="77777777" w:rsidR="006D1940" w:rsidRPr="00173FD6" w:rsidRDefault="006D1940" w:rsidP="00A31699">
            <w:pPr>
              <w:rPr>
                <w:rFonts w:ascii="Calibri" w:hAnsi="Calibri" w:cs="Calibri"/>
                <w:b/>
                <w:bCs/>
                <w:color w:val="000000" w:themeColor="text1"/>
                <w:sz w:val="22"/>
                <w:szCs w:val="22"/>
                <w:lang w:val="en-US"/>
              </w:rPr>
            </w:pPr>
          </w:p>
        </w:tc>
      </w:tr>
      <w:tr w:rsidR="006D1940" w:rsidRPr="00173FD6" w14:paraId="6336886D" w14:textId="77777777" w:rsidTr="00FF4CA3">
        <w:trPr>
          <w:trHeight w:val="600"/>
        </w:trPr>
        <w:tc>
          <w:tcPr>
            <w:tcW w:w="940" w:type="dxa"/>
            <w:tcBorders>
              <w:bottom w:val="nil"/>
            </w:tcBorders>
          </w:tcPr>
          <w:p w14:paraId="76B130C5" w14:textId="1F5D21D5"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b/>
                <w:bCs/>
                <w:color w:val="000000" w:themeColor="text1"/>
                <w:sz w:val="22"/>
                <w:szCs w:val="22"/>
                <w:lang w:val="en-US"/>
              </w:rPr>
              <w:t>REGION VI</w:t>
            </w:r>
          </w:p>
        </w:tc>
        <w:tc>
          <w:tcPr>
            <w:tcW w:w="895" w:type="dxa"/>
            <w:tcBorders>
              <w:bottom w:val="nil"/>
            </w:tcBorders>
          </w:tcPr>
          <w:p w14:paraId="6C6F0872" w14:textId="75AC8682"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BEST Schools</w:t>
            </w:r>
          </w:p>
        </w:tc>
        <w:tc>
          <w:tcPr>
            <w:tcW w:w="3689" w:type="dxa"/>
          </w:tcPr>
          <w:p w14:paraId="3E47860E" w14:textId="5BE606B8"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Tamayoc Elementary School</w:t>
            </w:r>
          </w:p>
        </w:tc>
        <w:tc>
          <w:tcPr>
            <w:tcW w:w="1417" w:type="dxa"/>
            <w:noWrap/>
            <w:hideMark/>
          </w:tcPr>
          <w:p w14:paraId="2173BEBA"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701" w:type="dxa"/>
            <w:noWrap/>
            <w:hideMark/>
          </w:tcPr>
          <w:p w14:paraId="7068A7E1"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79FD596C"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075C79A7"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Pr>
          <w:p w14:paraId="6198AD9D" w14:textId="36651140"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 xml:space="preserve">6 DCP desktop PCs lasted only one year; only laptop is still working; </w:t>
            </w:r>
          </w:p>
        </w:tc>
      </w:tr>
      <w:tr w:rsidR="006D1940" w:rsidRPr="00173FD6" w14:paraId="5A71C823" w14:textId="77777777" w:rsidTr="00FF4CA3">
        <w:trPr>
          <w:trHeight w:val="300"/>
        </w:trPr>
        <w:tc>
          <w:tcPr>
            <w:tcW w:w="940" w:type="dxa"/>
            <w:tcBorders>
              <w:top w:val="nil"/>
              <w:bottom w:val="nil"/>
            </w:tcBorders>
          </w:tcPr>
          <w:p w14:paraId="7E878FC1"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46392A43" w14:textId="0F2AF862" w:rsidR="006D1940" w:rsidRPr="00173FD6" w:rsidRDefault="006D1940" w:rsidP="00A31699">
            <w:pPr>
              <w:rPr>
                <w:rFonts w:ascii="Calibri" w:hAnsi="Calibri" w:cs="Calibri"/>
                <w:color w:val="000000" w:themeColor="text1"/>
                <w:sz w:val="22"/>
                <w:szCs w:val="22"/>
                <w:lang w:val="en-US"/>
              </w:rPr>
            </w:pPr>
          </w:p>
        </w:tc>
        <w:tc>
          <w:tcPr>
            <w:tcW w:w="3689" w:type="dxa"/>
          </w:tcPr>
          <w:p w14:paraId="1081ED8A" w14:textId="77777777" w:rsidR="006D1940" w:rsidRPr="00173FD6" w:rsidRDefault="006D1940" w:rsidP="00A31699">
            <w:pPr>
              <w:rPr>
                <w:rFonts w:ascii="Calibri" w:hAnsi="Calibri" w:cs="Calibri"/>
                <w:b/>
                <w:bCs/>
                <w:color w:val="000000" w:themeColor="text1"/>
                <w:sz w:val="22"/>
                <w:szCs w:val="22"/>
                <w:lang w:val="en-US"/>
              </w:rPr>
            </w:pPr>
          </w:p>
        </w:tc>
        <w:tc>
          <w:tcPr>
            <w:tcW w:w="1417" w:type="dxa"/>
            <w:noWrap/>
            <w:hideMark/>
          </w:tcPr>
          <w:p w14:paraId="68D2206E"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603303CF"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202612F6"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6FB23D62"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Pr>
          <w:p w14:paraId="4219321E" w14:textId="5E53916D"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No</w:t>
            </w:r>
            <w:r w:rsidRPr="00173FD6">
              <w:rPr>
                <w:rFonts w:ascii="Calibri Light" w:hAnsi="Calibri Light" w:cs="Calibri Light"/>
                <w:i/>
                <w:iCs/>
                <w:color w:val="000000" w:themeColor="text1"/>
                <w:sz w:val="20"/>
                <w:szCs w:val="20"/>
                <w:lang w:val="en-US"/>
              </w:rPr>
              <w:t> </w:t>
            </w:r>
            <w:r w:rsidRPr="00173FD6">
              <w:rPr>
                <w:rFonts w:ascii="Calibri Light" w:hAnsi="Calibri Light" w:cs="Calibri Light"/>
                <w:color w:val="000000" w:themeColor="text1"/>
                <w:sz w:val="20"/>
                <w:szCs w:val="20"/>
                <w:lang w:val="en-US"/>
              </w:rPr>
              <w:t>internet connection in school</w:t>
            </w:r>
          </w:p>
        </w:tc>
      </w:tr>
      <w:tr w:rsidR="006D1940" w:rsidRPr="00173FD6" w14:paraId="41DA2232" w14:textId="77777777" w:rsidTr="00FF4CA3">
        <w:trPr>
          <w:trHeight w:val="600"/>
        </w:trPr>
        <w:tc>
          <w:tcPr>
            <w:tcW w:w="940" w:type="dxa"/>
            <w:tcBorders>
              <w:top w:val="nil"/>
              <w:bottom w:val="nil"/>
            </w:tcBorders>
          </w:tcPr>
          <w:p w14:paraId="3DE9DBA7"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0A9D9B0F" w14:textId="16C27AB3" w:rsidR="006D1940" w:rsidRPr="00173FD6" w:rsidRDefault="006D1940" w:rsidP="00A31699">
            <w:pPr>
              <w:rPr>
                <w:rFonts w:ascii="Calibri" w:hAnsi="Calibri" w:cs="Calibri"/>
                <w:color w:val="000000" w:themeColor="text1"/>
                <w:sz w:val="22"/>
                <w:szCs w:val="22"/>
                <w:lang w:val="en-US"/>
              </w:rPr>
            </w:pPr>
          </w:p>
        </w:tc>
        <w:tc>
          <w:tcPr>
            <w:tcW w:w="3689" w:type="dxa"/>
          </w:tcPr>
          <w:p w14:paraId="06AC9DFA" w14:textId="229C978A"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Sebaste Central School</w:t>
            </w:r>
          </w:p>
        </w:tc>
        <w:tc>
          <w:tcPr>
            <w:tcW w:w="1417" w:type="dxa"/>
            <w:noWrap/>
            <w:hideMark/>
          </w:tcPr>
          <w:p w14:paraId="073E05EB"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7175B194"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418" w:type="dxa"/>
            <w:noWrap/>
            <w:hideMark/>
          </w:tcPr>
          <w:p w14:paraId="4B2A7739"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372C944F"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Pr>
          <w:p w14:paraId="71AF638E" w14:textId="46FEDFE2"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 xml:space="preserve">out of 16 DCP desktop PCs, 12 are still working; one DCP laptop is also working; </w:t>
            </w:r>
          </w:p>
        </w:tc>
      </w:tr>
      <w:tr w:rsidR="006D1940" w:rsidRPr="00173FD6" w14:paraId="4C5160FF" w14:textId="77777777" w:rsidTr="00FF4CA3">
        <w:trPr>
          <w:trHeight w:val="300"/>
        </w:trPr>
        <w:tc>
          <w:tcPr>
            <w:tcW w:w="940" w:type="dxa"/>
            <w:tcBorders>
              <w:top w:val="nil"/>
              <w:bottom w:val="nil"/>
            </w:tcBorders>
          </w:tcPr>
          <w:p w14:paraId="415D4C83"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731AEFB3" w14:textId="45BB66A3" w:rsidR="006D1940" w:rsidRPr="00173FD6" w:rsidRDefault="006D1940" w:rsidP="00A31699">
            <w:pPr>
              <w:rPr>
                <w:rFonts w:ascii="Calibri" w:hAnsi="Calibri" w:cs="Calibri"/>
                <w:color w:val="000000" w:themeColor="text1"/>
                <w:sz w:val="22"/>
                <w:szCs w:val="22"/>
                <w:lang w:val="en-US"/>
              </w:rPr>
            </w:pPr>
          </w:p>
        </w:tc>
        <w:tc>
          <w:tcPr>
            <w:tcW w:w="3689" w:type="dxa"/>
          </w:tcPr>
          <w:p w14:paraId="1A61C77D" w14:textId="77777777" w:rsidR="006D1940" w:rsidRPr="00173FD6" w:rsidRDefault="006D1940" w:rsidP="00A31699">
            <w:pPr>
              <w:rPr>
                <w:rFonts w:ascii="Calibri" w:hAnsi="Calibri" w:cs="Calibri"/>
                <w:color w:val="000000" w:themeColor="text1"/>
                <w:sz w:val="22"/>
                <w:szCs w:val="22"/>
                <w:lang w:val="en-US"/>
              </w:rPr>
            </w:pPr>
          </w:p>
        </w:tc>
        <w:tc>
          <w:tcPr>
            <w:tcW w:w="1417" w:type="dxa"/>
            <w:noWrap/>
            <w:hideMark/>
          </w:tcPr>
          <w:p w14:paraId="2663C5C0"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5CA6256C"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6CF695CB"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4ADD8CB9"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Pr>
          <w:p w14:paraId="53A341C9" w14:textId="3ADFC069"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with internet access</w:t>
            </w:r>
          </w:p>
        </w:tc>
      </w:tr>
      <w:tr w:rsidR="006D1940" w:rsidRPr="00173FD6" w14:paraId="29D0A7B9" w14:textId="77777777" w:rsidTr="00FF4CA3">
        <w:trPr>
          <w:trHeight w:val="900"/>
        </w:trPr>
        <w:tc>
          <w:tcPr>
            <w:tcW w:w="940" w:type="dxa"/>
            <w:tcBorders>
              <w:top w:val="nil"/>
              <w:bottom w:val="nil"/>
            </w:tcBorders>
          </w:tcPr>
          <w:p w14:paraId="0FDF7911"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39C7A52C" w14:textId="52011DC2" w:rsidR="006D1940" w:rsidRPr="00173FD6" w:rsidRDefault="006D1940" w:rsidP="00A31699">
            <w:pPr>
              <w:rPr>
                <w:rFonts w:ascii="Calibri" w:hAnsi="Calibri" w:cs="Calibri"/>
                <w:color w:val="000000" w:themeColor="text1"/>
                <w:sz w:val="22"/>
                <w:szCs w:val="22"/>
                <w:lang w:val="en-US"/>
              </w:rPr>
            </w:pPr>
          </w:p>
        </w:tc>
        <w:tc>
          <w:tcPr>
            <w:tcW w:w="3689" w:type="dxa"/>
          </w:tcPr>
          <w:p w14:paraId="0D0AD92D" w14:textId="6C6E42AD"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Nagdayao Elementary School</w:t>
            </w:r>
          </w:p>
        </w:tc>
        <w:tc>
          <w:tcPr>
            <w:tcW w:w="1417" w:type="dxa"/>
            <w:noWrap/>
            <w:hideMark/>
          </w:tcPr>
          <w:p w14:paraId="6AFBFB83"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5FECB392"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418" w:type="dxa"/>
            <w:noWrap/>
            <w:hideMark/>
          </w:tcPr>
          <w:p w14:paraId="16B1BFEF"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3C1CE9C6"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Pr>
          <w:p w14:paraId="77DF2130" w14:textId="34E557C8"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 xml:space="preserve">None of the 6 DCP desktop PCs are working; school now using a computer purchased using MOOE; </w:t>
            </w:r>
          </w:p>
        </w:tc>
      </w:tr>
      <w:tr w:rsidR="006D1940" w:rsidRPr="00173FD6" w14:paraId="4F7C8701" w14:textId="77777777" w:rsidTr="00FF4CA3">
        <w:trPr>
          <w:trHeight w:val="300"/>
        </w:trPr>
        <w:tc>
          <w:tcPr>
            <w:tcW w:w="940" w:type="dxa"/>
            <w:tcBorders>
              <w:top w:val="nil"/>
              <w:bottom w:val="nil"/>
            </w:tcBorders>
          </w:tcPr>
          <w:p w14:paraId="3400BD6D"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551EC1AA" w14:textId="5BDC7852" w:rsidR="006D1940" w:rsidRPr="00173FD6" w:rsidRDefault="006D1940" w:rsidP="00A31699">
            <w:pPr>
              <w:rPr>
                <w:rFonts w:ascii="Calibri" w:hAnsi="Calibri" w:cs="Calibri"/>
                <w:color w:val="000000" w:themeColor="text1"/>
                <w:sz w:val="22"/>
                <w:szCs w:val="22"/>
                <w:lang w:val="en-US"/>
              </w:rPr>
            </w:pPr>
          </w:p>
        </w:tc>
        <w:tc>
          <w:tcPr>
            <w:tcW w:w="3689" w:type="dxa"/>
          </w:tcPr>
          <w:p w14:paraId="4E19B8BF" w14:textId="77777777" w:rsidR="006D1940" w:rsidRPr="00173FD6" w:rsidRDefault="006D1940" w:rsidP="00A31699">
            <w:pPr>
              <w:rPr>
                <w:rFonts w:ascii="Calibri" w:hAnsi="Calibri" w:cs="Calibri"/>
                <w:color w:val="000000" w:themeColor="text1"/>
                <w:sz w:val="22"/>
                <w:szCs w:val="22"/>
                <w:lang w:val="en-US"/>
              </w:rPr>
            </w:pPr>
          </w:p>
        </w:tc>
        <w:tc>
          <w:tcPr>
            <w:tcW w:w="1417" w:type="dxa"/>
            <w:noWrap/>
            <w:hideMark/>
          </w:tcPr>
          <w:p w14:paraId="6B41F3EF"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5C38140E"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6E663D37"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634768E8"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Pr>
          <w:p w14:paraId="3CB91B44" w14:textId="5D65731D"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with internet access</w:t>
            </w:r>
          </w:p>
        </w:tc>
      </w:tr>
      <w:tr w:rsidR="006D1940" w:rsidRPr="00173FD6" w14:paraId="16654D5D" w14:textId="77777777" w:rsidTr="00FF4CA3">
        <w:trPr>
          <w:trHeight w:val="600"/>
        </w:trPr>
        <w:tc>
          <w:tcPr>
            <w:tcW w:w="940" w:type="dxa"/>
            <w:tcBorders>
              <w:top w:val="nil"/>
              <w:bottom w:val="nil"/>
            </w:tcBorders>
          </w:tcPr>
          <w:p w14:paraId="5C1F74FE"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253BB9F3" w14:textId="6DA1329C" w:rsidR="006D1940" w:rsidRPr="00173FD6" w:rsidRDefault="006D1940" w:rsidP="00A31699">
            <w:pPr>
              <w:rPr>
                <w:rFonts w:ascii="Calibri" w:hAnsi="Calibri" w:cs="Calibri"/>
                <w:color w:val="000000" w:themeColor="text1"/>
                <w:sz w:val="22"/>
                <w:szCs w:val="22"/>
                <w:lang w:val="en-US"/>
              </w:rPr>
            </w:pPr>
          </w:p>
        </w:tc>
        <w:tc>
          <w:tcPr>
            <w:tcW w:w="3689" w:type="dxa"/>
          </w:tcPr>
          <w:p w14:paraId="28CBE897" w14:textId="5D00D3DE"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Dangula-an Elementary School</w:t>
            </w:r>
          </w:p>
        </w:tc>
        <w:tc>
          <w:tcPr>
            <w:tcW w:w="1417" w:type="dxa"/>
            <w:noWrap/>
            <w:hideMark/>
          </w:tcPr>
          <w:p w14:paraId="10B71547"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5AB80EAC"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418" w:type="dxa"/>
            <w:noWrap/>
            <w:hideMark/>
          </w:tcPr>
          <w:p w14:paraId="6217BA11"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434A195C"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Pr>
          <w:p w14:paraId="2CF63E3F" w14:textId="17FE091D"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 xml:space="preserve">Out of 7 DCP desktop PCs, only 1 is still working; teachers use their own laptop; </w:t>
            </w:r>
          </w:p>
        </w:tc>
      </w:tr>
      <w:tr w:rsidR="006D1940" w:rsidRPr="00173FD6" w14:paraId="1C4300DB" w14:textId="77777777" w:rsidTr="00FF4CA3">
        <w:trPr>
          <w:trHeight w:val="300"/>
        </w:trPr>
        <w:tc>
          <w:tcPr>
            <w:tcW w:w="940" w:type="dxa"/>
            <w:tcBorders>
              <w:top w:val="nil"/>
              <w:bottom w:val="nil"/>
            </w:tcBorders>
          </w:tcPr>
          <w:p w14:paraId="46CB7807"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72530A2E" w14:textId="6924E0A8" w:rsidR="006D1940" w:rsidRPr="00173FD6" w:rsidRDefault="006D1940" w:rsidP="00A31699">
            <w:pPr>
              <w:rPr>
                <w:rFonts w:ascii="Calibri" w:hAnsi="Calibri" w:cs="Calibri"/>
                <w:color w:val="000000" w:themeColor="text1"/>
                <w:sz w:val="22"/>
                <w:szCs w:val="22"/>
                <w:lang w:val="en-US"/>
              </w:rPr>
            </w:pPr>
          </w:p>
        </w:tc>
        <w:tc>
          <w:tcPr>
            <w:tcW w:w="3689" w:type="dxa"/>
          </w:tcPr>
          <w:p w14:paraId="244D5132" w14:textId="77777777" w:rsidR="006D1940" w:rsidRPr="00173FD6" w:rsidRDefault="006D1940" w:rsidP="00A31699">
            <w:pPr>
              <w:rPr>
                <w:rFonts w:ascii="Calibri" w:hAnsi="Calibri" w:cs="Calibri"/>
                <w:color w:val="000000" w:themeColor="text1"/>
                <w:sz w:val="22"/>
                <w:szCs w:val="22"/>
                <w:lang w:val="en-US"/>
              </w:rPr>
            </w:pPr>
          </w:p>
        </w:tc>
        <w:tc>
          <w:tcPr>
            <w:tcW w:w="1417" w:type="dxa"/>
            <w:noWrap/>
            <w:hideMark/>
          </w:tcPr>
          <w:p w14:paraId="54B5855E"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52CA58AA"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37B852B7"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354A11F8"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Pr>
          <w:p w14:paraId="289117AD" w14:textId="07B04E64"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No</w:t>
            </w:r>
            <w:r w:rsidRPr="00173FD6">
              <w:rPr>
                <w:rFonts w:ascii="Calibri Light" w:hAnsi="Calibri Light" w:cs="Calibri Light"/>
                <w:i/>
                <w:iCs/>
                <w:color w:val="000000" w:themeColor="text1"/>
                <w:sz w:val="20"/>
                <w:szCs w:val="20"/>
                <w:lang w:val="en-US"/>
              </w:rPr>
              <w:t> </w:t>
            </w:r>
            <w:r w:rsidRPr="00173FD6">
              <w:rPr>
                <w:rFonts w:ascii="Calibri Light" w:hAnsi="Calibri Light" w:cs="Calibri Light"/>
                <w:color w:val="000000" w:themeColor="text1"/>
                <w:sz w:val="20"/>
                <w:szCs w:val="20"/>
                <w:lang w:val="en-US"/>
              </w:rPr>
              <w:t>internet connection</w:t>
            </w:r>
          </w:p>
        </w:tc>
      </w:tr>
      <w:tr w:rsidR="006D1940" w:rsidRPr="00173FD6" w14:paraId="2D17D842" w14:textId="77777777" w:rsidTr="00FF4CA3">
        <w:trPr>
          <w:trHeight w:val="600"/>
        </w:trPr>
        <w:tc>
          <w:tcPr>
            <w:tcW w:w="940" w:type="dxa"/>
            <w:tcBorders>
              <w:top w:val="nil"/>
              <w:bottom w:val="nil"/>
            </w:tcBorders>
          </w:tcPr>
          <w:p w14:paraId="6407AB41"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6D852872" w14:textId="51953463" w:rsidR="006D1940" w:rsidRPr="00173FD6" w:rsidRDefault="006D1940" w:rsidP="00A31699">
            <w:pPr>
              <w:rPr>
                <w:rFonts w:ascii="Calibri" w:hAnsi="Calibri" w:cs="Calibri"/>
                <w:color w:val="000000" w:themeColor="text1"/>
                <w:sz w:val="22"/>
                <w:szCs w:val="22"/>
                <w:lang w:val="en-US"/>
              </w:rPr>
            </w:pPr>
          </w:p>
        </w:tc>
        <w:tc>
          <w:tcPr>
            <w:tcW w:w="3689" w:type="dxa"/>
          </w:tcPr>
          <w:p w14:paraId="69B5CB9D" w14:textId="03CCD095"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Quiasan Elementary School</w:t>
            </w:r>
          </w:p>
        </w:tc>
        <w:tc>
          <w:tcPr>
            <w:tcW w:w="1417" w:type="dxa"/>
            <w:noWrap/>
            <w:hideMark/>
          </w:tcPr>
          <w:p w14:paraId="770013DA"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701" w:type="dxa"/>
            <w:noWrap/>
            <w:hideMark/>
          </w:tcPr>
          <w:p w14:paraId="590685CF"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6A483A87"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6FFA2F32"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Pr>
          <w:p w14:paraId="3698E73F" w14:textId="11BC164B"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 xml:space="preserve">Out of 6 DCP desktop PCs, only one is still working; </w:t>
            </w:r>
          </w:p>
        </w:tc>
      </w:tr>
      <w:tr w:rsidR="006D1940" w:rsidRPr="00173FD6" w14:paraId="7AEC0F68" w14:textId="77777777" w:rsidTr="00FF4CA3">
        <w:trPr>
          <w:trHeight w:val="300"/>
        </w:trPr>
        <w:tc>
          <w:tcPr>
            <w:tcW w:w="940" w:type="dxa"/>
            <w:tcBorders>
              <w:top w:val="nil"/>
              <w:bottom w:val="nil"/>
            </w:tcBorders>
          </w:tcPr>
          <w:p w14:paraId="22632E60"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57A017B2" w14:textId="38E41E17" w:rsidR="006D1940" w:rsidRPr="00173FD6" w:rsidRDefault="006D1940" w:rsidP="00A31699">
            <w:pPr>
              <w:rPr>
                <w:rFonts w:ascii="Calibri" w:hAnsi="Calibri" w:cs="Calibri"/>
                <w:color w:val="000000" w:themeColor="text1"/>
                <w:sz w:val="22"/>
                <w:szCs w:val="22"/>
                <w:lang w:val="en-US"/>
              </w:rPr>
            </w:pPr>
          </w:p>
        </w:tc>
        <w:tc>
          <w:tcPr>
            <w:tcW w:w="3689" w:type="dxa"/>
          </w:tcPr>
          <w:p w14:paraId="083FCBF5" w14:textId="77777777" w:rsidR="006D1940" w:rsidRPr="00173FD6" w:rsidRDefault="006D1940" w:rsidP="00A31699">
            <w:pPr>
              <w:rPr>
                <w:rFonts w:ascii="Calibri" w:hAnsi="Calibri" w:cs="Calibri"/>
                <w:b/>
                <w:bCs/>
                <w:color w:val="000000" w:themeColor="text1"/>
                <w:sz w:val="22"/>
                <w:szCs w:val="22"/>
                <w:lang w:val="en-US"/>
              </w:rPr>
            </w:pPr>
          </w:p>
        </w:tc>
        <w:tc>
          <w:tcPr>
            <w:tcW w:w="1417" w:type="dxa"/>
            <w:noWrap/>
            <w:hideMark/>
          </w:tcPr>
          <w:p w14:paraId="0E2EED1C"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394B108E"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0FC6F912"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5F4DE714"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Pr>
          <w:p w14:paraId="5E6455C3" w14:textId="77AFE50E"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with internet access</w:t>
            </w:r>
          </w:p>
        </w:tc>
      </w:tr>
      <w:tr w:rsidR="006D1940" w:rsidRPr="00173FD6" w14:paraId="427C97EF" w14:textId="77777777" w:rsidTr="00FF4CA3">
        <w:trPr>
          <w:trHeight w:val="900"/>
        </w:trPr>
        <w:tc>
          <w:tcPr>
            <w:tcW w:w="940" w:type="dxa"/>
            <w:tcBorders>
              <w:top w:val="nil"/>
              <w:bottom w:val="nil"/>
            </w:tcBorders>
          </w:tcPr>
          <w:p w14:paraId="59B77FB3"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7596726F" w14:textId="10564C3D" w:rsidR="006D1940" w:rsidRPr="00173FD6" w:rsidRDefault="006D1940" w:rsidP="00A31699">
            <w:pPr>
              <w:rPr>
                <w:rFonts w:ascii="Calibri" w:hAnsi="Calibri" w:cs="Calibri"/>
                <w:color w:val="000000" w:themeColor="text1"/>
                <w:sz w:val="22"/>
                <w:szCs w:val="22"/>
                <w:lang w:val="en-US"/>
              </w:rPr>
            </w:pPr>
          </w:p>
        </w:tc>
        <w:tc>
          <w:tcPr>
            <w:tcW w:w="3689" w:type="dxa"/>
            <w:tcBorders>
              <w:bottom w:val="single" w:sz="4" w:space="0" w:color="auto"/>
            </w:tcBorders>
          </w:tcPr>
          <w:p w14:paraId="478BF368" w14:textId="636A8AF1"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Jaycon Elementary School</w:t>
            </w:r>
          </w:p>
        </w:tc>
        <w:tc>
          <w:tcPr>
            <w:tcW w:w="1417" w:type="dxa"/>
            <w:tcBorders>
              <w:bottom w:val="single" w:sz="4" w:space="0" w:color="auto"/>
            </w:tcBorders>
            <w:noWrap/>
            <w:hideMark/>
          </w:tcPr>
          <w:p w14:paraId="0BC7EE66"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tcBorders>
              <w:bottom w:val="single" w:sz="4" w:space="0" w:color="auto"/>
            </w:tcBorders>
            <w:noWrap/>
            <w:hideMark/>
          </w:tcPr>
          <w:p w14:paraId="1011718F"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tcBorders>
              <w:bottom w:val="single" w:sz="4" w:space="0" w:color="auto"/>
            </w:tcBorders>
            <w:noWrap/>
            <w:hideMark/>
          </w:tcPr>
          <w:p w14:paraId="083E3EC3"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842" w:type="dxa"/>
            <w:tcBorders>
              <w:bottom w:val="single" w:sz="4" w:space="0" w:color="auto"/>
            </w:tcBorders>
            <w:noWrap/>
            <w:hideMark/>
          </w:tcPr>
          <w:p w14:paraId="56FA8113"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Borders>
              <w:bottom w:val="single" w:sz="4" w:space="0" w:color="auto"/>
            </w:tcBorders>
          </w:tcPr>
          <w:p w14:paraId="6A7C26BC" w14:textId="31F33190"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 xml:space="preserve">Of the DCP server and 6 workstations, only the server is still working; teachers use their own computer; </w:t>
            </w:r>
          </w:p>
        </w:tc>
      </w:tr>
      <w:tr w:rsidR="006D1940" w:rsidRPr="00173FD6" w14:paraId="39D71F8F" w14:textId="77777777" w:rsidTr="00FF4CA3">
        <w:trPr>
          <w:trHeight w:val="300"/>
        </w:trPr>
        <w:tc>
          <w:tcPr>
            <w:tcW w:w="940" w:type="dxa"/>
            <w:tcBorders>
              <w:top w:val="nil"/>
              <w:bottom w:val="single" w:sz="4" w:space="0" w:color="auto"/>
            </w:tcBorders>
          </w:tcPr>
          <w:p w14:paraId="67AD7DEB"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single" w:sz="4" w:space="0" w:color="auto"/>
            </w:tcBorders>
          </w:tcPr>
          <w:p w14:paraId="07E3E43E" w14:textId="6F714694" w:rsidR="006D1940" w:rsidRPr="00173FD6" w:rsidRDefault="006D1940" w:rsidP="00A31699">
            <w:pPr>
              <w:rPr>
                <w:rFonts w:ascii="Calibri" w:hAnsi="Calibri" w:cs="Calibri"/>
                <w:color w:val="000000" w:themeColor="text1"/>
                <w:sz w:val="22"/>
                <w:szCs w:val="22"/>
                <w:lang w:val="en-US"/>
              </w:rPr>
            </w:pPr>
          </w:p>
        </w:tc>
        <w:tc>
          <w:tcPr>
            <w:tcW w:w="3689" w:type="dxa"/>
            <w:tcBorders>
              <w:bottom w:val="single" w:sz="4" w:space="0" w:color="auto"/>
            </w:tcBorders>
          </w:tcPr>
          <w:p w14:paraId="744C5C90" w14:textId="77777777" w:rsidR="006D1940" w:rsidRPr="00173FD6" w:rsidRDefault="006D1940" w:rsidP="00A31699">
            <w:pPr>
              <w:rPr>
                <w:rFonts w:ascii="Calibri" w:hAnsi="Calibri" w:cs="Calibri"/>
                <w:color w:val="000000" w:themeColor="text1"/>
                <w:sz w:val="22"/>
                <w:szCs w:val="22"/>
                <w:lang w:val="en-US"/>
              </w:rPr>
            </w:pPr>
          </w:p>
        </w:tc>
        <w:tc>
          <w:tcPr>
            <w:tcW w:w="1417" w:type="dxa"/>
            <w:tcBorders>
              <w:bottom w:val="single" w:sz="4" w:space="0" w:color="auto"/>
            </w:tcBorders>
            <w:noWrap/>
            <w:hideMark/>
          </w:tcPr>
          <w:p w14:paraId="4E36E095"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tcBorders>
              <w:bottom w:val="single" w:sz="4" w:space="0" w:color="auto"/>
            </w:tcBorders>
            <w:noWrap/>
            <w:hideMark/>
          </w:tcPr>
          <w:p w14:paraId="2A529EE7"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tcBorders>
              <w:bottom w:val="single" w:sz="4" w:space="0" w:color="auto"/>
            </w:tcBorders>
            <w:noWrap/>
            <w:hideMark/>
          </w:tcPr>
          <w:p w14:paraId="3EA6D78A"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tcBorders>
              <w:bottom w:val="single" w:sz="4" w:space="0" w:color="auto"/>
            </w:tcBorders>
            <w:noWrap/>
            <w:hideMark/>
          </w:tcPr>
          <w:p w14:paraId="21A797E2"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Borders>
              <w:bottom w:val="single" w:sz="4" w:space="0" w:color="auto"/>
            </w:tcBorders>
          </w:tcPr>
          <w:p w14:paraId="1C71454D" w14:textId="5D2EB5A1"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with internet access</w:t>
            </w:r>
          </w:p>
        </w:tc>
      </w:tr>
      <w:tr w:rsidR="006D1940" w:rsidRPr="00173FD6" w14:paraId="3B74CF32" w14:textId="77777777" w:rsidTr="00FF4CA3">
        <w:trPr>
          <w:trHeight w:val="900"/>
        </w:trPr>
        <w:tc>
          <w:tcPr>
            <w:tcW w:w="940" w:type="dxa"/>
            <w:tcBorders>
              <w:top w:val="single" w:sz="4" w:space="0" w:color="auto"/>
              <w:bottom w:val="nil"/>
            </w:tcBorders>
          </w:tcPr>
          <w:p w14:paraId="7E78B19A"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single" w:sz="4" w:space="0" w:color="auto"/>
              <w:bottom w:val="nil"/>
            </w:tcBorders>
          </w:tcPr>
          <w:p w14:paraId="59A7F2C3" w14:textId="5DD639EA" w:rsidR="006D1940" w:rsidRPr="00173FD6" w:rsidRDefault="006D1940" w:rsidP="00A31699">
            <w:pPr>
              <w:rPr>
                <w:rFonts w:ascii="Calibri" w:hAnsi="Calibri" w:cs="Calibri"/>
                <w:color w:val="000000" w:themeColor="text1"/>
                <w:sz w:val="22"/>
                <w:szCs w:val="22"/>
                <w:lang w:val="en-US"/>
              </w:rPr>
            </w:pPr>
          </w:p>
        </w:tc>
        <w:tc>
          <w:tcPr>
            <w:tcW w:w="3689" w:type="dxa"/>
            <w:tcBorders>
              <w:top w:val="single" w:sz="4" w:space="0" w:color="auto"/>
            </w:tcBorders>
          </w:tcPr>
          <w:p w14:paraId="2FBB010A" w14:textId="09611CD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Jorog Elementary School</w:t>
            </w:r>
          </w:p>
        </w:tc>
        <w:tc>
          <w:tcPr>
            <w:tcW w:w="1417" w:type="dxa"/>
            <w:tcBorders>
              <w:top w:val="single" w:sz="4" w:space="0" w:color="auto"/>
            </w:tcBorders>
            <w:noWrap/>
            <w:hideMark/>
          </w:tcPr>
          <w:p w14:paraId="18FA2BDB"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tcBorders>
              <w:top w:val="single" w:sz="4" w:space="0" w:color="auto"/>
            </w:tcBorders>
            <w:noWrap/>
            <w:hideMark/>
          </w:tcPr>
          <w:p w14:paraId="507129F4"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418" w:type="dxa"/>
            <w:tcBorders>
              <w:top w:val="single" w:sz="4" w:space="0" w:color="auto"/>
            </w:tcBorders>
            <w:noWrap/>
            <w:hideMark/>
          </w:tcPr>
          <w:p w14:paraId="206354BA"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tcBorders>
              <w:top w:val="single" w:sz="4" w:space="0" w:color="auto"/>
            </w:tcBorders>
            <w:noWrap/>
            <w:hideMark/>
          </w:tcPr>
          <w:p w14:paraId="1DB62A4E"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Borders>
              <w:top w:val="single" w:sz="4" w:space="0" w:color="auto"/>
            </w:tcBorders>
          </w:tcPr>
          <w:p w14:paraId="6F6E5647" w14:textId="63FACEA8"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One server and 6 workstations not working anymore; teachers use their own computer; internet access is also personal</w:t>
            </w:r>
          </w:p>
        </w:tc>
      </w:tr>
      <w:tr w:rsidR="006D1940" w:rsidRPr="00173FD6" w14:paraId="2691FA38" w14:textId="77777777" w:rsidTr="00FF4CA3">
        <w:trPr>
          <w:trHeight w:val="300"/>
        </w:trPr>
        <w:tc>
          <w:tcPr>
            <w:tcW w:w="940" w:type="dxa"/>
            <w:tcBorders>
              <w:top w:val="nil"/>
              <w:bottom w:val="nil"/>
            </w:tcBorders>
          </w:tcPr>
          <w:p w14:paraId="39EFCA12"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4A8F92E3" w14:textId="04EE02D8" w:rsidR="006D1940" w:rsidRPr="00173FD6" w:rsidRDefault="006D1940" w:rsidP="00A31699">
            <w:pPr>
              <w:rPr>
                <w:rFonts w:ascii="Calibri" w:hAnsi="Calibri" w:cs="Calibri"/>
                <w:color w:val="000000" w:themeColor="text1"/>
                <w:sz w:val="22"/>
                <w:szCs w:val="22"/>
                <w:lang w:val="en-US"/>
              </w:rPr>
            </w:pPr>
          </w:p>
        </w:tc>
        <w:tc>
          <w:tcPr>
            <w:tcW w:w="3689" w:type="dxa"/>
          </w:tcPr>
          <w:p w14:paraId="2D7EC5A5" w14:textId="77777777" w:rsidR="006D1940" w:rsidRPr="00173FD6" w:rsidRDefault="006D1940" w:rsidP="00A31699">
            <w:pPr>
              <w:rPr>
                <w:rFonts w:ascii="Calibri" w:hAnsi="Calibri" w:cs="Calibri"/>
                <w:color w:val="000000" w:themeColor="text1"/>
                <w:sz w:val="22"/>
                <w:szCs w:val="22"/>
                <w:lang w:val="en-US"/>
              </w:rPr>
            </w:pPr>
          </w:p>
        </w:tc>
        <w:tc>
          <w:tcPr>
            <w:tcW w:w="1417" w:type="dxa"/>
            <w:noWrap/>
            <w:hideMark/>
          </w:tcPr>
          <w:p w14:paraId="24FE9085"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54FB0D5D"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3E3C9AD4"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360C7C07"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Pr>
          <w:p w14:paraId="25FE74DE" w14:textId="27D6F5D3"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r>
      <w:tr w:rsidR="006D1940" w:rsidRPr="00173FD6" w14:paraId="16A885CE" w14:textId="77777777" w:rsidTr="00FF4CA3">
        <w:trPr>
          <w:trHeight w:val="600"/>
        </w:trPr>
        <w:tc>
          <w:tcPr>
            <w:tcW w:w="940" w:type="dxa"/>
            <w:tcBorders>
              <w:top w:val="nil"/>
              <w:bottom w:val="nil"/>
            </w:tcBorders>
          </w:tcPr>
          <w:p w14:paraId="69B3251E"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4383A038" w14:textId="6D337241" w:rsidR="006D1940" w:rsidRPr="00173FD6" w:rsidRDefault="006D1940" w:rsidP="00A31699">
            <w:pPr>
              <w:rPr>
                <w:rFonts w:ascii="Calibri" w:hAnsi="Calibri" w:cs="Calibri"/>
                <w:color w:val="000000" w:themeColor="text1"/>
                <w:sz w:val="22"/>
                <w:szCs w:val="22"/>
                <w:lang w:val="en-US"/>
              </w:rPr>
            </w:pPr>
          </w:p>
        </w:tc>
        <w:tc>
          <w:tcPr>
            <w:tcW w:w="3689" w:type="dxa"/>
          </w:tcPr>
          <w:p w14:paraId="4E59D94F" w14:textId="6D9C1D0C"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Agtuman Elementary School</w:t>
            </w:r>
          </w:p>
        </w:tc>
        <w:tc>
          <w:tcPr>
            <w:tcW w:w="1417" w:type="dxa"/>
            <w:noWrap/>
            <w:hideMark/>
          </w:tcPr>
          <w:p w14:paraId="45FD72B1"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2725DBC0"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418" w:type="dxa"/>
            <w:noWrap/>
            <w:hideMark/>
          </w:tcPr>
          <w:p w14:paraId="726C1A5B"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383C0B72"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Pr>
          <w:p w14:paraId="23C3F73B" w14:textId="7CA15D9D"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 xml:space="preserve">Out of seven DCP desktop PCs and one laptop, six PCs and the laptop are still working; </w:t>
            </w:r>
          </w:p>
        </w:tc>
      </w:tr>
      <w:tr w:rsidR="006D1940" w:rsidRPr="00173FD6" w14:paraId="0116E692" w14:textId="77777777" w:rsidTr="00FF4CA3">
        <w:trPr>
          <w:trHeight w:val="300"/>
        </w:trPr>
        <w:tc>
          <w:tcPr>
            <w:tcW w:w="940" w:type="dxa"/>
            <w:tcBorders>
              <w:top w:val="nil"/>
              <w:bottom w:val="nil"/>
            </w:tcBorders>
          </w:tcPr>
          <w:p w14:paraId="0FEAEE40"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2D8B6544" w14:textId="72966D45" w:rsidR="006D1940" w:rsidRPr="00173FD6" w:rsidRDefault="006D1940" w:rsidP="00A31699">
            <w:pPr>
              <w:rPr>
                <w:rFonts w:ascii="Calibri" w:hAnsi="Calibri" w:cs="Calibri"/>
                <w:color w:val="000000" w:themeColor="text1"/>
                <w:sz w:val="22"/>
                <w:szCs w:val="22"/>
                <w:lang w:val="en-US"/>
              </w:rPr>
            </w:pPr>
          </w:p>
        </w:tc>
        <w:tc>
          <w:tcPr>
            <w:tcW w:w="3689" w:type="dxa"/>
          </w:tcPr>
          <w:p w14:paraId="19C4717D" w14:textId="77777777" w:rsidR="006D1940" w:rsidRPr="00173FD6" w:rsidRDefault="006D1940" w:rsidP="00A31699">
            <w:pPr>
              <w:rPr>
                <w:rFonts w:ascii="Calibri" w:hAnsi="Calibri" w:cs="Calibri"/>
                <w:color w:val="000000" w:themeColor="text1"/>
                <w:sz w:val="22"/>
                <w:szCs w:val="22"/>
                <w:lang w:val="en-US"/>
              </w:rPr>
            </w:pPr>
          </w:p>
        </w:tc>
        <w:tc>
          <w:tcPr>
            <w:tcW w:w="1417" w:type="dxa"/>
            <w:noWrap/>
            <w:hideMark/>
          </w:tcPr>
          <w:p w14:paraId="75C0D7F5"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0229CAB8"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185299F0"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33E83C4B"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Pr>
          <w:p w14:paraId="11B65858" w14:textId="5591588E"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no internet access</w:t>
            </w:r>
          </w:p>
        </w:tc>
      </w:tr>
      <w:tr w:rsidR="006D1940" w:rsidRPr="00173FD6" w14:paraId="213079C6" w14:textId="77777777" w:rsidTr="00FF4CA3">
        <w:trPr>
          <w:trHeight w:val="1200"/>
        </w:trPr>
        <w:tc>
          <w:tcPr>
            <w:tcW w:w="940" w:type="dxa"/>
            <w:tcBorders>
              <w:top w:val="nil"/>
              <w:bottom w:val="nil"/>
            </w:tcBorders>
          </w:tcPr>
          <w:p w14:paraId="15F78312"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71B18563" w14:textId="1D4C5F7A" w:rsidR="006D1940" w:rsidRPr="00173FD6" w:rsidRDefault="006D1940" w:rsidP="00A31699">
            <w:pPr>
              <w:rPr>
                <w:rFonts w:ascii="Calibri" w:hAnsi="Calibri" w:cs="Calibri"/>
                <w:color w:val="000000" w:themeColor="text1"/>
                <w:sz w:val="22"/>
                <w:szCs w:val="22"/>
                <w:lang w:val="en-US"/>
              </w:rPr>
            </w:pPr>
          </w:p>
        </w:tc>
        <w:tc>
          <w:tcPr>
            <w:tcW w:w="3689" w:type="dxa"/>
          </w:tcPr>
          <w:p w14:paraId="6857B510" w14:textId="1913575D"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Mandog Elementary School</w:t>
            </w:r>
          </w:p>
        </w:tc>
        <w:tc>
          <w:tcPr>
            <w:tcW w:w="1417" w:type="dxa"/>
            <w:noWrap/>
            <w:hideMark/>
          </w:tcPr>
          <w:p w14:paraId="318DF1BE"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701" w:type="dxa"/>
            <w:noWrap/>
            <w:hideMark/>
          </w:tcPr>
          <w:p w14:paraId="2D7FC69D"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19F33E8B"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23B3153E"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Pr>
          <w:p w14:paraId="480D4587" w14:textId="43FF17A0"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 xml:space="preserve">Out of DCP server and 6 workstations and one laptop, the server and three workstations plus the laptop are still working; but teachers also use their own laptop; </w:t>
            </w:r>
          </w:p>
        </w:tc>
      </w:tr>
      <w:tr w:rsidR="006D1940" w:rsidRPr="00173FD6" w14:paraId="61E82351" w14:textId="77777777" w:rsidTr="00FF4CA3">
        <w:trPr>
          <w:trHeight w:val="300"/>
        </w:trPr>
        <w:tc>
          <w:tcPr>
            <w:tcW w:w="940" w:type="dxa"/>
            <w:tcBorders>
              <w:top w:val="nil"/>
              <w:bottom w:val="nil"/>
            </w:tcBorders>
          </w:tcPr>
          <w:p w14:paraId="7CB6DB59"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6B8429C5" w14:textId="6D33F124" w:rsidR="006D1940" w:rsidRPr="00173FD6" w:rsidRDefault="006D1940" w:rsidP="00A31699">
            <w:pPr>
              <w:rPr>
                <w:rFonts w:ascii="Calibri" w:hAnsi="Calibri" w:cs="Calibri"/>
                <w:color w:val="000000" w:themeColor="text1"/>
                <w:sz w:val="22"/>
                <w:szCs w:val="22"/>
                <w:lang w:val="en-US"/>
              </w:rPr>
            </w:pPr>
          </w:p>
        </w:tc>
        <w:tc>
          <w:tcPr>
            <w:tcW w:w="3689" w:type="dxa"/>
          </w:tcPr>
          <w:p w14:paraId="4B15A35A" w14:textId="77777777" w:rsidR="006D1940" w:rsidRPr="00173FD6" w:rsidRDefault="006D1940" w:rsidP="00A31699">
            <w:pPr>
              <w:rPr>
                <w:rFonts w:ascii="Calibri" w:hAnsi="Calibri" w:cs="Calibri"/>
                <w:b/>
                <w:bCs/>
                <w:color w:val="000000" w:themeColor="text1"/>
                <w:sz w:val="22"/>
                <w:szCs w:val="22"/>
                <w:lang w:val="en-US"/>
              </w:rPr>
            </w:pPr>
          </w:p>
        </w:tc>
        <w:tc>
          <w:tcPr>
            <w:tcW w:w="1417" w:type="dxa"/>
            <w:noWrap/>
            <w:hideMark/>
          </w:tcPr>
          <w:p w14:paraId="74E3848B"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5760AF5F"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3334B87D"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0896593F"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Pr>
          <w:p w14:paraId="32D396D2" w14:textId="5AE3AA10"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no internet access</w:t>
            </w:r>
          </w:p>
        </w:tc>
      </w:tr>
      <w:tr w:rsidR="006D1940" w:rsidRPr="00173FD6" w14:paraId="1BE9CDE4" w14:textId="77777777" w:rsidTr="00FF4CA3">
        <w:trPr>
          <w:trHeight w:val="600"/>
        </w:trPr>
        <w:tc>
          <w:tcPr>
            <w:tcW w:w="940" w:type="dxa"/>
            <w:tcBorders>
              <w:top w:val="nil"/>
              <w:bottom w:val="nil"/>
            </w:tcBorders>
          </w:tcPr>
          <w:p w14:paraId="3F7C5EA9"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298727F1" w14:textId="4171A2B9" w:rsidR="006D1940" w:rsidRPr="00173FD6" w:rsidRDefault="006D1940" w:rsidP="00A31699">
            <w:pPr>
              <w:rPr>
                <w:rFonts w:ascii="Calibri" w:hAnsi="Calibri" w:cs="Calibri"/>
                <w:color w:val="000000" w:themeColor="text1"/>
                <w:sz w:val="22"/>
                <w:szCs w:val="22"/>
                <w:lang w:val="en-US"/>
              </w:rPr>
            </w:pPr>
          </w:p>
        </w:tc>
        <w:tc>
          <w:tcPr>
            <w:tcW w:w="3689" w:type="dxa"/>
          </w:tcPr>
          <w:p w14:paraId="5FB29614" w14:textId="160B43F5"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Gines-Quinolpan Elementary School</w:t>
            </w:r>
          </w:p>
        </w:tc>
        <w:tc>
          <w:tcPr>
            <w:tcW w:w="1417" w:type="dxa"/>
            <w:hideMark/>
          </w:tcPr>
          <w:p w14:paraId="1EE34A42"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hideMark/>
          </w:tcPr>
          <w:p w14:paraId="10A48931"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hideMark/>
          </w:tcPr>
          <w:p w14:paraId="132FCDA8"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842" w:type="dxa"/>
            <w:noWrap/>
            <w:hideMark/>
          </w:tcPr>
          <w:p w14:paraId="2BF169FE"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Pr>
          <w:p w14:paraId="05AC3284" w14:textId="6AFFFF7A"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Of the 6 DCP workstations connected to a server, only three are still working; with internet access</w:t>
            </w:r>
          </w:p>
        </w:tc>
      </w:tr>
      <w:tr w:rsidR="006D1940" w:rsidRPr="00173FD6" w14:paraId="3C93182B" w14:textId="77777777" w:rsidTr="00FF4CA3">
        <w:trPr>
          <w:trHeight w:val="300"/>
        </w:trPr>
        <w:tc>
          <w:tcPr>
            <w:tcW w:w="940" w:type="dxa"/>
            <w:tcBorders>
              <w:top w:val="nil"/>
              <w:bottom w:val="nil"/>
            </w:tcBorders>
          </w:tcPr>
          <w:p w14:paraId="53A7A2A6"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31A64DF3" w14:textId="407495E7" w:rsidR="006D1940" w:rsidRPr="00173FD6" w:rsidRDefault="006D1940" w:rsidP="00A31699">
            <w:pPr>
              <w:rPr>
                <w:rFonts w:ascii="Calibri" w:hAnsi="Calibri" w:cs="Calibri"/>
                <w:color w:val="000000" w:themeColor="text1"/>
                <w:sz w:val="22"/>
                <w:szCs w:val="22"/>
                <w:lang w:val="en-US"/>
              </w:rPr>
            </w:pPr>
          </w:p>
        </w:tc>
        <w:tc>
          <w:tcPr>
            <w:tcW w:w="3689" w:type="dxa"/>
          </w:tcPr>
          <w:p w14:paraId="5A263889" w14:textId="493AD82F"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Malapaya Elementary School</w:t>
            </w:r>
          </w:p>
        </w:tc>
        <w:tc>
          <w:tcPr>
            <w:tcW w:w="1417" w:type="dxa"/>
            <w:noWrap/>
            <w:hideMark/>
          </w:tcPr>
          <w:p w14:paraId="6D8067DD"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701" w:type="dxa"/>
            <w:noWrap/>
            <w:hideMark/>
          </w:tcPr>
          <w:p w14:paraId="721D87E9"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71F3F4F2"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3708D922"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Pr>
          <w:p w14:paraId="58CBA78F" w14:textId="79F8D916"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r>
      <w:tr w:rsidR="006D1940" w:rsidRPr="00173FD6" w14:paraId="01728B3E" w14:textId="77777777" w:rsidTr="00FF4CA3">
        <w:trPr>
          <w:trHeight w:val="300"/>
        </w:trPr>
        <w:tc>
          <w:tcPr>
            <w:tcW w:w="940" w:type="dxa"/>
            <w:tcBorders>
              <w:top w:val="nil"/>
              <w:bottom w:val="nil"/>
            </w:tcBorders>
          </w:tcPr>
          <w:p w14:paraId="6ECD1FC9"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single" w:sz="4" w:space="0" w:color="auto"/>
            </w:tcBorders>
          </w:tcPr>
          <w:p w14:paraId="2DF9A886" w14:textId="1B0A2228" w:rsidR="006D1940" w:rsidRPr="00173FD6" w:rsidRDefault="006D1940" w:rsidP="00A31699">
            <w:pPr>
              <w:rPr>
                <w:rFonts w:ascii="Calibri" w:hAnsi="Calibri" w:cs="Calibri"/>
                <w:color w:val="000000" w:themeColor="text1"/>
                <w:sz w:val="22"/>
                <w:szCs w:val="22"/>
                <w:lang w:val="en-US"/>
              </w:rPr>
            </w:pPr>
          </w:p>
        </w:tc>
        <w:tc>
          <w:tcPr>
            <w:tcW w:w="3689" w:type="dxa"/>
          </w:tcPr>
          <w:p w14:paraId="1FF7470B" w14:textId="7184562B"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Sub-total</w:t>
            </w:r>
          </w:p>
        </w:tc>
        <w:tc>
          <w:tcPr>
            <w:tcW w:w="1417" w:type="dxa"/>
            <w:noWrap/>
            <w:hideMark/>
          </w:tcPr>
          <w:p w14:paraId="68103730"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4</w:t>
            </w:r>
          </w:p>
        </w:tc>
        <w:tc>
          <w:tcPr>
            <w:tcW w:w="1701" w:type="dxa"/>
            <w:noWrap/>
            <w:hideMark/>
          </w:tcPr>
          <w:p w14:paraId="51222166"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5</w:t>
            </w:r>
          </w:p>
        </w:tc>
        <w:tc>
          <w:tcPr>
            <w:tcW w:w="1418" w:type="dxa"/>
            <w:noWrap/>
            <w:hideMark/>
          </w:tcPr>
          <w:p w14:paraId="256834A7"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2</w:t>
            </w:r>
          </w:p>
        </w:tc>
        <w:tc>
          <w:tcPr>
            <w:tcW w:w="1842" w:type="dxa"/>
            <w:noWrap/>
            <w:hideMark/>
          </w:tcPr>
          <w:p w14:paraId="29B8A20B"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4</w:t>
            </w:r>
          </w:p>
        </w:tc>
        <w:tc>
          <w:tcPr>
            <w:tcW w:w="2835" w:type="dxa"/>
          </w:tcPr>
          <w:p w14:paraId="586B651F" w14:textId="5AAD253D"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0</w:t>
            </w:r>
          </w:p>
        </w:tc>
      </w:tr>
      <w:tr w:rsidR="006D1940" w:rsidRPr="00173FD6" w14:paraId="4D0AB1CE" w14:textId="77777777" w:rsidTr="00FF4CA3">
        <w:trPr>
          <w:trHeight w:val="1200"/>
        </w:trPr>
        <w:tc>
          <w:tcPr>
            <w:tcW w:w="940" w:type="dxa"/>
            <w:tcBorders>
              <w:top w:val="nil"/>
              <w:bottom w:val="nil"/>
            </w:tcBorders>
          </w:tcPr>
          <w:p w14:paraId="793AD7AC" w14:textId="77777777" w:rsidR="006D1940" w:rsidRPr="00173FD6" w:rsidRDefault="006D1940" w:rsidP="00A31699">
            <w:pPr>
              <w:rPr>
                <w:rFonts w:ascii="Calibri" w:hAnsi="Calibri" w:cs="Calibri"/>
                <w:color w:val="000000" w:themeColor="text1"/>
                <w:sz w:val="22"/>
                <w:szCs w:val="22"/>
                <w:lang w:val="en-US"/>
              </w:rPr>
            </w:pPr>
          </w:p>
        </w:tc>
        <w:tc>
          <w:tcPr>
            <w:tcW w:w="895" w:type="dxa"/>
            <w:tcBorders>
              <w:bottom w:val="nil"/>
            </w:tcBorders>
          </w:tcPr>
          <w:p w14:paraId="2FC1D8A9" w14:textId="15EE7CEA"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Non-BEST Schools</w:t>
            </w:r>
          </w:p>
        </w:tc>
        <w:tc>
          <w:tcPr>
            <w:tcW w:w="3689" w:type="dxa"/>
          </w:tcPr>
          <w:p w14:paraId="61AB5F79" w14:textId="7CEA9A51"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Iba Elementary School</w:t>
            </w:r>
          </w:p>
        </w:tc>
        <w:tc>
          <w:tcPr>
            <w:tcW w:w="1417" w:type="dxa"/>
            <w:noWrap/>
            <w:hideMark/>
          </w:tcPr>
          <w:p w14:paraId="6681CE09"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701" w:type="dxa"/>
            <w:noWrap/>
            <w:hideMark/>
          </w:tcPr>
          <w:p w14:paraId="1CCA2FA9"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13933645"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1195C0AC"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Pr>
          <w:p w14:paraId="03374B86" w14:textId="3F7A85ED"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 xml:space="preserve">seven DCP desktop PCs and one laptop not working anymore; teachers now use one laptop purchased using MOOE and one laptop donated by Local School Board; </w:t>
            </w:r>
          </w:p>
        </w:tc>
      </w:tr>
      <w:tr w:rsidR="006D1940" w:rsidRPr="00173FD6" w14:paraId="0F9A43C1" w14:textId="77777777" w:rsidTr="00FF4CA3">
        <w:trPr>
          <w:trHeight w:val="300"/>
        </w:trPr>
        <w:tc>
          <w:tcPr>
            <w:tcW w:w="940" w:type="dxa"/>
            <w:tcBorders>
              <w:top w:val="nil"/>
              <w:bottom w:val="nil"/>
            </w:tcBorders>
          </w:tcPr>
          <w:p w14:paraId="0997FF24"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37DA4DA0" w14:textId="0A0C013C" w:rsidR="006D1940" w:rsidRPr="00173FD6" w:rsidRDefault="006D1940" w:rsidP="00A31699">
            <w:pPr>
              <w:rPr>
                <w:rFonts w:ascii="Calibri" w:hAnsi="Calibri" w:cs="Calibri"/>
                <w:color w:val="000000" w:themeColor="text1"/>
                <w:sz w:val="22"/>
                <w:szCs w:val="22"/>
                <w:lang w:val="en-US"/>
              </w:rPr>
            </w:pPr>
          </w:p>
        </w:tc>
        <w:tc>
          <w:tcPr>
            <w:tcW w:w="3689" w:type="dxa"/>
          </w:tcPr>
          <w:p w14:paraId="44C6260B" w14:textId="77777777" w:rsidR="006D1940" w:rsidRPr="00173FD6" w:rsidRDefault="006D1940" w:rsidP="00A31699">
            <w:pPr>
              <w:rPr>
                <w:rFonts w:ascii="Calibri" w:hAnsi="Calibri" w:cs="Calibri"/>
                <w:b/>
                <w:bCs/>
                <w:color w:val="000000" w:themeColor="text1"/>
                <w:sz w:val="22"/>
                <w:szCs w:val="22"/>
                <w:lang w:val="en-US"/>
              </w:rPr>
            </w:pPr>
          </w:p>
        </w:tc>
        <w:tc>
          <w:tcPr>
            <w:tcW w:w="1417" w:type="dxa"/>
            <w:noWrap/>
            <w:hideMark/>
          </w:tcPr>
          <w:p w14:paraId="20B21F8F"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6C71671F"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558DF69D"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423AC3AB"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Pr>
          <w:p w14:paraId="5177D3DD" w14:textId="5A70BD19"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internet access disconnected</w:t>
            </w:r>
          </w:p>
        </w:tc>
      </w:tr>
      <w:tr w:rsidR="006D1940" w:rsidRPr="00173FD6" w14:paraId="5F9FC7EC" w14:textId="77777777" w:rsidTr="00FF4CA3">
        <w:trPr>
          <w:trHeight w:val="600"/>
        </w:trPr>
        <w:tc>
          <w:tcPr>
            <w:tcW w:w="940" w:type="dxa"/>
            <w:tcBorders>
              <w:top w:val="nil"/>
              <w:bottom w:val="nil"/>
            </w:tcBorders>
          </w:tcPr>
          <w:p w14:paraId="640C2F4F"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3710808E" w14:textId="42C6EA02" w:rsidR="006D1940" w:rsidRPr="00173FD6" w:rsidRDefault="006D1940" w:rsidP="00A31699">
            <w:pPr>
              <w:rPr>
                <w:rFonts w:ascii="Calibri" w:hAnsi="Calibri" w:cs="Calibri"/>
                <w:color w:val="000000" w:themeColor="text1"/>
                <w:sz w:val="22"/>
                <w:szCs w:val="22"/>
                <w:lang w:val="en-US"/>
              </w:rPr>
            </w:pPr>
          </w:p>
        </w:tc>
        <w:tc>
          <w:tcPr>
            <w:tcW w:w="3689" w:type="dxa"/>
          </w:tcPr>
          <w:p w14:paraId="06185E6C" w14:textId="4F2F0871"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Durog Elementary School</w:t>
            </w:r>
          </w:p>
        </w:tc>
        <w:tc>
          <w:tcPr>
            <w:tcW w:w="1417" w:type="dxa"/>
            <w:noWrap/>
            <w:hideMark/>
          </w:tcPr>
          <w:p w14:paraId="4E35B601"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701" w:type="dxa"/>
            <w:noWrap/>
            <w:hideMark/>
          </w:tcPr>
          <w:p w14:paraId="7D9430DB"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3923425C"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18B5A68E"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Pr>
          <w:p w14:paraId="6DBA7825" w14:textId="3213466B"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 xml:space="preserve">DCP computers damaged by flood; school now using a computer purchased using MOOE; </w:t>
            </w:r>
          </w:p>
        </w:tc>
      </w:tr>
      <w:tr w:rsidR="006D1940" w:rsidRPr="00173FD6" w14:paraId="387ABA60" w14:textId="77777777" w:rsidTr="00FF4CA3">
        <w:trPr>
          <w:trHeight w:val="300"/>
        </w:trPr>
        <w:tc>
          <w:tcPr>
            <w:tcW w:w="940" w:type="dxa"/>
            <w:tcBorders>
              <w:top w:val="nil"/>
              <w:bottom w:val="nil"/>
            </w:tcBorders>
          </w:tcPr>
          <w:p w14:paraId="79BF7B48"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56210447" w14:textId="2E7280AF" w:rsidR="006D1940" w:rsidRPr="00173FD6" w:rsidRDefault="006D1940" w:rsidP="00A31699">
            <w:pPr>
              <w:rPr>
                <w:rFonts w:ascii="Calibri" w:hAnsi="Calibri" w:cs="Calibri"/>
                <w:color w:val="000000" w:themeColor="text1"/>
                <w:sz w:val="22"/>
                <w:szCs w:val="22"/>
                <w:lang w:val="en-US"/>
              </w:rPr>
            </w:pPr>
          </w:p>
        </w:tc>
        <w:tc>
          <w:tcPr>
            <w:tcW w:w="3689" w:type="dxa"/>
          </w:tcPr>
          <w:p w14:paraId="79F3C598" w14:textId="77777777" w:rsidR="006D1940" w:rsidRPr="00173FD6" w:rsidRDefault="006D1940" w:rsidP="00A31699">
            <w:pPr>
              <w:rPr>
                <w:rFonts w:ascii="Calibri" w:hAnsi="Calibri" w:cs="Calibri"/>
                <w:b/>
                <w:bCs/>
                <w:color w:val="000000" w:themeColor="text1"/>
                <w:sz w:val="22"/>
                <w:szCs w:val="22"/>
                <w:lang w:val="en-US"/>
              </w:rPr>
            </w:pPr>
          </w:p>
        </w:tc>
        <w:tc>
          <w:tcPr>
            <w:tcW w:w="1417" w:type="dxa"/>
            <w:noWrap/>
            <w:hideMark/>
          </w:tcPr>
          <w:p w14:paraId="5B31E6F1"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2475835E"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4B3D827E"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11C3F158"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Pr>
          <w:p w14:paraId="483EC96E" w14:textId="288144A6"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no internet access</w:t>
            </w:r>
          </w:p>
        </w:tc>
      </w:tr>
      <w:tr w:rsidR="006D1940" w:rsidRPr="00173FD6" w14:paraId="07D4DEFB" w14:textId="77777777" w:rsidTr="00FF4CA3">
        <w:trPr>
          <w:trHeight w:val="600"/>
        </w:trPr>
        <w:tc>
          <w:tcPr>
            <w:tcW w:w="940" w:type="dxa"/>
            <w:tcBorders>
              <w:top w:val="nil"/>
              <w:bottom w:val="nil"/>
            </w:tcBorders>
          </w:tcPr>
          <w:p w14:paraId="55FC696B"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25EC8E54" w14:textId="34770B61" w:rsidR="006D1940" w:rsidRPr="00173FD6" w:rsidRDefault="006D1940" w:rsidP="00A31699">
            <w:pPr>
              <w:rPr>
                <w:rFonts w:ascii="Calibri" w:hAnsi="Calibri" w:cs="Calibri"/>
                <w:color w:val="000000" w:themeColor="text1"/>
                <w:sz w:val="22"/>
                <w:szCs w:val="22"/>
                <w:lang w:val="en-US"/>
              </w:rPr>
            </w:pPr>
          </w:p>
        </w:tc>
        <w:tc>
          <w:tcPr>
            <w:tcW w:w="3689" w:type="dxa"/>
          </w:tcPr>
          <w:p w14:paraId="4DD75D5C" w14:textId="5A63A9FF"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Initan Elementary School</w:t>
            </w:r>
          </w:p>
        </w:tc>
        <w:tc>
          <w:tcPr>
            <w:tcW w:w="1417" w:type="dxa"/>
            <w:noWrap/>
            <w:hideMark/>
          </w:tcPr>
          <w:p w14:paraId="6E77CBC5"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04D145AC"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418" w:type="dxa"/>
            <w:noWrap/>
            <w:hideMark/>
          </w:tcPr>
          <w:p w14:paraId="6B6A89C2"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7133D31B"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Pr>
          <w:p w14:paraId="7B806182" w14:textId="02335C9D"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 xml:space="preserve">DCP server with six workstations are not working; teachers use the principal's own laptop; </w:t>
            </w:r>
          </w:p>
        </w:tc>
      </w:tr>
      <w:tr w:rsidR="006D1940" w:rsidRPr="00173FD6" w14:paraId="2C52AD61" w14:textId="77777777" w:rsidTr="00FF4CA3">
        <w:trPr>
          <w:trHeight w:val="300"/>
        </w:trPr>
        <w:tc>
          <w:tcPr>
            <w:tcW w:w="940" w:type="dxa"/>
            <w:tcBorders>
              <w:top w:val="nil"/>
              <w:bottom w:val="nil"/>
            </w:tcBorders>
          </w:tcPr>
          <w:p w14:paraId="14E8DF57"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68CE5A7D" w14:textId="3A6D79DD" w:rsidR="006D1940" w:rsidRPr="00173FD6" w:rsidRDefault="006D1940" w:rsidP="00A31699">
            <w:pPr>
              <w:rPr>
                <w:rFonts w:ascii="Calibri" w:hAnsi="Calibri" w:cs="Calibri"/>
                <w:color w:val="000000" w:themeColor="text1"/>
                <w:sz w:val="22"/>
                <w:szCs w:val="22"/>
                <w:lang w:val="en-US"/>
              </w:rPr>
            </w:pPr>
          </w:p>
        </w:tc>
        <w:tc>
          <w:tcPr>
            <w:tcW w:w="3689" w:type="dxa"/>
          </w:tcPr>
          <w:p w14:paraId="23CEE7B4" w14:textId="77777777" w:rsidR="006D1940" w:rsidRPr="00173FD6" w:rsidRDefault="006D1940" w:rsidP="00A31699">
            <w:pPr>
              <w:rPr>
                <w:rFonts w:ascii="Calibri" w:hAnsi="Calibri" w:cs="Calibri"/>
                <w:color w:val="000000" w:themeColor="text1"/>
                <w:sz w:val="22"/>
                <w:szCs w:val="22"/>
                <w:lang w:val="en-US"/>
              </w:rPr>
            </w:pPr>
          </w:p>
        </w:tc>
        <w:tc>
          <w:tcPr>
            <w:tcW w:w="1417" w:type="dxa"/>
            <w:noWrap/>
            <w:hideMark/>
          </w:tcPr>
          <w:p w14:paraId="554E5C33"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3A33F6F4"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7695D417"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6CF6744F"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Pr>
          <w:p w14:paraId="72570F00" w14:textId="516D88C4"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no internet access</w:t>
            </w:r>
          </w:p>
        </w:tc>
      </w:tr>
      <w:tr w:rsidR="006D1940" w:rsidRPr="00173FD6" w14:paraId="2D5DCE57" w14:textId="77777777" w:rsidTr="00FF4CA3">
        <w:trPr>
          <w:trHeight w:val="900"/>
        </w:trPr>
        <w:tc>
          <w:tcPr>
            <w:tcW w:w="940" w:type="dxa"/>
            <w:tcBorders>
              <w:top w:val="nil"/>
              <w:bottom w:val="single" w:sz="4" w:space="0" w:color="auto"/>
            </w:tcBorders>
          </w:tcPr>
          <w:p w14:paraId="5A4AF9ED"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single" w:sz="4" w:space="0" w:color="auto"/>
            </w:tcBorders>
          </w:tcPr>
          <w:p w14:paraId="3DF48EA8" w14:textId="4A8137EA" w:rsidR="006D1940" w:rsidRPr="00173FD6" w:rsidRDefault="006D1940" w:rsidP="00A31699">
            <w:pPr>
              <w:rPr>
                <w:rFonts w:ascii="Calibri" w:hAnsi="Calibri" w:cs="Calibri"/>
                <w:color w:val="000000" w:themeColor="text1"/>
                <w:sz w:val="22"/>
                <w:szCs w:val="22"/>
                <w:lang w:val="en-US"/>
              </w:rPr>
            </w:pPr>
          </w:p>
        </w:tc>
        <w:tc>
          <w:tcPr>
            <w:tcW w:w="3689" w:type="dxa"/>
            <w:tcBorders>
              <w:bottom w:val="single" w:sz="4" w:space="0" w:color="auto"/>
            </w:tcBorders>
          </w:tcPr>
          <w:p w14:paraId="0C561493" w14:textId="3C7D7866"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Bacjawan Sur Elementary School</w:t>
            </w:r>
          </w:p>
        </w:tc>
        <w:tc>
          <w:tcPr>
            <w:tcW w:w="1417" w:type="dxa"/>
            <w:tcBorders>
              <w:bottom w:val="single" w:sz="4" w:space="0" w:color="auto"/>
            </w:tcBorders>
            <w:noWrap/>
            <w:hideMark/>
          </w:tcPr>
          <w:p w14:paraId="7F1F41CB"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tcBorders>
              <w:bottom w:val="single" w:sz="4" w:space="0" w:color="auto"/>
            </w:tcBorders>
            <w:noWrap/>
            <w:hideMark/>
          </w:tcPr>
          <w:p w14:paraId="6D2C1143"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tcBorders>
              <w:bottom w:val="single" w:sz="4" w:space="0" w:color="auto"/>
            </w:tcBorders>
            <w:noWrap/>
            <w:hideMark/>
          </w:tcPr>
          <w:p w14:paraId="4E9F35BE"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842" w:type="dxa"/>
            <w:tcBorders>
              <w:bottom w:val="single" w:sz="4" w:space="0" w:color="auto"/>
            </w:tcBorders>
            <w:noWrap/>
            <w:hideMark/>
          </w:tcPr>
          <w:p w14:paraId="4CDDA459"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Borders>
              <w:bottom w:val="single" w:sz="4" w:space="0" w:color="auto"/>
            </w:tcBorders>
          </w:tcPr>
          <w:p w14:paraId="0616FDAA" w14:textId="72249AE5"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one DCP-issued PC and one DCP-issued laptop still working; but teachers also use their own computers; weak internet connection</w:t>
            </w:r>
          </w:p>
        </w:tc>
      </w:tr>
      <w:tr w:rsidR="006D1940" w:rsidRPr="00173FD6" w14:paraId="431F4BB2" w14:textId="77777777" w:rsidTr="00FF4CA3">
        <w:trPr>
          <w:trHeight w:val="300"/>
        </w:trPr>
        <w:tc>
          <w:tcPr>
            <w:tcW w:w="940" w:type="dxa"/>
            <w:tcBorders>
              <w:top w:val="single" w:sz="4" w:space="0" w:color="auto"/>
              <w:bottom w:val="nil"/>
            </w:tcBorders>
          </w:tcPr>
          <w:p w14:paraId="4236BFA7"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single" w:sz="4" w:space="0" w:color="auto"/>
              <w:bottom w:val="nil"/>
            </w:tcBorders>
          </w:tcPr>
          <w:p w14:paraId="39930994" w14:textId="15037F49" w:rsidR="006D1940" w:rsidRPr="00173FD6" w:rsidRDefault="006D1940" w:rsidP="00A31699">
            <w:pPr>
              <w:rPr>
                <w:rFonts w:ascii="Calibri" w:hAnsi="Calibri" w:cs="Calibri"/>
                <w:color w:val="000000" w:themeColor="text1"/>
                <w:sz w:val="22"/>
                <w:szCs w:val="22"/>
                <w:lang w:val="en-US"/>
              </w:rPr>
            </w:pPr>
          </w:p>
        </w:tc>
        <w:tc>
          <w:tcPr>
            <w:tcW w:w="3689" w:type="dxa"/>
            <w:tcBorders>
              <w:top w:val="single" w:sz="4" w:space="0" w:color="auto"/>
            </w:tcBorders>
          </w:tcPr>
          <w:p w14:paraId="41AD5156" w14:textId="77777777" w:rsidR="006D1940" w:rsidRPr="00173FD6" w:rsidRDefault="006D1940" w:rsidP="00A31699">
            <w:pPr>
              <w:rPr>
                <w:rFonts w:ascii="Calibri" w:hAnsi="Calibri" w:cs="Calibri"/>
                <w:color w:val="000000" w:themeColor="text1"/>
                <w:sz w:val="22"/>
                <w:szCs w:val="22"/>
                <w:lang w:val="en-US"/>
              </w:rPr>
            </w:pPr>
          </w:p>
        </w:tc>
        <w:tc>
          <w:tcPr>
            <w:tcW w:w="1417" w:type="dxa"/>
            <w:tcBorders>
              <w:top w:val="single" w:sz="4" w:space="0" w:color="auto"/>
            </w:tcBorders>
            <w:noWrap/>
            <w:hideMark/>
          </w:tcPr>
          <w:p w14:paraId="6C8C9203"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tcBorders>
              <w:top w:val="single" w:sz="4" w:space="0" w:color="auto"/>
            </w:tcBorders>
            <w:noWrap/>
            <w:hideMark/>
          </w:tcPr>
          <w:p w14:paraId="67CA6C49"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tcBorders>
              <w:top w:val="single" w:sz="4" w:space="0" w:color="auto"/>
            </w:tcBorders>
            <w:noWrap/>
            <w:hideMark/>
          </w:tcPr>
          <w:p w14:paraId="5BA90C5A"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tcBorders>
              <w:top w:val="single" w:sz="4" w:space="0" w:color="auto"/>
            </w:tcBorders>
            <w:noWrap/>
            <w:hideMark/>
          </w:tcPr>
          <w:p w14:paraId="7F4BBEBE"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Borders>
              <w:top w:val="single" w:sz="4" w:space="0" w:color="auto"/>
            </w:tcBorders>
          </w:tcPr>
          <w:p w14:paraId="2FECCAD4" w14:textId="01573F4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r>
      <w:tr w:rsidR="006D1940" w:rsidRPr="00173FD6" w14:paraId="34FB1050" w14:textId="77777777" w:rsidTr="00FF4CA3">
        <w:trPr>
          <w:trHeight w:val="300"/>
        </w:trPr>
        <w:tc>
          <w:tcPr>
            <w:tcW w:w="940" w:type="dxa"/>
            <w:tcBorders>
              <w:top w:val="nil"/>
              <w:bottom w:val="nil"/>
            </w:tcBorders>
          </w:tcPr>
          <w:p w14:paraId="76EAEBB8"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5ECAFFF9" w14:textId="21ACA2B6" w:rsidR="006D1940" w:rsidRPr="00173FD6" w:rsidRDefault="006D1940" w:rsidP="00A31699">
            <w:pPr>
              <w:rPr>
                <w:rFonts w:ascii="Calibri" w:hAnsi="Calibri" w:cs="Calibri"/>
                <w:color w:val="000000" w:themeColor="text1"/>
                <w:sz w:val="22"/>
                <w:szCs w:val="22"/>
                <w:lang w:val="en-US"/>
              </w:rPr>
            </w:pPr>
          </w:p>
        </w:tc>
        <w:tc>
          <w:tcPr>
            <w:tcW w:w="3689" w:type="dxa"/>
          </w:tcPr>
          <w:p w14:paraId="645CB3A5" w14:textId="3480B5F3"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Sub-total</w:t>
            </w:r>
          </w:p>
        </w:tc>
        <w:tc>
          <w:tcPr>
            <w:tcW w:w="1417" w:type="dxa"/>
            <w:noWrap/>
            <w:hideMark/>
          </w:tcPr>
          <w:p w14:paraId="6D4AF82B"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2</w:t>
            </w:r>
          </w:p>
        </w:tc>
        <w:tc>
          <w:tcPr>
            <w:tcW w:w="1701" w:type="dxa"/>
            <w:noWrap/>
            <w:hideMark/>
          </w:tcPr>
          <w:p w14:paraId="701F7704"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418" w:type="dxa"/>
            <w:noWrap/>
            <w:hideMark/>
          </w:tcPr>
          <w:p w14:paraId="0225B5CA"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842" w:type="dxa"/>
            <w:noWrap/>
            <w:hideMark/>
          </w:tcPr>
          <w:p w14:paraId="7BBBB80F"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3</w:t>
            </w:r>
          </w:p>
        </w:tc>
        <w:tc>
          <w:tcPr>
            <w:tcW w:w="2835" w:type="dxa"/>
          </w:tcPr>
          <w:p w14:paraId="45C3EB4E" w14:textId="0B23327B"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0</w:t>
            </w:r>
          </w:p>
        </w:tc>
      </w:tr>
      <w:tr w:rsidR="006D1940" w:rsidRPr="00173FD6" w14:paraId="7FCE6CA0" w14:textId="77777777" w:rsidTr="00FF4CA3">
        <w:trPr>
          <w:trHeight w:val="300"/>
        </w:trPr>
        <w:tc>
          <w:tcPr>
            <w:tcW w:w="940" w:type="dxa"/>
            <w:tcBorders>
              <w:top w:val="nil"/>
              <w:bottom w:val="single" w:sz="4" w:space="0" w:color="auto"/>
            </w:tcBorders>
          </w:tcPr>
          <w:p w14:paraId="3B49F34B"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single" w:sz="4" w:space="0" w:color="auto"/>
            </w:tcBorders>
          </w:tcPr>
          <w:p w14:paraId="70172644" w14:textId="306C06B4" w:rsidR="006D1940" w:rsidRPr="00173FD6" w:rsidRDefault="006D1940" w:rsidP="00A31699">
            <w:pPr>
              <w:rPr>
                <w:rFonts w:ascii="Calibri" w:hAnsi="Calibri" w:cs="Calibri"/>
                <w:color w:val="000000" w:themeColor="text1"/>
                <w:sz w:val="22"/>
                <w:szCs w:val="22"/>
                <w:lang w:val="en-US"/>
              </w:rPr>
            </w:pPr>
          </w:p>
        </w:tc>
        <w:tc>
          <w:tcPr>
            <w:tcW w:w="3689" w:type="dxa"/>
          </w:tcPr>
          <w:p w14:paraId="1A2D0014" w14:textId="48D0FD66"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Total REGION VI</w:t>
            </w:r>
          </w:p>
        </w:tc>
        <w:tc>
          <w:tcPr>
            <w:tcW w:w="1417" w:type="dxa"/>
            <w:noWrap/>
            <w:hideMark/>
          </w:tcPr>
          <w:p w14:paraId="1A5458E1" w14:textId="77777777"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6</w:t>
            </w:r>
          </w:p>
        </w:tc>
        <w:tc>
          <w:tcPr>
            <w:tcW w:w="1701" w:type="dxa"/>
            <w:noWrap/>
            <w:hideMark/>
          </w:tcPr>
          <w:p w14:paraId="30E270DA" w14:textId="77777777"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6</w:t>
            </w:r>
          </w:p>
        </w:tc>
        <w:tc>
          <w:tcPr>
            <w:tcW w:w="1418" w:type="dxa"/>
            <w:noWrap/>
            <w:hideMark/>
          </w:tcPr>
          <w:p w14:paraId="7A102F1D" w14:textId="77777777"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3</w:t>
            </w:r>
          </w:p>
        </w:tc>
        <w:tc>
          <w:tcPr>
            <w:tcW w:w="1842" w:type="dxa"/>
            <w:noWrap/>
            <w:hideMark/>
          </w:tcPr>
          <w:p w14:paraId="59EC5628" w14:textId="77777777"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7</w:t>
            </w:r>
          </w:p>
        </w:tc>
        <w:tc>
          <w:tcPr>
            <w:tcW w:w="2835" w:type="dxa"/>
          </w:tcPr>
          <w:p w14:paraId="54ADF323" w14:textId="60544830"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 </w:t>
            </w:r>
          </w:p>
        </w:tc>
      </w:tr>
      <w:tr w:rsidR="006D1940" w:rsidRPr="00173FD6" w14:paraId="74532738" w14:textId="77777777" w:rsidTr="00FF4CA3">
        <w:trPr>
          <w:trHeight w:val="300"/>
        </w:trPr>
        <w:tc>
          <w:tcPr>
            <w:tcW w:w="940" w:type="dxa"/>
            <w:tcBorders>
              <w:bottom w:val="nil"/>
            </w:tcBorders>
          </w:tcPr>
          <w:p w14:paraId="4A419262" w14:textId="6AB9DAE3"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b/>
                <w:bCs/>
                <w:color w:val="000000" w:themeColor="text1"/>
                <w:sz w:val="22"/>
                <w:szCs w:val="22"/>
                <w:lang w:val="en-US"/>
              </w:rPr>
              <w:t>REGION VII</w:t>
            </w:r>
          </w:p>
        </w:tc>
        <w:tc>
          <w:tcPr>
            <w:tcW w:w="895" w:type="dxa"/>
            <w:tcBorders>
              <w:bottom w:val="nil"/>
            </w:tcBorders>
          </w:tcPr>
          <w:p w14:paraId="2F0154EF" w14:textId="31C4140A"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BEST Schools</w:t>
            </w:r>
          </w:p>
        </w:tc>
        <w:tc>
          <w:tcPr>
            <w:tcW w:w="3689" w:type="dxa"/>
          </w:tcPr>
          <w:p w14:paraId="5A8E3DA0" w14:textId="14960EE5"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Cagongcagong Elementary School</w:t>
            </w:r>
          </w:p>
        </w:tc>
        <w:tc>
          <w:tcPr>
            <w:tcW w:w="1417" w:type="dxa"/>
            <w:noWrap/>
            <w:hideMark/>
          </w:tcPr>
          <w:p w14:paraId="5FF89E04"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5FD2DD69"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3784FCCE"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842" w:type="dxa"/>
            <w:noWrap/>
            <w:hideMark/>
          </w:tcPr>
          <w:p w14:paraId="03E347C0"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Pr>
          <w:p w14:paraId="7EC05254" w14:textId="1C6244ED"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6 laptops and 1 PC</w:t>
            </w:r>
          </w:p>
        </w:tc>
      </w:tr>
      <w:tr w:rsidR="006D1940" w:rsidRPr="00173FD6" w14:paraId="11F7BA4A" w14:textId="77777777" w:rsidTr="00FF4CA3">
        <w:trPr>
          <w:trHeight w:val="300"/>
        </w:trPr>
        <w:tc>
          <w:tcPr>
            <w:tcW w:w="940" w:type="dxa"/>
            <w:tcBorders>
              <w:top w:val="nil"/>
              <w:bottom w:val="nil"/>
            </w:tcBorders>
          </w:tcPr>
          <w:p w14:paraId="14E50AE0"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7B05FDD2" w14:textId="1B1878F5" w:rsidR="006D1940" w:rsidRPr="00173FD6" w:rsidRDefault="006D1940" w:rsidP="00A31699">
            <w:pPr>
              <w:rPr>
                <w:rFonts w:ascii="Calibri" w:hAnsi="Calibri" w:cs="Calibri"/>
                <w:color w:val="000000" w:themeColor="text1"/>
                <w:sz w:val="22"/>
                <w:szCs w:val="22"/>
                <w:lang w:val="en-US"/>
              </w:rPr>
            </w:pPr>
          </w:p>
        </w:tc>
        <w:tc>
          <w:tcPr>
            <w:tcW w:w="3689" w:type="dxa"/>
          </w:tcPr>
          <w:p w14:paraId="139EB478" w14:textId="77777777" w:rsidR="006D1940" w:rsidRPr="00173FD6" w:rsidRDefault="006D1940" w:rsidP="00A31699">
            <w:pPr>
              <w:rPr>
                <w:rFonts w:ascii="Calibri" w:hAnsi="Calibri" w:cs="Calibri"/>
                <w:color w:val="000000" w:themeColor="text1"/>
                <w:sz w:val="22"/>
                <w:szCs w:val="22"/>
                <w:lang w:val="en-US"/>
              </w:rPr>
            </w:pPr>
          </w:p>
        </w:tc>
        <w:tc>
          <w:tcPr>
            <w:tcW w:w="1417" w:type="dxa"/>
            <w:noWrap/>
            <w:hideMark/>
          </w:tcPr>
          <w:p w14:paraId="634B7D5D"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621534A5"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6291924E"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05A6978D"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Pr>
          <w:p w14:paraId="5712B269" w14:textId="00FAEE0D"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No internet access</w:t>
            </w:r>
          </w:p>
        </w:tc>
      </w:tr>
      <w:tr w:rsidR="006D1940" w:rsidRPr="00173FD6" w14:paraId="0C875023" w14:textId="77777777" w:rsidTr="00FF4CA3">
        <w:trPr>
          <w:trHeight w:val="300"/>
        </w:trPr>
        <w:tc>
          <w:tcPr>
            <w:tcW w:w="940" w:type="dxa"/>
            <w:tcBorders>
              <w:top w:val="nil"/>
              <w:bottom w:val="nil"/>
            </w:tcBorders>
          </w:tcPr>
          <w:p w14:paraId="4E890B71"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4829D30B" w14:textId="695A76B6" w:rsidR="006D1940" w:rsidRPr="00173FD6" w:rsidRDefault="006D1940" w:rsidP="00A31699">
            <w:pPr>
              <w:rPr>
                <w:rFonts w:ascii="Calibri" w:hAnsi="Calibri" w:cs="Calibri"/>
                <w:color w:val="000000" w:themeColor="text1"/>
                <w:sz w:val="22"/>
                <w:szCs w:val="22"/>
                <w:lang w:val="en-US"/>
              </w:rPr>
            </w:pPr>
          </w:p>
        </w:tc>
        <w:tc>
          <w:tcPr>
            <w:tcW w:w="3689" w:type="dxa"/>
          </w:tcPr>
          <w:p w14:paraId="4BA08893" w14:textId="5BC61CB0"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Dimiao Central Elementary School</w:t>
            </w:r>
          </w:p>
        </w:tc>
        <w:tc>
          <w:tcPr>
            <w:tcW w:w="1417" w:type="dxa"/>
            <w:noWrap/>
            <w:hideMark/>
          </w:tcPr>
          <w:p w14:paraId="0B82D798"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35959DA3"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47CD51A1"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842" w:type="dxa"/>
            <w:noWrap/>
            <w:hideMark/>
          </w:tcPr>
          <w:p w14:paraId="2AC1580B"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Pr>
          <w:p w14:paraId="4295CE1F" w14:textId="358B13CF"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7 PCs and one server </w:t>
            </w:r>
          </w:p>
        </w:tc>
      </w:tr>
      <w:tr w:rsidR="006D1940" w:rsidRPr="00173FD6" w14:paraId="417CF1D8" w14:textId="77777777" w:rsidTr="00FF4CA3">
        <w:trPr>
          <w:trHeight w:val="300"/>
        </w:trPr>
        <w:tc>
          <w:tcPr>
            <w:tcW w:w="940" w:type="dxa"/>
            <w:tcBorders>
              <w:top w:val="nil"/>
              <w:bottom w:val="nil"/>
            </w:tcBorders>
          </w:tcPr>
          <w:p w14:paraId="36938515"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75770204" w14:textId="03D8FDF6" w:rsidR="006D1940" w:rsidRPr="00173FD6" w:rsidRDefault="006D1940" w:rsidP="00A31699">
            <w:pPr>
              <w:rPr>
                <w:rFonts w:ascii="Calibri" w:hAnsi="Calibri" w:cs="Calibri"/>
                <w:color w:val="000000" w:themeColor="text1"/>
                <w:sz w:val="22"/>
                <w:szCs w:val="22"/>
                <w:lang w:val="en-US"/>
              </w:rPr>
            </w:pPr>
          </w:p>
        </w:tc>
        <w:tc>
          <w:tcPr>
            <w:tcW w:w="3689" w:type="dxa"/>
          </w:tcPr>
          <w:p w14:paraId="170AF520" w14:textId="77777777" w:rsidR="006D1940" w:rsidRPr="00173FD6" w:rsidRDefault="006D1940" w:rsidP="00A31699">
            <w:pPr>
              <w:rPr>
                <w:rFonts w:ascii="Calibri" w:hAnsi="Calibri" w:cs="Calibri"/>
                <w:color w:val="000000" w:themeColor="text1"/>
                <w:sz w:val="22"/>
                <w:szCs w:val="22"/>
                <w:lang w:val="en-US"/>
              </w:rPr>
            </w:pPr>
          </w:p>
        </w:tc>
        <w:tc>
          <w:tcPr>
            <w:tcW w:w="1417" w:type="dxa"/>
            <w:noWrap/>
            <w:hideMark/>
          </w:tcPr>
          <w:p w14:paraId="06C53FF1"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5832C6FB"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2F08817F"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745CB7B4"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Pr>
          <w:p w14:paraId="278FB1D4" w14:textId="3383B0B0"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1 PC issued by DepED</w:t>
            </w:r>
          </w:p>
        </w:tc>
      </w:tr>
      <w:tr w:rsidR="006D1940" w:rsidRPr="00173FD6" w14:paraId="3BEFD857" w14:textId="77777777" w:rsidTr="00FF4CA3">
        <w:trPr>
          <w:trHeight w:val="300"/>
        </w:trPr>
        <w:tc>
          <w:tcPr>
            <w:tcW w:w="940" w:type="dxa"/>
            <w:tcBorders>
              <w:top w:val="nil"/>
              <w:bottom w:val="nil"/>
            </w:tcBorders>
          </w:tcPr>
          <w:p w14:paraId="4DFEE164"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30A5832F" w14:textId="19FE5B3D" w:rsidR="006D1940" w:rsidRPr="00173FD6" w:rsidRDefault="006D1940" w:rsidP="00A31699">
            <w:pPr>
              <w:rPr>
                <w:rFonts w:ascii="Calibri" w:hAnsi="Calibri" w:cs="Calibri"/>
                <w:color w:val="000000" w:themeColor="text1"/>
                <w:sz w:val="22"/>
                <w:szCs w:val="22"/>
                <w:lang w:val="en-US"/>
              </w:rPr>
            </w:pPr>
          </w:p>
        </w:tc>
        <w:tc>
          <w:tcPr>
            <w:tcW w:w="3689" w:type="dxa"/>
          </w:tcPr>
          <w:p w14:paraId="252402FF" w14:textId="77777777" w:rsidR="006D1940" w:rsidRPr="00173FD6" w:rsidRDefault="006D1940" w:rsidP="00A31699">
            <w:pPr>
              <w:rPr>
                <w:rFonts w:ascii="Calibri" w:hAnsi="Calibri" w:cs="Calibri"/>
                <w:color w:val="000000" w:themeColor="text1"/>
                <w:sz w:val="22"/>
                <w:szCs w:val="22"/>
                <w:lang w:val="en-US"/>
              </w:rPr>
            </w:pPr>
          </w:p>
        </w:tc>
        <w:tc>
          <w:tcPr>
            <w:tcW w:w="1417" w:type="dxa"/>
            <w:noWrap/>
            <w:hideMark/>
          </w:tcPr>
          <w:p w14:paraId="37B5B6EB"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5137252B"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4B99CD9E"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66720EEC"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Pr>
          <w:p w14:paraId="0EF7A5EC" w14:textId="5E1E0FA0"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No internet connectivity </w:t>
            </w:r>
          </w:p>
        </w:tc>
      </w:tr>
      <w:tr w:rsidR="006D1940" w:rsidRPr="00173FD6" w14:paraId="259BC3C2" w14:textId="77777777" w:rsidTr="00FF4CA3">
        <w:trPr>
          <w:trHeight w:val="300"/>
        </w:trPr>
        <w:tc>
          <w:tcPr>
            <w:tcW w:w="940" w:type="dxa"/>
            <w:tcBorders>
              <w:top w:val="nil"/>
              <w:bottom w:val="nil"/>
            </w:tcBorders>
          </w:tcPr>
          <w:p w14:paraId="7A1F4AF0"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4C2308F0" w14:textId="55D22697" w:rsidR="006D1940" w:rsidRPr="00173FD6" w:rsidRDefault="006D1940" w:rsidP="00A31699">
            <w:pPr>
              <w:rPr>
                <w:rFonts w:ascii="Calibri" w:hAnsi="Calibri" w:cs="Calibri"/>
                <w:color w:val="000000" w:themeColor="text1"/>
                <w:sz w:val="22"/>
                <w:szCs w:val="22"/>
                <w:lang w:val="en-US"/>
              </w:rPr>
            </w:pPr>
          </w:p>
        </w:tc>
        <w:tc>
          <w:tcPr>
            <w:tcW w:w="3689" w:type="dxa"/>
          </w:tcPr>
          <w:p w14:paraId="4E425D85" w14:textId="5A47804D"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Canduao Elementary School</w:t>
            </w:r>
          </w:p>
        </w:tc>
        <w:tc>
          <w:tcPr>
            <w:tcW w:w="1417" w:type="dxa"/>
            <w:noWrap/>
            <w:hideMark/>
          </w:tcPr>
          <w:p w14:paraId="44BD9C59"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3923D43B"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2E91BA5E"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842" w:type="dxa"/>
            <w:noWrap/>
            <w:hideMark/>
          </w:tcPr>
          <w:p w14:paraId="27A7874F"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Pr>
          <w:p w14:paraId="4776A8E7" w14:textId="424A561A"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2 laptops </w:t>
            </w:r>
          </w:p>
        </w:tc>
      </w:tr>
      <w:tr w:rsidR="006D1940" w:rsidRPr="00173FD6" w14:paraId="25E031A6" w14:textId="77777777" w:rsidTr="00FF4CA3">
        <w:trPr>
          <w:trHeight w:val="300"/>
        </w:trPr>
        <w:tc>
          <w:tcPr>
            <w:tcW w:w="940" w:type="dxa"/>
            <w:tcBorders>
              <w:top w:val="nil"/>
              <w:bottom w:val="nil"/>
            </w:tcBorders>
          </w:tcPr>
          <w:p w14:paraId="5037833D"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14E54AE1" w14:textId="4F3C1D29" w:rsidR="006D1940" w:rsidRPr="00173FD6" w:rsidRDefault="006D1940" w:rsidP="00A31699">
            <w:pPr>
              <w:rPr>
                <w:rFonts w:ascii="Calibri" w:hAnsi="Calibri" w:cs="Calibri"/>
                <w:color w:val="000000" w:themeColor="text1"/>
                <w:sz w:val="22"/>
                <w:szCs w:val="22"/>
                <w:lang w:val="en-US"/>
              </w:rPr>
            </w:pPr>
          </w:p>
        </w:tc>
        <w:tc>
          <w:tcPr>
            <w:tcW w:w="3689" w:type="dxa"/>
          </w:tcPr>
          <w:p w14:paraId="0766D040" w14:textId="77777777" w:rsidR="006D1940" w:rsidRPr="00173FD6" w:rsidRDefault="006D1940" w:rsidP="00A31699">
            <w:pPr>
              <w:rPr>
                <w:rFonts w:ascii="Calibri" w:hAnsi="Calibri" w:cs="Calibri"/>
                <w:color w:val="000000" w:themeColor="text1"/>
                <w:sz w:val="22"/>
                <w:szCs w:val="22"/>
                <w:lang w:val="en-US"/>
              </w:rPr>
            </w:pPr>
          </w:p>
        </w:tc>
        <w:tc>
          <w:tcPr>
            <w:tcW w:w="1417" w:type="dxa"/>
            <w:noWrap/>
            <w:hideMark/>
          </w:tcPr>
          <w:p w14:paraId="6BFE94EB"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20A3DFB4"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49C9B842"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5AAE9AD6"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Pr>
          <w:p w14:paraId="48AAD0EA" w14:textId="38D5E947"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1 server</w:t>
            </w:r>
          </w:p>
        </w:tc>
      </w:tr>
      <w:tr w:rsidR="006D1940" w:rsidRPr="00173FD6" w14:paraId="69134604" w14:textId="77777777" w:rsidTr="00FF4CA3">
        <w:trPr>
          <w:trHeight w:val="300"/>
        </w:trPr>
        <w:tc>
          <w:tcPr>
            <w:tcW w:w="940" w:type="dxa"/>
            <w:tcBorders>
              <w:top w:val="nil"/>
              <w:bottom w:val="nil"/>
            </w:tcBorders>
          </w:tcPr>
          <w:p w14:paraId="5D1728E9"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032993A7" w14:textId="335EF62F" w:rsidR="006D1940" w:rsidRPr="00173FD6" w:rsidRDefault="006D1940" w:rsidP="00A31699">
            <w:pPr>
              <w:rPr>
                <w:rFonts w:ascii="Calibri" w:hAnsi="Calibri" w:cs="Calibri"/>
                <w:color w:val="000000" w:themeColor="text1"/>
                <w:sz w:val="22"/>
                <w:szCs w:val="22"/>
                <w:lang w:val="en-US"/>
              </w:rPr>
            </w:pPr>
          </w:p>
        </w:tc>
        <w:tc>
          <w:tcPr>
            <w:tcW w:w="3689" w:type="dxa"/>
          </w:tcPr>
          <w:p w14:paraId="405EF45C" w14:textId="77777777" w:rsidR="006D1940" w:rsidRPr="00173FD6" w:rsidRDefault="006D1940" w:rsidP="00A31699">
            <w:pPr>
              <w:rPr>
                <w:rFonts w:ascii="Calibri" w:hAnsi="Calibri" w:cs="Calibri"/>
                <w:color w:val="000000" w:themeColor="text1"/>
                <w:sz w:val="22"/>
                <w:szCs w:val="22"/>
                <w:lang w:val="en-US"/>
              </w:rPr>
            </w:pPr>
          </w:p>
        </w:tc>
        <w:tc>
          <w:tcPr>
            <w:tcW w:w="1417" w:type="dxa"/>
            <w:noWrap/>
            <w:hideMark/>
          </w:tcPr>
          <w:p w14:paraId="789CC400"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31183866"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09387966"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5695F773"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Pr>
          <w:p w14:paraId="5ACBDDC8" w14:textId="01632DBA"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7 PCs not working / damaged </w:t>
            </w:r>
          </w:p>
        </w:tc>
      </w:tr>
      <w:tr w:rsidR="006D1940" w:rsidRPr="00173FD6" w14:paraId="6A77FFDA" w14:textId="77777777" w:rsidTr="00FF4CA3">
        <w:trPr>
          <w:trHeight w:val="300"/>
        </w:trPr>
        <w:tc>
          <w:tcPr>
            <w:tcW w:w="940" w:type="dxa"/>
            <w:tcBorders>
              <w:top w:val="nil"/>
              <w:bottom w:val="nil"/>
            </w:tcBorders>
          </w:tcPr>
          <w:p w14:paraId="427A28B2"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3BD112DB" w14:textId="7A55A3CF" w:rsidR="006D1940" w:rsidRPr="00173FD6" w:rsidRDefault="006D1940" w:rsidP="00A31699">
            <w:pPr>
              <w:rPr>
                <w:rFonts w:ascii="Calibri" w:hAnsi="Calibri" w:cs="Calibri"/>
                <w:color w:val="000000" w:themeColor="text1"/>
                <w:sz w:val="22"/>
                <w:szCs w:val="22"/>
                <w:lang w:val="en-US"/>
              </w:rPr>
            </w:pPr>
          </w:p>
        </w:tc>
        <w:tc>
          <w:tcPr>
            <w:tcW w:w="3689" w:type="dxa"/>
          </w:tcPr>
          <w:p w14:paraId="1D807D9D" w14:textId="77777777" w:rsidR="006D1940" w:rsidRPr="00173FD6" w:rsidRDefault="006D1940" w:rsidP="00A31699">
            <w:pPr>
              <w:rPr>
                <w:rFonts w:ascii="Calibri" w:hAnsi="Calibri" w:cs="Calibri"/>
                <w:color w:val="000000" w:themeColor="text1"/>
                <w:sz w:val="22"/>
                <w:szCs w:val="22"/>
                <w:lang w:val="en-US"/>
              </w:rPr>
            </w:pPr>
          </w:p>
        </w:tc>
        <w:tc>
          <w:tcPr>
            <w:tcW w:w="1417" w:type="dxa"/>
            <w:noWrap/>
            <w:hideMark/>
          </w:tcPr>
          <w:p w14:paraId="4BC56ABB"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6F9C527C"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5B1554FC"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5C6A1DCA"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Pr>
          <w:p w14:paraId="71654209" w14:textId="54DDDF62"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With internet connectivity</w:t>
            </w:r>
          </w:p>
        </w:tc>
      </w:tr>
      <w:tr w:rsidR="006D1940" w:rsidRPr="00173FD6" w14:paraId="70DD763A" w14:textId="77777777" w:rsidTr="00FF4CA3">
        <w:trPr>
          <w:trHeight w:val="300"/>
        </w:trPr>
        <w:tc>
          <w:tcPr>
            <w:tcW w:w="940" w:type="dxa"/>
            <w:tcBorders>
              <w:top w:val="nil"/>
              <w:bottom w:val="nil"/>
            </w:tcBorders>
          </w:tcPr>
          <w:p w14:paraId="2D8FCDBE"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0F1A7364" w14:textId="5B3F7C48" w:rsidR="006D1940" w:rsidRPr="00173FD6" w:rsidRDefault="006D1940" w:rsidP="00A31699">
            <w:pPr>
              <w:rPr>
                <w:rFonts w:ascii="Calibri" w:hAnsi="Calibri" w:cs="Calibri"/>
                <w:color w:val="000000" w:themeColor="text1"/>
                <w:sz w:val="22"/>
                <w:szCs w:val="22"/>
                <w:lang w:val="en-US"/>
              </w:rPr>
            </w:pPr>
          </w:p>
        </w:tc>
        <w:tc>
          <w:tcPr>
            <w:tcW w:w="3689" w:type="dxa"/>
          </w:tcPr>
          <w:p w14:paraId="5BE5B33E" w14:textId="0411E730"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Calidngan Elementary School</w:t>
            </w:r>
          </w:p>
        </w:tc>
        <w:tc>
          <w:tcPr>
            <w:tcW w:w="1417" w:type="dxa"/>
            <w:noWrap/>
            <w:hideMark/>
          </w:tcPr>
          <w:p w14:paraId="192803B4"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2F22E297"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685B784B"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842" w:type="dxa"/>
            <w:noWrap/>
            <w:hideMark/>
          </w:tcPr>
          <w:p w14:paraId="1822D35A"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Pr>
          <w:p w14:paraId="1FD160B3" w14:textId="5ECF8FE3"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3 PCs non-functional </w:t>
            </w:r>
          </w:p>
        </w:tc>
      </w:tr>
      <w:tr w:rsidR="006D1940" w:rsidRPr="00173FD6" w14:paraId="73D5C11C" w14:textId="77777777" w:rsidTr="00FF4CA3">
        <w:trPr>
          <w:trHeight w:val="300"/>
        </w:trPr>
        <w:tc>
          <w:tcPr>
            <w:tcW w:w="940" w:type="dxa"/>
            <w:tcBorders>
              <w:top w:val="nil"/>
              <w:bottom w:val="nil"/>
            </w:tcBorders>
          </w:tcPr>
          <w:p w14:paraId="51409FFC"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7F395785" w14:textId="1C004415" w:rsidR="006D1940" w:rsidRPr="00173FD6" w:rsidRDefault="006D1940" w:rsidP="00A31699">
            <w:pPr>
              <w:rPr>
                <w:rFonts w:ascii="Calibri" w:hAnsi="Calibri" w:cs="Calibri"/>
                <w:color w:val="000000" w:themeColor="text1"/>
                <w:sz w:val="22"/>
                <w:szCs w:val="22"/>
                <w:lang w:val="en-US"/>
              </w:rPr>
            </w:pPr>
          </w:p>
        </w:tc>
        <w:tc>
          <w:tcPr>
            <w:tcW w:w="3689" w:type="dxa"/>
          </w:tcPr>
          <w:p w14:paraId="20A914E8" w14:textId="77777777" w:rsidR="006D1940" w:rsidRPr="00173FD6" w:rsidRDefault="006D1940" w:rsidP="00A31699">
            <w:pPr>
              <w:rPr>
                <w:rFonts w:ascii="Calibri" w:hAnsi="Calibri" w:cs="Calibri"/>
                <w:color w:val="000000" w:themeColor="text1"/>
                <w:sz w:val="22"/>
                <w:szCs w:val="22"/>
                <w:lang w:val="en-US"/>
              </w:rPr>
            </w:pPr>
          </w:p>
        </w:tc>
        <w:tc>
          <w:tcPr>
            <w:tcW w:w="1417" w:type="dxa"/>
            <w:noWrap/>
            <w:hideMark/>
          </w:tcPr>
          <w:p w14:paraId="67242C05"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71B9ACE1"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7B2A379C"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1DA44FE3"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Pr>
          <w:p w14:paraId="1B5CDEED" w14:textId="5BCFE23C"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9 laptops (1 damaged)</w:t>
            </w:r>
          </w:p>
        </w:tc>
      </w:tr>
      <w:tr w:rsidR="006D1940" w:rsidRPr="00173FD6" w14:paraId="3ED7EDF8" w14:textId="77777777" w:rsidTr="00FF4CA3">
        <w:trPr>
          <w:trHeight w:val="300"/>
        </w:trPr>
        <w:tc>
          <w:tcPr>
            <w:tcW w:w="940" w:type="dxa"/>
            <w:tcBorders>
              <w:top w:val="nil"/>
              <w:bottom w:val="nil"/>
            </w:tcBorders>
          </w:tcPr>
          <w:p w14:paraId="2E015FBB"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3600B19E" w14:textId="2B0D083A" w:rsidR="006D1940" w:rsidRPr="00173FD6" w:rsidRDefault="006D1940" w:rsidP="00A31699">
            <w:pPr>
              <w:rPr>
                <w:rFonts w:ascii="Calibri" w:hAnsi="Calibri" w:cs="Calibri"/>
                <w:color w:val="000000" w:themeColor="text1"/>
                <w:sz w:val="22"/>
                <w:szCs w:val="22"/>
                <w:lang w:val="en-US"/>
              </w:rPr>
            </w:pPr>
          </w:p>
        </w:tc>
        <w:tc>
          <w:tcPr>
            <w:tcW w:w="3689" w:type="dxa"/>
          </w:tcPr>
          <w:p w14:paraId="696B9222" w14:textId="77777777" w:rsidR="006D1940" w:rsidRPr="00173FD6" w:rsidRDefault="006D1940" w:rsidP="00A31699">
            <w:pPr>
              <w:rPr>
                <w:rFonts w:ascii="Calibri" w:hAnsi="Calibri" w:cs="Calibri"/>
                <w:color w:val="000000" w:themeColor="text1"/>
                <w:sz w:val="22"/>
                <w:szCs w:val="22"/>
                <w:lang w:val="en-US"/>
              </w:rPr>
            </w:pPr>
          </w:p>
        </w:tc>
        <w:tc>
          <w:tcPr>
            <w:tcW w:w="1417" w:type="dxa"/>
            <w:noWrap/>
            <w:hideMark/>
          </w:tcPr>
          <w:p w14:paraId="209A9535"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655AD371"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686E70F0"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6FEF8DB0"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Pr>
          <w:p w14:paraId="4A37E918" w14:textId="512711C8"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Teachers using their own laptops</w:t>
            </w:r>
          </w:p>
        </w:tc>
      </w:tr>
      <w:tr w:rsidR="006D1940" w:rsidRPr="00173FD6" w14:paraId="32154C98" w14:textId="77777777" w:rsidTr="00FF4CA3">
        <w:trPr>
          <w:trHeight w:val="300"/>
        </w:trPr>
        <w:tc>
          <w:tcPr>
            <w:tcW w:w="940" w:type="dxa"/>
            <w:tcBorders>
              <w:top w:val="nil"/>
              <w:bottom w:val="nil"/>
            </w:tcBorders>
          </w:tcPr>
          <w:p w14:paraId="4D877F75"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354DB897" w14:textId="33B54E3E" w:rsidR="006D1940" w:rsidRPr="00173FD6" w:rsidRDefault="006D1940" w:rsidP="00A31699">
            <w:pPr>
              <w:rPr>
                <w:rFonts w:ascii="Calibri" w:hAnsi="Calibri" w:cs="Calibri"/>
                <w:color w:val="000000" w:themeColor="text1"/>
                <w:sz w:val="22"/>
                <w:szCs w:val="22"/>
                <w:lang w:val="en-US"/>
              </w:rPr>
            </w:pPr>
          </w:p>
        </w:tc>
        <w:tc>
          <w:tcPr>
            <w:tcW w:w="3689" w:type="dxa"/>
          </w:tcPr>
          <w:p w14:paraId="56C49A6A" w14:textId="3DDECE6A"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Perrelos Elementary School</w:t>
            </w:r>
          </w:p>
        </w:tc>
        <w:tc>
          <w:tcPr>
            <w:tcW w:w="1417" w:type="dxa"/>
            <w:noWrap/>
            <w:hideMark/>
          </w:tcPr>
          <w:p w14:paraId="1705E35A"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57EFA0A7"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1EF2FFE9"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842" w:type="dxa"/>
            <w:noWrap/>
            <w:hideMark/>
          </w:tcPr>
          <w:p w14:paraId="6B504DEE"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Pr>
          <w:p w14:paraId="61C01ED9" w14:textId="77777777" w:rsidR="006D1940" w:rsidRPr="00173FD6" w:rsidRDefault="006D1940" w:rsidP="00A31699">
            <w:pPr>
              <w:rPr>
                <w:rFonts w:ascii="Calibri" w:hAnsi="Calibri" w:cs="Calibri"/>
                <w:color w:val="000000" w:themeColor="text1"/>
                <w:sz w:val="22"/>
                <w:szCs w:val="22"/>
                <w:lang w:val="en-US"/>
              </w:rPr>
            </w:pPr>
          </w:p>
        </w:tc>
      </w:tr>
      <w:tr w:rsidR="006D1940" w:rsidRPr="00173FD6" w14:paraId="029D9A2C" w14:textId="77777777" w:rsidTr="00FF4CA3">
        <w:trPr>
          <w:trHeight w:val="300"/>
        </w:trPr>
        <w:tc>
          <w:tcPr>
            <w:tcW w:w="940" w:type="dxa"/>
            <w:tcBorders>
              <w:top w:val="nil"/>
              <w:bottom w:val="nil"/>
            </w:tcBorders>
          </w:tcPr>
          <w:p w14:paraId="6303D4B7"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06E2D37E" w14:textId="48579534" w:rsidR="006D1940" w:rsidRPr="00173FD6" w:rsidRDefault="006D1940" w:rsidP="00A31699">
            <w:pPr>
              <w:rPr>
                <w:rFonts w:ascii="Calibri" w:hAnsi="Calibri" w:cs="Calibri"/>
                <w:color w:val="000000" w:themeColor="text1"/>
                <w:sz w:val="22"/>
                <w:szCs w:val="22"/>
                <w:lang w:val="en-US"/>
              </w:rPr>
            </w:pPr>
          </w:p>
        </w:tc>
        <w:tc>
          <w:tcPr>
            <w:tcW w:w="3689" w:type="dxa"/>
          </w:tcPr>
          <w:p w14:paraId="6CB0B928" w14:textId="27A19845"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Bolinawan Elementary School</w:t>
            </w:r>
          </w:p>
        </w:tc>
        <w:tc>
          <w:tcPr>
            <w:tcW w:w="1417" w:type="dxa"/>
            <w:noWrap/>
            <w:hideMark/>
          </w:tcPr>
          <w:p w14:paraId="60A1824D"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2F10BC9C"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30207115"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842" w:type="dxa"/>
            <w:noWrap/>
            <w:hideMark/>
          </w:tcPr>
          <w:p w14:paraId="679F063F"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Pr>
          <w:p w14:paraId="6FB61D22" w14:textId="77777777" w:rsidR="006D1940" w:rsidRPr="00173FD6" w:rsidRDefault="006D1940" w:rsidP="00A31699">
            <w:pPr>
              <w:rPr>
                <w:rFonts w:ascii="Calibri" w:hAnsi="Calibri" w:cs="Calibri"/>
                <w:color w:val="000000" w:themeColor="text1"/>
                <w:sz w:val="22"/>
                <w:szCs w:val="22"/>
                <w:lang w:val="en-US"/>
              </w:rPr>
            </w:pPr>
          </w:p>
        </w:tc>
      </w:tr>
      <w:tr w:rsidR="006D1940" w:rsidRPr="00173FD6" w14:paraId="4B2E1AEF" w14:textId="77777777" w:rsidTr="00FF4CA3">
        <w:trPr>
          <w:trHeight w:val="300"/>
        </w:trPr>
        <w:tc>
          <w:tcPr>
            <w:tcW w:w="940" w:type="dxa"/>
            <w:tcBorders>
              <w:top w:val="nil"/>
              <w:bottom w:val="nil"/>
            </w:tcBorders>
          </w:tcPr>
          <w:p w14:paraId="457F3B2A"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0E16EC36" w14:textId="0879D8CF" w:rsidR="006D1940" w:rsidRPr="00173FD6" w:rsidRDefault="006D1940" w:rsidP="00A31699">
            <w:pPr>
              <w:rPr>
                <w:rFonts w:ascii="Calibri" w:hAnsi="Calibri" w:cs="Calibri"/>
                <w:color w:val="000000" w:themeColor="text1"/>
                <w:sz w:val="22"/>
                <w:szCs w:val="22"/>
                <w:lang w:val="en-US"/>
              </w:rPr>
            </w:pPr>
          </w:p>
        </w:tc>
        <w:tc>
          <w:tcPr>
            <w:tcW w:w="3689" w:type="dxa"/>
          </w:tcPr>
          <w:p w14:paraId="589E27CE" w14:textId="7D5B47C9"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Tisa II Elementary School</w:t>
            </w:r>
          </w:p>
        </w:tc>
        <w:tc>
          <w:tcPr>
            <w:tcW w:w="1417" w:type="dxa"/>
            <w:noWrap/>
            <w:hideMark/>
          </w:tcPr>
          <w:p w14:paraId="3A8FCB50"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397790F5"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3B00D920"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842" w:type="dxa"/>
            <w:noWrap/>
            <w:hideMark/>
          </w:tcPr>
          <w:p w14:paraId="2A967D76"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Pr>
          <w:p w14:paraId="6305CD69" w14:textId="14B88005"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48 monitors and 2 host servers</w:t>
            </w:r>
          </w:p>
        </w:tc>
      </w:tr>
      <w:tr w:rsidR="006D1940" w:rsidRPr="00173FD6" w14:paraId="7E0C5FFB" w14:textId="77777777" w:rsidTr="00FF4CA3">
        <w:trPr>
          <w:trHeight w:val="300"/>
        </w:trPr>
        <w:tc>
          <w:tcPr>
            <w:tcW w:w="940" w:type="dxa"/>
            <w:tcBorders>
              <w:top w:val="nil"/>
              <w:bottom w:val="nil"/>
            </w:tcBorders>
          </w:tcPr>
          <w:p w14:paraId="4DD66E98"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4F8D3EA5" w14:textId="1803335E" w:rsidR="006D1940" w:rsidRPr="00173FD6" w:rsidRDefault="006D1940" w:rsidP="00A31699">
            <w:pPr>
              <w:rPr>
                <w:rFonts w:ascii="Calibri" w:hAnsi="Calibri" w:cs="Calibri"/>
                <w:color w:val="000000" w:themeColor="text1"/>
                <w:sz w:val="22"/>
                <w:szCs w:val="22"/>
                <w:lang w:val="en-US"/>
              </w:rPr>
            </w:pPr>
          </w:p>
        </w:tc>
        <w:tc>
          <w:tcPr>
            <w:tcW w:w="3689" w:type="dxa"/>
          </w:tcPr>
          <w:p w14:paraId="357892DC" w14:textId="77777777" w:rsidR="006D1940" w:rsidRPr="00173FD6" w:rsidRDefault="006D1940" w:rsidP="00A31699">
            <w:pPr>
              <w:rPr>
                <w:rFonts w:ascii="Calibri" w:hAnsi="Calibri" w:cs="Calibri"/>
                <w:color w:val="000000" w:themeColor="text1"/>
                <w:sz w:val="22"/>
                <w:szCs w:val="22"/>
                <w:lang w:val="en-US"/>
              </w:rPr>
            </w:pPr>
          </w:p>
        </w:tc>
        <w:tc>
          <w:tcPr>
            <w:tcW w:w="1417" w:type="dxa"/>
            <w:noWrap/>
            <w:hideMark/>
          </w:tcPr>
          <w:p w14:paraId="4716B40B"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4D05F717"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78E5192D"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0803BBCD"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Pr>
          <w:p w14:paraId="74A47639" w14:textId="051406ED"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2 PCs in the Guidance and Principal’s office</w:t>
            </w:r>
          </w:p>
        </w:tc>
      </w:tr>
      <w:tr w:rsidR="006D1940" w:rsidRPr="00173FD6" w14:paraId="14A67B18" w14:textId="77777777" w:rsidTr="004B064D">
        <w:trPr>
          <w:trHeight w:val="300"/>
        </w:trPr>
        <w:tc>
          <w:tcPr>
            <w:tcW w:w="940" w:type="dxa"/>
            <w:tcBorders>
              <w:top w:val="nil"/>
              <w:bottom w:val="single" w:sz="4" w:space="0" w:color="auto"/>
            </w:tcBorders>
          </w:tcPr>
          <w:p w14:paraId="260D04EC"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single" w:sz="4" w:space="0" w:color="auto"/>
            </w:tcBorders>
          </w:tcPr>
          <w:p w14:paraId="60E8D379" w14:textId="65771FD4" w:rsidR="006D1940" w:rsidRPr="00173FD6" w:rsidRDefault="006D1940" w:rsidP="00A31699">
            <w:pPr>
              <w:rPr>
                <w:rFonts w:ascii="Calibri" w:hAnsi="Calibri" w:cs="Calibri"/>
                <w:color w:val="000000" w:themeColor="text1"/>
                <w:sz w:val="22"/>
                <w:szCs w:val="22"/>
                <w:lang w:val="en-US"/>
              </w:rPr>
            </w:pPr>
          </w:p>
        </w:tc>
        <w:tc>
          <w:tcPr>
            <w:tcW w:w="3689" w:type="dxa"/>
            <w:tcBorders>
              <w:bottom w:val="single" w:sz="4" w:space="0" w:color="auto"/>
            </w:tcBorders>
          </w:tcPr>
          <w:p w14:paraId="2751D0D3" w14:textId="77777777" w:rsidR="006D1940" w:rsidRPr="00173FD6" w:rsidRDefault="006D1940" w:rsidP="00A31699">
            <w:pPr>
              <w:rPr>
                <w:rFonts w:ascii="Calibri" w:hAnsi="Calibri" w:cs="Calibri"/>
                <w:color w:val="000000" w:themeColor="text1"/>
                <w:sz w:val="22"/>
                <w:szCs w:val="22"/>
                <w:lang w:val="en-US"/>
              </w:rPr>
            </w:pPr>
          </w:p>
        </w:tc>
        <w:tc>
          <w:tcPr>
            <w:tcW w:w="1417" w:type="dxa"/>
            <w:tcBorders>
              <w:bottom w:val="single" w:sz="4" w:space="0" w:color="auto"/>
            </w:tcBorders>
            <w:noWrap/>
            <w:hideMark/>
          </w:tcPr>
          <w:p w14:paraId="6AB73FC1"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tcBorders>
              <w:bottom w:val="single" w:sz="4" w:space="0" w:color="auto"/>
            </w:tcBorders>
            <w:noWrap/>
            <w:hideMark/>
          </w:tcPr>
          <w:p w14:paraId="1315BADD"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tcBorders>
              <w:bottom w:val="single" w:sz="4" w:space="0" w:color="auto"/>
            </w:tcBorders>
            <w:noWrap/>
            <w:hideMark/>
          </w:tcPr>
          <w:p w14:paraId="43AE6B67"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tcBorders>
              <w:bottom w:val="single" w:sz="4" w:space="0" w:color="auto"/>
            </w:tcBorders>
            <w:noWrap/>
            <w:hideMark/>
          </w:tcPr>
          <w:p w14:paraId="155B3453"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Borders>
              <w:bottom w:val="single" w:sz="4" w:space="0" w:color="auto"/>
            </w:tcBorders>
          </w:tcPr>
          <w:p w14:paraId="6F78E5CD" w14:textId="6C5A7408"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1 laptop from DepEd</w:t>
            </w:r>
          </w:p>
        </w:tc>
      </w:tr>
      <w:tr w:rsidR="006D1940" w:rsidRPr="00173FD6" w14:paraId="585CCEF8" w14:textId="77777777" w:rsidTr="004B064D">
        <w:trPr>
          <w:trHeight w:val="300"/>
        </w:trPr>
        <w:tc>
          <w:tcPr>
            <w:tcW w:w="940" w:type="dxa"/>
            <w:tcBorders>
              <w:top w:val="single" w:sz="4" w:space="0" w:color="auto"/>
              <w:bottom w:val="nil"/>
            </w:tcBorders>
          </w:tcPr>
          <w:p w14:paraId="2EA1882F"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single" w:sz="4" w:space="0" w:color="auto"/>
              <w:bottom w:val="nil"/>
            </w:tcBorders>
          </w:tcPr>
          <w:p w14:paraId="664EEA1A" w14:textId="17E45BC6" w:rsidR="006D1940" w:rsidRPr="00173FD6" w:rsidRDefault="006D1940" w:rsidP="00A31699">
            <w:pPr>
              <w:rPr>
                <w:rFonts w:ascii="Calibri" w:hAnsi="Calibri" w:cs="Calibri"/>
                <w:color w:val="000000" w:themeColor="text1"/>
                <w:sz w:val="22"/>
                <w:szCs w:val="22"/>
                <w:lang w:val="en-US"/>
              </w:rPr>
            </w:pPr>
          </w:p>
        </w:tc>
        <w:tc>
          <w:tcPr>
            <w:tcW w:w="3689" w:type="dxa"/>
            <w:tcBorders>
              <w:top w:val="single" w:sz="4" w:space="0" w:color="auto"/>
            </w:tcBorders>
          </w:tcPr>
          <w:p w14:paraId="33389967" w14:textId="77777777" w:rsidR="006D1940" w:rsidRPr="00173FD6" w:rsidRDefault="006D1940" w:rsidP="00A31699">
            <w:pPr>
              <w:rPr>
                <w:rFonts w:ascii="Calibri" w:hAnsi="Calibri" w:cs="Calibri"/>
                <w:color w:val="000000" w:themeColor="text1"/>
                <w:sz w:val="22"/>
                <w:szCs w:val="22"/>
                <w:lang w:val="en-US"/>
              </w:rPr>
            </w:pPr>
          </w:p>
        </w:tc>
        <w:tc>
          <w:tcPr>
            <w:tcW w:w="1417" w:type="dxa"/>
            <w:tcBorders>
              <w:top w:val="single" w:sz="4" w:space="0" w:color="auto"/>
            </w:tcBorders>
            <w:noWrap/>
            <w:hideMark/>
          </w:tcPr>
          <w:p w14:paraId="3CC66F8F"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tcBorders>
              <w:top w:val="single" w:sz="4" w:space="0" w:color="auto"/>
            </w:tcBorders>
            <w:noWrap/>
            <w:hideMark/>
          </w:tcPr>
          <w:p w14:paraId="23B29971"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tcBorders>
              <w:top w:val="single" w:sz="4" w:space="0" w:color="auto"/>
            </w:tcBorders>
            <w:noWrap/>
            <w:hideMark/>
          </w:tcPr>
          <w:p w14:paraId="15B54B63"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tcBorders>
              <w:top w:val="single" w:sz="4" w:space="0" w:color="auto"/>
            </w:tcBorders>
            <w:noWrap/>
            <w:hideMark/>
          </w:tcPr>
          <w:p w14:paraId="6719C571"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Borders>
              <w:top w:val="single" w:sz="4" w:space="0" w:color="auto"/>
            </w:tcBorders>
          </w:tcPr>
          <w:p w14:paraId="7C3F70FE" w14:textId="6522511D"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With internet connectivity</w:t>
            </w:r>
          </w:p>
        </w:tc>
      </w:tr>
      <w:tr w:rsidR="006D1940" w:rsidRPr="00173FD6" w14:paraId="06B6E19B" w14:textId="77777777" w:rsidTr="00FF4CA3">
        <w:trPr>
          <w:trHeight w:val="300"/>
        </w:trPr>
        <w:tc>
          <w:tcPr>
            <w:tcW w:w="940" w:type="dxa"/>
            <w:tcBorders>
              <w:top w:val="nil"/>
              <w:bottom w:val="nil"/>
            </w:tcBorders>
          </w:tcPr>
          <w:p w14:paraId="4EACB08A"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685CB768" w14:textId="2BD96962" w:rsidR="006D1940" w:rsidRPr="00173FD6" w:rsidRDefault="006D1940" w:rsidP="00A31699">
            <w:pPr>
              <w:rPr>
                <w:rFonts w:ascii="Calibri" w:hAnsi="Calibri" w:cs="Calibri"/>
                <w:color w:val="000000" w:themeColor="text1"/>
                <w:sz w:val="22"/>
                <w:szCs w:val="22"/>
                <w:lang w:val="en-US"/>
              </w:rPr>
            </w:pPr>
          </w:p>
        </w:tc>
        <w:tc>
          <w:tcPr>
            <w:tcW w:w="3689" w:type="dxa"/>
          </w:tcPr>
          <w:p w14:paraId="2A590B4A" w14:textId="31DDD71E"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Cepoc Central Elementary School</w:t>
            </w:r>
          </w:p>
        </w:tc>
        <w:tc>
          <w:tcPr>
            <w:tcW w:w="1417" w:type="dxa"/>
            <w:noWrap/>
            <w:hideMark/>
          </w:tcPr>
          <w:p w14:paraId="23AD44FA"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493BEE1B"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1B2A5FFF"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842" w:type="dxa"/>
            <w:noWrap/>
            <w:hideMark/>
          </w:tcPr>
          <w:p w14:paraId="43B1797A"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Pr>
          <w:p w14:paraId="790E7DBE" w14:textId="708EA943"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r>
      <w:tr w:rsidR="006D1940" w:rsidRPr="00173FD6" w14:paraId="6BC5DBCC" w14:textId="77777777" w:rsidTr="00FF4CA3">
        <w:trPr>
          <w:trHeight w:val="320"/>
        </w:trPr>
        <w:tc>
          <w:tcPr>
            <w:tcW w:w="940" w:type="dxa"/>
            <w:tcBorders>
              <w:top w:val="nil"/>
              <w:bottom w:val="nil"/>
            </w:tcBorders>
          </w:tcPr>
          <w:p w14:paraId="2DB5BE4A"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33F32452" w14:textId="3750B17C" w:rsidR="006D1940" w:rsidRPr="00173FD6" w:rsidRDefault="006D1940" w:rsidP="00A31699">
            <w:pPr>
              <w:rPr>
                <w:rFonts w:ascii="Calibri" w:hAnsi="Calibri" w:cs="Calibri"/>
                <w:color w:val="000000" w:themeColor="text1"/>
                <w:sz w:val="22"/>
                <w:szCs w:val="22"/>
                <w:lang w:val="en-US"/>
              </w:rPr>
            </w:pPr>
          </w:p>
        </w:tc>
        <w:tc>
          <w:tcPr>
            <w:tcW w:w="3689" w:type="dxa"/>
          </w:tcPr>
          <w:p w14:paraId="5EFC1CC1" w14:textId="26925F5C"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Inoburan Elementary School</w:t>
            </w:r>
          </w:p>
        </w:tc>
        <w:tc>
          <w:tcPr>
            <w:tcW w:w="1417" w:type="dxa"/>
            <w:hideMark/>
          </w:tcPr>
          <w:p w14:paraId="113F19A4"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hideMark/>
          </w:tcPr>
          <w:p w14:paraId="3CC767F8"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418" w:type="dxa"/>
            <w:hideMark/>
          </w:tcPr>
          <w:p w14:paraId="48EC6232"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2F7FEE7C"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Pr>
          <w:p w14:paraId="7CA9CEC7" w14:textId="2C00667A"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r>
      <w:tr w:rsidR="006D1940" w:rsidRPr="00173FD6" w14:paraId="38C515CA" w14:textId="77777777" w:rsidTr="00FF4CA3">
        <w:trPr>
          <w:trHeight w:val="600"/>
        </w:trPr>
        <w:tc>
          <w:tcPr>
            <w:tcW w:w="940" w:type="dxa"/>
            <w:tcBorders>
              <w:top w:val="nil"/>
              <w:bottom w:val="single" w:sz="4" w:space="0" w:color="auto"/>
            </w:tcBorders>
          </w:tcPr>
          <w:p w14:paraId="0ECA2215"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single" w:sz="4" w:space="0" w:color="auto"/>
            </w:tcBorders>
          </w:tcPr>
          <w:p w14:paraId="5687B53F" w14:textId="5D9741F4" w:rsidR="006D1940" w:rsidRPr="00173FD6" w:rsidRDefault="006D1940" w:rsidP="00A31699">
            <w:pPr>
              <w:rPr>
                <w:rFonts w:ascii="Calibri" w:hAnsi="Calibri" w:cs="Calibri"/>
                <w:color w:val="000000" w:themeColor="text1"/>
                <w:sz w:val="22"/>
                <w:szCs w:val="22"/>
                <w:lang w:val="en-US"/>
              </w:rPr>
            </w:pPr>
          </w:p>
        </w:tc>
        <w:tc>
          <w:tcPr>
            <w:tcW w:w="3689" w:type="dxa"/>
          </w:tcPr>
          <w:p w14:paraId="3F4EF096" w14:textId="58610E82"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Lawaan Elementary School</w:t>
            </w:r>
          </w:p>
        </w:tc>
        <w:tc>
          <w:tcPr>
            <w:tcW w:w="1417" w:type="dxa"/>
            <w:noWrap/>
            <w:hideMark/>
          </w:tcPr>
          <w:p w14:paraId="1FEE9CFB"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701" w:type="dxa"/>
            <w:noWrap/>
            <w:hideMark/>
          </w:tcPr>
          <w:p w14:paraId="2008FE4F"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1410EE39"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688FCC28"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Pr>
          <w:p w14:paraId="4605F116" w14:textId="266828F8"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7 PCs but the server is damaged and non-functional</w:t>
            </w:r>
          </w:p>
        </w:tc>
      </w:tr>
      <w:tr w:rsidR="006D1940" w:rsidRPr="00173FD6" w14:paraId="7B5D0D78" w14:textId="77777777" w:rsidTr="00FF4CA3">
        <w:trPr>
          <w:trHeight w:val="300"/>
        </w:trPr>
        <w:tc>
          <w:tcPr>
            <w:tcW w:w="940" w:type="dxa"/>
            <w:tcBorders>
              <w:bottom w:val="nil"/>
            </w:tcBorders>
          </w:tcPr>
          <w:p w14:paraId="62318F1C" w14:textId="77777777" w:rsidR="006D1940" w:rsidRPr="00173FD6" w:rsidRDefault="006D1940" w:rsidP="00A31699">
            <w:pPr>
              <w:rPr>
                <w:rFonts w:ascii="Calibri" w:hAnsi="Calibri" w:cs="Calibri"/>
                <w:color w:val="000000" w:themeColor="text1"/>
                <w:sz w:val="22"/>
                <w:szCs w:val="22"/>
                <w:lang w:val="en-US"/>
              </w:rPr>
            </w:pPr>
          </w:p>
        </w:tc>
        <w:tc>
          <w:tcPr>
            <w:tcW w:w="895" w:type="dxa"/>
            <w:tcBorders>
              <w:bottom w:val="nil"/>
            </w:tcBorders>
          </w:tcPr>
          <w:p w14:paraId="3292418A" w14:textId="772BB0FB" w:rsidR="006D1940" w:rsidRPr="00173FD6" w:rsidRDefault="006D1940" w:rsidP="00A31699">
            <w:pPr>
              <w:rPr>
                <w:rFonts w:ascii="Calibri" w:hAnsi="Calibri" w:cs="Calibri"/>
                <w:color w:val="000000" w:themeColor="text1"/>
                <w:sz w:val="22"/>
                <w:szCs w:val="22"/>
                <w:lang w:val="en-US"/>
              </w:rPr>
            </w:pPr>
          </w:p>
        </w:tc>
        <w:tc>
          <w:tcPr>
            <w:tcW w:w="3689" w:type="dxa"/>
          </w:tcPr>
          <w:p w14:paraId="42A8C76C" w14:textId="77777777" w:rsidR="006D1940" w:rsidRPr="00173FD6" w:rsidRDefault="006D1940" w:rsidP="00A31699">
            <w:pPr>
              <w:rPr>
                <w:rFonts w:ascii="Calibri" w:hAnsi="Calibri" w:cs="Calibri"/>
                <w:b/>
                <w:bCs/>
                <w:color w:val="000000" w:themeColor="text1"/>
                <w:sz w:val="22"/>
                <w:szCs w:val="22"/>
                <w:lang w:val="en-US"/>
              </w:rPr>
            </w:pPr>
          </w:p>
        </w:tc>
        <w:tc>
          <w:tcPr>
            <w:tcW w:w="1417" w:type="dxa"/>
            <w:noWrap/>
            <w:hideMark/>
          </w:tcPr>
          <w:p w14:paraId="11E95278"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3F0D7506"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024F4033"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355E8FE9"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Pr>
          <w:p w14:paraId="3EC478B1" w14:textId="04F872FC"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4 laptops but 2 are damaged</w:t>
            </w:r>
          </w:p>
        </w:tc>
      </w:tr>
      <w:tr w:rsidR="006D1940" w:rsidRPr="00173FD6" w14:paraId="06CD631C" w14:textId="77777777" w:rsidTr="00FF4CA3">
        <w:trPr>
          <w:trHeight w:val="300"/>
        </w:trPr>
        <w:tc>
          <w:tcPr>
            <w:tcW w:w="940" w:type="dxa"/>
            <w:tcBorders>
              <w:top w:val="nil"/>
              <w:bottom w:val="nil"/>
            </w:tcBorders>
          </w:tcPr>
          <w:p w14:paraId="74E72A3B"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3EFB8889" w14:textId="466A3E5C" w:rsidR="006D1940" w:rsidRPr="00173FD6" w:rsidRDefault="006D1940" w:rsidP="00A31699">
            <w:pPr>
              <w:rPr>
                <w:rFonts w:ascii="Calibri" w:hAnsi="Calibri" w:cs="Calibri"/>
                <w:color w:val="000000" w:themeColor="text1"/>
                <w:sz w:val="22"/>
                <w:szCs w:val="22"/>
                <w:lang w:val="en-US"/>
              </w:rPr>
            </w:pPr>
          </w:p>
        </w:tc>
        <w:tc>
          <w:tcPr>
            <w:tcW w:w="3689" w:type="dxa"/>
          </w:tcPr>
          <w:p w14:paraId="54846A97" w14:textId="77777777" w:rsidR="006D1940" w:rsidRPr="00173FD6" w:rsidRDefault="006D1940" w:rsidP="00A31699">
            <w:pPr>
              <w:rPr>
                <w:rFonts w:ascii="Calibri" w:hAnsi="Calibri" w:cs="Calibri"/>
                <w:b/>
                <w:bCs/>
                <w:color w:val="000000" w:themeColor="text1"/>
                <w:sz w:val="22"/>
                <w:szCs w:val="22"/>
                <w:lang w:val="en-US"/>
              </w:rPr>
            </w:pPr>
          </w:p>
        </w:tc>
        <w:tc>
          <w:tcPr>
            <w:tcW w:w="1417" w:type="dxa"/>
            <w:noWrap/>
            <w:hideMark/>
          </w:tcPr>
          <w:p w14:paraId="767D4FD5"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406C8D46"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1F7489AD"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54D2841E"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Pr>
          <w:p w14:paraId="14C80D51" w14:textId="4A5FEC90"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No internet connectivity </w:t>
            </w:r>
          </w:p>
        </w:tc>
      </w:tr>
      <w:tr w:rsidR="006D1940" w:rsidRPr="00173FD6" w14:paraId="5681BEBE" w14:textId="77777777" w:rsidTr="00FF4CA3">
        <w:trPr>
          <w:trHeight w:val="300"/>
        </w:trPr>
        <w:tc>
          <w:tcPr>
            <w:tcW w:w="940" w:type="dxa"/>
            <w:tcBorders>
              <w:top w:val="nil"/>
              <w:bottom w:val="nil"/>
            </w:tcBorders>
          </w:tcPr>
          <w:p w14:paraId="68F84D3B"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5E75C397" w14:textId="0809546B" w:rsidR="006D1940" w:rsidRPr="00173FD6" w:rsidRDefault="006D1940" w:rsidP="00A31699">
            <w:pPr>
              <w:rPr>
                <w:rFonts w:ascii="Calibri" w:hAnsi="Calibri" w:cs="Calibri"/>
                <w:color w:val="000000" w:themeColor="text1"/>
                <w:sz w:val="22"/>
                <w:szCs w:val="22"/>
                <w:lang w:val="en-US"/>
              </w:rPr>
            </w:pPr>
          </w:p>
        </w:tc>
        <w:tc>
          <w:tcPr>
            <w:tcW w:w="3689" w:type="dxa"/>
          </w:tcPr>
          <w:p w14:paraId="0553ED4D" w14:textId="1E767303"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Mandaue City Central School</w:t>
            </w:r>
          </w:p>
        </w:tc>
        <w:tc>
          <w:tcPr>
            <w:tcW w:w="1417" w:type="dxa"/>
            <w:noWrap/>
            <w:hideMark/>
          </w:tcPr>
          <w:p w14:paraId="4921DCD5"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701" w:type="dxa"/>
            <w:noWrap/>
            <w:hideMark/>
          </w:tcPr>
          <w:p w14:paraId="3321B99C"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2FDA7488"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6AB55D98"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Pr>
          <w:p w14:paraId="7754B55C" w14:textId="5D0320EF"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 xml:space="preserve">40 PCs </w:t>
            </w:r>
          </w:p>
        </w:tc>
      </w:tr>
      <w:tr w:rsidR="006D1940" w:rsidRPr="00173FD6" w14:paraId="6492D78D" w14:textId="77777777" w:rsidTr="00FF4CA3">
        <w:trPr>
          <w:trHeight w:val="300"/>
        </w:trPr>
        <w:tc>
          <w:tcPr>
            <w:tcW w:w="940" w:type="dxa"/>
            <w:tcBorders>
              <w:top w:val="nil"/>
              <w:bottom w:val="nil"/>
            </w:tcBorders>
          </w:tcPr>
          <w:p w14:paraId="34448A23"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0CCCED0F" w14:textId="43F8A0FB" w:rsidR="006D1940" w:rsidRPr="00173FD6" w:rsidRDefault="006D1940" w:rsidP="00A31699">
            <w:pPr>
              <w:rPr>
                <w:rFonts w:ascii="Calibri" w:hAnsi="Calibri" w:cs="Calibri"/>
                <w:color w:val="000000" w:themeColor="text1"/>
                <w:sz w:val="22"/>
                <w:szCs w:val="22"/>
                <w:lang w:val="en-US"/>
              </w:rPr>
            </w:pPr>
          </w:p>
        </w:tc>
        <w:tc>
          <w:tcPr>
            <w:tcW w:w="3689" w:type="dxa"/>
          </w:tcPr>
          <w:p w14:paraId="47AE2C45" w14:textId="77777777" w:rsidR="006D1940" w:rsidRPr="00173FD6" w:rsidRDefault="006D1940" w:rsidP="00A31699">
            <w:pPr>
              <w:rPr>
                <w:rFonts w:ascii="Calibri" w:hAnsi="Calibri" w:cs="Calibri"/>
                <w:b/>
                <w:bCs/>
                <w:color w:val="000000" w:themeColor="text1"/>
                <w:sz w:val="22"/>
                <w:szCs w:val="22"/>
                <w:lang w:val="en-US"/>
              </w:rPr>
            </w:pPr>
          </w:p>
        </w:tc>
        <w:tc>
          <w:tcPr>
            <w:tcW w:w="1417" w:type="dxa"/>
            <w:noWrap/>
            <w:hideMark/>
          </w:tcPr>
          <w:p w14:paraId="10DF0201"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565C9244"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3864137E"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724CABFA"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Pr>
          <w:p w14:paraId="69F519BA" w14:textId="5C135BBF"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2 internet connections</w:t>
            </w:r>
          </w:p>
        </w:tc>
      </w:tr>
      <w:tr w:rsidR="006D1940" w:rsidRPr="00173FD6" w14:paraId="09784B93" w14:textId="77777777" w:rsidTr="00FF4CA3">
        <w:trPr>
          <w:trHeight w:val="300"/>
        </w:trPr>
        <w:tc>
          <w:tcPr>
            <w:tcW w:w="940" w:type="dxa"/>
            <w:tcBorders>
              <w:top w:val="nil"/>
              <w:bottom w:val="single" w:sz="4" w:space="0" w:color="auto"/>
            </w:tcBorders>
          </w:tcPr>
          <w:p w14:paraId="64C65121"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single" w:sz="4" w:space="0" w:color="auto"/>
            </w:tcBorders>
          </w:tcPr>
          <w:p w14:paraId="58CEEE9A" w14:textId="7C2CFBD7" w:rsidR="006D1940" w:rsidRPr="00173FD6" w:rsidRDefault="006D1940" w:rsidP="00A31699">
            <w:pPr>
              <w:rPr>
                <w:rFonts w:ascii="Calibri" w:hAnsi="Calibri" w:cs="Calibri"/>
                <w:color w:val="000000" w:themeColor="text1"/>
                <w:sz w:val="22"/>
                <w:szCs w:val="22"/>
                <w:lang w:val="en-US"/>
              </w:rPr>
            </w:pPr>
          </w:p>
        </w:tc>
        <w:tc>
          <w:tcPr>
            <w:tcW w:w="3689" w:type="dxa"/>
          </w:tcPr>
          <w:p w14:paraId="03A363E9" w14:textId="4126EF24"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Sub-total</w:t>
            </w:r>
          </w:p>
        </w:tc>
        <w:tc>
          <w:tcPr>
            <w:tcW w:w="1417" w:type="dxa"/>
            <w:noWrap/>
            <w:hideMark/>
          </w:tcPr>
          <w:p w14:paraId="0F3320B1"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2</w:t>
            </w:r>
          </w:p>
        </w:tc>
        <w:tc>
          <w:tcPr>
            <w:tcW w:w="1701" w:type="dxa"/>
            <w:noWrap/>
            <w:hideMark/>
          </w:tcPr>
          <w:p w14:paraId="3779D7D4"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418" w:type="dxa"/>
            <w:noWrap/>
            <w:hideMark/>
          </w:tcPr>
          <w:p w14:paraId="5859BC53"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8</w:t>
            </w:r>
          </w:p>
        </w:tc>
        <w:tc>
          <w:tcPr>
            <w:tcW w:w="1842" w:type="dxa"/>
            <w:noWrap/>
            <w:hideMark/>
          </w:tcPr>
          <w:p w14:paraId="059AB3F7"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5</w:t>
            </w:r>
          </w:p>
        </w:tc>
        <w:tc>
          <w:tcPr>
            <w:tcW w:w="2835" w:type="dxa"/>
          </w:tcPr>
          <w:p w14:paraId="60D86529" w14:textId="6DB38FF1"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r>
      <w:tr w:rsidR="006D1940" w:rsidRPr="00173FD6" w14:paraId="25A9F3DD" w14:textId="77777777" w:rsidTr="00FF4CA3">
        <w:trPr>
          <w:trHeight w:val="300"/>
        </w:trPr>
        <w:tc>
          <w:tcPr>
            <w:tcW w:w="940" w:type="dxa"/>
            <w:tcBorders>
              <w:top w:val="single" w:sz="4" w:space="0" w:color="auto"/>
              <w:bottom w:val="nil"/>
            </w:tcBorders>
          </w:tcPr>
          <w:p w14:paraId="0C92BA2D" w14:textId="77777777" w:rsidR="006D1940" w:rsidRPr="00173FD6" w:rsidRDefault="006D1940" w:rsidP="00A31699">
            <w:pPr>
              <w:rPr>
                <w:rFonts w:ascii="Calibri" w:hAnsi="Calibri" w:cs="Calibri"/>
                <w:color w:val="000000" w:themeColor="text1"/>
                <w:sz w:val="22"/>
                <w:szCs w:val="22"/>
                <w:lang w:val="en-US"/>
              </w:rPr>
            </w:pPr>
          </w:p>
        </w:tc>
        <w:tc>
          <w:tcPr>
            <w:tcW w:w="895" w:type="dxa"/>
            <w:tcBorders>
              <w:bottom w:val="nil"/>
            </w:tcBorders>
          </w:tcPr>
          <w:p w14:paraId="1A1C163B" w14:textId="46E9A604"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Non-BEST Schools</w:t>
            </w:r>
          </w:p>
        </w:tc>
        <w:tc>
          <w:tcPr>
            <w:tcW w:w="3689" w:type="dxa"/>
          </w:tcPr>
          <w:p w14:paraId="782DB2DF" w14:textId="0DB102A3"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Cabunga-an Elementary School</w:t>
            </w:r>
          </w:p>
        </w:tc>
        <w:tc>
          <w:tcPr>
            <w:tcW w:w="1417" w:type="dxa"/>
            <w:noWrap/>
            <w:hideMark/>
          </w:tcPr>
          <w:p w14:paraId="772C4BD4"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701" w:type="dxa"/>
            <w:noWrap/>
            <w:hideMark/>
          </w:tcPr>
          <w:p w14:paraId="79660E7B"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5B46784C"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3981DFF0"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Pr>
          <w:p w14:paraId="5788B2F0" w14:textId="1CA5FD6D"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r>
      <w:tr w:rsidR="006D1940" w:rsidRPr="00173FD6" w14:paraId="59E07E63" w14:textId="77777777" w:rsidTr="00FF4CA3">
        <w:trPr>
          <w:trHeight w:val="300"/>
        </w:trPr>
        <w:tc>
          <w:tcPr>
            <w:tcW w:w="940" w:type="dxa"/>
            <w:tcBorders>
              <w:top w:val="nil"/>
              <w:bottom w:val="nil"/>
            </w:tcBorders>
          </w:tcPr>
          <w:p w14:paraId="511F1D9D"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1C2D81FF" w14:textId="578CD6F3" w:rsidR="006D1940" w:rsidRPr="00173FD6" w:rsidRDefault="006D1940" w:rsidP="00A31699">
            <w:pPr>
              <w:rPr>
                <w:rFonts w:ascii="Calibri" w:hAnsi="Calibri" w:cs="Calibri"/>
                <w:color w:val="000000" w:themeColor="text1"/>
                <w:sz w:val="22"/>
                <w:szCs w:val="22"/>
                <w:lang w:val="en-US"/>
              </w:rPr>
            </w:pPr>
          </w:p>
        </w:tc>
        <w:tc>
          <w:tcPr>
            <w:tcW w:w="3689" w:type="dxa"/>
          </w:tcPr>
          <w:p w14:paraId="774BE431" w14:textId="5ABED06D"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Obong Elementary School</w:t>
            </w:r>
          </w:p>
        </w:tc>
        <w:tc>
          <w:tcPr>
            <w:tcW w:w="1417" w:type="dxa"/>
            <w:noWrap/>
            <w:hideMark/>
          </w:tcPr>
          <w:p w14:paraId="1F06661A"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5387BE13"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1993B572"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842" w:type="dxa"/>
            <w:noWrap/>
            <w:hideMark/>
          </w:tcPr>
          <w:p w14:paraId="52A4A863"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Pr>
          <w:p w14:paraId="01F745AC" w14:textId="26F7EF3A"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r>
      <w:tr w:rsidR="006D1940" w:rsidRPr="00173FD6" w14:paraId="3EF6C5A3" w14:textId="77777777" w:rsidTr="00FF4CA3">
        <w:trPr>
          <w:trHeight w:val="300"/>
        </w:trPr>
        <w:tc>
          <w:tcPr>
            <w:tcW w:w="940" w:type="dxa"/>
            <w:tcBorders>
              <w:top w:val="nil"/>
              <w:bottom w:val="nil"/>
            </w:tcBorders>
          </w:tcPr>
          <w:p w14:paraId="77D3DB9C"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0FAFC0C1" w14:textId="0690B09B" w:rsidR="006D1940" w:rsidRPr="00173FD6" w:rsidRDefault="006D1940" w:rsidP="00A31699">
            <w:pPr>
              <w:rPr>
                <w:rFonts w:ascii="Calibri" w:hAnsi="Calibri" w:cs="Calibri"/>
                <w:color w:val="000000" w:themeColor="text1"/>
                <w:sz w:val="22"/>
                <w:szCs w:val="22"/>
                <w:lang w:val="en-US"/>
              </w:rPr>
            </w:pPr>
          </w:p>
        </w:tc>
        <w:tc>
          <w:tcPr>
            <w:tcW w:w="3689" w:type="dxa"/>
          </w:tcPr>
          <w:p w14:paraId="3E3A403D" w14:textId="654EBBB0"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Montañeza Elementary School</w:t>
            </w:r>
          </w:p>
        </w:tc>
        <w:tc>
          <w:tcPr>
            <w:tcW w:w="1417" w:type="dxa"/>
            <w:noWrap/>
            <w:hideMark/>
          </w:tcPr>
          <w:p w14:paraId="6F5F3E5F"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33E8C4D0"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418" w:type="dxa"/>
            <w:noWrap/>
            <w:hideMark/>
          </w:tcPr>
          <w:p w14:paraId="03D3349C"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5895FE5E"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Pr>
          <w:p w14:paraId="3C04A730" w14:textId="10A1597E"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r>
      <w:tr w:rsidR="006D1940" w:rsidRPr="00173FD6" w14:paraId="5955200C" w14:textId="77777777" w:rsidTr="00FF4CA3">
        <w:trPr>
          <w:trHeight w:val="300"/>
        </w:trPr>
        <w:tc>
          <w:tcPr>
            <w:tcW w:w="940" w:type="dxa"/>
            <w:tcBorders>
              <w:top w:val="nil"/>
              <w:bottom w:val="nil"/>
            </w:tcBorders>
          </w:tcPr>
          <w:p w14:paraId="563642FC"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3AB64C06" w14:textId="0B9E6285" w:rsidR="006D1940" w:rsidRPr="00173FD6" w:rsidRDefault="006D1940" w:rsidP="00A31699">
            <w:pPr>
              <w:rPr>
                <w:rFonts w:ascii="Calibri" w:hAnsi="Calibri" w:cs="Calibri"/>
                <w:color w:val="000000" w:themeColor="text1"/>
                <w:sz w:val="22"/>
                <w:szCs w:val="22"/>
                <w:lang w:val="en-US"/>
              </w:rPr>
            </w:pPr>
          </w:p>
        </w:tc>
        <w:tc>
          <w:tcPr>
            <w:tcW w:w="3689" w:type="dxa"/>
          </w:tcPr>
          <w:p w14:paraId="21B234FF" w14:textId="188343D4"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Lamintak Norte Elementary School</w:t>
            </w:r>
          </w:p>
        </w:tc>
        <w:tc>
          <w:tcPr>
            <w:tcW w:w="1417" w:type="dxa"/>
            <w:noWrap/>
            <w:hideMark/>
          </w:tcPr>
          <w:p w14:paraId="478F70C7"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64E65323"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7310658A"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842" w:type="dxa"/>
            <w:noWrap/>
            <w:hideMark/>
          </w:tcPr>
          <w:p w14:paraId="57145AB0"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Pr>
          <w:p w14:paraId="1CBB9F04" w14:textId="18F2ECF3"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r>
      <w:tr w:rsidR="006D1940" w:rsidRPr="00173FD6" w14:paraId="52470719" w14:textId="77777777" w:rsidTr="00FF4CA3">
        <w:trPr>
          <w:trHeight w:val="1600"/>
        </w:trPr>
        <w:tc>
          <w:tcPr>
            <w:tcW w:w="940" w:type="dxa"/>
            <w:tcBorders>
              <w:top w:val="nil"/>
              <w:bottom w:val="nil"/>
            </w:tcBorders>
          </w:tcPr>
          <w:p w14:paraId="37DD6FCC"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46E7DEE3" w14:textId="6CE2121A" w:rsidR="006D1940" w:rsidRPr="00173FD6" w:rsidRDefault="006D1940" w:rsidP="00A31699">
            <w:pPr>
              <w:rPr>
                <w:rFonts w:ascii="Calibri" w:hAnsi="Calibri" w:cs="Calibri"/>
                <w:color w:val="000000" w:themeColor="text1"/>
                <w:sz w:val="22"/>
                <w:szCs w:val="22"/>
                <w:lang w:val="en-US"/>
              </w:rPr>
            </w:pPr>
          </w:p>
        </w:tc>
        <w:tc>
          <w:tcPr>
            <w:tcW w:w="3689" w:type="dxa"/>
          </w:tcPr>
          <w:p w14:paraId="6FDB13FC" w14:textId="7ECDDD46"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Bernardo Enriquez Elementary School</w:t>
            </w:r>
          </w:p>
        </w:tc>
        <w:tc>
          <w:tcPr>
            <w:tcW w:w="1417" w:type="dxa"/>
            <w:noWrap/>
            <w:hideMark/>
          </w:tcPr>
          <w:p w14:paraId="4353F10D"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06534842"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4407B8DC"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842" w:type="dxa"/>
            <w:noWrap/>
            <w:hideMark/>
          </w:tcPr>
          <w:p w14:paraId="774BA231"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Pr>
          <w:p w14:paraId="03281FCE" w14:textId="3A78E644"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7 desktop computers with one server computer</w:t>
            </w:r>
            <w:r w:rsidRPr="00173FD6">
              <w:rPr>
                <w:rFonts w:ascii="Calibri" w:hAnsi="Calibri" w:cs="Calibri"/>
                <w:color w:val="000000" w:themeColor="text1"/>
                <w:sz w:val="22"/>
                <w:szCs w:val="22"/>
                <w:lang w:val="en-US"/>
              </w:rPr>
              <w:br/>
              <w:t xml:space="preserve">3 laptops with only 2 functional </w:t>
            </w:r>
            <w:r w:rsidRPr="00173FD6">
              <w:rPr>
                <w:rFonts w:ascii="Calibri" w:hAnsi="Calibri" w:cs="Calibri"/>
                <w:color w:val="000000" w:themeColor="text1"/>
                <w:sz w:val="22"/>
                <w:szCs w:val="22"/>
                <w:lang w:val="en-US"/>
              </w:rPr>
              <w:br/>
              <w:t>All teachers have their own personal laptops</w:t>
            </w:r>
          </w:p>
        </w:tc>
      </w:tr>
      <w:tr w:rsidR="006D1940" w:rsidRPr="00173FD6" w14:paraId="5C6F1CF7" w14:textId="77777777" w:rsidTr="00FF4CA3">
        <w:trPr>
          <w:trHeight w:val="300"/>
        </w:trPr>
        <w:tc>
          <w:tcPr>
            <w:tcW w:w="940" w:type="dxa"/>
            <w:tcBorders>
              <w:top w:val="nil"/>
              <w:bottom w:val="nil"/>
            </w:tcBorders>
          </w:tcPr>
          <w:p w14:paraId="3C563E2A"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08760D55" w14:textId="2F6B2424" w:rsidR="006D1940" w:rsidRPr="00173FD6" w:rsidRDefault="006D1940" w:rsidP="00A31699">
            <w:pPr>
              <w:rPr>
                <w:rFonts w:ascii="Calibri" w:hAnsi="Calibri" w:cs="Calibri"/>
                <w:color w:val="000000" w:themeColor="text1"/>
                <w:sz w:val="22"/>
                <w:szCs w:val="22"/>
                <w:lang w:val="en-US"/>
              </w:rPr>
            </w:pPr>
          </w:p>
        </w:tc>
        <w:tc>
          <w:tcPr>
            <w:tcW w:w="3689" w:type="dxa"/>
          </w:tcPr>
          <w:p w14:paraId="219CC30B" w14:textId="3AAECEA6"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Sub-total</w:t>
            </w:r>
          </w:p>
        </w:tc>
        <w:tc>
          <w:tcPr>
            <w:tcW w:w="1417" w:type="dxa"/>
            <w:noWrap/>
            <w:hideMark/>
          </w:tcPr>
          <w:p w14:paraId="59E5140E"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701" w:type="dxa"/>
            <w:noWrap/>
            <w:hideMark/>
          </w:tcPr>
          <w:p w14:paraId="443F5113"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418" w:type="dxa"/>
            <w:noWrap/>
            <w:hideMark/>
          </w:tcPr>
          <w:p w14:paraId="4C1626A2"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3</w:t>
            </w:r>
          </w:p>
        </w:tc>
        <w:tc>
          <w:tcPr>
            <w:tcW w:w="1842" w:type="dxa"/>
            <w:noWrap/>
            <w:hideMark/>
          </w:tcPr>
          <w:p w14:paraId="08D501CD"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Pr>
          <w:p w14:paraId="30E71329" w14:textId="77777777" w:rsidR="006D1940" w:rsidRPr="00173FD6" w:rsidRDefault="006D1940" w:rsidP="00A31699">
            <w:pPr>
              <w:rPr>
                <w:rFonts w:ascii="Calibri" w:hAnsi="Calibri" w:cs="Calibri"/>
                <w:color w:val="000000" w:themeColor="text1"/>
                <w:sz w:val="22"/>
                <w:szCs w:val="22"/>
                <w:lang w:val="en-US"/>
              </w:rPr>
            </w:pPr>
          </w:p>
        </w:tc>
      </w:tr>
      <w:tr w:rsidR="006D1940" w:rsidRPr="00173FD6" w14:paraId="42D325D6" w14:textId="77777777" w:rsidTr="00FF4CA3">
        <w:trPr>
          <w:trHeight w:val="300"/>
        </w:trPr>
        <w:tc>
          <w:tcPr>
            <w:tcW w:w="940" w:type="dxa"/>
            <w:tcBorders>
              <w:top w:val="nil"/>
              <w:bottom w:val="single" w:sz="4" w:space="0" w:color="auto"/>
            </w:tcBorders>
          </w:tcPr>
          <w:p w14:paraId="4D018457"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single" w:sz="4" w:space="0" w:color="auto"/>
            </w:tcBorders>
          </w:tcPr>
          <w:p w14:paraId="67720EE9" w14:textId="3EC2AA06" w:rsidR="006D1940" w:rsidRPr="00173FD6" w:rsidRDefault="006D1940" w:rsidP="00A31699">
            <w:pPr>
              <w:rPr>
                <w:rFonts w:ascii="Calibri" w:hAnsi="Calibri" w:cs="Calibri"/>
                <w:color w:val="000000" w:themeColor="text1"/>
                <w:sz w:val="22"/>
                <w:szCs w:val="22"/>
                <w:lang w:val="en-US"/>
              </w:rPr>
            </w:pPr>
          </w:p>
        </w:tc>
        <w:tc>
          <w:tcPr>
            <w:tcW w:w="3689" w:type="dxa"/>
          </w:tcPr>
          <w:p w14:paraId="0C9063DE" w14:textId="5F3A98D5"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Total REGION VII</w:t>
            </w:r>
          </w:p>
        </w:tc>
        <w:tc>
          <w:tcPr>
            <w:tcW w:w="1417" w:type="dxa"/>
            <w:noWrap/>
            <w:hideMark/>
          </w:tcPr>
          <w:p w14:paraId="322E8EEB" w14:textId="77777777"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3</w:t>
            </w:r>
          </w:p>
        </w:tc>
        <w:tc>
          <w:tcPr>
            <w:tcW w:w="1701" w:type="dxa"/>
            <w:noWrap/>
            <w:hideMark/>
          </w:tcPr>
          <w:p w14:paraId="3F2DA051" w14:textId="77777777"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2</w:t>
            </w:r>
          </w:p>
        </w:tc>
        <w:tc>
          <w:tcPr>
            <w:tcW w:w="1418" w:type="dxa"/>
            <w:noWrap/>
            <w:hideMark/>
          </w:tcPr>
          <w:p w14:paraId="546C2030" w14:textId="77777777"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11</w:t>
            </w:r>
          </w:p>
        </w:tc>
        <w:tc>
          <w:tcPr>
            <w:tcW w:w="1842" w:type="dxa"/>
            <w:noWrap/>
            <w:hideMark/>
          </w:tcPr>
          <w:p w14:paraId="531BA655" w14:textId="77777777"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1</w:t>
            </w:r>
          </w:p>
        </w:tc>
        <w:tc>
          <w:tcPr>
            <w:tcW w:w="2835" w:type="dxa"/>
          </w:tcPr>
          <w:p w14:paraId="00C4DC68" w14:textId="77777777" w:rsidR="006D1940" w:rsidRPr="00173FD6" w:rsidRDefault="006D1940" w:rsidP="00A31699">
            <w:pPr>
              <w:rPr>
                <w:rFonts w:ascii="Calibri" w:hAnsi="Calibri" w:cs="Calibri"/>
                <w:b/>
                <w:bCs/>
                <w:color w:val="000000" w:themeColor="text1"/>
                <w:sz w:val="22"/>
                <w:szCs w:val="22"/>
                <w:lang w:val="en-US"/>
              </w:rPr>
            </w:pPr>
          </w:p>
        </w:tc>
      </w:tr>
      <w:tr w:rsidR="006D1940" w:rsidRPr="00173FD6" w14:paraId="45BAF2AC" w14:textId="77777777" w:rsidTr="00C1120A">
        <w:trPr>
          <w:trHeight w:val="300"/>
        </w:trPr>
        <w:tc>
          <w:tcPr>
            <w:tcW w:w="940" w:type="dxa"/>
            <w:tcBorders>
              <w:bottom w:val="nil"/>
            </w:tcBorders>
          </w:tcPr>
          <w:p w14:paraId="22798C39" w14:textId="2B4793EC"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b/>
                <w:bCs/>
                <w:color w:val="000000" w:themeColor="text1"/>
                <w:sz w:val="22"/>
                <w:szCs w:val="22"/>
                <w:lang w:val="en-US"/>
              </w:rPr>
              <w:t>REGION VIII</w:t>
            </w:r>
          </w:p>
        </w:tc>
        <w:tc>
          <w:tcPr>
            <w:tcW w:w="895" w:type="dxa"/>
            <w:tcBorders>
              <w:bottom w:val="nil"/>
            </w:tcBorders>
          </w:tcPr>
          <w:p w14:paraId="7987CE53" w14:textId="512563FC"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BEST Schools</w:t>
            </w:r>
          </w:p>
        </w:tc>
        <w:tc>
          <w:tcPr>
            <w:tcW w:w="3689" w:type="dxa"/>
          </w:tcPr>
          <w:p w14:paraId="78C3D143" w14:textId="66061E1C"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Cagsalay Elementary School</w:t>
            </w:r>
          </w:p>
        </w:tc>
        <w:tc>
          <w:tcPr>
            <w:tcW w:w="1417" w:type="dxa"/>
            <w:noWrap/>
            <w:hideMark/>
          </w:tcPr>
          <w:p w14:paraId="1939E7FD"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5D858E4E"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67B1256B"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842" w:type="dxa"/>
            <w:noWrap/>
            <w:hideMark/>
          </w:tcPr>
          <w:p w14:paraId="11F566F8"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Pr>
          <w:p w14:paraId="23099FC6" w14:textId="53A3AC98"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No functional computers; affected by flooding</w:t>
            </w:r>
          </w:p>
        </w:tc>
      </w:tr>
      <w:tr w:rsidR="006D1940" w:rsidRPr="00173FD6" w14:paraId="78279FEE" w14:textId="77777777" w:rsidTr="00C1120A">
        <w:trPr>
          <w:trHeight w:val="300"/>
        </w:trPr>
        <w:tc>
          <w:tcPr>
            <w:tcW w:w="940" w:type="dxa"/>
            <w:tcBorders>
              <w:top w:val="nil"/>
              <w:bottom w:val="nil"/>
            </w:tcBorders>
          </w:tcPr>
          <w:p w14:paraId="63AE954D"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759F3769" w14:textId="08955370" w:rsidR="006D1940" w:rsidRPr="00173FD6" w:rsidRDefault="006D1940" w:rsidP="00A31699">
            <w:pPr>
              <w:rPr>
                <w:rFonts w:ascii="Calibri" w:hAnsi="Calibri" w:cs="Calibri"/>
                <w:color w:val="000000" w:themeColor="text1"/>
                <w:sz w:val="22"/>
                <w:szCs w:val="22"/>
                <w:lang w:val="en-US"/>
              </w:rPr>
            </w:pPr>
          </w:p>
        </w:tc>
        <w:tc>
          <w:tcPr>
            <w:tcW w:w="3689" w:type="dxa"/>
          </w:tcPr>
          <w:p w14:paraId="3440124F" w14:textId="13BE063F"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Caglao-an Elementary School</w:t>
            </w:r>
          </w:p>
        </w:tc>
        <w:tc>
          <w:tcPr>
            <w:tcW w:w="1417" w:type="dxa"/>
            <w:noWrap/>
            <w:hideMark/>
          </w:tcPr>
          <w:p w14:paraId="562EFCB7"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63A1CEB9"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418" w:type="dxa"/>
            <w:noWrap/>
            <w:hideMark/>
          </w:tcPr>
          <w:p w14:paraId="51846BAB"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60235E81"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Pr>
          <w:p w14:paraId="3EA02E1F" w14:textId="49213290"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With functional computers</w:t>
            </w:r>
          </w:p>
        </w:tc>
      </w:tr>
      <w:tr w:rsidR="006D1940" w:rsidRPr="00173FD6" w14:paraId="1BD8EC3B" w14:textId="77777777" w:rsidTr="00C1120A">
        <w:trPr>
          <w:trHeight w:val="300"/>
        </w:trPr>
        <w:tc>
          <w:tcPr>
            <w:tcW w:w="940" w:type="dxa"/>
            <w:tcBorders>
              <w:top w:val="nil"/>
              <w:bottom w:val="single" w:sz="4" w:space="0" w:color="auto"/>
            </w:tcBorders>
          </w:tcPr>
          <w:p w14:paraId="6591C6B9"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single" w:sz="4" w:space="0" w:color="auto"/>
            </w:tcBorders>
          </w:tcPr>
          <w:p w14:paraId="02D10D48" w14:textId="498745E9" w:rsidR="006D1940" w:rsidRPr="00173FD6" w:rsidRDefault="006D1940" w:rsidP="00A31699">
            <w:pPr>
              <w:rPr>
                <w:rFonts w:ascii="Calibri" w:hAnsi="Calibri" w:cs="Calibri"/>
                <w:color w:val="000000" w:themeColor="text1"/>
                <w:sz w:val="22"/>
                <w:szCs w:val="22"/>
                <w:lang w:val="en-US"/>
              </w:rPr>
            </w:pPr>
          </w:p>
        </w:tc>
        <w:tc>
          <w:tcPr>
            <w:tcW w:w="3689" w:type="dxa"/>
          </w:tcPr>
          <w:p w14:paraId="0E47C305" w14:textId="7C024BD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Quiatan Elementary School</w:t>
            </w:r>
          </w:p>
        </w:tc>
        <w:tc>
          <w:tcPr>
            <w:tcW w:w="1417" w:type="dxa"/>
            <w:noWrap/>
            <w:hideMark/>
          </w:tcPr>
          <w:p w14:paraId="77E8F77A"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3F6B004D"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06F762EB"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842" w:type="dxa"/>
            <w:noWrap/>
            <w:hideMark/>
          </w:tcPr>
          <w:p w14:paraId="5B9A75C9"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Pr>
          <w:p w14:paraId="4889E3BA" w14:textId="199D9502"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With functional computers</w:t>
            </w:r>
          </w:p>
        </w:tc>
      </w:tr>
      <w:tr w:rsidR="006D1940" w:rsidRPr="00173FD6" w14:paraId="70BF4974" w14:textId="77777777" w:rsidTr="00C1120A">
        <w:trPr>
          <w:trHeight w:val="600"/>
        </w:trPr>
        <w:tc>
          <w:tcPr>
            <w:tcW w:w="940" w:type="dxa"/>
            <w:tcBorders>
              <w:top w:val="single" w:sz="4" w:space="0" w:color="auto"/>
              <w:bottom w:val="nil"/>
            </w:tcBorders>
          </w:tcPr>
          <w:p w14:paraId="2D02C13E"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single" w:sz="4" w:space="0" w:color="auto"/>
              <w:bottom w:val="nil"/>
            </w:tcBorders>
          </w:tcPr>
          <w:p w14:paraId="6DD54CFC" w14:textId="7C498F13" w:rsidR="006D1940" w:rsidRPr="00173FD6" w:rsidRDefault="006D1940" w:rsidP="00A31699">
            <w:pPr>
              <w:rPr>
                <w:rFonts w:ascii="Calibri" w:hAnsi="Calibri" w:cs="Calibri"/>
                <w:color w:val="000000" w:themeColor="text1"/>
                <w:sz w:val="22"/>
                <w:szCs w:val="22"/>
                <w:lang w:val="en-US"/>
              </w:rPr>
            </w:pPr>
          </w:p>
        </w:tc>
        <w:tc>
          <w:tcPr>
            <w:tcW w:w="3689" w:type="dxa"/>
          </w:tcPr>
          <w:p w14:paraId="60275CB4" w14:textId="7F2476B4"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Beta-Og Elementary School</w:t>
            </w:r>
          </w:p>
        </w:tc>
        <w:tc>
          <w:tcPr>
            <w:tcW w:w="1417" w:type="dxa"/>
            <w:noWrap/>
            <w:hideMark/>
          </w:tcPr>
          <w:p w14:paraId="77523221"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701" w:type="dxa"/>
            <w:noWrap/>
            <w:hideMark/>
          </w:tcPr>
          <w:p w14:paraId="275A1872"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46689C04"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36360DAF"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Pr>
          <w:p w14:paraId="7D676DCB" w14:textId="4D6A2745"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No functional computers; hardware locked; using personal computers</w:t>
            </w:r>
          </w:p>
        </w:tc>
      </w:tr>
      <w:tr w:rsidR="006D1940" w:rsidRPr="00173FD6" w14:paraId="229141B6" w14:textId="77777777" w:rsidTr="00FF4CA3">
        <w:trPr>
          <w:trHeight w:val="600"/>
        </w:trPr>
        <w:tc>
          <w:tcPr>
            <w:tcW w:w="940" w:type="dxa"/>
            <w:tcBorders>
              <w:top w:val="nil"/>
              <w:bottom w:val="nil"/>
            </w:tcBorders>
          </w:tcPr>
          <w:p w14:paraId="5E1A71A4"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2EEF980D" w14:textId="6344B681" w:rsidR="006D1940" w:rsidRPr="00173FD6" w:rsidRDefault="006D1940" w:rsidP="00A31699">
            <w:pPr>
              <w:rPr>
                <w:rFonts w:ascii="Calibri" w:hAnsi="Calibri" w:cs="Calibri"/>
                <w:color w:val="000000" w:themeColor="text1"/>
                <w:sz w:val="22"/>
                <w:szCs w:val="22"/>
                <w:lang w:val="en-US"/>
              </w:rPr>
            </w:pPr>
          </w:p>
        </w:tc>
        <w:tc>
          <w:tcPr>
            <w:tcW w:w="3689" w:type="dxa"/>
          </w:tcPr>
          <w:p w14:paraId="2F807208" w14:textId="34EAE47B"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Naubay Elementary School</w:t>
            </w:r>
          </w:p>
        </w:tc>
        <w:tc>
          <w:tcPr>
            <w:tcW w:w="1417" w:type="dxa"/>
            <w:noWrap/>
            <w:hideMark/>
          </w:tcPr>
          <w:p w14:paraId="68BCEC08"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32B7E0B9"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5334EFAC"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842" w:type="dxa"/>
            <w:noWrap/>
            <w:hideMark/>
          </w:tcPr>
          <w:p w14:paraId="30DB8ADA"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Pr>
          <w:p w14:paraId="74C131CF" w14:textId="7C716F15"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No functional computers; affected by flooding; using personal computers</w:t>
            </w:r>
          </w:p>
        </w:tc>
      </w:tr>
      <w:tr w:rsidR="006D1940" w:rsidRPr="00173FD6" w14:paraId="63639AC4" w14:textId="77777777" w:rsidTr="00FF4CA3">
        <w:trPr>
          <w:trHeight w:val="300"/>
        </w:trPr>
        <w:tc>
          <w:tcPr>
            <w:tcW w:w="940" w:type="dxa"/>
            <w:tcBorders>
              <w:top w:val="nil"/>
              <w:bottom w:val="nil"/>
            </w:tcBorders>
          </w:tcPr>
          <w:p w14:paraId="1CE81A91"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35767EE4" w14:textId="3AEFCF15" w:rsidR="006D1940" w:rsidRPr="00173FD6" w:rsidRDefault="006D1940" w:rsidP="00A31699">
            <w:pPr>
              <w:rPr>
                <w:rFonts w:ascii="Calibri" w:hAnsi="Calibri" w:cs="Calibri"/>
                <w:color w:val="000000" w:themeColor="text1"/>
                <w:sz w:val="22"/>
                <w:szCs w:val="22"/>
                <w:lang w:val="en-US"/>
              </w:rPr>
            </w:pPr>
          </w:p>
        </w:tc>
        <w:tc>
          <w:tcPr>
            <w:tcW w:w="3689" w:type="dxa"/>
          </w:tcPr>
          <w:p w14:paraId="0988D509" w14:textId="324C1DB9"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Carayacay Elementary School</w:t>
            </w:r>
          </w:p>
        </w:tc>
        <w:tc>
          <w:tcPr>
            <w:tcW w:w="1417" w:type="dxa"/>
            <w:noWrap/>
            <w:hideMark/>
          </w:tcPr>
          <w:p w14:paraId="47D3BC0E"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20E23171"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208F730D"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842" w:type="dxa"/>
            <w:noWrap/>
            <w:hideMark/>
          </w:tcPr>
          <w:p w14:paraId="3A3D79A3"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Pr>
          <w:p w14:paraId="41BC3009" w14:textId="26BF83D9"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With computers; no connectivity</w:t>
            </w:r>
          </w:p>
        </w:tc>
      </w:tr>
      <w:tr w:rsidR="006D1940" w:rsidRPr="00173FD6" w14:paraId="77A4C7AE" w14:textId="77777777" w:rsidTr="00FF4CA3">
        <w:trPr>
          <w:trHeight w:val="300"/>
        </w:trPr>
        <w:tc>
          <w:tcPr>
            <w:tcW w:w="940" w:type="dxa"/>
            <w:tcBorders>
              <w:top w:val="nil"/>
              <w:bottom w:val="nil"/>
            </w:tcBorders>
          </w:tcPr>
          <w:p w14:paraId="2EC76BF5"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5CD20DD3" w14:textId="6AF40742" w:rsidR="006D1940" w:rsidRPr="00173FD6" w:rsidRDefault="006D1940" w:rsidP="00A31699">
            <w:pPr>
              <w:rPr>
                <w:rFonts w:ascii="Calibri" w:hAnsi="Calibri" w:cs="Calibri"/>
                <w:color w:val="000000" w:themeColor="text1"/>
                <w:sz w:val="22"/>
                <w:szCs w:val="22"/>
                <w:lang w:val="en-US"/>
              </w:rPr>
            </w:pPr>
          </w:p>
        </w:tc>
        <w:tc>
          <w:tcPr>
            <w:tcW w:w="3689" w:type="dxa"/>
          </w:tcPr>
          <w:p w14:paraId="4C5ADDAD" w14:textId="2D1D1049"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Saurong Elementary School</w:t>
            </w:r>
          </w:p>
        </w:tc>
        <w:tc>
          <w:tcPr>
            <w:tcW w:w="1417" w:type="dxa"/>
            <w:noWrap/>
            <w:hideMark/>
          </w:tcPr>
          <w:p w14:paraId="73829BBC"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701" w:type="dxa"/>
            <w:noWrap/>
            <w:hideMark/>
          </w:tcPr>
          <w:p w14:paraId="749D6AB7"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5613E325"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53FDD53C"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Pr>
          <w:p w14:paraId="1487CF80" w14:textId="1C31E231"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With functional computers</w:t>
            </w:r>
          </w:p>
        </w:tc>
      </w:tr>
      <w:tr w:rsidR="006D1940" w:rsidRPr="00173FD6" w14:paraId="7A35574C" w14:textId="77777777" w:rsidTr="00FF4CA3">
        <w:trPr>
          <w:trHeight w:val="300"/>
        </w:trPr>
        <w:tc>
          <w:tcPr>
            <w:tcW w:w="940" w:type="dxa"/>
            <w:tcBorders>
              <w:top w:val="nil"/>
              <w:bottom w:val="nil"/>
            </w:tcBorders>
          </w:tcPr>
          <w:p w14:paraId="3E9D6863"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6AE030F9" w14:textId="4C06DEC7" w:rsidR="006D1940" w:rsidRPr="00173FD6" w:rsidRDefault="006D1940" w:rsidP="00A31699">
            <w:pPr>
              <w:rPr>
                <w:rFonts w:ascii="Calibri" w:hAnsi="Calibri" w:cs="Calibri"/>
                <w:color w:val="000000" w:themeColor="text1"/>
                <w:sz w:val="22"/>
                <w:szCs w:val="22"/>
                <w:lang w:val="en-US"/>
              </w:rPr>
            </w:pPr>
          </w:p>
        </w:tc>
        <w:tc>
          <w:tcPr>
            <w:tcW w:w="3689" w:type="dxa"/>
          </w:tcPr>
          <w:p w14:paraId="14D2E521" w14:textId="4F067E56"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Oras West Central Elementary School</w:t>
            </w:r>
          </w:p>
        </w:tc>
        <w:tc>
          <w:tcPr>
            <w:tcW w:w="1417" w:type="dxa"/>
            <w:noWrap/>
            <w:hideMark/>
          </w:tcPr>
          <w:p w14:paraId="1EEE508B"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37949906"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418" w:type="dxa"/>
            <w:noWrap/>
            <w:hideMark/>
          </w:tcPr>
          <w:p w14:paraId="5ABF3B51"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75537ED8"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Pr>
          <w:p w14:paraId="334FAED8" w14:textId="40BF3AC8"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With functional computers</w:t>
            </w:r>
          </w:p>
        </w:tc>
      </w:tr>
      <w:tr w:rsidR="006D1940" w:rsidRPr="00173FD6" w14:paraId="0F3978E9" w14:textId="77777777" w:rsidTr="00FF4CA3">
        <w:trPr>
          <w:trHeight w:val="320"/>
        </w:trPr>
        <w:tc>
          <w:tcPr>
            <w:tcW w:w="940" w:type="dxa"/>
            <w:tcBorders>
              <w:top w:val="nil"/>
              <w:bottom w:val="nil"/>
            </w:tcBorders>
          </w:tcPr>
          <w:p w14:paraId="40A9E70C"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6DD0B817" w14:textId="14F9727D" w:rsidR="006D1940" w:rsidRPr="00173FD6" w:rsidRDefault="006D1940" w:rsidP="00A31699">
            <w:pPr>
              <w:rPr>
                <w:rFonts w:ascii="Calibri" w:hAnsi="Calibri" w:cs="Calibri"/>
                <w:color w:val="000000" w:themeColor="text1"/>
                <w:sz w:val="22"/>
                <w:szCs w:val="22"/>
                <w:lang w:val="en-US"/>
              </w:rPr>
            </w:pPr>
          </w:p>
        </w:tc>
        <w:tc>
          <w:tcPr>
            <w:tcW w:w="3689" w:type="dxa"/>
          </w:tcPr>
          <w:p w14:paraId="2115BA4E" w14:textId="47297D76"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Canmarating Elementary School</w:t>
            </w:r>
          </w:p>
        </w:tc>
        <w:tc>
          <w:tcPr>
            <w:tcW w:w="1417" w:type="dxa"/>
            <w:hideMark/>
          </w:tcPr>
          <w:p w14:paraId="7E2F6394"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hideMark/>
          </w:tcPr>
          <w:p w14:paraId="7B0C2005"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hideMark/>
          </w:tcPr>
          <w:p w14:paraId="1B355861"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842" w:type="dxa"/>
            <w:noWrap/>
            <w:hideMark/>
          </w:tcPr>
          <w:p w14:paraId="688C3EC1"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Pr>
          <w:p w14:paraId="0650DBEC" w14:textId="77777777" w:rsidR="006D1940" w:rsidRPr="00173FD6" w:rsidRDefault="006D1940" w:rsidP="00A31699">
            <w:pPr>
              <w:rPr>
                <w:rFonts w:ascii="Calibri" w:hAnsi="Calibri" w:cs="Calibri"/>
                <w:color w:val="000000" w:themeColor="text1"/>
                <w:sz w:val="22"/>
                <w:szCs w:val="22"/>
                <w:lang w:val="en-US"/>
              </w:rPr>
            </w:pPr>
          </w:p>
        </w:tc>
      </w:tr>
      <w:tr w:rsidR="006D1940" w:rsidRPr="00173FD6" w14:paraId="742D47B7" w14:textId="77777777" w:rsidTr="00FF4CA3">
        <w:trPr>
          <w:trHeight w:val="300"/>
        </w:trPr>
        <w:tc>
          <w:tcPr>
            <w:tcW w:w="940" w:type="dxa"/>
            <w:tcBorders>
              <w:top w:val="nil"/>
              <w:bottom w:val="single" w:sz="4" w:space="0" w:color="auto"/>
            </w:tcBorders>
          </w:tcPr>
          <w:p w14:paraId="7BE0B5C2"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single" w:sz="4" w:space="0" w:color="auto"/>
            </w:tcBorders>
          </w:tcPr>
          <w:p w14:paraId="1A3F139B" w14:textId="2160065C" w:rsidR="006D1940" w:rsidRPr="00173FD6" w:rsidRDefault="006D1940" w:rsidP="00A31699">
            <w:pPr>
              <w:rPr>
                <w:rFonts w:ascii="Calibri" w:hAnsi="Calibri" w:cs="Calibri"/>
                <w:color w:val="000000" w:themeColor="text1"/>
                <w:sz w:val="22"/>
                <w:szCs w:val="22"/>
                <w:lang w:val="en-US"/>
              </w:rPr>
            </w:pPr>
          </w:p>
        </w:tc>
        <w:tc>
          <w:tcPr>
            <w:tcW w:w="3689" w:type="dxa"/>
          </w:tcPr>
          <w:p w14:paraId="7D42E017" w14:textId="1DBEF801"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Gabaldon Central School</w:t>
            </w:r>
          </w:p>
        </w:tc>
        <w:tc>
          <w:tcPr>
            <w:tcW w:w="1417" w:type="dxa"/>
            <w:noWrap/>
            <w:hideMark/>
          </w:tcPr>
          <w:p w14:paraId="704872D0"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26697D1E"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37F19C93"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842" w:type="dxa"/>
            <w:noWrap/>
            <w:hideMark/>
          </w:tcPr>
          <w:p w14:paraId="4B10817A"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Pr>
          <w:p w14:paraId="349D3523" w14:textId="77777777" w:rsidR="006D1940" w:rsidRPr="00173FD6" w:rsidRDefault="006D1940" w:rsidP="00A31699">
            <w:pPr>
              <w:rPr>
                <w:rFonts w:ascii="Calibri" w:hAnsi="Calibri" w:cs="Calibri"/>
                <w:color w:val="000000" w:themeColor="text1"/>
                <w:sz w:val="22"/>
                <w:szCs w:val="22"/>
                <w:lang w:val="en-US"/>
              </w:rPr>
            </w:pPr>
          </w:p>
        </w:tc>
      </w:tr>
      <w:tr w:rsidR="006D1940" w:rsidRPr="00173FD6" w14:paraId="4AD0856C" w14:textId="77777777" w:rsidTr="00FF4CA3">
        <w:trPr>
          <w:trHeight w:val="300"/>
        </w:trPr>
        <w:tc>
          <w:tcPr>
            <w:tcW w:w="940" w:type="dxa"/>
            <w:tcBorders>
              <w:bottom w:val="nil"/>
            </w:tcBorders>
          </w:tcPr>
          <w:p w14:paraId="36A5A4D0" w14:textId="77777777" w:rsidR="006D1940" w:rsidRPr="00173FD6" w:rsidRDefault="006D1940" w:rsidP="00A31699">
            <w:pPr>
              <w:rPr>
                <w:rFonts w:ascii="Calibri" w:hAnsi="Calibri" w:cs="Calibri"/>
                <w:color w:val="000000" w:themeColor="text1"/>
                <w:sz w:val="22"/>
                <w:szCs w:val="22"/>
                <w:lang w:val="en-US"/>
              </w:rPr>
            </w:pPr>
          </w:p>
        </w:tc>
        <w:tc>
          <w:tcPr>
            <w:tcW w:w="895" w:type="dxa"/>
            <w:tcBorders>
              <w:bottom w:val="nil"/>
            </w:tcBorders>
          </w:tcPr>
          <w:p w14:paraId="60EC94FB" w14:textId="48E28F70" w:rsidR="006D1940" w:rsidRPr="00173FD6" w:rsidRDefault="006D1940" w:rsidP="00A31699">
            <w:pPr>
              <w:rPr>
                <w:rFonts w:ascii="Calibri" w:hAnsi="Calibri" w:cs="Calibri"/>
                <w:color w:val="000000" w:themeColor="text1"/>
                <w:sz w:val="22"/>
                <w:szCs w:val="22"/>
                <w:lang w:val="en-US"/>
              </w:rPr>
            </w:pPr>
          </w:p>
        </w:tc>
        <w:tc>
          <w:tcPr>
            <w:tcW w:w="3689" w:type="dxa"/>
          </w:tcPr>
          <w:p w14:paraId="213C9496" w14:textId="423CF390"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Balocawehay Elementary School</w:t>
            </w:r>
          </w:p>
        </w:tc>
        <w:tc>
          <w:tcPr>
            <w:tcW w:w="1417" w:type="dxa"/>
            <w:noWrap/>
            <w:hideMark/>
          </w:tcPr>
          <w:p w14:paraId="2EF5C4F1"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259128C5"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418" w:type="dxa"/>
            <w:noWrap/>
            <w:hideMark/>
          </w:tcPr>
          <w:p w14:paraId="4CD5D187"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41D3F837"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Pr>
          <w:p w14:paraId="7CB8A0C1" w14:textId="77777777" w:rsidR="006D1940" w:rsidRPr="00173FD6" w:rsidRDefault="006D1940" w:rsidP="00A31699">
            <w:pPr>
              <w:rPr>
                <w:rFonts w:ascii="Calibri" w:hAnsi="Calibri" w:cs="Calibri"/>
                <w:color w:val="000000" w:themeColor="text1"/>
                <w:sz w:val="22"/>
                <w:szCs w:val="22"/>
                <w:lang w:val="en-US"/>
              </w:rPr>
            </w:pPr>
          </w:p>
        </w:tc>
      </w:tr>
      <w:tr w:rsidR="006D1940" w:rsidRPr="00173FD6" w14:paraId="6B3238D0" w14:textId="77777777" w:rsidTr="00FF4CA3">
        <w:trPr>
          <w:trHeight w:val="300"/>
        </w:trPr>
        <w:tc>
          <w:tcPr>
            <w:tcW w:w="940" w:type="dxa"/>
            <w:tcBorders>
              <w:top w:val="nil"/>
              <w:bottom w:val="nil"/>
            </w:tcBorders>
          </w:tcPr>
          <w:p w14:paraId="41385230"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3E5738AD" w14:textId="774F8899" w:rsidR="006D1940" w:rsidRPr="00173FD6" w:rsidRDefault="006D1940" w:rsidP="00A31699">
            <w:pPr>
              <w:rPr>
                <w:rFonts w:ascii="Calibri" w:hAnsi="Calibri" w:cs="Calibri"/>
                <w:color w:val="000000" w:themeColor="text1"/>
                <w:sz w:val="22"/>
                <w:szCs w:val="22"/>
                <w:lang w:val="en-US"/>
              </w:rPr>
            </w:pPr>
          </w:p>
        </w:tc>
        <w:tc>
          <w:tcPr>
            <w:tcW w:w="3689" w:type="dxa"/>
          </w:tcPr>
          <w:p w14:paraId="2BE3086C" w14:textId="3758B3CE"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Dulag SPED Center</w:t>
            </w:r>
          </w:p>
        </w:tc>
        <w:tc>
          <w:tcPr>
            <w:tcW w:w="1417" w:type="dxa"/>
            <w:noWrap/>
            <w:hideMark/>
          </w:tcPr>
          <w:p w14:paraId="68040364"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7D02EFDC"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74B8D7A2"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842" w:type="dxa"/>
            <w:noWrap/>
            <w:hideMark/>
          </w:tcPr>
          <w:p w14:paraId="723566D9"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Pr>
          <w:p w14:paraId="5D542E3E" w14:textId="77777777" w:rsidR="006D1940" w:rsidRPr="00173FD6" w:rsidRDefault="006D1940" w:rsidP="00A31699">
            <w:pPr>
              <w:rPr>
                <w:rFonts w:ascii="Calibri" w:hAnsi="Calibri" w:cs="Calibri"/>
                <w:color w:val="000000" w:themeColor="text1"/>
                <w:sz w:val="22"/>
                <w:szCs w:val="22"/>
                <w:lang w:val="en-US"/>
              </w:rPr>
            </w:pPr>
          </w:p>
        </w:tc>
      </w:tr>
      <w:tr w:rsidR="006D1940" w:rsidRPr="00173FD6" w14:paraId="2351F30C" w14:textId="77777777" w:rsidTr="00FF4CA3">
        <w:trPr>
          <w:trHeight w:val="300"/>
        </w:trPr>
        <w:tc>
          <w:tcPr>
            <w:tcW w:w="940" w:type="dxa"/>
            <w:tcBorders>
              <w:top w:val="nil"/>
              <w:bottom w:val="nil"/>
            </w:tcBorders>
          </w:tcPr>
          <w:p w14:paraId="449A2549"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6F0359DD" w14:textId="0FEE50B0" w:rsidR="006D1940" w:rsidRPr="00173FD6" w:rsidRDefault="006D1940" w:rsidP="00A31699">
            <w:pPr>
              <w:rPr>
                <w:rFonts w:ascii="Calibri" w:hAnsi="Calibri" w:cs="Calibri"/>
                <w:color w:val="000000" w:themeColor="text1"/>
                <w:sz w:val="22"/>
                <w:szCs w:val="22"/>
                <w:lang w:val="en-US"/>
              </w:rPr>
            </w:pPr>
          </w:p>
        </w:tc>
        <w:tc>
          <w:tcPr>
            <w:tcW w:w="3689" w:type="dxa"/>
          </w:tcPr>
          <w:p w14:paraId="3CFDDC25" w14:textId="60F6AD2A"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Owak Elementary School</w:t>
            </w:r>
          </w:p>
        </w:tc>
        <w:tc>
          <w:tcPr>
            <w:tcW w:w="1417" w:type="dxa"/>
            <w:noWrap/>
            <w:hideMark/>
          </w:tcPr>
          <w:p w14:paraId="3CBEFF0F"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064BA540"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1F0F4C4A"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842" w:type="dxa"/>
            <w:noWrap/>
            <w:hideMark/>
          </w:tcPr>
          <w:p w14:paraId="28EE63AA"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11</w:t>
            </w:r>
          </w:p>
        </w:tc>
        <w:tc>
          <w:tcPr>
            <w:tcW w:w="2835" w:type="dxa"/>
          </w:tcPr>
          <w:p w14:paraId="01A055D1" w14:textId="77777777" w:rsidR="006D1940" w:rsidRPr="00173FD6" w:rsidRDefault="006D1940" w:rsidP="00A31699">
            <w:pPr>
              <w:rPr>
                <w:rFonts w:ascii="Calibri" w:hAnsi="Calibri" w:cs="Calibri"/>
                <w:color w:val="000000" w:themeColor="text1"/>
                <w:sz w:val="22"/>
                <w:szCs w:val="22"/>
                <w:lang w:val="en-US"/>
              </w:rPr>
            </w:pPr>
          </w:p>
        </w:tc>
      </w:tr>
      <w:tr w:rsidR="006D1940" w:rsidRPr="00173FD6" w14:paraId="79F24339" w14:textId="77777777" w:rsidTr="00FF4CA3">
        <w:trPr>
          <w:trHeight w:val="300"/>
        </w:trPr>
        <w:tc>
          <w:tcPr>
            <w:tcW w:w="940" w:type="dxa"/>
            <w:tcBorders>
              <w:top w:val="nil"/>
              <w:bottom w:val="nil"/>
            </w:tcBorders>
          </w:tcPr>
          <w:p w14:paraId="5E5FE676"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7B9DC7E8" w14:textId="13AC91BE" w:rsidR="006D1940" w:rsidRPr="00173FD6" w:rsidRDefault="006D1940" w:rsidP="00A31699">
            <w:pPr>
              <w:rPr>
                <w:rFonts w:ascii="Calibri" w:hAnsi="Calibri" w:cs="Calibri"/>
                <w:color w:val="000000" w:themeColor="text1"/>
                <w:sz w:val="22"/>
                <w:szCs w:val="22"/>
                <w:lang w:val="en-US"/>
              </w:rPr>
            </w:pPr>
          </w:p>
        </w:tc>
        <w:tc>
          <w:tcPr>
            <w:tcW w:w="3689" w:type="dxa"/>
          </w:tcPr>
          <w:p w14:paraId="4CDBAEA6" w14:textId="725E2176"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Tagnate Elementary School</w:t>
            </w:r>
          </w:p>
        </w:tc>
        <w:tc>
          <w:tcPr>
            <w:tcW w:w="1417" w:type="dxa"/>
            <w:noWrap/>
            <w:hideMark/>
          </w:tcPr>
          <w:p w14:paraId="0D26C1AC"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22E0A5B9"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1F427390"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842" w:type="dxa"/>
            <w:noWrap/>
            <w:hideMark/>
          </w:tcPr>
          <w:p w14:paraId="53582E7B"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Pr>
          <w:p w14:paraId="78B526FE" w14:textId="77777777" w:rsidR="006D1940" w:rsidRPr="00173FD6" w:rsidRDefault="006D1940" w:rsidP="00A31699">
            <w:pPr>
              <w:rPr>
                <w:rFonts w:ascii="Calibri" w:hAnsi="Calibri" w:cs="Calibri"/>
                <w:color w:val="000000" w:themeColor="text1"/>
                <w:sz w:val="22"/>
                <w:szCs w:val="22"/>
                <w:lang w:val="en-US"/>
              </w:rPr>
            </w:pPr>
          </w:p>
        </w:tc>
      </w:tr>
      <w:tr w:rsidR="006D1940" w:rsidRPr="00173FD6" w14:paraId="15001EAD" w14:textId="77777777" w:rsidTr="00FF4CA3">
        <w:trPr>
          <w:trHeight w:val="300"/>
        </w:trPr>
        <w:tc>
          <w:tcPr>
            <w:tcW w:w="940" w:type="dxa"/>
            <w:tcBorders>
              <w:top w:val="nil"/>
              <w:bottom w:val="nil"/>
            </w:tcBorders>
          </w:tcPr>
          <w:p w14:paraId="27C8EB1C"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62838F18" w14:textId="0F0AAE2F" w:rsidR="006D1940" w:rsidRPr="00173FD6" w:rsidRDefault="006D1940" w:rsidP="00A31699">
            <w:pPr>
              <w:rPr>
                <w:rFonts w:ascii="Calibri" w:hAnsi="Calibri" w:cs="Calibri"/>
                <w:color w:val="000000" w:themeColor="text1"/>
                <w:sz w:val="22"/>
                <w:szCs w:val="22"/>
                <w:lang w:val="en-US"/>
              </w:rPr>
            </w:pPr>
          </w:p>
        </w:tc>
        <w:tc>
          <w:tcPr>
            <w:tcW w:w="3689" w:type="dxa"/>
          </w:tcPr>
          <w:p w14:paraId="2ED0EDE7" w14:textId="203699B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Hindang Central School</w:t>
            </w:r>
          </w:p>
        </w:tc>
        <w:tc>
          <w:tcPr>
            <w:tcW w:w="1417" w:type="dxa"/>
            <w:noWrap/>
            <w:hideMark/>
          </w:tcPr>
          <w:p w14:paraId="4FF28533"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25ECC4A7"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418" w:type="dxa"/>
            <w:noWrap/>
            <w:hideMark/>
          </w:tcPr>
          <w:p w14:paraId="07410D51"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65A89D50"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Pr>
          <w:p w14:paraId="4143D792" w14:textId="77777777" w:rsidR="006D1940" w:rsidRPr="00173FD6" w:rsidRDefault="006D1940" w:rsidP="00A31699">
            <w:pPr>
              <w:rPr>
                <w:rFonts w:ascii="Calibri" w:hAnsi="Calibri" w:cs="Calibri"/>
                <w:color w:val="000000" w:themeColor="text1"/>
                <w:sz w:val="22"/>
                <w:szCs w:val="22"/>
                <w:lang w:val="en-US"/>
              </w:rPr>
            </w:pPr>
          </w:p>
        </w:tc>
      </w:tr>
      <w:tr w:rsidR="006D1940" w:rsidRPr="00173FD6" w14:paraId="355E40BB" w14:textId="77777777" w:rsidTr="00FF4CA3">
        <w:trPr>
          <w:trHeight w:val="300"/>
        </w:trPr>
        <w:tc>
          <w:tcPr>
            <w:tcW w:w="940" w:type="dxa"/>
            <w:tcBorders>
              <w:top w:val="nil"/>
              <w:bottom w:val="single" w:sz="4" w:space="0" w:color="auto"/>
            </w:tcBorders>
          </w:tcPr>
          <w:p w14:paraId="42BEB051"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single" w:sz="4" w:space="0" w:color="auto"/>
            </w:tcBorders>
          </w:tcPr>
          <w:p w14:paraId="2253D72D" w14:textId="28CFB0CF" w:rsidR="006D1940" w:rsidRPr="00173FD6" w:rsidRDefault="006D1940" w:rsidP="00A31699">
            <w:pPr>
              <w:rPr>
                <w:rFonts w:ascii="Calibri" w:hAnsi="Calibri" w:cs="Calibri"/>
                <w:color w:val="000000" w:themeColor="text1"/>
                <w:sz w:val="22"/>
                <w:szCs w:val="22"/>
                <w:lang w:val="en-US"/>
              </w:rPr>
            </w:pPr>
          </w:p>
        </w:tc>
        <w:tc>
          <w:tcPr>
            <w:tcW w:w="3689" w:type="dxa"/>
          </w:tcPr>
          <w:p w14:paraId="591D31D7" w14:textId="69B3C00B"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Puerto Bello Elementary School</w:t>
            </w:r>
          </w:p>
        </w:tc>
        <w:tc>
          <w:tcPr>
            <w:tcW w:w="1417" w:type="dxa"/>
            <w:noWrap/>
            <w:hideMark/>
          </w:tcPr>
          <w:p w14:paraId="74BA2173"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23A22D98"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418" w:type="dxa"/>
            <w:noWrap/>
            <w:hideMark/>
          </w:tcPr>
          <w:p w14:paraId="1FBBDA97"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04BD9971"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Pr>
          <w:p w14:paraId="508B8607" w14:textId="77777777" w:rsidR="006D1940" w:rsidRPr="00173FD6" w:rsidRDefault="006D1940" w:rsidP="00A31699">
            <w:pPr>
              <w:rPr>
                <w:rFonts w:ascii="Calibri" w:hAnsi="Calibri" w:cs="Calibri"/>
                <w:color w:val="000000" w:themeColor="text1"/>
                <w:sz w:val="22"/>
                <w:szCs w:val="22"/>
                <w:lang w:val="en-US"/>
              </w:rPr>
            </w:pPr>
          </w:p>
        </w:tc>
      </w:tr>
      <w:tr w:rsidR="006D1940" w:rsidRPr="00173FD6" w14:paraId="30AB2B96" w14:textId="77777777" w:rsidTr="00FF4CA3">
        <w:trPr>
          <w:trHeight w:val="300"/>
        </w:trPr>
        <w:tc>
          <w:tcPr>
            <w:tcW w:w="940" w:type="dxa"/>
            <w:tcBorders>
              <w:top w:val="single" w:sz="4" w:space="0" w:color="auto"/>
              <w:bottom w:val="nil"/>
            </w:tcBorders>
          </w:tcPr>
          <w:p w14:paraId="1C0F6E94"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single" w:sz="4" w:space="0" w:color="auto"/>
              <w:bottom w:val="nil"/>
            </w:tcBorders>
          </w:tcPr>
          <w:p w14:paraId="4C35C1EA" w14:textId="0AACA3AA" w:rsidR="006D1940" w:rsidRPr="00173FD6" w:rsidRDefault="006D1940" w:rsidP="00A31699">
            <w:pPr>
              <w:rPr>
                <w:rFonts w:ascii="Calibri" w:hAnsi="Calibri" w:cs="Calibri"/>
                <w:color w:val="000000" w:themeColor="text1"/>
                <w:sz w:val="22"/>
                <w:szCs w:val="22"/>
                <w:lang w:val="en-US"/>
              </w:rPr>
            </w:pPr>
          </w:p>
        </w:tc>
        <w:tc>
          <w:tcPr>
            <w:tcW w:w="3689" w:type="dxa"/>
          </w:tcPr>
          <w:p w14:paraId="233D266C" w14:textId="2FDB5989"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Hinabuyan Central School</w:t>
            </w:r>
          </w:p>
        </w:tc>
        <w:tc>
          <w:tcPr>
            <w:tcW w:w="1417" w:type="dxa"/>
            <w:noWrap/>
            <w:hideMark/>
          </w:tcPr>
          <w:p w14:paraId="3F545DAD"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229A80B4"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418" w:type="dxa"/>
            <w:noWrap/>
            <w:hideMark/>
          </w:tcPr>
          <w:p w14:paraId="1C483E7A"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1A9193EE"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Pr>
          <w:p w14:paraId="4DE25117" w14:textId="77777777" w:rsidR="006D1940" w:rsidRPr="00173FD6" w:rsidRDefault="006D1940" w:rsidP="00A31699">
            <w:pPr>
              <w:rPr>
                <w:rFonts w:ascii="Calibri" w:hAnsi="Calibri" w:cs="Calibri"/>
                <w:color w:val="000000" w:themeColor="text1"/>
                <w:sz w:val="22"/>
                <w:szCs w:val="22"/>
                <w:lang w:val="en-US"/>
              </w:rPr>
            </w:pPr>
          </w:p>
        </w:tc>
      </w:tr>
      <w:tr w:rsidR="006D1940" w:rsidRPr="00173FD6" w14:paraId="4A99C281" w14:textId="77777777" w:rsidTr="00FF4CA3">
        <w:trPr>
          <w:trHeight w:val="300"/>
        </w:trPr>
        <w:tc>
          <w:tcPr>
            <w:tcW w:w="940" w:type="dxa"/>
            <w:tcBorders>
              <w:top w:val="nil"/>
              <w:bottom w:val="nil"/>
            </w:tcBorders>
          </w:tcPr>
          <w:p w14:paraId="126D609B"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single" w:sz="4" w:space="0" w:color="auto"/>
            </w:tcBorders>
          </w:tcPr>
          <w:p w14:paraId="60942054" w14:textId="1D604CC2" w:rsidR="006D1940" w:rsidRPr="00173FD6" w:rsidRDefault="006D1940" w:rsidP="00A31699">
            <w:pPr>
              <w:rPr>
                <w:rFonts w:ascii="Calibri" w:hAnsi="Calibri" w:cs="Calibri"/>
                <w:color w:val="000000" w:themeColor="text1"/>
                <w:sz w:val="22"/>
                <w:szCs w:val="22"/>
                <w:lang w:val="en-US"/>
              </w:rPr>
            </w:pPr>
          </w:p>
        </w:tc>
        <w:tc>
          <w:tcPr>
            <w:tcW w:w="3689" w:type="dxa"/>
          </w:tcPr>
          <w:p w14:paraId="3DFDFA66" w14:textId="0D06BA0F"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Sub-total</w:t>
            </w:r>
          </w:p>
        </w:tc>
        <w:tc>
          <w:tcPr>
            <w:tcW w:w="1417" w:type="dxa"/>
            <w:noWrap/>
            <w:hideMark/>
          </w:tcPr>
          <w:p w14:paraId="56181A8C"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2</w:t>
            </w:r>
          </w:p>
        </w:tc>
        <w:tc>
          <w:tcPr>
            <w:tcW w:w="1701" w:type="dxa"/>
            <w:noWrap/>
            <w:hideMark/>
          </w:tcPr>
          <w:p w14:paraId="75BF3E87"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6</w:t>
            </w:r>
          </w:p>
        </w:tc>
        <w:tc>
          <w:tcPr>
            <w:tcW w:w="1418" w:type="dxa"/>
            <w:noWrap/>
            <w:hideMark/>
          </w:tcPr>
          <w:p w14:paraId="44CEC0CC"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9</w:t>
            </w:r>
          </w:p>
        </w:tc>
        <w:tc>
          <w:tcPr>
            <w:tcW w:w="1842" w:type="dxa"/>
            <w:noWrap/>
            <w:hideMark/>
          </w:tcPr>
          <w:p w14:paraId="4AC72069"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22</w:t>
            </w:r>
          </w:p>
        </w:tc>
        <w:tc>
          <w:tcPr>
            <w:tcW w:w="2835" w:type="dxa"/>
          </w:tcPr>
          <w:p w14:paraId="7608C08B" w14:textId="2CCE5ECC"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0</w:t>
            </w:r>
          </w:p>
        </w:tc>
      </w:tr>
      <w:tr w:rsidR="006D1940" w:rsidRPr="00173FD6" w14:paraId="27749B9D" w14:textId="77777777" w:rsidTr="00FF4CA3">
        <w:trPr>
          <w:trHeight w:val="600"/>
        </w:trPr>
        <w:tc>
          <w:tcPr>
            <w:tcW w:w="940" w:type="dxa"/>
            <w:tcBorders>
              <w:top w:val="nil"/>
              <w:bottom w:val="nil"/>
            </w:tcBorders>
          </w:tcPr>
          <w:p w14:paraId="4F3B4E42" w14:textId="77777777" w:rsidR="006D1940" w:rsidRPr="00173FD6" w:rsidRDefault="006D1940" w:rsidP="00A31699">
            <w:pPr>
              <w:rPr>
                <w:rFonts w:ascii="Calibri" w:hAnsi="Calibri" w:cs="Calibri"/>
                <w:color w:val="000000" w:themeColor="text1"/>
                <w:sz w:val="22"/>
                <w:szCs w:val="22"/>
                <w:lang w:val="en-US"/>
              </w:rPr>
            </w:pPr>
          </w:p>
        </w:tc>
        <w:tc>
          <w:tcPr>
            <w:tcW w:w="895" w:type="dxa"/>
            <w:tcBorders>
              <w:bottom w:val="nil"/>
            </w:tcBorders>
          </w:tcPr>
          <w:p w14:paraId="01FB630F" w14:textId="179521B8"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Non-BEST Schools</w:t>
            </w:r>
          </w:p>
        </w:tc>
        <w:tc>
          <w:tcPr>
            <w:tcW w:w="3689" w:type="dxa"/>
          </w:tcPr>
          <w:p w14:paraId="465057F0" w14:textId="561C8A65"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Victory Elementary School</w:t>
            </w:r>
          </w:p>
        </w:tc>
        <w:tc>
          <w:tcPr>
            <w:tcW w:w="1417" w:type="dxa"/>
            <w:noWrap/>
            <w:hideMark/>
          </w:tcPr>
          <w:p w14:paraId="3BBF2B31"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2FE8BF2F"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418" w:type="dxa"/>
            <w:noWrap/>
            <w:hideMark/>
          </w:tcPr>
          <w:p w14:paraId="0EFB3363"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55EF111D"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Pr>
          <w:p w14:paraId="47481D9D" w14:textId="0417867D"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With computers; no connectivity; using personal computers</w:t>
            </w:r>
          </w:p>
        </w:tc>
      </w:tr>
      <w:tr w:rsidR="006D1940" w:rsidRPr="00173FD6" w14:paraId="70988268" w14:textId="77777777" w:rsidTr="00FF4CA3">
        <w:trPr>
          <w:trHeight w:val="300"/>
        </w:trPr>
        <w:tc>
          <w:tcPr>
            <w:tcW w:w="940" w:type="dxa"/>
            <w:tcBorders>
              <w:top w:val="nil"/>
              <w:bottom w:val="nil"/>
            </w:tcBorders>
          </w:tcPr>
          <w:p w14:paraId="32C71685"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05AFC50D" w14:textId="650959CE" w:rsidR="006D1940" w:rsidRPr="00173FD6" w:rsidRDefault="006D1940" w:rsidP="00A31699">
            <w:pPr>
              <w:rPr>
                <w:rFonts w:ascii="Calibri" w:hAnsi="Calibri" w:cs="Calibri"/>
                <w:color w:val="000000" w:themeColor="text1"/>
                <w:sz w:val="22"/>
                <w:szCs w:val="22"/>
                <w:lang w:val="en-US"/>
              </w:rPr>
            </w:pPr>
          </w:p>
        </w:tc>
        <w:tc>
          <w:tcPr>
            <w:tcW w:w="3689" w:type="dxa"/>
          </w:tcPr>
          <w:p w14:paraId="12FE44B5" w14:textId="1FF62055"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Malbog Elementary School</w:t>
            </w:r>
          </w:p>
        </w:tc>
        <w:tc>
          <w:tcPr>
            <w:tcW w:w="1417" w:type="dxa"/>
            <w:noWrap/>
            <w:hideMark/>
          </w:tcPr>
          <w:p w14:paraId="37F734AC"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21AC79FC"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418" w:type="dxa"/>
            <w:noWrap/>
            <w:hideMark/>
          </w:tcPr>
          <w:p w14:paraId="70D087AB"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0AF1A422"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Pr>
          <w:p w14:paraId="2BE19850" w14:textId="158F1CBD"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With functional computers</w:t>
            </w:r>
          </w:p>
        </w:tc>
      </w:tr>
      <w:tr w:rsidR="006D1940" w:rsidRPr="00173FD6" w14:paraId="6B06E269" w14:textId="77777777" w:rsidTr="00FF4CA3">
        <w:trPr>
          <w:trHeight w:val="300"/>
        </w:trPr>
        <w:tc>
          <w:tcPr>
            <w:tcW w:w="940" w:type="dxa"/>
            <w:tcBorders>
              <w:top w:val="nil"/>
              <w:bottom w:val="nil"/>
            </w:tcBorders>
          </w:tcPr>
          <w:p w14:paraId="7D9A5979"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394B6868" w14:textId="3D839FE8" w:rsidR="006D1940" w:rsidRPr="00173FD6" w:rsidRDefault="006D1940" w:rsidP="00A31699">
            <w:pPr>
              <w:rPr>
                <w:rFonts w:ascii="Calibri" w:hAnsi="Calibri" w:cs="Calibri"/>
                <w:color w:val="000000" w:themeColor="text1"/>
                <w:sz w:val="22"/>
                <w:szCs w:val="22"/>
                <w:lang w:val="en-US"/>
              </w:rPr>
            </w:pPr>
          </w:p>
        </w:tc>
        <w:tc>
          <w:tcPr>
            <w:tcW w:w="3689" w:type="dxa"/>
          </w:tcPr>
          <w:p w14:paraId="04D0CD58" w14:textId="404315F9"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Batiawan Elementary School</w:t>
            </w:r>
          </w:p>
        </w:tc>
        <w:tc>
          <w:tcPr>
            <w:tcW w:w="1417" w:type="dxa"/>
            <w:noWrap/>
            <w:hideMark/>
          </w:tcPr>
          <w:p w14:paraId="543C71BA"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2DE3BEB1"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15176924"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842" w:type="dxa"/>
            <w:noWrap/>
            <w:hideMark/>
          </w:tcPr>
          <w:p w14:paraId="3E293F94"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Pr>
          <w:p w14:paraId="213AF38D" w14:textId="2E4E4266"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With functional computers</w:t>
            </w:r>
          </w:p>
        </w:tc>
      </w:tr>
      <w:tr w:rsidR="006D1940" w:rsidRPr="00173FD6" w14:paraId="095BE2A0" w14:textId="77777777" w:rsidTr="00FF4CA3">
        <w:trPr>
          <w:trHeight w:val="300"/>
        </w:trPr>
        <w:tc>
          <w:tcPr>
            <w:tcW w:w="940" w:type="dxa"/>
            <w:tcBorders>
              <w:top w:val="nil"/>
              <w:bottom w:val="nil"/>
            </w:tcBorders>
          </w:tcPr>
          <w:p w14:paraId="3FBB425F"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66EF255B" w14:textId="16366487" w:rsidR="006D1940" w:rsidRPr="00173FD6" w:rsidRDefault="006D1940" w:rsidP="00A31699">
            <w:pPr>
              <w:rPr>
                <w:rFonts w:ascii="Calibri" w:hAnsi="Calibri" w:cs="Calibri"/>
                <w:color w:val="000000" w:themeColor="text1"/>
                <w:sz w:val="22"/>
                <w:szCs w:val="22"/>
                <w:lang w:val="en-US"/>
              </w:rPr>
            </w:pPr>
          </w:p>
        </w:tc>
        <w:tc>
          <w:tcPr>
            <w:tcW w:w="3689" w:type="dxa"/>
          </w:tcPr>
          <w:p w14:paraId="42B70B39" w14:textId="68AEDB0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Maitum Elementary School</w:t>
            </w:r>
          </w:p>
        </w:tc>
        <w:tc>
          <w:tcPr>
            <w:tcW w:w="1417" w:type="dxa"/>
            <w:noWrap/>
            <w:hideMark/>
          </w:tcPr>
          <w:p w14:paraId="4C1A3040"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23B9F15A"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2F6CC4F7"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842" w:type="dxa"/>
            <w:noWrap/>
            <w:hideMark/>
          </w:tcPr>
          <w:p w14:paraId="7ACD0534"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Pr>
          <w:p w14:paraId="0FE9124D" w14:textId="0B55FE54"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r>
      <w:tr w:rsidR="006D1940" w:rsidRPr="00173FD6" w14:paraId="4AB4B508" w14:textId="77777777" w:rsidTr="00FF4CA3">
        <w:trPr>
          <w:trHeight w:val="300"/>
        </w:trPr>
        <w:tc>
          <w:tcPr>
            <w:tcW w:w="940" w:type="dxa"/>
            <w:tcBorders>
              <w:top w:val="nil"/>
              <w:bottom w:val="nil"/>
            </w:tcBorders>
          </w:tcPr>
          <w:p w14:paraId="7DD771B0"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575B633B" w14:textId="69D3CFCA" w:rsidR="006D1940" w:rsidRPr="00173FD6" w:rsidRDefault="006D1940" w:rsidP="00A31699">
            <w:pPr>
              <w:rPr>
                <w:rFonts w:ascii="Calibri" w:hAnsi="Calibri" w:cs="Calibri"/>
                <w:color w:val="000000" w:themeColor="text1"/>
                <w:sz w:val="22"/>
                <w:szCs w:val="22"/>
                <w:lang w:val="en-US"/>
              </w:rPr>
            </w:pPr>
          </w:p>
        </w:tc>
        <w:tc>
          <w:tcPr>
            <w:tcW w:w="3689" w:type="dxa"/>
          </w:tcPr>
          <w:p w14:paraId="2AB07879" w14:textId="17159920"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Pong-on Elementary School</w:t>
            </w:r>
          </w:p>
        </w:tc>
        <w:tc>
          <w:tcPr>
            <w:tcW w:w="1417" w:type="dxa"/>
            <w:noWrap/>
            <w:hideMark/>
          </w:tcPr>
          <w:p w14:paraId="733B5D62"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477A7AFB"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40CCBBD6"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842" w:type="dxa"/>
            <w:noWrap/>
            <w:hideMark/>
          </w:tcPr>
          <w:p w14:paraId="094ED39E"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Pr>
          <w:p w14:paraId="459BF63B" w14:textId="7D0A83A0"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r>
      <w:tr w:rsidR="006D1940" w:rsidRPr="00173FD6" w14:paraId="618C6DC0" w14:textId="77777777" w:rsidTr="004B064D">
        <w:trPr>
          <w:trHeight w:val="300"/>
        </w:trPr>
        <w:tc>
          <w:tcPr>
            <w:tcW w:w="940" w:type="dxa"/>
            <w:tcBorders>
              <w:top w:val="nil"/>
              <w:bottom w:val="single" w:sz="4" w:space="0" w:color="auto"/>
            </w:tcBorders>
          </w:tcPr>
          <w:p w14:paraId="77418924"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single" w:sz="4" w:space="0" w:color="auto"/>
            </w:tcBorders>
          </w:tcPr>
          <w:p w14:paraId="459DB697" w14:textId="5DD2B39D" w:rsidR="006D1940" w:rsidRPr="00173FD6" w:rsidRDefault="006D1940" w:rsidP="00A31699">
            <w:pPr>
              <w:rPr>
                <w:rFonts w:ascii="Calibri" w:hAnsi="Calibri" w:cs="Calibri"/>
                <w:color w:val="000000" w:themeColor="text1"/>
                <w:sz w:val="22"/>
                <w:szCs w:val="22"/>
                <w:lang w:val="en-US"/>
              </w:rPr>
            </w:pPr>
          </w:p>
        </w:tc>
        <w:tc>
          <w:tcPr>
            <w:tcW w:w="3689" w:type="dxa"/>
            <w:tcBorders>
              <w:bottom w:val="single" w:sz="4" w:space="0" w:color="auto"/>
            </w:tcBorders>
          </w:tcPr>
          <w:p w14:paraId="1BE4C336" w14:textId="32A02496"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Sub-total</w:t>
            </w:r>
          </w:p>
        </w:tc>
        <w:tc>
          <w:tcPr>
            <w:tcW w:w="1417" w:type="dxa"/>
            <w:tcBorders>
              <w:bottom w:val="single" w:sz="4" w:space="0" w:color="auto"/>
            </w:tcBorders>
            <w:noWrap/>
            <w:hideMark/>
          </w:tcPr>
          <w:p w14:paraId="3AFEA26F"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0</w:t>
            </w:r>
          </w:p>
        </w:tc>
        <w:tc>
          <w:tcPr>
            <w:tcW w:w="1701" w:type="dxa"/>
            <w:tcBorders>
              <w:bottom w:val="single" w:sz="4" w:space="0" w:color="auto"/>
            </w:tcBorders>
            <w:noWrap/>
            <w:hideMark/>
          </w:tcPr>
          <w:p w14:paraId="55AA44C7"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2</w:t>
            </w:r>
          </w:p>
        </w:tc>
        <w:tc>
          <w:tcPr>
            <w:tcW w:w="1418" w:type="dxa"/>
            <w:tcBorders>
              <w:bottom w:val="single" w:sz="4" w:space="0" w:color="auto"/>
            </w:tcBorders>
            <w:noWrap/>
            <w:hideMark/>
          </w:tcPr>
          <w:p w14:paraId="001D78F0"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3</w:t>
            </w:r>
          </w:p>
        </w:tc>
        <w:tc>
          <w:tcPr>
            <w:tcW w:w="1842" w:type="dxa"/>
            <w:tcBorders>
              <w:bottom w:val="single" w:sz="4" w:space="0" w:color="auto"/>
            </w:tcBorders>
            <w:noWrap/>
            <w:hideMark/>
          </w:tcPr>
          <w:p w14:paraId="05B53F38"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5</w:t>
            </w:r>
          </w:p>
        </w:tc>
        <w:tc>
          <w:tcPr>
            <w:tcW w:w="2835" w:type="dxa"/>
            <w:tcBorders>
              <w:bottom w:val="single" w:sz="4" w:space="0" w:color="auto"/>
            </w:tcBorders>
          </w:tcPr>
          <w:p w14:paraId="5091E55A" w14:textId="17688A49"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0</w:t>
            </w:r>
          </w:p>
        </w:tc>
      </w:tr>
      <w:tr w:rsidR="006D1940" w:rsidRPr="00173FD6" w14:paraId="62FB845D" w14:textId="77777777" w:rsidTr="004B064D">
        <w:trPr>
          <w:trHeight w:val="600"/>
        </w:trPr>
        <w:tc>
          <w:tcPr>
            <w:tcW w:w="940" w:type="dxa"/>
            <w:tcBorders>
              <w:top w:val="single" w:sz="4" w:space="0" w:color="auto"/>
              <w:bottom w:val="single" w:sz="4" w:space="0" w:color="auto"/>
            </w:tcBorders>
          </w:tcPr>
          <w:p w14:paraId="15079831"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single" w:sz="4" w:space="0" w:color="auto"/>
              <w:bottom w:val="single" w:sz="4" w:space="0" w:color="auto"/>
            </w:tcBorders>
          </w:tcPr>
          <w:p w14:paraId="6CEAFC88" w14:textId="199C1CBF" w:rsidR="006D1940" w:rsidRPr="00173FD6" w:rsidRDefault="006D1940" w:rsidP="00A31699">
            <w:pPr>
              <w:rPr>
                <w:rFonts w:ascii="Calibri" w:hAnsi="Calibri" w:cs="Calibri"/>
                <w:color w:val="000000" w:themeColor="text1"/>
                <w:sz w:val="22"/>
                <w:szCs w:val="22"/>
                <w:lang w:val="en-US"/>
              </w:rPr>
            </w:pPr>
          </w:p>
        </w:tc>
        <w:tc>
          <w:tcPr>
            <w:tcW w:w="3689" w:type="dxa"/>
            <w:tcBorders>
              <w:top w:val="single" w:sz="4" w:space="0" w:color="auto"/>
            </w:tcBorders>
          </w:tcPr>
          <w:p w14:paraId="74FC301E" w14:textId="44A85EAA"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Total REGION VII</w:t>
            </w:r>
          </w:p>
        </w:tc>
        <w:tc>
          <w:tcPr>
            <w:tcW w:w="1417" w:type="dxa"/>
            <w:tcBorders>
              <w:top w:val="single" w:sz="4" w:space="0" w:color="auto"/>
            </w:tcBorders>
            <w:noWrap/>
            <w:hideMark/>
          </w:tcPr>
          <w:p w14:paraId="3399F224" w14:textId="77777777"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2</w:t>
            </w:r>
          </w:p>
        </w:tc>
        <w:tc>
          <w:tcPr>
            <w:tcW w:w="1701" w:type="dxa"/>
            <w:tcBorders>
              <w:top w:val="single" w:sz="4" w:space="0" w:color="auto"/>
            </w:tcBorders>
            <w:noWrap/>
            <w:hideMark/>
          </w:tcPr>
          <w:p w14:paraId="33EB2506" w14:textId="77777777"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8</w:t>
            </w:r>
          </w:p>
        </w:tc>
        <w:tc>
          <w:tcPr>
            <w:tcW w:w="1418" w:type="dxa"/>
            <w:tcBorders>
              <w:top w:val="single" w:sz="4" w:space="0" w:color="auto"/>
            </w:tcBorders>
            <w:noWrap/>
            <w:hideMark/>
          </w:tcPr>
          <w:p w14:paraId="5EF817C4" w14:textId="77777777"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12</w:t>
            </w:r>
          </w:p>
        </w:tc>
        <w:tc>
          <w:tcPr>
            <w:tcW w:w="1842" w:type="dxa"/>
            <w:tcBorders>
              <w:top w:val="single" w:sz="4" w:space="0" w:color="auto"/>
            </w:tcBorders>
            <w:noWrap/>
            <w:hideMark/>
          </w:tcPr>
          <w:p w14:paraId="6EB4AA12" w14:textId="77777777"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6</w:t>
            </w:r>
          </w:p>
        </w:tc>
        <w:tc>
          <w:tcPr>
            <w:tcW w:w="2835" w:type="dxa"/>
            <w:tcBorders>
              <w:top w:val="single" w:sz="4" w:space="0" w:color="auto"/>
            </w:tcBorders>
          </w:tcPr>
          <w:p w14:paraId="3B6400BE" w14:textId="208DE16C"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 </w:t>
            </w:r>
          </w:p>
        </w:tc>
      </w:tr>
      <w:tr w:rsidR="006D1940" w:rsidRPr="00173FD6" w14:paraId="156B3D4C" w14:textId="77777777" w:rsidTr="00FF4CA3">
        <w:trPr>
          <w:trHeight w:val="300"/>
        </w:trPr>
        <w:tc>
          <w:tcPr>
            <w:tcW w:w="940" w:type="dxa"/>
            <w:tcBorders>
              <w:bottom w:val="nil"/>
            </w:tcBorders>
          </w:tcPr>
          <w:p w14:paraId="11FA26FF" w14:textId="09B05110"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b/>
                <w:bCs/>
                <w:color w:val="000000" w:themeColor="text1"/>
                <w:sz w:val="22"/>
                <w:szCs w:val="22"/>
                <w:lang w:val="en-US"/>
              </w:rPr>
              <w:t>REGION 10</w:t>
            </w:r>
          </w:p>
        </w:tc>
        <w:tc>
          <w:tcPr>
            <w:tcW w:w="895" w:type="dxa"/>
            <w:tcBorders>
              <w:bottom w:val="nil"/>
            </w:tcBorders>
          </w:tcPr>
          <w:p w14:paraId="308CEC0C" w14:textId="61584273"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BEST Schools</w:t>
            </w:r>
          </w:p>
        </w:tc>
        <w:tc>
          <w:tcPr>
            <w:tcW w:w="3689" w:type="dxa"/>
          </w:tcPr>
          <w:p w14:paraId="4FEAA3AC" w14:textId="0A44873D"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Balubal Elementary School</w:t>
            </w:r>
          </w:p>
        </w:tc>
        <w:tc>
          <w:tcPr>
            <w:tcW w:w="1417" w:type="dxa"/>
            <w:noWrap/>
            <w:hideMark/>
          </w:tcPr>
          <w:p w14:paraId="3B4A1ABB"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24F04EB4"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418" w:type="dxa"/>
            <w:noWrap/>
            <w:hideMark/>
          </w:tcPr>
          <w:p w14:paraId="32080FE8"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7A56F9D0"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Pr>
          <w:p w14:paraId="542A2727" w14:textId="7E0DA9F9"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7 PCs and 2 laptops are all functioning</w:t>
            </w:r>
          </w:p>
        </w:tc>
      </w:tr>
      <w:tr w:rsidR="006D1940" w:rsidRPr="00173FD6" w14:paraId="632B22A3" w14:textId="77777777" w:rsidTr="00FF4CA3">
        <w:trPr>
          <w:trHeight w:val="300"/>
        </w:trPr>
        <w:tc>
          <w:tcPr>
            <w:tcW w:w="940" w:type="dxa"/>
            <w:tcBorders>
              <w:top w:val="nil"/>
              <w:bottom w:val="nil"/>
            </w:tcBorders>
          </w:tcPr>
          <w:p w14:paraId="108A1BD2"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70EDE578" w14:textId="587EB8F3" w:rsidR="006D1940" w:rsidRPr="00173FD6" w:rsidRDefault="006D1940" w:rsidP="00A31699">
            <w:pPr>
              <w:rPr>
                <w:rFonts w:ascii="Calibri" w:hAnsi="Calibri" w:cs="Calibri"/>
                <w:color w:val="000000" w:themeColor="text1"/>
                <w:sz w:val="22"/>
                <w:szCs w:val="22"/>
                <w:lang w:val="en-US"/>
              </w:rPr>
            </w:pPr>
          </w:p>
        </w:tc>
        <w:tc>
          <w:tcPr>
            <w:tcW w:w="3689" w:type="dxa"/>
          </w:tcPr>
          <w:p w14:paraId="07531E24" w14:textId="77777777" w:rsidR="006D1940" w:rsidRPr="00173FD6" w:rsidRDefault="006D1940" w:rsidP="00A31699">
            <w:pPr>
              <w:rPr>
                <w:rFonts w:ascii="Calibri" w:hAnsi="Calibri" w:cs="Calibri"/>
                <w:color w:val="000000" w:themeColor="text1"/>
                <w:sz w:val="22"/>
                <w:szCs w:val="22"/>
                <w:lang w:val="en-US"/>
              </w:rPr>
            </w:pPr>
          </w:p>
        </w:tc>
        <w:tc>
          <w:tcPr>
            <w:tcW w:w="1417" w:type="dxa"/>
            <w:noWrap/>
            <w:hideMark/>
          </w:tcPr>
          <w:p w14:paraId="790F9BCE"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66D92D23"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34A588EF"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4D82FDE8"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Pr>
          <w:p w14:paraId="2E3AC26E" w14:textId="6D3EA912"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No internet connection</w:t>
            </w:r>
          </w:p>
        </w:tc>
      </w:tr>
      <w:tr w:rsidR="006D1940" w:rsidRPr="00173FD6" w14:paraId="53A9FAB0" w14:textId="77777777" w:rsidTr="00FF4CA3">
        <w:trPr>
          <w:trHeight w:val="300"/>
        </w:trPr>
        <w:tc>
          <w:tcPr>
            <w:tcW w:w="940" w:type="dxa"/>
            <w:tcBorders>
              <w:top w:val="nil"/>
              <w:bottom w:val="nil"/>
            </w:tcBorders>
          </w:tcPr>
          <w:p w14:paraId="7AA1F7B6"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027C46B5" w14:textId="165FF761" w:rsidR="006D1940" w:rsidRPr="00173FD6" w:rsidRDefault="006D1940" w:rsidP="00A31699">
            <w:pPr>
              <w:rPr>
                <w:rFonts w:ascii="Calibri" w:hAnsi="Calibri" w:cs="Calibri"/>
                <w:color w:val="000000" w:themeColor="text1"/>
                <w:sz w:val="22"/>
                <w:szCs w:val="22"/>
                <w:lang w:val="en-US"/>
              </w:rPr>
            </w:pPr>
          </w:p>
        </w:tc>
        <w:tc>
          <w:tcPr>
            <w:tcW w:w="3689" w:type="dxa"/>
          </w:tcPr>
          <w:p w14:paraId="26ADE8E5" w14:textId="0204DCB8"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Palalan Elementary School</w:t>
            </w:r>
          </w:p>
        </w:tc>
        <w:tc>
          <w:tcPr>
            <w:tcW w:w="1417" w:type="dxa"/>
            <w:noWrap/>
            <w:hideMark/>
          </w:tcPr>
          <w:p w14:paraId="39A81010"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7F7D0FA6"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418" w:type="dxa"/>
            <w:noWrap/>
            <w:hideMark/>
          </w:tcPr>
          <w:p w14:paraId="7BCE4B56"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342D2225"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Pr>
          <w:p w14:paraId="364C2A7A" w14:textId="17E8FBDF"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6 PCs and 2 laptops are all functioning</w:t>
            </w:r>
          </w:p>
        </w:tc>
      </w:tr>
      <w:tr w:rsidR="006D1940" w:rsidRPr="00173FD6" w14:paraId="174B7DEC" w14:textId="77777777" w:rsidTr="00FF4CA3">
        <w:trPr>
          <w:trHeight w:val="600"/>
        </w:trPr>
        <w:tc>
          <w:tcPr>
            <w:tcW w:w="940" w:type="dxa"/>
            <w:tcBorders>
              <w:top w:val="nil"/>
              <w:bottom w:val="nil"/>
            </w:tcBorders>
          </w:tcPr>
          <w:p w14:paraId="4026FFE2"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58A02DD4" w14:textId="04B8C9EB" w:rsidR="006D1940" w:rsidRPr="00173FD6" w:rsidRDefault="006D1940" w:rsidP="00A31699">
            <w:pPr>
              <w:rPr>
                <w:rFonts w:ascii="Calibri" w:hAnsi="Calibri" w:cs="Calibri"/>
                <w:color w:val="000000" w:themeColor="text1"/>
                <w:sz w:val="22"/>
                <w:szCs w:val="22"/>
                <w:lang w:val="en-US"/>
              </w:rPr>
            </w:pPr>
          </w:p>
        </w:tc>
        <w:tc>
          <w:tcPr>
            <w:tcW w:w="3689" w:type="dxa"/>
          </w:tcPr>
          <w:p w14:paraId="6C7E167E" w14:textId="77777777" w:rsidR="006D1940" w:rsidRPr="00173FD6" w:rsidRDefault="006D1940" w:rsidP="00A31699">
            <w:pPr>
              <w:rPr>
                <w:rFonts w:ascii="Calibri" w:hAnsi="Calibri" w:cs="Calibri"/>
                <w:color w:val="000000" w:themeColor="text1"/>
                <w:sz w:val="22"/>
                <w:szCs w:val="22"/>
                <w:lang w:val="en-US"/>
              </w:rPr>
            </w:pPr>
          </w:p>
        </w:tc>
        <w:tc>
          <w:tcPr>
            <w:tcW w:w="1417" w:type="dxa"/>
            <w:noWrap/>
            <w:hideMark/>
          </w:tcPr>
          <w:p w14:paraId="098547AC"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591B5239"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082E2C27"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6E6086AB"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Pr>
          <w:p w14:paraId="10AD1A60" w14:textId="601355E1"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No internet connection but school utilises mobile data</w:t>
            </w:r>
          </w:p>
        </w:tc>
      </w:tr>
      <w:tr w:rsidR="006D1940" w:rsidRPr="00173FD6" w14:paraId="21274E5D" w14:textId="77777777" w:rsidTr="00FF4CA3">
        <w:trPr>
          <w:trHeight w:val="300"/>
        </w:trPr>
        <w:tc>
          <w:tcPr>
            <w:tcW w:w="940" w:type="dxa"/>
            <w:tcBorders>
              <w:top w:val="nil"/>
              <w:bottom w:val="nil"/>
            </w:tcBorders>
          </w:tcPr>
          <w:p w14:paraId="74B276D2"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20D69F87" w14:textId="1FF77E3C" w:rsidR="006D1940" w:rsidRPr="00173FD6" w:rsidRDefault="006D1940" w:rsidP="00A31699">
            <w:pPr>
              <w:rPr>
                <w:rFonts w:ascii="Calibri" w:hAnsi="Calibri" w:cs="Calibri"/>
                <w:color w:val="000000" w:themeColor="text1"/>
                <w:sz w:val="22"/>
                <w:szCs w:val="22"/>
                <w:lang w:val="en-US"/>
              </w:rPr>
            </w:pPr>
          </w:p>
        </w:tc>
        <w:tc>
          <w:tcPr>
            <w:tcW w:w="3689" w:type="dxa"/>
          </w:tcPr>
          <w:p w14:paraId="0BADB646" w14:textId="0F94431B"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Suntingon Elementary School</w:t>
            </w:r>
          </w:p>
        </w:tc>
        <w:tc>
          <w:tcPr>
            <w:tcW w:w="1417" w:type="dxa"/>
            <w:noWrap/>
            <w:hideMark/>
          </w:tcPr>
          <w:p w14:paraId="1CC26CDF"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69D77396"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418" w:type="dxa"/>
            <w:noWrap/>
            <w:hideMark/>
          </w:tcPr>
          <w:p w14:paraId="097A33C3"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30207364"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Pr>
          <w:p w14:paraId="48F8B639" w14:textId="60D27799"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12 PCs and 2 laptops are all functioning</w:t>
            </w:r>
          </w:p>
        </w:tc>
      </w:tr>
      <w:tr w:rsidR="006D1940" w:rsidRPr="00173FD6" w14:paraId="33F6B11D" w14:textId="77777777" w:rsidTr="00FF4CA3">
        <w:trPr>
          <w:trHeight w:val="300"/>
        </w:trPr>
        <w:tc>
          <w:tcPr>
            <w:tcW w:w="940" w:type="dxa"/>
            <w:tcBorders>
              <w:top w:val="nil"/>
              <w:bottom w:val="nil"/>
            </w:tcBorders>
          </w:tcPr>
          <w:p w14:paraId="2802AC94"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6AE971ED" w14:textId="0DC05ED4" w:rsidR="006D1940" w:rsidRPr="00173FD6" w:rsidRDefault="006D1940" w:rsidP="00A31699">
            <w:pPr>
              <w:rPr>
                <w:rFonts w:ascii="Calibri" w:hAnsi="Calibri" w:cs="Calibri"/>
                <w:color w:val="000000" w:themeColor="text1"/>
                <w:sz w:val="22"/>
                <w:szCs w:val="22"/>
                <w:lang w:val="en-US"/>
              </w:rPr>
            </w:pPr>
          </w:p>
        </w:tc>
        <w:tc>
          <w:tcPr>
            <w:tcW w:w="3689" w:type="dxa"/>
          </w:tcPr>
          <w:p w14:paraId="013956D0" w14:textId="77777777" w:rsidR="006D1940" w:rsidRPr="00173FD6" w:rsidRDefault="006D1940" w:rsidP="00A31699">
            <w:pPr>
              <w:rPr>
                <w:rFonts w:ascii="Calibri" w:hAnsi="Calibri" w:cs="Calibri"/>
                <w:color w:val="000000" w:themeColor="text1"/>
                <w:sz w:val="22"/>
                <w:szCs w:val="22"/>
                <w:lang w:val="en-US"/>
              </w:rPr>
            </w:pPr>
          </w:p>
        </w:tc>
        <w:tc>
          <w:tcPr>
            <w:tcW w:w="1417" w:type="dxa"/>
            <w:noWrap/>
            <w:hideMark/>
          </w:tcPr>
          <w:p w14:paraId="2CD9DB50"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3CBF4F20"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124B47E8"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6D125B7B"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Pr>
          <w:p w14:paraId="449DED42" w14:textId="054300C7"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With internet connection</w:t>
            </w:r>
          </w:p>
        </w:tc>
      </w:tr>
      <w:tr w:rsidR="006D1940" w:rsidRPr="00173FD6" w14:paraId="472B3ACB" w14:textId="77777777" w:rsidTr="00FF4CA3">
        <w:trPr>
          <w:trHeight w:val="300"/>
        </w:trPr>
        <w:tc>
          <w:tcPr>
            <w:tcW w:w="940" w:type="dxa"/>
            <w:tcBorders>
              <w:top w:val="nil"/>
              <w:bottom w:val="nil"/>
            </w:tcBorders>
          </w:tcPr>
          <w:p w14:paraId="151A8EF0"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2E1FA069" w14:textId="1FF1AA2F" w:rsidR="006D1940" w:rsidRPr="00173FD6" w:rsidRDefault="006D1940" w:rsidP="00A31699">
            <w:pPr>
              <w:rPr>
                <w:rFonts w:ascii="Calibri" w:hAnsi="Calibri" w:cs="Calibri"/>
                <w:color w:val="000000" w:themeColor="text1"/>
                <w:sz w:val="22"/>
                <w:szCs w:val="22"/>
                <w:lang w:val="en-US"/>
              </w:rPr>
            </w:pPr>
          </w:p>
        </w:tc>
        <w:tc>
          <w:tcPr>
            <w:tcW w:w="3689" w:type="dxa"/>
          </w:tcPr>
          <w:p w14:paraId="466E0838" w14:textId="45DF287F"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Macabalan Elementary School</w:t>
            </w:r>
          </w:p>
        </w:tc>
        <w:tc>
          <w:tcPr>
            <w:tcW w:w="1417" w:type="dxa"/>
            <w:noWrap/>
            <w:hideMark/>
          </w:tcPr>
          <w:p w14:paraId="1BAF3071"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2AE2252F"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418" w:type="dxa"/>
            <w:noWrap/>
            <w:hideMark/>
          </w:tcPr>
          <w:p w14:paraId="40B95683"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2138C2A6"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Pr>
          <w:p w14:paraId="43193D88" w14:textId="76817DC0"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4 laptops functioning</w:t>
            </w:r>
          </w:p>
        </w:tc>
      </w:tr>
      <w:tr w:rsidR="006D1940" w:rsidRPr="00173FD6" w14:paraId="0E776913" w14:textId="77777777" w:rsidTr="00FF4CA3">
        <w:trPr>
          <w:trHeight w:val="300"/>
        </w:trPr>
        <w:tc>
          <w:tcPr>
            <w:tcW w:w="940" w:type="dxa"/>
            <w:tcBorders>
              <w:top w:val="nil"/>
              <w:bottom w:val="nil"/>
            </w:tcBorders>
          </w:tcPr>
          <w:p w14:paraId="0D7183A9"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5155F67B" w14:textId="7D930D48" w:rsidR="006D1940" w:rsidRPr="00173FD6" w:rsidRDefault="006D1940" w:rsidP="00A31699">
            <w:pPr>
              <w:rPr>
                <w:rFonts w:ascii="Calibri" w:hAnsi="Calibri" w:cs="Calibri"/>
                <w:color w:val="000000" w:themeColor="text1"/>
                <w:sz w:val="22"/>
                <w:szCs w:val="22"/>
                <w:lang w:val="en-US"/>
              </w:rPr>
            </w:pPr>
          </w:p>
        </w:tc>
        <w:tc>
          <w:tcPr>
            <w:tcW w:w="3689" w:type="dxa"/>
          </w:tcPr>
          <w:p w14:paraId="4053A027" w14:textId="77777777" w:rsidR="006D1940" w:rsidRPr="00173FD6" w:rsidRDefault="006D1940" w:rsidP="00A31699">
            <w:pPr>
              <w:rPr>
                <w:rFonts w:ascii="Calibri" w:hAnsi="Calibri" w:cs="Calibri"/>
                <w:color w:val="000000" w:themeColor="text1"/>
                <w:sz w:val="22"/>
                <w:szCs w:val="22"/>
                <w:lang w:val="en-US"/>
              </w:rPr>
            </w:pPr>
          </w:p>
        </w:tc>
        <w:tc>
          <w:tcPr>
            <w:tcW w:w="1417" w:type="dxa"/>
            <w:noWrap/>
            <w:hideMark/>
          </w:tcPr>
          <w:p w14:paraId="2224D710"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7A5B4AD7"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1B5305A1"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5B0BBE23"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Pr>
          <w:p w14:paraId="2F06B9CA" w14:textId="60C21613"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With internet connection</w:t>
            </w:r>
          </w:p>
        </w:tc>
      </w:tr>
      <w:tr w:rsidR="006D1940" w:rsidRPr="00173FD6" w14:paraId="4DD0B2F8" w14:textId="77777777" w:rsidTr="00FF4CA3">
        <w:trPr>
          <w:trHeight w:val="300"/>
        </w:trPr>
        <w:tc>
          <w:tcPr>
            <w:tcW w:w="940" w:type="dxa"/>
            <w:tcBorders>
              <w:top w:val="nil"/>
              <w:bottom w:val="nil"/>
            </w:tcBorders>
          </w:tcPr>
          <w:p w14:paraId="1D2A3E7D"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2A89BD62" w14:textId="58505719" w:rsidR="006D1940" w:rsidRPr="00173FD6" w:rsidRDefault="006D1940" w:rsidP="00A31699">
            <w:pPr>
              <w:rPr>
                <w:rFonts w:ascii="Calibri" w:hAnsi="Calibri" w:cs="Calibri"/>
                <w:color w:val="000000" w:themeColor="text1"/>
                <w:sz w:val="22"/>
                <w:szCs w:val="22"/>
                <w:lang w:val="en-US"/>
              </w:rPr>
            </w:pPr>
          </w:p>
        </w:tc>
        <w:tc>
          <w:tcPr>
            <w:tcW w:w="3689" w:type="dxa"/>
          </w:tcPr>
          <w:p w14:paraId="46CC9015" w14:textId="1D2157C5"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Kauswagan Central School</w:t>
            </w:r>
          </w:p>
        </w:tc>
        <w:tc>
          <w:tcPr>
            <w:tcW w:w="1417" w:type="dxa"/>
            <w:noWrap/>
            <w:hideMark/>
          </w:tcPr>
          <w:p w14:paraId="1CDA5878"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7F80BC58"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418" w:type="dxa"/>
            <w:noWrap/>
            <w:hideMark/>
          </w:tcPr>
          <w:p w14:paraId="08C68A7C"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43BB7D1B"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Pr>
          <w:p w14:paraId="3895216A" w14:textId="10D5C354"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5 out of 14 PCs not working</w:t>
            </w:r>
          </w:p>
        </w:tc>
      </w:tr>
      <w:tr w:rsidR="006D1940" w:rsidRPr="00173FD6" w14:paraId="67A19166" w14:textId="77777777" w:rsidTr="00FF4CA3">
        <w:trPr>
          <w:trHeight w:val="300"/>
        </w:trPr>
        <w:tc>
          <w:tcPr>
            <w:tcW w:w="940" w:type="dxa"/>
            <w:tcBorders>
              <w:top w:val="nil"/>
              <w:bottom w:val="nil"/>
            </w:tcBorders>
          </w:tcPr>
          <w:p w14:paraId="24C90537"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2D124B41" w14:textId="0D1CCBF4" w:rsidR="006D1940" w:rsidRPr="00173FD6" w:rsidRDefault="006D1940" w:rsidP="00A31699">
            <w:pPr>
              <w:rPr>
                <w:rFonts w:ascii="Calibri" w:hAnsi="Calibri" w:cs="Calibri"/>
                <w:color w:val="000000" w:themeColor="text1"/>
                <w:sz w:val="22"/>
                <w:szCs w:val="22"/>
                <w:lang w:val="en-US"/>
              </w:rPr>
            </w:pPr>
          </w:p>
        </w:tc>
        <w:tc>
          <w:tcPr>
            <w:tcW w:w="3689" w:type="dxa"/>
          </w:tcPr>
          <w:p w14:paraId="099BBDB5" w14:textId="77777777" w:rsidR="006D1940" w:rsidRPr="00173FD6" w:rsidRDefault="006D1940" w:rsidP="00A31699">
            <w:pPr>
              <w:rPr>
                <w:rFonts w:ascii="Calibri" w:hAnsi="Calibri" w:cs="Calibri"/>
                <w:color w:val="000000" w:themeColor="text1"/>
                <w:sz w:val="22"/>
                <w:szCs w:val="22"/>
                <w:lang w:val="en-US"/>
              </w:rPr>
            </w:pPr>
          </w:p>
        </w:tc>
        <w:tc>
          <w:tcPr>
            <w:tcW w:w="1417" w:type="dxa"/>
            <w:noWrap/>
            <w:hideMark/>
          </w:tcPr>
          <w:p w14:paraId="6B6575A2"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2E5EC954"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055E7090"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1310FE03"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Pr>
          <w:p w14:paraId="22BA5BDA" w14:textId="73B31A9F"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1 out of 4 laptops not working</w:t>
            </w:r>
          </w:p>
        </w:tc>
      </w:tr>
      <w:tr w:rsidR="006D1940" w:rsidRPr="00173FD6" w14:paraId="1E8661CA" w14:textId="77777777" w:rsidTr="00FF4CA3">
        <w:trPr>
          <w:trHeight w:val="300"/>
        </w:trPr>
        <w:tc>
          <w:tcPr>
            <w:tcW w:w="940" w:type="dxa"/>
            <w:tcBorders>
              <w:top w:val="nil"/>
              <w:bottom w:val="single" w:sz="4" w:space="0" w:color="auto"/>
            </w:tcBorders>
          </w:tcPr>
          <w:p w14:paraId="05087A87"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single" w:sz="4" w:space="0" w:color="auto"/>
            </w:tcBorders>
          </w:tcPr>
          <w:p w14:paraId="4EC86424" w14:textId="6E9C80DC" w:rsidR="006D1940" w:rsidRPr="00173FD6" w:rsidRDefault="006D1940" w:rsidP="00A31699">
            <w:pPr>
              <w:rPr>
                <w:rFonts w:ascii="Calibri" w:hAnsi="Calibri" w:cs="Calibri"/>
                <w:color w:val="000000" w:themeColor="text1"/>
                <w:sz w:val="22"/>
                <w:szCs w:val="22"/>
                <w:lang w:val="en-US"/>
              </w:rPr>
            </w:pPr>
          </w:p>
        </w:tc>
        <w:tc>
          <w:tcPr>
            <w:tcW w:w="3689" w:type="dxa"/>
          </w:tcPr>
          <w:p w14:paraId="14DB4646" w14:textId="77777777" w:rsidR="006D1940" w:rsidRPr="00173FD6" w:rsidRDefault="006D1940" w:rsidP="00A31699">
            <w:pPr>
              <w:rPr>
                <w:rFonts w:ascii="Calibri" w:hAnsi="Calibri" w:cs="Calibri"/>
                <w:color w:val="000000" w:themeColor="text1"/>
                <w:sz w:val="22"/>
                <w:szCs w:val="22"/>
                <w:lang w:val="en-US"/>
              </w:rPr>
            </w:pPr>
          </w:p>
        </w:tc>
        <w:tc>
          <w:tcPr>
            <w:tcW w:w="1417" w:type="dxa"/>
            <w:noWrap/>
            <w:hideMark/>
          </w:tcPr>
          <w:p w14:paraId="6D7BA7DD"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3BE3C777"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2C67F593"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2B44DDF9"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Pr>
          <w:p w14:paraId="5F973B3E" w14:textId="39112CF0"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With internet connection</w:t>
            </w:r>
          </w:p>
        </w:tc>
      </w:tr>
      <w:tr w:rsidR="006D1940" w:rsidRPr="00173FD6" w14:paraId="4169C765" w14:textId="77777777" w:rsidTr="00FF4CA3">
        <w:trPr>
          <w:trHeight w:val="300"/>
        </w:trPr>
        <w:tc>
          <w:tcPr>
            <w:tcW w:w="940" w:type="dxa"/>
            <w:tcBorders>
              <w:bottom w:val="nil"/>
            </w:tcBorders>
          </w:tcPr>
          <w:p w14:paraId="0FFA7CD6" w14:textId="77777777" w:rsidR="006D1940" w:rsidRPr="00173FD6" w:rsidRDefault="006D1940" w:rsidP="00A31699">
            <w:pPr>
              <w:rPr>
                <w:rFonts w:ascii="Calibri" w:hAnsi="Calibri" w:cs="Calibri"/>
                <w:color w:val="000000" w:themeColor="text1"/>
                <w:sz w:val="22"/>
                <w:szCs w:val="22"/>
                <w:lang w:val="en-US"/>
              </w:rPr>
            </w:pPr>
          </w:p>
        </w:tc>
        <w:tc>
          <w:tcPr>
            <w:tcW w:w="895" w:type="dxa"/>
            <w:tcBorders>
              <w:bottom w:val="nil"/>
            </w:tcBorders>
          </w:tcPr>
          <w:p w14:paraId="662968C9" w14:textId="6761049A" w:rsidR="006D1940" w:rsidRPr="00173FD6" w:rsidRDefault="006D1940" w:rsidP="00A31699">
            <w:pPr>
              <w:rPr>
                <w:rFonts w:ascii="Calibri" w:hAnsi="Calibri" w:cs="Calibri"/>
                <w:color w:val="000000" w:themeColor="text1"/>
                <w:sz w:val="22"/>
                <w:szCs w:val="22"/>
                <w:lang w:val="en-US"/>
              </w:rPr>
            </w:pPr>
          </w:p>
        </w:tc>
        <w:tc>
          <w:tcPr>
            <w:tcW w:w="3689" w:type="dxa"/>
          </w:tcPr>
          <w:p w14:paraId="602AE438" w14:textId="2330ECEC"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Indahag Elementary School</w:t>
            </w:r>
          </w:p>
        </w:tc>
        <w:tc>
          <w:tcPr>
            <w:tcW w:w="1417" w:type="dxa"/>
            <w:noWrap/>
            <w:hideMark/>
          </w:tcPr>
          <w:p w14:paraId="67F6B77E"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7EEA5DDF"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418" w:type="dxa"/>
            <w:noWrap/>
            <w:hideMark/>
          </w:tcPr>
          <w:p w14:paraId="002032F2"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6E4F1600"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Pr>
          <w:p w14:paraId="525D5594" w14:textId="12251C49"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26 laptops, 12 tablets and 6 PCs functioning</w:t>
            </w:r>
          </w:p>
        </w:tc>
      </w:tr>
      <w:tr w:rsidR="006D1940" w:rsidRPr="00173FD6" w14:paraId="477ECBA8" w14:textId="77777777" w:rsidTr="00FF4CA3">
        <w:trPr>
          <w:trHeight w:val="300"/>
        </w:trPr>
        <w:tc>
          <w:tcPr>
            <w:tcW w:w="940" w:type="dxa"/>
            <w:tcBorders>
              <w:top w:val="nil"/>
              <w:bottom w:val="nil"/>
            </w:tcBorders>
          </w:tcPr>
          <w:p w14:paraId="3785B701"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79D906E6" w14:textId="6DBE45B9" w:rsidR="006D1940" w:rsidRPr="00173FD6" w:rsidRDefault="006D1940" w:rsidP="00A31699">
            <w:pPr>
              <w:rPr>
                <w:rFonts w:ascii="Calibri" w:hAnsi="Calibri" w:cs="Calibri"/>
                <w:color w:val="000000" w:themeColor="text1"/>
                <w:sz w:val="22"/>
                <w:szCs w:val="22"/>
                <w:lang w:val="en-US"/>
              </w:rPr>
            </w:pPr>
          </w:p>
        </w:tc>
        <w:tc>
          <w:tcPr>
            <w:tcW w:w="3689" w:type="dxa"/>
          </w:tcPr>
          <w:p w14:paraId="7A5915C8" w14:textId="77777777" w:rsidR="006D1940" w:rsidRPr="00173FD6" w:rsidRDefault="006D1940" w:rsidP="00A31699">
            <w:pPr>
              <w:rPr>
                <w:rFonts w:ascii="Calibri" w:hAnsi="Calibri" w:cs="Calibri"/>
                <w:color w:val="000000" w:themeColor="text1"/>
                <w:sz w:val="22"/>
                <w:szCs w:val="22"/>
                <w:lang w:val="en-US"/>
              </w:rPr>
            </w:pPr>
          </w:p>
        </w:tc>
        <w:tc>
          <w:tcPr>
            <w:tcW w:w="1417" w:type="dxa"/>
            <w:noWrap/>
            <w:hideMark/>
          </w:tcPr>
          <w:p w14:paraId="2D3E4A96"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49C01FB4"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6A8D139B"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41360BA2"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Pr>
          <w:p w14:paraId="3AEE0664" w14:textId="34BADDBF"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With internet connection</w:t>
            </w:r>
          </w:p>
        </w:tc>
      </w:tr>
      <w:tr w:rsidR="006D1940" w:rsidRPr="00173FD6" w14:paraId="2AFB9B4A" w14:textId="77777777" w:rsidTr="00FF4CA3">
        <w:trPr>
          <w:trHeight w:val="300"/>
        </w:trPr>
        <w:tc>
          <w:tcPr>
            <w:tcW w:w="940" w:type="dxa"/>
            <w:tcBorders>
              <w:top w:val="nil"/>
              <w:bottom w:val="nil"/>
            </w:tcBorders>
          </w:tcPr>
          <w:p w14:paraId="6DE4E8D9"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3A6E7248" w14:textId="5C421322" w:rsidR="006D1940" w:rsidRPr="00173FD6" w:rsidRDefault="006D1940" w:rsidP="00A31699">
            <w:pPr>
              <w:rPr>
                <w:rFonts w:ascii="Calibri" w:hAnsi="Calibri" w:cs="Calibri"/>
                <w:color w:val="000000" w:themeColor="text1"/>
                <w:sz w:val="22"/>
                <w:szCs w:val="22"/>
                <w:lang w:val="en-US"/>
              </w:rPr>
            </w:pPr>
          </w:p>
        </w:tc>
        <w:tc>
          <w:tcPr>
            <w:tcW w:w="3689" w:type="dxa"/>
          </w:tcPr>
          <w:p w14:paraId="6F052E3F" w14:textId="26FDD0BC"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Baluarte Elementary School</w:t>
            </w:r>
          </w:p>
        </w:tc>
        <w:tc>
          <w:tcPr>
            <w:tcW w:w="1417" w:type="dxa"/>
            <w:noWrap/>
            <w:hideMark/>
          </w:tcPr>
          <w:p w14:paraId="6EBA90EF"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06571CAF"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418" w:type="dxa"/>
            <w:noWrap/>
            <w:hideMark/>
          </w:tcPr>
          <w:p w14:paraId="56F422CA"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6EE78894"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Pr>
          <w:p w14:paraId="3EE9D8F9" w14:textId="7FD9B393"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1 of 3 laptop functioning</w:t>
            </w:r>
          </w:p>
        </w:tc>
      </w:tr>
      <w:tr w:rsidR="006D1940" w:rsidRPr="00173FD6" w14:paraId="41B84A6D" w14:textId="77777777" w:rsidTr="00FF4CA3">
        <w:trPr>
          <w:trHeight w:val="300"/>
        </w:trPr>
        <w:tc>
          <w:tcPr>
            <w:tcW w:w="940" w:type="dxa"/>
            <w:tcBorders>
              <w:top w:val="nil"/>
              <w:bottom w:val="nil"/>
            </w:tcBorders>
          </w:tcPr>
          <w:p w14:paraId="19C2ABB8"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7D6B649F" w14:textId="46071BCF" w:rsidR="006D1940" w:rsidRPr="00173FD6" w:rsidRDefault="006D1940" w:rsidP="00A31699">
            <w:pPr>
              <w:rPr>
                <w:rFonts w:ascii="Calibri" w:hAnsi="Calibri" w:cs="Calibri"/>
                <w:color w:val="000000" w:themeColor="text1"/>
                <w:sz w:val="22"/>
                <w:szCs w:val="22"/>
                <w:lang w:val="en-US"/>
              </w:rPr>
            </w:pPr>
          </w:p>
        </w:tc>
        <w:tc>
          <w:tcPr>
            <w:tcW w:w="3689" w:type="dxa"/>
          </w:tcPr>
          <w:p w14:paraId="76A39C11" w14:textId="77777777" w:rsidR="006D1940" w:rsidRPr="00173FD6" w:rsidRDefault="006D1940" w:rsidP="00A31699">
            <w:pPr>
              <w:rPr>
                <w:rFonts w:ascii="Calibri" w:hAnsi="Calibri" w:cs="Calibri"/>
                <w:color w:val="000000" w:themeColor="text1"/>
                <w:sz w:val="22"/>
                <w:szCs w:val="22"/>
                <w:lang w:val="en-US"/>
              </w:rPr>
            </w:pPr>
          </w:p>
        </w:tc>
        <w:tc>
          <w:tcPr>
            <w:tcW w:w="1417" w:type="dxa"/>
            <w:noWrap/>
            <w:hideMark/>
          </w:tcPr>
          <w:p w14:paraId="0FC7E5D9"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02C9723A"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052FDDFC"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1863C7E5"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Pr>
          <w:p w14:paraId="57675D00" w14:textId="5DCB0606"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 xml:space="preserve">Internet connection is intermittent </w:t>
            </w:r>
          </w:p>
        </w:tc>
      </w:tr>
      <w:tr w:rsidR="006D1940" w:rsidRPr="00173FD6" w14:paraId="762C9906" w14:textId="77777777" w:rsidTr="00FF4CA3">
        <w:trPr>
          <w:trHeight w:val="300"/>
        </w:trPr>
        <w:tc>
          <w:tcPr>
            <w:tcW w:w="940" w:type="dxa"/>
            <w:tcBorders>
              <w:top w:val="nil"/>
              <w:bottom w:val="nil"/>
            </w:tcBorders>
          </w:tcPr>
          <w:p w14:paraId="6510567F"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1D41D03B" w14:textId="72F2BB82" w:rsidR="006D1940" w:rsidRPr="00173FD6" w:rsidRDefault="006D1940" w:rsidP="00A31699">
            <w:pPr>
              <w:rPr>
                <w:rFonts w:ascii="Calibri" w:hAnsi="Calibri" w:cs="Calibri"/>
                <w:color w:val="000000" w:themeColor="text1"/>
                <w:sz w:val="22"/>
                <w:szCs w:val="22"/>
                <w:lang w:val="en-US"/>
              </w:rPr>
            </w:pPr>
          </w:p>
        </w:tc>
        <w:tc>
          <w:tcPr>
            <w:tcW w:w="3689" w:type="dxa"/>
          </w:tcPr>
          <w:p w14:paraId="55FE6480" w14:textId="77777777" w:rsidR="006D1940" w:rsidRPr="00173FD6" w:rsidRDefault="006D1940" w:rsidP="00A31699">
            <w:pPr>
              <w:rPr>
                <w:rFonts w:ascii="Calibri" w:hAnsi="Calibri" w:cs="Calibri"/>
                <w:color w:val="000000" w:themeColor="text1"/>
                <w:sz w:val="22"/>
                <w:szCs w:val="22"/>
                <w:lang w:val="en-US"/>
              </w:rPr>
            </w:pPr>
          </w:p>
        </w:tc>
        <w:tc>
          <w:tcPr>
            <w:tcW w:w="1417" w:type="dxa"/>
            <w:noWrap/>
            <w:hideMark/>
          </w:tcPr>
          <w:p w14:paraId="68F9DFC8"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550AE8E7"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1E95B951"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70F31245"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Pr>
          <w:p w14:paraId="2DDF4243" w14:textId="50B300E6"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Goes to City proper to send reports via email</w:t>
            </w:r>
          </w:p>
        </w:tc>
      </w:tr>
      <w:tr w:rsidR="006D1940" w:rsidRPr="00173FD6" w14:paraId="0BE9A708" w14:textId="77777777" w:rsidTr="00FF4CA3">
        <w:trPr>
          <w:trHeight w:val="300"/>
        </w:trPr>
        <w:tc>
          <w:tcPr>
            <w:tcW w:w="940" w:type="dxa"/>
            <w:tcBorders>
              <w:top w:val="nil"/>
              <w:bottom w:val="single" w:sz="4" w:space="0" w:color="auto"/>
            </w:tcBorders>
          </w:tcPr>
          <w:p w14:paraId="3279FC8E"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single" w:sz="4" w:space="0" w:color="auto"/>
            </w:tcBorders>
          </w:tcPr>
          <w:p w14:paraId="397F3949" w14:textId="044A53B5" w:rsidR="006D1940" w:rsidRPr="00173FD6" w:rsidRDefault="006D1940" w:rsidP="00A31699">
            <w:pPr>
              <w:rPr>
                <w:rFonts w:ascii="Calibri" w:hAnsi="Calibri" w:cs="Calibri"/>
                <w:color w:val="000000" w:themeColor="text1"/>
                <w:sz w:val="22"/>
                <w:szCs w:val="22"/>
                <w:lang w:val="en-US"/>
              </w:rPr>
            </w:pPr>
          </w:p>
        </w:tc>
        <w:tc>
          <w:tcPr>
            <w:tcW w:w="3689" w:type="dxa"/>
          </w:tcPr>
          <w:p w14:paraId="3845ECCB" w14:textId="723D7C35"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Lumbia Central School</w:t>
            </w:r>
          </w:p>
        </w:tc>
        <w:tc>
          <w:tcPr>
            <w:tcW w:w="1417" w:type="dxa"/>
            <w:noWrap/>
            <w:hideMark/>
          </w:tcPr>
          <w:p w14:paraId="314F5A16"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4C3FBE21"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418" w:type="dxa"/>
            <w:noWrap/>
            <w:hideMark/>
          </w:tcPr>
          <w:p w14:paraId="446DE469"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46E0639D"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Pr>
          <w:p w14:paraId="7AD352A9" w14:textId="7E3666E5"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6 PCs and 2 laptops functioning</w:t>
            </w:r>
          </w:p>
        </w:tc>
      </w:tr>
      <w:tr w:rsidR="006D1940" w:rsidRPr="00173FD6" w14:paraId="6B351BB5" w14:textId="77777777" w:rsidTr="00C1120A">
        <w:trPr>
          <w:trHeight w:val="300"/>
        </w:trPr>
        <w:tc>
          <w:tcPr>
            <w:tcW w:w="940" w:type="dxa"/>
            <w:tcBorders>
              <w:top w:val="single" w:sz="4" w:space="0" w:color="auto"/>
              <w:bottom w:val="nil"/>
            </w:tcBorders>
          </w:tcPr>
          <w:p w14:paraId="23F16A4F"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single" w:sz="4" w:space="0" w:color="auto"/>
              <w:bottom w:val="nil"/>
            </w:tcBorders>
          </w:tcPr>
          <w:p w14:paraId="23078685" w14:textId="06EBED0B" w:rsidR="006D1940" w:rsidRPr="00173FD6" w:rsidRDefault="006D1940" w:rsidP="00A31699">
            <w:pPr>
              <w:rPr>
                <w:rFonts w:ascii="Calibri" w:hAnsi="Calibri" w:cs="Calibri"/>
                <w:color w:val="000000" w:themeColor="text1"/>
                <w:sz w:val="22"/>
                <w:szCs w:val="22"/>
                <w:lang w:val="en-US"/>
              </w:rPr>
            </w:pPr>
          </w:p>
        </w:tc>
        <w:tc>
          <w:tcPr>
            <w:tcW w:w="3689" w:type="dxa"/>
          </w:tcPr>
          <w:p w14:paraId="11F2520A" w14:textId="77777777" w:rsidR="006D1940" w:rsidRPr="00173FD6" w:rsidRDefault="006D1940" w:rsidP="00A31699">
            <w:pPr>
              <w:rPr>
                <w:rFonts w:ascii="Calibri" w:hAnsi="Calibri" w:cs="Calibri"/>
                <w:color w:val="000000" w:themeColor="text1"/>
                <w:sz w:val="22"/>
                <w:szCs w:val="22"/>
                <w:lang w:val="en-US"/>
              </w:rPr>
            </w:pPr>
          </w:p>
        </w:tc>
        <w:tc>
          <w:tcPr>
            <w:tcW w:w="1417" w:type="dxa"/>
            <w:noWrap/>
            <w:hideMark/>
          </w:tcPr>
          <w:p w14:paraId="6FE254CC"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58DC187C"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0EA428FD"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4AC52084"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Pr>
          <w:p w14:paraId="17436009" w14:textId="08165C40"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With internet connection</w:t>
            </w:r>
          </w:p>
        </w:tc>
      </w:tr>
      <w:tr w:rsidR="006D1940" w:rsidRPr="00173FD6" w14:paraId="08882E06" w14:textId="77777777" w:rsidTr="00C1120A">
        <w:trPr>
          <w:trHeight w:val="300"/>
        </w:trPr>
        <w:tc>
          <w:tcPr>
            <w:tcW w:w="940" w:type="dxa"/>
            <w:tcBorders>
              <w:top w:val="nil"/>
              <w:bottom w:val="single" w:sz="4" w:space="0" w:color="auto"/>
            </w:tcBorders>
          </w:tcPr>
          <w:p w14:paraId="2EA5BF44"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single" w:sz="4" w:space="0" w:color="auto"/>
            </w:tcBorders>
          </w:tcPr>
          <w:p w14:paraId="0BFF3905" w14:textId="498FD9DD" w:rsidR="006D1940" w:rsidRPr="00173FD6" w:rsidRDefault="006D1940" w:rsidP="00A31699">
            <w:pPr>
              <w:rPr>
                <w:rFonts w:ascii="Calibri" w:hAnsi="Calibri" w:cs="Calibri"/>
                <w:color w:val="000000" w:themeColor="text1"/>
                <w:sz w:val="22"/>
                <w:szCs w:val="22"/>
                <w:lang w:val="en-US"/>
              </w:rPr>
            </w:pPr>
          </w:p>
        </w:tc>
        <w:tc>
          <w:tcPr>
            <w:tcW w:w="3689" w:type="dxa"/>
          </w:tcPr>
          <w:p w14:paraId="2A3794AE" w14:textId="3BD2FB22"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Sub-total</w:t>
            </w:r>
          </w:p>
        </w:tc>
        <w:tc>
          <w:tcPr>
            <w:tcW w:w="1417" w:type="dxa"/>
            <w:noWrap/>
            <w:hideMark/>
          </w:tcPr>
          <w:p w14:paraId="25E79EB6"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0</w:t>
            </w:r>
          </w:p>
        </w:tc>
        <w:tc>
          <w:tcPr>
            <w:tcW w:w="1701" w:type="dxa"/>
            <w:noWrap/>
            <w:hideMark/>
          </w:tcPr>
          <w:p w14:paraId="41C07D7D"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8</w:t>
            </w:r>
          </w:p>
        </w:tc>
        <w:tc>
          <w:tcPr>
            <w:tcW w:w="1418" w:type="dxa"/>
            <w:noWrap/>
            <w:hideMark/>
          </w:tcPr>
          <w:p w14:paraId="109B084B"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0</w:t>
            </w:r>
          </w:p>
        </w:tc>
        <w:tc>
          <w:tcPr>
            <w:tcW w:w="1842" w:type="dxa"/>
            <w:noWrap/>
            <w:hideMark/>
          </w:tcPr>
          <w:p w14:paraId="2699DD98"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8</w:t>
            </w:r>
          </w:p>
        </w:tc>
        <w:tc>
          <w:tcPr>
            <w:tcW w:w="2835" w:type="dxa"/>
          </w:tcPr>
          <w:p w14:paraId="7809DB7E" w14:textId="5CDDBCDE"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0</w:t>
            </w:r>
          </w:p>
        </w:tc>
      </w:tr>
      <w:tr w:rsidR="006D1940" w:rsidRPr="00173FD6" w14:paraId="0308829F" w14:textId="77777777" w:rsidTr="00C1120A">
        <w:trPr>
          <w:trHeight w:val="300"/>
        </w:trPr>
        <w:tc>
          <w:tcPr>
            <w:tcW w:w="940" w:type="dxa"/>
            <w:tcBorders>
              <w:top w:val="single" w:sz="4" w:space="0" w:color="auto"/>
              <w:bottom w:val="nil"/>
            </w:tcBorders>
          </w:tcPr>
          <w:p w14:paraId="54FD028F" w14:textId="77777777" w:rsidR="006D1940" w:rsidRPr="00173FD6" w:rsidRDefault="006D1940" w:rsidP="00A31699">
            <w:pPr>
              <w:rPr>
                <w:rFonts w:ascii="Calibri" w:hAnsi="Calibri" w:cs="Calibri"/>
                <w:color w:val="000000" w:themeColor="text1"/>
                <w:sz w:val="22"/>
                <w:szCs w:val="22"/>
                <w:lang w:val="en-US"/>
              </w:rPr>
            </w:pPr>
          </w:p>
        </w:tc>
        <w:tc>
          <w:tcPr>
            <w:tcW w:w="895" w:type="dxa"/>
            <w:tcBorders>
              <w:bottom w:val="nil"/>
            </w:tcBorders>
          </w:tcPr>
          <w:p w14:paraId="6C7E8B42" w14:textId="76E547B6"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Non-BEST Schools</w:t>
            </w:r>
          </w:p>
        </w:tc>
        <w:tc>
          <w:tcPr>
            <w:tcW w:w="3689" w:type="dxa"/>
          </w:tcPr>
          <w:p w14:paraId="72DEBE55" w14:textId="27F92730"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Lagtang Elementary School</w:t>
            </w:r>
          </w:p>
        </w:tc>
        <w:tc>
          <w:tcPr>
            <w:tcW w:w="1417" w:type="dxa"/>
            <w:noWrap/>
            <w:hideMark/>
          </w:tcPr>
          <w:p w14:paraId="3BEFAC80"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701" w:type="dxa"/>
            <w:noWrap/>
            <w:hideMark/>
          </w:tcPr>
          <w:p w14:paraId="74B9761A"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09F4A7DA"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09D818F6"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Pr>
          <w:p w14:paraId="70DBA5C5" w14:textId="41A384A3"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10 PCs and 2 laptops functioning</w:t>
            </w:r>
          </w:p>
        </w:tc>
      </w:tr>
      <w:tr w:rsidR="006D1940" w:rsidRPr="00173FD6" w14:paraId="4FDE5939" w14:textId="77777777" w:rsidTr="00FF4CA3">
        <w:trPr>
          <w:trHeight w:val="300"/>
        </w:trPr>
        <w:tc>
          <w:tcPr>
            <w:tcW w:w="940" w:type="dxa"/>
            <w:tcBorders>
              <w:top w:val="nil"/>
              <w:bottom w:val="nil"/>
            </w:tcBorders>
          </w:tcPr>
          <w:p w14:paraId="44FA555B"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0A495312" w14:textId="260FBE0A" w:rsidR="006D1940" w:rsidRPr="00173FD6" w:rsidRDefault="006D1940" w:rsidP="00A31699">
            <w:pPr>
              <w:rPr>
                <w:rFonts w:ascii="Calibri" w:hAnsi="Calibri" w:cs="Calibri"/>
                <w:color w:val="000000" w:themeColor="text1"/>
                <w:sz w:val="22"/>
                <w:szCs w:val="22"/>
                <w:lang w:val="en-US"/>
              </w:rPr>
            </w:pPr>
          </w:p>
        </w:tc>
        <w:tc>
          <w:tcPr>
            <w:tcW w:w="3689" w:type="dxa"/>
          </w:tcPr>
          <w:p w14:paraId="0F73A8D6" w14:textId="77777777" w:rsidR="006D1940" w:rsidRPr="00173FD6" w:rsidRDefault="006D1940" w:rsidP="00A31699">
            <w:pPr>
              <w:rPr>
                <w:rFonts w:ascii="Calibri" w:hAnsi="Calibri" w:cs="Calibri"/>
                <w:color w:val="000000" w:themeColor="text1"/>
                <w:sz w:val="22"/>
                <w:szCs w:val="22"/>
                <w:lang w:val="en-US"/>
              </w:rPr>
            </w:pPr>
          </w:p>
        </w:tc>
        <w:tc>
          <w:tcPr>
            <w:tcW w:w="1417" w:type="dxa"/>
            <w:noWrap/>
            <w:hideMark/>
          </w:tcPr>
          <w:p w14:paraId="581F51D9"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4493D543"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76694699"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3FC664ED"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Pr>
          <w:p w14:paraId="1E453EEF" w14:textId="392441F3"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With internet connection</w:t>
            </w:r>
          </w:p>
        </w:tc>
      </w:tr>
      <w:tr w:rsidR="006D1940" w:rsidRPr="00173FD6" w14:paraId="5AC60C1D" w14:textId="77777777" w:rsidTr="00FF4CA3">
        <w:trPr>
          <w:trHeight w:val="300"/>
        </w:trPr>
        <w:tc>
          <w:tcPr>
            <w:tcW w:w="940" w:type="dxa"/>
            <w:tcBorders>
              <w:top w:val="nil"/>
              <w:bottom w:val="nil"/>
            </w:tcBorders>
          </w:tcPr>
          <w:p w14:paraId="31F45CAB"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5C51038D" w14:textId="69245596" w:rsidR="006D1940" w:rsidRPr="00173FD6" w:rsidRDefault="006D1940" w:rsidP="00A31699">
            <w:pPr>
              <w:rPr>
                <w:rFonts w:ascii="Calibri" w:hAnsi="Calibri" w:cs="Calibri"/>
                <w:color w:val="000000" w:themeColor="text1"/>
                <w:sz w:val="22"/>
                <w:szCs w:val="22"/>
                <w:lang w:val="en-US"/>
              </w:rPr>
            </w:pPr>
          </w:p>
        </w:tc>
        <w:tc>
          <w:tcPr>
            <w:tcW w:w="3689" w:type="dxa"/>
          </w:tcPr>
          <w:p w14:paraId="6BE3120B" w14:textId="1C611C21"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Waterfall Elementary School</w:t>
            </w:r>
          </w:p>
        </w:tc>
        <w:tc>
          <w:tcPr>
            <w:tcW w:w="1417" w:type="dxa"/>
            <w:noWrap/>
            <w:hideMark/>
          </w:tcPr>
          <w:p w14:paraId="5C7C24A0"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701" w:type="dxa"/>
            <w:noWrap/>
            <w:hideMark/>
          </w:tcPr>
          <w:p w14:paraId="2195E4AB"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0E724619"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50F7D59E"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Pr>
          <w:p w14:paraId="32851CE0" w14:textId="3F02CDDC"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12 computers and 5 laptops functioning</w:t>
            </w:r>
          </w:p>
        </w:tc>
      </w:tr>
      <w:tr w:rsidR="006D1940" w:rsidRPr="00173FD6" w14:paraId="7E1AE6A6" w14:textId="77777777" w:rsidTr="00FF4CA3">
        <w:trPr>
          <w:trHeight w:val="300"/>
        </w:trPr>
        <w:tc>
          <w:tcPr>
            <w:tcW w:w="940" w:type="dxa"/>
            <w:tcBorders>
              <w:top w:val="nil"/>
              <w:bottom w:val="nil"/>
            </w:tcBorders>
          </w:tcPr>
          <w:p w14:paraId="0F22B8E5"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78129531" w14:textId="4E2C28B6" w:rsidR="006D1940" w:rsidRPr="00173FD6" w:rsidRDefault="006D1940" w:rsidP="00A31699">
            <w:pPr>
              <w:rPr>
                <w:rFonts w:ascii="Calibri" w:hAnsi="Calibri" w:cs="Calibri"/>
                <w:color w:val="000000" w:themeColor="text1"/>
                <w:sz w:val="22"/>
                <w:szCs w:val="22"/>
                <w:lang w:val="en-US"/>
              </w:rPr>
            </w:pPr>
          </w:p>
        </w:tc>
        <w:tc>
          <w:tcPr>
            <w:tcW w:w="3689" w:type="dxa"/>
          </w:tcPr>
          <w:p w14:paraId="4AEF79F0" w14:textId="77777777" w:rsidR="006D1940" w:rsidRPr="00173FD6" w:rsidRDefault="006D1940" w:rsidP="00A31699">
            <w:pPr>
              <w:rPr>
                <w:rFonts w:ascii="Calibri" w:hAnsi="Calibri" w:cs="Calibri"/>
                <w:color w:val="000000" w:themeColor="text1"/>
                <w:sz w:val="22"/>
                <w:szCs w:val="22"/>
                <w:lang w:val="en-US"/>
              </w:rPr>
            </w:pPr>
          </w:p>
        </w:tc>
        <w:tc>
          <w:tcPr>
            <w:tcW w:w="1417" w:type="dxa"/>
            <w:noWrap/>
            <w:hideMark/>
          </w:tcPr>
          <w:p w14:paraId="66F46F9A"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4A6A6520"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6EB65D6E"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652B38E0"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Pr>
          <w:p w14:paraId="14018333" w14:textId="69A04ECE"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With internet connection</w:t>
            </w:r>
          </w:p>
        </w:tc>
      </w:tr>
      <w:tr w:rsidR="006D1940" w:rsidRPr="00173FD6" w14:paraId="6EA9DEB9" w14:textId="77777777" w:rsidTr="00FF4CA3">
        <w:trPr>
          <w:trHeight w:val="300"/>
        </w:trPr>
        <w:tc>
          <w:tcPr>
            <w:tcW w:w="940" w:type="dxa"/>
            <w:tcBorders>
              <w:top w:val="nil"/>
              <w:bottom w:val="nil"/>
            </w:tcBorders>
          </w:tcPr>
          <w:p w14:paraId="3851221C"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1E2F694E" w14:textId="095FB937" w:rsidR="006D1940" w:rsidRPr="00173FD6" w:rsidRDefault="006D1940" w:rsidP="00A31699">
            <w:pPr>
              <w:rPr>
                <w:rFonts w:ascii="Calibri" w:hAnsi="Calibri" w:cs="Calibri"/>
                <w:color w:val="000000" w:themeColor="text1"/>
                <w:sz w:val="22"/>
                <w:szCs w:val="22"/>
                <w:lang w:val="en-US"/>
              </w:rPr>
            </w:pPr>
          </w:p>
        </w:tc>
        <w:tc>
          <w:tcPr>
            <w:tcW w:w="3689" w:type="dxa"/>
          </w:tcPr>
          <w:p w14:paraId="1BE52962" w14:textId="5480E099"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Lubluban Elementary School</w:t>
            </w:r>
          </w:p>
        </w:tc>
        <w:tc>
          <w:tcPr>
            <w:tcW w:w="1417" w:type="dxa"/>
            <w:noWrap/>
            <w:hideMark/>
          </w:tcPr>
          <w:p w14:paraId="79727CCF"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1701" w:type="dxa"/>
            <w:noWrap/>
            <w:hideMark/>
          </w:tcPr>
          <w:p w14:paraId="382B18D2"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6864016F"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5F97F4A9"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1</w:t>
            </w:r>
          </w:p>
        </w:tc>
        <w:tc>
          <w:tcPr>
            <w:tcW w:w="2835" w:type="dxa"/>
          </w:tcPr>
          <w:p w14:paraId="067C54B0" w14:textId="45FC2587"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2 laptops functioning</w:t>
            </w:r>
          </w:p>
        </w:tc>
      </w:tr>
      <w:tr w:rsidR="006D1940" w:rsidRPr="00173FD6" w14:paraId="33D9E5BF" w14:textId="77777777" w:rsidTr="00FF4CA3">
        <w:trPr>
          <w:trHeight w:val="300"/>
        </w:trPr>
        <w:tc>
          <w:tcPr>
            <w:tcW w:w="940" w:type="dxa"/>
            <w:tcBorders>
              <w:top w:val="nil"/>
              <w:bottom w:val="nil"/>
            </w:tcBorders>
          </w:tcPr>
          <w:p w14:paraId="41BCFBF7"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411655EE" w14:textId="44F33820" w:rsidR="006D1940" w:rsidRPr="00173FD6" w:rsidRDefault="006D1940" w:rsidP="00A31699">
            <w:pPr>
              <w:rPr>
                <w:rFonts w:ascii="Calibri" w:hAnsi="Calibri" w:cs="Calibri"/>
                <w:color w:val="000000" w:themeColor="text1"/>
                <w:sz w:val="22"/>
                <w:szCs w:val="22"/>
                <w:lang w:val="en-US"/>
              </w:rPr>
            </w:pPr>
          </w:p>
        </w:tc>
        <w:tc>
          <w:tcPr>
            <w:tcW w:w="3689" w:type="dxa"/>
          </w:tcPr>
          <w:p w14:paraId="60EFDB44" w14:textId="77777777" w:rsidR="006D1940" w:rsidRPr="00173FD6" w:rsidRDefault="006D1940" w:rsidP="00A31699">
            <w:pPr>
              <w:rPr>
                <w:rFonts w:ascii="Calibri" w:hAnsi="Calibri" w:cs="Calibri"/>
                <w:color w:val="000000" w:themeColor="text1"/>
                <w:sz w:val="22"/>
                <w:szCs w:val="22"/>
                <w:lang w:val="en-US"/>
              </w:rPr>
            </w:pPr>
          </w:p>
        </w:tc>
        <w:tc>
          <w:tcPr>
            <w:tcW w:w="1417" w:type="dxa"/>
            <w:noWrap/>
            <w:hideMark/>
          </w:tcPr>
          <w:p w14:paraId="0DF14014"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7B33EAA5"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11BDC2AA"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37E1BE03"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Pr>
          <w:p w14:paraId="0BC1DE21" w14:textId="75388D12"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7 PCs not functioning</w:t>
            </w:r>
          </w:p>
        </w:tc>
      </w:tr>
      <w:tr w:rsidR="006D1940" w:rsidRPr="00173FD6" w14:paraId="1D28AD5E" w14:textId="77777777" w:rsidTr="00FF4CA3">
        <w:trPr>
          <w:trHeight w:val="300"/>
        </w:trPr>
        <w:tc>
          <w:tcPr>
            <w:tcW w:w="940" w:type="dxa"/>
            <w:tcBorders>
              <w:top w:val="nil"/>
              <w:bottom w:val="nil"/>
            </w:tcBorders>
          </w:tcPr>
          <w:p w14:paraId="63694A78"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7CC952C8" w14:textId="0001E2E0" w:rsidR="006D1940" w:rsidRPr="00173FD6" w:rsidRDefault="006D1940" w:rsidP="00A31699">
            <w:pPr>
              <w:rPr>
                <w:rFonts w:ascii="Calibri" w:hAnsi="Calibri" w:cs="Calibri"/>
                <w:color w:val="000000" w:themeColor="text1"/>
                <w:sz w:val="22"/>
                <w:szCs w:val="22"/>
                <w:lang w:val="en-US"/>
              </w:rPr>
            </w:pPr>
          </w:p>
        </w:tc>
        <w:tc>
          <w:tcPr>
            <w:tcW w:w="3689" w:type="dxa"/>
          </w:tcPr>
          <w:p w14:paraId="7C438EFF" w14:textId="77777777" w:rsidR="006D1940" w:rsidRPr="00173FD6" w:rsidRDefault="006D1940" w:rsidP="00A31699">
            <w:pPr>
              <w:rPr>
                <w:rFonts w:ascii="Calibri" w:hAnsi="Calibri" w:cs="Calibri"/>
                <w:color w:val="000000" w:themeColor="text1"/>
                <w:sz w:val="22"/>
                <w:szCs w:val="22"/>
                <w:lang w:val="en-US"/>
              </w:rPr>
            </w:pPr>
          </w:p>
        </w:tc>
        <w:tc>
          <w:tcPr>
            <w:tcW w:w="1417" w:type="dxa"/>
            <w:noWrap/>
            <w:hideMark/>
          </w:tcPr>
          <w:p w14:paraId="538D4C0F"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6EABC1F3"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4E3C73B3"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002F6D94"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Pr>
          <w:p w14:paraId="6EB3D3DA" w14:textId="1588F45C"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No internet connection</w:t>
            </w:r>
          </w:p>
        </w:tc>
      </w:tr>
      <w:tr w:rsidR="006D1940" w:rsidRPr="00173FD6" w14:paraId="00C0845C" w14:textId="77777777" w:rsidTr="00FF4CA3">
        <w:trPr>
          <w:trHeight w:val="300"/>
        </w:trPr>
        <w:tc>
          <w:tcPr>
            <w:tcW w:w="940" w:type="dxa"/>
            <w:tcBorders>
              <w:top w:val="nil"/>
              <w:bottom w:val="nil"/>
            </w:tcBorders>
          </w:tcPr>
          <w:p w14:paraId="0CC22615"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3A20302D" w14:textId="0002F6C9" w:rsidR="006D1940" w:rsidRPr="00173FD6" w:rsidRDefault="006D1940" w:rsidP="00A31699">
            <w:pPr>
              <w:rPr>
                <w:rFonts w:ascii="Calibri" w:hAnsi="Calibri" w:cs="Calibri"/>
                <w:color w:val="000000" w:themeColor="text1"/>
                <w:sz w:val="22"/>
                <w:szCs w:val="22"/>
                <w:lang w:val="en-US"/>
              </w:rPr>
            </w:pPr>
          </w:p>
        </w:tc>
        <w:tc>
          <w:tcPr>
            <w:tcW w:w="3689" w:type="dxa"/>
          </w:tcPr>
          <w:p w14:paraId="106857C0" w14:textId="77777777" w:rsidR="006D1940" w:rsidRPr="00173FD6" w:rsidRDefault="006D1940" w:rsidP="00A31699">
            <w:pPr>
              <w:rPr>
                <w:rFonts w:ascii="Calibri" w:hAnsi="Calibri" w:cs="Calibri"/>
                <w:color w:val="000000" w:themeColor="text1"/>
                <w:sz w:val="22"/>
                <w:szCs w:val="22"/>
                <w:lang w:val="en-US"/>
              </w:rPr>
            </w:pPr>
          </w:p>
        </w:tc>
        <w:tc>
          <w:tcPr>
            <w:tcW w:w="1417" w:type="dxa"/>
            <w:noWrap/>
            <w:hideMark/>
          </w:tcPr>
          <w:p w14:paraId="6F5CD308"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701" w:type="dxa"/>
            <w:noWrap/>
            <w:hideMark/>
          </w:tcPr>
          <w:p w14:paraId="5718B9BD"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418" w:type="dxa"/>
            <w:noWrap/>
            <w:hideMark/>
          </w:tcPr>
          <w:p w14:paraId="6A9A6DC9"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1842" w:type="dxa"/>
            <w:noWrap/>
            <w:hideMark/>
          </w:tcPr>
          <w:p w14:paraId="4172A7F6"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 </w:t>
            </w:r>
          </w:p>
        </w:tc>
        <w:tc>
          <w:tcPr>
            <w:tcW w:w="2835" w:type="dxa"/>
          </w:tcPr>
          <w:p w14:paraId="2F37324C" w14:textId="42133AF9" w:rsidR="006D1940" w:rsidRPr="00173FD6" w:rsidRDefault="006D1940" w:rsidP="00A31699">
            <w:pPr>
              <w:rPr>
                <w:rFonts w:ascii="Calibri Light" w:hAnsi="Calibri Light" w:cs="Calibri Light"/>
                <w:color w:val="000000" w:themeColor="text1"/>
                <w:sz w:val="20"/>
                <w:szCs w:val="20"/>
                <w:lang w:val="en-US"/>
              </w:rPr>
            </w:pPr>
            <w:r w:rsidRPr="00173FD6">
              <w:rPr>
                <w:rFonts w:ascii="Calibri Light" w:hAnsi="Calibri Light" w:cs="Calibri Light"/>
                <w:color w:val="000000" w:themeColor="text1"/>
                <w:sz w:val="20"/>
                <w:szCs w:val="20"/>
                <w:lang w:val="en-US"/>
              </w:rPr>
              <w:t>Need to go to the town center for internet access</w:t>
            </w:r>
          </w:p>
        </w:tc>
      </w:tr>
      <w:tr w:rsidR="006D1940" w:rsidRPr="00173FD6" w14:paraId="6D858887" w14:textId="77777777" w:rsidTr="00FF4CA3">
        <w:trPr>
          <w:trHeight w:val="300"/>
        </w:trPr>
        <w:tc>
          <w:tcPr>
            <w:tcW w:w="940" w:type="dxa"/>
            <w:tcBorders>
              <w:top w:val="nil"/>
              <w:bottom w:val="nil"/>
            </w:tcBorders>
          </w:tcPr>
          <w:p w14:paraId="51F3D12C"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bottom w:val="nil"/>
            </w:tcBorders>
          </w:tcPr>
          <w:p w14:paraId="6602AF0B" w14:textId="702B8E02" w:rsidR="006D1940" w:rsidRPr="00173FD6" w:rsidRDefault="006D1940" w:rsidP="00A31699">
            <w:pPr>
              <w:rPr>
                <w:rFonts w:ascii="Calibri" w:hAnsi="Calibri" w:cs="Calibri"/>
                <w:color w:val="000000" w:themeColor="text1"/>
                <w:sz w:val="22"/>
                <w:szCs w:val="22"/>
                <w:lang w:val="en-US"/>
              </w:rPr>
            </w:pPr>
          </w:p>
        </w:tc>
        <w:tc>
          <w:tcPr>
            <w:tcW w:w="3689" w:type="dxa"/>
          </w:tcPr>
          <w:p w14:paraId="30ADC026" w14:textId="6F3539C7"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Sub-total</w:t>
            </w:r>
          </w:p>
        </w:tc>
        <w:tc>
          <w:tcPr>
            <w:tcW w:w="1417" w:type="dxa"/>
            <w:noWrap/>
            <w:hideMark/>
          </w:tcPr>
          <w:p w14:paraId="14762062"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3</w:t>
            </w:r>
          </w:p>
        </w:tc>
        <w:tc>
          <w:tcPr>
            <w:tcW w:w="1701" w:type="dxa"/>
            <w:noWrap/>
            <w:hideMark/>
          </w:tcPr>
          <w:p w14:paraId="12C4FFEF"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0</w:t>
            </w:r>
          </w:p>
        </w:tc>
        <w:tc>
          <w:tcPr>
            <w:tcW w:w="1418" w:type="dxa"/>
            <w:noWrap/>
            <w:hideMark/>
          </w:tcPr>
          <w:p w14:paraId="2A9B2D5F"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0</w:t>
            </w:r>
          </w:p>
        </w:tc>
        <w:tc>
          <w:tcPr>
            <w:tcW w:w="1842" w:type="dxa"/>
            <w:noWrap/>
            <w:hideMark/>
          </w:tcPr>
          <w:p w14:paraId="1E285C2C" w14:textId="77777777"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3</w:t>
            </w:r>
          </w:p>
        </w:tc>
        <w:tc>
          <w:tcPr>
            <w:tcW w:w="2835" w:type="dxa"/>
          </w:tcPr>
          <w:p w14:paraId="1109BD7E" w14:textId="76CA3C38" w:rsidR="006D1940" w:rsidRPr="00173FD6" w:rsidRDefault="006D1940" w:rsidP="00A31699">
            <w:pPr>
              <w:rPr>
                <w:rFonts w:ascii="Calibri" w:hAnsi="Calibri" w:cs="Calibri"/>
                <w:color w:val="000000" w:themeColor="text1"/>
                <w:sz w:val="22"/>
                <w:szCs w:val="22"/>
                <w:lang w:val="en-US"/>
              </w:rPr>
            </w:pPr>
            <w:r w:rsidRPr="00173FD6">
              <w:rPr>
                <w:rFonts w:ascii="Calibri" w:hAnsi="Calibri" w:cs="Calibri"/>
                <w:color w:val="000000" w:themeColor="text1"/>
                <w:sz w:val="22"/>
                <w:szCs w:val="22"/>
                <w:lang w:val="en-US"/>
              </w:rPr>
              <w:t>0</w:t>
            </w:r>
          </w:p>
        </w:tc>
      </w:tr>
      <w:tr w:rsidR="006D1940" w:rsidRPr="00173FD6" w14:paraId="5708CE6E" w14:textId="77777777" w:rsidTr="00FF4CA3">
        <w:trPr>
          <w:trHeight w:val="300"/>
        </w:trPr>
        <w:tc>
          <w:tcPr>
            <w:tcW w:w="940" w:type="dxa"/>
            <w:tcBorders>
              <w:top w:val="nil"/>
            </w:tcBorders>
          </w:tcPr>
          <w:p w14:paraId="267F31C7" w14:textId="77777777" w:rsidR="006D1940" w:rsidRPr="00173FD6" w:rsidRDefault="006D1940" w:rsidP="00A31699">
            <w:pPr>
              <w:rPr>
                <w:rFonts w:ascii="Calibri" w:hAnsi="Calibri" w:cs="Calibri"/>
                <w:color w:val="000000" w:themeColor="text1"/>
                <w:sz w:val="22"/>
                <w:szCs w:val="22"/>
                <w:lang w:val="en-US"/>
              </w:rPr>
            </w:pPr>
          </w:p>
        </w:tc>
        <w:tc>
          <w:tcPr>
            <w:tcW w:w="895" w:type="dxa"/>
            <w:tcBorders>
              <w:top w:val="nil"/>
            </w:tcBorders>
          </w:tcPr>
          <w:p w14:paraId="38C30F7F" w14:textId="741A0D5A" w:rsidR="006D1940" w:rsidRPr="00173FD6" w:rsidRDefault="006D1940" w:rsidP="00A31699">
            <w:pPr>
              <w:rPr>
                <w:rFonts w:ascii="Calibri" w:hAnsi="Calibri" w:cs="Calibri"/>
                <w:color w:val="000000" w:themeColor="text1"/>
                <w:sz w:val="22"/>
                <w:szCs w:val="22"/>
                <w:lang w:val="en-US"/>
              </w:rPr>
            </w:pPr>
          </w:p>
        </w:tc>
        <w:tc>
          <w:tcPr>
            <w:tcW w:w="3689" w:type="dxa"/>
          </w:tcPr>
          <w:p w14:paraId="701D1974" w14:textId="67F66C38"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Total REGION X</w:t>
            </w:r>
          </w:p>
        </w:tc>
        <w:tc>
          <w:tcPr>
            <w:tcW w:w="1417" w:type="dxa"/>
            <w:noWrap/>
            <w:hideMark/>
          </w:tcPr>
          <w:p w14:paraId="7540E0A4" w14:textId="77777777"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3</w:t>
            </w:r>
          </w:p>
        </w:tc>
        <w:tc>
          <w:tcPr>
            <w:tcW w:w="1701" w:type="dxa"/>
            <w:noWrap/>
            <w:hideMark/>
          </w:tcPr>
          <w:p w14:paraId="54F6E937" w14:textId="77777777"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8</w:t>
            </w:r>
          </w:p>
        </w:tc>
        <w:tc>
          <w:tcPr>
            <w:tcW w:w="1418" w:type="dxa"/>
            <w:noWrap/>
            <w:hideMark/>
          </w:tcPr>
          <w:p w14:paraId="1F5DC3B7" w14:textId="77777777"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0</w:t>
            </w:r>
          </w:p>
        </w:tc>
        <w:tc>
          <w:tcPr>
            <w:tcW w:w="1842" w:type="dxa"/>
            <w:noWrap/>
            <w:hideMark/>
          </w:tcPr>
          <w:p w14:paraId="6B2A0A10" w14:textId="77777777"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11</w:t>
            </w:r>
          </w:p>
        </w:tc>
        <w:tc>
          <w:tcPr>
            <w:tcW w:w="2835" w:type="dxa"/>
          </w:tcPr>
          <w:p w14:paraId="58F8CF46" w14:textId="77777777" w:rsidR="006D1940" w:rsidRPr="00173FD6" w:rsidRDefault="006D1940" w:rsidP="00A31699">
            <w:pPr>
              <w:rPr>
                <w:rFonts w:ascii="Calibri" w:hAnsi="Calibri" w:cs="Calibri"/>
                <w:b/>
                <w:bCs/>
                <w:color w:val="000000" w:themeColor="text1"/>
                <w:sz w:val="22"/>
                <w:szCs w:val="22"/>
                <w:lang w:val="en-US"/>
              </w:rPr>
            </w:pPr>
          </w:p>
        </w:tc>
      </w:tr>
      <w:tr w:rsidR="006D1940" w:rsidRPr="00173FD6" w14:paraId="7359FB9A" w14:textId="77777777" w:rsidTr="00FF4CA3">
        <w:trPr>
          <w:trHeight w:val="300"/>
        </w:trPr>
        <w:tc>
          <w:tcPr>
            <w:tcW w:w="940" w:type="dxa"/>
          </w:tcPr>
          <w:p w14:paraId="101653FF" w14:textId="77777777" w:rsidR="006D1940" w:rsidRPr="00173FD6" w:rsidRDefault="006D1940" w:rsidP="00A31699">
            <w:pPr>
              <w:rPr>
                <w:rFonts w:ascii="Calibri" w:hAnsi="Calibri" w:cs="Calibri"/>
                <w:color w:val="000000" w:themeColor="text1"/>
                <w:sz w:val="22"/>
                <w:szCs w:val="22"/>
                <w:lang w:val="en-US"/>
              </w:rPr>
            </w:pPr>
          </w:p>
        </w:tc>
        <w:tc>
          <w:tcPr>
            <w:tcW w:w="895" w:type="dxa"/>
          </w:tcPr>
          <w:p w14:paraId="084F66BD" w14:textId="77F1BE16" w:rsidR="006D1940" w:rsidRPr="00173FD6" w:rsidRDefault="006D1940" w:rsidP="00A31699">
            <w:pPr>
              <w:rPr>
                <w:rFonts w:ascii="Calibri" w:hAnsi="Calibri" w:cs="Calibri"/>
                <w:color w:val="000000" w:themeColor="text1"/>
                <w:sz w:val="22"/>
                <w:szCs w:val="22"/>
                <w:lang w:val="en-US"/>
              </w:rPr>
            </w:pPr>
          </w:p>
        </w:tc>
        <w:tc>
          <w:tcPr>
            <w:tcW w:w="3689" w:type="dxa"/>
          </w:tcPr>
          <w:p w14:paraId="6E7A3373" w14:textId="73A293F5"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Overall Total</w:t>
            </w:r>
          </w:p>
        </w:tc>
        <w:tc>
          <w:tcPr>
            <w:tcW w:w="1417" w:type="dxa"/>
            <w:noWrap/>
            <w:hideMark/>
          </w:tcPr>
          <w:p w14:paraId="652874ED" w14:textId="77777777"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25</w:t>
            </w:r>
          </w:p>
        </w:tc>
        <w:tc>
          <w:tcPr>
            <w:tcW w:w="1701" w:type="dxa"/>
            <w:noWrap/>
            <w:hideMark/>
          </w:tcPr>
          <w:p w14:paraId="5C1A8CCD" w14:textId="77777777"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35</w:t>
            </w:r>
          </w:p>
        </w:tc>
        <w:tc>
          <w:tcPr>
            <w:tcW w:w="1418" w:type="dxa"/>
            <w:noWrap/>
            <w:hideMark/>
          </w:tcPr>
          <w:p w14:paraId="0198731C" w14:textId="77777777"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46</w:t>
            </w:r>
          </w:p>
        </w:tc>
        <w:tc>
          <w:tcPr>
            <w:tcW w:w="1842" w:type="dxa"/>
            <w:noWrap/>
            <w:hideMark/>
          </w:tcPr>
          <w:p w14:paraId="5084BC75" w14:textId="77777777" w:rsidR="006D1940" w:rsidRPr="00173FD6" w:rsidRDefault="006D1940" w:rsidP="00A31699">
            <w:pPr>
              <w:rPr>
                <w:rFonts w:ascii="Calibri" w:hAnsi="Calibri" w:cs="Calibri"/>
                <w:b/>
                <w:bCs/>
                <w:color w:val="000000" w:themeColor="text1"/>
                <w:sz w:val="22"/>
                <w:szCs w:val="22"/>
                <w:lang w:val="en-US"/>
              </w:rPr>
            </w:pPr>
            <w:r w:rsidRPr="00173FD6">
              <w:rPr>
                <w:rFonts w:ascii="Calibri" w:hAnsi="Calibri" w:cs="Calibri"/>
                <w:b/>
                <w:bCs/>
                <w:color w:val="000000" w:themeColor="text1"/>
                <w:sz w:val="22"/>
                <w:szCs w:val="22"/>
                <w:lang w:val="en-US"/>
              </w:rPr>
              <w:t>60</w:t>
            </w:r>
          </w:p>
        </w:tc>
        <w:tc>
          <w:tcPr>
            <w:tcW w:w="2835" w:type="dxa"/>
          </w:tcPr>
          <w:p w14:paraId="366D53BE" w14:textId="77777777" w:rsidR="006D1940" w:rsidRPr="00173FD6" w:rsidRDefault="006D1940" w:rsidP="00A31699">
            <w:pPr>
              <w:rPr>
                <w:rFonts w:ascii="Calibri" w:hAnsi="Calibri" w:cs="Calibri"/>
                <w:color w:val="000000" w:themeColor="text1"/>
                <w:sz w:val="22"/>
                <w:szCs w:val="22"/>
                <w:lang w:val="en-US"/>
              </w:rPr>
            </w:pPr>
          </w:p>
        </w:tc>
      </w:tr>
    </w:tbl>
    <w:p w14:paraId="1482D85B" w14:textId="77777777" w:rsidR="008D0CAD" w:rsidRPr="00173FD6" w:rsidRDefault="008D0CAD" w:rsidP="002320B3">
      <w:pPr>
        <w:rPr>
          <w:rFonts w:asciiTheme="majorHAnsi" w:hAnsiTheme="majorHAnsi" w:cstheme="majorHAnsi"/>
          <w:lang w:val="en-US"/>
        </w:rPr>
      </w:pPr>
    </w:p>
    <w:p w14:paraId="7AB2C6F7" w14:textId="77777777" w:rsidR="008D0CAD" w:rsidRDefault="008D0CAD" w:rsidP="002320B3">
      <w:pPr>
        <w:rPr>
          <w:rFonts w:asciiTheme="majorHAnsi" w:hAnsiTheme="majorHAnsi" w:cstheme="majorHAnsi"/>
        </w:rPr>
        <w:sectPr w:rsidR="008D0CAD" w:rsidSect="009C64E9">
          <w:pgSz w:w="16840" w:h="11900" w:orient="landscape"/>
          <w:pgMar w:top="720" w:right="720" w:bottom="720" w:left="720" w:header="720" w:footer="720" w:gutter="0"/>
          <w:cols w:space="720"/>
          <w:docGrid w:linePitch="360"/>
        </w:sectPr>
      </w:pPr>
    </w:p>
    <w:p w14:paraId="3787DC81" w14:textId="77777777" w:rsidR="008D0CAD" w:rsidRPr="00173FD6" w:rsidRDefault="008D0CAD" w:rsidP="005902F7">
      <w:pPr>
        <w:pStyle w:val="Heading2"/>
        <w:numPr>
          <w:ilvl w:val="0"/>
          <w:numId w:val="0"/>
        </w:numPr>
        <w:spacing w:before="100" w:beforeAutospacing="1" w:after="100" w:afterAutospacing="1" w:line="360" w:lineRule="auto"/>
        <w:ind w:left="1288" w:hanging="720"/>
      </w:pPr>
      <w:bookmarkStart w:id="267" w:name="_Toc39938368"/>
      <w:bookmarkStart w:id="268" w:name="_Toc69820473"/>
      <w:r w:rsidRPr="00173FD6">
        <w:t>Annex G. List of Secondary Data requested per school</w:t>
      </w:r>
      <w:bookmarkEnd w:id="267"/>
      <w:bookmarkEnd w:id="268"/>
    </w:p>
    <w:p w14:paraId="46D887AB" w14:textId="5DF2ED5B" w:rsidR="008D0CAD" w:rsidRPr="00173FD6" w:rsidRDefault="008D0CAD" w:rsidP="005902F7">
      <w:pPr>
        <w:spacing w:before="100" w:beforeAutospacing="1" w:after="100" w:afterAutospacing="1" w:line="360" w:lineRule="auto"/>
        <w:rPr>
          <w:rFonts w:asciiTheme="majorHAnsi" w:hAnsiTheme="majorHAnsi" w:cstheme="majorHAnsi"/>
          <w:sz w:val="20"/>
          <w:szCs w:val="20"/>
          <w:lang w:val="en-US"/>
        </w:rPr>
      </w:pPr>
      <w:r w:rsidRPr="00173FD6">
        <w:rPr>
          <w:rFonts w:asciiTheme="majorHAnsi" w:hAnsiTheme="majorHAnsi" w:cstheme="majorHAnsi"/>
          <w:sz w:val="20"/>
          <w:szCs w:val="20"/>
          <w:lang w:val="en-US"/>
        </w:rPr>
        <w:t>Note: Nine sets of data were requested from each of the 106 schools included in the study sample.</w:t>
      </w:r>
      <w:r w:rsidR="00D434EB">
        <w:rPr>
          <w:rFonts w:asciiTheme="majorHAnsi" w:hAnsiTheme="majorHAnsi" w:cstheme="majorHAnsi"/>
          <w:sz w:val="20"/>
          <w:szCs w:val="20"/>
          <w:lang w:val="en-US"/>
        </w:rPr>
        <w:t xml:space="preserve"> </w:t>
      </w:r>
      <w:r w:rsidRPr="00173FD6">
        <w:rPr>
          <w:rFonts w:asciiTheme="majorHAnsi" w:hAnsiTheme="majorHAnsi" w:cstheme="majorHAnsi"/>
          <w:sz w:val="20"/>
          <w:szCs w:val="20"/>
          <w:lang w:val="en-US"/>
        </w:rPr>
        <w:t>However, only 25 schools were able to provide complete data on average grades by subject while 37 schools provided different kinds of data but were not used in the analysis due to incompleteness.</w:t>
      </w:r>
    </w:p>
    <w:p w14:paraId="7BD97D2A" w14:textId="77777777" w:rsidR="008D0CAD" w:rsidRPr="00173FD6" w:rsidRDefault="008D0CAD" w:rsidP="00DD08E3">
      <w:pPr>
        <w:numPr>
          <w:ilvl w:val="0"/>
          <w:numId w:val="73"/>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 xml:space="preserve">Students’ Individual Grades </w:t>
      </w:r>
    </w:p>
    <w:p w14:paraId="61A3B07D" w14:textId="77777777" w:rsidR="008D0CAD" w:rsidRPr="00173FD6" w:rsidRDefault="008D0CAD" w:rsidP="00DD08E3">
      <w:pPr>
        <w:numPr>
          <w:ilvl w:val="1"/>
          <w:numId w:val="73"/>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Individual Grades of all Grade 4 students during SY2013-2014 by sex, by disability</w:t>
      </w:r>
    </w:p>
    <w:p w14:paraId="5FB68B8B" w14:textId="77777777" w:rsidR="008D0CAD" w:rsidRPr="00173FD6" w:rsidRDefault="008D0CAD" w:rsidP="00DD08E3">
      <w:pPr>
        <w:numPr>
          <w:ilvl w:val="1"/>
          <w:numId w:val="73"/>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Individual Grades of all Grade 5 students during SY2013-2014 by sex, by disability</w:t>
      </w:r>
    </w:p>
    <w:p w14:paraId="79142F0E" w14:textId="77777777" w:rsidR="008D0CAD" w:rsidRPr="00173FD6" w:rsidRDefault="008D0CAD" w:rsidP="00DD08E3">
      <w:pPr>
        <w:numPr>
          <w:ilvl w:val="1"/>
          <w:numId w:val="73"/>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Individual Grades of all Grade 6 students during SY2013-2014 by sex, by disability</w:t>
      </w:r>
    </w:p>
    <w:p w14:paraId="165E2AF1" w14:textId="77777777" w:rsidR="008D0CAD" w:rsidRPr="00173FD6" w:rsidRDefault="008D0CAD" w:rsidP="00DD08E3">
      <w:pPr>
        <w:numPr>
          <w:ilvl w:val="1"/>
          <w:numId w:val="73"/>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Individual Grades of all Grade 4 students during SY2014-2015 by sex, by disability</w:t>
      </w:r>
    </w:p>
    <w:p w14:paraId="35A226F5" w14:textId="77777777" w:rsidR="008D0CAD" w:rsidRPr="00173FD6" w:rsidRDefault="008D0CAD" w:rsidP="00DD08E3">
      <w:pPr>
        <w:numPr>
          <w:ilvl w:val="1"/>
          <w:numId w:val="73"/>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Individual Grades of all Grade 5 students during SY2014-2015 by sex, by disability</w:t>
      </w:r>
    </w:p>
    <w:p w14:paraId="28BD62D1" w14:textId="77777777" w:rsidR="008D0CAD" w:rsidRPr="00173FD6" w:rsidRDefault="008D0CAD" w:rsidP="00DD08E3">
      <w:pPr>
        <w:numPr>
          <w:ilvl w:val="1"/>
          <w:numId w:val="73"/>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Individual Grades of all Grade 6 students during SY2014-2015 by sex, by disability</w:t>
      </w:r>
    </w:p>
    <w:p w14:paraId="0484AF4A" w14:textId="77777777" w:rsidR="008D0CAD" w:rsidRPr="00173FD6" w:rsidRDefault="008D0CAD" w:rsidP="00DD08E3">
      <w:pPr>
        <w:numPr>
          <w:ilvl w:val="1"/>
          <w:numId w:val="73"/>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Individual Grades of all Grade 4 students during SY2016-2017 by sex, by disability</w:t>
      </w:r>
    </w:p>
    <w:p w14:paraId="714568AC" w14:textId="77777777" w:rsidR="008D0CAD" w:rsidRPr="00173FD6" w:rsidRDefault="008D0CAD" w:rsidP="00DD08E3">
      <w:pPr>
        <w:numPr>
          <w:ilvl w:val="1"/>
          <w:numId w:val="73"/>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Individual Grades of all Grade 5 students during SY2016-2017 by sex, by disability</w:t>
      </w:r>
    </w:p>
    <w:p w14:paraId="0ECD7092" w14:textId="77777777" w:rsidR="008D0CAD" w:rsidRPr="00173FD6" w:rsidRDefault="008D0CAD" w:rsidP="00DD08E3">
      <w:pPr>
        <w:numPr>
          <w:ilvl w:val="1"/>
          <w:numId w:val="73"/>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Individual Grades of all Grade 6 students during SY2016-2017 by sex, by disability</w:t>
      </w:r>
    </w:p>
    <w:p w14:paraId="7A643BAC" w14:textId="77777777" w:rsidR="008D0CAD" w:rsidRPr="00173FD6" w:rsidRDefault="008D0CAD" w:rsidP="00DD08E3">
      <w:pPr>
        <w:numPr>
          <w:ilvl w:val="1"/>
          <w:numId w:val="73"/>
        </w:numPr>
        <w:spacing w:before="100" w:beforeAutospacing="1" w:after="100" w:afterAutospacing="1" w:line="360" w:lineRule="auto"/>
        <w:ind w:left="900" w:hanging="540"/>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Individual Grades of all Grade 4 students during SY2017-2018 by sex, by disability</w:t>
      </w:r>
    </w:p>
    <w:p w14:paraId="72521CE2" w14:textId="77777777" w:rsidR="008D0CAD" w:rsidRPr="00173FD6" w:rsidRDefault="008D0CAD" w:rsidP="00DD08E3">
      <w:pPr>
        <w:numPr>
          <w:ilvl w:val="1"/>
          <w:numId w:val="73"/>
        </w:numPr>
        <w:spacing w:before="100" w:beforeAutospacing="1" w:after="100" w:afterAutospacing="1" w:line="360" w:lineRule="auto"/>
        <w:ind w:left="900" w:hanging="540"/>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Individual Grades of all Grade 5 students during SY2017-2018 by sex, by disability</w:t>
      </w:r>
    </w:p>
    <w:p w14:paraId="532AFD6A" w14:textId="77777777" w:rsidR="008D0CAD" w:rsidRPr="00173FD6" w:rsidRDefault="008D0CAD" w:rsidP="00DD08E3">
      <w:pPr>
        <w:numPr>
          <w:ilvl w:val="1"/>
          <w:numId w:val="73"/>
        </w:numPr>
        <w:spacing w:before="100" w:beforeAutospacing="1" w:after="100" w:afterAutospacing="1" w:line="360" w:lineRule="auto"/>
        <w:ind w:left="900" w:hanging="540"/>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Individual Grades of all Grade 6 students during SY2017-2018 by sex, by disability</w:t>
      </w:r>
    </w:p>
    <w:p w14:paraId="3348BA54" w14:textId="77777777" w:rsidR="008D0CAD" w:rsidRPr="00173FD6" w:rsidRDefault="008D0CAD" w:rsidP="00DD08E3">
      <w:pPr>
        <w:numPr>
          <w:ilvl w:val="0"/>
          <w:numId w:val="73"/>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 xml:space="preserve">Students’ Enrollment data </w:t>
      </w:r>
    </w:p>
    <w:p w14:paraId="0820F4CC" w14:textId="77777777" w:rsidR="008D0CAD" w:rsidRPr="00173FD6" w:rsidRDefault="008D0CAD" w:rsidP="00DD08E3">
      <w:pPr>
        <w:numPr>
          <w:ilvl w:val="1"/>
          <w:numId w:val="73"/>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Enrollment data of all Grades 4, 5, 6 in SY2013-2014 by sex, by disability</w:t>
      </w:r>
    </w:p>
    <w:p w14:paraId="735BE623" w14:textId="77777777" w:rsidR="008D0CAD" w:rsidRPr="00173FD6" w:rsidRDefault="008D0CAD" w:rsidP="00DD08E3">
      <w:pPr>
        <w:numPr>
          <w:ilvl w:val="1"/>
          <w:numId w:val="73"/>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Enrollment data of all Grades 4, 5, 6 in SY2014-2015 by sex, by disability</w:t>
      </w:r>
    </w:p>
    <w:p w14:paraId="2798B71D" w14:textId="77777777" w:rsidR="008D0CAD" w:rsidRPr="00173FD6" w:rsidRDefault="008D0CAD" w:rsidP="00DD08E3">
      <w:pPr>
        <w:numPr>
          <w:ilvl w:val="1"/>
          <w:numId w:val="73"/>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Enrollment data of all Grades 4, 5, 6 in SY2015-2016 by sex, by disability</w:t>
      </w:r>
    </w:p>
    <w:p w14:paraId="28B5AAAE" w14:textId="77777777" w:rsidR="008D0CAD" w:rsidRPr="00173FD6" w:rsidRDefault="008D0CAD" w:rsidP="00DD08E3">
      <w:pPr>
        <w:numPr>
          <w:ilvl w:val="1"/>
          <w:numId w:val="73"/>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Enrollment data of all Grades 4, 5, 6 in SY2016-2017 by sex, by disability</w:t>
      </w:r>
    </w:p>
    <w:p w14:paraId="5C619233" w14:textId="77777777" w:rsidR="008D0CAD" w:rsidRPr="00173FD6" w:rsidRDefault="008D0CAD" w:rsidP="00DD08E3">
      <w:pPr>
        <w:numPr>
          <w:ilvl w:val="1"/>
          <w:numId w:val="73"/>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Enrollment data of all Grades 4, 5, 6 in SY2017-2018 by sex, by disability</w:t>
      </w:r>
    </w:p>
    <w:p w14:paraId="2632A930" w14:textId="77777777" w:rsidR="008D0CAD" w:rsidRPr="00173FD6" w:rsidRDefault="008D0CAD" w:rsidP="00DD08E3">
      <w:pPr>
        <w:numPr>
          <w:ilvl w:val="0"/>
          <w:numId w:val="73"/>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 xml:space="preserve">Students’ Attendance data </w:t>
      </w:r>
    </w:p>
    <w:p w14:paraId="0091572E" w14:textId="77777777" w:rsidR="008D0CAD" w:rsidRPr="00173FD6" w:rsidRDefault="008D0CAD" w:rsidP="00DD08E3">
      <w:pPr>
        <w:numPr>
          <w:ilvl w:val="1"/>
          <w:numId w:val="73"/>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Attendance data of all Grades 4, 5, 6 in SY2013-2014 by sex, by disability</w:t>
      </w:r>
    </w:p>
    <w:p w14:paraId="62CA30CA" w14:textId="77777777" w:rsidR="008D0CAD" w:rsidRPr="00173FD6" w:rsidRDefault="008D0CAD" w:rsidP="00DD08E3">
      <w:pPr>
        <w:numPr>
          <w:ilvl w:val="1"/>
          <w:numId w:val="73"/>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Attendance data of all Grades 4, 5, 6 in SY2014-2015 by sex, by disability</w:t>
      </w:r>
    </w:p>
    <w:p w14:paraId="01BE8E41" w14:textId="77777777" w:rsidR="008D0CAD" w:rsidRPr="00173FD6" w:rsidRDefault="008D0CAD" w:rsidP="00DD08E3">
      <w:pPr>
        <w:numPr>
          <w:ilvl w:val="1"/>
          <w:numId w:val="73"/>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Attendance data of all Grades 4, 5, 6 in SY2015-2016 by sex, by disability</w:t>
      </w:r>
    </w:p>
    <w:p w14:paraId="0663FC87" w14:textId="77777777" w:rsidR="008D0CAD" w:rsidRPr="00173FD6" w:rsidRDefault="008D0CAD" w:rsidP="00DD08E3">
      <w:pPr>
        <w:numPr>
          <w:ilvl w:val="1"/>
          <w:numId w:val="73"/>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Attendance data of all Grades 4, 5, 6 in SY2016-2017 by sex, by disability</w:t>
      </w:r>
    </w:p>
    <w:p w14:paraId="44DB8144" w14:textId="77777777" w:rsidR="008D0CAD" w:rsidRPr="00173FD6" w:rsidRDefault="008D0CAD" w:rsidP="00DD08E3">
      <w:pPr>
        <w:numPr>
          <w:ilvl w:val="1"/>
          <w:numId w:val="73"/>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Attendance data of all Grades 4, 5, 6 in SY2017-2018 by sex, by disability</w:t>
      </w:r>
    </w:p>
    <w:p w14:paraId="33FADD58" w14:textId="77777777" w:rsidR="008D0CAD" w:rsidRPr="00173FD6" w:rsidRDefault="008D0CAD" w:rsidP="00DD08E3">
      <w:pPr>
        <w:numPr>
          <w:ilvl w:val="0"/>
          <w:numId w:val="73"/>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 xml:space="preserve">Students’ Drop-out data </w:t>
      </w:r>
    </w:p>
    <w:p w14:paraId="3A0A46BF" w14:textId="77777777" w:rsidR="008D0CAD" w:rsidRPr="00173FD6" w:rsidRDefault="008D0CAD" w:rsidP="00DD08E3">
      <w:pPr>
        <w:numPr>
          <w:ilvl w:val="1"/>
          <w:numId w:val="73"/>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Drop-out data of all Grades 4, 5, 6 in SY2013-2014 by sex, by disability</w:t>
      </w:r>
    </w:p>
    <w:p w14:paraId="3748D5B2" w14:textId="77777777" w:rsidR="008D0CAD" w:rsidRPr="00173FD6" w:rsidRDefault="008D0CAD" w:rsidP="00DD08E3">
      <w:pPr>
        <w:numPr>
          <w:ilvl w:val="1"/>
          <w:numId w:val="73"/>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Drop-out data of all Grades 4, 5, 6 in SY2014-2015 by sex, by disability</w:t>
      </w:r>
    </w:p>
    <w:p w14:paraId="003ACC02" w14:textId="77777777" w:rsidR="008D0CAD" w:rsidRPr="00173FD6" w:rsidRDefault="008D0CAD" w:rsidP="00DD08E3">
      <w:pPr>
        <w:numPr>
          <w:ilvl w:val="1"/>
          <w:numId w:val="73"/>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Drop-out data of all Grades 4, 5, 6 in SY2015-2016 by sex, by disability</w:t>
      </w:r>
    </w:p>
    <w:p w14:paraId="6AB120FF" w14:textId="77777777" w:rsidR="008D0CAD" w:rsidRPr="00173FD6" w:rsidRDefault="008D0CAD" w:rsidP="00DD08E3">
      <w:pPr>
        <w:numPr>
          <w:ilvl w:val="1"/>
          <w:numId w:val="73"/>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Drop-out data of all Grades 4, 5, 6 in SY2016-2017 by sex, by disability</w:t>
      </w:r>
    </w:p>
    <w:p w14:paraId="284BC04A" w14:textId="77777777" w:rsidR="008D0CAD" w:rsidRPr="00173FD6" w:rsidRDefault="008D0CAD" w:rsidP="00DD08E3">
      <w:pPr>
        <w:numPr>
          <w:ilvl w:val="1"/>
          <w:numId w:val="73"/>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Drop-out data of all Grades 4, 5, 6 in SY2017-2018 by sex, by disability</w:t>
      </w:r>
    </w:p>
    <w:p w14:paraId="7D1C9D16" w14:textId="77777777" w:rsidR="008D0CAD" w:rsidRPr="00173FD6" w:rsidRDefault="008D0CAD" w:rsidP="00DD08E3">
      <w:pPr>
        <w:numPr>
          <w:ilvl w:val="0"/>
          <w:numId w:val="73"/>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School leaver rates</w:t>
      </w:r>
    </w:p>
    <w:p w14:paraId="4DC35CC3" w14:textId="77777777" w:rsidR="008D0CAD" w:rsidRPr="00173FD6" w:rsidRDefault="008D0CAD" w:rsidP="00DD08E3">
      <w:pPr>
        <w:numPr>
          <w:ilvl w:val="1"/>
          <w:numId w:val="73"/>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School leaver rate all Grades 4, 5, 6 in SY2013-2014 by sex, by disability</w:t>
      </w:r>
    </w:p>
    <w:p w14:paraId="5ACA83C6" w14:textId="77777777" w:rsidR="008D0CAD" w:rsidRPr="00173FD6" w:rsidRDefault="008D0CAD" w:rsidP="00DD08E3">
      <w:pPr>
        <w:numPr>
          <w:ilvl w:val="1"/>
          <w:numId w:val="73"/>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School leaver rate all Grades 4, 5, 6 in SY2014-2015 by sex, by disability</w:t>
      </w:r>
    </w:p>
    <w:p w14:paraId="262E2217" w14:textId="77777777" w:rsidR="008D0CAD" w:rsidRPr="00173FD6" w:rsidRDefault="008D0CAD" w:rsidP="00DD08E3">
      <w:pPr>
        <w:numPr>
          <w:ilvl w:val="1"/>
          <w:numId w:val="73"/>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School leaver rate all Grades 4, 5, 6 in SY2015-2016 by sex, by disability</w:t>
      </w:r>
    </w:p>
    <w:p w14:paraId="52DE9A0E" w14:textId="77777777" w:rsidR="008D0CAD" w:rsidRPr="00173FD6" w:rsidRDefault="008D0CAD" w:rsidP="00DD08E3">
      <w:pPr>
        <w:numPr>
          <w:ilvl w:val="1"/>
          <w:numId w:val="73"/>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School leaver rate all Grades 4, 5, 6 in SY2016-2017 by sex, by disability</w:t>
      </w:r>
    </w:p>
    <w:p w14:paraId="40C8F2C9" w14:textId="77777777" w:rsidR="008D0CAD" w:rsidRPr="00173FD6" w:rsidRDefault="008D0CAD" w:rsidP="00DD08E3">
      <w:pPr>
        <w:numPr>
          <w:ilvl w:val="1"/>
          <w:numId w:val="73"/>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School leaver rate all Grades 4, 5, 6 in SY2017-2018 by sex, by disability</w:t>
      </w:r>
    </w:p>
    <w:p w14:paraId="7816F1D7" w14:textId="77777777" w:rsidR="008D0CAD" w:rsidRPr="00173FD6" w:rsidRDefault="008D0CAD" w:rsidP="00DD08E3">
      <w:pPr>
        <w:numPr>
          <w:ilvl w:val="0"/>
          <w:numId w:val="73"/>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Transition Rates</w:t>
      </w:r>
    </w:p>
    <w:p w14:paraId="2348C9BB" w14:textId="77777777" w:rsidR="008D0CAD" w:rsidRPr="00173FD6" w:rsidRDefault="008D0CAD" w:rsidP="00DD08E3">
      <w:pPr>
        <w:numPr>
          <w:ilvl w:val="1"/>
          <w:numId w:val="73"/>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 xml:space="preserve">Transition Rate on </w:t>
      </w:r>
      <w:r w:rsidRPr="00F373A4">
        <w:rPr>
          <w:rFonts w:asciiTheme="majorHAnsi" w:hAnsiTheme="majorHAnsi" w:cstheme="majorHAnsi"/>
          <w:bCs/>
          <w:snapToGrid w:val="0"/>
          <w:sz w:val="20"/>
          <w:szCs w:val="20"/>
          <w:lang w:val="en-US"/>
        </w:rPr>
        <w:t>Grade 3 to 4</w:t>
      </w:r>
      <w:r w:rsidRPr="00173FD6">
        <w:rPr>
          <w:rFonts w:asciiTheme="majorHAnsi" w:hAnsiTheme="majorHAnsi" w:cstheme="majorHAnsi"/>
          <w:snapToGrid w:val="0"/>
          <w:sz w:val="20"/>
          <w:szCs w:val="20"/>
          <w:lang w:val="en-US"/>
        </w:rPr>
        <w:t xml:space="preserve"> for SY2013-2014 by sex, by disability</w:t>
      </w:r>
    </w:p>
    <w:p w14:paraId="3A6FD1E4" w14:textId="77777777" w:rsidR="008D0CAD" w:rsidRPr="00173FD6" w:rsidRDefault="008D0CAD" w:rsidP="00DD08E3">
      <w:pPr>
        <w:numPr>
          <w:ilvl w:val="1"/>
          <w:numId w:val="73"/>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Transition Rate on Grade 3 to 4 for SY2014-2015 by sex, by disability</w:t>
      </w:r>
    </w:p>
    <w:p w14:paraId="6ED3F230" w14:textId="77777777" w:rsidR="008D0CAD" w:rsidRPr="00173FD6" w:rsidRDefault="008D0CAD" w:rsidP="00DD08E3">
      <w:pPr>
        <w:numPr>
          <w:ilvl w:val="1"/>
          <w:numId w:val="73"/>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Transition Rate on Grade 3 to 4 for SY2015-2016 by sex, by disability</w:t>
      </w:r>
    </w:p>
    <w:p w14:paraId="53FF1DE3" w14:textId="77777777" w:rsidR="008D0CAD" w:rsidRPr="00173FD6" w:rsidRDefault="008D0CAD" w:rsidP="00DD08E3">
      <w:pPr>
        <w:numPr>
          <w:ilvl w:val="1"/>
          <w:numId w:val="73"/>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Transition Rate on Grade 3 to 4 for SY2016-2017 by sex, by disability</w:t>
      </w:r>
    </w:p>
    <w:p w14:paraId="7D2A7071" w14:textId="77777777" w:rsidR="008D0CAD" w:rsidRPr="00173FD6" w:rsidRDefault="008D0CAD" w:rsidP="00DD08E3">
      <w:pPr>
        <w:numPr>
          <w:ilvl w:val="1"/>
          <w:numId w:val="73"/>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Transition Rate on Grade 3 to 4 for SY2016-2017 by sex, by disability</w:t>
      </w:r>
    </w:p>
    <w:p w14:paraId="60289D3A" w14:textId="77777777" w:rsidR="008D0CAD" w:rsidRPr="00173FD6" w:rsidRDefault="008D0CAD" w:rsidP="00DD08E3">
      <w:pPr>
        <w:numPr>
          <w:ilvl w:val="1"/>
          <w:numId w:val="73"/>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 xml:space="preserve">Transition Rate on Grade 3 to 4 for SY2017-2018 by sex, by disability </w:t>
      </w:r>
    </w:p>
    <w:p w14:paraId="1124B5C8" w14:textId="77777777" w:rsidR="008D0CAD" w:rsidRPr="00173FD6" w:rsidRDefault="008D0CAD" w:rsidP="00DD08E3">
      <w:pPr>
        <w:numPr>
          <w:ilvl w:val="1"/>
          <w:numId w:val="73"/>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Transition Rate on Grade 6 to 7 for SY2013-2014 by sex, by disability</w:t>
      </w:r>
    </w:p>
    <w:p w14:paraId="485E68DC" w14:textId="77777777" w:rsidR="008D0CAD" w:rsidRPr="00173FD6" w:rsidRDefault="008D0CAD" w:rsidP="00DD08E3">
      <w:pPr>
        <w:numPr>
          <w:ilvl w:val="1"/>
          <w:numId w:val="73"/>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Transition Rate on Grade 6 to 7 for SY2014-2015 by sex, by disability</w:t>
      </w:r>
    </w:p>
    <w:p w14:paraId="68E9AA65" w14:textId="77777777" w:rsidR="008D0CAD" w:rsidRPr="00173FD6" w:rsidRDefault="008D0CAD" w:rsidP="00DD08E3">
      <w:pPr>
        <w:numPr>
          <w:ilvl w:val="1"/>
          <w:numId w:val="73"/>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Transition Rate on Grade 6 to 7 for SY2015-2016 by sex, by disability</w:t>
      </w:r>
    </w:p>
    <w:p w14:paraId="673AC2CD" w14:textId="77777777" w:rsidR="008D0CAD" w:rsidRPr="00173FD6" w:rsidRDefault="008D0CAD" w:rsidP="00DD08E3">
      <w:pPr>
        <w:numPr>
          <w:ilvl w:val="1"/>
          <w:numId w:val="73"/>
        </w:numPr>
        <w:spacing w:before="100" w:beforeAutospacing="1" w:after="100" w:afterAutospacing="1" w:line="360" w:lineRule="auto"/>
        <w:ind w:left="900" w:hanging="540"/>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Transition Rate on Grade 6 to 7 for SY2016-2017 by sex, by disability</w:t>
      </w:r>
    </w:p>
    <w:p w14:paraId="545011B5" w14:textId="77777777" w:rsidR="008D0CAD" w:rsidRPr="00173FD6" w:rsidRDefault="008D0CAD" w:rsidP="00DD08E3">
      <w:pPr>
        <w:numPr>
          <w:ilvl w:val="1"/>
          <w:numId w:val="73"/>
        </w:numPr>
        <w:spacing w:before="100" w:beforeAutospacing="1" w:after="100" w:afterAutospacing="1" w:line="360" w:lineRule="auto"/>
        <w:ind w:left="900" w:hanging="540"/>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Transition Rate on Grade 6 to 7 for SY2016-2017 by sex, by disability</w:t>
      </w:r>
    </w:p>
    <w:p w14:paraId="1EC4216D" w14:textId="77777777" w:rsidR="008D0CAD" w:rsidRPr="00173FD6" w:rsidRDefault="008D0CAD" w:rsidP="00DD08E3">
      <w:pPr>
        <w:numPr>
          <w:ilvl w:val="1"/>
          <w:numId w:val="73"/>
        </w:numPr>
        <w:spacing w:before="100" w:beforeAutospacing="1" w:after="100" w:afterAutospacing="1" w:line="360" w:lineRule="auto"/>
        <w:ind w:left="900" w:hanging="540"/>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 xml:space="preserve">Transition Rate on Grade 6 to 7 for SY2017-2018 by sex, by disability </w:t>
      </w:r>
    </w:p>
    <w:p w14:paraId="65430FD0" w14:textId="77777777" w:rsidR="008D0CAD" w:rsidRPr="00173FD6" w:rsidRDefault="008D0CAD" w:rsidP="00DD08E3">
      <w:pPr>
        <w:numPr>
          <w:ilvl w:val="0"/>
          <w:numId w:val="73"/>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 xml:space="preserve">Phil-IRI reading test </w:t>
      </w:r>
    </w:p>
    <w:p w14:paraId="58C287C3" w14:textId="77777777" w:rsidR="008D0CAD" w:rsidRPr="00173FD6" w:rsidRDefault="008D0CAD" w:rsidP="00DD08E3">
      <w:pPr>
        <w:numPr>
          <w:ilvl w:val="1"/>
          <w:numId w:val="73"/>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Phil-IRI reading test for Grades 3 to 6 in SY2013-2014 by sex, by disability</w:t>
      </w:r>
    </w:p>
    <w:p w14:paraId="39DF1E94" w14:textId="77777777" w:rsidR="008D0CAD" w:rsidRPr="00173FD6" w:rsidRDefault="008D0CAD" w:rsidP="00DD08E3">
      <w:pPr>
        <w:numPr>
          <w:ilvl w:val="1"/>
          <w:numId w:val="73"/>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Phil-IRI reading test for Grades 3 to 6 in SY2014-2015 by sex, by disability</w:t>
      </w:r>
    </w:p>
    <w:p w14:paraId="3FA4EC55" w14:textId="77777777" w:rsidR="008D0CAD" w:rsidRPr="00173FD6" w:rsidRDefault="008D0CAD" w:rsidP="00DD08E3">
      <w:pPr>
        <w:numPr>
          <w:ilvl w:val="1"/>
          <w:numId w:val="73"/>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Phil-IRI reading test for Grades 3 to 6 in SY2015-2016 by sex, by disability</w:t>
      </w:r>
    </w:p>
    <w:p w14:paraId="350B472E" w14:textId="77777777" w:rsidR="008D0CAD" w:rsidRPr="00173FD6" w:rsidRDefault="008D0CAD" w:rsidP="00DD08E3">
      <w:pPr>
        <w:numPr>
          <w:ilvl w:val="1"/>
          <w:numId w:val="73"/>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Phil-IRI reading test for Grades 3 to 6 in SY2016-2017 by sex, by disability</w:t>
      </w:r>
    </w:p>
    <w:p w14:paraId="0CB6826F" w14:textId="77777777" w:rsidR="008D0CAD" w:rsidRPr="00173FD6" w:rsidRDefault="008D0CAD" w:rsidP="00DD08E3">
      <w:pPr>
        <w:numPr>
          <w:ilvl w:val="1"/>
          <w:numId w:val="73"/>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Phil-IRI reading test for Grades 3 to 6 in SY2017-2018 by sex, by disability</w:t>
      </w:r>
    </w:p>
    <w:p w14:paraId="50B6A42E" w14:textId="77777777" w:rsidR="008D0CAD" w:rsidRPr="00173FD6" w:rsidRDefault="008D0CAD" w:rsidP="00DD08E3">
      <w:pPr>
        <w:numPr>
          <w:ilvl w:val="0"/>
          <w:numId w:val="73"/>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 xml:space="preserve">COT results </w:t>
      </w:r>
    </w:p>
    <w:p w14:paraId="09C559F9" w14:textId="77777777" w:rsidR="008D0CAD" w:rsidRPr="00173FD6" w:rsidRDefault="008D0CAD" w:rsidP="00DD08E3">
      <w:pPr>
        <w:numPr>
          <w:ilvl w:val="1"/>
          <w:numId w:val="73"/>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COT results for 1</w:t>
      </w:r>
      <w:r w:rsidRPr="00173FD6">
        <w:rPr>
          <w:rFonts w:asciiTheme="majorHAnsi" w:hAnsiTheme="majorHAnsi" w:cstheme="majorHAnsi"/>
          <w:snapToGrid w:val="0"/>
          <w:sz w:val="20"/>
          <w:szCs w:val="20"/>
          <w:vertAlign w:val="superscript"/>
          <w:lang w:val="en-US"/>
        </w:rPr>
        <w:t>st</w:t>
      </w:r>
      <w:r w:rsidRPr="00173FD6">
        <w:rPr>
          <w:rFonts w:asciiTheme="majorHAnsi" w:hAnsiTheme="majorHAnsi" w:cstheme="majorHAnsi"/>
          <w:snapToGrid w:val="0"/>
          <w:sz w:val="20"/>
          <w:szCs w:val="20"/>
          <w:lang w:val="en-US"/>
        </w:rPr>
        <w:t xml:space="preserve"> quarter of SY2017-2018</w:t>
      </w:r>
    </w:p>
    <w:p w14:paraId="73195017" w14:textId="77777777" w:rsidR="008D0CAD" w:rsidRPr="00173FD6" w:rsidRDefault="008D0CAD" w:rsidP="00DD08E3">
      <w:pPr>
        <w:numPr>
          <w:ilvl w:val="1"/>
          <w:numId w:val="73"/>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COT results for 2</w:t>
      </w:r>
      <w:r w:rsidRPr="00173FD6">
        <w:rPr>
          <w:rFonts w:asciiTheme="majorHAnsi" w:hAnsiTheme="majorHAnsi" w:cstheme="majorHAnsi"/>
          <w:snapToGrid w:val="0"/>
          <w:sz w:val="20"/>
          <w:szCs w:val="20"/>
          <w:vertAlign w:val="superscript"/>
          <w:lang w:val="en-US"/>
        </w:rPr>
        <w:t xml:space="preserve">nd </w:t>
      </w:r>
      <w:r w:rsidRPr="00173FD6">
        <w:rPr>
          <w:rFonts w:asciiTheme="majorHAnsi" w:hAnsiTheme="majorHAnsi" w:cstheme="majorHAnsi"/>
          <w:snapToGrid w:val="0"/>
          <w:sz w:val="20"/>
          <w:szCs w:val="20"/>
          <w:lang w:val="en-US"/>
        </w:rPr>
        <w:t>quarter of SY2017-2018</w:t>
      </w:r>
    </w:p>
    <w:p w14:paraId="2D2269C2" w14:textId="77777777" w:rsidR="008D0CAD" w:rsidRPr="00173FD6" w:rsidRDefault="008D0CAD" w:rsidP="00DD08E3">
      <w:pPr>
        <w:numPr>
          <w:ilvl w:val="1"/>
          <w:numId w:val="73"/>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COT results 3</w:t>
      </w:r>
      <w:r w:rsidRPr="00173FD6">
        <w:rPr>
          <w:rFonts w:asciiTheme="majorHAnsi" w:hAnsiTheme="majorHAnsi" w:cstheme="majorHAnsi"/>
          <w:snapToGrid w:val="0"/>
          <w:sz w:val="20"/>
          <w:szCs w:val="20"/>
          <w:vertAlign w:val="superscript"/>
          <w:lang w:val="en-US"/>
        </w:rPr>
        <w:t>rd</w:t>
      </w:r>
      <w:r w:rsidRPr="00173FD6">
        <w:rPr>
          <w:rFonts w:asciiTheme="majorHAnsi" w:hAnsiTheme="majorHAnsi" w:cstheme="majorHAnsi"/>
          <w:snapToGrid w:val="0"/>
          <w:sz w:val="20"/>
          <w:szCs w:val="20"/>
          <w:lang w:val="en-US"/>
        </w:rPr>
        <w:t xml:space="preserve"> quarter of SY2017-2018 </w:t>
      </w:r>
    </w:p>
    <w:p w14:paraId="1C40046E" w14:textId="77777777" w:rsidR="008D0CAD" w:rsidRPr="00173FD6" w:rsidRDefault="008D0CAD" w:rsidP="00DD08E3">
      <w:pPr>
        <w:numPr>
          <w:ilvl w:val="1"/>
          <w:numId w:val="73"/>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COT results for 4</w:t>
      </w:r>
      <w:r w:rsidRPr="00173FD6">
        <w:rPr>
          <w:rFonts w:asciiTheme="majorHAnsi" w:hAnsiTheme="majorHAnsi" w:cstheme="majorHAnsi"/>
          <w:snapToGrid w:val="0"/>
          <w:sz w:val="20"/>
          <w:szCs w:val="20"/>
          <w:vertAlign w:val="superscript"/>
          <w:lang w:val="en-US"/>
        </w:rPr>
        <w:t>th</w:t>
      </w:r>
      <w:r w:rsidRPr="00173FD6">
        <w:rPr>
          <w:rFonts w:asciiTheme="majorHAnsi" w:hAnsiTheme="majorHAnsi" w:cstheme="majorHAnsi"/>
          <w:snapToGrid w:val="0"/>
          <w:sz w:val="20"/>
          <w:szCs w:val="20"/>
          <w:lang w:val="en-US"/>
        </w:rPr>
        <w:t xml:space="preserve"> quarter of SY2017-2018 </w:t>
      </w:r>
    </w:p>
    <w:p w14:paraId="5EF6B857" w14:textId="77777777" w:rsidR="008D0CAD" w:rsidRPr="00173FD6" w:rsidRDefault="008D0CAD" w:rsidP="00DD08E3">
      <w:pPr>
        <w:numPr>
          <w:ilvl w:val="0"/>
          <w:numId w:val="73"/>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List teachers teaching in Grades 4, 5 and 6 with their email address</w:t>
      </w:r>
    </w:p>
    <w:p w14:paraId="3A0ACD47" w14:textId="77777777" w:rsidR="008D0CAD" w:rsidRPr="00173FD6" w:rsidRDefault="008D0CAD" w:rsidP="00DD08E3">
      <w:pPr>
        <w:numPr>
          <w:ilvl w:val="1"/>
          <w:numId w:val="73"/>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Math Teachers in Grades 4, 5 and 6</w:t>
      </w:r>
    </w:p>
    <w:p w14:paraId="4B71F74E" w14:textId="77777777" w:rsidR="008D0CAD" w:rsidRPr="00173FD6" w:rsidRDefault="008D0CAD" w:rsidP="00DD08E3">
      <w:pPr>
        <w:numPr>
          <w:ilvl w:val="1"/>
          <w:numId w:val="73"/>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Science Teachers in Grades 4, 5 and 6</w:t>
      </w:r>
    </w:p>
    <w:p w14:paraId="6E29555B" w14:textId="77777777" w:rsidR="008D0CAD" w:rsidRPr="00173FD6" w:rsidRDefault="008D0CAD" w:rsidP="00DD08E3">
      <w:pPr>
        <w:numPr>
          <w:ilvl w:val="1"/>
          <w:numId w:val="73"/>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English Teachers in Grades 4, 5 and 6</w:t>
      </w:r>
    </w:p>
    <w:p w14:paraId="51322A4D" w14:textId="73064E11" w:rsidR="008D0CAD" w:rsidRPr="005902F7" w:rsidRDefault="008D0CAD" w:rsidP="00DD08E3">
      <w:pPr>
        <w:numPr>
          <w:ilvl w:val="1"/>
          <w:numId w:val="73"/>
        </w:numPr>
        <w:spacing w:before="100" w:beforeAutospacing="1" w:after="100" w:afterAutospacing="1" w:line="360" w:lineRule="auto"/>
        <w:contextualSpacing/>
        <w:rPr>
          <w:rFonts w:asciiTheme="majorHAnsi" w:hAnsiTheme="majorHAnsi" w:cstheme="majorHAnsi"/>
        </w:rPr>
      </w:pPr>
      <w:r w:rsidRPr="005902F7">
        <w:rPr>
          <w:rFonts w:asciiTheme="majorHAnsi" w:hAnsiTheme="majorHAnsi" w:cstheme="majorHAnsi"/>
          <w:snapToGrid w:val="0"/>
          <w:sz w:val="20"/>
          <w:szCs w:val="20"/>
          <w:lang w:val="en-US"/>
        </w:rPr>
        <w:t xml:space="preserve">Filipino Teachers in Grades 4, 5 and 6 </w:t>
      </w:r>
    </w:p>
    <w:p w14:paraId="52E8E502" w14:textId="77777777" w:rsidR="008D0CAD" w:rsidRDefault="008D0CAD" w:rsidP="002320B3">
      <w:pPr>
        <w:rPr>
          <w:rFonts w:asciiTheme="majorHAnsi" w:hAnsiTheme="majorHAnsi" w:cstheme="majorHAnsi"/>
        </w:rPr>
      </w:pPr>
    </w:p>
    <w:p w14:paraId="4BA6588A" w14:textId="77777777" w:rsidR="008D0CAD" w:rsidRDefault="008D0CAD" w:rsidP="002320B3">
      <w:pPr>
        <w:rPr>
          <w:rFonts w:asciiTheme="majorHAnsi" w:hAnsiTheme="majorHAnsi" w:cstheme="majorHAnsi"/>
        </w:rPr>
      </w:pPr>
    </w:p>
    <w:p w14:paraId="479F85AB" w14:textId="77777777" w:rsidR="008D0CAD" w:rsidRDefault="008D0CAD" w:rsidP="002320B3">
      <w:pPr>
        <w:rPr>
          <w:rFonts w:asciiTheme="majorHAnsi" w:hAnsiTheme="majorHAnsi" w:cstheme="majorHAnsi"/>
        </w:rPr>
      </w:pPr>
    </w:p>
    <w:p w14:paraId="7D346E5E" w14:textId="77777777" w:rsidR="008D0CAD" w:rsidRDefault="008D0CAD" w:rsidP="002320B3">
      <w:pPr>
        <w:rPr>
          <w:rFonts w:asciiTheme="majorHAnsi" w:hAnsiTheme="majorHAnsi" w:cstheme="majorHAnsi"/>
        </w:rPr>
        <w:sectPr w:rsidR="008D0CAD" w:rsidSect="009C64E9">
          <w:pgSz w:w="11900" w:h="16840"/>
          <w:pgMar w:top="1440" w:right="1440" w:bottom="1440" w:left="1440" w:header="720" w:footer="720" w:gutter="0"/>
          <w:cols w:space="720"/>
          <w:docGrid w:linePitch="360"/>
        </w:sectPr>
      </w:pPr>
    </w:p>
    <w:p w14:paraId="75F0F030" w14:textId="77777777" w:rsidR="008D0CAD" w:rsidRPr="00173FD6" w:rsidRDefault="008D0CAD" w:rsidP="002320B3">
      <w:pPr>
        <w:pStyle w:val="Heading2"/>
        <w:numPr>
          <w:ilvl w:val="0"/>
          <w:numId w:val="0"/>
        </w:numPr>
        <w:ind w:left="1288" w:hanging="720"/>
      </w:pPr>
      <w:bookmarkStart w:id="269" w:name="_Toc39938369"/>
      <w:bookmarkStart w:id="270" w:name="_Toc69820474"/>
      <w:r w:rsidRPr="00173FD6">
        <w:t>Annex H. Status of Submissions of School</w:t>
      </w:r>
      <w:bookmarkEnd w:id="269"/>
      <w:bookmarkEnd w:id="270"/>
      <w:r w:rsidRPr="00173FD6">
        <w:t xml:space="preserve"> </w:t>
      </w:r>
    </w:p>
    <w:p w14:paraId="373B501C" w14:textId="77777777" w:rsidR="008D0CAD" w:rsidRPr="00173FD6" w:rsidRDefault="008D0CAD" w:rsidP="002320B3">
      <w:pPr>
        <w:ind w:left="990" w:hanging="990"/>
        <w:rPr>
          <w:rFonts w:asciiTheme="majorHAnsi" w:hAnsiTheme="majorHAnsi" w:cstheme="majorHAnsi"/>
          <w:i/>
          <w:iCs/>
          <w:color w:val="000000" w:themeColor="text1"/>
          <w:sz w:val="20"/>
          <w:szCs w:val="20"/>
          <w:lang w:val="en-US"/>
        </w:rPr>
      </w:pPr>
    </w:p>
    <w:p w14:paraId="797D0095" w14:textId="77777777" w:rsidR="008D0CAD" w:rsidRPr="00173FD6" w:rsidRDefault="008D0CAD" w:rsidP="002320B3">
      <w:pPr>
        <w:rPr>
          <w:rFonts w:asciiTheme="majorHAnsi" w:hAnsiTheme="majorHAnsi" w:cstheme="majorHAnsi"/>
          <w:lang w:val="en-US"/>
        </w:rPr>
      </w:pPr>
      <w:r w:rsidRPr="00173FD6">
        <w:rPr>
          <w:rFonts w:asciiTheme="majorHAnsi" w:hAnsiTheme="majorHAnsi" w:cstheme="majorHAnsi"/>
          <w:lang w:val="en-US"/>
        </w:rPr>
        <w:t>List of Schools that have not yet provided any data (46 schools) and have not yet participated in any of the FGDs</w:t>
      </w:r>
    </w:p>
    <w:tbl>
      <w:tblPr>
        <w:tblStyle w:val="TableGrid11"/>
        <w:tblW w:w="14447" w:type="dxa"/>
        <w:tblLook w:val="04A0" w:firstRow="1" w:lastRow="0" w:firstColumn="1" w:lastColumn="0" w:noHBand="0" w:noVBand="1"/>
      </w:tblPr>
      <w:tblGrid>
        <w:gridCol w:w="909"/>
        <w:gridCol w:w="1751"/>
        <w:gridCol w:w="1184"/>
        <w:gridCol w:w="1681"/>
        <w:gridCol w:w="1991"/>
        <w:gridCol w:w="1132"/>
        <w:gridCol w:w="3485"/>
        <w:gridCol w:w="1115"/>
        <w:gridCol w:w="1199"/>
      </w:tblGrid>
      <w:tr w:rsidR="008D0CAD" w:rsidRPr="00173FD6" w14:paraId="1C28F950" w14:textId="77777777" w:rsidTr="007846B1">
        <w:trPr>
          <w:trHeight w:val="737"/>
          <w:tblHeader/>
        </w:trPr>
        <w:tc>
          <w:tcPr>
            <w:tcW w:w="909" w:type="dxa"/>
            <w:noWrap/>
            <w:hideMark/>
          </w:tcPr>
          <w:p w14:paraId="4B8C6018" w14:textId="77777777" w:rsidR="008D0CAD" w:rsidRPr="00173FD6" w:rsidRDefault="008D0CAD" w:rsidP="002320B3">
            <w:pPr>
              <w:rPr>
                <w:rFonts w:ascii="Calibri Light" w:hAnsi="Calibri Light" w:cs="Calibri Light"/>
                <w:b/>
                <w:color w:val="000000"/>
                <w:sz w:val="20"/>
                <w:szCs w:val="20"/>
                <w:lang w:val="en-US"/>
              </w:rPr>
            </w:pPr>
            <w:r w:rsidRPr="00173FD6">
              <w:rPr>
                <w:rFonts w:ascii="Calibri Light" w:hAnsi="Calibri Light" w:cs="Calibri Light"/>
                <w:b/>
                <w:color w:val="000000"/>
                <w:sz w:val="20"/>
                <w:szCs w:val="20"/>
                <w:lang w:val="en-US"/>
              </w:rPr>
              <w:t>No</w:t>
            </w:r>
          </w:p>
        </w:tc>
        <w:tc>
          <w:tcPr>
            <w:tcW w:w="1751" w:type="dxa"/>
            <w:noWrap/>
            <w:hideMark/>
          </w:tcPr>
          <w:p w14:paraId="634F5E3F" w14:textId="77777777" w:rsidR="008D0CAD" w:rsidRPr="00173FD6" w:rsidRDefault="008D0CAD" w:rsidP="002320B3">
            <w:pPr>
              <w:rPr>
                <w:rFonts w:ascii="Calibri Light" w:hAnsi="Calibri Light" w:cs="Calibri Light"/>
                <w:b/>
                <w:color w:val="000000"/>
                <w:sz w:val="20"/>
                <w:szCs w:val="20"/>
                <w:lang w:val="en-US"/>
              </w:rPr>
            </w:pPr>
            <w:r w:rsidRPr="00173FD6">
              <w:rPr>
                <w:rFonts w:ascii="Calibri Light" w:hAnsi="Calibri Light" w:cs="Calibri Light"/>
                <w:b/>
                <w:color w:val="000000"/>
                <w:sz w:val="20"/>
                <w:szCs w:val="20"/>
                <w:lang w:val="en-US"/>
              </w:rPr>
              <w:t>TYPE</w:t>
            </w:r>
          </w:p>
        </w:tc>
        <w:tc>
          <w:tcPr>
            <w:tcW w:w="1184" w:type="dxa"/>
            <w:hideMark/>
          </w:tcPr>
          <w:p w14:paraId="76DF7571" w14:textId="77777777" w:rsidR="008D0CAD" w:rsidRPr="00173FD6" w:rsidRDefault="008D0CAD" w:rsidP="002320B3">
            <w:pPr>
              <w:rPr>
                <w:rFonts w:ascii="Calibri Light" w:hAnsi="Calibri Light" w:cs="Calibri Light"/>
                <w:b/>
                <w:sz w:val="20"/>
                <w:szCs w:val="20"/>
                <w:lang w:val="en-US"/>
              </w:rPr>
            </w:pPr>
            <w:r w:rsidRPr="00173FD6">
              <w:rPr>
                <w:rFonts w:ascii="Calibri Light" w:hAnsi="Calibri Light" w:cs="Calibri Light"/>
                <w:b/>
                <w:sz w:val="20"/>
                <w:szCs w:val="20"/>
                <w:lang w:val="en-US"/>
              </w:rPr>
              <w:t>REGION</w:t>
            </w:r>
          </w:p>
        </w:tc>
        <w:tc>
          <w:tcPr>
            <w:tcW w:w="1681" w:type="dxa"/>
            <w:hideMark/>
          </w:tcPr>
          <w:p w14:paraId="75A97917" w14:textId="77777777" w:rsidR="008D0CAD" w:rsidRPr="00173FD6" w:rsidRDefault="008D0CAD" w:rsidP="002320B3">
            <w:pPr>
              <w:rPr>
                <w:rFonts w:ascii="Calibri Light" w:hAnsi="Calibri Light" w:cs="Calibri Light"/>
                <w:b/>
                <w:sz w:val="20"/>
                <w:szCs w:val="20"/>
                <w:lang w:val="en-US"/>
              </w:rPr>
            </w:pPr>
            <w:r w:rsidRPr="00173FD6">
              <w:rPr>
                <w:rFonts w:ascii="Calibri Light" w:hAnsi="Calibri Light" w:cs="Calibri Light"/>
                <w:b/>
                <w:sz w:val="20"/>
                <w:szCs w:val="20"/>
                <w:lang w:val="en-US"/>
              </w:rPr>
              <w:t>Division</w:t>
            </w:r>
          </w:p>
        </w:tc>
        <w:tc>
          <w:tcPr>
            <w:tcW w:w="1991" w:type="dxa"/>
            <w:hideMark/>
          </w:tcPr>
          <w:p w14:paraId="0197701B" w14:textId="77777777" w:rsidR="008D0CAD" w:rsidRPr="00173FD6" w:rsidRDefault="008D0CAD" w:rsidP="002320B3">
            <w:pPr>
              <w:rPr>
                <w:rFonts w:ascii="Calibri Light" w:hAnsi="Calibri Light" w:cs="Calibri Light"/>
                <w:b/>
                <w:sz w:val="20"/>
                <w:szCs w:val="20"/>
                <w:lang w:val="en-US"/>
              </w:rPr>
            </w:pPr>
            <w:r w:rsidRPr="00173FD6">
              <w:rPr>
                <w:rFonts w:ascii="Calibri Light" w:hAnsi="Calibri Light" w:cs="Calibri Light"/>
                <w:b/>
                <w:sz w:val="20"/>
                <w:szCs w:val="20"/>
                <w:lang w:val="en-US"/>
              </w:rPr>
              <w:t>District</w:t>
            </w:r>
          </w:p>
        </w:tc>
        <w:tc>
          <w:tcPr>
            <w:tcW w:w="1132" w:type="dxa"/>
            <w:noWrap/>
            <w:hideMark/>
          </w:tcPr>
          <w:p w14:paraId="29B45BF4" w14:textId="77777777" w:rsidR="008D0CAD" w:rsidRPr="00173FD6" w:rsidRDefault="008D0CAD" w:rsidP="002320B3">
            <w:pPr>
              <w:rPr>
                <w:rFonts w:ascii="Calibri Light" w:hAnsi="Calibri Light" w:cs="Calibri Light"/>
                <w:b/>
                <w:color w:val="000000"/>
                <w:sz w:val="20"/>
                <w:szCs w:val="20"/>
                <w:lang w:val="en-US"/>
              </w:rPr>
            </w:pPr>
            <w:r w:rsidRPr="00173FD6">
              <w:rPr>
                <w:rFonts w:ascii="Calibri Light" w:hAnsi="Calibri Light" w:cs="Calibri Light"/>
                <w:b/>
                <w:color w:val="000000"/>
                <w:sz w:val="20"/>
                <w:szCs w:val="20"/>
                <w:lang w:val="en-US"/>
              </w:rPr>
              <w:t>SCHOOL ID</w:t>
            </w:r>
          </w:p>
        </w:tc>
        <w:tc>
          <w:tcPr>
            <w:tcW w:w="3485" w:type="dxa"/>
            <w:hideMark/>
          </w:tcPr>
          <w:p w14:paraId="07387690" w14:textId="77777777" w:rsidR="008D0CAD" w:rsidRPr="00173FD6" w:rsidRDefault="008D0CAD" w:rsidP="002320B3">
            <w:pPr>
              <w:rPr>
                <w:rFonts w:ascii="Calibri Light" w:hAnsi="Calibri Light" w:cs="Calibri Light"/>
                <w:b/>
                <w:bCs/>
                <w:color w:val="000000"/>
                <w:sz w:val="20"/>
                <w:szCs w:val="20"/>
                <w:lang w:val="en-US"/>
              </w:rPr>
            </w:pPr>
            <w:r w:rsidRPr="00173FD6">
              <w:rPr>
                <w:rFonts w:ascii="Calibri Light" w:hAnsi="Calibri Light" w:cs="Calibri Light"/>
                <w:b/>
                <w:bCs/>
                <w:color w:val="000000"/>
                <w:sz w:val="20"/>
                <w:szCs w:val="20"/>
                <w:lang w:val="en-US"/>
              </w:rPr>
              <w:t>Name of Schools</w:t>
            </w:r>
          </w:p>
        </w:tc>
        <w:tc>
          <w:tcPr>
            <w:tcW w:w="1115" w:type="dxa"/>
            <w:hideMark/>
          </w:tcPr>
          <w:p w14:paraId="1C2925E7" w14:textId="77777777" w:rsidR="008D0CAD" w:rsidRPr="00173FD6" w:rsidRDefault="008D0CAD" w:rsidP="002320B3">
            <w:pPr>
              <w:rPr>
                <w:rFonts w:ascii="Calibri Light" w:hAnsi="Calibri Light" w:cs="Calibri Light"/>
                <w:b/>
                <w:bCs/>
                <w:color w:val="000000"/>
                <w:sz w:val="20"/>
                <w:szCs w:val="20"/>
                <w:lang w:val="en-US"/>
              </w:rPr>
            </w:pPr>
            <w:r w:rsidRPr="00173FD6">
              <w:rPr>
                <w:rFonts w:ascii="Calibri Light" w:hAnsi="Calibri Light" w:cs="Calibri Light"/>
                <w:b/>
                <w:bCs/>
                <w:color w:val="000000"/>
                <w:sz w:val="20"/>
                <w:szCs w:val="20"/>
                <w:lang w:val="en-US"/>
              </w:rPr>
              <w:t>No data submitted</w:t>
            </w:r>
          </w:p>
        </w:tc>
        <w:tc>
          <w:tcPr>
            <w:tcW w:w="1199" w:type="dxa"/>
            <w:hideMark/>
          </w:tcPr>
          <w:p w14:paraId="719FD7DC" w14:textId="77777777" w:rsidR="008D0CAD" w:rsidRPr="00173FD6" w:rsidRDefault="008D0CAD" w:rsidP="002320B3">
            <w:pPr>
              <w:rPr>
                <w:rFonts w:ascii="Calibri Light" w:hAnsi="Calibri Light" w:cs="Calibri Light"/>
                <w:b/>
                <w:bCs/>
                <w:color w:val="000000"/>
                <w:sz w:val="20"/>
                <w:szCs w:val="20"/>
                <w:lang w:val="en-US"/>
              </w:rPr>
            </w:pPr>
            <w:r w:rsidRPr="00173FD6">
              <w:rPr>
                <w:rFonts w:ascii="Calibri Light" w:hAnsi="Calibri Light" w:cs="Calibri Light"/>
                <w:b/>
                <w:bCs/>
                <w:color w:val="000000"/>
                <w:sz w:val="20"/>
                <w:szCs w:val="20"/>
                <w:lang w:val="en-US"/>
              </w:rPr>
              <w:t>Did not participated in FGDs</w:t>
            </w:r>
          </w:p>
        </w:tc>
      </w:tr>
      <w:tr w:rsidR="008D0CAD" w:rsidRPr="00173FD6" w14:paraId="5D77A64C" w14:textId="77777777" w:rsidTr="00EC48C1">
        <w:trPr>
          <w:trHeight w:val="296"/>
        </w:trPr>
        <w:tc>
          <w:tcPr>
            <w:tcW w:w="909" w:type="dxa"/>
            <w:noWrap/>
            <w:hideMark/>
          </w:tcPr>
          <w:p w14:paraId="6AF140F6"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w:t>
            </w:r>
          </w:p>
        </w:tc>
        <w:tc>
          <w:tcPr>
            <w:tcW w:w="1751" w:type="dxa"/>
            <w:noWrap/>
            <w:hideMark/>
          </w:tcPr>
          <w:p w14:paraId="44560179"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Direct Recipient</w:t>
            </w:r>
          </w:p>
        </w:tc>
        <w:tc>
          <w:tcPr>
            <w:tcW w:w="1184" w:type="dxa"/>
            <w:noWrap/>
            <w:hideMark/>
          </w:tcPr>
          <w:p w14:paraId="32834C36"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NCR</w:t>
            </w:r>
          </w:p>
        </w:tc>
        <w:tc>
          <w:tcPr>
            <w:tcW w:w="1681" w:type="dxa"/>
            <w:noWrap/>
            <w:hideMark/>
          </w:tcPr>
          <w:p w14:paraId="720F7181"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Manila</w:t>
            </w:r>
          </w:p>
        </w:tc>
        <w:tc>
          <w:tcPr>
            <w:tcW w:w="1991" w:type="dxa"/>
            <w:noWrap/>
            <w:hideMark/>
          </w:tcPr>
          <w:p w14:paraId="5582636A"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Sta. Cruz V</w:t>
            </w:r>
          </w:p>
        </w:tc>
        <w:tc>
          <w:tcPr>
            <w:tcW w:w="1132" w:type="dxa"/>
            <w:noWrap/>
            <w:hideMark/>
          </w:tcPr>
          <w:p w14:paraId="062CB599"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136454</w:t>
            </w:r>
          </w:p>
        </w:tc>
        <w:tc>
          <w:tcPr>
            <w:tcW w:w="3485" w:type="dxa"/>
            <w:noWrap/>
            <w:hideMark/>
          </w:tcPr>
          <w:p w14:paraId="7C3F6B1F"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Geronimo Santiago Elementary School</w:t>
            </w:r>
          </w:p>
        </w:tc>
        <w:tc>
          <w:tcPr>
            <w:tcW w:w="1115" w:type="dxa"/>
            <w:noWrap/>
            <w:hideMark/>
          </w:tcPr>
          <w:p w14:paraId="27FD7B79"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w:t>
            </w:r>
          </w:p>
        </w:tc>
        <w:tc>
          <w:tcPr>
            <w:tcW w:w="1199" w:type="dxa"/>
            <w:noWrap/>
            <w:hideMark/>
          </w:tcPr>
          <w:p w14:paraId="4276AA7F"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X</w:t>
            </w:r>
          </w:p>
        </w:tc>
      </w:tr>
      <w:tr w:rsidR="008D0CAD" w:rsidRPr="00173FD6" w14:paraId="1503A192" w14:textId="77777777" w:rsidTr="00EC48C1">
        <w:trPr>
          <w:trHeight w:val="296"/>
        </w:trPr>
        <w:tc>
          <w:tcPr>
            <w:tcW w:w="909" w:type="dxa"/>
            <w:noWrap/>
            <w:hideMark/>
          </w:tcPr>
          <w:p w14:paraId="52339B7B"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2</w:t>
            </w:r>
          </w:p>
        </w:tc>
        <w:tc>
          <w:tcPr>
            <w:tcW w:w="1751" w:type="dxa"/>
            <w:noWrap/>
            <w:hideMark/>
          </w:tcPr>
          <w:p w14:paraId="20E0B0C7"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Direct Recipient</w:t>
            </w:r>
          </w:p>
        </w:tc>
        <w:tc>
          <w:tcPr>
            <w:tcW w:w="1184" w:type="dxa"/>
            <w:noWrap/>
            <w:hideMark/>
          </w:tcPr>
          <w:p w14:paraId="66EA75C4"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NCR</w:t>
            </w:r>
          </w:p>
        </w:tc>
        <w:tc>
          <w:tcPr>
            <w:tcW w:w="1681" w:type="dxa"/>
            <w:noWrap/>
            <w:hideMark/>
          </w:tcPr>
          <w:p w14:paraId="4BB4D83D"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Manila</w:t>
            </w:r>
          </w:p>
        </w:tc>
        <w:tc>
          <w:tcPr>
            <w:tcW w:w="1991" w:type="dxa"/>
            <w:noWrap/>
            <w:hideMark/>
          </w:tcPr>
          <w:p w14:paraId="73D8758C"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Tondo XII</w:t>
            </w:r>
          </w:p>
        </w:tc>
        <w:tc>
          <w:tcPr>
            <w:tcW w:w="1132" w:type="dxa"/>
            <w:noWrap/>
            <w:hideMark/>
          </w:tcPr>
          <w:p w14:paraId="52227072"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136439</w:t>
            </w:r>
          </w:p>
        </w:tc>
        <w:tc>
          <w:tcPr>
            <w:tcW w:w="3485" w:type="dxa"/>
            <w:noWrap/>
            <w:hideMark/>
          </w:tcPr>
          <w:p w14:paraId="0E40B789"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I. Delos Reyes Elementary School</w:t>
            </w:r>
          </w:p>
        </w:tc>
        <w:tc>
          <w:tcPr>
            <w:tcW w:w="1115" w:type="dxa"/>
            <w:noWrap/>
            <w:hideMark/>
          </w:tcPr>
          <w:p w14:paraId="63CDA862"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w:t>
            </w:r>
          </w:p>
        </w:tc>
        <w:tc>
          <w:tcPr>
            <w:tcW w:w="1199" w:type="dxa"/>
            <w:noWrap/>
            <w:hideMark/>
          </w:tcPr>
          <w:p w14:paraId="63C1987B"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 </w:t>
            </w:r>
          </w:p>
        </w:tc>
      </w:tr>
      <w:tr w:rsidR="008D0CAD" w:rsidRPr="00173FD6" w14:paraId="7903AF13" w14:textId="77777777" w:rsidTr="00EC48C1">
        <w:trPr>
          <w:trHeight w:val="296"/>
        </w:trPr>
        <w:tc>
          <w:tcPr>
            <w:tcW w:w="909" w:type="dxa"/>
            <w:noWrap/>
            <w:hideMark/>
          </w:tcPr>
          <w:p w14:paraId="475A0D52"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3</w:t>
            </w:r>
          </w:p>
        </w:tc>
        <w:tc>
          <w:tcPr>
            <w:tcW w:w="1751" w:type="dxa"/>
            <w:noWrap/>
            <w:hideMark/>
          </w:tcPr>
          <w:p w14:paraId="64BDCDDE"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Direct Recipient</w:t>
            </w:r>
          </w:p>
        </w:tc>
        <w:tc>
          <w:tcPr>
            <w:tcW w:w="1184" w:type="dxa"/>
            <w:noWrap/>
            <w:hideMark/>
          </w:tcPr>
          <w:p w14:paraId="608F97A3"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NCR</w:t>
            </w:r>
          </w:p>
        </w:tc>
        <w:tc>
          <w:tcPr>
            <w:tcW w:w="1681" w:type="dxa"/>
            <w:noWrap/>
            <w:hideMark/>
          </w:tcPr>
          <w:p w14:paraId="7FB927D2"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Manila</w:t>
            </w:r>
          </w:p>
        </w:tc>
        <w:tc>
          <w:tcPr>
            <w:tcW w:w="1991" w:type="dxa"/>
            <w:noWrap/>
            <w:hideMark/>
          </w:tcPr>
          <w:p w14:paraId="7D399ACC"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Tondo XII</w:t>
            </w:r>
          </w:p>
        </w:tc>
        <w:tc>
          <w:tcPr>
            <w:tcW w:w="1132" w:type="dxa"/>
            <w:noWrap/>
            <w:hideMark/>
          </w:tcPr>
          <w:p w14:paraId="25F47986"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136440</w:t>
            </w:r>
          </w:p>
        </w:tc>
        <w:tc>
          <w:tcPr>
            <w:tcW w:w="3485" w:type="dxa"/>
            <w:noWrap/>
            <w:hideMark/>
          </w:tcPr>
          <w:p w14:paraId="2EE6D56F"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J. C. de Jesus Elementary School</w:t>
            </w:r>
          </w:p>
        </w:tc>
        <w:tc>
          <w:tcPr>
            <w:tcW w:w="1115" w:type="dxa"/>
            <w:noWrap/>
            <w:hideMark/>
          </w:tcPr>
          <w:p w14:paraId="6896CF4D"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w:t>
            </w:r>
          </w:p>
        </w:tc>
        <w:tc>
          <w:tcPr>
            <w:tcW w:w="1199" w:type="dxa"/>
            <w:noWrap/>
            <w:hideMark/>
          </w:tcPr>
          <w:p w14:paraId="7C9B9DDA"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 </w:t>
            </w:r>
          </w:p>
        </w:tc>
      </w:tr>
      <w:tr w:rsidR="008D0CAD" w:rsidRPr="00173FD6" w14:paraId="431730FB" w14:textId="77777777" w:rsidTr="00EC48C1">
        <w:trPr>
          <w:trHeight w:val="296"/>
        </w:trPr>
        <w:tc>
          <w:tcPr>
            <w:tcW w:w="909" w:type="dxa"/>
            <w:noWrap/>
            <w:hideMark/>
          </w:tcPr>
          <w:p w14:paraId="1D6067E9"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4</w:t>
            </w:r>
          </w:p>
        </w:tc>
        <w:tc>
          <w:tcPr>
            <w:tcW w:w="1751" w:type="dxa"/>
            <w:noWrap/>
            <w:hideMark/>
          </w:tcPr>
          <w:p w14:paraId="167F20CD"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Direct Recipient</w:t>
            </w:r>
          </w:p>
        </w:tc>
        <w:tc>
          <w:tcPr>
            <w:tcW w:w="1184" w:type="dxa"/>
            <w:noWrap/>
            <w:hideMark/>
          </w:tcPr>
          <w:p w14:paraId="261A1312"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NCR</w:t>
            </w:r>
          </w:p>
        </w:tc>
        <w:tc>
          <w:tcPr>
            <w:tcW w:w="1681" w:type="dxa"/>
            <w:noWrap/>
            <w:hideMark/>
          </w:tcPr>
          <w:p w14:paraId="515A4EAA"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Paranaque City</w:t>
            </w:r>
          </w:p>
        </w:tc>
        <w:tc>
          <w:tcPr>
            <w:tcW w:w="1991" w:type="dxa"/>
            <w:noWrap/>
            <w:hideMark/>
          </w:tcPr>
          <w:p w14:paraId="1088A148"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Paranaque City District I</w:t>
            </w:r>
          </w:p>
        </w:tc>
        <w:tc>
          <w:tcPr>
            <w:tcW w:w="1132" w:type="dxa"/>
            <w:noWrap/>
            <w:hideMark/>
          </w:tcPr>
          <w:p w14:paraId="64A0129B"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136754</w:t>
            </w:r>
          </w:p>
        </w:tc>
        <w:tc>
          <w:tcPr>
            <w:tcW w:w="3485" w:type="dxa"/>
            <w:noWrap/>
            <w:hideMark/>
          </w:tcPr>
          <w:p w14:paraId="6BF6C123"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La Huerta Elementary School</w:t>
            </w:r>
          </w:p>
        </w:tc>
        <w:tc>
          <w:tcPr>
            <w:tcW w:w="1115" w:type="dxa"/>
            <w:noWrap/>
            <w:hideMark/>
          </w:tcPr>
          <w:p w14:paraId="745C4D14"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w:t>
            </w:r>
          </w:p>
        </w:tc>
        <w:tc>
          <w:tcPr>
            <w:tcW w:w="1199" w:type="dxa"/>
            <w:noWrap/>
            <w:hideMark/>
          </w:tcPr>
          <w:p w14:paraId="1405F1BA"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X</w:t>
            </w:r>
          </w:p>
        </w:tc>
      </w:tr>
      <w:tr w:rsidR="008D0CAD" w:rsidRPr="00173FD6" w14:paraId="560F1412" w14:textId="77777777" w:rsidTr="00EC48C1">
        <w:trPr>
          <w:trHeight w:val="296"/>
        </w:trPr>
        <w:tc>
          <w:tcPr>
            <w:tcW w:w="909" w:type="dxa"/>
            <w:noWrap/>
            <w:hideMark/>
          </w:tcPr>
          <w:p w14:paraId="6BBEE0CD"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5</w:t>
            </w:r>
          </w:p>
        </w:tc>
        <w:tc>
          <w:tcPr>
            <w:tcW w:w="1751" w:type="dxa"/>
            <w:noWrap/>
            <w:hideMark/>
          </w:tcPr>
          <w:p w14:paraId="14C30D97"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Direct Recipient</w:t>
            </w:r>
          </w:p>
        </w:tc>
        <w:tc>
          <w:tcPr>
            <w:tcW w:w="1184" w:type="dxa"/>
            <w:noWrap/>
            <w:hideMark/>
          </w:tcPr>
          <w:p w14:paraId="19ED09BD"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NCR</w:t>
            </w:r>
          </w:p>
        </w:tc>
        <w:tc>
          <w:tcPr>
            <w:tcW w:w="1681" w:type="dxa"/>
            <w:noWrap/>
            <w:hideMark/>
          </w:tcPr>
          <w:p w14:paraId="359B4DC2"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Paranaque City</w:t>
            </w:r>
          </w:p>
        </w:tc>
        <w:tc>
          <w:tcPr>
            <w:tcW w:w="1991" w:type="dxa"/>
            <w:noWrap/>
            <w:hideMark/>
          </w:tcPr>
          <w:p w14:paraId="2202EADD"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Paranaque City District I</w:t>
            </w:r>
          </w:p>
        </w:tc>
        <w:tc>
          <w:tcPr>
            <w:tcW w:w="1132" w:type="dxa"/>
            <w:noWrap/>
            <w:hideMark/>
          </w:tcPr>
          <w:p w14:paraId="64F8DC87"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136756</w:t>
            </w:r>
          </w:p>
        </w:tc>
        <w:tc>
          <w:tcPr>
            <w:tcW w:w="3485" w:type="dxa"/>
            <w:noWrap/>
            <w:hideMark/>
          </w:tcPr>
          <w:p w14:paraId="3A310262"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Paranaque Elementary School Central</w:t>
            </w:r>
          </w:p>
        </w:tc>
        <w:tc>
          <w:tcPr>
            <w:tcW w:w="1115" w:type="dxa"/>
            <w:noWrap/>
            <w:hideMark/>
          </w:tcPr>
          <w:p w14:paraId="05352D31"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w:t>
            </w:r>
          </w:p>
        </w:tc>
        <w:tc>
          <w:tcPr>
            <w:tcW w:w="1199" w:type="dxa"/>
            <w:noWrap/>
            <w:hideMark/>
          </w:tcPr>
          <w:p w14:paraId="64135E21"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 </w:t>
            </w:r>
          </w:p>
        </w:tc>
      </w:tr>
      <w:tr w:rsidR="008D0CAD" w:rsidRPr="00173FD6" w14:paraId="7EE5B34C" w14:textId="77777777" w:rsidTr="00EC48C1">
        <w:trPr>
          <w:trHeight w:val="296"/>
        </w:trPr>
        <w:tc>
          <w:tcPr>
            <w:tcW w:w="909" w:type="dxa"/>
            <w:noWrap/>
            <w:hideMark/>
          </w:tcPr>
          <w:p w14:paraId="1B81C897"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6</w:t>
            </w:r>
          </w:p>
        </w:tc>
        <w:tc>
          <w:tcPr>
            <w:tcW w:w="1751" w:type="dxa"/>
            <w:noWrap/>
            <w:hideMark/>
          </w:tcPr>
          <w:p w14:paraId="5CF8F85C"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Direct Recipient</w:t>
            </w:r>
          </w:p>
        </w:tc>
        <w:tc>
          <w:tcPr>
            <w:tcW w:w="1184" w:type="dxa"/>
            <w:noWrap/>
            <w:hideMark/>
          </w:tcPr>
          <w:p w14:paraId="565CC167"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NCR</w:t>
            </w:r>
          </w:p>
        </w:tc>
        <w:tc>
          <w:tcPr>
            <w:tcW w:w="1681" w:type="dxa"/>
            <w:noWrap/>
            <w:hideMark/>
          </w:tcPr>
          <w:p w14:paraId="3F748068"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Paranaque City</w:t>
            </w:r>
          </w:p>
        </w:tc>
        <w:tc>
          <w:tcPr>
            <w:tcW w:w="1991" w:type="dxa"/>
            <w:noWrap/>
            <w:hideMark/>
          </w:tcPr>
          <w:p w14:paraId="736EF683"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Paranaque City District I</w:t>
            </w:r>
          </w:p>
        </w:tc>
        <w:tc>
          <w:tcPr>
            <w:tcW w:w="1132" w:type="dxa"/>
            <w:noWrap/>
            <w:hideMark/>
          </w:tcPr>
          <w:p w14:paraId="02F3EC8A"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136757</w:t>
            </w:r>
          </w:p>
        </w:tc>
        <w:tc>
          <w:tcPr>
            <w:tcW w:w="3485" w:type="dxa"/>
            <w:noWrap/>
            <w:hideMark/>
          </w:tcPr>
          <w:p w14:paraId="62C621CE"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Paranaque Elementary School Unit II</w:t>
            </w:r>
          </w:p>
        </w:tc>
        <w:tc>
          <w:tcPr>
            <w:tcW w:w="1115" w:type="dxa"/>
            <w:noWrap/>
            <w:hideMark/>
          </w:tcPr>
          <w:p w14:paraId="660BB41A"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w:t>
            </w:r>
          </w:p>
        </w:tc>
        <w:tc>
          <w:tcPr>
            <w:tcW w:w="1199" w:type="dxa"/>
            <w:noWrap/>
            <w:hideMark/>
          </w:tcPr>
          <w:p w14:paraId="6A09393C"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 </w:t>
            </w:r>
          </w:p>
        </w:tc>
      </w:tr>
      <w:tr w:rsidR="008D0CAD" w:rsidRPr="00173FD6" w14:paraId="0749E576" w14:textId="77777777" w:rsidTr="00EC48C1">
        <w:trPr>
          <w:trHeight w:val="296"/>
        </w:trPr>
        <w:tc>
          <w:tcPr>
            <w:tcW w:w="909" w:type="dxa"/>
            <w:noWrap/>
            <w:hideMark/>
          </w:tcPr>
          <w:p w14:paraId="4D1C5827"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7</w:t>
            </w:r>
          </w:p>
        </w:tc>
        <w:tc>
          <w:tcPr>
            <w:tcW w:w="1751" w:type="dxa"/>
            <w:noWrap/>
            <w:hideMark/>
          </w:tcPr>
          <w:p w14:paraId="536EBF96"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Direct Recipient</w:t>
            </w:r>
          </w:p>
        </w:tc>
        <w:tc>
          <w:tcPr>
            <w:tcW w:w="1184" w:type="dxa"/>
            <w:noWrap/>
            <w:hideMark/>
          </w:tcPr>
          <w:p w14:paraId="5AB8BB27"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NCR</w:t>
            </w:r>
          </w:p>
        </w:tc>
        <w:tc>
          <w:tcPr>
            <w:tcW w:w="1681" w:type="dxa"/>
            <w:noWrap/>
            <w:hideMark/>
          </w:tcPr>
          <w:p w14:paraId="7BF0A2F4"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Quezon City</w:t>
            </w:r>
          </w:p>
        </w:tc>
        <w:tc>
          <w:tcPr>
            <w:tcW w:w="1991" w:type="dxa"/>
            <w:noWrap/>
            <w:hideMark/>
          </w:tcPr>
          <w:p w14:paraId="59A85809"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School District III</w:t>
            </w:r>
          </w:p>
        </w:tc>
        <w:tc>
          <w:tcPr>
            <w:tcW w:w="1132" w:type="dxa"/>
            <w:noWrap/>
            <w:hideMark/>
          </w:tcPr>
          <w:p w14:paraId="2A46329A"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136503</w:t>
            </w:r>
          </w:p>
        </w:tc>
        <w:tc>
          <w:tcPr>
            <w:tcW w:w="3485" w:type="dxa"/>
            <w:noWrap/>
            <w:hideMark/>
          </w:tcPr>
          <w:p w14:paraId="621015E9"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Sinag-Tala Elementary School</w:t>
            </w:r>
          </w:p>
        </w:tc>
        <w:tc>
          <w:tcPr>
            <w:tcW w:w="1115" w:type="dxa"/>
            <w:noWrap/>
            <w:hideMark/>
          </w:tcPr>
          <w:p w14:paraId="1E256EED"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w:t>
            </w:r>
          </w:p>
        </w:tc>
        <w:tc>
          <w:tcPr>
            <w:tcW w:w="1199" w:type="dxa"/>
            <w:noWrap/>
            <w:hideMark/>
          </w:tcPr>
          <w:p w14:paraId="1D1D476D"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X</w:t>
            </w:r>
          </w:p>
        </w:tc>
      </w:tr>
      <w:tr w:rsidR="008D0CAD" w:rsidRPr="00173FD6" w14:paraId="7509F90D" w14:textId="77777777" w:rsidTr="00EC48C1">
        <w:trPr>
          <w:trHeight w:val="296"/>
        </w:trPr>
        <w:tc>
          <w:tcPr>
            <w:tcW w:w="909" w:type="dxa"/>
            <w:noWrap/>
            <w:hideMark/>
          </w:tcPr>
          <w:p w14:paraId="38F49092"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8</w:t>
            </w:r>
          </w:p>
        </w:tc>
        <w:tc>
          <w:tcPr>
            <w:tcW w:w="1751" w:type="dxa"/>
            <w:noWrap/>
            <w:hideMark/>
          </w:tcPr>
          <w:p w14:paraId="195B0D6E"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Direct Recipient</w:t>
            </w:r>
          </w:p>
        </w:tc>
        <w:tc>
          <w:tcPr>
            <w:tcW w:w="1184" w:type="dxa"/>
            <w:noWrap/>
            <w:hideMark/>
          </w:tcPr>
          <w:p w14:paraId="551EE703"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NCR</w:t>
            </w:r>
          </w:p>
        </w:tc>
        <w:tc>
          <w:tcPr>
            <w:tcW w:w="1681" w:type="dxa"/>
            <w:noWrap/>
            <w:hideMark/>
          </w:tcPr>
          <w:p w14:paraId="1D9144D2"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Quezon City</w:t>
            </w:r>
          </w:p>
        </w:tc>
        <w:tc>
          <w:tcPr>
            <w:tcW w:w="1991" w:type="dxa"/>
            <w:noWrap/>
            <w:hideMark/>
          </w:tcPr>
          <w:p w14:paraId="6909E0E3"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School District V</w:t>
            </w:r>
          </w:p>
        </w:tc>
        <w:tc>
          <w:tcPr>
            <w:tcW w:w="1132" w:type="dxa"/>
            <w:noWrap/>
            <w:hideMark/>
          </w:tcPr>
          <w:p w14:paraId="3B0551F0"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136510</w:t>
            </w:r>
          </w:p>
        </w:tc>
        <w:tc>
          <w:tcPr>
            <w:tcW w:w="3485" w:type="dxa"/>
            <w:noWrap/>
            <w:hideMark/>
          </w:tcPr>
          <w:p w14:paraId="56252620"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Sto. Cristo Elementary School</w:t>
            </w:r>
          </w:p>
        </w:tc>
        <w:tc>
          <w:tcPr>
            <w:tcW w:w="1115" w:type="dxa"/>
            <w:noWrap/>
            <w:hideMark/>
          </w:tcPr>
          <w:p w14:paraId="6A346D78"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w:t>
            </w:r>
          </w:p>
        </w:tc>
        <w:tc>
          <w:tcPr>
            <w:tcW w:w="1199" w:type="dxa"/>
            <w:noWrap/>
            <w:hideMark/>
          </w:tcPr>
          <w:p w14:paraId="7858783F"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 </w:t>
            </w:r>
          </w:p>
        </w:tc>
      </w:tr>
      <w:tr w:rsidR="008D0CAD" w:rsidRPr="00173FD6" w14:paraId="3F97D3F8" w14:textId="77777777" w:rsidTr="00EC48C1">
        <w:trPr>
          <w:trHeight w:val="296"/>
        </w:trPr>
        <w:tc>
          <w:tcPr>
            <w:tcW w:w="909" w:type="dxa"/>
            <w:noWrap/>
            <w:hideMark/>
          </w:tcPr>
          <w:p w14:paraId="1AA464C8"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9</w:t>
            </w:r>
          </w:p>
        </w:tc>
        <w:tc>
          <w:tcPr>
            <w:tcW w:w="1751" w:type="dxa"/>
            <w:noWrap/>
            <w:hideMark/>
          </w:tcPr>
          <w:p w14:paraId="2FBB0647"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Direct Recipient</w:t>
            </w:r>
          </w:p>
        </w:tc>
        <w:tc>
          <w:tcPr>
            <w:tcW w:w="1184" w:type="dxa"/>
            <w:noWrap/>
            <w:hideMark/>
          </w:tcPr>
          <w:p w14:paraId="34EC9F6B"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NCR</w:t>
            </w:r>
          </w:p>
        </w:tc>
        <w:tc>
          <w:tcPr>
            <w:tcW w:w="1681" w:type="dxa"/>
            <w:noWrap/>
            <w:hideMark/>
          </w:tcPr>
          <w:p w14:paraId="74ACAC9A"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Quezon City</w:t>
            </w:r>
          </w:p>
        </w:tc>
        <w:tc>
          <w:tcPr>
            <w:tcW w:w="1991" w:type="dxa"/>
            <w:noWrap/>
            <w:hideMark/>
          </w:tcPr>
          <w:p w14:paraId="1F667CE5"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School District VI</w:t>
            </w:r>
          </w:p>
        </w:tc>
        <w:tc>
          <w:tcPr>
            <w:tcW w:w="1132" w:type="dxa"/>
            <w:noWrap/>
            <w:hideMark/>
          </w:tcPr>
          <w:p w14:paraId="39D214DD"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136539</w:t>
            </w:r>
          </w:p>
        </w:tc>
        <w:tc>
          <w:tcPr>
            <w:tcW w:w="3485" w:type="dxa"/>
            <w:noWrap/>
            <w:hideMark/>
          </w:tcPr>
          <w:p w14:paraId="4B773A8D"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Bagong Silangan Elementary School</w:t>
            </w:r>
          </w:p>
        </w:tc>
        <w:tc>
          <w:tcPr>
            <w:tcW w:w="1115" w:type="dxa"/>
            <w:noWrap/>
            <w:hideMark/>
          </w:tcPr>
          <w:p w14:paraId="380E0C03"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w:t>
            </w:r>
          </w:p>
        </w:tc>
        <w:tc>
          <w:tcPr>
            <w:tcW w:w="1199" w:type="dxa"/>
            <w:noWrap/>
            <w:hideMark/>
          </w:tcPr>
          <w:p w14:paraId="0DEFB24C"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 </w:t>
            </w:r>
          </w:p>
        </w:tc>
      </w:tr>
      <w:tr w:rsidR="008D0CAD" w:rsidRPr="00173FD6" w14:paraId="73C4FC68" w14:textId="77777777" w:rsidTr="00EC48C1">
        <w:trPr>
          <w:trHeight w:val="296"/>
        </w:trPr>
        <w:tc>
          <w:tcPr>
            <w:tcW w:w="909" w:type="dxa"/>
            <w:noWrap/>
            <w:hideMark/>
          </w:tcPr>
          <w:p w14:paraId="3EAB9A13"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10</w:t>
            </w:r>
          </w:p>
        </w:tc>
        <w:tc>
          <w:tcPr>
            <w:tcW w:w="1751" w:type="dxa"/>
            <w:noWrap/>
            <w:hideMark/>
          </w:tcPr>
          <w:p w14:paraId="5842A198"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Indirect Recipient</w:t>
            </w:r>
          </w:p>
        </w:tc>
        <w:tc>
          <w:tcPr>
            <w:tcW w:w="1184" w:type="dxa"/>
            <w:noWrap/>
            <w:hideMark/>
          </w:tcPr>
          <w:p w14:paraId="0F3E2421"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NCR</w:t>
            </w:r>
          </w:p>
        </w:tc>
        <w:tc>
          <w:tcPr>
            <w:tcW w:w="1681" w:type="dxa"/>
            <w:noWrap/>
            <w:hideMark/>
          </w:tcPr>
          <w:p w14:paraId="5DFCCCA5" w14:textId="77777777" w:rsidR="008D0CAD" w:rsidRPr="00173FD6" w:rsidRDefault="008D0CAD" w:rsidP="002320B3">
            <w:pPr>
              <w:rPr>
                <w:rFonts w:ascii="Calibri Light" w:hAnsi="Calibri Light" w:cs="Calibri Light"/>
                <w:sz w:val="20"/>
                <w:szCs w:val="20"/>
                <w:lang w:val="en-US"/>
              </w:rPr>
            </w:pPr>
            <w:r w:rsidRPr="00173FD6">
              <w:rPr>
                <w:rFonts w:ascii="Calibri Light" w:hAnsi="Calibri Light" w:cs="Calibri Light"/>
                <w:sz w:val="20"/>
                <w:szCs w:val="20"/>
                <w:lang w:val="en-US"/>
              </w:rPr>
              <w:t>Quezon City</w:t>
            </w:r>
          </w:p>
        </w:tc>
        <w:tc>
          <w:tcPr>
            <w:tcW w:w="1991" w:type="dxa"/>
            <w:noWrap/>
            <w:hideMark/>
          </w:tcPr>
          <w:p w14:paraId="4643BACB" w14:textId="77777777" w:rsidR="008D0CAD" w:rsidRPr="00173FD6" w:rsidRDefault="008D0CAD" w:rsidP="002320B3">
            <w:pPr>
              <w:rPr>
                <w:rFonts w:ascii="Calibri Light" w:hAnsi="Calibri Light" w:cs="Calibri Light"/>
                <w:sz w:val="20"/>
                <w:szCs w:val="20"/>
                <w:lang w:val="en-US"/>
              </w:rPr>
            </w:pPr>
            <w:r w:rsidRPr="00173FD6">
              <w:rPr>
                <w:rFonts w:ascii="Calibri Light" w:hAnsi="Calibri Light" w:cs="Calibri Light"/>
                <w:sz w:val="20"/>
                <w:szCs w:val="20"/>
                <w:lang w:val="en-US"/>
              </w:rPr>
              <w:t>School District VII</w:t>
            </w:r>
          </w:p>
        </w:tc>
        <w:tc>
          <w:tcPr>
            <w:tcW w:w="1132" w:type="dxa"/>
            <w:noWrap/>
            <w:hideMark/>
          </w:tcPr>
          <w:p w14:paraId="2F61EA52"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136545</w:t>
            </w:r>
          </w:p>
        </w:tc>
        <w:tc>
          <w:tcPr>
            <w:tcW w:w="3485" w:type="dxa"/>
            <w:noWrap/>
            <w:hideMark/>
          </w:tcPr>
          <w:p w14:paraId="5A6706D5"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Lupang Pangako Elementary School</w:t>
            </w:r>
          </w:p>
        </w:tc>
        <w:tc>
          <w:tcPr>
            <w:tcW w:w="1115" w:type="dxa"/>
            <w:noWrap/>
            <w:hideMark/>
          </w:tcPr>
          <w:p w14:paraId="3D7DF850"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w:t>
            </w:r>
          </w:p>
        </w:tc>
        <w:tc>
          <w:tcPr>
            <w:tcW w:w="1199" w:type="dxa"/>
            <w:noWrap/>
            <w:hideMark/>
          </w:tcPr>
          <w:p w14:paraId="24ABF439"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X</w:t>
            </w:r>
          </w:p>
        </w:tc>
      </w:tr>
      <w:tr w:rsidR="008D0CAD" w:rsidRPr="00173FD6" w14:paraId="38325D44" w14:textId="77777777" w:rsidTr="00EC48C1">
        <w:trPr>
          <w:trHeight w:val="296"/>
        </w:trPr>
        <w:tc>
          <w:tcPr>
            <w:tcW w:w="909" w:type="dxa"/>
            <w:noWrap/>
            <w:hideMark/>
          </w:tcPr>
          <w:p w14:paraId="6714097B"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11</w:t>
            </w:r>
          </w:p>
        </w:tc>
        <w:tc>
          <w:tcPr>
            <w:tcW w:w="1751" w:type="dxa"/>
            <w:noWrap/>
            <w:hideMark/>
          </w:tcPr>
          <w:p w14:paraId="06BC9C83"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Indirect Recipient</w:t>
            </w:r>
          </w:p>
        </w:tc>
        <w:tc>
          <w:tcPr>
            <w:tcW w:w="1184" w:type="dxa"/>
            <w:noWrap/>
            <w:hideMark/>
          </w:tcPr>
          <w:p w14:paraId="0CCD057D"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NCR</w:t>
            </w:r>
          </w:p>
        </w:tc>
        <w:tc>
          <w:tcPr>
            <w:tcW w:w="1681" w:type="dxa"/>
            <w:noWrap/>
            <w:hideMark/>
          </w:tcPr>
          <w:p w14:paraId="30585338" w14:textId="77777777" w:rsidR="008D0CAD" w:rsidRPr="00173FD6" w:rsidRDefault="008D0CAD" w:rsidP="002320B3">
            <w:pPr>
              <w:rPr>
                <w:rFonts w:ascii="Calibri Light" w:hAnsi="Calibri Light" w:cs="Calibri Light"/>
                <w:sz w:val="20"/>
                <w:szCs w:val="20"/>
                <w:lang w:val="en-US"/>
              </w:rPr>
            </w:pPr>
            <w:r w:rsidRPr="00173FD6">
              <w:rPr>
                <w:rFonts w:ascii="Calibri Light" w:hAnsi="Calibri Light" w:cs="Calibri Light"/>
                <w:sz w:val="20"/>
                <w:szCs w:val="20"/>
                <w:lang w:val="en-US"/>
              </w:rPr>
              <w:t>Quezon City</w:t>
            </w:r>
          </w:p>
        </w:tc>
        <w:tc>
          <w:tcPr>
            <w:tcW w:w="1991" w:type="dxa"/>
            <w:noWrap/>
            <w:hideMark/>
          </w:tcPr>
          <w:p w14:paraId="477D57C5" w14:textId="77777777" w:rsidR="008D0CAD" w:rsidRPr="00173FD6" w:rsidRDefault="008D0CAD" w:rsidP="002320B3">
            <w:pPr>
              <w:rPr>
                <w:rFonts w:ascii="Calibri Light" w:hAnsi="Calibri Light" w:cs="Calibri Light"/>
                <w:sz w:val="20"/>
                <w:szCs w:val="20"/>
                <w:lang w:val="en-US"/>
              </w:rPr>
            </w:pPr>
            <w:r w:rsidRPr="00173FD6">
              <w:rPr>
                <w:rFonts w:ascii="Calibri Light" w:hAnsi="Calibri Light" w:cs="Calibri Light"/>
                <w:sz w:val="20"/>
                <w:szCs w:val="20"/>
                <w:lang w:val="en-US"/>
              </w:rPr>
              <w:t>School District VIII</w:t>
            </w:r>
          </w:p>
        </w:tc>
        <w:tc>
          <w:tcPr>
            <w:tcW w:w="1132" w:type="dxa"/>
            <w:noWrap/>
            <w:hideMark/>
          </w:tcPr>
          <w:p w14:paraId="2E9D04E6"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136552</w:t>
            </w:r>
          </w:p>
        </w:tc>
        <w:tc>
          <w:tcPr>
            <w:tcW w:w="3485" w:type="dxa"/>
            <w:noWrap/>
            <w:hideMark/>
          </w:tcPr>
          <w:p w14:paraId="58D1A759"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Bagumbayan Elementary School</w:t>
            </w:r>
          </w:p>
        </w:tc>
        <w:tc>
          <w:tcPr>
            <w:tcW w:w="1115" w:type="dxa"/>
            <w:noWrap/>
            <w:hideMark/>
          </w:tcPr>
          <w:p w14:paraId="7E0DD938"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w:t>
            </w:r>
          </w:p>
        </w:tc>
        <w:tc>
          <w:tcPr>
            <w:tcW w:w="1199" w:type="dxa"/>
            <w:noWrap/>
            <w:hideMark/>
          </w:tcPr>
          <w:p w14:paraId="74533C04"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 </w:t>
            </w:r>
          </w:p>
        </w:tc>
      </w:tr>
      <w:tr w:rsidR="008D0CAD" w:rsidRPr="00173FD6" w14:paraId="57DE3030" w14:textId="77777777" w:rsidTr="00EC48C1">
        <w:trPr>
          <w:trHeight w:val="296"/>
        </w:trPr>
        <w:tc>
          <w:tcPr>
            <w:tcW w:w="909" w:type="dxa"/>
            <w:noWrap/>
            <w:hideMark/>
          </w:tcPr>
          <w:p w14:paraId="7F30BE42"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12</w:t>
            </w:r>
          </w:p>
        </w:tc>
        <w:tc>
          <w:tcPr>
            <w:tcW w:w="1751" w:type="dxa"/>
            <w:noWrap/>
            <w:hideMark/>
          </w:tcPr>
          <w:p w14:paraId="0BFFF1E6"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Direct Recipient</w:t>
            </w:r>
          </w:p>
        </w:tc>
        <w:tc>
          <w:tcPr>
            <w:tcW w:w="1184" w:type="dxa"/>
            <w:noWrap/>
            <w:hideMark/>
          </w:tcPr>
          <w:p w14:paraId="74EFCB36"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REGION V</w:t>
            </w:r>
          </w:p>
        </w:tc>
        <w:tc>
          <w:tcPr>
            <w:tcW w:w="1681" w:type="dxa"/>
            <w:noWrap/>
            <w:hideMark/>
          </w:tcPr>
          <w:p w14:paraId="2E53BB79"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Camarines Sur</w:t>
            </w:r>
          </w:p>
        </w:tc>
        <w:tc>
          <w:tcPr>
            <w:tcW w:w="1991" w:type="dxa"/>
            <w:noWrap/>
            <w:hideMark/>
          </w:tcPr>
          <w:p w14:paraId="5D4BD750"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Libmanan South</w:t>
            </w:r>
          </w:p>
        </w:tc>
        <w:tc>
          <w:tcPr>
            <w:tcW w:w="1132" w:type="dxa"/>
            <w:noWrap/>
            <w:hideMark/>
          </w:tcPr>
          <w:p w14:paraId="41900768"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112711</w:t>
            </w:r>
          </w:p>
        </w:tc>
        <w:tc>
          <w:tcPr>
            <w:tcW w:w="3485" w:type="dxa"/>
            <w:noWrap/>
            <w:hideMark/>
          </w:tcPr>
          <w:p w14:paraId="4D78F779"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Libmanan South Central School</w:t>
            </w:r>
          </w:p>
        </w:tc>
        <w:tc>
          <w:tcPr>
            <w:tcW w:w="1115" w:type="dxa"/>
            <w:noWrap/>
            <w:hideMark/>
          </w:tcPr>
          <w:p w14:paraId="34BABCDE"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w:t>
            </w:r>
          </w:p>
        </w:tc>
        <w:tc>
          <w:tcPr>
            <w:tcW w:w="1199" w:type="dxa"/>
            <w:noWrap/>
            <w:hideMark/>
          </w:tcPr>
          <w:p w14:paraId="7AEC574D"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X</w:t>
            </w:r>
          </w:p>
        </w:tc>
      </w:tr>
      <w:tr w:rsidR="008D0CAD" w:rsidRPr="00173FD6" w14:paraId="65DB456F" w14:textId="77777777" w:rsidTr="00EC48C1">
        <w:trPr>
          <w:trHeight w:val="296"/>
        </w:trPr>
        <w:tc>
          <w:tcPr>
            <w:tcW w:w="909" w:type="dxa"/>
            <w:noWrap/>
            <w:hideMark/>
          </w:tcPr>
          <w:p w14:paraId="01EB8E2A"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13</w:t>
            </w:r>
          </w:p>
        </w:tc>
        <w:tc>
          <w:tcPr>
            <w:tcW w:w="1751" w:type="dxa"/>
            <w:noWrap/>
            <w:hideMark/>
          </w:tcPr>
          <w:p w14:paraId="44B983E0"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Direct Recipient</w:t>
            </w:r>
          </w:p>
        </w:tc>
        <w:tc>
          <w:tcPr>
            <w:tcW w:w="1184" w:type="dxa"/>
            <w:noWrap/>
            <w:hideMark/>
          </w:tcPr>
          <w:p w14:paraId="1C04FF12"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REGION V</w:t>
            </w:r>
          </w:p>
        </w:tc>
        <w:tc>
          <w:tcPr>
            <w:tcW w:w="1681" w:type="dxa"/>
            <w:noWrap/>
            <w:hideMark/>
          </w:tcPr>
          <w:p w14:paraId="06BA2617"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Camarines Sur</w:t>
            </w:r>
          </w:p>
        </w:tc>
        <w:tc>
          <w:tcPr>
            <w:tcW w:w="1991" w:type="dxa"/>
            <w:noWrap/>
            <w:hideMark/>
          </w:tcPr>
          <w:p w14:paraId="2E53FDF3"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Minalabac</w:t>
            </w:r>
          </w:p>
        </w:tc>
        <w:tc>
          <w:tcPr>
            <w:tcW w:w="1132" w:type="dxa"/>
            <w:noWrap/>
            <w:hideMark/>
          </w:tcPr>
          <w:p w14:paraId="67421297"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112791</w:t>
            </w:r>
          </w:p>
        </w:tc>
        <w:tc>
          <w:tcPr>
            <w:tcW w:w="3485" w:type="dxa"/>
            <w:noWrap/>
            <w:hideMark/>
          </w:tcPr>
          <w:p w14:paraId="6CD01759"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Bagongbong Elementary School</w:t>
            </w:r>
          </w:p>
        </w:tc>
        <w:tc>
          <w:tcPr>
            <w:tcW w:w="1115" w:type="dxa"/>
            <w:noWrap/>
            <w:hideMark/>
          </w:tcPr>
          <w:p w14:paraId="061CB223"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w:t>
            </w:r>
          </w:p>
        </w:tc>
        <w:tc>
          <w:tcPr>
            <w:tcW w:w="1199" w:type="dxa"/>
            <w:noWrap/>
            <w:hideMark/>
          </w:tcPr>
          <w:p w14:paraId="15EAA57C"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 </w:t>
            </w:r>
          </w:p>
        </w:tc>
      </w:tr>
      <w:tr w:rsidR="008D0CAD" w:rsidRPr="00173FD6" w14:paraId="059C5CC7" w14:textId="77777777" w:rsidTr="00EC48C1">
        <w:trPr>
          <w:trHeight w:val="296"/>
        </w:trPr>
        <w:tc>
          <w:tcPr>
            <w:tcW w:w="909" w:type="dxa"/>
            <w:noWrap/>
            <w:hideMark/>
          </w:tcPr>
          <w:p w14:paraId="2803A6CA"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14</w:t>
            </w:r>
          </w:p>
        </w:tc>
        <w:tc>
          <w:tcPr>
            <w:tcW w:w="1751" w:type="dxa"/>
            <w:noWrap/>
            <w:hideMark/>
          </w:tcPr>
          <w:p w14:paraId="2F2269B4"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Direct Recipient</w:t>
            </w:r>
          </w:p>
        </w:tc>
        <w:tc>
          <w:tcPr>
            <w:tcW w:w="1184" w:type="dxa"/>
            <w:noWrap/>
            <w:hideMark/>
          </w:tcPr>
          <w:p w14:paraId="563DDB75"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REGION V</w:t>
            </w:r>
          </w:p>
        </w:tc>
        <w:tc>
          <w:tcPr>
            <w:tcW w:w="1681" w:type="dxa"/>
            <w:noWrap/>
            <w:hideMark/>
          </w:tcPr>
          <w:p w14:paraId="1E18F2C5"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Camarines Sur</w:t>
            </w:r>
          </w:p>
        </w:tc>
        <w:tc>
          <w:tcPr>
            <w:tcW w:w="1991" w:type="dxa"/>
            <w:noWrap/>
            <w:hideMark/>
          </w:tcPr>
          <w:p w14:paraId="3E262C2F"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Nabua East</w:t>
            </w:r>
          </w:p>
        </w:tc>
        <w:tc>
          <w:tcPr>
            <w:tcW w:w="1132" w:type="dxa"/>
            <w:noWrap/>
            <w:hideMark/>
          </w:tcPr>
          <w:p w14:paraId="5979DEE4"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112818</w:t>
            </w:r>
          </w:p>
        </w:tc>
        <w:tc>
          <w:tcPr>
            <w:tcW w:w="3485" w:type="dxa"/>
            <w:noWrap/>
            <w:hideMark/>
          </w:tcPr>
          <w:p w14:paraId="3368A62C"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Nabua East Central School (Pilot)</w:t>
            </w:r>
          </w:p>
        </w:tc>
        <w:tc>
          <w:tcPr>
            <w:tcW w:w="1115" w:type="dxa"/>
            <w:noWrap/>
            <w:hideMark/>
          </w:tcPr>
          <w:p w14:paraId="50BBBB8D"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w:t>
            </w:r>
          </w:p>
        </w:tc>
        <w:tc>
          <w:tcPr>
            <w:tcW w:w="1199" w:type="dxa"/>
            <w:noWrap/>
            <w:hideMark/>
          </w:tcPr>
          <w:p w14:paraId="4D16FAB2"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 </w:t>
            </w:r>
          </w:p>
        </w:tc>
      </w:tr>
      <w:tr w:rsidR="008D0CAD" w:rsidRPr="00173FD6" w14:paraId="72FA873F" w14:textId="77777777" w:rsidTr="00EC48C1">
        <w:trPr>
          <w:trHeight w:val="594"/>
        </w:trPr>
        <w:tc>
          <w:tcPr>
            <w:tcW w:w="909" w:type="dxa"/>
            <w:noWrap/>
            <w:hideMark/>
          </w:tcPr>
          <w:p w14:paraId="5A9FF72A"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15</w:t>
            </w:r>
          </w:p>
        </w:tc>
        <w:tc>
          <w:tcPr>
            <w:tcW w:w="1751" w:type="dxa"/>
            <w:noWrap/>
            <w:hideMark/>
          </w:tcPr>
          <w:p w14:paraId="45D9DAED"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Direct Recipient</w:t>
            </w:r>
          </w:p>
        </w:tc>
        <w:tc>
          <w:tcPr>
            <w:tcW w:w="1184" w:type="dxa"/>
            <w:noWrap/>
            <w:hideMark/>
          </w:tcPr>
          <w:p w14:paraId="51B099AD"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REGION V</w:t>
            </w:r>
          </w:p>
        </w:tc>
        <w:tc>
          <w:tcPr>
            <w:tcW w:w="1681" w:type="dxa"/>
            <w:noWrap/>
            <w:hideMark/>
          </w:tcPr>
          <w:p w14:paraId="7F046B0B"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Camarines Sur</w:t>
            </w:r>
          </w:p>
        </w:tc>
        <w:tc>
          <w:tcPr>
            <w:tcW w:w="1991" w:type="dxa"/>
            <w:noWrap/>
            <w:hideMark/>
          </w:tcPr>
          <w:p w14:paraId="678B8618"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Pili</w:t>
            </w:r>
          </w:p>
        </w:tc>
        <w:tc>
          <w:tcPr>
            <w:tcW w:w="1132" w:type="dxa"/>
            <w:noWrap/>
            <w:hideMark/>
          </w:tcPr>
          <w:p w14:paraId="6EA445B8"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173513</w:t>
            </w:r>
          </w:p>
        </w:tc>
        <w:tc>
          <w:tcPr>
            <w:tcW w:w="3485" w:type="dxa"/>
            <w:hideMark/>
          </w:tcPr>
          <w:p w14:paraId="2F139F7A"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A. Manaog Elementary School (Hacienda Salamat)</w:t>
            </w:r>
          </w:p>
        </w:tc>
        <w:tc>
          <w:tcPr>
            <w:tcW w:w="1115" w:type="dxa"/>
            <w:hideMark/>
          </w:tcPr>
          <w:p w14:paraId="1ED9DA13"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w:t>
            </w:r>
          </w:p>
        </w:tc>
        <w:tc>
          <w:tcPr>
            <w:tcW w:w="1199" w:type="dxa"/>
            <w:noWrap/>
            <w:hideMark/>
          </w:tcPr>
          <w:p w14:paraId="268FBAB5"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 </w:t>
            </w:r>
          </w:p>
        </w:tc>
      </w:tr>
      <w:tr w:rsidR="008D0CAD" w:rsidRPr="00173FD6" w14:paraId="0085A9D4" w14:textId="77777777" w:rsidTr="00EC48C1">
        <w:trPr>
          <w:trHeight w:val="296"/>
        </w:trPr>
        <w:tc>
          <w:tcPr>
            <w:tcW w:w="909" w:type="dxa"/>
            <w:noWrap/>
            <w:hideMark/>
          </w:tcPr>
          <w:p w14:paraId="10235F65"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16</w:t>
            </w:r>
          </w:p>
        </w:tc>
        <w:tc>
          <w:tcPr>
            <w:tcW w:w="1751" w:type="dxa"/>
            <w:noWrap/>
            <w:hideMark/>
          </w:tcPr>
          <w:p w14:paraId="380F618F"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Direct Recipient</w:t>
            </w:r>
          </w:p>
        </w:tc>
        <w:tc>
          <w:tcPr>
            <w:tcW w:w="1184" w:type="dxa"/>
            <w:noWrap/>
            <w:hideMark/>
          </w:tcPr>
          <w:p w14:paraId="411E89CF"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REGION V</w:t>
            </w:r>
          </w:p>
        </w:tc>
        <w:tc>
          <w:tcPr>
            <w:tcW w:w="1681" w:type="dxa"/>
            <w:noWrap/>
            <w:hideMark/>
          </w:tcPr>
          <w:p w14:paraId="4B99A264"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Camarines Sur</w:t>
            </w:r>
          </w:p>
        </w:tc>
        <w:tc>
          <w:tcPr>
            <w:tcW w:w="1991" w:type="dxa"/>
            <w:noWrap/>
            <w:hideMark/>
          </w:tcPr>
          <w:p w14:paraId="5FF7A826"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Bato</w:t>
            </w:r>
          </w:p>
        </w:tc>
        <w:tc>
          <w:tcPr>
            <w:tcW w:w="1132" w:type="dxa"/>
            <w:noWrap/>
            <w:hideMark/>
          </w:tcPr>
          <w:p w14:paraId="3AFAA122"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112370</w:t>
            </w:r>
          </w:p>
        </w:tc>
        <w:tc>
          <w:tcPr>
            <w:tcW w:w="3485" w:type="dxa"/>
            <w:noWrap/>
            <w:hideMark/>
          </w:tcPr>
          <w:p w14:paraId="3C045B56"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H.A. Guballa Elementary School</w:t>
            </w:r>
          </w:p>
        </w:tc>
        <w:tc>
          <w:tcPr>
            <w:tcW w:w="1115" w:type="dxa"/>
            <w:noWrap/>
            <w:hideMark/>
          </w:tcPr>
          <w:p w14:paraId="0E30BEBF"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w:t>
            </w:r>
          </w:p>
        </w:tc>
        <w:tc>
          <w:tcPr>
            <w:tcW w:w="1199" w:type="dxa"/>
            <w:noWrap/>
            <w:hideMark/>
          </w:tcPr>
          <w:p w14:paraId="7F126A51"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 </w:t>
            </w:r>
          </w:p>
        </w:tc>
      </w:tr>
      <w:tr w:rsidR="008D0CAD" w:rsidRPr="00173FD6" w14:paraId="1B6481DF" w14:textId="77777777" w:rsidTr="00EC48C1">
        <w:trPr>
          <w:trHeight w:val="296"/>
        </w:trPr>
        <w:tc>
          <w:tcPr>
            <w:tcW w:w="909" w:type="dxa"/>
            <w:noWrap/>
            <w:hideMark/>
          </w:tcPr>
          <w:p w14:paraId="22D0DBFF"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17</w:t>
            </w:r>
          </w:p>
        </w:tc>
        <w:tc>
          <w:tcPr>
            <w:tcW w:w="1751" w:type="dxa"/>
            <w:noWrap/>
            <w:hideMark/>
          </w:tcPr>
          <w:p w14:paraId="41947F08"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Direct Recipient</w:t>
            </w:r>
          </w:p>
        </w:tc>
        <w:tc>
          <w:tcPr>
            <w:tcW w:w="1184" w:type="dxa"/>
            <w:noWrap/>
            <w:hideMark/>
          </w:tcPr>
          <w:p w14:paraId="78DA407D"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REGION V</w:t>
            </w:r>
          </w:p>
        </w:tc>
        <w:tc>
          <w:tcPr>
            <w:tcW w:w="1681" w:type="dxa"/>
            <w:noWrap/>
            <w:hideMark/>
          </w:tcPr>
          <w:p w14:paraId="67E8F731"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Sorsogon City</w:t>
            </w:r>
          </w:p>
        </w:tc>
        <w:tc>
          <w:tcPr>
            <w:tcW w:w="1991" w:type="dxa"/>
            <w:noWrap/>
            <w:hideMark/>
          </w:tcPr>
          <w:p w14:paraId="6F5FEF56"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Sorsogon East</w:t>
            </w:r>
          </w:p>
        </w:tc>
        <w:tc>
          <w:tcPr>
            <w:tcW w:w="1132" w:type="dxa"/>
            <w:noWrap/>
            <w:hideMark/>
          </w:tcPr>
          <w:p w14:paraId="4E6D9C98"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114563</w:t>
            </w:r>
          </w:p>
        </w:tc>
        <w:tc>
          <w:tcPr>
            <w:tcW w:w="3485" w:type="dxa"/>
            <w:noWrap/>
            <w:hideMark/>
          </w:tcPr>
          <w:p w14:paraId="5E1D51DA"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Sorsogon East Central School</w:t>
            </w:r>
          </w:p>
        </w:tc>
        <w:tc>
          <w:tcPr>
            <w:tcW w:w="1115" w:type="dxa"/>
            <w:noWrap/>
            <w:hideMark/>
          </w:tcPr>
          <w:p w14:paraId="25DA01D9"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w:t>
            </w:r>
          </w:p>
        </w:tc>
        <w:tc>
          <w:tcPr>
            <w:tcW w:w="1199" w:type="dxa"/>
            <w:noWrap/>
            <w:hideMark/>
          </w:tcPr>
          <w:p w14:paraId="378599A8"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 </w:t>
            </w:r>
          </w:p>
        </w:tc>
      </w:tr>
      <w:tr w:rsidR="008D0CAD" w:rsidRPr="00173FD6" w14:paraId="00DF6A98" w14:textId="77777777" w:rsidTr="00EC48C1">
        <w:trPr>
          <w:trHeight w:val="296"/>
        </w:trPr>
        <w:tc>
          <w:tcPr>
            <w:tcW w:w="909" w:type="dxa"/>
            <w:noWrap/>
            <w:hideMark/>
          </w:tcPr>
          <w:p w14:paraId="79D7188E"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18</w:t>
            </w:r>
          </w:p>
        </w:tc>
        <w:tc>
          <w:tcPr>
            <w:tcW w:w="1751" w:type="dxa"/>
            <w:noWrap/>
            <w:hideMark/>
          </w:tcPr>
          <w:p w14:paraId="4BD609E7"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Indirect Recipient</w:t>
            </w:r>
          </w:p>
        </w:tc>
        <w:tc>
          <w:tcPr>
            <w:tcW w:w="1184" w:type="dxa"/>
            <w:noWrap/>
            <w:hideMark/>
          </w:tcPr>
          <w:p w14:paraId="6D46C8BE"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REGION V</w:t>
            </w:r>
          </w:p>
        </w:tc>
        <w:tc>
          <w:tcPr>
            <w:tcW w:w="1681" w:type="dxa"/>
            <w:noWrap/>
            <w:hideMark/>
          </w:tcPr>
          <w:p w14:paraId="4F901B75" w14:textId="77777777" w:rsidR="008D0CAD" w:rsidRPr="00173FD6" w:rsidRDefault="008D0CAD" w:rsidP="002320B3">
            <w:pPr>
              <w:rPr>
                <w:rFonts w:ascii="Calibri Light" w:hAnsi="Calibri Light" w:cs="Calibri Light"/>
                <w:sz w:val="20"/>
                <w:szCs w:val="20"/>
                <w:lang w:val="en-US"/>
              </w:rPr>
            </w:pPr>
            <w:r w:rsidRPr="00173FD6">
              <w:rPr>
                <w:rFonts w:ascii="Calibri Light" w:hAnsi="Calibri Light" w:cs="Calibri Light"/>
                <w:sz w:val="20"/>
                <w:szCs w:val="20"/>
                <w:lang w:val="en-US"/>
              </w:rPr>
              <w:t>Camarines Sur</w:t>
            </w:r>
          </w:p>
        </w:tc>
        <w:tc>
          <w:tcPr>
            <w:tcW w:w="1991" w:type="dxa"/>
            <w:noWrap/>
            <w:hideMark/>
          </w:tcPr>
          <w:p w14:paraId="667A29D9" w14:textId="77777777" w:rsidR="008D0CAD" w:rsidRPr="00173FD6" w:rsidRDefault="008D0CAD" w:rsidP="002320B3">
            <w:pPr>
              <w:rPr>
                <w:rFonts w:ascii="Calibri Light" w:hAnsi="Calibri Light" w:cs="Calibri Light"/>
                <w:sz w:val="20"/>
                <w:szCs w:val="20"/>
                <w:lang w:val="en-US"/>
              </w:rPr>
            </w:pPr>
            <w:r w:rsidRPr="00173FD6">
              <w:rPr>
                <w:rFonts w:ascii="Calibri Light" w:hAnsi="Calibri Light" w:cs="Calibri Light"/>
                <w:sz w:val="20"/>
                <w:szCs w:val="20"/>
                <w:lang w:val="en-US"/>
              </w:rPr>
              <w:t>Bula</w:t>
            </w:r>
          </w:p>
        </w:tc>
        <w:tc>
          <w:tcPr>
            <w:tcW w:w="1132" w:type="dxa"/>
            <w:noWrap/>
            <w:hideMark/>
          </w:tcPr>
          <w:p w14:paraId="77A45B92"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112438</w:t>
            </w:r>
          </w:p>
        </w:tc>
        <w:tc>
          <w:tcPr>
            <w:tcW w:w="3485" w:type="dxa"/>
            <w:noWrap/>
            <w:hideMark/>
          </w:tcPr>
          <w:p w14:paraId="7759E5E6"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Lopez Palsong Elementary School</w:t>
            </w:r>
          </w:p>
        </w:tc>
        <w:tc>
          <w:tcPr>
            <w:tcW w:w="1115" w:type="dxa"/>
            <w:noWrap/>
            <w:hideMark/>
          </w:tcPr>
          <w:p w14:paraId="4ED59E1E"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w:t>
            </w:r>
          </w:p>
        </w:tc>
        <w:tc>
          <w:tcPr>
            <w:tcW w:w="1199" w:type="dxa"/>
            <w:noWrap/>
            <w:hideMark/>
          </w:tcPr>
          <w:p w14:paraId="741FBE96"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X</w:t>
            </w:r>
          </w:p>
        </w:tc>
      </w:tr>
      <w:tr w:rsidR="008D0CAD" w:rsidRPr="00173FD6" w14:paraId="5584A8D5" w14:textId="77777777" w:rsidTr="00EC48C1">
        <w:trPr>
          <w:trHeight w:val="296"/>
        </w:trPr>
        <w:tc>
          <w:tcPr>
            <w:tcW w:w="909" w:type="dxa"/>
            <w:noWrap/>
            <w:hideMark/>
          </w:tcPr>
          <w:p w14:paraId="1609047D"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19</w:t>
            </w:r>
          </w:p>
        </w:tc>
        <w:tc>
          <w:tcPr>
            <w:tcW w:w="1751" w:type="dxa"/>
            <w:noWrap/>
            <w:hideMark/>
          </w:tcPr>
          <w:p w14:paraId="72FDFCE2"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Indirect Recipient</w:t>
            </w:r>
          </w:p>
        </w:tc>
        <w:tc>
          <w:tcPr>
            <w:tcW w:w="1184" w:type="dxa"/>
            <w:noWrap/>
            <w:hideMark/>
          </w:tcPr>
          <w:p w14:paraId="14DB6EC4"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REGION V</w:t>
            </w:r>
          </w:p>
        </w:tc>
        <w:tc>
          <w:tcPr>
            <w:tcW w:w="1681" w:type="dxa"/>
            <w:noWrap/>
            <w:hideMark/>
          </w:tcPr>
          <w:p w14:paraId="41350C6D" w14:textId="77777777" w:rsidR="008D0CAD" w:rsidRPr="00173FD6" w:rsidRDefault="008D0CAD" w:rsidP="002320B3">
            <w:pPr>
              <w:rPr>
                <w:rFonts w:ascii="Calibri Light" w:hAnsi="Calibri Light" w:cs="Calibri Light"/>
                <w:sz w:val="20"/>
                <w:szCs w:val="20"/>
                <w:lang w:val="en-US"/>
              </w:rPr>
            </w:pPr>
            <w:r w:rsidRPr="00173FD6">
              <w:rPr>
                <w:rFonts w:ascii="Calibri Light" w:hAnsi="Calibri Light" w:cs="Calibri Light"/>
                <w:sz w:val="20"/>
                <w:szCs w:val="20"/>
                <w:lang w:val="en-US"/>
              </w:rPr>
              <w:t>Camarines Sur</w:t>
            </w:r>
          </w:p>
        </w:tc>
        <w:tc>
          <w:tcPr>
            <w:tcW w:w="1991" w:type="dxa"/>
            <w:noWrap/>
            <w:hideMark/>
          </w:tcPr>
          <w:p w14:paraId="2B2A866B" w14:textId="77777777" w:rsidR="008D0CAD" w:rsidRPr="00173FD6" w:rsidRDefault="008D0CAD" w:rsidP="002320B3">
            <w:pPr>
              <w:rPr>
                <w:rFonts w:ascii="Calibri Light" w:hAnsi="Calibri Light" w:cs="Calibri Light"/>
                <w:sz w:val="20"/>
                <w:szCs w:val="20"/>
                <w:lang w:val="en-US"/>
              </w:rPr>
            </w:pPr>
            <w:r w:rsidRPr="00173FD6">
              <w:rPr>
                <w:rFonts w:ascii="Calibri Light" w:hAnsi="Calibri Light" w:cs="Calibri Light"/>
                <w:sz w:val="20"/>
                <w:szCs w:val="20"/>
                <w:lang w:val="en-US"/>
              </w:rPr>
              <w:t>Canaman</w:t>
            </w:r>
          </w:p>
        </w:tc>
        <w:tc>
          <w:tcPr>
            <w:tcW w:w="1132" w:type="dxa"/>
            <w:noWrap/>
            <w:hideMark/>
          </w:tcPr>
          <w:p w14:paraId="19738207"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112512</w:t>
            </w:r>
          </w:p>
        </w:tc>
        <w:tc>
          <w:tcPr>
            <w:tcW w:w="3485" w:type="dxa"/>
            <w:noWrap/>
            <w:hideMark/>
          </w:tcPr>
          <w:p w14:paraId="7F500122"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Mangayawan Elementary School</w:t>
            </w:r>
          </w:p>
        </w:tc>
        <w:tc>
          <w:tcPr>
            <w:tcW w:w="1115" w:type="dxa"/>
            <w:noWrap/>
            <w:hideMark/>
          </w:tcPr>
          <w:p w14:paraId="3B487734"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w:t>
            </w:r>
          </w:p>
        </w:tc>
        <w:tc>
          <w:tcPr>
            <w:tcW w:w="1199" w:type="dxa"/>
            <w:noWrap/>
            <w:hideMark/>
          </w:tcPr>
          <w:p w14:paraId="6611D77C"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 </w:t>
            </w:r>
          </w:p>
        </w:tc>
      </w:tr>
      <w:tr w:rsidR="008D0CAD" w:rsidRPr="00173FD6" w14:paraId="2721C0D9" w14:textId="77777777" w:rsidTr="00EC48C1">
        <w:trPr>
          <w:trHeight w:val="296"/>
        </w:trPr>
        <w:tc>
          <w:tcPr>
            <w:tcW w:w="909" w:type="dxa"/>
            <w:noWrap/>
            <w:hideMark/>
          </w:tcPr>
          <w:p w14:paraId="5D4DC5B9"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20</w:t>
            </w:r>
          </w:p>
        </w:tc>
        <w:tc>
          <w:tcPr>
            <w:tcW w:w="1751" w:type="dxa"/>
            <w:noWrap/>
            <w:hideMark/>
          </w:tcPr>
          <w:p w14:paraId="0BA73BF4"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Indirect Recipient</w:t>
            </w:r>
          </w:p>
        </w:tc>
        <w:tc>
          <w:tcPr>
            <w:tcW w:w="1184" w:type="dxa"/>
            <w:noWrap/>
            <w:hideMark/>
          </w:tcPr>
          <w:p w14:paraId="29B3A8C7"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REGION V</w:t>
            </w:r>
          </w:p>
        </w:tc>
        <w:tc>
          <w:tcPr>
            <w:tcW w:w="1681" w:type="dxa"/>
            <w:noWrap/>
            <w:hideMark/>
          </w:tcPr>
          <w:p w14:paraId="6C5EA96A" w14:textId="77777777" w:rsidR="008D0CAD" w:rsidRPr="00173FD6" w:rsidRDefault="008D0CAD" w:rsidP="002320B3">
            <w:pPr>
              <w:rPr>
                <w:rFonts w:ascii="Calibri Light" w:hAnsi="Calibri Light" w:cs="Calibri Light"/>
                <w:sz w:val="20"/>
                <w:szCs w:val="20"/>
                <w:lang w:val="en-US"/>
              </w:rPr>
            </w:pPr>
            <w:r w:rsidRPr="00173FD6">
              <w:rPr>
                <w:rFonts w:ascii="Calibri Light" w:hAnsi="Calibri Light" w:cs="Calibri Light"/>
                <w:sz w:val="20"/>
                <w:szCs w:val="20"/>
                <w:lang w:val="en-US"/>
              </w:rPr>
              <w:t>Camarines Sur</w:t>
            </w:r>
          </w:p>
        </w:tc>
        <w:tc>
          <w:tcPr>
            <w:tcW w:w="1991" w:type="dxa"/>
            <w:noWrap/>
            <w:hideMark/>
          </w:tcPr>
          <w:p w14:paraId="06964085" w14:textId="77777777" w:rsidR="008D0CAD" w:rsidRPr="00173FD6" w:rsidRDefault="008D0CAD" w:rsidP="002320B3">
            <w:pPr>
              <w:rPr>
                <w:rFonts w:ascii="Calibri Light" w:hAnsi="Calibri Light" w:cs="Calibri Light"/>
                <w:sz w:val="20"/>
                <w:szCs w:val="20"/>
                <w:lang w:val="en-US"/>
              </w:rPr>
            </w:pPr>
            <w:r w:rsidRPr="00173FD6">
              <w:rPr>
                <w:rFonts w:ascii="Calibri Light" w:hAnsi="Calibri Light" w:cs="Calibri Light"/>
                <w:sz w:val="20"/>
                <w:szCs w:val="20"/>
                <w:lang w:val="en-US"/>
              </w:rPr>
              <w:t>Sipocot North</w:t>
            </w:r>
          </w:p>
        </w:tc>
        <w:tc>
          <w:tcPr>
            <w:tcW w:w="1132" w:type="dxa"/>
            <w:noWrap/>
            <w:hideMark/>
          </w:tcPr>
          <w:p w14:paraId="4D35EF47"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113051</w:t>
            </w:r>
          </w:p>
        </w:tc>
        <w:tc>
          <w:tcPr>
            <w:tcW w:w="3485" w:type="dxa"/>
            <w:noWrap/>
            <w:hideMark/>
          </w:tcPr>
          <w:p w14:paraId="29296324"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Alteza Elementary School</w:t>
            </w:r>
          </w:p>
        </w:tc>
        <w:tc>
          <w:tcPr>
            <w:tcW w:w="1115" w:type="dxa"/>
            <w:noWrap/>
            <w:hideMark/>
          </w:tcPr>
          <w:p w14:paraId="33CD2895"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w:t>
            </w:r>
          </w:p>
        </w:tc>
        <w:tc>
          <w:tcPr>
            <w:tcW w:w="1199" w:type="dxa"/>
            <w:noWrap/>
            <w:hideMark/>
          </w:tcPr>
          <w:p w14:paraId="609AA110"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 </w:t>
            </w:r>
          </w:p>
        </w:tc>
      </w:tr>
      <w:tr w:rsidR="008D0CAD" w:rsidRPr="00173FD6" w14:paraId="2F55EB96" w14:textId="77777777" w:rsidTr="00EC48C1">
        <w:trPr>
          <w:trHeight w:val="296"/>
        </w:trPr>
        <w:tc>
          <w:tcPr>
            <w:tcW w:w="909" w:type="dxa"/>
            <w:noWrap/>
            <w:hideMark/>
          </w:tcPr>
          <w:p w14:paraId="54F01D19"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21</w:t>
            </w:r>
          </w:p>
        </w:tc>
        <w:tc>
          <w:tcPr>
            <w:tcW w:w="1751" w:type="dxa"/>
            <w:noWrap/>
            <w:hideMark/>
          </w:tcPr>
          <w:p w14:paraId="1A9920E0"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Direct Recipient</w:t>
            </w:r>
          </w:p>
        </w:tc>
        <w:tc>
          <w:tcPr>
            <w:tcW w:w="1184" w:type="dxa"/>
            <w:noWrap/>
            <w:hideMark/>
          </w:tcPr>
          <w:p w14:paraId="7F8EEE37"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REGION VI</w:t>
            </w:r>
          </w:p>
        </w:tc>
        <w:tc>
          <w:tcPr>
            <w:tcW w:w="1681" w:type="dxa"/>
            <w:noWrap/>
            <w:hideMark/>
          </w:tcPr>
          <w:p w14:paraId="2955A0B4"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Iloilo</w:t>
            </w:r>
          </w:p>
        </w:tc>
        <w:tc>
          <w:tcPr>
            <w:tcW w:w="1991" w:type="dxa"/>
            <w:noWrap/>
            <w:hideMark/>
          </w:tcPr>
          <w:p w14:paraId="5502E272"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Calinog II</w:t>
            </w:r>
          </w:p>
        </w:tc>
        <w:tc>
          <w:tcPr>
            <w:tcW w:w="1132" w:type="dxa"/>
            <w:noWrap/>
            <w:hideMark/>
          </w:tcPr>
          <w:p w14:paraId="6AB60D12"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116186</w:t>
            </w:r>
          </w:p>
        </w:tc>
        <w:tc>
          <w:tcPr>
            <w:tcW w:w="3485" w:type="dxa"/>
            <w:noWrap/>
            <w:hideMark/>
          </w:tcPr>
          <w:p w14:paraId="65206DB0"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Jaycon Elementary School</w:t>
            </w:r>
          </w:p>
        </w:tc>
        <w:tc>
          <w:tcPr>
            <w:tcW w:w="1115" w:type="dxa"/>
            <w:noWrap/>
            <w:hideMark/>
          </w:tcPr>
          <w:p w14:paraId="281CE656"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w:t>
            </w:r>
          </w:p>
        </w:tc>
        <w:tc>
          <w:tcPr>
            <w:tcW w:w="1199" w:type="dxa"/>
            <w:noWrap/>
            <w:hideMark/>
          </w:tcPr>
          <w:p w14:paraId="77BD2C35"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 </w:t>
            </w:r>
          </w:p>
        </w:tc>
      </w:tr>
      <w:tr w:rsidR="008D0CAD" w:rsidRPr="00173FD6" w14:paraId="6B73A69F" w14:textId="77777777" w:rsidTr="00EC48C1">
        <w:trPr>
          <w:trHeight w:val="296"/>
        </w:trPr>
        <w:tc>
          <w:tcPr>
            <w:tcW w:w="909" w:type="dxa"/>
            <w:noWrap/>
            <w:hideMark/>
          </w:tcPr>
          <w:p w14:paraId="0E3B9690"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22</w:t>
            </w:r>
          </w:p>
        </w:tc>
        <w:tc>
          <w:tcPr>
            <w:tcW w:w="1751" w:type="dxa"/>
            <w:noWrap/>
            <w:hideMark/>
          </w:tcPr>
          <w:p w14:paraId="1F0BC737"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Direct Recipient</w:t>
            </w:r>
          </w:p>
        </w:tc>
        <w:tc>
          <w:tcPr>
            <w:tcW w:w="1184" w:type="dxa"/>
            <w:noWrap/>
            <w:hideMark/>
          </w:tcPr>
          <w:p w14:paraId="21E6459A"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REGION VI</w:t>
            </w:r>
          </w:p>
        </w:tc>
        <w:tc>
          <w:tcPr>
            <w:tcW w:w="1681" w:type="dxa"/>
            <w:noWrap/>
            <w:hideMark/>
          </w:tcPr>
          <w:p w14:paraId="1A08D667"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Iloilo</w:t>
            </w:r>
          </w:p>
        </w:tc>
        <w:tc>
          <w:tcPr>
            <w:tcW w:w="1991" w:type="dxa"/>
            <w:noWrap/>
            <w:hideMark/>
          </w:tcPr>
          <w:p w14:paraId="6015DC65"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San Enrique</w:t>
            </w:r>
          </w:p>
        </w:tc>
        <w:tc>
          <w:tcPr>
            <w:tcW w:w="1132" w:type="dxa"/>
            <w:noWrap/>
            <w:hideMark/>
          </w:tcPr>
          <w:p w14:paraId="41B50A9F"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116704</w:t>
            </w:r>
          </w:p>
        </w:tc>
        <w:tc>
          <w:tcPr>
            <w:tcW w:w="3485" w:type="dxa"/>
            <w:hideMark/>
          </w:tcPr>
          <w:p w14:paraId="5965603C"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Gines-Quinolpan Elementary School</w:t>
            </w:r>
          </w:p>
        </w:tc>
        <w:tc>
          <w:tcPr>
            <w:tcW w:w="1115" w:type="dxa"/>
            <w:hideMark/>
          </w:tcPr>
          <w:p w14:paraId="2129BBE9"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w:t>
            </w:r>
          </w:p>
        </w:tc>
        <w:tc>
          <w:tcPr>
            <w:tcW w:w="1199" w:type="dxa"/>
            <w:noWrap/>
            <w:hideMark/>
          </w:tcPr>
          <w:p w14:paraId="591A9284"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 </w:t>
            </w:r>
          </w:p>
        </w:tc>
      </w:tr>
      <w:tr w:rsidR="008D0CAD" w:rsidRPr="00173FD6" w14:paraId="6D760935" w14:textId="77777777" w:rsidTr="00EC48C1">
        <w:trPr>
          <w:trHeight w:val="296"/>
        </w:trPr>
        <w:tc>
          <w:tcPr>
            <w:tcW w:w="909" w:type="dxa"/>
            <w:noWrap/>
            <w:hideMark/>
          </w:tcPr>
          <w:p w14:paraId="4ECC0557"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23</w:t>
            </w:r>
          </w:p>
        </w:tc>
        <w:tc>
          <w:tcPr>
            <w:tcW w:w="1751" w:type="dxa"/>
            <w:noWrap/>
            <w:hideMark/>
          </w:tcPr>
          <w:p w14:paraId="03F5C3E2"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Indirect Recipient</w:t>
            </w:r>
          </w:p>
        </w:tc>
        <w:tc>
          <w:tcPr>
            <w:tcW w:w="1184" w:type="dxa"/>
            <w:noWrap/>
            <w:hideMark/>
          </w:tcPr>
          <w:p w14:paraId="06687073"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REGION VI</w:t>
            </w:r>
          </w:p>
        </w:tc>
        <w:tc>
          <w:tcPr>
            <w:tcW w:w="1681" w:type="dxa"/>
            <w:noWrap/>
            <w:hideMark/>
          </w:tcPr>
          <w:p w14:paraId="6FAE99DB" w14:textId="77777777" w:rsidR="008D0CAD" w:rsidRPr="00173FD6" w:rsidRDefault="008D0CAD" w:rsidP="002320B3">
            <w:pPr>
              <w:rPr>
                <w:rFonts w:ascii="Calibri Light" w:hAnsi="Calibri Light" w:cs="Calibri Light"/>
                <w:sz w:val="20"/>
                <w:szCs w:val="20"/>
                <w:lang w:val="en-US"/>
              </w:rPr>
            </w:pPr>
            <w:r w:rsidRPr="00173FD6">
              <w:rPr>
                <w:rFonts w:ascii="Calibri Light" w:hAnsi="Calibri Light" w:cs="Calibri Light"/>
                <w:sz w:val="20"/>
                <w:szCs w:val="20"/>
                <w:lang w:val="en-US"/>
              </w:rPr>
              <w:t>Iloilo</w:t>
            </w:r>
          </w:p>
        </w:tc>
        <w:tc>
          <w:tcPr>
            <w:tcW w:w="1991" w:type="dxa"/>
            <w:noWrap/>
            <w:hideMark/>
          </w:tcPr>
          <w:p w14:paraId="18515B99" w14:textId="77777777" w:rsidR="008D0CAD" w:rsidRPr="00173FD6" w:rsidRDefault="008D0CAD" w:rsidP="002320B3">
            <w:pPr>
              <w:rPr>
                <w:rFonts w:ascii="Calibri Light" w:hAnsi="Calibri Light" w:cs="Calibri Light"/>
                <w:sz w:val="20"/>
                <w:szCs w:val="20"/>
                <w:lang w:val="en-US"/>
              </w:rPr>
            </w:pPr>
            <w:r w:rsidRPr="00173FD6">
              <w:rPr>
                <w:rFonts w:ascii="Calibri Light" w:hAnsi="Calibri Light" w:cs="Calibri Light"/>
                <w:sz w:val="20"/>
                <w:szCs w:val="20"/>
                <w:lang w:val="en-US"/>
              </w:rPr>
              <w:t>Concepcion</w:t>
            </w:r>
          </w:p>
        </w:tc>
        <w:tc>
          <w:tcPr>
            <w:tcW w:w="1132" w:type="dxa"/>
            <w:noWrap/>
            <w:hideMark/>
          </w:tcPr>
          <w:p w14:paraId="0433CBEF"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116235</w:t>
            </w:r>
          </w:p>
        </w:tc>
        <w:tc>
          <w:tcPr>
            <w:tcW w:w="3485" w:type="dxa"/>
            <w:noWrap/>
            <w:hideMark/>
          </w:tcPr>
          <w:p w14:paraId="52235103"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Bacjawan Sur Elementary School</w:t>
            </w:r>
          </w:p>
        </w:tc>
        <w:tc>
          <w:tcPr>
            <w:tcW w:w="1115" w:type="dxa"/>
            <w:noWrap/>
            <w:hideMark/>
          </w:tcPr>
          <w:p w14:paraId="2FE7BAFB"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w:t>
            </w:r>
          </w:p>
        </w:tc>
        <w:tc>
          <w:tcPr>
            <w:tcW w:w="1199" w:type="dxa"/>
            <w:noWrap/>
            <w:hideMark/>
          </w:tcPr>
          <w:p w14:paraId="67FCEF52"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 </w:t>
            </w:r>
          </w:p>
        </w:tc>
      </w:tr>
      <w:tr w:rsidR="008D0CAD" w:rsidRPr="00173FD6" w14:paraId="428BFE27" w14:textId="77777777" w:rsidTr="00EC48C1">
        <w:trPr>
          <w:trHeight w:val="296"/>
        </w:trPr>
        <w:tc>
          <w:tcPr>
            <w:tcW w:w="909" w:type="dxa"/>
            <w:noWrap/>
            <w:hideMark/>
          </w:tcPr>
          <w:p w14:paraId="644C3016"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24</w:t>
            </w:r>
          </w:p>
        </w:tc>
        <w:tc>
          <w:tcPr>
            <w:tcW w:w="1751" w:type="dxa"/>
            <w:noWrap/>
            <w:hideMark/>
          </w:tcPr>
          <w:p w14:paraId="59DDA351"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Direct Recipient</w:t>
            </w:r>
          </w:p>
        </w:tc>
        <w:tc>
          <w:tcPr>
            <w:tcW w:w="1184" w:type="dxa"/>
            <w:noWrap/>
            <w:hideMark/>
          </w:tcPr>
          <w:p w14:paraId="26CF46C6"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REGION VII</w:t>
            </w:r>
          </w:p>
        </w:tc>
        <w:tc>
          <w:tcPr>
            <w:tcW w:w="1681" w:type="dxa"/>
            <w:noWrap/>
            <w:hideMark/>
          </w:tcPr>
          <w:p w14:paraId="78DAE66E"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Bohol</w:t>
            </w:r>
          </w:p>
        </w:tc>
        <w:tc>
          <w:tcPr>
            <w:tcW w:w="1991" w:type="dxa"/>
            <w:noWrap/>
            <w:hideMark/>
          </w:tcPr>
          <w:p w14:paraId="00C6F543"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Alicia</w:t>
            </w:r>
          </w:p>
        </w:tc>
        <w:tc>
          <w:tcPr>
            <w:tcW w:w="1132" w:type="dxa"/>
            <w:noWrap/>
            <w:hideMark/>
          </w:tcPr>
          <w:p w14:paraId="6BBBC302"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117938</w:t>
            </w:r>
          </w:p>
        </w:tc>
        <w:tc>
          <w:tcPr>
            <w:tcW w:w="3485" w:type="dxa"/>
            <w:noWrap/>
            <w:hideMark/>
          </w:tcPr>
          <w:p w14:paraId="1D35225C"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Cagongcagong Elementary School</w:t>
            </w:r>
          </w:p>
        </w:tc>
        <w:tc>
          <w:tcPr>
            <w:tcW w:w="1115" w:type="dxa"/>
            <w:noWrap/>
            <w:hideMark/>
          </w:tcPr>
          <w:p w14:paraId="1A73E164"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w:t>
            </w:r>
          </w:p>
        </w:tc>
        <w:tc>
          <w:tcPr>
            <w:tcW w:w="1199" w:type="dxa"/>
            <w:noWrap/>
            <w:hideMark/>
          </w:tcPr>
          <w:p w14:paraId="6A9A751E"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 </w:t>
            </w:r>
          </w:p>
        </w:tc>
      </w:tr>
      <w:tr w:rsidR="008D0CAD" w:rsidRPr="00173FD6" w14:paraId="7EC73C3E" w14:textId="77777777" w:rsidTr="00EC48C1">
        <w:trPr>
          <w:trHeight w:val="296"/>
        </w:trPr>
        <w:tc>
          <w:tcPr>
            <w:tcW w:w="909" w:type="dxa"/>
            <w:noWrap/>
            <w:hideMark/>
          </w:tcPr>
          <w:p w14:paraId="0FA1FA7C"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25</w:t>
            </w:r>
          </w:p>
        </w:tc>
        <w:tc>
          <w:tcPr>
            <w:tcW w:w="1751" w:type="dxa"/>
            <w:noWrap/>
            <w:hideMark/>
          </w:tcPr>
          <w:p w14:paraId="54131221"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Direct Recipient</w:t>
            </w:r>
          </w:p>
        </w:tc>
        <w:tc>
          <w:tcPr>
            <w:tcW w:w="1184" w:type="dxa"/>
            <w:noWrap/>
            <w:hideMark/>
          </w:tcPr>
          <w:p w14:paraId="7AAB66D5"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REGION VII</w:t>
            </w:r>
          </w:p>
        </w:tc>
        <w:tc>
          <w:tcPr>
            <w:tcW w:w="1681" w:type="dxa"/>
            <w:noWrap/>
            <w:hideMark/>
          </w:tcPr>
          <w:p w14:paraId="1C94FA55"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Bohol</w:t>
            </w:r>
          </w:p>
        </w:tc>
        <w:tc>
          <w:tcPr>
            <w:tcW w:w="1991" w:type="dxa"/>
            <w:noWrap/>
            <w:hideMark/>
          </w:tcPr>
          <w:p w14:paraId="1A545996"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Dimiao</w:t>
            </w:r>
          </w:p>
        </w:tc>
        <w:tc>
          <w:tcPr>
            <w:tcW w:w="1132" w:type="dxa"/>
            <w:noWrap/>
            <w:hideMark/>
          </w:tcPr>
          <w:p w14:paraId="30FD86A4"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118275</w:t>
            </w:r>
          </w:p>
        </w:tc>
        <w:tc>
          <w:tcPr>
            <w:tcW w:w="3485" w:type="dxa"/>
            <w:noWrap/>
            <w:hideMark/>
          </w:tcPr>
          <w:p w14:paraId="09230F6F"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Dimiao Central Elementary School</w:t>
            </w:r>
          </w:p>
        </w:tc>
        <w:tc>
          <w:tcPr>
            <w:tcW w:w="1115" w:type="dxa"/>
            <w:noWrap/>
            <w:hideMark/>
          </w:tcPr>
          <w:p w14:paraId="2113BE3D"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w:t>
            </w:r>
          </w:p>
        </w:tc>
        <w:tc>
          <w:tcPr>
            <w:tcW w:w="1199" w:type="dxa"/>
            <w:noWrap/>
            <w:hideMark/>
          </w:tcPr>
          <w:p w14:paraId="0D75E462"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 </w:t>
            </w:r>
          </w:p>
        </w:tc>
      </w:tr>
      <w:tr w:rsidR="008D0CAD" w:rsidRPr="00173FD6" w14:paraId="1EB7A122" w14:textId="77777777" w:rsidTr="00EC48C1">
        <w:trPr>
          <w:trHeight w:val="296"/>
        </w:trPr>
        <w:tc>
          <w:tcPr>
            <w:tcW w:w="909" w:type="dxa"/>
            <w:noWrap/>
            <w:hideMark/>
          </w:tcPr>
          <w:p w14:paraId="3C5F2304"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26</w:t>
            </w:r>
          </w:p>
        </w:tc>
        <w:tc>
          <w:tcPr>
            <w:tcW w:w="1751" w:type="dxa"/>
            <w:noWrap/>
            <w:hideMark/>
          </w:tcPr>
          <w:p w14:paraId="28CF1A1C"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Direct Recipient</w:t>
            </w:r>
          </w:p>
        </w:tc>
        <w:tc>
          <w:tcPr>
            <w:tcW w:w="1184" w:type="dxa"/>
            <w:noWrap/>
            <w:hideMark/>
          </w:tcPr>
          <w:p w14:paraId="2C296CDB"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REGION VII</w:t>
            </w:r>
          </w:p>
        </w:tc>
        <w:tc>
          <w:tcPr>
            <w:tcW w:w="1681" w:type="dxa"/>
            <w:noWrap/>
            <w:hideMark/>
          </w:tcPr>
          <w:p w14:paraId="4C41C860"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Bohol</w:t>
            </w:r>
          </w:p>
        </w:tc>
        <w:tc>
          <w:tcPr>
            <w:tcW w:w="1991" w:type="dxa"/>
            <w:noWrap/>
            <w:hideMark/>
          </w:tcPr>
          <w:p w14:paraId="12B0FB45"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Valencia</w:t>
            </w:r>
          </w:p>
        </w:tc>
        <w:tc>
          <w:tcPr>
            <w:tcW w:w="1132" w:type="dxa"/>
            <w:noWrap/>
            <w:hideMark/>
          </w:tcPr>
          <w:p w14:paraId="2AA44B3A"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118852</w:t>
            </w:r>
          </w:p>
        </w:tc>
        <w:tc>
          <w:tcPr>
            <w:tcW w:w="3485" w:type="dxa"/>
            <w:noWrap/>
            <w:hideMark/>
          </w:tcPr>
          <w:p w14:paraId="7BE6BCA5"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Canduao Elementary School</w:t>
            </w:r>
          </w:p>
        </w:tc>
        <w:tc>
          <w:tcPr>
            <w:tcW w:w="1115" w:type="dxa"/>
            <w:noWrap/>
            <w:hideMark/>
          </w:tcPr>
          <w:p w14:paraId="5DDFF835"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w:t>
            </w:r>
          </w:p>
        </w:tc>
        <w:tc>
          <w:tcPr>
            <w:tcW w:w="1199" w:type="dxa"/>
            <w:noWrap/>
            <w:hideMark/>
          </w:tcPr>
          <w:p w14:paraId="7441E33D"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 </w:t>
            </w:r>
          </w:p>
        </w:tc>
      </w:tr>
      <w:tr w:rsidR="008D0CAD" w:rsidRPr="00173FD6" w14:paraId="43151074" w14:textId="77777777" w:rsidTr="00EC48C1">
        <w:trPr>
          <w:trHeight w:val="296"/>
        </w:trPr>
        <w:tc>
          <w:tcPr>
            <w:tcW w:w="909" w:type="dxa"/>
            <w:noWrap/>
            <w:hideMark/>
          </w:tcPr>
          <w:p w14:paraId="05AD6681"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27</w:t>
            </w:r>
          </w:p>
        </w:tc>
        <w:tc>
          <w:tcPr>
            <w:tcW w:w="1751" w:type="dxa"/>
            <w:noWrap/>
            <w:hideMark/>
          </w:tcPr>
          <w:p w14:paraId="68420B79"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Direct Recipient</w:t>
            </w:r>
          </w:p>
        </w:tc>
        <w:tc>
          <w:tcPr>
            <w:tcW w:w="1184" w:type="dxa"/>
            <w:noWrap/>
            <w:hideMark/>
          </w:tcPr>
          <w:p w14:paraId="48BF0C08"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REGION VII</w:t>
            </w:r>
          </w:p>
        </w:tc>
        <w:tc>
          <w:tcPr>
            <w:tcW w:w="1681" w:type="dxa"/>
            <w:noWrap/>
            <w:hideMark/>
          </w:tcPr>
          <w:p w14:paraId="643D5809"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Carcar City</w:t>
            </w:r>
          </w:p>
        </w:tc>
        <w:tc>
          <w:tcPr>
            <w:tcW w:w="1991" w:type="dxa"/>
            <w:noWrap/>
            <w:hideMark/>
          </w:tcPr>
          <w:p w14:paraId="206735E7"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Carcar I</w:t>
            </w:r>
          </w:p>
        </w:tc>
        <w:tc>
          <w:tcPr>
            <w:tcW w:w="1132" w:type="dxa"/>
            <w:noWrap/>
            <w:hideMark/>
          </w:tcPr>
          <w:p w14:paraId="328B9039"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119155</w:t>
            </w:r>
          </w:p>
        </w:tc>
        <w:tc>
          <w:tcPr>
            <w:tcW w:w="3485" w:type="dxa"/>
            <w:noWrap/>
            <w:hideMark/>
          </w:tcPr>
          <w:p w14:paraId="2F28A21D"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Calidngan Elementary School</w:t>
            </w:r>
          </w:p>
        </w:tc>
        <w:tc>
          <w:tcPr>
            <w:tcW w:w="1115" w:type="dxa"/>
            <w:noWrap/>
            <w:hideMark/>
          </w:tcPr>
          <w:p w14:paraId="44E01058"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w:t>
            </w:r>
          </w:p>
        </w:tc>
        <w:tc>
          <w:tcPr>
            <w:tcW w:w="1199" w:type="dxa"/>
            <w:noWrap/>
            <w:hideMark/>
          </w:tcPr>
          <w:p w14:paraId="62DFE9B1"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X</w:t>
            </w:r>
          </w:p>
        </w:tc>
      </w:tr>
      <w:tr w:rsidR="008D0CAD" w:rsidRPr="00173FD6" w14:paraId="4D999858" w14:textId="77777777" w:rsidTr="00EC48C1">
        <w:trPr>
          <w:trHeight w:val="296"/>
        </w:trPr>
        <w:tc>
          <w:tcPr>
            <w:tcW w:w="909" w:type="dxa"/>
            <w:noWrap/>
            <w:hideMark/>
          </w:tcPr>
          <w:p w14:paraId="1A251439"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28</w:t>
            </w:r>
          </w:p>
        </w:tc>
        <w:tc>
          <w:tcPr>
            <w:tcW w:w="1751" w:type="dxa"/>
            <w:noWrap/>
            <w:hideMark/>
          </w:tcPr>
          <w:p w14:paraId="1B859FA2"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Direct Recipient</w:t>
            </w:r>
          </w:p>
        </w:tc>
        <w:tc>
          <w:tcPr>
            <w:tcW w:w="1184" w:type="dxa"/>
            <w:noWrap/>
            <w:hideMark/>
          </w:tcPr>
          <w:p w14:paraId="7049C3EB"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REGION VII</w:t>
            </w:r>
          </w:p>
        </w:tc>
        <w:tc>
          <w:tcPr>
            <w:tcW w:w="1681" w:type="dxa"/>
            <w:noWrap/>
            <w:hideMark/>
          </w:tcPr>
          <w:p w14:paraId="58EE05CE"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Carcar City</w:t>
            </w:r>
          </w:p>
        </w:tc>
        <w:tc>
          <w:tcPr>
            <w:tcW w:w="1991" w:type="dxa"/>
            <w:noWrap/>
            <w:hideMark/>
          </w:tcPr>
          <w:p w14:paraId="3E619E5B"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Carcar I</w:t>
            </w:r>
          </w:p>
        </w:tc>
        <w:tc>
          <w:tcPr>
            <w:tcW w:w="1132" w:type="dxa"/>
            <w:noWrap/>
            <w:hideMark/>
          </w:tcPr>
          <w:p w14:paraId="4204DFD3"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119161</w:t>
            </w:r>
          </w:p>
        </w:tc>
        <w:tc>
          <w:tcPr>
            <w:tcW w:w="3485" w:type="dxa"/>
            <w:noWrap/>
            <w:hideMark/>
          </w:tcPr>
          <w:p w14:paraId="500B8887"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Perrelos Elementary School</w:t>
            </w:r>
          </w:p>
        </w:tc>
        <w:tc>
          <w:tcPr>
            <w:tcW w:w="1115" w:type="dxa"/>
            <w:noWrap/>
            <w:hideMark/>
          </w:tcPr>
          <w:p w14:paraId="65818BF1"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w:t>
            </w:r>
          </w:p>
        </w:tc>
        <w:tc>
          <w:tcPr>
            <w:tcW w:w="1199" w:type="dxa"/>
            <w:noWrap/>
            <w:hideMark/>
          </w:tcPr>
          <w:p w14:paraId="35E281C8"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X</w:t>
            </w:r>
          </w:p>
        </w:tc>
      </w:tr>
      <w:tr w:rsidR="008D0CAD" w:rsidRPr="00173FD6" w14:paraId="2BF5CDEC" w14:textId="77777777" w:rsidTr="00EC48C1">
        <w:trPr>
          <w:trHeight w:val="296"/>
        </w:trPr>
        <w:tc>
          <w:tcPr>
            <w:tcW w:w="909" w:type="dxa"/>
            <w:noWrap/>
            <w:hideMark/>
          </w:tcPr>
          <w:p w14:paraId="187634C6"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29</w:t>
            </w:r>
          </w:p>
        </w:tc>
        <w:tc>
          <w:tcPr>
            <w:tcW w:w="1751" w:type="dxa"/>
            <w:noWrap/>
            <w:hideMark/>
          </w:tcPr>
          <w:p w14:paraId="09D34A61"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Direct Recipient</w:t>
            </w:r>
          </w:p>
        </w:tc>
        <w:tc>
          <w:tcPr>
            <w:tcW w:w="1184" w:type="dxa"/>
            <w:noWrap/>
            <w:hideMark/>
          </w:tcPr>
          <w:p w14:paraId="09D9126E"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REGION VII</w:t>
            </w:r>
          </w:p>
        </w:tc>
        <w:tc>
          <w:tcPr>
            <w:tcW w:w="1681" w:type="dxa"/>
            <w:noWrap/>
            <w:hideMark/>
          </w:tcPr>
          <w:p w14:paraId="67A4B95C"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Carcar City</w:t>
            </w:r>
          </w:p>
        </w:tc>
        <w:tc>
          <w:tcPr>
            <w:tcW w:w="1991" w:type="dxa"/>
            <w:noWrap/>
            <w:hideMark/>
          </w:tcPr>
          <w:p w14:paraId="3567EF7D"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Carcar II</w:t>
            </w:r>
          </w:p>
        </w:tc>
        <w:tc>
          <w:tcPr>
            <w:tcW w:w="1132" w:type="dxa"/>
            <w:noWrap/>
            <w:hideMark/>
          </w:tcPr>
          <w:p w14:paraId="6F5B6BEB"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119171</w:t>
            </w:r>
          </w:p>
        </w:tc>
        <w:tc>
          <w:tcPr>
            <w:tcW w:w="3485" w:type="dxa"/>
            <w:noWrap/>
            <w:hideMark/>
          </w:tcPr>
          <w:p w14:paraId="21480A96"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Bolinawan Elementary School</w:t>
            </w:r>
          </w:p>
        </w:tc>
        <w:tc>
          <w:tcPr>
            <w:tcW w:w="1115" w:type="dxa"/>
            <w:noWrap/>
            <w:hideMark/>
          </w:tcPr>
          <w:p w14:paraId="63CAEBD7"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w:t>
            </w:r>
          </w:p>
        </w:tc>
        <w:tc>
          <w:tcPr>
            <w:tcW w:w="1199" w:type="dxa"/>
            <w:noWrap/>
            <w:hideMark/>
          </w:tcPr>
          <w:p w14:paraId="7AC67EA7"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X</w:t>
            </w:r>
          </w:p>
        </w:tc>
      </w:tr>
      <w:tr w:rsidR="008D0CAD" w:rsidRPr="00173FD6" w14:paraId="0BFEA9DE" w14:textId="77777777" w:rsidTr="00EC48C1">
        <w:trPr>
          <w:trHeight w:val="296"/>
        </w:trPr>
        <w:tc>
          <w:tcPr>
            <w:tcW w:w="909" w:type="dxa"/>
            <w:noWrap/>
            <w:hideMark/>
          </w:tcPr>
          <w:p w14:paraId="0FE996F4"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30</w:t>
            </w:r>
          </w:p>
        </w:tc>
        <w:tc>
          <w:tcPr>
            <w:tcW w:w="1751" w:type="dxa"/>
            <w:noWrap/>
            <w:hideMark/>
          </w:tcPr>
          <w:p w14:paraId="0F50B54F"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Direct Recipient</w:t>
            </w:r>
          </w:p>
        </w:tc>
        <w:tc>
          <w:tcPr>
            <w:tcW w:w="1184" w:type="dxa"/>
            <w:noWrap/>
            <w:hideMark/>
          </w:tcPr>
          <w:p w14:paraId="264840B0"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REGION VII</w:t>
            </w:r>
          </w:p>
        </w:tc>
        <w:tc>
          <w:tcPr>
            <w:tcW w:w="1681" w:type="dxa"/>
            <w:noWrap/>
            <w:hideMark/>
          </w:tcPr>
          <w:p w14:paraId="3CE66120"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Cebu City</w:t>
            </w:r>
          </w:p>
        </w:tc>
        <w:tc>
          <w:tcPr>
            <w:tcW w:w="1991" w:type="dxa"/>
            <w:noWrap/>
            <w:hideMark/>
          </w:tcPr>
          <w:p w14:paraId="6D28E383"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South District 5</w:t>
            </w:r>
          </w:p>
        </w:tc>
        <w:tc>
          <w:tcPr>
            <w:tcW w:w="1132" w:type="dxa"/>
            <w:noWrap/>
            <w:hideMark/>
          </w:tcPr>
          <w:p w14:paraId="54ACFF17"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119871</w:t>
            </w:r>
          </w:p>
        </w:tc>
        <w:tc>
          <w:tcPr>
            <w:tcW w:w="3485" w:type="dxa"/>
            <w:noWrap/>
            <w:hideMark/>
          </w:tcPr>
          <w:p w14:paraId="0BC301C8"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Tisa II Elementary School</w:t>
            </w:r>
          </w:p>
        </w:tc>
        <w:tc>
          <w:tcPr>
            <w:tcW w:w="1115" w:type="dxa"/>
            <w:noWrap/>
            <w:hideMark/>
          </w:tcPr>
          <w:p w14:paraId="532802C3"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w:t>
            </w:r>
          </w:p>
        </w:tc>
        <w:tc>
          <w:tcPr>
            <w:tcW w:w="1199" w:type="dxa"/>
            <w:noWrap/>
            <w:hideMark/>
          </w:tcPr>
          <w:p w14:paraId="40FEDA04"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 </w:t>
            </w:r>
          </w:p>
        </w:tc>
      </w:tr>
      <w:tr w:rsidR="008D0CAD" w:rsidRPr="00173FD6" w14:paraId="17BF7CFA" w14:textId="77777777" w:rsidTr="00EC48C1">
        <w:trPr>
          <w:trHeight w:val="296"/>
        </w:trPr>
        <w:tc>
          <w:tcPr>
            <w:tcW w:w="909" w:type="dxa"/>
            <w:noWrap/>
            <w:hideMark/>
          </w:tcPr>
          <w:p w14:paraId="43C75807"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31</w:t>
            </w:r>
          </w:p>
        </w:tc>
        <w:tc>
          <w:tcPr>
            <w:tcW w:w="1751" w:type="dxa"/>
            <w:noWrap/>
            <w:hideMark/>
          </w:tcPr>
          <w:p w14:paraId="5188EF17"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Direct Recipient</w:t>
            </w:r>
          </w:p>
        </w:tc>
        <w:tc>
          <w:tcPr>
            <w:tcW w:w="1184" w:type="dxa"/>
            <w:noWrap/>
            <w:hideMark/>
          </w:tcPr>
          <w:p w14:paraId="0D492A70"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REGION VII</w:t>
            </w:r>
          </w:p>
        </w:tc>
        <w:tc>
          <w:tcPr>
            <w:tcW w:w="1681" w:type="dxa"/>
            <w:noWrap/>
            <w:hideMark/>
          </w:tcPr>
          <w:p w14:paraId="4AEDBF70"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City of Naga, Cebu</w:t>
            </w:r>
          </w:p>
        </w:tc>
        <w:tc>
          <w:tcPr>
            <w:tcW w:w="1991" w:type="dxa"/>
            <w:noWrap/>
            <w:hideMark/>
          </w:tcPr>
          <w:p w14:paraId="1DD600BC"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Naga II</w:t>
            </w:r>
          </w:p>
        </w:tc>
        <w:tc>
          <w:tcPr>
            <w:tcW w:w="1132" w:type="dxa"/>
            <w:noWrap/>
            <w:hideMark/>
          </w:tcPr>
          <w:p w14:paraId="35E6E5FE"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119516</w:t>
            </w:r>
          </w:p>
        </w:tc>
        <w:tc>
          <w:tcPr>
            <w:tcW w:w="3485" w:type="dxa"/>
            <w:noWrap/>
            <w:hideMark/>
          </w:tcPr>
          <w:p w14:paraId="761215DD"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Cepoc Central Elementary School</w:t>
            </w:r>
          </w:p>
        </w:tc>
        <w:tc>
          <w:tcPr>
            <w:tcW w:w="1115" w:type="dxa"/>
            <w:noWrap/>
            <w:hideMark/>
          </w:tcPr>
          <w:p w14:paraId="2EDDC243"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w:t>
            </w:r>
          </w:p>
        </w:tc>
        <w:tc>
          <w:tcPr>
            <w:tcW w:w="1199" w:type="dxa"/>
            <w:noWrap/>
            <w:hideMark/>
          </w:tcPr>
          <w:p w14:paraId="0C724B4D"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 </w:t>
            </w:r>
          </w:p>
        </w:tc>
      </w:tr>
      <w:tr w:rsidR="008D0CAD" w:rsidRPr="00173FD6" w14:paraId="4C78F11C" w14:textId="77777777" w:rsidTr="00EC48C1">
        <w:trPr>
          <w:trHeight w:val="296"/>
        </w:trPr>
        <w:tc>
          <w:tcPr>
            <w:tcW w:w="909" w:type="dxa"/>
            <w:noWrap/>
            <w:hideMark/>
          </w:tcPr>
          <w:p w14:paraId="282A388C"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32</w:t>
            </w:r>
          </w:p>
        </w:tc>
        <w:tc>
          <w:tcPr>
            <w:tcW w:w="1751" w:type="dxa"/>
            <w:noWrap/>
            <w:hideMark/>
          </w:tcPr>
          <w:p w14:paraId="76C80F66"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Indirect Recipient</w:t>
            </w:r>
          </w:p>
        </w:tc>
        <w:tc>
          <w:tcPr>
            <w:tcW w:w="1184" w:type="dxa"/>
            <w:noWrap/>
            <w:hideMark/>
          </w:tcPr>
          <w:p w14:paraId="7403B343"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REGION VII</w:t>
            </w:r>
          </w:p>
        </w:tc>
        <w:tc>
          <w:tcPr>
            <w:tcW w:w="1681" w:type="dxa"/>
            <w:noWrap/>
            <w:hideMark/>
          </w:tcPr>
          <w:p w14:paraId="4D01113E" w14:textId="77777777" w:rsidR="008D0CAD" w:rsidRPr="00173FD6" w:rsidRDefault="008D0CAD" w:rsidP="002320B3">
            <w:pPr>
              <w:rPr>
                <w:rFonts w:ascii="Calibri Light" w:hAnsi="Calibri Light" w:cs="Calibri Light"/>
                <w:sz w:val="20"/>
                <w:szCs w:val="20"/>
                <w:lang w:val="en-US"/>
              </w:rPr>
            </w:pPr>
            <w:r w:rsidRPr="00173FD6">
              <w:rPr>
                <w:rFonts w:ascii="Calibri Light" w:hAnsi="Calibri Light" w:cs="Calibri Light"/>
                <w:sz w:val="20"/>
                <w:szCs w:val="20"/>
                <w:lang w:val="en-US"/>
              </w:rPr>
              <w:t>Cebu</w:t>
            </w:r>
          </w:p>
        </w:tc>
        <w:tc>
          <w:tcPr>
            <w:tcW w:w="1991" w:type="dxa"/>
            <w:noWrap/>
            <w:hideMark/>
          </w:tcPr>
          <w:p w14:paraId="3CFF53C3" w14:textId="77777777" w:rsidR="008D0CAD" w:rsidRPr="00173FD6" w:rsidRDefault="008D0CAD" w:rsidP="002320B3">
            <w:pPr>
              <w:rPr>
                <w:rFonts w:ascii="Calibri Light" w:hAnsi="Calibri Light" w:cs="Calibri Light"/>
                <w:sz w:val="20"/>
                <w:szCs w:val="20"/>
                <w:lang w:val="en-US"/>
              </w:rPr>
            </w:pPr>
            <w:r w:rsidRPr="00173FD6">
              <w:rPr>
                <w:rFonts w:ascii="Calibri Light" w:hAnsi="Calibri Light" w:cs="Calibri Light"/>
                <w:sz w:val="20"/>
                <w:szCs w:val="20"/>
                <w:lang w:val="en-US"/>
              </w:rPr>
              <w:t>Dalaguete I</w:t>
            </w:r>
          </w:p>
        </w:tc>
        <w:tc>
          <w:tcPr>
            <w:tcW w:w="1132" w:type="dxa"/>
            <w:noWrap/>
            <w:hideMark/>
          </w:tcPr>
          <w:p w14:paraId="2A3D2A52"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119307</w:t>
            </w:r>
          </w:p>
        </w:tc>
        <w:tc>
          <w:tcPr>
            <w:tcW w:w="3485" w:type="dxa"/>
            <w:noWrap/>
            <w:hideMark/>
          </w:tcPr>
          <w:p w14:paraId="078D5466"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Obong Elementary School</w:t>
            </w:r>
          </w:p>
        </w:tc>
        <w:tc>
          <w:tcPr>
            <w:tcW w:w="1115" w:type="dxa"/>
            <w:noWrap/>
            <w:hideMark/>
          </w:tcPr>
          <w:p w14:paraId="53EB80E7"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w:t>
            </w:r>
          </w:p>
        </w:tc>
        <w:tc>
          <w:tcPr>
            <w:tcW w:w="1199" w:type="dxa"/>
            <w:noWrap/>
            <w:hideMark/>
          </w:tcPr>
          <w:p w14:paraId="0CBD126F"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X</w:t>
            </w:r>
          </w:p>
        </w:tc>
      </w:tr>
      <w:tr w:rsidR="008D0CAD" w:rsidRPr="00173FD6" w14:paraId="42B3FD56" w14:textId="77777777" w:rsidTr="00EC48C1">
        <w:trPr>
          <w:trHeight w:val="296"/>
        </w:trPr>
        <w:tc>
          <w:tcPr>
            <w:tcW w:w="909" w:type="dxa"/>
            <w:noWrap/>
            <w:hideMark/>
          </w:tcPr>
          <w:p w14:paraId="56C68F45"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33</w:t>
            </w:r>
          </w:p>
        </w:tc>
        <w:tc>
          <w:tcPr>
            <w:tcW w:w="1751" w:type="dxa"/>
            <w:noWrap/>
            <w:hideMark/>
          </w:tcPr>
          <w:p w14:paraId="1A732A94"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Indirect Recipient</w:t>
            </w:r>
          </w:p>
        </w:tc>
        <w:tc>
          <w:tcPr>
            <w:tcW w:w="1184" w:type="dxa"/>
            <w:noWrap/>
            <w:hideMark/>
          </w:tcPr>
          <w:p w14:paraId="4F352171"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REGION VII</w:t>
            </w:r>
          </w:p>
        </w:tc>
        <w:tc>
          <w:tcPr>
            <w:tcW w:w="1681" w:type="dxa"/>
            <w:noWrap/>
            <w:hideMark/>
          </w:tcPr>
          <w:p w14:paraId="4450D64D" w14:textId="77777777" w:rsidR="008D0CAD" w:rsidRPr="00173FD6" w:rsidRDefault="008D0CAD" w:rsidP="002320B3">
            <w:pPr>
              <w:rPr>
                <w:rFonts w:ascii="Calibri Light" w:hAnsi="Calibri Light" w:cs="Calibri Light"/>
                <w:sz w:val="20"/>
                <w:szCs w:val="20"/>
                <w:lang w:val="en-US"/>
              </w:rPr>
            </w:pPr>
            <w:r w:rsidRPr="00173FD6">
              <w:rPr>
                <w:rFonts w:ascii="Calibri Light" w:hAnsi="Calibri Light" w:cs="Calibri Light"/>
                <w:sz w:val="20"/>
                <w:szCs w:val="20"/>
                <w:lang w:val="en-US"/>
              </w:rPr>
              <w:t>Cebu</w:t>
            </w:r>
          </w:p>
        </w:tc>
        <w:tc>
          <w:tcPr>
            <w:tcW w:w="1991" w:type="dxa"/>
            <w:noWrap/>
            <w:hideMark/>
          </w:tcPr>
          <w:p w14:paraId="6C3A112D" w14:textId="77777777" w:rsidR="008D0CAD" w:rsidRPr="00173FD6" w:rsidRDefault="008D0CAD" w:rsidP="002320B3">
            <w:pPr>
              <w:rPr>
                <w:rFonts w:ascii="Calibri Light" w:hAnsi="Calibri Light" w:cs="Calibri Light"/>
                <w:sz w:val="20"/>
                <w:szCs w:val="20"/>
                <w:lang w:val="en-US"/>
              </w:rPr>
            </w:pPr>
            <w:r w:rsidRPr="00173FD6">
              <w:rPr>
                <w:rFonts w:ascii="Calibri Light" w:hAnsi="Calibri Light" w:cs="Calibri Light"/>
                <w:sz w:val="20"/>
                <w:szCs w:val="20"/>
                <w:lang w:val="en-US"/>
              </w:rPr>
              <w:t>Medellin</w:t>
            </w:r>
          </w:p>
        </w:tc>
        <w:tc>
          <w:tcPr>
            <w:tcW w:w="1132" w:type="dxa"/>
            <w:noWrap/>
            <w:hideMark/>
          </w:tcPr>
          <w:p w14:paraId="0AB1D6F3"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119464</w:t>
            </w:r>
          </w:p>
        </w:tc>
        <w:tc>
          <w:tcPr>
            <w:tcW w:w="3485" w:type="dxa"/>
            <w:noWrap/>
            <w:hideMark/>
          </w:tcPr>
          <w:p w14:paraId="638FD575"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Lamintak Norte Elementary School</w:t>
            </w:r>
          </w:p>
        </w:tc>
        <w:tc>
          <w:tcPr>
            <w:tcW w:w="1115" w:type="dxa"/>
            <w:noWrap/>
            <w:hideMark/>
          </w:tcPr>
          <w:p w14:paraId="1FFCD7A7"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w:t>
            </w:r>
          </w:p>
        </w:tc>
        <w:tc>
          <w:tcPr>
            <w:tcW w:w="1199" w:type="dxa"/>
            <w:noWrap/>
            <w:hideMark/>
          </w:tcPr>
          <w:p w14:paraId="41E9D598"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X</w:t>
            </w:r>
          </w:p>
        </w:tc>
      </w:tr>
      <w:tr w:rsidR="008D0CAD" w:rsidRPr="00173FD6" w14:paraId="62B1789A" w14:textId="77777777" w:rsidTr="00EC48C1">
        <w:trPr>
          <w:trHeight w:val="296"/>
        </w:trPr>
        <w:tc>
          <w:tcPr>
            <w:tcW w:w="909" w:type="dxa"/>
            <w:noWrap/>
            <w:hideMark/>
          </w:tcPr>
          <w:p w14:paraId="0E0AB346"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34</w:t>
            </w:r>
          </w:p>
        </w:tc>
        <w:tc>
          <w:tcPr>
            <w:tcW w:w="1751" w:type="dxa"/>
            <w:noWrap/>
            <w:hideMark/>
          </w:tcPr>
          <w:p w14:paraId="4B8C2E8A"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Indirect Recipient</w:t>
            </w:r>
          </w:p>
        </w:tc>
        <w:tc>
          <w:tcPr>
            <w:tcW w:w="1184" w:type="dxa"/>
            <w:noWrap/>
            <w:hideMark/>
          </w:tcPr>
          <w:p w14:paraId="5BE2411E"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REGION VII</w:t>
            </w:r>
          </w:p>
        </w:tc>
        <w:tc>
          <w:tcPr>
            <w:tcW w:w="1681" w:type="dxa"/>
            <w:noWrap/>
            <w:hideMark/>
          </w:tcPr>
          <w:p w14:paraId="11E905B3" w14:textId="77777777" w:rsidR="008D0CAD" w:rsidRPr="00173FD6" w:rsidRDefault="008D0CAD" w:rsidP="002320B3">
            <w:pPr>
              <w:rPr>
                <w:rFonts w:ascii="Calibri Light" w:hAnsi="Calibri Light" w:cs="Calibri Light"/>
                <w:sz w:val="20"/>
                <w:szCs w:val="20"/>
                <w:lang w:val="en-US"/>
              </w:rPr>
            </w:pPr>
            <w:r w:rsidRPr="00173FD6">
              <w:rPr>
                <w:rFonts w:ascii="Calibri Light" w:hAnsi="Calibri Light" w:cs="Calibri Light"/>
                <w:sz w:val="20"/>
                <w:szCs w:val="20"/>
                <w:lang w:val="en-US"/>
              </w:rPr>
              <w:t>Danao City</w:t>
            </w:r>
          </w:p>
        </w:tc>
        <w:tc>
          <w:tcPr>
            <w:tcW w:w="1991" w:type="dxa"/>
            <w:noWrap/>
            <w:hideMark/>
          </w:tcPr>
          <w:p w14:paraId="338C69C9" w14:textId="77777777" w:rsidR="008D0CAD" w:rsidRPr="00173FD6" w:rsidRDefault="008D0CAD" w:rsidP="002320B3">
            <w:pPr>
              <w:rPr>
                <w:rFonts w:ascii="Calibri Light" w:hAnsi="Calibri Light" w:cs="Calibri Light"/>
                <w:sz w:val="20"/>
                <w:szCs w:val="20"/>
                <w:lang w:val="en-US"/>
              </w:rPr>
            </w:pPr>
            <w:r w:rsidRPr="00173FD6">
              <w:rPr>
                <w:rFonts w:ascii="Calibri Light" w:hAnsi="Calibri Light" w:cs="Calibri Light"/>
                <w:sz w:val="20"/>
                <w:szCs w:val="20"/>
                <w:lang w:val="en-US"/>
              </w:rPr>
              <w:t>Danao City East</w:t>
            </w:r>
          </w:p>
        </w:tc>
        <w:tc>
          <w:tcPr>
            <w:tcW w:w="1132" w:type="dxa"/>
            <w:noWrap/>
            <w:hideMark/>
          </w:tcPr>
          <w:p w14:paraId="2CC321FB"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232503</w:t>
            </w:r>
          </w:p>
        </w:tc>
        <w:tc>
          <w:tcPr>
            <w:tcW w:w="3485" w:type="dxa"/>
            <w:noWrap/>
            <w:hideMark/>
          </w:tcPr>
          <w:p w14:paraId="54FB6B7B"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Bernardo Enriquez Elementary School</w:t>
            </w:r>
          </w:p>
        </w:tc>
        <w:tc>
          <w:tcPr>
            <w:tcW w:w="1115" w:type="dxa"/>
            <w:noWrap/>
            <w:hideMark/>
          </w:tcPr>
          <w:p w14:paraId="4C572A98"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w:t>
            </w:r>
          </w:p>
        </w:tc>
        <w:tc>
          <w:tcPr>
            <w:tcW w:w="1199" w:type="dxa"/>
            <w:noWrap/>
            <w:hideMark/>
          </w:tcPr>
          <w:p w14:paraId="4709EC0D"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X</w:t>
            </w:r>
          </w:p>
        </w:tc>
      </w:tr>
      <w:tr w:rsidR="008D0CAD" w:rsidRPr="00173FD6" w14:paraId="4A7CC6F6" w14:textId="77777777" w:rsidTr="00EC48C1">
        <w:trPr>
          <w:trHeight w:val="296"/>
        </w:trPr>
        <w:tc>
          <w:tcPr>
            <w:tcW w:w="909" w:type="dxa"/>
            <w:noWrap/>
            <w:hideMark/>
          </w:tcPr>
          <w:p w14:paraId="4D6C8988"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35</w:t>
            </w:r>
          </w:p>
        </w:tc>
        <w:tc>
          <w:tcPr>
            <w:tcW w:w="1751" w:type="dxa"/>
            <w:noWrap/>
            <w:hideMark/>
          </w:tcPr>
          <w:p w14:paraId="57E4FB39"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Direct Recipient</w:t>
            </w:r>
          </w:p>
        </w:tc>
        <w:tc>
          <w:tcPr>
            <w:tcW w:w="1184" w:type="dxa"/>
            <w:noWrap/>
            <w:hideMark/>
          </w:tcPr>
          <w:p w14:paraId="0686AB3A"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REGION VIII</w:t>
            </w:r>
          </w:p>
        </w:tc>
        <w:tc>
          <w:tcPr>
            <w:tcW w:w="1681" w:type="dxa"/>
            <w:noWrap/>
            <w:hideMark/>
          </w:tcPr>
          <w:p w14:paraId="77638AA9"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Eastern Samar</w:t>
            </w:r>
          </w:p>
        </w:tc>
        <w:tc>
          <w:tcPr>
            <w:tcW w:w="1991" w:type="dxa"/>
            <w:noWrap/>
            <w:hideMark/>
          </w:tcPr>
          <w:p w14:paraId="40CB773F"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Arteche</w:t>
            </w:r>
          </w:p>
        </w:tc>
        <w:tc>
          <w:tcPr>
            <w:tcW w:w="1132" w:type="dxa"/>
            <w:noWrap/>
            <w:hideMark/>
          </w:tcPr>
          <w:p w14:paraId="58AA7D7C"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122330</w:t>
            </w:r>
          </w:p>
        </w:tc>
        <w:tc>
          <w:tcPr>
            <w:tcW w:w="3485" w:type="dxa"/>
            <w:noWrap/>
            <w:hideMark/>
          </w:tcPr>
          <w:p w14:paraId="1F9CD078"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Cagsalay Elementary School</w:t>
            </w:r>
          </w:p>
        </w:tc>
        <w:tc>
          <w:tcPr>
            <w:tcW w:w="1115" w:type="dxa"/>
            <w:noWrap/>
            <w:hideMark/>
          </w:tcPr>
          <w:p w14:paraId="5DF65DF0"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w:t>
            </w:r>
          </w:p>
        </w:tc>
        <w:tc>
          <w:tcPr>
            <w:tcW w:w="1199" w:type="dxa"/>
            <w:noWrap/>
            <w:hideMark/>
          </w:tcPr>
          <w:p w14:paraId="4F7EB1EE"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X</w:t>
            </w:r>
          </w:p>
        </w:tc>
      </w:tr>
      <w:tr w:rsidR="008D0CAD" w:rsidRPr="00173FD6" w14:paraId="138E1F72" w14:textId="77777777" w:rsidTr="00EC48C1">
        <w:trPr>
          <w:trHeight w:val="296"/>
        </w:trPr>
        <w:tc>
          <w:tcPr>
            <w:tcW w:w="909" w:type="dxa"/>
            <w:noWrap/>
            <w:hideMark/>
          </w:tcPr>
          <w:p w14:paraId="2FE99A7E"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36</w:t>
            </w:r>
          </w:p>
        </w:tc>
        <w:tc>
          <w:tcPr>
            <w:tcW w:w="1751" w:type="dxa"/>
            <w:noWrap/>
            <w:hideMark/>
          </w:tcPr>
          <w:p w14:paraId="2FD8A66C"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Direct Recipient</w:t>
            </w:r>
          </w:p>
        </w:tc>
        <w:tc>
          <w:tcPr>
            <w:tcW w:w="1184" w:type="dxa"/>
            <w:noWrap/>
            <w:hideMark/>
          </w:tcPr>
          <w:p w14:paraId="25753E20"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REGION VIII</w:t>
            </w:r>
          </w:p>
        </w:tc>
        <w:tc>
          <w:tcPr>
            <w:tcW w:w="1681" w:type="dxa"/>
            <w:noWrap/>
            <w:hideMark/>
          </w:tcPr>
          <w:p w14:paraId="1DDD10A4"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Eastern Samar</w:t>
            </w:r>
          </w:p>
        </w:tc>
        <w:tc>
          <w:tcPr>
            <w:tcW w:w="1991" w:type="dxa"/>
            <w:noWrap/>
            <w:hideMark/>
          </w:tcPr>
          <w:p w14:paraId="44D43433"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Dolores II</w:t>
            </w:r>
          </w:p>
        </w:tc>
        <w:tc>
          <w:tcPr>
            <w:tcW w:w="1132" w:type="dxa"/>
            <w:noWrap/>
            <w:hideMark/>
          </w:tcPr>
          <w:p w14:paraId="1BE37374"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192505</w:t>
            </w:r>
          </w:p>
        </w:tc>
        <w:tc>
          <w:tcPr>
            <w:tcW w:w="3485" w:type="dxa"/>
            <w:noWrap/>
            <w:hideMark/>
          </w:tcPr>
          <w:p w14:paraId="7FD0E455"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Quiatan Elementary School</w:t>
            </w:r>
          </w:p>
        </w:tc>
        <w:tc>
          <w:tcPr>
            <w:tcW w:w="1115" w:type="dxa"/>
            <w:noWrap/>
            <w:hideMark/>
          </w:tcPr>
          <w:p w14:paraId="0BD47DC1"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w:t>
            </w:r>
          </w:p>
        </w:tc>
        <w:tc>
          <w:tcPr>
            <w:tcW w:w="1199" w:type="dxa"/>
            <w:noWrap/>
            <w:hideMark/>
          </w:tcPr>
          <w:p w14:paraId="71E905BD"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X</w:t>
            </w:r>
          </w:p>
        </w:tc>
      </w:tr>
      <w:tr w:rsidR="008D0CAD" w:rsidRPr="00173FD6" w14:paraId="79A3AE02" w14:textId="77777777" w:rsidTr="00EC48C1">
        <w:trPr>
          <w:trHeight w:val="296"/>
        </w:trPr>
        <w:tc>
          <w:tcPr>
            <w:tcW w:w="909" w:type="dxa"/>
            <w:noWrap/>
            <w:hideMark/>
          </w:tcPr>
          <w:p w14:paraId="4E590E96"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37</w:t>
            </w:r>
          </w:p>
        </w:tc>
        <w:tc>
          <w:tcPr>
            <w:tcW w:w="1751" w:type="dxa"/>
            <w:noWrap/>
            <w:hideMark/>
          </w:tcPr>
          <w:p w14:paraId="499176D8"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Direct Recipient</w:t>
            </w:r>
          </w:p>
        </w:tc>
        <w:tc>
          <w:tcPr>
            <w:tcW w:w="1184" w:type="dxa"/>
            <w:noWrap/>
            <w:hideMark/>
          </w:tcPr>
          <w:p w14:paraId="6C891AF3"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REGION VIII</w:t>
            </w:r>
          </w:p>
        </w:tc>
        <w:tc>
          <w:tcPr>
            <w:tcW w:w="1681" w:type="dxa"/>
            <w:noWrap/>
            <w:hideMark/>
          </w:tcPr>
          <w:p w14:paraId="62DBDE5A"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Eastern Samar</w:t>
            </w:r>
          </w:p>
        </w:tc>
        <w:tc>
          <w:tcPr>
            <w:tcW w:w="1991" w:type="dxa"/>
            <w:noWrap/>
            <w:hideMark/>
          </w:tcPr>
          <w:p w14:paraId="27EE0920"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Llorente</w:t>
            </w:r>
          </w:p>
        </w:tc>
        <w:tc>
          <w:tcPr>
            <w:tcW w:w="1132" w:type="dxa"/>
            <w:noWrap/>
            <w:hideMark/>
          </w:tcPr>
          <w:p w14:paraId="71E0CFB6"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122598</w:t>
            </w:r>
          </w:p>
        </w:tc>
        <w:tc>
          <w:tcPr>
            <w:tcW w:w="3485" w:type="dxa"/>
            <w:noWrap/>
            <w:hideMark/>
          </w:tcPr>
          <w:p w14:paraId="588D7712"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Naubay Elementary School</w:t>
            </w:r>
          </w:p>
        </w:tc>
        <w:tc>
          <w:tcPr>
            <w:tcW w:w="1115" w:type="dxa"/>
            <w:noWrap/>
            <w:hideMark/>
          </w:tcPr>
          <w:p w14:paraId="461DD46A"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w:t>
            </w:r>
          </w:p>
        </w:tc>
        <w:tc>
          <w:tcPr>
            <w:tcW w:w="1199" w:type="dxa"/>
            <w:noWrap/>
            <w:hideMark/>
          </w:tcPr>
          <w:p w14:paraId="016ACF69"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 </w:t>
            </w:r>
          </w:p>
        </w:tc>
      </w:tr>
      <w:tr w:rsidR="008D0CAD" w:rsidRPr="00173FD6" w14:paraId="7C32EF0B" w14:textId="77777777" w:rsidTr="00EC48C1">
        <w:trPr>
          <w:trHeight w:val="296"/>
        </w:trPr>
        <w:tc>
          <w:tcPr>
            <w:tcW w:w="909" w:type="dxa"/>
            <w:noWrap/>
            <w:hideMark/>
          </w:tcPr>
          <w:p w14:paraId="17576BC8"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38</w:t>
            </w:r>
          </w:p>
        </w:tc>
        <w:tc>
          <w:tcPr>
            <w:tcW w:w="1751" w:type="dxa"/>
            <w:noWrap/>
            <w:hideMark/>
          </w:tcPr>
          <w:p w14:paraId="0FCE89A3"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Direct Recipient</w:t>
            </w:r>
          </w:p>
        </w:tc>
        <w:tc>
          <w:tcPr>
            <w:tcW w:w="1184" w:type="dxa"/>
            <w:noWrap/>
            <w:hideMark/>
          </w:tcPr>
          <w:p w14:paraId="0182EB9D"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REGION VIII</w:t>
            </w:r>
          </w:p>
        </w:tc>
        <w:tc>
          <w:tcPr>
            <w:tcW w:w="1681" w:type="dxa"/>
            <w:noWrap/>
            <w:hideMark/>
          </w:tcPr>
          <w:p w14:paraId="16959EC2"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Eastern Samar</w:t>
            </w:r>
          </w:p>
        </w:tc>
        <w:tc>
          <w:tcPr>
            <w:tcW w:w="1991" w:type="dxa"/>
            <w:noWrap/>
            <w:hideMark/>
          </w:tcPr>
          <w:p w14:paraId="04F83F37"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Maslog</w:t>
            </w:r>
          </w:p>
        </w:tc>
        <w:tc>
          <w:tcPr>
            <w:tcW w:w="1132" w:type="dxa"/>
            <w:noWrap/>
            <w:hideMark/>
          </w:tcPr>
          <w:p w14:paraId="429DCB94"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122449</w:t>
            </w:r>
          </w:p>
        </w:tc>
        <w:tc>
          <w:tcPr>
            <w:tcW w:w="3485" w:type="dxa"/>
            <w:noWrap/>
            <w:hideMark/>
          </w:tcPr>
          <w:p w14:paraId="3A97BD80"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Carayacay Elementary School</w:t>
            </w:r>
          </w:p>
        </w:tc>
        <w:tc>
          <w:tcPr>
            <w:tcW w:w="1115" w:type="dxa"/>
            <w:noWrap/>
            <w:hideMark/>
          </w:tcPr>
          <w:p w14:paraId="6A4DB9A7"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w:t>
            </w:r>
          </w:p>
        </w:tc>
        <w:tc>
          <w:tcPr>
            <w:tcW w:w="1199" w:type="dxa"/>
            <w:noWrap/>
            <w:hideMark/>
          </w:tcPr>
          <w:p w14:paraId="42D839EC"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X</w:t>
            </w:r>
          </w:p>
        </w:tc>
      </w:tr>
      <w:tr w:rsidR="008D0CAD" w:rsidRPr="00173FD6" w14:paraId="56593B21" w14:textId="77777777" w:rsidTr="00EC48C1">
        <w:trPr>
          <w:trHeight w:val="296"/>
        </w:trPr>
        <w:tc>
          <w:tcPr>
            <w:tcW w:w="909" w:type="dxa"/>
            <w:noWrap/>
            <w:hideMark/>
          </w:tcPr>
          <w:p w14:paraId="490970CE"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39</w:t>
            </w:r>
          </w:p>
        </w:tc>
        <w:tc>
          <w:tcPr>
            <w:tcW w:w="1751" w:type="dxa"/>
            <w:noWrap/>
            <w:hideMark/>
          </w:tcPr>
          <w:p w14:paraId="0A3979C3"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Direct Recipient</w:t>
            </w:r>
          </w:p>
        </w:tc>
        <w:tc>
          <w:tcPr>
            <w:tcW w:w="1184" w:type="dxa"/>
            <w:noWrap/>
            <w:hideMark/>
          </w:tcPr>
          <w:p w14:paraId="5A00E908"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REGION VIII</w:t>
            </w:r>
          </w:p>
        </w:tc>
        <w:tc>
          <w:tcPr>
            <w:tcW w:w="1681" w:type="dxa"/>
            <w:noWrap/>
            <w:hideMark/>
          </w:tcPr>
          <w:p w14:paraId="6FF8C4C6"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Leyte</w:t>
            </w:r>
          </w:p>
        </w:tc>
        <w:tc>
          <w:tcPr>
            <w:tcW w:w="1991" w:type="dxa"/>
            <w:noWrap/>
            <w:hideMark/>
          </w:tcPr>
          <w:p w14:paraId="35A1DD36"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Abuyog East</w:t>
            </w:r>
          </w:p>
        </w:tc>
        <w:tc>
          <w:tcPr>
            <w:tcW w:w="1132" w:type="dxa"/>
            <w:noWrap/>
            <w:hideMark/>
          </w:tcPr>
          <w:p w14:paraId="1DB02F12"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120890</w:t>
            </w:r>
          </w:p>
        </w:tc>
        <w:tc>
          <w:tcPr>
            <w:tcW w:w="3485" w:type="dxa"/>
            <w:hideMark/>
          </w:tcPr>
          <w:p w14:paraId="0B0A7FD6"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Canmarating Elementary School</w:t>
            </w:r>
          </w:p>
        </w:tc>
        <w:tc>
          <w:tcPr>
            <w:tcW w:w="1115" w:type="dxa"/>
            <w:hideMark/>
          </w:tcPr>
          <w:p w14:paraId="2CD6F45C"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w:t>
            </w:r>
          </w:p>
        </w:tc>
        <w:tc>
          <w:tcPr>
            <w:tcW w:w="1199" w:type="dxa"/>
            <w:noWrap/>
            <w:hideMark/>
          </w:tcPr>
          <w:p w14:paraId="4D692910"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 </w:t>
            </w:r>
          </w:p>
        </w:tc>
      </w:tr>
      <w:tr w:rsidR="008D0CAD" w:rsidRPr="00173FD6" w14:paraId="7C9E7673" w14:textId="77777777" w:rsidTr="00EC48C1">
        <w:trPr>
          <w:trHeight w:val="296"/>
        </w:trPr>
        <w:tc>
          <w:tcPr>
            <w:tcW w:w="909" w:type="dxa"/>
            <w:noWrap/>
            <w:hideMark/>
          </w:tcPr>
          <w:p w14:paraId="383E458B"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40</w:t>
            </w:r>
          </w:p>
        </w:tc>
        <w:tc>
          <w:tcPr>
            <w:tcW w:w="1751" w:type="dxa"/>
            <w:noWrap/>
            <w:hideMark/>
          </w:tcPr>
          <w:p w14:paraId="47FEB632"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Direct Recipient</w:t>
            </w:r>
          </w:p>
        </w:tc>
        <w:tc>
          <w:tcPr>
            <w:tcW w:w="1184" w:type="dxa"/>
            <w:noWrap/>
            <w:hideMark/>
          </w:tcPr>
          <w:p w14:paraId="11A067B2"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REGION VIII</w:t>
            </w:r>
          </w:p>
        </w:tc>
        <w:tc>
          <w:tcPr>
            <w:tcW w:w="1681" w:type="dxa"/>
            <w:noWrap/>
            <w:hideMark/>
          </w:tcPr>
          <w:p w14:paraId="51B6CEBC"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Leyte</w:t>
            </w:r>
          </w:p>
        </w:tc>
        <w:tc>
          <w:tcPr>
            <w:tcW w:w="1991" w:type="dxa"/>
            <w:noWrap/>
            <w:hideMark/>
          </w:tcPr>
          <w:p w14:paraId="6D25EF8A"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Abuyog East</w:t>
            </w:r>
          </w:p>
        </w:tc>
        <w:tc>
          <w:tcPr>
            <w:tcW w:w="1132" w:type="dxa"/>
            <w:noWrap/>
            <w:hideMark/>
          </w:tcPr>
          <w:p w14:paraId="63637AE4"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120891</w:t>
            </w:r>
          </w:p>
        </w:tc>
        <w:tc>
          <w:tcPr>
            <w:tcW w:w="3485" w:type="dxa"/>
            <w:noWrap/>
            <w:hideMark/>
          </w:tcPr>
          <w:p w14:paraId="7A6E5D1C"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Gabaldon Central School</w:t>
            </w:r>
          </w:p>
        </w:tc>
        <w:tc>
          <w:tcPr>
            <w:tcW w:w="1115" w:type="dxa"/>
            <w:noWrap/>
            <w:hideMark/>
          </w:tcPr>
          <w:p w14:paraId="76F6E4AB"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w:t>
            </w:r>
          </w:p>
        </w:tc>
        <w:tc>
          <w:tcPr>
            <w:tcW w:w="1199" w:type="dxa"/>
            <w:noWrap/>
            <w:hideMark/>
          </w:tcPr>
          <w:p w14:paraId="78AF6ABB"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 </w:t>
            </w:r>
          </w:p>
        </w:tc>
      </w:tr>
      <w:tr w:rsidR="008D0CAD" w:rsidRPr="00173FD6" w14:paraId="678CFF04" w14:textId="77777777" w:rsidTr="00EC48C1">
        <w:trPr>
          <w:trHeight w:val="296"/>
        </w:trPr>
        <w:tc>
          <w:tcPr>
            <w:tcW w:w="909" w:type="dxa"/>
            <w:noWrap/>
            <w:hideMark/>
          </w:tcPr>
          <w:p w14:paraId="663316FB"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41</w:t>
            </w:r>
          </w:p>
        </w:tc>
        <w:tc>
          <w:tcPr>
            <w:tcW w:w="1751" w:type="dxa"/>
            <w:noWrap/>
            <w:hideMark/>
          </w:tcPr>
          <w:p w14:paraId="5105891A"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Direct Recipient</w:t>
            </w:r>
          </w:p>
        </w:tc>
        <w:tc>
          <w:tcPr>
            <w:tcW w:w="1184" w:type="dxa"/>
            <w:noWrap/>
            <w:hideMark/>
          </w:tcPr>
          <w:p w14:paraId="5C699631"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REGION VIII</w:t>
            </w:r>
          </w:p>
        </w:tc>
        <w:tc>
          <w:tcPr>
            <w:tcW w:w="1681" w:type="dxa"/>
            <w:noWrap/>
            <w:hideMark/>
          </w:tcPr>
          <w:p w14:paraId="59B3B748"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Leyte</w:t>
            </w:r>
          </w:p>
        </w:tc>
        <w:tc>
          <w:tcPr>
            <w:tcW w:w="1991" w:type="dxa"/>
            <w:noWrap/>
            <w:hideMark/>
          </w:tcPr>
          <w:p w14:paraId="5E8B2B0F"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Dulag South</w:t>
            </w:r>
          </w:p>
        </w:tc>
        <w:tc>
          <w:tcPr>
            <w:tcW w:w="1132" w:type="dxa"/>
            <w:noWrap/>
            <w:hideMark/>
          </w:tcPr>
          <w:p w14:paraId="1BFFB97D"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121345</w:t>
            </w:r>
          </w:p>
        </w:tc>
        <w:tc>
          <w:tcPr>
            <w:tcW w:w="3485" w:type="dxa"/>
            <w:noWrap/>
            <w:hideMark/>
          </w:tcPr>
          <w:p w14:paraId="3C7BBE7C"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Dulag SPED Center</w:t>
            </w:r>
          </w:p>
        </w:tc>
        <w:tc>
          <w:tcPr>
            <w:tcW w:w="1115" w:type="dxa"/>
            <w:noWrap/>
            <w:hideMark/>
          </w:tcPr>
          <w:p w14:paraId="72477F39"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w:t>
            </w:r>
          </w:p>
        </w:tc>
        <w:tc>
          <w:tcPr>
            <w:tcW w:w="1199" w:type="dxa"/>
            <w:noWrap/>
            <w:hideMark/>
          </w:tcPr>
          <w:p w14:paraId="3BE8A84A"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 </w:t>
            </w:r>
          </w:p>
        </w:tc>
      </w:tr>
      <w:tr w:rsidR="008D0CAD" w:rsidRPr="00173FD6" w14:paraId="6F40FE19" w14:textId="77777777" w:rsidTr="00EC48C1">
        <w:trPr>
          <w:trHeight w:val="296"/>
        </w:trPr>
        <w:tc>
          <w:tcPr>
            <w:tcW w:w="909" w:type="dxa"/>
            <w:noWrap/>
            <w:hideMark/>
          </w:tcPr>
          <w:p w14:paraId="27201804"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42</w:t>
            </w:r>
          </w:p>
        </w:tc>
        <w:tc>
          <w:tcPr>
            <w:tcW w:w="1751" w:type="dxa"/>
            <w:noWrap/>
            <w:hideMark/>
          </w:tcPr>
          <w:p w14:paraId="154629F2"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Direct Recipient</w:t>
            </w:r>
          </w:p>
        </w:tc>
        <w:tc>
          <w:tcPr>
            <w:tcW w:w="1184" w:type="dxa"/>
            <w:noWrap/>
            <w:hideMark/>
          </w:tcPr>
          <w:p w14:paraId="3FC3F03F"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REGION VIII</w:t>
            </w:r>
          </w:p>
        </w:tc>
        <w:tc>
          <w:tcPr>
            <w:tcW w:w="1681" w:type="dxa"/>
            <w:noWrap/>
            <w:hideMark/>
          </w:tcPr>
          <w:p w14:paraId="5AE477BA"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Leyte</w:t>
            </w:r>
          </w:p>
        </w:tc>
        <w:tc>
          <w:tcPr>
            <w:tcW w:w="1991" w:type="dxa"/>
            <w:noWrap/>
            <w:hideMark/>
          </w:tcPr>
          <w:p w14:paraId="09D2086B"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Hilongos North</w:t>
            </w:r>
          </w:p>
        </w:tc>
        <w:tc>
          <w:tcPr>
            <w:tcW w:w="1132" w:type="dxa"/>
            <w:noWrap/>
            <w:hideMark/>
          </w:tcPr>
          <w:p w14:paraId="5999AF49"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121365</w:t>
            </w:r>
          </w:p>
        </w:tc>
        <w:tc>
          <w:tcPr>
            <w:tcW w:w="3485" w:type="dxa"/>
            <w:noWrap/>
            <w:hideMark/>
          </w:tcPr>
          <w:p w14:paraId="77E6691F"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Owak Elementary School</w:t>
            </w:r>
          </w:p>
        </w:tc>
        <w:tc>
          <w:tcPr>
            <w:tcW w:w="1115" w:type="dxa"/>
            <w:noWrap/>
            <w:hideMark/>
          </w:tcPr>
          <w:p w14:paraId="5D5BAFCA"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w:t>
            </w:r>
          </w:p>
        </w:tc>
        <w:tc>
          <w:tcPr>
            <w:tcW w:w="1199" w:type="dxa"/>
            <w:noWrap/>
            <w:hideMark/>
          </w:tcPr>
          <w:p w14:paraId="2173B705"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 </w:t>
            </w:r>
          </w:p>
        </w:tc>
      </w:tr>
      <w:tr w:rsidR="008D0CAD" w:rsidRPr="00173FD6" w14:paraId="2EEF296E" w14:textId="77777777" w:rsidTr="00EC48C1">
        <w:trPr>
          <w:trHeight w:val="296"/>
        </w:trPr>
        <w:tc>
          <w:tcPr>
            <w:tcW w:w="909" w:type="dxa"/>
            <w:noWrap/>
            <w:hideMark/>
          </w:tcPr>
          <w:p w14:paraId="2B6109A2"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43</w:t>
            </w:r>
          </w:p>
        </w:tc>
        <w:tc>
          <w:tcPr>
            <w:tcW w:w="1751" w:type="dxa"/>
            <w:noWrap/>
            <w:hideMark/>
          </w:tcPr>
          <w:p w14:paraId="44BB4BC4"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Direct Recipient</w:t>
            </w:r>
          </w:p>
        </w:tc>
        <w:tc>
          <w:tcPr>
            <w:tcW w:w="1184" w:type="dxa"/>
            <w:noWrap/>
            <w:hideMark/>
          </w:tcPr>
          <w:p w14:paraId="605675B8"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REGION VIII</w:t>
            </w:r>
          </w:p>
        </w:tc>
        <w:tc>
          <w:tcPr>
            <w:tcW w:w="1681" w:type="dxa"/>
            <w:noWrap/>
            <w:hideMark/>
          </w:tcPr>
          <w:p w14:paraId="6FEEF3AD"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Leyte</w:t>
            </w:r>
          </w:p>
        </w:tc>
        <w:tc>
          <w:tcPr>
            <w:tcW w:w="1991" w:type="dxa"/>
            <w:noWrap/>
            <w:hideMark/>
          </w:tcPr>
          <w:p w14:paraId="3D0719E7"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Hilongos North</w:t>
            </w:r>
          </w:p>
        </w:tc>
        <w:tc>
          <w:tcPr>
            <w:tcW w:w="1132" w:type="dxa"/>
            <w:noWrap/>
            <w:hideMark/>
          </w:tcPr>
          <w:p w14:paraId="547975AE"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121373</w:t>
            </w:r>
          </w:p>
        </w:tc>
        <w:tc>
          <w:tcPr>
            <w:tcW w:w="3485" w:type="dxa"/>
            <w:noWrap/>
            <w:hideMark/>
          </w:tcPr>
          <w:p w14:paraId="52A467FB"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Tagnate Elementary School</w:t>
            </w:r>
          </w:p>
        </w:tc>
        <w:tc>
          <w:tcPr>
            <w:tcW w:w="1115" w:type="dxa"/>
            <w:noWrap/>
            <w:hideMark/>
          </w:tcPr>
          <w:p w14:paraId="0835E4E0"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w:t>
            </w:r>
          </w:p>
        </w:tc>
        <w:tc>
          <w:tcPr>
            <w:tcW w:w="1199" w:type="dxa"/>
            <w:noWrap/>
            <w:hideMark/>
          </w:tcPr>
          <w:p w14:paraId="169A0CF1"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 </w:t>
            </w:r>
          </w:p>
        </w:tc>
      </w:tr>
      <w:tr w:rsidR="008D0CAD" w:rsidRPr="00173FD6" w14:paraId="3EAE7299" w14:textId="77777777" w:rsidTr="00EC48C1">
        <w:trPr>
          <w:trHeight w:val="296"/>
        </w:trPr>
        <w:tc>
          <w:tcPr>
            <w:tcW w:w="909" w:type="dxa"/>
            <w:noWrap/>
            <w:hideMark/>
          </w:tcPr>
          <w:p w14:paraId="28153D6D"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44</w:t>
            </w:r>
          </w:p>
        </w:tc>
        <w:tc>
          <w:tcPr>
            <w:tcW w:w="1751" w:type="dxa"/>
            <w:noWrap/>
            <w:hideMark/>
          </w:tcPr>
          <w:p w14:paraId="51E2379E"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Indirect Recipient</w:t>
            </w:r>
          </w:p>
        </w:tc>
        <w:tc>
          <w:tcPr>
            <w:tcW w:w="1184" w:type="dxa"/>
            <w:noWrap/>
            <w:hideMark/>
          </w:tcPr>
          <w:p w14:paraId="6E7C8B00"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REGION VIII</w:t>
            </w:r>
          </w:p>
        </w:tc>
        <w:tc>
          <w:tcPr>
            <w:tcW w:w="1681" w:type="dxa"/>
            <w:noWrap/>
            <w:hideMark/>
          </w:tcPr>
          <w:p w14:paraId="3AED80B4" w14:textId="77777777" w:rsidR="008D0CAD" w:rsidRPr="00173FD6" w:rsidRDefault="008D0CAD" w:rsidP="002320B3">
            <w:pPr>
              <w:rPr>
                <w:rFonts w:ascii="Calibri Light" w:hAnsi="Calibri Light" w:cs="Calibri Light"/>
                <w:sz w:val="20"/>
                <w:szCs w:val="20"/>
                <w:lang w:val="en-US"/>
              </w:rPr>
            </w:pPr>
            <w:r w:rsidRPr="00173FD6">
              <w:rPr>
                <w:rFonts w:ascii="Calibri Light" w:hAnsi="Calibri Light" w:cs="Calibri Light"/>
                <w:sz w:val="20"/>
                <w:szCs w:val="20"/>
                <w:lang w:val="en-US"/>
              </w:rPr>
              <w:t>Eastern Samar</w:t>
            </w:r>
          </w:p>
        </w:tc>
        <w:tc>
          <w:tcPr>
            <w:tcW w:w="1991" w:type="dxa"/>
            <w:noWrap/>
            <w:hideMark/>
          </w:tcPr>
          <w:p w14:paraId="446F3D0D" w14:textId="77777777" w:rsidR="008D0CAD" w:rsidRPr="00173FD6" w:rsidRDefault="008D0CAD" w:rsidP="002320B3">
            <w:pPr>
              <w:rPr>
                <w:rFonts w:ascii="Calibri Light" w:hAnsi="Calibri Light" w:cs="Calibri Light"/>
                <w:sz w:val="20"/>
                <w:szCs w:val="20"/>
                <w:lang w:val="en-US"/>
              </w:rPr>
            </w:pPr>
            <w:r w:rsidRPr="00173FD6">
              <w:rPr>
                <w:rFonts w:ascii="Calibri Light" w:hAnsi="Calibri Light" w:cs="Calibri Light"/>
                <w:sz w:val="20"/>
                <w:szCs w:val="20"/>
                <w:lang w:val="en-US"/>
              </w:rPr>
              <w:t>Taft</w:t>
            </w:r>
          </w:p>
        </w:tc>
        <w:tc>
          <w:tcPr>
            <w:tcW w:w="1132" w:type="dxa"/>
            <w:noWrap/>
            <w:hideMark/>
          </w:tcPr>
          <w:p w14:paraId="7A85F662"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122759</w:t>
            </w:r>
          </w:p>
        </w:tc>
        <w:tc>
          <w:tcPr>
            <w:tcW w:w="3485" w:type="dxa"/>
            <w:noWrap/>
            <w:hideMark/>
          </w:tcPr>
          <w:p w14:paraId="004A0591"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Batiawan Elementary School</w:t>
            </w:r>
          </w:p>
        </w:tc>
        <w:tc>
          <w:tcPr>
            <w:tcW w:w="1115" w:type="dxa"/>
            <w:noWrap/>
            <w:hideMark/>
          </w:tcPr>
          <w:p w14:paraId="32C437CF"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w:t>
            </w:r>
          </w:p>
        </w:tc>
        <w:tc>
          <w:tcPr>
            <w:tcW w:w="1199" w:type="dxa"/>
            <w:noWrap/>
            <w:hideMark/>
          </w:tcPr>
          <w:p w14:paraId="2C9DD984"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 </w:t>
            </w:r>
          </w:p>
        </w:tc>
      </w:tr>
      <w:tr w:rsidR="008D0CAD" w:rsidRPr="00173FD6" w14:paraId="428D8CF5" w14:textId="77777777" w:rsidTr="00EC48C1">
        <w:trPr>
          <w:trHeight w:val="296"/>
        </w:trPr>
        <w:tc>
          <w:tcPr>
            <w:tcW w:w="909" w:type="dxa"/>
            <w:noWrap/>
            <w:hideMark/>
          </w:tcPr>
          <w:p w14:paraId="456F22A9"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45</w:t>
            </w:r>
          </w:p>
        </w:tc>
        <w:tc>
          <w:tcPr>
            <w:tcW w:w="1751" w:type="dxa"/>
            <w:noWrap/>
            <w:hideMark/>
          </w:tcPr>
          <w:p w14:paraId="53918762"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Indirect Recipient</w:t>
            </w:r>
          </w:p>
        </w:tc>
        <w:tc>
          <w:tcPr>
            <w:tcW w:w="1184" w:type="dxa"/>
            <w:noWrap/>
            <w:hideMark/>
          </w:tcPr>
          <w:p w14:paraId="11039A37"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REGION VIII</w:t>
            </w:r>
          </w:p>
        </w:tc>
        <w:tc>
          <w:tcPr>
            <w:tcW w:w="1681" w:type="dxa"/>
            <w:noWrap/>
            <w:hideMark/>
          </w:tcPr>
          <w:p w14:paraId="523FDAC4" w14:textId="77777777" w:rsidR="008D0CAD" w:rsidRPr="00173FD6" w:rsidRDefault="008D0CAD" w:rsidP="002320B3">
            <w:pPr>
              <w:rPr>
                <w:rFonts w:ascii="Calibri Light" w:hAnsi="Calibri Light" w:cs="Calibri Light"/>
                <w:sz w:val="20"/>
                <w:szCs w:val="20"/>
                <w:lang w:val="en-US"/>
              </w:rPr>
            </w:pPr>
            <w:r w:rsidRPr="00173FD6">
              <w:rPr>
                <w:rFonts w:ascii="Calibri Light" w:hAnsi="Calibri Light" w:cs="Calibri Light"/>
                <w:sz w:val="20"/>
                <w:szCs w:val="20"/>
                <w:lang w:val="en-US"/>
              </w:rPr>
              <w:t>Leyte</w:t>
            </w:r>
          </w:p>
        </w:tc>
        <w:tc>
          <w:tcPr>
            <w:tcW w:w="1991" w:type="dxa"/>
            <w:noWrap/>
            <w:hideMark/>
          </w:tcPr>
          <w:p w14:paraId="76B8602D" w14:textId="77777777" w:rsidR="008D0CAD" w:rsidRPr="00173FD6" w:rsidRDefault="008D0CAD" w:rsidP="002320B3">
            <w:pPr>
              <w:rPr>
                <w:rFonts w:ascii="Calibri Light" w:hAnsi="Calibri Light" w:cs="Calibri Light"/>
                <w:sz w:val="20"/>
                <w:szCs w:val="20"/>
                <w:lang w:val="en-US"/>
              </w:rPr>
            </w:pPr>
            <w:r w:rsidRPr="00173FD6">
              <w:rPr>
                <w:rFonts w:ascii="Calibri Light" w:hAnsi="Calibri Light" w:cs="Calibri Light"/>
                <w:sz w:val="20"/>
                <w:szCs w:val="20"/>
                <w:lang w:val="en-US"/>
              </w:rPr>
              <w:t>Abuyog South</w:t>
            </w:r>
          </w:p>
        </w:tc>
        <w:tc>
          <w:tcPr>
            <w:tcW w:w="1132" w:type="dxa"/>
            <w:noWrap/>
            <w:hideMark/>
          </w:tcPr>
          <w:p w14:paraId="1A4E896C"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120930</w:t>
            </w:r>
          </w:p>
        </w:tc>
        <w:tc>
          <w:tcPr>
            <w:tcW w:w="3485" w:type="dxa"/>
            <w:noWrap/>
            <w:hideMark/>
          </w:tcPr>
          <w:p w14:paraId="51FABD70" w14:textId="77777777" w:rsidR="008D0CAD" w:rsidRPr="00173FD6" w:rsidRDefault="008D0CAD" w:rsidP="002320B3">
            <w:pPr>
              <w:rPr>
                <w:rFonts w:ascii="Calibri Light" w:hAnsi="Calibri Light" w:cs="Calibri Light"/>
                <w:color w:val="0070C0"/>
                <w:sz w:val="20"/>
                <w:szCs w:val="20"/>
                <w:lang w:val="en-US"/>
              </w:rPr>
            </w:pPr>
            <w:r w:rsidRPr="00173FD6">
              <w:rPr>
                <w:rFonts w:ascii="Calibri Light" w:hAnsi="Calibri Light" w:cs="Calibri Light"/>
                <w:color w:val="0070C0"/>
                <w:sz w:val="20"/>
                <w:szCs w:val="20"/>
                <w:lang w:val="en-US"/>
              </w:rPr>
              <w:t>Maitum Elementary School</w:t>
            </w:r>
          </w:p>
        </w:tc>
        <w:tc>
          <w:tcPr>
            <w:tcW w:w="1115" w:type="dxa"/>
            <w:noWrap/>
            <w:hideMark/>
          </w:tcPr>
          <w:p w14:paraId="1B425D49"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w:t>
            </w:r>
          </w:p>
        </w:tc>
        <w:tc>
          <w:tcPr>
            <w:tcW w:w="1199" w:type="dxa"/>
            <w:noWrap/>
            <w:hideMark/>
          </w:tcPr>
          <w:p w14:paraId="5C018D10"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 </w:t>
            </w:r>
          </w:p>
        </w:tc>
      </w:tr>
      <w:tr w:rsidR="008D0CAD" w:rsidRPr="00173FD6" w14:paraId="106D3263" w14:textId="77777777" w:rsidTr="00EC48C1">
        <w:trPr>
          <w:trHeight w:val="296"/>
        </w:trPr>
        <w:tc>
          <w:tcPr>
            <w:tcW w:w="909" w:type="dxa"/>
            <w:noWrap/>
            <w:hideMark/>
          </w:tcPr>
          <w:p w14:paraId="4B656D4B"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46</w:t>
            </w:r>
          </w:p>
        </w:tc>
        <w:tc>
          <w:tcPr>
            <w:tcW w:w="1751" w:type="dxa"/>
            <w:noWrap/>
            <w:hideMark/>
          </w:tcPr>
          <w:p w14:paraId="0D1EAB5E"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Indirect Recipient</w:t>
            </w:r>
          </w:p>
        </w:tc>
        <w:tc>
          <w:tcPr>
            <w:tcW w:w="1184" w:type="dxa"/>
            <w:noWrap/>
            <w:hideMark/>
          </w:tcPr>
          <w:p w14:paraId="6CA0F5CF"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REGION VIII</w:t>
            </w:r>
          </w:p>
        </w:tc>
        <w:tc>
          <w:tcPr>
            <w:tcW w:w="1681" w:type="dxa"/>
            <w:noWrap/>
            <w:hideMark/>
          </w:tcPr>
          <w:p w14:paraId="7602FD08" w14:textId="77777777" w:rsidR="008D0CAD" w:rsidRPr="00173FD6" w:rsidRDefault="008D0CAD" w:rsidP="002320B3">
            <w:pPr>
              <w:rPr>
                <w:rFonts w:ascii="Calibri Light" w:hAnsi="Calibri Light" w:cs="Calibri Light"/>
                <w:sz w:val="20"/>
                <w:szCs w:val="20"/>
                <w:lang w:val="en-US"/>
              </w:rPr>
            </w:pPr>
            <w:r w:rsidRPr="00173FD6">
              <w:rPr>
                <w:rFonts w:ascii="Calibri Light" w:hAnsi="Calibri Light" w:cs="Calibri Light"/>
                <w:sz w:val="20"/>
                <w:szCs w:val="20"/>
                <w:lang w:val="en-US"/>
              </w:rPr>
              <w:t>Leyte</w:t>
            </w:r>
          </w:p>
        </w:tc>
        <w:tc>
          <w:tcPr>
            <w:tcW w:w="1991" w:type="dxa"/>
            <w:noWrap/>
            <w:hideMark/>
          </w:tcPr>
          <w:p w14:paraId="6BB21F67" w14:textId="77777777" w:rsidR="008D0CAD" w:rsidRPr="00173FD6" w:rsidRDefault="008D0CAD" w:rsidP="002320B3">
            <w:pPr>
              <w:rPr>
                <w:rFonts w:ascii="Calibri Light" w:hAnsi="Calibri Light" w:cs="Calibri Light"/>
                <w:sz w:val="20"/>
                <w:szCs w:val="20"/>
                <w:lang w:val="en-US"/>
              </w:rPr>
            </w:pPr>
            <w:r w:rsidRPr="00173FD6">
              <w:rPr>
                <w:rFonts w:ascii="Calibri Light" w:hAnsi="Calibri Light" w:cs="Calibri Light"/>
                <w:sz w:val="20"/>
                <w:szCs w:val="20"/>
                <w:lang w:val="en-US"/>
              </w:rPr>
              <w:t>Matalom North</w:t>
            </w:r>
          </w:p>
        </w:tc>
        <w:tc>
          <w:tcPr>
            <w:tcW w:w="1132" w:type="dxa"/>
            <w:noWrap/>
            <w:hideMark/>
          </w:tcPr>
          <w:p w14:paraId="2B6BAA3B"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121680</w:t>
            </w:r>
          </w:p>
        </w:tc>
        <w:tc>
          <w:tcPr>
            <w:tcW w:w="3485" w:type="dxa"/>
            <w:noWrap/>
            <w:hideMark/>
          </w:tcPr>
          <w:p w14:paraId="5C6E5DFE"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Pong-on Elementary School</w:t>
            </w:r>
          </w:p>
        </w:tc>
        <w:tc>
          <w:tcPr>
            <w:tcW w:w="1115" w:type="dxa"/>
            <w:noWrap/>
            <w:hideMark/>
          </w:tcPr>
          <w:p w14:paraId="1118BAD5"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1</w:t>
            </w:r>
          </w:p>
        </w:tc>
        <w:tc>
          <w:tcPr>
            <w:tcW w:w="1199" w:type="dxa"/>
            <w:noWrap/>
            <w:hideMark/>
          </w:tcPr>
          <w:p w14:paraId="7CC443E2" w14:textId="77777777" w:rsidR="008D0CAD" w:rsidRPr="00173FD6" w:rsidRDefault="008D0CAD" w:rsidP="002320B3">
            <w:pPr>
              <w:rPr>
                <w:rFonts w:ascii="Calibri Light" w:hAnsi="Calibri Light" w:cs="Calibri Light"/>
                <w:color w:val="000000"/>
                <w:sz w:val="20"/>
                <w:szCs w:val="20"/>
                <w:lang w:val="en-US"/>
              </w:rPr>
            </w:pPr>
            <w:r w:rsidRPr="00173FD6">
              <w:rPr>
                <w:rFonts w:ascii="Calibri Light" w:hAnsi="Calibri Light" w:cs="Calibri Light"/>
                <w:color w:val="000000"/>
                <w:sz w:val="20"/>
                <w:szCs w:val="20"/>
                <w:lang w:val="en-US"/>
              </w:rPr>
              <w:t> </w:t>
            </w:r>
          </w:p>
        </w:tc>
      </w:tr>
    </w:tbl>
    <w:p w14:paraId="4832A80D" w14:textId="77777777" w:rsidR="008D0CAD" w:rsidRPr="00173FD6" w:rsidRDefault="008D0CAD" w:rsidP="002320B3">
      <w:pPr>
        <w:rPr>
          <w:rFonts w:asciiTheme="majorHAnsi" w:hAnsiTheme="majorHAnsi" w:cstheme="majorHAnsi"/>
          <w:lang w:val="en-US"/>
        </w:rPr>
      </w:pPr>
    </w:p>
    <w:p w14:paraId="5A65DB61" w14:textId="77777777" w:rsidR="008D0CAD" w:rsidRPr="00173FD6" w:rsidRDefault="008D0CAD" w:rsidP="002320B3">
      <w:pPr>
        <w:rPr>
          <w:rFonts w:asciiTheme="majorHAnsi" w:hAnsiTheme="majorHAnsi" w:cstheme="majorHAnsi"/>
          <w:lang w:val="en-US"/>
        </w:rPr>
        <w:sectPr w:rsidR="008D0CAD" w:rsidRPr="00173FD6" w:rsidSect="009C64E9">
          <w:pgSz w:w="16840" w:h="11900" w:orient="landscape" w:code="9"/>
          <w:pgMar w:top="1152" w:right="1152" w:bottom="1152" w:left="1152" w:header="720" w:footer="720" w:gutter="0"/>
          <w:cols w:space="720"/>
          <w:docGrid w:linePitch="360"/>
        </w:sectPr>
      </w:pPr>
    </w:p>
    <w:p w14:paraId="109DFE38" w14:textId="77777777" w:rsidR="008D0CAD" w:rsidRPr="00173FD6" w:rsidRDefault="008D0CAD" w:rsidP="002320B3">
      <w:pPr>
        <w:rPr>
          <w:rFonts w:asciiTheme="majorHAnsi" w:hAnsiTheme="majorHAnsi" w:cstheme="majorHAnsi"/>
          <w:b/>
          <w:lang w:val="en-US"/>
        </w:rPr>
      </w:pPr>
    </w:p>
    <w:p w14:paraId="182E65FD" w14:textId="77777777" w:rsidR="008D0CAD" w:rsidRPr="00173FD6" w:rsidRDefault="008D0CAD" w:rsidP="002320B3">
      <w:pPr>
        <w:rPr>
          <w:rFonts w:asciiTheme="majorHAnsi" w:hAnsiTheme="majorHAnsi" w:cstheme="majorHAnsi"/>
          <w:b/>
          <w:lang w:val="en-US"/>
        </w:rPr>
      </w:pPr>
      <w:r w:rsidRPr="00173FD6">
        <w:rPr>
          <w:rFonts w:asciiTheme="majorHAnsi" w:hAnsiTheme="majorHAnsi" w:cstheme="majorHAnsi"/>
          <w:b/>
          <w:lang w:val="en-US"/>
        </w:rPr>
        <w:t>List of Schools that submitted incomplete data sets (35 schools)</w:t>
      </w:r>
    </w:p>
    <w:p w14:paraId="470B64DD" w14:textId="77777777" w:rsidR="008D0CAD" w:rsidRPr="00173FD6" w:rsidRDefault="008D0CAD" w:rsidP="002320B3">
      <w:pPr>
        <w:rPr>
          <w:rFonts w:asciiTheme="majorHAnsi" w:hAnsiTheme="majorHAnsi" w:cstheme="majorHAnsi"/>
          <w:b/>
          <w:lang w:val="en-US"/>
        </w:rPr>
      </w:pPr>
    </w:p>
    <w:tbl>
      <w:tblPr>
        <w:tblStyle w:val="TableGrid11"/>
        <w:tblW w:w="14640" w:type="dxa"/>
        <w:tblLook w:val="04A0" w:firstRow="1" w:lastRow="0" w:firstColumn="1" w:lastColumn="0" w:noHBand="0" w:noVBand="1"/>
      </w:tblPr>
      <w:tblGrid>
        <w:gridCol w:w="1060"/>
        <w:gridCol w:w="2040"/>
        <w:gridCol w:w="1380"/>
        <w:gridCol w:w="2120"/>
        <w:gridCol w:w="2660"/>
        <w:gridCol w:w="1320"/>
        <w:gridCol w:w="4060"/>
      </w:tblGrid>
      <w:tr w:rsidR="008D0CAD" w:rsidRPr="00173FD6" w14:paraId="7092E408" w14:textId="77777777" w:rsidTr="007846B1">
        <w:trPr>
          <w:trHeight w:val="287"/>
          <w:tblHeader/>
        </w:trPr>
        <w:tc>
          <w:tcPr>
            <w:tcW w:w="1060" w:type="dxa"/>
            <w:noWrap/>
            <w:hideMark/>
          </w:tcPr>
          <w:p w14:paraId="1B2956D7" w14:textId="77777777" w:rsidR="008D0CAD" w:rsidRPr="00EC48C1" w:rsidRDefault="008D0CAD" w:rsidP="002320B3">
            <w:pPr>
              <w:rPr>
                <w:rFonts w:asciiTheme="majorHAnsi" w:hAnsiTheme="majorHAnsi" w:cstheme="majorHAnsi"/>
                <w:b/>
                <w:bCs/>
                <w:color w:val="000000"/>
                <w:sz w:val="20"/>
                <w:szCs w:val="20"/>
                <w:lang w:val="en-US"/>
              </w:rPr>
            </w:pPr>
            <w:r w:rsidRPr="00EC48C1">
              <w:rPr>
                <w:rFonts w:asciiTheme="majorHAnsi" w:hAnsiTheme="majorHAnsi" w:cstheme="majorHAnsi"/>
                <w:b/>
                <w:bCs/>
                <w:color w:val="000000"/>
                <w:sz w:val="20"/>
                <w:szCs w:val="20"/>
                <w:lang w:val="en-US"/>
              </w:rPr>
              <w:t>No</w:t>
            </w:r>
          </w:p>
        </w:tc>
        <w:tc>
          <w:tcPr>
            <w:tcW w:w="2040" w:type="dxa"/>
            <w:noWrap/>
            <w:hideMark/>
          </w:tcPr>
          <w:p w14:paraId="1BF546CE" w14:textId="77777777" w:rsidR="008D0CAD" w:rsidRPr="00EC48C1" w:rsidRDefault="008D0CAD" w:rsidP="002320B3">
            <w:pPr>
              <w:rPr>
                <w:rFonts w:asciiTheme="majorHAnsi" w:hAnsiTheme="majorHAnsi" w:cstheme="majorHAnsi"/>
                <w:b/>
                <w:bCs/>
                <w:color w:val="000000"/>
                <w:sz w:val="20"/>
                <w:szCs w:val="20"/>
                <w:lang w:val="en-US"/>
              </w:rPr>
            </w:pPr>
            <w:r w:rsidRPr="00EC48C1">
              <w:rPr>
                <w:rFonts w:asciiTheme="majorHAnsi" w:hAnsiTheme="majorHAnsi" w:cstheme="majorHAnsi"/>
                <w:b/>
                <w:bCs/>
                <w:color w:val="000000"/>
                <w:sz w:val="20"/>
                <w:szCs w:val="20"/>
                <w:lang w:val="en-US"/>
              </w:rPr>
              <w:t>TYPE</w:t>
            </w:r>
          </w:p>
        </w:tc>
        <w:tc>
          <w:tcPr>
            <w:tcW w:w="1380" w:type="dxa"/>
            <w:hideMark/>
          </w:tcPr>
          <w:p w14:paraId="2BAA185D" w14:textId="77777777" w:rsidR="008D0CAD" w:rsidRPr="00EC48C1" w:rsidRDefault="008D0CAD" w:rsidP="002320B3">
            <w:pPr>
              <w:rPr>
                <w:rFonts w:asciiTheme="majorHAnsi" w:hAnsiTheme="majorHAnsi" w:cstheme="majorHAnsi"/>
                <w:b/>
                <w:bCs/>
                <w:sz w:val="20"/>
                <w:szCs w:val="20"/>
                <w:lang w:val="en-US"/>
              </w:rPr>
            </w:pPr>
            <w:r w:rsidRPr="00EC48C1">
              <w:rPr>
                <w:rFonts w:asciiTheme="majorHAnsi" w:hAnsiTheme="majorHAnsi" w:cstheme="majorHAnsi"/>
                <w:b/>
                <w:bCs/>
                <w:sz w:val="20"/>
                <w:szCs w:val="20"/>
                <w:lang w:val="en-US"/>
              </w:rPr>
              <w:t>REGION</w:t>
            </w:r>
          </w:p>
        </w:tc>
        <w:tc>
          <w:tcPr>
            <w:tcW w:w="2120" w:type="dxa"/>
            <w:hideMark/>
          </w:tcPr>
          <w:p w14:paraId="37758539" w14:textId="77777777" w:rsidR="008D0CAD" w:rsidRPr="00EC48C1" w:rsidRDefault="008D0CAD" w:rsidP="002320B3">
            <w:pPr>
              <w:rPr>
                <w:rFonts w:asciiTheme="majorHAnsi" w:hAnsiTheme="majorHAnsi" w:cstheme="majorHAnsi"/>
                <w:b/>
                <w:bCs/>
                <w:sz w:val="20"/>
                <w:szCs w:val="20"/>
                <w:lang w:val="en-US"/>
              </w:rPr>
            </w:pPr>
            <w:r w:rsidRPr="00EC48C1">
              <w:rPr>
                <w:rFonts w:asciiTheme="majorHAnsi" w:hAnsiTheme="majorHAnsi" w:cstheme="majorHAnsi"/>
                <w:b/>
                <w:bCs/>
                <w:sz w:val="20"/>
                <w:szCs w:val="20"/>
                <w:lang w:val="en-US"/>
              </w:rPr>
              <w:t>Division</w:t>
            </w:r>
          </w:p>
        </w:tc>
        <w:tc>
          <w:tcPr>
            <w:tcW w:w="2660" w:type="dxa"/>
            <w:hideMark/>
          </w:tcPr>
          <w:p w14:paraId="3284A297" w14:textId="77777777" w:rsidR="008D0CAD" w:rsidRPr="00EC48C1" w:rsidRDefault="008D0CAD" w:rsidP="002320B3">
            <w:pPr>
              <w:rPr>
                <w:rFonts w:asciiTheme="majorHAnsi" w:hAnsiTheme="majorHAnsi" w:cstheme="majorHAnsi"/>
                <w:b/>
                <w:bCs/>
                <w:sz w:val="20"/>
                <w:szCs w:val="20"/>
                <w:lang w:val="en-US"/>
              </w:rPr>
            </w:pPr>
            <w:r w:rsidRPr="00EC48C1">
              <w:rPr>
                <w:rFonts w:asciiTheme="majorHAnsi" w:hAnsiTheme="majorHAnsi" w:cstheme="majorHAnsi"/>
                <w:b/>
                <w:bCs/>
                <w:sz w:val="20"/>
                <w:szCs w:val="20"/>
                <w:lang w:val="en-US"/>
              </w:rPr>
              <w:t>District</w:t>
            </w:r>
          </w:p>
        </w:tc>
        <w:tc>
          <w:tcPr>
            <w:tcW w:w="1320" w:type="dxa"/>
            <w:noWrap/>
            <w:hideMark/>
          </w:tcPr>
          <w:p w14:paraId="255E4E41" w14:textId="77777777" w:rsidR="008D0CAD" w:rsidRPr="00EC48C1" w:rsidRDefault="008D0CAD" w:rsidP="002320B3">
            <w:pPr>
              <w:rPr>
                <w:rFonts w:asciiTheme="majorHAnsi" w:hAnsiTheme="majorHAnsi" w:cstheme="majorHAnsi"/>
                <w:b/>
                <w:bCs/>
                <w:color w:val="000000"/>
                <w:sz w:val="20"/>
                <w:szCs w:val="20"/>
                <w:lang w:val="en-US"/>
              </w:rPr>
            </w:pPr>
            <w:r w:rsidRPr="00EC48C1">
              <w:rPr>
                <w:rFonts w:asciiTheme="majorHAnsi" w:hAnsiTheme="majorHAnsi" w:cstheme="majorHAnsi"/>
                <w:b/>
                <w:bCs/>
                <w:color w:val="000000"/>
                <w:sz w:val="20"/>
                <w:szCs w:val="20"/>
                <w:lang w:val="en-US"/>
              </w:rPr>
              <w:t>SCHOOL ID</w:t>
            </w:r>
          </w:p>
        </w:tc>
        <w:tc>
          <w:tcPr>
            <w:tcW w:w="4060" w:type="dxa"/>
            <w:hideMark/>
          </w:tcPr>
          <w:p w14:paraId="2DECCD76" w14:textId="77777777" w:rsidR="008D0CAD" w:rsidRPr="00EC48C1" w:rsidRDefault="008D0CAD" w:rsidP="002320B3">
            <w:pPr>
              <w:rPr>
                <w:rFonts w:asciiTheme="majorHAnsi" w:hAnsiTheme="majorHAnsi" w:cstheme="majorHAnsi"/>
                <w:b/>
                <w:bCs/>
                <w:color w:val="000000" w:themeColor="text1"/>
                <w:sz w:val="20"/>
                <w:szCs w:val="20"/>
                <w:lang w:val="en-US"/>
              </w:rPr>
            </w:pPr>
            <w:r w:rsidRPr="00EC48C1">
              <w:rPr>
                <w:rFonts w:asciiTheme="majorHAnsi" w:hAnsiTheme="majorHAnsi" w:cstheme="majorHAnsi"/>
                <w:b/>
                <w:bCs/>
                <w:color w:val="000000" w:themeColor="text1"/>
                <w:sz w:val="20"/>
                <w:szCs w:val="20"/>
                <w:lang w:val="en-US"/>
              </w:rPr>
              <w:t>Name of Schools</w:t>
            </w:r>
          </w:p>
        </w:tc>
      </w:tr>
      <w:tr w:rsidR="008D0CAD" w:rsidRPr="00173FD6" w14:paraId="1A94465E" w14:textId="77777777" w:rsidTr="00EC48C1">
        <w:trPr>
          <w:trHeight w:val="300"/>
        </w:trPr>
        <w:tc>
          <w:tcPr>
            <w:tcW w:w="1060" w:type="dxa"/>
            <w:noWrap/>
            <w:hideMark/>
          </w:tcPr>
          <w:p w14:paraId="4E4301A3"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w:t>
            </w:r>
          </w:p>
        </w:tc>
        <w:tc>
          <w:tcPr>
            <w:tcW w:w="2040" w:type="dxa"/>
            <w:noWrap/>
            <w:hideMark/>
          </w:tcPr>
          <w:p w14:paraId="7BA2B86E"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Direct Recipient</w:t>
            </w:r>
          </w:p>
        </w:tc>
        <w:tc>
          <w:tcPr>
            <w:tcW w:w="1380" w:type="dxa"/>
            <w:noWrap/>
            <w:hideMark/>
          </w:tcPr>
          <w:p w14:paraId="2C8A5B95"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NCR</w:t>
            </w:r>
          </w:p>
        </w:tc>
        <w:tc>
          <w:tcPr>
            <w:tcW w:w="2120" w:type="dxa"/>
            <w:noWrap/>
            <w:hideMark/>
          </w:tcPr>
          <w:p w14:paraId="52E83447"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Quezon City</w:t>
            </w:r>
          </w:p>
        </w:tc>
        <w:tc>
          <w:tcPr>
            <w:tcW w:w="2660" w:type="dxa"/>
            <w:noWrap/>
            <w:hideMark/>
          </w:tcPr>
          <w:p w14:paraId="312A56C5"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School District X</w:t>
            </w:r>
          </w:p>
        </w:tc>
        <w:tc>
          <w:tcPr>
            <w:tcW w:w="1320" w:type="dxa"/>
            <w:noWrap/>
            <w:hideMark/>
          </w:tcPr>
          <w:p w14:paraId="404F8847"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136564</w:t>
            </w:r>
          </w:p>
        </w:tc>
        <w:tc>
          <w:tcPr>
            <w:tcW w:w="4060" w:type="dxa"/>
            <w:noWrap/>
            <w:hideMark/>
          </w:tcPr>
          <w:p w14:paraId="462BD4EC" w14:textId="77777777" w:rsidR="008D0CAD" w:rsidRPr="00173FD6" w:rsidRDefault="008D0CAD" w:rsidP="002320B3">
            <w:pPr>
              <w:rPr>
                <w:rFonts w:asciiTheme="majorHAnsi" w:hAnsiTheme="majorHAnsi" w:cstheme="majorHAnsi"/>
                <w:color w:val="000000" w:themeColor="text1"/>
                <w:sz w:val="20"/>
                <w:szCs w:val="20"/>
                <w:lang w:val="en-US"/>
              </w:rPr>
            </w:pPr>
            <w:r w:rsidRPr="00173FD6">
              <w:rPr>
                <w:rFonts w:asciiTheme="majorHAnsi" w:hAnsiTheme="majorHAnsi" w:cstheme="majorHAnsi"/>
                <w:color w:val="000000" w:themeColor="text1"/>
                <w:sz w:val="20"/>
                <w:szCs w:val="20"/>
                <w:lang w:val="en-US"/>
              </w:rPr>
              <w:t>Pura V. Kalaw Elementary School</w:t>
            </w:r>
          </w:p>
        </w:tc>
      </w:tr>
      <w:tr w:rsidR="008D0CAD" w:rsidRPr="00173FD6" w14:paraId="2D558332" w14:textId="77777777" w:rsidTr="00EC48C1">
        <w:trPr>
          <w:trHeight w:val="300"/>
        </w:trPr>
        <w:tc>
          <w:tcPr>
            <w:tcW w:w="1060" w:type="dxa"/>
            <w:noWrap/>
            <w:hideMark/>
          </w:tcPr>
          <w:p w14:paraId="455C3574"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2</w:t>
            </w:r>
          </w:p>
        </w:tc>
        <w:tc>
          <w:tcPr>
            <w:tcW w:w="2040" w:type="dxa"/>
            <w:noWrap/>
            <w:hideMark/>
          </w:tcPr>
          <w:p w14:paraId="7D7B6A8B"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Indirect Recipient</w:t>
            </w:r>
          </w:p>
        </w:tc>
        <w:tc>
          <w:tcPr>
            <w:tcW w:w="1380" w:type="dxa"/>
            <w:noWrap/>
            <w:hideMark/>
          </w:tcPr>
          <w:p w14:paraId="02B35AAC"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NCR</w:t>
            </w:r>
          </w:p>
        </w:tc>
        <w:tc>
          <w:tcPr>
            <w:tcW w:w="2120" w:type="dxa"/>
            <w:noWrap/>
            <w:hideMark/>
          </w:tcPr>
          <w:p w14:paraId="35AA3BD9"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Quezon City</w:t>
            </w:r>
          </w:p>
        </w:tc>
        <w:tc>
          <w:tcPr>
            <w:tcW w:w="2660" w:type="dxa"/>
            <w:noWrap/>
            <w:hideMark/>
          </w:tcPr>
          <w:p w14:paraId="5EC6B29F"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School District XVIII</w:t>
            </w:r>
          </w:p>
        </w:tc>
        <w:tc>
          <w:tcPr>
            <w:tcW w:w="1320" w:type="dxa"/>
            <w:noWrap/>
            <w:hideMark/>
          </w:tcPr>
          <w:p w14:paraId="07BF76D9"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136537</w:t>
            </w:r>
          </w:p>
        </w:tc>
        <w:tc>
          <w:tcPr>
            <w:tcW w:w="4060" w:type="dxa"/>
            <w:noWrap/>
            <w:hideMark/>
          </w:tcPr>
          <w:p w14:paraId="573F2AB0" w14:textId="77777777" w:rsidR="008D0CAD" w:rsidRPr="00173FD6" w:rsidRDefault="008D0CAD" w:rsidP="002320B3">
            <w:pPr>
              <w:rPr>
                <w:rFonts w:asciiTheme="majorHAnsi" w:hAnsiTheme="majorHAnsi" w:cstheme="majorHAnsi"/>
                <w:color w:val="000000" w:themeColor="text1"/>
                <w:sz w:val="20"/>
                <w:szCs w:val="20"/>
                <w:lang w:val="en-US"/>
              </w:rPr>
            </w:pPr>
            <w:r w:rsidRPr="00173FD6">
              <w:rPr>
                <w:rFonts w:asciiTheme="majorHAnsi" w:hAnsiTheme="majorHAnsi" w:cstheme="majorHAnsi"/>
                <w:color w:val="000000" w:themeColor="text1"/>
                <w:sz w:val="20"/>
                <w:szCs w:val="20"/>
                <w:lang w:val="en-US"/>
              </w:rPr>
              <w:t>North Fairview Elementary School</w:t>
            </w:r>
          </w:p>
        </w:tc>
      </w:tr>
      <w:tr w:rsidR="008D0CAD" w:rsidRPr="00173FD6" w14:paraId="24FA39EF" w14:textId="77777777" w:rsidTr="00EC48C1">
        <w:trPr>
          <w:trHeight w:val="300"/>
        </w:trPr>
        <w:tc>
          <w:tcPr>
            <w:tcW w:w="1060" w:type="dxa"/>
            <w:noWrap/>
            <w:hideMark/>
          </w:tcPr>
          <w:p w14:paraId="4496E629"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3</w:t>
            </w:r>
          </w:p>
        </w:tc>
        <w:tc>
          <w:tcPr>
            <w:tcW w:w="2040" w:type="dxa"/>
            <w:noWrap/>
            <w:hideMark/>
          </w:tcPr>
          <w:p w14:paraId="6C089A4B"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Direct Recipient</w:t>
            </w:r>
          </w:p>
        </w:tc>
        <w:tc>
          <w:tcPr>
            <w:tcW w:w="1380" w:type="dxa"/>
            <w:noWrap/>
            <w:hideMark/>
          </w:tcPr>
          <w:p w14:paraId="21142290"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REGION V</w:t>
            </w:r>
          </w:p>
        </w:tc>
        <w:tc>
          <w:tcPr>
            <w:tcW w:w="2120" w:type="dxa"/>
            <w:noWrap/>
            <w:hideMark/>
          </w:tcPr>
          <w:p w14:paraId="1C7EB6C5"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Camarines Sur</w:t>
            </w:r>
          </w:p>
        </w:tc>
        <w:tc>
          <w:tcPr>
            <w:tcW w:w="2660" w:type="dxa"/>
            <w:noWrap/>
            <w:hideMark/>
          </w:tcPr>
          <w:p w14:paraId="44366FD8"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Balatan</w:t>
            </w:r>
          </w:p>
        </w:tc>
        <w:tc>
          <w:tcPr>
            <w:tcW w:w="1320" w:type="dxa"/>
            <w:noWrap/>
            <w:hideMark/>
          </w:tcPr>
          <w:p w14:paraId="776D87DC"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112344</w:t>
            </w:r>
          </w:p>
        </w:tc>
        <w:tc>
          <w:tcPr>
            <w:tcW w:w="4060" w:type="dxa"/>
            <w:noWrap/>
            <w:hideMark/>
          </w:tcPr>
          <w:p w14:paraId="4001ED52" w14:textId="77777777" w:rsidR="008D0CAD" w:rsidRPr="00173FD6" w:rsidRDefault="008D0CAD" w:rsidP="002320B3">
            <w:pPr>
              <w:rPr>
                <w:rFonts w:asciiTheme="majorHAnsi" w:hAnsiTheme="majorHAnsi" w:cstheme="majorHAnsi"/>
                <w:color w:val="000000" w:themeColor="text1"/>
                <w:sz w:val="20"/>
                <w:szCs w:val="20"/>
                <w:lang w:val="en-US"/>
              </w:rPr>
            </w:pPr>
            <w:r w:rsidRPr="00173FD6">
              <w:rPr>
                <w:rFonts w:asciiTheme="majorHAnsi" w:hAnsiTheme="majorHAnsi" w:cstheme="majorHAnsi"/>
                <w:color w:val="000000" w:themeColor="text1"/>
                <w:sz w:val="20"/>
                <w:szCs w:val="20"/>
                <w:lang w:val="en-US"/>
              </w:rPr>
              <w:t>Balatan Central School</w:t>
            </w:r>
          </w:p>
        </w:tc>
      </w:tr>
      <w:tr w:rsidR="008D0CAD" w:rsidRPr="00173FD6" w14:paraId="787B6CF4" w14:textId="77777777" w:rsidTr="00EC48C1">
        <w:trPr>
          <w:trHeight w:val="300"/>
        </w:trPr>
        <w:tc>
          <w:tcPr>
            <w:tcW w:w="1060" w:type="dxa"/>
            <w:noWrap/>
            <w:hideMark/>
          </w:tcPr>
          <w:p w14:paraId="2E8D42D1"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4</w:t>
            </w:r>
          </w:p>
        </w:tc>
        <w:tc>
          <w:tcPr>
            <w:tcW w:w="2040" w:type="dxa"/>
            <w:noWrap/>
            <w:hideMark/>
          </w:tcPr>
          <w:p w14:paraId="7C492037"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Direct Recipient</w:t>
            </w:r>
          </w:p>
        </w:tc>
        <w:tc>
          <w:tcPr>
            <w:tcW w:w="1380" w:type="dxa"/>
            <w:noWrap/>
            <w:hideMark/>
          </w:tcPr>
          <w:p w14:paraId="1C65EB73"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REGION V</w:t>
            </w:r>
          </w:p>
        </w:tc>
        <w:tc>
          <w:tcPr>
            <w:tcW w:w="2120" w:type="dxa"/>
            <w:noWrap/>
            <w:hideMark/>
          </w:tcPr>
          <w:p w14:paraId="0D064BDC"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Camarines Sur</w:t>
            </w:r>
          </w:p>
        </w:tc>
        <w:tc>
          <w:tcPr>
            <w:tcW w:w="2660" w:type="dxa"/>
            <w:noWrap/>
            <w:hideMark/>
          </w:tcPr>
          <w:p w14:paraId="4598E96C"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Bula</w:t>
            </w:r>
          </w:p>
        </w:tc>
        <w:tc>
          <w:tcPr>
            <w:tcW w:w="1320" w:type="dxa"/>
            <w:noWrap/>
            <w:hideMark/>
          </w:tcPr>
          <w:p w14:paraId="163FBE69"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112428</w:t>
            </w:r>
          </w:p>
        </w:tc>
        <w:tc>
          <w:tcPr>
            <w:tcW w:w="4060" w:type="dxa"/>
            <w:noWrap/>
            <w:hideMark/>
          </w:tcPr>
          <w:p w14:paraId="26788462" w14:textId="77777777" w:rsidR="008D0CAD" w:rsidRPr="00173FD6" w:rsidRDefault="008D0CAD" w:rsidP="002320B3">
            <w:pPr>
              <w:rPr>
                <w:rFonts w:asciiTheme="majorHAnsi" w:hAnsiTheme="majorHAnsi" w:cstheme="majorHAnsi"/>
                <w:color w:val="000000" w:themeColor="text1"/>
                <w:sz w:val="20"/>
                <w:szCs w:val="20"/>
                <w:lang w:val="en-US"/>
              </w:rPr>
            </w:pPr>
            <w:r w:rsidRPr="00173FD6">
              <w:rPr>
                <w:rFonts w:asciiTheme="majorHAnsi" w:hAnsiTheme="majorHAnsi" w:cstheme="majorHAnsi"/>
                <w:color w:val="000000" w:themeColor="text1"/>
                <w:sz w:val="20"/>
                <w:szCs w:val="20"/>
                <w:lang w:val="en-US"/>
              </w:rPr>
              <w:t>Caorasan Elementary School</w:t>
            </w:r>
          </w:p>
        </w:tc>
      </w:tr>
      <w:tr w:rsidR="008D0CAD" w:rsidRPr="00173FD6" w14:paraId="37290547" w14:textId="77777777" w:rsidTr="00EC48C1">
        <w:trPr>
          <w:trHeight w:val="300"/>
        </w:trPr>
        <w:tc>
          <w:tcPr>
            <w:tcW w:w="1060" w:type="dxa"/>
            <w:noWrap/>
            <w:hideMark/>
          </w:tcPr>
          <w:p w14:paraId="320FC62D"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5</w:t>
            </w:r>
          </w:p>
        </w:tc>
        <w:tc>
          <w:tcPr>
            <w:tcW w:w="2040" w:type="dxa"/>
            <w:noWrap/>
            <w:hideMark/>
          </w:tcPr>
          <w:p w14:paraId="223277CD"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Direct Recipient</w:t>
            </w:r>
          </w:p>
        </w:tc>
        <w:tc>
          <w:tcPr>
            <w:tcW w:w="1380" w:type="dxa"/>
            <w:noWrap/>
            <w:hideMark/>
          </w:tcPr>
          <w:p w14:paraId="052AC9F2"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REGION V</w:t>
            </w:r>
          </w:p>
        </w:tc>
        <w:tc>
          <w:tcPr>
            <w:tcW w:w="2120" w:type="dxa"/>
            <w:noWrap/>
            <w:hideMark/>
          </w:tcPr>
          <w:p w14:paraId="5591ED8E"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Camarines Sur</w:t>
            </w:r>
          </w:p>
        </w:tc>
        <w:tc>
          <w:tcPr>
            <w:tcW w:w="2660" w:type="dxa"/>
            <w:noWrap/>
            <w:hideMark/>
          </w:tcPr>
          <w:p w14:paraId="5A53339B"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Goa</w:t>
            </w:r>
          </w:p>
        </w:tc>
        <w:tc>
          <w:tcPr>
            <w:tcW w:w="1320" w:type="dxa"/>
            <w:noWrap/>
            <w:hideMark/>
          </w:tcPr>
          <w:p w14:paraId="44EFA50A"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112616</w:t>
            </w:r>
          </w:p>
        </w:tc>
        <w:tc>
          <w:tcPr>
            <w:tcW w:w="4060" w:type="dxa"/>
            <w:noWrap/>
            <w:hideMark/>
          </w:tcPr>
          <w:p w14:paraId="389B4168" w14:textId="77777777" w:rsidR="008D0CAD" w:rsidRPr="00173FD6" w:rsidRDefault="008D0CAD" w:rsidP="002320B3">
            <w:pPr>
              <w:rPr>
                <w:rFonts w:asciiTheme="majorHAnsi" w:hAnsiTheme="majorHAnsi" w:cstheme="majorHAnsi"/>
                <w:color w:val="000000" w:themeColor="text1"/>
                <w:sz w:val="20"/>
                <w:szCs w:val="20"/>
                <w:lang w:val="en-US"/>
              </w:rPr>
            </w:pPr>
            <w:r w:rsidRPr="00173FD6">
              <w:rPr>
                <w:rFonts w:asciiTheme="majorHAnsi" w:hAnsiTheme="majorHAnsi" w:cstheme="majorHAnsi"/>
                <w:color w:val="000000" w:themeColor="text1"/>
                <w:sz w:val="20"/>
                <w:szCs w:val="20"/>
                <w:lang w:val="en-US"/>
              </w:rPr>
              <w:t>Buyo Impact Elementary School</w:t>
            </w:r>
          </w:p>
        </w:tc>
      </w:tr>
      <w:tr w:rsidR="008D0CAD" w:rsidRPr="00173FD6" w14:paraId="1238E43C" w14:textId="77777777" w:rsidTr="00EC48C1">
        <w:trPr>
          <w:trHeight w:val="300"/>
        </w:trPr>
        <w:tc>
          <w:tcPr>
            <w:tcW w:w="1060" w:type="dxa"/>
            <w:noWrap/>
            <w:hideMark/>
          </w:tcPr>
          <w:p w14:paraId="3BBC4E1C"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6</w:t>
            </w:r>
          </w:p>
        </w:tc>
        <w:tc>
          <w:tcPr>
            <w:tcW w:w="2040" w:type="dxa"/>
            <w:noWrap/>
            <w:hideMark/>
          </w:tcPr>
          <w:p w14:paraId="420D4F6E"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Direct Recipient</w:t>
            </w:r>
          </w:p>
        </w:tc>
        <w:tc>
          <w:tcPr>
            <w:tcW w:w="1380" w:type="dxa"/>
            <w:noWrap/>
            <w:hideMark/>
          </w:tcPr>
          <w:p w14:paraId="13ACFED6"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REGION V</w:t>
            </w:r>
          </w:p>
        </w:tc>
        <w:tc>
          <w:tcPr>
            <w:tcW w:w="2120" w:type="dxa"/>
            <w:noWrap/>
            <w:hideMark/>
          </w:tcPr>
          <w:p w14:paraId="6EB92358"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Camarines Sur</w:t>
            </w:r>
          </w:p>
        </w:tc>
        <w:tc>
          <w:tcPr>
            <w:tcW w:w="2660" w:type="dxa"/>
            <w:noWrap/>
            <w:hideMark/>
          </w:tcPr>
          <w:p w14:paraId="4F8DCB5F"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Nabua West</w:t>
            </w:r>
          </w:p>
        </w:tc>
        <w:tc>
          <w:tcPr>
            <w:tcW w:w="1320" w:type="dxa"/>
            <w:noWrap/>
            <w:hideMark/>
          </w:tcPr>
          <w:p w14:paraId="0DBFE4A4"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112835</w:t>
            </w:r>
          </w:p>
        </w:tc>
        <w:tc>
          <w:tcPr>
            <w:tcW w:w="4060" w:type="dxa"/>
            <w:noWrap/>
            <w:hideMark/>
          </w:tcPr>
          <w:p w14:paraId="15B314FD" w14:textId="77777777" w:rsidR="008D0CAD" w:rsidRPr="00173FD6" w:rsidRDefault="008D0CAD" w:rsidP="002320B3">
            <w:pPr>
              <w:rPr>
                <w:rFonts w:asciiTheme="majorHAnsi" w:hAnsiTheme="majorHAnsi" w:cstheme="majorHAnsi"/>
                <w:color w:val="000000" w:themeColor="text1"/>
                <w:sz w:val="20"/>
                <w:szCs w:val="20"/>
                <w:lang w:val="en-US"/>
              </w:rPr>
            </w:pPr>
            <w:r w:rsidRPr="00173FD6">
              <w:rPr>
                <w:rFonts w:asciiTheme="majorHAnsi" w:hAnsiTheme="majorHAnsi" w:cstheme="majorHAnsi"/>
                <w:color w:val="000000" w:themeColor="text1"/>
                <w:sz w:val="20"/>
                <w:szCs w:val="20"/>
                <w:lang w:val="en-US"/>
              </w:rPr>
              <w:t>Inapatan Elementary School</w:t>
            </w:r>
          </w:p>
        </w:tc>
      </w:tr>
      <w:tr w:rsidR="008D0CAD" w:rsidRPr="00173FD6" w14:paraId="58312827" w14:textId="77777777" w:rsidTr="00EC48C1">
        <w:trPr>
          <w:trHeight w:val="300"/>
        </w:trPr>
        <w:tc>
          <w:tcPr>
            <w:tcW w:w="1060" w:type="dxa"/>
            <w:noWrap/>
            <w:hideMark/>
          </w:tcPr>
          <w:p w14:paraId="2B989FB9"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7</w:t>
            </w:r>
          </w:p>
        </w:tc>
        <w:tc>
          <w:tcPr>
            <w:tcW w:w="2040" w:type="dxa"/>
            <w:noWrap/>
            <w:hideMark/>
          </w:tcPr>
          <w:p w14:paraId="19345274"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Direct Recipient</w:t>
            </w:r>
          </w:p>
        </w:tc>
        <w:tc>
          <w:tcPr>
            <w:tcW w:w="1380" w:type="dxa"/>
            <w:noWrap/>
            <w:hideMark/>
          </w:tcPr>
          <w:p w14:paraId="074BE23E"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REGION V</w:t>
            </w:r>
          </w:p>
        </w:tc>
        <w:tc>
          <w:tcPr>
            <w:tcW w:w="2120" w:type="dxa"/>
            <w:noWrap/>
            <w:hideMark/>
          </w:tcPr>
          <w:p w14:paraId="05331D8C"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Camarines Sur</w:t>
            </w:r>
          </w:p>
        </w:tc>
        <w:tc>
          <w:tcPr>
            <w:tcW w:w="2660" w:type="dxa"/>
            <w:noWrap/>
            <w:hideMark/>
          </w:tcPr>
          <w:p w14:paraId="1501401B"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Pili</w:t>
            </w:r>
          </w:p>
        </w:tc>
        <w:tc>
          <w:tcPr>
            <w:tcW w:w="1320" w:type="dxa"/>
            <w:noWrap/>
            <w:hideMark/>
          </w:tcPr>
          <w:p w14:paraId="6C0500C8"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112920</w:t>
            </w:r>
          </w:p>
        </w:tc>
        <w:tc>
          <w:tcPr>
            <w:tcW w:w="4060" w:type="dxa"/>
            <w:noWrap/>
            <w:hideMark/>
          </w:tcPr>
          <w:p w14:paraId="16FBE29C" w14:textId="77777777" w:rsidR="008D0CAD" w:rsidRPr="00173FD6" w:rsidRDefault="008D0CAD" w:rsidP="002320B3">
            <w:pPr>
              <w:rPr>
                <w:rFonts w:asciiTheme="majorHAnsi" w:hAnsiTheme="majorHAnsi" w:cstheme="majorHAnsi"/>
                <w:color w:val="000000" w:themeColor="text1"/>
                <w:sz w:val="20"/>
                <w:szCs w:val="20"/>
                <w:lang w:val="en-US"/>
              </w:rPr>
            </w:pPr>
            <w:r w:rsidRPr="00173FD6">
              <w:rPr>
                <w:rFonts w:asciiTheme="majorHAnsi" w:hAnsiTheme="majorHAnsi" w:cstheme="majorHAnsi"/>
                <w:color w:val="000000" w:themeColor="text1"/>
                <w:sz w:val="20"/>
                <w:szCs w:val="20"/>
                <w:lang w:val="en-US"/>
              </w:rPr>
              <w:t>Binanuaanan Norte Elementary School</w:t>
            </w:r>
          </w:p>
        </w:tc>
      </w:tr>
      <w:tr w:rsidR="008D0CAD" w:rsidRPr="00173FD6" w14:paraId="34830D25" w14:textId="77777777" w:rsidTr="00EC48C1">
        <w:trPr>
          <w:trHeight w:val="300"/>
        </w:trPr>
        <w:tc>
          <w:tcPr>
            <w:tcW w:w="1060" w:type="dxa"/>
            <w:noWrap/>
            <w:hideMark/>
          </w:tcPr>
          <w:p w14:paraId="70DE43D2"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8</w:t>
            </w:r>
          </w:p>
        </w:tc>
        <w:tc>
          <w:tcPr>
            <w:tcW w:w="2040" w:type="dxa"/>
            <w:noWrap/>
            <w:hideMark/>
          </w:tcPr>
          <w:p w14:paraId="19DCBF76"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Direct Recipient</w:t>
            </w:r>
          </w:p>
        </w:tc>
        <w:tc>
          <w:tcPr>
            <w:tcW w:w="1380" w:type="dxa"/>
            <w:noWrap/>
            <w:hideMark/>
          </w:tcPr>
          <w:p w14:paraId="44A9C232"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REGION V</w:t>
            </w:r>
          </w:p>
        </w:tc>
        <w:tc>
          <w:tcPr>
            <w:tcW w:w="2120" w:type="dxa"/>
            <w:noWrap/>
            <w:hideMark/>
          </w:tcPr>
          <w:p w14:paraId="3F8BD813"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Iriga City</w:t>
            </w:r>
          </w:p>
        </w:tc>
        <w:tc>
          <w:tcPr>
            <w:tcW w:w="2660" w:type="dxa"/>
            <w:noWrap/>
            <w:hideMark/>
          </w:tcPr>
          <w:p w14:paraId="72ED178F"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Iriga Central District</w:t>
            </w:r>
          </w:p>
        </w:tc>
        <w:tc>
          <w:tcPr>
            <w:tcW w:w="1320" w:type="dxa"/>
            <w:noWrap/>
            <w:hideMark/>
          </w:tcPr>
          <w:p w14:paraId="0CADADCE"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114418</w:t>
            </w:r>
          </w:p>
        </w:tc>
        <w:tc>
          <w:tcPr>
            <w:tcW w:w="4060" w:type="dxa"/>
            <w:noWrap/>
            <w:hideMark/>
          </w:tcPr>
          <w:p w14:paraId="7DF17E31" w14:textId="77777777" w:rsidR="008D0CAD" w:rsidRPr="00173FD6" w:rsidRDefault="008D0CAD" w:rsidP="002320B3">
            <w:pPr>
              <w:rPr>
                <w:rFonts w:asciiTheme="majorHAnsi" w:hAnsiTheme="majorHAnsi" w:cstheme="majorHAnsi"/>
                <w:color w:val="000000" w:themeColor="text1"/>
                <w:sz w:val="20"/>
                <w:szCs w:val="20"/>
                <w:lang w:val="en-US"/>
              </w:rPr>
            </w:pPr>
            <w:r w:rsidRPr="00173FD6">
              <w:rPr>
                <w:rFonts w:asciiTheme="majorHAnsi" w:hAnsiTheme="majorHAnsi" w:cstheme="majorHAnsi"/>
                <w:color w:val="000000" w:themeColor="text1"/>
                <w:sz w:val="20"/>
                <w:szCs w:val="20"/>
                <w:lang w:val="en-US"/>
              </w:rPr>
              <w:t>Don Lazaro Madara Memorial School</w:t>
            </w:r>
          </w:p>
        </w:tc>
      </w:tr>
      <w:tr w:rsidR="008D0CAD" w:rsidRPr="00173FD6" w14:paraId="4FA3DC63" w14:textId="77777777" w:rsidTr="00EC48C1">
        <w:trPr>
          <w:trHeight w:val="300"/>
        </w:trPr>
        <w:tc>
          <w:tcPr>
            <w:tcW w:w="1060" w:type="dxa"/>
            <w:noWrap/>
            <w:hideMark/>
          </w:tcPr>
          <w:p w14:paraId="229C1B49"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9</w:t>
            </w:r>
          </w:p>
        </w:tc>
        <w:tc>
          <w:tcPr>
            <w:tcW w:w="2040" w:type="dxa"/>
            <w:noWrap/>
            <w:hideMark/>
          </w:tcPr>
          <w:p w14:paraId="59CF8700"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Direct Recipient</w:t>
            </w:r>
          </w:p>
        </w:tc>
        <w:tc>
          <w:tcPr>
            <w:tcW w:w="1380" w:type="dxa"/>
            <w:noWrap/>
            <w:hideMark/>
          </w:tcPr>
          <w:p w14:paraId="097AEFC8"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REGION V</w:t>
            </w:r>
          </w:p>
        </w:tc>
        <w:tc>
          <w:tcPr>
            <w:tcW w:w="2120" w:type="dxa"/>
            <w:noWrap/>
            <w:hideMark/>
          </w:tcPr>
          <w:p w14:paraId="4C4D8AE5"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Sorsogon</w:t>
            </w:r>
          </w:p>
        </w:tc>
        <w:tc>
          <w:tcPr>
            <w:tcW w:w="2660" w:type="dxa"/>
            <w:noWrap/>
            <w:hideMark/>
          </w:tcPr>
          <w:p w14:paraId="55D658B8"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Bulan South</w:t>
            </w:r>
          </w:p>
        </w:tc>
        <w:tc>
          <w:tcPr>
            <w:tcW w:w="1320" w:type="dxa"/>
            <w:noWrap/>
            <w:hideMark/>
          </w:tcPr>
          <w:p w14:paraId="1B166968"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114034</w:t>
            </w:r>
          </w:p>
        </w:tc>
        <w:tc>
          <w:tcPr>
            <w:tcW w:w="4060" w:type="dxa"/>
            <w:noWrap/>
            <w:hideMark/>
          </w:tcPr>
          <w:p w14:paraId="45D67719" w14:textId="77777777" w:rsidR="008D0CAD" w:rsidRPr="00173FD6" w:rsidRDefault="008D0CAD" w:rsidP="002320B3">
            <w:pPr>
              <w:rPr>
                <w:rFonts w:asciiTheme="majorHAnsi" w:hAnsiTheme="majorHAnsi" w:cstheme="majorHAnsi"/>
                <w:color w:val="000000" w:themeColor="text1"/>
                <w:sz w:val="20"/>
                <w:szCs w:val="20"/>
                <w:lang w:val="en-US"/>
              </w:rPr>
            </w:pPr>
            <w:r w:rsidRPr="00173FD6">
              <w:rPr>
                <w:rFonts w:asciiTheme="majorHAnsi" w:hAnsiTheme="majorHAnsi" w:cstheme="majorHAnsi"/>
                <w:color w:val="000000" w:themeColor="text1"/>
                <w:sz w:val="20"/>
                <w:szCs w:val="20"/>
                <w:lang w:val="en-US"/>
              </w:rPr>
              <w:t>Bulan south Central School</w:t>
            </w:r>
          </w:p>
        </w:tc>
      </w:tr>
      <w:tr w:rsidR="008D0CAD" w:rsidRPr="00173FD6" w14:paraId="40EF9B00" w14:textId="77777777" w:rsidTr="00EC48C1">
        <w:trPr>
          <w:trHeight w:val="300"/>
        </w:trPr>
        <w:tc>
          <w:tcPr>
            <w:tcW w:w="1060" w:type="dxa"/>
            <w:noWrap/>
            <w:hideMark/>
          </w:tcPr>
          <w:p w14:paraId="5C4AA7CA"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10</w:t>
            </w:r>
          </w:p>
        </w:tc>
        <w:tc>
          <w:tcPr>
            <w:tcW w:w="2040" w:type="dxa"/>
            <w:noWrap/>
            <w:hideMark/>
          </w:tcPr>
          <w:p w14:paraId="3713EAD1"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Direct Recipient</w:t>
            </w:r>
          </w:p>
        </w:tc>
        <w:tc>
          <w:tcPr>
            <w:tcW w:w="1380" w:type="dxa"/>
            <w:noWrap/>
            <w:hideMark/>
          </w:tcPr>
          <w:p w14:paraId="12242620"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REGION V</w:t>
            </w:r>
          </w:p>
        </w:tc>
        <w:tc>
          <w:tcPr>
            <w:tcW w:w="2120" w:type="dxa"/>
            <w:noWrap/>
            <w:hideMark/>
          </w:tcPr>
          <w:p w14:paraId="0FD75712"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Sorsogon</w:t>
            </w:r>
          </w:p>
        </w:tc>
        <w:tc>
          <w:tcPr>
            <w:tcW w:w="2660" w:type="dxa"/>
            <w:noWrap/>
            <w:hideMark/>
          </w:tcPr>
          <w:p w14:paraId="5333FEEA"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Bulan South</w:t>
            </w:r>
          </w:p>
        </w:tc>
        <w:tc>
          <w:tcPr>
            <w:tcW w:w="1320" w:type="dxa"/>
            <w:noWrap/>
            <w:hideMark/>
          </w:tcPr>
          <w:p w14:paraId="0CC74BC0"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114038</w:t>
            </w:r>
          </w:p>
        </w:tc>
        <w:tc>
          <w:tcPr>
            <w:tcW w:w="4060" w:type="dxa"/>
            <w:noWrap/>
            <w:hideMark/>
          </w:tcPr>
          <w:p w14:paraId="54B1B813" w14:textId="77777777" w:rsidR="008D0CAD" w:rsidRPr="00173FD6" w:rsidRDefault="008D0CAD" w:rsidP="002320B3">
            <w:pPr>
              <w:rPr>
                <w:rFonts w:asciiTheme="majorHAnsi" w:hAnsiTheme="majorHAnsi" w:cstheme="majorHAnsi"/>
                <w:color w:val="000000" w:themeColor="text1"/>
                <w:sz w:val="20"/>
                <w:szCs w:val="20"/>
                <w:lang w:val="en-US"/>
              </w:rPr>
            </w:pPr>
            <w:r w:rsidRPr="00173FD6">
              <w:rPr>
                <w:rFonts w:asciiTheme="majorHAnsi" w:hAnsiTheme="majorHAnsi" w:cstheme="majorHAnsi"/>
                <w:color w:val="000000" w:themeColor="text1"/>
                <w:sz w:val="20"/>
                <w:szCs w:val="20"/>
                <w:lang w:val="en-US"/>
              </w:rPr>
              <w:t>G. Del Pilar Elementary School</w:t>
            </w:r>
          </w:p>
        </w:tc>
      </w:tr>
      <w:tr w:rsidR="008D0CAD" w:rsidRPr="00173FD6" w14:paraId="468E201F" w14:textId="77777777" w:rsidTr="00EC48C1">
        <w:trPr>
          <w:trHeight w:val="300"/>
        </w:trPr>
        <w:tc>
          <w:tcPr>
            <w:tcW w:w="1060" w:type="dxa"/>
            <w:noWrap/>
            <w:hideMark/>
          </w:tcPr>
          <w:p w14:paraId="431A30A2"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11</w:t>
            </w:r>
          </w:p>
        </w:tc>
        <w:tc>
          <w:tcPr>
            <w:tcW w:w="2040" w:type="dxa"/>
            <w:noWrap/>
            <w:hideMark/>
          </w:tcPr>
          <w:p w14:paraId="5EC88453"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Direct Recipient</w:t>
            </w:r>
          </w:p>
        </w:tc>
        <w:tc>
          <w:tcPr>
            <w:tcW w:w="1380" w:type="dxa"/>
            <w:noWrap/>
            <w:hideMark/>
          </w:tcPr>
          <w:p w14:paraId="4D895D50"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REGION V</w:t>
            </w:r>
          </w:p>
        </w:tc>
        <w:tc>
          <w:tcPr>
            <w:tcW w:w="2120" w:type="dxa"/>
            <w:noWrap/>
            <w:hideMark/>
          </w:tcPr>
          <w:p w14:paraId="29CD94E4"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Sorsogon</w:t>
            </w:r>
          </w:p>
        </w:tc>
        <w:tc>
          <w:tcPr>
            <w:tcW w:w="2660" w:type="dxa"/>
            <w:noWrap/>
            <w:hideMark/>
          </w:tcPr>
          <w:p w14:paraId="4ED5A59A"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Casiguran</w:t>
            </w:r>
          </w:p>
        </w:tc>
        <w:tc>
          <w:tcPr>
            <w:tcW w:w="1320" w:type="dxa"/>
            <w:noWrap/>
            <w:hideMark/>
          </w:tcPr>
          <w:p w14:paraId="753ED651"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114089</w:t>
            </w:r>
          </w:p>
        </w:tc>
        <w:tc>
          <w:tcPr>
            <w:tcW w:w="4060" w:type="dxa"/>
            <w:noWrap/>
            <w:hideMark/>
          </w:tcPr>
          <w:p w14:paraId="06B0C54F" w14:textId="77777777" w:rsidR="008D0CAD" w:rsidRPr="00173FD6" w:rsidRDefault="008D0CAD" w:rsidP="002320B3">
            <w:pPr>
              <w:rPr>
                <w:rFonts w:asciiTheme="majorHAnsi" w:hAnsiTheme="majorHAnsi" w:cstheme="majorHAnsi"/>
                <w:color w:val="000000" w:themeColor="text1"/>
                <w:sz w:val="20"/>
                <w:szCs w:val="20"/>
                <w:lang w:val="en-US"/>
              </w:rPr>
            </w:pPr>
            <w:r w:rsidRPr="00173FD6">
              <w:rPr>
                <w:rFonts w:asciiTheme="majorHAnsi" w:hAnsiTheme="majorHAnsi" w:cstheme="majorHAnsi"/>
                <w:color w:val="000000" w:themeColor="text1"/>
                <w:sz w:val="20"/>
                <w:szCs w:val="20"/>
                <w:lang w:val="en-US"/>
              </w:rPr>
              <w:t>Ponong Elementary School</w:t>
            </w:r>
          </w:p>
        </w:tc>
      </w:tr>
      <w:tr w:rsidR="008D0CAD" w:rsidRPr="00173FD6" w14:paraId="61F01261" w14:textId="77777777" w:rsidTr="00EC48C1">
        <w:trPr>
          <w:trHeight w:val="300"/>
        </w:trPr>
        <w:tc>
          <w:tcPr>
            <w:tcW w:w="1060" w:type="dxa"/>
            <w:noWrap/>
            <w:hideMark/>
          </w:tcPr>
          <w:p w14:paraId="5573167C"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12</w:t>
            </w:r>
          </w:p>
        </w:tc>
        <w:tc>
          <w:tcPr>
            <w:tcW w:w="2040" w:type="dxa"/>
            <w:noWrap/>
            <w:hideMark/>
          </w:tcPr>
          <w:p w14:paraId="3B3268FE"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Direct Recipient</w:t>
            </w:r>
          </w:p>
        </w:tc>
        <w:tc>
          <w:tcPr>
            <w:tcW w:w="1380" w:type="dxa"/>
            <w:noWrap/>
            <w:hideMark/>
          </w:tcPr>
          <w:p w14:paraId="17F298DD"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REGION VI</w:t>
            </w:r>
          </w:p>
        </w:tc>
        <w:tc>
          <w:tcPr>
            <w:tcW w:w="2120" w:type="dxa"/>
            <w:noWrap/>
            <w:hideMark/>
          </w:tcPr>
          <w:p w14:paraId="50DF1FCA"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Antique</w:t>
            </w:r>
          </w:p>
        </w:tc>
        <w:tc>
          <w:tcPr>
            <w:tcW w:w="2660" w:type="dxa"/>
            <w:noWrap/>
            <w:hideMark/>
          </w:tcPr>
          <w:p w14:paraId="1AD3697E"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Sebaste</w:t>
            </w:r>
          </w:p>
        </w:tc>
        <w:tc>
          <w:tcPr>
            <w:tcW w:w="1320" w:type="dxa"/>
            <w:noWrap/>
            <w:hideMark/>
          </w:tcPr>
          <w:p w14:paraId="3B82C9D6"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115285</w:t>
            </w:r>
          </w:p>
        </w:tc>
        <w:tc>
          <w:tcPr>
            <w:tcW w:w="4060" w:type="dxa"/>
            <w:noWrap/>
            <w:hideMark/>
          </w:tcPr>
          <w:p w14:paraId="2385E006" w14:textId="77777777" w:rsidR="008D0CAD" w:rsidRPr="00173FD6" w:rsidRDefault="008D0CAD" w:rsidP="002320B3">
            <w:pPr>
              <w:rPr>
                <w:rFonts w:asciiTheme="majorHAnsi" w:hAnsiTheme="majorHAnsi" w:cstheme="majorHAnsi"/>
                <w:color w:val="000000" w:themeColor="text1"/>
                <w:sz w:val="20"/>
                <w:szCs w:val="20"/>
                <w:lang w:val="en-US"/>
              </w:rPr>
            </w:pPr>
            <w:r w:rsidRPr="00173FD6">
              <w:rPr>
                <w:rFonts w:asciiTheme="majorHAnsi" w:hAnsiTheme="majorHAnsi" w:cstheme="majorHAnsi"/>
                <w:color w:val="000000" w:themeColor="text1"/>
                <w:sz w:val="20"/>
                <w:szCs w:val="20"/>
                <w:lang w:val="en-US"/>
              </w:rPr>
              <w:t>Sebaste Central School</w:t>
            </w:r>
          </w:p>
        </w:tc>
      </w:tr>
      <w:tr w:rsidR="008D0CAD" w:rsidRPr="00173FD6" w14:paraId="0BC7A050" w14:textId="77777777" w:rsidTr="00EC48C1">
        <w:trPr>
          <w:trHeight w:val="300"/>
        </w:trPr>
        <w:tc>
          <w:tcPr>
            <w:tcW w:w="1060" w:type="dxa"/>
            <w:noWrap/>
            <w:hideMark/>
          </w:tcPr>
          <w:p w14:paraId="51FE0906"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13</w:t>
            </w:r>
          </w:p>
        </w:tc>
        <w:tc>
          <w:tcPr>
            <w:tcW w:w="2040" w:type="dxa"/>
            <w:noWrap/>
            <w:hideMark/>
          </w:tcPr>
          <w:p w14:paraId="19AD19B4"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Direct Recipient</w:t>
            </w:r>
          </w:p>
        </w:tc>
        <w:tc>
          <w:tcPr>
            <w:tcW w:w="1380" w:type="dxa"/>
            <w:noWrap/>
            <w:hideMark/>
          </w:tcPr>
          <w:p w14:paraId="20BFBECC"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REGION VI</w:t>
            </w:r>
          </w:p>
        </w:tc>
        <w:tc>
          <w:tcPr>
            <w:tcW w:w="2120" w:type="dxa"/>
            <w:noWrap/>
            <w:hideMark/>
          </w:tcPr>
          <w:p w14:paraId="7707589F"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Antique</w:t>
            </w:r>
          </w:p>
        </w:tc>
        <w:tc>
          <w:tcPr>
            <w:tcW w:w="2660" w:type="dxa"/>
            <w:noWrap/>
            <w:hideMark/>
          </w:tcPr>
          <w:p w14:paraId="6FDFB4A9"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Sibalom South</w:t>
            </w:r>
          </w:p>
        </w:tc>
        <w:tc>
          <w:tcPr>
            <w:tcW w:w="1320" w:type="dxa"/>
            <w:noWrap/>
            <w:hideMark/>
          </w:tcPr>
          <w:p w14:paraId="74229C9F"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115327</w:t>
            </w:r>
          </w:p>
        </w:tc>
        <w:tc>
          <w:tcPr>
            <w:tcW w:w="4060" w:type="dxa"/>
            <w:noWrap/>
            <w:hideMark/>
          </w:tcPr>
          <w:p w14:paraId="6EDF68E2" w14:textId="77777777" w:rsidR="008D0CAD" w:rsidRPr="00173FD6" w:rsidRDefault="008D0CAD" w:rsidP="002320B3">
            <w:pPr>
              <w:rPr>
                <w:rFonts w:asciiTheme="majorHAnsi" w:hAnsiTheme="majorHAnsi" w:cstheme="majorHAnsi"/>
                <w:color w:val="000000" w:themeColor="text1"/>
                <w:sz w:val="20"/>
                <w:szCs w:val="20"/>
                <w:lang w:val="en-US"/>
              </w:rPr>
            </w:pPr>
            <w:r w:rsidRPr="00173FD6">
              <w:rPr>
                <w:rFonts w:asciiTheme="majorHAnsi" w:hAnsiTheme="majorHAnsi" w:cstheme="majorHAnsi"/>
                <w:color w:val="000000" w:themeColor="text1"/>
                <w:sz w:val="20"/>
                <w:szCs w:val="20"/>
                <w:lang w:val="en-US"/>
              </w:rPr>
              <w:t>Nagdayao Elementary School</w:t>
            </w:r>
          </w:p>
        </w:tc>
      </w:tr>
      <w:tr w:rsidR="008D0CAD" w:rsidRPr="00173FD6" w14:paraId="3C120894" w14:textId="77777777" w:rsidTr="00EC48C1">
        <w:trPr>
          <w:trHeight w:val="300"/>
        </w:trPr>
        <w:tc>
          <w:tcPr>
            <w:tcW w:w="1060" w:type="dxa"/>
            <w:noWrap/>
            <w:hideMark/>
          </w:tcPr>
          <w:p w14:paraId="045DDA6F"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14</w:t>
            </w:r>
          </w:p>
        </w:tc>
        <w:tc>
          <w:tcPr>
            <w:tcW w:w="2040" w:type="dxa"/>
            <w:noWrap/>
            <w:hideMark/>
          </w:tcPr>
          <w:p w14:paraId="1F917EBC"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Direct Recipient</w:t>
            </w:r>
          </w:p>
        </w:tc>
        <w:tc>
          <w:tcPr>
            <w:tcW w:w="1380" w:type="dxa"/>
            <w:noWrap/>
            <w:hideMark/>
          </w:tcPr>
          <w:p w14:paraId="2BB7C4CB"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REGION VI</w:t>
            </w:r>
          </w:p>
        </w:tc>
        <w:tc>
          <w:tcPr>
            <w:tcW w:w="2120" w:type="dxa"/>
            <w:noWrap/>
            <w:hideMark/>
          </w:tcPr>
          <w:p w14:paraId="44057910"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Iloilo</w:t>
            </w:r>
          </w:p>
        </w:tc>
        <w:tc>
          <w:tcPr>
            <w:tcW w:w="2660" w:type="dxa"/>
            <w:noWrap/>
            <w:hideMark/>
          </w:tcPr>
          <w:p w14:paraId="21022212"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Anilao</w:t>
            </w:r>
          </w:p>
        </w:tc>
        <w:tc>
          <w:tcPr>
            <w:tcW w:w="1320" w:type="dxa"/>
            <w:noWrap/>
            <w:hideMark/>
          </w:tcPr>
          <w:p w14:paraId="69E1DC69"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115982</w:t>
            </w:r>
          </w:p>
        </w:tc>
        <w:tc>
          <w:tcPr>
            <w:tcW w:w="4060" w:type="dxa"/>
            <w:noWrap/>
            <w:hideMark/>
          </w:tcPr>
          <w:p w14:paraId="18D19A1D" w14:textId="77777777" w:rsidR="008D0CAD" w:rsidRPr="00173FD6" w:rsidRDefault="008D0CAD" w:rsidP="002320B3">
            <w:pPr>
              <w:rPr>
                <w:rFonts w:asciiTheme="majorHAnsi" w:hAnsiTheme="majorHAnsi" w:cstheme="majorHAnsi"/>
                <w:color w:val="000000" w:themeColor="text1"/>
                <w:sz w:val="20"/>
                <w:szCs w:val="20"/>
                <w:lang w:val="en-US"/>
              </w:rPr>
            </w:pPr>
            <w:r w:rsidRPr="00173FD6">
              <w:rPr>
                <w:rFonts w:asciiTheme="majorHAnsi" w:hAnsiTheme="majorHAnsi" w:cstheme="majorHAnsi"/>
                <w:color w:val="000000" w:themeColor="text1"/>
                <w:sz w:val="20"/>
                <w:szCs w:val="20"/>
                <w:lang w:val="en-US"/>
              </w:rPr>
              <w:t>Dangula-an Elementary School</w:t>
            </w:r>
          </w:p>
        </w:tc>
      </w:tr>
      <w:tr w:rsidR="008D0CAD" w:rsidRPr="00173FD6" w14:paraId="7AE95D8B" w14:textId="77777777" w:rsidTr="00EC48C1">
        <w:trPr>
          <w:trHeight w:val="300"/>
        </w:trPr>
        <w:tc>
          <w:tcPr>
            <w:tcW w:w="1060" w:type="dxa"/>
            <w:noWrap/>
            <w:hideMark/>
          </w:tcPr>
          <w:p w14:paraId="1ADFD888"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15</w:t>
            </w:r>
          </w:p>
        </w:tc>
        <w:tc>
          <w:tcPr>
            <w:tcW w:w="2040" w:type="dxa"/>
            <w:noWrap/>
            <w:hideMark/>
          </w:tcPr>
          <w:p w14:paraId="188286D1"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Direct Recipient</w:t>
            </w:r>
          </w:p>
        </w:tc>
        <w:tc>
          <w:tcPr>
            <w:tcW w:w="1380" w:type="dxa"/>
            <w:noWrap/>
            <w:hideMark/>
          </w:tcPr>
          <w:p w14:paraId="627AB63F"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REGION VI</w:t>
            </w:r>
          </w:p>
        </w:tc>
        <w:tc>
          <w:tcPr>
            <w:tcW w:w="2120" w:type="dxa"/>
            <w:noWrap/>
            <w:hideMark/>
          </w:tcPr>
          <w:p w14:paraId="18AE832E"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Iloilo</w:t>
            </w:r>
          </w:p>
        </w:tc>
        <w:tc>
          <w:tcPr>
            <w:tcW w:w="2660" w:type="dxa"/>
            <w:noWrap/>
            <w:hideMark/>
          </w:tcPr>
          <w:p w14:paraId="79EB2B96"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Lambunao East</w:t>
            </w:r>
          </w:p>
        </w:tc>
        <w:tc>
          <w:tcPr>
            <w:tcW w:w="1320" w:type="dxa"/>
            <w:noWrap/>
            <w:hideMark/>
          </w:tcPr>
          <w:p w14:paraId="4DF41C51"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116430</w:t>
            </w:r>
          </w:p>
        </w:tc>
        <w:tc>
          <w:tcPr>
            <w:tcW w:w="4060" w:type="dxa"/>
            <w:noWrap/>
            <w:hideMark/>
          </w:tcPr>
          <w:p w14:paraId="28EF2EF6" w14:textId="77777777" w:rsidR="008D0CAD" w:rsidRPr="00173FD6" w:rsidRDefault="008D0CAD" w:rsidP="002320B3">
            <w:pPr>
              <w:rPr>
                <w:rFonts w:asciiTheme="majorHAnsi" w:hAnsiTheme="majorHAnsi" w:cstheme="majorHAnsi"/>
                <w:color w:val="000000" w:themeColor="text1"/>
                <w:sz w:val="20"/>
                <w:szCs w:val="20"/>
                <w:lang w:val="en-US"/>
              </w:rPr>
            </w:pPr>
            <w:r w:rsidRPr="00173FD6">
              <w:rPr>
                <w:rFonts w:asciiTheme="majorHAnsi" w:hAnsiTheme="majorHAnsi" w:cstheme="majorHAnsi"/>
                <w:color w:val="000000" w:themeColor="text1"/>
                <w:sz w:val="20"/>
                <w:szCs w:val="20"/>
                <w:lang w:val="en-US"/>
              </w:rPr>
              <w:t>Jorog Elementary School</w:t>
            </w:r>
          </w:p>
        </w:tc>
      </w:tr>
      <w:tr w:rsidR="008D0CAD" w:rsidRPr="00173FD6" w14:paraId="28A74F2B" w14:textId="77777777" w:rsidTr="00EC48C1">
        <w:trPr>
          <w:trHeight w:val="300"/>
        </w:trPr>
        <w:tc>
          <w:tcPr>
            <w:tcW w:w="1060" w:type="dxa"/>
            <w:noWrap/>
            <w:hideMark/>
          </w:tcPr>
          <w:p w14:paraId="65B696F4"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16</w:t>
            </w:r>
          </w:p>
        </w:tc>
        <w:tc>
          <w:tcPr>
            <w:tcW w:w="2040" w:type="dxa"/>
            <w:noWrap/>
            <w:hideMark/>
          </w:tcPr>
          <w:p w14:paraId="28C9F96A"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Direct Recipient</w:t>
            </w:r>
          </w:p>
        </w:tc>
        <w:tc>
          <w:tcPr>
            <w:tcW w:w="1380" w:type="dxa"/>
            <w:noWrap/>
            <w:hideMark/>
          </w:tcPr>
          <w:p w14:paraId="67722B20"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REGION VI</w:t>
            </w:r>
          </w:p>
        </w:tc>
        <w:tc>
          <w:tcPr>
            <w:tcW w:w="2120" w:type="dxa"/>
            <w:noWrap/>
            <w:hideMark/>
          </w:tcPr>
          <w:p w14:paraId="21ED5FBD"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Iloilo</w:t>
            </w:r>
          </w:p>
        </w:tc>
        <w:tc>
          <w:tcPr>
            <w:tcW w:w="2660" w:type="dxa"/>
            <w:noWrap/>
            <w:hideMark/>
          </w:tcPr>
          <w:p w14:paraId="2A7EABD4"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Lambunao East</w:t>
            </w:r>
          </w:p>
        </w:tc>
        <w:tc>
          <w:tcPr>
            <w:tcW w:w="1320" w:type="dxa"/>
            <w:noWrap/>
            <w:hideMark/>
          </w:tcPr>
          <w:p w14:paraId="5892B982"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116423</w:t>
            </w:r>
          </w:p>
        </w:tc>
        <w:tc>
          <w:tcPr>
            <w:tcW w:w="4060" w:type="dxa"/>
            <w:noWrap/>
            <w:hideMark/>
          </w:tcPr>
          <w:p w14:paraId="0FE393BC" w14:textId="77777777" w:rsidR="008D0CAD" w:rsidRPr="00173FD6" w:rsidRDefault="008D0CAD" w:rsidP="002320B3">
            <w:pPr>
              <w:rPr>
                <w:rFonts w:asciiTheme="majorHAnsi" w:hAnsiTheme="majorHAnsi" w:cstheme="majorHAnsi"/>
                <w:color w:val="000000" w:themeColor="text1"/>
                <w:sz w:val="20"/>
                <w:szCs w:val="20"/>
                <w:lang w:val="en-US"/>
              </w:rPr>
            </w:pPr>
            <w:r w:rsidRPr="00173FD6">
              <w:rPr>
                <w:rFonts w:asciiTheme="majorHAnsi" w:hAnsiTheme="majorHAnsi" w:cstheme="majorHAnsi"/>
                <w:color w:val="000000" w:themeColor="text1"/>
                <w:sz w:val="20"/>
                <w:szCs w:val="20"/>
                <w:lang w:val="en-US"/>
              </w:rPr>
              <w:t>Agtuman Elementary School</w:t>
            </w:r>
          </w:p>
        </w:tc>
      </w:tr>
      <w:tr w:rsidR="008D0CAD" w:rsidRPr="00173FD6" w14:paraId="606FE04E" w14:textId="77777777" w:rsidTr="00EC48C1">
        <w:trPr>
          <w:trHeight w:val="300"/>
        </w:trPr>
        <w:tc>
          <w:tcPr>
            <w:tcW w:w="1060" w:type="dxa"/>
            <w:noWrap/>
            <w:hideMark/>
          </w:tcPr>
          <w:p w14:paraId="3594DD1E"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17</w:t>
            </w:r>
          </w:p>
        </w:tc>
        <w:tc>
          <w:tcPr>
            <w:tcW w:w="2040" w:type="dxa"/>
            <w:noWrap/>
            <w:hideMark/>
          </w:tcPr>
          <w:p w14:paraId="2AF3A017"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Indirect Recipient</w:t>
            </w:r>
          </w:p>
        </w:tc>
        <w:tc>
          <w:tcPr>
            <w:tcW w:w="1380" w:type="dxa"/>
            <w:noWrap/>
            <w:hideMark/>
          </w:tcPr>
          <w:p w14:paraId="5F51642D"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REGION VI</w:t>
            </w:r>
          </w:p>
        </w:tc>
        <w:tc>
          <w:tcPr>
            <w:tcW w:w="2120" w:type="dxa"/>
            <w:noWrap/>
            <w:hideMark/>
          </w:tcPr>
          <w:p w14:paraId="507CF9AC"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Antique</w:t>
            </w:r>
          </w:p>
        </w:tc>
        <w:tc>
          <w:tcPr>
            <w:tcW w:w="2660" w:type="dxa"/>
            <w:noWrap/>
            <w:hideMark/>
          </w:tcPr>
          <w:p w14:paraId="658327D4"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Sibalom South</w:t>
            </w:r>
          </w:p>
        </w:tc>
        <w:tc>
          <w:tcPr>
            <w:tcW w:w="1320" w:type="dxa"/>
            <w:noWrap/>
            <w:hideMark/>
          </w:tcPr>
          <w:p w14:paraId="739BE2E1"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115321</w:t>
            </w:r>
          </w:p>
        </w:tc>
        <w:tc>
          <w:tcPr>
            <w:tcW w:w="4060" w:type="dxa"/>
            <w:noWrap/>
            <w:hideMark/>
          </w:tcPr>
          <w:p w14:paraId="3E5BBD09" w14:textId="77777777" w:rsidR="008D0CAD" w:rsidRPr="00173FD6" w:rsidRDefault="008D0CAD" w:rsidP="002320B3">
            <w:pPr>
              <w:rPr>
                <w:rFonts w:asciiTheme="majorHAnsi" w:hAnsiTheme="majorHAnsi" w:cstheme="majorHAnsi"/>
                <w:color w:val="000000" w:themeColor="text1"/>
                <w:sz w:val="20"/>
                <w:szCs w:val="20"/>
                <w:lang w:val="en-US"/>
              </w:rPr>
            </w:pPr>
            <w:r w:rsidRPr="00173FD6">
              <w:rPr>
                <w:rFonts w:asciiTheme="majorHAnsi" w:hAnsiTheme="majorHAnsi" w:cstheme="majorHAnsi"/>
                <w:color w:val="000000" w:themeColor="text1"/>
                <w:sz w:val="20"/>
                <w:szCs w:val="20"/>
                <w:lang w:val="en-US"/>
              </w:rPr>
              <w:t>Initan Elementary School</w:t>
            </w:r>
          </w:p>
        </w:tc>
      </w:tr>
      <w:tr w:rsidR="008D0CAD" w:rsidRPr="00173FD6" w14:paraId="379C8F03" w14:textId="77777777" w:rsidTr="00EC48C1">
        <w:trPr>
          <w:trHeight w:val="320"/>
        </w:trPr>
        <w:tc>
          <w:tcPr>
            <w:tcW w:w="1060" w:type="dxa"/>
            <w:noWrap/>
            <w:hideMark/>
          </w:tcPr>
          <w:p w14:paraId="3EFCE89A"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18</w:t>
            </w:r>
          </w:p>
        </w:tc>
        <w:tc>
          <w:tcPr>
            <w:tcW w:w="2040" w:type="dxa"/>
            <w:noWrap/>
            <w:hideMark/>
          </w:tcPr>
          <w:p w14:paraId="077434BD"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Direct Recipient</w:t>
            </w:r>
          </w:p>
        </w:tc>
        <w:tc>
          <w:tcPr>
            <w:tcW w:w="1380" w:type="dxa"/>
            <w:noWrap/>
            <w:hideMark/>
          </w:tcPr>
          <w:p w14:paraId="1017F381"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REGION VII</w:t>
            </w:r>
          </w:p>
        </w:tc>
        <w:tc>
          <w:tcPr>
            <w:tcW w:w="2120" w:type="dxa"/>
            <w:noWrap/>
            <w:hideMark/>
          </w:tcPr>
          <w:p w14:paraId="01E5623A"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City of Naga, Cebu</w:t>
            </w:r>
          </w:p>
        </w:tc>
        <w:tc>
          <w:tcPr>
            <w:tcW w:w="2660" w:type="dxa"/>
            <w:noWrap/>
            <w:hideMark/>
          </w:tcPr>
          <w:p w14:paraId="57F5EDB0"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Naga II</w:t>
            </w:r>
          </w:p>
        </w:tc>
        <w:tc>
          <w:tcPr>
            <w:tcW w:w="1320" w:type="dxa"/>
            <w:noWrap/>
            <w:hideMark/>
          </w:tcPr>
          <w:p w14:paraId="10AC4FA3"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187030</w:t>
            </w:r>
          </w:p>
        </w:tc>
        <w:tc>
          <w:tcPr>
            <w:tcW w:w="4060" w:type="dxa"/>
            <w:hideMark/>
          </w:tcPr>
          <w:p w14:paraId="3D77CA66" w14:textId="77777777" w:rsidR="008D0CAD" w:rsidRPr="00173FD6" w:rsidRDefault="008D0CAD" w:rsidP="002320B3">
            <w:pPr>
              <w:rPr>
                <w:rFonts w:asciiTheme="majorHAnsi" w:hAnsiTheme="majorHAnsi" w:cstheme="majorHAnsi"/>
                <w:color w:val="000000" w:themeColor="text1"/>
                <w:sz w:val="20"/>
                <w:szCs w:val="20"/>
                <w:lang w:val="en-US"/>
              </w:rPr>
            </w:pPr>
            <w:r w:rsidRPr="00173FD6">
              <w:rPr>
                <w:rFonts w:asciiTheme="majorHAnsi" w:hAnsiTheme="majorHAnsi" w:cstheme="majorHAnsi"/>
                <w:color w:val="000000" w:themeColor="text1"/>
                <w:sz w:val="20"/>
                <w:szCs w:val="20"/>
                <w:lang w:val="en-US"/>
              </w:rPr>
              <w:t>Inoburan Elementary School</w:t>
            </w:r>
          </w:p>
        </w:tc>
      </w:tr>
      <w:tr w:rsidR="008D0CAD" w:rsidRPr="00173FD6" w14:paraId="3F35BF27" w14:textId="77777777" w:rsidTr="00EC48C1">
        <w:trPr>
          <w:trHeight w:val="300"/>
        </w:trPr>
        <w:tc>
          <w:tcPr>
            <w:tcW w:w="1060" w:type="dxa"/>
            <w:noWrap/>
            <w:hideMark/>
          </w:tcPr>
          <w:p w14:paraId="0C272568"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19</w:t>
            </w:r>
          </w:p>
        </w:tc>
        <w:tc>
          <w:tcPr>
            <w:tcW w:w="2040" w:type="dxa"/>
            <w:noWrap/>
            <w:hideMark/>
          </w:tcPr>
          <w:p w14:paraId="54D2CCEA"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Indirect Recipient</w:t>
            </w:r>
          </w:p>
        </w:tc>
        <w:tc>
          <w:tcPr>
            <w:tcW w:w="1380" w:type="dxa"/>
            <w:noWrap/>
            <w:hideMark/>
          </w:tcPr>
          <w:p w14:paraId="360C0772"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REGION VII</w:t>
            </w:r>
          </w:p>
        </w:tc>
        <w:tc>
          <w:tcPr>
            <w:tcW w:w="2120" w:type="dxa"/>
            <w:noWrap/>
            <w:hideMark/>
          </w:tcPr>
          <w:p w14:paraId="06868379"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Cebu</w:t>
            </w:r>
          </w:p>
        </w:tc>
        <w:tc>
          <w:tcPr>
            <w:tcW w:w="2660" w:type="dxa"/>
            <w:noWrap/>
            <w:hideMark/>
          </w:tcPr>
          <w:p w14:paraId="716E7160"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Malabuyoc</w:t>
            </w:r>
          </w:p>
        </w:tc>
        <w:tc>
          <w:tcPr>
            <w:tcW w:w="1320" w:type="dxa"/>
            <w:noWrap/>
            <w:hideMark/>
          </w:tcPr>
          <w:p w14:paraId="35006776"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119447</w:t>
            </w:r>
          </w:p>
        </w:tc>
        <w:tc>
          <w:tcPr>
            <w:tcW w:w="4060" w:type="dxa"/>
            <w:noWrap/>
            <w:hideMark/>
          </w:tcPr>
          <w:p w14:paraId="6B8DEFCF" w14:textId="77777777" w:rsidR="008D0CAD" w:rsidRPr="00173FD6" w:rsidRDefault="008D0CAD" w:rsidP="002320B3">
            <w:pPr>
              <w:rPr>
                <w:rFonts w:asciiTheme="majorHAnsi" w:hAnsiTheme="majorHAnsi" w:cstheme="majorHAnsi"/>
                <w:color w:val="000000" w:themeColor="text1"/>
                <w:sz w:val="20"/>
                <w:szCs w:val="20"/>
                <w:lang w:val="en-US"/>
              </w:rPr>
            </w:pPr>
            <w:r w:rsidRPr="00173FD6">
              <w:rPr>
                <w:rFonts w:asciiTheme="majorHAnsi" w:hAnsiTheme="majorHAnsi" w:cstheme="majorHAnsi"/>
                <w:color w:val="000000" w:themeColor="text1"/>
                <w:sz w:val="20"/>
                <w:szCs w:val="20"/>
                <w:lang w:val="en-US"/>
              </w:rPr>
              <w:t>Montañeza Elementary School</w:t>
            </w:r>
          </w:p>
        </w:tc>
      </w:tr>
      <w:tr w:rsidR="008D0CAD" w:rsidRPr="00173FD6" w14:paraId="56229D2E" w14:textId="77777777" w:rsidTr="00EC48C1">
        <w:trPr>
          <w:trHeight w:val="300"/>
        </w:trPr>
        <w:tc>
          <w:tcPr>
            <w:tcW w:w="1060" w:type="dxa"/>
            <w:noWrap/>
            <w:hideMark/>
          </w:tcPr>
          <w:p w14:paraId="0BF304D3"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20</w:t>
            </w:r>
          </w:p>
        </w:tc>
        <w:tc>
          <w:tcPr>
            <w:tcW w:w="2040" w:type="dxa"/>
            <w:noWrap/>
            <w:hideMark/>
          </w:tcPr>
          <w:p w14:paraId="050CDB56"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Direct Recipient</w:t>
            </w:r>
          </w:p>
        </w:tc>
        <w:tc>
          <w:tcPr>
            <w:tcW w:w="1380" w:type="dxa"/>
            <w:noWrap/>
            <w:hideMark/>
          </w:tcPr>
          <w:p w14:paraId="59472D0F"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REGION VIII</w:t>
            </w:r>
          </w:p>
        </w:tc>
        <w:tc>
          <w:tcPr>
            <w:tcW w:w="2120" w:type="dxa"/>
            <w:noWrap/>
            <w:hideMark/>
          </w:tcPr>
          <w:p w14:paraId="1A9888D8"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Eastern Samar</w:t>
            </w:r>
          </w:p>
        </w:tc>
        <w:tc>
          <w:tcPr>
            <w:tcW w:w="2660" w:type="dxa"/>
            <w:noWrap/>
            <w:hideMark/>
          </w:tcPr>
          <w:p w14:paraId="68C68BA0"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Dolores I</w:t>
            </w:r>
          </w:p>
        </w:tc>
        <w:tc>
          <w:tcPr>
            <w:tcW w:w="1320" w:type="dxa"/>
            <w:noWrap/>
            <w:hideMark/>
          </w:tcPr>
          <w:p w14:paraId="23E76C11"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122430</w:t>
            </w:r>
          </w:p>
        </w:tc>
        <w:tc>
          <w:tcPr>
            <w:tcW w:w="4060" w:type="dxa"/>
            <w:noWrap/>
            <w:hideMark/>
          </w:tcPr>
          <w:p w14:paraId="00299415" w14:textId="77777777" w:rsidR="008D0CAD" w:rsidRPr="00173FD6" w:rsidRDefault="008D0CAD" w:rsidP="002320B3">
            <w:pPr>
              <w:rPr>
                <w:rFonts w:asciiTheme="majorHAnsi" w:hAnsiTheme="majorHAnsi" w:cstheme="majorHAnsi"/>
                <w:color w:val="000000" w:themeColor="text1"/>
                <w:sz w:val="20"/>
                <w:szCs w:val="20"/>
                <w:lang w:val="en-US"/>
              </w:rPr>
            </w:pPr>
            <w:r w:rsidRPr="00173FD6">
              <w:rPr>
                <w:rFonts w:asciiTheme="majorHAnsi" w:hAnsiTheme="majorHAnsi" w:cstheme="majorHAnsi"/>
                <w:color w:val="000000" w:themeColor="text1"/>
                <w:sz w:val="20"/>
                <w:szCs w:val="20"/>
                <w:lang w:val="en-US"/>
              </w:rPr>
              <w:t>Caglao-an Elementary School</w:t>
            </w:r>
          </w:p>
        </w:tc>
      </w:tr>
      <w:tr w:rsidR="008D0CAD" w:rsidRPr="00173FD6" w14:paraId="19B41D9A" w14:textId="77777777" w:rsidTr="00EC48C1">
        <w:trPr>
          <w:trHeight w:val="300"/>
        </w:trPr>
        <w:tc>
          <w:tcPr>
            <w:tcW w:w="1060" w:type="dxa"/>
            <w:noWrap/>
            <w:hideMark/>
          </w:tcPr>
          <w:p w14:paraId="08F4C65B"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21</w:t>
            </w:r>
          </w:p>
        </w:tc>
        <w:tc>
          <w:tcPr>
            <w:tcW w:w="2040" w:type="dxa"/>
            <w:noWrap/>
            <w:hideMark/>
          </w:tcPr>
          <w:p w14:paraId="316A4E5A"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Direct Recipient</w:t>
            </w:r>
          </w:p>
        </w:tc>
        <w:tc>
          <w:tcPr>
            <w:tcW w:w="1380" w:type="dxa"/>
            <w:noWrap/>
            <w:hideMark/>
          </w:tcPr>
          <w:p w14:paraId="564C9C80"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REGION VIII</w:t>
            </w:r>
          </w:p>
        </w:tc>
        <w:tc>
          <w:tcPr>
            <w:tcW w:w="2120" w:type="dxa"/>
            <w:noWrap/>
            <w:hideMark/>
          </w:tcPr>
          <w:p w14:paraId="541CB11E"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Eastern Samar</w:t>
            </w:r>
          </w:p>
        </w:tc>
        <w:tc>
          <w:tcPr>
            <w:tcW w:w="2660" w:type="dxa"/>
            <w:noWrap/>
            <w:hideMark/>
          </w:tcPr>
          <w:p w14:paraId="6BC3A4D6"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Oras West</w:t>
            </w:r>
          </w:p>
        </w:tc>
        <w:tc>
          <w:tcPr>
            <w:tcW w:w="1320" w:type="dxa"/>
            <w:noWrap/>
            <w:hideMark/>
          </w:tcPr>
          <w:p w14:paraId="4B9796E2"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122668</w:t>
            </w:r>
          </w:p>
        </w:tc>
        <w:tc>
          <w:tcPr>
            <w:tcW w:w="4060" w:type="dxa"/>
            <w:noWrap/>
            <w:hideMark/>
          </w:tcPr>
          <w:p w14:paraId="118440BC" w14:textId="77777777" w:rsidR="008D0CAD" w:rsidRPr="00173FD6" w:rsidRDefault="008D0CAD" w:rsidP="002320B3">
            <w:pPr>
              <w:rPr>
                <w:rFonts w:asciiTheme="majorHAnsi" w:hAnsiTheme="majorHAnsi" w:cstheme="majorHAnsi"/>
                <w:color w:val="000000" w:themeColor="text1"/>
                <w:sz w:val="20"/>
                <w:szCs w:val="20"/>
                <w:lang w:val="en-US"/>
              </w:rPr>
            </w:pPr>
            <w:r w:rsidRPr="00173FD6">
              <w:rPr>
                <w:rFonts w:asciiTheme="majorHAnsi" w:hAnsiTheme="majorHAnsi" w:cstheme="majorHAnsi"/>
                <w:color w:val="000000" w:themeColor="text1"/>
                <w:sz w:val="20"/>
                <w:szCs w:val="20"/>
                <w:lang w:val="en-US"/>
              </w:rPr>
              <w:t>Oras West Central Elementary School</w:t>
            </w:r>
          </w:p>
        </w:tc>
      </w:tr>
      <w:tr w:rsidR="008D0CAD" w:rsidRPr="00173FD6" w14:paraId="5671C7CF" w14:textId="77777777" w:rsidTr="00EC48C1">
        <w:trPr>
          <w:trHeight w:val="300"/>
        </w:trPr>
        <w:tc>
          <w:tcPr>
            <w:tcW w:w="1060" w:type="dxa"/>
            <w:noWrap/>
            <w:hideMark/>
          </w:tcPr>
          <w:p w14:paraId="2DE0645A"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22</w:t>
            </w:r>
          </w:p>
        </w:tc>
        <w:tc>
          <w:tcPr>
            <w:tcW w:w="2040" w:type="dxa"/>
            <w:noWrap/>
            <w:hideMark/>
          </w:tcPr>
          <w:p w14:paraId="1476AE82"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Direct Recipient</w:t>
            </w:r>
          </w:p>
        </w:tc>
        <w:tc>
          <w:tcPr>
            <w:tcW w:w="1380" w:type="dxa"/>
            <w:noWrap/>
            <w:hideMark/>
          </w:tcPr>
          <w:p w14:paraId="28117497"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REGION VIII</w:t>
            </w:r>
          </w:p>
        </w:tc>
        <w:tc>
          <w:tcPr>
            <w:tcW w:w="2120" w:type="dxa"/>
            <w:noWrap/>
            <w:hideMark/>
          </w:tcPr>
          <w:p w14:paraId="40B283A5"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Leyte</w:t>
            </w:r>
          </w:p>
        </w:tc>
        <w:tc>
          <w:tcPr>
            <w:tcW w:w="2660" w:type="dxa"/>
            <w:noWrap/>
            <w:hideMark/>
          </w:tcPr>
          <w:p w14:paraId="1B713306"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Abuyog North</w:t>
            </w:r>
          </w:p>
        </w:tc>
        <w:tc>
          <w:tcPr>
            <w:tcW w:w="1320" w:type="dxa"/>
            <w:noWrap/>
            <w:hideMark/>
          </w:tcPr>
          <w:p w14:paraId="60BF3E1A"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120907</w:t>
            </w:r>
          </w:p>
        </w:tc>
        <w:tc>
          <w:tcPr>
            <w:tcW w:w="4060" w:type="dxa"/>
            <w:noWrap/>
            <w:hideMark/>
          </w:tcPr>
          <w:p w14:paraId="23BE4BE1" w14:textId="77777777" w:rsidR="008D0CAD" w:rsidRPr="00173FD6" w:rsidRDefault="008D0CAD" w:rsidP="002320B3">
            <w:pPr>
              <w:rPr>
                <w:rFonts w:asciiTheme="majorHAnsi" w:hAnsiTheme="majorHAnsi" w:cstheme="majorHAnsi"/>
                <w:color w:val="000000" w:themeColor="text1"/>
                <w:sz w:val="20"/>
                <w:szCs w:val="20"/>
                <w:lang w:val="en-US"/>
              </w:rPr>
            </w:pPr>
            <w:r w:rsidRPr="00173FD6">
              <w:rPr>
                <w:rFonts w:asciiTheme="majorHAnsi" w:hAnsiTheme="majorHAnsi" w:cstheme="majorHAnsi"/>
                <w:color w:val="000000" w:themeColor="text1"/>
                <w:sz w:val="20"/>
                <w:szCs w:val="20"/>
                <w:lang w:val="en-US"/>
              </w:rPr>
              <w:t>Balocawehay Elementary School</w:t>
            </w:r>
          </w:p>
        </w:tc>
      </w:tr>
      <w:tr w:rsidR="008D0CAD" w:rsidRPr="00173FD6" w14:paraId="209ACB29" w14:textId="77777777" w:rsidTr="00EC48C1">
        <w:trPr>
          <w:trHeight w:val="300"/>
        </w:trPr>
        <w:tc>
          <w:tcPr>
            <w:tcW w:w="1060" w:type="dxa"/>
            <w:noWrap/>
            <w:hideMark/>
          </w:tcPr>
          <w:p w14:paraId="660B3E91"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23</w:t>
            </w:r>
          </w:p>
        </w:tc>
        <w:tc>
          <w:tcPr>
            <w:tcW w:w="2040" w:type="dxa"/>
            <w:noWrap/>
            <w:hideMark/>
          </w:tcPr>
          <w:p w14:paraId="586C2FDE"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Direct Recipient</w:t>
            </w:r>
          </w:p>
        </w:tc>
        <w:tc>
          <w:tcPr>
            <w:tcW w:w="1380" w:type="dxa"/>
            <w:noWrap/>
            <w:hideMark/>
          </w:tcPr>
          <w:p w14:paraId="497546C4"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REGION VIII</w:t>
            </w:r>
          </w:p>
        </w:tc>
        <w:tc>
          <w:tcPr>
            <w:tcW w:w="2120" w:type="dxa"/>
            <w:noWrap/>
            <w:hideMark/>
          </w:tcPr>
          <w:p w14:paraId="3328B55B"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Leyte</w:t>
            </w:r>
          </w:p>
        </w:tc>
        <w:tc>
          <w:tcPr>
            <w:tcW w:w="2660" w:type="dxa"/>
            <w:noWrap/>
            <w:hideMark/>
          </w:tcPr>
          <w:p w14:paraId="3BC229F8"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Hindang</w:t>
            </w:r>
          </w:p>
        </w:tc>
        <w:tc>
          <w:tcPr>
            <w:tcW w:w="1320" w:type="dxa"/>
            <w:noWrap/>
            <w:hideMark/>
          </w:tcPr>
          <w:p w14:paraId="22D0D4A1"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121408</w:t>
            </w:r>
          </w:p>
        </w:tc>
        <w:tc>
          <w:tcPr>
            <w:tcW w:w="4060" w:type="dxa"/>
            <w:noWrap/>
            <w:hideMark/>
          </w:tcPr>
          <w:p w14:paraId="4079ED8B" w14:textId="77777777" w:rsidR="008D0CAD" w:rsidRPr="00173FD6" w:rsidRDefault="008D0CAD" w:rsidP="002320B3">
            <w:pPr>
              <w:rPr>
                <w:rFonts w:asciiTheme="majorHAnsi" w:hAnsiTheme="majorHAnsi" w:cstheme="majorHAnsi"/>
                <w:color w:val="000000" w:themeColor="text1"/>
                <w:sz w:val="20"/>
                <w:szCs w:val="20"/>
                <w:lang w:val="en-US"/>
              </w:rPr>
            </w:pPr>
            <w:r w:rsidRPr="00173FD6">
              <w:rPr>
                <w:rFonts w:asciiTheme="majorHAnsi" w:hAnsiTheme="majorHAnsi" w:cstheme="majorHAnsi"/>
                <w:color w:val="000000" w:themeColor="text1"/>
                <w:sz w:val="20"/>
                <w:szCs w:val="20"/>
                <w:lang w:val="en-US"/>
              </w:rPr>
              <w:t>Hindang Central School</w:t>
            </w:r>
          </w:p>
        </w:tc>
      </w:tr>
      <w:tr w:rsidR="008D0CAD" w:rsidRPr="00173FD6" w14:paraId="0743C2F7" w14:textId="77777777" w:rsidTr="00EC48C1">
        <w:trPr>
          <w:trHeight w:val="300"/>
        </w:trPr>
        <w:tc>
          <w:tcPr>
            <w:tcW w:w="1060" w:type="dxa"/>
            <w:noWrap/>
            <w:hideMark/>
          </w:tcPr>
          <w:p w14:paraId="6D709951"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24</w:t>
            </w:r>
          </w:p>
        </w:tc>
        <w:tc>
          <w:tcPr>
            <w:tcW w:w="2040" w:type="dxa"/>
            <w:noWrap/>
            <w:hideMark/>
          </w:tcPr>
          <w:p w14:paraId="13B6A5D3"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Direct Recipient</w:t>
            </w:r>
          </w:p>
        </w:tc>
        <w:tc>
          <w:tcPr>
            <w:tcW w:w="1380" w:type="dxa"/>
            <w:noWrap/>
            <w:hideMark/>
          </w:tcPr>
          <w:p w14:paraId="61044A9F"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REGION VIII</w:t>
            </w:r>
          </w:p>
        </w:tc>
        <w:tc>
          <w:tcPr>
            <w:tcW w:w="2120" w:type="dxa"/>
            <w:noWrap/>
            <w:hideMark/>
          </w:tcPr>
          <w:p w14:paraId="7CAF8DB9"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Leyte</w:t>
            </w:r>
          </w:p>
        </w:tc>
        <w:tc>
          <w:tcPr>
            <w:tcW w:w="2660" w:type="dxa"/>
            <w:noWrap/>
            <w:hideMark/>
          </w:tcPr>
          <w:p w14:paraId="75DCFBD9"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Merida</w:t>
            </w:r>
          </w:p>
        </w:tc>
        <w:tc>
          <w:tcPr>
            <w:tcW w:w="1320" w:type="dxa"/>
            <w:noWrap/>
            <w:hideMark/>
          </w:tcPr>
          <w:p w14:paraId="39B6A799"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121732</w:t>
            </w:r>
          </w:p>
        </w:tc>
        <w:tc>
          <w:tcPr>
            <w:tcW w:w="4060" w:type="dxa"/>
            <w:noWrap/>
            <w:hideMark/>
          </w:tcPr>
          <w:p w14:paraId="2F48647C" w14:textId="77777777" w:rsidR="008D0CAD" w:rsidRPr="00173FD6" w:rsidRDefault="008D0CAD" w:rsidP="002320B3">
            <w:pPr>
              <w:rPr>
                <w:rFonts w:asciiTheme="majorHAnsi" w:hAnsiTheme="majorHAnsi" w:cstheme="majorHAnsi"/>
                <w:color w:val="000000" w:themeColor="text1"/>
                <w:sz w:val="20"/>
                <w:szCs w:val="20"/>
                <w:lang w:val="en-US"/>
              </w:rPr>
            </w:pPr>
            <w:r w:rsidRPr="00173FD6">
              <w:rPr>
                <w:rFonts w:asciiTheme="majorHAnsi" w:hAnsiTheme="majorHAnsi" w:cstheme="majorHAnsi"/>
                <w:color w:val="000000" w:themeColor="text1"/>
                <w:sz w:val="20"/>
                <w:szCs w:val="20"/>
                <w:lang w:val="en-US"/>
              </w:rPr>
              <w:t>Puerto Bello Elementary School</w:t>
            </w:r>
          </w:p>
        </w:tc>
      </w:tr>
      <w:tr w:rsidR="008D0CAD" w:rsidRPr="00173FD6" w14:paraId="70A62CDF" w14:textId="77777777" w:rsidTr="00EC48C1">
        <w:trPr>
          <w:trHeight w:val="300"/>
        </w:trPr>
        <w:tc>
          <w:tcPr>
            <w:tcW w:w="1060" w:type="dxa"/>
            <w:noWrap/>
            <w:hideMark/>
          </w:tcPr>
          <w:p w14:paraId="4D9B3002"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25</w:t>
            </w:r>
          </w:p>
        </w:tc>
        <w:tc>
          <w:tcPr>
            <w:tcW w:w="2040" w:type="dxa"/>
            <w:noWrap/>
            <w:hideMark/>
          </w:tcPr>
          <w:p w14:paraId="558D91FE"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Direct Recipient</w:t>
            </w:r>
          </w:p>
        </w:tc>
        <w:tc>
          <w:tcPr>
            <w:tcW w:w="1380" w:type="dxa"/>
            <w:noWrap/>
            <w:hideMark/>
          </w:tcPr>
          <w:p w14:paraId="3326B23D"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REGION VIII</w:t>
            </w:r>
          </w:p>
        </w:tc>
        <w:tc>
          <w:tcPr>
            <w:tcW w:w="2120" w:type="dxa"/>
            <w:noWrap/>
            <w:hideMark/>
          </w:tcPr>
          <w:p w14:paraId="6E909663"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Leyte</w:t>
            </w:r>
          </w:p>
        </w:tc>
        <w:tc>
          <w:tcPr>
            <w:tcW w:w="2660" w:type="dxa"/>
            <w:noWrap/>
            <w:hideMark/>
          </w:tcPr>
          <w:p w14:paraId="3BE65810"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Villaba North</w:t>
            </w:r>
          </w:p>
        </w:tc>
        <w:tc>
          <w:tcPr>
            <w:tcW w:w="1320" w:type="dxa"/>
            <w:noWrap/>
            <w:hideMark/>
          </w:tcPr>
          <w:p w14:paraId="0ECD40A5"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121968</w:t>
            </w:r>
          </w:p>
        </w:tc>
        <w:tc>
          <w:tcPr>
            <w:tcW w:w="4060" w:type="dxa"/>
            <w:noWrap/>
            <w:hideMark/>
          </w:tcPr>
          <w:p w14:paraId="7335C3D1" w14:textId="77777777" w:rsidR="008D0CAD" w:rsidRPr="00173FD6" w:rsidRDefault="008D0CAD" w:rsidP="002320B3">
            <w:pPr>
              <w:rPr>
                <w:rFonts w:asciiTheme="majorHAnsi" w:hAnsiTheme="majorHAnsi" w:cstheme="majorHAnsi"/>
                <w:color w:val="000000" w:themeColor="text1"/>
                <w:sz w:val="20"/>
                <w:szCs w:val="20"/>
                <w:lang w:val="en-US"/>
              </w:rPr>
            </w:pPr>
            <w:r w:rsidRPr="00173FD6">
              <w:rPr>
                <w:rFonts w:asciiTheme="majorHAnsi" w:hAnsiTheme="majorHAnsi" w:cstheme="majorHAnsi"/>
                <w:color w:val="000000" w:themeColor="text1"/>
                <w:sz w:val="20"/>
                <w:szCs w:val="20"/>
                <w:lang w:val="en-US"/>
              </w:rPr>
              <w:t>Hinabuyan Central School</w:t>
            </w:r>
          </w:p>
        </w:tc>
      </w:tr>
      <w:tr w:rsidR="008D0CAD" w:rsidRPr="00173FD6" w14:paraId="298D9CEE" w14:textId="77777777" w:rsidTr="00EC48C1">
        <w:trPr>
          <w:trHeight w:val="300"/>
        </w:trPr>
        <w:tc>
          <w:tcPr>
            <w:tcW w:w="1060" w:type="dxa"/>
            <w:noWrap/>
            <w:hideMark/>
          </w:tcPr>
          <w:p w14:paraId="32146245"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26</w:t>
            </w:r>
          </w:p>
        </w:tc>
        <w:tc>
          <w:tcPr>
            <w:tcW w:w="2040" w:type="dxa"/>
            <w:noWrap/>
            <w:hideMark/>
          </w:tcPr>
          <w:p w14:paraId="530AC343"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Indirect Recipient</w:t>
            </w:r>
          </w:p>
        </w:tc>
        <w:tc>
          <w:tcPr>
            <w:tcW w:w="1380" w:type="dxa"/>
            <w:noWrap/>
            <w:hideMark/>
          </w:tcPr>
          <w:p w14:paraId="5EF1C525"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REGION VIII</w:t>
            </w:r>
          </w:p>
        </w:tc>
        <w:tc>
          <w:tcPr>
            <w:tcW w:w="2120" w:type="dxa"/>
            <w:noWrap/>
            <w:hideMark/>
          </w:tcPr>
          <w:p w14:paraId="7C24F42E"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Eastern Samar</w:t>
            </w:r>
          </w:p>
        </w:tc>
        <w:tc>
          <w:tcPr>
            <w:tcW w:w="2660" w:type="dxa"/>
            <w:noWrap/>
            <w:hideMark/>
          </w:tcPr>
          <w:p w14:paraId="30B87D73"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Guiuan East</w:t>
            </w:r>
          </w:p>
        </w:tc>
        <w:tc>
          <w:tcPr>
            <w:tcW w:w="1320" w:type="dxa"/>
            <w:noWrap/>
            <w:hideMark/>
          </w:tcPr>
          <w:p w14:paraId="30B17E9E"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122530</w:t>
            </w:r>
          </w:p>
        </w:tc>
        <w:tc>
          <w:tcPr>
            <w:tcW w:w="4060" w:type="dxa"/>
            <w:noWrap/>
            <w:hideMark/>
          </w:tcPr>
          <w:p w14:paraId="24534513" w14:textId="77777777" w:rsidR="008D0CAD" w:rsidRPr="00173FD6" w:rsidRDefault="008D0CAD" w:rsidP="002320B3">
            <w:pPr>
              <w:rPr>
                <w:rFonts w:asciiTheme="majorHAnsi" w:hAnsiTheme="majorHAnsi" w:cstheme="majorHAnsi"/>
                <w:color w:val="000000" w:themeColor="text1"/>
                <w:sz w:val="20"/>
                <w:szCs w:val="20"/>
                <w:lang w:val="en-US"/>
              </w:rPr>
            </w:pPr>
            <w:r w:rsidRPr="00173FD6">
              <w:rPr>
                <w:rFonts w:asciiTheme="majorHAnsi" w:hAnsiTheme="majorHAnsi" w:cstheme="majorHAnsi"/>
                <w:color w:val="000000" w:themeColor="text1"/>
                <w:sz w:val="20"/>
                <w:szCs w:val="20"/>
                <w:lang w:val="en-US"/>
              </w:rPr>
              <w:t>Victory Elementary School</w:t>
            </w:r>
          </w:p>
        </w:tc>
      </w:tr>
      <w:tr w:rsidR="008D0CAD" w:rsidRPr="00173FD6" w14:paraId="73BC83EB" w14:textId="77777777" w:rsidTr="00EC48C1">
        <w:trPr>
          <w:trHeight w:val="300"/>
        </w:trPr>
        <w:tc>
          <w:tcPr>
            <w:tcW w:w="1060" w:type="dxa"/>
            <w:noWrap/>
            <w:hideMark/>
          </w:tcPr>
          <w:p w14:paraId="38CA24B0"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27</w:t>
            </w:r>
          </w:p>
        </w:tc>
        <w:tc>
          <w:tcPr>
            <w:tcW w:w="2040" w:type="dxa"/>
            <w:noWrap/>
            <w:hideMark/>
          </w:tcPr>
          <w:p w14:paraId="3DEE3FB1"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Indirect Recipient</w:t>
            </w:r>
          </w:p>
        </w:tc>
        <w:tc>
          <w:tcPr>
            <w:tcW w:w="1380" w:type="dxa"/>
            <w:noWrap/>
            <w:hideMark/>
          </w:tcPr>
          <w:p w14:paraId="780E3546"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REGION VIII</w:t>
            </w:r>
          </w:p>
        </w:tc>
        <w:tc>
          <w:tcPr>
            <w:tcW w:w="2120" w:type="dxa"/>
            <w:noWrap/>
            <w:hideMark/>
          </w:tcPr>
          <w:p w14:paraId="541EC5AD"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Eastern Samar</w:t>
            </w:r>
          </w:p>
        </w:tc>
        <w:tc>
          <w:tcPr>
            <w:tcW w:w="2660" w:type="dxa"/>
            <w:noWrap/>
            <w:hideMark/>
          </w:tcPr>
          <w:p w14:paraId="3B925271"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Salcedo I</w:t>
            </w:r>
          </w:p>
        </w:tc>
        <w:tc>
          <w:tcPr>
            <w:tcW w:w="1320" w:type="dxa"/>
            <w:noWrap/>
            <w:hideMark/>
          </w:tcPr>
          <w:p w14:paraId="777195A9"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122697</w:t>
            </w:r>
          </w:p>
        </w:tc>
        <w:tc>
          <w:tcPr>
            <w:tcW w:w="4060" w:type="dxa"/>
            <w:noWrap/>
            <w:hideMark/>
          </w:tcPr>
          <w:p w14:paraId="5B8761B7" w14:textId="77777777" w:rsidR="008D0CAD" w:rsidRPr="00173FD6" w:rsidRDefault="008D0CAD" w:rsidP="002320B3">
            <w:pPr>
              <w:rPr>
                <w:rFonts w:asciiTheme="majorHAnsi" w:hAnsiTheme="majorHAnsi" w:cstheme="majorHAnsi"/>
                <w:color w:val="000000" w:themeColor="text1"/>
                <w:sz w:val="20"/>
                <w:szCs w:val="20"/>
                <w:lang w:val="en-US"/>
              </w:rPr>
            </w:pPr>
            <w:r w:rsidRPr="00173FD6">
              <w:rPr>
                <w:rFonts w:asciiTheme="majorHAnsi" w:hAnsiTheme="majorHAnsi" w:cstheme="majorHAnsi"/>
                <w:color w:val="000000" w:themeColor="text1"/>
                <w:sz w:val="20"/>
                <w:szCs w:val="20"/>
                <w:lang w:val="en-US"/>
              </w:rPr>
              <w:t>Malbog Elementary School</w:t>
            </w:r>
          </w:p>
        </w:tc>
      </w:tr>
      <w:tr w:rsidR="008D0CAD" w:rsidRPr="00173FD6" w14:paraId="14F939B0" w14:textId="77777777" w:rsidTr="00EC48C1">
        <w:trPr>
          <w:trHeight w:val="640"/>
        </w:trPr>
        <w:tc>
          <w:tcPr>
            <w:tcW w:w="1060" w:type="dxa"/>
            <w:noWrap/>
            <w:hideMark/>
          </w:tcPr>
          <w:p w14:paraId="221DB16E"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28</w:t>
            </w:r>
          </w:p>
        </w:tc>
        <w:tc>
          <w:tcPr>
            <w:tcW w:w="2040" w:type="dxa"/>
            <w:noWrap/>
            <w:hideMark/>
          </w:tcPr>
          <w:p w14:paraId="682C8188"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Direct Recipient</w:t>
            </w:r>
          </w:p>
        </w:tc>
        <w:tc>
          <w:tcPr>
            <w:tcW w:w="1380" w:type="dxa"/>
            <w:noWrap/>
            <w:hideMark/>
          </w:tcPr>
          <w:p w14:paraId="0E721D92"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REGION X</w:t>
            </w:r>
          </w:p>
        </w:tc>
        <w:tc>
          <w:tcPr>
            <w:tcW w:w="2120" w:type="dxa"/>
            <w:noWrap/>
            <w:hideMark/>
          </w:tcPr>
          <w:p w14:paraId="4AE51160"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Cagayan de Oro City</w:t>
            </w:r>
          </w:p>
        </w:tc>
        <w:tc>
          <w:tcPr>
            <w:tcW w:w="2660" w:type="dxa"/>
            <w:hideMark/>
          </w:tcPr>
          <w:p w14:paraId="50D87793"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Cagayan de Oro City East II District</w:t>
            </w:r>
          </w:p>
        </w:tc>
        <w:tc>
          <w:tcPr>
            <w:tcW w:w="1320" w:type="dxa"/>
            <w:noWrap/>
            <w:hideMark/>
          </w:tcPr>
          <w:p w14:paraId="1B702B3B"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127948</w:t>
            </w:r>
          </w:p>
        </w:tc>
        <w:tc>
          <w:tcPr>
            <w:tcW w:w="4060" w:type="dxa"/>
            <w:noWrap/>
            <w:hideMark/>
          </w:tcPr>
          <w:p w14:paraId="39372E55" w14:textId="77777777" w:rsidR="008D0CAD" w:rsidRPr="00173FD6" w:rsidRDefault="008D0CAD" w:rsidP="002320B3">
            <w:pPr>
              <w:rPr>
                <w:rFonts w:asciiTheme="majorHAnsi" w:hAnsiTheme="majorHAnsi" w:cstheme="majorHAnsi"/>
                <w:color w:val="000000" w:themeColor="text1"/>
                <w:sz w:val="20"/>
                <w:szCs w:val="20"/>
                <w:lang w:val="en-US"/>
              </w:rPr>
            </w:pPr>
            <w:r w:rsidRPr="00173FD6">
              <w:rPr>
                <w:rFonts w:asciiTheme="majorHAnsi" w:hAnsiTheme="majorHAnsi" w:cstheme="majorHAnsi"/>
                <w:color w:val="000000" w:themeColor="text1"/>
                <w:sz w:val="20"/>
                <w:szCs w:val="20"/>
                <w:lang w:val="en-US"/>
              </w:rPr>
              <w:t>Balubal Elementary School</w:t>
            </w:r>
          </w:p>
        </w:tc>
      </w:tr>
      <w:tr w:rsidR="008D0CAD" w:rsidRPr="00173FD6" w14:paraId="3F5B437F" w14:textId="77777777" w:rsidTr="00EC48C1">
        <w:trPr>
          <w:trHeight w:val="640"/>
        </w:trPr>
        <w:tc>
          <w:tcPr>
            <w:tcW w:w="1060" w:type="dxa"/>
            <w:noWrap/>
            <w:hideMark/>
          </w:tcPr>
          <w:p w14:paraId="3826E15D"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29</w:t>
            </w:r>
          </w:p>
        </w:tc>
        <w:tc>
          <w:tcPr>
            <w:tcW w:w="2040" w:type="dxa"/>
            <w:noWrap/>
            <w:hideMark/>
          </w:tcPr>
          <w:p w14:paraId="46A0911D"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Direct Recipient</w:t>
            </w:r>
          </w:p>
        </w:tc>
        <w:tc>
          <w:tcPr>
            <w:tcW w:w="1380" w:type="dxa"/>
            <w:noWrap/>
            <w:hideMark/>
          </w:tcPr>
          <w:p w14:paraId="18EBE7B2"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REGION X</w:t>
            </w:r>
          </w:p>
        </w:tc>
        <w:tc>
          <w:tcPr>
            <w:tcW w:w="2120" w:type="dxa"/>
            <w:noWrap/>
            <w:hideMark/>
          </w:tcPr>
          <w:p w14:paraId="2D244931"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Cagayan de Oro City</w:t>
            </w:r>
          </w:p>
        </w:tc>
        <w:tc>
          <w:tcPr>
            <w:tcW w:w="2660" w:type="dxa"/>
            <w:hideMark/>
          </w:tcPr>
          <w:p w14:paraId="6418B91C"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Cagayan de Oro City East II District</w:t>
            </w:r>
          </w:p>
        </w:tc>
        <w:tc>
          <w:tcPr>
            <w:tcW w:w="1320" w:type="dxa"/>
            <w:noWrap/>
            <w:hideMark/>
          </w:tcPr>
          <w:p w14:paraId="23825EFC"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127951</w:t>
            </w:r>
          </w:p>
        </w:tc>
        <w:tc>
          <w:tcPr>
            <w:tcW w:w="4060" w:type="dxa"/>
            <w:noWrap/>
            <w:hideMark/>
          </w:tcPr>
          <w:p w14:paraId="5B82AE08" w14:textId="77777777" w:rsidR="008D0CAD" w:rsidRPr="00173FD6" w:rsidRDefault="008D0CAD" w:rsidP="002320B3">
            <w:pPr>
              <w:rPr>
                <w:rFonts w:asciiTheme="majorHAnsi" w:hAnsiTheme="majorHAnsi" w:cstheme="majorHAnsi"/>
                <w:color w:val="000000" w:themeColor="text1"/>
                <w:sz w:val="20"/>
                <w:szCs w:val="20"/>
                <w:lang w:val="en-US"/>
              </w:rPr>
            </w:pPr>
            <w:r w:rsidRPr="00173FD6">
              <w:rPr>
                <w:rFonts w:asciiTheme="majorHAnsi" w:hAnsiTheme="majorHAnsi" w:cstheme="majorHAnsi"/>
                <w:color w:val="000000" w:themeColor="text1"/>
                <w:sz w:val="20"/>
                <w:szCs w:val="20"/>
                <w:lang w:val="en-US"/>
              </w:rPr>
              <w:t>Palalan Elementary School</w:t>
            </w:r>
          </w:p>
        </w:tc>
      </w:tr>
      <w:tr w:rsidR="008D0CAD" w:rsidRPr="00173FD6" w14:paraId="015B9A9F" w14:textId="77777777" w:rsidTr="00EC48C1">
        <w:trPr>
          <w:trHeight w:val="640"/>
        </w:trPr>
        <w:tc>
          <w:tcPr>
            <w:tcW w:w="1060" w:type="dxa"/>
            <w:noWrap/>
            <w:hideMark/>
          </w:tcPr>
          <w:p w14:paraId="2B3929C4"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30</w:t>
            </w:r>
          </w:p>
        </w:tc>
        <w:tc>
          <w:tcPr>
            <w:tcW w:w="2040" w:type="dxa"/>
            <w:noWrap/>
            <w:hideMark/>
          </w:tcPr>
          <w:p w14:paraId="4B041ABF"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Direct Recipient</w:t>
            </w:r>
          </w:p>
        </w:tc>
        <w:tc>
          <w:tcPr>
            <w:tcW w:w="1380" w:type="dxa"/>
            <w:noWrap/>
            <w:hideMark/>
          </w:tcPr>
          <w:p w14:paraId="7782E35B"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REGION X</w:t>
            </w:r>
          </w:p>
        </w:tc>
        <w:tc>
          <w:tcPr>
            <w:tcW w:w="2120" w:type="dxa"/>
            <w:noWrap/>
            <w:hideMark/>
          </w:tcPr>
          <w:p w14:paraId="73590F52"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Cagayan de Oro City</w:t>
            </w:r>
          </w:p>
        </w:tc>
        <w:tc>
          <w:tcPr>
            <w:tcW w:w="2660" w:type="dxa"/>
            <w:hideMark/>
          </w:tcPr>
          <w:p w14:paraId="3AADA0F8"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Cagayan de Oro City East II District</w:t>
            </w:r>
          </w:p>
        </w:tc>
        <w:tc>
          <w:tcPr>
            <w:tcW w:w="1320" w:type="dxa"/>
            <w:noWrap/>
            <w:hideMark/>
          </w:tcPr>
          <w:p w14:paraId="32051E64"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127953</w:t>
            </w:r>
          </w:p>
        </w:tc>
        <w:tc>
          <w:tcPr>
            <w:tcW w:w="4060" w:type="dxa"/>
            <w:noWrap/>
            <w:hideMark/>
          </w:tcPr>
          <w:p w14:paraId="096BA312" w14:textId="77777777" w:rsidR="008D0CAD" w:rsidRPr="00173FD6" w:rsidRDefault="008D0CAD" w:rsidP="002320B3">
            <w:pPr>
              <w:rPr>
                <w:rFonts w:asciiTheme="majorHAnsi" w:hAnsiTheme="majorHAnsi" w:cstheme="majorHAnsi"/>
                <w:color w:val="000000" w:themeColor="text1"/>
                <w:sz w:val="20"/>
                <w:szCs w:val="20"/>
                <w:lang w:val="en-US"/>
              </w:rPr>
            </w:pPr>
            <w:r w:rsidRPr="00173FD6">
              <w:rPr>
                <w:rFonts w:asciiTheme="majorHAnsi" w:hAnsiTheme="majorHAnsi" w:cstheme="majorHAnsi"/>
                <w:color w:val="000000" w:themeColor="text1"/>
                <w:sz w:val="20"/>
                <w:szCs w:val="20"/>
                <w:lang w:val="en-US"/>
              </w:rPr>
              <w:t>Suntingon Elementary School</w:t>
            </w:r>
          </w:p>
        </w:tc>
      </w:tr>
      <w:tr w:rsidR="008D0CAD" w:rsidRPr="00173FD6" w14:paraId="088CB43C" w14:textId="77777777" w:rsidTr="00EC48C1">
        <w:trPr>
          <w:trHeight w:val="640"/>
        </w:trPr>
        <w:tc>
          <w:tcPr>
            <w:tcW w:w="1060" w:type="dxa"/>
            <w:noWrap/>
            <w:hideMark/>
          </w:tcPr>
          <w:p w14:paraId="32477844"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31</w:t>
            </w:r>
          </w:p>
        </w:tc>
        <w:tc>
          <w:tcPr>
            <w:tcW w:w="2040" w:type="dxa"/>
            <w:noWrap/>
            <w:hideMark/>
          </w:tcPr>
          <w:p w14:paraId="7ADD8C83"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Direct Recipient</w:t>
            </w:r>
          </w:p>
        </w:tc>
        <w:tc>
          <w:tcPr>
            <w:tcW w:w="1380" w:type="dxa"/>
            <w:noWrap/>
            <w:hideMark/>
          </w:tcPr>
          <w:p w14:paraId="206471B2"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REGION X</w:t>
            </w:r>
          </w:p>
        </w:tc>
        <w:tc>
          <w:tcPr>
            <w:tcW w:w="2120" w:type="dxa"/>
            <w:noWrap/>
            <w:hideMark/>
          </w:tcPr>
          <w:p w14:paraId="486A6B57"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Cagayan de Oro City</w:t>
            </w:r>
          </w:p>
        </w:tc>
        <w:tc>
          <w:tcPr>
            <w:tcW w:w="2660" w:type="dxa"/>
            <w:hideMark/>
          </w:tcPr>
          <w:p w14:paraId="35A4D2DB"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Cagayan de Oro City North I District</w:t>
            </w:r>
          </w:p>
        </w:tc>
        <w:tc>
          <w:tcPr>
            <w:tcW w:w="1320" w:type="dxa"/>
            <w:noWrap/>
            <w:hideMark/>
          </w:tcPr>
          <w:p w14:paraId="0F39E4C4"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127956</w:t>
            </w:r>
          </w:p>
        </w:tc>
        <w:tc>
          <w:tcPr>
            <w:tcW w:w="4060" w:type="dxa"/>
            <w:noWrap/>
            <w:hideMark/>
          </w:tcPr>
          <w:p w14:paraId="3B09F870" w14:textId="77777777" w:rsidR="008D0CAD" w:rsidRPr="00173FD6" w:rsidRDefault="008D0CAD" w:rsidP="002320B3">
            <w:pPr>
              <w:rPr>
                <w:rFonts w:asciiTheme="majorHAnsi" w:hAnsiTheme="majorHAnsi" w:cstheme="majorHAnsi"/>
                <w:color w:val="000000" w:themeColor="text1"/>
                <w:sz w:val="20"/>
                <w:szCs w:val="20"/>
                <w:lang w:val="en-US"/>
              </w:rPr>
            </w:pPr>
            <w:r w:rsidRPr="00173FD6">
              <w:rPr>
                <w:rFonts w:asciiTheme="majorHAnsi" w:hAnsiTheme="majorHAnsi" w:cstheme="majorHAnsi"/>
                <w:color w:val="000000" w:themeColor="text1"/>
                <w:sz w:val="20"/>
                <w:szCs w:val="20"/>
                <w:lang w:val="en-US"/>
              </w:rPr>
              <w:t>Macabalan Elementary School</w:t>
            </w:r>
          </w:p>
        </w:tc>
      </w:tr>
      <w:tr w:rsidR="008D0CAD" w:rsidRPr="00173FD6" w14:paraId="42B3A454" w14:textId="77777777" w:rsidTr="00EC48C1">
        <w:trPr>
          <w:trHeight w:val="640"/>
        </w:trPr>
        <w:tc>
          <w:tcPr>
            <w:tcW w:w="1060" w:type="dxa"/>
            <w:noWrap/>
            <w:hideMark/>
          </w:tcPr>
          <w:p w14:paraId="18EB2995"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32</w:t>
            </w:r>
          </w:p>
        </w:tc>
        <w:tc>
          <w:tcPr>
            <w:tcW w:w="2040" w:type="dxa"/>
            <w:noWrap/>
            <w:hideMark/>
          </w:tcPr>
          <w:p w14:paraId="10A6ED0F"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Direct Recipient</w:t>
            </w:r>
          </w:p>
        </w:tc>
        <w:tc>
          <w:tcPr>
            <w:tcW w:w="1380" w:type="dxa"/>
            <w:noWrap/>
            <w:hideMark/>
          </w:tcPr>
          <w:p w14:paraId="6EE10734"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REGION X</w:t>
            </w:r>
          </w:p>
        </w:tc>
        <w:tc>
          <w:tcPr>
            <w:tcW w:w="2120" w:type="dxa"/>
            <w:noWrap/>
            <w:hideMark/>
          </w:tcPr>
          <w:p w14:paraId="49DE3CEB"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Cagayan de Oro City</w:t>
            </w:r>
          </w:p>
        </w:tc>
        <w:tc>
          <w:tcPr>
            <w:tcW w:w="2660" w:type="dxa"/>
            <w:hideMark/>
          </w:tcPr>
          <w:p w14:paraId="6DD3D3EB"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Cagayan de Oro City North II District</w:t>
            </w:r>
          </w:p>
        </w:tc>
        <w:tc>
          <w:tcPr>
            <w:tcW w:w="1320" w:type="dxa"/>
            <w:noWrap/>
            <w:hideMark/>
          </w:tcPr>
          <w:p w14:paraId="7275C253"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127963</w:t>
            </w:r>
          </w:p>
        </w:tc>
        <w:tc>
          <w:tcPr>
            <w:tcW w:w="4060" w:type="dxa"/>
            <w:noWrap/>
            <w:hideMark/>
          </w:tcPr>
          <w:p w14:paraId="2AACCFFB" w14:textId="77777777" w:rsidR="008D0CAD" w:rsidRPr="00173FD6" w:rsidRDefault="008D0CAD" w:rsidP="002320B3">
            <w:pPr>
              <w:rPr>
                <w:rFonts w:asciiTheme="majorHAnsi" w:hAnsiTheme="majorHAnsi" w:cstheme="majorHAnsi"/>
                <w:color w:val="000000" w:themeColor="text1"/>
                <w:sz w:val="20"/>
                <w:szCs w:val="20"/>
                <w:lang w:val="en-US"/>
              </w:rPr>
            </w:pPr>
            <w:r w:rsidRPr="00173FD6">
              <w:rPr>
                <w:rFonts w:asciiTheme="majorHAnsi" w:hAnsiTheme="majorHAnsi" w:cstheme="majorHAnsi"/>
                <w:color w:val="000000" w:themeColor="text1"/>
                <w:sz w:val="20"/>
                <w:szCs w:val="20"/>
                <w:lang w:val="en-US"/>
              </w:rPr>
              <w:t>Kauswagan Central School</w:t>
            </w:r>
          </w:p>
        </w:tc>
      </w:tr>
      <w:tr w:rsidR="008D0CAD" w:rsidRPr="00173FD6" w14:paraId="51632502" w14:textId="77777777" w:rsidTr="00EC48C1">
        <w:trPr>
          <w:trHeight w:val="640"/>
        </w:trPr>
        <w:tc>
          <w:tcPr>
            <w:tcW w:w="1060" w:type="dxa"/>
            <w:noWrap/>
            <w:hideMark/>
          </w:tcPr>
          <w:p w14:paraId="00B403AF"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33</w:t>
            </w:r>
          </w:p>
        </w:tc>
        <w:tc>
          <w:tcPr>
            <w:tcW w:w="2040" w:type="dxa"/>
            <w:noWrap/>
            <w:hideMark/>
          </w:tcPr>
          <w:p w14:paraId="14FE09E6"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Direct Recipient</w:t>
            </w:r>
          </w:p>
        </w:tc>
        <w:tc>
          <w:tcPr>
            <w:tcW w:w="1380" w:type="dxa"/>
            <w:noWrap/>
            <w:hideMark/>
          </w:tcPr>
          <w:p w14:paraId="70CE6E4E"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REGION X</w:t>
            </w:r>
          </w:p>
        </w:tc>
        <w:tc>
          <w:tcPr>
            <w:tcW w:w="2120" w:type="dxa"/>
            <w:noWrap/>
            <w:hideMark/>
          </w:tcPr>
          <w:p w14:paraId="3A6AA30E"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Cagayan de Oro City</w:t>
            </w:r>
          </w:p>
        </w:tc>
        <w:tc>
          <w:tcPr>
            <w:tcW w:w="2660" w:type="dxa"/>
            <w:hideMark/>
          </w:tcPr>
          <w:p w14:paraId="27FE23EF"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Cagayan de Oro City South District</w:t>
            </w:r>
          </w:p>
        </w:tc>
        <w:tc>
          <w:tcPr>
            <w:tcW w:w="1320" w:type="dxa"/>
            <w:noWrap/>
            <w:hideMark/>
          </w:tcPr>
          <w:p w14:paraId="5BB5451D"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127965</w:t>
            </w:r>
          </w:p>
        </w:tc>
        <w:tc>
          <w:tcPr>
            <w:tcW w:w="4060" w:type="dxa"/>
            <w:noWrap/>
            <w:hideMark/>
          </w:tcPr>
          <w:p w14:paraId="542959B4" w14:textId="77777777" w:rsidR="008D0CAD" w:rsidRPr="00173FD6" w:rsidRDefault="008D0CAD" w:rsidP="002320B3">
            <w:pPr>
              <w:rPr>
                <w:rFonts w:asciiTheme="majorHAnsi" w:hAnsiTheme="majorHAnsi" w:cstheme="majorHAnsi"/>
                <w:color w:val="000000" w:themeColor="text1"/>
                <w:sz w:val="20"/>
                <w:szCs w:val="20"/>
                <w:lang w:val="en-US"/>
              </w:rPr>
            </w:pPr>
            <w:r w:rsidRPr="00173FD6">
              <w:rPr>
                <w:rFonts w:asciiTheme="majorHAnsi" w:hAnsiTheme="majorHAnsi" w:cstheme="majorHAnsi"/>
                <w:color w:val="000000" w:themeColor="text1"/>
                <w:sz w:val="20"/>
                <w:szCs w:val="20"/>
                <w:lang w:val="en-US"/>
              </w:rPr>
              <w:t>Indahag Elementary School</w:t>
            </w:r>
          </w:p>
        </w:tc>
      </w:tr>
      <w:tr w:rsidR="008D0CAD" w:rsidRPr="00173FD6" w14:paraId="5141404C" w14:textId="77777777" w:rsidTr="00EC48C1">
        <w:trPr>
          <w:trHeight w:val="640"/>
        </w:trPr>
        <w:tc>
          <w:tcPr>
            <w:tcW w:w="1060" w:type="dxa"/>
            <w:noWrap/>
            <w:hideMark/>
          </w:tcPr>
          <w:p w14:paraId="638F96AA"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34</w:t>
            </w:r>
          </w:p>
        </w:tc>
        <w:tc>
          <w:tcPr>
            <w:tcW w:w="2040" w:type="dxa"/>
            <w:noWrap/>
            <w:hideMark/>
          </w:tcPr>
          <w:p w14:paraId="1693E8E7"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Direct Recipient</w:t>
            </w:r>
          </w:p>
        </w:tc>
        <w:tc>
          <w:tcPr>
            <w:tcW w:w="1380" w:type="dxa"/>
            <w:noWrap/>
            <w:hideMark/>
          </w:tcPr>
          <w:p w14:paraId="435AA409"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REGION X</w:t>
            </w:r>
          </w:p>
        </w:tc>
        <w:tc>
          <w:tcPr>
            <w:tcW w:w="2120" w:type="dxa"/>
            <w:noWrap/>
            <w:hideMark/>
          </w:tcPr>
          <w:p w14:paraId="0753B701"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Cagayan de Oro City</w:t>
            </w:r>
          </w:p>
        </w:tc>
        <w:tc>
          <w:tcPr>
            <w:tcW w:w="2660" w:type="dxa"/>
            <w:hideMark/>
          </w:tcPr>
          <w:p w14:paraId="31A04AA6"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Cagayan de Oro City Southwest District I</w:t>
            </w:r>
          </w:p>
        </w:tc>
        <w:tc>
          <w:tcPr>
            <w:tcW w:w="1320" w:type="dxa"/>
            <w:noWrap/>
            <w:hideMark/>
          </w:tcPr>
          <w:p w14:paraId="6D5C9F5D"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127970</w:t>
            </w:r>
          </w:p>
        </w:tc>
        <w:tc>
          <w:tcPr>
            <w:tcW w:w="4060" w:type="dxa"/>
            <w:noWrap/>
            <w:hideMark/>
          </w:tcPr>
          <w:p w14:paraId="155AA38E" w14:textId="77777777" w:rsidR="008D0CAD" w:rsidRPr="00173FD6" w:rsidRDefault="008D0CAD" w:rsidP="002320B3">
            <w:pPr>
              <w:rPr>
                <w:rFonts w:asciiTheme="majorHAnsi" w:hAnsiTheme="majorHAnsi" w:cstheme="majorHAnsi"/>
                <w:color w:val="000000" w:themeColor="text1"/>
                <w:sz w:val="20"/>
                <w:szCs w:val="20"/>
                <w:lang w:val="en-US"/>
              </w:rPr>
            </w:pPr>
            <w:r w:rsidRPr="00173FD6">
              <w:rPr>
                <w:rFonts w:asciiTheme="majorHAnsi" w:hAnsiTheme="majorHAnsi" w:cstheme="majorHAnsi"/>
                <w:color w:val="000000" w:themeColor="text1"/>
                <w:sz w:val="20"/>
                <w:szCs w:val="20"/>
                <w:lang w:val="en-US"/>
              </w:rPr>
              <w:t>Baluarte Elementary School</w:t>
            </w:r>
          </w:p>
        </w:tc>
      </w:tr>
      <w:tr w:rsidR="008D0CAD" w:rsidRPr="00173FD6" w14:paraId="76CB4E12" w14:textId="77777777" w:rsidTr="00EC48C1">
        <w:trPr>
          <w:trHeight w:val="640"/>
        </w:trPr>
        <w:tc>
          <w:tcPr>
            <w:tcW w:w="1060" w:type="dxa"/>
            <w:noWrap/>
            <w:hideMark/>
          </w:tcPr>
          <w:p w14:paraId="4F4C88E9"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35</w:t>
            </w:r>
          </w:p>
        </w:tc>
        <w:tc>
          <w:tcPr>
            <w:tcW w:w="2040" w:type="dxa"/>
            <w:noWrap/>
            <w:hideMark/>
          </w:tcPr>
          <w:p w14:paraId="462D42AA"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Direct Recipient</w:t>
            </w:r>
          </w:p>
        </w:tc>
        <w:tc>
          <w:tcPr>
            <w:tcW w:w="1380" w:type="dxa"/>
            <w:noWrap/>
            <w:hideMark/>
          </w:tcPr>
          <w:p w14:paraId="51633C70"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REGION X</w:t>
            </w:r>
          </w:p>
        </w:tc>
        <w:tc>
          <w:tcPr>
            <w:tcW w:w="2120" w:type="dxa"/>
            <w:noWrap/>
            <w:hideMark/>
          </w:tcPr>
          <w:p w14:paraId="671275DE"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Cagayan de Oro City</w:t>
            </w:r>
          </w:p>
        </w:tc>
        <w:tc>
          <w:tcPr>
            <w:tcW w:w="2660" w:type="dxa"/>
            <w:hideMark/>
          </w:tcPr>
          <w:p w14:paraId="4A40B60A"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Cagayan de Oro City Southwest District I</w:t>
            </w:r>
          </w:p>
        </w:tc>
        <w:tc>
          <w:tcPr>
            <w:tcW w:w="1320" w:type="dxa"/>
            <w:noWrap/>
            <w:hideMark/>
          </w:tcPr>
          <w:p w14:paraId="2F948928"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127977</w:t>
            </w:r>
          </w:p>
        </w:tc>
        <w:tc>
          <w:tcPr>
            <w:tcW w:w="4060" w:type="dxa"/>
            <w:noWrap/>
            <w:hideMark/>
          </w:tcPr>
          <w:p w14:paraId="705E901B" w14:textId="77777777" w:rsidR="008D0CAD" w:rsidRPr="00173FD6" w:rsidRDefault="008D0CAD" w:rsidP="002320B3">
            <w:pPr>
              <w:rPr>
                <w:rFonts w:asciiTheme="majorHAnsi" w:hAnsiTheme="majorHAnsi" w:cstheme="majorHAnsi"/>
                <w:color w:val="000000" w:themeColor="text1"/>
                <w:sz w:val="20"/>
                <w:szCs w:val="20"/>
                <w:lang w:val="en-US"/>
              </w:rPr>
            </w:pPr>
            <w:r w:rsidRPr="00173FD6">
              <w:rPr>
                <w:rFonts w:asciiTheme="majorHAnsi" w:hAnsiTheme="majorHAnsi" w:cstheme="majorHAnsi"/>
                <w:color w:val="000000" w:themeColor="text1"/>
                <w:sz w:val="20"/>
                <w:szCs w:val="20"/>
                <w:lang w:val="en-US"/>
              </w:rPr>
              <w:t>Lumbia Central School</w:t>
            </w:r>
          </w:p>
        </w:tc>
      </w:tr>
    </w:tbl>
    <w:p w14:paraId="1B1CA670" w14:textId="77777777" w:rsidR="00E7548D" w:rsidRDefault="00E7548D" w:rsidP="002320B3">
      <w:pPr>
        <w:rPr>
          <w:rFonts w:asciiTheme="majorHAnsi" w:hAnsiTheme="majorHAnsi" w:cstheme="majorHAnsi"/>
          <w:b/>
          <w:lang w:val="en-US"/>
        </w:rPr>
        <w:sectPr w:rsidR="00E7548D" w:rsidSect="009C64E9">
          <w:pgSz w:w="16840" w:h="11900" w:orient="landscape"/>
          <w:pgMar w:top="720" w:right="720" w:bottom="720" w:left="720" w:header="720" w:footer="720" w:gutter="0"/>
          <w:cols w:space="720"/>
          <w:docGrid w:linePitch="360"/>
        </w:sectPr>
      </w:pPr>
    </w:p>
    <w:p w14:paraId="6182BF01" w14:textId="6ACB7A38" w:rsidR="00EC48C1" w:rsidRDefault="00EC48C1" w:rsidP="002320B3">
      <w:pPr>
        <w:rPr>
          <w:rFonts w:asciiTheme="majorHAnsi" w:hAnsiTheme="majorHAnsi" w:cstheme="majorHAnsi"/>
          <w:b/>
          <w:lang w:val="en-US"/>
        </w:rPr>
      </w:pPr>
    </w:p>
    <w:p w14:paraId="6FE66599" w14:textId="77777777" w:rsidR="008D0CAD" w:rsidRPr="00173FD6" w:rsidRDefault="008D0CAD" w:rsidP="002320B3">
      <w:pPr>
        <w:rPr>
          <w:rFonts w:asciiTheme="majorHAnsi" w:hAnsiTheme="majorHAnsi" w:cstheme="majorHAnsi"/>
          <w:b/>
          <w:lang w:val="en-US"/>
        </w:rPr>
      </w:pPr>
      <w:r w:rsidRPr="00173FD6">
        <w:rPr>
          <w:rFonts w:asciiTheme="majorHAnsi" w:hAnsiTheme="majorHAnsi" w:cstheme="majorHAnsi"/>
          <w:b/>
          <w:lang w:val="en-US"/>
        </w:rPr>
        <w:t xml:space="preserve">List of Schools that submitted complete school-level data sets (25 schools) </w:t>
      </w:r>
    </w:p>
    <w:p w14:paraId="74D48F6C" w14:textId="77777777" w:rsidR="008D0CAD" w:rsidRPr="00173FD6" w:rsidRDefault="008D0CAD" w:rsidP="002320B3">
      <w:pPr>
        <w:rPr>
          <w:rFonts w:asciiTheme="majorHAnsi" w:hAnsiTheme="majorHAnsi" w:cstheme="majorHAnsi"/>
          <w:b/>
          <w:lang w:val="en-US"/>
        </w:rPr>
      </w:pPr>
    </w:p>
    <w:tbl>
      <w:tblPr>
        <w:tblStyle w:val="TableGrid11"/>
        <w:tblW w:w="14140" w:type="dxa"/>
        <w:tblLook w:val="04A0" w:firstRow="1" w:lastRow="0" w:firstColumn="1" w:lastColumn="0" w:noHBand="0" w:noVBand="1"/>
      </w:tblPr>
      <w:tblGrid>
        <w:gridCol w:w="1060"/>
        <w:gridCol w:w="2040"/>
        <w:gridCol w:w="1380"/>
        <w:gridCol w:w="1960"/>
        <w:gridCol w:w="2320"/>
        <w:gridCol w:w="1320"/>
        <w:gridCol w:w="4060"/>
      </w:tblGrid>
      <w:tr w:rsidR="008D0CAD" w:rsidRPr="00173FD6" w14:paraId="676D4E47" w14:textId="77777777" w:rsidTr="00EC48C1">
        <w:trPr>
          <w:trHeight w:val="62"/>
        </w:trPr>
        <w:tc>
          <w:tcPr>
            <w:tcW w:w="1060" w:type="dxa"/>
            <w:noWrap/>
            <w:hideMark/>
          </w:tcPr>
          <w:p w14:paraId="198F115B" w14:textId="77777777" w:rsidR="008D0CAD" w:rsidRPr="00173FD6" w:rsidRDefault="008D0CAD" w:rsidP="002320B3">
            <w:pPr>
              <w:rPr>
                <w:rFonts w:asciiTheme="majorHAnsi" w:hAnsiTheme="majorHAnsi" w:cstheme="majorHAnsi"/>
                <w:b/>
                <w:color w:val="000000"/>
                <w:sz w:val="20"/>
                <w:szCs w:val="20"/>
                <w:lang w:val="en-US"/>
              </w:rPr>
            </w:pPr>
            <w:r w:rsidRPr="00173FD6">
              <w:rPr>
                <w:rFonts w:asciiTheme="majorHAnsi" w:hAnsiTheme="majorHAnsi" w:cstheme="majorHAnsi"/>
                <w:b/>
                <w:color w:val="000000"/>
                <w:sz w:val="20"/>
                <w:szCs w:val="20"/>
                <w:lang w:val="en-US"/>
              </w:rPr>
              <w:t>No</w:t>
            </w:r>
          </w:p>
        </w:tc>
        <w:tc>
          <w:tcPr>
            <w:tcW w:w="2040" w:type="dxa"/>
            <w:noWrap/>
            <w:hideMark/>
          </w:tcPr>
          <w:p w14:paraId="209991EC" w14:textId="77777777" w:rsidR="008D0CAD" w:rsidRPr="00173FD6" w:rsidRDefault="008D0CAD" w:rsidP="002320B3">
            <w:pPr>
              <w:rPr>
                <w:rFonts w:asciiTheme="majorHAnsi" w:hAnsiTheme="majorHAnsi" w:cstheme="majorHAnsi"/>
                <w:b/>
                <w:color w:val="000000"/>
                <w:sz w:val="20"/>
                <w:szCs w:val="20"/>
                <w:lang w:val="en-US"/>
              </w:rPr>
            </w:pPr>
            <w:r w:rsidRPr="00173FD6">
              <w:rPr>
                <w:rFonts w:asciiTheme="majorHAnsi" w:hAnsiTheme="majorHAnsi" w:cstheme="majorHAnsi"/>
                <w:b/>
                <w:color w:val="000000"/>
                <w:sz w:val="20"/>
                <w:szCs w:val="20"/>
                <w:lang w:val="en-US"/>
              </w:rPr>
              <w:t>TYPE</w:t>
            </w:r>
          </w:p>
        </w:tc>
        <w:tc>
          <w:tcPr>
            <w:tcW w:w="1380" w:type="dxa"/>
            <w:hideMark/>
          </w:tcPr>
          <w:p w14:paraId="3E7FD79C" w14:textId="77777777" w:rsidR="008D0CAD" w:rsidRPr="00173FD6" w:rsidRDefault="008D0CAD" w:rsidP="002320B3">
            <w:pPr>
              <w:rPr>
                <w:rFonts w:asciiTheme="majorHAnsi" w:hAnsiTheme="majorHAnsi" w:cstheme="majorHAnsi"/>
                <w:b/>
                <w:sz w:val="20"/>
                <w:szCs w:val="20"/>
                <w:lang w:val="en-US"/>
              </w:rPr>
            </w:pPr>
            <w:r w:rsidRPr="00173FD6">
              <w:rPr>
                <w:rFonts w:asciiTheme="majorHAnsi" w:hAnsiTheme="majorHAnsi" w:cstheme="majorHAnsi"/>
                <w:b/>
                <w:sz w:val="20"/>
                <w:szCs w:val="20"/>
                <w:lang w:val="en-US"/>
              </w:rPr>
              <w:t>REGION</w:t>
            </w:r>
          </w:p>
        </w:tc>
        <w:tc>
          <w:tcPr>
            <w:tcW w:w="1960" w:type="dxa"/>
            <w:hideMark/>
          </w:tcPr>
          <w:p w14:paraId="497F6373" w14:textId="77777777" w:rsidR="008D0CAD" w:rsidRPr="00173FD6" w:rsidRDefault="008D0CAD" w:rsidP="002320B3">
            <w:pPr>
              <w:rPr>
                <w:rFonts w:asciiTheme="majorHAnsi" w:hAnsiTheme="majorHAnsi" w:cstheme="majorHAnsi"/>
                <w:b/>
                <w:sz w:val="20"/>
                <w:szCs w:val="20"/>
                <w:lang w:val="en-US"/>
              </w:rPr>
            </w:pPr>
            <w:r w:rsidRPr="00173FD6">
              <w:rPr>
                <w:rFonts w:asciiTheme="majorHAnsi" w:hAnsiTheme="majorHAnsi" w:cstheme="majorHAnsi"/>
                <w:b/>
                <w:sz w:val="20"/>
                <w:szCs w:val="20"/>
                <w:lang w:val="en-US"/>
              </w:rPr>
              <w:t>Division</w:t>
            </w:r>
          </w:p>
        </w:tc>
        <w:tc>
          <w:tcPr>
            <w:tcW w:w="2320" w:type="dxa"/>
            <w:hideMark/>
          </w:tcPr>
          <w:p w14:paraId="3716FC35" w14:textId="77777777" w:rsidR="008D0CAD" w:rsidRPr="00173FD6" w:rsidRDefault="008D0CAD" w:rsidP="002320B3">
            <w:pPr>
              <w:rPr>
                <w:rFonts w:asciiTheme="majorHAnsi" w:hAnsiTheme="majorHAnsi" w:cstheme="majorHAnsi"/>
                <w:b/>
                <w:sz w:val="20"/>
                <w:szCs w:val="20"/>
                <w:lang w:val="en-US"/>
              </w:rPr>
            </w:pPr>
            <w:r w:rsidRPr="00173FD6">
              <w:rPr>
                <w:rFonts w:asciiTheme="majorHAnsi" w:hAnsiTheme="majorHAnsi" w:cstheme="majorHAnsi"/>
                <w:b/>
                <w:sz w:val="20"/>
                <w:szCs w:val="20"/>
                <w:lang w:val="en-US"/>
              </w:rPr>
              <w:t>District</w:t>
            </w:r>
          </w:p>
        </w:tc>
        <w:tc>
          <w:tcPr>
            <w:tcW w:w="1320" w:type="dxa"/>
            <w:noWrap/>
            <w:hideMark/>
          </w:tcPr>
          <w:p w14:paraId="07D65765" w14:textId="77777777" w:rsidR="008D0CAD" w:rsidRPr="00173FD6" w:rsidRDefault="008D0CAD" w:rsidP="002320B3">
            <w:pPr>
              <w:rPr>
                <w:rFonts w:asciiTheme="majorHAnsi" w:hAnsiTheme="majorHAnsi" w:cstheme="majorHAnsi"/>
                <w:b/>
                <w:color w:val="000000"/>
                <w:sz w:val="20"/>
                <w:szCs w:val="20"/>
                <w:lang w:val="en-US"/>
              </w:rPr>
            </w:pPr>
            <w:r w:rsidRPr="00173FD6">
              <w:rPr>
                <w:rFonts w:asciiTheme="majorHAnsi" w:hAnsiTheme="majorHAnsi" w:cstheme="majorHAnsi"/>
                <w:b/>
                <w:color w:val="000000"/>
                <w:sz w:val="20"/>
                <w:szCs w:val="20"/>
                <w:lang w:val="en-US"/>
              </w:rPr>
              <w:t>SCHOOL ID</w:t>
            </w:r>
          </w:p>
        </w:tc>
        <w:tc>
          <w:tcPr>
            <w:tcW w:w="4060" w:type="dxa"/>
            <w:hideMark/>
          </w:tcPr>
          <w:p w14:paraId="44E384E0" w14:textId="77777777" w:rsidR="008D0CAD" w:rsidRPr="00173FD6" w:rsidRDefault="008D0CAD" w:rsidP="002320B3">
            <w:pPr>
              <w:rPr>
                <w:rFonts w:asciiTheme="majorHAnsi" w:hAnsiTheme="majorHAnsi" w:cstheme="majorHAnsi"/>
                <w:b/>
                <w:bCs/>
                <w:color w:val="000000"/>
                <w:sz w:val="20"/>
                <w:szCs w:val="20"/>
                <w:lang w:val="en-US"/>
              </w:rPr>
            </w:pPr>
            <w:r w:rsidRPr="00173FD6">
              <w:rPr>
                <w:rFonts w:asciiTheme="majorHAnsi" w:hAnsiTheme="majorHAnsi" w:cstheme="majorHAnsi"/>
                <w:b/>
                <w:bCs/>
                <w:color w:val="000000"/>
                <w:sz w:val="20"/>
                <w:szCs w:val="20"/>
                <w:lang w:val="en-US"/>
              </w:rPr>
              <w:t>Name of Schools</w:t>
            </w:r>
          </w:p>
        </w:tc>
      </w:tr>
      <w:tr w:rsidR="008D0CAD" w:rsidRPr="00173FD6" w14:paraId="06927FE9" w14:textId="77777777" w:rsidTr="00EC48C1">
        <w:trPr>
          <w:trHeight w:val="62"/>
        </w:trPr>
        <w:tc>
          <w:tcPr>
            <w:tcW w:w="1060" w:type="dxa"/>
            <w:noWrap/>
            <w:hideMark/>
          </w:tcPr>
          <w:p w14:paraId="6760EFE1"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w:t>
            </w:r>
          </w:p>
        </w:tc>
        <w:tc>
          <w:tcPr>
            <w:tcW w:w="2040" w:type="dxa"/>
            <w:noWrap/>
            <w:hideMark/>
          </w:tcPr>
          <w:p w14:paraId="0CDF6EC5"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Direct Recipient</w:t>
            </w:r>
          </w:p>
        </w:tc>
        <w:tc>
          <w:tcPr>
            <w:tcW w:w="1380" w:type="dxa"/>
            <w:noWrap/>
            <w:hideMark/>
          </w:tcPr>
          <w:p w14:paraId="72A941D9"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NCR</w:t>
            </w:r>
          </w:p>
        </w:tc>
        <w:tc>
          <w:tcPr>
            <w:tcW w:w="1960" w:type="dxa"/>
            <w:noWrap/>
            <w:hideMark/>
          </w:tcPr>
          <w:p w14:paraId="62500A35"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Las Piñas City</w:t>
            </w:r>
          </w:p>
        </w:tc>
        <w:tc>
          <w:tcPr>
            <w:tcW w:w="2320" w:type="dxa"/>
            <w:hideMark/>
          </w:tcPr>
          <w:p w14:paraId="33A46E25"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Las Piñas City II</w:t>
            </w:r>
          </w:p>
        </w:tc>
        <w:tc>
          <w:tcPr>
            <w:tcW w:w="1320" w:type="dxa"/>
            <w:noWrap/>
            <w:hideMark/>
          </w:tcPr>
          <w:p w14:paraId="46224194"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136784</w:t>
            </w:r>
          </w:p>
        </w:tc>
        <w:tc>
          <w:tcPr>
            <w:tcW w:w="4060" w:type="dxa"/>
            <w:noWrap/>
            <w:hideMark/>
          </w:tcPr>
          <w:p w14:paraId="2B3AB730"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Dona Manuela Elementary School</w:t>
            </w:r>
          </w:p>
        </w:tc>
      </w:tr>
      <w:tr w:rsidR="008D0CAD" w:rsidRPr="00173FD6" w14:paraId="6253D242" w14:textId="77777777" w:rsidTr="00EC48C1">
        <w:trPr>
          <w:trHeight w:val="62"/>
        </w:trPr>
        <w:tc>
          <w:tcPr>
            <w:tcW w:w="1060" w:type="dxa"/>
            <w:noWrap/>
            <w:hideMark/>
          </w:tcPr>
          <w:p w14:paraId="3D41CE75"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2</w:t>
            </w:r>
          </w:p>
        </w:tc>
        <w:tc>
          <w:tcPr>
            <w:tcW w:w="2040" w:type="dxa"/>
            <w:noWrap/>
            <w:hideMark/>
          </w:tcPr>
          <w:p w14:paraId="209A3CEA"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Direct Recipient</w:t>
            </w:r>
          </w:p>
        </w:tc>
        <w:tc>
          <w:tcPr>
            <w:tcW w:w="1380" w:type="dxa"/>
            <w:noWrap/>
            <w:hideMark/>
          </w:tcPr>
          <w:p w14:paraId="581FB1C0"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NCR</w:t>
            </w:r>
          </w:p>
        </w:tc>
        <w:tc>
          <w:tcPr>
            <w:tcW w:w="1960" w:type="dxa"/>
            <w:noWrap/>
            <w:hideMark/>
          </w:tcPr>
          <w:p w14:paraId="52F2FD4C"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Las Piñas City</w:t>
            </w:r>
          </w:p>
        </w:tc>
        <w:tc>
          <w:tcPr>
            <w:tcW w:w="2320" w:type="dxa"/>
            <w:hideMark/>
          </w:tcPr>
          <w:p w14:paraId="4EEC31B0"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Las Piñas City II</w:t>
            </w:r>
          </w:p>
        </w:tc>
        <w:tc>
          <w:tcPr>
            <w:tcW w:w="1320" w:type="dxa"/>
            <w:noWrap/>
            <w:hideMark/>
          </w:tcPr>
          <w:p w14:paraId="563B080D"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136788</w:t>
            </w:r>
          </w:p>
        </w:tc>
        <w:tc>
          <w:tcPr>
            <w:tcW w:w="4060" w:type="dxa"/>
            <w:noWrap/>
            <w:hideMark/>
          </w:tcPr>
          <w:p w14:paraId="31B0AFC4"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Pamplona Elementary School I</w:t>
            </w:r>
          </w:p>
        </w:tc>
      </w:tr>
      <w:tr w:rsidR="008D0CAD" w:rsidRPr="00173FD6" w14:paraId="2A7180F8" w14:textId="77777777" w:rsidTr="00EC48C1">
        <w:trPr>
          <w:trHeight w:val="62"/>
        </w:trPr>
        <w:tc>
          <w:tcPr>
            <w:tcW w:w="1060" w:type="dxa"/>
            <w:noWrap/>
            <w:hideMark/>
          </w:tcPr>
          <w:p w14:paraId="44B628EF"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3</w:t>
            </w:r>
          </w:p>
        </w:tc>
        <w:tc>
          <w:tcPr>
            <w:tcW w:w="2040" w:type="dxa"/>
            <w:noWrap/>
            <w:hideMark/>
          </w:tcPr>
          <w:p w14:paraId="1B4D3570"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Direct Recipient</w:t>
            </w:r>
          </w:p>
        </w:tc>
        <w:tc>
          <w:tcPr>
            <w:tcW w:w="1380" w:type="dxa"/>
            <w:noWrap/>
            <w:hideMark/>
          </w:tcPr>
          <w:p w14:paraId="7C07D0A4"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NCR</w:t>
            </w:r>
          </w:p>
        </w:tc>
        <w:tc>
          <w:tcPr>
            <w:tcW w:w="1960" w:type="dxa"/>
            <w:noWrap/>
            <w:hideMark/>
          </w:tcPr>
          <w:p w14:paraId="52DC244E"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Paranaque City</w:t>
            </w:r>
          </w:p>
        </w:tc>
        <w:tc>
          <w:tcPr>
            <w:tcW w:w="2320" w:type="dxa"/>
            <w:hideMark/>
          </w:tcPr>
          <w:p w14:paraId="6269A092"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Paranaque City District I</w:t>
            </w:r>
          </w:p>
        </w:tc>
        <w:tc>
          <w:tcPr>
            <w:tcW w:w="1320" w:type="dxa"/>
            <w:noWrap/>
            <w:hideMark/>
          </w:tcPr>
          <w:p w14:paraId="0941F1E2"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136755</w:t>
            </w:r>
          </w:p>
        </w:tc>
        <w:tc>
          <w:tcPr>
            <w:tcW w:w="4060" w:type="dxa"/>
            <w:noWrap/>
            <w:hideMark/>
          </w:tcPr>
          <w:p w14:paraId="41E933B5"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Masville Elementary School</w:t>
            </w:r>
          </w:p>
        </w:tc>
      </w:tr>
      <w:tr w:rsidR="008D0CAD" w:rsidRPr="00173FD6" w14:paraId="7A9B20BF" w14:textId="77777777" w:rsidTr="00EC48C1">
        <w:trPr>
          <w:trHeight w:val="62"/>
        </w:trPr>
        <w:tc>
          <w:tcPr>
            <w:tcW w:w="1060" w:type="dxa"/>
            <w:noWrap/>
            <w:hideMark/>
          </w:tcPr>
          <w:p w14:paraId="5F6D783E"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4</w:t>
            </w:r>
          </w:p>
        </w:tc>
        <w:tc>
          <w:tcPr>
            <w:tcW w:w="2040" w:type="dxa"/>
            <w:noWrap/>
            <w:hideMark/>
          </w:tcPr>
          <w:p w14:paraId="05AACDAD"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Direct Recipient</w:t>
            </w:r>
          </w:p>
        </w:tc>
        <w:tc>
          <w:tcPr>
            <w:tcW w:w="1380" w:type="dxa"/>
            <w:noWrap/>
            <w:hideMark/>
          </w:tcPr>
          <w:p w14:paraId="04A10F96"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NCR</w:t>
            </w:r>
          </w:p>
        </w:tc>
        <w:tc>
          <w:tcPr>
            <w:tcW w:w="1960" w:type="dxa"/>
            <w:noWrap/>
            <w:hideMark/>
          </w:tcPr>
          <w:p w14:paraId="31DFA7A3"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Paranaque City</w:t>
            </w:r>
          </w:p>
        </w:tc>
        <w:tc>
          <w:tcPr>
            <w:tcW w:w="2320" w:type="dxa"/>
            <w:hideMark/>
          </w:tcPr>
          <w:p w14:paraId="6C2EF041"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Paranaque City District II</w:t>
            </w:r>
          </w:p>
        </w:tc>
        <w:tc>
          <w:tcPr>
            <w:tcW w:w="1320" w:type="dxa"/>
            <w:noWrap/>
            <w:hideMark/>
          </w:tcPr>
          <w:p w14:paraId="5FC3D7DC"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136772</w:t>
            </w:r>
          </w:p>
        </w:tc>
        <w:tc>
          <w:tcPr>
            <w:tcW w:w="4060" w:type="dxa"/>
            <w:noWrap/>
            <w:hideMark/>
          </w:tcPr>
          <w:p w14:paraId="773D02A3"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Rogelio G. Gatchalian Elementary School</w:t>
            </w:r>
          </w:p>
        </w:tc>
      </w:tr>
      <w:tr w:rsidR="008D0CAD" w:rsidRPr="00173FD6" w14:paraId="34FC0CB6" w14:textId="77777777" w:rsidTr="00EC48C1">
        <w:trPr>
          <w:trHeight w:val="62"/>
        </w:trPr>
        <w:tc>
          <w:tcPr>
            <w:tcW w:w="1060" w:type="dxa"/>
            <w:noWrap/>
            <w:hideMark/>
          </w:tcPr>
          <w:p w14:paraId="2C443134"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5</w:t>
            </w:r>
          </w:p>
        </w:tc>
        <w:tc>
          <w:tcPr>
            <w:tcW w:w="2040" w:type="dxa"/>
            <w:noWrap/>
            <w:hideMark/>
          </w:tcPr>
          <w:p w14:paraId="4F206E6F"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Direct Recipient</w:t>
            </w:r>
          </w:p>
        </w:tc>
        <w:tc>
          <w:tcPr>
            <w:tcW w:w="1380" w:type="dxa"/>
            <w:noWrap/>
            <w:hideMark/>
          </w:tcPr>
          <w:p w14:paraId="2A396A4C"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NCR</w:t>
            </w:r>
          </w:p>
        </w:tc>
        <w:tc>
          <w:tcPr>
            <w:tcW w:w="1960" w:type="dxa"/>
            <w:noWrap/>
            <w:hideMark/>
          </w:tcPr>
          <w:p w14:paraId="77AFB481"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Paranaque City</w:t>
            </w:r>
          </w:p>
        </w:tc>
        <w:tc>
          <w:tcPr>
            <w:tcW w:w="2320" w:type="dxa"/>
            <w:hideMark/>
          </w:tcPr>
          <w:p w14:paraId="2AACC355"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Paranaque City District III</w:t>
            </w:r>
          </w:p>
        </w:tc>
        <w:tc>
          <w:tcPr>
            <w:tcW w:w="1320" w:type="dxa"/>
            <w:noWrap/>
            <w:hideMark/>
          </w:tcPr>
          <w:p w14:paraId="40CE6121"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136771</w:t>
            </w:r>
          </w:p>
        </w:tc>
        <w:tc>
          <w:tcPr>
            <w:tcW w:w="4060" w:type="dxa"/>
            <w:noWrap/>
            <w:hideMark/>
          </w:tcPr>
          <w:p w14:paraId="4871133E"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Tambo Elementary School Unit I</w:t>
            </w:r>
          </w:p>
        </w:tc>
      </w:tr>
      <w:tr w:rsidR="008D0CAD" w:rsidRPr="00173FD6" w14:paraId="57046A25" w14:textId="77777777" w:rsidTr="00EC48C1">
        <w:trPr>
          <w:trHeight w:val="62"/>
        </w:trPr>
        <w:tc>
          <w:tcPr>
            <w:tcW w:w="1060" w:type="dxa"/>
            <w:noWrap/>
            <w:hideMark/>
          </w:tcPr>
          <w:p w14:paraId="44807E21"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6</w:t>
            </w:r>
          </w:p>
        </w:tc>
        <w:tc>
          <w:tcPr>
            <w:tcW w:w="2040" w:type="dxa"/>
            <w:noWrap/>
            <w:hideMark/>
          </w:tcPr>
          <w:p w14:paraId="107393EE"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Direct Recipient</w:t>
            </w:r>
          </w:p>
        </w:tc>
        <w:tc>
          <w:tcPr>
            <w:tcW w:w="1380" w:type="dxa"/>
            <w:noWrap/>
            <w:hideMark/>
          </w:tcPr>
          <w:p w14:paraId="3CFEC011"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NCR</w:t>
            </w:r>
          </w:p>
        </w:tc>
        <w:tc>
          <w:tcPr>
            <w:tcW w:w="1960" w:type="dxa"/>
            <w:noWrap/>
            <w:hideMark/>
          </w:tcPr>
          <w:p w14:paraId="141B2545"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Taguig</w:t>
            </w:r>
          </w:p>
        </w:tc>
        <w:tc>
          <w:tcPr>
            <w:tcW w:w="2320" w:type="dxa"/>
            <w:hideMark/>
          </w:tcPr>
          <w:p w14:paraId="70717A6A"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Taguig District I</w:t>
            </w:r>
          </w:p>
        </w:tc>
        <w:tc>
          <w:tcPr>
            <w:tcW w:w="1320" w:type="dxa"/>
            <w:noWrap/>
            <w:hideMark/>
          </w:tcPr>
          <w:p w14:paraId="4C72371B"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136879</w:t>
            </w:r>
          </w:p>
        </w:tc>
        <w:tc>
          <w:tcPr>
            <w:tcW w:w="4060" w:type="dxa"/>
            <w:noWrap/>
            <w:hideMark/>
          </w:tcPr>
          <w:p w14:paraId="54B8F7B9"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Ususan Elementary School</w:t>
            </w:r>
          </w:p>
        </w:tc>
      </w:tr>
      <w:tr w:rsidR="008D0CAD" w:rsidRPr="00173FD6" w14:paraId="0FDA9829" w14:textId="77777777" w:rsidTr="00EC48C1">
        <w:trPr>
          <w:trHeight w:val="62"/>
        </w:trPr>
        <w:tc>
          <w:tcPr>
            <w:tcW w:w="1060" w:type="dxa"/>
            <w:noWrap/>
            <w:hideMark/>
          </w:tcPr>
          <w:p w14:paraId="5F68E388"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7</w:t>
            </w:r>
          </w:p>
        </w:tc>
        <w:tc>
          <w:tcPr>
            <w:tcW w:w="2040" w:type="dxa"/>
            <w:noWrap/>
            <w:hideMark/>
          </w:tcPr>
          <w:p w14:paraId="55EDCD4B"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Indirect Recipient</w:t>
            </w:r>
          </w:p>
        </w:tc>
        <w:tc>
          <w:tcPr>
            <w:tcW w:w="1380" w:type="dxa"/>
            <w:noWrap/>
            <w:hideMark/>
          </w:tcPr>
          <w:p w14:paraId="1EE99DE0"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NCR</w:t>
            </w:r>
          </w:p>
        </w:tc>
        <w:tc>
          <w:tcPr>
            <w:tcW w:w="1960" w:type="dxa"/>
            <w:noWrap/>
            <w:hideMark/>
          </w:tcPr>
          <w:p w14:paraId="035A55DF"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Las Piñas City</w:t>
            </w:r>
          </w:p>
        </w:tc>
        <w:tc>
          <w:tcPr>
            <w:tcW w:w="2320" w:type="dxa"/>
            <w:hideMark/>
          </w:tcPr>
          <w:p w14:paraId="3B9D0808"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Las Piñas City II</w:t>
            </w:r>
          </w:p>
        </w:tc>
        <w:tc>
          <w:tcPr>
            <w:tcW w:w="1320" w:type="dxa"/>
            <w:noWrap/>
            <w:hideMark/>
          </w:tcPr>
          <w:p w14:paraId="1249E158"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226503</w:t>
            </w:r>
          </w:p>
        </w:tc>
        <w:tc>
          <w:tcPr>
            <w:tcW w:w="4060" w:type="dxa"/>
            <w:noWrap/>
            <w:hideMark/>
          </w:tcPr>
          <w:p w14:paraId="3756968E"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Talon 3 Elementary School</w:t>
            </w:r>
          </w:p>
        </w:tc>
      </w:tr>
      <w:tr w:rsidR="008D0CAD" w:rsidRPr="00173FD6" w14:paraId="485FC4F4" w14:textId="77777777" w:rsidTr="00EC48C1">
        <w:trPr>
          <w:trHeight w:val="62"/>
        </w:trPr>
        <w:tc>
          <w:tcPr>
            <w:tcW w:w="1060" w:type="dxa"/>
            <w:noWrap/>
            <w:hideMark/>
          </w:tcPr>
          <w:p w14:paraId="500C16D0"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8</w:t>
            </w:r>
          </w:p>
        </w:tc>
        <w:tc>
          <w:tcPr>
            <w:tcW w:w="2040" w:type="dxa"/>
            <w:noWrap/>
            <w:hideMark/>
          </w:tcPr>
          <w:p w14:paraId="7AD4130F"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Indirect Recipient</w:t>
            </w:r>
          </w:p>
        </w:tc>
        <w:tc>
          <w:tcPr>
            <w:tcW w:w="1380" w:type="dxa"/>
            <w:noWrap/>
            <w:hideMark/>
          </w:tcPr>
          <w:p w14:paraId="34EC1D10"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NCR</w:t>
            </w:r>
          </w:p>
        </w:tc>
        <w:tc>
          <w:tcPr>
            <w:tcW w:w="1960" w:type="dxa"/>
            <w:noWrap/>
            <w:hideMark/>
          </w:tcPr>
          <w:p w14:paraId="6123B6F7"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Manila</w:t>
            </w:r>
          </w:p>
        </w:tc>
        <w:tc>
          <w:tcPr>
            <w:tcW w:w="2320" w:type="dxa"/>
            <w:hideMark/>
          </w:tcPr>
          <w:p w14:paraId="322F1EDD"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Pandacan II</w:t>
            </w:r>
          </w:p>
        </w:tc>
        <w:tc>
          <w:tcPr>
            <w:tcW w:w="1320" w:type="dxa"/>
            <w:noWrap/>
            <w:hideMark/>
          </w:tcPr>
          <w:p w14:paraId="54BFC4CC"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136483</w:t>
            </w:r>
          </w:p>
        </w:tc>
        <w:tc>
          <w:tcPr>
            <w:tcW w:w="4060" w:type="dxa"/>
            <w:noWrap/>
            <w:hideMark/>
          </w:tcPr>
          <w:p w14:paraId="5BEDAF02"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Beata Elementary School</w:t>
            </w:r>
          </w:p>
        </w:tc>
      </w:tr>
      <w:tr w:rsidR="008D0CAD" w:rsidRPr="00173FD6" w14:paraId="406241E3" w14:textId="77777777" w:rsidTr="00EC48C1">
        <w:trPr>
          <w:trHeight w:val="62"/>
        </w:trPr>
        <w:tc>
          <w:tcPr>
            <w:tcW w:w="1060" w:type="dxa"/>
            <w:noWrap/>
            <w:hideMark/>
          </w:tcPr>
          <w:p w14:paraId="1D13ADB1"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9</w:t>
            </w:r>
          </w:p>
        </w:tc>
        <w:tc>
          <w:tcPr>
            <w:tcW w:w="2040" w:type="dxa"/>
            <w:noWrap/>
            <w:hideMark/>
          </w:tcPr>
          <w:p w14:paraId="16FB2C1B"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Direct Recipient</w:t>
            </w:r>
          </w:p>
        </w:tc>
        <w:tc>
          <w:tcPr>
            <w:tcW w:w="1380" w:type="dxa"/>
            <w:noWrap/>
            <w:hideMark/>
          </w:tcPr>
          <w:p w14:paraId="3CD7C241"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REGION V</w:t>
            </w:r>
          </w:p>
        </w:tc>
        <w:tc>
          <w:tcPr>
            <w:tcW w:w="1960" w:type="dxa"/>
            <w:noWrap/>
            <w:hideMark/>
          </w:tcPr>
          <w:p w14:paraId="3C44052A"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Camarines Sur</w:t>
            </w:r>
          </w:p>
        </w:tc>
        <w:tc>
          <w:tcPr>
            <w:tcW w:w="2320" w:type="dxa"/>
            <w:hideMark/>
          </w:tcPr>
          <w:p w14:paraId="1886F606"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Sipocot South</w:t>
            </w:r>
          </w:p>
        </w:tc>
        <w:tc>
          <w:tcPr>
            <w:tcW w:w="1320" w:type="dxa"/>
            <w:noWrap/>
            <w:hideMark/>
          </w:tcPr>
          <w:p w14:paraId="0C990EE3"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113083</w:t>
            </w:r>
          </w:p>
        </w:tc>
        <w:tc>
          <w:tcPr>
            <w:tcW w:w="4060" w:type="dxa"/>
            <w:noWrap/>
            <w:hideMark/>
          </w:tcPr>
          <w:p w14:paraId="66DCD19C"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Gabi Elementary School</w:t>
            </w:r>
          </w:p>
        </w:tc>
      </w:tr>
      <w:tr w:rsidR="008D0CAD" w:rsidRPr="00173FD6" w14:paraId="56631EA5" w14:textId="77777777" w:rsidTr="00EC48C1">
        <w:trPr>
          <w:trHeight w:val="62"/>
        </w:trPr>
        <w:tc>
          <w:tcPr>
            <w:tcW w:w="1060" w:type="dxa"/>
            <w:noWrap/>
            <w:hideMark/>
          </w:tcPr>
          <w:p w14:paraId="148670BE"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10</w:t>
            </w:r>
          </w:p>
        </w:tc>
        <w:tc>
          <w:tcPr>
            <w:tcW w:w="2040" w:type="dxa"/>
            <w:noWrap/>
            <w:hideMark/>
          </w:tcPr>
          <w:p w14:paraId="049FE33F"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Direct Recipient</w:t>
            </w:r>
          </w:p>
        </w:tc>
        <w:tc>
          <w:tcPr>
            <w:tcW w:w="1380" w:type="dxa"/>
            <w:noWrap/>
            <w:hideMark/>
          </w:tcPr>
          <w:p w14:paraId="04DDA089"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REGION V</w:t>
            </w:r>
          </w:p>
        </w:tc>
        <w:tc>
          <w:tcPr>
            <w:tcW w:w="1960" w:type="dxa"/>
            <w:noWrap/>
            <w:hideMark/>
          </w:tcPr>
          <w:p w14:paraId="45646789"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Sorsogon</w:t>
            </w:r>
          </w:p>
        </w:tc>
        <w:tc>
          <w:tcPr>
            <w:tcW w:w="2320" w:type="dxa"/>
            <w:hideMark/>
          </w:tcPr>
          <w:p w14:paraId="37E4BC5A"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Pilar I</w:t>
            </w:r>
          </w:p>
        </w:tc>
        <w:tc>
          <w:tcPr>
            <w:tcW w:w="1320" w:type="dxa"/>
            <w:noWrap/>
            <w:hideMark/>
          </w:tcPr>
          <w:p w14:paraId="5D1A8A68"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114340</w:t>
            </w:r>
          </w:p>
        </w:tc>
        <w:tc>
          <w:tcPr>
            <w:tcW w:w="4060" w:type="dxa"/>
            <w:noWrap/>
            <w:hideMark/>
          </w:tcPr>
          <w:p w14:paraId="5E3C9D15"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Bulabog Elementary School</w:t>
            </w:r>
          </w:p>
        </w:tc>
      </w:tr>
      <w:tr w:rsidR="008D0CAD" w:rsidRPr="00173FD6" w14:paraId="769A1783" w14:textId="77777777" w:rsidTr="00EC48C1">
        <w:trPr>
          <w:trHeight w:val="62"/>
        </w:trPr>
        <w:tc>
          <w:tcPr>
            <w:tcW w:w="1060" w:type="dxa"/>
            <w:noWrap/>
            <w:hideMark/>
          </w:tcPr>
          <w:p w14:paraId="339B8EFC"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11</w:t>
            </w:r>
          </w:p>
        </w:tc>
        <w:tc>
          <w:tcPr>
            <w:tcW w:w="2040" w:type="dxa"/>
            <w:noWrap/>
            <w:hideMark/>
          </w:tcPr>
          <w:p w14:paraId="71C93ABA"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Indirect Recipient</w:t>
            </w:r>
          </w:p>
        </w:tc>
        <w:tc>
          <w:tcPr>
            <w:tcW w:w="1380" w:type="dxa"/>
            <w:noWrap/>
            <w:hideMark/>
          </w:tcPr>
          <w:p w14:paraId="4FDEE1F6"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REGION V</w:t>
            </w:r>
          </w:p>
        </w:tc>
        <w:tc>
          <w:tcPr>
            <w:tcW w:w="1960" w:type="dxa"/>
            <w:noWrap/>
            <w:hideMark/>
          </w:tcPr>
          <w:p w14:paraId="348F85E4"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Camarines Sur</w:t>
            </w:r>
          </w:p>
        </w:tc>
        <w:tc>
          <w:tcPr>
            <w:tcW w:w="2320" w:type="dxa"/>
            <w:hideMark/>
          </w:tcPr>
          <w:p w14:paraId="01104869"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Tigaon</w:t>
            </w:r>
          </w:p>
        </w:tc>
        <w:tc>
          <w:tcPr>
            <w:tcW w:w="1320" w:type="dxa"/>
            <w:noWrap/>
            <w:hideMark/>
          </w:tcPr>
          <w:p w14:paraId="68B689AE"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403753</w:t>
            </w:r>
          </w:p>
        </w:tc>
        <w:tc>
          <w:tcPr>
            <w:tcW w:w="4060" w:type="dxa"/>
            <w:noWrap/>
            <w:hideMark/>
          </w:tcPr>
          <w:p w14:paraId="3DCCD87D"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Tigaon Adventist Elementary School</w:t>
            </w:r>
          </w:p>
        </w:tc>
      </w:tr>
      <w:tr w:rsidR="008D0CAD" w:rsidRPr="00173FD6" w14:paraId="6026D421" w14:textId="77777777" w:rsidTr="00EC48C1">
        <w:trPr>
          <w:trHeight w:val="62"/>
        </w:trPr>
        <w:tc>
          <w:tcPr>
            <w:tcW w:w="1060" w:type="dxa"/>
            <w:noWrap/>
            <w:hideMark/>
          </w:tcPr>
          <w:p w14:paraId="1084F035"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12</w:t>
            </w:r>
          </w:p>
        </w:tc>
        <w:tc>
          <w:tcPr>
            <w:tcW w:w="2040" w:type="dxa"/>
            <w:noWrap/>
            <w:hideMark/>
          </w:tcPr>
          <w:p w14:paraId="56FFDF38"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Direct Recipient</w:t>
            </w:r>
          </w:p>
        </w:tc>
        <w:tc>
          <w:tcPr>
            <w:tcW w:w="1380" w:type="dxa"/>
            <w:noWrap/>
            <w:hideMark/>
          </w:tcPr>
          <w:p w14:paraId="31234980"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REGION VI</w:t>
            </w:r>
          </w:p>
        </w:tc>
        <w:tc>
          <w:tcPr>
            <w:tcW w:w="1960" w:type="dxa"/>
            <w:noWrap/>
            <w:hideMark/>
          </w:tcPr>
          <w:p w14:paraId="31C78B64"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Antique</w:t>
            </w:r>
          </w:p>
        </w:tc>
        <w:tc>
          <w:tcPr>
            <w:tcW w:w="2320" w:type="dxa"/>
            <w:hideMark/>
          </w:tcPr>
          <w:p w14:paraId="4F3B57A4"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Patnongon I</w:t>
            </w:r>
          </w:p>
        </w:tc>
        <w:tc>
          <w:tcPr>
            <w:tcW w:w="1320" w:type="dxa"/>
            <w:noWrap/>
            <w:hideMark/>
          </w:tcPr>
          <w:p w14:paraId="329E0007"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115187</w:t>
            </w:r>
          </w:p>
        </w:tc>
        <w:tc>
          <w:tcPr>
            <w:tcW w:w="4060" w:type="dxa"/>
            <w:noWrap/>
            <w:hideMark/>
          </w:tcPr>
          <w:p w14:paraId="7273D106"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Tamayoc Elementary School</w:t>
            </w:r>
          </w:p>
        </w:tc>
      </w:tr>
      <w:tr w:rsidR="008D0CAD" w:rsidRPr="00173FD6" w14:paraId="4C803388" w14:textId="77777777" w:rsidTr="00EC48C1">
        <w:trPr>
          <w:trHeight w:val="62"/>
        </w:trPr>
        <w:tc>
          <w:tcPr>
            <w:tcW w:w="1060" w:type="dxa"/>
            <w:noWrap/>
            <w:hideMark/>
          </w:tcPr>
          <w:p w14:paraId="4CA4E70E"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13</w:t>
            </w:r>
          </w:p>
        </w:tc>
        <w:tc>
          <w:tcPr>
            <w:tcW w:w="2040" w:type="dxa"/>
            <w:noWrap/>
            <w:hideMark/>
          </w:tcPr>
          <w:p w14:paraId="6D40E198"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Direct Recipient</w:t>
            </w:r>
          </w:p>
        </w:tc>
        <w:tc>
          <w:tcPr>
            <w:tcW w:w="1380" w:type="dxa"/>
            <w:noWrap/>
            <w:hideMark/>
          </w:tcPr>
          <w:p w14:paraId="6D1B786E"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REGION VI</w:t>
            </w:r>
          </w:p>
        </w:tc>
        <w:tc>
          <w:tcPr>
            <w:tcW w:w="1960" w:type="dxa"/>
            <w:noWrap/>
            <w:hideMark/>
          </w:tcPr>
          <w:p w14:paraId="51E809AC"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Iloilo</w:t>
            </w:r>
          </w:p>
        </w:tc>
        <w:tc>
          <w:tcPr>
            <w:tcW w:w="2320" w:type="dxa"/>
            <w:hideMark/>
          </w:tcPr>
          <w:p w14:paraId="4DC7F31C"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Balasan</w:t>
            </w:r>
          </w:p>
        </w:tc>
        <w:tc>
          <w:tcPr>
            <w:tcW w:w="1320" w:type="dxa"/>
            <w:noWrap/>
            <w:hideMark/>
          </w:tcPr>
          <w:p w14:paraId="0AC65B08"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116021</w:t>
            </w:r>
          </w:p>
        </w:tc>
        <w:tc>
          <w:tcPr>
            <w:tcW w:w="4060" w:type="dxa"/>
            <w:noWrap/>
            <w:hideMark/>
          </w:tcPr>
          <w:p w14:paraId="769EFDEC"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Quiasan Elementary School</w:t>
            </w:r>
          </w:p>
        </w:tc>
      </w:tr>
      <w:tr w:rsidR="008D0CAD" w:rsidRPr="00173FD6" w14:paraId="716A8A04" w14:textId="77777777" w:rsidTr="00EC48C1">
        <w:trPr>
          <w:trHeight w:val="62"/>
        </w:trPr>
        <w:tc>
          <w:tcPr>
            <w:tcW w:w="1060" w:type="dxa"/>
            <w:noWrap/>
            <w:hideMark/>
          </w:tcPr>
          <w:p w14:paraId="6D45B85A"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14</w:t>
            </w:r>
          </w:p>
        </w:tc>
        <w:tc>
          <w:tcPr>
            <w:tcW w:w="2040" w:type="dxa"/>
            <w:noWrap/>
            <w:hideMark/>
          </w:tcPr>
          <w:p w14:paraId="26BE4DA2"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Direct Recipient</w:t>
            </w:r>
          </w:p>
        </w:tc>
        <w:tc>
          <w:tcPr>
            <w:tcW w:w="1380" w:type="dxa"/>
            <w:noWrap/>
            <w:hideMark/>
          </w:tcPr>
          <w:p w14:paraId="6DB4F9EB"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REGION VI</w:t>
            </w:r>
          </w:p>
        </w:tc>
        <w:tc>
          <w:tcPr>
            <w:tcW w:w="1960" w:type="dxa"/>
            <w:noWrap/>
            <w:hideMark/>
          </w:tcPr>
          <w:p w14:paraId="52E4A3CE"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Iloilo</w:t>
            </w:r>
          </w:p>
        </w:tc>
        <w:tc>
          <w:tcPr>
            <w:tcW w:w="2320" w:type="dxa"/>
            <w:hideMark/>
          </w:tcPr>
          <w:p w14:paraId="286D045B"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Maasin</w:t>
            </w:r>
          </w:p>
        </w:tc>
        <w:tc>
          <w:tcPr>
            <w:tcW w:w="1320" w:type="dxa"/>
            <w:noWrap/>
            <w:hideMark/>
          </w:tcPr>
          <w:p w14:paraId="794CEDD3"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116549</w:t>
            </w:r>
          </w:p>
        </w:tc>
        <w:tc>
          <w:tcPr>
            <w:tcW w:w="4060" w:type="dxa"/>
            <w:noWrap/>
            <w:hideMark/>
          </w:tcPr>
          <w:p w14:paraId="174C9E88"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Mandog Elementary School</w:t>
            </w:r>
          </w:p>
        </w:tc>
      </w:tr>
      <w:tr w:rsidR="008D0CAD" w:rsidRPr="00173FD6" w14:paraId="69900FB7" w14:textId="77777777" w:rsidTr="00EC48C1">
        <w:trPr>
          <w:trHeight w:val="62"/>
        </w:trPr>
        <w:tc>
          <w:tcPr>
            <w:tcW w:w="1060" w:type="dxa"/>
            <w:noWrap/>
            <w:hideMark/>
          </w:tcPr>
          <w:p w14:paraId="1F3DA7A7"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15</w:t>
            </w:r>
          </w:p>
        </w:tc>
        <w:tc>
          <w:tcPr>
            <w:tcW w:w="2040" w:type="dxa"/>
            <w:noWrap/>
            <w:hideMark/>
          </w:tcPr>
          <w:p w14:paraId="1B55703C"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Direct Recipient</w:t>
            </w:r>
          </w:p>
        </w:tc>
        <w:tc>
          <w:tcPr>
            <w:tcW w:w="1380" w:type="dxa"/>
            <w:noWrap/>
            <w:hideMark/>
          </w:tcPr>
          <w:p w14:paraId="37BF7AF9"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REGION VI</w:t>
            </w:r>
          </w:p>
        </w:tc>
        <w:tc>
          <w:tcPr>
            <w:tcW w:w="1960" w:type="dxa"/>
            <w:noWrap/>
            <w:hideMark/>
          </w:tcPr>
          <w:p w14:paraId="47DD7FBE"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Iloilo</w:t>
            </w:r>
          </w:p>
        </w:tc>
        <w:tc>
          <w:tcPr>
            <w:tcW w:w="2320" w:type="dxa"/>
            <w:hideMark/>
          </w:tcPr>
          <w:p w14:paraId="177A7B56"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Sara</w:t>
            </w:r>
          </w:p>
        </w:tc>
        <w:tc>
          <w:tcPr>
            <w:tcW w:w="1320" w:type="dxa"/>
            <w:noWrap/>
            <w:hideMark/>
          </w:tcPr>
          <w:p w14:paraId="50DA4784"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116783</w:t>
            </w:r>
          </w:p>
        </w:tc>
        <w:tc>
          <w:tcPr>
            <w:tcW w:w="4060" w:type="dxa"/>
            <w:noWrap/>
            <w:hideMark/>
          </w:tcPr>
          <w:p w14:paraId="60F67269"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Malapaya Elementary School</w:t>
            </w:r>
          </w:p>
        </w:tc>
      </w:tr>
      <w:tr w:rsidR="008D0CAD" w:rsidRPr="00173FD6" w14:paraId="5067E374" w14:textId="77777777" w:rsidTr="00EC48C1">
        <w:trPr>
          <w:trHeight w:val="62"/>
        </w:trPr>
        <w:tc>
          <w:tcPr>
            <w:tcW w:w="1060" w:type="dxa"/>
            <w:noWrap/>
            <w:hideMark/>
          </w:tcPr>
          <w:p w14:paraId="56B7DD0F"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16</w:t>
            </w:r>
          </w:p>
        </w:tc>
        <w:tc>
          <w:tcPr>
            <w:tcW w:w="2040" w:type="dxa"/>
            <w:noWrap/>
            <w:hideMark/>
          </w:tcPr>
          <w:p w14:paraId="66A872C5"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Indirect Recipient</w:t>
            </w:r>
          </w:p>
        </w:tc>
        <w:tc>
          <w:tcPr>
            <w:tcW w:w="1380" w:type="dxa"/>
            <w:noWrap/>
            <w:hideMark/>
          </w:tcPr>
          <w:p w14:paraId="6747E61A"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REGION VI</w:t>
            </w:r>
          </w:p>
        </w:tc>
        <w:tc>
          <w:tcPr>
            <w:tcW w:w="1960" w:type="dxa"/>
            <w:noWrap/>
            <w:hideMark/>
          </w:tcPr>
          <w:p w14:paraId="4C535AEC"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Antique</w:t>
            </w:r>
          </w:p>
        </w:tc>
        <w:tc>
          <w:tcPr>
            <w:tcW w:w="2320" w:type="dxa"/>
            <w:hideMark/>
          </w:tcPr>
          <w:p w14:paraId="34D3E3A8"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Anini-y</w:t>
            </w:r>
          </w:p>
        </w:tc>
        <w:tc>
          <w:tcPr>
            <w:tcW w:w="1320" w:type="dxa"/>
            <w:noWrap/>
            <w:hideMark/>
          </w:tcPr>
          <w:p w14:paraId="3FD1684B"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114942</w:t>
            </w:r>
          </w:p>
        </w:tc>
        <w:tc>
          <w:tcPr>
            <w:tcW w:w="4060" w:type="dxa"/>
            <w:noWrap/>
            <w:hideMark/>
          </w:tcPr>
          <w:p w14:paraId="5F9ACAEE"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Iba Elementary School</w:t>
            </w:r>
          </w:p>
        </w:tc>
      </w:tr>
      <w:tr w:rsidR="008D0CAD" w:rsidRPr="00173FD6" w14:paraId="6FB15667" w14:textId="77777777" w:rsidTr="00EC48C1">
        <w:trPr>
          <w:trHeight w:val="62"/>
        </w:trPr>
        <w:tc>
          <w:tcPr>
            <w:tcW w:w="1060" w:type="dxa"/>
            <w:noWrap/>
            <w:hideMark/>
          </w:tcPr>
          <w:p w14:paraId="3C8DAE8F"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17</w:t>
            </w:r>
          </w:p>
        </w:tc>
        <w:tc>
          <w:tcPr>
            <w:tcW w:w="2040" w:type="dxa"/>
            <w:noWrap/>
            <w:hideMark/>
          </w:tcPr>
          <w:p w14:paraId="226E807D"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Indirect Recipient</w:t>
            </w:r>
          </w:p>
        </w:tc>
        <w:tc>
          <w:tcPr>
            <w:tcW w:w="1380" w:type="dxa"/>
            <w:noWrap/>
            <w:hideMark/>
          </w:tcPr>
          <w:p w14:paraId="0443FB67"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REGION VI</w:t>
            </w:r>
          </w:p>
        </w:tc>
        <w:tc>
          <w:tcPr>
            <w:tcW w:w="1960" w:type="dxa"/>
            <w:noWrap/>
            <w:hideMark/>
          </w:tcPr>
          <w:p w14:paraId="3F10568A"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Antique</w:t>
            </w:r>
          </w:p>
        </w:tc>
        <w:tc>
          <w:tcPr>
            <w:tcW w:w="2320" w:type="dxa"/>
            <w:hideMark/>
          </w:tcPr>
          <w:p w14:paraId="70D4C7D8"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San Jose</w:t>
            </w:r>
          </w:p>
        </w:tc>
        <w:tc>
          <w:tcPr>
            <w:tcW w:w="1320" w:type="dxa"/>
            <w:noWrap/>
            <w:hideMark/>
          </w:tcPr>
          <w:p w14:paraId="2E038FE6"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115219</w:t>
            </w:r>
          </w:p>
        </w:tc>
        <w:tc>
          <w:tcPr>
            <w:tcW w:w="4060" w:type="dxa"/>
            <w:noWrap/>
            <w:hideMark/>
          </w:tcPr>
          <w:p w14:paraId="59B429B8"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Durog Elementary School</w:t>
            </w:r>
          </w:p>
        </w:tc>
      </w:tr>
      <w:tr w:rsidR="008D0CAD" w:rsidRPr="00173FD6" w14:paraId="5704A7BA" w14:textId="77777777" w:rsidTr="00EC48C1">
        <w:trPr>
          <w:trHeight w:val="62"/>
        </w:trPr>
        <w:tc>
          <w:tcPr>
            <w:tcW w:w="1060" w:type="dxa"/>
            <w:noWrap/>
            <w:hideMark/>
          </w:tcPr>
          <w:p w14:paraId="014C901A"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18</w:t>
            </w:r>
          </w:p>
        </w:tc>
        <w:tc>
          <w:tcPr>
            <w:tcW w:w="2040" w:type="dxa"/>
            <w:noWrap/>
            <w:hideMark/>
          </w:tcPr>
          <w:p w14:paraId="7140F176"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Direct Recipient</w:t>
            </w:r>
          </w:p>
        </w:tc>
        <w:tc>
          <w:tcPr>
            <w:tcW w:w="1380" w:type="dxa"/>
            <w:noWrap/>
            <w:hideMark/>
          </w:tcPr>
          <w:p w14:paraId="637C28AA"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REGION VII</w:t>
            </w:r>
          </w:p>
        </w:tc>
        <w:tc>
          <w:tcPr>
            <w:tcW w:w="1960" w:type="dxa"/>
            <w:noWrap/>
            <w:hideMark/>
          </w:tcPr>
          <w:p w14:paraId="2D30DD3F"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Danao City</w:t>
            </w:r>
          </w:p>
        </w:tc>
        <w:tc>
          <w:tcPr>
            <w:tcW w:w="2320" w:type="dxa"/>
            <w:hideMark/>
          </w:tcPr>
          <w:p w14:paraId="46A48B69"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Danao City West</w:t>
            </w:r>
          </w:p>
        </w:tc>
        <w:tc>
          <w:tcPr>
            <w:tcW w:w="1320" w:type="dxa"/>
            <w:noWrap/>
            <w:hideMark/>
          </w:tcPr>
          <w:p w14:paraId="31850699"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119338</w:t>
            </w:r>
          </w:p>
        </w:tc>
        <w:tc>
          <w:tcPr>
            <w:tcW w:w="4060" w:type="dxa"/>
            <w:noWrap/>
            <w:hideMark/>
          </w:tcPr>
          <w:p w14:paraId="575AF20C"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Lawaan Elementary School</w:t>
            </w:r>
          </w:p>
        </w:tc>
      </w:tr>
      <w:tr w:rsidR="008D0CAD" w:rsidRPr="00173FD6" w14:paraId="32415905" w14:textId="77777777" w:rsidTr="00EC48C1">
        <w:trPr>
          <w:trHeight w:val="107"/>
        </w:trPr>
        <w:tc>
          <w:tcPr>
            <w:tcW w:w="1060" w:type="dxa"/>
            <w:noWrap/>
            <w:hideMark/>
          </w:tcPr>
          <w:p w14:paraId="68A35D97"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19</w:t>
            </w:r>
          </w:p>
        </w:tc>
        <w:tc>
          <w:tcPr>
            <w:tcW w:w="2040" w:type="dxa"/>
            <w:noWrap/>
            <w:hideMark/>
          </w:tcPr>
          <w:p w14:paraId="5E4A4D95"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Direct Recipient</w:t>
            </w:r>
          </w:p>
        </w:tc>
        <w:tc>
          <w:tcPr>
            <w:tcW w:w="1380" w:type="dxa"/>
            <w:noWrap/>
            <w:hideMark/>
          </w:tcPr>
          <w:p w14:paraId="638F4443"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REGION VII</w:t>
            </w:r>
          </w:p>
        </w:tc>
        <w:tc>
          <w:tcPr>
            <w:tcW w:w="1960" w:type="dxa"/>
            <w:noWrap/>
            <w:hideMark/>
          </w:tcPr>
          <w:p w14:paraId="0A3AB734"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Mandaue City</w:t>
            </w:r>
          </w:p>
        </w:tc>
        <w:tc>
          <w:tcPr>
            <w:tcW w:w="2320" w:type="dxa"/>
            <w:hideMark/>
          </w:tcPr>
          <w:p w14:paraId="0992F8D8"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Mandaue City Central District</w:t>
            </w:r>
          </w:p>
        </w:tc>
        <w:tc>
          <w:tcPr>
            <w:tcW w:w="1320" w:type="dxa"/>
            <w:noWrap/>
            <w:hideMark/>
          </w:tcPr>
          <w:p w14:paraId="66613DB9"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119997</w:t>
            </w:r>
          </w:p>
        </w:tc>
        <w:tc>
          <w:tcPr>
            <w:tcW w:w="4060" w:type="dxa"/>
            <w:noWrap/>
            <w:hideMark/>
          </w:tcPr>
          <w:p w14:paraId="3B89D872"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Mandaue City Central School</w:t>
            </w:r>
          </w:p>
        </w:tc>
      </w:tr>
      <w:tr w:rsidR="008D0CAD" w:rsidRPr="00173FD6" w14:paraId="67F1FEB7" w14:textId="77777777" w:rsidTr="00EC48C1">
        <w:trPr>
          <w:trHeight w:val="62"/>
        </w:trPr>
        <w:tc>
          <w:tcPr>
            <w:tcW w:w="1060" w:type="dxa"/>
            <w:noWrap/>
            <w:hideMark/>
          </w:tcPr>
          <w:p w14:paraId="1000D2DC"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20</w:t>
            </w:r>
          </w:p>
        </w:tc>
        <w:tc>
          <w:tcPr>
            <w:tcW w:w="2040" w:type="dxa"/>
            <w:noWrap/>
            <w:hideMark/>
          </w:tcPr>
          <w:p w14:paraId="0AA604B0"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Indirect Recipient</w:t>
            </w:r>
          </w:p>
        </w:tc>
        <w:tc>
          <w:tcPr>
            <w:tcW w:w="1380" w:type="dxa"/>
            <w:noWrap/>
            <w:hideMark/>
          </w:tcPr>
          <w:p w14:paraId="1E0E8159"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REGION VII</w:t>
            </w:r>
          </w:p>
        </w:tc>
        <w:tc>
          <w:tcPr>
            <w:tcW w:w="1960" w:type="dxa"/>
            <w:noWrap/>
            <w:hideMark/>
          </w:tcPr>
          <w:p w14:paraId="2D84E9A8"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Cebu</w:t>
            </w:r>
          </w:p>
        </w:tc>
        <w:tc>
          <w:tcPr>
            <w:tcW w:w="2320" w:type="dxa"/>
            <w:hideMark/>
          </w:tcPr>
          <w:p w14:paraId="5F049FF5"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Catmon</w:t>
            </w:r>
          </w:p>
        </w:tc>
        <w:tc>
          <w:tcPr>
            <w:tcW w:w="1320" w:type="dxa"/>
            <w:noWrap/>
            <w:hideMark/>
          </w:tcPr>
          <w:p w14:paraId="4F79503F"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119212</w:t>
            </w:r>
          </w:p>
        </w:tc>
        <w:tc>
          <w:tcPr>
            <w:tcW w:w="4060" w:type="dxa"/>
            <w:noWrap/>
            <w:hideMark/>
          </w:tcPr>
          <w:p w14:paraId="7C085D58"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Cabunga-an Elementary School</w:t>
            </w:r>
          </w:p>
        </w:tc>
      </w:tr>
      <w:tr w:rsidR="008D0CAD" w:rsidRPr="00173FD6" w14:paraId="41ABB30F" w14:textId="77777777" w:rsidTr="00EC48C1">
        <w:trPr>
          <w:trHeight w:val="62"/>
        </w:trPr>
        <w:tc>
          <w:tcPr>
            <w:tcW w:w="1060" w:type="dxa"/>
            <w:noWrap/>
            <w:hideMark/>
          </w:tcPr>
          <w:p w14:paraId="49C59529"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21</w:t>
            </w:r>
          </w:p>
        </w:tc>
        <w:tc>
          <w:tcPr>
            <w:tcW w:w="2040" w:type="dxa"/>
            <w:noWrap/>
            <w:hideMark/>
          </w:tcPr>
          <w:p w14:paraId="3BF82833"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Direct Recipient</w:t>
            </w:r>
          </w:p>
        </w:tc>
        <w:tc>
          <w:tcPr>
            <w:tcW w:w="1380" w:type="dxa"/>
            <w:noWrap/>
            <w:hideMark/>
          </w:tcPr>
          <w:p w14:paraId="3A2B125B"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REGION VIII</w:t>
            </w:r>
          </w:p>
        </w:tc>
        <w:tc>
          <w:tcPr>
            <w:tcW w:w="1960" w:type="dxa"/>
            <w:noWrap/>
            <w:hideMark/>
          </w:tcPr>
          <w:p w14:paraId="216C0121"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Eastern Samar</w:t>
            </w:r>
          </w:p>
        </w:tc>
        <w:tc>
          <w:tcPr>
            <w:tcW w:w="2320" w:type="dxa"/>
            <w:hideMark/>
          </w:tcPr>
          <w:p w14:paraId="4774212F"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Lawaan</w:t>
            </w:r>
          </w:p>
        </w:tc>
        <w:tc>
          <w:tcPr>
            <w:tcW w:w="1320" w:type="dxa"/>
            <w:noWrap/>
            <w:hideMark/>
          </w:tcPr>
          <w:p w14:paraId="4D29EBE1"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122343</w:t>
            </w:r>
          </w:p>
        </w:tc>
        <w:tc>
          <w:tcPr>
            <w:tcW w:w="4060" w:type="dxa"/>
            <w:noWrap/>
            <w:hideMark/>
          </w:tcPr>
          <w:p w14:paraId="5C4AEE7A"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Beta-Og Elementary School</w:t>
            </w:r>
          </w:p>
        </w:tc>
      </w:tr>
      <w:tr w:rsidR="008D0CAD" w:rsidRPr="00173FD6" w14:paraId="0ADF4FA2" w14:textId="77777777" w:rsidTr="00EC48C1">
        <w:trPr>
          <w:trHeight w:val="62"/>
        </w:trPr>
        <w:tc>
          <w:tcPr>
            <w:tcW w:w="1060" w:type="dxa"/>
            <w:noWrap/>
            <w:hideMark/>
          </w:tcPr>
          <w:p w14:paraId="73012023"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22</w:t>
            </w:r>
          </w:p>
        </w:tc>
        <w:tc>
          <w:tcPr>
            <w:tcW w:w="2040" w:type="dxa"/>
            <w:noWrap/>
            <w:hideMark/>
          </w:tcPr>
          <w:p w14:paraId="0D3AC8D1"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Direct Recipient</w:t>
            </w:r>
          </w:p>
        </w:tc>
        <w:tc>
          <w:tcPr>
            <w:tcW w:w="1380" w:type="dxa"/>
            <w:noWrap/>
            <w:hideMark/>
          </w:tcPr>
          <w:p w14:paraId="2336B532"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REGION VIII</w:t>
            </w:r>
          </w:p>
        </w:tc>
        <w:tc>
          <w:tcPr>
            <w:tcW w:w="1960" w:type="dxa"/>
            <w:noWrap/>
            <w:hideMark/>
          </w:tcPr>
          <w:p w14:paraId="04D20CA5"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Eastern Samar</w:t>
            </w:r>
          </w:p>
        </w:tc>
        <w:tc>
          <w:tcPr>
            <w:tcW w:w="2320" w:type="dxa"/>
            <w:hideMark/>
          </w:tcPr>
          <w:p w14:paraId="093BC261"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Oras East</w:t>
            </w:r>
          </w:p>
        </w:tc>
        <w:tc>
          <w:tcPr>
            <w:tcW w:w="1320" w:type="dxa"/>
            <w:noWrap/>
            <w:hideMark/>
          </w:tcPr>
          <w:p w14:paraId="549CABB3"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122649</w:t>
            </w:r>
          </w:p>
        </w:tc>
        <w:tc>
          <w:tcPr>
            <w:tcW w:w="4060" w:type="dxa"/>
            <w:noWrap/>
            <w:hideMark/>
          </w:tcPr>
          <w:p w14:paraId="1973CF2A"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Saurong Elementary School</w:t>
            </w:r>
          </w:p>
        </w:tc>
      </w:tr>
      <w:tr w:rsidR="008D0CAD" w:rsidRPr="00173FD6" w14:paraId="1D85D4FF" w14:textId="77777777" w:rsidTr="00EC48C1">
        <w:trPr>
          <w:trHeight w:val="62"/>
        </w:trPr>
        <w:tc>
          <w:tcPr>
            <w:tcW w:w="1060" w:type="dxa"/>
            <w:noWrap/>
            <w:hideMark/>
          </w:tcPr>
          <w:p w14:paraId="33FEB75E"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23</w:t>
            </w:r>
          </w:p>
        </w:tc>
        <w:tc>
          <w:tcPr>
            <w:tcW w:w="2040" w:type="dxa"/>
            <w:noWrap/>
            <w:hideMark/>
          </w:tcPr>
          <w:p w14:paraId="4DCD6FDB"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Indirect Recipient</w:t>
            </w:r>
          </w:p>
        </w:tc>
        <w:tc>
          <w:tcPr>
            <w:tcW w:w="1380" w:type="dxa"/>
            <w:noWrap/>
            <w:hideMark/>
          </w:tcPr>
          <w:p w14:paraId="5D49152D"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REGION X</w:t>
            </w:r>
          </w:p>
        </w:tc>
        <w:tc>
          <w:tcPr>
            <w:tcW w:w="1960" w:type="dxa"/>
            <w:noWrap/>
            <w:hideMark/>
          </w:tcPr>
          <w:p w14:paraId="57BE3969"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Misamis Oriental</w:t>
            </w:r>
          </w:p>
        </w:tc>
        <w:tc>
          <w:tcPr>
            <w:tcW w:w="2320" w:type="dxa"/>
            <w:hideMark/>
          </w:tcPr>
          <w:p w14:paraId="37AD57B9"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Alubijid</w:t>
            </w:r>
          </w:p>
        </w:tc>
        <w:tc>
          <w:tcPr>
            <w:tcW w:w="1320" w:type="dxa"/>
            <w:noWrap/>
            <w:hideMark/>
          </w:tcPr>
          <w:p w14:paraId="100B213D"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127588</w:t>
            </w:r>
          </w:p>
        </w:tc>
        <w:tc>
          <w:tcPr>
            <w:tcW w:w="4060" w:type="dxa"/>
            <w:noWrap/>
            <w:hideMark/>
          </w:tcPr>
          <w:p w14:paraId="1606CA26"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Lagtang Elementary School</w:t>
            </w:r>
          </w:p>
        </w:tc>
      </w:tr>
      <w:tr w:rsidR="008D0CAD" w:rsidRPr="00173FD6" w14:paraId="49C21DB5" w14:textId="77777777" w:rsidTr="00EC48C1">
        <w:trPr>
          <w:trHeight w:val="62"/>
        </w:trPr>
        <w:tc>
          <w:tcPr>
            <w:tcW w:w="1060" w:type="dxa"/>
            <w:noWrap/>
            <w:hideMark/>
          </w:tcPr>
          <w:p w14:paraId="3248EF2A"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24</w:t>
            </w:r>
          </w:p>
        </w:tc>
        <w:tc>
          <w:tcPr>
            <w:tcW w:w="2040" w:type="dxa"/>
            <w:noWrap/>
            <w:hideMark/>
          </w:tcPr>
          <w:p w14:paraId="330BDE66"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Indirect Recipient</w:t>
            </w:r>
          </w:p>
        </w:tc>
        <w:tc>
          <w:tcPr>
            <w:tcW w:w="1380" w:type="dxa"/>
            <w:noWrap/>
            <w:hideMark/>
          </w:tcPr>
          <w:p w14:paraId="695FB51C"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REGION X</w:t>
            </w:r>
          </w:p>
        </w:tc>
        <w:tc>
          <w:tcPr>
            <w:tcW w:w="1960" w:type="dxa"/>
            <w:noWrap/>
            <w:hideMark/>
          </w:tcPr>
          <w:p w14:paraId="17B3ED02"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Misamis Oriental</w:t>
            </w:r>
          </w:p>
        </w:tc>
        <w:tc>
          <w:tcPr>
            <w:tcW w:w="2320" w:type="dxa"/>
            <w:hideMark/>
          </w:tcPr>
          <w:p w14:paraId="6C98268A"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Balingasag South (Balingasag District)</w:t>
            </w:r>
          </w:p>
        </w:tc>
        <w:tc>
          <w:tcPr>
            <w:tcW w:w="1320" w:type="dxa"/>
            <w:noWrap/>
            <w:hideMark/>
          </w:tcPr>
          <w:p w14:paraId="240B5A8B"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127632</w:t>
            </w:r>
          </w:p>
        </w:tc>
        <w:tc>
          <w:tcPr>
            <w:tcW w:w="4060" w:type="dxa"/>
            <w:noWrap/>
            <w:hideMark/>
          </w:tcPr>
          <w:p w14:paraId="629D5B3D"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Waterfall Elementary School</w:t>
            </w:r>
          </w:p>
        </w:tc>
      </w:tr>
      <w:tr w:rsidR="008D0CAD" w:rsidRPr="00173FD6" w14:paraId="5091BEBF" w14:textId="77777777" w:rsidTr="00EC48C1">
        <w:trPr>
          <w:trHeight w:val="62"/>
        </w:trPr>
        <w:tc>
          <w:tcPr>
            <w:tcW w:w="1060" w:type="dxa"/>
            <w:noWrap/>
            <w:hideMark/>
          </w:tcPr>
          <w:p w14:paraId="36FA8DD5"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25</w:t>
            </w:r>
          </w:p>
        </w:tc>
        <w:tc>
          <w:tcPr>
            <w:tcW w:w="2040" w:type="dxa"/>
            <w:noWrap/>
            <w:hideMark/>
          </w:tcPr>
          <w:p w14:paraId="451FFF7E"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Indirect Recipient</w:t>
            </w:r>
          </w:p>
        </w:tc>
        <w:tc>
          <w:tcPr>
            <w:tcW w:w="1380" w:type="dxa"/>
            <w:noWrap/>
            <w:hideMark/>
          </w:tcPr>
          <w:p w14:paraId="779959D0"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REGION X</w:t>
            </w:r>
          </w:p>
        </w:tc>
        <w:tc>
          <w:tcPr>
            <w:tcW w:w="1960" w:type="dxa"/>
            <w:noWrap/>
            <w:hideMark/>
          </w:tcPr>
          <w:p w14:paraId="511786FC"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Misamis Oriental</w:t>
            </w:r>
          </w:p>
        </w:tc>
        <w:tc>
          <w:tcPr>
            <w:tcW w:w="2320" w:type="dxa"/>
            <w:hideMark/>
          </w:tcPr>
          <w:p w14:paraId="0EA2464B"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Libertad</w:t>
            </w:r>
          </w:p>
        </w:tc>
        <w:tc>
          <w:tcPr>
            <w:tcW w:w="1320" w:type="dxa"/>
            <w:noWrap/>
            <w:hideMark/>
          </w:tcPr>
          <w:p w14:paraId="026F6F6F"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127761</w:t>
            </w:r>
          </w:p>
        </w:tc>
        <w:tc>
          <w:tcPr>
            <w:tcW w:w="4060" w:type="dxa"/>
            <w:noWrap/>
            <w:hideMark/>
          </w:tcPr>
          <w:p w14:paraId="0812B40B"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Lubluban Elementary School</w:t>
            </w:r>
          </w:p>
        </w:tc>
      </w:tr>
    </w:tbl>
    <w:p w14:paraId="024F916E" w14:textId="77777777" w:rsidR="008D0CAD" w:rsidRDefault="008D0CAD" w:rsidP="002320B3">
      <w:pPr>
        <w:rPr>
          <w:rFonts w:asciiTheme="majorHAnsi" w:hAnsiTheme="majorHAnsi" w:cstheme="majorHAnsi"/>
        </w:rPr>
        <w:sectPr w:rsidR="008D0CAD" w:rsidSect="009C64E9">
          <w:pgSz w:w="16840" w:h="11900" w:orient="landscape"/>
          <w:pgMar w:top="720" w:right="720" w:bottom="720" w:left="720" w:header="720" w:footer="720" w:gutter="0"/>
          <w:cols w:space="720"/>
          <w:docGrid w:linePitch="360"/>
        </w:sectPr>
      </w:pPr>
    </w:p>
    <w:p w14:paraId="418ACA4E" w14:textId="77777777" w:rsidR="008D0CAD" w:rsidRPr="00173FD6" w:rsidRDefault="008D0CAD" w:rsidP="002320B3">
      <w:pPr>
        <w:pStyle w:val="Heading2"/>
        <w:numPr>
          <w:ilvl w:val="0"/>
          <w:numId w:val="0"/>
        </w:numPr>
        <w:ind w:left="1288" w:hanging="720"/>
      </w:pPr>
      <w:bookmarkStart w:id="271" w:name="_Toc39938370"/>
      <w:bookmarkStart w:id="272" w:name="_Toc69820475"/>
      <w:r w:rsidRPr="00173FD6">
        <w:t>Annex I. KII Respondents</w:t>
      </w:r>
      <w:bookmarkEnd w:id="271"/>
      <w:bookmarkEnd w:id="272"/>
    </w:p>
    <w:p w14:paraId="047FE5AA" w14:textId="77777777" w:rsidR="008D0CAD" w:rsidRPr="00173FD6" w:rsidRDefault="008D0CAD" w:rsidP="002320B3">
      <w:pPr>
        <w:rPr>
          <w:rFonts w:asciiTheme="majorHAnsi" w:hAnsiTheme="majorHAnsi" w:cstheme="majorHAnsi"/>
          <w:sz w:val="20"/>
          <w:szCs w:val="20"/>
          <w:lang w:val="en-US"/>
        </w:rPr>
      </w:pPr>
    </w:p>
    <w:tbl>
      <w:tblPr>
        <w:tblStyle w:val="TableGrid8"/>
        <w:tblW w:w="9265" w:type="dxa"/>
        <w:tblLook w:val="04A0" w:firstRow="1" w:lastRow="0" w:firstColumn="1" w:lastColumn="0" w:noHBand="0" w:noVBand="1"/>
      </w:tblPr>
      <w:tblGrid>
        <w:gridCol w:w="2986"/>
        <w:gridCol w:w="5109"/>
        <w:gridCol w:w="1170"/>
      </w:tblGrid>
      <w:tr w:rsidR="008D0CAD" w:rsidRPr="004B064D" w14:paraId="4CC53795" w14:textId="77777777" w:rsidTr="007846B1">
        <w:trPr>
          <w:tblHeader/>
        </w:trPr>
        <w:tc>
          <w:tcPr>
            <w:tcW w:w="2986" w:type="dxa"/>
          </w:tcPr>
          <w:p w14:paraId="399A4E46" w14:textId="77777777" w:rsidR="008D0CAD" w:rsidRPr="004B064D" w:rsidRDefault="008D0CAD" w:rsidP="002320B3">
            <w:pPr>
              <w:rPr>
                <w:rFonts w:asciiTheme="majorHAnsi" w:hAnsiTheme="majorHAnsi" w:cstheme="majorHAnsi"/>
                <w:b/>
                <w:bCs/>
                <w:sz w:val="20"/>
                <w:szCs w:val="20"/>
                <w:lang w:val="en-US"/>
              </w:rPr>
            </w:pPr>
            <w:r w:rsidRPr="004B064D">
              <w:rPr>
                <w:rFonts w:asciiTheme="majorHAnsi" w:hAnsiTheme="majorHAnsi" w:cstheme="majorHAnsi"/>
                <w:b/>
                <w:bCs/>
                <w:sz w:val="20"/>
                <w:szCs w:val="20"/>
                <w:lang w:val="en-US"/>
              </w:rPr>
              <w:t>Name of Key Informant</w:t>
            </w:r>
          </w:p>
        </w:tc>
        <w:tc>
          <w:tcPr>
            <w:tcW w:w="5109" w:type="dxa"/>
          </w:tcPr>
          <w:p w14:paraId="6FB9B103" w14:textId="77777777" w:rsidR="008D0CAD" w:rsidRPr="004B064D" w:rsidRDefault="008D0CAD" w:rsidP="002320B3">
            <w:pPr>
              <w:rPr>
                <w:rFonts w:asciiTheme="majorHAnsi" w:hAnsiTheme="majorHAnsi" w:cstheme="majorHAnsi"/>
                <w:b/>
                <w:bCs/>
                <w:sz w:val="20"/>
                <w:szCs w:val="20"/>
                <w:lang w:val="en-US"/>
              </w:rPr>
            </w:pPr>
            <w:r w:rsidRPr="004B064D">
              <w:rPr>
                <w:rFonts w:asciiTheme="majorHAnsi" w:hAnsiTheme="majorHAnsi" w:cstheme="majorHAnsi"/>
                <w:b/>
                <w:bCs/>
                <w:sz w:val="20"/>
                <w:szCs w:val="20"/>
                <w:lang w:val="en-US"/>
              </w:rPr>
              <w:t>Position</w:t>
            </w:r>
          </w:p>
        </w:tc>
        <w:tc>
          <w:tcPr>
            <w:tcW w:w="1170" w:type="dxa"/>
          </w:tcPr>
          <w:p w14:paraId="41C8BB46" w14:textId="77777777" w:rsidR="008D0CAD" w:rsidRPr="004B064D" w:rsidRDefault="008D0CAD" w:rsidP="002320B3">
            <w:pPr>
              <w:rPr>
                <w:rFonts w:asciiTheme="majorHAnsi" w:hAnsiTheme="majorHAnsi" w:cstheme="majorHAnsi"/>
                <w:b/>
                <w:bCs/>
                <w:sz w:val="20"/>
                <w:szCs w:val="20"/>
                <w:lang w:val="en-US"/>
              </w:rPr>
            </w:pPr>
            <w:r w:rsidRPr="004B064D">
              <w:rPr>
                <w:rFonts w:asciiTheme="majorHAnsi" w:hAnsiTheme="majorHAnsi" w:cstheme="majorHAnsi"/>
                <w:b/>
                <w:bCs/>
                <w:sz w:val="20"/>
                <w:szCs w:val="20"/>
                <w:lang w:val="en-US"/>
              </w:rPr>
              <w:t>Sex</w:t>
            </w:r>
          </w:p>
        </w:tc>
      </w:tr>
      <w:tr w:rsidR="008D0CAD" w:rsidRPr="00173FD6" w14:paraId="7CA38BB4" w14:textId="77777777" w:rsidTr="00EC48C1">
        <w:tc>
          <w:tcPr>
            <w:tcW w:w="2986" w:type="dxa"/>
          </w:tcPr>
          <w:p w14:paraId="44F23016" w14:textId="77777777" w:rsidR="008D0CAD" w:rsidRPr="00173FD6" w:rsidRDefault="008D0CAD" w:rsidP="002320B3">
            <w:pPr>
              <w:rPr>
                <w:rFonts w:asciiTheme="majorHAnsi" w:hAnsiTheme="majorHAnsi" w:cstheme="majorHAnsi"/>
                <w:b/>
                <w:sz w:val="20"/>
                <w:szCs w:val="20"/>
                <w:lang w:val="en-US"/>
              </w:rPr>
            </w:pPr>
            <w:r w:rsidRPr="00173FD6">
              <w:rPr>
                <w:rFonts w:asciiTheme="majorHAnsi" w:hAnsiTheme="majorHAnsi" w:cstheme="majorHAnsi"/>
                <w:b/>
                <w:sz w:val="20"/>
                <w:szCs w:val="20"/>
                <w:lang w:val="en-US"/>
              </w:rPr>
              <w:t>DepEd Officials</w:t>
            </w:r>
          </w:p>
        </w:tc>
        <w:tc>
          <w:tcPr>
            <w:tcW w:w="5109" w:type="dxa"/>
          </w:tcPr>
          <w:p w14:paraId="1A2B977B" w14:textId="77777777" w:rsidR="008D0CAD" w:rsidRPr="00173FD6" w:rsidRDefault="008D0CAD" w:rsidP="002320B3">
            <w:pPr>
              <w:rPr>
                <w:rFonts w:asciiTheme="majorHAnsi" w:hAnsiTheme="majorHAnsi" w:cstheme="majorHAnsi"/>
                <w:sz w:val="20"/>
                <w:szCs w:val="20"/>
                <w:lang w:val="en-US"/>
              </w:rPr>
            </w:pPr>
          </w:p>
        </w:tc>
        <w:tc>
          <w:tcPr>
            <w:tcW w:w="1170" w:type="dxa"/>
          </w:tcPr>
          <w:p w14:paraId="155F1B35" w14:textId="77777777" w:rsidR="008D0CAD" w:rsidRPr="00173FD6" w:rsidRDefault="008D0CAD" w:rsidP="002320B3">
            <w:pPr>
              <w:rPr>
                <w:rFonts w:asciiTheme="majorHAnsi" w:hAnsiTheme="majorHAnsi" w:cstheme="majorHAnsi"/>
                <w:sz w:val="20"/>
                <w:szCs w:val="20"/>
                <w:lang w:val="en-US"/>
              </w:rPr>
            </w:pPr>
          </w:p>
        </w:tc>
      </w:tr>
      <w:tr w:rsidR="008D0CAD" w:rsidRPr="00173FD6" w14:paraId="7431AF97" w14:textId="77777777" w:rsidTr="00EC48C1">
        <w:tc>
          <w:tcPr>
            <w:tcW w:w="2986" w:type="dxa"/>
          </w:tcPr>
          <w:p w14:paraId="29337539"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Usec. Nepomuceno Malaluan</w:t>
            </w:r>
          </w:p>
          <w:p w14:paraId="3624D6DC" w14:textId="77777777" w:rsidR="008D0CAD" w:rsidRPr="00173FD6" w:rsidRDefault="008D0CAD" w:rsidP="002320B3">
            <w:pPr>
              <w:rPr>
                <w:rFonts w:asciiTheme="majorHAnsi" w:hAnsiTheme="majorHAnsi" w:cstheme="majorHAnsi"/>
                <w:sz w:val="20"/>
                <w:szCs w:val="20"/>
                <w:lang w:val="en-US"/>
              </w:rPr>
            </w:pPr>
          </w:p>
        </w:tc>
        <w:tc>
          <w:tcPr>
            <w:tcW w:w="5109" w:type="dxa"/>
          </w:tcPr>
          <w:p w14:paraId="3E5396E1"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color w:val="000000"/>
                <w:sz w:val="20"/>
                <w:szCs w:val="20"/>
                <w:lang w:val="en-US"/>
              </w:rPr>
              <w:t>Undersecretary and Chief of Staff Executive Sponsor BEST Program</w:t>
            </w:r>
          </w:p>
        </w:tc>
        <w:tc>
          <w:tcPr>
            <w:tcW w:w="1170" w:type="dxa"/>
          </w:tcPr>
          <w:p w14:paraId="27D0113A"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M</w:t>
            </w:r>
          </w:p>
        </w:tc>
      </w:tr>
      <w:tr w:rsidR="008D0CAD" w:rsidRPr="00173FD6" w14:paraId="56133ADA" w14:textId="77777777" w:rsidTr="00EC48C1">
        <w:tc>
          <w:tcPr>
            <w:tcW w:w="2986" w:type="dxa"/>
          </w:tcPr>
          <w:p w14:paraId="312A25AC"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John Arnold S. Siena</w:t>
            </w:r>
          </w:p>
        </w:tc>
        <w:tc>
          <w:tcPr>
            <w:tcW w:w="5109" w:type="dxa"/>
          </w:tcPr>
          <w:p w14:paraId="38F40E07"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 xml:space="preserve">Director IV, </w:t>
            </w:r>
            <w:r w:rsidRPr="00173FD6">
              <w:rPr>
                <w:rFonts w:asciiTheme="majorHAnsi" w:hAnsiTheme="majorHAnsi" w:cstheme="majorHAnsi"/>
                <w:sz w:val="20"/>
                <w:szCs w:val="20"/>
                <w:lang w:val="en-US"/>
              </w:rPr>
              <w:t>National Educators Academy of the Philippines (NEAP)</w:t>
            </w:r>
          </w:p>
        </w:tc>
        <w:tc>
          <w:tcPr>
            <w:tcW w:w="1170" w:type="dxa"/>
          </w:tcPr>
          <w:p w14:paraId="05CAF485"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M</w:t>
            </w:r>
          </w:p>
        </w:tc>
      </w:tr>
      <w:tr w:rsidR="008D0CAD" w:rsidRPr="00173FD6" w14:paraId="064A228F" w14:textId="77777777" w:rsidTr="00EC48C1">
        <w:tc>
          <w:tcPr>
            <w:tcW w:w="2986" w:type="dxa"/>
          </w:tcPr>
          <w:p w14:paraId="3AC5A14D" w14:textId="77777777" w:rsidR="008D0CAD" w:rsidRPr="00173FD6" w:rsidRDefault="008D0CAD" w:rsidP="002320B3">
            <w:pPr>
              <w:rPr>
                <w:rFonts w:asciiTheme="majorHAnsi" w:hAnsiTheme="majorHAnsi" w:cstheme="majorHAnsi"/>
                <w:b/>
                <w:sz w:val="20"/>
                <w:szCs w:val="20"/>
                <w:lang w:val="en-US"/>
              </w:rPr>
            </w:pPr>
            <w:r w:rsidRPr="00173FD6">
              <w:rPr>
                <w:rFonts w:asciiTheme="majorHAnsi" w:hAnsiTheme="majorHAnsi" w:cstheme="majorHAnsi"/>
                <w:b/>
                <w:sz w:val="20"/>
                <w:szCs w:val="20"/>
                <w:lang w:val="en-US"/>
              </w:rPr>
              <w:t>Former DepEd Officials</w:t>
            </w:r>
          </w:p>
        </w:tc>
        <w:tc>
          <w:tcPr>
            <w:tcW w:w="5109" w:type="dxa"/>
          </w:tcPr>
          <w:p w14:paraId="4AC9D439" w14:textId="77777777" w:rsidR="008D0CAD" w:rsidRPr="00173FD6" w:rsidRDefault="008D0CAD" w:rsidP="002320B3">
            <w:pPr>
              <w:rPr>
                <w:rFonts w:asciiTheme="majorHAnsi" w:hAnsiTheme="majorHAnsi" w:cstheme="majorHAnsi"/>
                <w:sz w:val="20"/>
                <w:szCs w:val="20"/>
                <w:lang w:val="en-US"/>
              </w:rPr>
            </w:pPr>
          </w:p>
        </w:tc>
        <w:tc>
          <w:tcPr>
            <w:tcW w:w="1170" w:type="dxa"/>
          </w:tcPr>
          <w:p w14:paraId="3BDF72F6" w14:textId="77777777" w:rsidR="008D0CAD" w:rsidRPr="00173FD6" w:rsidRDefault="008D0CAD" w:rsidP="002320B3">
            <w:pPr>
              <w:rPr>
                <w:rFonts w:asciiTheme="majorHAnsi" w:hAnsiTheme="majorHAnsi" w:cstheme="majorHAnsi"/>
                <w:sz w:val="20"/>
                <w:szCs w:val="20"/>
                <w:lang w:val="en-US"/>
              </w:rPr>
            </w:pPr>
          </w:p>
        </w:tc>
      </w:tr>
      <w:tr w:rsidR="008D0CAD" w:rsidRPr="00173FD6" w14:paraId="46A4E29C" w14:textId="77777777" w:rsidTr="00EC48C1">
        <w:tc>
          <w:tcPr>
            <w:tcW w:w="2986" w:type="dxa"/>
          </w:tcPr>
          <w:p w14:paraId="651C7D99"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Bro. Armin Luistro</w:t>
            </w:r>
          </w:p>
        </w:tc>
        <w:tc>
          <w:tcPr>
            <w:tcW w:w="5109" w:type="dxa"/>
          </w:tcPr>
          <w:p w14:paraId="110B3286"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Former DepEd Secretary</w:t>
            </w:r>
          </w:p>
        </w:tc>
        <w:tc>
          <w:tcPr>
            <w:tcW w:w="1170" w:type="dxa"/>
          </w:tcPr>
          <w:p w14:paraId="759DED48"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M</w:t>
            </w:r>
          </w:p>
        </w:tc>
      </w:tr>
      <w:tr w:rsidR="008D0CAD" w:rsidRPr="00173FD6" w14:paraId="1EEFD753" w14:textId="77777777" w:rsidTr="00EC48C1">
        <w:tc>
          <w:tcPr>
            <w:tcW w:w="2986" w:type="dxa"/>
          </w:tcPr>
          <w:p w14:paraId="3E965376"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color w:val="000000"/>
                <w:sz w:val="20"/>
                <w:szCs w:val="20"/>
                <w:lang w:val="en-US"/>
              </w:rPr>
              <w:t>Lino Rivera</w:t>
            </w:r>
          </w:p>
        </w:tc>
        <w:tc>
          <w:tcPr>
            <w:tcW w:w="5109" w:type="dxa"/>
          </w:tcPr>
          <w:p w14:paraId="280CB913"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color w:val="000000"/>
                <w:sz w:val="20"/>
                <w:szCs w:val="20"/>
                <w:lang w:val="en-US"/>
              </w:rPr>
              <w:t>Former DepEd Undersecretary</w:t>
            </w:r>
          </w:p>
        </w:tc>
        <w:tc>
          <w:tcPr>
            <w:tcW w:w="1170" w:type="dxa"/>
          </w:tcPr>
          <w:p w14:paraId="0B24D443"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M</w:t>
            </w:r>
          </w:p>
        </w:tc>
      </w:tr>
      <w:tr w:rsidR="008D0CAD" w:rsidRPr="00173FD6" w14:paraId="01FE144F" w14:textId="77777777" w:rsidTr="00EC48C1">
        <w:tc>
          <w:tcPr>
            <w:tcW w:w="2986" w:type="dxa"/>
          </w:tcPr>
          <w:p w14:paraId="72243B7A"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color w:val="000000"/>
                <w:sz w:val="20"/>
                <w:szCs w:val="20"/>
                <w:lang w:val="en-US"/>
              </w:rPr>
              <w:t>Reynaldo Antonio D. Laguda</w:t>
            </w:r>
          </w:p>
        </w:tc>
        <w:tc>
          <w:tcPr>
            <w:tcW w:w="5109" w:type="dxa"/>
          </w:tcPr>
          <w:p w14:paraId="730ABD97"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color w:val="000000"/>
                <w:sz w:val="20"/>
                <w:szCs w:val="20"/>
                <w:lang w:val="en-US"/>
              </w:rPr>
              <w:t>Former DepEd Undersecretary</w:t>
            </w:r>
          </w:p>
        </w:tc>
        <w:tc>
          <w:tcPr>
            <w:tcW w:w="1170" w:type="dxa"/>
          </w:tcPr>
          <w:p w14:paraId="7E1836DF"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M</w:t>
            </w:r>
          </w:p>
        </w:tc>
      </w:tr>
      <w:tr w:rsidR="008D0CAD" w:rsidRPr="00173FD6" w14:paraId="3C89E4BD" w14:textId="77777777" w:rsidTr="00EC48C1">
        <w:tc>
          <w:tcPr>
            <w:tcW w:w="2986" w:type="dxa"/>
          </w:tcPr>
          <w:p w14:paraId="0B5DC197" w14:textId="77777777" w:rsidR="008D0CAD" w:rsidRPr="00173FD6" w:rsidRDefault="008D0CAD" w:rsidP="002320B3">
            <w:pPr>
              <w:rPr>
                <w:rFonts w:asciiTheme="majorHAnsi" w:hAnsiTheme="majorHAnsi" w:cstheme="majorHAnsi"/>
                <w:b/>
                <w:sz w:val="20"/>
                <w:szCs w:val="20"/>
                <w:lang w:val="en-US"/>
              </w:rPr>
            </w:pPr>
            <w:r w:rsidRPr="00173FD6">
              <w:rPr>
                <w:rFonts w:asciiTheme="majorHAnsi" w:hAnsiTheme="majorHAnsi" w:cstheme="majorHAnsi"/>
                <w:b/>
                <w:sz w:val="20"/>
                <w:szCs w:val="20"/>
                <w:lang w:val="en-US"/>
              </w:rPr>
              <w:t>Central Office Respondents</w:t>
            </w:r>
          </w:p>
        </w:tc>
        <w:tc>
          <w:tcPr>
            <w:tcW w:w="5109" w:type="dxa"/>
          </w:tcPr>
          <w:p w14:paraId="26D87BC0" w14:textId="77777777" w:rsidR="008D0CAD" w:rsidRPr="00173FD6" w:rsidRDefault="008D0CAD" w:rsidP="002320B3">
            <w:pPr>
              <w:rPr>
                <w:rFonts w:asciiTheme="majorHAnsi" w:hAnsiTheme="majorHAnsi" w:cstheme="majorHAnsi"/>
                <w:sz w:val="20"/>
                <w:szCs w:val="20"/>
                <w:lang w:val="en-US"/>
              </w:rPr>
            </w:pPr>
          </w:p>
        </w:tc>
        <w:tc>
          <w:tcPr>
            <w:tcW w:w="1170" w:type="dxa"/>
          </w:tcPr>
          <w:p w14:paraId="5A104091" w14:textId="77777777" w:rsidR="008D0CAD" w:rsidRPr="00173FD6" w:rsidRDefault="008D0CAD" w:rsidP="002320B3">
            <w:pPr>
              <w:rPr>
                <w:rFonts w:asciiTheme="majorHAnsi" w:hAnsiTheme="majorHAnsi" w:cstheme="majorHAnsi"/>
                <w:sz w:val="20"/>
                <w:szCs w:val="20"/>
                <w:lang w:val="en-US"/>
              </w:rPr>
            </w:pPr>
          </w:p>
        </w:tc>
      </w:tr>
      <w:tr w:rsidR="008D0CAD" w:rsidRPr="00173FD6" w14:paraId="0D3BE5C1" w14:textId="77777777" w:rsidTr="00EC48C1">
        <w:tc>
          <w:tcPr>
            <w:tcW w:w="2986" w:type="dxa"/>
          </w:tcPr>
          <w:p w14:paraId="1118F197" w14:textId="77777777" w:rsidR="008D0CAD" w:rsidRPr="00173FD6" w:rsidRDefault="008D0CAD" w:rsidP="002320B3">
            <w:pPr>
              <w:rPr>
                <w:rFonts w:asciiTheme="majorHAnsi" w:hAnsiTheme="majorHAnsi" w:cstheme="majorHAnsi"/>
                <w:b/>
                <w:color w:val="000000"/>
                <w:sz w:val="20"/>
                <w:szCs w:val="20"/>
                <w:lang w:val="en-US"/>
              </w:rPr>
            </w:pPr>
            <w:r w:rsidRPr="00173FD6">
              <w:rPr>
                <w:rFonts w:asciiTheme="majorHAnsi" w:hAnsiTheme="majorHAnsi" w:cstheme="majorHAnsi"/>
                <w:b/>
                <w:color w:val="0070C0"/>
                <w:sz w:val="20"/>
                <w:szCs w:val="20"/>
                <w:lang w:val="en-US"/>
              </w:rPr>
              <w:t>Project Management Division</w:t>
            </w:r>
          </w:p>
        </w:tc>
        <w:tc>
          <w:tcPr>
            <w:tcW w:w="5109" w:type="dxa"/>
          </w:tcPr>
          <w:p w14:paraId="04F8F9E9" w14:textId="77777777" w:rsidR="008D0CAD" w:rsidRPr="00173FD6" w:rsidRDefault="008D0CAD" w:rsidP="002320B3">
            <w:pPr>
              <w:rPr>
                <w:rFonts w:asciiTheme="majorHAnsi" w:hAnsiTheme="majorHAnsi" w:cstheme="majorHAnsi"/>
                <w:color w:val="000000"/>
                <w:sz w:val="20"/>
                <w:szCs w:val="20"/>
                <w:lang w:val="en-US"/>
              </w:rPr>
            </w:pPr>
          </w:p>
        </w:tc>
        <w:tc>
          <w:tcPr>
            <w:tcW w:w="1170" w:type="dxa"/>
          </w:tcPr>
          <w:p w14:paraId="5E982121" w14:textId="77777777" w:rsidR="008D0CAD" w:rsidRPr="00173FD6" w:rsidRDefault="008D0CAD" w:rsidP="002320B3">
            <w:pPr>
              <w:rPr>
                <w:rFonts w:asciiTheme="majorHAnsi" w:hAnsiTheme="majorHAnsi" w:cstheme="majorHAnsi"/>
                <w:sz w:val="20"/>
                <w:szCs w:val="20"/>
                <w:lang w:val="en-US"/>
              </w:rPr>
            </w:pPr>
          </w:p>
        </w:tc>
      </w:tr>
      <w:tr w:rsidR="008D0CAD" w:rsidRPr="00173FD6" w14:paraId="5EF54C35" w14:textId="77777777" w:rsidTr="00EC48C1">
        <w:tc>
          <w:tcPr>
            <w:tcW w:w="2986" w:type="dxa"/>
          </w:tcPr>
          <w:p w14:paraId="4DE9CCC4"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Miriam N. Coprado</w:t>
            </w:r>
          </w:p>
        </w:tc>
        <w:tc>
          <w:tcPr>
            <w:tcW w:w="5109" w:type="dxa"/>
          </w:tcPr>
          <w:p w14:paraId="1D616920"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OIC-Chief Project Development Officer V</w:t>
            </w:r>
          </w:p>
        </w:tc>
        <w:tc>
          <w:tcPr>
            <w:tcW w:w="1170" w:type="dxa"/>
          </w:tcPr>
          <w:p w14:paraId="3D0AB602"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F</w:t>
            </w:r>
          </w:p>
        </w:tc>
      </w:tr>
      <w:tr w:rsidR="008D0CAD" w:rsidRPr="00173FD6" w14:paraId="6BDD6FB6" w14:textId="77777777" w:rsidTr="00EC48C1">
        <w:tc>
          <w:tcPr>
            <w:tcW w:w="2986" w:type="dxa"/>
          </w:tcPr>
          <w:p w14:paraId="03797329"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sz w:val="20"/>
                <w:szCs w:val="20"/>
                <w:lang w:val="en-US"/>
              </w:rPr>
              <w:t>Erwin Yumping</w:t>
            </w:r>
          </w:p>
        </w:tc>
        <w:tc>
          <w:tcPr>
            <w:tcW w:w="5109" w:type="dxa"/>
          </w:tcPr>
          <w:p w14:paraId="6543A091"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Project Development Officer V</w:t>
            </w:r>
          </w:p>
        </w:tc>
        <w:tc>
          <w:tcPr>
            <w:tcW w:w="1170" w:type="dxa"/>
          </w:tcPr>
          <w:p w14:paraId="6E73CF1D"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M</w:t>
            </w:r>
          </w:p>
        </w:tc>
      </w:tr>
      <w:tr w:rsidR="007F0BFF" w:rsidRPr="00173FD6" w14:paraId="2C3FBC38" w14:textId="77777777" w:rsidTr="00FF4CA3">
        <w:tc>
          <w:tcPr>
            <w:tcW w:w="2986" w:type="dxa"/>
          </w:tcPr>
          <w:p w14:paraId="1D9EE294" w14:textId="77777777" w:rsidR="007F0BFF" w:rsidRPr="00173FD6" w:rsidRDefault="007F0BFF" w:rsidP="002320B3">
            <w:pPr>
              <w:rPr>
                <w:rFonts w:asciiTheme="majorHAnsi" w:hAnsiTheme="majorHAnsi" w:cstheme="majorHAnsi"/>
                <w:color w:val="000000"/>
                <w:sz w:val="20"/>
                <w:szCs w:val="20"/>
                <w:lang w:val="en-US"/>
              </w:rPr>
            </w:pPr>
            <w:r w:rsidRPr="00173FD6">
              <w:rPr>
                <w:rFonts w:asciiTheme="majorHAnsi" w:hAnsiTheme="majorHAnsi" w:cstheme="majorHAnsi"/>
                <w:b/>
                <w:color w:val="0070C0"/>
                <w:sz w:val="20"/>
                <w:szCs w:val="20"/>
                <w:lang w:val="en-US"/>
              </w:rPr>
              <w:t>Planning Service - Planning and Programming Division</w:t>
            </w:r>
          </w:p>
        </w:tc>
        <w:tc>
          <w:tcPr>
            <w:tcW w:w="5109" w:type="dxa"/>
          </w:tcPr>
          <w:p w14:paraId="291393C7" w14:textId="0BDFA3E3" w:rsidR="007F0BFF" w:rsidRPr="00173FD6" w:rsidRDefault="007F0BFF" w:rsidP="002320B3">
            <w:pPr>
              <w:rPr>
                <w:rFonts w:asciiTheme="majorHAnsi" w:hAnsiTheme="majorHAnsi" w:cstheme="majorHAnsi"/>
                <w:color w:val="000000"/>
                <w:sz w:val="20"/>
                <w:szCs w:val="20"/>
                <w:lang w:val="en-US"/>
              </w:rPr>
            </w:pPr>
          </w:p>
        </w:tc>
        <w:tc>
          <w:tcPr>
            <w:tcW w:w="1170" w:type="dxa"/>
          </w:tcPr>
          <w:p w14:paraId="6F18FA1A" w14:textId="77777777" w:rsidR="007F0BFF" w:rsidRPr="00173FD6" w:rsidRDefault="007F0BFF" w:rsidP="002320B3">
            <w:pPr>
              <w:rPr>
                <w:rFonts w:asciiTheme="majorHAnsi" w:hAnsiTheme="majorHAnsi" w:cstheme="majorHAnsi"/>
                <w:sz w:val="20"/>
                <w:szCs w:val="20"/>
                <w:lang w:val="en-US"/>
              </w:rPr>
            </w:pPr>
          </w:p>
        </w:tc>
      </w:tr>
      <w:tr w:rsidR="008D0CAD" w:rsidRPr="00173FD6" w14:paraId="4F5058BB" w14:textId="77777777" w:rsidTr="00EC48C1">
        <w:tc>
          <w:tcPr>
            <w:tcW w:w="2986" w:type="dxa"/>
          </w:tcPr>
          <w:p w14:paraId="24248517"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Mary Jane Feliciano</w:t>
            </w:r>
          </w:p>
        </w:tc>
        <w:tc>
          <w:tcPr>
            <w:tcW w:w="5109" w:type="dxa"/>
          </w:tcPr>
          <w:p w14:paraId="2812878B"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Planning Officer V</w:t>
            </w:r>
          </w:p>
        </w:tc>
        <w:tc>
          <w:tcPr>
            <w:tcW w:w="1170" w:type="dxa"/>
          </w:tcPr>
          <w:p w14:paraId="69E69E35"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F</w:t>
            </w:r>
          </w:p>
        </w:tc>
      </w:tr>
      <w:tr w:rsidR="008D0CAD" w:rsidRPr="00173FD6" w14:paraId="45EA157E" w14:textId="77777777" w:rsidTr="00EC48C1">
        <w:tc>
          <w:tcPr>
            <w:tcW w:w="2986" w:type="dxa"/>
          </w:tcPr>
          <w:p w14:paraId="5868D2FA"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sz w:val="20"/>
                <w:szCs w:val="20"/>
                <w:lang w:val="en-US"/>
              </w:rPr>
              <w:t>Edwin E. Calubag</w:t>
            </w:r>
          </w:p>
        </w:tc>
        <w:tc>
          <w:tcPr>
            <w:tcW w:w="5109" w:type="dxa"/>
          </w:tcPr>
          <w:p w14:paraId="4872A0E1"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Planning Officer IV</w:t>
            </w:r>
          </w:p>
        </w:tc>
        <w:tc>
          <w:tcPr>
            <w:tcW w:w="1170" w:type="dxa"/>
          </w:tcPr>
          <w:p w14:paraId="7092AC54"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M</w:t>
            </w:r>
          </w:p>
        </w:tc>
      </w:tr>
      <w:tr w:rsidR="007F0BFF" w:rsidRPr="00173FD6" w14:paraId="1A0EF0B3" w14:textId="77777777" w:rsidTr="00FF4CA3">
        <w:tc>
          <w:tcPr>
            <w:tcW w:w="2986" w:type="dxa"/>
          </w:tcPr>
          <w:p w14:paraId="102DFD39" w14:textId="77777777" w:rsidR="007F0BFF" w:rsidRPr="00173FD6" w:rsidRDefault="007F0BFF" w:rsidP="002320B3">
            <w:pPr>
              <w:rPr>
                <w:rFonts w:asciiTheme="majorHAnsi" w:hAnsiTheme="majorHAnsi" w:cstheme="majorHAnsi"/>
                <w:color w:val="000000"/>
                <w:sz w:val="20"/>
                <w:szCs w:val="20"/>
                <w:lang w:val="en-US"/>
              </w:rPr>
            </w:pPr>
            <w:r w:rsidRPr="00173FD6">
              <w:rPr>
                <w:rFonts w:asciiTheme="majorHAnsi" w:hAnsiTheme="majorHAnsi" w:cstheme="majorHAnsi"/>
                <w:b/>
                <w:color w:val="0070C0"/>
                <w:sz w:val="20"/>
                <w:szCs w:val="20"/>
                <w:lang w:val="en-US"/>
              </w:rPr>
              <w:t>Planning Service - Policy Research and Development Division</w:t>
            </w:r>
          </w:p>
        </w:tc>
        <w:tc>
          <w:tcPr>
            <w:tcW w:w="5109" w:type="dxa"/>
          </w:tcPr>
          <w:p w14:paraId="404749BB" w14:textId="70C6A828" w:rsidR="007F0BFF" w:rsidRPr="00173FD6" w:rsidRDefault="007F0BFF" w:rsidP="002320B3">
            <w:pPr>
              <w:rPr>
                <w:rFonts w:asciiTheme="majorHAnsi" w:hAnsiTheme="majorHAnsi" w:cstheme="majorHAnsi"/>
                <w:color w:val="000000"/>
                <w:sz w:val="20"/>
                <w:szCs w:val="20"/>
                <w:lang w:val="en-US"/>
              </w:rPr>
            </w:pPr>
          </w:p>
        </w:tc>
        <w:tc>
          <w:tcPr>
            <w:tcW w:w="1170" w:type="dxa"/>
          </w:tcPr>
          <w:p w14:paraId="09E4654D" w14:textId="77777777" w:rsidR="007F0BFF" w:rsidRPr="00173FD6" w:rsidRDefault="007F0BFF" w:rsidP="002320B3">
            <w:pPr>
              <w:rPr>
                <w:rFonts w:asciiTheme="majorHAnsi" w:hAnsiTheme="majorHAnsi" w:cstheme="majorHAnsi"/>
                <w:sz w:val="20"/>
                <w:szCs w:val="20"/>
                <w:lang w:val="en-US"/>
              </w:rPr>
            </w:pPr>
          </w:p>
        </w:tc>
      </w:tr>
      <w:tr w:rsidR="008D0CAD" w:rsidRPr="00173FD6" w14:paraId="7F2E7CA7" w14:textId="77777777" w:rsidTr="00EC48C1">
        <w:tc>
          <w:tcPr>
            <w:tcW w:w="2986" w:type="dxa"/>
          </w:tcPr>
          <w:p w14:paraId="4A34BF92"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Mariel Bayangos</w:t>
            </w:r>
          </w:p>
        </w:tc>
        <w:tc>
          <w:tcPr>
            <w:tcW w:w="5109" w:type="dxa"/>
          </w:tcPr>
          <w:p w14:paraId="64A614E3"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 xml:space="preserve">Chief </w:t>
            </w:r>
            <w:r w:rsidRPr="00173FD6">
              <w:rPr>
                <w:rFonts w:asciiTheme="majorHAnsi" w:hAnsiTheme="majorHAnsi" w:cstheme="majorHAnsi"/>
                <w:sz w:val="20"/>
                <w:szCs w:val="20"/>
                <w:lang w:val="en-US"/>
              </w:rPr>
              <w:t>Policy Research and Development Division</w:t>
            </w:r>
          </w:p>
        </w:tc>
        <w:tc>
          <w:tcPr>
            <w:tcW w:w="1170" w:type="dxa"/>
          </w:tcPr>
          <w:p w14:paraId="527C21EE"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M</w:t>
            </w:r>
          </w:p>
        </w:tc>
      </w:tr>
      <w:tr w:rsidR="001722B5" w:rsidRPr="00173FD6" w14:paraId="09157D89" w14:textId="77777777" w:rsidTr="00FF4CA3">
        <w:tc>
          <w:tcPr>
            <w:tcW w:w="2986" w:type="dxa"/>
          </w:tcPr>
          <w:p w14:paraId="104FAFEF" w14:textId="77777777" w:rsidR="001722B5" w:rsidRPr="00173FD6" w:rsidRDefault="001722B5" w:rsidP="002320B3">
            <w:pPr>
              <w:rPr>
                <w:rFonts w:asciiTheme="majorHAnsi" w:hAnsiTheme="majorHAnsi" w:cstheme="majorHAnsi"/>
                <w:color w:val="000000"/>
                <w:sz w:val="20"/>
                <w:szCs w:val="20"/>
                <w:lang w:val="en-US"/>
              </w:rPr>
            </w:pPr>
            <w:r w:rsidRPr="00173FD6">
              <w:rPr>
                <w:rFonts w:asciiTheme="majorHAnsi" w:hAnsiTheme="majorHAnsi" w:cstheme="majorHAnsi"/>
                <w:b/>
                <w:color w:val="0070C0"/>
                <w:sz w:val="20"/>
                <w:szCs w:val="20"/>
                <w:lang w:val="en-US"/>
              </w:rPr>
              <w:t>ICTS – Solutions Development Division</w:t>
            </w:r>
          </w:p>
        </w:tc>
        <w:tc>
          <w:tcPr>
            <w:tcW w:w="5109" w:type="dxa"/>
          </w:tcPr>
          <w:p w14:paraId="357100AA" w14:textId="06C00A16" w:rsidR="001722B5" w:rsidRPr="00173FD6" w:rsidRDefault="001722B5" w:rsidP="002320B3">
            <w:pPr>
              <w:rPr>
                <w:rFonts w:asciiTheme="majorHAnsi" w:hAnsiTheme="majorHAnsi" w:cstheme="majorHAnsi"/>
                <w:color w:val="000000"/>
                <w:sz w:val="20"/>
                <w:szCs w:val="20"/>
                <w:lang w:val="en-US"/>
              </w:rPr>
            </w:pPr>
          </w:p>
        </w:tc>
        <w:tc>
          <w:tcPr>
            <w:tcW w:w="1170" w:type="dxa"/>
          </w:tcPr>
          <w:p w14:paraId="4B33461C" w14:textId="77777777" w:rsidR="001722B5" w:rsidRPr="00173FD6" w:rsidRDefault="001722B5" w:rsidP="002320B3">
            <w:pPr>
              <w:rPr>
                <w:rFonts w:asciiTheme="majorHAnsi" w:hAnsiTheme="majorHAnsi" w:cstheme="majorHAnsi"/>
                <w:sz w:val="20"/>
                <w:szCs w:val="20"/>
                <w:lang w:val="en-US"/>
              </w:rPr>
            </w:pPr>
          </w:p>
        </w:tc>
      </w:tr>
      <w:tr w:rsidR="008D0CAD" w:rsidRPr="00173FD6" w14:paraId="705BAA7D" w14:textId="77777777" w:rsidTr="00EC48C1">
        <w:tc>
          <w:tcPr>
            <w:tcW w:w="2986" w:type="dxa"/>
          </w:tcPr>
          <w:p w14:paraId="187DB0B0"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Maria Clarisse Ligunas</w:t>
            </w:r>
          </w:p>
        </w:tc>
        <w:tc>
          <w:tcPr>
            <w:tcW w:w="5109" w:type="dxa"/>
          </w:tcPr>
          <w:p w14:paraId="28F00118"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Information Technology Officer II</w:t>
            </w:r>
          </w:p>
        </w:tc>
        <w:tc>
          <w:tcPr>
            <w:tcW w:w="1170" w:type="dxa"/>
          </w:tcPr>
          <w:p w14:paraId="1A66AF31"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F</w:t>
            </w:r>
          </w:p>
        </w:tc>
      </w:tr>
      <w:tr w:rsidR="008D0CAD" w:rsidRPr="00173FD6" w14:paraId="72DEA2B2" w14:textId="77777777" w:rsidTr="00EC48C1">
        <w:tc>
          <w:tcPr>
            <w:tcW w:w="2986" w:type="dxa"/>
          </w:tcPr>
          <w:p w14:paraId="07A86663"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Jonathan Fontanilla</w:t>
            </w:r>
          </w:p>
        </w:tc>
        <w:tc>
          <w:tcPr>
            <w:tcW w:w="5109" w:type="dxa"/>
          </w:tcPr>
          <w:p w14:paraId="626CA9DF"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Information Systems Analyst</w:t>
            </w:r>
          </w:p>
        </w:tc>
        <w:tc>
          <w:tcPr>
            <w:tcW w:w="1170" w:type="dxa"/>
          </w:tcPr>
          <w:p w14:paraId="7DBDBBE8"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M</w:t>
            </w:r>
          </w:p>
        </w:tc>
      </w:tr>
      <w:tr w:rsidR="008D0CAD" w:rsidRPr="00173FD6" w14:paraId="74B2025E" w14:textId="77777777" w:rsidTr="00EC48C1">
        <w:tc>
          <w:tcPr>
            <w:tcW w:w="2986" w:type="dxa"/>
          </w:tcPr>
          <w:p w14:paraId="62148AC3"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Emma Ruth Galvez</w:t>
            </w:r>
          </w:p>
        </w:tc>
        <w:tc>
          <w:tcPr>
            <w:tcW w:w="5109" w:type="dxa"/>
          </w:tcPr>
          <w:p w14:paraId="491C3DAC"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Computer Programmer III</w:t>
            </w:r>
          </w:p>
        </w:tc>
        <w:tc>
          <w:tcPr>
            <w:tcW w:w="1170" w:type="dxa"/>
          </w:tcPr>
          <w:p w14:paraId="5B76B95D"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F</w:t>
            </w:r>
          </w:p>
        </w:tc>
      </w:tr>
      <w:tr w:rsidR="008D0CAD" w:rsidRPr="00173FD6" w14:paraId="72847FA5" w14:textId="77777777" w:rsidTr="00EC48C1">
        <w:tc>
          <w:tcPr>
            <w:tcW w:w="2986" w:type="dxa"/>
          </w:tcPr>
          <w:p w14:paraId="6C11CB54"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Carl Henry V. Lico</w:t>
            </w:r>
          </w:p>
        </w:tc>
        <w:tc>
          <w:tcPr>
            <w:tcW w:w="5109" w:type="dxa"/>
          </w:tcPr>
          <w:p w14:paraId="01B24709"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Computer Programmer II</w:t>
            </w:r>
          </w:p>
        </w:tc>
        <w:tc>
          <w:tcPr>
            <w:tcW w:w="1170" w:type="dxa"/>
          </w:tcPr>
          <w:p w14:paraId="2F5BDEF1"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M</w:t>
            </w:r>
          </w:p>
        </w:tc>
      </w:tr>
      <w:tr w:rsidR="005D13FC" w:rsidRPr="00173FD6" w14:paraId="383F0A7D" w14:textId="77777777" w:rsidTr="00FF4CA3">
        <w:tc>
          <w:tcPr>
            <w:tcW w:w="2986" w:type="dxa"/>
          </w:tcPr>
          <w:p w14:paraId="69CBA16D" w14:textId="77777777" w:rsidR="005D13FC" w:rsidRPr="00173FD6" w:rsidRDefault="005D13FC" w:rsidP="002320B3">
            <w:pPr>
              <w:rPr>
                <w:rFonts w:asciiTheme="majorHAnsi" w:hAnsiTheme="majorHAnsi" w:cstheme="majorHAnsi"/>
                <w:color w:val="000000"/>
                <w:sz w:val="20"/>
                <w:szCs w:val="20"/>
                <w:lang w:val="en-US"/>
              </w:rPr>
            </w:pPr>
            <w:r w:rsidRPr="00173FD6">
              <w:rPr>
                <w:rFonts w:asciiTheme="majorHAnsi" w:hAnsiTheme="majorHAnsi" w:cstheme="majorHAnsi"/>
                <w:b/>
                <w:color w:val="0070C0"/>
                <w:sz w:val="20"/>
                <w:szCs w:val="20"/>
                <w:lang w:val="en-US"/>
              </w:rPr>
              <w:t>Teacher Education Council Secretariat</w:t>
            </w:r>
          </w:p>
        </w:tc>
        <w:tc>
          <w:tcPr>
            <w:tcW w:w="5109" w:type="dxa"/>
          </w:tcPr>
          <w:p w14:paraId="6021C158" w14:textId="1E6D7FC6" w:rsidR="005D13FC" w:rsidRPr="00173FD6" w:rsidRDefault="005D13FC" w:rsidP="002320B3">
            <w:pPr>
              <w:rPr>
                <w:rFonts w:asciiTheme="majorHAnsi" w:hAnsiTheme="majorHAnsi" w:cstheme="majorHAnsi"/>
                <w:color w:val="000000"/>
                <w:sz w:val="20"/>
                <w:szCs w:val="20"/>
                <w:lang w:val="en-US"/>
              </w:rPr>
            </w:pPr>
          </w:p>
        </w:tc>
        <w:tc>
          <w:tcPr>
            <w:tcW w:w="1170" w:type="dxa"/>
          </w:tcPr>
          <w:p w14:paraId="0A033619" w14:textId="77777777" w:rsidR="005D13FC" w:rsidRPr="00173FD6" w:rsidRDefault="005D13FC" w:rsidP="002320B3">
            <w:pPr>
              <w:rPr>
                <w:rFonts w:asciiTheme="majorHAnsi" w:hAnsiTheme="majorHAnsi" w:cstheme="majorHAnsi"/>
                <w:sz w:val="20"/>
                <w:szCs w:val="20"/>
                <w:lang w:val="en-US"/>
              </w:rPr>
            </w:pPr>
          </w:p>
        </w:tc>
      </w:tr>
      <w:tr w:rsidR="008D0CAD" w:rsidRPr="00173FD6" w14:paraId="13F6378F" w14:textId="77777777" w:rsidTr="00EC48C1">
        <w:tc>
          <w:tcPr>
            <w:tcW w:w="2986" w:type="dxa"/>
          </w:tcPr>
          <w:p w14:paraId="65823A18"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color w:val="000000"/>
                <w:sz w:val="20"/>
                <w:szCs w:val="20"/>
                <w:lang w:val="en-US"/>
              </w:rPr>
              <w:t>Jayson Peñafiel</w:t>
            </w:r>
          </w:p>
        </w:tc>
        <w:tc>
          <w:tcPr>
            <w:tcW w:w="5109" w:type="dxa"/>
          </w:tcPr>
          <w:p w14:paraId="4FFB9F02"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Teacher</w:t>
            </w:r>
          </w:p>
        </w:tc>
        <w:tc>
          <w:tcPr>
            <w:tcW w:w="1170" w:type="dxa"/>
          </w:tcPr>
          <w:p w14:paraId="030FE5F9"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M</w:t>
            </w:r>
          </w:p>
        </w:tc>
      </w:tr>
      <w:tr w:rsidR="00450276" w:rsidRPr="00173FD6" w14:paraId="5F356BA9" w14:textId="77777777" w:rsidTr="00FF4CA3">
        <w:tc>
          <w:tcPr>
            <w:tcW w:w="2986" w:type="dxa"/>
          </w:tcPr>
          <w:p w14:paraId="4B73427E" w14:textId="77777777" w:rsidR="00450276" w:rsidRPr="00173FD6" w:rsidRDefault="00450276" w:rsidP="002320B3">
            <w:pPr>
              <w:rPr>
                <w:rFonts w:asciiTheme="majorHAnsi" w:hAnsiTheme="majorHAnsi" w:cstheme="majorHAnsi"/>
                <w:sz w:val="20"/>
                <w:szCs w:val="20"/>
                <w:lang w:val="en-US"/>
              </w:rPr>
            </w:pPr>
            <w:r w:rsidRPr="00173FD6">
              <w:rPr>
                <w:rFonts w:asciiTheme="majorHAnsi" w:hAnsiTheme="majorHAnsi" w:cstheme="majorHAnsi"/>
                <w:b/>
                <w:color w:val="0070C0"/>
                <w:sz w:val="20"/>
                <w:szCs w:val="20"/>
                <w:lang w:val="en-US"/>
              </w:rPr>
              <w:t>BCD- Teaching Learning Division</w:t>
            </w:r>
          </w:p>
        </w:tc>
        <w:tc>
          <w:tcPr>
            <w:tcW w:w="5109" w:type="dxa"/>
          </w:tcPr>
          <w:p w14:paraId="67BE21F8" w14:textId="50183342" w:rsidR="00450276" w:rsidRPr="00173FD6" w:rsidRDefault="00450276" w:rsidP="002320B3">
            <w:pPr>
              <w:rPr>
                <w:rFonts w:asciiTheme="majorHAnsi" w:hAnsiTheme="majorHAnsi" w:cstheme="majorHAnsi"/>
                <w:sz w:val="20"/>
                <w:szCs w:val="20"/>
                <w:lang w:val="en-US"/>
              </w:rPr>
            </w:pPr>
          </w:p>
        </w:tc>
        <w:tc>
          <w:tcPr>
            <w:tcW w:w="1170" w:type="dxa"/>
          </w:tcPr>
          <w:p w14:paraId="042A20B5" w14:textId="77777777" w:rsidR="00450276" w:rsidRPr="00173FD6" w:rsidRDefault="00450276" w:rsidP="002320B3">
            <w:pPr>
              <w:rPr>
                <w:rFonts w:asciiTheme="majorHAnsi" w:hAnsiTheme="majorHAnsi" w:cstheme="majorHAnsi"/>
                <w:sz w:val="20"/>
                <w:szCs w:val="20"/>
                <w:lang w:val="en-US"/>
              </w:rPr>
            </w:pPr>
          </w:p>
        </w:tc>
      </w:tr>
      <w:tr w:rsidR="008D0CAD" w:rsidRPr="00173FD6" w14:paraId="4BBF2699" w14:textId="77777777" w:rsidTr="00EC48C1">
        <w:tc>
          <w:tcPr>
            <w:tcW w:w="2986" w:type="dxa"/>
          </w:tcPr>
          <w:p w14:paraId="1F701D2B"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Dr. Rosalina J. Villaneza</w:t>
            </w:r>
          </w:p>
        </w:tc>
        <w:tc>
          <w:tcPr>
            <w:tcW w:w="5109" w:type="dxa"/>
          </w:tcPr>
          <w:p w14:paraId="2B1BCE3E"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Chief Education Specialist</w:t>
            </w:r>
          </w:p>
        </w:tc>
        <w:tc>
          <w:tcPr>
            <w:tcW w:w="1170" w:type="dxa"/>
          </w:tcPr>
          <w:p w14:paraId="64C3EF45"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F</w:t>
            </w:r>
          </w:p>
        </w:tc>
      </w:tr>
      <w:tr w:rsidR="008D0CAD" w:rsidRPr="00173FD6" w14:paraId="7FBE5AF2" w14:textId="77777777" w:rsidTr="00EC48C1">
        <w:tc>
          <w:tcPr>
            <w:tcW w:w="2986" w:type="dxa"/>
          </w:tcPr>
          <w:p w14:paraId="7F389112"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sz w:val="20"/>
                <w:szCs w:val="20"/>
                <w:lang w:val="en-US"/>
              </w:rPr>
              <w:t>Gaudencio Luis N. Serrano</w:t>
            </w:r>
          </w:p>
        </w:tc>
        <w:tc>
          <w:tcPr>
            <w:tcW w:w="5109" w:type="dxa"/>
          </w:tcPr>
          <w:p w14:paraId="38226968"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Senior Education Program Specialist</w:t>
            </w:r>
          </w:p>
        </w:tc>
        <w:tc>
          <w:tcPr>
            <w:tcW w:w="1170" w:type="dxa"/>
          </w:tcPr>
          <w:p w14:paraId="1B329D04"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M</w:t>
            </w:r>
          </w:p>
        </w:tc>
      </w:tr>
      <w:tr w:rsidR="00450276" w:rsidRPr="00173FD6" w14:paraId="602CB6B4" w14:textId="77777777" w:rsidTr="00FF4CA3">
        <w:tc>
          <w:tcPr>
            <w:tcW w:w="2986" w:type="dxa"/>
          </w:tcPr>
          <w:p w14:paraId="4188360A" w14:textId="77777777" w:rsidR="00450276" w:rsidRPr="00173FD6" w:rsidRDefault="00450276" w:rsidP="002320B3">
            <w:pPr>
              <w:rPr>
                <w:rFonts w:asciiTheme="majorHAnsi" w:hAnsiTheme="majorHAnsi" w:cstheme="majorHAnsi"/>
                <w:color w:val="000000"/>
                <w:sz w:val="20"/>
                <w:szCs w:val="20"/>
                <w:lang w:val="en-US"/>
              </w:rPr>
            </w:pPr>
            <w:r w:rsidRPr="00173FD6">
              <w:rPr>
                <w:rFonts w:asciiTheme="majorHAnsi" w:hAnsiTheme="majorHAnsi" w:cstheme="majorHAnsi"/>
                <w:b/>
                <w:color w:val="0070C0"/>
                <w:sz w:val="20"/>
                <w:szCs w:val="20"/>
                <w:lang w:val="en-US"/>
              </w:rPr>
              <w:t>BCD-Curriculum Standards Development Division</w:t>
            </w:r>
          </w:p>
        </w:tc>
        <w:tc>
          <w:tcPr>
            <w:tcW w:w="5109" w:type="dxa"/>
          </w:tcPr>
          <w:p w14:paraId="44B3F478" w14:textId="5BFAD9F3" w:rsidR="00450276" w:rsidRPr="00173FD6" w:rsidRDefault="00450276" w:rsidP="002320B3">
            <w:pPr>
              <w:rPr>
                <w:rFonts w:asciiTheme="majorHAnsi" w:hAnsiTheme="majorHAnsi" w:cstheme="majorHAnsi"/>
                <w:color w:val="000000"/>
                <w:sz w:val="20"/>
                <w:szCs w:val="20"/>
                <w:lang w:val="en-US"/>
              </w:rPr>
            </w:pPr>
          </w:p>
        </w:tc>
        <w:tc>
          <w:tcPr>
            <w:tcW w:w="1170" w:type="dxa"/>
          </w:tcPr>
          <w:p w14:paraId="46B6717E" w14:textId="77777777" w:rsidR="00450276" w:rsidRPr="00173FD6" w:rsidRDefault="00450276" w:rsidP="002320B3">
            <w:pPr>
              <w:rPr>
                <w:rFonts w:asciiTheme="majorHAnsi" w:hAnsiTheme="majorHAnsi" w:cstheme="majorHAnsi"/>
                <w:sz w:val="20"/>
                <w:szCs w:val="20"/>
                <w:lang w:val="en-US"/>
              </w:rPr>
            </w:pPr>
          </w:p>
        </w:tc>
      </w:tr>
      <w:tr w:rsidR="008D0CAD" w:rsidRPr="00173FD6" w14:paraId="139230B0" w14:textId="77777777" w:rsidTr="00EC48C1">
        <w:tc>
          <w:tcPr>
            <w:tcW w:w="2986" w:type="dxa"/>
          </w:tcPr>
          <w:p w14:paraId="2E69FF9E"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sz w:val="20"/>
                <w:szCs w:val="20"/>
                <w:lang w:val="en-US"/>
              </w:rPr>
              <w:t>Ayette C. Ferriols</w:t>
            </w:r>
          </w:p>
        </w:tc>
        <w:tc>
          <w:tcPr>
            <w:tcW w:w="5109" w:type="dxa"/>
          </w:tcPr>
          <w:p w14:paraId="33801D47"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Senior Education Program Specialist</w:t>
            </w:r>
          </w:p>
        </w:tc>
        <w:tc>
          <w:tcPr>
            <w:tcW w:w="1170" w:type="dxa"/>
          </w:tcPr>
          <w:p w14:paraId="54EFEE34"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F</w:t>
            </w:r>
          </w:p>
        </w:tc>
      </w:tr>
      <w:tr w:rsidR="008D0CAD" w:rsidRPr="00173FD6" w14:paraId="3653DD7C" w14:textId="77777777" w:rsidTr="00EC48C1">
        <w:tc>
          <w:tcPr>
            <w:tcW w:w="2986" w:type="dxa"/>
          </w:tcPr>
          <w:p w14:paraId="6A6283B6"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sz w:val="20"/>
                <w:szCs w:val="20"/>
                <w:lang w:val="en-US"/>
              </w:rPr>
              <w:t>Bernadeth Daran</w:t>
            </w:r>
          </w:p>
        </w:tc>
        <w:tc>
          <w:tcPr>
            <w:tcW w:w="5109" w:type="dxa"/>
          </w:tcPr>
          <w:p w14:paraId="6063CAA9"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Supervising Education Program Specialist</w:t>
            </w:r>
          </w:p>
        </w:tc>
        <w:tc>
          <w:tcPr>
            <w:tcW w:w="1170" w:type="dxa"/>
          </w:tcPr>
          <w:p w14:paraId="6F62A4A9"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F</w:t>
            </w:r>
          </w:p>
        </w:tc>
      </w:tr>
      <w:tr w:rsidR="008D0CAD" w:rsidRPr="00173FD6" w14:paraId="55D15ECB" w14:textId="77777777" w:rsidTr="00EC48C1">
        <w:tc>
          <w:tcPr>
            <w:tcW w:w="2986" w:type="dxa"/>
          </w:tcPr>
          <w:p w14:paraId="4A649BB6"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sz w:val="20"/>
                <w:szCs w:val="20"/>
                <w:lang w:val="en-US"/>
              </w:rPr>
              <w:t>Joseph V. Gutierrez</w:t>
            </w:r>
          </w:p>
        </w:tc>
        <w:tc>
          <w:tcPr>
            <w:tcW w:w="5109" w:type="dxa"/>
          </w:tcPr>
          <w:p w14:paraId="10B681C4"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Senior Education Program Specialist</w:t>
            </w:r>
          </w:p>
        </w:tc>
        <w:tc>
          <w:tcPr>
            <w:tcW w:w="1170" w:type="dxa"/>
          </w:tcPr>
          <w:p w14:paraId="449CFE37"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M</w:t>
            </w:r>
          </w:p>
        </w:tc>
      </w:tr>
      <w:tr w:rsidR="008D0CAD" w:rsidRPr="00173FD6" w14:paraId="166C5505" w14:textId="77777777" w:rsidTr="00EC48C1">
        <w:tc>
          <w:tcPr>
            <w:tcW w:w="2986" w:type="dxa"/>
          </w:tcPr>
          <w:p w14:paraId="5C2E7147" w14:textId="77777777" w:rsidR="008D0CAD" w:rsidRPr="00173FD6" w:rsidRDefault="008D0CAD" w:rsidP="002320B3">
            <w:pPr>
              <w:rPr>
                <w:rFonts w:asciiTheme="majorHAnsi" w:hAnsiTheme="majorHAnsi" w:cstheme="majorHAnsi"/>
                <w:b/>
                <w:color w:val="000000"/>
                <w:sz w:val="20"/>
                <w:szCs w:val="20"/>
                <w:lang w:val="en-US"/>
              </w:rPr>
            </w:pPr>
            <w:r w:rsidRPr="00173FD6">
              <w:rPr>
                <w:rFonts w:asciiTheme="majorHAnsi" w:hAnsiTheme="majorHAnsi" w:cstheme="majorHAnsi"/>
                <w:b/>
                <w:color w:val="0070C0"/>
                <w:sz w:val="20"/>
                <w:szCs w:val="20"/>
                <w:lang w:val="en-US"/>
              </w:rPr>
              <w:t>BLD-Student Inclusion Division</w:t>
            </w:r>
          </w:p>
        </w:tc>
        <w:tc>
          <w:tcPr>
            <w:tcW w:w="5109" w:type="dxa"/>
          </w:tcPr>
          <w:p w14:paraId="7CBCA155" w14:textId="77777777" w:rsidR="008D0CAD" w:rsidRPr="00173FD6" w:rsidRDefault="008D0CAD" w:rsidP="002320B3">
            <w:pPr>
              <w:rPr>
                <w:rFonts w:asciiTheme="majorHAnsi" w:hAnsiTheme="majorHAnsi" w:cstheme="majorHAnsi"/>
                <w:color w:val="000000"/>
                <w:sz w:val="20"/>
                <w:szCs w:val="20"/>
                <w:lang w:val="en-US"/>
              </w:rPr>
            </w:pPr>
          </w:p>
        </w:tc>
        <w:tc>
          <w:tcPr>
            <w:tcW w:w="1170" w:type="dxa"/>
          </w:tcPr>
          <w:p w14:paraId="6B863356" w14:textId="77777777" w:rsidR="008D0CAD" w:rsidRPr="00173FD6" w:rsidRDefault="008D0CAD" w:rsidP="002320B3">
            <w:pPr>
              <w:rPr>
                <w:rFonts w:asciiTheme="majorHAnsi" w:hAnsiTheme="majorHAnsi" w:cstheme="majorHAnsi"/>
                <w:sz w:val="20"/>
                <w:szCs w:val="20"/>
                <w:lang w:val="en-US"/>
              </w:rPr>
            </w:pPr>
          </w:p>
        </w:tc>
      </w:tr>
      <w:tr w:rsidR="008D0CAD" w:rsidRPr="00173FD6" w14:paraId="6086C883" w14:textId="77777777" w:rsidTr="00EC48C1">
        <w:tc>
          <w:tcPr>
            <w:tcW w:w="2986" w:type="dxa"/>
          </w:tcPr>
          <w:p w14:paraId="55064E26"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Analyn Aquino</w:t>
            </w:r>
          </w:p>
        </w:tc>
        <w:tc>
          <w:tcPr>
            <w:tcW w:w="5109" w:type="dxa"/>
          </w:tcPr>
          <w:p w14:paraId="6DF0DD85"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Senior Education Program Specialist</w:t>
            </w:r>
          </w:p>
        </w:tc>
        <w:tc>
          <w:tcPr>
            <w:tcW w:w="1170" w:type="dxa"/>
          </w:tcPr>
          <w:p w14:paraId="4C6F2FBA"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F</w:t>
            </w:r>
          </w:p>
        </w:tc>
      </w:tr>
      <w:tr w:rsidR="00D32035" w:rsidRPr="00173FD6" w14:paraId="438BF71B" w14:textId="77777777" w:rsidTr="00FF4CA3">
        <w:tc>
          <w:tcPr>
            <w:tcW w:w="2986" w:type="dxa"/>
          </w:tcPr>
          <w:p w14:paraId="6B50F52D" w14:textId="77777777" w:rsidR="00D32035" w:rsidRPr="00173FD6" w:rsidRDefault="00D32035" w:rsidP="002320B3">
            <w:pPr>
              <w:rPr>
                <w:rFonts w:asciiTheme="majorHAnsi" w:hAnsiTheme="majorHAnsi" w:cstheme="majorHAnsi"/>
                <w:color w:val="000000"/>
                <w:sz w:val="20"/>
                <w:szCs w:val="20"/>
                <w:lang w:val="en-US"/>
              </w:rPr>
            </w:pPr>
            <w:r w:rsidRPr="00173FD6">
              <w:rPr>
                <w:rFonts w:asciiTheme="majorHAnsi" w:hAnsiTheme="majorHAnsi" w:cstheme="majorHAnsi"/>
                <w:b/>
                <w:color w:val="0070C0"/>
                <w:sz w:val="20"/>
                <w:szCs w:val="20"/>
                <w:lang w:val="en-US"/>
              </w:rPr>
              <w:t>NEAP-Quality Assurance Division</w:t>
            </w:r>
          </w:p>
        </w:tc>
        <w:tc>
          <w:tcPr>
            <w:tcW w:w="5109" w:type="dxa"/>
          </w:tcPr>
          <w:p w14:paraId="2DC7308B" w14:textId="414ABD67" w:rsidR="00D32035" w:rsidRPr="00173FD6" w:rsidRDefault="00D32035" w:rsidP="002320B3">
            <w:pPr>
              <w:rPr>
                <w:rFonts w:asciiTheme="majorHAnsi" w:hAnsiTheme="majorHAnsi" w:cstheme="majorHAnsi"/>
                <w:color w:val="000000"/>
                <w:sz w:val="20"/>
                <w:szCs w:val="20"/>
                <w:lang w:val="en-US"/>
              </w:rPr>
            </w:pPr>
          </w:p>
        </w:tc>
        <w:tc>
          <w:tcPr>
            <w:tcW w:w="1170" w:type="dxa"/>
          </w:tcPr>
          <w:p w14:paraId="4D9E0E00" w14:textId="77777777" w:rsidR="00D32035" w:rsidRPr="00173FD6" w:rsidRDefault="00D32035" w:rsidP="002320B3">
            <w:pPr>
              <w:rPr>
                <w:rFonts w:asciiTheme="majorHAnsi" w:hAnsiTheme="majorHAnsi" w:cstheme="majorHAnsi"/>
                <w:sz w:val="20"/>
                <w:szCs w:val="20"/>
                <w:lang w:val="en-US"/>
              </w:rPr>
            </w:pPr>
          </w:p>
        </w:tc>
      </w:tr>
      <w:tr w:rsidR="008D0CAD" w:rsidRPr="00173FD6" w14:paraId="2469F8C3" w14:textId="77777777" w:rsidTr="00EC48C1">
        <w:tc>
          <w:tcPr>
            <w:tcW w:w="2986" w:type="dxa"/>
          </w:tcPr>
          <w:p w14:paraId="6B93B03B"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color w:val="000000"/>
                <w:sz w:val="20"/>
                <w:szCs w:val="20"/>
                <w:lang w:val="en-US"/>
              </w:rPr>
              <w:t>Ariel C. Dagar</w:t>
            </w:r>
          </w:p>
        </w:tc>
        <w:tc>
          <w:tcPr>
            <w:tcW w:w="5109" w:type="dxa"/>
          </w:tcPr>
          <w:p w14:paraId="1BDCB714"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color w:val="000000"/>
                <w:sz w:val="20"/>
                <w:szCs w:val="20"/>
                <w:lang w:val="en-US"/>
              </w:rPr>
              <w:t>Assistant t Director</w:t>
            </w:r>
          </w:p>
        </w:tc>
        <w:tc>
          <w:tcPr>
            <w:tcW w:w="1170" w:type="dxa"/>
          </w:tcPr>
          <w:p w14:paraId="7D68469D"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M</w:t>
            </w:r>
          </w:p>
        </w:tc>
      </w:tr>
      <w:tr w:rsidR="008D0CAD" w:rsidRPr="00173FD6" w14:paraId="38C13B3F" w14:textId="77777777" w:rsidTr="00EC48C1">
        <w:tc>
          <w:tcPr>
            <w:tcW w:w="2986" w:type="dxa"/>
          </w:tcPr>
          <w:p w14:paraId="107910E8"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color w:val="000000"/>
                <w:sz w:val="20"/>
                <w:szCs w:val="20"/>
                <w:lang w:val="en-US"/>
              </w:rPr>
              <w:t>Cleofe Velasquez Ocampo</w:t>
            </w:r>
          </w:p>
        </w:tc>
        <w:tc>
          <w:tcPr>
            <w:tcW w:w="5109" w:type="dxa"/>
          </w:tcPr>
          <w:p w14:paraId="0F8A5360"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color w:val="000000"/>
                <w:sz w:val="20"/>
                <w:szCs w:val="20"/>
                <w:lang w:val="en-US"/>
              </w:rPr>
              <w:t>Senior Education Program Specialist</w:t>
            </w:r>
          </w:p>
        </w:tc>
        <w:tc>
          <w:tcPr>
            <w:tcW w:w="1170" w:type="dxa"/>
          </w:tcPr>
          <w:p w14:paraId="48AD3B1A"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F</w:t>
            </w:r>
          </w:p>
        </w:tc>
      </w:tr>
      <w:tr w:rsidR="008D0CAD" w:rsidRPr="00173FD6" w14:paraId="6FFC0234" w14:textId="77777777" w:rsidTr="00EC48C1">
        <w:tc>
          <w:tcPr>
            <w:tcW w:w="2986" w:type="dxa"/>
          </w:tcPr>
          <w:p w14:paraId="680AC1D1"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color w:val="000000"/>
                <w:sz w:val="20"/>
                <w:szCs w:val="20"/>
                <w:lang w:val="en-US"/>
              </w:rPr>
              <w:t>Erlinda Leva</w:t>
            </w:r>
          </w:p>
        </w:tc>
        <w:tc>
          <w:tcPr>
            <w:tcW w:w="5109" w:type="dxa"/>
          </w:tcPr>
          <w:p w14:paraId="7FBA5845"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color w:val="000000"/>
                <w:sz w:val="20"/>
                <w:szCs w:val="20"/>
                <w:lang w:val="en-US"/>
              </w:rPr>
              <w:t>Education Program Specialist II</w:t>
            </w:r>
          </w:p>
        </w:tc>
        <w:tc>
          <w:tcPr>
            <w:tcW w:w="1170" w:type="dxa"/>
          </w:tcPr>
          <w:p w14:paraId="2AD95E1B"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F</w:t>
            </w:r>
          </w:p>
        </w:tc>
      </w:tr>
      <w:tr w:rsidR="008D0CAD" w:rsidRPr="00173FD6" w14:paraId="0A5F9AE2" w14:textId="77777777" w:rsidTr="00EC48C1">
        <w:tc>
          <w:tcPr>
            <w:tcW w:w="2986" w:type="dxa"/>
          </w:tcPr>
          <w:p w14:paraId="31ED8146"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color w:val="000000"/>
                <w:sz w:val="20"/>
                <w:szCs w:val="20"/>
                <w:lang w:val="en-US"/>
              </w:rPr>
              <w:t>Sarah Jane Atienza</w:t>
            </w:r>
          </w:p>
        </w:tc>
        <w:tc>
          <w:tcPr>
            <w:tcW w:w="5109" w:type="dxa"/>
          </w:tcPr>
          <w:p w14:paraId="7F8521FC"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color w:val="000000"/>
                <w:sz w:val="20"/>
                <w:szCs w:val="20"/>
                <w:lang w:val="en-US"/>
              </w:rPr>
              <w:t>Education Program Specialist II</w:t>
            </w:r>
          </w:p>
        </w:tc>
        <w:tc>
          <w:tcPr>
            <w:tcW w:w="1170" w:type="dxa"/>
          </w:tcPr>
          <w:p w14:paraId="3175AC4C"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F</w:t>
            </w:r>
          </w:p>
        </w:tc>
      </w:tr>
      <w:tr w:rsidR="008D0CAD" w:rsidRPr="00173FD6" w14:paraId="3BA0BC0A" w14:textId="77777777" w:rsidTr="00EC48C1">
        <w:tc>
          <w:tcPr>
            <w:tcW w:w="2986" w:type="dxa"/>
          </w:tcPr>
          <w:p w14:paraId="10C57738"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color w:val="000000"/>
                <w:sz w:val="20"/>
                <w:szCs w:val="20"/>
                <w:lang w:val="en-US"/>
              </w:rPr>
              <w:t>Ma. Nida Caramat</w:t>
            </w:r>
          </w:p>
        </w:tc>
        <w:tc>
          <w:tcPr>
            <w:tcW w:w="5109" w:type="dxa"/>
          </w:tcPr>
          <w:p w14:paraId="027B4BC8"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color w:val="000000"/>
                <w:sz w:val="20"/>
                <w:szCs w:val="20"/>
                <w:lang w:val="en-US"/>
              </w:rPr>
              <w:t>Senior Education Program Specialist</w:t>
            </w:r>
          </w:p>
        </w:tc>
        <w:tc>
          <w:tcPr>
            <w:tcW w:w="1170" w:type="dxa"/>
          </w:tcPr>
          <w:p w14:paraId="4F16E01E"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F</w:t>
            </w:r>
          </w:p>
        </w:tc>
      </w:tr>
      <w:tr w:rsidR="00D32035" w:rsidRPr="00173FD6" w14:paraId="7FFA44A5" w14:textId="77777777" w:rsidTr="00FF4CA3">
        <w:tc>
          <w:tcPr>
            <w:tcW w:w="2986" w:type="dxa"/>
          </w:tcPr>
          <w:p w14:paraId="249C4328" w14:textId="77777777" w:rsidR="00D32035" w:rsidRPr="00173FD6" w:rsidRDefault="00D32035" w:rsidP="002320B3">
            <w:pPr>
              <w:rPr>
                <w:rFonts w:asciiTheme="majorHAnsi" w:hAnsiTheme="majorHAnsi" w:cstheme="majorHAnsi"/>
                <w:color w:val="000000"/>
                <w:sz w:val="20"/>
                <w:szCs w:val="20"/>
                <w:lang w:val="en-US"/>
              </w:rPr>
            </w:pPr>
            <w:r w:rsidRPr="00173FD6">
              <w:rPr>
                <w:rFonts w:asciiTheme="majorHAnsi" w:hAnsiTheme="majorHAnsi" w:cstheme="majorHAnsi"/>
                <w:b/>
                <w:color w:val="0070C0"/>
                <w:sz w:val="20"/>
                <w:szCs w:val="20"/>
                <w:lang w:val="en-US"/>
              </w:rPr>
              <w:t>NEAP-Professional Development Division</w:t>
            </w:r>
          </w:p>
        </w:tc>
        <w:tc>
          <w:tcPr>
            <w:tcW w:w="5109" w:type="dxa"/>
          </w:tcPr>
          <w:p w14:paraId="205A8DA6" w14:textId="5716E6AC" w:rsidR="00D32035" w:rsidRPr="00173FD6" w:rsidRDefault="00D32035" w:rsidP="002320B3">
            <w:pPr>
              <w:rPr>
                <w:rFonts w:asciiTheme="majorHAnsi" w:hAnsiTheme="majorHAnsi" w:cstheme="majorHAnsi"/>
                <w:color w:val="000000"/>
                <w:sz w:val="20"/>
                <w:szCs w:val="20"/>
                <w:lang w:val="en-US"/>
              </w:rPr>
            </w:pPr>
          </w:p>
        </w:tc>
        <w:tc>
          <w:tcPr>
            <w:tcW w:w="1170" w:type="dxa"/>
          </w:tcPr>
          <w:p w14:paraId="4CF8CDC1" w14:textId="77777777" w:rsidR="00D32035" w:rsidRPr="00173FD6" w:rsidRDefault="00D32035" w:rsidP="002320B3">
            <w:pPr>
              <w:rPr>
                <w:rFonts w:asciiTheme="majorHAnsi" w:hAnsiTheme="majorHAnsi" w:cstheme="majorHAnsi"/>
                <w:sz w:val="20"/>
                <w:szCs w:val="20"/>
                <w:lang w:val="en-US"/>
              </w:rPr>
            </w:pPr>
          </w:p>
        </w:tc>
      </w:tr>
      <w:tr w:rsidR="008D0CAD" w:rsidRPr="00173FD6" w14:paraId="57C2A3BA" w14:textId="77777777" w:rsidTr="00EC48C1">
        <w:tc>
          <w:tcPr>
            <w:tcW w:w="2986" w:type="dxa"/>
          </w:tcPr>
          <w:p w14:paraId="3F285E7C"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Leah Patricia Galgo</w:t>
            </w:r>
          </w:p>
        </w:tc>
        <w:tc>
          <w:tcPr>
            <w:tcW w:w="5109" w:type="dxa"/>
          </w:tcPr>
          <w:p w14:paraId="0ABD8E4C"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sz w:val="20"/>
                <w:szCs w:val="20"/>
                <w:lang w:val="en-US"/>
              </w:rPr>
              <w:t>Officer in Charge</w:t>
            </w:r>
          </w:p>
        </w:tc>
        <w:tc>
          <w:tcPr>
            <w:tcW w:w="1170" w:type="dxa"/>
          </w:tcPr>
          <w:p w14:paraId="2508A585"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F</w:t>
            </w:r>
          </w:p>
        </w:tc>
      </w:tr>
      <w:tr w:rsidR="00D32035" w:rsidRPr="00173FD6" w14:paraId="7A587F63" w14:textId="77777777" w:rsidTr="00FF4CA3">
        <w:tc>
          <w:tcPr>
            <w:tcW w:w="2986" w:type="dxa"/>
          </w:tcPr>
          <w:p w14:paraId="1231C7B8" w14:textId="77777777" w:rsidR="00D32035" w:rsidRPr="00173FD6" w:rsidRDefault="00D32035" w:rsidP="002320B3">
            <w:pPr>
              <w:rPr>
                <w:rFonts w:asciiTheme="majorHAnsi" w:hAnsiTheme="majorHAnsi" w:cstheme="majorHAnsi"/>
                <w:sz w:val="20"/>
                <w:szCs w:val="20"/>
                <w:lang w:val="en-US"/>
              </w:rPr>
            </w:pPr>
            <w:r w:rsidRPr="00173FD6">
              <w:rPr>
                <w:rFonts w:asciiTheme="majorHAnsi" w:hAnsiTheme="majorHAnsi" w:cstheme="majorHAnsi"/>
                <w:b/>
                <w:color w:val="0070C0"/>
                <w:sz w:val="20"/>
                <w:szCs w:val="20"/>
                <w:lang w:val="en-US"/>
              </w:rPr>
              <w:t>BHROD-Organization Effectiveness Division</w:t>
            </w:r>
          </w:p>
        </w:tc>
        <w:tc>
          <w:tcPr>
            <w:tcW w:w="5109" w:type="dxa"/>
          </w:tcPr>
          <w:p w14:paraId="610FEA30" w14:textId="0DFF321A" w:rsidR="00D32035" w:rsidRPr="00173FD6" w:rsidRDefault="00D32035" w:rsidP="002320B3">
            <w:pPr>
              <w:rPr>
                <w:rFonts w:asciiTheme="majorHAnsi" w:hAnsiTheme="majorHAnsi" w:cstheme="majorHAnsi"/>
                <w:sz w:val="20"/>
                <w:szCs w:val="20"/>
                <w:lang w:val="en-US"/>
              </w:rPr>
            </w:pPr>
          </w:p>
        </w:tc>
        <w:tc>
          <w:tcPr>
            <w:tcW w:w="1170" w:type="dxa"/>
          </w:tcPr>
          <w:p w14:paraId="3A98288D" w14:textId="77777777" w:rsidR="00D32035" w:rsidRPr="00173FD6" w:rsidRDefault="00D32035" w:rsidP="002320B3">
            <w:pPr>
              <w:rPr>
                <w:rFonts w:asciiTheme="majorHAnsi" w:hAnsiTheme="majorHAnsi" w:cstheme="majorHAnsi"/>
                <w:sz w:val="20"/>
                <w:szCs w:val="20"/>
                <w:lang w:val="en-US"/>
              </w:rPr>
            </w:pPr>
          </w:p>
        </w:tc>
      </w:tr>
      <w:tr w:rsidR="008D0CAD" w:rsidRPr="00173FD6" w14:paraId="32CFEF92" w14:textId="77777777" w:rsidTr="00EC48C1">
        <w:tc>
          <w:tcPr>
            <w:tcW w:w="2986" w:type="dxa"/>
          </w:tcPr>
          <w:p w14:paraId="301BF4D3"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Michael Romero</w:t>
            </w:r>
          </w:p>
        </w:tc>
        <w:tc>
          <w:tcPr>
            <w:tcW w:w="5109" w:type="dxa"/>
          </w:tcPr>
          <w:p w14:paraId="3B8BFFDF"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color w:val="000000"/>
                <w:sz w:val="20"/>
                <w:szCs w:val="20"/>
                <w:lang w:val="en-US"/>
              </w:rPr>
              <w:t>Program Specialist II</w:t>
            </w:r>
          </w:p>
        </w:tc>
        <w:tc>
          <w:tcPr>
            <w:tcW w:w="1170" w:type="dxa"/>
          </w:tcPr>
          <w:p w14:paraId="04E3D0DA"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M</w:t>
            </w:r>
          </w:p>
        </w:tc>
      </w:tr>
      <w:tr w:rsidR="008D0CAD" w:rsidRPr="00173FD6" w14:paraId="602A556B" w14:textId="77777777" w:rsidTr="00EC48C1">
        <w:tc>
          <w:tcPr>
            <w:tcW w:w="2986" w:type="dxa"/>
          </w:tcPr>
          <w:p w14:paraId="6E268C9A"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Earl Ryan Locito</w:t>
            </w:r>
          </w:p>
        </w:tc>
        <w:tc>
          <w:tcPr>
            <w:tcW w:w="5109" w:type="dxa"/>
          </w:tcPr>
          <w:p w14:paraId="57ECE49C"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color w:val="000000"/>
                <w:sz w:val="20"/>
                <w:szCs w:val="20"/>
                <w:lang w:val="en-US"/>
              </w:rPr>
              <w:t>Program Specialist II</w:t>
            </w:r>
          </w:p>
        </w:tc>
        <w:tc>
          <w:tcPr>
            <w:tcW w:w="1170" w:type="dxa"/>
          </w:tcPr>
          <w:p w14:paraId="360B0778"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M</w:t>
            </w:r>
          </w:p>
        </w:tc>
      </w:tr>
      <w:tr w:rsidR="00AF7076" w:rsidRPr="00173FD6" w14:paraId="1D02C7F7" w14:textId="77777777" w:rsidTr="00FF4CA3">
        <w:tc>
          <w:tcPr>
            <w:tcW w:w="2986" w:type="dxa"/>
          </w:tcPr>
          <w:p w14:paraId="654EF3D1" w14:textId="77777777" w:rsidR="00AF7076" w:rsidRPr="00173FD6" w:rsidRDefault="00AF7076" w:rsidP="002320B3">
            <w:pPr>
              <w:rPr>
                <w:rFonts w:asciiTheme="majorHAnsi" w:hAnsiTheme="majorHAnsi" w:cstheme="majorHAnsi"/>
                <w:sz w:val="20"/>
                <w:szCs w:val="20"/>
                <w:lang w:val="en-US"/>
              </w:rPr>
            </w:pPr>
            <w:r w:rsidRPr="00173FD6">
              <w:rPr>
                <w:rFonts w:asciiTheme="majorHAnsi" w:hAnsiTheme="majorHAnsi" w:cstheme="majorHAnsi"/>
                <w:b/>
                <w:color w:val="0070C0"/>
                <w:sz w:val="20"/>
                <w:szCs w:val="20"/>
                <w:lang w:val="en-US"/>
              </w:rPr>
              <w:t>BHROD-School Effectiveness Division</w:t>
            </w:r>
          </w:p>
        </w:tc>
        <w:tc>
          <w:tcPr>
            <w:tcW w:w="5109" w:type="dxa"/>
          </w:tcPr>
          <w:p w14:paraId="531BC702" w14:textId="67A94F2A" w:rsidR="00AF7076" w:rsidRPr="00173FD6" w:rsidRDefault="00AF7076" w:rsidP="002320B3">
            <w:pPr>
              <w:rPr>
                <w:rFonts w:asciiTheme="majorHAnsi" w:hAnsiTheme="majorHAnsi" w:cstheme="majorHAnsi"/>
                <w:sz w:val="20"/>
                <w:szCs w:val="20"/>
                <w:lang w:val="en-US"/>
              </w:rPr>
            </w:pPr>
          </w:p>
        </w:tc>
        <w:tc>
          <w:tcPr>
            <w:tcW w:w="1170" w:type="dxa"/>
          </w:tcPr>
          <w:p w14:paraId="6BAE6919" w14:textId="77777777" w:rsidR="00AF7076" w:rsidRPr="00173FD6" w:rsidRDefault="00AF7076" w:rsidP="002320B3">
            <w:pPr>
              <w:rPr>
                <w:rFonts w:asciiTheme="majorHAnsi" w:hAnsiTheme="majorHAnsi" w:cstheme="majorHAnsi"/>
                <w:sz w:val="20"/>
                <w:szCs w:val="20"/>
                <w:lang w:val="en-US"/>
              </w:rPr>
            </w:pPr>
          </w:p>
        </w:tc>
      </w:tr>
      <w:tr w:rsidR="008D0CAD" w:rsidRPr="00173FD6" w14:paraId="38F85C05" w14:textId="77777777" w:rsidTr="00EC48C1">
        <w:tc>
          <w:tcPr>
            <w:tcW w:w="2986" w:type="dxa"/>
          </w:tcPr>
          <w:p w14:paraId="0EBE0728"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Dexter N. Pante</w:t>
            </w:r>
          </w:p>
        </w:tc>
        <w:tc>
          <w:tcPr>
            <w:tcW w:w="5109" w:type="dxa"/>
          </w:tcPr>
          <w:p w14:paraId="2B253464"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Chief (Project Development Officer V)</w:t>
            </w:r>
          </w:p>
        </w:tc>
        <w:tc>
          <w:tcPr>
            <w:tcW w:w="1170" w:type="dxa"/>
          </w:tcPr>
          <w:p w14:paraId="4D57B645"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M</w:t>
            </w:r>
          </w:p>
        </w:tc>
      </w:tr>
      <w:tr w:rsidR="008D0CAD" w:rsidRPr="00173FD6" w14:paraId="23BF4BAE" w14:textId="77777777" w:rsidTr="00EC48C1">
        <w:tc>
          <w:tcPr>
            <w:tcW w:w="2986" w:type="dxa"/>
          </w:tcPr>
          <w:p w14:paraId="2AEEF553"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Rowena Dela Cruz</w:t>
            </w:r>
          </w:p>
        </w:tc>
        <w:tc>
          <w:tcPr>
            <w:tcW w:w="5109" w:type="dxa"/>
          </w:tcPr>
          <w:p w14:paraId="2C462BE6"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Project Development Officer IV</w:t>
            </w:r>
          </w:p>
        </w:tc>
        <w:tc>
          <w:tcPr>
            <w:tcW w:w="1170" w:type="dxa"/>
          </w:tcPr>
          <w:p w14:paraId="1B0ED99E"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F</w:t>
            </w:r>
          </w:p>
        </w:tc>
      </w:tr>
      <w:tr w:rsidR="008D0CAD" w:rsidRPr="00173FD6" w14:paraId="72F13B06" w14:textId="77777777" w:rsidTr="00EC48C1">
        <w:tc>
          <w:tcPr>
            <w:tcW w:w="2986" w:type="dxa"/>
          </w:tcPr>
          <w:p w14:paraId="7CC71E69"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Raymond Aquino</w:t>
            </w:r>
          </w:p>
        </w:tc>
        <w:tc>
          <w:tcPr>
            <w:tcW w:w="5109" w:type="dxa"/>
          </w:tcPr>
          <w:p w14:paraId="7DE697EE"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Project Development Officer III</w:t>
            </w:r>
          </w:p>
        </w:tc>
        <w:tc>
          <w:tcPr>
            <w:tcW w:w="1170" w:type="dxa"/>
          </w:tcPr>
          <w:p w14:paraId="125F73FC"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M</w:t>
            </w:r>
          </w:p>
        </w:tc>
      </w:tr>
      <w:tr w:rsidR="008D0CAD" w:rsidRPr="00173FD6" w14:paraId="2E67889F" w14:textId="77777777" w:rsidTr="00EC48C1">
        <w:tc>
          <w:tcPr>
            <w:tcW w:w="2986" w:type="dxa"/>
          </w:tcPr>
          <w:p w14:paraId="2B724307"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Marian Efondo</w:t>
            </w:r>
          </w:p>
        </w:tc>
        <w:tc>
          <w:tcPr>
            <w:tcW w:w="5109" w:type="dxa"/>
          </w:tcPr>
          <w:p w14:paraId="5982221B"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Project Development Officer III</w:t>
            </w:r>
          </w:p>
        </w:tc>
        <w:tc>
          <w:tcPr>
            <w:tcW w:w="1170" w:type="dxa"/>
          </w:tcPr>
          <w:p w14:paraId="70635958"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F</w:t>
            </w:r>
          </w:p>
        </w:tc>
      </w:tr>
      <w:tr w:rsidR="00AF7076" w:rsidRPr="00173FD6" w14:paraId="777E08AD" w14:textId="77777777" w:rsidTr="00FF4CA3">
        <w:tc>
          <w:tcPr>
            <w:tcW w:w="2986" w:type="dxa"/>
          </w:tcPr>
          <w:p w14:paraId="43F36A38" w14:textId="77777777" w:rsidR="00AF7076" w:rsidRPr="00173FD6" w:rsidRDefault="00AF7076" w:rsidP="002320B3">
            <w:pPr>
              <w:rPr>
                <w:rFonts w:asciiTheme="majorHAnsi" w:hAnsiTheme="majorHAnsi" w:cstheme="majorHAnsi"/>
                <w:sz w:val="20"/>
                <w:szCs w:val="20"/>
                <w:lang w:val="en-US"/>
              </w:rPr>
            </w:pPr>
            <w:r w:rsidRPr="00173FD6">
              <w:rPr>
                <w:rFonts w:asciiTheme="majorHAnsi" w:hAnsiTheme="majorHAnsi" w:cstheme="majorHAnsi"/>
                <w:b/>
                <w:color w:val="0070C0"/>
                <w:sz w:val="20"/>
                <w:szCs w:val="20"/>
                <w:lang w:val="en-US"/>
              </w:rPr>
              <w:t>BEA- Education Assessment Division</w:t>
            </w:r>
          </w:p>
        </w:tc>
        <w:tc>
          <w:tcPr>
            <w:tcW w:w="5109" w:type="dxa"/>
          </w:tcPr>
          <w:p w14:paraId="54F0F4C8" w14:textId="3E6BADB2" w:rsidR="00AF7076" w:rsidRPr="00173FD6" w:rsidRDefault="00AF7076" w:rsidP="002320B3">
            <w:pPr>
              <w:rPr>
                <w:rFonts w:asciiTheme="majorHAnsi" w:hAnsiTheme="majorHAnsi" w:cstheme="majorHAnsi"/>
                <w:sz w:val="20"/>
                <w:szCs w:val="20"/>
                <w:lang w:val="en-US"/>
              </w:rPr>
            </w:pPr>
          </w:p>
        </w:tc>
        <w:tc>
          <w:tcPr>
            <w:tcW w:w="1170" w:type="dxa"/>
          </w:tcPr>
          <w:p w14:paraId="3AEB7F43" w14:textId="77777777" w:rsidR="00AF7076" w:rsidRPr="00173FD6" w:rsidRDefault="00AF7076" w:rsidP="002320B3">
            <w:pPr>
              <w:rPr>
                <w:rFonts w:asciiTheme="majorHAnsi" w:hAnsiTheme="majorHAnsi" w:cstheme="majorHAnsi"/>
                <w:sz w:val="20"/>
                <w:szCs w:val="20"/>
                <w:lang w:val="en-US"/>
              </w:rPr>
            </w:pPr>
          </w:p>
        </w:tc>
      </w:tr>
      <w:tr w:rsidR="008D0CAD" w:rsidRPr="00173FD6" w14:paraId="10F9546B" w14:textId="77777777" w:rsidTr="00EC48C1">
        <w:tc>
          <w:tcPr>
            <w:tcW w:w="2986" w:type="dxa"/>
          </w:tcPr>
          <w:p w14:paraId="391FBECC"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Minerva V. Villaflor</w:t>
            </w:r>
          </w:p>
        </w:tc>
        <w:tc>
          <w:tcPr>
            <w:tcW w:w="5109" w:type="dxa"/>
          </w:tcPr>
          <w:p w14:paraId="11E76BF5"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Assistant Chief (Education Program Specialist)</w:t>
            </w:r>
          </w:p>
        </w:tc>
        <w:tc>
          <w:tcPr>
            <w:tcW w:w="1170" w:type="dxa"/>
          </w:tcPr>
          <w:p w14:paraId="7625534B"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F</w:t>
            </w:r>
          </w:p>
        </w:tc>
      </w:tr>
      <w:tr w:rsidR="008D0CAD" w:rsidRPr="00173FD6" w14:paraId="5C11DCD2" w14:textId="77777777" w:rsidTr="00EC48C1">
        <w:tc>
          <w:tcPr>
            <w:tcW w:w="2986" w:type="dxa"/>
          </w:tcPr>
          <w:p w14:paraId="48283D33"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Joel D. Cebrero</w:t>
            </w:r>
          </w:p>
        </w:tc>
        <w:tc>
          <w:tcPr>
            <w:tcW w:w="5109" w:type="dxa"/>
          </w:tcPr>
          <w:p w14:paraId="4AC0AD6F"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Education Program Specialist II</w:t>
            </w:r>
          </w:p>
        </w:tc>
        <w:tc>
          <w:tcPr>
            <w:tcW w:w="1170" w:type="dxa"/>
          </w:tcPr>
          <w:p w14:paraId="5CCA6858"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M</w:t>
            </w:r>
          </w:p>
        </w:tc>
      </w:tr>
      <w:tr w:rsidR="008D0CAD" w:rsidRPr="00173FD6" w14:paraId="4E068CF0" w14:textId="77777777" w:rsidTr="00EC48C1">
        <w:tc>
          <w:tcPr>
            <w:tcW w:w="2986" w:type="dxa"/>
          </w:tcPr>
          <w:p w14:paraId="345150DC" w14:textId="77777777" w:rsidR="008D0CAD" w:rsidRPr="00173FD6" w:rsidRDefault="008D0CAD" w:rsidP="002320B3">
            <w:pPr>
              <w:rPr>
                <w:rFonts w:asciiTheme="majorHAnsi" w:hAnsiTheme="majorHAnsi" w:cstheme="majorHAnsi"/>
                <w:b/>
                <w:color w:val="000000"/>
                <w:sz w:val="20"/>
                <w:szCs w:val="20"/>
                <w:lang w:val="en-US"/>
              </w:rPr>
            </w:pPr>
            <w:r w:rsidRPr="00173FD6">
              <w:rPr>
                <w:rFonts w:asciiTheme="majorHAnsi" w:hAnsiTheme="majorHAnsi" w:cstheme="majorHAnsi"/>
                <w:b/>
                <w:color w:val="0070C0"/>
                <w:sz w:val="20"/>
                <w:szCs w:val="20"/>
                <w:lang w:val="en-US"/>
              </w:rPr>
              <w:t>AS-Education Facilities Division</w:t>
            </w:r>
          </w:p>
        </w:tc>
        <w:tc>
          <w:tcPr>
            <w:tcW w:w="5109" w:type="dxa"/>
          </w:tcPr>
          <w:p w14:paraId="2E97E954" w14:textId="77777777" w:rsidR="008D0CAD" w:rsidRPr="00173FD6" w:rsidRDefault="008D0CAD" w:rsidP="002320B3">
            <w:pPr>
              <w:rPr>
                <w:rFonts w:asciiTheme="majorHAnsi" w:hAnsiTheme="majorHAnsi" w:cstheme="majorHAnsi"/>
                <w:color w:val="000000"/>
                <w:sz w:val="20"/>
                <w:szCs w:val="20"/>
                <w:lang w:val="en-US"/>
              </w:rPr>
            </w:pPr>
          </w:p>
        </w:tc>
        <w:tc>
          <w:tcPr>
            <w:tcW w:w="1170" w:type="dxa"/>
          </w:tcPr>
          <w:p w14:paraId="14DF1A74" w14:textId="77777777" w:rsidR="008D0CAD" w:rsidRPr="00173FD6" w:rsidRDefault="008D0CAD" w:rsidP="002320B3">
            <w:pPr>
              <w:rPr>
                <w:rFonts w:asciiTheme="majorHAnsi" w:hAnsiTheme="majorHAnsi" w:cstheme="majorHAnsi"/>
                <w:sz w:val="20"/>
                <w:szCs w:val="20"/>
                <w:lang w:val="en-US"/>
              </w:rPr>
            </w:pPr>
          </w:p>
        </w:tc>
      </w:tr>
      <w:tr w:rsidR="008D0CAD" w:rsidRPr="00173FD6" w14:paraId="5D9553E3" w14:textId="77777777" w:rsidTr="00EC48C1">
        <w:tc>
          <w:tcPr>
            <w:tcW w:w="2986" w:type="dxa"/>
          </w:tcPr>
          <w:p w14:paraId="6C59A0E3"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sz w:val="20"/>
                <w:szCs w:val="20"/>
                <w:lang w:val="en-US"/>
              </w:rPr>
              <w:t>Engr. Annabelle R. Pangan</w:t>
            </w:r>
          </w:p>
        </w:tc>
        <w:tc>
          <w:tcPr>
            <w:tcW w:w="5109" w:type="dxa"/>
          </w:tcPr>
          <w:p w14:paraId="457E0C2A"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sz w:val="20"/>
                <w:szCs w:val="20"/>
                <w:lang w:val="en-US"/>
              </w:rPr>
              <w:t>Chief</w:t>
            </w:r>
          </w:p>
        </w:tc>
        <w:tc>
          <w:tcPr>
            <w:tcW w:w="1170" w:type="dxa"/>
          </w:tcPr>
          <w:p w14:paraId="0FA59016"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F</w:t>
            </w:r>
          </w:p>
        </w:tc>
      </w:tr>
      <w:tr w:rsidR="008D0CAD" w:rsidRPr="00173FD6" w14:paraId="0C451A71" w14:textId="77777777" w:rsidTr="00EC48C1">
        <w:tc>
          <w:tcPr>
            <w:tcW w:w="2986" w:type="dxa"/>
          </w:tcPr>
          <w:p w14:paraId="44C018A3"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sz w:val="20"/>
                <w:szCs w:val="20"/>
                <w:lang w:val="en-US"/>
              </w:rPr>
              <w:t>Nehru Rainier P. Sarmiento</w:t>
            </w:r>
          </w:p>
        </w:tc>
        <w:tc>
          <w:tcPr>
            <w:tcW w:w="5109" w:type="dxa"/>
          </w:tcPr>
          <w:p w14:paraId="187DF1A5"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sz w:val="20"/>
                <w:szCs w:val="20"/>
                <w:lang w:val="en-US"/>
              </w:rPr>
              <w:t>Area Manager</w:t>
            </w:r>
          </w:p>
        </w:tc>
        <w:tc>
          <w:tcPr>
            <w:tcW w:w="1170" w:type="dxa"/>
          </w:tcPr>
          <w:p w14:paraId="32AC04E9"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M</w:t>
            </w:r>
          </w:p>
        </w:tc>
      </w:tr>
      <w:tr w:rsidR="008D0CAD" w:rsidRPr="00173FD6" w14:paraId="0A1FF4F8" w14:textId="77777777" w:rsidTr="00EC48C1">
        <w:tc>
          <w:tcPr>
            <w:tcW w:w="2986" w:type="dxa"/>
          </w:tcPr>
          <w:p w14:paraId="52141294" w14:textId="77777777" w:rsidR="008D0CAD" w:rsidRPr="00173FD6" w:rsidRDefault="008D0CAD" w:rsidP="002320B3">
            <w:pPr>
              <w:rPr>
                <w:rFonts w:asciiTheme="majorHAnsi" w:hAnsiTheme="majorHAnsi" w:cstheme="majorHAnsi"/>
                <w:b/>
                <w:sz w:val="20"/>
                <w:szCs w:val="20"/>
                <w:lang w:val="en-US"/>
              </w:rPr>
            </w:pPr>
            <w:r w:rsidRPr="00173FD6">
              <w:rPr>
                <w:rFonts w:asciiTheme="majorHAnsi" w:hAnsiTheme="majorHAnsi" w:cstheme="majorHAnsi"/>
                <w:b/>
                <w:sz w:val="20"/>
                <w:szCs w:val="20"/>
                <w:lang w:val="en-US"/>
              </w:rPr>
              <w:t>Regional Respondents</w:t>
            </w:r>
          </w:p>
        </w:tc>
        <w:tc>
          <w:tcPr>
            <w:tcW w:w="5109" w:type="dxa"/>
          </w:tcPr>
          <w:p w14:paraId="67199413" w14:textId="77777777" w:rsidR="008D0CAD" w:rsidRPr="00173FD6" w:rsidRDefault="008D0CAD" w:rsidP="002320B3">
            <w:pPr>
              <w:rPr>
                <w:rFonts w:asciiTheme="majorHAnsi" w:hAnsiTheme="majorHAnsi" w:cstheme="majorHAnsi"/>
                <w:sz w:val="20"/>
                <w:szCs w:val="20"/>
                <w:lang w:val="en-US"/>
              </w:rPr>
            </w:pPr>
          </w:p>
        </w:tc>
        <w:tc>
          <w:tcPr>
            <w:tcW w:w="1170" w:type="dxa"/>
          </w:tcPr>
          <w:p w14:paraId="5B5294B6" w14:textId="77777777" w:rsidR="008D0CAD" w:rsidRPr="00173FD6" w:rsidRDefault="008D0CAD" w:rsidP="002320B3">
            <w:pPr>
              <w:rPr>
                <w:rFonts w:asciiTheme="majorHAnsi" w:hAnsiTheme="majorHAnsi" w:cstheme="majorHAnsi"/>
                <w:sz w:val="20"/>
                <w:szCs w:val="20"/>
                <w:lang w:val="en-US"/>
              </w:rPr>
            </w:pPr>
          </w:p>
        </w:tc>
      </w:tr>
      <w:tr w:rsidR="008D0CAD" w:rsidRPr="00173FD6" w14:paraId="0AD3F58F" w14:textId="77777777" w:rsidTr="00EC48C1">
        <w:tc>
          <w:tcPr>
            <w:tcW w:w="2986" w:type="dxa"/>
          </w:tcPr>
          <w:p w14:paraId="07058253" w14:textId="77777777" w:rsidR="008D0CAD" w:rsidRPr="00173FD6" w:rsidRDefault="008D0CAD" w:rsidP="002320B3">
            <w:pPr>
              <w:rPr>
                <w:rFonts w:asciiTheme="majorHAnsi" w:hAnsiTheme="majorHAnsi" w:cstheme="majorHAnsi"/>
                <w:b/>
                <w:color w:val="000000" w:themeColor="text1"/>
                <w:sz w:val="20"/>
                <w:szCs w:val="20"/>
                <w:lang w:val="en-US"/>
              </w:rPr>
            </w:pPr>
            <w:r w:rsidRPr="00173FD6">
              <w:rPr>
                <w:rFonts w:asciiTheme="majorHAnsi" w:hAnsiTheme="majorHAnsi" w:cstheme="majorHAnsi"/>
                <w:b/>
                <w:color w:val="0070C0"/>
                <w:sz w:val="20"/>
                <w:szCs w:val="20"/>
                <w:lang w:val="en-US"/>
              </w:rPr>
              <w:t>NCR</w:t>
            </w:r>
          </w:p>
        </w:tc>
        <w:tc>
          <w:tcPr>
            <w:tcW w:w="5109" w:type="dxa"/>
          </w:tcPr>
          <w:p w14:paraId="79654E6A" w14:textId="77777777" w:rsidR="008D0CAD" w:rsidRPr="00173FD6" w:rsidRDefault="008D0CAD" w:rsidP="002320B3">
            <w:pPr>
              <w:rPr>
                <w:rFonts w:asciiTheme="majorHAnsi" w:hAnsiTheme="majorHAnsi" w:cstheme="majorHAnsi"/>
                <w:sz w:val="20"/>
                <w:szCs w:val="20"/>
                <w:lang w:val="en-US"/>
              </w:rPr>
            </w:pPr>
          </w:p>
        </w:tc>
        <w:tc>
          <w:tcPr>
            <w:tcW w:w="1170" w:type="dxa"/>
          </w:tcPr>
          <w:p w14:paraId="3E7E356A" w14:textId="77777777" w:rsidR="008D0CAD" w:rsidRPr="00173FD6" w:rsidRDefault="008D0CAD" w:rsidP="002320B3">
            <w:pPr>
              <w:rPr>
                <w:rFonts w:asciiTheme="majorHAnsi" w:hAnsiTheme="majorHAnsi" w:cstheme="majorHAnsi"/>
                <w:sz w:val="20"/>
                <w:szCs w:val="20"/>
                <w:lang w:val="en-US"/>
              </w:rPr>
            </w:pPr>
          </w:p>
        </w:tc>
      </w:tr>
      <w:tr w:rsidR="008D0CAD" w:rsidRPr="00173FD6" w14:paraId="409D8072" w14:textId="77777777" w:rsidTr="00EC48C1">
        <w:tc>
          <w:tcPr>
            <w:tcW w:w="2986" w:type="dxa"/>
          </w:tcPr>
          <w:p w14:paraId="00801E75"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color w:val="000000" w:themeColor="text1"/>
                <w:sz w:val="20"/>
                <w:szCs w:val="20"/>
                <w:lang w:val="en-US"/>
              </w:rPr>
              <w:t>Wilfredo Cabral</w:t>
            </w:r>
          </w:p>
        </w:tc>
        <w:tc>
          <w:tcPr>
            <w:tcW w:w="5109" w:type="dxa"/>
          </w:tcPr>
          <w:p w14:paraId="4E1D2820"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Regional Director, DepEd NCR</w:t>
            </w:r>
          </w:p>
        </w:tc>
        <w:tc>
          <w:tcPr>
            <w:tcW w:w="1170" w:type="dxa"/>
          </w:tcPr>
          <w:p w14:paraId="4F992140"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M</w:t>
            </w:r>
          </w:p>
        </w:tc>
      </w:tr>
      <w:tr w:rsidR="008D0CAD" w:rsidRPr="00173FD6" w14:paraId="067A4DB3" w14:textId="77777777" w:rsidTr="00EC48C1">
        <w:tc>
          <w:tcPr>
            <w:tcW w:w="2986" w:type="dxa"/>
          </w:tcPr>
          <w:p w14:paraId="75557A57" w14:textId="77777777" w:rsidR="008D0CAD" w:rsidRPr="00173FD6" w:rsidRDefault="008D0CAD" w:rsidP="002320B3">
            <w:pPr>
              <w:rPr>
                <w:rFonts w:asciiTheme="majorHAnsi" w:hAnsiTheme="majorHAnsi" w:cstheme="majorHAnsi"/>
                <w:b/>
                <w:sz w:val="20"/>
                <w:szCs w:val="20"/>
                <w:lang w:val="en-US"/>
              </w:rPr>
            </w:pPr>
            <w:r w:rsidRPr="00173FD6">
              <w:rPr>
                <w:rFonts w:asciiTheme="majorHAnsi" w:hAnsiTheme="majorHAnsi" w:cstheme="majorHAnsi"/>
                <w:b/>
                <w:color w:val="0070C0"/>
                <w:sz w:val="20"/>
                <w:szCs w:val="20"/>
                <w:lang w:val="en-US"/>
              </w:rPr>
              <w:t>Region V</w:t>
            </w:r>
          </w:p>
        </w:tc>
        <w:tc>
          <w:tcPr>
            <w:tcW w:w="5109" w:type="dxa"/>
          </w:tcPr>
          <w:p w14:paraId="6B434F25" w14:textId="77777777" w:rsidR="008D0CAD" w:rsidRPr="00173FD6" w:rsidRDefault="008D0CAD" w:rsidP="002320B3">
            <w:pPr>
              <w:rPr>
                <w:rFonts w:asciiTheme="majorHAnsi" w:hAnsiTheme="majorHAnsi" w:cstheme="majorHAnsi"/>
                <w:sz w:val="20"/>
                <w:szCs w:val="20"/>
                <w:lang w:val="en-US"/>
              </w:rPr>
            </w:pPr>
          </w:p>
        </w:tc>
        <w:tc>
          <w:tcPr>
            <w:tcW w:w="1170" w:type="dxa"/>
          </w:tcPr>
          <w:p w14:paraId="10401BE1" w14:textId="77777777" w:rsidR="008D0CAD" w:rsidRPr="00173FD6" w:rsidRDefault="008D0CAD" w:rsidP="002320B3">
            <w:pPr>
              <w:rPr>
                <w:rFonts w:asciiTheme="majorHAnsi" w:hAnsiTheme="majorHAnsi" w:cstheme="majorHAnsi"/>
                <w:sz w:val="20"/>
                <w:szCs w:val="20"/>
                <w:lang w:val="en-US"/>
              </w:rPr>
            </w:pPr>
          </w:p>
        </w:tc>
      </w:tr>
      <w:tr w:rsidR="008D0CAD" w:rsidRPr="00173FD6" w14:paraId="5D44B28A" w14:textId="77777777" w:rsidTr="00EC48C1">
        <w:tc>
          <w:tcPr>
            <w:tcW w:w="2986" w:type="dxa"/>
          </w:tcPr>
          <w:p w14:paraId="1D038008" w14:textId="77777777" w:rsidR="008D0CAD" w:rsidRPr="00173FD6" w:rsidRDefault="008D0CAD" w:rsidP="002320B3">
            <w:pPr>
              <w:autoSpaceDE w:val="0"/>
              <w:autoSpaceDN w:val="0"/>
              <w:adjustRightInd w:val="0"/>
              <w:rPr>
                <w:rFonts w:asciiTheme="majorHAnsi" w:hAnsiTheme="majorHAnsi" w:cstheme="majorHAnsi"/>
                <w:sz w:val="20"/>
                <w:szCs w:val="20"/>
                <w:lang w:val="en-US"/>
              </w:rPr>
            </w:pPr>
            <w:r w:rsidRPr="00173FD6">
              <w:rPr>
                <w:rFonts w:asciiTheme="majorHAnsi" w:hAnsiTheme="majorHAnsi" w:cstheme="majorHAnsi"/>
                <w:sz w:val="20"/>
                <w:szCs w:val="20"/>
                <w:lang w:val="en-US"/>
              </w:rPr>
              <w:t>Gilbert T. Sadsad</w:t>
            </w:r>
          </w:p>
        </w:tc>
        <w:tc>
          <w:tcPr>
            <w:tcW w:w="5109" w:type="dxa"/>
          </w:tcPr>
          <w:p w14:paraId="2A5368A2"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Regional Director, DepEd RO V</w:t>
            </w:r>
          </w:p>
        </w:tc>
        <w:tc>
          <w:tcPr>
            <w:tcW w:w="1170" w:type="dxa"/>
          </w:tcPr>
          <w:p w14:paraId="5CE1CB64"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M</w:t>
            </w:r>
          </w:p>
        </w:tc>
      </w:tr>
      <w:tr w:rsidR="008D0CAD" w:rsidRPr="00173FD6" w14:paraId="46802C73" w14:textId="77777777" w:rsidTr="00EC48C1">
        <w:tc>
          <w:tcPr>
            <w:tcW w:w="2986" w:type="dxa"/>
          </w:tcPr>
          <w:p w14:paraId="2F823199"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Susan S. Collano</w:t>
            </w:r>
          </w:p>
        </w:tc>
        <w:tc>
          <w:tcPr>
            <w:tcW w:w="5109" w:type="dxa"/>
          </w:tcPr>
          <w:p w14:paraId="30B58FC7"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Asst. Schools Division Superintendent</w:t>
            </w:r>
          </w:p>
        </w:tc>
        <w:tc>
          <w:tcPr>
            <w:tcW w:w="1170" w:type="dxa"/>
          </w:tcPr>
          <w:p w14:paraId="40598CED"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F</w:t>
            </w:r>
          </w:p>
        </w:tc>
      </w:tr>
      <w:tr w:rsidR="008D0CAD" w:rsidRPr="00173FD6" w14:paraId="533BBD37" w14:textId="77777777" w:rsidTr="00EC48C1">
        <w:tc>
          <w:tcPr>
            <w:tcW w:w="2986" w:type="dxa"/>
          </w:tcPr>
          <w:p w14:paraId="3E361523" w14:textId="77777777" w:rsidR="008D0CAD" w:rsidRPr="00173FD6" w:rsidRDefault="008D0CAD" w:rsidP="002320B3">
            <w:pPr>
              <w:rPr>
                <w:rFonts w:asciiTheme="majorHAnsi" w:hAnsiTheme="majorHAnsi" w:cstheme="majorHAnsi"/>
                <w:b/>
                <w:sz w:val="20"/>
                <w:szCs w:val="20"/>
                <w:lang w:val="en-US"/>
              </w:rPr>
            </w:pPr>
            <w:r w:rsidRPr="00173FD6">
              <w:rPr>
                <w:rFonts w:asciiTheme="majorHAnsi" w:hAnsiTheme="majorHAnsi" w:cstheme="majorHAnsi"/>
                <w:b/>
                <w:color w:val="0070C0"/>
                <w:sz w:val="20"/>
                <w:szCs w:val="20"/>
                <w:lang w:val="en-US"/>
              </w:rPr>
              <w:t>Region VI</w:t>
            </w:r>
          </w:p>
        </w:tc>
        <w:tc>
          <w:tcPr>
            <w:tcW w:w="5109" w:type="dxa"/>
          </w:tcPr>
          <w:p w14:paraId="3BD5C5FE" w14:textId="77777777" w:rsidR="008D0CAD" w:rsidRPr="00173FD6" w:rsidRDefault="008D0CAD" w:rsidP="002320B3">
            <w:pPr>
              <w:rPr>
                <w:rFonts w:asciiTheme="majorHAnsi" w:hAnsiTheme="majorHAnsi" w:cstheme="majorHAnsi"/>
                <w:sz w:val="20"/>
                <w:szCs w:val="20"/>
                <w:lang w:val="en-US"/>
              </w:rPr>
            </w:pPr>
          </w:p>
        </w:tc>
        <w:tc>
          <w:tcPr>
            <w:tcW w:w="1170" w:type="dxa"/>
          </w:tcPr>
          <w:p w14:paraId="131978CB" w14:textId="77777777" w:rsidR="008D0CAD" w:rsidRPr="00173FD6" w:rsidRDefault="008D0CAD" w:rsidP="002320B3">
            <w:pPr>
              <w:rPr>
                <w:rFonts w:asciiTheme="majorHAnsi" w:hAnsiTheme="majorHAnsi" w:cstheme="majorHAnsi"/>
                <w:sz w:val="20"/>
                <w:szCs w:val="20"/>
                <w:lang w:val="en-US"/>
              </w:rPr>
            </w:pPr>
          </w:p>
        </w:tc>
      </w:tr>
      <w:tr w:rsidR="008D0CAD" w:rsidRPr="00173FD6" w14:paraId="08B020C2" w14:textId="77777777" w:rsidTr="00EC48C1">
        <w:tc>
          <w:tcPr>
            <w:tcW w:w="2986" w:type="dxa"/>
          </w:tcPr>
          <w:p w14:paraId="35D6CD09"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Ma. Gemma M. Ledesma</w:t>
            </w:r>
          </w:p>
        </w:tc>
        <w:tc>
          <w:tcPr>
            <w:tcW w:w="5109" w:type="dxa"/>
          </w:tcPr>
          <w:p w14:paraId="0C8494E2"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Regional Director, DepEd RO VI</w:t>
            </w:r>
          </w:p>
        </w:tc>
        <w:tc>
          <w:tcPr>
            <w:tcW w:w="1170" w:type="dxa"/>
          </w:tcPr>
          <w:p w14:paraId="555067EF"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F</w:t>
            </w:r>
          </w:p>
        </w:tc>
      </w:tr>
      <w:tr w:rsidR="008D0CAD" w:rsidRPr="00173FD6" w14:paraId="6009E719" w14:textId="77777777" w:rsidTr="00EC48C1">
        <w:tc>
          <w:tcPr>
            <w:tcW w:w="2986" w:type="dxa"/>
          </w:tcPr>
          <w:p w14:paraId="67E5594A"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Victor G. de Gracia, Jr.</w:t>
            </w:r>
          </w:p>
        </w:tc>
        <w:tc>
          <w:tcPr>
            <w:tcW w:w="5109" w:type="dxa"/>
          </w:tcPr>
          <w:p w14:paraId="649F492B"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Superintendent, Division of Antique</w:t>
            </w:r>
          </w:p>
        </w:tc>
        <w:tc>
          <w:tcPr>
            <w:tcW w:w="1170" w:type="dxa"/>
          </w:tcPr>
          <w:p w14:paraId="4DC6D5EE"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M</w:t>
            </w:r>
          </w:p>
        </w:tc>
      </w:tr>
      <w:tr w:rsidR="008D0CAD" w:rsidRPr="00173FD6" w14:paraId="2AE18E5D" w14:textId="77777777" w:rsidTr="00EC48C1">
        <w:tc>
          <w:tcPr>
            <w:tcW w:w="2986" w:type="dxa"/>
          </w:tcPr>
          <w:p w14:paraId="76F3898A"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Miguel Mac D. Aposin</w:t>
            </w:r>
          </w:p>
        </w:tc>
        <w:tc>
          <w:tcPr>
            <w:tcW w:w="5109" w:type="dxa"/>
          </w:tcPr>
          <w:p w14:paraId="77F05CB4"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Superintendent, Division of Iloilo</w:t>
            </w:r>
          </w:p>
        </w:tc>
        <w:tc>
          <w:tcPr>
            <w:tcW w:w="1170" w:type="dxa"/>
          </w:tcPr>
          <w:p w14:paraId="5B21630B"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M</w:t>
            </w:r>
          </w:p>
        </w:tc>
      </w:tr>
      <w:tr w:rsidR="008D0CAD" w:rsidRPr="00173FD6" w14:paraId="503E9746" w14:textId="77777777" w:rsidTr="00EC48C1">
        <w:tc>
          <w:tcPr>
            <w:tcW w:w="2986" w:type="dxa"/>
          </w:tcPr>
          <w:p w14:paraId="2A1F58CF"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Zaldy C. Quilantang</w:t>
            </w:r>
          </w:p>
        </w:tc>
        <w:tc>
          <w:tcPr>
            <w:tcW w:w="5109" w:type="dxa"/>
          </w:tcPr>
          <w:p w14:paraId="0F9EBA92"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District Supervisor Dumangas, Iloilo</w:t>
            </w:r>
          </w:p>
        </w:tc>
        <w:tc>
          <w:tcPr>
            <w:tcW w:w="1170" w:type="dxa"/>
          </w:tcPr>
          <w:p w14:paraId="57681D73"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M</w:t>
            </w:r>
          </w:p>
        </w:tc>
      </w:tr>
      <w:tr w:rsidR="008D0CAD" w:rsidRPr="00173FD6" w14:paraId="3E72ED87" w14:textId="77777777" w:rsidTr="00EC48C1">
        <w:tc>
          <w:tcPr>
            <w:tcW w:w="2986" w:type="dxa"/>
          </w:tcPr>
          <w:p w14:paraId="0C3E31BF"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Gemma Rose C. Pedregosa</w:t>
            </w:r>
          </w:p>
        </w:tc>
        <w:tc>
          <w:tcPr>
            <w:tcW w:w="5109" w:type="dxa"/>
          </w:tcPr>
          <w:p w14:paraId="490733A5"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Regional M&amp;E Specialist</w:t>
            </w:r>
          </w:p>
        </w:tc>
        <w:tc>
          <w:tcPr>
            <w:tcW w:w="1170" w:type="dxa"/>
          </w:tcPr>
          <w:p w14:paraId="345510D1"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F</w:t>
            </w:r>
          </w:p>
        </w:tc>
      </w:tr>
      <w:tr w:rsidR="008D0CAD" w:rsidRPr="00173FD6" w14:paraId="2E9FDD9B" w14:textId="77777777" w:rsidTr="00EC48C1">
        <w:tc>
          <w:tcPr>
            <w:tcW w:w="2986" w:type="dxa"/>
          </w:tcPr>
          <w:p w14:paraId="5A0F3872"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Noeme A. Desamero</w:t>
            </w:r>
          </w:p>
        </w:tc>
        <w:tc>
          <w:tcPr>
            <w:tcW w:w="5109" w:type="dxa"/>
          </w:tcPr>
          <w:p w14:paraId="14F5568B"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Bacjawan Sur ES Principal</w:t>
            </w:r>
          </w:p>
        </w:tc>
        <w:tc>
          <w:tcPr>
            <w:tcW w:w="1170" w:type="dxa"/>
          </w:tcPr>
          <w:p w14:paraId="2305BFE8"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F</w:t>
            </w:r>
          </w:p>
        </w:tc>
      </w:tr>
      <w:tr w:rsidR="008D0CAD" w:rsidRPr="00173FD6" w14:paraId="66F9ED1A" w14:textId="77777777" w:rsidTr="00EC48C1">
        <w:tc>
          <w:tcPr>
            <w:tcW w:w="2986" w:type="dxa"/>
          </w:tcPr>
          <w:p w14:paraId="4605513C"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b/>
                <w:color w:val="0070C0"/>
                <w:sz w:val="20"/>
                <w:szCs w:val="20"/>
                <w:lang w:val="en-US"/>
              </w:rPr>
              <w:t>Region VII</w:t>
            </w:r>
          </w:p>
        </w:tc>
        <w:tc>
          <w:tcPr>
            <w:tcW w:w="5109" w:type="dxa"/>
          </w:tcPr>
          <w:p w14:paraId="550A410A" w14:textId="77777777" w:rsidR="008D0CAD" w:rsidRPr="00173FD6" w:rsidRDefault="008D0CAD" w:rsidP="002320B3">
            <w:pPr>
              <w:rPr>
                <w:rFonts w:asciiTheme="majorHAnsi" w:hAnsiTheme="majorHAnsi" w:cstheme="majorHAnsi"/>
                <w:sz w:val="20"/>
                <w:szCs w:val="20"/>
                <w:lang w:val="en-US"/>
              </w:rPr>
            </w:pPr>
          </w:p>
        </w:tc>
        <w:tc>
          <w:tcPr>
            <w:tcW w:w="1170" w:type="dxa"/>
          </w:tcPr>
          <w:p w14:paraId="056DF919" w14:textId="77777777" w:rsidR="008D0CAD" w:rsidRPr="00173FD6" w:rsidRDefault="008D0CAD" w:rsidP="002320B3">
            <w:pPr>
              <w:rPr>
                <w:rFonts w:asciiTheme="majorHAnsi" w:hAnsiTheme="majorHAnsi" w:cstheme="majorHAnsi"/>
                <w:sz w:val="20"/>
                <w:szCs w:val="20"/>
                <w:lang w:val="en-US"/>
              </w:rPr>
            </w:pPr>
          </w:p>
        </w:tc>
      </w:tr>
      <w:tr w:rsidR="008D0CAD" w:rsidRPr="00173FD6" w14:paraId="4A6324C0" w14:textId="77777777" w:rsidTr="00EC48C1">
        <w:tc>
          <w:tcPr>
            <w:tcW w:w="2986" w:type="dxa"/>
          </w:tcPr>
          <w:p w14:paraId="1D09E10E"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RD Juliet A. Jeruta</w:t>
            </w:r>
          </w:p>
        </w:tc>
        <w:tc>
          <w:tcPr>
            <w:tcW w:w="5109" w:type="dxa"/>
          </w:tcPr>
          <w:p w14:paraId="1F0B8B10"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Regional Director, DepEd RO VII</w:t>
            </w:r>
          </w:p>
        </w:tc>
        <w:tc>
          <w:tcPr>
            <w:tcW w:w="1170" w:type="dxa"/>
          </w:tcPr>
          <w:p w14:paraId="18E2A867"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F</w:t>
            </w:r>
          </w:p>
        </w:tc>
      </w:tr>
      <w:tr w:rsidR="008D0CAD" w:rsidRPr="00173FD6" w14:paraId="69277A65" w14:textId="77777777" w:rsidTr="00EC48C1">
        <w:tc>
          <w:tcPr>
            <w:tcW w:w="2986" w:type="dxa"/>
          </w:tcPr>
          <w:p w14:paraId="5885AF77"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Dr. Nimfa Bongo</w:t>
            </w:r>
          </w:p>
        </w:tc>
        <w:tc>
          <w:tcPr>
            <w:tcW w:w="5109" w:type="dxa"/>
          </w:tcPr>
          <w:p w14:paraId="1BA960A5"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Superintendent, Division of Bohol</w:t>
            </w:r>
          </w:p>
        </w:tc>
        <w:tc>
          <w:tcPr>
            <w:tcW w:w="1170" w:type="dxa"/>
          </w:tcPr>
          <w:p w14:paraId="4BED4972"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F</w:t>
            </w:r>
          </w:p>
        </w:tc>
      </w:tr>
      <w:tr w:rsidR="008D0CAD" w:rsidRPr="00173FD6" w14:paraId="39755B06" w14:textId="77777777" w:rsidTr="00EC48C1">
        <w:tc>
          <w:tcPr>
            <w:tcW w:w="2986" w:type="dxa"/>
          </w:tcPr>
          <w:p w14:paraId="2A8F68AF"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b/>
                <w:color w:val="0070C0"/>
                <w:sz w:val="20"/>
                <w:szCs w:val="20"/>
                <w:lang w:val="en-US"/>
              </w:rPr>
              <w:t>Region VIII</w:t>
            </w:r>
          </w:p>
        </w:tc>
        <w:tc>
          <w:tcPr>
            <w:tcW w:w="5109" w:type="dxa"/>
          </w:tcPr>
          <w:p w14:paraId="5AAFBBF1" w14:textId="77777777" w:rsidR="008D0CAD" w:rsidRPr="00173FD6" w:rsidRDefault="008D0CAD" w:rsidP="002320B3">
            <w:pPr>
              <w:rPr>
                <w:rFonts w:asciiTheme="majorHAnsi" w:hAnsiTheme="majorHAnsi" w:cstheme="majorHAnsi"/>
                <w:sz w:val="20"/>
                <w:szCs w:val="20"/>
                <w:lang w:val="en-US"/>
              </w:rPr>
            </w:pPr>
          </w:p>
        </w:tc>
        <w:tc>
          <w:tcPr>
            <w:tcW w:w="1170" w:type="dxa"/>
          </w:tcPr>
          <w:p w14:paraId="22C9F980" w14:textId="77777777" w:rsidR="008D0CAD" w:rsidRPr="00173FD6" w:rsidRDefault="008D0CAD" w:rsidP="002320B3">
            <w:pPr>
              <w:rPr>
                <w:rFonts w:asciiTheme="majorHAnsi" w:hAnsiTheme="majorHAnsi" w:cstheme="majorHAnsi"/>
                <w:sz w:val="20"/>
                <w:szCs w:val="20"/>
                <w:lang w:val="en-US"/>
              </w:rPr>
            </w:pPr>
          </w:p>
        </w:tc>
      </w:tr>
      <w:tr w:rsidR="008D0CAD" w:rsidRPr="00173FD6" w14:paraId="714C54B9" w14:textId="77777777" w:rsidTr="00EC48C1">
        <w:tc>
          <w:tcPr>
            <w:tcW w:w="2986" w:type="dxa"/>
          </w:tcPr>
          <w:p w14:paraId="6631BF82"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Denrick Endriano</w:t>
            </w:r>
          </w:p>
        </w:tc>
        <w:tc>
          <w:tcPr>
            <w:tcW w:w="5109" w:type="dxa"/>
          </w:tcPr>
          <w:p w14:paraId="1D8CBF43"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Assistant Regional Director, DepEd RO VIII</w:t>
            </w:r>
          </w:p>
        </w:tc>
        <w:tc>
          <w:tcPr>
            <w:tcW w:w="1170" w:type="dxa"/>
          </w:tcPr>
          <w:p w14:paraId="3B92296F"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M</w:t>
            </w:r>
          </w:p>
        </w:tc>
      </w:tr>
      <w:tr w:rsidR="008D0CAD" w:rsidRPr="00173FD6" w14:paraId="38BBE0E2" w14:textId="77777777" w:rsidTr="00EC48C1">
        <w:tc>
          <w:tcPr>
            <w:tcW w:w="2986" w:type="dxa"/>
          </w:tcPr>
          <w:p w14:paraId="185B2F67"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DS Ronelo Al K. Firmo</w:t>
            </w:r>
          </w:p>
        </w:tc>
        <w:tc>
          <w:tcPr>
            <w:tcW w:w="5109" w:type="dxa"/>
          </w:tcPr>
          <w:p w14:paraId="7D362EFF"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Superintendent, Division of Leyte</w:t>
            </w:r>
          </w:p>
        </w:tc>
        <w:tc>
          <w:tcPr>
            <w:tcW w:w="1170" w:type="dxa"/>
          </w:tcPr>
          <w:p w14:paraId="22B5EFC3"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M</w:t>
            </w:r>
          </w:p>
        </w:tc>
      </w:tr>
      <w:tr w:rsidR="008D0CAD" w:rsidRPr="00173FD6" w14:paraId="3FADFC23" w14:textId="77777777" w:rsidTr="00EC48C1">
        <w:tc>
          <w:tcPr>
            <w:tcW w:w="2986" w:type="dxa"/>
          </w:tcPr>
          <w:p w14:paraId="1AAF1E2A"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DS Bernardo A. Adina</w:t>
            </w:r>
          </w:p>
        </w:tc>
        <w:tc>
          <w:tcPr>
            <w:tcW w:w="5109" w:type="dxa"/>
          </w:tcPr>
          <w:p w14:paraId="4B24DF7D"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Superintendent, Division of Eastern Samar</w:t>
            </w:r>
          </w:p>
        </w:tc>
        <w:tc>
          <w:tcPr>
            <w:tcW w:w="1170" w:type="dxa"/>
          </w:tcPr>
          <w:p w14:paraId="609E9B05"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M</w:t>
            </w:r>
          </w:p>
        </w:tc>
      </w:tr>
      <w:tr w:rsidR="008D0CAD" w:rsidRPr="00173FD6" w14:paraId="7A4593CA" w14:textId="77777777" w:rsidTr="00EC48C1">
        <w:tc>
          <w:tcPr>
            <w:tcW w:w="2986" w:type="dxa"/>
          </w:tcPr>
          <w:p w14:paraId="10AEA515" w14:textId="77777777" w:rsidR="008D0CAD" w:rsidRPr="00173FD6" w:rsidRDefault="008D0CAD" w:rsidP="002320B3">
            <w:pPr>
              <w:rPr>
                <w:rFonts w:asciiTheme="majorHAnsi" w:hAnsiTheme="majorHAnsi" w:cstheme="majorHAnsi"/>
                <w:b/>
                <w:sz w:val="20"/>
                <w:szCs w:val="20"/>
                <w:lang w:val="en-US"/>
              </w:rPr>
            </w:pPr>
            <w:r w:rsidRPr="00173FD6">
              <w:rPr>
                <w:rFonts w:asciiTheme="majorHAnsi" w:hAnsiTheme="majorHAnsi" w:cstheme="majorHAnsi"/>
                <w:b/>
                <w:color w:val="0070C0"/>
                <w:sz w:val="20"/>
                <w:szCs w:val="20"/>
                <w:lang w:val="en-US"/>
              </w:rPr>
              <w:t>Region X</w:t>
            </w:r>
          </w:p>
        </w:tc>
        <w:tc>
          <w:tcPr>
            <w:tcW w:w="5109" w:type="dxa"/>
          </w:tcPr>
          <w:p w14:paraId="16FFCC5B" w14:textId="77777777" w:rsidR="008D0CAD" w:rsidRPr="00173FD6" w:rsidRDefault="008D0CAD" w:rsidP="002320B3">
            <w:pPr>
              <w:rPr>
                <w:rFonts w:asciiTheme="majorHAnsi" w:hAnsiTheme="majorHAnsi" w:cstheme="majorHAnsi"/>
                <w:sz w:val="20"/>
                <w:szCs w:val="20"/>
                <w:lang w:val="en-US"/>
              </w:rPr>
            </w:pPr>
          </w:p>
        </w:tc>
        <w:tc>
          <w:tcPr>
            <w:tcW w:w="1170" w:type="dxa"/>
          </w:tcPr>
          <w:p w14:paraId="6E4F7B99" w14:textId="77777777" w:rsidR="008D0CAD" w:rsidRPr="00173FD6" w:rsidRDefault="008D0CAD" w:rsidP="002320B3">
            <w:pPr>
              <w:rPr>
                <w:rFonts w:asciiTheme="majorHAnsi" w:hAnsiTheme="majorHAnsi" w:cstheme="majorHAnsi"/>
                <w:sz w:val="20"/>
                <w:szCs w:val="20"/>
                <w:lang w:val="en-US"/>
              </w:rPr>
            </w:pPr>
          </w:p>
        </w:tc>
      </w:tr>
      <w:tr w:rsidR="008D0CAD" w:rsidRPr="00173FD6" w14:paraId="210BF3C3" w14:textId="77777777" w:rsidTr="00EC48C1">
        <w:tc>
          <w:tcPr>
            <w:tcW w:w="2986" w:type="dxa"/>
          </w:tcPr>
          <w:p w14:paraId="5A43AC49"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Dr. Arturo Bayucot, CESO V</w:t>
            </w:r>
          </w:p>
        </w:tc>
        <w:tc>
          <w:tcPr>
            <w:tcW w:w="5109" w:type="dxa"/>
          </w:tcPr>
          <w:p w14:paraId="713548C1"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Regional Director, DepEd RO 10</w:t>
            </w:r>
          </w:p>
        </w:tc>
        <w:tc>
          <w:tcPr>
            <w:tcW w:w="1170" w:type="dxa"/>
          </w:tcPr>
          <w:p w14:paraId="243504F5"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M</w:t>
            </w:r>
          </w:p>
        </w:tc>
      </w:tr>
      <w:tr w:rsidR="008D0CAD" w:rsidRPr="00173FD6" w14:paraId="50D75AE9" w14:textId="77777777" w:rsidTr="00EC48C1">
        <w:tc>
          <w:tcPr>
            <w:tcW w:w="2986" w:type="dxa"/>
          </w:tcPr>
          <w:p w14:paraId="629341A0"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Atty Shirly Chatto</w:t>
            </w:r>
          </w:p>
        </w:tc>
        <w:tc>
          <w:tcPr>
            <w:tcW w:w="5109" w:type="dxa"/>
          </w:tcPr>
          <w:p w14:paraId="46498365"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Assistant Regional Director</w:t>
            </w:r>
          </w:p>
        </w:tc>
        <w:tc>
          <w:tcPr>
            <w:tcW w:w="1170" w:type="dxa"/>
          </w:tcPr>
          <w:p w14:paraId="0D42A597"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F</w:t>
            </w:r>
          </w:p>
        </w:tc>
      </w:tr>
      <w:tr w:rsidR="008D0CAD" w:rsidRPr="00173FD6" w14:paraId="7F0E463B" w14:textId="77777777" w:rsidTr="00EC48C1">
        <w:tc>
          <w:tcPr>
            <w:tcW w:w="2986" w:type="dxa"/>
          </w:tcPr>
          <w:p w14:paraId="70C77A4D"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Dr. Jonathan dela Pena</w:t>
            </w:r>
          </w:p>
        </w:tc>
        <w:tc>
          <w:tcPr>
            <w:tcW w:w="5109" w:type="dxa"/>
          </w:tcPr>
          <w:p w14:paraId="2FABDE20"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Superintendent, Division of CDO</w:t>
            </w:r>
          </w:p>
        </w:tc>
        <w:tc>
          <w:tcPr>
            <w:tcW w:w="1170" w:type="dxa"/>
          </w:tcPr>
          <w:p w14:paraId="6F7538BB"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M</w:t>
            </w:r>
          </w:p>
        </w:tc>
      </w:tr>
      <w:tr w:rsidR="008D0CAD" w:rsidRPr="00173FD6" w14:paraId="6CA94973" w14:textId="77777777" w:rsidTr="00EC48C1">
        <w:tc>
          <w:tcPr>
            <w:tcW w:w="2986" w:type="dxa"/>
          </w:tcPr>
          <w:p w14:paraId="61A93FA4" w14:textId="77777777" w:rsidR="008D0CAD" w:rsidRPr="00173FD6" w:rsidRDefault="008D0CAD" w:rsidP="002320B3">
            <w:pPr>
              <w:rPr>
                <w:rFonts w:asciiTheme="majorHAnsi" w:hAnsiTheme="majorHAnsi" w:cstheme="majorHAnsi"/>
                <w:b/>
                <w:sz w:val="20"/>
                <w:szCs w:val="20"/>
                <w:lang w:val="en-US"/>
              </w:rPr>
            </w:pPr>
            <w:r w:rsidRPr="00173FD6">
              <w:rPr>
                <w:rFonts w:asciiTheme="majorHAnsi" w:hAnsiTheme="majorHAnsi" w:cstheme="majorHAnsi"/>
                <w:b/>
                <w:sz w:val="20"/>
                <w:szCs w:val="20"/>
                <w:lang w:val="en-US"/>
              </w:rPr>
              <w:t>BEST Partners</w:t>
            </w:r>
          </w:p>
        </w:tc>
        <w:tc>
          <w:tcPr>
            <w:tcW w:w="5109" w:type="dxa"/>
          </w:tcPr>
          <w:p w14:paraId="34FB5A4F" w14:textId="77777777" w:rsidR="008D0CAD" w:rsidRPr="00173FD6" w:rsidRDefault="008D0CAD" w:rsidP="002320B3">
            <w:pPr>
              <w:rPr>
                <w:rFonts w:asciiTheme="majorHAnsi" w:hAnsiTheme="majorHAnsi" w:cstheme="majorHAnsi"/>
                <w:b/>
                <w:sz w:val="20"/>
                <w:szCs w:val="20"/>
                <w:lang w:val="en-US"/>
              </w:rPr>
            </w:pPr>
          </w:p>
        </w:tc>
        <w:tc>
          <w:tcPr>
            <w:tcW w:w="1170" w:type="dxa"/>
          </w:tcPr>
          <w:p w14:paraId="29C45979" w14:textId="77777777" w:rsidR="008D0CAD" w:rsidRPr="00173FD6" w:rsidRDefault="008D0CAD" w:rsidP="002320B3">
            <w:pPr>
              <w:rPr>
                <w:rFonts w:asciiTheme="majorHAnsi" w:hAnsiTheme="majorHAnsi" w:cstheme="majorHAnsi"/>
                <w:b/>
                <w:sz w:val="20"/>
                <w:szCs w:val="20"/>
                <w:lang w:val="en-US"/>
              </w:rPr>
            </w:pPr>
          </w:p>
        </w:tc>
      </w:tr>
      <w:tr w:rsidR="008D0CAD" w:rsidRPr="00173FD6" w14:paraId="4CF3F508" w14:textId="77777777" w:rsidTr="00EC48C1">
        <w:tc>
          <w:tcPr>
            <w:tcW w:w="2986" w:type="dxa"/>
          </w:tcPr>
          <w:p w14:paraId="3573C075" w14:textId="77777777" w:rsidR="008D0CAD" w:rsidRPr="00173FD6" w:rsidRDefault="008D0CAD" w:rsidP="002320B3">
            <w:pPr>
              <w:rPr>
                <w:rFonts w:asciiTheme="majorHAnsi" w:hAnsiTheme="majorHAnsi" w:cstheme="majorHAnsi"/>
                <w:sz w:val="20"/>
                <w:szCs w:val="20"/>
                <w:highlight w:val="yellow"/>
                <w:lang w:val="en-US"/>
              </w:rPr>
            </w:pPr>
            <w:r w:rsidRPr="00173FD6">
              <w:rPr>
                <w:rFonts w:asciiTheme="majorHAnsi" w:hAnsiTheme="majorHAnsi" w:cstheme="majorHAnsi"/>
                <w:color w:val="000000"/>
                <w:sz w:val="20"/>
                <w:szCs w:val="20"/>
                <w:lang w:val="en-US"/>
              </w:rPr>
              <w:t>Dr Marylin B. Muncada</w:t>
            </w:r>
          </w:p>
        </w:tc>
        <w:tc>
          <w:tcPr>
            <w:tcW w:w="5109" w:type="dxa"/>
          </w:tcPr>
          <w:p w14:paraId="34AB0FC3"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Director, Education Program Management Office</w:t>
            </w:r>
          </w:p>
          <w:p w14:paraId="21887BB7" w14:textId="77777777" w:rsidR="008D0CAD" w:rsidRPr="00173FD6" w:rsidRDefault="008D0CAD" w:rsidP="002320B3">
            <w:pPr>
              <w:rPr>
                <w:rFonts w:asciiTheme="majorHAnsi" w:hAnsiTheme="majorHAnsi" w:cstheme="majorHAnsi"/>
                <w:sz w:val="20"/>
                <w:szCs w:val="20"/>
                <w:highlight w:val="yellow"/>
                <w:lang w:val="en-US"/>
              </w:rPr>
            </w:pPr>
            <w:r w:rsidRPr="00173FD6">
              <w:rPr>
                <w:rFonts w:asciiTheme="majorHAnsi" w:hAnsiTheme="majorHAnsi" w:cstheme="majorHAnsi"/>
                <w:sz w:val="20"/>
                <w:szCs w:val="20"/>
                <w:lang w:val="en-US"/>
              </w:rPr>
              <w:t>Philippine Business for Social Progress (PBSP)</w:t>
            </w:r>
          </w:p>
        </w:tc>
        <w:tc>
          <w:tcPr>
            <w:tcW w:w="1170" w:type="dxa"/>
          </w:tcPr>
          <w:p w14:paraId="0BFEE716"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F</w:t>
            </w:r>
          </w:p>
        </w:tc>
      </w:tr>
      <w:tr w:rsidR="008D0CAD" w:rsidRPr="00173FD6" w14:paraId="713EFFE7" w14:textId="77777777" w:rsidTr="00EC48C1">
        <w:tc>
          <w:tcPr>
            <w:tcW w:w="2986" w:type="dxa"/>
          </w:tcPr>
          <w:p w14:paraId="460C1D08" w14:textId="77777777" w:rsidR="008D0CAD" w:rsidRPr="00173FD6" w:rsidRDefault="008D0CAD" w:rsidP="002320B3">
            <w:pPr>
              <w:rPr>
                <w:rFonts w:asciiTheme="majorHAnsi" w:hAnsiTheme="majorHAnsi" w:cstheme="majorHAnsi"/>
                <w:sz w:val="20"/>
                <w:szCs w:val="20"/>
                <w:highlight w:val="yellow"/>
                <w:lang w:val="en-US"/>
              </w:rPr>
            </w:pPr>
            <w:r w:rsidRPr="00173FD6">
              <w:rPr>
                <w:rFonts w:asciiTheme="majorHAnsi" w:hAnsiTheme="majorHAnsi" w:cstheme="majorHAnsi"/>
                <w:color w:val="000000"/>
                <w:sz w:val="20"/>
                <w:szCs w:val="20"/>
                <w:lang w:val="en-US"/>
              </w:rPr>
              <w:t>Rommel M. Gonzales</w:t>
            </w:r>
          </w:p>
        </w:tc>
        <w:tc>
          <w:tcPr>
            <w:tcW w:w="5109" w:type="dxa"/>
          </w:tcPr>
          <w:p w14:paraId="59C28FAD"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Program Manager</w:t>
            </w:r>
          </w:p>
          <w:p w14:paraId="180EBC89" w14:textId="77777777" w:rsidR="008D0CAD" w:rsidRPr="00173FD6" w:rsidRDefault="008D0CAD" w:rsidP="002320B3">
            <w:pPr>
              <w:rPr>
                <w:rFonts w:asciiTheme="majorHAnsi" w:hAnsiTheme="majorHAnsi" w:cstheme="majorHAnsi"/>
                <w:sz w:val="20"/>
                <w:szCs w:val="20"/>
                <w:highlight w:val="yellow"/>
                <w:lang w:val="en-US"/>
              </w:rPr>
            </w:pPr>
            <w:r w:rsidRPr="00173FD6">
              <w:rPr>
                <w:rFonts w:asciiTheme="majorHAnsi" w:hAnsiTheme="majorHAnsi" w:cstheme="majorHAnsi"/>
                <w:sz w:val="20"/>
                <w:szCs w:val="20"/>
                <w:lang w:val="en-US"/>
              </w:rPr>
              <w:t>Philippine Business for Social Progress (PBSP)</w:t>
            </w:r>
          </w:p>
        </w:tc>
        <w:tc>
          <w:tcPr>
            <w:tcW w:w="1170" w:type="dxa"/>
          </w:tcPr>
          <w:p w14:paraId="0863A1B3" w14:textId="77777777" w:rsidR="008D0CAD" w:rsidRPr="00173FD6" w:rsidRDefault="008D0CAD" w:rsidP="002320B3">
            <w:pPr>
              <w:rPr>
                <w:rFonts w:asciiTheme="majorHAnsi" w:hAnsiTheme="majorHAnsi" w:cstheme="majorHAnsi"/>
                <w:sz w:val="20"/>
                <w:szCs w:val="20"/>
                <w:highlight w:val="yellow"/>
                <w:lang w:val="en-US"/>
              </w:rPr>
            </w:pPr>
            <w:r w:rsidRPr="00173FD6">
              <w:rPr>
                <w:rFonts w:asciiTheme="majorHAnsi" w:hAnsiTheme="majorHAnsi" w:cstheme="majorHAnsi"/>
                <w:sz w:val="20"/>
                <w:szCs w:val="20"/>
                <w:lang w:val="en-US"/>
              </w:rPr>
              <w:t>M</w:t>
            </w:r>
          </w:p>
        </w:tc>
      </w:tr>
      <w:tr w:rsidR="008D0CAD" w:rsidRPr="00173FD6" w14:paraId="115F0454" w14:textId="77777777" w:rsidTr="00EC48C1">
        <w:tc>
          <w:tcPr>
            <w:tcW w:w="2986" w:type="dxa"/>
          </w:tcPr>
          <w:p w14:paraId="18EC43BF" w14:textId="77777777" w:rsidR="008D0CAD" w:rsidRPr="00173FD6" w:rsidRDefault="008D0CAD" w:rsidP="002320B3">
            <w:pPr>
              <w:rPr>
                <w:rFonts w:asciiTheme="majorHAnsi" w:hAnsiTheme="majorHAnsi" w:cstheme="majorHAnsi"/>
                <w:sz w:val="20"/>
                <w:szCs w:val="20"/>
                <w:highlight w:val="yellow"/>
                <w:lang w:val="en-US"/>
              </w:rPr>
            </w:pPr>
            <w:r w:rsidRPr="00173FD6">
              <w:rPr>
                <w:rFonts w:asciiTheme="majorHAnsi" w:hAnsiTheme="majorHAnsi" w:cstheme="majorHAnsi"/>
                <w:color w:val="000000"/>
                <w:sz w:val="20"/>
                <w:szCs w:val="20"/>
                <w:lang w:val="en-US"/>
              </w:rPr>
              <w:t>Dr Therese Bustos</w:t>
            </w:r>
          </w:p>
        </w:tc>
        <w:tc>
          <w:tcPr>
            <w:tcW w:w="5109" w:type="dxa"/>
          </w:tcPr>
          <w:p w14:paraId="3AEFAF8F"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 xml:space="preserve">Director </w:t>
            </w:r>
          </w:p>
          <w:p w14:paraId="182ECB22" w14:textId="77777777" w:rsidR="008D0CAD" w:rsidRPr="00173FD6" w:rsidRDefault="008D0CAD" w:rsidP="002320B3">
            <w:pPr>
              <w:rPr>
                <w:rFonts w:asciiTheme="majorHAnsi" w:hAnsiTheme="majorHAnsi" w:cstheme="majorHAnsi"/>
                <w:sz w:val="20"/>
                <w:szCs w:val="20"/>
                <w:highlight w:val="yellow"/>
                <w:lang w:val="en-US"/>
              </w:rPr>
            </w:pPr>
            <w:r w:rsidRPr="00173FD6">
              <w:rPr>
                <w:rFonts w:asciiTheme="majorHAnsi" w:hAnsiTheme="majorHAnsi" w:cstheme="majorHAnsi"/>
                <w:color w:val="000000"/>
                <w:sz w:val="20"/>
                <w:szCs w:val="20"/>
                <w:lang w:val="en-US"/>
              </w:rPr>
              <w:t>Assessment, Curriculum, Technology, Research Center (ACTRC)</w:t>
            </w:r>
          </w:p>
        </w:tc>
        <w:tc>
          <w:tcPr>
            <w:tcW w:w="1170" w:type="dxa"/>
          </w:tcPr>
          <w:p w14:paraId="56338415"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F</w:t>
            </w:r>
          </w:p>
        </w:tc>
      </w:tr>
      <w:tr w:rsidR="008D0CAD" w:rsidRPr="00173FD6" w14:paraId="428328EB" w14:textId="77777777" w:rsidTr="00EC48C1">
        <w:tc>
          <w:tcPr>
            <w:tcW w:w="2986" w:type="dxa"/>
          </w:tcPr>
          <w:p w14:paraId="0535D72C" w14:textId="77777777" w:rsidR="008D0CAD" w:rsidRPr="00173FD6" w:rsidRDefault="008D0CAD" w:rsidP="002320B3">
            <w:pPr>
              <w:rPr>
                <w:rFonts w:asciiTheme="majorHAnsi" w:hAnsiTheme="majorHAnsi" w:cstheme="majorHAnsi"/>
                <w:sz w:val="20"/>
                <w:szCs w:val="20"/>
                <w:highlight w:val="yellow"/>
                <w:lang w:val="en-US"/>
              </w:rPr>
            </w:pPr>
            <w:r w:rsidRPr="00173FD6">
              <w:rPr>
                <w:rFonts w:asciiTheme="majorHAnsi" w:hAnsiTheme="majorHAnsi" w:cstheme="majorHAnsi"/>
                <w:color w:val="000000"/>
                <w:sz w:val="20"/>
                <w:szCs w:val="20"/>
                <w:lang w:val="en-US"/>
              </w:rPr>
              <w:t>Dr. Gina Gonong</w:t>
            </w:r>
          </w:p>
        </w:tc>
        <w:tc>
          <w:tcPr>
            <w:tcW w:w="5109" w:type="dxa"/>
          </w:tcPr>
          <w:p w14:paraId="7D8C5F7D"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 xml:space="preserve">Director </w:t>
            </w:r>
          </w:p>
          <w:p w14:paraId="0D383A92" w14:textId="77777777" w:rsidR="008D0CAD" w:rsidRPr="00173FD6" w:rsidRDefault="008D0CAD" w:rsidP="002320B3">
            <w:pPr>
              <w:rPr>
                <w:rFonts w:asciiTheme="majorHAnsi" w:hAnsiTheme="majorHAnsi" w:cstheme="majorHAnsi"/>
                <w:sz w:val="20"/>
                <w:szCs w:val="20"/>
                <w:highlight w:val="yellow"/>
                <w:lang w:val="en-US"/>
              </w:rPr>
            </w:pPr>
            <w:r w:rsidRPr="00173FD6">
              <w:rPr>
                <w:rFonts w:asciiTheme="majorHAnsi" w:hAnsiTheme="majorHAnsi" w:cstheme="majorHAnsi"/>
                <w:color w:val="333333"/>
                <w:sz w:val="20"/>
                <w:szCs w:val="20"/>
                <w:shd w:val="clear" w:color="auto" w:fill="FFFFFF"/>
                <w:lang w:val="en-US"/>
              </w:rPr>
              <w:t>Research Center for Teacher Quality (RCTQ)</w:t>
            </w:r>
            <w:r w:rsidRPr="00173FD6">
              <w:rPr>
                <w:rFonts w:asciiTheme="majorHAnsi" w:eastAsiaTheme="majorEastAsia" w:hAnsiTheme="majorHAnsi" w:cstheme="majorHAnsi"/>
                <w:color w:val="333333"/>
                <w:sz w:val="20"/>
                <w:szCs w:val="20"/>
                <w:shd w:val="clear" w:color="auto" w:fill="FFFFFF"/>
                <w:lang w:val="en-US"/>
              </w:rPr>
              <w:t> </w:t>
            </w:r>
          </w:p>
        </w:tc>
        <w:tc>
          <w:tcPr>
            <w:tcW w:w="1170" w:type="dxa"/>
          </w:tcPr>
          <w:p w14:paraId="412BA5C4" w14:textId="77777777" w:rsidR="008D0CAD" w:rsidRPr="00173FD6" w:rsidRDefault="008D0CAD" w:rsidP="002320B3">
            <w:pPr>
              <w:rPr>
                <w:rFonts w:asciiTheme="majorHAnsi" w:hAnsiTheme="majorHAnsi" w:cstheme="majorHAnsi"/>
                <w:sz w:val="20"/>
                <w:szCs w:val="20"/>
                <w:highlight w:val="yellow"/>
                <w:lang w:val="en-US"/>
              </w:rPr>
            </w:pPr>
            <w:r w:rsidRPr="00173FD6">
              <w:rPr>
                <w:rFonts w:asciiTheme="majorHAnsi" w:hAnsiTheme="majorHAnsi" w:cstheme="majorHAnsi"/>
                <w:sz w:val="20"/>
                <w:szCs w:val="20"/>
                <w:lang w:val="en-US"/>
              </w:rPr>
              <w:t>F</w:t>
            </w:r>
          </w:p>
        </w:tc>
      </w:tr>
      <w:tr w:rsidR="008D0CAD" w:rsidRPr="00173FD6" w14:paraId="64260997" w14:textId="77777777" w:rsidTr="00EC48C1">
        <w:tc>
          <w:tcPr>
            <w:tcW w:w="2986" w:type="dxa"/>
          </w:tcPr>
          <w:p w14:paraId="3CC59B9C" w14:textId="77777777" w:rsidR="008D0CAD" w:rsidRPr="00173FD6" w:rsidRDefault="008D0CAD" w:rsidP="002320B3">
            <w:pPr>
              <w:rPr>
                <w:rFonts w:asciiTheme="majorHAnsi" w:hAnsiTheme="majorHAnsi" w:cstheme="majorHAnsi"/>
                <w:sz w:val="20"/>
                <w:szCs w:val="20"/>
                <w:highlight w:val="yellow"/>
                <w:lang w:val="en-US"/>
              </w:rPr>
            </w:pPr>
            <w:r w:rsidRPr="00173FD6">
              <w:rPr>
                <w:rFonts w:asciiTheme="majorHAnsi" w:hAnsiTheme="majorHAnsi" w:cstheme="majorHAnsi"/>
                <w:color w:val="000000"/>
                <w:sz w:val="20"/>
                <w:szCs w:val="20"/>
                <w:lang w:val="en-US"/>
              </w:rPr>
              <w:t>Prof. John Pegg</w:t>
            </w:r>
          </w:p>
        </w:tc>
        <w:tc>
          <w:tcPr>
            <w:tcW w:w="5109" w:type="dxa"/>
          </w:tcPr>
          <w:p w14:paraId="03EF7A28"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 xml:space="preserve">Director </w:t>
            </w:r>
          </w:p>
          <w:p w14:paraId="152DF2C7" w14:textId="77777777" w:rsidR="008D0CAD" w:rsidRPr="00173FD6" w:rsidRDefault="008D0CAD" w:rsidP="002320B3">
            <w:pPr>
              <w:rPr>
                <w:rFonts w:asciiTheme="majorHAnsi" w:hAnsiTheme="majorHAnsi" w:cstheme="majorHAnsi"/>
                <w:sz w:val="20"/>
                <w:szCs w:val="20"/>
                <w:highlight w:val="yellow"/>
                <w:lang w:val="en-US"/>
              </w:rPr>
            </w:pPr>
            <w:r w:rsidRPr="00173FD6">
              <w:rPr>
                <w:rFonts w:asciiTheme="majorHAnsi" w:hAnsiTheme="majorHAnsi" w:cstheme="majorHAnsi"/>
                <w:color w:val="333333"/>
                <w:sz w:val="20"/>
                <w:szCs w:val="20"/>
                <w:shd w:val="clear" w:color="auto" w:fill="FFFFFF"/>
                <w:lang w:val="en-US"/>
              </w:rPr>
              <w:t>Science, Information and Communication Technology and Mathematics Education for Rural and Regional Australia (SiMERR)</w:t>
            </w:r>
          </w:p>
        </w:tc>
        <w:tc>
          <w:tcPr>
            <w:tcW w:w="1170" w:type="dxa"/>
          </w:tcPr>
          <w:p w14:paraId="1EC77025" w14:textId="77777777" w:rsidR="008D0CAD" w:rsidRPr="00173FD6" w:rsidRDefault="008D0CAD" w:rsidP="002320B3">
            <w:pPr>
              <w:rPr>
                <w:rFonts w:asciiTheme="majorHAnsi" w:hAnsiTheme="majorHAnsi" w:cstheme="majorHAnsi"/>
                <w:sz w:val="20"/>
                <w:szCs w:val="20"/>
                <w:highlight w:val="yellow"/>
                <w:lang w:val="en-US"/>
              </w:rPr>
            </w:pPr>
            <w:r w:rsidRPr="00173FD6">
              <w:rPr>
                <w:rFonts w:asciiTheme="majorHAnsi" w:hAnsiTheme="majorHAnsi" w:cstheme="majorHAnsi"/>
                <w:sz w:val="20"/>
                <w:szCs w:val="20"/>
                <w:lang w:val="en-US"/>
              </w:rPr>
              <w:t>M</w:t>
            </w:r>
          </w:p>
        </w:tc>
      </w:tr>
      <w:tr w:rsidR="008D0CAD" w:rsidRPr="00173FD6" w14:paraId="2CDDC355" w14:textId="77777777" w:rsidTr="00EC48C1">
        <w:tc>
          <w:tcPr>
            <w:tcW w:w="2986" w:type="dxa"/>
          </w:tcPr>
          <w:p w14:paraId="224AD101"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sz w:val="20"/>
                <w:szCs w:val="20"/>
                <w:lang w:val="en-US"/>
              </w:rPr>
              <w:t>Dylan Dellosa</w:t>
            </w:r>
          </w:p>
        </w:tc>
        <w:tc>
          <w:tcPr>
            <w:tcW w:w="5109" w:type="dxa"/>
          </w:tcPr>
          <w:p w14:paraId="2B40E377"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Program Director</w:t>
            </w:r>
          </w:p>
          <w:p w14:paraId="7363065F"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Philippine Business for Education (PBEd)</w:t>
            </w:r>
          </w:p>
        </w:tc>
        <w:tc>
          <w:tcPr>
            <w:tcW w:w="1170" w:type="dxa"/>
          </w:tcPr>
          <w:p w14:paraId="38F868EB"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M</w:t>
            </w:r>
          </w:p>
        </w:tc>
      </w:tr>
      <w:tr w:rsidR="008D0CAD" w:rsidRPr="00173FD6" w14:paraId="4621B609" w14:textId="77777777" w:rsidTr="00EC48C1">
        <w:tc>
          <w:tcPr>
            <w:tcW w:w="2986" w:type="dxa"/>
          </w:tcPr>
          <w:p w14:paraId="529B640D" w14:textId="77777777" w:rsidR="008D0CAD" w:rsidRPr="00173FD6" w:rsidRDefault="008D0CAD" w:rsidP="002320B3">
            <w:pPr>
              <w:rPr>
                <w:rFonts w:asciiTheme="majorHAnsi" w:hAnsiTheme="majorHAnsi" w:cstheme="majorHAnsi"/>
                <w:b/>
                <w:color w:val="000000"/>
                <w:sz w:val="20"/>
                <w:szCs w:val="20"/>
                <w:lang w:val="en-US"/>
              </w:rPr>
            </w:pPr>
            <w:r w:rsidRPr="00173FD6">
              <w:rPr>
                <w:rFonts w:asciiTheme="majorHAnsi" w:hAnsiTheme="majorHAnsi" w:cstheme="majorHAnsi"/>
                <w:b/>
                <w:color w:val="000000"/>
                <w:sz w:val="20"/>
                <w:szCs w:val="20"/>
                <w:lang w:val="en-US"/>
              </w:rPr>
              <w:t>BEST Consultants</w:t>
            </w:r>
          </w:p>
        </w:tc>
        <w:tc>
          <w:tcPr>
            <w:tcW w:w="5109" w:type="dxa"/>
          </w:tcPr>
          <w:p w14:paraId="2E5A2E33" w14:textId="77777777" w:rsidR="008D0CAD" w:rsidRPr="00173FD6" w:rsidRDefault="008D0CAD" w:rsidP="002320B3">
            <w:pPr>
              <w:rPr>
                <w:rFonts w:asciiTheme="majorHAnsi" w:hAnsiTheme="majorHAnsi" w:cstheme="majorHAnsi"/>
                <w:color w:val="000000"/>
                <w:sz w:val="20"/>
                <w:szCs w:val="20"/>
                <w:lang w:val="en-US"/>
              </w:rPr>
            </w:pPr>
          </w:p>
        </w:tc>
        <w:tc>
          <w:tcPr>
            <w:tcW w:w="1170" w:type="dxa"/>
          </w:tcPr>
          <w:p w14:paraId="54AB2E72" w14:textId="77777777" w:rsidR="008D0CAD" w:rsidRPr="00173FD6" w:rsidRDefault="008D0CAD" w:rsidP="002320B3">
            <w:pPr>
              <w:rPr>
                <w:rFonts w:asciiTheme="majorHAnsi" w:hAnsiTheme="majorHAnsi" w:cstheme="majorHAnsi"/>
                <w:sz w:val="20"/>
                <w:szCs w:val="20"/>
                <w:lang w:val="en-US"/>
              </w:rPr>
            </w:pPr>
          </w:p>
        </w:tc>
      </w:tr>
      <w:tr w:rsidR="008D0CAD" w:rsidRPr="00173FD6" w14:paraId="18A5D26C" w14:textId="77777777" w:rsidTr="00EC48C1">
        <w:tc>
          <w:tcPr>
            <w:tcW w:w="2986" w:type="dxa"/>
          </w:tcPr>
          <w:p w14:paraId="16516352" w14:textId="77777777" w:rsidR="008D0CAD" w:rsidRPr="00173FD6" w:rsidRDefault="008D0CAD" w:rsidP="002320B3">
            <w:pPr>
              <w:rPr>
                <w:rFonts w:asciiTheme="majorHAnsi" w:hAnsiTheme="majorHAnsi" w:cstheme="majorHAnsi"/>
                <w:sz w:val="20"/>
                <w:szCs w:val="20"/>
                <w:highlight w:val="yellow"/>
                <w:lang w:val="en-US"/>
              </w:rPr>
            </w:pPr>
            <w:r w:rsidRPr="00173FD6">
              <w:rPr>
                <w:rFonts w:asciiTheme="majorHAnsi" w:hAnsiTheme="majorHAnsi" w:cstheme="majorHAnsi"/>
                <w:color w:val="000000"/>
                <w:sz w:val="20"/>
                <w:szCs w:val="20"/>
                <w:lang w:val="en-US"/>
              </w:rPr>
              <w:t>Dr. Merle C. Tan</w:t>
            </w:r>
          </w:p>
        </w:tc>
        <w:tc>
          <w:tcPr>
            <w:tcW w:w="5109" w:type="dxa"/>
          </w:tcPr>
          <w:p w14:paraId="4B5BF16B" w14:textId="77777777" w:rsidR="008D0CAD" w:rsidRPr="00173FD6" w:rsidRDefault="008D0CAD" w:rsidP="002320B3">
            <w:pPr>
              <w:rPr>
                <w:rFonts w:asciiTheme="majorHAnsi" w:hAnsiTheme="majorHAnsi" w:cstheme="majorHAnsi"/>
                <w:sz w:val="20"/>
                <w:szCs w:val="20"/>
                <w:highlight w:val="yellow"/>
                <w:lang w:val="en-US"/>
              </w:rPr>
            </w:pPr>
            <w:r w:rsidRPr="00173FD6">
              <w:rPr>
                <w:rFonts w:asciiTheme="majorHAnsi" w:hAnsiTheme="majorHAnsi" w:cstheme="majorHAnsi"/>
                <w:color w:val="000000"/>
                <w:sz w:val="20"/>
                <w:szCs w:val="20"/>
                <w:lang w:val="en-US"/>
              </w:rPr>
              <w:t>Consultant, (formerly BEST C&amp;A Lead)</w:t>
            </w:r>
          </w:p>
        </w:tc>
        <w:tc>
          <w:tcPr>
            <w:tcW w:w="1170" w:type="dxa"/>
          </w:tcPr>
          <w:p w14:paraId="21496B4B"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F</w:t>
            </w:r>
          </w:p>
        </w:tc>
      </w:tr>
      <w:tr w:rsidR="008D0CAD" w:rsidRPr="00173FD6" w14:paraId="10849D05" w14:textId="77777777" w:rsidTr="00EC48C1">
        <w:tc>
          <w:tcPr>
            <w:tcW w:w="2986" w:type="dxa"/>
          </w:tcPr>
          <w:p w14:paraId="2C86393A" w14:textId="77777777" w:rsidR="008D0CAD" w:rsidRPr="00173FD6" w:rsidRDefault="008D0CAD" w:rsidP="002320B3">
            <w:pPr>
              <w:rPr>
                <w:rFonts w:asciiTheme="majorHAnsi" w:hAnsiTheme="majorHAnsi" w:cstheme="majorHAnsi"/>
                <w:sz w:val="20"/>
                <w:szCs w:val="20"/>
                <w:highlight w:val="yellow"/>
                <w:lang w:val="en-US"/>
              </w:rPr>
            </w:pPr>
            <w:r w:rsidRPr="00173FD6">
              <w:rPr>
                <w:rFonts w:asciiTheme="majorHAnsi" w:hAnsiTheme="majorHAnsi" w:cstheme="majorHAnsi"/>
                <w:color w:val="000000"/>
                <w:sz w:val="20"/>
                <w:szCs w:val="20"/>
                <w:lang w:val="en-US"/>
              </w:rPr>
              <w:t xml:space="preserve">Dr. Joyce Orilosa, </w:t>
            </w:r>
          </w:p>
        </w:tc>
        <w:tc>
          <w:tcPr>
            <w:tcW w:w="5109" w:type="dxa"/>
          </w:tcPr>
          <w:p w14:paraId="344E1E31" w14:textId="77777777" w:rsidR="008D0CAD" w:rsidRPr="00173FD6" w:rsidRDefault="008D0CAD" w:rsidP="002320B3">
            <w:pPr>
              <w:rPr>
                <w:rFonts w:asciiTheme="majorHAnsi" w:hAnsiTheme="majorHAnsi" w:cstheme="majorHAnsi"/>
                <w:sz w:val="20"/>
                <w:szCs w:val="20"/>
                <w:highlight w:val="yellow"/>
                <w:lang w:val="en-US"/>
              </w:rPr>
            </w:pPr>
            <w:r w:rsidRPr="00173FD6">
              <w:rPr>
                <w:rFonts w:asciiTheme="majorHAnsi" w:hAnsiTheme="majorHAnsi" w:cstheme="majorHAnsi"/>
                <w:color w:val="000000"/>
                <w:sz w:val="20"/>
                <w:szCs w:val="20"/>
                <w:lang w:val="en-US"/>
              </w:rPr>
              <w:t>Educational Leadership and Management Lead</w:t>
            </w:r>
          </w:p>
        </w:tc>
        <w:tc>
          <w:tcPr>
            <w:tcW w:w="1170" w:type="dxa"/>
          </w:tcPr>
          <w:p w14:paraId="33E91984" w14:textId="77777777" w:rsidR="008D0CAD" w:rsidRPr="00173FD6" w:rsidRDefault="008D0CAD" w:rsidP="002320B3">
            <w:pPr>
              <w:rPr>
                <w:rFonts w:asciiTheme="majorHAnsi" w:hAnsiTheme="majorHAnsi" w:cstheme="majorHAnsi"/>
                <w:sz w:val="20"/>
                <w:szCs w:val="20"/>
                <w:highlight w:val="yellow"/>
                <w:lang w:val="en-US"/>
              </w:rPr>
            </w:pPr>
            <w:r w:rsidRPr="00173FD6">
              <w:rPr>
                <w:rFonts w:asciiTheme="majorHAnsi" w:hAnsiTheme="majorHAnsi" w:cstheme="majorHAnsi"/>
                <w:sz w:val="20"/>
                <w:szCs w:val="20"/>
                <w:lang w:val="en-US"/>
              </w:rPr>
              <w:t>F</w:t>
            </w:r>
          </w:p>
        </w:tc>
      </w:tr>
      <w:tr w:rsidR="008D0CAD" w:rsidRPr="00173FD6" w14:paraId="60F7D07E" w14:textId="77777777" w:rsidTr="00EC48C1">
        <w:tc>
          <w:tcPr>
            <w:tcW w:w="2986" w:type="dxa"/>
          </w:tcPr>
          <w:p w14:paraId="4A8887E8"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Twila Punsalan</w:t>
            </w:r>
          </w:p>
        </w:tc>
        <w:tc>
          <w:tcPr>
            <w:tcW w:w="5109" w:type="dxa"/>
          </w:tcPr>
          <w:p w14:paraId="72D2A6DF" w14:textId="77777777" w:rsidR="008D0CAD" w:rsidRPr="00173FD6" w:rsidRDefault="008D0CAD" w:rsidP="002320B3">
            <w:pPr>
              <w:rPr>
                <w:rFonts w:asciiTheme="majorHAnsi" w:hAnsiTheme="majorHAnsi" w:cstheme="majorHAnsi"/>
                <w:color w:val="000000"/>
                <w:sz w:val="20"/>
                <w:szCs w:val="20"/>
                <w:lang w:val="en-US"/>
              </w:rPr>
            </w:pPr>
            <w:r w:rsidRPr="00173FD6">
              <w:rPr>
                <w:rFonts w:asciiTheme="majorHAnsi" w:hAnsiTheme="majorHAnsi" w:cstheme="majorHAnsi"/>
                <w:color w:val="000000"/>
                <w:sz w:val="20"/>
                <w:szCs w:val="20"/>
                <w:lang w:val="en-US"/>
              </w:rPr>
              <w:t>Consultant, (formerly BEST Pre-service Lead)</w:t>
            </w:r>
          </w:p>
        </w:tc>
        <w:tc>
          <w:tcPr>
            <w:tcW w:w="1170" w:type="dxa"/>
          </w:tcPr>
          <w:p w14:paraId="16589FD1" w14:textId="77777777" w:rsidR="008D0CAD" w:rsidRPr="00173FD6" w:rsidRDefault="008D0CAD" w:rsidP="002320B3">
            <w:pPr>
              <w:rPr>
                <w:rFonts w:asciiTheme="majorHAnsi" w:hAnsiTheme="majorHAnsi" w:cstheme="majorHAnsi"/>
                <w:sz w:val="20"/>
                <w:szCs w:val="20"/>
                <w:lang w:val="en-US"/>
              </w:rPr>
            </w:pPr>
            <w:r w:rsidRPr="00173FD6">
              <w:rPr>
                <w:rFonts w:asciiTheme="majorHAnsi" w:hAnsiTheme="majorHAnsi" w:cstheme="majorHAnsi"/>
                <w:sz w:val="20"/>
                <w:szCs w:val="20"/>
                <w:lang w:val="en-US"/>
              </w:rPr>
              <w:t>F</w:t>
            </w:r>
          </w:p>
        </w:tc>
      </w:tr>
    </w:tbl>
    <w:p w14:paraId="1E065B20" w14:textId="77777777" w:rsidR="008D0CAD" w:rsidRPr="00173FD6" w:rsidRDefault="008D0CAD" w:rsidP="002320B3">
      <w:pPr>
        <w:ind w:left="990" w:hanging="990"/>
        <w:rPr>
          <w:rFonts w:asciiTheme="majorHAnsi" w:hAnsiTheme="majorHAnsi" w:cstheme="majorHAnsi"/>
          <w:i/>
          <w:iCs/>
          <w:sz w:val="20"/>
          <w:szCs w:val="20"/>
          <w:lang w:val="en-US"/>
        </w:rPr>
        <w:sectPr w:rsidR="008D0CAD" w:rsidRPr="00173FD6" w:rsidSect="009C64E9">
          <w:pgSz w:w="11906" w:h="16838" w:code="9"/>
          <w:pgMar w:top="1440" w:right="1440" w:bottom="1440" w:left="1440" w:header="708" w:footer="708" w:gutter="0"/>
          <w:cols w:space="708"/>
          <w:docGrid w:linePitch="360"/>
        </w:sectPr>
      </w:pPr>
    </w:p>
    <w:p w14:paraId="34AB7383" w14:textId="62BED233" w:rsidR="008D0CAD" w:rsidRPr="005902F7" w:rsidRDefault="008D0CAD" w:rsidP="005902F7">
      <w:pPr>
        <w:pStyle w:val="Heading2"/>
        <w:numPr>
          <w:ilvl w:val="0"/>
          <w:numId w:val="0"/>
        </w:numPr>
        <w:spacing w:before="100" w:beforeAutospacing="1" w:after="100" w:afterAutospacing="1" w:line="360" w:lineRule="auto"/>
        <w:ind w:left="1288" w:hanging="720"/>
      </w:pPr>
      <w:bookmarkStart w:id="273" w:name="_Toc39938371"/>
      <w:bookmarkStart w:id="274" w:name="_Toc69820476"/>
      <w:r w:rsidRPr="00173FD6">
        <w:t>Annex J. KII Guide Questions</w:t>
      </w:r>
      <w:bookmarkEnd w:id="273"/>
      <w:bookmarkEnd w:id="274"/>
    </w:p>
    <w:p w14:paraId="02125A43" w14:textId="4B88ABA0" w:rsidR="008D0CAD" w:rsidRPr="005902F7" w:rsidRDefault="008D0CAD" w:rsidP="005902F7">
      <w:pPr>
        <w:pStyle w:val="Heading3"/>
        <w:spacing w:before="100" w:beforeAutospacing="1" w:after="100" w:afterAutospacing="1" w:line="360" w:lineRule="auto"/>
        <w:rPr>
          <w:lang w:val="en-US"/>
        </w:rPr>
      </w:pPr>
      <w:bookmarkStart w:id="275" w:name="_Toc39938372"/>
      <w:bookmarkStart w:id="276" w:name="_Toc69820477"/>
      <w:r w:rsidRPr="00173FD6">
        <w:rPr>
          <w:lang w:val="en-US"/>
        </w:rPr>
        <w:t>Annex J-1.</w:t>
      </w:r>
      <w:r w:rsidR="00D434EB">
        <w:rPr>
          <w:lang w:val="en-US"/>
        </w:rPr>
        <w:t xml:space="preserve"> </w:t>
      </w:r>
      <w:r w:rsidRPr="00173FD6">
        <w:rPr>
          <w:lang w:val="en-US"/>
        </w:rPr>
        <w:t>Guide Questions for former and Current Undersecretaries</w:t>
      </w:r>
      <w:bookmarkEnd w:id="275"/>
      <w:bookmarkEnd w:id="276"/>
    </w:p>
    <w:p w14:paraId="22385A8E" w14:textId="020487BF" w:rsidR="008D0CAD" w:rsidRPr="00173FD6" w:rsidRDefault="008D0CAD" w:rsidP="005902F7">
      <w:pPr>
        <w:spacing w:before="100" w:beforeAutospacing="1" w:after="100" w:afterAutospacing="1" w:line="360" w:lineRule="auto"/>
        <w:rPr>
          <w:rFonts w:asciiTheme="majorHAnsi" w:hAnsiTheme="majorHAnsi" w:cstheme="majorHAnsi"/>
          <w:b/>
          <w:sz w:val="22"/>
          <w:szCs w:val="22"/>
          <w:lang w:val="en-US"/>
        </w:rPr>
      </w:pPr>
      <w:r w:rsidRPr="00173FD6">
        <w:rPr>
          <w:rFonts w:asciiTheme="majorHAnsi" w:hAnsiTheme="majorHAnsi" w:cstheme="majorHAnsi"/>
          <w:b/>
          <w:sz w:val="22"/>
          <w:szCs w:val="22"/>
          <w:lang w:val="en-US"/>
        </w:rPr>
        <w:t>Guide Questions – Bro. Armin Luistro</w:t>
      </w:r>
    </w:p>
    <w:p w14:paraId="66F6BE5E" w14:textId="1B19B422" w:rsidR="008D0CAD" w:rsidRPr="00173FD6" w:rsidRDefault="008D0CAD" w:rsidP="00DD08E3">
      <w:pPr>
        <w:numPr>
          <w:ilvl w:val="0"/>
          <w:numId w:val="74"/>
        </w:numPr>
        <w:spacing w:before="100" w:beforeAutospacing="1" w:after="100" w:afterAutospacing="1" w:line="360" w:lineRule="auto"/>
        <w:contextualSpacing/>
        <w:rPr>
          <w:rFonts w:asciiTheme="majorHAnsi" w:hAnsiTheme="majorHAnsi" w:cstheme="majorHAnsi"/>
          <w:bCs/>
          <w:snapToGrid w:val="0"/>
          <w:sz w:val="22"/>
          <w:szCs w:val="22"/>
          <w:lang w:val="en-US"/>
        </w:rPr>
      </w:pPr>
      <w:r w:rsidRPr="00173FD6">
        <w:rPr>
          <w:rFonts w:asciiTheme="majorHAnsi" w:hAnsiTheme="majorHAnsi" w:cstheme="majorHAnsi"/>
          <w:bCs/>
          <w:snapToGrid w:val="0"/>
          <w:sz w:val="22"/>
          <w:szCs w:val="22"/>
          <w:lang w:val="en-US"/>
        </w:rPr>
        <w:t xml:space="preserve">Please describe the development problem existing during your time (e.g. quality of teachers, competency of teachers) that necessitated the continuous intervention of Australia? </w:t>
      </w:r>
    </w:p>
    <w:p w14:paraId="22F2129D" w14:textId="77777777" w:rsidR="008D0CAD" w:rsidRPr="00173FD6" w:rsidRDefault="008D0CAD" w:rsidP="00DD08E3">
      <w:pPr>
        <w:numPr>
          <w:ilvl w:val="0"/>
          <w:numId w:val="74"/>
        </w:numPr>
        <w:spacing w:before="100" w:beforeAutospacing="1" w:after="100" w:afterAutospacing="1" w:line="360" w:lineRule="auto"/>
        <w:contextualSpacing/>
        <w:rPr>
          <w:rFonts w:asciiTheme="majorHAnsi" w:hAnsiTheme="majorHAnsi" w:cstheme="majorHAnsi"/>
          <w:bCs/>
          <w:snapToGrid w:val="0"/>
          <w:sz w:val="22"/>
          <w:szCs w:val="22"/>
          <w:lang w:val="en-US"/>
        </w:rPr>
      </w:pPr>
      <w:r w:rsidRPr="00173FD6">
        <w:rPr>
          <w:rFonts w:asciiTheme="majorHAnsi" w:hAnsiTheme="majorHAnsi" w:cstheme="majorHAnsi"/>
          <w:bCs/>
          <w:snapToGrid w:val="0"/>
          <w:sz w:val="22"/>
          <w:szCs w:val="22"/>
          <w:lang w:val="en-US"/>
        </w:rPr>
        <w:t>To the best of your recollection, can you please describe the original intention or design of the BEST Program?</w:t>
      </w:r>
    </w:p>
    <w:p w14:paraId="3BC0CB2E" w14:textId="200E878B" w:rsidR="008D0CAD" w:rsidRPr="00173FD6" w:rsidRDefault="008D0CAD" w:rsidP="00DD08E3">
      <w:pPr>
        <w:numPr>
          <w:ilvl w:val="1"/>
          <w:numId w:val="74"/>
        </w:numPr>
        <w:spacing w:before="100" w:beforeAutospacing="1" w:after="100" w:afterAutospacing="1" w:line="360" w:lineRule="auto"/>
        <w:contextualSpacing/>
        <w:rPr>
          <w:rFonts w:asciiTheme="majorHAnsi" w:hAnsiTheme="majorHAnsi" w:cstheme="majorHAnsi"/>
          <w:bCs/>
          <w:snapToGrid w:val="0"/>
          <w:sz w:val="22"/>
          <w:szCs w:val="22"/>
          <w:lang w:val="en-US"/>
        </w:rPr>
      </w:pPr>
      <w:r w:rsidRPr="00173FD6">
        <w:rPr>
          <w:rFonts w:asciiTheme="majorHAnsi" w:hAnsiTheme="majorHAnsi" w:cstheme="majorHAnsi"/>
          <w:bCs/>
          <w:snapToGrid w:val="0"/>
          <w:sz w:val="22"/>
          <w:szCs w:val="22"/>
          <w:lang w:val="en-US"/>
        </w:rPr>
        <w:t>How were the pilot of BEST selected?</w:t>
      </w:r>
      <w:r w:rsidR="00D434EB">
        <w:rPr>
          <w:rFonts w:asciiTheme="majorHAnsi" w:hAnsiTheme="majorHAnsi" w:cstheme="majorHAnsi"/>
          <w:bCs/>
          <w:snapToGrid w:val="0"/>
          <w:sz w:val="22"/>
          <w:szCs w:val="22"/>
          <w:lang w:val="en-US"/>
        </w:rPr>
        <w:t xml:space="preserve"> </w:t>
      </w:r>
      <w:r w:rsidRPr="00173FD6">
        <w:rPr>
          <w:rFonts w:asciiTheme="majorHAnsi" w:hAnsiTheme="majorHAnsi" w:cstheme="majorHAnsi"/>
          <w:bCs/>
          <w:snapToGrid w:val="0"/>
          <w:sz w:val="22"/>
          <w:szCs w:val="22"/>
          <w:lang w:val="en-US"/>
        </w:rPr>
        <w:t xml:space="preserve">Was there a set of criteria for choosing the regions? </w:t>
      </w:r>
    </w:p>
    <w:p w14:paraId="6E3F7BC0" w14:textId="77777777" w:rsidR="008D0CAD" w:rsidRPr="00173FD6" w:rsidRDefault="008D0CAD" w:rsidP="00DD08E3">
      <w:pPr>
        <w:numPr>
          <w:ilvl w:val="1"/>
          <w:numId w:val="74"/>
        </w:numPr>
        <w:spacing w:before="100" w:beforeAutospacing="1" w:after="100" w:afterAutospacing="1" w:line="360" w:lineRule="auto"/>
        <w:contextualSpacing/>
        <w:rPr>
          <w:rFonts w:asciiTheme="majorHAnsi" w:hAnsiTheme="majorHAnsi" w:cstheme="majorHAnsi"/>
          <w:bCs/>
          <w:snapToGrid w:val="0"/>
          <w:sz w:val="22"/>
          <w:szCs w:val="22"/>
          <w:lang w:val="en-US"/>
        </w:rPr>
      </w:pPr>
      <w:r w:rsidRPr="00173FD6">
        <w:rPr>
          <w:rFonts w:asciiTheme="majorHAnsi" w:hAnsiTheme="majorHAnsi" w:cstheme="majorHAnsi"/>
          <w:bCs/>
          <w:snapToGrid w:val="0"/>
          <w:sz w:val="22"/>
          <w:szCs w:val="22"/>
          <w:lang w:val="en-US"/>
        </w:rPr>
        <w:t>What were the innovative aspects of the program design, if any?</w:t>
      </w:r>
    </w:p>
    <w:p w14:paraId="147B5F00" w14:textId="1148EBEE" w:rsidR="008D0CAD" w:rsidRPr="00173FD6" w:rsidRDefault="008D0CAD" w:rsidP="00DD08E3">
      <w:pPr>
        <w:numPr>
          <w:ilvl w:val="0"/>
          <w:numId w:val="74"/>
        </w:numPr>
        <w:spacing w:before="100" w:beforeAutospacing="1" w:after="100" w:afterAutospacing="1" w:line="360" w:lineRule="auto"/>
        <w:contextualSpacing/>
        <w:rPr>
          <w:rFonts w:asciiTheme="majorHAnsi" w:hAnsiTheme="majorHAnsi" w:cstheme="majorHAnsi"/>
          <w:snapToGrid w:val="0"/>
          <w:sz w:val="22"/>
          <w:szCs w:val="22"/>
          <w:lang w:val="en-US"/>
        </w:rPr>
      </w:pPr>
      <w:r w:rsidRPr="00173FD6">
        <w:rPr>
          <w:rFonts w:asciiTheme="majorHAnsi" w:hAnsiTheme="majorHAnsi" w:cstheme="majorHAnsi"/>
          <w:snapToGrid w:val="0"/>
          <w:sz w:val="22"/>
          <w:szCs w:val="22"/>
          <w:lang w:val="en-US"/>
        </w:rPr>
        <w:t>We were informed that the during the initial workshop/consultations, the intention of the BEST Program was for the Regions to have direct participation in the implementation of the Program.</w:t>
      </w:r>
      <w:r w:rsidR="00D434EB">
        <w:rPr>
          <w:rFonts w:asciiTheme="majorHAnsi" w:hAnsiTheme="majorHAnsi" w:cstheme="majorHAnsi"/>
          <w:snapToGrid w:val="0"/>
          <w:sz w:val="22"/>
          <w:szCs w:val="22"/>
          <w:lang w:val="en-US"/>
        </w:rPr>
        <w:t xml:space="preserve"> </w:t>
      </w:r>
      <w:r w:rsidRPr="00173FD6">
        <w:rPr>
          <w:rFonts w:asciiTheme="majorHAnsi" w:hAnsiTheme="majorHAnsi" w:cstheme="majorHAnsi"/>
          <w:snapToGrid w:val="0"/>
          <w:sz w:val="22"/>
          <w:szCs w:val="22"/>
          <w:lang w:val="en-US"/>
        </w:rPr>
        <w:t>However, in the initial years of implementation, focus was on the Central Office.</w:t>
      </w:r>
      <w:r w:rsidR="00D434EB">
        <w:rPr>
          <w:rFonts w:asciiTheme="majorHAnsi" w:hAnsiTheme="majorHAnsi" w:cstheme="majorHAnsi"/>
          <w:snapToGrid w:val="0"/>
          <w:sz w:val="22"/>
          <w:szCs w:val="22"/>
          <w:lang w:val="en-US"/>
        </w:rPr>
        <w:t xml:space="preserve"> </w:t>
      </w:r>
      <w:r w:rsidRPr="00173FD6">
        <w:rPr>
          <w:rFonts w:asciiTheme="majorHAnsi" w:hAnsiTheme="majorHAnsi" w:cstheme="majorHAnsi"/>
          <w:snapToGrid w:val="0"/>
          <w:sz w:val="22"/>
          <w:szCs w:val="22"/>
          <w:lang w:val="en-US"/>
        </w:rPr>
        <w:t>This created disappointments among the regions consulted. Can you please clarify the intention of the shift in design?</w:t>
      </w:r>
    </w:p>
    <w:p w14:paraId="5BF84C5A" w14:textId="77777777" w:rsidR="008D0CAD" w:rsidRPr="00173FD6" w:rsidRDefault="008D0CAD" w:rsidP="00DD08E3">
      <w:pPr>
        <w:numPr>
          <w:ilvl w:val="0"/>
          <w:numId w:val="74"/>
        </w:numPr>
        <w:spacing w:before="100" w:beforeAutospacing="1" w:after="100" w:afterAutospacing="1" w:line="360" w:lineRule="auto"/>
        <w:contextualSpacing/>
        <w:rPr>
          <w:rFonts w:asciiTheme="majorHAnsi" w:hAnsiTheme="majorHAnsi" w:cstheme="majorHAnsi"/>
          <w:snapToGrid w:val="0"/>
          <w:sz w:val="22"/>
          <w:szCs w:val="22"/>
          <w:lang w:val="en-US"/>
        </w:rPr>
      </w:pPr>
      <w:r w:rsidRPr="00173FD6">
        <w:rPr>
          <w:rFonts w:asciiTheme="majorHAnsi" w:hAnsiTheme="majorHAnsi" w:cstheme="majorHAnsi"/>
          <w:bCs/>
          <w:snapToGrid w:val="0"/>
          <w:sz w:val="22"/>
          <w:szCs w:val="22"/>
          <w:lang w:val="en-US"/>
        </w:rPr>
        <w:t xml:space="preserve">What were the </w:t>
      </w:r>
      <w:r w:rsidRPr="00173FD6">
        <w:rPr>
          <w:rFonts w:asciiTheme="majorHAnsi" w:eastAsiaTheme="minorEastAsia" w:hAnsiTheme="majorHAnsi" w:cstheme="majorHAnsi"/>
          <w:b/>
          <w:snapToGrid w:val="0"/>
          <w:color w:val="000000" w:themeColor="text1"/>
          <w:sz w:val="22"/>
          <w:szCs w:val="22"/>
        </w:rPr>
        <w:t>hindering</w:t>
      </w:r>
      <w:r w:rsidRPr="00173FD6">
        <w:rPr>
          <w:rFonts w:asciiTheme="majorHAnsi" w:eastAsiaTheme="minorEastAsia" w:hAnsiTheme="majorHAnsi" w:cstheme="majorHAnsi"/>
          <w:snapToGrid w:val="0"/>
          <w:color w:val="000000" w:themeColor="text1"/>
          <w:sz w:val="22"/>
          <w:szCs w:val="22"/>
        </w:rPr>
        <w:t xml:space="preserve"> factors in the implementation of the BEST Program in the early years</w:t>
      </w:r>
      <w:r w:rsidRPr="00173FD6">
        <w:rPr>
          <w:rFonts w:asciiTheme="majorHAnsi" w:hAnsiTheme="majorHAnsi" w:cstheme="majorHAnsi"/>
          <w:bCs/>
          <w:snapToGrid w:val="0"/>
          <w:sz w:val="22"/>
          <w:szCs w:val="22"/>
          <w:lang w:val="en-US"/>
        </w:rPr>
        <w:t>?</w:t>
      </w:r>
    </w:p>
    <w:p w14:paraId="5F96123A" w14:textId="67B1A4F3" w:rsidR="008D0CAD" w:rsidRPr="00173FD6" w:rsidRDefault="008D0CAD" w:rsidP="00DD08E3">
      <w:pPr>
        <w:numPr>
          <w:ilvl w:val="1"/>
          <w:numId w:val="74"/>
        </w:numPr>
        <w:spacing w:before="100" w:beforeAutospacing="1" w:after="100" w:afterAutospacing="1" w:line="360" w:lineRule="auto"/>
        <w:contextualSpacing/>
        <w:rPr>
          <w:rFonts w:asciiTheme="majorHAnsi" w:hAnsiTheme="majorHAnsi" w:cstheme="majorHAnsi"/>
          <w:snapToGrid w:val="0"/>
          <w:sz w:val="22"/>
          <w:szCs w:val="22"/>
          <w:lang w:val="en-US"/>
        </w:rPr>
      </w:pPr>
      <w:r w:rsidRPr="00173FD6">
        <w:rPr>
          <w:rFonts w:asciiTheme="majorHAnsi" w:hAnsiTheme="majorHAnsi" w:cstheme="majorHAnsi"/>
          <w:snapToGrid w:val="0"/>
          <w:sz w:val="22"/>
          <w:szCs w:val="22"/>
          <w:lang w:val="en-US"/>
        </w:rPr>
        <w:t>Our Team has conducted over a dozen interviews with DEPED Officials at the Central Office.</w:t>
      </w:r>
      <w:r w:rsidR="00D434EB">
        <w:rPr>
          <w:rFonts w:asciiTheme="majorHAnsi" w:hAnsiTheme="majorHAnsi" w:cstheme="majorHAnsi"/>
          <w:snapToGrid w:val="0"/>
          <w:sz w:val="22"/>
          <w:szCs w:val="22"/>
          <w:lang w:val="en-US"/>
        </w:rPr>
        <w:t xml:space="preserve"> </w:t>
      </w:r>
      <w:r w:rsidRPr="00173FD6">
        <w:rPr>
          <w:rFonts w:asciiTheme="majorHAnsi" w:hAnsiTheme="majorHAnsi" w:cstheme="majorHAnsi"/>
          <w:snapToGrid w:val="0"/>
          <w:sz w:val="22"/>
          <w:szCs w:val="22"/>
          <w:lang w:val="en-US"/>
        </w:rPr>
        <w:t xml:space="preserve">One of the recurring themes that come up during the interviews was that in the early years, internal organisational issues (i.e. </w:t>
      </w:r>
      <w:r w:rsidRPr="00173FD6">
        <w:rPr>
          <w:rFonts w:asciiTheme="majorHAnsi" w:hAnsiTheme="majorHAnsi" w:cstheme="majorHAnsi"/>
          <w:i/>
          <w:snapToGrid w:val="0"/>
          <w:sz w:val="22"/>
          <w:szCs w:val="22"/>
          <w:lang w:val="en-US"/>
        </w:rPr>
        <w:t>turfing and lack of coordination among undersecretaries</w:t>
      </w:r>
      <w:r w:rsidRPr="00173FD6">
        <w:rPr>
          <w:rFonts w:asciiTheme="majorHAnsi" w:hAnsiTheme="majorHAnsi" w:cstheme="majorHAnsi"/>
          <w:snapToGrid w:val="0"/>
          <w:sz w:val="22"/>
          <w:szCs w:val="22"/>
          <w:lang w:val="en-US"/>
        </w:rPr>
        <w:t>) significantly caused problems in program implementation.</w:t>
      </w:r>
      <w:r w:rsidR="00D434EB">
        <w:rPr>
          <w:rFonts w:asciiTheme="majorHAnsi" w:hAnsiTheme="majorHAnsi" w:cstheme="majorHAnsi"/>
          <w:snapToGrid w:val="0"/>
          <w:sz w:val="22"/>
          <w:szCs w:val="22"/>
          <w:lang w:val="en-US"/>
        </w:rPr>
        <w:t xml:space="preserve"> </w:t>
      </w:r>
      <w:r w:rsidRPr="00173FD6">
        <w:rPr>
          <w:rFonts w:asciiTheme="majorHAnsi" w:hAnsiTheme="majorHAnsi" w:cstheme="majorHAnsi"/>
          <w:snapToGrid w:val="0"/>
          <w:sz w:val="22"/>
          <w:szCs w:val="22"/>
          <w:lang w:val="en-US"/>
        </w:rPr>
        <w:t xml:space="preserve">Could you please respond to this finding and elaborate what these challengers were? </w:t>
      </w:r>
    </w:p>
    <w:p w14:paraId="1B462CBD" w14:textId="77777777" w:rsidR="008D0CAD" w:rsidRPr="00173FD6" w:rsidRDefault="008D0CAD" w:rsidP="00DD08E3">
      <w:pPr>
        <w:numPr>
          <w:ilvl w:val="1"/>
          <w:numId w:val="74"/>
        </w:numPr>
        <w:spacing w:before="100" w:beforeAutospacing="1" w:after="100" w:afterAutospacing="1" w:line="360" w:lineRule="auto"/>
        <w:contextualSpacing/>
        <w:rPr>
          <w:rFonts w:asciiTheme="majorHAnsi" w:hAnsiTheme="majorHAnsi" w:cstheme="majorHAnsi"/>
          <w:snapToGrid w:val="0"/>
          <w:sz w:val="22"/>
          <w:szCs w:val="22"/>
          <w:lang w:val="en-US"/>
        </w:rPr>
      </w:pPr>
      <w:r w:rsidRPr="00173FD6">
        <w:rPr>
          <w:rFonts w:asciiTheme="majorHAnsi" w:hAnsiTheme="majorHAnsi" w:cstheme="majorHAnsi"/>
          <w:snapToGrid w:val="0"/>
          <w:sz w:val="22"/>
          <w:szCs w:val="22"/>
          <w:lang w:val="en-US"/>
        </w:rPr>
        <w:t>On the other hand, another recurring them was that during the early years, there were problems with the consultants/Technical Advisers hired by Cardno (e.g. in terms of competencies) which increased the low ownership and buy-in of the DEPED counterparts. Could you please respond to this finding and elaborate on what these challenges were?</w:t>
      </w:r>
    </w:p>
    <w:p w14:paraId="6E2F1730" w14:textId="77777777" w:rsidR="008D0CAD" w:rsidRPr="00173FD6" w:rsidRDefault="008D0CAD" w:rsidP="00DD08E3">
      <w:pPr>
        <w:numPr>
          <w:ilvl w:val="1"/>
          <w:numId w:val="74"/>
        </w:numPr>
        <w:spacing w:before="100" w:beforeAutospacing="1" w:after="100" w:afterAutospacing="1" w:line="360" w:lineRule="auto"/>
        <w:contextualSpacing/>
        <w:rPr>
          <w:rFonts w:asciiTheme="majorHAnsi" w:hAnsiTheme="majorHAnsi" w:cstheme="majorHAnsi"/>
          <w:snapToGrid w:val="0"/>
          <w:sz w:val="22"/>
          <w:szCs w:val="22"/>
          <w:lang w:val="en-US"/>
        </w:rPr>
      </w:pPr>
      <w:r w:rsidRPr="00173FD6">
        <w:rPr>
          <w:rFonts w:asciiTheme="majorHAnsi" w:hAnsiTheme="majorHAnsi" w:cstheme="majorHAnsi"/>
          <w:snapToGrid w:val="0"/>
          <w:sz w:val="22"/>
          <w:szCs w:val="22"/>
          <w:lang w:val="en-US"/>
        </w:rPr>
        <w:t xml:space="preserve">Are there any other </w:t>
      </w:r>
      <w:r w:rsidRPr="00173FD6">
        <w:rPr>
          <w:rFonts w:asciiTheme="majorHAnsi" w:eastAsiaTheme="minorEastAsia" w:hAnsiTheme="majorHAnsi" w:cstheme="majorHAnsi"/>
          <w:snapToGrid w:val="0"/>
          <w:color w:val="000000" w:themeColor="text1"/>
          <w:sz w:val="22"/>
          <w:szCs w:val="22"/>
        </w:rPr>
        <w:t xml:space="preserve">hindering </w:t>
      </w:r>
      <w:r w:rsidRPr="00173FD6">
        <w:rPr>
          <w:rFonts w:asciiTheme="majorHAnsi" w:hAnsiTheme="majorHAnsi" w:cstheme="majorHAnsi"/>
          <w:snapToGrid w:val="0"/>
          <w:sz w:val="22"/>
          <w:szCs w:val="22"/>
          <w:lang w:val="en-US"/>
        </w:rPr>
        <w:t>factors?</w:t>
      </w:r>
    </w:p>
    <w:p w14:paraId="1F99860C" w14:textId="77777777" w:rsidR="008D0CAD" w:rsidRPr="00173FD6" w:rsidRDefault="008D0CAD" w:rsidP="00DD08E3">
      <w:pPr>
        <w:numPr>
          <w:ilvl w:val="0"/>
          <w:numId w:val="74"/>
        </w:numPr>
        <w:spacing w:before="100" w:beforeAutospacing="1" w:after="100" w:afterAutospacing="1" w:line="360" w:lineRule="auto"/>
        <w:contextualSpacing/>
        <w:rPr>
          <w:rFonts w:asciiTheme="majorHAnsi" w:hAnsiTheme="majorHAnsi" w:cstheme="majorHAnsi"/>
          <w:snapToGrid w:val="0"/>
          <w:sz w:val="22"/>
          <w:szCs w:val="22"/>
          <w:lang w:val="en-US"/>
        </w:rPr>
      </w:pPr>
      <w:r w:rsidRPr="00173FD6">
        <w:rPr>
          <w:rFonts w:asciiTheme="majorHAnsi" w:hAnsiTheme="majorHAnsi" w:cstheme="majorHAnsi"/>
          <w:bCs/>
          <w:snapToGrid w:val="0"/>
          <w:sz w:val="22"/>
          <w:szCs w:val="22"/>
          <w:lang w:val="en-US"/>
        </w:rPr>
        <w:t xml:space="preserve">What were the </w:t>
      </w:r>
      <w:r w:rsidRPr="00173FD6">
        <w:rPr>
          <w:rFonts w:asciiTheme="majorHAnsi" w:eastAsiaTheme="minorEastAsia" w:hAnsiTheme="majorHAnsi" w:cstheme="majorHAnsi"/>
          <w:b/>
          <w:snapToGrid w:val="0"/>
          <w:color w:val="000000" w:themeColor="text1"/>
          <w:sz w:val="22"/>
          <w:szCs w:val="22"/>
        </w:rPr>
        <w:t>facilitating</w:t>
      </w:r>
      <w:r w:rsidRPr="00173FD6">
        <w:rPr>
          <w:rFonts w:asciiTheme="majorHAnsi" w:eastAsiaTheme="minorEastAsia" w:hAnsiTheme="majorHAnsi" w:cstheme="majorHAnsi"/>
          <w:snapToGrid w:val="0"/>
          <w:color w:val="000000" w:themeColor="text1"/>
          <w:sz w:val="22"/>
          <w:szCs w:val="22"/>
        </w:rPr>
        <w:t xml:space="preserve"> factors in the implementation of the BEST Program in the early years</w:t>
      </w:r>
      <w:r w:rsidRPr="00173FD6">
        <w:rPr>
          <w:rFonts w:asciiTheme="majorHAnsi" w:hAnsiTheme="majorHAnsi" w:cstheme="majorHAnsi"/>
          <w:bCs/>
          <w:snapToGrid w:val="0"/>
          <w:sz w:val="22"/>
          <w:szCs w:val="22"/>
          <w:lang w:val="en-US"/>
        </w:rPr>
        <w:t>?</w:t>
      </w:r>
    </w:p>
    <w:p w14:paraId="5FB84CB4" w14:textId="77777777" w:rsidR="008D0CAD" w:rsidRPr="00173FD6" w:rsidRDefault="008D0CAD" w:rsidP="00DD08E3">
      <w:pPr>
        <w:numPr>
          <w:ilvl w:val="1"/>
          <w:numId w:val="74"/>
        </w:numPr>
        <w:spacing w:before="100" w:beforeAutospacing="1" w:after="100" w:afterAutospacing="1" w:line="360" w:lineRule="auto"/>
        <w:contextualSpacing/>
        <w:rPr>
          <w:rFonts w:asciiTheme="majorHAnsi" w:hAnsiTheme="majorHAnsi" w:cstheme="majorHAnsi"/>
          <w:snapToGrid w:val="0"/>
          <w:sz w:val="22"/>
          <w:szCs w:val="22"/>
          <w:lang w:val="en-US"/>
        </w:rPr>
      </w:pPr>
      <w:r w:rsidRPr="00173FD6">
        <w:rPr>
          <w:rFonts w:asciiTheme="majorHAnsi" w:hAnsiTheme="majorHAnsi" w:cstheme="majorHAnsi"/>
          <w:snapToGrid w:val="0"/>
          <w:sz w:val="22"/>
          <w:szCs w:val="22"/>
          <w:lang w:val="en-US"/>
        </w:rPr>
        <w:t>Another recurring theme of the interviews was that the funds provided by the BEST Program enabled the Divisions to implement their workplans because it was able to pay for expenses that could otherwise not be funded under DEPED such as venue of workshops (hotels)? Could you please respond to this finding and explain why this is a positive development for DEPED?</w:t>
      </w:r>
    </w:p>
    <w:p w14:paraId="3C638722" w14:textId="2511F5DD" w:rsidR="008D0CAD" w:rsidRPr="00173FD6" w:rsidRDefault="008D0CAD" w:rsidP="00DD08E3">
      <w:pPr>
        <w:numPr>
          <w:ilvl w:val="1"/>
          <w:numId w:val="74"/>
        </w:numPr>
        <w:spacing w:before="100" w:beforeAutospacing="1" w:after="100" w:afterAutospacing="1" w:line="360" w:lineRule="auto"/>
        <w:contextualSpacing/>
        <w:rPr>
          <w:rFonts w:asciiTheme="majorHAnsi" w:hAnsiTheme="majorHAnsi" w:cstheme="majorHAnsi"/>
          <w:snapToGrid w:val="0"/>
          <w:sz w:val="22"/>
          <w:szCs w:val="22"/>
          <w:lang w:val="en-US"/>
        </w:rPr>
      </w:pPr>
      <w:r w:rsidRPr="00173FD6">
        <w:rPr>
          <w:rFonts w:asciiTheme="majorHAnsi" w:hAnsiTheme="majorHAnsi" w:cstheme="majorHAnsi"/>
          <w:snapToGrid w:val="0"/>
          <w:sz w:val="22"/>
          <w:szCs w:val="22"/>
          <w:lang w:val="en-US"/>
        </w:rPr>
        <w:t>The Divisions also informed us that the BEST Program enabled them to hire better Technical Experts that would otherwise not be available to DEPED.</w:t>
      </w:r>
      <w:r w:rsidR="00D434EB">
        <w:rPr>
          <w:rFonts w:asciiTheme="majorHAnsi" w:hAnsiTheme="majorHAnsi" w:cstheme="majorHAnsi"/>
          <w:snapToGrid w:val="0"/>
          <w:sz w:val="22"/>
          <w:szCs w:val="22"/>
          <w:lang w:val="en-US"/>
        </w:rPr>
        <w:t xml:space="preserve"> </w:t>
      </w:r>
      <w:r w:rsidRPr="00173FD6">
        <w:rPr>
          <w:rFonts w:asciiTheme="majorHAnsi" w:hAnsiTheme="majorHAnsi" w:cstheme="majorHAnsi"/>
          <w:snapToGrid w:val="0"/>
          <w:sz w:val="22"/>
          <w:szCs w:val="22"/>
          <w:lang w:val="en-US"/>
        </w:rPr>
        <w:t>They said that the primary effect of the BEST Program is that the quality of work that were produced by the Divisions under BEST Program was better. Could you please respond to this finding and explain what would happen then if the BEST Program ends?</w:t>
      </w:r>
    </w:p>
    <w:p w14:paraId="5143F2DA" w14:textId="3D11F53A" w:rsidR="008D0CAD" w:rsidRPr="00173FD6" w:rsidRDefault="008D0CAD" w:rsidP="00DD08E3">
      <w:pPr>
        <w:numPr>
          <w:ilvl w:val="0"/>
          <w:numId w:val="74"/>
        </w:numPr>
        <w:spacing w:before="100" w:beforeAutospacing="1" w:after="100" w:afterAutospacing="1" w:line="360" w:lineRule="auto"/>
        <w:contextualSpacing/>
        <w:rPr>
          <w:rFonts w:asciiTheme="majorHAnsi" w:hAnsiTheme="majorHAnsi" w:cstheme="majorHAnsi"/>
          <w:snapToGrid w:val="0"/>
          <w:sz w:val="22"/>
          <w:szCs w:val="22"/>
          <w:lang w:val="en-US"/>
        </w:rPr>
      </w:pPr>
      <w:r w:rsidRPr="00173FD6">
        <w:rPr>
          <w:rFonts w:asciiTheme="majorHAnsi" w:hAnsiTheme="majorHAnsi" w:cstheme="majorHAnsi"/>
          <w:snapToGrid w:val="0"/>
          <w:sz w:val="22"/>
          <w:szCs w:val="22"/>
          <w:lang w:val="en-US"/>
        </w:rPr>
        <w:t>What lessons did you get from the design and implementation of the BEST Program?</w:t>
      </w:r>
      <w:r w:rsidR="00D434EB">
        <w:rPr>
          <w:rFonts w:asciiTheme="majorHAnsi" w:hAnsiTheme="majorHAnsi" w:cstheme="majorHAnsi"/>
          <w:snapToGrid w:val="0"/>
          <w:sz w:val="22"/>
          <w:szCs w:val="22"/>
          <w:lang w:val="en-US"/>
        </w:rPr>
        <w:t xml:space="preserve"> </w:t>
      </w:r>
    </w:p>
    <w:p w14:paraId="36C86452" w14:textId="74F99905" w:rsidR="008D0CAD" w:rsidRPr="00173FD6" w:rsidRDefault="008D0CAD" w:rsidP="00DD08E3">
      <w:pPr>
        <w:numPr>
          <w:ilvl w:val="0"/>
          <w:numId w:val="74"/>
        </w:numPr>
        <w:spacing w:before="100" w:beforeAutospacing="1" w:after="100" w:afterAutospacing="1" w:line="360" w:lineRule="auto"/>
        <w:contextualSpacing/>
        <w:rPr>
          <w:rFonts w:asciiTheme="majorHAnsi" w:hAnsiTheme="majorHAnsi" w:cstheme="majorHAnsi"/>
          <w:snapToGrid w:val="0"/>
          <w:sz w:val="22"/>
          <w:szCs w:val="22"/>
          <w:lang w:val="en-US"/>
        </w:rPr>
      </w:pPr>
      <w:r w:rsidRPr="00173FD6">
        <w:rPr>
          <w:rFonts w:asciiTheme="majorHAnsi" w:hAnsiTheme="majorHAnsi" w:cstheme="majorHAnsi"/>
          <w:snapToGrid w:val="0"/>
          <w:sz w:val="22"/>
          <w:szCs w:val="22"/>
          <w:lang w:val="en-US"/>
        </w:rPr>
        <w:t>What recommendations can you give to enhance the quality of education sector reform programs in the coming years, particularly the successors of the BEST Program?</w:t>
      </w:r>
      <w:r w:rsidR="00D434EB">
        <w:rPr>
          <w:rFonts w:asciiTheme="majorHAnsi" w:hAnsiTheme="majorHAnsi" w:cstheme="majorHAnsi"/>
          <w:snapToGrid w:val="0"/>
          <w:sz w:val="22"/>
          <w:szCs w:val="22"/>
          <w:lang w:val="en-US"/>
        </w:rPr>
        <w:t xml:space="preserve"> </w:t>
      </w:r>
    </w:p>
    <w:p w14:paraId="3E8F3993" w14:textId="77777777" w:rsidR="008D0CAD" w:rsidRPr="002401B4" w:rsidRDefault="008D0CAD" w:rsidP="005902F7">
      <w:pPr>
        <w:spacing w:before="100" w:beforeAutospacing="1" w:after="100" w:afterAutospacing="1" w:line="360" w:lineRule="auto"/>
        <w:rPr>
          <w:rFonts w:asciiTheme="majorHAnsi" w:hAnsiTheme="majorHAnsi" w:cstheme="majorHAnsi"/>
          <w:b/>
          <w:color w:val="000000" w:themeColor="text1"/>
          <w:sz w:val="22"/>
          <w:szCs w:val="22"/>
        </w:rPr>
      </w:pPr>
      <w:r w:rsidRPr="002401B4">
        <w:rPr>
          <w:rFonts w:asciiTheme="majorHAnsi" w:hAnsiTheme="majorHAnsi" w:cstheme="majorHAnsi"/>
          <w:color w:val="000000" w:themeColor="text1"/>
          <w:sz w:val="22"/>
          <w:szCs w:val="22"/>
        </w:rPr>
        <w:t>-</w:t>
      </w:r>
      <w:r w:rsidRPr="002401B4">
        <w:rPr>
          <w:rFonts w:asciiTheme="majorHAnsi" w:hAnsiTheme="majorHAnsi" w:cstheme="majorHAnsi"/>
          <w:b/>
          <w:color w:val="000000" w:themeColor="text1"/>
          <w:sz w:val="22"/>
          <w:szCs w:val="22"/>
        </w:rPr>
        <w:t>End of Questions-</w:t>
      </w:r>
    </w:p>
    <w:p w14:paraId="318A1E90" w14:textId="3C221975" w:rsidR="008D0CAD" w:rsidRPr="005902F7" w:rsidRDefault="008D0CAD" w:rsidP="005902F7">
      <w:pPr>
        <w:pageBreakBefore/>
        <w:spacing w:before="100" w:beforeAutospacing="1" w:after="100" w:afterAutospacing="1" w:line="360" w:lineRule="auto"/>
        <w:rPr>
          <w:rFonts w:asciiTheme="majorHAnsi" w:hAnsiTheme="majorHAnsi" w:cstheme="majorHAnsi"/>
          <w:b/>
          <w:sz w:val="22"/>
          <w:szCs w:val="22"/>
          <w:lang w:val="en-US"/>
        </w:rPr>
      </w:pPr>
      <w:r w:rsidRPr="00173FD6">
        <w:rPr>
          <w:rFonts w:asciiTheme="majorHAnsi" w:hAnsiTheme="majorHAnsi" w:cstheme="majorHAnsi"/>
          <w:b/>
          <w:sz w:val="22"/>
          <w:szCs w:val="22"/>
          <w:lang w:val="en-US"/>
        </w:rPr>
        <w:t>Guide Questions – Current and Former Undersecretaries</w:t>
      </w:r>
    </w:p>
    <w:p w14:paraId="4E80DBE1" w14:textId="033777A6" w:rsidR="008D0CAD" w:rsidRPr="00173FD6" w:rsidRDefault="008D0CAD" w:rsidP="005902F7">
      <w:pPr>
        <w:spacing w:before="100" w:beforeAutospacing="1" w:after="100" w:afterAutospacing="1" w:line="360" w:lineRule="auto"/>
        <w:rPr>
          <w:rFonts w:asciiTheme="majorHAnsi" w:hAnsiTheme="majorHAnsi" w:cstheme="majorHAnsi"/>
          <w:b/>
          <w:sz w:val="22"/>
          <w:szCs w:val="22"/>
          <w:lang w:val="en-US"/>
        </w:rPr>
      </w:pPr>
      <w:r w:rsidRPr="00173FD6">
        <w:rPr>
          <w:rFonts w:asciiTheme="majorHAnsi" w:hAnsiTheme="majorHAnsi" w:cstheme="majorHAnsi"/>
          <w:b/>
          <w:sz w:val="22"/>
          <w:szCs w:val="22"/>
          <w:lang w:val="en-US"/>
        </w:rPr>
        <w:t>Questions</w:t>
      </w:r>
    </w:p>
    <w:p w14:paraId="4080296B" w14:textId="23D192EE" w:rsidR="008D0CAD" w:rsidRPr="00173FD6" w:rsidRDefault="008D0CAD" w:rsidP="00DD08E3">
      <w:pPr>
        <w:widowControl w:val="0"/>
        <w:numPr>
          <w:ilvl w:val="0"/>
          <w:numId w:val="75"/>
        </w:numPr>
        <w:spacing w:before="100" w:beforeAutospacing="1" w:after="100" w:afterAutospacing="1" w:line="360" w:lineRule="auto"/>
        <w:contextualSpacing/>
        <w:rPr>
          <w:rFonts w:asciiTheme="majorHAnsi" w:hAnsiTheme="majorHAnsi" w:cstheme="majorHAnsi"/>
          <w:bCs/>
          <w:snapToGrid w:val="0"/>
          <w:sz w:val="22"/>
          <w:szCs w:val="22"/>
          <w:lang w:val="en-US"/>
        </w:rPr>
      </w:pPr>
      <w:r w:rsidRPr="00173FD6">
        <w:rPr>
          <w:rFonts w:asciiTheme="majorHAnsi" w:hAnsiTheme="majorHAnsi" w:cstheme="majorHAnsi"/>
          <w:bCs/>
          <w:snapToGrid w:val="0"/>
          <w:sz w:val="22"/>
          <w:szCs w:val="22"/>
          <w:lang w:val="en-US"/>
        </w:rPr>
        <w:t xml:space="preserve">Please describe the education sector challenges that necessitated the continuous assistance from Australia? </w:t>
      </w:r>
    </w:p>
    <w:p w14:paraId="0FC1D02E" w14:textId="77777777" w:rsidR="008D0CAD" w:rsidRPr="00173FD6" w:rsidRDefault="008D0CAD" w:rsidP="00DD08E3">
      <w:pPr>
        <w:widowControl w:val="0"/>
        <w:numPr>
          <w:ilvl w:val="0"/>
          <w:numId w:val="75"/>
        </w:numPr>
        <w:spacing w:before="100" w:beforeAutospacing="1" w:after="100" w:afterAutospacing="1" w:line="360" w:lineRule="auto"/>
        <w:contextualSpacing/>
        <w:rPr>
          <w:rFonts w:asciiTheme="majorHAnsi" w:hAnsiTheme="majorHAnsi" w:cstheme="majorHAnsi"/>
          <w:bCs/>
          <w:snapToGrid w:val="0"/>
          <w:sz w:val="22"/>
          <w:szCs w:val="22"/>
          <w:lang w:val="en-US"/>
        </w:rPr>
      </w:pPr>
      <w:r w:rsidRPr="00173FD6">
        <w:rPr>
          <w:rFonts w:asciiTheme="majorHAnsi" w:hAnsiTheme="majorHAnsi" w:cstheme="majorHAnsi"/>
          <w:bCs/>
          <w:snapToGrid w:val="0"/>
          <w:sz w:val="22"/>
          <w:szCs w:val="22"/>
          <w:lang w:val="en-US"/>
        </w:rPr>
        <w:t>Please describe the original intention or design of the BEST Program.</w:t>
      </w:r>
    </w:p>
    <w:p w14:paraId="195C342E" w14:textId="267044B0" w:rsidR="008D0CAD" w:rsidRPr="00173FD6" w:rsidRDefault="008D0CAD" w:rsidP="00DD08E3">
      <w:pPr>
        <w:widowControl w:val="0"/>
        <w:numPr>
          <w:ilvl w:val="1"/>
          <w:numId w:val="75"/>
        </w:numPr>
        <w:spacing w:before="100" w:beforeAutospacing="1" w:after="100" w:afterAutospacing="1" w:line="360" w:lineRule="auto"/>
        <w:contextualSpacing/>
        <w:rPr>
          <w:rFonts w:asciiTheme="majorHAnsi" w:hAnsiTheme="majorHAnsi" w:cstheme="majorHAnsi"/>
          <w:bCs/>
          <w:snapToGrid w:val="0"/>
          <w:sz w:val="22"/>
          <w:szCs w:val="22"/>
          <w:lang w:val="en-US"/>
        </w:rPr>
      </w:pPr>
      <w:r w:rsidRPr="00173FD6">
        <w:rPr>
          <w:rFonts w:asciiTheme="majorHAnsi" w:hAnsiTheme="majorHAnsi" w:cstheme="majorHAnsi"/>
          <w:bCs/>
          <w:snapToGrid w:val="0"/>
          <w:sz w:val="22"/>
          <w:szCs w:val="22"/>
          <w:lang w:val="en-US"/>
        </w:rPr>
        <w:t>How were the pilot regions of BEST selected?</w:t>
      </w:r>
      <w:r w:rsidR="00D434EB">
        <w:rPr>
          <w:rFonts w:asciiTheme="majorHAnsi" w:hAnsiTheme="majorHAnsi" w:cstheme="majorHAnsi"/>
          <w:bCs/>
          <w:snapToGrid w:val="0"/>
          <w:sz w:val="22"/>
          <w:szCs w:val="22"/>
          <w:lang w:val="en-US"/>
        </w:rPr>
        <w:t xml:space="preserve"> </w:t>
      </w:r>
    </w:p>
    <w:p w14:paraId="014A766C" w14:textId="77777777" w:rsidR="008D0CAD" w:rsidRPr="00173FD6" w:rsidRDefault="008D0CAD" w:rsidP="00DD08E3">
      <w:pPr>
        <w:widowControl w:val="0"/>
        <w:numPr>
          <w:ilvl w:val="1"/>
          <w:numId w:val="75"/>
        </w:numPr>
        <w:spacing w:before="100" w:beforeAutospacing="1" w:after="100" w:afterAutospacing="1" w:line="360" w:lineRule="auto"/>
        <w:contextualSpacing/>
        <w:rPr>
          <w:rFonts w:asciiTheme="majorHAnsi" w:hAnsiTheme="majorHAnsi" w:cstheme="majorHAnsi"/>
          <w:bCs/>
          <w:snapToGrid w:val="0"/>
          <w:sz w:val="22"/>
          <w:szCs w:val="22"/>
          <w:lang w:val="en-US"/>
        </w:rPr>
      </w:pPr>
      <w:r w:rsidRPr="00173FD6">
        <w:rPr>
          <w:rFonts w:asciiTheme="majorHAnsi" w:hAnsiTheme="majorHAnsi" w:cstheme="majorHAnsi"/>
          <w:bCs/>
          <w:snapToGrid w:val="0"/>
          <w:sz w:val="22"/>
          <w:szCs w:val="22"/>
          <w:lang w:val="en-US"/>
        </w:rPr>
        <w:t xml:space="preserve">Was there a set of criteria for choosing the regions? </w:t>
      </w:r>
    </w:p>
    <w:p w14:paraId="20ADB912" w14:textId="77777777" w:rsidR="008D0CAD" w:rsidRPr="00173FD6" w:rsidRDefault="008D0CAD" w:rsidP="00DD08E3">
      <w:pPr>
        <w:widowControl w:val="0"/>
        <w:numPr>
          <w:ilvl w:val="1"/>
          <w:numId w:val="75"/>
        </w:numPr>
        <w:spacing w:before="100" w:beforeAutospacing="1" w:after="100" w:afterAutospacing="1" w:line="360" w:lineRule="auto"/>
        <w:contextualSpacing/>
        <w:rPr>
          <w:rFonts w:asciiTheme="majorHAnsi" w:hAnsiTheme="majorHAnsi" w:cstheme="majorHAnsi"/>
          <w:bCs/>
          <w:snapToGrid w:val="0"/>
          <w:sz w:val="22"/>
          <w:szCs w:val="22"/>
          <w:lang w:val="en-US"/>
        </w:rPr>
      </w:pPr>
      <w:r w:rsidRPr="00173FD6">
        <w:rPr>
          <w:rFonts w:asciiTheme="majorHAnsi" w:hAnsiTheme="majorHAnsi" w:cstheme="majorHAnsi"/>
          <w:bCs/>
          <w:snapToGrid w:val="0"/>
          <w:sz w:val="22"/>
          <w:szCs w:val="22"/>
          <w:lang w:val="en-US"/>
        </w:rPr>
        <w:t>What were the risk analysis and management considerations?</w:t>
      </w:r>
    </w:p>
    <w:p w14:paraId="43A1A4FB" w14:textId="77777777" w:rsidR="008D0CAD" w:rsidRPr="00173FD6" w:rsidRDefault="008D0CAD" w:rsidP="00DD08E3">
      <w:pPr>
        <w:widowControl w:val="0"/>
        <w:numPr>
          <w:ilvl w:val="0"/>
          <w:numId w:val="75"/>
        </w:numPr>
        <w:spacing w:before="100" w:beforeAutospacing="1" w:after="100" w:afterAutospacing="1" w:line="360" w:lineRule="auto"/>
        <w:contextualSpacing/>
        <w:rPr>
          <w:rFonts w:asciiTheme="majorHAnsi" w:hAnsiTheme="majorHAnsi" w:cstheme="majorHAnsi"/>
          <w:bCs/>
          <w:snapToGrid w:val="0"/>
          <w:sz w:val="22"/>
          <w:szCs w:val="22"/>
          <w:lang w:val="en-US"/>
        </w:rPr>
      </w:pPr>
      <w:r w:rsidRPr="00173FD6">
        <w:rPr>
          <w:rFonts w:asciiTheme="majorHAnsi" w:hAnsiTheme="majorHAnsi" w:cstheme="majorHAnsi"/>
          <w:bCs/>
          <w:snapToGrid w:val="0"/>
          <w:sz w:val="22"/>
          <w:szCs w:val="22"/>
          <w:lang w:val="en-US"/>
        </w:rPr>
        <w:t xml:space="preserve">How was the BEST Program implemented in the early years? </w:t>
      </w:r>
    </w:p>
    <w:p w14:paraId="2B43146D" w14:textId="77777777" w:rsidR="008D0CAD" w:rsidRPr="00173FD6" w:rsidRDefault="008D0CAD" w:rsidP="00DD08E3">
      <w:pPr>
        <w:widowControl w:val="0"/>
        <w:numPr>
          <w:ilvl w:val="1"/>
          <w:numId w:val="75"/>
        </w:numPr>
        <w:spacing w:before="100" w:beforeAutospacing="1" w:after="100" w:afterAutospacing="1" w:line="360" w:lineRule="auto"/>
        <w:contextualSpacing/>
        <w:rPr>
          <w:rFonts w:asciiTheme="majorHAnsi" w:hAnsiTheme="majorHAnsi" w:cstheme="majorHAnsi"/>
          <w:bCs/>
          <w:snapToGrid w:val="0"/>
          <w:sz w:val="22"/>
          <w:szCs w:val="22"/>
          <w:lang w:val="en-US"/>
        </w:rPr>
      </w:pPr>
      <w:r w:rsidRPr="00173FD6">
        <w:rPr>
          <w:rFonts w:asciiTheme="majorHAnsi" w:hAnsiTheme="majorHAnsi" w:cstheme="majorHAnsi"/>
          <w:bCs/>
          <w:snapToGrid w:val="0"/>
          <w:sz w:val="22"/>
          <w:szCs w:val="22"/>
          <w:lang w:val="en-US"/>
        </w:rPr>
        <w:t>What were the criteria for the approval of priority activities?</w:t>
      </w:r>
    </w:p>
    <w:p w14:paraId="477376A9" w14:textId="77777777" w:rsidR="008D0CAD" w:rsidRPr="00173FD6" w:rsidRDefault="008D0CAD" w:rsidP="00DD08E3">
      <w:pPr>
        <w:widowControl w:val="0"/>
        <w:numPr>
          <w:ilvl w:val="0"/>
          <w:numId w:val="75"/>
        </w:numPr>
        <w:spacing w:before="100" w:beforeAutospacing="1" w:after="100" w:afterAutospacing="1" w:line="360" w:lineRule="auto"/>
        <w:contextualSpacing/>
        <w:rPr>
          <w:rFonts w:asciiTheme="majorHAnsi" w:hAnsiTheme="majorHAnsi" w:cstheme="majorHAnsi"/>
          <w:bCs/>
          <w:snapToGrid w:val="0"/>
          <w:sz w:val="22"/>
          <w:szCs w:val="22"/>
          <w:lang w:val="en-US"/>
        </w:rPr>
      </w:pPr>
      <w:r w:rsidRPr="00173FD6">
        <w:rPr>
          <w:rFonts w:asciiTheme="majorHAnsi" w:hAnsiTheme="majorHAnsi" w:cstheme="majorHAnsi"/>
          <w:bCs/>
          <w:snapToGrid w:val="0"/>
          <w:sz w:val="22"/>
          <w:szCs w:val="22"/>
          <w:lang w:val="en-US"/>
        </w:rPr>
        <w:t>Please describe the program management arrangements for the BEST Program.</w:t>
      </w:r>
    </w:p>
    <w:p w14:paraId="339BFBCD" w14:textId="77777777" w:rsidR="008D0CAD" w:rsidRPr="00173FD6" w:rsidRDefault="008D0CAD" w:rsidP="00DD08E3">
      <w:pPr>
        <w:widowControl w:val="0"/>
        <w:numPr>
          <w:ilvl w:val="1"/>
          <w:numId w:val="75"/>
        </w:numPr>
        <w:spacing w:before="100" w:beforeAutospacing="1" w:after="100" w:afterAutospacing="1" w:line="360" w:lineRule="auto"/>
        <w:contextualSpacing/>
        <w:rPr>
          <w:rFonts w:asciiTheme="majorHAnsi" w:hAnsiTheme="majorHAnsi" w:cstheme="majorHAnsi"/>
          <w:bCs/>
          <w:snapToGrid w:val="0"/>
          <w:sz w:val="22"/>
          <w:szCs w:val="22"/>
          <w:lang w:val="en-US"/>
        </w:rPr>
      </w:pPr>
      <w:r w:rsidRPr="00173FD6">
        <w:rPr>
          <w:rFonts w:asciiTheme="majorHAnsi" w:hAnsiTheme="majorHAnsi" w:cstheme="majorHAnsi"/>
          <w:bCs/>
          <w:snapToGrid w:val="0"/>
          <w:sz w:val="22"/>
          <w:szCs w:val="22"/>
          <w:lang w:val="en-US"/>
        </w:rPr>
        <w:t>What were the M&amp;E arrangements for the BEST Program?</w:t>
      </w:r>
    </w:p>
    <w:p w14:paraId="0217A91D" w14:textId="1293B282" w:rsidR="008D0CAD" w:rsidRPr="00173FD6" w:rsidRDefault="008D0CAD" w:rsidP="00DD08E3">
      <w:pPr>
        <w:widowControl w:val="0"/>
        <w:numPr>
          <w:ilvl w:val="0"/>
          <w:numId w:val="75"/>
        </w:numPr>
        <w:spacing w:before="100" w:beforeAutospacing="1" w:after="100" w:afterAutospacing="1" w:line="360" w:lineRule="auto"/>
        <w:contextualSpacing/>
        <w:rPr>
          <w:rFonts w:asciiTheme="majorHAnsi" w:hAnsiTheme="majorHAnsi" w:cstheme="majorHAnsi"/>
          <w:snapToGrid w:val="0"/>
          <w:sz w:val="22"/>
          <w:szCs w:val="22"/>
          <w:lang w:val="en-US"/>
        </w:rPr>
      </w:pPr>
      <w:r w:rsidRPr="00173FD6">
        <w:rPr>
          <w:rFonts w:asciiTheme="majorHAnsi" w:hAnsiTheme="majorHAnsi" w:cstheme="majorHAnsi"/>
          <w:snapToGrid w:val="0"/>
          <w:sz w:val="22"/>
          <w:szCs w:val="22"/>
          <w:lang w:val="en-US"/>
        </w:rPr>
        <w:t>We were informed that the during the initial workshop/consultations, the intention of the BEST Program was for the Regions to have direct participation in the implementation of the Program.</w:t>
      </w:r>
      <w:r w:rsidR="00D434EB">
        <w:rPr>
          <w:rFonts w:asciiTheme="majorHAnsi" w:hAnsiTheme="majorHAnsi" w:cstheme="majorHAnsi"/>
          <w:snapToGrid w:val="0"/>
          <w:sz w:val="22"/>
          <w:szCs w:val="22"/>
          <w:lang w:val="en-US"/>
        </w:rPr>
        <w:t xml:space="preserve"> </w:t>
      </w:r>
      <w:r w:rsidRPr="00173FD6">
        <w:rPr>
          <w:rFonts w:asciiTheme="majorHAnsi" w:hAnsiTheme="majorHAnsi" w:cstheme="majorHAnsi"/>
          <w:snapToGrid w:val="0"/>
          <w:sz w:val="22"/>
          <w:szCs w:val="22"/>
          <w:lang w:val="en-US"/>
        </w:rPr>
        <w:t>However, in the initial years of implementation, focus was on the Central Office.</w:t>
      </w:r>
      <w:r w:rsidR="00D434EB">
        <w:rPr>
          <w:rFonts w:asciiTheme="majorHAnsi" w:hAnsiTheme="majorHAnsi" w:cstheme="majorHAnsi"/>
          <w:snapToGrid w:val="0"/>
          <w:sz w:val="22"/>
          <w:szCs w:val="22"/>
          <w:lang w:val="en-US"/>
        </w:rPr>
        <w:t xml:space="preserve"> </w:t>
      </w:r>
      <w:r w:rsidRPr="00173FD6">
        <w:rPr>
          <w:rFonts w:asciiTheme="majorHAnsi" w:hAnsiTheme="majorHAnsi" w:cstheme="majorHAnsi"/>
          <w:snapToGrid w:val="0"/>
          <w:sz w:val="22"/>
          <w:szCs w:val="22"/>
          <w:lang w:val="en-US"/>
        </w:rPr>
        <w:t>This created disappointments among the regions consulted. Can you please clarify the intention of the shift in design?</w:t>
      </w:r>
    </w:p>
    <w:p w14:paraId="60BF7581" w14:textId="77777777" w:rsidR="008D0CAD" w:rsidRPr="00173FD6" w:rsidRDefault="008D0CAD" w:rsidP="00DD08E3">
      <w:pPr>
        <w:widowControl w:val="0"/>
        <w:numPr>
          <w:ilvl w:val="0"/>
          <w:numId w:val="75"/>
        </w:numPr>
        <w:spacing w:before="100" w:beforeAutospacing="1" w:after="100" w:afterAutospacing="1" w:line="360" w:lineRule="auto"/>
        <w:contextualSpacing/>
        <w:rPr>
          <w:rFonts w:asciiTheme="majorHAnsi" w:hAnsiTheme="majorHAnsi" w:cstheme="majorHAnsi"/>
          <w:snapToGrid w:val="0"/>
          <w:sz w:val="22"/>
          <w:szCs w:val="22"/>
          <w:lang w:val="en-US"/>
        </w:rPr>
      </w:pPr>
      <w:r w:rsidRPr="00173FD6">
        <w:rPr>
          <w:rFonts w:asciiTheme="majorHAnsi" w:hAnsiTheme="majorHAnsi" w:cstheme="majorHAnsi"/>
          <w:bCs/>
          <w:snapToGrid w:val="0"/>
          <w:sz w:val="22"/>
          <w:szCs w:val="22"/>
          <w:lang w:val="en-US"/>
        </w:rPr>
        <w:t xml:space="preserve">What were the </w:t>
      </w:r>
      <w:r w:rsidRPr="00173FD6">
        <w:rPr>
          <w:rFonts w:asciiTheme="majorHAnsi" w:eastAsiaTheme="minorEastAsia" w:hAnsiTheme="majorHAnsi" w:cstheme="majorHAnsi"/>
          <w:b/>
          <w:snapToGrid w:val="0"/>
          <w:color w:val="000000" w:themeColor="text1"/>
          <w:sz w:val="22"/>
          <w:szCs w:val="22"/>
        </w:rPr>
        <w:t>hindering</w:t>
      </w:r>
      <w:r w:rsidRPr="00173FD6">
        <w:rPr>
          <w:rFonts w:asciiTheme="majorHAnsi" w:eastAsiaTheme="minorEastAsia" w:hAnsiTheme="majorHAnsi" w:cstheme="majorHAnsi"/>
          <w:snapToGrid w:val="0"/>
          <w:color w:val="000000" w:themeColor="text1"/>
          <w:sz w:val="22"/>
          <w:szCs w:val="22"/>
        </w:rPr>
        <w:t xml:space="preserve"> factors in the implementation of the BEST Program</w:t>
      </w:r>
      <w:r w:rsidRPr="00173FD6">
        <w:rPr>
          <w:rFonts w:asciiTheme="majorHAnsi" w:hAnsiTheme="majorHAnsi" w:cstheme="majorHAnsi"/>
          <w:bCs/>
          <w:snapToGrid w:val="0"/>
          <w:sz w:val="22"/>
          <w:szCs w:val="22"/>
          <w:lang w:val="en-US"/>
        </w:rPr>
        <w:t>?</w:t>
      </w:r>
    </w:p>
    <w:p w14:paraId="2C0BCA02" w14:textId="77777777" w:rsidR="008D0CAD" w:rsidRPr="00173FD6" w:rsidRDefault="008D0CAD" w:rsidP="00DD08E3">
      <w:pPr>
        <w:widowControl w:val="0"/>
        <w:numPr>
          <w:ilvl w:val="0"/>
          <w:numId w:val="75"/>
        </w:numPr>
        <w:spacing w:before="100" w:beforeAutospacing="1" w:after="100" w:afterAutospacing="1" w:line="360" w:lineRule="auto"/>
        <w:contextualSpacing/>
        <w:rPr>
          <w:rFonts w:asciiTheme="majorHAnsi" w:hAnsiTheme="majorHAnsi" w:cstheme="majorHAnsi"/>
          <w:snapToGrid w:val="0"/>
          <w:sz w:val="22"/>
          <w:szCs w:val="22"/>
          <w:lang w:val="en-US"/>
        </w:rPr>
      </w:pPr>
      <w:r w:rsidRPr="00173FD6">
        <w:rPr>
          <w:rFonts w:asciiTheme="majorHAnsi" w:hAnsiTheme="majorHAnsi" w:cstheme="majorHAnsi"/>
          <w:bCs/>
          <w:snapToGrid w:val="0"/>
          <w:sz w:val="22"/>
          <w:szCs w:val="22"/>
          <w:lang w:val="en-US"/>
        </w:rPr>
        <w:t xml:space="preserve">What were the </w:t>
      </w:r>
      <w:r w:rsidRPr="00173FD6">
        <w:rPr>
          <w:rFonts w:asciiTheme="majorHAnsi" w:eastAsiaTheme="minorEastAsia" w:hAnsiTheme="majorHAnsi" w:cstheme="majorHAnsi"/>
          <w:b/>
          <w:snapToGrid w:val="0"/>
          <w:color w:val="000000" w:themeColor="text1"/>
          <w:sz w:val="22"/>
          <w:szCs w:val="22"/>
        </w:rPr>
        <w:t>facilitating</w:t>
      </w:r>
      <w:r w:rsidRPr="00173FD6">
        <w:rPr>
          <w:rFonts w:asciiTheme="majorHAnsi" w:eastAsiaTheme="minorEastAsia" w:hAnsiTheme="majorHAnsi" w:cstheme="majorHAnsi"/>
          <w:snapToGrid w:val="0"/>
          <w:color w:val="000000" w:themeColor="text1"/>
          <w:sz w:val="22"/>
          <w:szCs w:val="22"/>
        </w:rPr>
        <w:t xml:space="preserve"> factors in the implementation of the BEST Program</w:t>
      </w:r>
      <w:r w:rsidRPr="00173FD6">
        <w:rPr>
          <w:rFonts w:asciiTheme="majorHAnsi" w:hAnsiTheme="majorHAnsi" w:cstheme="majorHAnsi"/>
          <w:bCs/>
          <w:snapToGrid w:val="0"/>
          <w:sz w:val="22"/>
          <w:szCs w:val="22"/>
          <w:lang w:val="en-US"/>
        </w:rPr>
        <w:t>?</w:t>
      </w:r>
    </w:p>
    <w:p w14:paraId="5B5167AC" w14:textId="4733EA63" w:rsidR="008D0CAD" w:rsidRPr="00173FD6" w:rsidRDefault="008D0CAD" w:rsidP="00DD08E3">
      <w:pPr>
        <w:widowControl w:val="0"/>
        <w:numPr>
          <w:ilvl w:val="0"/>
          <w:numId w:val="75"/>
        </w:numPr>
        <w:spacing w:before="100" w:beforeAutospacing="1" w:after="100" w:afterAutospacing="1" w:line="360" w:lineRule="auto"/>
        <w:contextualSpacing/>
        <w:rPr>
          <w:rFonts w:asciiTheme="majorHAnsi" w:hAnsiTheme="majorHAnsi" w:cstheme="majorHAnsi"/>
          <w:snapToGrid w:val="0"/>
          <w:sz w:val="22"/>
          <w:szCs w:val="22"/>
          <w:lang w:val="en-US"/>
        </w:rPr>
      </w:pPr>
      <w:r w:rsidRPr="00173FD6">
        <w:rPr>
          <w:rFonts w:asciiTheme="majorHAnsi" w:hAnsiTheme="majorHAnsi" w:cstheme="majorHAnsi"/>
          <w:snapToGrid w:val="0"/>
          <w:sz w:val="22"/>
          <w:szCs w:val="22"/>
          <w:lang w:val="en-US"/>
        </w:rPr>
        <w:t>What lessons did you obtain from the design and implementation of the BEST Program?</w:t>
      </w:r>
      <w:r w:rsidR="00D434EB">
        <w:rPr>
          <w:rFonts w:asciiTheme="majorHAnsi" w:hAnsiTheme="majorHAnsi" w:cstheme="majorHAnsi"/>
          <w:snapToGrid w:val="0"/>
          <w:sz w:val="22"/>
          <w:szCs w:val="22"/>
          <w:lang w:val="en-US"/>
        </w:rPr>
        <w:t xml:space="preserve"> </w:t>
      </w:r>
    </w:p>
    <w:p w14:paraId="5D030D1F" w14:textId="2DB3A48B" w:rsidR="008D0CAD" w:rsidRPr="00173FD6" w:rsidRDefault="008D0CAD" w:rsidP="00DD08E3">
      <w:pPr>
        <w:widowControl w:val="0"/>
        <w:numPr>
          <w:ilvl w:val="0"/>
          <w:numId w:val="75"/>
        </w:numPr>
        <w:spacing w:before="100" w:beforeAutospacing="1" w:after="100" w:afterAutospacing="1" w:line="360" w:lineRule="auto"/>
        <w:contextualSpacing/>
        <w:rPr>
          <w:rFonts w:asciiTheme="majorHAnsi" w:hAnsiTheme="majorHAnsi" w:cstheme="majorHAnsi"/>
          <w:snapToGrid w:val="0"/>
          <w:sz w:val="22"/>
          <w:szCs w:val="22"/>
          <w:lang w:val="en-US"/>
        </w:rPr>
      </w:pPr>
      <w:r w:rsidRPr="00173FD6">
        <w:rPr>
          <w:rFonts w:asciiTheme="majorHAnsi" w:hAnsiTheme="majorHAnsi" w:cstheme="majorHAnsi"/>
          <w:snapToGrid w:val="0"/>
          <w:sz w:val="22"/>
          <w:szCs w:val="22"/>
          <w:lang w:val="en-US"/>
        </w:rPr>
        <w:t>What recommendations can you give to enhance the quality of education sector reform programs in the coming years, particularly the successors of the BEST Program?</w:t>
      </w:r>
      <w:r w:rsidR="00D434EB">
        <w:rPr>
          <w:rFonts w:asciiTheme="majorHAnsi" w:hAnsiTheme="majorHAnsi" w:cstheme="majorHAnsi"/>
          <w:snapToGrid w:val="0"/>
          <w:sz w:val="22"/>
          <w:szCs w:val="22"/>
          <w:lang w:val="en-US"/>
        </w:rPr>
        <w:t xml:space="preserve"> </w:t>
      </w:r>
    </w:p>
    <w:p w14:paraId="10A5D117" w14:textId="77777777" w:rsidR="008D0CAD" w:rsidRPr="00173FD6" w:rsidRDefault="008D0CAD" w:rsidP="005902F7">
      <w:pPr>
        <w:spacing w:before="100" w:beforeAutospacing="1" w:after="100" w:afterAutospacing="1" w:line="360" w:lineRule="auto"/>
        <w:rPr>
          <w:rFonts w:asciiTheme="majorHAnsi" w:hAnsiTheme="majorHAnsi" w:cstheme="majorHAnsi"/>
          <w:b/>
          <w:color w:val="000000" w:themeColor="text1"/>
          <w:sz w:val="22"/>
          <w:szCs w:val="22"/>
          <w:lang w:val="en-US"/>
        </w:rPr>
      </w:pPr>
      <w:r w:rsidRPr="00173FD6">
        <w:rPr>
          <w:rFonts w:asciiTheme="majorHAnsi" w:hAnsiTheme="majorHAnsi" w:cstheme="majorHAnsi"/>
          <w:color w:val="000000" w:themeColor="text1"/>
          <w:sz w:val="22"/>
          <w:szCs w:val="22"/>
          <w:lang w:val="en-US"/>
        </w:rPr>
        <w:t>-</w:t>
      </w:r>
      <w:r w:rsidRPr="00173FD6">
        <w:rPr>
          <w:rFonts w:asciiTheme="majorHAnsi" w:hAnsiTheme="majorHAnsi" w:cstheme="majorHAnsi"/>
          <w:b/>
          <w:color w:val="000000" w:themeColor="text1"/>
          <w:sz w:val="22"/>
          <w:szCs w:val="22"/>
          <w:lang w:val="en-US"/>
        </w:rPr>
        <w:t>End of Questions-</w:t>
      </w:r>
    </w:p>
    <w:p w14:paraId="11125FD7" w14:textId="77777777" w:rsidR="00E65DC1" w:rsidRDefault="00E65DC1" w:rsidP="005902F7">
      <w:pPr>
        <w:pStyle w:val="Heading3"/>
        <w:spacing w:before="100" w:beforeAutospacing="1" w:after="100" w:afterAutospacing="1" w:line="360" w:lineRule="auto"/>
        <w:rPr>
          <w:lang w:val="en-US"/>
        </w:rPr>
        <w:sectPr w:rsidR="00E65DC1" w:rsidSect="009C64E9">
          <w:pgSz w:w="11900" w:h="16840"/>
          <w:pgMar w:top="1008" w:right="1008" w:bottom="1008" w:left="1008" w:header="720" w:footer="720" w:gutter="0"/>
          <w:cols w:space="720"/>
          <w:docGrid w:linePitch="360"/>
        </w:sectPr>
      </w:pPr>
      <w:bookmarkStart w:id="277" w:name="_Toc39938373"/>
      <w:bookmarkStart w:id="278" w:name="_Toc69820478"/>
    </w:p>
    <w:p w14:paraId="406F976F" w14:textId="5FBC3466" w:rsidR="008D0CAD" w:rsidRPr="005902F7" w:rsidRDefault="008D0CAD" w:rsidP="005902F7">
      <w:pPr>
        <w:pStyle w:val="Heading3"/>
        <w:spacing w:before="100" w:beforeAutospacing="1" w:after="100" w:afterAutospacing="1" w:line="360" w:lineRule="auto"/>
        <w:rPr>
          <w:lang w:val="en-US"/>
        </w:rPr>
      </w:pPr>
      <w:r w:rsidRPr="00FB2EFB">
        <w:rPr>
          <w:lang w:val="en-US"/>
        </w:rPr>
        <w:t>Annex J-2.</w:t>
      </w:r>
      <w:r w:rsidR="00D434EB">
        <w:rPr>
          <w:lang w:val="en-US"/>
        </w:rPr>
        <w:t xml:space="preserve"> </w:t>
      </w:r>
      <w:r w:rsidRPr="00FB2EFB">
        <w:rPr>
          <w:lang w:val="en-US"/>
        </w:rPr>
        <w:t>Guide Questions for Central Office respondents</w:t>
      </w:r>
      <w:bookmarkEnd w:id="277"/>
      <w:bookmarkEnd w:id="278"/>
    </w:p>
    <w:p w14:paraId="141163FB" w14:textId="77777777" w:rsidR="008D0CAD" w:rsidRPr="00173FD6" w:rsidRDefault="008D0CAD" w:rsidP="00DD08E3">
      <w:pPr>
        <w:widowControl w:val="0"/>
        <w:numPr>
          <w:ilvl w:val="0"/>
          <w:numId w:val="78"/>
        </w:numPr>
        <w:spacing w:before="100" w:beforeAutospacing="1" w:after="100" w:afterAutospacing="1" w:line="360" w:lineRule="auto"/>
        <w:ind w:left="357" w:hanging="357"/>
        <w:rPr>
          <w:rFonts w:asciiTheme="majorHAnsi" w:hAnsiTheme="majorHAnsi" w:cstheme="majorHAnsi"/>
          <w:bCs/>
          <w:snapToGrid w:val="0"/>
          <w:sz w:val="22"/>
          <w:szCs w:val="22"/>
          <w:lang w:val="en-US"/>
        </w:rPr>
      </w:pPr>
      <w:r w:rsidRPr="00173FD6">
        <w:rPr>
          <w:rFonts w:asciiTheme="majorHAnsi" w:hAnsiTheme="majorHAnsi" w:cstheme="majorHAnsi"/>
          <w:bCs/>
          <w:snapToGrid w:val="0"/>
          <w:sz w:val="22"/>
          <w:szCs w:val="22"/>
          <w:lang w:val="en-US"/>
        </w:rPr>
        <w:t xml:space="preserve">Please describe the education sector challenges before the program started (5 or 6 years ago) that necessitated the interventions from BEST Program? </w:t>
      </w:r>
    </w:p>
    <w:p w14:paraId="7A3541D0" w14:textId="6047294C" w:rsidR="008D0CAD" w:rsidRPr="00173FD6" w:rsidRDefault="008D0CAD" w:rsidP="00DD08E3">
      <w:pPr>
        <w:widowControl w:val="0"/>
        <w:numPr>
          <w:ilvl w:val="0"/>
          <w:numId w:val="78"/>
        </w:numPr>
        <w:spacing w:before="100" w:beforeAutospacing="1" w:after="100" w:afterAutospacing="1" w:line="360" w:lineRule="auto"/>
        <w:ind w:left="357" w:hanging="357"/>
        <w:rPr>
          <w:rFonts w:asciiTheme="majorHAnsi" w:hAnsiTheme="majorHAnsi" w:cstheme="majorHAnsi"/>
          <w:bCs/>
          <w:snapToGrid w:val="0"/>
          <w:sz w:val="22"/>
          <w:szCs w:val="22"/>
          <w:lang w:val="en-US"/>
        </w:rPr>
      </w:pPr>
      <w:r w:rsidRPr="00173FD6">
        <w:rPr>
          <w:rFonts w:asciiTheme="majorHAnsi" w:hAnsiTheme="majorHAnsi" w:cstheme="majorHAnsi"/>
          <w:bCs/>
          <w:snapToGrid w:val="0"/>
          <w:sz w:val="22"/>
          <w:szCs w:val="22"/>
          <w:lang w:val="en-US"/>
        </w:rPr>
        <w:t>At that time, were there any other donors/programs that were responding to this development gap?</w:t>
      </w:r>
      <w:r w:rsidR="00D434EB">
        <w:rPr>
          <w:rFonts w:asciiTheme="majorHAnsi" w:hAnsiTheme="majorHAnsi" w:cstheme="majorHAnsi"/>
          <w:bCs/>
          <w:snapToGrid w:val="0"/>
          <w:sz w:val="22"/>
          <w:szCs w:val="22"/>
          <w:lang w:val="en-US"/>
        </w:rPr>
        <w:t xml:space="preserve"> </w:t>
      </w:r>
      <w:r w:rsidRPr="00173FD6">
        <w:rPr>
          <w:rFonts w:asciiTheme="majorHAnsi" w:hAnsiTheme="majorHAnsi" w:cstheme="majorHAnsi"/>
          <w:bCs/>
          <w:snapToGrid w:val="0"/>
          <w:sz w:val="22"/>
          <w:szCs w:val="22"/>
          <w:lang w:val="en-US"/>
        </w:rPr>
        <w:t>If yes, why were the interventions inadequate?</w:t>
      </w:r>
      <w:r w:rsidR="00D434EB">
        <w:rPr>
          <w:rFonts w:asciiTheme="majorHAnsi" w:hAnsiTheme="majorHAnsi" w:cstheme="majorHAnsi"/>
          <w:bCs/>
          <w:snapToGrid w:val="0"/>
          <w:sz w:val="22"/>
          <w:szCs w:val="22"/>
          <w:lang w:val="en-US"/>
        </w:rPr>
        <w:t xml:space="preserve"> </w:t>
      </w:r>
    </w:p>
    <w:p w14:paraId="682ABA27" w14:textId="482EF8A2" w:rsidR="008D0CAD" w:rsidRPr="00173FD6" w:rsidRDefault="008D0CAD" w:rsidP="00DD08E3">
      <w:pPr>
        <w:widowControl w:val="0"/>
        <w:numPr>
          <w:ilvl w:val="0"/>
          <w:numId w:val="78"/>
        </w:numPr>
        <w:spacing w:before="100" w:beforeAutospacing="1" w:after="100" w:afterAutospacing="1" w:line="360" w:lineRule="auto"/>
        <w:ind w:left="357" w:hanging="357"/>
        <w:rPr>
          <w:rFonts w:asciiTheme="majorHAnsi" w:hAnsiTheme="majorHAnsi" w:cstheme="majorHAnsi"/>
          <w:bCs/>
          <w:snapToGrid w:val="0"/>
          <w:sz w:val="22"/>
          <w:szCs w:val="22"/>
          <w:lang w:val="en-US"/>
        </w:rPr>
      </w:pPr>
      <w:r w:rsidRPr="00173FD6">
        <w:rPr>
          <w:rFonts w:asciiTheme="majorHAnsi" w:hAnsiTheme="majorHAnsi" w:cstheme="majorHAnsi"/>
          <w:bCs/>
          <w:snapToGrid w:val="0"/>
          <w:sz w:val="22"/>
          <w:szCs w:val="22"/>
          <w:lang w:val="en-US"/>
        </w:rPr>
        <w:t>What is the Learning and Development (L&amp;D) System trial all about?</w:t>
      </w:r>
      <w:r w:rsidR="00D434EB">
        <w:rPr>
          <w:rFonts w:asciiTheme="majorHAnsi" w:hAnsiTheme="majorHAnsi" w:cstheme="majorHAnsi"/>
          <w:bCs/>
          <w:snapToGrid w:val="0"/>
          <w:sz w:val="22"/>
          <w:szCs w:val="22"/>
          <w:lang w:val="en-US"/>
        </w:rPr>
        <w:t xml:space="preserve"> </w:t>
      </w:r>
    </w:p>
    <w:p w14:paraId="4A345218" w14:textId="77777777" w:rsidR="008D0CAD" w:rsidRPr="00173FD6" w:rsidRDefault="008D0CAD" w:rsidP="00DD08E3">
      <w:pPr>
        <w:widowControl w:val="0"/>
        <w:numPr>
          <w:ilvl w:val="1"/>
          <w:numId w:val="79"/>
        </w:numPr>
        <w:spacing w:before="100" w:beforeAutospacing="1" w:after="100" w:afterAutospacing="1" w:line="360" w:lineRule="auto"/>
        <w:ind w:left="850" w:hanging="425"/>
        <w:rPr>
          <w:rFonts w:asciiTheme="majorHAnsi" w:hAnsiTheme="majorHAnsi" w:cstheme="majorHAnsi"/>
          <w:bCs/>
          <w:snapToGrid w:val="0"/>
          <w:sz w:val="22"/>
          <w:szCs w:val="22"/>
          <w:lang w:val="en-US"/>
        </w:rPr>
      </w:pPr>
      <w:r w:rsidRPr="00173FD6">
        <w:rPr>
          <w:rFonts w:asciiTheme="majorHAnsi" w:hAnsiTheme="majorHAnsi" w:cstheme="majorHAnsi"/>
          <w:bCs/>
          <w:snapToGrid w:val="0"/>
          <w:sz w:val="22"/>
          <w:szCs w:val="22"/>
          <w:lang w:val="en-US"/>
        </w:rPr>
        <w:t>What are its design elements?</w:t>
      </w:r>
    </w:p>
    <w:p w14:paraId="543E3A16" w14:textId="77777777" w:rsidR="008D0CAD" w:rsidRPr="00173FD6" w:rsidRDefault="008D0CAD" w:rsidP="00DD08E3">
      <w:pPr>
        <w:widowControl w:val="0"/>
        <w:numPr>
          <w:ilvl w:val="1"/>
          <w:numId w:val="79"/>
        </w:numPr>
        <w:spacing w:before="100" w:beforeAutospacing="1" w:after="100" w:afterAutospacing="1" w:line="360" w:lineRule="auto"/>
        <w:ind w:left="850" w:hanging="425"/>
        <w:rPr>
          <w:rFonts w:asciiTheme="majorHAnsi" w:hAnsiTheme="majorHAnsi" w:cstheme="majorHAnsi"/>
          <w:bCs/>
          <w:snapToGrid w:val="0"/>
          <w:sz w:val="22"/>
          <w:szCs w:val="22"/>
          <w:lang w:val="en-US"/>
        </w:rPr>
      </w:pPr>
      <w:r w:rsidRPr="00173FD6">
        <w:rPr>
          <w:rFonts w:asciiTheme="majorHAnsi" w:hAnsiTheme="majorHAnsi" w:cstheme="majorHAnsi"/>
          <w:snapToGrid w:val="0"/>
          <w:sz w:val="22"/>
          <w:szCs w:val="22"/>
          <w:lang w:val="en-US"/>
        </w:rPr>
        <w:t xml:space="preserve">How was the program implemented? </w:t>
      </w:r>
    </w:p>
    <w:p w14:paraId="72472FE3" w14:textId="77777777" w:rsidR="008D0CAD" w:rsidRPr="00173FD6" w:rsidRDefault="008D0CAD" w:rsidP="00DD08E3">
      <w:pPr>
        <w:widowControl w:val="0"/>
        <w:numPr>
          <w:ilvl w:val="1"/>
          <w:numId w:val="79"/>
        </w:numPr>
        <w:spacing w:before="100" w:beforeAutospacing="1" w:after="100" w:afterAutospacing="1" w:line="360" w:lineRule="auto"/>
        <w:ind w:left="850" w:hanging="425"/>
        <w:rPr>
          <w:rFonts w:asciiTheme="majorHAnsi" w:hAnsiTheme="majorHAnsi" w:cstheme="majorHAnsi"/>
          <w:bCs/>
          <w:snapToGrid w:val="0"/>
          <w:sz w:val="22"/>
          <w:szCs w:val="22"/>
          <w:lang w:val="en-US"/>
        </w:rPr>
      </w:pPr>
      <w:r w:rsidRPr="00173FD6">
        <w:rPr>
          <w:rFonts w:asciiTheme="majorHAnsi" w:hAnsiTheme="majorHAnsi" w:cstheme="majorHAnsi"/>
          <w:snapToGrid w:val="0"/>
          <w:sz w:val="22"/>
          <w:szCs w:val="22"/>
          <w:lang w:val="en-US"/>
        </w:rPr>
        <w:t xml:space="preserve">What were the implementation arrangements? </w:t>
      </w:r>
    </w:p>
    <w:p w14:paraId="300505C3" w14:textId="77777777" w:rsidR="008D0CAD" w:rsidRPr="00173FD6" w:rsidRDefault="008D0CAD" w:rsidP="00DD08E3">
      <w:pPr>
        <w:widowControl w:val="0"/>
        <w:numPr>
          <w:ilvl w:val="1"/>
          <w:numId w:val="79"/>
        </w:numPr>
        <w:spacing w:before="100" w:beforeAutospacing="1" w:after="100" w:afterAutospacing="1" w:line="360" w:lineRule="auto"/>
        <w:ind w:left="850" w:hanging="425"/>
        <w:rPr>
          <w:rFonts w:asciiTheme="majorHAnsi" w:hAnsiTheme="majorHAnsi" w:cstheme="majorHAnsi"/>
          <w:bCs/>
          <w:snapToGrid w:val="0"/>
          <w:sz w:val="22"/>
          <w:szCs w:val="22"/>
          <w:lang w:val="en-US"/>
        </w:rPr>
      </w:pPr>
      <w:r w:rsidRPr="00173FD6">
        <w:rPr>
          <w:rFonts w:asciiTheme="majorHAnsi" w:hAnsiTheme="majorHAnsi" w:cstheme="majorHAnsi"/>
          <w:snapToGrid w:val="0"/>
          <w:sz w:val="22"/>
          <w:szCs w:val="22"/>
          <w:lang w:val="en-US"/>
        </w:rPr>
        <w:t>How was it monitored?</w:t>
      </w:r>
    </w:p>
    <w:p w14:paraId="4BBACBB4" w14:textId="77777777" w:rsidR="008D0CAD" w:rsidRPr="00173FD6" w:rsidRDefault="008D0CAD" w:rsidP="00DD08E3">
      <w:pPr>
        <w:widowControl w:val="0"/>
        <w:numPr>
          <w:ilvl w:val="1"/>
          <w:numId w:val="79"/>
        </w:numPr>
        <w:spacing w:before="100" w:beforeAutospacing="1" w:after="100" w:afterAutospacing="1" w:line="360" w:lineRule="auto"/>
        <w:ind w:left="851" w:hanging="425"/>
        <w:rPr>
          <w:rFonts w:asciiTheme="majorHAnsi" w:hAnsiTheme="majorHAnsi" w:cstheme="majorHAnsi"/>
          <w:bCs/>
          <w:snapToGrid w:val="0"/>
          <w:sz w:val="22"/>
          <w:szCs w:val="22"/>
          <w:lang w:val="en-US"/>
        </w:rPr>
      </w:pPr>
      <w:r w:rsidRPr="00173FD6">
        <w:rPr>
          <w:rFonts w:asciiTheme="majorHAnsi" w:hAnsiTheme="majorHAnsi" w:cstheme="majorHAnsi"/>
          <w:snapToGrid w:val="0"/>
          <w:sz w:val="22"/>
          <w:szCs w:val="22"/>
          <w:lang w:val="en-US"/>
        </w:rPr>
        <w:t>How was it reported?</w:t>
      </w:r>
    </w:p>
    <w:p w14:paraId="58258544" w14:textId="77777777" w:rsidR="008D0CAD" w:rsidRPr="00173FD6" w:rsidRDefault="008D0CAD" w:rsidP="00DD08E3">
      <w:pPr>
        <w:widowControl w:val="0"/>
        <w:numPr>
          <w:ilvl w:val="0"/>
          <w:numId w:val="79"/>
        </w:numPr>
        <w:spacing w:before="100" w:beforeAutospacing="1" w:after="100" w:afterAutospacing="1" w:line="360" w:lineRule="auto"/>
        <w:ind w:left="357" w:hanging="357"/>
        <w:rPr>
          <w:rFonts w:asciiTheme="majorHAnsi" w:hAnsiTheme="majorHAnsi" w:cstheme="majorHAnsi"/>
          <w:bCs/>
          <w:snapToGrid w:val="0"/>
          <w:sz w:val="22"/>
          <w:szCs w:val="22"/>
          <w:lang w:val="en-US"/>
        </w:rPr>
      </w:pPr>
      <w:r w:rsidRPr="00173FD6">
        <w:rPr>
          <w:rFonts w:asciiTheme="majorHAnsi" w:hAnsiTheme="majorHAnsi" w:cstheme="majorHAnsi"/>
          <w:bCs/>
          <w:snapToGrid w:val="0"/>
          <w:sz w:val="22"/>
          <w:szCs w:val="22"/>
          <w:lang w:val="en-US"/>
        </w:rPr>
        <w:t xml:space="preserve">What are the expected distinct </w:t>
      </w:r>
      <w:r w:rsidRPr="00173FD6">
        <w:rPr>
          <w:rFonts w:asciiTheme="majorHAnsi" w:hAnsiTheme="majorHAnsi" w:cstheme="majorHAnsi"/>
          <w:b/>
          <w:bCs/>
          <w:snapToGrid w:val="0"/>
          <w:sz w:val="22"/>
          <w:szCs w:val="22"/>
          <w:lang w:val="en-US"/>
        </w:rPr>
        <w:t>outputs and outcomes</w:t>
      </w:r>
      <w:r w:rsidRPr="00173FD6">
        <w:rPr>
          <w:rFonts w:asciiTheme="majorHAnsi" w:hAnsiTheme="majorHAnsi" w:cstheme="majorHAnsi"/>
          <w:bCs/>
          <w:snapToGrid w:val="0"/>
          <w:sz w:val="22"/>
          <w:szCs w:val="22"/>
          <w:lang w:val="en-US"/>
        </w:rPr>
        <w:t xml:space="preserve"> of </w:t>
      </w:r>
      <w:r w:rsidRPr="00173FD6">
        <w:rPr>
          <w:rFonts w:asciiTheme="majorHAnsi" w:hAnsiTheme="majorHAnsi" w:cstheme="majorHAnsi"/>
          <w:snapToGrid w:val="0"/>
          <w:sz w:val="22"/>
          <w:szCs w:val="22"/>
          <w:lang w:val="en-US"/>
        </w:rPr>
        <w:t>L&amp;D</w:t>
      </w:r>
      <w:r w:rsidRPr="00173FD6">
        <w:rPr>
          <w:rFonts w:asciiTheme="majorHAnsi" w:hAnsiTheme="majorHAnsi" w:cstheme="majorHAnsi"/>
          <w:bCs/>
          <w:snapToGrid w:val="0"/>
          <w:sz w:val="22"/>
          <w:szCs w:val="22"/>
          <w:lang w:val="en-US"/>
        </w:rPr>
        <w:t xml:space="preserve">? </w:t>
      </w:r>
    </w:p>
    <w:p w14:paraId="3276697B" w14:textId="77777777" w:rsidR="008D0CAD" w:rsidRPr="00173FD6" w:rsidRDefault="008D0CAD" w:rsidP="00DD08E3">
      <w:pPr>
        <w:widowControl w:val="0"/>
        <w:numPr>
          <w:ilvl w:val="1"/>
          <w:numId w:val="79"/>
        </w:numPr>
        <w:spacing w:before="100" w:beforeAutospacing="1" w:after="100" w:afterAutospacing="1" w:line="360" w:lineRule="auto"/>
        <w:ind w:left="851" w:hanging="425"/>
        <w:rPr>
          <w:rFonts w:asciiTheme="majorHAnsi" w:hAnsiTheme="majorHAnsi" w:cstheme="majorHAnsi"/>
          <w:snapToGrid w:val="0"/>
          <w:sz w:val="22"/>
          <w:szCs w:val="22"/>
          <w:lang w:val="en-US"/>
        </w:rPr>
      </w:pPr>
      <w:r w:rsidRPr="00173FD6">
        <w:rPr>
          <w:rFonts w:asciiTheme="majorHAnsi" w:hAnsiTheme="majorHAnsi" w:cstheme="majorHAnsi"/>
          <w:bCs/>
          <w:snapToGrid w:val="0"/>
          <w:sz w:val="22"/>
          <w:szCs w:val="22"/>
          <w:lang w:val="en-US"/>
        </w:rPr>
        <w:t xml:space="preserve">What were its targets? What are its accomplishments? </w:t>
      </w:r>
    </w:p>
    <w:p w14:paraId="03B95D1E" w14:textId="77777777" w:rsidR="008D0CAD" w:rsidRPr="00173FD6" w:rsidRDefault="008D0CAD" w:rsidP="00DD08E3">
      <w:pPr>
        <w:widowControl w:val="0"/>
        <w:numPr>
          <w:ilvl w:val="1"/>
          <w:numId w:val="79"/>
        </w:numPr>
        <w:spacing w:before="100" w:beforeAutospacing="1" w:after="100" w:afterAutospacing="1" w:line="360" w:lineRule="auto"/>
        <w:ind w:left="851" w:hanging="425"/>
        <w:rPr>
          <w:rFonts w:asciiTheme="majorHAnsi" w:hAnsiTheme="majorHAnsi" w:cstheme="majorHAnsi"/>
          <w:snapToGrid w:val="0"/>
          <w:sz w:val="22"/>
          <w:szCs w:val="22"/>
          <w:lang w:val="en-US"/>
        </w:rPr>
      </w:pPr>
      <w:r w:rsidRPr="00173FD6">
        <w:rPr>
          <w:rFonts w:asciiTheme="majorHAnsi" w:hAnsiTheme="majorHAnsi" w:cstheme="majorHAnsi"/>
          <w:bCs/>
          <w:snapToGrid w:val="0"/>
          <w:sz w:val="22"/>
          <w:szCs w:val="22"/>
          <w:lang w:val="en-US"/>
        </w:rPr>
        <w:t xml:space="preserve">Were any of these outputs a continuation of previous foreign-funded projects? </w:t>
      </w:r>
    </w:p>
    <w:p w14:paraId="2704E308" w14:textId="4B5A35A3" w:rsidR="008D0CAD" w:rsidRPr="005902F7" w:rsidRDefault="008D0CAD" w:rsidP="00DD08E3">
      <w:pPr>
        <w:widowControl w:val="0"/>
        <w:numPr>
          <w:ilvl w:val="1"/>
          <w:numId w:val="79"/>
        </w:numPr>
        <w:spacing w:before="100" w:beforeAutospacing="1" w:after="100" w:afterAutospacing="1" w:line="360" w:lineRule="auto"/>
        <w:ind w:left="851" w:hanging="425"/>
        <w:rPr>
          <w:rFonts w:asciiTheme="majorHAnsi" w:hAnsiTheme="majorHAnsi" w:cstheme="majorHAnsi"/>
          <w:snapToGrid w:val="0"/>
          <w:sz w:val="22"/>
          <w:szCs w:val="22"/>
          <w:lang w:val="en-US"/>
        </w:rPr>
      </w:pPr>
      <w:r w:rsidRPr="00173FD6">
        <w:rPr>
          <w:rFonts w:asciiTheme="majorHAnsi" w:hAnsiTheme="majorHAnsi" w:cstheme="majorHAnsi"/>
          <w:snapToGrid w:val="0"/>
          <w:sz w:val="22"/>
          <w:szCs w:val="22"/>
          <w:lang w:val="en-US"/>
        </w:rPr>
        <w:t>Can you please give a brief description of each of the outputs and outcomes of L&amp;D System?</w:t>
      </w:r>
    </w:p>
    <w:p w14:paraId="018672F7" w14:textId="77777777" w:rsidR="008D0CAD" w:rsidRPr="00173FD6" w:rsidRDefault="008D0CAD" w:rsidP="00DD08E3">
      <w:pPr>
        <w:widowControl w:val="0"/>
        <w:numPr>
          <w:ilvl w:val="0"/>
          <w:numId w:val="79"/>
        </w:numPr>
        <w:spacing w:before="100" w:beforeAutospacing="1" w:after="100" w:afterAutospacing="1" w:line="360" w:lineRule="auto"/>
        <w:ind w:left="357" w:hanging="357"/>
        <w:rPr>
          <w:rFonts w:asciiTheme="majorHAnsi" w:hAnsiTheme="majorHAnsi" w:cstheme="majorHAnsi"/>
          <w:snapToGrid w:val="0"/>
          <w:sz w:val="22"/>
          <w:szCs w:val="22"/>
          <w:lang w:val="en-US"/>
        </w:rPr>
      </w:pPr>
      <w:r w:rsidRPr="00173FD6">
        <w:rPr>
          <w:rFonts w:asciiTheme="majorHAnsi" w:hAnsiTheme="majorHAnsi" w:cstheme="majorHAnsi"/>
          <w:snapToGrid w:val="0"/>
          <w:sz w:val="22"/>
          <w:szCs w:val="22"/>
          <w:lang w:val="en-US"/>
        </w:rPr>
        <w:t>Please describe how BEST contributed to the formulation and issuance of the following policies:</w:t>
      </w:r>
    </w:p>
    <w:p w14:paraId="1DF52508" w14:textId="77777777" w:rsidR="008D0CAD" w:rsidRPr="00173FD6" w:rsidRDefault="008D0CAD" w:rsidP="00DD08E3">
      <w:pPr>
        <w:numPr>
          <w:ilvl w:val="0"/>
          <w:numId w:val="77"/>
        </w:numPr>
        <w:spacing w:before="100" w:beforeAutospacing="1" w:after="100" w:afterAutospacing="1" w:line="360" w:lineRule="auto"/>
        <w:contextualSpacing/>
        <w:rPr>
          <w:rFonts w:asciiTheme="majorHAnsi" w:hAnsiTheme="majorHAnsi" w:cstheme="majorHAnsi"/>
          <w:snapToGrid w:val="0"/>
          <w:sz w:val="22"/>
          <w:szCs w:val="22"/>
          <w:lang w:val="en-US"/>
        </w:rPr>
      </w:pPr>
      <w:r w:rsidRPr="00173FD6">
        <w:rPr>
          <w:rFonts w:asciiTheme="majorHAnsi" w:hAnsiTheme="majorHAnsi" w:cstheme="majorHAnsi"/>
          <w:snapToGrid w:val="0"/>
          <w:sz w:val="22"/>
          <w:szCs w:val="22"/>
          <w:lang w:val="en-US"/>
        </w:rPr>
        <w:t>BEST Supported Policies on L&amp;D System:</w:t>
      </w:r>
    </w:p>
    <w:p w14:paraId="609A5954" w14:textId="77777777" w:rsidR="008D0CAD" w:rsidRPr="00173FD6" w:rsidRDefault="008D0CAD" w:rsidP="00DD08E3">
      <w:pPr>
        <w:numPr>
          <w:ilvl w:val="0"/>
          <w:numId w:val="76"/>
        </w:numPr>
        <w:spacing w:before="100" w:beforeAutospacing="1" w:after="100" w:afterAutospacing="1" w:line="360" w:lineRule="auto"/>
        <w:contextualSpacing/>
        <w:rPr>
          <w:rFonts w:asciiTheme="majorHAnsi" w:hAnsiTheme="majorHAnsi" w:cstheme="majorHAnsi"/>
          <w:snapToGrid w:val="0"/>
          <w:sz w:val="22"/>
          <w:szCs w:val="22"/>
          <w:lang w:val="en-US"/>
        </w:rPr>
      </w:pPr>
      <w:r w:rsidRPr="00173FD6">
        <w:rPr>
          <w:rFonts w:asciiTheme="majorHAnsi" w:hAnsiTheme="majorHAnsi" w:cstheme="majorHAnsi"/>
          <w:snapToGrid w:val="0"/>
          <w:sz w:val="22"/>
          <w:szCs w:val="22"/>
          <w:lang w:val="en-US"/>
        </w:rPr>
        <w:t>DO No. 35, s. 2016 on “The Learning Action Cell as a K to 12 Basic Education Program School-Based Continuing professional Development Strategy for the Improvement of Teaching and Learning”</w:t>
      </w:r>
    </w:p>
    <w:p w14:paraId="1C61E46A" w14:textId="77777777" w:rsidR="008D0CAD" w:rsidRPr="00173FD6" w:rsidRDefault="008D0CAD" w:rsidP="00DD08E3">
      <w:pPr>
        <w:numPr>
          <w:ilvl w:val="0"/>
          <w:numId w:val="76"/>
        </w:numPr>
        <w:spacing w:before="100" w:beforeAutospacing="1" w:after="100" w:afterAutospacing="1" w:line="360" w:lineRule="auto"/>
        <w:contextualSpacing/>
        <w:rPr>
          <w:rFonts w:asciiTheme="majorHAnsi" w:hAnsiTheme="majorHAnsi" w:cstheme="majorHAnsi"/>
          <w:snapToGrid w:val="0"/>
          <w:sz w:val="22"/>
          <w:szCs w:val="22"/>
          <w:lang w:val="en-US"/>
        </w:rPr>
      </w:pPr>
      <w:r w:rsidRPr="00173FD6">
        <w:rPr>
          <w:rFonts w:asciiTheme="majorHAnsi" w:hAnsiTheme="majorHAnsi" w:cstheme="majorHAnsi"/>
          <w:snapToGrid w:val="0"/>
          <w:sz w:val="22"/>
          <w:szCs w:val="22"/>
          <w:lang w:val="en-US"/>
        </w:rPr>
        <w:t>DO No. 55, s. 2015 on the “Utilisation of Language Mapping Data for Mother Tongue-Based Multilingual Education (MTB-MLE) Program Implementation”</w:t>
      </w:r>
    </w:p>
    <w:p w14:paraId="72848016" w14:textId="77777777" w:rsidR="008D0CAD" w:rsidRPr="00173FD6" w:rsidRDefault="008D0CAD" w:rsidP="00DD08E3">
      <w:pPr>
        <w:numPr>
          <w:ilvl w:val="0"/>
          <w:numId w:val="76"/>
        </w:numPr>
        <w:spacing w:before="100" w:beforeAutospacing="1" w:after="100" w:afterAutospacing="1" w:line="360" w:lineRule="auto"/>
        <w:contextualSpacing/>
        <w:rPr>
          <w:rFonts w:asciiTheme="majorHAnsi" w:hAnsiTheme="majorHAnsi" w:cstheme="majorHAnsi"/>
          <w:snapToGrid w:val="0"/>
          <w:sz w:val="22"/>
          <w:szCs w:val="22"/>
          <w:lang w:val="en-US"/>
        </w:rPr>
      </w:pPr>
      <w:r w:rsidRPr="00173FD6">
        <w:rPr>
          <w:rFonts w:asciiTheme="majorHAnsi" w:hAnsiTheme="majorHAnsi" w:cstheme="majorHAnsi"/>
          <w:snapToGrid w:val="0"/>
          <w:sz w:val="22"/>
          <w:szCs w:val="22"/>
          <w:lang w:val="en-US"/>
        </w:rPr>
        <w:t>DO No. 39, s. 2016 on the “Adoption of the Basic Education Research Agenda”</w:t>
      </w:r>
    </w:p>
    <w:p w14:paraId="1432D58F" w14:textId="6B445812" w:rsidR="008D0CAD" w:rsidRPr="005902F7" w:rsidRDefault="008D0CAD" w:rsidP="00DD08E3">
      <w:pPr>
        <w:numPr>
          <w:ilvl w:val="0"/>
          <w:numId w:val="76"/>
        </w:numPr>
        <w:spacing w:before="100" w:beforeAutospacing="1" w:after="100" w:afterAutospacing="1" w:line="360" w:lineRule="auto"/>
        <w:contextualSpacing/>
        <w:rPr>
          <w:rFonts w:asciiTheme="majorHAnsi" w:hAnsiTheme="majorHAnsi" w:cstheme="majorHAnsi"/>
          <w:snapToGrid w:val="0"/>
          <w:sz w:val="22"/>
          <w:szCs w:val="22"/>
          <w:lang w:val="en-US"/>
        </w:rPr>
      </w:pPr>
      <w:r w:rsidRPr="00173FD6">
        <w:rPr>
          <w:rFonts w:asciiTheme="majorHAnsi" w:hAnsiTheme="majorHAnsi" w:cstheme="majorHAnsi"/>
          <w:snapToGrid w:val="0"/>
          <w:sz w:val="22"/>
          <w:szCs w:val="22"/>
          <w:lang w:val="en-US"/>
        </w:rPr>
        <w:t>DO No. 47, s. 2016 on the “Omnibus Policy on Kindergarten Education”</w:t>
      </w:r>
    </w:p>
    <w:p w14:paraId="7D377935" w14:textId="77777777" w:rsidR="008D0CAD" w:rsidRPr="00173FD6" w:rsidRDefault="008D0CAD" w:rsidP="00DD08E3">
      <w:pPr>
        <w:widowControl w:val="0"/>
        <w:numPr>
          <w:ilvl w:val="0"/>
          <w:numId w:val="79"/>
        </w:numPr>
        <w:spacing w:before="100" w:beforeAutospacing="1" w:after="100" w:afterAutospacing="1" w:line="360" w:lineRule="auto"/>
        <w:ind w:left="357" w:hanging="357"/>
        <w:rPr>
          <w:rFonts w:asciiTheme="majorHAnsi" w:hAnsiTheme="majorHAnsi" w:cstheme="majorHAnsi"/>
          <w:snapToGrid w:val="0"/>
          <w:sz w:val="22"/>
          <w:szCs w:val="22"/>
          <w:lang w:val="en-US"/>
        </w:rPr>
      </w:pPr>
      <w:r w:rsidRPr="00173FD6">
        <w:rPr>
          <w:rFonts w:asciiTheme="majorHAnsi" w:hAnsiTheme="majorHAnsi" w:cstheme="majorHAnsi"/>
          <w:snapToGrid w:val="0"/>
          <w:sz w:val="22"/>
          <w:szCs w:val="22"/>
          <w:lang w:val="en-US"/>
        </w:rPr>
        <w:t>How do you</w:t>
      </w:r>
      <w:r w:rsidRPr="00173FD6">
        <w:rPr>
          <w:rFonts w:asciiTheme="majorHAnsi" w:hAnsiTheme="majorHAnsi" w:cstheme="majorHAnsi"/>
          <w:bCs/>
          <w:snapToGrid w:val="0"/>
          <w:sz w:val="22"/>
          <w:szCs w:val="22"/>
          <w:lang w:val="en-US"/>
        </w:rPr>
        <w:t xml:space="preserve"> </w:t>
      </w:r>
      <w:r w:rsidRPr="00173FD6">
        <w:rPr>
          <w:rFonts w:asciiTheme="majorHAnsi" w:hAnsiTheme="majorHAnsi" w:cstheme="majorHAnsi"/>
          <w:snapToGrid w:val="0"/>
          <w:sz w:val="22"/>
          <w:szCs w:val="22"/>
          <w:lang w:val="en-US"/>
        </w:rPr>
        <w:t>measure the success of L&amp;D System</w:t>
      </w:r>
      <w:r w:rsidRPr="00173FD6">
        <w:rPr>
          <w:rFonts w:asciiTheme="majorHAnsi" w:hAnsiTheme="majorHAnsi" w:cstheme="majorHAnsi"/>
          <w:bCs/>
          <w:snapToGrid w:val="0"/>
          <w:sz w:val="22"/>
          <w:szCs w:val="22"/>
          <w:lang w:val="en-US"/>
        </w:rPr>
        <w:t xml:space="preserve"> interventions</w:t>
      </w:r>
      <w:r w:rsidRPr="00173FD6">
        <w:rPr>
          <w:rFonts w:asciiTheme="majorHAnsi" w:hAnsiTheme="majorHAnsi" w:cstheme="majorHAnsi"/>
          <w:snapToGrid w:val="0"/>
          <w:sz w:val="22"/>
          <w:szCs w:val="22"/>
          <w:lang w:val="en-US"/>
        </w:rPr>
        <w:t xml:space="preserve">? </w:t>
      </w:r>
    </w:p>
    <w:p w14:paraId="5431D12D" w14:textId="4D053C96" w:rsidR="008D0CAD" w:rsidRPr="00173FD6" w:rsidRDefault="008D0CAD" w:rsidP="00DD08E3">
      <w:pPr>
        <w:widowControl w:val="0"/>
        <w:numPr>
          <w:ilvl w:val="1"/>
          <w:numId w:val="79"/>
        </w:numPr>
        <w:spacing w:before="100" w:beforeAutospacing="1" w:after="100" w:afterAutospacing="1" w:line="360" w:lineRule="auto"/>
        <w:ind w:left="851" w:hanging="425"/>
        <w:rPr>
          <w:rFonts w:asciiTheme="majorHAnsi" w:hAnsiTheme="majorHAnsi" w:cstheme="majorHAnsi"/>
          <w:snapToGrid w:val="0"/>
          <w:sz w:val="22"/>
          <w:szCs w:val="22"/>
          <w:lang w:val="en-US"/>
        </w:rPr>
      </w:pPr>
      <w:r w:rsidRPr="00173FD6">
        <w:rPr>
          <w:rFonts w:asciiTheme="majorHAnsi" w:hAnsiTheme="majorHAnsi" w:cstheme="majorHAnsi"/>
          <w:snapToGrid w:val="0"/>
          <w:sz w:val="22"/>
          <w:szCs w:val="22"/>
          <w:lang w:val="en-US"/>
        </w:rPr>
        <w:t>What are its performance indicators?</w:t>
      </w:r>
      <w:r w:rsidR="00D434EB">
        <w:rPr>
          <w:rFonts w:asciiTheme="majorHAnsi" w:hAnsiTheme="majorHAnsi" w:cstheme="majorHAnsi"/>
          <w:snapToGrid w:val="0"/>
          <w:sz w:val="22"/>
          <w:szCs w:val="22"/>
          <w:lang w:val="en-US"/>
        </w:rPr>
        <w:t xml:space="preserve"> </w:t>
      </w:r>
    </w:p>
    <w:p w14:paraId="16328CFB" w14:textId="77777777" w:rsidR="008D0CAD" w:rsidRPr="00173FD6" w:rsidRDefault="008D0CAD" w:rsidP="00DD08E3">
      <w:pPr>
        <w:widowControl w:val="0"/>
        <w:numPr>
          <w:ilvl w:val="1"/>
          <w:numId w:val="79"/>
        </w:numPr>
        <w:spacing w:before="100" w:beforeAutospacing="1" w:after="100" w:afterAutospacing="1" w:line="360" w:lineRule="auto"/>
        <w:ind w:left="851" w:hanging="425"/>
        <w:rPr>
          <w:rFonts w:asciiTheme="majorHAnsi" w:hAnsiTheme="majorHAnsi" w:cstheme="majorHAnsi"/>
          <w:snapToGrid w:val="0"/>
          <w:sz w:val="22"/>
          <w:szCs w:val="22"/>
          <w:lang w:val="en-US"/>
        </w:rPr>
      </w:pPr>
      <w:r w:rsidRPr="00173FD6">
        <w:rPr>
          <w:rFonts w:asciiTheme="majorHAnsi" w:hAnsiTheme="majorHAnsi" w:cstheme="majorHAnsi"/>
          <w:snapToGrid w:val="0"/>
          <w:sz w:val="22"/>
          <w:szCs w:val="22"/>
          <w:lang w:val="en-US"/>
        </w:rPr>
        <w:t>How do you know that capacity of DEPED in L&amp;D has increased overtime?</w:t>
      </w:r>
    </w:p>
    <w:p w14:paraId="2C5746A9" w14:textId="77777777" w:rsidR="008D0CAD" w:rsidRPr="00173FD6" w:rsidRDefault="008D0CAD" w:rsidP="00DD08E3">
      <w:pPr>
        <w:widowControl w:val="0"/>
        <w:numPr>
          <w:ilvl w:val="1"/>
          <w:numId w:val="79"/>
        </w:numPr>
        <w:spacing w:before="100" w:beforeAutospacing="1" w:after="100" w:afterAutospacing="1" w:line="360" w:lineRule="auto"/>
        <w:ind w:left="851" w:hanging="425"/>
        <w:rPr>
          <w:rFonts w:asciiTheme="majorHAnsi" w:hAnsiTheme="majorHAnsi" w:cstheme="majorHAnsi"/>
          <w:snapToGrid w:val="0"/>
          <w:sz w:val="22"/>
          <w:szCs w:val="22"/>
          <w:lang w:val="en-US"/>
        </w:rPr>
      </w:pPr>
      <w:r w:rsidRPr="00173FD6">
        <w:rPr>
          <w:rFonts w:asciiTheme="majorHAnsi" w:hAnsiTheme="majorHAnsi" w:cstheme="majorHAnsi"/>
          <w:snapToGrid w:val="0"/>
          <w:sz w:val="22"/>
          <w:szCs w:val="22"/>
          <w:lang w:val="en-US"/>
        </w:rPr>
        <w:t>Do you have baseline data prior to the start of the interventions?</w:t>
      </w:r>
    </w:p>
    <w:p w14:paraId="2B3E9431" w14:textId="77777777" w:rsidR="008D0CAD" w:rsidRPr="00173FD6" w:rsidRDefault="008D0CAD" w:rsidP="00DD08E3">
      <w:pPr>
        <w:widowControl w:val="0"/>
        <w:numPr>
          <w:ilvl w:val="0"/>
          <w:numId w:val="79"/>
        </w:numPr>
        <w:spacing w:before="100" w:beforeAutospacing="1" w:after="100" w:afterAutospacing="1" w:line="360" w:lineRule="auto"/>
        <w:ind w:left="357" w:hanging="357"/>
        <w:rPr>
          <w:rFonts w:asciiTheme="majorHAnsi" w:hAnsiTheme="majorHAnsi" w:cstheme="majorHAnsi"/>
          <w:snapToGrid w:val="0"/>
          <w:sz w:val="22"/>
          <w:szCs w:val="22"/>
          <w:lang w:val="en-US"/>
        </w:rPr>
      </w:pPr>
      <w:r w:rsidRPr="00173FD6">
        <w:rPr>
          <w:rFonts w:asciiTheme="majorHAnsi" w:hAnsiTheme="majorHAnsi" w:cstheme="majorHAnsi"/>
          <w:snapToGrid w:val="0"/>
          <w:sz w:val="22"/>
          <w:szCs w:val="22"/>
          <w:lang w:val="en-US"/>
        </w:rPr>
        <w:t>How did the lessons from L&amp;D implementation</w:t>
      </w:r>
      <w:r w:rsidRPr="00173FD6">
        <w:rPr>
          <w:rFonts w:asciiTheme="majorHAnsi" w:hAnsiTheme="majorHAnsi" w:cstheme="majorHAnsi"/>
          <w:bCs/>
          <w:snapToGrid w:val="0"/>
          <w:sz w:val="22"/>
          <w:szCs w:val="22"/>
          <w:lang w:val="en-US"/>
        </w:rPr>
        <w:t xml:space="preserve"> </w:t>
      </w:r>
      <w:r w:rsidRPr="00173FD6">
        <w:rPr>
          <w:rFonts w:asciiTheme="majorHAnsi" w:hAnsiTheme="majorHAnsi" w:cstheme="majorHAnsi"/>
          <w:snapToGrid w:val="0"/>
          <w:sz w:val="22"/>
          <w:szCs w:val="22"/>
          <w:lang w:val="en-US"/>
        </w:rPr>
        <w:t xml:space="preserve">inform policy and practice of DEPED? Please cite specific examples. </w:t>
      </w:r>
    </w:p>
    <w:p w14:paraId="1AC7EAA1" w14:textId="77777777" w:rsidR="008D0CAD" w:rsidRPr="00173FD6" w:rsidRDefault="008D0CAD" w:rsidP="00DD08E3">
      <w:pPr>
        <w:widowControl w:val="0"/>
        <w:numPr>
          <w:ilvl w:val="1"/>
          <w:numId w:val="79"/>
        </w:numPr>
        <w:spacing w:before="100" w:beforeAutospacing="1" w:after="100" w:afterAutospacing="1" w:line="360" w:lineRule="auto"/>
        <w:ind w:left="851" w:hanging="425"/>
        <w:rPr>
          <w:rFonts w:asciiTheme="majorHAnsi" w:hAnsiTheme="majorHAnsi" w:cstheme="majorHAnsi"/>
          <w:snapToGrid w:val="0"/>
          <w:sz w:val="22"/>
          <w:szCs w:val="22"/>
          <w:lang w:val="en-US"/>
        </w:rPr>
      </w:pPr>
      <w:r w:rsidRPr="00173FD6">
        <w:rPr>
          <w:rFonts w:asciiTheme="majorHAnsi" w:hAnsiTheme="majorHAnsi" w:cstheme="majorHAnsi"/>
          <w:snapToGrid w:val="0"/>
          <w:sz w:val="22"/>
          <w:szCs w:val="22"/>
          <w:lang w:val="en-US"/>
        </w:rPr>
        <w:t>Were there research studies undertaken that fed into policy? Please cite examples.</w:t>
      </w:r>
    </w:p>
    <w:p w14:paraId="0280D944" w14:textId="77777777" w:rsidR="008D0CAD" w:rsidRPr="00173FD6" w:rsidRDefault="008D0CAD" w:rsidP="00DD08E3">
      <w:pPr>
        <w:widowControl w:val="0"/>
        <w:numPr>
          <w:ilvl w:val="1"/>
          <w:numId w:val="79"/>
        </w:numPr>
        <w:spacing w:before="100" w:beforeAutospacing="1" w:after="100" w:afterAutospacing="1" w:line="360" w:lineRule="auto"/>
        <w:ind w:left="851" w:hanging="425"/>
        <w:rPr>
          <w:rFonts w:asciiTheme="majorHAnsi" w:hAnsiTheme="majorHAnsi" w:cstheme="majorHAnsi"/>
          <w:snapToGrid w:val="0"/>
          <w:sz w:val="22"/>
          <w:szCs w:val="22"/>
          <w:lang w:val="en-US"/>
        </w:rPr>
      </w:pPr>
      <w:r w:rsidRPr="00173FD6">
        <w:rPr>
          <w:rFonts w:asciiTheme="majorHAnsi" w:hAnsiTheme="majorHAnsi" w:cstheme="majorHAnsi"/>
          <w:snapToGrid w:val="0"/>
          <w:sz w:val="22"/>
          <w:szCs w:val="22"/>
          <w:lang w:val="en-US"/>
        </w:rPr>
        <w:t>Would the policies on L&amp;D System have been realised without the assistance of BEST Program? Why or why not?</w:t>
      </w:r>
    </w:p>
    <w:p w14:paraId="241BB0B7" w14:textId="77777777" w:rsidR="008D0CAD" w:rsidRPr="00173FD6" w:rsidRDefault="008D0CAD" w:rsidP="00DD08E3">
      <w:pPr>
        <w:widowControl w:val="0"/>
        <w:numPr>
          <w:ilvl w:val="0"/>
          <w:numId w:val="79"/>
        </w:numPr>
        <w:spacing w:before="100" w:beforeAutospacing="1" w:after="100" w:afterAutospacing="1" w:line="360" w:lineRule="auto"/>
        <w:ind w:left="357" w:hanging="357"/>
        <w:rPr>
          <w:rFonts w:asciiTheme="majorHAnsi" w:hAnsiTheme="majorHAnsi" w:cstheme="majorHAnsi"/>
          <w:snapToGrid w:val="0"/>
          <w:sz w:val="22"/>
          <w:szCs w:val="22"/>
          <w:lang w:val="en-US"/>
        </w:rPr>
      </w:pPr>
      <w:r w:rsidRPr="00173FD6">
        <w:rPr>
          <w:rFonts w:asciiTheme="majorHAnsi" w:hAnsiTheme="majorHAnsi" w:cstheme="majorHAnsi"/>
          <w:snapToGrid w:val="0"/>
          <w:sz w:val="22"/>
          <w:szCs w:val="22"/>
          <w:lang w:val="en-US"/>
        </w:rPr>
        <w:t xml:space="preserve">How was L&amp;D System activities </w:t>
      </w:r>
      <w:r w:rsidRPr="00173FD6">
        <w:rPr>
          <w:rFonts w:asciiTheme="majorHAnsi" w:hAnsiTheme="majorHAnsi" w:cstheme="majorHAnsi"/>
          <w:b/>
          <w:snapToGrid w:val="0"/>
          <w:sz w:val="22"/>
          <w:szCs w:val="22"/>
          <w:lang w:val="en-US"/>
        </w:rPr>
        <w:t>linked</w:t>
      </w:r>
      <w:r w:rsidRPr="00173FD6">
        <w:rPr>
          <w:rFonts w:asciiTheme="majorHAnsi" w:hAnsiTheme="majorHAnsi" w:cstheme="majorHAnsi"/>
          <w:snapToGrid w:val="0"/>
          <w:sz w:val="22"/>
          <w:szCs w:val="22"/>
          <w:lang w:val="en-US"/>
        </w:rPr>
        <w:t xml:space="preserve"> to the other components of the BEST Program, e.g. L&amp;D, SBM? </w:t>
      </w:r>
    </w:p>
    <w:p w14:paraId="555719FF" w14:textId="5CF2293F" w:rsidR="008D0CAD" w:rsidRPr="00173FD6" w:rsidRDefault="008D0CAD" w:rsidP="00DD08E3">
      <w:pPr>
        <w:widowControl w:val="0"/>
        <w:numPr>
          <w:ilvl w:val="1"/>
          <w:numId w:val="79"/>
        </w:numPr>
        <w:spacing w:before="100" w:beforeAutospacing="1" w:after="100" w:afterAutospacing="1" w:line="360" w:lineRule="auto"/>
        <w:ind w:left="851" w:hanging="425"/>
        <w:rPr>
          <w:rFonts w:asciiTheme="majorHAnsi" w:hAnsiTheme="majorHAnsi" w:cstheme="majorHAnsi"/>
          <w:snapToGrid w:val="0"/>
          <w:sz w:val="22"/>
          <w:szCs w:val="22"/>
          <w:lang w:val="en-US"/>
        </w:rPr>
      </w:pPr>
      <w:r w:rsidRPr="00173FD6">
        <w:rPr>
          <w:rFonts w:asciiTheme="majorHAnsi" w:hAnsiTheme="majorHAnsi" w:cstheme="majorHAnsi"/>
          <w:snapToGrid w:val="0"/>
          <w:sz w:val="22"/>
          <w:szCs w:val="22"/>
          <w:lang w:val="en-US"/>
        </w:rPr>
        <w:t>Are there planned activities that will not be completed?</w:t>
      </w:r>
      <w:r w:rsidR="00D434EB">
        <w:rPr>
          <w:rFonts w:asciiTheme="majorHAnsi" w:hAnsiTheme="majorHAnsi" w:cstheme="majorHAnsi"/>
          <w:snapToGrid w:val="0"/>
          <w:sz w:val="22"/>
          <w:szCs w:val="22"/>
          <w:lang w:val="en-US"/>
        </w:rPr>
        <w:t xml:space="preserve"> </w:t>
      </w:r>
      <w:r w:rsidRPr="00173FD6">
        <w:rPr>
          <w:rFonts w:asciiTheme="majorHAnsi" w:hAnsiTheme="majorHAnsi" w:cstheme="majorHAnsi"/>
          <w:snapToGrid w:val="0"/>
          <w:sz w:val="22"/>
          <w:szCs w:val="22"/>
          <w:lang w:val="en-US"/>
        </w:rPr>
        <w:t>What would happen to these activities?</w:t>
      </w:r>
    </w:p>
    <w:p w14:paraId="098D415A" w14:textId="51253F29" w:rsidR="008D0CAD" w:rsidRPr="00173FD6" w:rsidRDefault="008D0CAD" w:rsidP="00DD08E3">
      <w:pPr>
        <w:widowControl w:val="0"/>
        <w:numPr>
          <w:ilvl w:val="0"/>
          <w:numId w:val="79"/>
        </w:numPr>
        <w:spacing w:before="100" w:beforeAutospacing="1" w:after="100" w:afterAutospacing="1" w:line="360" w:lineRule="auto"/>
        <w:ind w:left="357" w:hanging="357"/>
        <w:rPr>
          <w:rFonts w:asciiTheme="majorHAnsi" w:hAnsiTheme="majorHAnsi" w:cstheme="majorHAnsi"/>
          <w:snapToGrid w:val="0"/>
          <w:sz w:val="22"/>
          <w:szCs w:val="22"/>
          <w:lang w:val="en-US"/>
        </w:rPr>
      </w:pPr>
      <w:r w:rsidRPr="00173FD6">
        <w:rPr>
          <w:rFonts w:asciiTheme="majorHAnsi" w:hAnsiTheme="majorHAnsi" w:cstheme="majorHAnsi"/>
          <w:bCs/>
          <w:snapToGrid w:val="0"/>
          <w:sz w:val="22"/>
          <w:szCs w:val="22"/>
          <w:lang w:val="en-US"/>
        </w:rPr>
        <w:t xml:space="preserve">What were the </w:t>
      </w:r>
      <w:r w:rsidRPr="00173FD6">
        <w:rPr>
          <w:rFonts w:asciiTheme="majorHAnsi" w:eastAsiaTheme="minorEastAsia" w:hAnsiTheme="majorHAnsi" w:cstheme="majorHAnsi"/>
          <w:snapToGrid w:val="0"/>
          <w:color w:val="000000" w:themeColor="text1"/>
          <w:sz w:val="22"/>
          <w:szCs w:val="22"/>
        </w:rPr>
        <w:t>hindering and facilitating factors encountered during the implementation of this specific component of the BEST Program</w:t>
      </w:r>
      <w:r w:rsidRPr="00173FD6">
        <w:rPr>
          <w:rFonts w:asciiTheme="majorHAnsi" w:hAnsiTheme="majorHAnsi" w:cstheme="majorHAnsi"/>
          <w:bCs/>
          <w:snapToGrid w:val="0"/>
          <w:sz w:val="22"/>
          <w:szCs w:val="22"/>
          <w:lang w:val="en-US"/>
        </w:rPr>
        <w:t>?</w:t>
      </w:r>
      <w:r w:rsidR="00D434EB">
        <w:rPr>
          <w:rFonts w:asciiTheme="majorHAnsi" w:hAnsiTheme="majorHAnsi" w:cstheme="majorHAnsi"/>
          <w:bCs/>
          <w:snapToGrid w:val="0"/>
          <w:sz w:val="22"/>
          <w:szCs w:val="22"/>
          <w:lang w:val="en-US"/>
        </w:rPr>
        <w:t xml:space="preserve"> </w:t>
      </w:r>
      <w:r w:rsidRPr="00173FD6">
        <w:rPr>
          <w:rFonts w:asciiTheme="majorHAnsi" w:hAnsiTheme="majorHAnsi" w:cstheme="majorHAnsi"/>
          <w:bCs/>
          <w:snapToGrid w:val="0"/>
          <w:sz w:val="22"/>
          <w:szCs w:val="22"/>
          <w:lang w:val="en-US"/>
        </w:rPr>
        <w:t>Identify specific examples.</w:t>
      </w:r>
    </w:p>
    <w:p w14:paraId="0B10DAE3" w14:textId="77777777" w:rsidR="008D0CAD" w:rsidRPr="00173FD6" w:rsidRDefault="008D0CAD" w:rsidP="00DD08E3">
      <w:pPr>
        <w:widowControl w:val="0"/>
        <w:numPr>
          <w:ilvl w:val="0"/>
          <w:numId w:val="79"/>
        </w:numPr>
        <w:spacing w:before="100" w:beforeAutospacing="1" w:after="100" w:afterAutospacing="1" w:line="360" w:lineRule="auto"/>
        <w:ind w:left="357" w:hanging="357"/>
        <w:rPr>
          <w:rFonts w:asciiTheme="majorHAnsi" w:hAnsiTheme="majorHAnsi" w:cstheme="majorHAnsi"/>
          <w:snapToGrid w:val="0"/>
          <w:color w:val="000000" w:themeColor="text1"/>
          <w:sz w:val="22"/>
          <w:szCs w:val="22"/>
          <w:lang w:val="en-US"/>
        </w:rPr>
      </w:pPr>
      <w:r w:rsidRPr="00173FD6">
        <w:rPr>
          <w:rFonts w:asciiTheme="majorHAnsi" w:hAnsiTheme="majorHAnsi" w:cstheme="majorHAnsi"/>
          <w:snapToGrid w:val="0"/>
          <w:sz w:val="22"/>
          <w:szCs w:val="22"/>
          <w:lang w:val="en-US"/>
        </w:rPr>
        <w:t>In your opinion, what was the most important value-addition of the BEST Program to DEPED and the basic education sector reforms?</w:t>
      </w:r>
    </w:p>
    <w:p w14:paraId="20A9EAFE" w14:textId="7AB28D63" w:rsidR="008D0CAD" w:rsidRPr="00173FD6" w:rsidRDefault="008D0CAD" w:rsidP="00DD08E3">
      <w:pPr>
        <w:widowControl w:val="0"/>
        <w:numPr>
          <w:ilvl w:val="0"/>
          <w:numId w:val="79"/>
        </w:numPr>
        <w:spacing w:before="100" w:beforeAutospacing="1" w:after="100" w:afterAutospacing="1" w:line="360" w:lineRule="auto"/>
        <w:ind w:left="357" w:hanging="357"/>
        <w:rPr>
          <w:rFonts w:asciiTheme="majorHAnsi" w:hAnsiTheme="majorHAnsi" w:cstheme="majorHAnsi"/>
          <w:snapToGrid w:val="0"/>
          <w:color w:val="000000" w:themeColor="text1"/>
          <w:sz w:val="22"/>
          <w:szCs w:val="22"/>
          <w:lang w:val="en-US"/>
        </w:rPr>
      </w:pPr>
      <w:r w:rsidRPr="00173FD6">
        <w:rPr>
          <w:rFonts w:asciiTheme="majorHAnsi" w:hAnsiTheme="majorHAnsi" w:cstheme="majorHAnsi"/>
          <w:bCs/>
          <w:snapToGrid w:val="0"/>
          <w:sz w:val="22"/>
          <w:szCs w:val="22"/>
          <w:lang w:val="en-US"/>
        </w:rPr>
        <w:t xml:space="preserve">What is the likelihood that the </w:t>
      </w:r>
      <w:r w:rsidRPr="00173FD6">
        <w:rPr>
          <w:rFonts w:asciiTheme="majorHAnsi" w:hAnsiTheme="majorHAnsi" w:cstheme="majorHAnsi"/>
          <w:snapToGrid w:val="0"/>
          <w:sz w:val="22"/>
          <w:szCs w:val="22"/>
          <w:lang w:val="en-US"/>
        </w:rPr>
        <w:t>L&amp;D System</w:t>
      </w:r>
      <w:r w:rsidRPr="00173FD6">
        <w:rPr>
          <w:rFonts w:asciiTheme="majorHAnsi" w:hAnsiTheme="majorHAnsi" w:cstheme="majorHAnsi"/>
          <w:bCs/>
          <w:snapToGrid w:val="0"/>
          <w:sz w:val="22"/>
          <w:szCs w:val="22"/>
          <w:lang w:val="en-US"/>
        </w:rPr>
        <w:t xml:space="preserve"> interventions will be sustained after the end of the BEST Program?</w:t>
      </w:r>
      <w:r w:rsidR="00D434EB">
        <w:rPr>
          <w:rFonts w:asciiTheme="majorHAnsi" w:hAnsiTheme="majorHAnsi" w:cstheme="majorHAnsi"/>
          <w:bCs/>
          <w:snapToGrid w:val="0"/>
          <w:sz w:val="22"/>
          <w:szCs w:val="22"/>
          <w:lang w:val="en-US"/>
        </w:rPr>
        <w:t xml:space="preserve"> </w:t>
      </w:r>
      <w:r w:rsidRPr="00173FD6">
        <w:rPr>
          <w:rFonts w:asciiTheme="majorHAnsi" w:hAnsiTheme="majorHAnsi" w:cstheme="majorHAnsi"/>
          <w:snapToGrid w:val="0"/>
          <w:color w:val="000000" w:themeColor="text1"/>
          <w:sz w:val="22"/>
          <w:szCs w:val="22"/>
          <w:lang w:val="en-US"/>
        </w:rPr>
        <w:t>Please cite specific evidences.</w:t>
      </w:r>
    </w:p>
    <w:p w14:paraId="31A8D26A" w14:textId="2EE70401" w:rsidR="008D0CAD" w:rsidRPr="00173FD6" w:rsidRDefault="008D0CAD" w:rsidP="00DD08E3">
      <w:pPr>
        <w:widowControl w:val="0"/>
        <w:numPr>
          <w:ilvl w:val="0"/>
          <w:numId w:val="79"/>
        </w:numPr>
        <w:spacing w:before="100" w:beforeAutospacing="1" w:after="100" w:afterAutospacing="1" w:line="360" w:lineRule="auto"/>
        <w:ind w:left="357" w:hanging="357"/>
        <w:rPr>
          <w:rFonts w:asciiTheme="majorHAnsi" w:hAnsiTheme="majorHAnsi" w:cstheme="majorHAnsi"/>
          <w:snapToGrid w:val="0"/>
          <w:sz w:val="22"/>
          <w:szCs w:val="22"/>
          <w:lang w:val="en-US"/>
        </w:rPr>
      </w:pPr>
      <w:r w:rsidRPr="00173FD6">
        <w:rPr>
          <w:rFonts w:asciiTheme="majorHAnsi" w:hAnsiTheme="majorHAnsi" w:cstheme="majorHAnsi"/>
          <w:snapToGrid w:val="0"/>
          <w:sz w:val="22"/>
          <w:szCs w:val="22"/>
          <w:lang w:val="en-US"/>
        </w:rPr>
        <w:t>What recommendations can you give to further enhance the effectiveness and sustainability of the basic education reforms on L&amp;D System in DEPED after 2019 or after the end of the BEST Program?</w:t>
      </w:r>
      <w:r w:rsidR="00D434EB">
        <w:rPr>
          <w:rFonts w:asciiTheme="majorHAnsi" w:hAnsiTheme="majorHAnsi" w:cstheme="majorHAnsi"/>
          <w:snapToGrid w:val="0"/>
          <w:sz w:val="22"/>
          <w:szCs w:val="22"/>
          <w:lang w:val="en-US"/>
        </w:rPr>
        <w:t xml:space="preserve"> </w:t>
      </w:r>
    </w:p>
    <w:p w14:paraId="04127826" w14:textId="77777777" w:rsidR="008D0CAD" w:rsidRPr="00173FD6" w:rsidRDefault="008D0CAD" w:rsidP="005902F7">
      <w:pPr>
        <w:spacing w:before="100" w:beforeAutospacing="1" w:after="100" w:afterAutospacing="1" w:line="360" w:lineRule="auto"/>
        <w:rPr>
          <w:rFonts w:asciiTheme="majorHAnsi" w:hAnsiTheme="majorHAnsi" w:cstheme="majorHAnsi"/>
          <w:b/>
          <w:color w:val="000000" w:themeColor="text1"/>
          <w:lang w:val="en-US"/>
        </w:rPr>
      </w:pPr>
      <w:r w:rsidRPr="00173FD6">
        <w:rPr>
          <w:rFonts w:asciiTheme="majorHAnsi" w:hAnsiTheme="majorHAnsi" w:cstheme="majorHAnsi"/>
          <w:color w:val="000000" w:themeColor="text1"/>
          <w:lang w:val="en-US"/>
        </w:rPr>
        <w:t>-</w:t>
      </w:r>
      <w:r w:rsidRPr="00173FD6">
        <w:rPr>
          <w:rFonts w:asciiTheme="majorHAnsi" w:hAnsiTheme="majorHAnsi" w:cstheme="majorHAnsi"/>
          <w:b/>
          <w:color w:val="000000" w:themeColor="text1"/>
          <w:lang w:val="en-US"/>
        </w:rPr>
        <w:t>End of Questions-</w:t>
      </w:r>
    </w:p>
    <w:p w14:paraId="53980A9E" w14:textId="77777777" w:rsidR="008D0CAD" w:rsidRPr="00173FD6" w:rsidRDefault="008D0CAD" w:rsidP="005902F7">
      <w:pPr>
        <w:spacing w:before="100" w:beforeAutospacing="1" w:after="100" w:afterAutospacing="1" w:line="360" w:lineRule="auto"/>
        <w:rPr>
          <w:rFonts w:asciiTheme="majorHAnsi" w:hAnsiTheme="majorHAnsi" w:cstheme="majorHAnsi"/>
          <w:b/>
          <w:sz w:val="22"/>
          <w:szCs w:val="22"/>
          <w:lang w:val="en-US"/>
        </w:rPr>
      </w:pPr>
    </w:p>
    <w:p w14:paraId="0ADC2DD0" w14:textId="77777777" w:rsidR="008D0CAD" w:rsidRPr="00173FD6" w:rsidRDefault="008D0CAD" w:rsidP="005902F7">
      <w:pPr>
        <w:keepNext/>
        <w:keepLines/>
        <w:spacing w:before="40" w:after="120"/>
        <w:outlineLvl w:val="1"/>
        <w:rPr>
          <w:rFonts w:asciiTheme="majorHAnsi" w:eastAsiaTheme="majorEastAsia" w:hAnsiTheme="majorHAnsi" w:cstheme="majorBidi"/>
          <w:color w:val="2F5496" w:themeColor="accent1" w:themeShade="BF"/>
          <w:sz w:val="26"/>
          <w:szCs w:val="26"/>
          <w:lang w:val="en-US"/>
        </w:rPr>
        <w:sectPr w:rsidR="008D0CAD" w:rsidRPr="00173FD6" w:rsidSect="009C64E9">
          <w:pgSz w:w="11900" w:h="16840"/>
          <w:pgMar w:top="1008" w:right="1008" w:bottom="1008" w:left="1008" w:header="720" w:footer="720" w:gutter="0"/>
          <w:cols w:space="720"/>
          <w:docGrid w:linePitch="360"/>
        </w:sectPr>
      </w:pPr>
    </w:p>
    <w:p w14:paraId="236D321A" w14:textId="6F9169B6" w:rsidR="008D0CAD" w:rsidRPr="005A731E" w:rsidRDefault="008D0CAD" w:rsidP="005902F7">
      <w:pPr>
        <w:pStyle w:val="Heading3"/>
        <w:spacing w:before="100" w:beforeAutospacing="1" w:after="100" w:afterAutospacing="1" w:line="360" w:lineRule="auto"/>
        <w:rPr>
          <w:lang w:val="en-US"/>
        </w:rPr>
      </w:pPr>
      <w:bookmarkStart w:id="279" w:name="_Toc39938374"/>
      <w:bookmarkStart w:id="280" w:name="_Toc69820479"/>
      <w:r w:rsidRPr="00FB2EFB">
        <w:rPr>
          <w:lang w:val="en-US"/>
        </w:rPr>
        <w:t>Annex J -3.</w:t>
      </w:r>
      <w:r w:rsidR="00D434EB">
        <w:rPr>
          <w:lang w:val="en-US"/>
        </w:rPr>
        <w:t xml:space="preserve"> </w:t>
      </w:r>
      <w:r w:rsidRPr="00FB2EFB">
        <w:rPr>
          <w:lang w:val="en-US"/>
        </w:rPr>
        <w:t>Guide Questions for Regional/Division Office respondents</w:t>
      </w:r>
      <w:bookmarkEnd w:id="279"/>
      <w:bookmarkEnd w:id="280"/>
    </w:p>
    <w:p w14:paraId="2F27CE29" w14:textId="77777777" w:rsidR="008D0CAD" w:rsidRPr="00173FD6" w:rsidRDefault="008D0CAD" w:rsidP="005902F7">
      <w:pPr>
        <w:spacing w:before="100" w:beforeAutospacing="1" w:after="100" w:afterAutospacing="1" w:line="360" w:lineRule="auto"/>
        <w:rPr>
          <w:rFonts w:asciiTheme="majorHAnsi" w:hAnsiTheme="majorHAnsi" w:cstheme="majorHAnsi"/>
          <w:b/>
          <w:color w:val="0070C0"/>
          <w:sz w:val="20"/>
          <w:szCs w:val="20"/>
          <w:lang w:val="en-US"/>
        </w:rPr>
      </w:pPr>
      <w:r w:rsidRPr="00173FD6">
        <w:rPr>
          <w:rFonts w:asciiTheme="majorHAnsi" w:hAnsiTheme="majorHAnsi" w:cstheme="majorHAnsi"/>
          <w:b/>
          <w:color w:val="0070C0"/>
          <w:sz w:val="20"/>
          <w:szCs w:val="20"/>
          <w:lang w:val="en-US"/>
        </w:rPr>
        <w:t>Part 1. Context</w:t>
      </w:r>
    </w:p>
    <w:p w14:paraId="251CD602" w14:textId="39FE6B16" w:rsidR="008D0CAD" w:rsidRPr="00173FD6" w:rsidRDefault="008D0CAD" w:rsidP="00DD08E3">
      <w:pPr>
        <w:widowControl w:val="0"/>
        <w:numPr>
          <w:ilvl w:val="0"/>
          <w:numId w:val="82"/>
        </w:numPr>
        <w:spacing w:before="100" w:beforeAutospacing="1" w:after="100" w:afterAutospacing="1" w:line="360" w:lineRule="auto"/>
        <w:contextualSpacing/>
        <w:rPr>
          <w:rFonts w:asciiTheme="majorHAnsi" w:hAnsiTheme="majorHAnsi" w:cstheme="majorHAnsi"/>
          <w:bCs/>
          <w:snapToGrid w:val="0"/>
          <w:sz w:val="20"/>
          <w:szCs w:val="20"/>
          <w:lang w:val="en-US"/>
        </w:rPr>
      </w:pPr>
      <w:r w:rsidRPr="00173FD6">
        <w:rPr>
          <w:rFonts w:asciiTheme="majorHAnsi" w:hAnsiTheme="majorHAnsi" w:cstheme="majorHAnsi"/>
          <w:bCs/>
          <w:snapToGrid w:val="0"/>
          <w:sz w:val="20"/>
          <w:szCs w:val="20"/>
          <w:lang w:val="en-US"/>
        </w:rPr>
        <w:t>In your opinion, what were the development problems or educational gaps that were existing five years ago that w</w:t>
      </w:r>
      <w:r w:rsidR="009D5612">
        <w:rPr>
          <w:rFonts w:asciiTheme="majorHAnsi" w:hAnsiTheme="majorHAnsi" w:cstheme="majorHAnsi"/>
          <w:bCs/>
          <w:snapToGrid w:val="0"/>
          <w:sz w:val="20"/>
          <w:szCs w:val="20"/>
          <w:lang w:val="en-US"/>
        </w:rPr>
        <w:t>ere</w:t>
      </w:r>
      <w:r w:rsidRPr="00173FD6">
        <w:rPr>
          <w:rFonts w:asciiTheme="majorHAnsi" w:hAnsiTheme="majorHAnsi" w:cstheme="majorHAnsi"/>
          <w:bCs/>
          <w:snapToGrid w:val="0"/>
          <w:sz w:val="20"/>
          <w:szCs w:val="20"/>
          <w:lang w:val="en-US"/>
        </w:rPr>
        <w:t>intended to be addressed by the basic education reforms? In other words, why were the different basic education reforms necessary? Which ones were most critical in your Region?</w:t>
      </w:r>
    </w:p>
    <w:p w14:paraId="5E4ADFC5" w14:textId="77777777" w:rsidR="008D0CAD" w:rsidRPr="00173FD6" w:rsidRDefault="008D0CAD" w:rsidP="005902F7">
      <w:pPr>
        <w:spacing w:before="100" w:beforeAutospacing="1" w:after="100" w:afterAutospacing="1" w:line="360" w:lineRule="auto"/>
        <w:rPr>
          <w:rFonts w:asciiTheme="majorHAnsi" w:hAnsiTheme="majorHAnsi" w:cstheme="majorHAnsi"/>
          <w:b/>
          <w:bCs/>
          <w:color w:val="0070C0"/>
          <w:sz w:val="20"/>
          <w:szCs w:val="20"/>
          <w:lang w:val="en-US"/>
        </w:rPr>
      </w:pPr>
      <w:r w:rsidRPr="00173FD6">
        <w:rPr>
          <w:rFonts w:asciiTheme="majorHAnsi" w:hAnsiTheme="majorHAnsi" w:cstheme="majorHAnsi"/>
          <w:b/>
          <w:bCs/>
          <w:color w:val="0070C0"/>
          <w:sz w:val="20"/>
          <w:szCs w:val="20"/>
          <w:lang w:val="en-US"/>
        </w:rPr>
        <w:t>Part 2. Assessment</w:t>
      </w:r>
    </w:p>
    <w:p w14:paraId="7977689F" w14:textId="5BD3F202" w:rsidR="008D0CAD" w:rsidRPr="00173FD6" w:rsidRDefault="008D0CAD" w:rsidP="005902F7">
      <w:pPr>
        <w:spacing w:before="100" w:beforeAutospacing="1" w:after="100" w:afterAutospacing="1" w:line="360" w:lineRule="auto"/>
        <w:rPr>
          <w:rFonts w:asciiTheme="majorHAnsi" w:hAnsiTheme="majorHAnsi" w:cstheme="majorHAnsi"/>
          <w:bCs/>
          <w:sz w:val="20"/>
          <w:szCs w:val="20"/>
          <w:lang w:val="en-US"/>
        </w:rPr>
      </w:pPr>
      <w:r w:rsidRPr="00173FD6">
        <w:rPr>
          <w:rFonts w:asciiTheme="majorHAnsi" w:hAnsiTheme="majorHAnsi" w:cstheme="majorHAnsi"/>
          <w:bCs/>
          <w:sz w:val="20"/>
          <w:szCs w:val="20"/>
          <w:lang w:val="en-US"/>
        </w:rPr>
        <w:t>Please describe how the following basic</w:t>
      </w:r>
      <w:r w:rsidRPr="00173FD6">
        <w:rPr>
          <w:rFonts w:asciiTheme="majorHAnsi" w:hAnsiTheme="majorHAnsi" w:cstheme="majorHAnsi"/>
          <w:b/>
          <w:bCs/>
          <w:sz w:val="20"/>
          <w:szCs w:val="20"/>
          <w:lang w:val="en-US"/>
        </w:rPr>
        <w:t xml:space="preserve"> </w:t>
      </w:r>
      <w:r w:rsidRPr="00173FD6">
        <w:rPr>
          <w:rFonts w:asciiTheme="majorHAnsi" w:hAnsiTheme="majorHAnsi" w:cstheme="majorHAnsi"/>
          <w:bCs/>
          <w:sz w:val="20"/>
          <w:szCs w:val="20"/>
          <w:lang w:val="en-US"/>
        </w:rPr>
        <w:t>education reforms were implemented or are being implemented in your Region?</w:t>
      </w:r>
      <w:r w:rsidR="00D434EB">
        <w:rPr>
          <w:rFonts w:asciiTheme="majorHAnsi" w:hAnsiTheme="majorHAnsi" w:cstheme="majorHAnsi"/>
          <w:bCs/>
          <w:sz w:val="20"/>
          <w:szCs w:val="20"/>
          <w:lang w:val="en-US"/>
        </w:rPr>
        <w:t xml:space="preserve"> </w:t>
      </w:r>
    </w:p>
    <w:p w14:paraId="74F596B7" w14:textId="77777777" w:rsidR="008D0CAD" w:rsidRPr="00173FD6" w:rsidRDefault="008D0CAD" w:rsidP="005902F7">
      <w:pPr>
        <w:spacing w:before="100" w:beforeAutospacing="1" w:after="100" w:afterAutospacing="1" w:line="360" w:lineRule="auto"/>
        <w:rPr>
          <w:rFonts w:asciiTheme="majorHAnsi" w:hAnsiTheme="majorHAnsi" w:cstheme="majorHAnsi"/>
          <w:b/>
          <w:sz w:val="20"/>
          <w:szCs w:val="20"/>
          <w:lang w:val="en-US"/>
        </w:rPr>
      </w:pPr>
      <w:r w:rsidRPr="00EC48C1">
        <w:rPr>
          <w:rFonts w:asciiTheme="majorHAnsi" w:hAnsiTheme="majorHAnsi" w:cstheme="majorHAnsi"/>
          <w:b/>
          <w:sz w:val="20"/>
          <w:szCs w:val="20"/>
          <w:lang w:val="en-US"/>
        </w:rPr>
        <w:t>Gender, disability and social inclusion (GEDSI)</w:t>
      </w:r>
    </w:p>
    <w:p w14:paraId="0CA3ED89" w14:textId="77777777" w:rsidR="008D0CAD" w:rsidRPr="00173FD6" w:rsidRDefault="008D0CAD" w:rsidP="00DD08E3">
      <w:pPr>
        <w:numPr>
          <w:ilvl w:val="0"/>
          <w:numId w:val="82"/>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bCs/>
          <w:snapToGrid w:val="0"/>
          <w:color w:val="000000" w:themeColor="text1"/>
          <w:sz w:val="20"/>
          <w:szCs w:val="20"/>
          <w:lang w:val="en-US"/>
        </w:rPr>
        <w:t>What is your understanding of i</w:t>
      </w:r>
      <w:r w:rsidRPr="00173FD6">
        <w:rPr>
          <w:rFonts w:asciiTheme="majorHAnsi" w:hAnsiTheme="majorHAnsi" w:cstheme="majorHAnsi"/>
          <w:b/>
          <w:bCs/>
          <w:snapToGrid w:val="0"/>
          <w:color w:val="000000" w:themeColor="text1"/>
          <w:sz w:val="20"/>
          <w:szCs w:val="20"/>
          <w:lang w:val="en-US"/>
        </w:rPr>
        <w:t>nclusive education</w:t>
      </w:r>
      <w:r w:rsidRPr="00173FD6">
        <w:rPr>
          <w:rFonts w:asciiTheme="majorHAnsi" w:hAnsiTheme="majorHAnsi" w:cstheme="majorHAnsi"/>
          <w:bCs/>
          <w:snapToGrid w:val="0"/>
          <w:color w:val="000000" w:themeColor="text1"/>
          <w:sz w:val="20"/>
          <w:szCs w:val="20"/>
          <w:lang w:val="en-US"/>
        </w:rPr>
        <w:t xml:space="preserve">? Please describe DEPED’s Inclusive Education Framework? </w:t>
      </w:r>
    </w:p>
    <w:p w14:paraId="07DC4869" w14:textId="77777777" w:rsidR="008D0CAD" w:rsidRPr="00173FD6" w:rsidRDefault="008D0CAD" w:rsidP="00DD08E3">
      <w:pPr>
        <w:numPr>
          <w:ilvl w:val="1"/>
          <w:numId w:val="67"/>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 xml:space="preserve">What were the significant reforms relative to </w:t>
      </w:r>
      <w:r w:rsidRPr="00173FD6">
        <w:rPr>
          <w:rFonts w:asciiTheme="majorHAnsi" w:hAnsiTheme="majorHAnsi" w:cstheme="majorHAnsi"/>
          <w:b/>
          <w:snapToGrid w:val="0"/>
          <w:sz w:val="20"/>
          <w:szCs w:val="20"/>
          <w:lang w:val="en-US"/>
        </w:rPr>
        <w:t>Gender-Responsive Basic Education (GRBE</w:t>
      </w:r>
      <w:r w:rsidRPr="00173FD6">
        <w:rPr>
          <w:rFonts w:asciiTheme="majorHAnsi" w:hAnsiTheme="majorHAnsi" w:cstheme="majorHAnsi"/>
          <w:snapToGrid w:val="0"/>
          <w:sz w:val="20"/>
          <w:szCs w:val="20"/>
          <w:lang w:val="en-US"/>
        </w:rPr>
        <w:t>) implemented in your Region/Division in the last five years?</w:t>
      </w:r>
    </w:p>
    <w:p w14:paraId="28D29AFE" w14:textId="77777777" w:rsidR="008D0CAD" w:rsidRPr="00173FD6" w:rsidRDefault="008D0CAD" w:rsidP="00DD08E3">
      <w:pPr>
        <w:numPr>
          <w:ilvl w:val="1"/>
          <w:numId w:val="67"/>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color w:val="000000"/>
          <w:sz w:val="20"/>
          <w:szCs w:val="20"/>
          <w:lang w:val="en-US"/>
        </w:rPr>
        <w:t xml:space="preserve">What indicators do you use in your region to measure the successful implementation of </w:t>
      </w:r>
      <w:r w:rsidRPr="00173FD6">
        <w:rPr>
          <w:rFonts w:asciiTheme="majorHAnsi" w:hAnsiTheme="majorHAnsi" w:cstheme="majorHAnsi"/>
          <w:bCs/>
          <w:snapToGrid w:val="0"/>
          <w:color w:val="000000" w:themeColor="text1"/>
          <w:sz w:val="20"/>
          <w:szCs w:val="20"/>
          <w:lang w:val="en-US"/>
        </w:rPr>
        <w:t>inclusive education in your Region/Division/School?</w:t>
      </w:r>
    </w:p>
    <w:p w14:paraId="3290DA9D" w14:textId="77777777" w:rsidR="008D0CAD" w:rsidRPr="00173FD6" w:rsidRDefault="008D0CAD" w:rsidP="00DD08E3">
      <w:pPr>
        <w:numPr>
          <w:ilvl w:val="1"/>
          <w:numId w:val="67"/>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color w:val="000000"/>
          <w:sz w:val="20"/>
          <w:szCs w:val="20"/>
          <w:lang w:val="en-US"/>
        </w:rPr>
        <w:t>What challenges do you experience in terms of implementing inclusive education in your school?</w:t>
      </w:r>
    </w:p>
    <w:p w14:paraId="7A1F98CA" w14:textId="6CF8211F" w:rsidR="008D0CAD" w:rsidRPr="00173FD6" w:rsidRDefault="008D0CAD" w:rsidP="00DD08E3">
      <w:pPr>
        <w:numPr>
          <w:ilvl w:val="0"/>
          <w:numId w:val="82"/>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bCs/>
          <w:snapToGrid w:val="0"/>
          <w:color w:val="000000" w:themeColor="text1"/>
          <w:sz w:val="20"/>
          <w:szCs w:val="20"/>
          <w:lang w:val="en-US"/>
        </w:rPr>
        <w:t xml:space="preserve">What is your understanding of </w:t>
      </w:r>
      <w:r w:rsidRPr="00173FD6">
        <w:rPr>
          <w:rFonts w:asciiTheme="majorHAnsi" w:hAnsiTheme="majorHAnsi" w:cstheme="majorHAnsi"/>
          <w:b/>
          <w:bCs/>
          <w:snapToGrid w:val="0"/>
          <w:color w:val="000000" w:themeColor="text1"/>
          <w:sz w:val="20"/>
          <w:szCs w:val="20"/>
          <w:lang w:val="en-US"/>
        </w:rPr>
        <w:t>responsive education</w:t>
      </w:r>
      <w:r w:rsidRPr="00173FD6">
        <w:rPr>
          <w:rFonts w:asciiTheme="majorHAnsi" w:hAnsiTheme="majorHAnsi" w:cstheme="majorHAnsi"/>
          <w:bCs/>
          <w:snapToGrid w:val="0"/>
          <w:color w:val="000000" w:themeColor="text1"/>
          <w:sz w:val="20"/>
          <w:szCs w:val="20"/>
          <w:lang w:val="en-US"/>
        </w:rPr>
        <w:t>?</w:t>
      </w:r>
      <w:r w:rsidR="00D434EB">
        <w:rPr>
          <w:rFonts w:asciiTheme="majorHAnsi" w:hAnsiTheme="majorHAnsi" w:cstheme="majorHAnsi"/>
          <w:bCs/>
          <w:snapToGrid w:val="0"/>
          <w:color w:val="000000" w:themeColor="text1"/>
          <w:sz w:val="20"/>
          <w:szCs w:val="20"/>
          <w:lang w:val="en-US"/>
        </w:rPr>
        <w:t xml:space="preserve"> </w:t>
      </w:r>
    </w:p>
    <w:p w14:paraId="293582D5" w14:textId="77777777" w:rsidR="008D0CAD" w:rsidRPr="00173FD6" w:rsidRDefault="008D0CAD" w:rsidP="00DD08E3">
      <w:pPr>
        <w:numPr>
          <w:ilvl w:val="1"/>
          <w:numId w:val="72"/>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bCs/>
          <w:snapToGrid w:val="0"/>
          <w:color w:val="000000" w:themeColor="text1"/>
          <w:sz w:val="20"/>
          <w:szCs w:val="20"/>
          <w:lang w:val="en-US"/>
        </w:rPr>
        <w:t>How is inclusive education differentiated from responsive education?</w:t>
      </w:r>
    </w:p>
    <w:p w14:paraId="04E8EC31" w14:textId="77777777" w:rsidR="008D0CAD" w:rsidRPr="00173FD6" w:rsidRDefault="008D0CAD" w:rsidP="00DD08E3">
      <w:pPr>
        <w:numPr>
          <w:ilvl w:val="1"/>
          <w:numId w:val="72"/>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 xml:space="preserve">What were the significant reforms relative to </w:t>
      </w:r>
      <w:r w:rsidRPr="00173FD6">
        <w:rPr>
          <w:rFonts w:asciiTheme="majorHAnsi" w:hAnsiTheme="majorHAnsi" w:cstheme="majorHAnsi"/>
          <w:b/>
          <w:snapToGrid w:val="0"/>
          <w:sz w:val="20"/>
          <w:szCs w:val="20"/>
          <w:lang w:val="en-US"/>
        </w:rPr>
        <w:t>Inclusive Education</w:t>
      </w:r>
      <w:r w:rsidRPr="00173FD6">
        <w:rPr>
          <w:rFonts w:asciiTheme="majorHAnsi" w:hAnsiTheme="majorHAnsi" w:cstheme="majorHAnsi"/>
          <w:snapToGrid w:val="0"/>
          <w:sz w:val="20"/>
          <w:szCs w:val="20"/>
          <w:lang w:val="en-US"/>
        </w:rPr>
        <w:t xml:space="preserve"> (IE) implemented in your Region/Division in the last five years?</w:t>
      </w:r>
    </w:p>
    <w:p w14:paraId="76B9B9DD" w14:textId="77777777" w:rsidR="008D0CAD" w:rsidRPr="00173FD6" w:rsidRDefault="008D0CAD" w:rsidP="00DD08E3">
      <w:pPr>
        <w:numPr>
          <w:ilvl w:val="1"/>
          <w:numId w:val="72"/>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color w:val="000000"/>
          <w:sz w:val="20"/>
          <w:szCs w:val="20"/>
          <w:lang w:val="en-US"/>
        </w:rPr>
        <w:t xml:space="preserve">What indicators do you use in your region to measure the successful implementation of </w:t>
      </w:r>
      <w:r w:rsidRPr="00173FD6">
        <w:rPr>
          <w:rFonts w:asciiTheme="majorHAnsi" w:hAnsiTheme="majorHAnsi" w:cstheme="majorHAnsi"/>
          <w:bCs/>
          <w:snapToGrid w:val="0"/>
          <w:color w:val="000000" w:themeColor="text1"/>
          <w:sz w:val="20"/>
          <w:szCs w:val="20"/>
          <w:lang w:val="en-US"/>
        </w:rPr>
        <w:t>responsive education?</w:t>
      </w:r>
    </w:p>
    <w:p w14:paraId="4E1C379D" w14:textId="77777777" w:rsidR="008D0CAD" w:rsidRPr="00173FD6" w:rsidRDefault="008D0CAD" w:rsidP="00DD08E3">
      <w:pPr>
        <w:numPr>
          <w:ilvl w:val="1"/>
          <w:numId w:val="72"/>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color w:val="000000"/>
          <w:sz w:val="20"/>
          <w:szCs w:val="20"/>
          <w:lang w:val="en-US"/>
        </w:rPr>
        <w:t>What challenges do you experience in ensuring responsive education in your school?</w:t>
      </w:r>
    </w:p>
    <w:p w14:paraId="2B8E6445" w14:textId="77777777" w:rsidR="008D0CAD" w:rsidRPr="00173FD6" w:rsidRDefault="008D0CAD" w:rsidP="00DD08E3">
      <w:pPr>
        <w:numPr>
          <w:ilvl w:val="0"/>
          <w:numId w:val="82"/>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 xml:space="preserve">How were the [Regional implementers/ Superintendents and Division implementers] capacitated to implement the reforms in the GRBE and IE? </w:t>
      </w:r>
    </w:p>
    <w:p w14:paraId="10A96391" w14:textId="77777777" w:rsidR="008D0CAD" w:rsidRPr="00173FD6" w:rsidRDefault="008D0CAD" w:rsidP="00DD08E3">
      <w:pPr>
        <w:numPr>
          <w:ilvl w:val="1"/>
          <w:numId w:val="83"/>
        </w:numPr>
        <w:spacing w:before="100" w:beforeAutospacing="1" w:after="100" w:afterAutospacing="1" w:line="360" w:lineRule="auto"/>
        <w:ind w:left="709" w:hanging="425"/>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What were the mode of training (formal training, job training, peer study, self-study etc.), length of capacity building, who provided the training, etc.?</w:t>
      </w:r>
    </w:p>
    <w:p w14:paraId="4D5D6381" w14:textId="77777777" w:rsidR="008D0CAD" w:rsidRPr="00173FD6" w:rsidRDefault="008D0CAD" w:rsidP="00DD08E3">
      <w:pPr>
        <w:numPr>
          <w:ilvl w:val="1"/>
          <w:numId w:val="83"/>
        </w:numPr>
        <w:spacing w:before="100" w:beforeAutospacing="1" w:after="100" w:afterAutospacing="1" w:line="360" w:lineRule="auto"/>
        <w:ind w:left="709" w:hanging="425"/>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How effective were the capacity building interventions provided to the [Regional implementers/ Superintendents and Division implementers] in helping them successfully perform their roles and functions in “rolling-out” or “cascading” the GRBE and IE reforms to the lower levels (e.g. Region to Division, Divisions to Principals, Principals to Teachers)?</w:t>
      </w:r>
      <w:r w:rsidRPr="00173FD6">
        <w:rPr>
          <w:rFonts w:asciiTheme="majorHAnsi" w:hAnsiTheme="majorHAnsi" w:cstheme="majorHAnsi"/>
          <w:bCs/>
          <w:snapToGrid w:val="0"/>
          <w:color w:val="000000"/>
          <w:sz w:val="20"/>
          <w:szCs w:val="20"/>
          <w:lang w:val="en-US"/>
        </w:rPr>
        <w:t xml:space="preserve"> </w:t>
      </w:r>
    </w:p>
    <w:p w14:paraId="12BF1DB0" w14:textId="061B9FC5" w:rsidR="008D0CAD" w:rsidRPr="00173FD6" w:rsidRDefault="008D0CAD" w:rsidP="00DD08E3">
      <w:pPr>
        <w:numPr>
          <w:ilvl w:val="0"/>
          <w:numId w:val="82"/>
        </w:numPr>
        <w:spacing w:before="100" w:beforeAutospacing="1" w:after="100" w:afterAutospacing="1" w:line="360" w:lineRule="auto"/>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 xml:space="preserve">To what extent did the reforms </w:t>
      </w:r>
      <w:r w:rsidRPr="00173FD6">
        <w:rPr>
          <w:rFonts w:asciiTheme="majorHAnsi" w:hAnsiTheme="majorHAnsi" w:cstheme="majorHAnsi"/>
          <w:bCs/>
          <w:snapToGrid w:val="0"/>
          <w:sz w:val="20"/>
          <w:szCs w:val="20"/>
          <w:lang w:val="en-US"/>
        </w:rPr>
        <w:t xml:space="preserve">in </w:t>
      </w:r>
      <w:r w:rsidRPr="00173FD6">
        <w:rPr>
          <w:rFonts w:asciiTheme="majorHAnsi" w:hAnsiTheme="majorHAnsi" w:cstheme="majorHAnsi"/>
          <w:snapToGrid w:val="0"/>
          <w:sz w:val="20"/>
          <w:szCs w:val="20"/>
          <w:lang w:val="en-US"/>
        </w:rPr>
        <w:t>GRBE and IE</w:t>
      </w:r>
      <w:r w:rsidRPr="00173FD6">
        <w:rPr>
          <w:rFonts w:asciiTheme="majorHAnsi" w:hAnsiTheme="majorHAnsi" w:cstheme="majorHAnsi"/>
          <w:bCs/>
          <w:snapToGrid w:val="0"/>
          <w:sz w:val="20"/>
          <w:szCs w:val="20"/>
          <w:lang w:val="en-US"/>
        </w:rPr>
        <w:t xml:space="preserve"> enhance the delivery of Inclusive Education in your Region/Division</w:t>
      </w:r>
      <w:r w:rsidRPr="00173FD6">
        <w:rPr>
          <w:rFonts w:asciiTheme="majorHAnsi" w:hAnsiTheme="majorHAnsi" w:cstheme="majorHAnsi"/>
          <w:snapToGrid w:val="0"/>
          <w:sz w:val="20"/>
          <w:szCs w:val="20"/>
          <w:lang w:val="en-US"/>
        </w:rPr>
        <w:t>?</w:t>
      </w:r>
      <w:r w:rsidR="00D434EB">
        <w:rPr>
          <w:rFonts w:asciiTheme="majorHAnsi" w:hAnsiTheme="majorHAnsi" w:cstheme="majorHAnsi"/>
          <w:snapToGrid w:val="0"/>
          <w:sz w:val="20"/>
          <w:szCs w:val="20"/>
          <w:lang w:val="en-US"/>
        </w:rPr>
        <w:t xml:space="preserve"> </w:t>
      </w:r>
      <w:r w:rsidRPr="00173FD6">
        <w:rPr>
          <w:rFonts w:asciiTheme="majorHAnsi" w:hAnsiTheme="majorHAnsi" w:cstheme="majorHAnsi"/>
          <w:snapToGrid w:val="0"/>
          <w:sz w:val="20"/>
          <w:szCs w:val="20"/>
          <w:lang w:val="en-US"/>
        </w:rPr>
        <w:t>Please cite specific examples.</w:t>
      </w:r>
    </w:p>
    <w:p w14:paraId="48E2A9E6" w14:textId="77777777" w:rsidR="008D0CAD" w:rsidRPr="00173FD6" w:rsidRDefault="008D0CAD" w:rsidP="00DD08E3">
      <w:pPr>
        <w:numPr>
          <w:ilvl w:val="0"/>
          <w:numId w:val="82"/>
        </w:numPr>
        <w:spacing w:before="100" w:beforeAutospacing="1" w:after="100" w:afterAutospacing="1" w:line="360" w:lineRule="auto"/>
        <w:ind w:left="357" w:hanging="357"/>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 xml:space="preserve">To what extent would the reforms </w:t>
      </w:r>
      <w:r w:rsidRPr="00173FD6">
        <w:rPr>
          <w:rFonts w:asciiTheme="majorHAnsi" w:hAnsiTheme="majorHAnsi" w:cstheme="majorHAnsi"/>
          <w:bCs/>
          <w:snapToGrid w:val="0"/>
          <w:sz w:val="20"/>
          <w:szCs w:val="20"/>
          <w:lang w:val="en-US"/>
        </w:rPr>
        <w:t xml:space="preserve">in </w:t>
      </w:r>
      <w:r w:rsidRPr="00173FD6">
        <w:rPr>
          <w:rFonts w:asciiTheme="majorHAnsi" w:hAnsiTheme="majorHAnsi" w:cstheme="majorHAnsi"/>
          <w:snapToGrid w:val="0"/>
          <w:sz w:val="20"/>
          <w:szCs w:val="20"/>
          <w:lang w:val="en-US"/>
        </w:rPr>
        <w:t>GRBE and IE</w:t>
      </w:r>
      <w:r w:rsidRPr="00173FD6">
        <w:rPr>
          <w:rFonts w:asciiTheme="majorHAnsi" w:hAnsiTheme="majorHAnsi" w:cstheme="majorHAnsi"/>
          <w:bCs/>
          <w:snapToGrid w:val="0"/>
          <w:sz w:val="20"/>
          <w:szCs w:val="20"/>
          <w:lang w:val="en-US"/>
        </w:rPr>
        <w:t>, in the last five years, been undertaken and completed without the BEST Program assistance</w:t>
      </w:r>
      <w:r w:rsidRPr="00173FD6">
        <w:rPr>
          <w:rFonts w:asciiTheme="majorHAnsi" w:hAnsiTheme="majorHAnsi" w:cstheme="majorHAnsi"/>
          <w:snapToGrid w:val="0"/>
          <w:sz w:val="20"/>
          <w:szCs w:val="20"/>
          <w:lang w:val="en-US"/>
        </w:rPr>
        <w:t>? How significant was contribution of the BEST Program to these reforms? Please cite specific examples.</w:t>
      </w:r>
    </w:p>
    <w:p w14:paraId="3A9CC8E7" w14:textId="77777777" w:rsidR="008D0CAD" w:rsidRPr="00173FD6" w:rsidRDefault="008D0CAD" w:rsidP="005902F7">
      <w:pPr>
        <w:spacing w:before="100" w:beforeAutospacing="1" w:after="100" w:afterAutospacing="1" w:line="360" w:lineRule="auto"/>
        <w:rPr>
          <w:rFonts w:asciiTheme="majorHAnsi" w:hAnsiTheme="majorHAnsi" w:cstheme="majorHAnsi"/>
          <w:b/>
          <w:sz w:val="20"/>
          <w:szCs w:val="20"/>
          <w:lang w:val="en-US"/>
        </w:rPr>
      </w:pPr>
      <w:r w:rsidRPr="00EC48C1">
        <w:rPr>
          <w:rFonts w:asciiTheme="majorHAnsi" w:hAnsiTheme="majorHAnsi" w:cstheme="majorHAnsi"/>
          <w:b/>
          <w:bCs/>
          <w:color w:val="000000"/>
          <w:sz w:val="20"/>
          <w:szCs w:val="20"/>
          <w:lang w:val="en-US"/>
        </w:rPr>
        <w:t>Learning &amp; Development (L&amp;D) systems</w:t>
      </w:r>
    </w:p>
    <w:p w14:paraId="2BD4126C" w14:textId="105DF31E" w:rsidR="008D0CAD" w:rsidRPr="00173FD6" w:rsidRDefault="008D0CAD" w:rsidP="00DD08E3">
      <w:pPr>
        <w:numPr>
          <w:ilvl w:val="0"/>
          <w:numId w:val="82"/>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173FD6">
        <w:rPr>
          <w:rFonts w:asciiTheme="majorHAnsi" w:hAnsiTheme="majorHAnsi" w:cstheme="majorHAnsi"/>
          <w:bCs/>
          <w:snapToGrid w:val="0"/>
          <w:sz w:val="20"/>
          <w:szCs w:val="20"/>
          <w:lang w:val="en-US"/>
        </w:rPr>
        <w:t xml:space="preserve">Please describe how the </w:t>
      </w:r>
      <w:r w:rsidRPr="00173FD6">
        <w:rPr>
          <w:rFonts w:asciiTheme="majorHAnsi" w:hAnsiTheme="majorHAnsi" w:cstheme="majorHAnsi"/>
          <w:bCs/>
          <w:snapToGrid w:val="0"/>
          <w:color w:val="000000"/>
          <w:sz w:val="20"/>
          <w:szCs w:val="20"/>
          <w:lang w:val="en-US"/>
        </w:rPr>
        <w:t>Learning &amp; Development (L&amp;D) systems</w:t>
      </w:r>
      <w:r w:rsidRPr="00173FD6">
        <w:rPr>
          <w:rFonts w:asciiTheme="majorHAnsi" w:hAnsiTheme="majorHAnsi" w:cstheme="majorHAnsi"/>
          <w:bCs/>
          <w:snapToGrid w:val="0"/>
          <w:sz w:val="20"/>
          <w:szCs w:val="20"/>
          <w:lang w:val="en-US"/>
        </w:rPr>
        <w:t xml:space="preserve"> were implemented or are being implemented in your Division/Region?</w:t>
      </w:r>
      <w:r w:rsidR="00D434EB">
        <w:rPr>
          <w:rFonts w:asciiTheme="majorHAnsi" w:hAnsiTheme="majorHAnsi" w:cstheme="majorHAnsi"/>
          <w:bCs/>
          <w:snapToGrid w:val="0"/>
          <w:sz w:val="20"/>
          <w:szCs w:val="20"/>
          <w:lang w:val="en-US"/>
        </w:rPr>
        <w:t xml:space="preserve"> </w:t>
      </w:r>
    </w:p>
    <w:p w14:paraId="01D37E2C" w14:textId="77777777" w:rsidR="008D0CAD" w:rsidRPr="00173FD6" w:rsidRDefault="008D0CAD" w:rsidP="00DD08E3">
      <w:pPr>
        <w:widowControl w:val="0"/>
        <w:numPr>
          <w:ilvl w:val="1"/>
          <w:numId w:val="66"/>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color w:val="000000"/>
          <w:sz w:val="20"/>
          <w:szCs w:val="20"/>
          <w:lang w:val="en-US"/>
        </w:rPr>
        <w:t>How was L&amp;D trialed/implemented in your Region/Division? What were the various activities conducted</w:t>
      </w:r>
      <w:r w:rsidRPr="00173FD6">
        <w:rPr>
          <w:rFonts w:asciiTheme="majorHAnsi" w:hAnsiTheme="majorHAnsi" w:cstheme="majorHAnsi"/>
          <w:snapToGrid w:val="0"/>
          <w:sz w:val="20"/>
          <w:szCs w:val="20"/>
          <w:lang w:val="en-US"/>
        </w:rPr>
        <w:t>?</w:t>
      </w:r>
    </w:p>
    <w:p w14:paraId="299C15A8" w14:textId="7F4482A9" w:rsidR="008D0CAD" w:rsidRPr="00173FD6" w:rsidRDefault="008D0CAD" w:rsidP="00DD08E3">
      <w:pPr>
        <w:numPr>
          <w:ilvl w:val="1"/>
          <w:numId w:val="66"/>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color w:val="000000"/>
          <w:sz w:val="20"/>
          <w:szCs w:val="20"/>
        </w:rPr>
        <w:t>What are the sub-systems of L&amp;D?</w:t>
      </w:r>
      <w:r w:rsidR="00D434EB">
        <w:rPr>
          <w:rFonts w:asciiTheme="majorHAnsi" w:hAnsiTheme="majorHAnsi" w:cstheme="majorHAnsi"/>
          <w:snapToGrid w:val="0"/>
          <w:color w:val="000000"/>
          <w:sz w:val="20"/>
          <w:szCs w:val="20"/>
        </w:rPr>
        <w:t xml:space="preserve"> </w:t>
      </w:r>
      <w:r w:rsidRPr="00173FD6">
        <w:rPr>
          <w:rFonts w:asciiTheme="majorHAnsi" w:hAnsiTheme="majorHAnsi" w:cstheme="majorHAnsi"/>
          <w:snapToGrid w:val="0"/>
          <w:color w:val="000000"/>
          <w:sz w:val="20"/>
          <w:szCs w:val="20"/>
        </w:rPr>
        <w:t>Please describe what each system does (processes) and what is produced (outputs) from each sub system.</w:t>
      </w:r>
    </w:p>
    <w:p w14:paraId="63F7A64C" w14:textId="77777777" w:rsidR="008D0CAD" w:rsidRPr="00173FD6" w:rsidRDefault="008D0CAD" w:rsidP="00DD08E3">
      <w:pPr>
        <w:numPr>
          <w:ilvl w:val="1"/>
          <w:numId w:val="66"/>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How is the L&amp;D different from its predecessor the Training and Development (T&amp;D)? Please describe what were the new things introduced.</w:t>
      </w:r>
    </w:p>
    <w:p w14:paraId="2EB3A167" w14:textId="77777777" w:rsidR="008D0CAD" w:rsidRPr="00173FD6" w:rsidRDefault="008D0CAD" w:rsidP="00DD08E3">
      <w:pPr>
        <w:numPr>
          <w:ilvl w:val="1"/>
          <w:numId w:val="66"/>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How were the [Regional implementers/Superintendents and Division implementers] capacitated to implement the L&amp;D? Please describe the mode of training (formal training, job training, peer study, self-study etc.), length of capacity building, who provided the training, etc.</w:t>
      </w:r>
    </w:p>
    <w:p w14:paraId="3C43C68F" w14:textId="77777777" w:rsidR="008D0CAD" w:rsidRPr="00173FD6" w:rsidRDefault="008D0CAD" w:rsidP="00DD08E3">
      <w:pPr>
        <w:numPr>
          <w:ilvl w:val="2"/>
          <w:numId w:val="66"/>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What were the mode of training (formal training, job training, peer study, self-study etc.), length of capacity building, who provided the training, etc.?</w:t>
      </w:r>
    </w:p>
    <w:p w14:paraId="0F252322" w14:textId="77777777" w:rsidR="008D0CAD" w:rsidRPr="00173FD6" w:rsidRDefault="008D0CAD" w:rsidP="00DD08E3">
      <w:pPr>
        <w:numPr>
          <w:ilvl w:val="2"/>
          <w:numId w:val="66"/>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How effective were the capacity building interventions provided in helping them successfully perform their roles and functions in “rolling-out” or “cascading” the reforms to the lower levels (e.g. Region to Division, Divisions to Principals, Principals to Teachers)?</w:t>
      </w:r>
    </w:p>
    <w:p w14:paraId="1EC19842" w14:textId="77777777" w:rsidR="008D0CAD" w:rsidRPr="00173FD6" w:rsidRDefault="008D0CAD" w:rsidP="00DD08E3">
      <w:pPr>
        <w:numPr>
          <w:ilvl w:val="1"/>
          <w:numId w:val="66"/>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 xml:space="preserve">To what extent would the reforms </w:t>
      </w:r>
      <w:r w:rsidRPr="00173FD6">
        <w:rPr>
          <w:rFonts w:asciiTheme="majorHAnsi" w:hAnsiTheme="majorHAnsi" w:cstheme="majorHAnsi"/>
          <w:bCs/>
          <w:snapToGrid w:val="0"/>
          <w:sz w:val="20"/>
          <w:szCs w:val="20"/>
          <w:lang w:val="en-US"/>
        </w:rPr>
        <w:t xml:space="preserve">in </w:t>
      </w:r>
      <w:r w:rsidRPr="00173FD6">
        <w:rPr>
          <w:rFonts w:asciiTheme="majorHAnsi" w:hAnsiTheme="majorHAnsi" w:cstheme="majorHAnsi"/>
          <w:bCs/>
          <w:snapToGrid w:val="0"/>
          <w:color w:val="000000"/>
          <w:sz w:val="20"/>
          <w:szCs w:val="20"/>
          <w:lang w:val="en-US"/>
        </w:rPr>
        <w:t>Learning &amp; Development</w:t>
      </w:r>
      <w:r w:rsidRPr="00173FD6">
        <w:rPr>
          <w:rFonts w:asciiTheme="majorHAnsi" w:hAnsiTheme="majorHAnsi" w:cstheme="majorHAnsi"/>
          <w:bCs/>
          <w:snapToGrid w:val="0"/>
          <w:sz w:val="20"/>
          <w:szCs w:val="20"/>
          <w:lang w:val="en-US"/>
        </w:rPr>
        <w:t>, in the last five years, been undertaken and completed without the BEST Program assistance</w:t>
      </w:r>
      <w:r w:rsidRPr="00173FD6">
        <w:rPr>
          <w:rFonts w:asciiTheme="majorHAnsi" w:hAnsiTheme="majorHAnsi" w:cstheme="majorHAnsi"/>
          <w:snapToGrid w:val="0"/>
          <w:sz w:val="20"/>
          <w:szCs w:val="20"/>
          <w:lang w:val="en-US"/>
        </w:rPr>
        <w:t>? How significant was contribution of the BEST Program to these reforms?</w:t>
      </w:r>
    </w:p>
    <w:p w14:paraId="03FAEBB4" w14:textId="77777777" w:rsidR="008D0CAD" w:rsidRPr="00173FD6" w:rsidRDefault="008D0CAD" w:rsidP="005902F7">
      <w:pPr>
        <w:spacing w:before="100" w:beforeAutospacing="1" w:after="100" w:afterAutospacing="1" w:line="360" w:lineRule="auto"/>
        <w:rPr>
          <w:rFonts w:asciiTheme="majorHAnsi" w:hAnsiTheme="majorHAnsi" w:cstheme="majorHAnsi"/>
          <w:sz w:val="20"/>
          <w:szCs w:val="20"/>
          <w:lang w:val="en-US"/>
        </w:rPr>
      </w:pPr>
      <w:r w:rsidRPr="00EC48C1">
        <w:rPr>
          <w:rFonts w:asciiTheme="majorHAnsi" w:hAnsiTheme="majorHAnsi" w:cstheme="majorHAnsi"/>
          <w:sz w:val="20"/>
          <w:szCs w:val="20"/>
          <w:u w:val="single"/>
          <w:lang w:val="en-US"/>
        </w:rPr>
        <w:t>For Superintendents only</w:t>
      </w:r>
      <w:r w:rsidRPr="00EC48C1">
        <w:rPr>
          <w:rFonts w:asciiTheme="majorHAnsi" w:hAnsiTheme="majorHAnsi" w:cstheme="majorHAnsi"/>
          <w:sz w:val="20"/>
          <w:szCs w:val="20"/>
          <w:lang w:val="en-US"/>
        </w:rPr>
        <w:t>:</w:t>
      </w:r>
    </w:p>
    <w:p w14:paraId="4C31160E" w14:textId="77777777" w:rsidR="008D0CAD" w:rsidRPr="00173FD6" w:rsidRDefault="008D0CAD" w:rsidP="00DD08E3">
      <w:pPr>
        <w:numPr>
          <w:ilvl w:val="1"/>
          <w:numId w:val="66"/>
        </w:numPr>
        <w:spacing w:before="100" w:beforeAutospacing="1" w:after="100" w:afterAutospacing="1" w:line="360" w:lineRule="auto"/>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 xml:space="preserve">Were you able to complete all the training modules of the </w:t>
      </w:r>
      <w:r w:rsidRPr="00173FD6">
        <w:rPr>
          <w:rFonts w:asciiTheme="majorHAnsi" w:hAnsiTheme="majorHAnsi" w:cstheme="majorHAnsi"/>
          <w:b/>
          <w:snapToGrid w:val="0"/>
          <w:sz w:val="20"/>
          <w:szCs w:val="20"/>
          <w:lang w:val="en-US"/>
        </w:rPr>
        <w:t>Superintendent’s Leadership Program Modules</w:t>
      </w:r>
      <w:r w:rsidRPr="00173FD6">
        <w:rPr>
          <w:rFonts w:asciiTheme="majorHAnsi" w:hAnsiTheme="majorHAnsi" w:cstheme="majorHAnsi"/>
          <w:snapToGrid w:val="0"/>
          <w:sz w:val="20"/>
          <w:szCs w:val="20"/>
          <w:lang w:val="en-US"/>
        </w:rPr>
        <w:t>? Why and Why not?</w:t>
      </w:r>
    </w:p>
    <w:p w14:paraId="122803BC" w14:textId="77777777" w:rsidR="008D0CAD" w:rsidRPr="00173FD6" w:rsidRDefault="008D0CAD" w:rsidP="00DD08E3">
      <w:pPr>
        <w:numPr>
          <w:ilvl w:val="1"/>
          <w:numId w:val="66"/>
        </w:numPr>
        <w:spacing w:before="100" w:beforeAutospacing="1" w:after="100" w:afterAutospacing="1" w:line="360" w:lineRule="auto"/>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How useful and significant were the training modules to improving your leadership and management competencies toward implementing the basic education reforms?</w:t>
      </w:r>
    </w:p>
    <w:p w14:paraId="24240550" w14:textId="77777777" w:rsidR="008D0CAD" w:rsidRPr="00173FD6" w:rsidRDefault="008D0CAD" w:rsidP="005902F7">
      <w:pPr>
        <w:spacing w:before="100" w:beforeAutospacing="1" w:after="100" w:afterAutospacing="1" w:line="360" w:lineRule="auto"/>
        <w:rPr>
          <w:rFonts w:asciiTheme="majorHAnsi" w:hAnsiTheme="majorHAnsi" w:cstheme="majorHAnsi"/>
          <w:b/>
          <w:sz w:val="20"/>
          <w:szCs w:val="20"/>
          <w:lang w:val="en-US"/>
        </w:rPr>
      </w:pPr>
      <w:r w:rsidRPr="00EC48C1">
        <w:rPr>
          <w:rFonts w:asciiTheme="majorHAnsi" w:hAnsiTheme="majorHAnsi" w:cstheme="majorHAnsi"/>
          <w:b/>
          <w:sz w:val="20"/>
          <w:szCs w:val="20"/>
          <w:lang w:val="en-US"/>
        </w:rPr>
        <w:t>Philippine Professional Standards for Teachers (PPST)</w:t>
      </w:r>
    </w:p>
    <w:p w14:paraId="14EC8284" w14:textId="59DA4559" w:rsidR="008D0CAD" w:rsidRPr="00173FD6" w:rsidRDefault="008D0CAD" w:rsidP="00DD08E3">
      <w:pPr>
        <w:numPr>
          <w:ilvl w:val="0"/>
          <w:numId w:val="66"/>
        </w:numPr>
        <w:spacing w:before="100" w:beforeAutospacing="1" w:after="100" w:afterAutospacing="1" w:line="360" w:lineRule="auto"/>
        <w:ind w:left="284" w:hanging="284"/>
        <w:contextualSpacing/>
        <w:rPr>
          <w:rFonts w:asciiTheme="majorHAnsi" w:hAnsiTheme="majorHAnsi" w:cstheme="majorHAnsi"/>
          <w:snapToGrid w:val="0"/>
          <w:sz w:val="20"/>
          <w:szCs w:val="20"/>
          <w:lang w:val="en-US"/>
        </w:rPr>
      </w:pPr>
      <w:r w:rsidRPr="00173FD6">
        <w:rPr>
          <w:rFonts w:asciiTheme="majorHAnsi" w:hAnsiTheme="majorHAnsi" w:cstheme="majorHAnsi"/>
          <w:bCs/>
          <w:snapToGrid w:val="0"/>
          <w:sz w:val="20"/>
          <w:szCs w:val="20"/>
          <w:lang w:val="en-US"/>
        </w:rPr>
        <w:t xml:space="preserve">Please describe how the </w:t>
      </w:r>
      <w:r w:rsidRPr="00173FD6">
        <w:rPr>
          <w:rFonts w:asciiTheme="majorHAnsi" w:hAnsiTheme="majorHAnsi" w:cstheme="majorHAnsi"/>
          <w:b/>
          <w:snapToGrid w:val="0"/>
          <w:sz w:val="20"/>
          <w:szCs w:val="20"/>
          <w:lang w:val="en-US"/>
        </w:rPr>
        <w:t>Philippine Professional Standards for Teachers (PPST)</w:t>
      </w:r>
      <w:r w:rsidR="00B63EDD">
        <w:rPr>
          <w:rFonts w:asciiTheme="majorHAnsi" w:hAnsiTheme="majorHAnsi" w:cstheme="majorHAnsi"/>
          <w:b/>
          <w:snapToGrid w:val="0"/>
          <w:sz w:val="20"/>
          <w:szCs w:val="20"/>
          <w:lang w:val="en-US"/>
        </w:rPr>
        <w:t xml:space="preserve"> </w:t>
      </w:r>
      <w:r w:rsidRPr="00173FD6">
        <w:rPr>
          <w:rFonts w:asciiTheme="majorHAnsi" w:hAnsiTheme="majorHAnsi" w:cstheme="majorHAnsi"/>
          <w:bCs/>
          <w:snapToGrid w:val="0"/>
          <w:sz w:val="20"/>
          <w:szCs w:val="20"/>
          <w:lang w:val="en-US"/>
        </w:rPr>
        <w:t>were implemented or are being implemented in your Division/Region</w:t>
      </w:r>
      <w:r w:rsidRPr="00173FD6">
        <w:rPr>
          <w:rFonts w:asciiTheme="majorHAnsi" w:hAnsiTheme="majorHAnsi" w:cstheme="majorHAnsi"/>
          <w:snapToGrid w:val="0"/>
          <w:sz w:val="20"/>
          <w:szCs w:val="20"/>
          <w:lang w:val="en-US"/>
        </w:rPr>
        <w:t xml:space="preserve"> through the Results-based Performance Management System (RPMS)</w:t>
      </w:r>
      <w:r w:rsidRPr="00173FD6">
        <w:rPr>
          <w:rFonts w:asciiTheme="majorHAnsi" w:hAnsiTheme="majorHAnsi" w:cstheme="majorHAnsi"/>
          <w:bCs/>
          <w:snapToGrid w:val="0"/>
          <w:sz w:val="20"/>
          <w:szCs w:val="20"/>
          <w:lang w:val="en-US"/>
        </w:rPr>
        <w:t xml:space="preserve">? </w:t>
      </w:r>
    </w:p>
    <w:p w14:paraId="5057BB1F" w14:textId="77777777" w:rsidR="008D0CAD" w:rsidRPr="00173FD6" w:rsidRDefault="008D0CAD" w:rsidP="00DD08E3">
      <w:pPr>
        <w:numPr>
          <w:ilvl w:val="1"/>
          <w:numId w:val="66"/>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Prior to the formulation of the PPST, what were the standards for teachers used and how were teacher performance assessed?</w:t>
      </w:r>
    </w:p>
    <w:p w14:paraId="50B284CE" w14:textId="77777777" w:rsidR="008D0CAD" w:rsidRPr="00173FD6" w:rsidRDefault="008D0CAD" w:rsidP="00DD08E3">
      <w:pPr>
        <w:numPr>
          <w:ilvl w:val="1"/>
          <w:numId w:val="66"/>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How were the [Regional implementers/ Superintendents and Division implementers] capacitated to implement the PPST-aligned RPMS? Please describe the mode of training (formal training, job training, peer study, self-study etc.), length of capacity building, who provided the training, etc.</w:t>
      </w:r>
    </w:p>
    <w:p w14:paraId="6B9DA5EE" w14:textId="77777777" w:rsidR="008D0CAD" w:rsidRPr="00173FD6" w:rsidRDefault="008D0CAD" w:rsidP="00DD08E3">
      <w:pPr>
        <w:numPr>
          <w:ilvl w:val="2"/>
          <w:numId w:val="66"/>
        </w:numPr>
        <w:spacing w:before="100" w:beforeAutospacing="1" w:after="100" w:afterAutospacing="1" w:line="360" w:lineRule="auto"/>
        <w:ind w:left="1418" w:hanging="567"/>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What were the mode of training (formal training, job training, peer study, self-study etc.), length of capacity building, who provided the training, etc.?</w:t>
      </w:r>
    </w:p>
    <w:p w14:paraId="19F38629" w14:textId="77777777" w:rsidR="008D0CAD" w:rsidRPr="00173FD6" w:rsidRDefault="008D0CAD" w:rsidP="00DD08E3">
      <w:pPr>
        <w:numPr>
          <w:ilvl w:val="2"/>
          <w:numId w:val="66"/>
        </w:numPr>
        <w:spacing w:before="100" w:beforeAutospacing="1" w:after="100" w:afterAutospacing="1" w:line="360" w:lineRule="auto"/>
        <w:ind w:left="1418" w:hanging="567"/>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How effective were the capacity building interventions provided in helping them successfully perform their roles and functions in “rolling-out” or “cascading” the reforms to the lower levels (e.g. Region to Division, Divisions to Principals, Principals to Teachers)?</w:t>
      </w:r>
      <w:r w:rsidRPr="00173FD6">
        <w:rPr>
          <w:rFonts w:asciiTheme="majorHAnsi" w:hAnsiTheme="majorHAnsi" w:cstheme="majorHAnsi"/>
          <w:bCs/>
          <w:snapToGrid w:val="0"/>
          <w:color w:val="000000"/>
          <w:sz w:val="20"/>
          <w:szCs w:val="20"/>
          <w:lang w:val="en-US"/>
        </w:rPr>
        <w:t xml:space="preserve"> </w:t>
      </w:r>
    </w:p>
    <w:p w14:paraId="2E6E9F8C" w14:textId="77777777" w:rsidR="008D0CAD" w:rsidRPr="00173FD6" w:rsidRDefault="008D0CAD" w:rsidP="00DD08E3">
      <w:pPr>
        <w:numPr>
          <w:ilvl w:val="1"/>
          <w:numId w:val="66"/>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color w:val="000000" w:themeColor="text1"/>
          <w:sz w:val="20"/>
          <w:szCs w:val="20"/>
          <w:lang w:val="en-US"/>
        </w:rPr>
        <w:t>Do you think that the introduction of the Self-Assessment Tool (SAT), the Classroom Observation Tool (COT) and the Portfolio Assessment for Teachers were useful to principals and teachers? How did these tools help the principals and teachers?</w:t>
      </w:r>
    </w:p>
    <w:p w14:paraId="64EB90BA" w14:textId="77777777" w:rsidR="008D0CAD" w:rsidRPr="00173FD6" w:rsidRDefault="008D0CAD" w:rsidP="00DD08E3">
      <w:pPr>
        <w:numPr>
          <w:ilvl w:val="1"/>
          <w:numId w:val="66"/>
        </w:numPr>
        <w:spacing w:before="100" w:beforeAutospacing="1" w:after="100" w:afterAutospacing="1" w:line="360" w:lineRule="auto"/>
        <w:ind w:left="1418" w:hanging="567"/>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 xml:space="preserve">To what extent would the reforms </w:t>
      </w:r>
      <w:r w:rsidRPr="00173FD6">
        <w:rPr>
          <w:rFonts w:asciiTheme="majorHAnsi" w:hAnsiTheme="majorHAnsi" w:cstheme="majorHAnsi"/>
          <w:bCs/>
          <w:snapToGrid w:val="0"/>
          <w:sz w:val="20"/>
          <w:szCs w:val="20"/>
          <w:lang w:val="en-US"/>
        </w:rPr>
        <w:t xml:space="preserve">in formulating the </w:t>
      </w:r>
      <w:r w:rsidRPr="00173FD6">
        <w:rPr>
          <w:rFonts w:asciiTheme="majorHAnsi" w:hAnsiTheme="majorHAnsi" w:cstheme="majorHAnsi"/>
          <w:snapToGrid w:val="0"/>
          <w:sz w:val="20"/>
          <w:szCs w:val="20"/>
          <w:lang w:val="en-US"/>
        </w:rPr>
        <w:t>Professional Standards for Teachers</w:t>
      </w:r>
      <w:r w:rsidRPr="00173FD6">
        <w:rPr>
          <w:rFonts w:asciiTheme="majorHAnsi" w:hAnsiTheme="majorHAnsi" w:cstheme="majorHAnsi"/>
          <w:bCs/>
          <w:snapToGrid w:val="0"/>
          <w:sz w:val="20"/>
          <w:szCs w:val="20"/>
          <w:lang w:val="en-US"/>
        </w:rPr>
        <w:t>, in the last five years, been undertaken and completed without the BEST Program assistance</w:t>
      </w:r>
      <w:r w:rsidRPr="00173FD6">
        <w:rPr>
          <w:rFonts w:asciiTheme="majorHAnsi" w:hAnsiTheme="majorHAnsi" w:cstheme="majorHAnsi"/>
          <w:snapToGrid w:val="0"/>
          <w:sz w:val="20"/>
          <w:szCs w:val="20"/>
          <w:lang w:val="en-US"/>
        </w:rPr>
        <w:t>? How significant was contribution of the BEST Program to these reforms?</w:t>
      </w:r>
    </w:p>
    <w:p w14:paraId="3C1C2BBA" w14:textId="28EF03D8" w:rsidR="008D0CAD" w:rsidRPr="00173FD6" w:rsidRDefault="008D0CAD" w:rsidP="005902F7">
      <w:pPr>
        <w:spacing w:before="100" w:beforeAutospacing="1" w:after="100" w:afterAutospacing="1" w:line="360" w:lineRule="auto"/>
        <w:rPr>
          <w:rFonts w:asciiTheme="majorHAnsi" w:hAnsiTheme="majorHAnsi" w:cstheme="majorHAnsi"/>
          <w:b/>
          <w:i/>
          <w:sz w:val="20"/>
          <w:szCs w:val="20"/>
          <w:lang w:val="en-US"/>
        </w:rPr>
      </w:pPr>
      <w:r w:rsidRPr="00EC48C1">
        <w:rPr>
          <w:rFonts w:asciiTheme="majorHAnsi" w:hAnsiTheme="majorHAnsi" w:cstheme="majorHAnsi"/>
          <w:b/>
          <w:sz w:val="20"/>
          <w:szCs w:val="20"/>
          <w:lang w:val="en-US"/>
        </w:rPr>
        <w:t>Curriculum and assessment systems (CAS)</w:t>
      </w:r>
      <w:r w:rsidR="00D434EB">
        <w:rPr>
          <w:rFonts w:asciiTheme="majorHAnsi" w:hAnsiTheme="majorHAnsi" w:cstheme="majorHAnsi"/>
          <w:b/>
          <w:sz w:val="20"/>
          <w:szCs w:val="20"/>
          <w:lang w:val="en-US"/>
        </w:rPr>
        <w:t xml:space="preserve"> </w:t>
      </w:r>
    </w:p>
    <w:p w14:paraId="1FC65796" w14:textId="77777777" w:rsidR="008D0CAD" w:rsidRPr="00173FD6" w:rsidRDefault="008D0CAD" w:rsidP="00DD08E3">
      <w:pPr>
        <w:numPr>
          <w:ilvl w:val="0"/>
          <w:numId w:val="66"/>
        </w:numPr>
        <w:spacing w:before="100" w:beforeAutospacing="1" w:after="100" w:afterAutospacing="1" w:line="360" w:lineRule="auto"/>
        <w:ind w:left="284" w:hanging="284"/>
        <w:contextualSpacing/>
        <w:rPr>
          <w:rFonts w:asciiTheme="majorHAnsi" w:hAnsiTheme="majorHAnsi" w:cstheme="majorHAnsi"/>
          <w:snapToGrid w:val="0"/>
          <w:sz w:val="20"/>
          <w:szCs w:val="20"/>
          <w:lang w:val="en-US"/>
        </w:rPr>
      </w:pPr>
      <w:r w:rsidRPr="00173FD6">
        <w:rPr>
          <w:rFonts w:asciiTheme="majorHAnsi" w:hAnsiTheme="majorHAnsi" w:cstheme="majorHAnsi"/>
          <w:snapToGrid w:val="0"/>
          <w:color w:val="000000" w:themeColor="text1"/>
          <w:sz w:val="20"/>
          <w:szCs w:val="20"/>
          <w:lang w:val="en-US"/>
        </w:rPr>
        <w:t>How were the basic education reforms in curricula (i.e., K to 12 curricula) and assessment implemented across schools in your Region/Division?</w:t>
      </w:r>
    </w:p>
    <w:p w14:paraId="171AE73E" w14:textId="7473335C" w:rsidR="008D0CAD" w:rsidRPr="00173FD6" w:rsidRDefault="008D0CAD" w:rsidP="00DD08E3">
      <w:pPr>
        <w:numPr>
          <w:ilvl w:val="1"/>
          <w:numId w:val="66"/>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 xml:space="preserve">How were the [Regional implementers/ Superintendents and Division implementers] capacitated to implement the reforms in </w:t>
      </w:r>
      <w:r w:rsidRPr="00173FD6">
        <w:rPr>
          <w:rFonts w:asciiTheme="majorHAnsi" w:hAnsiTheme="majorHAnsi" w:cstheme="majorHAnsi"/>
          <w:snapToGrid w:val="0"/>
          <w:color w:val="000000" w:themeColor="text1"/>
          <w:sz w:val="20"/>
          <w:szCs w:val="20"/>
          <w:lang w:val="en-US"/>
        </w:rPr>
        <w:t>K to 12 curricula and assessment</w:t>
      </w:r>
      <w:r w:rsidRPr="00173FD6">
        <w:rPr>
          <w:rFonts w:asciiTheme="majorHAnsi" w:hAnsiTheme="majorHAnsi" w:cstheme="majorHAnsi"/>
          <w:snapToGrid w:val="0"/>
          <w:sz w:val="20"/>
          <w:szCs w:val="20"/>
          <w:lang w:val="en-US"/>
        </w:rPr>
        <w:t>?</w:t>
      </w:r>
      <w:r w:rsidR="00D434EB">
        <w:rPr>
          <w:rFonts w:asciiTheme="majorHAnsi" w:hAnsiTheme="majorHAnsi" w:cstheme="majorHAnsi"/>
          <w:snapToGrid w:val="0"/>
          <w:sz w:val="20"/>
          <w:szCs w:val="20"/>
          <w:lang w:val="en-US"/>
        </w:rPr>
        <w:t xml:space="preserve"> </w:t>
      </w:r>
      <w:r w:rsidRPr="00173FD6">
        <w:rPr>
          <w:rFonts w:asciiTheme="majorHAnsi" w:hAnsiTheme="majorHAnsi" w:cstheme="majorHAnsi"/>
          <w:snapToGrid w:val="0"/>
          <w:sz w:val="20"/>
          <w:szCs w:val="20"/>
          <w:lang w:val="en-US"/>
        </w:rPr>
        <w:t>What were the mode of training (formal training, job training, peer study, self-study etc.), length of capacity building, who provided the training, etc.?</w:t>
      </w:r>
    </w:p>
    <w:p w14:paraId="7E25EF84" w14:textId="77777777" w:rsidR="008D0CAD" w:rsidRPr="00173FD6" w:rsidRDefault="008D0CAD" w:rsidP="00DD08E3">
      <w:pPr>
        <w:numPr>
          <w:ilvl w:val="2"/>
          <w:numId w:val="66"/>
        </w:numPr>
        <w:spacing w:before="100" w:beforeAutospacing="1" w:after="100" w:afterAutospacing="1" w:line="360" w:lineRule="auto"/>
        <w:ind w:left="1418" w:hanging="567"/>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How effective were the capacity building interventions provided in helping them successfully perform their roles and functions in “rolling-out” or “cascading” the reforms to the lower levels (e.g. Region to Division, Divisions to Principals, Principals to Teachers)?</w:t>
      </w:r>
      <w:r w:rsidRPr="00173FD6">
        <w:rPr>
          <w:rFonts w:asciiTheme="majorHAnsi" w:hAnsiTheme="majorHAnsi" w:cstheme="majorHAnsi"/>
          <w:bCs/>
          <w:snapToGrid w:val="0"/>
          <w:color w:val="000000"/>
          <w:sz w:val="20"/>
          <w:szCs w:val="20"/>
          <w:lang w:val="en-US"/>
        </w:rPr>
        <w:t xml:space="preserve"> </w:t>
      </w:r>
    </w:p>
    <w:p w14:paraId="10628B6C" w14:textId="0286429E" w:rsidR="008D0CAD" w:rsidRPr="00173FD6" w:rsidRDefault="008D0CAD" w:rsidP="00DD08E3">
      <w:pPr>
        <w:numPr>
          <w:ilvl w:val="1"/>
          <w:numId w:val="66"/>
        </w:numPr>
        <w:spacing w:before="100" w:beforeAutospacing="1" w:after="100" w:afterAutospacing="1" w:line="360" w:lineRule="auto"/>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 xml:space="preserve">To what extent did the reforms </w:t>
      </w:r>
      <w:r w:rsidRPr="00173FD6">
        <w:rPr>
          <w:rFonts w:asciiTheme="majorHAnsi" w:hAnsiTheme="majorHAnsi" w:cstheme="majorHAnsi"/>
          <w:bCs/>
          <w:snapToGrid w:val="0"/>
          <w:sz w:val="20"/>
          <w:szCs w:val="20"/>
          <w:lang w:val="en-US"/>
        </w:rPr>
        <w:t>in curriculum and assessment enhance the delivery of Inclusive Education in your Region/Division</w:t>
      </w:r>
      <w:r w:rsidRPr="00173FD6">
        <w:rPr>
          <w:rFonts w:asciiTheme="majorHAnsi" w:hAnsiTheme="majorHAnsi" w:cstheme="majorHAnsi"/>
          <w:snapToGrid w:val="0"/>
          <w:sz w:val="20"/>
          <w:szCs w:val="20"/>
          <w:lang w:val="en-US"/>
        </w:rPr>
        <w:t>?</w:t>
      </w:r>
      <w:r w:rsidR="00D434EB">
        <w:rPr>
          <w:rFonts w:asciiTheme="majorHAnsi" w:hAnsiTheme="majorHAnsi" w:cstheme="majorHAnsi"/>
          <w:snapToGrid w:val="0"/>
          <w:sz w:val="20"/>
          <w:szCs w:val="20"/>
          <w:lang w:val="en-US"/>
        </w:rPr>
        <w:t xml:space="preserve"> </w:t>
      </w:r>
      <w:r w:rsidRPr="00173FD6">
        <w:rPr>
          <w:rFonts w:asciiTheme="majorHAnsi" w:hAnsiTheme="majorHAnsi" w:cstheme="majorHAnsi"/>
          <w:snapToGrid w:val="0"/>
          <w:sz w:val="20"/>
          <w:szCs w:val="20"/>
          <w:lang w:val="en-US"/>
        </w:rPr>
        <w:t>Please cite specific examples.</w:t>
      </w:r>
    </w:p>
    <w:p w14:paraId="2F8B7A70" w14:textId="77777777" w:rsidR="008D0CAD" w:rsidRPr="00173FD6" w:rsidRDefault="008D0CAD" w:rsidP="00DD08E3">
      <w:pPr>
        <w:numPr>
          <w:ilvl w:val="1"/>
          <w:numId w:val="66"/>
        </w:numPr>
        <w:spacing w:before="100" w:beforeAutospacing="1" w:after="100" w:afterAutospacing="1" w:line="360" w:lineRule="auto"/>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 xml:space="preserve">To what extent would the reforms </w:t>
      </w:r>
      <w:r w:rsidRPr="00173FD6">
        <w:rPr>
          <w:rFonts w:asciiTheme="majorHAnsi" w:hAnsiTheme="majorHAnsi" w:cstheme="majorHAnsi"/>
          <w:bCs/>
          <w:snapToGrid w:val="0"/>
          <w:sz w:val="20"/>
          <w:szCs w:val="20"/>
          <w:lang w:val="en-US"/>
        </w:rPr>
        <w:t>in curriculum and assessment, in the last five years, been undertaken and completed without the BEST Program assistance</w:t>
      </w:r>
      <w:r w:rsidRPr="00173FD6">
        <w:rPr>
          <w:rFonts w:asciiTheme="majorHAnsi" w:hAnsiTheme="majorHAnsi" w:cstheme="majorHAnsi"/>
          <w:snapToGrid w:val="0"/>
          <w:sz w:val="20"/>
          <w:szCs w:val="20"/>
          <w:lang w:val="en-US"/>
        </w:rPr>
        <w:t>? How significant was contribution of the BEST Program to these reforms?</w:t>
      </w:r>
    </w:p>
    <w:p w14:paraId="14E4EA1D" w14:textId="77777777" w:rsidR="008D0CAD" w:rsidRPr="00173FD6" w:rsidRDefault="008D0CAD" w:rsidP="005902F7">
      <w:pPr>
        <w:spacing w:before="100" w:beforeAutospacing="1" w:after="100" w:afterAutospacing="1" w:line="360" w:lineRule="auto"/>
        <w:ind w:left="360"/>
        <w:rPr>
          <w:rFonts w:asciiTheme="majorHAnsi" w:hAnsiTheme="majorHAnsi" w:cstheme="majorHAnsi"/>
          <w:sz w:val="20"/>
          <w:szCs w:val="20"/>
          <w:lang w:val="en-US"/>
        </w:rPr>
      </w:pPr>
      <w:r w:rsidRPr="00EC48C1">
        <w:rPr>
          <w:rFonts w:asciiTheme="majorHAnsi" w:hAnsiTheme="majorHAnsi" w:cstheme="majorHAnsi"/>
          <w:sz w:val="20"/>
          <w:szCs w:val="20"/>
          <w:u w:val="single"/>
          <w:lang w:val="en-US"/>
        </w:rPr>
        <w:t>For Superintendents only</w:t>
      </w:r>
      <w:r w:rsidRPr="00EC48C1">
        <w:rPr>
          <w:rFonts w:asciiTheme="majorHAnsi" w:hAnsiTheme="majorHAnsi" w:cstheme="majorHAnsi"/>
          <w:sz w:val="20"/>
          <w:szCs w:val="20"/>
          <w:lang w:val="en-US"/>
        </w:rPr>
        <w:t>:</w:t>
      </w:r>
    </w:p>
    <w:p w14:paraId="2CF622B1" w14:textId="77777777" w:rsidR="008D0CAD" w:rsidRPr="00173FD6" w:rsidRDefault="008D0CAD" w:rsidP="00DD08E3">
      <w:pPr>
        <w:numPr>
          <w:ilvl w:val="1"/>
          <w:numId w:val="66"/>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 xml:space="preserve">How were the </w:t>
      </w:r>
      <w:r w:rsidRPr="00173FD6">
        <w:rPr>
          <w:rFonts w:asciiTheme="majorHAnsi" w:hAnsiTheme="majorHAnsi" w:cstheme="majorHAnsi"/>
          <w:b/>
          <w:snapToGrid w:val="0"/>
          <w:sz w:val="20"/>
          <w:szCs w:val="20"/>
          <w:lang w:val="en-US"/>
        </w:rPr>
        <w:t>teachers</w:t>
      </w:r>
      <w:r w:rsidRPr="00173FD6">
        <w:rPr>
          <w:rFonts w:asciiTheme="majorHAnsi" w:hAnsiTheme="majorHAnsi" w:cstheme="majorHAnsi"/>
          <w:snapToGrid w:val="0"/>
          <w:sz w:val="20"/>
          <w:szCs w:val="20"/>
          <w:lang w:val="en-US"/>
        </w:rPr>
        <w:t xml:space="preserve"> capacitated on the implementation of the K-12 curriculum? Please describe the mode of training (formal training, job training, peer study, self-study etc.), length of capacity building, who provided the training, etc.</w:t>
      </w:r>
    </w:p>
    <w:p w14:paraId="799DB711" w14:textId="77777777" w:rsidR="008D0CAD" w:rsidRPr="00173FD6" w:rsidRDefault="008D0CAD" w:rsidP="00DD08E3">
      <w:pPr>
        <w:numPr>
          <w:ilvl w:val="1"/>
          <w:numId w:val="66"/>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 xml:space="preserve">How were the </w:t>
      </w:r>
      <w:r w:rsidRPr="00173FD6">
        <w:rPr>
          <w:rFonts w:asciiTheme="majorHAnsi" w:hAnsiTheme="majorHAnsi" w:cstheme="majorHAnsi"/>
          <w:b/>
          <w:snapToGrid w:val="0"/>
          <w:sz w:val="20"/>
          <w:szCs w:val="20"/>
          <w:lang w:val="en-US"/>
        </w:rPr>
        <w:t>teachers</w:t>
      </w:r>
      <w:r w:rsidRPr="00173FD6">
        <w:rPr>
          <w:rFonts w:asciiTheme="majorHAnsi" w:hAnsiTheme="majorHAnsi" w:cstheme="majorHAnsi"/>
          <w:snapToGrid w:val="0"/>
          <w:sz w:val="20"/>
          <w:szCs w:val="20"/>
          <w:lang w:val="en-US"/>
        </w:rPr>
        <w:t xml:space="preserve"> capacitated on the implementation of the new assessment framework and guides? Please describe the mode of training (formal training, job training, peer study, self-study etc.), length of capacity building, who provided the training, etc.</w:t>
      </w:r>
    </w:p>
    <w:p w14:paraId="3284EE0E" w14:textId="77777777" w:rsidR="008D0CAD" w:rsidRPr="00173FD6" w:rsidRDefault="008D0CAD" w:rsidP="00DD08E3">
      <w:pPr>
        <w:numPr>
          <w:ilvl w:val="1"/>
          <w:numId w:val="66"/>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 xml:space="preserve">How effective were the capacity building interventions provided to the </w:t>
      </w:r>
      <w:r w:rsidRPr="00173FD6">
        <w:rPr>
          <w:rFonts w:asciiTheme="majorHAnsi" w:hAnsiTheme="majorHAnsi" w:cstheme="majorHAnsi"/>
          <w:b/>
          <w:snapToGrid w:val="0"/>
          <w:sz w:val="20"/>
          <w:szCs w:val="20"/>
          <w:lang w:val="en-US"/>
        </w:rPr>
        <w:t>teachers</w:t>
      </w:r>
      <w:r w:rsidRPr="00173FD6">
        <w:rPr>
          <w:rFonts w:asciiTheme="majorHAnsi" w:hAnsiTheme="majorHAnsi" w:cstheme="majorHAnsi"/>
          <w:snapToGrid w:val="0"/>
          <w:sz w:val="20"/>
          <w:szCs w:val="20"/>
          <w:lang w:val="en-US"/>
        </w:rPr>
        <w:t xml:space="preserve"> in</w:t>
      </w:r>
      <w:r w:rsidRPr="00173FD6">
        <w:rPr>
          <w:rFonts w:asciiTheme="majorHAnsi" w:hAnsiTheme="majorHAnsi" w:cstheme="majorHAnsi"/>
          <w:b/>
          <w:snapToGrid w:val="0"/>
          <w:sz w:val="20"/>
          <w:szCs w:val="20"/>
          <w:lang w:val="en-US"/>
        </w:rPr>
        <w:t xml:space="preserve"> </w:t>
      </w:r>
      <w:r w:rsidRPr="00173FD6">
        <w:rPr>
          <w:rFonts w:asciiTheme="majorHAnsi" w:hAnsiTheme="majorHAnsi" w:cstheme="majorHAnsi"/>
          <w:snapToGrid w:val="0"/>
          <w:sz w:val="20"/>
          <w:szCs w:val="20"/>
          <w:lang w:val="en-US"/>
        </w:rPr>
        <w:t>helping them successfully deliver quality education at the classroom level?</w:t>
      </w:r>
      <w:r w:rsidRPr="00173FD6">
        <w:rPr>
          <w:rFonts w:asciiTheme="majorHAnsi" w:hAnsiTheme="majorHAnsi" w:cstheme="majorHAnsi"/>
          <w:bCs/>
          <w:snapToGrid w:val="0"/>
          <w:color w:val="000000"/>
          <w:sz w:val="20"/>
          <w:szCs w:val="20"/>
          <w:lang w:val="en-US"/>
        </w:rPr>
        <w:t xml:space="preserve"> </w:t>
      </w:r>
    </w:p>
    <w:p w14:paraId="30AD51B3" w14:textId="73B653FA" w:rsidR="008D0CAD" w:rsidRPr="00173FD6" w:rsidRDefault="008D0CAD" w:rsidP="00DD08E3">
      <w:pPr>
        <w:numPr>
          <w:ilvl w:val="1"/>
          <w:numId w:val="66"/>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If capacity building provided are not adequate, what were the remaining gaps?</w:t>
      </w:r>
      <w:r w:rsidR="00D434EB">
        <w:rPr>
          <w:rFonts w:asciiTheme="majorHAnsi" w:hAnsiTheme="majorHAnsi" w:cstheme="majorHAnsi"/>
          <w:snapToGrid w:val="0"/>
          <w:sz w:val="20"/>
          <w:szCs w:val="20"/>
          <w:lang w:val="en-US"/>
        </w:rPr>
        <w:t xml:space="preserve"> </w:t>
      </w:r>
    </w:p>
    <w:p w14:paraId="5C77515F" w14:textId="064E5A38" w:rsidR="008D0CAD" w:rsidRPr="005902F7" w:rsidRDefault="008D0CAD" w:rsidP="00DD08E3">
      <w:pPr>
        <w:numPr>
          <w:ilvl w:val="1"/>
          <w:numId w:val="66"/>
        </w:numPr>
        <w:spacing w:before="100" w:beforeAutospacing="1" w:after="100" w:afterAutospacing="1" w:line="360" w:lineRule="auto"/>
        <w:rPr>
          <w:rFonts w:asciiTheme="majorHAnsi" w:hAnsiTheme="majorHAnsi" w:cstheme="majorHAnsi"/>
          <w:snapToGrid w:val="0"/>
          <w:sz w:val="20"/>
          <w:szCs w:val="20"/>
          <w:lang w:val="en-US"/>
        </w:rPr>
      </w:pPr>
      <w:r w:rsidRPr="00173FD6">
        <w:rPr>
          <w:rFonts w:asciiTheme="majorHAnsi" w:hAnsiTheme="majorHAnsi" w:cstheme="majorHAnsi"/>
          <w:snapToGrid w:val="0"/>
          <w:color w:val="000000" w:themeColor="text1"/>
          <w:sz w:val="20"/>
          <w:szCs w:val="20"/>
          <w:lang w:val="en-US"/>
        </w:rPr>
        <w:t>How is the process of assessing student learning different today that it was five years ago before the start of K to 12?</w:t>
      </w:r>
    </w:p>
    <w:p w14:paraId="687986F2" w14:textId="77777777" w:rsidR="008D0CAD" w:rsidRPr="00173FD6" w:rsidRDefault="008D0CAD" w:rsidP="005902F7">
      <w:pPr>
        <w:spacing w:before="100" w:beforeAutospacing="1" w:after="100" w:afterAutospacing="1" w:line="360" w:lineRule="auto"/>
        <w:rPr>
          <w:rFonts w:asciiTheme="majorHAnsi" w:hAnsiTheme="majorHAnsi" w:cstheme="majorHAnsi"/>
          <w:b/>
          <w:bCs/>
          <w:sz w:val="20"/>
          <w:szCs w:val="20"/>
          <w:lang w:val="en-US"/>
        </w:rPr>
      </w:pPr>
      <w:r w:rsidRPr="00EC48C1">
        <w:rPr>
          <w:rFonts w:asciiTheme="majorHAnsi" w:hAnsiTheme="majorHAnsi" w:cstheme="majorHAnsi"/>
          <w:b/>
          <w:bCs/>
          <w:sz w:val="20"/>
          <w:szCs w:val="20"/>
          <w:lang w:val="en-US"/>
        </w:rPr>
        <w:t>School-Based Management (SBM)</w:t>
      </w:r>
      <w:r w:rsidRPr="00173FD6">
        <w:rPr>
          <w:rFonts w:asciiTheme="majorHAnsi" w:hAnsiTheme="majorHAnsi" w:cstheme="majorHAnsi"/>
          <w:b/>
          <w:bCs/>
          <w:sz w:val="20"/>
          <w:szCs w:val="20"/>
          <w:lang w:val="en-US"/>
        </w:rPr>
        <w:t xml:space="preserve"> </w:t>
      </w:r>
    </w:p>
    <w:p w14:paraId="193ADF2A" w14:textId="77777777" w:rsidR="008D0CAD" w:rsidRPr="00173FD6" w:rsidRDefault="008D0CAD" w:rsidP="00DD08E3">
      <w:pPr>
        <w:numPr>
          <w:ilvl w:val="0"/>
          <w:numId w:val="66"/>
        </w:numPr>
        <w:spacing w:before="100" w:beforeAutospacing="1" w:after="100" w:afterAutospacing="1" w:line="360" w:lineRule="auto"/>
        <w:ind w:left="284" w:hanging="284"/>
        <w:contextualSpacing/>
        <w:rPr>
          <w:rFonts w:asciiTheme="majorHAnsi" w:hAnsiTheme="majorHAnsi" w:cstheme="majorHAnsi"/>
          <w:i/>
          <w:snapToGrid w:val="0"/>
          <w:sz w:val="20"/>
          <w:szCs w:val="20"/>
          <w:lang w:val="en-US"/>
        </w:rPr>
      </w:pPr>
      <w:r w:rsidRPr="00173FD6">
        <w:rPr>
          <w:rFonts w:asciiTheme="majorHAnsi" w:hAnsiTheme="majorHAnsi" w:cstheme="majorHAnsi"/>
          <w:bCs/>
          <w:snapToGrid w:val="0"/>
          <w:sz w:val="20"/>
          <w:szCs w:val="20"/>
          <w:lang w:val="en-US"/>
        </w:rPr>
        <w:t xml:space="preserve">How was the SBM Assessment Framework implemented in your Region/Division/School? </w:t>
      </w:r>
    </w:p>
    <w:p w14:paraId="028FFB4B" w14:textId="77777777" w:rsidR="008D0CAD" w:rsidRPr="00173FD6" w:rsidRDefault="008D0CAD" w:rsidP="00DD08E3">
      <w:pPr>
        <w:numPr>
          <w:ilvl w:val="0"/>
          <w:numId w:val="66"/>
        </w:numPr>
        <w:spacing w:before="100" w:beforeAutospacing="1" w:after="100" w:afterAutospacing="1" w:line="360" w:lineRule="auto"/>
        <w:ind w:left="284" w:hanging="284"/>
        <w:contextualSpacing/>
        <w:rPr>
          <w:rFonts w:asciiTheme="majorHAnsi" w:hAnsiTheme="majorHAnsi" w:cstheme="majorHAnsi"/>
          <w:i/>
          <w:snapToGrid w:val="0"/>
          <w:sz w:val="20"/>
          <w:szCs w:val="20"/>
          <w:lang w:val="en-US"/>
        </w:rPr>
      </w:pPr>
      <w:r w:rsidRPr="00173FD6">
        <w:rPr>
          <w:rFonts w:asciiTheme="majorHAnsi" w:hAnsiTheme="majorHAnsi" w:cstheme="majorHAnsi"/>
          <w:bCs/>
          <w:snapToGrid w:val="0"/>
          <w:sz w:val="20"/>
          <w:szCs w:val="20"/>
          <w:lang w:val="en-US"/>
        </w:rPr>
        <w:t>How does the current School-Based Management differ from how it was implemented five years? What were the critical differences?</w:t>
      </w:r>
    </w:p>
    <w:p w14:paraId="68A82617" w14:textId="34C0A0F3" w:rsidR="008D0CAD" w:rsidRPr="00173FD6" w:rsidRDefault="008D0CAD" w:rsidP="00DD08E3">
      <w:pPr>
        <w:numPr>
          <w:ilvl w:val="0"/>
          <w:numId w:val="66"/>
        </w:numPr>
        <w:spacing w:before="100" w:beforeAutospacing="1" w:after="100" w:afterAutospacing="1" w:line="360" w:lineRule="auto"/>
        <w:ind w:left="284" w:hanging="284"/>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How were the [Regional implementers/ Superintendents and Division implementers] capacitated to implement the reforms in the School-Based Management?</w:t>
      </w:r>
      <w:r w:rsidR="00D434EB">
        <w:rPr>
          <w:rFonts w:asciiTheme="majorHAnsi" w:hAnsiTheme="majorHAnsi" w:cstheme="majorHAnsi"/>
          <w:snapToGrid w:val="0"/>
          <w:sz w:val="20"/>
          <w:szCs w:val="20"/>
          <w:lang w:val="en-US"/>
        </w:rPr>
        <w:t xml:space="preserve"> </w:t>
      </w:r>
      <w:r w:rsidRPr="00173FD6">
        <w:rPr>
          <w:rFonts w:asciiTheme="majorHAnsi" w:hAnsiTheme="majorHAnsi" w:cstheme="majorHAnsi"/>
          <w:snapToGrid w:val="0"/>
          <w:sz w:val="20"/>
          <w:szCs w:val="20"/>
          <w:lang w:val="en-US"/>
        </w:rPr>
        <w:t>What were the mode of training (formal training, job training, peer study, self-study etc.), length of capacity building, who provided the training, etc.?</w:t>
      </w:r>
    </w:p>
    <w:p w14:paraId="15CA22E4" w14:textId="77777777" w:rsidR="008D0CAD" w:rsidRPr="00173FD6" w:rsidRDefault="008D0CAD" w:rsidP="00DD08E3">
      <w:pPr>
        <w:numPr>
          <w:ilvl w:val="1"/>
          <w:numId w:val="66"/>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How effective were the capacity building interventions provided in helping them successfully perform their roles and functions in “rolling-out” or “cascading” the SBM reforms to the lower levels (e.g. Region to Division, Divisions to Principals, Principals to Teachers)?</w:t>
      </w:r>
      <w:r w:rsidRPr="00173FD6">
        <w:rPr>
          <w:rFonts w:asciiTheme="majorHAnsi" w:hAnsiTheme="majorHAnsi" w:cstheme="majorHAnsi"/>
          <w:bCs/>
          <w:snapToGrid w:val="0"/>
          <w:color w:val="000000"/>
          <w:sz w:val="20"/>
          <w:szCs w:val="20"/>
          <w:lang w:val="en-US"/>
        </w:rPr>
        <w:t xml:space="preserve"> </w:t>
      </w:r>
    </w:p>
    <w:p w14:paraId="06A949D7" w14:textId="77777777" w:rsidR="008D0CAD" w:rsidRPr="00173FD6" w:rsidRDefault="008D0CAD" w:rsidP="00DD08E3">
      <w:pPr>
        <w:numPr>
          <w:ilvl w:val="0"/>
          <w:numId w:val="66"/>
        </w:numPr>
        <w:spacing w:before="100" w:beforeAutospacing="1" w:after="100" w:afterAutospacing="1" w:line="360" w:lineRule="auto"/>
        <w:ind w:left="284" w:hanging="284"/>
        <w:rPr>
          <w:rFonts w:asciiTheme="majorHAnsi" w:hAnsiTheme="majorHAnsi" w:cstheme="majorHAnsi"/>
          <w:snapToGrid w:val="0"/>
          <w:sz w:val="20"/>
          <w:szCs w:val="20"/>
          <w:lang w:val="en-US"/>
        </w:rPr>
      </w:pPr>
      <w:r w:rsidRPr="00173FD6">
        <w:rPr>
          <w:rFonts w:asciiTheme="majorHAnsi" w:hAnsiTheme="majorHAnsi" w:cstheme="majorHAnsi"/>
          <w:bCs/>
          <w:snapToGrid w:val="0"/>
          <w:sz w:val="20"/>
          <w:szCs w:val="20"/>
          <w:lang w:val="en-US"/>
        </w:rPr>
        <w:t>How significant is the organisation of the School Governance Councils (SG) and the formulation of School Improvement Plans (SIP) in enhancing the responsiveness and inclusiveness of basic education in your Region/Division?</w:t>
      </w:r>
    </w:p>
    <w:p w14:paraId="27827BBF" w14:textId="5CEB4FE2" w:rsidR="008D0CAD" w:rsidRPr="00173FD6" w:rsidRDefault="008D0CAD" w:rsidP="00DD08E3">
      <w:pPr>
        <w:numPr>
          <w:ilvl w:val="0"/>
          <w:numId w:val="66"/>
        </w:numPr>
        <w:spacing w:before="100" w:beforeAutospacing="1" w:after="100" w:afterAutospacing="1" w:line="360" w:lineRule="auto"/>
        <w:ind w:left="284" w:hanging="284"/>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 xml:space="preserve">To what extent did the reforms </w:t>
      </w:r>
      <w:r w:rsidRPr="00173FD6">
        <w:rPr>
          <w:rFonts w:asciiTheme="majorHAnsi" w:hAnsiTheme="majorHAnsi" w:cstheme="majorHAnsi"/>
          <w:bCs/>
          <w:snapToGrid w:val="0"/>
          <w:sz w:val="20"/>
          <w:szCs w:val="20"/>
          <w:lang w:val="en-US"/>
        </w:rPr>
        <w:t>in School-Based Management enhance the delivery of Inclusive Education in your Region/Division</w:t>
      </w:r>
      <w:r w:rsidRPr="00173FD6">
        <w:rPr>
          <w:rFonts w:asciiTheme="majorHAnsi" w:hAnsiTheme="majorHAnsi" w:cstheme="majorHAnsi"/>
          <w:snapToGrid w:val="0"/>
          <w:sz w:val="20"/>
          <w:szCs w:val="20"/>
          <w:lang w:val="en-US"/>
        </w:rPr>
        <w:t>?</w:t>
      </w:r>
      <w:r w:rsidR="00D434EB">
        <w:rPr>
          <w:rFonts w:asciiTheme="majorHAnsi" w:hAnsiTheme="majorHAnsi" w:cstheme="majorHAnsi"/>
          <w:snapToGrid w:val="0"/>
          <w:sz w:val="20"/>
          <w:szCs w:val="20"/>
          <w:lang w:val="en-US"/>
        </w:rPr>
        <w:t xml:space="preserve"> </w:t>
      </w:r>
      <w:r w:rsidRPr="00173FD6">
        <w:rPr>
          <w:rFonts w:asciiTheme="majorHAnsi" w:hAnsiTheme="majorHAnsi" w:cstheme="majorHAnsi"/>
          <w:snapToGrid w:val="0"/>
          <w:sz w:val="20"/>
          <w:szCs w:val="20"/>
          <w:lang w:val="en-US"/>
        </w:rPr>
        <w:t>Please cite specific examples.</w:t>
      </w:r>
    </w:p>
    <w:p w14:paraId="53D22288" w14:textId="77777777" w:rsidR="008D0CAD" w:rsidRPr="00173FD6" w:rsidRDefault="008D0CAD" w:rsidP="00DD08E3">
      <w:pPr>
        <w:numPr>
          <w:ilvl w:val="0"/>
          <w:numId w:val="66"/>
        </w:numPr>
        <w:spacing w:before="100" w:beforeAutospacing="1" w:after="100" w:afterAutospacing="1" w:line="360" w:lineRule="auto"/>
        <w:ind w:left="284" w:hanging="284"/>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 xml:space="preserve">To what extent would the reforms </w:t>
      </w:r>
      <w:r w:rsidRPr="00173FD6">
        <w:rPr>
          <w:rFonts w:asciiTheme="majorHAnsi" w:hAnsiTheme="majorHAnsi" w:cstheme="majorHAnsi"/>
          <w:bCs/>
          <w:snapToGrid w:val="0"/>
          <w:sz w:val="20"/>
          <w:szCs w:val="20"/>
          <w:lang w:val="en-US"/>
        </w:rPr>
        <w:t>in School-Based Management, in the last five years, been undertaken and completed without the BEST Program assistance</w:t>
      </w:r>
      <w:r w:rsidRPr="00173FD6">
        <w:rPr>
          <w:rFonts w:asciiTheme="majorHAnsi" w:hAnsiTheme="majorHAnsi" w:cstheme="majorHAnsi"/>
          <w:snapToGrid w:val="0"/>
          <w:sz w:val="20"/>
          <w:szCs w:val="20"/>
          <w:lang w:val="en-US"/>
        </w:rPr>
        <w:t>? How significant was contribution of the BEST Program to these reforms? Please cite specific examples.</w:t>
      </w:r>
    </w:p>
    <w:p w14:paraId="3F839492" w14:textId="77777777" w:rsidR="008D0CAD" w:rsidRPr="00173FD6" w:rsidRDefault="008D0CAD" w:rsidP="005902F7">
      <w:pPr>
        <w:spacing w:before="100" w:beforeAutospacing="1" w:after="100" w:afterAutospacing="1" w:line="360" w:lineRule="auto"/>
        <w:rPr>
          <w:rFonts w:asciiTheme="majorHAnsi" w:hAnsiTheme="majorHAnsi" w:cstheme="majorHAnsi"/>
          <w:sz w:val="20"/>
          <w:szCs w:val="20"/>
          <w:lang w:val="en-US"/>
        </w:rPr>
      </w:pPr>
      <w:r w:rsidRPr="00EC48C1">
        <w:rPr>
          <w:rFonts w:asciiTheme="majorHAnsi" w:hAnsiTheme="majorHAnsi" w:cstheme="majorHAnsi"/>
          <w:b/>
          <w:sz w:val="20"/>
          <w:szCs w:val="20"/>
          <w:lang w:val="en-US"/>
        </w:rPr>
        <w:t>Policy, and planning and monitoring and evaluation systems (PPMES)</w:t>
      </w:r>
    </w:p>
    <w:p w14:paraId="35E784B9" w14:textId="77777777" w:rsidR="008D0CAD" w:rsidRPr="00173FD6" w:rsidRDefault="008D0CAD" w:rsidP="00DD08E3">
      <w:pPr>
        <w:numPr>
          <w:ilvl w:val="0"/>
          <w:numId w:val="66"/>
        </w:numPr>
        <w:spacing w:before="100" w:beforeAutospacing="1" w:after="100" w:afterAutospacing="1" w:line="360" w:lineRule="auto"/>
        <w:ind w:left="284" w:hanging="284"/>
        <w:contextualSpacing/>
        <w:rPr>
          <w:rFonts w:asciiTheme="majorHAnsi" w:hAnsiTheme="majorHAnsi" w:cstheme="majorHAnsi"/>
          <w:snapToGrid w:val="0"/>
          <w:sz w:val="20"/>
          <w:szCs w:val="20"/>
          <w:lang w:val="en-US"/>
        </w:rPr>
      </w:pPr>
      <w:r w:rsidRPr="00173FD6">
        <w:rPr>
          <w:rFonts w:asciiTheme="majorHAnsi" w:hAnsiTheme="majorHAnsi" w:cstheme="majorHAnsi"/>
          <w:bCs/>
          <w:snapToGrid w:val="0"/>
          <w:sz w:val="20"/>
          <w:szCs w:val="20"/>
          <w:lang w:val="en-US"/>
        </w:rPr>
        <w:t>What were the challenges in policy and planning and monitoring and evaluation in DEPED that were being addressed by the reforms?</w:t>
      </w:r>
    </w:p>
    <w:p w14:paraId="0DDB8553" w14:textId="77777777" w:rsidR="008D0CAD" w:rsidRPr="00173FD6" w:rsidRDefault="008D0CAD" w:rsidP="00DD08E3">
      <w:pPr>
        <w:numPr>
          <w:ilvl w:val="0"/>
          <w:numId w:val="66"/>
        </w:numPr>
        <w:spacing w:before="100" w:beforeAutospacing="1" w:after="100" w:afterAutospacing="1" w:line="360" w:lineRule="auto"/>
        <w:ind w:left="284" w:hanging="284"/>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 xml:space="preserve">What were the most significant reforms in Planning and Budgeting in the last five years that had the most impact to the operations in your Region/Division? </w:t>
      </w:r>
    </w:p>
    <w:p w14:paraId="39968C02" w14:textId="77777777" w:rsidR="008D0CAD" w:rsidRPr="00173FD6" w:rsidRDefault="008D0CAD" w:rsidP="00DD08E3">
      <w:pPr>
        <w:numPr>
          <w:ilvl w:val="0"/>
          <w:numId w:val="66"/>
        </w:numPr>
        <w:spacing w:before="100" w:beforeAutospacing="1" w:after="100" w:afterAutospacing="1" w:line="360" w:lineRule="auto"/>
        <w:ind w:left="284" w:hanging="284"/>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 xml:space="preserve">What were the most significant reforms in </w:t>
      </w:r>
      <w:r w:rsidRPr="00173FD6">
        <w:rPr>
          <w:rFonts w:asciiTheme="majorHAnsi" w:hAnsiTheme="majorHAnsi" w:cstheme="majorHAnsi"/>
          <w:bCs/>
          <w:snapToGrid w:val="0"/>
          <w:sz w:val="20"/>
          <w:szCs w:val="20"/>
          <w:lang w:val="en-US"/>
        </w:rPr>
        <w:t xml:space="preserve">Monitoring and Evaluation </w:t>
      </w:r>
      <w:r w:rsidRPr="00173FD6">
        <w:rPr>
          <w:rFonts w:asciiTheme="majorHAnsi" w:hAnsiTheme="majorHAnsi" w:cstheme="majorHAnsi"/>
          <w:snapToGrid w:val="0"/>
          <w:sz w:val="20"/>
          <w:szCs w:val="20"/>
          <w:lang w:val="en-US"/>
        </w:rPr>
        <w:t xml:space="preserve">in the last five years that had the most impact to the operations in your Region/Division? </w:t>
      </w:r>
    </w:p>
    <w:p w14:paraId="5F85EDCF" w14:textId="77777777" w:rsidR="008D0CAD" w:rsidRPr="00173FD6" w:rsidRDefault="008D0CAD" w:rsidP="00DD08E3">
      <w:pPr>
        <w:numPr>
          <w:ilvl w:val="1"/>
          <w:numId w:val="66"/>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How significant is the formulation of the Basic Education Monitoring and Evaluation Framework (BEMEF) significant to the enhancement of your operations?</w:t>
      </w:r>
    </w:p>
    <w:p w14:paraId="30010A2C" w14:textId="77777777" w:rsidR="008D0CAD" w:rsidRPr="00173FD6" w:rsidRDefault="008D0CAD" w:rsidP="00DD08E3">
      <w:pPr>
        <w:numPr>
          <w:ilvl w:val="0"/>
          <w:numId w:val="66"/>
        </w:numPr>
        <w:spacing w:before="100" w:beforeAutospacing="1" w:after="100" w:afterAutospacing="1" w:line="360" w:lineRule="auto"/>
        <w:ind w:left="357" w:hanging="357"/>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 xml:space="preserve">To what extent would the reforms </w:t>
      </w:r>
      <w:r w:rsidRPr="00173FD6">
        <w:rPr>
          <w:rFonts w:asciiTheme="majorHAnsi" w:hAnsiTheme="majorHAnsi" w:cstheme="majorHAnsi"/>
          <w:bCs/>
          <w:snapToGrid w:val="0"/>
          <w:sz w:val="20"/>
          <w:szCs w:val="20"/>
          <w:lang w:val="en-US"/>
        </w:rPr>
        <w:t>in Policy and Planning and Monitoring and Evaluation, in the last five years, been undertaken and completed without the BEST Program assistance</w:t>
      </w:r>
      <w:r w:rsidRPr="00173FD6">
        <w:rPr>
          <w:rFonts w:asciiTheme="majorHAnsi" w:hAnsiTheme="majorHAnsi" w:cstheme="majorHAnsi"/>
          <w:snapToGrid w:val="0"/>
          <w:sz w:val="20"/>
          <w:szCs w:val="20"/>
          <w:lang w:val="en-US"/>
        </w:rPr>
        <w:t>? How significant was contribution of the BEST Program to these reforms? Please cite specific examples.</w:t>
      </w:r>
    </w:p>
    <w:p w14:paraId="32F00A02" w14:textId="77777777" w:rsidR="008D0CAD" w:rsidRPr="00173FD6" w:rsidRDefault="008D0CAD" w:rsidP="005902F7">
      <w:pPr>
        <w:spacing w:before="100" w:beforeAutospacing="1" w:after="100" w:afterAutospacing="1" w:line="360" w:lineRule="auto"/>
        <w:rPr>
          <w:rFonts w:asciiTheme="majorHAnsi" w:hAnsiTheme="majorHAnsi" w:cstheme="majorHAnsi"/>
          <w:b/>
          <w:sz w:val="20"/>
          <w:szCs w:val="20"/>
          <w:lang w:val="en-US"/>
        </w:rPr>
      </w:pPr>
      <w:r w:rsidRPr="00EC48C1">
        <w:rPr>
          <w:rFonts w:asciiTheme="majorHAnsi" w:hAnsiTheme="majorHAnsi" w:cstheme="majorHAnsi"/>
          <w:b/>
          <w:sz w:val="20"/>
          <w:szCs w:val="20"/>
          <w:lang w:val="en-US"/>
        </w:rPr>
        <w:t>Unified information system and sub-systems (UISS)</w:t>
      </w:r>
    </w:p>
    <w:p w14:paraId="3DBCC844" w14:textId="4A64877D" w:rsidR="008D0CAD" w:rsidRPr="00173FD6" w:rsidRDefault="008D0CAD" w:rsidP="00DD08E3">
      <w:pPr>
        <w:numPr>
          <w:ilvl w:val="0"/>
          <w:numId w:val="66"/>
        </w:numPr>
        <w:spacing w:before="100" w:beforeAutospacing="1" w:after="100" w:afterAutospacing="1" w:line="360" w:lineRule="auto"/>
        <w:ind w:left="284" w:hanging="284"/>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 xml:space="preserve">To what extent did the reforms </w:t>
      </w:r>
      <w:r w:rsidRPr="00173FD6">
        <w:rPr>
          <w:rFonts w:asciiTheme="majorHAnsi" w:hAnsiTheme="majorHAnsi" w:cstheme="majorHAnsi"/>
          <w:bCs/>
          <w:snapToGrid w:val="0"/>
          <w:sz w:val="20"/>
          <w:szCs w:val="20"/>
          <w:lang w:val="en-US"/>
        </w:rPr>
        <w:t xml:space="preserve">in </w:t>
      </w:r>
      <w:r w:rsidRPr="00173FD6">
        <w:rPr>
          <w:rFonts w:asciiTheme="majorHAnsi" w:hAnsiTheme="majorHAnsi" w:cstheme="majorHAnsi"/>
          <w:snapToGrid w:val="0"/>
          <w:sz w:val="20"/>
          <w:szCs w:val="20"/>
          <w:lang w:val="en-US"/>
        </w:rPr>
        <w:t>UISS</w:t>
      </w:r>
      <w:r w:rsidRPr="00173FD6">
        <w:rPr>
          <w:rFonts w:asciiTheme="majorHAnsi" w:hAnsiTheme="majorHAnsi" w:cstheme="majorHAnsi"/>
          <w:bCs/>
          <w:snapToGrid w:val="0"/>
          <w:sz w:val="20"/>
          <w:szCs w:val="20"/>
          <w:lang w:val="en-US"/>
        </w:rPr>
        <w:t xml:space="preserve"> enhance the delivery of responsive education in your Region/Division</w:t>
      </w:r>
      <w:r w:rsidRPr="00173FD6">
        <w:rPr>
          <w:rFonts w:asciiTheme="majorHAnsi" w:hAnsiTheme="majorHAnsi" w:cstheme="majorHAnsi"/>
          <w:snapToGrid w:val="0"/>
          <w:sz w:val="20"/>
          <w:szCs w:val="20"/>
          <w:lang w:val="en-US"/>
        </w:rPr>
        <w:t>?</w:t>
      </w:r>
      <w:r w:rsidR="00D434EB">
        <w:rPr>
          <w:rFonts w:asciiTheme="majorHAnsi" w:hAnsiTheme="majorHAnsi" w:cstheme="majorHAnsi"/>
          <w:snapToGrid w:val="0"/>
          <w:sz w:val="20"/>
          <w:szCs w:val="20"/>
          <w:lang w:val="en-US"/>
        </w:rPr>
        <w:t xml:space="preserve"> </w:t>
      </w:r>
      <w:r w:rsidRPr="00173FD6">
        <w:rPr>
          <w:rFonts w:asciiTheme="majorHAnsi" w:hAnsiTheme="majorHAnsi" w:cstheme="majorHAnsi"/>
          <w:snapToGrid w:val="0"/>
          <w:sz w:val="20"/>
          <w:szCs w:val="20"/>
          <w:lang w:val="en-US"/>
        </w:rPr>
        <w:t xml:space="preserve"> </w:t>
      </w:r>
    </w:p>
    <w:p w14:paraId="0E5BB4DE" w14:textId="0DAE9FF4" w:rsidR="008D0CAD" w:rsidRPr="00173FD6" w:rsidRDefault="008D0CAD" w:rsidP="00DD08E3">
      <w:pPr>
        <w:numPr>
          <w:ilvl w:val="0"/>
          <w:numId w:val="66"/>
        </w:numPr>
        <w:spacing w:before="100" w:beforeAutospacing="1" w:after="100" w:afterAutospacing="1" w:line="360" w:lineRule="auto"/>
        <w:ind w:left="284" w:hanging="284"/>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How significant are the different information systems in terms of enhancing the overall operations of your Region/Division?</w:t>
      </w:r>
      <w:r w:rsidR="00D434EB">
        <w:rPr>
          <w:rFonts w:asciiTheme="majorHAnsi" w:hAnsiTheme="majorHAnsi" w:cstheme="majorHAnsi"/>
          <w:snapToGrid w:val="0"/>
          <w:sz w:val="20"/>
          <w:szCs w:val="20"/>
          <w:lang w:val="en-US"/>
        </w:rPr>
        <w:t xml:space="preserve"> </w:t>
      </w:r>
    </w:p>
    <w:p w14:paraId="6F366C28" w14:textId="77777777" w:rsidR="008D0CAD" w:rsidRPr="00173FD6" w:rsidRDefault="008D0CAD" w:rsidP="00DD08E3">
      <w:pPr>
        <w:numPr>
          <w:ilvl w:val="1"/>
          <w:numId w:val="66"/>
        </w:numPr>
        <w:spacing w:before="100" w:beforeAutospacing="1" w:after="100" w:afterAutospacing="1" w:line="360" w:lineRule="auto"/>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Project Management Information System (PMIS)</w:t>
      </w:r>
    </w:p>
    <w:p w14:paraId="15E02DA0" w14:textId="77777777" w:rsidR="008D0CAD" w:rsidRPr="00173FD6" w:rsidRDefault="008D0CAD" w:rsidP="00DD08E3">
      <w:pPr>
        <w:numPr>
          <w:ilvl w:val="1"/>
          <w:numId w:val="66"/>
        </w:numPr>
        <w:spacing w:before="100" w:beforeAutospacing="1" w:after="100" w:afterAutospacing="1" w:line="360" w:lineRule="auto"/>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AU"/>
        </w:rPr>
        <w:t>Enhanced Basic Education Information System (EBEIS)</w:t>
      </w:r>
    </w:p>
    <w:p w14:paraId="5443069A" w14:textId="77777777" w:rsidR="008D0CAD" w:rsidRPr="00173FD6" w:rsidRDefault="008D0CAD" w:rsidP="00DD08E3">
      <w:pPr>
        <w:numPr>
          <w:ilvl w:val="1"/>
          <w:numId w:val="66"/>
        </w:numPr>
        <w:spacing w:before="100" w:beforeAutospacing="1" w:after="100" w:afterAutospacing="1" w:line="360" w:lineRule="auto"/>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Learner Information System (LIS)</w:t>
      </w:r>
    </w:p>
    <w:p w14:paraId="2A61139E" w14:textId="77777777" w:rsidR="008D0CAD" w:rsidRPr="00173FD6" w:rsidRDefault="008D0CAD" w:rsidP="00DD08E3">
      <w:pPr>
        <w:numPr>
          <w:ilvl w:val="1"/>
          <w:numId w:val="66"/>
        </w:numPr>
        <w:spacing w:before="100" w:beforeAutospacing="1" w:after="100" w:afterAutospacing="1" w:line="360" w:lineRule="auto"/>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Learning Resource (LR) Portal</w:t>
      </w:r>
    </w:p>
    <w:p w14:paraId="693A6DC9" w14:textId="7F3B0970" w:rsidR="008D0CAD" w:rsidRPr="00173FD6" w:rsidRDefault="008D0CAD" w:rsidP="00DD08E3">
      <w:pPr>
        <w:numPr>
          <w:ilvl w:val="0"/>
          <w:numId w:val="66"/>
        </w:numPr>
        <w:spacing w:before="100" w:beforeAutospacing="1" w:after="100" w:afterAutospacing="1" w:line="360" w:lineRule="auto"/>
        <w:ind w:left="357" w:hanging="357"/>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 xml:space="preserve">To what extent would the reforms </w:t>
      </w:r>
      <w:r w:rsidRPr="00173FD6">
        <w:rPr>
          <w:rFonts w:asciiTheme="majorHAnsi" w:hAnsiTheme="majorHAnsi" w:cstheme="majorHAnsi"/>
          <w:bCs/>
          <w:snapToGrid w:val="0"/>
          <w:sz w:val="20"/>
          <w:szCs w:val="20"/>
          <w:lang w:val="en-US"/>
        </w:rPr>
        <w:t xml:space="preserve">in </w:t>
      </w:r>
      <w:r w:rsidRPr="00173FD6">
        <w:rPr>
          <w:rFonts w:asciiTheme="majorHAnsi" w:hAnsiTheme="majorHAnsi" w:cstheme="majorHAnsi"/>
          <w:snapToGrid w:val="0"/>
          <w:sz w:val="20"/>
          <w:szCs w:val="20"/>
          <w:lang w:val="en-US"/>
        </w:rPr>
        <w:t>UISSS</w:t>
      </w:r>
      <w:r w:rsidRPr="00173FD6">
        <w:rPr>
          <w:rFonts w:asciiTheme="majorHAnsi" w:hAnsiTheme="majorHAnsi" w:cstheme="majorHAnsi"/>
          <w:bCs/>
          <w:snapToGrid w:val="0"/>
          <w:sz w:val="20"/>
          <w:szCs w:val="20"/>
          <w:lang w:val="en-US"/>
        </w:rPr>
        <w:t>, in the last five years, been undertaken and completed without the BEST Program assistance</w:t>
      </w:r>
      <w:r w:rsidRPr="00173FD6">
        <w:rPr>
          <w:rFonts w:asciiTheme="majorHAnsi" w:hAnsiTheme="majorHAnsi" w:cstheme="majorHAnsi"/>
          <w:snapToGrid w:val="0"/>
          <w:sz w:val="20"/>
          <w:szCs w:val="20"/>
          <w:lang w:val="en-US"/>
        </w:rPr>
        <w:t>? How significant was contribution of the BEST Program to these reforms?</w:t>
      </w:r>
      <w:r w:rsidR="00D434EB">
        <w:rPr>
          <w:rFonts w:asciiTheme="majorHAnsi" w:hAnsiTheme="majorHAnsi" w:cstheme="majorHAnsi"/>
          <w:snapToGrid w:val="0"/>
          <w:sz w:val="20"/>
          <w:szCs w:val="20"/>
          <w:lang w:val="en-US"/>
        </w:rPr>
        <w:t xml:space="preserve"> </w:t>
      </w:r>
    </w:p>
    <w:p w14:paraId="0192AC9D" w14:textId="77777777" w:rsidR="008D0CAD" w:rsidRPr="00173FD6" w:rsidRDefault="008D0CAD" w:rsidP="005902F7">
      <w:pPr>
        <w:spacing w:before="100" w:beforeAutospacing="1" w:after="100" w:afterAutospacing="1" w:line="360" w:lineRule="auto"/>
        <w:rPr>
          <w:rFonts w:asciiTheme="majorHAnsi" w:hAnsiTheme="majorHAnsi" w:cstheme="majorHAnsi"/>
          <w:b/>
          <w:sz w:val="20"/>
          <w:szCs w:val="20"/>
          <w:lang w:val="en-US"/>
        </w:rPr>
      </w:pPr>
      <w:r w:rsidRPr="00EC48C1">
        <w:rPr>
          <w:rFonts w:asciiTheme="majorHAnsi" w:hAnsiTheme="majorHAnsi" w:cstheme="majorHAnsi"/>
          <w:b/>
          <w:sz w:val="20"/>
          <w:szCs w:val="20"/>
          <w:lang w:val="en-US"/>
        </w:rPr>
        <w:t>Organisational development (OD)</w:t>
      </w:r>
    </w:p>
    <w:p w14:paraId="72F4A86C" w14:textId="77777777" w:rsidR="008D0CAD" w:rsidRPr="00173FD6" w:rsidRDefault="008D0CAD" w:rsidP="00DD08E3">
      <w:pPr>
        <w:numPr>
          <w:ilvl w:val="0"/>
          <w:numId w:val="66"/>
        </w:numPr>
        <w:spacing w:before="100" w:beforeAutospacing="1" w:after="100" w:afterAutospacing="1" w:line="360" w:lineRule="auto"/>
        <w:ind w:left="284" w:hanging="284"/>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 xml:space="preserve">What were the significant reforms relative to </w:t>
      </w:r>
      <w:r w:rsidRPr="00173FD6">
        <w:rPr>
          <w:rFonts w:asciiTheme="majorHAnsi" w:hAnsiTheme="majorHAnsi" w:cstheme="majorHAnsi"/>
          <w:b/>
          <w:snapToGrid w:val="0"/>
          <w:sz w:val="20"/>
          <w:szCs w:val="20"/>
          <w:lang w:val="en-US"/>
        </w:rPr>
        <w:t>Organisational development (OD)</w:t>
      </w:r>
      <w:r w:rsidRPr="00173FD6">
        <w:rPr>
          <w:rFonts w:asciiTheme="majorHAnsi" w:hAnsiTheme="majorHAnsi" w:cstheme="majorHAnsi"/>
          <w:snapToGrid w:val="0"/>
          <w:sz w:val="20"/>
          <w:szCs w:val="20"/>
          <w:lang w:val="en-US"/>
        </w:rPr>
        <w:t xml:space="preserve"> implemented in your Region/Division in the last five years?</w:t>
      </w:r>
    </w:p>
    <w:p w14:paraId="2EEE2994" w14:textId="77777777" w:rsidR="008D0CAD" w:rsidRPr="00173FD6" w:rsidRDefault="008D0CAD" w:rsidP="00DD08E3">
      <w:pPr>
        <w:numPr>
          <w:ilvl w:val="0"/>
          <w:numId w:val="66"/>
        </w:numPr>
        <w:spacing w:before="100" w:beforeAutospacing="1" w:after="100" w:afterAutospacing="1" w:line="360" w:lineRule="auto"/>
        <w:ind w:left="284" w:hanging="284"/>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 xml:space="preserve">How was Continuous Improvement implemented in your </w:t>
      </w:r>
      <w:r w:rsidRPr="00173FD6">
        <w:rPr>
          <w:rFonts w:asciiTheme="majorHAnsi" w:hAnsiTheme="majorHAnsi" w:cstheme="majorHAnsi"/>
          <w:snapToGrid w:val="0"/>
          <w:color w:val="000000"/>
          <w:sz w:val="20"/>
          <w:szCs w:val="20"/>
          <w:lang w:val="en-US"/>
        </w:rPr>
        <w:t>Region/Division</w:t>
      </w:r>
      <w:r w:rsidRPr="00173FD6">
        <w:rPr>
          <w:rFonts w:asciiTheme="majorHAnsi" w:hAnsiTheme="majorHAnsi" w:cstheme="majorHAnsi"/>
          <w:snapToGrid w:val="0"/>
          <w:sz w:val="20"/>
          <w:szCs w:val="20"/>
          <w:lang w:val="en-US"/>
        </w:rPr>
        <w:t>?</w:t>
      </w:r>
    </w:p>
    <w:p w14:paraId="01BDD8D4" w14:textId="16E5F790" w:rsidR="008D0CAD" w:rsidRPr="00173FD6" w:rsidRDefault="008D0CAD" w:rsidP="00DD08E3">
      <w:pPr>
        <w:numPr>
          <w:ilvl w:val="0"/>
          <w:numId w:val="66"/>
        </w:numPr>
        <w:spacing w:before="100" w:beforeAutospacing="1" w:after="100" w:afterAutospacing="1" w:line="360" w:lineRule="auto"/>
        <w:ind w:left="284" w:hanging="284"/>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 xml:space="preserve">To what extent did the reforms </w:t>
      </w:r>
      <w:r w:rsidRPr="00173FD6">
        <w:rPr>
          <w:rFonts w:asciiTheme="majorHAnsi" w:hAnsiTheme="majorHAnsi" w:cstheme="majorHAnsi"/>
          <w:bCs/>
          <w:snapToGrid w:val="0"/>
          <w:sz w:val="20"/>
          <w:szCs w:val="20"/>
          <w:lang w:val="en-US"/>
        </w:rPr>
        <w:t xml:space="preserve">in </w:t>
      </w:r>
      <w:r w:rsidRPr="00173FD6">
        <w:rPr>
          <w:rFonts w:asciiTheme="majorHAnsi" w:hAnsiTheme="majorHAnsi" w:cstheme="majorHAnsi"/>
          <w:snapToGrid w:val="0"/>
          <w:sz w:val="20"/>
          <w:szCs w:val="20"/>
          <w:lang w:val="en-US"/>
        </w:rPr>
        <w:t>OD</w:t>
      </w:r>
      <w:r w:rsidRPr="00173FD6">
        <w:rPr>
          <w:rFonts w:asciiTheme="majorHAnsi" w:hAnsiTheme="majorHAnsi" w:cstheme="majorHAnsi"/>
          <w:bCs/>
          <w:snapToGrid w:val="0"/>
          <w:sz w:val="20"/>
          <w:szCs w:val="20"/>
          <w:lang w:val="en-US"/>
        </w:rPr>
        <w:t xml:space="preserve"> enhance the delivery of basic education in your Region/Division</w:t>
      </w:r>
      <w:r w:rsidRPr="00173FD6">
        <w:rPr>
          <w:rFonts w:asciiTheme="majorHAnsi" w:hAnsiTheme="majorHAnsi" w:cstheme="majorHAnsi"/>
          <w:snapToGrid w:val="0"/>
          <w:sz w:val="20"/>
          <w:szCs w:val="20"/>
          <w:lang w:val="en-US"/>
        </w:rPr>
        <w:t>?</w:t>
      </w:r>
      <w:r w:rsidR="00D434EB">
        <w:rPr>
          <w:rFonts w:asciiTheme="majorHAnsi" w:hAnsiTheme="majorHAnsi" w:cstheme="majorHAnsi"/>
          <w:snapToGrid w:val="0"/>
          <w:sz w:val="20"/>
          <w:szCs w:val="20"/>
          <w:lang w:val="en-US"/>
        </w:rPr>
        <w:t xml:space="preserve"> </w:t>
      </w:r>
      <w:r w:rsidRPr="00173FD6">
        <w:rPr>
          <w:rFonts w:asciiTheme="majorHAnsi" w:hAnsiTheme="majorHAnsi" w:cstheme="majorHAnsi"/>
          <w:snapToGrid w:val="0"/>
          <w:sz w:val="20"/>
          <w:szCs w:val="20"/>
          <w:lang w:val="en-US"/>
        </w:rPr>
        <w:t>Please cite specific examples.</w:t>
      </w:r>
    </w:p>
    <w:p w14:paraId="6B33EA1F" w14:textId="77777777" w:rsidR="008D0CAD" w:rsidRPr="00173FD6" w:rsidRDefault="008D0CAD" w:rsidP="00DD08E3">
      <w:pPr>
        <w:numPr>
          <w:ilvl w:val="0"/>
          <w:numId w:val="66"/>
        </w:numPr>
        <w:spacing w:before="100" w:beforeAutospacing="1" w:after="100" w:afterAutospacing="1" w:line="360" w:lineRule="auto"/>
        <w:ind w:left="357" w:hanging="357"/>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 xml:space="preserve">To what extent would the reforms </w:t>
      </w:r>
      <w:r w:rsidRPr="00173FD6">
        <w:rPr>
          <w:rFonts w:asciiTheme="majorHAnsi" w:hAnsiTheme="majorHAnsi" w:cstheme="majorHAnsi"/>
          <w:bCs/>
          <w:snapToGrid w:val="0"/>
          <w:sz w:val="20"/>
          <w:szCs w:val="20"/>
          <w:lang w:val="en-US"/>
        </w:rPr>
        <w:t xml:space="preserve">in </w:t>
      </w:r>
      <w:r w:rsidRPr="00173FD6">
        <w:rPr>
          <w:rFonts w:asciiTheme="majorHAnsi" w:hAnsiTheme="majorHAnsi" w:cstheme="majorHAnsi"/>
          <w:snapToGrid w:val="0"/>
          <w:sz w:val="20"/>
          <w:szCs w:val="20"/>
          <w:lang w:val="en-US"/>
        </w:rPr>
        <w:t>OD</w:t>
      </w:r>
      <w:r w:rsidRPr="00173FD6">
        <w:rPr>
          <w:rFonts w:asciiTheme="majorHAnsi" w:hAnsiTheme="majorHAnsi" w:cstheme="majorHAnsi"/>
          <w:bCs/>
          <w:snapToGrid w:val="0"/>
          <w:sz w:val="20"/>
          <w:szCs w:val="20"/>
          <w:lang w:val="en-US"/>
        </w:rPr>
        <w:t>, in the last five years, been undertaken and completed without the BEST Program assistance</w:t>
      </w:r>
      <w:r w:rsidRPr="00173FD6">
        <w:rPr>
          <w:rFonts w:asciiTheme="majorHAnsi" w:hAnsiTheme="majorHAnsi" w:cstheme="majorHAnsi"/>
          <w:snapToGrid w:val="0"/>
          <w:sz w:val="20"/>
          <w:szCs w:val="20"/>
          <w:lang w:val="en-US"/>
        </w:rPr>
        <w:t>? How significant was contribution of the BEST Program to these reforms? Please cite specific examples.</w:t>
      </w:r>
    </w:p>
    <w:p w14:paraId="41A98E71" w14:textId="77777777" w:rsidR="008D0CAD" w:rsidRPr="00EC48C1" w:rsidRDefault="008D0CAD" w:rsidP="005902F7">
      <w:pPr>
        <w:spacing w:before="100" w:beforeAutospacing="1" w:after="100" w:afterAutospacing="1" w:line="360" w:lineRule="auto"/>
        <w:rPr>
          <w:rFonts w:asciiTheme="majorHAnsi" w:hAnsiTheme="majorHAnsi" w:cstheme="majorHAnsi"/>
          <w:b/>
          <w:sz w:val="20"/>
          <w:szCs w:val="20"/>
          <w:lang w:val="en-US"/>
        </w:rPr>
      </w:pPr>
      <w:r w:rsidRPr="00EC48C1">
        <w:rPr>
          <w:rFonts w:asciiTheme="majorHAnsi" w:hAnsiTheme="majorHAnsi" w:cstheme="majorHAnsi"/>
          <w:b/>
          <w:sz w:val="20"/>
          <w:szCs w:val="20"/>
          <w:lang w:val="en-US"/>
        </w:rPr>
        <w:t xml:space="preserve">Classroom construction </w:t>
      </w:r>
    </w:p>
    <w:p w14:paraId="20CA541A" w14:textId="77777777" w:rsidR="008D0CAD" w:rsidRPr="00173FD6" w:rsidRDefault="008D0CAD" w:rsidP="005902F7">
      <w:pPr>
        <w:spacing w:before="100" w:beforeAutospacing="1" w:after="100" w:afterAutospacing="1" w:line="360" w:lineRule="auto"/>
        <w:rPr>
          <w:rFonts w:asciiTheme="majorHAnsi" w:hAnsiTheme="majorHAnsi" w:cstheme="majorHAnsi"/>
          <w:sz w:val="20"/>
          <w:szCs w:val="20"/>
          <w:u w:val="single"/>
          <w:lang w:val="en-US"/>
        </w:rPr>
      </w:pPr>
      <w:r w:rsidRPr="00EC48C1">
        <w:rPr>
          <w:rFonts w:asciiTheme="majorHAnsi" w:hAnsiTheme="majorHAnsi" w:cstheme="majorHAnsi"/>
          <w:sz w:val="20"/>
          <w:szCs w:val="20"/>
          <w:u w:val="single"/>
          <w:lang w:val="en-US"/>
        </w:rPr>
        <w:t>For RDs/ARDs and Superintendents only:</w:t>
      </w:r>
    </w:p>
    <w:p w14:paraId="0D093520" w14:textId="77777777" w:rsidR="008D0CAD" w:rsidRPr="00173FD6" w:rsidRDefault="008D0CAD" w:rsidP="00DD08E3">
      <w:pPr>
        <w:numPr>
          <w:ilvl w:val="0"/>
          <w:numId w:val="66"/>
        </w:numPr>
        <w:spacing w:before="100" w:beforeAutospacing="1" w:after="100" w:afterAutospacing="1" w:line="360" w:lineRule="auto"/>
        <w:ind w:left="284" w:hanging="284"/>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How significant were the additional classroom constructions undertaken in the last five years in addressing the specific requirements in your Region/Division?</w:t>
      </w:r>
    </w:p>
    <w:p w14:paraId="3547D1A3" w14:textId="77777777" w:rsidR="008D0CAD" w:rsidRPr="00173FD6" w:rsidRDefault="008D0CAD" w:rsidP="00DD08E3">
      <w:pPr>
        <w:numPr>
          <w:ilvl w:val="0"/>
          <w:numId w:val="66"/>
        </w:numPr>
        <w:spacing w:before="100" w:beforeAutospacing="1" w:after="100" w:afterAutospacing="1" w:line="360" w:lineRule="auto"/>
        <w:ind w:left="357" w:hanging="357"/>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 xml:space="preserve">To what extent would the reforms </w:t>
      </w:r>
      <w:r w:rsidRPr="00173FD6">
        <w:rPr>
          <w:rFonts w:asciiTheme="majorHAnsi" w:hAnsiTheme="majorHAnsi" w:cstheme="majorHAnsi"/>
          <w:bCs/>
          <w:snapToGrid w:val="0"/>
          <w:sz w:val="20"/>
          <w:szCs w:val="20"/>
          <w:lang w:val="en-US"/>
        </w:rPr>
        <w:t xml:space="preserve">in </w:t>
      </w:r>
      <w:r w:rsidRPr="00173FD6">
        <w:rPr>
          <w:rFonts w:asciiTheme="majorHAnsi" w:hAnsiTheme="majorHAnsi" w:cstheme="majorHAnsi"/>
          <w:snapToGrid w:val="0"/>
          <w:sz w:val="20"/>
          <w:szCs w:val="20"/>
          <w:lang w:val="en-US"/>
        </w:rPr>
        <w:t>classroom construction</w:t>
      </w:r>
      <w:r w:rsidRPr="00173FD6">
        <w:rPr>
          <w:rFonts w:asciiTheme="majorHAnsi" w:hAnsiTheme="majorHAnsi" w:cstheme="majorHAnsi"/>
          <w:bCs/>
          <w:snapToGrid w:val="0"/>
          <w:sz w:val="20"/>
          <w:szCs w:val="20"/>
          <w:lang w:val="en-US"/>
        </w:rPr>
        <w:t>, in the last five years, been undertaken and completed without the BEST Program assistance</w:t>
      </w:r>
      <w:r w:rsidRPr="00173FD6">
        <w:rPr>
          <w:rFonts w:asciiTheme="majorHAnsi" w:hAnsiTheme="majorHAnsi" w:cstheme="majorHAnsi"/>
          <w:snapToGrid w:val="0"/>
          <w:sz w:val="20"/>
          <w:szCs w:val="20"/>
          <w:lang w:val="en-US"/>
        </w:rPr>
        <w:t>? How significant was contribution of the BEST Program to these reforms?</w:t>
      </w:r>
    </w:p>
    <w:p w14:paraId="45C05DB4" w14:textId="77777777" w:rsidR="008D0CAD" w:rsidRPr="00173FD6" w:rsidRDefault="008D0CAD" w:rsidP="005902F7">
      <w:pPr>
        <w:spacing w:before="100" w:beforeAutospacing="1" w:after="100" w:afterAutospacing="1" w:line="360" w:lineRule="auto"/>
        <w:rPr>
          <w:rFonts w:asciiTheme="majorHAnsi" w:hAnsiTheme="majorHAnsi" w:cstheme="majorHAnsi"/>
          <w:b/>
          <w:bCs/>
          <w:color w:val="0070C0"/>
          <w:sz w:val="20"/>
          <w:szCs w:val="20"/>
          <w:lang w:val="en-US"/>
        </w:rPr>
      </w:pPr>
      <w:r w:rsidRPr="00173FD6">
        <w:rPr>
          <w:rFonts w:asciiTheme="majorHAnsi" w:hAnsiTheme="majorHAnsi" w:cstheme="majorHAnsi"/>
          <w:b/>
          <w:bCs/>
          <w:color w:val="0070C0"/>
          <w:sz w:val="20"/>
          <w:szCs w:val="20"/>
          <w:lang w:val="en-US"/>
        </w:rPr>
        <w:t>Part 3. General Questions</w:t>
      </w:r>
    </w:p>
    <w:p w14:paraId="7FD79B8D" w14:textId="77777777" w:rsidR="008D0CAD" w:rsidRPr="00173FD6" w:rsidRDefault="008D0CAD" w:rsidP="00DD08E3">
      <w:pPr>
        <w:numPr>
          <w:ilvl w:val="0"/>
          <w:numId w:val="66"/>
        </w:numPr>
        <w:spacing w:before="100" w:beforeAutospacing="1" w:after="100" w:afterAutospacing="1" w:line="360" w:lineRule="auto"/>
        <w:ind w:left="284" w:hanging="284"/>
        <w:contextualSpacing/>
        <w:rPr>
          <w:rFonts w:asciiTheme="majorHAnsi" w:hAnsiTheme="majorHAnsi" w:cstheme="majorHAnsi"/>
          <w:snapToGrid w:val="0"/>
          <w:sz w:val="20"/>
          <w:szCs w:val="20"/>
          <w:lang w:val="en-US"/>
        </w:rPr>
      </w:pPr>
      <w:r w:rsidRPr="00173FD6">
        <w:rPr>
          <w:rFonts w:asciiTheme="majorHAnsi" w:hAnsiTheme="majorHAnsi" w:cstheme="majorHAnsi"/>
          <w:bCs/>
          <w:snapToGrid w:val="0"/>
          <w:sz w:val="20"/>
          <w:szCs w:val="20"/>
          <w:lang w:val="en-US"/>
        </w:rPr>
        <w:t xml:space="preserve">Please describe what were the </w:t>
      </w:r>
      <w:r w:rsidRPr="00173FD6">
        <w:rPr>
          <w:rFonts w:asciiTheme="majorHAnsi" w:hAnsiTheme="majorHAnsi" w:cstheme="majorHAnsi"/>
          <w:b/>
          <w:bCs/>
          <w:snapToGrid w:val="0"/>
          <w:sz w:val="20"/>
          <w:szCs w:val="20"/>
          <w:lang w:val="en-US"/>
        </w:rPr>
        <w:t>different support mechanisms</w:t>
      </w:r>
      <w:r w:rsidRPr="00173FD6">
        <w:rPr>
          <w:rFonts w:asciiTheme="majorHAnsi" w:hAnsiTheme="majorHAnsi" w:cstheme="majorHAnsi"/>
          <w:bCs/>
          <w:snapToGrid w:val="0"/>
          <w:sz w:val="20"/>
          <w:szCs w:val="20"/>
          <w:lang w:val="en-US"/>
        </w:rPr>
        <w:t xml:space="preserve"> (e.g., systems, resources, capacity building) that were provided to you and your Region/Division/School in order to ensure the successful implementation of the various basic education reforms?</w:t>
      </w:r>
    </w:p>
    <w:p w14:paraId="0D777646" w14:textId="77777777" w:rsidR="008D0CAD" w:rsidRPr="00173FD6" w:rsidRDefault="008D0CAD" w:rsidP="00DD08E3">
      <w:pPr>
        <w:numPr>
          <w:ilvl w:val="0"/>
          <w:numId w:val="66"/>
        </w:numPr>
        <w:spacing w:before="100" w:beforeAutospacing="1" w:after="100" w:afterAutospacing="1" w:line="360" w:lineRule="auto"/>
        <w:ind w:left="284" w:hanging="284"/>
        <w:contextualSpacing/>
        <w:rPr>
          <w:rFonts w:asciiTheme="majorHAnsi" w:hAnsiTheme="majorHAnsi" w:cstheme="majorHAnsi"/>
          <w:bCs/>
          <w:snapToGrid w:val="0"/>
          <w:sz w:val="20"/>
          <w:szCs w:val="20"/>
          <w:lang w:val="en-US"/>
        </w:rPr>
      </w:pPr>
      <w:r w:rsidRPr="00173FD6">
        <w:rPr>
          <w:rFonts w:asciiTheme="majorHAnsi" w:hAnsiTheme="majorHAnsi" w:cstheme="majorHAnsi"/>
          <w:bCs/>
          <w:snapToGrid w:val="0"/>
          <w:sz w:val="20"/>
          <w:szCs w:val="20"/>
          <w:lang w:val="en-US"/>
        </w:rPr>
        <w:t>On a scale of 1 to 4 (</w:t>
      </w:r>
      <w:r w:rsidRPr="00173FD6">
        <w:rPr>
          <w:rFonts w:asciiTheme="majorHAnsi" w:hAnsiTheme="majorHAnsi" w:cstheme="majorHAnsi"/>
          <w:bCs/>
          <w:i/>
          <w:snapToGrid w:val="0"/>
          <w:sz w:val="20"/>
          <w:szCs w:val="20"/>
          <w:lang w:val="en-US"/>
        </w:rPr>
        <w:t>with 4 being the highest</w:t>
      </w:r>
      <w:r w:rsidRPr="00173FD6">
        <w:rPr>
          <w:rFonts w:asciiTheme="majorHAnsi" w:hAnsiTheme="majorHAnsi" w:cstheme="majorHAnsi"/>
          <w:bCs/>
          <w:snapToGrid w:val="0"/>
          <w:sz w:val="20"/>
          <w:szCs w:val="20"/>
          <w:lang w:val="en-US"/>
        </w:rPr>
        <w:t xml:space="preserve">), how would you </w:t>
      </w:r>
      <w:r w:rsidRPr="00173FD6">
        <w:rPr>
          <w:rFonts w:asciiTheme="majorHAnsi" w:hAnsiTheme="majorHAnsi" w:cstheme="majorHAnsi"/>
          <w:b/>
          <w:bCs/>
          <w:snapToGrid w:val="0"/>
          <w:sz w:val="20"/>
          <w:szCs w:val="20"/>
          <w:lang w:val="en-US"/>
        </w:rPr>
        <w:t>rate the adequacy of support</w:t>
      </w:r>
      <w:r w:rsidRPr="00173FD6">
        <w:rPr>
          <w:rFonts w:asciiTheme="majorHAnsi" w:hAnsiTheme="majorHAnsi" w:cstheme="majorHAnsi"/>
          <w:bCs/>
          <w:snapToGrid w:val="0"/>
          <w:sz w:val="20"/>
          <w:szCs w:val="20"/>
          <w:lang w:val="en-US"/>
        </w:rPr>
        <w:t xml:space="preserve"> provided to you to enable you to implement the following basic education reforms? </w:t>
      </w:r>
    </w:p>
    <w:p w14:paraId="3B010D42" w14:textId="77777777" w:rsidR="008D0CAD" w:rsidRPr="00173FD6" w:rsidRDefault="008D0CAD" w:rsidP="00DD08E3">
      <w:pPr>
        <w:numPr>
          <w:ilvl w:val="0"/>
          <w:numId w:val="66"/>
        </w:numPr>
        <w:spacing w:before="100" w:beforeAutospacing="1" w:after="100" w:afterAutospacing="1" w:line="360" w:lineRule="auto"/>
        <w:ind w:left="284" w:hanging="284"/>
        <w:contextualSpacing/>
        <w:rPr>
          <w:rFonts w:asciiTheme="majorHAnsi" w:hAnsiTheme="majorHAnsi" w:cstheme="majorHAnsi"/>
          <w:bCs/>
          <w:snapToGrid w:val="0"/>
          <w:sz w:val="20"/>
          <w:szCs w:val="20"/>
          <w:lang w:val="en-US"/>
        </w:rPr>
      </w:pPr>
      <w:r w:rsidRPr="00173FD6">
        <w:rPr>
          <w:rFonts w:asciiTheme="majorHAnsi" w:hAnsiTheme="majorHAnsi" w:cstheme="majorHAnsi"/>
          <w:bCs/>
          <w:snapToGrid w:val="0"/>
          <w:sz w:val="20"/>
          <w:szCs w:val="20"/>
          <w:lang w:val="en-US"/>
        </w:rPr>
        <w:t xml:space="preserve">What other support mechanisms </w:t>
      </w:r>
      <w:r w:rsidRPr="00173FD6">
        <w:rPr>
          <w:rFonts w:asciiTheme="majorHAnsi" w:hAnsiTheme="majorHAnsi" w:cstheme="majorHAnsi"/>
          <w:b/>
          <w:bCs/>
          <w:snapToGrid w:val="0"/>
          <w:sz w:val="20"/>
          <w:szCs w:val="20"/>
          <w:lang w:val="en-US"/>
        </w:rPr>
        <w:t>could have been provided</w:t>
      </w:r>
      <w:r w:rsidRPr="00173FD6">
        <w:rPr>
          <w:rFonts w:asciiTheme="majorHAnsi" w:hAnsiTheme="majorHAnsi" w:cstheme="majorHAnsi"/>
          <w:bCs/>
          <w:snapToGrid w:val="0"/>
          <w:sz w:val="20"/>
          <w:szCs w:val="20"/>
          <w:lang w:val="en-US"/>
        </w:rPr>
        <w:t xml:space="preserve"> to you </w:t>
      </w:r>
      <w:r w:rsidRPr="00173FD6">
        <w:rPr>
          <w:rFonts w:asciiTheme="majorHAnsi" w:hAnsiTheme="majorHAnsi" w:cstheme="majorHAnsi"/>
          <w:b/>
          <w:bCs/>
          <w:snapToGrid w:val="0"/>
          <w:sz w:val="20"/>
          <w:szCs w:val="20"/>
          <w:lang w:val="en-US"/>
        </w:rPr>
        <w:t>that have not yet been provided</w:t>
      </w:r>
      <w:r w:rsidRPr="00173FD6">
        <w:rPr>
          <w:rFonts w:asciiTheme="majorHAnsi" w:hAnsiTheme="majorHAnsi" w:cstheme="majorHAnsi"/>
          <w:bCs/>
          <w:snapToGrid w:val="0"/>
          <w:sz w:val="20"/>
          <w:szCs w:val="20"/>
          <w:lang w:val="en-US"/>
        </w:rPr>
        <w:t xml:space="preserve"> that can significantly enhanced the implementation of the basic education reforms in your Region/Division/School?</w:t>
      </w:r>
    </w:p>
    <w:p w14:paraId="32666ECD" w14:textId="77777777" w:rsidR="008D0CAD" w:rsidRPr="00173FD6" w:rsidRDefault="008D0CAD" w:rsidP="00DD08E3">
      <w:pPr>
        <w:numPr>
          <w:ilvl w:val="0"/>
          <w:numId w:val="66"/>
        </w:numPr>
        <w:spacing w:before="100" w:beforeAutospacing="1" w:after="100" w:afterAutospacing="1" w:line="360" w:lineRule="auto"/>
        <w:ind w:left="284" w:hanging="284"/>
        <w:contextualSpacing/>
        <w:rPr>
          <w:rFonts w:asciiTheme="majorHAnsi" w:hAnsiTheme="majorHAnsi" w:cstheme="majorHAnsi"/>
          <w:bCs/>
          <w:snapToGrid w:val="0"/>
          <w:color w:val="000000" w:themeColor="text1"/>
          <w:sz w:val="20"/>
          <w:szCs w:val="20"/>
          <w:lang w:val="en-US"/>
        </w:rPr>
      </w:pPr>
      <w:r w:rsidRPr="00173FD6">
        <w:rPr>
          <w:rFonts w:asciiTheme="majorHAnsi" w:hAnsiTheme="majorHAnsi" w:cstheme="majorHAnsi"/>
          <w:snapToGrid w:val="0"/>
          <w:color w:val="000000"/>
          <w:sz w:val="20"/>
          <w:szCs w:val="20"/>
          <w:lang w:val="en-US"/>
        </w:rPr>
        <w:t>With the last five years, how</w:t>
      </w:r>
      <w:r w:rsidRPr="00173FD6">
        <w:rPr>
          <w:rFonts w:asciiTheme="majorHAnsi" w:hAnsiTheme="majorHAnsi" w:cstheme="majorHAnsi"/>
          <w:bCs/>
          <w:snapToGrid w:val="0"/>
          <w:color w:val="000000" w:themeColor="text1"/>
          <w:sz w:val="20"/>
          <w:szCs w:val="20"/>
          <w:lang w:val="en-US"/>
        </w:rPr>
        <w:t xml:space="preserve"> significant were the </w:t>
      </w:r>
      <w:r w:rsidRPr="00173FD6">
        <w:rPr>
          <w:rFonts w:asciiTheme="majorHAnsi" w:hAnsiTheme="majorHAnsi" w:cstheme="majorHAnsi"/>
          <w:b/>
          <w:bCs/>
          <w:snapToGrid w:val="0"/>
          <w:color w:val="000000" w:themeColor="text1"/>
          <w:sz w:val="20"/>
          <w:szCs w:val="20"/>
          <w:lang w:val="en-US"/>
        </w:rPr>
        <w:t>increase in decentralisation</w:t>
      </w:r>
      <w:r w:rsidRPr="00173FD6">
        <w:rPr>
          <w:rFonts w:asciiTheme="majorHAnsi" w:hAnsiTheme="majorHAnsi" w:cstheme="majorHAnsi"/>
          <w:bCs/>
          <w:snapToGrid w:val="0"/>
          <w:color w:val="000000" w:themeColor="text1"/>
          <w:sz w:val="20"/>
          <w:szCs w:val="20"/>
          <w:lang w:val="en-US"/>
        </w:rPr>
        <w:t xml:space="preserve"> of management and accountability in the Regions/Divisions/Schools in DEPED?</w:t>
      </w:r>
    </w:p>
    <w:p w14:paraId="1EB56F70" w14:textId="77777777" w:rsidR="008D0CAD" w:rsidRPr="00173FD6" w:rsidRDefault="008D0CAD" w:rsidP="00DD08E3">
      <w:pPr>
        <w:numPr>
          <w:ilvl w:val="1"/>
          <w:numId w:val="66"/>
        </w:numPr>
        <w:spacing w:before="100" w:beforeAutospacing="1" w:after="100" w:afterAutospacing="1" w:line="360" w:lineRule="auto"/>
        <w:contextualSpacing/>
        <w:rPr>
          <w:rFonts w:asciiTheme="majorHAnsi" w:hAnsiTheme="majorHAnsi" w:cstheme="majorHAnsi"/>
          <w:snapToGrid w:val="0"/>
          <w:color w:val="000000"/>
          <w:sz w:val="20"/>
          <w:szCs w:val="20"/>
          <w:lang w:val="en-US"/>
        </w:rPr>
      </w:pPr>
      <w:r w:rsidRPr="00173FD6">
        <w:rPr>
          <w:rFonts w:asciiTheme="majorHAnsi" w:hAnsiTheme="majorHAnsi" w:cstheme="majorHAnsi"/>
          <w:snapToGrid w:val="0"/>
          <w:color w:val="000000"/>
          <w:sz w:val="20"/>
          <w:szCs w:val="20"/>
          <w:lang w:val="en-US"/>
        </w:rPr>
        <w:t xml:space="preserve">How was </w:t>
      </w:r>
      <w:r w:rsidRPr="00173FD6">
        <w:rPr>
          <w:rFonts w:asciiTheme="majorHAnsi" w:hAnsiTheme="majorHAnsi" w:cstheme="majorHAnsi"/>
          <w:b/>
          <w:bCs/>
          <w:snapToGrid w:val="0"/>
          <w:color w:val="000000" w:themeColor="text1"/>
          <w:sz w:val="20"/>
          <w:szCs w:val="20"/>
          <w:lang w:val="en-US"/>
        </w:rPr>
        <w:t>decentralisation</w:t>
      </w:r>
      <w:r w:rsidRPr="00173FD6">
        <w:rPr>
          <w:rFonts w:asciiTheme="majorHAnsi" w:hAnsiTheme="majorHAnsi" w:cstheme="majorHAnsi"/>
          <w:bCs/>
          <w:snapToGrid w:val="0"/>
          <w:color w:val="000000" w:themeColor="text1"/>
          <w:sz w:val="20"/>
          <w:szCs w:val="20"/>
          <w:lang w:val="en-US"/>
        </w:rPr>
        <w:t xml:space="preserve"> of management and accountability</w:t>
      </w:r>
      <w:r w:rsidRPr="00173FD6">
        <w:rPr>
          <w:rFonts w:asciiTheme="majorHAnsi" w:hAnsiTheme="majorHAnsi" w:cstheme="majorHAnsi"/>
          <w:snapToGrid w:val="0"/>
          <w:color w:val="000000"/>
          <w:sz w:val="20"/>
          <w:szCs w:val="20"/>
          <w:lang w:val="en-US"/>
        </w:rPr>
        <w:t xml:space="preserve"> implemented in your Region/Division?</w:t>
      </w:r>
    </w:p>
    <w:p w14:paraId="3180E1AC" w14:textId="77777777" w:rsidR="008D0CAD" w:rsidRPr="00173FD6" w:rsidRDefault="008D0CAD" w:rsidP="00DD08E3">
      <w:pPr>
        <w:numPr>
          <w:ilvl w:val="1"/>
          <w:numId w:val="66"/>
        </w:numPr>
        <w:spacing w:before="100" w:beforeAutospacing="1" w:after="100" w:afterAutospacing="1" w:line="360" w:lineRule="auto"/>
        <w:contextualSpacing/>
        <w:rPr>
          <w:rFonts w:asciiTheme="majorHAnsi" w:hAnsiTheme="majorHAnsi" w:cstheme="majorHAnsi"/>
          <w:snapToGrid w:val="0"/>
          <w:color w:val="000000"/>
          <w:sz w:val="20"/>
          <w:szCs w:val="20"/>
          <w:lang w:val="en-US"/>
        </w:rPr>
      </w:pPr>
      <w:r w:rsidRPr="00173FD6">
        <w:rPr>
          <w:rFonts w:asciiTheme="majorHAnsi" w:hAnsiTheme="majorHAnsi" w:cstheme="majorHAnsi"/>
          <w:snapToGrid w:val="0"/>
          <w:color w:val="000000"/>
          <w:sz w:val="20"/>
          <w:szCs w:val="20"/>
          <w:lang w:val="en-US"/>
        </w:rPr>
        <w:t xml:space="preserve">What </w:t>
      </w:r>
      <w:r w:rsidRPr="00173FD6">
        <w:rPr>
          <w:rFonts w:asciiTheme="majorHAnsi" w:hAnsiTheme="majorHAnsi" w:cstheme="majorHAnsi"/>
          <w:b/>
          <w:snapToGrid w:val="0"/>
          <w:color w:val="000000"/>
          <w:sz w:val="20"/>
          <w:szCs w:val="20"/>
          <w:lang w:val="en-US"/>
        </w:rPr>
        <w:t>indicators</w:t>
      </w:r>
      <w:r w:rsidRPr="00173FD6">
        <w:rPr>
          <w:rFonts w:asciiTheme="majorHAnsi" w:hAnsiTheme="majorHAnsi" w:cstheme="majorHAnsi"/>
          <w:snapToGrid w:val="0"/>
          <w:color w:val="000000"/>
          <w:sz w:val="20"/>
          <w:szCs w:val="20"/>
          <w:lang w:val="en-US"/>
        </w:rPr>
        <w:t xml:space="preserve"> should be used to measure the successful implementation of </w:t>
      </w:r>
      <w:r w:rsidRPr="00173FD6">
        <w:rPr>
          <w:rFonts w:asciiTheme="majorHAnsi" w:hAnsiTheme="majorHAnsi" w:cstheme="majorHAnsi"/>
          <w:b/>
          <w:bCs/>
          <w:snapToGrid w:val="0"/>
          <w:color w:val="000000" w:themeColor="text1"/>
          <w:sz w:val="20"/>
          <w:szCs w:val="20"/>
          <w:lang w:val="en-US"/>
        </w:rPr>
        <w:t xml:space="preserve">decentralised management and accountability </w:t>
      </w:r>
      <w:r w:rsidRPr="00173FD6">
        <w:rPr>
          <w:rFonts w:asciiTheme="majorHAnsi" w:hAnsiTheme="majorHAnsi" w:cstheme="majorHAnsi"/>
          <w:bCs/>
          <w:snapToGrid w:val="0"/>
          <w:color w:val="000000" w:themeColor="text1"/>
          <w:sz w:val="20"/>
          <w:szCs w:val="20"/>
          <w:lang w:val="en-US"/>
        </w:rPr>
        <w:t>to field offices and schools?</w:t>
      </w:r>
    </w:p>
    <w:p w14:paraId="385E4FFD" w14:textId="77777777" w:rsidR="008D0CAD" w:rsidRPr="00173FD6" w:rsidRDefault="008D0CAD" w:rsidP="00DD08E3">
      <w:pPr>
        <w:numPr>
          <w:ilvl w:val="0"/>
          <w:numId w:val="66"/>
        </w:numPr>
        <w:spacing w:before="100" w:beforeAutospacing="1" w:after="100" w:afterAutospacing="1" w:line="360" w:lineRule="auto"/>
        <w:ind w:left="357" w:hanging="357"/>
        <w:rPr>
          <w:rFonts w:asciiTheme="majorHAnsi" w:hAnsiTheme="majorHAnsi" w:cstheme="majorHAnsi"/>
          <w:snapToGrid w:val="0"/>
          <w:color w:val="000000" w:themeColor="text1"/>
          <w:sz w:val="20"/>
          <w:szCs w:val="20"/>
          <w:lang w:val="en-US"/>
        </w:rPr>
      </w:pPr>
      <w:r w:rsidRPr="00173FD6">
        <w:rPr>
          <w:rFonts w:asciiTheme="majorHAnsi" w:hAnsiTheme="majorHAnsi" w:cstheme="majorHAnsi"/>
          <w:snapToGrid w:val="0"/>
          <w:color w:val="000000" w:themeColor="text1"/>
          <w:sz w:val="20"/>
          <w:szCs w:val="20"/>
          <w:lang w:val="en-US"/>
        </w:rPr>
        <w:t>In your own assessment, how significant are the increases in students’ learning outcomes in your Region/Division in the last five years because of the basic education reforms? Please cite specific examples.</w:t>
      </w:r>
    </w:p>
    <w:p w14:paraId="152F61D9" w14:textId="77777777" w:rsidR="008D0CAD" w:rsidRPr="00173FD6" w:rsidRDefault="008D0CAD" w:rsidP="00DD08E3">
      <w:pPr>
        <w:numPr>
          <w:ilvl w:val="0"/>
          <w:numId w:val="66"/>
        </w:numPr>
        <w:spacing w:before="100" w:beforeAutospacing="1" w:after="100" w:afterAutospacing="1" w:line="360" w:lineRule="auto"/>
        <w:ind w:left="357" w:hanging="357"/>
        <w:rPr>
          <w:rFonts w:asciiTheme="majorHAnsi" w:hAnsiTheme="majorHAnsi" w:cstheme="majorHAnsi"/>
          <w:snapToGrid w:val="0"/>
          <w:color w:val="000000" w:themeColor="text1"/>
          <w:sz w:val="20"/>
          <w:szCs w:val="20"/>
          <w:lang w:val="en-US"/>
        </w:rPr>
      </w:pPr>
      <w:r w:rsidRPr="00173FD6">
        <w:rPr>
          <w:rFonts w:asciiTheme="majorHAnsi" w:hAnsiTheme="majorHAnsi" w:cstheme="majorHAnsi"/>
          <w:snapToGrid w:val="0"/>
          <w:color w:val="000000" w:themeColor="text1"/>
          <w:sz w:val="20"/>
          <w:szCs w:val="20"/>
          <w:lang w:val="en-US"/>
        </w:rPr>
        <w:t>How significant was the effects of the decentralization of management and accountability to field offices and schools in the last five years because of the basic education reforms? Please cite specific examples.</w:t>
      </w:r>
    </w:p>
    <w:p w14:paraId="2D472221" w14:textId="253009A0" w:rsidR="008D0CAD" w:rsidRPr="005902F7" w:rsidRDefault="008D0CAD" w:rsidP="00DD08E3">
      <w:pPr>
        <w:numPr>
          <w:ilvl w:val="0"/>
          <w:numId w:val="66"/>
        </w:numPr>
        <w:spacing w:before="100" w:beforeAutospacing="1" w:after="100" w:afterAutospacing="1" w:line="360" w:lineRule="auto"/>
        <w:ind w:left="357" w:hanging="357"/>
        <w:contextualSpacing/>
        <w:rPr>
          <w:rFonts w:asciiTheme="majorHAnsi" w:hAnsiTheme="majorHAnsi" w:cstheme="majorHAnsi"/>
          <w:snapToGrid w:val="0"/>
          <w:color w:val="000000" w:themeColor="text1"/>
          <w:sz w:val="20"/>
          <w:szCs w:val="20"/>
          <w:lang w:val="en-US"/>
        </w:rPr>
      </w:pPr>
      <w:r w:rsidRPr="00173FD6">
        <w:rPr>
          <w:rFonts w:asciiTheme="majorHAnsi" w:eastAsiaTheme="minorEastAsia" w:hAnsiTheme="majorHAnsi" w:cstheme="majorHAnsi"/>
          <w:snapToGrid w:val="0"/>
          <w:color w:val="000000" w:themeColor="text1"/>
          <w:sz w:val="20"/>
          <w:szCs w:val="20"/>
        </w:rPr>
        <w:t>What were the hindering and facilitating factors in your Region/Division in implementing the basic education reforms in practice</w:t>
      </w:r>
      <w:r w:rsidRPr="00173FD6">
        <w:rPr>
          <w:rFonts w:asciiTheme="majorHAnsi" w:hAnsiTheme="majorHAnsi" w:cstheme="majorHAnsi"/>
          <w:snapToGrid w:val="0"/>
          <w:color w:val="000000" w:themeColor="text1"/>
          <w:sz w:val="20"/>
          <w:szCs w:val="20"/>
          <w:lang w:val="en-US"/>
        </w:rPr>
        <w:t xml:space="preserve">? </w:t>
      </w:r>
    </w:p>
    <w:tbl>
      <w:tblPr>
        <w:tblStyle w:val="TableGrid4"/>
        <w:tblW w:w="0" w:type="auto"/>
        <w:tblLook w:val="04A0" w:firstRow="1" w:lastRow="0" w:firstColumn="1" w:lastColumn="0" w:noHBand="0" w:noVBand="1"/>
      </w:tblPr>
      <w:tblGrid>
        <w:gridCol w:w="3394"/>
        <w:gridCol w:w="2975"/>
        <w:gridCol w:w="2641"/>
      </w:tblGrid>
      <w:tr w:rsidR="008D0CAD" w:rsidRPr="00173FD6" w14:paraId="5C1435E7" w14:textId="77777777" w:rsidTr="009C64E9">
        <w:trPr>
          <w:tblHeader/>
        </w:trPr>
        <w:tc>
          <w:tcPr>
            <w:tcW w:w="3397" w:type="dxa"/>
            <w:shd w:val="clear" w:color="auto" w:fill="D9D9D9" w:themeFill="background1" w:themeFillShade="D9"/>
          </w:tcPr>
          <w:p w14:paraId="1CF524C8" w14:textId="77777777" w:rsidR="008D0CAD" w:rsidRPr="00173FD6" w:rsidRDefault="008D0CAD" w:rsidP="005902F7">
            <w:pPr>
              <w:spacing w:before="100" w:beforeAutospacing="1" w:after="100" w:afterAutospacing="1" w:line="360" w:lineRule="auto"/>
              <w:rPr>
                <w:rFonts w:asciiTheme="majorHAnsi" w:hAnsiTheme="majorHAnsi" w:cstheme="majorHAnsi"/>
                <w:color w:val="000000" w:themeColor="text1"/>
                <w:sz w:val="16"/>
                <w:szCs w:val="16"/>
                <w:lang w:val="en-US"/>
              </w:rPr>
            </w:pPr>
          </w:p>
        </w:tc>
        <w:tc>
          <w:tcPr>
            <w:tcW w:w="2977" w:type="dxa"/>
            <w:shd w:val="clear" w:color="auto" w:fill="D9D9D9" w:themeFill="background1" w:themeFillShade="D9"/>
          </w:tcPr>
          <w:p w14:paraId="0390C981" w14:textId="77777777" w:rsidR="008D0CAD" w:rsidRPr="00173FD6" w:rsidRDefault="008D0CAD" w:rsidP="00DD08E3">
            <w:pPr>
              <w:numPr>
                <w:ilvl w:val="1"/>
                <w:numId w:val="66"/>
              </w:numPr>
              <w:spacing w:before="100" w:beforeAutospacing="1" w:after="100" w:afterAutospacing="1" w:line="360" w:lineRule="auto"/>
              <w:ind w:left="469" w:hanging="450"/>
              <w:contextualSpacing/>
              <w:rPr>
                <w:rFonts w:asciiTheme="majorHAnsi" w:hAnsiTheme="majorHAnsi" w:cstheme="majorHAnsi"/>
                <w:snapToGrid w:val="0"/>
                <w:color w:val="000000" w:themeColor="text1"/>
                <w:sz w:val="16"/>
                <w:szCs w:val="16"/>
                <w:lang w:val="en-US"/>
              </w:rPr>
            </w:pPr>
            <w:r w:rsidRPr="00173FD6">
              <w:rPr>
                <w:rFonts w:asciiTheme="majorHAnsi" w:hAnsiTheme="majorHAnsi" w:cstheme="majorHAnsi"/>
                <w:snapToGrid w:val="0"/>
                <w:color w:val="000000" w:themeColor="text1"/>
                <w:sz w:val="16"/>
                <w:szCs w:val="16"/>
                <w:lang w:val="en-US"/>
              </w:rPr>
              <w:t>What are the hindering factors in the implementation of the following reforms?</w:t>
            </w:r>
          </w:p>
        </w:tc>
        <w:tc>
          <w:tcPr>
            <w:tcW w:w="2642" w:type="dxa"/>
            <w:shd w:val="clear" w:color="auto" w:fill="D9D9D9" w:themeFill="background1" w:themeFillShade="D9"/>
          </w:tcPr>
          <w:p w14:paraId="648EF9DB" w14:textId="77777777" w:rsidR="008D0CAD" w:rsidRPr="00173FD6" w:rsidRDefault="008D0CAD" w:rsidP="00DD08E3">
            <w:pPr>
              <w:numPr>
                <w:ilvl w:val="1"/>
                <w:numId w:val="66"/>
              </w:numPr>
              <w:spacing w:before="100" w:beforeAutospacing="1" w:after="100" w:afterAutospacing="1" w:line="360" w:lineRule="auto"/>
              <w:ind w:left="420" w:hanging="420"/>
              <w:contextualSpacing/>
              <w:rPr>
                <w:rFonts w:asciiTheme="majorHAnsi" w:hAnsiTheme="majorHAnsi" w:cstheme="majorHAnsi"/>
                <w:snapToGrid w:val="0"/>
                <w:color w:val="000000" w:themeColor="text1"/>
                <w:sz w:val="16"/>
                <w:szCs w:val="16"/>
                <w:lang w:val="en-US"/>
              </w:rPr>
            </w:pPr>
            <w:r w:rsidRPr="00173FD6">
              <w:rPr>
                <w:rFonts w:asciiTheme="majorHAnsi" w:hAnsiTheme="majorHAnsi" w:cstheme="majorHAnsi"/>
                <w:snapToGrid w:val="0"/>
                <w:color w:val="000000" w:themeColor="text1"/>
                <w:sz w:val="16"/>
                <w:szCs w:val="16"/>
                <w:lang w:val="en-US"/>
              </w:rPr>
              <w:t>What factors helped in making the basic education reforms successful in your Region/Division?</w:t>
            </w:r>
          </w:p>
        </w:tc>
      </w:tr>
      <w:tr w:rsidR="008D0CAD" w:rsidRPr="00173FD6" w14:paraId="23DD3EE0" w14:textId="77777777" w:rsidTr="009C64E9">
        <w:tc>
          <w:tcPr>
            <w:tcW w:w="3397" w:type="dxa"/>
          </w:tcPr>
          <w:p w14:paraId="0E64B59D" w14:textId="77777777" w:rsidR="008D0CAD" w:rsidRPr="00173FD6" w:rsidRDefault="008D0CAD" w:rsidP="00DD08E3">
            <w:pPr>
              <w:numPr>
                <w:ilvl w:val="0"/>
                <w:numId w:val="80"/>
              </w:numPr>
              <w:spacing w:before="100" w:beforeAutospacing="1" w:after="100" w:afterAutospacing="1" w:line="360" w:lineRule="auto"/>
              <w:contextualSpacing/>
              <w:rPr>
                <w:rFonts w:asciiTheme="majorHAnsi" w:hAnsiTheme="majorHAnsi" w:cstheme="majorHAnsi"/>
                <w:snapToGrid w:val="0"/>
                <w:color w:val="000000" w:themeColor="text1"/>
                <w:sz w:val="16"/>
                <w:szCs w:val="16"/>
                <w:lang w:val="en-US"/>
              </w:rPr>
            </w:pPr>
            <w:r w:rsidRPr="00173FD6">
              <w:rPr>
                <w:rFonts w:asciiTheme="majorHAnsi" w:hAnsiTheme="majorHAnsi" w:cstheme="majorHAnsi"/>
                <w:snapToGrid w:val="0"/>
                <w:color w:val="000000" w:themeColor="text1"/>
                <w:sz w:val="16"/>
                <w:szCs w:val="16"/>
                <w:lang w:val="en-US"/>
              </w:rPr>
              <w:t>Learning and Development (L&amp;D)</w:t>
            </w:r>
          </w:p>
        </w:tc>
        <w:tc>
          <w:tcPr>
            <w:tcW w:w="2977" w:type="dxa"/>
          </w:tcPr>
          <w:p w14:paraId="48980194" w14:textId="77777777" w:rsidR="008D0CAD" w:rsidRPr="00173FD6" w:rsidRDefault="008D0CAD" w:rsidP="005902F7">
            <w:pPr>
              <w:spacing w:before="100" w:beforeAutospacing="1" w:after="100" w:afterAutospacing="1" w:line="360" w:lineRule="auto"/>
              <w:rPr>
                <w:rFonts w:asciiTheme="majorHAnsi" w:hAnsiTheme="majorHAnsi" w:cstheme="majorHAnsi"/>
                <w:color w:val="000000" w:themeColor="text1"/>
                <w:sz w:val="16"/>
                <w:szCs w:val="16"/>
                <w:lang w:val="en-US"/>
              </w:rPr>
            </w:pPr>
          </w:p>
        </w:tc>
        <w:tc>
          <w:tcPr>
            <w:tcW w:w="2642" w:type="dxa"/>
          </w:tcPr>
          <w:p w14:paraId="0A8177CA" w14:textId="77777777" w:rsidR="008D0CAD" w:rsidRPr="00173FD6" w:rsidRDefault="008D0CAD" w:rsidP="005902F7">
            <w:pPr>
              <w:spacing w:before="100" w:beforeAutospacing="1" w:after="100" w:afterAutospacing="1" w:line="360" w:lineRule="auto"/>
              <w:rPr>
                <w:rFonts w:asciiTheme="majorHAnsi" w:hAnsiTheme="majorHAnsi" w:cstheme="majorHAnsi"/>
                <w:color w:val="000000" w:themeColor="text1"/>
                <w:sz w:val="16"/>
                <w:szCs w:val="16"/>
                <w:lang w:val="en-US"/>
              </w:rPr>
            </w:pPr>
          </w:p>
        </w:tc>
      </w:tr>
      <w:tr w:rsidR="008D0CAD" w:rsidRPr="00173FD6" w14:paraId="3FA4D48D" w14:textId="77777777" w:rsidTr="009C64E9">
        <w:tc>
          <w:tcPr>
            <w:tcW w:w="3397" w:type="dxa"/>
          </w:tcPr>
          <w:p w14:paraId="79C1DD94" w14:textId="77777777" w:rsidR="008D0CAD" w:rsidRPr="00173FD6" w:rsidRDefault="008D0CAD" w:rsidP="00DD08E3">
            <w:pPr>
              <w:numPr>
                <w:ilvl w:val="0"/>
                <w:numId w:val="80"/>
              </w:numPr>
              <w:spacing w:before="100" w:beforeAutospacing="1" w:after="100" w:afterAutospacing="1" w:line="360" w:lineRule="auto"/>
              <w:contextualSpacing/>
              <w:rPr>
                <w:rFonts w:asciiTheme="majorHAnsi" w:hAnsiTheme="majorHAnsi" w:cstheme="majorHAnsi"/>
                <w:snapToGrid w:val="0"/>
                <w:color w:val="000000" w:themeColor="text1"/>
                <w:sz w:val="16"/>
                <w:szCs w:val="16"/>
                <w:lang w:val="en-US"/>
              </w:rPr>
            </w:pPr>
            <w:r w:rsidRPr="00173FD6">
              <w:rPr>
                <w:rFonts w:asciiTheme="majorHAnsi" w:hAnsiTheme="majorHAnsi" w:cstheme="majorHAnsi"/>
                <w:snapToGrid w:val="0"/>
                <w:color w:val="000000" w:themeColor="text1"/>
                <w:sz w:val="16"/>
                <w:szCs w:val="16"/>
                <w:lang w:val="en-US"/>
              </w:rPr>
              <w:t>Philippine Professional Standards for Teachers (PPST)</w:t>
            </w:r>
          </w:p>
        </w:tc>
        <w:tc>
          <w:tcPr>
            <w:tcW w:w="2977" w:type="dxa"/>
          </w:tcPr>
          <w:p w14:paraId="1D5E7E8A" w14:textId="77777777" w:rsidR="008D0CAD" w:rsidRPr="00173FD6" w:rsidRDefault="008D0CAD" w:rsidP="005902F7">
            <w:pPr>
              <w:spacing w:before="100" w:beforeAutospacing="1" w:after="100" w:afterAutospacing="1" w:line="360" w:lineRule="auto"/>
              <w:rPr>
                <w:rFonts w:asciiTheme="majorHAnsi" w:hAnsiTheme="majorHAnsi" w:cstheme="majorHAnsi"/>
                <w:color w:val="000000" w:themeColor="text1"/>
                <w:sz w:val="16"/>
                <w:szCs w:val="16"/>
                <w:lang w:val="en-US"/>
              </w:rPr>
            </w:pPr>
          </w:p>
        </w:tc>
        <w:tc>
          <w:tcPr>
            <w:tcW w:w="2642" w:type="dxa"/>
          </w:tcPr>
          <w:p w14:paraId="4D292CB4" w14:textId="77777777" w:rsidR="008D0CAD" w:rsidRPr="00173FD6" w:rsidRDefault="008D0CAD" w:rsidP="005902F7">
            <w:pPr>
              <w:spacing w:before="100" w:beforeAutospacing="1" w:after="100" w:afterAutospacing="1" w:line="360" w:lineRule="auto"/>
              <w:rPr>
                <w:rFonts w:asciiTheme="majorHAnsi" w:hAnsiTheme="majorHAnsi" w:cstheme="majorHAnsi"/>
                <w:color w:val="000000" w:themeColor="text1"/>
                <w:sz w:val="16"/>
                <w:szCs w:val="16"/>
                <w:lang w:val="en-US"/>
              </w:rPr>
            </w:pPr>
          </w:p>
        </w:tc>
      </w:tr>
      <w:tr w:rsidR="008D0CAD" w:rsidRPr="00173FD6" w14:paraId="48BDF610" w14:textId="77777777" w:rsidTr="009C64E9">
        <w:tc>
          <w:tcPr>
            <w:tcW w:w="3397" w:type="dxa"/>
          </w:tcPr>
          <w:p w14:paraId="317AF2ED" w14:textId="77777777" w:rsidR="008D0CAD" w:rsidRPr="00173FD6" w:rsidRDefault="008D0CAD" w:rsidP="00DD08E3">
            <w:pPr>
              <w:numPr>
                <w:ilvl w:val="0"/>
                <w:numId w:val="80"/>
              </w:numPr>
              <w:spacing w:before="100" w:beforeAutospacing="1" w:after="100" w:afterAutospacing="1" w:line="360" w:lineRule="auto"/>
              <w:contextualSpacing/>
              <w:rPr>
                <w:rFonts w:asciiTheme="majorHAnsi" w:hAnsiTheme="majorHAnsi" w:cstheme="majorHAnsi"/>
                <w:snapToGrid w:val="0"/>
                <w:color w:val="000000" w:themeColor="text1"/>
                <w:sz w:val="16"/>
                <w:szCs w:val="16"/>
                <w:lang w:val="en-US"/>
              </w:rPr>
            </w:pPr>
            <w:r w:rsidRPr="00173FD6">
              <w:rPr>
                <w:rFonts w:asciiTheme="majorHAnsi" w:hAnsiTheme="majorHAnsi" w:cstheme="majorHAnsi"/>
                <w:snapToGrid w:val="0"/>
                <w:color w:val="000000" w:themeColor="text1"/>
                <w:sz w:val="16"/>
                <w:szCs w:val="16"/>
                <w:lang w:val="en-US"/>
              </w:rPr>
              <w:t>K-12 Curricula and Assessment</w:t>
            </w:r>
          </w:p>
        </w:tc>
        <w:tc>
          <w:tcPr>
            <w:tcW w:w="2977" w:type="dxa"/>
          </w:tcPr>
          <w:p w14:paraId="54C62F6F" w14:textId="77777777" w:rsidR="008D0CAD" w:rsidRPr="00173FD6" w:rsidRDefault="008D0CAD" w:rsidP="005902F7">
            <w:pPr>
              <w:spacing w:before="100" w:beforeAutospacing="1" w:after="100" w:afterAutospacing="1" w:line="360" w:lineRule="auto"/>
              <w:rPr>
                <w:rFonts w:asciiTheme="majorHAnsi" w:hAnsiTheme="majorHAnsi" w:cstheme="majorHAnsi"/>
                <w:color w:val="000000" w:themeColor="text1"/>
                <w:sz w:val="16"/>
                <w:szCs w:val="16"/>
                <w:lang w:val="en-US"/>
              </w:rPr>
            </w:pPr>
          </w:p>
        </w:tc>
        <w:tc>
          <w:tcPr>
            <w:tcW w:w="2642" w:type="dxa"/>
          </w:tcPr>
          <w:p w14:paraId="52169E26" w14:textId="77777777" w:rsidR="008D0CAD" w:rsidRPr="00173FD6" w:rsidRDefault="008D0CAD" w:rsidP="005902F7">
            <w:pPr>
              <w:spacing w:before="100" w:beforeAutospacing="1" w:after="100" w:afterAutospacing="1" w:line="360" w:lineRule="auto"/>
              <w:rPr>
                <w:rFonts w:asciiTheme="majorHAnsi" w:hAnsiTheme="majorHAnsi" w:cstheme="majorHAnsi"/>
                <w:color w:val="000000" w:themeColor="text1"/>
                <w:sz w:val="16"/>
                <w:szCs w:val="16"/>
                <w:lang w:val="en-US"/>
              </w:rPr>
            </w:pPr>
          </w:p>
        </w:tc>
      </w:tr>
      <w:tr w:rsidR="008D0CAD" w:rsidRPr="00173FD6" w14:paraId="75D19C2C" w14:textId="77777777" w:rsidTr="009C64E9">
        <w:tc>
          <w:tcPr>
            <w:tcW w:w="3397" w:type="dxa"/>
          </w:tcPr>
          <w:p w14:paraId="3A95B0FC" w14:textId="77777777" w:rsidR="008D0CAD" w:rsidRPr="00173FD6" w:rsidRDefault="008D0CAD" w:rsidP="00DD08E3">
            <w:pPr>
              <w:numPr>
                <w:ilvl w:val="0"/>
                <w:numId w:val="80"/>
              </w:numPr>
              <w:spacing w:before="100" w:beforeAutospacing="1" w:after="100" w:afterAutospacing="1" w:line="360" w:lineRule="auto"/>
              <w:contextualSpacing/>
              <w:rPr>
                <w:rFonts w:asciiTheme="majorHAnsi" w:hAnsiTheme="majorHAnsi" w:cstheme="majorHAnsi"/>
                <w:snapToGrid w:val="0"/>
                <w:color w:val="000000" w:themeColor="text1"/>
                <w:sz w:val="16"/>
                <w:szCs w:val="16"/>
                <w:lang w:val="en-US"/>
              </w:rPr>
            </w:pPr>
            <w:r w:rsidRPr="00173FD6">
              <w:rPr>
                <w:rFonts w:asciiTheme="majorHAnsi" w:hAnsiTheme="majorHAnsi" w:cstheme="majorHAnsi"/>
                <w:snapToGrid w:val="0"/>
                <w:color w:val="000000" w:themeColor="text1"/>
                <w:sz w:val="16"/>
                <w:szCs w:val="16"/>
                <w:lang w:val="en-US"/>
              </w:rPr>
              <w:t>School-Based Management</w:t>
            </w:r>
          </w:p>
        </w:tc>
        <w:tc>
          <w:tcPr>
            <w:tcW w:w="2977" w:type="dxa"/>
          </w:tcPr>
          <w:p w14:paraId="1BB37FFA" w14:textId="77777777" w:rsidR="008D0CAD" w:rsidRPr="00173FD6" w:rsidRDefault="008D0CAD" w:rsidP="005902F7">
            <w:pPr>
              <w:spacing w:before="100" w:beforeAutospacing="1" w:after="100" w:afterAutospacing="1" w:line="360" w:lineRule="auto"/>
              <w:rPr>
                <w:rFonts w:asciiTheme="majorHAnsi" w:hAnsiTheme="majorHAnsi" w:cstheme="majorHAnsi"/>
                <w:color w:val="000000" w:themeColor="text1"/>
                <w:sz w:val="16"/>
                <w:szCs w:val="16"/>
                <w:lang w:val="en-US"/>
              </w:rPr>
            </w:pPr>
          </w:p>
        </w:tc>
        <w:tc>
          <w:tcPr>
            <w:tcW w:w="2642" w:type="dxa"/>
          </w:tcPr>
          <w:p w14:paraId="504157C9" w14:textId="77777777" w:rsidR="008D0CAD" w:rsidRPr="00173FD6" w:rsidRDefault="008D0CAD" w:rsidP="005902F7">
            <w:pPr>
              <w:spacing w:before="100" w:beforeAutospacing="1" w:after="100" w:afterAutospacing="1" w:line="360" w:lineRule="auto"/>
              <w:rPr>
                <w:rFonts w:asciiTheme="majorHAnsi" w:hAnsiTheme="majorHAnsi" w:cstheme="majorHAnsi"/>
                <w:color w:val="000000" w:themeColor="text1"/>
                <w:sz w:val="16"/>
                <w:szCs w:val="16"/>
                <w:lang w:val="en-US"/>
              </w:rPr>
            </w:pPr>
          </w:p>
        </w:tc>
      </w:tr>
      <w:tr w:rsidR="008D0CAD" w:rsidRPr="00173FD6" w14:paraId="7A6F5527" w14:textId="77777777" w:rsidTr="009C64E9">
        <w:tc>
          <w:tcPr>
            <w:tcW w:w="3397" w:type="dxa"/>
          </w:tcPr>
          <w:p w14:paraId="0561423E" w14:textId="77777777" w:rsidR="008D0CAD" w:rsidRPr="00173FD6" w:rsidRDefault="008D0CAD" w:rsidP="00DD08E3">
            <w:pPr>
              <w:numPr>
                <w:ilvl w:val="0"/>
                <w:numId w:val="80"/>
              </w:numPr>
              <w:spacing w:before="100" w:beforeAutospacing="1" w:after="100" w:afterAutospacing="1" w:line="360" w:lineRule="auto"/>
              <w:contextualSpacing/>
              <w:rPr>
                <w:rFonts w:asciiTheme="majorHAnsi" w:hAnsiTheme="majorHAnsi" w:cstheme="majorHAnsi"/>
                <w:snapToGrid w:val="0"/>
                <w:color w:val="000000" w:themeColor="text1"/>
                <w:sz w:val="16"/>
                <w:szCs w:val="16"/>
                <w:lang w:val="en-US"/>
              </w:rPr>
            </w:pPr>
            <w:r w:rsidRPr="00173FD6">
              <w:rPr>
                <w:rFonts w:asciiTheme="majorHAnsi" w:hAnsiTheme="majorHAnsi" w:cstheme="majorHAnsi"/>
                <w:snapToGrid w:val="0"/>
                <w:color w:val="000000" w:themeColor="text1"/>
                <w:sz w:val="16"/>
                <w:szCs w:val="16"/>
                <w:lang w:val="en-US"/>
              </w:rPr>
              <w:t>Policy, Planning, Monitoring and Evaluation System</w:t>
            </w:r>
          </w:p>
        </w:tc>
        <w:tc>
          <w:tcPr>
            <w:tcW w:w="2977" w:type="dxa"/>
          </w:tcPr>
          <w:p w14:paraId="7F36FA8B" w14:textId="77777777" w:rsidR="008D0CAD" w:rsidRPr="00173FD6" w:rsidRDefault="008D0CAD" w:rsidP="005902F7">
            <w:pPr>
              <w:spacing w:before="100" w:beforeAutospacing="1" w:after="100" w:afterAutospacing="1" w:line="360" w:lineRule="auto"/>
              <w:rPr>
                <w:rFonts w:asciiTheme="majorHAnsi" w:hAnsiTheme="majorHAnsi" w:cstheme="majorHAnsi"/>
                <w:color w:val="000000" w:themeColor="text1"/>
                <w:sz w:val="16"/>
                <w:szCs w:val="16"/>
                <w:lang w:val="en-US"/>
              </w:rPr>
            </w:pPr>
          </w:p>
        </w:tc>
        <w:tc>
          <w:tcPr>
            <w:tcW w:w="2642" w:type="dxa"/>
          </w:tcPr>
          <w:p w14:paraId="7B36A545" w14:textId="77777777" w:rsidR="008D0CAD" w:rsidRPr="00173FD6" w:rsidRDefault="008D0CAD" w:rsidP="005902F7">
            <w:pPr>
              <w:spacing w:before="100" w:beforeAutospacing="1" w:after="100" w:afterAutospacing="1" w:line="360" w:lineRule="auto"/>
              <w:rPr>
                <w:rFonts w:asciiTheme="majorHAnsi" w:hAnsiTheme="majorHAnsi" w:cstheme="majorHAnsi"/>
                <w:color w:val="000000" w:themeColor="text1"/>
                <w:sz w:val="16"/>
                <w:szCs w:val="16"/>
                <w:lang w:val="en-US"/>
              </w:rPr>
            </w:pPr>
          </w:p>
        </w:tc>
      </w:tr>
      <w:tr w:rsidR="008D0CAD" w:rsidRPr="00173FD6" w14:paraId="64057FBD" w14:textId="77777777" w:rsidTr="009C64E9">
        <w:tc>
          <w:tcPr>
            <w:tcW w:w="3397" w:type="dxa"/>
          </w:tcPr>
          <w:p w14:paraId="1C22BA92" w14:textId="77777777" w:rsidR="008D0CAD" w:rsidRPr="00173FD6" w:rsidRDefault="008D0CAD" w:rsidP="00DD08E3">
            <w:pPr>
              <w:numPr>
                <w:ilvl w:val="0"/>
                <w:numId w:val="80"/>
              </w:numPr>
              <w:spacing w:before="100" w:beforeAutospacing="1" w:after="100" w:afterAutospacing="1" w:line="360" w:lineRule="auto"/>
              <w:contextualSpacing/>
              <w:rPr>
                <w:rFonts w:asciiTheme="majorHAnsi" w:hAnsiTheme="majorHAnsi" w:cstheme="majorHAnsi"/>
                <w:snapToGrid w:val="0"/>
                <w:color w:val="000000" w:themeColor="text1"/>
                <w:sz w:val="16"/>
                <w:szCs w:val="16"/>
                <w:lang w:val="en-US"/>
              </w:rPr>
            </w:pPr>
            <w:r w:rsidRPr="00173FD6">
              <w:rPr>
                <w:rFonts w:asciiTheme="majorHAnsi" w:hAnsiTheme="majorHAnsi" w:cstheme="majorHAnsi"/>
                <w:snapToGrid w:val="0"/>
                <w:color w:val="000000" w:themeColor="text1"/>
                <w:sz w:val="16"/>
                <w:szCs w:val="16"/>
                <w:lang w:val="en-US"/>
              </w:rPr>
              <w:t>Gender, Disability and Inclusive Education</w:t>
            </w:r>
          </w:p>
        </w:tc>
        <w:tc>
          <w:tcPr>
            <w:tcW w:w="2977" w:type="dxa"/>
          </w:tcPr>
          <w:p w14:paraId="7B5C4130" w14:textId="77777777" w:rsidR="008D0CAD" w:rsidRPr="00173FD6" w:rsidRDefault="008D0CAD" w:rsidP="005902F7">
            <w:pPr>
              <w:spacing w:before="100" w:beforeAutospacing="1" w:after="100" w:afterAutospacing="1" w:line="360" w:lineRule="auto"/>
              <w:rPr>
                <w:rFonts w:asciiTheme="majorHAnsi" w:hAnsiTheme="majorHAnsi" w:cstheme="majorHAnsi"/>
                <w:color w:val="000000" w:themeColor="text1"/>
                <w:sz w:val="16"/>
                <w:szCs w:val="16"/>
                <w:lang w:val="en-US"/>
              </w:rPr>
            </w:pPr>
          </w:p>
        </w:tc>
        <w:tc>
          <w:tcPr>
            <w:tcW w:w="2642" w:type="dxa"/>
          </w:tcPr>
          <w:p w14:paraId="1D3DB996" w14:textId="77777777" w:rsidR="008D0CAD" w:rsidRPr="00173FD6" w:rsidRDefault="008D0CAD" w:rsidP="005902F7">
            <w:pPr>
              <w:spacing w:before="100" w:beforeAutospacing="1" w:after="100" w:afterAutospacing="1" w:line="360" w:lineRule="auto"/>
              <w:rPr>
                <w:rFonts w:asciiTheme="majorHAnsi" w:hAnsiTheme="majorHAnsi" w:cstheme="majorHAnsi"/>
                <w:color w:val="000000" w:themeColor="text1"/>
                <w:sz w:val="16"/>
                <w:szCs w:val="16"/>
                <w:lang w:val="en-US"/>
              </w:rPr>
            </w:pPr>
          </w:p>
        </w:tc>
      </w:tr>
      <w:tr w:rsidR="008D0CAD" w:rsidRPr="00173FD6" w14:paraId="7FCEF0DB" w14:textId="77777777" w:rsidTr="009C64E9">
        <w:tc>
          <w:tcPr>
            <w:tcW w:w="3397" w:type="dxa"/>
          </w:tcPr>
          <w:p w14:paraId="4202641B" w14:textId="77777777" w:rsidR="008D0CAD" w:rsidRPr="00173FD6" w:rsidRDefault="008D0CAD" w:rsidP="00DD08E3">
            <w:pPr>
              <w:numPr>
                <w:ilvl w:val="0"/>
                <w:numId w:val="80"/>
              </w:numPr>
              <w:spacing w:before="100" w:beforeAutospacing="1" w:after="100" w:afterAutospacing="1" w:line="360" w:lineRule="auto"/>
              <w:contextualSpacing/>
              <w:rPr>
                <w:rFonts w:asciiTheme="majorHAnsi" w:hAnsiTheme="majorHAnsi" w:cstheme="majorHAnsi"/>
                <w:snapToGrid w:val="0"/>
                <w:color w:val="000000" w:themeColor="text1"/>
                <w:sz w:val="16"/>
                <w:szCs w:val="16"/>
                <w:lang w:val="en-US"/>
              </w:rPr>
            </w:pPr>
            <w:r w:rsidRPr="00173FD6">
              <w:rPr>
                <w:rFonts w:asciiTheme="majorHAnsi" w:hAnsiTheme="majorHAnsi" w:cstheme="majorHAnsi"/>
                <w:snapToGrid w:val="0"/>
                <w:color w:val="000000" w:themeColor="text1"/>
                <w:sz w:val="16"/>
                <w:szCs w:val="16"/>
                <w:lang w:val="en-US"/>
              </w:rPr>
              <w:t>Organisational Development</w:t>
            </w:r>
          </w:p>
        </w:tc>
        <w:tc>
          <w:tcPr>
            <w:tcW w:w="2977" w:type="dxa"/>
          </w:tcPr>
          <w:p w14:paraId="70C72F9B" w14:textId="77777777" w:rsidR="008D0CAD" w:rsidRPr="00173FD6" w:rsidRDefault="008D0CAD" w:rsidP="005902F7">
            <w:pPr>
              <w:spacing w:before="100" w:beforeAutospacing="1" w:after="100" w:afterAutospacing="1" w:line="360" w:lineRule="auto"/>
              <w:rPr>
                <w:rFonts w:asciiTheme="majorHAnsi" w:hAnsiTheme="majorHAnsi" w:cstheme="majorHAnsi"/>
                <w:color w:val="000000" w:themeColor="text1"/>
                <w:sz w:val="16"/>
                <w:szCs w:val="16"/>
                <w:lang w:val="en-US"/>
              </w:rPr>
            </w:pPr>
          </w:p>
        </w:tc>
        <w:tc>
          <w:tcPr>
            <w:tcW w:w="2642" w:type="dxa"/>
          </w:tcPr>
          <w:p w14:paraId="247A384F" w14:textId="77777777" w:rsidR="008D0CAD" w:rsidRPr="00173FD6" w:rsidRDefault="008D0CAD" w:rsidP="005902F7">
            <w:pPr>
              <w:spacing w:before="100" w:beforeAutospacing="1" w:after="100" w:afterAutospacing="1" w:line="360" w:lineRule="auto"/>
              <w:rPr>
                <w:rFonts w:asciiTheme="majorHAnsi" w:hAnsiTheme="majorHAnsi" w:cstheme="majorHAnsi"/>
                <w:color w:val="000000" w:themeColor="text1"/>
                <w:sz w:val="16"/>
                <w:szCs w:val="16"/>
                <w:lang w:val="en-US"/>
              </w:rPr>
            </w:pPr>
          </w:p>
        </w:tc>
      </w:tr>
    </w:tbl>
    <w:p w14:paraId="7ABB6DEC" w14:textId="1BDE6558" w:rsidR="008D0CAD" w:rsidRPr="00173FD6" w:rsidRDefault="008D0CAD" w:rsidP="00DD08E3">
      <w:pPr>
        <w:numPr>
          <w:ilvl w:val="0"/>
          <w:numId w:val="66"/>
        </w:numPr>
        <w:spacing w:before="100" w:beforeAutospacing="1" w:after="100" w:afterAutospacing="1" w:line="360" w:lineRule="auto"/>
        <w:ind w:left="357" w:hanging="357"/>
        <w:rPr>
          <w:rFonts w:asciiTheme="majorHAnsi" w:hAnsiTheme="majorHAnsi" w:cstheme="majorHAnsi"/>
          <w:snapToGrid w:val="0"/>
          <w:color w:val="000000" w:themeColor="text1"/>
          <w:sz w:val="20"/>
          <w:szCs w:val="20"/>
          <w:lang w:val="en-US"/>
        </w:rPr>
      </w:pPr>
      <w:r w:rsidRPr="00173FD6">
        <w:rPr>
          <w:rFonts w:asciiTheme="majorHAnsi" w:hAnsiTheme="majorHAnsi" w:cstheme="majorHAnsi"/>
          <w:bCs/>
          <w:snapToGrid w:val="0"/>
          <w:sz w:val="20"/>
          <w:szCs w:val="20"/>
          <w:lang w:val="en-US"/>
        </w:rPr>
        <w:t>What is the likelihood that the basic education reforms will be sustained after the end of the BEST Program?</w:t>
      </w:r>
      <w:r w:rsidR="00D434EB">
        <w:rPr>
          <w:rFonts w:asciiTheme="majorHAnsi" w:hAnsiTheme="majorHAnsi" w:cstheme="majorHAnsi"/>
          <w:bCs/>
          <w:snapToGrid w:val="0"/>
          <w:sz w:val="20"/>
          <w:szCs w:val="20"/>
          <w:lang w:val="en-US"/>
        </w:rPr>
        <w:t xml:space="preserve"> </w:t>
      </w:r>
      <w:r w:rsidRPr="00173FD6">
        <w:rPr>
          <w:rFonts w:asciiTheme="majorHAnsi" w:hAnsiTheme="majorHAnsi" w:cstheme="majorHAnsi"/>
          <w:snapToGrid w:val="0"/>
          <w:color w:val="000000" w:themeColor="text1"/>
          <w:sz w:val="20"/>
          <w:szCs w:val="20"/>
          <w:lang w:val="en-US"/>
        </w:rPr>
        <w:t>Please cite specific evidences.</w:t>
      </w:r>
    </w:p>
    <w:p w14:paraId="0374F5F7" w14:textId="77777777" w:rsidR="008D0CAD" w:rsidRPr="00173FD6" w:rsidRDefault="008D0CAD" w:rsidP="00DD08E3">
      <w:pPr>
        <w:numPr>
          <w:ilvl w:val="0"/>
          <w:numId w:val="66"/>
        </w:numPr>
        <w:spacing w:before="100" w:beforeAutospacing="1" w:after="100" w:afterAutospacing="1" w:line="360" w:lineRule="auto"/>
        <w:ind w:left="284" w:hanging="284"/>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Please give your recommendations.</w:t>
      </w:r>
    </w:p>
    <w:p w14:paraId="390CC8B1" w14:textId="77777777" w:rsidR="008D0CAD" w:rsidRPr="005A731E" w:rsidRDefault="008D0CAD" w:rsidP="00DD08E3">
      <w:pPr>
        <w:numPr>
          <w:ilvl w:val="1"/>
          <w:numId w:val="66"/>
        </w:numPr>
        <w:spacing w:before="100" w:beforeAutospacing="1" w:after="100" w:afterAutospacing="1" w:line="360" w:lineRule="auto"/>
        <w:contextualSpacing/>
        <w:rPr>
          <w:rFonts w:asciiTheme="majorHAnsi" w:hAnsiTheme="majorHAnsi" w:cstheme="majorHAnsi"/>
          <w:snapToGrid w:val="0"/>
          <w:sz w:val="20"/>
          <w:szCs w:val="20"/>
          <w:lang w:val="en-US"/>
        </w:rPr>
      </w:pPr>
      <w:r w:rsidRPr="00173FD6">
        <w:rPr>
          <w:rFonts w:asciiTheme="majorHAnsi" w:hAnsiTheme="majorHAnsi" w:cstheme="majorHAnsi"/>
          <w:snapToGrid w:val="0"/>
          <w:sz w:val="20"/>
          <w:szCs w:val="20"/>
          <w:lang w:val="en-US"/>
        </w:rPr>
        <w:t>What recommendations can you give to sustain the different basic education reforms that were introduced in the last five years?</w:t>
      </w:r>
    </w:p>
    <w:p w14:paraId="3A7BFE7A" w14:textId="77777777" w:rsidR="008D0CAD" w:rsidRPr="00173FD6" w:rsidRDefault="008D0CAD" w:rsidP="005902F7">
      <w:pPr>
        <w:spacing w:before="100" w:beforeAutospacing="1" w:after="100" w:afterAutospacing="1" w:line="360" w:lineRule="auto"/>
        <w:rPr>
          <w:rFonts w:asciiTheme="majorHAnsi" w:hAnsiTheme="majorHAnsi" w:cstheme="majorHAnsi"/>
          <w:b/>
          <w:color w:val="000000" w:themeColor="text1"/>
          <w:sz w:val="20"/>
          <w:szCs w:val="20"/>
          <w:lang w:val="en-US"/>
        </w:rPr>
      </w:pPr>
      <w:r w:rsidRPr="00173FD6">
        <w:rPr>
          <w:rFonts w:asciiTheme="majorHAnsi" w:hAnsiTheme="majorHAnsi" w:cstheme="majorHAnsi"/>
          <w:color w:val="000000" w:themeColor="text1"/>
          <w:sz w:val="20"/>
          <w:szCs w:val="20"/>
          <w:lang w:val="en-US"/>
        </w:rPr>
        <w:t>-</w:t>
      </w:r>
      <w:r w:rsidRPr="00173FD6">
        <w:rPr>
          <w:rFonts w:asciiTheme="majorHAnsi" w:hAnsiTheme="majorHAnsi" w:cstheme="majorHAnsi"/>
          <w:b/>
          <w:color w:val="000000" w:themeColor="text1"/>
          <w:sz w:val="20"/>
          <w:szCs w:val="20"/>
          <w:lang w:val="en-US"/>
        </w:rPr>
        <w:t>End of Questions-</w:t>
      </w:r>
    </w:p>
    <w:p w14:paraId="089A293F" w14:textId="3EEE081B" w:rsidR="008D0CAD" w:rsidRPr="005902F7" w:rsidRDefault="008D0CAD" w:rsidP="005902F7">
      <w:pPr>
        <w:spacing w:before="100" w:beforeAutospacing="1" w:after="100" w:afterAutospacing="1" w:line="360" w:lineRule="auto"/>
        <w:rPr>
          <w:rFonts w:asciiTheme="majorHAnsi" w:hAnsiTheme="majorHAnsi" w:cstheme="majorHAnsi"/>
          <w:b/>
          <w:color w:val="000000" w:themeColor="text1"/>
          <w:sz w:val="20"/>
          <w:szCs w:val="20"/>
          <w:lang w:val="en-US"/>
        </w:rPr>
      </w:pPr>
      <w:r w:rsidRPr="00136D90">
        <w:rPr>
          <w:rFonts w:asciiTheme="majorHAnsi" w:hAnsiTheme="majorHAnsi" w:cstheme="majorHAnsi"/>
          <w:b/>
          <w:color w:val="000000" w:themeColor="text1"/>
          <w:sz w:val="20"/>
          <w:szCs w:val="20"/>
          <w:lang w:val="en-US"/>
        </w:rPr>
        <w:t>Attachment 1</w:t>
      </w:r>
    </w:p>
    <w:p w14:paraId="1D2D1A26" w14:textId="77777777" w:rsidR="008D0CAD" w:rsidRPr="00136D90" w:rsidRDefault="008D0CAD" w:rsidP="005902F7">
      <w:pPr>
        <w:spacing w:before="100" w:beforeAutospacing="1" w:after="100" w:afterAutospacing="1" w:line="360" w:lineRule="auto"/>
        <w:rPr>
          <w:rFonts w:asciiTheme="majorHAnsi" w:hAnsiTheme="majorHAnsi" w:cstheme="majorHAnsi"/>
          <w:bCs/>
          <w:sz w:val="20"/>
          <w:szCs w:val="20"/>
          <w:lang w:val="en-US"/>
        </w:rPr>
      </w:pPr>
      <w:r w:rsidRPr="00136D90">
        <w:rPr>
          <w:rFonts w:asciiTheme="majorHAnsi" w:hAnsiTheme="majorHAnsi" w:cstheme="majorHAnsi"/>
          <w:bCs/>
          <w:sz w:val="20"/>
          <w:szCs w:val="20"/>
          <w:lang w:val="en-US"/>
        </w:rPr>
        <w:t xml:space="preserve">Please identify the </w:t>
      </w:r>
      <w:r w:rsidRPr="00136D90">
        <w:rPr>
          <w:rFonts w:asciiTheme="majorHAnsi" w:hAnsiTheme="majorHAnsi" w:cstheme="majorHAnsi"/>
          <w:b/>
          <w:bCs/>
          <w:sz w:val="20"/>
          <w:szCs w:val="20"/>
          <w:lang w:val="en-US"/>
        </w:rPr>
        <w:t>different support mechanisms</w:t>
      </w:r>
      <w:r w:rsidRPr="00136D90">
        <w:rPr>
          <w:rFonts w:asciiTheme="majorHAnsi" w:hAnsiTheme="majorHAnsi" w:cstheme="majorHAnsi"/>
          <w:bCs/>
          <w:sz w:val="20"/>
          <w:szCs w:val="20"/>
          <w:lang w:val="en-US"/>
        </w:rPr>
        <w:t xml:space="preserve"> (e.g., systems, resources, capacity building) that were provided to you and your Region/Division/School in order to ensure the successful implementation of the various basic education reforms?</w:t>
      </w:r>
    </w:p>
    <w:tbl>
      <w:tblPr>
        <w:tblStyle w:val="TableGrid5"/>
        <w:tblW w:w="9810" w:type="dxa"/>
        <w:tblInd w:w="-5" w:type="dxa"/>
        <w:tblLayout w:type="fixed"/>
        <w:tblLook w:val="04A0" w:firstRow="1" w:lastRow="0" w:firstColumn="1" w:lastColumn="0" w:noHBand="0" w:noVBand="1"/>
      </w:tblPr>
      <w:tblGrid>
        <w:gridCol w:w="4770"/>
        <w:gridCol w:w="720"/>
        <w:gridCol w:w="810"/>
        <w:gridCol w:w="900"/>
        <w:gridCol w:w="990"/>
        <w:gridCol w:w="1620"/>
      </w:tblGrid>
      <w:tr w:rsidR="00AC3375" w:rsidRPr="005A731E" w14:paraId="129C94D0" w14:textId="77777777" w:rsidTr="00FF4CA3">
        <w:trPr>
          <w:trHeight w:val="890"/>
          <w:tblHeader/>
        </w:trPr>
        <w:tc>
          <w:tcPr>
            <w:tcW w:w="4770" w:type="dxa"/>
            <w:tcBorders>
              <w:bottom w:val="nil"/>
            </w:tcBorders>
            <w:shd w:val="clear" w:color="auto" w:fill="D9D9D9" w:themeFill="background1" w:themeFillShade="D9"/>
          </w:tcPr>
          <w:p w14:paraId="64783916" w14:textId="77777777" w:rsidR="00AC3375" w:rsidRPr="005A731E" w:rsidRDefault="00AC3375" w:rsidP="00AC3375">
            <w:pPr>
              <w:autoSpaceDE w:val="0"/>
              <w:autoSpaceDN w:val="0"/>
              <w:adjustRightInd w:val="0"/>
              <w:spacing w:before="100" w:beforeAutospacing="1" w:after="100" w:afterAutospacing="1" w:line="360" w:lineRule="auto"/>
              <w:rPr>
                <w:rFonts w:asciiTheme="majorHAnsi" w:eastAsiaTheme="minorHAnsi" w:hAnsiTheme="majorHAnsi" w:cstheme="majorHAnsi"/>
                <w:b/>
                <w:color w:val="000000"/>
                <w:sz w:val="18"/>
                <w:szCs w:val="18"/>
                <w:lang w:val="en-US"/>
              </w:rPr>
            </w:pPr>
          </w:p>
        </w:tc>
        <w:tc>
          <w:tcPr>
            <w:tcW w:w="720" w:type="dxa"/>
            <w:tcBorders>
              <w:right w:val="nil"/>
            </w:tcBorders>
            <w:shd w:val="clear" w:color="auto" w:fill="D9D9D9" w:themeFill="background1" w:themeFillShade="D9"/>
            <w:vAlign w:val="center"/>
          </w:tcPr>
          <w:p w14:paraId="7332E1F2" w14:textId="25D259C1" w:rsidR="00AC3375" w:rsidRPr="005A731E" w:rsidRDefault="002B674E"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8"/>
                <w:szCs w:val="18"/>
                <w:lang w:val="en-US"/>
              </w:rPr>
            </w:pPr>
            <w:r>
              <w:rPr>
                <w:rFonts w:asciiTheme="majorHAnsi" w:eastAsiaTheme="minorHAnsi" w:hAnsiTheme="majorHAnsi" w:cstheme="majorHAnsi"/>
                <w:color w:val="000000" w:themeColor="text1"/>
                <w:sz w:val="18"/>
                <w:szCs w:val="18"/>
                <w:lang w:val="en-US"/>
              </w:rPr>
              <w:t xml:space="preserve">Check </w:t>
            </w:r>
          </w:p>
        </w:tc>
        <w:tc>
          <w:tcPr>
            <w:tcW w:w="810" w:type="dxa"/>
            <w:tcBorders>
              <w:left w:val="nil"/>
              <w:right w:val="nil"/>
            </w:tcBorders>
            <w:shd w:val="clear" w:color="auto" w:fill="D9D9D9" w:themeFill="background1" w:themeFillShade="D9"/>
            <w:vAlign w:val="center"/>
          </w:tcPr>
          <w:p w14:paraId="021302C5" w14:textId="736A7DF4" w:rsidR="00AC3375" w:rsidRPr="005A731E" w:rsidRDefault="00D41FA2"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8"/>
                <w:szCs w:val="18"/>
                <w:lang w:val="en-US"/>
              </w:rPr>
            </w:pPr>
            <w:r>
              <w:rPr>
                <w:rFonts w:asciiTheme="majorHAnsi" w:eastAsiaTheme="minorHAnsi" w:hAnsiTheme="majorHAnsi" w:cstheme="majorHAnsi"/>
                <w:color w:val="000000" w:themeColor="text1"/>
                <w:sz w:val="18"/>
                <w:szCs w:val="18"/>
                <w:lang w:val="en-US"/>
              </w:rPr>
              <w:t>if</w:t>
            </w:r>
          </w:p>
        </w:tc>
        <w:tc>
          <w:tcPr>
            <w:tcW w:w="900" w:type="dxa"/>
            <w:tcBorders>
              <w:left w:val="nil"/>
              <w:right w:val="nil"/>
            </w:tcBorders>
            <w:shd w:val="clear" w:color="auto" w:fill="D9D9D9" w:themeFill="background1" w:themeFillShade="D9"/>
            <w:vAlign w:val="center"/>
          </w:tcPr>
          <w:p w14:paraId="2E5DEACD" w14:textId="59B16E45" w:rsidR="00AC3375" w:rsidRPr="005A731E" w:rsidRDefault="00D41FA2"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8"/>
                <w:szCs w:val="18"/>
                <w:lang w:val="en-US"/>
              </w:rPr>
            </w:pPr>
            <w:r>
              <w:rPr>
                <w:rFonts w:asciiTheme="majorHAnsi" w:eastAsiaTheme="minorHAnsi" w:hAnsiTheme="majorHAnsi" w:cstheme="majorHAnsi"/>
                <w:color w:val="000000" w:themeColor="text1"/>
                <w:sz w:val="18"/>
                <w:szCs w:val="18"/>
                <w:lang w:val="en-US"/>
              </w:rPr>
              <w:t>provided</w:t>
            </w:r>
          </w:p>
        </w:tc>
        <w:tc>
          <w:tcPr>
            <w:tcW w:w="990" w:type="dxa"/>
            <w:tcBorders>
              <w:left w:val="nil"/>
              <w:right w:val="single" w:sz="4" w:space="0" w:color="auto"/>
            </w:tcBorders>
            <w:shd w:val="clear" w:color="auto" w:fill="D9D9D9" w:themeFill="background1" w:themeFillShade="D9"/>
            <w:vAlign w:val="center"/>
          </w:tcPr>
          <w:p w14:paraId="64058CE5" w14:textId="77777777" w:rsidR="00AC3375" w:rsidRPr="005A731E" w:rsidRDefault="00AC3375"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8"/>
                <w:szCs w:val="18"/>
                <w:lang w:val="en-US"/>
              </w:rPr>
            </w:pPr>
          </w:p>
        </w:tc>
        <w:tc>
          <w:tcPr>
            <w:tcW w:w="1620" w:type="dxa"/>
            <w:tcBorders>
              <w:left w:val="single" w:sz="4" w:space="0" w:color="auto"/>
              <w:bottom w:val="nil"/>
            </w:tcBorders>
            <w:shd w:val="clear" w:color="auto" w:fill="D9D9D9" w:themeFill="background1" w:themeFillShade="D9"/>
            <w:vAlign w:val="center"/>
          </w:tcPr>
          <w:p w14:paraId="43FB168A" w14:textId="0C72BCFE" w:rsidR="00AC3375" w:rsidRDefault="00D41FA2"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8"/>
                <w:szCs w:val="18"/>
                <w:lang w:val="en-US"/>
              </w:rPr>
            </w:pPr>
            <w:r>
              <w:rPr>
                <w:rFonts w:asciiTheme="majorHAnsi" w:eastAsiaTheme="minorHAnsi" w:hAnsiTheme="majorHAnsi" w:cstheme="majorHAnsi"/>
                <w:color w:val="000000" w:themeColor="text1"/>
                <w:sz w:val="18"/>
                <w:szCs w:val="18"/>
                <w:lang w:val="en-US"/>
              </w:rPr>
              <w:t>Others, please write other support provided</w:t>
            </w:r>
          </w:p>
        </w:tc>
      </w:tr>
      <w:tr w:rsidR="0089413E" w:rsidRPr="005A731E" w14:paraId="2CB58622" w14:textId="77777777" w:rsidTr="00FF4CA3">
        <w:trPr>
          <w:trHeight w:val="890"/>
          <w:tblHeader/>
        </w:trPr>
        <w:tc>
          <w:tcPr>
            <w:tcW w:w="4770" w:type="dxa"/>
            <w:tcBorders>
              <w:top w:val="nil"/>
            </w:tcBorders>
            <w:shd w:val="clear" w:color="auto" w:fill="D9D9D9" w:themeFill="background1" w:themeFillShade="D9"/>
          </w:tcPr>
          <w:p w14:paraId="2665E108" w14:textId="77777777" w:rsidR="00AC3375" w:rsidRPr="005A731E" w:rsidRDefault="00AC3375" w:rsidP="00AC3375">
            <w:pPr>
              <w:autoSpaceDE w:val="0"/>
              <w:autoSpaceDN w:val="0"/>
              <w:adjustRightInd w:val="0"/>
              <w:spacing w:before="100" w:beforeAutospacing="1" w:after="100" w:afterAutospacing="1" w:line="360" w:lineRule="auto"/>
              <w:rPr>
                <w:rFonts w:asciiTheme="majorHAnsi" w:eastAsiaTheme="minorHAnsi" w:hAnsiTheme="majorHAnsi" w:cstheme="majorHAnsi"/>
                <w:b/>
                <w:color w:val="000000"/>
                <w:sz w:val="18"/>
                <w:szCs w:val="18"/>
                <w:lang w:val="en-US"/>
              </w:rPr>
            </w:pPr>
            <w:r w:rsidRPr="005A731E">
              <w:rPr>
                <w:rFonts w:asciiTheme="majorHAnsi" w:eastAsiaTheme="minorHAnsi" w:hAnsiTheme="majorHAnsi" w:cstheme="majorHAnsi"/>
                <w:b/>
                <w:color w:val="000000"/>
                <w:sz w:val="18"/>
                <w:szCs w:val="18"/>
                <w:lang w:val="en-US"/>
              </w:rPr>
              <w:t>Basic Education Reforms</w:t>
            </w:r>
          </w:p>
          <w:p w14:paraId="65C2B38D" w14:textId="6BCE2E79" w:rsidR="0089413E" w:rsidRPr="005A731E" w:rsidRDefault="0089413E"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8"/>
                <w:szCs w:val="18"/>
                <w:lang w:val="en-US"/>
              </w:rPr>
            </w:pPr>
          </w:p>
        </w:tc>
        <w:tc>
          <w:tcPr>
            <w:tcW w:w="720" w:type="dxa"/>
            <w:shd w:val="clear" w:color="auto" w:fill="D9D9D9" w:themeFill="background1" w:themeFillShade="D9"/>
            <w:vAlign w:val="center"/>
          </w:tcPr>
          <w:p w14:paraId="796F0668" w14:textId="77777777" w:rsidR="0089413E" w:rsidRPr="005A731E" w:rsidRDefault="0089413E"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8"/>
                <w:szCs w:val="18"/>
                <w:lang w:val="en-US"/>
              </w:rPr>
            </w:pPr>
            <w:r w:rsidRPr="005A731E">
              <w:rPr>
                <w:rFonts w:asciiTheme="majorHAnsi" w:eastAsiaTheme="minorHAnsi" w:hAnsiTheme="majorHAnsi" w:cstheme="majorHAnsi"/>
                <w:color w:val="000000" w:themeColor="text1"/>
                <w:sz w:val="18"/>
                <w:szCs w:val="18"/>
                <w:lang w:val="en-US"/>
              </w:rPr>
              <w:t>None</w:t>
            </w:r>
          </w:p>
        </w:tc>
        <w:tc>
          <w:tcPr>
            <w:tcW w:w="810" w:type="dxa"/>
            <w:shd w:val="clear" w:color="auto" w:fill="D9D9D9" w:themeFill="background1" w:themeFillShade="D9"/>
            <w:vAlign w:val="center"/>
          </w:tcPr>
          <w:p w14:paraId="3355A9FC" w14:textId="77777777" w:rsidR="0089413E" w:rsidRPr="005A731E" w:rsidRDefault="0089413E"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8"/>
                <w:szCs w:val="18"/>
                <w:lang w:val="en-US"/>
              </w:rPr>
            </w:pPr>
            <w:r w:rsidRPr="005A731E">
              <w:rPr>
                <w:rFonts w:asciiTheme="majorHAnsi" w:eastAsiaTheme="minorHAnsi" w:hAnsiTheme="majorHAnsi" w:cstheme="majorHAnsi"/>
                <w:color w:val="000000" w:themeColor="text1"/>
                <w:sz w:val="18"/>
                <w:szCs w:val="18"/>
                <w:lang w:val="en-US"/>
              </w:rPr>
              <w:t xml:space="preserve">Policy </w:t>
            </w:r>
          </w:p>
        </w:tc>
        <w:tc>
          <w:tcPr>
            <w:tcW w:w="900" w:type="dxa"/>
            <w:shd w:val="clear" w:color="auto" w:fill="D9D9D9" w:themeFill="background1" w:themeFillShade="D9"/>
            <w:vAlign w:val="center"/>
          </w:tcPr>
          <w:p w14:paraId="7866F917" w14:textId="77777777" w:rsidR="0089413E" w:rsidRPr="005A731E" w:rsidRDefault="0089413E"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8"/>
                <w:szCs w:val="18"/>
                <w:lang w:val="en-US"/>
              </w:rPr>
            </w:pPr>
            <w:r w:rsidRPr="005A731E">
              <w:rPr>
                <w:rFonts w:asciiTheme="majorHAnsi" w:eastAsiaTheme="minorHAnsi" w:hAnsiTheme="majorHAnsi" w:cstheme="majorHAnsi"/>
                <w:color w:val="000000" w:themeColor="text1"/>
                <w:sz w:val="18"/>
                <w:szCs w:val="18"/>
                <w:lang w:val="en-US"/>
              </w:rPr>
              <w:t>CapDev/ Training</w:t>
            </w:r>
          </w:p>
        </w:tc>
        <w:tc>
          <w:tcPr>
            <w:tcW w:w="990" w:type="dxa"/>
            <w:shd w:val="clear" w:color="auto" w:fill="D9D9D9" w:themeFill="background1" w:themeFillShade="D9"/>
            <w:vAlign w:val="center"/>
          </w:tcPr>
          <w:p w14:paraId="216EF1AD" w14:textId="77777777" w:rsidR="0089413E" w:rsidRPr="005A731E" w:rsidRDefault="0089413E"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8"/>
                <w:szCs w:val="18"/>
                <w:lang w:val="en-US"/>
              </w:rPr>
            </w:pPr>
            <w:r w:rsidRPr="005A731E">
              <w:rPr>
                <w:rFonts w:asciiTheme="majorHAnsi" w:eastAsiaTheme="minorHAnsi" w:hAnsiTheme="majorHAnsi" w:cstheme="majorHAnsi"/>
                <w:color w:val="000000" w:themeColor="text1"/>
                <w:sz w:val="18"/>
                <w:szCs w:val="18"/>
                <w:lang w:val="en-US"/>
              </w:rPr>
              <w:t>Learning Resources</w:t>
            </w:r>
          </w:p>
        </w:tc>
        <w:tc>
          <w:tcPr>
            <w:tcW w:w="1620" w:type="dxa"/>
            <w:tcBorders>
              <w:top w:val="nil"/>
            </w:tcBorders>
            <w:shd w:val="clear" w:color="auto" w:fill="D9D9D9" w:themeFill="background1" w:themeFillShade="D9"/>
            <w:vAlign w:val="center"/>
          </w:tcPr>
          <w:p w14:paraId="383A3950" w14:textId="6ED56AE5" w:rsidR="0089413E" w:rsidRPr="005A731E" w:rsidRDefault="0089413E"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8"/>
                <w:szCs w:val="18"/>
                <w:lang w:val="en-US"/>
              </w:rPr>
            </w:pPr>
          </w:p>
        </w:tc>
      </w:tr>
      <w:tr w:rsidR="008D0CAD" w:rsidRPr="005A731E" w14:paraId="69C9ED46" w14:textId="77777777" w:rsidTr="009C64E9">
        <w:trPr>
          <w:trHeight w:val="215"/>
        </w:trPr>
        <w:tc>
          <w:tcPr>
            <w:tcW w:w="4770" w:type="dxa"/>
          </w:tcPr>
          <w:p w14:paraId="4AE7988C" w14:textId="77777777" w:rsidR="008D0CAD" w:rsidRPr="005A731E" w:rsidRDefault="008D0CAD" w:rsidP="00DD08E3">
            <w:pPr>
              <w:numPr>
                <w:ilvl w:val="1"/>
                <w:numId w:val="81"/>
              </w:numPr>
              <w:autoSpaceDE w:val="0"/>
              <w:autoSpaceDN w:val="0"/>
              <w:adjustRightInd w:val="0"/>
              <w:spacing w:before="100" w:beforeAutospacing="1" w:after="100" w:afterAutospacing="1" w:line="360" w:lineRule="auto"/>
              <w:ind w:left="517" w:hanging="450"/>
              <w:rPr>
                <w:rFonts w:asciiTheme="majorHAnsi" w:eastAsiaTheme="minorHAnsi" w:hAnsiTheme="majorHAnsi" w:cstheme="majorHAnsi"/>
                <w:color w:val="000000" w:themeColor="text1"/>
                <w:sz w:val="18"/>
                <w:szCs w:val="18"/>
                <w:lang w:val="en-US"/>
              </w:rPr>
            </w:pPr>
            <w:r w:rsidRPr="005A731E">
              <w:rPr>
                <w:rFonts w:asciiTheme="majorHAnsi" w:eastAsiaTheme="minorHAnsi" w:hAnsiTheme="majorHAnsi" w:cstheme="majorHAnsi"/>
                <w:bCs/>
                <w:color w:val="000000"/>
                <w:sz w:val="18"/>
                <w:szCs w:val="18"/>
                <w:lang w:val="en-US"/>
              </w:rPr>
              <w:t>Learning &amp; Development (L&amp;D) systems including various professional development programs for school heads and teachers</w:t>
            </w:r>
          </w:p>
        </w:tc>
        <w:tc>
          <w:tcPr>
            <w:tcW w:w="720" w:type="dxa"/>
            <w:vAlign w:val="center"/>
          </w:tcPr>
          <w:p w14:paraId="31D416AA"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8"/>
                <w:szCs w:val="18"/>
                <w:lang w:val="en-US"/>
              </w:rPr>
            </w:pPr>
            <w:r w:rsidRPr="005A731E">
              <w:rPr>
                <w:rFonts w:asciiTheme="majorHAnsi" w:eastAsiaTheme="minorHAnsi" w:hAnsiTheme="majorHAnsi" w:cstheme="majorHAnsi"/>
                <w:color w:val="000000" w:themeColor="text1"/>
                <w:sz w:val="18"/>
                <w:szCs w:val="18"/>
                <w:lang w:val="en-US"/>
              </w:rPr>
              <w:t xml:space="preserve"> </w:t>
            </w:r>
          </w:p>
        </w:tc>
        <w:tc>
          <w:tcPr>
            <w:tcW w:w="810" w:type="dxa"/>
            <w:vAlign w:val="center"/>
          </w:tcPr>
          <w:p w14:paraId="30764F80"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8"/>
                <w:szCs w:val="18"/>
                <w:lang w:val="en-US"/>
              </w:rPr>
            </w:pPr>
            <w:r w:rsidRPr="005A731E">
              <w:rPr>
                <w:rFonts w:asciiTheme="majorHAnsi" w:eastAsiaTheme="minorHAnsi" w:hAnsiTheme="majorHAnsi" w:cstheme="majorHAnsi"/>
                <w:color w:val="000000" w:themeColor="text1"/>
                <w:sz w:val="18"/>
                <w:szCs w:val="18"/>
                <w:lang w:val="en-US"/>
              </w:rPr>
              <w:t xml:space="preserve"> </w:t>
            </w:r>
          </w:p>
        </w:tc>
        <w:tc>
          <w:tcPr>
            <w:tcW w:w="900" w:type="dxa"/>
            <w:vAlign w:val="center"/>
          </w:tcPr>
          <w:p w14:paraId="45D4AFE0"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8"/>
                <w:szCs w:val="18"/>
                <w:lang w:val="en-US"/>
              </w:rPr>
            </w:pPr>
            <w:r w:rsidRPr="005A731E">
              <w:rPr>
                <w:rFonts w:asciiTheme="majorHAnsi" w:eastAsiaTheme="minorHAnsi" w:hAnsiTheme="majorHAnsi" w:cstheme="majorHAnsi"/>
                <w:color w:val="000000" w:themeColor="text1"/>
                <w:sz w:val="18"/>
                <w:szCs w:val="18"/>
                <w:lang w:val="en-US"/>
              </w:rPr>
              <w:t xml:space="preserve"> </w:t>
            </w:r>
          </w:p>
        </w:tc>
        <w:tc>
          <w:tcPr>
            <w:tcW w:w="990" w:type="dxa"/>
          </w:tcPr>
          <w:p w14:paraId="0B6BFE11"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8"/>
                <w:szCs w:val="18"/>
                <w:lang w:val="en-US"/>
              </w:rPr>
            </w:pPr>
          </w:p>
        </w:tc>
        <w:tc>
          <w:tcPr>
            <w:tcW w:w="1620" w:type="dxa"/>
            <w:vAlign w:val="center"/>
          </w:tcPr>
          <w:p w14:paraId="48FE95E9"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8"/>
                <w:szCs w:val="18"/>
                <w:lang w:val="en-US"/>
              </w:rPr>
            </w:pPr>
            <w:r w:rsidRPr="005A731E">
              <w:rPr>
                <w:rFonts w:asciiTheme="majorHAnsi" w:eastAsiaTheme="minorHAnsi" w:hAnsiTheme="majorHAnsi" w:cstheme="majorHAnsi"/>
                <w:color w:val="000000" w:themeColor="text1"/>
                <w:sz w:val="18"/>
                <w:szCs w:val="18"/>
                <w:lang w:val="en-US"/>
              </w:rPr>
              <w:t xml:space="preserve"> </w:t>
            </w:r>
          </w:p>
        </w:tc>
      </w:tr>
      <w:tr w:rsidR="008D0CAD" w:rsidRPr="005A731E" w14:paraId="3EC3668F" w14:textId="77777777" w:rsidTr="009C64E9">
        <w:trPr>
          <w:trHeight w:val="215"/>
        </w:trPr>
        <w:tc>
          <w:tcPr>
            <w:tcW w:w="4770" w:type="dxa"/>
          </w:tcPr>
          <w:p w14:paraId="02A08A46" w14:textId="77777777" w:rsidR="008D0CAD" w:rsidRPr="005A731E" w:rsidRDefault="008D0CAD" w:rsidP="00DD08E3">
            <w:pPr>
              <w:numPr>
                <w:ilvl w:val="1"/>
                <w:numId w:val="81"/>
              </w:numPr>
              <w:autoSpaceDE w:val="0"/>
              <w:autoSpaceDN w:val="0"/>
              <w:adjustRightInd w:val="0"/>
              <w:spacing w:before="100" w:beforeAutospacing="1" w:after="100" w:afterAutospacing="1" w:line="360" w:lineRule="auto"/>
              <w:ind w:left="517" w:hanging="450"/>
              <w:rPr>
                <w:rFonts w:asciiTheme="majorHAnsi" w:eastAsiaTheme="minorHAnsi" w:hAnsiTheme="majorHAnsi" w:cstheme="majorHAnsi"/>
                <w:iCs/>
                <w:color w:val="000000" w:themeColor="text1"/>
                <w:sz w:val="18"/>
                <w:szCs w:val="18"/>
                <w:lang w:val="en-US"/>
              </w:rPr>
            </w:pPr>
            <w:r w:rsidRPr="005A731E">
              <w:rPr>
                <w:rFonts w:asciiTheme="majorHAnsi" w:eastAsiaTheme="minorHAnsi" w:hAnsiTheme="majorHAnsi" w:cstheme="majorHAnsi"/>
                <w:color w:val="000000"/>
                <w:sz w:val="18"/>
                <w:szCs w:val="18"/>
                <w:lang w:val="en-US"/>
              </w:rPr>
              <w:t>Philippine Professional Standards for Teachers (PPST)</w:t>
            </w:r>
          </w:p>
        </w:tc>
        <w:tc>
          <w:tcPr>
            <w:tcW w:w="720" w:type="dxa"/>
            <w:vAlign w:val="center"/>
          </w:tcPr>
          <w:p w14:paraId="63E54BDC"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8"/>
                <w:szCs w:val="18"/>
                <w:lang w:val="en-US"/>
              </w:rPr>
            </w:pPr>
            <w:r w:rsidRPr="005A731E">
              <w:rPr>
                <w:rFonts w:asciiTheme="majorHAnsi" w:eastAsiaTheme="minorHAnsi" w:hAnsiTheme="majorHAnsi" w:cstheme="majorHAnsi"/>
                <w:color w:val="000000" w:themeColor="text1"/>
                <w:sz w:val="18"/>
                <w:szCs w:val="18"/>
                <w:lang w:val="en-US"/>
              </w:rPr>
              <w:t xml:space="preserve"> </w:t>
            </w:r>
          </w:p>
        </w:tc>
        <w:tc>
          <w:tcPr>
            <w:tcW w:w="810" w:type="dxa"/>
            <w:vAlign w:val="center"/>
          </w:tcPr>
          <w:p w14:paraId="6E9C2C1C"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8"/>
                <w:szCs w:val="18"/>
                <w:lang w:val="en-US"/>
              </w:rPr>
            </w:pPr>
            <w:r w:rsidRPr="005A731E">
              <w:rPr>
                <w:rFonts w:asciiTheme="majorHAnsi" w:eastAsiaTheme="minorHAnsi" w:hAnsiTheme="majorHAnsi" w:cstheme="majorHAnsi"/>
                <w:color w:val="000000" w:themeColor="text1"/>
                <w:sz w:val="18"/>
                <w:szCs w:val="18"/>
                <w:lang w:val="en-US"/>
              </w:rPr>
              <w:t xml:space="preserve"> </w:t>
            </w:r>
          </w:p>
        </w:tc>
        <w:tc>
          <w:tcPr>
            <w:tcW w:w="900" w:type="dxa"/>
            <w:vAlign w:val="center"/>
          </w:tcPr>
          <w:p w14:paraId="7855224F"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8"/>
                <w:szCs w:val="18"/>
                <w:lang w:val="en-US"/>
              </w:rPr>
            </w:pPr>
            <w:r w:rsidRPr="005A731E">
              <w:rPr>
                <w:rFonts w:asciiTheme="majorHAnsi" w:eastAsiaTheme="minorHAnsi" w:hAnsiTheme="majorHAnsi" w:cstheme="majorHAnsi"/>
                <w:color w:val="000000" w:themeColor="text1"/>
                <w:sz w:val="18"/>
                <w:szCs w:val="18"/>
                <w:lang w:val="en-US"/>
              </w:rPr>
              <w:t xml:space="preserve"> </w:t>
            </w:r>
          </w:p>
        </w:tc>
        <w:tc>
          <w:tcPr>
            <w:tcW w:w="990" w:type="dxa"/>
          </w:tcPr>
          <w:p w14:paraId="75121F84"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8"/>
                <w:szCs w:val="18"/>
                <w:lang w:val="en-US"/>
              </w:rPr>
            </w:pPr>
          </w:p>
        </w:tc>
        <w:tc>
          <w:tcPr>
            <w:tcW w:w="1620" w:type="dxa"/>
            <w:vAlign w:val="center"/>
          </w:tcPr>
          <w:p w14:paraId="534FFDAB"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8"/>
                <w:szCs w:val="18"/>
                <w:lang w:val="en-US"/>
              </w:rPr>
            </w:pPr>
            <w:r w:rsidRPr="005A731E">
              <w:rPr>
                <w:rFonts w:asciiTheme="majorHAnsi" w:eastAsiaTheme="minorHAnsi" w:hAnsiTheme="majorHAnsi" w:cstheme="majorHAnsi"/>
                <w:color w:val="000000" w:themeColor="text1"/>
                <w:sz w:val="18"/>
                <w:szCs w:val="18"/>
                <w:lang w:val="en-US"/>
              </w:rPr>
              <w:t xml:space="preserve"> </w:t>
            </w:r>
          </w:p>
        </w:tc>
      </w:tr>
      <w:tr w:rsidR="008D0CAD" w:rsidRPr="005A731E" w14:paraId="2DB80BC9" w14:textId="77777777" w:rsidTr="009C64E9">
        <w:trPr>
          <w:trHeight w:val="215"/>
        </w:trPr>
        <w:tc>
          <w:tcPr>
            <w:tcW w:w="4770" w:type="dxa"/>
          </w:tcPr>
          <w:p w14:paraId="694242D4" w14:textId="77777777" w:rsidR="008D0CAD" w:rsidRPr="005A731E" w:rsidRDefault="008D0CAD" w:rsidP="00DD08E3">
            <w:pPr>
              <w:numPr>
                <w:ilvl w:val="1"/>
                <w:numId w:val="81"/>
              </w:numPr>
              <w:autoSpaceDE w:val="0"/>
              <w:autoSpaceDN w:val="0"/>
              <w:adjustRightInd w:val="0"/>
              <w:spacing w:before="100" w:beforeAutospacing="1" w:after="100" w:afterAutospacing="1" w:line="360" w:lineRule="auto"/>
              <w:ind w:left="517" w:hanging="450"/>
              <w:rPr>
                <w:rFonts w:asciiTheme="majorHAnsi" w:eastAsiaTheme="minorHAnsi" w:hAnsiTheme="majorHAnsi" w:cstheme="majorHAnsi"/>
                <w:iCs/>
                <w:color w:val="000000" w:themeColor="text1"/>
                <w:sz w:val="18"/>
                <w:szCs w:val="18"/>
                <w:lang w:val="en-US"/>
              </w:rPr>
            </w:pPr>
            <w:r w:rsidRPr="005A731E">
              <w:rPr>
                <w:rFonts w:asciiTheme="majorHAnsi" w:eastAsiaTheme="minorHAnsi" w:hAnsiTheme="majorHAnsi" w:cstheme="majorHAnsi"/>
                <w:color w:val="000000"/>
                <w:sz w:val="18"/>
                <w:szCs w:val="18"/>
                <w:lang w:val="en-US"/>
              </w:rPr>
              <w:t xml:space="preserve">K-12 Curricula and assessment </w:t>
            </w:r>
          </w:p>
        </w:tc>
        <w:tc>
          <w:tcPr>
            <w:tcW w:w="720" w:type="dxa"/>
            <w:vAlign w:val="center"/>
          </w:tcPr>
          <w:p w14:paraId="2E0AB8C7"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8"/>
                <w:szCs w:val="18"/>
                <w:lang w:val="en-US"/>
              </w:rPr>
            </w:pPr>
            <w:r w:rsidRPr="005A731E">
              <w:rPr>
                <w:rFonts w:asciiTheme="majorHAnsi" w:eastAsiaTheme="minorHAnsi" w:hAnsiTheme="majorHAnsi" w:cstheme="majorHAnsi"/>
                <w:color w:val="000000" w:themeColor="text1"/>
                <w:sz w:val="18"/>
                <w:szCs w:val="18"/>
                <w:lang w:val="en-US"/>
              </w:rPr>
              <w:t xml:space="preserve"> </w:t>
            </w:r>
          </w:p>
        </w:tc>
        <w:tc>
          <w:tcPr>
            <w:tcW w:w="810" w:type="dxa"/>
            <w:vAlign w:val="center"/>
          </w:tcPr>
          <w:p w14:paraId="6C5F6423"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8"/>
                <w:szCs w:val="18"/>
                <w:lang w:val="en-US"/>
              </w:rPr>
            </w:pPr>
            <w:r w:rsidRPr="005A731E">
              <w:rPr>
                <w:rFonts w:asciiTheme="majorHAnsi" w:eastAsiaTheme="minorHAnsi" w:hAnsiTheme="majorHAnsi" w:cstheme="majorHAnsi"/>
                <w:color w:val="000000" w:themeColor="text1"/>
                <w:sz w:val="18"/>
                <w:szCs w:val="18"/>
                <w:lang w:val="en-US"/>
              </w:rPr>
              <w:t xml:space="preserve"> </w:t>
            </w:r>
          </w:p>
        </w:tc>
        <w:tc>
          <w:tcPr>
            <w:tcW w:w="900" w:type="dxa"/>
            <w:vAlign w:val="center"/>
          </w:tcPr>
          <w:p w14:paraId="2291753F"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8"/>
                <w:szCs w:val="18"/>
                <w:lang w:val="en-US"/>
              </w:rPr>
            </w:pPr>
            <w:r w:rsidRPr="005A731E">
              <w:rPr>
                <w:rFonts w:asciiTheme="majorHAnsi" w:eastAsiaTheme="minorHAnsi" w:hAnsiTheme="majorHAnsi" w:cstheme="majorHAnsi"/>
                <w:color w:val="000000" w:themeColor="text1"/>
                <w:sz w:val="18"/>
                <w:szCs w:val="18"/>
                <w:lang w:val="en-US"/>
              </w:rPr>
              <w:t xml:space="preserve"> </w:t>
            </w:r>
          </w:p>
        </w:tc>
        <w:tc>
          <w:tcPr>
            <w:tcW w:w="990" w:type="dxa"/>
          </w:tcPr>
          <w:p w14:paraId="414BC655"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8"/>
                <w:szCs w:val="18"/>
                <w:lang w:val="en-US"/>
              </w:rPr>
            </w:pPr>
          </w:p>
        </w:tc>
        <w:tc>
          <w:tcPr>
            <w:tcW w:w="1620" w:type="dxa"/>
            <w:vAlign w:val="center"/>
          </w:tcPr>
          <w:p w14:paraId="1304798F"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8"/>
                <w:szCs w:val="18"/>
                <w:lang w:val="en-US"/>
              </w:rPr>
            </w:pPr>
            <w:r w:rsidRPr="005A731E">
              <w:rPr>
                <w:rFonts w:asciiTheme="majorHAnsi" w:eastAsiaTheme="minorHAnsi" w:hAnsiTheme="majorHAnsi" w:cstheme="majorHAnsi"/>
                <w:color w:val="000000" w:themeColor="text1"/>
                <w:sz w:val="18"/>
                <w:szCs w:val="18"/>
                <w:lang w:val="en-US"/>
              </w:rPr>
              <w:t xml:space="preserve"> </w:t>
            </w:r>
          </w:p>
        </w:tc>
      </w:tr>
      <w:tr w:rsidR="008D0CAD" w:rsidRPr="005A731E" w14:paraId="71C3BC44" w14:textId="77777777" w:rsidTr="009C64E9">
        <w:trPr>
          <w:trHeight w:val="215"/>
        </w:trPr>
        <w:tc>
          <w:tcPr>
            <w:tcW w:w="4770" w:type="dxa"/>
          </w:tcPr>
          <w:p w14:paraId="08A8F7A3" w14:textId="77777777" w:rsidR="008D0CAD" w:rsidRPr="005A731E" w:rsidRDefault="008D0CAD" w:rsidP="00DD08E3">
            <w:pPr>
              <w:numPr>
                <w:ilvl w:val="1"/>
                <w:numId w:val="81"/>
              </w:numPr>
              <w:autoSpaceDE w:val="0"/>
              <w:autoSpaceDN w:val="0"/>
              <w:adjustRightInd w:val="0"/>
              <w:spacing w:before="100" w:beforeAutospacing="1" w:after="100" w:afterAutospacing="1" w:line="360" w:lineRule="auto"/>
              <w:ind w:left="517" w:hanging="450"/>
              <w:rPr>
                <w:rFonts w:asciiTheme="majorHAnsi" w:eastAsiaTheme="minorHAnsi" w:hAnsiTheme="majorHAnsi" w:cstheme="majorHAnsi"/>
                <w:color w:val="000000"/>
                <w:sz w:val="18"/>
                <w:szCs w:val="18"/>
                <w:lang w:val="en-US"/>
              </w:rPr>
            </w:pPr>
            <w:r w:rsidRPr="005A731E">
              <w:rPr>
                <w:rFonts w:asciiTheme="majorHAnsi" w:eastAsiaTheme="minorHAnsi" w:hAnsiTheme="majorHAnsi" w:cstheme="majorHAnsi"/>
                <w:color w:val="000000"/>
                <w:sz w:val="18"/>
                <w:szCs w:val="18"/>
                <w:lang w:val="en-US"/>
              </w:rPr>
              <w:t>Teacher Induction Program (TIP)</w:t>
            </w:r>
          </w:p>
        </w:tc>
        <w:tc>
          <w:tcPr>
            <w:tcW w:w="720" w:type="dxa"/>
            <w:vAlign w:val="center"/>
          </w:tcPr>
          <w:p w14:paraId="5530E4FB"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8"/>
                <w:szCs w:val="18"/>
                <w:lang w:val="en-US"/>
              </w:rPr>
            </w:pPr>
          </w:p>
        </w:tc>
        <w:tc>
          <w:tcPr>
            <w:tcW w:w="810" w:type="dxa"/>
            <w:vAlign w:val="center"/>
          </w:tcPr>
          <w:p w14:paraId="4FCD56F0"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8"/>
                <w:szCs w:val="18"/>
                <w:lang w:val="en-US"/>
              </w:rPr>
            </w:pPr>
          </w:p>
        </w:tc>
        <w:tc>
          <w:tcPr>
            <w:tcW w:w="900" w:type="dxa"/>
            <w:vAlign w:val="center"/>
          </w:tcPr>
          <w:p w14:paraId="138D024B"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8"/>
                <w:szCs w:val="18"/>
                <w:lang w:val="en-US"/>
              </w:rPr>
            </w:pPr>
          </w:p>
        </w:tc>
        <w:tc>
          <w:tcPr>
            <w:tcW w:w="990" w:type="dxa"/>
          </w:tcPr>
          <w:p w14:paraId="239DA734"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8"/>
                <w:szCs w:val="18"/>
                <w:lang w:val="en-US"/>
              </w:rPr>
            </w:pPr>
          </w:p>
        </w:tc>
        <w:tc>
          <w:tcPr>
            <w:tcW w:w="1620" w:type="dxa"/>
            <w:vAlign w:val="center"/>
          </w:tcPr>
          <w:p w14:paraId="722432F4"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8"/>
                <w:szCs w:val="18"/>
                <w:lang w:val="en-US"/>
              </w:rPr>
            </w:pPr>
          </w:p>
        </w:tc>
      </w:tr>
      <w:tr w:rsidR="008D0CAD" w:rsidRPr="005A731E" w14:paraId="744DE973" w14:textId="77777777" w:rsidTr="009C64E9">
        <w:trPr>
          <w:trHeight w:val="215"/>
        </w:trPr>
        <w:tc>
          <w:tcPr>
            <w:tcW w:w="4770" w:type="dxa"/>
          </w:tcPr>
          <w:p w14:paraId="7D1A5FD4" w14:textId="77777777" w:rsidR="008D0CAD" w:rsidRPr="005A731E" w:rsidRDefault="008D0CAD" w:rsidP="00DD08E3">
            <w:pPr>
              <w:numPr>
                <w:ilvl w:val="1"/>
                <w:numId w:val="81"/>
              </w:numPr>
              <w:autoSpaceDE w:val="0"/>
              <w:autoSpaceDN w:val="0"/>
              <w:adjustRightInd w:val="0"/>
              <w:spacing w:before="100" w:beforeAutospacing="1" w:after="100" w:afterAutospacing="1" w:line="360" w:lineRule="auto"/>
              <w:ind w:left="517" w:hanging="450"/>
              <w:rPr>
                <w:rFonts w:asciiTheme="majorHAnsi" w:eastAsiaTheme="minorHAnsi" w:hAnsiTheme="majorHAnsi" w:cstheme="majorHAnsi"/>
                <w:color w:val="000000"/>
                <w:sz w:val="18"/>
                <w:szCs w:val="18"/>
                <w:lang w:val="en-US"/>
              </w:rPr>
            </w:pPr>
            <w:r w:rsidRPr="005A731E">
              <w:rPr>
                <w:rFonts w:asciiTheme="majorHAnsi" w:eastAsiaTheme="minorHAnsi" w:hAnsiTheme="majorHAnsi" w:cstheme="majorHAnsi"/>
                <w:color w:val="000000"/>
                <w:sz w:val="18"/>
                <w:szCs w:val="18"/>
                <w:lang w:val="en-US"/>
              </w:rPr>
              <w:t>School-based Management (SBM)</w:t>
            </w:r>
          </w:p>
        </w:tc>
        <w:tc>
          <w:tcPr>
            <w:tcW w:w="720" w:type="dxa"/>
            <w:vAlign w:val="center"/>
          </w:tcPr>
          <w:p w14:paraId="77DB5434"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8"/>
                <w:szCs w:val="18"/>
                <w:lang w:val="en-US"/>
              </w:rPr>
            </w:pPr>
          </w:p>
        </w:tc>
        <w:tc>
          <w:tcPr>
            <w:tcW w:w="810" w:type="dxa"/>
            <w:vAlign w:val="center"/>
          </w:tcPr>
          <w:p w14:paraId="343A4966"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8"/>
                <w:szCs w:val="18"/>
                <w:lang w:val="en-US"/>
              </w:rPr>
            </w:pPr>
          </w:p>
        </w:tc>
        <w:tc>
          <w:tcPr>
            <w:tcW w:w="900" w:type="dxa"/>
            <w:vAlign w:val="center"/>
          </w:tcPr>
          <w:p w14:paraId="3B1EA74B"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8"/>
                <w:szCs w:val="18"/>
                <w:lang w:val="en-US"/>
              </w:rPr>
            </w:pPr>
          </w:p>
        </w:tc>
        <w:tc>
          <w:tcPr>
            <w:tcW w:w="990" w:type="dxa"/>
          </w:tcPr>
          <w:p w14:paraId="2204CEE6"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8"/>
                <w:szCs w:val="18"/>
                <w:lang w:val="en-US"/>
              </w:rPr>
            </w:pPr>
          </w:p>
        </w:tc>
        <w:tc>
          <w:tcPr>
            <w:tcW w:w="1620" w:type="dxa"/>
            <w:vAlign w:val="center"/>
          </w:tcPr>
          <w:p w14:paraId="2D82218D"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8"/>
                <w:szCs w:val="18"/>
                <w:lang w:val="en-US"/>
              </w:rPr>
            </w:pPr>
          </w:p>
        </w:tc>
      </w:tr>
      <w:tr w:rsidR="008D0CAD" w:rsidRPr="005A731E" w14:paraId="2DF8D8FD" w14:textId="77777777" w:rsidTr="009C64E9">
        <w:trPr>
          <w:trHeight w:val="215"/>
        </w:trPr>
        <w:tc>
          <w:tcPr>
            <w:tcW w:w="4770" w:type="dxa"/>
          </w:tcPr>
          <w:p w14:paraId="6C01C8B3" w14:textId="77777777" w:rsidR="008D0CAD" w:rsidRPr="005A731E" w:rsidRDefault="008D0CAD" w:rsidP="00DD08E3">
            <w:pPr>
              <w:numPr>
                <w:ilvl w:val="1"/>
                <w:numId w:val="81"/>
              </w:numPr>
              <w:autoSpaceDE w:val="0"/>
              <w:autoSpaceDN w:val="0"/>
              <w:adjustRightInd w:val="0"/>
              <w:spacing w:before="100" w:beforeAutospacing="1" w:after="100" w:afterAutospacing="1" w:line="360" w:lineRule="auto"/>
              <w:ind w:left="517" w:hanging="450"/>
              <w:rPr>
                <w:rFonts w:asciiTheme="majorHAnsi" w:eastAsiaTheme="minorHAnsi" w:hAnsiTheme="majorHAnsi" w:cstheme="majorHAnsi"/>
                <w:color w:val="000000"/>
                <w:sz w:val="18"/>
                <w:szCs w:val="18"/>
                <w:lang w:val="en-US"/>
              </w:rPr>
            </w:pPr>
            <w:r w:rsidRPr="005A731E">
              <w:rPr>
                <w:rFonts w:asciiTheme="majorHAnsi" w:eastAsiaTheme="minorHAnsi" w:hAnsiTheme="majorHAnsi" w:cstheme="majorHAnsi"/>
                <w:color w:val="000000"/>
                <w:sz w:val="18"/>
                <w:szCs w:val="18"/>
                <w:lang w:val="en-US"/>
              </w:rPr>
              <w:t>Policy, and planning and monitoring and evaluation systems (PPMES)</w:t>
            </w:r>
          </w:p>
        </w:tc>
        <w:tc>
          <w:tcPr>
            <w:tcW w:w="720" w:type="dxa"/>
            <w:vAlign w:val="center"/>
          </w:tcPr>
          <w:p w14:paraId="1B7D78D6"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8"/>
                <w:szCs w:val="18"/>
                <w:lang w:val="en-US"/>
              </w:rPr>
            </w:pPr>
          </w:p>
        </w:tc>
        <w:tc>
          <w:tcPr>
            <w:tcW w:w="810" w:type="dxa"/>
            <w:vAlign w:val="center"/>
          </w:tcPr>
          <w:p w14:paraId="37915C52"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8"/>
                <w:szCs w:val="18"/>
                <w:lang w:val="en-US"/>
              </w:rPr>
            </w:pPr>
          </w:p>
        </w:tc>
        <w:tc>
          <w:tcPr>
            <w:tcW w:w="900" w:type="dxa"/>
            <w:vAlign w:val="center"/>
          </w:tcPr>
          <w:p w14:paraId="5E8F8091"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8"/>
                <w:szCs w:val="18"/>
                <w:lang w:val="en-US"/>
              </w:rPr>
            </w:pPr>
          </w:p>
        </w:tc>
        <w:tc>
          <w:tcPr>
            <w:tcW w:w="990" w:type="dxa"/>
          </w:tcPr>
          <w:p w14:paraId="42441F28"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8"/>
                <w:szCs w:val="18"/>
                <w:lang w:val="en-US"/>
              </w:rPr>
            </w:pPr>
          </w:p>
        </w:tc>
        <w:tc>
          <w:tcPr>
            <w:tcW w:w="1620" w:type="dxa"/>
            <w:vAlign w:val="center"/>
          </w:tcPr>
          <w:p w14:paraId="4A6C0B43"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8"/>
                <w:szCs w:val="18"/>
                <w:lang w:val="en-US"/>
              </w:rPr>
            </w:pPr>
          </w:p>
        </w:tc>
      </w:tr>
      <w:tr w:rsidR="008D0CAD" w:rsidRPr="005A731E" w14:paraId="022224A4" w14:textId="77777777" w:rsidTr="009C64E9">
        <w:trPr>
          <w:trHeight w:val="215"/>
        </w:trPr>
        <w:tc>
          <w:tcPr>
            <w:tcW w:w="4770" w:type="dxa"/>
          </w:tcPr>
          <w:p w14:paraId="3EA93EF9" w14:textId="77777777" w:rsidR="008D0CAD" w:rsidRPr="005A731E" w:rsidRDefault="008D0CAD" w:rsidP="00DD08E3">
            <w:pPr>
              <w:numPr>
                <w:ilvl w:val="1"/>
                <w:numId w:val="81"/>
              </w:numPr>
              <w:autoSpaceDE w:val="0"/>
              <w:autoSpaceDN w:val="0"/>
              <w:adjustRightInd w:val="0"/>
              <w:spacing w:before="100" w:beforeAutospacing="1" w:after="100" w:afterAutospacing="1" w:line="360" w:lineRule="auto"/>
              <w:ind w:left="517" w:hanging="450"/>
              <w:rPr>
                <w:rFonts w:asciiTheme="majorHAnsi" w:eastAsiaTheme="minorHAnsi" w:hAnsiTheme="majorHAnsi" w:cstheme="majorHAnsi"/>
                <w:color w:val="000000"/>
                <w:sz w:val="18"/>
                <w:szCs w:val="18"/>
                <w:lang w:val="en-US"/>
              </w:rPr>
            </w:pPr>
            <w:r w:rsidRPr="005A731E">
              <w:rPr>
                <w:rFonts w:asciiTheme="majorHAnsi" w:eastAsiaTheme="minorHAnsi" w:hAnsiTheme="majorHAnsi" w:cstheme="majorHAnsi"/>
                <w:color w:val="000000"/>
                <w:sz w:val="18"/>
                <w:szCs w:val="18"/>
                <w:lang w:val="en-US"/>
              </w:rPr>
              <w:t>Unified information system and sub-systems (UISS)</w:t>
            </w:r>
          </w:p>
        </w:tc>
        <w:tc>
          <w:tcPr>
            <w:tcW w:w="720" w:type="dxa"/>
            <w:vAlign w:val="center"/>
          </w:tcPr>
          <w:p w14:paraId="7DE1A0DB"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8"/>
                <w:szCs w:val="18"/>
                <w:lang w:val="en-US"/>
              </w:rPr>
            </w:pPr>
          </w:p>
        </w:tc>
        <w:tc>
          <w:tcPr>
            <w:tcW w:w="810" w:type="dxa"/>
            <w:vAlign w:val="center"/>
          </w:tcPr>
          <w:p w14:paraId="53E4FFEC"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8"/>
                <w:szCs w:val="18"/>
                <w:lang w:val="en-US"/>
              </w:rPr>
            </w:pPr>
          </w:p>
        </w:tc>
        <w:tc>
          <w:tcPr>
            <w:tcW w:w="900" w:type="dxa"/>
            <w:vAlign w:val="center"/>
          </w:tcPr>
          <w:p w14:paraId="133ADF12"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8"/>
                <w:szCs w:val="18"/>
                <w:lang w:val="en-US"/>
              </w:rPr>
            </w:pPr>
          </w:p>
        </w:tc>
        <w:tc>
          <w:tcPr>
            <w:tcW w:w="990" w:type="dxa"/>
          </w:tcPr>
          <w:p w14:paraId="548C8350"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8"/>
                <w:szCs w:val="18"/>
                <w:lang w:val="en-US"/>
              </w:rPr>
            </w:pPr>
          </w:p>
        </w:tc>
        <w:tc>
          <w:tcPr>
            <w:tcW w:w="1620" w:type="dxa"/>
            <w:vAlign w:val="center"/>
          </w:tcPr>
          <w:p w14:paraId="2D9682BC"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8"/>
                <w:szCs w:val="18"/>
                <w:lang w:val="en-US"/>
              </w:rPr>
            </w:pPr>
          </w:p>
        </w:tc>
      </w:tr>
      <w:tr w:rsidR="008D0CAD" w:rsidRPr="005A731E" w14:paraId="23147427" w14:textId="77777777" w:rsidTr="009C64E9">
        <w:trPr>
          <w:trHeight w:val="215"/>
        </w:trPr>
        <w:tc>
          <w:tcPr>
            <w:tcW w:w="4770" w:type="dxa"/>
          </w:tcPr>
          <w:p w14:paraId="72E45FD9" w14:textId="77777777" w:rsidR="008D0CAD" w:rsidRPr="005A731E" w:rsidRDefault="008D0CAD" w:rsidP="00DD08E3">
            <w:pPr>
              <w:numPr>
                <w:ilvl w:val="1"/>
                <w:numId w:val="81"/>
              </w:numPr>
              <w:autoSpaceDE w:val="0"/>
              <w:autoSpaceDN w:val="0"/>
              <w:adjustRightInd w:val="0"/>
              <w:spacing w:before="100" w:beforeAutospacing="1" w:after="100" w:afterAutospacing="1" w:line="360" w:lineRule="auto"/>
              <w:ind w:left="517" w:hanging="450"/>
              <w:rPr>
                <w:rFonts w:asciiTheme="majorHAnsi" w:eastAsiaTheme="minorHAnsi" w:hAnsiTheme="majorHAnsi" w:cstheme="majorHAnsi"/>
                <w:color w:val="000000" w:themeColor="text1"/>
                <w:sz w:val="18"/>
                <w:szCs w:val="18"/>
                <w:lang w:val="en-US"/>
              </w:rPr>
            </w:pPr>
            <w:r w:rsidRPr="005A731E">
              <w:rPr>
                <w:rFonts w:asciiTheme="majorHAnsi" w:eastAsiaTheme="minorHAnsi" w:hAnsiTheme="majorHAnsi" w:cstheme="majorHAnsi"/>
                <w:color w:val="000000"/>
                <w:sz w:val="18"/>
                <w:szCs w:val="18"/>
                <w:lang w:val="en-US"/>
              </w:rPr>
              <w:t>Gender Responsive Basic Education</w:t>
            </w:r>
          </w:p>
        </w:tc>
        <w:tc>
          <w:tcPr>
            <w:tcW w:w="720" w:type="dxa"/>
            <w:vAlign w:val="center"/>
          </w:tcPr>
          <w:p w14:paraId="3E3DF17C"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8"/>
                <w:szCs w:val="18"/>
                <w:lang w:val="en-US"/>
              </w:rPr>
            </w:pPr>
            <w:r w:rsidRPr="005A731E">
              <w:rPr>
                <w:rFonts w:asciiTheme="majorHAnsi" w:eastAsiaTheme="minorHAnsi" w:hAnsiTheme="majorHAnsi" w:cstheme="majorHAnsi"/>
                <w:color w:val="000000" w:themeColor="text1"/>
                <w:sz w:val="18"/>
                <w:szCs w:val="18"/>
                <w:lang w:val="en-US"/>
              </w:rPr>
              <w:t xml:space="preserve"> </w:t>
            </w:r>
          </w:p>
        </w:tc>
        <w:tc>
          <w:tcPr>
            <w:tcW w:w="810" w:type="dxa"/>
            <w:vAlign w:val="center"/>
          </w:tcPr>
          <w:p w14:paraId="6965F0F2"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8"/>
                <w:szCs w:val="18"/>
                <w:lang w:val="en-US"/>
              </w:rPr>
            </w:pPr>
            <w:r w:rsidRPr="005A731E">
              <w:rPr>
                <w:rFonts w:asciiTheme="majorHAnsi" w:eastAsiaTheme="minorHAnsi" w:hAnsiTheme="majorHAnsi" w:cstheme="majorHAnsi"/>
                <w:color w:val="000000" w:themeColor="text1"/>
                <w:sz w:val="18"/>
                <w:szCs w:val="18"/>
                <w:lang w:val="en-US"/>
              </w:rPr>
              <w:t xml:space="preserve"> </w:t>
            </w:r>
          </w:p>
        </w:tc>
        <w:tc>
          <w:tcPr>
            <w:tcW w:w="900" w:type="dxa"/>
            <w:vAlign w:val="center"/>
          </w:tcPr>
          <w:p w14:paraId="06D95806"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8"/>
                <w:szCs w:val="18"/>
                <w:lang w:val="en-US"/>
              </w:rPr>
            </w:pPr>
            <w:r w:rsidRPr="005A731E">
              <w:rPr>
                <w:rFonts w:asciiTheme="majorHAnsi" w:eastAsiaTheme="minorHAnsi" w:hAnsiTheme="majorHAnsi" w:cstheme="majorHAnsi"/>
                <w:color w:val="000000" w:themeColor="text1"/>
                <w:sz w:val="18"/>
                <w:szCs w:val="18"/>
                <w:lang w:val="en-US"/>
              </w:rPr>
              <w:t xml:space="preserve"> </w:t>
            </w:r>
          </w:p>
        </w:tc>
        <w:tc>
          <w:tcPr>
            <w:tcW w:w="990" w:type="dxa"/>
          </w:tcPr>
          <w:p w14:paraId="5B128511"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8"/>
                <w:szCs w:val="18"/>
                <w:lang w:val="en-US"/>
              </w:rPr>
            </w:pPr>
          </w:p>
        </w:tc>
        <w:tc>
          <w:tcPr>
            <w:tcW w:w="1620" w:type="dxa"/>
            <w:vAlign w:val="center"/>
          </w:tcPr>
          <w:p w14:paraId="7087C16D"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8"/>
                <w:szCs w:val="18"/>
                <w:lang w:val="en-US"/>
              </w:rPr>
            </w:pPr>
            <w:r w:rsidRPr="005A731E">
              <w:rPr>
                <w:rFonts w:asciiTheme="majorHAnsi" w:eastAsiaTheme="minorHAnsi" w:hAnsiTheme="majorHAnsi" w:cstheme="majorHAnsi"/>
                <w:color w:val="000000" w:themeColor="text1"/>
                <w:sz w:val="18"/>
                <w:szCs w:val="18"/>
                <w:lang w:val="en-US"/>
              </w:rPr>
              <w:t xml:space="preserve"> </w:t>
            </w:r>
          </w:p>
        </w:tc>
      </w:tr>
      <w:tr w:rsidR="008D0CAD" w:rsidRPr="005A731E" w14:paraId="07BCA3DE" w14:textId="77777777" w:rsidTr="009C64E9">
        <w:trPr>
          <w:trHeight w:val="215"/>
        </w:trPr>
        <w:tc>
          <w:tcPr>
            <w:tcW w:w="4770" w:type="dxa"/>
          </w:tcPr>
          <w:p w14:paraId="62B8B1E4" w14:textId="77777777" w:rsidR="008D0CAD" w:rsidRPr="005A731E" w:rsidRDefault="008D0CAD" w:rsidP="00DD08E3">
            <w:pPr>
              <w:numPr>
                <w:ilvl w:val="1"/>
                <w:numId w:val="81"/>
              </w:numPr>
              <w:autoSpaceDE w:val="0"/>
              <w:autoSpaceDN w:val="0"/>
              <w:adjustRightInd w:val="0"/>
              <w:spacing w:before="100" w:beforeAutospacing="1" w:after="100" w:afterAutospacing="1" w:line="360" w:lineRule="auto"/>
              <w:ind w:left="517" w:hanging="450"/>
              <w:rPr>
                <w:rFonts w:asciiTheme="majorHAnsi" w:eastAsiaTheme="minorHAnsi" w:hAnsiTheme="majorHAnsi" w:cstheme="majorHAnsi"/>
                <w:color w:val="000000"/>
                <w:sz w:val="18"/>
                <w:szCs w:val="18"/>
                <w:lang w:val="en-US"/>
              </w:rPr>
            </w:pPr>
            <w:r w:rsidRPr="005A731E">
              <w:rPr>
                <w:rFonts w:asciiTheme="majorHAnsi" w:eastAsiaTheme="minorHAnsi" w:hAnsiTheme="majorHAnsi" w:cstheme="majorHAnsi"/>
                <w:color w:val="000000"/>
                <w:sz w:val="18"/>
                <w:szCs w:val="18"/>
                <w:lang w:val="en-US"/>
              </w:rPr>
              <w:t>Inclusive Education</w:t>
            </w:r>
          </w:p>
        </w:tc>
        <w:tc>
          <w:tcPr>
            <w:tcW w:w="720" w:type="dxa"/>
            <w:vAlign w:val="center"/>
          </w:tcPr>
          <w:p w14:paraId="628D5ABB"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8"/>
                <w:szCs w:val="18"/>
                <w:lang w:val="en-US"/>
              </w:rPr>
            </w:pPr>
          </w:p>
        </w:tc>
        <w:tc>
          <w:tcPr>
            <w:tcW w:w="810" w:type="dxa"/>
            <w:vAlign w:val="center"/>
          </w:tcPr>
          <w:p w14:paraId="63DEAF25"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8"/>
                <w:szCs w:val="18"/>
                <w:lang w:val="en-US"/>
              </w:rPr>
            </w:pPr>
          </w:p>
        </w:tc>
        <w:tc>
          <w:tcPr>
            <w:tcW w:w="900" w:type="dxa"/>
            <w:vAlign w:val="center"/>
          </w:tcPr>
          <w:p w14:paraId="70F1F7E7"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8"/>
                <w:szCs w:val="18"/>
                <w:lang w:val="en-US"/>
              </w:rPr>
            </w:pPr>
          </w:p>
        </w:tc>
        <w:tc>
          <w:tcPr>
            <w:tcW w:w="990" w:type="dxa"/>
          </w:tcPr>
          <w:p w14:paraId="0DC0547A"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8"/>
                <w:szCs w:val="18"/>
                <w:lang w:val="en-US"/>
              </w:rPr>
            </w:pPr>
          </w:p>
        </w:tc>
        <w:tc>
          <w:tcPr>
            <w:tcW w:w="1620" w:type="dxa"/>
            <w:vAlign w:val="center"/>
          </w:tcPr>
          <w:p w14:paraId="26759407"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8"/>
                <w:szCs w:val="18"/>
                <w:lang w:val="en-US"/>
              </w:rPr>
            </w:pPr>
          </w:p>
        </w:tc>
      </w:tr>
      <w:tr w:rsidR="008D0CAD" w:rsidRPr="005A731E" w14:paraId="22EC4FE0" w14:textId="77777777" w:rsidTr="009C64E9">
        <w:trPr>
          <w:trHeight w:val="215"/>
        </w:trPr>
        <w:tc>
          <w:tcPr>
            <w:tcW w:w="4770" w:type="dxa"/>
          </w:tcPr>
          <w:p w14:paraId="6AE72E86" w14:textId="77777777" w:rsidR="008D0CAD" w:rsidRPr="005A731E" w:rsidRDefault="008D0CAD" w:rsidP="00DD08E3">
            <w:pPr>
              <w:numPr>
                <w:ilvl w:val="1"/>
                <w:numId w:val="81"/>
              </w:numPr>
              <w:autoSpaceDE w:val="0"/>
              <w:autoSpaceDN w:val="0"/>
              <w:adjustRightInd w:val="0"/>
              <w:spacing w:before="100" w:beforeAutospacing="1" w:after="100" w:afterAutospacing="1" w:line="360" w:lineRule="auto"/>
              <w:ind w:left="517" w:hanging="450"/>
              <w:rPr>
                <w:rFonts w:asciiTheme="majorHAnsi" w:eastAsiaTheme="minorHAnsi" w:hAnsiTheme="majorHAnsi" w:cstheme="majorHAnsi"/>
                <w:color w:val="000000"/>
                <w:sz w:val="18"/>
                <w:szCs w:val="18"/>
                <w:lang w:val="en-US"/>
              </w:rPr>
            </w:pPr>
            <w:r w:rsidRPr="005A731E">
              <w:rPr>
                <w:rFonts w:asciiTheme="majorHAnsi" w:eastAsiaTheme="minorHAnsi" w:hAnsiTheme="majorHAnsi" w:cstheme="majorHAnsi"/>
                <w:color w:val="000000"/>
                <w:sz w:val="18"/>
                <w:szCs w:val="18"/>
                <w:lang w:val="en-US"/>
              </w:rPr>
              <w:t>Organisational Development (OD)</w:t>
            </w:r>
          </w:p>
        </w:tc>
        <w:tc>
          <w:tcPr>
            <w:tcW w:w="720" w:type="dxa"/>
            <w:vAlign w:val="center"/>
          </w:tcPr>
          <w:p w14:paraId="41F0B155"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8"/>
                <w:szCs w:val="18"/>
                <w:lang w:val="en-US"/>
              </w:rPr>
            </w:pPr>
          </w:p>
        </w:tc>
        <w:tc>
          <w:tcPr>
            <w:tcW w:w="810" w:type="dxa"/>
            <w:vAlign w:val="center"/>
          </w:tcPr>
          <w:p w14:paraId="49CFDE06"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8"/>
                <w:szCs w:val="18"/>
                <w:lang w:val="en-US"/>
              </w:rPr>
            </w:pPr>
          </w:p>
        </w:tc>
        <w:tc>
          <w:tcPr>
            <w:tcW w:w="900" w:type="dxa"/>
            <w:vAlign w:val="center"/>
          </w:tcPr>
          <w:p w14:paraId="46856558"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8"/>
                <w:szCs w:val="18"/>
                <w:lang w:val="en-US"/>
              </w:rPr>
            </w:pPr>
          </w:p>
        </w:tc>
        <w:tc>
          <w:tcPr>
            <w:tcW w:w="990" w:type="dxa"/>
          </w:tcPr>
          <w:p w14:paraId="068DC0A8"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8"/>
                <w:szCs w:val="18"/>
                <w:lang w:val="en-US"/>
              </w:rPr>
            </w:pPr>
          </w:p>
        </w:tc>
        <w:tc>
          <w:tcPr>
            <w:tcW w:w="1620" w:type="dxa"/>
            <w:vAlign w:val="center"/>
          </w:tcPr>
          <w:p w14:paraId="07249ECA"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8"/>
                <w:szCs w:val="18"/>
                <w:lang w:val="en-US"/>
              </w:rPr>
            </w:pPr>
          </w:p>
        </w:tc>
      </w:tr>
    </w:tbl>
    <w:p w14:paraId="1A9C4D59" w14:textId="77777777" w:rsidR="008D0CAD" w:rsidRPr="00136D90" w:rsidRDefault="008D0CAD" w:rsidP="005902F7">
      <w:pPr>
        <w:spacing w:before="100" w:beforeAutospacing="1" w:after="100" w:afterAutospacing="1" w:line="360" w:lineRule="auto"/>
        <w:rPr>
          <w:rFonts w:asciiTheme="majorHAnsi" w:hAnsiTheme="majorHAnsi" w:cstheme="majorHAnsi"/>
          <w:color w:val="000000" w:themeColor="text1"/>
          <w:sz w:val="20"/>
          <w:szCs w:val="20"/>
          <w:lang w:val="en-US"/>
        </w:rPr>
      </w:pPr>
      <w:r w:rsidRPr="00136D90">
        <w:rPr>
          <w:rFonts w:asciiTheme="majorHAnsi" w:hAnsiTheme="majorHAnsi" w:cstheme="majorHAnsi"/>
          <w:bCs/>
          <w:sz w:val="20"/>
          <w:szCs w:val="20"/>
          <w:lang w:val="en-US"/>
        </w:rPr>
        <w:t>On a scale of 1 to 4 (</w:t>
      </w:r>
      <w:r w:rsidRPr="00136D90">
        <w:rPr>
          <w:rFonts w:asciiTheme="majorHAnsi" w:hAnsiTheme="majorHAnsi" w:cstheme="majorHAnsi"/>
          <w:bCs/>
          <w:i/>
          <w:sz w:val="20"/>
          <w:szCs w:val="20"/>
          <w:lang w:val="en-US"/>
        </w:rPr>
        <w:t>with 4 being the highest</w:t>
      </w:r>
      <w:r w:rsidRPr="00136D90">
        <w:rPr>
          <w:rFonts w:asciiTheme="majorHAnsi" w:hAnsiTheme="majorHAnsi" w:cstheme="majorHAnsi"/>
          <w:bCs/>
          <w:sz w:val="20"/>
          <w:szCs w:val="20"/>
          <w:lang w:val="en-US"/>
        </w:rPr>
        <w:t xml:space="preserve">), how would you </w:t>
      </w:r>
      <w:r w:rsidRPr="00136D90">
        <w:rPr>
          <w:rFonts w:asciiTheme="majorHAnsi" w:hAnsiTheme="majorHAnsi" w:cstheme="majorHAnsi"/>
          <w:b/>
          <w:bCs/>
          <w:sz w:val="20"/>
          <w:szCs w:val="20"/>
          <w:lang w:val="en-US"/>
        </w:rPr>
        <w:t>rate the adequacy of the support</w:t>
      </w:r>
      <w:r w:rsidRPr="00136D90">
        <w:rPr>
          <w:rFonts w:asciiTheme="majorHAnsi" w:hAnsiTheme="majorHAnsi" w:cstheme="majorHAnsi"/>
          <w:bCs/>
          <w:sz w:val="20"/>
          <w:szCs w:val="20"/>
          <w:lang w:val="en-US"/>
        </w:rPr>
        <w:t xml:space="preserve"> provided to you to enable you to implement the following basic education reforms? Please check appropriate box.</w:t>
      </w:r>
    </w:p>
    <w:tbl>
      <w:tblPr>
        <w:tblStyle w:val="TableGrid5"/>
        <w:tblW w:w="9810" w:type="dxa"/>
        <w:tblInd w:w="-5" w:type="dxa"/>
        <w:tblLayout w:type="fixed"/>
        <w:tblLook w:val="04A0" w:firstRow="1" w:lastRow="0" w:firstColumn="1" w:lastColumn="0" w:noHBand="0" w:noVBand="1"/>
      </w:tblPr>
      <w:tblGrid>
        <w:gridCol w:w="4770"/>
        <w:gridCol w:w="994"/>
        <w:gridCol w:w="986"/>
        <w:gridCol w:w="990"/>
        <w:gridCol w:w="990"/>
        <w:gridCol w:w="1080"/>
      </w:tblGrid>
      <w:tr w:rsidR="00F534CE" w:rsidRPr="005A731E" w14:paraId="6E580B7F" w14:textId="77777777" w:rsidTr="005805AC">
        <w:trPr>
          <w:trHeight w:val="52"/>
          <w:tblHeader/>
        </w:trPr>
        <w:tc>
          <w:tcPr>
            <w:tcW w:w="4770" w:type="dxa"/>
            <w:shd w:val="clear" w:color="auto" w:fill="D9D9D9" w:themeFill="background1" w:themeFillShade="D9"/>
          </w:tcPr>
          <w:p w14:paraId="5B6819B9" w14:textId="42694F7D" w:rsidR="00F534CE" w:rsidRPr="005A731E" w:rsidRDefault="00112496"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5A731E">
              <w:rPr>
                <w:rFonts w:asciiTheme="majorHAnsi" w:eastAsiaTheme="minorHAnsi" w:hAnsiTheme="majorHAnsi" w:cstheme="majorHAnsi"/>
                <w:b/>
                <w:color w:val="000000"/>
                <w:sz w:val="16"/>
                <w:szCs w:val="16"/>
                <w:lang w:val="en-US"/>
              </w:rPr>
              <w:t>Basic Education Reforms</w:t>
            </w:r>
          </w:p>
        </w:tc>
        <w:tc>
          <w:tcPr>
            <w:tcW w:w="994" w:type="dxa"/>
            <w:shd w:val="clear" w:color="auto" w:fill="D9D9D9" w:themeFill="background1" w:themeFillShade="D9"/>
            <w:vAlign w:val="center"/>
          </w:tcPr>
          <w:p w14:paraId="3CB52D5D" w14:textId="2C2B82B8" w:rsidR="00F534CE" w:rsidRDefault="00F534CE"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Pr>
                <w:rFonts w:asciiTheme="majorHAnsi" w:eastAsiaTheme="minorHAnsi" w:hAnsiTheme="majorHAnsi" w:cstheme="majorHAnsi"/>
                <w:color w:val="000000" w:themeColor="text1"/>
                <w:sz w:val="16"/>
                <w:szCs w:val="16"/>
                <w:lang w:val="en-US"/>
              </w:rPr>
              <w:t>None</w:t>
            </w:r>
          </w:p>
          <w:p w14:paraId="43AFC3C5" w14:textId="3AE9F6FD" w:rsidR="00F534CE" w:rsidRPr="005A731E" w:rsidRDefault="00F534CE"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5A731E">
              <w:rPr>
                <w:rFonts w:asciiTheme="majorHAnsi" w:eastAsiaTheme="minorHAnsi" w:hAnsiTheme="majorHAnsi" w:cstheme="majorHAnsi"/>
                <w:color w:val="000000" w:themeColor="text1"/>
                <w:sz w:val="16"/>
                <w:szCs w:val="16"/>
                <w:lang w:val="en-US"/>
              </w:rPr>
              <w:t>0</w:t>
            </w:r>
          </w:p>
        </w:tc>
        <w:tc>
          <w:tcPr>
            <w:tcW w:w="986" w:type="dxa"/>
            <w:shd w:val="clear" w:color="auto" w:fill="D9D9D9" w:themeFill="background1" w:themeFillShade="D9"/>
            <w:vAlign w:val="center"/>
          </w:tcPr>
          <w:p w14:paraId="418615D4" w14:textId="332306B2" w:rsidR="00F534CE" w:rsidRDefault="00F534CE"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Pr>
                <w:rFonts w:asciiTheme="majorHAnsi" w:eastAsiaTheme="minorHAnsi" w:hAnsiTheme="majorHAnsi" w:cstheme="majorHAnsi"/>
                <w:color w:val="000000" w:themeColor="text1"/>
                <w:sz w:val="16"/>
                <w:szCs w:val="16"/>
                <w:lang w:val="en-US"/>
              </w:rPr>
              <w:t>Poor</w:t>
            </w:r>
          </w:p>
          <w:p w14:paraId="48F6362E" w14:textId="1C429620" w:rsidR="00F534CE" w:rsidRPr="005A731E" w:rsidRDefault="00F534CE"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5A731E">
              <w:rPr>
                <w:rFonts w:asciiTheme="majorHAnsi" w:eastAsiaTheme="minorHAnsi" w:hAnsiTheme="majorHAnsi" w:cstheme="majorHAnsi"/>
                <w:color w:val="000000" w:themeColor="text1"/>
                <w:sz w:val="16"/>
                <w:szCs w:val="16"/>
                <w:lang w:val="en-US"/>
              </w:rPr>
              <w:t>1</w:t>
            </w:r>
          </w:p>
        </w:tc>
        <w:tc>
          <w:tcPr>
            <w:tcW w:w="990" w:type="dxa"/>
            <w:shd w:val="clear" w:color="auto" w:fill="D9D9D9" w:themeFill="background1" w:themeFillShade="D9"/>
            <w:vAlign w:val="center"/>
          </w:tcPr>
          <w:p w14:paraId="4ECF92C1" w14:textId="4DF3263B" w:rsidR="00F534CE" w:rsidRDefault="00F534CE"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Pr>
                <w:rFonts w:asciiTheme="majorHAnsi" w:eastAsiaTheme="minorHAnsi" w:hAnsiTheme="majorHAnsi" w:cstheme="majorHAnsi"/>
                <w:color w:val="000000" w:themeColor="text1"/>
                <w:sz w:val="16"/>
                <w:szCs w:val="16"/>
                <w:lang w:val="en-US"/>
              </w:rPr>
              <w:t>Inadequate</w:t>
            </w:r>
          </w:p>
          <w:p w14:paraId="288965D8" w14:textId="61C49D33" w:rsidR="00F534CE" w:rsidRPr="005A731E" w:rsidRDefault="00F534CE"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5A731E">
              <w:rPr>
                <w:rFonts w:asciiTheme="majorHAnsi" w:eastAsiaTheme="minorHAnsi" w:hAnsiTheme="majorHAnsi" w:cstheme="majorHAnsi"/>
                <w:color w:val="000000" w:themeColor="text1"/>
                <w:sz w:val="16"/>
                <w:szCs w:val="16"/>
                <w:lang w:val="en-US"/>
              </w:rPr>
              <w:t>2</w:t>
            </w:r>
          </w:p>
        </w:tc>
        <w:tc>
          <w:tcPr>
            <w:tcW w:w="990" w:type="dxa"/>
            <w:shd w:val="clear" w:color="auto" w:fill="D9D9D9" w:themeFill="background1" w:themeFillShade="D9"/>
            <w:vAlign w:val="center"/>
          </w:tcPr>
          <w:p w14:paraId="3C4965B0" w14:textId="39B2B77F" w:rsidR="00F534CE" w:rsidRDefault="00F534CE"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Pr>
                <w:rFonts w:asciiTheme="majorHAnsi" w:eastAsiaTheme="minorHAnsi" w:hAnsiTheme="majorHAnsi" w:cstheme="majorHAnsi"/>
                <w:color w:val="000000" w:themeColor="text1"/>
                <w:sz w:val="16"/>
                <w:szCs w:val="16"/>
                <w:lang w:val="en-US"/>
              </w:rPr>
              <w:t>Adequate</w:t>
            </w:r>
          </w:p>
          <w:p w14:paraId="3A14CEDC" w14:textId="040E8678" w:rsidR="00F534CE" w:rsidRPr="005A731E" w:rsidRDefault="00F534CE"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5A731E">
              <w:rPr>
                <w:rFonts w:asciiTheme="majorHAnsi" w:eastAsiaTheme="minorHAnsi" w:hAnsiTheme="majorHAnsi" w:cstheme="majorHAnsi"/>
                <w:color w:val="000000" w:themeColor="text1"/>
                <w:sz w:val="16"/>
                <w:szCs w:val="16"/>
                <w:lang w:val="en-US"/>
              </w:rPr>
              <w:t>3</w:t>
            </w:r>
          </w:p>
        </w:tc>
        <w:tc>
          <w:tcPr>
            <w:tcW w:w="1080" w:type="dxa"/>
            <w:shd w:val="clear" w:color="auto" w:fill="D9D9D9" w:themeFill="background1" w:themeFillShade="D9"/>
            <w:vAlign w:val="center"/>
          </w:tcPr>
          <w:p w14:paraId="76D388EC" w14:textId="1152A996" w:rsidR="00F534CE" w:rsidRDefault="00F534CE"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Pr>
                <w:rFonts w:asciiTheme="majorHAnsi" w:eastAsiaTheme="minorHAnsi" w:hAnsiTheme="majorHAnsi" w:cstheme="majorHAnsi"/>
                <w:color w:val="000000" w:themeColor="text1"/>
                <w:sz w:val="16"/>
                <w:szCs w:val="16"/>
                <w:lang w:val="en-US"/>
              </w:rPr>
              <w:t>More than Adequate</w:t>
            </w:r>
          </w:p>
          <w:p w14:paraId="4B509B06" w14:textId="18365124" w:rsidR="00F534CE" w:rsidRPr="005A731E" w:rsidRDefault="00F534CE"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5A731E">
              <w:rPr>
                <w:rFonts w:asciiTheme="majorHAnsi" w:eastAsiaTheme="minorHAnsi" w:hAnsiTheme="majorHAnsi" w:cstheme="majorHAnsi"/>
                <w:color w:val="000000" w:themeColor="text1"/>
                <w:sz w:val="16"/>
                <w:szCs w:val="16"/>
                <w:lang w:val="en-US"/>
              </w:rPr>
              <w:t>4</w:t>
            </w:r>
          </w:p>
        </w:tc>
      </w:tr>
      <w:tr w:rsidR="008D0CAD" w:rsidRPr="005A731E" w14:paraId="63D17756" w14:textId="77777777" w:rsidTr="009C64E9">
        <w:trPr>
          <w:trHeight w:val="215"/>
        </w:trPr>
        <w:tc>
          <w:tcPr>
            <w:tcW w:w="4770" w:type="dxa"/>
          </w:tcPr>
          <w:p w14:paraId="42BDEA91" w14:textId="77777777" w:rsidR="008D0CAD" w:rsidRPr="005A731E" w:rsidRDefault="008D0CAD" w:rsidP="00DD08E3">
            <w:pPr>
              <w:numPr>
                <w:ilvl w:val="1"/>
                <w:numId w:val="81"/>
              </w:numPr>
              <w:autoSpaceDE w:val="0"/>
              <w:autoSpaceDN w:val="0"/>
              <w:adjustRightInd w:val="0"/>
              <w:spacing w:before="100" w:beforeAutospacing="1" w:after="100" w:afterAutospacing="1" w:line="360" w:lineRule="auto"/>
              <w:ind w:left="517" w:hanging="450"/>
              <w:rPr>
                <w:rFonts w:asciiTheme="majorHAnsi" w:eastAsiaTheme="minorHAnsi" w:hAnsiTheme="majorHAnsi" w:cstheme="majorHAnsi"/>
                <w:color w:val="000000" w:themeColor="text1"/>
                <w:sz w:val="16"/>
                <w:szCs w:val="16"/>
                <w:lang w:val="en-US"/>
              </w:rPr>
            </w:pPr>
            <w:r w:rsidRPr="005A731E">
              <w:rPr>
                <w:rFonts w:asciiTheme="majorHAnsi" w:eastAsiaTheme="minorHAnsi" w:hAnsiTheme="majorHAnsi" w:cstheme="majorHAnsi"/>
                <w:bCs/>
                <w:color w:val="000000"/>
                <w:sz w:val="16"/>
                <w:szCs w:val="16"/>
                <w:lang w:val="en-US"/>
              </w:rPr>
              <w:t>Learning &amp; Development (L&amp;D) systems including various professional development programs for school heads and teachers</w:t>
            </w:r>
          </w:p>
        </w:tc>
        <w:tc>
          <w:tcPr>
            <w:tcW w:w="994" w:type="dxa"/>
            <w:vAlign w:val="center"/>
          </w:tcPr>
          <w:p w14:paraId="0ADC9804"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5A731E">
              <w:rPr>
                <w:rFonts w:asciiTheme="majorHAnsi" w:eastAsiaTheme="minorHAnsi" w:hAnsiTheme="majorHAnsi" w:cstheme="majorHAnsi"/>
                <w:color w:val="000000" w:themeColor="text1"/>
                <w:sz w:val="16"/>
                <w:szCs w:val="16"/>
                <w:lang w:val="en-US"/>
              </w:rPr>
              <w:t xml:space="preserve"> </w:t>
            </w:r>
          </w:p>
        </w:tc>
        <w:tc>
          <w:tcPr>
            <w:tcW w:w="986" w:type="dxa"/>
            <w:vAlign w:val="center"/>
          </w:tcPr>
          <w:p w14:paraId="4BC0950A"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5A731E">
              <w:rPr>
                <w:rFonts w:asciiTheme="majorHAnsi" w:eastAsiaTheme="minorHAnsi" w:hAnsiTheme="majorHAnsi" w:cstheme="majorHAnsi"/>
                <w:color w:val="000000" w:themeColor="text1"/>
                <w:sz w:val="16"/>
                <w:szCs w:val="16"/>
                <w:lang w:val="en-US"/>
              </w:rPr>
              <w:t xml:space="preserve"> </w:t>
            </w:r>
          </w:p>
        </w:tc>
        <w:tc>
          <w:tcPr>
            <w:tcW w:w="990" w:type="dxa"/>
            <w:vAlign w:val="center"/>
          </w:tcPr>
          <w:p w14:paraId="36227454"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5A731E">
              <w:rPr>
                <w:rFonts w:asciiTheme="majorHAnsi" w:eastAsiaTheme="minorHAnsi" w:hAnsiTheme="majorHAnsi" w:cstheme="majorHAnsi"/>
                <w:color w:val="000000" w:themeColor="text1"/>
                <w:sz w:val="16"/>
                <w:szCs w:val="16"/>
                <w:lang w:val="en-US"/>
              </w:rPr>
              <w:t xml:space="preserve"> </w:t>
            </w:r>
          </w:p>
        </w:tc>
        <w:tc>
          <w:tcPr>
            <w:tcW w:w="990" w:type="dxa"/>
          </w:tcPr>
          <w:p w14:paraId="62D5903B"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080" w:type="dxa"/>
            <w:vAlign w:val="center"/>
          </w:tcPr>
          <w:p w14:paraId="360B1FD8"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5A731E">
              <w:rPr>
                <w:rFonts w:asciiTheme="majorHAnsi" w:eastAsiaTheme="minorHAnsi" w:hAnsiTheme="majorHAnsi" w:cstheme="majorHAnsi"/>
                <w:color w:val="000000" w:themeColor="text1"/>
                <w:sz w:val="16"/>
                <w:szCs w:val="16"/>
                <w:lang w:val="en-US"/>
              </w:rPr>
              <w:t xml:space="preserve"> </w:t>
            </w:r>
          </w:p>
        </w:tc>
      </w:tr>
      <w:tr w:rsidR="008D0CAD" w:rsidRPr="005A731E" w14:paraId="736DEA7F" w14:textId="77777777" w:rsidTr="009C64E9">
        <w:trPr>
          <w:trHeight w:val="215"/>
        </w:trPr>
        <w:tc>
          <w:tcPr>
            <w:tcW w:w="4770" w:type="dxa"/>
          </w:tcPr>
          <w:p w14:paraId="75DBFE39" w14:textId="77777777" w:rsidR="008D0CAD" w:rsidRPr="005A731E" w:rsidRDefault="008D0CAD" w:rsidP="00DD08E3">
            <w:pPr>
              <w:numPr>
                <w:ilvl w:val="1"/>
                <w:numId w:val="81"/>
              </w:numPr>
              <w:autoSpaceDE w:val="0"/>
              <w:autoSpaceDN w:val="0"/>
              <w:adjustRightInd w:val="0"/>
              <w:spacing w:before="100" w:beforeAutospacing="1" w:after="100" w:afterAutospacing="1" w:line="360" w:lineRule="auto"/>
              <w:ind w:left="517" w:hanging="450"/>
              <w:rPr>
                <w:rFonts w:asciiTheme="majorHAnsi" w:eastAsiaTheme="minorHAnsi" w:hAnsiTheme="majorHAnsi" w:cstheme="majorHAnsi"/>
                <w:iCs/>
                <w:color w:val="000000" w:themeColor="text1"/>
                <w:sz w:val="16"/>
                <w:szCs w:val="16"/>
                <w:lang w:val="en-US"/>
              </w:rPr>
            </w:pPr>
            <w:r w:rsidRPr="005A731E">
              <w:rPr>
                <w:rFonts w:asciiTheme="majorHAnsi" w:eastAsiaTheme="minorHAnsi" w:hAnsiTheme="majorHAnsi" w:cstheme="majorHAnsi"/>
                <w:color w:val="000000"/>
                <w:sz w:val="16"/>
                <w:szCs w:val="16"/>
                <w:lang w:val="en-US"/>
              </w:rPr>
              <w:t>Philippine Professional Standards for Teachers (PPST)</w:t>
            </w:r>
          </w:p>
        </w:tc>
        <w:tc>
          <w:tcPr>
            <w:tcW w:w="994" w:type="dxa"/>
            <w:vAlign w:val="center"/>
          </w:tcPr>
          <w:p w14:paraId="13B4C4B3"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5A731E">
              <w:rPr>
                <w:rFonts w:asciiTheme="majorHAnsi" w:eastAsiaTheme="minorHAnsi" w:hAnsiTheme="majorHAnsi" w:cstheme="majorHAnsi"/>
                <w:color w:val="000000" w:themeColor="text1"/>
                <w:sz w:val="16"/>
                <w:szCs w:val="16"/>
                <w:lang w:val="en-US"/>
              </w:rPr>
              <w:t xml:space="preserve"> </w:t>
            </w:r>
          </w:p>
        </w:tc>
        <w:tc>
          <w:tcPr>
            <w:tcW w:w="986" w:type="dxa"/>
            <w:vAlign w:val="center"/>
          </w:tcPr>
          <w:p w14:paraId="18EAC166"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5A731E">
              <w:rPr>
                <w:rFonts w:asciiTheme="majorHAnsi" w:eastAsiaTheme="minorHAnsi" w:hAnsiTheme="majorHAnsi" w:cstheme="majorHAnsi"/>
                <w:color w:val="000000" w:themeColor="text1"/>
                <w:sz w:val="16"/>
                <w:szCs w:val="16"/>
                <w:lang w:val="en-US"/>
              </w:rPr>
              <w:t xml:space="preserve"> </w:t>
            </w:r>
          </w:p>
        </w:tc>
        <w:tc>
          <w:tcPr>
            <w:tcW w:w="990" w:type="dxa"/>
            <w:vAlign w:val="center"/>
          </w:tcPr>
          <w:p w14:paraId="010A2CA4"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5A731E">
              <w:rPr>
                <w:rFonts w:asciiTheme="majorHAnsi" w:eastAsiaTheme="minorHAnsi" w:hAnsiTheme="majorHAnsi" w:cstheme="majorHAnsi"/>
                <w:color w:val="000000" w:themeColor="text1"/>
                <w:sz w:val="16"/>
                <w:szCs w:val="16"/>
                <w:lang w:val="en-US"/>
              </w:rPr>
              <w:t xml:space="preserve"> </w:t>
            </w:r>
          </w:p>
        </w:tc>
        <w:tc>
          <w:tcPr>
            <w:tcW w:w="990" w:type="dxa"/>
          </w:tcPr>
          <w:p w14:paraId="7E5F4719"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080" w:type="dxa"/>
            <w:vAlign w:val="center"/>
          </w:tcPr>
          <w:p w14:paraId="28377AC7"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5A731E">
              <w:rPr>
                <w:rFonts w:asciiTheme="majorHAnsi" w:eastAsiaTheme="minorHAnsi" w:hAnsiTheme="majorHAnsi" w:cstheme="majorHAnsi"/>
                <w:color w:val="000000" w:themeColor="text1"/>
                <w:sz w:val="16"/>
                <w:szCs w:val="16"/>
                <w:lang w:val="en-US"/>
              </w:rPr>
              <w:t xml:space="preserve"> </w:t>
            </w:r>
          </w:p>
        </w:tc>
      </w:tr>
      <w:tr w:rsidR="008D0CAD" w:rsidRPr="005A731E" w14:paraId="74578A57" w14:textId="77777777" w:rsidTr="009C64E9">
        <w:trPr>
          <w:trHeight w:val="215"/>
        </w:trPr>
        <w:tc>
          <w:tcPr>
            <w:tcW w:w="4770" w:type="dxa"/>
          </w:tcPr>
          <w:p w14:paraId="5ACA11E8" w14:textId="77777777" w:rsidR="008D0CAD" w:rsidRPr="005A731E" w:rsidRDefault="008D0CAD" w:rsidP="00DD08E3">
            <w:pPr>
              <w:numPr>
                <w:ilvl w:val="1"/>
                <w:numId w:val="81"/>
              </w:numPr>
              <w:autoSpaceDE w:val="0"/>
              <w:autoSpaceDN w:val="0"/>
              <w:adjustRightInd w:val="0"/>
              <w:spacing w:before="100" w:beforeAutospacing="1" w:after="100" w:afterAutospacing="1" w:line="360" w:lineRule="auto"/>
              <w:ind w:left="517" w:hanging="450"/>
              <w:rPr>
                <w:rFonts w:asciiTheme="majorHAnsi" w:eastAsiaTheme="minorHAnsi" w:hAnsiTheme="majorHAnsi" w:cstheme="majorHAnsi"/>
                <w:iCs/>
                <w:color w:val="000000" w:themeColor="text1"/>
                <w:sz w:val="16"/>
                <w:szCs w:val="16"/>
                <w:lang w:val="en-US"/>
              </w:rPr>
            </w:pPr>
            <w:r w:rsidRPr="005A731E">
              <w:rPr>
                <w:rFonts w:asciiTheme="majorHAnsi" w:eastAsiaTheme="minorHAnsi" w:hAnsiTheme="majorHAnsi" w:cstheme="majorHAnsi"/>
                <w:color w:val="000000"/>
                <w:sz w:val="16"/>
                <w:szCs w:val="16"/>
                <w:lang w:val="en-US"/>
              </w:rPr>
              <w:t xml:space="preserve">K-12 Curricula and assessment </w:t>
            </w:r>
          </w:p>
        </w:tc>
        <w:tc>
          <w:tcPr>
            <w:tcW w:w="994" w:type="dxa"/>
            <w:vAlign w:val="center"/>
          </w:tcPr>
          <w:p w14:paraId="151DD038"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5A731E">
              <w:rPr>
                <w:rFonts w:asciiTheme="majorHAnsi" w:eastAsiaTheme="minorHAnsi" w:hAnsiTheme="majorHAnsi" w:cstheme="majorHAnsi"/>
                <w:color w:val="000000" w:themeColor="text1"/>
                <w:sz w:val="16"/>
                <w:szCs w:val="16"/>
                <w:lang w:val="en-US"/>
              </w:rPr>
              <w:t xml:space="preserve"> </w:t>
            </w:r>
          </w:p>
        </w:tc>
        <w:tc>
          <w:tcPr>
            <w:tcW w:w="986" w:type="dxa"/>
            <w:vAlign w:val="center"/>
          </w:tcPr>
          <w:p w14:paraId="33C9AD24"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5A731E">
              <w:rPr>
                <w:rFonts w:asciiTheme="majorHAnsi" w:eastAsiaTheme="minorHAnsi" w:hAnsiTheme="majorHAnsi" w:cstheme="majorHAnsi"/>
                <w:color w:val="000000" w:themeColor="text1"/>
                <w:sz w:val="16"/>
                <w:szCs w:val="16"/>
                <w:lang w:val="en-US"/>
              </w:rPr>
              <w:t xml:space="preserve"> </w:t>
            </w:r>
          </w:p>
        </w:tc>
        <w:tc>
          <w:tcPr>
            <w:tcW w:w="990" w:type="dxa"/>
            <w:vAlign w:val="center"/>
          </w:tcPr>
          <w:p w14:paraId="5B040BC7"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5A731E">
              <w:rPr>
                <w:rFonts w:asciiTheme="majorHAnsi" w:eastAsiaTheme="minorHAnsi" w:hAnsiTheme="majorHAnsi" w:cstheme="majorHAnsi"/>
                <w:color w:val="000000" w:themeColor="text1"/>
                <w:sz w:val="16"/>
                <w:szCs w:val="16"/>
                <w:lang w:val="en-US"/>
              </w:rPr>
              <w:t xml:space="preserve"> </w:t>
            </w:r>
          </w:p>
        </w:tc>
        <w:tc>
          <w:tcPr>
            <w:tcW w:w="990" w:type="dxa"/>
          </w:tcPr>
          <w:p w14:paraId="4544B8FE"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080" w:type="dxa"/>
            <w:vAlign w:val="center"/>
          </w:tcPr>
          <w:p w14:paraId="7879D118"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5A731E">
              <w:rPr>
                <w:rFonts w:asciiTheme="majorHAnsi" w:eastAsiaTheme="minorHAnsi" w:hAnsiTheme="majorHAnsi" w:cstheme="majorHAnsi"/>
                <w:color w:val="000000" w:themeColor="text1"/>
                <w:sz w:val="16"/>
                <w:szCs w:val="16"/>
                <w:lang w:val="en-US"/>
              </w:rPr>
              <w:t xml:space="preserve"> </w:t>
            </w:r>
          </w:p>
        </w:tc>
      </w:tr>
      <w:tr w:rsidR="008D0CAD" w:rsidRPr="005A731E" w14:paraId="349E9B72" w14:textId="77777777" w:rsidTr="009C64E9">
        <w:trPr>
          <w:trHeight w:val="215"/>
        </w:trPr>
        <w:tc>
          <w:tcPr>
            <w:tcW w:w="4770" w:type="dxa"/>
          </w:tcPr>
          <w:p w14:paraId="5D6318ED" w14:textId="77777777" w:rsidR="008D0CAD" w:rsidRPr="005A731E" w:rsidRDefault="008D0CAD" w:rsidP="00DD08E3">
            <w:pPr>
              <w:numPr>
                <w:ilvl w:val="1"/>
                <w:numId w:val="81"/>
              </w:numPr>
              <w:autoSpaceDE w:val="0"/>
              <w:autoSpaceDN w:val="0"/>
              <w:adjustRightInd w:val="0"/>
              <w:spacing w:before="100" w:beforeAutospacing="1" w:after="100" w:afterAutospacing="1" w:line="360" w:lineRule="auto"/>
              <w:ind w:left="517" w:hanging="450"/>
              <w:rPr>
                <w:rFonts w:asciiTheme="majorHAnsi" w:eastAsiaTheme="minorHAnsi" w:hAnsiTheme="majorHAnsi" w:cstheme="majorHAnsi"/>
                <w:color w:val="000000"/>
                <w:sz w:val="16"/>
                <w:szCs w:val="16"/>
                <w:lang w:val="en-US"/>
              </w:rPr>
            </w:pPr>
            <w:r w:rsidRPr="005A731E">
              <w:rPr>
                <w:rFonts w:asciiTheme="majorHAnsi" w:eastAsiaTheme="minorHAnsi" w:hAnsiTheme="majorHAnsi" w:cstheme="majorHAnsi"/>
                <w:color w:val="000000"/>
                <w:sz w:val="16"/>
                <w:szCs w:val="16"/>
                <w:lang w:val="en-US"/>
              </w:rPr>
              <w:t>Teacher Induction Program (TIP)</w:t>
            </w:r>
          </w:p>
        </w:tc>
        <w:tc>
          <w:tcPr>
            <w:tcW w:w="994" w:type="dxa"/>
            <w:vAlign w:val="center"/>
          </w:tcPr>
          <w:p w14:paraId="3DC01689"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986" w:type="dxa"/>
            <w:vAlign w:val="center"/>
          </w:tcPr>
          <w:p w14:paraId="0D2D68D4"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990" w:type="dxa"/>
            <w:vAlign w:val="center"/>
          </w:tcPr>
          <w:p w14:paraId="221B4570"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990" w:type="dxa"/>
          </w:tcPr>
          <w:p w14:paraId="0B43AAEA"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080" w:type="dxa"/>
            <w:vAlign w:val="center"/>
          </w:tcPr>
          <w:p w14:paraId="3E008296"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r>
      <w:tr w:rsidR="008D0CAD" w:rsidRPr="005A731E" w14:paraId="33619B20" w14:textId="77777777" w:rsidTr="009C64E9">
        <w:trPr>
          <w:trHeight w:val="215"/>
        </w:trPr>
        <w:tc>
          <w:tcPr>
            <w:tcW w:w="4770" w:type="dxa"/>
          </w:tcPr>
          <w:p w14:paraId="43BE2DEB" w14:textId="77777777" w:rsidR="008D0CAD" w:rsidRPr="005A731E" w:rsidRDefault="008D0CAD" w:rsidP="00DD08E3">
            <w:pPr>
              <w:numPr>
                <w:ilvl w:val="1"/>
                <w:numId w:val="81"/>
              </w:numPr>
              <w:autoSpaceDE w:val="0"/>
              <w:autoSpaceDN w:val="0"/>
              <w:adjustRightInd w:val="0"/>
              <w:spacing w:before="100" w:beforeAutospacing="1" w:after="100" w:afterAutospacing="1" w:line="360" w:lineRule="auto"/>
              <w:ind w:left="517" w:hanging="450"/>
              <w:rPr>
                <w:rFonts w:asciiTheme="majorHAnsi" w:eastAsiaTheme="minorHAnsi" w:hAnsiTheme="majorHAnsi" w:cstheme="majorHAnsi"/>
                <w:color w:val="000000"/>
                <w:sz w:val="16"/>
                <w:szCs w:val="16"/>
                <w:lang w:val="en-US"/>
              </w:rPr>
            </w:pPr>
            <w:r w:rsidRPr="005A731E">
              <w:rPr>
                <w:rFonts w:asciiTheme="majorHAnsi" w:eastAsiaTheme="minorHAnsi" w:hAnsiTheme="majorHAnsi" w:cstheme="majorHAnsi"/>
                <w:color w:val="000000"/>
                <w:sz w:val="16"/>
                <w:szCs w:val="16"/>
                <w:lang w:val="en-US"/>
              </w:rPr>
              <w:t>School-based Management (SBM)</w:t>
            </w:r>
          </w:p>
        </w:tc>
        <w:tc>
          <w:tcPr>
            <w:tcW w:w="994" w:type="dxa"/>
            <w:vAlign w:val="center"/>
          </w:tcPr>
          <w:p w14:paraId="71F4717A"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986" w:type="dxa"/>
            <w:vAlign w:val="center"/>
          </w:tcPr>
          <w:p w14:paraId="49B23EBF"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990" w:type="dxa"/>
            <w:vAlign w:val="center"/>
          </w:tcPr>
          <w:p w14:paraId="561DEEBE"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990" w:type="dxa"/>
          </w:tcPr>
          <w:p w14:paraId="555CC231"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080" w:type="dxa"/>
            <w:vAlign w:val="center"/>
          </w:tcPr>
          <w:p w14:paraId="6292C377"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r>
      <w:tr w:rsidR="008D0CAD" w:rsidRPr="005A731E" w14:paraId="78848A45" w14:textId="77777777" w:rsidTr="009C64E9">
        <w:trPr>
          <w:trHeight w:val="215"/>
        </w:trPr>
        <w:tc>
          <w:tcPr>
            <w:tcW w:w="4770" w:type="dxa"/>
          </w:tcPr>
          <w:p w14:paraId="4288EDDF" w14:textId="77777777" w:rsidR="008D0CAD" w:rsidRPr="005A731E" w:rsidRDefault="008D0CAD" w:rsidP="00DD08E3">
            <w:pPr>
              <w:numPr>
                <w:ilvl w:val="1"/>
                <w:numId w:val="81"/>
              </w:numPr>
              <w:autoSpaceDE w:val="0"/>
              <w:autoSpaceDN w:val="0"/>
              <w:adjustRightInd w:val="0"/>
              <w:spacing w:before="100" w:beforeAutospacing="1" w:after="100" w:afterAutospacing="1" w:line="360" w:lineRule="auto"/>
              <w:ind w:left="517" w:hanging="450"/>
              <w:rPr>
                <w:rFonts w:asciiTheme="majorHAnsi" w:eastAsiaTheme="minorHAnsi" w:hAnsiTheme="majorHAnsi" w:cstheme="majorHAnsi"/>
                <w:color w:val="000000"/>
                <w:sz w:val="16"/>
                <w:szCs w:val="16"/>
                <w:lang w:val="en-US"/>
              </w:rPr>
            </w:pPr>
            <w:r w:rsidRPr="005A731E">
              <w:rPr>
                <w:rFonts w:asciiTheme="majorHAnsi" w:eastAsiaTheme="minorHAnsi" w:hAnsiTheme="majorHAnsi" w:cstheme="majorHAnsi"/>
                <w:color w:val="000000"/>
                <w:sz w:val="16"/>
                <w:szCs w:val="16"/>
                <w:lang w:val="en-US"/>
              </w:rPr>
              <w:t>Policy, and planning and monitoring and evaluation systems (PPMES)</w:t>
            </w:r>
          </w:p>
        </w:tc>
        <w:tc>
          <w:tcPr>
            <w:tcW w:w="994" w:type="dxa"/>
            <w:vAlign w:val="center"/>
          </w:tcPr>
          <w:p w14:paraId="1A1A5649"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986" w:type="dxa"/>
            <w:vAlign w:val="center"/>
          </w:tcPr>
          <w:p w14:paraId="7F6CF2ED"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990" w:type="dxa"/>
            <w:vAlign w:val="center"/>
          </w:tcPr>
          <w:p w14:paraId="11B06816"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990" w:type="dxa"/>
          </w:tcPr>
          <w:p w14:paraId="3795BC61"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080" w:type="dxa"/>
            <w:vAlign w:val="center"/>
          </w:tcPr>
          <w:p w14:paraId="0668AB69"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r>
      <w:tr w:rsidR="008D0CAD" w:rsidRPr="005A731E" w14:paraId="6D383C34" w14:textId="77777777" w:rsidTr="009C64E9">
        <w:trPr>
          <w:trHeight w:val="215"/>
        </w:trPr>
        <w:tc>
          <w:tcPr>
            <w:tcW w:w="4770" w:type="dxa"/>
          </w:tcPr>
          <w:p w14:paraId="0FB982F0" w14:textId="77777777" w:rsidR="008D0CAD" w:rsidRPr="005A731E" w:rsidRDefault="008D0CAD" w:rsidP="00DD08E3">
            <w:pPr>
              <w:numPr>
                <w:ilvl w:val="1"/>
                <w:numId w:val="81"/>
              </w:numPr>
              <w:autoSpaceDE w:val="0"/>
              <w:autoSpaceDN w:val="0"/>
              <w:adjustRightInd w:val="0"/>
              <w:spacing w:before="100" w:beforeAutospacing="1" w:after="100" w:afterAutospacing="1" w:line="360" w:lineRule="auto"/>
              <w:ind w:left="517" w:hanging="450"/>
              <w:rPr>
                <w:rFonts w:asciiTheme="majorHAnsi" w:eastAsiaTheme="minorHAnsi" w:hAnsiTheme="majorHAnsi" w:cstheme="majorHAnsi"/>
                <w:color w:val="000000"/>
                <w:sz w:val="16"/>
                <w:szCs w:val="16"/>
                <w:lang w:val="en-US"/>
              </w:rPr>
            </w:pPr>
            <w:r w:rsidRPr="005A731E">
              <w:rPr>
                <w:rFonts w:asciiTheme="majorHAnsi" w:eastAsiaTheme="minorHAnsi" w:hAnsiTheme="majorHAnsi" w:cstheme="majorHAnsi"/>
                <w:color w:val="000000"/>
                <w:sz w:val="16"/>
                <w:szCs w:val="16"/>
                <w:lang w:val="en-US"/>
              </w:rPr>
              <w:t>Unified information system and sub-systems (UISS)</w:t>
            </w:r>
          </w:p>
        </w:tc>
        <w:tc>
          <w:tcPr>
            <w:tcW w:w="994" w:type="dxa"/>
            <w:vAlign w:val="center"/>
          </w:tcPr>
          <w:p w14:paraId="5AE0ED0E"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986" w:type="dxa"/>
            <w:vAlign w:val="center"/>
          </w:tcPr>
          <w:p w14:paraId="01F310F3"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990" w:type="dxa"/>
            <w:vAlign w:val="center"/>
          </w:tcPr>
          <w:p w14:paraId="64DDEC1A"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990" w:type="dxa"/>
          </w:tcPr>
          <w:p w14:paraId="30B799A2"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080" w:type="dxa"/>
            <w:vAlign w:val="center"/>
          </w:tcPr>
          <w:p w14:paraId="0E8DB3D2"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r>
      <w:tr w:rsidR="008D0CAD" w:rsidRPr="005A731E" w14:paraId="5EEDEFCB" w14:textId="77777777" w:rsidTr="009C64E9">
        <w:trPr>
          <w:trHeight w:val="215"/>
        </w:trPr>
        <w:tc>
          <w:tcPr>
            <w:tcW w:w="4770" w:type="dxa"/>
          </w:tcPr>
          <w:p w14:paraId="216A8A95" w14:textId="77777777" w:rsidR="008D0CAD" w:rsidRPr="005A731E" w:rsidRDefault="008D0CAD" w:rsidP="00DD08E3">
            <w:pPr>
              <w:numPr>
                <w:ilvl w:val="1"/>
                <w:numId w:val="81"/>
              </w:numPr>
              <w:autoSpaceDE w:val="0"/>
              <w:autoSpaceDN w:val="0"/>
              <w:adjustRightInd w:val="0"/>
              <w:spacing w:before="100" w:beforeAutospacing="1" w:after="100" w:afterAutospacing="1" w:line="360" w:lineRule="auto"/>
              <w:ind w:left="517" w:hanging="450"/>
              <w:rPr>
                <w:rFonts w:asciiTheme="majorHAnsi" w:eastAsiaTheme="minorHAnsi" w:hAnsiTheme="majorHAnsi" w:cstheme="majorHAnsi"/>
                <w:color w:val="000000" w:themeColor="text1"/>
                <w:sz w:val="16"/>
                <w:szCs w:val="16"/>
                <w:lang w:val="en-US"/>
              </w:rPr>
            </w:pPr>
            <w:r w:rsidRPr="005A731E">
              <w:rPr>
                <w:rFonts w:asciiTheme="majorHAnsi" w:eastAsiaTheme="minorHAnsi" w:hAnsiTheme="majorHAnsi" w:cstheme="majorHAnsi"/>
                <w:color w:val="000000"/>
                <w:sz w:val="16"/>
                <w:szCs w:val="16"/>
                <w:lang w:val="en-US"/>
              </w:rPr>
              <w:t>Gender Responsive Basic Education</w:t>
            </w:r>
          </w:p>
        </w:tc>
        <w:tc>
          <w:tcPr>
            <w:tcW w:w="994" w:type="dxa"/>
            <w:vAlign w:val="center"/>
          </w:tcPr>
          <w:p w14:paraId="0F533AFE"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5A731E">
              <w:rPr>
                <w:rFonts w:asciiTheme="majorHAnsi" w:eastAsiaTheme="minorHAnsi" w:hAnsiTheme="majorHAnsi" w:cstheme="majorHAnsi"/>
                <w:color w:val="000000" w:themeColor="text1"/>
                <w:sz w:val="16"/>
                <w:szCs w:val="16"/>
                <w:lang w:val="en-US"/>
              </w:rPr>
              <w:t xml:space="preserve"> </w:t>
            </w:r>
          </w:p>
        </w:tc>
        <w:tc>
          <w:tcPr>
            <w:tcW w:w="986" w:type="dxa"/>
            <w:vAlign w:val="center"/>
          </w:tcPr>
          <w:p w14:paraId="070AD2FB"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5A731E">
              <w:rPr>
                <w:rFonts w:asciiTheme="majorHAnsi" w:eastAsiaTheme="minorHAnsi" w:hAnsiTheme="majorHAnsi" w:cstheme="majorHAnsi"/>
                <w:color w:val="000000" w:themeColor="text1"/>
                <w:sz w:val="16"/>
                <w:szCs w:val="16"/>
                <w:lang w:val="en-US"/>
              </w:rPr>
              <w:t xml:space="preserve"> </w:t>
            </w:r>
          </w:p>
        </w:tc>
        <w:tc>
          <w:tcPr>
            <w:tcW w:w="990" w:type="dxa"/>
            <w:vAlign w:val="center"/>
          </w:tcPr>
          <w:p w14:paraId="454C9D35"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5A731E">
              <w:rPr>
                <w:rFonts w:asciiTheme="majorHAnsi" w:eastAsiaTheme="minorHAnsi" w:hAnsiTheme="majorHAnsi" w:cstheme="majorHAnsi"/>
                <w:color w:val="000000" w:themeColor="text1"/>
                <w:sz w:val="16"/>
                <w:szCs w:val="16"/>
                <w:lang w:val="en-US"/>
              </w:rPr>
              <w:t xml:space="preserve"> </w:t>
            </w:r>
          </w:p>
        </w:tc>
        <w:tc>
          <w:tcPr>
            <w:tcW w:w="990" w:type="dxa"/>
          </w:tcPr>
          <w:p w14:paraId="2737D2AC"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080" w:type="dxa"/>
            <w:vAlign w:val="center"/>
          </w:tcPr>
          <w:p w14:paraId="2399D0DA"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5A731E">
              <w:rPr>
                <w:rFonts w:asciiTheme="majorHAnsi" w:eastAsiaTheme="minorHAnsi" w:hAnsiTheme="majorHAnsi" w:cstheme="majorHAnsi"/>
                <w:color w:val="000000" w:themeColor="text1"/>
                <w:sz w:val="16"/>
                <w:szCs w:val="16"/>
                <w:lang w:val="en-US"/>
              </w:rPr>
              <w:t xml:space="preserve"> </w:t>
            </w:r>
          </w:p>
        </w:tc>
      </w:tr>
      <w:tr w:rsidR="008D0CAD" w:rsidRPr="005A731E" w14:paraId="5B534790" w14:textId="77777777" w:rsidTr="009C64E9">
        <w:trPr>
          <w:trHeight w:val="215"/>
        </w:trPr>
        <w:tc>
          <w:tcPr>
            <w:tcW w:w="4770" w:type="dxa"/>
          </w:tcPr>
          <w:p w14:paraId="69152C37" w14:textId="77777777" w:rsidR="008D0CAD" w:rsidRPr="005A731E" w:rsidRDefault="008D0CAD" w:rsidP="00DD08E3">
            <w:pPr>
              <w:numPr>
                <w:ilvl w:val="1"/>
                <w:numId w:val="81"/>
              </w:numPr>
              <w:autoSpaceDE w:val="0"/>
              <w:autoSpaceDN w:val="0"/>
              <w:adjustRightInd w:val="0"/>
              <w:spacing w:before="100" w:beforeAutospacing="1" w:after="100" w:afterAutospacing="1" w:line="360" w:lineRule="auto"/>
              <w:ind w:left="517" w:hanging="450"/>
              <w:rPr>
                <w:rFonts w:asciiTheme="majorHAnsi" w:eastAsiaTheme="minorHAnsi" w:hAnsiTheme="majorHAnsi" w:cstheme="majorHAnsi"/>
                <w:color w:val="000000"/>
                <w:sz w:val="16"/>
                <w:szCs w:val="16"/>
                <w:lang w:val="en-US"/>
              </w:rPr>
            </w:pPr>
            <w:r w:rsidRPr="005A731E">
              <w:rPr>
                <w:rFonts w:asciiTheme="majorHAnsi" w:eastAsiaTheme="minorHAnsi" w:hAnsiTheme="majorHAnsi" w:cstheme="majorHAnsi"/>
                <w:color w:val="000000"/>
                <w:sz w:val="16"/>
                <w:szCs w:val="16"/>
                <w:lang w:val="en-US"/>
              </w:rPr>
              <w:t>Inclusive Education</w:t>
            </w:r>
          </w:p>
        </w:tc>
        <w:tc>
          <w:tcPr>
            <w:tcW w:w="994" w:type="dxa"/>
            <w:vAlign w:val="center"/>
          </w:tcPr>
          <w:p w14:paraId="6C4E2247"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986" w:type="dxa"/>
            <w:vAlign w:val="center"/>
          </w:tcPr>
          <w:p w14:paraId="0C85F801"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990" w:type="dxa"/>
            <w:vAlign w:val="center"/>
          </w:tcPr>
          <w:p w14:paraId="0A87FBBC"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990" w:type="dxa"/>
          </w:tcPr>
          <w:p w14:paraId="1DD105B5"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080" w:type="dxa"/>
            <w:vAlign w:val="center"/>
          </w:tcPr>
          <w:p w14:paraId="76D4C33F"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r>
      <w:tr w:rsidR="008D0CAD" w:rsidRPr="005A731E" w14:paraId="381675FB" w14:textId="77777777" w:rsidTr="009C64E9">
        <w:trPr>
          <w:trHeight w:val="215"/>
        </w:trPr>
        <w:tc>
          <w:tcPr>
            <w:tcW w:w="4770" w:type="dxa"/>
          </w:tcPr>
          <w:p w14:paraId="24ED4CEF" w14:textId="77777777" w:rsidR="008D0CAD" w:rsidRPr="005A731E" w:rsidRDefault="008D0CAD" w:rsidP="00DD08E3">
            <w:pPr>
              <w:numPr>
                <w:ilvl w:val="1"/>
                <w:numId w:val="81"/>
              </w:numPr>
              <w:autoSpaceDE w:val="0"/>
              <w:autoSpaceDN w:val="0"/>
              <w:adjustRightInd w:val="0"/>
              <w:spacing w:before="100" w:beforeAutospacing="1" w:after="100" w:afterAutospacing="1" w:line="360" w:lineRule="auto"/>
              <w:ind w:left="517" w:hanging="450"/>
              <w:rPr>
                <w:rFonts w:asciiTheme="majorHAnsi" w:eastAsiaTheme="minorHAnsi" w:hAnsiTheme="majorHAnsi" w:cstheme="majorHAnsi"/>
                <w:color w:val="000000"/>
                <w:sz w:val="16"/>
                <w:szCs w:val="16"/>
                <w:lang w:val="en-US"/>
              </w:rPr>
            </w:pPr>
            <w:r w:rsidRPr="005A731E">
              <w:rPr>
                <w:rFonts w:asciiTheme="majorHAnsi" w:eastAsiaTheme="minorHAnsi" w:hAnsiTheme="majorHAnsi" w:cstheme="majorHAnsi"/>
                <w:color w:val="000000"/>
                <w:sz w:val="16"/>
                <w:szCs w:val="16"/>
                <w:lang w:val="en-US"/>
              </w:rPr>
              <w:t>Organisational Development (OD)</w:t>
            </w:r>
          </w:p>
        </w:tc>
        <w:tc>
          <w:tcPr>
            <w:tcW w:w="994" w:type="dxa"/>
            <w:vAlign w:val="center"/>
          </w:tcPr>
          <w:p w14:paraId="3EAD3CB3"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986" w:type="dxa"/>
            <w:vAlign w:val="center"/>
          </w:tcPr>
          <w:p w14:paraId="16FE6AA2"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990" w:type="dxa"/>
            <w:vAlign w:val="center"/>
          </w:tcPr>
          <w:p w14:paraId="394D86E5"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990" w:type="dxa"/>
          </w:tcPr>
          <w:p w14:paraId="6E3CC1F3"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080" w:type="dxa"/>
            <w:vAlign w:val="center"/>
          </w:tcPr>
          <w:p w14:paraId="2BE98169" w14:textId="77777777" w:rsidR="008D0CAD" w:rsidRPr="005A731E" w:rsidRDefault="008D0CAD" w:rsidP="005902F7">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r>
    </w:tbl>
    <w:p w14:paraId="50B8FA0C" w14:textId="77777777" w:rsidR="008D0CAD" w:rsidRDefault="008D0CAD" w:rsidP="005902F7">
      <w:pPr>
        <w:spacing w:before="100" w:beforeAutospacing="1" w:after="100" w:afterAutospacing="1" w:line="360" w:lineRule="auto"/>
        <w:rPr>
          <w:rFonts w:asciiTheme="majorHAnsi" w:hAnsiTheme="majorHAnsi" w:cstheme="majorHAnsi"/>
        </w:rPr>
      </w:pPr>
    </w:p>
    <w:p w14:paraId="635D6C5C" w14:textId="3DE2AE85" w:rsidR="008D0CAD" w:rsidRPr="00FB2EFB" w:rsidRDefault="008D0CAD" w:rsidP="005902F7">
      <w:pPr>
        <w:pStyle w:val="Heading3"/>
        <w:pageBreakBefore/>
        <w:spacing w:before="100" w:beforeAutospacing="1" w:after="100" w:afterAutospacing="1" w:line="360" w:lineRule="auto"/>
        <w:rPr>
          <w:lang w:val="en-US"/>
        </w:rPr>
      </w:pPr>
      <w:bookmarkStart w:id="281" w:name="_Toc39938375"/>
      <w:bookmarkStart w:id="282" w:name="_Toc69820480"/>
      <w:r w:rsidRPr="00FB2EFB">
        <w:rPr>
          <w:lang w:val="en-US"/>
        </w:rPr>
        <w:t>Annex J-4.</w:t>
      </w:r>
      <w:r w:rsidR="00D434EB">
        <w:rPr>
          <w:lang w:val="en-US"/>
        </w:rPr>
        <w:t xml:space="preserve"> </w:t>
      </w:r>
      <w:r w:rsidRPr="00FB2EFB">
        <w:rPr>
          <w:lang w:val="en-US"/>
        </w:rPr>
        <w:t>Guide Questions for BEST Partner Organisation</w:t>
      </w:r>
      <w:bookmarkEnd w:id="281"/>
      <w:bookmarkEnd w:id="282"/>
    </w:p>
    <w:p w14:paraId="798D3930" w14:textId="3B998F4B" w:rsidR="008D0CAD" w:rsidRPr="005902F7" w:rsidRDefault="008D0CAD" w:rsidP="005902F7">
      <w:pPr>
        <w:spacing w:before="100" w:beforeAutospacing="1" w:after="100" w:afterAutospacing="1" w:line="360" w:lineRule="auto"/>
        <w:rPr>
          <w:rFonts w:asciiTheme="majorHAnsi" w:hAnsiTheme="majorHAnsi" w:cstheme="majorHAnsi"/>
          <w:i/>
          <w:color w:val="0070C0"/>
          <w:sz w:val="22"/>
          <w:szCs w:val="22"/>
          <w:lang w:val="en-US"/>
        </w:rPr>
      </w:pPr>
      <w:r w:rsidRPr="00FB2EFB">
        <w:rPr>
          <w:rFonts w:asciiTheme="majorHAnsi" w:hAnsiTheme="majorHAnsi" w:cstheme="majorHAnsi"/>
          <w:i/>
          <w:color w:val="0070C0"/>
          <w:sz w:val="22"/>
          <w:szCs w:val="22"/>
          <w:lang w:val="en-US"/>
        </w:rPr>
        <w:t>NOTE: Similar Guide Questions were used for the other BEST Partners but were revised depending on the Respondent.</w:t>
      </w:r>
      <w:r w:rsidR="00D434EB">
        <w:rPr>
          <w:rFonts w:asciiTheme="majorHAnsi" w:hAnsiTheme="majorHAnsi" w:cstheme="majorHAnsi"/>
          <w:i/>
          <w:color w:val="0070C0"/>
          <w:sz w:val="22"/>
          <w:szCs w:val="22"/>
          <w:lang w:val="en-US"/>
        </w:rPr>
        <w:t xml:space="preserve"> </w:t>
      </w:r>
      <w:r w:rsidRPr="00FB2EFB">
        <w:rPr>
          <w:rFonts w:asciiTheme="majorHAnsi" w:hAnsiTheme="majorHAnsi" w:cstheme="majorHAnsi"/>
          <w:i/>
          <w:color w:val="0070C0"/>
          <w:sz w:val="22"/>
          <w:szCs w:val="22"/>
          <w:lang w:val="en-US"/>
        </w:rPr>
        <w:t>This example is the guide questions for PBSP.</w:t>
      </w:r>
    </w:p>
    <w:p w14:paraId="2B9B092F" w14:textId="1D84C2C4" w:rsidR="008D0CAD" w:rsidRPr="005902F7" w:rsidRDefault="008D0CAD" w:rsidP="005902F7">
      <w:pPr>
        <w:spacing w:before="100" w:beforeAutospacing="1" w:after="100" w:afterAutospacing="1" w:line="360" w:lineRule="auto"/>
        <w:rPr>
          <w:rFonts w:asciiTheme="majorHAnsi" w:hAnsiTheme="majorHAnsi" w:cstheme="majorHAnsi"/>
          <w:b/>
          <w:color w:val="000000"/>
          <w:sz w:val="22"/>
          <w:szCs w:val="22"/>
          <w:lang w:val="en-US"/>
        </w:rPr>
      </w:pPr>
      <w:r w:rsidRPr="00FB2EFB">
        <w:rPr>
          <w:rFonts w:asciiTheme="majorHAnsi" w:hAnsiTheme="majorHAnsi" w:cstheme="majorHAnsi"/>
          <w:b/>
          <w:color w:val="000000"/>
          <w:sz w:val="22"/>
          <w:szCs w:val="22"/>
          <w:lang w:val="en-US"/>
        </w:rPr>
        <w:t>Respondents:</w:t>
      </w:r>
      <w:r w:rsidRPr="00FB2EFB">
        <w:rPr>
          <w:rFonts w:asciiTheme="majorHAnsi" w:hAnsiTheme="majorHAnsi" w:cstheme="majorHAnsi"/>
          <w:b/>
          <w:color w:val="000000"/>
          <w:sz w:val="22"/>
          <w:szCs w:val="22"/>
          <w:lang w:val="en-US"/>
        </w:rPr>
        <w:tab/>
      </w:r>
      <w:r w:rsidRPr="00FB2EFB">
        <w:rPr>
          <w:rFonts w:asciiTheme="majorHAnsi" w:hAnsiTheme="majorHAnsi" w:cstheme="majorHAnsi"/>
          <w:bCs/>
          <w:color w:val="000000"/>
          <w:sz w:val="22"/>
          <w:szCs w:val="22"/>
          <w:lang w:val="en-US"/>
        </w:rPr>
        <w:t xml:space="preserve">Philippine Business for Social Progress (PBSP); </w:t>
      </w:r>
      <w:r w:rsidRPr="00FB2EFB">
        <w:rPr>
          <w:rFonts w:asciiTheme="majorHAnsi" w:hAnsiTheme="majorHAnsi" w:cstheme="majorHAnsi"/>
          <w:bCs/>
          <w:sz w:val="22"/>
          <w:szCs w:val="22"/>
          <w:lang w:val="en-US"/>
        </w:rPr>
        <w:t>ACTRC; RCTQ and PBEd</w:t>
      </w:r>
    </w:p>
    <w:p w14:paraId="75BC24BE" w14:textId="77777777" w:rsidR="008D0CAD" w:rsidRPr="00FB2EFB" w:rsidRDefault="008D0CAD" w:rsidP="00DD08E3">
      <w:pPr>
        <w:widowControl w:val="0"/>
        <w:numPr>
          <w:ilvl w:val="0"/>
          <w:numId w:val="84"/>
        </w:numPr>
        <w:spacing w:before="100" w:beforeAutospacing="1" w:after="100" w:afterAutospacing="1" w:line="360" w:lineRule="auto"/>
        <w:contextualSpacing/>
        <w:rPr>
          <w:rFonts w:asciiTheme="majorHAnsi" w:hAnsiTheme="majorHAnsi" w:cstheme="majorHAnsi"/>
          <w:bCs/>
          <w:snapToGrid w:val="0"/>
          <w:sz w:val="20"/>
          <w:szCs w:val="20"/>
          <w:lang w:val="en-US"/>
        </w:rPr>
      </w:pPr>
      <w:r w:rsidRPr="00FB2EFB">
        <w:rPr>
          <w:rFonts w:asciiTheme="majorHAnsi" w:hAnsiTheme="majorHAnsi" w:cstheme="majorHAnsi"/>
          <w:bCs/>
          <w:snapToGrid w:val="0"/>
          <w:sz w:val="20"/>
          <w:szCs w:val="20"/>
          <w:lang w:val="en-US"/>
        </w:rPr>
        <w:t xml:space="preserve">Please describe the magnitude of the development problem (i.e., shortage of classrooms) that was existing before the program intervention started (5 or 6 years ago)? </w:t>
      </w:r>
    </w:p>
    <w:p w14:paraId="4DDA709A" w14:textId="77777777" w:rsidR="008D0CAD" w:rsidRPr="00FB2EFB" w:rsidRDefault="008D0CAD" w:rsidP="00DD08E3">
      <w:pPr>
        <w:widowControl w:val="0"/>
        <w:numPr>
          <w:ilvl w:val="1"/>
          <w:numId w:val="84"/>
        </w:numPr>
        <w:spacing w:before="100" w:beforeAutospacing="1" w:after="100" w:afterAutospacing="1" w:line="360" w:lineRule="auto"/>
        <w:contextualSpacing/>
        <w:rPr>
          <w:rFonts w:asciiTheme="majorHAnsi" w:hAnsiTheme="majorHAnsi" w:cstheme="majorHAnsi"/>
          <w:bCs/>
          <w:snapToGrid w:val="0"/>
          <w:sz w:val="20"/>
          <w:szCs w:val="20"/>
          <w:lang w:val="en-US"/>
        </w:rPr>
      </w:pPr>
      <w:r w:rsidRPr="00FB2EFB">
        <w:rPr>
          <w:rFonts w:asciiTheme="majorHAnsi" w:hAnsiTheme="majorHAnsi" w:cstheme="majorHAnsi"/>
          <w:bCs/>
          <w:snapToGrid w:val="0"/>
          <w:sz w:val="20"/>
          <w:szCs w:val="20"/>
          <w:lang w:val="en-US"/>
        </w:rPr>
        <w:t xml:space="preserve">Which regions/provinces had the most serious problem of classroom shortage? </w:t>
      </w:r>
    </w:p>
    <w:p w14:paraId="501EAD38" w14:textId="77777777" w:rsidR="008D0CAD" w:rsidRPr="00FB2EFB" w:rsidRDefault="008D0CAD" w:rsidP="00DD08E3">
      <w:pPr>
        <w:widowControl w:val="0"/>
        <w:numPr>
          <w:ilvl w:val="0"/>
          <w:numId w:val="84"/>
        </w:numPr>
        <w:spacing w:before="100" w:beforeAutospacing="1" w:after="100" w:afterAutospacing="1" w:line="360" w:lineRule="auto"/>
        <w:contextualSpacing/>
        <w:rPr>
          <w:rFonts w:asciiTheme="majorHAnsi" w:hAnsiTheme="majorHAnsi" w:cstheme="majorHAnsi"/>
          <w:bCs/>
          <w:snapToGrid w:val="0"/>
          <w:sz w:val="20"/>
          <w:szCs w:val="20"/>
          <w:lang w:val="en-US"/>
        </w:rPr>
      </w:pPr>
      <w:r w:rsidRPr="00FB2EFB">
        <w:rPr>
          <w:rFonts w:asciiTheme="majorHAnsi" w:hAnsiTheme="majorHAnsi" w:cstheme="majorHAnsi"/>
          <w:bCs/>
          <w:snapToGrid w:val="0"/>
          <w:sz w:val="20"/>
          <w:szCs w:val="20"/>
          <w:lang w:val="en-US"/>
        </w:rPr>
        <w:t xml:space="preserve">At that time, were there other donors/programs that were responding to this development gap? </w:t>
      </w:r>
    </w:p>
    <w:p w14:paraId="43E81F0D" w14:textId="0D1AF6FB" w:rsidR="008D0CAD" w:rsidRPr="00FB2EFB" w:rsidRDefault="008D0CAD" w:rsidP="00DD08E3">
      <w:pPr>
        <w:widowControl w:val="0"/>
        <w:numPr>
          <w:ilvl w:val="1"/>
          <w:numId w:val="84"/>
        </w:numPr>
        <w:spacing w:before="100" w:beforeAutospacing="1" w:after="100" w:afterAutospacing="1" w:line="360" w:lineRule="auto"/>
        <w:contextualSpacing/>
        <w:rPr>
          <w:rFonts w:asciiTheme="majorHAnsi" w:hAnsiTheme="majorHAnsi" w:cstheme="majorHAnsi"/>
          <w:bCs/>
          <w:snapToGrid w:val="0"/>
          <w:sz w:val="20"/>
          <w:szCs w:val="20"/>
          <w:lang w:val="en-US"/>
        </w:rPr>
      </w:pPr>
      <w:r w:rsidRPr="00FB2EFB">
        <w:rPr>
          <w:rFonts w:asciiTheme="majorHAnsi" w:hAnsiTheme="majorHAnsi" w:cstheme="majorHAnsi"/>
          <w:bCs/>
          <w:snapToGrid w:val="0"/>
          <w:sz w:val="20"/>
          <w:szCs w:val="20"/>
          <w:lang w:val="en-US"/>
        </w:rPr>
        <w:t>If yes, why were the interventions inadequate?</w:t>
      </w:r>
      <w:r w:rsidR="00D434EB">
        <w:rPr>
          <w:rFonts w:asciiTheme="majorHAnsi" w:hAnsiTheme="majorHAnsi" w:cstheme="majorHAnsi"/>
          <w:bCs/>
          <w:snapToGrid w:val="0"/>
          <w:sz w:val="20"/>
          <w:szCs w:val="20"/>
          <w:lang w:val="en-US"/>
        </w:rPr>
        <w:t xml:space="preserve"> </w:t>
      </w:r>
    </w:p>
    <w:p w14:paraId="3AFC0A2B" w14:textId="32C83C07" w:rsidR="008D0CAD" w:rsidRPr="00FB2EFB" w:rsidRDefault="008D0CAD" w:rsidP="00DD08E3">
      <w:pPr>
        <w:widowControl w:val="0"/>
        <w:numPr>
          <w:ilvl w:val="0"/>
          <w:numId w:val="84"/>
        </w:numPr>
        <w:spacing w:before="100" w:beforeAutospacing="1" w:after="100" w:afterAutospacing="1" w:line="360" w:lineRule="auto"/>
        <w:contextualSpacing/>
        <w:rPr>
          <w:rFonts w:asciiTheme="majorHAnsi" w:hAnsiTheme="majorHAnsi" w:cstheme="majorHAnsi"/>
          <w:bCs/>
          <w:snapToGrid w:val="0"/>
          <w:sz w:val="20"/>
          <w:szCs w:val="20"/>
          <w:lang w:val="en-US"/>
        </w:rPr>
      </w:pPr>
      <w:r w:rsidRPr="00FB2EFB">
        <w:rPr>
          <w:rFonts w:asciiTheme="majorHAnsi" w:hAnsiTheme="majorHAnsi" w:cstheme="majorHAnsi"/>
          <w:bCs/>
          <w:snapToGrid w:val="0"/>
          <w:sz w:val="20"/>
          <w:szCs w:val="20"/>
          <w:lang w:val="en-US"/>
        </w:rPr>
        <w:t>Please describe how the program on classroom construction was implemented?</w:t>
      </w:r>
      <w:r w:rsidR="00D434EB">
        <w:rPr>
          <w:rFonts w:asciiTheme="majorHAnsi" w:hAnsiTheme="majorHAnsi" w:cstheme="majorHAnsi"/>
          <w:bCs/>
          <w:snapToGrid w:val="0"/>
          <w:sz w:val="20"/>
          <w:szCs w:val="20"/>
          <w:lang w:val="en-US"/>
        </w:rPr>
        <w:t xml:space="preserve"> </w:t>
      </w:r>
      <w:r w:rsidRPr="00FB2EFB">
        <w:rPr>
          <w:rFonts w:asciiTheme="majorHAnsi" w:hAnsiTheme="majorHAnsi" w:cstheme="majorHAnsi"/>
          <w:bCs/>
          <w:snapToGrid w:val="0"/>
          <w:sz w:val="20"/>
          <w:szCs w:val="20"/>
          <w:lang w:val="en-US"/>
        </w:rPr>
        <w:t>What were the design elements of the classroom construction component of BEST?</w:t>
      </w:r>
    </w:p>
    <w:p w14:paraId="721EE24B" w14:textId="77777777" w:rsidR="008D0CAD" w:rsidRPr="00FB2EFB" w:rsidRDefault="008D0CAD" w:rsidP="00DD08E3">
      <w:pPr>
        <w:numPr>
          <w:ilvl w:val="1"/>
          <w:numId w:val="84"/>
        </w:numPr>
        <w:spacing w:before="100" w:beforeAutospacing="1" w:after="100" w:afterAutospacing="1" w:line="360" w:lineRule="auto"/>
        <w:contextualSpacing/>
        <w:rPr>
          <w:rFonts w:asciiTheme="majorHAnsi" w:hAnsiTheme="majorHAnsi" w:cstheme="majorHAnsi"/>
          <w:snapToGrid w:val="0"/>
          <w:sz w:val="20"/>
          <w:szCs w:val="20"/>
          <w:lang w:val="en-US"/>
        </w:rPr>
      </w:pPr>
      <w:r w:rsidRPr="00FB2EFB">
        <w:rPr>
          <w:rFonts w:asciiTheme="majorHAnsi" w:hAnsiTheme="majorHAnsi" w:cstheme="majorHAnsi"/>
          <w:snapToGrid w:val="0"/>
          <w:sz w:val="20"/>
          <w:szCs w:val="20"/>
          <w:lang w:val="en-US"/>
        </w:rPr>
        <w:t xml:space="preserve">How was it implemented? </w:t>
      </w:r>
    </w:p>
    <w:p w14:paraId="25DC4CCF" w14:textId="77777777" w:rsidR="008D0CAD" w:rsidRPr="00FB2EFB" w:rsidRDefault="008D0CAD" w:rsidP="00DD08E3">
      <w:pPr>
        <w:numPr>
          <w:ilvl w:val="1"/>
          <w:numId w:val="84"/>
        </w:numPr>
        <w:spacing w:before="100" w:beforeAutospacing="1" w:after="100" w:afterAutospacing="1" w:line="360" w:lineRule="auto"/>
        <w:contextualSpacing/>
        <w:rPr>
          <w:rFonts w:asciiTheme="majorHAnsi" w:hAnsiTheme="majorHAnsi" w:cstheme="majorHAnsi"/>
          <w:snapToGrid w:val="0"/>
          <w:sz w:val="20"/>
          <w:szCs w:val="20"/>
          <w:lang w:val="en-US"/>
        </w:rPr>
      </w:pPr>
      <w:r w:rsidRPr="00FB2EFB">
        <w:rPr>
          <w:rFonts w:asciiTheme="majorHAnsi" w:hAnsiTheme="majorHAnsi" w:cstheme="majorHAnsi"/>
          <w:snapToGrid w:val="0"/>
          <w:sz w:val="20"/>
          <w:szCs w:val="20"/>
          <w:lang w:val="en-US"/>
        </w:rPr>
        <w:t>How were the recipient schools selected?</w:t>
      </w:r>
    </w:p>
    <w:p w14:paraId="0F7B7AE4" w14:textId="77777777" w:rsidR="008D0CAD" w:rsidRPr="00FB2EFB" w:rsidRDefault="008D0CAD" w:rsidP="00DD08E3">
      <w:pPr>
        <w:numPr>
          <w:ilvl w:val="1"/>
          <w:numId w:val="84"/>
        </w:numPr>
        <w:spacing w:before="100" w:beforeAutospacing="1" w:after="100" w:afterAutospacing="1" w:line="360" w:lineRule="auto"/>
        <w:contextualSpacing/>
        <w:rPr>
          <w:rFonts w:asciiTheme="majorHAnsi" w:hAnsiTheme="majorHAnsi" w:cstheme="majorHAnsi"/>
          <w:snapToGrid w:val="0"/>
          <w:sz w:val="20"/>
          <w:szCs w:val="20"/>
          <w:lang w:val="en-US"/>
        </w:rPr>
      </w:pPr>
      <w:r w:rsidRPr="00FB2EFB">
        <w:rPr>
          <w:rFonts w:asciiTheme="majorHAnsi" w:hAnsiTheme="majorHAnsi" w:cstheme="majorHAnsi"/>
          <w:snapToGrid w:val="0"/>
          <w:sz w:val="20"/>
          <w:szCs w:val="20"/>
          <w:lang w:val="en-US"/>
        </w:rPr>
        <w:t>Are there specific guidelines from DEPED that provides the criteria for which schools should receive classroom assistance?</w:t>
      </w:r>
    </w:p>
    <w:p w14:paraId="0F264091" w14:textId="46B3BA53" w:rsidR="008D0CAD" w:rsidRPr="00FB2EFB" w:rsidRDefault="008D0CAD" w:rsidP="00DD08E3">
      <w:pPr>
        <w:numPr>
          <w:ilvl w:val="1"/>
          <w:numId w:val="84"/>
        </w:numPr>
        <w:spacing w:before="100" w:beforeAutospacing="1" w:after="100" w:afterAutospacing="1" w:line="360" w:lineRule="auto"/>
        <w:contextualSpacing/>
        <w:rPr>
          <w:rFonts w:asciiTheme="majorHAnsi" w:hAnsiTheme="majorHAnsi" w:cstheme="majorHAnsi"/>
          <w:snapToGrid w:val="0"/>
          <w:sz w:val="20"/>
          <w:szCs w:val="20"/>
          <w:lang w:val="en-US"/>
        </w:rPr>
      </w:pPr>
      <w:r w:rsidRPr="00FB2EFB">
        <w:rPr>
          <w:rFonts w:asciiTheme="majorHAnsi" w:hAnsiTheme="majorHAnsi" w:cstheme="majorHAnsi"/>
          <w:snapToGrid w:val="0"/>
          <w:sz w:val="20"/>
          <w:szCs w:val="20"/>
          <w:lang w:val="en-US"/>
        </w:rPr>
        <w:t>How was it monitored?</w:t>
      </w:r>
      <w:r w:rsidR="00D434EB">
        <w:rPr>
          <w:rFonts w:asciiTheme="majorHAnsi" w:hAnsiTheme="majorHAnsi" w:cstheme="majorHAnsi"/>
          <w:snapToGrid w:val="0"/>
          <w:sz w:val="20"/>
          <w:szCs w:val="20"/>
          <w:lang w:val="en-US"/>
        </w:rPr>
        <w:t xml:space="preserve"> </w:t>
      </w:r>
      <w:r w:rsidRPr="00FB2EFB">
        <w:rPr>
          <w:rFonts w:asciiTheme="majorHAnsi" w:hAnsiTheme="majorHAnsi" w:cstheme="majorHAnsi"/>
          <w:snapToGrid w:val="0"/>
          <w:sz w:val="20"/>
          <w:szCs w:val="20"/>
          <w:lang w:val="en-US"/>
        </w:rPr>
        <w:t>How was it reported?</w:t>
      </w:r>
    </w:p>
    <w:p w14:paraId="4987B5F2" w14:textId="77777777" w:rsidR="008D0CAD" w:rsidRPr="00FB2EFB" w:rsidRDefault="008D0CAD" w:rsidP="00DD08E3">
      <w:pPr>
        <w:numPr>
          <w:ilvl w:val="0"/>
          <w:numId w:val="84"/>
        </w:numPr>
        <w:spacing w:before="100" w:beforeAutospacing="1" w:after="100" w:afterAutospacing="1" w:line="360" w:lineRule="auto"/>
        <w:contextualSpacing/>
        <w:rPr>
          <w:rFonts w:asciiTheme="majorHAnsi" w:hAnsiTheme="majorHAnsi" w:cstheme="majorHAnsi"/>
          <w:snapToGrid w:val="0"/>
          <w:sz w:val="20"/>
          <w:szCs w:val="20"/>
          <w:lang w:val="en-US"/>
        </w:rPr>
      </w:pPr>
      <w:r w:rsidRPr="00FB2EFB">
        <w:rPr>
          <w:rFonts w:asciiTheme="majorHAnsi" w:hAnsiTheme="majorHAnsi" w:cstheme="majorHAnsi"/>
          <w:snapToGrid w:val="0"/>
          <w:sz w:val="20"/>
          <w:szCs w:val="20"/>
          <w:lang w:val="en-US"/>
        </w:rPr>
        <w:t xml:space="preserve">How was the classroom construction component </w:t>
      </w:r>
      <w:r w:rsidRPr="00FB2EFB">
        <w:rPr>
          <w:rFonts w:asciiTheme="majorHAnsi" w:hAnsiTheme="majorHAnsi" w:cstheme="majorHAnsi"/>
          <w:b/>
          <w:snapToGrid w:val="0"/>
          <w:sz w:val="20"/>
          <w:szCs w:val="20"/>
          <w:lang w:val="en-US"/>
        </w:rPr>
        <w:t>linked</w:t>
      </w:r>
      <w:r w:rsidRPr="00FB2EFB">
        <w:rPr>
          <w:rFonts w:asciiTheme="majorHAnsi" w:hAnsiTheme="majorHAnsi" w:cstheme="majorHAnsi"/>
          <w:snapToGrid w:val="0"/>
          <w:sz w:val="20"/>
          <w:szCs w:val="20"/>
          <w:lang w:val="en-US"/>
        </w:rPr>
        <w:t xml:space="preserve"> to the other components of the BEST Program, e.g. School-Based Management? </w:t>
      </w:r>
    </w:p>
    <w:p w14:paraId="765BD263" w14:textId="77777777" w:rsidR="008D0CAD" w:rsidRPr="00FB2EFB" w:rsidRDefault="008D0CAD" w:rsidP="00DD08E3">
      <w:pPr>
        <w:numPr>
          <w:ilvl w:val="0"/>
          <w:numId w:val="84"/>
        </w:numPr>
        <w:spacing w:before="100" w:beforeAutospacing="1" w:after="100" w:afterAutospacing="1" w:line="360" w:lineRule="auto"/>
        <w:contextualSpacing/>
        <w:rPr>
          <w:rFonts w:asciiTheme="majorHAnsi" w:hAnsiTheme="majorHAnsi" w:cstheme="majorHAnsi"/>
          <w:snapToGrid w:val="0"/>
          <w:sz w:val="20"/>
          <w:szCs w:val="20"/>
          <w:lang w:val="en-US"/>
        </w:rPr>
      </w:pPr>
      <w:r w:rsidRPr="00FB2EFB">
        <w:rPr>
          <w:rFonts w:asciiTheme="majorHAnsi" w:hAnsiTheme="majorHAnsi" w:cstheme="majorHAnsi"/>
          <w:snapToGrid w:val="0"/>
          <w:sz w:val="20"/>
          <w:szCs w:val="20"/>
          <w:lang w:val="en-US"/>
        </w:rPr>
        <w:t>How was the School Building Information System (SBIS) utilised during the implementation of the classroom construction component?</w:t>
      </w:r>
    </w:p>
    <w:p w14:paraId="3BA31920" w14:textId="77777777" w:rsidR="008D0CAD" w:rsidRPr="00FB2EFB" w:rsidRDefault="008D0CAD" w:rsidP="00DD08E3">
      <w:pPr>
        <w:numPr>
          <w:ilvl w:val="0"/>
          <w:numId w:val="84"/>
        </w:numPr>
        <w:spacing w:before="100" w:beforeAutospacing="1" w:after="100" w:afterAutospacing="1" w:line="360" w:lineRule="auto"/>
        <w:contextualSpacing/>
        <w:rPr>
          <w:rFonts w:asciiTheme="majorHAnsi" w:hAnsiTheme="majorHAnsi" w:cstheme="majorHAnsi"/>
          <w:snapToGrid w:val="0"/>
          <w:sz w:val="20"/>
          <w:szCs w:val="20"/>
          <w:lang w:val="en-US"/>
        </w:rPr>
      </w:pPr>
      <w:r w:rsidRPr="00FB2EFB">
        <w:rPr>
          <w:rFonts w:asciiTheme="majorHAnsi" w:hAnsiTheme="majorHAnsi" w:cstheme="majorHAnsi"/>
          <w:snapToGrid w:val="0"/>
          <w:sz w:val="20"/>
          <w:szCs w:val="20"/>
          <w:lang w:val="en-US"/>
        </w:rPr>
        <w:t xml:space="preserve">Is the School Building Information System (SBIS) a product of BEST? </w:t>
      </w:r>
    </w:p>
    <w:p w14:paraId="7B07AF85" w14:textId="77777777" w:rsidR="008D0CAD" w:rsidRPr="00FB2EFB" w:rsidRDefault="008D0CAD" w:rsidP="00DD08E3">
      <w:pPr>
        <w:numPr>
          <w:ilvl w:val="0"/>
          <w:numId w:val="84"/>
        </w:numPr>
        <w:spacing w:before="100" w:beforeAutospacing="1" w:after="100" w:afterAutospacing="1" w:line="360" w:lineRule="auto"/>
        <w:contextualSpacing/>
        <w:rPr>
          <w:rFonts w:asciiTheme="majorHAnsi" w:hAnsiTheme="majorHAnsi" w:cstheme="majorHAnsi"/>
          <w:snapToGrid w:val="0"/>
          <w:sz w:val="20"/>
          <w:szCs w:val="20"/>
          <w:lang w:val="en-US"/>
        </w:rPr>
      </w:pPr>
      <w:r w:rsidRPr="00FB2EFB">
        <w:rPr>
          <w:rFonts w:asciiTheme="majorHAnsi" w:hAnsiTheme="majorHAnsi" w:cstheme="majorHAnsi"/>
          <w:bCs/>
          <w:snapToGrid w:val="0"/>
          <w:sz w:val="20"/>
          <w:szCs w:val="20"/>
          <w:lang w:val="en-US"/>
        </w:rPr>
        <w:t>Please describe the classrooms constructed:</w:t>
      </w:r>
    </w:p>
    <w:p w14:paraId="70E58BC8" w14:textId="77777777" w:rsidR="008D0CAD" w:rsidRPr="00FB2EFB" w:rsidRDefault="008D0CAD" w:rsidP="00DD08E3">
      <w:pPr>
        <w:widowControl w:val="0"/>
        <w:numPr>
          <w:ilvl w:val="1"/>
          <w:numId w:val="84"/>
        </w:numPr>
        <w:spacing w:before="100" w:beforeAutospacing="1" w:after="100" w:afterAutospacing="1" w:line="360" w:lineRule="auto"/>
        <w:contextualSpacing/>
        <w:rPr>
          <w:rFonts w:asciiTheme="majorHAnsi" w:hAnsiTheme="majorHAnsi" w:cstheme="majorHAnsi"/>
          <w:snapToGrid w:val="0"/>
          <w:color w:val="000000"/>
          <w:sz w:val="20"/>
          <w:szCs w:val="20"/>
          <w:lang w:val="en-US"/>
        </w:rPr>
      </w:pPr>
      <w:r w:rsidRPr="00FB2EFB">
        <w:rPr>
          <w:rFonts w:asciiTheme="majorHAnsi" w:hAnsiTheme="majorHAnsi" w:cstheme="majorHAnsi"/>
          <w:snapToGrid w:val="0"/>
          <w:color w:val="000000"/>
          <w:sz w:val="20"/>
          <w:szCs w:val="20"/>
          <w:lang w:val="en-US"/>
        </w:rPr>
        <w:t>To what extent were the classrooms constructed appropriate to the context of the school sites to address specific learning issues (e.g. with Muslim students)? Please provide evidence.</w:t>
      </w:r>
    </w:p>
    <w:p w14:paraId="31306B46" w14:textId="77FFDD90" w:rsidR="008D0CAD" w:rsidRPr="00FB2EFB" w:rsidRDefault="008D0CAD" w:rsidP="00DD08E3">
      <w:pPr>
        <w:widowControl w:val="0"/>
        <w:numPr>
          <w:ilvl w:val="1"/>
          <w:numId w:val="84"/>
        </w:numPr>
        <w:spacing w:before="100" w:beforeAutospacing="1" w:after="100" w:afterAutospacing="1" w:line="360" w:lineRule="auto"/>
        <w:contextualSpacing/>
        <w:rPr>
          <w:rFonts w:asciiTheme="majorHAnsi" w:hAnsiTheme="majorHAnsi" w:cstheme="majorHAnsi"/>
          <w:snapToGrid w:val="0"/>
          <w:sz w:val="20"/>
          <w:szCs w:val="20"/>
          <w:lang w:val="en-US"/>
        </w:rPr>
      </w:pPr>
      <w:r w:rsidRPr="00FB2EFB">
        <w:rPr>
          <w:rFonts w:asciiTheme="majorHAnsi" w:hAnsiTheme="majorHAnsi" w:cstheme="majorHAnsi"/>
          <w:snapToGrid w:val="0"/>
          <w:sz w:val="20"/>
          <w:szCs w:val="20"/>
          <w:lang w:val="en-US"/>
        </w:rPr>
        <w:t xml:space="preserve">To what extent did the </w:t>
      </w:r>
      <w:r w:rsidRPr="00FB2EFB">
        <w:rPr>
          <w:rFonts w:asciiTheme="majorHAnsi" w:hAnsiTheme="majorHAnsi" w:cstheme="majorHAnsi"/>
          <w:snapToGrid w:val="0"/>
          <w:color w:val="000000"/>
          <w:sz w:val="20"/>
          <w:szCs w:val="20"/>
          <w:lang w:val="en-US"/>
        </w:rPr>
        <w:t xml:space="preserve">classrooms constructed </w:t>
      </w:r>
      <w:r w:rsidRPr="00FB2EFB">
        <w:rPr>
          <w:rFonts w:asciiTheme="majorHAnsi" w:hAnsiTheme="majorHAnsi" w:cstheme="majorHAnsi"/>
          <w:bCs/>
          <w:snapToGrid w:val="0"/>
          <w:sz w:val="20"/>
          <w:szCs w:val="20"/>
          <w:lang w:val="en-US"/>
        </w:rPr>
        <w:t>enhance the delivery of gender and Inclusive Education</w:t>
      </w:r>
      <w:r w:rsidRPr="00FB2EFB">
        <w:rPr>
          <w:rFonts w:asciiTheme="majorHAnsi" w:hAnsiTheme="majorHAnsi" w:cstheme="majorHAnsi"/>
          <w:snapToGrid w:val="0"/>
          <w:sz w:val="20"/>
          <w:szCs w:val="20"/>
          <w:lang w:val="en-US"/>
        </w:rPr>
        <w:t>?</w:t>
      </w:r>
      <w:r w:rsidR="00D434EB">
        <w:rPr>
          <w:rFonts w:asciiTheme="majorHAnsi" w:hAnsiTheme="majorHAnsi" w:cstheme="majorHAnsi"/>
          <w:snapToGrid w:val="0"/>
          <w:sz w:val="20"/>
          <w:szCs w:val="20"/>
          <w:lang w:val="en-US"/>
        </w:rPr>
        <w:t xml:space="preserve"> </w:t>
      </w:r>
      <w:r w:rsidRPr="00FB2EFB">
        <w:rPr>
          <w:rFonts w:asciiTheme="majorHAnsi" w:hAnsiTheme="majorHAnsi" w:cstheme="majorHAnsi"/>
          <w:snapToGrid w:val="0"/>
          <w:sz w:val="20"/>
          <w:szCs w:val="20"/>
          <w:lang w:val="en-US"/>
        </w:rPr>
        <w:t>Please cite specific examples.</w:t>
      </w:r>
    </w:p>
    <w:p w14:paraId="29901A66" w14:textId="77777777" w:rsidR="008D0CAD" w:rsidRPr="00FB2EFB" w:rsidRDefault="008D0CAD" w:rsidP="00DD08E3">
      <w:pPr>
        <w:widowControl w:val="0"/>
        <w:numPr>
          <w:ilvl w:val="1"/>
          <w:numId w:val="84"/>
        </w:numPr>
        <w:spacing w:before="100" w:beforeAutospacing="1" w:after="100" w:afterAutospacing="1" w:line="360" w:lineRule="auto"/>
        <w:contextualSpacing/>
        <w:rPr>
          <w:rFonts w:asciiTheme="majorHAnsi" w:hAnsiTheme="majorHAnsi" w:cstheme="majorHAnsi"/>
          <w:snapToGrid w:val="0"/>
          <w:sz w:val="20"/>
          <w:szCs w:val="20"/>
          <w:lang w:val="en-US"/>
        </w:rPr>
      </w:pPr>
      <w:r w:rsidRPr="00FB2EFB">
        <w:rPr>
          <w:rFonts w:asciiTheme="majorHAnsi" w:hAnsiTheme="majorHAnsi" w:cstheme="majorHAnsi"/>
          <w:snapToGrid w:val="0"/>
          <w:color w:val="000000"/>
          <w:sz w:val="20"/>
          <w:szCs w:val="20"/>
          <w:lang w:val="en-US"/>
        </w:rPr>
        <w:t>To what extent were the classrooms constructed consistent with the DFAT disability and gender specifications? Please provide evidence.</w:t>
      </w:r>
    </w:p>
    <w:p w14:paraId="185176DA" w14:textId="77777777" w:rsidR="008D0CAD" w:rsidRPr="00FB2EFB" w:rsidRDefault="008D0CAD" w:rsidP="00DD08E3">
      <w:pPr>
        <w:widowControl w:val="0"/>
        <w:numPr>
          <w:ilvl w:val="1"/>
          <w:numId w:val="84"/>
        </w:numPr>
        <w:spacing w:before="100" w:beforeAutospacing="1" w:after="100" w:afterAutospacing="1" w:line="360" w:lineRule="auto"/>
        <w:contextualSpacing/>
        <w:rPr>
          <w:rFonts w:asciiTheme="majorHAnsi" w:hAnsiTheme="majorHAnsi" w:cstheme="majorHAnsi"/>
          <w:snapToGrid w:val="0"/>
          <w:sz w:val="20"/>
          <w:szCs w:val="20"/>
          <w:lang w:val="en-US"/>
        </w:rPr>
      </w:pPr>
      <w:r w:rsidRPr="00FB2EFB">
        <w:rPr>
          <w:rFonts w:asciiTheme="majorHAnsi" w:hAnsiTheme="majorHAnsi" w:cstheme="majorHAnsi"/>
          <w:snapToGrid w:val="0"/>
          <w:color w:val="000000"/>
          <w:sz w:val="20"/>
          <w:szCs w:val="20"/>
          <w:lang w:val="en-US"/>
        </w:rPr>
        <w:t>To what extent were the selection of schools to be provided with classrooms consistency with the DFAT disability and gender specifications? Please provide evidence.</w:t>
      </w:r>
    </w:p>
    <w:p w14:paraId="08493ABA" w14:textId="77777777" w:rsidR="008D0CAD" w:rsidRPr="00FB2EFB" w:rsidRDefault="008D0CAD" w:rsidP="00DD08E3">
      <w:pPr>
        <w:widowControl w:val="0"/>
        <w:numPr>
          <w:ilvl w:val="0"/>
          <w:numId w:val="84"/>
        </w:numPr>
        <w:spacing w:before="100" w:beforeAutospacing="1" w:after="100" w:afterAutospacing="1" w:line="360" w:lineRule="auto"/>
        <w:contextualSpacing/>
        <w:rPr>
          <w:rFonts w:asciiTheme="majorHAnsi" w:hAnsiTheme="majorHAnsi" w:cstheme="majorHAnsi"/>
          <w:snapToGrid w:val="0"/>
          <w:sz w:val="20"/>
          <w:szCs w:val="20"/>
          <w:lang w:val="en-US"/>
        </w:rPr>
      </w:pPr>
      <w:r w:rsidRPr="00FB2EFB">
        <w:rPr>
          <w:rFonts w:asciiTheme="majorHAnsi" w:hAnsiTheme="majorHAnsi" w:cstheme="majorHAnsi"/>
          <w:bCs/>
          <w:snapToGrid w:val="0"/>
          <w:sz w:val="20"/>
          <w:szCs w:val="20"/>
          <w:lang w:val="en-US"/>
        </w:rPr>
        <w:t xml:space="preserve">What are the outcomes of </w:t>
      </w:r>
      <w:r w:rsidRPr="00FB2EFB">
        <w:rPr>
          <w:rFonts w:asciiTheme="majorHAnsi" w:hAnsiTheme="majorHAnsi" w:cstheme="majorHAnsi"/>
          <w:snapToGrid w:val="0"/>
          <w:sz w:val="20"/>
          <w:szCs w:val="20"/>
          <w:lang w:val="en-US"/>
        </w:rPr>
        <w:t>classroom construction</w:t>
      </w:r>
      <w:r w:rsidRPr="00FB2EFB">
        <w:rPr>
          <w:rFonts w:asciiTheme="majorHAnsi" w:hAnsiTheme="majorHAnsi" w:cstheme="majorHAnsi"/>
          <w:bCs/>
          <w:snapToGrid w:val="0"/>
          <w:sz w:val="20"/>
          <w:szCs w:val="20"/>
          <w:lang w:val="en-US"/>
        </w:rPr>
        <w:t xml:space="preserve">? </w:t>
      </w:r>
    </w:p>
    <w:p w14:paraId="7C5EA784" w14:textId="77777777" w:rsidR="008D0CAD" w:rsidRPr="00FB2EFB" w:rsidRDefault="008D0CAD" w:rsidP="00DD08E3">
      <w:pPr>
        <w:widowControl w:val="0"/>
        <w:numPr>
          <w:ilvl w:val="1"/>
          <w:numId w:val="84"/>
        </w:numPr>
        <w:spacing w:before="100" w:beforeAutospacing="1" w:after="100" w:afterAutospacing="1" w:line="360" w:lineRule="auto"/>
        <w:contextualSpacing/>
        <w:rPr>
          <w:rFonts w:asciiTheme="majorHAnsi" w:hAnsiTheme="majorHAnsi" w:cstheme="majorHAnsi"/>
          <w:snapToGrid w:val="0"/>
          <w:sz w:val="20"/>
          <w:szCs w:val="20"/>
          <w:lang w:val="en-US"/>
        </w:rPr>
      </w:pPr>
      <w:r w:rsidRPr="00FB2EFB">
        <w:rPr>
          <w:rFonts w:asciiTheme="majorHAnsi" w:hAnsiTheme="majorHAnsi" w:cstheme="majorHAnsi"/>
          <w:bCs/>
          <w:snapToGrid w:val="0"/>
          <w:sz w:val="20"/>
          <w:szCs w:val="20"/>
          <w:lang w:val="en-US"/>
        </w:rPr>
        <w:t>What were its targets? What are its accomplishments?</w:t>
      </w:r>
    </w:p>
    <w:p w14:paraId="564D6AC3" w14:textId="2DE3CE3B" w:rsidR="008D0CAD" w:rsidRPr="00FB2EFB" w:rsidRDefault="008D0CAD" w:rsidP="00DD08E3">
      <w:pPr>
        <w:widowControl w:val="0"/>
        <w:numPr>
          <w:ilvl w:val="0"/>
          <w:numId w:val="84"/>
        </w:numPr>
        <w:spacing w:before="100" w:beforeAutospacing="1" w:after="100" w:afterAutospacing="1" w:line="360" w:lineRule="auto"/>
        <w:ind w:left="357" w:hanging="357"/>
        <w:contextualSpacing/>
        <w:rPr>
          <w:rFonts w:asciiTheme="majorHAnsi" w:hAnsiTheme="majorHAnsi" w:cstheme="majorHAnsi"/>
          <w:snapToGrid w:val="0"/>
          <w:sz w:val="20"/>
          <w:szCs w:val="20"/>
          <w:lang w:val="en-US"/>
        </w:rPr>
      </w:pPr>
      <w:r w:rsidRPr="00FB2EFB">
        <w:rPr>
          <w:rFonts w:asciiTheme="majorHAnsi" w:hAnsiTheme="majorHAnsi" w:cstheme="majorHAnsi"/>
          <w:snapToGrid w:val="0"/>
          <w:sz w:val="20"/>
          <w:szCs w:val="20"/>
          <w:lang w:val="en-US"/>
        </w:rPr>
        <w:t xml:space="preserve">How does </w:t>
      </w:r>
      <w:r w:rsidRPr="00FB2EFB">
        <w:rPr>
          <w:rFonts w:asciiTheme="majorHAnsi" w:hAnsiTheme="majorHAnsi" w:cstheme="majorHAnsi"/>
          <w:snapToGrid w:val="0"/>
          <w:color w:val="000000"/>
          <w:sz w:val="20"/>
          <w:szCs w:val="20"/>
          <w:lang w:val="en-US"/>
        </w:rPr>
        <w:t>PBSP/Admin Services</w:t>
      </w:r>
      <w:r w:rsidRPr="00FB2EFB">
        <w:rPr>
          <w:rFonts w:asciiTheme="majorHAnsi" w:hAnsiTheme="majorHAnsi" w:cstheme="majorHAnsi"/>
          <w:snapToGrid w:val="0"/>
          <w:sz w:val="20"/>
          <w:szCs w:val="20"/>
          <w:lang w:val="en-US"/>
        </w:rPr>
        <w:t xml:space="preserve"> measure the success of classroom construction? What are its performance indicators?</w:t>
      </w:r>
      <w:r w:rsidR="00D434EB">
        <w:rPr>
          <w:rFonts w:asciiTheme="majorHAnsi" w:hAnsiTheme="majorHAnsi" w:cstheme="majorHAnsi"/>
          <w:snapToGrid w:val="0"/>
          <w:sz w:val="20"/>
          <w:szCs w:val="20"/>
          <w:lang w:val="en-US"/>
        </w:rPr>
        <w:t xml:space="preserve"> </w:t>
      </w:r>
      <w:r w:rsidRPr="00FB2EFB">
        <w:rPr>
          <w:rFonts w:asciiTheme="majorHAnsi" w:hAnsiTheme="majorHAnsi" w:cstheme="majorHAnsi"/>
          <w:snapToGrid w:val="0"/>
          <w:sz w:val="20"/>
          <w:szCs w:val="20"/>
          <w:lang w:val="en-US"/>
        </w:rPr>
        <w:t>Does it have baseline data?</w:t>
      </w:r>
    </w:p>
    <w:p w14:paraId="7305A5C2" w14:textId="77777777" w:rsidR="008D0CAD" w:rsidRPr="00FB2EFB" w:rsidRDefault="008D0CAD" w:rsidP="00DD08E3">
      <w:pPr>
        <w:numPr>
          <w:ilvl w:val="0"/>
          <w:numId w:val="84"/>
        </w:numPr>
        <w:spacing w:before="100" w:beforeAutospacing="1" w:after="100" w:afterAutospacing="1" w:line="360" w:lineRule="auto"/>
        <w:contextualSpacing/>
        <w:rPr>
          <w:rFonts w:asciiTheme="majorHAnsi" w:hAnsiTheme="majorHAnsi" w:cstheme="majorHAnsi"/>
          <w:snapToGrid w:val="0"/>
          <w:sz w:val="20"/>
          <w:szCs w:val="20"/>
          <w:lang w:val="en-US"/>
        </w:rPr>
      </w:pPr>
      <w:r w:rsidRPr="00FB2EFB">
        <w:rPr>
          <w:rFonts w:asciiTheme="majorHAnsi" w:hAnsiTheme="majorHAnsi" w:cstheme="majorHAnsi"/>
          <w:bCs/>
          <w:snapToGrid w:val="0"/>
          <w:sz w:val="20"/>
          <w:szCs w:val="20"/>
          <w:lang w:val="en-US"/>
        </w:rPr>
        <w:t xml:space="preserve">What were the </w:t>
      </w:r>
      <w:r w:rsidRPr="00FB2EFB">
        <w:rPr>
          <w:rFonts w:asciiTheme="majorHAnsi" w:eastAsiaTheme="minorEastAsia" w:hAnsiTheme="majorHAnsi" w:cstheme="majorHAnsi"/>
          <w:snapToGrid w:val="0"/>
          <w:color w:val="000000" w:themeColor="text1"/>
          <w:sz w:val="20"/>
          <w:szCs w:val="20"/>
        </w:rPr>
        <w:t>hindering and facilitating factors in the implementation of the classroom construction under the BEST Program</w:t>
      </w:r>
      <w:r w:rsidRPr="00FB2EFB">
        <w:rPr>
          <w:rFonts w:asciiTheme="majorHAnsi" w:hAnsiTheme="majorHAnsi" w:cstheme="majorHAnsi"/>
          <w:bCs/>
          <w:snapToGrid w:val="0"/>
          <w:sz w:val="20"/>
          <w:szCs w:val="20"/>
          <w:lang w:val="en-US"/>
        </w:rPr>
        <w:t>?</w:t>
      </w:r>
    </w:p>
    <w:p w14:paraId="3AB50B66" w14:textId="77777777" w:rsidR="008D0CAD" w:rsidRPr="00FB2EFB" w:rsidRDefault="008D0CAD" w:rsidP="00DD08E3">
      <w:pPr>
        <w:numPr>
          <w:ilvl w:val="0"/>
          <w:numId w:val="84"/>
        </w:numPr>
        <w:spacing w:before="100" w:beforeAutospacing="1" w:after="100" w:afterAutospacing="1" w:line="360" w:lineRule="auto"/>
        <w:contextualSpacing/>
        <w:rPr>
          <w:rFonts w:asciiTheme="majorHAnsi" w:hAnsiTheme="majorHAnsi" w:cstheme="majorHAnsi"/>
          <w:snapToGrid w:val="0"/>
          <w:sz w:val="20"/>
          <w:szCs w:val="20"/>
          <w:lang w:val="en-US"/>
        </w:rPr>
      </w:pPr>
      <w:r w:rsidRPr="00FB2EFB">
        <w:rPr>
          <w:rFonts w:asciiTheme="majorHAnsi" w:hAnsiTheme="majorHAnsi" w:cstheme="majorHAnsi"/>
          <w:snapToGrid w:val="0"/>
          <w:sz w:val="20"/>
          <w:szCs w:val="20"/>
          <w:lang w:val="en-US"/>
        </w:rPr>
        <w:t xml:space="preserve">How were lessons from the implementation of the classroom constructed inform policy and practice of DEPED? Please cite specific examples. </w:t>
      </w:r>
    </w:p>
    <w:p w14:paraId="4E830EB6" w14:textId="705EEE6D" w:rsidR="008D0CAD" w:rsidRPr="00FB2EFB" w:rsidRDefault="008D0CAD" w:rsidP="00DD08E3">
      <w:pPr>
        <w:numPr>
          <w:ilvl w:val="0"/>
          <w:numId w:val="84"/>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FB2EFB">
        <w:rPr>
          <w:rFonts w:asciiTheme="majorHAnsi" w:hAnsiTheme="majorHAnsi" w:cstheme="majorHAnsi"/>
          <w:bCs/>
          <w:snapToGrid w:val="0"/>
          <w:sz w:val="20"/>
          <w:szCs w:val="20"/>
          <w:lang w:val="en-US"/>
        </w:rPr>
        <w:t>What is the likelihood that the classrooms constructed will be maintained after the end of the BEST Program?</w:t>
      </w:r>
      <w:r w:rsidR="00D434EB">
        <w:rPr>
          <w:rFonts w:asciiTheme="majorHAnsi" w:hAnsiTheme="majorHAnsi" w:cstheme="majorHAnsi"/>
          <w:bCs/>
          <w:snapToGrid w:val="0"/>
          <w:sz w:val="20"/>
          <w:szCs w:val="20"/>
          <w:lang w:val="en-US"/>
        </w:rPr>
        <w:t xml:space="preserve"> </w:t>
      </w:r>
      <w:r w:rsidRPr="00FB2EFB">
        <w:rPr>
          <w:rFonts w:asciiTheme="majorHAnsi" w:hAnsiTheme="majorHAnsi" w:cstheme="majorHAnsi"/>
          <w:snapToGrid w:val="0"/>
          <w:color w:val="000000" w:themeColor="text1"/>
          <w:sz w:val="20"/>
          <w:szCs w:val="20"/>
          <w:lang w:val="en-US"/>
        </w:rPr>
        <w:t>Please cite specific evidence.</w:t>
      </w:r>
    </w:p>
    <w:p w14:paraId="14D840F9" w14:textId="77777777" w:rsidR="008D0CAD" w:rsidRPr="00FB2EFB" w:rsidRDefault="008D0CAD" w:rsidP="00DD08E3">
      <w:pPr>
        <w:numPr>
          <w:ilvl w:val="0"/>
          <w:numId w:val="84"/>
        </w:numPr>
        <w:spacing w:before="100" w:beforeAutospacing="1" w:after="100" w:afterAutospacing="1" w:line="360" w:lineRule="auto"/>
        <w:contextualSpacing/>
        <w:rPr>
          <w:rFonts w:asciiTheme="majorHAnsi" w:hAnsiTheme="majorHAnsi" w:cstheme="majorHAnsi"/>
          <w:snapToGrid w:val="0"/>
          <w:sz w:val="20"/>
          <w:szCs w:val="20"/>
          <w:lang w:val="en-US"/>
        </w:rPr>
      </w:pPr>
      <w:r w:rsidRPr="00FB2EFB">
        <w:rPr>
          <w:rFonts w:asciiTheme="majorHAnsi" w:hAnsiTheme="majorHAnsi" w:cstheme="majorHAnsi"/>
          <w:snapToGrid w:val="0"/>
          <w:sz w:val="20"/>
          <w:szCs w:val="20"/>
          <w:lang w:val="en-US"/>
        </w:rPr>
        <w:t>What recommendations can you give to further enhance the classroom construction component after 2019 or the end of the BEST Program? Will there be another project to continue this intervention?</w:t>
      </w:r>
    </w:p>
    <w:p w14:paraId="474156AA" w14:textId="77777777" w:rsidR="008D0CAD" w:rsidRPr="00FB2EFB" w:rsidRDefault="008D0CAD" w:rsidP="005902F7">
      <w:pPr>
        <w:spacing w:before="100" w:beforeAutospacing="1" w:after="100" w:afterAutospacing="1" w:line="360" w:lineRule="auto"/>
        <w:rPr>
          <w:rFonts w:asciiTheme="majorHAnsi" w:hAnsiTheme="majorHAnsi" w:cstheme="majorHAnsi"/>
          <w:b/>
          <w:color w:val="000000" w:themeColor="text1"/>
          <w:sz w:val="20"/>
          <w:szCs w:val="20"/>
          <w:lang w:val="en-US"/>
        </w:rPr>
      </w:pPr>
      <w:r w:rsidRPr="00FB2EFB">
        <w:rPr>
          <w:rFonts w:asciiTheme="majorHAnsi" w:hAnsiTheme="majorHAnsi" w:cstheme="majorHAnsi"/>
          <w:color w:val="000000" w:themeColor="text1"/>
          <w:sz w:val="20"/>
          <w:szCs w:val="20"/>
          <w:lang w:val="en-US"/>
        </w:rPr>
        <w:t>-</w:t>
      </w:r>
      <w:r w:rsidRPr="00FB2EFB">
        <w:rPr>
          <w:rFonts w:asciiTheme="majorHAnsi" w:hAnsiTheme="majorHAnsi" w:cstheme="majorHAnsi"/>
          <w:b/>
          <w:color w:val="000000" w:themeColor="text1"/>
          <w:sz w:val="20"/>
          <w:szCs w:val="20"/>
          <w:lang w:val="en-US"/>
        </w:rPr>
        <w:t>End of Questions-</w:t>
      </w:r>
    </w:p>
    <w:p w14:paraId="220999F6" w14:textId="77777777" w:rsidR="008D0CAD" w:rsidRDefault="008D0CAD" w:rsidP="005902F7">
      <w:pPr>
        <w:spacing w:before="100" w:beforeAutospacing="1" w:after="100" w:afterAutospacing="1" w:line="360" w:lineRule="auto"/>
        <w:rPr>
          <w:rFonts w:asciiTheme="majorHAnsi" w:hAnsiTheme="majorHAnsi" w:cstheme="majorHAnsi"/>
        </w:rPr>
      </w:pPr>
    </w:p>
    <w:p w14:paraId="65644011" w14:textId="77777777" w:rsidR="008D0CAD" w:rsidRDefault="008D0CAD" w:rsidP="002320B3">
      <w:pPr>
        <w:rPr>
          <w:rFonts w:asciiTheme="majorHAnsi" w:hAnsiTheme="majorHAnsi" w:cstheme="majorHAnsi"/>
        </w:rPr>
        <w:sectPr w:rsidR="008D0CAD" w:rsidSect="009C64E9">
          <w:pgSz w:w="11900" w:h="16840"/>
          <w:pgMar w:top="1440" w:right="1440" w:bottom="1440" w:left="1440" w:header="720" w:footer="720" w:gutter="0"/>
          <w:cols w:space="720"/>
          <w:docGrid w:linePitch="360"/>
        </w:sectPr>
      </w:pPr>
    </w:p>
    <w:p w14:paraId="1D45F980" w14:textId="6A7A4420" w:rsidR="008D0CAD" w:rsidRPr="005902F7" w:rsidRDefault="008D0CAD" w:rsidP="005902F7">
      <w:pPr>
        <w:pStyle w:val="Heading2"/>
        <w:numPr>
          <w:ilvl w:val="0"/>
          <w:numId w:val="0"/>
        </w:numPr>
        <w:spacing w:before="100" w:beforeAutospacing="1" w:after="100" w:afterAutospacing="1" w:line="360" w:lineRule="auto"/>
        <w:ind w:left="1288" w:hanging="720"/>
      </w:pPr>
      <w:bookmarkStart w:id="283" w:name="_Toc39938376"/>
      <w:bookmarkStart w:id="284" w:name="_Toc69820481"/>
      <w:r w:rsidRPr="00C63262">
        <w:t>Annex K. FGD Respondents</w:t>
      </w:r>
      <w:bookmarkEnd w:id="283"/>
      <w:bookmarkEnd w:id="284"/>
    </w:p>
    <w:p w14:paraId="20815C39" w14:textId="77777777" w:rsidR="008D0CAD" w:rsidRPr="00C63262" w:rsidRDefault="008D0CAD" w:rsidP="005902F7">
      <w:pPr>
        <w:spacing w:before="100" w:beforeAutospacing="1" w:after="100" w:afterAutospacing="1" w:line="360" w:lineRule="auto"/>
        <w:rPr>
          <w:rFonts w:asciiTheme="majorHAnsi" w:hAnsiTheme="majorHAnsi" w:cstheme="majorHAnsi"/>
          <w:color w:val="0070C0"/>
          <w:lang w:val="en-US"/>
        </w:rPr>
      </w:pPr>
      <w:r w:rsidRPr="00C63262">
        <w:rPr>
          <w:rFonts w:asciiTheme="majorHAnsi" w:hAnsiTheme="majorHAnsi" w:cstheme="majorHAnsi"/>
          <w:b/>
          <w:color w:val="0070C0"/>
          <w:sz w:val="20"/>
          <w:szCs w:val="20"/>
          <w:lang w:val="en-US"/>
        </w:rPr>
        <w:t>NATIONAL CAPITAL REGION (NCR)</w:t>
      </w:r>
    </w:p>
    <w:tbl>
      <w:tblPr>
        <w:tblStyle w:val="TableGrid8"/>
        <w:tblW w:w="9288" w:type="dxa"/>
        <w:tblLook w:val="04A0" w:firstRow="1" w:lastRow="0" w:firstColumn="1" w:lastColumn="0" w:noHBand="0" w:noVBand="1"/>
      </w:tblPr>
      <w:tblGrid>
        <w:gridCol w:w="921"/>
        <w:gridCol w:w="2743"/>
        <w:gridCol w:w="2505"/>
        <w:gridCol w:w="993"/>
        <w:gridCol w:w="2126"/>
      </w:tblGrid>
      <w:tr w:rsidR="002D4883" w:rsidRPr="00C63262" w14:paraId="7EAE3178" w14:textId="77777777" w:rsidTr="007846B1">
        <w:trPr>
          <w:trHeight w:val="300"/>
          <w:tblHeader/>
        </w:trPr>
        <w:tc>
          <w:tcPr>
            <w:tcW w:w="921" w:type="dxa"/>
            <w:tcBorders>
              <w:bottom w:val="single" w:sz="4" w:space="0" w:color="auto"/>
            </w:tcBorders>
          </w:tcPr>
          <w:p w14:paraId="552A010B" w14:textId="085E4987" w:rsidR="002D4883" w:rsidRPr="00C63262" w:rsidRDefault="002D4883" w:rsidP="00FF4CA3">
            <w:pPr>
              <w:spacing w:before="100" w:beforeAutospacing="1" w:after="100" w:afterAutospacing="1" w:line="360" w:lineRule="auto"/>
              <w:rPr>
                <w:rFonts w:asciiTheme="majorHAnsi" w:hAnsiTheme="majorHAnsi" w:cstheme="majorHAnsi"/>
                <w:b/>
                <w:sz w:val="20"/>
                <w:szCs w:val="20"/>
                <w:lang w:val="en-US"/>
              </w:rPr>
            </w:pPr>
            <w:r w:rsidRPr="00C63262">
              <w:rPr>
                <w:rFonts w:asciiTheme="majorHAnsi" w:hAnsiTheme="majorHAnsi" w:cstheme="majorHAnsi"/>
                <w:b/>
                <w:sz w:val="20"/>
                <w:szCs w:val="20"/>
                <w:lang w:val="en-US"/>
              </w:rPr>
              <w:t>School ID</w:t>
            </w:r>
          </w:p>
        </w:tc>
        <w:tc>
          <w:tcPr>
            <w:tcW w:w="2743" w:type="dxa"/>
            <w:tcBorders>
              <w:bottom w:val="single" w:sz="4" w:space="0" w:color="auto"/>
            </w:tcBorders>
          </w:tcPr>
          <w:p w14:paraId="785C7E4C" w14:textId="1DFFF508" w:rsidR="002D4883" w:rsidRPr="00C63262" w:rsidRDefault="002D4883" w:rsidP="002D4883">
            <w:pPr>
              <w:spacing w:before="100" w:beforeAutospacing="1" w:after="100" w:afterAutospacing="1" w:line="360" w:lineRule="auto"/>
              <w:rPr>
                <w:rFonts w:asciiTheme="majorHAnsi" w:hAnsiTheme="majorHAnsi" w:cstheme="majorHAnsi"/>
                <w:b/>
                <w:color w:val="000000"/>
                <w:sz w:val="20"/>
                <w:szCs w:val="20"/>
                <w:lang w:val="en-US"/>
              </w:rPr>
            </w:pPr>
            <w:r w:rsidRPr="00C63262">
              <w:rPr>
                <w:rFonts w:asciiTheme="majorHAnsi" w:hAnsiTheme="majorHAnsi" w:cstheme="majorHAnsi"/>
                <w:b/>
                <w:color w:val="000000"/>
                <w:sz w:val="20"/>
                <w:szCs w:val="20"/>
                <w:lang w:val="en-US"/>
              </w:rPr>
              <w:t>Schools/Office</w:t>
            </w:r>
          </w:p>
        </w:tc>
        <w:tc>
          <w:tcPr>
            <w:tcW w:w="2505" w:type="dxa"/>
            <w:noWrap/>
            <w:hideMark/>
          </w:tcPr>
          <w:p w14:paraId="53932CAD" w14:textId="77777777" w:rsidR="002D4883" w:rsidRPr="00C63262" w:rsidRDefault="002D4883" w:rsidP="002D4883">
            <w:pPr>
              <w:spacing w:before="100" w:beforeAutospacing="1" w:after="100" w:afterAutospacing="1" w:line="360" w:lineRule="auto"/>
              <w:rPr>
                <w:rFonts w:asciiTheme="majorHAnsi" w:hAnsiTheme="majorHAnsi" w:cstheme="majorHAnsi"/>
                <w:b/>
                <w:color w:val="000000"/>
                <w:sz w:val="20"/>
                <w:szCs w:val="20"/>
                <w:lang w:val="en-US"/>
              </w:rPr>
            </w:pPr>
            <w:r w:rsidRPr="00C63262">
              <w:rPr>
                <w:rFonts w:asciiTheme="majorHAnsi" w:hAnsiTheme="majorHAnsi" w:cstheme="majorHAnsi"/>
                <w:b/>
                <w:color w:val="000000"/>
                <w:sz w:val="20"/>
                <w:szCs w:val="20"/>
                <w:lang w:val="en-US"/>
              </w:rPr>
              <w:t>Participants</w:t>
            </w:r>
          </w:p>
        </w:tc>
        <w:tc>
          <w:tcPr>
            <w:tcW w:w="993" w:type="dxa"/>
            <w:noWrap/>
            <w:hideMark/>
          </w:tcPr>
          <w:p w14:paraId="5025CAA1" w14:textId="77777777" w:rsidR="002D4883" w:rsidRPr="00C63262" w:rsidRDefault="002D4883" w:rsidP="002D4883">
            <w:pPr>
              <w:spacing w:before="100" w:beforeAutospacing="1" w:after="100" w:afterAutospacing="1" w:line="360" w:lineRule="auto"/>
              <w:rPr>
                <w:rFonts w:asciiTheme="majorHAnsi" w:hAnsiTheme="majorHAnsi" w:cstheme="majorHAnsi"/>
                <w:b/>
                <w:color w:val="000000"/>
                <w:sz w:val="20"/>
                <w:szCs w:val="20"/>
                <w:lang w:val="en-US"/>
              </w:rPr>
            </w:pPr>
            <w:r w:rsidRPr="00C63262">
              <w:rPr>
                <w:rFonts w:asciiTheme="majorHAnsi" w:hAnsiTheme="majorHAnsi" w:cstheme="majorHAnsi"/>
                <w:b/>
                <w:color w:val="000000"/>
                <w:sz w:val="20"/>
                <w:szCs w:val="20"/>
                <w:lang w:val="en-US"/>
              </w:rPr>
              <w:t>Sex</w:t>
            </w:r>
          </w:p>
        </w:tc>
        <w:tc>
          <w:tcPr>
            <w:tcW w:w="2126" w:type="dxa"/>
            <w:noWrap/>
            <w:hideMark/>
          </w:tcPr>
          <w:p w14:paraId="54DB5DE6" w14:textId="77777777" w:rsidR="002D4883" w:rsidRPr="00C63262" w:rsidRDefault="002D4883" w:rsidP="002D4883">
            <w:pPr>
              <w:spacing w:before="100" w:beforeAutospacing="1" w:after="100" w:afterAutospacing="1" w:line="360" w:lineRule="auto"/>
              <w:rPr>
                <w:rFonts w:asciiTheme="majorHAnsi" w:hAnsiTheme="majorHAnsi" w:cstheme="majorHAnsi"/>
                <w:b/>
                <w:color w:val="000000"/>
                <w:sz w:val="20"/>
                <w:szCs w:val="20"/>
                <w:lang w:val="en-US"/>
              </w:rPr>
            </w:pPr>
            <w:r w:rsidRPr="00C63262">
              <w:rPr>
                <w:rFonts w:asciiTheme="majorHAnsi" w:hAnsiTheme="majorHAnsi" w:cstheme="majorHAnsi"/>
                <w:b/>
                <w:color w:val="000000"/>
                <w:sz w:val="20"/>
                <w:szCs w:val="20"/>
                <w:lang w:val="en-US"/>
              </w:rPr>
              <w:t>Designation / Department</w:t>
            </w:r>
          </w:p>
        </w:tc>
      </w:tr>
      <w:tr w:rsidR="002D4883" w:rsidRPr="00C63262" w14:paraId="5843DA9F" w14:textId="77777777" w:rsidTr="00FF4CA3">
        <w:trPr>
          <w:trHeight w:val="60"/>
        </w:trPr>
        <w:tc>
          <w:tcPr>
            <w:tcW w:w="921" w:type="dxa"/>
            <w:tcBorders>
              <w:bottom w:val="nil"/>
            </w:tcBorders>
          </w:tcPr>
          <w:p w14:paraId="480FF61A" w14:textId="243769A1" w:rsidR="002D4883" w:rsidRPr="00C63262" w:rsidRDefault="002D4883" w:rsidP="00FF4CA3">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136539</w:t>
            </w:r>
          </w:p>
        </w:tc>
        <w:tc>
          <w:tcPr>
            <w:tcW w:w="2743" w:type="dxa"/>
            <w:tcBorders>
              <w:bottom w:val="nil"/>
            </w:tcBorders>
          </w:tcPr>
          <w:p w14:paraId="4463B26D" w14:textId="7F68068C" w:rsidR="002D4883" w:rsidRPr="00C63262" w:rsidRDefault="002D4883" w:rsidP="002D4883">
            <w:pPr>
              <w:widowControl w:val="0"/>
              <w:numPr>
                <w:ilvl w:val="0"/>
                <w:numId w:val="106"/>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Bagong Silang Elementary School</w:t>
            </w:r>
          </w:p>
        </w:tc>
        <w:tc>
          <w:tcPr>
            <w:tcW w:w="2505" w:type="dxa"/>
            <w:noWrap/>
            <w:hideMark/>
          </w:tcPr>
          <w:p w14:paraId="4947E5D7" w14:textId="77777777" w:rsidR="002D4883" w:rsidRPr="00C63262" w:rsidRDefault="002D4883" w:rsidP="002D4883">
            <w:pPr>
              <w:widowControl w:val="0"/>
              <w:numPr>
                <w:ilvl w:val="0"/>
                <w:numId w:val="105"/>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Ginalyn M. Mendoza</w:t>
            </w:r>
          </w:p>
        </w:tc>
        <w:tc>
          <w:tcPr>
            <w:tcW w:w="993" w:type="dxa"/>
            <w:noWrap/>
            <w:hideMark/>
          </w:tcPr>
          <w:p w14:paraId="66494F75" w14:textId="77777777" w:rsidR="002D4883" w:rsidRPr="00C63262" w:rsidRDefault="002D4883" w:rsidP="002D488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126" w:type="dxa"/>
            <w:noWrap/>
            <w:hideMark/>
          </w:tcPr>
          <w:p w14:paraId="257A19FE" w14:textId="77777777" w:rsidR="002D4883" w:rsidRPr="00C63262" w:rsidRDefault="002D4883" w:rsidP="002D488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2D4883" w:rsidRPr="00C63262" w14:paraId="799C60BF" w14:textId="77777777" w:rsidTr="00FF4CA3">
        <w:trPr>
          <w:trHeight w:val="60"/>
        </w:trPr>
        <w:tc>
          <w:tcPr>
            <w:tcW w:w="921" w:type="dxa"/>
            <w:tcBorders>
              <w:top w:val="nil"/>
              <w:bottom w:val="single" w:sz="4" w:space="0" w:color="auto"/>
            </w:tcBorders>
          </w:tcPr>
          <w:p w14:paraId="601F6B1D" w14:textId="77777777" w:rsidR="002D4883" w:rsidRPr="00C63262" w:rsidRDefault="002D4883" w:rsidP="00FF4CA3">
            <w:pPr>
              <w:spacing w:before="100" w:beforeAutospacing="1" w:after="100" w:afterAutospacing="1" w:line="360" w:lineRule="auto"/>
              <w:rPr>
                <w:rFonts w:asciiTheme="majorHAnsi" w:hAnsiTheme="majorHAnsi" w:cstheme="majorHAnsi"/>
                <w:sz w:val="20"/>
                <w:szCs w:val="20"/>
                <w:lang w:val="en-US"/>
              </w:rPr>
            </w:pPr>
          </w:p>
        </w:tc>
        <w:tc>
          <w:tcPr>
            <w:tcW w:w="2743" w:type="dxa"/>
            <w:tcBorders>
              <w:top w:val="nil"/>
              <w:bottom w:val="single" w:sz="4" w:space="0" w:color="auto"/>
            </w:tcBorders>
          </w:tcPr>
          <w:p w14:paraId="52BA9576" w14:textId="77777777" w:rsidR="002D4883" w:rsidRPr="00C63262" w:rsidRDefault="002D4883" w:rsidP="00FF4CA3">
            <w:pPr>
              <w:widowControl w:val="0"/>
              <w:spacing w:before="100" w:beforeAutospacing="1" w:after="100" w:afterAutospacing="1" w:line="360" w:lineRule="auto"/>
              <w:ind w:left="360"/>
              <w:rPr>
                <w:rFonts w:asciiTheme="majorHAnsi" w:hAnsiTheme="majorHAnsi" w:cstheme="majorHAnsi"/>
                <w:snapToGrid w:val="0"/>
                <w:color w:val="000000"/>
                <w:sz w:val="20"/>
                <w:szCs w:val="20"/>
                <w:lang w:val="en-US"/>
              </w:rPr>
            </w:pPr>
          </w:p>
        </w:tc>
        <w:tc>
          <w:tcPr>
            <w:tcW w:w="2505" w:type="dxa"/>
            <w:noWrap/>
            <w:hideMark/>
          </w:tcPr>
          <w:p w14:paraId="098A4C6C" w14:textId="77777777" w:rsidR="002D4883" w:rsidRPr="00C63262" w:rsidRDefault="002D4883" w:rsidP="002D4883">
            <w:pPr>
              <w:widowControl w:val="0"/>
              <w:numPr>
                <w:ilvl w:val="0"/>
                <w:numId w:val="105"/>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Jennifer O. Quintans</w:t>
            </w:r>
          </w:p>
        </w:tc>
        <w:tc>
          <w:tcPr>
            <w:tcW w:w="993" w:type="dxa"/>
            <w:noWrap/>
            <w:hideMark/>
          </w:tcPr>
          <w:p w14:paraId="19A28BC0" w14:textId="77777777" w:rsidR="002D4883" w:rsidRPr="00C63262" w:rsidRDefault="002D4883" w:rsidP="002D488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126" w:type="dxa"/>
            <w:noWrap/>
            <w:hideMark/>
          </w:tcPr>
          <w:p w14:paraId="0BD8074A" w14:textId="77777777" w:rsidR="002D4883" w:rsidRPr="00C63262" w:rsidRDefault="002D4883" w:rsidP="002D488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2D4883" w:rsidRPr="00C63262" w14:paraId="5F23F463" w14:textId="77777777" w:rsidTr="00FF4CA3">
        <w:trPr>
          <w:trHeight w:val="60"/>
        </w:trPr>
        <w:tc>
          <w:tcPr>
            <w:tcW w:w="921" w:type="dxa"/>
            <w:tcBorders>
              <w:bottom w:val="nil"/>
            </w:tcBorders>
          </w:tcPr>
          <w:p w14:paraId="60CF5B78" w14:textId="7CDC180E" w:rsidR="002D4883" w:rsidRPr="00C63262" w:rsidRDefault="002D4883" w:rsidP="00FF4CA3">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136552</w:t>
            </w:r>
          </w:p>
        </w:tc>
        <w:tc>
          <w:tcPr>
            <w:tcW w:w="2743" w:type="dxa"/>
            <w:tcBorders>
              <w:bottom w:val="nil"/>
            </w:tcBorders>
          </w:tcPr>
          <w:p w14:paraId="22C0ECD2" w14:textId="54D03679" w:rsidR="002D4883" w:rsidRPr="00C63262" w:rsidRDefault="002D4883" w:rsidP="002D4883">
            <w:pPr>
              <w:widowControl w:val="0"/>
              <w:numPr>
                <w:ilvl w:val="0"/>
                <w:numId w:val="106"/>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Bagumbayan Elementary School</w:t>
            </w:r>
          </w:p>
        </w:tc>
        <w:tc>
          <w:tcPr>
            <w:tcW w:w="2505" w:type="dxa"/>
            <w:noWrap/>
            <w:hideMark/>
          </w:tcPr>
          <w:p w14:paraId="79142508" w14:textId="77777777" w:rsidR="002D4883" w:rsidRPr="00C63262" w:rsidRDefault="002D4883" w:rsidP="002D4883">
            <w:pPr>
              <w:widowControl w:val="0"/>
              <w:numPr>
                <w:ilvl w:val="0"/>
                <w:numId w:val="105"/>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Zervie Grace A. Bagasbas</w:t>
            </w:r>
          </w:p>
        </w:tc>
        <w:tc>
          <w:tcPr>
            <w:tcW w:w="993" w:type="dxa"/>
            <w:noWrap/>
            <w:hideMark/>
          </w:tcPr>
          <w:p w14:paraId="14DD968D" w14:textId="77777777" w:rsidR="002D4883" w:rsidRPr="00C63262" w:rsidRDefault="002D4883" w:rsidP="002D488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126" w:type="dxa"/>
            <w:noWrap/>
            <w:hideMark/>
          </w:tcPr>
          <w:p w14:paraId="13E54F68" w14:textId="77777777" w:rsidR="002D4883" w:rsidRPr="00C63262" w:rsidRDefault="002D4883" w:rsidP="002D488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2D4883" w:rsidRPr="00C63262" w14:paraId="462BA39D" w14:textId="77777777" w:rsidTr="00FF4CA3">
        <w:trPr>
          <w:trHeight w:val="60"/>
        </w:trPr>
        <w:tc>
          <w:tcPr>
            <w:tcW w:w="921" w:type="dxa"/>
            <w:tcBorders>
              <w:top w:val="nil"/>
              <w:bottom w:val="single" w:sz="4" w:space="0" w:color="auto"/>
            </w:tcBorders>
          </w:tcPr>
          <w:p w14:paraId="0741CA45" w14:textId="77777777" w:rsidR="002D4883" w:rsidRPr="00C63262" w:rsidRDefault="002D4883" w:rsidP="00FF4CA3">
            <w:pPr>
              <w:spacing w:before="100" w:beforeAutospacing="1" w:after="100" w:afterAutospacing="1" w:line="360" w:lineRule="auto"/>
              <w:rPr>
                <w:rFonts w:asciiTheme="majorHAnsi" w:hAnsiTheme="majorHAnsi" w:cstheme="majorHAnsi"/>
                <w:sz w:val="20"/>
                <w:szCs w:val="20"/>
                <w:lang w:val="en-US"/>
              </w:rPr>
            </w:pPr>
          </w:p>
        </w:tc>
        <w:tc>
          <w:tcPr>
            <w:tcW w:w="2743" w:type="dxa"/>
            <w:tcBorders>
              <w:top w:val="nil"/>
              <w:bottom w:val="single" w:sz="4" w:space="0" w:color="auto"/>
            </w:tcBorders>
          </w:tcPr>
          <w:p w14:paraId="61264618" w14:textId="77777777" w:rsidR="002D4883" w:rsidRPr="00C63262" w:rsidRDefault="002D4883" w:rsidP="00FF4CA3">
            <w:pPr>
              <w:widowControl w:val="0"/>
              <w:spacing w:before="100" w:beforeAutospacing="1" w:after="100" w:afterAutospacing="1" w:line="360" w:lineRule="auto"/>
              <w:ind w:left="360"/>
              <w:rPr>
                <w:rFonts w:asciiTheme="majorHAnsi" w:hAnsiTheme="majorHAnsi" w:cstheme="majorHAnsi"/>
                <w:snapToGrid w:val="0"/>
                <w:color w:val="000000"/>
                <w:sz w:val="20"/>
                <w:szCs w:val="20"/>
                <w:lang w:val="en-US"/>
              </w:rPr>
            </w:pPr>
          </w:p>
        </w:tc>
        <w:tc>
          <w:tcPr>
            <w:tcW w:w="2505" w:type="dxa"/>
            <w:noWrap/>
            <w:hideMark/>
          </w:tcPr>
          <w:p w14:paraId="770DD399" w14:textId="77777777" w:rsidR="002D4883" w:rsidRPr="00C63262" w:rsidRDefault="002D4883" w:rsidP="002D4883">
            <w:pPr>
              <w:widowControl w:val="0"/>
              <w:numPr>
                <w:ilvl w:val="0"/>
                <w:numId w:val="105"/>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Selangan E. Hyldgard</w:t>
            </w:r>
          </w:p>
        </w:tc>
        <w:tc>
          <w:tcPr>
            <w:tcW w:w="993" w:type="dxa"/>
            <w:noWrap/>
            <w:hideMark/>
          </w:tcPr>
          <w:p w14:paraId="687B844C" w14:textId="77777777" w:rsidR="002D4883" w:rsidRPr="00C63262" w:rsidRDefault="002D4883" w:rsidP="002D488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 </w:t>
            </w:r>
          </w:p>
        </w:tc>
        <w:tc>
          <w:tcPr>
            <w:tcW w:w="2126" w:type="dxa"/>
            <w:noWrap/>
            <w:hideMark/>
          </w:tcPr>
          <w:p w14:paraId="658F5137" w14:textId="77777777" w:rsidR="002D4883" w:rsidRPr="00C63262" w:rsidRDefault="002D4883" w:rsidP="002D488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2D4883" w:rsidRPr="00C63262" w14:paraId="5568203C" w14:textId="77777777" w:rsidTr="00FF4CA3">
        <w:trPr>
          <w:trHeight w:val="300"/>
        </w:trPr>
        <w:tc>
          <w:tcPr>
            <w:tcW w:w="921" w:type="dxa"/>
            <w:tcBorders>
              <w:bottom w:val="nil"/>
            </w:tcBorders>
          </w:tcPr>
          <w:p w14:paraId="77546CFC" w14:textId="2293D7BC" w:rsidR="002D4883" w:rsidRPr="00C63262" w:rsidRDefault="002D4883" w:rsidP="00FF4CA3">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136483</w:t>
            </w:r>
          </w:p>
        </w:tc>
        <w:tc>
          <w:tcPr>
            <w:tcW w:w="2743" w:type="dxa"/>
            <w:tcBorders>
              <w:bottom w:val="nil"/>
            </w:tcBorders>
          </w:tcPr>
          <w:p w14:paraId="1EC2823B" w14:textId="52C6A57C" w:rsidR="002D4883" w:rsidRPr="00C63262" w:rsidRDefault="002D4883" w:rsidP="002D4883">
            <w:pPr>
              <w:widowControl w:val="0"/>
              <w:numPr>
                <w:ilvl w:val="0"/>
                <w:numId w:val="106"/>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Beata Elementary School</w:t>
            </w:r>
          </w:p>
        </w:tc>
        <w:tc>
          <w:tcPr>
            <w:tcW w:w="2505" w:type="dxa"/>
            <w:noWrap/>
            <w:hideMark/>
          </w:tcPr>
          <w:p w14:paraId="5165A70A" w14:textId="77777777" w:rsidR="002D4883" w:rsidRPr="00C63262" w:rsidRDefault="002D4883" w:rsidP="002D4883">
            <w:pPr>
              <w:widowControl w:val="0"/>
              <w:numPr>
                <w:ilvl w:val="0"/>
                <w:numId w:val="105"/>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Radimer F. Pajilagana</w:t>
            </w:r>
          </w:p>
        </w:tc>
        <w:tc>
          <w:tcPr>
            <w:tcW w:w="993" w:type="dxa"/>
            <w:noWrap/>
            <w:hideMark/>
          </w:tcPr>
          <w:p w14:paraId="43C600CD" w14:textId="77777777" w:rsidR="002D4883" w:rsidRPr="00C63262" w:rsidRDefault="002D4883" w:rsidP="002D488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M</w:t>
            </w:r>
          </w:p>
        </w:tc>
        <w:tc>
          <w:tcPr>
            <w:tcW w:w="2126" w:type="dxa"/>
            <w:noWrap/>
            <w:hideMark/>
          </w:tcPr>
          <w:p w14:paraId="1E198DF8" w14:textId="77777777" w:rsidR="002D4883" w:rsidRPr="00C63262" w:rsidRDefault="002D4883" w:rsidP="002D488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2D4883" w:rsidRPr="00C63262" w14:paraId="1AEBFA31" w14:textId="77777777" w:rsidTr="00FF4CA3">
        <w:trPr>
          <w:trHeight w:val="60"/>
        </w:trPr>
        <w:tc>
          <w:tcPr>
            <w:tcW w:w="921" w:type="dxa"/>
            <w:tcBorders>
              <w:top w:val="nil"/>
              <w:bottom w:val="nil"/>
            </w:tcBorders>
          </w:tcPr>
          <w:p w14:paraId="26ABA1F0" w14:textId="77777777" w:rsidR="002D4883" w:rsidRPr="00C63262" w:rsidRDefault="002D4883" w:rsidP="00FF4CA3">
            <w:pPr>
              <w:spacing w:before="100" w:beforeAutospacing="1" w:after="100" w:afterAutospacing="1" w:line="360" w:lineRule="auto"/>
              <w:rPr>
                <w:rFonts w:asciiTheme="majorHAnsi" w:hAnsiTheme="majorHAnsi" w:cstheme="majorHAnsi"/>
                <w:sz w:val="20"/>
                <w:szCs w:val="20"/>
                <w:lang w:val="en-US"/>
              </w:rPr>
            </w:pPr>
          </w:p>
        </w:tc>
        <w:tc>
          <w:tcPr>
            <w:tcW w:w="2743" w:type="dxa"/>
            <w:tcBorders>
              <w:top w:val="nil"/>
              <w:bottom w:val="nil"/>
            </w:tcBorders>
          </w:tcPr>
          <w:p w14:paraId="372C5B61" w14:textId="77777777" w:rsidR="002D4883" w:rsidRPr="00C63262" w:rsidRDefault="002D4883" w:rsidP="00FF4CA3">
            <w:pPr>
              <w:widowControl w:val="0"/>
              <w:spacing w:before="100" w:beforeAutospacing="1" w:after="100" w:afterAutospacing="1" w:line="360" w:lineRule="auto"/>
              <w:ind w:left="360"/>
              <w:rPr>
                <w:rFonts w:asciiTheme="majorHAnsi" w:hAnsiTheme="majorHAnsi" w:cstheme="majorHAnsi"/>
                <w:snapToGrid w:val="0"/>
                <w:color w:val="000000"/>
                <w:sz w:val="20"/>
                <w:szCs w:val="20"/>
                <w:lang w:val="en-US"/>
              </w:rPr>
            </w:pPr>
          </w:p>
        </w:tc>
        <w:tc>
          <w:tcPr>
            <w:tcW w:w="2505" w:type="dxa"/>
            <w:noWrap/>
            <w:hideMark/>
          </w:tcPr>
          <w:p w14:paraId="6EA2269B" w14:textId="77777777" w:rsidR="002D4883" w:rsidRPr="00C63262" w:rsidRDefault="002D4883" w:rsidP="002D4883">
            <w:pPr>
              <w:widowControl w:val="0"/>
              <w:numPr>
                <w:ilvl w:val="0"/>
                <w:numId w:val="105"/>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Sheila G. Tan</w:t>
            </w:r>
          </w:p>
        </w:tc>
        <w:tc>
          <w:tcPr>
            <w:tcW w:w="993" w:type="dxa"/>
            <w:noWrap/>
            <w:hideMark/>
          </w:tcPr>
          <w:p w14:paraId="5DB00091" w14:textId="77777777" w:rsidR="002D4883" w:rsidRPr="00C63262" w:rsidRDefault="002D4883" w:rsidP="002D488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126" w:type="dxa"/>
            <w:noWrap/>
            <w:hideMark/>
          </w:tcPr>
          <w:p w14:paraId="4412A90C" w14:textId="77777777" w:rsidR="002D4883" w:rsidRPr="00C63262" w:rsidRDefault="002D4883" w:rsidP="002D488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2D4883" w:rsidRPr="00C63262" w14:paraId="68122D3D" w14:textId="77777777" w:rsidTr="00FF4CA3">
        <w:trPr>
          <w:trHeight w:val="60"/>
        </w:trPr>
        <w:tc>
          <w:tcPr>
            <w:tcW w:w="921" w:type="dxa"/>
            <w:tcBorders>
              <w:top w:val="nil"/>
            </w:tcBorders>
          </w:tcPr>
          <w:p w14:paraId="59177A79" w14:textId="77777777" w:rsidR="002D4883" w:rsidRPr="00C63262" w:rsidRDefault="002D4883" w:rsidP="00FF4CA3">
            <w:pPr>
              <w:spacing w:before="100" w:beforeAutospacing="1" w:after="100" w:afterAutospacing="1" w:line="360" w:lineRule="auto"/>
              <w:rPr>
                <w:rFonts w:asciiTheme="majorHAnsi" w:hAnsiTheme="majorHAnsi" w:cstheme="majorHAnsi"/>
                <w:sz w:val="20"/>
                <w:szCs w:val="20"/>
                <w:lang w:val="en-US"/>
              </w:rPr>
            </w:pPr>
          </w:p>
        </w:tc>
        <w:tc>
          <w:tcPr>
            <w:tcW w:w="2743" w:type="dxa"/>
            <w:tcBorders>
              <w:top w:val="nil"/>
            </w:tcBorders>
          </w:tcPr>
          <w:p w14:paraId="4D8441C0" w14:textId="77777777" w:rsidR="002D4883" w:rsidRPr="00C63262" w:rsidRDefault="002D4883" w:rsidP="00FF4CA3">
            <w:pPr>
              <w:widowControl w:val="0"/>
              <w:spacing w:before="100" w:beforeAutospacing="1" w:after="100" w:afterAutospacing="1" w:line="360" w:lineRule="auto"/>
              <w:ind w:left="360"/>
              <w:rPr>
                <w:rFonts w:asciiTheme="majorHAnsi" w:hAnsiTheme="majorHAnsi" w:cstheme="majorHAnsi"/>
                <w:snapToGrid w:val="0"/>
                <w:color w:val="000000"/>
                <w:sz w:val="20"/>
                <w:szCs w:val="20"/>
                <w:lang w:val="en-US"/>
              </w:rPr>
            </w:pPr>
          </w:p>
        </w:tc>
        <w:tc>
          <w:tcPr>
            <w:tcW w:w="2505" w:type="dxa"/>
            <w:noWrap/>
            <w:hideMark/>
          </w:tcPr>
          <w:p w14:paraId="77E72D91" w14:textId="77777777" w:rsidR="002D4883" w:rsidRPr="00C63262" w:rsidRDefault="002D4883" w:rsidP="002D4883">
            <w:pPr>
              <w:widowControl w:val="0"/>
              <w:numPr>
                <w:ilvl w:val="0"/>
                <w:numId w:val="105"/>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Jenneth P. Salanga</w:t>
            </w:r>
          </w:p>
        </w:tc>
        <w:tc>
          <w:tcPr>
            <w:tcW w:w="993" w:type="dxa"/>
            <w:noWrap/>
            <w:hideMark/>
          </w:tcPr>
          <w:p w14:paraId="7ACBFF92" w14:textId="77777777" w:rsidR="002D4883" w:rsidRPr="00C63262" w:rsidRDefault="002D4883" w:rsidP="002D488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126" w:type="dxa"/>
            <w:noWrap/>
            <w:hideMark/>
          </w:tcPr>
          <w:p w14:paraId="7F187374" w14:textId="77777777" w:rsidR="002D4883" w:rsidRPr="00C63262" w:rsidRDefault="002D4883" w:rsidP="002D488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Principal</w:t>
            </w:r>
          </w:p>
        </w:tc>
      </w:tr>
      <w:tr w:rsidR="002D4883" w:rsidRPr="00C63262" w14:paraId="68CC46AB" w14:textId="77777777" w:rsidTr="00FF4CA3">
        <w:trPr>
          <w:trHeight w:val="60"/>
        </w:trPr>
        <w:tc>
          <w:tcPr>
            <w:tcW w:w="921" w:type="dxa"/>
            <w:tcBorders>
              <w:bottom w:val="single" w:sz="4" w:space="0" w:color="auto"/>
            </w:tcBorders>
          </w:tcPr>
          <w:p w14:paraId="67A5BCB6" w14:textId="1CC80A83" w:rsidR="002D4883" w:rsidRPr="00C63262" w:rsidRDefault="002D4883" w:rsidP="00FF4CA3">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136784</w:t>
            </w:r>
          </w:p>
        </w:tc>
        <w:tc>
          <w:tcPr>
            <w:tcW w:w="2743" w:type="dxa"/>
            <w:tcBorders>
              <w:bottom w:val="single" w:sz="4" w:space="0" w:color="auto"/>
            </w:tcBorders>
          </w:tcPr>
          <w:p w14:paraId="68444641" w14:textId="29C7649C" w:rsidR="002D4883" w:rsidRPr="00C63262" w:rsidRDefault="002D4883" w:rsidP="002D4883">
            <w:pPr>
              <w:widowControl w:val="0"/>
              <w:numPr>
                <w:ilvl w:val="0"/>
                <w:numId w:val="106"/>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Doña Manuela Elementary School</w:t>
            </w:r>
          </w:p>
        </w:tc>
        <w:tc>
          <w:tcPr>
            <w:tcW w:w="2505" w:type="dxa"/>
            <w:noWrap/>
            <w:hideMark/>
          </w:tcPr>
          <w:p w14:paraId="5C237EC1" w14:textId="77777777" w:rsidR="002D4883" w:rsidRPr="00C63262" w:rsidRDefault="002D4883" w:rsidP="002D4883">
            <w:pPr>
              <w:widowControl w:val="0"/>
              <w:numPr>
                <w:ilvl w:val="0"/>
                <w:numId w:val="105"/>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Esperanza S. Diana</w:t>
            </w:r>
          </w:p>
        </w:tc>
        <w:tc>
          <w:tcPr>
            <w:tcW w:w="993" w:type="dxa"/>
            <w:noWrap/>
            <w:hideMark/>
          </w:tcPr>
          <w:p w14:paraId="58C28701" w14:textId="77777777" w:rsidR="002D4883" w:rsidRPr="00C63262" w:rsidRDefault="002D4883" w:rsidP="002D488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126" w:type="dxa"/>
            <w:noWrap/>
            <w:hideMark/>
          </w:tcPr>
          <w:p w14:paraId="39C229D9" w14:textId="77777777" w:rsidR="002D4883" w:rsidRPr="00C63262" w:rsidRDefault="002D4883" w:rsidP="002D488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2D4883" w:rsidRPr="00C63262" w14:paraId="06BCF415" w14:textId="77777777" w:rsidTr="00FF4CA3">
        <w:trPr>
          <w:trHeight w:val="300"/>
        </w:trPr>
        <w:tc>
          <w:tcPr>
            <w:tcW w:w="921" w:type="dxa"/>
            <w:tcBorders>
              <w:bottom w:val="nil"/>
            </w:tcBorders>
          </w:tcPr>
          <w:p w14:paraId="4147F471" w14:textId="77777777" w:rsidR="002D4883" w:rsidRPr="00C63262" w:rsidRDefault="002D4883" w:rsidP="00FF4CA3">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 </w:t>
            </w:r>
          </w:p>
          <w:p w14:paraId="13419A44" w14:textId="00797D61" w:rsidR="002D4883" w:rsidRPr="00C63262" w:rsidRDefault="002D4883" w:rsidP="00FF4CA3">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 136439</w:t>
            </w:r>
          </w:p>
        </w:tc>
        <w:tc>
          <w:tcPr>
            <w:tcW w:w="2743" w:type="dxa"/>
            <w:tcBorders>
              <w:bottom w:val="nil"/>
            </w:tcBorders>
          </w:tcPr>
          <w:p w14:paraId="1BBBFE30" w14:textId="616B70FD" w:rsidR="002D4883" w:rsidRPr="00C63262" w:rsidRDefault="002D4883" w:rsidP="002D4883">
            <w:pPr>
              <w:widowControl w:val="0"/>
              <w:numPr>
                <w:ilvl w:val="0"/>
                <w:numId w:val="106"/>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Isabelo Delos Reyes Elementary School</w:t>
            </w:r>
          </w:p>
        </w:tc>
        <w:tc>
          <w:tcPr>
            <w:tcW w:w="2505" w:type="dxa"/>
            <w:noWrap/>
            <w:hideMark/>
          </w:tcPr>
          <w:p w14:paraId="52F648C0" w14:textId="77777777" w:rsidR="002D4883" w:rsidRPr="00C63262" w:rsidRDefault="002D4883" w:rsidP="002D4883">
            <w:pPr>
              <w:widowControl w:val="0"/>
              <w:numPr>
                <w:ilvl w:val="0"/>
                <w:numId w:val="105"/>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Maria Amihan L. Serra</w:t>
            </w:r>
          </w:p>
        </w:tc>
        <w:tc>
          <w:tcPr>
            <w:tcW w:w="993" w:type="dxa"/>
            <w:noWrap/>
            <w:hideMark/>
          </w:tcPr>
          <w:p w14:paraId="4D51D4DA" w14:textId="77777777" w:rsidR="002D4883" w:rsidRPr="00C63262" w:rsidRDefault="002D4883" w:rsidP="002D488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126" w:type="dxa"/>
            <w:noWrap/>
            <w:hideMark/>
          </w:tcPr>
          <w:p w14:paraId="575F86A3" w14:textId="77777777" w:rsidR="002D4883" w:rsidRPr="00C63262" w:rsidRDefault="002D4883" w:rsidP="002D488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2D4883" w:rsidRPr="00C63262" w14:paraId="139A949C" w14:textId="77777777" w:rsidTr="00FF4CA3">
        <w:trPr>
          <w:trHeight w:val="300"/>
        </w:trPr>
        <w:tc>
          <w:tcPr>
            <w:tcW w:w="921" w:type="dxa"/>
            <w:tcBorders>
              <w:top w:val="nil"/>
              <w:bottom w:val="single" w:sz="4" w:space="0" w:color="auto"/>
            </w:tcBorders>
          </w:tcPr>
          <w:p w14:paraId="1DD55E93" w14:textId="77777777" w:rsidR="002D4883" w:rsidRPr="00C63262" w:rsidRDefault="002D4883" w:rsidP="00FF4CA3">
            <w:pPr>
              <w:spacing w:before="100" w:beforeAutospacing="1" w:after="100" w:afterAutospacing="1" w:line="360" w:lineRule="auto"/>
              <w:rPr>
                <w:rFonts w:asciiTheme="majorHAnsi" w:hAnsiTheme="majorHAnsi" w:cstheme="majorHAnsi"/>
                <w:sz w:val="20"/>
                <w:szCs w:val="20"/>
                <w:lang w:val="en-US"/>
              </w:rPr>
            </w:pPr>
          </w:p>
        </w:tc>
        <w:tc>
          <w:tcPr>
            <w:tcW w:w="2743" w:type="dxa"/>
            <w:tcBorders>
              <w:top w:val="nil"/>
              <w:bottom w:val="single" w:sz="4" w:space="0" w:color="auto"/>
            </w:tcBorders>
          </w:tcPr>
          <w:p w14:paraId="15921A15" w14:textId="77777777" w:rsidR="002D4883" w:rsidRPr="00C63262" w:rsidRDefault="002D4883" w:rsidP="00FF4CA3">
            <w:pPr>
              <w:widowControl w:val="0"/>
              <w:spacing w:before="100" w:beforeAutospacing="1" w:after="100" w:afterAutospacing="1" w:line="360" w:lineRule="auto"/>
              <w:ind w:left="360"/>
              <w:rPr>
                <w:rFonts w:asciiTheme="majorHAnsi" w:hAnsiTheme="majorHAnsi" w:cstheme="majorHAnsi"/>
                <w:snapToGrid w:val="0"/>
                <w:color w:val="000000"/>
                <w:sz w:val="20"/>
                <w:szCs w:val="20"/>
                <w:lang w:val="en-US"/>
              </w:rPr>
            </w:pPr>
          </w:p>
        </w:tc>
        <w:tc>
          <w:tcPr>
            <w:tcW w:w="2505" w:type="dxa"/>
            <w:noWrap/>
            <w:hideMark/>
          </w:tcPr>
          <w:p w14:paraId="0EFAE23E" w14:textId="77777777" w:rsidR="002D4883" w:rsidRPr="00C63262" w:rsidRDefault="002D4883" w:rsidP="002D4883">
            <w:pPr>
              <w:widowControl w:val="0"/>
              <w:numPr>
                <w:ilvl w:val="0"/>
                <w:numId w:val="105"/>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Remedios V. Tumbagahin</w:t>
            </w:r>
          </w:p>
        </w:tc>
        <w:tc>
          <w:tcPr>
            <w:tcW w:w="993" w:type="dxa"/>
            <w:noWrap/>
            <w:hideMark/>
          </w:tcPr>
          <w:p w14:paraId="49C61155" w14:textId="77777777" w:rsidR="002D4883" w:rsidRPr="00C63262" w:rsidRDefault="002D4883" w:rsidP="002D488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126" w:type="dxa"/>
            <w:noWrap/>
            <w:hideMark/>
          </w:tcPr>
          <w:p w14:paraId="4E93B52E" w14:textId="77777777" w:rsidR="002D4883" w:rsidRPr="00C63262" w:rsidRDefault="002D4883" w:rsidP="002D488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Principal</w:t>
            </w:r>
          </w:p>
        </w:tc>
      </w:tr>
      <w:tr w:rsidR="002D4883" w:rsidRPr="00C63262" w14:paraId="62AE01E7" w14:textId="77777777" w:rsidTr="00FF4CA3">
        <w:trPr>
          <w:trHeight w:val="300"/>
        </w:trPr>
        <w:tc>
          <w:tcPr>
            <w:tcW w:w="921" w:type="dxa"/>
            <w:tcBorders>
              <w:bottom w:val="nil"/>
            </w:tcBorders>
          </w:tcPr>
          <w:p w14:paraId="4FCB9C0C" w14:textId="77777777" w:rsidR="002D4883" w:rsidRPr="00C63262" w:rsidRDefault="002D4883" w:rsidP="00FF4CA3">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 </w:t>
            </w:r>
          </w:p>
          <w:p w14:paraId="1F7CD092" w14:textId="512E5FD6" w:rsidR="002D4883" w:rsidRPr="00C63262" w:rsidRDefault="002D4883" w:rsidP="00FF4CA3">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 136440</w:t>
            </w:r>
          </w:p>
        </w:tc>
        <w:tc>
          <w:tcPr>
            <w:tcW w:w="2743" w:type="dxa"/>
            <w:tcBorders>
              <w:bottom w:val="nil"/>
            </w:tcBorders>
          </w:tcPr>
          <w:p w14:paraId="72244099" w14:textId="71DA7C37" w:rsidR="002D4883" w:rsidRPr="00C63262" w:rsidRDefault="002D4883" w:rsidP="002D4883">
            <w:pPr>
              <w:widowControl w:val="0"/>
              <w:numPr>
                <w:ilvl w:val="0"/>
                <w:numId w:val="106"/>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Jose Corazon De Jesus Elementary School</w:t>
            </w:r>
          </w:p>
        </w:tc>
        <w:tc>
          <w:tcPr>
            <w:tcW w:w="2505" w:type="dxa"/>
            <w:noWrap/>
            <w:hideMark/>
          </w:tcPr>
          <w:p w14:paraId="01749281" w14:textId="77777777" w:rsidR="002D4883" w:rsidRPr="00C63262" w:rsidRDefault="002D4883" w:rsidP="002D4883">
            <w:pPr>
              <w:widowControl w:val="0"/>
              <w:numPr>
                <w:ilvl w:val="0"/>
                <w:numId w:val="105"/>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Mary Rose N. Del Rosario</w:t>
            </w:r>
          </w:p>
        </w:tc>
        <w:tc>
          <w:tcPr>
            <w:tcW w:w="993" w:type="dxa"/>
            <w:noWrap/>
            <w:hideMark/>
          </w:tcPr>
          <w:p w14:paraId="7025073F" w14:textId="77777777" w:rsidR="002D4883" w:rsidRPr="00C63262" w:rsidRDefault="002D4883" w:rsidP="002D488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126" w:type="dxa"/>
            <w:noWrap/>
            <w:hideMark/>
          </w:tcPr>
          <w:p w14:paraId="5793F86B" w14:textId="77777777" w:rsidR="002D4883" w:rsidRPr="00C63262" w:rsidRDefault="002D4883" w:rsidP="002D488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2D4883" w:rsidRPr="00C63262" w14:paraId="1ADA7300" w14:textId="77777777" w:rsidTr="00FF4CA3">
        <w:trPr>
          <w:trHeight w:val="300"/>
        </w:trPr>
        <w:tc>
          <w:tcPr>
            <w:tcW w:w="921" w:type="dxa"/>
            <w:tcBorders>
              <w:top w:val="nil"/>
              <w:bottom w:val="single" w:sz="4" w:space="0" w:color="auto"/>
            </w:tcBorders>
          </w:tcPr>
          <w:p w14:paraId="0B8A846A" w14:textId="77777777" w:rsidR="002D4883" w:rsidRPr="00C63262" w:rsidRDefault="002D4883" w:rsidP="00FF4CA3">
            <w:pPr>
              <w:spacing w:before="100" w:beforeAutospacing="1" w:after="100" w:afterAutospacing="1" w:line="360" w:lineRule="auto"/>
              <w:rPr>
                <w:rFonts w:asciiTheme="majorHAnsi" w:hAnsiTheme="majorHAnsi" w:cstheme="majorHAnsi"/>
                <w:sz w:val="20"/>
                <w:szCs w:val="20"/>
                <w:lang w:val="en-US"/>
              </w:rPr>
            </w:pPr>
          </w:p>
        </w:tc>
        <w:tc>
          <w:tcPr>
            <w:tcW w:w="2743" w:type="dxa"/>
            <w:tcBorders>
              <w:top w:val="nil"/>
              <w:bottom w:val="single" w:sz="4" w:space="0" w:color="auto"/>
            </w:tcBorders>
          </w:tcPr>
          <w:p w14:paraId="7EC59C45" w14:textId="77777777" w:rsidR="002D4883" w:rsidRPr="00C63262" w:rsidRDefault="002D4883" w:rsidP="00FF4CA3">
            <w:pPr>
              <w:widowControl w:val="0"/>
              <w:spacing w:before="100" w:beforeAutospacing="1" w:after="100" w:afterAutospacing="1" w:line="360" w:lineRule="auto"/>
              <w:ind w:left="360"/>
              <w:rPr>
                <w:rFonts w:asciiTheme="majorHAnsi" w:hAnsiTheme="majorHAnsi" w:cstheme="majorHAnsi"/>
                <w:snapToGrid w:val="0"/>
                <w:color w:val="000000"/>
                <w:sz w:val="20"/>
                <w:szCs w:val="20"/>
                <w:lang w:val="en-US"/>
              </w:rPr>
            </w:pPr>
          </w:p>
        </w:tc>
        <w:tc>
          <w:tcPr>
            <w:tcW w:w="2505" w:type="dxa"/>
            <w:noWrap/>
            <w:hideMark/>
          </w:tcPr>
          <w:p w14:paraId="181164A0" w14:textId="77777777" w:rsidR="002D4883" w:rsidRPr="00C63262" w:rsidRDefault="002D4883" w:rsidP="002D4883">
            <w:pPr>
              <w:widowControl w:val="0"/>
              <w:numPr>
                <w:ilvl w:val="0"/>
                <w:numId w:val="105"/>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Jose B. Bustillo Jr.</w:t>
            </w:r>
          </w:p>
        </w:tc>
        <w:tc>
          <w:tcPr>
            <w:tcW w:w="993" w:type="dxa"/>
            <w:noWrap/>
            <w:hideMark/>
          </w:tcPr>
          <w:p w14:paraId="6E4DFAB4" w14:textId="77777777" w:rsidR="002D4883" w:rsidRPr="00C63262" w:rsidRDefault="002D4883" w:rsidP="002D488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M</w:t>
            </w:r>
          </w:p>
        </w:tc>
        <w:tc>
          <w:tcPr>
            <w:tcW w:w="2126" w:type="dxa"/>
            <w:noWrap/>
            <w:hideMark/>
          </w:tcPr>
          <w:p w14:paraId="4097CE84" w14:textId="77777777" w:rsidR="002D4883" w:rsidRPr="00C63262" w:rsidRDefault="002D4883" w:rsidP="002D488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Principal</w:t>
            </w:r>
          </w:p>
        </w:tc>
      </w:tr>
      <w:tr w:rsidR="002D4883" w:rsidRPr="00C63262" w14:paraId="07C7810F" w14:textId="77777777" w:rsidTr="00FF4CA3">
        <w:trPr>
          <w:trHeight w:val="300"/>
        </w:trPr>
        <w:tc>
          <w:tcPr>
            <w:tcW w:w="921" w:type="dxa"/>
            <w:tcBorders>
              <w:bottom w:val="nil"/>
            </w:tcBorders>
          </w:tcPr>
          <w:p w14:paraId="4C465663" w14:textId="7B1F741F" w:rsidR="002D4883" w:rsidRPr="00C63262" w:rsidRDefault="002D4883" w:rsidP="00FF4CA3">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136755</w:t>
            </w:r>
          </w:p>
        </w:tc>
        <w:tc>
          <w:tcPr>
            <w:tcW w:w="2743" w:type="dxa"/>
            <w:tcBorders>
              <w:bottom w:val="nil"/>
            </w:tcBorders>
          </w:tcPr>
          <w:p w14:paraId="2A26A10F" w14:textId="65DC2FCE" w:rsidR="002D4883" w:rsidRPr="00C63262" w:rsidRDefault="002D4883" w:rsidP="002D4883">
            <w:pPr>
              <w:widowControl w:val="0"/>
              <w:numPr>
                <w:ilvl w:val="0"/>
                <w:numId w:val="106"/>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Masville Elementary School</w:t>
            </w:r>
          </w:p>
        </w:tc>
        <w:tc>
          <w:tcPr>
            <w:tcW w:w="2505" w:type="dxa"/>
            <w:noWrap/>
            <w:hideMark/>
          </w:tcPr>
          <w:p w14:paraId="77451D96" w14:textId="77777777" w:rsidR="002D4883" w:rsidRPr="00C63262" w:rsidRDefault="002D4883" w:rsidP="002D4883">
            <w:pPr>
              <w:widowControl w:val="0"/>
              <w:numPr>
                <w:ilvl w:val="0"/>
                <w:numId w:val="105"/>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Chona O. Castor</w:t>
            </w:r>
          </w:p>
        </w:tc>
        <w:tc>
          <w:tcPr>
            <w:tcW w:w="993" w:type="dxa"/>
            <w:noWrap/>
            <w:hideMark/>
          </w:tcPr>
          <w:p w14:paraId="318CF0D0" w14:textId="77777777" w:rsidR="002D4883" w:rsidRPr="00C63262" w:rsidRDefault="002D4883" w:rsidP="002D488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126" w:type="dxa"/>
            <w:noWrap/>
            <w:hideMark/>
          </w:tcPr>
          <w:p w14:paraId="06FF3601" w14:textId="77777777" w:rsidR="002D4883" w:rsidRPr="00C63262" w:rsidRDefault="002D4883" w:rsidP="002D488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2D4883" w:rsidRPr="00C63262" w14:paraId="3957BF51" w14:textId="77777777" w:rsidTr="00FF4CA3">
        <w:trPr>
          <w:trHeight w:val="300"/>
        </w:trPr>
        <w:tc>
          <w:tcPr>
            <w:tcW w:w="921" w:type="dxa"/>
            <w:tcBorders>
              <w:top w:val="nil"/>
              <w:bottom w:val="single" w:sz="4" w:space="0" w:color="auto"/>
            </w:tcBorders>
          </w:tcPr>
          <w:p w14:paraId="2E3CE4EC" w14:textId="77777777" w:rsidR="002D4883" w:rsidRPr="00C63262" w:rsidRDefault="002D4883" w:rsidP="00FF4CA3">
            <w:pPr>
              <w:spacing w:before="100" w:beforeAutospacing="1" w:after="100" w:afterAutospacing="1" w:line="360" w:lineRule="auto"/>
              <w:rPr>
                <w:rFonts w:asciiTheme="majorHAnsi" w:hAnsiTheme="majorHAnsi" w:cstheme="majorHAnsi"/>
                <w:sz w:val="20"/>
                <w:szCs w:val="20"/>
                <w:lang w:val="en-US"/>
              </w:rPr>
            </w:pPr>
          </w:p>
        </w:tc>
        <w:tc>
          <w:tcPr>
            <w:tcW w:w="2743" w:type="dxa"/>
            <w:tcBorders>
              <w:top w:val="nil"/>
              <w:bottom w:val="single" w:sz="4" w:space="0" w:color="auto"/>
            </w:tcBorders>
          </w:tcPr>
          <w:p w14:paraId="0746CBF8" w14:textId="77777777" w:rsidR="002D4883" w:rsidRPr="00C63262" w:rsidRDefault="002D4883" w:rsidP="00FF4CA3">
            <w:pPr>
              <w:widowControl w:val="0"/>
              <w:spacing w:before="100" w:beforeAutospacing="1" w:after="100" w:afterAutospacing="1" w:line="360" w:lineRule="auto"/>
              <w:ind w:left="360"/>
              <w:rPr>
                <w:rFonts w:asciiTheme="majorHAnsi" w:hAnsiTheme="majorHAnsi" w:cstheme="majorHAnsi"/>
                <w:snapToGrid w:val="0"/>
                <w:color w:val="000000"/>
                <w:sz w:val="20"/>
                <w:szCs w:val="20"/>
                <w:lang w:val="en-US"/>
              </w:rPr>
            </w:pPr>
          </w:p>
        </w:tc>
        <w:tc>
          <w:tcPr>
            <w:tcW w:w="2505" w:type="dxa"/>
            <w:noWrap/>
            <w:hideMark/>
          </w:tcPr>
          <w:p w14:paraId="429213BD" w14:textId="77777777" w:rsidR="002D4883" w:rsidRPr="00C63262" w:rsidRDefault="002D4883" w:rsidP="002D4883">
            <w:pPr>
              <w:widowControl w:val="0"/>
              <w:numPr>
                <w:ilvl w:val="0"/>
                <w:numId w:val="105"/>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Augosto S. Tiualiga</w:t>
            </w:r>
          </w:p>
        </w:tc>
        <w:tc>
          <w:tcPr>
            <w:tcW w:w="993" w:type="dxa"/>
            <w:noWrap/>
            <w:hideMark/>
          </w:tcPr>
          <w:p w14:paraId="790C209C" w14:textId="77777777" w:rsidR="002D4883" w:rsidRPr="00C63262" w:rsidRDefault="002D4883" w:rsidP="002D488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126" w:type="dxa"/>
            <w:noWrap/>
            <w:hideMark/>
          </w:tcPr>
          <w:p w14:paraId="614BF08A" w14:textId="77777777" w:rsidR="002D4883" w:rsidRPr="00C63262" w:rsidRDefault="002D4883" w:rsidP="002D488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2D4883" w:rsidRPr="00C63262" w14:paraId="1ABF98CB" w14:textId="77777777" w:rsidTr="00FF4CA3">
        <w:trPr>
          <w:trHeight w:val="300"/>
        </w:trPr>
        <w:tc>
          <w:tcPr>
            <w:tcW w:w="921" w:type="dxa"/>
            <w:tcBorders>
              <w:bottom w:val="nil"/>
            </w:tcBorders>
          </w:tcPr>
          <w:p w14:paraId="363B0A7C" w14:textId="00B6D23C" w:rsidR="002D4883" w:rsidRPr="00C63262" w:rsidRDefault="002D4883" w:rsidP="00FF4CA3">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136537</w:t>
            </w:r>
          </w:p>
        </w:tc>
        <w:tc>
          <w:tcPr>
            <w:tcW w:w="2743" w:type="dxa"/>
            <w:tcBorders>
              <w:bottom w:val="nil"/>
            </w:tcBorders>
          </w:tcPr>
          <w:p w14:paraId="733CE777" w14:textId="4B22EC58" w:rsidR="002D4883" w:rsidRPr="00C63262" w:rsidRDefault="002D4883" w:rsidP="002D4883">
            <w:pPr>
              <w:widowControl w:val="0"/>
              <w:numPr>
                <w:ilvl w:val="0"/>
                <w:numId w:val="106"/>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North Fairview Elementary School</w:t>
            </w:r>
          </w:p>
        </w:tc>
        <w:tc>
          <w:tcPr>
            <w:tcW w:w="2505" w:type="dxa"/>
            <w:noWrap/>
            <w:hideMark/>
          </w:tcPr>
          <w:p w14:paraId="0E100F6A" w14:textId="77777777" w:rsidR="002D4883" w:rsidRPr="00C63262" w:rsidRDefault="002D4883" w:rsidP="002D4883">
            <w:pPr>
              <w:widowControl w:val="0"/>
              <w:numPr>
                <w:ilvl w:val="0"/>
                <w:numId w:val="105"/>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Sharon P. Cabardo</w:t>
            </w:r>
          </w:p>
        </w:tc>
        <w:tc>
          <w:tcPr>
            <w:tcW w:w="993" w:type="dxa"/>
            <w:noWrap/>
            <w:hideMark/>
          </w:tcPr>
          <w:p w14:paraId="192C0218" w14:textId="77777777" w:rsidR="002D4883" w:rsidRPr="00C63262" w:rsidRDefault="002D4883" w:rsidP="002D488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126" w:type="dxa"/>
            <w:noWrap/>
            <w:hideMark/>
          </w:tcPr>
          <w:p w14:paraId="4859091E" w14:textId="77777777" w:rsidR="002D4883" w:rsidRPr="00C63262" w:rsidRDefault="002D4883" w:rsidP="002D488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2D4883" w:rsidRPr="00C63262" w14:paraId="4C8A7582" w14:textId="77777777" w:rsidTr="00FF4CA3">
        <w:trPr>
          <w:trHeight w:val="300"/>
        </w:trPr>
        <w:tc>
          <w:tcPr>
            <w:tcW w:w="921" w:type="dxa"/>
            <w:tcBorders>
              <w:top w:val="nil"/>
              <w:bottom w:val="single" w:sz="4" w:space="0" w:color="auto"/>
            </w:tcBorders>
          </w:tcPr>
          <w:p w14:paraId="66325230" w14:textId="77777777" w:rsidR="002D4883" w:rsidRPr="00C63262" w:rsidRDefault="002D4883" w:rsidP="00FF4CA3">
            <w:pPr>
              <w:spacing w:before="100" w:beforeAutospacing="1" w:after="100" w:afterAutospacing="1" w:line="360" w:lineRule="auto"/>
              <w:rPr>
                <w:rFonts w:asciiTheme="majorHAnsi" w:hAnsiTheme="majorHAnsi" w:cstheme="majorHAnsi"/>
                <w:sz w:val="20"/>
                <w:szCs w:val="20"/>
                <w:lang w:val="en-US"/>
              </w:rPr>
            </w:pPr>
          </w:p>
        </w:tc>
        <w:tc>
          <w:tcPr>
            <w:tcW w:w="2743" w:type="dxa"/>
            <w:tcBorders>
              <w:top w:val="nil"/>
              <w:bottom w:val="single" w:sz="4" w:space="0" w:color="auto"/>
            </w:tcBorders>
          </w:tcPr>
          <w:p w14:paraId="0B138935" w14:textId="77777777" w:rsidR="002D4883" w:rsidRPr="00C63262" w:rsidRDefault="002D4883" w:rsidP="00FF4CA3">
            <w:pPr>
              <w:widowControl w:val="0"/>
              <w:spacing w:before="100" w:beforeAutospacing="1" w:after="100" w:afterAutospacing="1" w:line="360" w:lineRule="auto"/>
              <w:ind w:left="360"/>
              <w:rPr>
                <w:rFonts w:asciiTheme="majorHAnsi" w:hAnsiTheme="majorHAnsi" w:cstheme="majorHAnsi"/>
                <w:snapToGrid w:val="0"/>
                <w:color w:val="000000"/>
                <w:sz w:val="20"/>
                <w:szCs w:val="20"/>
                <w:lang w:val="en-US"/>
              </w:rPr>
            </w:pPr>
          </w:p>
        </w:tc>
        <w:tc>
          <w:tcPr>
            <w:tcW w:w="2505" w:type="dxa"/>
            <w:noWrap/>
            <w:hideMark/>
          </w:tcPr>
          <w:p w14:paraId="14414AE9" w14:textId="77777777" w:rsidR="002D4883" w:rsidRPr="00C63262" w:rsidRDefault="002D4883" w:rsidP="002D4883">
            <w:pPr>
              <w:widowControl w:val="0"/>
              <w:numPr>
                <w:ilvl w:val="0"/>
                <w:numId w:val="105"/>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Perlita P. Leabres</w:t>
            </w:r>
          </w:p>
        </w:tc>
        <w:tc>
          <w:tcPr>
            <w:tcW w:w="993" w:type="dxa"/>
            <w:noWrap/>
            <w:hideMark/>
          </w:tcPr>
          <w:p w14:paraId="27E39AA6" w14:textId="77777777" w:rsidR="002D4883" w:rsidRPr="00C63262" w:rsidRDefault="002D4883" w:rsidP="002D488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126" w:type="dxa"/>
            <w:noWrap/>
            <w:hideMark/>
          </w:tcPr>
          <w:p w14:paraId="61B08927" w14:textId="77777777" w:rsidR="002D4883" w:rsidRPr="00C63262" w:rsidRDefault="002D4883" w:rsidP="002D488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2D4883" w:rsidRPr="00C63262" w14:paraId="77C1948D" w14:textId="77777777" w:rsidTr="00FF4CA3">
        <w:trPr>
          <w:trHeight w:val="300"/>
        </w:trPr>
        <w:tc>
          <w:tcPr>
            <w:tcW w:w="921" w:type="dxa"/>
            <w:tcBorders>
              <w:bottom w:val="nil"/>
            </w:tcBorders>
          </w:tcPr>
          <w:p w14:paraId="4F001050" w14:textId="00ABFCC6" w:rsidR="002D4883" w:rsidRPr="00C63262" w:rsidRDefault="002D4883" w:rsidP="00FF4CA3">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136756</w:t>
            </w:r>
          </w:p>
        </w:tc>
        <w:tc>
          <w:tcPr>
            <w:tcW w:w="2743" w:type="dxa"/>
            <w:tcBorders>
              <w:bottom w:val="nil"/>
            </w:tcBorders>
          </w:tcPr>
          <w:p w14:paraId="3435D5BB" w14:textId="15D1C523" w:rsidR="002D4883" w:rsidRPr="00C63262" w:rsidRDefault="002D4883" w:rsidP="002D4883">
            <w:pPr>
              <w:widowControl w:val="0"/>
              <w:numPr>
                <w:ilvl w:val="0"/>
                <w:numId w:val="106"/>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Parañaque Elementary School</w:t>
            </w:r>
          </w:p>
        </w:tc>
        <w:tc>
          <w:tcPr>
            <w:tcW w:w="2505" w:type="dxa"/>
            <w:noWrap/>
            <w:hideMark/>
          </w:tcPr>
          <w:p w14:paraId="6E8ADAA8" w14:textId="77777777" w:rsidR="002D4883" w:rsidRPr="00C63262" w:rsidRDefault="002D4883" w:rsidP="002D4883">
            <w:pPr>
              <w:widowControl w:val="0"/>
              <w:numPr>
                <w:ilvl w:val="0"/>
                <w:numId w:val="105"/>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Shirley C. Banjawan</w:t>
            </w:r>
          </w:p>
        </w:tc>
        <w:tc>
          <w:tcPr>
            <w:tcW w:w="993" w:type="dxa"/>
            <w:noWrap/>
            <w:hideMark/>
          </w:tcPr>
          <w:p w14:paraId="5FF351D2" w14:textId="77777777" w:rsidR="002D4883" w:rsidRPr="00C63262" w:rsidRDefault="002D4883" w:rsidP="002D488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126" w:type="dxa"/>
            <w:noWrap/>
            <w:hideMark/>
          </w:tcPr>
          <w:p w14:paraId="1496C99F" w14:textId="77777777" w:rsidR="002D4883" w:rsidRPr="00C63262" w:rsidRDefault="002D4883" w:rsidP="002D488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2D4883" w:rsidRPr="00C63262" w14:paraId="7BFC72DD" w14:textId="77777777" w:rsidTr="00FF4CA3">
        <w:trPr>
          <w:trHeight w:val="300"/>
        </w:trPr>
        <w:tc>
          <w:tcPr>
            <w:tcW w:w="921" w:type="dxa"/>
            <w:tcBorders>
              <w:top w:val="nil"/>
              <w:bottom w:val="single" w:sz="4" w:space="0" w:color="auto"/>
            </w:tcBorders>
          </w:tcPr>
          <w:p w14:paraId="082A133D" w14:textId="77777777" w:rsidR="002D4883" w:rsidRPr="00C63262" w:rsidRDefault="002D4883" w:rsidP="00FF4CA3">
            <w:pPr>
              <w:spacing w:before="100" w:beforeAutospacing="1" w:after="100" w:afterAutospacing="1" w:line="360" w:lineRule="auto"/>
              <w:rPr>
                <w:rFonts w:asciiTheme="majorHAnsi" w:hAnsiTheme="majorHAnsi" w:cstheme="majorHAnsi"/>
                <w:sz w:val="20"/>
                <w:szCs w:val="20"/>
                <w:lang w:val="en-US"/>
              </w:rPr>
            </w:pPr>
          </w:p>
        </w:tc>
        <w:tc>
          <w:tcPr>
            <w:tcW w:w="2743" w:type="dxa"/>
            <w:tcBorders>
              <w:top w:val="nil"/>
              <w:bottom w:val="single" w:sz="4" w:space="0" w:color="auto"/>
            </w:tcBorders>
          </w:tcPr>
          <w:p w14:paraId="60C95FFB" w14:textId="77777777" w:rsidR="002D4883" w:rsidRPr="00C63262" w:rsidRDefault="002D4883" w:rsidP="00FF4CA3">
            <w:pPr>
              <w:widowControl w:val="0"/>
              <w:spacing w:before="100" w:beforeAutospacing="1" w:after="100" w:afterAutospacing="1" w:line="360" w:lineRule="auto"/>
              <w:ind w:left="360"/>
              <w:rPr>
                <w:rFonts w:asciiTheme="majorHAnsi" w:hAnsiTheme="majorHAnsi" w:cstheme="majorHAnsi"/>
                <w:snapToGrid w:val="0"/>
                <w:color w:val="000000"/>
                <w:sz w:val="20"/>
                <w:szCs w:val="20"/>
                <w:lang w:val="en-US"/>
              </w:rPr>
            </w:pPr>
          </w:p>
        </w:tc>
        <w:tc>
          <w:tcPr>
            <w:tcW w:w="2505" w:type="dxa"/>
            <w:noWrap/>
            <w:hideMark/>
          </w:tcPr>
          <w:p w14:paraId="42E5472B" w14:textId="77777777" w:rsidR="002D4883" w:rsidRPr="00C63262" w:rsidRDefault="002D4883" w:rsidP="002D4883">
            <w:pPr>
              <w:widowControl w:val="0"/>
              <w:numPr>
                <w:ilvl w:val="0"/>
                <w:numId w:val="105"/>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 xml:space="preserve">Jennifer A. Garcia </w:t>
            </w:r>
          </w:p>
        </w:tc>
        <w:tc>
          <w:tcPr>
            <w:tcW w:w="993" w:type="dxa"/>
            <w:noWrap/>
            <w:hideMark/>
          </w:tcPr>
          <w:p w14:paraId="70E82358" w14:textId="77777777" w:rsidR="002D4883" w:rsidRPr="00C63262" w:rsidRDefault="002D4883" w:rsidP="002D488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126" w:type="dxa"/>
            <w:noWrap/>
            <w:hideMark/>
          </w:tcPr>
          <w:p w14:paraId="14A0E84C" w14:textId="77777777" w:rsidR="002D4883" w:rsidRPr="00C63262" w:rsidRDefault="002D4883" w:rsidP="002D488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2D4883" w:rsidRPr="00C63262" w14:paraId="70F29DB8" w14:textId="77777777" w:rsidTr="00FF4CA3">
        <w:trPr>
          <w:trHeight w:val="300"/>
        </w:trPr>
        <w:tc>
          <w:tcPr>
            <w:tcW w:w="921" w:type="dxa"/>
            <w:tcBorders>
              <w:bottom w:val="nil"/>
            </w:tcBorders>
          </w:tcPr>
          <w:p w14:paraId="610CFB84" w14:textId="77777777" w:rsidR="002D4883" w:rsidRPr="00C63262" w:rsidRDefault="002D4883" w:rsidP="00FF4CA3">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136757</w:t>
            </w:r>
          </w:p>
          <w:p w14:paraId="0DCCF896" w14:textId="77777777" w:rsidR="002D4883" w:rsidRPr="00C63262" w:rsidRDefault="002D4883" w:rsidP="00FF4CA3">
            <w:pPr>
              <w:spacing w:before="100" w:beforeAutospacing="1" w:after="100" w:afterAutospacing="1" w:line="360" w:lineRule="auto"/>
              <w:rPr>
                <w:rFonts w:asciiTheme="majorHAnsi" w:hAnsiTheme="majorHAnsi" w:cstheme="majorHAnsi"/>
                <w:sz w:val="20"/>
                <w:szCs w:val="20"/>
                <w:lang w:val="en-US"/>
              </w:rPr>
            </w:pPr>
          </w:p>
        </w:tc>
        <w:tc>
          <w:tcPr>
            <w:tcW w:w="2743" w:type="dxa"/>
            <w:tcBorders>
              <w:bottom w:val="nil"/>
            </w:tcBorders>
          </w:tcPr>
          <w:p w14:paraId="28EACDCB" w14:textId="2B848909" w:rsidR="002D4883" w:rsidRPr="00C63262" w:rsidRDefault="002D4883" w:rsidP="002D4883">
            <w:pPr>
              <w:widowControl w:val="0"/>
              <w:numPr>
                <w:ilvl w:val="0"/>
                <w:numId w:val="106"/>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Parañaque Elementary School Unit Ii</w:t>
            </w:r>
          </w:p>
        </w:tc>
        <w:tc>
          <w:tcPr>
            <w:tcW w:w="2505" w:type="dxa"/>
            <w:noWrap/>
            <w:hideMark/>
          </w:tcPr>
          <w:p w14:paraId="13CAB6DC" w14:textId="77777777" w:rsidR="002D4883" w:rsidRPr="00C63262" w:rsidRDefault="002D4883" w:rsidP="002D4883">
            <w:pPr>
              <w:widowControl w:val="0"/>
              <w:numPr>
                <w:ilvl w:val="0"/>
                <w:numId w:val="105"/>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Rubelyn E. Cabarse</w:t>
            </w:r>
          </w:p>
        </w:tc>
        <w:tc>
          <w:tcPr>
            <w:tcW w:w="993" w:type="dxa"/>
            <w:noWrap/>
            <w:hideMark/>
          </w:tcPr>
          <w:p w14:paraId="62D5C413" w14:textId="77777777" w:rsidR="002D4883" w:rsidRPr="00C63262" w:rsidRDefault="002D4883" w:rsidP="002D488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126" w:type="dxa"/>
            <w:noWrap/>
            <w:hideMark/>
          </w:tcPr>
          <w:p w14:paraId="3DD008E9" w14:textId="77777777" w:rsidR="002D4883" w:rsidRPr="00C63262" w:rsidRDefault="002D4883" w:rsidP="002D488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2D4883" w:rsidRPr="00C63262" w14:paraId="1BBF994C" w14:textId="77777777" w:rsidTr="00FF4CA3">
        <w:trPr>
          <w:trHeight w:val="300"/>
        </w:trPr>
        <w:tc>
          <w:tcPr>
            <w:tcW w:w="921" w:type="dxa"/>
            <w:tcBorders>
              <w:top w:val="nil"/>
              <w:bottom w:val="nil"/>
            </w:tcBorders>
          </w:tcPr>
          <w:p w14:paraId="4F7E052B" w14:textId="77777777" w:rsidR="002D4883" w:rsidRPr="00C63262" w:rsidRDefault="002D4883" w:rsidP="00FF4CA3">
            <w:pPr>
              <w:spacing w:before="100" w:beforeAutospacing="1" w:after="100" w:afterAutospacing="1" w:line="360" w:lineRule="auto"/>
              <w:rPr>
                <w:rFonts w:asciiTheme="majorHAnsi" w:hAnsiTheme="majorHAnsi" w:cstheme="majorHAnsi"/>
                <w:sz w:val="20"/>
                <w:szCs w:val="20"/>
                <w:lang w:val="en-US"/>
              </w:rPr>
            </w:pPr>
          </w:p>
        </w:tc>
        <w:tc>
          <w:tcPr>
            <w:tcW w:w="2743" w:type="dxa"/>
            <w:tcBorders>
              <w:top w:val="nil"/>
              <w:bottom w:val="nil"/>
            </w:tcBorders>
          </w:tcPr>
          <w:p w14:paraId="15F4FD9A" w14:textId="77777777" w:rsidR="002D4883" w:rsidRPr="00C63262" w:rsidRDefault="002D4883" w:rsidP="00FF4CA3">
            <w:pPr>
              <w:widowControl w:val="0"/>
              <w:spacing w:before="100" w:beforeAutospacing="1" w:after="100" w:afterAutospacing="1" w:line="360" w:lineRule="auto"/>
              <w:ind w:left="360"/>
              <w:rPr>
                <w:rFonts w:asciiTheme="majorHAnsi" w:hAnsiTheme="majorHAnsi" w:cstheme="majorHAnsi"/>
                <w:snapToGrid w:val="0"/>
                <w:color w:val="000000"/>
                <w:sz w:val="20"/>
                <w:szCs w:val="20"/>
                <w:lang w:val="en-US"/>
              </w:rPr>
            </w:pPr>
          </w:p>
        </w:tc>
        <w:tc>
          <w:tcPr>
            <w:tcW w:w="2505" w:type="dxa"/>
            <w:noWrap/>
            <w:hideMark/>
          </w:tcPr>
          <w:p w14:paraId="1228A1F3" w14:textId="77777777" w:rsidR="002D4883" w:rsidRPr="00C63262" w:rsidRDefault="002D4883" w:rsidP="002D4883">
            <w:pPr>
              <w:widowControl w:val="0"/>
              <w:numPr>
                <w:ilvl w:val="0"/>
                <w:numId w:val="105"/>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Mildred B. Sarmiento</w:t>
            </w:r>
          </w:p>
        </w:tc>
        <w:tc>
          <w:tcPr>
            <w:tcW w:w="993" w:type="dxa"/>
            <w:noWrap/>
            <w:hideMark/>
          </w:tcPr>
          <w:p w14:paraId="3BD9B222" w14:textId="77777777" w:rsidR="002D4883" w:rsidRPr="00C63262" w:rsidRDefault="002D4883" w:rsidP="002D488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126" w:type="dxa"/>
            <w:noWrap/>
            <w:hideMark/>
          </w:tcPr>
          <w:p w14:paraId="29938770" w14:textId="77777777" w:rsidR="002D4883" w:rsidRPr="00C63262" w:rsidRDefault="002D4883" w:rsidP="002D488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2D4883" w:rsidRPr="00C63262" w14:paraId="6655E2E1" w14:textId="77777777" w:rsidTr="00FF4CA3">
        <w:trPr>
          <w:trHeight w:val="300"/>
        </w:trPr>
        <w:tc>
          <w:tcPr>
            <w:tcW w:w="921" w:type="dxa"/>
            <w:tcBorders>
              <w:top w:val="nil"/>
            </w:tcBorders>
          </w:tcPr>
          <w:p w14:paraId="280AE684" w14:textId="77777777" w:rsidR="002D4883" w:rsidRPr="00C63262" w:rsidRDefault="002D4883" w:rsidP="00FF4CA3">
            <w:pPr>
              <w:spacing w:before="100" w:beforeAutospacing="1" w:after="100" w:afterAutospacing="1" w:line="360" w:lineRule="auto"/>
              <w:rPr>
                <w:rFonts w:asciiTheme="majorHAnsi" w:hAnsiTheme="majorHAnsi" w:cstheme="majorHAnsi"/>
                <w:sz w:val="20"/>
                <w:szCs w:val="20"/>
                <w:lang w:val="en-US"/>
              </w:rPr>
            </w:pPr>
          </w:p>
        </w:tc>
        <w:tc>
          <w:tcPr>
            <w:tcW w:w="2743" w:type="dxa"/>
            <w:tcBorders>
              <w:top w:val="nil"/>
            </w:tcBorders>
          </w:tcPr>
          <w:p w14:paraId="11DD2838" w14:textId="77777777" w:rsidR="002D4883" w:rsidRPr="00C63262" w:rsidRDefault="002D4883" w:rsidP="00FF4CA3">
            <w:pPr>
              <w:widowControl w:val="0"/>
              <w:spacing w:before="100" w:beforeAutospacing="1" w:after="100" w:afterAutospacing="1" w:line="360" w:lineRule="auto"/>
              <w:ind w:left="360"/>
              <w:rPr>
                <w:rFonts w:asciiTheme="majorHAnsi" w:hAnsiTheme="majorHAnsi" w:cstheme="majorHAnsi"/>
                <w:snapToGrid w:val="0"/>
                <w:color w:val="000000"/>
                <w:sz w:val="20"/>
                <w:szCs w:val="20"/>
                <w:lang w:val="en-US"/>
              </w:rPr>
            </w:pPr>
          </w:p>
        </w:tc>
        <w:tc>
          <w:tcPr>
            <w:tcW w:w="2505" w:type="dxa"/>
            <w:noWrap/>
            <w:hideMark/>
          </w:tcPr>
          <w:p w14:paraId="0045807F" w14:textId="77777777" w:rsidR="002D4883" w:rsidRPr="00C63262" w:rsidRDefault="002D4883" w:rsidP="002D4883">
            <w:pPr>
              <w:widowControl w:val="0"/>
              <w:numPr>
                <w:ilvl w:val="0"/>
                <w:numId w:val="105"/>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Leonida L. Raden</w:t>
            </w:r>
          </w:p>
        </w:tc>
        <w:tc>
          <w:tcPr>
            <w:tcW w:w="993" w:type="dxa"/>
            <w:noWrap/>
            <w:hideMark/>
          </w:tcPr>
          <w:p w14:paraId="055F2570" w14:textId="77777777" w:rsidR="002D4883" w:rsidRPr="00C63262" w:rsidRDefault="002D4883" w:rsidP="002D488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126" w:type="dxa"/>
            <w:noWrap/>
            <w:hideMark/>
          </w:tcPr>
          <w:p w14:paraId="2E2BEDFE" w14:textId="77777777" w:rsidR="002D4883" w:rsidRPr="00C63262" w:rsidRDefault="002D4883" w:rsidP="002D488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2D4883" w:rsidRPr="00C63262" w14:paraId="41AD4723" w14:textId="77777777" w:rsidTr="00FF4CA3">
        <w:trPr>
          <w:trHeight w:val="300"/>
        </w:trPr>
        <w:tc>
          <w:tcPr>
            <w:tcW w:w="921" w:type="dxa"/>
            <w:tcBorders>
              <w:bottom w:val="single" w:sz="4" w:space="0" w:color="auto"/>
            </w:tcBorders>
          </w:tcPr>
          <w:p w14:paraId="1807EBD7" w14:textId="4A19D626" w:rsidR="002D4883" w:rsidRPr="00C63262" w:rsidRDefault="002D4883" w:rsidP="00FF4CA3">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 136756</w:t>
            </w:r>
          </w:p>
        </w:tc>
        <w:tc>
          <w:tcPr>
            <w:tcW w:w="2743" w:type="dxa"/>
            <w:tcBorders>
              <w:bottom w:val="single" w:sz="4" w:space="0" w:color="auto"/>
            </w:tcBorders>
          </w:tcPr>
          <w:p w14:paraId="5ED6A9ED" w14:textId="1689F663" w:rsidR="002D4883" w:rsidRPr="00C63262" w:rsidRDefault="002D4883" w:rsidP="002D4883">
            <w:pPr>
              <w:widowControl w:val="0"/>
              <w:numPr>
                <w:ilvl w:val="0"/>
                <w:numId w:val="106"/>
              </w:numPr>
              <w:spacing w:before="100" w:beforeAutospacing="1" w:after="100" w:afterAutospacing="1" w:line="360" w:lineRule="auto"/>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Paranaque Elementary School Unit I</w:t>
            </w:r>
          </w:p>
        </w:tc>
        <w:tc>
          <w:tcPr>
            <w:tcW w:w="2505" w:type="dxa"/>
            <w:noWrap/>
            <w:hideMark/>
          </w:tcPr>
          <w:p w14:paraId="2B80F642" w14:textId="77777777" w:rsidR="002D4883" w:rsidRPr="00C63262" w:rsidRDefault="002D4883" w:rsidP="002D4883">
            <w:pPr>
              <w:widowControl w:val="0"/>
              <w:numPr>
                <w:ilvl w:val="0"/>
                <w:numId w:val="105"/>
              </w:numPr>
              <w:spacing w:before="100" w:beforeAutospacing="1" w:after="100" w:afterAutospacing="1" w:line="360" w:lineRule="auto"/>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Nenita C. Santoluis</w:t>
            </w:r>
          </w:p>
        </w:tc>
        <w:tc>
          <w:tcPr>
            <w:tcW w:w="993" w:type="dxa"/>
            <w:noWrap/>
            <w:hideMark/>
          </w:tcPr>
          <w:p w14:paraId="0D740B43" w14:textId="77777777" w:rsidR="002D4883" w:rsidRPr="00C63262" w:rsidRDefault="002D4883" w:rsidP="002D4883">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F</w:t>
            </w:r>
          </w:p>
        </w:tc>
        <w:tc>
          <w:tcPr>
            <w:tcW w:w="2126" w:type="dxa"/>
            <w:noWrap/>
            <w:hideMark/>
          </w:tcPr>
          <w:p w14:paraId="37E0AF2E" w14:textId="77777777" w:rsidR="002D4883" w:rsidRPr="00C63262" w:rsidRDefault="002D4883" w:rsidP="002D4883">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Teacher</w:t>
            </w:r>
          </w:p>
        </w:tc>
      </w:tr>
      <w:tr w:rsidR="002D4883" w:rsidRPr="00C63262" w14:paraId="4DFF398C" w14:textId="77777777" w:rsidTr="00FF4CA3">
        <w:trPr>
          <w:trHeight w:val="300"/>
        </w:trPr>
        <w:tc>
          <w:tcPr>
            <w:tcW w:w="921" w:type="dxa"/>
            <w:tcBorders>
              <w:bottom w:val="nil"/>
            </w:tcBorders>
          </w:tcPr>
          <w:p w14:paraId="679020F3" w14:textId="5C393D34" w:rsidR="002D4883" w:rsidRPr="00C63262" w:rsidRDefault="002D4883" w:rsidP="00FF4CA3">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136564</w:t>
            </w:r>
          </w:p>
        </w:tc>
        <w:tc>
          <w:tcPr>
            <w:tcW w:w="2743" w:type="dxa"/>
            <w:tcBorders>
              <w:bottom w:val="nil"/>
            </w:tcBorders>
          </w:tcPr>
          <w:p w14:paraId="0BE77DF1" w14:textId="45BDFED1" w:rsidR="002D4883" w:rsidRPr="00C63262" w:rsidRDefault="002D4883" w:rsidP="002D4883">
            <w:pPr>
              <w:widowControl w:val="0"/>
              <w:numPr>
                <w:ilvl w:val="0"/>
                <w:numId w:val="106"/>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Pura V. Kalaw Elementary School</w:t>
            </w:r>
          </w:p>
        </w:tc>
        <w:tc>
          <w:tcPr>
            <w:tcW w:w="2505" w:type="dxa"/>
            <w:noWrap/>
            <w:hideMark/>
          </w:tcPr>
          <w:p w14:paraId="0F0D6F2C" w14:textId="77777777" w:rsidR="002D4883" w:rsidRPr="00C63262" w:rsidRDefault="002D4883" w:rsidP="002D4883">
            <w:pPr>
              <w:widowControl w:val="0"/>
              <w:numPr>
                <w:ilvl w:val="0"/>
                <w:numId w:val="105"/>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Laura T. Casi</w:t>
            </w:r>
          </w:p>
        </w:tc>
        <w:tc>
          <w:tcPr>
            <w:tcW w:w="993" w:type="dxa"/>
            <w:noWrap/>
            <w:hideMark/>
          </w:tcPr>
          <w:p w14:paraId="116EAD86" w14:textId="77777777" w:rsidR="002D4883" w:rsidRPr="00C63262" w:rsidRDefault="002D4883" w:rsidP="002D488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126" w:type="dxa"/>
            <w:noWrap/>
            <w:hideMark/>
          </w:tcPr>
          <w:p w14:paraId="5E03AC8B" w14:textId="77777777" w:rsidR="002D4883" w:rsidRPr="00C63262" w:rsidRDefault="002D4883" w:rsidP="002D488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2D4883" w:rsidRPr="00C63262" w14:paraId="3C466A00" w14:textId="77777777" w:rsidTr="00FF4CA3">
        <w:trPr>
          <w:trHeight w:val="300"/>
        </w:trPr>
        <w:tc>
          <w:tcPr>
            <w:tcW w:w="921" w:type="dxa"/>
            <w:tcBorders>
              <w:top w:val="nil"/>
              <w:bottom w:val="nil"/>
            </w:tcBorders>
          </w:tcPr>
          <w:p w14:paraId="413BA44C" w14:textId="77777777" w:rsidR="002D4883" w:rsidRPr="00C63262" w:rsidRDefault="002D4883" w:rsidP="00FF4CA3">
            <w:pPr>
              <w:spacing w:before="100" w:beforeAutospacing="1" w:after="100" w:afterAutospacing="1" w:line="360" w:lineRule="auto"/>
              <w:rPr>
                <w:rFonts w:asciiTheme="majorHAnsi" w:hAnsiTheme="majorHAnsi" w:cstheme="majorHAnsi"/>
                <w:sz w:val="20"/>
                <w:szCs w:val="20"/>
                <w:lang w:val="en-US"/>
              </w:rPr>
            </w:pPr>
          </w:p>
        </w:tc>
        <w:tc>
          <w:tcPr>
            <w:tcW w:w="2743" w:type="dxa"/>
            <w:tcBorders>
              <w:top w:val="nil"/>
              <w:bottom w:val="nil"/>
            </w:tcBorders>
          </w:tcPr>
          <w:p w14:paraId="0EF6AD39" w14:textId="77777777" w:rsidR="002D4883" w:rsidRPr="00C63262" w:rsidRDefault="002D4883" w:rsidP="00FF4CA3">
            <w:pPr>
              <w:widowControl w:val="0"/>
              <w:spacing w:before="100" w:beforeAutospacing="1" w:after="100" w:afterAutospacing="1" w:line="360" w:lineRule="auto"/>
              <w:ind w:left="360"/>
              <w:rPr>
                <w:rFonts w:asciiTheme="majorHAnsi" w:hAnsiTheme="majorHAnsi" w:cstheme="majorHAnsi"/>
                <w:snapToGrid w:val="0"/>
                <w:color w:val="000000"/>
                <w:sz w:val="20"/>
                <w:szCs w:val="20"/>
                <w:lang w:val="en-US"/>
              </w:rPr>
            </w:pPr>
          </w:p>
        </w:tc>
        <w:tc>
          <w:tcPr>
            <w:tcW w:w="2505" w:type="dxa"/>
            <w:noWrap/>
            <w:hideMark/>
          </w:tcPr>
          <w:p w14:paraId="3FA1D871" w14:textId="77777777" w:rsidR="002D4883" w:rsidRPr="00C63262" w:rsidRDefault="002D4883" w:rsidP="002D4883">
            <w:pPr>
              <w:widowControl w:val="0"/>
              <w:numPr>
                <w:ilvl w:val="0"/>
                <w:numId w:val="105"/>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Emily R. Badua</w:t>
            </w:r>
          </w:p>
        </w:tc>
        <w:tc>
          <w:tcPr>
            <w:tcW w:w="993" w:type="dxa"/>
            <w:noWrap/>
            <w:hideMark/>
          </w:tcPr>
          <w:p w14:paraId="3EF940D1" w14:textId="77777777" w:rsidR="002D4883" w:rsidRPr="00C63262" w:rsidRDefault="002D4883" w:rsidP="002D488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126" w:type="dxa"/>
            <w:noWrap/>
            <w:hideMark/>
          </w:tcPr>
          <w:p w14:paraId="7B385CA0" w14:textId="77777777" w:rsidR="002D4883" w:rsidRPr="00C63262" w:rsidRDefault="002D4883" w:rsidP="002D488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2D4883" w:rsidRPr="00C63262" w14:paraId="71126E29" w14:textId="77777777" w:rsidTr="00FF4CA3">
        <w:trPr>
          <w:trHeight w:val="300"/>
        </w:trPr>
        <w:tc>
          <w:tcPr>
            <w:tcW w:w="921" w:type="dxa"/>
            <w:tcBorders>
              <w:top w:val="nil"/>
              <w:bottom w:val="single" w:sz="4" w:space="0" w:color="auto"/>
            </w:tcBorders>
          </w:tcPr>
          <w:p w14:paraId="5D60BF1A" w14:textId="77777777" w:rsidR="002D4883" w:rsidRPr="00C63262" w:rsidRDefault="002D4883" w:rsidP="00FF4CA3">
            <w:pPr>
              <w:spacing w:before="100" w:beforeAutospacing="1" w:after="100" w:afterAutospacing="1" w:line="360" w:lineRule="auto"/>
              <w:rPr>
                <w:rFonts w:asciiTheme="majorHAnsi" w:hAnsiTheme="majorHAnsi" w:cstheme="majorHAnsi"/>
                <w:sz w:val="20"/>
                <w:szCs w:val="20"/>
                <w:lang w:val="en-US"/>
              </w:rPr>
            </w:pPr>
          </w:p>
        </w:tc>
        <w:tc>
          <w:tcPr>
            <w:tcW w:w="2743" w:type="dxa"/>
            <w:tcBorders>
              <w:top w:val="nil"/>
              <w:bottom w:val="single" w:sz="4" w:space="0" w:color="auto"/>
            </w:tcBorders>
          </w:tcPr>
          <w:p w14:paraId="3A6DBA36" w14:textId="77777777" w:rsidR="002D4883" w:rsidRPr="00C63262" w:rsidRDefault="002D4883" w:rsidP="00FF4CA3">
            <w:pPr>
              <w:widowControl w:val="0"/>
              <w:spacing w:before="100" w:beforeAutospacing="1" w:after="100" w:afterAutospacing="1" w:line="360" w:lineRule="auto"/>
              <w:ind w:left="360"/>
              <w:rPr>
                <w:rFonts w:asciiTheme="majorHAnsi" w:hAnsiTheme="majorHAnsi" w:cstheme="majorHAnsi"/>
                <w:snapToGrid w:val="0"/>
                <w:color w:val="000000"/>
                <w:sz w:val="20"/>
                <w:szCs w:val="20"/>
                <w:lang w:val="en-US"/>
              </w:rPr>
            </w:pPr>
          </w:p>
        </w:tc>
        <w:tc>
          <w:tcPr>
            <w:tcW w:w="2505" w:type="dxa"/>
            <w:noWrap/>
            <w:hideMark/>
          </w:tcPr>
          <w:p w14:paraId="6C563553" w14:textId="77777777" w:rsidR="002D4883" w:rsidRPr="00C63262" w:rsidRDefault="002D4883" w:rsidP="002D4883">
            <w:pPr>
              <w:widowControl w:val="0"/>
              <w:numPr>
                <w:ilvl w:val="0"/>
                <w:numId w:val="105"/>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 xml:space="preserve">Wilma C. Masigan </w:t>
            </w:r>
          </w:p>
        </w:tc>
        <w:tc>
          <w:tcPr>
            <w:tcW w:w="993" w:type="dxa"/>
            <w:noWrap/>
            <w:hideMark/>
          </w:tcPr>
          <w:p w14:paraId="42489E19" w14:textId="77777777" w:rsidR="002D4883" w:rsidRPr="00C63262" w:rsidRDefault="002D4883" w:rsidP="002D488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126" w:type="dxa"/>
            <w:noWrap/>
            <w:hideMark/>
          </w:tcPr>
          <w:p w14:paraId="76E6031D" w14:textId="77777777" w:rsidR="002D4883" w:rsidRPr="00C63262" w:rsidRDefault="002D4883" w:rsidP="002D488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Principal</w:t>
            </w:r>
          </w:p>
        </w:tc>
      </w:tr>
      <w:tr w:rsidR="002D4883" w:rsidRPr="00C63262" w14:paraId="5CA62B95" w14:textId="77777777" w:rsidTr="00FF4CA3">
        <w:trPr>
          <w:trHeight w:val="300"/>
        </w:trPr>
        <w:tc>
          <w:tcPr>
            <w:tcW w:w="921" w:type="dxa"/>
            <w:tcBorders>
              <w:bottom w:val="nil"/>
            </w:tcBorders>
          </w:tcPr>
          <w:p w14:paraId="378F083A" w14:textId="1AEDE615" w:rsidR="002D4883" w:rsidRPr="00C63262" w:rsidRDefault="002D4883" w:rsidP="00FF4CA3">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136772</w:t>
            </w:r>
          </w:p>
        </w:tc>
        <w:tc>
          <w:tcPr>
            <w:tcW w:w="2743" w:type="dxa"/>
            <w:tcBorders>
              <w:bottom w:val="nil"/>
            </w:tcBorders>
          </w:tcPr>
          <w:p w14:paraId="3CC8740A" w14:textId="24E58360" w:rsidR="002D4883" w:rsidRPr="00C63262" w:rsidRDefault="002D4883" w:rsidP="002D4883">
            <w:pPr>
              <w:widowControl w:val="0"/>
              <w:numPr>
                <w:ilvl w:val="0"/>
                <w:numId w:val="106"/>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Rogelio G. Gatchalian Elementary School</w:t>
            </w:r>
          </w:p>
        </w:tc>
        <w:tc>
          <w:tcPr>
            <w:tcW w:w="2505" w:type="dxa"/>
            <w:noWrap/>
            <w:hideMark/>
          </w:tcPr>
          <w:p w14:paraId="7EE931C2" w14:textId="77777777" w:rsidR="002D4883" w:rsidRPr="00C63262" w:rsidRDefault="002D4883" w:rsidP="002D4883">
            <w:pPr>
              <w:widowControl w:val="0"/>
              <w:numPr>
                <w:ilvl w:val="0"/>
                <w:numId w:val="105"/>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Ma. Margaret F. Sacdal</w:t>
            </w:r>
          </w:p>
        </w:tc>
        <w:tc>
          <w:tcPr>
            <w:tcW w:w="993" w:type="dxa"/>
            <w:noWrap/>
            <w:hideMark/>
          </w:tcPr>
          <w:p w14:paraId="5326D26A" w14:textId="77777777" w:rsidR="002D4883" w:rsidRPr="00C63262" w:rsidRDefault="002D4883" w:rsidP="002D488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126" w:type="dxa"/>
            <w:noWrap/>
            <w:hideMark/>
          </w:tcPr>
          <w:p w14:paraId="13631EED" w14:textId="77777777" w:rsidR="002D4883" w:rsidRPr="00C63262" w:rsidRDefault="002D4883" w:rsidP="002D488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2D4883" w:rsidRPr="00C63262" w14:paraId="199AB87D" w14:textId="77777777" w:rsidTr="00FF4CA3">
        <w:trPr>
          <w:trHeight w:val="300"/>
        </w:trPr>
        <w:tc>
          <w:tcPr>
            <w:tcW w:w="921" w:type="dxa"/>
            <w:tcBorders>
              <w:top w:val="nil"/>
              <w:bottom w:val="nil"/>
            </w:tcBorders>
          </w:tcPr>
          <w:p w14:paraId="313EADD7" w14:textId="77777777" w:rsidR="002D4883" w:rsidRPr="00C63262" w:rsidRDefault="002D4883" w:rsidP="00FF4CA3">
            <w:pPr>
              <w:spacing w:before="100" w:beforeAutospacing="1" w:after="100" w:afterAutospacing="1" w:line="360" w:lineRule="auto"/>
              <w:rPr>
                <w:rFonts w:asciiTheme="majorHAnsi" w:hAnsiTheme="majorHAnsi" w:cstheme="majorHAnsi"/>
                <w:sz w:val="20"/>
                <w:szCs w:val="20"/>
                <w:lang w:val="en-US"/>
              </w:rPr>
            </w:pPr>
          </w:p>
        </w:tc>
        <w:tc>
          <w:tcPr>
            <w:tcW w:w="2743" w:type="dxa"/>
            <w:tcBorders>
              <w:top w:val="nil"/>
              <w:bottom w:val="nil"/>
            </w:tcBorders>
          </w:tcPr>
          <w:p w14:paraId="7EB1A375" w14:textId="77777777" w:rsidR="002D4883" w:rsidRPr="00C63262" w:rsidRDefault="002D4883" w:rsidP="00FF4CA3">
            <w:pPr>
              <w:widowControl w:val="0"/>
              <w:spacing w:before="100" w:beforeAutospacing="1" w:after="100" w:afterAutospacing="1" w:line="360" w:lineRule="auto"/>
              <w:ind w:left="360"/>
              <w:rPr>
                <w:rFonts w:asciiTheme="majorHAnsi" w:hAnsiTheme="majorHAnsi" w:cstheme="majorHAnsi"/>
                <w:snapToGrid w:val="0"/>
                <w:color w:val="000000"/>
                <w:sz w:val="20"/>
                <w:szCs w:val="20"/>
                <w:lang w:val="en-US"/>
              </w:rPr>
            </w:pPr>
          </w:p>
        </w:tc>
        <w:tc>
          <w:tcPr>
            <w:tcW w:w="2505" w:type="dxa"/>
            <w:noWrap/>
            <w:hideMark/>
          </w:tcPr>
          <w:p w14:paraId="196E3D64" w14:textId="77777777" w:rsidR="002D4883" w:rsidRPr="00C63262" w:rsidRDefault="002D4883" w:rsidP="002D4883">
            <w:pPr>
              <w:widowControl w:val="0"/>
              <w:numPr>
                <w:ilvl w:val="0"/>
                <w:numId w:val="105"/>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Maria Criselda E. Marzan</w:t>
            </w:r>
          </w:p>
        </w:tc>
        <w:tc>
          <w:tcPr>
            <w:tcW w:w="993" w:type="dxa"/>
            <w:noWrap/>
            <w:hideMark/>
          </w:tcPr>
          <w:p w14:paraId="3535EAB6" w14:textId="77777777" w:rsidR="002D4883" w:rsidRPr="00C63262" w:rsidRDefault="002D4883" w:rsidP="002D488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126" w:type="dxa"/>
            <w:noWrap/>
            <w:hideMark/>
          </w:tcPr>
          <w:p w14:paraId="707A2999" w14:textId="77777777" w:rsidR="002D4883" w:rsidRPr="00C63262" w:rsidRDefault="002D4883" w:rsidP="002D488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2D4883" w:rsidRPr="00C63262" w14:paraId="642E77A8" w14:textId="77777777" w:rsidTr="00FF4CA3">
        <w:trPr>
          <w:trHeight w:val="300"/>
        </w:trPr>
        <w:tc>
          <w:tcPr>
            <w:tcW w:w="921" w:type="dxa"/>
            <w:tcBorders>
              <w:top w:val="nil"/>
              <w:bottom w:val="single" w:sz="4" w:space="0" w:color="auto"/>
            </w:tcBorders>
          </w:tcPr>
          <w:p w14:paraId="4692DBC4" w14:textId="77777777" w:rsidR="002D4883" w:rsidRPr="00C63262" w:rsidRDefault="002D4883" w:rsidP="00FF4CA3">
            <w:pPr>
              <w:spacing w:before="100" w:beforeAutospacing="1" w:after="100" w:afterAutospacing="1" w:line="360" w:lineRule="auto"/>
              <w:rPr>
                <w:rFonts w:asciiTheme="majorHAnsi" w:hAnsiTheme="majorHAnsi" w:cstheme="majorHAnsi"/>
                <w:sz w:val="20"/>
                <w:szCs w:val="20"/>
                <w:lang w:val="en-US"/>
              </w:rPr>
            </w:pPr>
          </w:p>
        </w:tc>
        <w:tc>
          <w:tcPr>
            <w:tcW w:w="2743" w:type="dxa"/>
            <w:tcBorders>
              <w:top w:val="nil"/>
              <w:bottom w:val="single" w:sz="4" w:space="0" w:color="auto"/>
            </w:tcBorders>
          </w:tcPr>
          <w:p w14:paraId="41E686A0" w14:textId="77777777" w:rsidR="002D4883" w:rsidRPr="00C63262" w:rsidRDefault="002D4883" w:rsidP="00FF4CA3">
            <w:pPr>
              <w:widowControl w:val="0"/>
              <w:spacing w:before="100" w:beforeAutospacing="1" w:after="100" w:afterAutospacing="1" w:line="360" w:lineRule="auto"/>
              <w:ind w:left="360"/>
              <w:rPr>
                <w:rFonts w:asciiTheme="majorHAnsi" w:hAnsiTheme="majorHAnsi" w:cstheme="majorHAnsi"/>
                <w:snapToGrid w:val="0"/>
                <w:color w:val="000000"/>
                <w:sz w:val="20"/>
                <w:szCs w:val="20"/>
                <w:lang w:val="en-US"/>
              </w:rPr>
            </w:pPr>
          </w:p>
        </w:tc>
        <w:tc>
          <w:tcPr>
            <w:tcW w:w="2505" w:type="dxa"/>
            <w:noWrap/>
            <w:hideMark/>
          </w:tcPr>
          <w:p w14:paraId="6CE96A5A" w14:textId="77777777" w:rsidR="002D4883" w:rsidRPr="00C63262" w:rsidRDefault="002D4883" w:rsidP="002D4883">
            <w:pPr>
              <w:widowControl w:val="0"/>
              <w:numPr>
                <w:ilvl w:val="0"/>
                <w:numId w:val="105"/>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Marisel C. Urbano</w:t>
            </w:r>
          </w:p>
        </w:tc>
        <w:tc>
          <w:tcPr>
            <w:tcW w:w="993" w:type="dxa"/>
            <w:noWrap/>
            <w:hideMark/>
          </w:tcPr>
          <w:p w14:paraId="51A1F947" w14:textId="77777777" w:rsidR="002D4883" w:rsidRPr="00C63262" w:rsidRDefault="002D4883" w:rsidP="002D488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126" w:type="dxa"/>
            <w:noWrap/>
            <w:hideMark/>
          </w:tcPr>
          <w:p w14:paraId="4DE4F8ED" w14:textId="77777777" w:rsidR="002D4883" w:rsidRPr="00C63262" w:rsidRDefault="002D4883" w:rsidP="002D488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2D4883" w:rsidRPr="00C63262" w14:paraId="638E15B6" w14:textId="77777777" w:rsidTr="00FF4CA3">
        <w:trPr>
          <w:trHeight w:val="300"/>
        </w:trPr>
        <w:tc>
          <w:tcPr>
            <w:tcW w:w="921" w:type="dxa"/>
            <w:tcBorders>
              <w:bottom w:val="nil"/>
            </w:tcBorders>
          </w:tcPr>
          <w:p w14:paraId="33A08693" w14:textId="77777777" w:rsidR="002D4883" w:rsidRPr="00C63262" w:rsidRDefault="002D4883" w:rsidP="00FF4CA3">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136510</w:t>
            </w:r>
          </w:p>
          <w:p w14:paraId="3057922A" w14:textId="77777777" w:rsidR="002D4883" w:rsidRPr="00C63262" w:rsidRDefault="002D4883" w:rsidP="00FF4CA3">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 </w:t>
            </w:r>
          </w:p>
          <w:p w14:paraId="2E401018" w14:textId="2A8F2A27" w:rsidR="002D4883" w:rsidRPr="00C63262" w:rsidRDefault="002D4883" w:rsidP="00FF4CA3">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 </w:t>
            </w:r>
          </w:p>
        </w:tc>
        <w:tc>
          <w:tcPr>
            <w:tcW w:w="2743" w:type="dxa"/>
            <w:tcBorders>
              <w:bottom w:val="nil"/>
            </w:tcBorders>
          </w:tcPr>
          <w:p w14:paraId="35443551" w14:textId="13EDBF7D" w:rsidR="002D4883" w:rsidRPr="00C63262" w:rsidRDefault="002D4883" w:rsidP="002D4883">
            <w:pPr>
              <w:widowControl w:val="0"/>
              <w:numPr>
                <w:ilvl w:val="0"/>
                <w:numId w:val="106"/>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Sto. Cristo Elementary School</w:t>
            </w:r>
          </w:p>
        </w:tc>
        <w:tc>
          <w:tcPr>
            <w:tcW w:w="2505" w:type="dxa"/>
            <w:noWrap/>
            <w:hideMark/>
          </w:tcPr>
          <w:p w14:paraId="554B670A" w14:textId="77777777" w:rsidR="002D4883" w:rsidRPr="00C63262" w:rsidRDefault="002D4883" w:rsidP="002D4883">
            <w:pPr>
              <w:widowControl w:val="0"/>
              <w:numPr>
                <w:ilvl w:val="0"/>
                <w:numId w:val="105"/>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Teresita L. Erquiza</w:t>
            </w:r>
          </w:p>
        </w:tc>
        <w:tc>
          <w:tcPr>
            <w:tcW w:w="993" w:type="dxa"/>
            <w:noWrap/>
            <w:hideMark/>
          </w:tcPr>
          <w:p w14:paraId="48BCD03C" w14:textId="77777777" w:rsidR="002D4883" w:rsidRPr="00C63262" w:rsidRDefault="002D4883" w:rsidP="002D488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126" w:type="dxa"/>
            <w:noWrap/>
            <w:hideMark/>
          </w:tcPr>
          <w:p w14:paraId="0E8D7354" w14:textId="77777777" w:rsidR="002D4883" w:rsidRPr="00C63262" w:rsidRDefault="002D4883" w:rsidP="002D488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2D4883" w:rsidRPr="00C63262" w14:paraId="58981A85" w14:textId="77777777" w:rsidTr="00FF4CA3">
        <w:trPr>
          <w:trHeight w:val="300"/>
        </w:trPr>
        <w:tc>
          <w:tcPr>
            <w:tcW w:w="921" w:type="dxa"/>
            <w:tcBorders>
              <w:top w:val="nil"/>
              <w:bottom w:val="single" w:sz="4" w:space="0" w:color="auto"/>
            </w:tcBorders>
          </w:tcPr>
          <w:p w14:paraId="54628A6A" w14:textId="77777777" w:rsidR="002D4883" w:rsidRPr="00C63262" w:rsidRDefault="002D4883" w:rsidP="00FF4CA3">
            <w:pPr>
              <w:spacing w:before="100" w:beforeAutospacing="1" w:after="100" w:afterAutospacing="1" w:line="360" w:lineRule="auto"/>
              <w:rPr>
                <w:rFonts w:asciiTheme="majorHAnsi" w:hAnsiTheme="majorHAnsi" w:cstheme="majorHAnsi"/>
                <w:sz w:val="20"/>
                <w:szCs w:val="20"/>
                <w:lang w:val="en-US"/>
              </w:rPr>
            </w:pPr>
          </w:p>
        </w:tc>
        <w:tc>
          <w:tcPr>
            <w:tcW w:w="2743" w:type="dxa"/>
            <w:tcBorders>
              <w:top w:val="nil"/>
              <w:bottom w:val="single" w:sz="4" w:space="0" w:color="auto"/>
            </w:tcBorders>
          </w:tcPr>
          <w:p w14:paraId="4A760ABE" w14:textId="77777777" w:rsidR="002D4883" w:rsidRPr="00C63262" w:rsidRDefault="002D4883" w:rsidP="00FF4CA3">
            <w:pPr>
              <w:widowControl w:val="0"/>
              <w:spacing w:before="100" w:beforeAutospacing="1" w:after="100" w:afterAutospacing="1" w:line="360" w:lineRule="auto"/>
              <w:ind w:left="360"/>
              <w:rPr>
                <w:rFonts w:asciiTheme="majorHAnsi" w:hAnsiTheme="majorHAnsi" w:cstheme="majorHAnsi"/>
                <w:snapToGrid w:val="0"/>
                <w:color w:val="000000"/>
                <w:sz w:val="20"/>
                <w:szCs w:val="20"/>
                <w:lang w:val="en-US"/>
              </w:rPr>
            </w:pPr>
          </w:p>
        </w:tc>
        <w:tc>
          <w:tcPr>
            <w:tcW w:w="2505" w:type="dxa"/>
            <w:tcBorders>
              <w:bottom w:val="single" w:sz="4" w:space="0" w:color="auto"/>
            </w:tcBorders>
            <w:noWrap/>
            <w:hideMark/>
          </w:tcPr>
          <w:p w14:paraId="7E5BBD55" w14:textId="77777777" w:rsidR="002D4883" w:rsidRPr="00C63262" w:rsidRDefault="002D4883" w:rsidP="002D4883">
            <w:pPr>
              <w:widowControl w:val="0"/>
              <w:numPr>
                <w:ilvl w:val="0"/>
                <w:numId w:val="105"/>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Maria Minda L. Flores</w:t>
            </w:r>
          </w:p>
        </w:tc>
        <w:tc>
          <w:tcPr>
            <w:tcW w:w="993" w:type="dxa"/>
            <w:tcBorders>
              <w:bottom w:val="single" w:sz="4" w:space="0" w:color="auto"/>
            </w:tcBorders>
            <w:noWrap/>
            <w:hideMark/>
          </w:tcPr>
          <w:p w14:paraId="207B6050" w14:textId="77777777" w:rsidR="002D4883" w:rsidRPr="00C63262" w:rsidRDefault="002D4883" w:rsidP="002D488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126" w:type="dxa"/>
            <w:tcBorders>
              <w:bottom w:val="single" w:sz="4" w:space="0" w:color="auto"/>
            </w:tcBorders>
            <w:noWrap/>
            <w:hideMark/>
          </w:tcPr>
          <w:p w14:paraId="382AAF69" w14:textId="77777777" w:rsidR="002D4883" w:rsidRPr="00C63262" w:rsidRDefault="002D4883" w:rsidP="002D488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2D4883" w:rsidRPr="00C63262" w14:paraId="4442EB1F" w14:textId="77777777" w:rsidTr="00FF4CA3">
        <w:trPr>
          <w:trHeight w:val="300"/>
        </w:trPr>
        <w:tc>
          <w:tcPr>
            <w:tcW w:w="921" w:type="dxa"/>
            <w:tcBorders>
              <w:top w:val="single" w:sz="4" w:space="0" w:color="auto"/>
            </w:tcBorders>
          </w:tcPr>
          <w:p w14:paraId="72C1E116" w14:textId="77777777" w:rsidR="002D4883" w:rsidRPr="00C63262" w:rsidRDefault="002D4883" w:rsidP="00FF4CA3">
            <w:pPr>
              <w:spacing w:before="100" w:beforeAutospacing="1" w:after="100" w:afterAutospacing="1" w:line="360" w:lineRule="auto"/>
              <w:rPr>
                <w:rFonts w:asciiTheme="majorHAnsi" w:hAnsiTheme="majorHAnsi" w:cstheme="majorHAnsi"/>
                <w:sz w:val="20"/>
                <w:szCs w:val="20"/>
                <w:lang w:val="en-US"/>
              </w:rPr>
            </w:pPr>
          </w:p>
        </w:tc>
        <w:tc>
          <w:tcPr>
            <w:tcW w:w="2743" w:type="dxa"/>
            <w:tcBorders>
              <w:top w:val="single" w:sz="4" w:space="0" w:color="auto"/>
            </w:tcBorders>
          </w:tcPr>
          <w:p w14:paraId="2566C8CB" w14:textId="77777777" w:rsidR="002D4883" w:rsidRPr="00C63262" w:rsidRDefault="002D4883" w:rsidP="00FF4CA3">
            <w:pPr>
              <w:widowControl w:val="0"/>
              <w:spacing w:before="100" w:beforeAutospacing="1" w:after="100" w:afterAutospacing="1" w:line="360" w:lineRule="auto"/>
              <w:ind w:left="360"/>
              <w:rPr>
                <w:rFonts w:asciiTheme="majorHAnsi" w:hAnsiTheme="majorHAnsi" w:cstheme="majorHAnsi"/>
                <w:snapToGrid w:val="0"/>
                <w:color w:val="000000"/>
                <w:sz w:val="20"/>
                <w:szCs w:val="20"/>
                <w:lang w:val="en-US"/>
              </w:rPr>
            </w:pPr>
          </w:p>
        </w:tc>
        <w:tc>
          <w:tcPr>
            <w:tcW w:w="2505" w:type="dxa"/>
            <w:tcBorders>
              <w:top w:val="single" w:sz="4" w:space="0" w:color="auto"/>
            </w:tcBorders>
            <w:noWrap/>
            <w:hideMark/>
          </w:tcPr>
          <w:p w14:paraId="0C567164" w14:textId="77777777" w:rsidR="002D4883" w:rsidRPr="00C63262" w:rsidRDefault="002D4883" w:rsidP="002D4883">
            <w:pPr>
              <w:widowControl w:val="0"/>
              <w:numPr>
                <w:ilvl w:val="0"/>
                <w:numId w:val="105"/>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Francis Cristy C. Fonacier</w:t>
            </w:r>
          </w:p>
        </w:tc>
        <w:tc>
          <w:tcPr>
            <w:tcW w:w="993" w:type="dxa"/>
            <w:tcBorders>
              <w:top w:val="single" w:sz="4" w:space="0" w:color="auto"/>
            </w:tcBorders>
            <w:noWrap/>
            <w:hideMark/>
          </w:tcPr>
          <w:p w14:paraId="6B48CA37" w14:textId="77777777" w:rsidR="002D4883" w:rsidRPr="00C63262" w:rsidRDefault="002D4883" w:rsidP="002D488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126" w:type="dxa"/>
            <w:tcBorders>
              <w:top w:val="single" w:sz="4" w:space="0" w:color="auto"/>
            </w:tcBorders>
            <w:noWrap/>
            <w:hideMark/>
          </w:tcPr>
          <w:p w14:paraId="6282855B" w14:textId="77777777" w:rsidR="002D4883" w:rsidRPr="00C63262" w:rsidRDefault="002D4883" w:rsidP="002D488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Principal</w:t>
            </w:r>
          </w:p>
        </w:tc>
      </w:tr>
      <w:tr w:rsidR="002D4883" w:rsidRPr="00C63262" w14:paraId="5FBEBFF1" w14:textId="77777777" w:rsidTr="00FF4CA3">
        <w:trPr>
          <w:trHeight w:val="300"/>
        </w:trPr>
        <w:tc>
          <w:tcPr>
            <w:tcW w:w="921" w:type="dxa"/>
          </w:tcPr>
          <w:p w14:paraId="5AAAA94B" w14:textId="5150EC4A" w:rsidR="002D4883" w:rsidRPr="00C63262" w:rsidRDefault="002D4883" w:rsidP="00FF4CA3">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 xml:space="preserve"> 226503</w:t>
            </w:r>
          </w:p>
        </w:tc>
        <w:tc>
          <w:tcPr>
            <w:tcW w:w="2743" w:type="dxa"/>
          </w:tcPr>
          <w:p w14:paraId="12C3D986" w14:textId="22D7C813" w:rsidR="002D4883" w:rsidRPr="00C63262" w:rsidRDefault="002D4883" w:rsidP="002D4883">
            <w:pPr>
              <w:widowControl w:val="0"/>
              <w:numPr>
                <w:ilvl w:val="0"/>
                <w:numId w:val="106"/>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Talon 3 Elementary School</w:t>
            </w:r>
          </w:p>
        </w:tc>
        <w:tc>
          <w:tcPr>
            <w:tcW w:w="2505" w:type="dxa"/>
            <w:noWrap/>
            <w:hideMark/>
          </w:tcPr>
          <w:p w14:paraId="5F2B202B" w14:textId="77777777" w:rsidR="002D4883" w:rsidRPr="00C63262" w:rsidRDefault="002D4883" w:rsidP="002D4883">
            <w:pPr>
              <w:widowControl w:val="0"/>
              <w:numPr>
                <w:ilvl w:val="0"/>
                <w:numId w:val="105"/>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 xml:space="preserve">Elizabeth F. Sanchez </w:t>
            </w:r>
          </w:p>
        </w:tc>
        <w:tc>
          <w:tcPr>
            <w:tcW w:w="993" w:type="dxa"/>
            <w:noWrap/>
            <w:hideMark/>
          </w:tcPr>
          <w:p w14:paraId="147E0B62" w14:textId="77777777" w:rsidR="002D4883" w:rsidRPr="00C63262" w:rsidRDefault="002D4883" w:rsidP="002D488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126" w:type="dxa"/>
            <w:noWrap/>
            <w:hideMark/>
          </w:tcPr>
          <w:p w14:paraId="42876872" w14:textId="77777777" w:rsidR="002D4883" w:rsidRPr="00C63262" w:rsidRDefault="002D4883" w:rsidP="002D488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2D4883" w:rsidRPr="00C63262" w14:paraId="4083CF83" w14:textId="77777777" w:rsidTr="00FF4CA3">
        <w:trPr>
          <w:trHeight w:val="300"/>
        </w:trPr>
        <w:tc>
          <w:tcPr>
            <w:tcW w:w="921" w:type="dxa"/>
          </w:tcPr>
          <w:p w14:paraId="6D9DB53F" w14:textId="2885AFB9" w:rsidR="002D4883" w:rsidRPr="00C63262" w:rsidRDefault="002D4883" w:rsidP="00FF4CA3">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136771</w:t>
            </w:r>
          </w:p>
        </w:tc>
        <w:tc>
          <w:tcPr>
            <w:tcW w:w="2743" w:type="dxa"/>
          </w:tcPr>
          <w:p w14:paraId="4DFF6096" w14:textId="4B233414" w:rsidR="002D4883" w:rsidRPr="00C63262" w:rsidRDefault="002D4883" w:rsidP="002D4883">
            <w:pPr>
              <w:widowControl w:val="0"/>
              <w:numPr>
                <w:ilvl w:val="0"/>
                <w:numId w:val="106"/>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Tambo Elementary School</w:t>
            </w:r>
          </w:p>
        </w:tc>
        <w:tc>
          <w:tcPr>
            <w:tcW w:w="2505" w:type="dxa"/>
            <w:noWrap/>
            <w:hideMark/>
          </w:tcPr>
          <w:p w14:paraId="4938EF64" w14:textId="77777777" w:rsidR="002D4883" w:rsidRPr="00C63262" w:rsidRDefault="002D4883" w:rsidP="002D4883">
            <w:pPr>
              <w:widowControl w:val="0"/>
              <w:numPr>
                <w:ilvl w:val="0"/>
                <w:numId w:val="105"/>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Salvacion B. Peroy</w:t>
            </w:r>
          </w:p>
        </w:tc>
        <w:tc>
          <w:tcPr>
            <w:tcW w:w="993" w:type="dxa"/>
            <w:noWrap/>
            <w:hideMark/>
          </w:tcPr>
          <w:p w14:paraId="2844A892" w14:textId="77777777" w:rsidR="002D4883" w:rsidRPr="00C63262" w:rsidRDefault="002D4883" w:rsidP="002D488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126" w:type="dxa"/>
            <w:noWrap/>
            <w:hideMark/>
          </w:tcPr>
          <w:p w14:paraId="6D03A953" w14:textId="77777777" w:rsidR="002D4883" w:rsidRPr="00C63262" w:rsidRDefault="002D4883" w:rsidP="002D488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2D4883" w:rsidRPr="00C63262" w14:paraId="3A6784FE" w14:textId="77777777" w:rsidTr="00FF4CA3">
        <w:trPr>
          <w:trHeight w:val="300"/>
        </w:trPr>
        <w:tc>
          <w:tcPr>
            <w:tcW w:w="921" w:type="dxa"/>
          </w:tcPr>
          <w:p w14:paraId="2C308128" w14:textId="2BB301B5" w:rsidR="002D4883" w:rsidRPr="00C63262" w:rsidRDefault="002D4883" w:rsidP="00FF4CA3">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136879</w:t>
            </w:r>
          </w:p>
        </w:tc>
        <w:tc>
          <w:tcPr>
            <w:tcW w:w="2743" w:type="dxa"/>
          </w:tcPr>
          <w:p w14:paraId="6155C81E" w14:textId="2091BF6E" w:rsidR="002D4883" w:rsidRPr="00C63262" w:rsidRDefault="002D4883" w:rsidP="002D4883">
            <w:pPr>
              <w:widowControl w:val="0"/>
              <w:numPr>
                <w:ilvl w:val="0"/>
                <w:numId w:val="106"/>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Usuan Elementary School</w:t>
            </w:r>
          </w:p>
        </w:tc>
        <w:tc>
          <w:tcPr>
            <w:tcW w:w="2505" w:type="dxa"/>
            <w:noWrap/>
            <w:hideMark/>
          </w:tcPr>
          <w:p w14:paraId="22767874" w14:textId="77777777" w:rsidR="002D4883" w:rsidRPr="00C63262" w:rsidRDefault="002D4883" w:rsidP="002D4883">
            <w:pPr>
              <w:widowControl w:val="0"/>
              <w:numPr>
                <w:ilvl w:val="0"/>
                <w:numId w:val="105"/>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Filipina F. Fadriquela</w:t>
            </w:r>
          </w:p>
        </w:tc>
        <w:tc>
          <w:tcPr>
            <w:tcW w:w="993" w:type="dxa"/>
            <w:noWrap/>
            <w:hideMark/>
          </w:tcPr>
          <w:p w14:paraId="35F7CC6A" w14:textId="77777777" w:rsidR="002D4883" w:rsidRPr="00C63262" w:rsidRDefault="002D4883" w:rsidP="002D488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126" w:type="dxa"/>
            <w:noWrap/>
            <w:hideMark/>
          </w:tcPr>
          <w:p w14:paraId="7E69C2EA" w14:textId="77777777" w:rsidR="002D4883" w:rsidRPr="00C63262" w:rsidRDefault="002D4883" w:rsidP="002D488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bl>
    <w:p w14:paraId="4D5D6359" w14:textId="77777777" w:rsidR="008D0CAD" w:rsidRPr="00C63262" w:rsidRDefault="008D0CAD" w:rsidP="005902F7">
      <w:pPr>
        <w:spacing w:before="100" w:beforeAutospacing="1" w:after="100" w:afterAutospacing="1" w:line="360" w:lineRule="auto"/>
        <w:rPr>
          <w:rFonts w:asciiTheme="majorHAnsi" w:hAnsiTheme="majorHAnsi" w:cstheme="majorHAnsi"/>
          <w:b/>
          <w:color w:val="0070C0"/>
          <w:lang w:val="en-US"/>
        </w:rPr>
      </w:pPr>
      <w:r w:rsidRPr="00C63262">
        <w:rPr>
          <w:rFonts w:asciiTheme="majorHAnsi" w:hAnsiTheme="majorHAnsi" w:cstheme="majorHAnsi"/>
          <w:b/>
          <w:color w:val="0070C0"/>
          <w:lang w:val="en-US"/>
        </w:rPr>
        <w:t>REGION V</w:t>
      </w:r>
    </w:p>
    <w:tbl>
      <w:tblPr>
        <w:tblStyle w:val="TableGrid8"/>
        <w:tblW w:w="10627" w:type="dxa"/>
        <w:tblLook w:val="04A0" w:firstRow="1" w:lastRow="0" w:firstColumn="1" w:lastColumn="0" w:noHBand="0" w:noVBand="1"/>
      </w:tblPr>
      <w:tblGrid>
        <w:gridCol w:w="1129"/>
        <w:gridCol w:w="3261"/>
        <w:gridCol w:w="2409"/>
        <w:gridCol w:w="993"/>
        <w:gridCol w:w="2835"/>
      </w:tblGrid>
      <w:tr w:rsidR="00241383" w:rsidRPr="00C63262" w14:paraId="4BD3669A" w14:textId="77777777" w:rsidTr="00241383">
        <w:trPr>
          <w:trHeight w:val="300"/>
          <w:tblHeader/>
        </w:trPr>
        <w:tc>
          <w:tcPr>
            <w:tcW w:w="1129" w:type="dxa"/>
          </w:tcPr>
          <w:p w14:paraId="52D2B582" w14:textId="77777777" w:rsidR="00241383" w:rsidRPr="00C63262" w:rsidRDefault="00241383" w:rsidP="005805AC">
            <w:pPr>
              <w:spacing w:before="100" w:beforeAutospacing="1" w:after="100" w:afterAutospacing="1" w:line="360" w:lineRule="auto"/>
              <w:rPr>
                <w:rFonts w:asciiTheme="majorHAnsi" w:hAnsiTheme="majorHAnsi" w:cstheme="majorHAnsi"/>
                <w:b/>
                <w:sz w:val="20"/>
                <w:szCs w:val="20"/>
                <w:lang w:val="en-US"/>
              </w:rPr>
            </w:pPr>
            <w:r w:rsidRPr="00C63262">
              <w:rPr>
                <w:rFonts w:asciiTheme="majorHAnsi" w:hAnsiTheme="majorHAnsi" w:cstheme="majorHAnsi"/>
                <w:b/>
                <w:sz w:val="20"/>
                <w:szCs w:val="20"/>
                <w:lang w:val="en-US"/>
              </w:rPr>
              <w:t>School ID</w:t>
            </w:r>
          </w:p>
        </w:tc>
        <w:tc>
          <w:tcPr>
            <w:tcW w:w="3261" w:type="dxa"/>
          </w:tcPr>
          <w:p w14:paraId="788A12D7" w14:textId="77777777" w:rsidR="00241383" w:rsidRPr="00C63262" w:rsidRDefault="00241383" w:rsidP="005805AC">
            <w:pPr>
              <w:spacing w:before="100" w:beforeAutospacing="1" w:after="100" w:afterAutospacing="1" w:line="360" w:lineRule="auto"/>
              <w:rPr>
                <w:rFonts w:asciiTheme="majorHAnsi" w:hAnsiTheme="majorHAnsi" w:cstheme="majorHAnsi"/>
                <w:b/>
                <w:color w:val="000000"/>
                <w:sz w:val="20"/>
                <w:szCs w:val="20"/>
                <w:lang w:val="en-US"/>
              </w:rPr>
            </w:pPr>
            <w:r w:rsidRPr="00C63262">
              <w:rPr>
                <w:rFonts w:asciiTheme="majorHAnsi" w:hAnsiTheme="majorHAnsi" w:cstheme="majorHAnsi"/>
                <w:b/>
                <w:color w:val="000000"/>
                <w:sz w:val="20"/>
                <w:szCs w:val="20"/>
                <w:lang w:val="en-US"/>
              </w:rPr>
              <w:t>Schools/Office</w:t>
            </w:r>
          </w:p>
        </w:tc>
        <w:tc>
          <w:tcPr>
            <w:tcW w:w="2409" w:type="dxa"/>
            <w:noWrap/>
            <w:hideMark/>
          </w:tcPr>
          <w:p w14:paraId="6401C168" w14:textId="77777777" w:rsidR="00241383" w:rsidRPr="00C63262" w:rsidRDefault="00241383" w:rsidP="005805AC">
            <w:pPr>
              <w:spacing w:before="100" w:beforeAutospacing="1" w:after="100" w:afterAutospacing="1" w:line="360" w:lineRule="auto"/>
              <w:rPr>
                <w:rFonts w:asciiTheme="majorHAnsi" w:hAnsiTheme="majorHAnsi" w:cstheme="majorHAnsi"/>
                <w:b/>
                <w:color w:val="000000"/>
                <w:sz w:val="20"/>
                <w:szCs w:val="20"/>
                <w:lang w:val="en-US"/>
              </w:rPr>
            </w:pPr>
            <w:r w:rsidRPr="00C63262">
              <w:rPr>
                <w:rFonts w:asciiTheme="majorHAnsi" w:hAnsiTheme="majorHAnsi" w:cstheme="majorHAnsi"/>
                <w:b/>
                <w:color w:val="000000"/>
                <w:sz w:val="20"/>
                <w:szCs w:val="20"/>
                <w:lang w:val="en-US"/>
              </w:rPr>
              <w:t>Participants</w:t>
            </w:r>
          </w:p>
        </w:tc>
        <w:tc>
          <w:tcPr>
            <w:tcW w:w="993" w:type="dxa"/>
            <w:noWrap/>
            <w:hideMark/>
          </w:tcPr>
          <w:p w14:paraId="3265A400" w14:textId="77777777" w:rsidR="00241383" w:rsidRPr="00C63262" w:rsidRDefault="00241383" w:rsidP="005805AC">
            <w:pPr>
              <w:spacing w:before="100" w:beforeAutospacing="1" w:after="100" w:afterAutospacing="1" w:line="360" w:lineRule="auto"/>
              <w:rPr>
                <w:rFonts w:asciiTheme="majorHAnsi" w:hAnsiTheme="majorHAnsi" w:cstheme="majorHAnsi"/>
                <w:b/>
                <w:color w:val="000000"/>
                <w:sz w:val="20"/>
                <w:szCs w:val="20"/>
                <w:lang w:val="en-US"/>
              </w:rPr>
            </w:pPr>
            <w:r w:rsidRPr="00C63262">
              <w:rPr>
                <w:rFonts w:asciiTheme="majorHAnsi" w:hAnsiTheme="majorHAnsi" w:cstheme="majorHAnsi"/>
                <w:b/>
                <w:color w:val="000000"/>
                <w:sz w:val="20"/>
                <w:szCs w:val="20"/>
                <w:lang w:val="en-US"/>
              </w:rPr>
              <w:t>Sex</w:t>
            </w:r>
          </w:p>
        </w:tc>
        <w:tc>
          <w:tcPr>
            <w:tcW w:w="2835" w:type="dxa"/>
            <w:noWrap/>
            <w:hideMark/>
          </w:tcPr>
          <w:p w14:paraId="00515917" w14:textId="77777777" w:rsidR="00241383" w:rsidRPr="00C63262" w:rsidRDefault="00241383" w:rsidP="005805AC">
            <w:pPr>
              <w:spacing w:before="100" w:beforeAutospacing="1" w:after="100" w:afterAutospacing="1" w:line="360" w:lineRule="auto"/>
              <w:rPr>
                <w:rFonts w:asciiTheme="majorHAnsi" w:hAnsiTheme="majorHAnsi" w:cstheme="majorHAnsi"/>
                <w:b/>
                <w:color w:val="000000"/>
                <w:sz w:val="20"/>
                <w:szCs w:val="20"/>
                <w:lang w:val="en-US"/>
              </w:rPr>
            </w:pPr>
            <w:r w:rsidRPr="00C63262">
              <w:rPr>
                <w:rFonts w:asciiTheme="majorHAnsi" w:hAnsiTheme="majorHAnsi" w:cstheme="majorHAnsi"/>
                <w:b/>
                <w:color w:val="000000"/>
                <w:sz w:val="20"/>
                <w:szCs w:val="20"/>
                <w:lang w:val="en-US"/>
              </w:rPr>
              <w:t>Designation / Department</w:t>
            </w:r>
          </w:p>
        </w:tc>
      </w:tr>
      <w:tr w:rsidR="00D7461F" w:rsidRPr="00C63262" w14:paraId="0EA7BB27" w14:textId="77777777" w:rsidTr="00241383">
        <w:trPr>
          <w:trHeight w:val="287"/>
        </w:trPr>
        <w:tc>
          <w:tcPr>
            <w:tcW w:w="1129" w:type="dxa"/>
            <w:tcBorders>
              <w:bottom w:val="single" w:sz="4" w:space="0" w:color="auto"/>
            </w:tcBorders>
          </w:tcPr>
          <w:p w14:paraId="2CFAFEA5" w14:textId="0A645506" w:rsidR="00D7461F" w:rsidRPr="00C63262" w:rsidRDefault="00D7461F" w:rsidP="002A7736">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173513</w:t>
            </w:r>
          </w:p>
        </w:tc>
        <w:tc>
          <w:tcPr>
            <w:tcW w:w="3261" w:type="dxa"/>
            <w:tcBorders>
              <w:bottom w:val="single" w:sz="4" w:space="0" w:color="auto"/>
            </w:tcBorders>
          </w:tcPr>
          <w:p w14:paraId="450CCF72" w14:textId="54027258" w:rsidR="00D7461F" w:rsidRPr="00C63262" w:rsidRDefault="00D7461F" w:rsidP="002A7736">
            <w:pPr>
              <w:widowControl w:val="0"/>
              <w:numPr>
                <w:ilvl w:val="0"/>
                <w:numId w:val="103"/>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Alejandro T. Manaog Elementary School</w:t>
            </w:r>
          </w:p>
        </w:tc>
        <w:tc>
          <w:tcPr>
            <w:tcW w:w="2409" w:type="dxa"/>
            <w:noWrap/>
            <w:hideMark/>
          </w:tcPr>
          <w:p w14:paraId="61883F78" w14:textId="77777777" w:rsidR="00D7461F" w:rsidRPr="00C63262" w:rsidRDefault="00D7461F" w:rsidP="002A7736">
            <w:pPr>
              <w:widowControl w:val="0"/>
              <w:numPr>
                <w:ilvl w:val="0"/>
                <w:numId w:val="104"/>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Marilyn Brazil</w:t>
            </w:r>
          </w:p>
        </w:tc>
        <w:tc>
          <w:tcPr>
            <w:tcW w:w="993" w:type="dxa"/>
            <w:noWrap/>
            <w:hideMark/>
          </w:tcPr>
          <w:p w14:paraId="42F7D521" w14:textId="77777777" w:rsidR="00D7461F" w:rsidRPr="00C63262" w:rsidRDefault="00D7461F" w:rsidP="002A7736">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noWrap/>
            <w:hideMark/>
          </w:tcPr>
          <w:p w14:paraId="38B83A77" w14:textId="77777777" w:rsidR="00D7461F" w:rsidRPr="00C63262" w:rsidRDefault="00D7461F" w:rsidP="002A7736">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Head Teacher III</w:t>
            </w:r>
          </w:p>
        </w:tc>
      </w:tr>
      <w:tr w:rsidR="00D7461F" w:rsidRPr="00C63262" w14:paraId="120636CE" w14:textId="77777777" w:rsidTr="00241383">
        <w:trPr>
          <w:trHeight w:val="300"/>
        </w:trPr>
        <w:tc>
          <w:tcPr>
            <w:tcW w:w="1129" w:type="dxa"/>
            <w:tcBorders>
              <w:bottom w:val="nil"/>
            </w:tcBorders>
          </w:tcPr>
          <w:p w14:paraId="0730CF25" w14:textId="461E6D51" w:rsidR="00D7461F" w:rsidRPr="00C63262" w:rsidRDefault="00D7461F" w:rsidP="002A7736">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113051</w:t>
            </w:r>
          </w:p>
        </w:tc>
        <w:tc>
          <w:tcPr>
            <w:tcW w:w="3261" w:type="dxa"/>
            <w:tcBorders>
              <w:bottom w:val="nil"/>
            </w:tcBorders>
          </w:tcPr>
          <w:p w14:paraId="2433A37B" w14:textId="7CE98A48" w:rsidR="00D7461F" w:rsidRPr="00C63262" w:rsidRDefault="00D7461F" w:rsidP="002A7736">
            <w:pPr>
              <w:widowControl w:val="0"/>
              <w:numPr>
                <w:ilvl w:val="0"/>
                <w:numId w:val="103"/>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Alteza Elementary School</w:t>
            </w:r>
          </w:p>
        </w:tc>
        <w:tc>
          <w:tcPr>
            <w:tcW w:w="2409" w:type="dxa"/>
            <w:noWrap/>
            <w:hideMark/>
          </w:tcPr>
          <w:p w14:paraId="239350EF" w14:textId="77777777" w:rsidR="00D7461F" w:rsidRPr="00C63262" w:rsidRDefault="00D7461F" w:rsidP="002A7736">
            <w:pPr>
              <w:widowControl w:val="0"/>
              <w:numPr>
                <w:ilvl w:val="0"/>
                <w:numId w:val="104"/>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Jocelyn P. Abengoza</w:t>
            </w:r>
          </w:p>
        </w:tc>
        <w:tc>
          <w:tcPr>
            <w:tcW w:w="993" w:type="dxa"/>
            <w:noWrap/>
            <w:hideMark/>
          </w:tcPr>
          <w:p w14:paraId="6594B63E" w14:textId="77777777" w:rsidR="00D7461F" w:rsidRPr="00C63262" w:rsidRDefault="00D7461F" w:rsidP="002A7736">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noWrap/>
            <w:hideMark/>
          </w:tcPr>
          <w:p w14:paraId="15204510" w14:textId="77777777" w:rsidR="00D7461F" w:rsidRPr="00C63262" w:rsidRDefault="00D7461F" w:rsidP="002A7736">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 III</w:t>
            </w:r>
          </w:p>
        </w:tc>
      </w:tr>
      <w:tr w:rsidR="00D7461F" w:rsidRPr="00C63262" w14:paraId="1A0DED08" w14:textId="77777777" w:rsidTr="00241383">
        <w:trPr>
          <w:trHeight w:val="300"/>
        </w:trPr>
        <w:tc>
          <w:tcPr>
            <w:tcW w:w="1129" w:type="dxa"/>
            <w:tcBorders>
              <w:top w:val="nil"/>
            </w:tcBorders>
          </w:tcPr>
          <w:p w14:paraId="49E1DB04" w14:textId="77777777" w:rsidR="00D7461F" w:rsidRPr="00C63262" w:rsidRDefault="00D7461F" w:rsidP="002A7736">
            <w:pPr>
              <w:spacing w:before="100" w:beforeAutospacing="1" w:after="100" w:afterAutospacing="1" w:line="360" w:lineRule="auto"/>
              <w:rPr>
                <w:rFonts w:asciiTheme="majorHAnsi" w:hAnsiTheme="majorHAnsi" w:cstheme="majorHAnsi"/>
                <w:sz w:val="20"/>
                <w:szCs w:val="20"/>
                <w:lang w:val="en-US"/>
              </w:rPr>
            </w:pPr>
          </w:p>
        </w:tc>
        <w:tc>
          <w:tcPr>
            <w:tcW w:w="3261" w:type="dxa"/>
            <w:tcBorders>
              <w:top w:val="nil"/>
            </w:tcBorders>
          </w:tcPr>
          <w:p w14:paraId="45F44D16" w14:textId="77777777" w:rsidR="00D7461F" w:rsidRPr="00C63262" w:rsidRDefault="00D7461F" w:rsidP="00FF4CA3">
            <w:pPr>
              <w:widowControl w:val="0"/>
              <w:spacing w:before="100" w:beforeAutospacing="1" w:after="100" w:afterAutospacing="1" w:line="360" w:lineRule="auto"/>
              <w:ind w:left="360"/>
              <w:rPr>
                <w:rFonts w:asciiTheme="majorHAnsi" w:hAnsiTheme="majorHAnsi" w:cstheme="majorHAnsi"/>
                <w:snapToGrid w:val="0"/>
                <w:color w:val="000000"/>
                <w:sz w:val="20"/>
                <w:szCs w:val="20"/>
                <w:lang w:val="en-US"/>
              </w:rPr>
            </w:pPr>
          </w:p>
        </w:tc>
        <w:tc>
          <w:tcPr>
            <w:tcW w:w="2409" w:type="dxa"/>
            <w:noWrap/>
            <w:hideMark/>
          </w:tcPr>
          <w:p w14:paraId="7B1C30E7" w14:textId="77777777" w:rsidR="00D7461F" w:rsidRPr="00C63262" w:rsidRDefault="00D7461F" w:rsidP="002A7736">
            <w:pPr>
              <w:widowControl w:val="0"/>
              <w:numPr>
                <w:ilvl w:val="0"/>
                <w:numId w:val="104"/>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Jennifer A. Alcantara</w:t>
            </w:r>
          </w:p>
        </w:tc>
        <w:tc>
          <w:tcPr>
            <w:tcW w:w="993" w:type="dxa"/>
            <w:noWrap/>
            <w:hideMark/>
          </w:tcPr>
          <w:p w14:paraId="038D19D0" w14:textId="77777777" w:rsidR="00D7461F" w:rsidRPr="00C63262" w:rsidRDefault="00D7461F" w:rsidP="002A7736">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noWrap/>
            <w:hideMark/>
          </w:tcPr>
          <w:p w14:paraId="5723F8D5" w14:textId="77777777" w:rsidR="00D7461F" w:rsidRPr="00C63262" w:rsidRDefault="00D7461F" w:rsidP="002A7736">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Principal</w:t>
            </w:r>
          </w:p>
        </w:tc>
      </w:tr>
    </w:tbl>
    <w:tbl>
      <w:tblPr>
        <w:tblStyle w:val="TableGrid1"/>
        <w:tblW w:w="10627" w:type="dxa"/>
        <w:tblLook w:val="04A0" w:firstRow="1" w:lastRow="0" w:firstColumn="1" w:lastColumn="0" w:noHBand="0" w:noVBand="1"/>
      </w:tblPr>
      <w:tblGrid>
        <w:gridCol w:w="1121"/>
        <w:gridCol w:w="3269"/>
        <w:gridCol w:w="2409"/>
        <w:gridCol w:w="993"/>
        <w:gridCol w:w="2835"/>
      </w:tblGrid>
      <w:tr w:rsidR="00752F42" w:rsidRPr="00C63262" w14:paraId="364601B9" w14:textId="77777777" w:rsidTr="00752F42">
        <w:trPr>
          <w:trHeight w:val="300"/>
        </w:trPr>
        <w:tc>
          <w:tcPr>
            <w:tcW w:w="1121" w:type="dxa"/>
            <w:tcBorders>
              <w:bottom w:val="nil"/>
            </w:tcBorders>
          </w:tcPr>
          <w:p w14:paraId="19B822F4" w14:textId="45359239" w:rsidR="00752F42" w:rsidRPr="00C63262" w:rsidRDefault="00752F42" w:rsidP="00752F42">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 112791</w:t>
            </w:r>
          </w:p>
        </w:tc>
        <w:tc>
          <w:tcPr>
            <w:tcW w:w="3269" w:type="dxa"/>
            <w:tcBorders>
              <w:bottom w:val="nil"/>
            </w:tcBorders>
          </w:tcPr>
          <w:p w14:paraId="4576F48C" w14:textId="5C475841" w:rsidR="00752F42" w:rsidRPr="00C63262" w:rsidRDefault="00752F42" w:rsidP="00752F42">
            <w:pPr>
              <w:widowControl w:val="0"/>
              <w:numPr>
                <w:ilvl w:val="0"/>
                <w:numId w:val="103"/>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Bagongbong Elementary School</w:t>
            </w:r>
          </w:p>
        </w:tc>
        <w:tc>
          <w:tcPr>
            <w:tcW w:w="2409" w:type="dxa"/>
            <w:noWrap/>
            <w:hideMark/>
          </w:tcPr>
          <w:p w14:paraId="7338F446" w14:textId="77777777" w:rsidR="00752F42" w:rsidRPr="00C63262" w:rsidRDefault="00752F42" w:rsidP="00752F42">
            <w:pPr>
              <w:widowControl w:val="0"/>
              <w:numPr>
                <w:ilvl w:val="0"/>
                <w:numId w:val="104"/>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Nida San Luis</w:t>
            </w:r>
          </w:p>
        </w:tc>
        <w:tc>
          <w:tcPr>
            <w:tcW w:w="993" w:type="dxa"/>
            <w:noWrap/>
            <w:hideMark/>
          </w:tcPr>
          <w:p w14:paraId="6B00071B" w14:textId="77777777" w:rsidR="00752F42" w:rsidRPr="00C63262" w:rsidRDefault="00752F42" w:rsidP="00752F42">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noWrap/>
            <w:hideMark/>
          </w:tcPr>
          <w:p w14:paraId="7B1D8360" w14:textId="77777777" w:rsidR="00752F42" w:rsidRPr="00C63262" w:rsidRDefault="00752F42" w:rsidP="00752F42">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Officer in Charge</w:t>
            </w:r>
          </w:p>
        </w:tc>
      </w:tr>
      <w:tr w:rsidR="00752F42" w:rsidRPr="00C63262" w14:paraId="02E786F0" w14:textId="77777777" w:rsidTr="00752F42">
        <w:trPr>
          <w:trHeight w:val="300"/>
        </w:trPr>
        <w:tc>
          <w:tcPr>
            <w:tcW w:w="1121" w:type="dxa"/>
            <w:tcBorders>
              <w:top w:val="nil"/>
            </w:tcBorders>
          </w:tcPr>
          <w:p w14:paraId="08268648" w14:textId="77777777" w:rsidR="00752F42" w:rsidRPr="00C63262" w:rsidRDefault="00752F42" w:rsidP="00752F42">
            <w:pPr>
              <w:spacing w:before="100" w:beforeAutospacing="1" w:after="100" w:afterAutospacing="1" w:line="360" w:lineRule="auto"/>
              <w:rPr>
                <w:rFonts w:asciiTheme="majorHAnsi" w:hAnsiTheme="majorHAnsi" w:cstheme="majorHAnsi"/>
                <w:sz w:val="20"/>
                <w:szCs w:val="20"/>
                <w:lang w:val="en-US"/>
              </w:rPr>
            </w:pPr>
          </w:p>
        </w:tc>
        <w:tc>
          <w:tcPr>
            <w:tcW w:w="3269" w:type="dxa"/>
            <w:tcBorders>
              <w:top w:val="nil"/>
            </w:tcBorders>
          </w:tcPr>
          <w:p w14:paraId="0C0A1F23" w14:textId="77777777" w:rsidR="00752F42" w:rsidRPr="00C63262" w:rsidRDefault="00752F42" w:rsidP="00752F42">
            <w:pPr>
              <w:widowControl w:val="0"/>
              <w:spacing w:before="100" w:beforeAutospacing="1" w:after="100" w:afterAutospacing="1" w:line="360" w:lineRule="auto"/>
              <w:ind w:left="360"/>
              <w:rPr>
                <w:rFonts w:asciiTheme="majorHAnsi" w:hAnsiTheme="majorHAnsi" w:cstheme="majorHAnsi"/>
                <w:snapToGrid w:val="0"/>
                <w:color w:val="000000"/>
                <w:sz w:val="20"/>
                <w:szCs w:val="20"/>
                <w:lang w:val="en-US"/>
              </w:rPr>
            </w:pPr>
          </w:p>
        </w:tc>
        <w:tc>
          <w:tcPr>
            <w:tcW w:w="2409" w:type="dxa"/>
            <w:noWrap/>
            <w:hideMark/>
          </w:tcPr>
          <w:p w14:paraId="5E151C90" w14:textId="77777777" w:rsidR="00752F42" w:rsidRPr="00C63262" w:rsidRDefault="00752F42" w:rsidP="00752F42">
            <w:pPr>
              <w:widowControl w:val="0"/>
              <w:numPr>
                <w:ilvl w:val="0"/>
                <w:numId w:val="104"/>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Edesa C. Lavandero</w:t>
            </w:r>
          </w:p>
        </w:tc>
        <w:tc>
          <w:tcPr>
            <w:tcW w:w="993" w:type="dxa"/>
            <w:noWrap/>
            <w:hideMark/>
          </w:tcPr>
          <w:p w14:paraId="6AF5A4DD" w14:textId="77777777" w:rsidR="00752F42" w:rsidRPr="00C63262" w:rsidRDefault="00752F42" w:rsidP="00752F42">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noWrap/>
            <w:hideMark/>
          </w:tcPr>
          <w:p w14:paraId="6CC2A958" w14:textId="77777777" w:rsidR="00752F42" w:rsidRPr="00C63262" w:rsidRDefault="00752F42" w:rsidP="00752F42">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 I</w:t>
            </w:r>
          </w:p>
        </w:tc>
      </w:tr>
      <w:tr w:rsidR="00752F42" w:rsidRPr="00C63262" w14:paraId="17403B9F" w14:textId="77777777" w:rsidTr="00752F42">
        <w:trPr>
          <w:trHeight w:val="300"/>
        </w:trPr>
        <w:tc>
          <w:tcPr>
            <w:tcW w:w="1121" w:type="dxa"/>
          </w:tcPr>
          <w:p w14:paraId="3263A42E" w14:textId="3337712B" w:rsidR="00752F42" w:rsidRPr="00C63262" w:rsidRDefault="00752F42" w:rsidP="00752F42">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112344</w:t>
            </w:r>
          </w:p>
        </w:tc>
        <w:tc>
          <w:tcPr>
            <w:tcW w:w="3269" w:type="dxa"/>
          </w:tcPr>
          <w:p w14:paraId="2A5846D0" w14:textId="38119C7E" w:rsidR="00752F42" w:rsidRPr="00C63262" w:rsidRDefault="00752F42" w:rsidP="00752F42">
            <w:pPr>
              <w:widowControl w:val="0"/>
              <w:numPr>
                <w:ilvl w:val="0"/>
                <w:numId w:val="103"/>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Balatan Central School</w:t>
            </w:r>
          </w:p>
        </w:tc>
        <w:tc>
          <w:tcPr>
            <w:tcW w:w="2409" w:type="dxa"/>
            <w:noWrap/>
            <w:hideMark/>
          </w:tcPr>
          <w:p w14:paraId="50247FD1" w14:textId="77777777" w:rsidR="00752F42" w:rsidRPr="00C63262" w:rsidRDefault="00752F42" w:rsidP="00752F42">
            <w:pPr>
              <w:widowControl w:val="0"/>
              <w:numPr>
                <w:ilvl w:val="0"/>
                <w:numId w:val="104"/>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Grace Selleza</w:t>
            </w:r>
          </w:p>
        </w:tc>
        <w:tc>
          <w:tcPr>
            <w:tcW w:w="993" w:type="dxa"/>
            <w:noWrap/>
            <w:hideMark/>
          </w:tcPr>
          <w:p w14:paraId="23486000" w14:textId="77777777" w:rsidR="00752F42" w:rsidRPr="00C63262" w:rsidRDefault="00752F42" w:rsidP="00752F42">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noWrap/>
            <w:hideMark/>
          </w:tcPr>
          <w:p w14:paraId="2A97A922" w14:textId="77777777" w:rsidR="00752F42" w:rsidRPr="00C63262" w:rsidRDefault="00752F42" w:rsidP="00752F42">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Elementary School Principal II</w:t>
            </w:r>
          </w:p>
        </w:tc>
      </w:tr>
      <w:tr w:rsidR="00752F42" w:rsidRPr="00C63262" w14:paraId="22970310" w14:textId="77777777" w:rsidTr="00752F42">
        <w:trPr>
          <w:trHeight w:val="300"/>
        </w:trPr>
        <w:tc>
          <w:tcPr>
            <w:tcW w:w="1121" w:type="dxa"/>
            <w:tcBorders>
              <w:bottom w:val="single" w:sz="4" w:space="0" w:color="auto"/>
            </w:tcBorders>
          </w:tcPr>
          <w:p w14:paraId="481C1229" w14:textId="70FD5E01" w:rsidR="00752F42" w:rsidRPr="00C63262" w:rsidRDefault="00752F42" w:rsidP="00752F42">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112920</w:t>
            </w:r>
          </w:p>
        </w:tc>
        <w:tc>
          <w:tcPr>
            <w:tcW w:w="3269" w:type="dxa"/>
            <w:tcBorders>
              <w:bottom w:val="single" w:sz="4" w:space="0" w:color="auto"/>
            </w:tcBorders>
          </w:tcPr>
          <w:p w14:paraId="200291B4" w14:textId="16AD5050" w:rsidR="00752F42" w:rsidRPr="00C63262" w:rsidRDefault="00752F42" w:rsidP="00752F42">
            <w:pPr>
              <w:widowControl w:val="0"/>
              <w:numPr>
                <w:ilvl w:val="0"/>
                <w:numId w:val="103"/>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Binauanan Norte Elementary School</w:t>
            </w:r>
          </w:p>
        </w:tc>
        <w:tc>
          <w:tcPr>
            <w:tcW w:w="2409" w:type="dxa"/>
            <w:noWrap/>
            <w:hideMark/>
          </w:tcPr>
          <w:p w14:paraId="7A3CECF0" w14:textId="77777777" w:rsidR="00752F42" w:rsidRPr="00C63262" w:rsidRDefault="00752F42" w:rsidP="00752F42">
            <w:pPr>
              <w:widowControl w:val="0"/>
              <w:numPr>
                <w:ilvl w:val="0"/>
                <w:numId w:val="104"/>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 xml:space="preserve">Emily Vega </w:t>
            </w:r>
          </w:p>
        </w:tc>
        <w:tc>
          <w:tcPr>
            <w:tcW w:w="993" w:type="dxa"/>
            <w:noWrap/>
            <w:hideMark/>
          </w:tcPr>
          <w:p w14:paraId="0E5A9CEA" w14:textId="77777777" w:rsidR="00752F42" w:rsidRPr="00C63262" w:rsidRDefault="00752F42" w:rsidP="00752F42">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noWrap/>
            <w:hideMark/>
          </w:tcPr>
          <w:p w14:paraId="45427BDF" w14:textId="77777777" w:rsidR="00752F42" w:rsidRPr="00C63262" w:rsidRDefault="00752F42" w:rsidP="00752F42">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 in Charge</w:t>
            </w:r>
          </w:p>
        </w:tc>
      </w:tr>
      <w:tr w:rsidR="00752F42" w:rsidRPr="00C63262" w14:paraId="346857E4" w14:textId="77777777" w:rsidTr="00752F42">
        <w:trPr>
          <w:trHeight w:val="300"/>
        </w:trPr>
        <w:tc>
          <w:tcPr>
            <w:tcW w:w="1121" w:type="dxa"/>
            <w:tcBorders>
              <w:bottom w:val="nil"/>
            </w:tcBorders>
          </w:tcPr>
          <w:p w14:paraId="4D3B8D80" w14:textId="430C2EF8" w:rsidR="00752F42" w:rsidRPr="00C63262" w:rsidRDefault="00752F42" w:rsidP="00752F42">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114340</w:t>
            </w:r>
          </w:p>
        </w:tc>
        <w:tc>
          <w:tcPr>
            <w:tcW w:w="3269" w:type="dxa"/>
            <w:tcBorders>
              <w:bottom w:val="nil"/>
            </w:tcBorders>
          </w:tcPr>
          <w:p w14:paraId="0D16853C" w14:textId="11EECBEE" w:rsidR="00752F42" w:rsidRPr="00C63262" w:rsidRDefault="00752F42" w:rsidP="00752F42">
            <w:pPr>
              <w:widowControl w:val="0"/>
              <w:numPr>
                <w:ilvl w:val="0"/>
                <w:numId w:val="103"/>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Bulabog Elementary School</w:t>
            </w:r>
          </w:p>
        </w:tc>
        <w:tc>
          <w:tcPr>
            <w:tcW w:w="2409" w:type="dxa"/>
            <w:noWrap/>
            <w:hideMark/>
          </w:tcPr>
          <w:p w14:paraId="43D3E805" w14:textId="77777777" w:rsidR="00752F42" w:rsidRPr="00C63262" w:rsidRDefault="00752F42" w:rsidP="00752F42">
            <w:pPr>
              <w:widowControl w:val="0"/>
              <w:numPr>
                <w:ilvl w:val="0"/>
                <w:numId w:val="104"/>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Agnes Lusuriaga</w:t>
            </w:r>
          </w:p>
        </w:tc>
        <w:tc>
          <w:tcPr>
            <w:tcW w:w="993" w:type="dxa"/>
            <w:noWrap/>
            <w:hideMark/>
          </w:tcPr>
          <w:p w14:paraId="3378E195" w14:textId="77777777" w:rsidR="00752F42" w:rsidRPr="00C63262" w:rsidRDefault="00752F42" w:rsidP="00752F42">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noWrap/>
            <w:hideMark/>
          </w:tcPr>
          <w:p w14:paraId="3F72DBD5" w14:textId="77777777" w:rsidR="00752F42" w:rsidRPr="00C63262" w:rsidRDefault="00752F42" w:rsidP="00752F42">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Elementary School Head Teacher I</w:t>
            </w:r>
          </w:p>
        </w:tc>
      </w:tr>
      <w:tr w:rsidR="00752F42" w:rsidRPr="00C63262" w14:paraId="7E818947" w14:textId="77777777" w:rsidTr="00752F42">
        <w:trPr>
          <w:trHeight w:val="300"/>
        </w:trPr>
        <w:tc>
          <w:tcPr>
            <w:tcW w:w="1121" w:type="dxa"/>
            <w:tcBorders>
              <w:top w:val="nil"/>
              <w:bottom w:val="nil"/>
            </w:tcBorders>
          </w:tcPr>
          <w:p w14:paraId="26B497AF" w14:textId="77777777" w:rsidR="00752F42" w:rsidRPr="00C63262" w:rsidRDefault="00752F42" w:rsidP="00752F42">
            <w:pPr>
              <w:spacing w:before="100" w:beforeAutospacing="1" w:after="100" w:afterAutospacing="1" w:line="360" w:lineRule="auto"/>
              <w:rPr>
                <w:rFonts w:asciiTheme="majorHAnsi" w:hAnsiTheme="majorHAnsi" w:cstheme="majorHAnsi"/>
                <w:color w:val="000000"/>
                <w:sz w:val="20"/>
                <w:szCs w:val="20"/>
                <w:lang w:val="en-US"/>
              </w:rPr>
            </w:pPr>
          </w:p>
        </w:tc>
        <w:tc>
          <w:tcPr>
            <w:tcW w:w="3269" w:type="dxa"/>
            <w:tcBorders>
              <w:top w:val="nil"/>
              <w:bottom w:val="nil"/>
            </w:tcBorders>
          </w:tcPr>
          <w:p w14:paraId="602B638A" w14:textId="77777777" w:rsidR="00752F42" w:rsidRPr="00C63262" w:rsidRDefault="00752F42" w:rsidP="00752F42">
            <w:pPr>
              <w:widowControl w:val="0"/>
              <w:spacing w:before="100" w:beforeAutospacing="1" w:after="100" w:afterAutospacing="1" w:line="360" w:lineRule="auto"/>
              <w:ind w:left="360"/>
              <w:rPr>
                <w:rFonts w:asciiTheme="majorHAnsi" w:hAnsiTheme="majorHAnsi" w:cstheme="majorHAnsi"/>
                <w:snapToGrid w:val="0"/>
                <w:color w:val="000000"/>
                <w:sz w:val="20"/>
                <w:szCs w:val="20"/>
                <w:lang w:val="en-US"/>
              </w:rPr>
            </w:pPr>
          </w:p>
        </w:tc>
        <w:tc>
          <w:tcPr>
            <w:tcW w:w="2409" w:type="dxa"/>
            <w:noWrap/>
            <w:hideMark/>
          </w:tcPr>
          <w:p w14:paraId="09C5FAA2" w14:textId="77777777" w:rsidR="00752F42" w:rsidRPr="00C63262" w:rsidRDefault="00752F42" w:rsidP="00752F42">
            <w:pPr>
              <w:widowControl w:val="0"/>
              <w:numPr>
                <w:ilvl w:val="0"/>
                <w:numId w:val="104"/>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 xml:space="preserve">Catherine B. Riano </w:t>
            </w:r>
          </w:p>
        </w:tc>
        <w:tc>
          <w:tcPr>
            <w:tcW w:w="993" w:type="dxa"/>
            <w:noWrap/>
            <w:hideMark/>
          </w:tcPr>
          <w:p w14:paraId="0B2CD180" w14:textId="77777777" w:rsidR="00752F42" w:rsidRPr="00C63262" w:rsidRDefault="00752F42" w:rsidP="00752F42">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noWrap/>
            <w:hideMark/>
          </w:tcPr>
          <w:p w14:paraId="516DDB43" w14:textId="77777777" w:rsidR="00752F42" w:rsidRPr="00C63262" w:rsidRDefault="00752F42" w:rsidP="00752F42">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 I</w:t>
            </w:r>
          </w:p>
        </w:tc>
      </w:tr>
      <w:tr w:rsidR="00752F42" w:rsidRPr="00C63262" w14:paraId="0E7CECAD" w14:textId="77777777" w:rsidTr="00752F42">
        <w:trPr>
          <w:trHeight w:val="300"/>
        </w:trPr>
        <w:tc>
          <w:tcPr>
            <w:tcW w:w="1121" w:type="dxa"/>
            <w:tcBorders>
              <w:top w:val="nil"/>
              <w:bottom w:val="single" w:sz="4" w:space="0" w:color="auto"/>
            </w:tcBorders>
          </w:tcPr>
          <w:p w14:paraId="4336D8DE" w14:textId="77777777" w:rsidR="00752F42" w:rsidRPr="00C63262" w:rsidRDefault="00752F42" w:rsidP="00752F42">
            <w:pPr>
              <w:spacing w:before="100" w:beforeAutospacing="1" w:after="100" w:afterAutospacing="1" w:line="360" w:lineRule="auto"/>
              <w:rPr>
                <w:rFonts w:asciiTheme="majorHAnsi" w:hAnsiTheme="majorHAnsi" w:cstheme="majorHAnsi"/>
                <w:color w:val="000000"/>
                <w:sz w:val="20"/>
                <w:szCs w:val="20"/>
                <w:lang w:val="en-US"/>
              </w:rPr>
            </w:pPr>
          </w:p>
        </w:tc>
        <w:tc>
          <w:tcPr>
            <w:tcW w:w="3269" w:type="dxa"/>
            <w:tcBorders>
              <w:top w:val="nil"/>
              <w:bottom w:val="single" w:sz="4" w:space="0" w:color="auto"/>
            </w:tcBorders>
          </w:tcPr>
          <w:p w14:paraId="4A383887" w14:textId="77777777" w:rsidR="00752F42" w:rsidRPr="00C63262" w:rsidRDefault="00752F42" w:rsidP="00752F42">
            <w:pPr>
              <w:widowControl w:val="0"/>
              <w:spacing w:before="100" w:beforeAutospacing="1" w:after="100" w:afterAutospacing="1" w:line="360" w:lineRule="auto"/>
              <w:ind w:left="360"/>
              <w:rPr>
                <w:rFonts w:asciiTheme="majorHAnsi" w:hAnsiTheme="majorHAnsi" w:cstheme="majorHAnsi"/>
                <w:snapToGrid w:val="0"/>
                <w:color w:val="000000"/>
                <w:sz w:val="20"/>
                <w:szCs w:val="20"/>
                <w:lang w:val="en-US"/>
              </w:rPr>
            </w:pPr>
          </w:p>
        </w:tc>
        <w:tc>
          <w:tcPr>
            <w:tcW w:w="2409" w:type="dxa"/>
            <w:noWrap/>
            <w:hideMark/>
          </w:tcPr>
          <w:p w14:paraId="548DB72F" w14:textId="77777777" w:rsidR="00752F42" w:rsidRPr="00C63262" w:rsidRDefault="00752F42" w:rsidP="00752F42">
            <w:pPr>
              <w:widowControl w:val="0"/>
              <w:numPr>
                <w:ilvl w:val="0"/>
                <w:numId w:val="104"/>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Jessica G. Ramisan</w:t>
            </w:r>
          </w:p>
        </w:tc>
        <w:tc>
          <w:tcPr>
            <w:tcW w:w="993" w:type="dxa"/>
            <w:noWrap/>
            <w:hideMark/>
          </w:tcPr>
          <w:p w14:paraId="5BB970FF" w14:textId="77777777" w:rsidR="00752F42" w:rsidRPr="00C63262" w:rsidRDefault="00752F42" w:rsidP="00752F42">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noWrap/>
            <w:hideMark/>
          </w:tcPr>
          <w:p w14:paraId="7430C831" w14:textId="77777777" w:rsidR="00752F42" w:rsidRPr="00C63262" w:rsidRDefault="00752F42" w:rsidP="00752F42">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Master Teacher I</w:t>
            </w:r>
          </w:p>
        </w:tc>
      </w:tr>
      <w:tr w:rsidR="00752F42" w:rsidRPr="00C63262" w14:paraId="30103324" w14:textId="77777777" w:rsidTr="00752F42">
        <w:trPr>
          <w:trHeight w:val="300"/>
        </w:trPr>
        <w:tc>
          <w:tcPr>
            <w:tcW w:w="1121" w:type="dxa"/>
            <w:tcBorders>
              <w:bottom w:val="nil"/>
            </w:tcBorders>
          </w:tcPr>
          <w:p w14:paraId="06F42ECF" w14:textId="4572BB6E" w:rsidR="00752F42" w:rsidRPr="00C63262" w:rsidRDefault="00752F42" w:rsidP="00752F42">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114034</w:t>
            </w:r>
          </w:p>
        </w:tc>
        <w:tc>
          <w:tcPr>
            <w:tcW w:w="3269" w:type="dxa"/>
            <w:tcBorders>
              <w:bottom w:val="nil"/>
            </w:tcBorders>
          </w:tcPr>
          <w:p w14:paraId="270D0AE0" w14:textId="11122C26" w:rsidR="00752F42" w:rsidRPr="00C63262" w:rsidRDefault="00752F42" w:rsidP="00752F42">
            <w:pPr>
              <w:widowControl w:val="0"/>
              <w:numPr>
                <w:ilvl w:val="0"/>
                <w:numId w:val="103"/>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Bulan South Central School</w:t>
            </w:r>
          </w:p>
        </w:tc>
        <w:tc>
          <w:tcPr>
            <w:tcW w:w="2409" w:type="dxa"/>
            <w:noWrap/>
            <w:hideMark/>
          </w:tcPr>
          <w:p w14:paraId="6ECF9932" w14:textId="77777777" w:rsidR="00752F42" w:rsidRPr="00C63262" w:rsidRDefault="00752F42" w:rsidP="00752F42">
            <w:pPr>
              <w:widowControl w:val="0"/>
              <w:numPr>
                <w:ilvl w:val="0"/>
                <w:numId w:val="104"/>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Roque M. Gepiga</w:t>
            </w:r>
          </w:p>
        </w:tc>
        <w:tc>
          <w:tcPr>
            <w:tcW w:w="993" w:type="dxa"/>
            <w:noWrap/>
            <w:hideMark/>
          </w:tcPr>
          <w:p w14:paraId="2D34F985" w14:textId="77777777" w:rsidR="00752F42" w:rsidRPr="00C63262" w:rsidRDefault="00752F42" w:rsidP="00752F42">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M</w:t>
            </w:r>
          </w:p>
        </w:tc>
        <w:tc>
          <w:tcPr>
            <w:tcW w:w="2835" w:type="dxa"/>
            <w:noWrap/>
            <w:hideMark/>
          </w:tcPr>
          <w:p w14:paraId="64551B96" w14:textId="77777777" w:rsidR="00752F42" w:rsidRPr="00C63262" w:rsidRDefault="00752F42" w:rsidP="00752F42">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School Principal II</w:t>
            </w:r>
          </w:p>
        </w:tc>
      </w:tr>
      <w:tr w:rsidR="00752F42" w:rsidRPr="00C63262" w14:paraId="035EEC24" w14:textId="77777777" w:rsidTr="00752F42">
        <w:trPr>
          <w:trHeight w:val="300"/>
        </w:trPr>
        <w:tc>
          <w:tcPr>
            <w:tcW w:w="1121" w:type="dxa"/>
            <w:tcBorders>
              <w:top w:val="nil"/>
              <w:bottom w:val="nil"/>
            </w:tcBorders>
          </w:tcPr>
          <w:p w14:paraId="6B744282" w14:textId="77777777" w:rsidR="00752F42" w:rsidRPr="00C63262" w:rsidRDefault="00752F42" w:rsidP="00752F42">
            <w:pPr>
              <w:spacing w:before="100" w:beforeAutospacing="1" w:after="100" w:afterAutospacing="1" w:line="360" w:lineRule="auto"/>
              <w:rPr>
                <w:rFonts w:asciiTheme="majorHAnsi" w:hAnsiTheme="majorHAnsi" w:cstheme="majorHAnsi"/>
                <w:color w:val="000000"/>
                <w:sz w:val="20"/>
                <w:szCs w:val="20"/>
                <w:lang w:val="en-US"/>
              </w:rPr>
            </w:pPr>
          </w:p>
        </w:tc>
        <w:tc>
          <w:tcPr>
            <w:tcW w:w="3269" w:type="dxa"/>
            <w:tcBorders>
              <w:top w:val="nil"/>
              <w:bottom w:val="nil"/>
            </w:tcBorders>
          </w:tcPr>
          <w:p w14:paraId="4842F3FA" w14:textId="77777777" w:rsidR="00752F42" w:rsidRPr="00C63262" w:rsidRDefault="00752F42" w:rsidP="00752F42">
            <w:pPr>
              <w:widowControl w:val="0"/>
              <w:spacing w:before="100" w:beforeAutospacing="1" w:after="100" w:afterAutospacing="1" w:line="360" w:lineRule="auto"/>
              <w:ind w:left="360"/>
              <w:rPr>
                <w:rFonts w:asciiTheme="majorHAnsi" w:hAnsiTheme="majorHAnsi" w:cstheme="majorHAnsi"/>
                <w:snapToGrid w:val="0"/>
                <w:color w:val="000000"/>
                <w:sz w:val="20"/>
                <w:szCs w:val="20"/>
                <w:lang w:val="en-US"/>
              </w:rPr>
            </w:pPr>
          </w:p>
        </w:tc>
        <w:tc>
          <w:tcPr>
            <w:tcW w:w="2409" w:type="dxa"/>
            <w:noWrap/>
            <w:hideMark/>
          </w:tcPr>
          <w:p w14:paraId="350D6F0C" w14:textId="77777777" w:rsidR="00752F42" w:rsidRPr="00C63262" w:rsidRDefault="00752F42" w:rsidP="00752F42">
            <w:pPr>
              <w:widowControl w:val="0"/>
              <w:numPr>
                <w:ilvl w:val="0"/>
                <w:numId w:val="104"/>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Nanette G. Grayor</w:t>
            </w:r>
          </w:p>
        </w:tc>
        <w:tc>
          <w:tcPr>
            <w:tcW w:w="993" w:type="dxa"/>
            <w:noWrap/>
            <w:hideMark/>
          </w:tcPr>
          <w:p w14:paraId="5F69DCF3" w14:textId="77777777" w:rsidR="00752F42" w:rsidRPr="00C63262" w:rsidRDefault="00752F42" w:rsidP="00752F42">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noWrap/>
            <w:hideMark/>
          </w:tcPr>
          <w:p w14:paraId="7B4E3BF4" w14:textId="77777777" w:rsidR="00752F42" w:rsidRPr="00C63262" w:rsidRDefault="00752F42" w:rsidP="00752F42">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Master Teacher I</w:t>
            </w:r>
          </w:p>
        </w:tc>
      </w:tr>
      <w:tr w:rsidR="00752F42" w:rsidRPr="00C63262" w14:paraId="3DBF262A" w14:textId="77777777" w:rsidTr="00752F42">
        <w:trPr>
          <w:trHeight w:val="300"/>
        </w:trPr>
        <w:tc>
          <w:tcPr>
            <w:tcW w:w="1121" w:type="dxa"/>
            <w:tcBorders>
              <w:top w:val="nil"/>
            </w:tcBorders>
          </w:tcPr>
          <w:p w14:paraId="58D56230" w14:textId="77777777" w:rsidR="00752F42" w:rsidRPr="00C63262" w:rsidRDefault="00752F42" w:rsidP="00752F42">
            <w:pPr>
              <w:spacing w:before="100" w:beforeAutospacing="1" w:after="100" w:afterAutospacing="1" w:line="360" w:lineRule="auto"/>
              <w:rPr>
                <w:rFonts w:asciiTheme="majorHAnsi" w:hAnsiTheme="majorHAnsi" w:cstheme="majorHAnsi"/>
                <w:color w:val="000000"/>
                <w:sz w:val="20"/>
                <w:szCs w:val="20"/>
                <w:lang w:val="en-US"/>
              </w:rPr>
            </w:pPr>
          </w:p>
        </w:tc>
        <w:tc>
          <w:tcPr>
            <w:tcW w:w="3269" w:type="dxa"/>
            <w:tcBorders>
              <w:top w:val="nil"/>
            </w:tcBorders>
          </w:tcPr>
          <w:p w14:paraId="5C2160E8" w14:textId="77777777" w:rsidR="00752F42" w:rsidRPr="00C63262" w:rsidRDefault="00752F42" w:rsidP="00752F42">
            <w:pPr>
              <w:widowControl w:val="0"/>
              <w:spacing w:before="100" w:beforeAutospacing="1" w:after="100" w:afterAutospacing="1" w:line="360" w:lineRule="auto"/>
              <w:ind w:left="360"/>
              <w:rPr>
                <w:rFonts w:asciiTheme="majorHAnsi" w:hAnsiTheme="majorHAnsi" w:cstheme="majorHAnsi"/>
                <w:snapToGrid w:val="0"/>
                <w:color w:val="000000"/>
                <w:sz w:val="20"/>
                <w:szCs w:val="20"/>
                <w:lang w:val="en-US"/>
              </w:rPr>
            </w:pPr>
          </w:p>
        </w:tc>
        <w:tc>
          <w:tcPr>
            <w:tcW w:w="2409" w:type="dxa"/>
            <w:noWrap/>
            <w:hideMark/>
          </w:tcPr>
          <w:p w14:paraId="3A8A95A4" w14:textId="77777777" w:rsidR="00752F42" w:rsidRPr="00C63262" w:rsidRDefault="00752F42" w:rsidP="00752F42">
            <w:pPr>
              <w:widowControl w:val="0"/>
              <w:numPr>
                <w:ilvl w:val="0"/>
                <w:numId w:val="104"/>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themeColor="text1"/>
                <w:sz w:val="20"/>
                <w:szCs w:val="20"/>
                <w:lang w:val="en-US"/>
              </w:rPr>
              <w:t>Jocelyn Ubalde</w:t>
            </w:r>
          </w:p>
        </w:tc>
        <w:tc>
          <w:tcPr>
            <w:tcW w:w="993" w:type="dxa"/>
            <w:noWrap/>
            <w:hideMark/>
          </w:tcPr>
          <w:p w14:paraId="719B93CF" w14:textId="77777777" w:rsidR="00752F42" w:rsidRPr="00C63262" w:rsidRDefault="00752F42" w:rsidP="00752F42">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noWrap/>
            <w:hideMark/>
          </w:tcPr>
          <w:p w14:paraId="7882673A" w14:textId="77777777" w:rsidR="00752F42" w:rsidRPr="00C63262" w:rsidRDefault="00752F42" w:rsidP="00752F42">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 III</w:t>
            </w:r>
          </w:p>
        </w:tc>
      </w:tr>
    </w:tbl>
    <w:p w14:paraId="035FFDF4" w14:textId="77777777" w:rsidR="00566D4B" w:rsidRDefault="00566D4B">
      <w:r>
        <w:br w:type="page"/>
      </w:r>
    </w:p>
    <w:tbl>
      <w:tblPr>
        <w:tblStyle w:val="TableGrid8"/>
        <w:tblW w:w="10627" w:type="dxa"/>
        <w:tblLook w:val="04A0" w:firstRow="1" w:lastRow="0" w:firstColumn="1" w:lastColumn="0" w:noHBand="0" w:noVBand="1"/>
      </w:tblPr>
      <w:tblGrid>
        <w:gridCol w:w="1129"/>
        <w:gridCol w:w="3261"/>
        <w:gridCol w:w="2409"/>
        <w:gridCol w:w="993"/>
        <w:gridCol w:w="2835"/>
      </w:tblGrid>
      <w:tr w:rsidR="00241383" w:rsidRPr="00C63262" w14:paraId="64D8FA45" w14:textId="77777777" w:rsidTr="005805AC">
        <w:trPr>
          <w:trHeight w:val="300"/>
          <w:tblHeader/>
        </w:trPr>
        <w:tc>
          <w:tcPr>
            <w:tcW w:w="1129" w:type="dxa"/>
          </w:tcPr>
          <w:p w14:paraId="22C4BBB8" w14:textId="2C2E32CF" w:rsidR="00241383" w:rsidRPr="00C63262" w:rsidRDefault="00241383" w:rsidP="005805AC">
            <w:pPr>
              <w:spacing w:before="100" w:beforeAutospacing="1" w:after="100" w:afterAutospacing="1" w:line="360" w:lineRule="auto"/>
              <w:rPr>
                <w:rFonts w:asciiTheme="majorHAnsi" w:hAnsiTheme="majorHAnsi" w:cstheme="majorHAnsi"/>
                <w:b/>
                <w:sz w:val="20"/>
                <w:szCs w:val="20"/>
                <w:lang w:val="en-US"/>
              </w:rPr>
            </w:pPr>
            <w:r w:rsidRPr="00C63262">
              <w:rPr>
                <w:rFonts w:asciiTheme="majorHAnsi" w:hAnsiTheme="majorHAnsi" w:cstheme="majorHAnsi"/>
                <w:b/>
                <w:sz w:val="20"/>
                <w:szCs w:val="20"/>
                <w:lang w:val="en-US"/>
              </w:rPr>
              <w:t>School ID</w:t>
            </w:r>
          </w:p>
        </w:tc>
        <w:tc>
          <w:tcPr>
            <w:tcW w:w="3261" w:type="dxa"/>
          </w:tcPr>
          <w:p w14:paraId="7062498C" w14:textId="77777777" w:rsidR="00241383" w:rsidRPr="00C63262" w:rsidRDefault="00241383" w:rsidP="005805AC">
            <w:pPr>
              <w:spacing w:before="100" w:beforeAutospacing="1" w:after="100" w:afterAutospacing="1" w:line="360" w:lineRule="auto"/>
              <w:rPr>
                <w:rFonts w:asciiTheme="majorHAnsi" w:hAnsiTheme="majorHAnsi" w:cstheme="majorHAnsi"/>
                <w:b/>
                <w:color w:val="000000"/>
                <w:sz w:val="20"/>
                <w:szCs w:val="20"/>
                <w:lang w:val="en-US"/>
              </w:rPr>
            </w:pPr>
            <w:r w:rsidRPr="00C63262">
              <w:rPr>
                <w:rFonts w:asciiTheme="majorHAnsi" w:hAnsiTheme="majorHAnsi" w:cstheme="majorHAnsi"/>
                <w:b/>
                <w:color w:val="000000"/>
                <w:sz w:val="20"/>
                <w:szCs w:val="20"/>
                <w:lang w:val="en-US"/>
              </w:rPr>
              <w:t>Schools/Office</w:t>
            </w:r>
          </w:p>
        </w:tc>
        <w:tc>
          <w:tcPr>
            <w:tcW w:w="2409" w:type="dxa"/>
            <w:noWrap/>
            <w:hideMark/>
          </w:tcPr>
          <w:p w14:paraId="05AC798C" w14:textId="77777777" w:rsidR="00241383" w:rsidRPr="00C63262" w:rsidRDefault="00241383" w:rsidP="005805AC">
            <w:pPr>
              <w:spacing w:before="100" w:beforeAutospacing="1" w:after="100" w:afterAutospacing="1" w:line="360" w:lineRule="auto"/>
              <w:rPr>
                <w:rFonts w:asciiTheme="majorHAnsi" w:hAnsiTheme="majorHAnsi" w:cstheme="majorHAnsi"/>
                <w:b/>
                <w:color w:val="000000"/>
                <w:sz w:val="20"/>
                <w:szCs w:val="20"/>
                <w:lang w:val="en-US"/>
              </w:rPr>
            </w:pPr>
            <w:r w:rsidRPr="00C63262">
              <w:rPr>
                <w:rFonts w:asciiTheme="majorHAnsi" w:hAnsiTheme="majorHAnsi" w:cstheme="majorHAnsi"/>
                <w:b/>
                <w:color w:val="000000"/>
                <w:sz w:val="20"/>
                <w:szCs w:val="20"/>
                <w:lang w:val="en-US"/>
              </w:rPr>
              <w:t>Participants</w:t>
            </w:r>
          </w:p>
        </w:tc>
        <w:tc>
          <w:tcPr>
            <w:tcW w:w="993" w:type="dxa"/>
            <w:noWrap/>
            <w:hideMark/>
          </w:tcPr>
          <w:p w14:paraId="44BFA2BC" w14:textId="77777777" w:rsidR="00241383" w:rsidRPr="00C63262" w:rsidRDefault="00241383" w:rsidP="005805AC">
            <w:pPr>
              <w:spacing w:before="100" w:beforeAutospacing="1" w:after="100" w:afterAutospacing="1" w:line="360" w:lineRule="auto"/>
              <w:rPr>
                <w:rFonts w:asciiTheme="majorHAnsi" w:hAnsiTheme="majorHAnsi" w:cstheme="majorHAnsi"/>
                <w:b/>
                <w:color w:val="000000"/>
                <w:sz w:val="20"/>
                <w:szCs w:val="20"/>
                <w:lang w:val="en-US"/>
              </w:rPr>
            </w:pPr>
            <w:r w:rsidRPr="00C63262">
              <w:rPr>
                <w:rFonts w:asciiTheme="majorHAnsi" w:hAnsiTheme="majorHAnsi" w:cstheme="majorHAnsi"/>
                <w:b/>
                <w:color w:val="000000"/>
                <w:sz w:val="20"/>
                <w:szCs w:val="20"/>
                <w:lang w:val="en-US"/>
              </w:rPr>
              <w:t>Sex</w:t>
            </w:r>
          </w:p>
        </w:tc>
        <w:tc>
          <w:tcPr>
            <w:tcW w:w="2835" w:type="dxa"/>
            <w:noWrap/>
            <w:hideMark/>
          </w:tcPr>
          <w:p w14:paraId="06D2ECF4" w14:textId="77777777" w:rsidR="00241383" w:rsidRPr="00C63262" w:rsidRDefault="00241383" w:rsidP="005805AC">
            <w:pPr>
              <w:spacing w:before="100" w:beforeAutospacing="1" w:after="100" w:afterAutospacing="1" w:line="360" w:lineRule="auto"/>
              <w:rPr>
                <w:rFonts w:asciiTheme="majorHAnsi" w:hAnsiTheme="majorHAnsi" w:cstheme="majorHAnsi"/>
                <w:b/>
                <w:color w:val="000000"/>
                <w:sz w:val="20"/>
                <w:szCs w:val="20"/>
                <w:lang w:val="en-US"/>
              </w:rPr>
            </w:pPr>
            <w:r w:rsidRPr="00C63262">
              <w:rPr>
                <w:rFonts w:asciiTheme="majorHAnsi" w:hAnsiTheme="majorHAnsi" w:cstheme="majorHAnsi"/>
                <w:b/>
                <w:color w:val="000000"/>
                <w:sz w:val="20"/>
                <w:szCs w:val="20"/>
                <w:lang w:val="en-US"/>
              </w:rPr>
              <w:t>Designation / Department</w:t>
            </w:r>
          </w:p>
        </w:tc>
      </w:tr>
    </w:tbl>
    <w:tbl>
      <w:tblPr>
        <w:tblStyle w:val="TableGrid1"/>
        <w:tblW w:w="10627" w:type="dxa"/>
        <w:tblLook w:val="04A0" w:firstRow="1" w:lastRow="0" w:firstColumn="1" w:lastColumn="0" w:noHBand="0" w:noVBand="1"/>
      </w:tblPr>
      <w:tblGrid>
        <w:gridCol w:w="1109"/>
        <w:gridCol w:w="3281"/>
        <w:gridCol w:w="2409"/>
        <w:gridCol w:w="993"/>
        <w:gridCol w:w="2835"/>
      </w:tblGrid>
      <w:tr w:rsidR="0044572D" w:rsidRPr="00C63262" w14:paraId="31ED0261" w14:textId="77777777" w:rsidTr="006C7ED6">
        <w:trPr>
          <w:trHeight w:val="300"/>
        </w:trPr>
        <w:tc>
          <w:tcPr>
            <w:tcW w:w="1109" w:type="dxa"/>
            <w:tcBorders>
              <w:bottom w:val="nil"/>
            </w:tcBorders>
          </w:tcPr>
          <w:p w14:paraId="64E610DD" w14:textId="7DF19729"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112616</w:t>
            </w:r>
          </w:p>
        </w:tc>
        <w:tc>
          <w:tcPr>
            <w:tcW w:w="3281" w:type="dxa"/>
            <w:tcBorders>
              <w:bottom w:val="nil"/>
            </w:tcBorders>
          </w:tcPr>
          <w:p w14:paraId="6D26B79B" w14:textId="286D46B0"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snapToGrid w:val="0"/>
                <w:color w:val="000000"/>
                <w:sz w:val="20"/>
                <w:szCs w:val="20"/>
                <w:lang w:val="en-US"/>
              </w:rPr>
              <w:t>Buyo Impact Elementary School</w:t>
            </w:r>
          </w:p>
        </w:tc>
        <w:tc>
          <w:tcPr>
            <w:tcW w:w="2409" w:type="dxa"/>
            <w:noWrap/>
            <w:hideMark/>
          </w:tcPr>
          <w:p w14:paraId="10513DA0" w14:textId="77777777" w:rsidR="0044572D" w:rsidRPr="00C63262" w:rsidRDefault="0044572D" w:rsidP="0044572D">
            <w:pPr>
              <w:widowControl w:val="0"/>
              <w:numPr>
                <w:ilvl w:val="0"/>
                <w:numId w:val="104"/>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Marlyn B. Tamploc</w:t>
            </w:r>
          </w:p>
        </w:tc>
        <w:tc>
          <w:tcPr>
            <w:tcW w:w="993" w:type="dxa"/>
            <w:noWrap/>
            <w:hideMark/>
          </w:tcPr>
          <w:p w14:paraId="17B5EAC2" w14:textId="77777777"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noWrap/>
            <w:hideMark/>
          </w:tcPr>
          <w:p w14:paraId="38FBE0D4" w14:textId="77777777"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Principal I</w:t>
            </w:r>
          </w:p>
        </w:tc>
      </w:tr>
      <w:tr w:rsidR="0044572D" w:rsidRPr="00C63262" w14:paraId="1FA022E5" w14:textId="77777777" w:rsidTr="006C7ED6">
        <w:trPr>
          <w:trHeight w:val="300"/>
        </w:trPr>
        <w:tc>
          <w:tcPr>
            <w:tcW w:w="1109" w:type="dxa"/>
            <w:tcBorders>
              <w:top w:val="nil"/>
              <w:bottom w:val="nil"/>
            </w:tcBorders>
          </w:tcPr>
          <w:p w14:paraId="3742D406" w14:textId="77777777"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p>
        </w:tc>
        <w:tc>
          <w:tcPr>
            <w:tcW w:w="3281" w:type="dxa"/>
            <w:tcBorders>
              <w:top w:val="nil"/>
              <w:bottom w:val="nil"/>
            </w:tcBorders>
          </w:tcPr>
          <w:p w14:paraId="747A56B7" w14:textId="77777777"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646D0768" w14:textId="77777777" w:rsidR="0044572D" w:rsidRPr="00C63262" w:rsidRDefault="0044572D" w:rsidP="0044572D">
            <w:pPr>
              <w:widowControl w:val="0"/>
              <w:numPr>
                <w:ilvl w:val="0"/>
                <w:numId w:val="104"/>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Ana Ailyn A. Arsuan</w:t>
            </w:r>
          </w:p>
        </w:tc>
        <w:tc>
          <w:tcPr>
            <w:tcW w:w="993" w:type="dxa"/>
            <w:noWrap/>
            <w:hideMark/>
          </w:tcPr>
          <w:p w14:paraId="45C206D5" w14:textId="77777777"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noWrap/>
            <w:hideMark/>
          </w:tcPr>
          <w:p w14:paraId="3F8D025B" w14:textId="77777777"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 II</w:t>
            </w:r>
          </w:p>
        </w:tc>
      </w:tr>
      <w:tr w:rsidR="0044572D" w:rsidRPr="00C63262" w14:paraId="5DECDB77" w14:textId="77777777" w:rsidTr="006C7ED6">
        <w:trPr>
          <w:trHeight w:val="300"/>
        </w:trPr>
        <w:tc>
          <w:tcPr>
            <w:tcW w:w="1109" w:type="dxa"/>
            <w:tcBorders>
              <w:top w:val="nil"/>
              <w:bottom w:val="nil"/>
            </w:tcBorders>
          </w:tcPr>
          <w:p w14:paraId="4B67CB1B" w14:textId="77777777"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p>
        </w:tc>
        <w:tc>
          <w:tcPr>
            <w:tcW w:w="3281" w:type="dxa"/>
            <w:tcBorders>
              <w:top w:val="nil"/>
              <w:bottom w:val="nil"/>
            </w:tcBorders>
          </w:tcPr>
          <w:p w14:paraId="41E1FBCB" w14:textId="77777777"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362C57F4" w14:textId="77777777" w:rsidR="0044572D" w:rsidRPr="00C63262" w:rsidRDefault="0044572D" w:rsidP="0044572D">
            <w:pPr>
              <w:widowControl w:val="0"/>
              <w:numPr>
                <w:ilvl w:val="0"/>
                <w:numId w:val="104"/>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Ricarda Joevin A. Primo</w:t>
            </w:r>
          </w:p>
        </w:tc>
        <w:tc>
          <w:tcPr>
            <w:tcW w:w="993" w:type="dxa"/>
            <w:noWrap/>
            <w:hideMark/>
          </w:tcPr>
          <w:p w14:paraId="5E370AF3" w14:textId="77777777"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noWrap/>
            <w:hideMark/>
          </w:tcPr>
          <w:p w14:paraId="00ABE7EB" w14:textId="77777777"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 I</w:t>
            </w:r>
          </w:p>
        </w:tc>
      </w:tr>
      <w:tr w:rsidR="0044572D" w:rsidRPr="00C63262" w14:paraId="50A63DA0" w14:textId="77777777" w:rsidTr="006C7ED6">
        <w:trPr>
          <w:trHeight w:val="300"/>
        </w:trPr>
        <w:tc>
          <w:tcPr>
            <w:tcW w:w="1109" w:type="dxa"/>
            <w:tcBorders>
              <w:top w:val="nil"/>
              <w:bottom w:val="nil"/>
            </w:tcBorders>
          </w:tcPr>
          <w:p w14:paraId="20178EA9" w14:textId="77777777"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p>
        </w:tc>
        <w:tc>
          <w:tcPr>
            <w:tcW w:w="3281" w:type="dxa"/>
            <w:tcBorders>
              <w:top w:val="nil"/>
              <w:bottom w:val="nil"/>
            </w:tcBorders>
          </w:tcPr>
          <w:p w14:paraId="59E4EDAE" w14:textId="77777777"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19CD3C43" w14:textId="77777777" w:rsidR="0044572D" w:rsidRPr="00C63262" w:rsidRDefault="0044572D" w:rsidP="0044572D">
            <w:pPr>
              <w:widowControl w:val="0"/>
              <w:numPr>
                <w:ilvl w:val="0"/>
                <w:numId w:val="104"/>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Alvin R. Dominguez</w:t>
            </w:r>
          </w:p>
        </w:tc>
        <w:tc>
          <w:tcPr>
            <w:tcW w:w="993" w:type="dxa"/>
            <w:noWrap/>
            <w:hideMark/>
          </w:tcPr>
          <w:p w14:paraId="718D95CD" w14:textId="77777777"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M</w:t>
            </w:r>
          </w:p>
        </w:tc>
        <w:tc>
          <w:tcPr>
            <w:tcW w:w="2835" w:type="dxa"/>
            <w:noWrap/>
            <w:hideMark/>
          </w:tcPr>
          <w:p w14:paraId="5FB8D3E7" w14:textId="77777777"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 I</w:t>
            </w:r>
          </w:p>
        </w:tc>
      </w:tr>
      <w:tr w:rsidR="0044572D" w:rsidRPr="00C63262" w14:paraId="30AB6120" w14:textId="77777777" w:rsidTr="006C7ED6">
        <w:trPr>
          <w:trHeight w:val="300"/>
        </w:trPr>
        <w:tc>
          <w:tcPr>
            <w:tcW w:w="1109" w:type="dxa"/>
            <w:tcBorders>
              <w:top w:val="nil"/>
              <w:bottom w:val="single" w:sz="4" w:space="0" w:color="auto"/>
            </w:tcBorders>
          </w:tcPr>
          <w:p w14:paraId="43D02D57" w14:textId="77777777"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p>
        </w:tc>
        <w:tc>
          <w:tcPr>
            <w:tcW w:w="3281" w:type="dxa"/>
            <w:tcBorders>
              <w:top w:val="nil"/>
              <w:bottom w:val="single" w:sz="4" w:space="0" w:color="auto"/>
            </w:tcBorders>
          </w:tcPr>
          <w:p w14:paraId="3E3B2E7B" w14:textId="77777777"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722A78ED" w14:textId="77777777" w:rsidR="0044572D" w:rsidRPr="00C63262" w:rsidRDefault="0044572D" w:rsidP="0044572D">
            <w:pPr>
              <w:widowControl w:val="0"/>
              <w:numPr>
                <w:ilvl w:val="0"/>
                <w:numId w:val="104"/>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Jackielyn P. Bacares</w:t>
            </w:r>
          </w:p>
        </w:tc>
        <w:tc>
          <w:tcPr>
            <w:tcW w:w="993" w:type="dxa"/>
            <w:noWrap/>
            <w:hideMark/>
          </w:tcPr>
          <w:p w14:paraId="626E151B" w14:textId="77777777"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noWrap/>
            <w:hideMark/>
          </w:tcPr>
          <w:p w14:paraId="342CAB10" w14:textId="77777777"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 I</w:t>
            </w:r>
          </w:p>
        </w:tc>
      </w:tr>
      <w:tr w:rsidR="0044572D" w:rsidRPr="00C63262" w14:paraId="47E6BBBA" w14:textId="77777777" w:rsidTr="006C7ED6">
        <w:trPr>
          <w:trHeight w:val="300"/>
        </w:trPr>
        <w:tc>
          <w:tcPr>
            <w:tcW w:w="1109" w:type="dxa"/>
            <w:tcBorders>
              <w:bottom w:val="nil"/>
            </w:tcBorders>
          </w:tcPr>
          <w:p w14:paraId="5DA205F0" w14:textId="38410D49"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112428</w:t>
            </w:r>
          </w:p>
        </w:tc>
        <w:tc>
          <w:tcPr>
            <w:tcW w:w="3281" w:type="dxa"/>
            <w:tcBorders>
              <w:bottom w:val="nil"/>
            </w:tcBorders>
          </w:tcPr>
          <w:p w14:paraId="740B876C" w14:textId="033D90B4"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snapToGrid w:val="0"/>
                <w:color w:val="000000"/>
                <w:sz w:val="20"/>
                <w:szCs w:val="20"/>
                <w:lang w:val="en-US"/>
              </w:rPr>
              <w:t>Caorasan Elementary School</w:t>
            </w:r>
          </w:p>
        </w:tc>
        <w:tc>
          <w:tcPr>
            <w:tcW w:w="2409" w:type="dxa"/>
            <w:noWrap/>
            <w:hideMark/>
          </w:tcPr>
          <w:p w14:paraId="6FF3E38D" w14:textId="77777777" w:rsidR="0044572D" w:rsidRPr="00C63262" w:rsidRDefault="0044572D" w:rsidP="0044572D">
            <w:pPr>
              <w:widowControl w:val="0"/>
              <w:numPr>
                <w:ilvl w:val="0"/>
                <w:numId w:val="104"/>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Julie Tercero</w:t>
            </w:r>
          </w:p>
        </w:tc>
        <w:tc>
          <w:tcPr>
            <w:tcW w:w="993" w:type="dxa"/>
            <w:noWrap/>
            <w:hideMark/>
          </w:tcPr>
          <w:p w14:paraId="7A6D8936" w14:textId="77777777"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noWrap/>
            <w:hideMark/>
          </w:tcPr>
          <w:p w14:paraId="5735D986" w14:textId="77777777"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Officer in Charge</w:t>
            </w:r>
          </w:p>
        </w:tc>
      </w:tr>
      <w:tr w:rsidR="0044572D" w:rsidRPr="00C63262" w14:paraId="432F7060" w14:textId="77777777" w:rsidTr="006C7ED6">
        <w:trPr>
          <w:trHeight w:val="300"/>
        </w:trPr>
        <w:tc>
          <w:tcPr>
            <w:tcW w:w="1109" w:type="dxa"/>
            <w:tcBorders>
              <w:top w:val="nil"/>
              <w:bottom w:val="nil"/>
            </w:tcBorders>
          </w:tcPr>
          <w:p w14:paraId="199A1193" w14:textId="77777777"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p>
        </w:tc>
        <w:tc>
          <w:tcPr>
            <w:tcW w:w="3281" w:type="dxa"/>
            <w:tcBorders>
              <w:top w:val="nil"/>
              <w:bottom w:val="nil"/>
            </w:tcBorders>
          </w:tcPr>
          <w:p w14:paraId="2DC58E3E" w14:textId="77777777"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120D6030" w14:textId="77777777" w:rsidR="0044572D" w:rsidRPr="00C63262" w:rsidRDefault="0044572D" w:rsidP="0044572D">
            <w:pPr>
              <w:widowControl w:val="0"/>
              <w:numPr>
                <w:ilvl w:val="0"/>
                <w:numId w:val="104"/>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Glady G. Elaurza</w:t>
            </w:r>
          </w:p>
        </w:tc>
        <w:tc>
          <w:tcPr>
            <w:tcW w:w="993" w:type="dxa"/>
            <w:noWrap/>
            <w:hideMark/>
          </w:tcPr>
          <w:p w14:paraId="262FD2C7" w14:textId="77777777"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noWrap/>
            <w:hideMark/>
          </w:tcPr>
          <w:p w14:paraId="13B5DEC2" w14:textId="77777777"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 I</w:t>
            </w:r>
          </w:p>
        </w:tc>
      </w:tr>
      <w:tr w:rsidR="0044572D" w:rsidRPr="00C63262" w14:paraId="26B71C43" w14:textId="77777777" w:rsidTr="006C7ED6">
        <w:trPr>
          <w:trHeight w:val="300"/>
        </w:trPr>
        <w:tc>
          <w:tcPr>
            <w:tcW w:w="1109" w:type="dxa"/>
            <w:tcBorders>
              <w:top w:val="nil"/>
            </w:tcBorders>
          </w:tcPr>
          <w:p w14:paraId="04631999" w14:textId="77777777"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p>
        </w:tc>
        <w:tc>
          <w:tcPr>
            <w:tcW w:w="3281" w:type="dxa"/>
            <w:tcBorders>
              <w:top w:val="nil"/>
            </w:tcBorders>
          </w:tcPr>
          <w:p w14:paraId="1C19111E" w14:textId="77777777"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5F237354" w14:textId="77777777" w:rsidR="0044572D" w:rsidRPr="00C63262" w:rsidRDefault="0044572D" w:rsidP="0044572D">
            <w:pPr>
              <w:widowControl w:val="0"/>
              <w:numPr>
                <w:ilvl w:val="0"/>
                <w:numId w:val="104"/>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Mary Ann S. Sabueto</w:t>
            </w:r>
          </w:p>
        </w:tc>
        <w:tc>
          <w:tcPr>
            <w:tcW w:w="993" w:type="dxa"/>
            <w:noWrap/>
            <w:hideMark/>
          </w:tcPr>
          <w:p w14:paraId="6E0C3FAB" w14:textId="77777777"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noWrap/>
            <w:hideMark/>
          </w:tcPr>
          <w:p w14:paraId="66F38160" w14:textId="77777777"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 I</w:t>
            </w:r>
          </w:p>
        </w:tc>
      </w:tr>
      <w:tr w:rsidR="0044572D" w:rsidRPr="00C63262" w14:paraId="416DC05F" w14:textId="77777777" w:rsidTr="006C7ED6">
        <w:trPr>
          <w:trHeight w:val="300"/>
        </w:trPr>
        <w:tc>
          <w:tcPr>
            <w:tcW w:w="1109" w:type="dxa"/>
            <w:tcBorders>
              <w:bottom w:val="single" w:sz="4" w:space="0" w:color="auto"/>
            </w:tcBorders>
          </w:tcPr>
          <w:p w14:paraId="629A4454" w14:textId="32A77A12"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114418</w:t>
            </w:r>
          </w:p>
        </w:tc>
        <w:tc>
          <w:tcPr>
            <w:tcW w:w="3281" w:type="dxa"/>
            <w:tcBorders>
              <w:bottom w:val="single" w:sz="4" w:space="0" w:color="auto"/>
            </w:tcBorders>
          </w:tcPr>
          <w:p w14:paraId="71134029" w14:textId="6BE4F6CB"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snapToGrid w:val="0"/>
                <w:color w:val="000000"/>
                <w:sz w:val="20"/>
                <w:szCs w:val="20"/>
                <w:lang w:val="en-US"/>
              </w:rPr>
              <w:t>Don Lazara Elementary School</w:t>
            </w:r>
          </w:p>
        </w:tc>
        <w:tc>
          <w:tcPr>
            <w:tcW w:w="2409" w:type="dxa"/>
            <w:noWrap/>
            <w:hideMark/>
          </w:tcPr>
          <w:p w14:paraId="59CF5B11" w14:textId="77777777" w:rsidR="0044572D" w:rsidRPr="00C63262" w:rsidRDefault="0044572D" w:rsidP="0044572D">
            <w:pPr>
              <w:widowControl w:val="0"/>
              <w:numPr>
                <w:ilvl w:val="0"/>
                <w:numId w:val="104"/>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Erwin A. Bona</w:t>
            </w:r>
          </w:p>
        </w:tc>
        <w:tc>
          <w:tcPr>
            <w:tcW w:w="993" w:type="dxa"/>
            <w:noWrap/>
            <w:hideMark/>
          </w:tcPr>
          <w:p w14:paraId="02E588A6" w14:textId="77777777"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M</w:t>
            </w:r>
          </w:p>
        </w:tc>
        <w:tc>
          <w:tcPr>
            <w:tcW w:w="2835" w:type="dxa"/>
            <w:noWrap/>
            <w:hideMark/>
          </w:tcPr>
          <w:p w14:paraId="3AB80A3E" w14:textId="77777777"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Elementary School Head Teacher III</w:t>
            </w:r>
          </w:p>
        </w:tc>
      </w:tr>
      <w:tr w:rsidR="0044572D" w:rsidRPr="00C63262" w14:paraId="4733E6FD" w14:textId="77777777" w:rsidTr="006C7ED6">
        <w:trPr>
          <w:trHeight w:val="300"/>
        </w:trPr>
        <w:tc>
          <w:tcPr>
            <w:tcW w:w="1109" w:type="dxa"/>
            <w:tcBorders>
              <w:bottom w:val="nil"/>
            </w:tcBorders>
          </w:tcPr>
          <w:p w14:paraId="0ABB06F7" w14:textId="5E02C221"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114038</w:t>
            </w:r>
          </w:p>
        </w:tc>
        <w:tc>
          <w:tcPr>
            <w:tcW w:w="3281" w:type="dxa"/>
            <w:tcBorders>
              <w:bottom w:val="nil"/>
            </w:tcBorders>
          </w:tcPr>
          <w:p w14:paraId="030AC238" w14:textId="49DCCCCC"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snapToGrid w:val="0"/>
                <w:color w:val="000000"/>
                <w:sz w:val="20"/>
                <w:szCs w:val="20"/>
                <w:lang w:val="en-US"/>
              </w:rPr>
              <w:t>G. Del Pilar Elementary School</w:t>
            </w:r>
          </w:p>
        </w:tc>
        <w:tc>
          <w:tcPr>
            <w:tcW w:w="2409" w:type="dxa"/>
            <w:noWrap/>
            <w:hideMark/>
          </w:tcPr>
          <w:p w14:paraId="7189AFA0" w14:textId="77777777" w:rsidR="0044572D" w:rsidRPr="00C63262" w:rsidRDefault="0044572D" w:rsidP="0044572D">
            <w:pPr>
              <w:widowControl w:val="0"/>
              <w:numPr>
                <w:ilvl w:val="0"/>
                <w:numId w:val="104"/>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Darwin Gersalia</w:t>
            </w:r>
          </w:p>
        </w:tc>
        <w:tc>
          <w:tcPr>
            <w:tcW w:w="993" w:type="dxa"/>
            <w:noWrap/>
            <w:hideMark/>
          </w:tcPr>
          <w:p w14:paraId="4A238C5A" w14:textId="77777777"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M</w:t>
            </w:r>
          </w:p>
        </w:tc>
        <w:tc>
          <w:tcPr>
            <w:tcW w:w="2835" w:type="dxa"/>
            <w:noWrap/>
            <w:hideMark/>
          </w:tcPr>
          <w:p w14:paraId="50CC4305" w14:textId="77777777"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Elementary School Head Teacher III</w:t>
            </w:r>
          </w:p>
        </w:tc>
      </w:tr>
      <w:tr w:rsidR="0044572D" w:rsidRPr="00C63262" w14:paraId="354134CE" w14:textId="77777777" w:rsidTr="006C7ED6">
        <w:trPr>
          <w:trHeight w:val="300"/>
        </w:trPr>
        <w:tc>
          <w:tcPr>
            <w:tcW w:w="1109" w:type="dxa"/>
            <w:tcBorders>
              <w:top w:val="nil"/>
              <w:bottom w:val="single" w:sz="4" w:space="0" w:color="auto"/>
            </w:tcBorders>
          </w:tcPr>
          <w:p w14:paraId="22B17FB9" w14:textId="77777777"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p>
        </w:tc>
        <w:tc>
          <w:tcPr>
            <w:tcW w:w="3281" w:type="dxa"/>
            <w:tcBorders>
              <w:top w:val="nil"/>
              <w:bottom w:val="single" w:sz="4" w:space="0" w:color="auto"/>
            </w:tcBorders>
          </w:tcPr>
          <w:p w14:paraId="03406ED4" w14:textId="77777777"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5F37C4B9" w14:textId="77777777" w:rsidR="0044572D" w:rsidRPr="00C63262" w:rsidRDefault="0044572D" w:rsidP="0044572D">
            <w:pPr>
              <w:widowControl w:val="0"/>
              <w:numPr>
                <w:ilvl w:val="0"/>
                <w:numId w:val="104"/>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Jose T. Gigante Jr.</w:t>
            </w:r>
          </w:p>
        </w:tc>
        <w:tc>
          <w:tcPr>
            <w:tcW w:w="993" w:type="dxa"/>
            <w:noWrap/>
            <w:hideMark/>
          </w:tcPr>
          <w:p w14:paraId="7982D940" w14:textId="77777777"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M</w:t>
            </w:r>
          </w:p>
        </w:tc>
        <w:tc>
          <w:tcPr>
            <w:tcW w:w="2835" w:type="dxa"/>
            <w:noWrap/>
            <w:hideMark/>
          </w:tcPr>
          <w:p w14:paraId="2BD5699B" w14:textId="77777777"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 I</w:t>
            </w:r>
          </w:p>
        </w:tc>
      </w:tr>
      <w:tr w:rsidR="0044572D" w:rsidRPr="00C63262" w14:paraId="73ADD3DE" w14:textId="77777777" w:rsidTr="006C7ED6">
        <w:trPr>
          <w:trHeight w:val="300"/>
        </w:trPr>
        <w:tc>
          <w:tcPr>
            <w:tcW w:w="1109" w:type="dxa"/>
            <w:tcBorders>
              <w:bottom w:val="nil"/>
            </w:tcBorders>
          </w:tcPr>
          <w:p w14:paraId="12DC2DC4" w14:textId="2ADE51AB"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113083</w:t>
            </w:r>
          </w:p>
        </w:tc>
        <w:tc>
          <w:tcPr>
            <w:tcW w:w="3281" w:type="dxa"/>
            <w:tcBorders>
              <w:bottom w:val="nil"/>
            </w:tcBorders>
          </w:tcPr>
          <w:p w14:paraId="091ABA85" w14:textId="36A9930A"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snapToGrid w:val="0"/>
                <w:color w:val="000000"/>
                <w:sz w:val="20"/>
                <w:szCs w:val="20"/>
                <w:lang w:val="en-US"/>
              </w:rPr>
              <w:t>Gabi Elementary School</w:t>
            </w:r>
          </w:p>
        </w:tc>
        <w:tc>
          <w:tcPr>
            <w:tcW w:w="2409" w:type="dxa"/>
            <w:noWrap/>
            <w:hideMark/>
          </w:tcPr>
          <w:p w14:paraId="7820DD94" w14:textId="77777777" w:rsidR="0044572D" w:rsidRPr="00C63262" w:rsidRDefault="0044572D" w:rsidP="0044572D">
            <w:pPr>
              <w:widowControl w:val="0"/>
              <w:numPr>
                <w:ilvl w:val="0"/>
                <w:numId w:val="104"/>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Violeta Lanuza</w:t>
            </w:r>
          </w:p>
        </w:tc>
        <w:tc>
          <w:tcPr>
            <w:tcW w:w="993" w:type="dxa"/>
            <w:noWrap/>
            <w:hideMark/>
          </w:tcPr>
          <w:p w14:paraId="1FE17552" w14:textId="77777777"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noWrap/>
            <w:hideMark/>
          </w:tcPr>
          <w:p w14:paraId="275E9CB0" w14:textId="77777777"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Officer in Charge</w:t>
            </w:r>
          </w:p>
        </w:tc>
      </w:tr>
      <w:tr w:rsidR="0044572D" w:rsidRPr="00C63262" w14:paraId="5870EB56" w14:textId="77777777" w:rsidTr="006C7ED6">
        <w:trPr>
          <w:trHeight w:val="300"/>
        </w:trPr>
        <w:tc>
          <w:tcPr>
            <w:tcW w:w="1109" w:type="dxa"/>
            <w:tcBorders>
              <w:top w:val="nil"/>
              <w:bottom w:val="single" w:sz="4" w:space="0" w:color="auto"/>
            </w:tcBorders>
          </w:tcPr>
          <w:p w14:paraId="744EF69F" w14:textId="77777777"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p>
        </w:tc>
        <w:tc>
          <w:tcPr>
            <w:tcW w:w="3281" w:type="dxa"/>
            <w:tcBorders>
              <w:top w:val="nil"/>
              <w:bottom w:val="single" w:sz="4" w:space="0" w:color="auto"/>
            </w:tcBorders>
          </w:tcPr>
          <w:p w14:paraId="6658EAC9" w14:textId="77777777"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16DF2FF9" w14:textId="77777777" w:rsidR="0044572D" w:rsidRPr="00C63262" w:rsidRDefault="0044572D" w:rsidP="0044572D">
            <w:pPr>
              <w:widowControl w:val="0"/>
              <w:numPr>
                <w:ilvl w:val="0"/>
                <w:numId w:val="104"/>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 xml:space="preserve">Meliza P. Gerona </w:t>
            </w:r>
          </w:p>
        </w:tc>
        <w:tc>
          <w:tcPr>
            <w:tcW w:w="993" w:type="dxa"/>
            <w:noWrap/>
            <w:hideMark/>
          </w:tcPr>
          <w:p w14:paraId="0B402FBD" w14:textId="77777777"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noWrap/>
            <w:hideMark/>
          </w:tcPr>
          <w:p w14:paraId="387415B1" w14:textId="77777777"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 I</w:t>
            </w:r>
          </w:p>
        </w:tc>
      </w:tr>
      <w:tr w:rsidR="0044572D" w:rsidRPr="00C63262" w14:paraId="057F9839" w14:textId="77777777" w:rsidTr="006C7ED6">
        <w:trPr>
          <w:trHeight w:val="300"/>
        </w:trPr>
        <w:tc>
          <w:tcPr>
            <w:tcW w:w="1109" w:type="dxa"/>
            <w:tcBorders>
              <w:bottom w:val="nil"/>
            </w:tcBorders>
          </w:tcPr>
          <w:p w14:paraId="05E38245" w14:textId="2DEFD341"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112370</w:t>
            </w:r>
          </w:p>
        </w:tc>
        <w:tc>
          <w:tcPr>
            <w:tcW w:w="3281" w:type="dxa"/>
            <w:tcBorders>
              <w:bottom w:val="nil"/>
            </w:tcBorders>
          </w:tcPr>
          <w:p w14:paraId="5369678A" w14:textId="227AB3D0"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snapToGrid w:val="0"/>
                <w:color w:val="000000"/>
                <w:sz w:val="20"/>
                <w:szCs w:val="20"/>
                <w:lang w:val="en-US"/>
              </w:rPr>
              <w:t>Ha Guballa Elementary School</w:t>
            </w:r>
          </w:p>
        </w:tc>
        <w:tc>
          <w:tcPr>
            <w:tcW w:w="2409" w:type="dxa"/>
            <w:noWrap/>
            <w:hideMark/>
          </w:tcPr>
          <w:p w14:paraId="3A333673" w14:textId="77777777" w:rsidR="0044572D" w:rsidRPr="00C63262" w:rsidRDefault="0044572D" w:rsidP="0044572D">
            <w:pPr>
              <w:widowControl w:val="0"/>
              <w:numPr>
                <w:ilvl w:val="0"/>
                <w:numId w:val="104"/>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Melchor V. Quiapo</w:t>
            </w:r>
          </w:p>
        </w:tc>
        <w:tc>
          <w:tcPr>
            <w:tcW w:w="993" w:type="dxa"/>
            <w:noWrap/>
            <w:hideMark/>
          </w:tcPr>
          <w:p w14:paraId="59BCA873" w14:textId="77777777"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M</w:t>
            </w:r>
          </w:p>
        </w:tc>
        <w:tc>
          <w:tcPr>
            <w:tcW w:w="2835" w:type="dxa"/>
            <w:noWrap/>
            <w:hideMark/>
          </w:tcPr>
          <w:p w14:paraId="35973957" w14:textId="77777777"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Elementary School Head Teacher I</w:t>
            </w:r>
          </w:p>
        </w:tc>
      </w:tr>
      <w:tr w:rsidR="0044572D" w:rsidRPr="00C63262" w14:paraId="7B214AE9" w14:textId="77777777" w:rsidTr="006C7ED6">
        <w:trPr>
          <w:trHeight w:val="300"/>
        </w:trPr>
        <w:tc>
          <w:tcPr>
            <w:tcW w:w="1109" w:type="dxa"/>
            <w:tcBorders>
              <w:top w:val="nil"/>
            </w:tcBorders>
          </w:tcPr>
          <w:p w14:paraId="177AB9AC" w14:textId="77777777"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p>
        </w:tc>
        <w:tc>
          <w:tcPr>
            <w:tcW w:w="3281" w:type="dxa"/>
            <w:tcBorders>
              <w:top w:val="nil"/>
            </w:tcBorders>
          </w:tcPr>
          <w:p w14:paraId="6D32067F" w14:textId="77777777"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14D55539" w14:textId="77777777" w:rsidR="0044572D" w:rsidRPr="00C63262" w:rsidRDefault="0044572D" w:rsidP="0044572D">
            <w:pPr>
              <w:widowControl w:val="0"/>
              <w:numPr>
                <w:ilvl w:val="0"/>
                <w:numId w:val="104"/>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Jenny T. Timado</w:t>
            </w:r>
          </w:p>
        </w:tc>
        <w:tc>
          <w:tcPr>
            <w:tcW w:w="993" w:type="dxa"/>
            <w:noWrap/>
            <w:hideMark/>
          </w:tcPr>
          <w:p w14:paraId="57331BA9" w14:textId="77777777"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noWrap/>
            <w:hideMark/>
          </w:tcPr>
          <w:p w14:paraId="5EB905D3" w14:textId="77777777"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 I</w:t>
            </w:r>
          </w:p>
        </w:tc>
      </w:tr>
      <w:tr w:rsidR="0044572D" w:rsidRPr="00C63262" w14:paraId="7D6D8FB9" w14:textId="77777777" w:rsidTr="006C7ED6">
        <w:trPr>
          <w:trHeight w:val="300"/>
        </w:trPr>
        <w:tc>
          <w:tcPr>
            <w:tcW w:w="1109" w:type="dxa"/>
            <w:tcBorders>
              <w:bottom w:val="single" w:sz="4" w:space="0" w:color="auto"/>
            </w:tcBorders>
          </w:tcPr>
          <w:p w14:paraId="5E7DF130" w14:textId="64883F0D"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112835</w:t>
            </w:r>
          </w:p>
        </w:tc>
        <w:tc>
          <w:tcPr>
            <w:tcW w:w="3281" w:type="dxa"/>
            <w:tcBorders>
              <w:bottom w:val="single" w:sz="4" w:space="0" w:color="auto"/>
            </w:tcBorders>
          </w:tcPr>
          <w:p w14:paraId="30BB185F" w14:textId="5850E97C"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snapToGrid w:val="0"/>
                <w:color w:val="000000"/>
                <w:sz w:val="20"/>
                <w:szCs w:val="20"/>
                <w:lang w:val="en-US"/>
              </w:rPr>
              <w:t>Inapatan Elementary School</w:t>
            </w:r>
          </w:p>
        </w:tc>
        <w:tc>
          <w:tcPr>
            <w:tcW w:w="2409" w:type="dxa"/>
            <w:noWrap/>
            <w:hideMark/>
          </w:tcPr>
          <w:p w14:paraId="78C4EEC8" w14:textId="77777777" w:rsidR="0044572D" w:rsidRPr="00C63262" w:rsidRDefault="0044572D" w:rsidP="0044572D">
            <w:pPr>
              <w:widowControl w:val="0"/>
              <w:numPr>
                <w:ilvl w:val="0"/>
                <w:numId w:val="104"/>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Amparo Ana-Villa A. Petal</w:t>
            </w:r>
          </w:p>
        </w:tc>
        <w:tc>
          <w:tcPr>
            <w:tcW w:w="993" w:type="dxa"/>
            <w:noWrap/>
            <w:hideMark/>
          </w:tcPr>
          <w:p w14:paraId="36096678" w14:textId="77777777"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noWrap/>
            <w:hideMark/>
          </w:tcPr>
          <w:p w14:paraId="21ACCE28" w14:textId="77777777"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School Principal I</w:t>
            </w:r>
          </w:p>
        </w:tc>
      </w:tr>
      <w:tr w:rsidR="0044572D" w:rsidRPr="00C63262" w14:paraId="3A5767EC" w14:textId="77777777" w:rsidTr="006C7ED6">
        <w:trPr>
          <w:trHeight w:val="300"/>
        </w:trPr>
        <w:tc>
          <w:tcPr>
            <w:tcW w:w="1109" w:type="dxa"/>
            <w:tcBorders>
              <w:bottom w:val="nil"/>
            </w:tcBorders>
          </w:tcPr>
          <w:p w14:paraId="53ECF85C" w14:textId="59E7B8C7" w:rsidR="0044572D" w:rsidRPr="00C63262" w:rsidRDefault="0044572D" w:rsidP="0044572D">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112512</w:t>
            </w:r>
          </w:p>
        </w:tc>
        <w:tc>
          <w:tcPr>
            <w:tcW w:w="3281" w:type="dxa"/>
            <w:tcBorders>
              <w:bottom w:val="nil"/>
            </w:tcBorders>
          </w:tcPr>
          <w:p w14:paraId="5CB15E9E" w14:textId="331A195B" w:rsidR="0044572D" w:rsidRPr="00C63262" w:rsidRDefault="0044572D" w:rsidP="0044572D">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napToGrid w:val="0"/>
                <w:color w:val="000000"/>
                <w:sz w:val="20"/>
                <w:szCs w:val="20"/>
                <w:lang w:val="en-US"/>
              </w:rPr>
              <w:t>Mangayawan Elementary School</w:t>
            </w:r>
          </w:p>
        </w:tc>
        <w:tc>
          <w:tcPr>
            <w:tcW w:w="2409" w:type="dxa"/>
            <w:noWrap/>
            <w:hideMark/>
          </w:tcPr>
          <w:p w14:paraId="60EF9878" w14:textId="77777777" w:rsidR="0044572D" w:rsidRPr="00C63262" w:rsidRDefault="0044572D" w:rsidP="0044572D">
            <w:pPr>
              <w:widowControl w:val="0"/>
              <w:numPr>
                <w:ilvl w:val="0"/>
                <w:numId w:val="104"/>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Eva A. Janiol</w:t>
            </w:r>
          </w:p>
        </w:tc>
        <w:tc>
          <w:tcPr>
            <w:tcW w:w="993" w:type="dxa"/>
            <w:noWrap/>
            <w:hideMark/>
          </w:tcPr>
          <w:p w14:paraId="62B91719" w14:textId="77777777"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noWrap/>
            <w:hideMark/>
          </w:tcPr>
          <w:p w14:paraId="71B7FC4F" w14:textId="77777777"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 II</w:t>
            </w:r>
          </w:p>
        </w:tc>
      </w:tr>
      <w:tr w:rsidR="0044572D" w:rsidRPr="00C63262" w14:paraId="1BF530F8" w14:textId="77777777" w:rsidTr="006C7ED6">
        <w:trPr>
          <w:trHeight w:val="300"/>
        </w:trPr>
        <w:tc>
          <w:tcPr>
            <w:tcW w:w="1109" w:type="dxa"/>
            <w:tcBorders>
              <w:top w:val="nil"/>
              <w:bottom w:val="nil"/>
            </w:tcBorders>
          </w:tcPr>
          <w:p w14:paraId="5360C4D9" w14:textId="77777777" w:rsidR="0044572D" w:rsidRPr="00C63262" w:rsidRDefault="0044572D" w:rsidP="0044572D">
            <w:pPr>
              <w:spacing w:before="100" w:beforeAutospacing="1" w:after="100" w:afterAutospacing="1" w:line="360" w:lineRule="auto"/>
              <w:rPr>
                <w:rFonts w:asciiTheme="majorHAnsi" w:hAnsiTheme="majorHAnsi" w:cstheme="majorHAnsi"/>
                <w:sz w:val="20"/>
                <w:szCs w:val="20"/>
                <w:lang w:val="en-US"/>
              </w:rPr>
            </w:pPr>
          </w:p>
        </w:tc>
        <w:tc>
          <w:tcPr>
            <w:tcW w:w="3281" w:type="dxa"/>
            <w:tcBorders>
              <w:top w:val="nil"/>
              <w:bottom w:val="nil"/>
            </w:tcBorders>
          </w:tcPr>
          <w:p w14:paraId="7D83340E" w14:textId="77777777" w:rsidR="0044572D" w:rsidRPr="00C63262" w:rsidRDefault="0044572D" w:rsidP="0044572D">
            <w:pPr>
              <w:spacing w:before="100" w:beforeAutospacing="1" w:after="100" w:afterAutospacing="1" w:line="360" w:lineRule="auto"/>
              <w:rPr>
                <w:rFonts w:asciiTheme="majorHAnsi" w:hAnsiTheme="majorHAnsi" w:cstheme="majorHAnsi"/>
                <w:sz w:val="20"/>
                <w:szCs w:val="20"/>
                <w:lang w:val="en-US"/>
              </w:rPr>
            </w:pPr>
          </w:p>
        </w:tc>
        <w:tc>
          <w:tcPr>
            <w:tcW w:w="2409" w:type="dxa"/>
            <w:noWrap/>
            <w:hideMark/>
          </w:tcPr>
          <w:p w14:paraId="5111737A" w14:textId="77777777" w:rsidR="0044572D" w:rsidRPr="00C63262" w:rsidRDefault="0044572D" w:rsidP="0044572D">
            <w:pPr>
              <w:widowControl w:val="0"/>
              <w:numPr>
                <w:ilvl w:val="0"/>
                <w:numId w:val="104"/>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Leny B. Copioso</w:t>
            </w:r>
          </w:p>
        </w:tc>
        <w:tc>
          <w:tcPr>
            <w:tcW w:w="993" w:type="dxa"/>
            <w:noWrap/>
            <w:hideMark/>
          </w:tcPr>
          <w:p w14:paraId="2587FC6B" w14:textId="77777777"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noWrap/>
            <w:hideMark/>
          </w:tcPr>
          <w:p w14:paraId="6CEB5A54" w14:textId="77777777"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 I</w:t>
            </w:r>
          </w:p>
        </w:tc>
      </w:tr>
      <w:tr w:rsidR="0044572D" w:rsidRPr="00C63262" w14:paraId="418F3711" w14:textId="77777777" w:rsidTr="006C7ED6">
        <w:trPr>
          <w:trHeight w:val="300"/>
        </w:trPr>
        <w:tc>
          <w:tcPr>
            <w:tcW w:w="1109" w:type="dxa"/>
            <w:tcBorders>
              <w:top w:val="nil"/>
            </w:tcBorders>
          </w:tcPr>
          <w:p w14:paraId="29D14C72" w14:textId="77777777" w:rsidR="0044572D" w:rsidRPr="00C63262" w:rsidRDefault="0044572D" w:rsidP="0044572D">
            <w:pPr>
              <w:spacing w:before="100" w:beforeAutospacing="1" w:after="100" w:afterAutospacing="1" w:line="360" w:lineRule="auto"/>
              <w:rPr>
                <w:rFonts w:asciiTheme="majorHAnsi" w:hAnsiTheme="majorHAnsi" w:cstheme="majorHAnsi"/>
                <w:sz w:val="20"/>
                <w:szCs w:val="20"/>
                <w:lang w:val="en-US"/>
              </w:rPr>
            </w:pPr>
          </w:p>
        </w:tc>
        <w:tc>
          <w:tcPr>
            <w:tcW w:w="3281" w:type="dxa"/>
            <w:tcBorders>
              <w:top w:val="nil"/>
            </w:tcBorders>
          </w:tcPr>
          <w:p w14:paraId="79F05C9D" w14:textId="77777777" w:rsidR="0044572D" w:rsidRPr="00C63262" w:rsidRDefault="0044572D" w:rsidP="0044572D">
            <w:pPr>
              <w:spacing w:before="100" w:beforeAutospacing="1" w:after="100" w:afterAutospacing="1" w:line="360" w:lineRule="auto"/>
              <w:rPr>
                <w:rFonts w:asciiTheme="majorHAnsi" w:hAnsiTheme="majorHAnsi" w:cstheme="majorHAnsi"/>
                <w:sz w:val="20"/>
                <w:szCs w:val="20"/>
                <w:lang w:val="en-US"/>
              </w:rPr>
            </w:pPr>
          </w:p>
        </w:tc>
        <w:tc>
          <w:tcPr>
            <w:tcW w:w="2409" w:type="dxa"/>
            <w:noWrap/>
            <w:hideMark/>
          </w:tcPr>
          <w:p w14:paraId="597CEAB2" w14:textId="77777777" w:rsidR="0044572D" w:rsidRPr="00C63262" w:rsidRDefault="0044572D" w:rsidP="0044572D">
            <w:pPr>
              <w:widowControl w:val="0"/>
              <w:numPr>
                <w:ilvl w:val="0"/>
                <w:numId w:val="104"/>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Shirley V. San Andres</w:t>
            </w:r>
          </w:p>
        </w:tc>
        <w:tc>
          <w:tcPr>
            <w:tcW w:w="993" w:type="dxa"/>
            <w:noWrap/>
            <w:hideMark/>
          </w:tcPr>
          <w:p w14:paraId="2844A55A" w14:textId="77777777"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noWrap/>
            <w:hideMark/>
          </w:tcPr>
          <w:p w14:paraId="6C883CBE" w14:textId="77777777"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Principal I</w:t>
            </w:r>
          </w:p>
        </w:tc>
      </w:tr>
      <w:tr w:rsidR="0044572D" w:rsidRPr="00C63262" w14:paraId="4AF2FD6C" w14:textId="77777777" w:rsidTr="006C7ED6">
        <w:trPr>
          <w:trHeight w:val="300"/>
        </w:trPr>
        <w:tc>
          <w:tcPr>
            <w:tcW w:w="1109" w:type="dxa"/>
          </w:tcPr>
          <w:p w14:paraId="7FD27F0E" w14:textId="29A88914"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112818</w:t>
            </w:r>
          </w:p>
        </w:tc>
        <w:tc>
          <w:tcPr>
            <w:tcW w:w="3281" w:type="dxa"/>
          </w:tcPr>
          <w:p w14:paraId="313F4492" w14:textId="0B4B93B3"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snapToGrid w:val="0"/>
                <w:color w:val="000000"/>
                <w:sz w:val="20"/>
                <w:szCs w:val="20"/>
                <w:lang w:val="en-US"/>
              </w:rPr>
              <w:t>Nabua Central Pilot School</w:t>
            </w:r>
          </w:p>
        </w:tc>
        <w:tc>
          <w:tcPr>
            <w:tcW w:w="2409" w:type="dxa"/>
            <w:noWrap/>
            <w:hideMark/>
          </w:tcPr>
          <w:p w14:paraId="40128331" w14:textId="77777777" w:rsidR="0044572D" w:rsidRPr="00C63262" w:rsidRDefault="0044572D" w:rsidP="0044572D">
            <w:pPr>
              <w:widowControl w:val="0"/>
              <w:numPr>
                <w:ilvl w:val="0"/>
                <w:numId w:val="104"/>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Gertrudes M. Joven</w:t>
            </w:r>
          </w:p>
        </w:tc>
        <w:tc>
          <w:tcPr>
            <w:tcW w:w="993" w:type="dxa"/>
            <w:noWrap/>
            <w:hideMark/>
          </w:tcPr>
          <w:p w14:paraId="213FC8CB" w14:textId="77777777"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noWrap/>
            <w:hideMark/>
          </w:tcPr>
          <w:p w14:paraId="2706CCFE" w14:textId="77777777" w:rsidR="0044572D" w:rsidRPr="00C63262" w:rsidRDefault="0044572D" w:rsidP="0044572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School Principal II</w:t>
            </w:r>
          </w:p>
        </w:tc>
      </w:tr>
    </w:tbl>
    <w:tbl>
      <w:tblPr>
        <w:tblStyle w:val="TableGrid8"/>
        <w:tblW w:w="10627" w:type="dxa"/>
        <w:tblLook w:val="04A0" w:firstRow="1" w:lastRow="0" w:firstColumn="1" w:lastColumn="0" w:noHBand="0" w:noVBand="1"/>
      </w:tblPr>
      <w:tblGrid>
        <w:gridCol w:w="1129"/>
        <w:gridCol w:w="3261"/>
        <w:gridCol w:w="2409"/>
        <w:gridCol w:w="993"/>
        <w:gridCol w:w="2835"/>
      </w:tblGrid>
      <w:tr w:rsidR="00241383" w:rsidRPr="00C63262" w14:paraId="7DFF6A2D" w14:textId="77777777" w:rsidTr="00E60CBE">
        <w:trPr>
          <w:trHeight w:val="300"/>
          <w:tblHeader/>
        </w:trPr>
        <w:tc>
          <w:tcPr>
            <w:tcW w:w="1129" w:type="dxa"/>
            <w:tcBorders>
              <w:bottom w:val="single" w:sz="4" w:space="0" w:color="auto"/>
            </w:tcBorders>
          </w:tcPr>
          <w:p w14:paraId="37311ED3" w14:textId="77777777" w:rsidR="00241383" w:rsidRPr="00C63262" w:rsidRDefault="00241383" w:rsidP="005805AC">
            <w:pPr>
              <w:spacing w:before="100" w:beforeAutospacing="1" w:after="100" w:afterAutospacing="1" w:line="360" w:lineRule="auto"/>
              <w:rPr>
                <w:rFonts w:asciiTheme="majorHAnsi" w:hAnsiTheme="majorHAnsi" w:cstheme="majorHAnsi"/>
                <w:b/>
                <w:sz w:val="20"/>
                <w:szCs w:val="20"/>
                <w:lang w:val="en-US"/>
              </w:rPr>
            </w:pPr>
            <w:r w:rsidRPr="00C63262">
              <w:rPr>
                <w:rFonts w:asciiTheme="majorHAnsi" w:hAnsiTheme="majorHAnsi" w:cstheme="majorHAnsi"/>
                <w:b/>
                <w:sz w:val="20"/>
                <w:szCs w:val="20"/>
                <w:lang w:val="en-US"/>
              </w:rPr>
              <w:t>School ID</w:t>
            </w:r>
          </w:p>
        </w:tc>
        <w:tc>
          <w:tcPr>
            <w:tcW w:w="3261" w:type="dxa"/>
            <w:tcBorders>
              <w:bottom w:val="single" w:sz="4" w:space="0" w:color="auto"/>
            </w:tcBorders>
          </w:tcPr>
          <w:p w14:paraId="72784982" w14:textId="77777777" w:rsidR="00241383" w:rsidRPr="00C63262" w:rsidRDefault="00241383" w:rsidP="005805AC">
            <w:pPr>
              <w:spacing w:before="100" w:beforeAutospacing="1" w:after="100" w:afterAutospacing="1" w:line="360" w:lineRule="auto"/>
              <w:rPr>
                <w:rFonts w:asciiTheme="majorHAnsi" w:hAnsiTheme="majorHAnsi" w:cstheme="majorHAnsi"/>
                <w:b/>
                <w:color w:val="000000"/>
                <w:sz w:val="20"/>
                <w:szCs w:val="20"/>
                <w:lang w:val="en-US"/>
              </w:rPr>
            </w:pPr>
            <w:r w:rsidRPr="00C63262">
              <w:rPr>
                <w:rFonts w:asciiTheme="majorHAnsi" w:hAnsiTheme="majorHAnsi" w:cstheme="majorHAnsi"/>
                <w:b/>
                <w:color w:val="000000"/>
                <w:sz w:val="20"/>
                <w:szCs w:val="20"/>
                <w:lang w:val="en-US"/>
              </w:rPr>
              <w:t>Schools/Office</w:t>
            </w:r>
          </w:p>
        </w:tc>
        <w:tc>
          <w:tcPr>
            <w:tcW w:w="2409" w:type="dxa"/>
            <w:noWrap/>
            <w:hideMark/>
          </w:tcPr>
          <w:p w14:paraId="0BA8FDA9" w14:textId="77777777" w:rsidR="00241383" w:rsidRPr="00C63262" w:rsidRDefault="00241383" w:rsidP="005805AC">
            <w:pPr>
              <w:spacing w:before="100" w:beforeAutospacing="1" w:after="100" w:afterAutospacing="1" w:line="360" w:lineRule="auto"/>
              <w:rPr>
                <w:rFonts w:asciiTheme="majorHAnsi" w:hAnsiTheme="majorHAnsi" w:cstheme="majorHAnsi"/>
                <w:b/>
                <w:color w:val="000000"/>
                <w:sz w:val="20"/>
                <w:szCs w:val="20"/>
                <w:lang w:val="en-US"/>
              </w:rPr>
            </w:pPr>
            <w:r w:rsidRPr="00C63262">
              <w:rPr>
                <w:rFonts w:asciiTheme="majorHAnsi" w:hAnsiTheme="majorHAnsi" w:cstheme="majorHAnsi"/>
                <w:b/>
                <w:color w:val="000000"/>
                <w:sz w:val="20"/>
                <w:szCs w:val="20"/>
                <w:lang w:val="en-US"/>
              </w:rPr>
              <w:t>Participants</w:t>
            </w:r>
          </w:p>
        </w:tc>
        <w:tc>
          <w:tcPr>
            <w:tcW w:w="993" w:type="dxa"/>
            <w:noWrap/>
            <w:hideMark/>
          </w:tcPr>
          <w:p w14:paraId="6D17F291" w14:textId="77777777" w:rsidR="00241383" w:rsidRPr="00C63262" w:rsidRDefault="00241383" w:rsidP="005805AC">
            <w:pPr>
              <w:spacing w:before="100" w:beforeAutospacing="1" w:after="100" w:afterAutospacing="1" w:line="360" w:lineRule="auto"/>
              <w:rPr>
                <w:rFonts w:asciiTheme="majorHAnsi" w:hAnsiTheme="majorHAnsi" w:cstheme="majorHAnsi"/>
                <w:b/>
                <w:color w:val="000000"/>
                <w:sz w:val="20"/>
                <w:szCs w:val="20"/>
                <w:lang w:val="en-US"/>
              </w:rPr>
            </w:pPr>
            <w:r w:rsidRPr="00C63262">
              <w:rPr>
                <w:rFonts w:asciiTheme="majorHAnsi" w:hAnsiTheme="majorHAnsi" w:cstheme="majorHAnsi"/>
                <w:b/>
                <w:color w:val="000000"/>
                <w:sz w:val="20"/>
                <w:szCs w:val="20"/>
                <w:lang w:val="en-US"/>
              </w:rPr>
              <w:t>Sex</w:t>
            </w:r>
          </w:p>
        </w:tc>
        <w:tc>
          <w:tcPr>
            <w:tcW w:w="2835" w:type="dxa"/>
            <w:noWrap/>
            <w:hideMark/>
          </w:tcPr>
          <w:p w14:paraId="4AC18B07" w14:textId="77777777" w:rsidR="00241383" w:rsidRPr="00C63262" w:rsidRDefault="00241383" w:rsidP="005805AC">
            <w:pPr>
              <w:spacing w:before="100" w:beforeAutospacing="1" w:after="100" w:afterAutospacing="1" w:line="360" w:lineRule="auto"/>
              <w:rPr>
                <w:rFonts w:asciiTheme="majorHAnsi" w:hAnsiTheme="majorHAnsi" w:cstheme="majorHAnsi"/>
                <w:b/>
                <w:color w:val="000000"/>
                <w:sz w:val="20"/>
                <w:szCs w:val="20"/>
                <w:lang w:val="en-US"/>
              </w:rPr>
            </w:pPr>
            <w:r w:rsidRPr="00C63262">
              <w:rPr>
                <w:rFonts w:asciiTheme="majorHAnsi" w:hAnsiTheme="majorHAnsi" w:cstheme="majorHAnsi"/>
                <w:b/>
                <w:color w:val="000000"/>
                <w:sz w:val="20"/>
                <w:szCs w:val="20"/>
                <w:lang w:val="en-US"/>
              </w:rPr>
              <w:t>Designation / Department</w:t>
            </w:r>
          </w:p>
        </w:tc>
      </w:tr>
    </w:tbl>
    <w:tbl>
      <w:tblPr>
        <w:tblStyle w:val="TableGrid1"/>
        <w:tblW w:w="10627" w:type="dxa"/>
        <w:tblLook w:val="04A0" w:firstRow="1" w:lastRow="0" w:firstColumn="1" w:lastColumn="0" w:noHBand="0" w:noVBand="1"/>
      </w:tblPr>
      <w:tblGrid>
        <w:gridCol w:w="1120"/>
        <w:gridCol w:w="3270"/>
        <w:gridCol w:w="2409"/>
        <w:gridCol w:w="993"/>
        <w:gridCol w:w="2835"/>
      </w:tblGrid>
      <w:tr w:rsidR="00F462C0" w:rsidRPr="00C63262" w14:paraId="76301F28" w14:textId="77777777" w:rsidTr="00E60CBE">
        <w:trPr>
          <w:trHeight w:val="300"/>
        </w:trPr>
        <w:tc>
          <w:tcPr>
            <w:tcW w:w="1120" w:type="dxa"/>
            <w:tcBorders>
              <w:bottom w:val="nil"/>
            </w:tcBorders>
          </w:tcPr>
          <w:p w14:paraId="7C6E85B4" w14:textId="3759F96D" w:rsidR="00F462C0" w:rsidRPr="00C63262" w:rsidRDefault="00F462C0" w:rsidP="00F462C0">
            <w:pPr>
              <w:spacing w:before="100" w:beforeAutospacing="1" w:after="100" w:afterAutospacing="1" w:line="360" w:lineRule="auto"/>
              <w:rPr>
                <w:rFonts w:asciiTheme="majorHAnsi" w:hAnsiTheme="majorHAnsi" w:cstheme="majorHAnsi"/>
                <w:color w:val="000000"/>
                <w:sz w:val="20"/>
                <w:szCs w:val="20"/>
                <w:lang w:val="en-US"/>
              </w:rPr>
            </w:pPr>
            <w:r>
              <w:br w:type="page"/>
            </w:r>
            <w:r w:rsidRPr="00C63262">
              <w:rPr>
                <w:rFonts w:asciiTheme="majorHAnsi" w:hAnsiTheme="majorHAnsi" w:cstheme="majorHAnsi"/>
                <w:color w:val="000000"/>
                <w:sz w:val="20"/>
                <w:szCs w:val="20"/>
                <w:lang w:val="en-US"/>
              </w:rPr>
              <w:t>114089</w:t>
            </w:r>
          </w:p>
        </w:tc>
        <w:tc>
          <w:tcPr>
            <w:tcW w:w="3270" w:type="dxa"/>
            <w:tcBorders>
              <w:bottom w:val="nil"/>
            </w:tcBorders>
          </w:tcPr>
          <w:p w14:paraId="623586AD" w14:textId="07AE8EAE" w:rsidR="00F462C0" w:rsidRPr="00C63262" w:rsidRDefault="00F462C0" w:rsidP="00F462C0">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snapToGrid w:val="0"/>
                <w:color w:val="000000"/>
                <w:sz w:val="20"/>
                <w:szCs w:val="20"/>
                <w:lang w:val="en-US"/>
              </w:rPr>
              <w:t>Ponong Elementary School</w:t>
            </w:r>
          </w:p>
        </w:tc>
        <w:tc>
          <w:tcPr>
            <w:tcW w:w="2409" w:type="dxa"/>
            <w:noWrap/>
            <w:hideMark/>
          </w:tcPr>
          <w:p w14:paraId="1105AAA6" w14:textId="77777777" w:rsidR="00F462C0" w:rsidRPr="00C63262" w:rsidRDefault="00F462C0" w:rsidP="00F462C0">
            <w:pPr>
              <w:widowControl w:val="0"/>
              <w:numPr>
                <w:ilvl w:val="0"/>
                <w:numId w:val="104"/>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Marlyn Hubilla</w:t>
            </w:r>
          </w:p>
        </w:tc>
        <w:tc>
          <w:tcPr>
            <w:tcW w:w="993" w:type="dxa"/>
            <w:noWrap/>
            <w:hideMark/>
          </w:tcPr>
          <w:p w14:paraId="21706093" w14:textId="77777777" w:rsidR="00F462C0" w:rsidRPr="00C63262" w:rsidRDefault="00F462C0" w:rsidP="00F462C0">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noWrap/>
            <w:hideMark/>
          </w:tcPr>
          <w:p w14:paraId="6F3598B4" w14:textId="77777777" w:rsidR="00F462C0" w:rsidRPr="00C63262" w:rsidRDefault="00F462C0" w:rsidP="00F462C0">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School Principal I</w:t>
            </w:r>
          </w:p>
        </w:tc>
      </w:tr>
      <w:tr w:rsidR="00F462C0" w:rsidRPr="00C63262" w14:paraId="4BE1D45E" w14:textId="77777777" w:rsidTr="00E60CBE">
        <w:trPr>
          <w:trHeight w:val="300"/>
        </w:trPr>
        <w:tc>
          <w:tcPr>
            <w:tcW w:w="1120" w:type="dxa"/>
            <w:tcBorders>
              <w:top w:val="nil"/>
              <w:bottom w:val="nil"/>
            </w:tcBorders>
          </w:tcPr>
          <w:p w14:paraId="5F3A4590" w14:textId="77777777" w:rsidR="00F462C0" w:rsidRPr="00C63262" w:rsidRDefault="00F462C0" w:rsidP="00F462C0">
            <w:pPr>
              <w:spacing w:before="100" w:beforeAutospacing="1" w:after="100" w:afterAutospacing="1" w:line="360" w:lineRule="auto"/>
              <w:rPr>
                <w:rFonts w:asciiTheme="majorHAnsi" w:hAnsiTheme="majorHAnsi" w:cstheme="majorHAnsi"/>
                <w:color w:val="000000"/>
                <w:sz w:val="20"/>
                <w:szCs w:val="20"/>
                <w:lang w:val="en-US"/>
              </w:rPr>
            </w:pPr>
          </w:p>
        </w:tc>
        <w:tc>
          <w:tcPr>
            <w:tcW w:w="3270" w:type="dxa"/>
            <w:tcBorders>
              <w:top w:val="nil"/>
              <w:bottom w:val="nil"/>
            </w:tcBorders>
          </w:tcPr>
          <w:p w14:paraId="266B19D3" w14:textId="77777777" w:rsidR="00F462C0" w:rsidRPr="00C63262" w:rsidRDefault="00F462C0" w:rsidP="00F462C0">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0F192B74" w14:textId="77777777" w:rsidR="00F462C0" w:rsidRPr="00C63262" w:rsidRDefault="00F462C0" w:rsidP="00F462C0">
            <w:pPr>
              <w:widowControl w:val="0"/>
              <w:numPr>
                <w:ilvl w:val="0"/>
                <w:numId w:val="104"/>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Jonalyn C. Hisarza</w:t>
            </w:r>
          </w:p>
        </w:tc>
        <w:tc>
          <w:tcPr>
            <w:tcW w:w="993" w:type="dxa"/>
            <w:noWrap/>
            <w:hideMark/>
          </w:tcPr>
          <w:p w14:paraId="53A4B91C" w14:textId="77777777" w:rsidR="00F462C0" w:rsidRPr="00C63262" w:rsidRDefault="00F462C0" w:rsidP="00F462C0">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noWrap/>
            <w:hideMark/>
          </w:tcPr>
          <w:p w14:paraId="715E5B4F" w14:textId="77777777" w:rsidR="00F462C0" w:rsidRPr="00C63262" w:rsidRDefault="00F462C0" w:rsidP="00F462C0">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 I</w:t>
            </w:r>
          </w:p>
        </w:tc>
      </w:tr>
      <w:tr w:rsidR="00F462C0" w:rsidRPr="00C63262" w14:paraId="5A663475" w14:textId="77777777" w:rsidTr="00E60CBE">
        <w:trPr>
          <w:trHeight w:val="300"/>
        </w:trPr>
        <w:tc>
          <w:tcPr>
            <w:tcW w:w="1120" w:type="dxa"/>
            <w:tcBorders>
              <w:top w:val="nil"/>
              <w:bottom w:val="single" w:sz="4" w:space="0" w:color="auto"/>
            </w:tcBorders>
          </w:tcPr>
          <w:p w14:paraId="7A25A340" w14:textId="77777777" w:rsidR="00F462C0" w:rsidRPr="00C63262" w:rsidRDefault="00F462C0" w:rsidP="00F462C0">
            <w:pPr>
              <w:spacing w:before="100" w:beforeAutospacing="1" w:after="100" w:afterAutospacing="1" w:line="360" w:lineRule="auto"/>
              <w:rPr>
                <w:rFonts w:asciiTheme="majorHAnsi" w:hAnsiTheme="majorHAnsi" w:cstheme="majorHAnsi"/>
                <w:color w:val="000000"/>
                <w:sz w:val="20"/>
                <w:szCs w:val="20"/>
                <w:lang w:val="en-US"/>
              </w:rPr>
            </w:pPr>
          </w:p>
        </w:tc>
        <w:tc>
          <w:tcPr>
            <w:tcW w:w="3270" w:type="dxa"/>
            <w:tcBorders>
              <w:top w:val="nil"/>
              <w:bottom w:val="single" w:sz="4" w:space="0" w:color="auto"/>
            </w:tcBorders>
          </w:tcPr>
          <w:p w14:paraId="33971929" w14:textId="77777777" w:rsidR="00F462C0" w:rsidRPr="00C63262" w:rsidRDefault="00F462C0" w:rsidP="00F462C0">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091D4B8F" w14:textId="77777777" w:rsidR="00F462C0" w:rsidRPr="00C63262" w:rsidRDefault="00F462C0" w:rsidP="00F462C0">
            <w:pPr>
              <w:widowControl w:val="0"/>
              <w:numPr>
                <w:ilvl w:val="0"/>
                <w:numId w:val="104"/>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Ladylyn Rixas</w:t>
            </w:r>
          </w:p>
        </w:tc>
        <w:tc>
          <w:tcPr>
            <w:tcW w:w="993" w:type="dxa"/>
            <w:noWrap/>
            <w:hideMark/>
          </w:tcPr>
          <w:p w14:paraId="43E86538" w14:textId="77777777" w:rsidR="00F462C0" w:rsidRPr="00C63262" w:rsidRDefault="00F462C0" w:rsidP="00F462C0">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noWrap/>
            <w:hideMark/>
          </w:tcPr>
          <w:p w14:paraId="457FFEFE" w14:textId="77777777" w:rsidR="00F462C0" w:rsidRPr="00C63262" w:rsidRDefault="00F462C0" w:rsidP="00F462C0">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 II</w:t>
            </w:r>
          </w:p>
        </w:tc>
      </w:tr>
      <w:tr w:rsidR="00F462C0" w:rsidRPr="00C63262" w14:paraId="04A9D40A" w14:textId="77777777" w:rsidTr="00E60CBE">
        <w:trPr>
          <w:trHeight w:val="300"/>
        </w:trPr>
        <w:tc>
          <w:tcPr>
            <w:tcW w:w="1120" w:type="dxa"/>
            <w:tcBorders>
              <w:bottom w:val="nil"/>
            </w:tcBorders>
          </w:tcPr>
          <w:p w14:paraId="4D50E728" w14:textId="199CB44A" w:rsidR="00F462C0" w:rsidRPr="00C63262" w:rsidRDefault="00F462C0" w:rsidP="00F462C0">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114563</w:t>
            </w:r>
          </w:p>
        </w:tc>
        <w:tc>
          <w:tcPr>
            <w:tcW w:w="3270" w:type="dxa"/>
            <w:tcBorders>
              <w:bottom w:val="nil"/>
            </w:tcBorders>
          </w:tcPr>
          <w:p w14:paraId="6569E542" w14:textId="4EA46A06" w:rsidR="00F462C0" w:rsidRPr="00C63262" w:rsidRDefault="00F462C0" w:rsidP="00F462C0">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snapToGrid w:val="0"/>
                <w:color w:val="000000"/>
                <w:sz w:val="20"/>
                <w:szCs w:val="20"/>
                <w:lang w:val="en-US"/>
              </w:rPr>
              <w:t>Sorsogon East Central School</w:t>
            </w:r>
          </w:p>
        </w:tc>
        <w:tc>
          <w:tcPr>
            <w:tcW w:w="2409" w:type="dxa"/>
            <w:noWrap/>
            <w:hideMark/>
          </w:tcPr>
          <w:p w14:paraId="32F3FFEE" w14:textId="77777777" w:rsidR="00F462C0" w:rsidRPr="00C63262" w:rsidRDefault="00F462C0" w:rsidP="00F462C0">
            <w:pPr>
              <w:widowControl w:val="0"/>
              <w:numPr>
                <w:ilvl w:val="0"/>
                <w:numId w:val="104"/>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Beverly Laban</w:t>
            </w:r>
          </w:p>
        </w:tc>
        <w:tc>
          <w:tcPr>
            <w:tcW w:w="993" w:type="dxa"/>
            <w:noWrap/>
            <w:hideMark/>
          </w:tcPr>
          <w:p w14:paraId="55AE0CC6" w14:textId="77777777" w:rsidR="00F462C0" w:rsidRPr="00C63262" w:rsidRDefault="00F462C0" w:rsidP="00F462C0">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noWrap/>
            <w:hideMark/>
          </w:tcPr>
          <w:p w14:paraId="112CF46E" w14:textId="77777777" w:rsidR="00F462C0" w:rsidRPr="00C63262" w:rsidRDefault="00F462C0" w:rsidP="00F462C0">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School Principal 3</w:t>
            </w:r>
          </w:p>
        </w:tc>
      </w:tr>
      <w:tr w:rsidR="00F462C0" w:rsidRPr="00C63262" w14:paraId="4C7AABDA" w14:textId="77777777" w:rsidTr="00E60CBE">
        <w:trPr>
          <w:trHeight w:val="300"/>
        </w:trPr>
        <w:tc>
          <w:tcPr>
            <w:tcW w:w="1120" w:type="dxa"/>
            <w:tcBorders>
              <w:top w:val="nil"/>
              <w:bottom w:val="single" w:sz="4" w:space="0" w:color="auto"/>
            </w:tcBorders>
          </w:tcPr>
          <w:p w14:paraId="2BFC0208" w14:textId="77777777" w:rsidR="00F462C0" w:rsidRPr="00C63262" w:rsidRDefault="00F462C0" w:rsidP="00F462C0">
            <w:pPr>
              <w:spacing w:before="100" w:beforeAutospacing="1" w:after="100" w:afterAutospacing="1" w:line="360" w:lineRule="auto"/>
              <w:rPr>
                <w:rFonts w:asciiTheme="majorHAnsi" w:hAnsiTheme="majorHAnsi" w:cstheme="majorHAnsi"/>
                <w:color w:val="000000"/>
                <w:sz w:val="20"/>
                <w:szCs w:val="20"/>
                <w:lang w:val="en-US"/>
              </w:rPr>
            </w:pPr>
          </w:p>
        </w:tc>
        <w:tc>
          <w:tcPr>
            <w:tcW w:w="3270" w:type="dxa"/>
            <w:tcBorders>
              <w:top w:val="nil"/>
              <w:bottom w:val="single" w:sz="4" w:space="0" w:color="auto"/>
            </w:tcBorders>
          </w:tcPr>
          <w:p w14:paraId="110D5F2E" w14:textId="77777777" w:rsidR="00F462C0" w:rsidRPr="00C63262" w:rsidRDefault="00F462C0" w:rsidP="00F462C0">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3A605E6A" w14:textId="77777777" w:rsidR="00F462C0" w:rsidRPr="00C63262" w:rsidRDefault="00F462C0" w:rsidP="00F462C0">
            <w:pPr>
              <w:widowControl w:val="0"/>
              <w:numPr>
                <w:ilvl w:val="0"/>
                <w:numId w:val="104"/>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Mary Geraldine E. Bongon</w:t>
            </w:r>
          </w:p>
        </w:tc>
        <w:tc>
          <w:tcPr>
            <w:tcW w:w="993" w:type="dxa"/>
            <w:noWrap/>
            <w:hideMark/>
          </w:tcPr>
          <w:p w14:paraId="1E12CF18" w14:textId="77777777" w:rsidR="00F462C0" w:rsidRPr="00C63262" w:rsidRDefault="00F462C0" w:rsidP="00F462C0">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noWrap/>
            <w:hideMark/>
          </w:tcPr>
          <w:p w14:paraId="529F833D" w14:textId="77777777" w:rsidR="00F462C0" w:rsidRPr="00C63262" w:rsidRDefault="00F462C0" w:rsidP="00F462C0">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 III</w:t>
            </w:r>
          </w:p>
        </w:tc>
      </w:tr>
      <w:tr w:rsidR="00F462C0" w:rsidRPr="00C63262" w14:paraId="37DAEE3F" w14:textId="77777777" w:rsidTr="00E60CBE">
        <w:trPr>
          <w:trHeight w:val="300"/>
        </w:trPr>
        <w:tc>
          <w:tcPr>
            <w:tcW w:w="1120" w:type="dxa"/>
            <w:tcBorders>
              <w:bottom w:val="nil"/>
            </w:tcBorders>
          </w:tcPr>
          <w:p w14:paraId="66F53E1A" w14:textId="2BBD327B" w:rsidR="00F462C0" w:rsidRPr="00C63262" w:rsidRDefault="00F462C0" w:rsidP="00F462C0">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403753</w:t>
            </w:r>
          </w:p>
        </w:tc>
        <w:tc>
          <w:tcPr>
            <w:tcW w:w="3270" w:type="dxa"/>
            <w:tcBorders>
              <w:bottom w:val="nil"/>
            </w:tcBorders>
          </w:tcPr>
          <w:p w14:paraId="5DCC085E" w14:textId="14844698" w:rsidR="00F462C0" w:rsidRPr="00C63262" w:rsidRDefault="00F462C0" w:rsidP="00F462C0">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napToGrid w:val="0"/>
                <w:color w:val="000000"/>
                <w:sz w:val="20"/>
                <w:szCs w:val="20"/>
                <w:lang w:val="en-US"/>
              </w:rPr>
              <w:t>Tigaon Adventist Elementary School</w:t>
            </w:r>
          </w:p>
        </w:tc>
        <w:tc>
          <w:tcPr>
            <w:tcW w:w="2409" w:type="dxa"/>
            <w:noWrap/>
            <w:hideMark/>
          </w:tcPr>
          <w:p w14:paraId="55E5B271" w14:textId="77777777" w:rsidR="00F462C0" w:rsidRPr="00C63262" w:rsidRDefault="00F462C0" w:rsidP="00F462C0">
            <w:pPr>
              <w:widowControl w:val="0"/>
              <w:numPr>
                <w:ilvl w:val="0"/>
                <w:numId w:val="104"/>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Janice C. Buitizon</w:t>
            </w:r>
          </w:p>
        </w:tc>
        <w:tc>
          <w:tcPr>
            <w:tcW w:w="993" w:type="dxa"/>
            <w:noWrap/>
            <w:hideMark/>
          </w:tcPr>
          <w:p w14:paraId="67FB8B50" w14:textId="77777777" w:rsidR="00F462C0" w:rsidRPr="00C63262" w:rsidRDefault="00F462C0" w:rsidP="00F462C0">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noWrap/>
            <w:hideMark/>
          </w:tcPr>
          <w:p w14:paraId="381C7C57" w14:textId="77777777" w:rsidR="00F462C0" w:rsidRPr="00C63262" w:rsidRDefault="00F462C0" w:rsidP="00F462C0">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Missionary Volunteer Teacher</w:t>
            </w:r>
          </w:p>
        </w:tc>
      </w:tr>
      <w:tr w:rsidR="00F462C0" w:rsidRPr="00C63262" w14:paraId="0FB1E7C8" w14:textId="77777777" w:rsidTr="00E60CBE">
        <w:trPr>
          <w:trHeight w:val="300"/>
        </w:trPr>
        <w:tc>
          <w:tcPr>
            <w:tcW w:w="1120" w:type="dxa"/>
            <w:tcBorders>
              <w:top w:val="nil"/>
              <w:bottom w:val="nil"/>
            </w:tcBorders>
          </w:tcPr>
          <w:p w14:paraId="490A53F1" w14:textId="77777777" w:rsidR="00F462C0" w:rsidRPr="00C63262" w:rsidRDefault="00F462C0" w:rsidP="00F462C0">
            <w:pPr>
              <w:spacing w:before="100" w:beforeAutospacing="1" w:after="100" w:afterAutospacing="1" w:line="360" w:lineRule="auto"/>
              <w:rPr>
                <w:rFonts w:asciiTheme="majorHAnsi" w:hAnsiTheme="majorHAnsi" w:cstheme="majorHAnsi"/>
                <w:sz w:val="20"/>
                <w:szCs w:val="20"/>
                <w:lang w:val="en-US"/>
              </w:rPr>
            </w:pPr>
          </w:p>
        </w:tc>
        <w:tc>
          <w:tcPr>
            <w:tcW w:w="3270" w:type="dxa"/>
            <w:tcBorders>
              <w:top w:val="nil"/>
              <w:bottom w:val="nil"/>
            </w:tcBorders>
          </w:tcPr>
          <w:p w14:paraId="74F43714" w14:textId="77777777" w:rsidR="00F462C0" w:rsidRPr="00C63262" w:rsidRDefault="00F462C0" w:rsidP="00F462C0">
            <w:pPr>
              <w:spacing w:before="100" w:beforeAutospacing="1" w:after="100" w:afterAutospacing="1" w:line="360" w:lineRule="auto"/>
              <w:rPr>
                <w:rFonts w:asciiTheme="majorHAnsi" w:hAnsiTheme="majorHAnsi" w:cstheme="majorHAnsi"/>
                <w:sz w:val="20"/>
                <w:szCs w:val="20"/>
                <w:lang w:val="en-US"/>
              </w:rPr>
            </w:pPr>
          </w:p>
        </w:tc>
        <w:tc>
          <w:tcPr>
            <w:tcW w:w="2409" w:type="dxa"/>
            <w:noWrap/>
            <w:hideMark/>
          </w:tcPr>
          <w:p w14:paraId="76B5F594" w14:textId="77777777" w:rsidR="00F462C0" w:rsidRPr="00C63262" w:rsidRDefault="00F462C0" w:rsidP="00F462C0">
            <w:pPr>
              <w:widowControl w:val="0"/>
              <w:numPr>
                <w:ilvl w:val="0"/>
                <w:numId w:val="104"/>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Rodrigo M. Aball</w:t>
            </w:r>
          </w:p>
        </w:tc>
        <w:tc>
          <w:tcPr>
            <w:tcW w:w="993" w:type="dxa"/>
            <w:noWrap/>
            <w:hideMark/>
          </w:tcPr>
          <w:p w14:paraId="3D9B32DD" w14:textId="77777777" w:rsidR="00F462C0" w:rsidRPr="00C63262" w:rsidRDefault="00F462C0" w:rsidP="00F462C0">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noWrap/>
            <w:hideMark/>
          </w:tcPr>
          <w:p w14:paraId="05FB2B1F" w14:textId="77777777" w:rsidR="00F462C0" w:rsidRPr="00C63262" w:rsidRDefault="00F462C0" w:rsidP="00F462C0">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Missionary Volunteer Teacher</w:t>
            </w:r>
          </w:p>
        </w:tc>
      </w:tr>
      <w:tr w:rsidR="00F462C0" w:rsidRPr="00C63262" w14:paraId="3670A88C" w14:textId="77777777" w:rsidTr="00E60CBE">
        <w:trPr>
          <w:trHeight w:val="161"/>
        </w:trPr>
        <w:tc>
          <w:tcPr>
            <w:tcW w:w="1120" w:type="dxa"/>
            <w:tcBorders>
              <w:top w:val="nil"/>
            </w:tcBorders>
          </w:tcPr>
          <w:p w14:paraId="31EF8FF6" w14:textId="77777777" w:rsidR="00F462C0" w:rsidRPr="00C63262" w:rsidRDefault="00F462C0" w:rsidP="00F462C0">
            <w:pPr>
              <w:spacing w:before="100" w:beforeAutospacing="1" w:after="100" w:afterAutospacing="1" w:line="360" w:lineRule="auto"/>
              <w:rPr>
                <w:rFonts w:asciiTheme="majorHAnsi" w:hAnsiTheme="majorHAnsi" w:cstheme="majorHAnsi"/>
                <w:sz w:val="20"/>
                <w:szCs w:val="20"/>
                <w:lang w:val="en-US"/>
              </w:rPr>
            </w:pPr>
          </w:p>
        </w:tc>
        <w:tc>
          <w:tcPr>
            <w:tcW w:w="3270" w:type="dxa"/>
            <w:tcBorders>
              <w:top w:val="nil"/>
            </w:tcBorders>
          </w:tcPr>
          <w:p w14:paraId="4DB385BE" w14:textId="77777777" w:rsidR="00F462C0" w:rsidRPr="00C63262" w:rsidRDefault="00F462C0" w:rsidP="00F462C0">
            <w:pPr>
              <w:spacing w:before="100" w:beforeAutospacing="1" w:after="100" w:afterAutospacing="1" w:line="360" w:lineRule="auto"/>
              <w:rPr>
                <w:rFonts w:asciiTheme="majorHAnsi" w:hAnsiTheme="majorHAnsi" w:cstheme="majorHAnsi"/>
                <w:sz w:val="20"/>
                <w:szCs w:val="20"/>
                <w:lang w:val="en-US"/>
              </w:rPr>
            </w:pPr>
          </w:p>
        </w:tc>
        <w:tc>
          <w:tcPr>
            <w:tcW w:w="2409" w:type="dxa"/>
            <w:noWrap/>
            <w:hideMark/>
          </w:tcPr>
          <w:p w14:paraId="7C7AFF19" w14:textId="77777777" w:rsidR="00F462C0" w:rsidRPr="00C63262" w:rsidRDefault="00F462C0" w:rsidP="00F462C0">
            <w:pPr>
              <w:widowControl w:val="0"/>
              <w:numPr>
                <w:ilvl w:val="0"/>
                <w:numId w:val="104"/>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 xml:space="preserve">Venus P. Tanay </w:t>
            </w:r>
          </w:p>
        </w:tc>
        <w:tc>
          <w:tcPr>
            <w:tcW w:w="993" w:type="dxa"/>
            <w:noWrap/>
            <w:hideMark/>
          </w:tcPr>
          <w:p w14:paraId="15996968" w14:textId="77777777" w:rsidR="00F462C0" w:rsidRPr="00C63262" w:rsidRDefault="00F462C0" w:rsidP="00F462C0">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noWrap/>
            <w:hideMark/>
          </w:tcPr>
          <w:p w14:paraId="396D700E" w14:textId="77777777" w:rsidR="00F462C0" w:rsidRPr="00C63262" w:rsidRDefault="00F462C0" w:rsidP="00F462C0">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Principal</w:t>
            </w:r>
          </w:p>
        </w:tc>
      </w:tr>
    </w:tbl>
    <w:p w14:paraId="0C121DCB" w14:textId="77777777" w:rsidR="00747A68" w:rsidRDefault="00747A68">
      <w:r>
        <w:br w:type="page"/>
      </w:r>
    </w:p>
    <w:tbl>
      <w:tblPr>
        <w:tblStyle w:val="TableGrid1"/>
        <w:tblW w:w="10627" w:type="dxa"/>
        <w:tblLook w:val="04A0" w:firstRow="1" w:lastRow="0" w:firstColumn="1" w:lastColumn="0" w:noHBand="0" w:noVBand="1"/>
      </w:tblPr>
      <w:tblGrid>
        <w:gridCol w:w="4390"/>
        <w:gridCol w:w="2409"/>
        <w:gridCol w:w="993"/>
        <w:gridCol w:w="2835"/>
      </w:tblGrid>
      <w:tr w:rsidR="001B00C6" w:rsidRPr="00C63262" w14:paraId="160573AE" w14:textId="77777777" w:rsidTr="00F4751F">
        <w:trPr>
          <w:trHeight w:val="300"/>
          <w:tblHeader/>
        </w:trPr>
        <w:tc>
          <w:tcPr>
            <w:tcW w:w="4390" w:type="dxa"/>
            <w:tcBorders>
              <w:bottom w:val="nil"/>
            </w:tcBorders>
          </w:tcPr>
          <w:p w14:paraId="17EA8FEC" w14:textId="26730B2E" w:rsidR="001B00C6" w:rsidRPr="00C63262" w:rsidRDefault="001B00C6" w:rsidP="00EC6086">
            <w:pPr>
              <w:spacing w:before="100" w:beforeAutospacing="1" w:after="100" w:afterAutospacing="1" w:line="360" w:lineRule="auto"/>
              <w:rPr>
                <w:rFonts w:asciiTheme="majorHAnsi" w:hAnsiTheme="majorHAnsi" w:cstheme="majorHAnsi"/>
                <w:color w:val="000000"/>
                <w:sz w:val="20"/>
                <w:szCs w:val="20"/>
                <w:lang w:val="en-US"/>
              </w:rPr>
            </w:pPr>
            <w:r>
              <w:rPr>
                <w:rFonts w:asciiTheme="majorHAnsi" w:hAnsiTheme="majorHAnsi" w:cstheme="majorHAnsi"/>
                <w:color w:val="000000"/>
                <w:sz w:val="20"/>
                <w:szCs w:val="20"/>
                <w:lang w:val="en-US"/>
              </w:rPr>
              <w:t>Schools/Office</w:t>
            </w:r>
          </w:p>
        </w:tc>
        <w:tc>
          <w:tcPr>
            <w:tcW w:w="2409" w:type="dxa"/>
            <w:tcBorders>
              <w:top w:val="single" w:sz="4" w:space="0" w:color="auto"/>
              <w:bottom w:val="nil"/>
            </w:tcBorders>
            <w:noWrap/>
          </w:tcPr>
          <w:p w14:paraId="1C9FFF6B" w14:textId="180AE761" w:rsidR="001B00C6" w:rsidRPr="00C63262" w:rsidRDefault="001B00C6" w:rsidP="00BA3B60">
            <w:pPr>
              <w:widowControl w:val="0"/>
              <w:spacing w:before="100" w:beforeAutospacing="1" w:after="100" w:afterAutospacing="1" w:line="360" w:lineRule="auto"/>
              <w:rPr>
                <w:rFonts w:asciiTheme="majorHAnsi" w:hAnsiTheme="majorHAnsi" w:cstheme="majorHAnsi"/>
                <w:snapToGrid w:val="0"/>
                <w:color w:val="000000"/>
                <w:sz w:val="20"/>
                <w:szCs w:val="20"/>
                <w:lang w:val="en-US"/>
              </w:rPr>
            </w:pPr>
            <w:r>
              <w:rPr>
                <w:rFonts w:asciiTheme="majorHAnsi" w:hAnsiTheme="majorHAnsi" w:cstheme="majorHAnsi"/>
                <w:snapToGrid w:val="0"/>
                <w:color w:val="000000"/>
                <w:sz w:val="20"/>
                <w:szCs w:val="20"/>
                <w:lang w:val="en-US"/>
              </w:rPr>
              <w:t>Participants</w:t>
            </w:r>
          </w:p>
        </w:tc>
        <w:tc>
          <w:tcPr>
            <w:tcW w:w="993" w:type="dxa"/>
            <w:tcBorders>
              <w:bottom w:val="nil"/>
            </w:tcBorders>
            <w:noWrap/>
          </w:tcPr>
          <w:p w14:paraId="41166591" w14:textId="61511EA8" w:rsidR="001B00C6" w:rsidRPr="00C63262" w:rsidRDefault="001B00C6" w:rsidP="00C178A4">
            <w:pPr>
              <w:spacing w:before="100" w:beforeAutospacing="1" w:after="100" w:afterAutospacing="1" w:line="360" w:lineRule="auto"/>
              <w:rPr>
                <w:rFonts w:asciiTheme="majorHAnsi" w:hAnsiTheme="majorHAnsi" w:cstheme="majorHAnsi"/>
                <w:color w:val="000000"/>
                <w:sz w:val="20"/>
                <w:szCs w:val="20"/>
                <w:lang w:val="en-US"/>
              </w:rPr>
            </w:pPr>
            <w:r>
              <w:rPr>
                <w:rFonts w:asciiTheme="majorHAnsi" w:hAnsiTheme="majorHAnsi" w:cstheme="majorHAnsi"/>
                <w:color w:val="000000"/>
                <w:sz w:val="20"/>
                <w:szCs w:val="20"/>
                <w:lang w:val="en-US"/>
              </w:rPr>
              <w:t>Sex</w:t>
            </w:r>
          </w:p>
        </w:tc>
        <w:tc>
          <w:tcPr>
            <w:tcW w:w="2835" w:type="dxa"/>
            <w:tcBorders>
              <w:bottom w:val="nil"/>
            </w:tcBorders>
            <w:noWrap/>
          </w:tcPr>
          <w:p w14:paraId="13434046" w14:textId="39AA5AEE" w:rsidR="001B00C6" w:rsidRPr="00C63262" w:rsidRDefault="001B00C6" w:rsidP="00C178A4">
            <w:pPr>
              <w:spacing w:before="100" w:beforeAutospacing="1" w:after="100" w:afterAutospacing="1" w:line="360" w:lineRule="auto"/>
              <w:rPr>
                <w:rFonts w:asciiTheme="majorHAnsi" w:hAnsiTheme="majorHAnsi" w:cstheme="majorHAnsi"/>
                <w:color w:val="000000"/>
                <w:sz w:val="20"/>
                <w:szCs w:val="20"/>
                <w:lang w:val="en-US"/>
              </w:rPr>
            </w:pPr>
            <w:r>
              <w:rPr>
                <w:rFonts w:asciiTheme="majorHAnsi" w:hAnsiTheme="majorHAnsi" w:cstheme="majorHAnsi"/>
                <w:color w:val="000000"/>
                <w:sz w:val="20"/>
                <w:szCs w:val="20"/>
                <w:lang w:val="en-US"/>
              </w:rPr>
              <w:t>Designation/Department</w:t>
            </w:r>
          </w:p>
        </w:tc>
      </w:tr>
      <w:tr w:rsidR="000F2498" w:rsidRPr="00C63262" w14:paraId="75C18D92" w14:textId="77777777" w:rsidTr="00BA3B60">
        <w:trPr>
          <w:trHeight w:val="300"/>
        </w:trPr>
        <w:tc>
          <w:tcPr>
            <w:tcW w:w="4390" w:type="dxa"/>
            <w:tcBorders>
              <w:bottom w:val="nil"/>
            </w:tcBorders>
          </w:tcPr>
          <w:p w14:paraId="1BE30D13" w14:textId="1EC03A18" w:rsidR="000F2498" w:rsidRDefault="000F2498" w:rsidP="00EC6086">
            <w:pPr>
              <w:spacing w:before="100" w:beforeAutospacing="1" w:after="100" w:afterAutospacing="1" w:line="360" w:lineRule="auto"/>
            </w:pPr>
            <w:r w:rsidRPr="00C63262">
              <w:rPr>
                <w:rFonts w:asciiTheme="majorHAnsi" w:hAnsiTheme="majorHAnsi" w:cstheme="majorHAnsi"/>
                <w:color w:val="000000"/>
                <w:sz w:val="20"/>
                <w:szCs w:val="20"/>
                <w:lang w:val="en-US"/>
              </w:rPr>
              <w:t xml:space="preserve">Camarines Sur Division Office </w:t>
            </w:r>
            <w:r w:rsidRPr="00C63262">
              <w:rPr>
                <w:rFonts w:asciiTheme="majorHAnsi" w:hAnsiTheme="majorHAnsi" w:cstheme="majorHAnsi"/>
                <w:sz w:val="20"/>
                <w:szCs w:val="20"/>
                <w:lang w:val="en-US"/>
              </w:rPr>
              <w:t>Personnel</w:t>
            </w:r>
          </w:p>
        </w:tc>
        <w:tc>
          <w:tcPr>
            <w:tcW w:w="2409" w:type="dxa"/>
            <w:tcBorders>
              <w:top w:val="single" w:sz="4" w:space="0" w:color="auto"/>
              <w:bottom w:val="nil"/>
            </w:tcBorders>
            <w:noWrap/>
          </w:tcPr>
          <w:p w14:paraId="70794AEC" w14:textId="77777777" w:rsidR="000F2498" w:rsidRPr="00C63262" w:rsidRDefault="000F2498" w:rsidP="00BA3B60">
            <w:pPr>
              <w:widowControl w:val="0"/>
              <w:spacing w:before="100" w:beforeAutospacing="1" w:after="100" w:afterAutospacing="1" w:line="360" w:lineRule="auto"/>
              <w:rPr>
                <w:rFonts w:asciiTheme="majorHAnsi" w:hAnsiTheme="majorHAnsi" w:cstheme="majorHAnsi"/>
                <w:snapToGrid w:val="0"/>
                <w:color w:val="000000"/>
                <w:sz w:val="20"/>
                <w:szCs w:val="20"/>
                <w:lang w:val="en-US"/>
              </w:rPr>
            </w:pPr>
          </w:p>
        </w:tc>
        <w:tc>
          <w:tcPr>
            <w:tcW w:w="993" w:type="dxa"/>
            <w:tcBorders>
              <w:bottom w:val="nil"/>
            </w:tcBorders>
            <w:noWrap/>
          </w:tcPr>
          <w:p w14:paraId="783C2256" w14:textId="77777777" w:rsidR="000F2498" w:rsidRPr="00C63262" w:rsidRDefault="000F2498" w:rsidP="00C178A4">
            <w:pPr>
              <w:spacing w:before="100" w:beforeAutospacing="1" w:after="100" w:afterAutospacing="1" w:line="360" w:lineRule="auto"/>
              <w:rPr>
                <w:rFonts w:asciiTheme="majorHAnsi" w:hAnsiTheme="majorHAnsi" w:cstheme="majorHAnsi"/>
                <w:color w:val="000000"/>
                <w:sz w:val="20"/>
                <w:szCs w:val="20"/>
                <w:lang w:val="en-US"/>
              </w:rPr>
            </w:pPr>
          </w:p>
        </w:tc>
        <w:tc>
          <w:tcPr>
            <w:tcW w:w="2835" w:type="dxa"/>
            <w:tcBorders>
              <w:bottom w:val="nil"/>
            </w:tcBorders>
            <w:noWrap/>
          </w:tcPr>
          <w:p w14:paraId="35FE3EF2" w14:textId="77777777" w:rsidR="000F2498" w:rsidRPr="00C63262" w:rsidRDefault="000F2498" w:rsidP="00C178A4">
            <w:pPr>
              <w:spacing w:before="100" w:beforeAutospacing="1" w:after="100" w:afterAutospacing="1" w:line="360" w:lineRule="auto"/>
              <w:rPr>
                <w:rFonts w:asciiTheme="majorHAnsi" w:hAnsiTheme="majorHAnsi" w:cstheme="majorHAnsi"/>
                <w:color w:val="000000"/>
                <w:sz w:val="20"/>
                <w:szCs w:val="20"/>
                <w:lang w:val="en-US"/>
              </w:rPr>
            </w:pPr>
          </w:p>
        </w:tc>
      </w:tr>
      <w:tr w:rsidR="00C178A4" w:rsidRPr="00C63262" w14:paraId="1168CCFA" w14:textId="77777777" w:rsidTr="00BA3B60">
        <w:trPr>
          <w:trHeight w:val="300"/>
        </w:trPr>
        <w:tc>
          <w:tcPr>
            <w:tcW w:w="4390" w:type="dxa"/>
            <w:tcBorders>
              <w:top w:val="nil"/>
              <w:bottom w:val="nil"/>
            </w:tcBorders>
          </w:tcPr>
          <w:p w14:paraId="29400BBC" w14:textId="31582CEC" w:rsidR="00C178A4" w:rsidRPr="00C63262" w:rsidRDefault="0044572D" w:rsidP="00EC6086">
            <w:pPr>
              <w:spacing w:before="100" w:beforeAutospacing="1" w:after="100" w:afterAutospacing="1" w:line="360" w:lineRule="auto"/>
              <w:rPr>
                <w:rFonts w:asciiTheme="majorHAnsi" w:hAnsiTheme="majorHAnsi" w:cstheme="majorHAnsi"/>
                <w:sz w:val="20"/>
                <w:szCs w:val="20"/>
                <w:lang w:val="en-US"/>
              </w:rPr>
            </w:pPr>
            <w:r>
              <w:br w:type="page"/>
            </w:r>
            <w:r w:rsidR="00C178A4" w:rsidRPr="00C63262">
              <w:rPr>
                <w:rFonts w:asciiTheme="majorHAnsi" w:hAnsiTheme="majorHAnsi" w:cstheme="majorHAnsi"/>
                <w:sz w:val="20"/>
                <w:szCs w:val="20"/>
                <w:lang w:val="en-US"/>
              </w:rPr>
              <w:t> </w:t>
            </w:r>
          </w:p>
        </w:tc>
        <w:tc>
          <w:tcPr>
            <w:tcW w:w="2409" w:type="dxa"/>
            <w:tcBorders>
              <w:top w:val="nil"/>
            </w:tcBorders>
            <w:noWrap/>
            <w:hideMark/>
          </w:tcPr>
          <w:p w14:paraId="425C1170" w14:textId="77777777" w:rsidR="00C178A4" w:rsidRPr="00C63262" w:rsidRDefault="00C178A4" w:rsidP="00C178A4">
            <w:pPr>
              <w:widowControl w:val="0"/>
              <w:numPr>
                <w:ilvl w:val="0"/>
                <w:numId w:val="104"/>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Susan G. Antonio</w:t>
            </w:r>
          </w:p>
        </w:tc>
        <w:tc>
          <w:tcPr>
            <w:tcW w:w="993" w:type="dxa"/>
            <w:tcBorders>
              <w:top w:val="nil"/>
            </w:tcBorders>
            <w:noWrap/>
            <w:hideMark/>
          </w:tcPr>
          <w:p w14:paraId="6115C5DC" w14:textId="77777777" w:rsidR="00C178A4" w:rsidRPr="00C63262" w:rsidRDefault="00C178A4" w:rsidP="00C178A4">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Borders>
              <w:top w:val="nil"/>
            </w:tcBorders>
            <w:noWrap/>
            <w:hideMark/>
          </w:tcPr>
          <w:p w14:paraId="1B547067" w14:textId="77777777" w:rsidR="00C178A4" w:rsidRPr="00C63262" w:rsidRDefault="00C178A4" w:rsidP="00C178A4">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Project Development Officer I</w:t>
            </w:r>
          </w:p>
        </w:tc>
      </w:tr>
      <w:tr w:rsidR="00C178A4" w:rsidRPr="00C63262" w14:paraId="77EB8D2E" w14:textId="77777777" w:rsidTr="00EC6086">
        <w:trPr>
          <w:trHeight w:val="300"/>
        </w:trPr>
        <w:tc>
          <w:tcPr>
            <w:tcW w:w="4390" w:type="dxa"/>
            <w:tcBorders>
              <w:top w:val="nil"/>
              <w:bottom w:val="single" w:sz="4" w:space="0" w:color="auto"/>
            </w:tcBorders>
          </w:tcPr>
          <w:p w14:paraId="1BCBA111" w14:textId="77777777" w:rsidR="00C178A4" w:rsidRPr="00C63262" w:rsidRDefault="00C178A4" w:rsidP="00C178A4">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2EF58650" w14:textId="77777777" w:rsidR="00C178A4" w:rsidRPr="00C63262" w:rsidRDefault="00C178A4" w:rsidP="00C178A4">
            <w:pPr>
              <w:widowControl w:val="0"/>
              <w:numPr>
                <w:ilvl w:val="0"/>
                <w:numId w:val="104"/>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Dahlia S. Hallare</w:t>
            </w:r>
          </w:p>
        </w:tc>
        <w:tc>
          <w:tcPr>
            <w:tcW w:w="993" w:type="dxa"/>
            <w:noWrap/>
            <w:hideMark/>
          </w:tcPr>
          <w:p w14:paraId="1C2E8235" w14:textId="77777777" w:rsidR="00C178A4" w:rsidRPr="00C63262" w:rsidRDefault="00C178A4" w:rsidP="00C178A4">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noWrap/>
            <w:hideMark/>
          </w:tcPr>
          <w:p w14:paraId="3F45E83F" w14:textId="77777777" w:rsidR="00C178A4" w:rsidRPr="00C63262" w:rsidRDefault="00C178A4" w:rsidP="00C178A4">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Budget STAFF</w:t>
            </w:r>
          </w:p>
        </w:tc>
      </w:tr>
      <w:tr w:rsidR="00C178A4" w:rsidRPr="00C63262" w14:paraId="1E1ADE91" w14:textId="77777777" w:rsidTr="00EC6086">
        <w:trPr>
          <w:trHeight w:val="300"/>
        </w:trPr>
        <w:tc>
          <w:tcPr>
            <w:tcW w:w="4390" w:type="dxa"/>
            <w:tcBorders>
              <w:top w:val="single" w:sz="4" w:space="0" w:color="auto"/>
              <w:bottom w:val="nil"/>
            </w:tcBorders>
          </w:tcPr>
          <w:p w14:paraId="56FE053B" w14:textId="77777777" w:rsidR="00C178A4" w:rsidRPr="00C63262" w:rsidRDefault="00C178A4" w:rsidP="00C178A4">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Regional V Office Personnel</w:t>
            </w:r>
          </w:p>
          <w:p w14:paraId="6A1B845E" w14:textId="77777777" w:rsidR="00C178A4" w:rsidRPr="00C63262" w:rsidRDefault="00C178A4" w:rsidP="00C178A4">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 </w:t>
            </w:r>
          </w:p>
          <w:p w14:paraId="2214A810" w14:textId="3CB2057B" w:rsidR="00C178A4" w:rsidRPr="00C63262" w:rsidRDefault="00C178A4" w:rsidP="00C178A4">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 </w:t>
            </w:r>
          </w:p>
        </w:tc>
        <w:tc>
          <w:tcPr>
            <w:tcW w:w="2409" w:type="dxa"/>
            <w:noWrap/>
            <w:hideMark/>
          </w:tcPr>
          <w:p w14:paraId="69100C32" w14:textId="77777777" w:rsidR="00C178A4" w:rsidRPr="00C63262" w:rsidRDefault="00C178A4" w:rsidP="00C178A4">
            <w:pPr>
              <w:widowControl w:val="0"/>
              <w:numPr>
                <w:ilvl w:val="0"/>
                <w:numId w:val="104"/>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Evangeline A. Sacula</w:t>
            </w:r>
          </w:p>
        </w:tc>
        <w:tc>
          <w:tcPr>
            <w:tcW w:w="993" w:type="dxa"/>
            <w:noWrap/>
            <w:hideMark/>
          </w:tcPr>
          <w:p w14:paraId="27B0D0DA" w14:textId="77777777" w:rsidR="00C178A4" w:rsidRPr="00C63262" w:rsidRDefault="00C178A4" w:rsidP="00C178A4">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noWrap/>
            <w:hideMark/>
          </w:tcPr>
          <w:p w14:paraId="45490A3F" w14:textId="77777777" w:rsidR="00C178A4" w:rsidRPr="00C63262" w:rsidRDefault="00C178A4" w:rsidP="00C178A4">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Chief, FTAD</w:t>
            </w:r>
          </w:p>
        </w:tc>
      </w:tr>
      <w:tr w:rsidR="00C178A4" w:rsidRPr="00C63262" w14:paraId="2F0E4FE2" w14:textId="77777777" w:rsidTr="00EC6086">
        <w:trPr>
          <w:trHeight w:val="300"/>
        </w:trPr>
        <w:tc>
          <w:tcPr>
            <w:tcW w:w="4390" w:type="dxa"/>
            <w:tcBorders>
              <w:top w:val="nil"/>
              <w:bottom w:val="nil"/>
            </w:tcBorders>
          </w:tcPr>
          <w:p w14:paraId="62057D74" w14:textId="77777777" w:rsidR="00C178A4" w:rsidRPr="00C63262" w:rsidRDefault="00C178A4" w:rsidP="00C178A4">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30878F94" w14:textId="77777777" w:rsidR="00C178A4" w:rsidRPr="00C63262" w:rsidRDefault="00C178A4" w:rsidP="00C178A4">
            <w:pPr>
              <w:widowControl w:val="0"/>
              <w:numPr>
                <w:ilvl w:val="0"/>
                <w:numId w:val="104"/>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Casius B. Pudigona Jr.</w:t>
            </w:r>
          </w:p>
        </w:tc>
        <w:tc>
          <w:tcPr>
            <w:tcW w:w="993" w:type="dxa"/>
            <w:noWrap/>
            <w:hideMark/>
          </w:tcPr>
          <w:p w14:paraId="5B9BF4E9" w14:textId="77777777" w:rsidR="00C178A4" w:rsidRPr="00C63262" w:rsidRDefault="00C178A4" w:rsidP="00C178A4">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M</w:t>
            </w:r>
          </w:p>
        </w:tc>
        <w:tc>
          <w:tcPr>
            <w:tcW w:w="2835" w:type="dxa"/>
            <w:noWrap/>
            <w:hideMark/>
          </w:tcPr>
          <w:p w14:paraId="090F67D0" w14:textId="77777777" w:rsidR="00C178A4" w:rsidRPr="00C63262" w:rsidRDefault="00C178A4" w:rsidP="00C178A4">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TEPS</w:t>
            </w:r>
          </w:p>
        </w:tc>
      </w:tr>
      <w:tr w:rsidR="00C178A4" w:rsidRPr="00C63262" w14:paraId="57EA3B0A" w14:textId="77777777" w:rsidTr="00EC6086">
        <w:trPr>
          <w:trHeight w:val="300"/>
        </w:trPr>
        <w:tc>
          <w:tcPr>
            <w:tcW w:w="4390" w:type="dxa"/>
            <w:tcBorders>
              <w:top w:val="nil"/>
              <w:bottom w:val="nil"/>
            </w:tcBorders>
          </w:tcPr>
          <w:p w14:paraId="67A9A8F1" w14:textId="77777777" w:rsidR="00C178A4" w:rsidRPr="00C63262" w:rsidRDefault="00C178A4" w:rsidP="00C178A4">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5DA05432" w14:textId="77777777" w:rsidR="00C178A4" w:rsidRPr="00C63262" w:rsidRDefault="00C178A4" w:rsidP="00C178A4">
            <w:pPr>
              <w:widowControl w:val="0"/>
              <w:numPr>
                <w:ilvl w:val="0"/>
                <w:numId w:val="104"/>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Sanchia M. Nacion</w:t>
            </w:r>
          </w:p>
        </w:tc>
        <w:tc>
          <w:tcPr>
            <w:tcW w:w="993" w:type="dxa"/>
            <w:noWrap/>
            <w:hideMark/>
          </w:tcPr>
          <w:p w14:paraId="6ACAED9C" w14:textId="77777777" w:rsidR="00C178A4" w:rsidRPr="00C63262" w:rsidRDefault="00C178A4" w:rsidP="00C178A4">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noWrap/>
            <w:hideMark/>
          </w:tcPr>
          <w:p w14:paraId="060A65A6" w14:textId="77777777" w:rsidR="00C178A4" w:rsidRPr="00C63262" w:rsidRDefault="00C178A4" w:rsidP="00C178A4">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Chief, Human Resource Development Division</w:t>
            </w:r>
          </w:p>
        </w:tc>
      </w:tr>
      <w:tr w:rsidR="00C178A4" w:rsidRPr="00C63262" w14:paraId="0FC28867" w14:textId="77777777" w:rsidTr="00EC6086">
        <w:trPr>
          <w:trHeight w:val="300"/>
        </w:trPr>
        <w:tc>
          <w:tcPr>
            <w:tcW w:w="4390" w:type="dxa"/>
            <w:tcBorders>
              <w:top w:val="nil"/>
              <w:bottom w:val="nil"/>
            </w:tcBorders>
          </w:tcPr>
          <w:p w14:paraId="5E71B2E0" w14:textId="77777777" w:rsidR="00C178A4" w:rsidRPr="00C63262" w:rsidRDefault="00C178A4" w:rsidP="00C178A4">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0B02701F" w14:textId="77777777" w:rsidR="00C178A4" w:rsidRPr="00C63262" w:rsidRDefault="00C178A4" w:rsidP="00C178A4">
            <w:pPr>
              <w:widowControl w:val="0"/>
              <w:numPr>
                <w:ilvl w:val="0"/>
                <w:numId w:val="104"/>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Haydee S. Bolivar</w:t>
            </w:r>
          </w:p>
        </w:tc>
        <w:tc>
          <w:tcPr>
            <w:tcW w:w="993" w:type="dxa"/>
            <w:noWrap/>
            <w:hideMark/>
          </w:tcPr>
          <w:p w14:paraId="77941925" w14:textId="77777777" w:rsidR="00C178A4" w:rsidRPr="00C63262" w:rsidRDefault="00C178A4" w:rsidP="00C178A4">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noWrap/>
            <w:hideMark/>
          </w:tcPr>
          <w:p w14:paraId="07959003" w14:textId="77777777" w:rsidR="00C178A4" w:rsidRPr="00C63262" w:rsidRDefault="00C178A4" w:rsidP="00C178A4">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Chief, Curriculum and Learning Management Division</w:t>
            </w:r>
          </w:p>
        </w:tc>
      </w:tr>
      <w:tr w:rsidR="00C178A4" w:rsidRPr="00C63262" w14:paraId="7A1668F9" w14:textId="77777777" w:rsidTr="00EC6086">
        <w:trPr>
          <w:trHeight w:val="300"/>
        </w:trPr>
        <w:tc>
          <w:tcPr>
            <w:tcW w:w="4390" w:type="dxa"/>
            <w:tcBorders>
              <w:top w:val="nil"/>
              <w:bottom w:val="nil"/>
            </w:tcBorders>
          </w:tcPr>
          <w:p w14:paraId="5E4AE025" w14:textId="77777777" w:rsidR="00C178A4" w:rsidRPr="00C63262" w:rsidRDefault="00C178A4" w:rsidP="00C178A4">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17B223B4" w14:textId="77777777" w:rsidR="00C178A4" w:rsidRPr="00C63262" w:rsidRDefault="00C178A4" w:rsidP="00C178A4">
            <w:pPr>
              <w:widowControl w:val="0"/>
              <w:numPr>
                <w:ilvl w:val="0"/>
                <w:numId w:val="104"/>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Charlie B. Tayon</w:t>
            </w:r>
          </w:p>
        </w:tc>
        <w:tc>
          <w:tcPr>
            <w:tcW w:w="993" w:type="dxa"/>
            <w:noWrap/>
            <w:hideMark/>
          </w:tcPr>
          <w:p w14:paraId="281064B1" w14:textId="77777777" w:rsidR="00C178A4" w:rsidRPr="00C63262" w:rsidRDefault="00C178A4" w:rsidP="00C178A4">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M</w:t>
            </w:r>
          </w:p>
        </w:tc>
        <w:tc>
          <w:tcPr>
            <w:tcW w:w="2835" w:type="dxa"/>
            <w:noWrap/>
            <w:hideMark/>
          </w:tcPr>
          <w:p w14:paraId="17F3ABE7" w14:textId="77777777" w:rsidR="00C178A4" w:rsidRPr="00C63262" w:rsidRDefault="00C178A4" w:rsidP="00C178A4">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SEPS/Policy, Planning and Research Division</w:t>
            </w:r>
          </w:p>
        </w:tc>
      </w:tr>
      <w:tr w:rsidR="00C178A4" w:rsidRPr="00C63262" w14:paraId="6C185EB6" w14:textId="77777777" w:rsidTr="00300F05">
        <w:trPr>
          <w:trHeight w:val="300"/>
        </w:trPr>
        <w:tc>
          <w:tcPr>
            <w:tcW w:w="4390" w:type="dxa"/>
            <w:tcBorders>
              <w:top w:val="nil"/>
              <w:bottom w:val="nil"/>
            </w:tcBorders>
          </w:tcPr>
          <w:p w14:paraId="606EB8D8" w14:textId="77777777" w:rsidR="00C178A4" w:rsidRPr="00C63262" w:rsidRDefault="00C178A4" w:rsidP="00C178A4">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718D6A12" w14:textId="77777777" w:rsidR="00C178A4" w:rsidRPr="00C63262" w:rsidRDefault="00C178A4" w:rsidP="00C178A4">
            <w:pPr>
              <w:widowControl w:val="0"/>
              <w:numPr>
                <w:ilvl w:val="0"/>
                <w:numId w:val="104"/>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Salvador Dayto Jr.</w:t>
            </w:r>
          </w:p>
        </w:tc>
        <w:tc>
          <w:tcPr>
            <w:tcW w:w="993" w:type="dxa"/>
            <w:noWrap/>
            <w:hideMark/>
          </w:tcPr>
          <w:p w14:paraId="592B315E" w14:textId="77777777" w:rsidR="00C178A4" w:rsidRPr="00C63262" w:rsidRDefault="00C178A4" w:rsidP="00C178A4">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M</w:t>
            </w:r>
          </w:p>
        </w:tc>
        <w:tc>
          <w:tcPr>
            <w:tcW w:w="2835" w:type="dxa"/>
            <w:noWrap/>
            <w:hideMark/>
          </w:tcPr>
          <w:p w14:paraId="6911D4AA" w14:textId="77777777" w:rsidR="00C178A4" w:rsidRPr="00C63262" w:rsidRDefault="00C178A4" w:rsidP="00C178A4">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ITO/Information and Communication Technology</w:t>
            </w:r>
          </w:p>
        </w:tc>
      </w:tr>
      <w:tr w:rsidR="00C178A4" w:rsidRPr="00C63262" w14:paraId="02BFD7BB" w14:textId="77777777" w:rsidTr="00300F05">
        <w:trPr>
          <w:trHeight w:val="300"/>
        </w:trPr>
        <w:tc>
          <w:tcPr>
            <w:tcW w:w="4390" w:type="dxa"/>
            <w:tcBorders>
              <w:top w:val="nil"/>
              <w:bottom w:val="single" w:sz="4" w:space="0" w:color="auto"/>
            </w:tcBorders>
          </w:tcPr>
          <w:p w14:paraId="60A6094F" w14:textId="77777777" w:rsidR="00C178A4" w:rsidRPr="00C63262" w:rsidRDefault="00C178A4" w:rsidP="00C178A4">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71E594B0" w14:textId="77777777" w:rsidR="00C178A4" w:rsidRPr="00C63262" w:rsidRDefault="00C178A4" w:rsidP="00C178A4">
            <w:pPr>
              <w:widowControl w:val="0"/>
              <w:numPr>
                <w:ilvl w:val="0"/>
                <w:numId w:val="104"/>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Maxima Clara Masayao</w:t>
            </w:r>
          </w:p>
        </w:tc>
        <w:tc>
          <w:tcPr>
            <w:tcW w:w="993" w:type="dxa"/>
            <w:noWrap/>
            <w:hideMark/>
          </w:tcPr>
          <w:p w14:paraId="0F861CCD" w14:textId="77777777" w:rsidR="00C178A4" w:rsidRPr="00C63262" w:rsidRDefault="00C178A4" w:rsidP="00C178A4">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noWrap/>
            <w:hideMark/>
          </w:tcPr>
          <w:p w14:paraId="270B9780" w14:textId="77777777" w:rsidR="00C178A4" w:rsidRPr="00C63262" w:rsidRDefault="00C178A4" w:rsidP="00C178A4">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Education Program Supervisor / Curriculum and Learning Management Division</w:t>
            </w:r>
          </w:p>
        </w:tc>
      </w:tr>
      <w:tr w:rsidR="00C178A4" w:rsidRPr="00C63262" w14:paraId="589DCA7B" w14:textId="77777777" w:rsidTr="00300F05">
        <w:trPr>
          <w:trHeight w:val="300"/>
        </w:trPr>
        <w:tc>
          <w:tcPr>
            <w:tcW w:w="4390" w:type="dxa"/>
            <w:tcBorders>
              <w:top w:val="single" w:sz="4" w:space="0" w:color="auto"/>
              <w:bottom w:val="single" w:sz="4" w:space="0" w:color="auto"/>
            </w:tcBorders>
          </w:tcPr>
          <w:p w14:paraId="17EEF892" w14:textId="77777777" w:rsidR="00C178A4" w:rsidRPr="00C63262" w:rsidRDefault="00C178A4" w:rsidP="00C178A4">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359C2A22" w14:textId="77777777" w:rsidR="00C178A4" w:rsidRPr="00C63262" w:rsidRDefault="00C178A4" w:rsidP="00C178A4">
            <w:pPr>
              <w:widowControl w:val="0"/>
              <w:numPr>
                <w:ilvl w:val="0"/>
                <w:numId w:val="104"/>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Nora S. Laguda</w:t>
            </w:r>
          </w:p>
        </w:tc>
        <w:tc>
          <w:tcPr>
            <w:tcW w:w="993" w:type="dxa"/>
            <w:noWrap/>
            <w:hideMark/>
          </w:tcPr>
          <w:p w14:paraId="43092BE0" w14:textId="77777777" w:rsidR="00C178A4" w:rsidRPr="00C63262" w:rsidRDefault="00C178A4" w:rsidP="00C178A4">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noWrap/>
          </w:tcPr>
          <w:p w14:paraId="51E4FBD4" w14:textId="77777777" w:rsidR="00C178A4" w:rsidRPr="00C63262" w:rsidRDefault="00C178A4" w:rsidP="00C178A4">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color w:val="000000"/>
                <w:sz w:val="20"/>
                <w:szCs w:val="20"/>
                <w:lang w:val="en-US"/>
              </w:rPr>
              <w:t>Education Program Supervisor / Curriculum and Learning Management Division</w:t>
            </w:r>
          </w:p>
        </w:tc>
      </w:tr>
      <w:tr w:rsidR="00C178A4" w:rsidRPr="00C63262" w14:paraId="168099F7" w14:textId="77777777" w:rsidTr="00262611">
        <w:trPr>
          <w:trHeight w:val="300"/>
        </w:trPr>
        <w:tc>
          <w:tcPr>
            <w:tcW w:w="4390" w:type="dxa"/>
            <w:tcBorders>
              <w:top w:val="single" w:sz="4" w:space="0" w:color="auto"/>
              <w:bottom w:val="nil"/>
            </w:tcBorders>
          </w:tcPr>
          <w:p w14:paraId="54A25C3E" w14:textId="77777777" w:rsidR="00C178A4" w:rsidRPr="00C63262" w:rsidRDefault="00C178A4" w:rsidP="00C178A4">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65BA3FBE" w14:textId="77777777" w:rsidR="00C178A4" w:rsidRPr="00C63262" w:rsidRDefault="00C178A4" w:rsidP="00C178A4">
            <w:pPr>
              <w:widowControl w:val="0"/>
              <w:numPr>
                <w:ilvl w:val="0"/>
                <w:numId w:val="104"/>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Grace Rabelas</w:t>
            </w:r>
          </w:p>
        </w:tc>
        <w:tc>
          <w:tcPr>
            <w:tcW w:w="993" w:type="dxa"/>
            <w:noWrap/>
            <w:hideMark/>
          </w:tcPr>
          <w:p w14:paraId="352C3FC1" w14:textId="77777777" w:rsidR="00C178A4" w:rsidRPr="00C63262" w:rsidRDefault="00C178A4" w:rsidP="00C178A4">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noWrap/>
          </w:tcPr>
          <w:p w14:paraId="7D969FE2" w14:textId="77777777" w:rsidR="00C178A4" w:rsidRPr="00C63262" w:rsidRDefault="00C178A4" w:rsidP="00C178A4">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color w:val="000000"/>
                <w:sz w:val="20"/>
                <w:szCs w:val="20"/>
                <w:lang w:val="en-US"/>
              </w:rPr>
              <w:t>Education Program Supervisor / Curriculum and Learning Management Division</w:t>
            </w:r>
          </w:p>
        </w:tc>
      </w:tr>
      <w:tr w:rsidR="00C178A4" w:rsidRPr="00C63262" w14:paraId="6965CCC0" w14:textId="77777777" w:rsidTr="00EC6086">
        <w:trPr>
          <w:trHeight w:val="315"/>
        </w:trPr>
        <w:tc>
          <w:tcPr>
            <w:tcW w:w="4390" w:type="dxa"/>
            <w:tcBorders>
              <w:top w:val="nil"/>
              <w:bottom w:val="nil"/>
            </w:tcBorders>
          </w:tcPr>
          <w:p w14:paraId="4E744B0E" w14:textId="77777777" w:rsidR="00C178A4" w:rsidRPr="00C63262" w:rsidRDefault="00C178A4" w:rsidP="00C178A4">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202A1FB4" w14:textId="77777777" w:rsidR="00C178A4" w:rsidRPr="00C63262" w:rsidRDefault="00C178A4" w:rsidP="00C178A4">
            <w:pPr>
              <w:widowControl w:val="0"/>
              <w:numPr>
                <w:ilvl w:val="0"/>
                <w:numId w:val="104"/>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Chona P. Duroy</w:t>
            </w:r>
          </w:p>
        </w:tc>
        <w:tc>
          <w:tcPr>
            <w:tcW w:w="993" w:type="dxa"/>
            <w:noWrap/>
            <w:hideMark/>
          </w:tcPr>
          <w:p w14:paraId="0B0F0826" w14:textId="77777777" w:rsidR="00C178A4" w:rsidRPr="00C63262" w:rsidRDefault="00C178A4" w:rsidP="00C178A4">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noWrap/>
          </w:tcPr>
          <w:p w14:paraId="5AB83F6B" w14:textId="77777777" w:rsidR="00C178A4" w:rsidRPr="00C63262" w:rsidRDefault="00C178A4" w:rsidP="00C178A4">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color w:val="000000"/>
                <w:sz w:val="20"/>
                <w:szCs w:val="20"/>
                <w:lang w:val="en-US"/>
              </w:rPr>
              <w:t>Education Program Supervisor / Curriculum and Learning Management Division</w:t>
            </w:r>
          </w:p>
        </w:tc>
      </w:tr>
      <w:tr w:rsidR="00C178A4" w:rsidRPr="00C63262" w14:paraId="5CBE03EA" w14:textId="77777777" w:rsidTr="00EC6086">
        <w:trPr>
          <w:trHeight w:val="315"/>
        </w:trPr>
        <w:tc>
          <w:tcPr>
            <w:tcW w:w="4390" w:type="dxa"/>
            <w:tcBorders>
              <w:top w:val="nil"/>
              <w:bottom w:val="nil"/>
            </w:tcBorders>
          </w:tcPr>
          <w:p w14:paraId="6A9F318A" w14:textId="77777777" w:rsidR="00C178A4" w:rsidRPr="00C63262" w:rsidRDefault="00C178A4" w:rsidP="00C178A4">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4859087F" w14:textId="77777777" w:rsidR="00C178A4" w:rsidRPr="00C63262" w:rsidRDefault="00C178A4" w:rsidP="00C178A4">
            <w:pPr>
              <w:widowControl w:val="0"/>
              <w:numPr>
                <w:ilvl w:val="0"/>
                <w:numId w:val="104"/>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Israel F. Parila</w:t>
            </w:r>
          </w:p>
        </w:tc>
        <w:tc>
          <w:tcPr>
            <w:tcW w:w="993" w:type="dxa"/>
            <w:noWrap/>
            <w:hideMark/>
          </w:tcPr>
          <w:p w14:paraId="1AA7BB38" w14:textId="77777777" w:rsidR="00C178A4" w:rsidRPr="00C63262" w:rsidRDefault="00C178A4" w:rsidP="00C178A4">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M</w:t>
            </w:r>
          </w:p>
        </w:tc>
        <w:tc>
          <w:tcPr>
            <w:tcW w:w="2835" w:type="dxa"/>
            <w:noWrap/>
            <w:hideMark/>
          </w:tcPr>
          <w:p w14:paraId="2FC6126F" w14:textId="77777777" w:rsidR="00C178A4" w:rsidRPr="00C63262" w:rsidRDefault="00C178A4" w:rsidP="00C178A4">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Education Support Services Division, MO IV</w:t>
            </w:r>
          </w:p>
        </w:tc>
      </w:tr>
      <w:tr w:rsidR="00C178A4" w:rsidRPr="00C63262" w14:paraId="261956C8" w14:textId="77777777" w:rsidTr="00EC6086">
        <w:trPr>
          <w:trHeight w:val="315"/>
        </w:trPr>
        <w:tc>
          <w:tcPr>
            <w:tcW w:w="4390" w:type="dxa"/>
            <w:tcBorders>
              <w:top w:val="nil"/>
            </w:tcBorders>
          </w:tcPr>
          <w:p w14:paraId="49D8AF02" w14:textId="77777777" w:rsidR="00C178A4" w:rsidRPr="00C63262" w:rsidRDefault="00C178A4" w:rsidP="00C178A4">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70A9FD21" w14:textId="77777777" w:rsidR="00C178A4" w:rsidRPr="00C63262" w:rsidRDefault="00C178A4" w:rsidP="00C178A4">
            <w:pPr>
              <w:widowControl w:val="0"/>
              <w:numPr>
                <w:ilvl w:val="0"/>
                <w:numId w:val="104"/>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Ronald C. Asis</w:t>
            </w:r>
          </w:p>
        </w:tc>
        <w:tc>
          <w:tcPr>
            <w:tcW w:w="993" w:type="dxa"/>
            <w:noWrap/>
            <w:hideMark/>
          </w:tcPr>
          <w:p w14:paraId="4460C457" w14:textId="77777777" w:rsidR="00C178A4" w:rsidRPr="00C63262" w:rsidRDefault="00C178A4" w:rsidP="00C178A4">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M</w:t>
            </w:r>
          </w:p>
        </w:tc>
        <w:tc>
          <w:tcPr>
            <w:tcW w:w="2835" w:type="dxa"/>
            <w:noWrap/>
            <w:hideMark/>
          </w:tcPr>
          <w:p w14:paraId="4F590B75" w14:textId="77777777" w:rsidR="00C178A4" w:rsidRPr="00C63262" w:rsidRDefault="00C178A4" w:rsidP="00C178A4">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 xml:space="preserve">Chief, Education Support Services Division </w:t>
            </w:r>
          </w:p>
        </w:tc>
      </w:tr>
    </w:tbl>
    <w:p w14:paraId="5F51497A" w14:textId="77777777" w:rsidR="00747A68" w:rsidRDefault="00747A68" w:rsidP="005902F7">
      <w:pPr>
        <w:spacing w:before="100" w:beforeAutospacing="1" w:after="100" w:afterAutospacing="1" w:line="360" w:lineRule="auto"/>
        <w:rPr>
          <w:rFonts w:asciiTheme="majorHAnsi" w:hAnsiTheme="majorHAnsi" w:cstheme="majorHAnsi"/>
          <w:b/>
          <w:color w:val="0070C0"/>
          <w:lang w:val="en-US"/>
        </w:rPr>
        <w:sectPr w:rsidR="00747A68" w:rsidSect="009C64E9">
          <w:pgSz w:w="11900" w:h="16840"/>
          <w:pgMar w:top="720" w:right="720" w:bottom="720" w:left="720" w:header="720" w:footer="720" w:gutter="0"/>
          <w:cols w:space="720"/>
          <w:docGrid w:linePitch="360"/>
        </w:sectPr>
      </w:pPr>
    </w:p>
    <w:p w14:paraId="187FA063" w14:textId="2E0DB7CF" w:rsidR="008D0CAD" w:rsidRPr="00C63262" w:rsidRDefault="008D0CAD" w:rsidP="005902F7">
      <w:pPr>
        <w:spacing w:before="100" w:beforeAutospacing="1" w:after="100" w:afterAutospacing="1" w:line="360" w:lineRule="auto"/>
        <w:rPr>
          <w:rFonts w:asciiTheme="majorHAnsi" w:hAnsiTheme="majorHAnsi" w:cstheme="majorHAnsi"/>
          <w:b/>
          <w:color w:val="0070C0"/>
          <w:lang w:val="en-US"/>
        </w:rPr>
      </w:pPr>
      <w:r w:rsidRPr="00C63262">
        <w:rPr>
          <w:rFonts w:asciiTheme="majorHAnsi" w:hAnsiTheme="majorHAnsi" w:cstheme="majorHAnsi"/>
          <w:b/>
          <w:color w:val="0070C0"/>
          <w:lang w:val="en-US"/>
        </w:rPr>
        <w:t>REGION VI</w:t>
      </w:r>
    </w:p>
    <w:tbl>
      <w:tblPr>
        <w:tblStyle w:val="TableGrid1"/>
        <w:tblW w:w="10627" w:type="dxa"/>
        <w:tblLook w:val="04A0" w:firstRow="1" w:lastRow="0" w:firstColumn="1" w:lastColumn="0" w:noHBand="0" w:noVBand="1"/>
      </w:tblPr>
      <w:tblGrid>
        <w:gridCol w:w="870"/>
        <w:gridCol w:w="3520"/>
        <w:gridCol w:w="2409"/>
        <w:gridCol w:w="993"/>
        <w:gridCol w:w="2835"/>
      </w:tblGrid>
      <w:tr w:rsidR="005C6F5A" w:rsidRPr="00C63262" w14:paraId="69294BC1" w14:textId="77777777" w:rsidTr="00273FEC">
        <w:trPr>
          <w:trHeight w:val="300"/>
          <w:tblHeader/>
        </w:trPr>
        <w:tc>
          <w:tcPr>
            <w:tcW w:w="870" w:type="dxa"/>
            <w:tcBorders>
              <w:bottom w:val="single" w:sz="4" w:space="0" w:color="auto"/>
            </w:tcBorders>
          </w:tcPr>
          <w:p w14:paraId="12FAB9DF" w14:textId="5C16C37A" w:rsidR="005C6F5A" w:rsidRPr="00C63262" w:rsidRDefault="005C6F5A" w:rsidP="005C6F5A">
            <w:pPr>
              <w:spacing w:before="100" w:beforeAutospacing="1" w:after="100" w:afterAutospacing="1" w:line="360" w:lineRule="auto"/>
              <w:rPr>
                <w:rFonts w:asciiTheme="majorHAnsi" w:hAnsiTheme="majorHAnsi" w:cstheme="majorHAnsi"/>
                <w:b/>
                <w:sz w:val="20"/>
                <w:szCs w:val="20"/>
                <w:lang w:val="en-US"/>
              </w:rPr>
            </w:pPr>
            <w:r w:rsidRPr="00C63262">
              <w:rPr>
                <w:rFonts w:asciiTheme="majorHAnsi" w:hAnsiTheme="majorHAnsi" w:cstheme="majorHAnsi"/>
                <w:b/>
                <w:sz w:val="20"/>
                <w:szCs w:val="20"/>
                <w:lang w:val="en-US"/>
              </w:rPr>
              <w:t>School ID</w:t>
            </w:r>
          </w:p>
        </w:tc>
        <w:tc>
          <w:tcPr>
            <w:tcW w:w="3520" w:type="dxa"/>
            <w:tcBorders>
              <w:bottom w:val="single" w:sz="4" w:space="0" w:color="auto"/>
            </w:tcBorders>
          </w:tcPr>
          <w:p w14:paraId="17D53505" w14:textId="0D8F7EA4" w:rsidR="005C6F5A" w:rsidRPr="00C63262" w:rsidRDefault="005C6F5A" w:rsidP="005C6F5A">
            <w:pPr>
              <w:spacing w:before="100" w:beforeAutospacing="1" w:after="100" w:afterAutospacing="1" w:line="360" w:lineRule="auto"/>
              <w:rPr>
                <w:rFonts w:asciiTheme="majorHAnsi" w:hAnsiTheme="majorHAnsi" w:cstheme="majorHAnsi"/>
                <w:b/>
                <w:sz w:val="20"/>
                <w:szCs w:val="20"/>
                <w:lang w:val="en-US"/>
              </w:rPr>
            </w:pPr>
            <w:r w:rsidRPr="00C63262">
              <w:rPr>
                <w:rFonts w:asciiTheme="majorHAnsi" w:hAnsiTheme="majorHAnsi" w:cstheme="majorHAnsi"/>
                <w:b/>
                <w:color w:val="000000"/>
                <w:sz w:val="20"/>
                <w:szCs w:val="20"/>
                <w:lang w:val="en-US"/>
              </w:rPr>
              <w:t>Schools/Office</w:t>
            </w:r>
          </w:p>
        </w:tc>
        <w:tc>
          <w:tcPr>
            <w:tcW w:w="2409" w:type="dxa"/>
            <w:noWrap/>
            <w:hideMark/>
          </w:tcPr>
          <w:p w14:paraId="67D4D9D0" w14:textId="77777777" w:rsidR="005C6F5A" w:rsidRPr="00C63262" w:rsidRDefault="005C6F5A" w:rsidP="005C6F5A">
            <w:pPr>
              <w:spacing w:before="100" w:beforeAutospacing="1" w:after="100" w:afterAutospacing="1" w:line="360" w:lineRule="auto"/>
              <w:rPr>
                <w:rFonts w:asciiTheme="majorHAnsi" w:hAnsiTheme="majorHAnsi" w:cstheme="majorHAnsi"/>
                <w:b/>
                <w:color w:val="000000"/>
                <w:sz w:val="20"/>
                <w:szCs w:val="20"/>
                <w:lang w:val="en-US"/>
              </w:rPr>
            </w:pPr>
            <w:r w:rsidRPr="00C63262">
              <w:rPr>
                <w:rFonts w:asciiTheme="majorHAnsi" w:hAnsiTheme="majorHAnsi" w:cstheme="majorHAnsi"/>
                <w:b/>
                <w:color w:val="000000"/>
                <w:sz w:val="20"/>
                <w:szCs w:val="20"/>
                <w:lang w:val="en-US"/>
              </w:rPr>
              <w:t>Participants</w:t>
            </w:r>
          </w:p>
        </w:tc>
        <w:tc>
          <w:tcPr>
            <w:tcW w:w="993" w:type="dxa"/>
            <w:noWrap/>
            <w:hideMark/>
          </w:tcPr>
          <w:p w14:paraId="6BB4F3CD" w14:textId="77777777" w:rsidR="005C6F5A" w:rsidRPr="00C63262" w:rsidRDefault="005C6F5A" w:rsidP="005C6F5A">
            <w:pPr>
              <w:spacing w:before="100" w:beforeAutospacing="1" w:after="100" w:afterAutospacing="1" w:line="360" w:lineRule="auto"/>
              <w:rPr>
                <w:rFonts w:asciiTheme="majorHAnsi" w:hAnsiTheme="majorHAnsi" w:cstheme="majorHAnsi"/>
                <w:b/>
                <w:color w:val="000000"/>
                <w:sz w:val="20"/>
                <w:szCs w:val="20"/>
                <w:lang w:val="en-US"/>
              </w:rPr>
            </w:pPr>
            <w:r w:rsidRPr="00C63262">
              <w:rPr>
                <w:rFonts w:asciiTheme="majorHAnsi" w:hAnsiTheme="majorHAnsi" w:cstheme="majorHAnsi"/>
                <w:b/>
                <w:color w:val="000000"/>
                <w:sz w:val="20"/>
                <w:szCs w:val="20"/>
                <w:lang w:val="en-US"/>
              </w:rPr>
              <w:t>Sex</w:t>
            </w:r>
          </w:p>
        </w:tc>
        <w:tc>
          <w:tcPr>
            <w:tcW w:w="2835" w:type="dxa"/>
          </w:tcPr>
          <w:p w14:paraId="17F9E740" w14:textId="77777777" w:rsidR="005C6F5A" w:rsidRPr="00C63262" w:rsidRDefault="005C6F5A" w:rsidP="005C6F5A">
            <w:pPr>
              <w:spacing w:before="100" w:beforeAutospacing="1" w:after="100" w:afterAutospacing="1" w:line="360" w:lineRule="auto"/>
              <w:rPr>
                <w:rFonts w:asciiTheme="majorHAnsi" w:hAnsiTheme="majorHAnsi" w:cstheme="majorHAnsi"/>
                <w:b/>
                <w:color w:val="000000"/>
                <w:sz w:val="20"/>
                <w:szCs w:val="20"/>
                <w:lang w:val="en-US"/>
              </w:rPr>
            </w:pPr>
            <w:r w:rsidRPr="00C63262">
              <w:rPr>
                <w:rFonts w:asciiTheme="majorHAnsi" w:hAnsiTheme="majorHAnsi" w:cstheme="majorHAnsi"/>
                <w:b/>
                <w:color w:val="000000"/>
                <w:sz w:val="20"/>
                <w:szCs w:val="20"/>
                <w:lang w:val="en-US"/>
              </w:rPr>
              <w:t>Designation / Department</w:t>
            </w:r>
          </w:p>
        </w:tc>
      </w:tr>
      <w:tr w:rsidR="005C6F5A" w:rsidRPr="00C63262" w14:paraId="6B436505" w14:textId="77777777" w:rsidTr="0053079A">
        <w:trPr>
          <w:trHeight w:val="300"/>
        </w:trPr>
        <w:tc>
          <w:tcPr>
            <w:tcW w:w="870" w:type="dxa"/>
            <w:tcBorders>
              <w:bottom w:val="nil"/>
            </w:tcBorders>
          </w:tcPr>
          <w:p w14:paraId="4D4BFA97" w14:textId="70560F69"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116423</w:t>
            </w:r>
          </w:p>
        </w:tc>
        <w:tc>
          <w:tcPr>
            <w:tcW w:w="3520" w:type="dxa"/>
            <w:tcBorders>
              <w:bottom w:val="nil"/>
            </w:tcBorders>
          </w:tcPr>
          <w:p w14:paraId="6D6A73C6" w14:textId="54FA1CA3"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snapToGrid w:val="0"/>
                <w:color w:val="000000"/>
                <w:sz w:val="20"/>
                <w:szCs w:val="20"/>
                <w:lang w:val="en-US"/>
              </w:rPr>
              <w:t>Agtuman Elementary School</w:t>
            </w:r>
          </w:p>
        </w:tc>
        <w:tc>
          <w:tcPr>
            <w:tcW w:w="2409" w:type="dxa"/>
            <w:noWrap/>
            <w:hideMark/>
          </w:tcPr>
          <w:p w14:paraId="5FE6B3EB" w14:textId="77777777" w:rsidR="005C6F5A" w:rsidRPr="00C63262" w:rsidRDefault="005C6F5A" w:rsidP="005C6F5A">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Emily P. Loria</w:t>
            </w:r>
          </w:p>
        </w:tc>
        <w:tc>
          <w:tcPr>
            <w:tcW w:w="993" w:type="dxa"/>
            <w:noWrap/>
            <w:hideMark/>
          </w:tcPr>
          <w:p w14:paraId="309137E8"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4E1A8A95"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5C6F5A" w:rsidRPr="00C63262" w14:paraId="229F1A3D" w14:textId="77777777" w:rsidTr="0053079A">
        <w:trPr>
          <w:trHeight w:val="300"/>
        </w:trPr>
        <w:tc>
          <w:tcPr>
            <w:tcW w:w="870" w:type="dxa"/>
            <w:tcBorders>
              <w:top w:val="nil"/>
              <w:bottom w:val="nil"/>
            </w:tcBorders>
          </w:tcPr>
          <w:p w14:paraId="726B2A27"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p>
        </w:tc>
        <w:tc>
          <w:tcPr>
            <w:tcW w:w="3520" w:type="dxa"/>
            <w:tcBorders>
              <w:top w:val="nil"/>
              <w:bottom w:val="nil"/>
            </w:tcBorders>
          </w:tcPr>
          <w:p w14:paraId="5811E9BA"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2D26744B" w14:textId="77777777" w:rsidR="005C6F5A" w:rsidRPr="00C63262" w:rsidRDefault="005C6F5A" w:rsidP="005C6F5A">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Rodendo L. Legayad Jr.</w:t>
            </w:r>
          </w:p>
        </w:tc>
        <w:tc>
          <w:tcPr>
            <w:tcW w:w="993" w:type="dxa"/>
            <w:noWrap/>
            <w:hideMark/>
          </w:tcPr>
          <w:p w14:paraId="374830BF"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M</w:t>
            </w:r>
          </w:p>
        </w:tc>
        <w:tc>
          <w:tcPr>
            <w:tcW w:w="2835" w:type="dxa"/>
          </w:tcPr>
          <w:p w14:paraId="6782DE82"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5C6F5A" w:rsidRPr="00C63262" w14:paraId="36E49D29" w14:textId="77777777" w:rsidTr="0053079A">
        <w:trPr>
          <w:trHeight w:val="300"/>
        </w:trPr>
        <w:tc>
          <w:tcPr>
            <w:tcW w:w="870" w:type="dxa"/>
            <w:tcBorders>
              <w:top w:val="nil"/>
              <w:bottom w:val="single" w:sz="4" w:space="0" w:color="auto"/>
            </w:tcBorders>
          </w:tcPr>
          <w:p w14:paraId="37B2BC0A"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p>
        </w:tc>
        <w:tc>
          <w:tcPr>
            <w:tcW w:w="3520" w:type="dxa"/>
            <w:tcBorders>
              <w:top w:val="nil"/>
              <w:bottom w:val="single" w:sz="4" w:space="0" w:color="auto"/>
            </w:tcBorders>
          </w:tcPr>
          <w:p w14:paraId="46D695F4"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4E72BF48" w14:textId="77777777" w:rsidR="005C6F5A" w:rsidRPr="00C63262" w:rsidRDefault="005C6F5A" w:rsidP="005C6F5A">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Hazel L. Castillo</w:t>
            </w:r>
          </w:p>
        </w:tc>
        <w:tc>
          <w:tcPr>
            <w:tcW w:w="993" w:type="dxa"/>
            <w:noWrap/>
            <w:hideMark/>
          </w:tcPr>
          <w:p w14:paraId="23211815"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47A598D2"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Principal</w:t>
            </w:r>
          </w:p>
        </w:tc>
      </w:tr>
      <w:tr w:rsidR="005C6F5A" w:rsidRPr="00C63262" w14:paraId="69674CE7" w14:textId="77777777" w:rsidTr="0053079A">
        <w:trPr>
          <w:trHeight w:val="300"/>
        </w:trPr>
        <w:tc>
          <w:tcPr>
            <w:tcW w:w="870" w:type="dxa"/>
            <w:tcBorders>
              <w:bottom w:val="nil"/>
            </w:tcBorders>
          </w:tcPr>
          <w:p w14:paraId="4C671E81" w14:textId="309A2528" w:rsidR="005C6F5A" w:rsidRPr="00C63262" w:rsidRDefault="005C6F5A" w:rsidP="005C6F5A">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116235</w:t>
            </w:r>
          </w:p>
        </w:tc>
        <w:tc>
          <w:tcPr>
            <w:tcW w:w="3520" w:type="dxa"/>
            <w:tcBorders>
              <w:bottom w:val="nil"/>
            </w:tcBorders>
          </w:tcPr>
          <w:p w14:paraId="4C4D0C3F" w14:textId="1A2988DC" w:rsidR="005C6F5A" w:rsidRPr="00C63262" w:rsidRDefault="005C6F5A" w:rsidP="005C6F5A">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napToGrid w:val="0"/>
                <w:color w:val="000000"/>
                <w:sz w:val="20"/>
                <w:szCs w:val="20"/>
                <w:lang w:val="en-US"/>
              </w:rPr>
              <w:t xml:space="preserve">Bacjawan Sur Elementary School </w:t>
            </w:r>
          </w:p>
        </w:tc>
        <w:tc>
          <w:tcPr>
            <w:tcW w:w="2409" w:type="dxa"/>
            <w:noWrap/>
            <w:hideMark/>
          </w:tcPr>
          <w:p w14:paraId="1F7849D3" w14:textId="77777777" w:rsidR="005C6F5A" w:rsidRPr="00C63262" w:rsidRDefault="005C6F5A" w:rsidP="005C6F5A">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Jana Jane R. Parreňas</w:t>
            </w:r>
          </w:p>
        </w:tc>
        <w:tc>
          <w:tcPr>
            <w:tcW w:w="993" w:type="dxa"/>
            <w:noWrap/>
            <w:hideMark/>
          </w:tcPr>
          <w:p w14:paraId="64B4EA3C"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0B8ADDB0"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5C6F5A" w:rsidRPr="00C63262" w14:paraId="674BCE9F" w14:textId="77777777" w:rsidTr="0053079A">
        <w:trPr>
          <w:trHeight w:val="300"/>
        </w:trPr>
        <w:tc>
          <w:tcPr>
            <w:tcW w:w="870" w:type="dxa"/>
            <w:tcBorders>
              <w:top w:val="nil"/>
              <w:bottom w:val="nil"/>
            </w:tcBorders>
          </w:tcPr>
          <w:p w14:paraId="365FE33A" w14:textId="77777777" w:rsidR="005C6F5A" w:rsidRPr="00C63262" w:rsidRDefault="005C6F5A" w:rsidP="005C6F5A">
            <w:pPr>
              <w:spacing w:before="100" w:beforeAutospacing="1" w:after="100" w:afterAutospacing="1" w:line="360" w:lineRule="auto"/>
              <w:rPr>
                <w:rFonts w:asciiTheme="majorHAnsi" w:hAnsiTheme="majorHAnsi" w:cstheme="majorHAnsi"/>
                <w:sz w:val="20"/>
                <w:szCs w:val="20"/>
                <w:lang w:val="en-US"/>
              </w:rPr>
            </w:pPr>
          </w:p>
        </w:tc>
        <w:tc>
          <w:tcPr>
            <w:tcW w:w="3520" w:type="dxa"/>
            <w:tcBorders>
              <w:top w:val="nil"/>
              <w:bottom w:val="nil"/>
            </w:tcBorders>
          </w:tcPr>
          <w:p w14:paraId="7E49F694" w14:textId="77777777" w:rsidR="005C6F5A" w:rsidRPr="00C63262" w:rsidRDefault="005C6F5A" w:rsidP="005C6F5A">
            <w:pPr>
              <w:spacing w:before="100" w:beforeAutospacing="1" w:after="100" w:afterAutospacing="1" w:line="360" w:lineRule="auto"/>
              <w:rPr>
                <w:rFonts w:asciiTheme="majorHAnsi" w:hAnsiTheme="majorHAnsi" w:cstheme="majorHAnsi"/>
                <w:sz w:val="20"/>
                <w:szCs w:val="20"/>
                <w:lang w:val="en-US"/>
              </w:rPr>
            </w:pPr>
          </w:p>
        </w:tc>
        <w:tc>
          <w:tcPr>
            <w:tcW w:w="2409" w:type="dxa"/>
            <w:noWrap/>
            <w:hideMark/>
          </w:tcPr>
          <w:p w14:paraId="1E0DFFB3" w14:textId="77777777" w:rsidR="005C6F5A" w:rsidRPr="00C63262" w:rsidRDefault="005C6F5A" w:rsidP="005C6F5A">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Corazon I. Lanila</w:t>
            </w:r>
          </w:p>
        </w:tc>
        <w:tc>
          <w:tcPr>
            <w:tcW w:w="993" w:type="dxa"/>
            <w:noWrap/>
            <w:hideMark/>
          </w:tcPr>
          <w:p w14:paraId="1A1741DB"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09464182"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5C6F5A" w:rsidRPr="00C63262" w14:paraId="5C6972D9" w14:textId="77777777" w:rsidTr="0053079A">
        <w:trPr>
          <w:trHeight w:val="300"/>
        </w:trPr>
        <w:tc>
          <w:tcPr>
            <w:tcW w:w="870" w:type="dxa"/>
            <w:tcBorders>
              <w:top w:val="nil"/>
              <w:bottom w:val="nil"/>
            </w:tcBorders>
          </w:tcPr>
          <w:p w14:paraId="12011FCF" w14:textId="77777777" w:rsidR="005C6F5A" w:rsidRPr="00C63262" w:rsidRDefault="005C6F5A" w:rsidP="005C6F5A">
            <w:pPr>
              <w:spacing w:before="100" w:beforeAutospacing="1" w:after="100" w:afterAutospacing="1" w:line="360" w:lineRule="auto"/>
              <w:rPr>
                <w:rFonts w:asciiTheme="majorHAnsi" w:hAnsiTheme="majorHAnsi" w:cstheme="majorHAnsi"/>
                <w:sz w:val="20"/>
                <w:szCs w:val="20"/>
                <w:lang w:val="en-US"/>
              </w:rPr>
            </w:pPr>
          </w:p>
        </w:tc>
        <w:tc>
          <w:tcPr>
            <w:tcW w:w="3520" w:type="dxa"/>
            <w:tcBorders>
              <w:top w:val="nil"/>
              <w:bottom w:val="nil"/>
            </w:tcBorders>
          </w:tcPr>
          <w:p w14:paraId="52F4E8E9" w14:textId="77777777" w:rsidR="005C6F5A" w:rsidRPr="00C63262" w:rsidRDefault="005C6F5A" w:rsidP="005C6F5A">
            <w:pPr>
              <w:spacing w:before="100" w:beforeAutospacing="1" w:after="100" w:afterAutospacing="1" w:line="360" w:lineRule="auto"/>
              <w:rPr>
                <w:rFonts w:asciiTheme="majorHAnsi" w:hAnsiTheme="majorHAnsi" w:cstheme="majorHAnsi"/>
                <w:sz w:val="20"/>
                <w:szCs w:val="20"/>
                <w:lang w:val="en-US"/>
              </w:rPr>
            </w:pPr>
          </w:p>
        </w:tc>
        <w:tc>
          <w:tcPr>
            <w:tcW w:w="2409" w:type="dxa"/>
            <w:noWrap/>
            <w:hideMark/>
          </w:tcPr>
          <w:p w14:paraId="67C90E06" w14:textId="77777777" w:rsidR="005C6F5A" w:rsidRPr="00C63262" w:rsidRDefault="005C6F5A" w:rsidP="005C6F5A">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Edna Lyn A. Villarias</w:t>
            </w:r>
          </w:p>
        </w:tc>
        <w:tc>
          <w:tcPr>
            <w:tcW w:w="993" w:type="dxa"/>
            <w:noWrap/>
            <w:hideMark/>
          </w:tcPr>
          <w:p w14:paraId="272BD80B"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580BEBFF"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5C6F5A" w:rsidRPr="00C63262" w14:paraId="21B9D21D" w14:textId="77777777" w:rsidTr="0053079A">
        <w:trPr>
          <w:trHeight w:val="300"/>
        </w:trPr>
        <w:tc>
          <w:tcPr>
            <w:tcW w:w="870" w:type="dxa"/>
            <w:tcBorders>
              <w:top w:val="nil"/>
              <w:bottom w:val="nil"/>
            </w:tcBorders>
          </w:tcPr>
          <w:p w14:paraId="5BD1C51D" w14:textId="77777777" w:rsidR="005C6F5A" w:rsidRPr="00C63262" w:rsidRDefault="005C6F5A" w:rsidP="005C6F5A">
            <w:pPr>
              <w:spacing w:before="100" w:beforeAutospacing="1" w:after="100" w:afterAutospacing="1" w:line="360" w:lineRule="auto"/>
              <w:rPr>
                <w:rFonts w:asciiTheme="majorHAnsi" w:hAnsiTheme="majorHAnsi" w:cstheme="majorHAnsi"/>
                <w:sz w:val="20"/>
                <w:szCs w:val="20"/>
                <w:lang w:val="en-US"/>
              </w:rPr>
            </w:pPr>
          </w:p>
        </w:tc>
        <w:tc>
          <w:tcPr>
            <w:tcW w:w="3520" w:type="dxa"/>
            <w:tcBorders>
              <w:top w:val="nil"/>
              <w:bottom w:val="nil"/>
            </w:tcBorders>
          </w:tcPr>
          <w:p w14:paraId="029D3EFF" w14:textId="77777777" w:rsidR="005C6F5A" w:rsidRPr="00C63262" w:rsidRDefault="005C6F5A" w:rsidP="005C6F5A">
            <w:pPr>
              <w:spacing w:before="100" w:beforeAutospacing="1" w:after="100" w:afterAutospacing="1" w:line="360" w:lineRule="auto"/>
              <w:rPr>
                <w:rFonts w:asciiTheme="majorHAnsi" w:hAnsiTheme="majorHAnsi" w:cstheme="majorHAnsi"/>
                <w:sz w:val="20"/>
                <w:szCs w:val="20"/>
                <w:lang w:val="en-US"/>
              </w:rPr>
            </w:pPr>
          </w:p>
        </w:tc>
        <w:tc>
          <w:tcPr>
            <w:tcW w:w="2409" w:type="dxa"/>
            <w:noWrap/>
            <w:hideMark/>
          </w:tcPr>
          <w:p w14:paraId="314BD21C" w14:textId="77777777" w:rsidR="005C6F5A" w:rsidRPr="00C63262" w:rsidRDefault="005C6F5A" w:rsidP="005C6F5A">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Nikki Hyacinth A. Saromenez</w:t>
            </w:r>
          </w:p>
        </w:tc>
        <w:tc>
          <w:tcPr>
            <w:tcW w:w="993" w:type="dxa"/>
            <w:noWrap/>
            <w:hideMark/>
          </w:tcPr>
          <w:p w14:paraId="44C842E7"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51BB83BD"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5C6F5A" w:rsidRPr="00C63262" w14:paraId="381D7DDE" w14:textId="77777777" w:rsidTr="0053079A">
        <w:trPr>
          <w:trHeight w:val="300"/>
        </w:trPr>
        <w:tc>
          <w:tcPr>
            <w:tcW w:w="870" w:type="dxa"/>
            <w:tcBorders>
              <w:top w:val="nil"/>
              <w:bottom w:val="nil"/>
            </w:tcBorders>
          </w:tcPr>
          <w:p w14:paraId="40B193E8" w14:textId="77777777" w:rsidR="005C6F5A" w:rsidRPr="00C63262" w:rsidRDefault="005C6F5A" w:rsidP="005C6F5A">
            <w:pPr>
              <w:spacing w:before="100" w:beforeAutospacing="1" w:after="100" w:afterAutospacing="1" w:line="360" w:lineRule="auto"/>
              <w:rPr>
                <w:rFonts w:asciiTheme="majorHAnsi" w:hAnsiTheme="majorHAnsi" w:cstheme="majorHAnsi"/>
                <w:sz w:val="20"/>
                <w:szCs w:val="20"/>
                <w:lang w:val="en-US"/>
              </w:rPr>
            </w:pPr>
          </w:p>
        </w:tc>
        <w:tc>
          <w:tcPr>
            <w:tcW w:w="3520" w:type="dxa"/>
            <w:tcBorders>
              <w:top w:val="nil"/>
              <w:bottom w:val="nil"/>
            </w:tcBorders>
          </w:tcPr>
          <w:p w14:paraId="7C011AFC" w14:textId="77777777" w:rsidR="005C6F5A" w:rsidRPr="00C63262" w:rsidRDefault="005C6F5A" w:rsidP="005C6F5A">
            <w:pPr>
              <w:spacing w:before="100" w:beforeAutospacing="1" w:after="100" w:afterAutospacing="1" w:line="360" w:lineRule="auto"/>
              <w:rPr>
                <w:rFonts w:asciiTheme="majorHAnsi" w:hAnsiTheme="majorHAnsi" w:cstheme="majorHAnsi"/>
                <w:sz w:val="20"/>
                <w:szCs w:val="20"/>
                <w:lang w:val="en-US"/>
              </w:rPr>
            </w:pPr>
          </w:p>
        </w:tc>
        <w:tc>
          <w:tcPr>
            <w:tcW w:w="2409" w:type="dxa"/>
            <w:noWrap/>
            <w:hideMark/>
          </w:tcPr>
          <w:p w14:paraId="452B24A4" w14:textId="77777777" w:rsidR="005C6F5A" w:rsidRPr="00C63262" w:rsidRDefault="005C6F5A" w:rsidP="005C6F5A">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Sharen A. Azucena</w:t>
            </w:r>
          </w:p>
        </w:tc>
        <w:tc>
          <w:tcPr>
            <w:tcW w:w="993" w:type="dxa"/>
            <w:noWrap/>
            <w:hideMark/>
          </w:tcPr>
          <w:p w14:paraId="23297727"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08CCE944"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5C6F5A" w:rsidRPr="00C63262" w14:paraId="79D3767D" w14:textId="77777777" w:rsidTr="0053079A">
        <w:trPr>
          <w:trHeight w:val="300"/>
        </w:trPr>
        <w:tc>
          <w:tcPr>
            <w:tcW w:w="870" w:type="dxa"/>
            <w:tcBorders>
              <w:top w:val="nil"/>
              <w:bottom w:val="nil"/>
            </w:tcBorders>
          </w:tcPr>
          <w:p w14:paraId="1CAC5733" w14:textId="77777777" w:rsidR="005C6F5A" w:rsidRPr="00C63262" w:rsidRDefault="005C6F5A" w:rsidP="005C6F5A">
            <w:pPr>
              <w:spacing w:before="100" w:beforeAutospacing="1" w:after="100" w:afterAutospacing="1" w:line="360" w:lineRule="auto"/>
              <w:rPr>
                <w:rFonts w:asciiTheme="majorHAnsi" w:hAnsiTheme="majorHAnsi" w:cstheme="majorHAnsi"/>
                <w:sz w:val="20"/>
                <w:szCs w:val="20"/>
                <w:lang w:val="en-US"/>
              </w:rPr>
            </w:pPr>
          </w:p>
        </w:tc>
        <w:tc>
          <w:tcPr>
            <w:tcW w:w="3520" w:type="dxa"/>
            <w:tcBorders>
              <w:top w:val="nil"/>
              <w:bottom w:val="nil"/>
            </w:tcBorders>
          </w:tcPr>
          <w:p w14:paraId="024E919C" w14:textId="77777777" w:rsidR="005C6F5A" w:rsidRPr="00C63262" w:rsidRDefault="005C6F5A" w:rsidP="005C6F5A">
            <w:pPr>
              <w:spacing w:before="100" w:beforeAutospacing="1" w:after="100" w:afterAutospacing="1" w:line="360" w:lineRule="auto"/>
              <w:rPr>
                <w:rFonts w:asciiTheme="majorHAnsi" w:hAnsiTheme="majorHAnsi" w:cstheme="majorHAnsi"/>
                <w:sz w:val="20"/>
                <w:szCs w:val="20"/>
                <w:lang w:val="en-US"/>
              </w:rPr>
            </w:pPr>
          </w:p>
        </w:tc>
        <w:tc>
          <w:tcPr>
            <w:tcW w:w="2409" w:type="dxa"/>
            <w:noWrap/>
            <w:hideMark/>
          </w:tcPr>
          <w:p w14:paraId="48D38AE1" w14:textId="77777777" w:rsidR="005C6F5A" w:rsidRPr="00C63262" w:rsidRDefault="005C6F5A" w:rsidP="005C6F5A">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Nelfa D. Roldan</w:t>
            </w:r>
          </w:p>
        </w:tc>
        <w:tc>
          <w:tcPr>
            <w:tcW w:w="993" w:type="dxa"/>
            <w:noWrap/>
            <w:hideMark/>
          </w:tcPr>
          <w:p w14:paraId="7683C688"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386445B8"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5C6F5A" w:rsidRPr="00C63262" w14:paraId="698A0066" w14:textId="77777777" w:rsidTr="0053079A">
        <w:trPr>
          <w:trHeight w:val="300"/>
        </w:trPr>
        <w:tc>
          <w:tcPr>
            <w:tcW w:w="870" w:type="dxa"/>
            <w:tcBorders>
              <w:top w:val="nil"/>
              <w:bottom w:val="single" w:sz="4" w:space="0" w:color="auto"/>
            </w:tcBorders>
          </w:tcPr>
          <w:p w14:paraId="3378D616" w14:textId="77777777" w:rsidR="005C6F5A" w:rsidRPr="00C63262" w:rsidRDefault="005C6F5A" w:rsidP="005C6F5A">
            <w:pPr>
              <w:spacing w:before="100" w:beforeAutospacing="1" w:after="100" w:afterAutospacing="1" w:line="360" w:lineRule="auto"/>
              <w:rPr>
                <w:rFonts w:asciiTheme="majorHAnsi" w:hAnsiTheme="majorHAnsi" w:cstheme="majorHAnsi"/>
                <w:sz w:val="20"/>
                <w:szCs w:val="20"/>
                <w:lang w:val="en-US"/>
              </w:rPr>
            </w:pPr>
          </w:p>
        </w:tc>
        <w:tc>
          <w:tcPr>
            <w:tcW w:w="3520" w:type="dxa"/>
            <w:tcBorders>
              <w:top w:val="nil"/>
              <w:bottom w:val="single" w:sz="4" w:space="0" w:color="auto"/>
            </w:tcBorders>
          </w:tcPr>
          <w:p w14:paraId="38670BB0" w14:textId="77777777" w:rsidR="005C6F5A" w:rsidRPr="00C63262" w:rsidRDefault="005C6F5A" w:rsidP="005C6F5A">
            <w:pPr>
              <w:spacing w:before="100" w:beforeAutospacing="1" w:after="100" w:afterAutospacing="1" w:line="360" w:lineRule="auto"/>
              <w:rPr>
                <w:rFonts w:asciiTheme="majorHAnsi" w:hAnsiTheme="majorHAnsi" w:cstheme="majorHAnsi"/>
                <w:sz w:val="20"/>
                <w:szCs w:val="20"/>
                <w:lang w:val="en-US"/>
              </w:rPr>
            </w:pPr>
          </w:p>
        </w:tc>
        <w:tc>
          <w:tcPr>
            <w:tcW w:w="2409" w:type="dxa"/>
            <w:noWrap/>
          </w:tcPr>
          <w:p w14:paraId="0024144C" w14:textId="77777777" w:rsidR="005C6F5A" w:rsidRPr="00C63262" w:rsidRDefault="005C6F5A" w:rsidP="005C6F5A">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Noeme Desamero</w:t>
            </w:r>
          </w:p>
        </w:tc>
        <w:tc>
          <w:tcPr>
            <w:tcW w:w="993" w:type="dxa"/>
            <w:noWrap/>
          </w:tcPr>
          <w:p w14:paraId="032B6415"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32AB1D26"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Principal</w:t>
            </w:r>
          </w:p>
        </w:tc>
      </w:tr>
      <w:tr w:rsidR="005C6F5A" w:rsidRPr="00C63262" w14:paraId="1B3B9B85" w14:textId="77777777" w:rsidTr="0053079A">
        <w:trPr>
          <w:trHeight w:val="300"/>
        </w:trPr>
        <w:tc>
          <w:tcPr>
            <w:tcW w:w="870" w:type="dxa"/>
            <w:tcBorders>
              <w:bottom w:val="nil"/>
            </w:tcBorders>
          </w:tcPr>
          <w:p w14:paraId="59EF441B" w14:textId="24904CAB"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115982</w:t>
            </w:r>
          </w:p>
        </w:tc>
        <w:tc>
          <w:tcPr>
            <w:tcW w:w="3520" w:type="dxa"/>
            <w:tcBorders>
              <w:bottom w:val="nil"/>
            </w:tcBorders>
          </w:tcPr>
          <w:p w14:paraId="70F419F4" w14:textId="46742C20"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snapToGrid w:val="0"/>
                <w:color w:val="000000"/>
                <w:sz w:val="20"/>
                <w:szCs w:val="20"/>
                <w:lang w:val="en-US"/>
              </w:rPr>
              <w:t xml:space="preserve">Dangulaan Elementary School </w:t>
            </w:r>
          </w:p>
        </w:tc>
        <w:tc>
          <w:tcPr>
            <w:tcW w:w="2409" w:type="dxa"/>
            <w:noWrap/>
            <w:hideMark/>
          </w:tcPr>
          <w:p w14:paraId="0A6FCB12" w14:textId="77777777" w:rsidR="005C6F5A" w:rsidRPr="00C63262" w:rsidRDefault="005C6F5A" w:rsidP="005C6F5A">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Shayne S. Moleje</w:t>
            </w:r>
          </w:p>
        </w:tc>
        <w:tc>
          <w:tcPr>
            <w:tcW w:w="993" w:type="dxa"/>
            <w:noWrap/>
            <w:hideMark/>
          </w:tcPr>
          <w:p w14:paraId="7DCE326C"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6A7164F9"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5C6F5A" w:rsidRPr="00C63262" w14:paraId="5A58D9E8" w14:textId="77777777" w:rsidTr="0053079A">
        <w:trPr>
          <w:trHeight w:val="300"/>
        </w:trPr>
        <w:tc>
          <w:tcPr>
            <w:tcW w:w="870" w:type="dxa"/>
            <w:tcBorders>
              <w:top w:val="nil"/>
            </w:tcBorders>
          </w:tcPr>
          <w:p w14:paraId="555C7407"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p>
        </w:tc>
        <w:tc>
          <w:tcPr>
            <w:tcW w:w="3520" w:type="dxa"/>
            <w:tcBorders>
              <w:top w:val="nil"/>
            </w:tcBorders>
          </w:tcPr>
          <w:p w14:paraId="34AE54EC"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07E8422B" w14:textId="77777777" w:rsidR="005C6F5A" w:rsidRPr="00C63262" w:rsidRDefault="005C6F5A" w:rsidP="005C6F5A">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Jeanie F. Palista</w:t>
            </w:r>
          </w:p>
        </w:tc>
        <w:tc>
          <w:tcPr>
            <w:tcW w:w="993" w:type="dxa"/>
            <w:noWrap/>
            <w:hideMark/>
          </w:tcPr>
          <w:p w14:paraId="743F18A6"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33A19EE1"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5C6F5A" w:rsidRPr="00C63262" w14:paraId="737646E8" w14:textId="77777777" w:rsidTr="0053079A">
        <w:trPr>
          <w:trHeight w:val="300"/>
        </w:trPr>
        <w:tc>
          <w:tcPr>
            <w:tcW w:w="870" w:type="dxa"/>
            <w:tcBorders>
              <w:bottom w:val="single" w:sz="4" w:space="0" w:color="auto"/>
            </w:tcBorders>
          </w:tcPr>
          <w:p w14:paraId="081EDE52"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p>
        </w:tc>
        <w:tc>
          <w:tcPr>
            <w:tcW w:w="3520" w:type="dxa"/>
            <w:tcBorders>
              <w:bottom w:val="single" w:sz="4" w:space="0" w:color="auto"/>
            </w:tcBorders>
          </w:tcPr>
          <w:p w14:paraId="1F3A4183"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0045A133" w14:textId="77777777" w:rsidR="005C6F5A" w:rsidRPr="00C63262" w:rsidRDefault="005C6F5A" w:rsidP="005C6F5A">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Rosel J. Baňon</w:t>
            </w:r>
          </w:p>
        </w:tc>
        <w:tc>
          <w:tcPr>
            <w:tcW w:w="993" w:type="dxa"/>
            <w:noWrap/>
            <w:hideMark/>
          </w:tcPr>
          <w:p w14:paraId="0A45D468"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33F25A12"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5C6F5A" w:rsidRPr="00C63262" w14:paraId="6C4BF4B9" w14:textId="77777777" w:rsidTr="0053079A">
        <w:trPr>
          <w:trHeight w:val="300"/>
        </w:trPr>
        <w:tc>
          <w:tcPr>
            <w:tcW w:w="870" w:type="dxa"/>
            <w:tcBorders>
              <w:bottom w:val="nil"/>
            </w:tcBorders>
          </w:tcPr>
          <w:p w14:paraId="2BA994FC" w14:textId="4EDA0D7E" w:rsidR="005C6F5A" w:rsidRPr="00C63262" w:rsidRDefault="005C6F5A" w:rsidP="005C6F5A">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 114665</w:t>
            </w:r>
          </w:p>
        </w:tc>
        <w:tc>
          <w:tcPr>
            <w:tcW w:w="3520" w:type="dxa"/>
            <w:tcBorders>
              <w:bottom w:val="nil"/>
            </w:tcBorders>
          </w:tcPr>
          <w:p w14:paraId="6A711300" w14:textId="71CD970C" w:rsidR="005C6F5A" w:rsidRPr="00C63262" w:rsidRDefault="005C6F5A" w:rsidP="005C6F5A">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napToGrid w:val="0"/>
                <w:color w:val="000000"/>
                <w:sz w:val="20"/>
                <w:szCs w:val="20"/>
                <w:lang w:val="en-US"/>
              </w:rPr>
              <w:t>Dingle Central Elementary School</w:t>
            </w:r>
          </w:p>
        </w:tc>
        <w:tc>
          <w:tcPr>
            <w:tcW w:w="2409" w:type="dxa"/>
            <w:noWrap/>
            <w:hideMark/>
          </w:tcPr>
          <w:p w14:paraId="238A85A1" w14:textId="77777777" w:rsidR="005C6F5A" w:rsidRPr="00C63262" w:rsidRDefault="005C6F5A" w:rsidP="005C6F5A">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Brendo S. Mondia</w:t>
            </w:r>
          </w:p>
        </w:tc>
        <w:tc>
          <w:tcPr>
            <w:tcW w:w="993" w:type="dxa"/>
            <w:noWrap/>
            <w:hideMark/>
          </w:tcPr>
          <w:p w14:paraId="143538E6"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M</w:t>
            </w:r>
          </w:p>
        </w:tc>
        <w:tc>
          <w:tcPr>
            <w:tcW w:w="2835" w:type="dxa"/>
          </w:tcPr>
          <w:p w14:paraId="58D48700"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Principal II</w:t>
            </w:r>
          </w:p>
        </w:tc>
      </w:tr>
      <w:tr w:rsidR="005C6F5A" w:rsidRPr="00C63262" w14:paraId="1B4EE0BA" w14:textId="77777777" w:rsidTr="0053079A">
        <w:trPr>
          <w:trHeight w:val="300"/>
        </w:trPr>
        <w:tc>
          <w:tcPr>
            <w:tcW w:w="870" w:type="dxa"/>
            <w:tcBorders>
              <w:top w:val="nil"/>
              <w:bottom w:val="single" w:sz="4" w:space="0" w:color="auto"/>
            </w:tcBorders>
          </w:tcPr>
          <w:p w14:paraId="6DFB9869" w14:textId="77777777" w:rsidR="005C6F5A" w:rsidRPr="00C63262" w:rsidRDefault="005C6F5A" w:rsidP="005C6F5A">
            <w:pPr>
              <w:spacing w:before="100" w:beforeAutospacing="1" w:after="100" w:afterAutospacing="1" w:line="360" w:lineRule="auto"/>
              <w:rPr>
                <w:rFonts w:asciiTheme="majorHAnsi" w:hAnsiTheme="majorHAnsi" w:cstheme="majorHAnsi"/>
                <w:sz w:val="20"/>
                <w:szCs w:val="20"/>
                <w:lang w:val="en-US"/>
              </w:rPr>
            </w:pPr>
          </w:p>
        </w:tc>
        <w:tc>
          <w:tcPr>
            <w:tcW w:w="3520" w:type="dxa"/>
            <w:tcBorders>
              <w:top w:val="nil"/>
              <w:bottom w:val="single" w:sz="4" w:space="0" w:color="auto"/>
            </w:tcBorders>
          </w:tcPr>
          <w:p w14:paraId="075A2AE2" w14:textId="77777777" w:rsidR="005C6F5A" w:rsidRPr="00C63262" w:rsidRDefault="005C6F5A" w:rsidP="005C6F5A">
            <w:pPr>
              <w:spacing w:before="100" w:beforeAutospacing="1" w:after="100" w:afterAutospacing="1" w:line="360" w:lineRule="auto"/>
              <w:rPr>
                <w:rFonts w:asciiTheme="majorHAnsi" w:hAnsiTheme="majorHAnsi" w:cstheme="majorHAnsi"/>
                <w:sz w:val="20"/>
                <w:szCs w:val="20"/>
                <w:lang w:val="en-US"/>
              </w:rPr>
            </w:pPr>
          </w:p>
        </w:tc>
        <w:tc>
          <w:tcPr>
            <w:tcW w:w="2409" w:type="dxa"/>
            <w:noWrap/>
            <w:hideMark/>
          </w:tcPr>
          <w:p w14:paraId="2ADDD687" w14:textId="77777777" w:rsidR="005C6F5A" w:rsidRPr="00C63262" w:rsidRDefault="005C6F5A" w:rsidP="005C6F5A">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Divina A. Famucol</w:t>
            </w:r>
          </w:p>
        </w:tc>
        <w:tc>
          <w:tcPr>
            <w:tcW w:w="993" w:type="dxa"/>
            <w:noWrap/>
            <w:hideMark/>
          </w:tcPr>
          <w:p w14:paraId="1B7BD13C"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7816BC9E"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Public Schools District Supervisor</w:t>
            </w:r>
          </w:p>
        </w:tc>
      </w:tr>
      <w:tr w:rsidR="005C6F5A" w:rsidRPr="00C63262" w14:paraId="0FD597EA" w14:textId="77777777" w:rsidTr="0053079A">
        <w:trPr>
          <w:trHeight w:val="300"/>
        </w:trPr>
        <w:tc>
          <w:tcPr>
            <w:tcW w:w="870" w:type="dxa"/>
            <w:tcBorders>
              <w:bottom w:val="nil"/>
            </w:tcBorders>
          </w:tcPr>
          <w:p w14:paraId="5B6EF973" w14:textId="1E447EA8" w:rsidR="005C6F5A" w:rsidRPr="00C63262" w:rsidRDefault="005C6F5A" w:rsidP="005C6F5A">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115219</w:t>
            </w:r>
          </w:p>
        </w:tc>
        <w:tc>
          <w:tcPr>
            <w:tcW w:w="3520" w:type="dxa"/>
            <w:tcBorders>
              <w:bottom w:val="nil"/>
            </w:tcBorders>
          </w:tcPr>
          <w:p w14:paraId="117433BE" w14:textId="772895E0" w:rsidR="005C6F5A" w:rsidRPr="00C63262" w:rsidRDefault="005C6F5A" w:rsidP="005C6F5A">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napToGrid w:val="0"/>
                <w:color w:val="000000"/>
                <w:sz w:val="20"/>
                <w:szCs w:val="20"/>
                <w:lang w:val="en-US"/>
              </w:rPr>
              <w:t>Durog Elementary School</w:t>
            </w:r>
          </w:p>
        </w:tc>
        <w:tc>
          <w:tcPr>
            <w:tcW w:w="2409" w:type="dxa"/>
            <w:noWrap/>
            <w:hideMark/>
          </w:tcPr>
          <w:p w14:paraId="2AF4D22F" w14:textId="77777777" w:rsidR="005C6F5A" w:rsidRPr="00C63262" w:rsidRDefault="005C6F5A" w:rsidP="005C6F5A">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Cestin Kenneth Grijalde-Siacor</w:t>
            </w:r>
          </w:p>
        </w:tc>
        <w:tc>
          <w:tcPr>
            <w:tcW w:w="993" w:type="dxa"/>
            <w:noWrap/>
            <w:hideMark/>
          </w:tcPr>
          <w:p w14:paraId="0D300D20"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07743302"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5C6F5A" w:rsidRPr="00C63262" w14:paraId="1A9EDEC5" w14:textId="77777777" w:rsidTr="0053079A">
        <w:trPr>
          <w:trHeight w:val="300"/>
        </w:trPr>
        <w:tc>
          <w:tcPr>
            <w:tcW w:w="870" w:type="dxa"/>
            <w:tcBorders>
              <w:top w:val="nil"/>
              <w:bottom w:val="nil"/>
            </w:tcBorders>
          </w:tcPr>
          <w:p w14:paraId="2F9EAAA0" w14:textId="77777777" w:rsidR="005C6F5A" w:rsidRPr="00C63262" w:rsidRDefault="005C6F5A" w:rsidP="005C6F5A">
            <w:pPr>
              <w:spacing w:before="100" w:beforeAutospacing="1" w:after="100" w:afterAutospacing="1" w:line="360" w:lineRule="auto"/>
              <w:rPr>
                <w:rFonts w:asciiTheme="majorHAnsi" w:hAnsiTheme="majorHAnsi" w:cstheme="majorHAnsi"/>
                <w:sz w:val="20"/>
                <w:szCs w:val="20"/>
                <w:lang w:val="en-US"/>
              </w:rPr>
            </w:pPr>
          </w:p>
        </w:tc>
        <w:tc>
          <w:tcPr>
            <w:tcW w:w="3520" w:type="dxa"/>
            <w:tcBorders>
              <w:top w:val="nil"/>
              <w:bottom w:val="nil"/>
            </w:tcBorders>
          </w:tcPr>
          <w:p w14:paraId="020C6B51" w14:textId="77777777" w:rsidR="005C6F5A" w:rsidRPr="00C63262" w:rsidRDefault="005C6F5A" w:rsidP="005C6F5A">
            <w:pPr>
              <w:spacing w:before="100" w:beforeAutospacing="1" w:after="100" w:afterAutospacing="1" w:line="360" w:lineRule="auto"/>
              <w:rPr>
                <w:rFonts w:asciiTheme="majorHAnsi" w:hAnsiTheme="majorHAnsi" w:cstheme="majorHAnsi"/>
                <w:sz w:val="20"/>
                <w:szCs w:val="20"/>
                <w:lang w:val="en-US"/>
              </w:rPr>
            </w:pPr>
          </w:p>
        </w:tc>
        <w:tc>
          <w:tcPr>
            <w:tcW w:w="2409" w:type="dxa"/>
            <w:noWrap/>
            <w:hideMark/>
          </w:tcPr>
          <w:p w14:paraId="364F5CD5" w14:textId="77777777" w:rsidR="005C6F5A" w:rsidRPr="00C63262" w:rsidRDefault="005C6F5A" w:rsidP="005C6F5A">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Bonnette Siacor</w:t>
            </w:r>
          </w:p>
        </w:tc>
        <w:tc>
          <w:tcPr>
            <w:tcW w:w="993" w:type="dxa"/>
            <w:noWrap/>
            <w:hideMark/>
          </w:tcPr>
          <w:p w14:paraId="1DA93770"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M</w:t>
            </w:r>
          </w:p>
        </w:tc>
        <w:tc>
          <w:tcPr>
            <w:tcW w:w="2835" w:type="dxa"/>
          </w:tcPr>
          <w:p w14:paraId="7FC09847"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5C6F5A" w:rsidRPr="00C63262" w14:paraId="219079DD" w14:textId="77777777" w:rsidTr="0053079A">
        <w:trPr>
          <w:trHeight w:val="300"/>
        </w:trPr>
        <w:tc>
          <w:tcPr>
            <w:tcW w:w="870" w:type="dxa"/>
            <w:tcBorders>
              <w:top w:val="nil"/>
            </w:tcBorders>
          </w:tcPr>
          <w:p w14:paraId="4AAE600F" w14:textId="77777777" w:rsidR="005C6F5A" w:rsidRPr="00C63262" w:rsidRDefault="005C6F5A" w:rsidP="005C6F5A">
            <w:pPr>
              <w:spacing w:before="100" w:beforeAutospacing="1" w:after="100" w:afterAutospacing="1" w:line="360" w:lineRule="auto"/>
              <w:rPr>
                <w:rFonts w:asciiTheme="majorHAnsi" w:hAnsiTheme="majorHAnsi" w:cstheme="majorHAnsi"/>
                <w:sz w:val="20"/>
                <w:szCs w:val="20"/>
                <w:lang w:val="en-US"/>
              </w:rPr>
            </w:pPr>
          </w:p>
        </w:tc>
        <w:tc>
          <w:tcPr>
            <w:tcW w:w="3520" w:type="dxa"/>
            <w:tcBorders>
              <w:top w:val="nil"/>
            </w:tcBorders>
          </w:tcPr>
          <w:p w14:paraId="7CBA84BE" w14:textId="77777777" w:rsidR="005C6F5A" w:rsidRPr="00C63262" w:rsidRDefault="005C6F5A" w:rsidP="005C6F5A">
            <w:pPr>
              <w:spacing w:before="100" w:beforeAutospacing="1" w:after="100" w:afterAutospacing="1" w:line="360" w:lineRule="auto"/>
              <w:rPr>
                <w:rFonts w:asciiTheme="majorHAnsi" w:hAnsiTheme="majorHAnsi" w:cstheme="majorHAnsi"/>
                <w:sz w:val="20"/>
                <w:szCs w:val="20"/>
                <w:lang w:val="en-US"/>
              </w:rPr>
            </w:pPr>
          </w:p>
        </w:tc>
        <w:tc>
          <w:tcPr>
            <w:tcW w:w="2409" w:type="dxa"/>
            <w:noWrap/>
            <w:hideMark/>
          </w:tcPr>
          <w:p w14:paraId="385B5715" w14:textId="77777777" w:rsidR="005C6F5A" w:rsidRPr="00C63262" w:rsidRDefault="005C6F5A" w:rsidP="005C6F5A">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Medolito H. Hiponia</w:t>
            </w:r>
          </w:p>
        </w:tc>
        <w:tc>
          <w:tcPr>
            <w:tcW w:w="993" w:type="dxa"/>
            <w:noWrap/>
            <w:hideMark/>
          </w:tcPr>
          <w:p w14:paraId="2328A389"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M</w:t>
            </w:r>
          </w:p>
        </w:tc>
        <w:tc>
          <w:tcPr>
            <w:tcW w:w="2835" w:type="dxa"/>
          </w:tcPr>
          <w:p w14:paraId="69168F9D"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Principal</w:t>
            </w:r>
          </w:p>
        </w:tc>
      </w:tr>
      <w:tr w:rsidR="005C6F5A" w:rsidRPr="00C63262" w14:paraId="0C89C76F" w14:textId="77777777" w:rsidTr="0053079A">
        <w:trPr>
          <w:trHeight w:val="300"/>
        </w:trPr>
        <w:tc>
          <w:tcPr>
            <w:tcW w:w="870" w:type="dxa"/>
            <w:tcBorders>
              <w:bottom w:val="single" w:sz="4" w:space="0" w:color="auto"/>
            </w:tcBorders>
          </w:tcPr>
          <w:p w14:paraId="44498C1C" w14:textId="44BBAB61" w:rsidR="005C6F5A" w:rsidRPr="00C63262" w:rsidRDefault="005C6F5A" w:rsidP="005C6F5A">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116349</w:t>
            </w:r>
          </w:p>
        </w:tc>
        <w:tc>
          <w:tcPr>
            <w:tcW w:w="3520" w:type="dxa"/>
            <w:tcBorders>
              <w:bottom w:val="single" w:sz="4" w:space="0" w:color="auto"/>
            </w:tcBorders>
          </w:tcPr>
          <w:p w14:paraId="29627F4B" w14:textId="6B0AAF94" w:rsidR="005C6F5A" w:rsidRPr="00C63262" w:rsidRDefault="005C6F5A" w:rsidP="005C6F5A">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napToGrid w:val="0"/>
                <w:color w:val="000000"/>
                <w:sz w:val="20"/>
                <w:szCs w:val="20"/>
                <w:lang w:val="en-US"/>
              </w:rPr>
              <w:t xml:space="preserve">Estancia Central Elementary School </w:t>
            </w:r>
          </w:p>
        </w:tc>
        <w:tc>
          <w:tcPr>
            <w:tcW w:w="2409" w:type="dxa"/>
            <w:noWrap/>
            <w:hideMark/>
          </w:tcPr>
          <w:p w14:paraId="6948B5C7" w14:textId="77777777" w:rsidR="005C6F5A" w:rsidRPr="00C63262" w:rsidRDefault="005C6F5A" w:rsidP="005C6F5A">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 xml:space="preserve">Jonathan V. Torres </w:t>
            </w:r>
          </w:p>
        </w:tc>
        <w:tc>
          <w:tcPr>
            <w:tcW w:w="993" w:type="dxa"/>
            <w:noWrap/>
            <w:hideMark/>
          </w:tcPr>
          <w:p w14:paraId="257270A8"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M</w:t>
            </w:r>
          </w:p>
        </w:tc>
        <w:tc>
          <w:tcPr>
            <w:tcW w:w="2835" w:type="dxa"/>
          </w:tcPr>
          <w:p w14:paraId="32589CF2"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 III</w:t>
            </w:r>
          </w:p>
        </w:tc>
      </w:tr>
      <w:tr w:rsidR="005C6F5A" w:rsidRPr="00C63262" w14:paraId="0EF6474F" w14:textId="77777777" w:rsidTr="0053079A">
        <w:trPr>
          <w:trHeight w:val="300"/>
        </w:trPr>
        <w:tc>
          <w:tcPr>
            <w:tcW w:w="870" w:type="dxa"/>
            <w:tcBorders>
              <w:bottom w:val="nil"/>
            </w:tcBorders>
          </w:tcPr>
          <w:p w14:paraId="74EEF18E" w14:textId="6EAA727D"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116704</w:t>
            </w:r>
          </w:p>
        </w:tc>
        <w:tc>
          <w:tcPr>
            <w:tcW w:w="3520" w:type="dxa"/>
            <w:tcBorders>
              <w:bottom w:val="nil"/>
            </w:tcBorders>
          </w:tcPr>
          <w:p w14:paraId="4828BAB2" w14:textId="13FEAEB0"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snapToGrid w:val="0"/>
                <w:color w:val="000000"/>
                <w:sz w:val="20"/>
                <w:szCs w:val="20"/>
                <w:lang w:val="en-US"/>
              </w:rPr>
              <w:t xml:space="preserve">Gines-Quinolpan Elementary School </w:t>
            </w:r>
          </w:p>
        </w:tc>
        <w:tc>
          <w:tcPr>
            <w:tcW w:w="2409" w:type="dxa"/>
            <w:noWrap/>
            <w:hideMark/>
          </w:tcPr>
          <w:p w14:paraId="2A523E16" w14:textId="77777777" w:rsidR="005C6F5A" w:rsidRPr="00C63262" w:rsidRDefault="005C6F5A" w:rsidP="005C6F5A">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Glaiza P. Ordejan</w:t>
            </w:r>
          </w:p>
        </w:tc>
        <w:tc>
          <w:tcPr>
            <w:tcW w:w="993" w:type="dxa"/>
            <w:noWrap/>
            <w:hideMark/>
          </w:tcPr>
          <w:p w14:paraId="302497D4"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06E15E96"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5C6F5A" w:rsidRPr="00C63262" w14:paraId="453FE15C" w14:textId="77777777" w:rsidTr="0053079A">
        <w:trPr>
          <w:trHeight w:val="300"/>
        </w:trPr>
        <w:tc>
          <w:tcPr>
            <w:tcW w:w="870" w:type="dxa"/>
            <w:tcBorders>
              <w:top w:val="nil"/>
              <w:bottom w:val="nil"/>
            </w:tcBorders>
          </w:tcPr>
          <w:p w14:paraId="16CF803E"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p>
        </w:tc>
        <w:tc>
          <w:tcPr>
            <w:tcW w:w="3520" w:type="dxa"/>
            <w:tcBorders>
              <w:top w:val="nil"/>
              <w:bottom w:val="nil"/>
            </w:tcBorders>
          </w:tcPr>
          <w:p w14:paraId="19AE3468"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3A9DAD2D" w14:textId="77777777" w:rsidR="005C6F5A" w:rsidRPr="00C63262" w:rsidRDefault="005C6F5A" w:rsidP="005C6F5A">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Sonia L. Sobremisana</w:t>
            </w:r>
          </w:p>
        </w:tc>
        <w:tc>
          <w:tcPr>
            <w:tcW w:w="993" w:type="dxa"/>
            <w:noWrap/>
            <w:hideMark/>
          </w:tcPr>
          <w:p w14:paraId="4E0976CE"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5C1FA669"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5C6F5A" w:rsidRPr="00C63262" w14:paraId="4662C673" w14:textId="77777777" w:rsidTr="0053079A">
        <w:trPr>
          <w:trHeight w:val="300"/>
        </w:trPr>
        <w:tc>
          <w:tcPr>
            <w:tcW w:w="870" w:type="dxa"/>
            <w:tcBorders>
              <w:top w:val="nil"/>
              <w:bottom w:val="single" w:sz="4" w:space="0" w:color="auto"/>
            </w:tcBorders>
          </w:tcPr>
          <w:p w14:paraId="17C87335"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p>
        </w:tc>
        <w:tc>
          <w:tcPr>
            <w:tcW w:w="3520" w:type="dxa"/>
            <w:tcBorders>
              <w:top w:val="nil"/>
              <w:bottom w:val="single" w:sz="4" w:space="0" w:color="auto"/>
            </w:tcBorders>
          </w:tcPr>
          <w:p w14:paraId="2FA2EF9B"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5FCE986C" w14:textId="77777777" w:rsidR="005C6F5A" w:rsidRPr="00C63262" w:rsidRDefault="005C6F5A" w:rsidP="005C6F5A">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Romie C. Pacardo</w:t>
            </w:r>
          </w:p>
        </w:tc>
        <w:tc>
          <w:tcPr>
            <w:tcW w:w="993" w:type="dxa"/>
            <w:noWrap/>
            <w:hideMark/>
          </w:tcPr>
          <w:p w14:paraId="13BA6185"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M</w:t>
            </w:r>
          </w:p>
        </w:tc>
        <w:tc>
          <w:tcPr>
            <w:tcW w:w="2835" w:type="dxa"/>
          </w:tcPr>
          <w:p w14:paraId="703BEF93"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Principal</w:t>
            </w:r>
          </w:p>
        </w:tc>
      </w:tr>
      <w:tr w:rsidR="005C6F5A" w:rsidRPr="00C63262" w14:paraId="2F9DEDA6" w14:textId="77777777" w:rsidTr="0053079A">
        <w:trPr>
          <w:trHeight w:val="300"/>
        </w:trPr>
        <w:tc>
          <w:tcPr>
            <w:tcW w:w="870" w:type="dxa"/>
            <w:tcBorders>
              <w:bottom w:val="nil"/>
            </w:tcBorders>
          </w:tcPr>
          <w:p w14:paraId="77496DCF" w14:textId="1BF725D7" w:rsidR="005C6F5A" w:rsidRPr="00C63262" w:rsidRDefault="005C6F5A" w:rsidP="005C6F5A">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114942</w:t>
            </w:r>
          </w:p>
        </w:tc>
        <w:tc>
          <w:tcPr>
            <w:tcW w:w="3520" w:type="dxa"/>
            <w:tcBorders>
              <w:bottom w:val="nil"/>
            </w:tcBorders>
          </w:tcPr>
          <w:p w14:paraId="0031F804" w14:textId="2C805B66" w:rsidR="005C6F5A" w:rsidRPr="00C63262" w:rsidRDefault="005C6F5A" w:rsidP="005C6F5A">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napToGrid w:val="0"/>
                <w:color w:val="000000"/>
                <w:sz w:val="20"/>
                <w:szCs w:val="20"/>
                <w:lang w:val="en-US"/>
              </w:rPr>
              <w:t xml:space="preserve">Iba Elementary School </w:t>
            </w:r>
          </w:p>
        </w:tc>
        <w:tc>
          <w:tcPr>
            <w:tcW w:w="2409" w:type="dxa"/>
            <w:noWrap/>
            <w:hideMark/>
          </w:tcPr>
          <w:p w14:paraId="480225DD" w14:textId="77777777" w:rsidR="005C6F5A" w:rsidRPr="00C63262" w:rsidRDefault="005C6F5A" w:rsidP="005C6F5A">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Fredenil V. Clarito</w:t>
            </w:r>
          </w:p>
        </w:tc>
        <w:tc>
          <w:tcPr>
            <w:tcW w:w="993" w:type="dxa"/>
            <w:noWrap/>
            <w:hideMark/>
          </w:tcPr>
          <w:p w14:paraId="15737664"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M</w:t>
            </w:r>
          </w:p>
        </w:tc>
        <w:tc>
          <w:tcPr>
            <w:tcW w:w="2835" w:type="dxa"/>
          </w:tcPr>
          <w:p w14:paraId="09918B69"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5C6F5A" w:rsidRPr="00C63262" w14:paraId="10ADC3C5" w14:textId="77777777" w:rsidTr="0053079A">
        <w:trPr>
          <w:trHeight w:val="300"/>
        </w:trPr>
        <w:tc>
          <w:tcPr>
            <w:tcW w:w="870" w:type="dxa"/>
            <w:tcBorders>
              <w:top w:val="nil"/>
              <w:bottom w:val="nil"/>
            </w:tcBorders>
          </w:tcPr>
          <w:p w14:paraId="125AA9E2" w14:textId="77777777" w:rsidR="005C6F5A" w:rsidRPr="00C63262" w:rsidRDefault="005C6F5A" w:rsidP="005C6F5A">
            <w:pPr>
              <w:spacing w:before="100" w:beforeAutospacing="1" w:after="100" w:afterAutospacing="1" w:line="360" w:lineRule="auto"/>
              <w:rPr>
                <w:rFonts w:asciiTheme="majorHAnsi" w:hAnsiTheme="majorHAnsi" w:cstheme="majorHAnsi"/>
                <w:sz w:val="20"/>
                <w:szCs w:val="20"/>
                <w:lang w:val="en-US"/>
              </w:rPr>
            </w:pPr>
          </w:p>
        </w:tc>
        <w:tc>
          <w:tcPr>
            <w:tcW w:w="3520" w:type="dxa"/>
            <w:tcBorders>
              <w:top w:val="nil"/>
              <w:bottom w:val="nil"/>
            </w:tcBorders>
          </w:tcPr>
          <w:p w14:paraId="72B1E1FE" w14:textId="77777777" w:rsidR="005C6F5A" w:rsidRPr="00C63262" w:rsidRDefault="005C6F5A" w:rsidP="005C6F5A">
            <w:pPr>
              <w:spacing w:before="100" w:beforeAutospacing="1" w:after="100" w:afterAutospacing="1" w:line="360" w:lineRule="auto"/>
              <w:rPr>
                <w:rFonts w:asciiTheme="majorHAnsi" w:hAnsiTheme="majorHAnsi" w:cstheme="majorHAnsi"/>
                <w:sz w:val="20"/>
                <w:szCs w:val="20"/>
                <w:lang w:val="en-US"/>
              </w:rPr>
            </w:pPr>
          </w:p>
        </w:tc>
        <w:tc>
          <w:tcPr>
            <w:tcW w:w="2409" w:type="dxa"/>
            <w:noWrap/>
            <w:hideMark/>
          </w:tcPr>
          <w:p w14:paraId="1CDC0A12" w14:textId="77777777" w:rsidR="005C6F5A" w:rsidRPr="00C63262" w:rsidRDefault="005C6F5A" w:rsidP="005C6F5A">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Castora P. Baguna</w:t>
            </w:r>
          </w:p>
        </w:tc>
        <w:tc>
          <w:tcPr>
            <w:tcW w:w="993" w:type="dxa"/>
            <w:noWrap/>
            <w:hideMark/>
          </w:tcPr>
          <w:p w14:paraId="407B27B6"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4FAF3C6B"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5C6F5A" w:rsidRPr="00C63262" w14:paraId="57AA8F54" w14:textId="77777777" w:rsidTr="0053079A">
        <w:trPr>
          <w:trHeight w:val="300"/>
        </w:trPr>
        <w:tc>
          <w:tcPr>
            <w:tcW w:w="870" w:type="dxa"/>
            <w:tcBorders>
              <w:top w:val="nil"/>
              <w:bottom w:val="nil"/>
            </w:tcBorders>
          </w:tcPr>
          <w:p w14:paraId="72B27E63" w14:textId="77777777" w:rsidR="005C6F5A" w:rsidRPr="00C63262" w:rsidRDefault="005C6F5A" w:rsidP="005C6F5A">
            <w:pPr>
              <w:spacing w:before="100" w:beforeAutospacing="1" w:after="100" w:afterAutospacing="1" w:line="360" w:lineRule="auto"/>
              <w:rPr>
                <w:rFonts w:asciiTheme="majorHAnsi" w:hAnsiTheme="majorHAnsi" w:cstheme="majorHAnsi"/>
                <w:sz w:val="20"/>
                <w:szCs w:val="20"/>
                <w:lang w:val="en-US"/>
              </w:rPr>
            </w:pPr>
          </w:p>
        </w:tc>
        <w:tc>
          <w:tcPr>
            <w:tcW w:w="3520" w:type="dxa"/>
            <w:tcBorders>
              <w:top w:val="nil"/>
              <w:bottom w:val="nil"/>
            </w:tcBorders>
          </w:tcPr>
          <w:p w14:paraId="73C1E8D7" w14:textId="77777777" w:rsidR="005C6F5A" w:rsidRPr="00C63262" w:rsidRDefault="005C6F5A" w:rsidP="005C6F5A">
            <w:pPr>
              <w:spacing w:before="100" w:beforeAutospacing="1" w:after="100" w:afterAutospacing="1" w:line="360" w:lineRule="auto"/>
              <w:rPr>
                <w:rFonts w:asciiTheme="majorHAnsi" w:hAnsiTheme="majorHAnsi" w:cstheme="majorHAnsi"/>
                <w:sz w:val="20"/>
                <w:szCs w:val="20"/>
                <w:lang w:val="en-US"/>
              </w:rPr>
            </w:pPr>
          </w:p>
        </w:tc>
        <w:tc>
          <w:tcPr>
            <w:tcW w:w="2409" w:type="dxa"/>
            <w:noWrap/>
            <w:hideMark/>
          </w:tcPr>
          <w:p w14:paraId="00D5DE49" w14:textId="77777777" w:rsidR="005C6F5A" w:rsidRPr="00C63262" w:rsidRDefault="005C6F5A" w:rsidP="005C6F5A">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Felisa R. Aguillon</w:t>
            </w:r>
          </w:p>
        </w:tc>
        <w:tc>
          <w:tcPr>
            <w:tcW w:w="993" w:type="dxa"/>
            <w:noWrap/>
            <w:hideMark/>
          </w:tcPr>
          <w:p w14:paraId="27BD51B7"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24F49FFE"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5C6F5A" w:rsidRPr="00C63262" w14:paraId="5ACE8E5D" w14:textId="77777777" w:rsidTr="0053079A">
        <w:trPr>
          <w:trHeight w:val="300"/>
        </w:trPr>
        <w:tc>
          <w:tcPr>
            <w:tcW w:w="870" w:type="dxa"/>
            <w:tcBorders>
              <w:top w:val="nil"/>
              <w:bottom w:val="nil"/>
            </w:tcBorders>
          </w:tcPr>
          <w:p w14:paraId="07319BB5" w14:textId="77777777" w:rsidR="005C6F5A" w:rsidRPr="00C63262" w:rsidRDefault="005C6F5A" w:rsidP="005C6F5A">
            <w:pPr>
              <w:spacing w:before="100" w:beforeAutospacing="1" w:after="100" w:afterAutospacing="1" w:line="360" w:lineRule="auto"/>
              <w:rPr>
                <w:rFonts w:asciiTheme="majorHAnsi" w:hAnsiTheme="majorHAnsi" w:cstheme="majorHAnsi"/>
                <w:sz w:val="20"/>
                <w:szCs w:val="20"/>
                <w:lang w:val="en-US"/>
              </w:rPr>
            </w:pPr>
          </w:p>
        </w:tc>
        <w:tc>
          <w:tcPr>
            <w:tcW w:w="3520" w:type="dxa"/>
            <w:tcBorders>
              <w:top w:val="nil"/>
              <w:bottom w:val="nil"/>
            </w:tcBorders>
          </w:tcPr>
          <w:p w14:paraId="459633D1" w14:textId="77777777" w:rsidR="005C6F5A" w:rsidRPr="00C63262" w:rsidRDefault="005C6F5A" w:rsidP="005C6F5A">
            <w:pPr>
              <w:spacing w:before="100" w:beforeAutospacing="1" w:after="100" w:afterAutospacing="1" w:line="360" w:lineRule="auto"/>
              <w:rPr>
                <w:rFonts w:asciiTheme="majorHAnsi" w:hAnsiTheme="majorHAnsi" w:cstheme="majorHAnsi"/>
                <w:sz w:val="20"/>
                <w:szCs w:val="20"/>
                <w:lang w:val="en-US"/>
              </w:rPr>
            </w:pPr>
          </w:p>
        </w:tc>
        <w:tc>
          <w:tcPr>
            <w:tcW w:w="2409" w:type="dxa"/>
            <w:noWrap/>
            <w:hideMark/>
          </w:tcPr>
          <w:p w14:paraId="0FAB2C81" w14:textId="77777777" w:rsidR="005C6F5A" w:rsidRPr="00C63262" w:rsidRDefault="005C6F5A" w:rsidP="005C6F5A">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Wilma A. Galven</w:t>
            </w:r>
          </w:p>
        </w:tc>
        <w:tc>
          <w:tcPr>
            <w:tcW w:w="993" w:type="dxa"/>
            <w:noWrap/>
            <w:hideMark/>
          </w:tcPr>
          <w:p w14:paraId="34D71A25"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3B12C9A5"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5C6F5A" w:rsidRPr="00C63262" w14:paraId="51C61E4E" w14:textId="77777777" w:rsidTr="007058FE">
        <w:trPr>
          <w:trHeight w:val="300"/>
        </w:trPr>
        <w:tc>
          <w:tcPr>
            <w:tcW w:w="870" w:type="dxa"/>
            <w:tcBorders>
              <w:top w:val="nil"/>
              <w:bottom w:val="single" w:sz="4" w:space="0" w:color="auto"/>
            </w:tcBorders>
          </w:tcPr>
          <w:p w14:paraId="0AA0ADCC" w14:textId="77777777" w:rsidR="005C6F5A" w:rsidRPr="00C63262" w:rsidRDefault="005C6F5A" w:rsidP="005C6F5A">
            <w:pPr>
              <w:spacing w:before="100" w:beforeAutospacing="1" w:after="100" w:afterAutospacing="1" w:line="360" w:lineRule="auto"/>
              <w:rPr>
                <w:rFonts w:asciiTheme="majorHAnsi" w:hAnsiTheme="majorHAnsi" w:cstheme="majorHAnsi"/>
                <w:sz w:val="20"/>
                <w:szCs w:val="20"/>
                <w:lang w:val="en-US"/>
              </w:rPr>
            </w:pPr>
          </w:p>
        </w:tc>
        <w:tc>
          <w:tcPr>
            <w:tcW w:w="3520" w:type="dxa"/>
            <w:tcBorders>
              <w:top w:val="nil"/>
              <w:bottom w:val="single" w:sz="4" w:space="0" w:color="auto"/>
            </w:tcBorders>
          </w:tcPr>
          <w:p w14:paraId="1817A72F" w14:textId="77777777" w:rsidR="005C6F5A" w:rsidRPr="00C63262" w:rsidRDefault="005C6F5A" w:rsidP="005C6F5A">
            <w:pPr>
              <w:spacing w:before="100" w:beforeAutospacing="1" w:after="100" w:afterAutospacing="1" w:line="360" w:lineRule="auto"/>
              <w:rPr>
                <w:rFonts w:asciiTheme="majorHAnsi" w:hAnsiTheme="majorHAnsi" w:cstheme="majorHAnsi"/>
                <w:sz w:val="20"/>
                <w:szCs w:val="20"/>
                <w:lang w:val="en-US"/>
              </w:rPr>
            </w:pPr>
          </w:p>
        </w:tc>
        <w:tc>
          <w:tcPr>
            <w:tcW w:w="2409" w:type="dxa"/>
            <w:noWrap/>
            <w:hideMark/>
          </w:tcPr>
          <w:p w14:paraId="05FAEB53" w14:textId="77777777" w:rsidR="005C6F5A" w:rsidRPr="00C63262" w:rsidRDefault="005C6F5A" w:rsidP="005C6F5A">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Benedicto L. Alvarez</w:t>
            </w:r>
          </w:p>
        </w:tc>
        <w:tc>
          <w:tcPr>
            <w:tcW w:w="993" w:type="dxa"/>
            <w:noWrap/>
            <w:hideMark/>
          </w:tcPr>
          <w:p w14:paraId="062291B1"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M</w:t>
            </w:r>
          </w:p>
        </w:tc>
        <w:tc>
          <w:tcPr>
            <w:tcW w:w="2835" w:type="dxa"/>
          </w:tcPr>
          <w:p w14:paraId="773BF22A"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Principal</w:t>
            </w:r>
          </w:p>
        </w:tc>
      </w:tr>
      <w:tr w:rsidR="005C6F5A" w:rsidRPr="00C63262" w14:paraId="70F320BE" w14:textId="77777777" w:rsidTr="007058FE">
        <w:trPr>
          <w:trHeight w:val="300"/>
        </w:trPr>
        <w:tc>
          <w:tcPr>
            <w:tcW w:w="870" w:type="dxa"/>
            <w:tcBorders>
              <w:bottom w:val="nil"/>
            </w:tcBorders>
          </w:tcPr>
          <w:p w14:paraId="3912E77B" w14:textId="73736977" w:rsidR="005C6F5A" w:rsidRPr="00C63262" w:rsidRDefault="005C6F5A" w:rsidP="005C6F5A">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115321</w:t>
            </w:r>
          </w:p>
        </w:tc>
        <w:tc>
          <w:tcPr>
            <w:tcW w:w="3520" w:type="dxa"/>
            <w:tcBorders>
              <w:bottom w:val="nil"/>
            </w:tcBorders>
          </w:tcPr>
          <w:p w14:paraId="520C8867" w14:textId="533F1A24" w:rsidR="005C6F5A" w:rsidRPr="00C63262" w:rsidRDefault="005C6F5A" w:rsidP="005C6F5A">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napToGrid w:val="0"/>
                <w:color w:val="000000"/>
                <w:sz w:val="20"/>
                <w:szCs w:val="20"/>
                <w:lang w:val="en-US"/>
              </w:rPr>
              <w:t xml:space="preserve">Initan Elementary School </w:t>
            </w:r>
          </w:p>
        </w:tc>
        <w:tc>
          <w:tcPr>
            <w:tcW w:w="2409" w:type="dxa"/>
            <w:noWrap/>
            <w:hideMark/>
          </w:tcPr>
          <w:p w14:paraId="42827C08" w14:textId="77777777" w:rsidR="005C6F5A" w:rsidRPr="00C63262" w:rsidRDefault="005C6F5A" w:rsidP="005C6F5A">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Joy M. Veňegas</w:t>
            </w:r>
          </w:p>
        </w:tc>
        <w:tc>
          <w:tcPr>
            <w:tcW w:w="993" w:type="dxa"/>
            <w:noWrap/>
            <w:hideMark/>
          </w:tcPr>
          <w:p w14:paraId="22DD197F"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1727E7C5"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5C6F5A" w:rsidRPr="00C63262" w14:paraId="24422544" w14:textId="77777777" w:rsidTr="007058FE">
        <w:trPr>
          <w:trHeight w:val="300"/>
        </w:trPr>
        <w:tc>
          <w:tcPr>
            <w:tcW w:w="870" w:type="dxa"/>
            <w:tcBorders>
              <w:top w:val="nil"/>
              <w:bottom w:val="nil"/>
            </w:tcBorders>
            <w:shd w:val="clear" w:color="auto" w:fill="auto"/>
          </w:tcPr>
          <w:p w14:paraId="1B23FFDB" w14:textId="77777777" w:rsidR="005C6F5A" w:rsidRPr="00C63262" w:rsidRDefault="005C6F5A" w:rsidP="005C6F5A">
            <w:pPr>
              <w:spacing w:before="100" w:beforeAutospacing="1" w:after="100" w:afterAutospacing="1" w:line="360" w:lineRule="auto"/>
              <w:rPr>
                <w:rFonts w:asciiTheme="majorHAnsi" w:hAnsiTheme="majorHAnsi" w:cstheme="majorHAnsi"/>
                <w:sz w:val="20"/>
                <w:szCs w:val="20"/>
                <w:lang w:val="en-US"/>
              </w:rPr>
            </w:pPr>
          </w:p>
        </w:tc>
        <w:tc>
          <w:tcPr>
            <w:tcW w:w="3520" w:type="dxa"/>
            <w:tcBorders>
              <w:top w:val="nil"/>
              <w:bottom w:val="nil"/>
            </w:tcBorders>
            <w:shd w:val="clear" w:color="auto" w:fill="auto"/>
          </w:tcPr>
          <w:p w14:paraId="61EE7F87" w14:textId="77777777" w:rsidR="005C6F5A" w:rsidRPr="00C63262" w:rsidRDefault="005C6F5A" w:rsidP="005C6F5A">
            <w:pPr>
              <w:spacing w:before="100" w:beforeAutospacing="1" w:after="100" w:afterAutospacing="1" w:line="360" w:lineRule="auto"/>
              <w:rPr>
                <w:rFonts w:asciiTheme="majorHAnsi" w:hAnsiTheme="majorHAnsi" w:cstheme="majorHAnsi"/>
                <w:sz w:val="20"/>
                <w:szCs w:val="20"/>
                <w:lang w:val="en-US"/>
              </w:rPr>
            </w:pPr>
          </w:p>
        </w:tc>
        <w:tc>
          <w:tcPr>
            <w:tcW w:w="2409" w:type="dxa"/>
            <w:noWrap/>
            <w:hideMark/>
          </w:tcPr>
          <w:p w14:paraId="270E7EA3" w14:textId="77777777" w:rsidR="005C6F5A" w:rsidRPr="00C63262" w:rsidRDefault="005C6F5A" w:rsidP="005C6F5A">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Judyzyn C. Samillano</w:t>
            </w:r>
          </w:p>
        </w:tc>
        <w:tc>
          <w:tcPr>
            <w:tcW w:w="993" w:type="dxa"/>
            <w:noWrap/>
            <w:hideMark/>
          </w:tcPr>
          <w:p w14:paraId="721CF839"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5C6B87B5"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5C6F5A" w:rsidRPr="00C63262" w14:paraId="7C503E6E" w14:textId="77777777" w:rsidTr="007058FE">
        <w:trPr>
          <w:trHeight w:val="300"/>
        </w:trPr>
        <w:tc>
          <w:tcPr>
            <w:tcW w:w="870" w:type="dxa"/>
            <w:tcBorders>
              <w:top w:val="nil"/>
              <w:bottom w:val="nil"/>
            </w:tcBorders>
          </w:tcPr>
          <w:p w14:paraId="6A798965" w14:textId="77777777" w:rsidR="005C6F5A" w:rsidRPr="00C63262" w:rsidRDefault="005C6F5A" w:rsidP="005C6F5A">
            <w:pPr>
              <w:spacing w:before="100" w:beforeAutospacing="1" w:after="100" w:afterAutospacing="1" w:line="360" w:lineRule="auto"/>
              <w:rPr>
                <w:rFonts w:asciiTheme="majorHAnsi" w:hAnsiTheme="majorHAnsi" w:cstheme="majorHAnsi"/>
                <w:sz w:val="20"/>
                <w:szCs w:val="20"/>
                <w:lang w:val="en-US"/>
              </w:rPr>
            </w:pPr>
          </w:p>
        </w:tc>
        <w:tc>
          <w:tcPr>
            <w:tcW w:w="3520" w:type="dxa"/>
            <w:tcBorders>
              <w:top w:val="nil"/>
              <w:bottom w:val="nil"/>
            </w:tcBorders>
          </w:tcPr>
          <w:p w14:paraId="181C6E72" w14:textId="77777777" w:rsidR="005C6F5A" w:rsidRPr="00C63262" w:rsidRDefault="005C6F5A" w:rsidP="005C6F5A">
            <w:pPr>
              <w:spacing w:before="100" w:beforeAutospacing="1" w:after="100" w:afterAutospacing="1" w:line="360" w:lineRule="auto"/>
              <w:rPr>
                <w:rFonts w:asciiTheme="majorHAnsi" w:hAnsiTheme="majorHAnsi" w:cstheme="majorHAnsi"/>
                <w:sz w:val="20"/>
                <w:szCs w:val="20"/>
                <w:lang w:val="en-US"/>
              </w:rPr>
            </w:pPr>
          </w:p>
        </w:tc>
        <w:tc>
          <w:tcPr>
            <w:tcW w:w="2409" w:type="dxa"/>
            <w:noWrap/>
            <w:hideMark/>
          </w:tcPr>
          <w:p w14:paraId="264EAAFA" w14:textId="77777777" w:rsidR="005C6F5A" w:rsidRPr="00C63262" w:rsidRDefault="005C6F5A" w:rsidP="005C6F5A">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Mary Jane M. Sebollen</w:t>
            </w:r>
          </w:p>
        </w:tc>
        <w:tc>
          <w:tcPr>
            <w:tcW w:w="993" w:type="dxa"/>
            <w:noWrap/>
            <w:hideMark/>
          </w:tcPr>
          <w:p w14:paraId="330203AD"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6F53C8EE"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5C6F5A" w:rsidRPr="00C63262" w14:paraId="7C4BAB91" w14:textId="77777777" w:rsidTr="007058FE">
        <w:trPr>
          <w:trHeight w:val="300"/>
        </w:trPr>
        <w:tc>
          <w:tcPr>
            <w:tcW w:w="870" w:type="dxa"/>
            <w:tcBorders>
              <w:top w:val="nil"/>
              <w:bottom w:val="single" w:sz="4" w:space="0" w:color="auto"/>
            </w:tcBorders>
          </w:tcPr>
          <w:p w14:paraId="2A18890C" w14:textId="77777777" w:rsidR="005C6F5A" w:rsidRPr="00C63262" w:rsidRDefault="005C6F5A" w:rsidP="005C6F5A">
            <w:pPr>
              <w:spacing w:before="100" w:beforeAutospacing="1" w:after="100" w:afterAutospacing="1" w:line="360" w:lineRule="auto"/>
              <w:rPr>
                <w:rFonts w:asciiTheme="majorHAnsi" w:hAnsiTheme="majorHAnsi" w:cstheme="majorHAnsi"/>
                <w:sz w:val="20"/>
                <w:szCs w:val="20"/>
                <w:lang w:val="en-US"/>
              </w:rPr>
            </w:pPr>
          </w:p>
        </w:tc>
        <w:tc>
          <w:tcPr>
            <w:tcW w:w="3520" w:type="dxa"/>
            <w:tcBorders>
              <w:top w:val="nil"/>
              <w:bottom w:val="single" w:sz="4" w:space="0" w:color="auto"/>
            </w:tcBorders>
          </w:tcPr>
          <w:p w14:paraId="7805C856" w14:textId="77777777" w:rsidR="005C6F5A" w:rsidRPr="00C63262" w:rsidRDefault="005C6F5A" w:rsidP="005C6F5A">
            <w:pPr>
              <w:spacing w:before="100" w:beforeAutospacing="1" w:after="100" w:afterAutospacing="1" w:line="360" w:lineRule="auto"/>
              <w:rPr>
                <w:rFonts w:asciiTheme="majorHAnsi" w:hAnsiTheme="majorHAnsi" w:cstheme="majorHAnsi"/>
                <w:sz w:val="20"/>
                <w:szCs w:val="20"/>
                <w:lang w:val="en-US"/>
              </w:rPr>
            </w:pPr>
          </w:p>
        </w:tc>
        <w:tc>
          <w:tcPr>
            <w:tcW w:w="2409" w:type="dxa"/>
            <w:noWrap/>
            <w:hideMark/>
          </w:tcPr>
          <w:p w14:paraId="123E5BF0" w14:textId="77777777" w:rsidR="005C6F5A" w:rsidRPr="00C63262" w:rsidRDefault="005C6F5A" w:rsidP="005C6F5A">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 xml:space="preserve">Susie E. Mariano </w:t>
            </w:r>
          </w:p>
        </w:tc>
        <w:tc>
          <w:tcPr>
            <w:tcW w:w="993" w:type="dxa"/>
            <w:noWrap/>
            <w:hideMark/>
          </w:tcPr>
          <w:p w14:paraId="7D59C5F3"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780BEB38"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Principal</w:t>
            </w:r>
          </w:p>
        </w:tc>
      </w:tr>
      <w:tr w:rsidR="005C6F5A" w:rsidRPr="00C63262" w14:paraId="7E3FD9B5" w14:textId="77777777" w:rsidTr="007058FE">
        <w:trPr>
          <w:trHeight w:val="300"/>
        </w:trPr>
        <w:tc>
          <w:tcPr>
            <w:tcW w:w="870" w:type="dxa"/>
            <w:tcBorders>
              <w:bottom w:val="nil"/>
            </w:tcBorders>
          </w:tcPr>
          <w:p w14:paraId="15EE1D0A" w14:textId="2DA1FB8F"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116186</w:t>
            </w:r>
          </w:p>
        </w:tc>
        <w:tc>
          <w:tcPr>
            <w:tcW w:w="3520" w:type="dxa"/>
            <w:tcBorders>
              <w:bottom w:val="nil"/>
            </w:tcBorders>
          </w:tcPr>
          <w:p w14:paraId="448720EE" w14:textId="36DAB8DC"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snapToGrid w:val="0"/>
                <w:color w:val="000000"/>
                <w:sz w:val="20"/>
                <w:szCs w:val="20"/>
                <w:lang w:val="en-US"/>
              </w:rPr>
              <w:t xml:space="preserve">Jaycon Elementary School </w:t>
            </w:r>
          </w:p>
        </w:tc>
        <w:tc>
          <w:tcPr>
            <w:tcW w:w="2409" w:type="dxa"/>
            <w:noWrap/>
            <w:hideMark/>
          </w:tcPr>
          <w:p w14:paraId="7FB67648" w14:textId="77777777" w:rsidR="005C6F5A" w:rsidRPr="00C63262" w:rsidRDefault="005C6F5A" w:rsidP="005C6F5A">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Grace P. Perez</w:t>
            </w:r>
          </w:p>
        </w:tc>
        <w:tc>
          <w:tcPr>
            <w:tcW w:w="993" w:type="dxa"/>
            <w:noWrap/>
            <w:hideMark/>
          </w:tcPr>
          <w:p w14:paraId="15E4ABE2"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00A2BD2B"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5C6F5A" w:rsidRPr="00C63262" w14:paraId="62BE8706" w14:textId="77777777" w:rsidTr="007058FE">
        <w:trPr>
          <w:trHeight w:val="300"/>
        </w:trPr>
        <w:tc>
          <w:tcPr>
            <w:tcW w:w="870" w:type="dxa"/>
            <w:tcBorders>
              <w:top w:val="nil"/>
            </w:tcBorders>
          </w:tcPr>
          <w:p w14:paraId="40821084"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p>
        </w:tc>
        <w:tc>
          <w:tcPr>
            <w:tcW w:w="3520" w:type="dxa"/>
            <w:tcBorders>
              <w:top w:val="nil"/>
            </w:tcBorders>
          </w:tcPr>
          <w:p w14:paraId="7A8D9D23"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31FCE58C" w14:textId="77777777" w:rsidR="005C6F5A" w:rsidRPr="00C63262" w:rsidRDefault="005C6F5A" w:rsidP="005C6F5A">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Junjen L. Palomar</w:t>
            </w:r>
          </w:p>
        </w:tc>
        <w:tc>
          <w:tcPr>
            <w:tcW w:w="993" w:type="dxa"/>
            <w:noWrap/>
            <w:hideMark/>
          </w:tcPr>
          <w:p w14:paraId="4DFF033A"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M</w:t>
            </w:r>
          </w:p>
        </w:tc>
        <w:tc>
          <w:tcPr>
            <w:tcW w:w="2835" w:type="dxa"/>
          </w:tcPr>
          <w:p w14:paraId="4B2B99F7"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5C6F5A" w:rsidRPr="00C63262" w14:paraId="2C7DC2AC" w14:textId="77777777" w:rsidTr="007058FE">
        <w:trPr>
          <w:trHeight w:val="300"/>
        </w:trPr>
        <w:tc>
          <w:tcPr>
            <w:tcW w:w="870" w:type="dxa"/>
            <w:tcBorders>
              <w:bottom w:val="single" w:sz="4" w:space="0" w:color="auto"/>
            </w:tcBorders>
          </w:tcPr>
          <w:p w14:paraId="353A8475"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p>
        </w:tc>
        <w:tc>
          <w:tcPr>
            <w:tcW w:w="3520" w:type="dxa"/>
            <w:tcBorders>
              <w:bottom w:val="single" w:sz="4" w:space="0" w:color="auto"/>
            </w:tcBorders>
          </w:tcPr>
          <w:p w14:paraId="789D1042"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581F0FCE" w14:textId="77777777" w:rsidR="005C6F5A" w:rsidRPr="00C63262" w:rsidRDefault="005C6F5A" w:rsidP="005C6F5A">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Ely C. De Leon</w:t>
            </w:r>
          </w:p>
        </w:tc>
        <w:tc>
          <w:tcPr>
            <w:tcW w:w="993" w:type="dxa"/>
            <w:noWrap/>
            <w:hideMark/>
          </w:tcPr>
          <w:p w14:paraId="3AAE41A1"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M</w:t>
            </w:r>
          </w:p>
        </w:tc>
        <w:tc>
          <w:tcPr>
            <w:tcW w:w="2835" w:type="dxa"/>
          </w:tcPr>
          <w:p w14:paraId="4A1897A0"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Principal</w:t>
            </w:r>
          </w:p>
        </w:tc>
      </w:tr>
      <w:tr w:rsidR="005C6F5A" w:rsidRPr="00C63262" w14:paraId="4EE636FD" w14:textId="77777777" w:rsidTr="007058FE">
        <w:trPr>
          <w:trHeight w:val="300"/>
        </w:trPr>
        <w:tc>
          <w:tcPr>
            <w:tcW w:w="870" w:type="dxa"/>
            <w:tcBorders>
              <w:bottom w:val="nil"/>
            </w:tcBorders>
          </w:tcPr>
          <w:p w14:paraId="32E42336" w14:textId="3A3C6435"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116430</w:t>
            </w:r>
          </w:p>
        </w:tc>
        <w:tc>
          <w:tcPr>
            <w:tcW w:w="3520" w:type="dxa"/>
            <w:tcBorders>
              <w:bottom w:val="nil"/>
            </w:tcBorders>
          </w:tcPr>
          <w:p w14:paraId="45697BE9" w14:textId="7FF2AB55"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snapToGrid w:val="0"/>
                <w:color w:val="000000"/>
                <w:sz w:val="20"/>
                <w:szCs w:val="20"/>
                <w:lang w:val="en-US"/>
              </w:rPr>
              <w:t xml:space="preserve">Jorog Elementary School </w:t>
            </w:r>
          </w:p>
        </w:tc>
        <w:tc>
          <w:tcPr>
            <w:tcW w:w="2409" w:type="dxa"/>
            <w:noWrap/>
            <w:hideMark/>
          </w:tcPr>
          <w:p w14:paraId="124E03C1" w14:textId="77777777" w:rsidR="005C6F5A" w:rsidRPr="00C63262" w:rsidRDefault="005C6F5A" w:rsidP="005C6F5A">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 xml:space="preserve">Rosemarie G. Perez </w:t>
            </w:r>
          </w:p>
        </w:tc>
        <w:tc>
          <w:tcPr>
            <w:tcW w:w="993" w:type="dxa"/>
            <w:noWrap/>
            <w:hideMark/>
          </w:tcPr>
          <w:p w14:paraId="55F2C965"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5E251011"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5C6F5A" w:rsidRPr="00C63262" w14:paraId="72EBF10C" w14:textId="77777777" w:rsidTr="007058FE">
        <w:trPr>
          <w:trHeight w:val="300"/>
        </w:trPr>
        <w:tc>
          <w:tcPr>
            <w:tcW w:w="870" w:type="dxa"/>
            <w:tcBorders>
              <w:top w:val="nil"/>
              <w:bottom w:val="nil"/>
            </w:tcBorders>
          </w:tcPr>
          <w:p w14:paraId="19CBA93E"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p>
        </w:tc>
        <w:tc>
          <w:tcPr>
            <w:tcW w:w="3520" w:type="dxa"/>
            <w:tcBorders>
              <w:top w:val="nil"/>
              <w:bottom w:val="nil"/>
            </w:tcBorders>
          </w:tcPr>
          <w:p w14:paraId="3004B8DB"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1B0B7C77" w14:textId="77777777" w:rsidR="005C6F5A" w:rsidRPr="00C63262" w:rsidRDefault="005C6F5A" w:rsidP="005C6F5A">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Sanny Joy M. Lebona</w:t>
            </w:r>
          </w:p>
        </w:tc>
        <w:tc>
          <w:tcPr>
            <w:tcW w:w="993" w:type="dxa"/>
            <w:noWrap/>
            <w:hideMark/>
          </w:tcPr>
          <w:p w14:paraId="22B2B381"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3C9D2046"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5C6F5A" w:rsidRPr="00C63262" w14:paraId="2F85C889" w14:textId="77777777" w:rsidTr="007058FE">
        <w:trPr>
          <w:trHeight w:val="300"/>
        </w:trPr>
        <w:tc>
          <w:tcPr>
            <w:tcW w:w="870" w:type="dxa"/>
            <w:tcBorders>
              <w:top w:val="nil"/>
              <w:bottom w:val="single" w:sz="4" w:space="0" w:color="auto"/>
            </w:tcBorders>
          </w:tcPr>
          <w:p w14:paraId="1B75F255"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p>
        </w:tc>
        <w:tc>
          <w:tcPr>
            <w:tcW w:w="3520" w:type="dxa"/>
            <w:tcBorders>
              <w:top w:val="nil"/>
              <w:bottom w:val="single" w:sz="4" w:space="0" w:color="auto"/>
            </w:tcBorders>
          </w:tcPr>
          <w:p w14:paraId="6B9F07F2"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661AD6FD" w14:textId="77777777" w:rsidR="005C6F5A" w:rsidRPr="00C63262" w:rsidRDefault="005C6F5A" w:rsidP="005C6F5A">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Ma. Corazon L. Chiva</w:t>
            </w:r>
          </w:p>
        </w:tc>
        <w:tc>
          <w:tcPr>
            <w:tcW w:w="993" w:type="dxa"/>
            <w:noWrap/>
            <w:hideMark/>
          </w:tcPr>
          <w:p w14:paraId="2EB6874C"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2B712ADA"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Principal</w:t>
            </w:r>
          </w:p>
        </w:tc>
      </w:tr>
      <w:tr w:rsidR="005C6F5A" w:rsidRPr="00C63262" w14:paraId="32E6E237" w14:textId="77777777" w:rsidTr="007058FE">
        <w:trPr>
          <w:trHeight w:val="300"/>
        </w:trPr>
        <w:tc>
          <w:tcPr>
            <w:tcW w:w="870" w:type="dxa"/>
            <w:tcBorders>
              <w:bottom w:val="nil"/>
            </w:tcBorders>
          </w:tcPr>
          <w:p w14:paraId="571FD0E8" w14:textId="39DD1521"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116783</w:t>
            </w:r>
          </w:p>
        </w:tc>
        <w:tc>
          <w:tcPr>
            <w:tcW w:w="3520" w:type="dxa"/>
            <w:tcBorders>
              <w:bottom w:val="nil"/>
            </w:tcBorders>
          </w:tcPr>
          <w:p w14:paraId="357FAC5C" w14:textId="1BA3CCCC"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snapToGrid w:val="0"/>
                <w:color w:val="000000"/>
                <w:sz w:val="20"/>
                <w:szCs w:val="20"/>
                <w:lang w:val="en-US"/>
              </w:rPr>
              <w:t>Malapaya Elementary School</w:t>
            </w:r>
          </w:p>
        </w:tc>
        <w:tc>
          <w:tcPr>
            <w:tcW w:w="2409" w:type="dxa"/>
            <w:noWrap/>
            <w:hideMark/>
          </w:tcPr>
          <w:p w14:paraId="01AA6AD6" w14:textId="77777777" w:rsidR="005C6F5A" w:rsidRPr="00C63262" w:rsidRDefault="005C6F5A" w:rsidP="005C6F5A">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Geneve E. Padios</w:t>
            </w:r>
          </w:p>
        </w:tc>
        <w:tc>
          <w:tcPr>
            <w:tcW w:w="993" w:type="dxa"/>
            <w:noWrap/>
            <w:hideMark/>
          </w:tcPr>
          <w:p w14:paraId="01D13F6E"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537B0E78"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5C6F5A" w:rsidRPr="00C63262" w14:paraId="40186A88" w14:textId="77777777" w:rsidTr="007058FE">
        <w:trPr>
          <w:trHeight w:val="300"/>
        </w:trPr>
        <w:tc>
          <w:tcPr>
            <w:tcW w:w="870" w:type="dxa"/>
            <w:tcBorders>
              <w:top w:val="nil"/>
              <w:bottom w:val="nil"/>
            </w:tcBorders>
          </w:tcPr>
          <w:p w14:paraId="60734B20"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p>
        </w:tc>
        <w:tc>
          <w:tcPr>
            <w:tcW w:w="3520" w:type="dxa"/>
            <w:tcBorders>
              <w:top w:val="nil"/>
              <w:bottom w:val="nil"/>
            </w:tcBorders>
          </w:tcPr>
          <w:p w14:paraId="31176CF6"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6A8F0AF5" w14:textId="77777777" w:rsidR="005C6F5A" w:rsidRPr="00C63262" w:rsidRDefault="005C6F5A" w:rsidP="005C6F5A">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Florence S. Acayang</w:t>
            </w:r>
          </w:p>
        </w:tc>
        <w:tc>
          <w:tcPr>
            <w:tcW w:w="993" w:type="dxa"/>
            <w:noWrap/>
            <w:hideMark/>
          </w:tcPr>
          <w:p w14:paraId="0CA45670"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1794BCB7"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5C6F5A" w:rsidRPr="00C63262" w14:paraId="75AB603C" w14:textId="77777777" w:rsidTr="007058FE">
        <w:trPr>
          <w:trHeight w:val="300"/>
        </w:trPr>
        <w:tc>
          <w:tcPr>
            <w:tcW w:w="870" w:type="dxa"/>
            <w:tcBorders>
              <w:top w:val="nil"/>
              <w:bottom w:val="single" w:sz="4" w:space="0" w:color="auto"/>
            </w:tcBorders>
          </w:tcPr>
          <w:p w14:paraId="5306E452"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p>
        </w:tc>
        <w:tc>
          <w:tcPr>
            <w:tcW w:w="3520" w:type="dxa"/>
            <w:tcBorders>
              <w:top w:val="nil"/>
              <w:bottom w:val="single" w:sz="4" w:space="0" w:color="auto"/>
            </w:tcBorders>
          </w:tcPr>
          <w:p w14:paraId="0914F97B"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6343CB88" w14:textId="77777777" w:rsidR="005C6F5A" w:rsidRPr="00C63262" w:rsidRDefault="005C6F5A" w:rsidP="005C6F5A">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Valentin P. Coronado Jr.</w:t>
            </w:r>
          </w:p>
        </w:tc>
        <w:tc>
          <w:tcPr>
            <w:tcW w:w="993" w:type="dxa"/>
            <w:noWrap/>
            <w:hideMark/>
          </w:tcPr>
          <w:p w14:paraId="3AE408B5"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M</w:t>
            </w:r>
          </w:p>
        </w:tc>
        <w:tc>
          <w:tcPr>
            <w:tcW w:w="2835" w:type="dxa"/>
          </w:tcPr>
          <w:p w14:paraId="592EDB99"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Principal</w:t>
            </w:r>
          </w:p>
        </w:tc>
      </w:tr>
      <w:tr w:rsidR="005C6F5A" w:rsidRPr="00C63262" w14:paraId="58244444" w14:textId="77777777" w:rsidTr="007058FE">
        <w:trPr>
          <w:trHeight w:val="300"/>
        </w:trPr>
        <w:tc>
          <w:tcPr>
            <w:tcW w:w="870" w:type="dxa"/>
            <w:tcBorders>
              <w:bottom w:val="nil"/>
            </w:tcBorders>
          </w:tcPr>
          <w:p w14:paraId="435F2E05" w14:textId="71805E9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116549</w:t>
            </w:r>
          </w:p>
        </w:tc>
        <w:tc>
          <w:tcPr>
            <w:tcW w:w="3520" w:type="dxa"/>
            <w:tcBorders>
              <w:bottom w:val="nil"/>
            </w:tcBorders>
          </w:tcPr>
          <w:p w14:paraId="600258AC" w14:textId="75F47DC1"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snapToGrid w:val="0"/>
                <w:color w:val="000000"/>
                <w:sz w:val="20"/>
                <w:szCs w:val="20"/>
                <w:lang w:val="en-US"/>
              </w:rPr>
              <w:t xml:space="preserve">Mandog Elementary School </w:t>
            </w:r>
          </w:p>
        </w:tc>
        <w:tc>
          <w:tcPr>
            <w:tcW w:w="2409" w:type="dxa"/>
            <w:noWrap/>
            <w:hideMark/>
          </w:tcPr>
          <w:p w14:paraId="791E3624" w14:textId="77777777" w:rsidR="005C6F5A" w:rsidRPr="00C63262" w:rsidRDefault="005C6F5A" w:rsidP="005C6F5A">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Jema Fruto</w:t>
            </w:r>
          </w:p>
        </w:tc>
        <w:tc>
          <w:tcPr>
            <w:tcW w:w="993" w:type="dxa"/>
            <w:noWrap/>
            <w:hideMark/>
          </w:tcPr>
          <w:p w14:paraId="170FF01A"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597AD402"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5C6F5A" w:rsidRPr="00C63262" w14:paraId="7A8471D1" w14:textId="77777777" w:rsidTr="007058FE">
        <w:trPr>
          <w:trHeight w:val="300"/>
        </w:trPr>
        <w:tc>
          <w:tcPr>
            <w:tcW w:w="870" w:type="dxa"/>
            <w:tcBorders>
              <w:top w:val="nil"/>
              <w:bottom w:val="nil"/>
            </w:tcBorders>
          </w:tcPr>
          <w:p w14:paraId="0C53B900"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p>
        </w:tc>
        <w:tc>
          <w:tcPr>
            <w:tcW w:w="3520" w:type="dxa"/>
            <w:tcBorders>
              <w:top w:val="nil"/>
              <w:bottom w:val="nil"/>
            </w:tcBorders>
          </w:tcPr>
          <w:p w14:paraId="0DB25F16"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1CE5CDFC" w14:textId="77777777" w:rsidR="005C6F5A" w:rsidRPr="00C63262" w:rsidRDefault="005C6F5A" w:rsidP="005C6F5A">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Ray Chelle Torion</w:t>
            </w:r>
          </w:p>
        </w:tc>
        <w:tc>
          <w:tcPr>
            <w:tcW w:w="993" w:type="dxa"/>
            <w:noWrap/>
            <w:hideMark/>
          </w:tcPr>
          <w:p w14:paraId="371C0CA5"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M</w:t>
            </w:r>
          </w:p>
        </w:tc>
        <w:tc>
          <w:tcPr>
            <w:tcW w:w="2835" w:type="dxa"/>
          </w:tcPr>
          <w:p w14:paraId="4A1DF673"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5C6F5A" w:rsidRPr="00C63262" w14:paraId="3D185DB5" w14:textId="77777777" w:rsidTr="007058FE">
        <w:trPr>
          <w:trHeight w:val="300"/>
        </w:trPr>
        <w:tc>
          <w:tcPr>
            <w:tcW w:w="870" w:type="dxa"/>
            <w:tcBorders>
              <w:top w:val="nil"/>
              <w:bottom w:val="single" w:sz="4" w:space="0" w:color="auto"/>
            </w:tcBorders>
          </w:tcPr>
          <w:p w14:paraId="38FA32B8"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p>
        </w:tc>
        <w:tc>
          <w:tcPr>
            <w:tcW w:w="3520" w:type="dxa"/>
            <w:tcBorders>
              <w:top w:val="nil"/>
              <w:bottom w:val="single" w:sz="4" w:space="0" w:color="auto"/>
            </w:tcBorders>
          </w:tcPr>
          <w:p w14:paraId="5F08175F"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192F2890" w14:textId="77777777" w:rsidR="005C6F5A" w:rsidRPr="00C63262" w:rsidRDefault="005C6F5A" w:rsidP="005C6F5A">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Zarah May Clanoto</w:t>
            </w:r>
          </w:p>
        </w:tc>
        <w:tc>
          <w:tcPr>
            <w:tcW w:w="993" w:type="dxa"/>
            <w:noWrap/>
            <w:hideMark/>
          </w:tcPr>
          <w:p w14:paraId="4133E79E"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7F4960ED"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Principal</w:t>
            </w:r>
          </w:p>
        </w:tc>
      </w:tr>
      <w:tr w:rsidR="005C6F5A" w:rsidRPr="00C63262" w14:paraId="6C91398F" w14:textId="77777777" w:rsidTr="007058FE">
        <w:trPr>
          <w:trHeight w:val="300"/>
        </w:trPr>
        <w:tc>
          <w:tcPr>
            <w:tcW w:w="870" w:type="dxa"/>
            <w:tcBorders>
              <w:bottom w:val="nil"/>
            </w:tcBorders>
          </w:tcPr>
          <w:p w14:paraId="203EEC10" w14:textId="64B9AB42"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115327</w:t>
            </w:r>
          </w:p>
        </w:tc>
        <w:tc>
          <w:tcPr>
            <w:tcW w:w="3520" w:type="dxa"/>
            <w:tcBorders>
              <w:bottom w:val="nil"/>
            </w:tcBorders>
          </w:tcPr>
          <w:p w14:paraId="0CE99C56" w14:textId="3F89588A"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snapToGrid w:val="0"/>
                <w:color w:val="000000"/>
                <w:sz w:val="20"/>
                <w:szCs w:val="20"/>
                <w:lang w:val="en-US"/>
              </w:rPr>
              <w:t xml:space="preserve">Nagdayao Elementary School </w:t>
            </w:r>
          </w:p>
        </w:tc>
        <w:tc>
          <w:tcPr>
            <w:tcW w:w="2409" w:type="dxa"/>
            <w:noWrap/>
            <w:hideMark/>
          </w:tcPr>
          <w:p w14:paraId="2985314E" w14:textId="77777777" w:rsidR="005C6F5A" w:rsidRPr="00C63262" w:rsidRDefault="005C6F5A" w:rsidP="005C6F5A">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Guia M. Mamades</w:t>
            </w:r>
          </w:p>
        </w:tc>
        <w:tc>
          <w:tcPr>
            <w:tcW w:w="993" w:type="dxa"/>
            <w:noWrap/>
            <w:hideMark/>
          </w:tcPr>
          <w:p w14:paraId="75C13408"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0FF607AD"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5C6F5A" w:rsidRPr="00C63262" w14:paraId="38BC30A5" w14:textId="77777777" w:rsidTr="007058FE">
        <w:trPr>
          <w:trHeight w:val="300"/>
        </w:trPr>
        <w:tc>
          <w:tcPr>
            <w:tcW w:w="870" w:type="dxa"/>
            <w:tcBorders>
              <w:top w:val="nil"/>
              <w:bottom w:val="nil"/>
            </w:tcBorders>
          </w:tcPr>
          <w:p w14:paraId="5CD561CE"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p>
        </w:tc>
        <w:tc>
          <w:tcPr>
            <w:tcW w:w="3520" w:type="dxa"/>
            <w:tcBorders>
              <w:top w:val="nil"/>
              <w:bottom w:val="nil"/>
            </w:tcBorders>
          </w:tcPr>
          <w:p w14:paraId="4E3CF2BE"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6AE872BF" w14:textId="77777777" w:rsidR="005C6F5A" w:rsidRPr="00C63262" w:rsidRDefault="005C6F5A" w:rsidP="005C6F5A">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Verginia E. Dioso</w:t>
            </w:r>
          </w:p>
        </w:tc>
        <w:tc>
          <w:tcPr>
            <w:tcW w:w="993" w:type="dxa"/>
            <w:noWrap/>
            <w:hideMark/>
          </w:tcPr>
          <w:p w14:paraId="7286EA91"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3CE1AD25"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5C6F5A" w:rsidRPr="00C63262" w14:paraId="6377012A" w14:textId="77777777" w:rsidTr="007058FE">
        <w:trPr>
          <w:trHeight w:val="300"/>
        </w:trPr>
        <w:tc>
          <w:tcPr>
            <w:tcW w:w="870" w:type="dxa"/>
            <w:tcBorders>
              <w:top w:val="nil"/>
              <w:bottom w:val="nil"/>
            </w:tcBorders>
          </w:tcPr>
          <w:p w14:paraId="263ABB7B"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p>
        </w:tc>
        <w:tc>
          <w:tcPr>
            <w:tcW w:w="3520" w:type="dxa"/>
            <w:tcBorders>
              <w:top w:val="nil"/>
              <w:bottom w:val="nil"/>
            </w:tcBorders>
          </w:tcPr>
          <w:p w14:paraId="20EB06F1"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5F99AE1A" w14:textId="77777777" w:rsidR="005C6F5A" w:rsidRPr="00C63262" w:rsidRDefault="005C6F5A" w:rsidP="005C6F5A">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Anita L. Gevla</w:t>
            </w:r>
          </w:p>
        </w:tc>
        <w:tc>
          <w:tcPr>
            <w:tcW w:w="993" w:type="dxa"/>
            <w:noWrap/>
            <w:hideMark/>
          </w:tcPr>
          <w:p w14:paraId="25B90253"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459AECB0"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5C6F5A" w:rsidRPr="00C63262" w14:paraId="62D7D028" w14:textId="77777777" w:rsidTr="007058FE">
        <w:trPr>
          <w:trHeight w:val="300"/>
        </w:trPr>
        <w:tc>
          <w:tcPr>
            <w:tcW w:w="870" w:type="dxa"/>
            <w:tcBorders>
              <w:top w:val="nil"/>
            </w:tcBorders>
          </w:tcPr>
          <w:p w14:paraId="0CDB28E8" w14:textId="77777777" w:rsidR="005C6F5A" w:rsidRPr="00C63262" w:rsidRDefault="005C6F5A" w:rsidP="005C6F5A">
            <w:pPr>
              <w:spacing w:before="100" w:beforeAutospacing="1" w:after="100" w:afterAutospacing="1" w:line="360" w:lineRule="auto"/>
              <w:rPr>
                <w:rFonts w:asciiTheme="majorHAnsi" w:hAnsiTheme="majorHAnsi" w:cstheme="majorHAnsi"/>
                <w:sz w:val="20"/>
                <w:szCs w:val="20"/>
                <w:lang w:val="en-US"/>
              </w:rPr>
            </w:pPr>
          </w:p>
        </w:tc>
        <w:tc>
          <w:tcPr>
            <w:tcW w:w="3520" w:type="dxa"/>
            <w:tcBorders>
              <w:top w:val="nil"/>
            </w:tcBorders>
          </w:tcPr>
          <w:p w14:paraId="2704E333" w14:textId="77777777" w:rsidR="005C6F5A" w:rsidRPr="00C63262" w:rsidRDefault="005C6F5A" w:rsidP="005C6F5A">
            <w:pPr>
              <w:spacing w:before="100" w:beforeAutospacing="1" w:after="100" w:afterAutospacing="1" w:line="360" w:lineRule="auto"/>
              <w:rPr>
                <w:rFonts w:asciiTheme="majorHAnsi" w:hAnsiTheme="majorHAnsi" w:cstheme="majorHAnsi"/>
                <w:sz w:val="20"/>
                <w:szCs w:val="20"/>
                <w:lang w:val="en-US"/>
              </w:rPr>
            </w:pPr>
          </w:p>
        </w:tc>
        <w:tc>
          <w:tcPr>
            <w:tcW w:w="2409" w:type="dxa"/>
            <w:noWrap/>
            <w:hideMark/>
          </w:tcPr>
          <w:p w14:paraId="13D81F4F" w14:textId="77777777" w:rsidR="005C6F5A" w:rsidRPr="00C63262" w:rsidRDefault="005C6F5A" w:rsidP="005C6F5A">
            <w:pPr>
              <w:widowControl w:val="0"/>
              <w:numPr>
                <w:ilvl w:val="0"/>
                <w:numId w:val="102"/>
              </w:numPr>
              <w:spacing w:before="100" w:beforeAutospacing="1" w:after="100" w:afterAutospacing="1" w:line="360" w:lineRule="auto"/>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Arnulfo A. Batiao</w:t>
            </w:r>
          </w:p>
        </w:tc>
        <w:tc>
          <w:tcPr>
            <w:tcW w:w="993" w:type="dxa"/>
            <w:noWrap/>
            <w:hideMark/>
          </w:tcPr>
          <w:p w14:paraId="6535E740" w14:textId="77777777" w:rsidR="005C6F5A" w:rsidRPr="00C63262" w:rsidRDefault="005C6F5A" w:rsidP="005C6F5A">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M </w:t>
            </w:r>
          </w:p>
        </w:tc>
        <w:tc>
          <w:tcPr>
            <w:tcW w:w="2835" w:type="dxa"/>
          </w:tcPr>
          <w:p w14:paraId="5FF55C03" w14:textId="77777777" w:rsidR="005C6F5A" w:rsidRPr="00C63262" w:rsidRDefault="005C6F5A" w:rsidP="005C6F5A">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Principal</w:t>
            </w:r>
          </w:p>
        </w:tc>
      </w:tr>
      <w:tr w:rsidR="005C6F5A" w:rsidRPr="00C63262" w14:paraId="38FB276E" w14:textId="77777777" w:rsidTr="002517B7">
        <w:trPr>
          <w:trHeight w:val="60"/>
        </w:trPr>
        <w:tc>
          <w:tcPr>
            <w:tcW w:w="870" w:type="dxa"/>
            <w:tcBorders>
              <w:bottom w:val="single" w:sz="4" w:space="0" w:color="auto"/>
            </w:tcBorders>
          </w:tcPr>
          <w:p w14:paraId="41EBEC1A" w14:textId="77777777" w:rsidR="005C6F5A" w:rsidRPr="00C63262" w:rsidRDefault="005C6F5A" w:rsidP="005C6F5A">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 116340</w:t>
            </w:r>
          </w:p>
          <w:p w14:paraId="0A17638E" w14:textId="77777777" w:rsidR="005C6F5A" w:rsidRPr="00C63262" w:rsidRDefault="005C6F5A" w:rsidP="005C6F5A">
            <w:pPr>
              <w:spacing w:before="100" w:beforeAutospacing="1" w:after="100" w:afterAutospacing="1" w:line="360" w:lineRule="auto"/>
              <w:rPr>
                <w:rFonts w:asciiTheme="majorHAnsi" w:hAnsiTheme="majorHAnsi" w:cstheme="majorHAnsi"/>
                <w:sz w:val="20"/>
                <w:szCs w:val="20"/>
                <w:lang w:val="en-US"/>
              </w:rPr>
            </w:pPr>
          </w:p>
        </w:tc>
        <w:tc>
          <w:tcPr>
            <w:tcW w:w="3520" w:type="dxa"/>
            <w:tcBorders>
              <w:bottom w:val="single" w:sz="4" w:space="0" w:color="auto"/>
            </w:tcBorders>
          </w:tcPr>
          <w:p w14:paraId="131670B1" w14:textId="77777777" w:rsidR="005C6F5A" w:rsidRPr="00C63262" w:rsidRDefault="005C6F5A" w:rsidP="005C6F5A">
            <w:pPr>
              <w:widowControl w:val="0"/>
              <w:numPr>
                <w:ilvl w:val="0"/>
                <w:numId w:val="101"/>
              </w:numPr>
              <w:spacing w:before="100" w:beforeAutospacing="1" w:after="100" w:afterAutospacing="1" w:line="360" w:lineRule="auto"/>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P.D. Monfort Central T-S</w:t>
            </w:r>
          </w:p>
          <w:p w14:paraId="2B89734E" w14:textId="77777777" w:rsidR="005C6F5A" w:rsidRPr="00C63262" w:rsidRDefault="005C6F5A" w:rsidP="005C6F5A">
            <w:pPr>
              <w:spacing w:before="100" w:beforeAutospacing="1" w:after="100" w:afterAutospacing="1" w:line="360" w:lineRule="auto"/>
              <w:rPr>
                <w:rFonts w:asciiTheme="majorHAnsi" w:hAnsiTheme="majorHAnsi" w:cstheme="majorHAnsi"/>
                <w:sz w:val="20"/>
                <w:szCs w:val="20"/>
                <w:lang w:val="en-US"/>
              </w:rPr>
            </w:pPr>
          </w:p>
        </w:tc>
        <w:tc>
          <w:tcPr>
            <w:tcW w:w="2409" w:type="dxa"/>
            <w:noWrap/>
            <w:hideMark/>
          </w:tcPr>
          <w:p w14:paraId="1679F657" w14:textId="77777777" w:rsidR="005C6F5A" w:rsidRPr="00C63262" w:rsidRDefault="005C6F5A" w:rsidP="005C6F5A">
            <w:pPr>
              <w:widowControl w:val="0"/>
              <w:numPr>
                <w:ilvl w:val="0"/>
                <w:numId w:val="102"/>
              </w:numPr>
              <w:spacing w:before="100" w:beforeAutospacing="1" w:after="100" w:afterAutospacing="1" w:line="360" w:lineRule="auto"/>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Marie Jine B. Bautista</w:t>
            </w:r>
          </w:p>
        </w:tc>
        <w:tc>
          <w:tcPr>
            <w:tcW w:w="993" w:type="dxa"/>
            <w:noWrap/>
            <w:hideMark/>
          </w:tcPr>
          <w:p w14:paraId="5FEC275E" w14:textId="77777777" w:rsidR="005C6F5A" w:rsidRPr="00C63262" w:rsidRDefault="005C6F5A" w:rsidP="005C6F5A">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F</w:t>
            </w:r>
          </w:p>
        </w:tc>
        <w:tc>
          <w:tcPr>
            <w:tcW w:w="2835" w:type="dxa"/>
          </w:tcPr>
          <w:p w14:paraId="01AF3118" w14:textId="77777777" w:rsidR="005C6F5A" w:rsidRPr="00C63262" w:rsidRDefault="005C6F5A" w:rsidP="005C6F5A">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Master Teacher I</w:t>
            </w:r>
          </w:p>
        </w:tc>
      </w:tr>
      <w:tr w:rsidR="005C6F5A" w:rsidRPr="00C63262" w14:paraId="7C1401C1" w14:textId="77777777" w:rsidTr="002517B7">
        <w:trPr>
          <w:trHeight w:val="300"/>
        </w:trPr>
        <w:tc>
          <w:tcPr>
            <w:tcW w:w="870" w:type="dxa"/>
            <w:tcBorders>
              <w:bottom w:val="nil"/>
            </w:tcBorders>
          </w:tcPr>
          <w:p w14:paraId="1ACC25B6" w14:textId="12CD7538"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116021</w:t>
            </w:r>
          </w:p>
        </w:tc>
        <w:tc>
          <w:tcPr>
            <w:tcW w:w="3520" w:type="dxa"/>
            <w:tcBorders>
              <w:bottom w:val="nil"/>
            </w:tcBorders>
          </w:tcPr>
          <w:p w14:paraId="023A3F0D" w14:textId="5EEDDF83"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snapToGrid w:val="0"/>
                <w:color w:val="000000"/>
                <w:sz w:val="20"/>
                <w:szCs w:val="20"/>
                <w:lang w:val="en-US"/>
              </w:rPr>
              <w:t>Quiasan Elementary School</w:t>
            </w:r>
          </w:p>
        </w:tc>
        <w:tc>
          <w:tcPr>
            <w:tcW w:w="2409" w:type="dxa"/>
            <w:noWrap/>
            <w:hideMark/>
          </w:tcPr>
          <w:p w14:paraId="310FC867" w14:textId="77777777" w:rsidR="005C6F5A" w:rsidRPr="00C63262" w:rsidRDefault="005C6F5A" w:rsidP="005C6F5A">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Mary Rose V. Yase</w:t>
            </w:r>
          </w:p>
        </w:tc>
        <w:tc>
          <w:tcPr>
            <w:tcW w:w="993" w:type="dxa"/>
            <w:noWrap/>
            <w:hideMark/>
          </w:tcPr>
          <w:p w14:paraId="4587D310"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06B8D6C5"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5C6F5A" w:rsidRPr="00C63262" w14:paraId="666E45C6" w14:textId="77777777" w:rsidTr="002517B7">
        <w:trPr>
          <w:trHeight w:val="300"/>
        </w:trPr>
        <w:tc>
          <w:tcPr>
            <w:tcW w:w="870" w:type="dxa"/>
            <w:tcBorders>
              <w:top w:val="nil"/>
              <w:bottom w:val="nil"/>
            </w:tcBorders>
          </w:tcPr>
          <w:p w14:paraId="5FAD9BFF"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p>
        </w:tc>
        <w:tc>
          <w:tcPr>
            <w:tcW w:w="3520" w:type="dxa"/>
            <w:tcBorders>
              <w:top w:val="nil"/>
              <w:bottom w:val="nil"/>
            </w:tcBorders>
          </w:tcPr>
          <w:p w14:paraId="04B3EDB2"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554653AE" w14:textId="77777777" w:rsidR="005C6F5A" w:rsidRPr="00C63262" w:rsidRDefault="005C6F5A" w:rsidP="005C6F5A">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Era B. Del Castillo</w:t>
            </w:r>
          </w:p>
        </w:tc>
        <w:tc>
          <w:tcPr>
            <w:tcW w:w="993" w:type="dxa"/>
            <w:noWrap/>
            <w:hideMark/>
          </w:tcPr>
          <w:p w14:paraId="06052357"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0E296E04"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5C6F5A" w:rsidRPr="00C63262" w14:paraId="75B3775B" w14:textId="77777777" w:rsidTr="002517B7">
        <w:trPr>
          <w:trHeight w:val="300"/>
        </w:trPr>
        <w:tc>
          <w:tcPr>
            <w:tcW w:w="870" w:type="dxa"/>
            <w:tcBorders>
              <w:top w:val="nil"/>
              <w:bottom w:val="single" w:sz="4" w:space="0" w:color="auto"/>
            </w:tcBorders>
          </w:tcPr>
          <w:p w14:paraId="17A01B46"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p>
        </w:tc>
        <w:tc>
          <w:tcPr>
            <w:tcW w:w="3520" w:type="dxa"/>
            <w:tcBorders>
              <w:top w:val="nil"/>
              <w:bottom w:val="single" w:sz="4" w:space="0" w:color="auto"/>
            </w:tcBorders>
          </w:tcPr>
          <w:p w14:paraId="394C76D5"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4A1C61F4" w14:textId="77777777" w:rsidR="005C6F5A" w:rsidRPr="00C63262" w:rsidRDefault="005C6F5A" w:rsidP="005C6F5A">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Helen G. Francisco</w:t>
            </w:r>
          </w:p>
        </w:tc>
        <w:tc>
          <w:tcPr>
            <w:tcW w:w="993" w:type="dxa"/>
            <w:noWrap/>
            <w:hideMark/>
          </w:tcPr>
          <w:p w14:paraId="3DE6AD06"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5588A1C9"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Principal</w:t>
            </w:r>
          </w:p>
        </w:tc>
      </w:tr>
      <w:tr w:rsidR="005C6F5A" w:rsidRPr="00C63262" w14:paraId="4F817AC6" w14:textId="77777777" w:rsidTr="002517B7">
        <w:trPr>
          <w:trHeight w:val="300"/>
        </w:trPr>
        <w:tc>
          <w:tcPr>
            <w:tcW w:w="870" w:type="dxa"/>
            <w:tcBorders>
              <w:bottom w:val="nil"/>
            </w:tcBorders>
          </w:tcPr>
          <w:p w14:paraId="5F61ED15" w14:textId="6F169BAA"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115285</w:t>
            </w:r>
          </w:p>
        </w:tc>
        <w:tc>
          <w:tcPr>
            <w:tcW w:w="3520" w:type="dxa"/>
            <w:tcBorders>
              <w:bottom w:val="nil"/>
            </w:tcBorders>
          </w:tcPr>
          <w:p w14:paraId="692604D6" w14:textId="66A47AAE"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snapToGrid w:val="0"/>
                <w:color w:val="000000"/>
                <w:sz w:val="20"/>
                <w:szCs w:val="20"/>
                <w:lang w:val="en-US"/>
              </w:rPr>
              <w:t>Sebaste Central School</w:t>
            </w:r>
          </w:p>
        </w:tc>
        <w:tc>
          <w:tcPr>
            <w:tcW w:w="2409" w:type="dxa"/>
            <w:noWrap/>
            <w:hideMark/>
          </w:tcPr>
          <w:p w14:paraId="0D126CB3" w14:textId="77777777" w:rsidR="005C6F5A" w:rsidRPr="00C63262" w:rsidRDefault="005C6F5A" w:rsidP="005C6F5A">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Rowen C. Azucena</w:t>
            </w:r>
          </w:p>
        </w:tc>
        <w:tc>
          <w:tcPr>
            <w:tcW w:w="993" w:type="dxa"/>
            <w:noWrap/>
            <w:hideMark/>
          </w:tcPr>
          <w:p w14:paraId="16E0BDF9"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M</w:t>
            </w:r>
          </w:p>
        </w:tc>
        <w:tc>
          <w:tcPr>
            <w:tcW w:w="2835" w:type="dxa"/>
          </w:tcPr>
          <w:p w14:paraId="46E4B85C"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5C6F5A" w:rsidRPr="00C63262" w14:paraId="1599C23E" w14:textId="77777777" w:rsidTr="002517B7">
        <w:trPr>
          <w:trHeight w:val="300"/>
        </w:trPr>
        <w:tc>
          <w:tcPr>
            <w:tcW w:w="870" w:type="dxa"/>
            <w:tcBorders>
              <w:top w:val="nil"/>
              <w:bottom w:val="single" w:sz="4" w:space="0" w:color="auto"/>
            </w:tcBorders>
          </w:tcPr>
          <w:p w14:paraId="4D0A5A7A"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p>
        </w:tc>
        <w:tc>
          <w:tcPr>
            <w:tcW w:w="3520" w:type="dxa"/>
            <w:tcBorders>
              <w:top w:val="nil"/>
              <w:bottom w:val="single" w:sz="4" w:space="0" w:color="auto"/>
            </w:tcBorders>
          </w:tcPr>
          <w:p w14:paraId="67BC5B34"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29ED278A" w14:textId="77777777" w:rsidR="005C6F5A" w:rsidRPr="00C63262" w:rsidRDefault="005C6F5A" w:rsidP="005C6F5A">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Gemaima Joy B. Aloncagay</w:t>
            </w:r>
          </w:p>
        </w:tc>
        <w:tc>
          <w:tcPr>
            <w:tcW w:w="993" w:type="dxa"/>
            <w:noWrap/>
            <w:hideMark/>
          </w:tcPr>
          <w:p w14:paraId="0A12959B"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0601FED4"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5C6F5A" w:rsidRPr="00C63262" w14:paraId="78B03DEC" w14:textId="77777777" w:rsidTr="002517B7">
        <w:trPr>
          <w:trHeight w:val="300"/>
        </w:trPr>
        <w:tc>
          <w:tcPr>
            <w:tcW w:w="870" w:type="dxa"/>
            <w:tcBorders>
              <w:bottom w:val="nil"/>
            </w:tcBorders>
          </w:tcPr>
          <w:p w14:paraId="12568743"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p>
        </w:tc>
        <w:tc>
          <w:tcPr>
            <w:tcW w:w="3520" w:type="dxa"/>
            <w:tcBorders>
              <w:bottom w:val="nil"/>
            </w:tcBorders>
          </w:tcPr>
          <w:p w14:paraId="49BDFBAC"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6DC20E32" w14:textId="77777777" w:rsidR="005C6F5A" w:rsidRPr="00C63262" w:rsidRDefault="005C6F5A" w:rsidP="005C6F5A">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Marde V. Alian</w:t>
            </w:r>
          </w:p>
        </w:tc>
        <w:tc>
          <w:tcPr>
            <w:tcW w:w="993" w:type="dxa"/>
            <w:noWrap/>
            <w:hideMark/>
          </w:tcPr>
          <w:p w14:paraId="48A7962A"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6038A8CA"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5C6F5A" w:rsidRPr="00C63262" w14:paraId="15B272FC" w14:textId="77777777" w:rsidTr="002517B7">
        <w:trPr>
          <w:trHeight w:val="300"/>
        </w:trPr>
        <w:tc>
          <w:tcPr>
            <w:tcW w:w="870" w:type="dxa"/>
            <w:tcBorders>
              <w:top w:val="nil"/>
              <w:bottom w:val="single" w:sz="4" w:space="0" w:color="auto"/>
            </w:tcBorders>
          </w:tcPr>
          <w:p w14:paraId="32F6A1EF"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p>
        </w:tc>
        <w:tc>
          <w:tcPr>
            <w:tcW w:w="3520" w:type="dxa"/>
            <w:tcBorders>
              <w:top w:val="nil"/>
              <w:bottom w:val="single" w:sz="4" w:space="0" w:color="auto"/>
            </w:tcBorders>
          </w:tcPr>
          <w:p w14:paraId="5CC67BD1"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37935506" w14:textId="77777777" w:rsidR="005C6F5A" w:rsidRPr="00C63262" w:rsidRDefault="005C6F5A" w:rsidP="005C6F5A">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Gina J. Dela Cruz</w:t>
            </w:r>
          </w:p>
        </w:tc>
        <w:tc>
          <w:tcPr>
            <w:tcW w:w="993" w:type="dxa"/>
            <w:noWrap/>
            <w:hideMark/>
          </w:tcPr>
          <w:p w14:paraId="2A3195EE"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4B51A1A1"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Principal</w:t>
            </w:r>
          </w:p>
        </w:tc>
      </w:tr>
      <w:tr w:rsidR="005C6F5A" w:rsidRPr="00C63262" w14:paraId="5A71B6B1" w14:textId="77777777" w:rsidTr="002517B7">
        <w:trPr>
          <w:trHeight w:val="300"/>
        </w:trPr>
        <w:tc>
          <w:tcPr>
            <w:tcW w:w="870" w:type="dxa"/>
            <w:tcBorders>
              <w:bottom w:val="nil"/>
            </w:tcBorders>
          </w:tcPr>
          <w:p w14:paraId="55B6F0A1" w14:textId="515EBD0C"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115187</w:t>
            </w:r>
          </w:p>
        </w:tc>
        <w:tc>
          <w:tcPr>
            <w:tcW w:w="3520" w:type="dxa"/>
            <w:tcBorders>
              <w:bottom w:val="nil"/>
            </w:tcBorders>
          </w:tcPr>
          <w:p w14:paraId="6D8206AE" w14:textId="4F035A19"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snapToGrid w:val="0"/>
                <w:color w:val="000000"/>
                <w:sz w:val="20"/>
                <w:szCs w:val="20"/>
                <w:lang w:val="en-US"/>
              </w:rPr>
              <w:t>Tamayoc Elementary School</w:t>
            </w:r>
          </w:p>
        </w:tc>
        <w:tc>
          <w:tcPr>
            <w:tcW w:w="2409" w:type="dxa"/>
            <w:noWrap/>
            <w:hideMark/>
          </w:tcPr>
          <w:p w14:paraId="3AD5048E" w14:textId="77777777" w:rsidR="005C6F5A" w:rsidRPr="00C63262" w:rsidRDefault="005C6F5A" w:rsidP="005C6F5A">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Vilma A. Valdez</w:t>
            </w:r>
          </w:p>
        </w:tc>
        <w:tc>
          <w:tcPr>
            <w:tcW w:w="993" w:type="dxa"/>
            <w:noWrap/>
            <w:hideMark/>
          </w:tcPr>
          <w:p w14:paraId="191C9ABF"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79695F16"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5C6F5A" w:rsidRPr="00C63262" w14:paraId="3EC171B2" w14:textId="77777777" w:rsidTr="002517B7">
        <w:trPr>
          <w:trHeight w:val="300"/>
        </w:trPr>
        <w:tc>
          <w:tcPr>
            <w:tcW w:w="870" w:type="dxa"/>
            <w:tcBorders>
              <w:top w:val="nil"/>
              <w:bottom w:val="nil"/>
            </w:tcBorders>
          </w:tcPr>
          <w:p w14:paraId="636D0384"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p>
        </w:tc>
        <w:tc>
          <w:tcPr>
            <w:tcW w:w="3520" w:type="dxa"/>
            <w:tcBorders>
              <w:top w:val="nil"/>
              <w:bottom w:val="nil"/>
            </w:tcBorders>
          </w:tcPr>
          <w:p w14:paraId="61FAA257"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6C00E545" w14:textId="77777777" w:rsidR="005C6F5A" w:rsidRPr="00C63262" w:rsidRDefault="005C6F5A" w:rsidP="005C6F5A">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Georgie B. Sepaspe</w:t>
            </w:r>
          </w:p>
        </w:tc>
        <w:tc>
          <w:tcPr>
            <w:tcW w:w="993" w:type="dxa"/>
            <w:noWrap/>
            <w:hideMark/>
          </w:tcPr>
          <w:p w14:paraId="79687ADA"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M</w:t>
            </w:r>
          </w:p>
        </w:tc>
        <w:tc>
          <w:tcPr>
            <w:tcW w:w="2835" w:type="dxa"/>
          </w:tcPr>
          <w:p w14:paraId="383E07E3"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5C6F5A" w:rsidRPr="00C63262" w14:paraId="28DFC22A" w14:textId="77777777" w:rsidTr="002517B7">
        <w:trPr>
          <w:trHeight w:val="300"/>
        </w:trPr>
        <w:tc>
          <w:tcPr>
            <w:tcW w:w="870" w:type="dxa"/>
            <w:tcBorders>
              <w:top w:val="nil"/>
              <w:bottom w:val="nil"/>
            </w:tcBorders>
          </w:tcPr>
          <w:p w14:paraId="1FE51E9C"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p>
        </w:tc>
        <w:tc>
          <w:tcPr>
            <w:tcW w:w="3520" w:type="dxa"/>
            <w:tcBorders>
              <w:top w:val="nil"/>
              <w:bottom w:val="nil"/>
            </w:tcBorders>
          </w:tcPr>
          <w:p w14:paraId="1765282D"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0EE650D6" w14:textId="77777777" w:rsidR="005C6F5A" w:rsidRPr="00C63262" w:rsidRDefault="005C6F5A" w:rsidP="005C6F5A">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Dolores T. Orticio</w:t>
            </w:r>
          </w:p>
        </w:tc>
        <w:tc>
          <w:tcPr>
            <w:tcW w:w="993" w:type="dxa"/>
            <w:noWrap/>
            <w:hideMark/>
          </w:tcPr>
          <w:p w14:paraId="34B7E2B5"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0D80FFBE"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5C6F5A" w:rsidRPr="00C63262" w14:paraId="3B58B041" w14:textId="77777777" w:rsidTr="002517B7">
        <w:trPr>
          <w:trHeight w:val="300"/>
        </w:trPr>
        <w:tc>
          <w:tcPr>
            <w:tcW w:w="870" w:type="dxa"/>
            <w:tcBorders>
              <w:top w:val="nil"/>
            </w:tcBorders>
          </w:tcPr>
          <w:p w14:paraId="2156B138"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p>
        </w:tc>
        <w:tc>
          <w:tcPr>
            <w:tcW w:w="3520" w:type="dxa"/>
            <w:tcBorders>
              <w:top w:val="nil"/>
            </w:tcBorders>
          </w:tcPr>
          <w:p w14:paraId="1B375526"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38188502" w14:textId="77777777" w:rsidR="005C6F5A" w:rsidRPr="00C63262" w:rsidRDefault="005C6F5A" w:rsidP="005C6F5A">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Anabel A. Otico</w:t>
            </w:r>
          </w:p>
        </w:tc>
        <w:tc>
          <w:tcPr>
            <w:tcW w:w="993" w:type="dxa"/>
            <w:noWrap/>
            <w:hideMark/>
          </w:tcPr>
          <w:p w14:paraId="1FB37685"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42D68929" w14:textId="77777777" w:rsidR="005C6F5A" w:rsidRPr="00C63262" w:rsidRDefault="005C6F5A" w:rsidP="005C6F5A">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Principal</w:t>
            </w:r>
          </w:p>
        </w:tc>
      </w:tr>
    </w:tbl>
    <w:p w14:paraId="181EDAB8" w14:textId="51F22FB4" w:rsidR="00252BAD" w:rsidRDefault="00252BAD"/>
    <w:tbl>
      <w:tblPr>
        <w:tblStyle w:val="TableGrid1"/>
        <w:tblW w:w="10627" w:type="dxa"/>
        <w:tblLook w:val="04A0" w:firstRow="1" w:lastRow="0" w:firstColumn="1" w:lastColumn="0" w:noHBand="0" w:noVBand="1"/>
      </w:tblPr>
      <w:tblGrid>
        <w:gridCol w:w="4390"/>
        <w:gridCol w:w="2409"/>
        <w:gridCol w:w="993"/>
        <w:gridCol w:w="2835"/>
      </w:tblGrid>
      <w:tr w:rsidR="00AE10A8" w:rsidRPr="00C63262" w14:paraId="6BDADB6A" w14:textId="77777777" w:rsidTr="00F4751F">
        <w:trPr>
          <w:trHeight w:val="300"/>
          <w:tblHeader/>
        </w:trPr>
        <w:tc>
          <w:tcPr>
            <w:tcW w:w="4390" w:type="dxa"/>
            <w:tcBorders>
              <w:bottom w:val="nil"/>
            </w:tcBorders>
          </w:tcPr>
          <w:p w14:paraId="00D490EE" w14:textId="0E16E646" w:rsidR="00AE10A8" w:rsidRPr="00C63262" w:rsidRDefault="00AE10A8" w:rsidP="00FE3CDC">
            <w:pPr>
              <w:spacing w:before="100" w:beforeAutospacing="1" w:after="100" w:afterAutospacing="1" w:line="360" w:lineRule="auto"/>
              <w:rPr>
                <w:rFonts w:asciiTheme="majorHAnsi" w:hAnsiTheme="majorHAnsi" w:cstheme="majorHAnsi"/>
                <w:sz w:val="20"/>
                <w:szCs w:val="20"/>
                <w:lang w:val="en-US"/>
              </w:rPr>
            </w:pPr>
            <w:r>
              <w:rPr>
                <w:rFonts w:asciiTheme="majorHAnsi" w:hAnsiTheme="majorHAnsi" w:cstheme="majorHAnsi"/>
                <w:sz w:val="20"/>
                <w:szCs w:val="20"/>
                <w:lang w:val="en-US"/>
              </w:rPr>
              <w:t>Schools/Office</w:t>
            </w:r>
          </w:p>
        </w:tc>
        <w:tc>
          <w:tcPr>
            <w:tcW w:w="2409" w:type="dxa"/>
            <w:noWrap/>
          </w:tcPr>
          <w:p w14:paraId="75C8AD42" w14:textId="33CAFD07" w:rsidR="00AE10A8" w:rsidRPr="00C63262" w:rsidRDefault="00AE10A8" w:rsidP="00F4751F">
            <w:pPr>
              <w:widowControl w:val="0"/>
              <w:spacing w:before="100" w:beforeAutospacing="1" w:after="100" w:afterAutospacing="1" w:line="360" w:lineRule="auto"/>
              <w:ind w:left="360"/>
              <w:rPr>
                <w:rFonts w:asciiTheme="majorHAnsi" w:hAnsiTheme="majorHAnsi" w:cstheme="majorHAnsi"/>
                <w:snapToGrid w:val="0"/>
                <w:color w:val="000000"/>
                <w:sz w:val="20"/>
                <w:szCs w:val="20"/>
                <w:lang w:val="en-US"/>
              </w:rPr>
            </w:pPr>
            <w:r>
              <w:rPr>
                <w:rFonts w:asciiTheme="majorHAnsi" w:hAnsiTheme="majorHAnsi" w:cstheme="majorHAnsi"/>
                <w:snapToGrid w:val="0"/>
                <w:color w:val="000000"/>
                <w:sz w:val="20"/>
                <w:szCs w:val="20"/>
                <w:lang w:val="en-US"/>
              </w:rPr>
              <w:t>Participants</w:t>
            </w:r>
          </w:p>
        </w:tc>
        <w:tc>
          <w:tcPr>
            <w:tcW w:w="993" w:type="dxa"/>
            <w:noWrap/>
          </w:tcPr>
          <w:p w14:paraId="2EABC307" w14:textId="2FB3066F" w:rsidR="00AE10A8" w:rsidRPr="00C63262" w:rsidRDefault="00AE10A8" w:rsidP="00FE3CDC">
            <w:pPr>
              <w:spacing w:before="100" w:beforeAutospacing="1" w:after="100" w:afterAutospacing="1" w:line="360" w:lineRule="auto"/>
              <w:rPr>
                <w:rFonts w:asciiTheme="majorHAnsi" w:hAnsiTheme="majorHAnsi" w:cstheme="majorHAnsi"/>
                <w:color w:val="000000"/>
                <w:sz w:val="20"/>
                <w:szCs w:val="20"/>
                <w:lang w:val="en-US"/>
              </w:rPr>
            </w:pPr>
            <w:r>
              <w:rPr>
                <w:rFonts w:asciiTheme="majorHAnsi" w:hAnsiTheme="majorHAnsi" w:cstheme="majorHAnsi"/>
                <w:color w:val="000000"/>
                <w:sz w:val="20"/>
                <w:szCs w:val="20"/>
                <w:lang w:val="en-US"/>
              </w:rPr>
              <w:t>Sex</w:t>
            </w:r>
          </w:p>
        </w:tc>
        <w:tc>
          <w:tcPr>
            <w:tcW w:w="2835" w:type="dxa"/>
          </w:tcPr>
          <w:p w14:paraId="0E65A0EA" w14:textId="51FCFDA2" w:rsidR="00AE10A8" w:rsidRPr="00C63262" w:rsidRDefault="00AE10A8" w:rsidP="00FE3CDC">
            <w:pPr>
              <w:spacing w:before="100" w:beforeAutospacing="1" w:after="100" w:afterAutospacing="1" w:line="360" w:lineRule="auto"/>
              <w:rPr>
                <w:rFonts w:asciiTheme="majorHAnsi" w:hAnsiTheme="majorHAnsi" w:cstheme="majorHAnsi"/>
                <w:color w:val="000000"/>
                <w:sz w:val="20"/>
                <w:szCs w:val="20"/>
                <w:lang w:val="en-US"/>
              </w:rPr>
            </w:pPr>
            <w:r>
              <w:rPr>
                <w:rFonts w:asciiTheme="majorHAnsi" w:hAnsiTheme="majorHAnsi" w:cstheme="majorHAnsi"/>
                <w:color w:val="000000"/>
                <w:sz w:val="20"/>
                <w:szCs w:val="20"/>
                <w:lang w:val="en-US"/>
              </w:rPr>
              <w:t>Designation/Department</w:t>
            </w:r>
          </w:p>
        </w:tc>
      </w:tr>
      <w:tr w:rsidR="00FE3CDC" w:rsidRPr="00C63262" w14:paraId="38071A39" w14:textId="77777777" w:rsidTr="0016704F">
        <w:trPr>
          <w:trHeight w:val="300"/>
        </w:trPr>
        <w:tc>
          <w:tcPr>
            <w:tcW w:w="4390" w:type="dxa"/>
            <w:tcBorders>
              <w:bottom w:val="nil"/>
            </w:tcBorders>
          </w:tcPr>
          <w:p w14:paraId="55C9AE9D" w14:textId="77777777" w:rsidR="00FE3CDC" w:rsidRPr="00C63262" w:rsidRDefault="00FE3CDC" w:rsidP="00FE3CDC">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 </w:t>
            </w:r>
          </w:p>
          <w:p w14:paraId="353C9706"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DIVISION OFFICE-ILOILO CITY</w:t>
            </w:r>
          </w:p>
          <w:p w14:paraId="707AA0C9"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p>
          <w:p w14:paraId="3E9B812D" w14:textId="77777777" w:rsidR="00FE3CDC" w:rsidRPr="00C63262" w:rsidRDefault="00FE3CDC" w:rsidP="00FE3CDC">
            <w:pPr>
              <w:spacing w:before="100" w:beforeAutospacing="1" w:after="100" w:afterAutospacing="1" w:line="360" w:lineRule="auto"/>
              <w:rPr>
                <w:rFonts w:asciiTheme="majorHAnsi" w:hAnsiTheme="majorHAnsi" w:cstheme="majorHAnsi"/>
                <w:sz w:val="20"/>
                <w:szCs w:val="20"/>
                <w:lang w:val="en-US"/>
              </w:rPr>
            </w:pPr>
          </w:p>
        </w:tc>
        <w:tc>
          <w:tcPr>
            <w:tcW w:w="2409" w:type="dxa"/>
            <w:noWrap/>
            <w:hideMark/>
          </w:tcPr>
          <w:p w14:paraId="3C334661" w14:textId="77777777" w:rsidR="00FE3CDC" w:rsidRPr="00C63262" w:rsidRDefault="00FE3CDC" w:rsidP="00FE3CDC">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 xml:space="preserve">Ann Lovelle D. Faja </w:t>
            </w:r>
          </w:p>
        </w:tc>
        <w:tc>
          <w:tcPr>
            <w:tcW w:w="993" w:type="dxa"/>
            <w:noWrap/>
            <w:hideMark/>
          </w:tcPr>
          <w:p w14:paraId="161FBD73"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5AB39FD2"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Administrative Assistant /ADA VI</w:t>
            </w:r>
          </w:p>
        </w:tc>
      </w:tr>
      <w:tr w:rsidR="00FE3CDC" w:rsidRPr="00C63262" w14:paraId="68068631" w14:textId="77777777" w:rsidTr="0016704F">
        <w:trPr>
          <w:trHeight w:val="300"/>
        </w:trPr>
        <w:tc>
          <w:tcPr>
            <w:tcW w:w="4390" w:type="dxa"/>
            <w:tcBorders>
              <w:top w:val="nil"/>
              <w:bottom w:val="nil"/>
            </w:tcBorders>
          </w:tcPr>
          <w:p w14:paraId="5DDC7814"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4150A159" w14:textId="77777777" w:rsidR="00FE3CDC" w:rsidRPr="00C63262" w:rsidRDefault="00FE3CDC" w:rsidP="00FE3CDC">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 xml:space="preserve">Ruby Therese D. Almencion </w:t>
            </w:r>
          </w:p>
        </w:tc>
        <w:tc>
          <w:tcPr>
            <w:tcW w:w="993" w:type="dxa"/>
            <w:noWrap/>
            <w:hideMark/>
          </w:tcPr>
          <w:p w14:paraId="4D4ABB08"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46F60ABB"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Education Program Support I</w:t>
            </w:r>
          </w:p>
        </w:tc>
      </w:tr>
      <w:tr w:rsidR="00FE3CDC" w:rsidRPr="00C63262" w14:paraId="1CD7CCBD" w14:textId="77777777" w:rsidTr="0016704F">
        <w:trPr>
          <w:trHeight w:val="300"/>
        </w:trPr>
        <w:tc>
          <w:tcPr>
            <w:tcW w:w="4390" w:type="dxa"/>
            <w:tcBorders>
              <w:top w:val="nil"/>
              <w:bottom w:val="nil"/>
            </w:tcBorders>
          </w:tcPr>
          <w:p w14:paraId="400B1ED8"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6BB406E2" w14:textId="77777777" w:rsidR="00FE3CDC" w:rsidRPr="00C63262" w:rsidRDefault="00FE3CDC" w:rsidP="00FE3CDC">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Marites C. Capilitan</w:t>
            </w:r>
          </w:p>
        </w:tc>
        <w:tc>
          <w:tcPr>
            <w:tcW w:w="993" w:type="dxa"/>
            <w:noWrap/>
            <w:hideMark/>
          </w:tcPr>
          <w:p w14:paraId="7478F06D"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5EAC8E31"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Public Schools Division Supervisor</w:t>
            </w:r>
          </w:p>
        </w:tc>
      </w:tr>
      <w:tr w:rsidR="00FE3CDC" w:rsidRPr="00C63262" w14:paraId="185DFD79" w14:textId="77777777" w:rsidTr="0016704F">
        <w:trPr>
          <w:trHeight w:val="300"/>
        </w:trPr>
        <w:tc>
          <w:tcPr>
            <w:tcW w:w="4390" w:type="dxa"/>
            <w:tcBorders>
              <w:top w:val="nil"/>
            </w:tcBorders>
          </w:tcPr>
          <w:p w14:paraId="7E66B6D3"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3BB48135" w14:textId="77777777" w:rsidR="00FE3CDC" w:rsidRPr="00C63262" w:rsidRDefault="00FE3CDC" w:rsidP="00FE3CDC">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Gilbert D. Solidum</w:t>
            </w:r>
          </w:p>
        </w:tc>
        <w:tc>
          <w:tcPr>
            <w:tcW w:w="993" w:type="dxa"/>
            <w:noWrap/>
            <w:hideMark/>
          </w:tcPr>
          <w:p w14:paraId="16CD8F98"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M</w:t>
            </w:r>
          </w:p>
        </w:tc>
        <w:tc>
          <w:tcPr>
            <w:tcW w:w="2835" w:type="dxa"/>
          </w:tcPr>
          <w:p w14:paraId="670A7CAE"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CES-School Governance and Operations Division</w:t>
            </w:r>
          </w:p>
        </w:tc>
      </w:tr>
      <w:tr w:rsidR="00FE3CDC" w:rsidRPr="00C63262" w14:paraId="513553AC" w14:textId="77777777" w:rsidTr="0016704F">
        <w:trPr>
          <w:trHeight w:val="332"/>
        </w:trPr>
        <w:tc>
          <w:tcPr>
            <w:tcW w:w="4390" w:type="dxa"/>
            <w:tcBorders>
              <w:bottom w:val="single" w:sz="4" w:space="0" w:color="auto"/>
            </w:tcBorders>
          </w:tcPr>
          <w:p w14:paraId="2B773688"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sz w:val="20"/>
                <w:szCs w:val="20"/>
                <w:lang w:val="en-US"/>
              </w:rPr>
              <w:t> </w:t>
            </w:r>
            <w:r w:rsidRPr="00C63262">
              <w:rPr>
                <w:rFonts w:asciiTheme="majorHAnsi" w:hAnsiTheme="majorHAnsi" w:cstheme="majorHAnsi"/>
                <w:color w:val="000000"/>
                <w:sz w:val="20"/>
                <w:szCs w:val="20"/>
                <w:lang w:val="en-US"/>
              </w:rPr>
              <w:t>Dumangas-I District</w:t>
            </w:r>
          </w:p>
          <w:p w14:paraId="364E2E9E" w14:textId="77777777" w:rsidR="00FE3CDC" w:rsidRPr="00C63262" w:rsidRDefault="00FE3CDC" w:rsidP="00FE3CDC">
            <w:pPr>
              <w:spacing w:before="100" w:beforeAutospacing="1" w:after="100" w:afterAutospacing="1" w:line="360" w:lineRule="auto"/>
              <w:rPr>
                <w:rFonts w:asciiTheme="majorHAnsi" w:hAnsiTheme="majorHAnsi" w:cstheme="majorHAnsi"/>
                <w:sz w:val="20"/>
                <w:szCs w:val="20"/>
                <w:lang w:val="en-US"/>
              </w:rPr>
            </w:pPr>
          </w:p>
        </w:tc>
        <w:tc>
          <w:tcPr>
            <w:tcW w:w="2409" w:type="dxa"/>
            <w:noWrap/>
            <w:hideMark/>
          </w:tcPr>
          <w:p w14:paraId="5EE2BCD1" w14:textId="77777777" w:rsidR="00FE3CDC" w:rsidRPr="00C63262" w:rsidRDefault="00FE3CDC" w:rsidP="00FE3CDC">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Zaldy C. Quilantang</w:t>
            </w:r>
          </w:p>
          <w:p w14:paraId="3B728015"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p>
        </w:tc>
        <w:tc>
          <w:tcPr>
            <w:tcW w:w="993" w:type="dxa"/>
            <w:noWrap/>
            <w:hideMark/>
          </w:tcPr>
          <w:p w14:paraId="32A87D85"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M</w:t>
            </w:r>
          </w:p>
          <w:p w14:paraId="04E433A2"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p>
        </w:tc>
        <w:tc>
          <w:tcPr>
            <w:tcW w:w="2835" w:type="dxa"/>
          </w:tcPr>
          <w:p w14:paraId="419D78F0"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Public Schools Division Supervisor</w:t>
            </w:r>
          </w:p>
        </w:tc>
      </w:tr>
      <w:tr w:rsidR="00FE3CDC" w:rsidRPr="00C63262" w14:paraId="4E42E572" w14:textId="77777777" w:rsidTr="0016704F">
        <w:trPr>
          <w:trHeight w:val="300"/>
        </w:trPr>
        <w:tc>
          <w:tcPr>
            <w:tcW w:w="4390" w:type="dxa"/>
            <w:tcBorders>
              <w:bottom w:val="nil"/>
            </w:tcBorders>
          </w:tcPr>
          <w:p w14:paraId="1773CE75" w14:textId="77777777" w:rsidR="00FE3CDC" w:rsidRPr="00C63262" w:rsidRDefault="00FE3CDC" w:rsidP="00FE3CDC">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 </w:t>
            </w:r>
          </w:p>
          <w:p w14:paraId="50C42A2E"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SDO ILOILO</w:t>
            </w:r>
          </w:p>
          <w:p w14:paraId="10931216"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p>
          <w:p w14:paraId="434A4DF0" w14:textId="77777777" w:rsidR="00FE3CDC" w:rsidRPr="00C63262" w:rsidRDefault="00FE3CDC" w:rsidP="00FE3CDC">
            <w:pPr>
              <w:spacing w:before="100" w:beforeAutospacing="1" w:after="100" w:afterAutospacing="1" w:line="360" w:lineRule="auto"/>
              <w:rPr>
                <w:rFonts w:asciiTheme="majorHAnsi" w:hAnsiTheme="majorHAnsi" w:cstheme="majorHAnsi"/>
                <w:sz w:val="20"/>
                <w:szCs w:val="20"/>
                <w:lang w:val="en-US"/>
              </w:rPr>
            </w:pPr>
          </w:p>
        </w:tc>
        <w:tc>
          <w:tcPr>
            <w:tcW w:w="2409" w:type="dxa"/>
            <w:noWrap/>
            <w:hideMark/>
          </w:tcPr>
          <w:p w14:paraId="54D8D826" w14:textId="77777777" w:rsidR="00FE3CDC" w:rsidRPr="00C63262" w:rsidRDefault="00FE3CDC" w:rsidP="00FE3CDC">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Marites S. Capilitan</w:t>
            </w:r>
          </w:p>
        </w:tc>
        <w:tc>
          <w:tcPr>
            <w:tcW w:w="993" w:type="dxa"/>
            <w:noWrap/>
            <w:hideMark/>
          </w:tcPr>
          <w:p w14:paraId="1DE90DE9"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10C770E6"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Education Program Supervisor I</w:t>
            </w:r>
          </w:p>
        </w:tc>
      </w:tr>
      <w:tr w:rsidR="00FE3CDC" w:rsidRPr="00C63262" w14:paraId="2110EF69" w14:textId="77777777" w:rsidTr="0016704F">
        <w:trPr>
          <w:trHeight w:val="300"/>
        </w:trPr>
        <w:tc>
          <w:tcPr>
            <w:tcW w:w="4390" w:type="dxa"/>
            <w:tcBorders>
              <w:top w:val="nil"/>
              <w:bottom w:val="nil"/>
            </w:tcBorders>
          </w:tcPr>
          <w:p w14:paraId="53624150"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173AECF6" w14:textId="77777777" w:rsidR="00FE3CDC" w:rsidRPr="00C63262" w:rsidRDefault="00FE3CDC" w:rsidP="00FE3CDC">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Ruby Therese P. Almencion</w:t>
            </w:r>
          </w:p>
        </w:tc>
        <w:tc>
          <w:tcPr>
            <w:tcW w:w="993" w:type="dxa"/>
            <w:noWrap/>
            <w:hideMark/>
          </w:tcPr>
          <w:p w14:paraId="4AA14EF1"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295E4885"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Education Program Supervisor I</w:t>
            </w:r>
          </w:p>
        </w:tc>
      </w:tr>
      <w:tr w:rsidR="00FE3CDC" w:rsidRPr="00C63262" w14:paraId="799ECCB6" w14:textId="77777777" w:rsidTr="0016704F">
        <w:trPr>
          <w:trHeight w:val="300"/>
        </w:trPr>
        <w:tc>
          <w:tcPr>
            <w:tcW w:w="4390" w:type="dxa"/>
            <w:tcBorders>
              <w:top w:val="nil"/>
              <w:bottom w:val="nil"/>
            </w:tcBorders>
          </w:tcPr>
          <w:p w14:paraId="6FFE8643"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7486815F" w14:textId="77777777" w:rsidR="00FE3CDC" w:rsidRPr="00C63262" w:rsidRDefault="00FE3CDC" w:rsidP="00FE3CDC">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Kim S. Arceňa</w:t>
            </w:r>
          </w:p>
        </w:tc>
        <w:tc>
          <w:tcPr>
            <w:tcW w:w="993" w:type="dxa"/>
            <w:noWrap/>
            <w:hideMark/>
          </w:tcPr>
          <w:p w14:paraId="671E0A5A"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06800DD1"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Education Program Supervisor I</w:t>
            </w:r>
          </w:p>
        </w:tc>
      </w:tr>
      <w:tr w:rsidR="00FE3CDC" w:rsidRPr="00C63262" w14:paraId="21C019C5" w14:textId="77777777" w:rsidTr="0016704F">
        <w:trPr>
          <w:trHeight w:val="300"/>
        </w:trPr>
        <w:tc>
          <w:tcPr>
            <w:tcW w:w="4390" w:type="dxa"/>
            <w:tcBorders>
              <w:top w:val="nil"/>
            </w:tcBorders>
          </w:tcPr>
          <w:p w14:paraId="6EC0DE9E"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5E6C17EF" w14:textId="77777777" w:rsidR="00FE3CDC" w:rsidRPr="00C63262" w:rsidRDefault="00FE3CDC" w:rsidP="00FE3CDC">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Ruben S. Libutaquo</w:t>
            </w:r>
          </w:p>
        </w:tc>
        <w:tc>
          <w:tcPr>
            <w:tcW w:w="993" w:type="dxa"/>
            <w:noWrap/>
            <w:hideMark/>
          </w:tcPr>
          <w:p w14:paraId="73DF2235"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M</w:t>
            </w:r>
          </w:p>
        </w:tc>
        <w:tc>
          <w:tcPr>
            <w:tcW w:w="2835" w:type="dxa"/>
          </w:tcPr>
          <w:p w14:paraId="52304B28"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OIC Curriculum Implementation Division</w:t>
            </w:r>
          </w:p>
        </w:tc>
      </w:tr>
      <w:tr w:rsidR="00FE3CDC" w:rsidRPr="00C63262" w14:paraId="3A6F2E00" w14:textId="77777777" w:rsidTr="0016704F">
        <w:trPr>
          <w:trHeight w:val="300"/>
        </w:trPr>
        <w:tc>
          <w:tcPr>
            <w:tcW w:w="4390" w:type="dxa"/>
            <w:tcBorders>
              <w:bottom w:val="single" w:sz="4" w:space="0" w:color="auto"/>
            </w:tcBorders>
          </w:tcPr>
          <w:p w14:paraId="752994A1" w14:textId="77777777" w:rsidR="00FE3CDC" w:rsidRPr="00C63262" w:rsidRDefault="00FE3CDC" w:rsidP="00FE3CDC">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color w:val="000000"/>
                <w:sz w:val="20"/>
                <w:szCs w:val="20"/>
                <w:lang w:val="en-US"/>
              </w:rPr>
              <w:t>Division Office -Antique</w:t>
            </w:r>
          </w:p>
          <w:p w14:paraId="5737DEFF"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p>
          <w:p w14:paraId="1572B5E1"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p>
          <w:p w14:paraId="6CB83906"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p>
          <w:p w14:paraId="72709589"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p>
          <w:p w14:paraId="336AFFAC"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2E5E06BD" w14:textId="77777777" w:rsidR="00FE3CDC" w:rsidRPr="00C63262" w:rsidRDefault="00FE3CDC" w:rsidP="00FE3CDC">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Evelyn C. Rento</w:t>
            </w:r>
          </w:p>
        </w:tc>
        <w:tc>
          <w:tcPr>
            <w:tcW w:w="993" w:type="dxa"/>
            <w:noWrap/>
            <w:hideMark/>
          </w:tcPr>
          <w:p w14:paraId="683558B3"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6198B546"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CES</w:t>
            </w:r>
          </w:p>
        </w:tc>
      </w:tr>
      <w:tr w:rsidR="00FE3CDC" w:rsidRPr="00C63262" w14:paraId="13C5E3C1" w14:textId="77777777" w:rsidTr="0016704F">
        <w:trPr>
          <w:trHeight w:val="300"/>
        </w:trPr>
        <w:tc>
          <w:tcPr>
            <w:tcW w:w="4390" w:type="dxa"/>
            <w:tcBorders>
              <w:bottom w:val="nil"/>
            </w:tcBorders>
          </w:tcPr>
          <w:p w14:paraId="1B868640"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1C388058" w14:textId="77777777" w:rsidR="00FE3CDC" w:rsidRPr="00C63262" w:rsidRDefault="00FE3CDC" w:rsidP="00FE3CDC">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Ma. Teresa S. Tunguia</w:t>
            </w:r>
          </w:p>
        </w:tc>
        <w:tc>
          <w:tcPr>
            <w:tcW w:w="993" w:type="dxa"/>
            <w:noWrap/>
            <w:hideMark/>
          </w:tcPr>
          <w:p w14:paraId="3EA077C0"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2D1EDB0A"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Education Program Supervisor</w:t>
            </w:r>
          </w:p>
        </w:tc>
      </w:tr>
      <w:tr w:rsidR="00FE3CDC" w:rsidRPr="00C63262" w14:paraId="6C6091EA" w14:textId="77777777" w:rsidTr="0016704F">
        <w:trPr>
          <w:trHeight w:val="300"/>
        </w:trPr>
        <w:tc>
          <w:tcPr>
            <w:tcW w:w="4390" w:type="dxa"/>
            <w:tcBorders>
              <w:top w:val="nil"/>
              <w:bottom w:val="nil"/>
            </w:tcBorders>
          </w:tcPr>
          <w:p w14:paraId="2DBCB1DA"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24CC59C5" w14:textId="77777777" w:rsidR="00FE3CDC" w:rsidRPr="00C63262" w:rsidRDefault="00FE3CDC" w:rsidP="00FE3CDC">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Rosemay C. Bello</w:t>
            </w:r>
          </w:p>
        </w:tc>
        <w:tc>
          <w:tcPr>
            <w:tcW w:w="993" w:type="dxa"/>
            <w:noWrap/>
            <w:hideMark/>
          </w:tcPr>
          <w:p w14:paraId="4E9C9130"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677AC83C"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Senior Education Program Specialist</w:t>
            </w:r>
          </w:p>
        </w:tc>
      </w:tr>
      <w:tr w:rsidR="00FE3CDC" w:rsidRPr="00C63262" w14:paraId="3C48387C" w14:textId="77777777" w:rsidTr="0016704F">
        <w:trPr>
          <w:trHeight w:val="300"/>
        </w:trPr>
        <w:tc>
          <w:tcPr>
            <w:tcW w:w="4390" w:type="dxa"/>
            <w:tcBorders>
              <w:top w:val="nil"/>
              <w:bottom w:val="nil"/>
            </w:tcBorders>
          </w:tcPr>
          <w:p w14:paraId="68068E5E"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308E0854" w14:textId="77777777" w:rsidR="00FE3CDC" w:rsidRPr="00C63262" w:rsidRDefault="00FE3CDC" w:rsidP="00FE3CDC">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Gaudencio C. Riego</w:t>
            </w:r>
          </w:p>
        </w:tc>
        <w:tc>
          <w:tcPr>
            <w:tcW w:w="993" w:type="dxa"/>
            <w:noWrap/>
            <w:hideMark/>
          </w:tcPr>
          <w:p w14:paraId="53E24300"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M</w:t>
            </w:r>
          </w:p>
        </w:tc>
        <w:tc>
          <w:tcPr>
            <w:tcW w:w="2835" w:type="dxa"/>
          </w:tcPr>
          <w:p w14:paraId="2A313197"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CES-Curriculum Implementation Division</w:t>
            </w:r>
          </w:p>
        </w:tc>
      </w:tr>
      <w:tr w:rsidR="00FE3CDC" w:rsidRPr="00C63262" w14:paraId="44D1FEC9" w14:textId="77777777" w:rsidTr="0016704F">
        <w:trPr>
          <w:trHeight w:val="300"/>
        </w:trPr>
        <w:tc>
          <w:tcPr>
            <w:tcW w:w="4390" w:type="dxa"/>
            <w:tcBorders>
              <w:top w:val="nil"/>
              <w:bottom w:val="nil"/>
            </w:tcBorders>
          </w:tcPr>
          <w:p w14:paraId="441A073D"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0D7B49D5" w14:textId="77777777" w:rsidR="00FE3CDC" w:rsidRPr="00C63262" w:rsidRDefault="00FE3CDC" w:rsidP="00FE3CDC">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Benito G. Baclagon, Jr</w:t>
            </w:r>
          </w:p>
        </w:tc>
        <w:tc>
          <w:tcPr>
            <w:tcW w:w="993" w:type="dxa"/>
            <w:noWrap/>
            <w:hideMark/>
          </w:tcPr>
          <w:p w14:paraId="4DCC18EA"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M</w:t>
            </w:r>
          </w:p>
        </w:tc>
        <w:tc>
          <w:tcPr>
            <w:tcW w:w="2835" w:type="dxa"/>
          </w:tcPr>
          <w:p w14:paraId="29E4AD1D"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Administrator / AD V</w:t>
            </w:r>
          </w:p>
        </w:tc>
      </w:tr>
      <w:tr w:rsidR="00FE3CDC" w:rsidRPr="00C63262" w14:paraId="6C4F14AC" w14:textId="77777777" w:rsidTr="0016704F">
        <w:trPr>
          <w:trHeight w:val="300"/>
        </w:trPr>
        <w:tc>
          <w:tcPr>
            <w:tcW w:w="4390" w:type="dxa"/>
            <w:tcBorders>
              <w:top w:val="nil"/>
              <w:bottom w:val="nil"/>
            </w:tcBorders>
          </w:tcPr>
          <w:p w14:paraId="183184EF"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6F8FDD9D" w14:textId="77777777" w:rsidR="00FE3CDC" w:rsidRPr="00C63262" w:rsidRDefault="00FE3CDC" w:rsidP="00FE3CDC">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Grace S. Genovati</w:t>
            </w:r>
          </w:p>
        </w:tc>
        <w:tc>
          <w:tcPr>
            <w:tcW w:w="993" w:type="dxa"/>
            <w:noWrap/>
            <w:hideMark/>
          </w:tcPr>
          <w:p w14:paraId="7D35D268"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14D5E216"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Administrator/AD IV</w:t>
            </w:r>
          </w:p>
        </w:tc>
      </w:tr>
      <w:tr w:rsidR="00FE3CDC" w:rsidRPr="00C63262" w14:paraId="6DE28F7D" w14:textId="77777777" w:rsidTr="0016704F">
        <w:trPr>
          <w:trHeight w:val="300"/>
        </w:trPr>
        <w:tc>
          <w:tcPr>
            <w:tcW w:w="4390" w:type="dxa"/>
            <w:tcBorders>
              <w:top w:val="nil"/>
              <w:bottom w:val="nil"/>
            </w:tcBorders>
          </w:tcPr>
          <w:p w14:paraId="27C23512"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0CAAAB3E" w14:textId="77777777" w:rsidR="00FE3CDC" w:rsidRPr="00C63262" w:rsidRDefault="00FE3CDC" w:rsidP="00FE3CDC">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 xml:space="preserve">Geoffrey Basilio </w:t>
            </w:r>
          </w:p>
        </w:tc>
        <w:tc>
          <w:tcPr>
            <w:tcW w:w="993" w:type="dxa"/>
            <w:noWrap/>
            <w:hideMark/>
          </w:tcPr>
          <w:p w14:paraId="0A782DB6"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M</w:t>
            </w:r>
          </w:p>
        </w:tc>
        <w:tc>
          <w:tcPr>
            <w:tcW w:w="2835" w:type="dxa"/>
          </w:tcPr>
          <w:p w14:paraId="3F7E5DD5"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Senior Education Program Specialist</w:t>
            </w:r>
          </w:p>
        </w:tc>
      </w:tr>
      <w:tr w:rsidR="00FE3CDC" w:rsidRPr="00C63262" w14:paraId="2CB18076" w14:textId="77777777" w:rsidTr="0016704F">
        <w:trPr>
          <w:trHeight w:val="300"/>
        </w:trPr>
        <w:tc>
          <w:tcPr>
            <w:tcW w:w="4390" w:type="dxa"/>
            <w:tcBorders>
              <w:top w:val="nil"/>
              <w:bottom w:val="nil"/>
            </w:tcBorders>
          </w:tcPr>
          <w:p w14:paraId="58A93D7F"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662A970F" w14:textId="77777777" w:rsidR="00FE3CDC" w:rsidRPr="00C63262" w:rsidRDefault="00FE3CDC" w:rsidP="00FE3CDC">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Schubert Anthony C. Sialongo</w:t>
            </w:r>
          </w:p>
        </w:tc>
        <w:tc>
          <w:tcPr>
            <w:tcW w:w="993" w:type="dxa"/>
            <w:noWrap/>
            <w:hideMark/>
          </w:tcPr>
          <w:p w14:paraId="0AF1F604"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M</w:t>
            </w:r>
          </w:p>
        </w:tc>
        <w:tc>
          <w:tcPr>
            <w:tcW w:w="2835" w:type="dxa"/>
          </w:tcPr>
          <w:p w14:paraId="7F77A994"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Education Program Supervisor - LRMDS</w:t>
            </w:r>
          </w:p>
        </w:tc>
      </w:tr>
      <w:tr w:rsidR="00FE3CDC" w:rsidRPr="00C63262" w14:paraId="279496B6" w14:textId="77777777" w:rsidTr="0016704F">
        <w:trPr>
          <w:trHeight w:val="300"/>
        </w:trPr>
        <w:tc>
          <w:tcPr>
            <w:tcW w:w="4390" w:type="dxa"/>
            <w:tcBorders>
              <w:top w:val="nil"/>
              <w:bottom w:val="single" w:sz="4" w:space="0" w:color="auto"/>
            </w:tcBorders>
          </w:tcPr>
          <w:p w14:paraId="54DE88C9" w14:textId="77777777" w:rsidR="00FE3CDC" w:rsidRPr="00C63262" w:rsidRDefault="00FE3CDC" w:rsidP="0016704F">
            <w:pPr>
              <w:widowControl w:val="0"/>
              <w:spacing w:before="100" w:beforeAutospacing="1" w:after="100" w:afterAutospacing="1" w:line="360" w:lineRule="auto"/>
              <w:ind w:left="360"/>
              <w:rPr>
                <w:rFonts w:asciiTheme="majorHAnsi" w:hAnsiTheme="majorHAnsi" w:cstheme="majorHAnsi"/>
                <w:snapToGrid w:val="0"/>
                <w:color w:val="000000"/>
                <w:sz w:val="20"/>
                <w:szCs w:val="20"/>
                <w:lang w:val="en-US"/>
              </w:rPr>
            </w:pPr>
          </w:p>
        </w:tc>
        <w:tc>
          <w:tcPr>
            <w:tcW w:w="2409" w:type="dxa"/>
            <w:noWrap/>
            <w:hideMark/>
          </w:tcPr>
          <w:p w14:paraId="1FD9DE9A" w14:textId="77777777" w:rsidR="00FE3CDC" w:rsidRPr="00C63262" w:rsidRDefault="00FE3CDC" w:rsidP="00FE3CDC">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Jenie Jacaba</w:t>
            </w:r>
          </w:p>
        </w:tc>
        <w:tc>
          <w:tcPr>
            <w:tcW w:w="993" w:type="dxa"/>
            <w:noWrap/>
            <w:hideMark/>
          </w:tcPr>
          <w:p w14:paraId="043D785D"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453F4706"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Administrative Assistant / ADAS III</w:t>
            </w:r>
          </w:p>
        </w:tc>
      </w:tr>
      <w:tr w:rsidR="00FE3CDC" w:rsidRPr="00C63262" w14:paraId="571078FE" w14:textId="77777777" w:rsidTr="0016704F">
        <w:trPr>
          <w:trHeight w:val="300"/>
        </w:trPr>
        <w:tc>
          <w:tcPr>
            <w:tcW w:w="4390" w:type="dxa"/>
            <w:tcBorders>
              <w:bottom w:val="nil"/>
            </w:tcBorders>
          </w:tcPr>
          <w:p w14:paraId="64259A6F" w14:textId="77777777" w:rsidR="00FE3CDC" w:rsidRPr="00C63262" w:rsidRDefault="00FE3CDC" w:rsidP="00FE3CDC">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color w:val="000000"/>
                <w:sz w:val="20"/>
                <w:szCs w:val="20"/>
                <w:lang w:val="en-US"/>
              </w:rPr>
              <w:t>Regional Office -Iloilo City</w:t>
            </w:r>
          </w:p>
          <w:p w14:paraId="11A2834C"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p>
          <w:p w14:paraId="2293AE76"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p>
          <w:p w14:paraId="1698B305"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p>
          <w:p w14:paraId="7B188B99"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p>
          <w:p w14:paraId="4E4CD0F7"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6B59E9DC" w14:textId="77777777" w:rsidR="00FE3CDC" w:rsidRPr="00C63262" w:rsidRDefault="00FE3CDC" w:rsidP="00FE3CDC">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Donato G. Delgado</w:t>
            </w:r>
          </w:p>
        </w:tc>
        <w:tc>
          <w:tcPr>
            <w:tcW w:w="993" w:type="dxa"/>
            <w:noWrap/>
            <w:hideMark/>
          </w:tcPr>
          <w:p w14:paraId="736D830C"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M</w:t>
            </w:r>
          </w:p>
        </w:tc>
        <w:tc>
          <w:tcPr>
            <w:tcW w:w="2835" w:type="dxa"/>
          </w:tcPr>
          <w:p w14:paraId="4B495360"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Chief, Quality Assurance Division</w:t>
            </w:r>
          </w:p>
        </w:tc>
      </w:tr>
      <w:tr w:rsidR="00FE3CDC" w:rsidRPr="00C63262" w14:paraId="0F96E2DB" w14:textId="77777777" w:rsidTr="0016704F">
        <w:trPr>
          <w:trHeight w:val="300"/>
        </w:trPr>
        <w:tc>
          <w:tcPr>
            <w:tcW w:w="4390" w:type="dxa"/>
            <w:tcBorders>
              <w:top w:val="nil"/>
              <w:bottom w:val="nil"/>
            </w:tcBorders>
          </w:tcPr>
          <w:p w14:paraId="60C77AD8"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19F76B82" w14:textId="77777777" w:rsidR="00FE3CDC" w:rsidRPr="00C63262" w:rsidRDefault="00FE3CDC" w:rsidP="00FE3CDC">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Eulah L. Acosta</w:t>
            </w:r>
          </w:p>
        </w:tc>
        <w:tc>
          <w:tcPr>
            <w:tcW w:w="993" w:type="dxa"/>
            <w:noWrap/>
            <w:hideMark/>
          </w:tcPr>
          <w:p w14:paraId="43E41FC3"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21A344E6"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Education Program Supervisor II - Policy, Planning and Research Division</w:t>
            </w:r>
          </w:p>
        </w:tc>
      </w:tr>
      <w:tr w:rsidR="00FE3CDC" w:rsidRPr="00C63262" w14:paraId="23A48383" w14:textId="77777777" w:rsidTr="0016704F">
        <w:trPr>
          <w:trHeight w:val="300"/>
        </w:trPr>
        <w:tc>
          <w:tcPr>
            <w:tcW w:w="4390" w:type="dxa"/>
            <w:tcBorders>
              <w:top w:val="nil"/>
              <w:bottom w:val="nil"/>
            </w:tcBorders>
          </w:tcPr>
          <w:p w14:paraId="4050C600"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7CF1AA93" w14:textId="77777777" w:rsidR="00FE3CDC" w:rsidRPr="00C63262" w:rsidRDefault="00FE3CDC" w:rsidP="00FE3CDC">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Donald T. Genine</w:t>
            </w:r>
          </w:p>
        </w:tc>
        <w:tc>
          <w:tcPr>
            <w:tcW w:w="993" w:type="dxa"/>
            <w:noWrap/>
            <w:hideMark/>
          </w:tcPr>
          <w:p w14:paraId="5E29D119"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M</w:t>
            </w:r>
          </w:p>
        </w:tc>
        <w:tc>
          <w:tcPr>
            <w:tcW w:w="2835" w:type="dxa"/>
          </w:tcPr>
          <w:p w14:paraId="05478420"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Education Program Supervisor – Curriculum Learning and Management Division</w:t>
            </w:r>
          </w:p>
        </w:tc>
      </w:tr>
      <w:tr w:rsidR="00FE3CDC" w:rsidRPr="00C63262" w14:paraId="664BB887" w14:textId="77777777" w:rsidTr="0016704F">
        <w:trPr>
          <w:trHeight w:val="300"/>
        </w:trPr>
        <w:tc>
          <w:tcPr>
            <w:tcW w:w="4390" w:type="dxa"/>
            <w:tcBorders>
              <w:top w:val="nil"/>
              <w:bottom w:val="nil"/>
            </w:tcBorders>
          </w:tcPr>
          <w:p w14:paraId="322F9097"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738FB457" w14:textId="77777777" w:rsidR="00FE3CDC" w:rsidRPr="00C63262" w:rsidRDefault="00FE3CDC" w:rsidP="00FE3CDC">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Noel Donell Y. Narida</w:t>
            </w:r>
          </w:p>
        </w:tc>
        <w:tc>
          <w:tcPr>
            <w:tcW w:w="993" w:type="dxa"/>
            <w:noWrap/>
            <w:hideMark/>
          </w:tcPr>
          <w:p w14:paraId="6B066783"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M</w:t>
            </w:r>
          </w:p>
        </w:tc>
        <w:tc>
          <w:tcPr>
            <w:tcW w:w="2835" w:type="dxa"/>
          </w:tcPr>
          <w:p w14:paraId="6FBDFACF"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Information and Communications Technology</w:t>
            </w:r>
          </w:p>
        </w:tc>
      </w:tr>
      <w:tr w:rsidR="00FE3CDC" w:rsidRPr="00C63262" w14:paraId="5843A592" w14:textId="77777777" w:rsidTr="00F4751F">
        <w:trPr>
          <w:trHeight w:val="300"/>
        </w:trPr>
        <w:tc>
          <w:tcPr>
            <w:tcW w:w="4390" w:type="dxa"/>
            <w:tcBorders>
              <w:top w:val="nil"/>
              <w:bottom w:val="single" w:sz="4" w:space="0" w:color="auto"/>
            </w:tcBorders>
          </w:tcPr>
          <w:p w14:paraId="706D7E91"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tcBorders>
              <w:bottom w:val="single" w:sz="4" w:space="0" w:color="auto"/>
            </w:tcBorders>
            <w:noWrap/>
            <w:hideMark/>
          </w:tcPr>
          <w:p w14:paraId="64F12CA9" w14:textId="77777777" w:rsidR="00FE3CDC" w:rsidRPr="00C63262" w:rsidRDefault="00FE3CDC" w:rsidP="00FE3CDC">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Rovel R. Salcedo</w:t>
            </w:r>
          </w:p>
        </w:tc>
        <w:tc>
          <w:tcPr>
            <w:tcW w:w="993" w:type="dxa"/>
            <w:tcBorders>
              <w:bottom w:val="single" w:sz="4" w:space="0" w:color="auto"/>
            </w:tcBorders>
            <w:noWrap/>
            <w:hideMark/>
          </w:tcPr>
          <w:p w14:paraId="134B3EF8"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Borders>
              <w:bottom w:val="single" w:sz="4" w:space="0" w:color="auto"/>
            </w:tcBorders>
          </w:tcPr>
          <w:p w14:paraId="48BB65F8"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 xml:space="preserve">Education Program Supervisor – Curriculum Learning and Management Division </w:t>
            </w:r>
          </w:p>
        </w:tc>
      </w:tr>
      <w:tr w:rsidR="00FE3CDC" w:rsidRPr="00C63262" w14:paraId="7C7B4650" w14:textId="77777777" w:rsidTr="00F4751F">
        <w:trPr>
          <w:trHeight w:val="300"/>
        </w:trPr>
        <w:tc>
          <w:tcPr>
            <w:tcW w:w="4390" w:type="dxa"/>
            <w:tcBorders>
              <w:top w:val="single" w:sz="4" w:space="0" w:color="auto"/>
              <w:bottom w:val="single" w:sz="4" w:space="0" w:color="auto"/>
            </w:tcBorders>
          </w:tcPr>
          <w:p w14:paraId="6550971E"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tcBorders>
              <w:top w:val="single" w:sz="4" w:space="0" w:color="auto"/>
            </w:tcBorders>
            <w:noWrap/>
            <w:hideMark/>
          </w:tcPr>
          <w:p w14:paraId="7A8043F0" w14:textId="77777777" w:rsidR="00FE3CDC" w:rsidRPr="00C63262" w:rsidRDefault="00FE3CDC" w:rsidP="00FE3CDC">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 xml:space="preserve">Jude Thaddeus I. Iledan </w:t>
            </w:r>
          </w:p>
        </w:tc>
        <w:tc>
          <w:tcPr>
            <w:tcW w:w="993" w:type="dxa"/>
            <w:tcBorders>
              <w:top w:val="single" w:sz="4" w:space="0" w:color="auto"/>
            </w:tcBorders>
            <w:noWrap/>
            <w:hideMark/>
          </w:tcPr>
          <w:p w14:paraId="25BB42B4"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M</w:t>
            </w:r>
          </w:p>
        </w:tc>
        <w:tc>
          <w:tcPr>
            <w:tcW w:w="2835" w:type="dxa"/>
            <w:tcBorders>
              <w:top w:val="single" w:sz="4" w:space="0" w:color="auto"/>
            </w:tcBorders>
          </w:tcPr>
          <w:p w14:paraId="1BFAB841"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Education Program Supervisor/OIC – Field Technical Assistance Division</w:t>
            </w:r>
          </w:p>
        </w:tc>
      </w:tr>
      <w:tr w:rsidR="00FE3CDC" w:rsidRPr="00C63262" w14:paraId="3652280A" w14:textId="77777777" w:rsidTr="0016704F">
        <w:trPr>
          <w:trHeight w:val="300"/>
        </w:trPr>
        <w:tc>
          <w:tcPr>
            <w:tcW w:w="4390" w:type="dxa"/>
            <w:tcBorders>
              <w:bottom w:val="nil"/>
            </w:tcBorders>
          </w:tcPr>
          <w:p w14:paraId="7120C52A"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22929D0E" w14:textId="77777777" w:rsidR="00FE3CDC" w:rsidRPr="00C63262" w:rsidRDefault="00FE3CDC" w:rsidP="00FE3CDC">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Jerry A. Oquerdo</w:t>
            </w:r>
          </w:p>
        </w:tc>
        <w:tc>
          <w:tcPr>
            <w:tcW w:w="993" w:type="dxa"/>
            <w:noWrap/>
            <w:hideMark/>
          </w:tcPr>
          <w:p w14:paraId="6D9FE96A"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M</w:t>
            </w:r>
          </w:p>
        </w:tc>
        <w:tc>
          <w:tcPr>
            <w:tcW w:w="2835" w:type="dxa"/>
          </w:tcPr>
          <w:p w14:paraId="2ACA84B7"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Education Program Supervisor – Curriculum Learning and Management Division</w:t>
            </w:r>
          </w:p>
        </w:tc>
      </w:tr>
      <w:tr w:rsidR="00FE3CDC" w:rsidRPr="00C63262" w14:paraId="7E9465BE" w14:textId="77777777" w:rsidTr="0016704F">
        <w:trPr>
          <w:trHeight w:val="300"/>
        </w:trPr>
        <w:tc>
          <w:tcPr>
            <w:tcW w:w="4390" w:type="dxa"/>
            <w:tcBorders>
              <w:top w:val="nil"/>
              <w:bottom w:val="nil"/>
            </w:tcBorders>
          </w:tcPr>
          <w:p w14:paraId="552781FF"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3383F3F0" w14:textId="77777777" w:rsidR="00FE3CDC" w:rsidRPr="00C63262" w:rsidRDefault="00FE3CDC" w:rsidP="00FE3CDC">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Wendyl Mae Villaprodente</w:t>
            </w:r>
          </w:p>
        </w:tc>
        <w:tc>
          <w:tcPr>
            <w:tcW w:w="993" w:type="dxa"/>
            <w:noWrap/>
            <w:hideMark/>
          </w:tcPr>
          <w:p w14:paraId="6831FDB9"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60DFA39B"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Project Development Officer III</w:t>
            </w:r>
          </w:p>
        </w:tc>
      </w:tr>
      <w:tr w:rsidR="00FE3CDC" w:rsidRPr="00C63262" w14:paraId="16C48740" w14:textId="77777777" w:rsidTr="0016704F">
        <w:trPr>
          <w:trHeight w:val="300"/>
        </w:trPr>
        <w:tc>
          <w:tcPr>
            <w:tcW w:w="4390" w:type="dxa"/>
            <w:tcBorders>
              <w:top w:val="nil"/>
              <w:bottom w:val="nil"/>
            </w:tcBorders>
          </w:tcPr>
          <w:p w14:paraId="013F5517"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6EBD72F8" w14:textId="77777777" w:rsidR="00FE3CDC" w:rsidRPr="00C63262" w:rsidRDefault="00FE3CDC" w:rsidP="00FE3CDC">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Amelita C. Pitalgo</w:t>
            </w:r>
          </w:p>
        </w:tc>
        <w:tc>
          <w:tcPr>
            <w:tcW w:w="993" w:type="dxa"/>
            <w:noWrap/>
            <w:hideMark/>
          </w:tcPr>
          <w:p w14:paraId="74F07B31"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48B3049B"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Education Program Supervisor/OIC – Education Support Service Division</w:t>
            </w:r>
          </w:p>
        </w:tc>
      </w:tr>
      <w:tr w:rsidR="00FE3CDC" w:rsidRPr="00C63262" w14:paraId="1052C54F" w14:textId="77777777" w:rsidTr="0016704F">
        <w:trPr>
          <w:trHeight w:val="300"/>
        </w:trPr>
        <w:tc>
          <w:tcPr>
            <w:tcW w:w="4390" w:type="dxa"/>
            <w:tcBorders>
              <w:top w:val="nil"/>
            </w:tcBorders>
          </w:tcPr>
          <w:p w14:paraId="51507B10"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75B48A05" w14:textId="77777777" w:rsidR="00FE3CDC" w:rsidRPr="00C63262" w:rsidRDefault="00FE3CDC" w:rsidP="00FE3CDC">
            <w:pPr>
              <w:widowControl w:val="0"/>
              <w:numPr>
                <w:ilvl w:val="0"/>
                <w:numId w:val="102"/>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Susan P. Severino</w:t>
            </w:r>
          </w:p>
        </w:tc>
        <w:tc>
          <w:tcPr>
            <w:tcW w:w="993" w:type="dxa"/>
            <w:noWrap/>
            <w:hideMark/>
          </w:tcPr>
          <w:p w14:paraId="2A1FD1E9"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21C4A74C" w14:textId="77777777" w:rsidR="00FE3CDC" w:rsidRPr="00C63262" w:rsidRDefault="00FE3CDC" w:rsidP="00FE3CDC">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Education Program Supervisor/OIC – Chief, Human Resource Development Division</w:t>
            </w:r>
          </w:p>
        </w:tc>
      </w:tr>
    </w:tbl>
    <w:p w14:paraId="5D5FAEBF" w14:textId="77777777" w:rsidR="008D0CAD" w:rsidRPr="00C63262" w:rsidRDefault="008D0CAD" w:rsidP="005902F7">
      <w:pPr>
        <w:spacing w:before="100" w:beforeAutospacing="1" w:after="100" w:afterAutospacing="1" w:line="360" w:lineRule="auto"/>
        <w:rPr>
          <w:rFonts w:asciiTheme="majorHAnsi" w:hAnsiTheme="majorHAnsi" w:cstheme="majorHAnsi"/>
          <w:b/>
          <w:color w:val="0070C0"/>
          <w:lang w:val="en-US"/>
        </w:rPr>
      </w:pPr>
      <w:r w:rsidRPr="00C63262">
        <w:rPr>
          <w:rFonts w:asciiTheme="majorHAnsi" w:hAnsiTheme="majorHAnsi" w:cstheme="majorHAnsi"/>
          <w:b/>
          <w:color w:val="0070C0"/>
          <w:lang w:val="en-US"/>
        </w:rPr>
        <w:t>REGION VII</w:t>
      </w:r>
    </w:p>
    <w:tbl>
      <w:tblPr>
        <w:tblStyle w:val="TableGrid1"/>
        <w:tblW w:w="10627" w:type="dxa"/>
        <w:tblLook w:val="04A0" w:firstRow="1" w:lastRow="0" w:firstColumn="1" w:lastColumn="0" w:noHBand="0" w:noVBand="1"/>
      </w:tblPr>
      <w:tblGrid>
        <w:gridCol w:w="870"/>
        <w:gridCol w:w="3520"/>
        <w:gridCol w:w="2409"/>
        <w:gridCol w:w="993"/>
        <w:gridCol w:w="2835"/>
      </w:tblGrid>
      <w:tr w:rsidR="00773E33" w:rsidRPr="00C63262" w14:paraId="1003C825" w14:textId="77777777" w:rsidTr="004B064D">
        <w:trPr>
          <w:trHeight w:val="300"/>
          <w:tblHeader/>
        </w:trPr>
        <w:tc>
          <w:tcPr>
            <w:tcW w:w="870" w:type="dxa"/>
            <w:tcBorders>
              <w:bottom w:val="single" w:sz="4" w:space="0" w:color="auto"/>
            </w:tcBorders>
          </w:tcPr>
          <w:p w14:paraId="2F98F4B0" w14:textId="488C3C4F" w:rsidR="00773E33" w:rsidRPr="00C63262" w:rsidRDefault="00773E33" w:rsidP="00773E33">
            <w:pPr>
              <w:spacing w:before="100" w:beforeAutospacing="1" w:after="100" w:afterAutospacing="1" w:line="360" w:lineRule="auto"/>
              <w:rPr>
                <w:rFonts w:asciiTheme="majorHAnsi" w:hAnsiTheme="majorHAnsi" w:cstheme="majorHAnsi"/>
                <w:b/>
                <w:sz w:val="20"/>
                <w:szCs w:val="20"/>
                <w:lang w:val="en-US"/>
              </w:rPr>
            </w:pPr>
            <w:r w:rsidRPr="00C63262">
              <w:rPr>
                <w:rFonts w:asciiTheme="majorHAnsi" w:hAnsiTheme="majorHAnsi" w:cstheme="majorHAnsi"/>
                <w:b/>
                <w:sz w:val="20"/>
                <w:szCs w:val="20"/>
                <w:lang w:val="en-US"/>
              </w:rPr>
              <w:t>School ID</w:t>
            </w:r>
          </w:p>
        </w:tc>
        <w:tc>
          <w:tcPr>
            <w:tcW w:w="3520" w:type="dxa"/>
            <w:tcBorders>
              <w:bottom w:val="single" w:sz="4" w:space="0" w:color="auto"/>
            </w:tcBorders>
          </w:tcPr>
          <w:p w14:paraId="25C1B0C9" w14:textId="46CA15FD" w:rsidR="00773E33" w:rsidRPr="00C63262" w:rsidRDefault="00773E33" w:rsidP="00773E33">
            <w:pPr>
              <w:spacing w:before="100" w:beforeAutospacing="1" w:after="100" w:afterAutospacing="1" w:line="360" w:lineRule="auto"/>
              <w:rPr>
                <w:rFonts w:asciiTheme="majorHAnsi" w:hAnsiTheme="majorHAnsi" w:cstheme="majorHAnsi"/>
                <w:b/>
                <w:sz w:val="20"/>
                <w:szCs w:val="20"/>
                <w:lang w:val="en-US"/>
              </w:rPr>
            </w:pPr>
            <w:r w:rsidRPr="00C63262">
              <w:rPr>
                <w:rFonts w:asciiTheme="majorHAnsi" w:hAnsiTheme="majorHAnsi" w:cstheme="majorHAnsi"/>
                <w:b/>
                <w:color w:val="000000"/>
                <w:sz w:val="20"/>
                <w:szCs w:val="20"/>
                <w:lang w:val="en-US"/>
              </w:rPr>
              <w:t>Schools/Office</w:t>
            </w:r>
          </w:p>
        </w:tc>
        <w:tc>
          <w:tcPr>
            <w:tcW w:w="2409" w:type="dxa"/>
            <w:noWrap/>
            <w:hideMark/>
          </w:tcPr>
          <w:p w14:paraId="0EF69B56"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b/>
                <w:color w:val="000000"/>
                <w:sz w:val="20"/>
                <w:szCs w:val="20"/>
                <w:lang w:val="en-US"/>
              </w:rPr>
              <w:t>Participants</w:t>
            </w:r>
          </w:p>
        </w:tc>
        <w:tc>
          <w:tcPr>
            <w:tcW w:w="993" w:type="dxa"/>
            <w:noWrap/>
            <w:hideMark/>
          </w:tcPr>
          <w:p w14:paraId="25B1EB57"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b/>
                <w:color w:val="000000"/>
                <w:sz w:val="20"/>
                <w:szCs w:val="20"/>
                <w:lang w:val="en-US"/>
              </w:rPr>
              <w:t>Sex</w:t>
            </w:r>
          </w:p>
        </w:tc>
        <w:tc>
          <w:tcPr>
            <w:tcW w:w="2835" w:type="dxa"/>
          </w:tcPr>
          <w:p w14:paraId="359E2BD1"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b/>
                <w:color w:val="000000"/>
                <w:sz w:val="20"/>
                <w:szCs w:val="20"/>
                <w:lang w:val="en-US"/>
              </w:rPr>
              <w:t>Designation / Department</w:t>
            </w:r>
          </w:p>
        </w:tc>
      </w:tr>
      <w:tr w:rsidR="00773E33" w:rsidRPr="00C63262" w14:paraId="0B8D3035" w14:textId="77777777" w:rsidTr="00150633">
        <w:trPr>
          <w:trHeight w:val="300"/>
        </w:trPr>
        <w:tc>
          <w:tcPr>
            <w:tcW w:w="870" w:type="dxa"/>
            <w:tcBorders>
              <w:bottom w:val="nil"/>
            </w:tcBorders>
          </w:tcPr>
          <w:p w14:paraId="66606A6B" w14:textId="46F27220" w:rsidR="00773E33" w:rsidRPr="00C63262" w:rsidRDefault="00773E33" w:rsidP="00773E33">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119212</w:t>
            </w:r>
          </w:p>
        </w:tc>
        <w:tc>
          <w:tcPr>
            <w:tcW w:w="3520" w:type="dxa"/>
            <w:tcBorders>
              <w:bottom w:val="nil"/>
            </w:tcBorders>
          </w:tcPr>
          <w:p w14:paraId="1AC81FCA" w14:textId="51BA6BB7" w:rsidR="00773E33" w:rsidRPr="00C63262" w:rsidRDefault="00773E33" w:rsidP="00773E33">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napToGrid w:val="0"/>
                <w:color w:val="000000"/>
                <w:sz w:val="20"/>
                <w:szCs w:val="20"/>
                <w:lang w:val="en-US"/>
              </w:rPr>
              <w:t xml:space="preserve">Cabungaan </w:t>
            </w:r>
            <w:r w:rsidRPr="00C63262">
              <w:rPr>
                <w:rFonts w:asciiTheme="majorHAnsi" w:hAnsiTheme="majorHAnsi" w:cstheme="majorHAnsi"/>
                <w:color w:val="000000"/>
                <w:sz w:val="20"/>
                <w:szCs w:val="20"/>
                <w:lang w:val="en-US"/>
              </w:rPr>
              <w:t>Elementary School</w:t>
            </w:r>
            <w:r w:rsidRPr="00C63262">
              <w:rPr>
                <w:rFonts w:asciiTheme="majorHAnsi" w:hAnsiTheme="majorHAnsi" w:cstheme="majorHAnsi"/>
                <w:snapToGrid w:val="0"/>
                <w:color w:val="000000"/>
                <w:sz w:val="20"/>
                <w:szCs w:val="20"/>
                <w:lang w:val="en-US"/>
              </w:rPr>
              <w:t xml:space="preserve"> </w:t>
            </w:r>
          </w:p>
        </w:tc>
        <w:tc>
          <w:tcPr>
            <w:tcW w:w="2409" w:type="dxa"/>
            <w:noWrap/>
            <w:hideMark/>
          </w:tcPr>
          <w:p w14:paraId="78C65A7A" w14:textId="77777777" w:rsidR="00773E33" w:rsidRPr="00C63262" w:rsidRDefault="00773E33" w:rsidP="00773E33">
            <w:pPr>
              <w:widowControl w:val="0"/>
              <w:numPr>
                <w:ilvl w:val="0"/>
                <w:numId w:val="107"/>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Melanie J. Baltonado</w:t>
            </w:r>
          </w:p>
        </w:tc>
        <w:tc>
          <w:tcPr>
            <w:tcW w:w="993" w:type="dxa"/>
            <w:noWrap/>
            <w:hideMark/>
          </w:tcPr>
          <w:p w14:paraId="6C8A028A"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05904AAB"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Principal</w:t>
            </w:r>
          </w:p>
        </w:tc>
      </w:tr>
      <w:tr w:rsidR="00773E33" w:rsidRPr="00C63262" w14:paraId="2ED08911" w14:textId="77777777" w:rsidTr="00150633">
        <w:trPr>
          <w:trHeight w:val="300"/>
        </w:trPr>
        <w:tc>
          <w:tcPr>
            <w:tcW w:w="870" w:type="dxa"/>
            <w:tcBorders>
              <w:top w:val="nil"/>
              <w:bottom w:val="single" w:sz="4" w:space="0" w:color="auto"/>
            </w:tcBorders>
          </w:tcPr>
          <w:p w14:paraId="5FFAB855" w14:textId="77777777" w:rsidR="00773E33" w:rsidRPr="00C63262" w:rsidRDefault="00773E33" w:rsidP="00773E33">
            <w:pPr>
              <w:spacing w:before="100" w:beforeAutospacing="1" w:after="100" w:afterAutospacing="1" w:line="360" w:lineRule="auto"/>
              <w:rPr>
                <w:rFonts w:asciiTheme="majorHAnsi" w:hAnsiTheme="majorHAnsi" w:cstheme="majorHAnsi"/>
                <w:sz w:val="20"/>
                <w:szCs w:val="20"/>
                <w:lang w:val="en-US"/>
              </w:rPr>
            </w:pPr>
          </w:p>
        </w:tc>
        <w:tc>
          <w:tcPr>
            <w:tcW w:w="3520" w:type="dxa"/>
            <w:tcBorders>
              <w:top w:val="nil"/>
              <w:bottom w:val="single" w:sz="4" w:space="0" w:color="auto"/>
            </w:tcBorders>
          </w:tcPr>
          <w:p w14:paraId="221F2688" w14:textId="77777777" w:rsidR="00773E33" w:rsidRPr="00C63262" w:rsidRDefault="00773E33" w:rsidP="00773E33">
            <w:pPr>
              <w:spacing w:before="100" w:beforeAutospacing="1" w:after="100" w:afterAutospacing="1" w:line="360" w:lineRule="auto"/>
              <w:rPr>
                <w:rFonts w:asciiTheme="majorHAnsi" w:hAnsiTheme="majorHAnsi" w:cstheme="majorHAnsi"/>
                <w:sz w:val="20"/>
                <w:szCs w:val="20"/>
                <w:lang w:val="en-US"/>
              </w:rPr>
            </w:pPr>
          </w:p>
        </w:tc>
        <w:tc>
          <w:tcPr>
            <w:tcW w:w="2409" w:type="dxa"/>
            <w:noWrap/>
            <w:hideMark/>
          </w:tcPr>
          <w:p w14:paraId="4D7340FD" w14:textId="77777777" w:rsidR="00773E33" w:rsidRPr="00C63262" w:rsidRDefault="00773E33" w:rsidP="00773E33">
            <w:pPr>
              <w:widowControl w:val="0"/>
              <w:numPr>
                <w:ilvl w:val="0"/>
                <w:numId w:val="107"/>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Shiela N. Rojo</w:t>
            </w:r>
          </w:p>
        </w:tc>
        <w:tc>
          <w:tcPr>
            <w:tcW w:w="993" w:type="dxa"/>
            <w:noWrap/>
            <w:hideMark/>
          </w:tcPr>
          <w:p w14:paraId="59910D0A"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2CAE1E63"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773E33" w:rsidRPr="00C63262" w14:paraId="78276F1A" w14:textId="77777777" w:rsidTr="00150633">
        <w:trPr>
          <w:trHeight w:val="60"/>
        </w:trPr>
        <w:tc>
          <w:tcPr>
            <w:tcW w:w="870" w:type="dxa"/>
            <w:tcBorders>
              <w:bottom w:val="nil"/>
            </w:tcBorders>
          </w:tcPr>
          <w:p w14:paraId="63E5AAF7" w14:textId="5E10FDC8" w:rsidR="00773E33" w:rsidRPr="00C63262" w:rsidRDefault="00773E33" w:rsidP="00773E33">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117938</w:t>
            </w:r>
          </w:p>
        </w:tc>
        <w:tc>
          <w:tcPr>
            <w:tcW w:w="3520" w:type="dxa"/>
            <w:tcBorders>
              <w:bottom w:val="nil"/>
            </w:tcBorders>
          </w:tcPr>
          <w:p w14:paraId="37D35A75" w14:textId="77C33F64" w:rsidR="00773E33" w:rsidRPr="00C63262" w:rsidRDefault="00773E33" w:rsidP="00773E33">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napToGrid w:val="0"/>
                <w:color w:val="000000"/>
                <w:sz w:val="20"/>
                <w:szCs w:val="20"/>
                <w:lang w:val="en-US"/>
              </w:rPr>
              <w:t xml:space="preserve">Cagongcacong </w:t>
            </w:r>
            <w:r w:rsidRPr="00C63262">
              <w:rPr>
                <w:rFonts w:asciiTheme="majorHAnsi" w:hAnsiTheme="majorHAnsi" w:cstheme="majorHAnsi"/>
                <w:color w:val="000000"/>
                <w:sz w:val="20"/>
                <w:szCs w:val="20"/>
                <w:lang w:val="en-US"/>
              </w:rPr>
              <w:t>Elementary School</w:t>
            </w:r>
            <w:r w:rsidRPr="00C63262">
              <w:rPr>
                <w:rFonts w:asciiTheme="majorHAnsi" w:hAnsiTheme="majorHAnsi" w:cstheme="majorHAnsi"/>
                <w:snapToGrid w:val="0"/>
                <w:color w:val="000000"/>
                <w:sz w:val="20"/>
                <w:szCs w:val="20"/>
                <w:lang w:val="en-US"/>
              </w:rPr>
              <w:t xml:space="preserve"> </w:t>
            </w:r>
          </w:p>
        </w:tc>
        <w:tc>
          <w:tcPr>
            <w:tcW w:w="2409" w:type="dxa"/>
            <w:noWrap/>
            <w:hideMark/>
          </w:tcPr>
          <w:p w14:paraId="2565D628" w14:textId="77777777" w:rsidR="00773E33" w:rsidRPr="00C63262" w:rsidRDefault="00773E33" w:rsidP="00773E33">
            <w:pPr>
              <w:widowControl w:val="0"/>
              <w:numPr>
                <w:ilvl w:val="0"/>
                <w:numId w:val="107"/>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Renato P. Luna</w:t>
            </w:r>
          </w:p>
        </w:tc>
        <w:tc>
          <w:tcPr>
            <w:tcW w:w="993" w:type="dxa"/>
            <w:noWrap/>
            <w:hideMark/>
          </w:tcPr>
          <w:p w14:paraId="4ED57926"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M</w:t>
            </w:r>
          </w:p>
        </w:tc>
        <w:tc>
          <w:tcPr>
            <w:tcW w:w="2835" w:type="dxa"/>
          </w:tcPr>
          <w:p w14:paraId="6E957E9E"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773E33" w:rsidRPr="00C63262" w14:paraId="32C6834B" w14:textId="77777777" w:rsidTr="00150633">
        <w:trPr>
          <w:trHeight w:val="300"/>
        </w:trPr>
        <w:tc>
          <w:tcPr>
            <w:tcW w:w="870" w:type="dxa"/>
            <w:tcBorders>
              <w:top w:val="nil"/>
              <w:bottom w:val="nil"/>
            </w:tcBorders>
          </w:tcPr>
          <w:p w14:paraId="27E4F339" w14:textId="77777777" w:rsidR="00773E33" w:rsidRPr="00C63262" w:rsidRDefault="00773E33" w:rsidP="00773E33">
            <w:pPr>
              <w:spacing w:before="100" w:beforeAutospacing="1" w:after="100" w:afterAutospacing="1" w:line="360" w:lineRule="auto"/>
              <w:rPr>
                <w:rFonts w:asciiTheme="majorHAnsi" w:hAnsiTheme="majorHAnsi" w:cstheme="majorHAnsi"/>
                <w:sz w:val="20"/>
                <w:szCs w:val="20"/>
                <w:lang w:val="en-US"/>
              </w:rPr>
            </w:pPr>
          </w:p>
        </w:tc>
        <w:tc>
          <w:tcPr>
            <w:tcW w:w="3520" w:type="dxa"/>
            <w:tcBorders>
              <w:top w:val="nil"/>
              <w:bottom w:val="nil"/>
            </w:tcBorders>
          </w:tcPr>
          <w:p w14:paraId="498B9BB7" w14:textId="77777777" w:rsidR="00773E33" w:rsidRPr="00C63262" w:rsidRDefault="00773E33" w:rsidP="00773E33">
            <w:pPr>
              <w:spacing w:before="100" w:beforeAutospacing="1" w:after="100" w:afterAutospacing="1" w:line="360" w:lineRule="auto"/>
              <w:rPr>
                <w:rFonts w:asciiTheme="majorHAnsi" w:hAnsiTheme="majorHAnsi" w:cstheme="majorHAnsi"/>
                <w:sz w:val="20"/>
                <w:szCs w:val="20"/>
                <w:lang w:val="en-US"/>
              </w:rPr>
            </w:pPr>
          </w:p>
        </w:tc>
        <w:tc>
          <w:tcPr>
            <w:tcW w:w="2409" w:type="dxa"/>
            <w:noWrap/>
            <w:hideMark/>
          </w:tcPr>
          <w:p w14:paraId="29974B34" w14:textId="77777777" w:rsidR="00773E33" w:rsidRPr="00C63262" w:rsidRDefault="00773E33" w:rsidP="00773E33">
            <w:pPr>
              <w:widowControl w:val="0"/>
              <w:numPr>
                <w:ilvl w:val="0"/>
                <w:numId w:val="107"/>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Rowena P. Luna</w:t>
            </w:r>
          </w:p>
        </w:tc>
        <w:tc>
          <w:tcPr>
            <w:tcW w:w="993" w:type="dxa"/>
            <w:noWrap/>
            <w:hideMark/>
          </w:tcPr>
          <w:p w14:paraId="2C2CE561"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51688BC2"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773E33" w:rsidRPr="00C63262" w14:paraId="7F6A8494" w14:textId="77777777" w:rsidTr="00150633">
        <w:trPr>
          <w:trHeight w:val="300"/>
        </w:trPr>
        <w:tc>
          <w:tcPr>
            <w:tcW w:w="870" w:type="dxa"/>
            <w:tcBorders>
              <w:top w:val="nil"/>
              <w:bottom w:val="single" w:sz="4" w:space="0" w:color="auto"/>
            </w:tcBorders>
          </w:tcPr>
          <w:p w14:paraId="3EE4788B" w14:textId="77777777" w:rsidR="00773E33" w:rsidRPr="00C63262" w:rsidRDefault="00773E33" w:rsidP="00773E33">
            <w:pPr>
              <w:spacing w:before="100" w:beforeAutospacing="1" w:after="100" w:afterAutospacing="1" w:line="360" w:lineRule="auto"/>
              <w:rPr>
                <w:rFonts w:asciiTheme="majorHAnsi" w:hAnsiTheme="majorHAnsi" w:cstheme="majorHAnsi"/>
                <w:sz w:val="20"/>
                <w:szCs w:val="20"/>
                <w:lang w:val="en-US"/>
              </w:rPr>
            </w:pPr>
          </w:p>
        </w:tc>
        <w:tc>
          <w:tcPr>
            <w:tcW w:w="3520" w:type="dxa"/>
            <w:tcBorders>
              <w:top w:val="nil"/>
              <w:bottom w:val="single" w:sz="4" w:space="0" w:color="auto"/>
            </w:tcBorders>
          </w:tcPr>
          <w:p w14:paraId="45D93E59" w14:textId="77777777" w:rsidR="00773E33" w:rsidRPr="00C63262" w:rsidRDefault="00773E33" w:rsidP="00773E33">
            <w:pPr>
              <w:spacing w:before="100" w:beforeAutospacing="1" w:after="100" w:afterAutospacing="1" w:line="360" w:lineRule="auto"/>
              <w:rPr>
                <w:rFonts w:asciiTheme="majorHAnsi" w:hAnsiTheme="majorHAnsi" w:cstheme="majorHAnsi"/>
                <w:sz w:val="20"/>
                <w:szCs w:val="20"/>
                <w:lang w:val="en-US"/>
              </w:rPr>
            </w:pPr>
          </w:p>
        </w:tc>
        <w:tc>
          <w:tcPr>
            <w:tcW w:w="2409" w:type="dxa"/>
            <w:noWrap/>
            <w:hideMark/>
          </w:tcPr>
          <w:p w14:paraId="370BDD11" w14:textId="77777777" w:rsidR="00773E33" w:rsidRPr="00C63262" w:rsidRDefault="00773E33" w:rsidP="00773E33">
            <w:pPr>
              <w:widowControl w:val="0"/>
              <w:numPr>
                <w:ilvl w:val="0"/>
                <w:numId w:val="107"/>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Michell G. Ampalayo</w:t>
            </w:r>
          </w:p>
        </w:tc>
        <w:tc>
          <w:tcPr>
            <w:tcW w:w="993" w:type="dxa"/>
            <w:noWrap/>
            <w:hideMark/>
          </w:tcPr>
          <w:p w14:paraId="5D2CB8E7"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17BE6D0F"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773E33" w:rsidRPr="00C63262" w14:paraId="1F1AB341" w14:textId="77777777" w:rsidTr="00150633">
        <w:trPr>
          <w:trHeight w:val="300"/>
        </w:trPr>
        <w:tc>
          <w:tcPr>
            <w:tcW w:w="870" w:type="dxa"/>
            <w:tcBorders>
              <w:bottom w:val="nil"/>
            </w:tcBorders>
          </w:tcPr>
          <w:p w14:paraId="7B0B88CE" w14:textId="4CE4B86C" w:rsidR="00773E33" w:rsidRPr="00C63262" w:rsidRDefault="00773E33" w:rsidP="00773E33">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118852</w:t>
            </w:r>
          </w:p>
        </w:tc>
        <w:tc>
          <w:tcPr>
            <w:tcW w:w="3520" w:type="dxa"/>
            <w:tcBorders>
              <w:bottom w:val="nil"/>
            </w:tcBorders>
          </w:tcPr>
          <w:p w14:paraId="08167658" w14:textId="1863DF75" w:rsidR="00773E33" w:rsidRPr="00C63262" w:rsidRDefault="00773E33" w:rsidP="00773E33">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napToGrid w:val="0"/>
                <w:color w:val="000000"/>
                <w:sz w:val="20"/>
                <w:szCs w:val="20"/>
                <w:lang w:val="en-US"/>
              </w:rPr>
              <w:t xml:space="preserve">Canduao </w:t>
            </w:r>
            <w:r w:rsidRPr="00C63262">
              <w:rPr>
                <w:rFonts w:asciiTheme="majorHAnsi" w:hAnsiTheme="majorHAnsi" w:cstheme="majorHAnsi"/>
                <w:color w:val="000000"/>
                <w:sz w:val="20"/>
                <w:szCs w:val="20"/>
                <w:lang w:val="en-US"/>
              </w:rPr>
              <w:t>Elementary School</w:t>
            </w:r>
            <w:r w:rsidRPr="00C63262">
              <w:rPr>
                <w:rFonts w:asciiTheme="majorHAnsi" w:hAnsiTheme="majorHAnsi" w:cstheme="majorHAnsi"/>
                <w:snapToGrid w:val="0"/>
                <w:color w:val="000000"/>
                <w:sz w:val="20"/>
                <w:szCs w:val="20"/>
                <w:lang w:val="en-US"/>
              </w:rPr>
              <w:t xml:space="preserve"> </w:t>
            </w:r>
          </w:p>
        </w:tc>
        <w:tc>
          <w:tcPr>
            <w:tcW w:w="2409" w:type="dxa"/>
            <w:noWrap/>
            <w:hideMark/>
          </w:tcPr>
          <w:p w14:paraId="3DB36B5C" w14:textId="77777777" w:rsidR="00773E33" w:rsidRPr="00C63262" w:rsidRDefault="00773E33" w:rsidP="00773E33">
            <w:pPr>
              <w:widowControl w:val="0"/>
              <w:numPr>
                <w:ilvl w:val="0"/>
                <w:numId w:val="107"/>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Amelia N. Lagat</w:t>
            </w:r>
          </w:p>
        </w:tc>
        <w:tc>
          <w:tcPr>
            <w:tcW w:w="993" w:type="dxa"/>
            <w:noWrap/>
            <w:hideMark/>
          </w:tcPr>
          <w:p w14:paraId="272A7407"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22B1EE96"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773E33" w:rsidRPr="00C63262" w14:paraId="3F07AAF9" w14:textId="77777777" w:rsidTr="00150633">
        <w:trPr>
          <w:trHeight w:val="300"/>
        </w:trPr>
        <w:tc>
          <w:tcPr>
            <w:tcW w:w="870" w:type="dxa"/>
            <w:tcBorders>
              <w:top w:val="nil"/>
              <w:bottom w:val="nil"/>
            </w:tcBorders>
          </w:tcPr>
          <w:p w14:paraId="697E4E92" w14:textId="77777777" w:rsidR="00773E33" w:rsidRPr="00C63262" w:rsidRDefault="00773E33" w:rsidP="00773E33">
            <w:pPr>
              <w:spacing w:before="100" w:beforeAutospacing="1" w:after="100" w:afterAutospacing="1" w:line="360" w:lineRule="auto"/>
              <w:rPr>
                <w:rFonts w:asciiTheme="majorHAnsi" w:hAnsiTheme="majorHAnsi" w:cstheme="majorHAnsi"/>
                <w:sz w:val="20"/>
                <w:szCs w:val="20"/>
                <w:lang w:val="en-US"/>
              </w:rPr>
            </w:pPr>
          </w:p>
        </w:tc>
        <w:tc>
          <w:tcPr>
            <w:tcW w:w="3520" w:type="dxa"/>
            <w:tcBorders>
              <w:top w:val="nil"/>
              <w:bottom w:val="nil"/>
            </w:tcBorders>
          </w:tcPr>
          <w:p w14:paraId="481A3271" w14:textId="77777777" w:rsidR="00773E33" w:rsidRPr="00C63262" w:rsidRDefault="00773E33" w:rsidP="00773E33">
            <w:pPr>
              <w:spacing w:before="100" w:beforeAutospacing="1" w:after="100" w:afterAutospacing="1" w:line="360" w:lineRule="auto"/>
              <w:rPr>
                <w:rFonts w:asciiTheme="majorHAnsi" w:hAnsiTheme="majorHAnsi" w:cstheme="majorHAnsi"/>
                <w:sz w:val="20"/>
                <w:szCs w:val="20"/>
                <w:lang w:val="en-US"/>
              </w:rPr>
            </w:pPr>
          </w:p>
        </w:tc>
        <w:tc>
          <w:tcPr>
            <w:tcW w:w="2409" w:type="dxa"/>
            <w:noWrap/>
            <w:hideMark/>
          </w:tcPr>
          <w:p w14:paraId="280418CF" w14:textId="77777777" w:rsidR="00773E33" w:rsidRPr="00C63262" w:rsidRDefault="00773E33" w:rsidP="00773E33">
            <w:pPr>
              <w:widowControl w:val="0"/>
              <w:numPr>
                <w:ilvl w:val="0"/>
                <w:numId w:val="107"/>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Marlin B. Nambatac</w:t>
            </w:r>
          </w:p>
        </w:tc>
        <w:tc>
          <w:tcPr>
            <w:tcW w:w="993" w:type="dxa"/>
            <w:noWrap/>
            <w:hideMark/>
          </w:tcPr>
          <w:p w14:paraId="40389371"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557D3283"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773E33" w:rsidRPr="00C63262" w14:paraId="14ADFD97" w14:textId="77777777" w:rsidTr="00150633">
        <w:trPr>
          <w:trHeight w:val="300"/>
        </w:trPr>
        <w:tc>
          <w:tcPr>
            <w:tcW w:w="870" w:type="dxa"/>
            <w:tcBorders>
              <w:top w:val="nil"/>
              <w:bottom w:val="single" w:sz="4" w:space="0" w:color="auto"/>
            </w:tcBorders>
          </w:tcPr>
          <w:p w14:paraId="33591DBF" w14:textId="77777777" w:rsidR="00773E33" w:rsidRPr="00C63262" w:rsidRDefault="00773E33" w:rsidP="00773E33">
            <w:pPr>
              <w:spacing w:before="100" w:beforeAutospacing="1" w:after="100" w:afterAutospacing="1" w:line="360" w:lineRule="auto"/>
              <w:rPr>
                <w:rFonts w:asciiTheme="majorHAnsi" w:hAnsiTheme="majorHAnsi" w:cstheme="majorHAnsi"/>
                <w:sz w:val="20"/>
                <w:szCs w:val="20"/>
                <w:lang w:val="en-US"/>
              </w:rPr>
            </w:pPr>
          </w:p>
        </w:tc>
        <w:tc>
          <w:tcPr>
            <w:tcW w:w="3520" w:type="dxa"/>
            <w:tcBorders>
              <w:top w:val="nil"/>
              <w:bottom w:val="single" w:sz="4" w:space="0" w:color="auto"/>
            </w:tcBorders>
          </w:tcPr>
          <w:p w14:paraId="2EA73CD6" w14:textId="77777777" w:rsidR="00773E33" w:rsidRPr="00C63262" w:rsidRDefault="00773E33" w:rsidP="00773E33">
            <w:pPr>
              <w:spacing w:before="100" w:beforeAutospacing="1" w:after="100" w:afterAutospacing="1" w:line="360" w:lineRule="auto"/>
              <w:rPr>
                <w:rFonts w:asciiTheme="majorHAnsi" w:hAnsiTheme="majorHAnsi" w:cstheme="majorHAnsi"/>
                <w:sz w:val="20"/>
                <w:szCs w:val="20"/>
                <w:lang w:val="en-US"/>
              </w:rPr>
            </w:pPr>
          </w:p>
        </w:tc>
        <w:tc>
          <w:tcPr>
            <w:tcW w:w="2409" w:type="dxa"/>
            <w:noWrap/>
            <w:hideMark/>
          </w:tcPr>
          <w:p w14:paraId="004A95C2" w14:textId="77777777" w:rsidR="00773E33" w:rsidRPr="00C63262" w:rsidRDefault="00773E33" w:rsidP="00773E33">
            <w:pPr>
              <w:widowControl w:val="0"/>
              <w:numPr>
                <w:ilvl w:val="0"/>
                <w:numId w:val="107"/>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Yeda Monic T. Balatero</w:t>
            </w:r>
          </w:p>
        </w:tc>
        <w:tc>
          <w:tcPr>
            <w:tcW w:w="993" w:type="dxa"/>
            <w:noWrap/>
            <w:hideMark/>
          </w:tcPr>
          <w:p w14:paraId="485FE0F5"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2145FAAA"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773E33" w:rsidRPr="00C63262" w14:paraId="69E181E8" w14:textId="77777777" w:rsidTr="00150633">
        <w:trPr>
          <w:trHeight w:val="300"/>
        </w:trPr>
        <w:tc>
          <w:tcPr>
            <w:tcW w:w="870" w:type="dxa"/>
            <w:tcBorders>
              <w:bottom w:val="nil"/>
            </w:tcBorders>
          </w:tcPr>
          <w:p w14:paraId="2A4A1C27" w14:textId="7D83EE1C" w:rsidR="00773E33" w:rsidRPr="00C63262" w:rsidRDefault="00773E33" w:rsidP="00773E33">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119516</w:t>
            </w:r>
          </w:p>
        </w:tc>
        <w:tc>
          <w:tcPr>
            <w:tcW w:w="3520" w:type="dxa"/>
            <w:tcBorders>
              <w:bottom w:val="nil"/>
            </w:tcBorders>
          </w:tcPr>
          <w:p w14:paraId="2FAE2477" w14:textId="4A80565B" w:rsidR="00773E33" w:rsidRPr="00C63262" w:rsidRDefault="00773E33" w:rsidP="00773E33">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napToGrid w:val="0"/>
                <w:color w:val="000000"/>
                <w:sz w:val="20"/>
                <w:szCs w:val="20"/>
                <w:lang w:val="en-US"/>
              </w:rPr>
              <w:t xml:space="preserve">Cepoc Central </w:t>
            </w:r>
            <w:r w:rsidRPr="00C63262">
              <w:rPr>
                <w:rFonts w:asciiTheme="majorHAnsi" w:hAnsiTheme="majorHAnsi" w:cstheme="majorHAnsi"/>
                <w:color w:val="000000"/>
                <w:sz w:val="20"/>
                <w:szCs w:val="20"/>
                <w:lang w:val="en-US"/>
              </w:rPr>
              <w:t>Elementary School</w:t>
            </w:r>
            <w:r w:rsidRPr="00C63262">
              <w:rPr>
                <w:rFonts w:asciiTheme="majorHAnsi" w:hAnsiTheme="majorHAnsi" w:cstheme="majorHAnsi"/>
                <w:snapToGrid w:val="0"/>
                <w:color w:val="000000"/>
                <w:sz w:val="20"/>
                <w:szCs w:val="20"/>
                <w:lang w:val="en-US"/>
              </w:rPr>
              <w:t xml:space="preserve"> </w:t>
            </w:r>
          </w:p>
        </w:tc>
        <w:tc>
          <w:tcPr>
            <w:tcW w:w="2409" w:type="dxa"/>
            <w:noWrap/>
            <w:hideMark/>
          </w:tcPr>
          <w:p w14:paraId="12DF3364" w14:textId="77777777" w:rsidR="00773E33" w:rsidRPr="00C63262" w:rsidRDefault="00773E33" w:rsidP="00773E33">
            <w:pPr>
              <w:widowControl w:val="0"/>
              <w:numPr>
                <w:ilvl w:val="0"/>
                <w:numId w:val="107"/>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Antonio Q. Rimas</w:t>
            </w:r>
          </w:p>
        </w:tc>
        <w:tc>
          <w:tcPr>
            <w:tcW w:w="993" w:type="dxa"/>
            <w:noWrap/>
            <w:hideMark/>
          </w:tcPr>
          <w:p w14:paraId="17C33070"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M</w:t>
            </w:r>
          </w:p>
        </w:tc>
        <w:tc>
          <w:tcPr>
            <w:tcW w:w="2835" w:type="dxa"/>
          </w:tcPr>
          <w:p w14:paraId="3625F980"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773E33" w:rsidRPr="00C63262" w14:paraId="6D1A290D" w14:textId="77777777" w:rsidTr="00150633">
        <w:trPr>
          <w:trHeight w:val="60"/>
        </w:trPr>
        <w:tc>
          <w:tcPr>
            <w:tcW w:w="870" w:type="dxa"/>
            <w:tcBorders>
              <w:top w:val="nil"/>
            </w:tcBorders>
          </w:tcPr>
          <w:p w14:paraId="256511F9" w14:textId="77777777" w:rsidR="00773E33" w:rsidRPr="00C63262" w:rsidRDefault="00773E33" w:rsidP="00773E33">
            <w:pPr>
              <w:spacing w:before="100" w:beforeAutospacing="1" w:after="100" w:afterAutospacing="1" w:line="360" w:lineRule="auto"/>
              <w:rPr>
                <w:rFonts w:asciiTheme="majorHAnsi" w:hAnsiTheme="majorHAnsi" w:cstheme="majorHAnsi"/>
                <w:sz w:val="20"/>
                <w:szCs w:val="20"/>
                <w:lang w:val="en-US"/>
              </w:rPr>
            </w:pPr>
          </w:p>
        </w:tc>
        <w:tc>
          <w:tcPr>
            <w:tcW w:w="3520" w:type="dxa"/>
            <w:tcBorders>
              <w:top w:val="nil"/>
            </w:tcBorders>
          </w:tcPr>
          <w:p w14:paraId="3071DFBA" w14:textId="77777777" w:rsidR="00773E33" w:rsidRPr="00C63262" w:rsidRDefault="00773E33" w:rsidP="00773E33">
            <w:pPr>
              <w:spacing w:before="100" w:beforeAutospacing="1" w:after="100" w:afterAutospacing="1" w:line="360" w:lineRule="auto"/>
              <w:rPr>
                <w:rFonts w:asciiTheme="majorHAnsi" w:hAnsiTheme="majorHAnsi" w:cstheme="majorHAnsi"/>
                <w:sz w:val="20"/>
                <w:szCs w:val="20"/>
                <w:lang w:val="en-US"/>
              </w:rPr>
            </w:pPr>
          </w:p>
        </w:tc>
        <w:tc>
          <w:tcPr>
            <w:tcW w:w="2409" w:type="dxa"/>
            <w:noWrap/>
            <w:hideMark/>
          </w:tcPr>
          <w:p w14:paraId="3D64C2AB" w14:textId="77777777" w:rsidR="00773E33" w:rsidRPr="00C63262" w:rsidRDefault="00773E33" w:rsidP="00773E33">
            <w:pPr>
              <w:widowControl w:val="0"/>
              <w:numPr>
                <w:ilvl w:val="0"/>
                <w:numId w:val="107"/>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Diocresa D. Alicante</w:t>
            </w:r>
          </w:p>
        </w:tc>
        <w:tc>
          <w:tcPr>
            <w:tcW w:w="993" w:type="dxa"/>
            <w:noWrap/>
            <w:hideMark/>
          </w:tcPr>
          <w:p w14:paraId="5D8CF54F"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03ABB3B7"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Principal</w:t>
            </w:r>
          </w:p>
        </w:tc>
      </w:tr>
      <w:tr w:rsidR="00773E33" w:rsidRPr="00C63262" w14:paraId="72DB9F27" w14:textId="77777777" w:rsidTr="00773E33">
        <w:trPr>
          <w:trHeight w:val="300"/>
        </w:trPr>
        <w:tc>
          <w:tcPr>
            <w:tcW w:w="870" w:type="dxa"/>
          </w:tcPr>
          <w:p w14:paraId="49529112" w14:textId="77777777" w:rsidR="00773E33" w:rsidRPr="00C63262" w:rsidRDefault="00773E33" w:rsidP="00773E33">
            <w:pPr>
              <w:spacing w:before="100" w:beforeAutospacing="1" w:after="100" w:afterAutospacing="1" w:line="360" w:lineRule="auto"/>
              <w:rPr>
                <w:rFonts w:asciiTheme="majorHAnsi" w:eastAsiaTheme="minorHAnsi" w:hAnsiTheme="majorHAnsi" w:cstheme="majorHAnsi"/>
                <w:color w:val="000000"/>
                <w:sz w:val="20"/>
                <w:szCs w:val="20"/>
              </w:rPr>
            </w:pPr>
            <w:r w:rsidRPr="00C63262">
              <w:rPr>
                <w:rFonts w:asciiTheme="majorHAnsi" w:hAnsiTheme="majorHAnsi" w:cstheme="majorHAnsi"/>
                <w:sz w:val="20"/>
                <w:szCs w:val="20"/>
                <w:lang w:val="en-US"/>
              </w:rPr>
              <w:t> </w:t>
            </w:r>
            <w:r w:rsidRPr="00C63262">
              <w:rPr>
                <w:rFonts w:asciiTheme="majorHAnsi" w:eastAsiaTheme="minorHAnsi" w:hAnsiTheme="majorHAnsi" w:cstheme="majorHAnsi"/>
                <w:color w:val="000000"/>
                <w:sz w:val="20"/>
                <w:szCs w:val="20"/>
              </w:rPr>
              <w:t>119464</w:t>
            </w:r>
          </w:p>
          <w:p w14:paraId="7F9444C3" w14:textId="77777777" w:rsidR="00773E33" w:rsidRPr="00C63262" w:rsidRDefault="00773E33" w:rsidP="00773E33">
            <w:pPr>
              <w:spacing w:before="100" w:beforeAutospacing="1" w:after="100" w:afterAutospacing="1" w:line="360" w:lineRule="auto"/>
              <w:rPr>
                <w:rFonts w:asciiTheme="majorHAnsi" w:eastAsiaTheme="minorHAnsi" w:hAnsiTheme="majorHAnsi" w:cstheme="majorHAnsi"/>
                <w:color w:val="000000"/>
                <w:sz w:val="20"/>
                <w:szCs w:val="20"/>
              </w:rPr>
            </w:pPr>
          </w:p>
          <w:p w14:paraId="4EC8313A" w14:textId="77777777" w:rsidR="00773E33" w:rsidRPr="00C63262" w:rsidRDefault="00773E33" w:rsidP="00773E33">
            <w:pPr>
              <w:spacing w:before="100" w:beforeAutospacing="1" w:after="100" w:afterAutospacing="1" w:line="360" w:lineRule="auto"/>
              <w:rPr>
                <w:rFonts w:asciiTheme="majorHAnsi" w:hAnsiTheme="majorHAnsi" w:cstheme="majorHAnsi"/>
                <w:sz w:val="20"/>
                <w:szCs w:val="20"/>
                <w:lang w:val="en-US"/>
              </w:rPr>
            </w:pPr>
          </w:p>
        </w:tc>
        <w:tc>
          <w:tcPr>
            <w:tcW w:w="3520" w:type="dxa"/>
          </w:tcPr>
          <w:p w14:paraId="1DA82190" w14:textId="387DCC82" w:rsidR="00773E33" w:rsidRPr="00C63262" w:rsidRDefault="00773E33" w:rsidP="00773E33">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napToGrid w:val="0"/>
                <w:color w:val="000000"/>
                <w:sz w:val="20"/>
                <w:szCs w:val="20"/>
                <w:lang w:val="en-US"/>
              </w:rPr>
              <w:t xml:space="preserve">Daanlungsod </w:t>
            </w:r>
            <w:r w:rsidRPr="00C63262">
              <w:rPr>
                <w:rFonts w:asciiTheme="majorHAnsi" w:hAnsiTheme="majorHAnsi" w:cstheme="majorHAnsi"/>
                <w:color w:val="000000"/>
                <w:sz w:val="20"/>
                <w:szCs w:val="20"/>
                <w:lang w:val="en-US"/>
              </w:rPr>
              <w:t>Elementary School</w:t>
            </w:r>
            <w:r w:rsidRPr="00C63262">
              <w:rPr>
                <w:rFonts w:asciiTheme="majorHAnsi" w:hAnsiTheme="majorHAnsi" w:cstheme="majorHAnsi"/>
                <w:snapToGrid w:val="0"/>
                <w:color w:val="000000"/>
                <w:sz w:val="20"/>
                <w:szCs w:val="20"/>
                <w:lang w:val="en-US"/>
              </w:rPr>
              <w:t xml:space="preserve"> </w:t>
            </w:r>
          </w:p>
        </w:tc>
        <w:tc>
          <w:tcPr>
            <w:tcW w:w="2409" w:type="dxa"/>
            <w:noWrap/>
            <w:hideMark/>
          </w:tcPr>
          <w:p w14:paraId="347BE39C" w14:textId="77777777" w:rsidR="00773E33" w:rsidRPr="00C63262" w:rsidRDefault="00773E33" w:rsidP="00773E33">
            <w:pPr>
              <w:widowControl w:val="0"/>
              <w:numPr>
                <w:ilvl w:val="0"/>
                <w:numId w:val="107"/>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 xml:space="preserve">Ivan Lie B. Noynay </w:t>
            </w:r>
          </w:p>
        </w:tc>
        <w:tc>
          <w:tcPr>
            <w:tcW w:w="993" w:type="dxa"/>
            <w:noWrap/>
            <w:hideMark/>
          </w:tcPr>
          <w:p w14:paraId="0FD7993D"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M</w:t>
            </w:r>
          </w:p>
        </w:tc>
        <w:tc>
          <w:tcPr>
            <w:tcW w:w="2835" w:type="dxa"/>
          </w:tcPr>
          <w:p w14:paraId="5D1E6A29"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Principal</w:t>
            </w:r>
          </w:p>
        </w:tc>
      </w:tr>
      <w:tr w:rsidR="00773E33" w:rsidRPr="00C63262" w14:paraId="23BC6985" w14:textId="77777777" w:rsidTr="00150633">
        <w:trPr>
          <w:trHeight w:val="300"/>
        </w:trPr>
        <w:tc>
          <w:tcPr>
            <w:tcW w:w="870" w:type="dxa"/>
            <w:tcBorders>
              <w:bottom w:val="single" w:sz="4" w:space="0" w:color="auto"/>
            </w:tcBorders>
          </w:tcPr>
          <w:p w14:paraId="37A5C4A0" w14:textId="77777777" w:rsidR="00773E33" w:rsidRPr="00C63262" w:rsidRDefault="00773E33" w:rsidP="00773E33">
            <w:pPr>
              <w:spacing w:before="100" w:beforeAutospacing="1" w:after="100" w:afterAutospacing="1" w:line="360" w:lineRule="auto"/>
              <w:rPr>
                <w:rFonts w:asciiTheme="majorHAnsi" w:hAnsiTheme="majorHAnsi" w:cstheme="majorHAnsi"/>
                <w:sz w:val="20"/>
                <w:szCs w:val="20"/>
                <w:lang w:val="en-US"/>
              </w:rPr>
            </w:pPr>
          </w:p>
        </w:tc>
        <w:tc>
          <w:tcPr>
            <w:tcW w:w="3520" w:type="dxa"/>
            <w:tcBorders>
              <w:bottom w:val="single" w:sz="4" w:space="0" w:color="auto"/>
            </w:tcBorders>
          </w:tcPr>
          <w:p w14:paraId="2C4950FC" w14:textId="77777777" w:rsidR="00773E33" w:rsidRPr="00C63262" w:rsidRDefault="00773E33" w:rsidP="00773E33">
            <w:pPr>
              <w:spacing w:before="100" w:beforeAutospacing="1" w:after="100" w:afterAutospacing="1" w:line="360" w:lineRule="auto"/>
              <w:rPr>
                <w:rFonts w:asciiTheme="majorHAnsi" w:hAnsiTheme="majorHAnsi" w:cstheme="majorHAnsi"/>
                <w:sz w:val="20"/>
                <w:szCs w:val="20"/>
                <w:lang w:val="en-US"/>
              </w:rPr>
            </w:pPr>
          </w:p>
        </w:tc>
        <w:tc>
          <w:tcPr>
            <w:tcW w:w="2409" w:type="dxa"/>
            <w:noWrap/>
            <w:hideMark/>
          </w:tcPr>
          <w:p w14:paraId="3704D1AC" w14:textId="77777777" w:rsidR="00773E33" w:rsidRPr="00C63262" w:rsidRDefault="00773E33" w:rsidP="00773E33">
            <w:pPr>
              <w:widowControl w:val="0"/>
              <w:numPr>
                <w:ilvl w:val="0"/>
                <w:numId w:val="107"/>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Meraquilin B. Ochea</w:t>
            </w:r>
          </w:p>
        </w:tc>
        <w:tc>
          <w:tcPr>
            <w:tcW w:w="993" w:type="dxa"/>
            <w:noWrap/>
            <w:hideMark/>
          </w:tcPr>
          <w:p w14:paraId="4EEC7BDD"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6158B8F5"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773E33" w:rsidRPr="00C63262" w14:paraId="2A5B86BB" w14:textId="77777777" w:rsidTr="00150633">
        <w:trPr>
          <w:trHeight w:val="300"/>
        </w:trPr>
        <w:tc>
          <w:tcPr>
            <w:tcW w:w="870" w:type="dxa"/>
            <w:tcBorders>
              <w:bottom w:val="nil"/>
            </w:tcBorders>
          </w:tcPr>
          <w:p w14:paraId="200E3CA5" w14:textId="761EFC40" w:rsidR="00773E33" w:rsidRPr="00C63262" w:rsidRDefault="00773E33" w:rsidP="00773E33">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118275</w:t>
            </w:r>
          </w:p>
        </w:tc>
        <w:tc>
          <w:tcPr>
            <w:tcW w:w="3520" w:type="dxa"/>
            <w:tcBorders>
              <w:bottom w:val="nil"/>
            </w:tcBorders>
          </w:tcPr>
          <w:p w14:paraId="3A09D3AD" w14:textId="4D1B5CD6" w:rsidR="00773E33" w:rsidRPr="00C63262" w:rsidRDefault="00773E33" w:rsidP="00773E33">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napToGrid w:val="0"/>
                <w:color w:val="000000"/>
                <w:sz w:val="20"/>
                <w:szCs w:val="20"/>
                <w:lang w:val="en-US"/>
              </w:rPr>
              <w:t>Dimiao Central School</w:t>
            </w:r>
          </w:p>
        </w:tc>
        <w:tc>
          <w:tcPr>
            <w:tcW w:w="2409" w:type="dxa"/>
            <w:noWrap/>
            <w:hideMark/>
          </w:tcPr>
          <w:p w14:paraId="627AD9A4" w14:textId="77777777" w:rsidR="00773E33" w:rsidRPr="00C63262" w:rsidRDefault="00773E33" w:rsidP="00773E33">
            <w:pPr>
              <w:widowControl w:val="0"/>
              <w:numPr>
                <w:ilvl w:val="0"/>
                <w:numId w:val="107"/>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Ethelinda S. Laguitao</w:t>
            </w:r>
          </w:p>
        </w:tc>
        <w:tc>
          <w:tcPr>
            <w:tcW w:w="993" w:type="dxa"/>
            <w:noWrap/>
            <w:hideMark/>
          </w:tcPr>
          <w:p w14:paraId="1DFC615D"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762FFF21"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773E33" w:rsidRPr="00C63262" w14:paraId="0C99121D" w14:textId="77777777" w:rsidTr="00150633">
        <w:trPr>
          <w:trHeight w:val="300"/>
        </w:trPr>
        <w:tc>
          <w:tcPr>
            <w:tcW w:w="870" w:type="dxa"/>
            <w:tcBorders>
              <w:top w:val="nil"/>
              <w:bottom w:val="nil"/>
            </w:tcBorders>
          </w:tcPr>
          <w:p w14:paraId="3EDD1B48" w14:textId="77777777" w:rsidR="00773E33" w:rsidRPr="00C63262" w:rsidRDefault="00773E33" w:rsidP="00773E33">
            <w:pPr>
              <w:spacing w:before="100" w:beforeAutospacing="1" w:after="100" w:afterAutospacing="1" w:line="360" w:lineRule="auto"/>
              <w:rPr>
                <w:rFonts w:asciiTheme="majorHAnsi" w:hAnsiTheme="majorHAnsi" w:cstheme="majorHAnsi"/>
                <w:sz w:val="20"/>
                <w:szCs w:val="20"/>
                <w:lang w:val="en-US"/>
              </w:rPr>
            </w:pPr>
          </w:p>
        </w:tc>
        <w:tc>
          <w:tcPr>
            <w:tcW w:w="3520" w:type="dxa"/>
            <w:tcBorders>
              <w:top w:val="nil"/>
              <w:bottom w:val="nil"/>
            </w:tcBorders>
          </w:tcPr>
          <w:p w14:paraId="045E71F6" w14:textId="77777777" w:rsidR="00773E33" w:rsidRPr="00C63262" w:rsidRDefault="00773E33" w:rsidP="00773E33">
            <w:pPr>
              <w:spacing w:before="100" w:beforeAutospacing="1" w:after="100" w:afterAutospacing="1" w:line="360" w:lineRule="auto"/>
              <w:rPr>
                <w:rFonts w:asciiTheme="majorHAnsi" w:hAnsiTheme="majorHAnsi" w:cstheme="majorHAnsi"/>
                <w:sz w:val="20"/>
                <w:szCs w:val="20"/>
                <w:lang w:val="en-US"/>
              </w:rPr>
            </w:pPr>
          </w:p>
        </w:tc>
        <w:tc>
          <w:tcPr>
            <w:tcW w:w="2409" w:type="dxa"/>
            <w:noWrap/>
            <w:hideMark/>
          </w:tcPr>
          <w:p w14:paraId="59ECCA34" w14:textId="77777777" w:rsidR="00773E33" w:rsidRPr="00C63262" w:rsidRDefault="00773E33" w:rsidP="00773E33">
            <w:pPr>
              <w:widowControl w:val="0"/>
              <w:numPr>
                <w:ilvl w:val="0"/>
                <w:numId w:val="107"/>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Grace B. Tagasling</w:t>
            </w:r>
          </w:p>
        </w:tc>
        <w:tc>
          <w:tcPr>
            <w:tcW w:w="993" w:type="dxa"/>
            <w:noWrap/>
            <w:hideMark/>
          </w:tcPr>
          <w:p w14:paraId="6C1614E4"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262C4D2A"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773E33" w:rsidRPr="00C63262" w14:paraId="71402FF9" w14:textId="77777777" w:rsidTr="00150633">
        <w:trPr>
          <w:trHeight w:val="300"/>
        </w:trPr>
        <w:tc>
          <w:tcPr>
            <w:tcW w:w="870" w:type="dxa"/>
            <w:tcBorders>
              <w:top w:val="nil"/>
              <w:bottom w:val="single" w:sz="4" w:space="0" w:color="auto"/>
            </w:tcBorders>
          </w:tcPr>
          <w:p w14:paraId="580D1E52" w14:textId="77777777" w:rsidR="00773E33" w:rsidRPr="00C63262" w:rsidRDefault="00773E33" w:rsidP="00773E33">
            <w:pPr>
              <w:spacing w:before="100" w:beforeAutospacing="1" w:after="100" w:afterAutospacing="1" w:line="360" w:lineRule="auto"/>
              <w:rPr>
                <w:rFonts w:asciiTheme="majorHAnsi" w:hAnsiTheme="majorHAnsi" w:cstheme="majorHAnsi"/>
                <w:sz w:val="20"/>
                <w:szCs w:val="20"/>
                <w:lang w:val="en-US"/>
              </w:rPr>
            </w:pPr>
          </w:p>
        </w:tc>
        <w:tc>
          <w:tcPr>
            <w:tcW w:w="3520" w:type="dxa"/>
            <w:tcBorders>
              <w:top w:val="nil"/>
              <w:bottom w:val="single" w:sz="4" w:space="0" w:color="auto"/>
            </w:tcBorders>
          </w:tcPr>
          <w:p w14:paraId="0CA8C573" w14:textId="77777777" w:rsidR="00773E33" w:rsidRPr="00C63262" w:rsidRDefault="00773E33" w:rsidP="00773E33">
            <w:pPr>
              <w:spacing w:before="100" w:beforeAutospacing="1" w:after="100" w:afterAutospacing="1" w:line="360" w:lineRule="auto"/>
              <w:rPr>
                <w:rFonts w:asciiTheme="majorHAnsi" w:hAnsiTheme="majorHAnsi" w:cstheme="majorHAnsi"/>
                <w:sz w:val="20"/>
                <w:szCs w:val="20"/>
                <w:lang w:val="en-US"/>
              </w:rPr>
            </w:pPr>
          </w:p>
        </w:tc>
        <w:tc>
          <w:tcPr>
            <w:tcW w:w="2409" w:type="dxa"/>
            <w:noWrap/>
            <w:hideMark/>
          </w:tcPr>
          <w:p w14:paraId="1F9739A6" w14:textId="77777777" w:rsidR="00773E33" w:rsidRPr="00C63262" w:rsidRDefault="00773E33" w:rsidP="00773E33">
            <w:pPr>
              <w:widowControl w:val="0"/>
              <w:numPr>
                <w:ilvl w:val="0"/>
                <w:numId w:val="107"/>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Arlene D. Hamoay</w:t>
            </w:r>
          </w:p>
        </w:tc>
        <w:tc>
          <w:tcPr>
            <w:tcW w:w="993" w:type="dxa"/>
            <w:noWrap/>
            <w:hideMark/>
          </w:tcPr>
          <w:p w14:paraId="078B5513"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074B5D1F"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773E33" w:rsidRPr="00C63262" w14:paraId="5317810C" w14:textId="77777777" w:rsidTr="00150633">
        <w:trPr>
          <w:trHeight w:val="300"/>
        </w:trPr>
        <w:tc>
          <w:tcPr>
            <w:tcW w:w="870" w:type="dxa"/>
            <w:tcBorders>
              <w:bottom w:val="nil"/>
            </w:tcBorders>
          </w:tcPr>
          <w:p w14:paraId="07891DF1" w14:textId="1DC01691" w:rsidR="00773E33" w:rsidRPr="00C63262" w:rsidRDefault="00773E33" w:rsidP="00773E33">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119997</w:t>
            </w:r>
          </w:p>
        </w:tc>
        <w:tc>
          <w:tcPr>
            <w:tcW w:w="3520" w:type="dxa"/>
            <w:tcBorders>
              <w:bottom w:val="nil"/>
            </w:tcBorders>
          </w:tcPr>
          <w:p w14:paraId="0A78E7C9" w14:textId="2DC54DC4" w:rsidR="00773E33" w:rsidRPr="00C63262" w:rsidRDefault="00773E33" w:rsidP="00773E33">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napToGrid w:val="0"/>
                <w:color w:val="000000"/>
                <w:sz w:val="20"/>
                <w:szCs w:val="20"/>
                <w:lang w:val="en-US"/>
              </w:rPr>
              <w:t>Mandaue City Central</w:t>
            </w:r>
          </w:p>
        </w:tc>
        <w:tc>
          <w:tcPr>
            <w:tcW w:w="2409" w:type="dxa"/>
            <w:noWrap/>
            <w:hideMark/>
          </w:tcPr>
          <w:p w14:paraId="443412D1" w14:textId="77777777" w:rsidR="00773E33" w:rsidRPr="00C63262" w:rsidRDefault="00773E33" w:rsidP="00773E33">
            <w:pPr>
              <w:widowControl w:val="0"/>
              <w:numPr>
                <w:ilvl w:val="0"/>
                <w:numId w:val="107"/>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Claribel P. Colipapa</w:t>
            </w:r>
          </w:p>
        </w:tc>
        <w:tc>
          <w:tcPr>
            <w:tcW w:w="993" w:type="dxa"/>
            <w:noWrap/>
            <w:hideMark/>
          </w:tcPr>
          <w:p w14:paraId="1CC2BD1C"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75DDA533"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773E33" w:rsidRPr="00C63262" w14:paraId="453FF99F" w14:textId="77777777" w:rsidTr="00150633">
        <w:trPr>
          <w:trHeight w:val="300"/>
        </w:trPr>
        <w:tc>
          <w:tcPr>
            <w:tcW w:w="870" w:type="dxa"/>
            <w:tcBorders>
              <w:top w:val="nil"/>
              <w:bottom w:val="single" w:sz="4" w:space="0" w:color="auto"/>
            </w:tcBorders>
          </w:tcPr>
          <w:p w14:paraId="74A1838A" w14:textId="77777777" w:rsidR="00773E33" w:rsidRPr="00C63262" w:rsidRDefault="00773E33" w:rsidP="00773E33">
            <w:pPr>
              <w:spacing w:before="100" w:beforeAutospacing="1" w:after="100" w:afterAutospacing="1" w:line="360" w:lineRule="auto"/>
              <w:rPr>
                <w:rFonts w:asciiTheme="majorHAnsi" w:hAnsiTheme="majorHAnsi" w:cstheme="majorHAnsi"/>
                <w:sz w:val="20"/>
                <w:szCs w:val="20"/>
                <w:lang w:val="en-US"/>
              </w:rPr>
            </w:pPr>
          </w:p>
        </w:tc>
        <w:tc>
          <w:tcPr>
            <w:tcW w:w="3520" w:type="dxa"/>
            <w:tcBorders>
              <w:top w:val="nil"/>
              <w:bottom w:val="single" w:sz="4" w:space="0" w:color="auto"/>
            </w:tcBorders>
          </w:tcPr>
          <w:p w14:paraId="73CBFC2E" w14:textId="77777777" w:rsidR="00773E33" w:rsidRPr="00C63262" w:rsidRDefault="00773E33" w:rsidP="00773E33">
            <w:pPr>
              <w:spacing w:before="100" w:beforeAutospacing="1" w:after="100" w:afterAutospacing="1" w:line="360" w:lineRule="auto"/>
              <w:rPr>
                <w:rFonts w:asciiTheme="majorHAnsi" w:hAnsiTheme="majorHAnsi" w:cstheme="majorHAnsi"/>
                <w:sz w:val="20"/>
                <w:szCs w:val="20"/>
                <w:lang w:val="en-US"/>
              </w:rPr>
            </w:pPr>
          </w:p>
        </w:tc>
        <w:tc>
          <w:tcPr>
            <w:tcW w:w="2409" w:type="dxa"/>
            <w:noWrap/>
            <w:hideMark/>
          </w:tcPr>
          <w:p w14:paraId="6FBE322D" w14:textId="77777777" w:rsidR="00773E33" w:rsidRPr="00C63262" w:rsidRDefault="00773E33" w:rsidP="00773E33">
            <w:pPr>
              <w:widowControl w:val="0"/>
              <w:numPr>
                <w:ilvl w:val="0"/>
                <w:numId w:val="107"/>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Maridel L. Oblad</w:t>
            </w:r>
          </w:p>
        </w:tc>
        <w:tc>
          <w:tcPr>
            <w:tcW w:w="993" w:type="dxa"/>
            <w:noWrap/>
            <w:hideMark/>
          </w:tcPr>
          <w:p w14:paraId="6E97E7CC"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54A47C43"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Principal</w:t>
            </w:r>
          </w:p>
        </w:tc>
      </w:tr>
      <w:tr w:rsidR="00773E33" w:rsidRPr="00C63262" w14:paraId="66537033" w14:textId="77777777" w:rsidTr="00150633">
        <w:trPr>
          <w:trHeight w:val="300"/>
        </w:trPr>
        <w:tc>
          <w:tcPr>
            <w:tcW w:w="870" w:type="dxa"/>
            <w:tcBorders>
              <w:bottom w:val="nil"/>
            </w:tcBorders>
          </w:tcPr>
          <w:p w14:paraId="4135B854" w14:textId="6D2E8121" w:rsidR="00773E33" w:rsidRPr="00C63262" w:rsidRDefault="00773E33" w:rsidP="00773E33">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119447</w:t>
            </w:r>
          </w:p>
        </w:tc>
        <w:tc>
          <w:tcPr>
            <w:tcW w:w="3520" w:type="dxa"/>
            <w:tcBorders>
              <w:bottom w:val="nil"/>
            </w:tcBorders>
          </w:tcPr>
          <w:p w14:paraId="0D2604E1" w14:textId="054531BF" w:rsidR="00773E33" w:rsidRPr="00C63262" w:rsidRDefault="00773E33" w:rsidP="00773E33">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napToGrid w:val="0"/>
                <w:sz w:val="20"/>
                <w:szCs w:val="20"/>
                <w:lang w:val="en-US"/>
              </w:rPr>
              <w:t xml:space="preserve">Montaňeza </w:t>
            </w:r>
            <w:r w:rsidRPr="00C63262">
              <w:rPr>
                <w:rFonts w:asciiTheme="majorHAnsi" w:hAnsiTheme="majorHAnsi" w:cstheme="majorHAnsi"/>
                <w:color w:val="000000"/>
                <w:sz w:val="20"/>
                <w:szCs w:val="20"/>
                <w:lang w:val="en-US"/>
              </w:rPr>
              <w:t>Elementary School</w:t>
            </w:r>
            <w:r w:rsidRPr="00C63262">
              <w:rPr>
                <w:rFonts w:asciiTheme="majorHAnsi" w:hAnsiTheme="majorHAnsi" w:cstheme="majorHAnsi"/>
                <w:snapToGrid w:val="0"/>
                <w:sz w:val="20"/>
                <w:szCs w:val="20"/>
                <w:lang w:val="en-US"/>
              </w:rPr>
              <w:t xml:space="preserve"> </w:t>
            </w:r>
          </w:p>
        </w:tc>
        <w:tc>
          <w:tcPr>
            <w:tcW w:w="2409" w:type="dxa"/>
            <w:noWrap/>
            <w:hideMark/>
          </w:tcPr>
          <w:p w14:paraId="618A560C" w14:textId="77777777" w:rsidR="00773E33" w:rsidRPr="00C63262" w:rsidRDefault="00773E33" w:rsidP="00773E33">
            <w:pPr>
              <w:widowControl w:val="0"/>
              <w:numPr>
                <w:ilvl w:val="0"/>
                <w:numId w:val="107"/>
              </w:numPr>
              <w:spacing w:before="100" w:beforeAutospacing="1" w:after="100" w:afterAutospacing="1" w:line="360" w:lineRule="auto"/>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Dinah C. Dela Peňa</w:t>
            </w:r>
          </w:p>
        </w:tc>
        <w:tc>
          <w:tcPr>
            <w:tcW w:w="993" w:type="dxa"/>
            <w:noWrap/>
            <w:hideMark/>
          </w:tcPr>
          <w:p w14:paraId="1313E6C0" w14:textId="77777777" w:rsidR="00773E33" w:rsidRPr="00C63262" w:rsidRDefault="00773E33" w:rsidP="00773E33">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F</w:t>
            </w:r>
          </w:p>
        </w:tc>
        <w:tc>
          <w:tcPr>
            <w:tcW w:w="2835" w:type="dxa"/>
          </w:tcPr>
          <w:p w14:paraId="7D8805CC" w14:textId="77777777" w:rsidR="00773E33" w:rsidRPr="00C63262" w:rsidRDefault="00773E33" w:rsidP="00773E33">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Teacher</w:t>
            </w:r>
          </w:p>
        </w:tc>
      </w:tr>
      <w:tr w:rsidR="00773E33" w:rsidRPr="00C63262" w14:paraId="2BD6826C" w14:textId="77777777" w:rsidTr="00150633">
        <w:trPr>
          <w:trHeight w:val="300"/>
        </w:trPr>
        <w:tc>
          <w:tcPr>
            <w:tcW w:w="870" w:type="dxa"/>
            <w:tcBorders>
              <w:top w:val="nil"/>
              <w:bottom w:val="single" w:sz="4" w:space="0" w:color="auto"/>
            </w:tcBorders>
          </w:tcPr>
          <w:p w14:paraId="24842038" w14:textId="77777777" w:rsidR="00773E33" w:rsidRPr="00C63262" w:rsidRDefault="00773E33" w:rsidP="00773E33">
            <w:pPr>
              <w:spacing w:before="100" w:beforeAutospacing="1" w:after="100" w:afterAutospacing="1" w:line="360" w:lineRule="auto"/>
              <w:rPr>
                <w:rFonts w:asciiTheme="majorHAnsi" w:hAnsiTheme="majorHAnsi" w:cstheme="majorHAnsi"/>
                <w:sz w:val="20"/>
                <w:szCs w:val="20"/>
                <w:lang w:val="en-US"/>
              </w:rPr>
            </w:pPr>
          </w:p>
        </w:tc>
        <w:tc>
          <w:tcPr>
            <w:tcW w:w="3520" w:type="dxa"/>
            <w:tcBorders>
              <w:top w:val="nil"/>
              <w:bottom w:val="single" w:sz="4" w:space="0" w:color="auto"/>
            </w:tcBorders>
          </w:tcPr>
          <w:p w14:paraId="19F1E7F4" w14:textId="77777777" w:rsidR="00773E33" w:rsidRPr="00C63262" w:rsidRDefault="00773E33" w:rsidP="00773E33">
            <w:pPr>
              <w:spacing w:before="100" w:beforeAutospacing="1" w:after="100" w:afterAutospacing="1" w:line="360" w:lineRule="auto"/>
              <w:rPr>
                <w:rFonts w:asciiTheme="majorHAnsi" w:hAnsiTheme="majorHAnsi" w:cstheme="majorHAnsi"/>
                <w:sz w:val="20"/>
                <w:szCs w:val="20"/>
                <w:lang w:val="en-US"/>
              </w:rPr>
            </w:pPr>
          </w:p>
        </w:tc>
        <w:tc>
          <w:tcPr>
            <w:tcW w:w="2409" w:type="dxa"/>
            <w:noWrap/>
            <w:hideMark/>
          </w:tcPr>
          <w:p w14:paraId="3BE0F8EE" w14:textId="77777777" w:rsidR="00773E33" w:rsidRPr="00C63262" w:rsidRDefault="00773E33" w:rsidP="00773E33">
            <w:pPr>
              <w:widowControl w:val="0"/>
              <w:numPr>
                <w:ilvl w:val="0"/>
                <w:numId w:val="107"/>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Annalyn A. Carredo</w:t>
            </w:r>
          </w:p>
        </w:tc>
        <w:tc>
          <w:tcPr>
            <w:tcW w:w="993" w:type="dxa"/>
            <w:noWrap/>
            <w:hideMark/>
          </w:tcPr>
          <w:p w14:paraId="40BA96C1"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51365137"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Principal</w:t>
            </w:r>
          </w:p>
        </w:tc>
      </w:tr>
      <w:tr w:rsidR="00773E33" w:rsidRPr="00C63262" w14:paraId="36329BD0" w14:textId="77777777" w:rsidTr="00150633">
        <w:trPr>
          <w:trHeight w:val="300"/>
        </w:trPr>
        <w:tc>
          <w:tcPr>
            <w:tcW w:w="870" w:type="dxa"/>
            <w:tcBorders>
              <w:bottom w:val="nil"/>
            </w:tcBorders>
          </w:tcPr>
          <w:p w14:paraId="1CB506F2" w14:textId="2C1CC1A1" w:rsidR="00773E33" w:rsidRPr="00C63262" w:rsidRDefault="00773E33" w:rsidP="00773E33">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119871</w:t>
            </w:r>
          </w:p>
        </w:tc>
        <w:tc>
          <w:tcPr>
            <w:tcW w:w="3520" w:type="dxa"/>
            <w:tcBorders>
              <w:bottom w:val="nil"/>
            </w:tcBorders>
          </w:tcPr>
          <w:p w14:paraId="40764DC9" w14:textId="4A92222F" w:rsidR="00773E33" w:rsidRPr="00C63262" w:rsidRDefault="00773E33" w:rsidP="00773E33">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napToGrid w:val="0"/>
                <w:color w:val="000000"/>
                <w:sz w:val="20"/>
                <w:szCs w:val="20"/>
                <w:lang w:val="en-US"/>
              </w:rPr>
              <w:t xml:space="preserve">Tisa II </w:t>
            </w:r>
            <w:r w:rsidRPr="00C63262">
              <w:rPr>
                <w:rFonts w:asciiTheme="majorHAnsi" w:hAnsiTheme="majorHAnsi" w:cstheme="majorHAnsi"/>
                <w:color w:val="000000"/>
                <w:sz w:val="20"/>
                <w:szCs w:val="20"/>
                <w:lang w:val="en-US"/>
              </w:rPr>
              <w:t>Elementary School</w:t>
            </w:r>
            <w:r w:rsidRPr="00C63262">
              <w:rPr>
                <w:rFonts w:asciiTheme="majorHAnsi" w:hAnsiTheme="majorHAnsi" w:cstheme="majorHAnsi"/>
                <w:snapToGrid w:val="0"/>
                <w:color w:val="000000"/>
                <w:sz w:val="20"/>
                <w:szCs w:val="20"/>
                <w:lang w:val="en-US"/>
              </w:rPr>
              <w:t xml:space="preserve"> </w:t>
            </w:r>
          </w:p>
        </w:tc>
        <w:tc>
          <w:tcPr>
            <w:tcW w:w="2409" w:type="dxa"/>
            <w:noWrap/>
            <w:hideMark/>
          </w:tcPr>
          <w:p w14:paraId="30ADDD37" w14:textId="77777777" w:rsidR="00773E33" w:rsidRPr="00C63262" w:rsidRDefault="00773E33" w:rsidP="00773E33">
            <w:pPr>
              <w:widowControl w:val="0"/>
              <w:numPr>
                <w:ilvl w:val="0"/>
                <w:numId w:val="107"/>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Honey Riza V. Yu Vega</w:t>
            </w:r>
          </w:p>
        </w:tc>
        <w:tc>
          <w:tcPr>
            <w:tcW w:w="993" w:type="dxa"/>
            <w:noWrap/>
            <w:hideMark/>
          </w:tcPr>
          <w:p w14:paraId="190C5057"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0872C66B"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773E33" w:rsidRPr="00C63262" w14:paraId="47B15CF9" w14:textId="77777777" w:rsidTr="00150633">
        <w:trPr>
          <w:trHeight w:val="300"/>
        </w:trPr>
        <w:tc>
          <w:tcPr>
            <w:tcW w:w="870" w:type="dxa"/>
            <w:tcBorders>
              <w:top w:val="nil"/>
              <w:bottom w:val="nil"/>
            </w:tcBorders>
          </w:tcPr>
          <w:p w14:paraId="09EF2B9C" w14:textId="77777777" w:rsidR="00773E33" w:rsidRPr="00C63262" w:rsidRDefault="00773E33" w:rsidP="00773E33">
            <w:pPr>
              <w:spacing w:before="100" w:beforeAutospacing="1" w:after="100" w:afterAutospacing="1" w:line="360" w:lineRule="auto"/>
              <w:rPr>
                <w:rFonts w:asciiTheme="majorHAnsi" w:hAnsiTheme="majorHAnsi" w:cstheme="majorHAnsi"/>
                <w:sz w:val="20"/>
                <w:szCs w:val="20"/>
                <w:lang w:val="en-US"/>
              </w:rPr>
            </w:pPr>
          </w:p>
        </w:tc>
        <w:tc>
          <w:tcPr>
            <w:tcW w:w="3520" w:type="dxa"/>
            <w:tcBorders>
              <w:top w:val="nil"/>
              <w:bottom w:val="nil"/>
            </w:tcBorders>
          </w:tcPr>
          <w:p w14:paraId="2A229416" w14:textId="77777777" w:rsidR="00773E33" w:rsidRPr="00C63262" w:rsidRDefault="00773E33" w:rsidP="00773E33">
            <w:pPr>
              <w:spacing w:before="100" w:beforeAutospacing="1" w:after="100" w:afterAutospacing="1" w:line="360" w:lineRule="auto"/>
              <w:rPr>
                <w:rFonts w:asciiTheme="majorHAnsi" w:hAnsiTheme="majorHAnsi" w:cstheme="majorHAnsi"/>
                <w:sz w:val="20"/>
                <w:szCs w:val="20"/>
                <w:lang w:val="en-US"/>
              </w:rPr>
            </w:pPr>
          </w:p>
        </w:tc>
        <w:tc>
          <w:tcPr>
            <w:tcW w:w="2409" w:type="dxa"/>
            <w:noWrap/>
            <w:hideMark/>
          </w:tcPr>
          <w:p w14:paraId="0DC65001" w14:textId="77777777" w:rsidR="00773E33" w:rsidRPr="00C63262" w:rsidRDefault="00773E33" w:rsidP="00773E33">
            <w:pPr>
              <w:widowControl w:val="0"/>
              <w:numPr>
                <w:ilvl w:val="0"/>
                <w:numId w:val="107"/>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Maria Daisy P. Taripus</w:t>
            </w:r>
          </w:p>
        </w:tc>
        <w:tc>
          <w:tcPr>
            <w:tcW w:w="993" w:type="dxa"/>
            <w:noWrap/>
            <w:hideMark/>
          </w:tcPr>
          <w:p w14:paraId="0BF7FAC7"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435C518D"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773E33" w:rsidRPr="00C63262" w14:paraId="7C506B26" w14:textId="77777777" w:rsidTr="00150633">
        <w:trPr>
          <w:trHeight w:val="300"/>
        </w:trPr>
        <w:tc>
          <w:tcPr>
            <w:tcW w:w="870" w:type="dxa"/>
            <w:tcBorders>
              <w:top w:val="nil"/>
              <w:bottom w:val="nil"/>
            </w:tcBorders>
          </w:tcPr>
          <w:p w14:paraId="72E6A0C2" w14:textId="77777777" w:rsidR="00773E33" w:rsidRPr="00C63262" w:rsidRDefault="00773E33" w:rsidP="00773E33">
            <w:pPr>
              <w:spacing w:before="100" w:beforeAutospacing="1" w:after="100" w:afterAutospacing="1" w:line="360" w:lineRule="auto"/>
              <w:rPr>
                <w:rFonts w:asciiTheme="majorHAnsi" w:hAnsiTheme="majorHAnsi" w:cstheme="majorHAnsi"/>
                <w:sz w:val="20"/>
                <w:szCs w:val="20"/>
                <w:lang w:val="en-US"/>
              </w:rPr>
            </w:pPr>
          </w:p>
        </w:tc>
        <w:tc>
          <w:tcPr>
            <w:tcW w:w="3520" w:type="dxa"/>
            <w:tcBorders>
              <w:top w:val="nil"/>
              <w:bottom w:val="nil"/>
            </w:tcBorders>
          </w:tcPr>
          <w:p w14:paraId="756234C2" w14:textId="77777777" w:rsidR="00773E33" w:rsidRPr="00C63262" w:rsidRDefault="00773E33" w:rsidP="00773E33">
            <w:pPr>
              <w:spacing w:before="100" w:beforeAutospacing="1" w:after="100" w:afterAutospacing="1" w:line="360" w:lineRule="auto"/>
              <w:rPr>
                <w:rFonts w:asciiTheme="majorHAnsi" w:hAnsiTheme="majorHAnsi" w:cstheme="majorHAnsi"/>
                <w:sz w:val="20"/>
                <w:szCs w:val="20"/>
                <w:lang w:val="en-US"/>
              </w:rPr>
            </w:pPr>
          </w:p>
        </w:tc>
        <w:tc>
          <w:tcPr>
            <w:tcW w:w="2409" w:type="dxa"/>
            <w:noWrap/>
            <w:hideMark/>
          </w:tcPr>
          <w:p w14:paraId="730265FA" w14:textId="77777777" w:rsidR="00773E33" w:rsidRPr="00C63262" w:rsidRDefault="00773E33" w:rsidP="00773E33">
            <w:pPr>
              <w:widowControl w:val="0"/>
              <w:numPr>
                <w:ilvl w:val="0"/>
                <w:numId w:val="107"/>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Reggie Lou T. Savior</w:t>
            </w:r>
          </w:p>
        </w:tc>
        <w:tc>
          <w:tcPr>
            <w:tcW w:w="993" w:type="dxa"/>
            <w:noWrap/>
            <w:hideMark/>
          </w:tcPr>
          <w:p w14:paraId="3E0F1105"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630CC78E"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773E33" w:rsidRPr="00C63262" w14:paraId="32A743C9" w14:textId="77777777" w:rsidTr="00150633">
        <w:trPr>
          <w:trHeight w:val="300"/>
        </w:trPr>
        <w:tc>
          <w:tcPr>
            <w:tcW w:w="870" w:type="dxa"/>
            <w:tcBorders>
              <w:top w:val="nil"/>
              <w:bottom w:val="nil"/>
            </w:tcBorders>
          </w:tcPr>
          <w:p w14:paraId="393A2990" w14:textId="77777777" w:rsidR="00773E33" w:rsidRPr="00C63262" w:rsidRDefault="00773E33" w:rsidP="00773E33">
            <w:pPr>
              <w:spacing w:before="100" w:beforeAutospacing="1" w:after="100" w:afterAutospacing="1" w:line="360" w:lineRule="auto"/>
              <w:rPr>
                <w:rFonts w:asciiTheme="majorHAnsi" w:hAnsiTheme="majorHAnsi" w:cstheme="majorHAnsi"/>
                <w:sz w:val="20"/>
                <w:szCs w:val="20"/>
                <w:lang w:val="en-US"/>
              </w:rPr>
            </w:pPr>
          </w:p>
        </w:tc>
        <w:tc>
          <w:tcPr>
            <w:tcW w:w="3520" w:type="dxa"/>
            <w:tcBorders>
              <w:top w:val="nil"/>
              <w:bottom w:val="nil"/>
            </w:tcBorders>
          </w:tcPr>
          <w:p w14:paraId="245580C5" w14:textId="77777777" w:rsidR="00773E33" w:rsidRPr="00C63262" w:rsidRDefault="00773E33" w:rsidP="00773E33">
            <w:pPr>
              <w:spacing w:before="100" w:beforeAutospacing="1" w:after="100" w:afterAutospacing="1" w:line="360" w:lineRule="auto"/>
              <w:rPr>
                <w:rFonts w:asciiTheme="majorHAnsi" w:hAnsiTheme="majorHAnsi" w:cstheme="majorHAnsi"/>
                <w:sz w:val="20"/>
                <w:szCs w:val="20"/>
                <w:lang w:val="en-US"/>
              </w:rPr>
            </w:pPr>
          </w:p>
        </w:tc>
        <w:tc>
          <w:tcPr>
            <w:tcW w:w="2409" w:type="dxa"/>
            <w:noWrap/>
            <w:hideMark/>
          </w:tcPr>
          <w:p w14:paraId="5A3D0E27" w14:textId="77777777" w:rsidR="00773E33" w:rsidRPr="00C63262" w:rsidRDefault="00773E33" w:rsidP="00773E33">
            <w:pPr>
              <w:widowControl w:val="0"/>
              <w:numPr>
                <w:ilvl w:val="0"/>
                <w:numId w:val="107"/>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Darin F. Nabinga</w:t>
            </w:r>
          </w:p>
        </w:tc>
        <w:tc>
          <w:tcPr>
            <w:tcW w:w="993" w:type="dxa"/>
            <w:noWrap/>
            <w:hideMark/>
          </w:tcPr>
          <w:p w14:paraId="7354CB4D"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170840B6"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773E33" w:rsidRPr="00C63262" w14:paraId="6BF13D18" w14:textId="77777777" w:rsidTr="00150633">
        <w:trPr>
          <w:trHeight w:val="300"/>
        </w:trPr>
        <w:tc>
          <w:tcPr>
            <w:tcW w:w="870" w:type="dxa"/>
            <w:tcBorders>
              <w:top w:val="nil"/>
              <w:bottom w:val="nil"/>
            </w:tcBorders>
          </w:tcPr>
          <w:p w14:paraId="3D75B55F" w14:textId="77777777" w:rsidR="00773E33" w:rsidRPr="00C63262" w:rsidRDefault="00773E33" w:rsidP="00773E33">
            <w:pPr>
              <w:spacing w:before="100" w:beforeAutospacing="1" w:after="100" w:afterAutospacing="1" w:line="360" w:lineRule="auto"/>
              <w:rPr>
                <w:rFonts w:asciiTheme="majorHAnsi" w:hAnsiTheme="majorHAnsi" w:cstheme="majorHAnsi"/>
                <w:sz w:val="20"/>
                <w:szCs w:val="20"/>
                <w:lang w:val="en-US"/>
              </w:rPr>
            </w:pPr>
          </w:p>
        </w:tc>
        <w:tc>
          <w:tcPr>
            <w:tcW w:w="3520" w:type="dxa"/>
            <w:tcBorders>
              <w:top w:val="nil"/>
              <w:bottom w:val="nil"/>
            </w:tcBorders>
          </w:tcPr>
          <w:p w14:paraId="66A82E7E" w14:textId="77777777" w:rsidR="00773E33" w:rsidRPr="00C63262" w:rsidRDefault="00773E33" w:rsidP="00773E33">
            <w:pPr>
              <w:spacing w:before="100" w:beforeAutospacing="1" w:after="100" w:afterAutospacing="1" w:line="360" w:lineRule="auto"/>
              <w:rPr>
                <w:rFonts w:asciiTheme="majorHAnsi" w:hAnsiTheme="majorHAnsi" w:cstheme="majorHAnsi"/>
                <w:sz w:val="20"/>
                <w:szCs w:val="20"/>
                <w:lang w:val="en-US"/>
              </w:rPr>
            </w:pPr>
          </w:p>
        </w:tc>
        <w:tc>
          <w:tcPr>
            <w:tcW w:w="2409" w:type="dxa"/>
            <w:noWrap/>
            <w:hideMark/>
          </w:tcPr>
          <w:p w14:paraId="5142B725" w14:textId="77777777" w:rsidR="00773E33" w:rsidRPr="00C63262" w:rsidRDefault="00773E33" w:rsidP="00773E33">
            <w:pPr>
              <w:widowControl w:val="0"/>
              <w:numPr>
                <w:ilvl w:val="0"/>
                <w:numId w:val="107"/>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Regine P. Lagrimas</w:t>
            </w:r>
          </w:p>
        </w:tc>
        <w:tc>
          <w:tcPr>
            <w:tcW w:w="993" w:type="dxa"/>
            <w:noWrap/>
            <w:hideMark/>
          </w:tcPr>
          <w:p w14:paraId="0778E5FB"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441B7200"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773E33" w:rsidRPr="00C63262" w14:paraId="0AE8CA58" w14:textId="77777777" w:rsidTr="00150633">
        <w:trPr>
          <w:trHeight w:val="300"/>
        </w:trPr>
        <w:tc>
          <w:tcPr>
            <w:tcW w:w="870" w:type="dxa"/>
            <w:tcBorders>
              <w:top w:val="nil"/>
              <w:bottom w:val="single" w:sz="4" w:space="0" w:color="auto"/>
            </w:tcBorders>
          </w:tcPr>
          <w:p w14:paraId="1C336CEA" w14:textId="77777777" w:rsidR="00773E33" w:rsidRPr="00C63262" w:rsidRDefault="00773E33" w:rsidP="00773E33">
            <w:pPr>
              <w:spacing w:before="100" w:beforeAutospacing="1" w:after="100" w:afterAutospacing="1" w:line="360" w:lineRule="auto"/>
              <w:rPr>
                <w:rFonts w:asciiTheme="majorHAnsi" w:hAnsiTheme="majorHAnsi" w:cstheme="majorHAnsi"/>
                <w:sz w:val="20"/>
                <w:szCs w:val="20"/>
                <w:lang w:val="en-US"/>
              </w:rPr>
            </w:pPr>
          </w:p>
        </w:tc>
        <w:tc>
          <w:tcPr>
            <w:tcW w:w="3520" w:type="dxa"/>
            <w:tcBorders>
              <w:top w:val="nil"/>
              <w:bottom w:val="single" w:sz="4" w:space="0" w:color="auto"/>
            </w:tcBorders>
          </w:tcPr>
          <w:p w14:paraId="5890D2C8" w14:textId="77777777" w:rsidR="00773E33" w:rsidRPr="00C63262" w:rsidRDefault="00773E33" w:rsidP="00773E33">
            <w:pPr>
              <w:spacing w:before="100" w:beforeAutospacing="1" w:after="100" w:afterAutospacing="1" w:line="360" w:lineRule="auto"/>
              <w:rPr>
                <w:rFonts w:asciiTheme="majorHAnsi" w:hAnsiTheme="majorHAnsi" w:cstheme="majorHAnsi"/>
                <w:sz w:val="20"/>
                <w:szCs w:val="20"/>
                <w:lang w:val="en-US"/>
              </w:rPr>
            </w:pPr>
          </w:p>
        </w:tc>
        <w:tc>
          <w:tcPr>
            <w:tcW w:w="2409" w:type="dxa"/>
            <w:noWrap/>
            <w:hideMark/>
          </w:tcPr>
          <w:p w14:paraId="4444548D" w14:textId="77777777" w:rsidR="00773E33" w:rsidRPr="00C63262" w:rsidRDefault="00773E33" w:rsidP="00773E33">
            <w:pPr>
              <w:widowControl w:val="0"/>
              <w:numPr>
                <w:ilvl w:val="0"/>
                <w:numId w:val="107"/>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Maricar E. Palomo</w:t>
            </w:r>
          </w:p>
        </w:tc>
        <w:tc>
          <w:tcPr>
            <w:tcW w:w="993" w:type="dxa"/>
            <w:noWrap/>
            <w:hideMark/>
          </w:tcPr>
          <w:p w14:paraId="0C6C7B05"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38B82178"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773E33" w:rsidRPr="00C63262" w14:paraId="0E6AD212" w14:textId="77777777" w:rsidTr="00150633">
        <w:trPr>
          <w:trHeight w:val="300"/>
        </w:trPr>
        <w:tc>
          <w:tcPr>
            <w:tcW w:w="870" w:type="dxa"/>
            <w:tcBorders>
              <w:bottom w:val="nil"/>
            </w:tcBorders>
          </w:tcPr>
          <w:p w14:paraId="6EC601F7" w14:textId="531CF464" w:rsidR="00773E33" w:rsidRPr="00C63262" w:rsidRDefault="00D434EB" w:rsidP="00150633">
            <w:pPr>
              <w:spacing w:before="100" w:beforeAutospacing="1" w:after="100" w:afterAutospacing="1" w:line="360" w:lineRule="auto"/>
              <w:rPr>
                <w:rFonts w:asciiTheme="majorHAnsi" w:hAnsiTheme="majorHAnsi" w:cstheme="majorHAnsi"/>
                <w:sz w:val="20"/>
                <w:szCs w:val="20"/>
                <w:lang w:val="en-US"/>
              </w:rPr>
            </w:pPr>
            <w:r>
              <w:rPr>
                <w:rFonts w:asciiTheme="majorHAnsi" w:hAnsiTheme="majorHAnsi" w:cstheme="majorHAnsi"/>
                <w:sz w:val="20"/>
                <w:szCs w:val="20"/>
                <w:lang w:val="en-US"/>
              </w:rPr>
              <w:t xml:space="preserve"> </w:t>
            </w:r>
            <w:r w:rsidR="00773E33" w:rsidRPr="00C63262">
              <w:rPr>
                <w:rFonts w:asciiTheme="majorHAnsi" w:eastAsiaTheme="minorHAnsi" w:hAnsiTheme="majorHAnsi" w:cstheme="majorHAnsi"/>
                <w:sz w:val="20"/>
                <w:szCs w:val="20"/>
              </w:rPr>
              <w:t>187030</w:t>
            </w:r>
          </w:p>
        </w:tc>
        <w:tc>
          <w:tcPr>
            <w:tcW w:w="3520" w:type="dxa"/>
            <w:tcBorders>
              <w:bottom w:val="nil"/>
            </w:tcBorders>
          </w:tcPr>
          <w:p w14:paraId="63364EF2" w14:textId="77777777" w:rsidR="00773E33" w:rsidRPr="00C63262" w:rsidRDefault="00773E33" w:rsidP="00773E33">
            <w:pPr>
              <w:widowControl w:val="0"/>
              <w:numPr>
                <w:ilvl w:val="0"/>
                <w:numId w:val="108"/>
              </w:numPr>
              <w:spacing w:before="100" w:beforeAutospacing="1" w:after="100" w:afterAutospacing="1" w:line="360" w:lineRule="auto"/>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 xml:space="preserve">Inoburan </w:t>
            </w:r>
            <w:r w:rsidRPr="00C63262">
              <w:rPr>
                <w:rFonts w:asciiTheme="majorHAnsi" w:hAnsiTheme="majorHAnsi" w:cstheme="majorHAnsi"/>
                <w:color w:val="000000"/>
                <w:sz w:val="20"/>
                <w:szCs w:val="20"/>
                <w:lang w:val="en-US"/>
              </w:rPr>
              <w:t>Elementary School</w:t>
            </w:r>
            <w:r w:rsidRPr="00C63262">
              <w:rPr>
                <w:rFonts w:asciiTheme="majorHAnsi" w:hAnsiTheme="majorHAnsi" w:cstheme="majorHAnsi"/>
                <w:snapToGrid w:val="0"/>
                <w:sz w:val="20"/>
                <w:szCs w:val="20"/>
                <w:lang w:val="en-US"/>
              </w:rPr>
              <w:t xml:space="preserve"> </w:t>
            </w:r>
          </w:p>
          <w:p w14:paraId="5AFA2059" w14:textId="77777777" w:rsidR="00773E33" w:rsidRPr="00C63262" w:rsidRDefault="00773E33" w:rsidP="00773E33">
            <w:pPr>
              <w:spacing w:before="100" w:beforeAutospacing="1" w:after="100" w:afterAutospacing="1" w:line="360" w:lineRule="auto"/>
              <w:rPr>
                <w:rFonts w:asciiTheme="majorHAnsi" w:hAnsiTheme="majorHAnsi" w:cstheme="majorHAnsi"/>
                <w:sz w:val="20"/>
                <w:szCs w:val="20"/>
                <w:lang w:val="en-US"/>
              </w:rPr>
            </w:pPr>
          </w:p>
        </w:tc>
        <w:tc>
          <w:tcPr>
            <w:tcW w:w="2409" w:type="dxa"/>
            <w:noWrap/>
            <w:hideMark/>
          </w:tcPr>
          <w:p w14:paraId="1CBE0FE0" w14:textId="77777777" w:rsidR="00773E33" w:rsidRPr="00C63262" w:rsidRDefault="00773E33" w:rsidP="00773E33">
            <w:pPr>
              <w:widowControl w:val="0"/>
              <w:numPr>
                <w:ilvl w:val="0"/>
                <w:numId w:val="107"/>
              </w:numPr>
              <w:spacing w:before="100" w:beforeAutospacing="1" w:after="100" w:afterAutospacing="1" w:line="360" w:lineRule="auto"/>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Floreste P. Sayan</w:t>
            </w:r>
          </w:p>
        </w:tc>
        <w:tc>
          <w:tcPr>
            <w:tcW w:w="993" w:type="dxa"/>
            <w:noWrap/>
            <w:hideMark/>
          </w:tcPr>
          <w:p w14:paraId="4273B467" w14:textId="77777777" w:rsidR="00773E33" w:rsidRPr="00C63262" w:rsidRDefault="00773E33" w:rsidP="00773E33">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F</w:t>
            </w:r>
          </w:p>
        </w:tc>
        <w:tc>
          <w:tcPr>
            <w:tcW w:w="2835" w:type="dxa"/>
          </w:tcPr>
          <w:p w14:paraId="6BDCBDD0" w14:textId="77777777" w:rsidR="00773E33" w:rsidRPr="00C63262" w:rsidRDefault="00773E33" w:rsidP="00773E33">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Teacher</w:t>
            </w:r>
          </w:p>
        </w:tc>
      </w:tr>
      <w:tr w:rsidR="00773E33" w:rsidRPr="00C63262" w14:paraId="14704CBC" w14:textId="77777777" w:rsidTr="00150633">
        <w:trPr>
          <w:trHeight w:val="300"/>
        </w:trPr>
        <w:tc>
          <w:tcPr>
            <w:tcW w:w="870" w:type="dxa"/>
            <w:tcBorders>
              <w:top w:val="nil"/>
              <w:bottom w:val="single" w:sz="4" w:space="0" w:color="auto"/>
            </w:tcBorders>
          </w:tcPr>
          <w:p w14:paraId="55B107C3" w14:textId="77777777" w:rsidR="00773E33" w:rsidRPr="00C63262" w:rsidRDefault="00773E33" w:rsidP="00773E33">
            <w:pPr>
              <w:spacing w:before="100" w:beforeAutospacing="1" w:after="100" w:afterAutospacing="1" w:line="360" w:lineRule="auto"/>
              <w:rPr>
                <w:rFonts w:asciiTheme="majorHAnsi" w:hAnsiTheme="majorHAnsi" w:cstheme="majorHAnsi"/>
                <w:sz w:val="20"/>
                <w:szCs w:val="20"/>
                <w:lang w:val="en-US"/>
              </w:rPr>
            </w:pPr>
          </w:p>
        </w:tc>
        <w:tc>
          <w:tcPr>
            <w:tcW w:w="3520" w:type="dxa"/>
            <w:tcBorders>
              <w:top w:val="nil"/>
              <w:bottom w:val="single" w:sz="4" w:space="0" w:color="auto"/>
            </w:tcBorders>
          </w:tcPr>
          <w:p w14:paraId="3363CF51" w14:textId="77777777" w:rsidR="00773E33" w:rsidRPr="00C63262" w:rsidRDefault="00773E33" w:rsidP="00773E33">
            <w:pPr>
              <w:spacing w:before="100" w:beforeAutospacing="1" w:after="100" w:afterAutospacing="1" w:line="360" w:lineRule="auto"/>
              <w:rPr>
                <w:rFonts w:asciiTheme="majorHAnsi" w:hAnsiTheme="majorHAnsi" w:cstheme="majorHAnsi"/>
                <w:sz w:val="20"/>
                <w:szCs w:val="20"/>
                <w:lang w:val="en-US"/>
              </w:rPr>
            </w:pPr>
          </w:p>
        </w:tc>
        <w:tc>
          <w:tcPr>
            <w:tcW w:w="2409" w:type="dxa"/>
            <w:noWrap/>
            <w:hideMark/>
          </w:tcPr>
          <w:p w14:paraId="1993A606" w14:textId="77777777" w:rsidR="00773E33" w:rsidRPr="00C63262" w:rsidRDefault="00773E33" w:rsidP="00773E33">
            <w:pPr>
              <w:widowControl w:val="0"/>
              <w:numPr>
                <w:ilvl w:val="0"/>
                <w:numId w:val="107"/>
              </w:numPr>
              <w:spacing w:before="100" w:beforeAutospacing="1" w:after="100" w:afterAutospacing="1" w:line="360" w:lineRule="auto"/>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Mary Jesenine B. Abasolo</w:t>
            </w:r>
          </w:p>
        </w:tc>
        <w:tc>
          <w:tcPr>
            <w:tcW w:w="993" w:type="dxa"/>
            <w:noWrap/>
            <w:hideMark/>
          </w:tcPr>
          <w:p w14:paraId="5054E5A2" w14:textId="77777777" w:rsidR="00773E33" w:rsidRPr="00C63262" w:rsidRDefault="00773E33" w:rsidP="00773E33">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F</w:t>
            </w:r>
          </w:p>
        </w:tc>
        <w:tc>
          <w:tcPr>
            <w:tcW w:w="2835" w:type="dxa"/>
          </w:tcPr>
          <w:p w14:paraId="63FA4D31" w14:textId="77777777" w:rsidR="00773E33" w:rsidRPr="00C63262" w:rsidRDefault="00773E33" w:rsidP="00773E33">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Principal</w:t>
            </w:r>
          </w:p>
        </w:tc>
      </w:tr>
      <w:tr w:rsidR="00773E33" w:rsidRPr="00C63262" w14:paraId="68B06393" w14:textId="77777777" w:rsidTr="00150633">
        <w:trPr>
          <w:trHeight w:val="300"/>
        </w:trPr>
        <w:tc>
          <w:tcPr>
            <w:tcW w:w="870" w:type="dxa"/>
            <w:tcBorders>
              <w:bottom w:val="nil"/>
            </w:tcBorders>
          </w:tcPr>
          <w:p w14:paraId="60921876" w14:textId="77777777" w:rsidR="00773E33" w:rsidRPr="00C63262" w:rsidRDefault="00773E33" w:rsidP="00773E33">
            <w:pPr>
              <w:spacing w:before="100" w:beforeAutospacing="1" w:after="100" w:afterAutospacing="1" w:line="360" w:lineRule="auto"/>
              <w:rPr>
                <w:rFonts w:asciiTheme="majorHAnsi" w:hAnsiTheme="majorHAnsi" w:cstheme="majorHAnsi"/>
                <w:sz w:val="20"/>
                <w:szCs w:val="20"/>
                <w:lang w:val="en-US"/>
              </w:rPr>
            </w:pPr>
          </w:p>
        </w:tc>
        <w:tc>
          <w:tcPr>
            <w:tcW w:w="3520" w:type="dxa"/>
            <w:tcBorders>
              <w:bottom w:val="nil"/>
            </w:tcBorders>
          </w:tcPr>
          <w:p w14:paraId="79513933" w14:textId="77777777" w:rsidR="00773E33" w:rsidRPr="00C63262" w:rsidRDefault="00773E33" w:rsidP="00773E33">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Division of Bohol</w:t>
            </w:r>
          </w:p>
          <w:p w14:paraId="3C0C5190" w14:textId="77777777" w:rsidR="00773E33" w:rsidRPr="00C63262" w:rsidRDefault="00773E33" w:rsidP="00773E33">
            <w:pPr>
              <w:spacing w:before="100" w:beforeAutospacing="1" w:after="100" w:afterAutospacing="1" w:line="360" w:lineRule="auto"/>
              <w:rPr>
                <w:rFonts w:asciiTheme="majorHAnsi" w:hAnsiTheme="majorHAnsi" w:cstheme="majorHAnsi"/>
                <w:sz w:val="20"/>
                <w:szCs w:val="20"/>
                <w:lang w:val="en-US"/>
              </w:rPr>
            </w:pPr>
          </w:p>
          <w:p w14:paraId="70F3A6DC" w14:textId="77777777" w:rsidR="00773E33" w:rsidRPr="00C63262" w:rsidRDefault="00773E33" w:rsidP="00773E33">
            <w:pPr>
              <w:spacing w:before="100" w:beforeAutospacing="1" w:after="100" w:afterAutospacing="1" w:line="360" w:lineRule="auto"/>
              <w:rPr>
                <w:rFonts w:asciiTheme="majorHAnsi" w:hAnsiTheme="majorHAnsi" w:cstheme="majorHAnsi"/>
                <w:sz w:val="20"/>
                <w:szCs w:val="20"/>
                <w:lang w:val="en-US"/>
              </w:rPr>
            </w:pPr>
          </w:p>
        </w:tc>
        <w:tc>
          <w:tcPr>
            <w:tcW w:w="2409" w:type="dxa"/>
            <w:noWrap/>
            <w:hideMark/>
          </w:tcPr>
          <w:p w14:paraId="75BCC943" w14:textId="77777777" w:rsidR="00773E33" w:rsidRPr="00C63262" w:rsidRDefault="00773E33" w:rsidP="00773E33">
            <w:pPr>
              <w:widowControl w:val="0"/>
              <w:numPr>
                <w:ilvl w:val="0"/>
                <w:numId w:val="107"/>
              </w:numPr>
              <w:spacing w:before="100" w:beforeAutospacing="1" w:after="100" w:afterAutospacing="1" w:line="360" w:lineRule="auto"/>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Carmela M. Restifical</w:t>
            </w:r>
          </w:p>
        </w:tc>
        <w:tc>
          <w:tcPr>
            <w:tcW w:w="993" w:type="dxa"/>
            <w:noWrap/>
            <w:hideMark/>
          </w:tcPr>
          <w:p w14:paraId="6681F88A" w14:textId="77777777" w:rsidR="00773E33" w:rsidRPr="00C63262" w:rsidRDefault="00773E33" w:rsidP="00773E33">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F</w:t>
            </w:r>
          </w:p>
        </w:tc>
        <w:tc>
          <w:tcPr>
            <w:tcW w:w="2835" w:type="dxa"/>
          </w:tcPr>
          <w:p w14:paraId="2328A0E0" w14:textId="77777777" w:rsidR="00773E33" w:rsidRPr="00C63262" w:rsidRDefault="00773E33" w:rsidP="00773E33">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Curriculum and Learning Management Division</w:t>
            </w:r>
          </w:p>
        </w:tc>
      </w:tr>
      <w:tr w:rsidR="00773E33" w:rsidRPr="00C63262" w14:paraId="6A1DD949" w14:textId="77777777" w:rsidTr="004B064D">
        <w:trPr>
          <w:trHeight w:val="300"/>
        </w:trPr>
        <w:tc>
          <w:tcPr>
            <w:tcW w:w="870" w:type="dxa"/>
            <w:tcBorders>
              <w:top w:val="nil"/>
              <w:bottom w:val="single" w:sz="4" w:space="0" w:color="auto"/>
            </w:tcBorders>
          </w:tcPr>
          <w:p w14:paraId="0C757F79"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p>
        </w:tc>
        <w:tc>
          <w:tcPr>
            <w:tcW w:w="3520" w:type="dxa"/>
            <w:tcBorders>
              <w:top w:val="nil"/>
              <w:bottom w:val="single" w:sz="4" w:space="0" w:color="auto"/>
            </w:tcBorders>
          </w:tcPr>
          <w:p w14:paraId="2C923838"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tcBorders>
              <w:bottom w:val="single" w:sz="4" w:space="0" w:color="auto"/>
            </w:tcBorders>
            <w:noWrap/>
            <w:hideMark/>
          </w:tcPr>
          <w:p w14:paraId="70C1A5E5" w14:textId="77777777" w:rsidR="00773E33" w:rsidRPr="00C63262" w:rsidRDefault="00773E33" w:rsidP="00773E33">
            <w:pPr>
              <w:widowControl w:val="0"/>
              <w:numPr>
                <w:ilvl w:val="0"/>
                <w:numId w:val="107"/>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Alodia M. Calunsag</w:t>
            </w:r>
          </w:p>
        </w:tc>
        <w:tc>
          <w:tcPr>
            <w:tcW w:w="993" w:type="dxa"/>
            <w:tcBorders>
              <w:bottom w:val="single" w:sz="4" w:space="0" w:color="auto"/>
            </w:tcBorders>
            <w:noWrap/>
            <w:hideMark/>
          </w:tcPr>
          <w:p w14:paraId="50063069"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Borders>
              <w:bottom w:val="single" w:sz="4" w:space="0" w:color="auto"/>
            </w:tcBorders>
          </w:tcPr>
          <w:p w14:paraId="187C0D7B"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Finance</w:t>
            </w:r>
          </w:p>
        </w:tc>
      </w:tr>
      <w:tr w:rsidR="00773E33" w:rsidRPr="00C63262" w14:paraId="54D36D73" w14:textId="77777777" w:rsidTr="004B064D">
        <w:trPr>
          <w:trHeight w:val="300"/>
        </w:trPr>
        <w:tc>
          <w:tcPr>
            <w:tcW w:w="870" w:type="dxa"/>
            <w:tcBorders>
              <w:top w:val="single" w:sz="4" w:space="0" w:color="auto"/>
            </w:tcBorders>
          </w:tcPr>
          <w:p w14:paraId="5E9B6606"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p>
        </w:tc>
        <w:tc>
          <w:tcPr>
            <w:tcW w:w="3520" w:type="dxa"/>
            <w:tcBorders>
              <w:top w:val="single" w:sz="4" w:space="0" w:color="auto"/>
            </w:tcBorders>
          </w:tcPr>
          <w:p w14:paraId="0618C565"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tcBorders>
              <w:top w:val="single" w:sz="4" w:space="0" w:color="auto"/>
            </w:tcBorders>
            <w:noWrap/>
            <w:hideMark/>
          </w:tcPr>
          <w:p w14:paraId="3DC98DCD" w14:textId="77777777" w:rsidR="00773E33" w:rsidRPr="00C63262" w:rsidRDefault="00773E33" w:rsidP="00773E33">
            <w:pPr>
              <w:widowControl w:val="0"/>
              <w:numPr>
                <w:ilvl w:val="0"/>
                <w:numId w:val="107"/>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Jan Jayryll B. Borja</w:t>
            </w:r>
          </w:p>
        </w:tc>
        <w:tc>
          <w:tcPr>
            <w:tcW w:w="993" w:type="dxa"/>
            <w:tcBorders>
              <w:top w:val="single" w:sz="4" w:space="0" w:color="auto"/>
            </w:tcBorders>
            <w:noWrap/>
            <w:hideMark/>
          </w:tcPr>
          <w:p w14:paraId="7851B654"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M</w:t>
            </w:r>
          </w:p>
        </w:tc>
        <w:tc>
          <w:tcPr>
            <w:tcW w:w="2835" w:type="dxa"/>
            <w:tcBorders>
              <w:top w:val="single" w:sz="4" w:space="0" w:color="auto"/>
            </w:tcBorders>
          </w:tcPr>
          <w:p w14:paraId="71CCB1F1"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Human Resource Management Officer</w:t>
            </w:r>
          </w:p>
        </w:tc>
      </w:tr>
      <w:tr w:rsidR="00773E33" w:rsidRPr="00C63262" w14:paraId="6CAEA58D" w14:textId="77777777" w:rsidTr="00150633">
        <w:trPr>
          <w:trHeight w:val="300"/>
        </w:trPr>
        <w:tc>
          <w:tcPr>
            <w:tcW w:w="870" w:type="dxa"/>
            <w:tcBorders>
              <w:bottom w:val="single" w:sz="4" w:space="0" w:color="auto"/>
            </w:tcBorders>
          </w:tcPr>
          <w:p w14:paraId="3DE16A95"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p>
        </w:tc>
        <w:tc>
          <w:tcPr>
            <w:tcW w:w="3520" w:type="dxa"/>
            <w:tcBorders>
              <w:bottom w:val="single" w:sz="4" w:space="0" w:color="auto"/>
            </w:tcBorders>
          </w:tcPr>
          <w:p w14:paraId="1CCBC51F"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728C9F57" w14:textId="77777777" w:rsidR="00773E33" w:rsidRPr="00C63262" w:rsidRDefault="00773E33" w:rsidP="00773E33">
            <w:pPr>
              <w:widowControl w:val="0"/>
              <w:numPr>
                <w:ilvl w:val="0"/>
                <w:numId w:val="107"/>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Desiderio V. Pengero</w:t>
            </w:r>
          </w:p>
        </w:tc>
        <w:tc>
          <w:tcPr>
            <w:tcW w:w="993" w:type="dxa"/>
            <w:noWrap/>
            <w:hideMark/>
          </w:tcPr>
          <w:p w14:paraId="17C9CA90"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M</w:t>
            </w:r>
          </w:p>
        </w:tc>
        <w:tc>
          <w:tcPr>
            <w:tcW w:w="2835" w:type="dxa"/>
          </w:tcPr>
          <w:p w14:paraId="336CB6D4"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School Governance and Operations Division</w:t>
            </w:r>
          </w:p>
        </w:tc>
      </w:tr>
      <w:tr w:rsidR="00773E33" w:rsidRPr="00C63262" w14:paraId="73A77D46" w14:textId="77777777" w:rsidTr="00150633">
        <w:trPr>
          <w:trHeight w:val="819"/>
        </w:trPr>
        <w:tc>
          <w:tcPr>
            <w:tcW w:w="870" w:type="dxa"/>
            <w:tcBorders>
              <w:bottom w:val="nil"/>
            </w:tcBorders>
          </w:tcPr>
          <w:p w14:paraId="0735C636"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p>
        </w:tc>
        <w:tc>
          <w:tcPr>
            <w:tcW w:w="3520" w:type="dxa"/>
            <w:tcBorders>
              <w:bottom w:val="nil"/>
            </w:tcBorders>
          </w:tcPr>
          <w:p w14:paraId="3E027789" w14:textId="0025B3CD" w:rsidR="00773E33" w:rsidRPr="00C63262" w:rsidRDefault="00773E33" w:rsidP="001506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Region 7 office</w:t>
            </w:r>
          </w:p>
        </w:tc>
        <w:tc>
          <w:tcPr>
            <w:tcW w:w="2409" w:type="dxa"/>
            <w:noWrap/>
            <w:hideMark/>
          </w:tcPr>
          <w:p w14:paraId="45FE93A8" w14:textId="77777777" w:rsidR="00773E33" w:rsidRPr="00C63262" w:rsidRDefault="00773E33" w:rsidP="00773E33">
            <w:pPr>
              <w:widowControl w:val="0"/>
              <w:numPr>
                <w:ilvl w:val="0"/>
                <w:numId w:val="107"/>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Elaine F. Perfecto</w:t>
            </w:r>
          </w:p>
        </w:tc>
        <w:tc>
          <w:tcPr>
            <w:tcW w:w="993" w:type="dxa"/>
            <w:noWrap/>
            <w:hideMark/>
          </w:tcPr>
          <w:p w14:paraId="52736CF8"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3128573D"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Curriculum and Learning Management Division</w:t>
            </w:r>
          </w:p>
        </w:tc>
      </w:tr>
      <w:tr w:rsidR="00773E33" w:rsidRPr="00C63262" w14:paraId="4C5A5083" w14:textId="77777777" w:rsidTr="00150633">
        <w:trPr>
          <w:trHeight w:val="300"/>
        </w:trPr>
        <w:tc>
          <w:tcPr>
            <w:tcW w:w="870" w:type="dxa"/>
            <w:tcBorders>
              <w:top w:val="nil"/>
              <w:bottom w:val="nil"/>
            </w:tcBorders>
          </w:tcPr>
          <w:p w14:paraId="4D4B4E99"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p>
        </w:tc>
        <w:tc>
          <w:tcPr>
            <w:tcW w:w="3520" w:type="dxa"/>
            <w:tcBorders>
              <w:top w:val="nil"/>
              <w:bottom w:val="nil"/>
            </w:tcBorders>
          </w:tcPr>
          <w:p w14:paraId="489E3B6C"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259BA255" w14:textId="77777777" w:rsidR="00773E33" w:rsidRPr="00C63262" w:rsidRDefault="00773E33" w:rsidP="00773E33">
            <w:pPr>
              <w:widowControl w:val="0"/>
              <w:numPr>
                <w:ilvl w:val="0"/>
                <w:numId w:val="107"/>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Maurita F. Ponce</w:t>
            </w:r>
          </w:p>
        </w:tc>
        <w:tc>
          <w:tcPr>
            <w:tcW w:w="993" w:type="dxa"/>
            <w:noWrap/>
            <w:hideMark/>
          </w:tcPr>
          <w:p w14:paraId="5EAF4DA6"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0642D10B" w14:textId="77777777" w:rsidR="00773E33" w:rsidRPr="00C63262" w:rsidRDefault="00773E33" w:rsidP="00773E33">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color w:val="000000"/>
                <w:sz w:val="20"/>
                <w:szCs w:val="20"/>
                <w:lang w:val="en-US"/>
              </w:rPr>
              <w:t>Curriculum and Learning Management Division</w:t>
            </w:r>
          </w:p>
        </w:tc>
      </w:tr>
      <w:tr w:rsidR="00773E33" w:rsidRPr="00C63262" w14:paraId="5D75147C" w14:textId="77777777" w:rsidTr="00150633">
        <w:trPr>
          <w:trHeight w:val="300"/>
        </w:trPr>
        <w:tc>
          <w:tcPr>
            <w:tcW w:w="870" w:type="dxa"/>
            <w:tcBorders>
              <w:top w:val="nil"/>
              <w:bottom w:val="nil"/>
            </w:tcBorders>
          </w:tcPr>
          <w:p w14:paraId="075D1814"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p>
        </w:tc>
        <w:tc>
          <w:tcPr>
            <w:tcW w:w="3520" w:type="dxa"/>
            <w:tcBorders>
              <w:top w:val="nil"/>
              <w:bottom w:val="nil"/>
            </w:tcBorders>
          </w:tcPr>
          <w:p w14:paraId="4FB26D8E"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18DFA43B" w14:textId="77777777" w:rsidR="00773E33" w:rsidRPr="00C63262" w:rsidRDefault="00773E33" w:rsidP="00773E33">
            <w:pPr>
              <w:widowControl w:val="0"/>
              <w:numPr>
                <w:ilvl w:val="0"/>
                <w:numId w:val="107"/>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Juanita F. Nezapatu</w:t>
            </w:r>
          </w:p>
        </w:tc>
        <w:tc>
          <w:tcPr>
            <w:tcW w:w="993" w:type="dxa"/>
            <w:noWrap/>
            <w:hideMark/>
          </w:tcPr>
          <w:p w14:paraId="56AC1F22"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243341EE" w14:textId="77777777" w:rsidR="00773E33" w:rsidRPr="00C63262" w:rsidRDefault="00773E33" w:rsidP="00773E33">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color w:val="000000"/>
                <w:sz w:val="20"/>
                <w:szCs w:val="20"/>
                <w:lang w:val="en-US"/>
              </w:rPr>
              <w:t>Curriculum and Learning Management Division</w:t>
            </w:r>
          </w:p>
        </w:tc>
      </w:tr>
      <w:tr w:rsidR="00773E33" w:rsidRPr="00C63262" w14:paraId="16D47813" w14:textId="77777777" w:rsidTr="00150633">
        <w:trPr>
          <w:trHeight w:val="300"/>
        </w:trPr>
        <w:tc>
          <w:tcPr>
            <w:tcW w:w="870" w:type="dxa"/>
            <w:tcBorders>
              <w:top w:val="nil"/>
              <w:bottom w:val="nil"/>
            </w:tcBorders>
          </w:tcPr>
          <w:p w14:paraId="3513B794"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p>
        </w:tc>
        <w:tc>
          <w:tcPr>
            <w:tcW w:w="3520" w:type="dxa"/>
            <w:tcBorders>
              <w:top w:val="nil"/>
              <w:bottom w:val="nil"/>
            </w:tcBorders>
          </w:tcPr>
          <w:p w14:paraId="52BA9180"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60CBD007" w14:textId="77777777" w:rsidR="00773E33" w:rsidRPr="00C63262" w:rsidRDefault="00773E33" w:rsidP="00773E33">
            <w:pPr>
              <w:widowControl w:val="0"/>
              <w:numPr>
                <w:ilvl w:val="0"/>
                <w:numId w:val="107"/>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Cesar A. Restauro Jr.</w:t>
            </w:r>
          </w:p>
        </w:tc>
        <w:tc>
          <w:tcPr>
            <w:tcW w:w="993" w:type="dxa"/>
            <w:noWrap/>
            <w:hideMark/>
          </w:tcPr>
          <w:p w14:paraId="05F87796"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M</w:t>
            </w:r>
          </w:p>
        </w:tc>
        <w:tc>
          <w:tcPr>
            <w:tcW w:w="2835" w:type="dxa"/>
          </w:tcPr>
          <w:p w14:paraId="28105D35" w14:textId="77777777" w:rsidR="00773E33" w:rsidRPr="00C63262" w:rsidRDefault="00773E33" w:rsidP="00773E33">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color w:val="000000"/>
                <w:sz w:val="20"/>
                <w:szCs w:val="20"/>
                <w:lang w:val="en-US"/>
              </w:rPr>
              <w:t>Curriculum and Learning Management Division</w:t>
            </w:r>
          </w:p>
        </w:tc>
      </w:tr>
      <w:tr w:rsidR="00773E33" w:rsidRPr="00C63262" w14:paraId="061B5A1C" w14:textId="77777777" w:rsidTr="0086557D">
        <w:trPr>
          <w:trHeight w:val="300"/>
        </w:trPr>
        <w:tc>
          <w:tcPr>
            <w:tcW w:w="870" w:type="dxa"/>
            <w:tcBorders>
              <w:top w:val="nil"/>
              <w:bottom w:val="nil"/>
            </w:tcBorders>
          </w:tcPr>
          <w:p w14:paraId="2A3E24C2"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p>
        </w:tc>
        <w:tc>
          <w:tcPr>
            <w:tcW w:w="3520" w:type="dxa"/>
            <w:tcBorders>
              <w:top w:val="nil"/>
              <w:bottom w:val="nil"/>
            </w:tcBorders>
          </w:tcPr>
          <w:p w14:paraId="44F1E1E9"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0F1BD89D" w14:textId="77777777" w:rsidR="00773E33" w:rsidRPr="00C63262" w:rsidRDefault="00773E33" w:rsidP="00773E33">
            <w:pPr>
              <w:widowControl w:val="0"/>
              <w:numPr>
                <w:ilvl w:val="0"/>
                <w:numId w:val="107"/>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Ranilo L. Edar</w:t>
            </w:r>
          </w:p>
        </w:tc>
        <w:tc>
          <w:tcPr>
            <w:tcW w:w="993" w:type="dxa"/>
            <w:noWrap/>
            <w:hideMark/>
          </w:tcPr>
          <w:p w14:paraId="3A51B44F"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M</w:t>
            </w:r>
          </w:p>
        </w:tc>
        <w:tc>
          <w:tcPr>
            <w:tcW w:w="2835" w:type="dxa"/>
          </w:tcPr>
          <w:p w14:paraId="6B7F1A28"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Education Support Services Division</w:t>
            </w:r>
          </w:p>
        </w:tc>
      </w:tr>
      <w:tr w:rsidR="00773E33" w:rsidRPr="00C63262" w14:paraId="25534CAD" w14:textId="77777777" w:rsidTr="0086557D">
        <w:trPr>
          <w:trHeight w:val="300"/>
        </w:trPr>
        <w:tc>
          <w:tcPr>
            <w:tcW w:w="870" w:type="dxa"/>
            <w:tcBorders>
              <w:top w:val="nil"/>
              <w:bottom w:val="nil"/>
            </w:tcBorders>
          </w:tcPr>
          <w:p w14:paraId="0A5112F5"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p>
        </w:tc>
        <w:tc>
          <w:tcPr>
            <w:tcW w:w="3520" w:type="dxa"/>
            <w:tcBorders>
              <w:top w:val="nil"/>
              <w:bottom w:val="nil"/>
            </w:tcBorders>
          </w:tcPr>
          <w:p w14:paraId="5EBE554E"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14D0D160" w14:textId="77777777" w:rsidR="00773E33" w:rsidRPr="00C63262" w:rsidRDefault="00773E33" w:rsidP="00773E33">
            <w:pPr>
              <w:widowControl w:val="0"/>
              <w:numPr>
                <w:ilvl w:val="0"/>
                <w:numId w:val="107"/>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Doris F. Esmero</w:t>
            </w:r>
          </w:p>
        </w:tc>
        <w:tc>
          <w:tcPr>
            <w:tcW w:w="993" w:type="dxa"/>
            <w:noWrap/>
            <w:hideMark/>
          </w:tcPr>
          <w:p w14:paraId="29FD1BEE"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6E253AF2"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Field Technical Assistance Division</w:t>
            </w:r>
          </w:p>
        </w:tc>
      </w:tr>
      <w:tr w:rsidR="00773E33" w:rsidRPr="00C63262" w14:paraId="29709FF0" w14:textId="77777777" w:rsidTr="0086557D">
        <w:trPr>
          <w:trHeight w:val="300"/>
        </w:trPr>
        <w:tc>
          <w:tcPr>
            <w:tcW w:w="870" w:type="dxa"/>
            <w:tcBorders>
              <w:top w:val="nil"/>
              <w:bottom w:val="nil"/>
            </w:tcBorders>
          </w:tcPr>
          <w:p w14:paraId="6F95C4E5"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p>
        </w:tc>
        <w:tc>
          <w:tcPr>
            <w:tcW w:w="3520" w:type="dxa"/>
            <w:tcBorders>
              <w:top w:val="nil"/>
              <w:bottom w:val="nil"/>
            </w:tcBorders>
          </w:tcPr>
          <w:p w14:paraId="4EA39595"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3A941214" w14:textId="77777777" w:rsidR="00773E33" w:rsidRPr="00C63262" w:rsidRDefault="00773E33" w:rsidP="00773E33">
            <w:pPr>
              <w:widowControl w:val="0"/>
              <w:numPr>
                <w:ilvl w:val="0"/>
                <w:numId w:val="107"/>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Czar Augustus P. Ariza</w:t>
            </w:r>
          </w:p>
        </w:tc>
        <w:tc>
          <w:tcPr>
            <w:tcW w:w="993" w:type="dxa"/>
            <w:noWrap/>
            <w:hideMark/>
          </w:tcPr>
          <w:p w14:paraId="5D864A87"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M</w:t>
            </w:r>
          </w:p>
        </w:tc>
        <w:tc>
          <w:tcPr>
            <w:tcW w:w="2835" w:type="dxa"/>
          </w:tcPr>
          <w:p w14:paraId="03E5FEE7"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Field Technical Assistance Division</w:t>
            </w:r>
          </w:p>
        </w:tc>
      </w:tr>
      <w:tr w:rsidR="00773E33" w:rsidRPr="00C63262" w14:paraId="32F614D8" w14:textId="77777777" w:rsidTr="0086557D">
        <w:trPr>
          <w:trHeight w:val="300"/>
        </w:trPr>
        <w:tc>
          <w:tcPr>
            <w:tcW w:w="870" w:type="dxa"/>
            <w:tcBorders>
              <w:top w:val="nil"/>
              <w:bottom w:val="nil"/>
            </w:tcBorders>
          </w:tcPr>
          <w:p w14:paraId="43519391"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p>
        </w:tc>
        <w:tc>
          <w:tcPr>
            <w:tcW w:w="3520" w:type="dxa"/>
            <w:tcBorders>
              <w:top w:val="nil"/>
              <w:bottom w:val="nil"/>
            </w:tcBorders>
          </w:tcPr>
          <w:p w14:paraId="61567C31"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07B723B7" w14:textId="77777777" w:rsidR="00773E33" w:rsidRPr="00C63262" w:rsidRDefault="00773E33" w:rsidP="00773E33">
            <w:pPr>
              <w:widowControl w:val="0"/>
              <w:numPr>
                <w:ilvl w:val="0"/>
                <w:numId w:val="107"/>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Victor V. Yntig</w:t>
            </w:r>
          </w:p>
        </w:tc>
        <w:tc>
          <w:tcPr>
            <w:tcW w:w="993" w:type="dxa"/>
            <w:noWrap/>
            <w:hideMark/>
          </w:tcPr>
          <w:p w14:paraId="17E1CFB1"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M</w:t>
            </w:r>
          </w:p>
        </w:tc>
        <w:tc>
          <w:tcPr>
            <w:tcW w:w="2835" w:type="dxa"/>
          </w:tcPr>
          <w:p w14:paraId="4CE97338"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Human Resource Development Division</w:t>
            </w:r>
          </w:p>
        </w:tc>
      </w:tr>
      <w:tr w:rsidR="00773E33" w:rsidRPr="00C63262" w14:paraId="475BE4F6" w14:textId="77777777" w:rsidTr="0086557D">
        <w:trPr>
          <w:trHeight w:val="300"/>
        </w:trPr>
        <w:tc>
          <w:tcPr>
            <w:tcW w:w="870" w:type="dxa"/>
            <w:tcBorders>
              <w:top w:val="nil"/>
              <w:bottom w:val="nil"/>
            </w:tcBorders>
          </w:tcPr>
          <w:p w14:paraId="6A2EB911"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p>
        </w:tc>
        <w:tc>
          <w:tcPr>
            <w:tcW w:w="3520" w:type="dxa"/>
            <w:tcBorders>
              <w:top w:val="nil"/>
              <w:bottom w:val="nil"/>
            </w:tcBorders>
          </w:tcPr>
          <w:p w14:paraId="33C8096D"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4B5FC4ED" w14:textId="77777777" w:rsidR="00773E33" w:rsidRPr="00C63262" w:rsidRDefault="00773E33" w:rsidP="00773E33">
            <w:pPr>
              <w:widowControl w:val="0"/>
              <w:numPr>
                <w:ilvl w:val="0"/>
                <w:numId w:val="107"/>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Mitchelin L. Micabani</w:t>
            </w:r>
          </w:p>
        </w:tc>
        <w:tc>
          <w:tcPr>
            <w:tcW w:w="993" w:type="dxa"/>
            <w:noWrap/>
            <w:hideMark/>
          </w:tcPr>
          <w:p w14:paraId="341287E6"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45F44730"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Human Resource Development Division</w:t>
            </w:r>
          </w:p>
        </w:tc>
      </w:tr>
      <w:tr w:rsidR="00773E33" w:rsidRPr="00C63262" w14:paraId="784AB278" w14:textId="77777777" w:rsidTr="0086557D">
        <w:trPr>
          <w:trHeight w:val="300"/>
        </w:trPr>
        <w:tc>
          <w:tcPr>
            <w:tcW w:w="870" w:type="dxa"/>
            <w:tcBorders>
              <w:top w:val="nil"/>
              <w:bottom w:val="nil"/>
            </w:tcBorders>
          </w:tcPr>
          <w:p w14:paraId="38DC63E5"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p>
        </w:tc>
        <w:tc>
          <w:tcPr>
            <w:tcW w:w="3520" w:type="dxa"/>
            <w:tcBorders>
              <w:top w:val="nil"/>
              <w:bottom w:val="nil"/>
            </w:tcBorders>
          </w:tcPr>
          <w:p w14:paraId="48FE67DF"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5A044830" w14:textId="77777777" w:rsidR="00773E33" w:rsidRPr="00C63262" w:rsidRDefault="00773E33" w:rsidP="00773E33">
            <w:pPr>
              <w:widowControl w:val="0"/>
              <w:numPr>
                <w:ilvl w:val="0"/>
                <w:numId w:val="107"/>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Ricky S. Yabo</w:t>
            </w:r>
          </w:p>
        </w:tc>
        <w:tc>
          <w:tcPr>
            <w:tcW w:w="993" w:type="dxa"/>
            <w:noWrap/>
            <w:hideMark/>
          </w:tcPr>
          <w:p w14:paraId="71524ABA"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M</w:t>
            </w:r>
          </w:p>
        </w:tc>
        <w:tc>
          <w:tcPr>
            <w:tcW w:w="2835" w:type="dxa"/>
          </w:tcPr>
          <w:p w14:paraId="7D09B3FB" w14:textId="77777777" w:rsidR="00773E33" w:rsidRPr="00C63262" w:rsidRDefault="00773E33" w:rsidP="00773E33">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Human Resource Development Division</w:t>
            </w:r>
          </w:p>
        </w:tc>
      </w:tr>
      <w:tr w:rsidR="00773E33" w:rsidRPr="00C63262" w14:paraId="1E84E275" w14:textId="77777777" w:rsidTr="0086557D">
        <w:trPr>
          <w:trHeight w:val="300"/>
        </w:trPr>
        <w:tc>
          <w:tcPr>
            <w:tcW w:w="870" w:type="dxa"/>
            <w:tcBorders>
              <w:top w:val="nil"/>
              <w:bottom w:val="nil"/>
            </w:tcBorders>
          </w:tcPr>
          <w:p w14:paraId="4FA00A37"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p>
        </w:tc>
        <w:tc>
          <w:tcPr>
            <w:tcW w:w="3520" w:type="dxa"/>
            <w:tcBorders>
              <w:top w:val="nil"/>
              <w:bottom w:val="nil"/>
            </w:tcBorders>
          </w:tcPr>
          <w:p w14:paraId="02348E4A"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746258FE" w14:textId="77777777" w:rsidR="00773E33" w:rsidRPr="00C63262" w:rsidRDefault="00773E33" w:rsidP="00773E33">
            <w:pPr>
              <w:widowControl w:val="0"/>
              <w:numPr>
                <w:ilvl w:val="0"/>
                <w:numId w:val="107"/>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Rosario M. Pagai Jr.</w:t>
            </w:r>
          </w:p>
        </w:tc>
        <w:tc>
          <w:tcPr>
            <w:tcW w:w="993" w:type="dxa"/>
            <w:noWrap/>
            <w:hideMark/>
          </w:tcPr>
          <w:p w14:paraId="7BFCF969"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M</w:t>
            </w:r>
          </w:p>
        </w:tc>
        <w:tc>
          <w:tcPr>
            <w:tcW w:w="2835" w:type="dxa"/>
          </w:tcPr>
          <w:p w14:paraId="32F93C23" w14:textId="77777777" w:rsidR="00773E33" w:rsidRPr="00C63262" w:rsidRDefault="00773E33" w:rsidP="00773E33">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Human Resource Development Division</w:t>
            </w:r>
          </w:p>
        </w:tc>
      </w:tr>
      <w:tr w:rsidR="00773E33" w:rsidRPr="00C63262" w14:paraId="1FD6ECFA" w14:textId="77777777" w:rsidTr="0086557D">
        <w:trPr>
          <w:trHeight w:val="300"/>
        </w:trPr>
        <w:tc>
          <w:tcPr>
            <w:tcW w:w="870" w:type="dxa"/>
            <w:tcBorders>
              <w:top w:val="nil"/>
              <w:bottom w:val="nil"/>
            </w:tcBorders>
          </w:tcPr>
          <w:p w14:paraId="03914C60"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p>
        </w:tc>
        <w:tc>
          <w:tcPr>
            <w:tcW w:w="3520" w:type="dxa"/>
            <w:tcBorders>
              <w:top w:val="nil"/>
              <w:bottom w:val="nil"/>
            </w:tcBorders>
          </w:tcPr>
          <w:p w14:paraId="66887780"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2527416E" w14:textId="77777777" w:rsidR="00773E33" w:rsidRPr="00C63262" w:rsidRDefault="00773E33" w:rsidP="00773E33">
            <w:pPr>
              <w:widowControl w:val="0"/>
              <w:numPr>
                <w:ilvl w:val="0"/>
                <w:numId w:val="107"/>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Ruselle S. Aguilar</w:t>
            </w:r>
          </w:p>
        </w:tc>
        <w:tc>
          <w:tcPr>
            <w:tcW w:w="993" w:type="dxa"/>
            <w:noWrap/>
            <w:hideMark/>
          </w:tcPr>
          <w:p w14:paraId="6E05DCC5"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M</w:t>
            </w:r>
          </w:p>
        </w:tc>
        <w:tc>
          <w:tcPr>
            <w:tcW w:w="2835" w:type="dxa"/>
          </w:tcPr>
          <w:p w14:paraId="71F35A2A" w14:textId="77777777" w:rsidR="00773E33" w:rsidRPr="00C63262" w:rsidRDefault="00773E33" w:rsidP="00773E33">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Human Resource Development Division</w:t>
            </w:r>
          </w:p>
        </w:tc>
      </w:tr>
      <w:tr w:rsidR="00773E33" w:rsidRPr="00C63262" w14:paraId="447A9B33" w14:textId="77777777" w:rsidTr="0086557D">
        <w:trPr>
          <w:trHeight w:val="300"/>
        </w:trPr>
        <w:tc>
          <w:tcPr>
            <w:tcW w:w="870" w:type="dxa"/>
            <w:tcBorders>
              <w:top w:val="nil"/>
              <w:bottom w:val="nil"/>
            </w:tcBorders>
          </w:tcPr>
          <w:p w14:paraId="4755537D"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p>
        </w:tc>
        <w:tc>
          <w:tcPr>
            <w:tcW w:w="3520" w:type="dxa"/>
            <w:tcBorders>
              <w:top w:val="nil"/>
              <w:bottom w:val="nil"/>
            </w:tcBorders>
          </w:tcPr>
          <w:p w14:paraId="79418533"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334B8C73" w14:textId="77777777" w:rsidR="00773E33" w:rsidRPr="00C63262" w:rsidRDefault="00773E33" w:rsidP="00773E33">
            <w:pPr>
              <w:widowControl w:val="0"/>
              <w:numPr>
                <w:ilvl w:val="0"/>
                <w:numId w:val="107"/>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Kristian Pondar</w:t>
            </w:r>
          </w:p>
        </w:tc>
        <w:tc>
          <w:tcPr>
            <w:tcW w:w="993" w:type="dxa"/>
            <w:noWrap/>
            <w:hideMark/>
          </w:tcPr>
          <w:p w14:paraId="7457DC2F"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M</w:t>
            </w:r>
          </w:p>
        </w:tc>
        <w:tc>
          <w:tcPr>
            <w:tcW w:w="2835" w:type="dxa"/>
          </w:tcPr>
          <w:p w14:paraId="69A6F10E"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Information Communication Technology Unit</w:t>
            </w:r>
          </w:p>
        </w:tc>
      </w:tr>
      <w:tr w:rsidR="00773E33" w:rsidRPr="00C63262" w14:paraId="4A33915C" w14:textId="77777777" w:rsidTr="0086557D">
        <w:trPr>
          <w:trHeight w:val="300"/>
        </w:trPr>
        <w:tc>
          <w:tcPr>
            <w:tcW w:w="870" w:type="dxa"/>
            <w:tcBorders>
              <w:top w:val="nil"/>
              <w:bottom w:val="nil"/>
            </w:tcBorders>
          </w:tcPr>
          <w:p w14:paraId="0C8F6254"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p>
        </w:tc>
        <w:tc>
          <w:tcPr>
            <w:tcW w:w="3520" w:type="dxa"/>
            <w:tcBorders>
              <w:top w:val="nil"/>
              <w:bottom w:val="nil"/>
            </w:tcBorders>
          </w:tcPr>
          <w:p w14:paraId="69D9E4A4"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tcPr>
          <w:p w14:paraId="69668728" w14:textId="77777777" w:rsidR="00773E33" w:rsidRPr="00C63262" w:rsidRDefault="00773E33" w:rsidP="00773E33">
            <w:pPr>
              <w:widowControl w:val="0"/>
              <w:numPr>
                <w:ilvl w:val="0"/>
                <w:numId w:val="107"/>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Joan Mosquera</w:t>
            </w:r>
          </w:p>
        </w:tc>
        <w:tc>
          <w:tcPr>
            <w:tcW w:w="993" w:type="dxa"/>
            <w:noWrap/>
          </w:tcPr>
          <w:p w14:paraId="1D5BED0A"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6AA15480"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Legal</w:t>
            </w:r>
          </w:p>
        </w:tc>
      </w:tr>
      <w:tr w:rsidR="00773E33" w:rsidRPr="00C63262" w14:paraId="570D2826" w14:textId="77777777" w:rsidTr="0086557D">
        <w:trPr>
          <w:trHeight w:val="300"/>
        </w:trPr>
        <w:tc>
          <w:tcPr>
            <w:tcW w:w="870" w:type="dxa"/>
            <w:tcBorders>
              <w:top w:val="nil"/>
              <w:bottom w:val="nil"/>
            </w:tcBorders>
          </w:tcPr>
          <w:p w14:paraId="32A50744"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p>
        </w:tc>
        <w:tc>
          <w:tcPr>
            <w:tcW w:w="3520" w:type="dxa"/>
            <w:tcBorders>
              <w:top w:val="nil"/>
              <w:bottom w:val="nil"/>
            </w:tcBorders>
          </w:tcPr>
          <w:p w14:paraId="60BC91D2"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tcPr>
          <w:p w14:paraId="6B40AEDB" w14:textId="77777777" w:rsidR="00773E33" w:rsidRPr="00C63262" w:rsidRDefault="00773E33" w:rsidP="00773E33">
            <w:pPr>
              <w:widowControl w:val="0"/>
              <w:numPr>
                <w:ilvl w:val="0"/>
                <w:numId w:val="107"/>
              </w:numPr>
              <w:spacing w:before="100" w:beforeAutospacing="1" w:after="100" w:afterAutospacing="1" w:line="360" w:lineRule="auto"/>
              <w:contextualSpacing/>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Rey P. Tan</w:t>
            </w:r>
          </w:p>
        </w:tc>
        <w:tc>
          <w:tcPr>
            <w:tcW w:w="993" w:type="dxa"/>
            <w:noWrap/>
          </w:tcPr>
          <w:p w14:paraId="2B80EEE3"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highlight w:val="yellow"/>
                <w:lang w:val="en-US"/>
              </w:rPr>
            </w:pPr>
            <w:r w:rsidRPr="00C63262">
              <w:rPr>
                <w:rFonts w:asciiTheme="majorHAnsi" w:hAnsiTheme="majorHAnsi" w:cstheme="majorHAnsi"/>
                <w:color w:val="000000"/>
                <w:sz w:val="20"/>
                <w:szCs w:val="20"/>
                <w:lang w:val="en-US"/>
              </w:rPr>
              <w:t>M</w:t>
            </w:r>
          </w:p>
        </w:tc>
        <w:tc>
          <w:tcPr>
            <w:tcW w:w="2835" w:type="dxa"/>
          </w:tcPr>
          <w:p w14:paraId="0C594087"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Policy, Planning and Research Division</w:t>
            </w:r>
          </w:p>
        </w:tc>
      </w:tr>
      <w:tr w:rsidR="00773E33" w:rsidRPr="00C63262" w14:paraId="7C2B7B15" w14:textId="77777777" w:rsidTr="0086557D">
        <w:trPr>
          <w:trHeight w:val="350"/>
        </w:trPr>
        <w:tc>
          <w:tcPr>
            <w:tcW w:w="870" w:type="dxa"/>
            <w:tcBorders>
              <w:top w:val="nil"/>
            </w:tcBorders>
          </w:tcPr>
          <w:p w14:paraId="2508FBF5"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p>
        </w:tc>
        <w:tc>
          <w:tcPr>
            <w:tcW w:w="3520" w:type="dxa"/>
            <w:tcBorders>
              <w:top w:val="nil"/>
            </w:tcBorders>
          </w:tcPr>
          <w:p w14:paraId="3E7FEE7E" w14:textId="77777777" w:rsidR="00773E33" w:rsidRPr="00C63262" w:rsidRDefault="00773E33" w:rsidP="00773E33">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tcPr>
          <w:p w14:paraId="1B601B99" w14:textId="77777777" w:rsidR="00773E33" w:rsidRPr="00C63262" w:rsidRDefault="00773E33" w:rsidP="00773E33">
            <w:pPr>
              <w:widowControl w:val="0"/>
              <w:numPr>
                <w:ilvl w:val="0"/>
                <w:numId w:val="107"/>
              </w:numPr>
              <w:spacing w:before="100" w:beforeAutospacing="1" w:after="100" w:afterAutospacing="1" w:line="360" w:lineRule="auto"/>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Maria Delia Minoza</w:t>
            </w:r>
          </w:p>
        </w:tc>
        <w:tc>
          <w:tcPr>
            <w:tcW w:w="993" w:type="dxa"/>
            <w:noWrap/>
          </w:tcPr>
          <w:p w14:paraId="510F6AF6" w14:textId="77777777" w:rsidR="00773E33" w:rsidRPr="00C63262" w:rsidRDefault="00773E33" w:rsidP="00773E33">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M</w:t>
            </w:r>
          </w:p>
        </w:tc>
        <w:tc>
          <w:tcPr>
            <w:tcW w:w="2835" w:type="dxa"/>
          </w:tcPr>
          <w:p w14:paraId="578749EA" w14:textId="77777777" w:rsidR="00773E33" w:rsidRPr="00C63262" w:rsidRDefault="00773E33" w:rsidP="00773E33">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Public Schools Division Supervisor</w:t>
            </w:r>
          </w:p>
        </w:tc>
      </w:tr>
    </w:tbl>
    <w:p w14:paraId="7CF9F140" w14:textId="77777777" w:rsidR="008D0CAD" w:rsidRPr="00C63262" w:rsidRDefault="008D0CAD" w:rsidP="005902F7">
      <w:pPr>
        <w:spacing w:before="100" w:beforeAutospacing="1" w:after="100" w:afterAutospacing="1" w:line="360" w:lineRule="auto"/>
        <w:rPr>
          <w:rFonts w:asciiTheme="majorHAnsi" w:hAnsiTheme="majorHAnsi" w:cstheme="majorHAnsi"/>
          <w:b/>
          <w:color w:val="0070C0"/>
          <w:lang w:val="en-US"/>
        </w:rPr>
      </w:pPr>
      <w:r w:rsidRPr="00C63262">
        <w:rPr>
          <w:rFonts w:asciiTheme="majorHAnsi" w:hAnsiTheme="majorHAnsi" w:cstheme="majorHAnsi"/>
          <w:b/>
          <w:color w:val="0070C0"/>
          <w:lang w:val="en-US"/>
        </w:rPr>
        <w:t>REGION VIII</w:t>
      </w:r>
    </w:p>
    <w:tbl>
      <w:tblPr>
        <w:tblStyle w:val="TableGrid1"/>
        <w:tblW w:w="10627" w:type="dxa"/>
        <w:tblLook w:val="04A0" w:firstRow="1" w:lastRow="0" w:firstColumn="1" w:lastColumn="0" w:noHBand="0" w:noVBand="1"/>
      </w:tblPr>
      <w:tblGrid>
        <w:gridCol w:w="1366"/>
        <w:gridCol w:w="3024"/>
        <w:gridCol w:w="2409"/>
        <w:gridCol w:w="993"/>
        <w:gridCol w:w="2835"/>
      </w:tblGrid>
      <w:tr w:rsidR="00547BDD" w:rsidRPr="00C63262" w14:paraId="253A7051" w14:textId="77777777" w:rsidTr="00D90C28">
        <w:trPr>
          <w:trHeight w:val="300"/>
          <w:tblHeader/>
        </w:trPr>
        <w:tc>
          <w:tcPr>
            <w:tcW w:w="1366" w:type="dxa"/>
            <w:tcBorders>
              <w:bottom w:val="single" w:sz="4" w:space="0" w:color="auto"/>
            </w:tcBorders>
          </w:tcPr>
          <w:p w14:paraId="032627A6" w14:textId="0CAAC05A" w:rsidR="00547BDD" w:rsidRPr="00C63262" w:rsidRDefault="00547BDD" w:rsidP="00547BDD">
            <w:pPr>
              <w:spacing w:before="100" w:beforeAutospacing="1" w:after="100" w:afterAutospacing="1" w:line="360" w:lineRule="auto"/>
              <w:rPr>
                <w:rFonts w:asciiTheme="majorHAnsi" w:hAnsiTheme="majorHAnsi" w:cstheme="majorHAnsi"/>
                <w:b/>
                <w:sz w:val="20"/>
                <w:szCs w:val="20"/>
                <w:lang w:val="en-US"/>
              </w:rPr>
            </w:pPr>
            <w:r w:rsidRPr="00C63262">
              <w:rPr>
                <w:rFonts w:asciiTheme="majorHAnsi" w:hAnsiTheme="majorHAnsi" w:cstheme="majorHAnsi"/>
                <w:b/>
                <w:sz w:val="20"/>
                <w:szCs w:val="20"/>
                <w:lang w:val="en-US"/>
              </w:rPr>
              <w:t>School ID</w:t>
            </w:r>
          </w:p>
        </w:tc>
        <w:tc>
          <w:tcPr>
            <w:tcW w:w="3024" w:type="dxa"/>
            <w:tcBorders>
              <w:bottom w:val="single" w:sz="4" w:space="0" w:color="auto"/>
            </w:tcBorders>
          </w:tcPr>
          <w:p w14:paraId="4B96A028" w14:textId="1047F87B" w:rsidR="00547BDD" w:rsidRPr="00C63262" w:rsidRDefault="00547BDD" w:rsidP="00547BDD">
            <w:pPr>
              <w:spacing w:before="100" w:beforeAutospacing="1" w:after="100" w:afterAutospacing="1" w:line="360" w:lineRule="auto"/>
              <w:rPr>
                <w:rFonts w:asciiTheme="majorHAnsi" w:hAnsiTheme="majorHAnsi" w:cstheme="majorHAnsi"/>
                <w:b/>
                <w:sz w:val="20"/>
                <w:szCs w:val="20"/>
                <w:lang w:val="en-US"/>
              </w:rPr>
            </w:pPr>
            <w:r w:rsidRPr="00C63262">
              <w:rPr>
                <w:rFonts w:asciiTheme="majorHAnsi" w:hAnsiTheme="majorHAnsi" w:cstheme="majorHAnsi"/>
                <w:b/>
                <w:color w:val="000000"/>
                <w:sz w:val="20"/>
                <w:szCs w:val="20"/>
                <w:lang w:val="en-US"/>
              </w:rPr>
              <w:t>Schools/Office</w:t>
            </w:r>
          </w:p>
        </w:tc>
        <w:tc>
          <w:tcPr>
            <w:tcW w:w="2409" w:type="dxa"/>
            <w:noWrap/>
            <w:hideMark/>
          </w:tcPr>
          <w:p w14:paraId="3CD9BB7A" w14:textId="77777777" w:rsidR="00547BDD" w:rsidRPr="00C63262" w:rsidRDefault="00547BDD" w:rsidP="00547BD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b/>
                <w:color w:val="000000"/>
                <w:sz w:val="20"/>
                <w:szCs w:val="20"/>
                <w:lang w:val="en-US"/>
              </w:rPr>
              <w:t>Participants</w:t>
            </w:r>
          </w:p>
        </w:tc>
        <w:tc>
          <w:tcPr>
            <w:tcW w:w="993" w:type="dxa"/>
            <w:noWrap/>
            <w:hideMark/>
          </w:tcPr>
          <w:p w14:paraId="07FA0D91" w14:textId="77777777" w:rsidR="00547BDD" w:rsidRPr="00C63262" w:rsidRDefault="00547BDD" w:rsidP="00547BD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b/>
                <w:color w:val="000000"/>
                <w:sz w:val="20"/>
                <w:szCs w:val="20"/>
                <w:lang w:val="en-US"/>
              </w:rPr>
              <w:t>Sex</w:t>
            </w:r>
          </w:p>
        </w:tc>
        <w:tc>
          <w:tcPr>
            <w:tcW w:w="2835" w:type="dxa"/>
          </w:tcPr>
          <w:p w14:paraId="1EE729C7" w14:textId="77777777" w:rsidR="00547BDD" w:rsidRPr="00C63262" w:rsidRDefault="00547BDD" w:rsidP="00547BD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b/>
                <w:color w:val="000000"/>
                <w:sz w:val="20"/>
                <w:szCs w:val="20"/>
                <w:lang w:val="en-US"/>
              </w:rPr>
              <w:t>Designation / Department</w:t>
            </w:r>
          </w:p>
        </w:tc>
      </w:tr>
      <w:tr w:rsidR="00547BDD" w:rsidRPr="00C63262" w14:paraId="4DA010EA" w14:textId="77777777" w:rsidTr="00D90C28">
        <w:trPr>
          <w:trHeight w:val="300"/>
        </w:trPr>
        <w:tc>
          <w:tcPr>
            <w:tcW w:w="1366" w:type="dxa"/>
            <w:tcBorders>
              <w:bottom w:val="single" w:sz="4" w:space="0" w:color="auto"/>
            </w:tcBorders>
          </w:tcPr>
          <w:p w14:paraId="7EE25999" w14:textId="0DA1EEFA"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120907</w:t>
            </w:r>
          </w:p>
        </w:tc>
        <w:tc>
          <w:tcPr>
            <w:tcW w:w="3024" w:type="dxa"/>
            <w:tcBorders>
              <w:bottom w:val="single" w:sz="4" w:space="0" w:color="auto"/>
            </w:tcBorders>
          </w:tcPr>
          <w:p w14:paraId="0F779ABB" w14:textId="34144A92"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napToGrid w:val="0"/>
                <w:color w:val="000000"/>
                <w:sz w:val="20"/>
                <w:szCs w:val="20"/>
                <w:lang w:val="en-US"/>
              </w:rPr>
              <w:t>Balocawehay Central School</w:t>
            </w:r>
          </w:p>
        </w:tc>
        <w:tc>
          <w:tcPr>
            <w:tcW w:w="2409" w:type="dxa"/>
            <w:noWrap/>
            <w:hideMark/>
          </w:tcPr>
          <w:p w14:paraId="64296873" w14:textId="77777777" w:rsidR="00547BDD" w:rsidRPr="00C63262" w:rsidRDefault="00547BDD" w:rsidP="00547BDD">
            <w:pPr>
              <w:widowControl w:val="0"/>
              <w:numPr>
                <w:ilvl w:val="0"/>
                <w:numId w:val="100"/>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Marcela D. Cahabit</w:t>
            </w:r>
          </w:p>
        </w:tc>
        <w:tc>
          <w:tcPr>
            <w:tcW w:w="993" w:type="dxa"/>
            <w:noWrap/>
            <w:hideMark/>
          </w:tcPr>
          <w:p w14:paraId="2398FDD6" w14:textId="77777777" w:rsidR="00547BDD" w:rsidRPr="00C63262" w:rsidRDefault="00547BDD" w:rsidP="00547BD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3F4ED076" w14:textId="77777777" w:rsidR="00547BDD" w:rsidRPr="00C63262" w:rsidRDefault="00547BDD" w:rsidP="00547BD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Master Teacher I</w:t>
            </w:r>
          </w:p>
        </w:tc>
      </w:tr>
      <w:tr w:rsidR="00547BDD" w:rsidRPr="00C63262" w14:paraId="662651BA" w14:textId="77777777" w:rsidTr="00D90C28">
        <w:trPr>
          <w:trHeight w:val="300"/>
        </w:trPr>
        <w:tc>
          <w:tcPr>
            <w:tcW w:w="1366" w:type="dxa"/>
            <w:tcBorders>
              <w:top w:val="single" w:sz="4" w:space="0" w:color="auto"/>
              <w:bottom w:val="single" w:sz="4" w:space="0" w:color="auto"/>
            </w:tcBorders>
          </w:tcPr>
          <w:p w14:paraId="57EF8369" w14:textId="77777777"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p>
        </w:tc>
        <w:tc>
          <w:tcPr>
            <w:tcW w:w="3024" w:type="dxa"/>
            <w:tcBorders>
              <w:top w:val="single" w:sz="4" w:space="0" w:color="auto"/>
              <w:bottom w:val="single" w:sz="4" w:space="0" w:color="auto"/>
            </w:tcBorders>
          </w:tcPr>
          <w:p w14:paraId="56C312F4" w14:textId="77777777"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p>
        </w:tc>
        <w:tc>
          <w:tcPr>
            <w:tcW w:w="2409" w:type="dxa"/>
            <w:noWrap/>
            <w:hideMark/>
          </w:tcPr>
          <w:p w14:paraId="6FC98A0C" w14:textId="77777777" w:rsidR="00547BDD" w:rsidRPr="00C63262" w:rsidRDefault="00547BDD" w:rsidP="00547BDD">
            <w:pPr>
              <w:widowControl w:val="0"/>
              <w:numPr>
                <w:ilvl w:val="0"/>
                <w:numId w:val="100"/>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Marilyn A. Vega</w:t>
            </w:r>
          </w:p>
        </w:tc>
        <w:tc>
          <w:tcPr>
            <w:tcW w:w="993" w:type="dxa"/>
            <w:noWrap/>
            <w:hideMark/>
          </w:tcPr>
          <w:p w14:paraId="21C1CF18" w14:textId="77777777" w:rsidR="00547BDD" w:rsidRPr="00C63262" w:rsidRDefault="00547BDD" w:rsidP="00547BD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23329261" w14:textId="77777777" w:rsidR="00547BDD" w:rsidRPr="00C63262" w:rsidRDefault="00547BDD" w:rsidP="00547BD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Master Teacher I</w:t>
            </w:r>
          </w:p>
        </w:tc>
      </w:tr>
      <w:tr w:rsidR="00547BDD" w:rsidRPr="00C63262" w14:paraId="6B4B4095" w14:textId="77777777" w:rsidTr="00D90C28">
        <w:trPr>
          <w:trHeight w:val="300"/>
        </w:trPr>
        <w:tc>
          <w:tcPr>
            <w:tcW w:w="1366" w:type="dxa"/>
            <w:tcBorders>
              <w:bottom w:val="nil"/>
            </w:tcBorders>
          </w:tcPr>
          <w:p w14:paraId="632DBFC8" w14:textId="18599BBA"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122759</w:t>
            </w:r>
          </w:p>
        </w:tc>
        <w:tc>
          <w:tcPr>
            <w:tcW w:w="3024" w:type="dxa"/>
            <w:tcBorders>
              <w:bottom w:val="nil"/>
            </w:tcBorders>
          </w:tcPr>
          <w:p w14:paraId="19E2F190" w14:textId="097D8C3F"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napToGrid w:val="0"/>
                <w:sz w:val="20"/>
                <w:szCs w:val="20"/>
                <w:lang w:val="en-US"/>
              </w:rPr>
              <w:t xml:space="preserve">Batiawan </w:t>
            </w:r>
            <w:r w:rsidRPr="00C63262">
              <w:rPr>
                <w:rFonts w:asciiTheme="majorHAnsi" w:hAnsiTheme="majorHAnsi" w:cstheme="majorHAnsi"/>
                <w:snapToGrid w:val="0"/>
                <w:color w:val="000000"/>
                <w:sz w:val="20"/>
                <w:szCs w:val="20"/>
                <w:lang w:val="en-US"/>
              </w:rPr>
              <w:t>Elementary School</w:t>
            </w:r>
          </w:p>
        </w:tc>
        <w:tc>
          <w:tcPr>
            <w:tcW w:w="2409" w:type="dxa"/>
            <w:noWrap/>
            <w:hideMark/>
          </w:tcPr>
          <w:p w14:paraId="7DD2A2FA" w14:textId="77777777" w:rsidR="00547BDD" w:rsidRPr="00C63262" w:rsidRDefault="00547BDD" w:rsidP="00547BDD">
            <w:pPr>
              <w:widowControl w:val="0"/>
              <w:numPr>
                <w:ilvl w:val="0"/>
                <w:numId w:val="100"/>
              </w:numPr>
              <w:spacing w:before="100" w:beforeAutospacing="1" w:after="100" w:afterAutospacing="1" w:line="360" w:lineRule="auto"/>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Cristy B. Lebrilla</w:t>
            </w:r>
          </w:p>
        </w:tc>
        <w:tc>
          <w:tcPr>
            <w:tcW w:w="993" w:type="dxa"/>
            <w:noWrap/>
            <w:hideMark/>
          </w:tcPr>
          <w:p w14:paraId="14C3566C" w14:textId="77777777"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F</w:t>
            </w:r>
          </w:p>
        </w:tc>
        <w:tc>
          <w:tcPr>
            <w:tcW w:w="2835" w:type="dxa"/>
          </w:tcPr>
          <w:p w14:paraId="24D71B9E" w14:textId="77777777"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Teacher</w:t>
            </w:r>
          </w:p>
        </w:tc>
      </w:tr>
      <w:tr w:rsidR="00547BDD" w:rsidRPr="00C63262" w14:paraId="5A24FA6F" w14:textId="77777777" w:rsidTr="00D90C28">
        <w:trPr>
          <w:trHeight w:val="300"/>
        </w:trPr>
        <w:tc>
          <w:tcPr>
            <w:tcW w:w="1366" w:type="dxa"/>
            <w:tcBorders>
              <w:top w:val="nil"/>
              <w:bottom w:val="nil"/>
            </w:tcBorders>
          </w:tcPr>
          <w:p w14:paraId="098EADA6" w14:textId="77777777"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p>
        </w:tc>
        <w:tc>
          <w:tcPr>
            <w:tcW w:w="3024" w:type="dxa"/>
            <w:tcBorders>
              <w:top w:val="nil"/>
              <w:bottom w:val="nil"/>
            </w:tcBorders>
          </w:tcPr>
          <w:p w14:paraId="0C97E5D6" w14:textId="77777777"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p>
        </w:tc>
        <w:tc>
          <w:tcPr>
            <w:tcW w:w="2409" w:type="dxa"/>
            <w:noWrap/>
            <w:hideMark/>
          </w:tcPr>
          <w:p w14:paraId="0128E811" w14:textId="77777777" w:rsidR="00547BDD" w:rsidRPr="00C63262" w:rsidRDefault="00547BDD" w:rsidP="00547BDD">
            <w:pPr>
              <w:widowControl w:val="0"/>
              <w:numPr>
                <w:ilvl w:val="0"/>
                <w:numId w:val="100"/>
              </w:numPr>
              <w:spacing w:before="100" w:beforeAutospacing="1" w:after="100" w:afterAutospacing="1" w:line="360" w:lineRule="auto"/>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Leonilo C. Ladiao</w:t>
            </w:r>
          </w:p>
        </w:tc>
        <w:tc>
          <w:tcPr>
            <w:tcW w:w="993" w:type="dxa"/>
            <w:noWrap/>
            <w:hideMark/>
          </w:tcPr>
          <w:p w14:paraId="195B89C1" w14:textId="77777777"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M</w:t>
            </w:r>
          </w:p>
        </w:tc>
        <w:tc>
          <w:tcPr>
            <w:tcW w:w="2835" w:type="dxa"/>
          </w:tcPr>
          <w:p w14:paraId="67C05FB8" w14:textId="77777777"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Teacher</w:t>
            </w:r>
          </w:p>
        </w:tc>
      </w:tr>
      <w:tr w:rsidR="00547BDD" w:rsidRPr="00C63262" w14:paraId="74F94BBB" w14:textId="77777777" w:rsidTr="00D90C28">
        <w:trPr>
          <w:trHeight w:val="300"/>
        </w:trPr>
        <w:tc>
          <w:tcPr>
            <w:tcW w:w="1366" w:type="dxa"/>
            <w:tcBorders>
              <w:top w:val="nil"/>
            </w:tcBorders>
          </w:tcPr>
          <w:p w14:paraId="70E7D8E1" w14:textId="77777777"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p>
        </w:tc>
        <w:tc>
          <w:tcPr>
            <w:tcW w:w="3024" w:type="dxa"/>
            <w:tcBorders>
              <w:top w:val="nil"/>
            </w:tcBorders>
          </w:tcPr>
          <w:p w14:paraId="2A287CE9" w14:textId="77777777"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p>
        </w:tc>
        <w:tc>
          <w:tcPr>
            <w:tcW w:w="2409" w:type="dxa"/>
            <w:noWrap/>
            <w:hideMark/>
          </w:tcPr>
          <w:p w14:paraId="05CDCC10" w14:textId="77777777" w:rsidR="00547BDD" w:rsidRPr="00C63262" w:rsidRDefault="00547BDD" w:rsidP="00547BDD">
            <w:pPr>
              <w:widowControl w:val="0"/>
              <w:numPr>
                <w:ilvl w:val="0"/>
                <w:numId w:val="100"/>
              </w:numPr>
              <w:spacing w:before="100" w:beforeAutospacing="1" w:after="100" w:afterAutospacing="1" w:line="360" w:lineRule="auto"/>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Norberto T. Hilario</w:t>
            </w:r>
          </w:p>
        </w:tc>
        <w:tc>
          <w:tcPr>
            <w:tcW w:w="993" w:type="dxa"/>
            <w:noWrap/>
            <w:hideMark/>
          </w:tcPr>
          <w:p w14:paraId="431A4745" w14:textId="77777777"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M</w:t>
            </w:r>
          </w:p>
        </w:tc>
        <w:tc>
          <w:tcPr>
            <w:tcW w:w="2835" w:type="dxa"/>
          </w:tcPr>
          <w:p w14:paraId="622D0A84" w14:textId="77777777"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Principal</w:t>
            </w:r>
          </w:p>
        </w:tc>
      </w:tr>
      <w:tr w:rsidR="00547BDD" w:rsidRPr="00C63262" w14:paraId="124E2772" w14:textId="77777777" w:rsidTr="00547BDD">
        <w:trPr>
          <w:trHeight w:val="300"/>
        </w:trPr>
        <w:tc>
          <w:tcPr>
            <w:tcW w:w="1366" w:type="dxa"/>
          </w:tcPr>
          <w:p w14:paraId="7D8ECB50" w14:textId="40B7FD2C"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122343</w:t>
            </w:r>
          </w:p>
        </w:tc>
        <w:tc>
          <w:tcPr>
            <w:tcW w:w="3024" w:type="dxa"/>
          </w:tcPr>
          <w:p w14:paraId="33AC8820" w14:textId="307A121F"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napToGrid w:val="0"/>
                <w:color w:val="000000"/>
                <w:sz w:val="20"/>
                <w:szCs w:val="20"/>
                <w:lang w:val="en-US"/>
              </w:rPr>
              <w:t xml:space="preserve">Beta-Og Elementary School </w:t>
            </w:r>
          </w:p>
        </w:tc>
        <w:tc>
          <w:tcPr>
            <w:tcW w:w="2409" w:type="dxa"/>
            <w:noWrap/>
            <w:hideMark/>
          </w:tcPr>
          <w:p w14:paraId="1DEC5C10" w14:textId="77777777" w:rsidR="00547BDD" w:rsidRPr="00C63262" w:rsidRDefault="00547BDD" w:rsidP="00547BDD">
            <w:pPr>
              <w:widowControl w:val="0"/>
              <w:numPr>
                <w:ilvl w:val="0"/>
                <w:numId w:val="100"/>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Noel A. Dacuno</w:t>
            </w:r>
          </w:p>
        </w:tc>
        <w:tc>
          <w:tcPr>
            <w:tcW w:w="993" w:type="dxa"/>
            <w:noWrap/>
            <w:hideMark/>
          </w:tcPr>
          <w:p w14:paraId="0F94818C" w14:textId="77777777" w:rsidR="00547BDD" w:rsidRPr="00C63262" w:rsidRDefault="00547BDD" w:rsidP="00547BD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M</w:t>
            </w:r>
          </w:p>
        </w:tc>
        <w:tc>
          <w:tcPr>
            <w:tcW w:w="2835" w:type="dxa"/>
          </w:tcPr>
          <w:p w14:paraId="4F3A8005" w14:textId="77777777" w:rsidR="00547BDD" w:rsidRPr="00C63262" w:rsidRDefault="00547BDD" w:rsidP="00547BD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 xml:space="preserve">Teacher In Charge </w:t>
            </w:r>
          </w:p>
        </w:tc>
      </w:tr>
      <w:tr w:rsidR="00547BDD" w:rsidRPr="00C63262" w14:paraId="157E2613" w14:textId="77777777" w:rsidTr="00D90C28">
        <w:trPr>
          <w:trHeight w:val="300"/>
        </w:trPr>
        <w:tc>
          <w:tcPr>
            <w:tcW w:w="1366" w:type="dxa"/>
            <w:tcBorders>
              <w:bottom w:val="single" w:sz="4" w:space="0" w:color="auto"/>
            </w:tcBorders>
          </w:tcPr>
          <w:p w14:paraId="4FD37692" w14:textId="6D784936" w:rsidR="00547BDD" w:rsidRPr="00C63262" w:rsidRDefault="00547BDD" w:rsidP="00547BD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120890</w:t>
            </w:r>
          </w:p>
        </w:tc>
        <w:tc>
          <w:tcPr>
            <w:tcW w:w="3024" w:type="dxa"/>
            <w:tcBorders>
              <w:bottom w:val="single" w:sz="4" w:space="0" w:color="auto"/>
            </w:tcBorders>
          </w:tcPr>
          <w:p w14:paraId="76131415" w14:textId="561602CE" w:rsidR="00547BDD" w:rsidRPr="00C63262" w:rsidRDefault="00547BDD" w:rsidP="00547BD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snapToGrid w:val="0"/>
                <w:color w:val="000000"/>
                <w:sz w:val="20"/>
                <w:szCs w:val="20"/>
                <w:lang w:val="en-US"/>
              </w:rPr>
              <w:t xml:space="preserve">Canmarating Elementary School </w:t>
            </w:r>
          </w:p>
        </w:tc>
        <w:tc>
          <w:tcPr>
            <w:tcW w:w="2409" w:type="dxa"/>
            <w:noWrap/>
            <w:hideMark/>
          </w:tcPr>
          <w:p w14:paraId="1A10A131" w14:textId="77777777" w:rsidR="00547BDD" w:rsidRPr="00C63262" w:rsidRDefault="00547BDD" w:rsidP="00547BDD">
            <w:pPr>
              <w:widowControl w:val="0"/>
              <w:numPr>
                <w:ilvl w:val="0"/>
                <w:numId w:val="100"/>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Milky O. Estella</w:t>
            </w:r>
          </w:p>
        </w:tc>
        <w:tc>
          <w:tcPr>
            <w:tcW w:w="993" w:type="dxa"/>
            <w:noWrap/>
            <w:hideMark/>
          </w:tcPr>
          <w:p w14:paraId="0B04A4C1" w14:textId="77777777" w:rsidR="00547BDD" w:rsidRPr="00C63262" w:rsidRDefault="00547BDD" w:rsidP="00547BD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4C312C52" w14:textId="77777777" w:rsidR="00547BDD" w:rsidRPr="00C63262" w:rsidRDefault="00547BDD" w:rsidP="00547BD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Principal II</w:t>
            </w:r>
          </w:p>
        </w:tc>
      </w:tr>
      <w:tr w:rsidR="00547BDD" w:rsidRPr="00C63262" w14:paraId="52747C41" w14:textId="77777777" w:rsidTr="00D90C28">
        <w:trPr>
          <w:trHeight w:val="300"/>
        </w:trPr>
        <w:tc>
          <w:tcPr>
            <w:tcW w:w="1366" w:type="dxa"/>
            <w:tcBorders>
              <w:bottom w:val="nil"/>
            </w:tcBorders>
          </w:tcPr>
          <w:p w14:paraId="213F58A9" w14:textId="3A9DA0B7"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121345</w:t>
            </w:r>
          </w:p>
        </w:tc>
        <w:tc>
          <w:tcPr>
            <w:tcW w:w="3024" w:type="dxa"/>
            <w:tcBorders>
              <w:bottom w:val="nil"/>
            </w:tcBorders>
          </w:tcPr>
          <w:p w14:paraId="4A2CC3B2" w14:textId="257686FC"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napToGrid w:val="0"/>
                <w:color w:val="000000"/>
                <w:sz w:val="20"/>
                <w:szCs w:val="20"/>
                <w:lang w:val="en-US"/>
              </w:rPr>
              <w:t>Dulag Sped</w:t>
            </w:r>
          </w:p>
        </w:tc>
        <w:tc>
          <w:tcPr>
            <w:tcW w:w="2409" w:type="dxa"/>
            <w:noWrap/>
            <w:hideMark/>
          </w:tcPr>
          <w:p w14:paraId="03AF9330" w14:textId="77777777" w:rsidR="00547BDD" w:rsidRPr="00C63262" w:rsidRDefault="00547BDD" w:rsidP="00547BDD">
            <w:pPr>
              <w:widowControl w:val="0"/>
              <w:numPr>
                <w:ilvl w:val="0"/>
                <w:numId w:val="100"/>
              </w:numPr>
              <w:spacing w:before="100" w:beforeAutospacing="1" w:after="100" w:afterAutospacing="1" w:line="360" w:lineRule="auto"/>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Daryl A. Fernandez</w:t>
            </w:r>
          </w:p>
        </w:tc>
        <w:tc>
          <w:tcPr>
            <w:tcW w:w="993" w:type="dxa"/>
            <w:noWrap/>
            <w:hideMark/>
          </w:tcPr>
          <w:p w14:paraId="01AE41E1" w14:textId="77777777"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F</w:t>
            </w:r>
          </w:p>
        </w:tc>
        <w:tc>
          <w:tcPr>
            <w:tcW w:w="2835" w:type="dxa"/>
          </w:tcPr>
          <w:p w14:paraId="1521F303" w14:textId="77777777"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Teacher III</w:t>
            </w:r>
          </w:p>
        </w:tc>
      </w:tr>
      <w:tr w:rsidR="00547BDD" w:rsidRPr="00C63262" w14:paraId="5911E5F5" w14:textId="77777777" w:rsidTr="00D90C28">
        <w:trPr>
          <w:trHeight w:val="300"/>
        </w:trPr>
        <w:tc>
          <w:tcPr>
            <w:tcW w:w="1366" w:type="dxa"/>
            <w:tcBorders>
              <w:top w:val="nil"/>
              <w:bottom w:val="nil"/>
            </w:tcBorders>
          </w:tcPr>
          <w:p w14:paraId="552B4CD5" w14:textId="77777777"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p>
        </w:tc>
        <w:tc>
          <w:tcPr>
            <w:tcW w:w="3024" w:type="dxa"/>
            <w:tcBorders>
              <w:top w:val="nil"/>
              <w:bottom w:val="nil"/>
            </w:tcBorders>
          </w:tcPr>
          <w:p w14:paraId="7AD73DF4" w14:textId="77777777"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p>
        </w:tc>
        <w:tc>
          <w:tcPr>
            <w:tcW w:w="2409" w:type="dxa"/>
            <w:noWrap/>
            <w:hideMark/>
          </w:tcPr>
          <w:p w14:paraId="476E0B9C" w14:textId="77777777" w:rsidR="00547BDD" w:rsidRPr="00C63262" w:rsidRDefault="00547BDD" w:rsidP="00547BDD">
            <w:pPr>
              <w:widowControl w:val="0"/>
              <w:numPr>
                <w:ilvl w:val="0"/>
                <w:numId w:val="100"/>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Riza R. Requinllo</w:t>
            </w:r>
          </w:p>
        </w:tc>
        <w:tc>
          <w:tcPr>
            <w:tcW w:w="993" w:type="dxa"/>
            <w:noWrap/>
            <w:hideMark/>
          </w:tcPr>
          <w:p w14:paraId="63C02BA6" w14:textId="77777777" w:rsidR="00547BDD" w:rsidRPr="00C63262" w:rsidRDefault="00547BDD" w:rsidP="00547BD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5E57602F" w14:textId="77777777" w:rsidR="00547BDD" w:rsidRPr="00C63262" w:rsidRDefault="00547BDD" w:rsidP="00547BD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 i</w:t>
            </w:r>
          </w:p>
        </w:tc>
      </w:tr>
      <w:tr w:rsidR="00547BDD" w:rsidRPr="00C63262" w14:paraId="1ADE674A" w14:textId="77777777" w:rsidTr="00D90C28">
        <w:trPr>
          <w:trHeight w:val="300"/>
        </w:trPr>
        <w:tc>
          <w:tcPr>
            <w:tcW w:w="1366" w:type="dxa"/>
            <w:tcBorders>
              <w:top w:val="nil"/>
              <w:bottom w:val="single" w:sz="4" w:space="0" w:color="auto"/>
            </w:tcBorders>
          </w:tcPr>
          <w:p w14:paraId="7BE1F9FC" w14:textId="77777777"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p>
        </w:tc>
        <w:tc>
          <w:tcPr>
            <w:tcW w:w="3024" w:type="dxa"/>
            <w:tcBorders>
              <w:top w:val="nil"/>
              <w:bottom w:val="single" w:sz="4" w:space="0" w:color="auto"/>
            </w:tcBorders>
          </w:tcPr>
          <w:p w14:paraId="60708899" w14:textId="77777777"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p>
        </w:tc>
        <w:tc>
          <w:tcPr>
            <w:tcW w:w="2409" w:type="dxa"/>
            <w:noWrap/>
            <w:hideMark/>
          </w:tcPr>
          <w:p w14:paraId="68B10D97" w14:textId="77777777" w:rsidR="00547BDD" w:rsidRPr="00C63262" w:rsidRDefault="00547BDD" w:rsidP="00547BDD">
            <w:pPr>
              <w:widowControl w:val="0"/>
              <w:numPr>
                <w:ilvl w:val="0"/>
                <w:numId w:val="100"/>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Patricia D. Herbese</w:t>
            </w:r>
          </w:p>
        </w:tc>
        <w:tc>
          <w:tcPr>
            <w:tcW w:w="993" w:type="dxa"/>
            <w:noWrap/>
            <w:hideMark/>
          </w:tcPr>
          <w:p w14:paraId="6B633976" w14:textId="77777777" w:rsidR="00547BDD" w:rsidRPr="00C63262" w:rsidRDefault="00547BDD" w:rsidP="00547BD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58A05B60" w14:textId="77777777" w:rsidR="00547BDD" w:rsidRPr="00C63262" w:rsidRDefault="00547BDD" w:rsidP="00547BD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Officer in Charge</w:t>
            </w:r>
          </w:p>
        </w:tc>
      </w:tr>
      <w:tr w:rsidR="00547BDD" w:rsidRPr="00C63262" w14:paraId="00F455F7" w14:textId="77777777" w:rsidTr="00D90C28">
        <w:trPr>
          <w:trHeight w:val="300"/>
        </w:trPr>
        <w:tc>
          <w:tcPr>
            <w:tcW w:w="1366" w:type="dxa"/>
            <w:tcBorders>
              <w:bottom w:val="nil"/>
            </w:tcBorders>
          </w:tcPr>
          <w:p w14:paraId="47C62DD0" w14:textId="4C2B6F4F"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120891</w:t>
            </w:r>
          </w:p>
        </w:tc>
        <w:tc>
          <w:tcPr>
            <w:tcW w:w="3024" w:type="dxa"/>
            <w:tcBorders>
              <w:bottom w:val="nil"/>
            </w:tcBorders>
          </w:tcPr>
          <w:p w14:paraId="21EC9E98" w14:textId="4F252579"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napToGrid w:val="0"/>
                <w:color w:val="000000"/>
                <w:sz w:val="20"/>
                <w:szCs w:val="20"/>
                <w:lang w:val="en-US"/>
              </w:rPr>
              <w:t>Gabaldon Central School</w:t>
            </w:r>
          </w:p>
        </w:tc>
        <w:tc>
          <w:tcPr>
            <w:tcW w:w="2409" w:type="dxa"/>
            <w:noWrap/>
            <w:hideMark/>
          </w:tcPr>
          <w:p w14:paraId="4133F8CB" w14:textId="77777777" w:rsidR="00547BDD" w:rsidRPr="00C63262" w:rsidRDefault="00547BDD" w:rsidP="00547BDD">
            <w:pPr>
              <w:widowControl w:val="0"/>
              <w:numPr>
                <w:ilvl w:val="0"/>
                <w:numId w:val="100"/>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Flordeliza G. Capa</w:t>
            </w:r>
          </w:p>
        </w:tc>
        <w:tc>
          <w:tcPr>
            <w:tcW w:w="993" w:type="dxa"/>
            <w:noWrap/>
            <w:hideMark/>
          </w:tcPr>
          <w:p w14:paraId="01DC57E5" w14:textId="77777777" w:rsidR="00547BDD" w:rsidRPr="00C63262" w:rsidRDefault="00547BDD" w:rsidP="00547BD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7D249EFD" w14:textId="77777777" w:rsidR="00547BDD" w:rsidRPr="00C63262" w:rsidRDefault="00547BDD" w:rsidP="00547BD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Master Teacher I</w:t>
            </w:r>
          </w:p>
        </w:tc>
      </w:tr>
      <w:tr w:rsidR="00547BDD" w:rsidRPr="00C63262" w14:paraId="4B68226D" w14:textId="77777777" w:rsidTr="00D90C28">
        <w:trPr>
          <w:trHeight w:val="300"/>
        </w:trPr>
        <w:tc>
          <w:tcPr>
            <w:tcW w:w="1366" w:type="dxa"/>
            <w:tcBorders>
              <w:top w:val="nil"/>
            </w:tcBorders>
          </w:tcPr>
          <w:p w14:paraId="2C98B68B" w14:textId="77777777"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p>
        </w:tc>
        <w:tc>
          <w:tcPr>
            <w:tcW w:w="3024" w:type="dxa"/>
            <w:tcBorders>
              <w:top w:val="nil"/>
            </w:tcBorders>
          </w:tcPr>
          <w:p w14:paraId="02B5FC30" w14:textId="77777777"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p>
        </w:tc>
        <w:tc>
          <w:tcPr>
            <w:tcW w:w="2409" w:type="dxa"/>
            <w:noWrap/>
            <w:hideMark/>
          </w:tcPr>
          <w:p w14:paraId="5D21EBE1" w14:textId="77777777" w:rsidR="00547BDD" w:rsidRPr="00C63262" w:rsidRDefault="00547BDD" w:rsidP="00547BDD">
            <w:pPr>
              <w:widowControl w:val="0"/>
              <w:numPr>
                <w:ilvl w:val="0"/>
                <w:numId w:val="100"/>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Francisco R. Tupa</w:t>
            </w:r>
          </w:p>
        </w:tc>
        <w:tc>
          <w:tcPr>
            <w:tcW w:w="993" w:type="dxa"/>
            <w:noWrap/>
            <w:hideMark/>
          </w:tcPr>
          <w:p w14:paraId="7962FA9D" w14:textId="77777777" w:rsidR="00547BDD" w:rsidRPr="00C63262" w:rsidRDefault="00547BDD" w:rsidP="00547BD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M</w:t>
            </w:r>
          </w:p>
        </w:tc>
        <w:tc>
          <w:tcPr>
            <w:tcW w:w="2835" w:type="dxa"/>
          </w:tcPr>
          <w:p w14:paraId="65355E1B" w14:textId="77777777" w:rsidR="00547BDD" w:rsidRPr="00C63262" w:rsidRDefault="00547BDD" w:rsidP="00547BD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Principal 2</w:t>
            </w:r>
          </w:p>
        </w:tc>
      </w:tr>
      <w:tr w:rsidR="00547BDD" w:rsidRPr="00C63262" w14:paraId="13A18A9E" w14:textId="77777777" w:rsidTr="00D90C28">
        <w:trPr>
          <w:trHeight w:val="300"/>
        </w:trPr>
        <w:tc>
          <w:tcPr>
            <w:tcW w:w="1366" w:type="dxa"/>
            <w:tcBorders>
              <w:bottom w:val="single" w:sz="4" w:space="0" w:color="auto"/>
            </w:tcBorders>
          </w:tcPr>
          <w:p w14:paraId="06CCB1A8" w14:textId="395A19F1"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121968</w:t>
            </w:r>
          </w:p>
        </w:tc>
        <w:tc>
          <w:tcPr>
            <w:tcW w:w="3024" w:type="dxa"/>
            <w:tcBorders>
              <w:bottom w:val="single" w:sz="4" w:space="0" w:color="auto"/>
            </w:tcBorders>
          </w:tcPr>
          <w:p w14:paraId="759E8F31" w14:textId="5F1B6813"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napToGrid w:val="0"/>
                <w:color w:val="000000"/>
                <w:sz w:val="20"/>
                <w:szCs w:val="20"/>
                <w:lang w:val="en-US"/>
              </w:rPr>
              <w:t>Hinabuyan Central School</w:t>
            </w:r>
          </w:p>
        </w:tc>
        <w:tc>
          <w:tcPr>
            <w:tcW w:w="2409" w:type="dxa"/>
            <w:noWrap/>
            <w:hideMark/>
          </w:tcPr>
          <w:p w14:paraId="64C0638E" w14:textId="77777777" w:rsidR="00547BDD" w:rsidRPr="00C63262" w:rsidRDefault="00547BDD" w:rsidP="00547BDD">
            <w:pPr>
              <w:widowControl w:val="0"/>
              <w:numPr>
                <w:ilvl w:val="0"/>
                <w:numId w:val="100"/>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Jonnah H. Regaňon</w:t>
            </w:r>
          </w:p>
        </w:tc>
        <w:tc>
          <w:tcPr>
            <w:tcW w:w="993" w:type="dxa"/>
            <w:noWrap/>
            <w:hideMark/>
          </w:tcPr>
          <w:p w14:paraId="43B83B44" w14:textId="77777777" w:rsidR="00547BDD" w:rsidRPr="00C63262" w:rsidRDefault="00547BDD" w:rsidP="00547BD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0DC68323" w14:textId="77777777" w:rsidR="00547BDD" w:rsidRPr="00C63262" w:rsidRDefault="00547BDD" w:rsidP="00547BD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 III</w:t>
            </w:r>
          </w:p>
        </w:tc>
      </w:tr>
      <w:tr w:rsidR="00547BDD" w:rsidRPr="00C63262" w14:paraId="4E829D66" w14:textId="77777777" w:rsidTr="00D90C28">
        <w:trPr>
          <w:trHeight w:val="300"/>
        </w:trPr>
        <w:tc>
          <w:tcPr>
            <w:tcW w:w="1366" w:type="dxa"/>
            <w:tcBorders>
              <w:bottom w:val="nil"/>
            </w:tcBorders>
          </w:tcPr>
          <w:p w14:paraId="0007445C" w14:textId="50A21023"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121408</w:t>
            </w:r>
          </w:p>
        </w:tc>
        <w:tc>
          <w:tcPr>
            <w:tcW w:w="3024" w:type="dxa"/>
            <w:tcBorders>
              <w:bottom w:val="nil"/>
            </w:tcBorders>
          </w:tcPr>
          <w:p w14:paraId="43E45115" w14:textId="397487EE"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napToGrid w:val="0"/>
                <w:color w:val="000000"/>
                <w:sz w:val="20"/>
                <w:szCs w:val="20"/>
                <w:lang w:val="en-US"/>
              </w:rPr>
              <w:t>Hindang Central School</w:t>
            </w:r>
          </w:p>
        </w:tc>
        <w:tc>
          <w:tcPr>
            <w:tcW w:w="2409" w:type="dxa"/>
            <w:noWrap/>
            <w:hideMark/>
          </w:tcPr>
          <w:p w14:paraId="0990256A" w14:textId="77777777" w:rsidR="00547BDD" w:rsidRPr="00C63262" w:rsidRDefault="00547BDD" w:rsidP="00547BDD">
            <w:pPr>
              <w:widowControl w:val="0"/>
              <w:numPr>
                <w:ilvl w:val="0"/>
                <w:numId w:val="100"/>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Rowena C. Aberca</w:t>
            </w:r>
          </w:p>
        </w:tc>
        <w:tc>
          <w:tcPr>
            <w:tcW w:w="993" w:type="dxa"/>
            <w:noWrap/>
            <w:hideMark/>
          </w:tcPr>
          <w:p w14:paraId="79F802B6" w14:textId="77777777" w:rsidR="00547BDD" w:rsidRPr="00C63262" w:rsidRDefault="00547BDD" w:rsidP="00547BD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3A8D0196" w14:textId="77777777" w:rsidR="00547BDD" w:rsidRPr="00C63262" w:rsidRDefault="00547BDD" w:rsidP="00547BD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 III</w:t>
            </w:r>
          </w:p>
        </w:tc>
      </w:tr>
      <w:tr w:rsidR="00547BDD" w:rsidRPr="00C63262" w14:paraId="0044C077" w14:textId="77777777" w:rsidTr="00D90C28">
        <w:trPr>
          <w:trHeight w:val="300"/>
        </w:trPr>
        <w:tc>
          <w:tcPr>
            <w:tcW w:w="1366" w:type="dxa"/>
            <w:tcBorders>
              <w:top w:val="nil"/>
            </w:tcBorders>
          </w:tcPr>
          <w:p w14:paraId="54E371E2" w14:textId="77777777"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p>
        </w:tc>
        <w:tc>
          <w:tcPr>
            <w:tcW w:w="3024" w:type="dxa"/>
            <w:tcBorders>
              <w:top w:val="nil"/>
            </w:tcBorders>
          </w:tcPr>
          <w:p w14:paraId="248444E0" w14:textId="77777777"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p>
        </w:tc>
        <w:tc>
          <w:tcPr>
            <w:tcW w:w="2409" w:type="dxa"/>
            <w:noWrap/>
            <w:hideMark/>
          </w:tcPr>
          <w:p w14:paraId="3108C453" w14:textId="77777777" w:rsidR="00547BDD" w:rsidRPr="00C63262" w:rsidRDefault="00547BDD" w:rsidP="00547BDD">
            <w:pPr>
              <w:widowControl w:val="0"/>
              <w:numPr>
                <w:ilvl w:val="0"/>
                <w:numId w:val="100"/>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Victoria A.Remoto</w:t>
            </w:r>
          </w:p>
        </w:tc>
        <w:tc>
          <w:tcPr>
            <w:tcW w:w="993" w:type="dxa"/>
            <w:noWrap/>
            <w:hideMark/>
          </w:tcPr>
          <w:p w14:paraId="38607FF1" w14:textId="77777777" w:rsidR="00547BDD" w:rsidRPr="00C63262" w:rsidRDefault="00547BDD" w:rsidP="00547BD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69190795" w14:textId="77777777" w:rsidR="00547BDD" w:rsidRPr="00C63262" w:rsidRDefault="00547BDD" w:rsidP="00547BD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Principal II</w:t>
            </w:r>
          </w:p>
        </w:tc>
      </w:tr>
      <w:tr w:rsidR="00547BDD" w:rsidRPr="00C63262" w14:paraId="4F01CEFE" w14:textId="77777777" w:rsidTr="00547BDD">
        <w:trPr>
          <w:trHeight w:val="300"/>
        </w:trPr>
        <w:tc>
          <w:tcPr>
            <w:tcW w:w="1366" w:type="dxa"/>
          </w:tcPr>
          <w:p w14:paraId="40B9BCBB" w14:textId="7451E388"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120930</w:t>
            </w:r>
          </w:p>
        </w:tc>
        <w:tc>
          <w:tcPr>
            <w:tcW w:w="3024" w:type="dxa"/>
          </w:tcPr>
          <w:p w14:paraId="217D43B7" w14:textId="468F85EF"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napToGrid w:val="0"/>
                <w:sz w:val="20"/>
                <w:szCs w:val="20"/>
                <w:lang w:val="en-US"/>
              </w:rPr>
              <w:t xml:space="preserve">Maitum </w:t>
            </w:r>
            <w:r w:rsidRPr="00C63262">
              <w:rPr>
                <w:rFonts w:asciiTheme="majorHAnsi" w:hAnsiTheme="majorHAnsi" w:cstheme="majorHAnsi"/>
                <w:snapToGrid w:val="0"/>
                <w:color w:val="000000"/>
                <w:sz w:val="20"/>
                <w:szCs w:val="20"/>
                <w:lang w:val="en-US"/>
              </w:rPr>
              <w:t>Elementary School</w:t>
            </w:r>
            <w:r w:rsidRPr="00C63262">
              <w:rPr>
                <w:rFonts w:asciiTheme="majorHAnsi" w:hAnsiTheme="majorHAnsi" w:cstheme="majorHAnsi"/>
                <w:snapToGrid w:val="0"/>
                <w:sz w:val="20"/>
                <w:szCs w:val="20"/>
                <w:lang w:val="en-US"/>
              </w:rPr>
              <w:t xml:space="preserve"> </w:t>
            </w:r>
          </w:p>
        </w:tc>
        <w:tc>
          <w:tcPr>
            <w:tcW w:w="2409" w:type="dxa"/>
            <w:noWrap/>
            <w:hideMark/>
          </w:tcPr>
          <w:p w14:paraId="663DFB1B" w14:textId="77777777" w:rsidR="00547BDD" w:rsidRPr="00C63262" w:rsidRDefault="00547BDD" w:rsidP="00547BDD">
            <w:pPr>
              <w:widowControl w:val="0"/>
              <w:numPr>
                <w:ilvl w:val="0"/>
                <w:numId w:val="100"/>
              </w:numPr>
              <w:spacing w:before="100" w:beforeAutospacing="1" w:after="100" w:afterAutospacing="1" w:line="360" w:lineRule="auto"/>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Marilyn A. Tupa</w:t>
            </w:r>
          </w:p>
        </w:tc>
        <w:tc>
          <w:tcPr>
            <w:tcW w:w="993" w:type="dxa"/>
            <w:noWrap/>
            <w:hideMark/>
          </w:tcPr>
          <w:p w14:paraId="72D7213C" w14:textId="77777777"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F</w:t>
            </w:r>
          </w:p>
        </w:tc>
        <w:tc>
          <w:tcPr>
            <w:tcW w:w="2835" w:type="dxa"/>
          </w:tcPr>
          <w:p w14:paraId="4222E040" w14:textId="77777777"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Principal</w:t>
            </w:r>
          </w:p>
        </w:tc>
      </w:tr>
      <w:tr w:rsidR="00547BDD" w:rsidRPr="00C63262" w14:paraId="5B911F51" w14:textId="77777777" w:rsidTr="00547BDD">
        <w:trPr>
          <w:trHeight w:val="300"/>
        </w:trPr>
        <w:tc>
          <w:tcPr>
            <w:tcW w:w="1366" w:type="dxa"/>
          </w:tcPr>
          <w:p w14:paraId="67ACBB26" w14:textId="0492C9ED"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122697</w:t>
            </w:r>
          </w:p>
        </w:tc>
        <w:tc>
          <w:tcPr>
            <w:tcW w:w="3024" w:type="dxa"/>
          </w:tcPr>
          <w:p w14:paraId="2A614697" w14:textId="0B11FED0"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napToGrid w:val="0"/>
                <w:sz w:val="20"/>
                <w:szCs w:val="20"/>
                <w:lang w:val="en-US"/>
              </w:rPr>
              <w:t xml:space="preserve">Malbog </w:t>
            </w:r>
            <w:r w:rsidRPr="00C63262">
              <w:rPr>
                <w:rFonts w:asciiTheme="majorHAnsi" w:hAnsiTheme="majorHAnsi" w:cstheme="majorHAnsi"/>
                <w:snapToGrid w:val="0"/>
                <w:color w:val="000000"/>
                <w:sz w:val="20"/>
                <w:szCs w:val="20"/>
                <w:lang w:val="en-US"/>
              </w:rPr>
              <w:t>Elementary School</w:t>
            </w:r>
            <w:r w:rsidRPr="00C63262">
              <w:rPr>
                <w:rFonts w:asciiTheme="majorHAnsi" w:hAnsiTheme="majorHAnsi" w:cstheme="majorHAnsi"/>
                <w:snapToGrid w:val="0"/>
                <w:sz w:val="20"/>
                <w:szCs w:val="20"/>
                <w:lang w:val="en-US"/>
              </w:rPr>
              <w:t xml:space="preserve"> </w:t>
            </w:r>
          </w:p>
        </w:tc>
        <w:tc>
          <w:tcPr>
            <w:tcW w:w="2409" w:type="dxa"/>
            <w:noWrap/>
            <w:hideMark/>
          </w:tcPr>
          <w:p w14:paraId="5A2C835F" w14:textId="77777777" w:rsidR="00547BDD" w:rsidRPr="00C63262" w:rsidRDefault="00547BDD" w:rsidP="00547BDD">
            <w:pPr>
              <w:widowControl w:val="0"/>
              <w:numPr>
                <w:ilvl w:val="0"/>
                <w:numId w:val="100"/>
              </w:numPr>
              <w:spacing w:before="100" w:beforeAutospacing="1" w:after="100" w:afterAutospacing="1" w:line="360" w:lineRule="auto"/>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Dyna G. Macabocsit</w:t>
            </w:r>
          </w:p>
        </w:tc>
        <w:tc>
          <w:tcPr>
            <w:tcW w:w="993" w:type="dxa"/>
            <w:noWrap/>
            <w:hideMark/>
          </w:tcPr>
          <w:p w14:paraId="78B8B524" w14:textId="77777777"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F</w:t>
            </w:r>
          </w:p>
        </w:tc>
        <w:tc>
          <w:tcPr>
            <w:tcW w:w="2835" w:type="dxa"/>
          </w:tcPr>
          <w:p w14:paraId="610A19EA" w14:textId="77777777"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Teacher in Charge</w:t>
            </w:r>
          </w:p>
        </w:tc>
      </w:tr>
      <w:tr w:rsidR="00547BDD" w:rsidRPr="00C63262" w14:paraId="32A4954F" w14:textId="77777777" w:rsidTr="00547BDD">
        <w:trPr>
          <w:trHeight w:val="300"/>
        </w:trPr>
        <w:tc>
          <w:tcPr>
            <w:tcW w:w="1366" w:type="dxa"/>
          </w:tcPr>
          <w:p w14:paraId="009F6537" w14:textId="0E5943C5"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122598</w:t>
            </w:r>
          </w:p>
        </w:tc>
        <w:tc>
          <w:tcPr>
            <w:tcW w:w="3024" w:type="dxa"/>
          </w:tcPr>
          <w:p w14:paraId="03F9174D" w14:textId="4C6934FF"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napToGrid w:val="0"/>
                <w:color w:val="000000"/>
                <w:sz w:val="20"/>
                <w:szCs w:val="20"/>
                <w:lang w:val="en-US"/>
              </w:rPr>
              <w:t xml:space="preserve">Naubay Elementary School </w:t>
            </w:r>
          </w:p>
        </w:tc>
        <w:tc>
          <w:tcPr>
            <w:tcW w:w="2409" w:type="dxa"/>
            <w:noWrap/>
            <w:hideMark/>
          </w:tcPr>
          <w:p w14:paraId="5CF25800" w14:textId="77777777" w:rsidR="00547BDD" w:rsidRPr="00C63262" w:rsidRDefault="00547BDD" w:rsidP="00547BDD">
            <w:pPr>
              <w:widowControl w:val="0"/>
              <w:numPr>
                <w:ilvl w:val="0"/>
                <w:numId w:val="100"/>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Amalia B. Baguis</w:t>
            </w:r>
          </w:p>
        </w:tc>
        <w:tc>
          <w:tcPr>
            <w:tcW w:w="993" w:type="dxa"/>
            <w:noWrap/>
            <w:hideMark/>
          </w:tcPr>
          <w:p w14:paraId="5826D4D6" w14:textId="77777777" w:rsidR="00547BDD" w:rsidRPr="00C63262" w:rsidRDefault="00547BDD" w:rsidP="00547BD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64BFF19A" w14:textId="77777777" w:rsidR="00547BDD" w:rsidRPr="00C63262" w:rsidRDefault="00547BDD" w:rsidP="00547BD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Master Teacher I</w:t>
            </w:r>
          </w:p>
        </w:tc>
      </w:tr>
      <w:tr w:rsidR="00547BDD" w:rsidRPr="00C63262" w14:paraId="6E1173C1" w14:textId="77777777" w:rsidTr="00547BDD">
        <w:trPr>
          <w:trHeight w:val="300"/>
        </w:trPr>
        <w:tc>
          <w:tcPr>
            <w:tcW w:w="1366" w:type="dxa"/>
          </w:tcPr>
          <w:p w14:paraId="0DC46543" w14:textId="118998A9"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122668</w:t>
            </w:r>
          </w:p>
        </w:tc>
        <w:tc>
          <w:tcPr>
            <w:tcW w:w="3024" w:type="dxa"/>
          </w:tcPr>
          <w:p w14:paraId="52F5B7FC" w14:textId="7B2306C1"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napToGrid w:val="0"/>
                <w:color w:val="000000"/>
                <w:sz w:val="20"/>
                <w:szCs w:val="20"/>
                <w:lang w:val="en-US"/>
              </w:rPr>
              <w:t xml:space="preserve">Oras West Elementary School </w:t>
            </w:r>
          </w:p>
        </w:tc>
        <w:tc>
          <w:tcPr>
            <w:tcW w:w="2409" w:type="dxa"/>
            <w:noWrap/>
            <w:hideMark/>
          </w:tcPr>
          <w:p w14:paraId="02829162" w14:textId="77777777" w:rsidR="00547BDD" w:rsidRPr="00C63262" w:rsidRDefault="00547BDD" w:rsidP="00547BDD">
            <w:pPr>
              <w:widowControl w:val="0"/>
              <w:numPr>
                <w:ilvl w:val="0"/>
                <w:numId w:val="100"/>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Wigberto M. Porombaba</w:t>
            </w:r>
          </w:p>
        </w:tc>
        <w:tc>
          <w:tcPr>
            <w:tcW w:w="993" w:type="dxa"/>
            <w:noWrap/>
            <w:hideMark/>
          </w:tcPr>
          <w:p w14:paraId="66101C4A" w14:textId="77777777" w:rsidR="00547BDD" w:rsidRPr="00C63262" w:rsidRDefault="00547BDD" w:rsidP="00547BD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M</w:t>
            </w:r>
          </w:p>
        </w:tc>
        <w:tc>
          <w:tcPr>
            <w:tcW w:w="2835" w:type="dxa"/>
          </w:tcPr>
          <w:p w14:paraId="131A2BDD" w14:textId="77777777" w:rsidR="00547BDD" w:rsidRPr="00C63262" w:rsidRDefault="00547BDD" w:rsidP="00547BD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Principal</w:t>
            </w:r>
          </w:p>
        </w:tc>
      </w:tr>
      <w:tr w:rsidR="00547BDD" w:rsidRPr="00C63262" w14:paraId="58F43034" w14:textId="77777777" w:rsidTr="00547BDD">
        <w:trPr>
          <w:trHeight w:val="300"/>
        </w:trPr>
        <w:tc>
          <w:tcPr>
            <w:tcW w:w="1366" w:type="dxa"/>
          </w:tcPr>
          <w:p w14:paraId="35CA3449" w14:textId="66B258CB"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121365</w:t>
            </w:r>
          </w:p>
        </w:tc>
        <w:tc>
          <w:tcPr>
            <w:tcW w:w="3024" w:type="dxa"/>
          </w:tcPr>
          <w:p w14:paraId="0582F200" w14:textId="09C71E71"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napToGrid w:val="0"/>
                <w:color w:val="000000"/>
                <w:sz w:val="20"/>
                <w:szCs w:val="20"/>
                <w:lang w:val="en-US"/>
              </w:rPr>
              <w:t xml:space="preserve">Owak Elementary School </w:t>
            </w:r>
          </w:p>
        </w:tc>
        <w:tc>
          <w:tcPr>
            <w:tcW w:w="2409" w:type="dxa"/>
            <w:noWrap/>
            <w:hideMark/>
          </w:tcPr>
          <w:p w14:paraId="35480F43" w14:textId="77777777" w:rsidR="00547BDD" w:rsidRPr="00C63262" w:rsidRDefault="00547BDD" w:rsidP="00547BDD">
            <w:pPr>
              <w:widowControl w:val="0"/>
              <w:numPr>
                <w:ilvl w:val="0"/>
                <w:numId w:val="100"/>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Angeline N. Tandaan</w:t>
            </w:r>
          </w:p>
        </w:tc>
        <w:tc>
          <w:tcPr>
            <w:tcW w:w="993" w:type="dxa"/>
            <w:noWrap/>
            <w:hideMark/>
          </w:tcPr>
          <w:p w14:paraId="287E4D71" w14:textId="77777777" w:rsidR="00547BDD" w:rsidRPr="00C63262" w:rsidRDefault="00547BDD" w:rsidP="00547BD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106DA233" w14:textId="77777777" w:rsidR="00547BDD" w:rsidRPr="00C63262" w:rsidRDefault="00547BDD" w:rsidP="00547BD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 3</w:t>
            </w:r>
          </w:p>
        </w:tc>
      </w:tr>
      <w:tr w:rsidR="00547BDD" w:rsidRPr="00C63262" w14:paraId="00DFB6A4" w14:textId="77777777" w:rsidTr="00547BDD">
        <w:trPr>
          <w:trHeight w:val="300"/>
        </w:trPr>
        <w:tc>
          <w:tcPr>
            <w:tcW w:w="1366" w:type="dxa"/>
          </w:tcPr>
          <w:p w14:paraId="2FDFF24F" w14:textId="630555EF"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121680</w:t>
            </w:r>
          </w:p>
        </w:tc>
        <w:tc>
          <w:tcPr>
            <w:tcW w:w="3024" w:type="dxa"/>
          </w:tcPr>
          <w:p w14:paraId="517196D6" w14:textId="36E78023"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r w:rsidRPr="00EA6CB9">
              <w:rPr>
                <w:rFonts w:asciiTheme="majorHAnsi" w:hAnsiTheme="majorHAnsi" w:cstheme="majorHAnsi"/>
                <w:snapToGrid w:val="0"/>
                <w:sz w:val="20"/>
                <w:szCs w:val="20"/>
                <w:lang w:val="en-US"/>
              </w:rPr>
              <w:t xml:space="preserve">Pong-On Elementary School </w:t>
            </w:r>
          </w:p>
        </w:tc>
        <w:tc>
          <w:tcPr>
            <w:tcW w:w="2409" w:type="dxa"/>
            <w:noWrap/>
            <w:hideMark/>
          </w:tcPr>
          <w:p w14:paraId="4DAE78C1" w14:textId="77777777" w:rsidR="00547BDD" w:rsidRPr="00EA6CB9" w:rsidRDefault="00547BDD" w:rsidP="00547BDD">
            <w:pPr>
              <w:widowControl w:val="0"/>
              <w:numPr>
                <w:ilvl w:val="0"/>
                <w:numId w:val="100"/>
              </w:numPr>
              <w:spacing w:before="100" w:beforeAutospacing="1" w:after="100" w:afterAutospacing="1" w:line="360" w:lineRule="auto"/>
              <w:rPr>
                <w:rFonts w:asciiTheme="majorHAnsi" w:hAnsiTheme="majorHAnsi" w:cstheme="majorHAnsi"/>
                <w:snapToGrid w:val="0"/>
                <w:sz w:val="20"/>
                <w:szCs w:val="20"/>
                <w:lang w:val="en-US"/>
              </w:rPr>
            </w:pPr>
            <w:r w:rsidRPr="00EA6CB9">
              <w:rPr>
                <w:rFonts w:asciiTheme="majorHAnsi" w:hAnsiTheme="majorHAnsi" w:cstheme="majorHAnsi"/>
                <w:snapToGrid w:val="0"/>
                <w:sz w:val="20"/>
                <w:szCs w:val="20"/>
                <w:lang w:val="en-US"/>
              </w:rPr>
              <w:t>Crispicia P. Paz</w:t>
            </w:r>
          </w:p>
        </w:tc>
        <w:tc>
          <w:tcPr>
            <w:tcW w:w="993" w:type="dxa"/>
            <w:noWrap/>
            <w:hideMark/>
          </w:tcPr>
          <w:p w14:paraId="395B57A9" w14:textId="77777777" w:rsidR="00547BDD" w:rsidRPr="00C63262" w:rsidRDefault="00547BDD" w:rsidP="00547BDD">
            <w:pPr>
              <w:spacing w:before="100" w:beforeAutospacing="1" w:after="100" w:afterAutospacing="1" w:line="360" w:lineRule="auto"/>
              <w:rPr>
                <w:rFonts w:asciiTheme="majorHAnsi" w:hAnsiTheme="majorHAnsi" w:cstheme="majorHAnsi"/>
                <w:color w:val="FF0000"/>
                <w:sz w:val="20"/>
                <w:szCs w:val="20"/>
                <w:lang w:val="en-US"/>
              </w:rPr>
            </w:pPr>
            <w:r w:rsidRPr="00FF4CA3">
              <w:rPr>
                <w:rFonts w:asciiTheme="majorHAnsi" w:hAnsiTheme="majorHAnsi" w:cstheme="majorHAnsi"/>
                <w:sz w:val="20"/>
                <w:szCs w:val="20"/>
                <w:lang w:val="en-US"/>
              </w:rPr>
              <w:t>F</w:t>
            </w:r>
          </w:p>
        </w:tc>
        <w:tc>
          <w:tcPr>
            <w:tcW w:w="2835" w:type="dxa"/>
          </w:tcPr>
          <w:p w14:paraId="003EB62E" w14:textId="77777777" w:rsidR="00547BDD" w:rsidRPr="00C63262" w:rsidRDefault="00547BDD" w:rsidP="00547BDD">
            <w:pPr>
              <w:spacing w:before="100" w:beforeAutospacing="1" w:after="100" w:afterAutospacing="1" w:line="360" w:lineRule="auto"/>
              <w:rPr>
                <w:rFonts w:asciiTheme="majorHAnsi" w:hAnsiTheme="majorHAnsi" w:cstheme="majorHAnsi"/>
                <w:color w:val="000000"/>
                <w:sz w:val="20"/>
                <w:szCs w:val="20"/>
                <w:lang w:val="en-US"/>
              </w:rPr>
            </w:pPr>
          </w:p>
        </w:tc>
      </w:tr>
      <w:tr w:rsidR="00547BDD" w:rsidRPr="00C63262" w14:paraId="08900471" w14:textId="77777777" w:rsidTr="00547BDD">
        <w:trPr>
          <w:trHeight w:val="300"/>
        </w:trPr>
        <w:tc>
          <w:tcPr>
            <w:tcW w:w="1366" w:type="dxa"/>
          </w:tcPr>
          <w:p w14:paraId="39B90AA3" w14:textId="5EBEAB22"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121732</w:t>
            </w:r>
          </w:p>
        </w:tc>
        <w:tc>
          <w:tcPr>
            <w:tcW w:w="3024" w:type="dxa"/>
          </w:tcPr>
          <w:p w14:paraId="4BC7FFA4" w14:textId="6A2B8332"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napToGrid w:val="0"/>
                <w:color w:val="000000"/>
                <w:sz w:val="20"/>
                <w:szCs w:val="20"/>
                <w:lang w:val="en-US"/>
              </w:rPr>
              <w:t xml:space="preserve">Puerto Bello Elementary School </w:t>
            </w:r>
          </w:p>
        </w:tc>
        <w:tc>
          <w:tcPr>
            <w:tcW w:w="2409" w:type="dxa"/>
            <w:noWrap/>
            <w:hideMark/>
          </w:tcPr>
          <w:p w14:paraId="20629472" w14:textId="77777777" w:rsidR="00547BDD" w:rsidRPr="00C63262" w:rsidRDefault="00547BDD" w:rsidP="00547BDD">
            <w:pPr>
              <w:widowControl w:val="0"/>
              <w:numPr>
                <w:ilvl w:val="0"/>
                <w:numId w:val="100"/>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Aquilino B. Matugas</w:t>
            </w:r>
          </w:p>
        </w:tc>
        <w:tc>
          <w:tcPr>
            <w:tcW w:w="993" w:type="dxa"/>
            <w:noWrap/>
            <w:hideMark/>
          </w:tcPr>
          <w:p w14:paraId="00E5AD6A" w14:textId="77777777" w:rsidR="00547BDD" w:rsidRPr="00C63262" w:rsidRDefault="00547BDD" w:rsidP="00547BD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M</w:t>
            </w:r>
          </w:p>
        </w:tc>
        <w:tc>
          <w:tcPr>
            <w:tcW w:w="2835" w:type="dxa"/>
          </w:tcPr>
          <w:p w14:paraId="063A6060" w14:textId="77777777" w:rsidR="00547BDD" w:rsidRPr="00C63262" w:rsidRDefault="00547BDD" w:rsidP="00547BD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Principal 2</w:t>
            </w:r>
          </w:p>
        </w:tc>
      </w:tr>
      <w:tr w:rsidR="00547BDD" w:rsidRPr="00C63262" w14:paraId="72D0B5F6" w14:textId="77777777" w:rsidTr="00547BDD">
        <w:trPr>
          <w:trHeight w:val="300"/>
        </w:trPr>
        <w:tc>
          <w:tcPr>
            <w:tcW w:w="1366" w:type="dxa"/>
          </w:tcPr>
          <w:p w14:paraId="3697E3CE" w14:textId="77777777"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p>
        </w:tc>
        <w:tc>
          <w:tcPr>
            <w:tcW w:w="3024" w:type="dxa"/>
          </w:tcPr>
          <w:p w14:paraId="11D19F3E" w14:textId="77777777"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p>
        </w:tc>
        <w:tc>
          <w:tcPr>
            <w:tcW w:w="2409" w:type="dxa"/>
            <w:noWrap/>
            <w:hideMark/>
          </w:tcPr>
          <w:p w14:paraId="42008712" w14:textId="77777777" w:rsidR="00547BDD" w:rsidRPr="00C63262" w:rsidRDefault="00547BDD" w:rsidP="00547BDD">
            <w:pPr>
              <w:widowControl w:val="0"/>
              <w:numPr>
                <w:ilvl w:val="0"/>
                <w:numId w:val="100"/>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May Edna H. Alangco</w:t>
            </w:r>
          </w:p>
        </w:tc>
        <w:tc>
          <w:tcPr>
            <w:tcW w:w="993" w:type="dxa"/>
            <w:noWrap/>
            <w:hideMark/>
          </w:tcPr>
          <w:p w14:paraId="294A864C" w14:textId="77777777" w:rsidR="00547BDD" w:rsidRPr="00C63262" w:rsidRDefault="00547BDD" w:rsidP="00547BD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2B0ED366" w14:textId="77777777" w:rsidR="00547BDD" w:rsidRPr="00C63262" w:rsidRDefault="00547BDD" w:rsidP="00547BD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 3</w:t>
            </w:r>
          </w:p>
        </w:tc>
      </w:tr>
      <w:tr w:rsidR="00547BDD" w:rsidRPr="00C63262" w14:paraId="02AA2687" w14:textId="77777777" w:rsidTr="00D90C28">
        <w:trPr>
          <w:trHeight w:val="300"/>
        </w:trPr>
        <w:tc>
          <w:tcPr>
            <w:tcW w:w="1366" w:type="dxa"/>
            <w:tcBorders>
              <w:bottom w:val="single" w:sz="4" w:space="0" w:color="auto"/>
            </w:tcBorders>
          </w:tcPr>
          <w:p w14:paraId="6D369A58" w14:textId="53B8141D"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121373</w:t>
            </w:r>
          </w:p>
        </w:tc>
        <w:tc>
          <w:tcPr>
            <w:tcW w:w="3024" w:type="dxa"/>
            <w:tcBorders>
              <w:bottom w:val="single" w:sz="4" w:space="0" w:color="auto"/>
            </w:tcBorders>
          </w:tcPr>
          <w:p w14:paraId="59340B29" w14:textId="2255161E"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napToGrid w:val="0"/>
                <w:color w:val="000000"/>
                <w:sz w:val="20"/>
                <w:szCs w:val="20"/>
                <w:lang w:val="en-US"/>
              </w:rPr>
              <w:t xml:space="preserve">Tagnate Elementary School </w:t>
            </w:r>
          </w:p>
        </w:tc>
        <w:tc>
          <w:tcPr>
            <w:tcW w:w="2409" w:type="dxa"/>
            <w:noWrap/>
            <w:hideMark/>
          </w:tcPr>
          <w:p w14:paraId="686FBF23" w14:textId="06CFB0E1" w:rsidR="00547BDD" w:rsidRPr="00C63262" w:rsidRDefault="00547BDD" w:rsidP="00547BDD">
            <w:pPr>
              <w:widowControl w:val="0"/>
              <w:numPr>
                <w:ilvl w:val="0"/>
                <w:numId w:val="100"/>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Elmer C.</w:t>
            </w:r>
            <w:r>
              <w:rPr>
                <w:rFonts w:asciiTheme="majorHAnsi" w:hAnsiTheme="majorHAnsi" w:cstheme="majorHAnsi"/>
                <w:snapToGrid w:val="0"/>
                <w:color w:val="000000"/>
                <w:sz w:val="20"/>
                <w:szCs w:val="20"/>
                <w:lang w:val="en-US"/>
              </w:rPr>
              <w:t xml:space="preserve"> </w:t>
            </w:r>
            <w:r w:rsidRPr="00C63262">
              <w:rPr>
                <w:rFonts w:asciiTheme="majorHAnsi" w:hAnsiTheme="majorHAnsi" w:cstheme="majorHAnsi"/>
                <w:snapToGrid w:val="0"/>
                <w:color w:val="000000"/>
                <w:sz w:val="20"/>
                <w:szCs w:val="20"/>
                <w:lang w:val="en-US"/>
              </w:rPr>
              <w:t xml:space="preserve">Zarate </w:t>
            </w:r>
          </w:p>
        </w:tc>
        <w:tc>
          <w:tcPr>
            <w:tcW w:w="993" w:type="dxa"/>
            <w:noWrap/>
            <w:hideMark/>
          </w:tcPr>
          <w:p w14:paraId="22047D81" w14:textId="77777777" w:rsidR="00547BDD" w:rsidRPr="00C63262" w:rsidRDefault="00547BDD" w:rsidP="00547BD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M</w:t>
            </w:r>
          </w:p>
        </w:tc>
        <w:tc>
          <w:tcPr>
            <w:tcW w:w="2835" w:type="dxa"/>
          </w:tcPr>
          <w:p w14:paraId="214F84E6" w14:textId="77777777" w:rsidR="00547BDD" w:rsidRPr="00C63262" w:rsidRDefault="00547BDD" w:rsidP="00547BD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 I</w:t>
            </w:r>
          </w:p>
        </w:tc>
      </w:tr>
      <w:tr w:rsidR="00547BDD" w:rsidRPr="00C63262" w14:paraId="2F6DCDCC" w14:textId="77777777" w:rsidTr="00D90C28">
        <w:trPr>
          <w:trHeight w:val="300"/>
        </w:trPr>
        <w:tc>
          <w:tcPr>
            <w:tcW w:w="1366" w:type="dxa"/>
            <w:tcBorders>
              <w:bottom w:val="nil"/>
            </w:tcBorders>
          </w:tcPr>
          <w:p w14:paraId="637A283D" w14:textId="57E8716E"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122530</w:t>
            </w:r>
          </w:p>
        </w:tc>
        <w:tc>
          <w:tcPr>
            <w:tcW w:w="3024" w:type="dxa"/>
            <w:tcBorders>
              <w:bottom w:val="nil"/>
            </w:tcBorders>
          </w:tcPr>
          <w:p w14:paraId="226ECF9D" w14:textId="353E4787"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napToGrid w:val="0"/>
                <w:color w:val="000000"/>
                <w:sz w:val="20"/>
                <w:szCs w:val="20"/>
                <w:lang w:val="en-US"/>
              </w:rPr>
              <w:t xml:space="preserve">Victory Elementary School </w:t>
            </w:r>
          </w:p>
        </w:tc>
        <w:tc>
          <w:tcPr>
            <w:tcW w:w="2409" w:type="dxa"/>
            <w:noWrap/>
            <w:hideMark/>
          </w:tcPr>
          <w:p w14:paraId="0925820A" w14:textId="77777777" w:rsidR="00547BDD" w:rsidRPr="00C63262" w:rsidRDefault="00547BDD" w:rsidP="00547BDD">
            <w:pPr>
              <w:widowControl w:val="0"/>
              <w:numPr>
                <w:ilvl w:val="0"/>
                <w:numId w:val="100"/>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Ronalyn G. Calumpiano</w:t>
            </w:r>
          </w:p>
        </w:tc>
        <w:tc>
          <w:tcPr>
            <w:tcW w:w="993" w:type="dxa"/>
            <w:noWrap/>
            <w:hideMark/>
          </w:tcPr>
          <w:p w14:paraId="7EFA756C" w14:textId="77777777" w:rsidR="00547BDD" w:rsidRPr="00C63262" w:rsidRDefault="00547BDD" w:rsidP="00547BD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6977AE7D" w14:textId="77777777" w:rsidR="00547BDD" w:rsidRPr="00C63262" w:rsidRDefault="00547BDD" w:rsidP="00547BD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547BDD" w:rsidRPr="00C63262" w14:paraId="73B446B1" w14:textId="77777777" w:rsidTr="00D90C28">
        <w:trPr>
          <w:trHeight w:val="300"/>
        </w:trPr>
        <w:tc>
          <w:tcPr>
            <w:tcW w:w="1366" w:type="dxa"/>
            <w:tcBorders>
              <w:top w:val="nil"/>
              <w:bottom w:val="single" w:sz="4" w:space="0" w:color="auto"/>
            </w:tcBorders>
          </w:tcPr>
          <w:p w14:paraId="55DC4A3F" w14:textId="77777777"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p>
        </w:tc>
        <w:tc>
          <w:tcPr>
            <w:tcW w:w="3024" w:type="dxa"/>
            <w:tcBorders>
              <w:top w:val="nil"/>
              <w:bottom w:val="single" w:sz="4" w:space="0" w:color="auto"/>
            </w:tcBorders>
          </w:tcPr>
          <w:p w14:paraId="40D99935" w14:textId="77777777"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p>
        </w:tc>
        <w:tc>
          <w:tcPr>
            <w:tcW w:w="2409" w:type="dxa"/>
            <w:noWrap/>
            <w:hideMark/>
          </w:tcPr>
          <w:p w14:paraId="7FFEDABE" w14:textId="77777777" w:rsidR="00547BDD" w:rsidRPr="00C63262" w:rsidRDefault="00547BDD" w:rsidP="00547BDD">
            <w:pPr>
              <w:widowControl w:val="0"/>
              <w:numPr>
                <w:ilvl w:val="0"/>
                <w:numId w:val="100"/>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Rubilyn C. De Asis</w:t>
            </w:r>
          </w:p>
        </w:tc>
        <w:tc>
          <w:tcPr>
            <w:tcW w:w="993" w:type="dxa"/>
            <w:noWrap/>
            <w:hideMark/>
          </w:tcPr>
          <w:p w14:paraId="6F1A987E" w14:textId="77777777" w:rsidR="00547BDD" w:rsidRPr="00C63262" w:rsidRDefault="00547BDD" w:rsidP="00547BD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6A590225" w14:textId="77777777" w:rsidR="00547BDD" w:rsidRPr="00C63262" w:rsidRDefault="00547BDD" w:rsidP="00547BD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Teacher</w:t>
            </w:r>
          </w:p>
        </w:tc>
      </w:tr>
      <w:tr w:rsidR="00547BDD" w:rsidRPr="00C63262" w14:paraId="336C3B74" w14:textId="77777777" w:rsidTr="00D90C28">
        <w:trPr>
          <w:trHeight w:val="300"/>
        </w:trPr>
        <w:tc>
          <w:tcPr>
            <w:tcW w:w="1366" w:type="dxa"/>
            <w:tcBorders>
              <w:bottom w:val="nil"/>
            </w:tcBorders>
          </w:tcPr>
          <w:p w14:paraId="1A91CBE7" w14:textId="77777777" w:rsidR="00547BDD" w:rsidRPr="00C63262" w:rsidRDefault="00547BDD" w:rsidP="00547BDD">
            <w:pPr>
              <w:spacing w:before="100" w:beforeAutospacing="1" w:after="100" w:afterAutospacing="1" w:line="360" w:lineRule="auto"/>
              <w:rPr>
                <w:rFonts w:asciiTheme="majorHAnsi" w:hAnsiTheme="majorHAnsi" w:cstheme="majorHAnsi"/>
                <w:color w:val="000000"/>
                <w:sz w:val="20"/>
                <w:szCs w:val="20"/>
                <w:lang w:val="en-US"/>
              </w:rPr>
            </w:pPr>
          </w:p>
        </w:tc>
        <w:tc>
          <w:tcPr>
            <w:tcW w:w="3024" w:type="dxa"/>
            <w:tcBorders>
              <w:bottom w:val="nil"/>
            </w:tcBorders>
          </w:tcPr>
          <w:p w14:paraId="314ADC96" w14:textId="77777777"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color w:val="000000"/>
                <w:sz w:val="20"/>
                <w:szCs w:val="20"/>
                <w:lang w:val="en-US"/>
              </w:rPr>
              <w:t>EASTERN SAMAR DIVISION</w:t>
            </w:r>
          </w:p>
          <w:p w14:paraId="3445942E" w14:textId="77777777" w:rsidR="00547BDD" w:rsidRPr="00C63262" w:rsidRDefault="00547BDD" w:rsidP="00547BDD">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4046E2A9" w14:textId="77777777" w:rsidR="00547BDD" w:rsidRPr="00C63262" w:rsidRDefault="00547BDD" w:rsidP="00547BDD">
            <w:pPr>
              <w:widowControl w:val="0"/>
              <w:numPr>
                <w:ilvl w:val="0"/>
                <w:numId w:val="100"/>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Robert C. Guira</w:t>
            </w:r>
          </w:p>
        </w:tc>
        <w:tc>
          <w:tcPr>
            <w:tcW w:w="993" w:type="dxa"/>
            <w:noWrap/>
            <w:hideMark/>
          </w:tcPr>
          <w:p w14:paraId="7A7254B8" w14:textId="77777777" w:rsidR="00547BDD" w:rsidRPr="00C63262" w:rsidRDefault="00547BDD" w:rsidP="00547BD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M</w:t>
            </w:r>
          </w:p>
        </w:tc>
        <w:tc>
          <w:tcPr>
            <w:tcW w:w="2835" w:type="dxa"/>
          </w:tcPr>
          <w:p w14:paraId="0F290332" w14:textId="77777777" w:rsidR="00547BDD" w:rsidRPr="00C63262" w:rsidRDefault="00547BDD" w:rsidP="00547BD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Education Program Supervisor – Math, CID</w:t>
            </w:r>
          </w:p>
        </w:tc>
      </w:tr>
      <w:tr w:rsidR="00547BDD" w:rsidRPr="00C63262" w14:paraId="3B1DA54D" w14:textId="77777777" w:rsidTr="00D90C28">
        <w:trPr>
          <w:trHeight w:val="300"/>
        </w:trPr>
        <w:tc>
          <w:tcPr>
            <w:tcW w:w="1366" w:type="dxa"/>
            <w:tcBorders>
              <w:top w:val="nil"/>
              <w:bottom w:val="nil"/>
            </w:tcBorders>
          </w:tcPr>
          <w:p w14:paraId="722106BC" w14:textId="77777777" w:rsidR="00547BDD" w:rsidRPr="00C63262" w:rsidRDefault="00547BDD" w:rsidP="00547BDD">
            <w:pPr>
              <w:spacing w:before="100" w:beforeAutospacing="1" w:after="100" w:afterAutospacing="1" w:line="360" w:lineRule="auto"/>
              <w:rPr>
                <w:rFonts w:asciiTheme="majorHAnsi" w:hAnsiTheme="majorHAnsi" w:cstheme="majorHAnsi"/>
                <w:color w:val="000000"/>
                <w:sz w:val="20"/>
                <w:szCs w:val="20"/>
                <w:lang w:val="en-US"/>
              </w:rPr>
            </w:pPr>
          </w:p>
        </w:tc>
        <w:tc>
          <w:tcPr>
            <w:tcW w:w="3024" w:type="dxa"/>
            <w:tcBorders>
              <w:top w:val="nil"/>
              <w:bottom w:val="nil"/>
            </w:tcBorders>
          </w:tcPr>
          <w:p w14:paraId="1AD1F86E" w14:textId="77777777" w:rsidR="00547BDD" w:rsidRPr="00C63262" w:rsidRDefault="00547BDD" w:rsidP="00547BDD">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3D6DDCE2" w14:textId="77777777" w:rsidR="00547BDD" w:rsidRPr="00C63262" w:rsidRDefault="00547BDD" w:rsidP="00547BDD">
            <w:pPr>
              <w:widowControl w:val="0"/>
              <w:numPr>
                <w:ilvl w:val="0"/>
                <w:numId w:val="100"/>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Marcosa A. Lavado</w:t>
            </w:r>
          </w:p>
        </w:tc>
        <w:tc>
          <w:tcPr>
            <w:tcW w:w="993" w:type="dxa"/>
            <w:noWrap/>
            <w:hideMark/>
          </w:tcPr>
          <w:p w14:paraId="3ABFA31E" w14:textId="77777777" w:rsidR="00547BDD" w:rsidRPr="00C63262" w:rsidRDefault="00547BDD" w:rsidP="00547BD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64E187A5" w14:textId="77777777" w:rsidR="00547BDD" w:rsidRPr="00C63262" w:rsidRDefault="00547BDD" w:rsidP="00547BD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Education Program Supervisor – English, CID</w:t>
            </w:r>
          </w:p>
        </w:tc>
      </w:tr>
      <w:tr w:rsidR="00547BDD" w:rsidRPr="00C63262" w14:paraId="271670F8" w14:textId="77777777" w:rsidTr="00D90C28">
        <w:trPr>
          <w:trHeight w:val="300"/>
        </w:trPr>
        <w:tc>
          <w:tcPr>
            <w:tcW w:w="1366" w:type="dxa"/>
            <w:tcBorders>
              <w:top w:val="nil"/>
              <w:bottom w:val="single" w:sz="4" w:space="0" w:color="auto"/>
            </w:tcBorders>
          </w:tcPr>
          <w:p w14:paraId="3B8873B2" w14:textId="77777777" w:rsidR="00547BDD" w:rsidRPr="00C63262" w:rsidRDefault="00547BDD" w:rsidP="00547BDD">
            <w:pPr>
              <w:spacing w:before="100" w:beforeAutospacing="1" w:after="100" w:afterAutospacing="1" w:line="360" w:lineRule="auto"/>
              <w:rPr>
                <w:rFonts w:asciiTheme="majorHAnsi" w:hAnsiTheme="majorHAnsi" w:cstheme="majorHAnsi"/>
                <w:color w:val="000000"/>
                <w:sz w:val="20"/>
                <w:szCs w:val="20"/>
                <w:lang w:val="en-US"/>
              </w:rPr>
            </w:pPr>
          </w:p>
        </w:tc>
        <w:tc>
          <w:tcPr>
            <w:tcW w:w="3024" w:type="dxa"/>
            <w:tcBorders>
              <w:top w:val="nil"/>
              <w:bottom w:val="single" w:sz="4" w:space="0" w:color="auto"/>
            </w:tcBorders>
          </w:tcPr>
          <w:p w14:paraId="7544B10B" w14:textId="77777777" w:rsidR="00547BDD" w:rsidRPr="00C63262" w:rsidRDefault="00547BDD" w:rsidP="00547BDD">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7775DC64" w14:textId="77777777" w:rsidR="00547BDD" w:rsidRPr="00C63262" w:rsidRDefault="00547BDD" w:rsidP="00547BDD">
            <w:pPr>
              <w:widowControl w:val="0"/>
              <w:numPr>
                <w:ilvl w:val="0"/>
                <w:numId w:val="100"/>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Rhea N. Coles</w:t>
            </w:r>
          </w:p>
        </w:tc>
        <w:tc>
          <w:tcPr>
            <w:tcW w:w="993" w:type="dxa"/>
            <w:noWrap/>
            <w:hideMark/>
          </w:tcPr>
          <w:p w14:paraId="7F94D725" w14:textId="77777777" w:rsidR="00547BDD" w:rsidRPr="00C63262" w:rsidRDefault="00547BDD" w:rsidP="00547BD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0C0E9929" w14:textId="77777777" w:rsidR="00547BDD" w:rsidRPr="00C63262" w:rsidRDefault="00547BDD" w:rsidP="00547BD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Education Program Supervisor – Science, CID</w:t>
            </w:r>
          </w:p>
        </w:tc>
      </w:tr>
      <w:tr w:rsidR="00547BDD" w:rsidRPr="00C63262" w14:paraId="2F8D7AF5" w14:textId="77777777" w:rsidTr="00D90C28">
        <w:trPr>
          <w:trHeight w:val="300"/>
        </w:trPr>
        <w:tc>
          <w:tcPr>
            <w:tcW w:w="1366" w:type="dxa"/>
            <w:tcBorders>
              <w:bottom w:val="nil"/>
            </w:tcBorders>
          </w:tcPr>
          <w:p w14:paraId="03EDC65A" w14:textId="77777777" w:rsidR="00547BDD" w:rsidRPr="00C63262" w:rsidRDefault="00547BDD" w:rsidP="00547BDD">
            <w:pPr>
              <w:spacing w:before="100" w:beforeAutospacing="1" w:after="100" w:afterAutospacing="1" w:line="360" w:lineRule="auto"/>
              <w:rPr>
                <w:rFonts w:asciiTheme="majorHAnsi" w:hAnsiTheme="majorHAnsi" w:cstheme="majorHAnsi"/>
                <w:color w:val="000000"/>
                <w:sz w:val="20"/>
                <w:szCs w:val="20"/>
                <w:lang w:val="en-US"/>
              </w:rPr>
            </w:pPr>
          </w:p>
        </w:tc>
        <w:tc>
          <w:tcPr>
            <w:tcW w:w="3024" w:type="dxa"/>
            <w:tcBorders>
              <w:bottom w:val="nil"/>
            </w:tcBorders>
          </w:tcPr>
          <w:p w14:paraId="1FFD3877" w14:textId="77777777"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color w:val="000000"/>
                <w:sz w:val="20"/>
                <w:szCs w:val="20"/>
                <w:lang w:val="en-US"/>
              </w:rPr>
              <w:t>LEYTE DIVISION</w:t>
            </w:r>
          </w:p>
          <w:p w14:paraId="506BFC21" w14:textId="77777777" w:rsidR="00547BDD" w:rsidRPr="00C63262" w:rsidRDefault="00547BDD" w:rsidP="00547BDD">
            <w:pPr>
              <w:spacing w:before="100" w:beforeAutospacing="1" w:after="100" w:afterAutospacing="1" w:line="360" w:lineRule="auto"/>
              <w:rPr>
                <w:rFonts w:asciiTheme="majorHAnsi" w:hAnsiTheme="majorHAnsi" w:cstheme="majorHAnsi"/>
                <w:color w:val="000000"/>
                <w:sz w:val="20"/>
                <w:szCs w:val="20"/>
                <w:lang w:val="en-US"/>
              </w:rPr>
            </w:pPr>
          </w:p>
          <w:p w14:paraId="59B46217" w14:textId="77777777" w:rsidR="00547BDD" w:rsidRPr="00C63262" w:rsidRDefault="00547BDD" w:rsidP="00547BDD">
            <w:pPr>
              <w:spacing w:before="100" w:beforeAutospacing="1" w:after="100" w:afterAutospacing="1" w:line="360" w:lineRule="auto"/>
              <w:rPr>
                <w:rFonts w:asciiTheme="majorHAnsi" w:hAnsiTheme="majorHAnsi" w:cstheme="majorHAnsi"/>
                <w:sz w:val="20"/>
                <w:szCs w:val="20"/>
                <w:highlight w:val="yellow"/>
                <w:lang w:val="en-US"/>
              </w:rPr>
            </w:pPr>
          </w:p>
          <w:p w14:paraId="7823FFF7" w14:textId="77777777" w:rsidR="00547BDD" w:rsidRPr="00C63262" w:rsidRDefault="00547BDD" w:rsidP="00547BDD">
            <w:pPr>
              <w:spacing w:before="100" w:beforeAutospacing="1" w:after="100" w:afterAutospacing="1" w:line="360" w:lineRule="auto"/>
              <w:rPr>
                <w:rFonts w:asciiTheme="majorHAnsi" w:hAnsiTheme="majorHAnsi" w:cstheme="majorHAnsi"/>
                <w:sz w:val="20"/>
                <w:szCs w:val="20"/>
                <w:highlight w:val="yellow"/>
                <w:lang w:val="en-US"/>
              </w:rPr>
            </w:pPr>
          </w:p>
          <w:p w14:paraId="331EC72F" w14:textId="77777777" w:rsidR="00547BDD" w:rsidRPr="00C63262" w:rsidRDefault="00547BDD" w:rsidP="00547BDD">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501FEDF0" w14:textId="77777777" w:rsidR="00547BDD" w:rsidRPr="00C63262" w:rsidRDefault="00547BDD" w:rsidP="00547BDD">
            <w:pPr>
              <w:widowControl w:val="0"/>
              <w:numPr>
                <w:ilvl w:val="0"/>
                <w:numId w:val="100"/>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Socorro B. Ausa</w:t>
            </w:r>
          </w:p>
        </w:tc>
        <w:tc>
          <w:tcPr>
            <w:tcW w:w="993" w:type="dxa"/>
            <w:noWrap/>
            <w:hideMark/>
          </w:tcPr>
          <w:p w14:paraId="73F7E381" w14:textId="77777777" w:rsidR="00547BDD" w:rsidRPr="00C63262" w:rsidRDefault="00547BDD" w:rsidP="00547BD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07DFCB78" w14:textId="77777777" w:rsidR="00547BDD" w:rsidRPr="00C63262" w:rsidRDefault="00547BDD" w:rsidP="00547BD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Education Program Supervisor – Science, CID</w:t>
            </w:r>
          </w:p>
        </w:tc>
      </w:tr>
      <w:tr w:rsidR="00547BDD" w:rsidRPr="00C63262" w14:paraId="47110794" w14:textId="77777777" w:rsidTr="00D90C28">
        <w:trPr>
          <w:trHeight w:val="300"/>
        </w:trPr>
        <w:tc>
          <w:tcPr>
            <w:tcW w:w="1366" w:type="dxa"/>
            <w:tcBorders>
              <w:top w:val="nil"/>
              <w:bottom w:val="nil"/>
            </w:tcBorders>
          </w:tcPr>
          <w:p w14:paraId="64765E25" w14:textId="77777777" w:rsidR="00547BDD" w:rsidRPr="00C63262" w:rsidRDefault="00547BDD" w:rsidP="00547BDD">
            <w:pPr>
              <w:spacing w:before="100" w:beforeAutospacing="1" w:after="100" w:afterAutospacing="1" w:line="360" w:lineRule="auto"/>
              <w:rPr>
                <w:rFonts w:asciiTheme="majorHAnsi" w:hAnsiTheme="majorHAnsi" w:cstheme="majorHAnsi"/>
                <w:color w:val="000000"/>
                <w:sz w:val="20"/>
                <w:szCs w:val="20"/>
                <w:lang w:val="en-US"/>
              </w:rPr>
            </w:pPr>
          </w:p>
        </w:tc>
        <w:tc>
          <w:tcPr>
            <w:tcW w:w="3024" w:type="dxa"/>
            <w:tcBorders>
              <w:top w:val="nil"/>
              <w:bottom w:val="nil"/>
            </w:tcBorders>
          </w:tcPr>
          <w:p w14:paraId="54D15034" w14:textId="77777777" w:rsidR="00547BDD" w:rsidRPr="00C63262" w:rsidRDefault="00547BDD" w:rsidP="00547BDD">
            <w:pPr>
              <w:spacing w:before="100" w:beforeAutospacing="1" w:after="100" w:afterAutospacing="1" w:line="360" w:lineRule="auto"/>
              <w:rPr>
                <w:rFonts w:asciiTheme="majorHAnsi" w:hAnsiTheme="majorHAnsi" w:cstheme="majorHAnsi"/>
                <w:color w:val="000000"/>
                <w:sz w:val="20"/>
                <w:szCs w:val="20"/>
                <w:lang w:val="en-US"/>
              </w:rPr>
            </w:pPr>
          </w:p>
        </w:tc>
        <w:tc>
          <w:tcPr>
            <w:tcW w:w="2409" w:type="dxa"/>
            <w:noWrap/>
            <w:hideMark/>
          </w:tcPr>
          <w:p w14:paraId="26E06834" w14:textId="77777777" w:rsidR="00547BDD" w:rsidRPr="00C63262" w:rsidRDefault="00547BDD" w:rsidP="00547BDD">
            <w:pPr>
              <w:widowControl w:val="0"/>
              <w:numPr>
                <w:ilvl w:val="0"/>
                <w:numId w:val="100"/>
              </w:numPr>
              <w:spacing w:before="100" w:beforeAutospacing="1" w:after="100" w:afterAutospacing="1" w:line="360" w:lineRule="auto"/>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Arlita V. Labaclado</w:t>
            </w:r>
          </w:p>
        </w:tc>
        <w:tc>
          <w:tcPr>
            <w:tcW w:w="993" w:type="dxa"/>
            <w:noWrap/>
            <w:hideMark/>
          </w:tcPr>
          <w:p w14:paraId="0A0A54D5" w14:textId="77777777" w:rsidR="00547BDD" w:rsidRPr="00C63262" w:rsidRDefault="00547BDD" w:rsidP="00547BD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F</w:t>
            </w:r>
          </w:p>
        </w:tc>
        <w:tc>
          <w:tcPr>
            <w:tcW w:w="2835" w:type="dxa"/>
          </w:tcPr>
          <w:p w14:paraId="49651CDC" w14:textId="77777777" w:rsidR="00547BDD" w:rsidRPr="00C63262" w:rsidRDefault="00547BDD" w:rsidP="00547BD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Education Program Supervisor – English, Curriculum Implementation Division</w:t>
            </w:r>
          </w:p>
        </w:tc>
      </w:tr>
      <w:tr w:rsidR="00547BDD" w:rsidRPr="00C63262" w14:paraId="2C50536D" w14:textId="77777777" w:rsidTr="00D90C28">
        <w:trPr>
          <w:trHeight w:val="300"/>
        </w:trPr>
        <w:tc>
          <w:tcPr>
            <w:tcW w:w="1366" w:type="dxa"/>
            <w:tcBorders>
              <w:top w:val="nil"/>
              <w:bottom w:val="nil"/>
            </w:tcBorders>
          </w:tcPr>
          <w:p w14:paraId="11C0F4DC" w14:textId="77777777" w:rsidR="00547BDD" w:rsidRPr="00C63262" w:rsidRDefault="00547BDD" w:rsidP="00547BDD">
            <w:pPr>
              <w:spacing w:before="100" w:beforeAutospacing="1" w:after="100" w:afterAutospacing="1" w:line="360" w:lineRule="auto"/>
              <w:rPr>
                <w:rFonts w:asciiTheme="majorHAnsi" w:hAnsiTheme="majorHAnsi" w:cstheme="majorHAnsi"/>
                <w:color w:val="000000"/>
                <w:sz w:val="20"/>
                <w:szCs w:val="20"/>
                <w:highlight w:val="yellow"/>
                <w:lang w:val="en-US"/>
              </w:rPr>
            </w:pPr>
          </w:p>
        </w:tc>
        <w:tc>
          <w:tcPr>
            <w:tcW w:w="3024" w:type="dxa"/>
            <w:tcBorders>
              <w:top w:val="nil"/>
              <w:bottom w:val="nil"/>
            </w:tcBorders>
          </w:tcPr>
          <w:p w14:paraId="73575AB2" w14:textId="77777777" w:rsidR="00547BDD" w:rsidRPr="00C63262" w:rsidRDefault="00547BDD" w:rsidP="00547BDD">
            <w:pPr>
              <w:spacing w:before="100" w:beforeAutospacing="1" w:after="100" w:afterAutospacing="1" w:line="360" w:lineRule="auto"/>
              <w:rPr>
                <w:rFonts w:asciiTheme="majorHAnsi" w:hAnsiTheme="majorHAnsi" w:cstheme="majorHAnsi"/>
                <w:color w:val="000000"/>
                <w:sz w:val="20"/>
                <w:szCs w:val="20"/>
                <w:highlight w:val="yellow"/>
                <w:lang w:val="en-US"/>
              </w:rPr>
            </w:pPr>
          </w:p>
        </w:tc>
        <w:tc>
          <w:tcPr>
            <w:tcW w:w="2409" w:type="dxa"/>
            <w:noWrap/>
            <w:hideMark/>
          </w:tcPr>
          <w:p w14:paraId="3F09F1A8" w14:textId="77777777" w:rsidR="00547BDD" w:rsidRPr="00C63262" w:rsidRDefault="00547BDD" w:rsidP="00547BDD">
            <w:pPr>
              <w:widowControl w:val="0"/>
              <w:numPr>
                <w:ilvl w:val="0"/>
                <w:numId w:val="100"/>
              </w:num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Grace G. Villanueva</w:t>
            </w:r>
          </w:p>
        </w:tc>
        <w:tc>
          <w:tcPr>
            <w:tcW w:w="993" w:type="dxa"/>
            <w:noWrap/>
            <w:hideMark/>
          </w:tcPr>
          <w:p w14:paraId="7B8892F8" w14:textId="77777777" w:rsidR="00547BDD" w:rsidRPr="00C63262" w:rsidRDefault="00547BDD" w:rsidP="00547BDD">
            <w:pPr>
              <w:widowControl w:val="0"/>
              <w:spacing w:before="100" w:beforeAutospacing="1" w:after="100" w:afterAutospacing="1" w:line="360" w:lineRule="auto"/>
              <w:ind w:left="360" w:hanging="360"/>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F</w:t>
            </w:r>
          </w:p>
        </w:tc>
        <w:tc>
          <w:tcPr>
            <w:tcW w:w="2835" w:type="dxa"/>
          </w:tcPr>
          <w:p w14:paraId="417B253C" w14:textId="77777777" w:rsidR="00547BDD" w:rsidRPr="00C63262" w:rsidRDefault="00547BDD" w:rsidP="00547BD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Education Program Supervisor</w:t>
            </w:r>
          </w:p>
        </w:tc>
      </w:tr>
      <w:tr w:rsidR="00547BDD" w:rsidRPr="00C63262" w14:paraId="54568A6F" w14:textId="77777777" w:rsidTr="00D90C28">
        <w:trPr>
          <w:trHeight w:val="300"/>
        </w:trPr>
        <w:tc>
          <w:tcPr>
            <w:tcW w:w="1366" w:type="dxa"/>
            <w:tcBorders>
              <w:top w:val="nil"/>
              <w:bottom w:val="nil"/>
            </w:tcBorders>
          </w:tcPr>
          <w:p w14:paraId="27603FDB" w14:textId="77777777" w:rsidR="00547BDD" w:rsidRPr="00C63262" w:rsidRDefault="00547BDD" w:rsidP="00547BDD">
            <w:pPr>
              <w:spacing w:before="100" w:beforeAutospacing="1" w:after="100" w:afterAutospacing="1" w:line="360" w:lineRule="auto"/>
              <w:rPr>
                <w:rFonts w:asciiTheme="majorHAnsi" w:hAnsiTheme="majorHAnsi" w:cstheme="majorHAnsi"/>
                <w:color w:val="000000"/>
                <w:sz w:val="20"/>
                <w:szCs w:val="20"/>
                <w:highlight w:val="yellow"/>
                <w:lang w:val="en-US"/>
              </w:rPr>
            </w:pPr>
          </w:p>
        </w:tc>
        <w:tc>
          <w:tcPr>
            <w:tcW w:w="3024" w:type="dxa"/>
            <w:tcBorders>
              <w:top w:val="nil"/>
              <w:bottom w:val="nil"/>
            </w:tcBorders>
          </w:tcPr>
          <w:p w14:paraId="7BD48BA4" w14:textId="77777777" w:rsidR="00547BDD" w:rsidRPr="00C63262" w:rsidRDefault="00547BDD" w:rsidP="00547BDD">
            <w:pPr>
              <w:spacing w:before="100" w:beforeAutospacing="1" w:after="100" w:afterAutospacing="1" w:line="360" w:lineRule="auto"/>
              <w:rPr>
                <w:rFonts w:asciiTheme="majorHAnsi" w:hAnsiTheme="majorHAnsi" w:cstheme="majorHAnsi"/>
                <w:color w:val="000000"/>
                <w:sz w:val="20"/>
                <w:szCs w:val="20"/>
                <w:highlight w:val="yellow"/>
                <w:lang w:val="en-US"/>
              </w:rPr>
            </w:pPr>
          </w:p>
        </w:tc>
        <w:tc>
          <w:tcPr>
            <w:tcW w:w="2409" w:type="dxa"/>
            <w:noWrap/>
            <w:hideMark/>
          </w:tcPr>
          <w:p w14:paraId="4EB67C1C" w14:textId="77777777" w:rsidR="00547BDD" w:rsidRPr="00C63262" w:rsidRDefault="00547BDD" w:rsidP="00547BDD">
            <w:pPr>
              <w:widowControl w:val="0"/>
              <w:numPr>
                <w:ilvl w:val="0"/>
                <w:numId w:val="100"/>
              </w:num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 xml:space="preserve">Gina P. Diloy </w:t>
            </w:r>
          </w:p>
        </w:tc>
        <w:tc>
          <w:tcPr>
            <w:tcW w:w="993" w:type="dxa"/>
            <w:noWrap/>
            <w:hideMark/>
          </w:tcPr>
          <w:p w14:paraId="49C41BFB" w14:textId="77777777" w:rsidR="00547BDD" w:rsidRPr="00C63262" w:rsidRDefault="00547BDD" w:rsidP="00547BDD">
            <w:pPr>
              <w:widowControl w:val="0"/>
              <w:spacing w:before="100" w:beforeAutospacing="1" w:after="100" w:afterAutospacing="1" w:line="360" w:lineRule="auto"/>
              <w:ind w:left="360" w:hanging="360"/>
              <w:rPr>
                <w:rFonts w:asciiTheme="majorHAnsi" w:hAnsiTheme="majorHAnsi" w:cstheme="majorHAnsi"/>
                <w:snapToGrid w:val="0"/>
                <w:color w:val="000000"/>
                <w:sz w:val="20"/>
                <w:szCs w:val="20"/>
                <w:lang w:val="en-US"/>
              </w:rPr>
            </w:pPr>
            <w:r w:rsidRPr="00C63262">
              <w:rPr>
                <w:rFonts w:asciiTheme="majorHAnsi" w:hAnsiTheme="majorHAnsi" w:cstheme="majorHAnsi"/>
                <w:snapToGrid w:val="0"/>
                <w:color w:val="000000"/>
                <w:sz w:val="20"/>
                <w:szCs w:val="20"/>
                <w:lang w:val="en-US"/>
              </w:rPr>
              <w:t>F</w:t>
            </w:r>
          </w:p>
        </w:tc>
        <w:tc>
          <w:tcPr>
            <w:tcW w:w="2835" w:type="dxa"/>
          </w:tcPr>
          <w:p w14:paraId="037255E9" w14:textId="77777777" w:rsidR="00547BDD" w:rsidRPr="00C63262" w:rsidRDefault="00547BDD" w:rsidP="00547BDD">
            <w:pPr>
              <w:spacing w:before="100" w:beforeAutospacing="1" w:after="100" w:afterAutospacing="1" w:line="360" w:lineRule="auto"/>
              <w:rPr>
                <w:rFonts w:asciiTheme="majorHAnsi" w:hAnsiTheme="majorHAnsi" w:cstheme="majorHAnsi"/>
                <w:color w:val="000000"/>
                <w:sz w:val="20"/>
                <w:szCs w:val="20"/>
                <w:lang w:val="en-US"/>
              </w:rPr>
            </w:pPr>
            <w:r w:rsidRPr="00C63262">
              <w:rPr>
                <w:rFonts w:asciiTheme="majorHAnsi" w:hAnsiTheme="majorHAnsi" w:cstheme="majorHAnsi"/>
                <w:color w:val="000000"/>
                <w:sz w:val="20"/>
                <w:szCs w:val="20"/>
                <w:lang w:val="en-US"/>
              </w:rPr>
              <w:t>Education Program Supervisor – Math</w:t>
            </w:r>
          </w:p>
        </w:tc>
      </w:tr>
      <w:tr w:rsidR="00547BDD" w:rsidRPr="00C63262" w14:paraId="712DDF93" w14:textId="77777777" w:rsidTr="00D90C28">
        <w:trPr>
          <w:trHeight w:val="300"/>
        </w:trPr>
        <w:tc>
          <w:tcPr>
            <w:tcW w:w="1366" w:type="dxa"/>
            <w:tcBorders>
              <w:top w:val="nil"/>
            </w:tcBorders>
          </w:tcPr>
          <w:p w14:paraId="3C54C228" w14:textId="77777777" w:rsidR="00547BDD" w:rsidRPr="00C63262" w:rsidRDefault="00547BDD" w:rsidP="00547BDD">
            <w:pPr>
              <w:spacing w:before="100" w:beforeAutospacing="1" w:after="100" w:afterAutospacing="1" w:line="360" w:lineRule="auto"/>
              <w:rPr>
                <w:rFonts w:asciiTheme="majorHAnsi" w:hAnsiTheme="majorHAnsi" w:cstheme="majorHAnsi"/>
                <w:sz w:val="20"/>
                <w:szCs w:val="20"/>
                <w:highlight w:val="yellow"/>
                <w:lang w:val="en-US"/>
              </w:rPr>
            </w:pPr>
          </w:p>
        </w:tc>
        <w:tc>
          <w:tcPr>
            <w:tcW w:w="3024" w:type="dxa"/>
            <w:tcBorders>
              <w:top w:val="nil"/>
            </w:tcBorders>
          </w:tcPr>
          <w:p w14:paraId="2BF1621C" w14:textId="77777777" w:rsidR="00547BDD" w:rsidRPr="00C63262" w:rsidRDefault="00547BDD" w:rsidP="00547BDD">
            <w:pPr>
              <w:spacing w:before="100" w:beforeAutospacing="1" w:after="100" w:afterAutospacing="1" w:line="360" w:lineRule="auto"/>
              <w:rPr>
                <w:rFonts w:asciiTheme="majorHAnsi" w:hAnsiTheme="majorHAnsi" w:cstheme="majorHAnsi"/>
                <w:sz w:val="20"/>
                <w:szCs w:val="20"/>
                <w:highlight w:val="yellow"/>
                <w:lang w:val="en-US"/>
              </w:rPr>
            </w:pPr>
          </w:p>
        </w:tc>
        <w:tc>
          <w:tcPr>
            <w:tcW w:w="2409" w:type="dxa"/>
            <w:noWrap/>
            <w:hideMark/>
          </w:tcPr>
          <w:p w14:paraId="6841B4B4" w14:textId="77777777" w:rsidR="00547BDD" w:rsidRPr="00C63262" w:rsidRDefault="00547BDD" w:rsidP="00547BDD">
            <w:pPr>
              <w:widowControl w:val="0"/>
              <w:numPr>
                <w:ilvl w:val="0"/>
                <w:numId w:val="100"/>
              </w:num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Loreta A. Gulariza</w:t>
            </w:r>
          </w:p>
        </w:tc>
        <w:tc>
          <w:tcPr>
            <w:tcW w:w="993" w:type="dxa"/>
            <w:noWrap/>
            <w:hideMark/>
          </w:tcPr>
          <w:p w14:paraId="3BBE3DD3" w14:textId="77777777" w:rsidR="00547BDD" w:rsidRPr="00C63262" w:rsidRDefault="00547BDD" w:rsidP="00547BDD">
            <w:pPr>
              <w:widowControl w:val="0"/>
              <w:spacing w:before="100" w:beforeAutospacing="1" w:after="100" w:afterAutospacing="1" w:line="360" w:lineRule="auto"/>
              <w:ind w:left="360" w:hanging="360"/>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F</w:t>
            </w:r>
          </w:p>
        </w:tc>
        <w:tc>
          <w:tcPr>
            <w:tcW w:w="2835" w:type="dxa"/>
          </w:tcPr>
          <w:p w14:paraId="0C5698BA" w14:textId="77777777"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District Supervisor</w:t>
            </w:r>
          </w:p>
        </w:tc>
      </w:tr>
      <w:tr w:rsidR="00547BDD" w:rsidRPr="00C63262" w14:paraId="3FF7D904" w14:textId="77777777" w:rsidTr="00D90C28">
        <w:trPr>
          <w:trHeight w:val="300"/>
        </w:trPr>
        <w:tc>
          <w:tcPr>
            <w:tcW w:w="1366" w:type="dxa"/>
            <w:tcBorders>
              <w:bottom w:val="single" w:sz="4" w:space="0" w:color="auto"/>
            </w:tcBorders>
          </w:tcPr>
          <w:p w14:paraId="5DFF3E62" w14:textId="77777777"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p>
        </w:tc>
        <w:tc>
          <w:tcPr>
            <w:tcW w:w="3024" w:type="dxa"/>
            <w:tcBorders>
              <w:bottom w:val="single" w:sz="4" w:space="0" w:color="auto"/>
            </w:tcBorders>
          </w:tcPr>
          <w:p w14:paraId="7B2F963B" w14:textId="77777777"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REGIONAL 8 OFFICE</w:t>
            </w:r>
          </w:p>
          <w:p w14:paraId="6BA35183" w14:textId="77777777"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p>
          <w:p w14:paraId="737B06FF" w14:textId="77777777"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p>
          <w:p w14:paraId="32F0AEBA" w14:textId="77777777"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p>
        </w:tc>
        <w:tc>
          <w:tcPr>
            <w:tcW w:w="2409" w:type="dxa"/>
            <w:noWrap/>
            <w:hideMark/>
          </w:tcPr>
          <w:p w14:paraId="5DC38B93" w14:textId="77777777" w:rsidR="00547BDD" w:rsidRPr="00C63262" w:rsidRDefault="00547BDD" w:rsidP="00547BDD">
            <w:pPr>
              <w:widowControl w:val="0"/>
              <w:numPr>
                <w:ilvl w:val="0"/>
                <w:numId w:val="100"/>
              </w:numPr>
              <w:spacing w:before="100" w:beforeAutospacing="1" w:after="100" w:afterAutospacing="1" w:line="360" w:lineRule="auto"/>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Reynaldo E. Naire</w:t>
            </w:r>
          </w:p>
        </w:tc>
        <w:tc>
          <w:tcPr>
            <w:tcW w:w="993" w:type="dxa"/>
            <w:noWrap/>
            <w:hideMark/>
          </w:tcPr>
          <w:p w14:paraId="31CE73CD" w14:textId="77777777"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M</w:t>
            </w:r>
          </w:p>
        </w:tc>
        <w:tc>
          <w:tcPr>
            <w:tcW w:w="2835" w:type="dxa"/>
          </w:tcPr>
          <w:p w14:paraId="583D3A71" w14:textId="77777777"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 xml:space="preserve">Education Program Supervisor </w:t>
            </w:r>
          </w:p>
        </w:tc>
      </w:tr>
      <w:tr w:rsidR="00547BDD" w:rsidRPr="00C63262" w14:paraId="338C816D" w14:textId="77777777" w:rsidTr="00D90C28">
        <w:trPr>
          <w:trHeight w:val="300"/>
        </w:trPr>
        <w:tc>
          <w:tcPr>
            <w:tcW w:w="1366" w:type="dxa"/>
            <w:tcBorders>
              <w:bottom w:val="nil"/>
            </w:tcBorders>
          </w:tcPr>
          <w:p w14:paraId="3BEDC8CF" w14:textId="77777777"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p>
        </w:tc>
        <w:tc>
          <w:tcPr>
            <w:tcW w:w="3024" w:type="dxa"/>
            <w:tcBorders>
              <w:bottom w:val="nil"/>
            </w:tcBorders>
          </w:tcPr>
          <w:p w14:paraId="44FE731A" w14:textId="77777777"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p>
        </w:tc>
        <w:tc>
          <w:tcPr>
            <w:tcW w:w="2409" w:type="dxa"/>
            <w:noWrap/>
            <w:hideMark/>
          </w:tcPr>
          <w:p w14:paraId="0B4566A0" w14:textId="77777777" w:rsidR="00547BDD" w:rsidRPr="00C63262" w:rsidRDefault="00547BDD" w:rsidP="00547BDD">
            <w:pPr>
              <w:widowControl w:val="0"/>
              <w:numPr>
                <w:ilvl w:val="0"/>
                <w:numId w:val="100"/>
              </w:numPr>
              <w:spacing w:before="100" w:beforeAutospacing="1" w:after="100" w:afterAutospacing="1" w:line="360" w:lineRule="auto"/>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Sarah S. Cabaluna</w:t>
            </w:r>
          </w:p>
        </w:tc>
        <w:tc>
          <w:tcPr>
            <w:tcW w:w="993" w:type="dxa"/>
            <w:noWrap/>
            <w:hideMark/>
          </w:tcPr>
          <w:p w14:paraId="007ECCFD" w14:textId="77777777"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F</w:t>
            </w:r>
          </w:p>
        </w:tc>
        <w:tc>
          <w:tcPr>
            <w:tcW w:w="2835" w:type="dxa"/>
          </w:tcPr>
          <w:p w14:paraId="1B8AB69E" w14:textId="77777777"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 xml:space="preserve">Education Program Supervisor </w:t>
            </w:r>
          </w:p>
        </w:tc>
      </w:tr>
      <w:tr w:rsidR="00547BDD" w:rsidRPr="00C63262" w14:paraId="76DE8067" w14:textId="77777777" w:rsidTr="00D90C28">
        <w:trPr>
          <w:trHeight w:val="300"/>
        </w:trPr>
        <w:tc>
          <w:tcPr>
            <w:tcW w:w="1366" w:type="dxa"/>
            <w:tcBorders>
              <w:top w:val="nil"/>
              <w:bottom w:val="nil"/>
            </w:tcBorders>
          </w:tcPr>
          <w:p w14:paraId="331E19B5" w14:textId="77777777"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p>
        </w:tc>
        <w:tc>
          <w:tcPr>
            <w:tcW w:w="3024" w:type="dxa"/>
            <w:tcBorders>
              <w:top w:val="nil"/>
              <w:bottom w:val="nil"/>
            </w:tcBorders>
          </w:tcPr>
          <w:p w14:paraId="73C18FE4" w14:textId="77777777"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p>
        </w:tc>
        <w:tc>
          <w:tcPr>
            <w:tcW w:w="2409" w:type="dxa"/>
            <w:noWrap/>
            <w:hideMark/>
          </w:tcPr>
          <w:p w14:paraId="3902D72E" w14:textId="77777777" w:rsidR="00547BDD" w:rsidRPr="00C63262" w:rsidRDefault="00547BDD" w:rsidP="00547BDD">
            <w:pPr>
              <w:widowControl w:val="0"/>
              <w:numPr>
                <w:ilvl w:val="0"/>
                <w:numId w:val="100"/>
              </w:numPr>
              <w:spacing w:before="100" w:beforeAutospacing="1" w:after="100" w:afterAutospacing="1" w:line="360" w:lineRule="auto"/>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Dean M. Endriaro</w:t>
            </w:r>
          </w:p>
        </w:tc>
        <w:tc>
          <w:tcPr>
            <w:tcW w:w="993" w:type="dxa"/>
            <w:noWrap/>
            <w:hideMark/>
          </w:tcPr>
          <w:p w14:paraId="3D05DB16" w14:textId="77777777"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M</w:t>
            </w:r>
          </w:p>
        </w:tc>
        <w:tc>
          <w:tcPr>
            <w:tcW w:w="2835" w:type="dxa"/>
          </w:tcPr>
          <w:p w14:paraId="24B2B535" w14:textId="77777777"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 xml:space="preserve">Education Program Supervisor </w:t>
            </w:r>
          </w:p>
        </w:tc>
      </w:tr>
      <w:tr w:rsidR="00547BDD" w:rsidRPr="00C63262" w14:paraId="10DD223A" w14:textId="77777777" w:rsidTr="00D90C28">
        <w:trPr>
          <w:trHeight w:val="300"/>
        </w:trPr>
        <w:tc>
          <w:tcPr>
            <w:tcW w:w="1366" w:type="dxa"/>
            <w:tcBorders>
              <w:top w:val="nil"/>
              <w:bottom w:val="nil"/>
            </w:tcBorders>
          </w:tcPr>
          <w:p w14:paraId="184A173A" w14:textId="77777777"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p>
        </w:tc>
        <w:tc>
          <w:tcPr>
            <w:tcW w:w="3024" w:type="dxa"/>
            <w:tcBorders>
              <w:top w:val="nil"/>
              <w:bottom w:val="nil"/>
            </w:tcBorders>
          </w:tcPr>
          <w:p w14:paraId="4753FD58" w14:textId="77777777"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p>
        </w:tc>
        <w:tc>
          <w:tcPr>
            <w:tcW w:w="2409" w:type="dxa"/>
            <w:noWrap/>
            <w:hideMark/>
          </w:tcPr>
          <w:p w14:paraId="42FDBCED" w14:textId="77777777" w:rsidR="00547BDD" w:rsidRPr="00C63262" w:rsidRDefault="00547BDD" w:rsidP="00547BDD">
            <w:pPr>
              <w:widowControl w:val="0"/>
              <w:numPr>
                <w:ilvl w:val="0"/>
                <w:numId w:val="100"/>
              </w:numPr>
              <w:spacing w:before="100" w:beforeAutospacing="1" w:after="100" w:afterAutospacing="1" w:line="360" w:lineRule="auto"/>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Amenia C. Aspa</w:t>
            </w:r>
          </w:p>
        </w:tc>
        <w:tc>
          <w:tcPr>
            <w:tcW w:w="993" w:type="dxa"/>
            <w:noWrap/>
            <w:hideMark/>
          </w:tcPr>
          <w:p w14:paraId="1B45982E" w14:textId="77777777"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F</w:t>
            </w:r>
          </w:p>
        </w:tc>
        <w:tc>
          <w:tcPr>
            <w:tcW w:w="2835" w:type="dxa"/>
          </w:tcPr>
          <w:p w14:paraId="57EBEC82" w14:textId="77777777"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 xml:space="preserve">Education Program Supervisor </w:t>
            </w:r>
          </w:p>
        </w:tc>
      </w:tr>
      <w:tr w:rsidR="00547BDD" w:rsidRPr="00C63262" w14:paraId="0097F731" w14:textId="77777777" w:rsidTr="00D90C28">
        <w:trPr>
          <w:trHeight w:val="300"/>
        </w:trPr>
        <w:tc>
          <w:tcPr>
            <w:tcW w:w="1366" w:type="dxa"/>
            <w:tcBorders>
              <w:top w:val="nil"/>
              <w:bottom w:val="nil"/>
            </w:tcBorders>
          </w:tcPr>
          <w:p w14:paraId="43EB2C8B" w14:textId="77777777"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p>
        </w:tc>
        <w:tc>
          <w:tcPr>
            <w:tcW w:w="3024" w:type="dxa"/>
            <w:tcBorders>
              <w:top w:val="nil"/>
              <w:bottom w:val="nil"/>
            </w:tcBorders>
          </w:tcPr>
          <w:p w14:paraId="00458E96" w14:textId="77777777"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p>
        </w:tc>
        <w:tc>
          <w:tcPr>
            <w:tcW w:w="2409" w:type="dxa"/>
            <w:noWrap/>
            <w:hideMark/>
          </w:tcPr>
          <w:p w14:paraId="7EAC392E" w14:textId="77777777" w:rsidR="00547BDD" w:rsidRPr="00C63262" w:rsidRDefault="00547BDD" w:rsidP="00547BDD">
            <w:pPr>
              <w:widowControl w:val="0"/>
              <w:numPr>
                <w:ilvl w:val="0"/>
                <w:numId w:val="100"/>
              </w:numPr>
              <w:spacing w:before="100" w:beforeAutospacing="1" w:after="100" w:afterAutospacing="1" w:line="360" w:lineRule="auto"/>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Susana G. Achin</w:t>
            </w:r>
          </w:p>
        </w:tc>
        <w:tc>
          <w:tcPr>
            <w:tcW w:w="993" w:type="dxa"/>
            <w:noWrap/>
            <w:hideMark/>
          </w:tcPr>
          <w:p w14:paraId="301A975E" w14:textId="77777777"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F</w:t>
            </w:r>
          </w:p>
        </w:tc>
        <w:tc>
          <w:tcPr>
            <w:tcW w:w="2835" w:type="dxa"/>
          </w:tcPr>
          <w:p w14:paraId="072DBC28" w14:textId="77777777"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 xml:space="preserve">Education Program Supervisor </w:t>
            </w:r>
          </w:p>
        </w:tc>
      </w:tr>
      <w:tr w:rsidR="00547BDD" w:rsidRPr="00C63262" w14:paraId="5BB315A4" w14:textId="77777777" w:rsidTr="00D90C28">
        <w:trPr>
          <w:trHeight w:val="300"/>
        </w:trPr>
        <w:tc>
          <w:tcPr>
            <w:tcW w:w="1366" w:type="dxa"/>
            <w:tcBorders>
              <w:top w:val="nil"/>
              <w:bottom w:val="nil"/>
            </w:tcBorders>
          </w:tcPr>
          <w:p w14:paraId="5E667652" w14:textId="77777777"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p>
        </w:tc>
        <w:tc>
          <w:tcPr>
            <w:tcW w:w="3024" w:type="dxa"/>
            <w:tcBorders>
              <w:top w:val="nil"/>
              <w:bottom w:val="nil"/>
            </w:tcBorders>
          </w:tcPr>
          <w:p w14:paraId="24A94F53" w14:textId="77777777"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p>
        </w:tc>
        <w:tc>
          <w:tcPr>
            <w:tcW w:w="2409" w:type="dxa"/>
            <w:noWrap/>
            <w:hideMark/>
          </w:tcPr>
          <w:p w14:paraId="5E28D265" w14:textId="77777777" w:rsidR="00547BDD" w:rsidRPr="00C63262" w:rsidRDefault="00547BDD" w:rsidP="00547BDD">
            <w:pPr>
              <w:widowControl w:val="0"/>
              <w:numPr>
                <w:ilvl w:val="0"/>
                <w:numId w:val="100"/>
              </w:numPr>
              <w:spacing w:before="100" w:beforeAutospacing="1" w:after="100" w:afterAutospacing="1" w:line="360" w:lineRule="auto"/>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Rhodora V. Sison</w:t>
            </w:r>
          </w:p>
        </w:tc>
        <w:tc>
          <w:tcPr>
            <w:tcW w:w="993" w:type="dxa"/>
            <w:noWrap/>
            <w:hideMark/>
          </w:tcPr>
          <w:p w14:paraId="5F1C4AA6" w14:textId="77777777"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F</w:t>
            </w:r>
          </w:p>
        </w:tc>
        <w:tc>
          <w:tcPr>
            <w:tcW w:w="2835" w:type="dxa"/>
          </w:tcPr>
          <w:p w14:paraId="5B68B9F7" w14:textId="77777777"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Chief, Quality Assurance Division</w:t>
            </w:r>
          </w:p>
        </w:tc>
      </w:tr>
      <w:tr w:rsidR="00547BDD" w:rsidRPr="00C63262" w14:paraId="0F8BFC81" w14:textId="77777777" w:rsidTr="00D90C28">
        <w:trPr>
          <w:trHeight w:val="300"/>
        </w:trPr>
        <w:tc>
          <w:tcPr>
            <w:tcW w:w="1366" w:type="dxa"/>
            <w:tcBorders>
              <w:top w:val="nil"/>
            </w:tcBorders>
          </w:tcPr>
          <w:p w14:paraId="1F283E12" w14:textId="77777777"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p>
        </w:tc>
        <w:tc>
          <w:tcPr>
            <w:tcW w:w="3024" w:type="dxa"/>
            <w:tcBorders>
              <w:top w:val="nil"/>
            </w:tcBorders>
          </w:tcPr>
          <w:p w14:paraId="49492F76" w14:textId="77777777"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p>
        </w:tc>
        <w:tc>
          <w:tcPr>
            <w:tcW w:w="2409" w:type="dxa"/>
            <w:noWrap/>
            <w:hideMark/>
          </w:tcPr>
          <w:p w14:paraId="6858E106" w14:textId="77777777" w:rsidR="00547BDD" w:rsidRPr="00C63262" w:rsidRDefault="00547BDD" w:rsidP="00547BDD">
            <w:pPr>
              <w:widowControl w:val="0"/>
              <w:numPr>
                <w:ilvl w:val="0"/>
                <w:numId w:val="100"/>
              </w:numPr>
              <w:spacing w:before="100" w:beforeAutospacing="1" w:after="100" w:afterAutospacing="1" w:line="360" w:lineRule="auto"/>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Ryan T. Tiu</w:t>
            </w:r>
          </w:p>
        </w:tc>
        <w:tc>
          <w:tcPr>
            <w:tcW w:w="993" w:type="dxa"/>
            <w:noWrap/>
            <w:hideMark/>
          </w:tcPr>
          <w:p w14:paraId="34BD80C5" w14:textId="77777777"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M</w:t>
            </w:r>
          </w:p>
        </w:tc>
        <w:tc>
          <w:tcPr>
            <w:tcW w:w="2835" w:type="dxa"/>
          </w:tcPr>
          <w:p w14:paraId="6501C268" w14:textId="77777777" w:rsidR="00547BDD" w:rsidRPr="00C63262" w:rsidRDefault="00547BDD" w:rsidP="00547BDD">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Education Program Supervisor</w:t>
            </w:r>
          </w:p>
        </w:tc>
      </w:tr>
    </w:tbl>
    <w:p w14:paraId="3398F6CE" w14:textId="77777777" w:rsidR="008D0CAD" w:rsidRPr="00C63262" w:rsidRDefault="008D0CAD" w:rsidP="005902F7">
      <w:pPr>
        <w:spacing w:before="100" w:beforeAutospacing="1" w:after="100" w:afterAutospacing="1" w:line="360" w:lineRule="auto"/>
        <w:rPr>
          <w:rFonts w:asciiTheme="majorHAnsi" w:eastAsiaTheme="minorHAnsi" w:hAnsiTheme="majorHAnsi" w:cstheme="majorHAnsi"/>
          <w:color w:val="0070C0"/>
          <w:sz w:val="22"/>
          <w:szCs w:val="22"/>
        </w:rPr>
      </w:pPr>
      <w:r w:rsidRPr="00C63262">
        <w:rPr>
          <w:rFonts w:asciiTheme="majorHAnsi" w:eastAsiaTheme="minorHAnsi" w:hAnsiTheme="majorHAnsi" w:cstheme="majorHAnsi"/>
          <w:b/>
          <w:bCs/>
          <w:color w:val="0070C0"/>
          <w:sz w:val="22"/>
          <w:szCs w:val="22"/>
          <w:lang w:val="en-US"/>
        </w:rPr>
        <w:t>REGION X</w:t>
      </w:r>
    </w:p>
    <w:tbl>
      <w:tblPr>
        <w:tblStyle w:val="TableGrid8"/>
        <w:tblW w:w="10525" w:type="dxa"/>
        <w:tblLook w:val="04A0" w:firstRow="1" w:lastRow="0" w:firstColumn="1" w:lastColumn="0" w:noHBand="0" w:noVBand="1"/>
      </w:tblPr>
      <w:tblGrid>
        <w:gridCol w:w="4068"/>
        <w:gridCol w:w="2970"/>
        <w:gridCol w:w="900"/>
        <w:gridCol w:w="2587"/>
      </w:tblGrid>
      <w:tr w:rsidR="00A4162A" w:rsidRPr="00C63262" w14:paraId="3ADE8102" w14:textId="77777777" w:rsidTr="00071F3B">
        <w:trPr>
          <w:trHeight w:val="300"/>
          <w:tblHeader/>
        </w:trPr>
        <w:tc>
          <w:tcPr>
            <w:tcW w:w="4068" w:type="dxa"/>
            <w:tcBorders>
              <w:bottom w:val="single" w:sz="4" w:space="0" w:color="auto"/>
            </w:tcBorders>
          </w:tcPr>
          <w:p w14:paraId="644D7BB2" w14:textId="77777777" w:rsidR="00A4162A" w:rsidRPr="00C63262" w:rsidRDefault="00A4162A" w:rsidP="000A60F6">
            <w:pPr>
              <w:spacing w:before="100" w:beforeAutospacing="1" w:after="100" w:afterAutospacing="1" w:line="360" w:lineRule="auto"/>
              <w:rPr>
                <w:rFonts w:asciiTheme="majorHAnsi" w:hAnsiTheme="majorHAnsi" w:cstheme="majorHAnsi"/>
                <w:b/>
                <w:sz w:val="20"/>
                <w:szCs w:val="20"/>
                <w:lang w:val="en-US"/>
              </w:rPr>
            </w:pPr>
          </w:p>
        </w:tc>
        <w:tc>
          <w:tcPr>
            <w:tcW w:w="2970" w:type="dxa"/>
            <w:noWrap/>
            <w:hideMark/>
          </w:tcPr>
          <w:p w14:paraId="1A562FB3"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b/>
                <w:sz w:val="20"/>
                <w:szCs w:val="20"/>
              </w:rPr>
            </w:pPr>
            <w:r w:rsidRPr="00C63262">
              <w:rPr>
                <w:rFonts w:asciiTheme="majorHAnsi" w:hAnsiTheme="majorHAnsi" w:cstheme="majorHAnsi"/>
                <w:b/>
                <w:color w:val="000000"/>
                <w:sz w:val="20"/>
                <w:szCs w:val="20"/>
                <w:lang w:val="en-US"/>
              </w:rPr>
              <w:t>Participants</w:t>
            </w:r>
          </w:p>
        </w:tc>
        <w:tc>
          <w:tcPr>
            <w:tcW w:w="900" w:type="dxa"/>
            <w:noWrap/>
            <w:hideMark/>
          </w:tcPr>
          <w:p w14:paraId="7770A125"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b/>
                <w:sz w:val="20"/>
                <w:szCs w:val="20"/>
              </w:rPr>
            </w:pPr>
            <w:r w:rsidRPr="00C63262">
              <w:rPr>
                <w:rFonts w:asciiTheme="majorHAnsi" w:hAnsiTheme="majorHAnsi" w:cstheme="majorHAnsi"/>
                <w:b/>
                <w:color w:val="000000"/>
                <w:sz w:val="20"/>
                <w:szCs w:val="20"/>
                <w:lang w:val="en-US"/>
              </w:rPr>
              <w:t>Sex</w:t>
            </w:r>
          </w:p>
        </w:tc>
        <w:tc>
          <w:tcPr>
            <w:tcW w:w="2587" w:type="dxa"/>
            <w:noWrap/>
            <w:hideMark/>
          </w:tcPr>
          <w:p w14:paraId="36E2EE58"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b/>
                <w:sz w:val="20"/>
                <w:szCs w:val="20"/>
              </w:rPr>
            </w:pPr>
            <w:r w:rsidRPr="00C63262">
              <w:rPr>
                <w:rFonts w:asciiTheme="majorHAnsi" w:hAnsiTheme="majorHAnsi" w:cstheme="majorHAnsi"/>
                <w:b/>
                <w:color w:val="000000"/>
                <w:sz w:val="20"/>
                <w:szCs w:val="20"/>
                <w:lang w:val="en-US"/>
              </w:rPr>
              <w:t>Designation / Department</w:t>
            </w:r>
          </w:p>
        </w:tc>
      </w:tr>
      <w:tr w:rsidR="00A4162A" w:rsidRPr="00C63262" w14:paraId="3F3CB5EF" w14:textId="77777777" w:rsidTr="00FF4CA3">
        <w:trPr>
          <w:trHeight w:val="300"/>
        </w:trPr>
        <w:tc>
          <w:tcPr>
            <w:tcW w:w="4068" w:type="dxa"/>
            <w:tcBorders>
              <w:bottom w:val="nil"/>
            </w:tcBorders>
          </w:tcPr>
          <w:p w14:paraId="7DA08BFC"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lang w:val="en-US"/>
              </w:rPr>
            </w:pPr>
          </w:p>
        </w:tc>
        <w:tc>
          <w:tcPr>
            <w:tcW w:w="2970" w:type="dxa"/>
            <w:noWrap/>
            <w:hideMark/>
          </w:tcPr>
          <w:p w14:paraId="10C175E4" w14:textId="77777777" w:rsidR="00A4162A" w:rsidRPr="00C63262" w:rsidRDefault="00A4162A" w:rsidP="000A60F6">
            <w:pPr>
              <w:widowControl w:val="0"/>
              <w:numPr>
                <w:ilvl w:val="0"/>
                <w:numId w:val="98"/>
              </w:numPr>
              <w:spacing w:before="100" w:beforeAutospacing="1" w:after="100" w:afterAutospacing="1" w:line="360" w:lineRule="auto"/>
              <w:rPr>
                <w:rFonts w:asciiTheme="majorHAnsi" w:eastAsiaTheme="minorHAnsi" w:hAnsiTheme="majorHAnsi" w:cstheme="majorHAnsi"/>
                <w:snapToGrid w:val="0"/>
                <w:sz w:val="20"/>
                <w:szCs w:val="20"/>
              </w:rPr>
            </w:pPr>
            <w:r w:rsidRPr="00C63262">
              <w:rPr>
                <w:rFonts w:asciiTheme="majorHAnsi" w:eastAsiaTheme="minorHAnsi" w:hAnsiTheme="majorHAnsi" w:cstheme="majorHAnsi"/>
                <w:snapToGrid w:val="0"/>
                <w:sz w:val="20"/>
                <w:szCs w:val="20"/>
                <w:lang w:val="en-US"/>
              </w:rPr>
              <w:t>Janice E. Gonzales</w:t>
            </w:r>
          </w:p>
        </w:tc>
        <w:tc>
          <w:tcPr>
            <w:tcW w:w="900" w:type="dxa"/>
            <w:noWrap/>
            <w:hideMark/>
          </w:tcPr>
          <w:p w14:paraId="68D46598"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lang w:val="en-US"/>
              </w:rPr>
              <w:t>F</w:t>
            </w:r>
          </w:p>
        </w:tc>
        <w:tc>
          <w:tcPr>
            <w:tcW w:w="2587" w:type="dxa"/>
            <w:noWrap/>
            <w:hideMark/>
          </w:tcPr>
          <w:p w14:paraId="374A7A25"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rPr>
              <w:t>Principal</w:t>
            </w:r>
          </w:p>
        </w:tc>
      </w:tr>
      <w:tr w:rsidR="00A4162A" w:rsidRPr="00C63262" w14:paraId="1E9DEB80" w14:textId="77777777" w:rsidTr="00FF4CA3">
        <w:trPr>
          <w:trHeight w:val="300"/>
        </w:trPr>
        <w:tc>
          <w:tcPr>
            <w:tcW w:w="4068" w:type="dxa"/>
            <w:tcBorders>
              <w:top w:val="nil"/>
              <w:bottom w:val="nil"/>
            </w:tcBorders>
          </w:tcPr>
          <w:p w14:paraId="200428AA"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p>
        </w:tc>
        <w:tc>
          <w:tcPr>
            <w:tcW w:w="2970" w:type="dxa"/>
            <w:noWrap/>
            <w:hideMark/>
          </w:tcPr>
          <w:p w14:paraId="36876C5C" w14:textId="77777777" w:rsidR="00A4162A" w:rsidRPr="00C63262" w:rsidRDefault="00A4162A" w:rsidP="000A60F6">
            <w:pPr>
              <w:widowControl w:val="0"/>
              <w:numPr>
                <w:ilvl w:val="0"/>
                <w:numId w:val="98"/>
              </w:numPr>
              <w:spacing w:before="100" w:beforeAutospacing="1" w:after="100" w:afterAutospacing="1" w:line="360" w:lineRule="auto"/>
              <w:rPr>
                <w:rFonts w:asciiTheme="majorHAnsi" w:eastAsiaTheme="minorHAnsi" w:hAnsiTheme="majorHAnsi" w:cstheme="majorHAnsi"/>
                <w:snapToGrid w:val="0"/>
                <w:sz w:val="20"/>
                <w:szCs w:val="20"/>
              </w:rPr>
            </w:pPr>
            <w:r w:rsidRPr="00C63262">
              <w:rPr>
                <w:rFonts w:asciiTheme="majorHAnsi" w:eastAsiaTheme="minorHAnsi" w:hAnsiTheme="majorHAnsi" w:cstheme="majorHAnsi"/>
                <w:snapToGrid w:val="0"/>
                <w:sz w:val="20"/>
                <w:szCs w:val="20"/>
                <w:lang w:val="en-US"/>
              </w:rPr>
              <w:t>Grace Jampit</w:t>
            </w:r>
          </w:p>
        </w:tc>
        <w:tc>
          <w:tcPr>
            <w:tcW w:w="900" w:type="dxa"/>
            <w:noWrap/>
            <w:hideMark/>
          </w:tcPr>
          <w:p w14:paraId="0454C3D7"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lang w:val="en-US"/>
              </w:rPr>
              <w:t>F</w:t>
            </w:r>
          </w:p>
        </w:tc>
        <w:tc>
          <w:tcPr>
            <w:tcW w:w="2587" w:type="dxa"/>
            <w:noWrap/>
            <w:hideMark/>
          </w:tcPr>
          <w:p w14:paraId="42E9CE58"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rPr>
              <w:t>Teacher I</w:t>
            </w:r>
          </w:p>
        </w:tc>
      </w:tr>
      <w:tr w:rsidR="00A4162A" w:rsidRPr="00C63262" w14:paraId="2A490B81" w14:textId="77777777" w:rsidTr="00FF4CA3">
        <w:trPr>
          <w:trHeight w:val="300"/>
        </w:trPr>
        <w:tc>
          <w:tcPr>
            <w:tcW w:w="4068" w:type="dxa"/>
            <w:tcBorders>
              <w:top w:val="nil"/>
              <w:bottom w:val="nil"/>
            </w:tcBorders>
          </w:tcPr>
          <w:p w14:paraId="15471DAA"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p>
        </w:tc>
        <w:tc>
          <w:tcPr>
            <w:tcW w:w="2970" w:type="dxa"/>
            <w:noWrap/>
            <w:hideMark/>
          </w:tcPr>
          <w:p w14:paraId="743A3246" w14:textId="77777777" w:rsidR="00A4162A" w:rsidRPr="00C63262" w:rsidRDefault="00A4162A" w:rsidP="000A60F6">
            <w:pPr>
              <w:widowControl w:val="0"/>
              <w:numPr>
                <w:ilvl w:val="0"/>
                <w:numId w:val="98"/>
              </w:numPr>
              <w:spacing w:before="100" w:beforeAutospacing="1" w:after="100" w:afterAutospacing="1" w:line="360" w:lineRule="auto"/>
              <w:rPr>
                <w:rFonts w:asciiTheme="majorHAnsi" w:eastAsiaTheme="minorHAnsi" w:hAnsiTheme="majorHAnsi" w:cstheme="majorHAnsi"/>
                <w:snapToGrid w:val="0"/>
                <w:sz w:val="20"/>
                <w:szCs w:val="20"/>
              </w:rPr>
            </w:pPr>
            <w:r w:rsidRPr="00C63262">
              <w:rPr>
                <w:rFonts w:asciiTheme="majorHAnsi" w:eastAsiaTheme="minorHAnsi" w:hAnsiTheme="majorHAnsi" w:cstheme="majorHAnsi"/>
                <w:snapToGrid w:val="0"/>
                <w:sz w:val="20"/>
                <w:szCs w:val="20"/>
                <w:lang w:val="en-US"/>
              </w:rPr>
              <w:t>Farah Grace A. Llagas</w:t>
            </w:r>
          </w:p>
        </w:tc>
        <w:tc>
          <w:tcPr>
            <w:tcW w:w="900" w:type="dxa"/>
            <w:noWrap/>
            <w:hideMark/>
          </w:tcPr>
          <w:p w14:paraId="77A78D41"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lang w:val="en-US"/>
              </w:rPr>
              <w:t>F</w:t>
            </w:r>
          </w:p>
        </w:tc>
        <w:tc>
          <w:tcPr>
            <w:tcW w:w="2587" w:type="dxa"/>
            <w:noWrap/>
            <w:hideMark/>
          </w:tcPr>
          <w:p w14:paraId="71E2F11E"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rPr>
              <w:t>Teacher I</w:t>
            </w:r>
          </w:p>
        </w:tc>
      </w:tr>
      <w:tr w:rsidR="00A4162A" w:rsidRPr="00C63262" w14:paraId="180C9875" w14:textId="77777777" w:rsidTr="00FF4CA3">
        <w:trPr>
          <w:trHeight w:val="300"/>
        </w:trPr>
        <w:tc>
          <w:tcPr>
            <w:tcW w:w="4068" w:type="dxa"/>
            <w:tcBorders>
              <w:top w:val="nil"/>
              <w:bottom w:val="single" w:sz="4" w:space="0" w:color="auto"/>
            </w:tcBorders>
          </w:tcPr>
          <w:p w14:paraId="67F18A7A"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p>
        </w:tc>
        <w:tc>
          <w:tcPr>
            <w:tcW w:w="2970" w:type="dxa"/>
            <w:noWrap/>
            <w:hideMark/>
          </w:tcPr>
          <w:p w14:paraId="4060B060" w14:textId="77777777" w:rsidR="00A4162A" w:rsidRPr="00C63262" w:rsidRDefault="00A4162A" w:rsidP="000A60F6">
            <w:pPr>
              <w:widowControl w:val="0"/>
              <w:numPr>
                <w:ilvl w:val="0"/>
                <w:numId w:val="98"/>
              </w:numPr>
              <w:spacing w:before="100" w:beforeAutospacing="1" w:after="100" w:afterAutospacing="1" w:line="360" w:lineRule="auto"/>
              <w:rPr>
                <w:rFonts w:asciiTheme="majorHAnsi" w:eastAsiaTheme="minorHAnsi" w:hAnsiTheme="majorHAnsi" w:cstheme="majorHAnsi"/>
                <w:snapToGrid w:val="0"/>
                <w:sz w:val="20"/>
                <w:szCs w:val="20"/>
              </w:rPr>
            </w:pPr>
            <w:r w:rsidRPr="00C63262">
              <w:rPr>
                <w:rFonts w:asciiTheme="majorHAnsi" w:eastAsiaTheme="minorHAnsi" w:hAnsiTheme="majorHAnsi" w:cstheme="majorHAnsi"/>
                <w:snapToGrid w:val="0"/>
                <w:sz w:val="20"/>
                <w:szCs w:val="20"/>
                <w:lang w:val="en-US"/>
              </w:rPr>
              <w:t>Maria Lodel C. Dodong</w:t>
            </w:r>
          </w:p>
        </w:tc>
        <w:tc>
          <w:tcPr>
            <w:tcW w:w="900" w:type="dxa"/>
            <w:noWrap/>
            <w:hideMark/>
          </w:tcPr>
          <w:p w14:paraId="585B3B2D"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lang w:val="en-US"/>
              </w:rPr>
              <w:t>F</w:t>
            </w:r>
          </w:p>
        </w:tc>
        <w:tc>
          <w:tcPr>
            <w:tcW w:w="2587" w:type="dxa"/>
            <w:noWrap/>
            <w:hideMark/>
          </w:tcPr>
          <w:p w14:paraId="3EFA0131"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rPr>
              <w:t>Teacher I</w:t>
            </w:r>
          </w:p>
        </w:tc>
      </w:tr>
      <w:tr w:rsidR="00A4162A" w:rsidRPr="00C63262" w14:paraId="7FC48A7E" w14:textId="77777777" w:rsidTr="00FF4CA3">
        <w:trPr>
          <w:trHeight w:val="300"/>
        </w:trPr>
        <w:tc>
          <w:tcPr>
            <w:tcW w:w="4068" w:type="dxa"/>
            <w:tcBorders>
              <w:bottom w:val="nil"/>
            </w:tcBorders>
          </w:tcPr>
          <w:p w14:paraId="5166DBDA"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lang w:val="en-US"/>
              </w:rPr>
            </w:pPr>
          </w:p>
        </w:tc>
        <w:tc>
          <w:tcPr>
            <w:tcW w:w="2970" w:type="dxa"/>
            <w:noWrap/>
            <w:hideMark/>
          </w:tcPr>
          <w:p w14:paraId="0F152F5E" w14:textId="77777777" w:rsidR="00A4162A" w:rsidRPr="00C63262" w:rsidRDefault="00A4162A" w:rsidP="000A60F6">
            <w:pPr>
              <w:widowControl w:val="0"/>
              <w:numPr>
                <w:ilvl w:val="0"/>
                <w:numId w:val="98"/>
              </w:numPr>
              <w:spacing w:before="100" w:beforeAutospacing="1" w:after="100" w:afterAutospacing="1" w:line="360" w:lineRule="auto"/>
              <w:rPr>
                <w:rFonts w:asciiTheme="majorHAnsi" w:eastAsiaTheme="minorHAnsi" w:hAnsiTheme="majorHAnsi" w:cstheme="majorHAnsi"/>
                <w:snapToGrid w:val="0"/>
                <w:sz w:val="20"/>
                <w:szCs w:val="20"/>
              </w:rPr>
            </w:pPr>
            <w:r w:rsidRPr="00C63262">
              <w:rPr>
                <w:rFonts w:asciiTheme="majorHAnsi" w:eastAsiaTheme="minorHAnsi" w:hAnsiTheme="majorHAnsi" w:cstheme="majorHAnsi"/>
                <w:snapToGrid w:val="0"/>
                <w:sz w:val="20"/>
                <w:szCs w:val="20"/>
                <w:lang w:val="en-US"/>
              </w:rPr>
              <w:t>Arnel J. Apiag</w:t>
            </w:r>
          </w:p>
        </w:tc>
        <w:tc>
          <w:tcPr>
            <w:tcW w:w="900" w:type="dxa"/>
            <w:noWrap/>
            <w:hideMark/>
          </w:tcPr>
          <w:p w14:paraId="3AC6F3ED"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lang w:val="en-US"/>
              </w:rPr>
              <w:t>M</w:t>
            </w:r>
          </w:p>
        </w:tc>
        <w:tc>
          <w:tcPr>
            <w:tcW w:w="2587" w:type="dxa"/>
            <w:noWrap/>
            <w:hideMark/>
          </w:tcPr>
          <w:p w14:paraId="7D88AF93"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rPr>
              <w:t xml:space="preserve">Master Teacher I </w:t>
            </w:r>
          </w:p>
        </w:tc>
      </w:tr>
      <w:tr w:rsidR="00A4162A" w:rsidRPr="00C63262" w14:paraId="625E878B" w14:textId="77777777" w:rsidTr="00071F3B">
        <w:trPr>
          <w:trHeight w:val="300"/>
        </w:trPr>
        <w:tc>
          <w:tcPr>
            <w:tcW w:w="4068" w:type="dxa"/>
            <w:tcBorders>
              <w:top w:val="nil"/>
              <w:bottom w:val="nil"/>
            </w:tcBorders>
          </w:tcPr>
          <w:p w14:paraId="35A2E000"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p>
        </w:tc>
        <w:tc>
          <w:tcPr>
            <w:tcW w:w="2970" w:type="dxa"/>
            <w:noWrap/>
            <w:hideMark/>
          </w:tcPr>
          <w:p w14:paraId="5A79DCE7" w14:textId="77777777" w:rsidR="00A4162A" w:rsidRPr="00C63262" w:rsidRDefault="00A4162A" w:rsidP="000A60F6">
            <w:pPr>
              <w:widowControl w:val="0"/>
              <w:numPr>
                <w:ilvl w:val="0"/>
                <w:numId w:val="98"/>
              </w:numPr>
              <w:spacing w:before="100" w:beforeAutospacing="1" w:after="100" w:afterAutospacing="1" w:line="360" w:lineRule="auto"/>
              <w:rPr>
                <w:rFonts w:asciiTheme="majorHAnsi" w:eastAsiaTheme="minorHAnsi" w:hAnsiTheme="majorHAnsi" w:cstheme="majorHAnsi"/>
                <w:snapToGrid w:val="0"/>
                <w:sz w:val="20"/>
                <w:szCs w:val="20"/>
              </w:rPr>
            </w:pPr>
            <w:r w:rsidRPr="00C63262">
              <w:rPr>
                <w:rFonts w:asciiTheme="majorHAnsi" w:eastAsiaTheme="minorHAnsi" w:hAnsiTheme="majorHAnsi" w:cstheme="majorHAnsi"/>
                <w:snapToGrid w:val="0"/>
                <w:sz w:val="20"/>
                <w:szCs w:val="20"/>
                <w:lang w:val="en-US"/>
              </w:rPr>
              <w:t>Glaiza Pimentel</w:t>
            </w:r>
          </w:p>
        </w:tc>
        <w:tc>
          <w:tcPr>
            <w:tcW w:w="900" w:type="dxa"/>
            <w:noWrap/>
            <w:hideMark/>
          </w:tcPr>
          <w:p w14:paraId="101C6DCD"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lang w:val="en-US"/>
              </w:rPr>
              <w:t>F</w:t>
            </w:r>
          </w:p>
        </w:tc>
        <w:tc>
          <w:tcPr>
            <w:tcW w:w="2587" w:type="dxa"/>
            <w:noWrap/>
            <w:hideMark/>
          </w:tcPr>
          <w:p w14:paraId="2DAD09D2"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rPr>
              <w:t>Teacher I</w:t>
            </w:r>
          </w:p>
        </w:tc>
      </w:tr>
      <w:tr w:rsidR="00A4162A" w:rsidRPr="00C63262" w14:paraId="71237A57" w14:textId="77777777" w:rsidTr="00071F3B">
        <w:trPr>
          <w:trHeight w:val="300"/>
        </w:trPr>
        <w:tc>
          <w:tcPr>
            <w:tcW w:w="4068" w:type="dxa"/>
            <w:tcBorders>
              <w:top w:val="nil"/>
              <w:bottom w:val="single" w:sz="4" w:space="0" w:color="auto"/>
            </w:tcBorders>
          </w:tcPr>
          <w:p w14:paraId="348EAB6B"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p>
        </w:tc>
        <w:tc>
          <w:tcPr>
            <w:tcW w:w="2970" w:type="dxa"/>
            <w:noWrap/>
            <w:hideMark/>
          </w:tcPr>
          <w:p w14:paraId="1649CD12" w14:textId="77777777" w:rsidR="00A4162A" w:rsidRPr="00C63262" w:rsidRDefault="00A4162A" w:rsidP="000A60F6">
            <w:pPr>
              <w:widowControl w:val="0"/>
              <w:numPr>
                <w:ilvl w:val="0"/>
                <w:numId w:val="98"/>
              </w:numPr>
              <w:spacing w:before="100" w:beforeAutospacing="1" w:after="100" w:afterAutospacing="1" w:line="360" w:lineRule="auto"/>
              <w:rPr>
                <w:rFonts w:asciiTheme="majorHAnsi" w:eastAsiaTheme="minorHAnsi" w:hAnsiTheme="majorHAnsi" w:cstheme="majorHAnsi"/>
                <w:snapToGrid w:val="0"/>
                <w:sz w:val="20"/>
                <w:szCs w:val="20"/>
              </w:rPr>
            </w:pPr>
            <w:r w:rsidRPr="00C63262">
              <w:rPr>
                <w:rFonts w:asciiTheme="majorHAnsi" w:eastAsiaTheme="minorHAnsi" w:hAnsiTheme="majorHAnsi" w:cstheme="majorHAnsi"/>
                <w:snapToGrid w:val="0"/>
                <w:sz w:val="20"/>
                <w:szCs w:val="20"/>
                <w:lang w:val="en-US"/>
              </w:rPr>
              <w:t>Glenda Jean O. Agbalog</w:t>
            </w:r>
          </w:p>
        </w:tc>
        <w:tc>
          <w:tcPr>
            <w:tcW w:w="900" w:type="dxa"/>
            <w:noWrap/>
            <w:hideMark/>
          </w:tcPr>
          <w:p w14:paraId="284CFAE4"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lang w:val="en-US"/>
              </w:rPr>
              <w:t>F</w:t>
            </w:r>
          </w:p>
        </w:tc>
        <w:tc>
          <w:tcPr>
            <w:tcW w:w="2587" w:type="dxa"/>
            <w:noWrap/>
            <w:hideMark/>
          </w:tcPr>
          <w:p w14:paraId="2C41BE04"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rPr>
              <w:t>Teacher I</w:t>
            </w:r>
          </w:p>
        </w:tc>
      </w:tr>
      <w:tr w:rsidR="00A4162A" w:rsidRPr="00C63262" w14:paraId="114262C1" w14:textId="77777777" w:rsidTr="00071F3B">
        <w:trPr>
          <w:trHeight w:val="300"/>
        </w:trPr>
        <w:tc>
          <w:tcPr>
            <w:tcW w:w="4068" w:type="dxa"/>
            <w:tcBorders>
              <w:top w:val="single" w:sz="4" w:space="0" w:color="auto"/>
              <w:bottom w:val="single" w:sz="4" w:space="0" w:color="auto"/>
            </w:tcBorders>
          </w:tcPr>
          <w:p w14:paraId="71D21BCD"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p>
        </w:tc>
        <w:tc>
          <w:tcPr>
            <w:tcW w:w="2970" w:type="dxa"/>
            <w:noWrap/>
          </w:tcPr>
          <w:p w14:paraId="6D9E94FA" w14:textId="77777777" w:rsidR="00A4162A" w:rsidRPr="00C63262" w:rsidRDefault="00A4162A" w:rsidP="000A60F6">
            <w:pPr>
              <w:widowControl w:val="0"/>
              <w:numPr>
                <w:ilvl w:val="0"/>
                <w:numId w:val="98"/>
              </w:numPr>
              <w:spacing w:before="100" w:beforeAutospacing="1" w:after="100" w:afterAutospacing="1" w:line="360" w:lineRule="auto"/>
              <w:rPr>
                <w:rFonts w:asciiTheme="majorHAnsi" w:eastAsiaTheme="minorHAnsi" w:hAnsiTheme="majorHAnsi" w:cstheme="majorHAnsi"/>
                <w:snapToGrid w:val="0"/>
                <w:sz w:val="20"/>
                <w:szCs w:val="20"/>
              </w:rPr>
            </w:pPr>
            <w:r w:rsidRPr="00C63262">
              <w:rPr>
                <w:rFonts w:asciiTheme="majorHAnsi" w:eastAsiaTheme="minorHAnsi" w:hAnsiTheme="majorHAnsi" w:cstheme="majorHAnsi"/>
                <w:snapToGrid w:val="0"/>
                <w:sz w:val="20"/>
                <w:szCs w:val="20"/>
                <w:lang w:val="en-US"/>
              </w:rPr>
              <w:t>Arnel J. Apiag</w:t>
            </w:r>
          </w:p>
        </w:tc>
        <w:tc>
          <w:tcPr>
            <w:tcW w:w="900" w:type="dxa"/>
            <w:noWrap/>
          </w:tcPr>
          <w:p w14:paraId="77C628F6"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lang w:val="en-US"/>
              </w:rPr>
              <w:t>M</w:t>
            </w:r>
          </w:p>
        </w:tc>
        <w:tc>
          <w:tcPr>
            <w:tcW w:w="2587" w:type="dxa"/>
            <w:noWrap/>
          </w:tcPr>
          <w:p w14:paraId="081E662C"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rPr>
              <w:t xml:space="preserve">Master Teacher I </w:t>
            </w:r>
          </w:p>
        </w:tc>
      </w:tr>
      <w:tr w:rsidR="00A4162A" w:rsidRPr="00C63262" w14:paraId="6458B7EB" w14:textId="77777777" w:rsidTr="00FF4CA3">
        <w:trPr>
          <w:trHeight w:val="300"/>
        </w:trPr>
        <w:tc>
          <w:tcPr>
            <w:tcW w:w="4068" w:type="dxa"/>
            <w:tcBorders>
              <w:bottom w:val="nil"/>
            </w:tcBorders>
          </w:tcPr>
          <w:p w14:paraId="06170FA4"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lang w:val="en-US"/>
              </w:rPr>
            </w:pPr>
          </w:p>
        </w:tc>
        <w:tc>
          <w:tcPr>
            <w:tcW w:w="2970" w:type="dxa"/>
            <w:noWrap/>
            <w:hideMark/>
          </w:tcPr>
          <w:p w14:paraId="5F96040C" w14:textId="77777777" w:rsidR="00A4162A" w:rsidRPr="00C63262" w:rsidRDefault="00A4162A" w:rsidP="000A60F6">
            <w:pPr>
              <w:widowControl w:val="0"/>
              <w:numPr>
                <w:ilvl w:val="0"/>
                <w:numId w:val="98"/>
              </w:numPr>
              <w:spacing w:before="100" w:beforeAutospacing="1" w:after="100" w:afterAutospacing="1" w:line="360" w:lineRule="auto"/>
              <w:rPr>
                <w:rFonts w:asciiTheme="majorHAnsi" w:eastAsiaTheme="minorHAnsi" w:hAnsiTheme="majorHAnsi" w:cstheme="majorHAnsi"/>
                <w:snapToGrid w:val="0"/>
                <w:sz w:val="20"/>
                <w:szCs w:val="20"/>
              </w:rPr>
            </w:pPr>
            <w:r w:rsidRPr="00C63262">
              <w:rPr>
                <w:rFonts w:asciiTheme="majorHAnsi" w:eastAsiaTheme="minorHAnsi" w:hAnsiTheme="majorHAnsi" w:cstheme="majorHAnsi"/>
                <w:snapToGrid w:val="0"/>
                <w:sz w:val="20"/>
                <w:szCs w:val="20"/>
                <w:lang w:val="en-US"/>
              </w:rPr>
              <w:t>Alma B. Penonia</w:t>
            </w:r>
          </w:p>
        </w:tc>
        <w:tc>
          <w:tcPr>
            <w:tcW w:w="900" w:type="dxa"/>
            <w:noWrap/>
            <w:hideMark/>
          </w:tcPr>
          <w:p w14:paraId="192623CB"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lang w:val="en-US"/>
              </w:rPr>
              <w:t>F</w:t>
            </w:r>
          </w:p>
        </w:tc>
        <w:tc>
          <w:tcPr>
            <w:tcW w:w="2587" w:type="dxa"/>
            <w:noWrap/>
            <w:hideMark/>
          </w:tcPr>
          <w:p w14:paraId="6737D7A5"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rPr>
              <w:t>ES Principal II</w:t>
            </w:r>
          </w:p>
        </w:tc>
      </w:tr>
      <w:tr w:rsidR="00A4162A" w:rsidRPr="00C63262" w14:paraId="38D70067" w14:textId="77777777" w:rsidTr="00FF4CA3">
        <w:trPr>
          <w:trHeight w:val="300"/>
        </w:trPr>
        <w:tc>
          <w:tcPr>
            <w:tcW w:w="4068" w:type="dxa"/>
            <w:tcBorders>
              <w:top w:val="nil"/>
              <w:bottom w:val="nil"/>
            </w:tcBorders>
          </w:tcPr>
          <w:p w14:paraId="68CF3E85"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p>
        </w:tc>
        <w:tc>
          <w:tcPr>
            <w:tcW w:w="2970" w:type="dxa"/>
            <w:noWrap/>
            <w:hideMark/>
          </w:tcPr>
          <w:p w14:paraId="15AB1E3F" w14:textId="77777777" w:rsidR="00A4162A" w:rsidRPr="00C63262" w:rsidRDefault="00A4162A" w:rsidP="000A60F6">
            <w:pPr>
              <w:widowControl w:val="0"/>
              <w:numPr>
                <w:ilvl w:val="0"/>
                <w:numId w:val="98"/>
              </w:numPr>
              <w:spacing w:before="100" w:beforeAutospacing="1" w:after="100" w:afterAutospacing="1" w:line="360" w:lineRule="auto"/>
              <w:rPr>
                <w:rFonts w:asciiTheme="majorHAnsi" w:eastAsiaTheme="minorHAnsi" w:hAnsiTheme="majorHAnsi" w:cstheme="majorHAnsi"/>
                <w:snapToGrid w:val="0"/>
                <w:sz w:val="20"/>
                <w:szCs w:val="20"/>
              </w:rPr>
            </w:pPr>
            <w:r w:rsidRPr="00C63262">
              <w:rPr>
                <w:rFonts w:asciiTheme="majorHAnsi" w:eastAsiaTheme="minorHAnsi" w:hAnsiTheme="majorHAnsi" w:cstheme="majorHAnsi"/>
                <w:snapToGrid w:val="0"/>
                <w:sz w:val="20"/>
                <w:szCs w:val="20"/>
                <w:lang w:val="en-US"/>
              </w:rPr>
              <w:t>Narcisa C. Estrata</w:t>
            </w:r>
          </w:p>
        </w:tc>
        <w:tc>
          <w:tcPr>
            <w:tcW w:w="900" w:type="dxa"/>
            <w:noWrap/>
            <w:hideMark/>
          </w:tcPr>
          <w:p w14:paraId="60B41B25"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lang w:val="en-US"/>
              </w:rPr>
              <w:t>F</w:t>
            </w:r>
          </w:p>
        </w:tc>
        <w:tc>
          <w:tcPr>
            <w:tcW w:w="2587" w:type="dxa"/>
            <w:noWrap/>
            <w:hideMark/>
          </w:tcPr>
          <w:p w14:paraId="7882467C"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rPr>
              <w:t>Teacher I</w:t>
            </w:r>
          </w:p>
        </w:tc>
      </w:tr>
      <w:tr w:rsidR="00A4162A" w:rsidRPr="00C63262" w14:paraId="227A32DB" w14:textId="77777777" w:rsidTr="00FF4CA3">
        <w:trPr>
          <w:trHeight w:val="300"/>
        </w:trPr>
        <w:tc>
          <w:tcPr>
            <w:tcW w:w="4068" w:type="dxa"/>
            <w:tcBorders>
              <w:top w:val="nil"/>
              <w:bottom w:val="single" w:sz="4" w:space="0" w:color="auto"/>
            </w:tcBorders>
          </w:tcPr>
          <w:p w14:paraId="4E6F95A8"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p>
        </w:tc>
        <w:tc>
          <w:tcPr>
            <w:tcW w:w="2970" w:type="dxa"/>
            <w:noWrap/>
            <w:hideMark/>
          </w:tcPr>
          <w:p w14:paraId="0B9CCE0A" w14:textId="77777777" w:rsidR="00A4162A" w:rsidRPr="00C63262" w:rsidRDefault="00A4162A" w:rsidP="000A60F6">
            <w:pPr>
              <w:widowControl w:val="0"/>
              <w:numPr>
                <w:ilvl w:val="0"/>
                <w:numId w:val="98"/>
              </w:numPr>
              <w:spacing w:before="100" w:beforeAutospacing="1" w:after="100" w:afterAutospacing="1" w:line="360" w:lineRule="auto"/>
              <w:rPr>
                <w:rFonts w:asciiTheme="majorHAnsi" w:eastAsiaTheme="minorHAnsi" w:hAnsiTheme="majorHAnsi" w:cstheme="majorHAnsi"/>
                <w:snapToGrid w:val="0"/>
                <w:sz w:val="20"/>
                <w:szCs w:val="20"/>
              </w:rPr>
            </w:pPr>
            <w:r w:rsidRPr="00C63262">
              <w:rPr>
                <w:rFonts w:asciiTheme="majorHAnsi" w:eastAsiaTheme="minorHAnsi" w:hAnsiTheme="majorHAnsi" w:cstheme="majorHAnsi"/>
                <w:snapToGrid w:val="0"/>
                <w:sz w:val="20"/>
                <w:szCs w:val="20"/>
                <w:lang w:val="en-US"/>
              </w:rPr>
              <w:t>Chenny Ann D. Salas</w:t>
            </w:r>
          </w:p>
        </w:tc>
        <w:tc>
          <w:tcPr>
            <w:tcW w:w="900" w:type="dxa"/>
            <w:noWrap/>
            <w:hideMark/>
          </w:tcPr>
          <w:p w14:paraId="19990E22"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lang w:val="en-US"/>
              </w:rPr>
              <w:t>F</w:t>
            </w:r>
          </w:p>
        </w:tc>
        <w:tc>
          <w:tcPr>
            <w:tcW w:w="2587" w:type="dxa"/>
            <w:noWrap/>
            <w:hideMark/>
          </w:tcPr>
          <w:p w14:paraId="1FBFF72D"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rPr>
              <w:t>Teacher I</w:t>
            </w:r>
          </w:p>
        </w:tc>
      </w:tr>
      <w:tr w:rsidR="00A4162A" w:rsidRPr="00C63262" w14:paraId="2E2C1D2F" w14:textId="77777777" w:rsidTr="00FF4CA3">
        <w:trPr>
          <w:trHeight w:val="300"/>
        </w:trPr>
        <w:tc>
          <w:tcPr>
            <w:tcW w:w="4068" w:type="dxa"/>
            <w:tcBorders>
              <w:bottom w:val="nil"/>
            </w:tcBorders>
          </w:tcPr>
          <w:p w14:paraId="7527AE03"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p>
        </w:tc>
        <w:tc>
          <w:tcPr>
            <w:tcW w:w="2970" w:type="dxa"/>
            <w:noWrap/>
            <w:hideMark/>
          </w:tcPr>
          <w:p w14:paraId="14FD2C02" w14:textId="77777777" w:rsidR="00A4162A" w:rsidRPr="00C63262" w:rsidRDefault="00A4162A" w:rsidP="000A60F6">
            <w:pPr>
              <w:widowControl w:val="0"/>
              <w:numPr>
                <w:ilvl w:val="0"/>
                <w:numId w:val="98"/>
              </w:numPr>
              <w:spacing w:before="100" w:beforeAutospacing="1" w:after="100" w:afterAutospacing="1" w:line="360" w:lineRule="auto"/>
              <w:rPr>
                <w:rFonts w:asciiTheme="majorHAnsi" w:eastAsiaTheme="minorHAnsi" w:hAnsiTheme="majorHAnsi" w:cstheme="majorHAnsi"/>
                <w:snapToGrid w:val="0"/>
                <w:sz w:val="20"/>
                <w:szCs w:val="20"/>
              </w:rPr>
            </w:pPr>
            <w:r w:rsidRPr="00C63262">
              <w:rPr>
                <w:rFonts w:asciiTheme="majorHAnsi" w:eastAsiaTheme="minorHAnsi" w:hAnsiTheme="majorHAnsi" w:cstheme="majorHAnsi"/>
                <w:snapToGrid w:val="0"/>
                <w:sz w:val="20"/>
                <w:szCs w:val="20"/>
                <w:lang w:val="en-US"/>
              </w:rPr>
              <w:t>Mary Rose M. Santander</w:t>
            </w:r>
          </w:p>
        </w:tc>
        <w:tc>
          <w:tcPr>
            <w:tcW w:w="900" w:type="dxa"/>
            <w:noWrap/>
            <w:hideMark/>
          </w:tcPr>
          <w:p w14:paraId="4F8E153A"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lang w:val="en-US"/>
              </w:rPr>
              <w:t>F</w:t>
            </w:r>
          </w:p>
        </w:tc>
        <w:tc>
          <w:tcPr>
            <w:tcW w:w="2587" w:type="dxa"/>
            <w:noWrap/>
            <w:hideMark/>
          </w:tcPr>
          <w:p w14:paraId="18D13D5F"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rPr>
              <w:t>Teacher I</w:t>
            </w:r>
          </w:p>
        </w:tc>
      </w:tr>
      <w:tr w:rsidR="00A4162A" w:rsidRPr="00C63262" w14:paraId="09B661CF" w14:textId="77777777" w:rsidTr="00FF4CA3">
        <w:trPr>
          <w:trHeight w:val="300"/>
        </w:trPr>
        <w:tc>
          <w:tcPr>
            <w:tcW w:w="4068" w:type="dxa"/>
            <w:tcBorders>
              <w:top w:val="nil"/>
              <w:bottom w:val="single" w:sz="4" w:space="0" w:color="auto"/>
            </w:tcBorders>
          </w:tcPr>
          <w:p w14:paraId="3B9A2C5D"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p>
        </w:tc>
        <w:tc>
          <w:tcPr>
            <w:tcW w:w="2970" w:type="dxa"/>
            <w:noWrap/>
            <w:hideMark/>
          </w:tcPr>
          <w:p w14:paraId="5DC7EBF8" w14:textId="77777777" w:rsidR="00A4162A" w:rsidRPr="00C63262" w:rsidRDefault="00A4162A" w:rsidP="000A60F6">
            <w:pPr>
              <w:widowControl w:val="0"/>
              <w:numPr>
                <w:ilvl w:val="0"/>
                <w:numId w:val="98"/>
              </w:numPr>
              <w:spacing w:before="100" w:beforeAutospacing="1" w:after="100" w:afterAutospacing="1" w:line="360" w:lineRule="auto"/>
              <w:rPr>
                <w:rFonts w:asciiTheme="majorHAnsi" w:eastAsiaTheme="minorHAnsi" w:hAnsiTheme="majorHAnsi" w:cstheme="majorHAnsi"/>
                <w:snapToGrid w:val="0"/>
                <w:sz w:val="20"/>
                <w:szCs w:val="20"/>
              </w:rPr>
            </w:pPr>
            <w:r w:rsidRPr="00C63262">
              <w:rPr>
                <w:rFonts w:asciiTheme="majorHAnsi" w:eastAsiaTheme="minorHAnsi" w:hAnsiTheme="majorHAnsi" w:cstheme="majorHAnsi"/>
                <w:snapToGrid w:val="0"/>
                <w:sz w:val="20"/>
                <w:szCs w:val="20"/>
                <w:lang w:val="en-US"/>
              </w:rPr>
              <w:t>Sydney Lee M. Navares</w:t>
            </w:r>
          </w:p>
        </w:tc>
        <w:tc>
          <w:tcPr>
            <w:tcW w:w="900" w:type="dxa"/>
            <w:noWrap/>
            <w:hideMark/>
          </w:tcPr>
          <w:p w14:paraId="59B47CC8"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lang w:val="en-US"/>
              </w:rPr>
              <w:t>F</w:t>
            </w:r>
          </w:p>
        </w:tc>
        <w:tc>
          <w:tcPr>
            <w:tcW w:w="2587" w:type="dxa"/>
            <w:noWrap/>
            <w:hideMark/>
          </w:tcPr>
          <w:p w14:paraId="7C23EFE0"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rPr>
              <w:t>Teacher I</w:t>
            </w:r>
          </w:p>
        </w:tc>
      </w:tr>
      <w:tr w:rsidR="00A4162A" w:rsidRPr="00C63262" w14:paraId="480BDACC" w14:textId="77777777" w:rsidTr="00FF4CA3">
        <w:trPr>
          <w:trHeight w:val="300"/>
        </w:trPr>
        <w:tc>
          <w:tcPr>
            <w:tcW w:w="4068" w:type="dxa"/>
            <w:tcBorders>
              <w:bottom w:val="nil"/>
            </w:tcBorders>
          </w:tcPr>
          <w:p w14:paraId="19174F90"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lang w:val="en-US"/>
              </w:rPr>
            </w:pPr>
          </w:p>
        </w:tc>
        <w:tc>
          <w:tcPr>
            <w:tcW w:w="2970" w:type="dxa"/>
            <w:noWrap/>
          </w:tcPr>
          <w:p w14:paraId="3DD20EC5" w14:textId="77777777" w:rsidR="00A4162A" w:rsidRPr="00C63262" w:rsidRDefault="00A4162A" w:rsidP="000A60F6">
            <w:pPr>
              <w:widowControl w:val="0"/>
              <w:numPr>
                <w:ilvl w:val="0"/>
                <w:numId w:val="98"/>
              </w:numPr>
              <w:spacing w:before="100" w:beforeAutospacing="1" w:after="100" w:afterAutospacing="1" w:line="360" w:lineRule="auto"/>
              <w:rPr>
                <w:rFonts w:asciiTheme="majorHAnsi" w:eastAsiaTheme="minorHAnsi" w:hAnsiTheme="majorHAnsi" w:cstheme="majorHAnsi"/>
                <w:snapToGrid w:val="0"/>
                <w:sz w:val="20"/>
                <w:szCs w:val="20"/>
              </w:rPr>
            </w:pPr>
            <w:r w:rsidRPr="00C63262">
              <w:rPr>
                <w:rFonts w:asciiTheme="majorHAnsi" w:eastAsiaTheme="minorHAnsi" w:hAnsiTheme="majorHAnsi" w:cstheme="majorHAnsi"/>
                <w:snapToGrid w:val="0"/>
                <w:sz w:val="20"/>
                <w:szCs w:val="20"/>
                <w:lang w:val="en-US"/>
              </w:rPr>
              <w:t>Airene O. Suan</w:t>
            </w:r>
          </w:p>
        </w:tc>
        <w:tc>
          <w:tcPr>
            <w:tcW w:w="900" w:type="dxa"/>
            <w:noWrap/>
          </w:tcPr>
          <w:p w14:paraId="3E8D7747"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lang w:val="en-US"/>
              </w:rPr>
              <w:t>F</w:t>
            </w:r>
          </w:p>
        </w:tc>
        <w:tc>
          <w:tcPr>
            <w:tcW w:w="2587" w:type="dxa"/>
            <w:noWrap/>
          </w:tcPr>
          <w:p w14:paraId="5425C538"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rPr>
              <w:t xml:space="preserve">Master Teacher I </w:t>
            </w:r>
          </w:p>
        </w:tc>
      </w:tr>
      <w:tr w:rsidR="00A4162A" w:rsidRPr="00C63262" w14:paraId="6A518B84" w14:textId="77777777" w:rsidTr="00FF4CA3">
        <w:trPr>
          <w:trHeight w:val="300"/>
        </w:trPr>
        <w:tc>
          <w:tcPr>
            <w:tcW w:w="4068" w:type="dxa"/>
            <w:tcBorders>
              <w:top w:val="nil"/>
              <w:bottom w:val="nil"/>
            </w:tcBorders>
          </w:tcPr>
          <w:p w14:paraId="0BB32604"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p>
        </w:tc>
        <w:tc>
          <w:tcPr>
            <w:tcW w:w="2970" w:type="dxa"/>
            <w:noWrap/>
          </w:tcPr>
          <w:p w14:paraId="6F368EF2" w14:textId="77777777" w:rsidR="00A4162A" w:rsidRPr="00C63262" w:rsidRDefault="00A4162A" w:rsidP="000A60F6">
            <w:pPr>
              <w:widowControl w:val="0"/>
              <w:numPr>
                <w:ilvl w:val="0"/>
                <w:numId w:val="98"/>
              </w:numPr>
              <w:spacing w:before="100" w:beforeAutospacing="1" w:after="100" w:afterAutospacing="1" w:line="360" w:lineRule="auto"/>
              <w:rPr>
                <w:rFonts w:asciiTheme="majorHAnsi" w:eastAsiaTheme="minorHAnsi" w:hAnsiTheme="majorHAnsi" w:cstheme="majorHAnsi"/>
                <w:snapToGrid w:val="0"/>
                <w:sz w:val="20"/>
                <w:szCs w:val="20"/>
              </w:rPr>
            </w:pPr>
            <w:r w:rsidRPr="00C63262">
              <w:rPr>
                <w:rFonts w:asciiTheme="majorHAnsi" w:eastAsiaTheme="minorHAnsi" w:hAnsiTheme="majorHAnsi" w:cstheme="majorHAnsi"/>
                <w:snapToGrid w:val="0"/>
                <w:sz w:val="20"/>
                <w:szCs w:val="20"/>
                <w:lang w:val="en-US"/>
              </w:rPr>
              <w:t>Genelita E. Aclo</w:t>
            </w:r>
          </w:p>
        </w:tc>
        <w:tc>
          <w:tcPr>
            <w:tcW w:w="900" w:type="dxa"/>
            <w:noWrap/>
          </w:tcPr>
          <w:p w14:paraId="1B16C344"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lang w:val="en-US"/>
              </w:rPr>
              <w:t>F</w:t>
            </w:r>
          </w:p>
        </w:tc>
        <w:tc>
          <w:tcPr>
            <w:tcW w:w="2587" w:type="dxa"/>
            <w:noWrap/>
          </w:tcPr>
          <w:p w14:paraId="534DCA2A"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rPr>
              <w:t>Teacher I</w:t>
            </w:r>
          </w:p>
        </w:tc>
      </w:tr>
      <w:tr w:rsidR="00A4162A" w:rsidRPr="00C63262" w14:paraId="4552D2CD" w14:textId="77777777" w:rsidTr="00FF4CA3">
        <w:trPr>
          <w:trHeight w:val="395"/>
        </w:trPr>
        <w:tc>
          <w:tcPr>
            <w:tcW w:w="4068" w:type="dxa"/>
            <w:tcBorders>
              <w:top w:val="nil"/>
              <w:bottom w:val="single" w:sz="4" w:space="0" w:color="auto"/>
            </w:tcBorders>
          </w:tcPr>
          <w:p w14:paraId="30C4925C"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p>
        </w:tc>
        <w:tc>
          <w:tcPr>
            <w:tcW w:w="2970" w:type="dxa"/>
            <w:noWrap/>
          </w:tcPr>
          <w:p w14:paraId="6381E30D" w14:textId="77777777" w:rsidR="00A4162A" w:rsidRPr="00C63262" w:rsidRDefault="00A4162A" w:rsidP="000A60F6">
            <w:pPr>
              <w:widowControl w:val="0"/>
              <w:numPr>
                <w:ilvl w:val="0"/>
                <w:numId w:val="98"/>
              </w:numPr>
              <w:spacing w:before="100" w:beforeAutospacing="1" w:after="100" w:afterAutospacing="1" w:line="360" w:lineRule="auto"/>
              <w:rPr>
                <w:rFonts w:asciiTheme="majorHAnsi" w:eastAsiaTheme="minorHAnsi" w:hAnsiTheme="majorHAnsi" w:cstheme="majorHAnsi"/>
                <w:snapToGrid w:val="0"/>
                <w:sz w:val="20"/>
                <w:szCs w:val="20"/>
              </w:rPr>
            </w:pPr>
            <w:r w:rsidRPr="00C63262">
              <w:rPr>
                <w:rFonts w:asciiTheme="majorHAnsi" w:eastAsiaTheme="minorHAnsi" w:hAnsiTheme="majorHAnsi" w:cstheme="majorHAnsi"/>
                <w:snapToGrid w:val="0"/>
                <w:sz w:val="20"/>
                <w:szCs w:val="20"/>
                <w:lang w:val="en-US"/>
              </w:rPr>
              <w:t>Maria Cecilia G. Labata</w:t>
            </w:r>
          </w:p>
        </w:tc>
        <w:tc>
          <w:tcPr>
            <w:tcW w:w="900" w:type="dxa"/>
            <w:noWrap/>
          </w:tcPr>
          <w:p w14:paraId="08F04BE2"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lang w:val="en-US"/>
              </w:rPr>
              <w:t>F</w:t>
            </w:r>
          </w:p>
        </w:tc>
        <w:tc>
          <w:tcPr>
            <w:tcW w:w="2587" w:type="dxa"/>
            <w:noWrap/>
          </w:tcPr>
          <w:p w14:paraId="059BCEA2"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rPr>
              <w:t>Teacher II</w:t>
            </w:r>
          </w:p>
        </w:tc>
      </w:tr>
      <w:tr w:rsidR="00A4162A" w:rsidRPr="00C63262" w14:paraId="437E659F" w14:textId="77777777" w:rsidTr="00FF4CA3">
        <w:trPr>
          <w:trHeight w:val="300"/>
        </w:trPr>
        <w:tc>
          <w:tcPr>
            <w:tcW w:w="4068" w:type="dxa"/>
            <w:tcBorders>
              <w:bottom w:val="nil"/>
            </w:tcBorders>
          </w:tcPr>
          <w:p w14:paraId="4EBF0920"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lang w:val="en-US"/>
              </w:rPr>
            </w:pPr>
          </w:p>
        </w:tc>
        <w:tc>
          <w:tcPr>
            <w:tcW w:w="2970" w:type="dxa"/>
            <w:noWrap/>
            <w:hideMark/>
          </w:tcPr>
          <w:p w14:paraId="759F43EE" w14:textId="77777777" w:rsidR="00A4162A" w:rsidRPr="00C63262" w:rsidRDefault="00A4162A" w:rsidP="000A60F6">
            <w:pPr>
              <w:widowControl w:val="0"/>
              <w:numPr>
                <w:ilvl w:val="0"/>
                <w:numId w:val="98"/>
              </w:numPr>
              <w:spacing w:before="100" w:beforeAutospacing="1" w:after="100" w:afterAutospacing="1" w:line="360" w:lineRule="auto"/>
              <w:rPr>
                <w:rFonts w:asciiTheme="majorHAnsi" w:eastAsiaTheme="minorHAnsi" w:hAnsiTheme="majorHAnsi" w:cstheme="majorHAnsi"/>
                <w:snapToGrid w:val="0"/>
                <w:sz w:val="20"/>
                <w:szCs w:val="20"/>
              </w:rPr>
            </w:pPr>
            <w:r w:rsidRPr="00C63262">
              <w:rPr>
                <w:rFonts w:asciiTheme="majorHAnsi" w:eastAsiaTheme="minorHAnsi" w:hAnsiTheme="majorHAnsi" w:cstheme="majorHAnsi"/>
                <w:snapToGrid w:val="0"/>
                <w:sz w:val="20"/>
                <w:szCs w:val="20"/>
                <w:lang w:val="en-US"/>
              </w:rPr>
              <w:t>Jasmin V. Lareta</w:t>
            </w:r>
          </w:p>
        </w:tc>
        <w:tc>
          <w:tcPr>
            <w:tcW w:w="900" w:type="dxa"/>
            <w:noWrap/>
            <w:hideMark/>
          </w:tcPr>
          <w:p w14:paraId="79FDF273"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lang w:val="en-US"/>
              </w:rPr>
              <w:t>F</w:t>
            </w:r>
          </w:p>
        </w:tc>
        <w:tc>
          <w:tcPr>
            <w:tcW w:w="2587" w:type="dxa"/>
            <w:noWrap/>
            <w:hideMark/>
          </w:tcPr>
          <w:p w14:paraId="1E4B22AF"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rPr>
              <w:t xml:space="preserve">Teacher I </w:t>
            </w:r>
          </w:p>
        </w:tc>
      </w:tr>
      <w:tr w:rsidR="00A4162A" w:rsidRPr="00C63262" w14:paraId="4BB5C788" w14:textId="77777777" w:rsidTr="00FF4CA3">
        <w:trPr>
          <w:trHeight w:val="300"/>
        </w:trPr>
        <w:tc>
          <w:tcPr>
            <w:tcW w:w="4068" w:type="dxa"/>
            <w:tcBorders>
              <w:top w:val="nil"/>
              <w:bottom w:val="nil"/>
            </w:tcBorders>
          </w:tcPr>
          <w:p w14:paraId="1F3E140E"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p>
        </w:tc>
        <w:tc>
          <w:tcPr>
            <w:tcW w:w="2970" w:type="dxa"/>
            <w:noWrap/>
            <w:hideMark/>
          </w:tcPr>
          <w:p w14:paraId="3C7D9995" w14:textId="77777777" w:rsidR="00A4162A" w:rsidRPr="00C63262" w:rsidRDefault="00A4162A" w:rsidP="000A60F6">
            <w:pPr>
              <w:widowControl w:val="0"/>
              <w:numPr>
                <w:ilvl w:val="0"/>
                <w:numId w:val="98"/>
              </w:numPr>
              <w:spacing w:before="100" w:beforeAutospacing="1" w:after="100" w:afterAutospacing="1" w:line="360" w:lineRule="auto"/>
              <w:rPr>
                <w:rFonts w:asciiTheme="majorHAnsi" w:eastAsiaTheme="minorHAnsi" w:hAnsiTheme="majorHAnsi" w:cstheme="majorHAnsi"/>
                <w:snapToGrid w:val="0"/>
                <w:sz w:val="20"/>
                <w:szCs w:val="20"/>
              </w:rPr>
            </w:pPr>
            <w:r w:rsidRPr="00C63262">
              <w:rPr>
                <w:rFonts w:asciiTheme="majorHAnsi" w:eastAsiaTheme="minorHAnsi" w:hAnsiTheme="majorHAnsi" w:cstheme="majorHAnsi"/>
                <w:snapToGrid w:val="0"/>
                <w:sz w:val="20"/>
                <w:szCs w:val="20"/>
                <w:lang w:val="en-US"/>
              </w:rPr>
              <w:t>Jerrylyn C. Addian</w:t>
            </w:r>
          </w:p>
        </w:tc>
        <w:tc>
          <w:tcPr>
            <w:tcW w:w="900" w:type="dxa"/>
            <w:noWrap/>
            <w:hideMark/>
          </w:tcPr>
          <w:p w14:paraId="3979C9DD"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lang w:val="en-US"/>
              </w:rPr>
              <w:t>F</w:t>
            </w:r>
          </w:p>
        </w:tc>
        <w:tc>
          <w:tcPr>
            <w:tcW w:w="2587" w:type="dxa"/>
            <w:noWrap/>
            <w:hideMark/>
          </w:tcPr>
          <w:p w14:paraId="1041E9DF"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rPr>
              <w:t>Teacher I</w:t>
            </w:r>
          </w:p>
        </w:tc>
      </w:tr>
      <w:tr w:rsidR="00A4162A" w:rsidRPr="00C63262" w14:paraId="61BD17AA" w14:textId="77777777" w:rsidTr="00FF4CA3">
        <w:trPr>
          <w:trHeight w:val="300"/>
        </w:trPr>
        <w:tc>
          <w:tcPr>
            <w:tcW w:w="4068" w:type="dxa"/>
            <w:tcBorders>
              <w:top w:val="nil"/>
              <w:bottom w:val="single" w:sz="4" w:space="0" w:color="auto"/>
            </w:tcBorders>
          </w:tcPr>
          <w:p w14:paraId="69AEEFC7"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p>
        </w:tc>
        <w:tc>
          <w:tcPr>
            <w:tcW w:w="2970" w:type="dxa"/>
            <w:noWrap/>
            <w:hideMark/>
          </w:tcPr>
          <w:p w14:paraId="7F939FFD" w14:textId="77777777" w:rsidR="00A4162A" w:rsidRPr="00C63262" w:rsidRDefault="00A4162A" w:rsidP="000A60F6">
            <w:pPr>
              <w:widowControl w:val="0"/>
              <w:numPr>
                <w:ilvl w:val="0"/>
                <w:numId w:val="98"/>
              </w:numPr>
              <w:spacing w:before="100" w:beforeAutospacing="1" w:after="100" w:afterAutospacing="1" w:line="360" w:lineRule="auto"/>
              <w:rPr>
                <w:rFonts w:asciiTheme="majorHAnsi" w:eastAsiaTheme="minorHAnsi" w:hAnsiTheme="majorHAnsi" w:cstheme="majorHAnsi"/>
                <w:snapToGrid w:val="0"/>
                <w:sz w:val="20"/>
                <w:szCs w:val="20"/>
              </w:rPr>
            </w:pPr>
            <w:r w:rsidRPr="00C63262">
              <w:rPr>
                <w:rFonts w:asciiTheme="majorHAnsi" w:eastAsiaTheme="minorHAnsi" w:hAnsiTheme="majorHAnsi" w:cstheme="majorHAnsi"/>
                <w:snapToGrid w:val="0"/>
                <w:sz w:val="20"/>
                <w:szCs w:val="20"/>
                <w:lang w:val="en-US"/>
              </w:rPr>
              <w:t>Gleza B. Lumajang</w:t>
            </w:r>
          </w:p>
        </w:tc>
        <w:tc>
          <w:tcPr>
            <w:tcW w:w="900" w:type="dxa"/>
            <w:noWrap/>
            <w:hideMark/>
          </w:tcPr>
          <w:p w14:paraId="5D6DA0AC"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lang w:val="en-US"/>
              </w:rPr>
              <w:t>F</w:t>
            </w:r>
          </w:p>
        </w:tc>
        <w:tc>
          <w:tcPr>
            <w:tcW w:w="2587" w:type="dxa"/>
            <w:noWrap/>
            <w:hideMark/>
          </w:tcPr>
          <w:p w14:paraId="51B9D8C0"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rPr>
              <w:t>Teacher I</w:t>
            </w:r>
          </w:p>
        </w:tc>
      </w:tr>
      <w:tr w:rsidR="00A4162A" w:rsidRPr="00C63262" w14:paraId="6AFCDD26" w14:textId="77777777" w:rsidTr="00FF4CA3">
        <w:trPr>
          <w:trHeight w:val="300"/>
        </w:trPr>
        <w:tc>
          <w:tcPr>
            <w:tcW w:w="4068" w:type="dxa"/>
            <w:tcBorders>
              <w:bottom w:val="nil"/>
            </w:tcBorders>
          </w:tcPr>
          <w:p w14:paraId="668D31B2"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lang w:val="en-US"/>
              </w:rPr>
            </w:pPr>
          </w:p>
        </w:tc>
        <w:tc>
          <w:tcPr>
            <w:tcW w:w="2970" w:type="dxa"/>
            <w:noWrap/>
            <w:hideMark/>
          </w:tcPr>
          <w:p w14:paraId="020DF9C2" w14:textId="77777777" w:rsidR="00A4162A" w:rsidRPr="00C63262" w:rsidRDefault="00A4162A" w:rsidP="000A60F6">
            <w:pPr>
              <w:widowControl w:val="0"/>
              <w:numPr>
                <w:ilvl w:val="0"/>
                <w:numId w:val="98"/>
              </w:numPr>
              <w:spacing w:before="100" w:beforeAutospacing="1" w:after="100" w:afterAutospacing="1" w:line="360" w:lineRule="auto"/>
              <w:rPr>
                <w:rFonts w:asciiTheme="majorHAnsi" w:eastAsiaTheme="minorHAnsi" w:hAnsiTheme="majorHAnsi" w:cstheme="majorHAnsi"/>
                <w:snapToGrid w:val="0"/>
                <w:sz w:val="20"/>
                <w:szCs w:val="20"/>
              </w:rPr>
            </w:pPr>
            <w:r w:rsidRPr="00C63262">
              <w:rPr>
                <w:rFonts w:asciiTheme="majorHAnsi" w:eastAsiaTheme="minorHAnsi" w:hAnsiTheme="majorHAnsi" w:cstheme="majorHAnsi"/>
                <w:snapToGrid w:val="0"/>
                <w:sz w:val="20"/>
                <w:szCs w:val="20"/>
                <w:lang w:val="en-US"/>
              </w:rPr>
              <w:t>Christel Melanie H. Lagrasas</w:t>
            </w:r>
          </w:p>
        </w:tc>
        <w:tc>
          <w:tcPr>
            <w:tcW w:w="900" w:type="dxa"/>
            <w:noWrap/>
            <w:hideMark/>
          </w:tcPr>
          <w:p w14:paraId="6D332957"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lang w:val="en-US"/>
              </w:rPr>
              <w:t>F</w:t>
            </w:r>
          </w:p>
        </w:tc>
        <w:tc>
          <w:tcPr>
            <w:tcW w:w="2587" w:type="dxa"/>
            <w:noWrap/>
            <w:hideMark/>
          </w:tcPr>
          <w:p w14:paraId="5EC5F2B4"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rPr>
              <w:t>Head Teacher I</w:t>
            </w:r>
          </w:p>
        </w:tc>
      </w:tr>
      <w:tr w:rsidR="00A4162A" w:rsidRPr="00C63262" w14:paraId="5AE13150" w14:textId="77777777" w:rsidTr="00FF4CA3">
        <w:trPr>
          <w:trHeight w:val="300"/>
        </w:trPr>
        <w:tc>
          <w:tcPr>
            <w:tcW w:w="4068" w:type="dxa"/>
            <w:tcBorders>
              <w:top w:val="nil"/>
              <w:bottom w:val="nil"/>
            </w:tcBorders>
          </w:tcPr>
          <w:p w14:paraId="1BA6D908"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p>
        </w:tc>
        <w:tc>
          <w:tcPr>
            <w:tcW w:w="2970" w:type="dxa"/>
            <w:noWrap/>
            <w:hideMark/>
          </w:tcPr>
          <w:p w14:paraId="19917C23" w14:textId="77777777" w:rsidR="00A4162A" w:rsidRPr="00C63262" w:rsidRDefault="00A4162A" w:rsidP="000A60F6">
            <w:pPr>
              <w:widowControl w:val="0"/>
              <w:numPr>
                <w:ilvl w:val="0"/>
                <w:numId w:val="98"/>
              </w:numPr>
              <w:spacing w:before="100" w:beforeAutospacing="1" w:after="100" w:afterAutospacing="1" w:line="360" w:lineRule="auto"/>
              <w:rPr>
                <w:rFonts w:asciiTheme="majorHAnsi" w:eastAsiaTheme="minorHAnsi" w:hAnsiTheme="majorHAnsi" w:cstheme="majorHAnsi"/>
                <w:snapToGrid w:val="0"/>
                <w:sz w:val="20"/>
                <w:szCs w:val="20"/>
              </w:rPr>
            </w:pPr>
            <w:r w:rsidRPr="00C63262">
              <w:rPr>
                <w:rFonts w:asciiTheme="majorHAnsi" w:eastAsiaTheme="minorHAnsi" w:hAnsiTheme="majorHAnsi" w:cstheme="majorHAnsi"/>
                <w:snapToGrid w:val="0"/>
                <w:sz w:val="20"/>
                <w:szCs w:val="20"/>
                <w:lang w:val="en-US"/>
              </w:rPr>
              <w:t>Raymund Iglesia</w:t>
            </w:r>
          </w:p>
        </w:tc>
        <w:tc>
          <w:tcPr>
            <w:tcW w:w="900" w:type="dxa"/>
            <w:noWrap/>
            <w:hideMark/>
          </w:tcPr>
          <w:p w14:paraId="7D54030F"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lang w:val="en-US"/>
              </w:rPr>
              <w:t>M</w:t>
            </w:r>
          </w:p>
        </w:tc>
        <w:tc>
          <w:tcPr>
            <w:tcW w:w="2587" w:type="dxa"/>
            <w:noWrap/>
            <w:hideMark/>
          </w:tcPr>
          <w:p w14:paraId="1B064712"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rPr>
              <w:t>Teacher I</w:t>
            </w:r>
          </w:p>
        </w:tc>
      </w:tr>
      <w:tr w:rsidR="00A4162A" w:rsidRPr="00C63262" w14:paraId="170B1242" w14:textId="77777777" w:rsidTr="00FF4CA3">
        <w:trPr>
          <w:trHeight w:val="300"/>
        </w:trPr>
        <w:tc>
          <w:tcPr>
            <w:tcW w:w="4068" w:type="dxa"/>
            <w:tcBorders>
              <w:top w:val="nil"/>
              <w:bottom w:val="nil"/>
            </w:tcBorders>
          </w:tcPr>
          <w:p w14:paraId="6906820B"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p>
        </w:tc>
        <w:tc>
          <w:tcPr>
            <w:tcW w:w="2970" w:type="dxa"/>
            <w:noWrap/>
            <w:hideMark/>
          </w:tcPr>
          <w:p w14:paraId="2E5B917E" w14:textId="77777777" w:rsidR="00A4162A" w:rsidRPr="00C63262" w:rsidRDefault="00A4162A" w:rsidP="000A60F6">
            <w:pPr>
              <w:widowControl w:val="0"/>
              <w:numPr>
                <w:ilvl w:val="0"/>
                <w:numId w:val="98"/>
              </w:numPr>
              <w:spacing w:before="100" w:beforeAutospacing="1" w:after="100" w:afterAutospacing="1" w:line="360" w:lineRule="auto"/>
              <w:rPr>
                <w:rFonts w:asciiTheme="majorHAnsi" w:eastAsiaTheme="minorHAnsi" w:hAnsiTheme="majorHAnsi" w:cstheme="majorHAnsi"/>
                <w:snapToGrid w:val="0"/>
                <w:sz w:val="20"/>
                <w:szCs w:val="20"/>
              </w:rPr>
            </w:pPr>
            <w:r w:rsidRPr="00C63262">
              <w:rPr>
                <w:rFonts w:asciiTheme="majorHAnsi" w:eastAsiaTheme="minorHAnsi" w:hAnsiTheme="majorHAnsi" w:cstheme="majorHAnsi"/>
                <w:snapToGrid w:val="0"/>
                <w:sz w:val="20"/>
                <w:szCs w:val="20"/>
                <w:lang w:val="en-US"/>
              </w:rPr>
              <w:t>Hannah Mae A. Modriago</w:t>
            </w:r>
          </w:p>
        </w:tc>
        <w:tc>
          <w:tcPr>
            <w:tcW w:w="900" w:type="dxa"/>
            <w:noWrap/>
            <w:hideMark/>
          </w:tcPr>
          <w:p w14:paraId="09E94C71"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lang w:val="en-US"/>
              </w:rPr>
              <w:t>F</w:t>
            </w:r>
          </w:p>
        </w:tc>
        <w:tc>
          <w:tcPr>
            <w:tcW w:w="2587" w:type="dxa"/>
            <w:noWrap/>
            <w:hideMark/>
          </w:tcPr>
          <w:p w14:paraId="56265155"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rPr>
              <w:t>Teacher I</w:t>
            </w:r>
          </w:p>
        </w:tc>
      </w:tr>
      <w:tr w:rsidR="00A4162A" w:rsidRPr="00C63262" w14:paraId="0FCA571D" w14:textId="77777777" w:rsidTr="00FF4CA3">
        <w:trPr>
          <w:trHeight w:val="300"/>
        </w:trPr>
        <w:tc>
          <w:tcPr>
            <w:tcW w:w="4068" w:type="dxa"/>
            <w:tcBorders>
              <w:top w:val="nil"/>
              <w:bottom w:val="single" w:sz="4" w:space="0" w:color="auto"/>
            </w:tcBorders>
          </w:tcPr>
          <w:p w14:paraId="5C293F07"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p>
        </w:tc>
        <w:tc>
          <w:tcPr>
            <w:tcW w:w="2970" w:type="dxa"/>
            <w:noWrap/>
            <w:hideMark/>
          </w:tcPr>
          <w:p w14:paraId="14C8D589" w14:textId="77777777" w:rsidR="00A4162A" w:rsidRPr="00C63262" w:rsidRDefault="00A4162A" w:rsidP="000A60F6">
            <w:pPr>
              <w:widowControl w:val="0"/>
              <w:numPr>
                <w:ilvl w:val="0"/>
                <w:numId w:val="98"/>
              </w:numPr>
              <w:spacing w:before="100" w:beforeAutospacing="1" w:after="100" w:afterAutospacing="1" w:line="360" w:lineRule="auto"/>
              <w:rPr>
                <w:rFonts w:asciiTheme="majorHAnsi" w:eastAsiaTheme="minorHAnsi" w:hAnsiTheme="majorHAnsi" w:cstheme="majorHAnsi"/>
                <w:snapToGrid w:val="0"/>
                <w:sz w:val="20"/>
                <w:szCs w:val="20"/>
              </w:rPr>
            </w:pPr>
            <w:r w:rsidRPr="00C63262">
              <w:rPr>
                <w:rFonts w:asciiTheme="majorHAnsi" w:eastAsiaTheme="minorHAnsi" w:hAnsiTheme="majorHAnsi" w:cstheme="majorHAnsi"/>
                <w:snapToGrid w:val="0"/>
                <w:sz w:val="20"/>
                <w:szCs w:val="20"/>
                <w:lang w:val="en-US"/>
              </w:rPr>
              <w:t>Lorien J. Magallanes</w:t>
            </w:r>
          </w:p>
        </w:tc>
        <w:tc>
          <w:tcPr>
            <w:tcW w:w="900" w:type="dxa"/>
            <w:noWrap/>
            <w:hideMark/>
          </w:tcPr>
          <w:p w14:paraId="77B495A6"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lang w:val="en-US"/>
              </w:rPr>
              <w:t>M</w:t>
            </w:r>
          </w:p>
        </w:tc>
        <w:tc>
          <w:tcPr>
            <w:tcW w:w="2587" w:type="dxa"/>
            <w:noWrap/>
            <w:hideMark/>
          </w:tcPr>
          <w:p w14:paraId="65DDF9F0"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rPr>
              <w:t>Teacher I</w:t>
            </w:r>
          </w:p>
        </w:tc>
      </w:tr>
      <w:tr w:rsidR="00A4162A" w:rsidRPr="00C63262" w14:paraId="2397B226" w14:textId="77777777" w:rsidTr="00FF4CA3">
        <w:trPr>
          <w:trHeight w:val="300"/>
        </w:trPr>
        <w:tc>
          <w:tcPr>
            <w:tcW w:w="4068" w:type="dxa"/>
            <w:tcBorders>
              <w:bottom w:val="nil"/>
            </w:tcBorders>
          </w:tcPr>
          <w:p w14:paraId="5CDE410A"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lang w:val="en-US"/>
              </w:rPr>
            </w:pPr>
          </w:p>
        </w:tc>
        <w:tc>
          <w:tcPr>
            <w:tcW w:w="2970" w:type="dxa"/>
            <w:noWrap/>
            <w:hideMark/>
          </w:tcPr>
          <w:p w14:paraId="27927FF8" w14:textId="77777777" w:rsidR="00A4162A" w:rsidRPr="00C63262" w:rsidRDefault="00A4162A" w:rsidP="000A60F6">
            <w:pPr>
              <w:widowControl w:val="0"/>
              <w:numPr>
                <w:ilvl w:val="0"/>
                <w:numId w:val="98"/>
              </w:numPr>
              <w:spacing w:before="100" w:beforeAutospacing="1" w:after="100" w:afterAutospacing="1" w:line="360" w:lineRule="auto"/>
              <w:rPr>
                <w:rFonts w:asciiTheme="majorHAnsi" w:eastAsiaTheme="minorHAnsi" w:hAnsiTheme="majorHAnsi" w:cstheme="majorHAnsi"/>
                <w:snapToGrid w:val="0"/>
                <w:sz w:val="20"/>
                <w:szCs w:val="20"/>
              </w:rPr>
            </w:pPr>
            <w:r w:rsidRPr="00C63262">
              <w:rPr>
                <w:rFonts w:asciiTheme="majorHAnsi" w:eastAsiaTheme="minorHAnsi" w:hAnsiTheme="majorHAnsi" w:cstheme="majorHAnsi"/>
                <w:snapToGrid w:val="0"/>
                <w:sz w:val="20"/>
                <w:szCs w:val="20"/>
                <w:lang w:val="en-US"/>
              </w:rPr>
              <w:t>Marichelle F. Saga</w:t>
            </w:r>
          </w:p>
        </w:tc>
        <w:tc>
          <w:tcPr>
            <w:tcW w:w="900" w:type="dxa"/>
            <w:noWrap/>
            <w:hideMark/>
          </w:tcPr>
          <w:p w14:paraId="3A441B8B"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lang w:val="en-US"/>
              </w:rPr>
              <w:t>F</w:t>
            </w:r>
          </w:p>
        </w:tc>
        <w:tc>
          <w:tcPr>
            <w:tcW w:w="2587" w:type="dxa"/>
            <w:noWrap/>
            <w:hideMark/>
          </w:tcPr>
          <w:p w14:paraId="61E18427"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rPr>
              <w:t>Principal I</w:t>
            </w:r>
          </w:p>
        </w:tc>
      </w:tr>
      <w:tr w:rsidR="00A4162A" w:rsidRPr="00C63262" w14:paraId="733C4B3E" w14:textId="77777777" w:rsidTr="00FF4CA3">
        <w:trPr>
          <w:trHeight w:val="300"/>
        </w:trPr>
        <w:tc>
          <w:tcPr>
            <w:tcW w:w="4068" w:type="dxa"/>
            <w:tcBorders>
              <w:top w:val="nil"/>
              <w:bottom w:val="nil"/>
            </w:tcBorders>
          </w:tcPr>
          <w:p w14:paraId="257FE83E"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p>
        </w:tc>
        <w:tc>
          <w:tcPr>
            <w:tcW w:w="2970" w:type="dxa"/>
            <w:noWrap/>
            <w:hideMark/>
          </w:tcPr>
          <w:p w14:paraId="03C5CA7E" w14:textId="77777777" w:rsidR="00A4162A" w:rsidRPr="00C63262" w:rsidRDefault="00A4162A" w:rsidP="000A60F6">
            <w:pPr>
              <w:widowControl w:val="0"/>
              <w:numPr>
                <w:ilvl w:val="0"/>
                <w:numId w:val="98"/>
              </w:numPr>
              <w:spacing w:before="100" w:beforeAutospacing="1" w:after="100" w:afterAutospacing="1" w:line="360" w:lineRule="auto"/>
              <w:rPr>
                <w:rFonts w:asciiTheme="majorHAnsi" w:eastAsiaTheme="minorHAnsi" w:hAnsiTheme="majorHAnsi" w:cstheme="majorHAnsi"/>
                <w:snapToGrid w:val="0"/>
                <w:sz w:val="20"/>
                <w:szCs w:val="20"/>
              </w:rPr>
            </w:pPr>
            <w:r w:rsidRPr="00C63262">
              <w:rPr>
                <w:rFonts w:asciiTheme="majorHAnsi" w:eastAsiaTheme="minorHAnsi" w:hAnsiTheme="majorHAnsi" w:cstheme="majorHAnsi"/>
                <w:snapToGrid w:val="0"/>
                <w:sz w:val="20"/>
                <w:szCs w:val="20"/>
                <w:lang w:val="en-US"/>
              </w:rPr>
              <w:t>Daisy D. Lu</w:t>
            </w:r>
          </w:p>
        </w:tc>
        <w:tc>
          <w:tcPr>
            <w:tcW w:w="900" w:type="dxa"/>
            <w:noWrap/>
            <w:hideMark/>
          </w:tcPr>
          <w:p w14:paraId="55F5EE42"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lang w:val="en-US"/>
              </w:rPr>
              <w:t>F</w:t>
            </w:r>
          </w:p>
        </w:tc>
        <w:tc>
          <w:tcPr>
            <w:tcW w:w="2587" w:type="dxa"/>
            <w:noWrap/>
            <w:hideMark/>
          </w:tcPr>
          <w:p w14:paraId="56C23371"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rPr>
              <w:t xml:space="preserve">Master Teacher I </w:t>
            </w:r>
          </w:p>
        </w:tc>
      </w:tr>
      <w:tr w:rsidR="00A4162A" w:rsidRPr="00C63262" w14:paraId="535F9BE1" w14:textId="77777777" w:rsidTr="00FF4CA3">
        <w:trPr>
          <w:trHeight w:val="300"/>
        </w:trPr>
        <w:tc>
          <w:tcPr>
            <w:tcW w:w="4068" w:type="dxa"/>
            <w:tcBorders>
              <w:top w:val="nil"/>
              <w:bottom w:val="single" w:sz="4" w:space="0" w:color="auto"/>
            </w:tcBorders>
          </w:tcPr>
          <w:p w14:paraId="76F848A4"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p>
        </w:tc>
        <w:tc>
          <w:tcPr>
            <w:tcW w:w="2970" w:type="dxa"/>
            <w:noWrap/>
            <w:hideMark/>
          </w:tcPr>
          <w:p w14:paraId="71357E8E" w14:textId="77777777" w:rsidR="00A4162A" w:rsidRPr="00C63262" w:rsidRDefault="00A4162A" w:rsidP="000A60F6">
            <w:pPr>
              <w:widowControl w:val="0"/>
              <w:numPr>
                <w:ilvl w:val="0"/>
                <w:numId w:val="98"/>
              </w:numPr>
              <w:spacing w:before="100" w:beforeAutospacing="1" w:after="100" w:afterAutospacing="1" w:line="360" w:lineRule="auto"/>
              <w:rPr>
                <w:rFonts w:asciiTheme="majorHAnsi" w:eastAsiaTheme="minorHAnsi" w:hAnsiTheme="majorHAnsi" w:cstheme="majorHAnsi"/>
                <w:snapToGrid w:val="0"/>
                <w:sz w:val="20"/>
                <w:szCs w:val="20"/>
              </w:rPr>
            </w:pPr>
            <w:r w:rsidRPr="00C63262">
              <w:rPr>
                <w:rFonts w:asciiTheme="majorHAnsi" w:eastAsiaTheme="minorHAnsi" w:hAnsiTheme="majorHAnsi" w:cstheme="majorHAnsi"/>
                <w:snapToGrid w:val="0"/>
                <w:sz w:val="20"/>
                <w:szCs w:val="20"/>
                <w:lang w:val="en-US"/>
              </w:rPr>
              <w:t>Ma. Nenia C. Jaraula</w:t>
            </w:r>
          </w:p>
        </w:tc>
        <w:tc>
          <w:tcPr>
            <w:tcW w:w="900" w:type="dxa"/>
            <w:noWrap/>
            <w:hideMark/>
          </w:tcPr>
          <w:p w14:paraId="2C44FAD5"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lang w:val="en-US"/>
              </w:rPr>
              <w:t>F</w:t>
            </w:r>
          </w:p>
        </w:tc>
        <w:tc>
          <w:tcPr>
            <w:tcW w:w="2587" w:type="dxa"/>
            <w:noWrap/>
            <w:hideMark/>
          </w:tcPr>
          <w:p w14:paraId="6D5790EC"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rPr>
              <w:t>Teacher III</w:t>
            </w:r>
          </w:p>
        </w:tc>
      </w:tr>
      <w:tr w:rsidR="00A4162A" w:rsidRPr="00C63262" w14:paraId="5D71A545" w14:textId="77777777" w:rsidTr="00FF4CA3">
        <w:trPr>
          <w:trHeight w:val="300"/>
        </w:trPr>
        <w:tc>
          <w:tcPr>
            <w:tcW w:w="4068" w:type="dxa"/>
            <w:tcBorders>
              <w:bottom w:val="nil"/>
            </w:tcBorders>
          </w:tcPr>
          <w:p w14:paraId="79CC0B9A"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lang w:val="en-US"/>
              </w:rPr>
            </w:pPr>
          </w:p>
        </w:tc>
        <w:tc>
          <w:tcPr>
            <w:tcW w:w="2970" w:type="dxa"/>
            <w:noWrap/>
            <w:hideMark/>
          </w:tcPr>
          <w:p w14:paraId="15747435" w14:textId="77777777" w:rsidR="00A4162A" w:rsidRPr="00C63262" w:rsidRDefault="00A4162A" w:rsidP="000A60F6">
            <w:pPr>
              <w:widowControl w:val="0"/>
              <w:numPr>
                <w:ilvl w:val="0"/>
                <w:numId w:val="98"/>
              </w:numPr>
              <w:spacing w:before="100" w:beforeAutospacing="1" w:after="100" w:afterAutospacing="1" w:line="360" w:lineRule="auto"/>
              <w:rPr>
                <w:rFonts w:asciiTheme="majorHAnsi" w:eastAsiaTheme="minorHAnsi" w:hAnsiTheme="majorHAnsi" w:cstheme="majorHAnsi"/>
                <w:snapToGrid w:val="0"/>
                <w:sz w:val="20"/>
                <w:szCs w:val="20"/>
              </w:rPr>
            </w:pPr>
            <w:r w:rsidRPr="00C63262">
              <w:rPr>
                <w:rFonts w:asciiTheme="majorHAnsi" w:eastAsiaTheme="minorHAnsi" w:hAnsiTheme="majorHAnsi" w:cstheme="majorHAnsi"/>
                <w:snapToGrid w:val="0"/>
                <w:sz w:val="20"/>
                <w:szCs w:val="20"/>
                <w:lang w:val="en-US"/>
              </w:rPr>
              <w:t>Joel P. Lariba</w:t>
            </w:r>
          </w:p>
        </w:tc>
        <w:tc>
          <w:tcPr>
            <w:tcW w:w="900" w:type="dxa"/>
            <w:noWrap/>
            <w:hideMark/>
          </w:tcPr>
          <w:p w14:paraId="2F9AC01D"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lang w:val="en-US"/>
              </w:rPr>
              <w:t>M</w:t>
            </w:r>
          </w:p>
        </w:tc>
        <w:tc>
          <w:tcPr>
            <w:tcW w:w="2587" w:type="dxa"/>
            <w:noWrap/>
            <w:hideMark/>
          </w:tcPr>
          <w:p w14:paraId="5EC8EE7A"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rPr>
              <w:t>Principal I</w:t>
            </w:r>
          </w:p>
        </w:tc>
      </w:tr>
      <w:tr w:rsidR="00A4162A" w:rsidRPr="00C63262" w14:paraId="740E4F05" w14:textId="77777777" w:rsidTr="00920523">
        <w:trPr>
          <w:trHeight w:val="300"/>
        </w:trPr>
        <w:tc>
          <w:tcPr>
            <w:tcW w:w="4068" w:type="dxa"/>
            <w:tcBorders>
              <w:top w:val="nil"/>
              <w:bottom w:val="nil"/>
            </w:tcBorders>
          </w:tcPr>
          <w:p w14:paraId="2396E5A2"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p>
        </w:tc>
        <w:tc>
          <w:tcPr>
            <w:tcW w:w="2970" w:type="dxa"/>
            <w:noWrap/>
            <w:hideMark/>
          </w:tcPr>
          <w:p w14:paraId="7F3B0FE2" w14:textId="77777777" w:rsidR="00A4162A" w:rsidRPr="00C63262" w:rsidRDefault="00A4162A" w:rsidP="000A60F6">
            <w:pPr>
              <w:widowControl w:val="0"/>
              <w:numPr>
                <w:ilvl w:val="0"/>
                <w:numId w:val="98"/>
              </w:numPr>
              <w:spacing w:before="100" w:beforeAutospacing="1" w:after="100" w:afterAutospacing="1" w:line="360" w:lineRule="auto"/>
              <w:rPr>
                <w:rFonts w:asciiTheme="majorHAnsi" w:eastAsiaTheme="minorHAnsi" w:hAnsiTheme="majorHAnsi" w:cstheme="majorHAnsi"/>
                <w:snapToGrid w:val="0"/>
                <w:sz w:val="20"/>
                <w:szCs w:val="20"/>
              </w:rPr>
            </w:pPr>
            <w:r w:rsidRPr="00C63262">
              <w:rPr>
                <w:rFonts w:asciiTheme="majorHAnsi" w:eastAsiaTheme="minorHAnsi" w:hAnsiTheme="majorHAnsi" w:cstheme="majorHAnsi"/>
                <w:snapToGrid w:val="0"/>
                <w:sz w:val="20"/>
                <w:szCs w:val="20"/>
                <w:lang w:val="en-US"/>
              </w:rPr>
              <w:t>MALOU Y. VILLA</w:t>
            </w:r>
          </w:p>
        </w:tc>
        <w:tc>
          <w:tcPr>
            <w:tcW w:w="900" w:type="dxa"/>
            <w:noWrap/>
            <w:hideMark/>
          </w:tcPr>
          <w:p w14:paraId="17DD40BF"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lang w:val="en-US"/>
              </w:rPr>
              <w:t>F</w:t>
            </w:r>
          </w:p>
        </w:tc>
        <w:tc>
          <w:tcPr>
            <w:tcW w:w="2587" w:type="dxa"/>
            <w:noWrap/>
            <w:hideMark/>
          </w:tcPr>
          <w:p w14:paraId="1E09ABBE"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rPr>
              <w:t>Teacher I</w:t>
            </w:r>
          </w:p>
        </w:tc>
      </w:tr>
      <w:tr w:rsidR="00A4162A" w:rsidRPr="00C63262" w14:paraId="77808685" w14:textId="77777777" w:rsidTr="00920523">
        <w:trPr>
          <w:trHeight w:val="300"/>
        </w:trPr>
        <w:tc>
          <w:tcPr>
            <w:tcW w:w="4068" w:type="dxa"/>
            <w:tcBorders>
              <w:top w:val="nil"/>
              <w:bottom w:val="single" w:sz="4" w:space="0" w:color="auto"/>
            </w:tcBorders>
          </w:tcPr>
          <w:p w14:paraId="76B0D42A"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p>
        </w:tc>
        <w:tc>
          <w:tcPr>
            <w:tcW w:w="2970" w:type="dxa"/>
            <w:noWrap/>
            <w:hideMark/>
          </w:tcPr>
          <w:p w14:paraId="1AF64E81" w14:textId="77777777" w:rsidR="00A4162A" w:rsidRPr="00C63262" w:rsidRDefault="00A4162A" w:rsidP="000A60F6">
            <w:pPr>
              <w:widowControl w:val="0"/>
              <w:numPr>
                <w:ilvl w:val="0"/>
                <w:numId w:val="98"/>
              </w:numPr>
              <w:spacing w:before="100" w:beforeAutospacing="1" w:after="100" w:afterAutospacing="1" w:line="360" w:lineRule="auto"/>
              <w:rPr>
                <w:rFonts w:asciiTheme="majorHAnsi" w:eastAsiaTheme="minorHAnsi" w:hAnsiTheme="majorHAnsi" w:cstheme="majorHAnsi"/>
                <w:snapToGrid w:val="0"/>
                <w:sz w:val="20"/>
                <w:szCs w:val="20"/>
              </w:rPr>
            </w:pPr>
            <w:r w:rsidRPr="00C63262">
              <w:rPr>
                <w:rFonts w:asciiTheme="majorHAnsi" w:eastAsiaTheme="minorHAnsi" w:hAnsiTheme="majorHAnsi" w:cstheme="majorHAnsi"/>
                <w:snapToGrid w:val="0"/>
                <w:sz w:val="20"/>
                <w:szCs w:val="20"/>
                <w:lang w:val="en-US"/>
              </w:rPr>
              <w:t>Allin L. Cabasan</w:t>
            </w:r>
          </w:p>
        </w:tc>
        <w:tc>
          <w:tcPr>
            <w:tcW w:w="900" w:type="dxa"/>
            <w:noWrap/>
            <w:hideMark/>
          </w:tcPr>
          <w:p w14:paraId="762E666E"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lang w:val="en-US"/>
              </w:rPr>
              <w:t>F</w:t>
            </w:r>
          </w:p>
        </w:tc>
        <w:tc>
          <w:tcPr>
            <w:tcW w:w="2587" w:type="dxa"/>
            <w:noWrap/>
            <w:hideMark/>
          </w:tcPr>
          <w:p w14:paraId="6D1C734F"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rPr>
              <w:t>Teacher I</w:t>
            </w:r>
          </w:p>
        </w:tc>
      </w:tr>
      <w:tr w:rsidR="00A4162A" w:rsidRPr="00C63262" w14:paraId="426E0DE4" w14:textId="77777777" w:rsidTr="00920523">
        <w:trPr>
          <w:trHeight w:val="300"/>
        </w:trPr>
        <w:tc>
          <w:tcPr>
            <w:tcW w:w="4068" w:type="dxa"/>
            <w:tcBorders>
              <w:top w:val="single" w:sz="4" w:space="0" w:color="auto"/>
              <w:bottom w:val="single" w:sz="4" w:space="0" w:color="auto"/>
            </w:tcBorders>
          </w:tcPr>
          <w:p w14:paraId="1F894ABE"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p>
        </w:tc>
        <w:tc>
          <w:tcPr>
            <w:tcW w:w="2970" w:type="dxa"/>
            <w:noWrap/>
            <w:hideMark/>
          </w:tcPr>
          <w:p w14:paraId="09B9539D" w14:textId="77777777" w:rsidR="00A4162A" w:rsidRPr="00C63262" w:rsidRDefault="00A4162A" w:rsidP="000A60F6">
            <w:pPr>
              <w:widowControl w:val="0"/>
              <w:numPr>
                <w:ilvl w:val="0"/>
                <w:numId w:val="98"/>
              </w:numPr>
              <w:spacing w:before="100" w:beforeAutospacing="1" w:after="100" w:afterAutospacing="1" w:line="360" w:lineRule="auto"/>
              <w:rPr>
                <w:rFonts w:asciiTheme="majorHAnsi" w:eastAsiaTheme="minorHAnsi" w:hAnsiTheme="majorHAnsi" w:cstheme="majorHAnsi"/>
                <w:snapToGrid w:val="0"/>
                <w:sz w:val="20"/>
                <w:szCs w:val="20"/>
              </w:rPr>
            </w:pPr>
            <w:r w:rsidRPr="00C63262">
              <w:rPr>
                <w:rFonts w:asciiTheme="majorHAnsi" w:eastAsiaTheme="minorHAnsi" w:hAnsiTheme="majorHAnsi" w:cstheme="majorHAnsi"/>
                <w:snapToGrid w:val="0"/>
                <w:sz w:val="20"/>
                <w:szCs w:val="20"/>
                <w:lang w:val="en-US"/>
              </w:rPr>
              <w:t>Lilani L. Alcala</w:t>
            </w:r>
          </w:p>
        </w:tc>
        <w:tc>
          <w:tcPr>
            <w:tcW w:w="900" w:type="dxa"/>
            <w:noWrap/>
            <w:hideMark/>
          </w:tcPr>
          <w:p w14:paraId="25C96842"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lang w:val="en-US"/>
              </w:rPr>
              <w:t>F</w:t>
            </w:r>
          </w:p>
        </w:tc>
        <w:tc>
          <w:tcPr>
            <w:tcW w:w="2587" w:type="dxa"/>
            <w:noWrap/>
            <w:hideMark/>
          </w:tcPr>
          <w:p w14:paraId="3AB1649F"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rPr>
              <w:t>Teacher I</w:t>
            </w:r>
          </w:p>
        </w:tc>
      </w:tr>
      <w:tr w:rsidR="00A4162A" w:rsidRPr="00C63262" w14:paraId="702B699D" w14:textId="77777777" w:rsidTr="00FF4CA3">
        <w:trPr>
          <w:trHeight w:val="300"/>
        </w:trPr>
        <w:tc>
          <w:tcPr>
            <w:tcW w:w="4068" w:type="dxa"/>
            <w:tcBorders>
              <w:bottom w:val="nil"/>
            </w:tcBorders>
          </w:tcPr>
          <w:p w14:paraId="5E2B2A09"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lang w:val="en-US"/>
              </w:rPr>
            </w:pPr>
          </w:p>
        </w:tc>
        <w:tc>
          <w:tcPr>
            <w:tcW w:w="2970" w:type="dxa"/>
            <w:noWrap/>
            <w:hideMark/>
          </w:tcPr>
          <w:p w14:paraId="3A64F4DD" w14:textId="77777777" w:rsidR="00A4162A" w:rsidRPr="00C63262" w:rsidRDefault="00A4162A" w:rsidP="000A60F6">
            <w:pPr>
              <w:widowControl w:val="0"/>
              <w:numPr>
                <w:ilvl w:val="0"/>
                <w:numId w:val="98"/>
              </w:numPr>
              <w:spacing w:before="100" w:beforeAutospacing="1" w:after="100" w:afterAutospacing="1" w:line="360" w:lineRule="auto"/>
              <w:rPr>
                <w:rFonts w:asciiTheme="majorHAnsi" w:eastAsiaTheme="minorHAnsi" w:hAnsiTheme="majorHAnsi" w:cstheme="majorHAnsi"/>
                <w:snapToGrid w:val="0"/>
                <w:sz w:val="20"/>
                <w:szCs w:val="20"/>
              </w:rPr>
            </w:pPr>
            <w:r w:rsidRPr="00C63262">
              <w:rPr>
                <w:rFonts w:asciiTheme="majorHAnsi" w:eastAsiaTheme="minorHAnsi" w:hAnsiTheme="majorHAnsi" w:cstheme="majorHAnsi"/>
                <w:snapToGrid w:val="0"/>
                <w:sz w:val="20"/>
                <w:szCs w:val="20"/>
                <w:lang w:val="en-US"/>
              </w:rPr>
              <w:t>Noel Macabodbod</w:t>
            </w:r>
          </w:p>
        </w:tc>
        <w:tc>
          <w:tcPr>
            <w:tcW w:w="900" w:type="dxa"/>
            <w:noWrap/>
            <w:hideMark/>
          </w:tcPr>
          <w:p w14:paraId="4E128BF0"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lang w:val="en-US"/>
              </w:rPr>
              <w:t>M</w:t>
            </w:r>
          </w:p>
        </w:tc>
        <w:tc>
          <w:tcPr>
            <w:tcW w:w="2587" w:type="dxa"/>
            <w:noWrap/>
            <w:hideMark/>
          </w:tcPr>
          <w:p w14:paraId="388F653B"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rPr>
              <w:t>Principal I</w:t>
            </w:r>
          </w:p>
        </w:tc>
      </w:tr>
      <w:tr w:rsidR="00A4162A" w:rsidRPr="00C63262" w14:paraId="543AF017" w14:textId="77777777" w:rsidTr="00FF4CA3">
        <w:trPr>
          <w:trHeight w:val="300"/>
        </w:trPr>
        <w:tc>
          <w:tcPr>
            <w:tcW w:w="4068" w:type="dxa"/>
            <w:tcBorders>
              <w:top w:val="nil"/>
              <w:bottom w:val="nil"/>
            </w:tcBorders>
          </w:tcPr>
          <w:p w14:paraId="25C438A2"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p>
        </w:tc>
        <w:tc>
          <w:tcPr>
            <w:tcW w:w="2970" w:type="dxa"/>
            <w:noWrap/>
            <w:hideMark/>
          </w:tcPr>
          <w:p w14:paraId="76B58AD6" w14:textId="77777777" w:rsidR="00A4162A" w:rsidRPr="00C63262" w:rsidRDefault="00A4162A" w:rsidP="000A60F6">
            <w:pPr>
              <w:widowControl w:val="0"/>
              <w:numPr>
                <w:ilvl w:val="0"/>
                <w:numId w:val="98"/>
              </w:numPr>
              <w:spacing w:before="100" w:beforeAutospacing="1" w:after="100" w:afterAutospacing="1" w:line="360" w:lineRule="auto"/>
              <w:rPr>
                <w:rFonts w:asciiTheme="majorHAnsi" w:eastAsiaTheme="minorHAnsi" w:hAnsiTheme="majorHAnsi" w:cstheme="majorHAnsi"/>
                <w:snapToGrid w:val="0"/>
                <w:sz w:val="20"/>
                <w:szCs w:val="20"/>
              </w:rPr>
            </w:pPr>
            <w:r w:rsidRPr="00C63262">
              <w:rPr>
                <w:rFonts w:asciiTheme="majorHAnsi" w:eastAsiaTheme="minorHAnsi" w:hAnsiTheme="majorHAnsi" w:cstheme="majorHAnsi"/>
                <w:snapToGrid w:val="0"/>
                <w:sz w:val="20"/>
                <w:szCs w:val="20"/>
                <w:lang w:val="en-US"/>
              </w:rPr>
              <w:t>Maria Sheila S. Dingson</w:t>
            </w:r>
          </w:p>
        </w:tc>
        <w:tc>
          <w:tcPr>
            <w:tcW w:w="900" w:type="dxa"/>
            <w:noWrap/>
            <w:hideMark/>
          </w:tcPr>
          <w:p w14:paraId="2D9C2602"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lang w:val="en-US"/>
              </w:rPr>
              <w:t>F</w:t>
            </w:r>
          </w:p>
        </w:tc>
        <w:tc>
          <w:tcPr>
            <w:tcW w:w="2587" w:type="dxa"/>
            <w:noWrap/>
            <w:hideMark/>
          </w:tcPr>
          <w:p w14:paraId="5A6AF4B7"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rPr>
              <w:t>Teacher I</w:t>
            </w:r>
          </w:p>
        </w:tc>
      </w:tr>
      <w:tr w:rsidR="00A4162A" w:rsidRPr="00C63262" w14:paraId="646CB64B" w14:textId="77777777" w:rsidTr="00FF4CA3">
        <w:trPr>
          <w:trHeight w:val="300"/>
        </w:trPr>
        <w:tc>
          <w:tcPr>
            <w:tcW w:w="4068" w:type="dxa"/>
            <w:tcBorders>
              <w:top w:val="nil"/>
              <w:bottom w:val="single" w:sz="4" w:space="0" w:color="auto"/>
            </w:tcBorders>
          </w:tcPr>
          <w:p w14:paraId="0C2F821F"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p>
        </w:tc>
        <w:tc>
          <w:tcPr>
            <w:tcW w:w="2970" w:type="dxa"/>
            <w:noWrap/>
            <w:hideMark/>
          </w:tcPr>
          <w:p w14:paraId="79EDFEF6" w14:textId="77777777" w:rsidR="00A4162A" w:rsidRPr="00C63262" w:rsidRDefault="00A4162A" w:rsidP="000A60F6">
            <w:pPr>
              <w:widowControl w:val="0"/>
              <w:numPr>
                <w:ilvl w:val="0"/>
                <w:numId w:val="98"/>
              </w:numPr>
              <w:spacing w:before="100" w:beforeAutospacing="1" w:after="100" w:afterAutospacing="1" w:line="360" w:lineRule="auto"/>
              <w:rPr>
                <w:rFonts w:asciiTheme="majorHAnsi" w:eastAsiaTheme="minorHAnsi" w:hAnsiTheme="majorHAnsi" w:cstheme="majorHAnsi"/>
                <w:snapToGrid w:val="0"/>
                <w:sz w:val="20"/>
                <w:szCs w:val="20"/>
              </w:rPr>
            </w:pPr>
            <w:r w:rsidRPr="00C63262">
              <w:rPr>
                <w:rFonts w:asciiTheme="majorHAnsi" w:eastAsiaTheme="minorHAnsi" w:hAnsiTheme="majorHAnsi" w:cstheme="majorHAnsi"/>
                <w:snapToGrid w:val="0"/>
                <w:sz w:val="20"/>
                <w:szCs w:val="20"/>
                <w:lang w:val="en-US"/>
              </w:rPr>
              <w:t>Mark John A. Valencia</w:t>
            </w:r>
          </w:p>
        </w:tc>
        <w:tc>
          <w:tcPr>
            <w:tcW w:w="900" w:type="dxa"/>
            <w:noWrap/>
            <w:hideMark/>
          </w:tcPr>
          <w:p w14:paraId="3A5B20CC"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lang w:val="en-US"/>
              </w:rPr>
              <w:t>M</w:t>
            </w:r>
          </w:p>
        </w:tc>
        <w:tc>
          <w:tcPr>
            <w:tcW w:w="2587" w:type="dxa"/>
            <w:noWrap/>
            <w:hideMark/>
          </w:tcPr>
          <w:p w14:paraId="55060EA5"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rPr>
              <w:t>Teacher I</w:t>
            </w:r>
          </w:p>
        </w:tc>
      </w:tr>
      <w:tr w:rsidR="00A4162A" w:rsidRPr="00C63262" w14:paraId="1219E077" w14:textId="77777777" w:rsidTr="00FF4CA3">
        <w:trPr>
          <w:trHeight w:val="300"/>
        </w:trPr>
        <w:tc>
          <w:tcPr>
            <w:tcW w:w="4068" w:type="dxa"/>
            <w:tcBorders>
              <w:bottom w:val="nil"/>
            </w:tcBorders>
          </w:tcPr>
          <w:p w14:paraId="7E17ADD3"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lang w:val="en-US"/>
              </w:rPr>
            </w:pPr>
          </w:p>
        </w:tc>
        <w:tc>
          <w:tcPr>
            <w:tcW w:w="2970" w:type="dxa"/>
            <w:noWrap/>
            <w:hideMark/>
          </w:tcPr>
          <w:p w14:paraId="27911E5F" w14:textId="77777777" w:rsidR="00A4162A" w:rsidRPr="00C63262" w:rsidRDefault="00A4162A" w:rsidP="000A60F6">
            <w:pPr>
              <w:widowControl w:val="0"/>
              <w:numPr>
                <w:ilvl w:val="0"/>
                <w:numId w:val="98"/>
              </w:numPr>
              <w:spacing w:before="100" w:beforeAutospacing="1" w:after="100" w:afterAutospacing="1" w:line="360" w:lineRule="auto"/>
              <w:rPr>
                <w:rFonts w:asciiTheme="majorHAnsi" w:eastAsiaTheme="minorHAnsi" w:hAnsiTheme="majorHAnsi" w:cstheme="majorHAnsi"/>
                <w:snapToGrid w:val="0"/>
                <w:sz w:val="20"/>
                <w:szCs w:val="20"/>
              </w:rPr>
            </w:pPr>
            <w:r w:rsidRPr="00C63262">
              <w:rPr>
                <w:rFonts w:asciiTheme="majorHAnsi" w:eastAsiaTheme="minorHAnsi" w:hAnsiTheme="majorHAnsi" w:cstheme="majorHAnsi"/>
                <w:snapToGrid w:val="0"/>
                <w:sz w:val="20"/>
                <w:szCs w:val="20"/>
                <w:lang w:val="en-US"/>
              </w:rPr>
              <w:t>Letecia L. Oga</w:t>
            </w:r>
          </w:p>
        </w:tc>
        <w:tc>
          <w:tcPr>
            <w:tcW w:w="900" w:type="dxa"/>
            <w:noWrap/>
            <w:hideMark/>
          </w:tcPr>
          <w:p w14:paraId="0546E1AE"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lang w:val="en-US"/>
              </w:rPr>
              <w:t>F</w:t>
            </w:r>
          </w:p>
        </w:tc>
        <w:tc>
          <w:tcPr>
            <w:tcW w:w="2587" w:type="dxa"/>
            <w:noWrap/>
            <w:hideMark/>
          </w:tcPr>
          <w:p w14:paraId="0B4C8869"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rPr>
              <w:t>Principal 1</w:t>
            </w:r>
          </w:p>
        </w:tc>
      </w:tr>
      <w:tr w:rsidR="00A4162A" w:rsidRPr="00C63262" w14:paraId="4142ACC8" w14:textId="77777777" w:rsidTr="00FF4CA3">
        <w:trPr>
          <w:trHeight w:val="300"/>
        </w:trPr>
        <w:tc>
          <w:tcPr>
            <w:tcW w:w="4068" w:type="dxa"/>
            <w:tcBorders>
              <w:top w:val="nil"/>
              <w:bottom w:val="nil"/>
            </w:tcBorders>
          </w:tcPr>
          <w:p w14:paraId="4A37FB0E"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p>
        </w:tc>
        <w:tc>
          <w:tcPr>
            <w:tcW w:w="2970" w:type="dxa"/>
            <w:noWrap/>
            <w:hideMark/>
          </w:tcPr>
          <w:p w14:paraId="125CA1A3" w14:textId="77777777" w:rsidR="00A4162A" w:rsidRPr="00C63262" w:rsidRDefault="00A4162A" w:rsidP="000A60F6">
            <w:pPr>
              <w:widowControl w:val="0"/>
              <w:numPr>
                <w:ilvl w:val="0"/>
                <w:numId w:val="98"/>
              </w:numPr>
              <w:spacing w:before="100" w:beforeAutospacing="1" w:after="100" w:afterAutospacing="1" w:line="360" w:lineRule="auto"/>
              <w:rPr>
                <w:rFonts w:asciiTheme="majorHAnsi" w:eastAsiaTheme="minorHAnsi" w:hAnsiTheme="majorHAnsi" w:cstheme="majorHAnsi"/>
                <w:snapToGrid w:val="0"/>
                <w:sz w:val="20"/>
                <w:szCs w:val="20"/>
              </w:rPr>
            </w:pPr>
            <w:r w:rsidRPr="00C63262">
              <w:rPr>
                <w:rFonts w:asciiTheme="majorHAnsi" w:eastAsiaTheme="minorHAnsi" w:hAnsiTheme="majorHAnsi" w:cstheme="majorHAnsi"/>
                <w:snapToGrid w:val="0"/>
                <w:sz w:val="20"/>
                <w:szCs w:val="20"/>
                <w:lang w:val="en-US"/>
              </w:rPr>
              <w:t>Rey Misael S. Da-Abay</w:t>
            </w:r>
          </w:p>
        </w:tc>
        <w:tc>
          <w:tcPr>
            <w:tcW w:w="900" w:type="dxa"/>
            <w:noWrap/>
            <w:hideMark/>
          </w:tcPr>
          <w:p w14:paraId="06B19634"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lang w:val="en-US"/>
              </w:rPr>
              <w:t>M</w:t>
            </w:r>
          </w:p>
        </w:tc>
        <w:tc>
          <w:tcPr>
            <w:tcW w:w="2587" w:type="dxa"/>
            <w:noWrap/>
            <w:hideMark/>
          </w:tcPr>
          <w:p w14:paraId="65DBEDE7"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rPr>
              <w:t>Teacher I</w:t>
            </w:r>
          </w:p>
        </w:tc>
      </w:tr>
      <w:tr w:rsidR="00A4162A" w:rsidRPr="00C63262" w14:paraId="3E0B84F5" w14:textId="77777777" w:rsidTr="00FF4CA3">
        <w:trPr>
          <w:trHeight w:val="300"/>
        </w:trPr>
        <w:tc>
          <w:tcPr>
            <w:tcW w:w="4068" w:type="dxa"/>
            <w:tcBorders>
              <w:top w:val="nil"/>
              <w:bottom w:val="nil"/>
            </w:tcBorders>
          </w:tcPr>
          <w:p w14:paraId="4411C445"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p>
        </w:tc>
        <w:tc>
          <w:tcPr>
            <w:tcW w:w="2970" w:type="dxa"/>
            <w:noWrap/>
            <w:hideMark/>
          </w:tcPr>
          <w:p w14:paraId="56F4CB39" w14:textId="77777777" w:rsidR="00A4162A" w:rsidRPr="00C63262" w:rsidRDefault="00A4162A" w:rsidP="000A60F6">
            <w:pPr>
              <w:widowControl w:val="0"/>
              <w:numPr>
                <w:ilvl w:val="0"/>
                <w:numId w:val="98"/>
              </w:numPr>
              <w:spacing w:before="100" w:beforeAutospacing="1" w:after="100" w:afterAutospacing="1" w:line="360" w:lineRule="auto"/>
              <w:rPr>
                <w:rFonts w:asciiTheme="majorHAnsi" w:eastAsiaTheme="minorHAnsi" w:hAnsiTheme="majorHAnsi" w:cstheme="majorHAnsi"/>
                <w:snapToGrid w:val="0"/>
                <w:sz w:val="20"/>
                <w:szCs w:val="20"/>
              </w:rPr>
            </w:pPr>
            <w:r w:rsidRPr="00C63262">
              <w:rPr>
                <w:rFonts w:asciiTheme="majorHAnsi" w:eastAsiaTheme="minorHAnsi" w:hAnsiTheme="majorHAnsi" w:cstheme="majorHAnsi"/>
                <w:snapToGrid w:val="0"/>
                <w:sz w:val="20"/>
                <w:szCs w:val="20"/>
                <w:lang w:val="en-US"/>
              </w:rPr>
              <w:t>Marianne C. Cajilla</w:t>
            </w:r>
          </w:p>
        </w:tc>
        <w:tc>
          <w:tcPr>
            <w:tcW w:w="900" w:type="dxa"/>
            <w:noWrap/>
            <w:hideMark/>
          </w:tcPr>
          <w:p w14:paraId="08252F17"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lang w:val="en-US"/>
              </w:rPr>
              <w:t>F</w:t>
            </w:r>
          </w:p>
        </w:tc>
        <w:tc>
          <w:tcPr>
            <w:tcW w:w="2587" w:type="dxa"/>
            <w:noWrap/>
            <w:hideMark/>
          </w:tcPr>
          <w:p w14:paraId="158C2F9E"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rPr>
              <w:t>Teacher I</w:t>
            </w:r>
          </w:p>
        </w:tc>
      </w:tr>
      <w:tr w:rsidR="00A4162A" w:rsidRPr="00C63262" w14:paraId="5AF55C35" w14:textId="77777777" w:rsidTr="00FF4CA3">
        <w:trPr>
          <w:trHeight w:val="300"/>
        </w:trPr>
        <w:tc>
          <w:tcPr>
            <w:tcW w:w="4068" w:type="dxa"/>
            <w:tcBorders>
              <w:top w:val="nil"/>
              <w:bottom w:val="single" w:sz="4" w:space="0" w:color="auto"/>
            </w:tcBorders>
          </w:tcPr>
          <w:p w14:paraId="0C3FA662"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p>
        </w:tc>
        <w:tc>
          <w:tcPr>
            <w:tcW w:w="2970" w:type="dxa"/>
            <w:noWrap/>
            <w:hideMark/>
          </w:tcPr>
          <w:p w14:paraId="7084ED34" w14:textId="77777777" w:rsidR="00A4162A" w:rsidRPr="00C63262" w:rsidRDefault="00A4162A" w:rsidP="000A60F6">
            <w:pPr>
              <w:widowControl w:val="0"/>
              <w:numPr>
                <w:ilvl w:val="0"/>
                <w:numId w:val="98"/>
              </w:numPr>
              <w:spacing w:before="100" w:beforeAutospacing="1" w:after="100" w:afterAutospacing="1" w:line="360" w:lineRule="auto"/>
              <w:rPr>
                <w:rFonts w:asciiTheme="majorHAnsi" w:eastAsiaTheme="minorHAnsi" w:hAnsiTheme="majorHAnsi" w:cstheme="majorHAnsi"/>
                <w:snapToGrid w:val="0"/>
                <w:sz w:val="20"/>
                <w:szCs w:val="20"/>
              </w:rPr>
            </w:pPr>
            <w:r w:rsidRPr="00C63262">
              <w:rPr>
                <w:rFonts w:asciiTheme="majorHAnsi" w:eastAsiaTheme="minorHAnsi" w:hAnsiTheme="majorHAnsi" w:cstheme="majorHAnsi"/>
                <w:snapToGrid w:val="0"/>
                <w:sz w:val="20"/>
                <w:szCs w:val="20"/>
                <w:lang w:val="en-US"/>
              </w:rPr>
              <w:t>Elsie Ann S. Viovicente</w:t>
            </w:r>
          </w:p>
        </w:tc>
        <w:tc>
          <w:tcPr>
            <w:tcW w:w="900" w:type="dxa"/>
            <w:noWrap/>
            <w:hideMark/>
          </w:tcPr>
          <w:p w14:paraId="368CD8B4"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lang w:val="en-US"/>
              </w:rPr>
              <w:t>F</w:t>
            </w:r>
          </w:p>
        </w:tc>
        <w:tc>
          <w:tcPr>
            <w:tcW w:w="2587" w:type="dxa"/>
            <w:noWrap/>
            <w:hideMark/>
          </w:tcPr>
          <w:p w14:paraId="5462521F"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rPr>
              <w:t>Teacher I</w:t>
            </w:r>
          </w:p>
        </w:tc>
      </w:tr>
      <w:tr w:rsidR="00A4162A" w:rsidRPr="00C63262" w14:paraId="255F72EA" w14:textId="77777777" w:rsidTr="00FF4CA3">
        <w:trPr>
          <w:trHeight w:val="300"/>
        </w:trPr>
        <w:tc>
          <w:tcPr>
            <w:tcW w:w="4068" w:type="dxa"/>
            <w:tcBorders>
              <w:bottom w:val="nil"/>
            </w:tcBorders>
          </w:tcPr>
          <w:p w14:paraId="2AFDE322"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lang w:val="en-US"/>
              </w:rPr>
            </w:pPr>
          </w:p>
        </w:tc>
        <w:tc>
          <w:tcPr>
            <w:tcW w:w="2970" w:type="dxa"/>
            <w:noWrap/>
            <w:hideMark/>
          </w:tcPr>
          <w:p w14:paraId="7F85DCCF" w14:textId="77777777" w:rsidR="00A4162A" w:rsidRPr="00C63262" w:rsidRDefault="00A4162A" w:rsidP="000A60F6">
            <w:pPr>
              <w:widowControl w:val="0"/>
              <w:numPr>
                <w:ilvl w:val="0"/>
                <w:numId w:val="98"/>
              </w:numPr>
              <w:spacing w:before="100" w:beforeAutospacing="1" w:after="100" w:afterAutospacing="1" w:line="360" w:lineRule="auto"/>
              <w:rPr>
                <w:rFonts w:asciiTheme="majorHAnsi" w:eastAsiaTheme="minorHAnsi" w:hAnsiTheme="majorHAnsi" w:cstheme="majorHAnsi"/>
                <w:snapToGrid w:val="0"/>
                <w:sz w:val="20"/>
                <w:szCs w:val="20"/>
              </w:rPr>
            </w:pPr>
            <w:r w:rsidRPr="00C63262">
              <w:rPr>
                <w:rFonts w:asciiTheme="majorHAnsi" w:eastAsiaTheme="minorHAnsi" w:hAnsiTheme="majorHAnsi" w:cstheme="majorHAnsi"/>
                <w:snapToGrid w:val="0"/>
                <w:sz w:val="20"/>
                <w:szCs w:val="20"/>
                <w:lang w:val="en-US"/>
              </w:rPr>
              <w:t>Felipe Z. Labial</w:t>
            </w:r>
          </w:p>
        </w:tc>
        <w:tc>
          <w:tcPr>
            <w:tcW w:w="900" w:type="dxa"/>
            <w:noWrap/>
            <w:hideMark/>
          </w:tcPr>
          <w:p w14:paraId="4D74FA05"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lang w:val="en-US"/>
              </w:rPr>
              <w:t>M</w:t>
            </w:r>
          </w:p>
        </w:tc>
        <w:tc>
          <w:tcPr>
            <w:tcW w:w="2587" w:type="dxa"/>
            <w:noWrap/>
            <w:hideMark/>
          </w:tcPr>
          <w:p w14:paraId="1BA85F5F"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rPr>
              <w:t>Head Teacher III</w:t>
            </w:r>
          </w:p>
        </w:tc>
      </w:tr>
      <w:tr w:rsidR="00A4162A" w:rsidRPr="00C63262" w14:paraId="2C357CB1" w14:textId="77777777" w:rsidTr="00FF4CA3">
        <w:trPr>
          <w:trHeight w:val="300"/>
        </w:trPr>
        <w:tc>
          <w:tcPr>
            <w:tcW w:w="4068" w:type="dxa"/>
            <w:tcBorders>
              <w:top w:val="nil"/>
              <w:bottom w:val="nil"/>
            </w:tcBorders>
          </w:tcPr>
          <w:p w14:paraId="1BDE9DA2"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p>
        </w:tc>
        <w:tc>
          <w:tcPr>
            <w:tcW w:w="2970" w:type="dxa"/>
            <w:noWrap/>
            <w:hideMark/>
          </w:tcPr>
          <w:p w14:paraId="421AD257" w14:textId="77777777" w:rsidR="00A4162A" w:rsidRPr="00C63262" w:rsidRDefault="00A4162A" w:rsidP="000A60F6">
            <w:pPr>
              <w:widowControl w:val="0"/>
              <w:numPr>
                <w:ilvl w:val="0"/>
                <w:numId w:val="98"/>
              </w:numPr>
              <w:spacing w:before="100" w:beforeAutospacing="1" w:after="100" w:afterAutospacing="1" w:line="360" w:lineRule="auto"/>
              <w:rPr>
                <w:rFonts w:asciiTheme="majorHAnsi" w:eastAsiaTheme="minorHAnsi" w:hAnsiTheme="majorHAnsi" w:cstheme="majorHAnsi"/>
                <w:snapToGrid w:val="0"/>
                <w:sz w:val="20"/>
                <w:szCs w:val="20"/>
              </w:rPr>
            </w:pPr>
            <w:r w:rsidRPr="00C63262">
              <w:rPr>
                <w:rFonts w:asciiTheme="majorHAnsi" w:eastAsiaTheme="minorHAnsi" w:hAnsiTheme="majorHAnsi" w:cstheme="majorHAnsi"/>
                <w:snapToGrid w:val="0"/>
                <w:sz w:val="20"/>
                <w:szCs w:val="20"/>
                <w:lang w:val="en-US"/>
              </w:rPr>
              <w:t>Mary Joy Salvacion</w:t>
            </w:r>
          </w:p>
        </w:tc>
        <w:tc>
          <w:tcPr>
            <w:tcW w:w="900" w:type="dxa"/>
            <w:noWrap/>
            <w:hideMark/>
          </w:tcPr>
          <w:p w14:paraId="1A0422F5"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lang w:val="en-US"/>
              </w:rPr>
              <w:t>F</w:t>
            </w:r>
          </w:p>
        </w:tc>
        <w:tc>
          <w:tcPr>
            <w:tcW w:w="2587" w:type="dxa"/>
            <w:noWrap/>
            <w:hideMark/>
          </w:tcPr>
          <w:p w14:paraId="2BBDD231"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rPr>
              <w:t>Teacher I</w:t>
            </w:r>
          </w:p>
        </w:tc>
      </w:tr>
      <w:tr w:rsidR="00A4162A" w:rsidRPr="00C63262" w14:paraId="1C4A55B9" w14:textId="77777777" w:rsidTr="00FF4CA3">
        <w:trPr>
          <w:trHeight w:val="300"/>
        </w:trPr>
        <w:tc>
          <w:tcPr>
            <w:tcW w:w="4068" w:type="dxa"/>
            <w:tcBorders>
              <w:top w:val="nil"/>
              <w:bottom w:val="nil"/>
            </w:tcBorders>
          </w:tcPr>
          <w:p w14:paraId="03A2F464"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p>
        </w:tc>
        <w:tc>
          <w:tcPr>
            <w:tcW w:w="2970" w:type="dxa"/>
            <w:noWrap/>
            <w:hideMark/>
          </w:tcPr>
          <w:p w14:paraId="422928A4" w14:textId="77777777" w:rsidR="00A4162A" w:rsidRPr="00C63262" w:rsidRDefault="00A4162A" w:rsidP="000A60F6">
            <w:pPr>
              <w:widowControl w:val="0"/>
              <w:numPr>
                <w:ilvl w:val="0"/>
                <w:numId w:val="98"/>
              </w:numPr>
              <w:spacing w:before="100" w:beforeAutospacing="1" w:after="100" w:afterAutospacing="1" w:line="360" w:lineRule="auto"/>
              <w:rPr>
                <w:rFonts w:asciiTheme="majorHAnsi" w:eastAsiaTheme="minorHAnsi" w:hAnsiTheme="majorHAnsi" w:cstheme="majorHAnsi"/>
                <w:snapToGrid w:val="0"/>
                <w:sz w:val="20"/>
                <w:szCs w:val="20"/>
              </w:rPr>
            </w:pPr>
            <w:r w:rsidRPr="00C63262">
              <w:rPr>
                <w:rFonts w:asciiTheme="majorHAnsi" w:eastAsiaTheme="minorHAnsi" w:hAnsiTheme="majorHAnsi" w:cstheme="majorHAnsi"/>
                <w:snapToGrid w:val="0"/>
                <w:sz w:val="20"/>
                <w:szCs w:val="20"/>
                <w:lang w:val="en-US"/>
              </w:rPr>
              <w:t>Marissa S. Guibone</w:t>
            </w:r>
          </w:p>
        </w:tc>
        <w:tc>
          <w:tcPr>
            <w:tcW w:w="900" w:type="dxa"/>
            <w:noWrap/>
            <w:hideMark/>
          </w:tcPr>
          <w:p w14:paraId="400902C2"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lang w:val="en-US"/>
              </w:rPr>
              <w:t>F</w:t>
            </w:r>
          </w:p>
        </w:tc>
        <w:tc>
          <w:tcPr>
            <w:tcW w:w="2587" w:type="dxa"/>
            <w:noWrap/>
            <w:hideMark/>
          </w:tcPr>
          <w:p w14:paraId="34BB9B87"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rPr>
              <w:t>Teacher I</w:t>
            </w:r>
          </w:p>
        </w:tc>
      </w:tr>
      <w:tr w:rsidR="00A4162A" w:rsidRPr="00C63262" w14:paraId="6C9FD5E2" w14:textId="77777777" w:rsidTr="00FF4CA3">
        <w:trPr>
          <w:trHeight w:val="300"/>
        </w:trPr>
        <w:tc>
          <w:tcPr>
            <w:tcW w:w="4068" w:type="dxa"/>
            <w:tcBorders>
              <w:top w:val="nil"/>
            </w:tcBorders>
          </w:tcPr>
          <w:p w14:paraId="4A79A94A"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p>
        </w:tc>
        <w:tc>
          <w:tcPr>
            <w:tcW w:w="2970" w:type="dxa"/>
            <w:noWrap/>
            <w:hideMark/>
          </w:tcPr>
          <w:p w14:paraId="7D9888B0" w14:textId="77777777" w:rsidR="00A4162A" w:rsidRPr="00C63262" w:rsidRDefault="00A4162A" w:rsidP="000A60F6">
            <w:pPr>
              <w:widowControl w:val="0"/>
              <w:numPr>
                <w:ilvl w:val="0"/>
                <w:numId w:val="98"/>
              </w:numPr>
              <w:spacing w:before="100" w:beforeAutospacing="1" w:after="100" w:afterAutospacing="1" w:line="360" w:lineRule="auto"/>
              <w:rPr>
                <w:rFonts w:asciiTheme="majorHAnsi" w:eastAsiaTheme="minorHAnsi" w:hAnsiTheme="majorHAnsi" w:cstheme="majorHAnsi"/>
                <w:snapToGrid w:val="0"/>
                <w:sz w:val="20"/>
                <w:szCs w:val="20"/>
              </w:rPr>
            </w:pPr>
            <w:r w:rsidRPr="00C63262">
              <w:rPr>
                <w:rFonts w:asciiTheme="majorHAnsi" w:eastAsiaTheme="minorHAnsi" w:hAnsiTheme="majorHAnsi" w:cstheme="majorHAnsi"/>
                <w:snapToGrid w:val="0"/>
                <w:sz w:val="20"/>
                <w:szCs w:val="20"/>
                <w:lang w:val="en-US"/>
              </w:rPr>
              <w:t>Ma. Elaine T. Echeveria</w:t>
            </w:r>
          </w:p>
        </w:tc>
        <w:tc>
          <w:tcPr>
            <w:tcW w:w="900" w:type="dxa"/>
            <w:noWrap/>
            <w:hideMark/>
          </w:tcPr>
          <w:p w14:paraId="5FC0C78A"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lang w:val="en-US"/>
              </w:rPr>
              <w:t>F</w:t>
            </w:r>
          </w:p>
        </w:tc>
        <w:tc>
          <w:tcPr>
            <w:tcW w:w="2587" w:type="dxa"/>
            <w:noWrap/>
            <w:hideMark/>
          </w:tcPr>
          <w:p w14:paraId="01B3DFDD" w14:textId="77777777" w:rsidR="00A4162A" w:rsidRPr="00C63262" w:rsidRDefault="00A4162A" w:rsidP="000A60F6">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rPr>
              <w:t>Teacher I</w:t>
            </w:r>
          </w:p>
        </w:tc>
      </w:tr>
      <w:tr w:rsidR="00A4162A" w:rsidRPr="00C63262" w14:paraId="3AB5C7E4" w14:textId="77777777" w:rsidTr="00FF4CA3">
        <w:trPr>
          <w:trHeight w:val="300"/>
        </w:trPr>
        <w:tc>
          <w:tcPr>
            <w:tcW w:w="4068" w:type="dxa"/>
            <w:tcBorders>
              <w:bottom w:val="single" w:sz="4" w:space="0" w:color="auto"/>
            </w:tcBorders>
          </w:tcPr>
          <w:p w14:paraId="3202BAC2" w14:textId="5DF9DE5D" w:rsidR="00A4162A" w:rsidRPr="00C63262" w:rsidRDefault="00A4162A" w:rsidP="005902F7">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rPr>
              <w:t>CAGAYAN DE ORO Division</w:t>
            </w:r>
          </w:p>
        </w:tc>
        <w:tc>
          <w:tcPr>
            <w:tcW w:w="2970" w:type="dxa"/>
            <w:noWrap/>
            <w:hideMark/>
          </w:tcPr>
          <w:p w14:paraId="0928E6C0" w14:textId="77777777" w:rsidR="00A4162A" w:rsidRPr="00C63262" w:rsidRDefault="00A4162A" w:rsidP="00DD08E3">
            <w:pPr>
              <w:widowControl w:val="0"/>
              <w:numPr>
                <w:ilvl w:val="0"/>
                <w:numId w:val="98"/>
              </w:numPr>
              <w:spacing w:before="100" w:beforeAutospacing="1" w:after="100" w:afterAutospacing="1" w:line="360" w:lineRule="auto"/>
              <w:rPr>
                <w:rFonts w:asciiTheme="majorHAnsi" w:eastAsiaTheme="minorHAnsi" w:hAnsiTheme="majorHAnsi" w:cstheme="majorHAnsi"/>
                <w:snapToGrid w:val="0"/>
                <w:sz w:val="20"/>
                <w:szCs w:val="20"/>
              </w:rPr>
            </w:pPr>
            <w:r w:rsidRPr="00C63262">
              <w:rPr>
                <w:rFonts w:asciiTheme="majorHAnsi" w:eastAsiaTheme="minorHAnsi" w:hAnsiTheme="majorHAnsi" w:cstheme="majorHAnsi"/>
                <w:snapToGrid w:val="0"/>
                <w:sz w:val="20"/>
                <w:szCs w:val="20"/>
                <w:lang w:val="en-US"/>
              </w:rPr>
              <w:t xml:space="preserve">Romiel S. Vallente </w:t>
            </w:r>
          </w:p>
        </w:tc>
        <w:tc>
          <w:tcPr>
            <w:tcW w:w="900" w:type="dxa"/>
            <w:noWrap/>
            <w:hideMark/>
          </w:tcPr>
          <w:p w14:paraId="012911DF" w14:textId="77777777" w:rsidR="00A4162A" w:rsidRPr="00C63262" w:rsidRDefault="00A4162A" w:rsidP="005902F7">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lang w:val="en-US"/>
              </w:rPr>
              <w:t>M</w:t>
            </w:r>
          </w:p>
        </w:tc>
        <w:tc>
          <w:tcPr>
            <w:tcW w:w="2587" w:type="dxa"/>
            <w:hideMark/>
          </w:tcPr>
          <w:p w14:paraId="1F9F3B61" w14:textId="77777777" w:rsidR="00A4162A" w:rsidRPr="00C63262" w:rsidRDefault="00A4162A" w:rsidP="005902F7">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rPr>
              <w:t> Administrative Officer – V (Budget)</w:t>
            </w:r>
          </w:p>
        </w:tc>
      </w:tr>
      <w:tr w:rsidR="00A4162A" w:rsidRPr="00C63262" w14:paraId="5D05916F" w14:textId="77777777" w:rsidTr="00FF4CA3">
        <w:trPr>
          <w:trHeight w:val="300"/>
        </w:trPr>
        <w:tc>
          <w:tcPr>
            <w:tcW w:w="4068" w:type="dxa"/>
            <w:tcBorders>
              <w:bottom w:val="nil"/>
            </w:tcBorders>
          </w:tcPr>
          <w:p w14:paraId="70FA6C95" w14:textId="77777777" w:rsidR="00A4162A" w:rsidRPr="00C63262" w:rsidRDefault="00A4162A" w:rsidP="005902F7">
            <w:pPr>
              <w:spacing w:before="100" w:beforeAutospacing="1" w:after="100" w:afterAutospacing="1" w:line="360" w:lineRule="auto"/>
              <w:rPr>
                <w:rFonts w:asciiTheme="majorHAnsi" w:eastAsiaTheme="minorHAnsi" w:hAnsiTheme="majorHAnsi" w:cstheme="majorHAnsi"/>
                <w:sz w:val="20"/>
                <w:szCs w:val="20"/>
              </w:rPr>
            </w:pPr>
          </w:p>
        </w:tc>
        <w:tc>
          <w:tcPr>
            <w:tcW w:w="2970" w:type="dxa"/>
            <w:noWrap/>
            <w:hideMark/>
          </w:tcPr>
          <w:p w14:paraId="37EC3D8F" w14:textId="77777777" w:rsidR="00A4162A" w:rsidRPr="00C63262" w:rsidRDefault="00A4162A" w:rsidP="00DD08E3">
            <w:pPr>
              <w:widowControl w:val="0"/>
              <w:numPr>
                <w:ilvl w:val="0"/>
                <w:numId w:val="98"/>
              </w:numPr>
              <w:spacing w:before="100" w:beforeAutospacing="1" w:after="100" w:afterAutospacing="1" w:line="360" w:lineRule="auto"/>
              <w:rPr>
                <w:rFonts w:asciiTheme="majorHAnsi" w:eastAsiaTheme="minorHAnsi" w:hAnsiTheme="majorHAnsi" w:cstheme="majorHAnsi"/>
                <w:snapToGrid w:val="0"/>
                <w:sz w:val="20"/>
                <w:szCs w:val="20"/>
              </w:rPr>
            </w:pPr>
            <w:r w:rsidRPr="00C63262">
              <w:rPr>
                <w:rFonts w:asciiTheme="majorHAnsi" w:eastAsiaTheme="minorHAnsi" w:hAnsiTheme="majorHAnsi" w:cstheme="majorHAnsi"/>
                <w:snapToGrid w:val="0"/>
                <w:sz w:val="20"/>
                <w:szCs w:val="20"/>
                <w:lang w:val="en-US"/>
              </w:rPr>
              <w:t>Lorebina C. Carrasco</w:t>
            </w:r>
          </w:p>
        </w:tc>
        <w:tc>
          <w:tcPr>
            <w:tcW w:w="900" w:type="dxa"/>
            <w:noWrap/>
            <w:hideMark/>
          </w:tcPr>
          <w:p w14:paraId="7D0268B1" w14:textId="77777777" w:rsidR="00A4162A" w:rsidRPr="00C63262" w:rsidRDefault="00A4162A" w:rsidP="005902F7">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lang w:val="en-US"/>
              </w:rPr>
              <w:t>F</w:t>
            </w:r>
          </w:p>
        </w:tc>
        <w:tc>
          <w:tcPr>
            <w:tcW w:w="2587" w:type="dxa"/>
            <w:hideMark/>
          </w:tcPr>
          <w:p w14:paraId="60775505" w14:textId="18D87EAA" w:rsidR="00A4162A" w:rsidRPr="00C63262" w:rsidRDefault="00A4162A" w:rsidP="005902F7">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rPr>
              <w:t>OIC Chief / EPS – Curriculum</w:t>
            </w:r>
            <w:r w:rsidR="00D434EB">
              <w:rPr>
                <w:rFonts w:asciiTheme="majorHAnsi" w:eastAsiaTheme="minorHAnsi" w:hAnsiTheme="majorHAnsi" w:cstheme="majorHAnsi"/>
                <w:sz w:val="20"/>
                <w:szCs w:val="20"/>
              </w:rPr>
              <w:t xml:space="preserve"> </w:t>
            </w:r>
            <w:r w:rsidRPr="00C63262">
              <w:rPr>
                <w:rFonts w:asciiTheme="majorHAnsi" w:eastAsiaTheme="minorHAnsi" w:hAnsiTheme="majorHAnsi" w:cstheme="majorHAnsi"/>
                <w:sz w:val="20"/>
                <w:szCs w:val="20"/>
              </w:rPr>
              <w:t>Implementation Division</w:t>
            </w:r>
          </w:p>
        </w:tc>
      </w:tr>
      <w:tr w:rsidR="00A4162A" w:rsidRPr="00C63262" w14:paraId="01215619" w14:textId="77777777" w:rsidTr="00FF4CA3">
        <w:trPr>
          <w:trHeight w:val="300"/>
        </w:trPr>
        <w:tc>
          <w:tcPr>
            <w:tcW w:w="4068" w:type="dxa"/>
            <w:tcBorders>
              <w:top w:val="nil"/>
              <w:bottom w:val="nil"/>
            </w:tcBorders>
          </w:tcPr>
          <w:p w14:paraId="6252507A" w14:textId="77777777" w:rsidR="00A4162A" w:rsidRPr="00C63262" w:rsidRDefault="00A4162A" w:rsidP="005902F7">
            <w:pPr>
              <w:spacing w:before="100" w:beforeAutospacing="1" w:after="100" w:afterAutospacing="1" w:line="360" w:lineRule="auto"/>
              <w:rPr>
                <w:rFonts w:asciiTheme="majorHAnsi" w:eastAsiaTheme="minorHAnsi" w:hAnsiTheme="majorHAnsi" w:cstheme="majorHAnsi"/>
                <w:sz w:val="20"/>
                <w:szCs w:val="20"/>
              </w:rPr>
            </w:pPr>
          </w:p>
        </w:tc>
        <w:tc>
          <w:tcPr>
            <w:tcW w:w="2970" w:type="dxa"/>
            <w:noWrap/>
            <w:hideMark/>
          </w:tcPr>
          <w:p w14:paraId="29A5A18B" w14:textId="77777777" w:rsidR="00A4162A" w:rsidRPr="00C63262" w:rsidRDefault="00A4162A" w:rsidP="00DD08E3">
            <w:pPr>
              <w:widowControl w:val="0"/>
              <w:numPr>
                <w:ilvl w:val="0"/>
                <w:numId w:val="98"/>
              </w:numPr>
              <w:spacing w:before="100" w:beforeAutospacing="1" w:after="100" w:afterAutospacing="1" w:line="360" w:lineRule="auto"/>
              <w:rPr>
                <w:rFonts w:asciiTheme="majorHAnsi" w:eastAsiaTheme="minorHAnsi" w:hAnsiTheme="majorHAnsi" w:cstheme="majorHAnsi"/>
                <w:snapToGrid w:val="0"/>
                <w:sz w:val="20"/>
                <w:szCs w:val="20"/>
              </w:rPr>
            </w:pPr>
            <w:r w:rsidRPr="00C63262">
              <w:rPr>
                <w:rFonts w:asciiTheme="majorHAnsi" w:eastAsiaTheme="minorHAnsi" w:hAnsiTheme="majorHAnsi" w:cstheme="majorHAnsi"/>
                <w:snapToGrid w:val="0"/>
                <w:sz w:val="20"/>
                <w:szCs w:val="20"/>
                <w:lang w:val="en-US"/>
              </w:rPr>
              <w:t>Eleanor Consejo H. Rollan</w:t>
            </w:r>
          </w:p>
        </w:tc>
        <w:tc>
          <w:tcPr>
            <w:tcW w:w="900" w:type="dxa"/>
            <w:noWrap/>
            <w:hideMark/>
          </w:tcPr>
          <w:p w14:paraId="52331E86" w14:textId="77777777" w:rsidR="00A4162A" w:rsidRPr="00C63262" w:rsidRDefault="00A4162A" w:rsidP="005902F7">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lang w:val="en-US"/>
              </w:rPr>
              <w:t>F</w:t>
            </w:r>
          </w:p>
        </w:tc>
        <w:tc>
          <w:tcPr>
            <w:tcW w:w="2587" w:type="dxa"/>
            <w:hideMark/>
          </w:tcPr>
          <w:p w14:paraId="0E26CA08" w14:textId="77777777" w:rsidR="00A4162A" w:rsidRPr="00C63262" w:rsidRDefault="00A4162A" w:rsidP="005902F7">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rPr>
              <w:t>Education Program Specialist II – M&amp;E</w:t>
            </w:r>
          </w:p>
        </w:tc>
      </w:tr>
      <w:tr w:rsidR="00A4162A" w:rsidRPr="00C63262" w14:paraId="066576C7" w14:textId="77777777" w:rsidTr="00FF4CA3">
        <w:trPr>
          <w:trHeight w:val="300"/>
        </w:trPr>
        <w:tc>
          <w:tcPr>
            <w:tcW w:w="4068" w:type="dxa"/>
            <w:tcBorders>
              <w:top w:val="nil"/>
              <w:bottom w:val="nil"/>
            </w:tcBorders>
          </w:tcPr>
          <w:p w14:paraId="5E4CE95E" w14:textId="77777777" w:rsidR="00A4162A" w:rsidRPr="00C63262" w:rsidRDefault="00A4162A" w:rsidP="005902F7">
            <w:pPr>
              <w:spacing w:before="100" w:beforeAutospacing="1" w:after="100" w:afterAutospacing="1" w:line="360" w:lineRule="auto"/>
              <w:rPr>
                <w:rFonts w:asciiTheme="majorHAnsi" w:eastAsiaTheme="minorHAnsi" w:hAnsiTheme="majorHAnsi" w:cstheme="majorHAnsi"/>
                <w:sz w:val="20"/>
                <w:szCs w:val="20"/>
              </w:rPr>
            </w:pPr>
          </w:p>
        </w:tc>
        <w:tc>
          <w:tcPr>
            <w:tcW w:w="2970" w:type="dxa"/>
            <w:noWrap/>
            <w:hideMark/>
          </w:tcPr>
          <w:p w14:paraId="0ADA6DD1" w14:textId="77777777" w:rsidR="00A4162A" w:rsidRPr="00C63262" w:rsidRDefault="00A4162A" w:rsidP="00DD08E3">
            <w:pPr>
              <w:widowControl w:val="0"/>
              <w:numPr>
                <w:ilvl w:val="0"/>
                <w:numId w:val="98"/>
              </w:numPr>
              <w:spacing w:before="100" w:beforeAutospacing="1" w:after="100" w:afterAutospacing="1" w:line="360" w:lineRule="auto"/>
              <w:rPr>
                <w:rFonts w:asciiTheme="majorHAnsi" w:eastAsiaTheme="minorHAnsi" w:hAnsiTheme="majorHAnsi" w:cstheme="majorHAnsi"/>
                <w:snapToGrid w:val="0"/>
                <w:sz w:val="20"/>
                <w:szCs w:val="20"/>
              </w:rPr>
            </w:pPr>
            <w:r w:rsidRPr="00C63262">
              <w:rPr>
                <w:rFonts w:asciiTheme="majorHAnsi" w:eastAsiaTheme="minorHAnsi" w:hAnsiTheme="majorHAnsi" w:cstheme="majorHAnsi"/>
                <w:snapToGrid w:val="0"/>
                <w:sz w:val="20"/>
                <w:szCs w:val="20"/>
                <w:lang w:val="en-US"/>
              </w:rPr>
              <w:t>Cynthia V. Yaňez</w:t>
            </w:r>
          </w:p>
        </w:tc>
        <w:tc>
          <w:tcPr>
            <w:tcW w:w="900" w:type="dxa"/>
            <w:noWrap/>
            <w:hideMark/>
          </w:tcPr>
          <w:p w14:paraId="78B39628" w14:textId="77777777" w:rsidR="00A4162A" w:rsidRPr="00C63262" w:rsidRDefault="00A4162A" w:rsidP="005902F7">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lang w:val="en-US"/>
              </w:rPr>
              <w:t>F</w:t>
            </w:r>
          </w:p>
        </w:tc>
        <w:tc>
          <w:tcPr>
            <w:tcW w:w="2587" w:type="dxa"/>
            <w:hideMark/>
          </w:tcPr>
          <w:p w14:paraId="1C947551" w14:textId="77777777" w:rsidR="00A4162A" w:rsidRPr="00C63262" w:rsidRDefault="00A4162A" w:rsidP="005902F7">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rPr>
              <w:t>Public Schools District Supervisor</w:t>
            </w:r>
          </w:p>
        </w:tc>
      </w:tr>
      <w:tr w:rsidR="00A4162A" w:rsidRPr="00C63262" w14:paraId="0E981135" w14:textId="77777777" w:rsidTr="00FF4CA3">
        <w:trPr>
          <w:trHeight w:val="300"/>
        </w:trPr>
        <w:tc>
          <w:tcPr>
            <w:tcW w:w="4068" w:type="dxa"/>
            <w:tcBorders>
              <w:top w:val="nil"/>
              <w:bottom w:val="single" w:sz="4" w:space="0" w:color="auto"/>
            </w:tcBorders>
          </w:tcPr>
          <w:p w14:paraId="6CF1C88A" w14:textId="77777777" w:rsidR="00A4162A" w:rsidRPr="00C63262" w:rsidRDefault="00A4162A" w:rsidP="005902F7">
            <w:pPr>
              <w:spacing w:before="100" w:beforeAutospacing="1" w:after="100" w:afterAutospacing="1" w:line="360" w:lineRule="auto"/>
              <w:rPr>
                <w:rFonts w:asciiTheme="majorHAnsi" w:eastAsiaTheme="minorHAnsi" w:hAnsiTheme="majorHAnsi" w:cstheme="majorHAnsi"/>
                <w:sz w:val="20"/>
                <w:szCs w:val="20"/>
              </w:rPr>
            </w:pPr>
          </w:p>
        </w:tc>
        <w:tc>
          <w:tcPr>
            <w:tcW w:w="2970" w:type="dxa"/>
            <w:noWrap/>
            <w:hideMark/>
          </w:tcPr>
          <w:p w14:paraId="3EF78733" w14:textId="77777777" w:rsidR="00A4162A" w:rsidRPr="00C63262" w:rsidRDefault="00A4162A" w:rsidP="00DD08E3">
            <w:pPr>
              <w:widowControl w:val="0"/>
              <w:numPr>
                <w:ilvl w:val="0"/>
                <w:numId w:val="98"/>
              </w:numPr>
              <w:spacing w:before="100" w:beforeAutospacing="1" w:after="100" w:afterAutospacing="1" w:line="360" w:lineRule="auto"/>
              <w:rPr>
                <w:rFonts w:asciiTheme="majorHAnsi" w:eastAsiaTheme="minorHAnsi" w:hAnsiTheme="majorHAnsi" w:cstheme="majorHAnsi"/>
                <w:snapToGrid w:val="0"/>
                <w:sz w:val="20"/>
                <w:szCs w:val="20"/>
              </w:rPr>
            </w:pPr>
            <w:r w:rsidRPr="00C63262">
              <w:rPr>
                <w:rFonts w:asciiTheme="majorHAnsi" w:eastAsiaTheme="minorHAnsi" w:hAnsiTheme="majorHAnsi" w:cstheme="majorHAnsi"/>
                <w:snapToGrid w:val="0"/>
                <w:sz w:val="20"/>
                <w:szCs w:val="20"/>
                <w:lang w:val="en-US"/>
              </w:rPr>
              <w:t>Arnel A. Calubag</w:t>
            </w:r>
          </w:p>
        </w:tc>
        <w:tc>
          <w:tcPr>
            <w:tcW w:w="900" w:type="dxa"/>
            <w:noWrap/>
            <w:hideMark/>
          </w:tcPr>
          <w:p w14:paraId="390A7EBA" w14:textId="77777777" w:rsidR="00A4162A" w:rsidRPr="00C63262" w:rsidRDefault="00A4162A" w:rsidP="005902F7">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lang w:val="en-US"/>
              </w:rPr>
              <w:t>F</w:t>
            </w:r>
          </w:p>
        </w:tc>
        <w:tc>
          <w:tcPr>
            <w:tcW w:w="2587" w:type="dxa"/>
            <w:hideMark/>
          </w:tcPr>
          <w:p w14:paraId="62AC7F2F" w14:textId="77777777" w:rsidR="00A4162A" w:rsidRPr="00C63262" w:rsidRDefault="00A4162A" w:rsidP="005902F7">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rPr>
              <w:t> Accountant III</w:t>
            </w:r>
          </w:p>
        </w:tc>
      </w:tr>
      <w:tr w:rsidR="00A4162A" w:rsidRPr="00C63262" w14:paraId="1801E800" w14:textId="77777777" w:rsidTr="00920523">
        <w:trPr>
          <w:trHeight w:val="300"/>
        </w:trPr>
        <w:tc>
          <w:tcPr>
            <w:tcW w:w="4068" w:type="dxa"/>
            <w:tcBorders>
              <w:bottom w:val="nil"/>
            </w:tcBorders>
          </w:tcPr>
          <w:p w14:paraId="2C87C791" w14:textId="53346F62" w:rsidR="00A4162A" w:rsidRPr="00C63262" w:rsidRDefault="00A4162A" w:rsidP="005902F7">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lang w:val="en-US"/>
              </w:rPr>
              <w:t>Region 10 Office</w:t>
            </w:r>
          </w:p>
        </w:tc>
        <w:tc>
          <w:tcPr>
            <w:tcW w:w="2970" w:type="dxa"/>
            <w:noWrap/>
            <w:hideMark/>
          </w:tcPr>
          <w:p w14:paraId="50C8D2DF" w14:textId="77777777" w:rsidR="00A4162A" w:rsidRPr="00C63262" w:rsidRDefault="00A4162A" w:rsidP="00DD08E3">
            <w:pPr>
              <w:widowControl w:val="0"/>
              <w:numPr>
                <w:ilvl w:val="0"/>
                <w:numId w:val="98"/>
              </w:numPr>
              <w:spacing w:before="100" w:beforeAutospacing="1" w:after="100" w:afterAutospacing="1" w:line="360" w:lineRule="auto"/>
              <w:rPr>
                <w:rFonts w:asciiTheme="majorHAnsi" w:eastAsiaTheme="minorHAnsi" w:hAnsiTheme="majorHAnsi" w:cstheme="majorHAnsi"/>
                <w:snapToGrid w:val="0"/>
                <w:sz w:val="20"/>
                <w:szCs w:val="20"/>
              </w:rPr>
            </w:pPr>
            <w:r w:rsidRPr="00C63262">
              <w:rPr>
                <w:rFonts w:asciiTheme="majorHAnsi" w:eastAsiaTheme="minorHAnsi" w:hAnsiTheme="majorHAnsi" w:cstheme="majorHAnsi"/>
                <w:snapToGrid w:val="0"/>
                <w:sz w:val="20"/>
                <w:szCs w:val="20"/>
                <w:lang w:val="en-US"/>
              </w:rPr>
              <w:t>Angelina B. Binaron</w:t>
            </w:r>
          </w:p>
        </w:tc>
        <w:tc>
          <w:tcPr>
            <w:tcW w:w="900" w:type="dxa"/>
            <w:noWrap/>
            <w:hideMark/>
          </w:tcPr>
          <w:p w14:paraId="434E9B37" w14:textId="77777777" w:rsidR="00A4162A" w:rsidRPr="00C63262" w:rsidRDefault="00A4162A" w:rsidP="005902F7">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lang w:val="en-US"/>
              </w:rPr>
              <w:t>F</w:t>
            </w:r>
          </w:p>
        </w:tc>
        <w:tc>
          <w:tcPr>
            <w:tcW w:w="2587" w:type="dxa"/>
            <w:hideMark/>
          </w:tcPr>
          <w:p w14:paraId="39A55D87" w14:textId="77777777" w:rsidR="00A4162A" w:rsidRPr="00C63262" w:rsidRDefault="00A4162A" w:rsidP="005902F7">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rPr>
              <w:t>Education Program Supervisor –Curriculum and Learning Management Division</w:t>
            </w:r>
          </w:p>
        </w:tc>
      </w:tr>
      <w:tr w:rsidR="00A4162A" w:rsidRPr="00C63262" w14:paraId="55919FC0" w14:textId="77777777" w:rsidTr="00920523">
        <w:trPr>
          <w:trHeight w:val="300"/>
        </w:trPr>
        <w:tc>
          <w:tcPr>
            <w:tcW w:w="4068" w:type="dxa"/>
            <w:tcBorders>
              <w:top w:val="nil"/>
              <w:bottom w:val="single" w:sz="4" w:space="0" w:color="auto"/>
            </w:tcBorders>
          </w:tcPr>
          <w:p w14:paraId="2275CDB7" w14:textId="77777777" w:rsidR="00A4162A" w:rsidRPr="00C63262" w:rsidRDefault="00A4162A" w:rsidP="005902F7">
            <w:pPr>
              <w:spacing w:before="100" w:beforeAutospacing="1" w:after="100" w:afterAutospacing="1" w:line="360" w:lineRule="auto"/>
              <w:rPr>
                <w:rFonts w:asciiTheme="majorHAnsi" w:eastAsiaTheme="minorHAnsi" w:hAnsiTheme="majorHAnsi" w:cstheme="majorHAnsi"/>
                <w:sz w:val="20"/>
                <w:szCs w:val="20"/>
              </w:rPr>
            </w:pPr>
          </w:p>
        </w:tc>
        <w:tc>
          <w:tcPr>
            <w:tcW w:w="2970" w:type="dxa"/>
            <w:noWrap/>
            <w:hideMark/>
          </w:tcPr>
          <w:p w14:paraId="2CDB748F" w14:textId="77777777" w:rsidR="00A4162A" w:rsidRPr="00C63262" w:rsidRDefault="00A4162A" w:rsidP="00DD08E3">
            <w:pPr>
              <w:widowControl w:val="0"/>
              <w:numPr>
                <w:ilvl w:val="0"/>
                <w:numId w:val="98"/>
              </w:numPr>
              <w:spacing w:before="100" w:beforeAutospacing="1" w:after="100" w:afterAutospacing="1" w:line="360" w:lineRule="auto"/>
              <w:rPr>
                <w:rFonts w:asciiTheme="majorHAnsi" w:eastAsiaTheme="minorHAnsi" w:hAnsiTheme="majorHAnsi" w:cstheme="majorHAnsi"/>
                <w:snapToGrid w:val="0"/>
                <w:sz w:val="20"/>
                <w:szCs w:val="20"/>
              </w:rPr>
            </w:pPr>
            <w:r w:rsidRPr="00C63262">
              <w:rPr>
                <w:rFonts w:asciiTheme="majorHAnsi" w:eastAsiaTheme="minorHAnsi" w:hAnsiTheme="majorHAnsi" w:cstheme="majorHAnsi"/>
                <w:snapToGrid w:val="0"/>
                <w:sz w:val="20"/>
                <w:szCs w:val="20"/>
                <w:lang w:val="en-US"/>
              </w:rPr>
              <w:t>Elesio M. Maribao</w:t>
            </w:r>
          </w:p>
        </w:tc>
        <w:tc>
          <w:tcPr>
            <w:tcW w:w="900" w:type="dxa"/>
            <w:noWrap/>
            <w:hideMark/>
          </w:tcPr>
          <w:p w14:paraId="7A136C62" w14:textId="77777777" w:rsidR="00A4162A" w:rsidRPr="00C63262" w:rsidRDefault="00A4162A" w:rsidP="005902F7">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lang w:val="en-US"/>
              </w:rPr>
              <w:t>M</w:t>
            </w:r>
          </w:p>
        </w:tc>
        <w:tc>
          <w:tcPr>
            <w:tcW w:w="2587" w:type="dxa"/>
            <w:hideMark/>
          </w:tcPr>
          <w:p w14:paraId="5631F505" w14:textId="77777777" w:rsidR="00A4162A" w:rsidRPr="00C63262" w:rsidRDefault="00A4162A" w:rsidP="005902F7">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rPr>
              <w:t>Education Program Supervisor – Curriculum and Learning Management Division</w:t>
            </w:r>
          </w:p>
        </w:tc>
      </w:tr>
      <w:tr w:rsidR="00A4162A" w:rsidRPr="00C63262" w14:paraId="04154841" w14:textId="77777777" w:rsidTr="00920523">
        <w:trPr>
          <w:trHeight w:val="300"/>
        </w:trPr>
        <w:tc>
          <w:tcPr>
            <w:tcW w:w="4068" w:type="dxa"/>
            <w:tcBorders>
              <w:top w:val="single" w:sz="4" w:space="0" w:color="auto"/>
              <w:bottom w:val="nil"/>
            </w:tcBorders>
          </w:tcPr>
          <w:p w14:paraId="6CB60B5F" w14:textId="77777777" w:rsidR="00A4162A" w:rsidRPr="00C63262" w:rsidRDefault="00A4162A" w:rsidP="005902F7">
            <w:pPr>
              <w:spacing w:before="100" w:beforeAutospacing="1" w:after="100" w:afterAutospacing="1" w:line="360" w:lineRule="auto"/>
              <w:rPr>
                <w:rFonts w:asciiTheme="majorHAnsi" w:eastAsiaTheme="minorHAnsi" w:hAnsiTheme="majorHAnsi" w:cstheme="majorHAnsi"/>
                <w:sz w:val="20"/>
                <w:szCs w:val="20"/>
              </w:rPr>
            </w:pPr>
          </w:p>
        </w:tc>
        <w:tc>
          <w:tcPr>
            <w:tcW w:w="2970" w:type="dxa"/>
            <w:noWrap/>
            <w:hideMark/>
          </w:tcPr>
          <w:p w14:paraId="7A612358" w14:textId="77777777" w:rsidR="00A4162A" w:rsidRPr="00C63262" w:rsidRDefault="00A4162A" w:rsidP="00DD08E3">
            <w:pPr>
              <w:widowControl w:val="0"/>
              <w:numPr>
                <w:ilvl w:val="0"/>
                <w:numId w:val="98"/>
              </w:numPr>
              <w:spacing w:before="100" w:beforeAutospacing="1" w:after="100" w:afterAutospacing="1" w:line="360" w:lineRule="auto"/>
              <w:rPr>
                <w:rFonts w:asciiTheme="majorHAnsi" w:eastAsiaTheme="minorHAnsi" w:hAnsiTheme="majorHAnsi" w:cstheme="majorHAnsi"/>
                <w:snapToGrid w:val="0"/>
                <w:sz w:val="20"/>
                <w:szCs w:val="20"/>
              </w:rPr>
            </w:pPr>
            <w:r w:rsidRPr="00C63262">
              <w:rPr>
                <w:rFonts w:asciiTheme="majorHAnsi" w:eastAsiaTheme="minorHAnsi" w:hAnsiTheme="majorHAnsi" w:cstheme="majorHAnsi"/>
                <w:snapToGrid w:val="0"/>
                <w:sz w:val="20"/>
                <w:szCs w:val="20"/>
                <w:lang w:val="en-US"/>
              </w:rPr>
              <w:t>Grace N. Quiblat</w:t>
            </w:r>
          </w:p>
        </w:tc>
        <w:tc>
          <w:tcPr>
            <w:tcW w:w="900" w:type="dxa"/>
            <w:noWrap/>
            <w:hideMark/>
          </w:tcPr>
          <w:p w14:paraId="7B95CEAB" w14:textId="77777777" w:rsidR="00A4162A" w:rsidRPr="00C63262" w:rsidRDefault="00A4162A" w:rsidP="005902F7">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lang w:val="en-US"/>
              </w:rPr>
              <w:t>F</w:t>
            </w:r>
          </w:p>
        </w:tc>
        <w:tc>
          <w:tcPr>
            <w:tcW w:w="2587" w:type="dxa"/>
            <w:hideMark/>
          </w:tcPr>
          <w:p w14:paraId="3D265EF2" w14:textId="77777777" w:rsidR="00A4162A" w:rsidRPr="00C63262" w:rsidRDefault="00A4162A" w:rsidP="005902F7">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rPr>
              <w:t>Education Program Supervisor – Policy, Planning and Research Division</w:t>
            </w:r>
          </w:p>
        </w:tc>
      </w:tr>
      <w:tr w:rsidR="00A4162A" w:rsidRPr="00C63262" w14:paraId="48F31911" w14:textId="77777777" w:rsidTr="00FF4CA3">
        <w:trPr>
          <w:trHeight w:val="300"/>
        </w:trPr>
        <w:tc>
          <w:tcPr>
            <w:tcW w:w="4068" w:type="dxa"/>
            <w:tcBorders>
              <w:top w:val="nil"/>
              <w:bottom w:val="nil"/>
            </w:tcBorders>
          </w:tcPr>
          <w:p w14:paraId="1AE6F23F" w14:textId="77777777" w:rsidR="00A4162A" w:rsidRPr="00C63262" w:rsidRDefault="00A4162A" w:rsidP="005902F7">
            <w:pPr>
              <w:spacing w:before="100" w:beforeAutospacing="1" w:after="100" w:afterAutospacing="1" w:line="360" w:lineRule="auto"/>
              <w:rPr>
                <w:rFonts w:asciiTheme="majorHAnsi" w:eastAsiaTheme="minorHAnsi" w:hAnsiTheme="majorHAnsi" w:cstheme="majorHAnsi"/>
                <w:sz w:val="20"/>
                <w:szCs w:val="20"/>
              </w:rPr>
            </w:pPr>
          </w:p>
        </w:tc>
        <w:tc>
          <w:tcPr>
            <w:tcW w:w="2970" w:type="dxa"/>
            <w:noWrap/>
            <w:hideMark/>
          </w:tcPr>
          <w:p w14:paraId="680C0DD9" w14:textId="77777777" w:rsidR="00A4162A" w:rsidRPr="00C63262" w:rsidRDefault="00A4162A" w:rsidP="00DD08E3">
            <w:pPr>
              <w:widowControl w:val="0"/>
              <w:numPr>
                <w:ilvl w:val="0"/>
                <w:numId w:val="98"/>
              </w:numPr>
              <w:spacing w:before="100" w:beforeAutospacing="1" w:after="100" w:afterAutospacing="1" w:line="360" w:lineRule="auto"/>
              <w:rPr>
                <w:rFonts w:asciiTheme="majorHAnsi" w:eastAsiaTheme="minorHAnsi" w:hAnsiTheme="majorHAnsi" w:cstheme="majorHAnsi"/>
                <w:snapToGrid w:val="0"/>
                <w:sz w:val="20"/>
                <w:szCs w:val="20"/>
              </w:rPr>
            </w:pPr>
            <w:r w:rsidRPr="00C63262">
              <w:rPr>
                <w:rFonts w:asciiTheme="majorHAnsi" w:eastAsiaTheme="minorHAnsi" w:hAnsiTheme="majorHAnsi" w:cstheme="majorHAnsi"/>
                <w:snapToGrid w:val="0"/>
                <w:sz w:val="20"/>
                <w:szCs w:val="20"/>
                <w:lang w:val="en-US"/>
              </w:rPr>
              <w:t>Gina F. Labitad</w:t>
            </w:r>
          </w:p>
        </w:tc>
        <w:tc>
          <w:tcPr>
            <w:tcW w:w="900" w:type="dxa"/>
            <w:noWrap/>
            <w:hideMark/>
          </w:tcPr>
          <w:p w14:paraId="317C2289" w14:textId="77777777" w:rsidR="00A4162A" w:rsidRPr="00C63262" w:rsidRDefault="00A4162A" w:rsidP="005902F7">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lang w:val="en-US"/>
              </w:rPr>
              <w:t>F</w:t>
            </w:r>
          </w:p>
        </w:tc>
        <w:tc>
          <w:tcPr>
            <w:tcW w:w="2587" w:type="dxa"/>
            <w:hideMark/>
          </w:tcPr>
          <w:p w14:paraId="0245C068" w14:textId="77777777" w:rsidR="00A4162A" w:rsidRPr="00C63262" w:rsidRDefault="00A4162A" w:rsidP="005902F7">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rPr>
              <w:t>Education Program Supervisor – Human Resource Development Division</w:t>
            </w:r>
          </w:p>
        </w:tc>
      </w:tr>
      <w:tr w:rsidR="00A4162A" w:rsidRPr="00C63262" w14:paraId="0ED1529E" w14:textId="77777777" w:rsidTr="004B064D">
        <w:trPr>
          <w:trHeight w:val="300"/>
        </w:trPr>
        <w:tc>
          <w:tcPr>
            <w:tcW w:w="4068" w:type="dxa"/>
            <w:tcBorders>
              <w:top w:val="nil"/>
              <w:bottom w:val="single" w:sz="4" w:space="0" w:color="auto"/>
            </w:tcBorders>
          </w:tcPr>
          <w:p w14:paraId="268D93EB" w14:textId="77777777" w:rsidR="00A4162A" w:rsidRPr="00C63262" w:rsidRDefault="00A4162A" w:rsidP="005902F7">
            <w:pPr>
              <w:spacing w:before="100" w:beforeAutospacing="1" w:after="100" w:afterAutospacing="1" w:line="360" w:lineRule="auto"/>
              <w:rPr>
                <w:rFonts w:asciiTheme="majorHAnsi" w:eastAsiaTheme="minorHAnsi" w:hAnsiTheme="majorHAnsi" w:cstheme="majorHAnsi"/>
                <w:sz w:val="20"/>
                <w:szCs w:val="20"/>
              </w:rPr>
            </w:pPr>
          </w:p>
        </w:tc>
        <w:tc>
          <w:tcPr>
            <w:tcW w:w="2970" w:type="dxa"/>
            <w:tcBorders>
              <w:bottom w:val="single" w:sz="4" w:space="0" w:color="auto"/>
            </w:tcBorders>
            <w:noWrap/>
            <w:hideMark/>
          </w:tcPr>
          <w:p w14:paraId="20C3E9A1" w14:textId="77777777" w:rsidR="00A4162A" w:rsidRPr="00C63262" w:rsidRDefault="00A4162A" w:rsidP="00DD08E3">
            <w:pPr>
              <w:widowControl w:val="0"/>
              <w:numPr>
                <w:ilvl w:val="0"/>
                <w:numId w:val="98"/>
              </w:numPr>
              <w:spacing w:before="100" w:beforeAutospacing="1" w:after="100" w:afterAutospacing="1" w:line="360" w:lineRule="auto"/>
              <w:rPr>
                <w:rFonts w:asciiTheme="majorHAnsi" w:eastAsiaTheme="minorHAnsi" w:hAnsiTheme="majorHAnsi" w:cstheme="majorHAnsi"/>
                <w:snapToGrid w:val="0"/>
                <w:sz w:val="20"/>
                <w:szCs w:val="20"/>
              </w:rPr>
            </w:pPr>
            <w:r w:rsidRPr="00C63262">
              <w:rPr>
                <w:rFonts w:asciiTheme="majorHAnsi" w:eastAsiaTheme="minorHAnsi" w:hAnsiTheme="majorHAnsi" w:cstheme="majorHAnsi"/>
                <w:snapToGrid w:val="0"/>
                <w:sz w:val="20"/>
                <w:szCs w:val="20"/>
                <w:lang w:val="en-US"/>
              </w:rPr>
              <w:t>Rolando Acoriba Jr</w:t>
            </w:r>
          </w:p>
        </w:tc>
        <w:tc>
          <w:tcPr>
            <w:tcW w:w="900" w:type="dxa"/>
            <w:tcBorders>
              <w:bottom w:val="single" w:sz="4" w:space="0" w:color="auto"/>
            </w:tcBorders>
            <w:noWrap/>
            <w:hideMark/>
          </w:tcPr>
          <w:p w14:paraId="16E68CF9" w14:textId="77777777" w:rsidR="00A4162A" w:rsidRPr="00C63262" w:rsidRDefault="00A4162A" w:rsidP="005902F7">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lang w:val="en-US"/>
              </w:rPr>
              <w:t>M</w:t>
            </w:r>
          </w:p>
        </w:tc>
        <w:tc>
          <w:tcPr>
            <w:tcW w:w="2587" w:type="dxa"/>
            <w:tcBorders>
              <w:bottom w:val="single" w:sz="4" w:space="0" w:color="auto"/>
            </w:tcBorders>
            <w:hideMark/>
          </w:tcPr>
          <w:p w14:paraId="25BAEAE0" w14:textId="77777777" w:rsidR="00A4162A" w:rsidRPr="00C63262" w:rsidRDefault="00A4162A" w:rsidP="005902F7">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rPr>
              <w:t>Education Program Supervisor – Human Resource Development Division</w:t>
            </w:r>
          </w:p>
        </w:tc>
      </w:tr>
      <w:tr w:rsidR="00A4162A" w:rsidRPr="00C63262" w14:paraId="2E05AD23" w14:textId="77777777" w:rsidTr="004B064D">
        <w:trPr>
          <w:trHeight w:val="300"/>
        </w:trPr>
        <w:tc>
          <w:tcPr>
            <w:tcW w:w="4068" w:type="dxa"/>
            <w:tcBorders>
              <w:top w:val="single" w:sz="4" w:space="0" w:color="auto"/>
              <w:bottom w:val="nil"/>
            </w:tcBorders>
          </w:tcPr>
          <w:p w14:paraId="0BA40FE2" w14:textId="77777777" w:rsidR="00A4162A" w:rsidRPr="00C63262" w:rsidRDefault="00A4162A" w:rsidP="005902F7">
            <w:pPr>
              <w:spacing w:before="100" w:beforeAutospacing="1" w:after="100" w:afterAutospacing="1" w:line="360" w:lineRule="auto"/>
              <w:rPr>
                <w:rFonts w:asciiTheme="majorHAnsi" w:eastAsiaTheme="minorHAnsi" w:hAnsiTheme="majorHAnsi" w:cstheme="majorHAnsi"/>
                <w:sz w:val="20"/>
                <w:szCs w:val="20"/>
              </w:rPr>
            </w:pPr>
          </w:p>
        </w:tc>
        <w:tc>
          <w:tcPr>
            <w:tcW w:w="2970" w:type="dxa"/>
            <w:tcBorders>
              <w:top w:val="single" w:sz="4" w:space="0" w:color="auto"/>
            </w:tcBorders>
            <w:noWrap/>
            <w:hideMark/>
          </w:tcPr>
          <w:p w14:paraId="394910DF" w14:textId="77777777" w:rsidR="00A4162A" w:rsidRPr="00C63262" w:rsidRDefault="00A4162A" w:rsidP="00DD08E3">
            <w:pPr>
              <w:widowControl w:val="0"/>
              <w:numPr>
                <w:ilvl w:val="0"/>
                <w:numId w:val="98"/>
              </w:numPr>
              <w:spacing w:before="100" w:beforeAutospacing="1" w:after="100" w:afterAutospacing="1" w:line="360" w:lineRule="auto"/>
              <w:rPr>
                <w:rFonts w:asciiTheme="majorHAnsi" w:eastAsiaTheme="minorHAnsi" w:hAnsiTheme="majorHAnsi" w:cstheme="majorHAnsi"/>
                <w:snapToGrid w:val="0"/>
                <w:sz w:val="20"/>
                <w:szCs w:val="20"/>
              </w:rPr>
            </w:pPr>
            <w:r w:rsidRPr="00C63262">
              <w:rPr>
                <w:rFonts w:asciiTheme="majorHAnsi" w:eastAsiaTheme="minorHAnsi" w:hAnsiTheme="majorHAnsi" w:cstheme="majorHAnsi"/>
                <w:snapToGrid w:val="0"/>
                <w:sz w:val="20"/>
                <w:szCs w:val="20"/>
                <w:lang w:val="en-US"/>
              </w:rPr>
              <w:t>Neil A. Imprego</w:t>
            </w:r>
          </w:p>
        </w:tc>
        <w:tc>
          <w:tcPr>
            <w:tcW w:w="900" w:type="dxa"/>
            <w:tcBorders>
              <w:top w:val="single" w:sz="4" w:space="0" w:color="auto"/>
            </w:tcBorders>
            <w:noWrap/>
            <w:hideMark/>
          </w:tcPr>
          <w:p w14:paraId="43191DB1" w14:textId="77777777" w:rsidR="00A4162A" w:rsidRPr="00C63262" w:rsidRDefault="00A4162A" w:rsidP="005902F7">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lang w:val="en-US"/>
              </w:rPr>
              <w:t>M</w:t>
            </w:r>
          </w:p>
        </w:tc>
        <w:tc>
          <w:tcPr>
            <w:tcW w:w="2587" w:type="dxa"/>
            <w:tcBorders>
              <w:top w:val="single" w:sz="4" w:space="0" w:color="auto"/>
            </w:tcBorders>
            <w:hideMark/>
          </w:tcPr>
          <w:p w14:paraId="3594F19C" w14:textId="77777777" w:rsidR="00A4162A" w:rsidRPr="00C63262" w:rsidRDefault="00A4162A" w:rsidP="005902F7">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rPr>
              <w:t xml:space="preserve"> Education Program Supervisor </w:t>
            </w:r>
          </w:p>
        </w:tc>
      </w:tr>
      <w:tr w:rsidR="00A4162A" w:rsidRPr="00C63262" w14:paraId="08A7DE38" w14:textId="77777777" w:rsidTr="00FF4CA3">
        <w:trPr>
          <w:trHeight w:val="300"/>
        </w:trPr>
        <w:tc>
          <w:tcPr>
            <w:tcW w:w="4068" w:type="dxa"/>
            <w:tcBorders>
              <w:top w:val="nil"/>
              <w:bottom w:val="nil"/>
            </w:tcBorders>
          </w:tcPr>
          <w:p w14:paraId="43204D42" w14:textId="77777777" w:rsidR="00A4162A" w:rsidRPr="00C63262" w:rsidRDefault="00A4162A" w:rsidP="005902F7">
            <w:pPr>
              <w:spacing w:before="100" w:beforeAutospacing="1" w:after="100" w:afterAutospacing="1" w:line="360" w:lineRule="auto"/>
              <w:rPr>
                <w:rFonts w:asciiTheme="majorHAnsi" w:eastAsiaTheme="minorHAnsi" w:hAnsiTheme="majorHAnsi" w:cstheme="majorHAnsi"/>
                <w:sz w:val="20"/>
                <w:szCs w:val="20"/>
              </w:rPr>
            </w:pPr>
          </w:p>
        </w:tc>
        <w:tc>
          <w:tcPr>
            <w:tcW w:w="2970" w:type="dxa"/>
            <w:noWrap/>
            <w:hideMark/>
          </w:tcPr>
          <w:p w14:paraId="05955038" w14:textId="77777777" w:rsidR="00A4162A" w:rsidRPr="00C63262" w:rsidRDefault="00A4162A" w:rsidP="00DD08E3">
            <w:pPr>
              <w:widowControl w:val="0"/>
              <w:numPr>
                <w:ilvl w:val="0"/>
                <w:numId w:val="98"/>
              </w:numPr>
              <w:spacing w:before="100" w:beforeAutospacing="1" w:after="100" w:afterAutospacing="1" w:line="360" w:lineRule="auto"/>
              <w:rPr>
                <w:rFonts w:asciiTheme="majorHAnsi" w:eastAsiaTheme="minorHAnsi" w:hAnsiTheme="majorHAnsi" w:cstheme="majorHAnsi"/>
                <w:snapToGrid w:val="0"/>
                <w:sz w:val="20"/>
                <w:szCs w:val="20"/>
              </w:rPr>
            </w:pPr>
            <w:r w:rsidRPr="00C63262">
              <w:rPr>
                <w:rFonts w:asciiTheme="majorHAnsi" w:eastAsiaTheme="minorHAnsi" w:hAnsiTheme="majorHAnsi" w:cstheme="majorHAnsi"/>
                <w:snapToGrid w:val="0"/>
                <w:sz w:val="20"/>
                <w:szCs w:val="20"/>
                <w:lang w:val="en-US"/>
              </w:rPr>
              <w:t>Marisa M. Manapig</w:t>
            </w:r>
          </w:p>
        </w:tc>
        <w:tc>
          <w:tcPr>
            <w:tcW w:w="900" w:type="dxa"/>
            <w:noWrap/>
            <w:hideMark/>
          </w:tcPr>
          <w:p w14:paraId="4C3331C9" w14:textId="77777777" w:rsidR="00A4162A" w:rsidRPr="00C63262" w:rsidRDefault="00A4162A" w:rsidP="005902F7">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lang w:val="en-US"/>
              </w:rPr>
              <w:t>F</w:t>
            </w:r>
          </w:p>
        </w:tc>
        <w:tc>
          <w:tcPr>
            <w:tcW w:w="2587" w:type="dxa"/>
            <w:hideMark/>
          </w:tcPr>
          <w:p w14:paraId="6309C3C2" w14:textId="77777777" w:rsidR="00A4162A" w:rsidRPr="00C63262" w:rsidRDefault="00A4162A" w:rsidP="005902F7">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rPr>
              <w:t>Education Program Supervisor – Field Technical Assistance Division</w:t>
            </w:r>
          </w:p>
        </w:tc>
      </w:tr>
      <w:tr w:rsidR="00A4162A" w:rsidRPr="00C63262" w14:paraId="6D93F659" w14:textId="77777777" w:rsidTr="00FF4CA3">
        <w:trPr>
          <w:trHeight w:val="300"/>
        </w:trPr>
        <w:tc>
          <w:tcPr>
            <w:tcW w:w="4068" w:type="dxa"/>
            <w:tcBorders>
              <w:top w:val="nil"/>
              <w:bottom w:val="nil"/>
            </w:tcBorders>
          </w:tcPr>
          <w:p w14:paraId="1B996366" w14:textId="77777777" w:rsidR="00A4162A" w:rsidRPr="00C63262" w:rsidRDefault="00A4162A" w:rsidP="005902F7">
            <w:pPr>
              <w:spacing w:before="100" w:beforeAutospacing="1" w:after="100" w:afterAutospacing="1" w:line="360" w:lineRule="auto"/>
              <w:rPr>
                <w:rFonts w:asciiTheme="majorHAnsi" w:eastAsiaTheme="minorHAnsi" w:hAnsiTheme="majorHAnsi" w:cstheme="majorHAnsi"/>
                <w:sz w:val="20"/>
                <w:szCs w:val="20"/>
              </w:rPr>
            </w:pPr>
          </w:p>
        </w:tc>
        <w:tc>
          <w:tcPr>
            <w:tcW w:w="2970" w:type="dxa"/>
            <w:noWrap/>
            <w:hideMark/>
          </w:tcPr>
          <w:p w14:paraId="6FED3338" w14:textId="77777777" w:rsidR="00A4162A" w:rsidRPr="00C63262" w:rsidRDefault="00A4162A" w:rsidP="00DD08E3">
            <w:pPr>
              <w:widowControl w:val="0"/>
              <w:numPr>
                <w:ilvl w:val="0"/>
                <w:numId w:val="98"/>
              </w:numPr>
              <w:spacing w:before="100" w:beforeAutospacing="1" w:after="100" w:afterAutospacing="1" w:line="360" w:lineRule="auto"/>
              <w:rPr>
                <w:rFonts w:asciiTheme="majorHAnsi" w:eastAsiaTheme="minorHAnsi" w:hAnsiTheme="majorHAnsi" w:cstheme="majorHAnsi"/>
                <w:snapToGrid w:val="0"/>
                <w:sz w:val="20"/>
                <w:szCs w:val="20"/>
              </w:rPr>
            </w:pPr>
            <w:r w:rsidRPr="00C63262">
              <w:rPr>
                <w:rFonts w:asciiTheme="majorHAnsi" w:eastAsiaTheme="minorHAnsi" w:hAnsiTheme="majorHAnsi" w:cstheme="majorHAnsi"/>
                <w:snapToGrid w:val="0"/>
                <w:sz w:val="20"/>
                <w:szCs w:val="20"/>
                <w:lang w:val="en-US"/>
              </w:rPr>
              <w:t>Benz Tagrinos</w:t>
            </w:r>
          </w:p>
        </w:tc>
        <w:tc>
          <w:tcPr>
            <w:tcW w:w="900" w:type="dxa"/>
            <w:noWrap/>
            <w:hideMark/>
          </w:tcPr>
          <w:p w14:paraId="79D2CCF9" w14:textId="77777777" w:rsidR="00A4162A" w:rsidRPr="00C63262" w:rsidRDefault="00A4162A" w:rsidP="005902F7">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lang w:val="en-US"/>
              </w:rPr>
              <w:t>M</w:t>
            </w:r>
          </w:p>
        </w:tc>
        <w:tc>
          <w:tcPr>
            <w:tcW w:w="2587" w:type="dxa"/>
            <w:hideMark/>
          </w:tcPr>
          <w:p w14:paraId="270E605F" w14:textId="77777777" w:rsidR="00A4162A" w:rsidRPr="00C63262" w:rsidRDefault="00A4162A" w:rsidP="005902F7">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rPr>
              <w:t>Education Program Supervisor – Gender and Development</w:t>
            </w:r>
          </w:p>
        </w:tc>
      </w:tr>
      <w:tr w:rsidR="00A4162A" w:rsidRPr="00C63262" w14:paraId="4A05BEBB" w14:textId="77777777" w:rsidTr="00FF4CA3">
        <w:trPr>
          <w:trHeight w:val="300"/>
        </w:trPr>
        <w:tc>
          <w:tcPr>
            <w:tcW w:w="4068" w:type="dxa"/>
            <w:tcBorders>
              <w:top w:val="nil"/>
              <w:bottom w:val="single" w:sz="4" w:space="0" w:color="auto"/>
            </w:tcBorders>
          </w:tcPr>
          <w:p w14:paraId="7EFA269E" w14:textId="77777777" w:rsidR="00A4162A" w:rsidRPr="00C63262" w:rsidRDefault="00A4162A" w:rsidP="005902F7">
            <w:pPr>
              <w:spacing w:before="100" w:beforeAutospacing="1" w:after="100" w:afterAutospacing="1" w:line="360" w:lineRule="auto"/>
              <w:rPr>
                <w:rFonts w:asciiTheme="majorHAnsi" w:eastAsiaTheme="minorHAnsi" w:hAnsiTheme="majorHAnsi" w:cstheme="majorHAnsi"/>
                <w:sz w:val="20"/>
                <w:szCs w:val="20"/>
              </w:rPr>
            </w:pPr>
          </w:p>
        </w:tc>
        <w:tc>
          <w:tcPr>
            <w:tcW w:w="2970" w:type="dxa"/>
            <w:noWrap/>
            <w:hideMark/>
          </w:tcPr>
          <w:p w14:paraId="2B076BB0" w14:textId="77777777" w:rsidR="00A4162A" w:rsidRPr="00C63262" w:rsidRDefault="00A4162A" w:rsidP="00DD08E3">
            <w:pPr>
              <w:widowControl w:val="0"/>
              <w:numPr>
                <w:ilvl w:val="0"/>
                <w:numId w:val="98"/>
              </w:numPr>
              <w:spacing w:before="100" w:beforeAutospacing="1" w:after="100" w:afterAutospacing="1" w:line="360" w:lineRule="auto"/>
              <w:rPr>
                <w:rFonts w:asciiTheme="majorHAnsi" w:eastAsiaTheme="minorHAnsi" w:hAnsiTheme="majorHAnsi" w:cstheme="majorHAnsi"/>
                <w:snapToGrid w:val="0"/>
                <w:sz w:val="20"/>
                <w:szCs w:val="20"/>
              </w:rPr>
            </w:pPr>
            <w:r w:rsidRPr="00C63262">
              <w:rPr>
                <w:rFonts w:asciiTheme="majorHAnsi" w:eastAsiaTheme="minorHAnsi" w:hAnsiTheme="majorHAnsi" w:cstheme="majorHAnsi"/>
                <w:snapToGrid w:val="0"/>
                <w:sz w:val="20"/>
                <w:szCs w:val="20"/>
                <w:lang w:val="en-US"/>
              </w:rPr>
              <w:t>Nick C. Panares</w:t>
            </w:r>
          </w:p>
        </w:tc>
        <w:tc>
          <w:tcPr>
            <w:tcW w:w="900" w:type="dxa"/>
            <w:noWrap/>
            <w:hideMark/>
          </w:tcPr>
          <w:p w14:paraId="56BB1B19" w14:textId="77777777" w:rsidR="00A4162A" w:rsidRPr="00C63262" w:rsidRDefault="00A4162A" w:rsidP="005902F7">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lang w:val="en-US"/>
              </w:rPr>
              <w:t>M</w:t>
            </w:r>
          </w:p>
        </w:tc>
        <w:tc>
          <w:tcPr>
            <w:tcW w:w="2587" w:type="dxa"/>
            <w:hideMark/>
          </w:tcPr>
          <w:p w14:paraId="630B77F4" w14:textId="77777777" w:rsidR="00A4162A" w:rsidRPr="00C63262" w:rsidRDefault="00A4162A" w:rsidP="005902F7">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rPr>
              <w:t xml:space="preserve"> Education Program Supervisor – Curriculum and Learning Management Division</w:t>
            </w:r>
          </w:p>
        </w:tc>
      </w:tr>
      <w:tr w:rsidR="00A4162A" w:rsidRPr="00C63262" w14:paraId="0D548F5A" w14:textId="77777777" w:rsidTr="00FF4CA3">
        <w:trPr>
          <w:trHeight w:val="300"/>
        </w:trPr>
        <w:tc>
          <w:tcPr>
            <w:tcW w:w="4068" w:type="dxa"/>
            <w:tcBorders>
              <w:bottom w:val="nil"/>
            </w:tcBorders>
          </w:tcPr>
          <w:p w14:paraId="32ED55C4" w14:textId="77777777" w:rsidR="00A4162A" w:rsidRPr="00C63262" w:rsidRDefault="00A4162A" w:rsidP="005902F7">
            <w:pPr>
              <w:spacing w:before="100" w:beforeAutospacing="1" w:after="100" w:afterAutospacing="1" w:line="360" w:lineRule="auto"/>
              <w:rPr>
                <w:rFonts w:asciiTheme="majorHAnsi" w:eastAsiaTheme="minorHAnsi" w:hAnsiTheme="majorHAnsi" w:cstheme="majorHAnsi"/>
                <w:sz w:val="20"/>
                <w:szCs w:val="20"/>
              </w:rPr>
            </w:pPr>
          </w:p>
        </w:tc>
        <w:tc>
          <w:tcPr>
            <w:tcW w:w="2970" w:type="dxa"/>
            <w:noWrap/>
            <w:hideMark/>
          </w:tcPr>
          <w:p w14:paraId="27E5AE9A" w14:textId="77777777" w:rsidR="00A4162A" w:rsidRPr="00C63262" w:rsidRDefault="00A4162A" w:rsidP="00DD08E3">
            <w:pPr>
              <w:widowControl w:val="0"/>
              <w:numPr>
                <w:ilvl w:val="0"/>
                <w:numId w:val="98"/>
              </w:numPr>
              <w:spacing w:before="100" w:beforeAutospacing="1" w:after="100" w:afterAutospacing="1" w:line="360" w:lineRule="auto"/>
              <w:rPr>
                <w:rFonts w:asciiTheme="majorHAnsi" w:eastAsiaTheme="minorHAnsi" w:hAnsiTheme="majorHAnsi" w:cstheme="majorHAnsi"/>
                <w:snapToGrid w:val="0"/>
                <w:sz w:val="20"/>
                <w:szCs w:val="20"/>
              </w:rPr>
            </w:pPr>
            <w:r w:rsidRPr="00C63262">
              <w:rPr>
                <w:rFonts w:asciiTheme="majorHAnsi" w:eastAsiaTheme="minorHAnsi" w:hAnsiTheme="majorHAnsi" w:cstheme="majorHAnsi"/>
                <w:snapToGrid w:val="0"/>
                <w:sz w:val="20"/>
                <w:szCs w:val="20"/>
                <w:lang w:val="en-US"/>
              </w:rPr>
              <w:t>Reinante Noel Foaceio</w:t>
            </w:r>
          </w:p>
        </w:tc>
        <w:tc>
          <w:tcPr>
            <w:tcW w:w="900" w:type="dxa"/>
            <w:noWrap/>
            <w:hideMark/>
          </w:tcPr>
          <w:p w14:paraId="31682356" w14:textId="77777777" w:rsidR="00A4162A" w:rsidRPr="00C63262" w:rsidRDefault="00A4162A" w:rsidP="005902F7">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lang w:val="en-US"/>
              </w:rPr>
              <w:t>M</w:t>
            </w:r>
          </w:p>
        </w:tc>
        <w:tc>
          <w:tcPr>
            <w:tcW w:w="2587" w:type="dxa"/>
            <w:hideMark/>
          </w:tcPr>
          <w:p w14:paraId="03206879" w14:textId="77777777" w:rsidR="00A4162A" w:rsidRPr="00C63262" w:rsidRDefault="00A4162A" w:rsidP="005902F7">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rPr>
              <w:t xml:space="preserve"> Education Program Supervisor – Gender and Development</w:t>
            </w:r>
          </w:p>
        </w:tc>
      </w:tr>
      <w:tr w:rsidR="00A4162A" w:rsidRPr="00C63262" w14:paraId="03CE3F08" w14:textId="77777777" w:rsidTr="00FF4CA3">
        <w:trPr>
          <w:trHeight w:val="300"/>
        </w:trPr>
        <w:tc>
          <w:tcPr>
            <w:tcW w:w="4068" w:type="dxa"/>
            <w:tcBorders>
              <w:top w:val="nil"/>
            </w:tcBorders>
          </w:tcPr>
          <w:p w14:paraId="660B2AE2" w14:textId="77777777" w:rsidR="00A4162A" w:rsidRPr="00C63262" w:rsidRDefault="00A4162A" w:rsidP="005902F7">
            <w:pPr>
              <w:spacing w:before="100" w:beforeAutospacing="1" w:after="100" w:afterAutospacing="1" w:line="360" w:lineRule="auto"/>
              <w:rPr>
                <w:rFonts w:asciiTheme="majorHAnsi" w:eastAsiaTheme="minorHAnsi" w:hAnsiTheme="majorHAnsi" w:cstheme="majorHAnsi"/>
                <w:sz w:val="20"/>
                <w:szCs w:val="20"/>
              </w:rPr>
            </w:pPr>
          </w:p>
        </w:tc>
        <w:tc>
          <w:tcPr>
            <w:tcW w:w="2970" w:type="dxa"/>
            <w:noWrap/>
            <w:hideMark/>
          </w:tcPr>
          <w:p w14:paraId="6A9A6F93" w14:textId="77777777" w:rsidR="00A4162A" w:rsidRPr="00C63262" w:rsidRDefault="00A4162A" w:rsidP="00DD08E3">
            <w:pPr>
              <w:widowControl w:val="0"/>
              <w:numPr>
                <w:ilvl w:val="0"/>
                <w:numId w:val="98"/>
              </w:numPr>
              <w:spacing w:before="100" w:beforeAutospacing="1" w:after="100" w:afterAutospacing="1" w:line="360" w:lineRule="auto"/>
              <w:rPr>
                <w:rFonts w:asciiTheme="majorHAnsi" w:eastAsiaTheme="minorHAnsi" w:hAnsiTheme="majorHAnsi" w:cstheme="majorHAnsi"/>
                <w:snapToGrid w:val="0"/>
                <w:sz w:val="20"/>
                <w:szCs w:val="20"/>
              </w:rPr>
            </w:pPr>
            <w:r w:rsidRPr="00C63262">
              <w:rPr>
                <w:rFonts w:asciiTheme="majorHAnsi" w:eastAsiaTheme="minorHAnsi" w:hAnsiTheme="majorHAnsi" w:cstheme="majorHAnsi"/>
                <w:snapToGrid w:val="0"/>
                <w:sz w:val="20"/>
                <w:szCs w:val="20"/>
                <w:lang w:val="en-US"/>
              </w:rPr>
              <w:t>Ana Belen S. Maniz</w:t>
            </w:r>
          </w:p>
        </w:tc>
        <w:tc>
          <w:tcPr>
            <w:tcW w:w="900" w:type="dxa"/>
            <w:noWrap/>
            <w:hideMark/>
          </w:tcPr>
          <w:p w14:paraId="41B73CF6" w14:textId="77777777" w:rsidR="00A4162A" w:rsidRPr="00C63262" w:rsidRDefault="00A4162A" w:rsidP="005902F7">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lang w:val="en-US"/>
              </w:rPr>
              <w:t>F</w:t>
            </w:r>
          </w:p>
        </w:tc>
        <w:tc>
          <w:tcPr>
            <w:tcW w:w="2587" w:type="dxa"/>
            <w:hideMark/>
          </w:tcPr>
          <w:p w14:paraId="2DAA92CB" w14:textId="77777777" w:rsidR="00A4162A" w:rsidRPr="00C63262" w:rsidRDefault="00A4162A" w:rsidP="005902F7">
            <w:pPr>
              <w:spacing w:before="100" w:beforeAutospacing="1" w:after="100" w:afterAutospacing="1" w:line="360" w:lineRule="auto"/>
              <w:rPr>
                <w:rFonts w:asciiTheme="majorHAnsi" w:eastAsiaTheme="minorHAnsi" w:hAnsiTheme="majorHAnsi" w:cstheme="majorHAnsi"/>
                <w:sz w:val="20"/>
                <w:szCs w:val="20"/>
              </w:rPr>
            </w:pPr>
            <w:r w:rsidRPr="00C63262">
              <w:rPr>
                <w:rFonts w:asciiTheme="majorHAnsi" w:eastAsiaTheme="minorHAnsi" w:hAnsiTheme="majorHAnsi" w:cstheme="majorHAnsi"/>
                <w:sz w:val="20"/>
                <w:szCs w:val="20"/>
              </w:rPr>
              <w:t>Education Program Supervisor – Policy, Planning and Research Division</w:t>
            </w:r>
          </w:p>
        </w:tc>
      </w:tr>
    </w:tbl>
    <w:p w14:paraId="3FB35DD0" w14:textId="77777777" w:rsidR="008D0CAD" w:rsidRDefault="008D0CAD" w:rsidP="002320B3">
      <w:pPr>
        <w:rPr>
          <w:rFonts w:asciiTheme="majorHAnsi" w:hAnsiTheme="majorHAnsi" w:cstheme="majorHAnsi"/>
        </w:rPr>
      </w:pPr>
    </w:p>
    <w:p w14:paraId="499E950C" w14:textId="77777777" w:rsidR="008D0CAD" w:rsidRDefault="008D0CAD" w:rsidP="002320B3">
      <w:pPr>
        <w:rPr>
          <w:rFonts w:asciiTheme="majorHAnsi" w:hAnsiTheme="majorHAnsi" w:cstheme="majorHAnsi"/>
        </w:rPr>
        <w:sectPr w:rsidR="008D0CAD" w:rsidSect="009C64E9">
          <w:pgSz w:w="11900" w:h="16840"/>
          <w:pgMar w:top="720" w:right="720" w:bottom="720" w:left="720" w:header="720" w:footer="720" w:gutter="0"/>
          <w:cols w:space="720"/>
          <w:docGrid w:linePitch="360"/>
        </w:sectPr>
      </w:pPr>
    </w:p>
    <w:p w14:paraId="288EC133" w14:textId="1D050FC0" w:rsidR="008D0CAD" w:rsidRPr="00EA6CB9" w:rsidRDefault="008D0CAD" w:rsidP="00EA6CB9">
      <w:pPr>
        <w:pStyle w:val="Heading2"/>
        <w:numPr>
          <w:ilvl w:val="0"/>
          <w:numId w:val="0"/>
        </w:numPr>
        <w:spacing w:before="100" w:beforeAutospacing="1" w:after="100" w:afterAutospacing="1" w:line="360" w:lineRule="auto"/>
        <w:ind w:left="1288" w:hanging="720"/>
      </w:pPr>
      <w:bookmarkStart w:id="285" w:name="_Toc39938377"/>
      <w:bookmarkStart w:id="286" w:name="_Toc69820482"/>
      <w:r w:rsidRPr="00C63262">
        <w:t>Annex L. FGD Guide Questions</w:t>
      </w:r>
      <w:bookmarkEnd w:id="285"/>
      <w:bookmarkEnd w:id="286"/>
    </w:p>
    <w:p w14:paraId="37C1F799" w14:textId="44800D89" w:rsidR="008D0CAD" w:rsidRPr="00EA6CB9" w:rsidRDefault="008D0CAD" w:rsidP="00EA6CB9">
      <w:pPr>
        <w:pStyle w:val="Heading3"/>
        <w:spacing w:before="100" w:beforeAutospacing="1" w:after="100" w:afterAutospacing="1" w:line="360" w:lineRule="auto"/>
        <w:rPr>
          <w:lang w:val="en-US"/>
        </w:rPr>
      </w:pPr>
      <w:bookmarkStart w:id="287" w:name="_Toc39938378"/>
      <w:bookmarkStart w:id="288" w:name="_Toc69820483"/>
      <w:r w:rsidRPr="00C63262">
        <w:rPr>
          <w:lang w:val="en-US"/>
        </w:rPr>
        <w:t>Annex L-1.</w:t>
      </w:r>
      <w:r w:rsidR="00D434EB">
        <w:rPr>
          <w:lang w:val="en-US"/>
        </w:rPr>
        <w:t xml:space="preserve"> </w:t>
      </w:r>
      <w:r w:rsidRPr="00C63262">
        <w:rPr>
          <w:lang w:val="en-US"/>
        </w:rPr>
        <w:t>Guide Questions for Regional/Division Office respondents</w:t>
      </w:r>
      <w:bookmarkEnd w:id="287"/>
      <w:bookmarkEnd w:id="288"/>
    </w:p>
    <w:p w14:paraId="27447456" w14:textId="77777777" w:rsidR="008D0CAD" w:rsidRPr="00C63262" w:rsidRDefault="008D0CAD" w:rsidP="00DD08E3">
      <w:pPr>
        <w:widowControl w:val="0"/>
        <w:numPr>
          <w:ilvl w:val="0"/>
          <w:numId w:val="86"/>
        </w:numPr>
        <w:spacing w:before="100" w:beforeAutospacing="1" w:after="100" w:afterAutospacing="1" w:line="360" w:lineRule="auto"/>
        <w:ind w:left="357" w:hanging="357"/>
        <w:rPr>
          <w:rFonts w:asciiTheme="majorHAnsi" w:hAnsiTheme="majorHAnsi" w:cstheme="majorHAnsi"/>
          <w:bCs/>
          <w:snapToGrid w:val="0"/>
          <w:sz w:val="20"/>
          <w:szCs w:val="20"/>
          <w:lang w:val="en-US"/>
        </w:rPr>
      </w:pPr>
      <w:r w:rsidRPr="00C63262">
        <w:rPr>
          <w:rFonts w:asciiTheme="majorHAnsi" w:hAnsiTheme="majorHAnsi" w:cstheme="majorHAnsi"/>
          <w:bCs/>
          <w:snapToGrid w:val="0"/>
          <w:sz w:val="20"/>
          <w:szCs w:val="20"/>
          <w:lang w:val="en-US"/>
        </w:rPr>
        <w:t xml:space="preserve">In your opinion, what were the development problems or educational gaps that were existing </w:t>
      </w:r>
      <w:r w:rsidRPr="00C63262">
        <w:rPr>
          <w:rFonts w:asciiTheme="majorHAnsi" w:hAnsiTheme="majorHAnsi" w:cstheme="majorHAnsi"/>
          <w:b/>
          <w:bCs/>
          <w:snapToGrid w:val="0"/>
          <w:sz w:val="20"/>
          <w:szCs w:val="20"/>
          <w:lang w:val="en-US"/>
        </w:rPr>
        <w:t>five years ago</w:t>
      </w:r>
      <w:r w:rsidRPr="00C63262">
        <w:rPr>
          <w:rFonts w:asciiTheme="majorHAnsi" w:hAnsiTheme="majorHAnsi" w:cstheme="majorHAnsi"/>
          <w:bCs/>
          <w:snapToGrid w:val="0"/>
          <w:sz w:val="20"/>
          <w:szCs w:val="20"/>
          <w:lang w:val="en-US"/>
        </w:rPr>
        <w:t xml:space="preserve"> that was intended to be addressed by the basic education reforms? In other words, why were the different basic education reforms necessary? Which ones were critical in your Region/Division?</w:t>
      </w:r>
    </w:p>
    <w:p w14:paraId="082FD339" w14:textId="77777777" w:rsidR="008D0CAD" w:rsidRPr="00C63262" w:rsidRDefault="008D0CAD" w:rsidP="00DD08E3">
      <w:pPr>
        <w:widowControl w:val="0"/>
        <w:numPr>
          <w:ilvl w:val="0"/>
          <w:numId w:val="86"/>
        </w:numPr>
        <w:spacing w:before="100" w:beforeAutospacing="1" w:after="100" w:afterAutospacing="1" w:line="360" w:lineRule="auto"/>
        <w:ind w:left="357" w:hanging="357"/>
        <w:rPr>
          <w:rFonts w:asciiTheme="majorHAnsi" w:hAnsiTheme="majorHAnsi" w:cstheme="majorHAnsi"/>
          <w:bCs/>
          <w:snapToGrid w:val="0"/>
          <w:sz w:val="20"/>
          <w:szCs w:val="20"/>
          <w:lang w:val="en-US"/>
        </w:rPr>
      </w:pPr>
      <w:r w:rsidRPr="00C63262">
        <w:rPr>
          <w:rFonts w:asciiTheme="majorHAnsi" w:hAnsiTheme="majorHAnsi" w:cstheme="majorHAnsi"/>
          <w:bCs/>
          <w:snapToGrid w:val="0"/>
          <w:sz w:val="20"/>
          <w:szCs w:val="20"/>
          <w:lang w:val="en-US"/>
        </w:rPr>
        <w:t>What do you think were the development problems or educational gaps that were being address by the basic education reforms? Why were the different program interventions necessary?</w:t>
      </w:r>
    </w:p>
    <w:p w14:paraId="2DC6EC3A" w14:textId="77777777" w:rsidR="008D0CAD" w:rsidRPr="00C63262" w:rsidRDefault="008D0CAD" w:rsidP="00DD08E3">
      <w:pPr>
        <w:widowControl w:val="0"/>
        <w:numPr>
          <w:ilvl w:val="0"/>
          <w:numId w:val="86"/>
        </w:numPr>
        <w:spacing w:before="100" w:beforeAutospacing="1" w:after="100" w:afterAutospacing="1" w:line="360" w:lineRule="auto"/>
        <w:ind w:left="357" w:hanging="357"/>
        <w:rPr>
          <w:rFonts w:asciiTheme="majorHAnsi" w:hAnsiTheme="majorHAnsi" w:cstheme="majorHAnsi"/>
          <w:snapToGrid w:val="0"/>
          <w:color w:val="000000"/>
          <w:sz w:val="20"/>
          <w:szCs w:val="20"/>
          <w:lang w:val="en-US"/>
        </w:rPr>
      </w:pPr>
      <w:r w:rsidRPr="00C63262">
        <w:rPr>
          <w:rFonts w:asciiTheme="majorHAnsi" w:hAnsiTheme="majorHAnsi" w:cstheme="majorHAnsi"/>
          <w:bCs/>
          <w:snapToGrid w:val="0"/>
          <w:sz w:val="20"/>
          <w:szCs w:val="20"/>
          <w:lang w:val="en-US"/>
        </w:rPr>
        <w:t>Please describe how each of the different basic</w:t>
      </w:r>
      <w:r w:rsidRPr="00C63262">
        <w:rPr>
          <w:rFonts w:asciiTheme="majorHAnsi" w:hAnsiTheme="majorHAnsi" w:cstheme="majorHAnsi"/>
          <w:b/>
          <w:bCs/>
          <w:snapToGrid w:val="0"/>
          <w:sz w:val="20"/>
          <w:szCs w:val="20"/>
          <w:lang w:val="en-US"/>
        </w:rPr>
        <w:t xml:space="preserve"> </w:t>
      </w:r>
      <w:r w:rsidRPr="00C63262">
        <w:rPr>
          <w:rFonts w:asciiTheme="majorHAnsi" w:hAnsiTheme="majorHAnsi" w:cstheme="majorHAnsi"/>
          <w:bCs/>
          <w:snapToGrid w:val="0"/>
          <w:sz w:val="20"/>
          <w:szCs w:val="20"/>
          <w:lang w:val="en-US"/>
        </w:rPr>
        <w:t xml:space="preserve">education reforms was implemented or is being implemented in </w:t>
      </w:r>
      <w:r w:rsidRPr="00C63262">
        <w:rPr>
          <w:rFonts w:asciiTheme="majorHAnsi" w:hAnsiTheme="majorHAnsi" w:cstheme="majorHAnsi"/>
          <w:b/>
          <w:bCs/>
          <w:snapToGrid w:val="0"/>
          <w:sz w:val="20"/>
          <w:szCs w:val="20"/>
          <w:lang w:val="en-US"/>
        </w:rPr>
        <w:t>your Region/Division</w:t>
      </w:r>
      <w:r w:rsidRPr="00C63262">
        <w:rPr>
          <w:rFonts w:asciiTheme="majorHAnsi" w:hAnsiTheme="majorHAnsi" w:cstheme="majorHAnsi"/>
          <w:bCs/>
          <w:snapToGrid w:val="0"/>
          <w:sz w:val="20"/>
          <w:szCs w:val="20"/>
          <w:lang w:val="en-US"/>
        </w:rPr>
        <w:t xml:space="preserve">? </w:t>
      </w:r>
    </w:p>
    <w:p w14:paraId="43614197" w14:textId="77777777" w:rsidR="008D0CAD" w:rsidRPr="005424E3" w:rsidRDefault="008D0CAD" w:rsidP="00DD08E3">
      <w:pPr>
        <w:widowControl w:val="0"/>
        <w:numPr>
          <w:ilvl w:val="1"/>
          <w:numId w:val="86"/>
        </w:numPr>
        <w:spacing w:before="100" w:beforeAutospacing="1" w:after="100" w:afterAutospacing="1" w:line="360" w:lineRule="auto"/>
        <w:ind w:left="788" w:hanging="431"/>
        <w:rPr>
          <w:rFonts w:asciiTheme="majorHAnsi" w:hAnsiTheme="majorHAnsi" w:cstheme="majorHAnsi"/>
          <w:b/>
          <w:bCs/>
          <w:snapToGrid w:val="0"/>
          <w:sz w:val="20"/>
          <w:szCs w:val="20"/>
          <w:lang w:val="en-US"/>
        </w:rPr>
      </w:pPr>
      <w:r w:rsidRPr="005424E3">
        <w:rPr>
          <w:rFonts w:asciiTheme="majorHAnsi" w:hAnsiTheme="majorHAnsi" w:cstheme="majorHAnsi"/>
          <w:b/>
          <w:bCs/>
          <w:snapToGrid w:val="0"/>
          <w:color w:val="000000"/>
          <w:sz w:val="20"/>
          <w:szCs w:val="20"/>
          <w:lang w:val="en-US"/>
        </w:rPr>
        <w:t>Learning &amp; Development (L&amp;D) systems</w:t>
      </w:r>
    </w:p>
    <w:p w14:paraId="051E1381" w14:textId="77777777" w:rsidR="008D0CAD" w:rsidRPr="00C63262" w:rsidRDefault="008D0CAD" w:rsidP="00DD08E3">
      <w:pPr>
        <w:widowControl w:val="0"/>
        <w:numPr>
          <w:ilvl w:val="2"/>
          <w:numId w:val="86"/>
        </w:numPr>
        <w:spacing w:before="100" w:beforeAutospacing="1" w:after="100" w:afterAutospacing="1" w:line="360" w:lineRule="auto"/>
        <w:contextualSpacing/>
        <w:rPr>
          <w:rFonts w:asciiTheme="majorHAnsi" w:hAnsiTheme="majorHAnsi" w:cstheme="majorHAnsi"/>
          <w:snapToGrid w:val="0"/>
          <w:sz w:val="20"/>
          <w:szCs w:val="20"/>
          <w:lang w:val="en-US"/>
        </w:rPr>
      </w:pPr>
      <w:r w:rsidRPr="00C63262">
        <w:rPr>
          <w:rFonts w:asciiTheme="majorHAnsi" w:hAnsiTheme="majorHAnsi" w:cstheme="majorHAnsi"/>
          <w:snapToGrid w:val="0"/>
          <w:color w:val="000000"/>
          <w:sz w:val="20"/>
          <w:szCs w:val="20"/>
          <w:lang w:val="en-US"/>
        </w:rPr>
        <w:t xml:space="preserve">Please explain how the L&amp;D trials were implemented in your </w:t>
      </w:r>
      <w:r w:rsidRPr="00C63262">
        <w:rPr>
          <w:rFonts w:asciiTheme="majorHAnsi" w:hAnsiTheme="majorHAnsi" w:cstheme="majorHAnsi"/>
          <w:bCs/>
          <w:snapToGrid w:val="0"/>
          <w:sz w:val="20"/>
          <w:szCs w:val="20"/>
          <w:lang w:val="en-US"/>
        </w:rPr>
        <w:t>Region/Division</w:t>
      </w:r>
      <w:r w:rsidRPr="00C63262">
        <w:rPr>
          <w:rFonts w:asciiTheme="majorHAnsi" w:hAnsiTheme="majorHAnsi" w:cstheme="majorHAnsi"/>
          <w:snapToGrid w:val="0"/>
          <w:color w:val="000000"/>
          <w:sz w:val="20"/>
          <w:szCs w:val="20"/>
          <w:lang w:val="en-US"/>
        </w:rPr>
        <w:t>? What were the requirements?</w:t>
      </w:r>
    </w:p>
    <w:p w14:paraId="6DDEE093" w14:textId="4EAF9221" w:rsidR="008D0CAD" w:rsidRPr="00C63262" w:rsidRDefault="008D0CAD" w:rsidP="00DD08E3">
      <w:pPr>
        <w:widowControl w:val="0"/>
        <w:numPr>
          <w:ilvl w:val="2"/>
          <w:numId w:val="86"/>
        </w:numPr>
        <w:spacing w:before="100" w:beforeAutospacing="1" w:after="100" w:afterAutospacing="1" w:line="360" w:lineRule="auto"/>
        <w:contextualSpacing/>
        <w:rPr>
          <w:rFonts w:asciiTheme="majorHAnsi" w:hAnsiTheme="majorHAnsi" w:cstheme="majorHAnsi"/>
          <w:snapToGrid w:val="0"/>
          <w:sz w:val="20"/>
          <w:szCs w:val="20"/>
          <w:lang w:val="en-US"/>
        </w:rPr>
      </w:pPr>
      <w:r w:rsidRPr="00C63262">
        <w:rPr>
          <w:rFonts w:asciiTheme="majorHAnsi" w:hAnsiTheme="majorHAnsi" w:cstheme="majorHAnsi"/>
          <w:snapToGrid w:val="0"/>
          <w:color w:val="000000"/>
          <w:sz w:val="20"/>
          <w:szCs w:val="20"/>
          <w:lang w:val="en-US"/>
        </w:rPr>
        <w:t>Who is eligible to receive L&amp;D?</w:t>
      </w:r>
      <w:r w:rsidR="00D434EB">
        <w:rPr>
          <w:rFonts w:asciiTheme="majorHAnsi" w:hAnsiTheme="majorHAnsi" w:cstheme="majorHAnsi"/>
          <w:snapToGrid w:val="0"/>
          <w:color w:val="000000"/>
          <w:sz w:val="20"/>
          <w:szCs w:val="20"/>
          <w:lang w:val="en-US"/>
        </w:rPr>
        <w:t xml:space="preserve"> </w:t>
      </w:r>
      <w:r w:rsidRPr="00C63262">
        <w:rPr>
          <w:rFonts w:asciiTheme="majorHAnsi" w:hAnsiTheme="majorHAnsi" w:cstheme="majorHAnsi"/>
          <w:snapToGrid w:val="0"/>
          <w:color w:val="000000"/>
          <w:sz w:val="20"/>
          <w:szCs w:val="20"/>
          <w:lang w:val="en-US"/>
        </w:rPr>
        <w:t xml:space="preserve">How often is this given or made available? </w:t>
      </w:r>
    </w:p>
    <w:p w14:paraId="1A5A67C2" w14:textId="77777777" w:rsidR="008D0CAD" w:rsidRPr="00C63262" w:rsidRDefault="008D0CAD" w:rsidP="00DD08E3">
      <w:pPr>
        <w:widowControl w:val="0"/>
        <w:numPr>
          <w:ilvl w:val="2"/>
          <w:numId w:val="86"/>
        </w:numPr>
        <w:spacing w:before="100" w:beforeAutospacing="1" w:after="100" w:afterAutospacing="1" w:line="360" w:lineRule="auto"/>
        <w:contextualSpacing/>
        <w:rPr>
          <w:rFonts w:asciiTheme="majorHAnsi" w:hAnsiTheme="majorHAnsi" w:cstheme="majorHAnsi"/>
          <w:snapToGrid w:val="0"/>
          <w:sz w:val="20"/>
          <w:szCs w:val="20"/>
          <w:lang w:val="en-US"/>
        </w:rPr>
      </w:pPr>
      <w:r w:rsidRPr="00C63262">
        <w:rPr>
          <w:rFonts w:asciiTheme="majorHAnsi" w:hAnsiTheme="majorHAnsi" w:cstheme="majorHAnsi"/>
          <w:snapToGrid w:val="0"/>
          <w:color w:val="000000"/>
          <w:sz w:val="20"/>
          <w:szCs w:val="20"/>
          <w:lang w:val="en-US"/>
        </w:rPr>
        <w:t xml:space="preserve">Do L&amp;D recipients have to do anything in return for L&amp;D? </w:t>
      </w:r>
    </w:p>
    <w:p w14:paraId="194B36CD" w14:textId="77777777" w:rsidR="008D0CAD" w:rsidRPr="00C63262" w:rsidRDefault="008D0CAD" w:rsidP="00DD08E3">
      <w:pPr>
        <w:widowControl w:val="0"/>
        <w:numPr>
          <w:ilvl w:val="2"/>
          <w:numId w:val="86"/>
        </w:numPr>
        <w:spacing w:before="100" w:beforeAutospacing="1" w:after="100" w:afterAutospacing="1" w:line="360" w:lineRule="auto"/>
        <w:contextualSpacing/>
        <w:rPr>
          <w:rFonts w:asciiTheme="majorHAnsi" w:hAnsiTheme="majorHAnsi" w:cstheme="majorHAnsi"/>
          <w:snapToGrid w:val="0"/>
          <w:sz w:val="20"/>
          <w:szCs w:val="20"/>
          <w:lang w:val="en-US"/>
        </w:rPr>
      </w:pPr>
      <w:r w:rsidRPr="00C63262">
        <w:rPr>
          <w:rFonts w:asciiTheme="majorHAnsi" w:hAnsiTheme="majorHAnsi" w:cstheme="majorHAnsi"/>
          <w:snapToGrid w:val="0"/>
          <w:color w:val="000000"/>
          <w:sz w:val="20"/>
          <w:szCs w:val="20"/>
          <w:lang w:val="en-US"/>
        </w:rPr>
        <w:t>Do you implement L&amp;D at your level even without instructions from your superiors (or the DepED level above you)?</w:t>
      </w:r>
    </w:p>
    <w:p w14:paraId="75820839" w14:textId="77777777" w:rsidR="008D0CAD" w:rsidRPr="00C63262" w:rsidRDefault="008D0CAD" w:rsidP="00DD08E3">
      <w:pPr>
        <w:widowControl w:val="0"/>
        <w:numPr>
          <w:ilvl w:val="2"/>
          <w:numId w:val="86"/>
        </w:numPr>
        <w:spacing w:before="100" w:beforeAutospacing="1" w:after="100" w:afterAutospacing="1" w:line="360" w:lineRule="auto"/>
        <w:ind w:left="1225" w:hanging="505"/>
        <w:rPr>
          <w:rFonts w:asciiTheme="majorHAnsi" w:hAnsiTheme="majorHAnsi" w:cstheme="majorHAnsi"/>
          <w:snapToGrid w:val="0"/>
          <w:sz w:val="20"/>
          <w:szCs w:val="20"/>
          <w:lang w:val="en-US"/>
        </w:rPr>
      </w:pPr>
      <w:r w:rsidRPr="00C63262">
        <w:rPr>
          <w:rFonts w:asciiTheme="majorHAnsi" w:hAnsiTheme="majorHAnsi" w:cstheme="majorHAnsi"/>
          <w:snapToGrid w:val="0"/>
          <w:color w:val="000000"/>
          <w:sz w:val="20"/>
          <w:szCs w:val="20"/>
          <w:lang w:val="en-US"/>
        </w:rPr>
        <w:t xml:space="preserve">How do you measure the successful implementation of L&amp;D in your </w:t>
      </w:r>
      <w:r w:rsidRPr="00C63262">
        <w:rPr>
          <w:rFonts w:asciiTheme="majorHAnsi" w:hAnsiTheme="majorHAnsi" w:cstheme="majorHAnsi"/>
          <w:bCs/>
          <w:snapToGrid w:val="0"/>
          <w:sz w:val="20"/>
          <w:szCs w:val="20"/>
          <w:lang w:val="en-US"/>
        </w:rPr>
        <w:t>Region/Division</w:t>
      </w:r>
      <w:r w:rsidRPr="00C63262">
        <w:rPr>
          <w:rFonts w:asciiTheme="majorHAnsi" w:hAnsiTheme="majorHAnsi" w:cstheme="majorHAnsi"/>
          <w:snapToGrid w:val="0"/>
          <w:color w:val="000000"/>
          <w:sz w:val="20"/>
          <w:szCs w:val="20"/>
          <w:lang w:val="en-US"/>
        </w:rPr>
        <w:t>?</w:t>
      </w:r>
    </w:p>
    <w:p w14:paraId="188263ED" w14:textId="77777777" w:rsidR="008D0CAD" w:rsidRPr="00C63262" w:rsidRDefault="008D0CAD" w:rsidP="00DD08E3">
      <w:pPr>
        <w:widowControl w:val="0"/>
        <w:numPr>
          <w:ilvl w:val="1"/>
          <w:numId w:val="86"/>
        </w:numPr>
        <w:spacing w:before="100" w:beforeAutospacing="1" w:after="100" w:afterAutospacing="1" w:line="360" w:lineRule="auto"/>
        <w:ind w:left="788" w:hanging="431"/>
        <w:rPr>
          <w:rFonts w:asciiTheme="majorHAnsi" w:hAnsiTheme="majorHAnsi" w:cstheme="majorHAnsi"/>
          <w:snapToGrid w:val="0"/>
          <w:sz w:val="20"/>
          <w:szCs w:val="20"/>
          <w:lang w:val="en-US"/>
        </w:rPr>
      </w:pPr>
      <w:r w:rsidRPr="00C63262">
        <w:rPr>
          <w:rFonts w:asciiTheme="majorHAnsi" w:hAnsiTheme="majorHAnsi" w:cstheme="majorHAnsi"/>
          <w:b/>
          <w:snapToGrid w:val="0"/>
          <w:sz w:val="20"/>
          <w:szCs w:val="20"/>
          <w:lang w:val="en-US"/>
        </w:rPr>
        <w:t>Philippine Professional Standards for Teachers (PPST)</w:t>
      </w:r>
    </w:p>
    <w:p w14:paraId="5D404041" w14:textId="77777777" w:rsidR="008D0CAD" w:rsidRPr="00C63262" w:rsidRDefault="008D0CAD" w:rsidP="00DD08E3">
      <w:pPr>
        <w:widowControl w:val="0"/>
        <w:numPr>
          <w:ilvl w:val="2"/>
          <w:numId w:val="86"/>
        </w:numPr>
        <w:spacing w:before="100" w:beforeAutospacing="1" w:after="100" w:afterAutospacing="1" w:line="360" w:lineRule="auto"/>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 xml:space="preserve">How was the PPST implemented in your </w:t>
      </w:r>
      <w:r w:rsidRPr="00C63262">
        <w:rPr>
          <w:rFonts w:asciiTheme="majorHAnsi" w:hAnsiTheme="majorHAnsi" w:cstheme="majorHAnsi"/>
          <w:bCs/>
          <w:snapToGrid w:val="0"/>
          <w:sz w:val="20"/>
          <w:szCs w:val="20"/>
          <w:lang w:val="en-US"/>
        </w:rPr>
        <w:t>Region/Division</w:t>
      </w:r>
      <w:r w:rsidRPr="00C63262">
        <w:rPr>
          <w:rFonts w:asciiTheme="majorHAnsi" w:hAnsiTheme="majorHAnsi" w:cstheme="majorHAnsi"/>
          <w:snapToGrid w:val="0"/>
          <w:sz w:val="20"/>
          <w:szCs w:val="20"/>
          <w:lang w:val="en-US"/>
        </w:rPr>
        <w:t>? What is its link to the Results-based Performance Management System (RPMS)?</w:t>
      </w:r>
    </w:p>
    <w:p w14:paraId="04EDF08F" w14:textId="77777777" w:rsidR="008D0CAD" w:rsidRPr="00C63262" w:rsidRDefault="008D0CAD" w:rsidP="00DD08E3">
      <w:pPr>
        <w:widowControl w:val="0"/>
        <w:numPr>
          <w:ilvl w:val="2"/>
          <w:numId w:val="86"/>
        </w:numPr>
        <w:spacing w:before="100" w:beforeAutospacing="1" w:after="100" w:afterAutospacing="1" w:line="360" w:lineRule="auto"/>
        <w:rPr>
          <w:rFonts w:asciiTheme="majorHAnsi" w:hAnsiTheme="majorHAnsi" w:cstheme="majorHAnsi"/>
          <w:snapToGrid w:val="0"/>
          <w:sz w:val="20"/>
          <w:szCs w:val="20"/>
          <w:lang w:val="en-US"/>
        </w:rPr>
      </w:pPr>
      <w:r w:rsidRPr="00C63262">
        <w:rPr>
          <w:rFonts w:asciiTheme="majorHAnsi" w:hAnsiTheme="majorHAnsi" w:cstheme="majorHAnsi"/>
          <w:snapToGrid w:val="0"/>
          <w:color w:val="000000" w:themeColor="text1"/>
          <w:sz w:val="20"/>
          <w:szCs w:val="20"/>
          <w:lang w:val="en-US"/>
        </w:rPr>
        <w:t>Do you find the Classroom Observation Tool (COT) effective for assessing teacher performance? Why or why not?</w:t>
      </w:r>
    </w:p>
    <w:p w14:paraId="3732437D" w14:textId="77777777" w:rsidR="008D0CAD" w:rsidRPr="00C63262" w:rsidRDefault="008D0CAD" w:rsidP="00DD08E3">
      <w:pPr>
        <w:widowControl w:val="0"/>
        <w:numPr>
          <w:ilvl w:val="2"/>
          <w:numId w:val="86"/>
        </w:numPr>
        <w:spacing w:before="100" w:beforeAutospacing="1" w:after="100" w:afterAutospacing="1" w:line="360" w:lineRule="auto"/>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How did you assess teacher performance before the introduction of the COT?</w:t>
      </w:r>
    </w:p>
    <w:p w14:paraId="1E53EC54" w14:textId="77777777" w:rsidR="008D0CAD" w:rsidRPr="00C63262" w:rsidRDefault="008D0CAD" w:rsidP="00DD08E3">
      <w:pPr>
        <w:widowControl w:val="0"/>
        <w:numPr>
          <w:ilvl w:val="2"/>
          <w:numId w:val="86"/>
        </w:numPr>
        <w:spacing w:before="100" w:beforeAutospacing="1" w:after="100" w:afterAutospacing="1" w:line="360" w:lineRule="auto"/>
        <w:rPr>
          <w:rFonts w:asciiTheme="majorHAnsi" w:hAnsiTheme="majorHAnsi" w:cstheme="majorHAnsi"/>
          <w:snapToGrid w:val="0"/>
          <w:sz w:val="20"/>
          <w:szCs w:val="20"/>
          <w:lang w:val="en-US"/>
        </w:rPr>
      </w:pPr>
      <w:r w:rsidRPr="00C63262">
        <w:rPr>
          <w:rFonts w:asciiTheme="majorHAnsi" w:hAnsiTheme="majorHAnsi" w:cstheme="majorHAnsi"/>
          <w:snapToGrid w:val="0"/>
          <w:color w:val="000000" w:themeColor="text1"/>
          <w:sz w:val="20"/>
          <w:szCs w:val="20"/>
          <w:lang w:val="en-US"/>
        </w:rPr>
        <w:t xml:space="preserve">Do you think that the Self-Assessment Tool (SAT) useful to teachers? Why or why not? </w:t>
      </w:r>
    </w:p>
    <w:p w14:paraId="149E04CC" w14:textId="77777777" w:rsidR="008D0CAD" w:rsidRPr="00C63262" w:rsidRDefault="008D0CAD" w:rsidP="00DD08E3">
      <w:pPr>
        <w:widowControl w:val="0"/>
        <w:numPr>
          <w:ilvl w:val="2"/>
          <w:numId w:val="86"/>
        </w:numPr>
        <w:spacing w:before="100" w:beforeAutospacing="1" w:after="100" w:afterAutospacing="1" w:line="360" w:lineRule="auto"/>
        <w:rPr>
          <w:rFonts w:asciiTheme="majorHAnsi" w:hAnsiTheme="majorHAnsi" w:cstheme="majorHAnsi"/>
          <w:snapToGrid w:val="0"/>
          <w:sz w:val="20"/>
          <w:szCs w:val="20"/>
          <w:lang w:val="en-US"/>
        </w:rPr>
      </w:pPr>
      <w:r w:rsidRPr="00C63262">
        <w:rPr>
          <w:rFonts w:asciiTheme="majorHAnsi" w:hAnsiTheme="majorHAnsi" w:cstheme="majorHAnsi"/>
          <w:snapToGrid w:val="0"/>
          <w:color w:val="000000" w:themeColor="text1"/>
          <w:sz w:val="20"/>
          <w:szCs w:val="20"/>
          <w:lang w:val="en-US"/>
        </w:rPr>
        <w:t xml:space="preserve">Do you think that the LAC, session guides, and other learning materials useful to teachers? Why or why not? </w:t>
      </w:r>
    </w:p>
    <w:p w14:paraId="0D2AB505" w14:textId="77777777" w:rsidR="008D0CAD" w:rsidRPr="00C63262" w:rsidRDefault="008D0CAD" w:rsidP="00DD08E3">
      <w:pPr>
        <w:widowControl w:val="0"/>
        <w:numPr>
          <w:ilvl w:val="2"/>
          <w:numId w:val="86"/>
        </w:numPr>
        <w:spacing w:before="100" w:beforeAutospacing="1" w:after="100" w:afterAutospacing="1" w:line="360" w:lineRule="auto"/>
        <w:ind w:left="1225" w:hanging="505"/>
        <w:rPr>
          <w:rFonts w:asciiTheme="majorHAnsi" w:hAnsiTheme="majorHAnsi" w:cstheme="majorHAnsi"/>
          <w:snapToGrid w:val="0"/>
          <w:sz w:val="20"/>
          <w:szCs w:val="20"/>
          <w:lang w:val="en-US"/>
        </w:rPr>
      </w:pPr>
      <w:r w:rsidRPr="00C63262">
        <w:rPr>
          <w:rFonts w:asciiTheme="majorHAnsi" w:hAnsiTheme="majorHAnsi" w:cstheme="majorHAnsi"/>
          <w:snapToGrid w:val="0"/>
          <w:color w:val="000000" w:themeColor="text1"/>
          <w:sz w:val="20"/>
          <w:szCs w:val="20"/>
          <w:lang w:val="en-US"/>
        </w:rPr>
        <w:t>Do you think that the current PPST useful for improving the delivery of basic education? Why or why not?</w:t>
      </w:r>
      <w:r w:rsidRPr="00C63262">
        <w:rPr>
          <w:rFonts w:asciiTheme="majorHAnsi" w:hAnsiTheme="majorHAnsi" w:cstheme="majorHAnsi"/>
          <w:snapToGrid w:val="0"/>
          <w:color w:val="000000"/>
          <w:sz w:val="20"/>
          <w:szCs w:val="20"/>
          <w:lang w:val="en-US"/>
        </w:rPr>
        <w:t xml:space="preserve"> How do you measure the successful implementation of PPST? </w:t>
      </w:r>
    </w:p>
    <w:p w14:paraId="3A6F290E" w14:textId="77777777" w:rsidR="008D0CAD" w:rsidRPr="005424E3" w:rsidRDefault="008D0CAD" w:rsidP="00DD08E3">
      <w:pPr>
        <w:widowControl w:val="0"/>
        <w:numPr>
          <w:ilvl w:val="1"/>
          <w:numId w:val="86"/>
        </w:numPr>
        <w:spacing w:before="100" w:beforeAutospacing="1" w:after="100" w:afterAutospacing="1" w:line="360" w:lineRule="auto"/>
        <w:ind w:left="788" w:hanging="431"/>
        <w:rPr>
          <w:rFonts w:asciiTheme="majorHAnsi" w:hAnsiTheme="majorHAnsi" w:cstheme="majorHAnsi"/>
          <w:b/>
          <w:snapToGrid w:val="0"/>
          <w:sz w:val="20"/>
          <w:szCs w:val="20"/>
          <w:lang w:val="en-US"/>
        </w:rPr>
      </w:pPr>
      <w:r w:rsidRPr="005424E3">
        <w:rPr>
          <w:rFonts w:asciiTheme="majorHAnsi" w:hAnsiTheme="majorHAnsi" w:cstheme="majorHAnsi"/>
          <w:b/>
          <w:snapToGrid w:val="0"/>
          <w:sz w:val="20"/>
          <w:szCs w:val="20"/>
          <w:lang w:val="en-US"/>
        </w:rPr>
        <w:t>Curriculum and assessment systems (CAS)</w:t>
      </w:r>
    </w:p>
    <w:p w14:paraId="5586C651" w14:textId="77777777" w:rsidR="008D0CAD" w:rsidRPr="00C63262" w:rsidRDefault="008D0CAD" w:rsidP="00DD08E3">
      <w:pPr>
        <w:widowControl w:val="0"/>
        <w:numPr>
          <w:ilvl w:val="2"/>
          <w:numId w:val="86"/>
        </w:numPr>
        <w:spacing w:before="100" w:beforeAutospacing="1" w:after="100" w:afterAutospacing="1" w:line="360" w:lineRule="auto"/>
        <w:rPr>
          <w:rFonts w:asciiTheme="majorHAnsi" w:hAnsiTheme="majorHAnsi" w:cstheme="majorHAnsi"/>
          <w:snapToGrid w:val="0"/>
          <w:sz w:val="20"/>
          <w:szCs w:val="20"/>
          <w:lang w:val="en-US"/>
        </w:rPr>
      </w:pPr>
      <w:r w:rsidRPr="00C63262">
        <w:rPr>
          <w:rFonts w:asciiTheme="majorHAnsi" w:hAnsiTheme="majorHAnsi" w:cstheme="majorHAnsi"/>
          <w:snapToGrid w:val="0"/>
          <w:color w:val="000000" w:themeColor="text1"/>
          <w:sz w:val="20"/>
          <w:szCs w:val="20"/>
          <w:lang w:val="en-US"/>
        </w:rPr>
        <w:t xml:space="preserve">How is a curriculum is developed and rolled out across DepED schools and grade levels in your </w:t>
      </w:r>
      <w:r w:rsidRPr="00C63262">
        <w:rPr>
          <w:rFonts w:asciiTheme="majorHAnsi" w:hAnsiTheme="majorHAnsi" w:cstheme="majorHAnsi"/>
          <w:bCs/>
          <w:snapToGrid w:val="0"/>
          <w:sz w:val="20"/>
          <w:szCs w:val="20"/>
          <w:lang w:val="en-US"/>
        </w:rPr>
        <w:t>Region/Division</w:t>
      </w:r>
      <w:r w:rsidRPr="00C63262">
        <w:rPr>
          <w:rFonts w:asciiTheme="majorHAnsi" w:hAnsiTheme="majorHAnsi" w:cstheme="majorHAnsi"/>
          <w:snapToGrid w:val="0"/>
          <w:color w:val="000000" w:themeColor="text1"/>
          <w:sz w:val="20"/>
          <w:szCs w:val="20"/>
          <w:lang w:val="en-US"/>
        </w:rPr>
        <w:t>?</w:t>
      </w:r>
    </w:p>
    <w:p w14:paraId="2E72EF2A" w14:textId="4085E843" w:rsidR="008D0CAD" w:rsidRPr="00C63262" w:rsidRDefault="008D0CAD" w:rsidP="00DD08E3">
      <w:pPr>
        <w:widowControl w:val="0"/>
        <w:numPr>
          <w:ilvl w:val="2"/>
          <w:numId w:val="86"/>
        </w:numPr>
        <w:spacing w:before="100" w:beforeAutospacing="1" w:after="100" w:afterAutospacing="1" w:line="360" w:lineRule="auto"/>
        <w:rPr>
          <w:rFonts w:asciiTheme="majorHAnsi" w:hAnsiTheme="majorHAnsi" w:cstheme="majorHAnsi"/>
          <w:snapToGrid w:val="0"/>
          <w:sz w:val="20"/>
          <w:szCs w:val="20"/>
          <w:lang w:val="en-US"/>
        </w:rPr>
      </w:pPr>
      <w:r w:rsidRPr="00C63262">
        <w:rPr>
          <w:rFonts w:asciiTheme="majorHAnsi" w:hAnsiTheme="majorHAnsi" w:cstheme="majorHAnsi"/>
          <w:snapToGrid w:val="0"/>
          <w:color w:val="000000" w:themeColor="text1"/>
          <w:sz w:val="20"/>
          <w:szCs w:val="20"/>
          <w:lang w:val="en-US"/>
        </w:rPr>
        <w:t xml:space="preserve">How are student assessments developed and rolled out across DepED schools and grade levels in your </w:t>
      </w:r>
      <w:r w:rsidRPr="00C63262">
        <w:rPr>
          <w:rFonts w:asciiTheme="majorHAnsi" w:hAnsiTheme="majorHAnsi" w:cstheme="majorHAnsi"/>
          <w:bCs/>
          <w:snapToGrid w:val="0"/>
          <w:sz w:val="20"/>
          <w:szCs w:val="20"/>
          <w:lang w:val="en-US"/>
        </w:rPr>
        <w:t>Region/Division</w:t>
      </w:r>
      <w:r w:rsidRPr="00C63262">
        <w:rPr>
          <w:rFonts w:asciiTheme="majorHAnsi" w:hAnsiTheme="majorHAnsi" w:cstheme="majorHAnsi"/>
          <w:snapToGrid w:val="0"/>
          <w:color w:val="000000" w:themeColor="text1"/>
          <w:sz w:val="20"/>
          <w:szCs w:val="20"/>
          <w:lang w:val="en-US"/>
        </w:rPr>
        <w:t xml:space="preserve">? </w:t>
      </w:r>
      <w:r w:rsidRPr="00C63262">
        <w:rPr>
          <w:rFonts w:asciiTheme="majorHAnsi" w:hAnsiTheme="majorHAnsi" w:cstheme="majorHAnsi"/>
          <w:snapToGrid w:val="0"/>
          <w:color w:val="000000"/>
          <w:sz w:val="20"/>
          <w:szCs w:val="20"/>
          <w:lang w:val="en-US"/>
        </w:rPr>
        <w:t>Who is responsible for preparing assessment criteria?</w:t>
      </w:r>
      <w:r w:rsidR="00D434EB">
        <w:rPr>
          <w:rFonts w:asciiTheme="majorHAnsi" w:hAnsiTheme="majorHAnsi" w:cstheme="majorHAnsi"/>
          <w:snapToGrid w:val="0"/>
          <w:color w:val="000000"/>
          <w:sz w:val="20"/>
          <w:szCs w:val="20"/>
          <w:lang w:val="en-US"/>
        </w:rPr>
        <w:t xml:space="preserve"> </w:t>
      </w:r>
      <w:r w:rsidRPr="00C63262">
        <w:rPr>
          <w:rFonts w:asciiTheme="majorHAnsi" w:hAnsiTheme="majorHAnsi" w:cstheme="majorHAnsi"/>
          <w:snapToGrid w:val="0"/>
          <w:color w:val="000000"/>
          <w:sz w:val="20"/>
          <w:szCs w:val="20"/>
          <w:lang w:val="en-US"/>
        </w:rPr>
        <w:t>What about test questions?</w:t>
      </w:r>
    </w:p>
    <w:p w14:paraId="0A4DDAA7" w14:textId="77777777" w:rsidR="008D0CAD" w:rsidRPr="00C63262" w:rsidRDefault="008D0CAD" w:rsidP="00DD08E3">
      <w:pPr>
        <w:widowControl w:val="0"/>
        <w:numPr>
          <w:ilvl w:val="2"/>
          <w:numId w:val="86"/>
        </w:numPr>
        <w:spacing w:before="100" w:beforeAutospacing="1" w:after="100" w:afterAutospacing="1" w:line="360" w:lineRule="auto"/>
        <w:rPr>
          <w:rFonts w:asciiTheme="majorHAnsi" w:hAnsiTheme="majorHAnsi" w:cstheme="majorHAnsi"/>
          <w:snapToGrid w:val="0"/>
          <w:sz w:val="20"/>
          <w:szCs w:val="20"/>
          <w:lang w:val="en-US"/>
        </w:rPr>
      </w:pPr>
      <w:r w:rsidRPr="00C63262">
        <w:rPr>
          <w:rFonts w:asciiTheme="majorHAnsi" w:hAnsiTheme="majorHAnsi" w:cstheme="majorHAnsi"/>
          <w:snapToGrid w:val="0"/>
          <w:color w:val="000000" w:themeColor="text1"/>
          <w:sz w:val="20"/>
          <w:szCs w:val="20"/>
          <w:lang w:val="en-US"/>
        </w:rPr>
        <w:t>How is the process of curriculum and assessment different today that it was five years ago before the start of the BEST Program?</w:t>
      </w:r>
      <w:r w:rsidRPr="00C63262">
        <w:rPr>
          <w:rFonts w:asciiTheme="majorHAnsi" w:hAnsiTheme="majorHAnsi" w:cstheme="majorHAnsi"/>
          <w:snapToGrid w:val="0"/>
          <w:color w:val="000000"/>
          <w:sz w:val="20"/>
          <w:szCs w:val="20"/>
          <w:lang w:val="en-US"/>
        </w:rPr>
        <w:t xml:space="preserve"> </w:t>
      </w:r>
    </w:p>
    <w:p w14:paraId="67C9FB94" w14:textId="77777777" w:rsidR="008D0CAD" w:rsidRPr="00C63262" w:rsidRDefault="008D0CAD" w:rsidP="00DD08E3">
      <w:pPr>
        <w:widowControl w:val="0"/>
        <w:numPr>
          <w:ilvl w:val="2"/>
          <w:numId w:val="86"/>
        </w:numPr>
        <w:spacing w:before="100" w:beforeAutospacing="1" w:after="100" w:afterAutospacing="1" w:line="360" w:lineRule="auto"/>
        <w:ind w:left="1225" w:hanging="505"/>
        <w:rPr>
          <w:rFonts w:asciiTheme="majorHAnsi" w:hAnsiTheme="majorHAnsi" w:cstheme="majorHAnsi"/>
          <w:snapToGrid w:val="0"/>
          <w:sz w:val="20"/>
          <w:szCs w:val="20"/>
          <w:lang w:val="en-US"/>
        </w:rPr>
      </w:pPr>
      <w:r w:rsidRPr="00C63262">
        <w:rPr>
          <w:rFonts w:asciiTheme="majorHAnsi" w:hAnsiTheme="majorHAnsi" w:cstheme="majorHAnsi"/>
          <w:snapToGrid w:val="0"/>
          <w:color w:val="000000"/>
          <w:sz w:val="20"/>
          <w:szCs w:val="20"/>
          <w:lang w:val="en-US"/>
        </w:rPr>
        <w:t>How do you measure the successful implementation of CAS?</w:t>
      </w:r>
    </w:p>
    <w:p w14:paraId="4AC53E79" w14:textId="77777777" w:rsidR="008D0CAD" w:rsidRPr="005424E3" w:rsidRDefault="008D0CAD" w:rsidP="00DD08E3">
      <w:pPr>
        <w:widowControl w:val="0"/>
        <w:numPr>
          <w:ilvl w:val="1"/>
          <w:numId w:val="86"/>
        </w:numPr>
        <w:spacing w:before="100" w:beforeAutospacing="1" w:after="100" w:afterAutospacing="1" w:line="360" w:lineRule="auto"/>
        <w:ind w:left="788" w:hanging="431"/>
        <w:rPr>
          <w:rFonts w:asciiTheme="majorHAnsi" w:hAnsiTheme="majorHAnsi" w:cstheme="majorHAnsi"/>
          <w:b/>
          <w:snapToGrid w:val="0"/>
          <w:sz w:val="20"/>
          <w:szCs w:val="20"/>
          <w:lang w:val="en-US"/>
        </w:rPr>
      </w:pPr>
      <w:r w:rsidRPr="005424E3">
        <w:rPr>
          <w:rFonts w:asciiTheme="majorHAnsi" w:hAnsiTheme="majorHAnsi" w:cstheme="majorHAnsi"/>
          <w:b/>
          <w:snapToGrid w:val="0"/>
          <w:sz w:val="20"/>
          <w:szCs w:val="20"/>
          <w:lang w:val="en-US"/>
        </w:rPr>
        <w:t>Teacher pre-service quality improvement (TPQI)</w:t>
      </w:r>
    </w:p>
    <w:p w14:paraId="0BFA7C68" w14:textId="77777777" w:rsidR="008D0CAD" w:rsidRPr="00C63262" w:rsidRDefault="008D0CAD" w:rsidP="00DD08E3">
      <w:pPr>
        <w:widowControl w:val="0"/>
        <w:numPr>
          <w:ilvl w:val="2"/>
          <w:numId w:val="86"/>
        </w:numPr>
        <w:spacing w:before="100" w:beforeAutospacing="1" w:after="100" w:afterAutospacing="1" w:line="360" w:lineRule="auto"/>
        <w:rPr>
          <w:rFonts w:asciiTheme="majorHAnsi" w:hAnsiTheme="majorHAnsi" w:cstheme="majorHAnsi"/>
          <w:snapToGrid w:val="0"/>
          <w:sz w:val="20"/>
          <w:szCs w:val="20"/>
          <w:lang w:val="en-US"/>
        </w:rPr>
      </w:pPr>
      <w:r w:rsidRPr="00C63262">
        <w:rPr>
          <w:rFonts w:asciiTheme="majorHAnsi" w:hAnsiTheme="majorHAnsi" w:cstheme="majorHAnsi"/>
          <w:snapToGrid w:val="0"/>
          <w:color w:val="000000"/>
          <w:sz w:val="20"/>
          <w:szCs w:val="20"/>
          <w:lang w:val="en-US"/>
        </w:rPr>
        <w:t xml:space="preserve">How did the reforms in the teacher pre-service/in-service affect your </w:t>
      </w:r>
      <w:r w:rsidRPr="00C63262">
        <w:rPr>
          <w:rFonts w:asciiTheme="majorHAnsi" w:hAnsiTheme="majorHAnsi" w:cstheme="majorHAnsi"/>
          <w:bCs/>
          <w:snapToGrid w:val="0"/>
          <w:sz w:val="20"/>
          <w:szCs w:val="20"/>
          <w:lang w:val="en-US"/>
        </w:rPr>
        <w:t>Region/Division</w:t>
      </w:r>
      <w:r w:rsidRPr="00C63262">
        <w:rPr>
          <w:rFonts w:asciiTheme="majorHAnsi" w:hAnsiTheme="majorHAnsi" w:cstheme="majorHAnsi"/>
          <w:snapToGrid w:val="0"/>
          <w:color w:val="000000"/>
          <w:sz w:val="20"/>
          <w:szCs w:val="20"/>
          <w:lang w:val="en-US"/>
        </w:rPr>
        <w:t>?</w:t>
      </w:r>
    </w:p>
    <w:p w14:paraId="23834A18" w14:textId="77777777" w:rsidR="008D0CAD" w:rsidRPr="00C63262" w:rsidRDefault="008D0CAD" w:rsidP="00DD08E3">
      <w:pPr>
        <w:widowControl w:val="0"/>
        <w:numPr>
          <w:ilvl w:val="2"/>
          <w:numId w:val="86"/>
        </w:numPr>
        <w:spacing w:before="100" w:beforeAutospacing="1" w:after="100" w:afterAutospacing="1" w:line="360" w:lineRule="auto"/>
        <w:ind w:left="1350" w:hanging="539"/>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How was the Philippine Professional Standards for Teachers</w:t>
      </w:r>
      <w:r w:rsidRPr="00C63262">
        <w:rPr>
          <w:rFonts w:asciiTheme="majorHAnsi" w:hAnsiTheme="majorHAnsi" w:cstheme="majorHAnsi"/>
          <w:b/>
          <w:snapToGrid w:val="0"/>
          <w:sz w:val="20"/>
          <w:szCs w:val="20"/>
          <w:lang w:val="en-US"/>
        </w:rPr>
        <w:t xml:space="preserve"> </w:t>
      </w:r>
      <w:r w:rsidRPr="00C63262">
        <w:rPr>
          <w:rFonts w:asciiTheme="majorHAnsi" w:hAnsiTheme="majorHAnsi" w:cstheme="majorHAnsi"/>
          <w:snapToGrid w:val="0"/>
          <w:sz w:val="20"/>
          <w:szCs w:val="20"/>
          <w:lang w:val="en-US"/>
        </w:rPr>
        <w:t>linked with the Teacher Induction Program (TIP)?</w:t>
      </w:r>
    </w:p>
    <w:p w14:paraId="7EBE49EA" w14:textId="77777777" w:rsidR="008D0CAD" w:rsidRPr="005424E3" w:rsidRDefault="008D0CAD" w:rsidP="00DD08E3">
      <w:pPr>
        <w:widowControl w:val="0"/>
        <w:numPr>
          <w:ilvl w:val="1"/>
          <w:numId w:val="86"/>
        </w:numPr>
        <w:spacing w:before="100" w:beforeAutospacing="1" w:after="100" w:afterAutospacing="1" w:line="360" w:lineRule="auto"/>
        <w:ind w:left="788" w:hanging="431"/>
        <w:rPr>
          <w:rFonts w:asciiTheme="majorHAnsi" w:hAnsiTheme="majorHAnsi" w:cstheme="majorHAnsi"/>
          <w:b/>
          <w:bCs/>
          <w:snapToGrid w:val="0"/>
          <w:sz w:val="20"/>
          <w:szCs w:val="20"/>
          <w:lang w:val="en-US"/>
        </w:rPr>
      </w:pPr>
      <w:r w:rsidRPr="005424E3">
        <w:rPr>
          <w:rFonts w:asciiTheme="majorHAnsi" w:hAnsiTheme="majorHAnsi" w:cstheme="majorHAnsi"/>
          <w:b/>
          <w:bCs/>
          <w:snapToGrid w:val="0"/>
          <w:sz w:val="20"/>
          <w:szCs w:val="20"/>
          <w:lang w:val="en-US"/>
        </w:rPr>
        <w:t>School-Based Management (SBM)</w:t>
      </w:r>
    </w:p>
    <w:p w14:paraId="652695FC" w14:textId="77777777" w:rsidR="008D0CAD" w:rsidRPr="00C63262" w:rsidRDefault="008D0CAD" w:rsidP="00DD08E3">
      <w:pPr>
        <w:widowControl w:val="0"/>
        <w:numPr>
          <w:ilvl w:val="2"/>
          <w:numId w:val="86"/>
        </w:numPr>
        <w:spacing w:before="100" w:beforeAutospacing="1" w:after="100" w:afterAutospacing="1" w:line="360" w:lineRule="auto"/>
        <w:rPr>
          <w:rFonts w:asciiTheme="majorHAnsi" w:hAnsiTheme="majorHAnsi" w:cstheme="majorHAnsi"/>
          <w:snapToGrid w:val="0"/>
          <w:sz w:val="20"/>
          <w:szCs w:val="20"/>
          <w:lang w:val="en-US"/>
        </w:rPr>
      </w:pPr>
      <w:r w:rsidRPr="00C63262">
        <w:rPr>
          <w:rFonts w:asciiTheme="majorHAnsi" w:hAnsiTheme="majorHAnsi" w:cstheme="majorHAnsi"/>
          <w:bCs/>
          <w:snapToGrid w:val="0"/>
          <w:sz w:val="20"/>
          <w:szCs w:val="20"/>
          <w:lang w:val="en-US"/>
        </w:rPr>
        <w:t>How were the performance of schools assessed five years ago, prior to the creation of the School-Based Management system?</w:t>
      </w:r>
    </w:p>
    <w:p w14:paraId="1454C7AE" w14:textId="77777777" w:rsidR="008D0CAD" w:rsidRPr="00C63262" w:rsidRDefault="008D0CAD" w:rsidP="00DD08E3">
      <w:pPr>
        <w:widowControl w:val="0"/>
        <w:numPr>
          <w:ilvl w:val="2"/>
          <w:numId w:val="86"/>
        </w:numPr>
        <w:spacing w:before="100" w:beforeAutospacing="1" w:after="100" w:afterAutospacing="1" w:line="360" w:lineRule="auto"/>
        <w:rPr>
          <w:rFonts w:asciiTheme="majorHAnsi" w:hAnsiTheme="majorHAnsi" w:cstheme="majorHAnsi"/>
          <w:snapToGrid w:val="0"/>
          <w:sz w:val="20"/>
          <w:szCs w:val="20"/>
          <w:lang w:val="en-US"/>
        </w:rPr>
      </w:pPr>
      <w:r w:rsidRPr="00C63262">
        <w:rPr>
          <w:rFonts w:asciiTheme="majorHAnsi" w:hAnsiTheme="majorHAnsi" w:cstheme="majorHAnsi"/>
          <w:bCs/>
          <w:snapToGrid w:val="0"/>
          <w:sz w:val="20"/>
          <w:szCs w:val="20"/>
          <w:lang w:val="en-US"/>
        </w:rPr>
        <w:t>How was the SBM Assessment Framework implemented in your Region/Division? Were there any challenges encountered when implementing this reform?</w:t>
      </w:r>
      <w:r w:rsidRPr="00C63262">
        <w:rPr>
          <w:rFonts w:asciiTheme="majorHAnsi" w:hAnsiTheme="majorHAnsi" w:cstheme="majorHAnsi"/>
          <w:snapToGrid w:val="0"/>
          <w:sz w:val="20"/>
          <w:szCs w:val="20"/>
          <w:lang w:val="en-US"/>
        </w:rPr>
        <w:t xml:space="preserve"> </w:t>
      </w:r>
    </w:p>
    <w:p w14:paraId="137D1D9A" w14:textId="77777777" w:rsidR="008D0CAD" w:rsidRPr="00C63262" w:rsidRDefault="008D0CAD" w:rsidP="00DD08E3">
      <w:pPr>
        <w:widowControl w:val="0"/>
        <w:numPr>
          <w:ilvl w:val="2"/>
          <w:numId w:val="86"/>
        </w:numPr>
        <w:spacing w:before="100" w:beforeAutospacing="1" w:after="100" w:afterAutospacing="1" w:line="360" w:lineRule="auto"/>
        <w:rPr>
          <w:rFonts w:asciiTheme="majorHAnsi" w:hAnsiTheme="majorHAnsi" w:cstheme="majorHAnsi"/>
          <w:snapToGrid w:val="0"/>
          <w:sz w:val="20"/>
          <w:szCs w:val="20"/>
          <w:lang w:val="en-US"/>
        </w:rPr>
      </w:pPr>
      <w:r w:rsidRPr="00C63262">
        <w:rPr>
          <w:rFonts w:asciiTheme="majorHAnsi" w:hAnsiTheme="majorHAnsi" w:cstheme="majorHAnsi"/>
          <w:snapToGrid w:val="0"/>
          <w:color w:val="000000"/>
          <w:sz w:val="20"/>
          <w:szCs w:val="20"/>
          <w:lang w:val="en-US"/>
        </w:rPr>
        <w:t xml:space="preserve">Do you have functioning the </w:t>
      </w:r>
      <w:r w:rsidRPr="00C63262">
        <w:rPr>
          <w:rFonts w:asciiTheme="majorHAnsi" w:hAnsiTheme="majorHAnsi" w:cstheme="majorHAnsi"/>
          <w:snapToGrid w:val="0"/>
          <w:sz w:val="20"/>
          <w:szCs w:val="20"/>
          <w:lang w:val="en-US"/>
        </w:rPr>
        <w:t xml:space="preserve">School Governance Councils (SGCs) in your </w:t>
      </w:r>
      <w:r w:rsidRPr="00C63262">
        <w:rPr>
          <w:rFonts w:asciiTheme="majorHAnsi" w:hAnsiTheme="majorHAnsi" w:cstheme="majorHAnsi"/>
          <w:bCs/>
          <w:snapToGrid w:val="0"/>
          <w:sz w:val="20"/>
          <w:szCs w:val="20"/>
          <w:lang w:val="en-US"/>
        </w:rPr>
        <w:t>Region/Division</w:t>
      </w:r>
      <w:r w:rsidRPr="00C63262">
        <w:rPr>
          <w:rFonts w:asciiTheme="majorHAnsi" w:hAnsiTheme="majorHAnsi" w:cstheme="majorHAnsi"/>
          <w:snapToGrid w:val="0"/>
          <w:color w:val="000000"/>
          <w:sz w:val="20"/>
          <w:szCs w:val="20"/>
          <w:lang w:val="en-US"/>
        </w:rPr>
        <w:t>?</w:t>
      </w:r>
    </w:p>
    <w:p w14:paraId="41E56A0C" w14:textId="77777777" w:rsidR="008D0CAD" w:rsidRPr="00C63262" w:rsidRDefault="008D0CAD" w:rsidP="00DD08E3">
      <w:pPr>
        <w:widowControl w:val="0"/>
        <w:numPr>
          <w:ilvl w:val="2"/>
          <w:numId w:val="86"/>
        </w:numPr>
        <w:spacing w:before="100" w:beforeAutospacing="1" w:after="100" w:afterAutospacing="1" w:line="360" w:lineRule="auto"/>
        <w:rPr>
          <w:rFonts w:asciiTheme="majorHAnsi" w:hAnsiTheme="majorHAnsi" w:cstheme="majorHAnsi"/>
          <w:snapToGrid w:val="0"/>
          <w:sz w:val="20"/>
          <w:szCs w:val="20"/>
          <w:lang w:val="en-US"/>
        </w:rPr>
      </w:pPr>
      <w:r w:rsidRPr="00C63262">
        <w:rPr>
          <w:rFonts w:asciiTheme="majorHAnsi" w:hAnsiTheme="majorHAnsi" w:cstheme="majorHAnsi"/>
          <w:bCs/>
          <w:snapToGrid w:val="0"/>
          <w:sz w:val="20"/>
          <w:szCs w:val="20"/>
          <w:lang w:val="en-US"/>
        </w:rPr>
        <w:t>How do you find the SBM Assessment Tool? Is it useful? Does it provide you with an effective way to determine the performance of schools in your Region/Division?</w:t>
      </w:r>
      <w:r w:rsidRPr="00C63262">
        <w:rPr>
          <w:rFonts w:asciiTheme="majorHAnsi" w:hAnsiTheme="majorHAnsi" w:cstheme="majorHAnsi"/>
          <w:snapToGrid w:val="0"/>
          <w:color w:val="000000"/>
          <w:sz w:val="20"/>
          <w:szCs w:val="20"/>
          <w:lang w:val="en-US"/>
        </w:rPr>
        <w:t xml:space="preserve"> </w:t>
      </w:r>
    </w:p>
    <w:p w14:paraId="192224AE" w14:textId="77777777" w:rsidR="008D0CAD" w:rsidRPr="00C63262" w:rsidRDefault="008D0CAD" w:rsidP="00DD08E3">
      <w:pPr>
        <w:widowControl w:val="0"/>
        <w:numPr>
          <w:ilvl w:val="2"/>
          <w:numId w:val="86"/>
        </w:numPr>
        <w:spacing w:before="100" w:beforeAutospacing="1" w:after="100" w:afterAutospacing="1" w:line="360" w:lineRule="auto"/>
        <w:rPr>
          <w:rFonts w:asciiTheme="majorHAnsi" w:hAnsiTheme="majorHAnsi" w:cstheme="majorHAnsi"/>
          <w:snapToGrid w:val="0"/>
          <w:sz w:val="20"/>
          <w:szCs w:val="20"/>
          <w:lang w:val="en-US"/>
        </w:rPr>
      </w:pPr>
      <w:r w:rsidRPr="00C63262">
        <w:rPr>
          <w:rFonts w:asciiTheme="majorHAnsi" w:hAnsiTheme="majorHAnsi" w:cstheme="majorHAnsi"/>
          <w:snapToGrid w:val="0"/>
          <w:color w:val="000000"/>
          <w:sz w:val="20"/>
          <w:szCs w:val="20"/>
          <w:lang w:val="en-US"/>
        </w:rPr>
        <w:t xml:space="preserve">Please describe how you formulate your School Improvement Plan (SIP)? Is the SIP useful to you as a Sector Manager? Why or why not? </w:t>
      </w:r>
    </w:p>
    <w:p w14:paraId="4DE5E447" w14:textId="77777777" w:rsidR="008D0CAD" w:rsidRPr="00C63262" w:rsidRDefault="008D0CAD" w:rsidP="00DD08E3">
      <w:pPr>
        <w:widowControl w:val="0"/>
        <w:numPr>
          <w:ilvl w:val="2"/>
          <w:numId w:val="86"/>
        </w:numPr>
        <w:spacing w:before="100" w:beforeAutospacing="1" w:after="100" w:afterAutospacing="1" w:line="360" w:lineRule="auto"/>
        <w:rPr>
          <w:rFonts w:asciiTheme="majorHAnsi" w:hAnsiTheme="majorHAnsi" w:cstheme="majorHAnsi"/>
          <w:snapToGrid w:val="0"/>
          <w:sz w:val="20"/>
          <w:szCs w:val="20"/>
          <w:lang w:val="en-US"/>
        </w:rPr>
      </w:pPr>
      <w:r w:rsidRPr="00C63262">
        <w:rPr>
          <w:rFonts w:asciiTheme="majorHAnsi" w:hAnsiTheme="majorHAnsi" w:cstheme="majorHAnsi"/>
          <w:bCs/>
          <w:snapToGrid w:val="0"/>
          <w:sz w:val="20"/>
          <w:szCs w:val="20"/>
          <w:lang w:val="en-US"/>
        </w:rPr>
        <w:t>How significant is the organisation of the School Governance Councils (SGC) and the formulation of School Improvement Plans (SIP) in enhancing the delivery of responsive basic education in your Region/Division?</w:t>
      </w:r>
      <w:r w:rsidRPr="00C63262">
        <w:rPr>
          <w:rFonts w:asciiTheme="majorHAnsi" w:hAnsiTheme="majorHAnsi" w:cstheme="majorHAnsi"/>
          <w:snapToGrid w:val="0"/>
          <w:sz w:val="20"/>
          <w:szCs w:val="20"/>
          <w:lang w:val="en-US"/>
        </w:rPr>
        <w:t xml:space="preserve"> </w:t>
      </w:r>
    </w:p>
    <w:p w14:paraId="0773530F" w14:textId="77777777" w:rsidR="008D0CAD" w:rsidRPr="00C63262" w:rsidRDefault="008D0CAD" w:rsidP="00DD08E3">
      <w:pPr>
        <w:widowControl w:val="0"/>
        <w:numPr>
          <w:ilvl w:val="2"/>
          <w:numId w:val="86"/>
        </w:numPr>
        <w:spacing w:before="100" w:beforeAutospacing="1" w:after="100" w:afterAutospacing="1" w:line="360" w:lineRule="auto"/>
        <w:ind w:left="1350" w:hanging="539"/>
        <w:rPr>
          <w:rFonts w:asciiTheme="majorHAnsi" w:hAnsiTheme="majorHAnsi" w:cstheme="majorHAnsi"/>
          <w:snapToGrid w:val="0"/>
          <w:sz w:val="20"/>
          <w:szCs w:val="20"/>
          <w:lang w:val="en-US"/>
        </w:rPr>
      </w:pPr>
      <w:r w:rsidRPr="00C63262">
        <w:rPr>
          <w:rFonts w:asciiTheme="majorHAnsi" w:hAnsiTheme="majorHAnsi" w:cstheme="majorHAnsi"/>
          <w:snapToGrid w:val="0"/>
          <w:color w:val="000000"/>
          <w:sz w:val="20"/>
          <w:szCs w:val="20"/>
          <w:lang w:val="en-US"/>
        </w:rPr>
        <w:t xml:space="preserve">Overall, did SBM enhance decentralised management and accountability to </w:t>
      </w:r>
      <w:r w:rsidRPr="00C63262">
        <w:rPr>
          <w:rFonts w:asciiTheme="majorHAnsi" w:hAnsiTheme="majorHAnsi" w:cstheme="majorHAnsi"/>
          <w:bCs/>
          <w:snapToGrid w:val="0"/>
          <w:sz w:val="20"/>
          <w:szCs w:val="20"/>
          <w:lang w:val="en-US"/>
        </w:rPr>
        <w:t>Region/Division</w:t>
      </w:r>
      <w:r w:rsidRPr="00C63262">
        <w:rPr>
          <w:rFonts w:asciiTheme="majorHAnsi" w:hAnsiTheme="majorHAnsi" w:cstheme="majorHAnsi"/>
          <w:snapToGrid w:val="0"/>
          <w:color w:val="000000"/>
          <w:sz w:val="20"/>
          <w:szCs w:val="20"/>
          <w:lang w:val="en-US"/>
        </w:rPr>
        <w:t xml:space="preserve"> and schools in DEPED?</w:t>
      </w:r>
    </w:p>
    <w:p w14:paraId="6E462310" w14:textId="77777777" w:rsidR="008D0CAD" w:rsidRPr="005424E3" w:rsidRDefault="008D0CAD" w:rsidP="00DD08E3">
      <w:pPr>
        <w:widowControl w:val="0"/>
        <w:numPr>
          <w:ilvl w:val="1"/>
          <w:numId w:val="86"/>
        </w:numPr>
        <w:spacing w:before="100" w:beforeAutospacing="1" w:after="100" w:afterAutospacing="1" w:line="360" w:lineRule="auto"/>
        <w:ind w:left="788" w:hanging="431"/>
        <w:rPr>
          <w:rFonts w:asciiTheme="majorHAnsi" w:hAnsiTheme="majorHAnsi" w:cstheme="majorHAnsi"/>
          <w:b/>
          <w:snapToGrid w:val="0"/>
          <w:sz w:val="20"/>
          <w:szCs w:val="20"/>
          <w:lang w:val="en-US"/>
        </w:rPr>
      </w:pPr>
      <w:r w:rsidRPr="005424E3">
        <w:rPr>
          <w:rFonts w:asciiTheme="majorHAnsi" w:hAnsiTheme="majorHAnsi" w:cstheme="majorHAnsi"/>
          <w:b/>
          <w:snapToGrid w:val="0"/>
          <w:sz w:val="20"/>
          <w:szCs w:val="20"/>
          <w:lang w:val="en-US"/>
        </w:rPr>
        <w:t>Policy, and planning and monitoring and evaluation systems (PPMES)</w:t>
      </w:r>
    </w:p>
    <w:p w14:paraId="13BC1AFF" w14:textId="77777777" w:rsidR="008D0CAD" w:rsidRPr="00C63262" w:rsidRDefault="008D0CAD" w:rsidP="00DD08E3">
      <w:pPr>
        <w:widowControl w:val="0"/>
        <w:numPr>
          <w:ilvl w:val="2"/>
          <w:numId w:val="86"/>
        </w:numPr>
        <w:spacing w:before="100" w:beforeAutospacing="1" w:after="100" w:afterAutospacing="1" w:line="360" w:lineRule="auto"/>
        <w:contextualSpacing/>
        <w:rPr>
          <w:rFonts w:asciiTheme="majorHAnsi" w:hAnsiTheme="majorHAnsi" w:cstheme="majorHAnsi"/>
          <w:snapToGrid w:val="0"/>
          <w:sz w:val="20"/>
          <w:szCs w:val="20"/>
          <w:lang w:val="en-US"/>
        </w:rPr>
      </w:pPr>
      <w:r w:rsidRPr="00C63262">
        <w:rPr>
          <w:rFonts w:asciiTheme="majorHAnsi" w:hAnsiTheme="majorHAnsi" w:cstheme="majorHAnsi"/>
          <w:bCs/>
          <w:snapToGrid w:val="0"/>
          <w:sz w:val="20"/>
          <w:szCs w:val="20"/>
          <w:lang w:val="en-US"/>
        </w:rPr>
        <w:t xml:space="preserve">How was </w:t>
      </w:r>
      <w:r w:rsidRPr="00C63262">
        <w:rPr>
          <w:rFonts w:asciiTheme="majorHAnsi" w:hAnsiTheme="majorHAnsi" w:cstheme="majorHAnsi"/>
          <w:b/>
          <w:bCs/>
          <w:snapToGrid w:val="0"/>
          <w:sz w:val="20"/>
          <w:szCs w:val="20"/>
          <w:lang w:val="en-US"/>
        </w:rPr>
        <w:t>policy and planning</w:t>
      </w:r>
      <w:r w:rsidRPr="00C63262">
        <w:rPr>
          <w:rFonts w:asciiTheme="majorHAnsi" w:hAnsiTheme="majorHAnsi" w:cstheme="majorHAnsi"/>
          <w:bCs/>
          <w:snapToGrid w:val="0"/>
          <w:sz w:val="20"/>
          <w:szCs w:val="20"/>
          <w:lang w:val="en-US"/>
        </w:rPr>
        <w:t xml:space="preserve"> undertaken five years ago, prior to the basic education reforms? What were the challenges in policy and planning then?</w:t>
      </w:r>
    </w:p>
    <w:p w14:paraId="3264579E" w14:textId="77777777" w:rsidR="008D0CAD" w:rsidRPr="00C63262" w:rsidRDefault="008D0CAD" w:rsidP="00DD08E3">
      <w:pPr>
        <w:widowControl w:val="0"/>
        <w:numPr>
          <w:ilvl w:val="2"/>
          <w:numId w:val="86"/>
        </w:numPr>
        <w:spacing w:before="100" w:beforeAutospacing="1" w:after="100" w:afterAutospacing="1" w:line="360" w:lineRule="auto"/>
        <w:contextualSpacing/>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 xml:space="preserve">How did the reforms in Planning and Budgeting improved the operations in your </w:t>
      </w:r>
      <w:r w:rsidRPr="00C63262">
        <w:rPr>
          <w:rFonts w:asciiTheme="majorHAnsi" w:hAnsiTheme="majorHAnsi" w:cstheme="majorHAnsi"/>
          <w:bCs/>
          <w:snapToGrid w:val="0"/>
          <w:sz w:val="20"/>
          <w:szCs w:val="20"/>
          <w:lang w:val="en-US"/>
        </w:rPr>
        <w:t>Region/Division</w:t>
      </w:r>
      <w:r w:rsidRPr="00C63262">
        <w:rPr>
          <w:rFonts w:asciiTheme="majorHAnsi" w:hAnsiTheme="majorHAnsi" w:cstheme="majorHAnsi"/>
          <w:snapToGrid w:val="0"/>
          <w:sz w:val="20"/>
          <w:szCs w:val="20"/>
          <w:lang w:val="en-US"/>
        </w:rPr>
        <w:t xml:space="preserve">? </w:t>
      </w:r>
    </w:p>
    <w:p w14:paraId="4E821DF7" w14:textId="77777777" w:rsidR="008D0CAD" w:rsidRPr="00C63262" w:rsidRDefault="008D0CAD" w:rsidP="00DD08E3">
      <w:pPr>
        <w:widowControl w:val="0"/>
        <w:numPr>
          <w:ilvl w:val="2"/>
          <w:numId w:val="86"/>
        </w:numPr>
        <w:spacing w:before="100" w:beforeAutospacing="1" w:after="100" w:afterAutospacing="1" w:line="360" w:lineRule="auto"/>
        <w:contextualSpacing/>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How do</w:t>
      </w:r>
      <w:r w:rsidRPr="00C63262">
        <w:rPr>
          <w:rFonts w:asciiTheme="majorHAnsi" w:hAnsiTheme="majorHAnsi" w:cstheme="majorHAnsi"/>
          <w:snapToGrid w:val="0"/>
          <w:color w:val="000000"/>
          <w:sz w:val="20"/>
          <w:szCs w:val="20"/>
          <w:lang w:val="en-US"/>
        </w:rPr>
        <w:t xml:space="preserve"> you conduct Strategic Planning for your </w:t>
      </w:r>
      <w:r w:rsidRPr="00C63262">
        <w:rPr>
          <w:rFonts w:asciiTheme="majorHAnsi" w:hAnsiTheme="majorHAnsi" w:cstheme="majorHAnsi"/>
          <w:bCs/>
          <w:snapToGrid w:val="0"/>
          <w:sz w:val="20"/>
          <w:szCs w:val="20"/>
          <w:lang w:val="en-US"/>
        </w:rPr>
        <w:t>Region/Division</w:t>
      </w:r>
      <w:r w:rsidRPr="00C63262">
        <w:rPr>
          <w:rFonts w:asciiTheme="majorHAnsi" w:hAnsiTheme="majorHAnsi" w:cstheme="majorHAnsi"/>
          <w:snapToGrid w:val="0"/>
          <w:color w:val="000000"/>
          <w:sz w:val="20"/>
          <w:szCs w:val="20"/>
          <w:lang w:val="en-US"/>
        </w:rPr>
        <w:t xml:space="preserve">? </w:t>
      </w:r>
    </w:p>
    <w:p w14:paraId="70C47733" w14:textId="77777777" w:rsidR="008D0CAD" w:rsidRPr="00C63262" w:rsidRDefault="008D0CAD" w:rsidP="00DD08E3">
      <w:pPr>
        <w:widowControl w:val="0"/>
        <w:numPr>
          <w:ilvl w:val="2"/>
          <w:numId w:val="86"/>
        </w:numPr>
        <w:spacing w:before="100" w:beforeAutospacing="1" w:after="100" w:afterAutospacing="1" w:line="360" w:lineRule="auto"/>
        <w:contextualSpacing/>
        <w:rPr>
          <w:rFonts w:asciiTheme="majorHAnsi" w:hAnsiTheme="majorHAnsi" w:cstheme="majorHAnsi"/>
          <w:snapToGrid w:val="0"/>
          <w:sz w:val="20"/>
          <w:szCs w:val="20"/>
          <w:lang w:val="en-US"/>
        </w:rPr>
      </w:pPr>
      <w:r w:rsidRPr="00C63262">
        <w:rPr>
          <w:rFonts w:asciiTheme="majorHAnsi" w:hAnsiTheme="majorHAnsi" w:cstheme="majorHAnsi"/>
          <w:bCs/>
          <w:snapToGrid w:val="0"/>
          <w:sz w:val="20"/>
          <w:szCs w:val="20"/>
          <w:lang w:val="en-US"/>
        </w:rPr>
        <w:t xml:space="preserve">How was </w:t>
      </w:r>
      <w:r w:rsidRPr="00C63262">
        <w:rPr>
          <w:rFonts w:asciiTheme="majorHAnsi" w:hAnsiTheme="majorHAnsi" w:cstheme="majorHAnsi"/>
          <w:b/>
          <w:bCs/>
          <w:snapToGrid w:val="0"/>
          <w:sz w:val="20"/>
          <w:szCs w:val="20"/>
          <w:lang w:val="en-US"/>
        </w:rPr>
        <w:t>monitoring and evaluation</w:t>
      </w:r>
      <w:r w:rsidRPr="00C63262">
        <w:rPr>
          <w:rFonts w:asciiTheme="majorHAnsi" w:hAnsiTheme="majorHAnsi" w:cstheme="majorHAnsi"/>
          <w:bCs/>
          <w:snapToGrid w:val="0"/>
          <w:sz w:val="20"/>
          <w:szCs w:val="20"/>
          <w:lang w:val="en-US"/>
        </w:rPr>
        <w:t xml:space="preserve"> implemented five years ago, prior to the basic education reforms?</w:t>
      </w:r>
    </w:p>
    <w:p w14:paraId="3C1DE400" w14:textId="77777777" w:rsidR="008D0CAD" w:rsidRPr="00C63262" w:rsidRDefault="008D0CAD" w:rsidP="00DD08E3">
      <w:pPr>
        <w:widowControl w:val="0"/>
        <w:numPr>
          <w:ilvl w:val="2"/>
          <w:numId w:val="86"/>
        </w:numPr>
        <w:spacing w:before="100" w:beforeAutospacing="1" w:after="100" w:afterAutospacing="1" w:line="360" w:lineRule="auto"/>
        <w:contextualSpacing/>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Are you familiar with the Basic Education Monitoring and Evaluation Framework (BEMEF)</w:t>
      </w:r>
      <w:r w:rsidRPr="00C63262">
        <w:rPr>
          <w:rFonts w:asciiTheme="majorHAnsi" w:hAnsiTheme="majorHAnsi" w:cstheme="majorHAnsi"/>
          <w:snapToGrid w:val="0"/>
          <w:color w:val="000000"/>
          <w:sz w:val="20"/>
          <w:szCs w:val="20"/>
          <w:lang w:val="en-US"/>
        </w:rPr>
        <w:t xml:space="preserve">? </w:t>
      </w:r>
    </w:p>
    <w:p w14:paraId="61C0B33B" w14:textId="77777777" w:rsidR="008D0CAD" w:rsidRPr="00C63262" w:rsidRDefault="008D0CAD" w:rsidP="00DD08E3">
      <w:pPr>
        <w:widowControl w:val="0"/>
        <w:numPr>
          <w:ilvl w:val="2"/>
          <w:numId w:val="86"/>
        </w:numPr>
        <w:spacing w:before="100" w:beforeAutospacing="1" w:after="100" w:afterAutospacing="1" w:line="360" w:lineRule="auto"/>
        <w:contextualSpacing/>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 xml:space="preserve">How did the reforms in Monitoring, Evaluation and Adjustment improved the operations in your </w:t>
      </w:r>
      <w:r w:rsidRPr="00C63262">
        <w:rPr>
          <w:rFonts w:asciiTheme="majorHAnsi" w:hAnsiTheme="majorHAnsi" w:cstheme="majorHAnsi"/>
          <w:bCs/>
          <w:snapToGrid w:val="0"/>
          <w:sz w:val="20"/>
          <w:szCs w:val="20"/>
          <w:lang w:val="en-US"/>
        </w:rPr>
        <w:t>Region/Division</w:t>
      </w:r>
      <w:r w:rsidRPr="00C63262">
        <w:rPr>
          <w:rFonts w:asciiTheme="majorHAnsi" w:hAnsiTheme="majorHAnsi" w:cstheme="majorHAnsi"/>
          <w:snapToGrid w:val="0"/>
          <w:sz w:val="20"/>
          <w:szCs w:val="20"/>
          <w:lang w:val="en-US"/>
        </w:rPr>
        <w:t xml:space="preserve">? </w:t>
      </w:r>
    </w:p>
    <w:p w14:paraId="38A8D977" w14:textId="77777777" w:rsidR="008D0CAD" w:rsidRPr="00C63262" w:rsidRDefault="008D0CAD" w:rsidP="00DD08E3">
      <w:pPr>
        <w:widowControl w:val="0"/>
        <w:numPr>
          <w:ilvl w:val="2"/>
          <w:numId w:val="86"/>
        </w:numPr>
        <w:spacing w:before="100" w:beforeAutospacing="1" w:after="100" w:afterAutospacing="1" w:line="360" w:lineRule="auto"/>
        <w:ind w:left="1350" w:hanging="539"/>
        <w:rPr>
          <w:rFonts w:asciiTheme="majorHAnsi" w:hAnsiTheme="majorHAnsi" w:cstheme="majorHAnsi"/>
          <w:snapToGrid w:val="0"/>
          <w:sz w:val="20"/>
          <w:szCs w:val="20"/>
          <w:lang w:val="en-US"/>
        </w:rPr>
      </w:pPr>
      <w:r w:rsidRPr="00C63262">
        <w:rPr>
          <w:rFonts w:asciiTheme="majorHAnsi" w:hAnsiTheme="majorHAnsi" w:cstheme="majorHAnsi"/>
          <w:snapToGrid w:val="0"/>
          <w:color w:val="000000"/>
          <w:sz w:val="20"/>
          <w:szCs w:val="20"/>
          <w:lang w:val="en-US"/>
        </w:rPr>
        <w:t xml:space="preserve">How useful are the PPMES reforms to you as a Sector Manager? </w:t>
      </w:r>
    </w:p>
    <w:p w14:paraId="40AB8DCF" w14:textId="77777777" w:rsidR="008D0CAD" w:rsidRPr="00C63262" w:rsidRDefault="008D0CAD" w:rsidP="00DD08E3">
      <w:pPr>
        <w:widowControl w:val="0"/>
        <w:numPr>
          <w:ilvl w:val="1"/>
          <w:numId w:val="86"/>
        </w:numPr>
        <w:spacing w:before="100" w:beforeAutospacing="1" w:after="100" w:afterAutospacing="1" w:line="360" w:lineRule="auto"/>
        <w:contextualSpacing/>
        <w:rPr>
          <w:rFonts w:asciiTheme="majorHAnsi" w:hAnsiTheme="majorHAnsi" w:cstheme="majorHAnsi"/>
          <w:b/>
          <w:snapToGrid w:val="0"/>
          <w:sz w:val="20"/>
          <w:szCs w:val="20"/>
          <w:lang w:val="en-US"/>
        </w:rPr>
      </w:pPr>
      <w:r w:rsidRPr="00C63262">
        <w:rPr>
          <w:rFonts w:asciiTheme="majorHAnsi" w:hAnsiTheme="majorHAnsi" w:cstheme="majorHAnsi"/>
          <w:b/>
          <w:snapToGrid w:val="0"/>
          <w:sz w:val="20"/>
          <w:szCs w:val="20"/>
          <w:lang w:val="en-US"/>
        </w:rPr>
        <w:t>Unified information system and sub-systems (UISS)</w:t>
      </w:r>
    </w:p>
    <w:p w14:paraId="106C2767" w14:textId="6C2C17DF" w:rsidR="008D0CAD" w:rsidRPr="00C63262" w:rsidRDefault="008D0CAD" w:rsidP="00DD08E3">
      <w:pPr>
        <w:widowControl w:val="0"/>
        <w:numPr>
          <w:ilvl w:val="2"/>
          <w:numId w:val="86"/>
        </w:numPr>
        <w:spacing w:before="100" w:beforeAutospacing="1" w:after="100" w:afterAutospacing="1" w:line="360" w:lineRule="auto"/>
        <w:ind w:left="1350" w:hanging="540"/>
        <w:contextualSpacing/>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 xml:space="preserve">How accessible and useful are the different information systems in terms of enhancing the overall operations of your </w:t>
      </w:r>
      <w:r w:rsidRPr="00C63262">
        <w:rPr>
          <w:rFonts w:asciiTheme="majorHAnsi" w:hAnsiTheme="majorHAnsi" w:cstheme="majorHAnsi"/>
          <w:bCs/>
          <w:snapToGrid w:val="0"/>
          <w:sz w:val="20"/>
          <w:szCs w:val="20"/>
          <w:lang w:val="en-US"/>
        </w:rPr>
        <w:t>Region/Division</w:t>
      </w:r>
      <w:r w:rsidRPr="00C63262">
        <w:rPr>
          <w:rFonts w:asciiTheme="majorHAnsi" w:hAnsiTheme="majorHAnsi" w:cstheme="majorHAnsi"/>
          <w:snapToGrid w:val="0"/>
          <w:sz w:val="20"/>
          <w:szCs w:val="20"/>
          <w:lang w:val="en-US"/>
        </w:rPr>
        <w:t>?</w:t>
      </w:r>
      <w:r w:rsidR="00D434EB">
        <w:rPr>
          <w:rFonts w:asciiTheme="majorHAnsi" w:hAnsiTheme="majorHAnsi" w:cstheme="majorHAnsi"/>
          <w:snapToGrid w:val="0"/>
          <w:sz w:val="20"/>
          <w:szCs w:val="20"/>
          <w:lang w:val="en-US"/>
        </w:rPr>
        <w:t xml:space="preserve"> </w:t>
      </w:r>
    </w:p>
    <w:p w14:paraId="20304ECC" w14:textId="77777777" w:rsidR="008D0CAD" w:rsidRPr="00C63262" w:rsidRDefault="008D0CAD" w:rsidP="00DD08E3">
      <w:pPr>
        <w:widowControl w:val="0"/>
        <w:numPr>
          <w:ilvl w:val="3"/>
          <w:numId w:val="86"/>
        </w:numPr>
        <w:spacing w:before="100" w:beforeAutospacing="1" w:after="100" w:afterAutospacing="1" w:line="360" w:lineRule="auto"/>
        <w:ind w:left="1350" w:firstLine="0"/>
        <w:contextualSpacing/>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Project Management Information System (PMIS)</w:t>
      </w:r>
    </w:p>
    <w:p w14:paraId="784B9A4F" w14:textId="77777777" w:rsidR="008D0CAD" w:rsidRPr="00C63262" w:rsidRDefault="008D0CAD" w:rsidP="00DD08E3">
      <w:pPr>
        <w:widowControl w:val="0"/>
        <w:numPr>
          <w:ilvl w:val="3"/>
          <w:numId w:val="86"/>
        </w:numPr>
        <w:spacing w:before="100" w:beforeAutospacing="1" w:after="100" w:afterAutospacing="1" w:line="360" w:lineRule="auto"/>
        <w:ind w:left="1350" w:firstLine="0"/>
        <w:contextualSpacing/>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AU"/>
        </w:rPr>
        <w:t>Enhanced Basic Education Information System (EBEIS)</w:t>
      </w:r>
    </w:p>
    <w:p w14:paraId="076BBD5E" w14:textId="77777777" w:rsidR="008D0CAD" w:rsidRPr="00C63262" w:rsidRDefault="008D0CAD" w:rsidP="00DD08E3">
      <w:pPr>
        <w:widowControl w:val="0"/>
        <w:numPr>
          <w:ilvl w:val="3"/>
          <w:numId w:val="86"/>
        </w:numPr>
        <w:spacing w:before="100" w:beforeAutospacing="1" w:after="100" w:afterAutospacing="1" w:line="360" w:lineRule="auto"/>
        <w:ind w:left="1350" w:firstLine="0"/>
        <w:contextualSpacing/>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Learner Information System (LIS)</w:t>
      </w:r>
    </w:p>
    <w:p w14:paraId="4B4C6B95" w14:textId="77777777" w:rsidR="008D0CAD" w:rsidRPr="00C63262" w:rsidRDefault="008D0CAD" w:rsidP="00DD08E3">
      <w:pPr>
        <w:widowControl w:val="0"/>
        <w:numPr>
          <w:ilvl w:val="3"/>
          <w:numId w:val="86"/>
        </w:numPr>
        <w:spacing w:before="100" w:beforeAutospacing="1" w:after="100" w:afterAutospacing="1" w:line="360" w:lineRule="auto"/>
        <w:ind w:left="1350" w:firstLine="0"/>
        <w:contextualSpacing/>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Learning Resource (LR) Portal</w:t>
      </w:r>
    </w:p>
    <w:p w14:paraId="4DC801F4" w14:textId="77777777" w:rsidR="008D0CAD" w:rsidRPr="00C63262" w:rsidRDefault="008D0CAD" w:rsidP="00DD08E3">
      <w:pPr>
        <w:widowControl w:val="0"/>
        <w:numPr>
          <w:ilvl w:val="2"/>
          <w:numId w:val="86"/>
        </w:numPr>
        <w:spacing w:before="100" w:beforeAutospacing="1" w:after="100" w:afterAutospacing="1" w:line="360" w:lineRule="auto"/>
        <w:ind w:left="1350" w:hanging="540"/>
        <w:rPr>
          <w:rFonts w:asciiTheme="majorHAnsi" w:hAnsiTheme="majorHAnsi" w:cstheme="majorHAnsi"/>
          <w:snapToGrid w:val="0"/>
          <w:sz w:val="20"/>
          <w:szCs w:val="20"/>
          <w:lang w:val="en-US"/>
        </w:rPr>
      </w:pPr>
      <w:r w:rsidRPr="00C63262">
        <w:rPr>
          <w:rFonts w:asciiTheme="majorHAnsi" w:hAnsiTheme="majorHAnsi" w:cstheme="majorHAnsi"/>
          <w:snapToGrid w:val="0"/>
          <w:color w:val="000000" w:themeColor="text1"/>
          <w:sz w:val="20"/>
          <w:szCs w:val="20"/>
          <w:lang w:val="en-US"/>
        </w:rPr>
        <w:t xml:space="preserve">Do you use the </w:t>
      </w:r>
      <w:r w:rsidRPr="00C63262">
        <w:rPr>
          <w:rFonts w:asciiTheme="majorHAnsi" w:hAnsiTheme="majorHAnsi" w:cstheme="majorHAnsi"/>
          <w:snapToGrid w:val="0"/>
          <w:sz w:val="20"/>
          <w:szCs w:val="20"/>
          <w:lang w:val="en-AU"/>
        </w:rPr>
        <w:t>Enhanced Basic Education Information System (EBEIS)</w:t>
      </w:r>
      <w:r w:rsidRPr="00C63262">
        <w:rPr>
          <w:rFonts w:asciiTheme="majorHAnsi" w:hAnsiTheme="majorHAnsi" w:cstheme="majorHAnsi"/>
          <w:snapToGrid w:val="0"/>
          <w:color w:val="000000" w:themeColor="text1"/>
          <w:sz w:val="20"/>
          <w:szCs w:val="20"/>
          <w:lang w:val="en-US"/>
        </w:rPr>
        <w:t xml:space="preserve">? Is it easy to access? Is it useful to you as a Sector Manager? </w:t>
      </w:r>
    </w:p>
    <w:p w14:paraId="0CFFCAC8" w14:textId="77777777" w:rsidR="008D0CAD" w:rsidRPr="00C63262" w:rsidRDefault="008D0CAD" w:rsidP="00DD08E3">
      <w:pPr>
        <w:widowControl w:val="0"/>
        <w:numPr>
          <w:ilvl w:val="2"/>
          <w:numId w:val="86"/>
        </w:numPr>
        <w:spacing w:before="100" w:beforeAutospacing="1" w:after="100" w:afterAutospacing="1" w:line="360" w:lineRule="auto"/>
        <w:ind w:left="1350" w:hanging="540"/>
        <w:rPr>
          <w:rFonts w:asciiTheme="majorHAnsi" w:hAnsiTheme="majorHAnsi" w:cstheme="majorHAnsi"/>
          <w:snapToGrid w:val="0"/>
          <w:sz w:val="20"/>
          <w:szCs w:val="20"/>
          <w:lang w:val="en-US"/>
        </w:rPr>
      </w:pPr>
      <w:r w:rsidRPr="00C63262">
        <w:rPr>
          <w:rFonts w:asciiTheme="majorHAnsi" w:hAnsiTheme="majorHAnsi" w:cstheme="majorHAnsi"/>
          <w:snapToGrid w:val="0"/>
          <w:color w:val="000000" w:themeColor="text1"/>
          <w:sz w:val="20"/>
          <w:szCs w:val="20"/>
          <w:lang w:val="en-US"/>
        </w:rPr>
        <w:t xml:space="preserve">Do you use the Learning Information System? Is it easy to access? Is it useful to you as a as a Sector Manager? </w:t>
      </w:r>
    </w:p>
    <w:p w14:paraId="4C1305AA" w14:textId="77777777" w:rsidR="008D0CAD" w:rsidRPr="00C63262" w:rsidRDefault="008D0CAD" w:rsidP="00DD08E3">
      <w:pPr>
        <w:widowControl w:val="0"/>
        <w:numPr>
          <w:ilvl w:val="2"/>
          <w:numId w:val="86"/>
        </w:numPr>
        <w:spacing w:before="100" w:beforeAutospacing="1" w:after="100" w:afterAutospacing="1" w:line="360" w:lineRule="auto"/>
        <w:ind w:left="1350" w:hanging="540"/>
        <w:rPr>
          <w:rFonts w:asciiTheme="majorHAnsi" w:hAnsiTheme="majorHAnsi" w:cstheme="majorHAnsi"/>
          <w:snapToGrid w:val="0"/>
          <w:sz w:val="20"/>
          <w:szCs w:val="20"/>
          <w:lang w:val="en-US"/>
        </w:rPr>
      </w:pPr>
      <w:r w:rsidRPr="00C63262">
        <w:rPr>
          <w:rFonts w:asciiTheme="majorHAnsi" w:hAnsiTheme="majorHAnsi" w:cstheme="majorHAnsi"/>
          <w:snapToGrid w:val="0"/>
          <w:color w:val="000000" w:themeColor="text1"/>
          <w:sz w:val="20"/>
          <w:szCs w:val="20"/>
          <w:lang w:val="en-US"/>
        </w:rPr>
        <w:t>Do you use the Learning Resource Portal? Is it easy to access? Is it useful to you as a Sector Manager?</w:t>
      </w:r>
    </w:p>
    <w:p w14:paraId="10CD2EA4" w14:textId="729CB56D" w:rsidR="008D0CAD" w:rsidRPr="00C63262" w:rsidRDefault="008D0CAD" w:rsidP="00DD08E3">
      <w:pPr>
        <w:widowControl w:val="0"/>
        <w:numPr>
          <w:ilvl w:val="2"/>
          <w:numId w:val="86"/>
        </w:numPr>
        <w:spacing w:before="100" w:beforeAutospacing="1" w:after="100" w:afterAutospacing="1" w:line="360" w:lineRule="auto"/>
        <w:ind w:left="1350" w:hanging="539"/>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How should you measure the successful implementation of these new information systems?</w:t>
      </w:r>
      <w:r w:rsidR="00D434EB">
        <w:rPr>
          <w:rFonts w:asciiTheme="majorHAnsi" w:hAnsiTheme="majorHAnsi" w:cstheme="majorHAnsi"/>
          <w:snapToGrid w:val="0"/>
          <w:sz w:val="20"/>
          <w:szCs w:val="20"/>
          <w:lang w:val="en-US"/>
        </w:rPr>
        <w:t xml:space="preserve"> </w:t>
      </w:r>
    </w:p>
    <w:p w14:paraId="2A8301ED" w14:textId="77777777" w:rsidR="008D0CAD" w:rsidRPr="00C63262" w:rsidRDefault="008D0CAD" w:rsidP="00DD08E3">
      <w:pPr>
        <w:widowControl w:val="0"/>
        <w:numPr>
          <w:ilvl w:val="1"/>
          <w:numId w:val="86"/>
        </w:numPr>
        <w:spacing w:before="100" w:beforeAutospacing="1" w:after="100" w:afterAutospacing="1" w:line="360" w:lineRule="auto"/>
        <w:contextualSpacing/>
        <w:rPr>
          <w:rFonts w:asciiTheme="majorHAnsi" w:hAnsiTheme="majorHAnsi" w:cstheme="majorHAnsi"/>
          <w:b/>
          <w:snapToGrid w:val="0"/>
          <w:sz w:val="20"/>
          <w:szCs w:val="20"/>
          <w:lang w:val="en-US"/>
        </w:rPr>
      </w:pPr>
      <w:r w:rsidRPr="00C63262">
        <w:rPr>
          <w:rFonts w:asciiTheme="majorHAnsi" w:hAnsiTheme="majorHAnsi" w:cstheme="majorHAnsi"/>
          <w:b/>
          <w:snapToGrid w:val="0"/>
          <w:sz w:val="20"/>
          <w:szCs w:val="20"/>
          <w:lang w:val="en-US"/>
        </w:rPr>
        <w:t>Gender, disability and social inclusion (GEDSI)</w:t>
      </w:r>
    </w:p>
    <w:p w14:paraId="7EEDAB59" w14:textId="77777777" w:rsidR="008D0CAD" w:rsidRPr="00C63262" w:rsidRDefault="008D0CAD" w:rsidP="00DD08E3">
      <w:pPr>
        <w:widowControl w:val="0"/>
        <w:numPr>
          <w:ilvl w:val="2"/>
          <w:numId w:val="86"/>
        </w:numPr>
        <w:spacing w:before="100" w:beforeAutospacing="1" w:after="100" w:afterAutospacing="1" w:line="360" w:lineRule="auto"/>
        <w:ind w:left="1350" w:hanging="540"/>
        <w:contextualSpacing/>
        <w:rPr>
          <w:rFonts w:asciiTheme="majorHAnsi" w:hAnsiTheme="majorHAnsi" w:cstheme="majorHAnsi"/>
          <w:snapToGrid w:val="0"/>
          <w:sz w:val="20"/>
          <w:szCs w:val="20"/>
          <w:lang w:val="en-US"/>
        </w:rPr>
      </w:pPr>
      <w:r w:rsidRPr="00C63262">
        <w:rPr>
          <w:rFonts w:asciiTheme="majorHAnsi" w:hAnsiTheme="majorHAnsi" w:cstheme="majorHAnsi"/>
          <w:snapToGrid w:val="0"/>
          <w:color w:val="000000"/>
          <w:sz w:val="20"/>
          <w:szCs w:val="20"/>
          <w:lang w:val="en-US"/>
        </w:rPr>
        <w:t xml:space="preserve">Does your Region/Division have a formal program to make sure boys and girls have every opportunity to attend school? </w:t>
      </w:r>
    </w:p>
    <w:p w14:paraId="7ED375C1" w14:textId="77777777" w:rsidR="008D0CAD" w:rsidRPr="00C63262" w:rsidRDefault="008D0CAD" w:rsidP="00DD08E3">
      <w:pPr>
        <w:widowControl w:val="0"/>
        <w:numPr>
          <w:ilvl w:val="2"/>
          <w:numId w:val="86"/>
        </w:numPr>
        <w:spacing w:before="100" w:beforeAutospacing="1" w:after="100" w:afterAutospacing="1" w:line="360" w:lineRule="auto"/>
        <w:ind w:left="1350" w:hanging="540"/>
        <w:contextualSpacing/>
        <w:rPr>
          <w:rFonts w:asciiTheme="majorHAnsi" w:hAnsiTheme="majorHAnsi" w:cstheme="majorHAnsi"/>
          <w:snapToGrid w:val="0"/>
          <w:sz w:val="20"/>
          <w:szCs w:val="20"/>
          <w:lang w:val="en-US"/>
        </w:rPr>
      </w:pPr>
      <w:r w:rsidRPr="00C63262">
        <w:rPr>
          <w:rFonts w:asciiTheme="majorHAnsi" w:hAnsiTheme="majorHAnsi" w:cstheme="majorHAnsi"/>
          <w:snapToGrid w:val="0"/>
          <w:color w:val="000000"/>
          <w:sz w:val="20"/>
          <w:szCs w:val="20"/>
          <w:lang w:val="en-US"/>
        </w:rPr>
        <w:t xml:space="preserve">Does your Region/Division have a formal program to make sure that children with disabilities (CWD) have every opportunity to attend school? </w:t>
      </w:r>
    </w:p>
    <w:p w14:paraId="11597A35" w14:textId="77777777" w:rsidR="008D0CAD" w:rsidRPr="00C63262" w:rsidRDefault="008D0CAD" w:rsidP="00DD08E3">
      <w:pPr>
        <w:widowControl w:val="0"/>
        <w:numPr>
          <w:ilvl w:val="2"/>
          <w:numId w:val="86"/>
        </w:numPr>
        <w:spacing w:before="100" w:beforeAutospacing="1" w:after="100" w:afterAutospacing="1" w:line="360" w:lineRule="auto"/>
        <w:ind w:left="1350" w:hanging="540"/>
        <w:contextualSpacing/>
        <w:rPr>
          <w:rFonts w:asciiTheme="majorHAnsi" w:hAnsiTheme="majorHAnsi" w:cstheme="majorHAnsi"/>
          <w:snapToGrid w:val="0"/>
          <w:sz w:val="20"/>
          <w:szCs w:val="20"/>
          <w:lang w:val="en-US"/>
        </w:rPr>
      </w:pPr>
      <w:r w:rsidRPr="00C63262">
        <w:rPr>
          <w:rFonts w:asciiTheme="majorHAnsi" w:hAnsiTheme="majorHAnsi" w:cstheme="majorHAnsi"/>
          <w:snapToGrid w:val="0"/>
          <w:color w:val="000000"/>
          <w:sz w:val="20"/>
          <w:szCs w:val="20"/>
          <w:lang w:val="en-US"/>
        </w:rPr>
        <w:t xml:space="preserve">Does your Region/Division have a formal program to make sure that Muslim children/ IP children/special groups of children have every opportunity to attend school? </w:t>
      </w:r>
    </w:p>
    <w:p w14:paraId="30B1F7EE" w14:textId="00E91AB3" w:rsidR="008D0CAD" w:rsidRPr="00C63262" w:rsidRDefault="008D0CAD" w:rsidP="00DD08E3">
      <w:pPr>
        <w:widowControl w:val="0"/>
        <w:numPr>
          <w:ilvl w:val="2"/>
          <w:numId w:val="86"/>
        </w:numPr>
        <w:spacing w:before="100" w:beforeAutospacing="1" w:after="100" w:afterAutospacing="1" w:line="360" w:lineRule="auto"/>
        <w:ind w:left="1350" w:hanging="540"/>
        <w:contextualSpacing/>
        <w:rPr>
          <w:rFonts w:asciiTheme="majorHAnsi" w:hAnsiTheme="majorHAnsi" w:cstheme="majorHAnsi"/>
          <w:snapToGrid w:val="0"/>
          <w:sz w:val="20"/>
          <w:szCs w:val="20"/>
          <w:lang w:val="en-US"/>
        </w:rPr>
      </w:pPr>
      <w:r w:rsidRPr="00C63262">
        <w:rPr>
          <w:rFonts w:asciiTheme="majorHAnsi" w:hAnsiTheme="majorHAnsi" w:cstheme="majorHAnsi"/>
          <w:snapToGrid w:val="0"/>
          <w:color w:val="000000"/>
          <w:sz w:val="20"/>
          <w:szCs w:val="20"/>
          <w:lang w:val="en-US"/>
        </w:rPr>
        <w:t>Does your Region/Division have multi-grade classes?</w:t>
      </w:r>
      <w:r w:rsidR="00D434EB">
        <w:rPr>
          <w:rFonts w:asciiTheme="majorHAnsi" w:hAnsiTheme="majorHAnsi" w:cstheme="majorHAnsi"/>
          <w:snapToGrid w:val="0"/>
          <w:color w:val="000000"/>
          <w:sz w:val="20"/>
          <w:szCs w:val="20"/>
          <w:lang w:val="en-US"/>
        </w:rPr>
        <w:t xml:space="preserve"> </w:t>
      </w:r>
      <w:r w:rsidRPr="00C63262">
        <w:rPr>
          <w:rFonts w:asciiTheme="majorHAnsi" w:hAnsiTheme="majorHAnsi" w:cstheme="majorHAnsi"/>
          <w:snapToGrid w:val="0"/>
          <w:color w:val="000000"/>
          <w:sz w:val="20"/>
          <w:szCs w:val="20"/>
          <w:lang w:val="en-US"/>
        </w:rPr>
        <w:t xml:space="preserve">(If so, ask similar probing questions to get details.) </w:t>
      </w:r>
    </w:p>
    <w:p w14:paraId="3681338A" w14:textId="77777777" w:rsidR="008D0CAD" w:rsidRPr="00C63262" w:rsidRDefault="008D0CAD" w:rsidP="00DD08E3">
      <w:pPr>
        <w:widowControl w:val="0"/>
        <w:numPr>
          <w:ilvl w:val="2"/>
          <w:numId w:val="86"/>
        </w:numPr>
        <w:spacing w:before="100" w:beforeAutospacing="1" w:after="100" w:afterAutospacing="1" w:line="360" w:lineRule="auto"/>
        <w:ind w:left="1350" w:hanging="540"/>
        <w:contextualSpacing/>
        <w:rPr>
          <w:rFonts w:asciiTheme="majorHAnsi" w:hAnsiTheme="majorHAnsi" w:cstheme="majorHAnsi"/>
          <w:snapToGrid w:val="0"/>
          <w:sz w:val="20"/>
          <w:szCs w:val="20"/>
          <w:lang w:val="en-US"/>
        </w:rPr>
      </w:pPr>
      <w:r w:rsidRPr="00C63262">
        <w:rPr>
          <w:rFonts w:asciiTheme="majorHAnsi" w:hAnsiTheme="majorHAnsi" w:cstheme="majorHAnsi"/>
          <w:snapToGrid w:val="0"/>
          <w:color w:val="000000"/>
          <w:sz w:val="20"/>
          <w:szCs w:val="20"/>
          <w:lang w:val="en-US"/>
        </w:rPr>
        <w:t xml:space="preserve">Does your Region/Division have a functioning Gender Focal Point System in school? Is this system useful to you as a Sector Manager? </w:t>
      </w:r>
    </w:p>
    <w:p w14:paraId="15A2F2F4" w14:textId="77777777" w:rsidR="008D0CAD" w:rsidRPr="00C63262" w:rsidRDefault="008D0CAD" w:rsidP="00DD08E3">
      <w:pPr>
        <w:widowControl w:val="0"/>
        <w:numPr>
          <w:ilvl w:val="2"/>
          <w:numId w:val="86"/>
        </w:numPr>
        <w:spacing w:before="100" w:beforeAutospacing="1" w:after="100" w:afterAutospacing="1" w:line="360" w:lineRule="auto"/>
        <w:ind w:left="1350" w:hanging="540"/>
        <w:contextualSpacing/>
        <w:rPr>
          <w:rFonts w:asciiTheme="majorHAnsi" w:hAnsiTheme="majorHAnsi" w:cstheme="majorHAnsi"/>
          <w:snapToGrid w:val="0"/>
          <w:sz w:val="20"/>
          <w:szCs w:val="20"/>
          <w:lang w:val="en-US"/>
        </w:rPr>
      </w:pPr>
      <w:r w:rsidRPr="00C63262">
        <w:rPr>
          <w:rFonts w:asciiTheme="majorHAnsi" w:hAnsiTheme="majorHAnsi" w:cstheme="majorHAnsi"/>
          <w:snapToGrid w:val="0"/>
          <w:color w:val="000000"/>
          <w:sz w:val="20"/>
          <w:szCs w:val="20"/>
          <w:lang w:val="en-US"/>
        </w:rPr>
        <w:t>What do you do in your Region/Division when you have a low percentage of CWDs/IPs/Muslim students enrolled in your schools?</w:t>
      </w:r>
    </w:p>
    <w:p w14:paraId="274F2880" w14:textId="77777777" w:rsidR="008D0CAD" w:rsidRPr="00C63262" w:rsidRDefault="008D0CAD" w:rsidP="00DD08E3">
      <w:pPr>
        <w:widowControl w:val="0"/>
        <w:numPr>
          <w:ilvl w:val="2"/>
          <w:numId w:val="86"/>
        </w:numPr>
        <w:spacing w:before="100" w:beforeAutospacing="1" w:after="100" w:afterAutospacing="1" w:line="360" w:lineRule="auto"/>
        <w:ind w:left="1350" w:hanging="540"/>
        <w:contextualSpacing/>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 xml:space="preserve">What indicators do you use to measure the successful implementation of GRBE in your </w:t>
      </w:r>
      <w:r w:rsidRPr="00C63262">
        <w:rPr>
          <w:rFonts w:asciiTheme="majorHAnsi" w:hAnsiTheme="majorHAnsi" w:cstheme="majorHAnsi"/>
          <w:snapToGrid w:val="0"/>
          <w:color w:val="000000"/>
          <w:sz w:val="20"/>
          <w:szCs w:val="20"/>
          <w:lang w:val="en-US"/>
        </w:rPr>
        <w:t>Region/Division</w:t>
      </w:r>
      <w:r w:rsidRPr="00C63262">
        <w:rPr>
          <w:rFonts w:asciiTheme="majorHAnsi" w:hAnsiTheme="majorHAnsi" w:cstheme="majorHAnsi"/>
          <w:snapToGrid w:val="0"/>
          <w:sz w:val="20"/>
          <w:szCs w:val="20"/>
          <w:lang w:val="en-US"/>
        </w:rPr>
        <w:t>?</w:t>
      </w:r>
    </w:p>
    <w:p w14:paraId="22D17046" w14:textId="77777777" w:rsidR="008D0CAD" w:rsidRPr="00C63262" w:rsidRDefault="008D0CAD" w:rsidP="00DD08E3">
      <w:pPr>
        <w:widowControl w:val="0"/>
        <w:numPr>
          <w:ilvl w:val="2"/>
          <w:numId w:val="86"/>
        </w:numPr>
        <w:spacing w:before="100" w:beforeAutospacing="1" w:after="100" w:afterAutospacing="1" w:line="360" w:lineRule="auto"/>
        <w:ind w:left="1350" w:hanging="539"/>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 xml:space="preserve">What indicators do you use to measure the successful implementation of Inclusive Education in your </w:t>
      </w:r>
      <w:r w:rsidRPr="00C63262">
        <w:rPr>
          <w:rFonts w:asciiTheme="majorHAnsi" w:hAnsiTheme="majorHAnsi" w:cstheme="majorHAnsi"/>
          <w:snapToGrid w:val="0"/>
          <w:color w:val="000000"/>
          <w:sz w:val="20"/>
          <w:szCs w:val="20"/>
          <w:lang w:val="en-US"/>
        </w:rPr>
        <w:t>Region/Division</w:t>
      </w:r>
      <w:r w:rsidRPr="00C63262">
        <w:rPr>
          <w:rFonts w:asciiTheme="majorHAnsi" w:hAnsiTheme="majorHAnsi" w:cstheme="majorHAnsi"/>
          <w:snapToGrid w:val="0"/>
          <w:sz w:val="20"/>
          <w:szCs w:val="20"/>
          <w:lang w:val="en-US"/>
        </w:rPr>
        <w:t xml:space="preserve">? </w:t>
      </w:r>
    </w:p>
    <w:p w14:paraId="57CCE2A1" w14:textId="77777777" w:rsidR="008D0CAD" w:rsidRPr="00C63262" w:rsidRDefault="008D0CAD" w:rsidP="00DD08E3">
      <w:pPr>
        <w:widowControl w:val="0"/>
        <w:numPr>
          <w:ilvl w:val="1"/>
          <w:numId w:val="86"/>
        </w:numPr>
        <w:spacing w:before="100" w:beforeAutospacing="1" w:after="100" w:afterAutospacing="1" w:line="360" w:lineRule="auto"/>
        <w:contextualSpacing/>
        <w:rPr>
          <w:rFonts w:asciiTheme="majorHAnsi" w:hAnsiTheme="majorHAnsi" w:cstheme="majorHAnsi"/>
          <w:b/>
          <w:snapToGrid w:val="0"/>
          <w:sz w:val="20"/>
          <w:szCs w:val="20"/>
          <w:lang w:val="en-US"/>
        </w:rPr>
      </w:pPr>
      <w:r w:rsidRPr="00C63262">
        <w:rPr>
          <w:rFonts w:asciiTheme="majorHAnsi" w:hAnsiTheme="majorHAnsi" w:cstheme="majorHAnsi"/>
          <w:b/>
          <w:snapToGrid w:val="0"/>
          <w:sz w:val="20"/>
          <w:szCs w:val="20"/>
          <w:lang w:val="en-US"/>
        </w:rPr>
        <w:t>Organisational development (OD)</w:t>
      </w:r>
    </w:p>
    <w:p w14:paraId="6A1F12FA" w14:textId="77777777" w:rsidR="008D0CAD" w:rsidRPr="00C63262" w:rsidRDefault="008D0CAD" w:rsidP="00DD08E3">
      <w:pPr>
        <w:widowControl w:val="0"/>
        <w:numPr>
          <w:ilvl w:val="2"/>
          <w:numId w:val="86"/>
        </w:numPr>
        <w:spacing w:before="100" w:beforeAutospacing="1" w:after="100" w:afterAutospacing="1" w:line="360" w:lineRule="auto"/>
        <w:ind w:left="1350" w:hanging="540"/>
        <w:contextualSpacing/>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 xml:space="preserve">How was Continuous Improvement implemented in your </w:t>
      </w:r>
      <w:r w:rsidRPr="00C63262">
        <w:rPr>
          <w:rFonts w:asciiTheme="majorHAnsi" w:hAnsiTheme="majorHAnsi" w:cstheme="majorHAnsi"/>
          <w:snapToGrid w:val="0"/>
          <w:color w:val="000000"/>
          <w:sz w:val="20"/>
          <w:szCs w:val="20"/>
          <w:lang w:val="en-US"/>
        </w:rPr>
        <w:t>Region/Division</w:t>
      </w:r>
      <w:r w:rsidRPr="00C63262">
        <w:rPr>
          <w:rFonts w:asciiTheme="majorHAnsi" w:hAnsiTheme="majorHAnsi" w:cstheme="majorHAnsi"/>
          <w:snapToGrid w:val="0"/>
          <w:sz w:val="20"/>
          <w:szCs w:val="20"/>
          <w:lang w:val="en-US"/>
        </w:rPr>
        <w:t>?</w:t>
      </w:r>
    </w:p>
    <w:p w14:paraId="4527EE84" w14:textId="77777777" w:rsidR="008D0CAD" w:rsidRPr="00C63262" w:rsidRDefault="008D0CAD" w:rsidP="00DD08E3">
      <w:pPr>
        <w:widowControl w:val="0"/>
        <w:numPr>
          <w:ilvl w:val="2"/>
          <w:numId w:val="86"/>
        </w:numPr>
        <w:spacing w:before="100" w:beforeAutospacing="1" w:after="100" w:afterAutospacing="1" w:line="360" w:lineRule="auto"/>
        <w:ind w:left="1350" w:hanging="540"/>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 xml:space="preserve">How did the reforms in the Results-based Performance Management System (RPMS) affect your </w:t>
      </w:r>
      <w:r w:rsidRPr="00C63262">
        <w:rPr>
          <w:rFonts w:asciiTheme="majorHAnsi" w:hAnsiTheme="majorHAnsi" w:cstheme="majorHAnsi"/>
          <w:snapToGrid w:val="0"/>
          <w:color w:val="000000"/>
          <w:sz w:val="20"/>
          <w:szCs w:val="20"/>
          <w:lang w:val="en-US"/>
        </w:rPr>
        <w:t>Region/Division</w:t>
      </w:r>
      <w:r w:rsidRPr="00C63262">
        <w:rPr>
          <w:rFonts w:asciiTheme="majorHAnsi" w:hAnsiTheme="majorHAnsi" w:cstheme="majorHAnsi"/>
          <w:snapToGrid w:val="0"/>
          <w:sz w:val="20"/>
          <w:szCs w:val="20"/>
          <w:lang w:val="en-US"/>
        </w:rPr>
        <w:t>?</w:t>
      </w:r>
    </w:p>
    <w:p w14:paraId="27F614CC" w14:textId="77777777" w:rsidR="008D0CAD" w:rsidRPr="00C63262" w:rsidRDefault="008D0CAD" w:rsidP="00DD08E3">
      <w:pPr>
        <w:widowControl w:val="0"/>
        <w:numPr>
          <w:ilvl w:val="2"/>
          <w:numId w:val="86"/>
        </w:numPr>
        <w:spacing w:before="100" w:beforeAutospacing="1" w:after="100" w:afterAutospacing="1" w:line="360" w:lineRule="auto"/>
        <w:ind w:left="1350" w:hanging="539"/>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 xml:space="preserve">What indicators do you use to measure the successful implementation of CI projects in your </w:t>
      </w:r>
      <w:r w:rsidRPr="00C63262">
        <w:rPr>
          <w:rFonts w:asciiTheme="majorHAnsi" w:hAnsiTheme="majorHAnsi" w:cstheme="majorHAnsi"/>
          <w:snapToGrid w:val="0"/>
          <w:color w:val="000000"/>
          <w:sz w:val="20"/>
          <w:szCs w:val="20"/>
          <w:lang w:val="en-US"/>
        </w:rPr>
        <w:t>Region/Division</w:t>
      </w:r>
      <w:r w:rsidRPr="00C63262">
        <w:rPr>
          <w:rFonts w:asciiTheme="majorHAnsi" w:hAnsiTheme="majorHAnsi" w:cstheme="majorHAnsi"/>
          <w:snapToGrid w:val="0"/>
          <w:sz w:val="20"/>
          <w:szCs w:val="20"/>
          <w:lang w:val="en-US"/>
        </w:rPr>
        <w:t xml:space="preserve">? </w:t>
      </w:r>
    </w:p>
    <w:p w14:paraId="26889D98" w14:textId="77777777" w:rsidR="008D0CAD" w:rsidRPr="00C63262" w:rsidRDefault="008D0CAD" w:rsidP="00DD08E3">
      <w:pPr>
        <w:widowControl w:val="0"/>
        <w:numPr>
          <w:ilvl w:val="1"/>
          <w:numId w:val="86"/>
        </w:numPr>
        <w:spacing w:before="100" w:beforeAutospacing="1" w:after="100" w:afterAutospacing="1" w:line="360" w:lineRule="auto"/>
        <w:ind w:left="900" w:hanging="540"/>
        <w:contextualSpacing/>
        <w:rPr>
          <w:rFonts w:asciiTheme="majorHAnsi" w:hAnsiTheme="majorHAnsi" w:cstheme="majorHAnsi"/>
          <w:b/>
          <w:snapToGrid w:val="0"/>
          <w:sz w:val="20"/>
          <w:szCs w:val="20"/>
          <w:lang w:val="en-US"/>
        </w:rPr>
      </w:pPr>
      <w:r w:rsidRPr="00C63262">
        <w:rPr>
          <w:rFonts w:asciiTheme="majorHAnsi" w:hAnsiTheme="majorHAnsi" w:cstheme="majorHAnsi"/>
          <w:b/>
          <w:snapToGrid w:val="0"/>
          <w:sz w:val="20"/>
          <w:szCs w:val="20"/>
          <w:lang w:val="en-US"/>
        </w:rPr>
        <w:t>Classroom construction (Only for schools with classroom construction)</w:t>
      </w:r>
    </w:p>
    <w:p w14:paraId="62128EA2" w14:textId="77777777" w:rsidR="008D0CAD" w:rsidRPr="00C63262" w:rsidRDefault="008D0CAD" w:rsidP="00DD08E3">
      <w:pPr>
        <w:widowControl w:val="0"/>
        <w:numPr>
          <w:ilvl w:val="2"/>
          <w:numId w:val="86"/>
        </w:numPr>
        <w:spacing w:before="100" w:beforeAutospacing="1" w:after="100" w:afterAutospacing="1" w:line="360" w:lineRule="auto"/>
        <w:ind w:left="1418" w:hanging="607"/>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 xml:space="preserve">How significant were the additional classroom constructions undertaken in the last five years in addressing the specific requirements in your </w:t>
      </w:r>
      <w:r w:rsidRPr="00C63262">
        <w:rPr>
          <w:rFonts w:asciiTheme="majorHAnsi" w:hAnsiTheme="majorHAnsi" w:cstheme="majorHAnsi"/>
          <w:snapToGrid w:val="0"/>
          <w:color w:val="000000"/>
          <w:sz w:val="20"/>
          <w:szCs w:val="20"/>
          <w:lang w:val="en-US"/>
        </w:rPr>
        <w:t>Region/Division</w:t>
      </w:r>
      <w:r w:rsidRPr="00C63262">
        <w:rPr>
          <w:rFonts w:asciiTheme="majorHAnsi" w:hAnsiTheme="majorHAnsi" w:cstheme="majorHAnsi"/>
          <w:snapToGrid w:val="0"/>
          <w:sz w:val="20"/>
          <w:szCs w:val="20"/>
          <w:lang w:val="en-US"/>
        </w:rPr>
        <w:t>?</w:t>
      </w:r>
    </w:p>
    <w:p w14:paraId="7CF6C273" w14:textId="77777777" w:rsidR="008D0CAD" w:rsidRPr="00C63262" w:rsidRDefault="008D0CAD" w:rsidP="00DD08E3">
      <w:pPr>
        <w:widowControl w:val="0"/>
        <w:numPr>
          <w:ilvl w:val="0"/>
          <w:numId w:val="86"/>
        </w:numPr>
        <w:spacing w:before="100" w:beforeAutospacing="1" w:after="100" w:afterAutospacing="1" w:line="360" w:lineRule="auto"/>
        <w:ind w:left="357" w:hanging="357"/>
        <w:rPr>
          <w:rFonts w:asciiTheme="majorHAnsi" w:hAnsiTheme="majorHAnsi" w:cstheme="majorHAnsi"/>
          <w:snapToGrid w:val="0"/>
          <w:sz w:val="20"/>
          <w:szCs w:val="20"/>
          <w:lang w:val="en-US"/>
        </w:rPr>
      </w:pPr>
      <w:r w:rsidRPr="00C63262">
        <w:rPr>
          <w:rFonts w:asciiTheme="majorHAnsi" w:hAnsiTheme="majorHAnsi" w:cstheme="majorHAnsi"/>
          <w:bCs/>
          <w:snapToGrid w:val="0"/>
          <w:sz w:val="20"/>
          <w:szCs w:val="20"/>
          <w:lang w:val="en-US"/>
        </w:rPr>
        <w:t xml:space="preserve">What were the </w:t>
      </w:r>
      <w:r w:rsidRPr="00C63262">
        <w:rPr>
          <w:rFonts w:asciiTheme="majorHAnsi" w:hAnsiTheme="majorHAnsi" w:cstheme="majorHAnsi"/>
          <w:b/>
          <w:bCs/>
          <w:snapToGrid w:val="0"/>
          <w:sz w:val="20"/>
          <w:szCs w:val="20"/>
          <w:lang w:val="en-US"/>
        </w:rPr>
        <w:t>different support mechanisms</w:t>
      </w:r>
      <w:r w:rsidRPr="00C63262">
        <w:rPr>
          <w:rFonts w:asciiTheme="majorHAnsi" w:hAnsiTheme="majorHAnsi" w:cstheme="majorHAnsi"/>
          <w:bCs/>
          <w:snapToGrid w:val="0"/>
          <w:sz w:val="20"/>
          <w:szCs w:val="20"/>
          <w:lang w:val="en-US"/>
        </w:rPr>
        <w:t xml:space="preserve"> (e.g., systems, resources, capacity building) that were provided to your </w:t>
      </w:r>
      <w:r w:rsidRPr="00C63262">
        <w:rPr>
          <w:rFonts w:asciiTheme="majorHAnsi" w:hAnsiTheme="majorHAnsi" w:cstheme="majorHAnsi"/>
          <w:snapToGrid w:val="0"/>
          <w:color w:val="000000"/>
          <w:sz w:val="20"/>
          <w:szCs w:val="20"/>
          <w:lang w:val="en-US"/>
        </w:rPr>
        <w:t xml:space="preserve">Region/Division </w:t>
      </w:r>
      <w:r w:rsidRPr="00C63262">
        <w:rPr>
          <w:rFonts w:asciiTheme="majorHAnsi" w:hAnsiTheme="majorHAnsi" w:cstheme="majorHAnsi"/>
          <w:bCs/>
          <w:snapToGrid w:val="0"/>
          <w:sz w:val="20"/>
          <w:szCs w:val="20"/>
          <w:lang w:val="en-US"/>
        </w:rPr>
        <w:t>in order to ensure the successful implement the basic education reforms?</w:t>
      </w:r>
    </w:p>
    <w:p w14:paraId="218EC1AC" w14:textId="77777777" w:rsidR="008D0CAD" w:rsidRPr="00C63262" w:rsidRDefault="008D0CAD" w:rsidP="00DD08E3">
      <w:pPr>
        <w:widowControl w:val="0"/>
        <w:numPr>
          <w:ilvl w:val="1"/>
          <w:numId w:val="86"/>
        </w:numPr>
        <w:spacing w:before="100" w:beforeAutospacing="1" w:after="100" w:afterAutospacing="1" w:line="360" w:lineRule="auto"/>
        <w:rPr>
          <w:rFonts w:asciiTheme="majorHAnsi" w:hAnsiTheme="majorHAnsi" w:cstheme="majorHAnsi"/>
          <w:bCs/>
          <w:snapToGrid w:val="0"/>
          <w:sz w:val="20"/>
          <w:szCs w:val="20"/>
          <w:lang w:val="en-US"/>
        </w:rPr>
      </w:pPr>
      <w:r w:rsidRPr="00C63262">
        <w:rPr>
          <w:rFonts w:asciiTheme="majorHAnsi" w:hAnsiTheme="majorHAnsi" w:cstheme="majorHAnsi"/>
          <w:bCs/>
          <w:i/>
          <w:snapToGrid w:val="0"/>
          <w:sz w:val="20"/>
          <w:szCs w:val="20"/>
          <w:lang w:val="en-US"/>
        </w:rPr>
        <w:t>Note:</w:t>
      </w:r>
      <w:r w:rsidRPr="00C63262">
        <w:rPr>
          <w:rFonts w:asciiTheme="majorHAnsi" w:hAnsiTheme="majorHAnsi" w:cstheme="majorHAnsi"/>
          <w:bCs/>
          <w:snapToGrid w:val="0"/>
          <w:sz w:val="20"/>
          <w:szCs w:val="20"/>
          <w:lang w:val="en-US"/>
        </w:rPr>
        <w:t xml:space="preserve"> </w:t>
      </w:r>
      <w:r w:rsidRPr="00C63262">
        <w:rPr>
          <w:rFonts w:asciiTheme="majorHAnsi" w:hAnsiTheme="majorHAnsi" w:cstheme="majorHAnsi"/>
          <w:bCs/>
          <w:i/>
          <w:snapToGrid w:val="0"/>
          <w:sz w:val="20"/>
          <w:szCs w:val="20"/>
          <w:lang w:val="en-US"/>
        </w:rPr>
        <w:t xml:space="preserve">mention each of the </w:t>
      </w:r>
      <w:r w:rsidRPr="00C63262">
        <w:rPr>
          <w:rFonts w:asciiTheme="majorHAnsi" w:hAnsiTheme="majorHAnsi" w:cstheme="majorHAnsi"/>
          <w:bCs/>
          <w:snapToGrid w:val="0"/>
          <w:sz w:val="20"/>
          <w:szCs w:val="20"/>
          <w:lang w:val="en-US"/>
        </w:rPr>
        <w:t>basic education reforms</w:t>
      </w:r>
      <w:r w:rsidRPr="00C63262">
        <w:rPr>
          <w:rFonts w:asciiTheme="majorHAnsi" w:hAnsiTheme="majorHAnsi" w:cstheme="majorHAnsi"/>
          <w:bCs/>
          <w:i/>
          <w:snapToGrid w:val="0"/>
          <w:sz w:val="20"/>
          <w:szCs w:val="20"/>
          <w:lang w:val="en-US"/>
        </w:rPr>
        <w:t xml:space="preserve"> (or program interventions)</w:t>
      </w:r>
      <w:r w:rsidRPr="00C63262">
        <w:rPr>
          <w:rFonts w:asciiTheme="majorHAnsi" w:hAnsiTheme="majorHAnsi" w:cstheme="majorHAnsi"/>
          <w:b/>
          <w:bCs/>
          <w:snapToGrid w:val="0"/>
          <w:sz w:val="20"/>
          <w:szCs w:val="20"/>
          <w:lang w:val="en-US"/>
        </w:rPr>
        <w:t xml:space="preserve"> </w:t>
      </w:r>
      <w:r w:rsidRPr="00C63262">
        <w:rPr>
          <w:rFonts w:asciiTheme="majorHAnsi" w:hAnsiTheme="majorHAnsi" w:cstheme="majorHAnsi"/>
          <w:bCs/>
          <w:i/>
          <w:snapToGrid w:val="0"/>
          <w:sz w:val="20"/>
          <w:szCs w:val="20"/>
          <w:lang w:val="en-US"/>
        </w:rPr>
        <w:t>listed below</w:t>
      </w:r>
      <w:r w:rsidRPr="00C63262">
        <w:rPr>
          <w:rFonts w:asciiTheme="majorHAnsi" w:hAnsiTheme="majorHAnsi" w:cstheme="majorHAnsi"/>
          <w:bCs/>
          <w:snapToGrid w:val="0"/>
          <w:sz w:val="20"/>
          <w:szCs w:val="20"/>
          <w:lang w:val="en-US"/>
        </w:rPr>
        <w:t>.</w:t>
      </w:r>
    </w:p>
    <w:p w14:paraId="7CA89BC1" w14:textId="77777777" w:rsidR="008D0CAD" w:rsidRPr="00C63262" w:rsidRDefault="008D0CAD" w:rsidP="00DD08E3">
      <w:pPr>
        <w:widowControl w:val="0"/>
        <w:numPr>
          <w:ilvl w:val="0"/>
          <w:numId w:val="86"/>
        </w:numPr>
        <w:spacing w:before="100" w:beforeAutospacing="1" w:after="100" w:afterAutospacing="1" w:line="360" w:lineRule="auto"/>
        <w:ind w:left="357" w:hanging="357"/>
        <w:rPr>
          <w:rFonts w:asciiTheme="majorHAnsi" w:hAnsiTheme="majorHAnsi" w:cstheme="majorHAnsi"/>
          <w:snapToGrid w:val="0"/>
          <w:sz w:val="20"/>
          <w:szCs w:val="20"/>
          <w:lang w:val="en-US"/>
        </w:rPr>
      </w:pPr>
      <w:r w:rsidRPr="00C63262">
        <w:rPr>
          <w:rFonts w:asciiTheme="majorHAnsi" w:hAnsiTheme="majorHAnsi" w:cstheme="majorHAnsi"/>
          <w:bCs/>
          <w:snapToGrid w:val="0"/>
          <w:sz w:val="20"/>
          <w:szCs w:val="20"/>
          <w:lang w:val="en-US"/>
        </w:rPr>
        <w:t xml:space="preserve">On a scale of 1 to 4 (with 4 being the highest), how would you rate the adequacy of support provided to your </w:t>
      </w:r>
      <w:r w:rsidRPr="00C63262">
        <w:rPr>
          <w:rFonts w:asciiTheme="majorHAnsi" w:hAnsiTheme="majorHAnsi" w:cstheme="majorHAnsi"/>
          <w:snapToGrid w:val="0"/>
          <w:color w:val="000000"/>
          <w:sz w:val="20"/>
          <w:szCs w:val="20"/>
          <w:lang w:val="en-US"/>
        </w:rPr>
        <w:t>Region/Division</w:t>
      </w:r>
      <w:r w:rsidRPr="00C63262">
        <w:rPr>
          <w:rFonts w:asciiTheme="majorHAnsi" w:hAnsiTheme="majorHAnsi" w:cstheme="majorHAnsi"/>
          <w:bCs/>
          <w:snapToGrid w:val="0"/>
          <w:sz w:val="20"/>
          <w:szCs w:val="20"/>
          <w:lang w:val="en-US"/>
        </w:rPr>
        <w:t xml:space="preserve"> to enable you to implement the different basic education reforms?</w:t>
      </w:r>
    </w:p>
    <w:p w14:paraId="6B6C24C3" w14:textId="77777777" w:rsidR="008D0CAD" w:rsidRPr="00C63262" w:rsidRDefault="008D0CAD" w:rsidP="00DD08E3">
      <w:pPr>
        <w:widowControl w:val="0"/>
        <w:numPr>
          <w:ilvl w:val="0"/>
          <w:numId w:val="86"/>
        </w:numPr>
        <w:spacing w:before="100" w:beforeAutospacing="1" w:after="100" w:afterAutospacing="1" w:line="360" w:lineRule="auto"/>
        <w:ind w:left="357" w:hanging="357"/>
        <w:rPr>
          <w:rFonts w:asciiTheme="majorHAnsi" w:hAnsiTheme="majorHAnsi" w:cstheme="majorHAnsi"/>
          <w:snapToGrid w:val="0"/>
          <w:sz w:val="20"/>
          <w:szCs w:val="20"/>
          <w:lang w:val="en-US"/>
        </w:rPr>
      </w:pPr>
      <w:r w:rsidRPr="00C63262">
        <w:rPr>
          <w:rFonts w:asciiTheme="majorHAnsi" w:hAnsiTheme="majorHAnsi" w:cstheme="majorHAnsi"/>
          <w:bCs/>
          <w:snapToGrid w:val="0"/>
          <w:sz w:val="20"/>
          <w:szCs w:val="20"/>
          <w:lang w:val="en-US"/>
        </w:rPr>
        <w:t xml:space="preserve">What other support mechanisms could have been provided to you [WISH LIST] that could have significantly enhanced the implementation of the basic education reforms in your </w:t>
      </w:r>
      <w:r w:rsidRPr="00C63262">
        <w:rPr>
          <w:rFonts w:asciiTheme="majorHAnsi" w:hAnsiTheme="majorHAnsi" w:cstheme="majorHAnsi"/>
          <w:snapToGrid w:val="0"/>
          <w:color w:val="000000"/>
          <w:sz w:val="20"/>
          <w:szCs w:val="20"/>
          <w:lang w:val="en-US"/>
        </w:rPr>
        <w:t>Region/Division</w:t>
      </w:r>
      <w:r w:rsidRPr="00C63262">
        <w:rPr>
          <w:rFonts w:asciiTheme="majorHAnsi" w:hAnsiTheme="majorHAnsi" w:cstheme="majorHAnsi"/>
          <w:bCs/>
          <w:snapToGrid w:val="0"/>
          <w:sz w:val="20"/>
          <w:szCs w:val="20"/>
          <w:lang w:val="en-US"/>
        </w:rPr>
        <w:t>?</w:t>
      </w:r>
    </w:p>
    <w:p w14:paraId="2ECB2B2D" w14:textId="77777777" w:rsidR="008D0CAD" w:rsidRPr="00C63262" w:rsidRDefault="008D0CAD" w:rsidP="00DD08E3">
      <w:pPr>
        <w:numPr>
          <w:ilvl w:val="0"/>
          <w:numId w:val="86"/>
        </w:numPr>
        <w:spacing w:before="100" w:beforeAutospacing="1" w:after="100" w:afterAutospacing="1" w:line="360" w:lineRule="auto"/>
        <w:contextualSpacing/>
        <w:rPr>
          <w:rFonts w:asciiTheme="majorHAnsi" w:hAnsiTheme="majorHAnsi" w:cstheme="majorHAnsi"/>
          <w:snapToGrid w:val="0"/>
          <w:sz w:val="20"/>
          <w:szCs w:val="20"/>
          <w:lang w:val="en-US"/>
        </w:rPr>
      </w:pPr>
      <w:r w:rsidRPr="00C63262">
        <w:rPr>
          <w:rFonts w:asciiTheme="majorHAnsi" w:hAnsiTheme="majorHAnsi" w:cstheme="majorHAnsi"/>
          <w:bCs/>
          <w:snapToGrid w:val="0"/>
          <w:color w:val="000000" w:themeColor="text1"/>
          <w:sz w:val="20"/>
          <w:szCs w:val="20"/>
          <w:lang w:val="en-US"/>
        </w:rPr>
        <w:t xml:space="preserve">What is your understanding of inclusive education? </w:t>
      </w:r>
    </w:p>
    <w:p w14:paraId="43442B33" w14:textId="09B20180" w:rsidR="008D0CAD" w:rsidRPr="00C63262" w:rsidRDefault="008D0CAD" w:rsidP="00DD08E3">
      <w:pPr>
        <w:numPr>
          <w:ilvl w:val="1"/>
          <w:numId w:val="86"/>
        </w:numPr>
        <w:spacing w:before="100" w:beforeAutospacing="1" w:after="100" w:afterAutospacing="1" w:line="360" w:lineRule="auto"/>
        <w:contextualSpacing/>
        <w:rPr>
          <w:rFonts w:asciiTheme="majorHAnsi" w:hAnsiTheme="majorHAnsi" w:cstheme="majorHAnsi"/>
          <w:snapToGrid w:val="0"/>
          <w:sz w:val="20"/>
          <w:szCs w:val="20"/>
          <w:lang w:val="en-US"/>
        </w:rPr>
      </w:pPr>
      <w:r w:rsidRPr="00C63262">
        <w:rPr>
          <w:rFonts w:asciiTheme="majorHAnsi" w:hAnsiTheme="majorHAnsi" w:cstheme="majorHAnsi"/>
          <w:bCs/>
          <w:snapToGrid w:val="0"/>
          <w:color w:val="000000" w:themeColor="text1"/>
          <w:sz w:val="20"/>
          <w:szCs w:val="20"/>
          <w:lang w:val="en-US"/>
        </w:rPr>
        <w:t>Are you familiar with DEPED’s Inclusive Education Framework? Can you describe it?</w:t>
      </w:r>
      <w:r w:rsidR="00D434EB">
        <w:rPr>
          <w:rFonts w:asciiTheme="majorHAnsi" w:hAnsiTheme="majorHAnsi" w:cstheme="majorHAnsi"/>
          <w:bCs/>
          <w:snapToGrid w:val="0"/>
          <w:color w:val="000000" w:themeColor="text1"/>
          <w:sz w:val="20"/>
          <w:szCs w:val="20"/>
          <w:lang w:val="en-US"/>
        </w:rPr>
        <w:t xml:space="preserve"> </w:t>
      </w:r>
      <w:r w:rsidRPr="00C63262">
        <w:rPr>
          <w:rFonts w:asciiTheme="majorHAnsi" w:hAnsiTheme="majorHAnsi" w:cstheme="majorHAnsi"/>
          <w:bCs/>
          <w:snapToGrid w:val="0"/>
          <w:color w:val="000000" w:themeColor="text1"/>
          <w:sz w:val="20"/>
          <w:szCs w:val="20"/>
          <w:lang w:val="en-US"/>
        </w:rPr>
        <w:t xml:space="preserve"> </w:t>
      </w:r>
    </w:p>
    <w:p w14:paraId="293A12CE" w14:textId="77777777" w:rsidR="008D0CAD" w:rsidRPr="00C63262" w:rsidRDefault="008D0CAD" w:rsidP="00DD08E3">
      <w:pPr>
        <w:numPr>
          <w:ilvl w:val="1"/>
          <w:numId w:val="86"/>
        </w:numPr>
        <w:spacing w:before="100" w:beforeAutospacing="1" w:after="100" w:afterAutospacing="1" w:line="360" w:lineRule="auto"/>
        <w:contextualSpacing/>
        <w:rPr>
          <w:rFonts w:asciiTheme="majorHAnsi" w:hAnsiTheme="majorHAnsi" w:cstheme="majorHAnsi"/>
          <w:snapToGrid w:val="0"/>
          <w:sz w:val="20"/>
          <w:szCs w:val="20"/>
          <w:lang w:val="en-US"/>
        </w:rPr>
      </w:pPr>
      <w:r w:rsidRPr="00C63262">
        <w:rPr>
          <w:rFonts w:asciiTheme="majorHAnsi" w:hAnsiTheme="majorHAnsi" w:cstheme="majorHAnsi"/>
          <w:bCs/>
          <w:snapToGrid w:val="0"/>
          <w:color w:val="000000" w:themeColor="text1"/>
          <w:sz w:val="20"/>
          <w:szCs w:val="20"/>
          <w:lang w:val="en-US"/>
        </w:rPr>
        <w:t xml:space="preserve">How is inclusive education implemented in your </w:t>
      </w:r>
      <w:r w:rsidRPr="00C63262">
        <w:rPr>
          <w:rFonts w:asciiTheme="majorHAnsi" w:hAnsiTheme="majorHAnsi" w:cstheme="majorHAnsi"/>
          <w:snapToGrid w:val="0"/>
          <w:color w:val="000000"/>
          <w:sz w:val="20"/>
          <w:szCs w:val="20"/>
          <w:lang w:val="en-US"/>
        </w:rPr>
        <w:t>Region/Division</w:t>
      </w:r>
      <w:r w:rsidRPr="00C63262">
        <w:rPr>
          <w:rFonts w:asciiTheme="majorHAnsi" w:hAnsiTheme="majorHAnsi" w:cstheme="majorHAnsi"/>
          <w:bCs/>
          <w:snapToGrid w:val="0"/>
          <w:color w:val="000000" w:themeColor="text1"/>
          <w:sz w:val="20"/>
          <w:szCs w:val="20"/>
          <w:lang w:val="en-US"/>
        </w:rPr>
        <w:t>?</w:t>
      </w:r>
      <w:r w:rsidRPr="00C63262">
        <w:rPr>
          <w:rFonts w:asciiTheme="majorHAnsi" w:hAnsiTheme="majorHAnsi" w:cstheme="majorHAnsi"/>
          <w:snapToGrid w:val="0"/>
          <w:color w:val="000000"/>
          <w:sz w:val="20"/>
          <w:szCs w:val="20"/>
          <w:lang w:val="en-US"/>
        </w:rPr>
        <w:t xml:space="preserve"> </w:t>
      </w:r>
    </w:p>
    <w:p w14:paraId="33F0230E" w14:textId="77777777" w:rsidR="008D0CAD" w:rsidRPr="00C63262" w:rsidRDefault="008D0CAD" w:rsidP="00DD08E3">
      <w:pPr>
        <w:numPr>
          <w:ilvl w:val="1"/>
          <w:numId w:val="86"/>
        </w:numPr>
        <w:spacing w:before="100" w:beforeAutospacing="1" w:after="100" w:afterAutospacing="1" w:line="360" w:lineRule="auto"/>
        <w:contextualSpacing/>
        <w:rPr>
          <w:rFonts w:asciiTheme="majorHAnsi" w:hAnsiTheme="majorHAnsi" w:cstheme="majorHAnsi"/>
          <w:snapToGrid w:val="0"/>
          <w:sz w:val="20"/>
          <w:szCs w:val="20"/>
          <w:lang w:val="en-US"/>
        </w:rPr>
      </w:pPr>
      <w:r w:rsidRPr="00C63262">
        <w:rPr>
          <w:rFonts w:asciiTheme="majorHAnsi" w:hAnsiTheme="majorHAnsi" w:cstheme="majorHAnsi"/>
          <w:snapToGrid w:val="0"/>
          <w:color w:val="000000"/>
          <w:sz w:val="20"/>
          <w:szCs w:val="20"/>
          <w:lang w:val="en-US"/>
        </w:rPr>
        <w:t>What challenges do you experience in terms of implementing inclusive education in your Region/Division?</w:t>
      </w:r>
      <w:r w:rsidRPr="00C63262">
        <w:rPr>
          <w:rFonts w:asciiTheme="majorHAnsi" w:hAnsiTheme="majorHAnsi" w:cstheme="majorHAnsi"/>
          <w:bCs/>
          <w:snapToGrid w:val="0"/>
          <w:color w:val="000000" w:themeColor="text1"/>
          <w:sz w:val="20"/>
          <w:szCs w:val="20"/>
          <w:lang w:val="en-US"/>
        </w:rPr>
        <w:t xml:space="preserve"> </w:t>
      </w:r>
    </w:p>
    <w:p w14:paraId="1E7DAF19" w14:textId="77777777" w:rsidR="008D0CAD" w:rsidRPr="00C63262" w:rsidRDefault="008D0CAD" w:rsidP="00DD08E3">
      <w:pPr>
        <w:numPr>
          <w:ilvl w:val="1"/>
          <w:numId w:val="86"/>
        </w:numPr>
        <w:spacing w:before="100" w:beforeAutospacing="1" w:after="100" w:afterAutospacing="1" w:line="360" w:lineRule="auto"/>
        <w:ind w:left="788" w:hanging="431"/>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 xml:space="preserve">How do you measure the successful implementation of </w:t>
      </w:r>
      <w:r w:rsidRPr="00C63262">
        <w:rPr>
          <w:rFonts w:asciiTheme="majorHAnsi" w:hAnsiTheme="majorHAnsi" w:cstheme="majorHAnsi"/>
          <w:snapToGrid w:val="0"/>
          <w:color w:val="000000"/>
          <w:sz w:val="20"/>
          <w:szCs w:val="20"/>
          <w:lang w:val="en-US"/>
        </w:rPr>
        <w:t>inclusive education in your Region/Division?</w:t>
      </w:r>
    </w:p>
    <w:p w14:paraId="56B311D8" w14:textId="77777777" w:rsidR="008D0CAD" w:rsidRPr="00C63262" w:rsidRDefault="008D0CAD" w:rsidP="00DD08E3">
      <w:pPr>
        <w:numPr>
          <w:ilvl w:val="0"/>
          <w:numId w:val="86"/>
        </w:numPr>
        <w:spacing w:before="100" w:beforeAutospacing="1" w:after="100" w:afterAutospacing="1" w:line="360" w:lineRule="auto"/>
        <w:contextualSpacing/>
        <w:rPr>
          <w:rFonts w:asciiTheme="majorHAnsi" w:hAnsiTheme="majorHAnsi" w:cstheme="majorHAnsi"/>
          <w:snapToGrid w:val="0"/>
          <w:sz w:val="20"/>
          <w:szCs w:val="20"/>
          <w:lang w:val="en-US"/>
        </w:rPr>
      </w:pPr>
      <w:r w:rsidRPr="00C63262">
        <w:rPr>
          <w:rFonts w:asciiTheme="majorHAnsi" w:hAnsiTheme="majorHAnsi" w:cstheme="majorHAnsi"/>
          <w:bCs/>
          <w:snapToGrid w:val="0"/>
          <w:color w:val="000000" w:themeColor="text1"/>
          <w:sz w:val="20"/>
          <w:szCs w:val="20"/>
          <w:lang w:val="en-US"/>
        </w:rPr>
        <w:t xml:space="preserve">What is your understanding of inclusive education? </w:t>
      </w:r>
    </w:p>
    <w:p w14:paraId="2EC07B6A" w14:textId="77777777" w:rsidR="008D0CAD" w:rsidRPr="00C63262" w:rsidRDefault="008D0CAD" w:rsidP="00DD08E3">
      <w:pPr>
        <w:numPr>
          <w:ilvl w:val="1"/>
          <w:numId w:val="86"/>
        </w:numPr>
        <w:spacing w:before="100" w:beforeAutospacing="1" w:after="100" w:afterAutospacing="1" w:line="360" w:lineRule="auto"/>
        <w:contextualSpacing/>
        <w:rPr>
          <w:rFonts w:asciiTheme="majorHAnsi" w:hAnsiTheme="majorHAnsi" w:cstheme="majorHAnsi"/>
          <w:snapToGrid w:val="0"/>
          <w:sz w:val="20"/>
          <w:szCs w:val="20"/>
          <w:lang w:val="en-US"/>
        </w:rPr>
      </w:pPr>
      <w:r w:rsidRPr="00C63262">
        <w:rPr>
          <w:rFonts w:asciiTheme="majorHAnsi" w:hAnsiTheme="majorHAnsi" w:cstheme="majorHAnsi"/>
          <w:bCs/>
          <w:snapToGrid w:val="0"/>
          <w:color w:val="000000" w:themeColor="text1"/>
          <w:sz w:val="20"/>
          <w:szCs w:val="20"/>
          <w:lang w:val="en-US"/>
        </w:rPr>
        <w:t>What is the difference of inclusive education with responsive education?</w:t>
      </w:r>
      <w:r w:rsidRPr="00C63262">
        <w:rPr>
          <w:rFonts w:asciiTheme="majorHAnsi" w:hAnsiTheme="majorHAnsi" w:cstheme="majorHAnsi"/>
          <w:snapToGrid w:val="0"/>
          <w:color w:val="000000"/>
          <w:sz w:val="20"/>
          <w:szCs w:val="20"/>
          <w:lang w:val="en-US"/>
        </w:rPr>
        <w:t xml:space="preserve"> </w:t>
      </w:r>
    </w:p>
    <w:p w14:paraId="294B5339" w14:textId="77777777" w:rsidR="008D0CAD" w:rsidRPr="00C63262" w:rsidRDefault="008D0CAD" w:rsidP="00DD08E3">
      <w:pPr>
        <w:numPr>
          <w:ilvl w:val="1"/>
          <w:numId w:val="86"/>
        </w:numPr>
        <w:spacing w:before="100" w:beforeAutospacing="1" w:after="100" w:afterAutospacing="1" w:line="360" w:lineRule="auto"/>
        <w:contextualSpacing/>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 xml:space="preserve">How do you measure the successful implementation of </w:t>
      </w:r>
      <w:r w:rsidRPr="00C63262">
        <w:rPr>
          <w:rFonts w:asciiTheme="majorHAnsi" w:hAnsiTheme="majorHAnsi" w:cstheme="majorHAnsi"/>
          <w:bCs/>
          <w:snapToGrid w:val="0"/>
          <w:color w:val="000000" w:themeColor="text1"/>
          <w:sz w:val="20"/>
          <w:szCs w:val="20"/>
          <w:lang w:val="en-US"/>
        </w:rPr>
        <w:t>responsive education</w:t>
      </w:r>
      <w:r w:rsidRPr="00C63262">
        <w:rPr>
          <w:rFonts w:asciiTheme="majorHAnsi" w:hAnsiTheme="majorHAnsi" w:cstheme="majorHAnsi"/>
          <w:snapToGrid w:val="0"/>
          <w:color w:val="000000"/>
          <w:sz w:val="20"/>
          <w:szCs w:val="20"/>
          <w:lang w:val="en-US"/>
        </w:rPr>
        <w:t xml:space="preserve"> in your Region/Division?</w:t>
      </w:r>
    </w:p>
    <w:p w14:paraId="49C470A6" w14:textId="77777777" w:rsidR="008D0CAD" w:rsidRPr="00C63262" w:rsidRDefault="008D0CAD" w:rsidP="00DD08E3">
      <w:pPr>
        <w:numPr>
          <w:ilvl w:val="0"/>
          <w:numId w:val="86"/>
        </w:numPr>
        <w:spacing w:before="100" w:beforeAutospacing="1" w:after="100" w:afterAutospacing="1" w:line="360" w:lineRule="auto"/>
        <w:contextualSpacing/>
        <w:rPr>
          <w:rFonts w:asciiTheme="majorHAnsi" w:hAnsiTheme="majorHAnsi" w:cstheme="majorHAnsi"/>
          <w:snapToGrid w:val="0"/>
          <w:sz w:val="20"/>
          <w:szCs w:val="20"/>
          <w:lang w:val="en-US"/>
        </w:rPr>
      </w:pPr>
      <w:r w:rsidRPr="00C63262">
        <w:rPr>
          <w:rFonts w:asciiTheme="majorHAnsi" w:hAnsiTheme="majorHAnsi" w:cstheme="majorHAnsi"/>
          <w:snapToGrid w:val="0"/>
          <w:color w:val="000000"/>
          <w:sz w:val="20"/>
          <w:szCs w:val="20"/>
          <w:lang w:val="en-US"/>
        </w:rPr>
        <w:t xml:space="preserve">In the last five years, do you think there has been </w:t>
      </w:r>
      <w:r w:rsidRPr="00C63262">
        <w:rPr>
          <w:rFonts w:asciiTheme="majorHAnsi" w:hAnsiTheme="majorHAnsi" w:cstheme="majorHAnsi"/>
          <w:bCs/>
          <w:snapToGrid w:val="0"/>
          <w:color w:val="000000" w:themeColor="text1"/>
          <w:sz w:val="20"/>
          <w:szCs w:val="20"/>
          <w:lang w:val="en-US"/>
        </w:rPr>
        <w:t xml:space="preserve">a significant increase in decentralisation of management and accountability to the </w:t>
      </w:r>
      <w:r w:rsidRPr="00C63262">
        <w:rPr>
          <w:rFonts w:asciiTheme="majorHAnsi" w:hAnsiTheme="majorHAnsi" w:cstheme="majorHAnsi"/>
          <w:snapToGrid w:val="0"/>
          <w:color w:val="000000"/>
          <w:sz w:val="20"/>
          <w:szCs w:val="20"/>
          <w:lang w:val="en-US"/>
        </w:rPr>
        <w:t xml:space="preserve">Region/Division and </w:t>
      </w:r>
      <w:r w:rsidRPr="00C63262">
        <w:rPr>
          <w:rFonts w:asciiTheme="majorHAnsi" w:hAnsiTheme="majorHAnsi" w:cstheme="majorHAnsi"/>
          <w:bCs/>
          <w:snapToGrid w:val="0"/>
          <w:color w:val="000000" w:themeColor="text1"/>
          <w:sz w:val="20"/>
          <w:szCs w:val="20"/>
          <w:lang w:val="en-US"/>
        </w:rPr>
        <w:t>schools in DEPED?</w:t>
      </w:r>
    </w:p>
    <w:p w14:paraId="102259F6" w14:textId="77777777" w:rsidR="008D0CAD" w:rsidRPr="00C63262" w:rsidRDefault="008D0CAD" w:rsidP="00DD08E3">
      <w:pPr>
        <w:numPr>
          <w:ilvl w:val="1"/>
          <w:numId w:val="86"/>
        </w:numPr>
        <w:spacing w:before="100" w:beforeAutospacing="1" w:after="100" w:afterAutospacing="1" w:line="360" w:lineRule="auto"/>
        <w:contextualSpacing/>
        <w:rPr>
          <w:rFonts w:asciiTheme="majorHAnsi" w:hAnsiTheme="majorHAnsi" w:cstheme="majorHAnsi"/>
          <w:snapToGrid w:val="0"/>
          <w:sz w:val="20"/>
          <w:szCs w:val="20"/>
          <w:lang w:val="en-US"/>
        </w:rPr>
      </w:pPr>
      <w:r w:rsidRPr="00C63262">
        <w:rPr>
          <w:rFonts w:asciiTheme="majorHAnsi" w:hAnsiTheme="majorHAnsi" w:cstheme="majorHAnsi"/>
          <w:snapToGrid w:val="0"/>
          <w:color w:val="000000"/>
          <w:sz w:val="20"/>
          <w:szCs w:val="20"/>
          <w:lang w:val="en-US"/>
        </w:rPr>
        <w:t xml:space="preserve">Do you think that ROs and DOS have been given greater freedom in introducing basic education reforms in their respective Regions/Divisions? </w:t>
      </w:r>
    </w:p>
    <w:p w14:paraId="10E1FB0D" w14:textId="77777777" w:rsidR="008D0CAD" w:rsidRPr="00C63262" w:rsidRDefault="008D0CAD" w:rsidP="00DD08E3">
      <w:pPr>
        <w:numPr>
          <w:ilvl w:val="1"/>
          <w:numId w:val="86"/>
        </w:numPr>
        <w:spacing w:before="100" w:beforeAutospacing="1" w:after="100" w:afterAutospacing="1" w:line="360" w:lineRule="auto"/>
        <w:contextualSpacing/>
        <w:rPr>
          <w:rFonts w:asciiTheme="majorHAnsi" w:hAnsiTheme="majorHAnsi" w:cstheme="majorHAnsi"/>
          <w:snapToGrid w:val="0"/>
          <w:sz w:val="20"/>
          <w:szCs w:val="20"/>
          <w:lang w:val="en-US"/>
        </w:rPr>
      </w:pPr>
      <w:r w:rsidRPr="00C63262">
        <w:rPr>
          <w:rFonts w:asciiTheme="majorHAnsi" w:hAnsiTheme="majorHAnsi" w:cstheme="majorHAnsi"/>
          <w:snapToGrid w:val="0"/>
          <w:color w:val="000000"/>
          <w:sz w:val="20"/>
          <w:szCs w:val="20"/>
          <w:lang w:val="en-US"/>
        </w:rPr>
        <w:t xml:space="preserve">Do you think that principals/school heads have been given greater freedom in managing their schools and in delivering learning outcomes in their area? </w:t>
      </w:r>
    </w:p>
    <w:p w14:paraId="4868DC8B" w14:textId="77777777" w:rsidR="008D0CAD" w:rsidRPr="00C63262" w:rsidRDefault="008D0CAD" w:rsidP="00DD08E3">
      <w:pPr>
        <w:numPr>
          <w:ilvl w:val="1"/>
          <w:numId w:val="86"/>
        </w:numPr>
        <w:spacing w:before="100" w:beforeAutospacing="1" w:after="100" w:afterAutospacing="1" w:line="360" w:lineRule="auto"/>
        <w:contextualSpacing/>
        <w:rPr>
          <w:rFonts w:asciiTheme="majorHAnsi" w:hAnsiTheme="majorHAnsi" w:cstheme="majorHAnsi"/>
          <w:snapToGrid w:val="0"/>
          <w:sz w:val="20"/>
          <w:szCs w:val="20"/>
          <w:lang w:val="en-US"/>
        </w:rPr>
      </w:pPr>
      <w:r w:rsidRPr="00C63262">
        <w:rPr>
          <w:rFonts w:asciiTheme="majorHAnsi" w:hAnsiTheme="majorHAnsi" w:cstheme="majorHAnsi"/>
          <w:snapToGrid w:val="0"/>
          <w:color w:val="000000"/>
          <w:sz w:val="20"/>
          <w:szCs w:val="20"/>
          <w:lang w:val="en-US"/>
        </w:rPr>
        <w:t xml:space="preserve">Do you think that teachers have been given greater freedom in designing their own curriculum? Are they able to introduce changes in the curriculum? </w:t>
      </w:r>
    </w:p>
    <w:p w14:paraId="79E18A86" w14:textId="77777777" w:rsidR="008D0CAD" w:rsidRPr="00C63262" w:rsidRDefault="008D0CAD" w:rsidP="00DD08E3">
      <w:pPr>
        <w:numPr>
          <w:ilvl w:val="1"/>
          <w:numId w:val="86"/>
        </w:numPr>
        <w:spacing w:before="100" w:beforeAutospacing="1" w:after="100" w:afterAutospacing="1" w:line="360" w:lineRule="auto"/>
        <w:contextualSpacing/>
        <w:rPr>
          <w:rFonts w:asciiTheme="majorHAnsi" w:hAnsiTheme="majorHAnsi" w:cstheme="majorHAnsi"/>
          <w:snapToGrid w:val="0"/>
          <w:sz w:val="20"/>
          <w:szCs w:val="20"/>
          <w:lang w:val="en-US"/>
        </w:rPr>
      </w:pPr>
      <w:r w:rsidRPr="00C63262">
        <w:rPr>
          <w:rFonts w:asciiTheme="majorHAnsi" w:hAnsiTheme="majorHAnsi" w:cstheme="majorHAnsi"/>
          <w:snapToGrid w:val="0"/>
          <w:color w:val="000000"/>
          <w:sz w:val="20"/>
          <w:szCs w:val="20"/>
          <w:lang w:val="en-US"/>
        </w:rPr>
        <w:t>Do you think feel recommendations of lower authorities (e.g. principals/school heads) are supported and given importance by the next higher management? What about higher authorities in the education sector?</w:t>
      </w:r>
    </w:p>
    <w:p w14:paraId="5C8C2233" w14:textId="77777777" w:rsidR="008D0CAD" w:rsidRPr="00C63262" w:rsidRDefault="008D0CAD" w:rsidP="00DD08E3">
      <w:pPr>
        <w:numPr>
          <w:ilvl w:val="0"/>
          <w:numId w:val="86"/>
        </w:numPr>
        <w:spacing w:before="100" w:beforeAutospacing="1" w:after="100" w:afterAutospacing="1" w:line="360" w:lineRule="auto"/>
        <w:contextualSpacing/>
        <w:rPr>
          <w:rFonts w:asciiTheme="majorHAnsi" w:hAnsiTheme="majorHAnsi" w:cstheme="majorHAnsi"/>
          <w:b/>
          <w:snapToGrid w:val="0"/>
          <w:color w:val="000000" w:themeColor="text1"/>
          <w:sz w:val="20"/>
          <w:szCs w:val="20"/>
          <w:lang w:val="en-US"/>
        </w:rPr>
      </w:pPr>
      <w:r w:rsidRPr="00C63262">
        <w:rPr>
          <w:rFonts w:asciiTheme="majorHAnsi" w:eastAsiaTheme="minorEastAsia" w:hAnsiTheme="majorHAnsi" w:cstheme="majorHAnsi"/>
          <w:b/>
          <w:snapToGrid w:val="0"/>
          <w:color w:val="000000" w:themeColor="text1"/>
          <w:sz w:val="20"/>
          <w:szCs w:val="20"/>
        </w:rPr>
        <w:t xml:space="preserve">What were the hindering and facilitating factors to in your </w:t>
      </w:r>
      <w:r w:rsidRPr="00C63262">
        <w:rPr>
          <w:rFonts w:asciiTheme="majorHAnsi" w:hAnsiTheme="majorHAnsi" w:cstheme="majorHAnsi"/>
          <w:b/>
          <w:snapToGrid w:val="0"/>
          <w:color w:val="000000"/>
          <w:sz w:val="20"/>
          <w:szCs w:val="20"/>
          <w:lang w:val="en-US"/>
        </w:rPr>
        <w:t xml:space="preserve">Region/Division </w:t>
      </w:r>
      <w:r w:rsidRPr="00C63262">
        <w:rPr>
          <w:rFonts w:asciiTheme="majorHAnsi" w:eastAsiaTheme="minorEastAsia" w:hAnsiTheme="majorHAnsi" w:cstheme="majorHAnsi"/>
          <w:b/>
          <w:snapToGrid w:val="0"/>
          <w:color w:val="000000" w:themeColor="text1"/>
          <w:sz w:val="20"/>
          <w:szCs w:val="20"/>
        </w:rPr>
        <w:t>in implementing the basic education reforms in practice</w:t>
      </w:r>
      <w:r w:rsidRPr="00C63262">
        <w:rPr>
          <w:rFonts w:asciiTheme="majorHAnsi" w:hAnsiTheme="majorHAnsi" w:cstheme="majorHAnsi"/>
          <w:b/>
          <w:snapToGrid w:val="0"/>
          <w:color w:val="000000" w:themeColor="text1"/>
          <w:sz w:val="20"/>
          <w:szCs w:val="20"/>
          <w:lang w:val="en-US"/>
        </w:rPr>
        <w:t>?</w:t>
      </w:r>
    </w:p>
    <w:p w14:paraId="0708F18C" w14:textId="0CF02F05" w:rsidR="008D0CAD" w:rsidRPr="00C63262" w:rsidRDefault="008D0CAD" w:rsidP="00EA6CB9">
      <w:pPr>
        <w:spacing w:before="100" w:beforeAutospacing="1" w:after="100" w:afterAutospacing="1" w:line="360" w:lineRule="auto"/>
        <w:ind w:left="360"/>
        <w:rPr>
          <w:rFonts w:asciiTheme="majorHAnsi" w:hAnsiTheme="majorHAnsi" w:cstheme="majorHAnsi"/>
          <w:sz w:val="20"/>
          <w:szCs w:val="20"/>
          <w:lang w:val="en-US"/>
        </w:rPr>
      </w:pPr>
      <w:r w:rsidRPr="00C63262">
        <w:rPr>
          <w:rFonts w:asciiTheme="majorHAnsi" w:hAnsiTheme="majorHAnsi" w:cstheme="majorHAnsi"/>
          <w:bCs/>
          <w:i/>
          <w:sz w:val="20"/>
          <w:szCs w:val="20"/>
          <w:lang w:val="en-US"/>
        </w:rPr>
        <w:t>Note:</w:t>
      </w:r>
      <w:r w:rsidRPr="00C63262">
        <w:rPr>
          <w:rFonts w:asciiTheme="majorHAnsi" w:hAnsiTheme="majorHAnsi" w:cstheme="majorHAnsi"/>
          <w:bCs/>
          <w:sz w:val="20"/>
          <w:szCs w:val="20"/>
          <w:lang w:val="en-US"/>
        </w:rPr>
        <w:t xml:space="preserve"> </w:t>
      </w:r>
      <w:r w:rsidRPr="00C63262">
        <w:rPr>
          <w:rFonts w:asciiTheme="majorHAnsi" w:hAnsiTheme="majorHAnsi" w:cstheme="majorHAnsi"/>
          <w:bCs/>
          <w:i/>
          <w:sz w:val="20"/>
          <w:szCs w:val="20"/>
          <w:lang w:val="en-US"/>
        </w:rPr>
        <w:t xml:space="preserve">mention each of the </w:t>
      </w:r>
      <w:r w:rsidRPr="00C63262">
        <w:rPr>
          <w:rFonts w:asciiTheme="majorHAnsi" w:hAnsiTheme="majorHAnsi" w:cstheme="majorHAnsi"/>
          <w:bCs/>
          <w:sz w:val="20"/>
          <w:szCs w:val="20"/>
          <w:lang w:val="en-US"/>
        </w:rPr>
        <w:t>basic education reforms</w:t>
      </w:r>
      <w:r w:rsidRPr="00C63262">
        <w:rPr>
          <w:rFonts w:asciiTheme="majorHAnsi" w:hAnsiTheme="majorHAnsi" w:cstheme="majorHAnsi"/>
          <w:bCs/>
          <w:i/>
          <w:sz w:val="20"/>
          <w:szCs w:val="20"/>
          <w:lang w:val="en-US"/>
        </w:rPr>
        <w:t xml:space="preserve"> (or program interventions)</w:t>
      </w:r>
      <w:r w:rsidRPr="00C63262">
        <w:rPr>
          <w:rFonts w:asciiTheme="majorHAnsi" w:hAnsiTheme="majorHAnsi" w:cstheme="majorHAnsi"/>
          <w:b/>
          <w:bCs/>
          <w:sz w:val="20"/>
          <w:szCs w:val="20"/>
          <w:lang w:val="en-US"/>
        </w:rPr>
        <w:t xml:space="preserve"> </w:t>
      </w:r>
      <w:r w:rsidRPr="00C63262">
        <w:rPr>
          <w:rFonts w:asciiTheme="majorHAnsi" w:hAnsiTheme="majorHAnsi" w:cstheme="majorHAnsi"/>
          <w:bCs/>
          <w:i/>
          <w:sz w:val="20"/>
          <w:szCs w:val="20"/>
          <w:lang w:val="en-US"/>
        </w:rPr>
        <w:t>listed below</w:t>
      </w:r>
      <w:r w:rsidRPr="00C63262">
        <w:rPr>
          <w:rFonts w:asciiTheme="majorHAnsi" w:hAnsiTheme="majorHAnsi" w:cstheme="majorHAnsi"/>
          <w:bCs/>
          <w:sz w:val="20"/>
          <w:szCs w:val="20"/>
          <w:lang w:val="en-US"/>
        </w:rPr>
        <w:t>.</w:t>
      </w:r>
      <w:r w:rsidR="00D434EB">
        <w:rPr>
          <w:rFonts w:asciiTheme="majorHAnsi" w:hAnsiTheme="majorHAnsi" w:cstheme="majorHAnsi"/>
          <w:bCs/>
          <w:sz w:val="20"/>
          <w:szCs w:val="20"/>
          <w:lang w:val="en-US"/>
        </w:rPr>
        <w:t xml:space="preserve"> </w:t>
      </w:r>
      <w:r w:rsidRPr="00C63262">
        <w:rPr>
          <w:rFonts w:asciiTheme="majorHAnsi" w:hAnsiTheme="majorHAnsi" w:cstheme="majorHAnsi"/>
          <w:bCs/>
          <w:color w:val="000000"/>
          <w:sz w:val="20"/>
          <w:szCs w:val="20"/>
          <w:lang w:val="en-US"/>
        </w:rPr>
        <w:t xml:space="preserve"> </w:t>
      </w:r>
    </w:p>
    <w:p w14:paraId="7D27345D" w14:textId="77777777" w:rsidR="008D0CAD" w:rsidRPr="00C63262" w:rsidRDefault="008D0CAD" w:rsidP="00DD08E3">
      <w:pPr>
        <w:widowControl w:val="0"/>
        <w:numPr>
          <w:ilvl w:val="1"/>
          <w:numId w:val="86"/>
        </w:numPr>
        <w:spacing w:before="100" w:beforeAutospacing="1" w:after="100" w:afterAutospacing="1" w:line="360" w:lineRule="auto"/>
        <w:ind w:left="990" w:hanging="630"/>
        <w:rPr>
          <w:rFonts w:asciiTheme="majorHAnsi" w:hAnsiTheme="majorHAnsi" w:cstheme="majorHAnsi"/>
          <w:snapToGrid w:val="0"/>
          <w:sz w:val="20"/>
          <w:szCs w:val="20"/>
          <w:lang w:val="en-US"/>
        </w:rPr>
      </w:pPr>
      <w:r w:rsidRPr="00C63262">
        <w:rPr>
          <w:rFonts w:asciiTheme="majorHAnsi" w:hAnsiTheme="majorHAnsi" w:cstheme="majorHAnsi"/>
          <w:snapToGrid w:val="0"/>
          <w:color w:val="000000" w:themeColor="text1"/>
          <w:sz w:val="20"/>
          <w:szCs w:val="20"/>
          <w:lang w:val="en-US"/>
        </w:rPr>
        <w:t xml:space="preserve">Overall, what factors helped in making the basic education reforms successful in your </w:t>
      </w:r>
      <w:r w:rsidRPr="00C63262">
        <w:rPr>
          <w:rFonts w:asciiTheme="majorHAnsi" w:hAnsiTheme="majorHAnsi" w:cstheme="majorHAnsi"/>
          <w:snapToGrid w:val="0"/>
          <w:color w:val="000000"/>
          <w:sz w:val="20"/>
          <w:szCs w:val="20"/>
          <w:lang w:val="en-US"/>
        </w:rPr>
        <w:t>Region/Division</w:t>
      </w:r>
      <w:r w:rsidRPr="00C63262">
        <w:rPr>
          <w:rFonts w:asciiTheme="majorHAnsi" w:hAnsiTheme="majorHAnsi" w:cstheme="majorHAnsi"/>
          <w:snapToGrid w:val="0"/>
          <w:color w:val="000000" w:themeColor="text1"/>
          <w:sz w:val="20"/>
          <w:szCs w:val="20"/>
          <w:lang w:val="en-US"/>
        </w:rPr>
        <w:t>?</w:t>
      </w:r>
    </w:p>
    <w:p w14:paraId="6410CFF1" w14:textId="77777777" w:rsidR="008D0CAD" w:rsidRPr="00C63262" w:rsidRDefault="008D0CAD" w:rsidP="00DD08E3">
      <w:pPr>
        <w:widowControl w:val="0"/>
        <w:numPr>
          <w:ilvl w:val="1"/>
          <w:numId w:val="86"/>
        </w:numPr>
        <w:spacing w:before="100" w:beforeAutospacing="1" w:after="100" w:afterAutospacing="1" w:line="360" w:lineRule="auto"/>
        <w:ind w:left="990" w:hanging="630"/>
        <w:rPr>
          <w:rFonts w:asciiTheme="majorHAnsi" w:hAnsiTheme="majorHAnsi" w:cstheme="majorHAnsi"/>
          <w:snapToGrid w:val="0"/>
          <w:sz w:val="20"/>
          <w:szCs w:val="20"/>
          <w:lang w:val="en-US"/>
        </w:rPr>
      </w:pPr>
      <w:r w:rsidRPr="00C63262">
        <w:rPr>
          <w:rFonts w:asciiTheme="majorHAnsi" w:hAnsiTheme="majorHAnsi" w:cstheme="majorHAnsi"/>
          <w:snapToGrid w:val="0"/>
          <w:color w:val="000000" w:themeColor="text1"/>
          <w:sz w:val="20"/>
          <w:szCs w:val="20"/>
          <w:lang w:val="en-US"/>
        </w:rPr>
        <w:t>How do the different stakeholders participate in reforming the basic education sector?</w:t>
      </w:r>
    </w:p>
    <w:p w14:paraId="740629A3" w14:textId="7548958A" w:rsidR="008D0CAD" w:rsidRPr="00C63262" w:rsidRDefault="008D0CAD" w:rsidP="00DD08E3">
      <w:pPr>
        <w:widowControl w:val="0"/>
        <w:numPr>
          <w:ilvl w:val="1"/>
          <w:numId w:val="86"/>
        </w:numPr>
        <w:spacing w:before="100" w:beforeAutospacing="1" w:after="100" w:afterAutospacing="1" w:line="360" w:lineRule="auto"/>
        <w:ind w:left="990" w:hanging="630"/>
        <w:rPr>
          <w:rFonts w:asciiTheme="majorHAnsi" w:hAnsiTheme="majorHAnsi" w:cstheme="majorHAnsi"/>
          <w:snapToGrid w:val="0"/>
          <w:sz w:val="20"/>
          <w:szCs w:val="20"/>
          <w:lang w:val="en-US"/>
        </w:rPr>
      </w:pPr>
      <w:r w:rsidRPr="00C63262">
        <w:rPr>
          <w:rFonts w:asciiTheme="majorHAnsi" w:hAnsiTheme="majorHAnsi" w:cstheme="majorHAnsi"/>
          <w:snapToGrid w:val="0"/>
          <w:color w:val="000000" w:themeColor="text1"/>
          <w:sz w:val="20"/>
          <w:szCs w:val="20"/>
          <w:lang w:val="en-US"/>
        </w:rPr>
        <w:t xml:space="preserve">How were students involved in designing, implementing and assessing the basic education reforms implemented in your </w:t>
      </w:r>
      <w:r w:rsidRPr="00C63262">
        <w:rPr>
          <w:rFonts w:asciiTheme="majorHAnsi" w:hAnsiTheme="majorHAnsi" w:cstheme="majorHAnsi"/>
          <w:snapToGrid w:val="0"/>
          <w:color w:val="000000"/>
          <w:sz w:val="20"/>
          <w:szCs w:val="20"/>
          <w:lang w:val="en-US"/>
        </w:rPr>
        <w:t>Region/Division</w:t>
      </w:r>
      <w:r w:rsidRPr="00C63262">
        <w:rPr>
          <w:rFonts w:asciiTheme="majorHAnsi" w:hAnsiTheme="majorHAnsi" w:cstheme="majorHAnsi"/>
          <w:snapToGrid w:val="0"/>
          <w:color w:val="000000" w:themeColor="text1"/>
          <w:sz w:val="20"/>
          <w:szCs w:val="20"/>
          <w:lang w:val="en-US"/>
        </w:rPr>
        <w:t>?</w:t>
      </w:r>
      <w:r w:rsidR="00D434EB">
        <w:rPr>
          <w:rFonts w:asciiTheme="majorHAnsi" w:hAnsiTheme="majorHAnsi" w:cstheme="majorHAnsi"/>
          <w:snapToGrid w:val="0"/>
          <w:color w:val="000000" w:themeColor="text1"/>
          <w:sz w:val="20"/>
          <w:szCs w:val="20"/>
          <w:lang w:val="en-US"/>
        </w:rPr>
        <w:t xml:space="preserve"> </w:t>
      </w:r>
      <w:r w:rsidRPr="00C63262">
        <w:rPr>
          <w:rFonts w:asciiTheme="majorHAnsi" w:hAnsiTheme="majorHAnsi" w:cstheme="majorHAnsi"/>
          <w:snapToGrid w:val="0"/>
          <w:color w:val="000000" w:themeColor="text1"/>
          <w:sz w:val="20"/>
          <w:szCs w:val="20"/>
          <w:lang w:val="en-US"/>
        </w:rPr>
        <w:t>Were they given sufficient opportunity to participate? Why or why not?</w:t>
      </w:r>
    </w:p>
    <w:p w14:paraId="2B78514B" w14:textId="77777777" w:rsidR="008D0CAD" w:rsidRPr="00C63262" w:rsidRDefault="008D0CAD" w:rsidP="00DD08E3">
      <w:pPr>
        <w:widowControl w:val="0"/>
        <w:numPr>
          <w:ilvl w:val="1"/>
          <w:numId w:val="86"/>
        </w:numPr>
        <w:spacing w:before="100" w:beforeAutospacing="1" w:after="100" w:afterAutospacing="1" w:line="360" w:lineRule="auto"/>
        <w:ind w:left="990" w:hanging="630"/>
        <w:rPr>
          <w:rFonts w:asciiTheme="majorHAnsi" w:hAnsiTheme="majorHAnsi" w:cstheme="majorHAnsi"/>
          <w:snapToGrid w:val="0"/>
          <w:sz w:val="20"/>
          <w:szCs w:val="20"/>
          <w:lang w:val="en-US"/>
        </w:rPr>
      </w:pPr>
      <w:r w:rsidRPr="00C63262">
        <w:rPr>
          <w:rFonts w:asciiTheme="majorHAnsi" w:hAnsiTheme="majorHAnsi" w:cstheme="majorHAnsi"/>
          <w:snapToGrid w:val="0"/>
          <w:color w:val="000000" w:themeColor="text1"/>
          <w:sz w:val="20"/>
          <w:szCs w:val="20"/>
          <w:lang w:val="en-US"/>
        </w:rPr>
        <w:t xml:space="preserve">How were parents involved in designing, implementing and assessing the basic education reforms implemented in your </w:t>
      </w:r>
      <w:r w:rsidRPr="00C63262">
        <w:rPr>
          <w:rFonts w:asciiTheme="majorHAnsi" w:hAnsiTheme="majorHAnsi" w:cstheme="majorHAnsi"/>
          <w:snapToGrid w:val="0"/>
          <w:color w:val="000000"/>
          <w:sz w:val="20"/>
          <w:szCs w:val="20"/>
          <w:lang w:val="en-US"/>
        </w:rPr>
        <w:t>Region/Division</w:t>
      </w:r>
      <w:r w:rsidRPr="00C63262">
        <w:rPr>
          <w:rFonts w:asciiTheme="majorHAnsi" w:hAnsiTheme="majorHAnsi" w:cstheme="majorHAnsi"/>
          <w:snapToGrid w:val="0"/>
          <w:color w:val="000000" w:themeColor="text1"/>
          <w:sz w:val="20"/>
          <w:szCs w:val="20"/>
          <w:lang w:val="en-US"/>
        </w:rPr>
        <w:t>? Were they given sufficient opportunity to participate? Why or why not?</w:t>
      </w:r>
    </w:p>
    <w:p w14:paraId="41D3867C" w14:textId="77777777" w:rsidR="008D0CAD" w:rsidRPr="00C63262" w:rsidRDefault="008D0CAD" w:rsidP="00DD08E3">
      <w:pPr>
        <w:numPr>
          <w:ilvl w:val="1"/>
          <w:numId w:val="86"/>
        </w:numPr>
        <w:spacing w:before="100" w:beforeAutospacing="1" w:after="100" w:afterAutospacing="1" w:line="360" w:lineRule="auto"/>
        <w:ind w:left="993" w:hanging="636"/>
        <w:rPr>
          <w:rFonts w:asciiTheme="majorHAnsi" w:hAnsiTheme="majorHAnsi" w:cstheme="majorHAnsi"/>
          <w:snapToGrid w:val="0"/>
          <w:sz w:val="20"/>
          <w:szCs w:val="20"/>
          <w:lang w:val="en-US"/>
        </w:rPr>
      </w:pPr>
      <w:r w:rsidRPr="00C63262">
        <w:rPr>
          <w:rFonts w:asciiTheme="majorHAnsi" w:hAnsiTheme="majorHAnsi" w:cstheme="majorHAnsi"/>
          <w:snapToGrid w:val="0"/>
          <w:color w:val="000000" w:themeColor="text1"/>
          <w:sz w:val="20"/>
          <w:szCs w:val="20"/>
          <w:lang w:val="en-US"/>
        </w:rPr>
        <w:t xml:space="preserve">Do you think that parents are given sufficient opportunity to participate in implementing basic education reforms in the </w:t>
      </w:r>
      <w:r w:rsidRPr="00C63262">
        <w:rPr>
          <w:rFonts w:asciiTheme="majorHAnsi" w:hAnsiTheme="majorHAnsi" w:cstheme="majorHAnsi"/>
          <w:snapToGrid w:val="0"/>
          <w:color w:val="000000"/>
          <w:sz w:val="20"/>
          <w:szCs w:val="20"/>
          <w:lang w:val="en-US"/>
        </w:rPr>
        <w:t>Region/Division</w:t>
      </w:r>
      <w:r w:rsidRPr="00C63262">
        <w:rPr>
          <w:rFonts w:asciiTheme="majorHAnsi" w:hAnsiTheme="majorHAnsi" w:cstheme="majorHAnsi"/>
          <w:snapToGrid w:val="0"/>
          <w:color w:val="000000" w:themeColor="text1"/>
          <w:sz w:val="20"/>
          <w:szCs w:val="20"/>
          <w:lang w:val="en-US"/>
        </w:rPr>
        <w:t xml:space="preserve">? Why or why not? </w:t>
      </w:r>
    </w:p>
    <w:p w14:paraId="6ADB0D86" w14:textId="77777777" w:rsidR="008D0CAD" w:rsidRPr="00C63262" w:rsidRDefault="008D0CAD" w:rsidP="00DD08E3">
      <w:pPr>
        <w:widowControl w:val="0"/>
        <w:numPr>
          <w:ilvl w:val="0"/>
          <w:numId w:val="86"/>
        </w:numPr>
        <w:spacing w:before="100" w:beforeAutospacing="1" w:after="100" w:afterAutospacing="1" w:line="360" w:lineRule="auto"/>
        <w:ind w:left="357" w:hanging="357"/>
        <w:rPr>
          <w:rFonts w:asciiTheme="majorHAnsi" w:hAnsiTheme="majorHAnsi" w:cstheme="majorHAnsi"/>
          <w:snapToGrid w:val="0"/>
          <w:sz w:val="20"/>
          <w:szCs w:val="20"/>
          <w:lang w:val="en-US"/>
        </w:rPr>
      </w:pPr>
      <w:r w:rsidRPr="00C63262">
        <w:rPr>
          <w:rFonts w:asciiTheme="majorHAnsi" w:hAnsiTheme="majorHAnsi" w:cstheme="majorHAnsi"/>
          <w:snapToGrid w:val="0"/>
          <w:color w:val="000000" w:themeColor="text1"/>
          <w:sz w:val="20"/>
          <w:szCs w:val="20"/>
          <w:lang w:val="en-US"/>
        </w:rPr>
        <w:t xml:space="preserve">How significant are the improvements in students’ learning outcomes in your </w:t>
      </w:r>
      <w:r w:rsidRPr="00C63262">
        <w:rPr>
          <w:rFonts w:asciiTheme="majorHAnsi" w:hAnsiTheme="majorHAnsi" w:cstheme="majorHAnsi"/>
          <w:snapToGrid w:val="0"/>
          <w:color w:val="000000"/>
          <w:sz w:val="20"/>
          <w:szCs w:val="20"/>
          <w:lang w:val="en-US"/>
        </w:rPr>
        <w:t xml:space="preserve">Region/Division </w:t>
      </w:r>
      <w:r w:rsidRPr="00C63262">
        <w:rPr>
          <w:rFonts w:asciiTheme="majorHAnsi" w:hAnsiTheme="majorHAnsi" w:cstheme="majorHAnsi"/>
          <w:snapToGrid w:val="0"/>
          <w:color w:val="000000" w:themeColor="text1"/>
          <w:sz w:val="20"/>
          <w:szCs w:val="20"/>
          <w:lang w:val="en-US"/>
        </w:rPr>
        <w:t>in the last five years? Please give specific examples.</w:t>
      </w:r>
    </w:p>
    <w:p w14:paraId="70A2BCA5" w14:textId="77777777" w:rsidR="008D0CAD" w:rsidRPr="00C63262" w:rsidRDefault="008D0CAD" w:rsidP="00DD08E3">
      <w:pPr>
        <w:widowControl w:val="0"/>
        <w:numPr>
          <w:ilvl w:val="0"/>
          <w:numId w:val="86"/>
        </w:numPr>
        <w:spacing w:before="100" w:beforeAutospacing="1" w:after="100" w:afterAutospacing="1" w:line="360" w:lineRule="auto"/>
        <w:ind w:left="357" w:hanging="357"/>
        <w:rPr>
          <w:rFonts w:asciiTheme="majorHAnsi" w:hAnsiTheme="majorHAnsi" w:cstheme="majorHAnsi"/>
          <w:snapToGrid w:val="0"/>
          <w:sz w:val="20"/>
          <w:szCs w:val="20"/>
          <w:lang w:val="en-US"/>
        </w:rPr>
      </w:pPr>
      <w:r w:rsidRPr="00C63262">
        <w:rPr>
          <w:rFonts w:asciiTheme="majorHAnsi" w:hAnsiTheme="majorHAnsi" w:cstheme="majorHAnsi"/>
          <w:snapToGrid w:val="0"/>
          <w:color w:val="000000" w:themeColor="text1"/>
          <w:sz w:val="20"/>
          <w:szCs w:val="20"/>
          <w:lang w:val="en-US"/>
        </w:rPr>
        <w:t xml:space="preserve">How significant was the improvements in the decentralisation of management and accountability to field offices and schools in your </w:t>
      </w:r>
      <w:r w:rsidRPr="00C63262">
        <w:rPr>
          <w:rFonts w:asciiTheme="majorHAnsi" w:hAnsiTheme="majorHAnsi" w:cstheme="majorHAnsi"/>
          <w:snapToGrid w:val="0"/>
          <w:color w:val="000000"/>
          <w:sz w:val="20"/>
          <w:szCs w:val="20"/>
          <w:lang w:val="en-US"/>
        </w:rPr>
        <w:t xml:space="preserve">Region/Division </w:t>
      </w:r>
      <w:r w:rsidRPr="00C63262">
        <w:rPr>
          <w:rFonts w:asciiTheme="majorHAnsi" w:hAnsiTheme="majorHAnsi" w:cstheme="majorHAnsi"/>
          <w:snapToGrid w:val="0"/>
          <w:color w:val="000000" w:themeColor="text1"/>
          <w:sz w:val="20"/>
          <w:szCs w:val="20"/>
          <w:lang w:val="en-US"/>
        </w:rPr>
        <w:t>in the last five years? Please give specific examples.</w:t>
      </w:r>
    </w:p>
    <w:p w14:paraId="2E2C0698" w14:textId="48D9898C" w:rsidR="008D0CAD" w:rsidRPr="00C63262" w:rsidRDefault="008D0CAD" w:rsidP="00DD08E3">
      <w:pPr>
        <w:widowControl w:val="0"/>
        <w:numPr>
          <w:ilvl w:val="0"/>
          <w:numId w:val="86"/>
        </w:numPr>
        <w:spacing w:before="100" w:beforeAutospacing="1" w:after="100" w:afterAutospacing="1" w:line="360" w:lineRule="auto"/>
        <w:ind w:left="357" w:hanging="357"/>
        <w:rPr>
          <w:rFonts w:asciiTheme="majorHAnsi" w:hAnsiTheme="majorHAnsi" w:cstheme="majorHAnsi"/>
          <w:snapToGrid w:val="0"/>
          <w:sz w:val="20"/>
          <w:szCs w:val="20"/>
          <w:lang w:val="en-US"/>
        </w:rPr>
      </w:pPr>
      <w:r w:rsidRPr="00C63262">
        <w:rPr>
          <w:rFonts w:asciiTheme="majorHAnsi" w:hAnsiTheme="majorHAnsi" w:cstheme="majorHAnsi"/>
          <w:bCs/>
          <w:snapToGrid w:val="0"/>
          <w:sz w:val="20"/>
          <w:szCs w:val="20"/>
          <w:lang w:val="en-US"/>
        </w:rPr>
        <w:t>What is the likelihood that the basic education reforms be sustained (such as the LAC, the GEDSI, the SBM, etc.) even after the end of the BEST Program?</w:t>
      </w:r>
      <w:r w:rsidR="00D434EB">
        <w:rPr>
          <w:rFonts w:asciiTheme="majorHAnsi" w:hAnsiTheme="majorHAnsi" w:cstheme="majorHAnsi"/>
          <w:bCs/>
          <w:snapToGrid w:val="0"/>
          <w:sz w:val="20"/>
          <w:szCs w:val="20"/>
          <w:lang w:val="en-US"/>
        </w:rPr>
        <w:t xml:space="preserve"> </w:t>
      </w:r>
      <w:r w:rsidRPr="00C63262">
        <w:rPr>
          <w:rFonts w:asciiTheme="majorHAnsi" w:hAnsiTheme="majorHAnsi" w:cstheme="majorHAnsi"/>
          <w:snapToGrid w:val="0"/>
          <w:color w:val="000000" w:themeColor="text1"/>
          <w:sz w:val="20"/>
          <w:szCs w:val="20"/>
          <w:lang w:val="en-US"/>
        </w:rPr>
        <w:t>Please cite specific evidences.</w:t>
      </w:r>
    </w:p>
    <w:p w14:paraId="6A05CA69" w14:textId="77777777" w:rsidR="008D0CAD" w:rsidRPr="00C63262" w:rsidRDefault="008D0CAD" w:rsidP="00DD08E3">
      <w:pPr>
        <w:widowControl w:val="0"/>
        <w:numPr>
          <w:ilvl w:val="0"/>
          <w:numId w:val="86"/>
        </w:numPr>
        <w:spacing w:before="100" w:beforeAutospacing="1" w:after="100" w:afterAutospacing="1" w:line="360" w:lineRule="auto"/>
        <w:ind w:left="357" w:hanging="357"/>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What recommendations can you give to sustain the different basic education reforms that were introduced in the last five years?</w:t>
      </w:r>
    </w:p>
    <w:p w14:paraId="70658D6D" w14:textId="77777777" w:rsidR="008D0CAD" w:rsidRPr="00C63262" w:rsidRDefault="008D0CAD" w:rsidP="00EA6CB9">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Thank you very much for your active participation.</w:t>
      </w:r>
    </w:p>
    <w:p w14:paraId="3BD01A03" w14:textId="77777777" w:rsidR="008D0CAD" w:rsidRPr="00C63262" w:rsidRDefault="008D0CAD" w:rsidP="00EA6CB9">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Good luck on the implementation of the basic education reforms in your school.</w:t>
      </w:r>
    </w:p>
    <w:p w14:paraId="67F7B83A" w14:textId="77777777" w:rsidR="008D0CAD" w:rsidRPr="00C63262" w:rsidRDefault="008D0CAD" w:rsidP="00EA6CB9">
      <w:pPr>
        <w:spacing w:before="100" w:beforeAutospacing="1" w:after="100" w:afterAutospacing="1" w:line="360" w:lineRule="auto"/>
        <w:ind w:left="1080" w:hanging="1080"/>
        <w:rPr>
          <w:rFonts w:asciiTheme="majorHAnsi" w:hAnsiTheme="majorHAnsi" w:cstheme="majorHAnsi"/>
          <w:i/>
          <w:iCs/>
          <w:sz w:val="20"/>
          <w:szCs w:val="20"/>
          <w:lang w:val="en-US"/>
        </w:rPr>
      </w:pPr>
    </w:p>
    <w:p w14:paraId="25638946" w14:textId="77777777" w:rsidR="008D0CAD" w:rsidRPr="00C63262" w:rsidRDefault="008D0CAD" w:rsidP="00EA6CB9">
      <w:pPr>
        <w:spacing w:before="100" w:beforeAutospacing="1" w:after="100" w:afterAutospacing="1" w:line="360" w:lineRule="auto"/>
        <w:ind w:left="1080" w:hanging="1080"/>
        <w:rPr>
          <w:rFonts w:asciiTheme="majorHAnsi" w:hAnsiTheme="majorHAnsi" w:cstheme="majorHAnsi"/>
          <w:i/>
          <w:iCs/>
          <w:sz w:val="20"/>
          <w:szCs w:val="20"/>
          <w:lang w:val="en-US"/>
        </w:rPr>
        <w:sectPr w:rsidR="008D0CAD" w:rsidRPr="00C63262" w:rsidSect="009C64E9">
          <w:pgSz w:w="11906" w:h="16838" w:code="9"/>
          <w:pgMar w:top="1440" w:right="1440" w:bottom="1440" w:left="1440" w:header="708" w:footer="708" w:gutter="0"/>
          <w:cols w:space="708"/>
          <w:docGrid w:linePitch="360"/>
        </w:sectPr>
      </w:pPr>
    </w:p>
    <w:p w14:paraId="768E02D5" w14:textId="5C7EA456" w:rsidR="008D0CAD" w:rsidRPr="00EA6CB9" w:rsidRDefault="008D0CAD" w:rsidP="00EA6CB9">
      <w:pPr>
        <w:pStyle w:val="Heading3"/>
        <w:spacing w:before="100" w:beforeAutospacing="1" w:after="100" w:afterAutospacing="1" w:line="360" w:lineRule="auto"/>
        <w:rPr>
          <w:lang w:val="en-US"/>
        </w:rPr>
      </w:pPr>
      <w:bookmarkStart w:id="289" w:name="_Toc39938379"/>
      <w:bookmarkStart w:id="290" w:name="_Toc69820484"/>
      <w:r w:rsidRPr="00C63262">
        <w:rPr>
          <w:lang w:val="en-US"/>
        </w:rPr>
        <w:t>Annex L-2.</w:t>
      </w:r>
      <w:r w:rsidR="00D434EB">
        <w:rPr>
          <w:lang w:val="en-US"/>
        </w:rPr>
        <w:t xml:space="preserve"> </w:t>
      </w:r>
      <w:r w:rsidRPr="00C63262">
        <w:rPr>
          <w:lang w:val="en-US"/>
        </w:rPr>
        <w:t>Guide Questions for Principals and School Heads</w:t>
      </w:r>
      <w:bookmarkEnd w:id="289"/>
      <w:bookmarkEnd w:id="290"/>
    </w:p>
    <w:p w14:paraId="410F9A0B" w14:textId="77777777" w:rsidR="008D0CAD" w:rsidRPr="00C63262" w:rsidRDefault="008D0CAD" w:rsidP="00EA6CB9">
      <w:pPr>
        <w:spacing w:before="100" w:beforeAutospacing="1" w:after="100" w:afterAutospacing="1" w:line="360" w:lineRule="auto"/>
        <w:rPr>
          <w:rFonts w:asciiTheme="majorHAnsi" w:hAnsiTheme="majorHAnsi" w:cstheme="majorHAnsi"/>
          <w:b/>
          <w:sz w:val="20"/>
          <w:szCs w:val="20"/>
          <w:lang w:val="en-US"/>
        </w:rPr>
      </w:pPr>
      <w:r w:rsidRPr="00C63262">
        <w:rPr>
          <w:rFonts w:asciiTheme="majorHAnsi" w:hAnsiTheme="majorHAnsi" w:cstheme="majorHAnsi"/>
          <w:b/>
          <w:sz w:val="20"/>
          <w:szCs w:val="20"/>
          <w:lang w:val="en-US"/>
        </w:rPr>
        <w:t>Part 1. Context</w:t>
      </w:r>
    </w:p>
    <w:p w14:paraId="0E956ACC" w14:textId="77777777" w:rsidR="008D0CAD" w:rsidRPr="00C63262" w:rsidRDefault="008D0CAD" w:rsidP="00DD08E3">
      <w:pPr>
        <w:numPr>
          <w:ilvl w:val="0"/>
          <w:numId w:val="85"/>
        </w:numPr>
        <w:spacing w:before="100" w:beforeAutospacing="1" w:after="100" w:afterAutospacing="1" w:line="360" w:lineRule="auto"/>
        <w:rPr>
          <w:rFonts w:asciiTheme="majorHAnsi" w:hAnsiTheme="majorHAnsi" w:cstheme="majorHAnsi"/>
          <w:bCs/>
          <w:snapToGrid w:val="0"/>
          <w:sz w:val="20"/>
          <w:szCs w:val="20"/>
          <w:lang w:val="en-US"/>
        </w:rPr>
      </w:pPr>
      <w:r w:rsidRPr="00C63262">
        <w:rPr>
          <w:rFonts w:asciiTheme="majorHAnsi" w:hAnsiTheme="majorHAnsi" w:cstheme="majorHAnsi"/>
          <w:bCs/>
          <w:snapToGrid w:val="0"/>
          <w:sz w:val="20"/>
          <w:szCs w:val="20"/>
          <w:lang w:val="en-US"/>
        </w:rPr>
        <w:t>In your opinion, what were the development problems or educational gaps that were existing five years ago (prior to BEST) that was intended to be addressed by the basic education reforms? In other words, why were the different basic education reforms necessary? Which ones of these education gaps were critical in your School?</w:t>
      </w:r>
    </w:p>
    <w:p w14:paraId="152EBC93" w14:textId="77777777" w:rsidR="008D0CAD" w:rsidRPr="00C63262" w:rsidRDefault="008D0CAD" w:rsidP="00EA6CB9">
      <w:pPr>
        <w:spacing w:before="100" w:beforeAutospacing="1" w:after="100" w:afterAutospacing="1" w:line="360" w:lineRule="auto"/>
        <w:rPr>
          <w:rFonts w:asciiTheme="majorHAnsi" w:hAnsiTheme="majorHAnsi" w:cstheme="majorHAnsi"/>
          <w:b/>
          <w:sz w:val="20"/>
          <w:szCs w:val="20"/>
          <w:lang w:val="en-US"/>
        </w:rPr>
      </w:pPr>
      <w:r w:rsidRPr="00C63262">
        <w:rPr>
          <w:rFonts w:asciiTheme="majorHAnsi" w:hAnsiTheme="majorHAnsi" w:cstheme="majorHAnsi"/>
          <w:b/>
          <w:sz w:val="20"/>
          <w:szCs w:val="20"/>
          <w:lang w:val="en-US"/>
        </w:rPr>
        <w:t>Part 2. Assessment of Different BEST Program Interventions</w:t>
      </w:r>
    </w:p>
    <w:p w14:paraId="3D050A2D" w14:textId="69DDD708" w:rsidR="008D0CAD" w:rsidRPr="00C63262" w:rsidRDefault="008D0CAD" w:rsidP="00EA6CB9">
      <w:pPr>
        <w:spacing w:before="100" w:beforeAutospacing="1" w:after="100" w:afterAutospacing="1" w:line="360" w:lineRule="auto"/>
        <w:rPr>
          <w:rFonts w:asciiTheme="majorHAnsi" w:hAnsiTheme="majorHAnsi" w:cstheme="majorHAnsi"/>
          <w:bCs/>
          <w:sz w:val="20"/>
          <w:szCs w:val="20"/>
          <w:lang w:val="en-US"/>
        </w:rPr>
      </w:pPr>
      <w:r w:rsidRPr="00C63262">
        <w:rPr>
          <w:rFonts w:asciiTheme="majorHAnsi" w:hAnsiTheme="majorHAnsi" w:cstheme="majorHAnsi"/>
          <w:bCs/>
          <w:sz w:val="20"/>
          <w:szCs w:val="20"/>
          <w:lang w:val="en-US"/>
        </w:rPr>
        <w:t>Please describe how each of the different basic</w:t>
      </w:r>
      <w:r w:rsidRPr="00C63262">
        <w:rPr>
          <w:rFonts w:asciiTheme="majorHAnsi" w:hAnsiTheme="majorHAnsi" w:cstheme="majorHAnsi"/>
          <w:b/>
          <w:bCs/>
          <w:sz w:val="20"/>
          <w:szCs w:val="20"/>
          <w:lang w:val="en-US"/>
        </w:rPr>
        <w:t xml:space="preserve"> </w:t>
      </w:r>
      <w:r w:rsidRPr="00C63262">
        <w:rPr>
          <w:rFonts w:asciiTheme="majorHAnsi" w:hAnsiTheme="majorHAnsi" w:cstheme="majorHAnsi"/>
          <w:bCs/>
          <w:sz w:val="20"/>
          <w:szCs w:val="20"/>
          <w:lang w:val="en-US"/>
        </w:rPr>
        <w:t>education reforms were implemented or are being implemented in your school?</w:t>
      </w:r>
      <w:r w:rsidR="00D434EB">
        <w:rPr>
          <w:rFonts w:asciiTheme="majorHAnsi" w:hAnsiTheme="majorHAnsi" w:cstheme="majorHAnsi"/>
          <w:bCs/>
          <w:sz w:val="20"/>
          <w:szCs w:val="20"/>
          <w:lang w:val="en-US"/>
        </w:rPr>
        <w:t xml:space="preserve"> </w:t>
      </w:r>
    </w:p>
    <w:p w14:paraId="056431B9" w14:textId="77777777" w:rsidR="008D0CAD" w:rsidRPr="00EC48C1" w:rsidRDefault="008D0CAD" w:rsidP="00EA6CB9">
      <w:pPr>
        <w:spacing w:before="100" w:beforeAutospacing="1" w:after="100" w:afterAutospacing="1" w:line="360" w:lineRule="auto"/>
        <w:rPr>
          <w:rFonts w:asciiTheme="majorHAnsi" w:hAnsiTheme="majorHAnsi" w:cstheme="majorHAnsi"/>
          <w:b/>
          <w:sz w:val="20"/>
          <w:szCs w:val="20"/>
          <w:lang w:val="en-US"/>
        </w:rPr>
      </w:pPr>
      <w:r w:rsidRPr="00EC48C1">
        <w:rPr>
          <w:rFonts w:asciiTheme="majorHAnsi" w:hAnsiTheme="majorHAnsi" w:cstheme="majorHAnsi"/>
          <w:b/>
          <w:sz w:val="20"/>
          <w:szCs w:val="20"/>
          <w:lang w:val="en-US"/>
        </w:rPr>
        <w:t>Gender, disability and social inclusion (GEDSI)</w:t>
      </w:r>
    </w:p>
    <w:p w14:paraId="6FD443B8" w14:textId="77777777" w:rsidR="008D0CAD" w:rsidRPr="00C63262" w:rsidRDefault="008D0CAD" w:rsidP="00DD08E3">
      <w:pPr>
        <w:numPr>
          <w:ilvl w:val="0"/>
          <w:numId w:val="85"/>
        </w:numPr>
        <w:spacing w:before="100" w:beforeAutospacing="1" w:after="100" w:afterAutospacing="1" w:line="360" w:lineRule="auto"/>
        <w:contextualSpacing/>
        <w:rPr>
          <w:rFonts w:asciiTheme="majorHAnsi" w:hAnsiTheme="majorHAnsi" w:cstheme="majorHAnsi"/>
          <w:snapToGrid w:val="0"/>
          <w:sz w:val="20"/>
          <w:szCs w:val="20"/>
          <w:lang w:val="en-US"/>
        </w:rPr>
      </w:pPr>
      <w:r w:rsidRPr="00C63262">
        <w:rPr>
          <w:rFonts w:asciiTheme="majorHAnsi" w:hAnsiTheme="majorHAnsi" w:cstheme="majorHAnsi"/>
          <w:snapToGrid w:val="0"/>
          <w:color w:val="000000"/>
          <w:sz w:val="20"/>
          <w:szCs w:val="20"/>
          <w:lang w:val="en-US"/>
        </w:rPr>
        <w:t xml:space="preserve">Please describe how </w:t>
      </w:r>
      <w:r w:rsidRPr="00C63262">
        <w:rPr>
          <w:rFonts w:asciiTheme="majorHAnsi" w:hAnsiTheme="majorHAnsi" w:cstheme="majorHAnsi"/>
          <w:b/>
          <w:snapToGrid w:val="0"/>
          <w:color w:val="000000"/>
          <w:sz w:val="20"/>
          <w:szCs w:val="20"/>
          <w:lang w:val="en-US"/>
        </w:rPr>
        <w:t xml:space="preserve">Inclusive Education (IE) </w:t>
      </w:r>
      <w:r w:rsidRPr="00C63262">
        <w:rPr>
          <w:rFonts w:asciiTheme="majorHAnsi" w:hAnsiTheme="majorHAnsi" w:cstheme="majorHAnsi"/>
          <w:snapToGrid w:val="0"/>
          <w:color w:val="000000"/>
          <w:sz w:val="20"/>
          <w:szCs w:val="20"/>
          <w:lang w:val="en-US"/>
        </w:rPr>
        <w:t>is</w:t>
      </w:r>
      <w:r w:rsidRPr="00C63262">
        <w:rPr>
          <w:rFonts w:asciiTheme="majorHAnsi" w:hAnsiTheme="majorHAnsi" w:cstheme="majorHAnsi"/>
          <w:b/>
          <w:snapToGrid w:val="0"/>
          <w:color w:val="000000"/>
          <w:sz w:val="20"/>
          <w:szCs w:val="20"/>
          <w:lang w:val="en-US"/>
        </w:rPr>
        <w:t xml:space="preserve"> </w:t>
      </w:r>
      <w:r w:rsidRPr="00C63262">
        <w:rPr>
          <w:rFonts w:asciiTheme="majorHAnsi" w:hAnsiTheme="majorHAnsi" w:cstheme="majorHAnsi"/>
          <w:bCs/>
          <w:snapToGrid w:val="0"/>
          <w:color w:val="000000" w:themeColor="text1"/>
          <w:sz w:val="20"/>
          <w:szCs w:val="20"/>
          <w:lang w:val="en-US"/>
        </w:rPr>
        <w:t>implemented in your school and your classroom?</w:t>
      </w:r>
    </w:p>
    <w:p w14:paraId="3D36EEEB" w14:textId="77777777" w:rsidR="008D0CAD" w:rsidRPr="00C63262" w:rsidRDefault="008D0CAD" w:rsidP="00DD08E3">
      <w:pPr>
        <w:numPr>
          <w:ilvl w:val="1"/>
          <w:numId w:val="85"/>
        </w:numPr>
        <w:spacing w:before="100" w:beforeAutospacing="1" w:after="100" w:afterAutospacing="1" w:line="360" w:lineRule="auto"/>
        <w:ind w:left="810" w:hanging="450"/>
        <w:contextualSpacing/>
        <w:rPr>
          <w:rFonts w:asciiTheme="majorHAnsi" w:hAnsiTheme="majorHAnsi" w:cstheme="majorHAnsi"/>
          <w:snapToGrid w:val="0"/>
          <w:sz w:val="20"/>
          <w:szCs w:val="20"/>
          <w:lang w:val="en-US"/>
        </w:rPr>
      </w:pPr>
      <w:r w:rsidRPr="00C63262">
        <w:rPr>
          <w:rFonts w:asciiTheme="majorHAnsi" w:hAnsiTheme="majorHAnsi" w:cstheme="majorHAnsi"/>
          <w:bCs/>
          <w:snapToGrid w:val="0"/>
          <w:color w:val="000000" w:themeColor="text1"/>
          <w:sz w:val="20"/>
          <w:szCs w:val="20"/>
          <w:lang w:val="en-US"/>
        </w:rPr>
        <w:t>Are you familiar with DEPED’s Inclusive Education Framework? Please describe it.</w:t>
      </w:r>
      <w:r w:rsidRPr="00C63262">
        <w:rPr>
          <w:rFonts w:asciiTheme="majorHAnsi" w:hAnsiTheme="majorHAnsi" w:cstheme="majorHAnsi"/>
          <w:snapToGrid w:val="0"/>
          <w:color w:val="000000"/>
          <w:sz w:val="20"/>
          <w:szCs w:val="20"/>
          <w:lang w:val="en-US"/>
        </w:rPr>
        <w:t xml:space="preserve"> </w:t>
      </w:r>
    </w:p>
    <w:p w14:paraId="7F78779F" w14:textId="7E8F4C4F" w:rsidR="008D0CAD" w:rsidRPr="00C63262" w:rsidRDefault="008D0CAD" w:rsidP="00DD08E3">
      <w:pPr>
        <w:numPr>
          <w:ilvl w:val="1"/>
          <w:numId w:val="85"/>
        </w:numPr>
        <w:spacing w:before="100" w:beforeAutospacing="1" w:after="100" w:afterAutospacing="1" w:line="360" w:lineRule="auto"/>
        <w:ind w:left="810" w:hanging="450"/>
        <w:contextualSpacing/>
        <w:rPr>
          <w:rFonts w:asciiTheme="majorHAnsi" w:hAnsiTheme="majorHAnsi" w:cstheme="majorHAnsi"/>
          <w:snapToGrid w:val="0"/>
          <w:sz w:val="20"/>
          <w:szCs w:val="20"/>
          <w:lang w:val="en-US"/>
        </w:rPr>
      </w:pPr>
      <w:r w:rsidRPr="00C63262">
        <w:rPr>
          <w:rFonts w:asciiTheme="majorHAnsi" w:hAnsiTheme="majorHAnsi" w:cstheme="majorHAnsi"/>
          <w:snapToGrid w:val="0"/>
          <w:color w:val="000000"/>
          <w:sz w:val="20"/>
          <w:szCs w:val="20"/>
          <w:lang w:val="en-US"/>
        </w:rPr>
        <w:t>Does your school have a formal program to make sure that children with disabilities (CWD) have every opportunity to attend school?</w:t>
      </w:r>
      <w:r w:rsidR="00D434EB">
        <w:rPr>
          <w:rFonts w:asciiTheme="majorHAnsi" w:hAnsiTheme="majorHAnsi" w:cstheme="majorHAnsi"/>
          <w:snapToGrid w:val="0"/>
          <w:color w:val="000000"/>
          <w:sz w:val="20"/>
          <w:szCs w:val="20"/>
          <w:lang w:val="en-US"/>
        </w:rPr>
        <w:t xml:space="preserve"> </w:t>
      </w:r>
      <w:r w:rsidRPr="00C63262">
        <w:rPr>
          <w:rFonts w:asciiTheme="majorHAnsi" w:hAnsiTheme="majorHAnsi" w:cstheme="majorHAnsi"/>
          <w:snapToGrid w:val="0"/>
          <w:color w:val="000000"/>
          <w:sz w:val="20"/>
          <w:szCs w:val="20"/>
          <w:lang w:val="en-US"/>
        </w:rPr>
        <w:t>Can you describe briefly the key features of this program?</w:t>
      </w:r>
    </w:p>
    <w:p w14:paraId="4B920F30" w14:textId="5A6F5CF2" w:rsidR="008D0CAD" w:rsidRPr="00C63262" w:rsidRDefault="008D0CAD" w:rsidP="00DD08E3">
      <w:pPr>
        <w:numPr>
          <w:ilvl w:val="1"/>
          <w:numId w:val="85"/>
        </w:numPr>
        <w:spacing w:before="100" w:beforeAutospacing="1" w:after="100" w:afterAutospacing="1" w:line="360" w:lineRule="auto"/>
        <w:ind w:left="810" w:hanging="450"/>
        <w:contextualSpacing/>
        <w:rPr>
          <w:rFonts w:asciiTheme="majorHAnsi" w:hAnsiTheme="majorHAnsi" w:cstheme="majorHAnsi"/>
          <w:snapToGrid w:val="0"/>
          <w:sz w:val="20"/>
          <w:szCs w:val="20"/>
          <w:lang w:val="en-US"/>
        </w:rPr>
      </w:pPr>
      <w:r w:rsidRPr="00C63262">
        <w:rPr>
          <w:rFonts w:asciiTheme="majorHAnsi" w:hAnsiTheme="majorHAnsi" w:cstheme="majorHAnsi"/>
          <w:snapToGrid w:val="0"/>
          <w:color w:val="000000"/>
          <w:sz w:val="20"/>
          <w:szCs w:val="20"/>
          <w:lang w:val="en-US"/>
        </w:rPr>
        <w:t>Does your school have a formal program to make sure that Muslim children/ IP children/special groups of children have every opportunity to attend school?</w:t>
      </w:r>
      <w:r w:rsidR="00D434EB">
        <w:rPr>
          <w:rFonts w:asciiTheme="majorHAnsi" w:hAnsiTheme="majorHAnsi" w:cstheme="majorHAnsi"/>
          <w:snapToGrid w:val="0"/>
          <w:color w:val="000000"/>
          <w:sz w:val="20"/>
          <w:szCs w:val="20"/>
          <w:lang w:val="en-US"/>
        </w:rPr>
        <w:t xml:space="preserve"> </w:t>
      </w:r>
      <w:r w:rsidRPr="00C63262">
        <w:rPr>
          <w:rFonts w:asciiTheme="majorHAnsi" w:hAnsiTheme="majorHAnsi" w:cstheme="majorHAnsi"/>
          <w:snapToGrid w:val="0"/>
          <w:color w:val="000000"/>
          <w:sz w:val="20"/>
          <w:szCs w:val="20"/>
          <w:lang w:val="en-US"/>
        </w:rPr>
        <w:t>Can you describe briefly the key features of this program?</w:t>
      </w:r>
    </w:p>
    <w:p w14:paraId="3D5D8B2A" w14:textId="7D4D9FA1" w:rsidR="008D0CAD" w:rsidRPr="00C63262" w:rsidRDefault="008D0CAD" w:rsidP="00DD08E3">
      <w:pPr>
        <w:numPr>
          <w:ilvl w:val="1"/>
          <w:numId w:val="85"/>
        </w:numPr>
        <w:spacing w:before="100" w:beforeAutospacing="1" w:after="100" w:afterAutospacing="1" w:line="360" w:lineRule="auto"/>
        <w:ind w:left="810" w:hanging="450"/>
        <w:contextualSpacing/>
        <w:rPr>
          <w:rFonts w:asciiTheme="majorHAnsi" w:hAnsiTheme="majorHAnsi" w:cstheme="majorHAnsi"/>
          <w:snapToGrid w:val="0"/>
          <w:sz w:val="20"/>
          <w:szCs w:val="20"/>
          <w:lang w:val="en-US"/>
        </w:rPr>
      </w:pPr>
      <w:r w:rsidRPr="00C63262">
        <w:rPr>
          <w:rFonts w:asciiTheme="majorHAnsi" w:hAnsiTheme="majorHAnsi" w:cstheme="majorHAnsi"/>
          <w:snapToGrid w:val="0"/>
          <w:color w:val="000000"/>
          <w:sz w:val="20"/>
          <w:szCs w:val="20"/>
          <w:lang w:val="en-US"/>
        </w:rPr>
        <w:t>Does your school have multi-grade classes?</w:t>
      </w:r>
      <w:r w:rsidR="00D434EB">
        <w:rPr>
          <w:rFonts w:asciiTheme="majorHAnsi" w:hAnsiTheme="majorHAnsi" w:cstheme="majorHAnsi"/>
          <w:snapToGrid w:val="0"/>
          <w:color w:val="000000"/>
          <w:sz w:val="20"/>
          <w:szCs w:val="20"/>
          <w:lang w:val="en-US"/>
        </w:rPr>
        <w:t xml:space="preserve"> </w:t>
      </w:r>
      <w:r w:rsidRPr="00C63262">
        <w:rPr>
          <w:rFonts w:asciiTheme="majorHAnsi" w:hAnsiTheme="majorHAnsi" w:cstheme="majorHAnsi"/>
          <w:snapToGrid w:val="0"/>
          <w:color w:val="000000"/>
          <w:sz w:val="20"/>
          <w:szCs w:val="20"/>
          <w:lang w:val="en-US"/>
        </w:rPr>
        <w:t xml:space="preserve">Can you describe briefly the key features of this program? </w:t>
      </w:r>
    </w:p>
    <w:p w14:paraId="48B0A538" w14:textId="77777777" w:rsidR="008D0CAD" w:rsidRPr="00C63262" w:rsidRDefault="008D0CAD" w:rsidP="00DD08E3">
      <w:pPr>
        <w:numPr>
          <w:ilvl w:val="1"/>
          <w:numId w:val="85"/>
        </w:numPr>
        <w:spacing w:before="100" w:beforeAutospacing="1" w:after="100" w:afterAutospacing="1" w:line="360" w:lineRule="auto"/>
        <w:ind w:left="810" w:hanging="450"/>
        <w:rPr>
          <w:rFonts w:asciiTheme="majorHAnsi" w:hAnsiTheme="majorHAnsi" w:cstheme="majorHAnsi"/>
          <w:snapToGrid w:val="0"/>
          <w:sz w:val="20"/>
          <w:szCs w:val="20"/>
          <w:lang w:val="en-US"/>
        </w:rPr>
      </w:pPr>
      <w:r w:rsidRPr="00C63262">
        <w:rPr>
          <w:rFonts w:asciiTheme="majorHAnsi" w:hAnsiTheme="majorHAnsi" w:cstheme="majorHAnsi"/>
          <w:bCs/>
          <w:snapToGrid w:val="0"/>
          <w:color w:val="000000"/>
          <w:sz w:val="20"/>
          <w:szCs w:val="20"/>
          <w:lang w:val="en-US"/>
        </w:rPr>
        <w:t>Are you using inclusive learning materials in your school? Why or why not? Are these sufficient for your needs?</w:t>
      </w:r>
    </w:p>
    <w:p w14:paraId="3BBF42D1" w14:textId="77777777" w:rsidR="008D0CAD" w:rsidRPr="00C63262" w:rsidRDefault="008D0CAD" w:rsidP="00DD08E3">
      <w:pPr>
        <w:numPr>
          <w:ilvl w:val="1"/>
          <w:numId w:val="85"/>
        </w:numPr>
        <w:spacing w:before="100" w:beforeAutospacing="1" w:after="100" w:afterAutospacing="1" w:line="360" w:lineRule="auto"/>
        <w:ind w:left="810" w:hanging="450"/>
        <w:rPr>
          <w:rFonts w:asciiTheme="majorHAnsi" w:hAnsiTheme="majorHAnsi" w:cstheme="majorHAnsi"/>
          <w:snapToGrid w:val="0"/>
          <w:sz w:val="20"/>
          <w:szCs w:val="20"/>
          <w:lang w:val="en-US"/>
        </w:rPr>
      </w:pPr>
      <w:r w:rsidRPr="00C63262">
        <w:rPr>
          <w:rFonts w:asciiTheme="majorHAnsi" w:hAnsiTheme="majorHAnsi" w:cstheme="majorHAnsi"/>
          <w:snapToGrid w:val="0"/>
          <w:color w:val="000000"/>
          <w:sz w:val="20"/>
          <w:szCs w:val="20"/>
          <w:lang w:val="en-US"/>
        </w:rPr>
        <w:t>What challenges do you experience in terms of implementing IE?</w:t>
      </w:r>
    </w:p>
    <w:p w14:paraId="33730DDD" w14:textId="77777777" w:rsidR="008D0CAD" w:rsidRPr="00C63262" w:rsidRDefault="008D0CAD" w:rsidP="00DD08E3">
      <w:pPr>
        <w:numPr>
          <w:ilvl w:val="1"/>
          <w:numId w:val="85"/>
        </w:numPr>
        <w:spacing w:before="100" w:beforeAutospacing="1" w:after="100" w:afterAutospacing="1" w:line="360" w:lineRule="auto"/>
        <w:ind w:left="805" w:hanging="448"/>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 xml:space="preserve">What indicators do you use to measure the successful implementation of Inclusive Education in your school? </w:t>
      </w:r>
    </w:p>
    <w:p w14:paraId="5FE7AB21" w14:textId="77777777" w:rsidR="008D0CAD" w:rsidRPr="00C63262" w:rsidRDefault="008D0CAD" w:rsidP="00DD08E3">
      <w:pPr>
        <w:numPr>
          <w:ilvl w:val="0"/>
          <w:numId w:val="85"/>
        </w:numPr>
        <w:spacing w:before="100" w:beforeAutospacing="1" w:after="100" w:afterAutospacing="1" w:line="360" w:lineRule="auto"/>
        <w:contextualSpacing/>
        <w:rPr>
          <w:rFonts w:asciiTheme="majorHAnsi" w:hAnsiTheme="majorHAnsi" w:cstheme="majorHAnsi"/>
          <w:snapToGrid w:val="0"/>
          <w:sz w:val="20"/>
          <w:szCs w:val="20"/>
          <w:lang w:val="en-US"/>
        </w:rPr>
      </w:pPr>
      <w:r w:rsidRPr="00C63262">
        <w:rPr>
          <w:rFonts w:asciiTheme="majorHAnsi" w:hAnsiTheme="majorHAnsi" w:cstheme="majorHAnsi"/>
          <w:snapToGrid w:val="0"/>
          <w:color w:val="000000"/>
          <w:sz w:val="20"/>
          <w:szCs w:val="20"/>
          <w:lang w:val="en-US"/>
        </w:rPr>
        <w:t xml:space="preserve">Please describe how </w:t>
      </w:r>
      <w:r w:rsidRPr="00C63262">
        <w:rPr>
          <w:rFonts w:asciiTheme="majorHAnsi" w:hAnsiTheme="majorHAnsi" w:cstheme="majorHAnsi"/>
          <w:b/>
          <w:snapToGrid w:val="0"/>
          <w:color w:val="000000"/>
          <w:sz w:val="20"/>
          <w:szCs w:val="20"/>
          <w:lang w:val="en-US"/>
        </w:rPr>
        <w:t xml:space="preserve">Gender-Responsive Basic Education (GRBE) </w:t>
      </w:r>
      <w:r w:rsidRPr="00C63262">
        <w:rPr>
          <w:rFonts w:asciiTheme="majorHAnsi" w:hAnsiTheme="majorHAnsi" w:cstheme="majorHAnsi"/>
          <w:snapToGrid w:val="0"/>
          <w:color w:val="000000"/>
          <w:sz w:val="20"/>
          <w:szCs w:val="20"/>
          <w:lang w:val="en-US"/>
        </w:rPr>
        <w:t>is</w:t>
      </w:r>
      <w:r w:rsidRPr="00C63262">
        <w:rPr>
          <w:rFonts w:asciiTheme="majorHAnsi" w:hAnsiTheme="majorHAnsi" w:cstheme="majorHAnsi"/>
          <w:b/>
          <w:snapToGrid w:val="0"/>
          <w:color w:val="000000"/>
          <w:sz w:val="20"/>
          <w:szCs w:val="20"/>
          <w:lang w:val="en-US"/>
        </w:rPr>
        <w:t xml:space="preserve"> </w:t>
      </w:r>
      <w:r w:rsidRPr="00C63262">
        <w:rPr>
          <w:rFonts w:asciiTheme="majorHAnsi" w:hAnsiTheme="majorHAnsi" w:cstheme="majorHAnsi"/>
          <w:bCs/>
          <w:snapToGrid w:val="0"/>
          <w:color w:val="000000" w:themeColor="text1"/>
          <w:sz w:val="20"/>
          <w:szCs w:val="20"/>
          <w:lang w:val="en-US"/>
        </w:rPr>
        <w:t>implemented in your school and your classroom?</w:t>
      </w:r>
    </w:p>
    <w:p w14:paraId="559CF4A4" w14:textId="77777777" w:rsidR="008D0CAD" w:rsidRPr="00C63262" w:rsidRDefault="008D0CAD" w:rsidP="00DD08E3">
      <w:pPr>
        <w:numPr>
          <w:ilvl w:val="2"/>
          <w:numId w:val="87"/>
        </w:numPr>
        <w:spacing w:before="100" w:beforeAutospacing="1" w:after="100" w:afterAutospacing="1" w:line="360" w:lineRule="auto"/>
        <w:ind w:left="810" w:hanging="450"/>
        <w:contextualSpacing/>
        <w:rPr>
          <w:rFonts w:asciiTheme="majorHAnsi" w:hAnsiTheme="majorHAnsi" w:cstheme="majorHAnsi"/>
          <w:snapToGrid w:val="0"/>
          <w:sz w:val="20"/>
          <w:szCs w:val="20"/>
          <w:lang w:val="en-US"/>
        </w:rPr>
      </w:pPr>
      <w:r w:rsidRPr="00C63262">
        <w:rPr>
          <w:rFonts w:asciiTheme="majorHAnsi" w:hAnsiTheme="majorHAnsi" w:cstheme="majorHAnsi"/>
          <w:snapToGrid w:val="0"/>
          <w:color w:val="000000"/>
          <w:sz w:val="20"/>
          <w:szCs w:val="20"/>
          <w:lang w:val="en-US"/>
        </w:rPr>
        <w:t>Does your school have a formal program to make sure boys and girls have every opportunity to attend school? Can you describe briefly the key features of this program?</w:t>
      </w:r>
    </w:p>
    <w:p w14:paraId="016227C0" w14:textId="77777777" w:rsidR="008D0CAD" w:rsidRPr="00C63262" w:rsidRDefault="008D0CAD" w:rsidP="00DD08E3">
      <w:pPr>
        <w:numPr>
          <w:ilvl w:val="2"/>
          <w:numId w:val="87"/>
        </w:numPr>
        <w:spacing w:before="100" w:beforeAutospacing="1" w:after="100" w:afterAutospacing="1" w:line="360" w:lineRule="auto"/>
        <w:ind w:left="810" w:hanging="450"/>
        <w:contextualSpacing/>
        <w:rPr>
          <w:rFonts w:asciiTheme="majorHAnsi" w:hAnsiTheme="majorHAnsi" w:cstheme="majorHAnsi"/>
          <w:snapToGrid w:val="0"/>
          <w:sz w:val="20"/>
          <w:szCs w:val="20"/>
          <w:lang w:val="en-US"/>
        </w:rPr>
      </w:pPr>
      <w:r w:rsidRPr="00C63262">
        <w:rPr>
          <w:rFonts w:asciiTheme="majorHAnsi" w:hAnsiTheme="majorHAnsi" w:cstheme="majorHAnsi"/>
          <w:snapToGrid w:val="0"/>
          <w:color w:val="000000"/>
          <w:sz w:val="20"/>
          <w:szCs w:val="20"/>
          <w:lang w:val="en-US"/>
        </w:rPr>
        <w:t xml:space="preserve">Do you have a functioning Gender Focal Point System in school? Is this system useful to you as a teacher? </w:t>
      </w:r>
    </w:p>
    <w:p w14:paraId="2D9BA101" w14:textId="77777777" w:rsidR="008D0CAD" w:rsidRPr="00C63262" w:rsidRDefault="008D0CAD" w:rsidP="00DD08E3">
      <w:pPr>
        <w:numPr>
          <w:ilvl w:val="2"/>
          <w:numId w:val="87"/>
        </w:numPr>
        <w:spacing w:before="100" w:beforeAutospacing="1" w:after="100" w:afterAutospacing="1" w:line="360" w:lineRule="auto"/>
        <w:ind w:left="810" w:hanging="450"/>
        <w:contextualSpacing/>
        <w:rPr>
          <w:rFonts w:asciiTheme="majorHAnsi" w:hAnsiTheme="majorHAnsi" w:cstheme="majorHAnsi"/>
          <w:snapToGrid w:val="0"/>
          <w:sz w:val="20"/>
          <w:szCs w:val="20"/>
          <w:lang w:val="en-US"/>
        </w:rPr>
      </w:pPr>
      <w:r w:rsidRPr="00C63262">
        <w:rPr>
          <w:rFonts w:asciiTheme="majorHAnsi" w:hAnsiTheme="majorHAnsi" w:cstheme="majorHAnsi"/>
          <w:bCs/>
          <w:snapToGrid w:val="0"/>
          <w:color w:val="000000"/>
          <w:sz w:val="20"/>
          <w:szCs w:val="20"/>
          <w:lang w:val="en-US"/>
        </w:rPr>
        <w:t>Are you using gender sensitive learning materials in your school? Why or why not? Are these sufficient for your needs?</w:t>
      </w:r>
    </w:p>
    <w:p w14:paraId="467C7C4E" w14:textId="77777777" w:rsidR="008D0CAD" w:rsidRPr="00C63262" w:rsidRDefault="008D0CAD" w:rsidP="00DD08E3">
      <w:pPr>
        <w:numPr>
          <w:ilvl w:val="2"/>
          <w:numId w:val="87"/>
        </w:numPr>
        <w:spacing w:before="100" w:beforeAutospacing="1" w:after="100" w:afterAutospacing="1" w:line="360" w:lineRule="auto"/>
        <w:ind w:left="810" w:hanging="450"/>
        <w:contextualSpacing/>
        <w:rPr>
          <w:rFonts w:asciiTheme="majorHAnsi" w:hAnsiTheme="majorHAnsi" w:cstheme="majorHAnsi"/>
          <w:snapToGrid w:val="0"/>
          <w:sz w:val="20"/>
          <w:szCs w:val="20"/>
          <w:lang w:val="en-US"/>
        </w:rPr>
      </w:pPr>
      <w:r w:rsidRPr="00C63262">
        <w:rPr>
          <w:rFonts w:asciiTheme="majorHAnsi" w:hAnsiTheme="majorHAnsi" w:cstheme="majorHAnsi"/>
          <w:snapToGrid w:val="0"/>
          <w:color w:val="000000"/>
          <w:sz w:val="20"/>
          <w:szCs w:val="20"/>
          <w:lang w:val="en-US"/>
        </w:rPr>
        <w:t>What challenges do you experience in terms of implementing GRBE?</w:t>
      </w:r>
    </w:p>
    <w:p w14:paraId="30B9929E" w14:textId="77777777" w:rsidR="008D0CAD" w:rsidRPr="00C63262" w:rsidRDefault="008D0CAD" w:rsidP="00DD08E3">
      <w:pPr>
        <w:numPr>
          <w:ilvl w:val="2"/>
          <w:numId w:val="87"/>
        </w:numPr>
        <w:spacing w:before="100" w:beforeAutospacing="1" w:after="100" w:afterAutospacing="1" w:line="360" w:lineRule="auto"/>
        <w:ind w:left="805" w:hanging="448"/>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What indicators do you use to measure the successful implementation of GRBE in your school?</w:t>
      </w:r>
    </w:p>
    <w:p w14:paraId="5A3A8420" w14:textId="77777777" w:rsidR="008D0CAD" w:rsidRPr="00C63262" w:rsidRDefault="008D0CAD" w:rsidP="00DD08E3">
      <w:pPr>
        <w:numPr>
          <w:ilvl w:val="0"/>
          <w:numId w:val="85"/>
        </w:numPr>
        <w:spacing w:before="100" w:beforeAutospacing="1" w:after="100" w:afterAutospacing="1" w:line="360" w:lineRule="auto"/>
        <w:ind w:left="357" w:hanging="357"/>
        <w:rPr>
          <w:rFonts w:asciiTheme="majorHAnsi" w:hAnsiTheme="majorHAnsi" w:cstheme="majorHAnsi"/>
          <w:snapToGrid w:val="0"/>
          <w:sz w:val="20"/>
          <w:szCs w:val="20"/>
          <w:lang w:val="en-US"/>
        </w:rPr>
      </w:pPr>
      <w:r w:rsidRPr="00C63262">
        <w:rPr>
          <w:rFonts w:asciiTheme="majorHAnsi" w:hAnsiTheme="majorHAnsi" w:cstheme="majorHAnsi"/>
          <w:bCs/>
          <w:snapToGrid w:val="0"/>
          <w:color w:val="000000" w:themeColor="text1"/>
          <w:sz w:val="20"/>
          <w:szCs w:val="20"/>
          <w:lang w:val="en-US"/>
        </w:rPr>
        <w:t>What is the difference of inclusive education with responsive education?</w:t>
      </w:r>
    </w:p>
    <w:p w14:paraId="11EB9978" w14:textId="77777777" w:rsidR="008D0CAD" w:rsidRPr="00C63262" w:rsidRDefault="008D0CAD" w:rsidP="00DD08E3">
      <w:pPr>
        <w:numPr>
          <w:ilvl w:val="0"/>
          <w:numId w:val="85"/>
        </w:numPr>
        <w:spacing w:before="100" w:beforeAutospacing="1" w:after="100" w:afterAutospacing="1" w:line="360" w:lineRule="auto"/>
        <w:ind w:left="357" w:hanging="357"/>
        <w:rPr>
          <w:rFonts w:asciiTheme="majorHAnsi" w:hAnsiTheme="majorHAnsi" w:cstheme="majorHAnsi"/>
          <w:snapToGrid w:val="0"/>
          <w:sz w:val="20"/>
          <w:szCs w:val="20"/>
          <w:lang w:val="en-US"/>
        </w:rPr>
      </w:pPr>
      <w:r w:rsidRPr="00C63262">
        <w:rPr>
          <w:rFonts w:asciiTheme="majorHAnsi" w:hAnsiTheme="majorHAnsi" w:cstheme="majorHAnsi"/>
          <w:snapToGrid w:val="0"/>
          <w:color w:val="000000"/>
          <w:sz w:val="20"/>
          <w:szCs w:val="20"/>
          <w:lang w:val="en-US"/>
        </w:rPr>
        <w:t>What do you do in your school when you have a very small percentage of students in any this/these sub-sectors in your school(s)?</w:t>
      </w:r>
    </w:p>
    <w:p w14:paraId="166B3BE8" w14:textId="77777777" w:rsidR="008D0CAD" w:rsidRPr="00C63262" w:rsidRDefault="008D0CAD" w:rsidP="00EA6CB9">
      <w:pPr>
        <w:spacing w:before="100" w:beforeAutospacing="1" w:after="100" w:afterAutospacing="1" w:line="360" w:lineRule="auto"/>
        <w:rPr>
          <w:rFonts w:asciiTheme="majorHAnsi" w:hAnsiTheme="majorHAnsi" w:cstheme="majorHAnsi"/>
          <w:b/>
          <w:sz w:val="20"/>
          <w:szCs w:val="20"/>
          <w:lang w:val="en-US"/>
        </w:rPr>
      </w:pPr>
      <w:r w:rsidRPr="00EC48C1">
        <w:rPr>
          <w:rFonts w:asciiTheme="majorHAnsi" w:hAnsiTheme="majorHAnsi" w:cstheme="majorHAnsi"/>
          <w:b/>
          <w:bCs/>
          <w:color w:val="000000"/>
          <w:sz w:val="20"/>
          <w:szCs w:val="20"/>
          <w:lang w:val="en-US"/>
        </w:rPr>
        <w:t>Learning &amp; Development (L&amp;D) systems</w:t>
      </w:r>
    </w:p>
    <w:p w14:paraId="2AE5E64F" w14:textId="77777777" w:rsidR="008D0CAD" w:rsidRPr="00C63262" w:rsidRDefault="008D0CAD" w:rsidP="00DD08E3">
      <w:pPr>
        <w:numPr>
          <w:ilvl w:val="0"/>
          <w:numId w:val="85"/>
        </w:numPr>
        <w:spacing w:before="100" w:beforeAutospacing="1" w:after="100" w:afterAutospacing="1" w:line="360" w:lineRule="auto"/>
        <w:contextualSpacing/>
        <w:rPr>
          <w:rFonts w:asciiTheme="majorHAnsi" w:hAnsiTheme="majorHAnsi" w:cstheme="majorHAnsi"/>
          <w:snapToGrid w:val="0"/>
          <w:sz w:val="20"/>
          <w:szCs w:val="20"/>
          <w:lang w:val="en-US"/>
        </w:rPr>
      </w:pPr>
      <w:r w:rsidRPr="00C63262">
        <w:rPr>
          <w:rFonts w:asciiTheme="majorHAnsi" w:hAnsiTheme="majorHAnsi" w:cstheme="majorHAnsi"/>
          <w:snapToGrid w:val="0"/>
          <w:color w:val="000000"/>
          <w:sz w:val="20"/>
          <w:szCs w:val="20"/>
          <w:lang w:val="en-US"/>
        </w:rPr>
        <w:t xml:space="preserve">Can you please describe what the </w:t>
      </w:r>
      <w:r w:rsidRPr="00C63262">
        <w:rPr>
          <w:rFonts w:asciiTheme="majorHAnsi" w:hAnsiTheme="majorHAnsi" w:cstheme="majorHAnsi"/>
          <w:bCs/>
          <w:snapToGrid w:val="0"/>
          <w:color w:val="000000" w:themeColor="text1"/>
          <w:sz w:val="20"/>
          <w:szCs w:val="20"/>
          <w:lang w:val="en-US"/>
        </w:rPr>
        <w:t>Learning &amp; Development (L&amp;D) System is</w:t>
      </w:r>
      <w:r w:rsidRPr="00C63262">
        <w:rPr>
          <w:rFonts w:asciiTheme="majorHAnsi" w:hAnsiTheme="majorHAnsi" w:cstheme="majorHAnsi"/>
          <w:snapToGrid w:val="0"/>
          <w:color w:val="000000"/>
          <w:sz w:val="20"/>
          <w:szCs w:val="20"/>
          <w:lang w:val="en-US"/>
        </w:rPr>
        <w:t xml:space="preserve">? </w:t>
      </w:r>
    </w:p>
    <w:p w14:paraId="50C132EC" w14:textId="25F1DD06" w:rsidR="008D0CAD" w:rsidRPr="00C63262" w:rsidRDefault="008D0CAD" w:rsidP="00DD08E3">
      <w:pPr>
        <w:numPr>
          <w:ilvl w:val="1"/>
          <w:numId w:val="85"/>
        </w:numPr>
        <w:spacing w:before="100" w:beforeAutospacing="1" w:after="100" w:afterAutospacing="1" w:line="360" w:lineRule="auto"/>
        <w:ind w:left="720"/>
        <w:contextualSpacing/>
        <w:rPr>
          <w:rFonts w:asciiTheme="majorHAnsi" w:hAnsiTheme="majorHAnsi" w:cstheme="majorHAnsi"/>
          <w:snapToGrid w:val="0"/>
          <w:sz w:val="20"/>
          <w:szCs w:val="20"/>
          <w:lang w:val="en-US"/>
        </w:rPr>
      </w:pPr>
      <w:r w:rsidRPr="00C63262">
        <w:rPr>
          <w:rFonts w:asciiTheme="majorHAnsi" w:hAnsiTheme="majorHAnsi" w:cstheme="majorHAnsi"/>
          <w:snapToGrid w:val="0"/>
          <w:color w:val="000000"/>
          <w:sz w:val="20"/>
          <w:szCs w:val="20"/>
        </w:rPr>
        <w:t>What are the different sub-systems of L&amp;D?</w:t>
      </w:r>
      <w:r w:rsidR="00D434EB">
        <w:rPr>
          <w:rFonts w:asciiTheme="majorHAnsi" w:hAnsiTheme="majorHAnsi" w:cstheme="majorHAnsi"/>
          <w:snapToGrid w:val="0"/>
          <w:color w:val="000000"/>
          <w:sz w:val="20"/>
          <w:szCs w:val="20"/>
        </w:rPr>
        <w:t xml:space="preserve"> </w:t>
      </w:r>
      <w:r w:rsidRPr="00C63262">
        <w:rPr>
          <w:rFonts w:asciiTheme="majorHAnsi" w:hAnsiTheme="majorHAnsi" w:cstheme="majorHAnsi"/>
          <w:snapToGrid w:val="0"/>
          <w:color w:val="000000"/>
          <w:sz w:val="20"/>
          <w:szCs w:val="20"/>
        </w:rPr>
        <w:t>Please describe what each system does (processes) and what is produced (outputs) from each sub system.</w:t>
      </w:r>
    </w:p>
    <w:p w14:paraId="1ECB79DA" w14:textId="77777777" w:rsidR="008D0CAD" w:rsidRPr="00C63262" w:rsidRDefault="008D0CAD" w:rsidP="00DD08E3">
      <w:pPr>
        <w:numPr>
          <w:ilvl w:val="1"/>
          <w:numId w:val="85"/>
        </w:numPr>
        <w:spacing w:before="100" w:beforeAutospacing="1" w:after="100" w:afterAutospacing="1" w:line="360" w:lineRule="auto"/>
        <w:ind w:left="720"/>
        <w:rPr>
          <w:rFonts w:asciiTheme="majorHAnsi" w:hAnsiTheme="majorHAnsi" w:cstheme="majorHAnsi"/>
          <w:snapToGrid w:val="0"/>
          <w:sz w:val="20"/>
          <w:szCs w:val="20"/>
          <w:lang w:val="en-US"/>
        </w:rPr>
      </w:pPr>
      <w:r w:rsidRPr="00C63262">
        <w:rPr>
          <w:rFonts w:asciiTheme="majorHAnsi" w:hAnsiTheme="majorHAnsi" w:cstheme="majorHAnsi"/>
          <w:bCs/>
          <w:snapToGrid w:val="0"/>
          <w:color w:val="000000"/>
          <w:sz w:val="20"/>
          <w:szCs w:val="20"/>
          <w:lang w:val="en-US"/>
        </w:rPr>
        <w:t>Within the last five years, have you ever participated in any of the system (L&amp;D or T&amp;D) processes or any activity, conducted to identify your professional development needs as a teacher? What were those activities?</w:t>
      </w:r>
    </w:p>
    <w:p w14:paraId="7F0E6C2B" w14:textId="4AB8FAA2" w:rsidR="008D0CAD" w:rsidRPr="00C63262" w:rsidRDefault="008D0CAD" w:rsidP="00DD08E3">
      <w:pPr>
        <w:numPr>
          <w:ilvl w:val="1"/>
          <w:numId w:val="85"/>
        </w:numPr>
        <w:spacing w:before="100" w:beforeAutospacing="1" w:after="100" w:afterAutospacing="1" w:line="360" w:lineRule="auto"/>
        <w:ind w:left="720"/>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Is the L&amp;D system important to your teaching practice?</w:t>
      </w:r>
      <w:r w:rsidR="00D434EB">
        <w:rPr>
          <w:rFonts w:asciiTheme="majorHAnsi" w:hAnsiTheme="majorHAnsi" w:cstheme="majorHAnsi"/>
          <w:snapToGrid w:val="0"/>
          <w:sz w:val="20"/>
          <w:szCs w:val="20"/>
          <w:lang w:val="en-US"/>
        </w:rPr>
        <w:t xml:space="preserve"> </w:t>
      </w:r>
      <w:r w:rsidRPr="00C63262">
        <w:rPr>
          <w:rFonts w:asciiTheme="majorHAnsi" w:hAnsiTheme="majorHAnsi" w:cstheme="majorHAnsi"/>
          <w:snapToGrid w:val="0"/>
          <w:sz w:val="20"/>
          <w:szCs w:val="20"/>
          <w:lang w:val="en-US"/>
        </w:rPr>
        <w:t>If yes, in what concrete ways?</w:t>
      </w:r>
    </w:p>
    <w:p w14:paraId="6758B4DD" w14:textId="3BB0E7CB" w:rsidR="008D0CAD" w:rsidRPr="00C63262" w:rsidRDefault="008D0CAD" w:rsidP="00DD08E3">
      <w:pPr>
        <w:numPr>
          <w:ilvl w:val="1"/>
          <w:numId w:val="85"/>
        </w:numPr>
        <w:spacing w:before="100" w:beforeAutospacing="1" w:after="100" w:afterAutospacing="1" w:line="360" w:lineRule="auto"/>
        <w:ind w:left="805" w:hanging="448"/>
        <w:rPr>
          <w:rFonts w:asciiTheme="majorHAnsi" w:hAnsiTheme="majorHAnsi" w:cstheme="majorHAnsi"/>
          <w:snapToGrid w:val="0"/>
          <w:sz w:val="20"/>
          <w:szCs w:val="20"/>
          <w:lang w:val="en-US"/>
        </w:rPr>
      </w:pPr>
      <w:r w:rsidRPr="00C63262">
        <w:rPr>
          <w:rFonts w:asciiTheme="majorHAnsi" w:hAnsiTheme="majorHAnsi" w:cstheme="majorHAnsi"/>
          <w:snapToGrid w:val="0"/>
          <w:color w:val="000000"/>
          <w:sz w:val="20"/>
          <w:szCs w:val="20"/>
          <w:lang w:val="en-US"/>
        </w:rPr>
        <w:t xml:space="preserve">Can you please describe what the </w:t>
      </w:r>
      <w:r w:rsidRPr="00C63262">
        <w:rPr>
          <w:rFonts w:asciiTheme="majorHAnsi" w:hAnsiTheme="majorHAnsi" w:cstheme="majorHAnsi"/>
          <w:bCs/>
          <w:snapToGrid w:val="0"/>
          <w:color w:val="000000"/>
          <w:sz w:val="20"/>
          <w:szCs w:val="20"/>
          <w:lang w:val="en-US"/>
        </w:rPr>
        <w:t>Learning Action Cell (LAC)</w:t>
      </w:r>
      <w:r w:rsidRPr="00C63262">
        <w:rPr>
          <w:rFonts w:asciiTheme="majorHAnsi" w:hAnsiTheme="majorHAnsi" w:cstheme="majorHAnsi"/>
          <w:b/>
          <w:bCs/>
          <w:snapToGrid w:val="0"/>
          <w:color w:val="000000"/>
          <w:sz w:val="20"/>
          <w:szCs w:val="20"/>
          <w:lang w:val="en-US"/>
        </w:rPr>
        <w:t xml:space="preserve"> </w:t>
      </w:r>
      <w:r w:rsidRPr="00C63262">
        <w:rPr>
          <w:rFonts w:asciiTheme="majorHAnsi" w:hAnsiTheme="majorHAnsi" w:cstheme="majorHAnsi"/>
          <w:bCs/>
          <w:snapToGrid w:val="0"/>
          <w:color w:val="000000"/>
          <w:sz w:val="20"/>
          <w:szCs w:val="20"/>
          <w:lang w:val="en-US"/>
        </w:rPr>
        <w:t>is?</w:t>
      </w:r>
      <w:r w:rsidR="00D434EB">
        <w:rPr>
          <w:rFonts w:asciiTheme="majorHAnsi" w:hAnsiTheme="majorHAnsi" w:cstheme="majorHAnsi"/>
          <w:bCs/>
          <w:snapToGrid w:val="0"/>
          <w:color w:val="000000"/>
          <w:sz w:val="20"/>
          <w:szCs w:val="20"/>
          <w:lang w:val="en-US"/>
        </w:rPr>
        <w:t xml:space="preserve"> </w:t>
      </w:r>
      <w:r w:rsidRPr="00C63262">
        <w:rPr>
          <w:rFonts w:asciiTheme="majorHAnsi" w:hAnsiTheme="majorHAnsi" w:cstheme="majorHAnsi"/>
          <w:bCs/>
          <w:snapToGrid w:val="0"/>
          <w:color w:val="000000"/>
          <w:sz w:val="20"/>
          <w:szCs w:val="20"/>
          <w:lang w:val="en-US"/>
        </w:rPr>
        <w:t>How useful is the LAC to you as a teacher?</w:t>
      </w:r>
      <w:r w:rsidR="00D434EB">
        <w:rPr>
          <w:rFonts w:asciiTheme="majorHAnsi" w:hAnsiTheme="majorHAnsi" w:cstheme="majorHAnsi"/>
          <w:bCs/>
          <w:snapToGrid w:val="0"/>
          <w:color w:val="000000"/>
          <w:sz w:val="20"/>
          <w:szCs w:val="20"/>
          <w:lang w:val="en-US"/>
        </w:rPr>
        <w:t xml:space="preserve"> </w:t>
      </w:r>
      <w:r w:rsidRPr="00C63262">
        <w:rPr>
          <w:rFonts w:asciiTheme="majorHAnsi" w:hAnsiTheme="majorHAnsi" w:cstheme="majorHAnsi"/>
          <w:bCs/>
          <w:snapToGrid w:val="0"/>
          <w:color w:val="000000"/>
          <w:sz w:val="20"/>
          <w:szCs w:val="20"/>
          <w:lang w:val="en-US"/>
        </w:rPr>
        <w:t xml:space="preserve"> </w:t>
      </w:r>
    </w:p>
    <w:p w14:paraId="511F7D3E" w14:textId="77777777" w:rsidR="008D0CAD" w:rsidRPr="00C63262" w:rsidRDefault="008D0CAD" w:rsidP="00EA6CB9">
      <w:pPr>
        <w:spacing w:before="100" w:beforeAutospacing="1" w:after="100" w:afterAutospacing="1" w:line="360" w:lineRule="auto"/>
        <w:rPr>
          <w:rFonts w:asciiTheme="majorHAnsi" w:hAnsiTheme="majorHAnsi" w:cstheme="majorHAnsi"/>
          <w:b/>
          <w:sz w:val="20"/>
          <w:szCs w:val="20"/>
          <w:lang w:val="en-US"/>
        </w:rPr>
      </w:pPr>
      <w:r w:rsidRPr="00EC48C1">
        <w:rPr>
          <w:rFonts w:asciiTheme="majorHAnsi" w:hAnsiTheme="majorHAnsi" w:cstheme="majorHAnsi"/>
          <w:b/>
          <w:sz w:val="20"/>
          <w:szCs w:val="20"/>
          <w:lang w:val="en-US"/>
        </w:rPr>
        <w:t>Philippine Professional Standards for Teachers (PPST)</w:t>
      </w:r>
    </w:p>
    <w:p w14:paraId="40149023" w14:textId="77777777" w:rsidR="008D0CAD" w:rsidRPr="00C63262" w:rsidRDefault="008D0CAD" w:rsidP="00DD08E3">
      <w:pPr>
        <w:numPr>
          <w:ilvl w:val="0"/>
          <w:numId w:val="85"/>
        </w:numPr>
        <w:spacing w:before="100" w:beforeAutospacing="1" w:after="100" w:afterAutospacing="1" w:line="360" w:lineRule="auto"/>
        <w:contextualSpacing/>
        <w:rPr>
          <w:rFonts w:asciiTheme="majorHAnsi" w:hAnsiTheme="majorHAnsi" w:cstheme="majorHAnsi"/>
          <w:snapToGrid w:val="0"/>
          <w:sz w:val="20"/>
          <w:szCs w:val="20"/>
          <w:lang w:val="en-US"/>
        </w:rPr>
      </w:pPr>
      <w:r w:rsidRPr="00C63262">
        <w:rPr>
          <w:rFonts w:asciiTheme="majorHAnsi" w:hAnsiTheme="majorHAnsi" w:cstheme="majorHAnsi"/>
          <w:snapToGrid w:val="0"/>
          <w:color w:val="000000"/>
          <w:sz w:val="20"/>
          <w:szCs w:val="20"/>
          <w:lang w:val="en-US"/>
        </w:rPr>
        <w:t>Can you please describe your understanding of the Philippine Professional Standards for Teachers (PPST)</w:t>
      </w:r>
      <w:r w:rsidRPr="00C63262">
        <w:rPr>
          <w:rFonts w:asciiTheme="majorHAnsi" w:hAnsiTheme="majorHAnsi" w:cstheme="majorHAnsi"/>
          <w:b/>
          <w:snapToGrid w:val="0"/>
          <w:color w:val="000000"/>
          <w:sz w:val="20"/>
          <w:szCs w:val="20"/>
          <w:lang w:val="en-US"/>
        </w:rPr>
        <w:t>?</w:t>
      </w:r>
    </w:p>
    <w:p w14:paraId="6FEA55AB" w14:textId="77777777" w:rsidR="008D0CAD" w:rsidRPr="00C63262" w:rsidRDefault="008D0CAD" w:rsidP="00DD08E3">
      <w:pPr>
        <w:numPr>
          <w:ilvl w:val="1"/>
          <w:numId w:val="85"/>
        </w:numPr>
        <w:spacing w:before="100" w:beforeAutospacing="1" w:after="100" w:afterAutospacing="1" w:line="360" w:lineRule="auto"/>
        <w:ind w:left="720"/>
        <w:contextualSpacing/>
        <w:rPr>
          <w:rFonts w:asciiTheme="majorHAnsi" w:hAnsiTheme="majorHAnsi" w:cstheme="majorHAnsi"/>
          <w:snapToGrid w:val="0"/>
          <w:sz w:val="20"/>
          <w:szCs w:val="20"/>
          <w:lang w:val="en-US"/>
        </w:rPr>
      </w:pPr>
      <w:r w:rsidRPr="00C63262">
        <w:rPr>
          <w:rFonts w:asciiTheme="majorHAnsi" w:hAnsiTheme="majorHAnsi" w:cstheme="majorHAnsi"/>
          <w:bCs/>
          <w:snapToGrid w:val="0"/>
          <w:color w:val="000000"/>
          <w:sz w:val="20"/>
          <w:szCs w:val="20"/>
          <w:lang w:val="en-US"/>
        </w:rPr>
        <w:t xml:space="preserve">Are you familiar with the </w:t>
      </w:r>
      <w:r w:rsidRPr="00C63262">
        <w:rPr>
          <w:rFonts w:asciiTheme="majorHAnsi" w:eastAsiaTheme="minorEastAsia" w:hAnsiTheme="majorHAnsi" w:cstheme="majorHAnsi"/>
          <w:snapToGrid w:val="0"/>
          <w:sz w:val="20"/>
          <w:szCs w:val="20"/>
          <w:lang w:val="en-US"/>
        </w:rPr>
        <w:t xml:space="preserve">12 priority indicators of </w:t>
      </w:r>
      <w:r w:rsidRPr="00C63262">
        <w:rPr>
          <w:rFonts w:asciiTheme="majorHAnsi" w:hAnsiTheme="majorHAnsi" w:cstheme="majorHAnsi"/>
          <w:bCs/>
          <w:snapToGrid w:val="0"/>
          <w:color w:val="000000"/>
          <w:sz w:val="20"/>
          <w:szCs w:val="20"/>
          <w:lang w:val="en-US"/>
        </w:rPr>
        <w:t>the PPST on which RPMS tools and processes are based</w:t>
      </w:r>
      <w:r w:rsidRPr="00C63262">
        <w:rPr>
          <w:rFonts w:asciiTheme="majorHAnsi" w:hAnsiTheme="majorHAnsi" w:cstheme="majorHAnsi"/>
          <w:snapToGrid w:val="0"/>
          <w:color w:val="000000" w:themeColor="text1"/>
          <w:sz w:val="20"/>
          <w:szCs w:val="20"/>
          <w:lang w:val="en-US"/>
        </w:rPr>
        <w:t>?</w:t>
      </w:r>
    </w:p>
    <w:p w14:paraId="0BE581DA" w14:textId="77777777" w:rsidR="008D0CAD" w:rsidRPr="00C63262" w:rsidRDefault="008D0CAD" w:rsidP="00DD08E3">
      <w:pPr>
        <w:numPr>
          <w:ilvl w:val="1"/>
          <w:numId w:val="85"/>
        </w:numPr>
        <w:spacing w:before="100" w:beforeAutospacing="1" w:after="100" w:afterAutospacing="1" w:line="360" w:lineRule="auto"/>
        <w:ind w:left="720"/>
        <w:contextualSpacing/>
        <w:rPr>
          <w:rFonts w:asciiTheme="majorHAnsi" w:hAnsiTheme="majorHAnsi" w:cstheme="majorHAnsi"/>
          <w:snapToGrid w:val="0"/>
          <w:sz w:val="20"/>
          <w:szCs w:val="20"/>
          <w:lang w:val="en-US"/>
        </w:rPr>
      </w:pPr>
      <w:r w:rsidRPr="00C63262">
        <w:rPr>
          <w:rFonts w:asciiTheme="majorHAnsi" w:hAnsiTheme="majorHAnsi" w:cstheme="majorHAnsi"/>
          <w:snapToGrid w:val="0"/>
          <w:color w:val="000000" w:themeColor="text1"/>
          <w:sz w:val="20"/>
          <w:szCs w:val="20"/>
          <w:lang w:val="en-US"/>
        </w:rPr>
        <w:t xml:space="preserve">Do you find the Self-Assessment Tool (SAT) useful to teachers? Why or why not? </w:t>
      </w:r>
    </w:p>
    <w:p w14:paraId="7EB33E11" w14:textId="77777777" w:rsidR="008D0CAD" w:rsidRPr="00C63262" w:rsidRDefault="008D0CAD" w:rsidP="00DD08E3">
      <w:pPr>
        <w:numPr>
          <w:ilvl w:val="1"/>
          <w:numId w:val="85"/>
        </w:numPr>
        <w:spacing w:before="100" w:beforeAutospacing="1" w:after="100" w:afterAutospacing="1" w:line="360" w:lineRule="auto"/>
        <w:ind w:left="720"/>
        <w:contextualSpacing/>
        <w:rPr>
          <w:rFonts w:asciiTheme="majorHAnsi" w:hAnsiTheme="majorHAnsi" w:cstheme="majorHAnsi"/>
          <w:snapToGrid w:val="0"/>
          <w:sz w:val="20"/>
          <w:szCs w:val="20"/>
          <w:lang w:val="en-US"/>
        </w:rPr>
      </w:pPr>
      <w:r w:rsidRPr="00C63262">
        <w:rPr>
          <w:rFonts w:asciiTheme="majorHAnsi" w:hAnsiTheme="majorHAnsi" w:cstheme="majorHAnsi"/>
          <w:snapToGrid w:val="0"/>
          <w:color w:val="000000" w:themeColor="text1"/>
          <w:sz w:val="20"/>
          <w:szCs w:val="20"/>
          <w:lang w:val="en-US"/>
        </w:rPr>
        <w:t xml:space="preserve">Do you find the Classroom Observation Tool (COT) effective for assessing teacher performance? Why or why not? </w:t>
      </w:r>
    </w:p>
    <w:p w14:paraId="3D610305" w14:textId="77777777" w:rsidR="008D0CAD" w:rsidRPr="00C63262" w:rsidRDefault="008D0CAD" w:rsidP="00DD08E3">
      <w:pPr>
        <w:numPr>
          <w:ilvl w:val="1"/>
          <w:numId w:val="85"/>
        </w:numPr>
        <w:spacing w:before="100" w:beforeAutospacing="1" w:after="100" w:afterAutospacing="1" w:line="360" w:lineRule="auto"/>
        <w:ind w:left="720"/>
        <w:contextualSpacing/>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 xml:space="preserve">How was teacher performance assessed before the introduction of the COT </w:t>
      </w:r>
      <w:r w:rsidRPr="00C63262">
        <w:rPr>
          <w:rFonts w:asciiTheme="majorHAnsi" w:hAnsiTheme="majorHAnsi" w:cstheme="majorHAnsi"/>
          <w:bCs/>
          <w:snapToGrid w:val="0"/>
          <w:color w:val="000000"/>
          <w:sz w:val="20"/>
          <w:szCs w:val="20"/>
          <w:lang w:val="en-US"/>
        </w:rPr>
        <w:t>in the RPMS</w:t>
      </w:r>
      <w:r w:rsidRPr="00C63262">
        <w:rPr>
          <w:rFonts w:asciiTheme="majorHAnsi" w:hAnsiTheme="majorHAnsi" w:cstheme="majorHAnsi"/>
          <w:snapToGrid w:val="0"/>
          <w:sz w:val="20"/>
          <w:szCs w:val="20"/>
          <w:lang w:val="en-US"/>
        </w:rPr>
        <w:t>?</w:t>
      </w:r>
    </w:p>
    <w:p w14:paraId="4DBD9F92" w14:textId="77777777" w:rsidR="008D0CAD" w:rsidRPr="00C63262" w:rsidRDefault="008D0CAD" w:rsidP="00DD08E3">
      <w:pPr>
        <w:numPr>
          <w:ilvl w:val="1"/>
          <w:numId w:val="85"/>
        </w:numPr>
        <w:spacing w:before="100" w:beforeAutospacing="1" w:after="100" w:afterAutospacing="1" w:line="360" w:lineRule="auto"/>
        <w:ind w:left="720"/>
        <w:contextualSpacing/>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How was the Philippine Professional Standards for Teachers</w:t>
      </w:r>
      <w:r w:rsidRPr="00C63262">
        <w:rPr>
          <w:rFonts w:asciiTheme="majorHAnsi" w:hAnsiTheme="majorHAnsi" w:cstheme="majorHAnsi"/>
          <w:b/>
          <w:snapToGrid w:val="0"/>
          <w:sz w:val="20"/>
          <w:szCs w:val="20"/>
          <w:lang w:val="en-US"/>
        </w:rPr>
        <w:t xml:space="preserve"> </w:t>
      </w:r>
      <w:r w:rsidRPr="00C63262">
        <w:rPr>
          <w:rFonts w:asciiTheme="majorHAnsi" w:hAnsiTheme="majorHAnsi" w:cstheme="majorHAnsi"/>
          <w:snapToGrid w:val="0"/>
          <w:sz w:val="20"/>
          <w:szCs w:val="20"/>
          <w:lang w:val="en-US"/>
        </w:rPr>
        <w:t>linked with the Teacher Induction Program (TIP)?</w:t>
      </w:r>
    </w:p>
    <w:p w14:paraId="7E9F8C30" w14:textId="77777777" w:rsidR="008D0CAD" w:rsidRPr="00C63262" w:rsidRDefault="008D0CAD" w:rsidP="00DD08E3">
      <w:pPr>
        <w:numPr>
          <w:ilvl w:val="1"/>
          <w:numId w:val="85"/>
        </w:numPr>
        <w:spacing w:before="100" w:beforeAutospacing="1" w:after="100" w:afterAutospacing="1" w:line="360" w:lineRule="auto"/>
        <w:ind w:left="720"/>
        <w:contextualSpacing/>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How useful were the Teacher Induction Program (TIP) modules for you as a Principal?</w:t>
      </w:r>
    </w:p>
    <w:p w14:paraId="49D1F9B5" w14:textId="77777777" w:rsidR="008D0CAD" w:rsidRPr="00C63262" w:rsidRDefault="008D0CAD" w:rsidP="00DD08E3">
      <w:pPr>
        <w:numPr>
          <w:ilvl w:val="1"/>
          <w:numId w:val="85"/>
        </w:numPr>
        <w:spacing w:before="100" w:beforeAutospacing="1" w:after="100" w:afterAutospacing="1" w:line="360" w:lineRule="auto"/>
        <w:ind w:left="720"/>
        <w:contextualSpacing/>
        <w:rPr>
          <w:rFonts w:asciiTheme="majorHAnsi" w:hAnsiTheme="majorHAnsi" w:cstheme="majorHAnsi"/>
          <w:snapToGrid w:val="0"/>
          <w:sz w:val="20"/>
          <w:szCs w:val="20"/>
          <w:lang w:val="en-US"/>
        </w:rPr>
      </w:pPr>
      <w:r w:rsidRPr="00C63262">
        <w:rPr>
          <w:rFonts w:asciiTheme="majorHAnsi" w:hAnsiTheme="majorHAnsi" w:cstheme="majorHAnsi"/>
          <w:snapToGrid w:val="0"/>
          <w:color w:val="000000" w:themeColor="text1"/>
          <w:sz w:val="20"/>
          <w:szCs w:val="20"/>
          <w:lang w:val="en-US"/>
        </w:rPr>
        <w:t>Do you think that the current PPST is useful for improving the delivery of basic education? Why or why not?</w:t>
      </w:r>
      <w:r w:rsidRPr="00C63262">
        <w:rPr>
          <w:rFonts w:asciiTheme="majorHAnsi" w:hAnsiTheme="majorHAnsi" w:cstheme="majorHAnsi"/>
          <w:snapToGrid w:val="0"/>
          <w:color w:val="000000"/>
          <w:sz w:val="20"/>
          <w:szCs w:val="20"/>
          <w:lang w:val="en-US"/>
        </w:rPr>
        <w:t xml:space="preserve"> </w:t>
      </w:r>
    </w:p>
    <w:p w14:paraId="176580BA" w14:textId="0CB929C5" w:rsidR="008D0CAD" w:rsidRPr="00C63262" w:rsidRDefault="008D0CAD" w:rsidP="00EA6CB9">
      <w:pPr>
        <w:spacing w:before="100" w:beforeAutospacing="1" w:after="100" w:afterAutospacing="1" w:line="360" w:lineRule="auto"/>
        <w:rPr>
          <w:rFonts w:asciiTheme="majorHAnsi" w:hAnsiTheme="majorHAnsi" w:cstheme="majorHAnsi"/>
          <w:b/>
          <w:sz w:val="20"/>
          <w:szCs w:val="20"/>
          <w:lang w:val="en-US"/>
        </w:rPr>
      </w:pPr>
      <w:r w:rsidRPr="00EC48C1">
        <w:rPr>
          <w:rFonts w:asciiTheme="majorHAnsi" w:hAnsiTheme="majorHAnsi" w:cstheme="majorHAnsi"/>
          <w:b/>
          <w:sz w:val="20"/>
          <w:szCs w:val="20"/>
          <w:lang w:val="en-US"/>
        </w:rPr>
        <w:t>Curriculum and assessment</w:t>
      </w:r>
      <w:r w:rsidR="00D434EB">
        <w:rPr>
          <w:rFonts w:asciiTheme="majorHAnsi" w:hAnsiTheme="majorHAnsi" w:cstheme="majorHAnsi"/>
          <w:b/>
          <w:sz w:val="20"/>
          <w:szCs w:val="20"/>
          <w:lang w:val="en-US"/>
        </w:rPr>
        <w:t xml:space="preserve"> </w:t>
      </w:r>
    </w:p>
    <w:p w14:paraId="2C082F98" w14:textId="77777777" w:rsidR="008D0CAD" w:rsidRPr="00C63262" w:rsidRDefault="008D0CAD" w:rsidP="00DD08E3">
      <w:pPr>
        <w:numPr>
          <w:ilvl w:val="0"/>
          <w:numId w:val="85"/>
        </w:numPr>
        <w:spacing w:before="100" w:beforeAutospacing="1" w:after="100" w:afterAutospacing="1" w:line="360" w:lineRule="auto"/>
        <w:contextualSpacing/>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 xml:space="preserve">How were you capacitated to implement the reforms in </w:t>
      </w:r>
      <w:r w:rsidRPr="00C63262">
        <w:rPr>
          <w:rFonts w:asciiTheme="majorHAnsi" w:hAnsiTheme="majorHAnsi" w:cstheme="majorHAnsi"/>
          <w:snapToGrid w:val="0"/>
          <w:color w:val="000000" w:themeColor="text1"/>
          <w:sz w:val="20"/>
          <w:szCs w:val="20"/>
          <w:lang w:val="en-US"/>
        </w:rPr>
        <w:t>K to 12 curricula?</w:t>
      </w:r>
    </w:p>
    <w:p w14:paraId="5116B3C2" w14:textId="77777777" w:rsidR="008D0CAD" w:rsidRPr="00C63262" w:rsidRDefault="008D0CAD" w:rsidP="00DD08E3">
      <w:pPr>
        <w:numPr>
          <w:ilvl w:val="1"/>
          <w:numId w:val="85"/>
        </w:numPr>
        <w:spacing w:before="100" w:beforeAutospacing="1" w:after="100" w:afterAutospacing="1" w:line="360" w:lineRule="auto"/>
        <w:ind w:left="810" w:hanging="450"/>
        <w:contextualSpacing/>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Was the capacity building you received adequate If not, in what ways can capacity building on the curriculum be improved? What areas would need additional capacity building on?</w:t>
      </w:r>
    </w:p>
    <w:p w14:paraId="6EFAF5A3" w14:textId="77777777" w:rsidR="008D0CAD" w:rsidRPr="00C63262" w:rsidRDefault="008D0CAD" w:rsidP="00DD08E3">
      <w:pPr>
        <w:numPr>
          <w:ilvl w:val="1"/>
          <w:numId w:val="85"/>
        </w:numPr>
        <w:spacing w:before="100" w:beforeAutospacing="1" w:after="100" w:afterAutospacing="1" w:line="360" w:lineRule="auto"/>
        <w:ind w:left="810" w:hanging="450"/>
        <w:contextualSpacing/>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What resources (curriculum guides, lesson plans, etc.) were helpful to you in implementing the K to 12 curricula?</w:t>
      </w:r>
    </w:p>
    <w:p w14:paraId="2CAE5817" w14:textId="77777777" w:rsidR="008D0CAD" w:rsidRPr="00C63262" w:rsidRDefault="008D0CAD" w:rsidP="00DD08E3">
      <w:pPr>
        <w:numPr>
          <w:ilvl w:val="0"/>
          <w:numId w:val="85"/>
        </w:numPr>
        <w:spacing w:before="100" w:beforeAutospacing="1" w:after="100" w:afterAutospacing="1" w:line="360" w:lineRule="auto"/>
        <w:contextualSpacing/>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 xml:space="preserve">How were you capacitated to implement the reforms in </w:t>
      </w:r>
      <w:r w:rsidRPr="00C63262">
        <w:rPr>
          <w:rFonts w:asciiTheme="majorHAnsi" w:hAnsiTheme="majorHAnsi" w:cstheme="majorHAnsi"/>
          <w:snapToGrid w:val="0"/>
          <w:color w:val="000000" w:themeColor="text1"/>
          <w:sz w:val="20"/>
          <w:szCs w:val="20"/>
          <w:lang w:val="en-US"/>
        </w:rPr>
        <w:t xml:space="preserve">student assessments? </w:t>
      </w:r>
    </w:p>
    <w:p w14:paraId="37763728" w14:textId="77777777" w:rsidR="008D0CAD" w:rsidRPr="00C63262" w:rsidRDefault="008D0CAD" w:rsidP="00DD08E3">
      <w:pPr>
        <w:numPr>
          <w:ilvl w:val="1"/>
          <w:numId w:val="85"/>
        </w:numPr>
        <w:spacing w:before="100" w:beforeAutospacing="1" w:after="100" w:afterAutospacing="1" w:line="360" w:lineRule="auto"/>
        <w:ind w:left="810" w:hanging="450"/>
        <w:contextualSpacing/>
        <w:rPr>
          <w:rFonts w:asciiTheme="majorHAnsi" w:hAnsiTheme="majorHAnsi" w:cstheme="majorHAnsi"/>
          <w:snapToGrid w:val="0"/>
          <w:sz w:val="20"/>
          <w:szCs w:val="20"/>
          <w:lang w:val="en-US"/>
        </w:rPr>
      </w:pPr>
      <w:r w:rsidRPr="00C63262">
        <w:rPr>
          <w:rFonts w:asciiTheme="majorHAnsi" w:hAnsiTheme="majorHAnsi" w:cstheme="majorHAnsi"/>
          <w:snapToGrid w:val="0"/>
          <w:color w:val="000000"/>
          <w:sz w:val="20"/>
          <w:szCs w:val="20"/>
          <w:lang w:val="en-US"/>
        </w:rPr>
        <w:t xml:space="preserve">How are periodical tests developed in your school? By individual teachers? By department? </w:t>
      </w:r>
    </w:p>
    <w:p w14:paraId="4D2EDA57" w14:textId="06FCCC9A" w:rsidR="008D0CAD" w:rsidRPr="00C63262" w:rsidRDefault="008D0CAD" w:rsidP="00DD08E3">
      <w:pPr>
        <w:numPr>
          <w:ilvl w:val="1"/>
          <w:numId w:val="85"/>
        </w:numPr>
        <w:spacing w:before="100" w:beforeAutospacing="1" w:after="100" w:afterAutospacing="1" w:line="360" w:lineRule="auto"/>
        <w:ind w:left="810" w:hanging="450"/>
        <w:contextualSpacing/>
        <w:rPr>
          <w:rFonts w:asciiTheme="majorHAnsi" w:hAnsiTheme="majorHAnsi" w:cstheme="majorHAnsi"/>
          <w:snapToGrid w:val="0"/>
          <w:sz w:val="20"/>
          <w:szCs w:val="20"/>
          <w:lang w:val="en-US"/>
        </w:rPr>
      </w:pPr>
      <w:r w:rsidRPr="00C63262">
        <w:rPr>
          <w:rFonts w:asciiTheme="majorHAnsi" w:hAnsiTheme="majorHAnsi" w:cstheme="majorHAnsi"/>
          <w:snapToGrid w:val="0"/>
          <w:color w:val="000000" w:themeColor="text1"/>
          <w:sz w:val="20"/>
          <w:szCs w:val="20"/>
          <w:lang w:val="en-US"/>
        </w:rPr>
        <w:t>Are there achievement tests in your division?</w:t>
      </w:r>
      <w:r w:rsidR="00D434EB">
        <w:rPr>
          <w:rFonts w:asciiTheme="majorHAnsi" w:hAnsiTheme="majorHAnsi" w:cstheme="majorHAnsi"/>
          <w:snapToGrid w:val="0"/>
          <w:sz w:val="20"/>
          <w:szCs w:val="20"/>
          <w:lang w:val="en-US"/>
        </w:rPr>
        <w:t xml:space="preserve"> </w:t>
      </w:r>
      <w:r w:rsidRPr="00C63262">
        <w:rPr>
          <w:rFonts w:asciiTheme="majorHAnsi" w:hAnsiTheme="majorHAnsi" w:cstheme="majorHAnsi"/>
          <w:snapToGrid w:val="0"/>
          <w:sz w:val="20"/>
          <w:szCs w:val="20"/>
          <w:lang w:val="en-US"/>
        </w:rPr>
        <w:t>_______ Region________?</w:t>
      </w:r>
      <w:r w:rsidR="00D434EB">
        <w:rPr>
          <w:rFonts w:asciiTheme="majorHAnsi" w:hAnsiTheme="majorHAnsi" w:cstheme="majorHAnsi"/>
          <w:snapToGrid w:val="0"/>
          <w:sz w:val="20"/>
          <w:szCs w:val="20"/>
          <w:lang w:val="en-US"/>
        </w:rPr>
        <w:t xml:space="preserve"> </w:t>
      </w:r>
    </w:p>
    <w:p w14:paraId="197B0929" w14:textId="2B41DC14" w:rsidR="008D0CAD" w:rsidRPr="00C63262" w:rsidRDefault="008D0CAD" w:rsidP="00DD08E3">
      <w:pPr>
        <w:numPr>
          <w:ilvl w:val="1"/>
          <w:numId w:val="85"/>
        </w:numPr>
        <w:spacing w:before="100" w:beforeAutospacing="1" w:after="100" w:afterAutospacing="1" w:line="360" w:lineRule="auto"/>
        <w:ind w:left="810" w:hanging="450"/>
        <w:contextualSpacing/>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If yes, who develops the questions for these tests?</w:t>
      </w:r>
      <w:r w:rsidR="00D434EB">
        <w:rPr>
          <w:rFonts w:asciiTheme="majorHAnsi" w:hAnsiTheme="majorHAnsi" w:cstheme="majorHAnsi"/>
          <w:snapToGrid w:val="0"/>
          <w:sz w:val="20"/>
          <w:szCs w:val="20"/>
          <w:lang w:val="en-US"/>
        </w:rPr>
        <w:t xml:space="preserve"> </w:t>
      </w:r>
      <w:r w:rsidRPr="00C63262">
        <w:rPr>
          <w:rFonts w:asciiTheme="majorHAnsi" w:hAnsiTheme="majorHAnsi" w:cstheme="majorHAnsi"/>
          <w:snapToGrid w:val="0"/>
          <w:sz w:val="20"/>
          <w:szCs w:val="20"/>
          <w:lang w:val="en-US"/>
        </w:rPr>
        <w:t>How are they administered?</w:t>
      </w:r>
    </w:p>
    <w:p w14:paraId="201B1D4C" w14:textId="18A4C495" w:rsidR="008D0CAD" w:rsidRPr="00C63262" w:rsidRDefault="008D0CAD" w:rsidP="00DD08E3">
      <w:pPr>
        <w:numPr>
          <w:ilvl w:val="1"/>
          <w:numId w:val="85"/>
        </w:numPr>
        <w:spacing w:before="100" w:beforeAutospacing="1" w:after="100" w:afterAutospacing="1" w:line="360" w:lineRule="auto"/>
        <w:ind w:left="810" w:hanging="450"/>
        <w:contextualSpacing/>
        <w:rPr>
          <w:rFonts w:asciiTheme="majorHAnsi" w:hAnsiTheme="majorHAnsi" w:cstheme="majorHAnsi"/>
          <w:snapToGrid w:val="0"/>
          <w:sz w:val="20"/>
          <w:szCs w:val="20"/>
          <w:lang w:val="en-US"/>
        </w:rPr>
      </w:pPr>
      <w:r w:rsidRPr="00C63262">
        <w:rPr>
          <w:rFonts w:asciiTheme="majorHAnsi" w:hAnsiTheme="majorHAnsi" w:cstheme="majorHAnsi"/>
          <w:snapToGrid w:val="0"/>
          <w:color w:val="000000" w:themeColor="text1"/>
          <w:sz w:val="20"/>
          <w:szCs w:val="20"/>
          <w:lang w:val="en-US"/>
        </w:rPr>
        <w:t>Do you use formative assessment in your teaching?</w:t>
      </w:r>
      <w:r w:rsidR="00D434EB">
        <w:rPr>
          <w:rFonts w:asciiTheme="majorHAnsi" w:hAnsiTheme="majorHAnsi" w:cstheme="majorHAnsi"/>
          <w:snapToGrid w:val="0"/>
          <w:sz w:val="20"/>
          <w:szCs w:val="20"/>
          <w:lang w:val="en-US"/>
        </w:rPr>
        <w:t xml:space="preserve"> </w:t>
      </w:r>
      <w:r w:rsidRPr="00C63262">
        <w:rPr>
          <w:rFonts w:asciiTheme="majorHAnsi" w:hAnsiTheme="majorHAnsi" w:cstheme="majorHAnsi"/>
          <w:snapToGrid w:val="0"/>
          <w:sz w:val="20"/>
          <w:szCs w:val="20"/>
          <w:lang w:val="en-US"/>
        </w:rPr>
        <w:t>How often?</w:t>
      </w:r>
    </w:p>
    <w:p w14:paraId="4B3FB750" w14:textId="04164F64" w:rsidR="008D0CAD" w:rsidRPr="00C63262" w:rsidRDefault="008D0CAD" w:rsidP="00DD08E3">
      <w:pPr>
        <w:numPr>
          <w:ilvl w:val="1"/>
          <w:numId w:val="85"/>
        </w:numPr>
        <w:spacing w:before="100" w:beforeAutospacing="1" w:after="100" w:afterAutospacing="1" w:line="360" w:lineRule="auto"/>
        <w:ind w:left="810" w:hanging="450"/>
        <w:rPr>
          <w:rFonts w:asciiTheme="majorHAnsi" w:hAnsiTheme="majorHAnsi" w:cstheme="majorHAnsi"/>
          <w:snapToGrid w:val="0"/>
          <w:sz w:val="20"/>
          <w:szCs w:val="20"/>
          <w:lang w:val="en-US"/>
        </w:rPr>
      </w:pPr>
      <w:r w:rsidRPr="00C63262">
        <w:rPr>
          <w:rFonts w:asciiTheme="majorHAnsi" w:hAnsiTheme="majorHAnsi" w:cstheme="majorHAnsi"/>
          <w:snapToGrid w:val="0"/>
          <w:color w:val="000000" w:themeColor="text1"/>
          <w:sz w:val="20"/>
          <w:szCs w:val="20"/>
          <w:lang w:val="en-US"/>
        </w:rPr>
        <w:t xml:space="preserve">Is the curriculum in your subject area different today </w:t>
      </w:r>
      <w:bookmarkStart w:id="291" w:name="_Hlk4230861"/>
      <w:r w:rsidRPr="00C63262">
        <w:rPr>
          <w:rFonts w:asciiTheme="majorHAnsi" w:hAnsiTheme="majorHAnsi" w:cstheme="majorHAnsi"/>
          <w:snapToGrid w:val="0"/>
          <w:color w:val="000000" w:themeColor="text1"/>
          <w:sz w:val="20"/>
          <w:szCs w:val="20"/>
          <w:lang w:val="en-US"/>
        </w:rPr>
        <w:t>from what it was five years ago before the start of the BEST Program?</w:t>
      </w:r>
      <w:r w:rsidR="00D434EB">
        <w:rPr>
          <w:rFonts w:asciiTheme="majorHAnsi" w:hAnsiTheme="majorHAnsi" w:cstheme="majorHAnsi"/>
          <w:snapToGrid w:val="0"/>
          <w:color w:val="000000"/>
          <w:sz w:val="20"/>
          <w:szCs w:val="20"/>
          <w:lang w:val="en-US"/>
        </w:rPr>
        <w:t xml:space="preserve"> </w:t>
      </w:r>
      <w:r w:rsidRPr="00C63262">
        <w:rPr>
          <w:rFonts w:asciiTheme="majorHAnsi" w:hAnsiTheme="majorHAnsi" w:cstheme="majorHAnsi"/>
          <w:snapToGrid w:val="0"/>
          <w:color w:val="000000"/>
          <w:sz w:val="20"/>
          <w:szCs w:val="20"/>
          <w:lang w:val="en-US"/>
        </w:rPr>
        <w:t>If yes, in what ways?</w:t>
      </w:r>
    </w:p>
    <w:bookmarkEnd w:id="291"/>
    <w:p w14:paraId="66685592" w14:textId="36694D2D" w:rsidR="008D0CAD" w:rsidRPr="00C63262" w:rsidRDefault="008D0CAD" w:rsidP="00DD08E3">
      <w:pPr>
        <w:numPr>
          <w:ilvl w:val="1"/>
          <w:numId w:val="85"/>
        </w:numPr>
        <w:spacing w:before="100" w:beforeAutospacing="1" w:after="100" w:afterAutospacing="1" w:line="360" w:lineRule="auto"/>
        <w:ind w:left="810" w:hanging="450"/>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How would you measure the successful implementation of the K to 12 curricula?</w:t>
      </w:r>
      <w:r w:rsidR="00D434EB">
        <w:rPr>
          <w:rFonts w:asciiTheme="majorHAnsi" w:hAnsiTheme="majorHAnsi" w:cstheme="majorHAnsi"/>
          <w:snapToGrid w:val="0"/>
          <w:sz w:val="20"/>
          <w:szCs w:val="20"/>
          <w:lang w:val="en-US"/>
        </w:rPr>
        <w:t xml:space="preserve"> </w:t>
      </w:r>
      <w:r w:rsidRPr="00C63262">
        <w:rPr>
          <w:rFonts w:asciiTheme="majorHAnsi" w:hAnsiTheme="majorHAnsi" w:cstheme="majorHAnsi"/>
          <w:snapToGrid w:val="0"/>
          <w:sz w:val="20"/>
          <w:szCs w:val="20"/>
          <w:lang w:val="en-US"/>
        </w:rPr>
        <w:t xml:space="preserve"> </w:t>
      </w:r>
    </w:p>
    <w:p w14:paraId="4BA7B641" w14:textId="00C28846" w:rsidR="008D0CAD" w:rsidRPr="00C63262" w:rsidRDefault="008D0CAD" w:rsidP="00EA6CB9">
      <w:pPr>
        <w:spacing w:before="100" w:beforeAutospacing="1" w:after="100" w:afterAutospacing="1" w:line="360" w:lineRule="auto"/>
        <w:rPr>
          <w:rFonts w:asciiTheme="majorHAnsi" w:hAnsiTheme="majorHAnsi" w:cstheme="majorHAnsi"/>
          <w:sz w:val="20"/>
          <w:szCs w:val="20"/>
          <w:lang w:val="en-US"/>
        </w:rPr>
      </w:pPr>
      <w:r w:rsidRPr="00EC48C1">
        <w:rPr>
          <w:rFonts w:asciiTheme="majorHAnsi" w:hAnsiTheme="majorHAnsi" w:cstheme="majorHAnsi"/>
          <w:b/>
          <w:sz w:val="20"/>
          <w:szCs w:val="20"/>
          <w:lang w:val="en-US"/>
        </w:rPr>
        <w:t>School-Based Management</w:t>
      </w:r>
      <w:r w:rsidR="00D434EB">
        <w:rPr>
          <w:rFonts w:asciiTheme="majorHAnsi" w:hAnsiTheme="majorHAnsi" w:cstheme="majorHAnsi"/>
          <w:b/>
          <w:sz w:val="20"/>
          <w:szCs w:val="20"/>
          <w:lang w:val="en-US"/>
        </w:rPr>
        <w:t xml:space="preserve"> </w:t>
      </w:r>
    </w:p>
    <w:p w14:paraId="7C07AAE2" w14:textId="77777777" w:rsidR="008D0CAD" w:rsidRPr="00C63262" w:rsidRDefault="008D0CAD" w:rsidP="00DD08E3">
      <w:pPr>
        <w:numPr>
          <w:ilvl w:val="0"/>
          <w:numId w:val="85"/>
        </w:numPr>
        <w:spacing w:before="100" w:beforeAutospacing="1" w:after="100" w:afterAutospacing="1" w:line="360" w:lineRule="auto"/>
        <w:contextualSpacing/>
        <w:rPr>
          <w:rFonts w:asciiTheme="majorHAnsi" w:hAnsiTheme="majorHAnsi" w:cstheme="majorHAnsi"/>
          <w:snapToGrid w:val="0"/>
          <w:sz w:val="20"/>
          <w:szCs w:val="20"/>
          <w:lang w:val="en-US"/>
        </w:rPr>
      </w:pPr>
      <w:r w:rsidRPr="00C63262">
        <w:rPr>
          <w:rFonts w:asciiTheme="majorHAnsi" w:hAnsiTheme="majorHAnsi" w:cstheme="majorHAnsi"/>
          <w:snapToGrid w:val="0"/>
          <w:color w:val="000000"/>
          <w:sz w:val="20"/>
          <w:szCs w:val="20"/>
          <w:lang w:val="en-US"/>
        </w:rPr>
        <w:t>Can you please describe your understanding of the</w:t>
      </w:r>
      <w:r w:rsidRPr="00C63262">
        <w:rPr>
          <w:rFonts w:asciiTheme="majorHAnsi" w:hAnsiTheme="majorHAnsi" w:cstheme="majorHAnsi"/>
          <w:snapToGrid w:val="0"/>
          <w:sz w:val="20"/>
          <w:szCs w:val="20"/>
          <w:lang w:val="en-US"/>
        </w:rPr>
        <w:t xml:space="preserve"> reforms in the </w:t>
      </w:r>
      <w:r w:rsidRPr="00C63262">
        <w:rPr>
          <w:rFonts w:asciiTheme="majorHAnsi" w:hAnsiTheme="majorHAnsi" w:cstheme="majorHAnsi"/>
          <w:bCs/>
          <w:snapToGrid w:val="0"/>
          <w:sz w:val="20"/>
          <w:szCs w:val="20"/>
          <w:lang w:val="en-US"/>
        </w:rPr>
        <w:t>School-Based Management (SBM)</w:t>
      </w:r>
      <w:r w:rsidRPr="00C63262">
        <w:rPr>
          <w:rFonts w:asciiTheme="majorHAnsi" w:hAnsiTheme="majorHAnsi" w:cstheme="majorHAnsi"/>
          <w:snapToGrid w:val="0"/>
          <w:color w:val="000000" w:themeColor="text1"/>
          <w:sz w:val="20"/>
          <w:szCs w:val="20"/>
          <w:lang w:val="en-US"/>
        </w:rPr>
        <w:t>?</w:t>
      </w:r>
    </w:p>
    <w:p w14:paraId="4D33A70C" w14:textId="77777777" w:rsidR="008D0CAD" w:rsidRPr="00C63262" w:rsidRDefault="008D0CAD" w:rsidP="00DD08E3">
      <w:pPr>
        <w:numPr>
          <w:ilvl w:val="1"/>
          <w:numId w:val="85"/>
        </w:numPr>
        <w:spacing w:before="100" w:beforeAutospacing="1" w:after="100" w:afterAutospacing="1" w:line="360" w:lineRule="auto"/>
        <w:ind w:left="630" w:hanging="270"/>
        <w:contextualSpacing/>
        <w:rPr>
          <w:rFonts w:asciiTheme="majorHAnsi" w:hAnsiTheme="majorHAnsi" w:cstheme="majorHAnsi"/>
          <w:i/>
          <w:snapToGrid w:val="0"/>
          <w:sz w:val="20"/>
          <w:szCs w:val="20"/>
          <w:lang w:val="en-US"/>
        </w:rPr>
      </w:pPr>
      <w:r w:rsidRPr="00C63262">
        <w:rPr>
          <w:rFonts w:asciiTheme="majorHAnsi" w:hAnsiTheme="majorHAnsi" w:cstheme="majorHAnsi"/>
          <w:bCs/>
          <w:snapToGrid w:val="0"/>
          <w:sz w:val="20"/>
          <w:szCs w:val="20"/>
          <w:lang w:val="en-US"/>
        </w:rPr>
        <w:t>How does the current School-Based Management differ from how it was implemented five years? What were the critical differences?</w:t>
      </w:r>
    </w:p>
    <w:p w14:paraId="519C5671" w14:textId="77777777" w:rsidR="008D0CAD" w:rsidRPr="00C63262" w:rsidRDefault="008D0CAD" w:rsidP="00DD08E3">
      <w:pPr>
        <w:numPr>
          <w:ilvl w:val="0"/>
          <w:numId w:val="85"/>
        </w:numPr>
        <w:spacing w:before="100" w:beforeAutospacing="1" w:after="100" w:afterAutospacing="1" w:line="360" w:lineRule="auto"/>
        <w:contextualSpacing/>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 xml:space="preserve">How were you capacitated to implement the </w:t>
      </w:r>
      <w:r w:rsidRPr="00C63262">
        <w:rPr>
          <w:rFonts w:asciiTheme="majorHAnsi" w:hAnsiTheme="majorHAnsi" w:cstheme="majorHAnsi"/>
          <w:bCs/>
          <w:snapToGrid w:val="0"/>
          <w:sz w:val="20"/>
          <w:szCs w:val="20"/>
          <w:lang w:val="en-US"/>
        </w:rPr>
        <w:t>SBM Assessment Framework</w:t>
      </w:r>
      <w:r w:rsidRPr="00C63262">
        <w:rPr>
          <w:rFonts w:asciiTheme="majorHAnsi" w:hAnsiTheme="majorHAnsi" w:cstheme="majorHAnsi"/>
          <w:snapToGrid w:val="0"/>
          <w:color w:val="000000" w:themeColor="text1"/>
          <w:sz w:val="20"/>
          <w:szCs w:val="20"/>
          <w:lang w:val="en-US"/>
        </w:rPr>
        <w:t>?</w:t>
      </w:r>
    </w:p>
    <w:p w14:paraId="75AD1A25" w14:textId="77777777" w:rsidR="008D0CAD" w:rsidRPr="00C63262" w:rsidRDefault="008D0CAD" w:rsidP="00DD08E3">
      <w:pPr>
        <w:numPr>
          <w:ilvl w:val="2"/>
          <w:numId w:val="88"/>
        </w:numPr>
        <w:spacing w:before="100" w:beforeAutospacing="1" w:after="100" w:afterAutospacing="1" w:line="360" w:lineRule="auto"/>
        <w:ind w:left="720"/>
        <w:contextualSpacing/>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What were the mode of training (formal training, job training, peer study, self-study etc.), length of capacity building, who provided the training, etc.?</w:t>
      </w:r>
    </w:p>
    <w:p w14:paraId="0CD0E944" w14:textId="77777777" w:rsidR="008D0CAD" w:rsidRPr="00C63262" w:rsidRDefault="008D0CAD" w:rsidP="00DD08E3">
      <w:pPr>
        <w:numPr>
          <w:ilvl w:val="2"/>
          <w:numId w:val="88"/>
        </w:numPr>
        <w:spacing w:before="100" w:beforeAutospacing="1" w:after="100" w:afterAutospacing="1" w:line="360" w:lineRule="auto"/>
        <w:ind w:left="720"/>
        <w:contextualSpacing/>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How effective were the capacity building interventions provided in helping you successfully perform your role and function in “rolling-out” or “cascading” the SBM reforms in your school?</w:t>
      </w:r>
      <w:r w:rsidRPr="00C63262">
        <w:rPr>
          <w:rFonts w:asciiTheme="majorHAnsi" w:hAnsiTheme="majorHAnsi" w:cstheme="majorHAnsi"/>
          <w:bCs/>
          <w:snapToGrid w:val="0"/>
          <w:color w:val="000000"/>
          <w:sz w:val="20"/>
          <w:szCs w:val="20"/>
          <w:lang w:val="en-US"/>
        </w:rPr>
        <w:t xml:space="preserve"> </w:t>
      </w:r>
    </w:p>
    <w:p w14:paraId="459197DD" w14:textId="77777777" w:rsidR="008D0CAD" w:rsidRPr="00C63262" w:rsidRDefault="008D0CAD" w:rsidP="00DD08E3">
      <w:pPr>
        <w:numPr>
          <w:ilvl w:val="0"/>
          <w:numId w:val="85"/>
        </w:numPr>
        <w:spacing w:before="100" w:beforeAutospacing="1" w:after="100" w:afterAutospacing="1" w:line="360" w:lineRule="auto"/>
        <w:rPr>
          <w:rFonts w:asciiTheme="majorHAnsi" w:hAnsiTheme="majorHAnsi" w:cstheme="majorHAnsi"/>
          <w:snapToGrid w:val="0"/>
          <w:sz w:val="20"/>
          <w:szCs w:val="20"/>
          <w:lang w:val="en-US"/>
        </w:rPr>
      </w:pPr>
      <w:r w:rsidRPr="00C63262">
        <w:rPr>
          <w:rFonts w:asciiTheme="majorHAnsi" w:hAnsiTheme="majorHAnsi" w:cstheme="majorHAnsi"/>
          <w:bCs/>
          <w:snapToGrid w:val="0"/>
          <w:sz w:val="20"/>
          <w:szCs w:val="20"/>
          <w:lang w:val="en-US"/>
        </w:rPr>
        <w:t>How significant is the organisation of the School Governance Councils (SG) and the formulation of School Improvement Plans (SIP) in enhancing the responsiveness and inclusiveness of basic education in your Region/Division?</w:t>
      </w:r>
    </w:p>
    <w:p w14:paraId="7D7BE208" w14:textId="41F29F80" w:rsidR="008D0CAD" w:rsidRPr="00C63262" w:rsidRDefault="008D0CAD" w:rsidP="00DD08E3">
      <w:pPr>
        <w:numPr>
          <w:ilvl w:val="0"/>
          <w:numId w:val="85"/>
        </w:numPr>
        <w:spacing w:before="100" w:beforeAutospacing="1" w:after="100" w:afterAutospacing="1" w:line="360" w:lineRule="auto"/>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 xml:space="preserve">To what extent did the reforms </w:t>
      </w:r>
      <w:r w:rsidRPr="00C63262">
        <w:rPr>
          <w:rFonts w:asciiTheme="majorHAnsi" w:hAnsiTheme="majorHAnsi" w:cstheme="majorHAnsi"/>
          <w:bCs/>
          <w:snapToGrid w:val="0"/>
          <w:sz w:val="20"/>
          <w:szCs w:val="20"/>
          <w:lang w:val="en-US"/>
        </w:rPr>
        <w:t>in School-Based Management enhance the delivery of Inclusive Education in your Region/Division</w:t>
      </w:r>
      <w:r w:rsidRPr="00C63262">
        <w:rPr>
          <w:rFonts w:asciiTheme="majorHAnsi" w:hAnsiTheme="majorHAnsi" w:cstheme="majorHAnsi"/>
          <w:snapToGrid w:val="0"/>
          <w:sz w:val="20"/>
          <w:szCs w:val="20"/>
          <w:lang w:val="en-US"/>
        </w:rPr>
        <w:t>?</w:t>
      </w:r>
      <w:r w:rsidR="00D434EB">
        <w:rPr>
          <w:rFonts w:asciiTheme="majorHAnsi" w:hAnsiTheme="majorHAnsi" w:cstheme="majorHAnsi"/>
          <w:snapToGrid w:val="0"/>
          <w:sz w:val="20"/>
          <w:szCs w:val="20"/>
          <w:lang w:val="en-US"/>
        </w:rPr>
        <w:t xml:space="preserve"> </w:t>
      </w:r>
      <w:r w:rsidRPr="00C63262">
        <w:rPr>
          <w:rFonts w:asciiTheme="majorHAnsi" w:hAnsiTheme="majorHAnsi" w:cstheme="majorHAnsi"/>
          <w:snapToGrid w:val="0"/>
          <w:sz w:val="20"/>
          <w:szCs w:val="20"/>
          <w:lang w:val="en-US"/>
        </w:rPr>
        <w:t>Please cite specific examples.</w:t>
      </w:r>
    </w:p>
    <w:p w14:paraId="149B4A90" w14:textId="77777777" w:rsidR="008D0CAD" w:rsidRPr="00C63262" w:rsidRDefault="008D0CAD" w:rsidP="00DD08E3">
      <w:pPr>
        <w:numPr>
          <w:ilvl w:val="0"/>
          <w:numId w:val="85"/>
        </w:numPr>
        <w:spacing w:before="100" w:beforeAutospacing="1" w:after="100" w:afterAutospacing="1" w:line="360" w:lineRule="auto"/>
        <w:ind w:left="805" w:hanging="448"/>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 xml:space="preserve">To what extent would the reforms </w:t>
      </w:r>
      <w:r w:rsidRPr="00C63262">
        <w:rPr>
          <w:rFonts w:asciiTheme="majorHAnsi" w:hAnsiTheme="majorHAnsi" w:cstheme="majorHAnsi"/>
          <w:bCs/>
          <w:snapToGrid w:val="0"/>
          <w:sz w:val="20"/>
          <w:szCs w:val="20"/>
          <w:lang w:val="en-US"/>
        </w:rPr>
        <w:t>in School-Based Management, in the last five years, been undertaken and completed without the BEST Program assistance</w:t>
      </w:r>
      <w:r w:rsidRPr="00C63262">
        <w:rPr>
          <w:rFonts w:asciiTheme="majorHAnsi" w:hAnsiTheme="majorHAnsi" w:cstheme="majorHAnsi"/>
          <w:snapToGrid w:val="0"/>
          <w:sz w:val="20"/>
          <w:szCs w:val="20"/>
          <w:lang w:val="en-US"/>
        </w:rPr>
        <w:t>? How significant was contribution of the BEST Program to these reforms? Please cite specific examples.</w:t>
      </w:r>
    </w:p>
    <w:p w14:paraId="24884151" w14:textId="77777777" w:rsidR="008D0CAD" w:rsidRPr="00C63262" w:rsidRDefault="008D0CAD" w:rsidP="00EA6CB9">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b/>
          <w:sz w:val="20"/>
          <w:szCs w:val="20"/>
          <w:lang w:val="en-US"/>
        </w:rPr>
        <w:t>Policy, and planning and monitoring and evaluation systems (PPMES)</w:t>
      </w:r>
    </w:p>
    <w:p w14:paraId="1A3E9373" w14:textId="77777777" w:rsidR="008D0CAD" w:rsidRPr="00C63262" w:rsidRDefault="008D0CAD" w:rsidP="00DD08E3">
      <w:pPr>
        <w:numPr>
          <w:ilvl w:val="0"/>
          <w:numId w:val="85"/>
        </w:numPr>
        <w:spacing w:before="100" w:beforeAutospacing="1" w:after="100" w:afterAutospacing="1" w:line="360" w:lineRule="auto"/>
        <w:contextualSpacing/>
        <w:rPr>
          <w:rFonts w:asciiTheme="majorHAnsi" w:hAnsiTheme="majorHAnsi" w:cstheme="majorHAnsi"/>
          <w:snapToGrid w:val="0"/>
          <w:sz w:val="20"/>
          <w:szCs w:val="20"/>
          <w:lang w:val="en-US"/>
        </w:rPr>
      </w:pPr>
      <w:r w:rsidRPr="00C63262">
        <w:rPr>
          <w:rFonts w:asciiTheme="majorHAnsi" w:hAnsiTheme="majorHAnsi" w:cstheme="majorHAnsi"/>
          <w:snapToGrid w:val="0"/>
          <w:color w:val="000000"/>
          <w:sz w:val="20"/>
          <w:szCs w:val="20"/>
          <w:lang w:val="en-US"/>
        </w:rPr>
        <w:t>Can you please describe your understanding of the reforms in the</w:t>
      </w:r>
      <w:r w:rsidRPr="00C63262">
        <w:rPr>
          <w:rFonts w:asciiTheme="majorHAnsi" w:hAnsiTheme="majorHAnsi" w:cstheme="majorHAnsi"/>
          <w:snapToGrid w:val="0"/>
          <w:sz w:val="20"/>
          <w:szCs w:val="20"/>
          <w:lang w:val="en-US"/>
        </w:rPr>
        <w:t xml:space="preserve"> Planning and Budgeting and its effect on your school operations?</w:t>
      </w:r>
    </w:p>
    <w:p w14:paraId="6DAB6024" w14:textId="77777777" w:rsidR="008D0CAD" w:rsidRPr="00C63262" w:rsidRDefault="008D0CAD" w:rsidP="00DD08E3">
      <w:pPr>
        <w:numPr>
          <w:ilvl w:val="0"/>
          <w:numId w:val="85"/>
        </w:numPr>
        <w:spacing w:before="100" w:beforeAutospacing="1" w:after="100" w:afterAutospacing="1" w:line="360" w:lineRule="auto"/>
        <w:contextualSpacing/>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 xml:space="preserve">How were you capacitated to implement the reforms in </w:t>
      </w:r>
      <w:r w:rsidRPr="00C63262">
        <w:rPr>
          <w:rFonts w:asciiTheme="majorHAnsi" w:hAnsiTheme="majorHAnsi" w:cstheme="majorHAnsi"/>
          <w:snapToGrid w:val="0"/>
          <w:color w:val="000000" w:themeColor="text1"/>
          <w:sz w:val="20"/>
          <w:szCs w:val="20"/>
          <w:lang w:val="en-US"/>
        </w:rPr>
        <w:t>PPMES?</w:t>
      </w:r>
    </w:p>
    <w:p w14:paraId="62943C36" w14:textId="77777777" w:rsidR="008D0CAD" w:rsidRPr="00C63262" w:rsidRDefault="008D0CAD" w:rsidP="00DD08E3">
      <w:pPr>
        <w:numPr>
          <w:ilvl w:val="1"/>
          <w:numId w:val="85"/>
        </w:numPr>
        <w:spacing w:before="100" w:beforeAutospacing="1" w:after="100" w:afterAutospacing="1" w:line="360" w:lineRule="auto"/>
        <w:ind w:left="720"/>
        <w:contextualSpacing/>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Was the capacity building you received adequate If not, in what ways can capacity building on the curriculum be improved? What areas would need additional capacity building on?</w:t>
      </w:r>
    </w:p>
    <w:p w14:paraId="6BD6DCA0" w14:textId="77777777" w:rsidR="008D0CAD" w:rsidRPr="00C63262" w:rsidRDefault="008D0CAD" w:rsidP="00DD08E3">
      <w:pPr>
        <w:numPr>
          <w:ilvl w:val="1"/>
          <w:numId w:val="85"/>
        </w:numPr>
        <w:spacing w:before="100" w:beforeAutospacing="1" w:after="100" w:afterAutospacing="1" w:line="360" w:lineRule="auto"/>
        <w:ind w:left="720"/>
        <w:contextualSpacing/>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What resources (curriculum guides, lesson plans, etc.) were helpful to you in implementing the K to 12 curricula?</w:t>
      </w:r>
    </w:p>
    <w:p w14:paraId="2CDACD61" w14:textId="77777777" w:rsidR="008D0CAD" w:rsidRPr="00C63262" w:rsidRDefault="008D0CAD" w:rsidP="00DD08E3">
      <w:pPr>
        <w:numPr>
          <w:ilvl w:val="0"/>
          <w:numId w:val="85"/>
        </w:numPr>
        <w:spacing w:before="100" w:beforeAutospacing="1" w:after="100" w:afterAutospacing="1" w:line="360" w:lineRule="auto"/>
        <w:contextualSpacing/>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 xml:space="preserve">What were the most significant reforms in </w:t>
      </w:r>
      <w:r w:rsidRPr="00C63262">
        <w:rPr>
          <w:rFonts w:asciiTheme="majorHAnsi" w:hAnsiTheme="majorHAnsi" w:cstheme="majorHAnsi"/>
          <w:bCs/>
          <w:snapToGrid w:val="0"/>
          <w:sz w:val="20"/>
          <w:szCs w:val="20"/>
          <w:lang w:val="en-US"/>
        </w:rPr>
        <w:t xml:space="preserve">Monitoring and Evaluation </w:t>
      </w:r>
      <w:r w:rsidRPr="00C63262">
        <w:rPr>
          <w:rFonts w:asciiTheme="majorHAnsi" w:hAnsiTheme="majorHAnsi" w:cstheme="majorHAnsi"/>
          <w:snapToGrid w:val="0"/>
          <w:sz w:val="20"/>
          <w:szCs w:val="20"/>
          <w:lang w:val="en-US"/>
        </w:rPr>
        <w:t xml:space="preserve">in the last five years that had the most impact to the operations in your school? </w:t>
      </w:r>
    </w:p>
    <w:p w14:paraId="6105C167" w14:textId="77777777" w:rsidR="008D0CAD" w:rsidRPr="00C63262" w:rsidRDefault="008D0CAD" w:rsidP="00DD08E3">
      <w:pPr>
        <w:numPr>
          <w:ilvl w:val="1"/>
          <w:numId w:val="85"/>
        </w:numPr>
        <w:spacing w:before="100" w:beforeAutospacing="1" w:after="100" w:afterAutospacing="1" w:line="360" w:lineRule="auto"/>
        <w:ind w:left="720"/>
        <w:contextualSpacing/>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How significant is the formulation of the Basic Education Monitoring and Evaluation Framework (BEMEF) significant to the enhancement of your operations?</w:t>
      </w:r>
    </w:p>
    <w:p w14:paraId="34D96AFA" w14:textId="13DDC294" w:rsidR="008D0CAD" w:rsidRPr="00C63262" w:rsidRDefault="008D0CAD" w:rsidP="00DD08E3">
      <w:pPr>
        <w:numPr>
          <w:ilvl w:val="1"/>
          <w:numId w:val="85"/>
        </w:numPr>
        <w:spacing w:before="100" w:beforeAutospacing="1" w:after="100" w:afterAutospacing="1" w:line="360" w:lineRule="auto"/>
        <w:ind w:left="720"/>
        <w:contextualSpacing/>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Was the capacity building you received adequate If not, in what ways can capacity building on the curriculum be improved? What areas would need additional capacity building on?</w:t>
      </w:r>
      <w:r w:rsidR="00D434EB">
        <w:rPr>
          <w:rFonts w:asciiTheme="majorHAnsi" w:hAnsiTheme="majorHAnsi" w:cstheme="majorHAnsi"/>
          <w:snapToGrid w:val="0"/>
          <w:sz w:val="20"/>
          <w:szCs w:val="20"/>
          <w:lang w:val="en-US"/>
        </w:rPr>
        <w:t xml:space="preserve"> </w:t>
      </w:r>
      <w:r w:rsidRPr="00C63262">
        <w:rPr>
          <w:rFonts w:asciiTheme="majorHAnsi" w:hAnsiTheme="majorHAnsi" w:cstheme="majorHAnsi"/>
          <w:snapToGrid w:val="0"/>
          <w:sz w:val="20"/>
          <w:szCs w:val="20"/>
          <w:lang w:val="en-US"/>
        </w:rPr>
        <w:t>What resources (curriculum guides, lesson plans, etc.) were helpful to you in implementing the Monitoring and Evaluation and Adjustment (MEA)?</w:t>
      </w:r>
    </w:p>
    <w:p w14:paraId="13E9DB81" w14:textId="77777777" w:rsidR="008D0CAD" w:rsidRPr="00C63262" w:rsidRDefault="008D0CAD" w:rsidP="00DD08E3">
      <w:pPr>
        <w:numPr>
          <w:ilvl w:val="0"/>
          <w:numId w:val="85"/>
        </w:numPr>
        <w:spacing w:before="100" w:beforeAutospacing="1" w:after="100" w:afterAutospacing="1" w:line="360" w:lineRule="auto"/>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 xml:space="preserve">To what extent would the reforms </w:t>
      </w:r>
      <w:r w:rsidRPr="00C63262">
        <w:rPr>
          <w:rFonts w:asciiTheme="majorHAnsi" w:hAnsiTheme="majorHAnsi" w:cstheme="majorHAnsi"/>
          <w:bCs/>
          <w:snapToGrid w:val="0"/>
          <w:sz w:val="20"/>
          <w:szCs w:val="20"/>
          <w:lang w:val="en-US"/>
        </w:rPr>
        <w:t>in Policy and Planning and Monitoring and Evaluation, in the last five years, been undertaken and completed without the BEST Program assistance</w:t>
      </w:r>
      <w:r w:rsidRPr="00C63262">
        <w:rPr>
          <w:rFonts w:asciiTheme="majorHAnsi" w:hAnsiTheme="majorHAnsi" w:cstheme="majorHAnsi"/>
          <w:snapToGrid w:val="0"/>
          <w:sz w:val="20"/>
          <w:szCs w:val="20"/>
          <w:lang w:val="en-US"/>
        </w:rPr>
        <w:t>? How significant was contribution of the BEST Program to these reforms? Please cite specific examples.</w:t>
      </w:r>
    </w:p>
    <w:p w14:paraId="0D969FCF" w14:textId="77777777" w:rsidR="008D0CAD" w:rsidRPr="00C63262" w:rsidRDefault="008D0CAD" w:rsidP="00EA6CB9">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b/>
          <w:sz w:val="20"/>
          <w:szCs w:val="20"/>
          <w:lang w:val="en-US"/>
        </w:rPr>
        <w:t>Unified information system and sub-systems (UISS)</w:t>
      </w:r>
    </w:p>
    <w:p w14:paraId="667D87A9" w14:textId="3D7E54DF" w:rsidR="008D0CAD" w:rsidRPr="00C63262" w:rsidRDefault="008D0CAD" w:rsidP="00DD08E3">
      <w:pPr>
        <w:numPr>
          <w:ilvl w:val="0"/>
          <w:numId w:val="85"/>
        </w:numPr>
        <w:spacing w:before="100" w:beforeAutospacing="1" w:after="100" w:afterAutospacing="1" w:line="360" w:lineRule="auto"/>
        <w:contextualSpacing/>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How accessible and useful are the different information systems in terms of enhancing the overall operations of your School?</w:t>
      </w:r>
      <w:r w:rsidR="00D434EB">
        <w:rPr>
          <w:rFonts w:asciiTheme="majorHAnsi" w:hAnsiTheme="majorHAnsi" w:cstheme="majorHAnsi"/>
          <w:snapToGrid w:val="0"/>
          <w:sz w:val="20"/>
          <w:szCs w:val="20"/>
          <w:lang w:val="en-US"/>
        </w:rPr>
        <w:t xml:space="preserve"> </w:t>
      </w:r>
    </w:p>
    <w:p w14:paraId="78CA58D3" w14:textId="77777777" w:rsidR="008D0CAD" w:rsidRPr="00C63262" w:rsidRDefault="008D0CAD" w:rsidP="00DD08E3">
      <w:pPr>
        <w:numPr>
          <w:ilvl w:val="1"/>
          <w:numId w:val="85"/>
        </w:numPr>
        <w:spacing w:before="100" w:beforeAutospacing="1" w:after="100" w:afterAutospacing="1" w:line="360" w:lineRule="auto"/>
        <w:ind w:left="720"/>
        <w:contextualSpacing/>
        <w:rPr>
          <w:rFonts w:asciiTheme="majorHAnsi" w:hAnsiTheme="majorHAnsi" w:cstheme="majorHAnsi"/>
          <w:snapToGrid w:val="0"/>
          <w:sz w:val="20"/>
          <w:szCs w:val="20"/>
          <w:lang w:val="en-US"/>
        </w:rPr>
      </w:pPr>
      <w:r w:rsidRPr="00C63262">
        <w:rPr>
          <w:rFonts w:asciiTheme="majorHAnsi" w:hAnsiTheme="majorHAnsi" w:cstheme="majorHAnsi"/>
          <w:snapToGrid w:val="0"/>
          <w:color w:val="000000" w:themeColor="text1"/>
          <w:sz w:val="20"/>
          <w:szCs w:val="20"/>
          <w:lang w:val="en-US"/>
        </w:rPr>
        <w:t xml:space="preserve">Do you use the </w:t>
      </w:r>
      <w:r w:rsidRPr="00C63262">
        <w:rPr>
          <w:rFonts w:asciiTheme="majorHAnsi" w:hAnsiTheme="majorHAnsi" w:cstheme="majorHAnsi"/>
          <w:snapToGrid w:val="0"/>
          <w:sz w:val="20"/>
          <w:szCs w:val="20"/>
          <w:lang w:val="en-US"/>
        </w:rPr>
        <w:t>Project Management Information System (PMIS)</w:t>
      </w:r>
      <w:r w:rsidRPr="00C63262">
        <w:rPr>
          <w:rFonts w:asciiTheme="majorHAnsi" w:hAnsiTheme="majorHAnsi" w:cstheme="majorHAnsi"/>
          <w:snapToGrid w:val="0"/>
          <w:color w:val="000000" w:themeColor="text1"/>
          <w:sz w:val="20"/>
          <w:szCs w:val="20"/>
          <w:lang w:val="en-US"/>
        </w:rPr>
        <w:t>? Is it easy to access? Is it useful to you as a Principal?</w:t>
      </w:r>
    </w:p>
    <w:p w14:paraId="05BE8F37" w14:textId="77777777" w:rsidR="008D0CAD" w:rsidRPr="00C63262" w:rsidRDefault="008D0CAD" w:rsidP="00DD08E3">
      <w:pPr>
        <w:numPr>
          <w:ilvl w:val="1"/>
          <w:numId w:val="85"/>
        </w:numPr>
        <w:spacing w:before="100" w:beforeAutospacing="1" w:after="100" w:afterAutospacing="1" w:line="360" w:lineRule="auto"/>
        <w:ind w:left="720"/>
        <w:contextualSpacing/>
        <w:rPr>
          <w:rFonts w:asciiTheme="majorHAnsi" w:hAnsiTheme="majorHAnsi" w:cstheme="majorHAnsi"/>
          <w:snapToGrid w:val="0"/>
          <w:sz w:val="20"/>
          <w:szCs w:val="20"/>
          <w:lang w:val="en-US"/>
        </w:rPr>
      </w:pPr>
      <w:r w:rsidRPr="00C63262">
        <w:rPr>
          <w:rFonts w:asciiTheme="majorHAnsi" w:hAnsiTheme="majorHAnsi" w:cstheme="majorHAnsi"/>
          <w:snapToGrid w:val="0"/>
          <w:color w:val="000000" w:themeColor="text1"/>
          <w:sz w:val="20"/>
          <w:szCs w:val="20"/>
          <w:lang w:val="en-US"/>
        </w:rPr>
        <w:t xml:space="preserve">Do you use the </w:t>
      </w:r>
      <w:r w:rsidRPr="00C63262">
        <w:rPr>
          <w:rFonts w:asciiTheme="majorHAnsi" w:hAnsiTheme="majorHAnsi" w:cstheme="majorHAnsi"/>
          <w:snapToGrid w:val="0"/>
          <w:sz w:val="20"/>
          <w:szCs w:val="20"/>
          <w:lang w:val="en-AU"/>
        </w:rPr>
        <w:t>Enhanced Basic Education Information System (EBEIS)</w:t>
      </w:r>
      <w:r w:rsidRPr="00C63262">
        <w:rPr>
          <w:rFonts w:asciiTheme="majorHAnsi" w:hAnsiTheme="majorHAnsi" w:cstheme="majorHAnsi"/>
          <w:snapToGrid w:val="0"/>
          <w:color w:val="000000" w:themeColor="text1"/>
          <w:sz w:val="20"/>
          <w:szCs w:val="20"/>
          <w:lang w:val="en-US"/>
        </w:rPr>
        <w:t>? Is it easy to access? Is it useful to you as a Principal?</w:t>
      </w:r>
    </w:p>
    <w:p w14:paraId="7A88EE7E" w14:textId="77777777" w:rsidR="008D0CAD" w:rsidRPr="00C63262" w:rsidRDefault="008D0CAD" w:rsidP="00DD08E3">
      <w:pPr>
        <w:numPr>
          <w:ilvl w:val="1"/>
          <w:numId w:val="85"/>
        </w:numPr>
        <w:spacing w:before="100" w:beforeAutospacing="1" w:after="100" w:afterAutospacing="1" w:line="360" w:lineRule="auto"/>
        <w:ind w:left="720"/>
        <w:contextualSpacing/>
        <w:rPr>
          <w:rFonts w:asciiTheme="majorHAnsi" w:hAnsiTheme="majorHAnsi" w:cstheme="majorHAnsi"/>
          <w:snapToGrid w:val="0"/>
          <w:sz w:val="20"/>
          <w:szCs w:val="20"/>
          <w:lang w:val="en-US"/>
        </w:rPr>
      </w:pPr>
      <w:r w:rsidRPr="00C63262">
        <w:rPr>
          <w:rFonts w:asciiTheme="majorHAnsi" w:hAnsiTheme="majorHAnsi" w:cstheme="majorHAnsi"/>
          <w:snapToGrid w:val="0"/>
          <w:color w:val="000000" w:themeColor="text1"/>
          <w:sz w:val="20"/>
          <w:szCs w:val="20"/>
          <w:lang w:val="en-US"/>
        </w:rPr>
        <w:t>Do you use the Learning Information System? Is it easy to access? Is it useful to you as a as a Principal?</w:t>
      </w:r>
    </w:p>
    <w:p w14:paraId="72325CD8" w14:textId="77777777" w:rsidR="008D0CAD" w:rsidRPr="00C63262" w:rsidRDefault="008D0CAD" w:rsidP="00DD08E3">
      <w:pPr>
        <w:numPr>
          <w:ilvl w:val="1"/>
          <w:numId w:val="85"/>
        </w:numPr>
        <w:spacing w:before="100" w:beforeAutospacing="1" w:after="100" w:afterAutospacing="1" w:line="360" w:lineRule="auto"/>
        <w:ind w:left="720"/>
        <w:rPr>
          <w:rFonts w:asciiTheme="majorHAnsi" w:hAnsiTheme="majorHAnsi" w:cstheme="majorHAnsi"/>
          <w:snapToGrid w:val="0"/>
          <w:sz w:val="20"/>
          <w:szCs w:val="20"/>
          <w:lang w:val="en-US"/>
        </w:rPr>
      </w:pPr>
      <w:r w:rsidRPr="00C63262">
        <w:rPr>
          <w:rFonts w:asciiTheme="majorHAnsi" w:hAnsiTheme="majorHAnsi" w:cstheme="majorHAnsi"/>
          <w:snapToGrid w:val="0"/>
          <w:color w:val="000000" w:themeColor="text1"/>
          <w:sz w:val="20"/>
          <w:szCs w:val="20"/>
          <w:lang w:val="en-US"/>
        </w:rPr>
        <w:t>Do you use the Learning Resource Portal? Is it easy to access? Is it useful to you as a Principal?</w:t>
      </w:r>
    </w:p>
    <w:p w14:paraId="1120BB17" w14:textId="77777777" w:rsidR="008D0CAD" w:rsidRPr="00C63262" w:rsidRDefault="008D0CAD" w:rsidP="00EA6CB9">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b/>
          <w:sz w:val="20"/>
          <w:szCs w:val="20"/>
          <w:lang w:val="en-US"/>
        </w:rPr>
        <w:t>Organisational development (OD)</w:t>
      </w:r>
    </w:p>
    <w:p w14:paraId="2FB61522" w14:textId="328AD630" w:rsidR="008D0CAD" w:rsidRPr="00C63262" w:rsidRDefault="008D0CAD" w:rsidP="00DD08E3">
      <w:pPr>
        <w:numPr>
          <w:ilvl w:val="0"/>
          <w:numId w:val="85"/>
        </w:numPr>
        <w:spacing w:before="100" w:beforeAutospacing="1" w:after="100" w:afterAutospacing="1" w:line="360" w:lineRule="auto"/>
        <w:contextualSpacing/>
        <w:rPr>
          <w:rFonts w:asciiTheme="majorHAnsi" w:hAnsiTheme="majorHAnsi" w:cstheme="majorHAnsi"/>
          <w:snapToGrid w:val="0"/>
          <w:sz w:val="20"/>
          <w:szCs w:val="20"/>
          <w:lang w:val="en-US"/>
        </w:rPr>
      </w:pPr>
      <w:r w:rsidRPr="00C63262">
        <w:rPr>
          <w:rFonts w:asciiTheme="majorHAnsi" w:hAnsiTheme="majorHAnsi" w:cstheme="majorHAnsi"/>
          <w:snapToGrid w:val="0"/>
          <w:color w:val="000000"/>
          <w:sz w:val="20"/>
          <w:szCs w:val="20"/>
          <w:lang w:val="en-US"/>
        </w:rPr>
        <w:t>Can you please describe the different reforms relative to Organisational Development in the last five years</w:t>
      </w:r>
      <w:r w:rsidRPr="00C63262">
        <w:rPr>
          <w:rFonts w:asciiTheme="majorHAnsi" w:hAnsiTheme="majorHAnsi" w:cstheme="majorHAnsi"/>
          <w:snapToGrid w:val="0"/>
          <w:sz w:val="20"/>
          <w:szCs w:val="20"/>
          <w:lang w:val="en-US"/>
        </w:rPr>
        <w:t>?</w:t>
      </w:r>
      <w:r w:rsidR="00D434EB">
        <w:rPr>
          <w:rFonts w:asciiTheme="majorHAnsi" w:hAnsiTheme="majorHAnsi" w:cstheme="majorHAnsi"/>
          <w:snapToGrid w:val="0"/>
          <w:sz w:val="20"/>
          <w:szCs w:val="20"/>
          <w:lang w:val="en-US"/>
        </w:rPr>
        <w:t xml:space="preserve"> </w:t>
      </w:r>
      <w:r w:rsidRPr="00C63262">
        <w:rPr>
          <w:rFonts w:asciiTheme="majorHAnsi" w:hAnsiTheme="majorHAnsi" w:cstheme="majorHAnsi"/>
          <w:snapToGrid w:val="0"/>
          <w:sz w:val="20"/>
          <w:szCs w:val="20"/>
          <w:lang w:val="en-US"/>
        </w:rPr>
        <w:t>How did it affect the operations of your school?</w:t>
      </w:r>
    </w:p>
    <w:p w14:paraId="77558088" w14:textId="77777777" w:rsidR="008D0CAD" w:rsidRPr="00C63262" w:rsidRDefault="008D0CAD" w:rsidP="00DD08E3">
      <w:pPr>
        <w:numPr>
          <w:ilvl w:val="0"/>
          <w:numId w:val="85"/>
        </w:numPr>
        <w:spacing w:before="100" w:beforeAutospacing="1" w:after="100" w:afterAutospacing="1" w:line="360" w:lineRule="auto"/>
        <w:contextualSpacing/>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How did the Rationalisation Plan affect your capacity to delivery Responsive and Inclusive Basic Education in your area?</w:t>
      </w:r>
    </w:p>
    <w:p w14:paraId="2630D0AD" w14:textId="77777777" w:rsidR="008D0CAD" w:rsidRPr="00C63262" w:rsidRDefault="008D0CAD" w:rsidP="00DD08E3">
      <w:pPr>
        <w:numPr>
          <w:ilvl w:val="0"/>
          <w:numId w:val="85"/>
        </w:numPr>
        <w:spacing w:before="100" w:beforeAutospacing="1" w:after="100" w:afterAutospacing="1" w:line="360" w:lineRule="auto"/>
        <w:contextualSpacing/>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How was Continuous Improvement (CI) implemented in your School? If you have any CI activities, can you please describe it?</w:t>
      </w:r>
    </w:p>
    <w:p w14:paraId="39C24CA6" w14:textId="77777777" w:rsidR="008D0CAD" w:rsidRPr="00C63262" w:rsidRDefault="008D0CAD" w:rsidP="00DD08E3">
      <w:pPr>
        <w:numPr>
          <w:ilvl w:val="1"/>
          <w:numId w:val="85"/>
        </w:numPr>
        <w:spacing w:before="100" w:beforeAutospacing="1" w:after="100" w:afterAutospacing="1" w:line="360" w:lineRule="auto"/>
        <w:contextualSpacing/>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 xml:space="preserve">What indicators do you use to measure the successful implementation of CI projects in your school? </w:t>
      </w:r>
    </w:p>
    <w:p w14:paraId="6E0340F0" w14:textId="77777777" w:rsidR="008D0CAD" w:rsidRPr="00C63262" w:rsidRDefault="008D0CAD" w:rsidP="00DD08E3">
      <w:pPr>
        <w:numPr>
          <w:ilvl w:val="0"/>
          <w:numId w:val="85"/>
        </w:numPr>
        <w:spacing w:before="100" w:beforeAutospacing="1" w:after="100" w:afterAutospacing="1" w:line="360" w:lineRule="auto"/>
        <w:contextualSpacing/>
        <w:rPr>
          <w:rFonts w:asciiTheme="majorHAnsi" w:hAnsiTheme="majorHAnsi" w:cstheme="majorHAnsi"/>
          <w:b/>
          <w:snapToGrid w:val="0"/>
          <w:color w:val="000000" w:themeColor="text1"/>
          <w:sz w:val="20"/>
          <w:szCs w:val="20"/>
          <w:lang w:val="en-US"/>
        </w:rPr>
      </w:pPr>
      <w:r w:rsidRPr="00C63262">
        <w:rPr>
          <w:rFonts w:asciiTheme="majorHAnsi" w:eastAsiaTheme="minorEastAsia" w:hAnsiTheme="majorHAnsi" w:cstheme="majorHAnsi"/>
          <w:b/>
          <w:snapToGrid w:val="0"/>
          <w:color w:val="000000" w:themeColor="text1"/>
          <w:sz w:val="20"/>
          <w:szCs w:val="20"/>
        </w:rPr>
        <w:t>What were the hindering and facilitating factors to in your School in implementing the different basic education reforms in practice</w:t>
      </w:r>
      <w:r w:rsidRPr="00C63262">
        <w:rPr>
          <w:rFonts w:asciiTheme="majorHAnsi" w:hAnsiTheme="majorHAnsi" w:cstheme="majorHAnsi"/>
          <w:b/>
          <w:snapToGrid w:val="0"/>
          <w:color w:val="000000" w:themeColor="text1"/>
          <w:sz w:val="20"/>
          <w:szCs w:val="20"/>
          <w:lang w:val="en-US"/>
        </w:rPr>
        <w:t>?</w:t>
      </w:r>
    </w:p>
    <w:p w14:paraId="0DDF1FB7" w14:textId="77777777" w:rsidR="008D0CAD" w:rsidRPr="00C63262" w:rsidRDefault="008D0CAD" w:rsidP="00DD08E3">
      <w:pPr>
        <w:numPr>
          <w:ilvl w:val="0"/>
          <w:numId w:val="85"/>
        </w:numPr>
        <w:spacing w:before="100" w:beforeAutospacing="1" w:after="100" w:afterAutospacing="1" w:line="360" w:lineRule="auto"/>
        <w:rPr>
          <w:rFonts w:asciiTheme="majorHAnsi" w:hAnsiTheme="majorHAnsi" w:cstheme="majorHAnsi"/>
          <w:snapToGrid w:val="0"/>
          <w:color w:val="000000" w:themeColor="text1"/>
          <w:sz w:val="20"/>
          <w:szCs w:val="20"/>
          <w:lang w:val="en-US"/>
        </w:rPr>
      </w:pPr>
      <w:r w:rsidRPr="00C63262">
        <w:rPr>
          <w:rFonts w:asciiTheme="majorHAnsi" w:hAnsiTheme="majorHAnsi" w:cstheme="majorHAnsi"/>
          <w:snapToGrid w:val="0"/>
          <w:color w:val="000000" w:themeColor="text1"/>
          <w:sz w:val="20"/>
          <w:szCs w:val="20"/>
          <w:lang w:val="en-US"/>
        </w:rPr>
        <w:t>How significant are the improvements in students’ learning outcomes in your School in the last five years? Please give specific examples.</w:t>
      </w:r>
    </w:p>
    <w:p w14:paraId="43D071F1" w14:textId="44B0D293" w:rsidR="008D0CAD" w:rsidRPr="00C63262" w:rsidRDefault="008D0CAD" w:rsidP="00DD08E3">
      <w:pPr>
        <w:numPr>
          <w:ilvl w:val="0"/>
          <w:numId w:val="85"/>
        </w:numPr>
        <w:spacing w:before="100" w:beforeAutospacing="1" w:after="100" w:afterAutospacing="1" w:line="360" w:lineRule="auto"/>
        <w:rPr>
          <w:rFonts w:asciiTheme="majorHAnsi" w:hAnsiTheme="majorHAnsi" w:cstheme="majorHAnsi"/>
          <w:snapToGrid w:val="0"/>
          <w:color w:val="000000" w:themeColor="text1"/>
          <w:sz w:val="20"/>
          <w:szCs w:val="20"/>
          <w:lang w:val="en-US"/>
        </w:rPr>
      </w:pPr>
      <w:r w:rsidRPr="00C63262">
        <w:rPr>
          <w:rFonts w:asciiTheme="majorHAnsi" w:hAnsiTheme="majorHAnsi" w:cstheme="majorHAnsi"/>
          <w:bCs/>
          <w:snapToGrid w:val="0"/>
          <w:sz w:val="20"/>
          <w:szCs w:val="20"/>
          <w:lang w:val="en-US"/>
        </w:rPr>
        <w:t>What is the likelihood that the basic education reforms will be sustained after the end of the BEST Program?</w:t>
      </w:r>
      <w:r w:rsidR="00D434EB">
        <w:rPr>
          <w:rFonts w:asciiTheme="majorHAnsi" w:hAnsiTheme="majorHAnsi" w:cstheme="majorHAnsi"/>
          <w:bCs/>
          <w:snapToGrid w:val="0"/>
          <w:sz w:val="20"/>
          <w:szCs w:val="20"/>
          <w:lang w:val="en-US"/>
        </w:rPr>
        <w:t xml:space="preserve"> </w:t>
      </w:r>
      <w:r w:rsidRPr="00C63262">
        <w:rPr>
          <w:rFonts w:asciiTheme="majorHAnsi" w:hAnsiTheme="majorHAnsi" w:cstheme="majorHAnsi"/>
          <w:snapToGrid w:val="0"/>
          <w:color w:val="000000" w:themeColor="text1"/>
          <w:sz w:val="20"/>
          <w:szCs w:val="20"/>
          <w:lang w:val="en-US"/>
        </w:rPr>
        <w:t>Please cite specific evidences of how it will be sustained</w:t>
      </w:r>
    </w:p>
    <w:p w14:paraId="2EB008D0" w14:textId="77777777" w:rsidR="008D0CAD" w:rsidRPr="00C63262" w:rsidRDefault="008D0CAD" w:rsidP="00DD08E3">
      <w:pPr>
        <w:numPr>
          <w:ilvl w:val="0"/>
          <w:numId w:val="85"/>
        </w:numPr>
        <w:spacing w:before="100" w:beforeAutospacing="1" w:after="100" w:afterAutospacing="1" w:line="360" w:lineRule="auto"/>
        <w:contextualSpacing/>
        <w:rPr>
          <w:rFonts w:asciiTheme="majorHAnsi" w:hAnsiTheme="majorHAnsi" w:cstheme="majorHAnsi"/>
          <w:snapToGrid w:val="0"/>
          <w:sz w:val="20"/>
          <w:szCs w:val="20"/>
          <w:lang w:val="en-US"/>
        </w:rPr>
      </w:pPr>
      <w:r w:rsidRPr="00C63262">
        <w:rPr>
          <w:rFonts w:asciiTheme="majorHAnsi" w:hAnsiTheme="majorHAnsi" w:cstheme="majorHAnsi"/>
          <w:snapToGrid w:val="0"/>
          <w:sz w:val="20"/>
          <w:szCs w:val="20"/>
          <w:lang w:val="en-US"/>
        </w:rPr>
        <w:t>What recommendations can you give to sustain the different basic education reforms that were introduced in the last five years?</w:t>
      </w:r>
    </w:p>
    <w:p w14:paraId="161C3AF1" w14:textId="77777777" w:rsidR="008D0CAD" w:rsidRPr="00C63262" w:rsidRDefault="008D0CAD" w:rsidP="00EA6CB9">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Thank you very much for your active participation.</w:t>
      </w:r>
    </w:p>
    <w:p w14:paraId="355DC31C" w14:textId="77777777" w:rsidR="008D0CAD" w:rsidRPr="00C63262" w:rsidRDefault="008D0CAD" w:rsidP="00EA6CB9">
      <w:pPr>
        <w:spacing w:before="100" w:beforeAutospacing="1" w:after="100" w:afterAutospacing="1" w:line="360" w:lineRule="auto"/>
        <w:rPr>
          <w:rFonts w:asciiTheme="majorHAnsi" w:hAnsiTheme="majorHAnsi" w:cstheme="majorHAnsi"/>
          <w:sz w:val="20"/>
          <w:szCs w:val="20"/>
          <w:lang w:val="en-US"/>
        </w:rPr>
      </w:pPr>
      <w:r w:rsidRPr="00C63262">
        <w:rPr>
          <w:rFonts w:asciiTheme="majorHAnsi" w:hAnsiTheme="majorHAnsi" w:cstheme="majorHAnsi"/>
          <w:sz w:val="20"/>
          <w:szCs w:val="20"/>
          <w:lang w:val="en-US"/>
        </w:rPr>
        <w:t>Good luck on the implementation of the basic education reforms in your school.</w:t>
      </w:r>
    </w:p>
    <w:p w14:paraId="7343355E" w14:textId="4E8B3BF3" w:rsidR="008D0CAD" w:rsidRPr="00EA6CB9" w:rsidRDefault="004F5B55" w:rsidP="00EA6CB9">
      <w:pPr>
        <w:pStyle w:val="Heading3"/>
        <w:pageBreakBefore/>
        <w:spacing w:before="100" w:beforeAutospacing="1" w:after="100" w:afterAutospacing="1" w:line="360" w:lineRule="auto"/>
        <w:rPr>
          <w:lang w:val="en-US"/>
        </w:rPr>
      </w:pPr>
      <w:bookmarkStart w:id="292" w:name="_Toc39938380"/>
      <w:bookmarkStart w:id="293" w:name="_Toc69820485"/>
      <w:r>
        <w:rPr>
          <w:lang w:val="en-US"/>
        </w:rPr>
        <w:t>A</w:t>
      </w:r>
      <w:r w:rsidR="008D0CAD" w:rsidRPr="00DC5490">
        <w:rPr>
          <w:lang w:val="en-US"/>
        </w:rPr>
        <w:t>nnex L-3.</w:t>
      </w:r>
      <w:r w:rsidR="00D434EB">
        <w:rPr>
          <w:lang w:val="en-US"/>
        </w:rPr>
        <w:t xml:space="preserve"> </w:t>
      </w:r>
      <w:r w:rsidR="008D0CAD" w:rsidRPr="00DC5490">
        <w:rPr>
          <w:lang w:val="en-US"/>
        </w:rPr>
        <w:t>Guide Questions for Teachers</w:t>
      </w:r>
      <w:bookmarkEnd w:id="292"/>
      <w:bookmarkEnd w:id="293"/>
    </w:p>
    <w:p w14:paraId="74634D88" w14:textId="77777777" w:rsidR="008D0CAD" w:rsidRPr="00DC5490" w:rsidRDefault="008D0CAD" w:rsidP="00DD08E3">
      <w:pPr>
        <w:numPr>
          <w:ilvl w:val="0"/>
          <w:numId w:val="89"/>
        </w:numPr>
        <w:spacing w:before="100" w:beforeAutospacing="1" w:after="100" w:afterAutospacing="1" w:line="360" w:lineRule="auto"/>
        <w:ind w:left="357" w:hanging="357"/>
        <w:rPr>
          <w:rFonts w:asciiTheme="majorHAnsi" w:hAnsiTheme="majorHAnsi" w:cstheme="majorHAnsi"/>
          <w:bCs/>
          <w:snapToGrid w:val="0"/>
          <w:sz w:val="20"/>
          <w:szCs w:val="20"/>
          <w:lang w:val="en-US"/>
        </w:rPr>
      </w:pPr>
      <w:r w:rsidRPr="00DC5490">
        <w:rPr>
          <w:rFonts w:asciiTheme="majorHAnsi" w:hAnsiTheme="majorHAnsi" w:cstheme="majorHAnsi"/>
          <w:bCs/>
          <w:snapToGrid w:val="0"/>
          <w:sz w:val="20"/>
          <w:szCs w:val="20"/>
          <w:lang w:val="en-US"/>
        </w:rPr>
        <w:t>In your opinion, what were the development problems or educational gaps that were existing five years ago (prior to BEST) that was intended to be addressed by the basic education reforms? In other words, why were the different basic education reforms necessary? Which ones of these education gaps were critical in your School?</w:t>
      </w:r>
    </w:p>
    <w:p w14:paraId="20A25A50" w14:textId="38635E47" w:rsidR="008D0CAD" w:rsidRPr="00DC5490" w:rsidRDefault="008D0CAD" w:rsidP="00DD08E3">
      <w:pPr>
        <w:numPr>
          <w:ilvl w:val="0"/>
          <w:numId w:val="89"/>
        </w:numPr>
        <w:spacing w:before="100" w:beforeAutospacing="1" w:after="100" w:afterAutospacing="1" w:line="360" w:lineRule="auto"/>
        <w:ind w:left="357" w:hanging="357"/>
        <w:rPr>
          <w:rFonts w:asciiTheme="majorHAnsi" w:hAnsiTheme="majorHAnsi" w:cstheme="majorHAnsi"/>
          <w:bCs/>
          <w:snapToGrid w:val="0"/>
          <w:sz w:val="20"/>
          <w:szCs w:val="20"/>
          <w:lang w:val="en-US"/>
        </w:rPr>
      </w:pPr>
      <w:r w:rsidRPr="00DC5490">
        <w:rPr>
          <w:rFonts w:asciiTheme="majorHAnsi" w:hAnsiTheme="majorHAnsi" w:cstheme="majorHAnsi"/>
          <w:bCs/>
          <w:snapToGrid w:val="0"/>
          <w:sz w:val="20"/>
          <w:szCs w:val="20"/>
          <w:lang w:val="en-US"/>
        </w:rPr>
        <w:t>Please describe how each of the different basic</w:t>
      </w:r>
      <w:r w:rsidRPr="00DC5490">
        <w:rPr>
          <w:rFonts w:asciiTheme="majorHAnsi" w:hAnsiTheme="majorHAnsi" w:cstheme="majorHAnsi"/>
          <w:b/>
          <w:bCs/>
          <w:snapToGrid w:val="0"/>
          <w:sz w:val="20"/>
          <w:szCs w:val="20"/>
          <w:lang w:val="en-US"/>
        </w:rPr>
        <w:t xml:space="preserve"> </w:t>
      </w:r>
      <w:r w:rsidRPr="00DC5490">
        <w:rPr>
          <w:rFonts w:asciiTheme="majorHAnsi" w:hAnsiTheme="majorHAnsi" w:cstheme="majorHAnsi"/>
          <w:bCs/>
          <w:snapToGrid w:val="0"/>
          <w:sz w:val="20"/>
          <w:szCs w:val="20"/>
          <w:lang w:val="en-US"/>
        </w:rPr>
        <w:t>education reforms were implemented or are being implemented in your school?</w:t>
      </w:r>
      <w:r w:rsidR="00D434EB">
        <w:rPr>
          <w:rFonts w:asciiTheme="majorHAnsi" w:hAnsiTheme="majorHAnsi" w:cstheme="majorHAnsi"/>
          <w:bCs/>
          <w:snapToGrid w:val="0"/>
          <w:sz w:val="20"/>
          <w:szCs w:val="20"/>
          <w:lang w:val="en-US"/>
        </w:rPr>
        <w:t xml:space="preserve"> </w:t>
      </w:r>
    </w:p>
    <w:p w14:paraId="0F6F64F0" w14:textId="77777777" w:rsidR="008D0CAD" w:rsidRPr="00DC5490" w:rsidRDefault="008D0CAD" w:rsidP="00EA6CB9">
      <w:pPr>
        <w:spacing w:before="100" w:beforeAutospacing="1" w:after="100" w:afterAutospacing="1" w:line="360" w:lineRule="auto"/>
        <w:rPr>
          <w:rFonts w:asciiTheme="majorHAnsi" w:hAnsiTheme="majorHAnsi" w:cstheme="majorHAnsi"/>
          <w:bCs/>
          <w:sz w:val="20"/>
          <w:szCs w:val="20"/>
          <w:lang w:val="en-US"/>
        </w:rPr>
      </w:pPr>
      <w:r w:rsidRPr="00DC5490">
        <w:rPr>
          <w:rFonts w:asciiTheme="majorHAnsi" w:hAnsiTheme="majorHAnsi" w:cstheme="majorHAnsi"/>
          <w:b/>
          <w:sz w:val="20"/>
          <w:szCs w:val="20"/>
          <w:lang w:val="en-US"/>
        </w:rPr>
        <w:t>Gender, disability and social inclusion (GEDSI)</w:t>
      </w:r>
    </w:p>
    <w:p w14:paraId="3F8015AB" w14:textId="77777777" w:rsidR="008D0CAD" w:rsidRPr="00DC5490" w:rsidRDefault="008D0CAD" w:rsidP="00DD08E3">
      <w:pPr>
        <w:widowControl w:val="0"/>
        <w:numPr>
          <w:ilvl w:val="0"/>
          <w:numId w:val="89"/>
        </w:numPr>
        <w:spacing w:before="100" w:beforeAutospacing="1" w:after="100" w:afterAutospacing="1" w:line="360" w:lineRule="auto"/>
        <w:rPr>
          <w:rFonts w:asciiTheme="majorHAnsi" w:hAnsiTheme="majorHAnsi" w:cstheme="majorHAnsi"/>
          <w:bCs/>
          <w:snapToGrid w:val="0"/>
          <w:sz w:val="20"/>
          <w:szCs w:val="20"/>
          <w:lang w:val="en-US"/>
        </w:rPr>
      </w:pPr>
      <w:r w:rsidRPr="00DC5490">
        <w:rPr>
          <w:rFonts w:asciiTheme="majorHAnsi" w:hAnsiTheme="majorHAnsi" w:cstheme="majorHAnsi"/>
          <w:snapToGrid w:val="0"/>
          <w:color w:val="000000"/>
          <w:sz w:val="20"/>
          <w:szCs w:val="20"/>
          <w:lang w:val="en-US"/>
        </w:rPr>
        <w:t xml:space="preserve">Please describe how </w:t>
      </w:r>
      <w:r w:rsidRPr="00DC5490">
        <w:rPr>
          <w:rFonts w:asciiTheme="majorHAnsi" w:hAnsiTheme="majorHAnsi" w:cstheme="majorHAnsi"/>
          <w:b/>
          <w:snapToGrid w:val="0"/>
          <w:color w:val="000000"/>
          <w:sz w:val="20"/>
          <w:szCs w:val="20"/>
          <w:lang w:val="en-US"/>
        </w:rPr>
        <w:t xml:space="preserve">Inclusive Education (IE) </w:t>
      </w:r>
      <w:r w:rsidRPr="00DC5490">
        <w:rPr>
          <w:rFonts w:asciiTheme="majorHAnsi" w:hAnsiTheme="majorHAnsi" w:cstheme="majorHAnsi"/>
          <w:snapToGrid w:val="0"/>
          <w:color w:val="000000"/>
          <w:sz w:val="20"/>
          <w:szCs w:val="20"/>
          <w:lang w:val="en-US"/>
        </w:rPr>
        <w:t>is</w:t>
      </w:r>
      <w:r w:rsidRPr="00DC5490">
        <w:rPr>
          <w:rFonts w:asciiTheme="majorHAnsi" w:hAnsiTheme="majorHAnsi" w:cstheme="majorHAnsi"/>
          <w:b/>
          <w:snapToGrid w:val="0"/>
          <w:color w:val="000000"/>
          <w:sz w:val="20"/>
          <w:szCs w:val="20"/>
          <w:lang w:val="en-US"/>
        </w:rPr>
        <w:t xml:space="preserve"> </w:t>
      </w:r>
      <w:r w:rsidRPr="00DC5490">
        <w:rPr>
          <w:rFonts w:asciiTheme="majorHAnsi" w:hAnsiTheme="majorHAnsi" w:cstheme="majorHAnsi"/>
          <w:bCs/>
          <w:snapToGrid w:val="0"/>
          <w:color w:val="000000" w:themeColor="text1"/>
          <w:sz w:val="20"/>
          <w:szCs w:val="20"/>
          <w:lang w:val="en-US"/>
        </w:rPr>
        <w:t xml:space="preserve">implemented in your school and your classroom? </w:t>
      </w:r>
    </w:p>
    <w:p w14:paraId="2FCC09BA" w14:textId="77777777" w:rsidR="008D0CAD" w:rsidRPr="00DC5490" w:rsidRDefault="008D0CAD" w:rsidP="00DD08E3">
      <w:pPr>
        <w:widowControl w:val="0"/>
        <w:numPr>
          <w:ilvl w:val="1"/>
          <w:numId w:val="109"/>
        </w:numPr>
        <w:spacing w:before="100" w:beforeAutospacing="1" w:after="100" w:afterAutospacing="1" w:line="360" w:lineRule="auto"/>
        <w:rPr>
          <w:rFonts w:asciiTheme="majorHAnsi" w:hAnsiTheme="majorHAnsi" w:cstheme="majorHAnsi"/>
          <w:bCs/>
          <w:snapToGrid w:val="0"/>
          <w:sz w:val="20"/>
          <w:szCs w:val="20"/>
          <w:lang w:val="en-US"/>
        </w:rPr>
      </w:pPr>
      <w:r w:rsidRPr="00DC5490">
        <w:rPr>
          <w:rFonts w:asciiTheme="majorHAnsi" w:hAnsiTheme="majorHAnsi" w:cstheme="majorHAnsi"/>
          <w:bCs/>
          <w:snapToGrid w:val="0"/>
          <w:color w:val="000000" w:themeColor="text1"/>
          <w:sz w:val="20"/>
          <w:szCs w:val="20"/>
          <w:lang w:val="en-US"/>
        </w:rPr>
        <w:t>Are you familiar with DEPED’s Inclusive Education Framework? Please describe it.</w:t>
      </w:r>
      <w:r w:rsidRPr="00DC5490">
        <w:rPr>
          <w:rFonts w:asciiTheme="majorHAnsi" w:hAnsiTheme="majorHAnsi" w:cstheme="majorHAnsi"/>
          <w:snapToGrid w:val="0"/>
          <w:color w:val="000000"/>
          <w:sz w:val="20"/>
          <w:szCs w:val="20"/>
          <w:lang w:val="en-US"/>
        </w:rPr>
        <w:t xml:space="preserve"> </w:t>
      </w:r>
    </w:p>
    <w:p w14:paraId="419DFEC9" w14:textId="5724ABB9" w:rsidR="008D0CAD" w:rsidRPr="00DC5490" w:rsidRDefault="008D0CAD" w:rsidP="00DD08E3">
      <w:pPr>
        <w:widowControl w:val="0"/>
        <w:numPr>
          <w:ilvl w:val="1"/>
          <w:numId w:val="109"/>
        </w:numPr>
        <w:spacing w:before="100" w:beforeAutospacing="1" w:after="100" w:afterAutospacing="1" w:line="360" w:lineRule="auto"/>
        <w:rPr>
          <w:rFonts w:asciiTheme="majorHAnsi" w:hAnsiTheme="majorHAnsi" w:cstheme="majorHAnsi"/>
          <w:bCs/>
          <w:snapToGrid w:val="0"/>
          <w:sz w:val="20"/>
          <w:szCs w:val="20"/>
          <w:lang w:val="en-US"/>
        </w:rPr>
      </w:pPr>
      <w:r w:rsidRPr="00DC5490">
        <w:rPr>
          <w:rFonts w:asciiTheme="majorHAnsi" w:hAnsiTheme="majorHAnsi" w:cstheme="majorHAnsi"/>
          <w:snapToGrid w:val="0"/>
          <w:color w:val="000000"/>
          <w:sz w:val="20"/>
          <w:szCs w:val="20"/>
          <w:lang w:val="en-US"/>
        </w:rPr>
        <w:t>Does your school have a formal program to make sure that children with disabilities (CWD) have every opportunity to attend school?</w:t>
      </w:r>
      <w:r w:rsidR="00D434EB">
        <w:rPr>
          <w:rFonts w:asciiTheme="majorHAnsi" w:hAnsiTheme="majorHAnsi" w:cstheme="majorHAnsi"/>
          <w:snapToGrid w:val="0"/>
          <w:color w:val="000000"/>
          <w:sz w:val="20"/>
          <w:szCs w:val="20"/>
          <w:lang w:val="en-US"/>
        </w:rPr>
        <w:t xml:space="preserve"> </w:t>
      </w:r>
      <w:r w:rsidRPr="00DC5490">
        <w:rPr>
          <w:rFonts w:asciiTheme="majorHAnsi" w:hAnsiTheme="majorHAnsi" w:cstheme="majorHAnsi"/>
          <w:snapToGrid w:val="0"/>
          <w:color w:val="000000"/>
          <w:sz w:val="20"/>
          <w:szCs w:val="20"/>
          <w:lang w:val="en-US"/>
        </w:rPr>
        <w:t>Can you describe briefly the key features of this program?</w:t>
      </w:r>
    </w:p>
    <w:p w14:paraId="6544332B" w14:textId="34DCC18F" w:rsidR="008D0CAD" w:rsidRPr="00DC5490" w:rsidRDefault="008D0CAD" w:rsidP="00DD08E3">
      <w:pPr>
        <w:widowControl w:val="0"/>
        <w:numPr>
          <w:ilvl w:val="1"/>
          <w:numId w:val="109"/>
        </w:numPr>
        <w:spacing w:before="100" w:beforeAutospacing="1" w:after="100" w:afterAutospacing="1" w:line="360" w:lineRule="auto"/>
        <w:rPr>
          <w:rFonts w:asciiTheme="majorHAnsi" w:hAnsiTheme="majorHAnsi" w:cstheme="majorHAnsi"/>
          <w:bCs/>
          <w:snapToGrid w:val="0"/>
          <w:sz w:val="20"/>
          <w:szCs w:val="20"/>
          <w:lang w:val="en-US"/>
        </w:rPr>
      </w:pPr>
      <w:r w:rsidRPr="00DC5490">
        <w:rPr>
          <w:rFonts w:asciiTheme="majorHAnsi" w:hAnsiTheme="majorHAnsi" w:cstheme="majorHAnsi"/>
          <w:snapToGrid w:val="0"/>
          <w:color w:val="000000"/>
          <w:sz w:val="20"/>
          <w:szCs w:val="20"/>
          <w:lang w:val="en-US"/>
        </w:rPr>
        <w:t>Does your school have a formal program to make sure that Muslim children/ IP children/special groups of children have every opportunity to attend school?</w:t>
      </w:r>
      <w:r w:rsidR="00D434EB">
        <w:rPr>
          <w:rFonts w:asciiTheme="majorHAnsi" w:hAnsiTheme="majorHAnsi" w:cstheme="majorHAnsi"/>
          <w:snapToGrid w:val="0"/>
          <w:color w:val="000000"/>
          <w:sz w:val="20"/>
          <w:szCs w:val="20"/>
          <w:lang w:val="en-US"/>
        </w:rPr>
        <w:t xml:space="preserve"> </w:t>
      </w:r>
      <w:r w:rsidRPr="00DC5490">
        <w:rPr>
          <w:rFonts w:asciiTheme="majorHAnsi" w:hAnsiTheme="majorHAnsi" w:cstheme="majorHAnsi"/>
          <w:snapToGrid w:val="0"/>
          <w:color w:val="000000"/>
          <w:sz w:val="20"/>
          <w:szCs w:val="20"/>
          <w:lang w:val="en-US"/>
        </w:rPr>
        <w:t>Can you describe briefly the key features of this program?</w:t>
      </w:r>
    </w:p>
    <w:p w14:paraId="046BE3C6" w14:textId="13FA4D44" w:rsidR="008D0CAD" w:rsidRPr="00DC5490" w:rsidRDefault="008D0CAD" w:rsidP="00DD08E3">
      <w:pPr>
        <w:widowControl w:val="0"/>
        <w:numPr>
          <w:ilvl w:val="1"/>
          <w:numId w:val="109"/>
        </w:numPr>
        <w:spacing w:before="100" w:beforeAutospacing="1" w:after="100" w:afterAutospacing="1" w:line="360" w:lineRule="auto"/>
        <w:rPr>
          <w:rFonts w:asciiTheme="majorHAnsi" w:hAnsiTheme="majorHAnsi" w:cstheme="majorHAnsi"/>
          <w:bCs/>
          <w:snapToGrid w:val="0"/>
          <w:sz w:val="20"/>
          <w:szCs w:val="20"/>
          <w:lang w:val="en-US"/>
        </w:rPr>
      </w:pPr>
      <w:r w:rsidRPr="00DC5490">
        <w:rPr>
          <w:rFonts w:asciiTheme="majorHAnsi" w:hAnsiTheme="majorHAnsi" w:cstheme="majorHAnsi"/>
          <w:snapToGrid w:val="0"/>
          <w:color w:val="000000"/>
          <w:sz w:val="20"/>
          <w:szCs w:val="20"/>
          <w:lang w:val="en-US"/>
        </w:rPr>
        <w:t>Does your school have multi-grade classes?</w:t>
      </w:r>
      <w:r w:rsidR="00D434EB">
        <w:rPr>
          <w:rFonts w:asciiTheme="majorHAnsi" w:hAnsiTheme="majorHAnsi" w:cstheme="majorHAnsi"/>
          <w:snapToGrid w:val="0"/>
          <w:color w:val="000000"/>
          <w:sz w:val="20"/>
          <w:szCs w:val="20"/>
          <w:lang w:val="en-US"/>
        </w:rPr>
        <w:t xml:space="preserve"> </w:t>
      </w:r>
      <w:r w:rsidRPr="00DC5490">
        <w:rPr>
          <w:rFonts w:asciiTheme="majorHAnsi" w:hAnsiTheme="majorHAnsi" w:cstheme="majorHAnsi"/>
          <w:snapToGrid w:val="0"/>
          <w:color w:val="000000"/>
          <w:sz w:val="20"/>
          <w:szCs w:val="20"/>
          <w:lang w:val="en-US"/>
        </w:rPr>
        <w:t xml:space="preserve">Can you describe briefly the key features of this program? </w:t>
      </w:r>
    </w:p>
    <w:p w14:paraId="3A0DCCAA" w14:textId="77777777" w:rsidR="008D0CAD" w:rsidRPr="00DC5490" w:rsidRDefault="008D0CAD" w:rsidP="00DD08E3">
      <w:pPr>
        <w:widowControl w:val="0"/>
        <w:numPr>
          <w:ilvl w:val="1"/>
          <w:numId w:val="109"/>
        </w:numPr>
        <w:spacing w:before="100" w:beforeAutospacing="1" w:after="100" w:afterAutospacing="1" w:line="360" w:lineRule="auto"/>
        <w:rPr>
          <w:rFonts w:asciiTheme="majorHAnsi" w:hAnsiTheme="majorHAnsi" w:cstheme="majorHAnsi"/>
          <w:bCs/>
          <w:snapToGrid w:val="0"/>
          <w:sz w:val="20"/>
          <w:szCs w:val="20"/>
          <w:lang w:val="en-US"/>
        </w:rPr>
      </w:pPr>
      <w:r w:rsidRPr="00DC5490">
        <w:rPr>
          <w:rFonts w:asciiTheme="majorHAnsi" w:hAnsiTheme="majorHAnsi" w:cstheme="majorHAnsi"/>
          <w:bCs/>
          <w:snapToGrid w:val="0"/>
          <w:color w:val="000000"/>
          <w:sz w:val="20"/>
          <w:szCs w:val="20"/>
          <w:lang w:val="en-US"/>
        </w:rPr>
        <w:t>Are you using inclusive learning materials in your school? Why or why not? Are these sufficient for your needs?</w:t>
      </w:r>
    </w:p>
    <w:p w14:paraId="3E717644" w14:textId="77777777" w:rsidR="008D0CAD" w:rsidRPr="00DC5490" w:rsidRDefault="008D0CAD" w:rsidP="00DD08E3">
      <w:pPr>
        <w:widowControl w:val="0"/>
        <w:numPr>
          <w:ilvl w:val="1"/>
          <w:numId w:val="109"/>
        </w:numPr>
        <w:spacing w:before="100" w:beforeAutospacing="1" w:after="100" w:afterAutospacing="1" w:line="360" w:lineRule="auto"/>
        <w:rPr>
          <w:rFonts w:asciiTheme="majorHAnsi" w:hAnsiTheme="majorHAnsi" w:cstheme="majorHAnsi"/>
          <w:bCs/>
          <w:snapToGrid w:val="0"/>
          <w:sz w:val="20"/>
          <w:szCs w:val="20"/>
          <w:lang w:val="en-US"/>
        </w:rPr>
      </w:pPr>
      <w:r w:rsidRPr="00DC5490">
        <w:rPr>
          <w:rFonts w:asciiTheme="majorHAnsi" w:hAnsiTheme="majorHAnsi" w:cstheme="majorHAnsi"/>
          <w:snapToGrid w:val="0"/>
          <w:color w:val="000000"/>
          <w:sz w:val="20"/>
          <w:szCs w:val="20"/>
          <w:lang w:val="en-US"/>
        </w:rPr>
        <w:t>What challenges do you experience in terms of implementing IE?</w:t>
      </w:r>
    </w:p>
    <w:p w14:paraId="21D2E6BF" w14:textId="77777777" w:rsidR="008D0CAD" w:rsidRPr="00DC5490" w:rsidRDefault="008D0CAD" w:rsidP="00DD08E3">
      <w:pPr>
        <w:widowControl w:val="0"/>
        <w:numPr>
          <w:ilvl w:val="1"/>
          <w:numId w:val="109"/>
        </w:numPr>
        <w:spacing w:before="100" w:beforeAutospacing="1" w:after="100" w:afterAutospacing="1" w:line="360" w:lineRule="auto"/>
        <w:rPr>
          <w:rFonts w:asciiTheme="majorHAnsi" w:hAnsiTheme="majorHAnsi" w:cstheme="majorHAnsi"/>
          <w:bCs/>
          <w:snapToGrid w:val="0"/>
          <w:sz w:val="20"/>
          <w:szCs w:val="20"/>
          <w:lang w:val="en-US"/>
        </w:rPr>
      </w:pPr>
      <w:r w:rsidRPr="00DC5490">
        <w:rPr>
          <w:rFonts w:asciiTheme="majorHAnsi" w:hAnsiTheme="majorHAnsi" w:cstheme="majorHAnsi"/>
          <w:snapToGrid w:val="0"/>
          <w:sz w:val="20"/>
          <w:szCs w:val="20"/>
          <w:lang w:val="en-US"/>
        </w:rPr>
        <w:t xml:space="preserve">What indicators do you use to measure the successful implementation of Inclusive Education in your school? </w:t>
      </w:r>
    </w:p>
    <w:p w14:paraId="32EAF146" w14:textId="77777777" w:rsidR="008D0CAD" w:rsidRPr="00DC5490" w:rsidRDefault="008D0CAD" w:rsidP="00DD08E3">
      <w:pPr>
        <w:widowControl w:val="0"/>
        <w:numPr>
          <w:ilvl w:val="0"/>
          <w:numId w:val="89"/>
        </w:numPr>
        <w:spacing w:before="100" w:beforeAutospacing="1" w:after="100" w:afterAutospacing="1" w:line="360" w:lineRule="auto"/>
        <w:rPr>
          <w:rFonts w:asciiTheme="majorHAnsi" w:hAnsiTheme="majorHAnsi" w:cstheme="majorHAnsi"/>
          <w:snapToGrid w:val="0"/>
          <w:sz w:val="20"/>
          <w:szCs w:val="20"/>
          <w:lang w:val="en-US"/>
        </w:rPr>
      </w:pPr>
      <w:r w:rsidRPr="00DC5490">
        <w:rPr>
          <w:rFonts w:asciiTheme="majorHAnsi" w:hAnsiTheme="majorHAnsi" w:cstheme="majorHAnsi"/>
          <w:snapToGrid w:val="0"/>
          <w:color w:val="000000"/>
          <w:sz w:val="20"/>
          <w:szCs w:val="20"/>
          <w:lang w:val="en-US"/>
        </w:rPr>
        <w:t xml:space="preserve">Please describe how </w:t>
      </w:r>
      <w:r w:rsidRPr="00DC5490">
        <w:rPr>
          <w:rFonts w:asciiTheme="majorHAnsi" w:hAnsiTheme="majorHAnsi" w:cstheme="majorHAnsi"/>
          <w:b/>
          <w:snapToGrid w:val="0"/>
          <w:color w:val="000000"/>
          <w:sz w:val="20"/>
          <w:szCs w:val="20"/>
          <w:lang w:val="en-US"/>
        </w:rPr>
        <w:t xml:space="preserve">Gender-Responsive Basic Education (GRBE) </w:t>
      </w:r>
      <w:r w:rsidRPr="00DC5490">
        <w:rPr>
          <w:rFonts w:asciiTheme="majorHAnsi" w:hAnsiTheme="majorHAnsi" w:cstheme="majorHAnsi"/>
          <w:snapToGrid w:val="0"/>
          <w:color w:val="000000"/>
          <w:sz w:val="20"/>
          <w:szCs w:val="20"/>
          <w:lang w:val="en-US"/>
        </w:rPr>
        <w:t>is</w:t>
      </w:r>
      <w:r w:rsidRPr="00DC5490">
        <w:rPr>
          <w:rFonts w:asciiTheme="majorHAnsi" w:hAnsiTheme="majorHAnsi" w:cstheme="majorHAnsi"/>
          <w:b/>
          <w:snapToGrid w:val="0"/>
          <w:color w:val="000000"/>
          <w:sz w:val="20"/>
          <w:szCs w:val="20"/>
          <w:lang w:val="en-US"/>
        </w:rPr>
        <w:t xml:space="preserve"> </w:t>
      </w:r>
      <w:r w:rsidRPr="00DC5490">
        <w:rPr>
          <w:rFonts w:asciiTheme="majorHAnsi" w:hAnsiTheme="majorHAnsi" w:cstheme="majorHAnsi"/>
          <w:bCs/>
          <w:snapToGrid w:val="0"/>
          <w:color w:val="000000" w:themeColor="text1"/>
          <w:sz w:val="20"/>
          <w:szCs w:val="20"/>
          <w:lang w:val="en-US"/>
        </w:rPr>
        <w:t>implemented in your school and your classroom?</w:t>
      </w:r>
    </w:p>
    <w:p w14:paraId="7A36D3A2" w14:textId="77777777" w:rsidR="008D0CAD" w:rsidRPr="00DC5490" w:rsidRDefault="008D0CAD" w:rsidP="00DD08E3">
      <w:pPr>
        <w:widowControl w:val="0"/>
        <w:numPr>
          <w:ilvl w:val="1"/>
          <w:numId w:val="110"/>
        </w:numPr>
        <w:spacing w:before="100" w:beforeAutospacing="1" w:after="100" w:afterAutospacing="1" w:line="360" w:lineRule="auto"/>
        <w:rPr>
          <w:rFonts w:asciiTheme="majorHAnsi" w:hAnsiTheme="majorHAnsi" w:cstheme="majorHAnsi"/>
          <w:snapToGrid w:val="0"/>
          <w:sz w:val="20"/>
          <w:szCs w:val="20"/>
          <w:lang w:val="en-US"/>
        </w:rPr>
      </w:pPr>
      <w:r w:rsidRPr="00DC5490">
        <w:rPr>
          <w:rFonts w:asciiTheme="majorHAnsi" w:hAnsiTheme="majorHAnsi" w:cstheme="majorHAnsi"/>
          <w:snapToGrid w:val="0"/>
          <w:color w:val="000000"/>
          <w:sz w:val="20"/>
          <w:szCs w:val="20"/>
          <w:lang w:val="en-US"/>
        </w:rPr>
        <w:t>Does your school have a formal program to make sure boys and girls have every opportunity to attend school? Can you describe briefly the key features of this program?</w:t>
      </w:r>
    </w:p>
    <w:p w14:paraId="2461D973" w14:textId="77777777" w:rsidR="008D0CAD" w:rsidRPr="00DC5490" w:rsidRDefault="008D0CAD" w:rsidP="00DD08E3">
      <w:pPr>
        <w:widowControl w:val="0"/>
        <w:numPr>
          <w:ilvl w:val="1"/>
          <w:numId w:val="110"/>
        </w:numPr>
        <w:spacing w:before="100" w:beforeAutospacing="1" w:after="100" w:afterAutospacing="1" w:line="360" w:lineRule="auto"/>
        <w:rPr>
          <w:rFonts w:asciiTheme="majorHAnsi" w:hAnsiTheme="majorHAnsi" w:cstheme="majorHAnsi"/>
          <w:snapToGrid w:val="0"/>
          <w:sz w:val="20"/>
          <w:szCs w:val="20"/>
          <w:lang w:val="en-US"/>
        </w:rPr>
      </w:pPr>
      <w:r w:rsidRPr="00DC5490">
        <w:rPr>
          <w:rFonts w:asciiTheme="majorHAnsi" w:hAnsiTheme="majorHAnsi" w:cstheme="majorHAnsi"/>
          <w:snapToGrid w:val="0"/>
          <w:color w:val="000000"/>
          <w:sz w:val="20"/>
          <w:szCs w:val="20"/>
          <w:lang w:val="en-US"/>
        </w:rPr>
        <w:t xml:space="preserve">Do you have a functioning Gender Focal Point System in school? Is this system useful to you as a teacher? </w:t>
      </w:r>
    </w:p>
    <w:p w14:paraId="58DFE452" w14:textId="77777777" w:rsidR="008D0CAD" w:rsidRPr="00DC5490" w:rsidRDefault="008D0CAD" w:rsidP="00DD08E3">
      <w:pPr>
        <w:widowControl w:val="0"/>
        <w:numPr>
          <w:ilvl w:val="1"/>
          <w:numId w:val="110"/>
        </w:numPr>
        <w:spacing w:before="100" w:beforeAutospacing="1" w:after="100" w:afterAutospacing="1" w:line="360" w:lineRule="auto"/>
        <w:rPr>
          <w:rFonts w:asciiTheme="majorHAnsi" w:hAnsiTheme="majorHAnsi" w:cstheme="majorHAnsi"/>
          <w:snapToGrid w:val="0"/>
          <w:sz w:val="20"/>
          <w:szCs w:val="20"/>
          <w:lang w:val="en-US"/>
        </w:rPr>
      </w:pPr>
      <w:r w:rsidRPr="00DC5490">
        <w:rPr>
          <w:rFonts w:asciiTheme="majorHAnsi" w:hAnsiTheme="majorHAnsi" w:cstheme="majorHAnsi"/>
          <w:bCs/>
          <w:snapToGrid w:val="0"/>
          <w:color w:val="000000"/>
          <w:sz w:val="20"/>
          <w:szCs w:val="20"/>
          <w:lang w:val="en-US"/>
        </w:rPr>
        <w:t>Are you using gender sensitive learning materials in your school? Why or why not? Are these sufficient for your needs?</w:t>
      </w:r>
    </w:p>
    <w:p w14:paraId="20470BF0" w14:textId="77777777" w:rsidR="008D0CAD" w:rsidRPr="00DC5490" w:rsidRDefault="008D0CAD" w:rsidP="00DD08E3">
      <w:pPr>
        <w:widowControl w:val="0"/>
        <w:numPr>
          <w:ilvl w:val="1"/>
          <w:numId w:val="110"/>
        </w:numPr>
        <w:spacing w:before="100" w:beforeAutospacing="1" w:after="100" w:afterAutospacing="1" w:line="360" w:lineRule="auto"/>
        <w:rPr>
          <w:rFonts w:asciiTheme="majorHAnsi" w:hAnsiTheme="majorHAnsi" w:cstheme="majorHAnsi"/>
          <w:snapToGrid w:val="0"/>
          <w:sz w:val="20"/>
          <w:szCs w:val="20"/>
          <w:lang w:val="en-US"/>
        </w:rPr>
      </w:pPr>
      <w:r w:rsidRPr="00DC5490">
        <w:rPr>
          <w:rFonts w:asciiTheme="majorHAnsi" w:hAnsiTheme="majorHAnsi" w:cstheme="majorHAnsi"/>
          <w:snapToGrid w:val="0"/>
          <w:color w:val="000000"/>
          <w:sz w:val="20"/>
          <w:szCs w:val="20"/>
          <w:lang w:val="en-US"/>
        </w:rPr>
        <w:t>What challenges do you experience in terms of implementing GRBE?</w:t>
      </w:r>
    </w:p>
    <w:p w14:paraId="60A1AA1C" w14:textId="77777777" w:rsidR="008D0CAD" w:rsidRPr="00DC5490" w:rsidRDefault="008D0CAD" w:rsidP="00DD08E3">
      <w:pPr>
        <w:widowControl w:val="0"/>
        <w:numPr>
          <w:ilvl w:val="1"/>
          <w:numId w:val="110"/>
        </w:numPr>
        <w:spacing w:before="100" w:beforeAutospacing="1" w:after="100" w:afterAutospacing="1" w:line="360" w:lineRule="auto"/>
        <w:rPr>
          <w:rFonts w:asciiTheme="majorHAnsi" w:hAnsiTheme="majorHAnsi" w:cstheme="majorHAnsi"/>
          <w:snapToGrid w:val="0"/>
          <w:sz w:val="20"/>
          <w:szCs w:val="20"/>
          <w:lang w:val="en-US"/>
        </w:rPr>
      </w:pPr>
      <w:r w:rsidRPr="00DC5490">
        <w:rPr>
          <w:rFonts w:asciiTheme="majorHAnsi" w:hAnsiTheme="majorHAnsi" w:cstheme="majorHAnsi"/>
          <w:snapToGrid w:val="0"/>
          <w:sz w:val="20"/>
          <w:szCs w:val="20"/>
          <w:lang w:val="en-US"/>
        </w:rPr>
        <w:t>What indicators do you use to measure the successful implementation of GRBE in your school?</w:t>
      </w:r>
    </w:p>
    <w:p w14:paraId="3507EFA8" w14:textId="77777777" w:rsidR="008D0CAD" w:rsidRPr="00DC5490" w:rsidRDefault="008D0CAD" w:rsidP="00DD08E3">
      <w:pPr>
        <w:widowControl w:val="0"/>
        <w:numPr>
          <w:ilvl w:val="0"/>
          <w:numId w:val="89"/>
        </w:numPr>
        <w:spacing w:before="100" w:beforeAutospacing="1" w:after="100" w:afterAutospacing="1" w:line="360" w:lineRule="auto"/>
        <w:contextualSpacing/>
        <w:rPr>
          <w:rFonts w:asciiTheme="majorHAnsi" w:hAnsiTheme="majorHAnsi" w:cstheme="majorHAnsi"/>
          <w:snapToGrid w:val="0"/>
          <w:sz w:val="20"/>
          <w:szCs w:val="20"/>
          <w:lang w:val="en-US"/>
        </w:rPr>
      </w:pPr>
      <w:r w:rsidRPr="00DC5490">
        <w:rPr>
          <w:rFonts w:asciiTheme="majorHAnsi" w:hAnsiTheme="majorHAnsi" w:cstheme="majorHAnsi"/>
          <w:bCs/>
          <w:snapToGrid w:val="0"/>
          <w:color w:val="000000" w:themeColor="text1"/>
          <w:sz w:val="20"/>
          <w:szCs w:val="20"/>
          <w:lang w:val="en-US"/>
        </w:rPr>
        <w:t xml:space="preserve">What is the difference of </w:t>
      </w:r>
      <w:r w:rsidRPr="00DC5490">
        <w:rPr>
          <w:rFonts w:asciiTheme="majorHAnsi" w:hAnsiTheme="majorHAnsi" w:cstheme="majorHAnsi"/>
          <w:b/>
          <w:bCs/>
          <w:snapToGrid w:val="0"/>
          <w:color w:val="000000" w:themeColor="text1"/>
          <w:sz w:val="20"/>
          <w:szCs w:val="20"/>
          <w:lang w:val="en-US"/>
        </w:rPr>
        <w:t xml:space="preserve">inclusive education </w:t>
      </w:r>
      <w:r w:rsidRPr="00DC5490">
        <w:rPr>
          <w:rFonts w:asciiTheme="majorHAnsi" w:hAnsiTheme="majorHAnsi" w:cstheme="majorHAnsi"/>
          <w:bCs/>
          <w:snapToGrid w:val="0"/>
          <w:color w:val="000000" w:themeColor="text1"/>
          <w:sz w:val="20"/>
          <w:szCs w:val="20"/>
          <w:lang w:val="en-US"/>
        </w:rPr>
        <w:t>with</w:t>
      </w:r>
      <w:r w:rsidRPr="00DC5490">
        <w:rPr>
          <w:rFonts w:asciiTheme="majorHAnsi" w:hAnsiTheme="majorHAnsi" w:cstheme="majorHAnsi"/>
          <w:b/>
          <w:bCs/>
          <w:snapToGrid w:val="0"/>
          <w:color w:val="000000" w:themeColor="text1"/>
          <w:sz w:val="20"/>
          <w:szCs w:val="20"/>
          <w:lang w:val="en-US"/>
        </w:rPr>
        <w:t xml:space="preserve"> responsive education?</w:t>
      </w:r>
    </w:p>
    <w:p w14:paraId="0C81C0B3" w14:textId="77777777" w:rsidR="008D0CAD" w:rsidRPr="00DC5490" w:rsidRDefault="008D0CAD" w:rsidP="00DD08E3">
      <w:pPr>
        <w:widowControl w:val="0"/>
        <w:numPr>
          <w:ilvl w:val="0"/>
          <w:numId w:val="89"/>
        </w:numPr>
        <w:spacing w:before="100" w:beforeAutospacing="1" w:after="100" w:afterAutospacing="1" w:line="360" w:lineRule="auto"/>
        <w:ind w:left="357" w:hanging="357"/>
        <w:rPr>
          <w:rFonts w:asciiTheme="majorHAnsi" w:hAnsiTheme="majorHAnsi" w:cstheme="majorHAnsi"/>
          <w:snapToGrid w:val="0"/>
          <w:sz w:val="20"/>
          <w:szCs w:val="20"/>
          <w:lang w:val="en-US"/>
        </w:rPr>
      </w:pPr>
      <w:r w:rsidRPr="00DC5490">
        <w:rPr>
          <w:rFonts w:asciiTheme="majorHAnsi" w:hAnsiTheme="majorHAnsi" w:cstheme="majorHAnsi"/>
          <w:snapToGrid w:val="0"/>
          <w:color w:val="000000"/>
          <w:sz w:val="20"/>
          <w:szCs w:val="20"/>
          <w:lang w:val="en-US"/>
        </w:rPr>
        <w:t>What do you do in your school when you have a very small percentage of students in any this/these sub-sectors in your school(s)?</w:t>
      </w:r>
    </w:p>
    <w:p w14:paraId="68CA3D23" w14:textId="77777777" w:rsidR="008D0CAD" w:rsidRPr="00DC5490" w:rsidRDefault="008D0CAD" w:rsidP="00EA6CB9">
      <w:pPr>
        <w:spacing w:before="100" w:beforeAutospacing="1" w:after="100" w:afterAutospacing="1" w:line="360" w:lineRule="auto"/>
        <w:rPr>
          <w:rFonts w:asciiTheme="majorHAnsi" w:hAnsiTheme="majorHAnsi" w:cstheme="majorHAnsi"/>
          <w:sz w:val="20"/>
          <w:lang w:val="en-US"/>
        </w:rPr>
      </w:pPr>
      <w:r w:rsidRPr="00DC5490">
        <w:rPr>
          <w:rFonts w:asciiTheme="majorHAnsi" w:hAnsiTheme="majorHAnsi" w:cstheme="majorHAnsi"/>
          <w:b/>
          <w:bCs/>
          <w:color w:val="000000"/>
          <w:sz w:val="20"/>
          <w:lang w:val="en-US"/>
        </w:rPr>
        <w:t>Learning &amp; Development (L&amp;D) systems</w:t>
      </w:r>
    </w:p>
    <w:p w14:paraId="319844B4" w14:textId="77777777" w:rsidR="008D0CAD" w:rsidRPr="00DC5490" w:rsidRDefault="008D0CAD" w:rsidP="00DD08E3">
      <w:pPr>
        <w:widowControl w:val="0"/>
        <w:numPr>
          <w:ilvl w:val="0"/>
          <w:numId w:val="89"/>
        </w:numPr>
        <w:spacing w:before="100" w:beforeAutospacing="1" w:after="100" w:afterAutospacing="1" w:line="360" w:lineRule="auto"/>
        <w:ind w:left="357" w:hanging="357"/>
        <w:rPr>
          <w:rFonts w:asciiTheme="majorHAnsi" w:hAnsiTheme="majorHAnsi" w:cstheme="majorHAnsi"/>
          <w:snapToGrid w:val="0"/>
          <w:sz w:val="20"/>
          <w:szCs w:val="20"/>
          <w:lang w:val="en-US"/>
        </w:rPr>
      </w:pPr>
      <w:r w:rsidRPr="00DC5490">
        <w:rPr>
          <w:rFonts w:asciiTheme="majorHAnsi" w:hAnsiTheme="majorHAnsi" w:cstheme="majorHAnsi"/>
          <w:snapToGrid w:val="0"/>
          <w:color w:val="000000"/>
          <w:sz w:val="20"/>
          <w:szCs w:val="20"/>
          <w:lang w:val="en-US"/>
        </w:rPr>
        <w:t xml:space="preserve">Can you please describe what the </w:t>
      </w:r>
      <w:r w:rsidRPr="00DC5490">
        <w:rPr>
          <w:rFonts w:asciiTheme="majorHAnsi" w:hAnsiTheme="majorHAnsi" w:cstheme="majorHAnsi"/>
          <w:bCs/>
          <w:snapToGrid w:val="0"/>
          <w:color w:val="000000" w:themeColor="text1"/>
          <w:sz w:val="20"/>
          <w:szCs w:val="20"/>
          <w:lang w:val="en-US"/>
        </w:rPr>
        <w:t>Learning &amp; Development (L&amp;D) System is</w:t>
      </w:r>
      <w:r w:rsidRPr="00DC5490">
        <w:rPr>
          <w:rFonts w:asciiTheme="majorHAnsi" w:hAnsiTheme="majorHAnsi" w:cstheme="majorHAnsi"/>
          <w:snapToGrid w:val="0"/>
          <w:color w:val="000000"/>
          <w:sz w:val="20"/>
          <w:szCs w:val="20"/>
          <w:lang w:val="en-US"/>
        </w:rPr>
        <w:t xml:space="preserve">? </w:t>
      </w:r>
    </w:p>
    <w:p w14:paraId="399070D4" w14:textId="0472D3AB" w:rsidR="008D0CAD" w:rsidRPr="00DC5490" w:rsidRDefault="008D0CAD" w:rsidP="00DD08E3">
      <w:pPr>
        <w:widowControl w:val="0"/>
        <w:numPr>
          <w:ilvl w:val="1"/>
          <w:numId w:val="111"/>
        </w:numPr>
        <w:spacing w:before="100" w:beforeAutospacing="1" w:after="100" w:afterAutospacing="1" w:line="360" w:lineRule="auto"/>
        <w:contextualSpacing/>
        <w:rPr>
          <w:rFonts w:asciiTheme="majorHAnsi" w:hAnsiTheme="majorHAnsi" w:cstheme="majorHAnsi"/>
          <w:snapToGrid w:val="0"/>
          <w:sz w:val="20"/>
          <w:szCs w:val="20"/>
          <w:lang w:val="en-US"/>
        </w:rPr>
      </w:pPr>
      <w:r w:rsidRPr="00DC5490">
        <w:rPr>
          <w:rFonts w:asciiTheme="majorHAnsi" w:hAnsiTheme="majorHAnsi" w:cstheme="majorHAnsi"/>
          <w:snapToGrid w:val="0"/>
          <w:color w:val="000000"/>
          <w:sz w:val="20"/>
          <w:szCs w:val="20"/>
        </w:rPr>
        <w:t>What are the different sub-systems of L&amp;D?</w:t>
      </w:r>
      <w:r w:rsidR="00D434EB">
        <w:rPr>
          <w:rFonts w:asciiTheme="majorHAnsi" w:hAnsiTheme="majorHAnsi" w:cstheme="majorHAnsi"/>
          <w:snapToGrid w:val="0"/>
          <w:color w:val="000000"/>
          <w:sz w:val="20"/>
          <w:szCs w:val="20"/>
        </w:rPr>
        <w:t xml:space="preserve"> </w:t>
      </w:r>
      <w:r w:rsidRPr="00DC5490">
        <w:rPr>
          <w:rFonts w:asciiTheme="majorHAnsi" w:hAnsiTheme="majorHAnsi" w:cstheme="majorHAnsi"/>
          <w:snapToGrid w:val="0"/>
          <w:color w:val="000000"/>
          <w:sz w:val="20"/>
          <w:szCs w:val="20"/>
        </w:rPr>
        <w:t>Please describe what each system does (processes) and what is produced (outputs) from each sub system.</w:t>
      </w:r>
    </w:p>
    <w:p w14:paraId="75453AC5" w14:textId="77777777" w:rsidR="008D0CAD" w:rsidRPr="00DC5490" w:rsidRDefault="008D0CAD" w:rsidP="00DD08E3">
      <w:pPr>
        <w:widowControl w:val="0"/>
        <w:numPr>
          <w:ilvl w:val="1"/>
          <w:numId w:val="111"/>
        </w:numPr>
        <w:spacing w:before="100" w:beforeAutospacing="1" w:after="100" w:afterAutospacing="1" w:line="360" w:lineRule="auto"/>
        <w:contextualSpacing/>
        <w:rPr>
          <w:rFonts w:asciiTheme="majorHAnsi" w:hAnsiTheme="majorHAnsi" w:cstheme="majorHAnsi"/>
          <w:snapToGrid w:val="0"/>
          <w:sz w:val="20"/>
          <w:szCs w:val="20"/>
          <w:lang w:val="en-US"/>
        </w:rPr>
      </w:pPr>
      <w:r w:rsidRPr="00DC5490">
        <w:rPr>
          <w:rFonts w:asciiTheme="majorHAnsi" w:hAnsiTheme="majorHAnsi" w:cstheme="majorHAnsi"/>
          <w:bCs/>
          <w:snapToGrid w:val="0"/>
          <w:color w:val="000000"/>
          <w:sz w:val="20"/>
          <w:szCs w:val="20"/>
          <w:lang w:val="en-US"/>
        </w:rPr>
        <w:t>Within the last five years, have you ever participated in any of the system (L&amp;D or T&amp;D) processes or any activity, conducted to identify your professional development needs as a teacher? What were those activities?</w:t>
      </w:r>
    </w:p>
    <w:p w14:paraId="7BEC9BE3" w14:textId="442EEFCF" w:rsidR="008D0CAD" w:rsidRPr="00DC5490" w:rsidRDefault="008D0CAD" w:rsidP="00DD08E3">
      <w:pPr>
        <w:widowControl w:val="0"/>
        <w:numPr>
          <w:ilvl w:val="1"/>
          <w:numId w:val="111"/>
        </w:numPr>
        <w:spacing w:before="100" w:beforeAutospacing="1" w:after="100" w:afterAutospacing="1" w:line="360" w:lineRule="auto"/>
        <w:contextualSpacing/>
        <w:rPr>
          <w:rFonts w:asciiTheme="majorHAnsi" w:hAnsiTheme="majorHAnsi" w:cstheme="majorHAnsi"/>
          <w:snapToGrid w:val="0"/>
          <w:sz w:val="20"/>
          <w:szCs w:val="20"/>
          <w:lang w:val="en-US"/>
        </w:rPr>
      </w:pPr>
      <w:r w:rsidRPr="00DC5490">
        <w:rPr>
          <w:rFonts w:asciiTheme="majorHAnsi" w:hAnsiTheme="majorHAnsi" w:cstheme="majorHAnsi"/>
          <w:snapToGrid w:val="0"/>
          <w:sz w:val="20"/>
          <w:szCs w:val="20"/>
          <w:lang w:val="en-US"/>
        </w:rPr>
        <w:t>Is the L&amp;D system important to your teaching practice?</w:t>
      </w:r>
      <w:r w:rsidR="00D434EB">
        <w:rPr>
          <w:rFonts w:asciiTheme="majorHAnsi" w:hAnsiTheme="majorHAnsi" w:cstheme="majorHAnsi"/>
          <w:snapToGrid w:val="0"/>
          <w:sz w:val="20"/>
          <w:szCs w:val="20"/>
          <w:lang w:val="en-US"/>
        </w:rPr>
        <w:t xml:space="preserve"> </w:t>
      </w:r>
      <w:r w:rsidRPr="00DC5490">
        <w:rPr>
          <w:rFonts w:asciiTheme="majorHAnsi" w:hAnsiTheme="majorHAnsi" w:cstheme="majorHAnsi"/>
          <w:snapToGrid w:val="0"/>
          <w:sz w:val="20"/>
          <w:szCs w:val="20"/>
          <w:lang w:val="en-US"/>
        </w:rPr>
        <w:t>If yes, in what concrete ways?</w:t>
      </w:r>
    </w:p>
    <w:p w14:paraId="3F254B47" w14:textId="7B45B3BE" w:rsidR="008D0CAD" w:rsidRPr="00DC5490" w:rsidRDefault="008D0CAD" w:rsidP="00DD08E3">
      <w:pPr>
        <w:widowControl w:val="0"/>
        <w:numPr>
          <w:ilvl w:val="1"/>
          <w:numId w:val="111"/>
        </w:numPr>
        <w:spacing w:before="100" w:beforeAutospacing="1" w:after="100" w:afterAutospacing="1" w:line="360" w:lineRule="auto"/>
        <w:contextualSpacing/>
        <w:rPr>
          <w:rFonts w:asciiTheme="majorHAnsi" w:hAnsiTheme="majorHAnsi" w:cstheme="majorHAnsi"/>
          <w:snapToGrid w:val="0"/>
          <w:sz w:val="20"/>
          <w:szCs w:val="20"/>
          <w:lang w:val="en-US"/>
        </w:rPr>
      </w:pPr>
      <w:r w:rsidRPr="00DC5490">
        <w:rPr>
          <w:rFonts w:asciiTheme="majorHAnsi" w:hAnsiTheme="majorHAnsi" w:cstheme="majorHAnsi"/>
          <w:snapToGrid w:val="0"/>
          <w:color w:val="000000"/>
          <w:sz w:val="20"/>
          <w:szCs w:val="20"/>
          <w:lang w:val="en-US"/>
        </w:rPr>
        <w:t xml:space="preserve">Can you please describe what the </w:t>
      </w:r>
      <w:r w:rsidRPr="00DC5490">
        <w:rPr>
          <w:rFonts w:asciiTheme="majorHAnsi" w:hAnsiTheme="majorHAnsi" w:cstheme="majorHAnsi"/>
          <w:bCs/>
          <w:snapToGrid w:val="0"/>
          <w:color w:val="000000"/>
          <w:sz w:val="20"/>
          <w:szCs w:val="20"/>
          <w:lang w:val="en-US"/>
        </w:rPr>
        <w:t>Learning Action Cell (LAC)</w:t>
      </w:r>
      <w:r w:rsidRPr="00DC5490">
        <w:rPr>
          <w:rFonts w:asciiTheme="majorHAnsi" w:hAnsiTheme="majorHAnsi" w:cstheme="majorHAnsi"/>
          <w:b/>
          <w:bCs/>
          <w:snapToGrid w:val="0"/>
          <w:color w:val="000000"/>
          <w:sz w:val="20"/>
          <w:szCs w:val="20"/>
          <w:lang w:val="en-US"/>
        </w:rPr>
        <w:t xml:space="preserve"> </w:t>
      </w:r>
      <w:r w:rsidRPr="00DC5490">
        <w:rPr>
          <w:rFonts w:asciiTheme="majorHAnsi" w:hAnsiTheme="majorHAnsi" w:cstheme="majorHAnsi"/>
          <w:bCs/>
          <w:snapToGrid w:val="0"/>
          <w:color w:val="000000"/>
          <w:sz w:val="20"/>
          <w:szCs w:val="20"/>
          <w:lang w:val="en-US"/>
        </w:rPr>
        <w:t>is?</w:t>
      </w:r>
      <w:r w:rsidR="00D434EB">
        <w:rPr>
          <w:rFonts w:asciiTheme="majorHAnsi" w:hAnsiTheme="majorHAnsi" w:cstheme="majorHAnsi"/>
          <w:bCs/>
          <w:snapToGrid w:val="0"/>
          <w:color w:val="000000"/>
          <w:sz w:val="20"/>
          <w:szCs w:val="20"/>
          <w:lang w:val="en-US"/>
        </w:rPr>
        <w:t xml:space="preserve"> </w:t>
      </w:r>
      <w:r w:rsidRPr="00DC5490">
        <w:rPr>
          <w:rFonts w:asciiTheme="majorHAnsi" w:hAnsiTheme="majorHAnsi" w:cstheme="majorHAnsi"/>
          <w:bCs/>
          <w:snapToGrid w:val="0"/>
          <w:color w:val="000000"/>
          <w:sz w:val="20"/>
          <w:szCs w:val="20"/>
          <w:lang w:val="en-US"/>
        </w:rPr>
        <w:t>How useful is the LAC to you as a teacher?</w:t>
      </w:r>
      <w:r w:rsidR="00D434EB">
        <w:rPr>
          <w:rFonts w:asciiTheme="majorHAnsi" w:hAnsiTheme="majorHAnsi" w:cstheme="majorHAnsi"/>
          <w:bCs/>
          <w:snapToGrid w:val="0"/>
          <w:color w:val="000000"/>
          <w:sz w:val="20"/>
          <w:szCs w:val="20"/>
          <w:lang w:val="en-US"/>
        </w:rPr>
        <w:t xml:space="preserve"> </w:t>
      </w:r>
      <w:r w:rsidRPr="00DC5490">
        <w:rPr>
          <w:rFonts w:asciiTheme="majorHAnsi" w:hAnsiTheme="majorHAnsi" w:cstheme="majorHAnsi"/>
          <w:bCs/>
          <w:snapToGrid w:val="0"/>
          <w:color w:val="000000"/>
          <w:sz w:val="20"/>
          <w:szCs w:val="20"/>
          <w:lang w:val="en-US"/>
        </w:rPr>
        <w:t xml:space="preserve"> </w:t>
      </w:r>
    </w:p>
    <w:p w14:paraId="14C5A75B" w14:textId="77777777" w:rsidR="008D0CAD" w:rsidRPr="00DC5490" w:rsidRDefault="008D0CAD" w:rsidP="00EA6CB9">
      <w:pPr>
        <w:spacing w:before="100" w:beforeAutospacing="1" w:after="100" w:afterAutospacing="1" w:line="360" w:lineRule="auto"/>
        <w:rPr>
          <w:rFonts w:asciiTheme="majorHAnsi" w:hAnsiTheme="majorHAnsi" w:cstheme="majorHAnsi"/>
          <w:sz w:val="20"/>
          <w:lang w:val="en-US"/>
        </w:rPr>
      </w:pPr>
      <w:r w:rsidRPr="00DC5490">
        <w:rPr>
          <w:rFonts w:asciiTheme="majorHAnsi" w:hAnsiTheme="majorHAnsi" w:cstheme="majorHAnsi"/>
          <w:b/>
          <w:sz w:val="20"/>
          <w:lang w:val="en-US"/>
        </w:rPr>
        <w:t>Philippine Professional Standards for Teachers (PPST)</w:t>
      </w:r>
    </w:p>
    <w:p w14:paraId="7DB20940" w14:textId="77777777" w:rsidR="008D0CAD" w:rsidRPr="00DC5490" w:rsidRDefault="008D0CAD" w:rsidP="00DD08E3">
      <w:pPr>
        <w:widowControl w:val="0"/>
        <w:numPr>
          <w:ilvl w:val="0"/>
          <w:numId w:val="89"/>
        </w:numPr>
        <w:spacing w:before="100" w:beforeAutospacing="1" w:after="100" w:afterAutospacing="1" w:line="360" w:lineRule="auto"/>
        <w:rPr>
          <w:rFonts w:asciiTheme="majorHAnsi" w:hAnsiTheme="majorHAnsi" w:cstheme="majorHAnsi"/>
          <w:snapToGrid w:val="0"/>
          <w:sz w:val="20"/>
          <w:szCs w:val="20"/>
          <w:lang w:val="en-US"/>
        </w:rPr>
      </w:pPr>
      <w:r w:rsidRPr="00DC5490">
        <w:rPr>
          <w:rFonts w:asciiTheme="majorHAnsi" w:hAnsiTheme="majorHAnsi" w:cstheme="majorHAnsi"/>
          <w:snapToGrid w:val="0"/>
          <w:color w:val="000000"/>
          <w:sz w:val="20"/>
          <w:szCs w:val="20"/>
          <w:lang w:val="en-US"/>
        </w:rPr>
        <w:t>Can you please describe your understanding of the Philippine Professional Standards for Teachers (PPST)</w:t>
      </w:r>
      <w:r w:rsidRPr="00DC5490">
        <w:rPr>
          <w:rFonts w:asciiTheme="majorHAnsi" w:hAnsiTheme="majorHAnsi" w:cstheme="majorHAnsi"/>
          <w:b/>
          <w:snapToGrid w:val="0"/>
          <w:color w:val="000000"/>
          <w:sz w:val="20"/>
          <w:szCs w:val="20"/>
          <w:lang w:val="en-US"/>
        </w:rPr>
        <w:t>?</w:t>
      </w:r>
    </w:p>
    <w:p w14:paraId="3219C91F" w14:textId="77777777" w:rsidR="008D0CAD" w:rsidRPr="00DC5490" w:rsidRDefault="008D0CAD" w:rsidP="00DD08E3">
      <w:pPr>
        <w:widowControl w:val="0"/>
        <w:numPr>
          <w:ilvl w:val="0"/>
          <w:numId w:val="89"/>
        </w:numPr>
        <w:spacing w:before="100" w:beforeAutospacing="1" w:after="100" w:afterAutospacing="1" w:line="360" w:lineRule="auto"/>
        <w:contextualSpacing/>
        <w:rPr>
          <w:rFonts w:asciiTheme="majorHAnsi" w:hAnsiTheme="majorHAnsi" w:cstheme="majorHAnsi"/>
          <w:snapToGrid w:val="0"/>
          <w:sz w:val="20"/>
          <w:szCs w:val="20"/>
          <w:lang w:val="en-US"/>
        </w:rPr>
      </w:pPr>
      <w:r w:rsidRPr="00DC5490">
        <w:rPr>
          <w:rFonts w:asciiTheme="majorHAnsi" w:hAnsiTheme="majorHAnsi" w:cstheme="majorHAnsi"/>
          <w:bCs/>
          <w:snapToGrid w:val="0"/>
          <w:color w:val="000000"/>
          <w:sz w:val="20"/>
          <w:szCs w:val="20"/>
          <w:lang w:val="en-US"/>
        </w:rPr>
        <w:t xml:space="preserve">Are you familiar with the </w:t>
      </w:r>
      <w:r w:rsidRPr="00DC5490">
        <w:rPr>
          <w:rFonts w:asciiTheme="majorHAnsi" w:eastAsiaTheme="minorEastAsia" w:hAnsiTheme="majorHAnsi" w:cstheme="majorHAnsi"/>
          <w:snapToGrid w:val="0"/>
          <w:sz w:val="20"/>
          <w:szCs w:val="20"/>
          <w:lang w:val="en-US"/>
        </w:rPr>
        <w:t xml:space="preserve">12 priority indicators of </w:t>
      </w:r>
      <w:r w:rsidRPr="00DC5490">
        <w:rPr>
          <w:rFonts w:asciiTheme="majorHAnsi" w:hAnsiTheme="majorHAnsi" w:cstheme="majorHAnsi"/>
          <w:bCs/>
          <w:snapToGrid w:val="0"/>
          <w:color w:val="000000"/>
          <w:sz w:val="20"/>
          <w:szCs w:val="20"/>
          <w:lang w:val="en-US"/>
        </w:rPr>
        <w:t>the PPST on which RPMS tools and processes are based</w:t>
      </w:r>
      <w:r w:rsidRPr="00DC5490">
        <w:rPr>
          <w:rFonts w:asciiTheme="majorHAnsi" w:hAnsiTheme="majorHAnsi" w:cstheme="majorHAnsi"/>
          <w:snapToGrid w:val="0"/>
          <w:color w:val="000000" w:themeColor="text1"/>
          <w:sz w:val="20"/>
          <w:szCs w:val="20"/>
          <w:lang w:val="en-US"/>
        </w:rPr>
        <w:t>?</w:t>
      </w:r>
    </w:p>
    <w:p w14:paraId="22458141" w14:textId="77777777" w:rsidR="008D0CAD" w:rsidRPr="00DC5490" w:rsidRDefault="008D0CAD" w:rsidP="00DD08E3">
      <w:pPr>
        <w:widowControl w:val="0"/>
        <w:numPr>
          <w:ilvl w:val="0"/>
          <w:numId w:val="89"/>
        </w:numPr>
        <w:spacing w:before="100" w:beforeAutospacing="1" w:after="100" w:afterAutospacing="1" w:line="360" w:lineRule="auto"/>
        <w:contextualSpacing/>
        <w:rPr>
          <w:rFonts w:asciiTheme="majorHAnsi" w:hAnsiTheme="majorHAnsi" w:cstheme="majorHAnsi"/>
          <w:snapToGrid w:val="0"/>
          <w:sz w:val="20"/>
          <w:szCs w:val="20"/>
          <w:lang w:val="en-US"/>
        </w:rPr>
      </w:pPr>
      <w:r w:rsidRPr="00DC5490">
        <w:rPr>
          <w:rFonts w:asciiTheme="majorHAnsi" w:hAnsiTheme="majorHAnsi" w:cstheme="majorHAnsi"/>
          <w:snapToGrid w:val="0"/>
          <w:color w:val="000000" w:themeColor="text1"/>
          <w:sz w:val="20"/>
          <w:szCs w:val="20"/>
          <w:lang w:val="en-US"/>
        </w:rPr>
        <w:t xml:space="preserve">Do you find the Self-Assessment Tool (SAT) useful to teachers? Why or why not? </w:t>
      </w:r>
    </w:p>
    <w:p w14:paraId="5F7C7008" w14:textId="77777777" w:rsidR="008D0CAD" w:rsidRPr="00DC5490" w:rsidRDefault="008D0CAD" w:rsidP="00DD08E3">
      <w:pPr>
        <w:widowControl w:val="0"/>
        <w:numPr>
          <w:ilvl w:val="0"/>
          <w:numId w:val="89"/>
        </w:numPr>
        <w:spacing w:before="100" w:beforeAutospacing="1" w:after="100" w:afterAutospacing="1" w:line="360" w:lineRule="auto"/>
        <w:contextualSpacing/>
        <w:rPr>
          <w:rFonts w:asciiTheme="majorHAnsi" w:hAnsiTheme="majorHAnsi" w:cstheme="majorHAnsi"/>
          <w:snapToGrid w:val="0"/>
          <w:sz w:val="20"/>
          <w:szCs w:val="20"/>
          <w:lang w:val="en-US"/>
        </w:rPr>
      </w:pPr>
      <w:r w:rsidRPr="00DC5490">
        <w:rPr>
          <w:rFonts w:asciiTheme="majorHAnsi" w:hAnsiTheme="majorHAnsi" w:cstheme="majorHAnsi"/>
          <w:snapToGrid w:val="0"/>
          <w:color w:val="000000" w:themeColor="text1"/>
          <w:sz w:val="20"/>
          <w:szCs w:val="20"/>
          <w:lang w:val="en-US"/>
        </w:rPr>
        <w:t xml:space="preserve">Do you find the Classroom Observation Tool (COT) effective for assessing teacher performance? Why or why not? </w:t>
      </w:r>
    </w:p>
    <w:p w14:paraId="43E2BF71" w14:textId="77777777" w:rsidR="008D0CAD" w:rsidRPr="00DC5490" w:rsidRDefault="008D0CAD" w:rsidP="00DD08E3">
      <w:pPr>
        <w:widowControl w:val="0"/>
        <w:numPr>
          <w:ilvl w:val="0"/>
          <w:numId w:val="89"/>
        </w:numPr>
        <w:spacing w:before="100" w:beforeAutospacing="1" w:after="100" w:afterAutospacing="1" w:line="360" w:lineRule="auto"/>
        <w:contextualSpacing/>
        <w:rPr>
          <w:rFonts w:asciiTheme="majorHAnsi" w:hAnsiTheme="majorHAnsi" w:cstheme="majorHAnsi"/>
          <w:snapToGrid w:val="0"/>
          <w:sz w:val="20"/>
          <w:szCs w:val="20"/>
          <w:lang w:val="en-US"/>
        </w:rPr>
      </w:pPr>
      <w:r w:rsidRPr="00DC5490">
        <w:rPr>
          <w:rFonts w:asciiTheme="majorHAnsi" w:hAnsiTheme="majorHAnsi" w:cstheme="majorHAnsi"/>
          <w:snapToGrid w:val="0"/>
          <w:sz w:val="20"/>
          <w:szCs w:val="20"/>
          <w:lang w:val="en-US"/>
        </w:rPr>
        <w:t xml:space="preserve">How was teacher performance assessed before the introduction of the COT </w:t>
      </w:r>
      <w:r w:rsidRPr="00DC5490">
        <w:rPr>
          <w:rFonts w:asciiTheme="majorHAnsi" w:hAnsiTheme="majorHAnsi" w:cstheme="majorHAnsi"/>
          <w:bCs/>
          <w:snapToGrid w:val="0"/>
          <w:color w:val="000000"/>
          <w:sz w:val="20"/>
          <w:szCs w:val="20"/>
          <w:lang w:val="en-US"/>
        </w:rPr>
        <w:t>in the RPMS</w:t>
      </w:r>
      <w:r w:rsidRPr="00DC5490">
        <w:rPr>
          <w:rFonts w:asciiTheme="majorHAnsi" w:hAnsiTheme="majorHAnsi" w:cstheme="majorHAnsi"/>
          <w:snapToGrid w:val="0"/>
          <w:sz w:val="20"/>
          <w:szCs w:val="20"/>
          <w:lang w:val="en-US"/>
        </w:rPr>
        <w:t>?</w:t>
      </w:r>
    </w:p>
    <w:p w14:paraId="6CD73867" w14:textId="77777777" w:rsidR="008D0CAD" w:rsidRPr="00DC5490" w:rsidRDefault="008D0CAD" w:rsidP="00DD08E3">
      <w:pPr>
        <w:widowControl w:val="0"/>
        <w:numPr>
          <w:ilvl w:val="0"/>
          <w:numId w:val="89"/>
        </w:numPr>
        <w:spacing w:before="100" w:beforeAutospacing="1" w:after="100" w:afterAutospacing="1" w:line="360" w:lineRule="auto"/>
        <w:contextualSpacing/>
        <w:rPr>
          <w:rFonts w:asciiTheme="majorHAnsi" w:hAnsiTheme="majorHAnsi" w:cstheme="majorHAnsi"/>
          <w:snapToGrid w:val="0"/>
          <w:sz w:val="20"/>
          <w:szCs w:val="20"/>
          <w:lang w:val="en-US"/>
        </w:rPr>
      </w:pPr>
      <w:r w:rsidRPr="00DC5490">
        <w:rPr>
          <w:rFonts w:asciiTheme="majorHAnsi" w:hAnsiTheme="majorHAnsi" w:cstheme="majorHAnsi"/>
          <w:snapToGrid w:val="0"/>
          <w:sz w:val="20"/>
          <w:szCs w:val="20"/>
          <w:lang w:val="en-US"/>
        </w:rPr>
        <w:t>How was the Philippine Professional Standards for Teachers</w:t>
      </w:r>
      <w:r w:rsidRPr="00DC5490">
        <w:rPr>
          <w:rFonts w:asciiTheme="majorHAnsi" w:hAnsiTheme="majorHAnsi" w:cstheme="majorHAnsi"/>
          <w:b/>
          <w:snapToGrid w:val="0"/>
          <w:sz w:val="20"/>
          <w:szCs w:val="20"/>
          <w:lang w:val="en-US"/>
        </w:rPr>
        <w:t xml:space="preserve"> </w:t>
      </w:r>
      <w:r w:rsidRPr="00DC5490">
        <w:rPr>
          <w:rFonts w:asciiTheme="majorHAnsi" w:hAnsiTheme="majorHAnsi" w:cstheme="majorHAnsi"/>
          <w:snapToGrid w:val="0"/>
          <w:sz w:val="20"/>
          <w:szCs w:val="20"/>
          <w:lang w:val="en-US"/>
        </w:rPr>
        <w:t>linked with the Teacher Induction Program (TIP)?</w:t>
      </w:r>
    </w:p>
    <w:p w14:paraId="179BA5E8" w14:textId="77777777" w:rsidR="008D0CAD" w:rsidRPr="00DC5490" w:rsidRDefault="008D0CAD" w:rsidP="00DD08E3">
      <w:pPr>
        <w:widowControl w:val="0"/>
        <w:numPr>
          <w:ilvl w:val="0"/>
          <w:numId w:val="89"/>
        </w:numPr>
        <w:spacing w:before="100" w:beforeAutospacing="1" w:after="100" w:afterAutospacing="1" w:line="360" w:lineRule="auto"/>
        <w:contextualSpacing/>
        <w:rPr>
          <w:rFonts w:asciiTheme="majorHAnsi" w:hAnsiTheme="majorHAnsi" w:cstheme="majorHAnsi"/>
          <w:snapToGrid w:val="0"/>
          <w:sz w:val="20"/>
          <w:szCs w:val="20"/>
          <w:lang w:val="en-US"/>
        </w:rPr>
      </w:pPr>
      <w:r w:rsidRPr="00DC5490">
        <w:rPr>
          <w:rFonts w:asciiTheme="majorHAnsi" w:hAnsiTheme="majorHAnsi" w:cstheme="majorHAnsi"/>
          <w:snapToGrid w:val="0"/>
          <w:color w:val="000000" w:themeColor="text1"/>
          <w:sz w:val="20"/>
          <w:szCs w:val="20"/>
          <w:lang w:val="en-US"/>
        </w:rPr>
        <w:t>Do you think that the current PPST is useful for improving the delivery of basic education? Why or why not?</w:t>
      </w:r>
      <w:r w:rsidRPr="00DC5490">
        <w:rPr>
          <w:rFonts w:asciiTheme="majorHAnsi" w:hAnsiTheme="majorHAnsi" w:cstheme="majorHAnsi"/>
          <w:snapToGrid w:val="0"/>
          <w:color w:val="000000"/>
          <w:sz w:val="20"/>
          <w:szCs w:val="20"/>
          <w:lang w:val="en-US"/>
        </w:rPr>
        <w:t xml:space="preserve"> </w:t>
      </w:r>
    </w:p>
    <w:p w14:paraId="49386AB4" w14:textId="77777777" w:rsidR="008D0CAD" w:rsidRDefault="008D0CAD" w:rsidP="00EA6CB9">
      <w:pPr>
        <w:spacing w:before="100" w:beforeAutospacing="1" w:after="100" w:afterAutospacing="1" w:line="360" w:lineRule="auto"/>
        <w:contextualSpacing/>
        <w:rPr>
          <w:rFonts w:asciiTheme="majorHAnsi" w:hAnsiTheme="majorHAnsi" w:cstheme="majorHAnsi"/>
          <w:b/>
          <w:sz w:val="20"/>
          <w:lang w:val="en-US"/>
        </w:rPr>
      </w:pPr>
    </w:p>
    <w:p w14:paraId="146268CA" w14:textId="77777777" w:rsidR="008D0CAD" w:rsidRPr="00DC5490" w:rsidRDefault="008D0CAD" w:rsidP="00EA6CB9">
      <w:pPr>
        <w:spacing w:before="100" w:beforeAutospacing="1" w:after="100" w:afterAutospacing="1" w:line="360" w:lineRule="auto"/>
        <w:contextualSpacing/>
        <w:rPr>
          <w:rFonts w:asciiTheme="majorHAnsi" w:hAnsiTheme="majorHAnsi" w:cstheme="majorHAnsi"/>
          <w:sz w:val="20"/>
          <w:lang w:val="en-US"/>
        </w:rPr>
      </w:pPr>
      <w:r w:rsidRPr="00DC5490">
        <w:rPr>
          <w:rFonts w:asciiTheme="majorHAnsi" w:hAnsiTheme="majorHAnsi" w:cstheme="majorHAnsi"/>
          <w:b/>
          <w:sz w:val="20"/>
          <w:lang w:val="en-US"/>
        </w:rPr>
        <w:t>Curriculum and assessment</w:t>
      </w:r>
    </w:p>
    <w:p w14:paraId="1E5AC85B" w14:textId="77777777" w:rsidR="008D0CAD" w:rsidRPr="00DC5490" w:rsidRDefault="008D0CAD" w:rsidP="00DD08E3">
      <w:pPr>
        <w:widowControl w:val="0"/>
        <w:numPr>
          <w:ilvl w:val="0"/>
          <w:numId w:val="89"/>
        </w:numPr>
        <w:spacing w:before="100" w:beforeAutospacing="1" w:after="100" w:afterAutospacing="1" w:line="360" w:lineRule="auto"/>
        <w:contextualSpacing/>
        <w:rPr>
          <w:rFonts w:asciiTheme="majorHAnsi" w:hAnsiTheme="majorHAnsi" w:cstheme="majorHAnsi"/>
          <w:snapToGrid w:val="0"/>
          <w:sz w:val="20"/>
          <w:szCs w:val="20"/>
          <w:lang w:val="en-US"/>
        </w:rPr>
      </w:pPr>
      <w:r w:rsidRPr="00DC5490">
        <w:rPr>
          <w:rFonts w:asciiTheme="majorHAnsi" w:hAnsiTheme="majorHAnsi" w:cstheme="majorHAnsi"/>
          <w:snapToGrid w:val="0"/>
          <w:sz w:val="20"/>
          <w:szCs w:val="20"/>
          <w:lang w:val="en-US"/>
        </w:rPr>
        <w:t xml:space="preserve">How were you capacitated to implement the reforms in </w:t>
      </w:r>
      <w:r w:rsidRPr="00DC5490">
        <w:rPr>
          <w:rFonts w:asciiTheme="majorHAnsi" w:hAnsiTheme="majorHAnsi" w:cstheme="majorHAnsi"/>
          <w:snapToGrid w:val="0"/>
          <w:color w:val="000000" w:themeColor="text1"/>
          <w:sz w:val="20"/>
          <w:szCs w:val="20"/>
          <w:lang w:val="en-US"/>
        </w:rPr>
        <w:t>K to 12 curricula?</w:t>
      </w:r>
    </w:p>
    <w:p w14:paraId="1BC4FCAA" w14:textId="77777777" w:rsidR="008D0CAD" w:rsidRPr="00DC5490" w:rsidRDefault="008D0CAD" w:rsidP="00EA6CB9">
      <w:pPr>
        <w:spacing w:before="100" w:beforeAutospacing="1" w:after="100" w:afterAutospacing="1" w:line="360" w:lineRule="auto"/>
        <w:ind w:left="360"/>
        <w:contextualSpacing/>
        <w:rPr>
          <w:rFonts w:asciiTheme="majorHAnsi" w:hAnsiTheme="majorHAnsi" w:cstheme="majorHAnsi"/>
          <w:sz w:val="20"/>
          <w:lang w:val="en-US"/>
        </w:rPr>
      </w:pPr>
      <w:r w:rsidRPr="00DC5490">
        <w:rPr>
          <w:rFonts w:asciiTheme="majorHAnsi" w:hAnsiTheme="majorHAnsi" w:cstheme="majorHAnsi"/>
          <w:sz w:val="20"/>
          <w:lang w:val="en-US"/>
        </w:rPr>
        <w:t>15.1. Was the capacity building you received adequate If not, in what ways can capacity building on the curriculum be improved? What areas would need additional capacity building on?</w:t>
      </w:r>
    </w:p>
    <w:p w14:paraId="6F1DC2AC" w14:textId="77777777" w:rsidR="008D0CAD" w:rsidRPr="00DC5490" w:rsidRDefault="008D0CAD" w:rsidP="00EA6CB9">
      <w:pPr>
        <w:spacing w:before="100" w:beforeAutospacing="1" w:after="100" w:afterAutospacing="1" w:line="360" w:lineRule="auto"/>
        <w:ind w:left="360"/>
        <w:contextualSpacing/>
        <w:rPr>
          <w:rFonts w:asciiTheme="majorHAnsi" w:hAnsiTheme="majorHAnsi" w:cstheme="majorHAnsi"/>
          <w:sz w:val="20"/>
          <w:lang w:val="en-US"/>
        </w:rPr>
      </w:pPr>
      <w:r w:rsidRPr="00DC5490">
        <w:rPr>
          <w:rFonts w:asciiTheme="majorHAnsi" w:hAnsiTheme="majorHAnsi" w:cstheme="majorHAnsi"/>
          <w:sz w:val="20"/>
          <w:lang w:val="en-US"/>
        </w:rPr>
        <w:t>What resources (curriculum guides, lesson plans, etc.) were helpful to you in implementing the K to 12 curricula?</w:t>
      </w:r>
    </w:p>
    <w:p w14:paraId="63C2342C" w14:textId="77777777" w:rsidR="008D0CAD" w:rsidRPr="00DC5490" w:rsidRDefault="008D0CAD" w:rsidP="00DD08E3">
      <w:pPr>
        <w:widowControl w:val="0"/>
        <w:numPr>
          <w:ilvl w:val="0"/>
          <w:numId w:val="89"/>
        </w:numPr>
        <w:spacing w:before="100" w:beforeAutospacing="1" w:after="100" w:afterAutospacing="1" w:line="360" w:lineRule="auto"/>
        <w:contextualSpacing/>
        <w:rPr>
          <w:rFonts w:asciiTheme="majorHAnsi" w:hAnsiTheme="majorHAnsi" w:cstheme="majorHAnsi"/>
          <w:snapToGrid w:val="0"/>
          <w:sz w:val="20"/>
          <w:szCs w:val="20"/>
          <w:lang w:val="en-US"/>
        </w:rPr>
      </w:pPr>
      <w:r w:rsidRPr="00DC5490">
        <w:rPr>
          <w:rFonts w:asciiTheme="majorHAnsi" w:hAnsiTheme="majorHAnsi" w:cstheme="majorHAnsi"/>
          <w:snapToGrid w:val="0"/>
          <w:sz w:val="20"/>
          <w:szCs w:val="20"/>
          <w:lang w:val="en-US"/>
        </w:rPr>
        <w:t xml:space="preserve">How were you capacitated to implement the reforms in </w:t>
      </w:r>
      <w:r w:rsidRPr="00DC5490">
        <w:rPr>
          <w:rFonts w:asciiTheme="majorHAnsi" w:hAnsiTheme="majorHAnsi" w:cstheme="majorHAnsi"/>
          <w:snapToGrid w:val="0"/>
          <w:color w:val="000000" w:themeColor="text1"/>
          <w:sz w:val="20"/>
          <w:szCs w:val="20"/>
          <w:lang w:val="en-US"/>
        </w:rPr>
        <w:t xml:space="preserve">student assessments? </w:t>
      </w:r>
    </w:p>
    <w:p w14:paraId="2C586735" w14:textId="77777777" w:rsidR="008D0CAD" w:rsidRPr="00DC5490" w:rsidRDefault="008D0CAD" w:rsidP="00DD08E3">
      <w:pPr>
        <w:widowControl w:val="0"/>
        <w:numPr>
          <w:ilvl w:val="1"/>
          <w:numId w:val="112"/>
        </w:numPr>
        <w:spacing w:before="100" w:beforeAutospacing="1" w:after="100" w:afterAutospacing="1" w:line="360" w:lineRule="auto"/>
        <w:ind w:left="851" w:hanging="425"/>
        <w:contextualSpacing/>
        <w:rPr>
          <w:rFonts w:asciiTheme="majorHAnsi" w:hAnsiTheme="majorHAnsi" w:cstheme="majorHAnsi"/>
          <w:snapToGrid w:val="0"/>
          <w:sz w:val="20"/>
          <w:szCs w:val="20"/>
          <w:lang w:val="en-US"/>
        </w:rPr>
      </w:pPr>
      <w:r w:rsidRPr="00DC5490">
        <w:rPr>
          <w:rFonts w:asciiTheme="majorHAnsi" w:hAnsiTheme="majorHAnsi" w:cstheme="majorHAnsi"/>
          <w:snapToGrid w:val="0"/>
          <w:color w:val="000000"/>
          <w:sz w:val="20"/>
          <w:szCs w:val="20"/>
          <w:lang w:val="en-US"/>
        </w:rPr>
        <w:t xml:space="preserve">How are periodical tests developed in your school? By individual teachers? By department? </w:t>
      </w:r>
    </w:p>
    <w:p w14:paraId="567C3352" w14:textId="6EA94F78" w:rsidR="008D0CAD" w:rsidRPr="00DC5490" w:rsidRDefault="008D0CAD" w:rsidP="00DD08E3">
      <w:pPr>
        <w:widowControl w:val="0"/>
        <w:numPr>
          <w:ilvl w:val="1"/>
          <w:numId w:val="112"/>
        </w:numPr>
        <w:spacing w:before="100" w:beforeAutospacing="1" w:after="100" w:afterAutospacing="1" w:line="360" w:lineRule="auto"/>
        <w:ind w:left="851" w:hanging="425"/>
        <w:contextualSpacing/>
        <w:rPr>
          <w:rFonts w:asciiTheme="majorHAnsi" w:hAnsiTheme="majorHAnsi" w:cstheme="majorHAnsi"/>
          <w:snapToGrid w:val="0"/>
          <w:sz w:val="20"/>
          <w:szCs w:val="20"/>
          <w:lang w:val="en-US"/>
        </w:rPr>
      </w:pPr>
      <w:r w:rsidRPr="00DC5490">
        <w:rPr>
          <w:rFonts w:asciiTheme="majorHAnsi" w:hAnsiTheme="majorHAnsi" w:cstheme="majorHAnsi"/>
          <w:snapToGrid w:val="0"/>
          <w:color w:val="000000" w:themeColor="text1"/>
          <w:sz w:val="20"/>
          <w:szCs w:val="20"/>
          <w:lang w:val="en-US"/>
        </w:rPr>
        <w:t>Are there achievement tests in your division?</w:t>
      </w:r>
      <w:r w:rsidR="00D434EB">
        <w:rPr>
          <w:rFonts w:asciiTheme="majorHAnsi" w:hAnsiTheme="majorHAnsi" w:cstheme="majorHAnsi"/>
          <w:snapToGrid w:val="0"/>
          <w:sz w:val="20"/>
          <w:szCs w:val="20"/>
          <w:lang w:val="en-US"/>
        </w:rPr>
        <w:t xml:space="preserve"> </w:t>
      </w:r>
      <w:r w:rsidRPr="00DC5490">
        <w:rPr>
          <w:rFonts w:asciiTheme="majorHAnsi" w:hAnsiTheme="majorHAnsi" w:cstheme="majorHAnsi"/>
          <w:snapToGrid w:val="0"/>
          <w:sz w:val="20"/>
          <w:szCs w:val="20"/>
          <w:lang w:val="en-US"/>
        </w:rPr>
        <w:t>_______ Region________?</w:t>
      </w:r>
      <w:r w:rsidR="00D434EB">
        <w:rPr>
          <w:rFonts w:asciiTheme="majorHAnsi" w:hAnsiTheme="majorHAnsi" w:cstheme="majorHAnsi"/>
          <w:snapToGrid w:val="0"/>
          <w:sz w:val="20"/>
          <w:szCs w:val="20"/>
          <w:lang w:val="en-US"/>
        </w:rPr>
        <w:t xml:space="preserve"> </w:t>
      </w:r>
    </w:p>
    <w:p w14:paraId="75C9AD2C" w14:textId="705AAE1E" w:rsidR="008D0CAD" w:rsidRPr="00DC5490" w:rsidRDefault="008D0CAD" w:rsidP="00DD08E3">
      <w:pPr>
        <w:widowControl w:val="0"/>
        <w:numPr>
          <w:ilvl w:val="1"/>
          <w:numId w:val="112"/>
        </w:numPr>
        <w:spacing w:before="100" w:beforeAutospacing="1" w:after="100" w:afterAutospacing="1" w:line="360" w:lineRule="auto"/>
        <w:ind w:left="851" w:hanging="425"/>
        <w:contextualSpacing/>
        <w:rPr>
          <w:rFonts w:asciiTheme="majorHAnsi" w:hAnsiTheme="majorHAnsi" w:cstheme="majorHAnsi"/>
          <w:snapToGrid w:val="0"/>
          <w:sz w:val="20"/>
          <w:szCs w:val="20"/>
          <w:lang w:val="en-US"/>
        </w:rPr>
      </w:pPr>
      <w:r w:rsidRPr="00DC5490">
        <w:rPr>
          <w:rFonts w:asciiTheme="majorHAnsi" w:hAnsiTheme="majorHAnsi" w:cstheme="majorHAnsi"/>
          <w:snapToGrid w:val="0"/>
          <w:sz w:val="20"/>
          <w:szCs w:val="20"/>
          <w:lang w:val="en-US"/>
        </w:rPr>
        <w:t>If yes, who develops the questions for these tests?</w:t>
      </w:r>
      <w:r w:rsidR="00D434EB">
        <w:rPr>
          <w:rFonts w:asciiTheme="majorHAnsi" w:hAnsiTheme="majorHAnsi" w:cstheme="majorHAnsi"/>
          <w:snapToGrid w:val="0"/>
          <w:sz w:val="20"/>
          <w:szCs w:val="20"/>
          <w:lang w:val="en-US"/>
        </w:rPr>
        <w:t xml:space="preserve"> </w:t>
      </w:r>
      <w:r w:rsidRPr="00DC5490">
        <w:rPr>
          <w:rFonts w:asciiTheme="majorHAnsi" w:hAnsiTheme="majorHAnsi" w:cstheme="majorHAnsi"/>
          <w:snapToGrid w:val="0"/>
          <w:sz w:val="20"/>
          <w:szCs w:val="20"/>
          <w:lang w:val="en-US"/>
        </w:rPr>
        <w:t>How are they administered?</w:t>
      </w:r>
    </w:p>
    <w:p w14:paraId="55056FC3" w14:textId="61D6BB18" w:rsidR="008D0CAD" w:rsidRPr="00DC5490" w:rsidRDefault="008D0CAD" w:rsidP="00DD08E3">
      <w:pPr>
        <w:widowControl w:val="0"/>
        <w:numPr>
          <w:ilvl w:val="1"/>
          <w:numId w:val="112"/>
        </w:numPr>
        <w:spacing w:before="100" w:beforeAutospacing="1" w:after="100" w:afterAutospacing="1" w:line="360" w:lineRule="auto"/>
        <w:ind w:left="851" w:hanging="425"/>
        <w:contextualSpacing/>
        <w:rPr>
          <w:rFonts w:asciiTheme="majorHAnsi" w:hAnsiTheme="majorHAnsi" w:cstheme="majorHAnsi"/>
          <w:snapToGrid w:val="0"/>
          <w:sz w:val="20"/>
          <w:szCs w:val="20"/>
          <w:lang w:val="en-US"/>
        </w:rPr>
      </w:pPr>
      <w:r w:rsidRPr="00DC5490">
        <w:rPr>
          <w:rFonts w:asciiTheme="majorHAnsi" w:hAnsiTheme="majorHAnsi" w:cstheme="majorHAnsi"/>
          <w:snapToGrid w:val="0"/>
          <w:color w:val="000000" w:themeColor="text1"/>
          <w:sz w:val="20"/>
          <w:szCs w:val="20"/>
          <w:lang w:val="en-US"/>
        </w:rPr>
        <w:t>Do you use formative assessment in your teaching?</w:t>
      </w:r>
      <w:r w:rsidR="00D434EB">
        <w:rPr>
          <w:rFonts w:asciiTheme="majorHAnsi" w:hAnsiTheme="majorHAnsi" w:cstheme="majorHAnsi"/>
          <w:snapToGrid w:val="0"/>
          <w:sz w:val="20"/>
          <w:szCs w:val="20"/>
          <w:lang w:val="en-US"/>
        </w:rPr>
        <w:t xml:space="preserve"> </w:t>
      </w:r>
      <w:r w:rsidRPr="00DC5490">
        <w:rPr>
          <w:rFonts w:asciiTheme="majorHAnsi" w:hAnsiTheme="majorHAnsi" w:cstheme="majorHAnsi"/>
          <w:snapToGrid w:val="0"/>
          <w:sz w:val="20"/>
          <w:szCs w:val="20"/>
          <w:lang w:val="en-US"/>
        </w:rPr>
        <w:t>How often?</w:t>
      </w:r>
    </w:p>
    <w:p w14:paraId="4C9D7291" w14:textId="05D46DDA" w:rsidR="008D0CAD" w:rsidRPr="00DC5490" w:rsidRDefault="008D0CAD" w:rsidP="00DD08E3">
      <w:pPr>
        <w:widowControl w:val="0"/>
        <w:numPr>
          <w:ilvl w:val="1"/>
          <w:numId w:val="112"/>
        </w:numPr>
        <w:spacing w:before="100" w:beforeAutospacing="1" w:after="100" w:afterAutospacing="1" w:line="360" w:lineRule="auto"/>
        <w:ind w:left="851" w:hanging="425"/>
        <w:contextualSpacing/>
        <w:rPr>
          <w:rFonts w:asciiTheme="majorHAnsi" w:hAnsiTheme="majorHAnsi" w:cstheme="majorHAnsi"/>
          <w:snapToGrid w:val="0"/>
          <w:sz w:val="20"/>
          <w:szCs w:val="20"/>
          <w:lang w:val="en-US"/>
        </w:rPr>
      </w:pPr>
      <w:r w:rsidRPr="00DC5490">
        <w:rPr>
          <w:rFonts w:asciiTheme="majorHAnsi" w:hAnsiTheme="majorHAnsi" w:cstheme="majorHAnsi"/>
          <w:snapToGrid w:val="0"/>
          <w:color w:val="000000" w:themeColor="text1"/>
          <w:sz w:val="20"/>
          <w:szCs w:val="20"/>
          <w:lang w:val="en-US"/>
        </w:rPr>
        <w:t>Is the curriculum in your subject area different today from what it was five years ago before the start of the BEST Program?</w:t>
      </w:r>
      <w:r w:rsidR="00D434EB">
        <w:rPr>
          <w:rFonts w:asciiTheme="majorHAnsi" w:hAnsiTheme="majorHAnsi" w:cstheme="majorHAnsi"/>
          <w:snapToGrid w:val="0"/>
          <w:color w:val="000000"/>
          <w:sz w:val="20"/>
          <w:szCs w:val="20"/>
          <w:lang w:val="en-US"/>
        </w:rPr>
        <w:t xml:space="preserve"> </w:t>
      </w:r>
      <w:r w:rsidRPr="00DC5490">
        <w:rPr>
          <w:rFonts w:asciiTheme="majorHAnsi" w:hAnsiTheme="majorHAnsi" w:cstheme="majorHAnsi"/>
          <w:snapToGrid w:val="0"/>
          <w:color w:val="000000"/>
          <w:sz w:val="20"/>
          <w:szCs w:val="20"/>
          <w:lang w:val="en-US"/>
        </w:rPr>
        <w:t>If yes, in what ways?</w:t>
      </w:r>
    </w:p>
    <w:p w14:paraId="4F40FFA3" w14:textId="4186E769" w:rsidR="008D0CAD" w:rsidRPr="00DC5490" w:rsidRDefault="008D0CAD" w:rsidP="00DD08E3">
      <w:pPr>
        <w:widowControl w:val="0"/>
        <w:numPr>
          <w:ilvl w:val="1"/>
          <w:numId w:val="112"/>
        </w:numPr>
        <w:spacing w:before="100" w:beforeAutospacing="1" w:after="100" w:afterAutospacing="1" w:line="360" w:lineRule="auto"/>
        <w:ind w:left="851" w:hanging="425"/>
        <w:contextualSpacing/>
        <w:rPr>
          <w:rFonts w:asciiTheme="majorHAnsi" w:hAnsiTheme="majorHAnsi" w:cstheme="majorHAnsi"/>
          <w:snapToGrid w:val="0"/>
          <w:sz w:val="20"/>
          <w:szCs w:val="20"/>
          <w:lang w:val="en-US"/>
        </w:rPr>
      </w:pPr>
      <w:r w:rsidRPr="00DC5490">
        <w:rPr>
          <w:rFonts w:asciiTheme="majorHAnsi" w:hAnsiTheme="majorHAnsi" w:cstheme="majorHAnsi"/>
          <w:snapToGrid w:val="0"/>
          <w:sz w:val="20"/>
          <w:szCs w:val="20"/>
          <w:lang w:val="en-US"/>
        </w:rPr>
        <w:t>How would you measure the successful implementation of the K to 12 curricula?</w:t>
      </w:r>
      <w:r w:rsidR="00D434EB">
        <w:rPr>
          <w:rFonts w:asciiTheme="majorHAnsi" w:hAnsiTheme="majorHAnsi" w:cstheme="majorHAnsi"/>
          <w:snapToGrid w:val="0"/>
          <w:sz w:val="20"/>
          <w:szCs w:val="20"/>
          <w:lang w:val="en-US"/>
        </w:rPr>
        <w:t xml:space="preserve"> </w:t>
      </w:r>
      <w:r w:rsidRPr="00DC5490">
        <w:rPr>
          <w:rFonts w:asciiTheme="majorHAnsi" w:hAnsiTheme="majorHAnsi" w:cstheme="majorHAnsi"/>
          <w:snapToGrid w:val="0"/>
          <w:sz w:val="20"/>
          <w:szCs w:val="20"/>
          <w:lang w:val="en-US"/>
        </w:rPr>
        <w:t xml:space="preserve"> </w:t>
      </w:r>
    </w:p>
    <w:p w14:paraId="0B9BFDB0" w14:textId="77777777" w:rsidR="008D0CAD" w:rsidRPr="00DC5490" w:rsidRDefault="008D0CAD" w:rsidP="00EA6CB9">
      <w:pPr>
        <w:spacing w:before="100" w:beforeAutospacing="1" w:after="100" w:afterAutospacing="1" w:line="360" w:lineRule="auto"/>
        <w:rPr>
          <w:rFonts w:asciiTheme="majorHAnsi" w:hAnsiTheme="majorHAnsi" w:cstheme="majorHAnsi"/>
          <w:sz w:val="20"/>
          <w:lang w:val="en-US"/>
        </w:rPr>
      </w:pPr>
      <w:r w:rsidRPr="00DC5490">
        <w:rPr>
          <w:rFonts w:asciiTheme="majorHAnsi" w:hAnsiTheme="majorHAnsi" w:cstheme="majorHAnsi"/>
          <w:b/>
          <w:sz w:val="20"/>
          <w:lang w:val="en-US"/>
        </w:rPr>
        <w:t>Unified information system and sub-systems (UISS)</w:t>
      </w:r>
    </w:p>
    <w:p w14:paraId="7A600ADF" w14:textId="6F688F38" w:rsidR="008D0CAD" w:rsidRPr="00DC5490" w:rsidRDefault="008D0CAD" w:rsidP="00DD08E3">
      <w:pPr>
        <w:numPr>
          <w:ilvl w:val="0"/>
          <w:numId w:val="89"/>
        </w:numPr>
        <w:spacing w:before="100" w:beforeAutospacing="1" w:after="100" w:afterAutospacing="1" w:line="360" w:lineRule="auto"/>
        <w:contextualSpacing/>
        <w:rPr>
          <w:rFonts w:asciiTheme="majorHAnsi" w:hAnsiTheme="majorHAnsi" w:cstheme="majorHAnsi"/>
          <w:snapToGrid w:val="0"/>
          <w:sz w:val="20"/>
          <w:szCs w:val="20"/>
          <w:lang w:val="en-US"/>
        </w:rPr>
      </w:pPr>
      <w:r w:rsidRPr="00DC5490">
        <w:rPr>
          <w:rFonts w:asciiTheme="majorHAnsi" w:hAnsiTheme="majorHAnsi" w:cstheme="majorHAnsi"/>
          <w:snapToGrid w:val="0"/>
          <w:sz w:val="20"/>
          <w:szCs w:val="20"/>
          <w:lang w:val="en-US"/>
        </w:rPr>
        <w:t>How accessible and useful are the different information systems in terms of enhancing the overall operations of your School?</w:t>
      </w:r>
      <w:r w:rsidR="00D434EB">
        <w:rPr>
          <w:rFonts w:asciiTheme="majorHAnsi" w:hAnsiTheme="majorHAnsi" w:cstheme="majorHAnsi"/>
          <w:snapToGrid w:val="0"/>
          <w:sz w:val="20"/>
          <w:szCs w:val="20"/>
          <w:lang w:val="en-US"/>
        </w:rPr>
        <w:t xml:space="preserve"> </w:t>
      </w:r>
    </w:p>
    <w:p w14:paraId="518E0738" w14:textId="77777777" w:rsidR="008D0CAD" w:rsidRPr="00DC5490" w:rsidRDefault="008D0CAD" w:rsidP="00DD08E3">
      <w:pPr>
        <w:widowControl w:val="0"/>
        <w:numPr>
          <w:ilvl w:val="1"/>
          <w:numId w:val="99"/>
        </w:numPr>
        <w:spacing w:before="100" w:beforeAutospacing="1" w:after="100" w:afterAutospacing="1" w:line="360" w:lineRule="auto"/>
        <w:ind w:left="851" w:hanging="425"/>
        <w:contextualSpacing/>
        <w:rPr>
          <w:rFonts w:asciiTheme="majorHAnsi" w:hAnsiTheme="majorHAnsi" w:cstheme="majorHAnsi"/>
          <w:snapToGrid w:val="0"/>
          <w:sz w:val="20"/>
          <w:szCs w:val="20"/>
          <w:lang w:val="en-US"/>
        </w:rPr>
      </w:pPr>
      <w:r w:rsidRPr="00DC5490">
        <w:rPr>
          <w:rFonts w:asciiTheme="majorHAnsi" w:hAnsiTheme="majorHAnsi" w:cstheme="majorHAnsi"/>
          <w:snapToGrid w:val="0"/>
          <w:color w:val="000000" w:themeColor="text1"/>
          <w:sz w:val="20"/>
          <w:szCs w:val="20"/>
          <w:lang w:val="en-US"/>
        </w:rPr>
        <w:t xml:space="preserve">Do you use the </w:t>
      </w:r>
      <w:r w:rsidRPr="00DC5490">
        <w:rPr>
          <w:rFonts w:asciiTheme="majorHAnsi" w:hAnsiTheme="majorHAnsi" w:cstheme="majorHAnsi"/>
          <w:snapToGrid w:val="0"/>
          <w:sz w:val="20"/>
          <w:szCs w:val="20"/>
          <w:lang w:val="en-AU"/>
        </w:rPr>
        <w:t>Enhanced Basic Education Information System (EBEIS)</w:t>
      </w:r>
      <w:r w:rsidRPr="00DC5490">
        <w:rPr>
          <w:rFonts w:asciiTheme="majorHAnsi" w:hAnsiTheme="majorHAnsi" w:cstheme="majorHAnsi"/>
          <w:snapToGrid w:val="0"/>
          <w:color w:val="000000" w:themeColor="text1"/>
          <w:sz w:val="20"/>
          <w:szCs w:val="20"/>
          <w:lang w:val="en-US"/>
        </w:rPr>
        <w:t>? Is it easy to access? Is it useful to you as a teacher?</w:t>
      </w:r>
    </w:p>
    <w:p w14:paraId="50B7D313" w14:textId="77777777" w:rsidR="008D0CAD" w:rsidRPr="00DC5490" w:rsidRDefault="008D0CAD" w:rsidP="00DD08E3">
      <w:pPr>
        <w:widowControl w:val="0"/>
        <w:numPr>
          <w:ilvl w:val="1"/>
          <w:numId w:val="99"/>
        </w:numPr>
        <w:spacing w:before="100" w:beforeAutospacing="1" w:after="100" w:afterAutospacing="1" w:line="360" w:lineRule="auto"/>
        <w:ind w:left="851" w:hanging="425"/>
        <w:contextualSpacing/>
        <w:rPr>
          <w:rFonts w:asciiTheme="majorHAnsi" w:hAnsiTheme="majorHAnsi" w:cstheme="majorHAnsi"/>
          <w:snapToGrid w:val="0"/>
          <w:sz w:val="20"/>
          <w:szCs w:val="20"/>
          <w:lang w:val="en-US"/>
        </w:rPr>
      </w:pPr>
      <w:r w:rsidRPr="00DC5490">
        <w:rPr>
          <w:rFonts w:asciiTheme="majorHAnsi" w:hAnsiTheme="majorHAnsi" w:cstheme="majorHAnsi"/>
          <w:snapToGrid w:val="0"/>
          <w:color w:val="000000" w:themeColor="text1"/>
          <w:sz w:val="20"/>
          <w:szCs w:val="20"/>
          <w:lang w:val="en-US"/>
        </w:rPr>
        <w:t>Do you use the Learning Information System? Is it easy to access? Is it useful to you as a as a teacher?</w:t>
      </w:r>
    </w:p>
    <w:p w14:paraId="372950AD" w14:textId="77777777" w:rsidR="008D0CAD" w:rsidRPr="00DC5490" w:rsidRDefault="008D0CAD" w:rsidP="00DD08E3">
      <w:pPr>
        <w:widowControl w:val="0"/>
        <w:numPr>
          <w:ilvl w:val="1"/>
          <w:numId w:val="99"/>
        </w:numPr>
        <w:spacing w:before="100" w:beforeAutospacing="1" w:after="100" w:afterAutospacing="1" w:line="360" w:lineRule="auto"/>
        <w:ind w:left="851" w:hanging="425"/>
        <w:contextualSpacing/>
        <w:rPr>
          <w:rFonts w:asciiTheme="majorHAnsi" w:hAnsiTheme="majorHAnsi" w:cstheme="majorHAnsi"/>
          <w:snapToGrid w:val="0"/>
          <w:sz w:val="20"/>
          <w:szCs w:val="20"/>
          <w:lang w:val="en-US"/>
        </w:rPr>
      </w:pPr>
      <w:r w:rsidRPr="00DC5490">
        <w:rPr>
          <w:rFonts w:asciiTheme="majorHAnsi" w:hAnsiTheme="majorHAnsi" w:cstheme="majorHAnsi"/>
          <w:snapToGrid w:val="0"/>
          <w:color w:val="000000" w:themeColor="text1"/>
          <w:sz w:val="20"/>
          <w:szCs w:val="20"/>
          <w:lang w:val="en-US"/>
        </w:rPr>
        <w:t>Do you use the Learning Resource Portal? Is it easy to access? Is it useful to you as a teacher?</w:t>
      </w:r>
    </w:p>
    <w:p w14:paraId="4708CF58" w14:textId="77777777" w:rsidR="008D0CAD" w:rsidRPr="00DC5490" w:rsidRDefault="008D0CAD" w:rsidP="00EA6CB9">
      <w:pPr>
        <w:spacing w:before="100" w:beforeAutospacing="1" w:after="100" w:afterAutospacing="1" w:line="360" w:lineRule="auto"/>
        <w:rPr>
          <w:rFonts w:asciiTheme="majorHAnsi" w:hAnsiTheme="majorHAnsi" w:cstheme="majorHAnsi"/>
          <w:sz w:val="20"/>
          <w:lang w:val="en-US"/>
        </w:rPr>
      </w:pPr>
      <w:r w:rsidRPr="00DC5490">
        <w:rPr>
          <w:rFonts w:asciiTheme="majorHAnsi" w:hAnsiTheme="majorHAnsi" w:cstheme="majorHAnsi"/>
          <w:b/>
          <w:sz w:val="20"/>
          <w:lang w:val="en-US"/>
        </w:rPr>
        <w:t>Organisational development (OD)</w:t>
      </w:r>
    </w:p>
    <w:p w14:paraId="38073C49" w14:textId="77777777" w:rsidR="008D0CAD" w:rsidRPr="00DC5490" w:rsidRDefault="008D0CAD" w:rsidP="00DD08E3">
      <w:pPr>
        <w:numPr>
          <w:ilvl w:val="0"/>
          <w:numId w:val="89"/>
        </w:numPr>
        <w:spacing w:before="100" w:beforeAutospacing="1" w:after="100" w:afterAutospacing="1" w:line="360" w:lineRule="auto"/>
        <w:contextualSpacing/>
        <w:rPr>
          <w:rFonts w:asciiTheme="majorHAnsi" w:hAnsiTheme="majorHAnsi" w:cstheme="majorHAnsi"/>
          <w:snapToGrid w:val="0"/>
          <w:sz w:val="20"/>
          <w:szCs w:val="20"/>
          <w:lang w:val="en-US"/>
        </w:rPr>
      </w:pPr>
      <w:r w:rsidRPr="00DC5490">
        <w:rPr>
          <w:rFonts w:asciiTheme="majorHAnsi" w:hAnsiTheme="majorHAnsi" w:cstheme="majorHAnsi"/>
          <w:snapToGrid w:val="0"/>
          <w:sz w:val="20"/>
          <w:szCs w:val="20"/>
          <w:lang w:val="en-US"/>
        </w:rPr>
        <w:t>How was Continuous Improvement implemented in your School?</w:t>
      </w:r>
    </w:p>
    <w:p w14:paraId="08A083C8" w14:textId="77777777" w:rsidR="008D0CAD" w:rsidRPr="00DC5490" w:rsidRDefault="008D0CAD" w:rsidP="00DD08E3">
      <w:pPr>
        <w:widowControl w:val="0"/>
        <w:numPr>
          <w:ilvl w:val="1"/>
          <w:numId w:val="101"/>
        </w:numPr>
        <w:spacing w:before="100" w:beforeAutospacing="1" w:after="100" w:afterAutospacing="1" w:line="360" w:lineRule="auto"/>
        <w:ind w:left="851" w:hanging="425"/>
        <w:contextualSpacing/>
        <w:rPr>
          <w:rFonts w:asciiTheme="majorHAnsi" w:hAnsiTheme="majorHAnsi" w:cstheme="majorHAnsi"/>
          <w:snapToGrid w:val="0"/>
          <w:sz w:val="20"/>
          <w:szCs w:val="20"/>
          <w:lang w:val="en-US"/>
        </w:rPr>
      </w:pPr>
      <w:r w:rsidRPr="00DC5490">
        <w:rPr>
          <w:rFonts w:asciiTheme="majorHAnsi" w:hAnsiTheme="majorHAnsi" w:cstheme="majorHAnsi"/>
          <w:snapToGrid w:val="0"/>
          <w:sz w:val="20"/>
          <w:szCs w:val="20"/>
          <w:lang w:val="en-US"/>
        </w:rPr>
        <w:t xml:space="preserve">What indicators do you use to measure the successful implementation of CI projects in your school? </w:t>
      </w:r>
    </w:p>
    <w:p w14:paraId="10EC392B" w14:textId="77777777" w:rsidR="008D0CAD" w:rsidRPr="00DC5490" w:rsidRDefault="008D0CAD" w:rsidP="00DD08E3">
      <w:pPr>
        <w:numPr>
          <w:ilvl w:val="0"/>
          <w:numId w:val="89"/>
        </w:numPr>
        <w:spacing w:before="100" w:beforeAutospacing="1" w:after="100" w:afterAutospacing="1" w:line="360" w:lineRule="auto"/>
        <w:contextualSpacing/>
        <w:rPr>
          <w:rFonts w:asciiTheme="majorHAnsi" w:hAnsiTheme="majorHAnsi" w:cstheme="majorHAnsi"/>
          <w:snapToGrid w:val="0"/>
          <w:sz w:val="20"/>
          <w:szCs w:val="20"/>
          <w:lang w:val="en-US"/>
        </w:rPr>
      </w:pPr>
      <w:r w:rsidRPr="00DC5490">
        <w:rPr>
          <w:rFonts w:asciiTheme="majorHAnsi" w:eastAsiaTheme="minorEastAsia" w:hAnsiTheme="majorHAnsi" w:cstheme="majorHAnsi"/>
          <w:b/>
          <w:snapToGrid w:val="0"/>
          <w:color w:val="000000" w:themeColor="text1"/>
          <w:sz w:val="20"/>
          <w:szCs w:val="20"/>
        </w:rPr>
        <w:t>What were the hindering and facilitating factors to in your School in implementing the basic education reforms in practice</w:t>
      </w:r>
      <w:r w:rsidRPr="00DC5490">
        <w:rPr>
          <w:rFonts w:asciiTheme="majorHAnsi" w:hAnsiTheme="majorHAnsi" w:cstheme="majorHAnsi"/>
          <w:b/>
          <w:snapToGrid w:val="0"/>
          <w:color w:val="000000" w:themeColor="text1"/>
          <w:sz w:val="20"/>
          <w:szCs w:val="20"/>
          <w:lang w:val="en-US"/>
        </w:rPr>
        <w:t>?</w:t>
      </w:r>
    </w:p>
    <w:p w14:paraId="5159F239" w14:textId="77777777" w:rsidR="008D0CAD" w:rsidRPr="00DC5490" w:rsidRDefault="008D0CAD" w:rsidP="00EA6CB9">
      <w:pPr>
        <w:spacing w:before="100" w:beforeAutospacing="1" w:after="100" w:afterAutospacing="1" w:line="360" w:lineRule="auto"/>
        <w:contextualSpacing/>
        <w:rPr>
          <w:rFonts w:asciiTheme="majorHAnsi" w:hAnsiTheme="majorHAnsi" w:cstheme="majorHAnsi"/>
          <w:sz w:val="20"/>
          <w:lang w:val="en-US"/>
        </w:rPr>
      </w:pPr>
    </w:p>
    <w:tbl>
      <w:tblPr>
        <w:tblStyle w:val="TableGrid7"/>
        <w:tblW w:w="0" w:type="auto"/>
        <w:tblLook w:val="04A0" w:firstRow="1" w:lastRow="0" w:firstColumn="1" w:lastColumn="0" w:noHBand="0" w:noVBand="1"/>
      </w:tblPr>
      <w:tblGrid>
        <w:gridCol w:w="2970"/>
        <w:gridCol w:w="3055"/>
        <w:gridCol w:w="2991"/>
      </w:tblGrid>
      <w:tr w:rsidR="008D0CAD" w:rsidRPr="00DC5490" w14:paraId="2F5E6801" w14:textId="77777777" w:rsidTr="009C64E9">
        <w:trPr>
          <w:tblHeader/>
        </w:trPr>
        <w:tc>
          <w:tcPr>
            <w:tcW w:w="3291" w:type="dxa"/>
            <w:shd w:val="clear" w:color="auto" w:fill="D9D9D9" w:themeFill="background1" w:themeFillShade="D9"/>
          </w:tcPr>
          <w:p w14:paraId="02AE591D" w14:textId="77777777" w:rsidR="008D0CAD" w:rsidRPr="00DC5490" w:rsidRDefault="008D0CAD" w:rsidP="00EA6CB9">
            <w:pPr>
              <w:spacing w:before="100" w:beforeAutospacing="1" w:after="100" w:afterAutospacing="1" w:line="360" w:lineRule="auto"/>
              <w:rPr>
                <w:rFonts w:asciiTheme="majorHAnsi" w:hAnsiTheme="majorHAnsi" w:cstheme="majorHAnsi"/>
                <w:color w:val="000000" w:themeColor="text1"/>
                <w:sz w:val="16"/>
                <w:szCs w:val="16"/>
                <w:lang w:val="en-US"/>
              </w:rPr>
            </w:pPr>
          </w:p>
        </w:tc>
        <w:tc>
          <w:tcPr>
            <w:tcW w:w="3291" w:type="dxa"/>
            <w:shd w:val="clear" w:color="auto" w:fill="D9D9D9" w:themeFill="background1" w:themeFillShade="D9"/>
          </w:tcPr>
          <w:p w14:paraId="759D704B" w14:textId="77777777" w:rsidR="008D0CAD" w:rsidRPr="00DC5490" w:rsidRDefault="008D0CAD" w:rsidP="00DD08E3">
            <w:pPr>
              <w:numPr>
                <w:ilvl w:val="1"/>
                <w:numId w:val="85"/>
              </w:numPr>
              <w:spacing w:before="100" w:beforeAutospacing="1" w:after="100" w:afterAutospacing="1" w:line="360" w:lineRule="auto"/>
              <w:ind w:left="469" w:hanging="450"/>
              <w:contextualSpacing/>
              <w:rPr>
                <w:rFonts w:asciiTheme="majorHAnsi" w:hAnsiTheme="majorHAnsi" w:cstheme="majorHAnsi"/>
                <w:snapToGrid w:val="0"/>
                <w:color w:val="000000" w:themeColor="text1"/>
                <w:sz w:val="16"/>
                <w:szCs w:val="16"/>
                <w:lang w:val="en-US"/>
              </w:rPr>
            </w:pPr>
            <w:r w:rsidRPr="00DC5490">
              <w:rPr>
                <w:rFonts w:asciiTheme="majorHAnsi" w:hAnsiTheme="majorHAnsi" w:cstheme="majorHAnsi"/>
                <w:snapToGrid w:val="0"/>
                <w:color w:val="000000" w:themeColor="text1"/>
                <w:sz w:val="16"/>
                <w:szCs w:val="16"/>
                <w:lang w:val="en-US"/>
              </w:rPr>
              <w:t>What are the hindering factors in the implementation of the reforms in your School?</w:t>
            </w:r>
          </w:p>
        </w:tc>
        <w:tc>
          <w:tcPr>
            <w:tcW w:w="3292" w:type="dxa"/>
            <w:shd w:val="clear" w:color="auto" w:fill="D9D9D9" w:themeFill="background1" w:themeFillShade="D9"/>
          </w:tcPr>
          <w:p w14:paraId="33E9E762" w14:textId="77777777" w:rsidR="008D0CAD" w:rsidRPr="00DC5490" w:rsidRDefault="008D0CAD" w:rsidP="00DD08E3">
            <w:pPr>
              <w:numPr>
                <w:ilvl w:val="1"/>
                <w:numId w:val="85"/>
              </w:numPr>
              <w:spacing w:before="100" w:beforeAutospacing="1" w:after="100" w:afterAutospacing="1" w:line="360" w:lineRule="auto"/>
              <w:ind w:left="420" w:hanging="420"/>
              <w:contextualSpacing/>
              <w:rPr>
                <w:rFonts w:asciiTheme="majorHAnsi" w:hAnsiTheme="majorHAnsi" w:cstheme="majorHAnsi"/>
                <w:snapToGrid w:val="0"/>
                <w:color w:val="000000" w:themeColor="text1"/>
                <w:sz w:val="16"/>
                <w:szCs w:val="16"/>
                <w:lang w:val="en-US"/>
              </w:rPr>
            </w:pPr>
            <w:r w:rsidRPr="00DC5490">
              <w:rPr>
                <w:rFonts w:asciiTheme="majorHAnsi" w:hAnsiTheme="majorHAnsi" w:cstheme="majorHAnsi"/>
                <w:snapToGrid w:val="0"/>
                <w:color w:val="000000" w:themeColor="text1"/>
                <w:sz w:val="16"/>
                <w:szCs w:val="16"/>
                <w:lang w:val="en-US"/>
              </w:rPr>
              <w:t>What factors helped in making the basic education reforms successful in your School?</w:t>
            </w:r>
          </w:p>
        </w:tc>
      </w:tr>
      <w:tr w:rsidR="008D0CAD" w:rsidRPr="00DC5490" w14:paraId="5F9F2EB2" w14:textId="77777777" w:rsidTr="009C64E9">
        <w:tc>
          <w:tcPr>
            <w:tcW w:w="3291" w:type="dxa"/>
          </w:tcPr>
          <w:p w14:paraId="53C8BA31" w14:textId="77777777" w:rsidR="008D0CAD" w:rsidRPr="00DC5490" w:rsidRDefault="008D0CAD" w:rsidP="00EA6CB9">
            <w:pPr>
              <w:spacing w:before="100" w:beforeAutospacing="1" w:after="100" w:afterAutospacing="1" w:line="360" w:lineRule="auto"/>
              <w:contextualSpacing/>
              <w:rPr>
                <w:rFonts w:asciiTheme="majorHAnsi" w:hAnsiTheme="majorHAnsi" w:cstheme="majorHAnsi"/>
                <w:color w:val="000000" w:themeColor="text1"/>
                <w:sz w:val="16"/>
                <w:szCs w:val="16"/>
                <w:lang w:val="en-US"/>
              </w:rPr>
            </w:pPr>
            <w:r w:rsidRPr="00DC5490">
              <w:rPr>
                <w:rFonts w:asciiTheme="majorHAnsi" w:hAnsiTheme="majorHAnsi" w:cstheme="majorHAnsi"/>
                <w:color w:val="000000" w:themeColor="text1"/>
                <w:sz w:val="16"/>
                <w:szCs w:val="16"/>
                <w:lang w:val="en-US"/>
              </w:rPr>
              <w:t>Learning and Development (L&amp;D) System</w:t>
            </w:r>
          </w:p>
        </w:tc>
        <w:tc>
          <w:tcPr>
            <w:tcW w:w="3291" w:type="dxa"/>
          </w:tcPr>
          <w:p w14:paraId="569BBCBF" w14:textId="77777777" w:rsidR="008D0CAD" w:rsidRPr="00DC5490" w:rsidRDefault="008D0CAD" w:rsidP="00EA6CB9">
            <w:pPr>
              <w:spacing w:before="100" w:beforeAutospacing="1" w:after="100" w:afterAutospacing="1" w:line="360" w:lineRule="auto"/>
              <w:rPr>
                <w:rFonts w:asciiTheme="majorHAnsi" w:hAnsiTheme="majorHAnsi" w:cstheme="majorHAnsi"/>
                <w:color w:val="000000" w:themeColor="text1"/>
                <w:sz w:val="16"/>
                <w:szCs w:val="16"/>
                <w:lang w:val="en-US"/>
              </w:rPr>
            </w:pPr>
          </w:p>
        </w:tc>
        <w:tc>
          <w:tcPr>
            <w:tcW w:w="3292" w:type="dxa"/>
          </w:tcPr>
          <w:p w14:paraId="2FA4C826" w14:textId="77777777" w:rsidR="008D0CAD" w:rsidRPr="00DC5490" w:rsidRDefault="008D0CAD" w:rsidP="00EA6CB9">
            <w:pPr>
              <w:spacing w:before="100" w:beforeAutospacing="1" w:after="100" w:afterAutospacing="1" w:line="360" w:lineRule="auto"/>
              <w:rPr>
                <w:rFonts w:asciiTheme="majorHAnsi" w:hAnsiTheme="majorHAnsi" w:cstheme="majorHAnsi"/>
                <w:color w:val="000000" w:themeColor="text1"/>
                <w:sz w:val="16"/>
                <w:szCs w:val="16"/>
                <w:lang w:val="en-US"/>
              </w:rPr>
            </w:pPr>
          </w:p>
        </w:tc>
      </w:tr>
      <w:tr w:rsidR="008D0CAD" w:rsidRPr="00DC5490" w14:paraId="48C034EC" w14:textId="77777777" w:rsidTr="009C64E9">
        <w:tc>
          <w:tcPr>
            <w:tcW w:w="3291" w:type="dxa"/>
          </w:tcPr>
          <w:p w14:paraId="78CF5B25" w14:textId="77777777" w:rsidR="008D0CAD" w:rsidRPr="00DC5490" w:rsidRDefault="008D0CAD" w:rsidP="00EA6CB9">
            <w:pPr>
              <w:spacing w:before="100" w:beforeAutospacing="1" w:after="100" w:afterAutospacing="1" w:line="360" w:lineRule="auto"/>
              <w:contextualSpacing/>
              <w:rPr>
                <w:rFonts w:asciiTheme="majorHAnsi" w:hAnsiTheme="majorHAnsi" w:cstheme="majorHAnsi"/>
                <w:color w:val="000000" w:themeColor="text1"/>
                <w:sz w:val="16"/>
                <w:szCs w:val="16"/>
                <w:lang w:val="en-US"/>
              </w:rPr>
            </w:pPr>
            <w:r w:rsidRPr="00DC5490">
              <w:rPr>
                <w:rFonts w:asciiTheme="majorHAnsi" w:hAnsiTheme="majorHAnsi" w:cstheme="majorHAnsi"/>
                <w:color w:val="000000" w:themeColor="text1"/>
                <w:sz w:val="16"/>
                <w:szCs w:val="16"/>
                <w:lang w:val="en-US"/>
              </w:rPr>
              <w:t>Philippine Professional Standards for Teachers (PPST)</w:t>
            </w:r>
          </w:p>
        </w:tc>
        <w:tc>
          <w:tcPr>
            <w:tcW w:w="3291" w:type="dxa"/>
          </w:tcPr>
          <w:p w14:paraId="45E89DA4" w14:textId="77777777" w:rsidR="008D0CAD" w:rsidRPr="00DC5490" w:rsidRDefault="008D0CAD" w:rsidP="00EA6CB9">
            <w:pPr>
              <w:spacing w:before="100" w:beforeAutospacing="1" w:after="100" w:afterAutospacing="1" w:line="360" w:lineRule="auto"/>
              <w:rPr>
                <w:rFonts w:asciiTheme="majorHAnsi" w:hAnsiTheme="majorHAnsi" w:cstheme="majorHAnsi"/>
                <w:color w:val="000000" w:themeColor="text1"/>
                <w:sz w:val="16"/>
                <w:szCs w:val="16"/>
                <w:lang w:val="en-US"/>
              </w:rPr>
            </w:pPr>
          </w:p>
        </w:tc>
        <w:tc>
          <w:tcPr>
            <w:tcW w:w="3292" w:type="dxa"/>
          </w:tcPr>
          <w:p w14:paraId="07F47885" w14:textId="77777777" w:rsidR="008D0CAD" w:rsidRPr="00DC5490" w:rsidRDefault="008D0CAD" w:rsidP="00EA6CB9">
            <w:pPr>
              <w:spacing w:before="100" w:beforeAutospacing="1" w:after="100" w:afterAutospacing="1" w:line="360" w:lineRule="auto"/>
              <w:rPr>
                <w:rFonts w:asciiTheme="majorHAnsi" w:hAnsiTheme="majorHAnsi" w:cstheme="majorHAnsi"/>
                <w:color w:val="000000" w:themeColor="text1"/>
                <w:sz w:val="16"/>
                <w:szCs w:val="16"/>
                <w:lang w:val="en-US"/>
              </w:rPr>
            </w:pPr>
          </w:p>
        </w:tc>
      </w:tr>
      <w:tr w:rsidR="008D0CAD" w:rsidRPr="00DC5490" w14:paraId="548D7B84" w14:textId="77777777" w:rsidTr="009C64E9">
        <w:tc>
          <w:tcPr>
            <w:tcW w:w="3291" w:type="dxa"/>
          </w:tcPr>
          <w:p w14:paraId="10BB1AD4" w14:textId="77777777" w:rsidR="008D0CAD" w:rsidRPr="00DC5490" w:rsidRDefault="008D0CAD" w:rsidP="00EA6CB9">
            <w:pPr>
              <w:spacing w:before="100" w:beforeAutospacing="1" w:after="100" w:afterAutospacing="1" w:line="360" w:lineRule="auto"/>
              <w:contextualSpacing/>
              <w:rPr>
                <w:rFonts w:asciiTheme="majorHAnsi" w:hAnsiTheme="majorHAnsi" w:cstheme="majorHAnsi"/>
                <w:color w:val="000000" w:themeColor="text1"/>
                <w:sz w:val="16"/>
                <w:szCs w:val="16"/>
                <w:lang w:val="en-US"/>
              </w:rPr>
            </w:pPr>
            <w:r w:rsidRPr="00DC5490">
              <w:rPr>
                <w:rFonts w:asciiTheme="majorHAnsi" w:hAnsiTheme="majorHAnsi" w:cstheme="majorHAnsi"/>
                <w:color w:val="000000" w:themeColor="text1"/>
                <w:sz w:val="16"/>
                <w:szCs w:val="16"/>
                <w:lang w:val="en-US"/>
              </w:rPr>
              <w:t>K-12 Curricula and Assessment</w:t>
            </w:r>
          </w:p>
        </w:tc>
        <w:tc>
          <w:tcPr>
            <w:tcW w:w="3291" w:type="dxa"/>
          </w:tcPr>
          <w:p w14:paraId="7500E95D" w14:textId="77777777" w:rsidR="008D0CAD" w:rsidRPr="00DC5490" w:rsidRDefault="008D0CAD" w:rsidP="00EA6CB9">
            <w:pPr>
              <w:spacing w:before="100" w:beforeAutospacing="1" w:after="100" w:afterAutospacing="1" w:line="360" w:lineRule="auto"/>
              <w:rPr>
                <w:rFonts w:asciiTheme="majorHAnsi" w:hAnsiTheme="majorHAnsi" w:cstheme="majorHAnsi"/>
                <w:color w:val="000000" w:themeColor="text1"/>
                <w:sz w:val="16"/>
                <w:szCs w:val="16"/>
                <w:lang w:val="en-US"/>
              </w:rPr>
            </w:pPr>
          </w:p>
        </w:tc>
        <w:tc>
          <w:tcPr>
            <w:tcW w:w="3292" w:type="dxa"/>
          </w:tcPr>
          <w:p w14:paraId="3F059763" w14:textId="77777777" w:rsidR="008D0CAD" w:rsidRPr="00DC5490" w:rsidRDefault="008D0CAD" w:rsidP="00EA6CB9">
            <w:pPr>
              <w:spacing w:before="100" w:beforeAutospacing="1" w:after="100" w:afterAutospacing="1" w:line="360" w:lineRule="auto"/>
              <w:rPr>
                <w:rFonts w:asciiTheme="majorHAnsi" w:hAnsiTheme="majorHAnsi" w:cstheme="majorHAnsi"/>
                <w:color w:val="000000" w:themeColor="text1"/>
                <w:sz w:val="16"/>
                <w:szCs w:val="16"/>
                <w:lang w:val="en-US"/>
              </w:rPr>
            </w:pPr>
          </w:p>
        </w:tc>
      </w:tr>
      <w:tr w:rsidR="008D0CAD" w:rsidRPr="00DC5490" w14:paraId="634FE39A" w14:textId="77777777" w:rsidTr="009C64E9">
        <w:tc>
          <w:tcPr>
            <w:tcW w:w="3291" w:type="dxa"/>
          </w:tcPr>
          <w:p w14:paraId="52C86CE4" w14:textId="77777777" w:rsidR="008D0CAD" w:rsidRPr="00DC5490" w:rsidRDefault="008D0CAD" w:rsidP="00EA6CB9">
            <w:pPr>
              <w:spacing w:before="100" w:beforeAutospacing="1" w:after="100" w:afterAutospacing="1" w:line="360" w:lineRule="auto"/>
              <w:contextualSpacing/>
              <w:rPr>
                <w:rFonts w:asciiTheme="majorHAnsi" w:hAnsiTheme="majorHAnsi" w:cstheme="majorHAnsi"/>
                <w:color w:val="000000" w:themeColor="text1"/>
                <w:sz w:val="16"/>
                <w:szCs w:val="16"/>
                <w:lang w:val="en-US"/>
              </w:rPr>
            </w:pPr>
            <w:r w:rsidRPr="00DC5490">
              <w:rPr>
                <w:rFonts w:asciiTheme="majorHAnsi" w:hAnsiTheme="majorHAnsi" w:cstheme="majorHAnsi"/>
                <w:color w:val="000000" w:themeColor="text1"/>
                <w:sz w:val="16"/>
                <w:szCs w:val="16"/>
                <w:lang w:val="en-US"/>
              </w:rPr>
              <w:t>Gender, Disability and Inclusive Education</w:t>
            </w:r>
          </w:p>
        </w:tc>
        <w:tc>
          <w:tcPr>
            <w:tcW w:w="3291" w:type="dxa"/>
          </w:tcPr>
          <w:p w14:paraId="6E063CEB" w14:textId="77777777" w:rsidR="008D0CAD" w:rsidRPr="00DC5490" w:rsidRDefault="008D0CAD" w:rsidP="00EA6CB9">
            <w:pPr>
              <w:spacing w:before="100" w:beforeAutospacing="1" w:after="100" w:afterAutospacing="1" w:line="360" w:lineRule="auto"/>
              <w:rPr>
                <w:rFonts w:asciiTheme="majorHAnsi" w:hAnsiTheme="majorHAnsi" w:cstheme="majorHAnsi"/>
                <w:color w:val="000000" w:themeColor="text1"/>
                <w:sz w:val="16"/>
                <w:szCs w:val="16"/>
                <w:lang w:val="en-US"/>
              </w:rPr>
            </w:pPr>
          </w:p>
        </w:tc>
        <w:tc>
          <w:tcPr>
            <w:tcW w:w="3292" w:type="dxa"/>
          </w:tcPr>
          <w:p w14:paraId="005BF843" w14:textId="77777777" w:rsidR="008D0CAD" w:rsidRPr="00DC5490" w:rsidRDefault="008D0CAD" w:rsidP="00EA6CB9">
            <w:pPr>
              <w:spacing w:before="100" w:beforeAutospacing="1" w:after="100" w:afterAutospacing="1" w:line="360" w:lineRule="auto"/>
              <w:rPr>
                <w:rFonts w:asciiTheme="majorHAnsi" w:hAnsiTheme="majorHAnsi" w:cstheme="majorHAnsi"/>
                <w:color w:val="000000" w:themeColor="text1"/>
                <w:sz w:val="16"/>
                <w:szCs w:val="16"/>
                <w:lang w:val="en-US"/>
              </w:rPr>
            </w:pPr>
          </w:p>
        </w:tc>
      </w:tr>
      <w:tr w:rsidR="008D0CAD" w:rsidRPr="00DC5490" w14:paraId="06932C3C" w14:textId="77777777" w:rsidTr="009C64E9">
        <w:tc>
          <w:tcPr>
            <w:tcW w:w="3291" w:type="dxa"/>
          </w:tcPr>
          <w:p w14:paraId="0ADB6CCF" w14:textId="77777777" w:rsidR="008D0CAD" w:rsidRPr="00DC5490" w:rsidRDefault="008D0CAD" w:rsidP="00EA6CB9">
            <w:pPr>
              <w:spacing w:before="100" w:beforeAutospacing="1" w:after="100" w:afterAutospacing="1" w:line="360" w:lineRule="auto"/>
              <w:contextualSpacing/>
              <w:rPr>
                <w:rFonts w:asciiTheme="majorHAnsi" w:hAnsiTheme="majorHAnsi" w:cstheme="majorHAnsi"/>
                <w:color w:val="000000" w:themeColor="text1"/>
                <w:sz w:val="16"/>
                <w:szCs w:val="16"/>
                <w:lang w:val="en-US"/>
              </w:rPr>
            </w:pPr>
            <w:r w:rsidRPr="00DC5490">
              <w:rPr>
                <w:rFonts w:asciiTheme="majorHAnsi" w:hAnsiTheme="majorHAnsi" w:cstheme="majorHAnsi"/>
                <w:color w:val="000000" w:themeColor="text1"/>
                <w:sz w:val="16"/>
                <w:szCs w:val="16"/>
                <w:lang w:val="en-US"/>
              </w:rPr>
              <w:t>Organisational Development</w:t>
            </w:r>
          </w:p>
        </w:tc>
        <w:tc>
          <w:tcPr>
            <w:tcW w:w="3291" w:type="dxa"/>
          </w:tcPr>
          <w:p w14:paraId="1EE9E53E" w14:textId="77777777" w:rsidR="008D0CAD" w:rsidRPr="00DC5490" w:rsidRDefault="008D0CAD" w:rsidP="00EA6CB9">
            <w:pPr>
              <w:spacing w:before="100" w:beforeAutospacing="1" w:after="100" w:afterAutospacing="1" w:line="360" w:lineRule="auto"/>
              <w:rPr>
                <w:rFonts w:asciiTheme="majorHAnsi" w:hAnsiTheme="majorHAnsi" w:cstheme="majorHAnsi"/>
                <w:color w:val="000000" w:themeColor="text1"/>
                <w:sz w:val="16"/>
                <w:szCs w:val="16"/>
                <w:lang w:val="en-US"/>
              </w:rPr>
            </w:pPr>
          </w:p>
        </w:tc>
        <w:tc>
          <w:tcPr>
            <w:tcW w:w="3292" w:type="dxa"/>
          </w:tcPr>
          <w:p w14:paraId="0E0C3D2A" w14:textId="77777777" w:rsidR="008D0CAD" w:rsidRPr="00DC5490" w:rsidRDefault="008D0CAD" w:rsidP="00EA6CB9">
            <w:pPr>
              <w:spacing w:before="100" w:beforeAutospacing="1" w:after="100" w:afterAutospacing="1" w:line="360" w:lineRule="auto"/>
              <w:rPr>
                <w:rFonts w:asciiTheme="majorHAnsi" w:hAnsiTheme="majorHAnsi" w:cstheme="majorHAnsi"/>
                <w:color w:val="000000" w:themeColor="text1"/>
                <w:sz w:val="16"/>
                <w:szCs w:val="16"/>
                <w:lang w:val="en-US"/>
              </w:rPr>
            </w:pPr>
          </w:p>
        </w:tc>
      </w:tr>
    </w:tbl>
    <w:p w14:paraId="5714A135" w14:textId="77777777" w:rsidR="008D0CAD" w:rsidRPr="00DC5490" w:rsidRDefault="008D0CAD" w:rsidP="00EA6CB9">
      <w:pPr>
        <w:spacing w:before="100" w:beforeAutospacing="1" w:after="100" w:afterAutospacing="1" w:line="360" w:lineRule="auto"/>
        <w:contextualSpacing/>
        <w:rPr>
          <w:rFonts w:asciiTheme="majorHAnsi" w:hAnsiTheme="majorHAnsi" w:cstheme="majorHAnsi"/>
          <w:sz w:val="20"/>
          <w:lang w:val="en-US"/>
        </w:rPr>
      </w:pPr>
    </w:p>
    <w:p w14:paraId="4D795CEC" w14:textId="77777777" w:rsidR="008D0CAD" w:rsidRPr="00DC5490" w:rsidRDefault="008D0CAD" w:rsidP="00DD08E3">
      <w:pPr>
        <w:numPr>
          <w:ilvl w:val="0"/>
          <w:numId w:val="89"/>
        </w:numPr>
        <w:spacing w:before="100" w:beforeAutospacing="1" w:after="100" w:afterAutospacing="1" w:line="360" w:lineRule="auto"/>
        <w:rPr>
          <w:rFonts w:asciiTheme="majorHAnsi" w:hAnsiTheme="majorHAnsi" w:cstheme="majorHAnsi"/>
          <w:snapToGrid w:val="0"/>
          <w:color w:val="000000" w:themeColor="text1"/>
          <w:sz w:val="20"/>
          <w:szCs w:val="20"/>
          <w:lang w:val="en-US"/>
        </w:rPr>
      </w:pPr>
      <w:r w:rsidRPr="00DC5490">
        <w:rPr>
          <w:rFonts w:asciiTheme="majorHAnsi" w:hAnsiTheme="majorHAnsi" w:cstheme="majorHAnsi"/>
          <w:snapToGrid w:val="0"/>
          <w:color w:val="000000" w:themeColor="text1"/>
          <w:sz w:val="20"/>
          <w:szCs w:val="20"/>
          <w:lang w:val="en-US"/>
        </w:rPr>
        <w:t>How significant are the improvements in students’ learning outcomes in your School in the last five years? Please give specific examples.</w:t>
      </w:r>
    </w:p>
    <w:p w14:paraId="43EEAE70" w14:textId="766275F5" w:rsidR="008D0CAD" w:rsidRPr="00DC5490" w:rsidRDefault="008D0CAD" w:rsidP="00DD08E3">
      <w:pPr>
        <w:numPr>
          <w:ilvl w:val="0"/>
          <w:numId w:val="89"/>
        </w:numPr>
        <w:spacing w:before="100" w:beforeAutospacing="1" w:after="100" w:afterAutospacing="1" w:line="360" w:lineRule="auto"/>
        <w:rPr>
          <w:rFonts w:asciiTheme="majorHAnsi" w:hAnsiTheme="majorHAnsi" w:cstheme="majorHAnsi"/>
          <w:snapToGrid w:val="0"/>
          <w:color w:val="000000" w:themeColor="text1"/>
          <w:sz w:val="20"/>
          <w:szCs w:val="20"/>
          <w:lang w:val="en-US"/>
        </w:rPr>
      </w:pPr>
      <w:r w:rsidRPr="00DC5490">
        <w:rPr>
          <w:rFonts w:asciiTheme="majorHAnsi" w:hAnsiTheme="majorHAnsi" w:cstheme="majorHAnsi"/>
          <w:bCs/>
          <w:snapToGrid w:val="0"/>
          <w:sz w:val="20"/>
          <w:szCs w:val="20"/>
          <w:lang w:val="en-US"/>
        </w:rPr>
        <w:t>What is the likelihood that the basic education reforms will be sustained after the end of the BEST Program?</w:t>
      </w:r>
      <w:r w:rsidR="00D434EB">
        <w:rPr>
          <w:rFonts w:asciiTheme="majorHAnsi" w:hAnsiTheme="majorHAnsi" w:cstheme="majorHAnsi"/>
          <w:bCs/>
          <w:snapToGrid w:val="0"/>
          <w:sz w:val="20"/>
          <w:szCs w:val="20"/>
          <w:lang w:val="en-US"/>
        </w:rPr>
        <w:t xml:space="preserve"> </w:t>
      </w:r>
      <w:r w:rsidRPr="00DC5490">
        <w:rPr>
          <w:rFonts w:asciiTheme="majorHAnsi" w:hAnsiTheme="majorHAnsi" w:cstheme="majorHAnsi"/>
          <w:snapToGrid w:val="0"/>
          <w:color w:val="000000" w:themeColor="text1"/>
          <w:sz w:val="20"/>
          <w:szCs w:val="20"/>
          <w:lang w:val="en-US"/>
        </w:rPr>
        <w:t>Please cite specific evidences.</w:t>
      </w:r>
    </w:p>
    <w:p w14:paraId="36A6DD53" w14:textId="77777777" w:rsidR="008D0CAD" w:rsidRPr="00DC5490" w:rsidRDefault="008D0CAD" w:rsidP="00DD08E3">
      <w:pPr>
        <w:numPr>
          <w:ilvl w:val="0"/>
          <w:numId w:val="89"/>
        </w:numPr>
        <w:spacing w:before="100" w:beforeAutospacing="1" w:after="100" w:afterAutospacing="1" w:line="360" w:lineRule="auto"/>
        <w:rPr>
          <w:rFonts w:asciiTheme="majorHAnsi" w:hAnsiTheme="majorHAnsi" w:cstheme="majorHAnsi"/>
          <w:snapToGrid w:val="0"/>
          <w:sz w:val="20"/>
          <w:szCs w:val="20"/>
          <w:lang w:val="en-US"/>
        </w:rPr>
      </w:pPr>
      <w:r w:rsidRPr="00DC5490">
        <w:rPr>
          <w:rFonts w:asciiTheme="majorHAnsi" w:hAnsiTheme="majorHAnsi" w:cstheme="majorHAnsi"/>
          <w:snapToGrid w:val="0"/>
          <w:sz w:val="20"/>
          <w:szCs w:val="20"/>
          <w:lang w:val="en-US"/>
        </w:rPr>
        <w:t>Please give your recommendations.</w:t>
      </w:r>
    </w:p>
    <w:p w14:paraId="3A857C70" w14:textId="77777777" w:rsidR="008D0CAD" w:rsidRPr="00DC5490" w:rsidRDefault="008D0CAD" w:rsidP="00DD08E3">
      <w:pPr>
        <w:widowControl w:val="0"/>
        <w:numPr>
          <w:ilvl w:val="1"/>
          <w:numId w:val="113"/>
        </w:numPr>
        <w:spacing w:before="100" w:beforeAutospacing="1" w:after="100" w:afterAutospacing="1" w:line="360" w:lineRule="auto"/>
        <w:ind w:left="993" w:hanging="567"/>
        <w:rPr>
          <w:rFonts w:asciiTheme="majorHAnsi" w:hAnsiTheme="majorHAnsi" w:cstheme="majorHAnsi"/>
          <w:snapToGrid w:val="0"/>
          <w:sz w:val="20"/>
          <w:szCs w:val="20"/>
          <w:lang w:val="en-US"/>
        </w:rPr>
      </w:pPr>
      <w:r w:rsidRPr="00DC5490">
        <w:rPr>
          <w:rFonts w:asciiTheme="majorHAnsi" w:hAnsiTheme="majorHAnsi" w:cstheme="majorHAnsi"/>
          <w:snapToGrid w:val="0"/>
          <w:sz w:val="20"/>
          <w:szCs w:val="20"/>
          <w:lang w:val="en-US"/>
        </w:rPr>
        <w:t>What recommendations can you give to sustain the different basic education reforms that were introduced in the last five years?</w:t>
      </w:r>
    </w:p>
    <w:p w14:paraId="09284800" w14:textId="77777777" w:rsidR="008D0CAD" w:rsidRPr="00DC5490" w:rsidRDefault="008D0CAD" w:rsidP="00EA6CB9">
      <w:pPr>
        <w:spacing w:before="100" w:beforeAutospacing="1" w:after="100" w:afterAutospacing="1" w:line="360" w:lineRule="auto"/>
        <w:rPr>
          <w:rFonts w:asciiTheme="majorHAnsi" w:hAnsiTheme="majorHAnsi" w:cstheme="majorHAnsi"/>
          <w:sz w:val="20"/>
          <w:szCs w:val="20"/>
          <w:lang w:val="en-US"/>
        </w:rPr>
      </w:pPr>
      <w:r w:rsidRPr="00DC5490">
        <w:rPr>
          <w:rFonts w:asciiTheme="majorHAnsi" w:hAnsiTheme="majorHAnsi" w:cstheme="majorHAnsi"/>
          <w:sz w:val="20"/>
          <w:szCs w:val="20"/>
          <w:lang w:val="en-US"/>
        </w:rPr>
        <w:t>Thank you very much for your active participation.</w:t>
      </w:r>
    </w:p>
    <w:p w14:paraId="78DCD48E" w14:textId="77777777" w:rsidR="008D0CAD" w:rsidRPr="00DC5490" w:rsidRDefault="008D0CAD" w:rsidP="00EA6CB9">
      <w:pPr>
        <w:spacing w:before="100" w:beforeAutospacing="1" w:after="100" w:afterAutospacing="1" w:line="360" w:lineRule="auto"/>
        <w:rPr>
          <w:rFonts w:asciiTheme="majorHAnsi" w:hAnsiTheme="majorHAnsi" w:cstheme="majorHAnsi"/>
          <w:sz w:val="20"/>
          <w:szCs w:val="20"/>
          <w:lang w:val="en-US"/>
        </w:rPr>
      </w:pPr>
      <w:r w:rsidRPr="00DC5490">
        <w:rPr>
          <w:rFonts w:asciiTheme="majorHAnsi" w:hAnsiTheme="majorHAnsi" w:cstheme="majorHAnsi"/>
          <w:sz w:val="20"/>
          <w:szCs w:val="20"/>
          <w:lang w:val="en-US"/>
        </w:rPr>
        <w:t>Good luck on the implementation of the basic education reforms in your school.</w:t>
      </w:r>
    </w:p>
    <w:p w14:paraId="443AE284" w14:textId="3A54270C" w:rsidR="008D0CAD" w:rsidRPr="00DC5490" w:rsidRDefault="008D0CAD" w:rsidP="00EA6CB9">
      <w:pPr>
        <w:pStyle w:val="Heading2"/>
        <w:pageBreakBefore/>
        <w:numPr>
          <w:ilvl w:val="0"/>
          <w:numId w:val="0"/>
        </w:numPr>
        <w:spacing w:before="100" w:beforeAutospacing="1" w:after="100" w:afterAutospacing="1" w:line="360" w:lineRule="auto"/>
        <w:ind w:left="1287" w:hanging="720"/>
      </w:pPr>
      <w:bookmarkStart w:id="294" w:name="_Toc39938381"/>
      <w:bookmarkStart w:id="295" w:name="_Toc69820486"/>
      <w:r w:rsidRPr="00DC5490">
        <w:t>Annex M.</w:t>
      </w:r>
      <w:r w:rsidR="00D434EB">
        <w:t xml:space="preserve"> </w:t>
      </w:r>
      <w:r w:rsidRPr="00DC5490">
        <w:t>2019 KAU Survey Tool</w:t>
      </w:r>
      <w:bookmarkEnd w:id="294"/>
      <w:bookmarkEnd w:id="295"/>
    </w:p>
    <w:p w14:paraId="76B38FE8" w14:textId="6B40E810" w:rsidR="008D0CAD" w:rsidRPr="00EA6CB9" w:rsidRDefault="008D0CAD" w:rsidP="00EA6CB9">
      <w:pPr>
        <w:pStyle w:val="Heading3"/>
        <w:spacing w:before="100" w:beforeAutospacing="1" w:after="100" w:afterAutospacing="1" w:line="360" w:lineRule="auto"/>
        <w:rPr>
          <w:lang w:val="en-US"/>
        </w:rPr>
      </w:pPr>
      <w:bookmarkStart w:id="296" w:name="_Toc39938382"/>
      <w:bookmarkStart w:id="297" w:name="_Toc69820487"/>
      <w:r w:rsidRPr="00DC5490">
        <w:rPr>
          <w:lang w:val="en-US"/>
        </w:rPr>
        <w:t>Annex M-1: 2019 KAU Survey Tool for Principals/School Heads (PSHs)</w:t>
      </w:r>
      <w:bookmarkEnd w:id="296"/>
      <w:bookmarkEnd w:id="297"/>
    </w:p>
    <w:p w14:paraId="067C093E" w14:textId="34139F68" w:rsidR="008D0CAD" w:rsidRPr="00EA6CB9" w:rsidRDefault="008D0CAD" w:rsidP="00EA6CB9">
      <w:pPr>
        <w:spacing w:before="100" w:beforeAutospacing="1" w:after="100" w:afterAutospacing="1" w:line="360" w:lineRule="auto"/>
        <w:rPr>
          <w:rFonts w:asciiTheme="majorHAnsi" w:hAnsiTheme="majorHAnsi" w:cstheme="majorHAnsi"/>
          <w:b/>
          <w:sz w:val="20"/>
          <w:szCs w:val="20"/>
          <w:lang w:val="en-US"/>
        </w:rPr>
      </w:pPr>
      <w:r w:rsidRPr="00DC5490">
        <w:rPr>
          <w:rFonts w:asciiTheme="majorHAnsi" w:hAnsiTheme="majorHAnsi" w:cstheme="majorHAnsi"/>
          <w:b/>
          <w:bCs/>
          <w:color w:val="000000"/>
          <w:sz w:val="20"/>
          <w:szCs w:val="20"/>
          <w:lang w:val="en-US"/>
        </w:rPr>
        <w:t xml:space="preserve">A </w:t>
      </w:r>
      <w:r w:rsidRPr="00DC5490">
        <w:rPr>
          <w:rFonts w:asciiTheme="majorHAnsi" w:hAnsiTheme="majorHAnsi" w:cstheme="majorHAnsi"/>
          <w:b/>
          <w:sz w:val="20"/>
          <w:szCs w:val="20"/>
          <w:lang w:val="en-US"/>
        </w:rPr>
        <w:t>Self-Assessment Tool</w:t>
      </w:r>
      <w:r w:rsidRPr="00DC5490">
        <w:rPr>
          <w:rFonts w:asciiTheme="majorHAnsi" w:hAnsiTheme="majorHAnsi" w:cstheme="majorHAnsi"/>
          <w:b/>
          <w:sz w:val="20"/>
          <w:szCs w:val="20"/>
          <w:vertAlign w:val="superscript"/>
          <w:lang w:val="en-US"/>
        </w:rPr>
        <w:footnoteReference w:id="130"/>
      </w:r>
      <w:r w:rsidRPr="00DC5490">
        <w:rPr>
          <w:rFonts w:asciiTheme="majorHAnsi" w:hAnsiTheme="majorHAnsi" w:cstheme="majorHAnsi"/>
          <w:b/>
          <w:sz w:val="20"/>
          <w:szCs w:val="20"/>
          <w:lang w:val="en-US"/>
        </w:rPr>
        <w:t xml:space="preserve"> for Principals and School Heads</w:t>
      </w:r>
      <w:r w:rsidRPr="00DC5490">
        <w:rPr>
          <w:rFonts w:asciiTheme="majorHAnsi" w:hAnsiTheme="majorHAnsi" w:cstheme="majorHAnsi"/>
          <w:b/>
          <w:sz w:val="20"/>
          <w:szCs w:val="20"/>
          <w:vertAlign w:val="superscript"/>
          <w:lang w:val="en-US"/>
        </w:rPr>
        <w:t xml:space="preserve"> </w:t>
      </w:r>
      <w:r w:rsidRPr="00DC5490">
        <w:rPr>
          <w:rFonts w:asciiTheme="majorHAnsi" w:hAnsiTheme="majorHAnsi" w:cstheme="majorHAnsi"/>
          <w:b/>
          <w:sz w:val="20"/>
          <w:szCs w:val="20"/>
          <w:vertAlign w:val="superscript"/>
          <w:lang w:val="en-US"/>
        </w:rPr>
        <w:footnoteReference w:id="131"/>
      </w:r>
    </w:p>
    <w:p w14:paraId="5F7B5535" w14:textId="494A5837" w:rsidR="008D0CAD" w:rsidRPr="00DC5490" w:rsidRDefault="008D0CAD" w:rsidP="00EA6CB9">
      <w:pPr>
        <w:spacing w:before="100" w:beforeAutospacing="1" w:after="100" w:afterAutospacing="1" w:line="360" w:lineRule="auto"/>
        <w:rPr>
          <w:rFonts w:asciiTheme="majorHAnsi" w:hAnsiTheme="majorHAnsi" w:cstheme="majorHAnsi"/>
          <w:sz w:val="20"/>
          <w:szCs w:val="20"/>
          <w:lang w:val="en-US"/>
        </w:rPr>
      </w:pPr>
      <w:r w:rsidRPr="00DC5490">
        <w:rPr>
          <w:rFonts w:asciiTheme="majorHAnsi" w:hAnsiTheme="majorHAnsi" w:cstheme="majorHAnsi"/>
          <w:b/>
          <w:sz w:val="20"/>
          <w:szCs w:val="20"/>
          <w:lang w:val="en-US"/>
        </w:rPr>
        <w:t>Background:</w:t>
      </w:r>
      <w:r w:rsidR="00D434EB">
        <w:rPr>
          <w:rFonts w:asciiTheme="majorHAnsi" w:hAnsiTheme="majorHAnsi" w:cstheme="majorHAnsi"/>
          <w:b/>
          <w:sz w:val="20"/>
          <w:szCs w:val="20"/>
          <w:lang w:val="en-US"/>
        </w:rPr>
        <w:t xml:space="preserve"> </w:t>
      </w:r>
      <w:r w:rsidRPr="00DC5490">
        <w:rPr>
          <w:rFonts w:asciiTheme="majorHAnsi" w:hAnsiTheme="majorHAnsi" w:cstheme="majorHAnsi"/>
          <w:sz w:val="20"/>
          <w:szCs w:val="20"/>
          <w:lang w:val="en-US"/>
        </w:rPr>
        <w:t>This Self-Assessment Tool is intended to assess your knowledge, access and usage of the various outputs of the basic education reforms facilitated through the BEST Program under its various program interventions.</w:t>
      </w:r>
      <w:r w:rsidR="00D434EB">
        <w:rPr>
          <w:rFonts w:asciiTheme="majorHAnsi" w:hAnsiTheme="majorHAnsi" w:cstheme="majorHAnsi"/>
          <w:sz w:val="20"/>
          <w:szCs w:val="20"/>
          <w:lang w:val="en-US"/>
        </w:rPr>
        <w:t xml:space="preserve"> </w:t>
      </w:r>
      <w:r w:rsidRPr="00DC5490">
        <w:rPr>
          <w:rFonts w:asciiTheme="majorHAnsi" w:hAnsiTheme="majorHAnsi" w:cstheme="majorHAnsi"/>
          <w:sz w:val="20"/>
          <w:szCs w:val="20"/>
          <w:lang w:val="en-US"/>
        </w:rPr>
        <w:t>The program interventions include, among others, the: Learning and development (L&amp;D) systems; Philippine Professional Standards for Teachers (PPST); Curriculum and assessment systems (CAS); Teacher pre-service quality improvement (TPQI); School-based Management (SBM); Policy and planning and monitoring and evaluation systems (PPMES); Unified information system and sub-systems (UISS); Gender, disability and social inclusion (GEDSI); Organisational Development (OD); and Classroom construction.</w:t>
      </w:r>
    </w:p>
    <w:p w14:paraId="1980A940" w14:textId="16BACB4B" w:rsidR="008D0CAD" w:rsidRPr="00DC5490" w:rsidRDefault="008D0CAD" w:rsidP="00EA6CB9">
      <w:pPr>
        <w:spacing w:before="100" w:beforeAutospacing="1" w:after="100" w:afterAutospacing="1" w:line="360" w:lineRule="auto"/>
        <w:rPr>
          <w:rFonts w:asciiTheme="majorHAnsi" w:hAnsiTheme="majorHAnsi" w:cstheme="majorHAnsi"/>
          <w:sz w:val="20"/>
          <w:szCs w:val="20"/>
          <w:lang w:val="en-US"/>
        </w:rPr>
      </w:pPr>
      <w:r w:rsidRPr="00DC5490">
        <w:rPr>
          <w:rFonts w:asciiTheme="majorHAnsi" w:hAnsiTheme="majorHAnsi" w:cstheme="majorHAnsi"/>
          <w:sz w:val="20"/>
          <w:szCs w:val="20"/>
          <w:lang w:val="en-US"/>
        </w:rPr>
        <w:t>This Self-Assessment Tool is intended to supplement the results of the Focus Group Discussions with ROs, Dos and selected schools. It lists all the outputs produced in connection with the implementation of the basic education reforms with assistance from the BEST Program that were expected to be used at the school or classroom levels.</w:t>
      </w:r>
      <w:r w:rsidR="00D434EB">
        <w:rPr>
          <w:rFonts w:asciiTheme="majorHAnsi" w:hAnsiTheme="majorHAnsi" w:cstheme="majorHAnsi"/>
          <w:sz w:val="20"/>
          <w:szCs w:val="20"/>
          <w:lang w:val="en-US"/>
        </w:rPr>
        <w:t xml:space="preserve"> </w:t>
      </w:r>
      <w:r w:rsidRPr="00DC5490">
        <w:rPr>
          <w:rFonts w:asciiTheme="majorHAnsi" w:hAnsiTheme="majorHAnsi" w:cstheme="majorHAnsi"/>
          <w:sz w:val="20"/>
          <w:szCs w:val="20"/>
          <w:lang w:val="en-US"/>
        </w:rPr>
        <w:t>Outputs of the different program interventions include but is not limited to: policy issuances; curriculum guides; learning materials; training videos; manuals; learning portal and other such outputs.</w:t>
      </w:r>
      <w:r w:rsidR="00D434EB">
        <w:rPr>
          <w:rFonts w:asciiTheme="majorHAnsi" w:hAnsiTheme="majorHAnsi" w:cstheme="majorHAnsi"/>
          <w:sz w:val="20"/>
          <w:szCs w:val="20"/>
          <w:lang w:val="en-US"/>
        </w:rPr>
        <w:t xml:space="preserve"> </w:t>
      </w:r>
      <w:r w:rsidRPr="00DC5490">
        <w:rPr>
          <w:rFonts w:asciiTheme="majorHAnsi" w:hAnsiTheme="majorHAnsi" w:cstheme="majorHAnsi"/>
          <w:sz w:val="20"/>
          <w:szCs w:val="20"/>
          <w:lang w:val="en-US"/>
        </w:rPr>
        <w:t>All answers to this self-assessment tool will be kept strictly confidential.</w:t>
      </w:r>
      <w:r w:rsidR="00D434EB">
        <w:rPr>
          <w:rFonts w:asciiTheme="majorHAnsi" w:hAnsiTheme="majorHAnsi" w:cstheme="majorHAnsi"/>
          <w:sz w:val="20"/>
          <w:szCs w:val="20"/>
          <w:lang w:val="en-US"/>
        </w:rPr>
        <w:t xml:space="preserve"> </w:t>
      </w:r>
      <w:r w:rsidRPr="00DC5490">
        <w:rPr>
          <w:rFonts w:asciiTheme="majorHAnsi" w:hAnsiTheme="majorHAnsi" w:cstheme="majorHAnsi"/>
          <w:sz w:val="20"/>
          <w:szCs w:val="20"/>
          <w:lang w:val="en-US"/>
        </w:rPr>
        <w:t>The digitised results and accomplished questionnaires will be kept at the QED-ADII Office at 22 Matipid Street, Sikatuna Village, Quezon City.</w:t>
      </w:r>
      <w:r w:rsidR="00D434EB">
        <w:rPr>
          <w:rFonts w:asciiTheme="majorHAnsi" w:hAnsiTheme="majorHAnsi" w:cstheme="majorHAnsi"/>
          <w:sz w:val="20"/>
          <w:szCs w:val="20"/>
          <w:lang w:val="en-US"/>
        </w:rPr>
        <w:t xml:space="preserve"> </w:t>
      </w:r>
      <w:r w:rsidRPr="00DC5490">
        <w:rPr>
          <w:rFonts w:asciiTheme="majorHAnsi" w:hAnsiTheme="majorHAnsi" w:cstheme="majorHAnsi"/>
          <w:sz w:val="20"/>
          <w:szCs w:val="20"/>
          <w:lang w:val="en-US"/>
        </w:rPr>
        <w:t xml:space="preserve">Only authorised persons will have </w:t>
      </w:r>
      <w:r w:rsidRPr="00DC5490">
        <w:rPr>
          <w:rFonts w:asciiTheme="majorHAnsi" w:hAnsiTheme="majorHAnsi" w:cstheme="majorHAnsi"/>
          <w:color w:val="000000" w:themeColor="text1"/>
          <w:sz w:val="20"/>
          <w:szCs w:val="20"/>
          <w:lang w:val="en-US"/>
        </w:rPr>
        <w:t>access to these results.</w:t>
      </w:r>
    </w:p>
    <w:p w14:paraId="77E9AB4D" w14:textId="3983F588" w:rsidR="008D0CAD" w:rsidRPr="00DC5490" w:rsidRDefault="008D0CAD" w:rsidP="00EA6CB9">
      <w:pPr>
        <w:spacing w:before="100" w:beforeAutospacing="1" w:after="100" w:afterAutospacing="1" w:line="360" w:lineRule="auto"/>
        <w:rPr>
          <w:rFonts w:asciiTheme="majorHAnsi" w:hAnsiTheme="majorHAnsi" w:cstheme="majorHAnsi"/>
          <w:sz w:val="20"/>
          <w:szCs w:val="20"/>
          <w:lang w:val="en-US"/>
        </w:rPr>
      </w:pPr>
      <w:r w:rsidRPr="00DC5490">
        <w:rPr>
          <w:rFonts w:asciiTheme="majorHAnsi" w:hAnsiTheme="majorHAnsi" w:cstheme="majorHAnsi"/>
          <w:b/>
          <w:sz w:val="20"/>
          <w:szCs w:val="20"/>
          <w:lang w:val="en-US"/>
        </w:rPr>
        <w:t>Tool.</w:t>
      </w:r>
      <w:r w:rsidR="00D434EB">
        <w:rPr>
          <w:rFonts w:asciiTheme="majorHAnsi" w:hAnsiTheme="majorHAnsi" w:cstheme="majorHAnsi"/>
          <w:sz w:val="20"/>
          <w:szCs w:val="20"/>
          <w:lang w:val="en-US"/>
        </w:rPr>
        <w:t xml:space="preserve"> </w:t>
      </w:r>
      <w:r w:rsidRPr="00DC5490">
        <w:rPr>
          <w:rFonts w:asciiTheme="majorHAnsi" w:hAnsiTheme="majorHAnsi" w:cstheme="majorHAnsi"/>
          <w:sz w:val="20"/>
          <w:szCs w:val="20"/>
          <w:lang w:val="en-US"/>
        </w:rPr>
        <w:t xml:space="preserve">The self-assessment tool lists </w:t>
      </w:r>
      <w:r w:rsidRPr="00DC5490">
        <w:rPr>
          <w:rFonts w:asciiTheme="majorHAnsi" w:hAnsiTheme="majorHAnsi" w:cstheme="majorHAnsi"/>
          <w:b/>
          <w:sz w:val="20"/>
          <w:szCs w:val="20"/>
          <w:lang w:val="en-US"/>
        </w:rPr>
        <w:t>30 outputs</w:t>
      </w:r>
      <w:r w:rsidRPr="00DC5490">
        <w:rPr>
          <w:rFonts w:asciiTheme="majorHAnsi" w:hAnsiTheme="majorHAnsi" w:cstheme="majorHAnsi"/>
          <w:sz w:val="20"/>
          <w:szCs w:val="20"/>
          <w:lang w:val="en-US"/>
        </w:rPr>
        <w:t xml:space="preserve"> produced in the implementation of the basic education reforms with assistance from the BEST Program.</w:t>
      </w:r>
      <w:r w:rsidR="00D434EB">
        <w:rPr>
          <w:rFonts w:asciiTheme="majorHAnsi" w:hAnsiTheme="majorHAnsi" w:cstheme="majorHAnsi"/>
          <w:sz w:val="20"/>
          <w:szCs w:val="20"/>
          <w:lang w:val="en-US"/>
        </w:rPr>
        <w:t xml:space="preserve"> </w:t>
      </w:r>
      <w:r w:rsidRPr="00DC5490">
        <w:rPr>
          <w:rFonts w:asciiTheme="majorHAnsi" w:hAnsiTheme="majorHAnsi" w:cstheme="majorHAnsi"/>
          <w:sz w:val="20"/>
          <w:szCs w:val="20"/>
          <w:lang w:val="en-US"/>
        </w:rPr>
        <w:t>It also provides space for you to add other outputs that were not identified by the Evaluation Team but that you want to include in the list. It is expected that the assessment will be completed in 10 to 15 minutes.</w:t>
      </w:r>
    </w:p>
    <w:p w14:paraId="5A5DABDF" w14:textId="166F2804" w:rsidR="008D0CAD" w:rsidRPr="00DC5490" w:rsidRDefault="008D0CAD" w:rsidP="00EA6CB9">
      <w:pPr>
        <w:spacing w:before="100" w:beforeAutospacing="1" w:after="100" w:afterAutospacing="1" w:line="360" w:lineRule="auto"/>
        <w:rPr>
          <w:rFonts w:asciiTheme="majorHAnsi" w:hAnsiTheme="majorHAnsi" w:cstheme="majorHAnsi"/>
          <w:sz w:val="20"/>
          <w:szCs w:val="20"/>
          <w:lang w:val="en-US"/>
        </w:rPr>
      </w:pPr>
      <w:r w:rsidRPr="00DC5490">
        <w:rPr>
          <w:rFonts w:asciiTheme="majorHAnsi" w:hAnsiTheme="majorHAnsi" w:cstheme="majorHAnsi"/>
          <w:b/>
          <w:sz w:val="20"/>
          <w:szCs w:val="20"/>
          <w:lang w:val="en-US"/>
        </w:rPr>
        <w:t>Instructions</w:t>
      </w:r>
      <w:r w:rsidRPr="00DC5490">
        <w:rPr>
          <w:rFonts w:asciiTheme="majorHAnsi" w:hAnsiTheme="majorHAnsi" w:cstheme="majorHAnsi"/>
          <w:sz w:val="20"/>
          <w:szCs w:val="20"/>
          <w:lang w:val="en-US"/>
        </w:rPr>
        <w:t>: For each of the output listed, assess your knowledge and access to the outputs and their usefulness to you as a teacher as well as the quality and inclusiveness using a 4-point scale (refer to the Table below). If you are not aware or have not used the particular output, please mark the box corresponding to 0.</w:t>
      </w:r>
      <w:r w:rsidR="00D434EB">
        <w:rPr>
          <w:rFonts w:asciiTheme="majorHAnsi" w:hAnsiTheme="majorHAnsi" w:cstheme="majorHAnsi"/>
          <w:sz w:val="20"/>
          <w:szCs w:val="20"/>
          <w:lang w:val="en-US"/>
        </w:rPr>
        <w:t xml:space="preserve"> </w:t>
      </w:r>
    </w:p>
    <w:tbl>
      <w:tblPr>
        <w:tblStyle w:val="TableGrid8"/>
        <w:tblW w:w="0" w:type="auto"/>
        <w:tblLook w:val="04A0" w:firstRow="1" w:lastRow="0" w:firstColumn="1" w:lastColumn="0" w:noHBand="0" w:noVBand="1"/>
      </w:tblPr>
      <w:tblGrid>
        <w:gridCol w:w="1070"/>
        <w:gridCol w:w="2751"/>
        <w:gridCol w:w="2548"/>
        <w:gridCol w:w="2647"/>
      </w:tblGrid>
      <w:tr w:rsidR="008D0CAD" w:rsidRPr="00DC5490" w14:paraId="6CE6DFAA" w14:textId="77777777" w:rsidTr="004B064D">
        <w:trPr>
          <w:trHeight w:val="97"/>
          <w:tblHeader/>
        </w:trPr>
        <w:tc>
          <w:tcPr>
            <w:tcW w:w="1070" w:type="dxa"/>
          </w:tcPr>
          <w:p w14:paraId="56977070"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r w:rsidRPr="00DC5490">
              <w:rPr>
                <w:rFonts w:asciiTheme="majorHAnsi" w:hAnsiTheme="majorHAnsi" w:cstheme="majorHAnsi"/>
                <w:b/>
                <w:bCs/>
                <w:color w:val="000000"/>
                <w:sz w:val="16"/>
                <w:szCs w:val="16"/>
                <w:lang w:val="en-US"/>
              </w:rPr>
              <w:t>Rating</w:t>
            </w:r>
          </w:p>
        </w:tc>
        <w:tc>
          <w:tcPr>
            <w:tcW w:w="2751" w:type="dxa"/>
          </w:tcPr>
          <w:p w14:paraId="0AC15E25"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r w:rsidRPr="00DC5490">
              <w:rPr>
                <w:rFonts w:asciiTheme="majorHAnsi" w:hAnsiTheme="majorHAnsi" w:cstheme="majorHAnsi"/>
                <w:b/>
                <w:bCs/>
                <w:color w:val="000000"/>
                <w:sz w:val="16"/>
                <w:szCs w:val="16"/>
                <w:lang w:val="en-US"/>
              </w:rPr>
              <w:t>Knowledge</w:t>
            </w:r>
          </w:p>
        </w:tc>
        <w:tc>
          <w:tcPr>
            <w:tcW w:w="2548" w:type="dxa"/>
          </w:tcPr>
          <w:p w14:paraId="374562AC"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r w:rsidRPr="00DC5490">
              <w:rPr>
                <w:rFonts w:asciiTheme="majorHAnsi" w:hAnsiTheme="majorHAnsi" w:cstheme="majorHAnsi"/>
                <w:b/>
                <w:bCs/>
                <w:color w:val="000000"/>
                <w:sz w:val="16"/>
                <w:szCs w:val="16"/>
                <w:lang w:val="en-US"/>
              </w:rPr>
              <w:t>Access</w:t>
            </w:r>
          </w:p>
        </w:tc>
        <w:tc>
          <w:tcPr>
            <w:tcW w:w="2647" w:type="dxa"/>
          </w:tcPr>
          <w:p w14:paraId="7BE720EB"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r w:rsidRPr="00DC5490">
              <w:rPr>
                <w:rFonts w:asciiTheme="majorHAnsi" w:hAnsiTheme="majorHAnsi" w:cstheme="majorHAnsi"/>
                <w:b/>
                <w:bCs/>
                <w:color w:val="000000"/>
                <w:sz w:val="16"/>
                <w:szCs w:val="16"/>
                <w:lang w:val="en-US"/>
              </w:rPr>
              <w:t>Usefulness</w:t>
            </w:r>
          </w:p>
        </w:tc>
      </w:tr>
      <w:tr w:rsidR="008D0CAD" w:rsidRPr="00DC5490" w14:paraId="11A62754" w14:textId="77777777" w:rsidTr="00EC48C1">
        <w:trPr>
          <w:trHeight w:val="299"/>
        </w:trPr>
        <w:tc>
          <w:tcPr>
            <w:tcW w:w="1070" w:type="dxa"/>
          </w:tcPr>
          <w:p w14:paraId="701F662E"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r w:rsidRPr="00DC5490">
              <w:rPr>
                <w:rFonts w:asciiTheme="majorHAnsi" w:hAnsiTheme="majorHAnsi" w:cstheme="majorHAnsi"/>
                <w:bCs/>
                <w:color w:val="000000"/>
                <w:sz w:val="16"/>
                <w:szCs w:val="16"/>
                <w:lang w:val="en-US"/>
              </w:rPr>
              <w:t>0</w:t>
            </w:r>
          </w:p>
        </w:tc>
        <w:tc>
          <w:tcPr>
            <w:tcW w:w="2751" w:type="dxa"/>
          </w:tcPr>
          <w:p w14:paraId="7F9FE26D"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r w:rsidRPr="00DC5490">
              <w:rPr>
                <w:rFonts w:asciiTheme="majorHAnsi" w:hAnsiTheme="majorHAnsi" w:cstheme="majorHAnsi"/>
                <w:bCs/>
                <w:color w:val="000000"/>
                <w:sz w:val="16"/>
                <w:szCs w:val="16"/>
                <w:lang w:val="en-US"/>
              </w:rPr>
              <w:t xml:space="preserve">I have </w:t>
            </w:r>
            <w:r w:rsidRPr="00DC5490">
              <w:rPr>
                <w:rFonts w:asciiTheme="majorHAnsi" w:hAnsiTheme="majorHAnsi" w:cstheme="majorHAnsi"/>
                <w:b/>
                <w:bCs/>
                <w:color w:val="000000"/>
                <w:sz w:val="16"/>
                <w:szCs w:val="16"/>
                <w:lang w:val="en-US"/>
              </w:rPr>
              <w:t>no knowledge</w:t>
            </w:r>
            <w:r w:rsidRPr="00DC5490">
              <w:rPr>
                <w:rFonts w:asciiTheme="majorHAnsi" w:hAnsiTheme="majorHAnsi" w:cstheme="majorHAnsi"/>
                <w:bCs/>
                <w:color w:val="000000"/>
                <w:sz w:val="16"/>
                <w:szCs w:val="16"/>
                <w:lang w:val="en-US"/>
              </w:rPr>
              <w:t xml:space="preserve"> about this policy/ system / tool</w:t>
            </w:r>
          </w:p>
        </w:tc>
        <w:tc>
          <w:tcPr>
            <w:tcW w:w="2548" w:type="dxa"/>
          </w:tcPr>
          <w:p w14:paraId="33BE6935"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r w:rsidRPr="00DC5490">
              <w:rPr>
                <w:rFonts w:asciiTheme="majorHAnsi" w:hAnsiTheme="majorHAnsi" w:cstheme="majorHAnsi"/>
                <w:bCs/>
                <w:color w:val="000000"/>
                <w:sz w:val="16"/>
                <w:szCs w:val="16"/>
                <w:lang w:val="en-US"/>
              </w:rPr>
              <w:t xml:space="preserve">I have </w:t>
            </w:r>
            <w:r w:rsidRPr="00DC5490">
              <w:rPr>
                <w:rFonts w:asciiTheme="majorHAnsi" w:hAnsiTheme="majorHAnsi" w:cstheme="majorHAnsi"/>
                <w:b/>
                <w:bCs/>
                <w:color w:val="000000"/>
                <w:sz w:val="16"/>
                <w:szCs w:val="16"/>
                <w:lang w:val="en-US"/>
              </w:rPr>
              <w:t>no access</w:t>
            </w:r>
            <w:r w:rsidRPr="00DC5490">
              <w:rPr>
                <w:rFonts w:asciiTheme="majorHAnsi" w:hAnsiTheme="majorHAnsi" w:cstheme="majorHAnsi"/>
                <w:bCs/>
                <w:color w:val="000000"/>
                <w:sz w:val="16"/>
                <w:szCs w:val="16"/>
                <w:lang w:val="en-US"/>
              </w:rPr>
              <w:t xml:space="preserve"> to this system / tool</w:t>
            </w:r>
          </w:p>
        </w:tc>
        <w:tc>
          <w:tcPr>
            <w:tcW w:w="2647" w:type="dxa"/>
          </w:tcPr>
          <w:p w14:paraId="2AD6E89A"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r w:rsidRPr="00DC5490">
              <w:rPr>
                <w:rFonts w:asciiTheme="majorHAnsi" w:hAnsiTheme="majorHAnsi" w:cstheme="majorHAnsi"/>
                <w:bCs/>
                <w:color w:val="000000"/>
                <w:sz w:val="16"/>
                <w:szCs w:val="16"/>
                <w:lang w:val="en-US"/>
              </w:rPr>
              <w:t>I have no use for this policy/ system / tool</w:t>
            </w:r>
          </w:p>
        </w:tc>
      </w:tr>
      <w:tr w:rsidR="008D0CAD" w:rsidRPr="00DC5490" w14:paraId="4640EB25" w14:textId="77777777" w:rsidTr="00EC48C1">
        <w:trPr>
          <w:trHeight w:val="103"/>
        </w:trPr>
        <w:tc>
          <w:tcPr>
            <w:tcW w:w="1070" w:type="dxa"/>
          </w:tcPr>
          <w:p w14:paraId="2E3F6AA7"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r w:rsidRPr="00DC5490">
              <w:rPr>
                <w:rFonts w:asciiTheme="majorHAnsi" w:hAnsiTheme="majorHAnsi" w:cstheme="majorHAnsi"/>
                <w:bCs/>
                <w:color w:val="000000"/>
                <w:sz w:val="16"/>
                <w:szCs w:val="16"/>
                <w:lang w:val="en-US"/>
              </w:rPr>
              <w:t>1</w:t>
            </w:r>
          </w:p>
        </w:tc>
        <w:tc>
          <w:tcPr>
            <w:tcW w:w="2751" w:type="dxa"/>
          </w:tcPr>
          <w:p w14:paraId="51EB57CB"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r w:rsidRPr="00DC5490">
              <w:rPr>
                <w:rFonts w:asciiTheme="majorHAnsi" w:hAnsiTheme="majorHAnsi" w:cstheme="majorHAnsi"/>
                <w:bCs/>
                <w:color w:val="000000"/>
                <w:sz w:val="16"/>
                <w:szCs w:val="16"/>
                <w:lang w:val="en-US"/>
              </w:rPr>
              <w:t xml:space="preserve">I have </w:t>
            </w:r>
            <w:r w:rsidRPr="00DC5490">
              <w:rPr>
                <w:rFonts w:asciiTheme="majorHAnsi" w:hAnsiTheme="majorHAnsi" w:cstheme="majorHAnsi"/>
                <w:b/>
                <w:bCs/>
                <w:color w:val="000000"/>
                <w:sz w:val="16"/>
                <w:szCs w:val="16"/>
                <w:lang w:val="en-US"/>
              </w:rPr>
              <w:t>limited knowledge</w:t>
            </w:r>
            <w:r w:rsidRPr="00DC5490">
              <w:rPr>
                <w:rFonts w:asciiTheme="majorHAnsi" w:hAnsiTheme="majorHAnsi" w:cstheme="majorHAnsi"/>
                <w:bCs/>
                <w:color w:val="000000"/>
                <w:sz w:val="16"/>
                <w:szCs w:val="16"/>
                <w:lang w:val="en-US"/>
              </w:rPr>
              <w:t xml:space="preserve"> about this policy/ system / tool</w:t>
            </w:r>
          </w:p>
        </w:tc>
        <w:tc>
          <w:tcPr>
            <w:tcW w:w="2548" w:type="dxa"/>
          </w:tcPr>
          <w:p w14:paraId="4C93D964"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r w:rsidRPr="00DC5490">
              <w:rPr>
                <w:rFonts w:asciiTheme="majorHAnsi" w:hAnsiTheme="majorHAnsi" w:cstheme="majorHAnsi"/>
                <w:bCs/>
                <w:color w:val="000000"/>
                <w:sz w:val="16"/>
                <w:szCs w:val="16"/>
                <w:lang w:val="en-US"/>
              </w:rPr>
              <w:t xml:space="preserve">I have </w:t>
            </w:r>
            <w:r w:rsidRPr="00DC5490">
              <w:rPr>
                <w:rFonts w:asciiTheme="majorHAnsi" w:hAnsiTheme="majorHAnsi" w:cstheme="majorHAnsi"/>
                <w:b/>
                <w:bCs/>
                <w:color w:val="000000"/>
                <w:sz w:val="16"/>
                <w:szCs w:val="16"/>
                <w:lang w:val="en-US"/>
              </w:rPr>
              <w:t>limited access</w:t>
            </w:r>
            <w:r w:rsidRPr="00DC5490">
              <w:rPr>
                <w:rFonts w:asciiTheme="majorHAnsi" w:hAnsiTheme="majorHAnsi" w:cstheme="majorHAnsi"/>
                <w:bCs/>
                <w:color w:val="000000"/>
                <w:sz w:val="16"/>
                <w:szCs w:val="16"/>
                <w:lang w:val="en-US"/>
              </w:rPr>
              <w:t xml:space="preserve"> to this system / tool</w:t>
            </w:r>
          </w:p>
        </w:tc>
        <w:tc>
          <w:tcPr>
            <w:tcW w:w="2647" w:type="dxa"/>
          </w:tcPr>
          <w:p w14:paraId="5F07B894"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r w:rsidRPr="00DC5490">
              <w:rPr>
                <w:rFonts w:asciiTheme="majorHAnsi" w:hAnsiTheme="majorHAnsi" w:cstheme="majorHAnsi"/>
                <w:bCs/>
                <w:color w:val="000000"/>
                <w:sz w:val="16"/>
                <w:szCs w:val="16"/>
                <w:lang w:val="en-US"/>
              </w:rPr>
              <w:t xml:space="preserve">The policy/ system / tool is </w:t>
            </w:r>
            <w:r w:rsidRPr="00DC5490">
              <w:rPr>
                <w:rFonts w:asciiTheme="majorHAnsi" w:hAnsiTheme="majorHAnsi" w:cstheme="majorHAnsi"/>
                <w:b/>
                <w:bCs/>
                <w:color w:val="000000"/>
                <w:sz w:val="16"/>
                <w:szCs w:val="16"/>
                <w:lang w:val="en-US"/>
              </w:rPr>
              <w:t>not useful</w:t>
            </w:r>
            <w:r w:rsidRPr="00DC5490">
              <w:rPr>
                <w:rFonts w:asciiTheme="majorHAnsi" w:hAnsiTheme="majorHAnsi" w:cstheme="majorHAnsi"/>
                <w:bCs/>
                <w:color w:val="000000"/>
                <w:sz w:val="16"/>
                <w:szCs w:val="16"/>
                <w:lang w:val="en-US"/>
              </w:rPr>
              <w:t xml:space="preserve"> in enhancing my performance in the classroom</w:t>
            </w:r>
          </w:p>
        </w:tc>
      </w:tr>
      <w:tr w:rsidR="008D0CAD" w:rsidRPr="00DC5490" w14:paraId="6F7F0B2A" w14:textId="77777777" w:rsidTr="00EC48C1">
        <w:trPr>
          <w:trHeight w:val="272"/>
        </w:trPr>
        <w:tc>
          <w:tcPr>
            <w:tcW w:w="1070" w:type="dxa"/>
          </w:tcPr>
          <w:p w14:paraId="4389BB10"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r w:rsidRPr="00DC5490">
              <w:rPr>
                <w:rFonts w:asciiTheme="majorHAnsi" w:hAnsiTheme="majorHAnsi" w:cstheme="majorHAnsi"/>
                <w:bCs/>
                <w:color w:val="000000"/>
                <w:sz w:val="16"/>
                <w:szCs w:val="16"/>
                <w:lang w:val="en-US"/>
              </w:rPr>
              <w:t>2</w:t>
            </w:r>
          </w:p>
        </w:tc>
        <w:tc>
          <w:tcPr>
            <w:tcW w:w="2751" w:type="dxa"/>
          </w:tcPr>
          <w:p w14:paraId="15DA3FBD"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r w:rsidRPr="00DC5490">
              <w:rPr>
                <w:rFonts w:asciiTheme="majorHAnsi" w:hAnsiTheme="majorHAnsi" w:cstheme="majorHAnsi"/>
                <w:bCs/>
                <w:color w:val="000000"/>
                <w:sz w:val="16"/>
                <w:szCs w:val="16"/>
                <w:lang w:val="en-US"/>
              </w:rPr>
              <w:t xml:space="preserve">I have </w:t>
            </w:r>
            <w:r w:rsidRPr="00DC5490">
              <w:rPr>
                <w:rFonts w:asciiTheme="majorHAnsi" w:hAnsiTheme="majorHAnsi" w:cstheme="majorHAnsi"/>
                <w:b/>
                <w:bCs/>
                <w:color w:val="000000"/>
                <w:sz w:val="16"/>
                <w:szCs w:val="16"/>
                <w:lang w:val="en-US"/>
              </w:rPr>
              <w:t>sufficient knowledge</w:t>
            </w:r>
            <w:r w:rsidRPr="00DC5490">
              <w:rPr>
                <w:rFonts w:asciiTheme="majorHAnsi" w:hAnsiTheme="majorHAnsi" w:cstheme="majorHAnsi"/>
                <w:bCs/>
                <w:color w:val="000000"/>
                <w:sz w:val="16"/>
                <w:szCs w:val="16"/>
                <w:lang w:val="en-US"/>
              </w:rPr>
              <w:t xml:space="preserve"> about this policy/ system / tool, but cannot explain it to others</w:t>
            </w:r>
          </w:p>
        </w:tc>
        <w:tc>
          <w:tcPr>
            <w:tcW w:w="2548" w:type="dxa"/>
          </w:tcPr>
          <w:p w14:paraId="70CBF0DA"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r w:rsidRPr="00DC5490">
              <w:rPr>
                <w:rFonts w:asciiTheme="majorHAnsi" w:hAnsiTheme="majorHAnsi" w:cstheme="majorHAnsi"/>
                <w:bCs/>
                <w:color w:val="000000"/>
                <w:sz w:val="16"/>
                <w:szCs w:val="16"/>
                <w:lang w:val="en-US"/>
              </w:rPr>
              <w:t xml:space="preserve">I have </w:t>
            </w:r>
            <w:r w:rsidRPr="00DC5490">
              <w:rPr>
                <w:rFonts w:asciiTheme="majorHAnsi" w:hAnsiTheme="majorHAnsi" w:cstheme="majorHAnsi"/>
                <w:b/>
                <w:bCs/>
                <w:color w:val="000000"/>
                <w:sz w:val="16"/>
                <w:szCs w:val="16"/>
                <w:lang w:val="en-US"/>
              </w:rPr>
              <w:t>sufficient access</w:t>
            </w:r>
            <w:r w:rsidRPr="00DC5490">
              <w:rPr>
                <w:rFonts w:asciiTheme="majorHAnsi" w:hAnsiTheme="majorHAnsi" w:cstheme="majorHAnsi"/>
                <w:bCs/>
                <w:color w:val="000000"/>
                <w:sz w:val="16"/>
                <w:szCs w:val="16"/>
                <w:lang w:val="en-US"/>
              </w:rPr>
              <w:t xml:space="preserve"> to this system / tool</w:t>
            </w:r>
          </w:p>
        </w:tc>
        <w:tc>
          <w:tcPr>
            <w:tcW w:w="2647" w:type="dxa"/>
          </w:tcPr>
          <w:p w14:paraId="5AE3C811"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r w:rsidRPr="00DC5490">
              <w:rPr>
                <w:rFonts w:asciiTheme="majorHAnsi" w:hAnsiTheme="majorHAnsi" w:cstheme="majorHAnsi"/>
                <w:bCs/>
                <w:color w:val="000000"/>
                <w:sz w:val="16"/>
                <w:szCs w:val="16"/>
                <w:lang w:val="en-US"/>
              </w:rPr>
              <w:t xml:space="preserve">The policy/ system / tool is </w:t>
            </w:r>
            <w:r w:rsidRPr="00DC5490">
              <w:rPr>
                <w:rFonts w:asciiTheme="majorHAnsi" w:hAnsiTheme="majorHAnsi" w:cstheme="majorHAnsi"/>
                <w:b/>
                <w:bCs/>
                <w:color w:val="000000"/>
                <w:sz w:val="16"/>
                <w:szCs w:val="16"/>
                <w:lang w:val="en-US"/>
              </w:rPr>
              <w:t>somewhat useful</w:t>
            </w:r>
            <w:r w:rsidRPr="00DC5490">
              <w:rPr>
                <w:rFonts w:asciiTheme="majorHAnsi" w:hAnsiTheme="majorHAnsi" w:cstheme="majorHAnsi"/>
                <w:bCs/>
                <w:color w:val="000000"/>
                <w:sz w:val="16"/>
                <w:szCs w:val="16"/>
                <w:lang w:val="en-US"/>
              </w:rPr>
              <w:t xml:space="preserve"> in enhancing my performance in the classroom</w:t>
            </w:r>
          </w:p>
        </w:tc>
      </w:tr>
      <w:tr w:rsidR="008D0CAD" w:rsidRPr="00DC5490" w14:paraId="1E175A28" w14:textId="77777777" w:rsidTr="00EC48C1">
        <w:trPr>
          <w:trHeight w:val="62"/>
        </w:trPr>
        <w:tc>
          <w:tcPr>
            <w:tcW w:w="1070" w:type="dxa"/>
          </w:tcPr>
          <w:p w14:paraId="77DC4609"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r w:rsidRPr="00DC5490">
              <w:rPr>
                <w:rFonts w:asciiTheme="majorHAnsi" w:hAnsiTheme="majorHAnsi" w:cstheme="majorHAnsi"/>
                <w:bCs/>
                <w:color w:val="000000"/>
                <w:sz w:val="16"/>
                <w:szCs w:val="16"/>
                <w:lang w:val="en-US"/>
              </w:rPr>
              <w:t>3</w:t>
            </w:r>
          </w:p>
        </w:tc>
        <w:tc>
          <w:tcPr>
            <w:tcW w:w="2751" w:type="dxa"/>
          </w:tcPr>
          <w:p w14:paraId="5877CA2B"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r w:rsidRPr="00DC5490">
              <w:rPr>
                <w:rFonts w:asciiTheme="majorHAnsi" w:hAnsiTheme="majorHAnsi" w:cstheme="majorHAnsi"/>
                <w:bCs/>
                <w:color w:val="000000"/>
                <w:sz w:val="16"/>
                <w:szCs w:val="16"/>
                <w:lang w:val="en-US"/>
              </w:rPr>
              <w:t xml:space="preserve">I have </w:t>
            </w:r>
            <w:r w:rsidRPr="00DC5490">
              <w:rPr>
                <w:rFonts w:asciiTheme="majorHAnsi" w:hAnsiTheme="majorHAnsi" w:cstheme="majorHAnsi"/>
                <w:b/>
                <w:bCs/>
                <w:color w:val="000000"/>
                <w:sz w:val="16"/>
                <w:szCs w:val="16"/>
                <w:lang w:val="en-US"/>
              </w:rPr>
              <w:t>sufficient knowledge</w:t>
            </w:r>
            <w:r w:rsidRPr="00DC5490">
              <w:rPr>
                <w:rFonts w:asciiTheme="majorHAnsi" w:hAnsiTheme="majorHAnsi" w:cstheme="majorHAnsi"/>
                <w:bCs/>
                <w:color w:val="000000"/>
                <w:sz w:val="16"/>
                <w:szCs w:val="16"/>
                <w:lang w:val="en-US"/>
              </w:rPr>
              <w:t xml:space="preserve"> about this policy/ system / tool and can use it for my own purposes</w:t>
            </w:r>
          </w:p>
        </w:tc>
        <w:tc>
          <w:tcPr>
            <w:tcW w:w="2548" w:type="dxa"/>
          </w:tcPr>
          <w:p w14:paraId="0693BA0D"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r w:rsidRPr="00DC5490">
              <w:rPr>
                <w:rFonts w:asciiTheme="majorHAnsi" w:hAnsiTheme="majorHAnsi" w:cstheme="majorHAnsi"/>
                <w:bCs/>
                <w:color w:val="000000"/>
                <w:sz w:val="16"/>
                <w:szCs w:val="16"/>
                <w:lang w:val="en-US"/>
              </w:rPr>
              <w:t xml:space="preserve">I have </w:t>
            </w:r>
            <w:r w:rsidRPr="00DC5490">
              <w:rPr>
                <w:rFonts w:asciiTheme="majorHAnsi" w:hAnsiTheme="majorHAnsi" w:cstheme="majorHAnsi"/>
                <w:b/>
                <w:bCs/>
                <w:color w:val="000000"/>
                <w:sz w:val="16"/>
                <w:szCs w:val="16"/>
                <w:lang w:val="en-US"/>
              </w:rPr>
              <w:t>full access</w:t>
            </w:r>
            <w:r w:rsidRPr="00DC5490">
              <w:rPr>
                <w:rFonts w:asciiTheme="majorHAnsi" w:hAnsiTheme="majorHAnsi" w:cstheme="majorHAnsi"/>
                <w:bCs/>
                <w:color w:val="000000"/>
                <w:sz w:val="16"/>
                <w:szCs w:val="16"/>
                <w:lang w:val="en-US"/>
              </w:rPr>
              <w:t xml:space="preserve"> to this system / tool but not all teachers in our school do</w:t>
            </w:r>
          </w:p>
        </w:tc>
        <w:tc>
          <w:tcPr>
            <w:tcW w:w="2647" w:type="dxa"/>
          </w:tcPr>
          <w:p w14:paraId="6C5543CF"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r w:rsidRPr="00DC5490">
              <w:rPr>
                <w:rFonts w:asciiTheme="majorHAnsi" w:hAnsiTheme="majorHAnsi" w:cstheme="majorHAnsi"/>
                <w:bCs/>
                <w:color w:val="000000"/>
                <w:sz w:val="16"/>
                <w:szCs w:val="16"/>
                <w:lang w:val="en-US"/>
              </w:rPr>
              <w:t xml:space="preserve">The policy/ system / tool is </w:t>
            </w:r>
            <w:r w:rsidRPr="00DC5490">
              <w:rPr>
                <w:rFonts w:asciiTheme="majorHAnsi" w:hAnsiTheme="majorHAnsi" w:cstheme="majorHAnsi"/>
                <w:b/>
                <w:bCs/>
                <w:color w:val="000000"/>
                <w:sz w:val="16"/>
                <w:szCs w:val="16"/>
                <w:lang w:val="en-US"/>
              </w:rPr>
              <w:t>sufficiently useful</w:t>
            </w:r>
            <w:r w:rsidRPr="00DC5490">
              <w:rPr>
                <w:rFonts w:asciiTheme="majorHAnsi" w:hAnsiTheme="majorHAnsi" w:cstheme="majorHAnsi"/>
                <w:bCs/>
                <w:color w:val="000000"/>
                <w:sz w:val="16"/>
                <w:szCs w:val="16"/>
                <w:lang w:val="en-US"/>
              </w:rPr>
              <w:t xml:space="preserve"> in enhancing my performance in the classroom</w:t>
            </w:r>
          </w:p>
        </w:tc>
      </w:tr>
      <w:tr w:rsidR="008D0CAD" w:rsidRPr="00DC5490" w14:paraId="6236F0BF" w14:textId="77777777" w:rsidTr="00EC48C1">
        <w:trPr>
          <w:trHeight w:val="62"/>
        </w:trPr>
        <w:tc>
          <w:tcPr>
            <w:tcW w:w="1070" w:type="dxa"/>
          </w:tcPr>
          <w:p w14:paraId="00EA710C"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r w:rsidRPr="00DC5490">
              <w:rPr>
                <w:rFonts w:asciiTheme="majorHAnsi" w:hAnsiTheme="majorHAnsi" w:cstheme="majorHAnsi"/>
                <w:bCs/>
                <w:color w:val="000000"/>
                <w:sz w:val="16"/>
                <w:szCs w:val="16"/>
                <w:lang w:val="en-US"/>
              </w:rPr>
              <w:t>4</w:t>
            </w:r>
          </w:p>
        </w:tc>
        <w:tc>
          <w:tcPr>
            <w:tcW w:w="2751" w:type="dxa"/>
          </w:tcPr>
          <w:p w14:paraId="3CFF9BE5"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r w:rsidRPr="00DC5490">
              <w:rPr>
                <w:rFonts w:asciiTheme="majorHAnsi" w:hAnsiTheme="majorHAnsi" w:cstheme="majorHAnsi"/>
                <w:bCs/>
                <w:color w:val="000000"/>
                <w:sz w:val="16"/>
                <w:szCs w:val="16"/>
                <w:lang w:val="en-US"/>
              </w:rPr>
              <w:t xml:space="preserve">I have </w:t>
            </w:r>
            <w:r w:rsidRPr="00DC5490">
              <w:rPr>
                <w:rFonts w:asciiTheme="majorHAnsi" w:hAnsiTheme="majorHAnsi" w:cstheme="majorHAnsi"/>
                <w:b/>
                <w:bCs/>
                <w:color w:val="000000"/>
                <w:sz w:val="16"/>
                <w:szCs w:val="16"/>
                <w:lang w:val="en-US"/>
              </w:rPr>
              <w:t>comprehensive knowledge</w:t>
            </w:r>
            <w:r w:rsidRPr="00DC5490">
              <w:rPr>
                <w:rFonts w:asciiTheme="majorHAnsi" w:hAnsiTheme="majorHAnsi" w:cstheme="majorHAnsi"/>
                <w:bCs/>
                <w:color w:val="000000"/>
                <w:sz w:val="16"/>
                <w:szCs w:val="16"/>
                <w:lang w:val="en-US"/>
              </w:rPr>
              <w:t xml:space="preserve"> about this policy/ system / tool and can instruct others on its applications/implications</w:t>
            </w:r>
          </w:p>
        </w:tc>
        <w:tc>
          <w:tcPr>
            <w:tcW w:w="2548" w:type="dxa"/>
          </w:tcPr>
          <w:p w14:paraId="350C856C"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r w:rsidRPr="00DC5490">
              <w:rPr>
                <w:rFonts w:asciiTheme="majorHAnsi" w:hAnsiTheme="majorHAnsi" w:cstheme="majorHAnsi"/>
                <w:bCs/>
                <w:color w:val="000000"/>
                <w:sz w:val="16"/>
                <w:szCs w:val="16"/>
                <w:lang w:val="en-US"/>
              </w:rPr>
              <w:t xml:space="preserve">I and all teachers in my school have </w:t>
            </w:r>
            <w:r w:rsidRPr="00DC5490">
              <w:rPr>
                <w:rFonts w:asciiTheme="majorHAnsi" w:hAnsiTheme="majorHAnsi" w:cstheme="majorHAnsi"/>
                <w:b/>
                <w:bCs/>
                <w:color w:val="000000"/>
                <w:sz w:val="16"/>
                <w:szCs w:val="16"/>
                <w:lang w:val="en-US"/>
              </w:rPr>
              <w:t>full access</w:t>
            </w:r>
            <w:r w:rsidRPr="00DC5490">
              <w:rPr>
                <w:rFonts w:asciiTheme="majorHAnsi" w:hAnsiTheme="majorHAnsi" w:cstheme="majorHAnsi"/>
                <w:bCs/>
                <w:color w:val="000000"/>
                <w:sz w:val="16"/>
                <w:szCs w:val="16"/>
                <w:lang w:val="en-US"/>
              </w:rPr>
              <w:t xml:space="preserve"> to this system / tool</w:t>
            </w:r>
          </w:p>
        </w:tc>
        <w:tc>
          <w:tcPr>
            <w:tcW w:w="2647" w:type="dxa"/>
          </w:tcPr>
          <w:p w14:paraId="3C674E63"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r w:rsidRPr="00DC5490">
              <w:rPr>
                <w:rFonts w:asciiTheme="majorHAnsi" w:hAnsiTheme="majorHAnsi" w:cstheme="majorHAnsi"/>
                <w:bCs/>
                <w:color w:val="000000"/>
                <w:sz w:val="16"/>
                <w:szCs w:val="16"/>
                <w:lang w:val="en-US"/>
              </w:rPr>
              <w:t xml:space="preserve">The policy/ system / tool is </w:t>
            </w:r>
            <w:r w:rsidRPr="00DC5490">
              <w:rPr>
                <w:rFonts w:asciiTheme="majorHAnsi" w:hAnsiTheme="majorHAnsi" w:cstheme="majorHAnsi"/>
                <w:b/>
                <w:bCs/>
                <w:color w:val="000000"/>
                <w:sz w:val="16"/>
                <w:szCs w:val="16"/>
                <w:lang w:val="en-US"/>
              </w:rPr>
              <w:t>extremely useful</w:t>
            </w:r>
            <w:r w:rsidRPr="00DC5490">
              <w:rPr>
                <w:rFonts w:asciiTheme="majorHAnsi" w:hAnsiTheme="majorHAnsi" w:cstheme="majorHAnsi"/>
                <w:bCs/>
                <w:color w:val="000000"/>
                <w:sz w:val="16"/>
                <w:szCs w:val="16"/>
                <w:lang w:val="en-US"/>
              </w:rPr>
              <w:t xml:space="preserve"> in enhancing my performance in the classroom</w:t>
            </w:r>
          </w:p>
        </w:tc>
      </w:tr>
    </w:tbl>
    <w:p w14:paraId="61B8F657" w14:textId="7262AEDB" w:rsidR="008D0CAD" w:rsidRPr="00DC5490" w:rsidRDefault="008D0CAD" w:rsidP="00EA6CB9">
      <w:pPr>
        <w:spacing w:before="100" w:beforeAutospacing="1" w:after="100" w:afterAutospacing="1" w:line="360" w:lineRule="auto"/>
        <w:contextualSpacing/>
        <w:rPr>
          <w:rFonts w:asciiTheme="majorHAnsi" w:hAnsiTheme="majorHAnsi" w:cstheme="majorHAnsi"/>
          <w:sz w:val="20"/>
          <w:szCs w:val="20"/>
          <w:lang w:val="en-US"/>
        </w:rPr>
        <w:sectPr w:rsidR="008D0CAD" w:rsidRPr="00DC5490" w:rsidSect="009C64E9">
          <w:pgSz w:w="11906" w:h="16838" w:code="9"/>
          <w:pgMar w:top="1440" w:right="1440" w:bottom="1440" w:left="1440" w:header="708" w:footer="708" w:gutter="0"/>
          <w:cols w:space="708"/>
          <w:docGrid w:linePitch="360"/>
        </w:sectPr>
      </w:pPr>
      <w:r w:rsidRPr="00DC5490">
        <w:rPr>
          <w:rFonts w:asciiTheme="majorHAnsi" w:hAnsiTheme="majorHAnsi" w:cstheme="majorHAnsi"/>
          <w:bCs/>
          <w:color w:val="000000"/>
          <w:sz w:val="20"/>
          <w:szCs w:val="20"/>
          <w:lang w:val="en-US"/>
        </w:rPr>
        <w:t>Please assess the 42 Systems and Tools (formulated or enhanced with assistance from BEST Program) listed below in terms of your knowledge of and access to them, their usefulness to you as a teacher as well as the quality and inclusiveness (i.e. appropriateness to gender, disability, groups), based on a 5-point scale as shown in the rubrics above.</w:t>
      </w:r>
      <w:r w:rsidR="00D434EB">
        <w:rPr>
          <w:rFonts w:asciiTheme="majorHAnsi" w:hAnsiTheme="majorHAnsi" w:cstheme="majorHAnsi"/>
          <w:bCs/>
          <w:color w:val="000000"/>
          <w:sz w:val="20"/>
          <w:szCs w:val="20"/>
          <w:lang w:val="en-US"/>
        </w:rPr>
        <w:t xml:space="preserve"> </w:t>
      </w:r>
      <w:r w:rsidRPr="00DC5490">
        <w:rPr>
          <w:rFonts w:asciiTheme="majorHAnsi" w:hAnsiTheme="majorHAnsi" w:cstheme="majorHAnsi"/>
          <w:bCs/>
          <w:color w:val="000000"/>
          <w:sz w:val="20"/>
          <w:szCs w:val="20"/>
          <w:lang w:val="en-US"/>
        </w:rPr>
        <w:t>For each system/tool, write a number (0 to 4) corresponding to your answer in the appropriate box for Knowledge, Access, Usefulness and Quality &amp; Inclusiveness.</w:t>
      </w:r>
      <w:r w:rsidR="00D434EB">
        <w:rPr>
          <w:rFonts w:asciiTheme="majorHAnsi" w:hAnsiTheme="majorHAnsi" w:cstheme="majorHAnsi"/>
          <w:sz w:val="20"/>
          <w:szCs w:val="20"/>
          <w:lang w:val="en-US"/>
        </w:rPr>
        <w:t xml:space="preserve"> </w:t>
      </w:r>
      <w:r w:rsidRPr="00DC5490">
        <w:rPr>
          <w:rFonts w:asciiTheme="majorHAnsi" w:hAnsiTheme="majorHAnsi" w:cstheme="majorHAnsi"/>
          <w:sz w:val="20"/>
          <w:szCs w:val="20"/>
          <w:lang w:val="en-US"/>
        </w:rPr>
        <w:t xml:space="preserve">Please check the </w:t>
      </w:r>
      <w:r w:rsidRPr="00DC5490">
        <w:rPr>
          <w:rFonts w:asciiTheme="majorHAnsi" w:hAnsiTheme="majorHAnsi" w:cstheme="majorHAnsi"/>
          <w:b/>
          <w:sz w:val="20"/>
          <w:szCs w:val="20"/>
          <w:lang w:val="en-US"/>
        </w:rPr>
        <w:t>NOT APPLICABLE</w:t>
      </w:r>
      <w:r w:rsidRPr="00DC5490">
        <w:rPr>
          <w:rFonts w:asciiTheme="majorHAnsi" w:hAnsiTheme="majorHAnsi" w:cstheme="majorHAnsi"/>
          <w:sz w:val="20"/>
          <w:szCs w:val="20"/>
          <w:lang w:val="en-US"/>
        </w:rPr>
        <w:t xml:space="preserve"> box if the output is not used in your specific work</w:t>
      </w:r>
    </w:p>
    <w:tbl>
      <w:tblPr>
        <w:tblStyle w:val="TableGrid8"/>
        <w:tblW w:w="9218" w:type="dxa"/>
        <w:tblLayout w:type="fixed"/>
        <w:tblLook w:val="04A0" w:firstRow="1" w:lastRow="0" w:firstColumn="1" w:lastColumn="0" w:noHBand="0" w:noVBand="1"/>
      </w:tblPr>
      <w:tblGrid>
        <w:gridCol w:w="4800"/>
        <w:gridCol w:w="818"/>
        <w:gridCol w:w="990"/>
        <w:gridCol w:w="900"/>
        <w:gridCol w:w="810"/>
        <w:gridCol w:w="900"/>
      </w:tblGrid>
      <w:tr w:rsidR="008D0CAD" w:rsidRPr="00DC5490" w14:paraId="6A8508AB" w14:textId="77777777" w:rsidTr="004B064D">
        <w:trPr>
          <w:trHeight w:val="266"/>
          <w:tblHeader/>
        </w:trPr>
        <w:tc>
          <w:tcPr>
            <w:tcW w:w="4800" w:type="dxa"/>
          </w:tcPr>
          <w:p w14:paraId="0FCF3FA6"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r w:rsidRPr="00DC5490">
              <w:rPr>
                <w:rFonts w:asciiTheme="majorHAnsi" w:hAnsiTheme="majorHAnsi" w:cstheme="majorHAnsi"/>
                <w:b/>
                <w:bCs/>
                <w:color w:val="000000"/>
                <w:sz w:val="16"/>
                <w:szCs w:val="16"/>
                <w:lang w:val="en-US"/>
              </w:rPr>
              <w:t>BEST Program Products</w:t>
            </w:r>
          </w:p>
        </w:tc>
        <w:tc>
          <w:tcPr>
            <w:tcW w:w="818" w:type="dxa"/>
          </w:tcPr>
          <w:p w14:paraId="1CC98731"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r w:rsidRPr="00DC5490">
              <w:rPr>
                <w:rFonts w:asciiTheme="majorHAnsi" w:hAnsiTheme="majorHAnsi" w:cstheme="majorHAnsi"/>
                <w:b/>
                <w:bCs/>
                <w:color w:val="000000"/>
                <w:sz w:val="16"/>
                <w:szCs w:val="16"/>
                <w:lang w:val="en-US"/>
              </w:rPr>
              <w:t>Not Applica-ble</w:t>
            </w:r>
          </w:p>
        </w:tc>
        <w:tc>
          <w:tcPr>
            <w:tcW w:w="990" w:type="dxa"/>
          </w:tcPr>
          <w:p w14:paraId="7A542C01"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r w:rsidRPr="00DC5490">
              <w:rPr>
                <w:rFonts w:asciiTheme="majorHAnsi" w:hAnsiTheme="majorHAnsi" w:cstheme="majorHAnsi"/>
                <w:b/>
                <w:bCs/>
                <w:color w:val="000000"/>
                <w:sz w:val="16"/>
                <w:szCs w:val="16"/>
                <w:lang w:val="en-US"/>
              </w:rPr>
              <w:t>Knowledge</w:t>
            </w:r>
          </w:p>
        </w:tc>
        <w:tc>
          <w:tcPr>
            <w:tcW w:w="900" w:type="dxa"/>
          </w:tcPr>
          <w:p w14:paraId="0A290DF7"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r w:rsidRPr="00DC5490">
              <w:rPr>
                <w:rFonts w:asciiTheme="majorHAnsi" w:hAnsiTheme="majorHAnsi" w:cstheme="majorHAnsi"/>
                <w:b/>
                <w:bCs/>
                <w:color w:val="000000"/>
                <w:sz w:val="16"/>
                <w:szCs w:val="16"/>
                <w:lang w:val="en-US"/>
              </w:rPr>
              <w:t>Access</w:t>
            </w:r>
          </w:p>
        </w:tc>
        <w:tc>
          <w:tcPr>
            <w:tcW w:w="810" w:type="dxa"/>
          </w:tcPr>
          <w:p w14:paraId="640969E9"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r w:rsidRPr="00DC5490">
              <w:rPr>
                <w:rFonts w:asciiTheme="majorHAnsi" w:hAnsiTheme="majorHAnsi" w:cstheme="majorHAnsi"/>
                <w:b/>
                <w:bCs/>
                <w:color w:val="000000"/>
                <w:sz w:val="16"/>
                <w:szCs w:val="16"/>
                <w:lang w:val="en-US"/>
              </w:rPr>
              <w:t>Useful-ness</w:t>
            </w:r>
          </w:p>
        </w:tc>
        <w:tc>
          <w:tcPr>
            <w:tcW w:w="900" w:type="dxa"/>
          </w:tcPr>
          <w:p w14:paraId="5830FDCA"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r w:rsidRPr="00DC5490">
              <w:rPr>
                <w:rFonts w:asciiTheme="majorHAnsi" w:hAnsiTheme="majorHAnsi" w:cstheme="majorHAnsi"/>
                <w:b/>
                <w:bCs/>
                <w:color w:val="000000"/>
                <w:sz w:val="16"/>
                <w:szCs w:val="16"/>
                <w:lang w:val="en-US"/>
              </w:rPr>
              <w:t>Quality &amp; Inclusive-ness</w:t>
            </w:r>
          </w:p>
        </w:tc>
      </w:tr>
      <w:tr w:rsidR="008D0CAD" w:rsidRPr="00DC5490" w14:paraId="24417EB2" w14:textId="77777777" w:rsidTr="00EC48C1">
        <w:trPr>
          <w:trHeight w:val="266"/>
        </w:trPr>
        <w:tc>
          <w:tcPr>
            <w:tcW w:w="4800" w:type="dxa"/>
          </w:tcPr>
          <w:p w14:paraId="0CAA839B"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r w:rsidRPr="00DC5490">
              <w:rPr>
                <w:rFonts w:asciiTheme="majorHAnsi" w:hAnsiTheme="majorHAnsi" w:cstheme="majorHAnsi"/>
                <w:b/>
                <w:sz w:val="16"/>
                <w:szCs w:val="16"/>
                <w:lang w:val="en-US"/>
              </w:rPr>
              <w:t xml:space="preserve">Learning and Development (L&amp;D) System </w:t>
            </w:r>
            <w:r w:rsidRPr="00DC5490">
              <w:rPr>
                <w:rFonts w:asciiTheme="majorHAnsi" w:hAnsiTheme="majorHAnsi" w:cstheme="majorHAnsi"/>
                <w:sz w:val="16"/>
                <w:szCs w:val="16"/>
                <w:lang w:val="en-US"/>
              </w:rPr>
              <w:t>(inclusive of various professional development programs and the modalities through which they are delivered, LAC, INSET, coaching, mentoring, job-embedded training, etc.)</w:t>
            </w:r>
          </w:p>
        </w:tc>
        <w:tc>
          <w:tcPr>
            <w:tcW w:w="818" w:type="dxa"/>
          </w:tcPr>
          <w:p w14:paraId="048791FA"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90" w:type="dxa"/>
          </w:tcPr>
          <w:p w14:paraId="5FF7CDEE"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40A40072"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810" w:type="dxa"/>
          </w:tcPr>
          <w:p w14:paraId="6EB1FF36"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3D98A6BD"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3A2B64F8" w14:textId="77777777" w:rsidTr="00EC48C1">
        <w:trPr>
          <w:trHeight w:val="266"/>
        </w:trPr>
        <w:tc>
          <w:tcPr>
            <w:tcW w:w="4800" w:type="dxa"/>
          </w:tcPr>
          <w:p w14:paraId="7FA64AED" w14:textId="77777777" w:rsidR="008D0CAD" w:rsidRPr="00DC5490" w:rsidRDefault="008D0CAD" w:rsidP="00DD08E3">
            <w:pPr>
              <w:numPr>
                <w:ilvl w:val="0"/>
                <w:numId w:val="90"/>
              </w:numPr>
              <w:spacing w:before="100" w:beforeAutospacing="1" w:after="100" w:afterAutospacing="1" w:line="360" w:lineRule="auto"/>
              <w:contextualSpacing/>
              <w:rPr>
                <w:rFonts w:asciiTheme="majorHAnsi" w:hAnsiTheme="majorHAnsi" w:cstheme="majorHAnsi"/>
                <w:bCs/>
                <w:snapToGrid w:val="0"/>
                <w:color w:val="000000"/>
                <w:sz w:val="16"/>
                <w:szCs w:val="16"/>
                <w:lang w:val="en-US"/>
              </w:rPr>
            </w:pPr>
            <w:r w:rsidRPr="00DC5490">
              <w:rPr>
                <w:rFonts w:asciiTheme="majorHAnsi" w:hAnsiTheme="majorHAnsi" w:cstheme="majorHAnsi"/>
                <w:snapToGrid w:val="0"/>
                <w:sz w:val="16"/>
                <w:szCs w:val="16"/>
                <w:lang w:val="en-US"/>
              </w:rPr>
              <w:t>School Heads’ Leadership Program Module</w:t>
            </w:r>
          </w:p>
        </w:tc>
        <w:tc>
          <w:tcPr>
            <w:tcW w:w="818" w:type="dxa"/>
          </w:tcPr>
          <w:p w14:paraId="29956541"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90" w:type="dxa"/>
          </w:tcPr>
          <w:p w14:paraId="635A2B87"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1544CDBC"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p>
        </w:tc>
        <w:tc>
          <w:tcPr>
            <w:tcW w:w="810" w:type="dxa"/>
          </w:tcPr>
          <w:p w14:paraId="0B956A29"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p>
        </w:tc>
        <w:tc>
          <w:tcPr>
            <w:tcW w:w="900" w:type="dxa"/>
          </w:tcPr>
          <w:p w14:paraId="7E165798"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p>
        </w:tc>
      </w:tr>
      <w:tr w:rsidR="008D0CAD" w:rsidRPr="00DC5490" w14:paraId="54951F96" w14:textId="77777777" w:rsidTr="00EC48C1">
        <w:trPr>
          <w:trHeight w:val="266"/>
        </w:trPr>
        <w:tc>
          <w:tcPr>
            <w:tcW w:w="4800" w:type="dxa"/>
          </w:tcPr>
          <w:p w14:paraId="2DCD5696" w14:textId="77777777" w:rsidR="008D0CAD" w:rsidRPr="00DC5490" w:rsidRDefault="008D0CAD" w:rsidP="00DD08E3">
            <w:pPr>
              <w:numPr>
                <w:ilvl w:val="0"/>
                <w:numId w:val="90"/>
              </w:numPr>
              <w:spacing w:before="100" w:beforeAutospacing="1" w:after="100" w:afterAutospacing="1" w:line="360" w:lineRule="auto"/>
              <w:contextualSpacing/>
              <w:rPr>
                <w:rFonts w:asciiTheme="majorHAnsi" w:hAnsiTheme="majorHAnsi" w:cstheme="majorHAnsi"/>
                <w:bCs/>
                <w:snapToGrid w:val="0"/>
                <w:color w:val="000000"/>
                <w:sz w:val="16"/>
                <w:szCs w:val="16"/>
                <w:lang w:val="en-US"/>
              </w:rPr>
            </w:pPr>
            <w:r w:rsidRPr="00DC5490">
              <w:rPr>
                <w:rFonts w:asciiTheme="majorHAnsi" w:eastAsia="Calibri" w:hAnsiTheme="majorHAnsi" w:cstheme="majorHAnsi"/>
                <w:snapToGrid w:val="0"/>
                <w:sz w:val="16"/>
                <w:szCs w:val="16"/>
                <w:lang w:val="en-US"/>
              </w:rPr>
              <w:t>L&amp;D Orientation Package</w:t>
            </w:r>
          </w:p>
        </w:tc>
        <w:tc>
          <w:tcPr>
            <w:tcW w:w="818" w:type="dxa"/>
          </w:tcPr>
          <w:p w14:paraId="397F7FD3"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90" w:type="dxa"/>
          </w:tcPr>
          <w:p w14:paraId="6B57987E"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1A82079F"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p>
        </w:tc>
        <w:tc>
          <w:tcPr>
            <w:tcW w:w="810" w:type="dxa"/>
          </w:tcPr>
          <w:p w14:paraId="096B1D55"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p>
        </w:tc>
        <w:tc>
          <w:tcPr>
            <w:tcW w:w="900" w:type="dxa"/>
          </w:tcPr>
          <w:p w14:paraId="6D50ECB0"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p>
        </w:tc>
      </w:tr>
      <w:tr w:rsidR="008D0CAD" w:rsidRPr="00DC5490" w14:paraId="1BC06AFB" w14:textId="77777777" w:rsidTr="00EC48C1">
        <w:trPr>
          <w:trHeight w:val="266"/>
        </w:trPr>
        <w:tc>
          <w:tcPr>
            <w:tcW w:w="4800" w:type="dxa"/>
          </w:tcPr>
          <w:p w14:paraId="77E99CDF" w14:textId="77777777" w:rsidR="008D0CAD" w:rsidRPr="00DC5490" w:rsidRDefault="008D0CAD" w:rsidP="00DD08E3">
            <w:pPr>
              <w:numPr>
                <w:ilvl w:val="0"/>
                <w:numId w:val="90"/>
              </w:numPr>
              <w:spacing w:before="100" w:beforeAutospacing="1" w:after="100" w:afterAutospacing="1" w:line="360" w:lineRule="auto"/>
              <w:contextualSpacing/>
              <w:rPr>
                <w:rFonts w:asciiTheme="majorHAnsi" w:hAnsiTheme="majorHAnsi" w:cstheme="majorHAnsi"/>
                <w:bCs/>
                <w:snapToGrid w:val="0"/>
                <w:color w:val="000000"/>
                <w:sz w:val="16"/>
                <w:szCs w:val="16"/>
                <w:lang w:val="en-US"/>
              </w:rPr>
            </w:pPr>
            <w:r w:rsidRPr="00DC5490">
              <w:rPr>
                <w:rFonts w:asciiTheme="majorHAnsi" w:hAnsiTheme="majorHAnsi" w:cstheme="majorHAnsi"/>
                <w:snapToGrid w:val="0"/>
                <w:sz w:val="16"/>
                <w:szCs w:val="16"/>
                <w:lang w:val="en-US"/>
              </w:rPr>
              <w:t>L&amp;D System Manual</w:t>
            </w:r>
          </w:p>
        </w:tc>
        <w:tc>
          <w:tcPr>
            <w:tcW w:w="818" w:type="dxa"/>
          </w:tcPr>
          <w:p w14:paraId="58341FFB"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90" w:type="dxa"/>
          </w:tcPr>
          <w:p w14:paraId="62BBBB85"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5715C744"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p>
        </w:tc>
        <w:tc>
          <w:tcPr>
            <w:tcW w:w="810" w:type="dxa"/>
          </w:tcPr>
          <w:p w14:paraId="798A4F65"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p>
        </w:tc>
        <w:tc>
          <w:tcPr>
            <w:tcW w:w="900" w:type="dxa"/>
          </w:tcPr>
          <w:p w14:paraId="4A14D1C6"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p>
        </w:tc>
      </w:tr>
      <w:tr w:rsidR="008D0CAD" w:rsidRPr="00DC5490" w14:paraId="75462290" w14:textId="77777777" w:rsidTr="00EC48C1">
        <w:trPr>
          <w:trHeight w:val="266"/>
        </w:trPr>
        <w:tc>
          <w:tcPr>
            <w:tcW w:w="4800" w:type="dxa"/>
          </w:tcPr>
          <w:p w14:paraId="3FD4CEB0" w14:textId="77777777" w:rsidR="008D0CAD" w:rsidRPr="00DC5490" w:rsidRDefault="008D0CAD" w:rsidP="00DD08E3">
            <w:pPr>
              <w:numPr>
                <w:ilvl w:val="0"/>
                <w:numId w:val="90"/>
              </w:numPr>
              <w:spacing w:before="100" w:beforeAutospacing="1" w:after="100" w:afterAutospacing="1" w:line="360" w:lineRule="auto"/>
              <w:contextualSpacing/>
              <w:rPr>
                <w:rFonts w:asciiTheme="majorHAnsi" w:hAnsiTheme="majorHAnsi" w:cstheme="majorHAnsi"/>
                <w:snapToGrid w:val="0"/>
                <w:sz w:val="16"/>
                <w:szCs w:val="16"/>
                <w:lang w:val="en-US"/>
              </w:rPr>
            </w:pPr>
            <w:r w:rsidRPr="00DC5490">
              <w:rPr>
                <w:rFonts w:asciiTheme="majorHAnsi" w:eastAsiaTheme="minorHAnsi" w:hAnsiTheme="majorHAnsi" w:cstheme="majorHAnsi"/>
                <w:snapToGrid w:val="0"/>
                <w:sz w:val="16"/>
                <w:szCs w:val="16"/>
                <w:lang w:val="en-US"/>
              </w:rPr>
              <w:t>Guidebook on Coaching and Mentoring for Specific Purposes</w:t>
            </w:r>
          </w:p>
        </w:tc>
        <w:tc>
          <w:tcPr>
            <w:tcW w:w="818" w:type="dxa"/>
          </w:tcPr>
          <w:p w14:paraId="620A15EB"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90" w:type="dxa"/>
          </w:tcPr>
          <w:p w14:paraId="37F7CC5C"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3867C628"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p>
        </w:tc>
        <w:tc>
          <w:tcPr>
            <w:tcW w:w="810" w:type="dxa"/>
          </w:tcPr>
          <w:p w14:paraId="0029B31E"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p>
        </w:tc>
        <w:tc>
          <w:tcPr>
            <w:tcW w:w="900" w:type="dxa"/>
          </w:tcPr>
          <w:p w14:paraId="5AC93D6B"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p>
        </w:tc>
      </w:tr>
      <w:tr w:rsidR="008D0CAD" w:rsidRPr="00DC5490" w14:paraId="1CEFB372" w14:textId="77777777" w:rsidTr="00EC48C1">
        <w:trPr>
          <w:trHeight w:val="266"/>
        </w:trPr>
        <w:tc>
          <w:tcPr>
            <w:tcW w:w="4800" w:type="dxa"/>
          </w:tcPr>
          <w:p w14:paraId="1EA8DDBC" w14:textId="77777777" w:rsidR="008D0CAD" w:rsidRPr="00DC5490" w:rsidRDefault="008D0CAD" w:rsidP="00DD08E3">
            <w:pPr>
              <w:numPr>
                <w:ilvl w:val="0"/>
                <w:numId w:val="90"/>
              </w:numPr>
              <w:spacing w:before="100" w:beforeAutospacing="1" w:after="100" w:afterAutospacing="1" w:line="360" w:lineRule="auto"/>
              <w:contextualSpacing/>
              <w:rPr>
                <w:rFonts w:asciiTheme="majorHAnsi" w:hAnsiTheme="majorHAnsi" w:cstheme="majorHAnsi"/>
                <w:bCs/>
                <w:snapToGrid w:val="0"/>
                <w:color w:val="000000"/>
                <w:sz w:val="16"/>
                <w:szCs w:val="16"/>
                <w:lang w:val="en-US"/>
              </w:rPr>
            </w:pPr>
            <w:r w:rsidRPr="00DC5490">
              <w:rPr>
                <w:rFonts w:asciiTheme="majorHAnsi" w:hAnsiTheme="majorHAnsi" w:cstheme="majorHAnsi"/>
                <w:bCs/>
                <w:snapToGrid w:val="0"/>
                <w:color w:val="000000"/>
                <w:sz w:val="16"/>
                <w:szCs w:val="16"/>
                <w:lang w:val="en-US"/>
              </w:rPr>
              <w:t>Learning Action Cell (LAC) Toolkit</w:t>
            </w:r>
          </w:p>
        </w:tc>
        <w:tc>
          <w:tcPr>
            <w:tcW w:w="818" w:type="dxa"/>
          </w:tcPr>
          <w:p w14:paraId="4F4F2CAB"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90" w:type="dxa"/>
          </w:tcPr>
          <w:p w14:paraId="2B717EE1"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3C1D40A6"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r w:rsidRPr="00DC5490">
              <w:rPr>
                <w:rFonts w:asciiTheme="majorHAnsi" w:hAnsiTheme="majorHAnsi" w:cstheme="majorHAnsi"/>
                <w:bCs/>
                <w:color w:val="000000"/>
                <w:sz w:val="16"/>
                <w:szCs w:val="16"/>
                <w:lang w:val="en-US"/>
              </w:rPr>
              <w:t xml:space="preserve"> </w:t>
            </w:r>
          </w:p>
        </w:tc>
        <w:tc>
          <w:tcPr>
            <w:tcW w:w="810" w:type="dxa"/>
          </w:tcPr>
          <w:p w14:paraId="49460203"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r w:rsidRPr="00DC5490">
              <w:rPr>
                <w:rFonts w:asciiTheme="majorHAnsi" w:hAnsiTheme="majorHAnsi" w:cstheme="majorHAnsi"/>
                <w:bCs/>
                <w:color w:val="000000"/>
                <w:sz w:val="16"/>
                <w:szCs w:val="16"/>
                <w:lang w:val="en-US"/>
              </w:rPr>
              <w:t xml:space="preserve"> </w:t>
            </w:r>
          </w:p>
        </w:tc>
        <w:tc>
          <w:tcPr>
            <w:tcW w:w="900" w:type="dxa"/>
          </w:tcPr>
          <w:p w14:paraId="1DC80189"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r w:rsidRPr="00DC5490">
              <w:rPr>
                <w:rFonts w:asciiTheme="majorHAnsi" w:hAnsiTheme="majorHAnsi" w:cstheme="majorHAnsi"/>
                <w:bCs/>
                <w:color w:val="000000"/>
                <w:sz w:val="16"/>
                <w:szCs w:val="16"/>
                <w:lang w:val="en-US"/>
              </w:rPr>
              <w:t xml:space="preserve"> </w:t>
            </w:r>
          </w:p>
        </w:tc>
      </w:tr>
      <w:tr w:rsidR="008D0CAD" w:rsidRPr="00DC5490" w14:paraId="4F4D4EA9" w14:textId="77777777" w:rsidTr="00EC48C1">
        <w:trPr>
          <w:trHeight w:val="266"/>
        </w:trPr>
        <w:tc>
          <w:tcPr>
            <w:tcW w:w="4800" w:type="dxa"/>
          </w:tcPr>
          <w:p w14:paraId="32C3EB9D" w14:textId="77777777" w:rsidR="008D0CAD" w:rsidRPr="00DC5490" w:rsidRDefault="008D0CAD" w:rsidP="00DD08E3">
            <w:pPr>
              <w:numPr>
                <w:ilvl w:val="0"/>
                <w:numId w:val="90"/>
              </w:numPr>
              <w:spacing w:before="100" w:beforeAutospacing="1" w:after="100" w:afterAutospacing="1" w:line="360" w:lineRule="auto"/>
              <w:contextualSpacing/>
              <w:rPr>
                <w:rFonts w:asciiTheme="majorHAnsi" w:hAnsiTheme="majorHAnsi" w:cstheme="majorHAnsi"/>
                <w:snapToGrid w:val="0"/>
                <w:sz w:val="16"/>
                <w:szCs w:val="16"/>
                <w:lang w:val="en-US"/>
              </w:rPr>
            </w:pPr>
            <w:r w:rsidRPr="00DC5490">
              <w:rPr>
                <w:rFonts w:asciiTheme="majorHAnsi" w:hAnsiTheme="majorHAnsi" w:cstheme="majorHAnsi"/>
                <w:bCs/>
                <w:snapToGrid w:val="0"/>
                <w:color w:val="000000"/>
                <w:sz w:val="16"/>
                <w:szCs w:val="16"/>
                <w:lang w:val="en-US"/>
              </w:rPr>
              <w:t>ICT Learning Action Cell (ICT LAC) Resource Materials</w:t>
            </w:r>
          </w:p>
        </w:tc>
        <w:tc>
          <w:tcPr>
            <w:tcW w:w="818" w:type="dxa"/>
          </w:tcPr>
          <w:p w14:paraId="2132BFA7"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90" w:type="dxa"/>
          </w:tcPr>
          <w:p w14:paraId="32EF2670"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1BA25614"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810" w:type="dxa"/>
          </w:tcPr>
          <w:p w14:paraId="3DCD0A5E"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7E138E76"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21829C32" w14:textId="77777777" w:rsidTr="00EC48C1">
        <w:trPr>
          <w:trHeight w:val="266"/>
        </w:trPr>
        <w:tc>
          <w:tcPr>
            <w:tcW w:w="4800" w:type="dxa"/>
          </w:tcPr>
          <w:p w14:paraId="63CF84BB" w14:textId="77777777" w:rsidR="008D0CAD" w:rsidRPr="00DC5490" w:rsidRDefault="008D0CAD" w:rsidP="00DD08E3">
            <w:pPr>
              <w:numPr>
                <w:ilvl w:val="0"/>
                <w:numId w:val="90"/>
              </w:numPr>
              <w:spacing w:before="100" w:beforeAutospacing="1" w:after="100" w:afterAutospacing="1" w:line="360" w:lineRule="auto"/>
              <w:contextualSpacing/>
              <w:rPr>
                <w:rFonts w:asciiTheme="majorHAnsi" w:hAnsiTheme="majorHAnsi" w:cstheme="majorHAnsi"/>
                <w:bCs/>
                <w:snapToGrid w:val="0"/>
                <w:color w:val="000000"/>
                <w:sz w:val="16"/>
                <w:szCs w:val="16"/>
                <w:lang w:val="en-US"/>
              </w:rPr>
            </w:pPr>
            <w:r w:rsidRPr="00DC5490">
              <w:rPr>
                <w:rFonts w:asciiTheme="majorHAnsi" w:hAnsiTheme="majorHAnsi" w:cstheme="majorHAnsi"/>
                <w:bCs/>
                <w:snapToGrid w:val="0"/>
                <w:color w:val="000000"/>
                <w:sz w:val="16"/>
                <w:szCs w:val="16"/>
                <w:lang w:val="en-US"/>
              </w:rPr>
              <w:t>Pedagogical Retooling in Mathematics, Languages and Sciences (PRIMALS) Trainers resource packages and LAC session guides</w:t>
            </w:r>
          </w:p>
        </w:tc>
        <w:tc>
          <w:tcPr>
            <w:tcW w:w="818" w:type="dxa"/>
          </w:tcPr>
          <w:p w14:paraId="2B23E3E2"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90" w:type="dxa"/>
          </w:tcPr>
          <w:p w14:paraId="1AEA28CD"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242BEFD4"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810" w:type="dxa"/>
          </w:tcPr>
          <w:p w14:paraId="449C6A10"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3F9DBDAE"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0C79E32C" w14:textId="77777777" w:rsidTr="00EC48C1">
        <w:trPr>
          <w:trHeight w:val="266"/>
        </w:trPr>
        <w:tc>
          <w:tcPr>
            <w:tcW w:w="4800" w:type="dxa"/>
          </w:tcPr>
          <w:p w14:paraId="2AAEF7CB" w14:textId="77777777" w:rsidR="008D0CAD" w:rsidRPr="00DC5490" w:rsidRDefault="008D0CAD" w:rsidP="00DD08E3">
            <w:pPr>
              <w:numPr>
                <w:ilvl w:val="0"/>
                <w:numId w:val="90"/>
              </w:numPr>
              <w:spacing w:before="100" w:beforeAutospacing="1" w:after="100" w:afterAutospacing="1" w:line="360" w:lineRule="auto"/>
              <w:contextualSpacing/>
              <w:rPr>
                <w:rFonts w:asciiTheme="majorHAnsi" w:hAnsiTheme="majorHAnsi" w:cstheme="majorHAnsi"/>
                <w:bCs/>
                <w:snapToGrid w:val="0"/>
                <w:color w:val="000000"/>
                <w:sz w:val="16"/>
                <w:szCs w:val="16"/>
                <w:lang w:val="en-US"/>
              </w:rPr>
            </w:pPr>
            <w:r w:rsidRPr="00DC5490">
              <w:rPr>
                <w:rFonts w:asciiTheme="majorHAnsi" w:hAnsiTheme="majorHAnsi" w:cstheme="majorHAnsi"/>
                <w:bCs/>
                <w:snapToGrid w:val="0"/>
                <w:color w:val="000000"/>
                <w:sz w:val="16"/>
                <w:szCs w:val="16"/>
                <w:lang w:val="en-US"/>
              </w:rPr>
              <w:t>Action Research (AR) Toolkit</w:t>
            </w:r>
          </w:p>
        </w:tc>
        <w:tc>
          <w:tcPr>
            <w:tcW w:w="818" w:type="dxa"/>
          </w:tcPr>
          <w:p w14:paraId="1564E11E"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90" w:type="dxa"/>
          </w:tcPr>
          <w:p w14:paraId="5A1D027B"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25F50692"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810" w:type="dxa"/>
          </w:tcPr>
          <w:p w14:paraId="4409D95E"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48E4CC2E"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12F0D885" w14:textId="77777777" w:rsidTr="00EC48C1">
        <w:trPr>
          <w:trHeight w:val="266"/>
        </w:trPr>
        <w:tc>
          <w:tcPr>
            <w:tcW w:w="4800" w:type="dxa"/>
          </w:tcPr>
          <w:p w14:paraId="3B0CB606" w14:textId="77777777" w:rsidR="008D0CAD" w:rsidRPr="00DC5490" w:rsidRDefault="008D0CAD" w:rsidP="00DD08E3">
            <w:pPr>
              <w:numPr>
                <w:ilvl w:val="0"/>
                <w:numId w:val="90"/>
              </w:numPr>
              <w:spacing w:before="100" w:beforeAutospacing="1" w:after="100" w:afterAutospacing="1" w:line="360" w:lineRule="auto"/>
              <w:contextualSpacing/>
              <w:rPr>
                <w:rFonts w:asciiTheme="majorHAnsi" w:hAnsiTheme="majorHAnsi" w:cstheme="majorHAnsi"/>
                <w:bCs/>
                <w:snapToGrid w:val="0"/>
                <w:color w:val="000000"/>
                <w:sz w:val="16"/>
                <w:szCs w:val="16"/>
                <w:lang w:val="en-US"/>
              </w:rPr>
            </w:pPr>
            <w:r w:rsidRPr="00DC5490">
              <w:rPr>
                <w:rFonts w:asciiTheme="majorHAnsi" w:hAnsiTheme="majorHAnsi" w:cstheme="majorHAnsi"/>
                <w:bCs/>
                <w:snapToGrid w:val="0"/>
                <w:color w:val="000000"/>
                <w:sz w:val="16"/>
                <w:szCs w:val="16"/>
                <w:lang w:val="en-US"/>
              </w:rPr>
              <w:t>LAC Inclusive Value Series</w:t>
            </w:r>
          </w:p>
        </w:tc>
        <w:tc>
          <w:tcPr>
            <w:tcW w:w="818" w:type="dxa"/>
          </w:tcPr>
          <w:p w14:paraId="71AFD001"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90" w:type="dxa"/>
          </w:tcPr>
          <w:p w14:paraId="00CBAFAD"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211F3653"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810" w:type="dxa"/>
          </w:tcPr>
          <w:p w14:paraId="4573C3A7"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0525B72C"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7FB0A98D" w14:textId="77777777" w:rsidTr="00EC48C1">
        <w:trPr>
          <w:trHeight w:val="266"/>
        </w:trPr>
        <w:tc>
          <w:tcPr>
            <w:tcW w:w="4800" w:type="dxa"/>
          </w:tcPr>
          <w:p w14:paraId="3CAF2F5F" w14:textId="77777777" w:rsidR="008D0CAD" w:rsidRPr="00DC5490" w:rsidRDefault="008D0CAD" w:rsidP="00DD08E3">
            <w:pPr>
              <w:numPr>
                <w:ilvl w:val="0"/>
                <w:numId w:val="90"/>
              </w:numPr>
              <w:spacing w:before="100" w:beforeAutospacing="1" w:after="100" w:afterAutospacing="1" w:line="360" w:lineRule="auto"/>
              <w:contextualSpacing/>
              <w:rPr>
                <w:rFonts w:asciiTheme="majorHAnsi" w:hAnsiTheme="majorHAnsi" w:cstheme="majorHAnsi"/>
                <w:bCs/>
                <w:snapToGrid w:val="0"/>
                <w:color w:val="000000"/>
                <w:sz w:val="16"/>
                <w:szCs w:val="16"/>
                <w:lang w:val="en-US"/>
              </w:rPr>
            </w:pPr>
            <w:r w:rsidRPr="00DC5490">
              <w:rPr>
                <w:rFonts w:asciiTheme="majorHAnsi" w:hAnsiTheme="majorHAnsi" w:cstheme="majorHAnsi"/>
                <w:bCs/>
                <w:snapToGrid w:val="0"/>
                <w:color w:val="000000"/>
                <w:sz w:val="16"/>
                <w:szCs w:val="16"/>
                <w:lang w:val="en-US"/>
              </w:rPr>
              <w:t>Positive Discipline for Everyday Teaching (PDET-LAC)</w:t>
            </w:r>
          </w:p>
        </w:tc>
        <w:tc>
          <w:tcPr>
            <w:tcW w:w="818" w:type="dxa"/>
          </w:tcPr>
          <w:p w14:paraId="27B92D2D"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90" w:type="dxa"/>
          </w:tcPr>
          <w:p w14:paraId="0606CCC7"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4DEA8EF6"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810" w:type="dxa"/>
          </w:tcPr>
          <w:p w14:paraId="3A7B54B3"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286D2EFF"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7A0D5F18" w14:textId="77777777" w:rsidTr="00EC48C1">
        <w:trPr>
          <w:trHeight w:val="266"/>
        </w:trPr>
        <w:tc>
          <w:tcPr>
            <w:tcW w:w="4800" w:type="dxa"/>
          </w:tcPr>
          <w:p w14:paraId="376579EA" w14:textId="77777777" w:rsidR="008D0CAD" w:rsidRPr="00DC5490" w:rsidRDefault="008D0CAD" w:rsidP="00DD08E3">
            <w:pPr>
              <w:numPr>
                <w:ilvl w:val="0"/>
                <w:numId w:val="90"/>
              </w:numPr>
              <w:spacing w:before="100" w:beforeAutospacing="1" w:after="100" w:afterAutospacing="1" w:line="360" w:lineRule="auto"/>
              <w:contextualSpacing/>
              <w:rPr>
                <w:rFonts w:asciiTheme="majorHAnsi" w:hAnsiTheme="majorHAnsi" w:cstheme="majorHAnsi"/>
                <w:bCs/>
                <w:snapToGrid w:val="0"/>
                <w:color w:val="000000"/>
                <w:sz w:val="16"/>
                <w:szCs w:val="16"/>
                <w:lang w:val="en-US"/>
              </w:rPr>
            </w:pPr>
            <w:r w:rsidRPr="00DC5490">
              <w:rPr>
                <w:rFonts w:asciiTheme="majorHAnsi" w:hAnsiTheme="majorHAnsi" w:cstheme="majorHAnsi"/>
                <w:bCs/>
                <w:snapToGrid w:val="0"/>
                <w:color w:val="000000"/>
                <w:sz w:val="16"/>
                <w:szCs w:val="16"/>
                <w:lang w:val="en-US"/>
              </w:rPr>
              <w:t>Collaborative Lesson Planning (CLP)</w:t>
            </w:r>
          </w:p>
        </w:tc>
        <w:tc>
          <w:tcPr>
            <w:tcW w:w="818" w:type="dxa"/>
          </w:tcPr>
          <w:p w14:paraId="4B02CADE"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90" w:type="dxa"/>
          </w:tcPr>
          <w:p w14:paraId="452D7DB7"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7D3CB1DD"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810" w:type="dxa"/>
          </w:tcPr>
          <w:p w14:paraId="1C806A11"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0571CE8B"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010DB00D" w14:textId="77777777" w:rsidTr="00EC48C1">
        <w:trPr>
          <w:trHeight w:val="266"/>
        </w:trPr>
        <w:tc>
          <w:tcPr>
            <w:tcW w:w="4800" w:type="dxa"/>
          </w:tcPr>
          <w:p w14:paraId="6E060930"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r w:rsidRPr="00DC5490">
              <w:rPr>
                <w:rFonts w:asciiTheme="majorHAnsi" w:hAnsiTheme="majorHAnsi" w:cstheme="majorHAnsi"/>
                <w:b/>
                <w:sz w:val="16"/>
                <w:szCs w:val="16"/>
                <w:lang w:val="en-US"/>
              </w:rPr>
              <w:t>Philippine Professional Standards for Teachers (PPST)</w:t>
            </w:r>
          </w:p>
        </w:tc>
        <w:tc>
          <w:tcPr>
            <w:tcW w:w="818" w:type="dxa"/>
          </w:tcPr>
          <w:p w14:paraId="789B5ECF"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90" w:type="dxa"/>
          </w:tcPr>
          <w:p w14:paraId="7B912C72"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0B631E5C"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810" w:type="dxa"/>
          </w:tcPr>
          <w:p w14:paraId="74905628"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60463936"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77D254E7" w14:textId="77777777" w:rsidTr="00EC48C1">
        <w:trPr>
          <w:trHeight w:val="266"/>
        </w:trPr>
        <w:tc>
          <w:tcPr>
            <w:tcW w:w="4800" w:type="dxa"/>
          </w:tcPr>
          <w:p w14:paraId="052797A0" w14:textId="77777777" w:rsidR="008D0CAD" w:rsidRPr="00DC5490" w:rsidRDefault="008D0CAD" w:rsidP="00DD08E3">
            <w:pPr>
              <w:numPr>
                <w:ilvl w:val="0"/>
                <w:numId w:val="90"/>
              </w:numPr>
              <w:spacing w:before="100" w:beforeAutospacing="1" w:after="100" w:afterAutospacing="1" w:line="360" w:lineRule="auto"/>
              <w:contextualSpacing/>
              <w:rPr>
                <w:rFonts w:asciiTheme="majorHAnsi" w:hAnsiTheme="majorHAnsi" w:cstheme="majorHAnsi"/>
                <w:bCs/>
                <w:snapToGrid w:val="0"/>
                <w:color w:val="000000"/>
                <w:sz w:val="16"/>
                <w:szCs w:val="16"/>
                <w:lang w:val="en-US"/>
              </w:rPr>
            </w:pPr>
            <w:r w:rsidRPr="00DC5490">
              <w:rPr>
                <w:rFonts w:asciiTheme="majorHAnsi" w:hAnsiTheme="majorHAnsi" w:cstheme="majorHAnsi"/>
                <w:snapToGrid w:val="0"/>
                <w:sz w:val="16"/>
                <w:szCs w:val="16"/>
                <w:lang w:val="en-US"/>
              </w:rPr>
              <w:t>PPST Resource Package (12 modules)</w:t>
            </w:r>
          </w:p>
        </w:tc>
        <w:tc>
          <w:tcPr>
            <w:tcW w:w="818" w:type="dxa"/>
          </w:tcPr>
          <w:p w14:paraId="5AF091BE"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90" w:type="dxa"/>
          </w:tcPr>
          <w:p w14:paraId="5A140956"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4DB704A1"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810" w:type="dxa"/>
          </w:tcPr>
          <w:p w14:paraId="01396CE8"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1313C0A6"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2187428C" w14:textId="77777777" w:rsidTr="00EC48C1">
        <w:trPr>
          <w:trHeight w:val="266"/>
        </w:trPr>
        <w:tc>
          <w:tcPr>
            <w:tcW w:w="4800" w:type="dxa"/>
          </w:tcPr>
          <w:p w14:paraId="5B101AE3" w14:textId="77777777" w:rsidR="008D0CAD" w:rsidRPr="00DC5490" w:rsidRDefault="008D0CAD" w:rsidP="00DD08E3">
            <w:pPr>
              <w:numPr>
                <w:ilvl w:val="0"/>
                <w:numId w:val="90"/>
              </w:numPr>
              <w:spacing w:before="100" w:beforeAutospacing="1" w:after="100" w:afterAutospacing="1" w:line="360" w:lineRule="auto"/>
              <w:contextualSpacing/>
              <w:rPr>
                <w:rFonts w:asciiTheme="majorHAnsi" w:hAnsiTheme="majorHAnsi" w:cstheme="majorHAnsi"/>
                <w:bCs/>
                <w:snapToGrid w:val="0"/>
                <w:color w:val="000000"/>
                <w:sz w:val="16"/>
                <w:szCs w:val="16"/>
                <w:lang w:val="en-US"/>
              </w:rPr>
            </w:pPr>
            <w:r w:rsidRPr="00DC5490">
              <w:rPr>
                <w:rFonts w:asciiTheme="majorHAnsi" w:hAnsiTheme="majorHAnsi" w:cstheme="majorHAnsi"/>
                <w:snapToGrid w:val="0"/>
                <w:sz w:val="16"/>
                <w:szCs w:val="16"/>
                <w:lang w:val="en-US"/>
              </w:rPr>
              <w:t xml:space="preserve">Results Based Performance Management System (RPMS) </w:t>
            </w:r>
            <w:r w:rsidRPr="00DC5490">
              <w:rPr>
                <w:rFonts w:asciiTheme="majorHAnsi" w:eastAsiaTheme="minorEastAsia" w:hAnsiTheme="majorHAnsi" w:cstheme="majorHAnsi"/>
                <w:snapToGrid w:val="0"/>
                <w:sz w:val="16"/>
                <w:szCs w:val="16"/>
                <w:lang w:val="en-US"/>
              </w:rPr>
              <w:t>Facilitator’s Guide</w:t>
            </w:r>
          </w:p>
        </w:tc>
        <w:tc>
          <w:tcPr>
            <w:tcW w:w="818" w:type="dxa"/>
          </w:tcPr>
          <w:p w14:paraId="13E46D87"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90" w:type="dxa"/>
          </w:tcPr>
          <w:p w14:paraId="3D4A9F92"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72D88179"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810" w:type="dxa"/>
          </w:tcPr>
          <w:p w14:paraId="76EBEC33"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53D15A6F"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60EDA7EF" w14:textId="77777777" w:rsidTr="00EC48C1">
        <w:trPr>
          <w:trHeight w:val="266"/>
        </w:trPr>
        <w:tc>
          <w:tcPr>
            <w:tcW w:w="4800" w:type="dxa"/>
          </w:tcPr>
          <w:p w14:paraId="5D10AFC0" w14:textId="77777777" w:rsidR="008D0CAD" w:rsidRPr="00DC5490" w:rsidRDefault="008D0CAD" w:rsidP="00DD08E3">
            <w:pPr>
              <w:numPr>
                <w:ilvl w:val="0"/>
                <w:numId w:val="90"/>
              </w:numPr>
              <w:spacing w:before="100" w:beforeAutospacing="1" w:after="100" w:afterAutospacing="1" w:line="360" w:lineRule="auto"/>
              <w:contextualSpacing/>
              <w:rPr>
                <w:rFonts w:asciiTheme="majorHAnsi" w:hAnsiTheme="majorHAnsi" w:cstheme="majorHAnsi"/>
                <w:snapToGrid w:val="0"/>
                <w:sz w:val="16"/>
                <w:szCs w:val="16"/>
                <w:lang w:val="en-AU"/>
              </w:rPr>
            </w:pPr>
            <w:r w:rsidRPr="00DC5490">
              <w:rPr>
                <w:rFonts w:asciiTheme="majorHAnsi" w:eastAsiaTheme="minorEastAsia" w:hAnsiTheme="majorHAnsi" w:cstheme="majorHAnsi"/>
                <w:snapToGrid w:val="0"/>
                <w:sz w:val="16"/>
                <w:szCs w:val="16"/>
                <w:lang w:val="en-US"/>
              </w:rPr>
              <w:t>RPMS Tool for Proficient Teacher – Teacher I-III</w:t>
            </w:r>
          </w:p>
        </w:tc>
        <w:tc>
          <w:tcPr>
            <w:tcW w:w="818" w:type="dxa"/>
          </w:tcPr>
          <w:p w14:paraId="6433501C"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90" w:type="dxa"/>
          </w:tcPr>
          <w:p w14:paraId="1F952993"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3868B95B"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810" w:type="dxa"/>
          </w:tcPr>
          <w:p w14:paraId="249BA071"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0166D45D"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6937A3E5" w14:textId="77777777" w:rsidTr="00EC48C1">
        <w:trPr>
          <w:trHeight w:val="266"/>
        </w:trPr>
        <w:tc>
          <w:tcPr>
            <w:tcW w:w="4800" w:type="dxa"/>
          </w:tcPr>
          <w:p w14:paraId="185065DA" w14:textId="77777777" w:rsidR="008D0CAD" w:rsidRPr="00DC5490" w:rsidRDefault="008D0CAD" w:rsidP="00DD08E3">
            <w:pPr>
              <w:numPr>
                <w:ilvl w:val="0"/>
                <w:numId w:val="90"/>
              </w:numPr>
              <w:spacing w:before="100" w:beforeAutospacing="1" w:after="100" w:afterAutospacing="1" w:line="360" w:lineRule="auto"/>
              <w:contextualSpacing/>
              <w:rPr>
                <w:rFonts w:asciiTheme="majorHAnsi" w:hAnsiTheme="majorHAnsi" w:cstheme="majorHAnsi"/>
                <w:snapToGrid w:val="0"/>
                <w:sz w:val="16"/>
                <w:szCs w:val="16"/>
                <w:lang w:val="en-AU"/>
              </w:rPr>
            </w:pPr>
            <w:r w:rsidRPr="00DC5490">
              <w:rPr>
                <w:rFonts w:asciiTheme="majorHAnsi" w:eastAsiaTheme="minorEastAsia" w:hAnsiTheme="majorHAnsi" w:cstheme="majorHAnsi"/>
                <w:snapToGrid w:val="0"/>
                <w:sz w:val="16"/>
                <w:szCs w:val="16"/>
                <w:lang w:val="en-US"/>
              </w:rPr>
              <w:t>RPMS Tool for Highly Proficient Teacher – Master Teacher I-IV</w:t>
            </w:r>
          </w:p>
        </w:tc>
        <w:tc>
          <w:tcPr>
            <w:tcW w:w="818" w:type="dxa"/>
          </w:tcPr>
          <w:p w14:paraId="5F601BF5"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90" w:type="dxa"/>
          </w:tcPr>
          <w:p w14:paraId="051D75F3"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5642ACFD"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810" w:type="dxa"/>
          </w:tcPr>
          <w:p w14:paraId="56F34B36"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4E9946A2"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4C5E8A09" w14:textId="77777777" w:rsidTr="00EC48C1">
        <w:trPr>
          <w:trHeight w:val="266"/>
        </w:trPr>
        <w:tc>
          <w:tcPr>
            <w:tcW w:w="4800" w:type="dxa"/>
          </w:tcPr>
          <w:p w14:paraId="16976960" w14:textId="77777777" w:rsidR="008D0CAD" w:rsidRPr="00DC5490" w:rsidRDefault="008D0CAD" w:rsidP="00DD08E3">
            <w:pPr>
              <w:numPr>
                <w:ilvl w:val="0"/>
                <w:numId w:val="90"/>
              </w:numPr>
              <w:spacing w:before="100" w:beforeAutospacing="1" w:after="100" w:afterAutospacing="1" w:line="360" w:lineRule="auto"/>
              <w:contextualSpacing/>
              <w:rPr>
                <w:rFonts w:asciiTheme="majorHAnsi" w:hAnsiTheme="majorHAnsi" w:cstheme="majorHAnsi"/>
                <w:bCs/>
                <w:snapToGrid w:val="0"/>
                <w:color w:val="000000"/>
                <w:sz w:val="16"/>
                <w:szCs w:val="16"/>
                <w:lang w:val="en-US"/>
              </w:rPr>
            </w:pPr>
            <w:r w:rsidRPr="00DC5490">
              <w:rPr>
                <w:rFonts w:asciiTheme="majorHAnsi" w:hAnsiTheme="majorHAnsi" w:cstheme="majorHAnsi"/>
                <w:bCs/>
                <w:snapToGrid w:val="0"/>
                <w:color w:val="000000"/>
                <w:sz w:val="16"/>
                <w:szCs w:val="16"/>
                <w:lang w:val="en-US"/>
              </w:rPr>
              <w:t>Classroom Observation Tool (COT)</w:t>
            </w:r>
          </w:p>
        </w:tc>
        <w:tc>
          <w:tcPr>
            <w:tcW w:w="818" w:type="dxa"/>
          </w:tcPr>
          <w:p w14:paraId="49B251E7"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90" w:type="dxa"/>
          </w:tcPr>
          <w:p w14:paraId="58FCF670"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7B8719A0"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810" w:type="dxa"/>
          </w:tcPr>
          <w:p w14:paraId="08EF0165"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54153351"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62390636" w14:textId="77777777" w:rsidTr="00EC48C1">
        <w:trPr>
          <w:trHeight w:val="266"/>
        </w:trPr>
        <w:tc>
          <w:tcPr>
            <w:tcW w:w="4800" w:type="dxa"/>
          </w:tcPr>
          <w:p w14:paraId="61E24C6A" w14:textId="77777777" w:rsidR="008D0CAD" w:rsidRPr="00DC5490" w:rsidRDefault="008D0CAD" w:rsidP="00DD08E3">
            <w:pPr>
              <w:numPr>
                <w:ilvl w:val="0"/>
                <w:numId w:val="90"/>
              </w:numPr>
              <w:spacing w:before="100" w:beforeAutospacing="1" w:after="100" w:afterAutospacing="1" w:line="360" w:lineRule="auto"/>
              <w:contextualSpacing/>
              <w:rPr>
                <w:rFonts w:asciiTheme="majorHAnsi" w:hAnsiTheme="majorHAnsi" w:cstheme="majorHAnsi"/>
                <w:bCs/>
                <w:snapToGrid w:val="0"/>
                <w:color w:val="000000"/>
                <w:sz w:val="16"/>
                <w:szCs w:val="16"/>
                <w:lang w:val="en-US"/>
              </w:rPr>
            </w:pPr>
            <w:r w:rsidRPr="00DC5490">
              <w:rPr>
                <w:rFonts w:asciiTheme="majorHAnsi" w:hAnsiTheme="majorHAnsi" w:cstheme="majorHAnsi"/>
                <w:bCs/>
                <w:snapToGrid w:val="0"/>
                <w:color w:val="000000"/>
                <w:sz w:val="16"/>
                <w:szCs w:val="16"/>
                <w:lang w:val="en-US"/>
              </w:rPr>
              <w:t>Self-Assessment Tool (SAT) for teachers</w:t>
            </w:r>
          </w:p>
        </w:tc>
        <w:tc>
          <w:tcPr>
            <w:tcW w:w="818" w:type="dxa"/>
          </w:tcPr>
          <w:p w14:paraId="419A73D9"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90" w:type="dxa"/>
          </w:tcPr>
          <w:p w14:paraId="5D5B108A"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09966DA1"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810" w:type="dxa"/>
          </w:tcPr>
          <w:p w14:paraId="6AF877C0"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5916FEC7"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12BD8F97" w14:textId="77777777" w:rsidTr="00EC48C1">
        <w:trPr>
          <w:trHeight w:val="266"/>
        </w:trPr>
        <w:tc>
          <w:tcPr>
            <w:tcW w:w="4800" w:type="dxa"/>
          </w:tcPr>
          <w:p w14:paraId="40B0315D" w14:textId="77777777" w:rsidR="008D0CAD" w:rsidRPr="00DC5490" w:rsidRDefault="008D0CAD" w:rsidP="00DD08E3">
            <w:pPr>
              <w:numPr>
                <w:ilvl w:val="0"/>
                <w:numId w:val="90"/>
              </w:numPr>
              <w:spacing w:before="100" w:beforeAutospacing="1" w:after="100" w:afterAutospacing="1" w:line="360" w:lineRule="auto"/>
              <w:contextualSpacing/>
              <w:rPr>
                <w:rFonts w:asciiTheme="majorHAnsi" w:hAnsiTheme="majorHAnsi" w:cstheme="majorHAnsi"/>
                <w:bCs/>
                <w:snapToGrid w:val="0"/>
                <w:color w:val="000000"/>
                <w:sz w:val="16"/>
                <w:szCs w:val="16"/>
                <w:lang w:val="en-US"/>
              </w:rPr>
            </w:pPr>
            <w:r w:rsidRPr="00DC5490">
              <w:rPr>
                <w:rFonts w:asciiTheme="majorHAnsi" w:hAnsiTheme="majorHAnsi" w:cstheme="majorHAnsi"/>
                <w:bCs/>
                <w:snapToGrid w:val="0"/>
                <w:color w:val="000000"/>
                <w:sz w:val="16"/>
                <w:szCs w:val="16"/>
                <w:lang w:val="en-US"/>
              </w:rPr>
              <w:t>Teacher Induction Program (TIP) Modules</w:t>
            </w:r>
          </w:p>
        </w:tc>
        <w:tc>
          <w:tcPr>
            <w:tcW w:w="818" w:type="dxa"/>
          </w:tcPr>
          <w:p w14:paraId="42629E44"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90" w:type="dxa"/>
          </w:tcPr>
          <w:p w14:paraId="5C5E7C9B"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2FDF2159"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810" w:type="dxa"/>
          </w:tcPr>
          <w:p w14:paraId="1E0F2169"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458176F6"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7E73FC63" w14:textId="77777777" w:rsidTr="00EC48C1">
        <w:trPr>
          <w:trHeight w:val="266"/>
        </w:trPr>
        <w:tc>
          <w:tcPr>
            <w:tcW w:w="4800" w:type="dxa"/>
          </w:tcPr>
          <w:p w14:paraId="0D3A4DA1"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r w:rsidRPr="00DC5490">
              <w:rPr>
                <w:rFonts w:asciiTheme="majorHAnsi" w:hAnsiTheme="majorHAnsi" w:cstheme="majorHAnsi"/>
                <w:b/>
                <w:sz w:val="16"/>
                <w:szCs w:val="16"/>
                <w:lang w:val="en-US"/>
              </w:rPr>
              <w:t xml:space="preserve">Curriculum and assessment </w:t>
            </w:r>
          </w:p>
        </w:tc>
        <w:tc>
          <w:tcPr>
            <w:tcW w:w="818" w:type="dxa"/>
          </w:tcPr>
          <w:p w14:paraId="10C0CEB1"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90" w:type="dxa"/>
          </w:tcPr>
          <w:p w14:paraId="4FC60E6D"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7C24594A"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810" w:type="dxa"/>
          </w:tcPr>
          <w:p w14:paraId="19826917"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3B065EEA"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74D7611A" w14:textId="77777777" w:rsidTr="00EC48C1">
        <w:trPr>
          <w:trHeight w:val="266"/>
        </w:trPr>
        <w:tc>
          <w:tcPr>
            <w:tcW w:w="4800" w:type="dxa"/>
          </w:tcPr>
          <w:p w14:paraId="42A669CF" w14:textId="77777777" w:rsidR="008D0CAD" w:rsidRPr="00DC5490" w:rsidRDefault="008D0CAD" w:rsidP="00DD08E3">
            <w:pPr>
              <w:numPr>
                <w:ilvl w:val="0"/>
                <w:numId w:val="90"/>
              </w:numPr>
              <w:spacing w:before="100" w:beforeAutospacing="1" w:after="100" w:afterAutospacing="1" w:line="360" w:lineRule="auto"/>
              <w:contextualSpacing/>
              <w:rPr>
                <w:rFonts w:asciiTheme="majorHAnsi" w:hAnsiTheme="majorHAnsi" w:cstheme="majorHAnsi"/>
                <w:bCs/>
                <w:snapToGrid w:val="0"/>
                <w:color w:val="000000"/>
                <w:sz w:val="16"/>
                <w:szCs w:val="16"/>
                <w:lang w:val="en-US"/>
              </w:rPr>
            </w:pPr>
            <w:r w:rsidRPr="00DC5490">
              <w:rPr>
                <w:rFonts w:asciiTheme="majorHAnsi" w:hAnsiTheme="majorHAnsi" w:cstheme="majorHAnsi"/>
                <w:bCs/>
                <w:snapToGrid w:val="0"/>
                <w:color w:val="000000"/>
                <w:sz w:val="16"/>
                <w:szCs w:val="16"/>
                <w:lang w:val="en-US"/>
              </w:rPr>
              <w:t>Classroom Assessment Resource Book (CARB) for K to Grade 10</w:t>
            </w:r>
          </w:p>
        </w:tc>
        <w:tc>
          <w:tcPr>
            <w:tcW w:w="818" w:type="dxa"/>
          </w:tcPr>
          <w:p w14:paraId="0536102E"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90" w:type="dxa"/>
          </w:tcPr>
          <w:p w14:paraId="0617705C"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4C3E1D03"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810" w:type="dxa"/>
          </w:tcPr>
          <w:p w14:paraId="05EBE0A6"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4515EAA4"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0B3294C8" w14:textId="77777777" w:rsidTr="00EC48C1">
        <w:trPr>
          <w:trHeight w:val="266"/>
        </w:trPr>
        <w:tc>
          <w:tcPr>
            <w:tcW w:w="4800" w:type="dxa"/>
          </w:tcPr>
          <w:p w14:paraId="05B52640" w14:textId="77777777" w:rsidR="008D0CAD" w:rsidRPr="00DC5490" w:rsidRDefault="008D0CAD" w:rsidP="00DD08E3">
            <w:pPr>
              <w:numPr>
                <w:ilvl w:val="0"/>
                <w:numId w:val="90"/>
              </w:numPr>
              <w:spacing w:before="100" w:beforeAutospacing="1" w:after="100" w:afterAutospacing="1" w:line="360" w:lineRule="auto"/>
              <w:contextualSpacing/>
              <w:rPr>
                <w:rFonts w:asciiTheme="majorHAnsi" w:hAnsiTheme="majorHAnsi" w:cstheme="majorHAnsi"/>
                <w:bCs/>
                <w:snapToGrid w:val="0"/>
                <w:color w:val="000000"/>
                <w:sz w:val="16"/>
                <w:szCs w:val="16"/>
                <w:lang w:val="en-US"/>
              </w:rPr>
            </w:pPr>
            <w:r w:rsidRPr="00DC5490">
              <w:rPr>
                <w:rFonts w:asciiTheme="majorHAnsi" w:hAnsiTheme="majorHAnsi" w:cstheme="majorHAnsi"/>
                <w:snapToGrid w:val="0"/>
                <w:sz w:val="16"/>
                <w:szCs w:val="16"/>
                <w:lang w:val="en-US"/>
              </w:rPr>
              <w:t>Operations Manual with Guidelines for six Special Curricular Programs (SCP)- Foreign Language, Science, Sports, Arts, TVL, and Journalism</w:t>
            </w:r>
          </w:p>
        </w:tc>
        <w:tc>
          <w:tcPr>
            <w:tcW w:w="818" w:type="dxa"/>
          </w:tcPr>
          <w:p w14:paraId="118905D9"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90" w:type="dxa"/>
          </w:tcPr>
          <w:p w14:paraId="50B209D5"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59300C77"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810" w:type="dxa"/>
          </w:tcPr>
          <w:p w14:paraId="235B1423"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7820538F"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3278924D" w14:textId="77777777" w:rsidTr="00EC48C1">
        <w:trPr>
          <w:trHeight w:val="266"/>
        </w:trPr>
        <w:tc>
          <w:tcPr>
            <w:tcW w:w="4800" w:type="dxa"/>
          </w:tcPr>
          <w:p w14:paraId="2E826BA3" w14:textId="77777777" w:rsidR="008D0CAD" w:rsidRPr="00DC5490" w:rsidRDefault="008D0CAD" w:rsidP="00DD08E3">
            <w:pPr>
              <w:numPr>
                <w:ilvl w:val="0"/>
                <w:numId w:val="90"/>
              </w:numPr>
              <w:spacing w:before="100" w:beforeAutospacing="1" w:after="100" w:afterAutospacing="1" w:line="360" w:lineRule="auto"/>
              <w:contextualSpacing/>
              <w:rPr>
                <w:rFonts w:asciiTheme="majorHAnsi" w:hAnsiTheme="majorHAnsi" w:cstheme="majorHAnsi"/>
                <w:bCs/>
                <w:snapToGrid w:val="0"/>
                <w:color w:val="000000"/>
                <w:sz w:val="16"/>
                <w:szCs w:val="16"/>
                <w:lang w:val="en-US"/>
              </w:rPr>
            </w:pPr>
            <w:r w:rsidRPr="00DC5490">
              <w:rPr>
                <w:rFonts w:asciiTheme="majorHAnsi" w:hAnsiTheme="majorHAnsi" w:cstheme="majorHAnsi"/>
                <w:snapToGrid w:val="0"/>
                <w:sz w:val="16"/>
                <w:szCs w:val="16"/>
                <w:lang w:val="en-US"/>
              </w:rPr>
              <w:t>K-12 Curriculum Guides</w:t>
            </w:r>
          </w:p>
        </w:tc>
        <w:tc>
          <w:tcPr>
            <w:tcW w:w="818" w:type="dxa"/>
          </w:tcPr>
          <w:p w14:paraId="5C6821C8"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90" w:type="dxa"/>
          </w:tcPr>
          <w:p w14:paraId="21E4E022"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64773019"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810" w:type="dxa"/>
          </w:tcPr>
          <w:p w14:paraId="4B7D0E51"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179B0E19"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6AB69BF9" w14:textId="77777777" w:rsidTr="00EC48C1">
        <w:trPr>
          <w:trHeight w:val="266"/>
        </w:trPr>
        <w:tc>
          <w:tcPr>
            <w:tcW w:w="4800" w:type="dxa"/>
          </w:tcPr>
          <w:p w14:paraId="569156CF" w14:textId="77777777" w:rsidR="008D0CAD" w:rsidRPr="00DC5490" w:rsidRDefault="008D0CAD" w:rsidP="00DD08E3">
            <w:pPr>
              <w:numPr>
                <w:ilvl w:val="0"/>
                <w:numId w:val="90"/>
              </w:numPr>
              <w:spacing w:before="100" w:beforeAutospacing="1" w:after="100" w:afterAutospacing="1" w:line="360" w:lineRule="auto"/>
              <w:contextualSpacing/>
              <w:rPr>
                <w:rFonts w:asciiTheme="majorHAnsi" w:hAnsiTheme="majorHAnsi" w:cstheme="majorHAnsi"/>
                <w:bCs/>
                <w:snapToGrid w:val="0"/>
                <w:color w:val="000000"/>
                <w:sz w:val="16"/>
                <w:szCs w:val="16"/>
                <w:lang w:val="en-US"/>
              </w:rPr>
            </w:pPr>
            <w:r w:rsidRPr="00DC5490">
              <w:rPr>
                <w:rFonts w:asciiTheme="majorHAnsi" w:hAnsiTheme="majorHAnsi" w:cstheme="majorHAnsi"/>
                <w:snapToGrid w:val="0"/>
                <w:sz w:val="16"/>
                <w:szCs w:val="16"/>
                <w:lang w:val="en-US"/>
              </w:rPr>
              <w:t>Multigrade teach-learn package</w:t>
            </w:r>
          </w:p>
        </w:tc>
        <w:tc>
          <w:tcPr>
            <w:tcW w:w="818" w:type="dxa"/>
          </w:tcPr>
          <w:p w14:paraId="20BC1DF1"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90" w:type="dxa"/>
          </w:tcPr>
          <w:p w14:paraId="6BD558C0"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72BAB269"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810" w:type="dxa"/>
          </w:tcPr>
          <w:p w14:paraId="7F5B5F4D"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6F64023C"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2C70381A" w14:textId="77777777" w:rsidTr="00EC48C1">
        <w:trPr>
          <w:trHeight w:val="266"/>
        </w:trPr>
        <w:tc>
          <w:tcPr>
            <w:tcW w:w="4800" w:type="dxa"/>
          </w:tcPr>
          <w:p w14:paraId="7A8A9A1D" w14:textId="77777777" w:rsidR="008D0CAD" w:rsidRPr="00DC5490" w:rsidRDefault="008D0CAD" w:rsidP="00DD08E3">
            <w:pPr>
              <w:numPr>
                <w:ilvl w:val="0"/>
                <w:numId w:val="90"/>
              </w:numPr>
              <w:spacing w:before="100" w:beforeAutospacing="1" w:after="100" w:afterAutospacing="1" w:line="360" w:lineRule="auto"/>
              <w:contextualSpacing/>
              <w:rPr>
                <w:rFonts w:asciiTheme="majorHAnsi" w:hAnsiTheme="majorHAnsi" w:cstheme="majorHAnsi"/>
                <w:bCs/>
                <w:snapToGrid w:val="0"/>
                <w:color w:val="000000"/>
                <w:sz w:val="16"/>
                <w:szCs w:val="16"/>
                <w:lang w:val="en-US"/>
              </w:rPr>
            </w:pPr>
            <w:r w:rsidRPr="00DC5490">
              <w:rPr>
                <w:rFonts w:asciiTheme="majorHAnsi" w:hAnsiTheme="majorHAnsi" w:cstheme="majorHAnsi"/>
                <w:snapToGrid w:val="0"/>
                <w:sz w:val="16"/>
                <w:szCs w:val="16"/>
                <w:lang w:val="en-US"/>
              </w:rPr>
              <w:t>Information Guide to the K-12 Program and Senior High School</w:t>
            </w:r>
          </w:p>
        </w:tc>
        <w:tc>
          <w:tcPr>
            <w:tcW w:w="818" w:type="dxa"/>
          </w:tcPr>
          <w:p w14:paraId="324731A3"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90" w:type="dxa"/>
          </w:tcPr>
          <w:p w14:paraId="704811A7"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17DA32E6"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810" w:type="dxa"/>
          </w:tcPr>
          <w:p w14:paraId="28DF6584"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1D464921"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4A81B265" w14:textId="77777777" w:rsidTr="00EC48C1">
        <w:trPr>
          <w:trHeight w:val="266"/>
        </w:trPr>
        <w:tc>
          <w:tcPr>
            <w:tcW w:w="4800" w:type="dxa"/>
          </w:tcPr>
          <w:p w14:paraId="6825115D" w14:textId="77777777" w:rsidR="008D0CAD" w:rsidRPr="00DC5490" w:rsidRDefault="008D0CAD" w:rsidP="00DD08E3">
            <w:pPr>
              <w:numPr>
                <w:ilvl w:val="0"/>
                <w:numId w:val="90"/>
              </w:numPr>
              <w:spacing w:before="100" w:beforeAutospacing="1" w:after="100" w:afterAutospacing="1" w:line="360" w:lineRule="auto"/>
              <w:contextualSpacing/>
              <w:rPr>
                <w:rFonts w:asciiTheme="majorHAnsi" w:hAnsiTheme="majorHAnsi" w:cstheme="majorHAnsi"/>
                <w:snapToGrid w:val="0"/>
                <w:sz w:val="16"/>
                <w:szCs w:val="16"/>
                <w:lang w:val="en-US"/>
              </w:rPr>
            </w:pPr>
            <w:r w:rsidRPr="00DC5490">
              <w:rPr>
                <w:rFonts w:asciiTheme="majorHAnsi" w:hAnsiTheme="majorHAnsi" w:cstheme="majorHAnsi"/>
                <w:snapToGrid w:val="0"/>
                <w:sz w:val="16"/>
                <w:szCs w:val="16"/>
                <w:lang w:val="en-US"/>
              </w:rPr>
              <w:t>Contextualised curriculum resources</w:t>
            </w:r>
          </w:p>
        </w:tc>
        <w:tc>
          <w:tcPr>
            <w:tcW w:w="818" w:type="dxa"/>
          </w:tcPr>
          <w:p w14:paraId="71180768"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90" w:type="dxa"/>
          </w:tcPr>
          <w:p w14:paraId="41E10CD4"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71B5F828"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810" w:type="dxa"/>
          </w:tcPr>
          <w:p w14:paraId="6CFDF9E2"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66684DE8"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3B9EDB7A" w14:textId="77777777" w:rsidTr="00EC48C1">
        <w:trPr>
          <w:trHeight w:val="266"/>
        </w:trPr>
        <w:tc>
          <w:tcPr>
            <w:tcW w:w="4800" w:type="dxa"/>
          </w:tcPr>
          <w:p w14:paraId="6CA5A2DB"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r w:rsidRPr="00DC5490">
              <w:rPr>
                <w:rFonts w:asciiTheme="majorHAnsi" w:hAnsiTheme="majorHAnsi" w:cstheme="majorHAnsi"/>
                <w:b/>
                <w:bCs/>
                <w:color w:val="000000"/>
                <w:sz w:val="16"/>
                <w:szCs w:val="16"/>
                <w:lang w:val="en-US"/>
              </w:rPr>
              <w:t>School-Based Management (SBM)</w:t>
            </w:r>
          </w:p>
        </w:tc>
        <w:tc>
          <w:tcPr>
            <w:tcW w:w="818" w:type="dxa"/>
          </w:tcPr>
          <w:p w14:paraId="2965A76B"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90" w:type="dxa"/>
          </w:tcPr>
          <w:p w14:paraId="3BD47117"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60034231"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810" w:type="dxa"/>
          </w:tcPr>
          <w:p w14:paraId="780F2C89"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792C82B2"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2DFDB376" w14:textId="77777777" w:rsidTr="00EC48C1">
        <w:trPr>
          <w:trHeight w:val="266"/>
        </w:trPr>
        <w:tc>
          <w:tcPr>
            <w:tcW w:w="4800" w:type="dxa"/>
          </w:tcPr>
          <w:p w14:paraId="5856B80D" w14:textId="77777777" w:rsidR="008D0CAD" w:rsidRPr="00DC5490" w:rsidRDefault="008D0CAD" w:rsidP="00DD08E3">
            <w:pPr>
              <w:numPr>
                <w:ilvl w:val="0"/>
                <w:numId w:val="90"/>
              </w:numPr>
              <w:spacing w:before="100" w:beforeAutospacing="1" w:after="100" w:afterAutospacing="1" w:line="360" w:lineRule="auto"/>
              <w:contextualSpacing/>
              <w:rPr>
                <w:rFonts w:asciiTheme="majorHAnsi" w:hAnsiTheme="majorHAnsi" w:cstheme="majorHAnsi"/>
                <w:snapToGrid w:val="0"/>
                <w:sz w:val="16"/>
                <w:szCs w:val="16"/>
                <w:lang w:val="en-US"/>
              </w:rPr>
            </w:pPr>
            <w:r w:rsidRPr="00DC5490">
              <w:rPr>
                <w:rFonts w:asciiTheme="majorHAnsi" w:hAnsiTheme="majorHAnsi" w:cstheme="majorHAnsi"/>
                <w:bCs/>
                <w:snapToGrid w:val="0"/>
                <w:color w:val="000000"/>
                <w:sz w:val="16"/>
                <w:szCs w:val="16"/>
                <w:lang w:val="en-US"/>
              </w:rPr>
              <w:t xml:space="preserve">SBM Assessment Framework </w:t>
            </w:r>
          </w:p>
        </w:tc>
        <w:tc>
          <w:tcPr>
            <w:tcW w:w="818" w:type="dxa"/>
          </w:tcPr>
          <w:p w14:paraId="11DFB7AC"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90" w:type="dxa"/>
          </w:tcPr>
          <w:p w14:paraId="4E95F901"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6A7E8C0E"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810" w:type="dxa"/>
          </w:tcPr>
          <w:p w14:paraId="13CFD61F"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27561F5B"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14C1AB5B" w14:textId="77777777" w:rsidTr="00EC48C1">
        <w:trPr>
          <w:trHeight w:val="266"/>
        </w:trPr>
        <w:tc>
          <w:tcPr>
            <w:tcW w:w="4800" w:type="dxa"/>
          </w:tcPr>
          <w:p w14:paraId="78DA81B1" w14:textId="77777777" w:rsidR="008D0CAD" w:rsidRPr="00DC5490" w:rsidRDefault="008D0CAD" w:rsidP="00DD08E3">
            <w:pPr>
              <w:numPr>
                <w:ilvl w:val="0"/>
                <w:numId w:val="90"/>
              </w:numPr>
              <w:spacing w:before="100" w:beforeAutospacing="1" w:after="100" w:afterAutospacing="1" w:line="360" w:lineRule="auto"/>
              <w:contextualSpacing/>
              <w:rPr>
                <w:rFonts w:asciiTheme="majorHAnsi" w:hAnsiTheme="majorHAnsi" w:cstheme="majorHAnsi"/>
                <w:snapToGrid w:val="0"/>
                <w:sz w:val="16"/>
                <w:szCs w:val="16"/>
                <w:lang w:val="en-US"/>
              </w:rPr>
            </w:pPr>
            <w:r w:rsidRPr="00DC5490">
              <w:rPr>
                <w:rFonts w:asciiTheme="majorHAnsi" w:hAnsiTheme="majorHAnsi" w:cstheme="majorHAnsi"/>
                <w:snapToGrid w:val="0"/>
                <w:sz w:val="16"/>
                <w:szCs w:val="16"/>
                <w:lang w:val="en-US"/>
              </w:rPr>
              <w:t>SIP Quality Assessment (QA) Tool for Schools</w:t>
            </w:r>
          </w:p>
        </w:tc>
        <w:tc>
          <w:tcPr>
            <w:tcW w:w="818" w:type="dxa"/>
          </w:tcPr>
          <w:p w14:paraId="71AE5C9B"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90" w:type="dxa"/>
          </w:tcPr>
          <w:p w14:paraId="4923A982"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782ABC29"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810" w:type="dxa"/>
          </w:tcPr>
          <w:p w14:paraId="1A816C3B"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7221C64F"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4663A6D5" w14:textId="77777777" w:rsidTr="00EC48C1">
        <w:trPr>
          <w:trHeight w:val="266"/>
        </w:trPr>
        <w:tc>
          <w:tcPr>
            <w:tcW w:w="4800" w:type="dxa"/>
          </w:tcPr>
          <w:p w14:paraId="64D76FD6" w14:textId="77777777" w:rsidR="008D0CAD" w:rsidRPr="00DC5490" w:rsidRDefault="008D0CAD" w:rsidP="00DD08E3">
            <w:pPr>
              <w:numPr>
                <w:ilvl w:val="0"/>
                <w:numId w:val="90"/>
              </w:numPr>
              <w:spacing w:before="100" w:beforeAutospacing="1" w:after="100" w:afterAutospacing="1" w:line="360" w:lineRule="auto"/>
              <w:contextualSpacing/>
              <w:rPr>
                <w:rFonts w:asciiTheme="majorHAnsi" w:hAnsiTheme="majorHAnsi" w:cstheme="majorHAnsi"/>
                <w:snapToGrid w:val="0"/>
                <w:sz w:val="16"/>
                <w:szCs w:val="16"/>
                <w:lang w:val="en-US"/>
              </w:rPr>
            </w:pPr>
            <w:r w:rsidRPr="00DC5490">
              <w:rPr>
                <w:rFonts w:asciiTheme="majorHAnsi" w:hAnsiTheme="majorHAnsi" w:cstheme="majorHAnsi"/>
                <w:snapToGrid w:val="0"/>
                <w:sz w:val="16"/>
                <w:szCs w:val="16"/>
                <w:lang w:val="en-US"/>
              </w:rPr>
              <w:t>Trainer’s Toolkit for the Enhanced School Improvement Plan (SIP)</w:t>
            </w:r>
          </w:p>
        </w:tc>
        <w:tc>
          <w:tcPr>
            <w:tcW w:w="818" w:type="dxa"/>
          </w:tcPr>
          <w:p w14:paraId="37EA6445"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90" w:type="dxa"/>
          </w:tcPr>
          <w:p w14:paraId="36158AC0"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7378BFDD"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810" w:type="dxa"/>
          </w:tcPr>
          <w:p w14:paraId="7A657280"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20E68406"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200571B9" w14:textId="77777777" w:rsidTr="00EC48C1">
        <w:trPr>
          <w:trHeight w:val="266"/>
        </w:trPr>
        <w:tc>
          <w:tcPr>
            <w:tcW w:w="4800" w:type="dxa"/>
          </w:tcPr>
          <w:p w14:paraId="78040C3F" w14:textId="77777777" w:rsidR="008D0CAD" w:rsidRPr="00DC5490" w:rsidRDefault="008D0CAD" w:rsidP="00DD08E3">
            <w:pPr>
              <w:numPr>
                <w:ilvl w:val="0"/>
                <w:numId w:val="90"/>
              </w:numPr>
              <w:spacing w:before="100" w:beforeAutospacing="1" w:after="100" w:afterAutospacing="1" w:line="360" w:lineRule="auto"/>
              <w:contextualSpacing/>
              <w:rPr>
                <w:rFonts w:asciiTheme="majorHAnsi" w:hAnsiTheme="majorHAnsi" w:cstheme="majorHAnsi"/>
                <w:snapToGrid w:val="0"/>
                <w:sz w:val="16"/>
                <w:szCs w:val="16"/>
                <w:lang w:val="en-US"/>
              </w:rPr>
            </w:pPr>
            <w:r w:rsidRPr="00DC5490">
              <w:rPr>
                <w:rFonts w:asciiTheme="majorHAnsi" w:hAnsiTheme="majorHAnsi" w:cstheme="majorHAnsi"/>
                <w:snapToGrid w:val="0"/>
                <w:sz w:val="16"/>
                <w:szCs w:val="16"/>
                <w:lang w:val="en-US"/>
              </w:rPr>
              <w:t>School Governance Councils (SGC)</w:t>
            </w:r>
          </w:p>
        </w:tc>
        <w:tc>
          <w:tcPr>
            <w:tcW w:w="818" w:type="dxa"/>
          </w:tcPr>
          <w:p w14:paraId="4E56C90B"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90" w:type="dxa"/>
          </w:tcPr>
          <w:p w14:paraId="726B8415"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21B718B6"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810" w:type="dxa"/>
          </w:tcPr>
          <w:p w14:paraId="083BB3FF"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7574E1C0"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4A18EB8A" w14:textId="77777777" w:rsidTr="00EC48C1">
        <w:trPr>
          <w:trHeight w:val="266"/>
        </w:trPr>
        <w:tc>
          <w:tcPr>
            <w:tcW w:w="4800" w:type="dxa"/>
          </w:tcPr>
          <w:p w14:paraId="0BE87A23" w14:textId="77777777" w:rsidR="008D0CAD" w:rsidRPr="00DC5490" w:rsidRDefault="008D0CAD" w:rsidP="00EA6CB9">
            <w:pPr>
              <w:spacing w:before="100" w:beforeAutospacing="1" w:after="100" w:afterAutospacing="1" w:line="360" w:lineRule="auto"/>
              <w:rPr>
                <w:rFonts w:asciiTheme="majorHAnsi" w:hAnsiTheme="majorHAnsi" w:cstheme="majorHAnsi"/>
                <w:b/>
                <w:sz w:val="16"/>
                <w:szCs w:val="16"/>
                <w:lang w:val="en-US"/>
              </w:rPr>
            </w:pPr>
            <w:r w:rsidRPr="00DC5490">
              <w:rPr>
                <w:rFonts w:asciiTheme="majorHAnsi" w:hAnsiTheme="majorHAnsi" w:cstheme="majorHAnsi"/>
                <w:b/>
                <w:sz w:val="16"/>
                <w:szCs w:val="16"/>
                <w:lang w:val="en-US"/>
              </w:rPr>
              <w:t>Policy and planning and monitoring and evaluation systems (PPMES)</w:t>
            </w:r>
          </w:p>
        </w:tc>
        <w:tc>
          <w:tcPr>
            <w:tcW w:w="818" w:type="dxa"/>
          </w:tcPr>
          <w:p w14:paraId="70A23F78"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90" w:type="dxa"/>
          </w:tcPr>
          <w:p w14:paraId="1B69C59F"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43CF354F"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810" w:type="dxa"/>
          </w:tcPr>
          <w:p w14:paraId="7F3CFBA6"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618F1B58"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74B0C48C" w14:textId="77777777" w:rsidTr="00EC48C1">
        <w:trPr>
          <w:trHeight w:val="266"/>
        </w:trPr>
        <w:tc>
          <w:tcPr>
            <w:tcW w:w="4800" w:type="dxa"/>
          </w:tcPr>
          <w:p w14:paraId="3910EE8A" w14:textId="77777777" w:rsidR="008D0CAD" w:rsidRPr="00DC5490" w:rsidRDefault="008D0CAD" w:rsidP="00DD08E3">
            <w:pPr>
              <w:numPr>
                <w:ilvl w:val="0"/>
                <w:numId w:val="90"/>
              </w:numPr>
              <w:spacing w:before="100" w:beforeAutospacing="1" w:after="100" w:afterAutospacing="1" w:line="360" w:lineRule="auto"/>
              <w:contextualSpacing/>
              <w:rPr>
                <w:rFonts w:asciiTheme="majorHAnsi" w:hAnsiTheme="majorHAnsi" w:cstheme="majorHAnsi"/>
                <w:snapToGrid w:val="0"/>
                <w:sz w:val="16"/>
                <w:szCs w:val="16"/>
                <w:lang w:val="en-US"/>
              </w:rPr>
            </w:pPr>
            <w:r w:rsidRPr="00DC5490">
              <w:rPr>
                <w:rFonts w:asciiTheme="majorHAnsi" w:hAnsiTheme="majorHAnsi" w:cstheme="majorHAnsi"/>
                <w:snapToGrid w:val="0"/>
                <w:sz w:val="16"/>
                <w:szCs w:val="16"/>
                <w:lang w:val="en-US"/>
              </w:rPr>
              <w:t>Basic Education Monitoring and Evaluation Framework (BEMEF) Policy</w:t>
            </w:r>
          </w:p>
        </w:tc>
        <w:tc>
          <w:tcPr>
            <w:tcW w:w="818" w:type="dxa"/>
          </w:tcPr>
          <w:p w14:paraId="599C0311"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90" w:type="dxa"/>
          </w:tcPr>
          <w:p w14:paraId="512E8256"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004AEAF2"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810" w:type="dxa"/>
          </w:tcPr>
          <w:p w14:paraId="55240740"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62370B13"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210D3299" w14:textId="77777777" w:rsidTr="00EC48C1">
        <w:trPr>
          <w:trHeight w:val="266"/>
        </w:trPr>
        <w:tc>
          <w:tcPr>
            <w:tcW w:w="4800" w:type="dxa"/>
          </w:tcPr>
          <w:p w14:paraId="3C71173C" w14:textId="77777777" w:rsidR="008D0CAD" w:rsidRPr="00DC5490" w:rsidRDefault="008D0CAD" w:rsidP="00DD08E3">
            <w:pPr>
              <w:numPr>
                <w:ilvl w:val="0"/>
                <w:numId w:val="90"/>
              </w:numPr>
              <w:spacing w:before="100" w:beforeAutospacing="1" w:after="100" w:afterAutospacing="1" w:line="360" w:lineRule="auto"/>
              <w:contextualSpacing/>
              <w:rPr>
                <w:rFonts w:asciiTheme="majorHAnsi" w:hAnsiTheme="majorHAnsi" w:cstheme="majorHAnsi"/>
                <w:snapToGrid w:val="0"/>
                <w:sz w:val="16"/>
                <w:szCs w:val="16"/>
                <w:lang w:val="en-US"/>
              </w:rPr>
            </w:pPr>
            <w:r w:rsidRPr="00DC5490">
              <w:rPr>
                <w:rFonts w:asciiTheme="majorHAnsi" w:hAnsiTheme="majorHAnsi" w:cstheme="majorHAnsi"/>
                <w:snapToGrid w:val="0"/>
                <w:sz w:val="16"/>
                <w:szCs w:val="16"/>
                <w:lang w:val="en-US"/>
              </w:rPr>
              <w:t>Planning and Budgeting Strategy (PBS)</w:t>
            </w:r>
          </w:p>
        </w:tc>
        <w:tc>
          <w:tcPr>
            <w:tcW w:w="818" w:type="dxa"/>
          </w:tcPr>
          <w:p w14:paraId="599533AF"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90" w:type="dxa"/>
          </w:tcPr>
          <w:p w14:paraId="4BECA713"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50D27053"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810" w:type="dxa"/>
          </w:tcPr>
          <w:p w14:paraId="342BF3A0"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152E01F1"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26755171" w14:textId="77777777" w:rsidTr="00EC48C1">
        <w:trPr>
          <w:trHeight w:val="266"/>
        </w:trPr>
        <w:tc>
          <w:tcPr>
            <w:tcW w:w="4800" w:type="dxa"/>
          </w:tcPr>
          <w:p w14:paraId="125AEC54" w14:textId="77777777" w:rsidR="008D0CAD" w:rsidRPr="00DC5490" w:rsidRDefault="008D0CAD" w:rsidP="00DD08E3">
            <w:pPr>
              <w:numPr>
                <w:ilvl w:val="0"/>
                <w:numId w:val="90"/>
              </w:numPr>
              <w:spacing w:before="100" w:beforeAutospacing="1" w:after="100" w:afterAutospacing="1" w:line="360" w:lineRule="auto"/>
              <w:contextualSpacing/>
              <w:rPr>
                <w:rFonts w:asciiTheme="majorHAnsi" w:hAnsiTheme="majorHAnsi" w:cstheme="majorHAnsi"/>
                <w:snapToGrid w:val="0"/>
                <w:sz w:val="16"/>
                <w:szCs w:val="16"/>
                <w:lang w:val="en-US"/>
              </w:rPr>
            </w:pPr>
            <w:r w:rsidRPr="00DC5490">
              <w:rPr>
                <w:rFonts w:asciiTheme="majorHAnsi" w:hAnsiTheme="majorHAnsi" w:cstheme="majorHAnsi"/>
                <w:snapToGrid w:val="0"/>
                <w:sz w:val="16"/>
                <w:szCs w:val="16"/>
                <w:lang w:val="en-US"/>
              </w:rPr>
              <w:t>Monitoring, Evaluation, and Adjustment (MEA) Framework</w:t>
            </w:r>
          </w:p>
        </w:tc>
        <w:tc>
          <w:tcPr>
            <w:tcW w:w="818" w:type="dxa"/>
          </w:tcPr>
          <w:p w14:paraId="452916B3"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90" w:type="dxa"/>
          </w:tcPr>
          <w:p w14:paraId="5458B61B"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6A4F04EB"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810" w:type="dxa"/>
          </w:tcPr>
          <w:p w14:paraId="747CA6C6"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6D170059"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04F10DC5" w14:textId="77777777" w:rsidTr="00EC48C1">
        <w:trPr>
          <w:trHeight w:val="266"/>
        </w:trPr>
        <w:tc>
          <w:tcPr>
            <w:tcW w:w="4800" w:type="dxa"/>
          </w:tcPr>
          <w:p w14:paraId="7DC2204F" w14:textId="77777777" w:rsidR="008D0CAD" w:rsidRPr="00DC5490" w:rsidRDefault="008D0CAD" w:rsidP="00DD08E3">
            <w:pPr>
              <w:numPr>
                <w:ilvl w:val="0"/>
                <w:numId w:val="90"/>
              </w:numPr>
              <w:spacing w:before="100" w:beforeAutospacing="1" w:after="100" w:afterAutospacing="1" w:line="360" w:lineRule="auto"/>
              <w:contextualSpacing/>
              <w:rPr>
                <w:rFonts w:asciiTheme="majorHAnsi" w:hAnsiTheme="majorHAnsi" w:cstheme="majorHAnsi"/>
                <w:snapToGrid w:val="0"/>
                <w:sz w:val="16"/>
                <w:szCs w:val="16"/>
                <w:lang w:val="en-US"/>
              </w:rPr>
            </w:pPr>
            <w:r w:rsidRPr="00DC5490">
              <w:rPr>
                <w:rFonts w:asciiTheme="majorHAnsi" w:hAnsiTheme="majorHAnsi" w:cstheme="majorHAnsi"/>
                <w:snapToGrid w:val="0"/>
                <w:sz w:val="16"/>
                <w:szCs w:val="16"/>
                <w:lang w:val="en-US"/>
              </w:rPr>
              <w:t>K to 12 M&amp;E Framework</w:t>
            </w:r>
          </w:p>
        </w:tc>
        <w:tc>
          <w:tcPr>
            <w:tcW w:w="818" w:type="dxa"/>
          </w:tcPr>
          <w:p w14:paraId="1B5E62C0"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90" w:type="dxa"/>
          </w:tcPr>
          <w:p w14:paraId="0EFF1088"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6A29EE65"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810" w:type="dxa"/>
          </w:tcPr>
          <w:p w14:paraId="65AB9359"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0240A470"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5B81400B" w14:textId="77777777" w:rsidTr="00EC48C1">
        <w:trPr>
          <w:trHeight w:val="266"/>
        </w:trPr>
        <w:tc>
          <w:tcPr>
            <w:tcW w:w="4800" w:type="dxa"/>
          </w:tcPr>
          <w:p w14:paraId="2EA9F112" w14:textId="77777777" w:rsidR="008D0CAD" w:rsidRPr="00DC5490" w:rsidRDefault="008D0CAD" w:rsidP="00DD08E3">
            <w:pPr>
              <w:numPr>
                <w:ilvl w:val="0"/>
                <w:numId w:val="90"/>
              </w:numPr>
              <w:spacing w:before="100" w:beforeAutospacing="1" w:after="100" w:afterAutospacing="1" w:line="360" w:lineRule="auto"/>
              <w:contextualSpacing/>
              <w:rPr>
                <w:rFonts w:asciiTheme="majorHAnsi" w:hAnsiTheme="majorHAnsi" w:cstheme="majorHAnsi"/>
                <w:snapToGrid w:val="0"/>
                <w:sz w:val="16"/>
                <w:szCs w:val="16"/>
                <w:lang w:val="en-US"/>
              </w:rPr>
            </w:pPr>
            <w:r w:rsidRPr="00DC5490">
              <w:rPr>
                <w:rFonts w:asciiTheme="majorHAnsi" w:hAnsiTheme="majorHAnsi" w:cstheme="majorHAnsi"/>
                <w:snapToGrid w:val="0"/>
                <w:sz w:val="16"/>
                <w:szCs w:val="16"/>
                <w:lang w:val="en-US"/>
              </w:rPr>
              <w:t>Basic Education Research Agenda</w:t>
            </w:r>
          </w:p>
        </w:tc>
        <w:tc>
          <w:tcPr>
            <w:tcW w:w="818" w:type="dxa"/>
          </w:tcPr>
          <w:p w14:paraId="48921A58"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90" w:type="dxa"/>
          </w:tcPr>
          <w:p w14:paraId="28097242"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0D710653"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810" w:type="dxa"/>
          </w:tcPr>
          <w:p w14:paraId="440C6868"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2B0E37D9"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614798E3" w14:textId="77777777" w:rsidTr="00EC48C1">
        <w:trPr>
          <w:trHeight w:val="266"/>
        </w:trPr>
        <w:tc>
          <w:tcPr>
            <w:tcW w:w="4800" w:type="dxa"/>
          </w:tcPr>
          <w:p w14:paraId="0882D964"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r w:rsidRPr="00DC5490">
              <w:rPr>
                <w:rFonts w:asciiTheme="majorHAnsi" w:hAnsiTheme="majorHAnsi" w:cstheme="majorHAnsi"/>
                <w:b/>
                <w:sz w:val="16"/>
                <w:szCs w:val="16"/>
                <w:lang w:val="en-US"/>
              </w:rPr>
              <w:t>Unified information system and sub-systems (UISS)</w:t>
            </w:r>
          </w:p>
        </w:tc>
        <w:tc>
          <w:tcPr>
            <w:tcW w:w="818" w:type="dxa"/>
          </w:tcPr>
          <w:p w14:paraId="1EDA7A51"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90" w:type="dxa"/>
          </w:tcPr>
          <w:p w14:paraId="3E93369D"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30A2FFED"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810" w:type="dxa"/>
          </w:tcPr>
          <w:p w14:paraId="7840E73C"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6CF3D537"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675FC006" w14:textId="77777777" w:rsidTr="00EC48C1">
        <w:trPr>
          <w:trHeight w:val="266"/>
        </w:trPr>
        <w:tc>
          <w:tcPr>
            <w:tcW w:w="4800" w:type="dxa"/>
          </w:tcPr>
          <w:p w14:paraId="12C12AB0" w14:textId="77777777" w:rsidR="008D0CAD" w:rsidRPr="00DC5490" w:rsidRDefault="008D0CAD" w:rsidP="00DD08E3">
            <w:pPr>
              <w:numPr>
                <w:ilvl w:val="0"/>
                <w:numId w:val="90"/>
              </w:numPr>
              <w:spacing w:before="100" w:beforeAutospacing="1" w:after="100" w:afterAutospacing="1" w:line="360" w:lineRule="auto"/>
              <w:contextualSpacing/>
              <w:rPr>
                <w:rFonts w:asciiTheme="majorHAnsi" w:hAnsiTheme="majorHAnsi" w:cstheme="majorHAnsi"/>
                <w:snapToGrid w:val="0"/>
                <w:sz w:val="16"/>
                <w:szCs w:val="16"/>
                <w:lang w:val="en-AU"/>
              </w:rPr>
            </w:pPr>
            <w:r w:rsidRPr="00DC5490">
              <w:rPr>
                <w:rFonts w:asciiTheme="majorHAnsi" w:hAnsiTheme="majorHAnsi" w:cstheme="majorHAnsi"/>
                <w:snapToGrid w:val="0"/>
                <w:sz w:val="16"/>
                <w:szCs w:val="16"/>
                <w:lang w:val="en-AU"/>
              </w:rPr>
              <w:t>Program Management Information System (PMIS)</w:t>
            </w:r>
          </w:p>
        </w:tc>
        <w:tc>
          <w:tcPr>
            <w:tcW w:w="818" w:type="dxa"/>
          </w:tcPr>
          <w:p w14:paraId="178F5CD5"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90" w:type="dxa"/>
          </w:tcPr>
          <w:p w14:paraId="71E92860"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18BED247"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810" w:type="dxa"/>
          </w:tcPr>
          <w:p w14:paraId="6B95BABE"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6A29F9C4"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02B0F6DB" w14:textId="77777777" w:rsidTr="00EC48C1">
        <w:trPr>
          <w:trHeight w:val="266"/>
        </w:trPr>
        <w:tc>
          <w:tcPr>
            <w:tcW w:w="4800" w:type="dxa"/>
          </w:tcPr>
          <w:p w14:paraId="5F568EA1" w14:textId="77777777" w:rsidR="008D0CAD" w:rsidRPr="00DC5490" w:rsidRDefault="008D0CAD" w:rsidP="00DD08E3">
            <w:pPr>
              <w:numPr>
                <w:ilvl w:val="0"/>
                <w:numId w:val="90"/>
              </w:numPr>
              <w:spacing w:before="100" w:beforeAutospacing="1" w:after="100" w:afterAutospacing="1" w:line="360" w:lineRule="auto"/>
              <w:contextualSpacing/>
              <w:rPr>
                <w:rFonts w:asciiTheme="majorHAnsi" w:hAnsiTheme="majorHAnsi" w:cstheme="majorHAnsi"/>
                <w:snapToGrid w:val="0"/>
                <w:sz w:val="16"/>
                <w:szCs w:val="16"/>
                <w:lang w:val="en-AU"/>
              </w:rPr>
            </w:pPr>
            <w:r w:rsidRPr="00DC5490">
              <w:rPr>
                <w:rFonts w:asciiTheme="majorHAnsi" w:hAnsiTheme="majorHAnsi" w:cstheme="majorHAnsi"/>
                <w:snapToGrid w:val="0"/>
                <w:sz w:val="16"/>
                <w:szCs w:val="16"/>
                <w:lang w:val="en-AU"/>
              </w:rPr>
              <w:t>Utilisation of the Enhanced Basic Education Information System (EBEIS)</w:t>
            </w:r>
          </w:p>
        </w:tc>
        <w:tc>
          <w:tcPr>
            <w:tcW w:w="818" w:type="dxa"/>
          </w:tcPr>
          <w:p w14:paraId="16AA9846"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90" w:type="dxa"/>
          </w:tcPr>
          <w:p w14:paraId="29A06A7B"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0A21BB3E"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810" w:type="dxa"/>
          </w:tcPr>
          <w:p w14:paraId="4B18E2BC"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14BF1C64"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5743E6D3" w14:textId="77777777" w:rsidTr="00EC48C1">
        <w:trPr>
          <w:trHeight w:val="266"/>
        </w:trPr>
        <w:tc>
          <w:tcPr>
            <w:tcW w:w="4800" w:type="dxa"/>
          </w:tcPr>
          <w:p w14:paraId="59FAF0D2" w14:textId="77777777" w:rsidR="008D0CAD" w:rsidRPr="00DC5490" w:rsidRDefault="008D0CAD" w:rsidP="00DD08E3">
            <w:pPr>
              <w:numPr>
                <w:ilvl w:val="0"/>
                <w:numId w:val="90"/>
              </w:numPr>
              <w:spacing w:before="100" w:beforeAutospacing="1" w:after="100" w:afterAutospacing="1" w:line="360" w:lineRule="auto"/>
              <w:contextualSpacing/>
              <w:rPr>
                <w:rFonts w:asciiTheme="majorHAnsi" w:hAnsiTheme="majorHAnsi" w:cstheme="majorHAnsi"/>
                <w:bCs/>
                <w:snapToGrid w:val="0"/>
                <w:color w:val="000000"/>
                <w:sz w:val="16"/>
                <w:szCs w:val="16"/>
                <w:lang w:val="en-US"/>
              </w:rPr>
            </w:pPr>
            <w:r w:rsidRPr="00DC5490">
              <w:rPr>
                <w:rFonts w:asciiTheme="majorHAnsi" w:hAnsiTheme="majorHAnsi" w:cstheme="majorHAnsi"/>
                <w:snapToGrid w:val="0"/>
                <w:sz w:val="16"/>
                <w:szCs w:val="16"/>
                <w:lang w:val="en-AU"/>
              </w:rPr>
              <w:t>Learner Information System (LIS)</w:t>
            </w:r>
          </w:p>
        </w:tc>
        <w:tc>
          <w:tcPr>
            <w:tcW w:w="818" w:type="dxa"/>
          </w:tcPr>
          <w:p w14:paraId="0AF58A27"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90" w:type="dxa"/>
          </w:tcPr>
          <w:p w14:paraId="08C1A6D4"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0829D063"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810" w:type="dxa"/>
          </w:tcPr>
          <w:p w14:paraId="472C1060"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007D0560"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45973003" w14:textId="77777777" w:rsidTr="00EC48C1">
        <w:trPr>
          <w:trHeight w:val="266"/>
        </w:trPr>
        <w:tc>
          <w:tcPr>
            <w:tcW w:w="4800" w:type="dxa"/>
          </w:tcPr>
          <w:p w14:paraId="62FB1A46" w14:textId="77777777" w:rsidR="008D0CAD" w:rsidRPr="00DC5490" w:rsidRDefault="008D0CAD" w:rsidP="00DD08E3">
            <w:pPr>
              <w:numPr>
                <w:ilvl w:val="0"/>
                <w:numId w:val="90"/>
              </w:numPr>
              <w:spacing w:before="100" w:beforeAutospacing="1" w:after="100" w:afterAutospacing="1" w:line="360" w:lineRule="auto"/>
              <w:contextualSpacing/>
              <w:rPr>
                <w:rFonts w:asciiTheme="majorHAnsi" w:hAnsiTheme="majorHAnsi" w:cstheme="majorHAnsi"/>
                <w:snapToGrid w:val="0"/>
                <w:sz w:val="16"/>
                <w:szCs w:val="16"/>
                <w:lang w:val="en-AU"/>
              </w:rPr>
            </w:pPr>
            <w:r w:rsidRPr="00DC5490">
              <w:rPr>
                <w:rFonts w:asciiTheme="majorHAnsi" w:hAnsiTheme="majorHAnsi" w:cstheme="majorHAnsi"/>
                <w:snapToGrid w:val="0"/>
                <w:sz w:val="16"/>
                <w:szCs w:val="16"/>
                <w:lang w:val="en-AU"/>
              </w:rPr>
              <w:t>Learning Resource (LR) Portal</w:t>
            </w:r>
          </w:p>
        </w:tc>
        <w:tc>
          <w:tcPr>
            <w:tcW w:w="818" w:type="dxa"/>
          </w:tcPr>
          <w:p w14:paraId="562BCAC4"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90" w:type="dxa"/>
          </w:tcPr>
          <w:p w14:paraId="690EAB26"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72C8CADC"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810" w:type="dxa"/>
          </w:tcPr>
          <w:p w14:paraId="1C1B5601"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5FBF3668"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0B6FB85C" w14:textId="77777777" w:rsidTr="00EC48C1">
        <w:trPr>
          <w:trHeight w:val="266"/>
        </w:trPr>
        <w:tc>
          <w:tcPr>
            <w:tcW w:w="4800" w:type="dxa"/>
          </w:tcPr>
          <w:p w14:paraId="5419C312" w14:textId="77777777" w:rsidR="008D0CAD" w:rsidRPr="00DC5490" w:rsidRDefault="008D0CAD" w:rsidP="00EA6CB9">
            <w:pPr>
              <w:spacing w:before="100" w:beforeAutospacing="1" w:after="100" w:afterAutospacing="1" w:line="360" w:lineRule="auto"/>
              <w:rPr>
                <w:rFonts w:asciiTheme="majorHAnsi" w:hAnsiTheme="majorHAnsi" w:cstheme="majorHAnsi"/>
                <w:sz w:val="16"/>
                <w:szCs w:val="16"/>
                <w:lang w:val="en-AU"/>
              </w:rPr>
            </w:pPr>
            <w:r w:rsidRPr="00DC5490">
              <w:rPr>
                <w:rFonts w:asciiTheme="majorHAnsi" w:hAnsiTheme="majorHAnsi" w:cstheme="majorHAnsi"/>
                <w:b/>
                <w:sz w:val="16"/>
                <w:szCs w:val="16"/>
                <w:lang w:val="en-US"/>
              </w:rPr>
              <w:t>Gender, disability and social inclusion (GEDSI)</w:t>
            </w:r>
          </w:p>
        </w:tc>
        <w:tc>
          <w:tcPr>
            <w:tcW w:w="818" w:type="dxa"/>
          </w:tcPr>
          <w:p w14:paraId="7B5D7D86"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90" w:type="dxa"/>
          </w:tcPr>
          <w:p w14:paraId="4CA584C6"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04E38CF4"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810" w:type="dxa"/>
          </w:tcPr>
          <w:p w14:paraId="28A32B22"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16BA7D90"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1DDA1D28" w14:textId="77777777" w:rsidTr="00EC48C1">
        <w:trPr>
          <w:trHeight w:val="267"/>
        </w:trPr>
        <w:tc>
          <w:tcPr>
            <w:tcW w:w="4800" w:type="dxa"/>
          </w:tcPr>
          <w:p w14:paraId="580059FE" w14:textId="77777777" w:rsidR="008D0CAD" w:rsidRPr="00DC5490" w:rsidRDefault="008D0CAD" w:rsidP="00DD08E3">
            <w:pPr>
              <w:numPr>
                <w:ilvl w:val="0"/>
                <w:numId w:val="90"/>
              </w:numPr>
              <w:spacing w:before="100" w:beforeAutospacing="1" w:after="100" w:afterAutospacing="1" w:line="360" w:lineRule="auto"/>
              <w:contextualSpacing/>
              <w:rPr>
                <w:rFonts w:asciiTheme="majorHAnsi" w:hAnsiTheme="majorHAnsi" w:cstheme="majorHAnsi"/>
                <w:snapToGrid w:val="0"/>
                <w:sz w:val="16"/>
                <w:szCs w:val="16"/>
                <w:lang w:val="en-AU"/>
              </w:rPr>
            </w:pPr>
            <w:r w:rsidRPr="00DC5490">
              <w:rPr>
                <w:rFonts w:asciiTheme="majorHAnsi" w:hAnsiTheme="majorHAnsi" w:cstheme="majorHAnsi"/>
                <w:snapToGrid w:val="0"/>
                <w:sz w:val="16"/>
                <w:szCs w:val="16"/>
                <w:lang w:val="en-AU"/>
              </w:rPr>
              <w:t>LAC Session Guides on Inclusive Value Series</w:t>
            </w:r>
          </w:p>
        </w:tc>
        <w:tc>
          <w:tcPr>
            <w:tcW w:w="818" w:type="dxa"/>
          </w:tcPr>
          <w:p w14:paraId="2089446F"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90" w:type="dxa"/>
          </w:tcPr>
          <w:p w14:paraId="4D132406"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7259E1E1"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810" w:type="dxa"/>
          </w:tcPr>
          <w:p w14:paraId="7D3B5D8F"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69813BA5"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23824EA3" w14:textId="77777777" w:rsidTr="00EC48C1">
        <w:trPr>
          <w:trHeight w:val="267"/>
        </w:trPr>
        <w:tc>
          <w:tcPr>
            <w:tcW w:w="4800" w:type="dxa"/>
          </w:tcPr>
          <w:p w14:paraId="539D56CE" w14:textId="77777777" w:rsidR="008D0CAD" w:rsidRPr="00DC5490" w:rsidRDefault="008D0CAD" w:rsidP="00DD08E3">
            <w:pPr>
              <w:numPr>
                <w:ilvl w:val="0"/>
                <w:numId w:val="90"/>
              </w:numPr>
              <w:spacing w:before="100" w:beforeAutospacing="1" w:after="100" w:afterAutospacing="1" w:line="360" w:lineRule="auto"/>
              <w:contextualSpacing/>
              <w:rPr>
                <w:rFonts w:asciiTheme="majorHAnsi" w:hAnsiTheme="majorHAnsi" w:cstheme="majorHAnsi"/>
                <w:snapToGrid w:val="0"/>
                <w:sz w:val="16"/>
                <w:szCs w:val="16"/>
                <w:lang w:val="en-US"/>
              </w:rPr>
            </w:pPr>
            <w:r w:rsidRPr="00DC5490">
              <w:rPr>
                <w:rFonts w:asciiTheme="majorHAnsi" w:hAnsiTheme="majorHAnsi" w:cstheme="majorHAnsi"/>
                <w:bCs/>
                <w:snapToGrid w:val="0"/>
                <w:color w:val="000000"/>
                <w:sz w:val="16"/>
                <w:szCs w:val="16"/>
                <w:lang w:val="en-US"/>
              </w:rPr>
              <w:t>Inclusive Education Video Series</w:t>
            </w:r>
          </w:p>
        </w:tc>
        <w:tc>
          <w:tcPr>
            <w:tcW w:w="818" w:type="dxa"/>
          </w:tcPr>
          <w:p w14:paraId="5617FD6B"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90" w:type="dxa"/>
          </w:tcPr>
          <w:p w14:paraId="7161D0E1"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50972DDD"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810" w:type="dxa"/>
          </w:tcPr>
          <w:p w14:paraId="52C7674D"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46D2E404"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5C205E05" w14:textId="77777777" w:rsidTr="00EC48C1">
        <w:trPr>
          <w:trHeight w:val="267"/>
        </w:trPr>
        <w:tc>
          <w:tcPr>
            <w:tcW w:w="4800" w:type="dxa"/>
          </w:tcPr>
          <w:p w14:paraId="590F8D3E" w14:textId="77777777" w:rsidR="008D0CAD" w:rsidRPr="00DC5490" w:rsidRDefault="008D0CAD" w:rsidP="00DD08E3">
            <w:pPr>
              <w:numPr>
                <w:ilvl w:val="0"/>
                <w:numId w:val="90"/>
              </w:numPr>
              <w:spacing w:before="100" w:beforeAutospacing="1" w:after="100" w:afterAutospacing="1" w:line="360" w:lineRule="auto"/>
              <w:contextualSpacing/>
              <w:rPr>
                <w:rFonts w:asciiTheme="majorHAnsi" w:hAnsiTheme="majorHAnsi" w:cstheme="majorHAnsi"/>
                <w:bCs/>
                <w:snapToGrid w:val="0"/>
                <w:color w:val="000000"/>
                <w:sz w:val="16"/>
                <w:szCs w:val="16"/>
                <w:lang w:val="en-US"/>
              </w:rPr>
            </w:pPr>
            <w:r w:rsidRPr="00DC5490">
              <w:rPr>
                <w:rFonts w:asciiTheme="majorHAnsi" w:hAnsiTheme="majorHAnsi" w:cstheme="majorHAnsi"/>
                <w:snapToGrid w:val="0"/>
                <w:sz w:val="16"/>
                <w:szCs w:val="16"/>
                <w:lang w:val="en-US"/>
              </w:rPr>
              <w:t>ALS-EST Handbook</w:t>
            </w:r>
          </w:p>
        </w:tc>
        <w:tc>
          <w:tcPr>
            <w:tcW w:w="818" w:type="dxa"/>
          </w:tcPr>
          <w:p w14:paraId="44AA6F0C"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90" w:type="dxa"/>
          </w:tcPr>
          <w:p w14:paraId="5972EBEF"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28D22217"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810" w:type="dxa"/>
          </w:tcPr>
          <w:p w14:paraId="2072A646"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69617DB4"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2848F791" w14:textId="77777777" w:rsidTr="00EC48C1">
        <w:trPr>
          <w:trHeight w:val="267"/>
        </w:trPr>
        <w:tc>
          <w:tcPr>
            <w:tcW w:w="4800" w:type="dxa"/>
          </w:tcPr>
          <w:p w14:paraId="60C3DAC7" w14:textId="77777777" w:rsidR="008D0CAD" w:rsidRPr="00DC5490" w:rsidRDefault="008D0CAD" w:rsidP="00DD08E3">
            <w:pPr>
              <w:numPr>
                <w:ilvl w:val="0"/>
                <w:numId w:val="90"/>
              </w:numPr>
              <w:spacing w:before="100" w:beforeAutospacing="1" w:after="100" w:afterAutospacing="1" w:line="360" w:lineRule="auto"/>
              <w:contextualSpacing/>
              <w:rPr>
                <w:rFonts w:asciiTheme="majorHAnsi" w:hAnsiTheme="majorHAnsi" w:cstheme="majorHAnsi"/>
                <w:snapToGrid w:val="0"/>
                <w:sz w:val="16"/>
                <w:szCs w:val="16"/>
                <w:lang w:val="en-AU"/>
              </w:rPr>
            </w:pPr>
            <w:r w:rsidRPr="00DC5490">
              <w:rPr>
                <w:rFonts w:asciiTheme="majorHAnsi" w:hAnsiTheme="majorHAnsi" w:cstheme="majorHAnsi"/>
                <w:snapToGrid w:val="0"/>
                <w:sz w:val="16"/>
                <w:szCs w:val="16"/>
                <w:lang w:val="en-AU"/>
              </w:rPr>
              <w:t xml:space="preserve">Learning Resource (LR) </w:t>
            </w:r>
            <w:r w:rsidRPr="00DC5490">
              <w:rPr>
                <w:rFonts w:asciiTheme="majorHAnsi" w:hAnsiTheme="majorHAnsi" w:cstheme="majorHAnsi"/>
                <w:snapToGrid w:val="0"/>
                <w:sz w:val="16"/>
                <w:szCs w:val="16"/>
                <w:lang w:val="en-US"/>
              </w:rPr>
              <w:t>for Visually impaired</w:t>
            </w:r>
          </w:p>
        </w:tc>
        <w:tc>
          <w:tcPr>
            <w:tcW w:w="818" w:type="dxa"/>
          </w:tcPr>
          <w:p w14:paraId="54ACF2E3"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90" w:type="dxa"/>
          </w:tcPr>
          <w:p w14:paraId="09EECC34"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291CA349"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810" w:type="dxa"/>
          </w:tcPr>
          <w:p w14:paraId="4AB0EA6E"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001E5FAC"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3F466329" w14:textId="77777777" w:rsidTr="00EC48C1">
        <w:trPr>
          <w:trHeight w:val="266"/>
        </w:trPr>
        <w:tc>
          <w:tcPr>
            <w:tcW w:w="4800" w:type="dxa"/>
          </w:tcPr>
          <w:p w14:paraId="124E445B" w14:textId="77777777" w:rsidR="008D0CAD" w:rsidRPr="00DC5490" w:rsidRDefault="008D0CAD" w:rsidP="00EA6CB9">
            <w:pPr>
              <w:spacing w:before="100" w:beforeAutospacing="1" w:after="100" w:afterAutospacing="1" w:line="360" w:lineRule="auto"/>
              <w:rPr>
                <w:rFonts w:asciiTheme="majorHAnsi" w:hAnsiTheme="majorHAnsi" w:cstheme="majorHAnsi"/>
                <w:b/>
                <w:sz w:val="16"/>
                <w:szCs w:val="16"/>
                <w:lang w:val="en-AU"/>
              </w:rPr>
            </w:pPr>
            <w:r w:rsidRPr="00DC5490">
              <w:rPr>
                <w:rFonts w:asciiTheme="majorHAnsi" w:hAnsiTheme="majorHAnsi" w:cstheme="majorHAnsi"/>
                <w:b/>
                <w:sz w:val="16"/>
                <w:szCs w:val="16"/>
                <w:lang w:val="en-AU"/>
              </w:rPr>
              <w:t>Organisational Development</w:t>
            </w:r>
          </w:p>
        </w:tc>
        <w:tc>
          <w:tcPr>
            <w:tcW w:w="818" w:type="dxa"/>
          </w:tcPr>
          <w:p w14:paraId="5FA10E47"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90" w:type="dxa"/>
          </w:tcPr>
          <w:p w14:paraId="40ADB4FA"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6304A5F9"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810" w:type="dxa"/>
          </w:tcPr>
          <w:p w14:paraId="4460226A"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00" w:type="dxa"/>
          </w:tcPr>
          <w:p w14:paraId="371517FF"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0115A9F4" w14:textId="77777777" w:rsidTr="00EC48C1">
        <w:trPr>
          <w:trHeight w:val="266"/>
        </w:trPr>
        <w:tc>
          <w:tcPr>
            <w:tcW w:w="4800" w:type="dxa"/>
          </w:tcPr>
          <w:p w14:paraId="0A56E75A" w14:textId="77777777" w:rsidR="008D0CAD" w:rsidRPr="00DC5490" w:rsidRDefault="008D0CAD" w:rsidP="00DD08E3">
            <w:pPr>
              <w:numPr>
                <w:ilvl w:val="0"/>
                <w:numId w:val="90"/>
              </w:numPr>
              <w:spacing w:before="100" w:beforeAutospacing="1" w:after="100" w:afterAutospacing="1" w:line="360" w:lineRule="auto"/>
              <w:contextualSpacing/>
              <w:rPr>
                <w:rFonts w:asciiTheme="majorHAnsi" w:hAnsiTheme="majorHAnsi" w:cstheme="majorHAnsi"/>
                <w:snapToGrid w:val="0"/>
                <w:sz w:val="16"/>
                <w:szCs w:val="16"/>
                <w:lang w:val="en-AU"/>
              </w:rPr>
            </w:pPr>
            <w:r w:rsidRPr="00DC5490">
              <w:rPr>
                <w:rFonts w:asciiTheme="majorHAnsi" w:hAnsiTheme="majorHAnsi" w:cstheme="majorHAnsi"/>
                <w:snapToGrid w:val="0"/>
                <w:sz w:val="16"/>
                <w:szCs w:val="16"/>
                <w:lang w:val="en-US"/>
              </w:rPr>
              <w:t>Continuous Improvement Guidebook</w:t>
            </w:r>
          </w:p>
        </w:tc>
        <w:tc>
          <w:tcPr>
            <w:tcW w:w="818" w:type="dxa"/>
          </w:tcPr>
          <w:p w14:paraId="42F617CD"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p>
        </w:tc>
        <w:tc>
          <w:tcPr>
            <w:tcW w:w="990" w:type="dxa"/>
          </w:tcPr>
          <w:p w14:paraId="75FBDE79"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p>
        </w:tc>
        <w:tc>
          <w:tcPr>
            <w:tcW w:w="900" w:type="dxa"/>
          </w:tcPr>
          <w:p w14:paraId="5A92C157"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p>
        </w:tc>
        <w:tc>
          <w:tcPr>
            <w:tcW w:w="810" w:type="dxa"/>
          </w:tcPr>
          <w:p w14:paraId="4B100A56"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p>
        </w:tc>
        <w:tc>
          <w:tcPr>
            <w:tcW w:w="900" w:type="dxa"/>
          </w:tcPr>
          <w:p w14:paraId="41695604"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p>
        </w:tc>
      </w:tr>
    </w:tbl>
    <w:p w14:paraId="2FB6A1A9" w14:textId="4EDB0A15" w:rsidR="008D0CAD" w:rsidRPr="00EA6CB9" w:rsidRDefault="008D0CAD" w:rsidP="00EA6CB9">
      <w:pPr>
        <w:widowControl w:val="0"/>
        <w:spacing w:before="100" w:beforeAutospacing="1" w:after="100" w:afterAutospacing="1" w:line="360" w:lineRule="auto"/>
        <w:rPr>
          <w:rFonts w:asciiTheme="majorHAnsi" w:hAnsiTheme="majorHAnsi" w:cstheme="majorHAnsi"/>
          <w:bCs/>
          <w:color w:val="000000"/>
          <w:sz w:val="20"/>
          <w:szCs w:val="20"/>
          <w:lang w:val="en-US"/>
        </w:rPr>
      </w:pPr>
      <w:r w:rsidRPr="00DC5490">
        <w:rPr>
          <w:rFonts w:asciiTheme="majorHAnsi" w:hAnsiTheme="majorHAnsi" w:cstheme="majorHAnsi"/>
          <w:bCs/>
          <w:color w:val="000000"/>
          <w:sz w:val="20"/>
          <w:szCs w:val="20"/>
          <w:lang w:val="en-US"/>
        </w:rPr>
        <w:t xml:space="preserve">Please assess the following </w:t>
      </w:r>
      <w:r w:rsidRPr="00DC5490">
        <w:rPr>
          <w:rFonts w:asciiTheme="majorHAnsi" w:hAnsiTheme="majorHAnsi" w:cstheme="majorHAnsi"/>
          <w:b/>
          <w:bCs/>
          <w:color w:val="000000"/>
          <w:sz w:val="20"/>
          <w:szCs w:val="20"/>
          <w:lang w:val="en-US"/>
        </w:rPr>
        <w:t>DEPED policies</w:t>
      </w:r>
      <w:r w:rsidRPr="00DC5490">
        <w:rPr>
          <w:rFonts w:asciiTheme="majorHAnsi" w:hAnsiTheme="majorHAnsi" w:cstheme="majorHAnsi"/>
          <w:bCs/>
          <w:color w:val="000000"/>
          <w:sz w:val="20"/>
          <w:szCs w:val="20"/>
          <w:lang w:val="en-US"/>
        </w:rPr>
        <w:t xml:space="preserve"> (that were formulated with BEST Program assistance) in terms of your knowledge of it and its usefulness to you as a Principal/School Head, based on a 5-point scale as shown in the rubrics above.</w:t>
      </w:r>
      <w:r w:rsidR="00D434EB">
        <w:rPr>
          <w:rFonts w:asciiTheme="majorHAnsi" w:hAnsiTheme="majorHAnsi" w:cstheme="majorHAnsi"/>
          <w:bCs/>
          <w:color w:val="000000"/>
          <w:sz w:val="20"/>
          <w:szCs w:val="20"/>
          <w:lang w:val="en-US"/>
        </w:rPr>
        <w:t xml:space="preserve"> </w:t>
      </w:r>
      <w:r w:rsidRPr="00DC5490">
        <w:rPr>
          <w:rFonts w:asciiTheme="majorHAnsi" w:hAnsiTheme="majorHAnsi" w:cstheme="majorHAnsi"/>
          <w:bCs/>
          <w:color w:val="000000"/>
          <w:sz w:val="20"/>
          <w:szCs w:val="20"/>
          <w:lang w:val="en-US"/>
        </w:rPr>
        <w:t>For each policy, write your answer (0 to 4) in the appropriate box for Knowledge and Usefulness.</w:t>
      </w:r>
    </w:p>
    <w:tbl>
      <w:tblPr>
        <w:tblStyle w:val="TableGrid8"/>
        <w:tblW w:w="9360" w:type="dxa"/>
        <w:tblLayout w:type="fixed"/>
        <w:tblLook w:val="04A0" w:firstRow="1" w:lastRow="0" w:firstColumn="1" w:lastColumn="0" w:noHBand="0" w:noVBand="1"/>
      </w:tblPr>
      <w:tblGrid>
        <w:gridCol w:w="7020"/>
        <w:gridCol w:w="1260"/>
        <w:gridCol w:w="1080"/>
      </w:tblGrid>
      <w:tr w:rsidR="008D0CAD" w:rsidRPr="00DC5490" w14:paraId="050E628E" w14:textId="77777777" w:rsidTr="004B064D">
        <w:trPr>
          <w:trHeight w:val="272"/>
          <w:tblHeader/>
        </w:trPr>
        <w:tc>
          <w:tcPr>
            <w:tcW w:w="7020" w:type="dxa"/>
          </w:tcPr>
          <w:p w14:paraId="0C6493FC" w14:textId="77777777" w:rsidR="008D0CAD" w:rsidRPr="00DC5490" w:rsidRDefault="008D0CAD" w:rsidP="00EA6CB9">
            <w:pPr>
              <w:widowControl w:val="0"/>
              <w:spacing w:before="100" w:beforeAutospacing="1" w:after="100" w:afterAutospacing="1" w:line="360" w:lineRule="auto"/>
              <w:ind w:left="360" w:hanging="360"/>
              <w:rPr>
                <w:rFonts w:asciiTheme="majorHAnsi" w:hAnsiTheme="majorHAnsi" w:cstheme="majorHAnsi"/>
                <w:b/>
                <w:bCs/>
                <w:snapToGrid w:val="0"/>
                <w:color w:val="000000"/>
                <w:sz w:val="16"/>
                <w:szCs w:val="16"/>
                <w:lang w:val="en-US"/>
              </w:rPr>
            </w:pPr>
            <w:r w:rsidRPr="00DC5490">
              <w:rPr>
                <w:rFonts w:asciiTheme="majorHAnsi" w:hAnsiTheme="majorHAnsi" w:cstheme="majorHAnsi"/>
                <w:b/>
                <w:bCs/>
                <w:snapToGrid w:val="0"/>
                <w:color w:val="000000"/>
                <w:sz w:val="16"/>
                <w:szCs w:val="16"/>
                <w:lang w:val="en-US"/>
              </w:rPr>
              <w:t>Policies</w:t>
            </w:r>
          </w:p>
        </w:tc>
        <w:tc>
          <w:tcPr>
            <w:tcW w:w="1260" w:type="dxa"/>
          </w:tcPr>
          <w:p w14:paraId="098DD7E2"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r w:rsidRPr="00DC5490">
              <w:rPr>
                <w:rFonts w:asciiTheme="majorHAnsi" w:hAnsiTheme="majorHAnsi" w:cstheme="majorHAnsi"/>
                <w:b/>
                <w:bCs/>
                <w:color w:val="000000"/>
                <w:sz w:val="16"/>
                <w:szCs w:val="16"/>
                <w:lang w:val="en-US"/>
              </w:rPr>
              <w:t>Knowledge</w:t>
            </w:r>
          </w:p>
        </w:tc>
        <w:tc>
          <w:tcPr>
            <w:tcW w:w="1080" w:type="dxa"/>
          </w:tcPr>
          <w:p w14:paraId="219FA875"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r w:rsidRPr="00DC5490">
              <w:rPr>
                <w:rFonts w:asciiTheme="majorHAnsi" w:hAnsiTheme="majorHAnsi" w:cstheme="majorHAnsi"/>
                <w:b/>
                <w:bCs/>
                <w:color w:val="000000"/>
                <w:sz w:val="16"/>
                <w:szCs w:val="16"/>
                <w:lang w:val="en-US"/>
              </w:rPr>
              <w:t xml:space="preserve">Usefulness </w:t>
            </w:r>
          </w:p>
        </w:tc>
      </w:tr>
      <w:tr w:rsidR="008D0CAD" w:rsidRPr="00DC5490" w14:paraId="138B0A2B" w14:textId="77777777" w:rsidTr="00EC48C1">
        <w:trPr>
          <w:trHeight w:val="272"/>
        </w:trPr>
        <w:tc>
          <w:tcPr>
            <w:tcW w:w="7020" w:type="dxa"/>
          </w:tcPr>
          <w:p w14:paraId="13E79118" w14:textId="77777777" w:rsidR="008D0CAD" w:rsidRPr="00DC5490" w:rsidRDefault="008D0CAD" w:rsidP="00EA6CB9">
            <w:pPr>
              <w:spacing w:before="100" w:beforeAutospacing="1" w:after="100" w:afterAutospacing="1" w:line="360" w:lineRule="auto"/>
              <w:rPr>
                <w:rFonts w:asciiTheme="majorHAnsi" w:hAnsiTheme="majorHAnsi" w:cstheme="majorHAnsi"/>
                <w:b/>
                <w:sz w:val="16"/>
                <w:szCs w:val="16"/>
                <w:lang w:val="en-US"/>
              </w:rPr>
            </w:pPr>
            <w:r w:rsidRPr="00DC5490">
              <w:rPr>
                <w:rFonts w:asciiTheme="majorHAnsi" w:hAnsiTheme="majorHAnsi" w:cstheme="majorHAnsi"/>
                <w:b/>
                <w:sz w:val="16"/>
                <w:szCs w:val="16"/>
                <w:lang w:val="en-US"/>
              </w:rPr>
              <w:t>L&amp;D System</w:t>
            </w:r>
          </w:p>
        </w:tc>
        <w:tc>
          <w:tcPr>
            <w:tcW w:w="1260" w:type="dxa"/>
          </w:tcPr>
          <w:p w14:paraId="35B5FF57"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080" w:type="dxa"/>
          </w:tcPr>
          <w:p w14:paraId="22117A3C"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00B08ACC" w14:textId="77777777" w:rsidTr="00EC48C1">
        <w:trPr>
          <w:trHeight w:val="272"/>
        </w:trPr>
        <w:tc>
          <w:tcPr>
            <w:tcW w:w="7020" w:type="dxa"/>
          </w:tcPr>
          <w:p w14:paraId="5811DA34" w14:textId="77777777" w:rsidR="008D0CAD" w:rsidRPr="00DC5490" w:rsidRDefault="008D0CAD" w:rsidP="00DD08E3">
            <w:pPr>
              <w:widowControl w:val="0"/>
              <w:numPr>
                <w:ilvl w:val="3"/>
                <w:numId w:val="89"/>
              </w:numPr>
              <w:spacing w:before="100" w:beforeAutospacing="1" w:after="100" w:afterAutospacing="1" w:line="360" w:lineRule="auto"/>
              <w:ind w:left="336" w:hanging="336"/>
              <w:contextualSpacing/>
              <w:rPr>
                <w:rFonts w:asciiTheme="majorHAnsi" w:hAnsiTheme="majorHAnsi" w:cstheme="majorHAnsi"/>
                <w:bCs/>
                <w:snapToGrid w:val="0"/>
                <w:color w:val="000000"/>
                <w:sz w:val="16"/>
                <w:szCs w:val="16"/>
                <w:lang w:val="en-US"/>
              </w:rPr>
            </w:pPr>
            <w:r w:rsidRPr="00DC5490">
              <w:rPr>
                <w:rFonts w:asciiTheme="majorHAnsi" w:hAnsiTheme="majorHAnsi" w:cstheme="majorHAnsi"/>
                <w:snapToGrid w:val="0"/>
                <w:sz w:val="16"/>
                <w:szCs w:val="16"/>
                <w:lang w:val="en-US"/>
              </w:rPr>
              <w:t>DO No. 35, s. 2016 on “The Learning Action Cell as a K to 12 Basic Education Program School-Based Continuing professional Development Strategy for the Improvement of Teaching and Learning”</w:t>
            </w:r>
          </w:p>
        </w:tc>
        <w:tc>
          <w:tcPr>
            <w:tcW w:w="1260" w:type="dxa"/>
          </w:tcPr>
          <w:p w14:paraId="3FECDAC7"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080" w:type="dxa"/>
          </w:tcPr>
          <w:p w14:paraId="7C91CE9E"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r w:rsidRPr="00DC5490">
              <w:rPr>
                <w:rFonts w:asciiTheme="majorHAnsi" w:hAnsiTheme="majorHAnsi" w:cstheme="majorHAnsi"/>
                <w:b/>
                <w:bCs/>
                <w:color w:val="000000"/>
                <w:sz w:val="16"/>
                <w:szCs w:val="16"/>
                <w:lang w:val="en-US"/>
              </w:rPr>
              <w:t xml:space="preserve"> </w:t>
            </w:r>
          </w:p>
        </w:tc>
      </w:tr>
      <w:tr w:rsidR="008D0CAD" w:rsidRPr="00DC5490" w14:paraId="66F9053C" w14:textId="77777777" w:rsidTr="00EC48C1">
        <w:trPr>
          <w:trHeight w:val="272"/>
        </w:trPr>
        <w:tc>
          <w:tcPr>
            <w:tcW w:w="7020" w:type="dxa"/>
          </w:tcPr>
          <w:p w14:paraId="0FC97048" w14:textId="77777777" w:rsidR="008D0CAD" w:rsidRPr="00DC5490" w:rsidRDefault="008D0CAD" w:rsidP="00DD08E3">
            <w:pPr>
              <w:widowControl w:val="0"/>
              <w:numPr>
                <w:ilvl w:val="3"/>
                <w:numId w:val="89"/>
              </w:numPr>
              <w:spacing w:before="100" w:beforeAutospacing="1" w:after="100" w:afterAutospacing="1" w:line="360" w:lineRule="auto"/>
              <w:ind w:left="336" w:hanging="336"/>
              <w:contextualSpacing/>
              <w:rPr>
                <w:rFonts w:asciiTheme="majorHAnsi" w:hAnsiTheme="majorHAnsi" w:cstheme="majorHAnsi"/>
                <w:bCs/>
                <w:snapToGrid w:val="0"/>
                <w:color w:val="000000"/>
                <w:sz w:val="16"/>
                <w:szCs w:val="16"/>
                <w:lang w:val="en-US"/>
              </w:rPr>
            </w:pPr>
            <w:r w:rsidRPr="00DC5490">
              <w:rPr>
                <w:rFonts w:asciiTheme="majorHAnsi" w:hAnsiTheme="majorHAnsi" w:cstheme="majorHAnsi"/>
                <w:snapToGrid w:val="0"/>
                <w:sz w:val="16"/>
                <w:szCs w:val="16"/>
                <w:lang w:val="en-US"/>
              </w:rPr>
              <w:t>DO No. 55, s. 2015 on the “Utilisation of Language Mapping Data for Mother Tongue-Based Multilingual Education (MTB-MLE) Program Implementation”</w:t>
            </w:r>
          </w:p>
        </w:tc>
        <w:tc>
          <w:tcPr>
            <w:tcW w:w="1260" w:type="dxa"/>
          </w:tcPr>
          <w:p w14:paraId="3DE5282A"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080" w:type="dxa"/>
          </w:tcPr>
          <w:p w14:paraId="1B42A678"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0D2E9B5C" w14:textId="77777777" w:rsidTr="00EC48C1">
        <w:trPr>
          <w:trHeight w:val="272"/>
        </w:trPr>
        <w:tc>
          <w:tcPr>
            <w:tcW w:w="7020" w:type="dxa"/>
          </w:tcPr>
          <w:p w14:paraId="7A4ABF1C" w14:textId="77777777" w:rsidR="008D0CAD" w:rsidRPr="00DC5490" w:rsidRDefault="008D0CAD" w:rsidP="00DD08E3">
            <w:pPr>
              <w:numPr>
                <w:ilvl w:val="0"/>
                <w:numId w:val="89"/>
              </w:numPr>
              <w:spacing w:before="100" w:beforeAutospacing="1" w:after="100" w:afterAutospacing="1" w:line="360" w:lineRule="auto"/>
              <w:contextualSpacing/>
              <w:rPr>
                <w:rFonts w:asciiTheme="majorHAnsi" w:hAnsiTheme="majorHAnsi" w:cstheme="majorHAnsi"/>
                <w:snapToGrid w:val="0"/>
                <w:sz w:val="16"/>
                <w:szCs w:val="16"/>
                <w:lang w:val="en-US"/>
              </w:rPr>
            </w:pPr>
            <w:r w:rsidRPr="00DC5490">
              <w:rPr>
                <w:rFonts w:asciiTheme="majorHAnsi" w:hAnsiTheme="majorHAnsi" w:cstheme="majorHAnsi"/>
                <w:snapToGrid w:val="0"/>
                <w:sz w:val="16"/>
                <w:szCs w:val="16"/>
                <w:lang w:val="en-US"/>
              </w:rPr>
              <w:t>DO No. 39, s. 2016 on the “Adoption of the Basic Education Research Agenda”</w:t>
            </w:r>
          </w:p>
        </w:tc>
        <w:tc>
          <w:tcPr>
            <w:tcW w:w="1260" w:type="dxa"/>
          </w:tcPr>
          <w:p w14:paraId="2092A017"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080" w:type="dxa"/>
          </w:tcPr>
          <w:p w14:paraId="34146334"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5FC57A85" w14:textId="77777777" w:rsidTr="00EC48C1">
        <w:trPr>
          <w:trHeight w:val="272"/>
        </w:trPr>
        <w:tc>
          <w:tcPr>
            <w:tcW w:w="7020" w:type="dxa"/>
          </w:tcPr>
          <w:p w14:paraId="500AC740" w14:textId="77777777" w:rsidR="008D0CAD" w:rsidRPr="00DC5490" w:rsidRDefault="008D0CAD" w:rsidP="00DD08E3">
            <w:pPr>
              <w:numPr>
                <w:ilvl w:val="0"/>
                <w:numId w:val="89"/>
              </w:numPr>
              <w:spacing w:before="100" w:beforeAutospacing="1" w:after="100" w:afterAutospacing="1" w:line="360" w:lineRule="auto"/>
              <w:contextualSpacing/>
              <w:rPr>
                <w:rFonts w:asciiTheme="majorHAnsi" w:hAnsiTheme="majorHAnsi" w:cstheme="majorHAnsi"/>
                <w:snapToGrid w:val="0"/>
                <w:sz w:val="16"/>
                <w:szCs w:val="16"/>
                <w:lang w:val="en-US"/>
              </w:rPr>
            </w:pPr>
            <w:r w:rsidRPr="00DC5490">
              <w:rPr>
                <w:rFonts w:asciiTheme="majorHAnsi" w:hAnsiTheme="majorHAnsi" w:cstheme="majorHAnsi"/>
                <w:snapToGrid w:val="0"/>
                <w:sz w:val="16"/>
                <w:szCs w:val="16"/>
                <w:lang w:val="en-US"/>
              </w:rPr>
              <w:t>DO No. 47, s. 2016 on the “Omnibus Policy on Kindergarten Education”</w:t>
            </w:r>
          </w:p>
        </w:tc>
        <w:tc>
          <w:tcPr>
            <w:tcW w:w="1260" w:type="dxa"/>
          </w:tcPr>
          <w:p w14:paraId="488AD03F" w14:textId="77777777" w:rsidR="008D0CAD" w:rsidRPr="00DC5490" w:rsidRDefault="008D0CAD" w:rsidP="00EA6CB9">
            <w:pPr>
              <w:spacing w:before="100" w:beforeAutospacing="1" w:after="100" w:afterAutospacing="1" w:line="360" w:lineRule="auto"/>
              <w:rPr>
                <w:rFonts w:asciiTheme="majorHAnsi" w:hAnsiTheme="majorHAnsi" w:cstheme="majorHAnsi"/>
                <w:sz w:val="16"/>
                <w:szCs w:val="16"/>
                <w:lang w:val="en-US"/>
              </w:rPr>
            </w:pPr>
          </w:p>
        </w:tc>
        <w:tc>
          <w:tcPr>
            <w:tcW w:w="1080" w:type="dxa"/>
          </w:tcPr>
          <w:p w14:paraId="1063CD3E"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5AF3000A" w14:textId="77777777" w:rsidTr="00EC48C1">
        <w:trPr>
          <w:trHeight w:val="272"/>
        </w:trPr>
        <w:tc>
          <w:tcPr>
            <w:tcW w:w="7020" w:type="dxa"/>
          </w:tcPr>
          <w:p w14:paraId="35FA2698"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r w:rsidRPr="00DC5490">
              <w:rPr>
                <w:rFonts w:asciiTheme="majorHAnsi" w:hAnsiTheme="majorHAnsi" w:cstheme="majorHAnsi"/>
                <w:b/>
                <w:sz w:val="16"/>
                <w:szCs w:val="16"/>
                <w:lang w:val="en-US"/>
              </w:rPr>
              <w:t>Philippine Professional Standards for Teachers (PPST)</w:t>
            </w:r>
          </w:p>
        </w:tc>
        <w:tc>
          <w:tcPr>
            <w:tcW w:w="1260" w:type="dxa"/>
          </w:tcPr>
          <w:p w14:paraId="58A76CBC"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080" w:type="dxa"/>
          </w:tcPr>
          <w:p w14:paraId="2A034822"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1DB0CBED" w14:textId="77777777" w:rsidTr="00EC48C1">
        <w:trPr>
          <w:trHeight w:val="272"/>
        </w:trPr>
        <w:tc>
          <w:tcPr>
            <w:tcW w:w="7020" w:type="dxa"/>
          </w:tcPr>
          <w:p w14:paraId="3755689C" w14:textId="77777777" w:rsidR="008D0CAD" w:rsidRPr="00DC5490" w:rsidRDefault="008D0CAD" w:rsidP="00DD08E3">
            <w:pPr>
              <w:numPr>
                <w:ilvl w:val="0"/>
                <w:numId w:val="89"/>
              </w:numPr>
              <w:spacing w:before="100" w:beforeAutospacing="1" w:after="100" w:afterAutospacing="1" w:line="360" w:lineRule="auto"/>
              <w:contextualSpacing/>
              <w:rPr>
                <w:rFonts w:asciiTheme="majorHAnsi" w:hAnsiTheme="majorHAnsi" w:cstheme="majorHAnsi"/>
                <w:bCs/>
                <w:snapToGrid w:val="0"/>
                <w:color w:val="000000"/>
                <w:sz w:val="16"/>
                <w:szCs w:val="16"/>
                <w:lang w:val="en-US"/>
              </w:rPr>
            </w:pPr>
            <w:r w:rsidRPr="00DC5490">
              <w:rPr>
                <w:rFonts w:asciiTheme="majorHAnsi" w:hAnsiTheme="majorHAnsi" w:cstheme="majorHAnsi"/>
                <w:bCs/>
                <w:snapToGrid w:val="0"/>
                <w:color w:val="000000"/>
                <w:sz w:val="16"/>
                <w:szCs w:val="16"/>
                <w:lang w:val="en-US"/>
              </w:rPr>
              <w:t xml:space="preserve"> </w:t>
            </w:r>
            <w:r w:rsidRPr="00DC5490">
              <w:rPr>
                <w:rFonts w:asciiTheme="majorHAnsi" w:hAnsiTheme="majorHAnsi" w:cstheme="majorHAnsi"/>
                <w:snapToGrid w:val="0"/>
                <w:sz w:val="16"/>
                <w:szCs w:val="16"/>
                <w:lang w:val="en-US"/>
              </w:rPr>
              <w:t xml:space="preserve">DO </w:t>
            </w:r>
            <w:r w:rsidRPr="00DC5490">
              <w:rPr>
                <w:rFonts w:asciiTheme="majorHAnsi" w:hAnsiTheme="majorHAnsi" w:cstheme="majorHAnsi"/>
                <w:bCs/>
                <w:snapToGrid w:val="0"/>
                <w:sz w:val="16"/>
                <w:szCs w:val="16"/>
                <w:lang w:val="en-US"/>
              </w:rPr>
              <w:t xml:space="preserve">No. 42, s. 2017 </w:t>
            </w:r>
            <w:r w:rsidRPr="00DC5490">
              <w:rPr>
                <w:rFonts w:asciiTheme="majorHAnsi" w:hAnsiTheme="majorHAnsi" w:cstheme="majorHAnsi"/>
                <w:snapToGrid w:val="0"/>
                <w:sz w:val="16"/>
                <w:szCs w:val="16"/>
                <w:lang w:val="en-US"/>
              </w:rPr>
              <w:t>on the “National Adoption and Implementation of the Philippine Professional Standards for Teachers”</w:t>
            </w:r>
          </w:p>
        </w:tc>
        <w:tc>
          <w:tcPr>
            <w:tcW w:w="1260" w:type="dxa"/>
          </w:tcPr>
          <w:p w14:paraId="629AEE81"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080" w:type="dxa"/>
          </w:tcPr>
          <w:p w14:paraId="6CBCAFCA"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1903EE48" w14:textId="77777777" w:rsidTr="00EC48C1">
        <w:trPr>
          <w:trHeight w:val="272"/>
        </w:trPr>
        <w:tc>
          <w:tcPr>
            <w:tcW w:w="7020" w:type="dxa"/>
          </w:tcPr>
          <w:p w14:paraId="228BFA2C" w14:textId="77777777" w:rsidR="008D0CAD" w:rsidRPr="00DC5490" w:rsidRDefault="008D0CAD" w:rsidP="00DD08E3">
            <w:pPr>
              <w:numPr>
                <w:ilvl w:val="0"/>
                <w:numId w:val="89"/>
              </w:numPr>
              <w:spacing w:before="100" w:beforeAutospacing="1" w:after="100" w:afterAutospacing="1" w:line="360" w:lineRule="auto"/>
              <w:contextualSpacing/>
              <w:rPr>
                <w:rFonts w:asciiTheme="majorHAnsi" w:eastAsiaTheme="minorEastAsia" w:hAnsiTheme="majorHAnsi" w:cstheme="majorHAnsi"/>
                <w:bCs/>
                <w:snapToGrid w:val="0"/>
                <w:sz w:val="16"/>
                <w:szCs w:val="16"/>
              </w:rPr>
            </w:pPr>
            <w:r w:rsidRPr="00DC5490">
              <w:rPr>
                <w:rFonts w:asciiTheme="majorHAnsi" w:hAnsiTheme="majorHAnsi" w:cstheme="majorHAnsi"/>
                <w:snapToGrid w:val="0"/>
                <w:sz w:val="16"/>
                <w:szCs w:val="16"/>
                <w:lang w:val="en-US"/>
              </w:rPr>
              <w:t>DO No. 43, s. 2017 on the “Teacher Induction Program Policy”</w:t>
            </w:r>
          </w:p>
        </w:tc>
        <w:tc>
          <w:tcPr>
            <w:tcW w:w="1260" w:type="dxa"/>
          </w:tcPr>
          <w:p w14:paraId="6F0930DD"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080" w:type="dxa"/>
          </w:tcPr>
          <w:p w14:paraId="4EA4880B"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4E940824" w14:textId="77777777" w:rsidTr="00EC48C1">
        <w:trPr>
          <w:trHeight w:val="272"/>
        </w:trPr>
        <w:tc>
          <w:tcPr>
            <w:tcW w:w="7020" w:type="dxa"/>
          </w:tcPr>
          <w:p w14:paraId="46D9034B" w14:textId="77777777" w:rsidR="008D0CAD" w:rsidRPr="00DC5490" w:rsidRDefault="008D0CAD" w:rsidP="00DD08E3">
            <w:pPr>
              <w:numPr>
                <w:ilvl w:val="0"/>
                <w:numId w:val="89"/>
              </w:numPr>
              <w:spacing w:before="100" w:beforeAutospacing="1" w:after="100" w:afterAutospacing="1" w:line="360" w:lineRule="auto"/>
              <w:contextualSpacing/>
              <w:rPr>
                <w:rFonts w:asciiTheme="majorHAnsi" w:hAnsiTheme="majorHAnsi" w:cstheme="majorHAnsi"/>
                <w:bCs/>
                <w:snapToGrid w:val="0"/>
                <w:color w:val="000000"/>
                <w:sz w:val="16"/>
                <w:szCs w:val="16"/>
                <w:lang w:val="en-US"/>
              </w:rPr>
            </w:pPr>
            <w:r w:rsidRPr="00DC5490">
              <w:rPr>
                <w:rFonts w:asciiTheme="majorHAnsi" w:eastAsiaTheme="minorEastAsia" w:hAnsiTheme="majorHAnsi" w:cstheme="majorHAnsi"/>
                <w:bCs/>
                <w:snapToGrid w:val="0"/>
                <w:sz w:val="16"/>
                <w:szCs w:val="16"/>
              </w:rPr>
              <w:t xml:space="preserve">DepEd No. 2, s. 2015 </w:t>
            </w:r>
            <w:r w:rsidRPr="00DC5490">
              <w:rPr>
                <w:rFonts w:asciiTheme="majorHAnsi" w:eastAsiaTheme="minorEastAsia" w:hAnsiTheme="majorHAnsi" w:cstheme="majorHAnsi"/>
                <w:i/>
                <w:iCs/>
                <w:snapToGrid w:val="0"/>
                <w:sz w:val="16"/>
                <w:szCs w:val="16"/>
                <w:lang w:val="en-US"/>
              </w:rPr>
              <w:t>“</w:t>
            </w:r>
            <w:r w:rsidRPr="00DC5490">
              <w:rPr>
                <w:rFonts w:asciiTheme="majorHAnsi" w:eastAsiaTheme="minorEastAsia" w:hAnsiTheme="majorHAnsi" w:cstheme="majorHAnsi"/>
                <w:iCs/>
                <w:snapToGrid w:val="0"/>
                <w:sz w:val="16"/>
                <w:szCs w:val="16"/>
                <w:lang w:val="en-US"/>
              </w:rPr>
              <w:t>Guidelines on the Establishment and Implementation of the Results-Based Performance Management System (RPMS) in the Department of Education</w:t>
            </w:r>
            <w:r w:rsidRPr="00DC5490">
              <w:rPr>
                <w:rFonts w:asciiTheme="majorHAnsi" w:eastAsiaTheme="minorEastAsia" w:hAnsiTheme="majorHAnsi" w:cstheme="majorHAnsi"/>
                <w:i/>
                <w:iCs/>
                <w:snapToGrid w:val="0"/>
                <w:sz w:val="16"/>
                <w:szCs w:val="16"/>
                <w:lang w:val="en-US"/>
              </w:rPr>
              <w:t>”</w:t>
            </w:r>
          </w:p>
        </w:tc>
        <w:tc>
          <w:tcPr>
            <w:tcW w:w="1260" w:type="dxa"/>
          </w:tcPr>
          <w:p w14:paraId="0E60247F"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080" w:type="dxa"/>
          </w:tcPr>
          <w:p w14:paraId="1964E438"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27B754A0" w14:textId="77777777" w:rsidTr="00EC48C1">
        <w:trPr>
          <w:trHeight w:val="272"/>
        </w:trPr>
        <w:tc>
          <w:tcPr>
            <w:tcW w:w="7020" w:type="dxa"/>
          </w:tcPr>
          <w:p w14:paraId="20093814"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r w:rsidRPr="00DC5490">
              <w:rPr>
                <w:rFonts w:asciiTheme="majorHAnsi" w:hAnsiTheme="majorHAnsi" w:cstheme="majorHAnsi"/>
                <w:b/>
                <w:bCs/>
                <w:color w:val="000000"/>
                <w:sz w:val="16"/>
                <w:szCs w:val="16"/>
                <w:lang w:val="en-US"/>
              </w:rPr>
              <w:t>Curriculum &amp; Assessment Systems (CAS)</w:t>
            </w:r>
          </w:p>
        </w:tc>
        <w:tc>
          <w:tcPr>
            <w:tcW w:w="1260" w:type="dxa"/>
          </w:tcPr>
          <w:p w14:paraId="1CB9196E"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080" w:type="dxa"/>
          </w:tcPr>
          <w:p w14:paraId="0411535A"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0B389314" w14:textId="77777777" w:rsidTr="00EC48C1">
        <w:trPr>
          <w:trHeight w:val="272"/>
        </w:trPr>
        <w:tc>
          <w:tcPr>
            <w:tcW w:w="7020" w:type="dxa"/>
          </w:tcPr>
          <w:p w14:paraId="3F36490E" w14:textId="77777777" w:rsidR="008D0CAD" w:rsidRPr="00DC5490" w:rsidRDefault="008D0CAD" w:rsidP="00DD08E3">
            <w:pPr>
              <w:numPr>
                <w:ilvl w:val="0"/>
                <w:numId w:val="89"/>
              </w:numPr>
              <w:spacing w:before="100" w:beforeAutospacing="1" w:after="100" w:afterAutospacing="1" w:line="360" w:lineRule="auto"/>
              <w:contextualSpacing/>
              <w:rPr>
                <w:rFonts w:asciiTheme="majorHAnsi" w:hAnsiTheme="majorHAnsi" w:cstheme="majorHAnsi"/>
                <w:bCs/>
                <w:snapToGrid w:val="0"/>
                <w:color w:val="000000"/>
                <w:sz w:val="16"/>
                <w:szCs w:val="16"/>
                <w:lang w:val="en-US"/>
              </w:rPr>
            </w:pPr>
            <w:r w:rsidRPr="00DC5490">
              <w:rPr>
                <w:rFonts w:asciiTheme="majorHAnsi" w:hAnsiTheme="majorHAnsi" w:cstheme="majorHAnsi"/>
                <w:snapToGrid w:val="0"/>
                <w:sz w:val="16"/>
                <w:szCs w:val="16"/>
                <w:lang w:val="en-US"/>
              </w:rPr>
              <w:t>DO NO. 8 S. 2015 on the “Policy Guidelines on Classroom Assessment for the K to 12 Basic Education Program”</w:t>
            </w:r>
          </w:p>
        </w:tc>
        <w:tc>
          <w:tcPr>
            <w:tcW w:w="1260" w:type="dxa"/>
          </w:tcPr>
          <w:p w14:paraId="209D6A24"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080" w:type="dxa"/>
          </w:tcPr>
          <w:p w14:paraId="51FDA891"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7FDB31F7" w14:textId="77777777" w:rsidTr="00EC48C1">
        <w:trPr>
          <w:trHeight w:val="272"/>
        </w:trPr>
        <w:tc>
          <w:tcPr>
            <w:tcW w:w="7020" w:type="dxa"/>
          </w:tcPr>
          <w:p w14:paraId="146F15EC" w14:textId="77777777" w:rsidR="008D0CAD" w:rsidRPr="00DC5490" w:rsidRDefault="008D0CAD" w:rsidP="00DD08E3">
            <w:pPr>
              <w:numPr>
                <w:ilvl w:val="0"/>
                <w:numId w:val="89"/>
              </w:numPr>
              <w:spacing w:before="100" w:beforeAutospacing="1" w:after="100" w:afterAutospacing="1" w:line="360" w:lineRule="auto"/>
              <w:contextualSpacing/>
              <w:rPr>
                <w:rFonts w:asciiTheme="majorHAnsi" w:hAnsiTheme="majorHAnsi" w:cstheme="majorHAnsi"/>
                <w:bCs/>
                <w:snapToGrid w:val="0"/>
                <w:color w:val="000000"/>
                <w:sz w:val="16"/>
                <w:szCs w:val="16"/>
                <w:lang w:val="en-US"/>
              </w:rPr>
            </w:pPr>
            <w:r w:rsidRPr="00DC5490">
              <w:rPr>
                <w:rFonts w:asciiTheme="majorHAnsi" w:hAnsiTheme="majorHAnsi" w:cstheme="majorHAnsi"/>
                <w:snapToGrid w:val="0"/>
                <w:sz w:val="16"/>
                <w:szCs w:val="16"/>
                <w:lang w:val="en-US"/>
              </w:rPr>
              <w:t>DO No. 57, s. 2015 on the “Utilisation of the Early Grade Reading Assessment (EGRA) and Early Grade Match Assessment (EGMA) Tools for System Assessment”</w:t>
            </w:r>
          </w:p>
        </w:tc>
        <w:tc>
          <w:tcPr>
            <w:tcW w:w="1260" w:type="dxa"/>
          </w:tcPr>
          <w:p w14:paraId="04A8C64B" w14:textId="77777777" w:rsidR="008D0CAD" w:rsidRPr="00DC5490" w:rsidRDefault="008D0CAD" w:rsidP="00EA6CB9">
            <w:pPr>
              <w:spacing w:before="100" w:beforeAutospacing="1" w:after="100" w:afterAutospacing="1" w:line="360" w:lineRule="auto"/>
              <w:rPr>
                <w:rFonts w:asciiTheme="majorHAnsi" w:hAnsiTheme="majorHAnsi" w:cstheme="majorHAnsi"/>
                <w:sz w:val="16"/>
                <w:szCs w:val="16"/>
                <w:lang w:val="en-US"/>
              </w:rPr>
            </w:pPr>
          </w:p>
        </w:tc>
        <w:tc>
          <w:tcPr>
            <w:tcW w:w="1080" w:type="dxa"/>
          </w:tcPr>
          <w:p w14:paraId="59CBF0A1"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28DF78EA" w14:textId="77777777" w:rsidTr="00EC48C1">
        <w:trPr>
          <w:trHeight w:val="272"/>
        </w:trPr>
        <w:tc>
          <w:tcPr>
            <w:tcW w:w="7020" w:type="dxa"/>
          </w:tcPr>
          <w:p w14:paraId="1718DD00" w14:textId="77777777" w:rsidR="008D0CAD" w:rsidRPr="00DC5490" w:rsidRDefault="008D0CAD" w:rsidP="00DD08E3">
            <w:pPr>
              <w:numPr>
                <w:ilvl w:val="0"/>
                <w:numId w:val="89"/>
              </w:numPr>
              <w:spacing w:before="100" w:beforeAutospacing="1" w:after="100" w:afterAutospacing="1" w:line="360" w:lineRule="auto"/>
              <w:contextualSpacing/>
              <w:rPr>
                <w:rFonts w:asciiTheme="majorHAnsi" w:hAnsiTheme="majorHAnsi" w:cstheme="majorHAnsi"/>
                <w:snapToGrid w:val="0"/>
                <w:sz w:val="16"/>
                <w:szCs w:val="16"/>
                <w:lang w:val="en-US"/>
              </w:rPr>
            </w:pPr>
            <w:r w:rsidRPr="00DC5490">
              <w:rPr>
                <w:rFonts w:asciiTheme="majorHAnsi" w:hAnsiTheme="majorHAnsi" w:cstheme="majorHAnsi"/>
                <w:snapToGrid w:val="0"/>
                <w:sz w:val="16"/>
                <w:szCs w:val="16"/>
                <w:lang w:val="en-US"/>
              </w:rPr>
              <w:t>DO No. 47, s. 2016 on the “Omnibus Policy on Kindergarten Education”</w:t>
            </w:r>
          </w:p>
        </w:tc>
        <w:tc>
          <w:tcPr>
            <w:tcW w:w="1260" w:type="dxa"/>
          </w:tcPr>
          <w:p w14:paraId="2FE2FDAD" w14:textId="77777777" w:rsidR="008D0CAD" w:rsidRPr="00DC5490" w:rsidRDefault="008D0CAD" w:rsidP="00EA6CB9">
            <w:pPr>
              <w:spacing w:before="100" w:beforeAutospacing="1" w:after="100" w:afterAutospacing="1" w:line="360" w:lineRule="auto"/>
              <w:rPr>
                <w:rFonts w:asciiTheme="majorHAnsi" w:hAnsiTheme="majorHAnsi" w:cstheme="majorHAnsi"/>
                <w:sz w:val="16"/>
                <w:szCs w:val="16"/>
                <w:lang w:val="en-US"/>
              </w:rPr>
            </w:pPr>
          </w:p>
        </w:tc>
        <w:tc>
          <w:tcPr>
            <w:tcW w:w="1080" w:type="dxa"/>
          </w:tcPr>
          <w:p w14:paraId="322AA3ED"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5ACED2A1" w14:textId="77777777" w:rsidTr="00EC48C1">
        <w:trPr>
          <w:trHeight w:val="272"/>
        </w:trPr>
        <w:tc>
          <w:tcPr>
            <w:tcW w:w="7020" w:type="dxa"/>
          </w:tcPr>
          <w:p w14:paraId="202E7D3B" w14:textId="77777777" w:rsidR="008D0CAD" w:rsidRPr="00DC5490" w:rsidRDefault="008D0CAD" w:rsidP="00DD08E3">
            <w:pPr>
              <w:numPr>
                <w:ilvl w:val="0"/>
                <w:numId w:val="89"/>
              </w:numPr>
              <w:spacing w:before="100" w:beforeAutospacing="1" w:after="100" w:afterAutospacing="1" w:line="360" w:lineRule="auto"/>
              <w:contextualSpacing/>
              <w:rPr>
                <w:rFonts w:asciiTheme="majorHAnsi" w:hAnsiTheme="majorHAnsi" w:cstheme="majorHAnsi"/>
                <w:bCs/>
                <w:snapToGrid w:val="0"/>
                <w:color w:val="000000"/>
                <w:sz w:val="16"/>
                <w:szCs w:val="16"/>
                <w:lang w:val="en-US"/>
              </w:rPr>
            </w:pPr>
            <w:r w:rsidRPr="00DC5490">
              <w:rPr>
                <w:rFonts w:asciiTheme="majorHAnsi" w:hAnsiTheme="majorHAnsi" w:cstheme="majorHAnsi"/>
                <w:snapToGrid w:val="0"/>
                <w:sz w:val="16"/>
                <w:szCs w:val="16"/>
                <w:lang w:val="en-US"/>
              </w:rPr>
              <w:t>DO No. 55, s. 2016 on the “Policy Guidelines on the National Assessment of Student Learning for the K to 12 Basic Education Program”</w:t>
            </w:r>
          </w:p>
        </w:tc>
        <w:tc>
          <w:tcPr>
            <w:tcW w:w="1260" w:type="dxa"/>
          </w:tcPr>
          <w:p w14:paraId="3286FA34"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080" w:type="dxa"/>
          </w:tcPr>
          <w:p w14:paraId="7F397873"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0B56872E" w14:textId="77777777" w:rsidTr="00EC48C1">
        <w:trPr>
          <w:trHeight w:val="272"/>
        </w:trPr>
        <w:tc>
          <w:tcPr>
            <w:tcW w:w="7020" w:type="dxa"/>
          </w:tcPr>
          <w:p w14:paraId="4B735842" w14:textId="77777777" w:rsidR="008D0CAD" w:rsidRPr="00DC5490" w:rsidRDefault="008D0CAD" w:rsidP="00DD08E3">
            <w:pPr>
              <w:numPr>
                <w:ilvl w:val="0"/>
                <w:numId w:val="89"/>
              </w:numPr>
              <w:spacing w:before="100" w:beforeAutospacing="1" w:after="100" w:afterAutospacing="1" w:line="360" w:lineRule="auto"/>
              <w:contextualSpacing/>
              <w:rPr>
                <w:rFonts w:asciiTheme="majorHAnsi" w:hAnsiTheme="majorHAnsi" w:cstheme="majorHAnsi"/>
                <w:bCs/>
                <w:snapToGrid w:val="0"/>
                <w:color w:val="000000"/>
                <w:sz w:val="16"/>
                <w:szCs w:val="16"/>
                <w:lang w:val="en-US"/>
              </w:rPr>
            </w:pPr>
            <w:r w:rsidRPr="00DC5490">
              <w:rPr>
                <w:rFonts w:asciiTheme="majorHAnsi" w:hAnsiTheme="majorHAnsi" w:cstheme="majorHAnsi"/>
                <w:snapToGrid w:val="0"/>
                <w:sz w:val="16"/>
                <w:szCs w:val="16"/>
                <w:lang w:val="en-US"/>
              </w:rPr>
              <w:t>DO No. 29, s. 2017 on the “Policy Guidelines on System Assessment in the K to 12 Basic Education Program”</w:t>
            </w:r>
          </w:p>
        </w:tc>
        <w:tc>
          <w:tcPr>
            <w:tcW w:w="1260" w:type="dxa"/>
          </w:tcPr>
          <w:p w14:paraId="230DB9CA"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080" w:type="dxa"/>
          </w:tcPr>
          <w:p w14:paraId="609D3DBE"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38C461D8" w14:textId="77777777" w:rsidTr="00EC48C1">
        <w:trPr>
          <w:trHeight w:val="272"/>
        </w:trPr>
        <w:tc>
          <w:tcPr>
            <w:tcW w:w="7020" w:type="dxa"/>
          </w:tcPr>
          <w:p w14:paraId="118CAB6F" w14:textId="77777777" w:rsidR="008D0CAD" w:rsidRPr="00DC5490" w:rsidRDefault="008D0CAD" w:rsidP="00EA6CB9">
            <w:pPr>
              <w:spacing w:before="100" w:beforeAutospacing="1" w:after="100" w:afterAutospacing="1" w:line="360" w:lineRule="auto"/>
              <w:rPr>
                <w:rFonts w:asciiTheme="majorHAnsi" w:hAnsiTheme="majorHAnsi" w:cstheme="majorHAnsi"/>
                <w:b/>
                <w:sz w:val="16"/>
                <w:szCs w:val="16"/>
                <w:lang w:val="en-US"/>
              </w:rPr>
            </w:pPr>
            <w:r w:rsidRPr="00DC5490">
              <w:rPr>
                <w:rFonts w:asciiTheme="majorHAnsi" w:hAnsiTheme="majorHAnsi" w:cstheme="majorHAnsi"/>
                <w:b/>
                <w:sz w:val="16"/>
                <w:szCs w:val="16"/>
                <w:lang w:val="en-US"/>
              </w:rPr>
              <w:t>School-Based Management</w:t>
            </w:r>
          </w:p>
        </w:tc>
        <w:tc>
          <w:tcPr>
            <w:tcW w:w="1260" w:type="dxa"/>
          </w:tcPr>
          <w:p w14:paraId="5C996BE2"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080" w:type="dxa"/>
          </w:tcPr>
          <w:p w14:paraId="04CC9D8A"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3991ADE3" w14:textId="77777777" w:rsidTr="00EC48C1">
        <w:trPr>
          <w:trHeight w:val="272"/>
        </w:trPr>
        <w:tc>
          <w:tcPr>
            <w:tcW w:w="7020" w:type="dxa"/>
          </w:tcPr>
          <w:p w14:paraId="60EA6379" w14:textId="77777777" w:rsidR="008D0CAD" w:rsidRPr="00DC5490" w:rsidRDefault="008D0CAD" w:rsidP="00DD08E3">
            <w:pPr>
              <w:numPr>
                <w:ilvl w:val="0"/>
                <w:numId w:val="89"/>
              </w:numPr>
              <w:spacing w:before="100" w:beforeAutospacing="1" w:after="100" w:afterAutospacing="1" w:line="360" w:lineRule="auto"/>
              <w:contextualSpacing/>
              <w:rPr>
                <w:rFonts w:asciiTheme="majorHAnsi" w:hAnsiTheme="majorHAnsi" w:cstheme="majorHAnsi"/>
                <w:snapToGrid w:val="0"/>
                <w:sz w:val="16"/>
                <w:szCs w:val="16"/>
                <w:lang w:val="en-US"/>
              </w:rPr>
            </w:pPr>
            <w:r w:rsidRPr="00DC5490">
              <w:rPr>
                <w:rFonts w:asciiTheme="majorHAnsi" w:hAnsiTheme="majorHAnsi" w:cstheme="majorHAnsi"/>
                <w:snapToGrid w:val="0"/>
                <w:sz w:val="16"/>
                <w:szCs w:val="16"/>
                <w:lang w:val="en-US"/>
              </w:rPr>
              <w:t>DO 44, s. 2015 on the “Guidelines on the Enhanced School Improvement Planning (SIP) Process and the School Report Card (SRC)”</w:t>
            </w:r>
          </w:p>
        </w:tc>
        <w:tc>
          <w:tcPr>
            <w:tcW w:w="1260" w:type="dxa"/>
          </w:tcPr>
          <w:p w14:paraId="1AF70827"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080" w:type="dxa"/>
          </w:tcPr>
          <w:p w14:paraId="120088ED"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2D4C6A30" w14:textId="77777777" w:rsidTr="00EC48C1">
        <w:trPr>
          <w:trHeight w:val="272"/>
        </w:trPr>
        <w:tc>
          <w:tcPr>
            <w:tcW w:w="7020" w:type="dxa"/>
          </w:tcPr>
          <w:p w14:paraId="24C8A360"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r w:rsidRPr="00DC5490">
              <w:rPr>
                <w:rFonts w:asciiTheme="majorHAnsi" w:hAnsiTheme="majorHAnsi" w:cstheme="majorHAnsi"/>
                <w:b/>
                <w:sz w:val="16"/>
                <w:szCs w:val="16"/>
                <w:lang w:val="en-US"/>
              </w:rPr>
              <w:t>Gender, disability and social inclusion (GEDSI)</w:t>
            </w:r>
          </w:p>
        </w:tc>
        <w:tc>
          <w:tcPr>
            <w:tcW w:w="1260" w:type="dxa"/>
          </w:tcPr>
          <w:p w14:paraId="40305F69"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080" w:type="dxa"/>
          </w:tcPr>
          <w:p w14:paraId="1AC90834"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75AE9B55" w14:textId="77777777" w:rsidTr="00EC48C1">
        <w:trPr>
          <w:trHeight w:val="272"/>
        </w:trPr>
        <w:tc>
          <w:tcPr>
            <w:tcW w:w="7020" w:type="dxa"/>
          </w:tcPr>
          <w:p w14:paraId="67928F39" w14:textId="77777777" w:rsidR="008D0CAD" w:rsidRPr="00DC5490" w:rsidRDefault="008D0CAD" w:rsidP="00DD08E3">
            <w:pPr>
              <w:numPr>
                <w:ilvl w:val="0"/>
                <w:numId w:val="89"/>
              </w:numPr>
              <w:spacing w:before="100" w:beforeAutospacing="1" w:after="100" w:afterAutospacing="1" w:line="360" w:lineRule="auto"/>
              <w:contextualSpacing/>
              <w:rPr>
                <w:rFonts w:asciiTheme="majorHAnsi" w:hAnsiTheme="majorHAnsi" w:cstheme="majorHAnsi"/>
                <w:bCs/>
                <w:snapToGrid w:val="0"/>
                <w:color w:val="000000"/>
                <w:sz w:val="16"/>
                <w:szCs w:val="16"/>
                <w:lang w:val="en-US"/>
              </w:rPr>
            </w:pPr>
            <w:r w:rsidRPr="00DC5490">
              <w:rPr>
                <w:rFonts w:asciiTheme="majorHAnsi" w:hAnsiTheme="majorHAnsi" w:cstheme="majorHAnsi"/>
                <w:bCs/>
                <w:snapToGrid w:val="0"/>
                <w:color w:val="000000"/>
                <w:sz w:val="16"/>
                <w:szCs w:val="16"/>
                <w:lang w:val="en-US"/>
              </w:rPr>
              <w:t xml:space="preserve"> DEPED Order No. 32 s. 2017 on Gender-Responsive Basic Education Policy</w:t>
            </w:r>
          </w:p>
        </w:tc>
        <w:tc>
          <w:tcPr>
            <w:tcW w:w="1260" w:type="dxa"/>
          </w:tcPr>
          <w:p w14:paraId="7C8D6B19"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080" w:type="dxa"/>
          </w:tcPr>
          <w:p w14:paraId="5852A5C7"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17D3E862" w14:textId="77777777" w:rsidTr="00EC48C1">
        <w:trPr>
          <w:trHeight w:val="272"/>
        </w:trPr>
        <w:tc>
          <w:tcPr>
            <w:tcW w:w="7020" w:type="dxa"/>
          </w:tcPr>
          <w:p w14:paraId="4689F621" w14:textId="77777777" w:rsidR="008D0CAD" w:rsidRPr="00DC5490" w:rsidRDefault="008D0CAD" w:rsidP="00DD08E3">
            <w:pPr>
              <w:numPr>
                <w:ilvl w:val="0"/>
                <w:numId w:val="89"/>
              </w:numPr>
              <w:spacing w:before="100" w:beforeAutospacing="1" w:after="100" w:afterAutospacing="1" w:line="360" w:lineRule="auto"/>
              <w:contextualSpacing/>
              <w:rPr>
                <w:rFonts w:asciiTheme="majorHAnsi" w:hAnsiTheme="majorHAnsi" w:cstheme="majorHAnsi"/>
                <w:bCs/>
                <w:snapToGrid w:val="0"/>
                <w:color w:val="000000"/>
                <w:sz w:val="16"/>
                <w:szCs w:val="16"/>
                <w:lang w:val="en-US"/>
              </w:rPr>
            </w:pPr>
            <w:r w:rsidRPr="00DC5490">
              <w:rPr>
                <w:rFonts w:asciiTheme="majorHAnsi" w:hAnsiTheme="majorHAnsi" w:cstheme="majorHAnsi"/>
                <w:snapToGrid w:val="0"/>
                <w:sz w:val="16"/>
                <w:szCs w:val="16"/>
                <w:lang w:val="en-US"/>
              </w:rPr>
              <w:t>DO No. 41, s. 2017 on the “Policy Guidelines on Madrasah Education in the K to 12 Basic Education Program”</w:t>
            </w:r>
          </w:p>
        </w:tc>
        <w:tc>
          <w:tcPr>
            <w:tcW w:w="1260" w:type="dxa"/>
          </w:tcPr>
          <w:p w14:paraId="35B41958"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080" w:type="dxa"/>
          </w:tcPr>
          <w:p w14:paraId="593D1823"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31B63BF8" w14:textId="77777777" w:rsidTr="00EC48C1">
        <w:trPr>
          <w:trHeight w:val="272"/>
        </w:trPr>
        <w:tc>
          <w:tcPr>
            <w:tcW w:w="7020" w:type="dxa"/>
          </w:tcPr>
          <w:p w14:paraId="3786C022" w14:textId="77777777" w:rsidR="008D0CAD" w:rsidRPr="00DC5490" w:rsidRDefault="008D0CAD" w:rsidP="00DD08E3">
            <w:pPr>
              <w:numPr>
                <w:ilvl w:val="0"/>
                <w:numId w:val="89"/>
              </w:numPr>
              <w:spacing w:before="100" w:beforeAutospacing="1" w:after="100" w:afterAutospacing="1" w:line="360" w:lineRule="auto"/>
              <w:contextualSpacing/>
              <w:rPr>
                <w:rFonts w:asciiTheme="majorHAnsi" w:hAnsiTheme="majorHAnsi" w:cstheme="majorHAnsi"/>
                <w:snapToGrid w:val="0"/>
                <w:sz w:val="16"/>
                <w:szCs w:val="16"/>
                <w:lang w:val="en-US"/>
              </w:rPr>
            </w:pPr>
            <w:r w:rsidRPr="00DC5490">
              <w:rPr>
                <w:rFonts w:asciiTheme="majorHAnsi" w:hAnsiTheme="majorHAnsi" w:cstheme="majorHAnsi"/>
                <w:snapToGrid w:val="0"/>
                <w:sz w:val="16"/>
                <w:szCs w:val="16"/>
                <w:lang w:val="en-US"/>
              </w:rPr>
              <w:t>DO No. 32, s. 2015 on “Adopting the Indigenous Peoples Education Curriculum Framework”</w:t>
            </w:r>
          </w:p>
        </w:tc>
        <w:tc>
          <w:tcPr>
            <w:tcW w:w="1260" w:type="dxa"/>
          </w:tcPr>
          <w:p w14:paraId="4785AB99"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080" w:type="dxa"/>
          </w:tcPr>
          <w:p w14:paraId="6E14DEDA"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1C4881B8" w14:textId="77777777" w:rsidTr="00EC48C1">
        <w:trPr>
          <w:trHeight w:val="272"/>
        </w:trPr>
        <w:tc>
          <w:tcPr>
            <w:tcW w:w="7020" w:type="dxa"/>
          </w:tcPr>
          <w:p w14:paraId="37276CCA" w14:textId="77777777" w:rsidR="008D0CAD" w:rsidRPr="00DC5490" w:rsidRDefault="008D0CAD" w:rsidP="00EA6CB9">
            <w:pPr>
              <w:widowControl w:val="0"/>
              <w:spacing w:before="100" w:beforeAutospacing="1" w:after="100" w:afterAutospacing="1" w:line="360" w:lineRule="auto"/>
              <w:ind w:left="360" w:hanging="360"/>
              <w:rPr>
                <w:rFonts w:asciiTheme="majorHAnsi" w:hAnsiTheme="majorHAnsi" w:cstheme="majorHAnsi"/>
                <w:b/>
                <w:snapToGrid w:val="0"/>
                <w:sz w:val="16"/>
                <w:szCs w:val="16"/>
                <w:lang w:val="en-US"/>
              </w:rPr>
            </w:pPr>
            <w:r w:rsidRPr="00DC5490">
              <w:rPr>
                <w:rFonts w:asciiTheme="majorHAnsi" w:hAnsiTheme="majorHAnsi" w:cstheme="majorHAnsi"/>
                <w:b/>
                <w:snapToGrid w:val="0"/>
                <w:sz w:val="16"/>
                <w:szCs w:val="16"/>
                <w:lang w:val="en-US"/>
              </w:rPr>
              <w:t>Organizational Development</w:t>
            </w:r>
          </w:p>
        </w:tc>
        <w:tc>
          <w:tcPr>
            <w:tcW w:w="1260" w:type="dxa"/>
          </w:tcPr>
          <w:p w14:paraId="7E855719"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080" w:type="dxa"/>
          </w:tcPr>
          <w:p w14:paraId="5C6B527E"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46BFCFB0" w14:textId="77777777" w:rsidTr="00EC48C1">
        <w:trPr>
          <w:trHeight w:val="272"/>
        </w:trPr>
        <w:tc>
          <w:tcPr>
            <w:tcW w:w="7020" w:type="dxa"/>
          </w:tcPr>
          <w:p w14:paraId="24A5306F" w14:textId="77777777" w:rsidR="008D0CAD" w:rsidRPr="00DC5490" w:rsidRDefault="008D0CAD" w:rsidP="00DD08E3">
            <w:pPr>
              <w:numPr>
                <w:ilvl w:val="0"/>
                <w:numId w:val="89"/>
              </w:numPr>
              <w:spacing w:before="100" w:beforeAutospacing="1" w:after="100" w:afterAutospacing="1" w:line="360" w:lineRule="auto"/>
              <w:contextualSpacing/>
              <w:rPr>
                <w:rFonts w:asciiTheme="majorHAnsi" w:hAnsiTheme="majorHAnsi" w:cstheme="majorHAnsi"/>
                <w:snapToGrid w:val="0"/>
                <w:sz w:val="16"/>
                <w:szCs w:val="16"/>
                <w:lang w:val="en-US"/>
              </w:rPr>
            </w:pPr>
            <w:r w:rsidRPr="00DC5490">
              <w:rPr>
                <w:rFonts w:asciiTheme="majorHAnsi" w:hAnsiTheme="majorHAnsi" w:cstheme="majorHAnsi"/>
                <w:snapToGrid w:val="0"/>
                <w:sz w:val="16"/>
                <w:szCs w:val="16"/>
                <w:lang w:val="en-US"/>
              </w:rPr>
              <w:t>DO 52, s. 2015 on the “Rationalisation Plan”</w:t>
            </w:r>
          </w:p>
        </w:tc>
        <w:tc>
          <w:tcPr>
            <w:tcW w:w="1260" w:type="dxa"/>
          </w:tcPr>
          <w:p w14:paraId="703FDBD4"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080" w:type="dxa"/>
          </w:tcPr>
          <w:p w14:paraId="5CE1351F"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bl>
    <w:p w14:paraId="4DCA0E81" w14:textId="4F460420" w:rsidR="008D0CAD" w:rsidRPr="00EA6CB9" w:rsidRDefault="008D0CAD" w:rsidP="00EA6CB9">
      <w:pPr>
        <w:pStyle w:val="Heading3"/>
        <w:pageBreakBefore/>
        <w:spacing w:before="100" w:beforeAutospacing="1" w:after="100" w:afterAutospacing="1" w:line="360" w:lineRule="auto"/>
      </w:pPr>
      <w:bookmarkStart w:id="298" w:name="_Toc39938383"/>
      <w:bookmarkStart w:id="299" w:name="_Toc69820488"/>
      <w:r w:rsidRPr="00DC5490">
        <w:t>Annex M-2: 2019 KAU Survey Tool for Teachers</w:t>
      </w:r>
      <w:bookmarkEnd w:id="298"/>
      <w:bookmarkEnd w:id="299"/>
    </w:p>
    <w:p w14:paraId="710BC383" w14:textId="4C1920A8" w:rsidR="008D0CAD" w:rsidRPr="00DC5490" w:rsidRDefault="008D0CAD" w:rsidP="00EA6CB9">
      <w:pPr>
        <w:spacing w:before="100" w:beforeAutospacing="1" w:after="100" w:afterAutospacing="1" w:line="360" w:lineRule="auto"/>
        <w:rPr>
          <w:rFonts w:asciiTheme="majorHAnsi" w:hAnsiTheme="majorHAnsi" w:cstheme="majorHAnsi"/>
          <w:b/>
          <w:sz w:val="20"/>
          <w:szCs w:val="20"/>
          <w:lang w:val="en-US"/>
        </w:rPr>
      </w:pPr>
      <w:r w:rsidRPr="00DC5490">
        <w:rPr>
          <w:rFonts w:asciiTheme="majorHAnsi" w:hAnsiTheme="majorHAnsi" w:cstheme="majorHAnsi"/>
          <w:b/>
          <w:bCs/>
          <w:color w:val="000000"/>
          <w:sz w:val="20"/>
          <w:szCs w:val="20"/>
          <w:lang w:val="en-US"/>
        </w:rPr>
        <w:t xml:space="preserve">A </w:t>
      </w:r>
      <w:r w:rsidRPr="00DC5490">
        <w:rPr>
          <w:rFonts w:asciiTheme="majorHAnsi" w:hAnsiTheme="majorHAnsi" w:cstheme="majorHAnsi"/>
          <w:b/>
          <w:sz w:val="20"/>
          <w:szCs w:val="20"/>
          <w:lang w:val="en-US"/>
        </w:rPr>
        <w:t>Self-Assessment Tool for Teachers</w:t>
      </w:r>
      <w:r w:rsidRPr="00DC5490">
        <w:rPr>
          <w:rFonts w:asciiTheme="majorHAnsi" w:hAnsiTheme="majorHAnsi" w:cstheme="majorHAnsi"/>
          <w:b/>
          <w:sz w:val="20"/>
          <w:szCs w:val="20"/>
          <w:vertAlign w:val="superscript"/>
          <w:lang w:val="en-US"/>
        </w:rPr>
        <w:footnoteReference w:id="132"/>
      </w:r>
    </w:p>
    <w:p w14:paraId="6B587CE9" w14:textId="68922E54" w:rsidR="008D0CAD" w:rsidRPr="00DC5490" w:rsidRDefault="008D0CAD" w:rsidP="00EA6CB9">
      <w:pPr>
        <w:spacing w:before="100" w:beforeAutospacing="1" w:after="100" w:afterAutospacing="1" w:line="360" w:lineRule="auto"/>
        <w:rPr>
          <w:rFonts w:asciiTheme="majorHAnsi" w:hAnsiTheme="majorHAnsi" w:cstheme="majorHAnsi"/>
          <w:sz w:val="20"/>
          <w:szCs w:val="20"/>
          <w:lang w:val="en-US"/>
        </w:rPr>
      </w:pPr>
      <w:r w:rsidRPr="00DC5490">
        <w:rPr>
          <w:rFonts w:asciiTheme="majorHAnsi" w:hAnsiTheme="majorHAnsi" w:cstheme="majorHAnsi"/>
          <w:b/>
          <w:sz w:val="20"/>
          <w:szCs w:val="20"/>
          <w:lang w:val="en-US"/>
        </w:rPr>
        <w:t>Background:</w:t>
      </w:r>
      <w:r w:rsidR="00D434EB">
        <w:rPr>
          <w:rFonts w:asciiTheme="majorHAnsi" w:hAnsiTheme="majorHAnsi" w:cstheme="majorHAnsi"/>
          <w:b/>
          <w:sz w:val="20"/>
          <w:szCs w:val="20"/>
          <w:lang w:val="en-US"/>
        </w:rPr>
        <w:t xml:space="preserve"> </w:t>
      </w:r>
      <w:r w:rsidRPr="00DC5490">
        <w:rPr>
          <w:rFonts w:asciiTheme="majorHAnsi" w:hAnsiTheme="majorHAnsi" w:cstheme="majorHAnsi"/>
          <w:sz w:val="20"/>
          <w:szCs w:val="20"/>
          <w:lang w:val="en-US"/>
        </w:rPr>
        <w:t>This Self-Assessment Tool is intended to assess your knowledge, access and usage of the various outputs of the basic education reforms facilitated or enhanced by the BEST Program under its various program interventions.</w:t>
      </w:r>
      <w:r w:rsidR="00D434EB">
        <w:rPr>
          <w:rFonts w:asciiTheme="majorHAnsi" w:hAnsiTheme="majorHAnsi" w:cstheme="majorHAnsi"/>
          <w:sz w:val="20"/>
          <w:szCs w:val="20"/>
          <w:lang w:val="en-US"/>
        </w:rPr>
        <w:t xml:space="preserve"> </w:t>
      </w:r>
      <w:r w:rsidRPr="00DC5490">
        <w:rPr>
          <w:rFonts w:asciiTheme="majorHAnsi" w:hAnsiTheme="majorHAnsi" w:cstheme="majorHAnsi"/>
          <w:sz w:val="20"/>
          <w:szCs w:val="20"/>
          <w:lang w:val="en-US"/>
        </w:rPr>
        <w:t xml:space="preserve">The program interventions include, among others, the: </w:t>
      </w:r>
      <w:r w:rsidRPr="00DC5490">
        <w:rPr>
          <w:rFonts w:asciiTheme="majorHAnsi" w:hAnsiTheme="majorHAnsi" w:cstheme="majorHAnsi"/>
          <w:bCs/>
          <w:sz w:val="20"/>
          <w:szCs w:val="20"/>
          <w:lang w:val="en-US"/>
        </w:rPr>
        <w:t xml:space="preserve">Learning &amp; Development (L&amp;D) systems; </w:t>
      </w:r>
      <w:r w:rsidRPr="00DC5490">
        <w:rPr>
          <w:rFonts w:asciiTheme="majorHAnsi" w:hAnsiTheme="majorHAnsi" w:cstheme="majorHAnsi"/>
          <w:sz w:val="20"/>
          <w:szCs w:val="20"/>
          <w:lang w:val="en-US"/>
        </w:rPr>
        <w:t>Philippine Professional Standards for Teachers (PPST); Curriculum and assessment systems (CAS); Unified information system and sub-systems (UISS); and Gender, disability and social inclusion (GEDSI).</w:t>
      </w:r>
    </w:p>
    <w:p w14:paraId="3CBCEE75" w14:textId="4B08447A" w:rsidR="008D0CAD" w:rsidRPr="00DC5490" w:rsidRDefault="008D0CAD" w:rsidP="00EA6CB9">
      <w:pPr>
        <w:spacing w:before="100" w:beforeAutospacing="1" w:after="100" w:afterAutospacing="1" w:line="360" w:lineRule="auto"/>
        <w:rPr>
          <w:rFonts w:asciiTheme="majorHAnsi" w:hAnsiTheme="majorHAnsi" w:cstheme="majorHAnsi"/>
          <w:sz w:val="20"/>
          <w:szCs w:val="20"/>
          <w:lang w:val="en-US"/>
        </w:rPr>
      </w:pPr>
      <w:r w:rsidRPr="00DC5490">
        <w:rPr>
          <w:rFonts w:asciiTheme="majorHAnsi" w:hAnsiTheme="majorHAnsi" w:cstheme="majorHAnsi"/>
          <w:sz w:val="20"/>
          <w:szCs w:val="20"/>
          <w:lang w:val="en-US"/>
        </w:rPr>
        <w:t>Self-Assessment Tool is intended to supplement the results of the Focus Group Discussions with selected teachers of Math, Science, English and Filipino teaching in Grades 4, 5 and 6. It lists all the outputs produced with assistance from the BEST Program that were expected to be used at the school or classroom levels.</w:t>
      </w:r>
      <w:r w:rsidR="00D434EB">
        <w:rPr>
          <w:rFonts w:asciiTheme="majorHAnsi" w:hAnsiTheme="majorHAnsi" w:cstheme="majorHAnsi"/>
          <w:sz w:val="20"/>
          <w:szCs w:val="20"/>
          <w:lang w:val="en-US"/>
        </w:rPr>
        <w:t xml:space="preserve"> </w:t>
      </w:r>
      <w:r w:rsidRPr="00DC5490">
        <w:rPr>
          <w:rFonts w:asciiTheme="majorHAnsi" w:hAnsiTheme="majorHAnsi" w:cstheme="majorHAnsi"/>
          <w:sz w:val="20"/>
          <w:szCs w:val="20"/>
          <w:lang w:val="en-US"/>
        </w:rPr>
        <w:t xml:space="preserve">Outputs of the different program interventions include but is not limited to: policy issuances; curriculum guides; learning materials; training videos; manuals; learning portal and other such outputs. </w:t>
      </w:r>
    </w:p>
    <w:p w14:paraId="3714C310" w14:textId="5303215E" w:rsidR="008D0CAD" w:rsidRPr="00DC5490" w:rsidRDefault="008D0CAD" w:rsidP="00EA6CB9">
      <w:pPr>
        <w:spacing w:before="100" w:beforeAutospacing="1" w:after="100" w:afterAutospacing="1" w:line="360" w:lineRule="auto"/>
        <w:rPr>
          <w:rFonts w:asciiTheme="majorHAnsi" w:hAnsiTheme="majorHAnsi" w:cstheme="majorHAnsi"/>
          <w:sz w:val="20"/>
          <w:szCs w:val="20"/>
          <w:lang w:val="en-US"/>
        </w:rPr>
      </w:pPr>
      <w:r w:rsidRPr="00DC5490">
        <w:rPr>
          <w:rFonts w:asciiTheme="majorHAnsi" w:hAnsiTheme="majorHAnsi" w:cstheme="majorHAnsi"/>
          <w:sz w:val="20"/>
          <w:szCs w:val="20"/>
          <w:lang w:val="en-US"/>
        </w:rPr>
        <w:t>All answers to this self-assessment tool will be kept strictly confidential.</w:t>
      </w:r>
      <w:r w:rsidR="00D434EB">
        <w:rPr>
          <w:rFonts w:asciiTheme="majorHAnsi" w:hAnsiTheme="majorHAnsi" w:cstheme="majorHAnsi"/>
          <w:sz w:val="20"/>
          <w:szCs w:val="20"/>
          <w:lang w:val="en-US"/>
        </w:rPr>
        <w:t xml:space="preserve"> </w:t>
      </w:r>
      <w:r w:rsidRPr="00DC5490">
        <w:rPr>
          <w:rFonts w:asciiTheme="majorHAnsi" w:hAnsiTheme="majorHAnsi" w:cstheme="majorHAnsi"/>
          <w:sz w:val="20"/>
          <w:szCs w:val="20"/>
          <w:lang w:val="en-US"/>
        </w:rPr>
        <w:t>The digitised results and accomplished questionnaires materials will be kept at the QED-ADII Office at 22 Matipid Street, Sikatuna Village, Quezon City.</w:t>
      </w:r>
      <w:r w:rsidR="00D434EB">
        <w:rPr>
          <w:rFonts w:asciiTheme="majorHAnsi" w:hAnsiTheme="majorHAnsi" w:cstheme="majorHAnsi"/>
          <w:sz w:val="20"/>
          <w:szCs w:val="20"/>
          <w:lang w:val="en-US"/>
        </w:rPr>
        <w:t xml:space="preserve"> </w:t>
      </w:r>
      <w:r w:rsidRPr="00DC5490">
        <w:rPr>
          <w:rFonts w:asciiTheme="majorHAnsi" w:hAnsiTheme="majorHAnsi" w:cstheme="majorHAnsi"/>
          <w:sz w:val="20"/>
          <w:szCs w:val="20"/>
          <w:lang w:val="en-US"/>
        </w:rPr>
        <w:t>Only authorised persons will have access to these results.</w:t>
      </w:r>
    </w:p>
    <w:p w14:paraId="328C1E5F" w14:textId="12DC6E55" w:rsidR="008D0CAD" w:rsidRPr="00DC5490" w:rsidRDefault="008D0CAD" w:rsidP="00EA6CB9">
      <w:pPr>
        <w:spacing w:before="100" w:beforeAutospacing="1" w:after="100" w:afterAutospacing="1" w:line="360" w:lineRule="auto"/>
        <w:rPr>
          <w:rFonts w:asciiTheme="majorHAnsi" w:hAnsiTheme="majorHAnsi" w:cstheme="majorHAnsi"/>
          <w:color w:val="000000" w:themeColor="text1"/>
          <w:sz w:val="20"/>
          <w:szCs w:val="20"/>
          <w:lang w:val="en-US"/>
        </w:rPr>
      </w:pPr>
      <w:r w:rsidRPr="00DC5490">
        <w:rPr>
          <w:rFonts w:asciiTheme="majorHAnsi" w:hAnsiTheme="majorHAnsi" w:cstheme="majorHAnsi"/>
          <w:b/>
          <w:sz w:val="20"/>
          <w:szCs w:val="20"/>
          <w:lang w:val="en-US"/>
        </w:rPr>
        <w:t>Tool.</w:t>
      </w:r>
      <w:r w:rsidR="00D434EB">
        <w:rPr>
          <w:rFonts w:asciiTheme="majorHAnsi" w:hAnsiTheme="majorHAnsi" w:cstheme="majorHAnsi"/>
          <w:sz w:val="20"/>
          <w:szCs w:val="20"/>
          <w:lang w:val="en-US"/>
        </w:rPr>
        <w:t xml:space="preserve"> </w:t>
      </w:r>
      <w:r w:rsidRPr="00DC5490">
        <w:rPr>
          <w:rFonts w:asciiTheme="majorHAnsi" w:hAnsiTheme="majorHAnsi" w:cstheme="majorHAnsi"/>
          <w:sz w:val="20"/>
          <w:szCs w:val="20"/>
          <w:lang w:val="en-US"/>
        </w:rPr>
        <w:t xml:space="preserve">The self-assessment tool lists </w:t>
      </w:r>
      <w:r w:rsidRPr="00DC5490">
        <w:rPr>
          <w:rFonts w:asciiTheme="majorHAnsi" w:hAnsiTheme="majorHAnsi" w:cstheme="majorHAnsi"/>
          <w:b/>
          <w:sz w:val="20"/>
          <w:szCs w:val="20"/>
          <w:lang w:val="en-US"/>
        </w:rPr>
        <w:t>30 outputs</w:t>
      </w:r>
      <w:r w:rsidRPr="00DC5490">
        <w:rPr>
          <w:rFonts w:asciiTheme="majorHAnsi" w:hAnsiTheme="majorHAnsi" w:cstheme="majorHAnsi"/>
          <w:sz w:val="20"/>
          <w:szCs w:val="20"/>
          <w:lang w:val="en-US"/>
        </w:rPr>
        <w:t xml:space="preserve"> produced in the implementation of the basic education reforms with assistance from the BEST Program.</w:t>
      </w:r>
      <w:r w:rsidR="00D434EB">
        <w:rPr>
          <w:rFonts w:asciiTheme="majorHAnsi" w:hAnsiTheme="majorHAnsi" w:cstheme="majorHAnsi"/>
          <w:sz w:val="20"/>
          <w:szCs w:val="20"/>
          <w:lang w:val="en-US"/>
        </w:rPr>
        <w:t xml:space="preserve"> </w:t>
      </w:r>
      <w:r w:rsidRPr="00DC5490">
        <w:rPr>
          <w:rFonts w:asciiTheme="majorHAnsi" w:hAnsiTheme="majorHAnsi" w:cstheme="majorHAnsi"/>
          <w:sz w:val="20"/>
          <w:szCs w:val="20"/>
          <w:lang w:val="en-US"/>
        </w:rPr>
        <w:t xml:space="preserve">It also provides space for you to add other outputs that were not identified by the Evaluation Team but that you want to include in the list. It is expected </w:t>
      </w:r>
      <w:r w:rsidRPr="00DC5490">
        <w:rPr>
          <w:rFonts w:asciiTheme="majorHAnsi" w:hAnsiTheme="majorHAnsi" w:cstheme="majorHAnsi"/>
          <w:color w:val="000000" w:themeColor="text1"/>
          <w:sz w:val="20"/>
          <w:szCs w:val="20"/>
          <w:lang w:val="en-US"/>
        </w:rPr>
        <w:t>that the assessment will be completed in 10 to 15 minutes.</w:t>
      </w:r>
    </w:p>
    <w:p w14:paraId="4475E905" w14:textId="77777777" w:rsidR="008D0CAD" w:rsidRPr="00DC5490" w:rsidRDefault="008D0CAD" w:rsidP="00EA6CB9">
      <w:pPr>
        <w:spacing w:before="100" w:beforeAutospacing="1" w:after="100" w:afterAutospacing="1" w:line="360" w:lineRule="auto"/>
        <w:rPr>
          <w:rFonts w:asciiTheme="majorHAnsi" w:hAnsiTheme="majorHAnsi" w:cstheme="majorHAnsi"/>
          <w:sz w:val="20"/>
          <w:szCs w:val="20"/>
          <w:lang w:val="en-US"/>
        </w:rPr>
      </w:pPr>
      <w:r w:rsidRPr="00DC5490">
        <w:rPr>
          <w:rFonts w:asciiTheme="majorHAnsi" w:hAnsiTheme="majorHAnsi" w:cstheme="majorHAnsi"/>
          <w:sz w:val="20"/>
          <w:szCs w:val="20"/>
          <w:lang w:val="en-US"/>
        </w:rPr>
        <w:t>Instructions: For each of the output listed, assess your knowledge and access to the outputs and their usefulness to you as a teacher as well as the quality and inclusiveness using a 4-point scale (refer to the Table below). If you are not aware or have not used the particular output, please mark the box corresponding to 0.</w:t>
      </w:r>
    </w:p>
    <w:tbl>
      <w:tblPr>
        <w:tblStyle w:val="TableGrid8"/>
        <w:tblW w:w="0" w:type="auto"/>
        <w:tblLook w:val="04A0" w:firstRow="1" w:lastRow="0" w:firstColumn="1" w:lastColumn="0" w:noHBand="0" w:noVBand="1"/>
      </w:tblPr>
      <w:tblGrid>
        <w:gridCol w:w="1015"/>
        <w:gridCol w:w="2856"/>
        <w:gridCol w:w="2450"/>
        <w:gridCol w:w="2620"/>
      </w:tblGrid>
      <w:tr w:rsidR="008D0CAD" w:rsidRPr="00DC5490" w14:paraId="3A4BA85B" w14:textId="77777777" w:rsidTr="004B064D">
        <w:trPr>
          <w:trHeight w:val="150"/>
          <w:tblHeader/>
        </w:trPr>
        <w:tc>
          <w:tcPr>
            <w:tcW w:w="1015" w:type="dxa"/>
          </w:tcPr>
          <w:p w14:paraId="7A793BBB"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r w:rsidRPr="00DC5490">
              <w:rPr>
                <w:rFonts w:asciiTheme="majorHAnsi" w:hAnsiTheme="majorHAnsi" w:cstheme="majorHAnsi"/>
                <w:b/>
                <w:bCs/>
                <w:color w:val="000000"/>
                <w:sz w:val="16"/>
                <w:szCs w:val="16"/>
                <w:lang w:val="en-US"/>
              </w:rPr>
              <w:t>Rating</w:t>
            </w:r>
          </w:p>
        </w:tc>
        <w:tc>
          <w:tcPr>
            <w:tcW w:w="2856" w:type="dxa"/>
          </w:tcPr>
          <w:p w14:paraId="17F569C0"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r w:rsidRPr="00DC5490">
              <w:rPr>
                <w:rFonts w:asciiTheme="majorHAnsi" w:hAnsiTheme="majorHAnsi" w:cstheme="majorHAnsi"/>
                <w:b/>
                <w:bCs/>
                <w:color w:val="000000"/>
                <w:sz w:val="16"/>
                <w:szCs w:val="16"/>
                <w:lang w:val="en-US"/>
              </w:rPr>
              <w:t>Knowledge</w:t>
            </w:r>
          </w:p>
        </w:tc>
        <w:tc>
          <w:tcPr>
            <w:tcW w:w="2450" w:type="dxa"/>
          </w:tcPr>
          <w:p w14:paraId="3CE6A51F"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r w:rsidRPr="00DC5490">
              <w:rPr>
                <w:rFonts w:asciiTheme="majorHAnsi" w:hAnsiTheme="majorHAnsi" w:cstheme="majorHAnsi"/>
                <w:b/>
                <w:bCs/>
                <w:color w:val="000000"/>
                <w:sz w:val="16"/>
                <w:szCs w:val="16"/>
                <w:lang w:val="en-US"/>
              </w:rPr>
              <w:t>Access</w:t>
            </w:r>
          </w:p>
        </w:tc>
        <w:tc>
          <w:tcPr>
            <w:tcW w:w="2620" w:type="dxa"/>
          </w:tcPr>
          <w:p w14:paraId="77595CD7"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r w:rsidRPr="00DC5490">
              <w:rPr>
                <w:rFonts w:asciiTheme="majorHAnsi" w:hAnsiTheme="majorHAnsi" w:cstheme="majorHAnsi"/>
                <w:b/>
                <w:bCs/>
                <w:color w:val="000000"/>
                <w:sz w:val="16"/>
                <w:szCs w:val="16"/>
                <w:lang w:val="en-US"/>
              </w:rPr>
              <w:t>Usefulness</w:t>
            </w:r>
          </w:p>
        </w:tc>
      </w:tr>
      <w:tr w:rsidR="008D0CAD" w:rsidRPr="00DC5490" w14:paraId="6AF20A75" w14:textId="77777777" w:rsidTr="00EC48C1">
        <w:trPr>
          <w:trHeight w:val="460"/>
        </w:trPr>
        <w:tc>
          <w:tcPr>
            <w:tcW w:w="1015" w:type="dxa"/>
          </w:tcPr>
          <w:p w14:paraId="03867577"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r w:rsidRPr="00DC5490">
              <w:rPr>
                <w:rFonts w:asciiTheme="majorHAnsi" w:hAnsiTheme="majorHAnsi" w:cstheme="majorHAnsi"/>
                <w:bCs/>
                <w:color w:val="000000"/>
                <w:sz w:val="16"/>
                <w:szCs w:val="16"/>
                <w:lang w:val="en-US"/>
              </w:rPr>
              <w:t>0</w:t>
            </w:r>
          </w:p>
        </w:tc>
        <w:tc>
          <w:tcPr>
            <w:tcW w:w="2856" w:type="dxa"/>
          </w:tcPr>
          <w:p w14:paraId="585517DE"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r w:rsidRPr="00DC5490">
              <w:rPr>
                <w:rFonts w:asciiTheme="majorHAnsi" w:hAnsiTheme="majorHAnsi" w:cstheme="majorHAnsi"/>
                <w:bCs/>
                <w:color w:val="000000"/>
                <w:sz w:val="16"/>
                <w:szCs w:val="16"/>
                <w:lang w:val="en-US"/>
              </w:rPr>
              <w:t xml:space="preserve">I have </w:t>
            </w:r>
            <w:r w:rsidRPr="00DC5490">
              <w:rPr>
                <w:rFonts w:asciiTheme="majorHAnsi" w:hAnsiTheme="majorHAnsi" w:cstheme="majorHAnsi"/>
                <w:b/>
                <w:bCs/>
                <w:color w:val="000000"/>
                <w:sz w:val="16"/>
                <w:szCs w:val="16"/>
                <w:lang w:val="en-US"/>
              </w:rPr>
              <w:t>no knowledge</w:t>
            </w:r>
            <w:r w:rsidRPr="00DC5490">
              <w:rPr>
                <w:rFonts w:asciiTheme="majorHAnsi" w:hAnsiTheme="majorHAnsi" w:cstheme="majorHAnsi"/>
                <w:bCs/>
                <w:color w:val="000000"/>
                <w:sz w:val="16"/>
                <w:szCs w:val="16"/>
                <w:lang w:val="en-US"/>
              </w:rPr>
              <w:t xml:space="preserve"> about this policy/ system / tool</w:t>
            </w:r>
          </w:p>
        </w:tc>
        <w:tc>
          <w:tcPr>
            <w:tcW w:w="2450" w:type="dxa"/>
          </w:tcPr>
          <w:p w14:paraId="53817DFB"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r w:rsidRPr="00DC5490">
              <w:rPr>
                <w:rFonts w:asciiTheme="majorHAnsi" w:hAnsiTheme="majorHAnsi" w:cstheme="majorHAnsi"/>
                <w:bCs/>
                <w:color w:val="000000"/>
                <w:sz w:val="16"/>
                <w:szCs w:val="16"/>
                <w:lang w:val="en-US"/>
              </w:rPr>
              <w:t xml:space="preserve">I have </w:t>
            </w:r>
            <w:r w:rsidRPr="00DC5490">
              <w:rPr>
                <w:rFonts w:asciiTheme="majorHAnsi" w:hAnsiTheme="majorHAnsi" w:cstheme="majorHAnsi"/>
                <w:b/>
                <w:bCs/>
                <w:color w:val="000000"/>
                <w:sz w:val="16"/>
                <w:szCs w:val="16"/>
                <w:lang w:val="en-US"/>
              </w:rPr>
              <w:t>no access</w:t>
            </w:r>
            <w:r w:rsidRPr="00DC5490">
              <w:rPr>
                <w:rFonts w:asciiTheme="majorHAnsi" w:hAnsiTheme="majorHAnsi" w:cstheme="majorHAnsi"/>
                <w:bCs/>
                <w:color w:val="000000"/>
                <w:sz w:val="16"/>
                <w:szCs w:val="16"/>
                <w:lang w:val="en-US"/>
              </w:rPr>
              <w:t xml:space="preserve"> to this system / tool</w:t>
            </w:r>
          </w:p>
        </w:tc>
        <w:tc>
          <w:tcPr>
            <w:tcW w:w="2620" w:type="dxa"/>
          </w:tcPr>
          <w:p w14:paraId="29CAFA53"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r w:rsidRPr="00DC5490">
              <w:rPr>
                <w:rFonts w:asciiTheme="majorHAnsi" w:hAnsiTheme="majorHAnsi" w:cstheme="majorHAnsi"/>
                <w:bCs/>
                <w:color w:val="000000"/>
                <w:sz w:val="16"/>
                <w:szCs w:val="16"/>
                <w:lang w:val="en-US"/>
              </w:rPr>
              <w:t>I have no use for this policy/ system / tool</w:t>
            </w:r>
          </w:p>
        </w:tc>
      </w:tr>
      <w:tr w:rsidR="008D0CAD" w:rsidRPr="00DC5490" w14:paraId="03393F0D" w14:textId="77777777" w:rsidTr="00EC48C1">
        <w:trPr>
          <w:trHeight w:val="160"/>
        </w:trPr>
        <w:tc>
          <w:tcPr>
            <w:tcW w:w="1015" w:type="dxa"/>
          </w:tcPr>
          <w:p w14:paraId="62880F35"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r w:rsidRPr="00DC5490">
              <w:rPr>
                <w:rFonts w:asciiTheme="majorHAnsi" w:hAnsiTheme="majorHAnsi" w:cstheme="majorHAnsi"/>
                <w:bCs/>
                <w:color w:val="000000"/>
                <w:sz w:val="16"/>
                <w:szCs w:val="16"/>
                <w:lang w:val="en-US"/>
              </w:rPr>
              <w:t>1</w:t>
            </w:r>
          </w:p>
        </w:tc>
        <w:tc>
          <w:tcPr>
            <w:tcW w:w="2856" w:type="dxa"/>
          </w:tcPr>
          <w:p w14:paraId="18BC42E4"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r w:rsidRPr="00DC5490">
              <w:rPr>
                <w:rFonts w:asciiTheme="majorHAnsi" w:hAnsiTheme="majorHAnsi" w:cstheme="majorHAnsi"/>
                <w:bCs/>
                <w:color w:val="000000"/>
                <w:sz w:val="16"/>
                <w:szCs w:val="16"/>
                <w:lang w:val="en-US"/>
              </w:rPr>
              <w:t xml:space="preserve">I have </w:t>
            </w:r>
            <w:r w:rsidRPr="00DC5490">
              <w:rPr>
                <w:rFonts w:asciiTheme="majorHAnsi" w:hAnsiTheme="majorHAnsi" w:cstheme="majorHAnsi"/>
                <w:b/>
                <w:bCs/>
                <w:color w:val="000000"/>
                <w:sz w:val="16"/>
                <w:szCs w:val="16"/>
                <w:lang w:val="en-US"/>
              </w:rPr>
              <w:t>limited knowledge</w:t>
            </w:r>
            <w:r w:rsidRPr="00DC5490">
              <w:rPr>
                <w:rFonts w:asciiTheme="majorHAnsi" w:hAnsiTheme="majorHAnsi" w:cstheme="majorHAnsi"/>
                <w:bCs/>
                <w:color w:val="000000"/>
                <w:sz w:val="16"/>
                <w:szCs w:val="16"/>
                <w:lang w:val="en-US"/>
              </w:rPr>
              <w:t xml:space="preserve"> about this policy/ system / tool</w:t>
            </w:r>
          </w:p>
        </w:tc>
        <w:tc>
          <w:tcPr>
            <w:tcW w:w="2450" w:type="dxa"/>
          </w:tcPr>
          <w:p w14:paraId="095EE81E"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r w:rsidRPr="00DC5490">
              <w:rPr>
                <w:rFonts w:asciiTheme="majorHAnsi" w:hAnsiTheme="majorHAnsi" w:cstheme="majorHAnsi"/>
                <w:bCs/>
                <w:color w:val="000000"/>
                <w:sz w:val="16"/>
                <w:szCs w:val="16"/>
                <w:lang w:val="en-US"/>
              </w:rPr>
              <w:t xml:space="preserve">I have </w:t>
            </w:r>
            <w:r w:rsidRPr="00DC5490">
              <w:rPr>
                <w:rFonts w:asciiTheme="majorHAnsi" w:hAnsiTheme="majorHAnsi" w:cstheme="majorHAnsi"/>
                <w:b/>
                <w:bCs/>
                <w:color w:val="000000"/>
                <w:sz w:val="16"/>
                <w:szCs w:val="16"/>
                <w:lang w:val="en-US"/>
              </w:rPr>
              <w:t>limited access</w:t>
            </w:r>
            <w:r w:rsidRPr="00DC5490">
              <w:rPr>
                <w:rFonts w:asciiTheme="majorHAnsi" w:hAnsiTheme="majorHAnsi" w:cstheme="majorHAnsi"/>
                <w:bCs/>
                <w:color w:val="000000"/>
                <w:sz w:val="16"/>
                <w:szCs w:val="16"/>
                <w:lang w:val="en-US"/>
              </w:rPr>
              <w:t xml:space="preserve"> to this system / tool</w:t>
            </w:r>
          </w:p>
        </w:tc>
        <w:tc>
          <w:tcPr>
            <w:tcW w:w="2620" w:type="dxa"/>
          </w:tcPr>
          <w:p w14:paraId="18FB7EB9"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r w:rsidRPr="00DC5490">
              <w:rPr>
                <w:rFonts w:asciiTheme="majorHAnsi" w:hAnsiTheme="majorHAnsi" w:cstheme="majorHAnsi"/>
                <w:bCs/>
                <w:color w:val="000000"/>
                <w:sz w:val="16"/>
                <w:szCs w:val="16"/>
                <w:lang w:val="en-US"/>
              </w:rPr>
              <w:t xml:space="preserve">The policy/ system / tool is </w:t>
            </w:r>
            <w:r w:rsidRPr="00DC5490">
              <w:rPr>
                <w:rFonts w:asciiTheme="majorHAnsi" w:hAnsiTheme="majorHAnsi" w:cstheme="majorHAnsi"/>
                <w:b/>
                <w:bCs/>
                <w:color w:val="000000"/>
                <w:sz w:val="16"/>
                <w:szCs w:val="16"/>
                <w:lang w:val="en-US"/>
              </w:rPr>
              <w:t>not useful</w:t>
            </w:r>
            <w:r w:rsidRPr="00DC5490">
              <w:rPr>
                <w:rFonts w:asciiTheme="majorHAnsi" w:hAnsiTheme="majorHAnsi" w:cstheme="majorHAnsi"/>
                <w:bCs/>
                <w:color w:val="000000"/>
                <w:sz w:val="16"/>
                <w:szCs w:val="16"/>
                <w:lang w:val="en-US"/>
              </w:rPr>
              <w:t xml:space="preserve"> in enhancing my performance in the classroom</w:t>
            </w:r>
          </w:p>
        </w:tc>
      </w:tr>
      <w:tr w:rsidR="008D0CAD" w:rsidRPr="00DC5490" w14:paraId="24D48104" w14:textId="77777777" w:rsidTr="00EC48C1">
        <w:trPr>
          <w:trHeight w:val="418"/>
        </w:trPr>
        <w:tc>
          <w:tcPr>
            <w:tcW w:w="1015" w:type="dxa"/>
          </w:tcPr>
          <w:p w14:paraId="46347FE8"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r w:rsidRPr="00DC5490">
              <w:rPr>
                <w:rFonts w:asciiTheme="majorHAnsi" w:hAnsiTheme="majorHAnsi" w:cstheme="majorHAnsi"/>
                <w:bCs/>
                <w:color w:val="000000"/>
                <w:sz w:val="16"/>
                <w:szCs w:val="16"/>
                <w:lang w:val="en-US"/>
              </w:rPr>
              <w:t>2</w:t>
            </w:r>
          </w:p>
        </w:tc>
        <w:tc>
          <w:tcPr>
            <w:tcW w:w="2856" w:type="dxa"/>
          </w:tcPr>
          <w:p w14:paraId="671BCB3C"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r w:rsidRPr="00DC5490">
              <w:rPr>
                <w:rFonts w:asciiTheme="majorHAnsi" w:hAnsiTheme="majorHAnsi" w:cstheme="majorHAnsi"/>
                <w:bCs/>
                <w:color w:val="000000"/>
                <w:sz w:val="16"/>
                <w:szCs w:val="16"/>
                <w:lang w:val="en-US"/>
              </w:rPr>
              <w:t xml:space="preserve">I have </w:t>
            </w:r>
            <w:r w:rsidRPr="00DC5490">
              <w:rPr>
                <w:rFonts w:asciiTheme="majorHAnsi" w:hAnsiTheme="majorHAnsi" w:cstheme="majorHAnsi"/>
                <w:b/>
                <w:bCs/>
                <w:color w:val="000000"/>
                <w:sz w:val="16"/>
                <w:szCs w:val="16"/>
                <w:lang w:val="en-US"/>
              </w:rPr>
              <w:t>sufficient knowledge</w:t>
            </w:r>
            <w:r w:rsidRPr="00DC5490">
              <w:rPr>
                <w:rFonts w:asciiTheme="majorHAnsi" w:hAnsiTheme="majorHAnsi" w:cstheme="majorHAnsi"/>
                <w:bCs/>
                <w:color w:val="000000"/>
                <w:sz w:val="16"/>
                <w:szCs w:val="16"/>
                <w:lang w:val="en-US"/>
              </w:rPr>
              <w:t xml:space="preserve"> about this policy/ system / tool, but cannot explain it to others</w:t>
            </w:r>
          </w:p>
        </w:tc>
        <w:tc>
          <w:tcPr>
            <w:tcW w:w="2450" w:type="dxa"/>
          </w:tcPr>
          <w:p w14:paraId="3050B97B"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r w:rsidRPr="00DC5490">
              <w:rPr>
                <w:rFonts w:asciiTheme="majorHAnsi" w:hAnsiTheme="majorHAnsi" w:cstheme="majorHAnsi"/>
                <w:bCs/>
                <w:color w:val="000000"/>
                <w:sz w:val="16"/>
                <w:szCs w:val="16"/>
                <w:lang w:val="en-US"/>
              </w:rPr>
              <w:t xml:space="preserve">I have </w:t>
            </w:r>
            <w:r w:rsidRPr="00DC5490">
              <w:rPr>
                <w:rFonts w:asciiTheme="majorHAnsi" w:hAnsiTheme="majorHAnsi" w:cstheme="majorHAnsi"/>
                <w:b/>
                <w:bCs/>
                <w:color w:val="000000"/>
                <w:sz w:val="16"/>
                <w:szCs w:val="16"/>
                <w:lang w:val="en-US"/>
              </w:rPr>
              <w:t>sufficient access</w:t>
            </w:r>
            <w:r w:rsidRPr="00DC5490">
              <w:rPr>
                <w:rFonts w:asciiTheme="majorHAnsi" w:hAnsiTheme="majorHAnsi" w:cstheme="majorHAnsi"/>
                <w:bCs/>
                <w:color w:val="000000"/>
                <w:sz w:val="16"/>
                <w:szCs w:val="16"/>
                <w:lang w:val="en-US"/>
              </w:rPr>
              <w:t xml:space="preserve"> to this system / tool</w:t>
            </w:r>
          </w:p>
        </w:tc>
        <w:tc>
          <w:tcPr>
            <w:tcW w:w="2620" w:type="dxa"/>
          </w:tcPr>
          <w:p w14:paraId="23E860C1"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r w:rsidRPr="00DC5490">
              <w:rPr>
                <w:rFonts w:asciiTheme="majorHAnsi" w:hAnsiTheme="majorHAnsi" w:cstheme="majorHAnsi"/>
                <w:bCs/>
                <w:color w:val="000000"/>
                <w:sz w:val="16"/>
                <w:szCs w:val="16"/>
                <w:lang w:val="en-US"/>
              </w:rPr>
              <w:t xml:space="preserve">The policy/ system / tool is </w:t>
            </w:r>
            <w:r w:rsidRPr="00DC5490">
              <w:rPr>
                <w:rFonts w:asciiTheme="majorHAnsi" w:hAnsiTheme="majorHAnsi" w:cstheme="majorHAnsi"/>
                <w:b/>
                <w:bCs/>
                <w:color w:val="000000"/>
                <w:sz w:val="16"/>
                <w:szCs w:val="16"/>
                <w:lang w:val="en-US"/>
              </w:rPr>
              <w:t>somewhat useful</w:t>
            </w:r>
            <w:r w:rsidRPr="00DC5490">
              <w:rPr>
                <w:rFonts w:asciiTheme="majorHAnsi" w:hAnsiTheme="majorHAnsi" w:cstheme="majorHAnsi"/>
                <w:bCs/>
                <w:color w:val="000000"/>
                <w:sz w:val="16"/>
                <w:szCs w:val="16"/>
                <w:lang w:val="en-US"/>
              </w:rPr>
              <w:t xml:space="preserve"> in enhancing my performance in the classroom</w:t>
            </w:r>
          </w:p>
        </w:tc>
      </w:tr>
      <w:tr w:rsidR="008D0CAD" w:rsidRPr="00DC5490" w14:paraId="7304CEE3" w14:textId="77777777" w:rsidTr="00EC48C1">
        <w:trPr>
          <w:trHeight w:val="96"/>
        </w:trPr>
        <w:tc>
          <w:tcPr>
            <w:tcW w:w="1015" w:type="dxa"/>
          </w:tcPr>
          <w:p w14:paraId="07663313"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r w:rsidRPr="00DC5490">
              <w:rPr>
                <w:rFonts w:asciiTheme="majorHAnsi" w:hAnsiTheme="majorHAnsi" w:cstheme="majorHAnsi"/>
                <w:bCs/>
                <w:color w:val="000000"/>
                <w:sz w:val="16"/>
                <w:szCs w:val="16"/>
                <w:lang w:val="en-US"/>
              </w:rPr>
              <w:t>3</w:t>
            </w:r>
          </w:p>
        </w:tc>
        <w:tc>
          <w:tcPr>
            <w:tcW w:w="2856" w:type="dxa"/>
          </w:tcPr>
          <w:p w14:paraId="76C2115A"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r w:rsidRPr="00DC5490">
              <w:rPr>
                <w:rFonts w:asciiTheme="majorHAnsi" w:hAnsiTheme="majorHAnsi" w:cstheme="majorHAnsi"/>
                <w:bCs/>
                <w:color w:val="000000"/>
                <w:sz w:val="16"/>
                <w:szCs w:val="16"/>
                <w:lang w:val="en-US"/>
              </w:rPr>
              <w:t xml:space="preserve">I have </w:t>
            </w:r>
            <w:r w:rsidRPr="00DC5490">
              <w:rPr>
                <w:rFonts w:asciiTheme="majorHAnsi" w:hAnsiTheme="majorHAnsi" w:cstheme="majorHAnsi"/>
                <w:b/>
                <w:bCs/>
                <w:color w:val="000000"/>
                <w:sz w:val="16"/>
                <w:szCs w:val="16"/>
                <w:lang w:val="en-US"/>
              </w:rPr>
              <w:t>sufficient knowledge</w:t>
            </w:r>
            <w:r w:rsidRPr="00DC5490">
              <w:rPr>
                <w:rFonts w:asciiTheme="majorHAnsi" w:hAnsiTheme="majorHAnsi" w:cstheme="majorHAnsi"/>
                <w:bCs/>
                <w:color w:val="000000"/>
                <w:sz w:val="16"/>
                <w:szCs w:val="16"/>
                <w:lang w:val="en-US"/>
              </w:rPr>
              <w:t xml:space="preserve"> about this policy/ system / tool and can use it for my own purposes</w:t>
            </w:r>
          </w:p>
        </w:tc>
        <w:tc>
          <w:tcPr>
            <w:tcW w:w="2450" w:type="dxa"/>
          </w:tcPr>
          <w:p w14:paraId="0E20A568"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r w:rsidRPr="00DC5490">
              <w:rPr>
                <w:rFonts w:asciiTheme="majorHAnsi" w:hAnsiTheme="majorHAnsi" w:cstheme="majorHAnsi"/>
                <w:bCs/>
                <w:color w:val="000000"/>
                <w:sz w:val="16"/>
                <w:szCs w:val="16"/>
                <w:lang w:val="en-US"/>
              </w:rPr>
              <w:t xml:space="preserve">I have </w:t>
            </w:r>
            <w:r w:rsidRPr="00DC5490">
              <w:rPr>
                <w:rFonts w:asciiTheme="majorHAnsi" w:hAnsiTheme="majorHAnsi" w:cstheme="majorHAnsi"/>
                <w:b/>
                <w:bCs/>
                <w:color w:val="000000"/>
                <w:sz w:val="16"/>
                <w:szCs w:val="16"/>
                <w:lang w:val="en-US"/>
              </w:rPr>
              <w:t>full access</w:t>
            </w:r>
            <w:r w:rsidRPr="00DC5490">
              <w:rPr>
                <w:rFonts w:asciiTheme="majorHAnsi" w:hAnsiTheme="majorHAnsi" w:cstheme="majorHAnsi"/>
                <w:bCs/>
                <w:color w:val="000000"/>
                <w:sz w:val="16"/>
                <w:szCs w:val="16"/>
                <w:lang w:val="en-US"/>
              </w:rPr>
              <w:t xml:space="preserve"> to this system / tool but not all teachers in our school do</w:t>
            </w:r>
          </w:p>
        </w:tc>
        <w:tc>
          <w:tcPr>
            <w:tcW w:w="2620" w:type="dxa"/>
          </w:tcPr>
          <w:p w14:paraId="15763610"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r w:rsidRPr="00DC5490">
              <w:rPr>
                <w:rFonts w:asciiTheme="majorHAnsi" w:hAnsiTheme="majorHAnsi" w:cstheme="majorHAnsi"/>
                <w:bCs/>
                <w:color w:val="000000"/>
                <w:sz w:val="16"/>
                <w:szCs w:val="16"/>
                <w:lang w:val="en-US"/>
              </w:rPr>
              <w:t xml:space="preserve">The policy/ system / tool is </w:t>
            </w:r>
            <w:r w:rsidRPr="00DC5490">
              <w:rPr>
                <w:rFonts w:asciiTheme="majorHAnsi" w:hAnsiTheme="majorHAnsi" w:cstheme="majorHAnsi"/>
                <w:b/>
                <w:bCs/>
                <w:color w:val="000000"/>
                <w:sz w:val="16"/>
                <w:szCs w:val="16"/>
                <w:lang w:val="en-US"/>
              </w:rPr>
              <w:t>sufficiently useful</w:t>
            </w:r>
            <w:r w:rsidRPr="00DC5490">
              <w:rPr>
                <w:rFonts w:asciiTheme="majorHAnsi" w:hAnsiTheme="majorHAnsi" w:cstheme="majorHAnsi"/>
                <w:bCs/>
                <w:color w:val="000000"/>
                <w:sz w:val="16"/>
                <w:szCs w:val="16"/>
                <w:lang w:val="en-US"/>
              </w:rPr>
              <w:t xml:space="preserve"> in enhancing my performance in the classroom</w:t>
            </w:r>
          </w:p>
        </w:tc>
      </w:tr>
      <w:tr w:rsidR="008D0CAD" w:rsidRPr="00DC5490" w14:paraId="46C0B73F" w14:textId="77777777" w:rsidTr="00EC48C1">
        <w:trPr>
          <w:trHeight w:val="96"/>
        </w:trPr>
        <w:tc>
          <w:tcPr>
            <w:tcW w:w="1015" w:type="dxa"/>
          </w:tcPr>
          <w:p w14:paraId="1A81DAD2"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r w:rsidRPr="00DC5490">
              <w:rPr>
                <w:rFonts w:asciiTheme="majorHAnsi" w:hAnsiTheme="majorHAnsi" w:cstheme="majorHAnsi"/>
                <w:bCs/>
                <w:color w:val="000000"/>
                <w:sz w:val="16"/>
                <w:szCs w:val="16"/>
                <w:lang w:val="en-US"/>
              </w:rPr>
              <w:t>4</w:t>
            </w:r>
          </w:p>
        </w:tc>
        <w:tc>
          <w:tcPr>
            <w:tcW w:w="2856" w:type="dxa"/>
          </w:tcPr>
          <w:p w14:paraId="02B4639D"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r w:rsidRPr="00DC5490">
              <w:rPr>
                <w:rFonts w:asciiTheme="majorHAnsi" w:hAnsiTheme="majorHAnsi" w:cstheme="majorHAnsi"/>
                <w:bCs/>
                <w:color w:val="000000"/>
                <w:sz w:val="16"/>
                <w:szCs w:val="16"/>
                <w:lang w:val="en-US"/>
              </w:rPr>
              <w:t xml:space="preserve">I have </w:t>
            </w:r>
            <w:r w:rsidRPr="00DC5490">
              <w:rPr>
                <w:rFonts w:asciiTheme="majorHAnsi" w:hAnsiTheme="majorHAnsi" w:cstheme="majorHAnsi"/>
                <w:b/>
                <w:bCs/>
                <w:color w:val="000000"/>
                <w:sz w:val="16"/>
                <w:szCs w:val="16"/>
                <w:lang w:val="en-US"/>
              </w:rPr>
              <w:t>comprehensive knowledge</w:t>
            </w:r>
            <w:r w:rsidRPr="00DC5490">
              <w:rPr>
                <w:rFonts w:asciiTheme="majorHAnsi" w:hAnsiTheme="majorHAnsi" w:cstheme="majorHAnsi"/>
                <w:bCs/>
                <w:color w:val="000000"/>
                <w:sz w:val="16"/>
                <w:szCs w:val="16"/>
                <w:lang w:val="en-US"/>
              </w:rPr>
              <w:t xml:space="preserve"> about this policy/ system / tool and can instruct others on its applications/implications</w:t>
            </w:r>
          </w:p>
        </w:tc>
        <w:tc>
          <w:tcPr>
            <w:tcW w:w="2450" w:type="dxa"/>
          </w:tcPr>
          <w:p w14:paraId="5D5E2FC9"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r w:rsidRPr="00DC5490">
              <w:rPr>
                <w:rFonts w:asciiTheme="majorHAnsi" w:hAnsiTheme="majorHAnsi" w:cstheme="majorHAnsi"/>
                <w:bCs/>
                <w:color w:val="000000"/>
                <w:sz w:val="16"/>
                <w:szCs w:val="16"/>
                <w:lang w:val="en-US"/>
              </w:rPr>
              <w:t xml:space="preserve">I and all teachers in my school have </w:t>
            </w:r>
            <w:r w:rsidRPr="00DC5490">
              <w:rPr>
                <w:rFonts w:asciiTheme="majorHAnsi" w:hAnsiTheme="majorHAnsi" w:cstheme="majorHAnsi"/>
                <w:b/>
                <w:bCs/>
                <w:color w:val="000000"/>
                <w:sz w:val="16"/>
                <w:szCs w:val="16"/>
                <w:lang w:val="en-US"/>
              </w:rPr>
              <w:t>full access</w:t>
            </w:r>
            <w:r w:rsidRPr="00DC5490">
              <w:rPr>
                <w:rFonts w:asciiTheme="majorHAnsi" w:hAnsiTheme="majorHAnsi" w:cstheme="majorHAnsi"/>
                <w:bCs/>
                <w:color w:val="000000"/>
                <w:sz w:val="16"/>
                <w:szCs w:val="16"/>
                <w:lang w:val="en-US"/>
              </w:rPr>
              <w:t xml:space="preserve"> to this system / tool</w:t>
            </w:r>
          </w:p>
        </w:tc>
        <w:tc>
          <w:tcPr>
            <w:tcW w:w="2620" w:type="dxa"/>
          </w:tcPr>
          <w:p w14:paraId="015C233E"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r w:rsidRPr="00DC5490">
              <w:rPr>
                <w:rFonts w:asciiTheme="majorHAnsi" w:hAnsiTheme="majorHAnsi" w:cstheme="majorHAnsi"/>
                <w:bCs/>
                <w:color w:val="000000"/>
                <w:sz w:val="16"/>
                <w:szCs w:val="16"/>
                <w:lang w:val="en-US"/>
              </w:rPr>
              <w:t xml:space="preserve">The policy/ system / tool is </w:t>
            </w:r>
            <w:r w:rsidRPr="00DC5490">
              <w:rPr>
                <w:rFonts w:asciiTheme="majorHAnsi" w:hAnsiTheme="majorHAnsi" w:cstheme="majorHAnsi"/>
                <w:b/>
                <w:bCs/>
                <w:color w:val="000000"/>
                <w:sz w:val="16"/>
                <w:szCs w:val="16"/>
                <w:lang w:val="en-US"/>
              </w:rPr>
              <w:t>extremely useful</w:t>
            </w:r>
            <w:r w:rsidRPr="00DC5490">
              <w:rPr>
                <w:rFonts w:asciiTheme="majorHAnsi" w:hAnsiTheme="majorHAnsi" w:cstheme="majorHAnsi"/>
                <w:bCs/>
                <w:color w:val="000000"/>
                <w:sz w:val="16"/>
                <w:szCs w:val="16"/>
                <w:lang w:val="en-US"/>
              </w:rPr>
              <w:t xml:space="preserve"> in enhancing my performance in the classroom</w:t>
            </w:r>
          </w:p>
        </w:tc>
      </w:tr>
    </w:tbl>
    <w:p w14:paraId="20041E0F" w14:textId="2D815BA4" w:rsidR="008D0CAD" w:rsidRPr="00DC5490" w:rsidRDefault="008D0CAD" w:rsidP="00EA6CB9">
      <w:pPr>
        <w:widowControl w:val="0"/>
        <w:spacing w:before="100" w:beforeAutospacing="1" w:after="100" w:afterAutospacing="1" w:line="360" w:lineRule="auto"/>
        <w:rPr>
          <w:rFonts w:asciiTheme="majorHAnsi" w:hAnsiTheme="majorHAnsi" w:cstheme="majorHAnsi"/>
          <w:bCs/>
          <w:color w:val="000000"/>
          <w:sz w:val="20"/>
          <w:szCs w:val="20"/>
          <w:lang w:val="en-US"/>
        </w:rPr>
      </w:pPr>
      <w:r w:rsidRPr="00DC5490">
        <w:rPr>
          <w:rFonts w:asciiTheme="majorHAnsi" w:hAnsiTheme="majorHAnsi" w:cstheme="majorHAnsi"/>
          <w:bCs/>
          <w:color w:val="000000"/>
          <w:sz w:val="20"/>
          <w:szCs w:val="20"/>
          <w:lang w:val="en-US"/>
        </w:rPr>
        <w:t>Please assess the 26 Systems, Tools and Resources (facilitated or enhanced with BEST Program assistance) listed below in terms of your knowledge of and access to them, their usefulness to you as a teacher as well as the quality and inclusiveness (i.e. appropriateness to gender, disability, groups), based on a 4-point scale as shown in the rubrics above.</w:t>
      </w:r>
      <w:r w:rsidR="00D434EB">
        <w:rPr>
          <w:rFonts w:asciiTheme="majorHAnsi" w:hAnsiTheme="majorHAnsi" w:cstheme="majorHAnsi"/>
          <w:bCs/>
          <w:color w:val="000000"/>
          <w:sz w:val="20"/>
          <w:szCs w:val="20"/>
          <w:lang w:val="en-US"/>
        </w:rPr>
        <w:t xml:space="preserve"> </w:t>
      </w:r>
      <w:r w:rsidRPr="00DC5490">
        <w:rPr>
          <w:rFonts w:asciiTheme="majorHAnsi" w:hAnsiTheme="majorHAnsi" w:cstheme="majorHAnsi"/>
          <w:bCs/>
          <w:color w:val="000000"/>
          <w:sz w:val="20"/>
          <w:szCs w:val="20"/>
          <w:lang w:val="en-US"/>
        </w:rPr>
        <w:t>For each system/tool, write a number (0 to 4) corresponding to your answer in the appropriate box for Knowledge, Access, and Usefulness.</w:t>
      </w:r>
    </w:p>
    <w:tbl>
      <w:tblPr>
        <w:tblStyle w:val="TableGrid8"/>
        <w:tblW w:w="9205" w:type="dxa"/>
        <w:tblLayout w:type="fixed"/>
        <w:tblLook w:val="04A0" w:firstRow="1" w:lastRow="0" w:firstColumn="1" w:lastColumn="0" w:noHBand="0" w:noVBand="1"/>
      </w:tblPr>
      <w:tblGrid>
        <w:gridCol w:w="5123"/>
        <w:gridCol w:w="910"/>
        <w:gridCol w:w="1228"/>
        <w:gridCol w:w="1023"/>
        <w:gridCol w:w="921"/>
      </w:tblGrid>
      <w:tr w:rsidR="008D0CAD" w:rsidRPr="00DC5490" w14:paraId="5D3E5EFD" w14:textId="77777777" w:rsidTr="004B064D">
        <w:trPr>
          <w:trHeight w:val="215"/>
          <w:tblHeader/>
        </w:trPr>
        <w:tc>
          <w:tcPr>
            <w:tcW w:w="5123" w:type="dxa"/>
          </w:tcPr>
          <w:p w14:paraId="5901F6E5"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10" w:type="dxa"/>
          </w:tcPr>
          <w:p w14:paraId="3B699A0A"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r w:rsidRPr="00DC5490">
              <w:rPr>
                <w:rFonts w:asciiTheme="majorHAnsi" w:hAnsiTheme="majorHAnsi" w:cstheme="majorHAnsi"/>
                <w:b/>
                <w:bCs/>
                <w:color w:val="000000"/>
                <w:sz w:val="16"/>
                <w:szCs w:val="16"/>
                <w:lang w:val="en-US"/>
              </w:rPr>
              <w:t>Not applica-ble</w:t>
            </w:r>
          </w:p>
        </w:tc>
        <w:tc>
          <w:tcPr>
            <w:tcW w:w="1228" w:type="dxa"/>
          </w:tcPr>
          <w:p w14:paraId="5D474C38"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r w:rsidRPr="00DC5490">
              <w:rPr>
                <w:rFonts w:asciiTheme="majorHAnsi" w:hAnsiTheme="majorHAnsi" w:cstheme="majorHAnsi"/>
                <w:b/>
                <w:bCs/>
                <w:color w:val="000000"/>
                <w:sz w:val="16"/>
                <w:szCs w:val="16"/>
                <w:lang w:val="en-US"/>
              </w:rPr>
              <w:t>Knowledge</w:t>
            </w:r>
          </w:p>
        </w:tc>
        <w:tc>
          <w:tcPr>
            <w:tcW w:w="1023" w:type="dxa"/>
          </w:tcPr>
          <w:p w14:paraId="1343F157"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r w:rsidRPr="00DC5490">
              <w:rPr>
                <w:rFonts w:asciiTheme="majorHAnsi" w:hAnsiTheme="majorHAnsi" w:cstheme="majorHAnsi"/>
                <w:b/>
                <w:bCs/>
                <w:color w:val="000000"/>
                <w:sz w:val="16"/>
                <w:szCs w:val="16"/>
                <w:lang w:val="en-US"/>
              </w:rPr>
              <w:t>Access</w:t>
            </w:r>
          </w:p>
        </w:tc>
        <w:tc>
          <w:tcPr>
            <w:tcW w:w="921" w:type="dxa"/>
          </w:tcPr>
          <w:p w14:paraId="308E46C9"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r w:rsidRPr="00DC5490">
              <w:rPr>
                <w:rFonts w:asciiTheme="majorHAnsi" w:hAnsiTheme="majorHAnsi" w:cstheme="majorHAnsi"/>
                <w:b/>
                <w:bCs/>
                <w:color w:val="000000"/>
                <w:sz w:val="16"/>
                <w:szCs w:val="16"/>
                <w:lang w:val="en-US"/>
              </w:rPr>
              <w:t>Useful-ness</w:t>
            </w:r>
          </w:p>
        </w:tc>
      </w:tr>
      <w:tr w:rsidR="008D0CAD" w:rsidRPr="00DC5490" w14:paraId="2D8D6D67" w14:textId="77777777" w:rsidTr="00EC48C1">
        <w:trPr>
          <w:trHeight w:val="215"/>
        </w:trPr>
        <w:tc>
          <w:tcPr>
            <w:tcW w:w="5123" w:type="dxa"/>
          </w:tcPr>
          <w:p w14:paraId="3CCF052C"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r w:rsidRPr="00DC5490">
              <w:rPr>
                <w:rFonts w:asciiTheme="majorHAnsi" w:hAnsiTheme="majorHAnsi" w:cstheme="majorHAnsi"/>
                <w:b/>
                <w:sz w:val="16"/>
                <w:szCs w:val="16"/>
                <w:lang w:val="en-US"/>
              </w:rPr>
              <w:t xml:space="preserve">Learning and Development (L&amp;D) System </w:t>
            </w:r>
            <w:r w:rsidRPr="00DC5490">
              <w:rPr>
                <w:rFonts w:asciiTheme="majorHAnsi" w:hAnsiTheme="majorHAnsi" w:cstheme="majorHAnsi"/>
                <w:sz w:val="16"/>
                <w:szCs w:val="16"/>
                <w:lang w:val="en-US"/>
              </w:rPr>
              <w:t>(inclusive of various professional development programs and the modalities through which they are delivered, LAC, INSET, coaching, mentoring, job-embedded training, etc.)</w:t>
            </w:r>
          </w:p>
        </w:tc>
        <w:tc>
          <w:tcPr>
            <w:tcW w:w="910" w:type="dxa"/>
          </w:tcPr>
          <w:p w14:paraId="6D064D16"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228" w:type="dxa"/>
          </w:tcPr>
          <w:p w14:paraId="25C8389C"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023" w:type="dxa"/>
          </w:tcPr>
          <w:p w14:paraId="0D3076A4"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21" w:type="dxa"/>
          </w:tcPr>
          <w:p w14:paraId="17442D60"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1AC28405" w14:textId="77777777" w:rsidTr="00EC48C1">
        <w:trPr>
          <w:trHeight w:val="215"/>
        </w:trPr>
        <w:tc>
          <w:tcPr>
            <w:tcW w:w="5123" w:type="dxa"/>
          </w:tcPr>
          <w:p w14:paraId="25AAE4BB" w14:textId="77777777" w:rsidR="008D0CAD" w:rsidRPr="00DC5490" w:rsidRDefault="008D0CAD" w:rsidP="00DD08E3">
            <w:pPr>
              <w:widowControl w:val="0"/>
              <w:numPr>
                <w:ilvl w:val="3"/>
                <w:numId w:val="88"/>
              </w:numPr>
              <w:spacing w:before="100" w:beforeAutospacing="1" w:after="100" w:afterAutospacing="1" w:line="360" w:lineRule="auto"/>
              <w:ind w:left="336" w:hanging="336"/>
              <w:contextualSpacing/>
              <w:rPr>
                <w:rFonts w:asciiTheme="majorHAnsi" w:hAnsiTheme="majorHAnsi" w:cstheme="majorHAnsi"/>
                <w:bCs/>
                <w:snapToGrid w:val="0"/>
                <w:color w:val="000000"/>
                <w:sz w:val="16"/>
                <w:szCs w:val="16"/>
                <w:lang w:val="en-US"/>
              </w:rPr>
            </w:pPr>
            <w:r w:rsidRPr="00DC5490">
              <w:rPr>
                <w:rFonts w:asciiTheme="majorHAnsi" w:hAnsiTheme="majorHAnsi" w:cstheme="majorHAnsi"/>
                <w:bCs/>
                <w:snapToGrid w:val="0"/>
                <w:color w:val="000000"/>
                <w:sz w:val="16"/>
                <w:szCs w:val="16"/>
                <w:lang w:val="en-US"/>
              </w:rPr>
              <w:t>Learning Action Cell (LAC) Toolkit</w:t>
            </w:r>
          </w:p>
        </w:tc>
        <w:tc>
          <w:tcPr>
            <w:tcW w:w="910" w:type="dxa"/>
          </w:tcPr>
          <w:p w14:paraId="2815AB62"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228" w:type="dxa"/>
          </w:tcPr>
          <w:p w14:paraId="625C9316"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023" w:type="dxa"/>
          </w:tcPr>
          <w:p w14:paraId="14838D95"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r w:rsidRPr="00DC5490">
              <w:rPr>
                <w:rFonts w:asciiTheme="majorHAnsi" w:hAnsiTheme="majorHAnsi" w:cstheme="majorHAnsi"/>
                <w:bCs/>
                <w:color w:val="000000"/>
                <w:sz w:val="16"/>
                <w:szCs w:val="16"/>
                <w:lang w:val="en-US"/>
              </w:rPr>
              <w:t xml:space="preserve"> </w:t>
            </w:r>
          </w:p>
        </w:tc>
        <w:tc>
          <w:tcPr>
            <w:tcW w:w="921" w:type="dxa"/>
          </w:tcPr>
          <w:p w14:paraId="15DB57C3"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r w:rsidRPr="00DC5490">
              <w:rPr>
                <w:rFonts w:asciiTheme="majorHAnsi" w:hAnsiTheme="majorHAnsi" w:cstheme="majorHAnsi"/>
                <w:bCs/>
                <w:color w:val="000000"/>
                <w:sz w:val="16"/>
                <w:szCs w:val="16"/>
                <w:lang w:val="en-US"/>
              </w:rPr>
              <w:t xml:space="preserve"> </w:t>
            </w:r>
          </w:p>
        </w:tc>
      </w:tr>
      <w:tr w:rsidR="008D0CAD" w:rsidRPr="00DC5490" w14:paraId="0848085D" w14:textId="77777777" w:rsidTr="00EC48C1">
        <w:trPr>
          <w:trHeight w:val="215"/>
        </w:trPr>
        <w:tc>
          <w:tcPr>
            <w:tcW w:w="5123" w:type="dxa"/>
          </w:tcPr>
          <w:p w14:paraId="334F85CA" w14:textId="77777777" w:rsidR="008D0CAD" w:rsidRPr="00DC5490" w:rsidRDefault="008D0CAD" w:rsidP="00DD08E3">
            <w:pPr>
              <w:numPr>
                <w:ilvl w:val="0"/>
                <w:numId w:val="88"/>
              </w:numPr>
              <w:spacing w:before="100" w:beforeAutospacing="1" w:after="100" w:afterAutospacing="1" w:line="360" w:lineRule="auto"/>
              <w:contextualSpacing/>
              <w:rPr>
                <w:rFonts w:asciiTheme="majorHAnsi" w:hAnsiTheme="majorHAnsi" w:cstheme="majorHAnsi"/>
                <w:bCs/>
                <w:snapToGrid w:val="0"/>
                <w:color w:val="000000"/>
                <w:sz w:val="16"/>
                <w:szCs w:val="16"/>
                <w:lang w:val="en-US"/>
              </w:rPr>
            </w:pPr>
            <w:r w:rsidRPr="00DC5490">
              <w:rPr>
                <w:rFonts w:asciiTheme="majorHAnsi" w:hAnsiTheme="majorHAnsi" w:cstheme="majorHAnsi"/>
                <w:bCs/>
                <w:snapToGrid w:val="0"/>
                <w:color w:val="000000"/>
                <w:sz w:val="16"/>
                <w:szCs w:val="16"/>
                <w:lang w:val="en-US"/>
              </w:rPr>
              <w:t>ICT Learning Action Cell (ICT LAC) Resource Materials</w:t>
            </w:r>
          </w:p>
        </w:tc>
        <w:tc>
          <w:tcPr>
            <w:tcW w:w="910" w:type="dxa"/>
          </w:tcPr>
          <w:p w14:paraId="0CCC6549"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228" w:type="dxa"/>
          </w:tcPr>
          <w:p w14:paraId="18565F43"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023" w:type="dxa"/>
          </w:tcPr>
          <w:p w14:paraId="44915A97"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21" w:type="dxa"/>
          </w:tcPr>
          <w:p w14:paraId="174D371D"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30958A44" w14:textId="77777777" w:rsidTr="00EC48C1">
        <w:trPr>
          <w:trHeight w:val="215"/>
        </w:trPr>
        <w:tc>
          <w:tcPr>
            <w:tcW w:w="5123" w:type="dxa"/>
          </w:tcPr>
          <w:p w14:paraId="4E758D6F" w14:textId="77777777" w:rsidR="008D0CAD" w:rsidRPr="00DC5490" w:rsidRDefault="008D0CAD" w:rsidP="00DD08E3">
            <w:pPr>
              <w:numPr>
                <w:ilvl w:val="0"/>
                <w:numId w:val="88"/>
              </w:numPr>
              <w:spacing w:before="100" w:beforeAutospacing="1" w:after="100" w:afterAutospacing="1" w:line="360" w:lineRule="auto"/>
              <w:contextualSpacing/>
              <w:rPr>
                <w:rFonts w:asciiTheme="majorHAnsi" w:hAnsiTheme="majorHAnsi" w:cstheme="majorHAnsi"/>
                <w:bCs/>
                <w:snapToGrid w:val="0"/>
                <w:color w:val="000000"/>
                <w:sz w:val="16"/>
                <w:szCs w:val="16"/>
                <w:lang w:val="en-US"/>
              </w:rPr>
            </w:pPr>
            <w:r w:rsidRPr="00DC5490">
              <w:rPr>
                <w:rFonts w:asciiTheme="majorHAnsi" w:hAnsiTheme="majorHAnsi" w:cstheme="majorHAnsi"/>
                <w:bCs/>
                <w:snapToGrid w:val="0"/>
                <w:color w:val="000000"/>
                <w:sz w:val="16"/>
                <w:szCs w:val="16"/>
                <w:lang w:val="en-US"/>
              </w:rPr>
              <w:t>Pedagogical Retooling in Mathematics, Languages and Sciences (PRIMALS) Trainers resource packages and LAC session guides</w:t>
            </w:r>
          </w:p>
        </w:tc>
        <w:tc>
          <w:tcPr>
            <w:tcW w:w="910" w:type="dxa"/>
          </w:tcPr>
          <w:p w14:paraId="0EBFB744"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228" w:type="dxa"/>
          </w:tcPr>
          <w:p w14:paraId="6BE65A4E"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023" w:type="dxa"/>
          </w:tcPr>
          <w:p w14:paraId="7F2361C9"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21" w:type="dxa"/>
          </w:tcPr>
          <w:p w14:paraId="0B6B5B2D"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0C39F085" w14:textId="77777777" w:rsidTr="00EC48C1">
        <w:trPr>
          <w:trHeight w:val="215"/>
        </w:trPr>
        <w:tc>
          <w:tcPr>
            <w:tcW w:w="5123" w:type="dxa"/>
          </w:tcPr>
          <w:p w14:paraId="73E62007" w14:textId="77777777" w:rsidR="008D0CAD" w:rsidRPr="00DC5490" w:rsidRDefault="008D0CAD" w:rsidP="00DD08E3">
            <w:pPr>
              <w:numPr>
                <w:ilvl w:val="0"/>
                <w:numId w:val="88"/>
              </w:numPr>
              <w:spacing w:before="100" w:beforeAutospacing="1" w:after="100" w:afterAutospacing="1" w:line="360" w:lineRule="auto"/>
              <w:contextualSpacing/>
              <w:rPr>
                <w:rFonts w:asciiTheme="majorHAnsi" w:hAnsiTheme="majorHAnsi" w:cstheme="majorHAnsi"/>
                <w:bCs/>
                <w:snapToGrid w:val="0"/>
                <w:color w:val="000000"/>
                <w:sz w:val="16"/>
                <w:szCs w:val="16"/>
                <w:lang w:val="en-US"/>
              </w:rPr>
            </w:pPr>
            <w:r w:rsidRPr="00DC5490">
              <w:rPr>
                <w:rFonts w:asciiTheme="majorHAnsi" w:hAnsiTheme="majorHAnsi" w:cstheme="majorHAnsi"/>
                <w:bCs/>
                <w:snapToGrid w:val="0"/>
                <w:color w:val="000000"/>
                <w:sz w:val="16"/>
                <w:szCs w:val="16"/>
                <w:lang w:val="en-US"/>
              </w:rPr>
              <w:t>Action Research (AR) Toolkit</w:t>
            </w:r>
          </w:p>
        </w:tc>
        <w:tc>
          <w:tcPr>
            <w:tcW w:w="910" w:type="dxa"/>
          </w:tcPr>
          <w:p w14:paraId="5E6797C4"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228" w:type="dxa"/>
          </w:tcPr>
          <w:p w14:paraId="47361158"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023" w:type="dxa"/>
          </w:tcPr>
          <w:p w14:paraId="00444054"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21" w:type="dxa"/>
          </w:tcPr>
          <w:p w14:paraId="55648472"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28EF12F8" w14:textId="77777777" w:rsidTr="00EC48C1">
        <w:trPr>
          <w:trHeight w:val="215"/>
        </w:trPr>
        <w:tc>
          <w:tcPr>
            <w:tcW w:w="5123" w:type="dxa"/>
          </w:tcPr>
          <w:p w14:paraId="25CCDDC8" w14:textId="77777777" w:rsidR="008D0CAD" w:rsidRPr="00DC5490" w:rsidRDefault="008D0CAD" w:rsidP="00DD08E3">
            <w:pPr>
              <w:numPr>
                <w:ilvl w:val="0"/>
                <w:numId w:val="88"/>
              </w:numPr>
              <w:spacing w:before="100" w:beforeAutospacing="1" w:after="100" w:afterAutospacing="1" w:line="360" w:lineRule="auto"/>
              <w:contextualSpacing/>
              <w:rPr>
                <w:rFonts w:asciiTheme="majorHAnsi" w:hAnsiTheme="majorHAnsi" w:cstheme="majorHAnsi"/>
                <w:bCs/>
                <w:snapToGrid w:val="0"/>
                <w:color w:val="000000"/>
                <w:sz w:val="16"/>
                <w:szCs w:val="16"/>
                <w:lang w:val="en-US"/>
              </w:rPr>
            </w:pPr>
            <w:r w:rsidRPr="00DC5490">
              <w:rPr>
                <w:rFonts w:asciiTheme="majorHAnsi" w:hAnsiTheme="majorHAnsi" w:cstheme="majorHAnsi"/>
                <w:bCs/>
                <w:snapToGrid w:val="0"/>
                <w:color w:val="000000"/>
                <w:sz w:val="16"/>
                <w:szCs w:val="16"/>
                <w:lang w:val="en-US"/>
              </w:rPr>
              <w:t>LAC Inclusive Value Series</w:t>
            </w:r>
          </w:p>
        </w:tc>
        <w:tc>
          <w:tcPr>
            <w:tcW w:w="910" w:type="dxa"/>
          </w:tcPr>
          <w:p w14:paraId="3F6515BA"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228" w:type="dxa"/>
          </w:tcPr>
          <w:p w14:paraId="23FF52C5"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023" w:type="dxa"/>
          </w:tcPr>
          <w:p w14:paraId="15170D03"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21" w:type="dxa"/>
          </w:tcPr>
          <w:p w14:paraId="305ADD78"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1671C359" w14:textId="77777777" w:rsidTr="00EC48C1">
        <w:trPr>
          <w:trHeight w:val="215"/>
        </w:trPr>
        <w:tc>
          <w:tcPr>
            <w:tcW w:w="5123" w:type="dxa"/>
          </w:tcPr>
          <w:p w14:paraId="76B78DC8" w14:textId="77777777" w:rsidR="008D0CAD" w:rsidRPr="00DC5490" w:rsidRDefault="008D0CAD" w:rsidP="00DD08E3">
            <w:pPr>
              <w:numPr>
                <w:ilvl w:val="0"/>
                <w:numId w:val="88"/>
              </w:numPr>
              <w:spacing w:before="100" w:beforeAutospacing="1" w:after="100" w:afterAutospacing="1" w:line="360" w:lineRule="auto"/>
              <w:contextualSpacing/>
              <w:rPr>
                <w:rFonts w:asciiTheme="majorHAnsi" w:hAnsiTheme="majorHAnsi" w:cstheme="majorHAnsi"/>
                <w:bCs/>
                <w:snapToGrid w:val="0"/>
                <w:color w:val="000000"/>
                <w:sz w:val="16"/>
                <w:szCs w:val="16"/>
                <w:lang w:val="en-US"/>
              </w:rPr>
            </w:pPr>
            <w:r w:rsidRPr="00DC5490">
              <w:rPr>
                <w:rFonts w:asciiTheme="majorHAnsi" w:hAnsiTheme="majorHAnsi" w:cstheme="majorHAnsi"/>
                <w:bCs/>
                <w:snapToGrid w:val="0"/>
                <w:color w:val="000000"/>
                <w:sz w:val="16"/>
                <w:szCs w:val="16"/>
                <w:lang w:val="en-US"/>
              </w:rPr>
              <w:t>Positive Discipline for Everyday Teaching (PDET-LAC)</w:t>
            </w:r>
          </w:p>
        </w:tc>
        <w:tc>
          <w:tcPr>
            <w:tcW w:w="910" w:type="dxa"/>
          </w:tcPr>
          <w:p w14:paraId="7AC71BC0"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228" w:type="dxa"/>
          </w:tcPr>
          <w:p w14:paraId="43809CBF"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023" w:type="dxa"/>
          </w:tcPr>
          <w:p w14:paraId="380A18F0"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21" w:type="dxa"/>
          </w:tcPr>
          <w:p w14:paraId="766B88F3"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4E2893DB" w14:textId="77777777" w:rsidTr="00EC48C1">
        <w:trPr>
          <w:trHeight w:val="215"/>
        </w:trPr>
        <w:tc>
          <w:tcPr>
            <w:tcW w:w="5123" w:type="dxa"/>
          </w:tcPr>
          <w:p w14:paraId="255FE48E" w14:textId="77777777" w:rsidR="008D0CAD" w:rsidRPr="00DC5490" w:rsidRDefault="008D0CAD" w:rsidP="00DD08E3">
            <w:pPr>
              <w:numPr>
                <w:ilvl w:val="0"/>
                <w:numId w:val="88"/>
              </w:numPr>
              <w:spacing w:before="100" w:beforeAutospacing="1" w:after="100" w:afterAutospacing="1" w:line="360" w:lineRule="auto"/>
              <w:contextualSpacing/>
              <w:rPr>
                <w:rFonts w:asciiTheme="majorHAnsi" w:hAnsiTheme="majorHAnsi" w:cstheme="majorHAnsi"/>
                <w:bCs/>
                <w:snapToGrid w:val="0"/>
                <w:color w:val="000000"/>
                <w:sz w:val="16"/>
                <w:szCs w:val="16"/>
                <w:lang w:val="en-US"/>
              </w:rPr>
            </w:pPr>
            <w:r w:rsidRPr="00DC5490">
              <w:rPr>
                <w:rFonts w:asciiTheme="majorHAnsi" w:hAnsiTheme="majorHAnsi" w:cstheme="majorHAnsi"/>
                <w:bCs/>
                <w:snapToGrid w:val="0"/>
                <w:color w:val="000000"/>
                <w:sz w:val="16"/>
                <w:szCs w:val="16"/>
                <w:lang w:val="en-US"/>
              </w:rPr>
              <w:t>Collaborative Lesson Planning (CLP)</w:t>
            </w:r>
          </w:p>
        </w:tc>
        <w:tc>
          <w:tcPr>
            <w:tcW w:w="910" w:type="dxa"/>
          </w:tcPr>
          <w:p w14:paraId="6ACFF067"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228" w:type="dxa"/>
          </w:tcPr>
          <w:p w14:paraId="464690EF"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023" w:type="dxa"/>
          </w:tcPr>
          <w:p w14:paraId="1C3301DC"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21" w:type="dxa"/>
          </w:tcPr>
          <w:p w14:paraId="6BDB1103"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53F048D6" w14:textId="77777777" w:rsidTr="00EC48C1">
        <w:trPr>
          <w:trHeight w:val="215"/>
        </w:trPr>
        <w:tc>
          <w:tcPr>
            <w:tcW w:w="5123" w:type="dxa"/>
          </w:tcPr>
          <w:p w14:paraId="05BD0477"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r w:rsidRPr="00DC5490">
              <w:rPr>
                <w:rFonts w:asciiTheme="majorHAnsi" w:hAnsiTheme="majorHAnsi" w:cstheme="majorHAnsi"/>
                <w:b/>
                <w:sz w:val="16"/>
                <w:szCs w:val="16"/>
                <w:lang w:val="en-US"/>
              </w:rPr>
              <w:t>Philippine Professional Standards for Teachers (PPST)</w:t>
            </w:r>
          </w:p>
        </w:tc>
        <w:tc>
          <w:tcPr>
            <w:tcW w:w="910" w:type="dxa"/>
          </w:tcPr>
          <w:p w14:paraId="3F60FCC8"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228" w:type="dxa"/>
          </w:tcPr>
          <w:p w14:paraId="06CE5D4D"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023" w:type="dxa"/>
          </w:tcPr>
          <w:p w14:paraId="35DE01E1"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21" w:type="dxa"/>
          </w:tcPr>
          <w:p w14:paraId="20FAE357"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00F61929" w14:textId="77777777" w:rsidTr="00EC48C1">
        <w:trPr>
          <w:trHeight w:val="215"/>
        </w:trPr>
        <w:tc>
          <w:tcPr>
            <w:tcW w:w="5123" w:type="dxa"/>
          </w:tcPr>
          <w:p w14:paraId="4427177A" w14:textId="77777777" w:rsidR="008D0CAD" w:rsidRPr="00DC5490" w:rsidRDefault="008D0CAD" w:rsidP="00DD08E3">
            <w:pPr>
              <w:numPr>
                <w:ilvl w:val="0"/>
                <w:numId w:val="88"/>
              </w:numPr>
              <w:spacing w:before="100" w:beforeAutospacing="1" w:after="100" w:afterAutospacing="1" w:line="360" w:lineRule="auto"/>
              <w:contextualSpacing/>
              <w:rPr>
                <w:rFonts w:asciiTheme="majorHAnsi" w:hAnsiTheme="majorHAnsi" w:cstheme="majorHAnsi"/>
                <w:bCs/>
                <w:snapToGrid w:val="0"/>
                <w:color w:val="000000"/>
                <w:sz w:val="16"/>
                <w:szCs w:val="16"/>
                <w:lang w:val="en-US"/>
              </w:rPr>
            </w:pPr>
            <w:r w:rsidRPr="00DC5490">
              <w:rPr>
                <w:rFonts w:asciiTheme="majorHAnsi" w:eastAsiaTheme="minorEastAsia" w:hAnsiTheme="majorHAnsi" w:cstheme="majorHAnsi"/>
                <w:b/>
                <w:snapToGrid w:val="0"/>
                <w:sz w:val="16"/>
                <w:szCs w:val="16"/>
                <w:lang w:val="en-US"/>
              </w:rPr>
              <w:t>PPST RESOURCE PACKAGE (12 priority indicators for teachers</w:t>
            </w:r>
            <w:r w:rsidRPr="00DC5490">
              <w:rPr>
                <w:rFonts w:asciiTheme="majorHAnsi" w:eastAsiaTheme="minorEastAsia" w:hAnsiTheme="majorHAnsi" w:cstheme="majorHAnsi"/>
                <w:snapToGrid w:val="0"/>
                <w:sz w:val="16"/>
                <w:szCs w:val="16"/>
                <w:lang w:val="en-US"/>
              </w:rPr>
              <w:t>)</w:t>
            </w:r>
          </w:p>
        </w:tc>
        <w:tc>
          <w:tcPr>
            <w:tcW w:w="910" w:type="dxa"/>
          </w:tcPr>
          <w:p w14:paraId="2ABC8614"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228" w:type="dxa"/>
          </w:tcPr>
          <w:p w14:paraId="1D70702E"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023" w:type="dxa"/>
          </w:tcPr>
          <w:p w14:paraId="7D8C500D"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21" w:type="dxa"/>
          </w:tcPr>
          <w:p w14:paraId="0AE7FD89"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21403AF8" w14:textId="77777777" w:rsidTr="00EC48C1">
        <w:trPr>
          <w:trHeight w:val="215"/>
        </w:trPr>
        <w:tc>
          <w:tcPr>
            <w:tcW w:w="5123" w:type="dxa"/>
          </w:tcPr>
          <w:p w14:paraId="7C2FE9B2" w14:textId="77777777" w:rsidR="008D0CAD" w:rsidRPr="00DC5490" w:rsidRDefault="008D0CAD" w:rsidP="00DD08E3">
            <w:pPr>
              <w:numPr>
                <w:ilvl w:val="0"/>
                <w:numId w:val="88"/>
              </w:numPr>
              <w:spacing w:before="100" w:beforeAutospacing="1" w:after="100" w:afterAutospacing="1" w:line="360" w:lineRule="auto"/>
              <w:contextualSpacing/>
              <w:rPr>
                <w:rFonts w:asciiTheme="majorHAnsi" w:hAnsiTheme="majorHAnsi" w:cstheme="majorHAnsi"/>
                <w:bCs/>
                <w:snapToGrid w:val="0"/>
                <w:color w:val="000000"/>
                <w:sz w:val="16"/>
                <w:szCs w:val="16"/>
                <w:lang w:val="en-US"/>
              </w:rPr>
            </w:pPr>
            <w:r w:rsidRPr="00DC5490">
              <w:rPr>
                <w:rFonts w:asciiTheme="majorHAnsi" w:hAnsiTheme="majorHAnsi" w:cstheme="majorHAnsi"/>
                <w:bCs/>
                <w:snapToGrid w:val="0"/>
                <w:color w:val="000000"/>
                <w:sz w:val="16"/>
                <w:szCs w:val="16"/>
                <w:lang w:val="en-US"/>
              </w:rPr>
              <w:t>RPMS Manual</w:t>
            </w:r>
          </w:p>
        </w:tc>
        <w:tc>
          <w:tcPr>
            <w:tcW w:w="910" w:type="dxa"/>
          </w:tcPr>
          <w:p w14:paraId="55254D85"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228" w:type="dxa"/>
          </w:tcPr>
          <w:p w14:paraId="131BD670"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023" w:type="dxa"/>
          </w:tcPr>
          <w:p w14:paraId="2DFE487A"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21" w:type="dxa"/>
          </w:tcPr>
          <w:p w14:paraId="0F2F363B"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57EA3C39" w14:textId="77777777" w:rsidTr="00EC48C1">
        <w:trPr>
          <w:trHeight w:val="215"/>
        </w:trPr>
        <w:tc>
          <w:tcPr>
            <w:tcW w:w="5123" w:type="dxa"/>
          </w:tcPr>
          <w:p w14:paraId="38230526" w14:textId="77777777" w:rsidR="008D0CAD" w:rsidRPr="00DC5490" w:rsidRDefault="008D0CAD" w:rsidP="00DD08E3">
            <w:pPr>
              <w:numPr>
                <w:ilvl w:val="0"/>
                <w:numId w:val="88"/>
              </w:numPr>
              <w:spacing w:before="100" w:beforeAutospacing="1" w:after="100" w:afterAutospacing="1" w:line="360" w:lineRule="auto"/>
              <w:contextualSpacing/>
              <w:rPr>
                <w:rFonts w:asciiTheme="majorHAnsi" w:hAnsiTheme="majorHAnsi" w:cstheme="majorHAnsi"/>
                <w:bCs/>
                <w:snapToGrid w:val="0"/>
                <w:color w:val="000000"/>
                <w:sz w:val="16"/>
                <w:szCs w:val="16"/>
                <w:lang w:val="en-US"/>
              </w:rPr>
            </w:pPr>
            <w:r w:rsidRPr="00DC5490">
              <w:rPr>
                <w:rFonts w:asciiTheme="majorHAnsi" w:hAnsiTheme="majorHAnsi" w:cstheme="majorHAnsi"/>
                <w:bCs/>
                <w:snapToGrid w:val="0"/>
                <w:color w:val="000000"/>
                <w:sz w:val="16"/>
                <w:szCs w:val="16"/>
                <w:lang w:val="en-US"/>
              </w:rPr>
              <w:t>Self-Assessment Tool (SAT) for teachers</w:t>
            </w:r>
          </w:p>
        </w:tc>
        <w:tc>
          <w:tcPr>
            <w:tcW w:w="910" w:type="dxa"/>
          </w:tcPr>
          <w:p w14:paraId="32896077"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228" w:type="dxa"/>
          </w:tcPr>
          <w:p w14:paraId="5B469104"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023" w:type="dxa"/>
          </w:tcPr>
          <w:p w14:paraId="3D3633D9"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21" w:type="dxa"/>
          </w:tcPr>
          <w:p w14:paraId="636FED29"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3E1DA4D3" w14:textId="77777777" w:rsidTr="00EC48C1">
        <w:trPr>
          <w:trHeight w:val="215"/>
        </w:trPr>
        <w:tc>
          <w:tcPr>
            <w:tcW w:w="5123" w:type="dxa"/>
          </w:tcPr>
          <w:p w14:paraId="501539FD" w14:textId="77777777" w:rsidR="008D0CAD" w:rsidRPr="00DC5490" w:rsidRDefault="008D0CAD" w:rsidP="00DD08E3">
            <w:pPr>
              <w:numPr>
                <w:ilvl w:val="0"/>
                <w:numId w:val="88"/>
              </w:numPr>
              <w:spacing w:before="100" w:beforeAutospacing="1" w:after="100" w:afterAutospacing="1" w:line="360" w:lineRule="auto"/>
              <w:contextualSpacing/>
              <w:rPr>
                <w:rFonts w:asciiTheme="majorHAnsi" w:hAnsiTheme="majorHAnsi" w:cstheme="majorHAnsi"/>
                <w:bCs/>
                <w:snapToGrid w:val="0"/>
                <w:color w:val="000000"/>
                <w:sz w:val="16"/>
                <w:szCs w:val="16"/>
                <w:lang w:val="en-US"/>
              </w:rPr>
            </w:pPr>
            <w:r w:rsidRPr="00DC5490">
              <w:rPr>
                <w:rFonts w:asciiTheme="majorHAnsi" w:hAnsiTheme="majorHAnsi" w:cstheme="majorHAnsi"/>
                <w:bCs/>
                <w:snapToGrid w:val="0"/>
                <w:color w:val="000000"/>
                <w:sz w:val="16"/>
                <w:szCs w:val="16"/>
                <w:lang w:val="en-US"/>
              </w:rPr>
              <w:t>Classroom Observation Tool (COT)</w:t>
            </w:r>
          </w:p>
        </w:tc>
        <w:tc>
          <w:tcPr>
            <w:tcW w:w="910" w:type="dxa"/>
          </w:tcPr>
          <w:p w14:paraId="595E6C3C"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228" w:type="dxa"/>
          </w:tcPr>
          <w:p w14:paraId="166B2506"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023" w:type="dxa"/>
          </w:tcPr>
          <w:p w14:paraId="277807E3"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21" w:type="dxa"/>
          </w:tcPr>
          <w:p w14:paraId="42D3457D"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10820190" w14:textId="77777777" w:rsidTr="00EC48C1">
        <w:trPr>
          <w:trHeight w:val="215"/>
        </w:trPr>
        <w:tc>
          <w:tcPr>
            <w:tcW w:w="5123" w:type="dxa"/>
          </w:tcPr>
          <w:p w14:paraId="12491962" w14:textId="77777777" w:rsidR="008D0CAD" w:rsidRPr="00DC5490" w:rsidRDefault="008D0CAD" w:rsidP="00DD08E3">
            <w:pPr>
              <w:numPr>
                <w:ilvl w:val="0"/>
                <w:numId w:val="88"/>
              </w:numPr>
              <w:spacing w:before="100" w:beforeAutospacing="1" w:after="100" w:afterAutospacing="1" w:line="360" w:lineRule="auto"/>
              <w:contextualSpacing/>
              <w:rPr>
                <w:rFonts w:asciiTheme="majorHAnsi" w:hAnsiTheme="majorHAnsi" w:cstheme="majorHAnsi"/>
                <w:bCs/>
                <w:snapToGrid w:val="0"/>
                <w:color w:val="000000"/>
                <w:sz w:val="16"/>
                <w:szCs w:val="16"/>
                <w:lang w:val="en-US"/>
              </w:rPr>
            </w:pPr>
            <w:r w:rsidRPr="00DC5490">
              <w:rPr>
                <w:rFonts w:asciiTheme="majorHAnsi" w:hAnsiTheme="majorHAnsi" w:cstheme="majorHAnsi"/>
                <w:bCs/>
                <w:snapToGrid w:val="0"/>
                <w:color w:val="000000"/>
                <w:sz w:val="16"/>
                <w:szCs w:val="16"/>
                <w:lang w:val="en-US"/>
              </w:rPr>
              <w:t>Portfolio Assessment for Teachers (PAT)</w:t>
            </w:r>
          </w:p>
        </w:tc>
        <w:tc>
          <w:tcPr>
            <w:tcW w:w="910" w:type="dxa"/>
          </w:tcPr>
          <w:p w14:paraId="195F7934"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228" w:type="dxa"/>
          </w:tcPr>
          <w:p w14:paraId="7EB986FE"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023" w:type="dxa"/>
          </w:tcPr>
          <w:p w14:paraId="2E7CCCF0"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21" w:type="dxa"/>
          </w:tcPr>
          <w:p w14:paraId="04CEE709"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47A8BE22" w14:textId="77777777" w:rsidTr="00EC48C1">
        <w:trPr>
          <w:trHeight w:val="215"/>
        </w:trPr>
        <w:tc>
          <w:tcPr>
            <w:tcW w:w="5123" w:type="dxa"/>
          </w:tcPr>
          <w:p w14:paraId="6682BB1D" w14:textId="77777777" w:rsidR="008D0CAD" w:rsidRPr="00DC5490" w:rsidRDefault="008D0CAD" w:rsidP="00DD08E3">
            <w:pPr>
              <w:numPr>
                <w:ilvl w:val="0"/>
                <w:numId w:val="88"/>
              </w:numPr>
              <w:spacing w:before="100" w:beforeAutospacing="1" w:after="100" w:afterAutospacing="1" w:line="360" w:lineRule="auto"/>
              <w:contextualSpacing/>
              <w:rPr>
                <w:rFonts w:asciiTheme="majorHAnsi" w:hAnsiTheme="majorHAnsi" w:cstheme="majorHAnsi"/>
                <w:bCs/>
                <w:snapToGrid w:val="0"/>
                <w:color w:val="000000"/>
                <w:sz w:val="16"/>
                <w:szCs w:val="16"/>
                <w:lang w:val="en-US"/>
              </w:rPr>
            </w:pPr>
            <w:r w:rsidRPr="00DC5490">
              <w:rPr>
                <w:rFonts w:asciiTheme="majorHAnsi" w:hAnsiTheme="majorHAnsi" w:cstheme="majorHAnsi"/>
                <w:bCs/>
                <w:snapToGrid w:val="0"/>
                <w:color w:val="000000"/>
                <w:sz w:val="16"/>
                <w:szCs w:val="16"/>
                <w:lang w:val="en-US"/>
              </w:rPr>
              <w:t>Teacher Induction Program (TIP) Modules</w:t>
            </w:r>
          </w:p>
        </w:tc>
        <w:tc>
          <w:tcPr>
            <w:tcW w:w="910" w:type="dxa"/>
          </w:tcPr>
          <w:p w14:paraId="40514484"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228" w:type="dxa"/>
          </w:tcPr>
          <w:p w14:paraId="08BE54E6"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023" w:type="dxa"/>
          </w:tcPr>
          <w:p w14:paraId="08CB9FF9"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21" w:type="dxa"/>
          </w:tcPr>
          <w:p w14:paraId="06C4D194"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02AA2B19" w14:textId="77777777" w:rsidTr="00EC48C1">
        <w:trPr>
          <w:trHeight w:val="215"/>
        </w:trPr>
        <w:tc>
          <w:tcPr>
            <w:tcW w:w="5123" w:type="dxa"/>
          </w:tcPr>
          <w:p w14:paraId="2F92EE00"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r w:rsidRPr="00DC5490">
              <w:rPr>
                <w:rFonts w:asciiTheme="majorHAnsi" w:hAnsiTheme="majorHAnsi" w:cstheme="majorHAnsi"/>
                <w:b/>
                <w:sz w:val="16"/>
                <w:szCs w:val="16"/>
                <w:lang w:val="en-US"/>
              </w:rPr>
              <w:t xml:space="preserve">Curriculum and Assessment </w:t>
            </w:r>
          </w:p>
        </w:tc>
        <w:tc>
          <w:tcPr>
            <w:tcW w:w="910" w:type="dxa"/>
          </w:tcPr>
          <w:p w14:paraId="32C15310"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228" w:type="dxa"/>
          </w:tcPr>
          <w:p w14:paraId="3D9C5737"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023" w:type="dxa"/>
          </w:tcPr>
          <w:p w14:paraId="31CAC0FB"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21" w:type="dxa"/>
          </w:tcPr>
          <w:p w14:paraId="4A5A3B85"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4F824088" w14:textId="77777777" w:rsidTr="00EC48C1">
        <w:trPr>
          <w:trHeight w:val="215"/>
        </w:trPr>
        <w:tc>
          <w:tcPr>
            <w:tcW w:w="5123" w:type="dxa"/>
          </w:tcPr>
          <w:p w14:paraId="55440006" w14:textId="77777777" w:rsidR="008D0CAD" w:rsidRPr="00DC5490" w:rsidRDefault="008D0CAD" w:rsidP="00DD08E3">
            <w:pPr>
              <w:numPr>
                <w:ilvl w:val="0"/>
                <w:numId w:val="88"/>
              </w:numPr>
              <w:spacing w:before="100" w:beforeAutospacing="1" w:after="100" w:afterAutospacing="1" w:line="360" w:lineRule="auto"/>
              <w:contextualSpacing/>
              <w:rPr>
                <w:rFonts w:asciiTheme="majorHAnsi" w:hAnsiTheme="majorHAnsi" w:cstheme="majorHAnsi"/>
                <w:bCs/>
                <w:snapToGrid w:val="0"/>
                <w:color w:val="000000"/>
                <w:sz w:val="16"/>
                <w:szCs w:val="16"/>
                <w:lang w:val="en-US"/>
              </w:rPr>
            </w:pPr>
            <w:r w:rsidRPr="00DC5490">
              <w:rPr>
                <w:rFonts w:asciiTheme="majorHAnsi" w:hAnsiTheme="majorHAnsi" w:cstheme="majorHAnsi"/>
                <w:bCs/>
                <w:snapToGrid w:val="0"/>
                <w:color w:val="000000"/>
                <w:sz w:val="16"/>
                <w:szCs w:val="16"/>
                <w:lang w:val="en-US"/>
              </w:rPr>
              <w:t>Classroom Assessment Resource Book (CARB) for K to Grade 10</w:t>
            </w:r>
          </w:p>
        </w:tc>
        <w:tc>
          <w:tcPr>
            <w:tcW w:w="910" w:type="dxa"/>
          </w:tcPr>
          <w:p w14:paraId="2CC1CAE3"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228" w:type="dxa"/>
          </w:tcPr>
          <w:p w14:paraId="219135BE"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023" w:type="dxa"/>
          </w:tcPr>
          <w:p w14:paraId="5AC7743E"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21" w:type="dxa"/>
          </w:tcPr>
          <w:p w14:paraId="30C34D89"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6C036BBA" w14:textId="77777777" w:rsidTr="00EC48C1">
        <w:trPr>
          <w:trHeight w:val="215"/>
        </w:trPr>
        <w:tc>
          <w:tcPr>
            <w:tcW w:w="5123" w:type="dxa"/>
          </w:tcPr>
          <w:p w14:paraId="52F29159" w14:textId="77777777" w:rsidR="008D0CAD" w:rsidRPr="00DC5490" w:rsidRDefault="008D0CAD" w:rsidP="00DD08E3">
            <w:pPr>
              <w:numPr>
                <w:ilvl w:val="0"/>
                <w:numId w:val="88"/>
              </w:numPr>
              <w:spacing w:before="100" w:beforeAutospacing="1" w:after="100" w:afterAutospacing="1" w:line="360" w:lineRule="auto"/>
              <w:contextualSpacing/>
              <w:rPr>
                <w:rFonts w:asciiTheme="majorHAnsi" w:hAnsiTheme="majorHAnsi" w:cstheme="majorHAnsi"/>
                <w:bCs/>
                <w:snapToGrid w:val="0"/>
                <w:color w:val="000000"/>
                <w:sz w:val="16"/>
                <w:szCs w:val="16"/>
                <w:lang w:val="en-US"/>
              </w:rPr>
            </w:pPr>
            <w:r w:rsidRPr="00DC5490">
              <w:rPr>
                <w:rFonts w:asciiTheme="majorHAnsi" w:hAnsiTheme="majorHAnsi" w:cstheme="majorHAnsi"/>
                <w:snapToGrid w:val="0"/>
                <w:sz w:val="16"/>
                <w:szCs w:val="16"/>
                <w:lang w:val="en-US"/>
              </w:rPr>
              <w:t>Operations Manual with Guidelines for Special Curricular Programs (SCP)</w:t>
            </w:r>
          </w:p>
        </w:tc>
        <w:tc>
          <w:tcPr>
            <w:tcW w:w="910" w:type="dxa"/>
          </w:tcPr>
          <w:p w14:paraId="3EBEEB68"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228" w:type="dxa"/>
          </w:tcPr>
          <w:p w14:paraId="3D59DA16"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023" w:type="dxa"/>
          </w:tcPr>
          <w:p w14:paraId="3B1047A6"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21" w:type="dxa"/>
          </w:tcPr>
          <w:p w14:paraId="7A9973FB"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721FEF53" w14:textId="77777777" w:rsidTr="00EC48C1">
        <w:trPr>
          <w:trHeight w:val="215"/>
        </w:trPr>
        <w:tc>
          <w:tcPr>
            <w:tcW w:w="5123" w:type="dxa"/>
          </w:tcPr>
          <w:p w14:paraId="5A48AF09" w14:textId="77777777" w:rsidR="008D0CAD" w:rsidRPr="00DC5490" w:rsidRDefault="008D0CAD" w:rsidP="00DD08E3">
            <w:pPr>
              <w:numPr>
                <w:ilvl w:val="0"/>
                <w:numId w:val="88"/>
              </w:numPr>
              <w:spacing w:before="100" w:beforeAutospacing="1" w:after="100" w:afterAutospacing="1" w:line="360" w:lineRule="auto"/>
              <w:contextualSpacing/>
              <w:rPr>
                <w:rFonts w:asciiTheme="majorHAnsi" w:hAnsiTheme="majorHAnsi" w:cstheme="majorHAnsi"/>
                <w:snapToGrid w:val="0"/>
                <w:sz w:val="16"/>
                <w:szCs w:val="16"/>
                <w:lang w:val="en-US"/>
              </w:rPr>
            </w:pPr>
            <w:r w:rsidRPr="00DC5490">
              <w:rPr>
                <w:rFonts w:asciiTheme="majorHAnsi" w:hAnsiTheme="majorHAnsi" w:cstheme="majorHAnsi"/>
                <w:snapToGrid w:val="0"/>
                <w:sz w:val="16"/>
                <w:szCs w:val="16"/>
                <w:lang w:val="en-US"/>
              </w:rPr>
              <w:t>K to 12 Curriculum Guides</w:t>
            </w:r>
          </w:p>
        </w:tc>
        <w:tc>
          <w:tcPr>
            <w:tcW w:w="910" w:type="dxa"/>
          </w:tcPr>
          <w:p w14:paraId="316FDED6"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228" w:type="dxa"/>
          </w:tcPr>
          <w:p w14:paraId="2BC4872B"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023" w:type="dxa"/>
          </w:tcPr>
          <w:p w14:paraId="2D8244C7"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21" w:type="dxa"/>
          </w:tcPr>
          <w:p w14:paraId="79955D0F"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385FF6C6" w14:textId="77777777" w:rsidTr="00EC48C1">
        <w:trPr>
          <w:trHeight w:val="215"/>
        </w:trPr>
        <w:tc>
          <w:tcPr>
            <w:tcW w:w="5123" w:type="dxa"/>
          </w:tcPr>
          <w:p w14:paraId="4E2D2C20" w14:textId="77777777" w:rsidR="008D0CAD" w:rsidRPr="00DC5490" w:rsidRDefault="008D0CAD" w:rsidP="00DD08E3">
            <w:pPr>
              <w:numPr>
                <w:ilvl w:val="0"/>
                <w:numId w:val="88"/>
              </w:numPr>
              <w:spacing w:before="100" w:beforeAutospacing="1" w:after="100" w:afterAutospacing="1" w:line="360" w:lineRule="auto"/>
              <w:contextualSpacing/>
              <w:rPr>
                <w:rFonts w:asciiTheme="majorHAnsi" w:hAnsiTheme="majorHAnsi" w:cstheme="majorHAnsi"/>
                <w:snapToGrid w:val="0"/>
                <w:sz w:val="16"/>
                <w:szCs w:val="16"/>
                <w:lang w:val="en-US"/>
              </w:rPr>
            </w:pPr>
            <w:r w:rsidRPr="00DC5490">
              <w:rPr>
                <w:rFonts w:asciiTheme="majorHAnsi" w:hAnsiTheme="majorHAnsi" w:cstheme="majorHAnsi"/>
                <w:snapToGrid w:val="0"/>
                <w:sz w:val="16"/>
                <w:szCs w:val="16"/>
                <w:lang w:val="en-US"/>
              </w:rPr>
              <w:t>Mother Tongue-Based (MTB) resources</w:t>
            </w:r>
          </w:p>
        </w:tc>
        <w:tc>
          <w:tcPr>
            <w:tcW w:w="910" w:type="dxa"/>
          </w:tcPr>
          <w:p w14:paraId="3602B3E6"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228" w:type="dxa"/>
          </w:tcPr>
          <w:p w14:paraId="20BC4417"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023" w:type="dxa"/>
          </w:tcPr>
          <w:p w14:paraId="718CEF68"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21" w:type="dxa"/>
          </w:tcPr>
          <w:p w14:paraId="46C96CCE"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14248178" w14:textId="77777777" w:rsidTr="00EC48C1">
        <w:trPr>
          <w:trHeight w:val="215"/>
        </w:trPr>
        <w:tc>
          <w:tcPr>
            <w:tcW w:w="5123" w:type="dxa"/>
          </w:tcPr>
          <w:p w14:paraId="548ADEE6" w14:textId="77777777" w:rsidR="008D0CAD" w:rsidRPr="00DC5490" w:rsidRDefault="008D0CAD" w:rsidP="00DD08E3">
            <w:pPr>
              <w:numPr>
                <w:ilvl w:val="0"/>
                <w:numId w:val="88"/>
              </w:numPr>
              <w:spacing w:before="100" w:beforeAutospacing="1" w:after="100" w:afterAutospacing="1" w:line="360" w:lineRule="auto"/>
              <w:contextualSpacing/>
              <w:rPr>
                <w:rFonts w:asciiTheme="majorHAnsi" w:hAnsiTheme="majorHAnsi" w:cstheme="majorHAnsi"/>
                <w:snapToGrid w:val="0"/>
                <w:sz w:val="16"/>
                <w:szCs w:val="16"/>
                <w:lang w:val="en-US"/>
              </w:rPr>
            </w:pPr>
            <w:r w:rsidRPr="00DC5490">
              <w:rPr>
                <w:rFonts w:asciiTheme="majorHAnsi" w:hAnsiTheme="majorHAnsi" w:cstheme="majorHAnsi"/>
                <w:snapToGrid w:val="0"/>
                <w:sz w:val="16"/>
                <w:szCs w:val="16"/>
                <w:lang w:val="en-US"/>
              </w:rPr>
              <w:t>Contextualised Curriculum resources</w:t>
            </w:r>
          </w:p>
        </w:tc>
        <w:tc>
          <w:tcPr>
            <w:tcW w:w="910" w:type="dxa"/>
          </w:tcPr>
          <w:p w14:paraId="6E95F6A4"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228" w:type="dxa"/>
          </w:tcPr>
          <w:p w14:paraId="0A23F0A9"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023" w:type="dxa"/>
          </w:tcPr>
          <w:p w14:paraId="1FD43945"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21" w:type="dxa"/>
          </w:tcPr>
          <w:p w14:paraId="2BA5D68C"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20F12834" w14:textId="77777777" w:rsidTr="00EC48C1">
        <w:trPr>
          <w:trHeight w:val="215"/>
        </w:trPr>
        <w:tc>
          <w:tcPr>
            <w:tcW w:w="5123" w:type="dxa"/>
          </w:tcPr>
          <w:p w14:paraId="57878C71"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r w:rsidRPr="00DC5490">
              <w:rPr>
                <w:rFonts w:asciiTheme="majorHAnsi" w:hAnsiTheme="majorHAnsi" w:cstheme="majorHAnsi"/>
                <w:b/>
                <w:sz w:val="16"/>
                <w:szCs w:val="16"/>
                <w:lang w:val="en-US"/>
              </w:rPr>
              <w:t>Unified information system and sub-systems (UISS)</w:t>
            </w:r>
          </w:p>
        </w:tc>
        <w:tc>
          <w:tcPr>
            <w:tcW w:w="910" w:type="dxa"/>
          </w:tcPr>
          <w:p w14:paraId="0623BF91"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228" w:type="dxa"/>
          </w:tcPr>
          <w:p w14:paraId="2478E276"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023" w:type="dxa"/>
          </w:tcPr>
          <w:p w14:paraId="4C9498F7"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21" w:type="dxa"/>
          </w:tcPr>
          <w:p w14:paraId="7BBD1C3C"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65F46171" w14:textId="77777777" w:rsidTr="00EC48C1">
        <w:trPr>
          <w:trHeight w:val="215"/>
        </w:trPr>
        <w:tc>
          <w:tcPr>
            <w:tcW w:w="5123" w:type="dxa"/>
          </w:tcPr>
          <w:p w14:paraId="5EA016D9" w14:textId="77777777" w:rsidR="008D0CAD" w:rsidRPr="00DC5490" w:rsidRDefault="008D0CAD" w:rsidP="00DD08E3">
            <w:pPr>
              <w:numPr>
                <w:ilvl w:val="0"/>
                <w:numId w:val="88"/>
              </w:numPr>
              <w:spacing w:before="100" w:beforeAutospacing="1" w:after="100" w:afterAutospacing="1" w:line="360" w:lineRule="auto"/>
              <w:contextualSpacing/>
              <w:rPr>
                <w:rFonts w:asciiTheme="majorHAnsi" w:hAnsiTheme="majorHAnsi" w:cstheme="majorHAnsi"/>
                <w:snapToGrid w:val="0"/>
                <w:sz w:val="16"/>
                <w:szCs w:val="16"/>
                <w:lang w:val="en-AU"/>
              </w:rPr>
            </w:pPr>
            <w:r w:rsidRPr="00DC5490">
              <w:rPr>
                <w:rFonts w:asciiTheme="majorHAnsi" w:hAnsiTheme="majorHAnsi" w:cstheme="majorHAnsi"/>
                <w:snapToGrid w:val="0"/>
                <w:sz w:val="16"/>
                <w:szCs w:val="16"/>
                <w:lang w:val="en-AU"/>
              </w:rPr>
              <w:t>Program Management Information System (PMIS)</w:t>
            </w:r>
          </w:p>
        </w:tc>
        <w:tc>
          <w:tcPr>
            <w:tcW w:w="910" w:type="dxa"/>
          </w:tcPr>
          <w:p w14:paraId="3E99795E"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228" w:type="dxa"/>
          </w:tcPr>
          <w:p w14:paraId="20D1F2A0"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023" w:type="dxa"/>
          </w:tcPr>
          <w:p w14:paraId="3155B80C"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21" w:type="dxa"/>
          </w:tcPr>
          <w:p w14:paraId="4082689F"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3C797A7A" w14:textId="77777777" w:rsidTr="00EC48C1">
        <w:trPr>
          <w:trHeight w:val="215"/>
        </w:trPr>
        <w:tc>
          <w:tcPr>
            <w:tcW w:w="5123" w:type="dxa"/>
          </w:tcPr>
          <w:p w14:paraId="6B4B2967" w14:textId="77777777" w:rsidR="008D0CAD" w:rsidRPr="00DC5490" w:rsidRDefault="008D0CAD" w:rsidP="00DD08E3">
            <w:pPr>
              <w:numPr>
                <w:ilvl w:val="0"/>
                <w:numId w:val="88"/>
              </w:numPr>
              <w:spacing w:before="100" w:beforeAutospacing="1" w:after="100" w:afterAutospacing="1" w:line="360" w:lineRule="auto"/>
              <w:contextualSpacing/>
              <w:rPr>
                <w:rFonts w:asciiTheme="majorHAnsi" w:hAnsiTheme="majorHAnsi" w:cstheme="majorHAnsi"/>
                <w:snapToGrid w:val="0"/>
                <w:sz w:val="16"/>
                <w:szCs w:val="16"/>
                <w:lang w:val="en-AU"/>
              </w:rPr>
            </w:pPr>
            <w:r w:rsidRPr="00DC5490">
              <w:rPr>
                <w:rFonts w:asciiTheme="majorHAnsi" w:hAnsiTheme="majorHAnsi" w:cstheme="majorHAnsi"/>
                <w:snapToGrid w:val="0"/>
                <w:sz w:val="16"/>
                <w:szCs w:val="16"/>
                <w:lang w:val="en-AU"/>
              </w:rPr>
              <w:t>Utilisation of the Enhanced Basic Education Information System (EBEIS)</w:t>
            </w:r>
          </w:p>
        </w:tc>
        <w:tc>
          <w:tcPr>
            <w:tcW w:w="910" w:type="dxa"/>
          </w:tcPr>
          <w:p w14:paraId="3D805033"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228" w:type="dxa"/>
          </w:tcPr>
          <w:p w14:paraId="7E91910F"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023" w:type="dxa"/>
          </w:tcPr>
          <w:p w14:paraId="3176F92A"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21" w:type="dxa"/>
          </w:tcPr>
          <w:p w14:paraId="3C419EE5"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5B4AC389" w14:textId="77777777" w:rsidTr="00EC48C1">
        <w:trPr>
          <w:trHeight w:val="215"/>
        </w:trPr>
        <w:tc>
          <w:tcPr>
            <w:tcW w:w="5123" w:type="dxa"/>
          </w:tcPr>
          <w:p w14:paraId="1B5C7882" w14:textId="77777777" w:rsidR="008D0CAD" w:rsidRPr="00DC5490" w:rsidRDefault="008D0CAD" w:rsidP="00DD08E3">
            <w:pPr>
              <w:numPr>
                <w:ilvl w:val="0"/>
                <w:numId w:val="88"/>
              </w:numPr>
              <w:spacing w:before="100" w:beforeAutospacing="1" w:after="100" w:afterAutospacing="1" w:line="360" w:lineRule="auto"/>
              <w:contextualSpacing/>
              <w:rPr>
                <w:rFonts w:asciiTheme="majorHAnsi" w:hAnsiTheme="majorHAnsi" w:cstheme="majorHAnsi"/>
                <w:bCs/>
                <w:snapToGrid w:val="0"/>
                <w:color w:val="000000"/>
                <w:sz w:val="16"/>
                <w:szCs w:val="16"/>
                <w:lang w:val="en-US"/>
              </w:rPr>
            </w:pPr>
            <w:r w:rsidRPr="00DC5490">
              <w:rPr>
                <w:rFonts w:asciiTheme="majorHAnsi" w:hAnsiTheme="majorHAnsi" w:cstheme="majorHAnsi"/>
                <w:snapToGrid w:val="0"/>
                <w:sz w:val="16"/>
                <w:szCs w:val="16"/>
                <w:lang w:val="en-AU"/>
              </w:rPr>
              <w:t>Learner Information System (LIS)</w:t>
            </w:r>
          </w:p>
        </w:tc>
        <w:tc>
          <w:tcPr>
            <w:tcW w:w="910" w:type="dxa"/>
          </w:tcPr>
          <w:p w14:paraId="4587D311"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228" w:type="dxa"/>
          </w:tcPr>
          <w:p w14:paraId="06B903BA"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023" w:type="dxa"/>
          </w:tcPr>
          <w:p w14:paraId="02D0B42A"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21" w:type="dxa"/>
          </w:tcPr>
          <w:p w14:paraId="1B9C6E93"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008B40F6" w14:textId="77777777" w:rsidTr="00EC48C1">
        <w:trPr>
          <w:trHeight w:val="215"/>
        </w:trPr>
        <w:tc>
          <w:tcPr>
            <w:tcW w:w="5123" w:type="dxa"/>
          </w:tcPr>
          <w:p w14:paraId="5E3C5036" w14:textId="77777777" w:rsidR="008D0CAD" w:rsidRPr="00DC5490" w:rsidRDefault="008D0CAD" w:rsidP="00DD08E3">
            <w:pPr>
              <w:numPr>
                <w:ilvl w:val="0"/>
                <w:numId w:val="88"/>
              </w:numPr>
              <w:spacing w:before="100" w:beforeAutospacing="1" w:after="100" w:afterAutospacing="1" w:line="360" w:lineRule="auto"/>
              <w:contextualSpacing/>
              <w:rPr>
                <w:rFonts w:asciiTheme="majorHAnsi" w:hAnsiTheme="majorHAnsi" w:cstheme="majorHAnsi"/>
                <w:snapToGrid w:val="0"/>
                <w:sz w:val="16"/>
                <w:szCs w:val="16"/>
                <w:lang w:val="en-AU"/>
              </w:rPr>
            </w:pPr>
            <w:r w:rsidRPr="00DC5490">
              <w:rPr>
                <w:rFonts w:asciiTheme="majorHAnsi" w:hAnsiTheme="majorHAnsi" w:cstheme="majorHAnsi"/>
                <w:snapToGrid w:val="0"/>
                <w:sz w:val="16"/>
                <w:szCs w:val="16"/>
                <w:lang w:val="en-AU"/>
              </w:rPr>
              <w:t>Learning Resource (LR) Portal</w:t>
            </w:r>
          </w:p>
        </w:tc>
        <w:tc>
          <w:tcPr>
            <w:tcW w:w="910" w:type="dxa"/>
          </w:tcPr>
          <w:p w14:paraId="4ADE019B"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228" w:type="dxa"/>
          </w:tcPr>
          <w:p w14:paraId="41F076EB"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023" w:type="dxa"/>
          </w:tcPr>
          <w:p w14:paraId="410EE685"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21" w:type="dxa"/>
          </w:tcPr>
          <w:p w14:paraId="73AE4B4A"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604126F8" w14:textId="77777777" w:rsidTr="00EC48C1">
        <w:trPr>
          <w:trHeight w:val="215"/>
        </w:trPr>
        <w:tc>
          <w:tcPr>
            <w:tcW w:w="5123" w:type="dxa"/>
          </w:tcPr>
          <w:p w14:paraId="7947C035" w14:textId="77777777" w:rsidR="008D0CAD" w:rsidRPr="00DC5490" w:rsidRDefault="008D0CAD" w:rsidP="00EA6CB9">
            <w:pPr>
              <w:spacing w:before="100" w:beforeAutospacing="1" w:after="100" w:afterAutospacing="1" w:line="360" w:lineRule="auto"/>
              <w:rPr>
                <w:rFonts w:asciiTheme="majorHAnsi" w:hAnsiTheme="majorHAnsi" w:cstheme="majorHAnsi"/>
                <w:sz w:val="16"/>
                <w:szCs w:val="16"/>
                <w:lang w:val="en-AU"/>
              </w:rPr>
            </w:pPr>
            <w:r w:rsidRPr="00DC5490">
              <w:rPr>
                <w:rFonts w:asciiTheme="majorHAnsi" w:hAnsiTheme="majorHAnsi" w:cstheme="majorHAnsi"/>
                <w:b/>
                <w:sz w:val="16"/>
                <w:szCs w:val="16"/>
                <w:lang w:val="en-US"/>
              </w:rPr>
              <w:t>Gender, disability and social inclusion (GEDSI)</w:t>
            </w:r>
          </w:p>
        </w:tc>
        <w:tc>
          <w:tcPr>
            <w:tcW w:w="910" w:type="dxa"/>
          </w:tcPr>
          <w:p w14:paraId="50A59CDA"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228" w:type="dxa"/>
          </w:tcPr>
          <w:p w14:paraId="7C7F3647"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023" w:type="dxa"/>
          </w:tcPr>
          <w:p w14:paraId="37522EE4"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21" w:type="dxa"/>
          </w:tcPr>
          <w:p w14:paraId="66DDA649"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1CDCD11D" w14:textId="77777777" w:rsidTr="00EC48C1">
        <w:trPr>
          <w:trHeight w:val="215"/>
        </w:trPr>
        <w:tc>
          <w:tcPr>
            <w:tcW w:w="5123" w:type="dxa"/>
          </w:tcPr>
          <w:p w14:paraId="3E80D9E0" w14:textId="77777777" w:rsidR="008D0CAD" w:rsidRPr="00DC5490" w:rsidRDefault="008D0CAD" w:rsidP="00DD08E3">
            <w:pPr>
              <w:numPr>
                <w:ilvl w:val="0"/>
                <w:numId w:val="88"/>
              </w:numPr>
              <w:spacing w:before="100" w:beforeAutospacing="1" w:after="100" w:afterAutospacing="1" w:line="360" w:lineRule="auto"/>
              <w:contextualSpacing/>
              <w:rPr>
                <w:rFonts w:asciiTheme="majorHAnsi" w:hAnsiTheme="majorHAnsi" w:cstheme="majorHAnsi"/>
                <w:snapToGrid w:val="0"/>
                <w:sz w:val="16"/>
                <w:szCs w:val="16"/>
                <w:lang w:val="en-AU"/>
              </w:rPr>
            </w:pPr>
            <w:r w:rsidRPr="00DC5490">
              <w:rPr>
                <w:rFonts w:asciiTheme="majorHAnsi" w:hAnsiTheme="majorHAnsi" w:cstheme="majorHAnsi"/>
                <w:snapToGrid w:val="0"/>
                <w:sz w:val="16"/>
                <w:szCs w:val="16"/>
                <w:lang w:val="en-AU"/>
              </w:rPr>
              <w:t>LAC Session Guides on Inclusive Value Series</w:t>
            </w:r>
          </w:p>
        </w:tc>
        <w:tc>
          <w:tcPr>
            <w:tcW w:w="910" w:type="dxa"/>
          </w:tcPr>
          <w:p w14:paraId="703341C9"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228" w:type="dxa"/>
          </w:tcPr>
          <w:p w14:paraId="796FACEF"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023" w:type="dxa"/>
          </w:tcPr>
          <w:p w14:paraId="4C4A42D6"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21" w:type="dxa"/>
          </w:tcPr>
          <w:p w14:paraId="57F2E8E0"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13E7B653" w14:textId="77777777" w:rsidTr="00EC48C1">
        <w:trPr>
          <w:trHeight w:val="215"/>
        </w:trPr>
        <w:tc>
          <w:tcPr>
            <w:tcW w:w="5123" w:type="dxa"/>
          </w:tcPr>
          <w:p w14:paraId="5E4F030D" w14:textId="77777777" w:rsidR="008D0CAD" w:rsidRPr="00DC5490" w:rsidRDefault="008D0CAD" w:rsidP="00DD08E3">
            <w:pPr>
              <w:numPr>
                <w:ilvl w:val="0"/>
                <w:numId w:val="88"/>
              </w:numPr>
              <w:spacing w:before="100" w:beforeAutospacing="1" w:after="100" w:afterAutospacing="1" w:line="360" w:lineRule="auto"/>
              <w:contextualSpacing/>
              <w:rPr>
                <w:rFonts w:asciiTheme="majorHAnsi" w:hAnsiTheme="majorHAnsi" w:cstheme="majorHAnsi"/>
                <w:snapToGrid w:val="0"/>
                <w:sz w:val="16"/>
                <w:szCs w:val="16"/>
                <w:lang w:val="en-US"/>
              </w:rPr>
            </w:pPr>
            <w:r w:rsidRPr="00DC5490">
              <w:rPr>
                <w:rFonts w:asciiTheme="majorHAnsi" w:hAnsiTheme="majorHAnsi" w:cstheme="majorHAnsi"/>
                <w:bCs/>
                <w:snapToGrid w:val="0"/>
                <w:color w:val="000000"/>
                <w:sz w:val="16"/>
                <w:szCs w:val="16"/>
                <w:lang w:val="en-US"/>
              </w:rPr>
              <w:t>Inclusive Education Video Series</w:t>
            </w:r>
          </w:p>
        </w:tc>
        <w:tc>
          <w:tcPr>
            <w:tcW w:w="910" w:type="dxa"/>
          </w:tcPr>
          <w:p w14:paraId="1834E86F"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228" w:type="dxa"/>
          </w:tcPr>
          <w:p w14:paraId="40C5B494"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023" w:type="dxa"/>
          </w:tcPr>
          <w:p w14:paraId="7BAD6BD3"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21" w:type="dxa"/>
          </w:tcPr>
          <w:p w14:paraId="470E8A98"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7AF4AA73" w14:textId="77777777" w:rsidTr="00EC48C1">
        <w:trPr>
          <w:trHeight w:val="215"/>
        </w:trPr>
        <w:tc>
          <w:tcPr>
            <w:tcW w:w="5123" w:type="dxa"/>
          </w:tcPr>
          <w:p w14:paraId="3B4A3E1B" w14:textId="77777777" w:rsidR="008D0CAD" w:rsidRPr="00DC5490" w:rsidRDefault="008D0CAD" w:rsidP="00DD08E3">
            <w:pPr>
              <w:numPr>
                <w:ilvl w:val="0"/>
                <w:numId w:val="88"/>
              </w:numPr>
              <w:spacing w:before="100" w:beforeAutospacing="1" w:after="100" w:afterAutospacing="1" w:line="360" w:lineRule="auto"/>
              <w:contextualSpacing/>
              <w:rPr>
                <w:rFonts w:asciiTheme="majorHAnsi" w:hAnsiTheme="majorHAnsi" w:cstheme="majorHAnsi"/>
                <w:bCs/>
                <w:snapToGrid w:val="0"/>
                <w:color w:val="000000"/>
                <w:sz w:val="16"/>
                <w:szCs w:val="16"/>
                <w:lang w:val="en-US"/>
              </w:rPr>
            </w:pPr>
            <w:r w:rsidRPr="00DC5490">
              <w:rPr>
                <w:rFonts w:asciiTheme="majorHAnsi" w:hAnsiTheme="majorHAnsi" w:cstheme="majorHAnsi"/>
                <w:snapToGrid w:val="0"/>
                <w:sz w:val="16"/>
                <w:szCs w:val="16"/>
                <w:lang w:val="en-US"/>
              </w:rPr>
              <w:t>ALS-EST Handbook</w:t>
            </w:r>
          </w:p>
        </w:tc>
        <w:tc>
          <w:tcPr>
            <w:tcW w:w="910" w:type="dxa"/>
          </w:tcPr>
          <w:p w14:paraId="2A3D753D"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228" w:type="dxa"/>
          </w:tcPr>
          <w:p w14:paraId="12C7806D"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023" w:type="dxa"/>
          </w:tcPr>
          <w:p w14:paraId="0A969238"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21" w:type="dxa"/>
          </w:tcPr>
          <w:p w14:paraId="4D741FCC"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150E073B" w14:textId="77777777" w:rsidTr="00EC48C1">
        <w:trPr>
          <w:trHeight w:val="215"/>
        </w:trPr>
        <w:tc>
          <w:tcPr>
            <w:tcW w:w="5123" w:type="dxa"/>
          </w:tcPr>
          <w:p w14:paraId="173BF9B6" w14:textId="77777777" w:rsidR="008D0CAD" w:rsidRPr="00DC5490" w:rsidRDefault="008D0CAD" w:rsidP="00DD08E3">
            <w:pPr>
              <w:numPr>
                <w:ilvl w:val="0"/>
                <w:numId w:val="88"/>
              </w:numPr>
              <w:spacing w:before="100" w:beforeAutospacing="1" w:after="100" w:afterAutospacing="1" w:line="360" w:lineRule="auto"/>
              <w:contextualSpacing/>
              <w:rPr>
                <w:rFonts w:asciiTheme="majorHAnsi" w:hAnsiTheme="majorHAnsi" w:cstheme="majorHAnsi"/>
                <w:snapToGrid w:val="0"/>
                <w:sz w:val="16"/>
                <w:szCs w:val="16"/>
                <w:lang w:val="en-AU"/>
              </w:rPr>
            </w:pPr>
            <w:r w:rsidRPr="00DC5490">
              <w:rPr>
                <w:rFonts w:asciiTheme="majorHAnsi" w:hAnsiTheme="majorHAnsi" w:cstheme="majorHAnsi"/>
                <w:snapToGrid w:val="0"/>
                <w:sz w:val="16"/>
                <w:szCs w:val="16"/>
                <w:lang w:val="en-AU"/>
              </w:rPr>
              <w:t xml:space="preserve">Learning Resources (LR) </w:t>
            </w:r>
            <w:r w:rsidRPr="00DC5490">
              <w:rPr>
                <w:rFonts w:asciiTheme="majorHAnsi" w:hAnsiTheme="majorHAnsi" w:cstheme="majorHAnsi"/>
                <w:snapToGrid w:val="0"/>
                <w:sz w:val="16"/>
                <w:szCs w:val="16"/>
                <w:lang w:val="en-US"/>
              </w:rPr>
              <w:t>for Visually impaired</w:t>
            </w:r>
          </w:p>
        </w:tc>
        <w:tc>
          <w:tcPr>
            <w:tcW w:w="910" w:type="dxa"/>
          </w:tcPr>
          <w:p w14:paraId="72E77F60"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228" w:type="dxa"/>
          </w:tcPr>
          <w:p w14:paraId="360E71EC"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023" w:type="dxa"/>
          </w:tcPr>
          <w:p w14:paraId="633541E0"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921" w:type="dxa"/>
          </w:tcPr>
          <w:p w14:paraId="0D2D11BC"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bl>
    <w:p w14:paraId="42AA266D" w14:textId="56A57539" w:rsidR="008D0CAD" w:rsidRPr="00DC5490" w:rsidRDefault="008D0CAD" w:rsidP="00EA6CB9">
      <w:pPr>
        <w:widowControl w:val="0"/>
        <w:spacing w:before="100" w:beforeAutospacing="1" w:after="100" w:afterAutospacing="1" w:line="360" w:lineRule="auto"/>
        <w:rPr>
          <w:rFonts w:asciiTheme="majorHAnsi" w:hAnsiTheme="majorHAnsi" w:cstheme="majorHAnsi"/>
          <w:bCs/>
          <w:color w:val="000000"/>
          <w:sz w:val="20"/>
          <w:szCs w:val="20"/>
          <w:lang w:val="en-US"/>
        </w:rPr>
      </w:pPr>
      <w:r w:rsidRPr="00DC5490">
        <w:rPr>
          <w:rFonts w:asciiTheme="majorHAnsi" w:hAnsiTheme="majorHAnsi" w:cstheme="majorHAnsi"/>
          <w:bCs/>
          <w:color w:val="000000"/>
          <w:sz w:val="20"/>
          <w:szCs w:val="20"/>
          <w:lang w:val="en-US"/>
        </w:rPr>
        <w:t>Please assess the following DEPED policies (facilitated with BEST Program support) in terms of your knowledge of it and its usefulness to you as a teacher, based on a 4-point scale as shown in the rubrics above.</w:t>
      </w:r>
      <w:r w:rsidR="00D434EB">
        <w:rPr>
          <w:rFonts w:asciiTheme="majorHAnsi" w:hAnsiTheme="majorHAnsi" w:cstheme="majorHAnsi"/>
          <w:bCs/>
          <w:color w:val="000000"/>
          <w:sz w:val="20"/>
          <w:szCs w:val="20"/>
          <w:lang w:val="en-US"/>
        </w:rPr>
        <w:t xml:space="preserve"> </w:t>
      </w:r>
      <w:r w:rsidRPr="00DC5490">
        <w:rPr>
          <w:rFonts w:asciiTheme="majorHAnsi" w:hAnsiTheme="majorHAnsi" w:cstheme="majorHAnsi"/>
          <w:bCs/>
          <w:color w:val="000000"/>
          <w:sz w:val="20"/>
          <w:szCs w:val="20"/>
          <w:lang w:val="en-US"/>
        </w:rPr>
        <w:t>For each policy, write your answer (0 to 4) in the appropriate box for Knowledge and Usefulness.</w:t>
      </w:r>
    </w:p>
    <w:tbl>
      <w:tblPr>
        <w:tblStyle w:val="TableGrid1"/>
        <w:tblW w:w="9231" w:type="dxa"/>
        <w:tblLayout w:type="fixed"/>
        <w:tblLook w:val="04A0" w:firstRow="1" w:lastRow="0" w:firstColumn="1" w:lastColumn="0" w:noHBand="0" w:noVBand="1"/>
      </w:tblPr>
      <w:tblGrid>
        <w:gridCol w:w="6835"/>
        <w:gridCol w:w="1243"/>
        <w:gridCol w:w="1153"/>
      </w:tblGrid>
      <w:tr w:rsidR="008D0CAD" w:rsidRPr="00DC5490" w14:paraId="7B719C26" w14:textId="77777777" w:rsidTr="00AF2654">
        <w:trPr>
          <w:trHeight w:val="250"/>
        </w:trPr>
        <w:tc>
          <w:tcPr>
            <w:tcW w:w="6835" w:type="dxa"/>
          </w:tcPr>
          <w:p w14:paraId="1490FC77" w14:textId="77777777" w:rsidR="008D0CAD" w:rsidRPr="00DC5490" w:rsidRDefault="008D0CAD" w:rsidP="00EA6CB9">
            <w:pPr>
              <w:widowControl w:val="0"/>
              <w:spacing w:before="100" w:beforeAutospacing="1" w:after="100" w:afterAutospacing="1" w:line="360" w:lineRule="auto"/>
              <w:ind w:left="360" w:hanging="360"/>
              <w:rPr>
                <w:rFonts w:asciiTheme="majorHAnsi" w:hAnsiTheme="majorHAnsi" w:cstheme="majorHAnsi"/>
                <w:b/>
                <w:bCs/>
                <w:snapToGrid w:val="0"/>
                <w:color w:val="000000"/>
                <w:sz w:val="16"/>
                <w:szCs w:val="16"/>
                <w:lang w:val="en-US"/>
              </w:rPr>
            </w:pPr>
            <w:r w:rsidRPr="00DC5490">
              <w:rPr>
                <w:rFonts w:asciiTheme="majorHAnsi" w:hAnsiTheme="majorHAnsi" w:cstheme="majorHAnsi"/>
                <w:b/>
                <w:bCs/>
                <w:snapToGrid w:val="0"/>
                <w:color w:val="000000"/>
                <w:sz w:val="16"/>
                <w:szCs w:val="16"/>
                <w:lang w:val="en-US"/>
              </w:rPr>
              <w:t>Policies</w:t>
            </w:r>
          </w:p>
        </w:tc>
        <w:tc>
          <w:tcPr>
            <w:tcW w:w="1243" w:type="dxa"/>
          </w:tcPr>
          <w:p w14:paraId="1932250B"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r w:rsidRPr="00DC5490">
              <w:rPr>
                <w:rFonts w:asciiTheme="majorHAnsi" w:hAnsiTheme="majorHAnsi" w:cstheme="majorHAnsi"/>
                <w:b/>
                <w:bCs/>
                <w:color w:val="000000"/>
                <w:sz w:val="16"/>
                <w:szCs w:val="16"/>
                <w:lang w:val="en-US"/>
              </w:rPr>
              <w:t>Knowledge</w:t>
            </w:r>
          </w:p>
        </w:tc>
        <w:tc>
          <w:tcPr>
            <w:tcW w:w="1153" w:type="dxa"/>
          </w:tcPr>
          <w:p w14:paraId="33C3D93C"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r w:rsidRPr="00DC5490">
              <w:rPr>
                <w:rFonts w:asciiTheme="majorHAnsi" w:hAnsiTheme="majorHAnsi" w:cstheme="majorHAnsi"/>
                <w:b/>
                <w:bCs/>
                <w:color w:val="000000"/>
                <w:sz w:val="16"/>
                <w:szCs w:val="16"/>
                <w:lang w:val="en-US"/>
              </w:rPr>
              <w:t xml:space="preserve">Usefulness </w:t>
            </w:r>
          </w:p>
        </w:tc>
      </w:tr>
      <w:tr w:rsidR="008D0CAD" w:rsidRPr="00DC5490" w14:paraId="7CCB935F" w14:textId="77777777" w:rsidTr="00AF2654">
        <w:trPr>
          <w:trHeight w:val="250"/>
        </w:trPr>
        <w:tc>
          <w:tcPr>
            <w:tcW w:w="6835" w:type="dxa"/>
          </w:tcPr>
          <w:p w14:paraId="50805756" w14:textId="77777777" w:rsidR="008D0CAD" w:rsidRPr="00DC5490" w:rsidRDefault="008D0CAD" w:rsidP="00EA6CB9">
            <w:pPr>
              <w:spacing w:before="100" w:beforeAutospacing="1" w:after="100" w:afterAutospacing="1" w:line="360" w:lineRule="auto"/>
              <w:rPr>
                <w:rFonts w:asciiTheme="majorHAnsi" w:hAnsiTheme="majorHAnsi" w:cstheme="majorHAnsi"/>
                <w:sz w:val="16"/>
                <w:szCs w:val="16"/>
                <w:lang w:val="en-US"/>
              </w:rPr>
            </w:pPr>
            <w:r w:rsidRPr="00DC5490">
              <w:rPr>
                <w:rFonts w:asciiTheme="majorHAnsi" w:hAnsiTheme="majorHAnsi" w:cstheme="majorHAnsi"/>
                <w:b/>
                <w:sz w:val="16"/>
                <w:szCs w:val="16"/>
                <w:lang w:val="en-US"/>
              </w:rPr>
              <w:t>Learning and Development (L&amp;D)</w:t>
            </w:r>
          </w:p>
        </w:tc>
        <w:tc>
          <w:tcPr>
            <w:tcW w:w="1243" w:type="dxa"/>
          </w:tcPr>
          <w:p w14:paraId="66A3700E"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153" w:type="dxa"/>
          </w:tcPr>
          <w:p w14:paraId="270EC5EB"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4230E3DF" w14:textId="77777777" w:rsidTr="00AF2654">
        <w:trPr>
          <w:trHeight w:val="250"/>
        </w:trPr>
        <w:tc>
          <w:tcPr>
            <w:tcW w:w="6835" w:type="dxa"/>
          </w:tcPr>
          <w:p w14:paraId="28E19CE6" w14:textId="77777777" w:rsidR="008D0CAD" w:rsidRPr="00DC5490" w:rsidRDefault="008D0CAD" w:rsidP="00DD08E3">
            <w:pPr>
              <w:widowControl w:val="0"/>
              <w:numPr>
                <w:ilvl w:val="3"/>
                <w:numId w:val="88"/>
              </w:numPr>
              <w:spacing w:before="100" w:beforeAutospacing="1" w:after="100" w:afterAutospacing="1" w:line="360" w:lineRule="auto"/>
              <w:ind w:left="336" w:hanging="336"/>
              <w:contextualSpacing/>
              <w:rPr>
                <w:rFonts w:asciiTheme="majorHAnsi" w:hAnsiTheme="majorHAnsi" w:cstheme="majorHAnsi"/>
                <w:bCs/>
                <w:snapToGrid w:val="0"/>
                <w:color w:val="000000"/>
                <w:sz w:val="16"/>
                <w:szCs w:val="16"/>
                <w:lang w:val="en-US"/>
              </w:rPr>
            </w:pPr>
            <w:r w:rsidRPr="00DC5490">
              <w:rPr>
                <w:rFonts w:asciiTheme="majorHAnsi" w:hAnsiTheme="majorHAnsi" w:cstheme="majorHAnsi"/>
                <w:snapToGrid w:val="0"/>
                <w:sz w:val="16"/>
                <w:szCs w:val="16"/>
                <w:lang w:val="en-US"/>
              </w:rPr>
              <w:t>DO No. 35, s. 2016 on “The Learning Action Cell as a K to 12 Basic Education Program School-Based Continuing professional Development Strategy for the Improvement of Teaching and Learning”</w:t>
            </w:r>
          </w:p>
        </w:tc>
        <w:tc>
          <w:tcPr>
            <w:tcW w:w="1243" w:type="dxa"/>
          </w:tcPr>
          <w:p w14:paraId="724CE0EB"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r w:rsidRPr="00DC5490">
              <w:rPr>
                <w:rFonts w:asciiTheme="majorHAnsi" w:hAnsiTheme="majorHAnsi" w:cstheme="majorHAnsi"/>
                <w:b/>
                <w:bCs/>
                <w:color w:val="000000"/>
                <w:sz w:val="16"/>
                <w:szCs w:val="16"/>
                <w:lang w:val="en-US"/>
              </w:rPr>
              <w:t xml:space="preserve"> </w:t>
            </w:r>
          </w:p>
        </w:tc>
        <w:tc>
          <w:tcPr>
            <w:tcW w:w="1153" w:type="dxa"/>
          </w:tcPr>
          <w:p w14:paraId="0A5D8E83"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r w:rsidRPr="00DC5490">
              <w:rPr>
                <w:rFonts w:asciiTheme="majorHAnsi" w:hAnsiTheme="majorHAnsi" w:cstheme="majorHAnsi"/>
                <w:b/>
                <w:bCs/>
                <w:color w:val="000000"/>
                <w:sz w:val="16"/>
                <w:szCs w:val="16"/>
                <w:lang w:val="en-US"/>
              </w:rPr>
              <w:t xml:space="preserve"> </w:t>
            </w:r>
          </w:p>
        </w:tc>
      </w:tr>
      <w:tr w:rsidR="008D0CAD" w:rsidRPr="00DC5490" w14:paraId="5F274B27" w14:textId="77777777" w:rsidTr="00AF2654">
        <w:trPr>
          <w:trHeight w:val="250"/>
        </w:trPr>
        <w:tc>
          <w:tcPr>
            <w:tcW w:w="6835" w:type="dxa"/>
          </w:tcPr>
          <w:p w14:paraId="68A2C943" w14:textId="77777777" w:rsidR="008D0CAD" w:rsidRPr="00DC5490" w:rsidRDefault="008D0CAD" w:rsidP="00DD08E3">
            <w:pPr>
              <w:widowControl w:val="0"/>
              <w:numPr>
                <w:ilvl w:val="3"/>
                <w:numId w:val="88"/>
              </w:numPr>
              <w:spacing w:before="100" w:beforeAutospacing="1" w:after="100" w:afterAutospacing="1" w:line="360" w:lineRule="auto"/>
              <w:ind w:left="336" w:hanging="336"/>
              <w:contextualSpacing/>
              <w:rPr>
                <w:rFonts w:asciiTheme="majorHAnsi" w:hAnsiTheme="majorHAnsi" w:cstheme="majorHAnsi"/>
                <w:bCs/>
                <w:snapToGrid w:val="0"/>
                <w:color w:val="000000"/>
                <w:sz w:val="16"/>
                <w:szCs w:val="16"/>
                <w:lang w:val="en-US"/>
              </w:rPr>
            </w:pPr>
            <w:r w:rsidRPr="00DC5490">
              <w:rPr>
                <w:rFonts w:asciiTheme="majorHAnsi" w:hAnsiTheme="majorHAnsi" w:cstheme="majorHAnsi"/>
                <w:snapToGrid w:val="0"/>
                <w:sz w:val="16"/>
                <w:szCs w:val="16"/>
                <w:lang w:val="en-US"/>
              </w:rPr>
              <w:t>DO No. 55, s. 2015 on the “Utilisation of Language Mapping Data for Mother Tongue-Based Multilingual Education (MTB-MLE) Program Implementation”</w:t>
            </w:r>
          </w:p>
        </w:tc>
        <w:tc>
          <w:tcPr>
            <w:tcW w:w="1243" w:type="dxa"/>
          </w:tcPr>
          <w:p w14:paraId="480FF4B8"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153" w:type="dxa"/>
          </w:tcPr>
          <w:p w14:paraId="272C0778"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7A37D0FC" w14:textId="77777777" w:rsidTr="00AF2654">
        <w:trPr>
          <w:trHeight w:val="250"/>
        </w:trPr>
        <w:tc>
          <w:tcPr>
            <w:tcW w:w="6835" w:type="dxa"/>
          </w:tcPr>
          <w:p w14:paraId="017AF8BB" w14:textId="77777777" w:rsidR="008D0CAD" w:rsidRPr="00DC5490" w:rsidRDefault="008D0CAD" w:rsidP="00EA6CB9">
            <w:pPr>
              <w:spacing w:before="100" w:beforeAutospacing="1" w:after="100" w:afterAutospacing="1" w:line="360" w:lineRule="auto"/>
              <w:rPr>
                <w:rFonts w:asciiTheme="majorHAnsi" w:eastAsiaTheme="minorEastAsia" w:hAnsiTheme="majorHAnsi" w:cstheme="majorHAnsi"/>
                <w:bCs/>
                <w:sz w:val="16"/>
                <w:szCs w:val="16"/>
              </w:rPr>
            </w:pPr>
            <w:r w:rsidRPr="00DC5490">
              <w:rPr>
                <w:rFonts w:asciiTheme="majorHAnsi" w:hAnsiTheme="majorHAnsi" w:cstheme="majorHAnsi"/>
                <w:b/>
                <w:sz w:val="16"/>
                <w:szCs w:val="16"/>
                <w:lang w:val="en-US"/>
              </w:rPr>
              <w:t>Philippine Professional Standards for Teachers (PPST)</w:t>
            </w:r>
          </w:p>
        </w:tc>
        <w:tc>
          <w:tcPr>
            <w:tcW w:w="1243" w:type="dxa"/>
          </w:tcPr>
          <w:p w14:paraId="65A4BE13"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153" w:type="dxa"/>
          </w:tcPr>
          <w:p w14:paraId="7C1CDC2E"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541B44FF" w14:textId="77777777" w:rsidTr="00AF2654">
        <w:trPr>
          <w:trHeight w:val="250"/>
        </w:trPr>
        <w:tc>
          <w:tcPr>
            <w:tcW w:w="6835" w:type="dxa"/>
          </w:tcPr>
          <w:p w14:paraId="4A59528D" w14:textId="77777777" w:rsidR="008D0CAD" w:rsidRPr="00DC5490" w:rsidRDefault="008D0CAD" w:rsidP="00DD08E3">
            <w:pPr>
              <w:widowControl w:val="0"/>
              <w:numPr>
                <w:ilvl w:val="0"/>
                <w:numId w:val="91"/>
              </w:numPr>
              <w:spacing w:before="100" w:beforeAutospacing="1" w:after="100" w:afterAutospacing="1" w:line="360" w:lineRule="auto"/>
              <w:contextualSpacing/>
              <w:rPr>
                <w:rFonts w:asciiTheme="majorHAnsi" w:hAnsiTheme="majorHAnsi" w:cstheme="majorHAnsi"/>
                <w:bCs/>
                <w:snapToGrid w:val="0"/>
                <w:color w:val="000000"/>
                <w:sz w:val="16"/>
                <w:szCs w:val="16"/>
                <w:lang w:val="en-US"/>
              </w:rPr>
            </w:pPr>
            <w:r w:rsidRPr="00DC5490">
              <w:rPr>
                <w:rFonts w:asciiTheme="majorHAnsi" w:eastAsiaTheme="minorEastAsia" w:hAnsiTheme="majorHAnsi" w:cstheme="majorHAnsi"/>
                <w:bCs/>
                <w:snapToGrid w:val="0"/>
                <w:sz w:val="16"/>
                <w:szCs w:val="16"/>
              </w:rPr>
              <w:t xml:space="preserve">DepEd No. 2, s. 2015 </w:t>
            </w:r>
            <w:r w:rsidRPr="00DC5490">
              <w:rPr>
                <w:rFonts w:asciiTheme="majorHAnsi" w:eastAsiaTheme="minorEastAsia" w:hAnsiTheme="majorHAnsi" w:cstheme="majorHAnsi"/>
                <w:i/>
                <w:iCs/>
                <w:snapToGrid w:val="0"/>
                <w:sz w:val="16"/>
                <w:szCs w:val="16"/>
                <w:lang w:val="en-US"/>
              </w:rPr>
              <w:t>“Guidelines on the Establishment and Implementation of the Results-Based Performance Management System (RPMS) in the Department of Education”</w:t>
            </w:r>
          </w:p>
        </w:tc>
        <w:tc>
          <w:tcPr>
            <w:tcW w:w="1243" w:type="dxa"/>
          </w:tcPr>
          <w:p w14:paraId="5FC0C090"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153" w:type="dxa"/>
          </w:tcPr>
          <w:p w14:paraId="00A85040"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564B86E3" w14:textId="77777777" w:rsidTr="00AF2654">
        <w:trPr>
          <w:trHeight w:val="250"/>
        </w:trPr>
        <w:tc>
          <w:tcPr>
            <w:tcW w:w="6835" w:type="dxa"/>
          </w:tcPr>
          <w:p w14:paraId="3532C8C0" w14:textId="77777777" w:rsidR="008D0CAD" w:rsidRPr="00DC5490" w:rsidRDefault="008D0CAD" w:rsidP="00DD08E3">
            <w:pPr>
              <w:widowControl w:val="0"/>
              <w:numPr>
                <w:ilvl w:val="0"/>
                <w:numId w:val="91"/>
              </w:numPr>
              <w:spacing w:before="100" w:beforeAutospacing="1" w:after="100" w:afterAutospacing="1" w:line="360" w:lineRule="auto"/>
              <w:contextualSpacing/>
              <w:rPr>
                <w:rFonts w:asciiTheme="majorHAnsi" w:hAnsiTheme="majorHAnsi" w:cstheme="majorHAnsi"/>
                <w:bCs/>
                <w:snapToGrid w:val="0"/>
                <w:color w:val="000000"/>
                <w:sz w:val="16"/>
                <w:szCs w:val="16"/>
                <w:lang w:val="en-US"/>
              </w:rPr>
            </w:pPr>
            <w:r w:rsidRPr="00DC5490">
              <w:rPr>
                <w:rFonts w:asciiTheme="majorHAnsi" w:hAnsiTheme="majorHAnsi" w:cstheme="majorHAnsi"/>
                <w:snapToGrid w:val="0"/>
                <w:sz w:val="16"/>
                <w:szCs w:val="16"/>
                <w:lang w:val="en-US"/>
              </w:rPr>
              <w:t xml:space="preserve">DO </w:t>
            </w:r>
            <w:r w:rsidRPr="00DC5490">
              <w:rPr>
                <w:rFonts w:asciiTheme="majorHAnsi" w:hAnsiTheme="majorHAnsi" w:cstheme="majorHAnsi"/>
                <w:bCs/>
                <w:snapToGrid w:val="0"/>
                <w:sz w:val="16"/>
                <w:szCs w:val="16"/>
                <w:lang w:val="en-US"/>
              </w:rPr>
              <w:t xml:space="preserve">No. 42, s. 2017 </w:t>
            </w:r>
            <w:r w:rsidRPr="00DC5490">
              <w:rPr>
                <w:rFonts w:asciiTheme="majorHAnsi" w:hAnsiTheme="majorHAnsi" w:cstheme="majorHAnsi"/>
                <w:snapToGrid w:val="0"/>
                <w:sz w:val="16"/>
                <w:szCs w:val="16"/>
                <w:lang w:val="en-US"/>
              </w:rPr>
              <w:t>on the “National Adoption and Implementation of the Philippine Professional Standards for Teachers”</w:t>
            </w:r>
          </w:p>
        </w:tc>
        <w:tc>
          <w:tcPr>
            <w:tcW w:w="1243" w:type="dxa"/>
          </w:tcPr>
          <w:p w14:paraId="784C3215"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153" w:type="dxa"/>
          </w:tcPr>
          <w:p w14:paraId="1E2A42A5"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75412107" w14:textId="77777777" w:rsidTr="00AF2654">
        <w:trPr>
          <w:trHeight w:val="250"/>
        </w:trPr>
        <w:tc>
          <w:tcPr>
            <w:tcW w:w="6835" w:type="dxa"/>
          </w:tcPr>
          <w:p w14:paraId="2A828F3A" w14:textId="77777777" w:rsidR="008D0CAD" w:rsidRPr="00DC5490" w:rsidRDefault="008D0CAD" w:rsidP="00DD08E3">
            <w:pPr>
              <w:widowControl w:val="0"/>
              <w:numPr>
                <w:ilvl w:val="0"/>
                <w:numId w:val="91"/>
              </w:numPr>
              <w:spacing w:before="100" w:beforeAutospacing="1" w:after="100" w:afterAutospacing="1" w:line="360" w:lineRule="auto"/>
              <w:contextualSpacing/>
              <w:rPr>
                <w:rFonts w:asciiTheme="majorHAnsi" w:hAnsiTheme="majorHAnsi" w:cstheme="majorHAnsi"/>
                <w:snapToGrid w:val="0"/>
                <w:sz w:val="16"/>
                <w:szCs w:val="16"/>
                <w:lang w:val="en-US"/>
              </w:rPr>
            </w:pPr>
            <w:r w:rsidRPr="00DC5490">
              <w:rPr>
                <w:rFonts w:asciiTheme="majorHAnsi" w:hAnsiTheme="majorHAnsi" w:cstheme="majorHAnsi"/>
                <w:snapToGrid w:val="0"/>
                <w:sz w:val="16"/>
                <w:szCs w:val="16"/>
                <w:lang w:val="en-US"/>
              </w:rPr>
              <w:t>DO No. 43, s. 2017 on the “Teacher Induction Program Policy”</w:t>
            </w:r>
          </w:p>
        </w:tc>
        <w:tc>
          <w:tcPr>
            <w:tcW w:w="1243" w:type="dxa"/>
          </w:tcPr>
          <w:p w14:paraId="6DBD78F6"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153" w:type="dxa"/>
          </w:tcPr>
          <w:p w14:paraId="18D66DDB"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10E1ED97" w14:textId="77777777" w:rsidTr="00AF2654">
        <w:trPr>
          <w:trHeight w:val="250"/>
        </w:trPr>
        <w:tc>
          <w:tcPr>
            <w:tcW w:w="6835" w:type="dxa"/>
          </w:tcPr>
          <w:p w14:paraId="5E9D0BC4"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r w:rsidRPr="00DC5490">
              <w:rPr>
                <w:rFonts w:asciiTheme="majorHAnsi" w:hAnsiTheme="majorHAnsi" w:cstheme="majorHAnsi"/>
                <w:b/>
                <w:sz w:val="16"/>
                <w:szCs w:val="16"/>
                <w:lang w:val="en-US"/>
              </w:rPr>
              <w:t>Curriculum and Assessment</w:t>
            </w:r>
          </w:p>
        </w:tc>
        <w:tc>
          <w:tcPr>
            <w:tcW w:w="1243" w:type="dxa"/>
          </w:tcPr>
          <w:p w14:paraId="49D952B7"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153" w:type="dxa"/>
          </w:tcPr>
          <w:p w14:paraId="314721A1"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6A24A84E" w14:textId="77777777" w:rsidTr="00AF2654">
        <w:trPr>
          <w:trHeight w:val="250"/>
        </w:trPr>
        <w:tc>
          <w:tcPr>
            <w:tcW w:w="6835" w:type="dxa"/>
          </w:tcPr>
          <w:p w14:paraId="46647400" w14:textId="77777777" w:rsidR="008D0CAD" w:rsidRPr="00DC5490" w:rsidRDefault="008D0CAD" w:rsidP="00DD08E3">
            <w:pPr>
              <w:widowControl w:val="0"/>
              <w:numPr>
                <w:ilvl w:val="0"/>
                <w:numId w:val="92"/>
              </w:numPr>
              <w:spacing w:before="100" w:beforeAutospacing="1" w:after="100" w:afterAutospacing="1" w:line="360" w:lineRule="auto"/>
              <w:contextualSpacing/>
              <w:rPr>
                <w:rFonts w:asciiTheme="majorHAnsi" w:hAnsiTheme="majorHAnsi" w:cstheme="majorHAnsi"/>
                <w:bCs/>
                <w:snapToGrid w:val="0"/>
                <w:color w:val="000000"/>
                <w:sz w:val="16"/>
                <w:szCs w:val="16"/>
                <w:lang w:val="en-US"/>
              </w:rPr>
            </w:pPr>
            <w:r w:rsidRPr="00DC5490">
              <w:rPr>
                <w:rFonts w:asciiTheme="majorHAnsi" w:hAnsiTheme="majorHAnsi" w:cstheme="majorHAnsi"/>
                <w:snapToGrid w:val="0"/>
                <w:sz w:val="16"/>
                <w:szCs w:val="16"/>
                <w:lang w:val="en-US"/>
              </w:rPr>
              <w:t>DO NO. 8 S. 2015 on the “Policy Guidelines on Classroom Assessment for the K to 12 Basic Education Program”</w:t>
            </w:r>
          </w:p>
        </w:tc>
        <w:tc>
          <w:tcPr>
            <w:tcW w:w="1243" w:type="dxa"/>
          </w:tcPr>
          <w:p w14:paraId="16C2FC0B"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153" w:type="dxa"/>
          </w:tcPr>
          <w:p w14:paraId="514BF5E1"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7DDD7E88" w14:textId="77777777" w:rsidTr="00AF2654">
        <w:trPr>
          <w:trHeight w:val="250"/>
        </w:trPr>
        <w:tc>
          <w:tcPr>
            <w:tcW w:w="6835" w:type="dxa"/>
          </w:tcPr>
          <w:p w14:paraId="1B59A3EF" w14:textId="77777777" w:rsidR="008D0CAD" w:rsidRPr="00DC5490" w:rsidRDefault="008D0CAD" w:rsidP="00DD08E3">
            <w:pPr>
              <w:widowControl w:val="0"/>
              <w:numPr>
                <w:ilvl w:val="0"/>
                <w:numId w:val="92"/>
              </w:numPr>
              <w:spacing w:before="100" w:beforeAutospacing="1" w:after="100" w:afterAutospacing="1" w:line="360" w:lineRule="auto"/>
              <w:contextualSpacing/>
              <w:rPr>
                <w:rFonts w:asciiTheme="majorHAnsi" w:hAnsiTheme="majorHAnsi" w:cstheme="majorHAnsi"/>
                <w:bCs/>
                <w:snapToGrid w:val="0"/>
                <w:color w:val="000000"/>
                <w:sz w:val="16"/>
                <w:szCs w:val="16"/>
                <w:lang w:val="en-US"/>
              </w:rPr>
            </w:pPr>
            <w:r w:rsidRPr="00DC5490">
              <w:rPr>
                <w:rFonts w:asciiTheme="majorHAnsi" w:hAnsiTheme="majorHAnsi" w:cstheme="majorHAnsi"/>
                <w:snapToGrid w:val="0"/>
                <w:sz w:val="16"/>
                <w:szCs w:val="16"/>
                <w:lang w:val="en-US"/>
              </w:rPr>
              <w:t>DO No. 55, s. 2016 on the “Policy Guidelines on the National Assessment of Student Learning for the K to 12 Basic Education Program”</w:t>
            </w:r>
          </w:p>
        </w:tc>
        <w:tc>
          <w:tcPr>
            <w:tcW w:w="1243" w:type="dxa"/>
          </w:tcPr>
          <w:p w14:paraId="58F2DB5E"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153" w:type="dxa"/>
          </w:tcPr>
          <w:p w14:paraId="77D6934A"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76FADEF7" w14:textId="77777777" w:rsidTr="00AF2654">
        <w:trPr>
          <w:trHeight w:val="250"/>
        </w:trPr>
        <w:tc>
          <w:tcPr>
            <w:tcW w:w="6835" w:type="dxa"/>
          </w:tcPr>
          <w:p w14:paraId="354C22F7" w14:textId="77777777" w:rsidR="008D0CAD" w:rsidRPr="00DC5490" w:rsidRDefault="008D0CAD" w:rsidP="00DD08E3">
            <w:pPr>
              <w:widowControl w:val="0"/>
              <w:numPr>
                <w:ilvl w:val="0"/>
                <w:numId w:val="92"/>
              </w:numPr>
              <w:spacing w:before="100" w:beforeAutospacing="1" w:after="100" w:afterAutospacing="1" w:line="360" w:lineRule="auto"/>
              <w:contextualSpacing/>
              <w:rPr>
                <w:rFonts w:asciiTheme="majorHAnsi" w:hAnsiTheme="majorHAnsi" w:cstheme="majorHAnsi"/>
                <w:bCs/>
                <w:snapToGrid w:val="0"/>
                <w:color w:val="000000"/>
                <w:sz w:val="16"/>
                <w:szCs w:val="16"/>
                <w:lang w:val="en-US"/>
              </w:rPr>
            </w:pPr>
            <w:r w:rsidRPr="00DC5490">
              <w:rPr>
                <w:rFonts w:asciiTheme="majorHAnsi" w:hAnsiTheme="majorHAnsi" w:cstheme="majorHAnsi"/>
                <w:snapToGrid w:val="0"/>
                <w:sz w:val="16"/>
                <w:szCs w:val="16"/>
                <w:lang w:val="en-US"/>
              </w:rPr>
              <w:t>DO No. 29, s. 2017 on the “Policy Guidelines on System Assessment in the K to 12 Basic Education Program”</w:t>
            </w:r>
          </w:p>
        </w:tc>
        <w:tc>
          <w:tcPr>
            <w:tcW w:w="1243" w:type="dxa"/>
          </w:tcPr>
          <w:p w14:paraId="44E62570"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153" w:type="dxa"/>
          </w:tcPr>
          <w:p w14:paraId="4C370D02"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2D3E43E8" w14:textId="77777777" w:rsidTr="00AF2654">
        <w:trPr>
          <w:trHeight w:val="250"/>
        </w:trPr>
        <w:tc>
          <w:tcPr>
            <w:tcW w:w="6835" w:type="dxa"/>
          </w:tcPr>
          <w:p w14:paraId="11489063"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r w:rsidRPr="00DC5490">
              <w:rPr>
                <w:rFonts w:asciiTheme="majorHAnsi" w:hAnsiTheme="majorHAnsi" w:cstheme="majorHAnsi"/>
                <w:b/>
                <w:sz w:val="16"/>
                <w:szCs w:val="16"/>
                <w:lang w:val="en-US"/>
              </w:rPr>
              <w:t>Gender, disability and social inclusion (GEDSI)</w:t>
            </w:r>
          </w:p>
        </w:tc>
        <w:tc>
          <w:tcPr>
            <w:tcW w:w="1243" w:type="dxa"/>
          </w:tcPr>
          <w:p w14:paraId="27D7D3BF"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153" w:type="dxa"/>
          </w:tcPr>
          <w:p w14:paraId="1DE31F8E"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6A1F088A" w14:textId="77777777" w:rsidTr="00AF2654">
        <w:trPr>
          <w:trHeight w:val="250"/>
        </w:trPr>
        <w:tc>
          <w:tcPr>
            <w:tcW w:w="6835" w:type="dxa"/>
          </w:tcPr>
          <w:p w14:paraId="48BFF366" w14:textId="77777777" w:rsidR="008D0CAD" w:rsidRPr="00DC5490" w:rsidRDefault="008D0CAD" w:rsidP="00DD08E3">
            <w:pPr>
              <w:widowControl w:val="0"/>
              <w:numPr>
                <w:ilvl w:val="0"/>
                <w:numId w:val="93"/>
              </w:numPr>
              <w:spacing w:before="100" w:beforeAutospacing="1" w:after="100" w:afterAutospacing="1" w:line="360" w:lineRule="auto"/>
              <w:contextualSpacing/>
              <w:rPr>
                <w:rFonts w:asciiTheme="majorHAnsi" w:hAnsiTheme="majorHAnsi" w:cstheme="majorHAnsi"/>
                <w:bCs/>
                <w:snapToGrid w:val="0"/>
                <w:color w:val="000000"/>
                <w:sz w:val="16"/>
                <w:szCs w:val="16"/>
                <w:lang w:val="en-US"/>
              </w:rPr>
            </w:pPr>
            <w:r w:rsidRPr="00DC5490">
              <w:rPr>
                <w:rFonts w:asciiTheme="majorHAnsi" w:hAnsiTheme="majorHAnsi" w:cstheme="majorHAnsi"/>
                <w:bCs/>
                <w:snapToGrid w:val="0"/>
                <w:color w:val="000000"/>
                <w:sz w:val="16"/>
                <w:szCs w:val="16"/>
                <w:lang w:val="en-US"/>
              </w:rPr>
              <w:t>DEPED Order No. 32 s. 2017 on Gender-Responsive Basic Education Policy</w:t>
            </w:r>
          </w:p>
        </w:tc>
        <w:tc>
          <w:tcPr>
            <w:tcW w:w="1243" w:type="dxa"/>
          </w:tcPr>
          <w:p w14:paraId="06E95AE9"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153" w:type="dxa"/>
          </w:tcPr>
          <w:p w14:paraId="415161BB"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566B50B7" w14:textId="77777777" w:rsidTr="00AF2654">
        <w:trPr>
          <w:trHeight w:val="250"/>
        </w:trPr>
        <w:tc>
          <w:tcPr>
            <w:tcW w:w="6835" w:type="dxa"/>
          </w:tcPr>
          <w:p w14:paraId="43978C85" w14:textId="77777777" w:rsidR="008D0CAD" w:rsidRPr="00DC5490" w:rsidRDefault="008D0CAD" w:rsidP="00DD08E3">
            <w:pPr>
              <w:widowControl w:val="0"/>
              <w:numPr>
                <w:ilvl w:val="0"/>
                <w:numId w:val="93"/>
              </w:numPr>
              <w:spacing w:before="100" w:beforeAutospacing="1" w:after="100" w:afterAutospacing="1" w:line="360" w:lineRule="auto"/>
              <w:contextualSpacing/>
              <w:rPr>
                <w:rFonts w:asciiTheme="majorHAnsi" w:hAnsiTheme="majorHAnsi" w:cstheme="majorHAnsi"/>
                <w:bCs/>
                <w:snapToGrid w:val="0"/>
                <w:color w:val="000000"/>
                <w:sz w:val="16"/>
                <w:szCs w:val="16"/>
                <w:lang w:val="en-US"/>
              </w:rPr>
            </w:pPr>
            <w:r w:rsidRPr="00DC5490">
              <w:rPr>
                <w:rFonts w:asciiTheme="majorHAnsi" w:hAnsiTheme="majorHAnsi" w:cstheme="majorHAnsi"/>
                <w:snapToGrid w:val="0"/>
                <w:sz w:val="16"/>
                <w:szCs w:val="16"/>
                <w:lang w:val="en-US"/>
              </w:rPr>
              <w:t>DO No. 41, s. 2017 on the “Policy Guidelines on Madrasah Education in the K to 12 Basic Education Program”</w:t>
            </w:r>
          </w:p>
        </w:tc>
        <w:tc>
          <w:tcPr>
            <w:tcW w:w="1243" w:type="dxa"/>
          </w:tcPr>
          <w:p w14:paraId="27F6A3DC"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153" w:type="dxa"/>
          </w:tcPr>
          <w:p w14:paraId="3BF8E4B9"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r w:rsidR="008D0CAD" w:rsidRPr="00DC5490" w14:paraId="34C16F68" w14:textId="77777777" w:rsidTr="00AF2654">
        <w:trPr>
          <w:trHeight w:val="250"/>
        </w:trPr>
        <w:tc>
          <w:tcPr>
            <w:tcW w:w="6835" w:type="dxa"/>
          </w:tcPr>
          <w:p w14:paraId="6E046F91" w14:textId="77777777" w:rsidR="008D0CAD" w:rsidRPr="00DC5490" w:rsidRDefault="008D0CAD" w:rsidP="00DD08E3">
            <w:pPr>
              <w:widowControl w:val="0"/>
              <w:numPr>
                <w:ilvl w:val="0"/>
                <w:numId w:val="93"/>
              </w:numPr>
              <w:spacing w:before="100" w:beforeAutospacing="1" w:after="100" w:afterAutospacing="1" w:line="360" w:lineRule="auto"/>
              <w:contextualSpacing/>
              <w:rPr>
                <w:rFonts w:asciiTheme="majorHAnsi" w:hAnsiTheme="majorHAnsi" w:cstheme="majorHAnsi"/>
                <w:snapToGrid w:val="0"/>
                <w:sz w:val="16"/>
                <w:szCs w:val="16"/>
                <w:lang w:val="en-US"/>
              </w:rPr>
            </w:pPr>
            <w:r w:rsidRPr="00DC5490">
              <w:rPr>
                <w:rFonts w:asciiTheme="majorHAnsi" w:hAnsiTheme="majorHAnsi" w:cstheme="majorHAnsi"/>
                <w:snapToGrid w:val="0"/>
                <w:sz w:val="16"/>
                <w:szCs w:val="16"/>
                <w:lang w:val="en-US"/>
              </w:rPr>
              <w:t>DO No. 32, s. 2015 on “Adopting the Indigenous Peoples Education Curriculum Framework”</w:t>
            </w:r>
          </w:p>
        </w:tc>
        <w:tc>
          <w:tcPr>
            <w:tcW w:w="1243" w:type="dxa"/>
          </w:tcPr>
          <w:p w14:paraId="3B390DE1"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c>
          <w:tcPr>
            <w:tcW w:w="1153" w:type="dxa"/>
          </w:tcPr>
          <w:p w14:paraId="16D6427D" w14:textId="77777777" w:rsidR="008D0CAD" w:rsidRPr="00DC5490" w:rsidRDefault="008D0CAD" w:rsidP="00EA6CB9">
            <w:pPr>
              <w:spacing w:before="100" w:beforeAutospacing="1" w:after="100" w:afterAutospacing="1" w:line="360" w:lineRule="auto"/>
              <w:rPr>
                <w:rFonts w:asciiTheme="majorHAnsi" w:hAnsiTheme="majorHAnsi" w:cstheme="majorHAnsi"/>
                <w:b/>
                <w:bCs/>
                <w:color w:val="000000"/>
                <w:sz w:val="16"/>
                <w:szCs w:val="16"/>
                <w:lang w:val="en-US"/>
              </w:rPr>
            </w:pPr>
          </w:p>
        </w:tc>
      </w:tr>
    </w:tbl>
    <w:p w14:paraId="7BDBB2E2" w14:textId="77777777" w:rsidR="008D0CAD" w:rsidRPr="00DC5490" w:rsidRDefault="008D0CAD" w:rsidP="00EA6CB9">
      <w:pPr>
        <w:widowControl w:val="0"/>
        <w:spacing w:before="100" w:beforeAutospacing="1" w:after="100" w:afterAutospacing="1" w:line="360" w:lineRule="auto"/>
        <w:rPr>
          <w:rFonts w:asciiTheme="majorHAnsi" w:hAnsiTheme="majorHAnsi" w:cstheme="majorHAnsi"/>
          <w:b/>
          <w:sz w:val="20"/>
          <w:szCs w:val="20"/>
          <w:lang w:val="en-US"/>
        </w:rPr>
        <w:sectPr w:rsidR="008D0CAD" w:rsidRPr="00DC5490" w:rsidSect="009C64E9">
          <w:pgSz w:w="11906" w:h="16838" w:code="9"/>
          <w:pgMar w:top="1440" w:right="1440" w:bottom="1440" w:left="1440" w:header="708" w:footer="708" w:gutter="0"/>
          <w:cols w:space="708"/>
          <w:docGrid w:linePitch="360"/>
        </w:sectPr>
      </w:pPr>
    </w:p>
    <w:p w14:paraId="366A7A98" w14:textId="77777777" w:rsidR="008D0CAD" w:rsidRPr="00DC5490" w:rsidRDefault="008D0CAD" w:rsidP="00EA6CB9">
      <w:pPr>
        <w:pStyle w:val="Heading2"/>
        <w:numPr>
          <w:ilvl w:val="0"/>
          <w:numId w:val="0"/>
        </w:numPr>
        <w:spacing w:before="100" w:beforeAutospacing="1" w:after="100" w:afterAutospacing="1" w:line="360" w:lineRule="auto"/>
        <w:ind w:left="1288" w:hanging="720"/>
      </w:pPr>
      <w:bookmarkStart w:id="300" w:name="_Toc39938384"/>
      <w:bookmarkStart w:id="301" w:name="_Toc69820489"/>
      <w:r w:rsidRPr="00DC5490">
        <w:t>Annex N. 2019 Survey on the Perceptions on Program Interventions</w:t>
      </w:r>
      <w:bookmarkEnd w:id="300"/>
      <w:bookmarkEnd w:id="301"/>
    </w:p>
    <w:p w14:paraId="2DEDE1AD" w14:textId="77777777" w:rsidR="008D0CAD" w:rsidRPr="00DC5490" w:rsidRDefault="008D0CAD" w:rsidP="00EA6CB9">
      <w:pPr>
        <w:pStyle w:val="Heading3"/>
        <w:spacing w:before="100" w:beforeAutospacing="1" w:after="100" w:afterAutospacing="1" w:line="360" w:lineRule="auto"/>
        <w:rPr>
          <w:lang w:val="en-US"/>
        </w:rPr>
      </w:pPr>
      <w:bookmarkStart w:id="302" w:name="_Toc39938385"/>
      <w:bookmarkStart w:id="303" w:name="_Toc69820490"/>
      <w:r w:rsidRPr="00DC5490">
        <w:rPr>
          <w:lang w:val="en-US"/>
        </w:rPr>
        <w:t>Annex N-1: 2019 Survey of Principals/School Heads (PSHs)</w:t>
      </w:r>
      <w:bookmarkEnd w:id="302"/>
      <w:bookmarkEnd w:id="303"/>
    </w:p>
    <w:p w14:paraId="457B8004" w14:textId="77777777" w:rsidR="008D0CAD" w:rsidRPr="00DC5490" w:rsidRDefault="008D0CAD" w:rsidP="00EA6CB9">
      <w:pPr>
        <w:spacing w:before="100" w:beforeAutospacing="1" w:after="100" w:afterAutospacing="1" w:line="360" w:lineRule="auto"/>
        <w:rPr>
          <w:rFonts w:asciiTheme="majorHAnsi" w:hAnsiTheme="majorHAnsi" w:cstheme="majorHAnsi"/>
          <w:b/>
          <w:sz w:val="20"/>
          <w:szCs w:val="20"/>
          <w:lang w:val="en-US"/>
        </w:rPr>
      </w:pPr>
      <w:r w:rsidRPr="00DC5490">
        <w:rPr>
          <w:rFonts w:asciiTheme="majorHAnsi" w:hAnsiTheme="majorHAnsi" w:cstheme="majorHAnsi"/>
          <w:b/>
          <w:bCs/>
          <w:color w:val="000000"/>
          <w:sz w:val="20"/>
          <w:szCs w:val="20"/>
          <w:lang w:val="en-US"/>
        </w:rPr>
        <w:t>Survey Questionnaire</w:t>
      </w:r>
      <w:r w:rsidRPr="00DC5490">
        <w:rPr>
          <w:rFonts w:asciiTheme="majorHAnsi" w:hAnsiTheme="majorHAnsi" w:cstheme="majorHAnsi"/>
          <w:b/>
          <w:sz w:val="20"/>
          <w:szCs w:val="20"/>
          <w:lang w:val="en-US"/>
        </w:rPr>
        <w:t xml:space="preserve"> for Principals and School Heads</w:t>
      </w:r>
      <w:r w:rsidRPr="00DC5490">
        <w:rPr>
          <w:rFonts w:asciiTheme="majorHAnsi" w:hAnsiTheme="majorHAnsi" w:cstheme="majorHAnsi"/>
          <w:b/>
          <w:sz w:val="20"/>
          <w:szCs w:val="20"/>
          <w:vertAlign w:val="superscript"/>
          <w:lang w:val="en-US"/>
        </w:rPr>
        <w:t xml:space="preserve"> </w:t>
      </w:r>
      <w:r w:rsidRPr="00DC5490">
        <w:rPr>
          <w:rFonts w:asciiTheme="majorHAnsi" w:hAnsiTheme="majorHAnsi" w:cstheme="majorHAnsi"/>
          <w:b/>
          <w:sz w:val="20"/>
          <w:szCs w:val="20"/>
          <w:vertAlign w:val="superscript"/>
          <w:lang w:val="en-US"/>
        </w:rPr>
        <w:footnoteReference w:id="133"/>
      </w:r>
    </w:p>
    <w:p w14:paraId="2BFF9957"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20"/>
          <w:szCs w:val="20"/>
          <w:lang w:val="en-US"/>
        </w:rPr>
      </w:pPr>
      <w:r w:rsidRPr="00DC5490">
        <w:rPr>
          <w:rFonts w:asciiTheme="majorHAnsi" w:eastAsiaTheme="minorHAnsi" w:hAnsiTheme="majorHAnsi" w:cstheme="majorHAnsi"/>
          <w:color w:val="000000"/>
          <w:sz w:val="20"/>
          <w:szCs w:val="20"/>
          <w:lang w:val="en-US"/>
        </w:rPr>
        <w:t xml:space="preserve">Dear Respondent, </w:t>
      </w:r>
    </w:p>
    <w:p w14:paraId="2D88D0E1" w14:textId="77777777" w:rsidR="008D0CAD" w:rsidRPr="00DC5490" w:rsidRDefault="008D0CAD" w:rsidP="00EA6CB9">
      <w:pPr>
        <w:spacing w:before="100" w:beforeAutospacing="1" w:after="100" w:afterAutospacing="1" w:line="360" w:lineRule="auto"/>
        <w:rPr>
          <w:rFonts w:asciiTheme="majorHAnsi" w:hAnsiTheme="majorHAnsi" w:cstheme="majorHAnsi"/>
          <w:sz w:val="20"/>
          <w:szCs w:val="20"/>
          <w:lang w:val="en-US"/>
        </w:rPr>
      </w:pPr>
      <w:r w:rsidRPr="00DC5490">
        <w:rPr>
          <w:rFonts w:asciiTheme="majorHAnsi" w:hAnsiTheme="majorHAnsi" w:cstheme="majorHAnsi"/>
          <w:sz w:val="20"/>
          <w:szCs w:val="20"/>
          <w:lang w:val="en-US"/>
        </w:rPr>
        <w:t xml:space="preserve">This </w:t>
      </w:r>
      <w:r w:rsidRPr="00DC5490">
        <w:rPr>
          <w:rFonts w:asciiTheme="majorHAnsi" w:hAnsiTheme="majorHAnsi" w:cstheme="majorHAnsi"/>
          <w:b/>
          <w:sz w:val="20"/>
          <w:szCs w:val="20"/>
          <w:lang w:val="en-US"/>
        </w:rPr>
        <w:t>Survey</w:t>
      </w:r>
      <w:r w:rsidRPr="00DC5490">
        <w:rPr>
          <w:rFonts w:asciiTheme="majorHAnsi" w:hAnsiTheme="majorHAnsi" w:cstheme="majorHAnsi"/>
          <w:sz w:val="20"/>
          <w:szCs w:val="20"/>
          <w:lang w:val="en-US"/>
        </w:rPr>
        <w:t xml:space="preserve"> is intended primarily to obtain your perspectives on the basic education reforms implemented in the last 5 years facilitated through BEST assistance. Specifically, the survey aims to:</w:t>
      </w:r>
    </w:p>
    <w:p w14:paraId="74C20879" w14:textId="77777777" w:rsidR="008D0CAD" w:rsidRPr="00DC5490" w:rsidRDefault="008D0CAD" w:rsidP="00DD08E3">
      <w:pPr>
        <w:widowControl w:val="0"/>
        <w:numPr>
          <w:ilvl w:val="0"/>
          <w:numId w:val="94"/>
        </w:numPr>
        <w:spacing w:before="100" w:beforeAutospacing="1" w:after="100" w:afterAutospacing="1" w:line="360" w:lineRule="auto"/>
        <w:rPr>
          <w:rFonts w:asciiTheme="majorHAnsi" w:hAnsiTheme="majorHAnsi" w:cstheme="majorHAnsi"/>
          <w:snapToGrid w:val="0"/>
          <w:sz w:val="20"/>
          <w:szCs w:val="20"/>
          <w:lang w:val="en-US"/>
        </w:rPr>
      </w:pPr>
      <w:r w:rsidRPr="00DC5490">
        <w:rPr>
          <w:rFonts w:asciiTheme="majorHAnsi" w:hAnsiTheme="majorHAnsi" w:cstheme="majorHAnsi"/>
          <w:snapToGrid w:val="0"/>
          <w:sz w:val="20"/>
          <w:szCs w:val="20"/>
          <w:lang w:val="en-US"/>
        </w:rPr>
        <w:t>Determine the extent of the knowledge and awareness of intended respondents on the K-12 basic education reforms at school and classroom levels;</w:t>
      </w:r>
    </w:p>
    <w:p w14:paraId="52CC07C3" w14:textId="77777777" w:rsidR="008D0CAD" w:rsidRPr="00DC5490" w:rsidRDefault="008D0CAD" w:rsidP="00DD08E3">
      <w:pPr>
        <w:widowControl w:val="0"/>
        <w:numPr>
          <w:ilvl w:val="0"/>
          <w:numId w:val="94"/>
        </w:numPr>
        <w:spacing w:before="100" w:beforeAutospacing="1" w:after="100" w:afterAutospacing="1" w:line="360" w:lineRule="auto"/>
        <w:rPr>
          <w:rFonts w:asciiTheme="majorHAnsi" w:hAnsiTheme="majorHAnsi" w:cstheme="majorHAnsi"/>
          <w:snapToGrid w:val="0"/>
          <w:sz w:val="20"/>
          <w:szCs w:val="20"/>
          <w:lang w:val="en-US"/>
        </w:rPr>
      </w:pPr>
      <w:r w:rsidRPr="00DC5490">
        <w:rPr>
          <w:rFonts w:asciiTheme="majorHAnsi" w:hAnsiTheme="majorHAnsi" w:cstheme="majorHAnsi"/>
          <w:snapToGrid w:val="0"/>
          <w:sz w:val="20"/>
          <w:szCs w:val="20"/>
          <w:lang w:val="en-US"/>
        </w:rPr>
        <w:t>Assess the extent of their access to and utilisation of outputs generated through the BEST Program interventions such as curriculum guides and learning materials; and</w:t>
      </w:r>
    </w:p>
    <w:p w14:paraId="78529CC7" w14:textId="77777777" w:rsidR="008D0CAD" w:rsidRPr="00DC5490" w:rsidRDefault="008D0CAD" w:rsidP="00DD08E3">
      <w:pPr>
        <w:widowControl w:val="0"/>
        <w:numPr>
          <w:ilvl w:val="0"/>
          <w:numId w:val="94"/>
        </w:numPr>
        <w:spacing w:before="100" w:beforeAutospacing="1" w:after="100" w:afterAutospacing="1" w:line="360" w:lineRule="auto"/>
        <w:rPr>
          <w:rFonts w:asciiTheme="majorHAnsi" w:hAnsiTheme="majorHAnsi" w:cstheme="majorHAnsi"/>
          <w:snapToGrid w:val="0"/>
          <w:sz w:val="20"/>
          <w:szCs w:val="20"/>
          <w:lang w:val="en-US"/>
        </w:rPr>
      </w:pPr>
      <w:r w:rsidRPr="00DC5490">
        <w:rPr>
          <w:rFonts w:asciiTheme="majorHAnsi" w:hAnsiTheme="majorHAnsi" w:cstheme="majorHAnsi"/>
          <w:snapToGrid w:val="0"/>
          <w:sz w:val="20"/>
          <w:szCs w:val="20"/>
          <w:lang w:val="en-US"/>
        </w:rPr>
        <w:t>Assess the extent of their adoption and/or innovation on the outputs generated through the BEST Program interventions;</w:t>
      </w:r>
    </w:p>
    <w:p w14:paraId="14556F70" w14:textId="77777777" w:rsidR="008D0CAD" w:rsidRPr="00DC5490" w:rsidRDefault="008D0CAD" w:rsidP="00DD08E3">
      <w:pPr>
        <w:widowControl w:val="0"/>
        <w:numPr>
          <w:ilvl w:val="0"/>
          <w:numId w:val="94"/>
        </w:numPr>
        <w:spacing w:before="100" w:beforeAutospacing="1" w:after="100" w:afterAutospacing="1" w:line="360" w:lineRule="auto"/>
        <w:rPr>
          <w:rFonts w:asciiTheme="majorHAnsi" w:hAnsiTheme="majorHAnsi" w:cstheme="majorHAnsi"/>
          <w:snapToGrid w:val="0"/>
          <w:sz w:val="20"/>
          <w:szCs w:val="20"/>
          <w:lang w:val="en-US"/>
        </w:rPr>
      </w:pPr>
      <w:r w:rsidRPr="00DC5490">
        <w:rPr>
          <w:rFonts w:asciiTheme="majorHAnsi" w:hAnsiTheme="majorHAnsi" w:cstheme="majorHAnsi"/>
          <w:snapToGrid w:val="0"/>
          <w:sz w:val="20"/>
          <w:szCs w:val="20"/>
          <w:lang w:val="en-US"/>
        </w:rPr>
        <w:t>Determine the adequacy of support provided at the school and classroom levels for the successful implementation and sustainability of the basic education reforms; and</w:t>
      </w:r>
    </w:p>
    <w:p w14:paraId="2CA0D9F4" w14:textId="77777777" w:rsidR="008D0CAD" w:rsidRPr="00DC5490" w:rsidRDefault="008D0CAD" w:rsidP="00DD08E3">
      <w:pPr>
        <w:widowControl w:val="0"/>
        <w:numPr>
          <w:ilvl w:val="0"/>
          <w:numId w:val="94"/>
        </w:numPr>
        <w:spacing w:before="100" w:beforeAutospacing="1" w:after="100" w:afterAutospacing="1" w:line="360" w:lineRule="auto"/>
        <w:rPr>
          <w:rFonts w:asciiTheme="majorHAnsi" w:hAnsiTheme="majorHAnsi" w:cstheme="majorHAnsi"/>
          <w:snapToGrid w:val="0"/>
          <w:sz w:val="20"/>
          <w:szCs w:val="20"/>
          <w:lang w:val="en-US"/>
        </w:rPr>
      </w:pPr>
      <w:r w:rsidRPr="00DC5490">
        <w:rPr>
          <w:rFonts w:asciiTheme="majorHAnsi" w:hAnsiTheme="majorHAnsi" w:cstheme="majorHAnsi"/>
          <w:snapToGrid w:val="0"/>
          <w:sz w:val="20"/>
          <w:szCs w:val="20"/>
          <w:lang w:val="en-US"/>
        </w:rPr>
        <w:t>Solicit additional recommendations for sustaining the reforms at the school and classroom levels.</w:t>
      </w:r>
    </w:p>
    <w:p w14:paraId="31D63D4F" w14:textId="77777777" w:rsidR="008D0CAD" w:rsidRPr="00DC5490" w:rsidRDefault="008D0CAD" w:rsidP="00EA6CB9">
      <w:pPr>
        <w:spacing w:before="100" w:beforeAutospacing="1" w:after="100" w:afterAutospacing="1" w:line="360" w:lineRule="auto"/>
        <w:rPr>
          <w:rFonts w:asciiTheme="majorHAnsi" w:hAnsiTheme="majorHAnsi" w:cstheme="majorHAnsi"/>
          <w:sz w:val="20"/>
          <w:szCs w:val="20"/>
          <w:lang w:val="en-US"/>
        </w:rPr>
      </w:pPr>
      <w:r w:rsidRPr="00DC5490">
        <w:rPr>
          <w:rFonts w:asciiTheme="majorHAnsi" w:hAnsiTheme="majorHAnsi" w:cstheme="majorHAnsi"/>
          <w:sz w:val="20"/>
          <w:szCs w:val="20"/>
          <w:lang w:val="en-US"/>
        </w:rPr>
        <w:t xml:space="preserve">This questionnaire has a total of 24 items that need to be answered. It is estimated to be completed in about 30-45 minutes. Please consider each statement carefully before choosing your answer. </w:t>
      </w:r>
      <w:r w:rsidRPr="00DC5490">
        <w:rPr>
          <w:rFonts w:asciiTheme="majorHAnsi" w:hAnsiTheme="majorHAnsi" w:cstheme="majorHAnsi"/>
          <w:b/>
          <w:sz w:val="20"/>
          <w:szCs w:val="20"/>
          <w:lang w:val="en-US"/>
        </w:rPr>
        <w:t>Please note that all answers will be kept strictly confidential.</w:t>
      </w:r>
      <w:r w:rsidRPr="00DC5490">
        <w:rPr>
          <w:rFonts w:asciiTheme="majorHAnsi" w:hAnsiTheme="majorHAnsi" w:cstheme="majorHAnsi"/>
          <w:sz w:val="20"/>
          <w:szCs w:val="20"/>
          <w:lang w:val="en-US"/>
        </w:rPr>
        <w:t xml:space="preserve"> </w:t>
      </w:r>
      <w:r w:rsidRPr="00DC5490">
        <w:rPr>
          <w:rFonts w:asciiTheme="majorHAnsi" w:hAnsiTheme="majorHAnsi" w:cstheme="majorHAnsi"/>
          <w:b/>
          <w:sz w:val="20"/>
          <w:szCs w:val="20"/>
          <w:lang w:val="en-US"/>
        </w:rPr>
        <w:t>We apologise for the lengthiness of this survey</w:t>
      </w:r>
      <w:r w:rsidRPr="00DC5490">
        <w:rPr>
          <w:rFonts w:asciiTheme="majorHAnsi" w:hAnsiTheme="majorHAnsi" w:cstheme="majorHAnsi"/>
          <w:sz w:val="20"/>
          <w:szCs w:val="20"/>
          <w:lang w:val="en-US"/>
        </w:rPr>
        <w:t>, which is necessary for us to obtain a comprehensive assessment of the effects of the basic education reforms at the school level.</w:t>
      </w:r>
    </w:p>
    <w:p w14:paraId="02FAC71C" w14:textId="248EF2F6" w:rsidR="008D0CAD" w:rsidRPr="00DC5490" w:rsidRDefault="008D0CAD" w:rsidP="00EA6CB9">
      <w:pPr>
        <w:spacing w:before="100" w:beforeAutospacing="1" w:after="100" w:afterAutospacing="1" w:line="360" w:lineRule="auto"/>
        <w:rPr>
          <w:rFonts w:asciiTheme="majorHAnsi" w:hAnsiTheme="majorHAnsi" w:cstheme="majorHAnsi"/>
          <w:sz w:val="20"/>
          <w:szCs w:val="20"/>
          <w:lang w:val="en-US"/>
        </w:rPr>
      </w:pPr>
      <w:r w:rsidRPr="00DC5490">
        <w:rPr>
          <w:rFonts w:asciiTheme="majorHAnsi" w:hAnsiTheme="majorHAnsi" w:cstheme="majorHAnsi"/>
          <w:sz w:val="20"/>
          <w:szCs w:val="20"/>
          <w:lang w:val="en-US"/>
        </w:rPr>
        <w:t>Your participation is very much appreciated.</w:t>
      </w:r>
      <w:r w:rsidR="00D434EB">
        <w:rPr>
          <w:rFonts w:asciiTheme="majorHAnsi" w:hAnsiTheme="majorHAnsi" w:cstheme="majorHAnsi"/>
          <w:sz w:val="20"/>
          <w:szCs w:val="20"/>
          <w:lang w:val="en-US"/>
        </w:rPr>
        <w:t xml:space="preserve"> </w:t>
      </w:r>
      <w:r w:rsidRPr="00DC5490">
        <w:rPr>
          <w:rFonts w:asciiTheme="majorHAnsi" w:hAnsiTheme="majorHAnsi" w:cstheme="majorHAnsi"/>
          <w:sz w:val="20"/>
          <w:szCs w:val="20"/>
          <w:lang w:val="en-US"/>
        </w:rPr>
        <w:t>Thank you very much.</w:t>
      </w:r>
    </w:p>
    <w:p w14:paraId="67B07B1F" w14:textId="468382F1" w:rsidR="008D0CAD" w:rsidRPr="00EA6CB9" w:rsidRDefault="008D0CAD" w:rsidP="00EA6CB9">
      <w:pPr>
        <w:spacing w:before="100" w:beforeAutospacing="1" w:after="100" w:afterAutospacing="1" w:line="360" w:lineRule="auto"/>
        <w:rPr>
          <w:rFonts w:asciiTheme="majorHAnsi" w:hAnsiTheme="majorHAnsi" w:cstheme="majorHAnsi"/>
          <w:b/>
          <w:sz w:val="20"/>
          <w:szCs w:val="20"/>
          <w:lang w:val="en-US"/>
        </w:rPr>
      </w:pPr>
      <w:r w:rsidRPr="00DC5490">
        <w:rPr>
          <w:rFonts w:asciiTheme="majorHAnsi" w:hAnsiTheme="majorHAnsi" w:cstheme="majorHAnsi"/>
          <w:b/>
          <w:sz w:val="20"/>
          <w:szCs w:val="20"/>
          <w:lang w:val="en-US"/>
        </w:rPr>
        <w:t>Part 1: Context</w:t>
      </w:r>
    </w:p>
    <w:p w14:paraId="7870506A" w14:textId="77777777" w:rsidR="008D0CAD" w:rsidRPr="00DC5490" w:rsidRDefault="008D0CAD" w:rsidP="00DD08E3">
      <w:pPr>
        <w:numPr>
          <w:ilvl w:val="0"/>
          <w:numId w:val="81"/>
        </w:num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20"/>
          <w:szCs w:val="20"/>
          <w:lang w:val="en-US"/>
        </w:rPr>
      </w:pPr>
      <w:r w:rsidRPr="00DC5490">
        <w:rPr>
          <w:rFonts w:asciiTheme="majorHAnsi" w:eastAsiaTheme="minorHAnsi" w:hAnsiTheme="majorHAnsi" w:cstheme="majorHAnsi"/>
          <w:bCs/>
          <w:color w:val="000000"/>
          <w:sz w:val="20"/>
          <w:szCs w:val="20"/>
          <w:lang w:val="en-US"/>
        </w:rPr>
        <w:t xml:space="preserve"> </w:t>
      </w:r>
      <w:r w:rsidRPr="00DC5490">
        <w:rPr>
          <w:rFonts w:asciiTheme="majorHAnsi" w:eastAsiaTheme="minorHAnsi" w:hAnsiTheme="majorHAnsi" w:cstheme="majorHAnsi"/>
          <w:color w:val="000000"/>
          <w:sz w:val="20"/>
          <w:szCs w:val="20"/>
          <w:lang w:val="en-US"/>
        </w:rPr>
        <w:t xml:space="preserve">To the best of your knowledge, </w:t>
      </w:r>
      <w:r w:rsidRPr="00DC5490">
        <w:rPr>
          <w:rFonts w:asciiTheme="majorHAnsi" w:eastAsiaTheme="minorHAnsi" w:hAnsiTheme="majorHAnsi" w:cstheme="majorHAnsi"/>
          <w:color w:val="000000" w:themeColor="text1"/>
          <w:sz w:val="20"/>
          <w:szCs w:val="20"/>
          <w:lang w:val="en-US"/>
        </w:rPr>
        <w:t>what were the educational needs or gaps that the basic education reforms intended to address through the systems/program interventions introduced in the last five years? [Multiple answers allowed.]</w:t>
      </w:r>
    </w:p>
    <w:p w14:paraId="07C9F1E4"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0"/>
          <w:szCs w:val="20"/>
          <w:lang w:val="en-US"/>
        </w:rPr>
      </w:pPr>
      <w:r w:rsidRPr="00DC5490">
        <w:rPr>
          <w:rFonts w:asciiTheme="majorHAnsi" w:eastAsiaTheme="minorHAnsi" w:hAnsiTheme="majorHAnsi" w:cstheme="majorHAnsi"/>
          <w:color w:val="000000"/>
          <w:sz w:val="20"/>
          <w:szCs w:val="20"/>
          <w:lang w:val="en-US"/>
        </w:rPr>
        <w:t xml:space="preserve">___ High drop-out rates </w:t>
      </w:r>
    </w:p>
    <w:p w14:paraId="69516336"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0"/>
          <w:szCs w:val="20"/>
          <w:lang w:val="en-US"/>
        </w:rPr>
      </w:pPr>
      <w:r w:rsidRPr="00DC5490">
        <w:rPr>
          <w:rFonts w:asciiTheme="majorHAnsi" w:eastAsiaTheme="minorHAnsi" w:hAnsiTheme="majorHAnsi" w:cstheme="majorHAnsi"/>
          <w:color w:val="000000"/>
          <w:sz w:val="20"/>
          <w:szCs w:val="20"/>
          <w:lang w:val="en-US"/>
        </w:rPr>
        <w:t>___ High rates of school leavers</w:t>
      </w:r>
    </w:p>
    <w:p w14:paraId="7257EEF9"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0"/>
          <w:szCs w:val="20"/>
          <w:lang w:val="en-US"/>
        </w:rPr>
      </w:pPr>
      <w:r w:rsidRPr="00DC5490">
        <w:rPr>
          <w:rFonts w:asciiTheme="majorHAnsi" w:eastAsiaTheme="minorHAnsi" w:hAnsiTheme="majorHAnsi" w:cstheme="majorHAnsi"/>
          <w:color w:val="000000"/>
          <w:sz w:val="20"/>
          <w:szCs w:val="20"/>
          <w:lang w:val="en-US"/>
        </w:rPr>
        <w:t xml:space="preserve">___ Low performance in math, science, English and Filipino </w:t>
      </w:r>
    </w:p>
    <w:p w14:paraId="3277B6ED"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0"/>
          <w:szCs w:val="20"/>
          <w:lang w:val="en-US"/>
        </w:rPr>
      </w:pPr>
      <w:r w:rsidRPr="00DC5490">
        <w:rPr>
          <w:rFonts w:asciiTheme="majorHAnsi" w:eastAsiaTheme="minorHAnsi" w:hAnsiTheme="majorHAnsi" w:cstheme="majorHAnsi"/>
          <w:color w:val="000000"/>
          <w:sz w:val="20"/>
          <w:szCs w:val="20"/>
          <w:lang w:val="en-US"/>
        </w:rPr>
        <w:t>___ Disparity of learning outcomes between boys and girls</w:t>
      </w:r>
    </w:p>
    <w:p w14:paraId="35B16E4D"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0"/>
          <w:szCs w:val="20"/>
          <w:lang w:val="en-US"/>
        </w:rPr>
      </w:pPr>
      <w:r w:rsidRPr="00DC5490">
        <w:rPr>
          <w:rFonts w:asciiTheme="majorHAnsi" w:eastAsiaTheme="minorHAnsi" w:hAnsiTheme="majorHAnsi" w:cstheme="majorHAnsi"/>
          <w:color w:val="000000"/>
          <w:sz w:val="20"/>
          <w:szCs w:val="20"/>
          <w:lang w:val="en-US"/>
        </w:rPr>
        <w:t>___ Low reading skills among Grade 3 students</w:t>
      </w:r>
    </w:p>
    <w:p w14:paraId="72E14F65"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0"/>
          <w:szCs w:val="20"/>
          <w:lang w:val="en-US"/>
        </w:rPr>
      </w:pPr>
      <w:r w:rsidRPr="00DC5490">
        <w:rPr>
          <w:rFonts w:asciiTheme="majorHAnsi" w:eastAsiaTheme="minorHAnsi" w:hAnsiTheme="majorHAnsi" w:cstheme="majorHAnsi"/>
          <w:color w:val="000000"/>
          <w:sz w:val="20"/>
          <w:szCs w:val="20"/>
          <w:lang w:val="en-US"/>
        </w:rPr>
        <w:t>___ Low graduation rates</w:t>
      </w:r>
    </w:p>
    <w:p w14:paraId="48AFC436"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0"/>
          <w:szCs w:val="20"/>
          <w:lang w:val="en-US"/>
        </w:rPr>
      </w:pPr>
      <w:r w:rsidRPr="00DC5490">
        <w:rPr>
          <w:rFonts w:asciiTheme="majorHAnsi" w:eastAsiaTheme="minorHAnsi" w:hAnsiTheme="majorHAnsi" w:cstheme="majorHAnsi"/>
          <w:color w:val="000000"/>
          <w:sz w:val="20"/>
          <w:szCs w:val="20"/>
          <w:lang w:val="en-US"/>
        </w:rPr>
        <w:t>___ Low completion rates</w:t>
      </w:r>
    </w:p>
    <w:p w14:paraId="1A072276"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0"/>
          <w:szCs w:val="20"/>
          <w:lang w:val="en-US"/>
        </w:rPr>
      </w:pPr>
      <w:r w:rsidRPr="00DC5490">
        <w:rPr>
          <w:rFonts w:asciiTheme="majorHAnsi" w:eastAsiaTheme="minorHAnsi" w:hAnsiTheme="majorHAnsi" w:cstheme="majorHAnsi"/>
          <w:color w:val="000000"/>
          <w:sz w:val="20"/>
          <w:szCs w:val="20"/>
          <w:lang w:val="en-US"/>
        </w:rPr>
        <w:t>___ Poor access of marginalised children (e.g. Children with disabilities) to education services</w:t>
      </w:r>
    </w:p>
    <w:p w14:paraId="1EC1D05A"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0"/>
          <w:szCs w:val="20"/>
          <w:lang w:val="en-US"/>
        </w:rPr>
      </w:pPr>
      <w:r w:rsidRPr="00DC5490">
        <w:rPr>
          <w:rFonts w:asciiTheme="majorHAnsi" w:eastAsiaTheme="minorHAnsi" w:hAnsiTheme="majorHAnsi" w:cstheme="majorHAnsi"/>
          <w:color w:val="000000"/>
          <w:sz w:val="20"/>
          <w:szCs w:val="20"/>
          <w:lang w:val="en-US"/>
        </w:rPr>
        <w:t>___ Inadequate special programs for gifted children</w:t>
      </w:r>
    </w:p>
    <w:p w14:paraId="0C62CB1D"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994" w:hanging="634"/>
        <w:rPr>
          <w:rFonts w:asciiTheme="majorHAnsi" w:eastAsiaTheme="minorHAnsi" w:hAnsiTheme="majorHAnsi" w:cstheme="majorHAnsi"/>
          <w:color w:val="000000"/>
          <w:sz w:val="20"/>
          <w:szCs w:val="20"/>
          <w:lang w:val="en-US"/>
        </w:rPr>
      </w:pPr>
      <w:r w:rsidRPr="00DC5490">
        <w:rPr>
          <w:rFonts w:asciiTheme="majorHAnsi" w:eastAsiaTheme="minorHAnsi" w:hAnsiTheme="majorHAnsi" w:cstheme="majorHAnsi"/>
          <w:color w:val="000000"/>
          <w:sz w:val="20"/>
          <w:szCs w:val="20"/>
          <w:lang w:val="en-US"/>
        </w:rPr>
        <w:t xml:space="preserve">___ Others: _________________________________________________________________ </w:t>
      </w:r>
    </w:p>
    <w:p w14:paraId="4516D6C6" w14:textId="77777777" w:rsidR="008D0CAD" w:rsidRPr="00DC5490" w:rsidRDefault="008D0CAD" w:rsidP="00DD08E3">
      <w:pPr>
        <w:numPr>
          <w:ilvl w:val="0"/>
          <w:numId w:val="81"/>
        </w:num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20"/>
          <w:szCs w:val="20"/>
          <w:lang w:val="en-US"/>
        </w:rPr>
      </w:pPr>
      <w:r w:rsidRPr="00DC5490">
        <w:rPr>
          <w:rFonts w:asciiTheme="majorHAnsi" w:eastAsiaTheme="minorHAnsi" w:hAnsiTheme="majorHAnsi" w:cstheme="majorHAnsi"/>
          <w:color w:val="000000"/>
          <w:sz w:val="20"/>
          <w:szCs w:val="20"/>
          <w:lang w:val="en-US"/>
        </w:rPr>
        <w:t xml:space="preserve">What were the specific needs of your school that were addressed by the </w:t>
      </w:r>
      <w:r w:rsidRPr="00DC5490">
        <w:rPr>
          <w:rFonts w:asciiTheme="majorHAnsi" w:eastAsiaTheme="minorHAnsi" w:hAnsiTheme="majorHAnsi" w:cstheme="majorHAnsi"/>
          <w:color w:val="000000" w:themeColor="text1"/>
          <w:sz w:val="20"/>
          <w:szCs w:val="20"/>
          <w:lang w:val="en-US"/>
        </w:rPr>
        <w:t>basic education reforms</w:t>
      </w:r>
      <w:r w:rsidRPr="00DC5490">
        <w:rPr>
          <w:rFonts w:asciiTheme="majorHAnsi" w:eastAsiaTheme="minorHAnsi" w:hAnsiTheme="majorHAnsi" w:cstheme="majorHAnsi"/>
          <w:color w:val="000000"/>
          <w:sz w:val="20"/>
          <w:szCs w:val="20"/>
          <w:lang w:val="en-US"/>
        </w:rPr>
        <w:t xml:space="preserve">? </w:t>
      </w:r>
    </w:p>
    <w:p w14:paraId="183A4F76"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0"/>
          <w:szCs w:val="20"/>
          <w:lang w:val="en-US"/>
        </w:rPr>
      </w:pPr>
      <w:r w:rsidRPr="00DC5490">
        <w:rPr>
          <w:rFonts w:asciiTheme="majorHAnsi" w:eastAsiaTheme="minorHAnsi" w:hAnsiTheme="majorHAnsi" w:cstheme="majorHAnsi"/>
          <w:color w:val="000000"/>
          <w:sz w:val="20"/>
          <w:szCs w:val="20"/>
          <w:lang w:val="en-US"/>
        </w:rPr>
        <w:t xml:space="preserve">___ Shortage of classrooms </w:t>
      </w:r>
    </w:p>
    <w:p w14:paraId="10071A11"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0"/>
          <w:szCs w:val="20"/>
          <w:lang w:val="en-US"/>
        </w:rPr>
      </w:pPr>
      <w:r w:rsidRPr="00DC5490">
        <w:rPr>
          <w:rFonts w:asciiTheme="majorHAnsi" w:eastAsiaTheme="minorHAnsi" w:hAnsiTheme="majorHAnsi" w:cstheme="majorHAnsi"/>
          <w:color w:val="000000"/>
          <w:sz w:val="20"/>
          <w:szCs w:val="20"/>
          <w:lang w:val="en-US"/>
        </w:rPr>
        <w:t>___ Shortage of learning materials</w:t>
      </w:r>
    </w:p>
    <w:p w14:paraId="7B7FBA7D"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0"/>
          <w:szCs w:val="20"/>
          <w:lang w:val="en-US"/>
        </w:rPr>
      </w:pPr>
      <w:r w:rsidRPr="00DC5490">
        <w:rPr>
          <w:rFonts w:asciiTheme="majorHAnsi" w:eastAsiaTheme="minorHAnsi" w:hAnsiTheme="majorHAnsi" w:cstheme="majorHAnsi"/>
          <w:color w:val="000000"/>
          <w:sz w:val="20"/>
          <w:szCs w:val="20"/>
          <w:lang w:val="en-US"/>
        </w:rPr>
        <w:t>___ Development of Leadership capacity</w:t>
      </w:r>
    </w:p>
    <w:p w14:paraId="6E225614"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0"/>
          <w:szCs w:val="20"/>
          <w:lang w:val="en-US"/>
        </w:rPr>
      </w:pPr>
      <w:r w:rsidRPr="00DC5490">
        <w:rPr>
          <w:rFonts w:asciiTheme="majorHAnsi" w:eastAsiaTheme="minorHAnsi" w:hAnsiTheme="majorHAnsi" w:cstheme="majorHAnsi"/>
          <w:color w:val="000000"/>
          <w:sz w:val="20"/>
          <w:szCs w:val="20"/>
          <w:lang w:val="en-US"/>
        </w:rPr>
        <w:t>___ Development of Management capacity</w:t>
      </w:r>
    </w:p>
    <w:p w14:paraId="364D2318"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0"/>
          <w:szCs w:val="20"/>
          <w:lang w:val="en-US"/>
        </w:rPr>
      </w:pPr>
      <w:r w:rsidRPr="00DC5490">
        <w:rPr>
          <w:rFonts w:asciiTheme="majorHAnsi" w:eastAsiaTheme="minorHAnsi" w:hAnsiTheme="majorHAnsi" w:cstheme="majorHAnsi"/>
          <w:color w:val="000000"/>
          <w:sz w:val="20"/>
          <w:szCs w:val="20"/>
          <w:lang w:val="en-US"/>
        </w:rPr>
        <w:t>___ Development of Teachers’ competencies</w:t>
      </w:r>
    </w:p>
    <w:p w14:paraId="484823DD"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0"/>
          <w:szCs w:val="20"/>
          <w:lang w:val="en-US"/>
        </w:rPr>
      </w:pPr>
      <w:r w:rsidRPr="00DC5490">
        <w:rPr>
          <w:rFonts w:asciiTheme="majorHAnsi" w:eastAsiaTheme="minorHAnsi" w:hAnsiTheme="majorHAnsi" w:cstheme="majorHAnsi"/>
          <w:color w:val="000000"/>
          <w:sz w:val="20"/>
          <w:szCs w:val="20"/>
          <w:lang w:val="en-US"/>
        </w:rPr>
        <w:t xml:space="preserve">___ Problems with the Basic Education Curricula </w:t>
      </w:r>
    </w:p>
    <w:p w14:paraId="1294AE74"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0"/>
          <w:szCs w:val="20"/>
          <w:lang w:val="en-US"/>
        </w:rPr>
      </w:pPr>
      <w:r w:rsidRPr="00DC5490">
        <w:rPr>
          <w:rFonts w:asciiTheme="majorHAnsi" w:eastAsiaTheme="minorHAnsi" w:hAnsiTheme="majorHAnsi" w:cstheme="majorHAnsi"/>
          <w:color w:val="000000"/>
          <w:sz w:val="20"/>
          <w:szCs w:val="20"/>
          <w:lang w:val="en-US"/>
        </w:rPr>
        <w:t>___ Problems with Assessment of student learning</w:t>
      </w:r>
    </w:p>
    <w:p w14:paraId="6CF55175"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0"/>
          <w:szCs w:val="20"/>
          <w:lang w:val="en-US"/>
        </w:rPr>
      </w:pPr>
      <w:r w:rsidRPr="00DC5490">
        <w:rPr>
          <w:rFonts w:asciiTheme="majorHAnsi" w:eastAsiaTheme="minorHAnsi" w:hAnsiTheme="majorHAnsi" w:cstheme="majorHAnsi"/>
          <w:color w:val="000000"/>
          <w:sz w:val="20"/>
          <w:szCs w:val="20"/>
          <w:lang w:val="en-US"/>
        </w:rPr>
        <w:t>___ Problems with learning outcomes</w:t>
      </w:r>
    </w:p>
    <w:p w14:paraId="1A42F3FC"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0"/>
          <w:szCs w:val="20"/>
          <w:lang w:val="en-US"/>
        </w:rPr>
      </w:pPr>
      <w:r w:rsidRPr="00DC5490">
        <w:rPr>
          <w:rFonts w:asciiTheme="majorHAnsi" w:eastAsiaTheme="minorHAnsi" w:hAnsiTheme="majorHAnsi" w:cstheme="majorHAnsi"/>
          <w:color w:val="000000"/>
          <w:sz w:val="20"/>
          <w:szCs w:val="20"/>
          <w:lang w:val="en-US"/>
        </w:rPr>
        <w:t>___ Responsiveness of learning materials to different learning needs</w:t>
      </w:r>
    </w:p>
    <w:p w14:paraId="1596D567"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0"/>
          <w:szCs w:val="20"/>
          <w:lang w:val="en-US"/>
        </w:rPr>
      </w:pPr>
      <w:r w:rsidRPr="00DC5490">
        <w:rPr>
          <w:rFonts w:asciiTheme="majorHAnsi" w:eastAsiaTheme="minorHAnsi" w:hAnsiTheme="majorHAnsi" w:cstheme="majorHAnsi"/>
          <w:color w:val="000000"/>
          <w:sz w:val="20"/>
          <w:szCs w:val="20"/>
          <w:lang w:val="en-US"/>
        </w:rPr>
        <w:t>___ Contextualisation of learning materials</w:t>
      </w:r>
    </w:p>
    <w:p w14:paraId="56859580"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0"/>
          <w:szCs w:val="20"/>
          <w:lang w:val="en-US"/>
        </w:rPr>
      </w:pPr>
      <w:r w:rsidRPr="00DC5490">
        <w:rPr>
          <w:rFonts w:asciiTheme="majorHAnsi" w:eastAsiaTheme="minorHAnsi" w:hAnsiTheme="majorHAnsi" w:cstheme="majorHAnsi"/>
          <w:color w:val="000000"/>
          <w:sz w:val="20"/>
          <w:szCs w:val="20"/>
          <w:lang w:val="en-US"/>
        </w:rPr>
        <w:t>___ Responding to needs of special groups of children (e.g. with disabilities, IPs)</w:t>
      </w:r>
    </w:p>
    <w:p w14:paraId="5DC53B78"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0"/>
          <w:szCs w:val="20"/>
          <w:lang w:val="en-US"/>
        </w:rPr>
      </w:pPr>
      <w:r w:rsidRPr="00DC5490">
        <w:rPr>
          <w:rFonts w:asciiTheme="majorHAnsi" w:eastAsiaTheme="minorHAnsi" w:hAnsiTheme="majorHAnsi" w:cstheme="majorHAnsi"/>
          <w:color w:val="000000"/>
          <w:sz w:val="20"/>
          <w:szCs w:val="20"/>
          <w:lang w:val="en-US"/>
        </w:rPr>
        <w:t xml:space="preserve">___ Others: </w:t>
      </w:r>
    </w:p>
    <w:p w14:paraId="728760FA" w14:textId="410D2BA1" w:rsidR="008D0CAD" w:rsidRPr="00DC5490" w:rsidRDefault="008D0CAD" w:rsidP="00DD08E3">
      <w:pPr>
        <w:numPr>
          <w:ilvl w:val="0"/>
          <w:numId w:val="81"/>
        </w:numPr>
        <w:autoSpaceDE w:val="0"/>
        <w:autoSpaceDN w:val="0"/>
        <w:adjustRightInd w:val="0"/>
        <w:spacing w:before="100" w:beforeAutospacing="1" w:after="100" w:afterAutospacing="1" w:line="360" w:lineRule="auto"/>
        <w:ind w:left="357" w:hanging="357"/>
        <w:rPr>
          <w:rFonts w:asciiTheme="majorHAnsi" w:eastAsiaTheme="minorHAnsi" w:hAnsiTheme="majorHAnsi" w:cstheme="majorHAnsi"/>
          <w:color w:val="000000"/>
          <w:sz w:val="20"/>
          <w:szCs w:val="20"/>
          <w:lang w:val="en-US"/>
        </w:rPr>
      </w:pPr>
      <w:r w:rsidRPr="00DC5490">
        <w:rPr>
          <w:rFonts w:asciiTheme="majorHAnsi" w:eastAsiaTheme="minorHAnsi" w:hAnsiTheme="majorHAnsi" w:cstheme="majorHAnsi"/>
          <w:color w:val="000000"/>
          <w:sz w:val="20"/>
          <w:szCs w:val="20"/>
          <w:lang w:val="en-US"/>
        </w:rPr>
        <w:t>Are you aware of the BEST Program?</w:t>
      </w:r>
      <w:r w:rsidR="00D434EB">
        <w:rPr>
          <w:rFonts w:asciiTheme="majorHAnsi" w:eastAsiaTheme="minorHAnsi" w:hAnsiTheme="majorHAnsi" w:cstheme="majorHAnsi"/>
          <w:color w:val="000000"/>
          <w:sz w:val="20"/>
          <w:szCs w:val="20"/>
          <w:lang w:val="en-US"/>
        </w:rPr>
        <w:t xml:space="preserve"> </w:t>
      </w:r>
      <w:r w:rsidRPr="00DC5490">
        <w:rPr>
          <w:rFonts w:asciiTheme="majorHAnsi" w:eastAsiaTheme="minorHAnsi" w:hAnsiTheme="majorHAnsi" w:cstheme="majorHAnsi"/>
          <w:color w:val="000000"/>
          <w:sz w:val="20"/>
          <w:szCs w:val="20"/>
          <w:lang w:val="en-US"/>
        </w:rPr>
        <w:t>_____ Yes</w:t>
      </w:r>
      <w:r w:rsidR="00D434EB">
        <w:rPr>
          <w:rFonts w:asciiTheme="majorHAnsi" w:eastAsiaTheme="minorHAnsi" w:hAnsiTheme="majorHAnsi" w:cstheme="majorHAnsi"/>
          <w:color w:val="000000"/>
          <w:sz w:val="20"/>
          <w:szCs w:val="20"/>
          <w:lang w:val="en-US"/>
        </w:rPr>
        <w:t xml:space="preserve">  </w:t>
      </w:r>
      <w:r w:rsidRPr="00DC5490">
        <w:rPr>
          <w:rFonts w:asciiTheme="majorHAnsi" w:eastAsiaTheme="minorHAnsi" w:hAnsiTheme="majorHAnsi" w:cstheme="majorHAnsi"/>
          <w:color w:val="000000"/>
          <w:sz w:val="20"/>
          <w:szCs w:val="20"/>
          <w:lang w:val="en-US"/>
        </w:rPr>
        <w:t xml:space="preserve"> _____ No</w:t>
      </w:r>
    </w:p>
    <w:p w14:paraId="4EA056B9" w14:textId="77777777" w:rsidR="008D0CAD" w:rsidRPr="00DC5490" w:rsidRDefault="008D0CAD" w:rsidP="00DD08E3">
      <w:pPr>
        <w:numPr>
          <w:ilvl w:val="0"/>
          <w:numId w:val="81"/>
        </w:num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20"/>
          <w:szCs w:val="20"/>
          <w:lang w:val="en-US"/>
        </w:rPr>
      </w:pPr>
      <w:r w:rsidRPr="00DC5490">
        <w:rPr>
          <w:rFonts w:asciiTheme="majorHAnsi" w:eastAsiaTheme="minorHAnsi" w:hAnsiTheme="majorHAnsi" w:cstheme="majorHAnsi"/>
          <w:color w:val="000000"/>
          <w:sz w:val="20"/>
          <w:szCs w:val="20"/>
          <w:lang w:val="en-US"/>
        </w:rPr>
        <w:t xml:space="preserve">Do you think that the basic education reforms instituted in the last five years with assistance from the BEST Program adequately responded to the educational gaps encountered in your school as identified above? Why or why not? </w:t>
      </w:r>
    </w:p>
    <w:p w14:paraId="782BD371" w14:textId="77777777" w:rsidR="008D0CAD" w:rsidRPr="00DC5490" w:rsidRDefault="008D0CAD" w:rsidP="00DD08E3">
      <w:pPr>
        <w:numPr>
          <w:ilvl w:val="0"/>
          <w:numId w:val="81"/>
        </w:num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20"/>
          <w:szCs w:val="20"/>
          <w:lang w:val="en-US"/>
        </w:rPr>
      </w:pPr>
      <w:r w:rsidRPr="00DC5490">
        <w:rPr>
          <w:rFonts w:asciiTheme="majorHAnsi" w:eastAsiaTheme="minorHAnsi" w:hAnsiTheme="majorHAnsi" w:cstheme="majorHAnsi"/>
          <w:color w:val="000000"/>
          <w:sz w:val="20"/>
          <w:szCs w:val="20"/>
          <w:lang w:val="en-US"/>
        </w:rPr>
        <w:t xml:space="preserve">What other basic education reforms could have been done that were not yet been done? _____________ </w:t>
      </w:r>
    </w:p>
    <w:p w14:paraId="445B86E5" w14:textId="77777777" w:rsidR="008D0CAD" w:rsidRPr="00EC48C1" w:rsidRDefault="008D0CAD" w:rsidP="00EA6CB9">
      <w:pPr>
        <w:spacing w:before="100" w:beforeAutospacing="1" w:after="100" w:afterAutospacing="1" w:line="360" w:lineRule="auto"/>
        <w:rPr>
          <w:rFonts w:asciiTheme="majorHAnsi" w:hAnsiTheme="majorHAnsi" w:cstheme="majorHAnsi"/>
          <w:b/>
          <w:sz w:val="20"/>
          <w:szCs w:val="20"/>
          <w:lang w:val="en-US"/>
        </w:rPr>
      </w:pPr>
      <w:r w:rsidRPr="00EC48C1">
        <w:rPr>
          <w:rFonts w:asciiTheme="majorHAnsi" w:hAnsiTheme="majorHAnsi" w:cstheme="majorHAnsi"/>
          <w:b/>
          <w:sz w:val="20"/>
          <w:szCs w:val="20"/>
          <w:lang w:val="en-US"/>
        </w:rPr>
        <w:t>Part 2: Assessment of Implementation of BEST Program Interventions</w:t>
      </w:r>
    </w:p>
    <w:p w14:paraId="0652C7F3" w14:textId="77777777" w:rsidR="008D0CAD" w:rsidRPr="00DC5490" w:rsidRDefault="008D0CAD" w:rsidP="00EA6CB9">
      <w:pPr>
        <w:spacing w:before="100" w:beforeAutospacing="1" w:after="100" w:afterAutospacing="1" w:line="360" w:lineRule="auto"/>
        <w:rPr>
          <w:rFonts w:asciiTheme="majorHAnsi" w:hAnsiTheme="majorHAnsi" w:cstheme="majorHAnsi"/>
          <w:b/>
          <w:sz w:val="20"/>
          <w:szCs w:val="20"/>
          <w:lang w:val="en-US"/>
        </w:rPr>
      </w:pPr>
      <w:r w:rsidRPr="00EC48C1">
        <w:rPr>
          <w:rFonts w:asciiTheme="majorHAnsi" w:hAnsiTheme="majorHAnsi" w:cstheme="majorHAnsi"/>
          <w:b/>
          <w:sz w:val="20"/>
          <w:szCs w:val="20"/>
          <w:lang w:val="en-US"/>
        </w:rPr>
        <w:t>GEDSI</w:t>
      </w:r>
    </w:p>
    <w:p w14:paraId="30CD7711" w14:textId="77777777" w:rsidR="008D0CAD" w:rsidRPr="00DC5490" w:rsidRDefault="008D0CAD" w:rsidP="00DD08E3">
      <w:pPr>
        <w:numPr>
          <w:ilvl w:val="0"/>
          <w:numId w:val="81"/>
        </w:numPr>
        <w:spacing w:before="100" w:beforeAutospacing="1" w:after="100" w:afterAutospacing="1" w:line="360" w:lineRule="auto"/>
        <w:contextualSpacing/>
        <w:rPr>
          <w:rFonts w:asciiTheme="majorHAnsi" w:hAnsiTheme="majorHAnsi" w:cstheme="majorHAnsi"/>
          <w:snapToGrid w:val="0"/>
          <w:color w:val="000000"/>
          <w:sz w:val="20"/>
          <w:szCs w:val="20"/>
          <w:lang w:val="en-US"/>
        </w:rPr>
      </w:pPr>
      <w:r w:rsidRPr="00DC5490">
        <w:rPr>
          <w:rFonts w:asciiTheme="majorHAnsi" w:hAnsiTheme="majorHAnsi" w:cstheme="majorHAnsi"/>
          <w:snapToGrid w:val="0"/>
          <w:color w:val="000000"/>
          <w:sz w:val="20"/>
          <w:szCs w:val="20"/>
          <w:lang w:val="en-US"/>
        </w:rPr>
        <w:t xml:space="preserve">Please describe your understanding of what </w:t>
      </w:r>
      <w:r w:rsidRPr="00DC5490">
        <w:rPr>
          <w:rFonts w:asciiTheme="majorHAnsi" w:hAnsiTheme="majorHAnsi" w:cstheme="majorHAnsi"/>
          <w:b/>
          <w:snapToGrid w:val="0"/>
          <w:color w:val="000000"/>
          <w:sz w:val="20"/>
          <w:szCs w:val="20"/>
          <w:lang w:val="en-US"/>
        </w:rPr>
        <w:t xml:space="preserve">Inclusive Education (IE) </w:t>
      </w:r>
      <w:r w:rsidRPr="00DC5490">
        <w:rPr>
          <w:rFonts w:asciiTheme="majorHAnsi" w:hAnsiTheme="majorHAnsi" w:cstheme="majorHAnsi"/>
          <w:snapToGrid w:val="0"/>
          <w:color w:val="000000"/>
          <w:sz w:val="20"/>
          <w:szCs w:val="20"/>
          <w:lang w:val="en-US"/>
        </w:rPr>
        <w:t xml:space="preserve">is </w:t>
      </w:r>
      <w:r w:rsidRPr="00DC5490">
        <w:rPr>
          <w:rFonts w:asciiTheme="majorHAnsi" w:hAnsiTheme="majorHAnsi" w:cstheme="majorHAnsi"/>
          <w:bCs/>
          <w:snapToGrid w:val="0"/>
          <w:color w:val="000000"/>
          <w:sz w:val="20"/>
          <w:szCs w:val="20"/>
          <w:lang w:val="en-US"/>
        </w:rPr>
        <w:t>and how it affects you as a Principal.</w:t>
      </w:r>
    </w:p>
    <w:p w14:paraId="555D8D15" w14:textId="20751F21" w:rsidR="008D0CAD" w:rsidRPr="00DC5490" w:rsidRDefault="008D0CAD" w:rsidP="00DD08E3">
      <w:pPr>
        <w:numPr>
          <w:ilvl w:val="1"/>
          <w:numId w:val="81"/>
        </w:numPr>
        <w:spacing w:before="100" w:beforeAutospacing="1" w:after="100" w:afterAutospacing="1" w:line="360" w:lineRule="auto"/>
        <w:ind w:left="806" w:hanging="446"/>
        <w:rPr>
          <w:rFonts w:asciiTheme="majorHAnsi" w:hAnsiTheme="majorHAnsi" w:cstheme="majorHAnsi"/>
          <w:bCs/>
          <w:snapToGrid w:val="0"/>
          <w:color w:val="000000"/>
          <w:sz w:val="20"/>
          <w:szCs w:val="20"/>
          <w:lang w:val="en-US"/>
        </w:rPr>
      </w:pPr>
      <w:r w:rsidRPr="00DC5490">
        <w:rPr>
          <w:rFonts w:asciiTheme="majorHAnsi" w:hAnsiTheme="majorHAnsi" w:cstheme="majorHAnsi"/>
          <w:bCs/>
          <w:snapToGrid w:val="0"/>
          <w:color w:val="000000"/>
          <w:sz w:val="20"/>
          <w:szCs w:val="20"/>
          <w:lang w:val="en-US"/>
        </w:rPr>
        <w:t>Are you using inclusive learning materials in your school?</w:t>
      </w:r>
      <w:r w:rsidR="00D434EB">
        <w:rPr>
          <w:rFonts w:asciiTheme="majorHAnsi" w:hAnsiTheme="majorHAnsi" w:cstheme="majorHAnsi"/>
          <w:bCs/>
          <w:snapToGrid w:val="0"/>
          <w:color w:val="000000"/>
          <w:sz w:val="20"/>
          <w:szCs w:val="20"/>
          <w:lang w:val="en-US"/>
        </w:rPr>
        <w:t xml:space="preserve"> </w:t>
      </w:r>
      <w:r w:rsidRPr="00DC5490">
        <w:rPr>
          <w:rFonts w:asciiTheme="majorHAnsi" w:hAnsiTheme="majorHAnsi" w:cstheme="majorHAnsi"/>
          <w:bCs/>
          <w:snapToGrid w:val="0"/>
          <w:color w:val="000000"/>
          <w:sz w:val="20"/>
          <w:szCs w:val="20"/>
          <w:lang w:val="en-US"/>
        </w:rPr>
        <w:t>____ Yes</w:t>
      </w:r>
      <w:r w:rsidR="00D434EB">
        <w:rPr>
          <w:rFonts w:asciiTheme="majorHAnsi" w:hAnsiTheme="majorHAnsi" w:cstheme="majorHAnsi"/>
          <w:bCs/>
          <w:snapToGrid w:val="0"/>
          <w:color w:val="000000"/>
          <w:sz w:val="20"/>
          <w:szCs w:val="20"/>
          <w:lang w:val="en-US"/>
        </w:rPr>
        <w:t xml:space="preserve"> </w:t>
      </w:r>
      <w:r w:rsidRPr="00DC5490">
        <w:rPr>
          <w:rFonts w:asciiTheme="majorHAnsi" w:hAnsiTheme="majorHAnsi" w:cstheme="majorHAnsi"/>
          <w:bCs/>
          <w:snapToGrid w:val="0"/>
          <w:color w:val="000000"/>
          <w:sz w:val="20"/>
          <w:szCs w:val="20"/>
          <w:lang w:val="en-US"/>
        </w:rPr>
        <w:t xml:space="preserve"> ____ No</w:t>
      </w:r>
      <w:r w:rsidR="00D434EB">
        <w:rPr>
          <w:rFonts w:asciiTheme="majorHAnsi" w:hAnsiTheme="majorHAnsi" w:cstheme="majorHAnsi"/>
          <w:bCs/>
          <w:snapToGrid w:val="0"/>
          <w:color w:val="000000"/>
          <w:sz w:val="20"/>
          <w:szCs w:val="20"/>
          <w:lang w:val="en-US"/>
        </w:rPr>
        <w:t xml:space="preserve">  </w:t>
      </w:r>
    </w:p>
    <w:p w14:paraId="00FA4A88" w14:textId="77777777" w:rsidR="008D0CAD" w:rsidRPr="00DC5490" w:rsidRDefault="008D0CAD" w:rsidP="00DD08E3">
      <w:pPr>
        <w:numPr>
          <w:ilvl w:val="2"/>
          <w:numId w:val="81"/>
        </w:numPr>
        <w:spacing w:before="100" w:beforeAutospacing="1" w:after="100" w:afterAutospacing="1" w:line="360" w:lineRule="auto"/>
        <w:ind w:left="1353" w:hanging="547"/>
        <w:rPr>
          <w:rFonts w:asciiTheme="majorHAnsi" w:hAnsiTheme="majorHAnsi" w:cstheme="majorHAnsi"/>
          <w:bCs/>
          <w:snapToGrid w:val="0"/>
          <w:color w:val="000000"/>
          <w:sz w:val="20"/>
          <w:szCs w:val="20"/>
          <w:lang w:val="en-US"/>
        </w:rPr>
      </w:pPr>
      <w:r w:rsidRPr="00DC5490">
        <w:rPr>
          <w:rFonts w:asciiTheme="majorHAnsi" w:hAnsiTheme="majorHAnsi" w:cstheme="majorHAnsi"/>
          <w:bCs/>
          <w:snapToGrid w:val="0"/>
          <w:color w:val="000000"/>
          <w:sz w:val="20"/>
          <w:szCs w:val="20"/>
          <w:lang w:val="en-US"/>
        </w:rPr>
        <w:t xml:space="preserve">If yes, please name these materials: </w:t>
      </w:r>
    </w:p>
    <w:p w14:paraId="1D09E61A" w14:textId="77777777" w:rsidR="008D0CAD" w:rsidRPr="00DC5490" w:rsidRDefault="008D0CAD" w:rsidP="00DD08E3">
      <w:pPr>
        <w:numPr>
          <w:ilvl w:val="2"/>
          <w:numId w:val="81"/>
        </w:numPr>
        <w:spacing w:before="100" w:beforeAutospacing="1" w:after="100" w:afterAutospacing="1" w:line="360" w:lineRule="auto"/>
        <w:ind w:left="1353" w:hanging="547"/>
        <w:rPr>
          <w:rFonts w:asciiTheme="majorHAnsi" w:hAnsiTheme="majorHAnsi" w:cstheme="majorHAnsi"/>
          <w:bCs/>
          <w:snapToGrid w:val="0"/>
          <w:color w:val="000000"/>
          <w:sz w:val="20"/>
          <w:szCs w:val="20"/>
          <w:lang w:val="en-US"/>
        </w:rPr>
      </w:pPr>
      <w:r w:rsidRPr="00DC5490">
        <w:rPr>
          <w:rFonts w:asciiTheme="majorHAnsi" w:hAnsiTheme="majorHAnsi" w:cstheme="majorHAnsi"/>
          <w:bCs/>
          <w:snapToGrid w:val="0"/>
          <w:color w:val="000000"/>
          <w:sz w:val="20"/>
          <w:szCs w:val="20"/>
          <w:lang w:val="en-US"/>
        </w:rPr>
        <w:t xml:space="preserve">If no, why not? </w:t>
      </w:r>
    </w:p>
    <w:p w14:paraId="1FCD2ABF" w14:textId="77777777" w:rsidR="008D0CAD" w:rsidRPr="00DC5490" w:rsidRDefault="008D0CAD" w:rsidP="00DD08E3">
      <w:pPr>
        <w:numPr>
          <w:ilvl w:val="1"/>
          <w:numId w:val="81"/>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bCs/>
          <w:snapToGrid w:val="0"/>
          <w:color w:val="000000"/>
          <w:sz w:val="20"/>
          <w:szCs w:val="20"/>
          <w:lang w:val="en-US"/>
        </w:rPr>
        <w:t>Within the last five years, have you ever participated in any processes or activity that trained Principals on inclusive values or practices or develop learning materials to promote Inclusive Education? ____ Yes ____ No</w:t>
      </w:r>
    </w:p>
    <w:p w14:paraId="1CEDA251" w14:textId="77777777" w:rsidR="008D0CAD" w:rsidRPr="00DC5490" w:rsidRDefault="008D0CAD" w:rsidP="00DD08E3">
      <w:pPr>
        <w:numPr>
          <w:ilvl w:val="1"/>
          <w:numId w:val="81"/>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bCs/>
          <w:snapToGrid w:val="0"/>
          <w:color w:val="000000"/>
          <w:sz w:val="20"/>
          <w:szCs w:val="20"/>
          <w:lang w:val="en-US"/>
        </w:rPr>
        <w:t xml:space="preserve">If yes, how useful were these activities to you as a Principal? </w:t>
      </w:r>
    </w:p>
    <w:p w14:paraId="6378ACBE" w14:textId="4837EF48" w:rsidR="008D0CAD" w:rsidRPr="00DC5490" w:rsidRDefault="008D0CAD" w:rsidP="00DD08E3">
      <w:pPr>
        <w:numPr>
          <w:ilvl w:val="0"/>
          <w:numId w:val="81"/>
        </w:numPr>
        <w:spacing w:before="100" w:beforeAutospacing="1" w:after="100" w:afterAutospacing="1" w:line="360" w:lineRule="auto"/>
        <w:contextualSpacing/>
        <w:rPr>
          <w:rFonts w:asciiTheme="majorHAnsi" w:hAnsiTheme="majorHAnsi" w:cstheme="majorHAnsi"/>
          <w:snapToGrid w:val="0"/>
          <w:color w:val="000000"/>
          <w:sz w:val="20"/>
          <w:szCs w:val="20"/>
          <w:lang w:val="en-US"/>
        </w:rPr>
      </w:pPr>
      <w:r w:rsidRPr="00DC5490">
        <w:rPr>
          <w:rFonts w:asciiTheme="majorHAnsi" w:hAnsiTheme="majorHAnsi" w:cstheme="majorHAnsi"/>
          <w:snapToGrid w:val="0"/>
          <w:color w:val="000000"/>
          <w:sz w:val="20"/>
          <w:szCs w:val="20"/>
          <w:lang w:val="en-US"/>
        </w:rPr>
        <w:t xml:space="preserve">Please describe your understanding of what </w:t>
      </w:r>
      <w:r w:rsidRPr="00DC5490">
        <w:rPr>
          <w:rFonts w:asciiTheme="majorHAnsi" w:hAnsiTheme="majorHAnsi" w:cstheme="majorHAnsi"/>
          <w:b/>
          <w:snapToGrid w:val="0"/>
          <w:color w:val="000000"/>
          <w:sz w:val="20"/>
          <w:szCs w:val="20"/>
          <w:lang w:val="en-US"/>
        </w:rPr>
        <w:t xml:space="preserve">Gender-Responsive Basic Education (GRBE) </w:t>
      </w:r>
      <w:r w:rsidRPr="00DC5490">
        <w:rPr>
          <w:rFonts w:asciiTheme="majorHAnsi" w:hAnsiTheme="majorHAnsi" w:cstheme="majorHAnsi"/>
          <w:snapToGrid w:val="0"/>
          <w:color w:val="000000"/>
          <w:sz w:val="20"/>
          <w:szCs w:val="20"/>
          <w:lang w:val="en-US"/>
        </w:rPr>
        <w:t xml:space="preserve">is </w:t>
      </w:r>
      <w:r w:rsidRPr="00DC5490">
        <w:rPr>
          <w:rFonts w:asciiTheme="majorHAnsi" w:hAnsiTheme="majorHAnsi" w:cstheme="majorHAnsi"/>
          <w:bCs/>
          <w:snapToGrid w:val="0"/>
          <w:color w:val="000000"/>
          <w:sz w:val="20"/>
          <w:szCs w:val="20"/>
          <w:lang w:val="en-US"/>
        </w:rPr>
        <w:t>and how it affects you as a Principal.</w:t>
      </w:r>
      <w:r w:rsidR="00D434EB">
        <w:rPr>
          <w:rFonts w:asciiTheme="majorHAnsi" w:hAnsiTheme="majorHAnsi" w:cstheme="majorHAnsi"/>
          <w:bCs/>
          <w:snapToGrid w:val="0"/>
          <w:color w:val="000000"/>
          <w:sz w:val="20"/>
          <w:szCs w:val="20"/>
          <w:lang w:val="en-US"/>
        </w:rPr>
        <w:t xml:space="preserve"> </w:t>
      </w:r>
    </w:p>
    <w:p w14:paraId="2787D6C5" w14:textId="472A915C" w:rsidR="008D0CAD" w:rsidRPr="00DC5490" w:rsidRDefault="008D0CAD" w:rsidP="00DD08E3">
      <w:pPr>
        <w:numPr>
          <w:ilvl w:val="1"/>
          <w:numId w:val="81"/>
        </w:numPr>
        <w:spacing w:before="100" w:beforeAutospacing="1" w:after="100" w:afterAutospacing="1" w:line="360" w:lineRule="auto"/>
        <w:ind w:left="806" w:hanging="446"/>
        <w:rPr>
          <w:rFonts w:asciiTheme="majorHAnsi" w:hAnsiTheme="majorHAnsi" w:cstheme="majorHAnsi"/>
          <w:bCs/>
          <w:snapToGrid w:val="0"/>
          <w:color w:val="000000"/>
          <w:sz w:val="20"/>
          <w:szCs w:val="20"/>
          <w:lang w:val="en-US"/>
        </w:rPr>
      </w:pPr>
      <w:r w:rsidRPr="00DC5490">
        <w:rPr>
          <w:rFonts w:asciiTheme="majorHAnsi" w:hAnsiTheme="majorHAnsi" w:cstheme="majorHAnsi"/>
          <w:bCs/>
          <w:snapToGrid w:val="0"/>
          <w:color w:val="000000"/>
          <w:sz w:val="20"/>
          <w:szCs w:val="20"/>
          <w:lang w:val="en-US"/>
        </w:rPr>
        <w:t>Are you using gender-sensitive learning materials in your school?</w:t>
      </w:r>
      <w:r w:rsidR="00D434EB">
        <w:rPr>
          <w:rFonts w:asciiTheme="majorHAnsi" w:hAnsiTheme="majorHAnsi" w:cstheme="majorHAnsi"/>
          <w:bCs/>
          <w:snapToGrid w:val="0"/>
          <w:color w:val="000000"/>
          <w:sz w:val="20"/>
          <w:szCs w:val="20"/>
          <w:lang w:val="en-US"/>
        </w:rPr>
        <w:t xml:space="preserve"> </w:t>
      </w:r>
      <w:r w:rsidRPr="00DC5490">
        <w:rPr>
          <w:rFonts w:asciiTheme="majorHAnsi" w:hAnsiTheme="majorHAnsi" w:cstheme="majorHAnsi"/>
          <w:bCs/>
          <w:snapToGrid w:val="0"/>
          <w:color w:val="000000"/>
          <w:sz w:val="20"/>
          <w:szCs w:val="20"/>
          <w:lang w:val="en-US"/>
        </w:rPr>
        <w:t>____ Yes</w:t>
      </w:r>
      <w:r w:rsidR="00D434EB">
        <w:rPr>
          <w:rFonts w:asciiTheme="majorHAnsi" w:hAnsiTheme="majorHAnsi" w:cstheme="majorHAnsi"/>
          <w:bCs/>
          <w:snapToGrid w:val="0"/>
          <w:color w:val="000000"/>
          <w:sz w:val="20"/>
          <w:szCs w:val="20"/>
          <w:lang w:val="en-US"/>
        </w:rPr>
        <w:t xml:space="preserve"> </w:t>
      </w:r>
      <w:r w:rsidRPr="00DC5490">
        <w:rPr>
          <w:rFonts w:asciiTheme="majorHAnsi" w:hAnsiTheme="majorHAnsi" w:cstheme="majorHAnsi"/>
          <w:bCs/>
          <w:snapToGrid w:val="0"/>
          <w:color w:val="000000"/>
          <w:sz w:val="20"/>
          <w:szCs w:val="20"/>
          <w:lang w:val="en-US"/>
        </w:rPr>
        <w:t xml:space="preserve"> ____ No</w:t>
      </w:r>
    </w:p>
    <w:p w14:paraId="2147085A" w14:textId="47174060" w:rsidR="008D0CAD" w:rsidRPr="00DC5490" w:rsidRDefault="00D434EB" w:rsidP="00DD08E3">
      <w:pPr>
        <w:numPr>
          <w:ilvl w:val="2"/>
          <w:numId w:val="81"/>
        </w:numPr>
        <w:spacing w:before="100" w:beforeAutospacing="1" w:after="100" w:afterAutospacing="1" w:line="360" w:lineRule="auto"/>
        <w:ind w:left="1353" w:hanging="547"/>
        <w:rPr>
          <w:rFonts w:asciiTheme="majorHAnsi" w:hAnsiTheme="majorHAnsi" w:cstheme="majorHAnsi"/>
          <w:bCs/>
          <w:snapToGrid w:val="0"/>
          <w:color w:val="000000"/>
          <w:sz w:val="20"/>
          <w:szCs w:val="20"/>
          <w:lang w:val="en-US"/>
        </w:rPr>
      </w:pPr>
      <w:r>
        <w:rPr>
          <w:rFonts w:asciiTheme="majorHAnsi" w:hAnsiTheme="majorHAnsi" w:cstheme="majorHAnsi"/>
          <w:bCs/>
          <w:snapToGrid w:val="0"/>
          <w:color w:val="000000"/>
          <w:sz w:val="20"/>
          <w:szCs w:val="20"/>
          <w:lang w:val="en-US"/>
        </w:rPr>
        <w:t xml:space="preserve"> </w:t>
      </w:r>
      <w:r w:rsidR="008D0CAD" w:rsidRPr="00DC5490">
        <w:rPr>
          <w:rFonts w:asciiTheme="majorHAnsi" w:hAnsiTheme="majorHAnsi" w:cstheme="majorHAnsi"/>
          <w:bCs/>
          <w:snapToGrid w:val="0"/>
          <w:color w:val="000000"/>
          <w:sz w:val="20"/>
          <w:szCs w:val="20"/>
          <w:lang w:val="en-US"/>
        </w:rPr>
        <w:t xml:space="preserve">If yes, please name these materials: </w:t>
      </w:r>
    </w:p>
    <w:p w14:paraId="3D1834CB" w14:textId="77777777" w:rsidR="008D0CAD" w:rsidRPr="00DC5490" w:rsidRDefault="008D0CAD" w:rsidP="00DD08E3">
      <w:pPr>
        <w:numPr>
          <w:ilvl w:val="2"/>
          <w:numId w:val="81"/>
        </w:numPr>
        <w:spacing w:before="100" w:beforeAutospacing="1" w:after="100" w:afterAutospacing="1" w:line="360" w:lineRule="auto"/>
        <w:ind w:left="1353" w:hanging="547"/>
        <w:rPr>
          <w:rFonts w:asciiTheme="majorHAnsi" w:hAnsiTheme="majorHAnsi" w:cstheme="majorHAnsi"/>
          <w:bCs/>
          <w:snapToGrid w:val="0"/>
          <w:color w:val="000000"/>
          <w:sz w:val="20"/>
          <w:szCs w:val="20"/>
          <w:lang w:val="en-US"/>
        </w:rPr>
      </w:pPr>
      <w:r w:rsidRPr="00DC5490">
        <w:rPr>
          <w:rFonts w:asciiTheme="majorHAnsi" w:hAnsiTheme="majorHAnsi" w:cstheme="majorHAnsi"/>
          <w:bCs/>
          <w:snapToGrid w:val="0"/>
          <w:color w:val="000000"/>
          <w:sz w:val="20"/>
          <w:szCs w:val="20"/>
          <w:lang w:val="en-US"/>
        </w:rPr>
        <w:t xml:space="preserve">If no, why not? </w:t>
      </w:r>
    </w:p>
    <w:p w14:paraId="64AE3040" w14:textId="77777777" w:rsidR="008D0CAD" w:rsidRPr="00DC5490" w:rsidRDefault="008D0CAD" w:rsidP="00DD08E3">
      <w:pPr>
        <w:numPr>
          <w:ilvl w:val="1"/>
          <w:numId w:val="81"/>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bCs/>
          <w:snapToGrid w:val="0"/>
          <w:color w:val="000000"/>
          <w:sz w:val="20"/>
          <w:szCs w:val="20"/>
          <w:lang w:val="en-US"/>
        </w:rPr>
        <w:t>Within the last five years, have you ever participated in any processes or activity that trained Principals on gender-responsive values or practices or develop learning materials to promote GRBE? ____ Yes ____ No</w:t>
      </w:r>
    </w:p>
    <w:p w14:paraId="097E05A8" w14:textId="77777777" w:rsidR="008D0CAD" w:rsidRPr="00DC5490" w:rsidRDefault="008D0CAD" w:rsidP="00DD08E3">
      <w:pPr>
        <w:numPr>
          <w:ilvl w:val="1"/>
          <w:numId w:val="81"/>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bCs/>
          <w:snapToGrid w:val="0"/>
          <w:color w:val="000000"/>
          <w:sz w:val="20"/>
          <w:szCs w:val="20"/>
          <w:lang w:val="en-US"/>
        </w:rPr>
        <w:t xml:space="preserve">If yes, how useful were these activities to you as a Principal? </w:t>
      </w:r>
    </w:p>
    <w:p w14:paraId="42ABC1EB" w14:textId="620D876D" w:rsidR="008D0CAD" w:rsidRPr="00DC5490" w:rsidRDefault="008D0CAD" w:rsidP="00DD08E3">
      <w:pPr>
        <w:numPr>
          <w:ilvl w:val="0"/>
          <w:numId w:val="81"/>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snapToGrid w:val="0"/>
          <w:color w:val="000000" w:themeColor="text1"/>
          <w:sz w:val="20"/>
          <w:szCs w:val="20"/>
        </w:rPr>
        <w:t xml:space="preserve">In your own opinion, what are some hindering and facilitating factors </w:t>
      </w:r>
      <w:r w:rsidRPr="00DC5490">
        <w:rPr>
          <w:rFonts w:asciiTheme="majorHAnsi" w:eastAsiaTheme="minorEastAsia" w:hAnsiTheme="majorHAnsi" w:cstheme="majorHAnsi"/>
          <w:snapToGrid w:val="0"/>
          <w:color w:val="000000" w:themeColor="text1"/>
          <w:sz w:val="20"/>
          <w:szCs w:val="20"/>
        </w:rPr>
        <w:t xml:space="preserve">in mainstreaming </w:t>
      </w:r>
      <w:r w:rsidRPr="00DC5490">
        <w:rPr>
          <w:rFonts w:asciiTheme="majorHAnsi" w:eastAsiaTheme="minorEastAsia" w:hAnsiTheme="majorHAnsi" w:cstheme="majorHAnsi"/>
          <w:b/>
          <w:snapToGrid w:val="0"/>
          <w:color w:val="000000" w:themeColor="text1"/>
          <w:sz w:val="20"/>
          <w:szCs w:val="20"/>
        </w:rPr>
        <w:t>GRBE and IE</w:t>
      </w:r>
      <w:r w:rsidR="00D434EB">
        <w:rPr>
          <w:rFonts w:asciiTheme="majorHAnsi" w:eastAsiaTheme="minorEastAsia" w:hAnsiTheme="majorHAnsi" w:cstheme="majorHAnsi"/>
          <w:b/>
          <w:snapToGrid w:val="0"/>
          <w:color w:val="000000" w:themeColor="text1"/>
          <w:sz w:val="20"/>
          <w:szCs w:val="20"/>
        </w:rPr>
        <w:t xml:space="preserve"> </w:t>
      </w:r>
      <w:r w:rsidRPr="00DC5490">
        <w:rPr>
          <w:rFonts w:asciiTheme="majorHAnsi" w:eastAsiaTheme="minorEastAsia" w:hAnsiTheme="majorHAnsi" w:cstheme="majorHAnsi"/>
          <w:snapToGrid w:val="0"/>
          <w:color w:val="000000" w:themeColor="text1"/>
          <w:sz w:val="20"/>
          <w:szCs w:val="20"/>
        </w:rPr>
        <w:t>values, programs and practices in education and in using of the various learning resources in practice</w:t>
      </w:r>
      <w:r w:rsidRPr="00DC5490">
        <w:rPr>
          <w:rFonts w:asciiTheme="majorHAnsi" w:hAnsiTheme="majorHAnsi" w:cstheme="majorHAnsi"/>
          <w:snapToGrid w:val="0"/>
          <w:color w:val="000000" w:themeColor="text1"/>
          <w:sz w:val="20"/>
          <w:szCs w:val="20"/>
        </w:rPr>
        <w:t>?</w:t>
      </w:r>
    </w:p>
    <w:p w14:paraId="523B1D93" w14:textId="77777777" w:rsidR="008D0CAD" w:rsidRPr="00DC5490" w:rsidRDefault="008D0CAD" w:rsidP="00DD08E3">
      <w:pPr>
        <w:numPr>
          <w:ilvl w:val="1"/>
          <w:numId w:val="81"/>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snapToGrid w:val="0"/>
          <w:color w:val="000000" w:themeColor="text1"/>
          <w:sz w:val="20"/>
          <w:szCs w:val="20"/>
          <w:lang w:val="en-US"/>
        </w:rPr>
        <w:t xml:space="preserve">What factors hinder </w:t>
      </w:r>
      <w:r w:rsidRPr="00DC5490">
        <w:rPr>
          <w:rFonts w:asciiTheme="majorHAnsi" w:eastAsiaTheme="minorEastAsia" w:hAnsiTheme="majorHAnsi" w:cstheme="majorHAnsi"/>
          <w:snapToGrid w:val="0"/>
          <w:color w:val="000000" w:themeColor="text1"/>
          <w:sz w:val="20"/>
          <w:szCs w:val="20"/>
        </w:rPr>
        <w:t>mainstreaming GRBE and IE in education</w:t>
      </w:r>
      <w:r w:rsidRPr="00DC5490">
        <w:rPr>
          <w:rFonts w:asciiTheme="majorHAnsi" w:hAnsiTheme="majorHAnsi" w:cstheme="majorHAnsi"/>
          <w:snapToGrid w:val="0"/>
          <w:color w:val="000000" w:themeColor="text1"/>
          <w:sz w:val="20"/>
          <w:szCs w:val="20"/>
        </w:rPr>
        <w:t>?</w:t>
      </w:r>
      <w:r w:rsidRPr="00DC5490">
        <w:rPr>
          <w:rFonts w:asciiTheme="majorHAnsi" w:hAnsiTheme="majorHAnsi" w:cstheme="majorHAnsi"/>
          <w:snapToGrid w:val="0"/>
          <w:color w:val="000000" w:themeColor="text1"/>
          <w:sz w:val="20"/>
          <w:szCs w:val="20"/>
          <w:lang w:val="en-US"/>
        </w:rPr>
        <w:t xml:space="preserve"> </w:t>
      </w:r>
    </w:p>
    <w:p w14:paraId="40EA7C00" w14:textId="77777777" w:rsidR="008D0CAD" w:rsidRPr="00DC5490" w:rsidRDefault="008D0CAD" w:rsidP="00DD08E3">
      <w:pPr>
        <w:numPr>
          <w:ilvl w:val="1"/>
          <w:numId w:val="81"/>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snapToGrid w:val="0"/>
          <w:color w:val="000000" w:themeColor="text1"/>
          <w:sz w:val="20"/>
          <w:szCs w:val="20"/>
          <w:lang w:val="en-US"/>
        </w:rPr>
        <w:t xml:space="preserve">What factors help </w:t>
      </w:r>
      <w:r w:rsidRPr="00DC5490">
        <w:rPr>
          <w:rFonts w:asciiTheme="majorHAnsi" w:eastAsiaTheme="minorEastAsia" w:hAnsiTheme="majorHAnsi" w:cstheme="majorHAnsi"/>
          <w:snapToGrid w:val="0"/>
          <w:color w:val="000000" w:themeColor="text1"/>
          <w:sz w:val="20"/>
          <w:szCs w:val="20"/>
        </w:rPr>
        <w:t>mainstreaming GRBE and IE in education</w:t>
      </w:r>
      <w:r w:rsidRPr="00DC5490">
        <w:rPr>
          <w:rFonts w:asciiTheme="majorHAnsi" w:hAnsiTheme="majorHAnsi" w:cstheme="majorHAnsi"/>
          <w:snapToGrid w:val="0"/>
          <w:color w:val="000000" w:themeColor="text1"/>
          <w:sz w:val="20"/>
          <w:szCs w:val="20"/>
        </w:rPr>
        <w:t>?</w:t>
      </w:r>
    </w:p>
    <w:p w14:paraId="7EA3DF8B" w14:textId="77777777" w:rsidR="008D0CAD" w:rsidRPr="00DC5490" w:rsidRDefault="008D0CAD" w:rsidP="00DD08E3">
      <w:pPr>
        <w:numPr>
          <w:ilvl w:val="0"/>
          <w:numId w:val="81"/>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snapToGrid w:val="0"/>
          <w:sz w:val="20"/>
          <w:szCs w:val="20"/>
          <w:lang w:val="en-US"/>
        </w:rPr>
        <w:t xml:space="preserve">As a </w:t>
      </w:r>
      <w:r w:rsidRPr="00DC5490">
        <w:rPr>
          <w:rFonts w:asciiTheme="majorHAnsi" w:hAnsiTheme="majorHAnsi" w:cstheme="majorHAnsi"/>
          <w:bCs/>
          <w:snapToGrid w:val="0"/>
          <w:color w:val="000000"/>
          <w:sz w:val="20"/>
          <w:szCs w:val="20"/>
          <w:lang w:val="en-US"/>
        </w:rPr>
        <w:t>Principal</w:t>
      </w:r>
      <w:r w:rsidRPr="00DC5490">
        <w:rPr>
          <w:rFonts w:asciiTheme="majorHAnsi" w:hAnsiTheme="majorHAnsi" w:cstheme="majorHAnsi"/>
          <w:snapToGrid w:val="0"/>
          <w:sz w:val="20"/>
          <w:szCs w:val="20"/>
          <w:lang w:val="en-US"/>
        </w:rPr>
        <w:t xml:space="preserve">, what recommendations can you give to further enhance effectiveness and sustainability of the </w:t>
      </w:r>
      <w:r w:rsidRPr="00DC5490">
        <w:rPr>
          <w:rFonts w:asciiTheme="majorHAnsi" w:hAnsiTheme="majorHAnsi" w:cstheme="majorHAnsi"/>
          <w:b/>
          <w:snapToGrid w:val="0"/>
          <w:color w:val="000000" w:themeColor="text1"/>
          <w:sz w:val="20"/>
          <w:szCs w:val="20"/>
          <w:lang w:val="en-US"/>
        </w:rPr>
        <w:t xml:space="preserve">GRBE and IE programs or practices </w:t>
      </w:r>
      <w:r w:rsidRPr="00DC5490">
        <w:rPr>
          <w:rFonts w:asciiTheme="majorHAnsi" w:hAnsiTheme="majorHAnsi" w:cstheme="majorHAnsi"/>
          <w:snapToGrid w:val="0"/>
          <w:sz w:val="20"/>
          <w:szCs w:val="20"/>
          <w:lang w:val="en-US"/>
        </w:rPr>
        <w:t>in your school?</w:t>
      </w:r>
    </w:p>
    <w:p w14:paraId="6FC3C5A3" w14:textId="77777777" w:rsidR="008D0CAD" w:rsidRPr="00DC5490" w:rsidRDefault="008D0CAD" w:rsidP="00EA6CB9">
      <w:pPr>
        <w:spacing w:before="100" w:beforeAutospacing="1" w:after="100" w:afterAutospacing="1" w:line="360" w:lineRule="auto"/>
        <w:rPr>
          <w:rFonts w:asciiTheme="majorHAnsi" w:eastAsiaTheme="minorHAnsi" w:hAnsiTheme="majorHAnsi" w:cstheme="majorHAnsi"/>
          <w:color w:val="000000"/>
          <w:sz w:val="20"/>
          <w:szCs w:val="20"/>
          <w:lang w:val="en-US"/>
        </w:rPr>
      </w:pPr>
      <w:r w:rsidRPr="00EC48C1">
        <w:rPr>
          <w:rFonts w:asciiTheme="majorHAnsi" w:eastAsiaTheme="minorHAnsi" w:hAnsiTheme="majorHAnsi" w:cstheme="majorHAnsi"/>
          <w:b/>
          <w:bCs/>
          <w:color w:val="000000" w:themeColor="text1"/>
          <w:sz w:val="20"/>
          <w:szCs w:val="20"/>
          <w:lang w:val="en-US"/>
        </w:rPr>
        <w:t>Learning &amp; Development (L&amp;D) System</w:t>
      </w:r>
    </w:p>
    <w:p w14:paraId="4481FF04" w14:textId="3C1157A9" w:rsidR="008D0CAD" w:rsidRPr="00DC5490" w:rsidRDefault="008D0CAD" w:rsidP="00DD08E3">
      <w:pPr>
        <w:numPr>
          <w:ilvl w:val="0"/>
          <w:numId w:val="81"/>
        </w:numPr>
        <w:spacing w:before="100" w:beforeAutospacing="1" w:after="100" w:afterAutospacing="1" w:line="360" w:lineRule="auto"/>
        <w:contextualSpacing/>
        <w:rPr>
          <w:rFonts w:asciiTheme="majorHAnsi" w:hAnsiTheme="majorHAnsi" w:cstheme="majorHAnsi"/>
          <w:snapToGrid w:val="0"/>
          <w:color w:val="000000"/>
          <w:sz w:val="20"/>
          <w:szCs w:val="20"/>
          <w:lang w:val="en-US"/>
        </w:rPr>
      </w:pPr>
      <w:r w:rsidRPr="00DC5490">
        <w:rPr>
          <w:rFonts w:asciiTheme="majorHAnsi" w:hAnsiTheme="majorHAnsi" w:cstheme="majorHAnsi"/>
          <w:snapToGrid w:val="0"/>
          <w:color w:val="000000"/>
          <w:sz w:val="20"/>
          <w:szCs w:val="20"/>
          <w:lang w:val="en-US"/>
        </w:rPr>
        <w:t xml:space="preserve">Can you please describe what the </w:t>
      </w:r>
      <w:r w:rsidRPr="00DC5490">
        <w:rPr>
          <w:rFonts w:asciiTheme="majorHAnsi" w:hAnsiTheme="majorHAnsi" w:cstheme="majorHAnsi"/>
          <w:b/>
          <w:bCs/>
          <w:snapToGrid w:val="0"/>
          <w:color w:val="000000" w:themeColor="text1"/>
          <w:sz w:val="20"/>
          <w:szCs w:val="20"/>
          <w:lang w:val="en-US"/>
        </w:rPr>
        <w:t>Learning &amp; Development (L&amp;D) System</w:t>
      </w:r>
      <w:r w:rsidRPr="00DC5490">
        <w:rPr>
          <w:rFonts w:asciiTheme="majorHAnsi" w:hAnsiTheme="majorHAnsi" w:cstheme="majorHAnsi"/>
          <w:bCs/>
          <w:snapToGrid w:val="0"/>
          <w:color w:val="000000" w:themeColor="text1"/>
          <w:sz w:val="20"/>
          <w:szCs w:val="20"/>
          <w:lang w:val="en-US"/>
        </w:rPr>
        <w:t xml:space="preserve"> </w:t>
      </w:r>
      <w:r w:rsidRPr="00DC5490">
        <w:rPr>
          <w:rFonts w:asciiTheme="majorHAnsi" w:hAnsiTheme="majorHAnsi" w:cstheme="majorHAnsi"/>
          <w:bCs/>
          <w:snapToGrid w:val="0"/>
          <w:color w:val="000000"/>
          <w:sz w:val="20"/>
          <w:szCs w:val="20"/>
          <w:lang w:val="en-US"/>
        </w:rPr>
        <w:t>is all about and how it affects you as a principal?</w:t>
      </w:r>
      <w:r w:rsidR="00D434EB">
        <w:rPr>
          <w:rFonts w:asciiTheme="majorHAnsi" w:hAnsiTheme="majorHAnsi" w:cstheme="majorHAnsi"/>
          <w:bCs/>
          <w:snapToGrid w:val="0"/>
          <w:color w:val="000000"/>
          <w:sz w:val="20"/>
          <w:szCs w:val="20"/>
          <w:lang w:val="en-US"/>
        </w:rPr>
        <w:t xml:space="preserve"> </w:t>
      </w:r>
    </w:p>
    <w:p w14:paraId="4A211F95" w14:textId="77777777" w:rsidR="008D0CAD" w:rsidRPr="00DC5490" w:rsidRDefault="008D0CAD" w:rsidP="00DD08E3">
      <w:pPr>
        <w:numPr>
          <w:ilvl w:val="0"/>
          <w:numId w:val="81"/>
        </w:numPr>
        <w:spacing w:before="100" w:beforeAutospacing="1" w:after="100" w:afterAutospacing="1" w:line="360" w:lineRule="auto"/>
        <w:contextualSpacing/>
        <w:rPr>
          <w:rFonts w:asciiTheme="majorHAnsi" w:hAnsiTheme="majorHAnsi" w:cstheme="majorHAnsi"/>
          <w:snapToGrid w:val="0"/>
          <w:color w:val="000000"/>
          <w:sz w:val="20"/>
          <w:szCs w:val="20"/>
          <w:lang w:val="en-US"/>
        </w:rPr>
      </w:pPr>
      <w:r w:rsidRPr="00DC5490">
        <w:rPr>
          <w:rFonts w:asciiTheme="majorHAnsi" w:hAnsiTheme="majorHAnsi" w:cstheme="majorHAnsi"/>
          <w:snapToGrid w:val="0"/>
          <w:color w:val="000000"/>
          <w:sz w:val="20"/>
          <w:szCs w:val="20"/>
          <w:lang w:val="en-US"/>
        </w:rPr>
        <w:t xml:space="preserve">What makes the </w:t>
      </w:r>
      <w:r w:rsidRPr="00DC5490">
        <w:rPr>
          <w:rFonts w:asciiTheme="majorHAnsi" w:hAnsiTheme="majorHAnsi" w:cstheme="majorHAnsi"/>
          <w:b/>
          <w:snapToGrid w:val="0"/>
          <w:color w:val="000000"/>
          <w:sz w:val="20"/>
          <w:szCs w:val="20"/>
          <w:lang w:val="en-US"/>
        </w:rPr>
        <w:t>L&amp;D system</w:t>
      </w:r>
      <w:r w:rsidRPr="00DC5490">
        <w:rPr>
          <w:rFonts w:asciiTheme="majorHAnsi" w:hAnsiTheme="majorHAnsi" w:cstheme="majorHAnsi"/>
          <w:snapToGrid w:val="0"/>
          <w:color w:val="000000"/>
          <w:sz w:val="20"/>
          <w:szCs w:val="20"/>
          <w:lang w:val="en-US"/>
        </w:rPr>
        <w:t xml:space="preserve"> better than the previous Training and Development (T&amp;D) system?</w:t>
      </w:r>
    </w:p>
    <w:p w14:paraId="73C57CE1" w14:textId="77777777" w:rsidR="008D0CAD" w:rsidRPr="00DC5490" w:rsidRDefault="008D0CAD" w:rsidP="00DD08E3">
      <w:pPr>
        <w:numPr>
          <w:ilvl w:val="0"/>
          <w:numId w:val="81"/>
        </w:numPr>
        <w:spacing w:before="100" w:beforeAutospacing="1" w:after="100" w:afterAutospacing="1" w:line="360" w:lineRule="auto"/>
        <w:contextualSpacing/>
        <w:rPr>
          <w:rFonts w:asciiTheme="majorHAnsi" w:hAnsiTheme="majorHAnsi" w:cstheme="majorHAnsi"/>
          <w:snapToGrid w:val="0"/>
          <w:color w:val="000000"/>
          <w:sz w:val="20"/>
          <w:szCs w:val="20"/>
          <w:lang w:val="en-US"/>
        </w:rPr>
      </w:pPr>
      <w:r w:rsidRPr="00DC5490">
        <w:rPr>
          <w:rFonts w:asciiTheme="majorHAnsi" w:hAnsiTheme="majorHAnsi" w:cstheme="majorHAnsi"/>
          <w:bCs/>
          <w:snapToGrid w:val="0"/>
          <w:color w:val="000000"/>
          <w:sz w:val="20"/>
          <w:szCs w:val="20"/>
          <w:lang w:val="en-US"/>
        </w:rPr>
        <w:t>Within the last five years, have you ever participated in any of the system (L&amp;D or T&amp;D) processes or any activity, conducted to identify your professional development needs as a principal? What were those activities?</w:t>
      </w:r>
    </w:p>
    <w:p w14:paraId="7A54B733" w14:textId="77777777" w:rsidR="008D0CAD" w:rsidRPr="00DC5490" w:rsidRDefault="008D0CAD" w:rsidP="00DD08E3">
      <w:pPr>
        <w:numPr>
          <w:ilvl w:val="0"/>
          <w:numId w:val="81"/>
        </w:numPr>
        <w:spacing w:before="100" w:beforeAutospacing="1" w:after="100" w:afterAutospacing="1" w:line="360" w:lineRule="auto"/>
        <w:contextualSpacing/>
        <w:rPr>
          <w:rFonts w:asciiTheme="majorHAnsi" w:hAnsiTheme="majorHAnsi" w:cstheme="majorHAnsi"/>
          <w:snapToGrid w:val="0"/>
          <w:color w:val="000000"/>
          <w:sz w:val="20"/>
          <w:szCs w:val="20"/>
          <w:lang w:val="en-US"/>
        </w:rPr>
      </w:pPr>
      <w:r w:rsidRPr="00DC5490">
        <w:rPr>
          <w:rFonts w:asciiTheme="majorHAnsi" w:hAnsiTheme="majorHAnsi" w:cstheme="majorHAnsi"/>
          <w:bCs/>
          <w:snapToGrid w:val="0"/>
          <w:color w:val="000000"/>
          <w:sz w:val="20"/>
          <w:szCs w:val="20"/>
          <w:lang w:val="en-US"/>
        </w:rPr>
        <w:t>What do you think is the relationship of the professional standards of s (PPST) to the L&amp;D system?</w:t>
      </w:r>
    </w:p>
    <w:p w14:paraId="1F051C49" w14:textId="77777777" w:rsidR="008D0CAD" w:rsidRPr="00DC5490" w:rsidRDefault="008D0CAD" w:rsidP="00DD08E3">
      <w:pPr>
        <w:numPr>
          <w:ilvl w:val="0"/>
          <w:numId w:val="81"/>
        </w:numPr>
        <w:spacing w:before="100" w:beforeAutospacing="1" w:after="100" w:afterAutospacing="1" w:line="360" w:lineRule="auto"/>
        <w:contextualSpacing/>
        <w:rPr>
          <w:rFonts w:asciiTheme="majorHAnsi" w:hAnsiTheme="majorHAnsi" w:cstheme="majorHAnsi"/>
          <w:snapToGrid w:val="0"/>
          <w:color w:val="000000"/>
          <w:sz w:val="20"/>
          <w:szCs w:val="20"/>
          <w:lang w:val="en-US"/>
        </w:rPr>
      </w:pPr>
      <w:r w:rsidRPr="00DC5490">
        <w:rPr>
          <w:rFonts w:asciiTheme="majorHAnsi" w:hAnsiTheme="majorHAnsi" w:cstheme="majorHAnsi"/>
          <w:snapToGrid w:val="0"/>
          <w:color w:val="000000"/>
          <w:sz w:val="20"/>
          <w:szCs w:val="20"/>
          <w:lang w:val="en-US"/>
        </w:rPr>
        <w:t xml:space="preserve">Can you please describe what the </w:t>
      </w:r>
      <w:r w:rsidRPr="00DC5490">
        <w:rPr>
          <w:rFonts w:asciiTheme="majorHAnsi" w:hAnsiTheme="majorHAnsi" w:cstheme="majorHAnsi"/>
          <w:b/>
          <w:bCs/>
          <w:snapToGrid w:val="0"/>
          <w:color w:val="000000"/>
          <w:sz w:val="20"/>
          <w:szCs w:val="20"/>
          <w:lang w:val="en-US"/>
        </w:rPr>
        <w:t xml:space="preserve">Learning Action Cell (LAC) </w:t>
      </w:r>
      <w:r w:rsidRPr="00DC5490">
        <w:rPr>
          <w:rFonts w:asciiTheme="majorHAnsi" w:hAnsiTheme="majorHAnsi" w:cstheme="majorHAnsi"/>
          <w:bCs/>
          <w:snapToGrid w:val="0"/>
          <w:color w:val="000000"/>
          <w:sz w:val="20"/>
          <w:szCs w:val="20"/>
          <w:lang w:val="en-US"/>
        </w:rPr>
        <w:t>is and how it affects the teaching practices of teachers in your school, if any?</w:t>
      </w:r>
    </w:p>
    <w:p w14:paraId="221AE0A2" w14:textId="005CB9ED" w:rsidR="008D0CAD" w:rsidRPr="00DC5490" w:rsidRDefault="008D0CAD" w:rsidP="00DD08E3">
      <w:pPr>
        <w:numPr>
          <w:ilvl w:val="1"/>
          <w:numId w:val="81"/>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snapToGrid w:val="0"/>
          <w:color w:val="000000"/>
          <w:sz w:val="20"/>
          <w:szCs w:val="20"/>
          <w:lang w:val="en-US"/>
        </w:rPr>
        <w:t xml:space="preserve">Have you ever participated or observed a </w:t>
      </w:r>
      <w:r w:rsidRPr="00DC5490">
        <w:rPr>
          <w:rFonts w:asciiTheme="majorHAnsi" w:hAnsiTheme="majorHAnsi" w:cstheme="majorHAnsi"/>
          <w:b/>
          <w:bCs/>
          <w:snapToGrid w:val="0"/>
          <w:color w:val="000000"/>
          <w:sz w:val="20"/>
          <w:szCs w:val="20"/>
          <w:lang w:val="en-US"/>
        </w:rPr>
        <w:t xml:space="preserve">Learning Action Cell (LAC) </w:t>
      </w:r>
      <w:r w:rsidRPr="00DC5490">
        <w:rPr>
          <w:rFonts w:asciiTheme="majorHAnsi" w:hAnsiTheme="majorHAnsi" w:cstheme="majorHAnsi"/>
          <w:bCs/>
          <w:snapToGrid w:val="0"/>
          <w:color w:val="000000"/>
          <w:sz w:val="20"/>
          <w:szCs w:val="20"/>
          <w:lang w:val="en-US"/>
        </w:rPr>
        <w:t>session in your school?</w:t>
      </w:r>
      <w:r w:rsidR="00D434EB">
        <w:rPr>
          <w:rFonts w:asciiTheme="majorHAnsi" w:hAnsiTheme="majorHAnsi" w:cstheme="majorHAnsi"/>
          <w:bCs/>
          <w:snapToGrid w:val="0"/>
          <w:color w:val="000000"/>
          <w:sz w:val="20"/>
          <w:szCs w:val="20"/>
          <w:lang w:val="en-US"/>
        </w:rPr>
        <w:t xml:space="preserve"> </w:t>
      </w:r>
      <w:r w:rsidRPr="00DC5490">
        <w:rPr>
          <w:rFonts w:asciiTheme="majorHAnsi" w:hAnsiTheme="majorHAnsi" w:cstheme="majorHAnsi"/>
          <w:bCs/>
          <w:snapToGrid w:val="0"/>
          <w:color w:val="000000"/>
          <w:sz w:val="20"/>
          <w:szCs w:val="20"/>
          <w:lang w:val="en-US"/>
        </w:rPr>
        <w:t xml:space="preserve"> </w:t>
      </w:r>
    </w:p>
    <w:p w14:paraId="7C285E98" w14:textId="77777777" w:rsidR="008D0CAD" w:rsidRPr="00DC5490" w:rsidRDefault="008D0CAD" w:rsidP="00EA6CB9">
      <w:pPr>
        <w:spacing w:before="100" w:beforeAutospacing="1" w:after="100" w:afterAutospacing="1" w:line="360" w:lineRule="auto"/>
        <w:ind w:left="1353" w:hanging="547"/>
        <w:rPr>
          <w:rFonts w:asciiTheme="majorHAnsi" w:hAnsiTheme="majorHAnsi" w:cstheme="majorHAnsi"/>
          <w:bCs/>
          <w:color w:val="000000"/>
          <w:sz w:val="20"/>
          <w:szCs w:val="20"/>
          <w:lang w:val="en-US"/>
        </w:rPr>
      </w:pPr>
      <w:r w:rsidRPr="00DC5490">
        <w:rPr>
          <w:rFonts w:asciiTheme="majorHAnsi" w:hAnsiTheme="majorHAnsi" w:cstheme="majorHAnsi"/>
          <w:bCs/>
          <w:color w:val="000000"/>
          <w:sz w:val="20"/>
          <w:szCs w:val="20"/>
          <w:lang w:val="en-US"/>
        </w:rPr>
        <w:t xml:space="preserve">____ Yes </w:t>
      </w:r>
      <w:r w:rsidRPr="00DC5490">
        <w:rPr>
          <w:rFonts w:asciiTheme="majorHAnsi" w:hAnsiTheme="majorHAnsi" w:cstheme="majorHAnsi"/>
          <w:bCs/>
          <w:color w:val="000000"/>
          <w:sz w:val="20"/>
          <w:szCs w:val="20"/>
          <w:lang w:val="en-US"/>
        </w:rPr>
        <w:tab/>
      </w:r>
      <w:r w:rsidRPr="00DC5490">
        <w:rPr>
          <w:rFonts w:asciiTheme="majorHAnsi" w:hAnsiTheme="majorHAnsi" w:cstheme="majorHAnsi"/>
          <w:bCs/>
          <w:color w:val="000000"/>
          <w:sz w:val="20"/>
          <w:szCs w:val="20"/>
          <w:lang w:val="en-US"/>
        </w:rPr>
        <w:tab/>
        <w:t>____ No (if no, proceed to Question No. 15)</w:t>
      </w:r>
    </w:p>
    <w:p w14:paraId="33C1F2D1" w14:textId="77777777" w:rsidR="008D0CAD" w:rsidRPr="00DC5490" w:rsidRDefault="008D0CAD" w:rsidP="00DD08E3">
      <w:pPr>
        <w:numPr>
          <w:ilvl w:val="1"/>
          <w:numId w:val="81"/>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snapToGrid w:val="0"/>
          <w:color w:val="000000"/>
          <w:sz w:val="20"/>
          <w:szCs w:val="20"/>
          <w:lang w:val="en-US"/>
        </w:rPr>
        <w:t xml:space="preserve">Please describe what happens during a LAC session. </w:t>
      </w:r>
    </w:p>
    <w:p w14:paraId="328D10AC" w14:textId="77777777" w:rsidR="008D0CAD" w:rsidRPr="00DC5490" w:rsidRDefault="008D0CAD" w:rsidP="00DD08E3">
      <w:pPr>
        <w:numPr>
          <w:ilvl w:val="1"/>
          <w:numId w:val="81"/>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snapToGrid w:val="0"/>
          <w:sz w:val="20"/>
          <w:szCs w:val="20"/>
          <w:lang w:val="en-US"/>
        </w:rPr>
        <w:t xml:space="preserve">On a scale of 1 to 4 (with 4 being Very High), </w:t>
      </w:r>
      <w:r w:rsidRPr="00DC5490">
        <w:rPr>
          <w:rFonts w:asciiTheme="majorHAnsi" w:hAnsiTheme="majorHAnsi" w:cstheme="majorHAnsi"/>
          <w:snapToGrid w:val="0"/>
          <w:color w:val="000000"/>
          <w:sz w:val="20"/>
          <w:szCs w:val="20"/>
          <w:lang w:val="en-US"/>
        </w:rPr>
        <w:t xml:space="preserve">assess </w:t>
      </w:r>
      <w:r w:rsidRPr="00DC5490">
        <w:rPr>
          <w:rFonts w:asciiTheme="majorHAnsi" w:hAnsiTheme="majorHAnsi" w:cstheme="majorHAnsi"/>
          <w:bCs/>
          <w:snapToGrid w:val="0"/>
          <w:color w:val="000000"/>
          <w:sz w:val="20"/>
          <w:szCs w:val="20"/>
          <w:lang w:val="en-US"/>
        </w:rPr>
        <w:t>LAC as a modality</w:t>
      </w:r>
      <w:r w:rsidRPr="00DC5490">
        <w:rPr>
          <w:rFonts w:asciiTheme="majorHAnsi" w:hAnsiTheme="majorHAnsi" w:cstheme="majorHAnsi"/>
          <w:snapToGrid w:val="0"/>
          <w:sz w:val="20"/>
          <w:szCs w:val="20"/>
          <w:lang w:val="en-US"/>
        </w:rPr>
        <w:t xml:space="preserve"> for delivering professional development to teachers by marking the appropriate box in terms of:</w:t>
      </w:r>
    </w:p>
    <w:tbl>
      <w:tblPr>
        <w:tblStyle w:val="TableGrid8"/>
        <w:tblW w:w="9355" w:type="dxa"/>
        <w:tblInd w:w="805" w:type="dxa"/>
        <w:tblLayout w:type="fixed"/>
        <w:tblLook w:val="04A0" w:firstRow="1" w:lastRow="0" w:firstColumn="1" w:lastColumn="0" w:noHBand="0" w:noVBand="1"/>
      </w:tblPr>
      <w:tblGrid>
        <w:gridCol w:w="4410"/>
        <w:gridCol w:w="1170"/>
        <w:gridCol w:w="810"/>
        <w:gridCol w:w="1080"/>
        <w:gridCol w:w="810"/>
        <w:gridCol w:w="1075"/>
      </w:tblGrid>
      <w:tr w:rsidR="008D0CAD" w:rsidRPr="00DC5490" w14:paraId="49EA12A9" w14:textId="77777777" w:rsidTr="00F4751F">
        <w:trPr>
          <w:trHeight w:val="224"/>
          <w:tblHeader/>
        </w:trPr>
        <w:tc>
          <w:tcPr>
            <w:tcW w:w="4410" w:type="dxa"/>
            <w:shd w:val="clear" w:color="auto" w:fill="D9D9D9" w:themeFill="background1" w:themeFillShade="D9"/>
          </w:tcPr>
          <w:p w14:paraId="68C55AAB"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p>
        </w:tc>
        <w:tc>
          <w:tcPr>
            <w:tcW w:w="1170" w:type="dxa"/>
            <w:shd w:val="clear" w:color="auto" w:fill="D9D9D9" w:themeFill="background1" w:themeFillShade="D9"/>
            <w:vAlign w:val="center"/>
          </w:tcPr>
          <w:p w14:paraId="76343732"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No opinion</w:t>
            </w:r>
          </w:p>
          <w:p w14:paraId="4C367AA4"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(0)</w:t>
            </w:r>
          </w:p>
        </w:tc>
        <w:tc>
          <w:tcPr>
            <w:tcW w:w="810" w:type="dxa"/>
            <w:shd w:val="clear" w:color="auto" w:fill="D9D9D9" w:themeFill="background1" w:themeFillShade="D9"/>
            <w:vAlign w:val="center"/>
          </w:tcPr>
          <w:p w14:paraId="610BBA9F"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Low</w:t>
            </w:r>
          </w:p>
          <w:p w14:paraId="1A0345D3"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(1)</w:t>
            </w:r>
          </w:p>
        </w:tc>
        <w:tc>
          <w:tcPr>
            <w:tcW w:w="1080" w:type="dxa"/>
            <w:shd w:val="clear" w:color="auto" w:fill="D9D9D9" w:themeFill="background1" w:themeFillShade="D9"/>
            <w:vAlign w:val="center"/>
          </w:tcPr>
          <w:p w14:paraId="0A9A5DE3"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Moderate</w:t>
            </w:r>
          </w:p>
          <w:p w14:paraId="5F1083B6"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(2)</w:t>
            </w:r>
          </w:p>
        </w:tc>
        <w:tc>
          <w:tcPr>
            <w:tcW w:w="810" w:type="dxa"/>
            <w:shd w:val="clear" w:color="auto" w:fill="D9D9D9" w:themeFill="background1" w:themeFillShade="D9"/>
            <w:vAlign w:val="center"/>
          </w:tcPr>
          <w:p w14:paraId="1799CA71"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High</w:t>
            </w:r>
          </w:p>
          <w:p w14:paraId="01F8050E"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(3)</w:t>
            </w:r>
          </w:p>
        </w:tc>
        <w:tc>
          <w:tcPr>
            <w:tcW w:w="1075" w:type="dxa"/>
            <w:shd w:val="clear" w:color="auto" w:fill="D9D9D9" w:themeFill="background1" w:themeFillShade="D9"/>
            <w:vAlign w:val="center"/>
          </w:tcPr>
          <w:p w14:paraId="22E69FD0"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Very High</w:t>
            </w:r>
          </w:p>
          <w:p w14:paraId="048DAB1C"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(4)</w:t>
            </w:r>
          </w:p>
        </w:tc>
      </w:tr>
      <w:tr w:rsidR="008D0CAD" w:rsidRPr="00DC5490" w14:paraId="5F07F983" w14:textId="77777777" w:rsidTr="009C64E9">
        <w:trPr>
          <w:trHeight w:val="281"/>
        </w:trPr>
        <w:tc>
          <w:tcPr>
            <w:tcW w:w="4410" w:type="dxa"/>
          </w:tcPr>
          <w:p w14:paraId="33DAADCB"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432" w:hanging="450"/>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sz w:val="16"/>
                <w:szCs w:val="16"/>
                <w:lang w:val="en-US"/>
              </w:rPr>
              <w:t>Ease of access to LAC resources (LAC session guides) for teachers in my school</w:t>
            </w:r>
          </w:p>
        </w:tc>
        <w:tc>
          <w:tcPr>
            <w:tcW w:w="1170" w:type="dxa"/>
            <w:vAlign w:val="center"/>
          </w:tcPr>
          <w:p w14:paraId="674A1AC3"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810" w:type="dxa"/>
            <w:vAlign w:val="center"/>
          </w:tcPr>
          <w:p w14:paraId="20F198C3"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1080" w:type="dxa"/>
            <w:vAlign w:val="center"/>
          </w:tcPr>
          <w:p w14:paraId="6F7E3639"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810" w:type="dxa"/>
          </w:tcPr>
          <w:p w14:paraId="57F30A30"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075" w:type="dxa"/>
            <w:vAlign w:val="center"/>
          </w:tcPr>
          <w:p w14:paraId="21DAB96B"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r>
      <w:tr w:rsidR="008D0CAD" w:rsidRPr="00DC5490" w14:paraId="7C3E1152" w14:textId="77777777" w:rsidTr="009C64E9">
        <w:trPr>
          <w:trHeight w:val="281"/>
        </w:trPr>
        <w:tc>
          <w:tcPr>
            <w:tcW w:w="4410" w:type="dxa"/>
          </w:tcPr>
          <w:p w14:paraId="4FFC06E8"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432" w:hanging="450"/>
              <w:rPr>
                <w:rFonts w:asciiTheme="majorHAnsi" w:eastAsiaTheme="minorHAnsi" w:hAnsiTheme="majorHAnsi" w:cstheme="majorHAnsi"/>
                <w:bCs/>
                <w:color w:val="000000"/>
                <w:sz w:val="16"/>
                <w:szCs w:val="16"/>
                <w:lang w:val="en-US"/>
              </w:rPr>
            </w:pPr>
            <w:r w:rsidRPr="00DC5490">
              <w:rPr>
                <w:rFonts w:asciiTheme="majorHAnsi" w:eastAsiaTheme="minorHAnsi" w:hAnsiTheme="majorHAnsi" w:cstheme="majorHAnsi"/>
                <w:color w:val="000000"/>
                <w:sz w:val="16"/>
                <w:szCs w:val="16"/>
                <w:lang w:val="en-US"/>
              </w:rPr>
              <w:t>Usefulness to teachers in my school</w:t>
            </w:r>
          </w:p>
        </w:tc>
        <w:tc>
          <w:tcPr>
            <w:tcW w:w="1170" w:type="dxa"/>
            <w:vAlign w:val="center"/>
          </w:tcPr>
          <w:p w14:paraId="12A1D6D7"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10" w:type="dxa"/>
            <w:vAlign w:val="center"/>
          </w:tcPr>
          <w:p w14:paraId="65BBA070"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080" w:type="dxa"/>
            <w:vAlign w:val="center"/>
          </w:tcPr>
          <w:p w14:paraId="6A06DA94"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10" w:type="dxa"/>
          </w:tcPr>
          <w:p w14:paraId="23FC3D34"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075" w:type="dxa"/>
            <w:vAlign w:val="center"/>
          </w:tcPr>
          <w:p w14:paraId="1EC4BAC6"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r>
      <w:tr w:rsidR="008D0CAD" w:rsidRPr="00DC5490" w14:paraId="4FC77F54" w14:textId="77777777" w:rsidTr="009C64E9">
        <w:trPr>
          <w:trHeight w:val="281"/>
        </w:trPr>
        <w:tc>
          <w:tcPr>
            <w:tcW w:w="4410" w:type="dxa"/>
          </w:tcPr>
          <w:p w14:paraId="742B7D5B"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432" w:hanging="450"/>
              <w:rPr>
                <w:rFonts w:asciiTheme="majorHAnsi" w:eastAsiaTheme="minorHAnsi" w:hAnsiTheme="majorHAnsi" w:cstheme="majorHAnsi"/>
                <w:bCs/>
                <w:color w:val="000000"/>
                <w:sz w:val="16"/>
                <w:szCs w:val="16"/>
                <w:lang w:val="en-US"/>
              </w:rPr>
            </w:pPr>
            <w:r w:rsidRPr="00DC5490">
              <w:rPr>
                <w:rFonts w:asciiTheme="majorHAnsi" w:eastAsiaTheme="minorHAnsi" w:hAnsiTheme="majorHAnsi" w:cstheme="majorHAnsi"/>
                <w:color w:val="000000"/>
                <w:sz w:val="16"/>
                <w:szCs w:val="16"/>
                <w:lang w:val="en-US"/>
              </w:rPr>
              <w:t>Appropriateness as a modality for delivering professional development for teachers in my school</w:t>
            </w:r>
          </w:p>
        </w:tc>
        <w:tc>
          <w:tcPr>
            <w:tcW w:w="1170" w:type="dxa"/>
            <w:vAlign w:val="center"/>
          </w:tcPr>
          <w:p w14:paraId="437514F4"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10" w:type="dxa"/>
            <w:vAlign w:val="center"/>
          </w:tcPr>
          <w:p w14:paraId="7DB1A915"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080" w:type="dxa"/>
            <w:vAlign w:val="center"/>
          </w:tcPr>
          <w:p w14:paraId="23B07FAB"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10" w:type="dxa"/>
          </w:tcPr>
          <w:p w14:paraId="451E9278"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075" w:type="dxa"/>
            <w:vAlign w:val="center"/>
          </w:tcPr>
          <w:p w14:paraId="40E5ED25"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r>
    </w:tbl>
    <w:p w14:paraId="6943A5DF" w14:textId="0055702D" w:rsidR="008D0CAD" w:rsidRPr="00DC5490" w:rsidRDefault="008D0CAD" w:rsidP="00DD08E3">
      <w:pPr>
        <w:numPr>
          <w:ilvl w:val="0"/>
          <w:numId w:val="81"/>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snapToGrid w:val="0"/>
          <w:sz w:val="20"/>
          <w:szCs w:val="20"/>
          <w:lang w:val="en-US"/>
        </w:rPr>
        <w:t xml:space="preserve">Were you able to complete all the training modules of the </w:t>
      </w:r>
      <w:r w:rsidRPr="00DC5490">
        <w:rPr>
          <w:rFonts w:asciiTheme="majorHAnsi" w:hAnsiTheme="majorHAnsi" w:cstheme="majorHAnsi"/>
          <w:b/>
          <w:snapToGrid w:val="0"/>
          <w:sz w:val="20"/>
          <w:szCs w:val="20"/>
          <w:lang w:val="en-US"/>
        </w:rPr>
        <w:t>School Heads Development Program (SHDP) Modules</w:t>
      </w:r>
      <w:r w:rsidRPr="00DC5490">
        <w:rPr>
          <w:rFonts w:asciiTheme="majorHAnsi" w:hAnsiTheme="majorHAnsi" w:cstheme="majorHAnsi"/>
          <w:snapToGrid w:val="0"/>
          <w:sz w:val="20"/>
          <w:szCs w:val="20"/>
          <w:lang w:val="en-US"/>
        </w:rPr>
        <w:t>? Why and Why not?</w:t>
      </w:r>
      <w:r w:rsidR="00D434EB">
        <w:rPr>
          <w:rFonts w:asciiTheme="majorHAnsi" w:hAnsiTheme="majorHAnsi" w:cstheme="majorHAnsi"/>
          <w:snapToGrid w:val="0"/>
          <w:sz w:val="20"/>
          <w:szCs w:val="20"/>
          <w:lang w:val="en-US"/>
        </w:rPr>
        <w:t xml:space="preserve"> </w:t>
      </w:r>
      <w:r w:rsidRPr="00DC5490">
        <w:rPr>
          <w:rFonts w:asciiTheme="majorHAnsi" w:hAnsiTheme="majorHAnsi" w:cstheme="majorHAnsi"/>
          <w:snapToGrid w:val="0"/>
          <w:sz w:val="20"/>
          <w:szCs w:val="20"/>
          <w:lang w:val="en-US"/>
        </w:rPr>
        <w:t>How many modules have you completed?</w:t>
      </w:r>
    </w:p>
    <w:p w14:paraId="633F55D8" w14:textId="77777777" w:rsidR="008D0CAD" w:rsidRPr="00DC5490" w:rsidRDefault="008D0CAD" w:rsidP="00DD08E3">
      <w:pPr>
        <w:numPr>
          <w:ilvl w:val="0"/>
          <w:numId w:val="81"/>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snapToGrid w:val="0"/>
          <w:sz w:val="20"/>
          <w:szCs w:val="20"/>
          <w:lang w:val="en-US"/>
        </w:rPr>
        <w:t xml:space="preserve">If you have taken some or all of the </w:t>
      </w:r>
      <w:r w:rsidRPr="00DC5490">
        <w:rPr>
          <w:rFonts w:asciiTheme="majorHAnsi" w:hAnsiTheme="majorHAnsi" w:cstheme="majorHAnsi"/>
          <w:b/>
          <w:snapToGrid w:val="0"/>
          <w:sz w:val="20"/>
          <w:szCs w:val="20"/>
          <w:lang w:val="en-US"/>
        </w:rPr>
        <w:t>SHDP Modules,</w:t>
      </w:r>
      <w:r w:rsidRPr="00DC5490">
        <w:rPr>
          <w:rFonts w:asciiTheme="majorHAnsi" w:hAnsiTheme="majorHAnsi" w:cstheme="majorHAnsi"/>
          <w:snapToGrid w:val="0"/>
          <w:sz w:val="20"/>
          <w:szCs w:val="20"/>
          <w:lang w:val="en-US"/>
        </w:rPr>
        <w:t xml:space="preserve"> please assess how useful were the training modules in improving your leadership and management competencies toward implementing the basic education reforms?</w:t>
      </w:r>
    </w:p>
    <w:p w14:paraId="0FCD26A6" w14:textId="77777777" w:rsidR="008D0CAD" w:rsidRPr="00DC5490" w:rsidRDefault="008D0CAD" w:rsidP="00DD08E3">
      <w:pPr>
        <w:numPr>
          <w:ilvl w:val="0"/>
          <w:numId w:val="81"/>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snapToGrid w:val="0"/>
          <w:color w:val="000000" w:themeColor="text1"/>
          <w:sz w:val="20"/>
          <w:szCs w:val="20"/>
        </w:rPr>
        <w:t xml:space="preserve">In your own opinion, what are some hindering and facilitating factors to </w:t>
      </w:r>
      <w:r w:rsidRPr="00DC5490">
        <w:rPr>
          <w:rFonts w:asciiTheme="majorHAnsi" w:hAnsiTheme="majorHAnsi" w:cstheme="majorHAnsi"/>
          <w:b/>
          <w:snapToGrid w:val="0"/>
          <w:color w:val="000000" w:themeColor="text1"/>
          <w:sz w:val="20"/>
          <w:szCs w:val="20"/>
        </w:rPr>
        <w:t>School Heads</w:t>
      </w:r>
      <w:r w:rsidRPr="00DC5490">
        <w:rPr>
          <w:rFonts w:asciiTheme="majorHAnsi" w:hAnsiTheme="majorHAnsi" w:cstheme="majorHAnsi"/>
          <w:snapToGrid w:val="0"/>
          <w:color w:val="000000" w:themeColor="text1"/>
          <w:sz w:val="20"/>
          <w:szCs w:val="20"/>
        </w:rPr>
        <w:t xml:space="preserve"> and </w:t>
      </w:r>
      <w:r w:rsidRPr="00DC5490">
        <w:rPr>
          <w:rFonts w:asciiTheme="majorHAnsi" w:hAnsiTheme="majorHAnsi" w:cstheme="majorHAnsi"/>
          <w:b/>
          <w:bCs/>
          <w:snapToGrid w:val="0"/>
          <w:color w:val="000000"/>
          <w:sz w:val="20"/>
          <w:szCs w:val="20"/>
          <w:lang w:val="en-US"/>
        </w:rPr>
        <w:t xml:space="preserve">Teacher Professional Development </w:t>
      </w:r>
      <w:r w:rsidRPr="00DC5490">
        <w:rPr>
          <w:rFonts w:asciiTheme="majorHAnsi" w:hAnsiTheme="majorHAnsi" w:cstheme="majorHAnsi"/>
          <w:bCs/>
          <w:snapToGrid w:val="0"/>
          <w:color w:val="000000"/>
          <w:sz w:val="20"/>
          <w:szCs w:val="20"/>
          <w:lang w:val="en-US"/>
        </w:rPr>
        <w:t>in your school</w:t>
      </w:r>
      <w:r w:rsidRPr="00DC5490">
        <w:rPr>
          <w:rFonts w:asciiTheme="majorHAnsi" w:hAnsiTheme="majorHAnsi" w:cstheme="majorHAnsi"/>
          <w:snapToGrid w:val="0"/>
          <w:color w:val="000000" w:themeColor="text1"/>
          <w:sz w:val="20"/>
          <w:szCs w:val="20"/>
        </w:rPr>
        <w:t>?</w:t>
      </w:r>
    </w:p>
    <w:tbl>
      <w:tblPr>
        <w:tblStyle w:val="TableGrid8"/>
        <w:tblW w:w="9953" w:type="dxa"/>
        <w:tblInd w:w="-5" w:type="dxa"/>
        <w:tblLayout w:type="fixed"/>
        <w:tblLook w:val="04A0" w:firstRow="1" w:lastRow="0" w:firstColumn="1" w:lastColumn="0" w:noHBand="0" w:noVBand="1"/>
      </w:tblPr>
      <w:tblGrid>
        <w:gridCol w:w="4732"/>
        <w:gridCol w:w="485"/>
        <w:gridCol w:w="4736"/>
      </w:tblGrid>
      <w:tr w:rsidR="008D0CAD" w:rsidRPr="00DC5490" w14:paraId="612A80E0" w14:textId="77777777" w:rsidTr="00F12C9A">
        <w:trPr>
          <w:trHeight w:val="457"/>
        </w:trPr>
        <w:tc>
          <w:tcPr>
            <w:tcW w:w="4732" w:type="dxa"/>
            <w:shd w:val="clear" w:color="auto" w:fill="D9D9D9" w:themeFill="background1" w:themeFillShade="D9"/>
            <w:vAlign w:val="center"/>
          </w:tcPr>
          <w:p w14:paraId="4C50665A"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527" w:hanging="545"/>
              <w:rPr>
                <w:rFonts w:asciiTheme="majorHAnsi" w:eastAsiaTheme="minorHAnsi" w:hAnsiTheme="majorHAnsi" w:cstheme="majorHAnsi"/>
                <w:color w:val="000000" w:themeColor="text1"/>
                <w:sz w:val="20"/>
                <w:szCs w:val="20"/>
                <w:lang w:val="en-US"/>
              </w:rPr>
            </w:pPr>
            <w:r w:rsidRPr="00DC5490">
              <w:rPr>
                <w:rFonts w:asciiTheme="majorHAnsi" w:eastAsiaTheme="minorHAnsi" w:hAnsiTheme="majorHAnsi" w:cstheme="majorHAnsi"/>
                <w:color w:val="000000" w:themeColor="text1"/>
                <w:sz w:val="20"/>
                <w:szCs w:val="20"/>
                <w:lang w:val="en-US"/>
              </w:rPr>
              <w:t xml:space="preserve">What factors hinder the </w:t>
            </w:r>
            <w:r w:rsidRPr="00DC5490">
              <w:rPr>
                <w:rFonts w:asciiTheme="majorHAnsi" w:eastAsiaTheme="minorHAnsi" w:hAnsiTheme="majorHAnsi" w:cstheme="majorHAnsi"/>
                <w:color w:val="000000"/>
                <w:sz w:val="20"/>
                <w:szCs w:val="20"/>
                <w:lang w:val="en-US"/>
              </w:rPr>
              <w:t xml:space="preserve">professional development of teachers in </w:t>
            </w:r>
            <w:r w:rsidRPr="00DC5490">
              <w:rPr>
                <w:rFonts w:asciiTheme="majorHAnsi" w:eastAsiaTheme="minorHAnsi" w:hAnsiTheme="majorHAnsi" w:cstheme="majorHAnsi"/>
                <w:bCs/>
                <w:color w:val="000000"/>
                <w:sz w:val="20"/>
                <w:szCs w:val="20"/>
                <w:lang w:val="en-US"/>
              </w:rPr>
              <w:t>your school?</w:t>
            </w:r>
          </w:p>
        </w:tc>
        <w:tc>
          <w:tcPr>
            <w:tcW w:w="485" w:type="dxa"/>
            <w:shd w:val="clear" w:color="auto" w:fill="D9D9D9" w:themeFill="background1" w:themeFillShade="D9"/>
            <w:vAlign w:val="center"/>
          </w:tcPr>
          <w:p w14:paraId="43735F70"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r w:rsidRPr="00DC5490">
              <w:rPr>
                <w:rFonts w:asciiTheme="majorHAnsi" w:eastAsiaTheme="minorHAnsi" w:hAnsiTheme="majorHAnsi" w:cstheme="majorHAnsi"/>
                <w:color w:val="000000" w:themeColor="text1"/>
                <w:sz w:val="20"/>
                <w:szCs w:val="20"/>
                <w:lang w:val="en-US"/>
              </w:rPr>
              <w:t xml:space="preserve"> </w:t>
            </w:r>
          </w:p>
        </w:tc>
        <w:tc>
          <w:tcPr>
            <w:tcW w:w="4736" w:type="dxa"/>
            <w:shd w:val="clear" w:color="auto" w:fill="D9D9D9" w:themeFill="background1" w:themeFillShade="D9"/>
            <w:vAlign w:val="center"/>
          </w:tcPr>
          <w:p w14:paraId="3C21363C"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525" w:hanging="525"/>
              <w:rPr>
                <w:rFonts w:asciiTheme="majorHAnsi" w:eastAsiaTheme="minorHAnsi" w:hAnsiTheme="majorHAnsi" w:cstheme="majorHAnsi"/>
                <w:color w:val="000000" w:themeColor="text1"/>
                <w:sz w:val="20"/>
                <w:szCs w:val="20"/>
                <w:lang w:val="en-US"/>
              </w:rPr>
            </w:pPr>
            <w:r w:rsidRPr="00DC5490">
              <w:rPr>
                <w:rFonts w:asciiTheme="majorHAnsi" w:eastAsiaTheme="minorHAnsi" w:hAnsiTheme="majorHAnsi" w:cstheme="majorHAnsi"/>
                <w:color w:val="000000" w:themeColor="text1"/>
                <w:sz w:val="20"/>
                <w:szCs w:val="20"/>
                <w:lang w:val="en-US"/>
              </w:rPr>
              <w:t xml:space="preserve">What factors help the </w:t>
            </w:r>
            <w:r w:rsidRPr="00DC5490">
              <w:rPr>
                <w:rFonts w:asciiTheme="majorHAnsi" w:eastAsiaTheme="minorHAnsi" w:hAnsiTheme="majorHAnsi" w:cstheme="majorHAnsi"/>
                <w:color w:val="000000"/>
                <w:sz w:val="20"/>
                <w:szCs w:val="20"/>
                <w:lang w:val="en-US"/>
              </w:rPr>
              <w:t xml:space="preserve">professional development of teachers in </w:t>
            </w:r>
            <w:r w:rsidRPr="00DC5490">
              <w:rPr>
                <w:rFonts w:asciiTheme="majorHAnsi" w:eastAsiaTheme="minorHAnsi" w:hAnsiTheme="majorHAnsi" w:cstheme="majorHAnsi"/>
                <w:bCs/>
                <w:color w:val="000000"/>
                <w:sz w:val="20"/>
                <w:szCs w:val="20"/>
                <w:lang w:val="en-US"/>
              </w:rPr>
              <w:t>your school?</w:t>
            </w:r>
          </w:p>
        </w:tc>
      </w:tr>
      <w:tr w:rsidR="008D0CAD" w:rsidRPr="00DC5490" w14:paraId="39711F1F" w14:textId="77777777" w:rsidTr="00F12C9A">
        <w:trPr>
          <w:trHeight w:val="457"/>
        </w:trPr>
        <w:tc>
          <w:tcPr>
            <w:tcW w:w="4732" w:type="dxa"/>
            <w:tcBorders>
              <w:bottom w:val="single" w:sz="4" w:space="0" w:color="auto"/>
            </w:tcBorders>
            <w:vAlign w:val="center"/>
          </w:tcPr>
          <w:p w14:paraId="369EEC7D"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485" w:type="dxa"/>
            <w:tcBorders>
              <w:bottom w:val="single" w:sz="4" w:space="0" w:color="auto"/>
            </w:tcBorders>
            <w:vAlign w:val="center"/>
          </w:tcPr>
          <w:p w14:paraId="09E34C75"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4736" w:type="dxa"/>
            <w:tcBorders>
              <w:bottom w:val="single" w:sz="4" w:space="0" w:color="auto"/>
            </w:tcBorders>
            <w:vAlign w:val="center"/>
          </w:tcPr>
          <w:p w14:paraId="6FF8DE32"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r>
      <w:tr w:rsidR="008D0CAD" w:rsidRPr="00DC5490" w14:paraId="49663DD0" w14:textId="77777777" w:rsidTr="00F12C9A">
        <w:trPr>
          <w:trHeight w:val="457"/>
        </w:trPr>
        <w:tc>
          <w:tcPr>
            <w:tcW w:w="4732" w:type="dxa"/>
            <w:shd w:val="clear" w:color="auto" w:fill="D9D9D9" w:themeFill="background1" w:themeFillShade="D9"/>
          </w:tcPr>
          <w:p w14:paraId="43C3C4F3"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527" w:hanging="545"/>
              <w:rPr>
                <w:rFonts w:asciiTheme="majorHAnsi" w:eastAsiaTheme="minorHAnsi" w:hAnsiTheme="majorHAnsi" w:cstheme="majorHAnsi"/>
                <w:color w:val="000000" w:themeColor="text1"/>
                <w:sz w:val="20"/>
                <w:szCs w:val="20"/>
                <w:lang w:val="en-US"/>
              </w:rPr>
            </w:pPr>
            <w:r w:rsidRPr="00DC5490">
              <w:rPr>
                <w:rFonts w:asciiTheme="majorHAnsi" w:eastAsiaTheme="minorHAnsi" w:hAnsiTheme="majorHAnsi" w:cstheme="majorHAnsi"/>
                <w:color w:val="000000" w:themeColor="text1"/>
                <w:sz w:val="20"/>
                <w:szCs w:val="20"/>
                <w:lang w:val="en-US"/>
              </w:rPr>
              <w:t xml:space="preserve">What factors hinder the </w:t>
            </w:r>
            <w:r w:rsidRPr="00DC5490">
              <w:rPr>
                <w:rFonts w:asciiTheme="majorHAnsi" w:eastAsiaTheme="minorHAnsi" w:hAnsiTheme="majorHAnsi" w:cstheme="majorHAnsi"/>
                <w:color w:val="000000"/>
                <w:sz w:val="20"/>
                <w:szCs w:val="20"/>
                <w:lang w:val="en-US"/>
              </w:rPr>
              <w:t xml:space="preserve">professional development of Principals/School Heads in </w:t>
            </w:r>
            <w:r w:rsidRPr="00DC5490">
              <w:rPr>
                <w:rFonts w:asciiTheme="majorHAnsi" w:eastAsiaTheme="minorHAnsi" w:hAnsiTheme="majorHAnsi" w:cstheme="majorHAnsi"/>
                <w:bCs/>
                <w:color w:val="000000"/>
                <w:sz w:val="20"/>
                <w:szCs w:val="20"/>
                <w:lang w:val="en-US"/>
              </w:rPr>
              <w:t>your school, division or region?</w:t>
            </w:r>
          </w:p>
        </w:tc>
        <w:tc>
          <w:tcPr>
            <w:tcW w:w="485" w:type="dxa"/>
            <w:shd w:val="clear" w:color="auto" w:fill="D9D9D9" w:themeFill="background1" w:themeFillShade="D9"/>
          </w:tcPr>
          <w:p w14:paraId="48676C34"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r w:rsidRPr="00DC5490">
              <w:rPr>
                <w:rFonts w:asciiTheme="majorHAnsi" w:eastAsiaTheme="minorHAnsi" w:hAnsiTheme="majorHAnsi" w:cstheme="majorHAnsi"/>
                <w:color w:val="000000" w:themeColor="text1"/>
                <w:sz w:val="20"/>
                <w:szCs w:val="20"/>
                <w:lang w:val="en-US"/>
              </w:rPr>
              <w:t xml:space="preserve"> </w:t>
            </w:r>
          </w:p>
        </w:tc>
        <w:tc>
          <w:tcPr>
            <w:tcW w:w="4736" w:type="dxa"/>
            <w:shd w:val="clear" w:color="auto" w:fill="D9D9D9" w:themeFill="background1" w:themeFillShade="D9"/>
          </w:tcPr>
          <w:p w14:paraId="42AEDD22"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525" w:hanging="525"/>
              <w:rPr>
                <w:rFonts w:asciiTheme="majorHAnsi" w:eastAsiaTheme="minorHAnsi" w:hAnsiTheme="majorHAnsi" w:cstheme="majorHAnsi"/>
                <w:color w:val="000000" w:themeColor="text1"/>
                <w:sz w:val="20"/>
                <w:szCs w:val="20"/>
                <w:lang w:val="en-US"/>
              </w:rPr>
            </w:pPr>
            <w:r w:rsidRPr="00DC5490">
              <w:rPr>
                <w:rFonts w:asciiTheme="majorHAnsi" w:eastAsiaTheme="minorHAnsi" w:hAnsiTheme="majorHAnsi" w:cstheme="majorHAnsi"/>
                <w:color w:val="000000" w:themeColor="text1"/>
                <w:sz w:val="20"/>
                <w:szCs w:val="20"/>
                <w:lang w:val="en-US"/>
              </w:rPr>
              <w:t xml:space="preserve">What factors help the </w:t>
            </w:r>
            <w:r w:rsidRPr="00DC5490">
              <w:rPr>
                <w:rFonts w:asciiTheme="majorHAnsi" w:eastAsiaTheme="minorHAnsi" w:hAnsiTheme="majorHAnsi" w:cstheme="majorHAnsi"/>
                <w:color w:val="000000"/>
                <w:sz w:val="20"/>
                <w:szCs w:val="20"/>
                <w:lang w:val="en-US"/>
              </w:rPr>
              <w:t xml:space="preserve">professional development of Principals/School Heads in </w:t>
            </w:r>
            <w:r w:rsidRPr="00DC5490">
              <w:rPr>
                <w:rFonts w:asciiTheme="majorHAnsi" w:eastAsiaTheme="minorHAnsi" w:hAnsiTheme="majorHAnsi" w:cstheme="majorHAnsi"/>
                <w:bCs/>
                <w:color w:val="000000"/>
                <w:sz w:val="20"/>
                <w:szCs w:val="20"/>
                <w:lang w:val="en-US"/>
              </w:rPr>
              <w:t>your school, division or region?</w:t>
            </w:r>
          </w:p>
        </w:tc>
      </w:tr>
      <w:tr w:rsidR="008D0CAD" w:rsidRPr="00DC5490" w14:paraId="2D38CA9E" w14:textId="77777777" w:rsidTr="00F12C9A">
        <w:trPr>
          <w:trHeight w:val="457"/>
        </w:trPr>
        <w:tc>
          <w:tcPr>
            <w:tcW w:w="4732" w:type="dxa"/>
          </w:tcPr>
          <w:p w14:paraId="725E33F2"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485" w:type="dxa"/>
          </w:tcPr>
          <w:p w14:paraId="22FBAD86"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4736" w:type="dxa"/>
          </w:tcPr>
          <w:p w14:paraId="2C3CA2A8"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r>
    </w:tbl>
    <w:p w14:paraId="76C1E317" w14:textId="77777777" w:rsidR="008D0CAD" w:rsidRPr="00DC5490" w:rsidRDefault="008D0CAD" w:rsidP="00EA6CB9">
      <w:pPr>
        <w:spacing w:before="100" w:beforeAutospacing="1" w:after="100" w:afterAutospacing="1" w:line="360" w:lineRule="auto"/>
        <w:ind w:left="360"/>
        <w:contextualSpacing/>
        <w:rPr>
          <w:rFonts w:asciiTheme="majorHAnsi" w:hAnsiTheme="majorHAnsi" w:cstheme="majorHAnsi"/>
          <w:bCs/>
          <w:snapToGrid w:val="0"/>
          <w:color w:val="000000"/>
          <w:sz w:val="20"/>
          <w:szCs w:val="20"/>
          <w:lang w:val="en-US"/>
        </w:rPr>
      </w:pPr>
    </w:p>
    <w:p w14:paraId="203BCBBC" w14:textId="2C4C0D65" w:rsidR="008D0CAD" w:rsidRPr="00EA6CB9" w:rsidRDefault="008D0CAD" w:rsidP="00DD08E3">
      <w:pPr>
        <w:numPr>
          <w:ilvl w:val="0"/>
          <w:numId w:val="81"/>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snapToGrid w:val="0"/>
          <w:sz w:val="20"/>
          <w:szCs w:val="20"/>
          <w:lang w:val="en-US"/>
        </w:rPr>
        <w:t xml:space="preserve">As a Principal, what recommendations can you give to further enhance the professional development of Principals/School Heads/teachers in </w:t>
      </w:r>
      <w:r w:rsidRPr="00DC5490">
        <w:rPr>
          <w:rFonts w:asciiTheme="majorHAnsi" w:hAnsiTheme="majorHAnsi" w:cstheme="majorHAnsi"/>
          <w:bCs/>
          <w:snapToGrid w:val="0"/>
          <w:color w:val="000000"/>
          <w:sz w:val="20"/>
          <w:szCs w:val="20"/>
          <w:lang w:val="en-US"/>
        </w:rPr>
        <w:t xml:space="preserve">your </w:t>
      </w:r>
      <w:r w:rsidRPr="00DC5490">
        <w:rPr>
          <w:rFonts w:asciiTheme="majorHAnsi" w:hAnsiTheme="majorHAnsi" w:cstheme="majorHAnsi"/>
          <w:bCs/>
          <w:snapToGrid w:val="0"/>
          <w:sz w:val="20"/>
          <w:szCs w:val="20"/>
          <w:lang w:val="en-US"/>
        </w:rPr>
        <w:t>school, division or region</w:t>
      </w:r>
      <w:r w:rsidRPr="00DC5490">
        <w:rPr>
          <w:rFonts w:asciiTheme="majorHAnsi" w:hAnsiTheme="majorHAnsi" w:cstheme="majorHAnsi"/>
          <w:snapToGrid w:val="0"/>
          <w:sz w:val="20"/>
          <w:szCs w:val="20"/>
          <w:lang w:val="en-US"/>
        </w:rPr>
        <w:t>?</w:t>
      </w:r>
    </w:p>
    <w:p w14:paraId="3103C12A"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themeColor="text1"/>
          <w:sz w:val="20"/>
          <w:szCs w:val="20"/>
          <w:lang w:val="en-US"/>
        </w:rPr>
      </w:pPr>
      <w:r w:rsidRPr="00EC48C1">
        <w:rPr>
          <w:rFonts w:asciiTheme="majorHAnsi" w:hAnsiTheme="majorHAnsi" w:cstheme="majorHAnsi"/>
          <w:b/>
          <w:color w:val="000000"/>
          <w:sz w:val="20"/>
          <w:szCs w:val="20"/>
          <w:lang w:val="en-US"/>
        </w:rPr>
        <w:t>Philippine Professional Standards for Teachers (PPST)</w:t>
      </w:r>
    </w:p>
    <w:p w14:paraId="7816483D" w14:textId="77777777" w:rsidR="008D0CAD" w:rsidRPr="00DC5490" w:rsidRDefault="008D0CAD" w:rsidP="00DD08E3">
      <w:pPr>
        <w:numPr>
          <w:ilvl w:val="0"/>
          <w:numId w:val="81"/>
        </w:numPr>
        <w:spacing w:before="100" w:beforeAutospacing="1" w:after="100" w:afterAutospacing="1" w:line="360" w:lineRule="auto"/>
        <w:contextualSpacing/>
        <w:rPr>
          <w:rFonts w:asciiTheme="majorHAnsi" w:hAnsiTheme="majorHAnsi" w:cstheme="majorHAnsi"/>
          <w:snapToGrid w:val="0"/>
          <w:color w:val="000000"/>
          <w:sz w:val="20"/>
          <w:szCs w:val="20"/>
          <w:lang w:val="en-US"/>
        </w:rPr>
      </w:pPr>
      <w:r w:rsidRPr="00DC5490">
        <w:rPr>
          <w:rFonts w:asciiTheme="majorHAnsi" w:hAnsiTheme="majorHAnsi" w:cstheme="majorHAnsi"/>
          <w:snapToGrid w:val="0"/>
          <w:color w:val="000000"/>
          <w:sz w:val="20"/>
          <w:szCs w:val="20"/>
          <w:lang w:val="en-US"/>
        </w:rPr>
        <w:t xml:space="preserve">Can you please describe your understanding of what the </w:t>
      </w:r>
      <w:r w:rsidRPr="00DC5490">
        <w:rPr>
          <w:rFonts w:asciiTheme="majorHAnsi" w:hAnsiTheme="majorHAnsi" w:cstheme="majorHAnsi"/>
          <w:b/>
          <w:snapToGrid w:val="0"/>
          <w:color w:val="000000"/>
          <w:sz w:val="20"/>
          <w:szCs w:val="20"/>
          <w:lang w:val="en-US"/>
        </w:rPr>
        <w:t xml:space="preserve">Philippine Professional Standards for Teachers (PPST) </w:t>
      </w:r>
      <w:r w:rsidRPr="00DC5490">
        <w:rPr>
          <w:rFonts w:asciiTheme="majorHAnsi" w:hAnsiTheme="majorHAnsi" w:cstheme="majorHAnsi"/>
          <w:bCs/>
          <w:snapToGrid w:val="0"/>
          <w:color w:val="000000"/>
          <w:sz w:val="20"/>
          <w:szCs w:val="20"/>
          <w:lang w:val="en-US"/>
        </w:rPr>
        <w:t>is all about and how it affects you as a teacher?</w:t>
      </w:r>
    </w:p>
    <w:p w14:paraId="09DE4027" w14:textId="37F03C6B" w:rsidR="008D0CAD" w:rsidRPr="00DC5490" w:rsidRDefault="008D0CAD" w:rsidP="00DD08E3">
      <w:pPr>
        <w:numPr>
          <w:ilvl w:val="0"/>
          <w:numId w:val="81"/>
        </w:numPr>
        <w:spacing w:before="100" w:beforeAutospacing="1" w:after="100" w:afterAutospacing="1" w:line="360" w:lineRule="auto"/>
        <w:contextualSpacing/>
        <w:rPr>
          <w:rFonts w:asciiTheme="majorHAnsi" w:hAnsiTheme="majorHAnsi" w:cstheme="majorHAnsi"/>
          <w:snapToGrid w:val="0"/>
          <w:color w:val="000000"/>
          <w:sz w:val="20"/>
          <w:szCs w:val="20"/>
          <w:lang w:val="en-US"/>
        </w:rPr>
      </w:pPr>
      <w:r w:rsidRPr="00DC5490">
        <w:rPr>
          <w:rFonts w:asciiTheme="majorHAnsi" w:hAnsiTheme="majorHAnsi" w:cstheme="majorHAnsi"/>
          <w:bCs/>
          <w:snapToGrid w:val="0"/>
          <w:color w:val="000000"/>
          <w:sz w:val="20"/>
          <w:szCs w:val="20"/>
          <w:lang w:val="en-US"/>
        </w:rPr>
        <w:t xml:space="preserve">Have you ever participated in any PPST processes or activity, within the last 5 years? </w:t>
      </w:r>
      <w:r w:rsidRPr="00DC5490">
        <w:rPr>
          <w:rFonts w:asciiTheme="majorHAnsi" w:hAnsiTheme="majorHAnsi" w:cstheme="majorHAnsi"/>
          <w:bCs/>
          <w:snapToGrid w:val="0"/>
          <w:color w:val="000000"/>
          <w:sz w:val="20"/>
          <w:szCs w:val="20"/>
          <w:lang w:val="en-US"/>
        </w:rPr>
        <w:tab/>
        <w:t>____ Yes</w:t>
      </w:r>
      <w:r w:rsidR="00D434EB">
        <w:rPr>
          <w:rFonts w:asciiTheme="majorHAnsi" w:hAnsiTheme="majorHAnsi" w:cstheme="majorHAnsi"/>
          <w:bCs/>
          <w:snapToGrid w:val="0"/>
          <w:color w:val="000000"/>
          <w:sz w:val="20"/>
          <w:szCs w:val="20"/>
          <w:lang w:val="en-US"/>
        </w:rPr>
        <w:t xml:space="preserve"> </w:t>
      </w:r>
      <w:r w:rsidRPr="00DC5490">
        <w:rPr>
          <w:rFonts w:asciiTheme="majorHAnsi" w:hAnsiTheme="majorHAnsi" w:cstheme="majorHAnsi"/>
          <w:bCs/>
          <w:snapToGrid w:val="0"/>
          <w:color w:val="000000"/>
          <w:sz w:val="20"/>
          <w:szCs w:val="20"/>
          <w:lang w:val="en-US"/>
        </w:rPr>
        <w:t xml:space="preserve"> ____ No</w:t>
      </w:r>
    </w:p>
    <w:p w14:paraId="2E4FD28A" w14:textId="77777777" w:rsidR="008D0CAD" w:rsidRPr="00DC5490" w:rsidRDefault="008D0CAD" w:rsidP="00DD08E3">
      <w:pPr>
        <w:numPr>
          <w:ilvl w:val="1"/>
          <w:numId w:val="81"/>
        </w:numPr>
        <w:spacing w:before="100" w:beforeAutospacing="1" w:after="100" w:afterAutospacing="1" w:line="360" w:lineRule="auto"/>
        <w:ind w:left="990" w:hanging="630"/>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bCs/>
          <w:snapToGrid w:val="0"/>
          <w:color w:val="000000"/>
          <w:sz w:val="20"/>
          <w:szCs w:val="20"/>
          <w:lang w:val="en-US"/>
        </w:rPr>
        <w:t xml:space="preserve">If yes, what activities have your joined? ____ PPST orientation </w:t>
      </w:r>
      <w:r w:rsidRPr="00DC5490">
        <w:rPr>
          <w:rFonts w:asciiTheme="majorHAnsi" w:hAnsiTheme="majorHAnsi" w:cstheme="majorHAnsi"/>
          <w:bCs/>
          <w:snapToGrid w:val="0"/>
          <w:color w:val="000000"/>
          <w:sz w:val="20"/>
          <w:szCs w:val="20"/>
          <w:lang w:val="en-US"/>
        </w:rPr>
        <w:tab/>
        <w:t>____ develop or validate PPST</w:t>
      </w:r>
    </w:p>
    <w:p w14:paraId="474CBEB7" w14:textId="164AAAAB" w:rsidR="008D0CAD" w:rsidRPr="00DC5490" w:rsidRDefault="00D434EB" w:rsidP="00EA6CB9">
      <w:pPr>
        <w:spacing w:before="100" w:beforeAutospacing="1" w:after="100" w:afterAutospacing="1" w:line="360" w:lineRule="auto"/>
        <w:ind w:left="990"/>
        <w:rPr>
          <w:rFonts w:asciiTheme="majorHAnsi" w:hAnsiTheme="majorHAnsi" w:cstheme="majorHAnsi"/>
          <w:bCs/>
          <w:color w:val="000000"/>
          <w:sz w:val="20"/>
          <w:szCs w:val="20"/>
          <w:lang w:val="en-US"/>
        </w:rPr>
      </w:pPr>
      <w:r>
        <w:rPr>
          <w:rFonts w:asciiTheme="majorHAnsi" w:hAnsiTheme="majorHAnsi" w:cstheme="majorHAnsi"/>
          <w:bCs/>
          <w:color w:val="000000"/>
          <w:sz w:val="20"/>
          <w:szCs w:val="20"/>
          <w:lang w:val="en-US"/>
        </w:rPr>
        <w:t xml:space="preserve"> </w:t>
      </w:r>
      <w:r w:rsidR="008D0CAD" w:rsidRPr="00DC5490">
        <w:rPr>
          <w:rFonts w:asciiTheme="majorHAnsi" w:hAnsiTheme="majorHAnsi" w:cstheme="majorHAnsi"/>
          <w:bCs/>
          <w:color w:val="000000"/>
          <w:sz w:val="20"/>
          <w:szCs w:val="20"/>
          <w:lang w:val="en-US"/>
        </w:rPr>
        <w:t>____ Develop resources for the PPST ____ Others specify _________________________________</w:t>
      </w:r>
    </w:p>
    <w:p w14:paraId="663D505D" w14:textId="498214C6" w:rsidR="008D0CAD" w:rsidRPr="00DC5490" w:rsidRDefault="008D0CAD" w:rsidP="00DD08E3">
      <w:pPr>
        <w:numPr>
          <w:ilvl w:val="1"/>
          <w:numId w:val="81"/>
        </w:numPr>
        <w:spacing w:before="100" w:beforeAutospacing="1" w:after="100" w:afterAutospacing="1" w:line="360" w:lineRule="auto"/>
        <w:ind w:left="990" w:hanging="612"/>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bCs/>
          <w:snapToGrid w:val="0"/>
          <w:color w:val="000000"/>
          <w:sz w:val="20"/>
          <w:szCs w:val="20"/>
          <w:lang w:val="en-US"/>
        </w:rPr>
        <w:t xml:space="preserve">Are you familiar with the </w:t>
      </w:r>
      <w:r w:rsidRPr="00DC5490">
        <w:rPr>
          <w:rFonts w:asciiTheme="majorHAnsi" w:eastAsiaTheme="minorEastAsia" w:hAnsiTheme="majorHAnsi" w:cstheme="majorHAnsi"/>
          <w:b/>
          <w:snapToGrid w:val="0"/>
          <w:sz w:val="20"/>
          <w:szCs w:val="20"/>
          <w:lang w:val="en-US"/>
        </w:rPr>
        <w:t>12 priority indicators</w:t>
      </w:r>
      <w:r w:rsidRPr="00DC5490">
        <w:rPr>
          <w:rFonts w:asciiTheme="majorHAnsi" w:eastAsiaTheme="minorEastAsia" w:hAnsiTheme="majorHAnsi" w:cstheme="majorHAnsi"/>
          <w:snapToGrid w:val="0"/>
          <w:sz w:val="20"/>
          <w:szCs w:val="20"/>
          <w:lang w:val="en-US"/>
        </w:rPr>
        <w:t xml:space="preserve"> of </w:t>
      </w:r>
      <w:r w:rsidRPr="00DC5490">
        <w:rPr>
          <w:rFonts w:asciiTheme="majorHAnsi" w:hAnsiTheme="majorHAnsi" w:cstheme="majorHAnsi"/>
          <w:bCs/>
          <w:snapToGrid w:val="0"/>
          <w:color w:val="000000"/>
          <w:sz w:val="20"/>
          <w:szCs w:val="20"/>
          <w:lang w:val="en-US"/>
        </w:rPr>
        <w:t>the PPST on which RPMS tools and processes are based?</w:t>
      </w:r>
      <w:r w:rsidR="00D434EB">
        <w:rPr>
          <w:rFonts w:asciiTheme="majorHAnsi" w:hAnsiTheme="majorHAnsi" w:cstheme="majorHAnsi"/>
          <w:bCs/>
          <w:snapToGrid w:val="0"/>
          <w:color w:val="000000"/>
          <w:sz w:val="20"/>
          <w:szCs w:val="20"/>
          <w:lang w:val="en-US"/>
        </w:rPr>
        <w:t xml:space="preserve"> </w:t>
      </w:r>
      <w:r w:rsidRPr="00DC5490">
        <w:rPr>
          <w:rFonts w:asciiTheme="majorHAnsi" w:hAnsiTheme="majorHAnsi" w:cstheme="majorHAnsi"/>
          <w:bCs/>
          <w:snapToGrid w:val="0"/>
          <w:color w:val="000000"/>
          <w:sz w:val="20"/>
          <w:szCs w:val="20"/>
          <w:lang w:val="en-US"/>
        </w:rPr>
        <w:t xml:space="preserve">____ Yes </w:t>
      </w:r>
      <w:r w:rsidRPr="00DC5490">
        <w:rPr>
          <w:rFonts w:asciiTheme="majorHAnsi" w:hAnsiTheme="majorHAnsi" w:cstheme="majorHAnsi"/>
          <w:bCs/>
          <w:snapToGrid w:val="0"/>
          <w:color w:val="000000"/>
          <w:sz w:val="20"/>
          <w:szCs w:val="20"/>
          <w:lang w:val="en-US"/>
        </w:rPr>
        <w:tab/>
      </w:r>
      <w:r w:rsidRPr="00DC5490">
        <w:rPr>
          <w:rFonts w:asciiTheme="majorHAnsi" w:hAnsiTheme="majorHAnsi" w:cstheme="majorHAnsi"/>
          <w:bCs/>
          <w:snapToGrid w:val="0"/>
          <w:color w:val="000000"/>
          <w:sz w:val="20"/>
          <w:szCs w:val="20"/>
          <w:lang w:val="en-US"/>
        </w:rPr>
        <w:tab/>
        <w:t>____ No</w:t>
      </w:r>
    </w:p>
    <w:p w14:paraId="5940F07A" w14:textId="77777777" w:rsidR="008D0CAD" w:rsidRPr="00DC5490" w:rsidRDefault="008D0CAD" w:rsidP="00DD08E3">
      <w:pPr>
        <w:numPr>
          <w:ilvl w:val="1"/>
          <w:numId w:val="81"/>
        </w:numPr>
        <w:spacing w:before="100" w:beforeAutospacing="1" w:after="100" w:afterAutospacing="1" w:line="360" w:lineRule="auto"/>
        <w:ind w:left="900" w:hanging="522"/>
        <w:contextualSpacing/>
        <w:rPr>
          <w:rFonts w:asciiTheme="majorHAnsi" w:hAnsiTheme="majorHAnsi" w:cstheme="majorHAnsi"/>
          <w:snapToGrid w:val="0"/>
          <w:sz w:val="20"/>
          <w:szCs w:val="20"/>
          <w:lang w:val="en-US"/>
        </w:rPr>
      </w:pPr>
      <w:r w:rsidRPr="00DC5490">
        <w:rPr>
          <w:rFonts w:asciiTheme="majorHAnsi" w:hAnsiTheme="majorHAnsi" w:cstheme="majorHAnsi"/>
          <w:bCs/>
          <w:snapToGrid w:val="0"/>
          <w:color w:val="000000"/>
          <w:sz w:val="20"/>
          <w:szCs w:val="20"/>
          <w:lang w:val="en-US"/>
        </w:rPr>
        <w:t xml:space="preserve">Can you explain how the Individual Performance Commitment and Review Form (IPCRF)is related to the PPST? </w:t>
      </w:r>
    </w:p>
    <w:p w14:paraId="2B56595B" w14:textId="1E63C1AE" w:rsidR="008D0CAD" w:rsidRPr="00DC5490" w:rsidRDefault="008D0CAD" w:rsidP="00DD08E3">
      <w:pPr>
        <w:numPr>
          <w:ilvl w:val="0"/>
          <w:numId w:val="81"/>
        </w:numPr>
        <w:spacing w:before="100" w:beforeAutospacing="1" w:after="100" w:afterAutospacing="1" w:line="360" w:lineRule="auto"/>
        <w:ind w:left="357" w:hanging="357"/>
        <w:rPr>
          <w:rFonts w:asciiTheme="majorHAnsi" w:hAnsiTheme="majorHAnsi" w:cstheme="majorHAnsi"/>
          <w:bCs/>
          <w:snapToGrid w:val="0"/>
          <w:color w:val="000000"/>
          <w:sz w:val="20"/>
          <w:szCs w:val="20"/>
          <w:lang w:val="en-US"/>
        </w:rPr>
      </w:pPr>
      <w:r w:rsidRPr="00DC5490">
        <w:rPr>
          <w:rFonts w:asciiTheme="majorHAnsi" w:hAnsiTheme="majorHAnsi" w:cstheme="majorHAnsi"/>
          <w:snapToGrid w:val="0"/>
          <w:color w:val="000000"/>
          <w:sz w:val="20"/>
          <w:szCs w:val="20"/>
          <w:lang w:val="en-US"/>
        </w:rPr>
        <w:t xml:space="preserve">Have you ever been evaluated your Teachers using the </w:t>
      </w:r>
      <w:r w:rsidRPr="00DC5490">
        <w:rPr>
          <w:rFonts w:asciiTheme="majorHAnsi" w:hAnsiTheme="majorHAnsi" w:cstheme="majorHAnsi"/>
          <w:b/>
          <w:bCs/>
          <w:snapToGrid w:val="0"/>
          <w:color w:val="000000"/>
          <w:sz w:val="20"/>
          <w:szCs w:val="20"/>
          <w:lang w:val="en-US"/>
        </w:rPr>
        <w:t>Classroom Observation Tool (COT) of the RPMS</w:t>
      </w:r>
      <w:r w:rsidRPr="00DC5490">
        <w:rPr>
          <w:rFonts w:asciiTheme="majorHAnsi" w:hAnsiTheme="majorHAnsi" w:cstheme="majorHAnsi"/>
          <w:bCs/>
          <w:snapToGrid w:val="0"/>
          <w:color w:val="000000"/>
          <w:sz w:val="20"/>
          <w:szCs w:val="20"/>
          <w:lang w:val="en-US"/>
        </w:rPr>
        <w:t>?</w:t>
      </w:r>
      <w:r w:rsidR="00D434EB">
        <w:rPr>
          <w:rFonts w:asciiTheme="majorHAnsi" w:hAnsiTheme="majorHAnsi" w:cstheme="majorHAnsi"/>
          <w:bCs/>
          <w:snapToGrid w:val="0"/>
          <w:color w:val="000000"/>
          <w:sz w:val="20"/>
          <w:szCs w:val="20"/>
          <w:lang w:val="en-US"/>
        </w:rPr>
        <w:t xml:space="preserve"> </w:t>
      </w:r>
      <w:r w:rsidRPr="00DC5490">
        <w:rPr>
          <w:rFonts w:asciiTheme="majorHAnsi" w:hAnsiTheme="majorHAnsi" w:cstheme="majorHAnsi"/>
          <w:bCs/>
          <w:snapToGrid w:val="0"/>
          <w:color w:val="000000"/>
          <w:sz w:val="20"/>
          <w:szCs w:val="20"/>
          <w:lang w:val="en-US"/>
        </w:rPr>
        <w:t xml:space="preserve"> </w:t>
      </w:r>
    </w:p>
    <w:p w14:paraId="2AAEB427" w14:textId="77777777" w:rsidR="008D0CAD" w:rsidRPr="00DC5490" w:rsidRDefault="008D0CAD" w:rsidP="00DD08E3">
      <w:pPr>
        <w:numPr>
          <w:ilvl w:val="1"/>
          <w:numId w:val="81"/>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bCs/>
          <w:snapToGrid w:val="0"/>
          <w:color w:val="000000"/>
          <w:sz w:val="20"/>
          <w:szCs w:val="20"/>
          <w:lang w:val="en-US"/>
        </w:rPr>
        <w:t xml:space="preserve">If yes, please describe the process of </w:t>
      </w:r>
      <w:r w:rsidRPr="00DC5490">
        <w:rPr>
          <w:rFonts w:asciiTheme="majorHAnsi" w:hAnsiTheme="majorHAnsi" w:cstheme="majorHAnsi"/>
          <w:snapToGrid w:val="0"/>
          <w:color w:val="000000"/>
          <w:sz w:val="20"/>
          <w:szCs w:val="20"/>
          <w:lang w:val="en-US"/>
        </w:rPr>
        <w:t xml:space="preserve">using the </w:t>
      </w:r>
      <w:r w:rsidRPr="00DC5490">
        <w:rPr>
          <w:rFonts w:asciiTheme="majorHAnsi" w:hAnsiTheme="majorHAnsi" w:cstheme="majorHAnsi"/>
          <w:bCs/>
          <w:snapToGrid w:val="0"/>
          <w:color w:val="000000"/>
          <w:sz w:val="20"/>
          <w:szCs w:val="20"/>
          <w:lang w:val="en-US"/>
        </w:rPr>
        <w:t xml:space="preserve">Classroom Observation Tool (COT)? </w:t>
      </w:r>
    </w:p>
    <w:p w14:paraId="0B420993" w14:textId="77777777" w:rsidR="008D0CAD" w:rsidRPr="00DC5490" w:rsidRDefault="008D0CAD" w:rsidP="00DD08E3">
      <w:pPr>
        <w:numPr>
          <w:ilvl w:val="1"/>
          <w:numId w:val="81"/>
        </w:numPr>
        <w:spacing w:before="100" w:beforeAutospacing="1" w:after="100" w:afterAutospacing="1" w:line="360" w:lineRule="auto"/>
        <w:rPr>
          <w:rFonts w:asciiTheme="majorHAnsi" w:hAnsiTheme="majorHAnsi" w:cstheme="majorHAnsi"/>
          <w:bCs/>
          <w:snapToGrid w:val="0"/>
          <w:color w:val="000000"/>
          <w:sz w:val="20"/>
          <w:szCs w:val="20"/>
          <w:lang w:val="en-US"/>
        </w:rPr>
      </w:pPr>
      <w:r w:rsidRPr="00DC5490">
        <w:rPr>
          <w:rFonts w:asciiTheme="majorHAnsi" w:hAnsiTheme="majorHAnsi" w:cstheme="majorHAnsi"/>
          <w:bCs/>
          <w:snapToGrid w:val="0"/>
          <w:color w:val="000000"/>
          <w:sz w:val="20"/>
          <w:szCs w:val="20"/>
          <w:lang w:val="en-US"/>
        </w:rPr>
        <w:t>Do you think that the COT is sufficient to evaluate the performance of teachers in the classroom? Why or Why not?</w:t>
      </w:r>
    </w:p>
    <w:p w14:paraId="7F75F1DD" w14:textId="77777777" w:rsidR="008D0CAD" w:rsidRPr="00DC5490" w:rsidRDefault="008D0CAD" w:rsidP="00DD08E3">
      <w:pPr>
        <w:numPr>
          <w:ilvl w:val="1"/>
          <w:numId w:val="81"/>
        </w:numPr>
        <w:spacing w:before="100" w:beforeAutospacing="1" w:after="100" w:afterAutospacing="1" w:line="360" w:lineRule="auto"/>
        <w:ind w:left="810" w:hanging="450"/>
        <w:rPr>
          <w:rFonts w:asciiTheme="majorHAnsi" w:hAnsiTheme="majorHAnsi" w:cstheme="majorHAnsi"/>
          <w:bCs/>
          <w:snapToGrid w:val="0"/>
          <w:color w:val="000000"/>
          <w:sz w:val="20"/>
          <w:szCs w:val="20"/>
          <w:lang w:val="en-US"/>
        </w:rPr>
      </w:pPr>
      <w:r w:rsidRPr="00DC5490">
        <w:rPr>
          <w:rFonts w:asciiTheme="majorHAnsi" w:hAnsiTheme="majorHAnsi" w:cstheme="majorHAnsi"/>
          <w:bCs/>
          <w:snapToGrid w:val="0"/>
          <w:color w:val="000000"/>
          <w:sz w:val="20"/>
          <w:szCs w:val="20"/>
          <w:lang w:val="en-US"/>
        </w:rPr>
        <w:t>How often do you conduct classroom observations using the COT? ______________________</w:t>
      </w:r>
    </w:p>
    <w:p w14:paraId="6ACCA497" w14:textId="7409EA34" w:rsidR="008D0CAD" w:rsidRPr="00DC5490" w:rsidRDefault="008D0CAD" w:rsidP="00DD08E3">
      <w:pPr>
        <w:numPr>
          <w:ilvl w:val="1"/>
          <w:numId w:val="81"/>
        </w:numPr>
        <w:spacing w:before="100" w:beforeAutospacing="1" w:after="100" w:afterAutospacing="1" w:line="360" w:lineRule="auto"/>
        <w:rPr>
          <w:rFonts w:asciiTheme="majorHAnsi" w:hAnsiTheme="majorHAnsi" w:cstheme="majorHAnsi"/>
          <w:bCs/>
          <w:snapToGrid w:val="0"/>
          <w:color w:val="000000"/>
          <w:sz w:val="20"/>
          <w:szCs w:val="20"/>
          <w:lang w:val="en-US"/>
        </w:rPr>
      </w:pPr>
      <w:r w:rsidRPr="00DC5490">
        <w:rPr>
          <w:rFonts w:asciiTheme="majorHAnsi" w:hAnsiTheme="majorHAnsi" w:cstheme="majorHAnsi"/>
          <w:bCs/>
          <w:snapToGrid w:val="0"/>
          <w:color w:val="000000"/>
          <w:sz w:val="20"/>
          <w:szCs w:val="20"/>
          <w:lang w:val="en-US"/>
        </w:rPr>
        <w:t>What specific recommendations can you give, if any, to further enhance the design and implementation of the COT to evaluate the performance of teachers in the classroom?</w:t>
      </w:r>
      <w:r w:rsidR="00D434EB">
        <w:rPr>
          <w:rFonts w:asciiTheme="majorHAnsi" w:hAnsiTheme="majorHAnsi" w:cstheme="majorHAnsi"/>
          <w:bCs/>
          <w:snapToGrid w:val="0"/>
          <w:color w:val="000000"/>
          <w:sz w:val="20"/>
          <w:szCs w:val="20"/>
          <w:lang w:val="en-US"/>
        </w:rPr>
        <w:t xml:space="preserve"> </w:t>
      </w:r>
    </w:p>
    <w:p w14:paraId="47D3380E" w14:textId="77777777" w:rsidR="008D0CAD" w:rsidRPr="00DC5490" w:rsidRDefault="008D0CAD" w:rsidP="00DD08E3">
      <w:pPr>
        <w:numPr>
          <w:ilvl w:val="0"/>
          <w:numId w:val="81"/>
        </w:numPr>
        <w:spacing w:before="100" w:beforeAutospacing="1" w:after="100" w:afterAutospacing="1" w:line="360" w:lineRule="auto"/>
        <w:ind w:left="357" w:hanging="357"/>
        <w:rPr>
          <w:rFonts w:asciiTheme="majorHAnsi" w:hAnsiTheme="majorHAnsi" w:cstheme="majorHAnsi"/>
          <w:bCs/>
          <w:snapToGrid w:val="0"/>
          <w:color w:val="000000"/>
          <w:sz w:val="20"/>
          <w:szCs w:val="20"/>
          <w:lang w:val="en-US"/>
        </w:rPr>
      </w:pPr>
      <w:r w:rsidRPr="00DC5490">
        <w:rPr>
          <w:rFonts w:asciiTheme="majorHAnsi" w:hAnsiTheme="majorHAnsi" w:cstheme="majorHAnsi"/>
          <w:snapToGrid w:val="0"/>
          <w:color w:val="000000" w:themeColor="text1"/>
          <w:sz w:val="20"/>
          <w:szCs w:val="20"/>
        </w:rPr>
        <w:t xml:space="preserve">Do you have beginning teachers in DEPED (i.e., teachers that have been in Dep Ed Service from 1-3 years)? </w:t>
      </w:r>
    </w:p>
    <w:p w14:paraId="0D1A4D07" w14:textId="4FD1D61F" w:rsidR="008D0CAD" w:rsidRPr="00DC5490" w:rsidRDefault="008D0CAD" w:rsidP="00EA6CB9">
      <w:pPr>
        <w:spacing w:before="100" w:beforeAutospacing="1" w:after="100" w:afterAutospacing="1" w:line="360" w:lineRule="auto"/>
        <w:ind w:left="357" w:hanging="357"/>
        <w:rPr>
          <w:rFonts w:asciiTheme="majorHAnsi" w:hAnsiTheme="majorHAnsi" w:cstheme="majorHAnsi"/>
          <w:bCs/>
          <w:color w:val="000000"/>
          <w:sz w:val="20"/>
          <w:szCs w:val="20"/>
          <w:lang w:val="en-US"/>
        </w:rPr>
      </w:pPr>
      <w:r w:rsidRPr="00DC5490">
        <w:rPr>
          <w:rFonts w:asciiTheme="majorHAnsi" w:hAnsiTheme="majorHAnsi" w:cstheme="majorHAnsi"/>
          <w:color w:val="000000" w:themeColor="text1"/>
          <w:sz w:val="20"/>
          <w:szCs w:val="20"/>
        </w:rPr>
        <w:t xml:space="preserve">___ Yes </w:t>
      </w:r>
      <w:r w:rsidRPr="00DC5490">
        <w:rPr>
          <w:rFonts w:asciiTheme="majorHAnsi" w:hAnsiTheme="majorHAnsi" w:cstheme="majorHAnsi"/>
          <w:color w:val="000000" w:themeColor="text1"/>
          <w:sz w:val="20"/>
          <w:szCs w:val="20"/>
        </w:rPr>
        <w:tab/>
      </w:r>
      <w:r w:rsidRPr="00DC5490">
        <w:rPr>
          <w:rFonts w:asciiTheme="majorHAnsi" w:hAnsiTheme="majorHAnsi" w:cstheme="majorHAnsi"/>
          <w:b/>
          <w:color w:val="000000" w:themeColor="text1"/>
          <w:sz w:val="20"/>
          <w:szCs w:val="20"/>
        </w:rPr>
        <w:t xml:space="preserve">___ </w:t>
      </w:r>
      <w:r w:rsidRPr="00EC48C1">
        <w:rPr>
          <w:rFonts w:asciiTheme="majorHAnsi" w:hAnsiTheme="majorHAnsi" w:cstheme="majorHAnsi"/>
          <w:b/>
          <w:color w:val="000000" w:themeColor="text1"/>
          <w:sz w:val="20"/>
          <w:szCs w:val="20"/>
        </w:rPr>
        <w:t>No (If No, proceed to Question No. 22)</w:t>
      </w:r>
    </w:p>
    <w:p w14:paraId="4509B426" w14:textId="3B6ABD5C" w:rsidR="008D0CAD" w:rsidRPr="00DC5490" w:rsidRDefault="008D0CAD" w:rsidP="00DD08E3">
      <w:pPr>
        <w:numPr>
          <w:ilvl w:val="1"/>
          <w:numId w:val="81"/>
        </w:numPr>
        <w:spacing w:before="100" w:beforeAutospacing="1" w:after="100" w:afterAutospacing="1" w:line="360" w:lineRule="auto"/>
        <w:ind w:left="896" w:hanging="539"/>
        <w:rPr>
          <w:rFonts w:asciiTheme="majorHAnsi" w:hAnsiTheme="majorHAnsi" w:cstheme="majorHAnsi"/>
          <w:bCs/>
          <w:snapToGrid w:val="0"/>
          <w:color w:val="000000"/>
          <w:sz w:val="20"/>
          <w:szCs w:val="20"/>
          <w:lang w:val="en-US"/>
        </w:rPr>
      </w:pPr>
      <w:r w:rsidRPr="00DC5490">
        <w:rPr>
          <w:rFonts w:asciiTheme="majorHAnsi" w:hAnsiTheme="majorHAnsi" w:cstheme="majorHAnsi"/>
          <w:snapToGrid w:val="0"/>
          <w:color w:val="000000" w:themeColor="text1"/>
          <w:sz w:val="20"/>
          <w:szCs w:val="20"/>
        </w:rPr>
        <w:t>Please explain how the TIP modules are related to the professional standards of teachers (PPST)?</w:t>
      </w:r>
      <w:r w:rsidR="00D434EB">
        <w:rPr>
          <w:rFonts w:asciiTheme="majorHAnsi" w:hAnsiTheme="majorHAnsi" w:cstheme="majorHAnsi"/>
          <w:snapToGrid w:val="0"/>
          <w:color w:val="000000" w:themeColor="text1"/>
          <w:sz w:val="20"/>
          <w:szCs w:val="20"/>
        </w:rPr>
        <w:t xml:space="preserve"> </w:t>
      </w:r>
      <w:r w:rsidRPr="00DC5490">
        <w:rPr>
          <w:rFonts w:asciiTheme="majorHAnsi" w:hAnsiTheme="majorHAnsi" w:cstheme="majorHAnsi"/>
          <w:snapToGrid w:val="0"/>
          <w:color w:val="000000" w:themeColor="text1"/>
          <w:sz w:val="20"/>
          <w:szCs w:val="20"/>
        </w:rPr>
        <w:t xml:space="preserve"> </w:t>
      </w:r>
    </w:p>
    <w:p w14:paraId="2050EEE6" w14:textId="77777777" w:rsidR="008D0CAD" w:rsidRPr="00DC5490" w:rsidRDefault="008D0CAD" w:rsidP="00DD08E3">
      <w:pPr>
        <w:numPr>
          <w:ilvl w:val="1"/>
          <w:numId w:val="81"/>
        </w:numPr>
        <w:spacing w:before="100" w:beforeAutospacing="1" w:after="100" w:afterAutospacing="1" w:line="360" w:lineRule="auto"/>
        <w:ind w:left="907" w:hanging="547"/>
        <w:rPr>
          <w:rFonts w:asciiTheme="majorHAnsi" w:hAnsiTheme="majorHAnsi" w:cstheme="majorHAnsi"/>
          <w:bCs/>
          <w:snapToGrid w:val="0"/>
          <w:color w:val="000000"/>
          <w:sz w:val="20"/>
          <w:szCs w:val="20"/>
          <w:lang w:val="en-US"/>
        </w:rPr>
      </w:pPr>
      <w:r w:rsidRPr="00DC5490">
        <w:rPr>
          <w:rFonts w:asciiTheme="majorHAnsi" w:hAnsiTheme="majorHAnsi" w:cstheme="majorHAnsi"/>
          <w:snapToGrid w:val="0"/>
          <w:color w:val="000000" w:themeColor="text1"/>
          <w:sz w:val="20"/>
          <w:szCs w:val="20"/>
        </w:rPr>
        <w:t xml:space="preserve">Did you orient/train your beginning teachers using the Training Induction Program (TIP) modules? </w:t>
      </w:r>
    </w:p>
    <w:p w14:paraId="5BE99FE8" w14:textId="77777777" w:rsidR="008D0CAD" w:rsidRPr="00DC5490" w:rsidRDefault="008D0CAD" w:rsidP="00EA6CB9">
      <w:pPr>
        <w:spacing w:before="100" w:beforeAutospacing="1" w:after="100" w:afterAutospacing="1" w:line="360" w:lineRule="auto"/>
        <w:ind w:left="907"/>
        <w:rPr>
          <w:rFonts w:asciiTheme="majorHAnsi" w:hAnsiTheme="majorHAnsi" w:cstheme="majorHAnsi"/>
          <w:bCs/>
          <w:color w:val="000000"/>
          <w:sz w:val="20"/>
          <w:szCs w:val="20"/>
          <w:lang w:val="en-US"/>
        </w:rPr>
      </w:pPr>
      <w:r w:rsidRPr="00DC5490">
        <w:rPr>
          <w:rFonts w:asciiTheme="majorHAnsi" w:hAnsiTheme="majorHAnsi" w:cstheme="majorHAnsi"/>
          <w:color w:val="000000" w:themeColor="text1"/>
          <w:sz w:val="20"/>
          <w:szCs w:val="20"/>
        </w:rPr>
        <w:t>___ Yes ___ No (Go to 22.2)</w:t>
      </w:r>
    </w:p>
    <w:p w14:paraId="2CA86385" w14:textId="08EF3EA1" w:rsidR="008D0CAD" w:rsidRPr="00DC5490" w:rsidRDefault="008D0CAD" w:rsidP="00DD08E3">
      <w:pPr>
        <w:numPr>
          <w:ilvl w:val="2"/>
          <w:numId w:val="81"/>
        </w:numPr>
        <w:spacing w:before="100" w:beforeAutospacing="1" w:after="100" w:afterAutospacing="1" w:line="360" w:lineRule="auto"/>
        <w:ind w:left="1541" w:hanging="634"/>
        <w:rPr>
          <w:rFonts w:asciiTheme="majorHAnsi" w:hAnsiTheme="majorHAnsi" w:cstheme="majorHAnsi"/>
          <w:bCs/>
          <w:snapToGrid w:val="0"/>
          <w:color w:val="000000"/>
          <w:sz w:val="20"/>
          <w:szCs w:val="20"/>
          <w:lang w:val="en-US"/>
        </w:rPr>
      </w:pPr>
      <w:r w:rsidRPr="00DC5490">
        <w:rPr>
          <w:rFonts w:asciiTheme="majorHAnsi" w:hAnsiTheme="majorHAnsi" w:cstheme="majorHAnsi"/>
          <w:snapToGrid w:val="0"/>
          <w:color w:val="000000" w:themeColor="text1"/>
          <w:sz w:val="20"/>
          <w:szCs w:val="20"/>
        </w:rPr>
        <w:t>How many TIP modules have they completed in all?</w:t>
      </w:r>
      <w:r w:rsidR="00D434EB">
        <w:rPr>
          <w:rFonts w:asciiTheme="majorHAnsi" w:hAnsiTheme="majorHAnsi" w:cstheme="majorHAnsi"/>
          <w:snapToGrid w:val="0"/>
          <w:color w:val="000000" w:themeColor="text1"/>
          <w:sz w:val="20"/>
          <w:szCs w:val="20"/>
        </w:rPr>
        <w:t xml:space="preserve"> </w:t>
      </w:r>
      <w:r w:rsidRPr="00DC5490">
        <w:rPr>
          <w:rFonts w:asciiTheme="majorHAnsi" w:hAnsiTheme="majorHAnsi" w:cstheme="majorHAnsi"/>
          <w:snapToGrid w:val="0"/>
          <w:color w:val="000000" w:themeColor="text1"/>
          <w:sz w:val="20"/>
          <w:szCs w:val="20"/>
        </w:rPr>
        <w:t>______ modules</w:t>
      </w:r>
    </w:p>
    <w:p w14:paraId="52FEAFCB" w14:textId="77777777" w:rsidR="008D0CAD" w:rsidRPr="00DC5490" w:rsidRDefault="008D0CAD" w:rsidP="00DD08E3">
      <w:pPr>
        <w:numPr>
          <w:ilvl w:val="2"/>
          <w:numId w:val="81"/>
        </w:numPr>
        <w:spacing w:before="100" w:beforeAutospacing="1" w:after="100" w:afterAutospacing="1" w:line="360" w:lineRule="auto"/>
        <w:ind w:left="1541" w:hanging="634"/>
        <w:rPr>
          <w:rFonts w:asciiTheme="majorHAnsi" w:hAnsiTheme="majorHAnsi" w:cstheme="majorHAnsi"/>
          <w:bCs/>
          <w:snapToGrid w:val="0"/>
          <w:color w:val="000000"/>
          <w:sz w:val="20"/>
          <w:szCs w:val="20"/>
          <w:lang w:val="en-US"/>
        </w:rPr>
      </w:pPr>
      <w:r w:rsidRPr="00DC5490">
        <w:rPr>
          <w:rFonts w:asciiTheme="majorHAnsi" w:hAnsiTheme="majorHAnsi" w:cstheme="majorHAnsi"/>
          <w:bCs/>
          <w:snapToGrid w:val="0"/>
          <w:color w:val="000000"/>
          <w:sz w:val="20"/>
          <w:szCs w:val="20"/>
          <w:lang w:val="en-US"/>
        </w:rPr>
        <w:t xml:space="preserve">How was the orientation/training done? </w:t>
      </w:r>
    </w:p>
    <w:p w14:paraId="0FAAEDB8" w14:textId="77777777" w:rsidR="008D0CAD" w:rsidRPr="00DC5490" w:rsidRDefault="008D0CAD" w:rsidP="00DD08E3">
      <w:pPr>
        <w:numPr>
          <w:ilvl w:val="1"/>
          <w:numId w:val="81"/>
        </w:numPr>
        <w:spacing w:before="100" w:beforeAutospacing="1" w:after="100" w:afterAutospacing="1" w:line="360" w:lineRule="auto"/>
        <w:ind w:left="900" w:hanging="540"/>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bCs/>
          <w:snapToGrid w:val="0"/>
          <w:color w:val="000000"/>
          <w:sz w:val="20"/>
          <w:szCs w:val="20"/>
          <w:lang w:val="en-US"/>
        </w:rPr>
        <w:t xml:space="preserve">If no, why have your beginning teachers not gone through the TIP Modules? </w:t>
      </w:r>
    </w:p>
    <w:p w14:paraId="2B6E5FB2" w14:textId="77777777" w:rsidR="008D0CAD" w:rsidRPr="00DC5490" w:rsidRDefault="008D0CAD" w:rsidP="00DD08E3">
      <w:pPr>
        <w:numPr>
          <w:ilvl w:val="1"/>
          <w:numId w:val="81"/>
        </w:numPr>
        <w:spacing w:before="100" w:beforeAutospacing="1" w:after="100" w:afterAutospacing="1" w:line="360" w:lineRule="auto"/>
        <w:ind w:left="896" w:hanging="539"/>
        <w:rPr>
          <w:rFonts w:asciiTheme="majorHAnsi" w:hAnsiTheme="majorHAnsi" w:cstheme="majorHAnsi"/>
          <w:bCs/>
          <w:snapToGrid w:val="0"/>
          <w:color w:val="000000"/>
          <w:sz w:val="20"/>
          <w:szCs w:val="20"/>
          <w:lang w:val="en-US"/>
        </w:rPr>
      </w:pPr>
      <w:r w:rsidRPr="00DC5490">
        <w:rPr>
          <w:rFonts w:asciiTheme="majorHAnsi" w:hAnsiTheme="majorHAnsi" w:cstheme="majorHAnsi"/>
          <w:snapToGrid w:val="0"/>
          <w:color w:val="000000" w:themeColor="text1"/>
          <w:sz w:val="20"/>
          <w:szCs w:val="20"/>
        </w:rPr>
        <w:t xml:space="preserve">What were the factors that helped you or prevented you in completing the TIP modules? </w:t>
      </w:r>
    </w:p>
    <w:p w14:paraId="4459FDD0" w14:textId="77777777" w:rsidR="008D0CAD" w:rsidRPr="00DC5490" w:rsidRDefault="008D0CAD" w:rsidP="00DD08E3">
      <w:pPr>
        <w:numPr>
          <w:ilvl w:val="0"/>
          <w:numId w:val="81"/>
        </w:numPr>
        <w:spacing w:before="100" w:beforeAutospacing="1" w:after="100" w:afterAutospacing="1" w:line="360" w:lineRule="auto"/>
        <w:rPr>
          <w:rFonts w:asciiTheme="majorHAnsi" w:hAnsiTheme="majorHAnsi" w:cstheme="majorHAnsi"/>
          <w:bCs/>
          <w:snapToGrid w:val="0"/>
          <w:color w:val="000000"/>
          <w:sz w:val="20"/>
          <w:szCs w:val="20"/>
          <w:lang w:val="en-US"/>
        </w:rPr>
      </w:pPr>
      <w:r w:rsidRPr="00DC5490">
        <w:rPr>
          <w:rFonts w:asciiTheme="majorHAnsi" w:hAnsiTheme="majorHAnsi" w:cstheme="majorHAnsi"/>
          <w:bCs/>
          <w:snapToGrid w:val="0"/>
          <w:color w:val="000000"/>
          <w:sz w:val="20"/>
          <w:szCs w:val="20"/>
          <w:lang w:val="en-US"/>
        </w:rPr>
        <w:t>What are the hindering and facilitating factors in teachers meeting or demonstrating the professional standards in their practice?</w:t>
      </w:r>
      <w:r w:rsidRPr="00DC5490">
        <w:rPr>
          <w:rFonts w:asciiTheme="majorHAnsi" w:hAnsiTheme="majorHAnsi" w:cstheme="majorHAnsi"/>
          <w:snapToGrid w:val="0"/>
          <w:color w:val="000000" w:themeColor="text1"/>
          <w:sz w:val="20"/>
          <w:szCs w:val="20"/>
          <w:lang w:val="en-US"/>
        </w:rPr>
        <w:t xml:space="preserve"> </w:t>
      </w:r>
    </w:p>
    <w:p w14:paraId="4B6AFFB6" w14:textId="77777777" w:rsidR="008D0CAD" w:rsidRPr="00DC5490" w:rsidRDefault="008D0CAD" w:rsidP="00DD08E3">
      <w:pPr>
        <w:numPr>
          <w:ilvl w:val="1"/>
          <w:numId w:val="81"/>
        </w:numPr>
        <w:spacing w:before="100" w:beforeAutospacing="1" w:after="100" w:afterAutospacing="1" w:line="360" w:lineRule="auto"/>
        <w:rPr>
          <w:rFonts w:asciiTheme="majorHAnsi" w:hAnsiTheme="majorHAnsi" w:cstheme="majorHAnsi"/>
          <w:bCs/>
          <w:snapToGrid w:val="0"/>
          <w:color w:val="000000"/>
          <w:sz w:val="20"/>
          <w:szCs w:val="20"/>
          <w:lang w:val="en-US"/>
        </w:rPr>
      </w:pPr>
      <w:r w:rsidRPr="00DC5490">
        <w:rPr>
          <w:rFonts w:asciiTheme="majorHAnsi" w:hAnsiTheme="majorHAnsi" w:cstheme="majorHAnsi"/>
          <w:snapToGrid w:val="0"/>
          <w:color w:val="000000" w:themeColor="text1"/>
          <w:sz w:val="20"/>
          <w:szCs w:val="20"/>
          <w:lang w:val="en-US"/>
        </w:rPr>
        <w:t xml:space="preserve">What factors hinder your </w:t>
      </w:r>
      <w:r w:rsidRPr="00DC5490">
        <w:rPr>
          <w:rFonts w:asciiTheme="majorHAnsi" w:hAnsiTheme="majorHAnsi" w:cstheme="majorHAnsi"/>
          <w:bCs/>
          <w:snapToGrid w:val="0"/>
          <w:sz w:val="20"/>
          <w:szCs w:val="20"/>
          <w:lang w:val="en-US"/>
        </w:rPr>
        <w:t>teachers from reaching/demonstrating professional standards in their practice?</w:t>
      </w:r>
      <w:r w:rsidRPr="00DC5490">
        <w:rPr>
          <w:rFonts w:asciiTheme="majorHAnsi" w:hAnsiTheme="majorHAnsi" w:cstheme="majorHAnsi"/>
          <w:snapToGrid w:val="0"/>
          <w:color w:val="000000" w:themeColor="text1"/>
          <w:sz w:val="20"/>
          <w:szCs w:val="20"/>
          <w:lang w:val="en-US"/>
        </w:rPr>
        <w:t xml:space="preserve"> </w:t>
      </w:r>
    </w:p>
    <w:p w14:paraId="62E0B937" w14:textId="77777777" w:rsidR="008D0CAD" w:rsidRPr="00DC5490" w:rsidRDefault="008D0CAD" w:rsidP="00DD08E3">
      <w:pPr>
        <w:numPr>
          <w:ilvl w:val="1"/>
          <w:numId w:val="81"/>
        </w:numPr>
        <w:spacing w:before="100" w:beforeAutospacing="1" w:after="100" w:afterAutospacing="1" w:line="360" w:lineRule="auto"/>
        <w:rPr>
          <w:rFonts w:asciiTheme="majorHAnsi" w:hAnsiTheme="majorHAnsi" w:cstheme="majorHAnsi"/>
          <w:bCs/>
          <w:snapToGrid w:val="0"/>
          <w:color w:val="000000"/>
          <w:sz w:val="20"/>
          <w:szCs w:val="20"/>
          <w:lang w:val="en-US"/>
        </w:rPr>
      </w:pPr>
      <w:r w:rsidRPr="00DC5490">
        <w:rPr>
          <w:rFonts w:asciiTheme="majorHAnsi" w:hAnsiTheme="majorHAnsi" w:cstheme="majorHAnsi"/>
          <w:snapToGrid w:val="0"/>
          <w:color w:val="000000" w:themeColor="text1"/>
          <w:sz w:val="20"/>
          <w:szCs w:val="20"/>
          <w:lang w:val="en-US"/>
        </w:rPr>
        <w:t>What factors help /facilitate your teachers reach/demonstrate professional standards in their practice?</w:t>
      </w:r>
    </w:p>
    <w:p w14:paraId="622E537D" w14:textId="77777777" w:rsidR="008D0CAD" w:rsidRPr="00DC5490" w:rsidRDefault="008D0CAD" w:rsidP="00DD08E3">
      <w:pPr>
        <w:numPr>
          <w:ilvl w:val="0"/>
          <w:numId w:val="81"/>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snapToGrid w:val="0"/>
          <w:sz w:val="20"/>
          <w:szCs w:val="20"/>
          <w:lang w:val="en-US"/>
        </w:rPr>
        <w:t xml:space="preserve">As a Principal, what recommendations can you give to ensure the full implementation of the </w:t>
      </w:r>
      <w:r w:rsidRPr="00DC5490">
        <w:rPr>
          <w:rFonts w:asciiTheme="majorHAnsi" w:hAnsiTheme="majorHAnsi" w:cstheme="majorHAnsi"/>
          <w:snapToGrid w:val="0"/>
          <w:color w:val="000000"/>
          <w:sz w:val="20"/>
          <w:szCs w:val="20"/>
          <w:lang w:val="en-US"/>
        </w:rPr>
        <w:t>Philippine Professional Standards for Teachers</w:t>
      </w:r>
      <w:r w:rsidRPr="00DC5490">
        <w:rPr>
          <w:rFonts w:asciiTheme="majorHAnsi" w:hAnsiTheme="majorHAnsi" w:cstheme="majorHAnsi"/>
          <w:snapToGrid w:val="0"/>
          <w:sz w:val="20"/>
          <w:szCs w:val="20"/>
          <w:lang w:val="en-US"/>
        </w:rPr>
        <w:t xml:space="preserve"> through RPMS in </w:t>
      </w:r>
      <w:r w:rsidRPr="00DC5490">
        <w:rPr>
          <w:rFonts w:asciiTheme="majorHAnsi" w:hAnsiTheme="majorHAnsi" w:cstheme="majorHAnsi"/>
          <w:bCs/>
          <w:snapToGrid w:val="0"/>
          <w:color w:val="000000"/>
          <w:sz w:val="20"/>
          <w:szCs w:val="20"/>
          <w:lang w:val="en-US"/>
        </w:rPr>
        <w:t>your school</w:t>
      </w:r>
      <w:r w:rsidRPr="00DC5490">
        <w:rPr>
          <w:rFonts w:asciiTheme="majorHAnsi" w:hAnsiTheme="majorHAnsi" w:cstheme="majorHAnsi"/>
          <w:snapToGrid w:val="0"/>
          <w:sz w:val="20"/>
          <w:szCs w:val="20"/>
          <w:lang w:val="en-US"/>
        </w:rPr>
        <w:t>?</w:t>
      </w:r>
    </w:p>
    <w:p w14:paraId="3BB6ADC0" w14:textId="6C8FC1A5" w:rsidR="008D0CAD" w:rsidRPr="00EA6CB9" w:rsidRDefault="008D0CAD" w:rsidP="00DD08E3">
      <w:pPr>
        <w:numPr>
          <w:ilvl w:val="0"/>
          <w:numId w:val="81"/>
        </w:numPr>
        <w:spacing w:before="100" w:beforeAutospacing="1" w:after="100" w:afterAutospacing="1" w:line="360" w:lineRule="auto"/>
        <w:ind w:left="357" w:hanging="357"/>
        <w:rPr>
          <w:rFonts w:asciiTheme="majorHAnsi" w:hAnsiTheme="majorHAnsi" w:cstheme="majorHAnsi"/>
          <w:bCs/>
          <w:snapToGrid w:val="0"/>
          <w:color w:val="000000"/>
          <w:sz w:val="20"/>
          <w:szCs w:val="20"/>
          <w:lang w:val="en-US"/>
        </w:rPr>
      </w:pPr>
      <w:r w:rsidRPr="00DC5490">
        <w:rPr>
          <w:rFonts w:asciiTheme="majorHAnsi" w:hAnsiTheme="majorHAnsi" w:cstheme="majorHAnsi"/>
          <w:bCs/>
          <w:snapToGrid w:val="0"/>
          <w:color w:val="000000"/>
          <w:sz w:val="20"/>
          <w:szCs w:val="20"/>
          <w:lang w:val="en-US"/>
        </w:rPr>
        <w:t>Please describe how you or your teachers were trained to meet the RPMS requirements for the following:</w:t>
      </w:r>
    </w:p>
    <w:tbl>
      <w:tblPr>
        <w:tblStyle w:val="TableGrid8"/>
        <w:tblW w:w="0" w:type="auto"/>
        <w:tblInd w:w="445" w:type="dxa"/>
        <w:tblLook w:val="04A0" w:firstRow="1" w:lastRow="0" w:firstColumn="1" w:lastColumn="0" w:noHBand="0" w:noVBand="1"/>
      </w:tblPr>
      <w:tblGrid>
        <w:gridCol w:w="3037"/>
        <w:gridCol w:w="1184"/>
        <w:gridCol w:w="946"/>
        <w:gridCol w:w="786"/>
        <w:gridCol w:w="1179"/>
        <w:gridCol w:w="1433"/>
      </w:tblGrid>
      <w:tr w:rsidR="007360FF" w:rsidRPr="00DC5490" w14:paraId="3A539315" w14:textId="77777777" w:rsidTr="00F4751F">
        <w:trPr>
          <w:trHeight w:val="492"/>
          <w:tblHeader/>
        </w:trPr>
        <w:tc>
          <w:tcPr>
            <w:tcW w:w="3037" w:type="dxa"/>
            <w:tcBorders>
              <w:bottom w:val="nil"/>
            </w:tcBorders>
            <w:shd w:val="clear" w:color="auto" w:fill="E7E6E6" w:themeFill="background2"/>
          </w:tcPr>
          <w:p w14:paraId="594DE851"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p>
        </w:tc>
        <w:tc>
          <w:tcPr>
            <w:tcW w:w="1184" w:type="dxa"/>
            <w:tcBorders>
              <w:bottom w:val="single" w:sz="4" w:space="0" w:color="auto"/>
              <w:right w:val="nil"/>
            </w:tcBorders>
            <w:shd w:val="clear" w:color="auto" w:fill="E7E6E6" w:themeFill="background2"/>
            <w:vAlign w:val="center"/>
          </w:tcPr>
          <w:p w14:paraId="1CD6512E" w14:textId="1315716A"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p>
        </w:tc>
        <w:tc>
          <w:tcPr>
            <w:tcW w:w="946" w:type="dxa"/>
            <w:tcBorders>
              <w:left w:val="nil"/>
              <w:bottom w:val="single" w:sz="4" w:space="0" w:color="auto"/>
              <w:right w:val="nil"/>
            </w:tcBorders>
            <w:shd w:val="clear" w:color="auto" w:fill="E7E6E6" w:themeFill="background2"/>
            <w:vAlign w:val="center"/>
          </w:tcPr>
          <w:p w14:paraId="64F51ECF" w14:textId="38ACA05D" w:rsidR="008D0CAD" w:rsidRPr="00DC5490" w:rsidRDefault="007360FF" w:rsidP="00EA6CB9">
            <w:pPr>
              <w:spacing w:before="100" w:beforeAutospacing="1" w:after="100" w:afterAutospacing="1" w:line="360" w:lineRule="auto"/>
              <w:rPr>
                <w:rFonts w:asciiTheme="majorHAnsi" w:hAnsiTheme="majorHAnsi" w:cstheme="majorHAnsi"/>
                <w:bCs/>
                <w:color w:val="000000"/>
                <w:sz w:val="16"/>
                <w:szCs w:val="16"/>
                <w:lang w:val="en-US"/>
              </w:rPr>
            </w:pPr>
            <w:r>
              <w:rPr>
                <w:rFonts w:asciiTheme="majorHAnsi" w:hAnsiTheme="majorHAnsi" w:cstheme="majorHAnsi"/>
                <w:bCs/>
                <w:color w:val="000000"/>
                <w:sz w:val="16"/>
                <w:szCs w:val="16"/>
                <w:lang w:val="en-US"/>
              </w:rPr>
              <w:t>Mode</w:t>
            </w:r>
            <w:r w:rsidR="00A035FB">
              <w:rPr>
                <w:rFonts w:asciiTheme="majorHAnsi" w:hAnsiTheme="majorHAnsi" w:cstheme="majorHAnsi"/>
                <w:bCs/>
                <w:color w:val="000000"/>
                <w:sz w:val="16"/>
                <w:szCs w:val="16"/>
                <w:lang w:val="en-US"/>
              </w:rPr>
              <w:t xml:space="preserve"> of</w:t>
            </w:r>
          </w:p>
        </w:tc>
        <w:tc>
          <w:tcPr>
            <w:tcW w:w="786" w:type="dxa"/>
            <w:tcBorders>
              <w:left w:val="nil"/>
              <w:bottom w:val="single" w:sz="4" w:space="0" w:color="auto"/>
              <w:right w:val="nil"/>
            </w:tcBorders>
            <w:shd w:val="clear" w:color="auto" w:fill="E7E6E6" w:themeFill="background2"/>
            <w:vAlign w:val="center"/>
          </w:tcPr>
          <w:p w14:paraId="2AABE7E2" w14:textId="5190EABF" w:rsidR="008D0CAD" w:rsidRPr="00DC5490" w:rsidRDefault="00A035FB" w:rsidP="00EA6CB9">
            <w:pPr>
              <w:spacing w:before="100" w:beforeAutospacing="1" w:after="100" w:afterAutospacing="1" w:line="360" w:lineRule="auto"/>
              <w:rPr>
                <w:rFonts w:asciiTheme="majorHAnsi" w:hAnsiTheme="majorHAnsi" w:cstheme="majorHAnsi"/>
                <w:bCs/>
                <w:color w:val="000000"/>
                <w:sz w:val="16"/>
                <w:szCs w:val="16"/>
                <w:lang w:val="en-US"/>
              </w:rPr>
            </w:pPr>
            <w:r>
              <w:rPr>
                <w:rFonts w:asciiTheme="majorHAnsi" w:hAnsiTheme="majorHAnsi" w:cstheme="majorHAnsi"/>
                <w:bCs/>
                <w:color w:val="000000"/>
                <w:sz w:val="16"/>
                <w:szCs w:val="16"/>
                <w:lang w:val="en-US"/>
              </w:rPr>
              <w:t>training</w:t>
            </w:r>
          </w:p>
        </w:tc>
        <w:tc>
          <w:tcPr>
            <w:tcW w:w="1179" w:type="dxa"/>
            <w:tcBorders>
              <w:left w:val="nil"/>
              <w:bottom w:val="single" w:sz="4" w:space="0" w:color="auto"/>
            </w:tcBorders>
            <w:shd w:val="clear" w:color="auto" w:fill="E7E6E6" w:themeFill="background2"/>
            <w:vAlign w:val="center"/>
          </w:tcPr>
          <w:p w14:paraId="1FEB862C" w14:textId="3F8A8EDB"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p>
        </w:tc>
        <w:tc>
          <w:tcPr>
            <w:tcW w:w="1433" w:type="dxa"/>
            <w:tcBorders>
              <w:bottom w:val="nil"/>
            </w:tcBorders>
            <w:shd w:val="clear" w:color="auto" w:fill="E7E6E6" w:themeFill="background2"/>
            <w:vAlign w:val="center"/>
          </w:tcPr>
          <w:p w14:paraId="2986FAE3"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p>
        </w:tc>
      </w:tr>
      <w:tr w:rsidR="007360FF" w:rsidRPr="00DC5490" w14:paraId="4EC6933F" w14:textId="77777777" w:rsidTr="00F4751F">
        <w:trPr>
          <w:trHeight w:val="252"/>
          <w:tblHeader/>
        </w:trPr>
        <w:tc>
          <w:tcPr>
            <w:tcW w:w="3037" w:type="dxa"/>
            <w:tcBorders>
              <w:top w:val="nil"/>
            </w:tcBorders>
            <w:shd w:val="clear" w:color="auto" w:fill="E7E6E6" w:themeFill="background2"/>
          </w:tcPr>
          <w:p w14:paraId="5D34F1CA" w14:textId="3D1C83C9" w:rsidR="00F97EC7" w:rsidRPr="00DC5490" w:rsidRDefault="00F97EC7" w:rsidP="00FF4CA3">
            <w:pPr>
              <w:spacing w:before="100" w:beforeAutospacing="1" w:after="100" w:afterAutospacing="1" w:line="360" w:lineRule="auto"/>
              <w:contextualSpacing/>
              <w:rPr>
                <w:rFonts w:asciiTheme="majorHAnsi" w:hAnsiTheme="majorHAnsi" w:cstheme="majorHAnsi"/>
                <w:bCs/>
                <w:snapToGrid w:val="0"/>
                <w:color w:val="000000"/>
                <w:sz w:val="16"/>
                <w:szCs w:val="16"/>
                <w:lang w:val="en-US"/>
              </w:rPr>
            </w:pPr>
            <w:r w:rsidRPr="00DC5490">
              <w:rPr>
                <w:rFonts w:asciiTheme="majorHAnsi" w:hAnsiTheme="majorHAnsi" w:cstheme="majorHAnsi"/>
                <w:bCs/>
                <w:color w:val="000000"/>
                <w:sz w:val="16"/>
                <w:szCs w:val="16"/>
                <w:lang w:val="en-US"/>
              </w:rPr>
              <w:t>RPMS Tools</w:t>
            </w:r>
          </w:p>
        </w:tc>
        <w:tc>
          <w:tcPr>
            <w:tcW w:w="1184" w:type="dxa"/>
            <w:tcBorders>
              <w:top w:val="single" w:sz="4" w:space="0" w:color="auto"/>
            </w:tcBorders>
            <w:shd w:val="clear" w:color="auto" w:fill="E7E6E6" w:themeFill="background2"/>
          </w:tcPr>
          <w:p w14:paraId="532CCC97" w14:textId="0D36E69A" w:rsidR="00F97EC7" w:rsidRPr="00DC5490" w:rsidRDefault="00F97EC7" w:rsidP="00F97EC7">
            <w:pPr>
              <w:spacing w:before="100" w:beforeAutospacing="1" w:after="100" w:afterAutospacing="1" w:line="360" w:lineRule="auto"/>
              <w:rPr>
                <w:rFonts w:asciiTheme="majorHAnsi" w:hAnsiTheme="majorHAnsi" w:cstheme="majorHAnsi"/>
                <w:bCs/>
                <w:color w:val="000000"/>
                <w:sz w:val="16"/>
                <w:szCs w:val="16"/>
                <w:lang w:val="en-US"/>
              </w:rPr>
            </w:pPr>
            <w:r w:rsidRPr="00DC5490">
              <w:rPr>
                <w:rFonts w:asciiTheme="majorHAnsi" w:hAnsiTheme="majorHAnsi" w:cstheme="majorHAnsi"/>
                <w:bCs/>
                <w:color w:val="000000"/>
                <w:sz w:val="16"/>
                <w:szCs w:val="16"/>
                <w:lang w:val="en-US"/>
              </w:rPr>
              <w:t>Face to face training</w:t>
            </w:r>
          </w:p>
        </w:tc>
        <w:tc>
          <w:tcPr>
            <w:tcW w:w="946" w:type="dxa"/>
            <w:tcBorders>
              <w:top w:val="single" w:sz="4" w:space="0" w:color="auto"/>
            </w:tcBorders>
            <w:shd w:val="clear" w:color="auto" w:fill="E7E6E6" w:themeFill="background2"/>
            <w:vAlign w:val="center"/>
          </w:tcPr>
          <w:p w14:paraId="78B1A082" w14:textId="1AB8F366" w:rsidR="00F97EC7" w:rsidRPr="00DC5490" w:rsidRDefault="00F97EC7" w:rsidP="00F97EC7">
            <w:pPr>
              <w:spacing w:before="100" w:beforeAutospacing="1" w:after="100" w:afterAutospacing="1" w:line="360" w:lineRule="auto"/>
              <w:rPr>
                <w:rFonts w:asciiTheme="majorHAnsi" w:hAnsiTheme="majorHAnsi" w:cstheme="majorHAnsi"/>
                <w:bCs/>
                <w:color w:val="000000"/>
                <w:sz w:val="16"/>
                <w:szCs w:val="16"/>
                <w:lang w:val="en-US"/>
              </w:rPr>
            </w:pPr>
            <w:r w:rsidRPr="00DC5490">
              <w:rPr>
                <w:rFonts w:asciiTheme="majorHAnsi" w:hAnsiTheme="majorHAnsi" w:cstheme="majorHAnsi"/>
                <w:bCs/>
                <w:color w:val="000000"/>
                <w:sz w:val="16"/>
                <w:szCs w:val="16"/>
                <w:lang w:val="en-US"/>
              </w:rPr>
              <w:t>Coaching</w:t>
            </w:r>
          </w:p>
        </w:tc>
        <w:tc>
          <w:tcPr>
            <w:tcW w:w="786" w:type="dxa"/>
            <w:tcBorders>
              <w:top w:val="single" w:sz="4" w:space="0" w:color="auto"/>
            </w:tcBorders>
            <w:shd w:val="clear" w:color="auto" w:fill="E7E6E6" w:themeFill="background2"/>
            <w:vAlign w:val="center"/>
          </w:tcPr>
          <w:p w14:paraId="51678B65" w14:textId="445E4255" w:rsidR="00F97EC7" w:rsidRPr="00DC5490" w:rsidRDefault="00F97EC7" w:rsidP="00F97EC7">
            <w:pPr>
              <w:spacing w:before="100" w:beforeAutospacing="1" w:after="100" w:afterAutospacing="1" w:line="360" w:lineRule="auto"/>
              <w:rPr>
                <w:rFonts w:asciiTheme="majorHAnsi" w:hAnsiTheme="majorHAnsi" w:cstheme="majorHAnsi"/>
                <w:bCs/>
                <w:color w:val="000000"/>
                <w:sz w:val="16"/>
                <w:szCs w:val="16"/>
                <w:lang w:val="en-US"/>
              </w:rPr>
            </w:pPr>
            <w:r w:rsidRPr="00DC5490">
              <w:rPr>
                <w:rFonts w:asciiTheme="majorHAnsi" w:hAnsiTheme="majorHAnsi" w:cstheme="majorHAnsi"/>
                <w:bCs/>
                <w:color w:val="000000"/>
                <w:sz w:val="16"/>
                <w:szCs w:val="16"/>
                <w:lang w:val="en-US"/>
              </w:rPr>
              <w:t>LAC</w:t>
            </w:r>
          </w:p>
        </w:tc>
        <w:tc>
          <w:tcPr>
            <w:tcW w:w="1179" w:type="dxa"/>
            <w:tcBorders>
              <w:top w:val="single" w:sz="4" w:space="0" w:color="auto"/>
            </w:tcBorders>
            <w:shd w:val="clear" w:color="auto" w:fill="E7E6E6" w:themeFill="background2"/>
            <w:vAlign w:val="center"/>
          </w:tcPr>
          <w:p w14:paraId="0C5B7863" w14:textId="6F238C25" w:rsidR="00F97EC7" w:rsidRPr="00DC5490" w:rsidRDefault="00F97EC7" w:rsidP="00F97EC7">
            <w:pPr>
              <w:spacing w:before="100" w:beforeAutospacing="1" w:after="100" w:afterAutospacing="1" w:line="360" w:lineRule="auto"/>
              <w:rPr>
                <w:rFonts w:asciiTheme="majorHAnsi" w:hAnsiTheme="majorHAnsi" w:cstheme="majorHAnsi"/>
                <w:bCs/>
                <w:color w:val="000000"/>
                <w:sz w:val="16"/>
                <w:szCs w:val="16"/>
                <w:lang w:val="en-US"/>
              </w:rPr>
            </w:pPr>
            <w:r w:rsidRPr="00DC5490">
              <w:rPr>
                <w:rFonts w:asciiTheme="majorHAnsi" w:hAnsiTheme="majorHAnsi" w:cstheme="majorHAnsi"/>
                <w:bCs/>
                <w:color w:val="000000"/>
                <w:sz w:val="16"/>
                <w:szCs w:val="16"/>
                <w:lang w:val="en-US"/>
              </w:rPr>
              <w:t>Others, specify</w:t>
            </w:r>
          </w:p>
        </w:tc>
        <w:tc>
          <w:tcPr>
            <w:tcW w:w="1433" w:type="dxa"/>
            <w:tcBorders>
              <w:top w:val="nil"/>
            </w:tcBorders>
            <w:shd w:val="clear" w:color="auto" w:fill="E7E6E6" w:themeFill="background2"/>
          </w:tcPr>
          <w:p w14:paraId="2C262783" w14:textId="0A2F52F1" w:rsidR="00F97EC7" w:rsidRPr="00DC5490" w:rsidRDefault="00F97EC7" w:rsidP="00F97EC7">
            <w:pPr>
              <w:spacing w:before="100" w:beforeAutospacing="1" w:after="100" w:afterAutospacing="1" w:line="360" w:lineRule="auto"/>
              <w:rPr>
                <w:rFonts w:asciiTheme="majorHAnsi" w:hAnsiTheme="majorHAnsi" w:cstheme="majorHAnsi"/>
                <w:bCs/>
                <w:color w:val="000000"/>
                <w:sz w:val="16"/>
                <w:szCs w:val="16"/>
                <w:lang w:val="en-US"/>
              </w:rPr>
            </w:pPr>
            <w:r w:rsidRPr="00DC5490">
              <w:rPr>
                <w:rFonts w:asciiTheme="majorHAnsi" w:hAnsiTheme="majorHAnsi" w:cstheme="majorHAnsi"/>
                <w:bCs/>
                <w:color w:val="000000"/>
                <w:sz w:val="16"/>
                <w:szCs w:val="16"/>
                <w:lang w:val="en-US"/>
              </w:rPr>
              <w:t>Who conducted the training?</w:t>
            </w:r>
          </w:p>
        </w:tc>
      </w:tr>
      <w:tr w:rsidR="007360FF" w:rsidRPr="00DC5490" w14:paraId="47ECE633" w14:textId="77777777" w:rsidTr="00F97EC7">
        <w:trPr>
          <w:trHeight w:val="252"/>
        </w:trPr>
        <w:tc>
          <w:tcPr>
            <w:tcW w:w="3037" w:type="dxa"/>
          </w:tcPr>
          <w:p w14:paraId="333E6472" w14:textId="77777777" w:rsidR="00F97EC7" w:rsidRPr="00DC5490" w:rsidRDefault="00F97EC7" w:rsidP="00F97EC7">
            <w:pPr>
              <w:numPr>
                <w:ilvl w:val="0"/>
                <w:numId w:val="95"/>
              </w:numPr>
              <w:spacing w:before="100" w:beforeAutospacing="1" w:after="100" w:afterAutospacing="1" w:line="360" w:lineRule="auto"/>
              <w:contextualSpacing/>
              <w:rPr>
                <w:rFonts w:asciiTheme="majorHAnsi" w:hAnsiTheme="majorHAnsi" w:cstheme="majorHAnsi"/>
                <w:bCs/>
                <w:snapToGrid w:val="0"/>
                <w:color w:val="000000"/>
                <w:sz w:val="16"/>
                <w:szCs w:val="16"/>
                <w:lang w:val="en-US"/>
              </w:rPr>
            </w:pPr>
            <w:r w:rsidRPr="00DC5490">
              <w:rPr>
                <w:rFonts w:asciiTheme="majorHAnsi" w:hAnsiTheme="majorHAnsi" w:cstheme="majorHAnsi"/>
                <w:bCs/>
                <w:snapToGrid w:val="0"/>
                <w:color w:val="000000"/>
                <w:sz w:val="16"/>
                <w:szCs w:val="16"/>
                <w:lang w:val="en-US"/>
              </w:rPr>
              <w:t>Self-Assessment Tool (SAT)</w:t>
            </w:r>
          </w:p>
        </w:tc>
        <w:tc>
          <w:tcPr>
            <w:tcW w:w="1184" w:type="dxa"/>
          </w:tcPr>
          <w:p w14:paraId="7BA03EC1" w14:textId="77777777" w:rsidR="00F97EC7" w:rsidRPr="00DC5490" w:rsidRDefault="00F97EC7" w:rsidP="00F97EC7">
            <w:pPr>
              <w:spacing w:before="100" w:beforeAutospacing="1" w:after="100" w:afterAutospacing="1" w:line="360" w:lineRule="auto"/>
              <w:rPr>
                <w:rFonts w:asciiTheme="majorHAnsi" w:hAnsiTheme="majorHAnsi" w:cstheme="majorHAnsi"/>
                <w:bCs/>
                <w:color w:val="000000"/>
                <w:sz w:val="16"/>
                <w:szCs w:val="16"/>
                <w:lang w:val="en-US"/>
              </w:rPr>
            </w:pPr>
          </w:p>
        </w:tc>
        <w:tc>
          <w:tcPr>
            <w:tcW w:w="946" w:type="dxa"/>
          </w:tcPr>
          <w:p w14:paraId="4D946E0B" w14:textId="77777777" w:rsidR="00F97EC7" w:rsidRPr="00DC5490" w:rsidRDefault="00F97EC7" w:rsidP="00F97EC7">
            <w:pPr>
              <w:spacing w:before="100" w:beforeAutospacing="1" w:after="100" w:afterAutospacing="1" w:line="360" w:lineRule="auto"/>
              <w:rPr>
                <w:rFonts w:asciiTheme="majorHAnsi" w:hAnsiTheme="majorHAnsi" w:cstheme="majorHAnsi"/>
                <w:bCs/>
                <w:color w:val="000000"/>
                <w:sz w:val="16"/>
                <w:szCs w:val="16"/>
                <w:lang w:val="en-US"/>
              </w:rPr>
            </w:pPr>
          </w:p>
        </w:tc>
        <w:tc>
          <w:tcPr>
            <w:tcW w:w="786" w:type="dxa"/>
          </w:tcPr>
          <w:p w14:paraId="524E869E" w14:textId="77777777" w:rsidR="00F97EC7" w:rsidRPr="00DC5490" w:rsidRDefault="00F97EC7" w:rsidP="00F97EC7">
            <w:pPr>
              <w:spacing w:before="100" w:beforeAutospacing="1" w:after="100" w:afterAutospacing="1" w:line="360" w:lineRule="auto"/>
              <w:rPr>
                <w:rFonts w:asciiTheme="majorHAnsi" w:hAnsiTheme="majorHAnsi" w:cstheme="majorHAnsi"/>
                <w:bCs/>
                <w:color w:val="000000"/>
                <w:sz w:val="16"/>
                <w:szCs w:val="16"/>
                <w:lang w:val="en-US"/>
              </w:rPr>
            </w:pPr>
          </w:p>
        </w:tc>
        <w:tc>
          <w:tcPr>
            <w:tcW w:w="1179" w:type="dxa"/>
          </w:tcPr>
          <w:p w14:paraId="298F4772" w14:textId="77777777" w:rsidR="00F97EC7" w:rsidRPr="00DC5490" w:rsidRDefault="00F97EC7" w:rsidP="00F97EC7">
            <w:pPr>
              <w:spacing w:before="100" w:beforeAutospacing="1" w:after="100" w:afterAutospacing="1" w:line="360" w:lineRule="auto"/>
              <w:rPr>
                <w:rFonts w:asciiTheme="majorHAnsi" w:hAnsiTheme="majorHAnsi" w:cstheme="majorHAnsi"/>
                <w:bCs/>
                <w:color w:val="000000"/>
                <w:sz w:val="16"/>
                <w:szCs w:val="16"/>
                <w:lang w:val="en-US"/>
              </w:rPr>
            </w:pPr>
          </w:p>
        </w:tc>
        <w:tc>
          <w:tcPr>
            <w:tcW w:w="1433" w:type="dxa"/>
          </w:tcPr>
          <w:p w14:paraId="78B4B767" w14:textId="77777777" w:rsidR="00F97EC7" w:rsidRPr="00DC5490" w:rsidRDefault="00F97EC7" w:rsidP="00F97EC7">
            <w:pPr>
              <w:spacing w:before="100" w:beforeAutospacing="1" w:after="100" w:afterAutospacing="1" w:line="360" w:lineRule="auto"/>
              <w:rPr>
                <w:rFonts w:asciiTheme="majorHAnsi" w:hAnsiTheme="majorHAnsi" w:cstheme="majorHAnsi"/>
                <w:bCs/>
                <w:color w:val="000000"/>
                <w:sz w:val="16"/>
                <w:szCs w:val="16"/>
                <w:lang w:val="en-US"/>
              </w:rPr>
            </w:pPr>
          </w:p>
        </w:tc>
      </w:tr>
      <w:tr w:rsidR="007360FF" w:rsidRPr="00DC5490" w14:paraId="59F5F330" w14:textId="77777777" w:rsidTr="00F97EC7">
        <w:trPr>
          <w:trHeight w:val="240"/>
        </w:trPr>
        <w:tc>
          <w:tcPr>
            <w:tcW w:w="3037" w:type="dxa"/>
          </w:tcPr>
          <w:p w14:paraId="66480F10" w14:textId="77777777" w:rsidR="00F97EC7" w:rsidRPr="00DC5490" w:rsidRDefault="00F97EC7" w:rsidP="00F97EC7">
            <w:pPr>
              <w:numPr>
                <w:ilvl w:val="0"/>
                <w:numId w:val="95"/>
              </w:numPr>
              <w:spacing w:before="100" w:beforeAutospacing="1" w:after="100" w:afterAutospacing="1" w:line="360" w:lineRule="auto"/>
              <w:contextualSpacing/>
              <w:rPr>
                <w:rFonts w:asciiTheme="majorHAnsi" w:hAnsiTheme="majorHAnsi" w:cstheme="majorHAnsi"/>
                <w:bCs/>
                <w:snapToGrid w:val="0"/>
                <w:color w:val="000000"/>
                <w:sz w:val="16"/>
                <w:szCs w:val="16"/>
                <w:lang w:val="en-US"/>
              </w:rPr>
            </w:pPr>
            <w:r w:rsidRPr="00DC5490">
              <w:rPr>
                <w:rFonts w:asciiTheme="majorHAnsi" w:hAnsiTheme="majorHAnsi" w:cstheme="majorHAnsi"/>
                <w:bCs/>
                <w:snapToGrid w:val="0"/>
                <w:color w:val="000000"/>
                <w:sz w:val="16"/>
                <w:szCs w:val="16"/>
                <w:lang w:val="en-US"/>
              </w:rPr>
              <w:t>Classroom Observation Tool (COT)</w:t>
            </w:r>
          </w:p>
        </w:tc>
        <w:tc>
          <w:tcPr>
            <w:tcW w:w="1184" w:type="dxa"/>
          </w:tcPr>
          <w:p w14:paraId="7576BF29" w14:textId="77777777" w:rsidR="00F97EC7" w:rsidRPr="00DC5490" w:rsidRDefault="00F97EC7" w:rsidP="00F97EC7">
            <w:pPr>
              <w:spacing w:before="100" w:beforeAutospacing="1" w:after="100" w:afterAutospacing="1" w:line="360" w:lineRule="auto"/>
              <w:rPr>
                <w:rFonts w:asciiTheme="majorHAnsi" w:hAnsiTheme="majorHAnsi" w:cstheme="majorHAnsi"/>
                <w:bCs/>
                <w:color w:val="000000"/>
                <w:sz w:val="16"/>
                <w:szCs w:val="16"/>
                <w:lang w:val="en-US"/>
              </w:rPr>
            </w:pPr>
          </w:p>
        </w:tc>
        <w:tc>
          <w:tcPr>
            <w:tcW w:w="946" w:type="dxa"/>
          </w:tcPr>
          <w:p w14:paraId="67908CBE" w14:textId="77777777" w:rsidR="00F97EC7" w:rsidRPr="00DC5490" w:rsidRDefault="00F97EC7" w:rsidP="00F97EC7">
            <w:pPr>
              <w:spacing w:before="100" w:beforeAutospacing="1" w:after="100" w:afterAutospacing="1" w:line="360" w:lineRule="auto"/>
              <w:rPr>
                <w:rFonts w:asciiTheme="majorHAnsi" w:hAnsiTheme="majorHAnsi" w:cstheme="majorHAnsi"/>
                <w:bCs/>
                <w:color w:val="000000"/>
                <w:sz w:val="16"/>
                <w:szCs w:val="16"/>
                <w:lang w:val="en-US"/>
              </w:rPr>
            </w:pPr>
          </w:p>
        </w:tc>
        <w:tc>
          <w:tcPr>
            <w:tcW w:w="786" w:type="dxa"/>
          </w:tcPr>
          <w:p w14:paraId="2F7430D0" w14:textId="77777777" w:rsidR="00F97EC7" w:rsidRPr="00DC5490" w:rsidRDefault="00F97EC7" w:rsidP="00F97EC7">
            <w:pPr>
              <w:spacing w:before="100" w:beforeAutospacing="1" w:after="100" w:afterAutospacing="1" w:line="360" w:lineRule="auto"/>
              <w:rPr>
                <w:rFonts w:asciiTheme="majorHAnsi" w:hAnsiTheme="majorHAnsi" w:cstheme="majorHAnsi"/>
                <w:bCs/>
                <w:color w:val="000000"/>
                <w:sz w:val="16"/>
                <w:szCs w:val="16"/>
                <w:lang w:val="en-US"/>
              </w:rPr>
            </w:pPr>
          </w:p>
        </w:tc>
        <w:tc>
          <w:tcPr>
            <w:tcW w:w="1179" w:type="dxa"/>
          </w:tcPr>
          <w:p w14:paraId="17816299" w14:textId="77777777" w:rsidR="00F97EC7" w:rsidRPr="00DC5490" w:rsidRDefault="00F97EC7" w:rsidP="00F97EC7">
            <w:pPr>
              <w:spacing w:before="100" w:beforeAutospacing="1" w:after="100" w:afterAutospacing="1" w:line="360" w:lineRule="auto"/>
              <w:rPr>
                <w:rFonts w:asciiTheme="majorHAnsi" w:hAnsiTheme="majorHAnsi" w:cstheme="majorHAnsi"/>
                <w:bCs/>
                <w:color w:val="000000"/>
                <w:sz w:val="16"/>
                <w:szCs w:val="16"/>
                <w:lang w:val="en-US"/>
              </w:rPr>
            </w:pPr>
          </w:p>
        </w:tc>
        <w:tc>
          <w:tcPr>
            <w:tcW w:w="1433" w:type="dxa"/>
          </w:tcPr>
          <w:p w14:paraId="59B0428D" w14:textId="77777777" w:rsidR="00F97EC7" w:rsidRPr="00DC5490" w:rsidRDefault="00F97EC7" w:rsidP="00F97EC7">
            <w:pPr>
              <w:spacing w:before="100" w:beforeAutospacing="1" w:after="100" w:afterAutospacing="1" w:line="360" w:lineRule="auto"/>
              <w:rPr>
                <w:rFonts w:asciiTheme="majorHAnsi" w:hAnsiTheme="majorHAnsi" w:cstheme="majorHAnsi"/>
                <w:bCs/>
                <w:color w:val="000000"/>
                <w:sz w:val="16"/>
                <w:szCs w:val="16"/>
                <w:lang w:val="en-US"/>
              </w:rPr>
            </w:pPr>
          </w:p>
        </w:tc>
      </w:tr>
      <w:tr w:rsidR="007360FF" w:rsidRPr="00DC5490" w14:paraId="6881A4D7" w14:textId="77777777" w:rsidTr="00F97EC7">
        <w:trPr>
          <w:trHeight w:val="240"/>
        </w:trPr>
        <w:tc>
          <w:tcPr>
            <w:tcW w:w="3037" w:type="dxa"/>
          </w:tcPr>
          <w:p w14:paraId="4B7F5BB8" w14:textId="77777777" w:rsidR="00F97EC7" w:rsidRPr="00DC5490" w:rsidRDefault="00F97EC7" w:rsidP="00F97EC7">
            <w:pPr>
              <w:numPr>
                <w:ilvl w:val="0"/>
                <w:numId w:val="95"/>
              </w:numPr>
              <w:spacing w:before="100" w:beforeAutospacing="1" w:after="100" w:afterAutospacing="1" w:line="360" w:lineRule="auto"/>
              <w:contextualSpacing/>
              <w:rPr>
                <w:rFonts w:asciiTheme="majorHAnsi" w:hAnsiTheme="majorHAnsi" w:cstheme="majorHAnsi"/>
                <w:bCs/>
                <w:snapToGrid w:val="0"/>
                <w:color w:val="000000"/>
                <w:sz w:val="16"/>
                <w:szCs w:val="16"/>
                <w:lang w:val="en-US"/>
              </w:rPr>
            </w:pPr>
            <w:r w:rsidRPr="00DC5490">
              <w:rPr>
                <w:rFonts w:asciiTheme="majorHAnsi" w:hAnsiTheme="majorHAnsi" w:cstheme="majorHAnsi"/>
                <w:bCs/>
                <w:snapToGrid w:val="0"/>
                <w:color w:val="000000"/>
                <w:sz w:val="16"/>
                <w:szCs w:val="16"/>
                <w:lang w:val="en-US"/>
              </w:rPr>
              <w:t>Portfolio Assessment for Teachers (PAT)</w:t>
            </w:r>
          </w:p>
        </w:tc>
        <w:tc>
          <w:tcPr>
            <w:tcW w:w="1184" w:type="dxa"/>
          </w:tcPr>
          <w:p w14:paraId="6FEE6F2B" w14:textId="77777777" w:rsidR="00F97EC7" w:rsidRPr="00DC5490" w:rsidRDefault="00F97EC7" w:rsidP="00F97EC7">
            <w:pPr>
              <w:spacing w:before="100" w:beforeAutospacing="1" w:after="100" w:afterAutospacing="1" w:line="360" w:lineRule="auto"/>
              <w:rPr>
                <w:rFonts w:asciiTheme="majorHAnsi" w:hAnsiTheme="majorHAnsi" w:cstheme="majorHAnsi"/>
                <w:bCs/>
                <w:color w:val="000000"/>
                <w:sz w:val="16"/>
                <w:szCs w:val="16"/>
                <w:lang w:val="en-US"/>
              </w:rPr>
            </w:pPr>
          </w:p>
        </w:tc>
        <w:tc>
          <w:tcPr>
            <w:tcW w:w="946" w:type="dxa"/>
          </w:tcPr>
          <w:p w14:paraId="292BAFD8" w14:textId="77777777" w:rsidR="00F97EC7" w:rsidRPr="00DC5490" w:rsidRDefault="00F97EC7" w:rsidP="00F97EC7">
            <w:pPr>
              <w:spacing w:before="100" w:beforeAutospacing="1" w:after="100" w:afterAutospacing="1" w:line="360" w:lineRule="auto"/>
              <w:rPr>
                <w:rFonts w:asciiTheme="majorHAnsi" w:hAnsiTheme="majorHAnsi" w:cstheme="majorHAnsi"/>
                <w:bCs/>
                <w:color w:val="000000"/>
                <w:sz w:val="16"/>
                <w:szCs w:val="16"/>
                <w:lang w:val="en-US"/>
              </w:rPr>
            </w:pPr>
          </w:p>
        </w:tc>
        <w:tc>
          <w:tcPr>
            <w:tcW w:w="786" w:type="dxa"/>
          </w:tcPr>
          <w:p w14:paraId="0C05C89D" w14:textId="77777777" w:rsidR="00F97EC7" w:rsidRPr="00DC5490" w:rsidRDefault="00F97EC7" w:rsidP="00F97EC7">
            <w:pPr>
              <w:spacing w:before="100" w:beforeAutospacing="1" w:after="100" w:afterAutospacing="1" w:line="360" w:lineRule="auto"/>
              <w:rPr>
                <w:rFonts w:asciiTheme="majorHAnsi" w:hAnsiTheme="majorHAnsi" w:cstheme="majorHAnsi"/>
                <w:bCs/>
                <w:color w:val="000000"/>
                <w:sz w:val="16"/>
                <w:szCs w:val="16"/>
                <w:lang w:val="en-US"/>
              </w:rPr>
            </w:pPr>
          </w:p>
        </w:tc>
        <w:tc>
          <w:tcPr>
            <w:tcW w:w="1179" w:type="dxa"/>
          </w:tcPr>
          <w:p w14:paraId="54EDEC07" w14:textId="77777777" w:rsidR="00F97EC7" w:rsidRPr="00DC5490" w:rsidRDefault="00F97EC7" w:rsidP="00F97EC7">
            <w:pPr>
              <w:spacing w:before="100" w:beforeAutospacing="1" w:after="100" w:afterAutospacing="1" w:line="360" w:lineRule="auto"/>
              <w:rPr>
                <w:rFonts w:asciiTheme="majorHAnsi" w:hAnsiTheme="majorHAnsi" w:cstheme="majorHAnsi"/>
                <w:bCs/>
                <w:color w:val="000000"/>
                <w:sz w:val="16"/>
                <w:szCs w:val="16"/>
                <w:lang w:val="en-US"/>
              </w:rPr>
            </w:pPr>
          </w:p>
        </w:tc>
        <w:tc>
          <w:tcPr>
            <w:tcW w:w="1433" w:type="dxa"/>
          </w:tcPr>
          <w:p w14:paraId="46849CD6" w14:textId="77777777" w:rsidR="00F97EC7" w:rsidRPr="00DC5490" w:rsidRDefault="00F97EC7" w:rsidP="00F97EC7">
            <w:pPr>
              <w:spacing w:before="100" w:beforeAutospacing="1" w:after="100" w:afterAutospacing="1" w:line="360" w:lineRule="auto"/>
              <w:rPr>
                <w:rFonts w:asciiTheme="majorHAnsi" w:hAnsiTheme="majorHAnsi" w:cstheme="majorHAnsi"/>
                <w:bCs/>
                <w:color w:val="000000"/>
                <w:sz w:val="16"/>
                <w:szCs w:val="16"/>
                <w:lang w:val="en-US"/>
              </w:rPr>
            </w:pPr>
          </w:p>
        </w:tc>
      </w:tr>
      <w:tr w:rsidR="007360FF" w:rsidRPr="00DC5490" w14:paraId="77AF2704" w14:textId="77777777" w:rsidTr="00F97EC7">
        <w:trPr>
          <w:trHeight w:val="252"/>
        </w:trPr>
        <w:tc>
          <w:tcPr>
            <w:tcW w:w="3037" w:type="dxa"/>
          </w:tcPr>
          <w:p w14:paraId="509DC9E9" w14:textId="77777777" w:rsidR="00F97EC7" w:rsidRPr="00DC5490" w:rsidRDefault="00F97EC7" w:rsidP="00F97EC7">
            <w:pPr>
              <w:numPr>
                <w:ilvl w:val="0"/>
                <w:numId w:val="95"/>
              </w:numPr>
              <w:spacing w:before="100" w:beforeAutospacing="1" w:after="100" w:afterAutospacing="1" w:line="360" w:lineRule="auto"/>
              <w:contextualSpacing/>
              <w:rPr>
                <w:rFonts w:asciiTheme="majorHAnsi" w:hAnsiTheme="majorHAnsi" w:cstheme="majorHAnsi"/>
                <w:bCs/>
                <w:snapToGrid w:val="0"/>
                <w:color w:val="000000"/>
                <w:sz w:val="16"/>
                <w:szCs w:val="16"/>
                <w:lang w:val="en-US"/>
              </w:rPr>
            </w:pPr>
            <w:r w:rsidRPr="00DC5490">
              <w:rPr>
                <w:rFonts w:asciiTheme="majorHAnsi" w:hAnsiTheme="majorHAnsi" w:cstheme="majorHAnsi"/>
                <w:bCs/>
                <w:snapToGrid w:val="0"/>
                <w:color w:val="000000"/>
                <w:sz w:val="16"/>
                <w:szCs w:val="16"/>
                <w:lang w:val="en-US"/>
              </w:rPr>
              <w:t>Individual Performance Commitment and Review Form (IPCRF)</w:t>
            </w:r>
          </w:p>
        </w:tc>
        <w:tc>
          <w:tcPr>
            <w:tcW w:w="1184" w:type="dxa"/>
          </w:tcPr>
          <w:p w14:paraId="5057C882" w14:textId="77777777" w:rsidR="00F97EC7" w:rsidRPr="00DC5490" w:rsidRDefault="00F97EC7" w:rsidP="00F97EC7">
            <w:pPr>
              <w:spacing w:before="100" w:beforeAutospacing="1" w:after="100" w:afterAutospacing="1" w:line="360" w:lineRule="auto"/>
              <w:rPr>
                <w:rFonts w:asciiTheme="majorHAnsi" w:hAnsiTheme="majorHAnsi" w:cstheme="majorHAnsi"/>
                <w:bCs/>
                <w:color w:val="000000"/>
                <w:sz w:val="16"/>
                <w:szCs w:val="16"/>
                <w:lang w:val="en-US"/>
              </w:rPr>
            </w:pPr>
          </w:p>
        </w:tc>
        <w:tc>
          <w:tcPr>
            <w:tcW w:w="946" w:type="dxa"/>
          </w:tcPr>
          <w:p w14:paraId="52B40D66" w14:textId="77777777" w:rsidR="00F97EC7" w:rsidRPr="00DC5490" w:rsidRDefault="00F97EC7" w:rsidP="00F97EC7">
            <w:pPr>
              <w:spacing w:before="100" w:beforeAutospacing="1" w:after="100" w:afterAutospacing="1" w:line="360" w:lineRule="auto"/>
              <w:rPr>
                <w:rFonts w:asciiTheme="majorHAnsi" w:hAnsiTheme="majorHAnsi" w:cstheme="majorHAnsi"/>
                <w:bCs/>
                <w:color w:val="000000"/>
                <w:sz w:val="16"/>
                <w:szCs w:val="16"/>
                <w:lang w:val="en-US"/>
              </w:rPr>
            </w:pPr>
          </w:p>
        </w:tc>
        <w:tc>
          <w:tcPr>
            <w:tcW w:w="786" w:type="dxa"/>
          </w:tcPr>
          <w:p w14:paraId="6072EAA7" w14:textId="77777777" w:rsidR="00F97EC7" w:rsidRPr="00DC5490" w:rsidRDefault="00F97EC7" w:rsidP="00F97EC7">
            <w:pPr>
              <w:spacing w:before="100" w:beforeAutospacing="1" w:after="100" w:afterAutospacing="1" w:line="360" w:lineRule="auto"/>
              <w:rPr>
                <w:rFonts w:asciiTheme="majorHAnsi" w:hAnsiTheme="majorHAnsi" w:cstheme="majorHAnsi"/>
                <w:bCs/>
                <w:color w:val="000000"/>
                <w:sz w:val="16"/>
                <w:szCs w:val="16"/>
                <w:lang w:val="en-US"/>
              </w:rPr>
            </w:pPr>
          </w:p>
        </w:tc>
        <w:tc>
          <w:tcPr>
            <w:tcW w:w="1179" w:type="dxa"/>
          </w:tcPr>
          <w:p w14:paraId="33A0F863" w14:textId="77777777" w:rsidR="00F97EC7" w:rsidRPr="00DC5490" w:rsidRDefault="00F97EC7" w:rsidP="00F97EC7">
            <w:pPr>
              <w:spacing w:before="100" w:beforeAutospacing="1" w:after="100" w:afterAutospacing="1" w:line="360" w:lineRule="auto"/>
              <w:rPr>
                <w:rFonts w:asciiTheme="majorHAnsi" w:hAnsiTheme="majorHAnsi" w:cstheme="majorHAnsi"/>
                <w:bCs/>
                <w:color w:val="000000"/>
                <w:sz w:val="16"/>
                <w:szCs w:val="16"/>
                <w:lang w:val="en-US"/>
              </w:rPr>
            </w:pPr>
          </w:p>
        </w:tc>
        <w:tc>
          <w:tcPr>
            <w:tcW w:w="1433" w:type="dxa"/>
          </w:tcPr>
          <w:p w14:paraId="4165C123" w14:textId="77777777" w:rsidR="00F97EC7" w:rsidRPr="00DC5490" w:rsidRDefault="00F97EC7" w:rsidP="00F97EC7">
            <w:pPr>
              <w:spacing w:before="100" w:beforeAutospacing="1" w:after="100" w:afterAutospacing="1" w:line="360" w:lineRule="auto"/>
              <w:rPr>
                <w:rFonts w:asciiTheme="majorHAnsi" w:hAnsiTheme="majorHAnsi" w:cstheme="majorHAnsi"/>
                <w:bCs/>
                <w:color w:val="000000"/>
                <w:sz w:val="16"/>
                <w:szCs w:val="16"/>
                <w:lang w:val="en-US"/>
              </w:rPr>
            </w:pPr>
          </w:p>
        </w:tc>
      </w:tr>
    </w:tbl>
    <w:p w14:paraId="5AA57009"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sz w:val="20"/>
          <w:szCs w:val="20"/>
          <w:lang w:val="en-US"/>
        </w:rPr>
      </w:pPr>
      <w:r w:rsidRPr="00EC48C1">
        <w:rPr>
          <w:rFonts w:asciiTheme="majorHAnsi" w:hAnsiTheme="majorHAnsi" w:cstheme="majorHAnsi"/>
          <w:b/>
          <w:sz w:val="20"/>
          <w:szCs w:val="20"/>
          <w:lang w:val="en-US"/>
        </w:rPr>
        <w:t>Curriculum and assessment systems (CAS)</w:t>
      </w:r>
    </w:p>
    <w:p w14:paraId="17C7F40C" w14:textId="77777777" w:rsidR="008D0CAD" w:rsidRPr="00DC5490" w:rsidRDefault="008D0CAD" w:rsidP="00DD08E3">
      <w:pPr>
        <w:numPr>
          <w:ilvl w:val="0"/>
          <w:numId w:val="81"/>
        </w:numPr>
        <w:spacing w:before="100" w:beforeAutospacing="1" w:after="100" w:afterAutospacing="1" w:line="360" w:lineRule="auto"/>
        <w:contextualSpacing/>
        <w:rPr>
          <w:rFonts w:asciiTheme="majorHAnsi" w:hAnsiTheme="majorHAnsi" w:cstheme="majorHAnsi"/>
          <w:snapToGrid w:val="0"/>
          <w:color w:val="000000"/>
          <w:sz w:val="20"/>
          <w:szCs w:val="20"/>
          <w:lang w:val="en-US"/>
        </w:rPr>
      </w:pPr>
      <w:r w:rsidRPr="00DC5490">
        <w:rPr>
          <w:rFonts w:asciiTheme="majorHAnsi" w:hAnsiTheme="majorHAnsi" w:cstheme="majorHAnsi"/>
          <w:snapToGrid w:val="0"/>
          <w:color w:val="000000" w:themeColor="text1"/>
          <w:sz w:val="20"/>
          <w:szCs w:val="20"/>
          <w:lang w:val="en-US"/>
        </w:rPr>
        <w:t>How is a curriculum is developed and rolled out across DepED schools and grade levels?</w:t>
      </w:r>
    </w:p>
    <w:p w14:paraId="6CEA1D9D" w14:textId="1D660C02" w:rsidR="008D0CAD" w:rsidRPr="00DC5490" w:rsidRDefault="008D0CAD" w:rsidP="00DD08E3">
      <w:pPr>
        <w:numPr>
          <w:ilvl w:val="0"/>
          <w:numId w:val="81"/>
        </w:numPr>
        <w:spacing w:before="100" w:beforeAutospacing="1" w:after="100" w:afterAutospacing="1" w:line="360" w:lineRule="auto"/>
        <w:rPr>
          <w:rFonts w:asciiTheme="majorHAnsi" w:hAnsiTheme="majorHAnsi" w:cstheme="majorHAnsi"/>
          <w:snapToGrid w:val="0"/>
          <w:sz w:val="20"/>
          <w:szCs w:val="20"/>
          <w:lang w:val="en-US"/>
        </w:rPr>
      </w:pPr>
      <w:r w:rsidRPr="00DC5490">
        <w:rPr>
          <w:rFonts w:asciiTheme="majorHAnsi" w:hAnsiTheme="majorHAnsi" w:cstheme="majorHAnsi"/>
          <w:snapToGrid w:val="0"/>
          <w:sz w:val="20"/>
          <w:szCs w:val="20"/>
          <w:lang w:val="en-US"/>
        </w:rPr>
        <w:t xml:space="preserve">How were you and your teachers capacitated to implement the reforms in </w:t>
      </w:r>
      <w:r w:rsidRPr="00DC5490">
        <w:rPr>
          <w:rFonts w:asciiTheme="majorHAnsi" w:hAnsiTheme="majorHAnsi" w:cstheme="majorHAnsi"/>
          <w:snapToGrid w:val="0"/>
          <w:color w:val="000000" w:themeColor="text1"/>
          <w:sz w:val="20"/>
          <w:szCs w:val="20"/>
          <w:lang w:val="en-US"/>
        </w:rPr>
        <w:t>K to 12 curricula</w:t>
      </w:r>
      <w:r w:rsidRPr="00DC5490">
        <w:rPr>
          <w:rFonts w:asciiTheme="majorHAnsi" w:hAnsiTheme="majorHAnsi" w:cstheme="majorHAnsi"/>
          <w:snapToGrid w:val="0"/>
          <w:sz w:val="20"/>
          <w:szCs w:val="20"/>
          <w:lang w:val="en-US"/>
        </w:rPr>
        <w:t>?</w:t>
      </w:r>
      <w:r w:rsidR="00D434EB">
        <w:rPr>
          <w:rFonts w:asciiTheme="majorHAnsi" w:hAnsiTheme="majorHAnsi" w:cstheme="majorHAnsi"/>
          <w:snapToGrid w:val="0"/>
          <w:sz w:val="20"/>
          <w:szCs w:val="20"/>
          <w:lang w:val="en-US"/>
        </w:rPr>
        <w:t xml:space="preserve"> </w:t>
      </w:r>
      <w:r w:rsidRPr="00DC5490">
        <w:rPr>
          <w:rFonts w:asciiTheme="majorHAnsi" w:hAnsiTheme="majorHAnsi" w:cstheme="majorHAnsi"/>
          <w:snapToGrid w:val="0"/>
          <w:sz w:val="20"/>
          <w:szCs w:val="20"/>
          <w:lang w:val="en-US"/>
        </w:rPr>
        <w:t>Please describe the mode of training provided to you (formal training, job training, peer study, self-study etc.), how long was the training, who trained you, etc.?</w:t>
      </w:r>
      <w:r w:rsidR="00D434EB">
        <w:rPr>
          <w:rFonts w:asciiTheme="majorHAnsi" w:hAnsiTheme="majorHAnsi" w:cstheme="majorHAnsi"/>
          <w:snapToGrid w:val="0"/>
          <w:sz w:val="20"/>
          <w:szCs w:val="20"/>
          <w:lang w:val="en-US"/>
        </w:rPr>
        <w:t xml:space="preserve">  </w:t>
      </w:r>
    </w:p>
    <w:p w14:paraId="6C7F0525" w14:textId="77777777" w:rsidR="008D0CAD" w:rsidRPr="00DC5490" w:rsidRDefault="008D0CAD" w:rsidP="00DD08E3">
      <w:pPr>
        <w:numPr>
          <w:ilvl w:val="1"/>
          <w:numId w:val="81"/>
        </w:numPr>
        <w:spacing w:before="100" w:beforeAutospacing="1" w:after="100" w:afterAutospacing="1" w:line="360" w:lineRule="auto"/>
        <w:ind w:left="788" w:hanging="431"/>
        <w:rPr>
          <w:rFonts w:asciiTheme="majorHAnsi" w:hAnsiTheme="majorHAnsi" w:cstheme="majorHAnsi"/>
          <w:snapToGrid w:val="0"/>
          <w:sz w:val="20"/>
          <w:szCs w:val="20"/>
          <w:lang w:val="en-US"/>
        </w:rPr>
      </w:pPr>
      <w:r w:rsidRPr="00DC5490">
        <w:rPr>
          <w:rFonts w:asciiTheme="majorHAnsi" w:hAnsiTheme="majorHAnsi" w:cstheme="majorHAnsi"/>
          <w:snapToGrid w:val="0"/>
          <w:sz w:val="20"/>
          <w:szCs w:val="20"/>
          <w:lang w:val="en-US"/>
        </w:rPr>
        <w:t xml:space="preserve">How </w:t>
      </w:r>
      <w:r w:rsidRPr="00DC5490">
        <w:rPr>
          <w:rFonts w:asciiTheme="majorHAnsi" w:hAnsiTheme="majorHAnsi" w:cstheme="majorHAnsi"/>
          <w:b/>
          <w:snapToGrid w:val="0"/>
          <w:sz w:val="20"/>
          <w:szCs w:val="20"/>
          <w:lang w:val="en-US"/>
        </w:rPr>
        <w:t>adequate</w:t>
      </w:r>
      <w:r w:rsidRPr="00DC5490">
        <w:rPr>
          <w:rFonts w:asciiTheme="majorHAnsi" w:hAnsiTheme="majorHAnsi" w:cstheme="majorHAnsi"/>
          <w:snapToGrid w:val="0"/>
          <w:sz w:val="20"/>
          <w:szCs w:val="20"/>
          <w:lang w:val="en-US"/>
        </w:rPr>
        <w:t xml:space="preserve"> and </w:t>
      </w:r>
      <w:r w:rsidRPr="00DC5490">
        <w:rPr>
          <w:rFonts w:asciiTheme="majorHAnsi" w:hAnsiTheme="majorHAnsi" w:cstheme="majorHAnsi"/>
          <w:b/>
          <w:snapToGrid w:val="0"/>
          <w:sz w:val="20"/>
          <w:szCs w:val="20"/>
          <w:lang w:val="en-US"/>
        </w:rPr>
        <w:t>effective</w:t>
      </w:r>
      <w:r w:rsidRPr="00DC5490">
        <w:rPr>
          <w:rFonts w:asciiTheme="majorHAnsi" w:hAnsiTheme="majorHAnsi" w:cstheme="majorHAnsi"/>
          <w:snapToGrid w:val="0"/>
          <w:sz w:val="20"/>
          <w:szCs w:val="20"/>
          <w:lang w:val="en-US"/>
        </w:rPr>
        <w:t xml:space="preserve"> were the capacity building interventions provided to you to help you implement the new curricula?</w:t>
      </w:r>
      <w:r w:rsidRPr="00DC5490">
        <w:rPr>
          <w:rFonts w:asciiTheme="majorHAnsi" w:hAnsiTheme="majorHAnsi" w:cstheme="majorHAnsi"/>
          <w:bCs/>
          <w:snapToGrid w:val="0"/>
          <w:color w:val="000000"/>
          <w:sz w:val="20"/>
          <w:szCs w:val="20"/>
          <w:lang w:val="en-US"/>
        </w:rPr>
        <w:t xml:space="preserve"> Are there remaining gaps? </w:t>
      </w:r>
    </w:p>
    <w:p w14:paraId="5FF5590C" w14:textId="7B364EAD" w:rsidR="008D0CAD" w:rsidRPr="00DC5490" w:rsidRDefault="008D0CAD" w:rsidP="00DD08E3">
      <w:pPr>
        <w:numPr>
          <w:ilvl w:val="0"/>
          <w:numId w:val="81"/>
        </w:numPr>
        <w:spacing w:before="100" w:beforeAutospacing="1" w:after="100" w:afterAutospacing="1" w:line="360" w:lineRule="auto"/>
        <w:ind w:left="357" w:hanging="357"/>
        <w:rPr>
          <w:rFonts w:asciiTheme="majorHAnsi" w:hAnsiTheme="majorHAnsi" w:cstheme="majorHAnsi"/>
          <w:snapToGrid w:val="0"/>
          <w:sz w:val="20"/>
          <w:szCs w:val="20"/>
          <w:lang w:val="en-US"/>
        </w:rPr>
      </w:pPr>
      <w:r w:rsidRPr="00DC5490">
        <w:rPr>
          <w:rFonts w:asciiTheme="majorHAnsi" w:hAnsiTheme="majorHAnsi" w:cstheme="majorHAnsi"/>
          <w:snapToGrid w:val="0"/>
          <w:sz w:val="20"/>
          <w:szCs w:val="20"/>
          <w:lang w:val="en-US"/>
        </w:rPr>
        <w:t xml:space="preserve">How were you and your teachers capacitated to implement the reforms in </w:t>
      </w:r>
      <w:r w:rsidRPr="00DC5490">
        <w:rPr>
          <w:rFonts w:asciiTheme="majorHAnsi" w:hAnsiTheme="majorHAnsi" w:cstheme="majorHAnsi"/>
          <w:snapToGrid w:val="0"/>
          <w:color w:val="000000" w:themeColor="text1"/>
          <w:sz w:val="20"/>
          <w:szCs w:val="20"/>
          <w:lang w:val="en-US"/>
        </w:rPr>
        <w:t>K to 12 assessment?</w:t>
      </w:r>
      <w:r w:rsidRPr="00DC5490">
        <w:rPr>
          <w:rFonts w:asciiTheme="majorHAnsi" w:hAnsiTheme="majorHAnsi" w:cstheme="majorHAnsi"/>
          <w:snapToGrid w:val="0"/>
          <w:sz w:val="20"/>
          <w:szCs w:val="20"/>
          <w:lang w:val="en-US"/>
        </w:rPr>
        <w:t xml:space="preserve"> Please describe the mode of training provided to you (formal training, job training, peer study, self-study etc.), how long was the training, who trained you, etc.?</w:t>
      </w:r>
      <w:r w:rsidR="00D434EB">
        <w:rPr>
          <w:rFonts w:asciiTheme="majorHAnsi" w:hAnsiTheme="majorHAnsi" w:cstheme="majorHAnsi"/>
          <w:snapToGrid w:val="0"/>
          <w:sz w:val="20"/>
          <w:szCs w:val="20"/>
          <w:lang w:val="en-US"/>
        </w:rPr>
        <w:t xml:space="preserve">  </w:t>
      </w:r>
    </w:p>
    <w:p w14:paraId="6265FDE5" w14:textId="77777777" w:rsidR="008D0CAD" w:rsidRPr="00DC5490" w:rsidRDefault="008D0CAD" w:rsidP="00DD08E3">
      <w:pPr>
        <w:numPr>
          <w:ilvl w:val="1"/>
          <w:numId w:val="81"/>
        </w:numPr>
        <w:spacing w:before="100" w:beforeAutospacing="1" w:after="100" w:afterAutospacing="1" w:line="360" w:lineRule="auto"/>
        <w:ind w:left="788" w:hanging="431"/>
        <w:rPr>
          <w:rFonts w:asciiTheme="majorHAnsi" w:hAnsiTheme="majorHAnsi" w:cstheme="majorHAnsi"/>
          <w:snapToGrid w:val="0"/>
          <w:sz w:val="20"/>
          <w:szCs w:val="20"/>
          <w:lang w:val="en-US"/>
        </w:rPr>
      </w:pPr>
      <w:r w:rsidRPr="00DC5490">
        <w:rPr>
          <w:rFonts w:asciiTheme="majorHAnsi" w:hAnsiTheme="majorHAnsi" w:cstheme="majorHAnsi"/>
          <w:snapToGrid w:val="0"/>
          <w:sz w:val="20"/>
          <w:szCs w:val="20"/>
          <w:lang w:val="en-US"/>
        </w:rPr>
        <w:t xml:space="preserve">How </w:t>
      </w:r>
      <w:r w:rsidRPr="00DC5490">
        <w:rPr>
          <w:rFonts w:asciiTheme="majorHAnsi" w:hAnsiTheme="majorHAnsi" w:cstheme="majorHAnsi"/>
          <w:b/>
          <w:snapToGrid w:val="0"/>
          <w:sz w:val="20"/>
          <w:szCs w:val="20"/>
          <w:lang w:val="en-US"/>
        </w:rPr>
        <w:t>adequate</w:t>
      </w:r>
      <w:r w:rsidRPr="00DC5490">
        <w:rPr>
          <w:rFonts w:asciiTheme="majorHAnsi" w:hAnsiTheme="majorHAnsi" w:cstheme="majorHAnsi"/>
          <w:snapToGrid w:val="0"/>
          <w:sz w:val="20"/>
          <w:szCs w:val="20"/>
          <w:lang w:val="en-US"/>
        </w:rPr>
        <w:t xml:space="preserve"> and </w:t>
      </w:r>
      <w:r w:rsidRPr="00DC5490">
        <w:rPr>
          <w:rFonts w:asciiTheme="majorHAnsi" w:hAnsiTheme="majorHAnsi" w:cstheme="majorHAnsi"/>
          <w:b/>
          <w:snapToGrid w:val="0"/>
          <w:sz w:val="20"/>
          <w:szCs w:val="20"/>
          <w:lang w:val="en-US"/>
        </w:rPr>
        <w:t>effective</w:t>
      </w:r>
      <w:r w:rsidRPr="00DC5490">
        <w:rPr>
          <w:rFonts w:asciiTheme="majorHAnsi" w:hAnsiTheme="majorHAnsi" w:cstheme="majorHAnsi"/>
          <w:snapToGrid w:val="0"/>
          <w:sz w:val="20"/>
          <w:szCs w:val="20"/>
          <w:lang w:val="en-US"/>
        </w:rPr>
        <w:t xml:space="preserve"> were the capacity building interventions provided to you to help you implement the new assessment?</w:t>
      </w:r>
      <w:r w:rsidRPr="00DC5490">
        <w:rPr>
          <w:rFonts w:asciiTheme="majorHAnsi" w:hAnsiTheme="majorHAnsi" w:cstheme="majorHAnsi"/>
          <w:bCs/>
          <w:snapToGrid w:val="0"/>
          <w:color w:val="000000"/>
          <w:sz w:val="20"/>
          <w:szCs w:val="20"/>
          <w:lang w:val="en-US"/>
        </w:rPr>
        <w:t xml:space="preserve"> Are there remaining gaps? </w:t>
      </w:r>
    </w:p>
    <w:p w14:paraId="7DCA208A" w14:textId="77777777" w:rsidR="008D0CAD" w:rsidRPr="00DC5490" w:rsidRDefault="008D0CAD" w:rsidP="00DD08E3">
      <w:pPr>
        <w:numPr>
          <w:ilvl w:val="0"/>
          <w:numId w:val="81"/>
        </w:numPr>
        <w:spacing w:before="100" w:beforeAutospacing="1" w:after="100" w:afterAutospacing="1" w:line="360" w:lineRule="auto"/>
        <w:ind w:left="357" w:hanging="357"/>
        <w:rPr>
          <w:rFonts w:asciiTheme="majorHAnsi" w:hAnsiTheme="majorHAnsi" w:cstheme="majorHAnsi"/>
          <w:bCs/>
          <w:snapToGrid w:val="0"/>
          <w:color w:val="000000"/>
          <w:sz w:val="20"/>
          <w:szCs w:val="20"/>
          <w:lang w:val="en-US"/>
        </w:rPr>
      </w:pPr>
      <w:r w:rsidRPr="00DC5490">
        <w:rPr>
          <w:rFonts w:asciiTheme="majorHAnsi" w:hAnsiTheme="majorHAnsi" w:cstheme="majorHAnsi"/>
          <w:bCs/>
          <w:snapToGrid w:val="0"/>
          <w:color w:val="000000"/>
          <w:sz w:val="20"/>
          <w:szCs w:val="20"/>
          <w:lang w:val="en-US"/>
        </w:rPr>
        <w:t>What are the hindering and facilitating factors in the implementation of the K-12 curricula and assessment in your school?</w:t>
      </w:r>
    </w:p>
    <w:p w14:paraId="4E4F52FB" w14:textId="77777777" w:rsidR="008D0CAD" w:rsidRPr="00DC5490" w:rsidRDefault="008D0CAD" w:rsidP="00DD08E3">
      <w:pPr>
        <w:numPr>
          <w:ilvl w:val="1"/>
          <w:numId w:val="81"/>
        </w:numPr>
        <w:spacing w:before="100" w:beforeAutospacing="1" w:after="100" w:afterAutospacing="1" w:line="360" w:lineRule="auto"/>
        <w:rPr>
          <w:rFonts w:asciiTheme="majorHAnsi" w:hAnsiTheme="majorHAnsi" w:cstheme="majorHAnsi"/>
          <w:bCs/>
          <w:snapToGrid w:val="0"/>
          <w:color w:val="000000"/>
          <w:sz w:val="20"/>
          <w:szCs w:val="20"/>
          <w:lang w:val="en-US"/>
        </w:rPr>
      </w:pPr>
      <w:r w:rsidRPr="00DC5490">
        <w:rPr>
          <w:rFonts w:asciiTheme="majorHAnsi" w:hAnsiTheme="majorHAnsi" w:cstheme="majorHAnsi"/>
          <w:snapToGrid w:val="0"/>
          <w:color w:val="000000" w:themeColor="text1"/>
          <w:sz w:val="20"/>
          <w:szCs w:val="20"/>
          <w:lang w:val="en-US"/>
        </w:rPr>
        <w:t xml:space="preserve">What factors hinder </w:t>
      </w:r>
      <w:r w:rsidRPr="00DC5490">
        <w:rPr>
          <w:rFonts w:asciiTheme="majorHAnsi" w:hAnsiTheme="majorHAnsi" w:cstheme="majorHAnsi"/>
          <w:bCs/>
          <w:snapToGrid w:val="0"/>
          <w:sz w:val="20"/>
          <w:szCs w:val="20"/>
          <w:lang w:val="en-US"/>
        </w:rPr>
        <w:t>implementation of the K-12 curricula and assessment in practice?</w:t>
      </w:r>
    </w:p>
    <w:p w14:paraId="542F42F8" w14:textId="77777777" w:rsidR="008D0CAD" w:rsidRPr="00DC5490" w:rsidRDefault="008D0CAD" w:rsidP="00DD08E3">
      <w:pPr>
        <w:numPr>
          <w:ilvl w:val="1"/>
          <w:numId w:val="81"/>
        </w:numPr>
        <w:spacing w:before="100" w:beforeAutospacing="1" w:after="100" w:afterAutospacing="1" w:line="360" w:lineRule="auto"/>
        <w:rPr>
          <w:rFonts w:asciiTheme="majorHAnsi" w:hAnsiTheme="majorHAnsi" w:cstheme="majorHAnsi"/>
          <w:bCs/>
          <w:snapToGrid w:val="0"/>
          <w:color w:val="000000"/>
          <w:sz w:val="20"/>
          <w:szCs w:val="20"/>
          <w:lang w:val="en-US"/>
        </w:rPr>
      </w:pPr>
      <w:r w:rsidRPr="00DC5490">
        <w:rPr>
          <w:rFonts w:asciiTheme="majorHAnsi" w:hAnsiTheme="majorHAnsi" w:cstheme="majorHAnsi"/>
          <w:snapToGrid w:val="0"/>
          <w:color w:val="000000" w:themeColor="text1"/>
          <w:sz w:val="20"/>
          <w:szCs w:val="20"/>
          <w:lang w:val="en-US"/>
        </w:rPr>
        <w:t xml:space="preserve">What factors help /facilitate </w:t>
      </w:r>
      <w:r w:rsidRPr="00DC5490">
        <w:rPr>
          <w:rFonts w:asciiTheme="majorHAnsi" w:hAnsiTheme="majorHAnsi" w:cstheme="majorHAnsi"/>
          <w:bCs/>
          <w:snapToGrid w:val="0"/>
          <w:sz w:val="20"/>
          <w:szCs w:val="20"/>
          <w:lang w:val="en-US"/>
        </w:rPr>
        <w:t xml:space="preserve">implementation of the K-12 curricula and assessment </w:t>
      </w:r>
      <w:r w:rsidRPr="00DC5490">
        <w:rPr>
          <w:rFonts w:asciiTheme="majorHAnsi" w:hAnsiTheme="majorHAnsi" w:cstheme="majorHAnsi"/>
          <w:snapToGrid w:val="0"/>
          <w:color w:val="000000" w:themeColor="text1"/>
          <w:sz w:val="20"/>
          <w:szCs w:val="20"/>
          <w:lang w:val="en-US"/>
        </w:rPr>
        <w:t>in practice?</w:t>
      </w:r>
    </w:p>
    <w:p w14:paraId="3429117D" w14:textId="77777777" w:rsidR="008D0CAD" w:rsidRPr="00DC5490" w:rsidRDefault="008D0CAD" w:rsidP="00DD08E3">
      <w:pPr>
        <w:numPr>
          <w:ilvl w:val="0"/>
          <w:numId w:val="81"/>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snapToGrid w:val="0"/>
          <w:sz w:val="20"/>
          <w:szCs w:val="20"/>
          <w:lang w:val="en-US"/>
        </w:rPr>
        <w:t xml:space="preserve">As a Principal, what recommendations can you give to ensure the full </w:t>
      </w:r>
      <w:r w:rsidRPr="00DC5490">
        <w:rPr>
          <w:rFonts w:asciiTheme="majorHAnsi" w:hAnsiTheme="majorHAnsi" w:cstheme="majorHAnsi"/>
          <w:bCs/>
          <w:snapToGrid w:val="0"/>
          <w:color w:val="000000"/>
          <w:sz w:val="20"/>
          <w:szCs w:val="20"/>
          <w:lang w:val="en-US"/>
        </w:rPr>
        <w:t xml:space="preserve">implementation of the K-12 curricula and assessment </w:t>
      </w:r>
      <w:r w:rsidRPr="00DC5490">
        <w:rPr>
          <w:rFonts w:asciiTheme="majorHAnsi" w:hAnsiTheme="majorHAnsi" w:cstheme="majorHAnsi"/>
          <w:snapToGrid w:val="0"/>
          <w:sz w:val="20"/>
          <w:szCs w:val="20"/>
          <w:lang w:val="en-US"/>
        </w:rPr>
        <w:t xml:space="preserve">in </w:t>
      </w:r>
      <w:r w:rsidRPr="00DC5490">
        <w:rPr>
          <w:rFonts w:asciiTheme="majorHAnsi" w:hAnsiTheme="majorHAnsi" w:cstheme="majorHAnsi"/>
          <w:bCs/>
          <w:snapToGrid w:val="0"/>
          <w:color w:val="000000"/>
          <w:sz w:val="20"/>
          <w:szCs w:val="20"/>
          <w:lang w:val="en-US"/>
        </w:rPr>
        <w:t>your school</w:t>
      </w:r>
      <w:r w:rsidRPr="00DC5490">
        <w:rPr>
          <w:rFonts w:asciiTheme="majorHAnsi" w:hAnsiTheme="majorHAnsi" w:cstheme="majorHAnsi"/>
          <w:snapToGrid w:val="0"/>
          <w:sz w:val="20"/>
          <w:szCs w:val="20"/>
          <w:lang w:val="en-US"/>
        </w:rPr>
        <w:t>?</w:t>
      </w:r>
    </w:p>
    <w:p w14:paraId="2690C9BE" w14:textId="77777777" w:rsidR="008D0CAD" w:rsidRPr="00DC5490" w:rsidRDefault="008D0CAD" w:rsidP="00EA6CB9">
      <w:pPr>
        <w:spacing w:before="100" w:beforeAutospacing="1" w:after="100" w:afterAutospacing="1" w:line="360" w:lineRule="auto"/>
        <w:rPr>
          <w:rFonts w:asciiTheme="majorHAnsi" w:hAnsiTheme="majorHAnsi" w:cstheme="majorHAnsi"/>
          <w:b/>
          <w:bCs/>
          <w:sz w:val="20"/>
          <w:szCs w:val="20"/>
          <w:lang w:val="en-US"/>
        </w:rPr>
      </w:pPr>
      <w:r w:rsidRPr="00EC48C1">
        <w:rPr>
          <w:rFonts w:asciiTheme="majorHAnsi" w:hAnsiTheme="majorHAnsi" w:cstheme="majorHAnsi"/>
          <w:b/>
          <w:bCs/>
          <w:sz w:val="20"/>
          <w:szCs w:val="20"/>
          <w:lang w:val="en-US"/>
        </w:rPr>
        <w:t>School-Based Management (SBM)</w:t>
      </w:r>
      <w:r w:rsidRPr="00DC5490">
        <w:rPr>
          <w:rFonts w:asciiTheme="majorHAnsi" w:hAnsiTheme="majorHAnsi" w:cstheme="majorHAnsi"/>
          <w:b/>
          <w:bCs/>
          <w:sz w:val="20"/>
          <w:szCs w:val="20"/>
          <w:lang w:val="en-US"/>
        </w:rPr>
        <w:t xml:space="preserve"> </w:t>
      </w:r>
    </w:p>
    <w:p w14:paraId="1B9855FE" w14:textId="77777777" w:rsidR="008D0CAD" w:rsidRPr="00DC5490" w:rsidRDefault="008D0CAD" w:rsidP="00DD08E3">
      <w:pPr>
        <w:numPr>
          <w:ilvl w:val="0"/>
          <w:numId w:val="81"/>
        </w:numPr>
        <w:spacing w:before="100" w:beforeAutospacing="1" w:after="100" w:afterAutospacing="1" w:line="360" w:lineRule="auto"/>
        <w:contextualSpacing/>
        <w:rPr>
          <w:rFonts w:asciiTheme="majorHAnsi" w:hAnsiTheme="majorHAnsi" w:cstheme="majorHAnsi"/>
          <w:snapToGrid w:val="0"/>
          <w:color w:val="000000"/>
          <w:sz w:val="20"/>
          <w:szCs w:val="20"/>
          <w:lang w:val="en-US"/>
        </w:rPr>
      </w:pPr>
      <w:r w:rsidRPr="00DC5490">
        <w:rPr>
          <w:rFonts w:asciiTheme="majorHAnsi" w:hAnsiTheme="majorHAnsi" w:cstheme="majorHAnsi"/>
          <w:bCs/>
          <w:snapToGrid w:val="0"/>
          <w:sz w:val="20"/>
          <w:szCs w:val="20"/>
          <w:lang w:val="en-US"/>
        </w:rPr>
        <w:t>What is your understanding of the enhanced SBM Assessment Framework</w:t>
      </w:r>
      <w:r w:rsidRPr="00DC5490">
        <w:rPr>
          <w:rFonts w:asciiTheme="majorHAnsi" w:hAnsiTheme="majorHAnsi" w:cstheme="majorHAnsi"/>
          <w:snapToGrid w:val="0"/>
          <w:color w:val="000000" w:themeColor="text1"/>
          <w:sz w:val="20"/>
          <w:szCs w:val="20"/>
          <w:lang w:val="en-US"/>
        </w:rPr>
        <w:t xml:space="preserve">? </w:t>
      </w:r>
    </w:p>
    <w:p w14:paraId="3E27AE31" w14:textId="6D752BE5" w:rsidR="008D0CAD" w:rsidRPr="00DC5490" w:rsidRDefault="008D0CAD" w:rsidP="00DD08E3">
      <w:pPr>
        <w:numPr>
          <w:ilvl w:val="0"/>
          <w:numId w:val="81"/>
        </w:numPr>
        <w:spacing w:before="100" w:beforeAutospacing="1" w:after="100" w:afterAutospacing="1" w:line="360" w:lineRule="auto"/>
        <w:contextualSpacing/>
        <w:rPr>
          <w:rFonts w:asciiTheme="majorHAnsi" w:hAnsiTheme="majorHAnsi" w:cstheme="majorHAnsi"/>
          <w:snapToGrid w:val="0"/>
          <w:color w:val="000000"/>
          <w:sz w:val="20"/>
          <w:szCs w:val="20"/>
          <w:lang w:val="en-US"/>
        </w:rPr>
      </w:pPr>
      <w:r w:rsidRPr="00DC5490">
        <w:rPr>
          <w:rFonts w:asciiTheme="majorHAnsi" w:hAnsiTheme="majorHAnsi" w:cstheme="majorHAnsi"/>
          <w:bCs/>
          <w:snapToGrid w:val="0"/>
          <w:sz w:val="20"/>
          <w:szCs w:val="20"/>
          <w:lang w:val="en-US"/>
        </w:rPr>
        <w:t>What are the critical differences between School-Based Management implemented five years and current SBM process, if any?</w:t>
      </w:r>
      <w:r w:rsidR="00D434EB">
        <w:rPr>
          <w:rFonts w:asciiTheme="majorHAnsi" w:hAnsiTheme="majorHAnsi" w:cstheme="majorHAnsi"/>
          <w:bCs/>
          <w:snapToGrid w:val="0"/>
          <w:sz w:val="20"/>
          <w:szCs w:val="20"/>
          <w:lang w:val="en-US"/>
        </w:rPr>
        <w:t xml:space="preserve"> </w:t>
      </w:r>
    </w:p>
    <w:p w14:paraId="13525B21" w14:textId="3FE55C97" w:rsidR="008D0CAD" w:rsidRPr="00DC5490" w:rsidRDefault="008D0CAD" w:rsidP="00DD08E3">
      <w:pPr>
        <w:numPr>
          <w:ilvl w:val="0"/>
          <w:numId w:val="81"/>
        </w:numPr>
        <w:spacing w:before="100" w:beforeAutospacing="1" w:after="100" w:afterAutospacing="1" w:line="360" w:lineRule="auto"/>
        <w:rPr>
          <w:rFonts w:asciiTheme="majorHAnsi" w:hAnsiTheme="majorHAnsi" w:cstheme="majorHAnsi"/>
          <w:snapToGrid w:val="0"/>
          <w:sz w:val="20"/>
          <w:szCs w:val="20"/>
          <w:lang w:val="en-US"/>
        </w:rPr>
      </w:pPr>
      <w:r w:rsidRPr="00DC5490">
        <w:rPr>
          <w:rFonts w:asciiTheme="majorHAnsi" w:hAnsiTheme="majorHAnsi" w:cstheme="majorHAnsi"/>
          <w:snapToGrid w:val="0"/>
          <w:sz w:val="20"/>
          <w:szCs w:val="20"/>
          <w:lang w:val="en-US"/>
        </w:rPr>
        <w:t xml:space="preserve">How were you capacitated to implement the reforms in </w:t>
      </w:r>
      <w:r w:rsidRPr="00DC5490">
        <w:rPr>
          <w:rFonts w:asciiTheme="majorHAnsi" w:hAnsiTheme="majorHAnsi" w:cstheme="majorHAnsi"/>
          <w:bCs/>
          <w:snapToGrid w:val="0"/>
          <w:sz w:val="20"/>
          <w:szCs w:val="20"/>
          <w:lang w:val="en-US"/>
        </w:rPr>
        <w:t>SBM</w:t>
      </w:r>
      <w:r w:rsidRPr="00DC5490">
        <w:rPr>
          <w:rFonts w:asciiTheme="majorHAnsi" w:hAnsiTheme="majorHAnsi" w:cstheme="majorHAnsi"/>
          <w:snapToGrid w:val="0"/>
          <w:sz w:val="20"/>
          <w:szCs w:val="20"/>
          <w:lang w:val="en-US"/>
        </w:rPr>
        <w:t>?</w:t>
      </w:r>
      <w:r w:rsidR="00D434EB">
        <w:rPr>
          <w:rFonts w:asciiTheme="majorHAnsi" w:hAnsiTheme="majorHAnsi" w:cstheme="majorHAnsi"/>
          <w:snapToGrid w:val="0"/>
          <w:sz w:val="20"/>
          <w:szCs w:val="20"/>
          <w:lang w:val="en-US"/>
        </w:rPr>
        <w:t xml:space="preserve"> </w:t>
      </w:r>
      <w:r w:rsidRPr="00DC5490">
        <w:rPr>
          <w:rFonts w:asciiTheme="majorHAnsi" w:hAnsiTheme="majorHAnsi" w:cstheme="majorHAnsi"/>
          <w:snapToGrid w:val="0"/>
          <w:sz w:val="20"/>
          <w:szCs w:val="20"/>
          <w:lang w:val="en-US"/>
        </w:rPr>
        <w:t xml:space="preserve">How </w:t>
      </w:r>
      <w:r w:rsidRPr="00DC5490">
        <w:rPr>
          <w:rFonts w:asciiTheme="majorHAnsi" w:hAnsiTheme="majorHAnsi" w:cstheme="majorHAnsi"/>
          <w:b/>
          <w:snapToGrid w:val="0"/>
          <w:sz w:val="20"/>
          <w:szCs w:val="20"/>
          <w:lang w:val="en-US"/>
        </w:rPr>
        <w:t>adequate</w:t>
      </w:r>
      <w:r w:rsidRPr="00DC5490">
        <w:rPr>
          <w:rFonts w:asciiTheme="majorHAnsi" w:hAnsiTheme="majorHAnsi" w:cstheme="majorHAnsi"/>
          <w:snapToGrid w:val="0"/>
          <w:sz w:val="20"/>
          <w:szCs w:val="20"/>
          <w:lang w:val="en-US"/>
        </w:rPr>
        <w:t xml:space="preserve"> and </w:t>
      </w:r>
      <w:r w:rsidRPr="00DC5490">
        <w:rPr>
          <w:rFonts w:asciiTheme="majorHAnsi" w:hAnsiTheme="majorHAnsi" w:cstheme="majorHAnsi"/>
          <w:b/>
          <w:snapToGrid w:val="0"/>
          <w:sz w:val="20"/>
          <w:szCs w:val="20"/>
          <w:lang w:val="en-US"/>
        </w:rPr>
        <w:t>effective</w:t>
      </w:r>
      <w:r w:rsidRPr="00DC5490">
        <w:rPr>
          <w:rFonts w:asciiTheme="majorHAnsi" w:hAnsiTheme="majorHAnsi" w:cstheme="majorHAnsi"/>
          <w:snapToGrid w:val="0"/>
          <w:sz w:val="20"/>
          <w:szCs w:val="20"/>
          <w:lang w:val="en-US"/>
        </w:rPr>
        <w:t xml:space="preserve"> were the capacity building interventions provided to you to help you implement the new curricula?</w:t>
      </w:r>
      <w:r w:rsidRPr="00DC5490">
        <w:rPr>
          <w:rFonts w:asciiTheme="majorHAnsi" w:hAnsiTheme="majorHAnsi" w:cstheme="majorHAnsi"/>
          <w:bCs/>
          <w:snapToGrid w:val="0"/>
          <w:color w:val="000000"/>
          <w:sz w:val="20"/>
          <w:szCs w:val="20"/>
          <w:lang w:val="en-US"/>
        </w:rPr>
        <w:t xml:space="preserve"> Are there remaining gaps?</w:t>
      </w:r>
      <w:r w:rsidR="00D434EB">
        <w:rPr>
          <w:rFonts w:asciiTheme="majorHAnsi" w:hAnsiTheme="majorHAnsi" w:cstheme="majorHAnsi"/>
          <w:bCs/>
          <w:snapToGrid w:val="0"/>
          <w:color w:val="000000"/>
          <w:sz w:val="20"/>
          <w:szCs w:val="20"/>
          <w:lang w:val="en-US"/>
        </w:rPr>
        <w:t xml:space="preserve"> </w:t>
      </w:r>
      <w:r w:rsidR="00D434EB">
        <w:rPr>
          <w:rFonts w:asciiTheme="majorHAnsi" w:hAnsiTheme="majorHAnsi" w:cstheme="majorHAnsi"/>
          <w:snapToGrid w:val="0"/>
          <w:sz w:val="20"/>
          <w:szCs w:val="20"/>
          <w:lang w:val="en-US"/>
        </w:rPr>
        <w:t xml:space="preserve"> </w:t>
      </w:r>
      <w:r w:rsidRPr="00DC5490">
        <w:rPr>
          <w:rFonts w:asciiTheme="majorHAnsi" w:hAnsiTheme="majorHAnsi" w:cstheme="majorHAnsi"/>
          <w:snapToGrid w:val="0"/>
          <w:sz w:val="20"/>
          <w:szCs w:val="20"/>
          <w:lang w:val="en-US"/>
        </w:rPr>
        <w:t xml:space="preserve"> </w:t>
      </w:r>
    </w:p>
    <w:p w14:paraId="597EC5D9" w14:textId="77777777" w:rsidR="008D0CAD" w:rsidRPr="00DC5490" w:rsidRDefault="008D0CAD" w:rsidP="00DD08E3">
      <w:pPr>
        <w:numPr>
          <w:ilvl w:val="0"/>
          <w:numId w:val="81"/>
        </w:numPr>
        <w:spacing w:before="100" w:beforeAutospacing="1" w:after="100" w:afterAutospacing="1" w:line="360" w:lineRule="auto"/>
        <w:rPr>
          <w:rFonts w:asciiTheme="majorHAnsi" w:hAnsiTheme="majorHAnsi" w:cstheme="majorHAnsi"/>
          <w:snapToGrid w:val="0"/>
          <w:sz w:val="20"/>
          <w:szCs w:val="20"/>
          <w:lang w:val="en-US"/>
        </w:rPr>
      </w:pPr>
      <w:r w:rsidRPr="00DC5490">
        <w:rPr>
          <w:rFonts w:asciiTheme="majorHAnsi" w:hAnsiTheme="majorHAnsi" w:cstheme="majorHAnsi"/>
          <w:snapToGrid w:val="0"/>
          <w:sz w:val="20"/>
          <w:szCs w:val="20"/>
          <w:lang w:val="en-US"/>
        </w:rPr>
        <w:t>How effective were the capacity building interventions provided to you in “rolling-out” or “cascading” the SBM reforms to the lower levels?</w:t>
      </w:r>
      <w:r w:rsidRPr="00DC5490">
        <w:rPr>
          <w:rFonts w:asciiTheme="majorHAnsi" w:hAnsiTheme="majorHAnsi" w:cstheme="majorHAnsi"/>
          <w:bCs/>
          <w:snapToGrid w:val="0"/>
          <w:color w:val="000000"/>
          <w:sz w:val="20"/>
          <w:szCs w:val="20"/>
          <w:lang w:val="en-US"/>
        </w:rPr>
        <w:t xml:space="preserve"> </w:t>
      </w:r>
    </w:p>
    <w:p w14:paraId="6F78ECE5" w14:textId="77777777" w:rsidR="008D0CAD" w:rsidRPr="00DC5490" w:rsidRDefault="008D0CAD" w:rsidP="00DD08E3">
      <w:pPr>
        <w:numPr>
          <w:ilvl w:val="0"/>
          <w:numId w:val="81"/>
        </w:numPr>
        <w:spacing w:before="100" w:beforeAutospacing="1" w:after="100" w:afterAutospacing="1" w:line="360" w:lineRule="auto"/>
        <w:rPr>
          <w:rFonts w:asciiTheme="majorHAnsi" w:hAnsiTheme="majorHAnsi" w:cstheme="majorHAnsi"/>
          <w:snapToGrid w:val="0"/>
          <w:sz w:val="20"/>
          <w:szCs w:val="20"/>
          <w:lang w:val="en-US"/>
        </w:rPr>
      </w:pPr>
      <w:r w:rsidRPr="00DC5490">
        <w:rPr>
          <w:rFonts w:asciiTheme="majorHAnsi" w:hAnsiTheme="majorHAnsi" w:cstheme="majorHAnsi"/>
          <w:bCs/>
          <w:snapToGrid w:val="0"/>
          <w:sz w:val="20"/>
          <w:szCs w:val="20"/>
          <w:lang w:val="en-US"/>
        </w:rPr>
        <w:t>How significant is the organisation of the School Governance Councils (SG) and the formulation of School Improvement Plans (SIP) in enhancing the responsiveness and inclusiveness of basic education in your Region/Division?</w:t>
      </w:r>
    </w:p>
    <w:p w14:paraId="0D250FF2" w14:textId="5D1DD0E4" w:rsidR="008D0CAD" w:rsidRPr="00DC5490" w:rsidRDefault="008D0CAD" w:rsidP="00DD08E3">
      <w:pPr>
        <w:numPr>
          <w:ilvl w:val="0"/>
          <w:numId w:val="81"/>
        </w:numPr>
        <w:spacing w:before="100" w:beforeAutospacing="1" w:after="100" w:afterAutospacing="1" w:line="360" w:lineRule="auto"/>
        <w:rPr>
          <w:rFonts w:asciiTheme="majorHAnsi" w:hAnsiTheme="majorHAnsi" w:cstheme="majorHAnsi"/>
          <w:snapToGrid w:val="0"/>
          <w:sz w:val="20"/>
          <w:szCs w:val="20"/>
          <w:lang w:val="en-US"/>
        </w:rPr>
      </w:pPr>
      <w:r w:rsidRPr="00DC5490">
        <w:rPr>
          <w:rFonts w:asciiTheme="majorHAnsi" w:hAnsiTheme="majorHAnsi" w:cstheme="majorHAnsi"/>
          <w:snapToGrid w:val="0"/>
          <w:sz w:val="20"/>
          <w:szCs w:val="20"/>
          <w:lang w:val="en-US"/>
        </w:rPr>
        <w:t xml:space="preserve">To what extent did the reforms </w:t>
      </w:r>
      <w:r w:rsidRPr="00DC5490">
        <w:rPr>
          <w:rFonts w:asciiTheme="majorHAnsi" w:hAnsiTheme="majorHAnsi" w:cstheme="majorHAnsi"/>
          <w:bCs/>
          <w:snapToGrid w:val="0"/>
          <w:sz w:val="20"/>
          <w:szCs w:val="20"/>
          <w:lang w:val="en-US"/>
        </w:rPr>
        <w:t>in School-Based Management enhance the delivery of Responsive and Inclusive Education in your School/ Division/Region</w:t>
      </w:r>
      <w:r w:rsidRPr="00DC5490">
        <w:rPr>
          <w:rFonts w:asciiTheme="majorHAnsi" w:hAnsiTheme="majorHAnsi" w:cstheme="majorHAnsi"/>
          <w:snapToGrid w:val="0"/>
          <w:sz w:val="20"/>
          <w:szCs w:val="20"/>
          <w:lang w:val="en-US"/>
        </w:rPr>
        <w:t>?</w:t>
      </w:r>
      <w:r w:rsidR="00D434EB">
        <w:rPr>
          <w:rFonts w:asciiTheme="majorHAnsi" w:hAnsiTheme="majorHAnsi" w:cstheme="majorHAnsi"/>
          <w:snapToGrid w:val="0"/>
          <w:sz w:val="20"/>
          <w:szCs w:val="20"/>
          <w:lang w:val="en-US"/>
        </w:rPr>
        <w:t xml:space="preserve"> </w:t>
      </w:r>
      <w:r w:rsidRPr="00DC5490">
        <w:rPr>
          <w:rFonts w:asciiTheme="majorHAnsi" w:hAnsiTheme="majorHAnsi" w:cstheme="majorHAnsi"/>
          <w:snapToGrid w:val="0"/>
          <w:sz w:val="20"/>
          <w:szCs w:val="20"/>
          <w:lang w:val="en-US"/>
        </w:rPr>
        <w:t>Please cite specific examples.</w:t>
      </w:r>
    </w:p>
    <w:p w14:paraId="61E1690A" w14:textId="77777777" w:rsidR="008D0CAD" w:rsidRPr="00DC5490" w:rsidRDefault="008D0CAD" w:rsidP="00EA6CB9">
      <w:pPr>
        <w:spacing w:before="100" w:beforeAutospacing="1" w:after="100" w:afterAutospacing="1" w:line="360" w:lineRule="auto"/>
        <w:rPr>
          <w:rFonts w:asciiTheme="majorHAnsi" w:hAnsiTheme="majorHAnsi" w:cstheme="majorHAnsi"/>
          <w:b/>
          <w:sz w:val="20"/>
          <w:szCs w:val="20"/>
          <w:lang w:val="en-US"/>
        </w:rPr>
      </w:pPr>
      <w:r w:rsidRPr="00EC48C1">
        <w:rPr>
          <w:rFonts w:asciiTheme="majorHAnsi" w:hAnsiTheme="majorHAnsi" w:cstheme="majorHAnsi"/>
          <w:b/>
          <w:sz w:val="20"/>
          <w:szCs w:val="20"/>
          <w:lang w:val="en-US"/>
        </w:rPr>
        <w:t>Policy, and planning and monitoring and evaluation systems (PPMES)</w:t>
      </w:r>
    </w:p>
    <w:p w14:paraId="1F879255" w14:textId="5BE391F8" w:rsidR="008D0CAD" w:rsidRPr="00DC5490" w:rsidRDefault="008D0CAD" w:rsidP="00DD08E3">
      <w:pPr>
        <w:numPr>
          <w:ilvl w:val="0"/>
          <w:numId w:val="81"/>
        </w:numPr>
        <w:spacing w:before="100" w:beforeAutospacing="1" w:after="100" w:afterAutospacing="1" w:line="360" w:lineRule="auto"/>
        <w:rPr>
          <w:rFonts w:asciiTheme="majorHAnsi" w:hAnsiTheme="majorHAnsi" w:cstheme="majorHAnsi"/>
          <w:snapToGrid w:val="0"/>
          <w:sz w:val="20"/>
          <w:szCs w:val="20"/>
          <w:lang w:val="en-US"/>
        </w:rPr>
      </w:pPr>
      <w:r w:rsidRPr="00DC5490">
        <w:rPr>
          <w:rFonts w:asciiTheme="majorHAnsi" w:hAnsiTheme="majorHAnsi" w:cstheme="majorHAnsi"/>
          <w:snapToGrid w:val="0"/>
          <w:sz w:val="20"/>
          <w:szCs w:val="20"/>
          <w:lang w:val="en-US"/>
        </w:rPr>
        <w:t>What were the most significant reforms in Planning and Budgeting in the last five years that had the most impact to the operations in your School?</w:t>
      </w:r>
      <w:r w:rsidR="00D434EB">
        <w:rPr>
          <w:rFonts w:asciiTheme="majorHAnsi" w:hAnsiTheme="majorHAnsi" w:cstheme="majorHAnsi"/>
          <w:snapToGrid w:val="0"/>
          <w:sz w:val="20"/>
          <w:szCs w:val="20"/>
          <w:lang w:val="en-US"/>
        </w:rPr>
        <w:t xml:space="preserve"> </w:t>
      </w:r>
      <w:r w:rsidRPr="00DC5490">
        <w:rPr>
          <w:rFonts w:asciiTheme="majorHAnsi" w:hAnsiTheme="majorHAnsi" w:cstheme="majorHAnsi"/>
          <w:snapToGrid w:val="0"/>
          <w:sz w:val="20"/>
          <w:szCs w:val="20"/>
          <w:lang w:val="en-US"/>
        </w:rPr>
        <w:t>Please cite specific examples.</w:t>
      </w:r>
    </w:p>
    <w:p w14:paraId="2F05775C" w14:textId="77777777" w:rsidR="008D0CAD" w:rsidRPr="00DC5490" w:rsidRDefault="008D0CAD" w:rsidP="00DD08E3">
      <w:pPr>
        <w:numPr>
          <w:ilvl w:val="0"/>
          <w:numId w:val="81"/>
        </w:numPr>
        <w:spacing w:before="100" w:beforeAutospacing="1" w:after="100" w:afterAutospacing="1" w:line="360" w:lineRule="auto"/>
        <w:rPr>
          <w:rFonts w:asciiTheme="majorHAnsi" w:hAnsiTheme="majorHAnsi" w:cstheme="majorHAnsi"/>
          <w:snapToGrid w:val="0"/>
          <w:sz w:val="20"/>
          <w:szCs w:val="20"/>
          <w:lang w:val="en-US"/>
        </w:rPr>
      </w:pPr>
      <w:r w:rsidRPr="00DC5490">
        <w:rPr>
          <w:rFonts w:asciiTheme="majorHAnsi" w:hAnsiTheme="majorHAnsi" w:cstheme="majorHAnsi"/>
          <w:snapToGrid w:val="0"/>
          <w:sz w:val="20"/>
          <w:szCs w:val="20"/>
          <w:lang w:val="en-US"/>
        </w:rPr>
        <w:t>How significant is the development of the Project Management Information System (PMIS) to you?</w:t>
      </w:r>
    </w:p>
    <w:p w14:paraId="7FC0CBE6" w14:textId="4463BA73" w:rsidR="008D0CAD" w:rsidRPr="00DC5490" w:rsidRDefault="008D0CAD" w:rsidP="00DD08E3">
      <w:pPr>
        <w:numPr>
          <w:ilvl w:val="0"/>
          <w:numId w:val="81"/>
        </w:numPr>
        <w:spacing w:before="100" w:beforeAutospacing="1" w:after="100" w:afterAutospacing="1" w:line="360" w:lineRule="auto"/>
        <w:rPr>
          <w:rFonts w:asciiTheme="majorHAnsi" w:hAnsiTheme="majorHAnsi" w:cstheme="majorHAnsi"/>
          <w:snapToGrid w:val="0"/>
          <w:sz w:val="20"/>
          <w:szCs w:val="20"/>
          <w:lang w:val="en-US"/>
        </w:rPr>
      </w:pPr>
      <w:r w:rsidRPr="00DC5490">
        <w:rPr>
          <w:rFonts w:asciiTheme="majorHAnsi" w:hAnsiTheme="majorHAnsi" w:cstheme="majorHAnsi"/>
          <w:snapToGrid w:val="0"/>
          <w:sz w:val="20"/>
          <w:szCs w:val="20"/>
          <w:lang w:val="en-US"/>
        </w:rPr>
        <w:t xml:space="preserve">What were the most significant reforms in </w:t>
      </w:r>
      <w:r w:rsidRPr="00DC5490">
        <w:rPr>
          <w:rFonts w:asciiTheme="majorHAnsi" w:hAnsiTheme="majorHAnsi" w:cstheme="majorHAnsi"/>
          <w:bCs/>
          <w:snapToGrid w:val="0"/>
          <w:sz w:val="20"/>
          <w:szCs w:val="20"/>
          <w:lang w:val="en-US"/>
        </w:rPr>
        <w:t xml:space="preserve">Monitoring and Evaluation </w:t>
      </w:r>
      <w:r w:rsidRPr="00DC5490">
        <w:rPr>
          <w:rFonts w:asciiTheme="majorHAnsi" w:hAnsiTheme="majorHAnsi" w:cstheme="majorHAnsi"/>
          <w:snapToGrid w:val="0"/>
          <w:sz w:val="20"/>
          <w:szCs w:val="20"/>
          <w:lang w:val="en-US"/>
        </w:rPr>
        <w:t>in the last five years that had the most impact to the operations in your School?</w:t>
      </w:r>
      <w:r w:rsidR="00D434EB">
        <w:rPr>
          <w:rFonts w:asciiTheme="majorHAnsi" w:hAnsiTheme="majorHAnsi" w:cstheme="majorHAnsi"/>
          <w:snapToGrid w:val="0"/>
          <w:sz w:val="20"/>
          <w:szCs w:val="20"/>
          <w:lang w:val="en-US"/>
        </w:rPr>
        <w:t xml:space="preserve"> </w:t>
      </w:r>
      <w:r w:rsidRPr="00DC5490">
        <w:rPr>
          <w:rFonts w:asciiTheme="majorHAnsi" w:hAnsiTheme="majorHAnsi" w:cstheme="majorHAnsi"/>
          <w:snapToGrid w:val="0"/>
          <w:sz w:val="20"/>
          <w:szCs w:val="20"/>
          <w:lang w:val="en-US"/>
        </w:rPr>
        <w:t>Please cite specific examples</w:t>
      </w:r>
    </w:p>
    <w:p w14:paraId="225B41B3" w14:textId="77777777" w:rsidR="008D0CAD" w:rsidRPr="00DC5490" w:rsidRDefault="008D0CAD" w:rsidP="00DD08E3">
      <w:pPr>
        <w:numPr>
          <w:ilvl w:val="0"/>
          <w:numId w:val="81"/>
        </w:numPr>
        <w:spacing w:before="100" w:beforeAutospacing="1" w:after="100" w:afterAutospacing="1" w:line="360" w:lineRule="auto"/>
        <w:rPr>
          <w:rFonts w:asciiTheme="majorHAnsi" w:hAnsiTheme="majorHAnsi" w:cstheme="majorHAnsi"/>
          <w:snapToGrid w:val="0"/>
          <w:sz w:val="20"/>
          <w:szCs w:val="20"/>
          <w:lang w:val="en-US"/>
        </w:rPr>
      </w:pPr>
      <w:r w:rsidRPr="00DC5490">
        <w:rPr>
          <w:rFonts w:asciiTheme="majorHAnsi" w:hAnsiTheme="majorHAnsi" w:cstheme="majorHAnsi"/>
          <w:snapToGrid w:val="0"/>
          <w:sz w:val="20"/>
          <w:szCs w:val="20"/>
          <w:lang w:val="en-US"/>
        </w:rPr>
        <w:t>How significant is the formulation of the Basic Education Monitoring and Evaluation Framework (BEMEF) significant to the enhancement of your operations?</w:t>
      </w:r>
    </w:p>
    <w:p w14:paraId="141B3529" w14:textId="7A6AE0CD" w:rsidR="008D0CAD" w:rsidRPr="00EA6CB9" w:rsidRDefault="008D0CAD" w:rsidP="00DD08E3">
      <w:pPr>
        <w:numPr>
          <w:ilvl w:val="0"/>
          <w:numId w:val="81"/>
        </w:numPr>
        <w:spacing w:before="100" w:beforeAutospacing="1" w:after="100" w:afterAutospacing="1" w:line="360" w:lineRule="auto"/>
        <w:rPr>
          <w:rFonts w:asciiTheme="majorHAnsi" w:hAnsiTheme="majorHAnsi" w:cstheme="majorHAnsi"/>
          <w:snapToGrid w:val="0"/>
          <w:sz w:val="20"/>
          <w:szCs w:val="20"/>
          <w:lang w:val="en-US"/>
        </w:rPr>
      </w:pPr>
      <w:r w:rsidRPr="00DC5490">
        <w:rPr>
          <w:rFonts w:asciiTheme="majorHAnsi" w:hAnsiTheme="majorHAnsi" w:cstheme="majorHAnsi"/>
          <w:snapToGrid w:val="0"/>
          <w:sz w:val="20"/>
          <w:szCs w:val="20"/>
          <w:lang w:val="en-US"/>
        </w:rPr>
        <w:t xml:space="preserve">To what extent would the reforms </w:t>
      </w:r>
      <w:r w:rsidRPr="00DC5490">
        <w:rPr>
          <w:rFonts w:asciiTheme="majorHAnsi" w:hAnsiTheme="majorHAnsi" w:cstheme="majorHAnsi"/>
          <w:bCs/>
          <w:snapToGrid w:val="0"/>
          <w:sz w:val="20"/>
          <w:szCs w:val="20"/>
          <w:lang w:val="en-US"/>
        </w:rPr>
        <w:t>in Policy and Planning and Monitoring and Evaluation, in the last five years, been undertaken and completed without the BEST Program assistance</w:t>
      </w:r>
      <w:r w:rsidRPr="00DC5490">
        <w:rPr>
          <w:rFonts w:asciiTheme="majorHAnsi" w:hAnsiTheme="majorHAnsi" w:cstheme="majorHAnsi"/>
          <w:snapToGrid w:val="0"/>
          <w:sz w:val="20"/>
          <w:szCs w:val="20"/>
          <w:lang w:val="en-US"/>
        </w:rPr>
        <w:t>? How significant was contribution of the BEST Program to these reforms? Please cite specific examples.</w:t>
      </w:r>
    </w:p>
    <w:p w14:paraId="72D31E50"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20"/>
          <w:szCs w:val="20"/>
          <w:lang w:val="en-US"/>
        </w:rPr>
      </w:pPr>
      <w:r w:rsidRPr="00EC48C1">
        <w:rPr>
          <w:rFonts w:asciiTheme="majorHAnsi" w:eastAsiaTheme="minorHAnsi" w:hAnsiTheme="majorHAnsi" w:cstheme="majorHAnsi"/>
          <w:b/>
          <w:color w:val="000000"/>
          <w:sz w:val="20"/>
          <w:szCs w:val="20"/>
          <w:lang w:val="en-US"/>
        </w:rPr>
        <w:t>Unified information system and sub-systems (UISS)</w:t>
      </w:r>
    </w:p>
    <w:p w14:paraId="283EDAA6" w14:textId="77777777" w:rsidR="008D0CAD" w:rsidRPr="00DC5490" w:rsidRDefault="008D0CAD" w:rsidP="00DD08E3">
      <w:pPr>
        <w:numPr>
          <w:ilvl w:val="0"/>
          <w:numId w:val="81"/>
        </w:numPr>
        <w:spacing w:before="100" w:beforeAutospacing="1" w:after="100" w:afterAutospacing="1" w:line="360" w:lineRule="auto"/>
        <w:contextualSpacing/>
        <w:rPr>
          <w:rFonts w:asciiTheme="majorHAnsi" w:hAnsiTheme="majorHAnsi" w:cstheme="majorHAnsi"/>
          <w:snapToGrid w:val="0"/>
          <w:color w:val="000000"/>
          <w:sz w:val="20"/>
          <w:szCs w:val="20"/>
          <w:lang w:val="en-US"/>
        </w:rPr>
      </w:pPr>
      <w:r w:rsidRPr="00DC5490">
        <w:rPr>
          <w:rFonts w:asciiTheme="majorHAnsi" w:hAnsiTheme="majorHAnsi" w:cstheme="majorHAnsi"/>
          <w:snapToGrid w:val="0"/>
          <w:color w:val="000000" w:themeColor="text1"/>
          <w:sz w:val="20"/>
          <w:szCs w:val="20"/>
          <w:lang w:val="en-US"/>
        </w:rPr>
        <w:t xml:space="preserve">What is your understanding of the </w:t>
      </w:r>
      <w:r w:rsidRPr="00DC5490">
        <w:rPr>
          <w:rFonts w:asciiTheme="majorHAnsi" w:hAnsiTheme="majorHAnsi" w:cstheme="majorHAnsi"/>
          <w:b/>
          <w:snapToGrid w:val="0"/>
          <w:sz w:val="20"/>
          <w:szCs w:val="20"/>
          <w:lang w:val="en-US"/>
        </w:rPr>
        <w:t>Unified information system and sub-systems (UISS)</w:t>
      </w:r>
      <w:r w:rsidRPr="00DC5490">
        <w:rPr>
          <w:rFonts w:asciiTheme="majorHAnsi" w:hAnsiTheme="majorHAnsi" w:cstheme="majorHAnsi"/>
          <w:snapToGrid w:val="0"/>
          <w:color w:val="000000" w:themeColor="text1"/>
          <w:sz w:val="20"/>
          <w:szCs w:val="20"/>
          <w:lang w:val="en-US"/>
        </w:rPr>
        <w:t>?</w:t>
      </w:r>
    </w:p>
    <w:p w14:paraId="0E56E840" w14:textId="40F4A212" w:rsidR="008D0CAD" w:rsidRPr="00DC5490" w:rsidRDefault="008D0CAD" w:rsidP="00DD08E3">
      <w:pPr>
        <w:numPr>
          <w:ilvl w:val="0"/>
          <w:numId w:val="81"/>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bCs/>
          <w:snapToGrid w:val="0"/>
          <w:color w:val="000000"/>
          <w:sz w:val="20"/>
          <w:szCs w:val="20"/>
          <w:lang w:val="en-US"/>
        </w:rPr>
        <w:t xml:space="preserve">Have you ever used the </w:t>
      </w:r>
      <w:r w:rsidRPr="00DC5490">
        <w:rPr>
          <w:rFonts w:asciiTheme="majorHAnsi" w:hAnsiTheme="majorHAnsi" w:cstheme="majorHAnsi"/>
          <w:b/>
          <w:bCs/>
          <w:snapToGrid w:val="0"/>
          <w:color w:val="0070C0"/>
          <w:sz w:val="20"/>
          <w:szCs w:val="20"/>
          <w:lang w:val="en-US"/>
        </w:rPr>
        <w:t>Enhanced Basic Education Information System (EBEIS)</w:t>
      </w:r>
      <w:r w:rsidRPr="00DC5490">
        <w:rPr>
          <w:rFonts w:asciiTheme="majorHAnsi" w:hAnsiTheme="majorHAnsi" w:cstheme="majorHAnsi"/>
          <w:bCs/>
          <w:snapToGrid w:val="0"/>
          <w:color w:val="000000"/>
          <w:sz w:val="20"/>
          <w:szCs w:val="20"/>
          <w:lang w:val="en-US"/>
        </w:rPr>
        <w:t>?</w:t>
      </w:r>
      <w:r w:rsidR="00D434EB">
        <w:rPr>
          <w:rFonts w:asciiTheme="majorHAnsi" w:hAnsiTheme="majorHAnsi" w:cstheme="majorHAnsi"/>
          <w:bCs/>
          <w:snapToGrid w:val="0"/>
          <w:color w:val="000000"/>
          <w:sz w:val="20"/>
          <w:szCs w:val="20"/>
          <w:lang w:val="en-US"/>
        </w:rPr>
        <w:t xml:space="preserve"> </w:t>
      </w:r>
      <w:r w:rsidRPr="00DC5490">
        <w:rPr>
          <w:rFonts w:asciiTheme="majorHAnsi" w:hAnsiTheme="majorHAnsi" w:cstheme="majorHAnsi"/>
          <w:bCs/>
          <w:snapToGrid w:val="0"/>
          <w:color w:val="000000"/>
          <w:sz w:val="20"/>
          <w:szCs w:val="20"/>
          <w:lang w:val="en-US"/>
        </w:rPr>
        <w:t xml:space="preserve"> ____ Yes ____ No (Go to No. 44)</w:t>
      </w:r>
    </w:p>
    <w:p w14:paraId="37189FD7" w14:textId="77777777" w:rsidR="008D0CAD" w:rsidRPr="00DC5490" w:rsidRDefault="008D0CAD" w:rsidP="00DD08E3">
      <w:pPr>
        <w:numPr>
          <w:ilvl w:val="1"/>
          <w:numId w:val="81"/>
        </w:numPr>
        <w:spacing w:before="100" w:beforeAutospacing="1" w:after="100" w:afterAutospacing="1" w:line="360" w:lineRule="auto"/>
        <w:ind w:left="900" w:hanging="540"/>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bCs/>
          <w:snapToGrid w:val="0"/>
          <w:color w:val="000000"/>
          <w:sz w:val="20"/>
          <w:szCs w:val="20"/>
          <w:lang w:val="en-US"/>
        </w:rPr>
        <w:t xml:space="preserve">In your own opinion, what is the purpose of the </w:t>
      </w:r>
      <w:r w:rsidRPr="00DC5490">
        <w:rPr>
          <w:rFonts w:asciiTheme="majorHAnsi" w:hAnsiTheme="majorHAnsi" w:cstheme="majorHAnsi"/>
          <w:b/>
          <w:bCs/>
          <w:snapToGrid w:val="0"/>
          <w:color w:val="000000" w:themeColor="text1"/>
          <w:sz w:val="20"/>
          <w:szCs w:val="20"/>
          <w:lang w:val="en-US"/>
        </w:rPr>
        <w:t>Enhanced Basic Education Information System</w:t>
      </w:r>
      <w:r w:rsidRPr="00DC5490">
        <w:rPr>
          <w:rFonts w:asciiTheme="majorHAnsi" w:hAnsiTheme="majorHAnsi" w:cstheme="majorHAnsi"/>
          <w:snapToGrid w:val="0"/>
          <w:color w:val="000000"/>
          <w:sz w:val="20"/>
          <w:szCs w:val="20"/>
          <w:lang w:val="en-US"/>
        </w:rPr>
        <w:t xml:space="preserve">? </w:t>
      </w:r>
    </w:p>
    <w:p w14:paraId="46B8C49C" w14:textId="77777777" w:rsidR="008D0CAD" w:rsidRPr="00DC5490" w:rsidRDefault="008D0CAD" w:rsidP="00DD08E3">
      <w:pPr>
        <w:numPr>
          <w:ilvl w:val="1"/>
          <w:numId w:val="81"/>
        </w:numPr>
        <w:spacing w:before="100" w:beforeAutospacing="1" w:after="100" w:afterAutospacing="1" w:line="360" w:lineRule="auto"/>
        <w:ind w:left="900" w:hanging="540"/>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snapToGrid w:val="0"/>
          <w:sz w:val="20"/>
          <w:szCs w:val="20"/>
          <w:lang w:val="en-US"/>
        </w:rPr>
        <w:t xml:space="preserve">How significant are the contributions of the </w:t>
      </w:r>
      <w:r w:rsidRPr="00DC5490">
        <w:rPr>
          <w:rFonts w:asciiTheme="majorHAnsi" w:hAnsiTheme="majorHAnsi" w:cstheme="majorHAnsi"/>
          <w:b/>
          <w:bCs/>
          <w:snapToGrid w:val="0"/>
          <w:color w:val="0070C0"/>
          <w:sz w:val="20"/>
          <w:szCs w:val="20"/>
          <w:lang w:val="en-US"/>
        </w:rPr>
        <w:t>EBEIS</w:t>
      </w:r>
      <w:r w:rsidRPr="00DC5490">
        <w:rPr>
          <w:rFonts w:asciiTheme="majorHAnsi" w:hAnsiTheme="majorHAnsi" w:cstheme="majorHAnsi"/>
          <w:snapToGrid w:val="0"/>
          <w:sz w:val="20"/>
          <w:szCs w:val="20"/>
          <w:lang w:val="en-US"/>
        </w:rPr>
        <w:t xml:space="preserve"> in terms of enhancing the overall operations of your school</w:t>
      </w:r>
      <w:r w:rsidRPr="00DC5490">
        <w:rPr>
          <w:rFonts w:asciiTheme="majorHAnsi" w:hAnsiTheme="majorHAnsi" w:cstheme="majorHAnsi"/>
          <w:bCs/>
          <w:snapToGrid w:val="0"/>
          <w:color w:val="000000"/>
          <w:sz w:val="20"/>
          <w:szCs w:val="20"/>
          <w:lang w:val="en-US"/>
        </w:rPr>
        <w:t>?</w:t>
      </w:r>
    </w:p>
    <w:p w14:paraId="395B75C8" w14:textId="77777777" w:rsidR="008D0CAD" w:rsidRPr="00DC5490" w:rsidRDefault="008D0CAD" w:rsidP="00DD08E3">
      <w:pPr>
        <w:numPr>
          <w:ilvl w:val="1"/>
          <w:numId w:val="81"/>
        </w:numPr>
        <w:spacing w:before="100" w:beforeAutospacing="1" w:after="100" w:afterAutospacing="1" w:line="360" w:lineRule="auto"/>
        <w:ind w:left="900" w:hanging="540"/>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snapToGrid w:val="0"/>
          <w:sz w:val="20"/>
          <w:szCs w:val="20"/>
          <w:lang w:val="en-US"/>
        </w:rPr>
        <w:t xml:space="preserve">On a scale of 1 to 4 (with 4 being Very High), </w:t>
      </w:r>
      <w:r w:rsidRPr="00DC5490">
        <w:rPr>
          <w:rFonts w:asciiTheme="majorHAnsi" w:hAnsiTheme="majorHAnsi" w:cstheme="majorHAnsi"/>
          <w:snapToGrid w:val="0"/>
          <w:color w:val="000000"/>
          <w:sz w:val="20"/>
          <w:szCs w:val="20"/>
          <w:lang w:val="en-US"/>
        </w:rPr>
        <w:t xml:space="preserve">assess </w:t>
      </w:r>
      <w:r w:rsidRPr="00DC5490">
        <w:rPr>
          <w:rFonts w:asciiTheme="majorHAnsi" w:hAnsiTheme="majorHAnsi" w:cstheme="majorHAnsi"/>
          <w:snapToGrid w:val="0"/>
          <w:sz w:val="20"/>
          <w:szCs w:val="20"/>
          <w:lang w:val="en-US"/>
        </w:rPr>
        <w:t xml:space="preserve">the </w:t>
      </w:r>
      <w:r w:rsidRPr="00DC5490">
        <w:rPr>
          <w:rFonts w:asciiTheme="majorHAnsi" w:hAnsiTheme="majorHAnsi" w:cstheme="majorHAnsi"/>
          <w:b/>
          <w:bCs/>
          <w:snapToGrid w:val="0"/>
          <w:color w:val="0070C0"/>
          <w:sz w:val="20"/>
          <w:szCs w:val="20"/>
          <w:lang w:val="en-US"/>
        </w:rPr>
        <w:t>EBEIS</w:t>
      </w:r>
      <w:r w:rsidRPr="00DC5490">
        <w:rPr>
          <w:rFonts w:asciiTheme="majorHAnsi" w:hAnsiTheme="majorHAnsi" w:cstheme="majorHAnsi"/>
          <w:snapToGrid w:val="0"/>
          <w:sz w:val="20"/>
          <w:szCs w:val="20"/>
          <w:lang w:val="en-US"/>
        </w:rPr>
        <w:t xml:space="preserve"> by marking the appropriate box:</w:t>
      </w:r>
    </w:p>
    <w:tbl>
      <w:tblPr>
        <w:tblStyle w:val="TableGrid8"/>
        <w:tblW w:w="9343" w:type="dxa"/>
        <w:tblInd w:w="895" w:type="dxa"/>
        <w:tblLayout w:type="fixed"/>
        <w:tblLook w:val="04A0" w:firstRow="1" w:lastRow="0" w:firstColumn="1" w:lastColumn="0" w:noHBand="0" w:noVBand="1"/>
      </w:tblPr>
      <w:tblGrid>
        <w:gridCol w:w="4071"/>
        <w:gridCol w:w="1129"/>
        <w:gridCol w:w="941"/>
        <w:gridCol w:w="1129"/>
        <w:gridCol w:w="941"/>
        <w:gridCol w:w="1132"/>
      </w:tblGrid>
      <w:tr w:rsidR="008D0CAD" w:rsidRPr="00DC5490" w14:paraId="6471964B" w14:textId="77777777" w:rsidTr="00F4751F">
        <w:trPr>
          <w:trHeight w:val="696"/>
          <w:tblHeader/>
        </w:trPr>
        <w:tc>
          <w:tcPr>
            <w:tcW w:w="4071" w:type="dxa"/>
            <w:shd w:val="clear" w:color="auto" w:fill="D9D9D9" w:themeFill="background1" w:themeFillShade="D9"/>
          </w:tcPr>
          <w:p w14:paraId="04C23CB9"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p>
        </w:tc>
        <w:tc>
          <w:tcPr>
            <w:tcW w:w="1129" w:type="dxa"/>
            <w:shd w:val="clear" w:color="auto" w:fill="D9D9D9" w:themeFill="background1" w:themeFillShade="D9"/>
            <w:vAlign w:val="center"/>
          </w:tcPr>
          <w:p w14:paraId="2AA02820"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No opinion</w:t>
            </w:r>
          </w:p>
          <w:p w14:paraId="5D301FD3"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(0)</w:t>
            </w:r>
          </w:p>
        </w:tc>
        <w:tc>
          <w:tcPr>
            <w:tcW w:w="941" w:type="dxa"/>
            <w:shd w:val="clear" w:color="auto" w:fill="D9D9D9" w:themeFill="background1" w:themeFillShade="D9"/>
            <w:vAlign w:val="center"/>
          </w:tcPr>
          <w:p w14:paraId="1A41D771"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Low</w:t>
            </w:r>
          </w:p>
          <w:p w14:paraId="6AF2D234"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(1)</w:t>
            </w:r>
          </w:p>
        </w:tc>
        <w:tc>
          <w:tcPr>
            <w:tcW w:w="1129" w:type="dxa"/>
            <w:shd w:val="clear" w:color="auto" w:fill="D9D9D9" w:themeFill="background1" w:themeFillShade="D9"/>
            <w:vAlign w:val="center"/>
          </w:tcPr>
          <w:p w14:paraId="00771206"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Moderate</w:t>
            </w:r>
          </w:p>
          <w:p w14:paraId="72FB30D7"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(2)</w:t>
            </w:r>
          </w:p>
        </w:tc>
        <w:tc>
          <w:tcPr>
            <w:tcW w:w="941" w:type="dxa"/>
            <w:shd w:val="clear" w:color="auto" w:fill="D9D9D9" w:themeFill="background1" w:themeFillShade="D9"/>
            <w:vAlign w:val="center"/>
          </w:tcPr>
          <w:p w14:paraId="298D9EF2"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High</w:t>
            </w:r>
          </w:p>
          <w:p w14:paraId="39176C14"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(3)</w:t>
            </w:r>
          </w:p>
        </w:tc>
        <w:tc>
          <w:tcPr>
            <w:tcW w:w="1132" w:type="dxa"/>
            <w:shd w:val="clear" w:color="auto" w:fill="D9D9D9" w:themeFill="background1" w:themeFillShade="D9"/>
            <w:vAlign w:val="center"/>
          </w:tcPr>
          <w:p w14:paraId="5299FDA7"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Very High</w:t>
            </w:r>
          </w:p>
          <w:p w14:paraId="78A4C6F5"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(4)</w:t>
            </w:r>
          </w:p>
        </w:tc>
      </w:tr>
      <w:tr w:rsidR="008D0CAD" w:rsidRPr="00DC5490" w14:paraId="74D338A9" w14:textId="77777777" w:rsidTr="009C64E9">
        <w:trPr>
          <w:trHeight w:val="277"/>
        </w:trPr>
        <w:tc>
          <w:tcPr>
            <w:tcW w:w="4071" w:type="dxa"/>
          </w:tcPr>
          <w:p w14:paraId="749FADA9"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432" w:hanging="450"/>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b/>
                <w:color w:val="000000"/>
                <w:sz w:val="16"/>
                <w:szCs w:val="16"/>
                <w:lang w:val="en-US"/>
              </w:rPr>
              <w:t>Ease of access</w:t>
            </w:r>
            <w:r w:rsidRPr="00DC5490">
              <w:rPr>
                <w:rFonts w:asciiTheme="majorHAnsi" w:eastAsiaTheme="minorHAnsi" w:hAnsiTheme="majorHAnsi" w:cstheme="majorHAnsi"/>
                <w:color w:val="000000"/>
                <w:sz w:val="16"/>
                <w:szCs w:val="16"/>
                <w:lang w:val="en-US"/>
              </w:rPr>
              <w:t xml:space="preserve"> when connecting to the system</w:t>
            </w:r>
          </w:p>
        </w:tc>
        <w:tc>
          <w:tcPr>
            <w:tcW w:w="1129" w:type="dxa"/>
            <w:vAlign w:val="center"/>
          </w:tcPr>
          <w:p w14:paraId="2CD6143F"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941" w:type="dxa"/>
            <w:vAlign w:val="center"/>
          </w:tcPr>
          <w:p w14:paraId="2BD38570"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1129" w:type="dxa"/>
            <w:vAlign w:val="center"/>
          </w:tcPr>
          <w:p w14:paraId="6CB2D747"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941" w:type="dxa"/>
          </w:tcPr>
          <w:p w14:paraId="23F9A479"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132" w:type="dxa"/>
            <w:vAlign w:val="center"/>
          </w:tcPr>
          <w:p w14:paraId="3B277C2A"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r>
      <w:tr w:rsidR="008D0CAD" w:rsidRPr="00DC5490" w14:paraId="0E7F679A" w14:textId="77777777" w:rsidTr="009C64E9">
        <w:trPr>
          <w:trHeight w:val="277"/>
        </w:trPr>
        <w:tc>
          <w:tcPr>
            <w:tcW w:w="4071" w:type="dxa"/>
          </w:tcPr>
          <w:p w14:paraId="6631B0B1"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432" w:hanging="450"/>
              <w:rPr>
                <w:rFonts w:asciiTheme="majorHAnsi" w:eastAsiaTheme="minorHAnsi" w:hAnsiTheme="majorHAnsi" w:cstheme="majorHAnsi"/>
                <w:bCs/>
                <w:color w:val="000000"/>
                <w:sz w:val="16"/>
                <w:szCs w:val="16"/>
                <w:lang w:val="en-US"/>
              </w:rPr>
            </w:pPr>
            <w:r w:rsidRPr="00DC5490">
              <w:rPr>
                <w:rFonts w:asciiTheme="majorHAnsi" w:eastAsiaTheme="minorHAnsi" w:hAnsiTheme="majorHAnsi" w:cstheme="majorHAnsi"/>
                <w:b/>
                <w:color w:val="000000"/>
                <w:sz w:val="16"/>
                <w:szCs w:val="16"/>
                <w:lang w:val="en-US"/>
              </w:rPr>
              <w:t>User- friendliness</w:t>
            </w:r>
            <w:r w:rsidRPr="00DC5490">
              <w:rPr>
                <w:rFonts w:asciiTheme="majorHAnsi" w:eastAsiaTheme="minorHAnsi" w:hAnsiTheme="majorHAnsi" w:cstheme="majorHAnsi"/>
                <w:color w:val="000000"/>
                <w:sz w:val="16"/>
                <w:szCs w:val="16"/>
                <w:lang w:val="en-US"/>
              </w:rPr>
              <w:t xml:space="preserve"> of the system when navigating the site</w:t>
            </w:r>
          </w:p>
        </w:tc>
        <w:tc>
          <w:tcPr>
            <w:tcW w:w="1129" w:type="dxa"/>
            <w:vAlign w:val="center"/>
          </w:tcPr>
          <w:p w14:paraId="1B54558A"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941" w:type="dxa"/>
            <w:vAlign w:val="center"/>
          </w:tcPr>
          <w:p w14:paraId="0D623D71"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129" w:type="dxa"/>
            <w:vAlign w:val="center"/>
          </w:tcPr>
          <w:p w14:paraId="0CDBD545"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941" w:type="dxa"/>
          </w:tcPr>
          <w:p w14:paraId="68917AE6"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132" w:type="dxa"/>
            <w:vAlign w:val="center"/>
          </w:tcPr>
          <w:p w14:paraId="3024CAA8"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r>
      <w:tr w:rsidR="008D0CAD" w:rsidRPr="00DC5490" w14:paraId="06361D03" w14:textId="77777777" w:rsidTr="009C64E9">
        <w:trPr>
          <w:trHeight w:val="277"/>
        </w:trPr>
        <w:tc>
          <w:tcPr>
            <w:tcW w:w="4071" w:type="dxa"/>
          </w:tcPr>
          <w:p w14:paraId="48B626E2"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432" w:hanging="450"/>
              <w:rPr>
                <w:rFonts w:asciiTheme="majorHAnsi" w:eastAsiaTheme="minorHAnsi" w:hAnsiTheme="majorHAnsi" w:cstheme="majorHAnsi"/>
                <w:bCs/>
                <w:color w:val="000000"/>
                <w:sz w:val="16"/>
                <w:szCs w:val="16"/>
                <w:lang w:val="en-US"/>
              </w:rPr>
            </w:pPr>
            <w:r w:rsidRPr="00DC5490">
              <w:rPr>
                <w:rFonts w:asciiTheme="majorHAnsi" w:eastAsiaTheme="minorHAnsi" w:hAnsiTheme="majorHAnsi" w:cstheme="majorHAnsi"/>
                <w:b/>
                <w:color w:val="000000"/>
                <w:sz w:val="16"/>
                <w:szCs w:val="16"/>
                <w:lang w:val="en-US"/>
              </w:rPr>
              <w:t>Usefulness</w:t>
            </w:r>
            <w:r w:rsidRPr="00DC5490">
              <w:rPr>
                <w:rFonts w:asciiTheme="majorHAnsi" w:eastAsiaTheme="minorHAnsi" w:hAnsiTheme="majorHAnsi" w:cstheme="majorHAnsi"/>
                <w:color w:val="000000"/>
                <w:sz w:val="16"/>
                <w:szCs w:val="16"/>
                <w:lang w:val="en-US"/>
              </w:rPr>
              <w:t xml:space="preserve"> of system in enhancing school operations &amp; delivering learning outcomes</w:t>
            </w:r>
          </w:p>
        </w:tc>
        <w:tc>
          <w:tcPr>
            <w:tcW w:w="1129" w:type="dxa"/>
            <w:vAlign w:val="center"/>
          </w:tcPr>
          <w:p w14:paraId="0EFE7ED3"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941" w:type="dxa"/>
            <w:vAlign w:val="center"/>
          </w:tcPr>
          <w:p w14:paraId="54542C82"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129" w:type="dxa"/>
            <w:vAlign w:val="center"/>
          </w:tcPr>
          <w:p w14:paraId="3C3C587C"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941" w:type="dxa"/>
          </w:tcPr>
          <w:p w14:paraId="721B5E0B"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132" w:type="dxa"/>
            <w:vAlign w:val="center"/>
          </w:tcPr>
          <w:p w14:paraId="1EF3B366"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r>
    </w:tbl>
    <w:p w14:paraId="56D55D7B" w14:textId="03FA73A5" w:rsidR="008D0CAD" w:rsidRPr="00DC5490" w:rsidRDefault="008D0CAD" w:rsidP="00DD08E3">
      <w:pPr>
        <w:numPr>
          <w:ilvl w:val="0"/>
          <w:numId w:val="81"/>
        </w:numPr>
        <w:spacing w:before="100" w:beforeAutospacing="1" w:after="100" w:afterAutospacing="1" w:line="360" w:lineRule="auto"/>
        <w:ind w:left="357" w:hanging="357"/>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bCs/>
          <w:snapToGrid w:val="0"/>
          <w:color w:val="000000"/>
          <w:sz w:val="20"/>
          <w:szCs w:val="20"/>
          <w:lang w:val="en-US"/>
        </w:rPr>
        <w:t xml:space="preserve">Have you ever used the </w:t>
      </w:r>
      <w:r w:rsidRPr="00DC5490">
        <w:rPr>
          <w:rFonts w:asciiTheme="majorHAnsi" w:hAnsiTheme="majorHAnsi" w:cstheme="majorHAnsi"/>
          <w:b/>
          <w:bCs/>
          <w:snapToGrid w:val="0"/>
          <w:color w:val="0070C0"/>
          <w:sz w:val="20"/>
          <w:szCs w:val="20"/>
          <w:lang w:val="en-US"/>
        </w:rPr>
        <w:t>Learner Information System (LIS)</w:t>
      </w:r>
      <w:r w:rsidRPr="00DC5490">
        <w:rPr>
          <w:rFonts w:asciiTheme="majorHAnsi" w:hAnsiTheme="majorHAnsi" w:cstheme="majorHAnsi"/>
          <w:bCs/>
          <w:snapToGrid w:val="0"/>
          <w:color w:val="000000"/>
          <w:sz w:val="20"/>
          <w:szCs w:val="20"/>
          <w:lang w:val="en-US"/>
        </w:rPr>
        <w:t>?</w:t>
      </w:r>
      <w:r w:rsidR="00D434EB">
        <w:rPr>
          <w:rFonts w:asciiTheme="majorHAnsi" w:hAnsiTheme="majorHAnsi" w:cstheme="majorHAnsi"/>
          <w:bCs/>
          <w:snapToGrid w:val="0"/>
          <w:color w:val="000000"/>
          <w:sz w:val="20"/>
          <w:szCs w:val="20"/>
          <w:lang w:val="en-US"/>
        </w:rPr>
        <w:t xml:space="preserve"> </w:t>
      </w:r>
      <w:r w:rsidRPr="00DC5490">
        <w:rPr>
          <w:rFonts w:asciiTheme="majorHAnsi" w:hAnsiTheme="majorHAnsi" w:cstheme="majorHAnsi"/>
          <w:bCs/>
          <w:snapToGrid w:val="0"/>
          <w:color w:val="000000"/>
          <w:sz w:val="20"/>
          <w:szCs w:val="20"/>
          <w:lang w:val="en-US"/>
        </w:rPr>
        <w:t xml:space="preserve"> ____ Yes </w:t>
      </w:r>
      <w:r w:rsidRPr="00DC5490">
        <w:rPr>
          <w:rFonts w:asciiTheme="majorHAnsi" w:hAnsiTheme="majorHAnsi" w:cstheme="majorHAnsi"/>
          <w:bCs/>
          <w:snapToGrid w:val="0"/>
          <w:color w:val="000000"/>
          <w:sz w:val="20"/>
          <w:szCs w:val="20"/>
          <w:lang w:val="en-US"/>
        </w:rPr>
        <w:tab/>
        <w:t>____ No (Go to Question No. 34)</w:t>
      </w:r>
    </w:p>
    <w:p w14:paraId="52701232" w14:textId="77777777" w:rsidR="008D0CAD" w:rsidRPr="00DC5490" w:rsidRDefault="008D0CAD" w:rsidP="00DD08E3">
      <w:pPr>
        <w:numPr>
          <w:ilvl w:val="1"/>
          <w:numId w:val="81"/>
        </w:numPr>
        <w:spacing w:before="100" w:beforeAutospacing="1" w:after="100" w:afterAutospacing="1" w:line="360" w:lineRule="auto"/>
        <w:ind w:left="900" w:hanging="540"/>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bCs/>
          <w:snapToGrid w:val="0"/>
          <w:color w:val="000000"/>
          <w:sz w:val="20"/>
          <w:szCs w:val="20"/>
          <w:lang w:val="en-US"/>
        </w:rPr>
        <w:t xml:space="preserve">In your own opinion, what is the purpose of the </w:t>
      </w:r>
      <w:r w:rsidRPr="00DC5490">
        <w:rPr>
          <w:rFonts w:asciiTheme="majorHAnsi" w:hAnsiTheme="majorHAnsi" w:cstheme="majorHAnsi"/>
          <w:b/>
          <w:bCs/>
          <w:snapToGrid w:val="0"/>
          <w:color w:val="000000" w:themeColor="text1"/>
          <w:sz w:val="20"/>
          <w:szCs w:val="20"/>
          <w:lang w:val="en-US"/>
        </w:rPr>
        <w:t>Learner Information System</w:t>
      </w:r>
      <w:r w:rsidRPr="00DC5490">
        <w:rPr>
          <w:rFonts w:asciiTheme="majorHAnsi" w:hAnsiTheme="majorHAnsi" w:cstheme="majorHAnsi"/>
          <w:snapToGrid w:val="0"/>
          <w:color w:val="000000"/>
          <w:sz w:val="20"/>
          <w:szCs w:val="20"/>
          <w:lang w:val="en-US"/>
        </w:rPr>
        <w:t>? ___________________</w:t>
      </w:r>
    </w:p>
    <w:p w14:paraId="3076F230" w14:textId="77777777" w:rsidR="008D0CAD" w:rsidRPr="00DC5490" w:rsidRDefault="008D0CAD" w:rsidP="00DD08E3">
      <w:pPr>
        <w:numPr>
          <w:ilvl w:val="1"/>
          <w:numId w:val="81"/>
        </w:numPr>
        <w:spacing w:before="100" w:beforeAutospacing="1" w:after="100" w:afterAutospacing="1" w:line="360" w:lineRule="auto"/>
        <w:ind w:left="900" w:hanging="540"/>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snapToGrid w:val="0"/>
          <w:sz w:val="20"/>
          <w:szCs w:val="20"/>
          <w:lang w:val="en-US"/>
        </w:rPr>
        <w:t xml:space="preserve">How significant are the contributions of the </w:t>
      </w:r>
      <w:r w:rsidRPr="00DC5490">
        <w:rPr>
          <w:rFonts w:asciiTheme="majorHAnsi" w:hAnsiTheme="majorHAnsi" w:cstheme="majorHAnsi"/>
          <w:b/>
          <w:bCs/>
          <w:snapToGrid w:val="0"/>
          <w:color w:val="0070C0"/>
          <w:sz w:val="20"/>
          <w:szCs w:val="20"/>
          <w:lang w:val="en-US"/>
        </w:rPr>
        <w:t>LIS</w:t>
      </w:r>
      <w:r w:rsidRPr="00DC5490">
        <w:rPr>
          <w:rFonts w:asciiTheme="majorHAnsi" w:hAnsiTheme="majorHAnsi" w:cstheme="majorHAnsi"/>
          <w:snapToGrid w:val="0"/>
          <w:sz w:val="20"/>
          <w:szCs w:val="20"/>
          <w:lang w:val="en-US"/>
        </w:rPr>
        <w:t xml:space="preserve"> in terms of enhancing the overall operations of your school</w:t>
      </w:r>
      <w:r w:rsidRPr="00DC5490">
        <w:rPr>
          <w:rFonts w:asciiTheme="majorHAnsi" w:hAnsiTheme="majorHAnsi" w:cstheme="majorHAnsi"/>
          <w:bCs/>
          <w:snapToGrid w:val="0"/>
          <w:color w:val="000000"/>
          <w:sz w:val="20"/>
          <w:szCs w:val="20"/>
          <w:lang w:val="en-US"/>
        </w:rPr>
        <w:t>?</w:t>
      </w:r>
    </w:p>
    <w:p w14:paraId="5E35F619" w14:textId="77777777" w:rsidR="008D0CAD" w:rsidRPr="00DC5490" w:rsidRDefault="008D0CAD" w:rsidP="00DD08E3">
      <w:pPr>
        <w:numPr>
          <w:ilvl w:val="1"/>
          <w:numId w:val="81"/>
        </w:numPr>
        <w:spacing w:before="100" w:beforeAutospacing="1" w:after="100" w:afterAutospacing="1" w:line="360" w:lineRule="auto"/>
        <w:ind w:left="900" w:hanging="540"/>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snapToGrid w:val="0"/>
          <w:sz w:val="20"/>
          <w:szCs w:val="20"/>
          <w:lang w:val="en-US"/>
        </w:rPr>
        <w:t xml:space="preserve">On a scale of 1 to 4 (with 4 being Very High), </w:t>
      </w:r>
      <w:r w:rsidRPr="00DC5490">
        <w:rPr>
          <w:rFonts w:asciiTheme="majorHAnsi" w:hAnsiTheme="majorHAnsi" w:cstheme="majorHAnsi"/>
          <w:snapToGrid w:val="0"/>
          <w:color w:val="000000"/>
          <w:sz w:val="20"/>
          <w:szCs w:val="20"/>
          <w:lang w:val="en-US"/>
        </w:rPr>
        <w:t xml:space="preserve">assess </w:t>
      </w:r>
      <w:r w:rsidRPr="00DC5490">
        <w:rPr>
          <w:rFonts w:asciiTheme="majorHAnsi" w:hAnsiTheme="majorHAnsi" w:cstheme="majorHAnsi"/>
          <w:snapToGrid w:val="0"/>
          <w:sz w:val="20"/>
          <w:szCs w:val="20"/>
          <w:lang w:val="en-US"/>
        </w:rPr>
        <w:t xml:space="preserve">the </w:t>
      </w:r>
      <w:r w:rsidRPr="00DC5490">
        <w:rPr>
          <w:rFonts w:asciiTheme="majorHAnsi" w:hAnsiTheme="majorHAnsi" w:cstheme="majorHAnsi"/>
          <w:b/>
          <w:bCs/>
          <w:snapToGrid w:val="0"/>
          <w:color w:val="0070C0"/>
          <w:sz w:val="20"/>
          <w:szCs w:val="20"/>
          <w:lang w:val="en-US"/>
        </w:rPr>
        <w:t>LIS</w:t>
      </w:r>
      <w:r w:rsidRPr="00DC5490">
        <w:rPr>
          <w:rFonts w:asciiTheme="majorHAnsi" w:hAnsiTheme="majorHAnsi" w:cstheme="majorHAnsi"/>
          <w:snapToGrid w:val="0"/>
          <w:sz w:val="20"/>
          <w:szCs w:val="20"/>
          <w:lang w:val="en-US"/>
        </w:rPr>
        <w:t xml:space="preserve"> by marking the appropriate box:</w:t>
      </w:r>
    </w:p>
    <w:tbl>
      <w:tblPr>
        <w:tblStyle w:val="TableGrid8"/>
        <w:tblW w:w="9343" w:type="dxa"/>
        <w:tblInd w:w="895" w:type="dxa"/>
        <w:tblLayout w:type="fixed"/>
        <w:tblLook w:val="04A0" w:firstRow="1" w:lastRow="0" w:firstColumn="1" w:lastColumn="0" w:noHBand="0" w:noVBand="1"/>
      </w:tblPr>
      <w:tblGrid>
        <w:gridCol w:w="4071"/>
        <w:gridCol w:w="1129"/>
        <w:gridCol w:w="941"/>
        <w:gridCol w:w="1129"/>
        <w:gridCol w:w="941"/>
        <w:gridCol w:w="1132"/>
      </w:tblGrid>
      <w:tr w:rsidR="008D0CAD" w:rsidRPr="00DC5490" w14:paraId="37E7C141" w14:textId="77777777" w:rsidTr="00F4751F">
        <w:trPr>
          <w:trHeight w:val="696"/>
          <w:tblHeader/>
        </w:trPr>
        <w:tc>
          <w:tcPr>
            <w:tcW w:w="4071" w:type="dxa"/>
            <w:shd w:val="clear" w:color="auto" w:fill="D9D9D9" w:themeFill="background1" w:themeFillShade="D9"/>
          </w:tcPr>
          <w:p w14:paraId="572F150B"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p>
        </w:tc>
        <w:tc>
          <w:tcPr>
            <w:tcW w:w="1129" w:type="dxa"/>
            <w:shd w:val="clear" w:color="auto" w:fill="D9D9D9" w:themeFill="background1" w:themeFillShade="D9"/>
            <w:vAlign w:val="center"/>
          </w:tcPr>
          <w:p w14:paraId="4447196B"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No opinion</w:t>
            </w:r>
          </w:p>
          <w:p w14:paraId="76A6F037"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(0)</w:t>
            </w:r>
          </w:p>
        </w:tc>
        <w:tc>
          <w:tcPr>
            <w:tcW w:w="941" w:type="dxa"/>
            <w:shd w:val="clear" w:color="auto" w:fill="D9D9D9" w:themeFill="background1" w:themeFillShade="D9"/>
            <w:vAlign w:val="center"/>
          </w:tcPr>
          <w:p w14:paraId="7D5A5FB8"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Low</w:t>
            </w:r>
          </w:p>
          <w:p w14:paraId="0F170BDC"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(1)</w:t>
            </w:r>
          </w:p>
        </w:tc>
        <w:tc>
          <w:tcPr>
            <w:tcW w:w="1129" w:type="dxa"/>
            <w:shd w:val="clear" w:color="auto" w:fill="D9D9D9" w:themeFill="background1" w:themeFillShade="D9"/>
            <w:vAlign w:val="center"/>
          </w:tcPr>
          <w:p w14:paraId="022EADB3"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Moderate</w:t>
            </w:r>
          </w:p>
          <w:p w14:paraId="53CA5709"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(2)</w:t>
            </w:r>
          </w:p>
        </w:tc>
        <w:tc>
          <w:tcPr>
            <w:tcW w:w="941" w:type="dxa"/>
            <w:shd w:val="clear" w:color="auto" w:fill="D9D9D9" w:themeFill="background1" w:themeFillShade="D9"/>
            <w:vAlign w:val="center"/>
          </w:tcPr>
          <w:p w14:paraId="1479D827"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High</w:t>
            </w:r>
          </w:p>
          <w:p w14:paraId="21661F85"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(3)</w:t>
            </w:r>
          </w:p>
        </w:tc>
        <w:tc>
          <w:tcPr>
            <w:tcW w:w="1132" w:type="dxa"/>
            <w:shd w:val="clear" w:color="auto" w:fill="D9D9D9" w:themeFill="background1" w:themeFillShade="D9"/>
            <w:vAlign w:val="center"/>
          </w:tcPr>
          <w:p w14:paraId="65D3F281"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Very High</w:t>
            </w:r>
          </w:p>
          <w:p w14:paraId="0F0B19C1"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(4)</w:t>
            </w:r>
          </w:p>
        </w:tc>
      </w:tr>
      <w:tr w:rsidR="008D0CAD" w:rsidRPr="00DC5490" w14:paraId="7885BECB" w14:textId="77777777" w:rsidTr="009C64E9">
        <w:trPr>
          <w:trHeight w:val="277"/>
        </w:trPr>
        <w:tc>
          <w:tcPr>
            <w:tcW w:w="4071" w:type="dxa"/>
          </w:tcPr>
          <w:p w14:paraId="50EDA0AC"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432" w:hanging="450"/>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b/>
                <w:color w:val="000000"/>
                <w:sz w:val="16"/>
                <w:szCs w:val="16"/>
                <w:lang w:val="en-US"/>
              </w:rPr>
              <w:t>Ease of access</w:t>
            </w:r>
            <w:r w:rsidRPr="00DC5490">
              <w:rPr>
                <w:rFonts w:asciiTheme="majorHAnsi" w:eastAsiaTheme="minorHAnsi" w:hAnsiTheme="majorHAnsi" w:cstheme="majorHAnsi"/>
                <w:color w:val="000000"/>
                <w:sz w:val="16"/>
                <w:szCs w:val="16"/>
                <w:lang w:val="en-US"/>
              </w:rPr>
              <w:t xml:space="preserve"> when connecting to the system</w:t>
            </w:r>
          </w:p>
        </w:tc>
        <w:tc>
          <w:tcPr>
            <w:tcW w:w="1129" w:type="dxa"/>
            <w:vAlign w:val="center"/>
          </w:tcPr>
          <w:p w14:paraId="4739B9F4"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941" w:type="dxa"/>
            <w:vAlign w:val="center"/>
          </w:tcPr>
          <w:p w14:paraId="0C9FACD2"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1129" w:type="dxa"/>
            <w:vAlign w:val="center"/>
          </w:tcPr>
          <w:p w14:paraId="64B5AC55"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941" w:type="dxa"/>
          </w:tcPr>
          <w:p w14:paraId="28A133FD"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132" w:type="dxa"/>
            <w:vAlign w:val="center"/>
          </w:tcPr>
          <w:p w14:paraId="4B543518"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r>
      <w:tr w:rsidR="008D0CAD" w:rsidRPr="00DC5490" w14:paraId="29005B9B" w14:textId="77777777" w:rsidTr="009C64E9">
        <w:trPr>
          <w:trHeight w:val="277"/>
        </w:trPr>
        <w:tc>
          <w:tcPr>
            <w:tcW w:w="4071" w:type="dxa"/>
          </w:tcPr>
          <w:p w14:paraId="3DF57339"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432" w:hanging="450"/>
              <w:rPr>
                <w:rFonts w:asciiTheme="majorHAnsi" w:eastAsiaTheme="minorHAnsi" w:hAnsiTheme="majorHAnsi" w:cstheme="majorHAnsi"/>
                <w:bCs/>
                <w:color w:val="000000"/>
                <w:sz w:val="16"/>
                <w:szCs w:val="16"/>
                <w:lang w:val="en-US"/>
              </w:rPr>
            </w:pPr>
            <w:r w:rsidRPr="00DC5490">
              <w:rPr>
                <w:rFonts w:asciiTheme="majorHAnsi" w:eastAsiaTheme="minorHAnsi" w:hAnsiTheme="majorHAnsi" w:cstheme="majorHAnsi"/>
                <w:b/>
                <w:color w:val="000000"/>
                <w:sz w:val="16"/>
                <w:szCs w:val="16"/>
                <w:lang w:val="en-US"/>
              </w:rPr>
              <w:t>User- friendliness</w:t>
            </w:r>
            <w:r w:rsidRPr="00DC5490">
              <w:rPr>
                <w:rFonts w:asciiTheme="majorHAnsi" w:eastAsiaTheme="minorHAnsi" w:hAnsiTheme="majorHAnsi" w:cstheme="majorHAnsi"/>
                <w:color w:val="000000"/>
                <w:sz w:val="16"/>
                <w:szCs w:val="16"/>
                <w:lang w:val="en-US"/>
              </w:rPr>
              <w:t xml:space="preserve"> of the system when navigating the site</w:t>
            </w:r>
          </w:p>
        </w:tc>
        <w:tc>
          <w:tcPr>
            <w:tcW w:w="1129" w:type="dxa"/>
            <w:vAlign w:val="center"/>
          </w:tcPr>
          <w:p w14:paraId="0C5226C1"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941" w:type="dxa"/>
            <w:vAlign w:val="center"/>
          </w:tcPr>
          <w:p w14:paraId="46A573CF"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129" w:type="dxa"/>
            <w:vAlign w:val="center"/>
          </w:tcPr>
          <w:p w14:paraId="5458A0CB"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941" w:type="dxa"/>
          </w:tcPr>
          <w:p w14:paraId="671D685B"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132" w:type="dxa"/>
            <w:vAlign w:val="center"/>
          </w:tcPr>
          <w:p w14:paraId="6E395860"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r>
      <w:tr w:rsidR="008D0CAD" w:rsidRPr="00DC5490" w14:paraId="14AA0CD2" w14:textId="77777777" w:rsidTr="009C64E9">
        <w:trPr>
          <w:trHeight w:val="277"/>
        </w:trPr>
        <w:tc>
          <w:tcPr>
            <w:tcW w:w="4071" w:type="dxa"/>
          </w:tcPr>
          <w:p w14:paraId="0DC6FF2F"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432" w:hanging="450"/>
              <w:rPr>
                <w:rFonts w:asciiTheme="majorHAnsi" w:eastAsiaTheme="minorHAnsi" w:hAnsiTheme="majorHAnsi" w:cstheme="majorHAnsi"/>
                <w:bCs/>
                <w:color w:val="000000"/>
                <w:sz w:val="16"/>
                <w:szCs w:val="16"/>
                <w:lang w:val="en-US"/>
              </w:rPr>
            </w:pPr>
            <w:r w:rsidRPr="00DC5490">
              <w:rPr>
                <w:rFonts w:asciiTheme="majorHAnsi" w:eastAsiaTheme="minorHAnsi" w:hAnsiTheme="majorHAnsi" w:cstheme="majorHAnsi"/>
                <w:b/>
                <w:color w:val="000000"/>
                <w:sz w:val="16"/>
                <w:szCs w:val="16"/>
                <w:lang w:val="en-US"/>
              </w:rPr>
              <w:t>Usefulness</w:t>
            </w:r>
            <w:r w:rsidRPr="00DC5490">
              <w:rPr>
                <w:rFonts w:asciiTheme="majorHAnsi" w:eastAsiaTheme="minorHAnsi" w:hAnsiTheme="majorHAnsi" w:cstheme="majorHAnsi"/>
                <w:color w:val="000000"/>
                <w:sz w:val="16"/>
                <w:szCs w:val="16"/>
                <w:lang w:val="en-US"/>
              </w:rPr>
              <w:t xml:space="preserve"> of system in enhancing school operations &amp; delivering learning outcomes</w:t>
            </w:r>
          </w:p>
        </w:tc>
        <w:tc>
          <w:tcPr>
            <w:tcW w:w="1129" w:type="dxa"/>
            <w:vAlign w:val="center"/>
          </w:tcPr>
          <w:p w14:paraId="2638788E"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941" w:type="dxa"/>
            <w:vAlign w:val="center"/>
          </w:tcPr>
          <w:p w14:paraId="5F75A831"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129" w:type="dxa"/>
            <w:vAlign w:val="center"/>
          </w:tcPr>
          <w:p w14:paraId="3FC23A04"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941" w:type="dxa"/>
          </w:tcPr>
          <w:p w14:paraId="1938799B"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132" w:type="dxa"/>
            <w:vAlign w:val="center"/>
          </w:tcPr>
          <w:p w14:paraId="269DF418"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r>
    </w:tbl>
    <w:p w14:paraId="41F7105D" w14:textId="3A333205" w:rsidR="008D0CAD" w:rsidRPr="00DC5490" w:rsidRDefault="008D0CAD" w:rsidP="00DD08E3">
      <w:pPr>
        <w:numPr>
          <w:ilvl w:val="0"/>
          <w:numId w:val="81"/>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bCs/>
          <w:snapToGrid w:val="0"/>
          <w:color w:val="000000"/>
          <w:sz w:val="20"/>
          <w:szCs w:val="20"/>
          <w:lang w:val="en-US"/>
        </w:rPr>
        <w:t xml:space="preserve">Have you ever used the </w:t>
      </w:r>
      <w:r w:rsidRPr="00DC5490">
        <w:rPr>
          <w:rFonts w:asciiTheme="majorHAnsi" w:hAnsiTheme="majorHAnsi" w:cstheme="majorHAnsi"/>
          <w:b/>
          <w:bCs/>
          <w:snapToGrid w:val="0"/>
          <w:color w:val="0070C0"/>
          <w:sz w:val="20"/>
          <w:szCs w:val="20"/>
          <w:lang w:val="en-US"/>
        </w:rPr>
        <w:t>Learning Resource (LR</w:t>
      </w:r>
      <w:r w:rsidRPr="00DC5490">
        <w:rPr>
          <w:rFonts w:asciiTheme="majorHAnsi" w:hAnsiTheme="majorHAnsi" w:cstheme="majorHAnsi"/>
          <w:b/>
          <w:snapToGrid w:val="0"/>
          <w:color w:val="0070C0"/>
          <w:sz w:val="20"/>
          <w:szCs w:val="20"/>
          <w:lang w:val="en-US"/>
        </w:rPr>
        <w:t xml:space="preserve">) </w:t>
      </w:r>
      <w:r w:rsidRPr="00DC5490">
        <w:rPr>
          <w:rFonts w:asciiTheme="majorHAnsi" w:hAnsiTheme="majorHAnsi" w:cstheme="majorHAnsi"/>
          <w:b/>
          <w:bCs/>
          <w:snapToGrid w:val="0"/>
          <w:color w:val="0070C0"/>
          <w:sz w:val="20"/>
          <w:szCs w:val="20"/>
          <w:lang w:val="en-US"/>
        </w:rPr>
        <w:t>Portal</w:t>
      </w:r>
      <w:r w:rsidRPr="00DC5490">
        <w:rPr>
          <w:rFonts w:asciiTheme="majorHAnsi" w:hAnsiTheme="majorHAnsi" w:cstheme="majorHAnsi"/>
          <w:bCs/>
          <w:snapToGrid w:val="0"/>
          <w:color w:val="000000"/>
          <w:sz w:val="20"/>
          <w:szCs w:val="20"/>
          <w:lang w:val="en-US"/>
        </w:rPr>
        <w:t>?</w:t>
      </w:r>
      <w:r w:rsidR="00D434EB">
        <w:rPr>
          <w:rFonts w:asciiTheme="majorHAnsi" w:hAnsiTheme="majorHAnsi" w:cstheme="majorHAnsi"/>
          <w:bCs/>
          <w:snapToGrid w:val="0"/>
          <w:color w:val="000000"/>
          <w:sz w:val="20"/>
          <w:szCs w:val="20"/>
          <w:lang w:val="en-US"/>
        </w:rPr>
        <w:t xml:space="preserve"> </w:t>
      </w:r>
      <w:r w:rsidRPr="00DC5490">
        <w:rPr>
          <w:rFonts w:asciiTheme="majorHAnsi" w:hAnsiTheme="majorHAnsi" w:cstheme="majorHAnsi"/>
          <w:bCs/>
          <w:snapToGrid w:val="0"/>
          <w:color w:val="000000"/>
          <w:sz w:val="20"/>
          <w:szCs w:val="20"/>
          <w:lang w:val="en-US"/>
        </w:rPr>
        <w:t xml:space="preserve"> ____ Yes </w:t>
      </w:r>
      <w:r w:rsidRPr="00DC5490">
        <w:rPr>
          <w:rFonts w:asciiTheme="majorHAnsi" w:hAnsiTheme="majorHAnsi" w:cstheme="majorHAnsi"/>
          <w:bCs/>
          <w:snapToGrid w:val="0"/>
          <w:color w:val="000000"/>
          <w:sz w:val="20"/>
          <w:szCs w:val="20"/>
          <w:lang w:val="en-US"/>
        </w:rPr>
        <w:tab/>
        <w:t>____ No (if no, go to Question No. 46)</w:t>
      </w:r>
    </w:p>
    <w:p w14:paraId="3E3BAA09" w14:textId="77777777" w:rsidR="008D0CAD" w:rsidRPr="00DC5490" w:rsidRDefault="008D0CAD" w:rsidP="00DD08E3">
      <w:pPr>
        <w:numPr>
          <w:ilvl w:val="1"/>
          <w:numId w:val="81"/>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bCs/>
          <w:snapToGrid w:val="0"/>
          <w:color w:val="000000"/>
          <w:sz w:val="20"/>
          <w:szCs w:val="20"/>
          <w:lang w:val="en-US"/>
        </w:rPr>
        <w:t xml:space="preserve">In your own opinion, what is the purpose of the </w:t>
      </w:r>
      <w:r w:rsidRPr="00DC5490">
        <w:rPr>
          <w:rFonts w:asciiTheme="majorHAnsi" w:hAnsiTheme="majorHAnsi" w:cstheme="majorHAnsi"/>
          <w:bCs/>
          <w:snapToGrid w:val="0"/>
          <w:color w:val="000000" w:themeColor="text1"/>
          <w:sz w:val="20"/>
          <w:szCs w:val="20"/>
          <w:lang w:val="en-US"/>
        </w:rPr>
        <w:t>Learning Resource (LR</w:t>
      </w:r>
      <w:r w:rsidRPr="00DC5490">
        <w:rPr>
          <w:rFonts w:asciiTheme="majorHAnsi" w:hAnsiTheme="majorHAnsi" w:cstheme="majorHAnsi"/>
          <w:snapToGrid w:val="0"/>
          <w:color w:val="000000" w:themeColor="text1"/>
          <w:sz w:val="20"/>
          <w:szCs w:val="20"/>
          <w:lang w:val="en-US"/>
        </w:rPr>
        <w:t xml:space="preserve">) </w:t>
      </w:r>
      <w:r w:rsidRPr="00DC5490">
        <w:rPr>
          <w:rFonts w:asciiTheme="majorHAnsi" w:hAnsiTheme="majorHAnsi" w:cstheme="majorHAnsi"/>
          <w:bCs/>
          <w:snapToGrid w:val="0"/>
          <w:color w:val="000000" w:themeColor="text1"/>
          <w:sz w:val="20"/>
          <w:szCs w:val="20"/>
          <w:lang w:val="en-US"/>
        </w:rPr>
        <w:t>Portal</w:t>
      </w:r>
      <w:r w:rsidRPr="00DC5490">
        <w:rPr>
          <w:rFonts w:asciiTheme="majorHAnsi" w:hAnsiTheme="majorHAnsi" w:cstheme="majorHAnsi"/>
          <w:snapToGrid w:val="0"/>
          <w:color w:val="000000"/>
          <w:sz w:val="20"/>
          <w:szCs w:val="20"/>
          <w:lang w:val="en-US"/>
        </w:rPr>
        <w:t>? ____________________</w:t>
      </w:r>
    </w:p>
    <w:p w14:paraId="11F6E47A" w14:textId="77777777" w:rsidR="008D0CAD" w:rsidRPr="00DC5490" w:rsidRDefault="008D0CAD" w:rsidP="00DD08E3">
      <w:pPr>
        <w:numPr>
          <w:ilvl w:val="1"/>
          <w:numId w:val="81"/>
        </w:numPr>
        <w:spacing w:before="100" w:beforeAutospacing="1" w:after="100" w:afterAutospacing="1" w:line="360" w:lineRule="auto"/>
        <w:ind w:left="900" w:hanging="540"/>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snapToGrid w:val="0"/>
          <w:sz w:val="20"/>
          <w:szCs w:val="20"/>
          <w:lang w:val="en-US"/>
        </w:rPr>
        <w:t xml:space="preserve">How significant are the contributions of the </w:t>
      </w:r>
      <w:r w:rsidRPr="00DC5490">
        <w:rPr>
          <w:rFonts w:asciiTheme="majorHAnsi" w:hAnsiTheme="majorHAnsi" w:cstheme="majorHAnsi"/>
          <w:b/>
          <w:bCs/>
          <w:snapToGrid w:val="0"/>
          <w:color w:val="0070C0"/>
          <w:sz w:val="20"/>
          <w:szCs w:val="20"/>
          <w:lang w:val="en-US"/>
        </w:rPr>
        <w:t>Learning Resource (LR</w:t>
      </w:r>
      <w:r w:rsidRPr="00DC5490">
        <w:rPr>
          <w:rFonts w:asciiTheme="majorHAnsi" w:hAnsiTheme="majorHAnsi" w:cstheme="majorHAnsi"/>
          <w:b/>
          <w:snapToGrid w:val="0"/>
          <w:color w:val="0070C0"/>
          <w:sz w:val="20"/>
          <w:szCs w:val="20"/>
          <w:lang w:val="en-US"/>
        </w:rPr>
        <w:t xml:space="preserve">) </w:t>
      </w:r>
      <w:r w:rsidRPr="00DC5490">
        <w:rPr>
          <w:rFonts w:asciiTheme="majorHAnsi" w:hAnsiTheme="majorHAnsi" w:cstheme="majorHAnsi"/>
          <w:b/>
          <w:bCs/>
          <w:snapToGrid w:val="0"/>
          <w:color w:val="0070C0"/>
          <w:sz w:val="20"/>
          <w:szCs w:val="20"/>
          <w:lang w:val="en-US"/>
        </w:rPr>
        <w:t>Portal</w:t>
      </w:r>
      <w:r w:rsidRPr="00DC5490">
        <w:rPr>
          <w:rFonts w:asciiTheme="majorHAnsi" w:hAnsiTheme="majorHAnsi" w:cstheme="majorHAnsi"/>
          <w:snapToGrid w:val="0"/>
          <w:sz w:val="20"/>
          <w:szCs w:val="20"/>
          <w:lang w:val="en-US"/>
        </w:rPr>
        <w:t xml:space="preserve"> in terms of enhancing the overall operations of your school</w:t>
      </w:r>
      <w:r w:rsidRPr="00DC5490">
        <w:rPr>
          <w:rFonts w:asciiTheme="majorHAnsi" w:hAnsiTheme="majorHAnsi" w:cstheme="majorHAnsi"/>
          <w:bCs/>
          <w:snapToGrid w:val="0"/>
          <w:color w:val="000000"/>
          <w:sz w:val="20"/>
          <w:szCs w:val="20"/>
          <w:lang w:val="en-US"/>
        </w:rPr>
        <w:t>?</w:t>
      </w:r>
    </w:p>
    <w:p w14:paraId="47A7E18E" w14:textId="77777777" w:rsidR="008D0CAD" w:rsidRPr="00DC5490" w:rsidRDefault="008D0CAD" w:rsidP="00DD08E3">
      <w:pPr>
        <w:numPr>
          <w:ilvl w:val="1"/>
          <w:numId w:val="81"/>
        </w:numPr>
        <w:spacing w:before="100" w:beforeAutospacing="1" w:after="100" w:afterAutospacing="1" w:line="360" w:lineRule="auto"/>
        <w:ind w:left="900" w:hanging="540"/>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snapToGrid w:val="0"/>
          <w:sz w:val="20"/>
          <w:szCs w:val="20"/>
          <w:lang w:val="en-US"/>
        </w:rPr>
        <w:t xml:space="preserve">On a scale of 1 to 4 (with 4 being Very High), </w:t>
      </w:r>
      <w:r w:rsidRPr="00DC5490">
        <w:rPr>
          <w:rFonts w:asciiTheme="majorHAnsi" w:hAnsiTheme="majorHAnsi" w:cstheme="majorHAnsi"/>
          <w:snapToGrid w:val="0"/>
          <w:color w:val="000000"/>
          <w:sz w:val="20"/>
          <w:szCs w:val="20"/>
          <w:lang w:val="en-US"/>
        </w:rPr>
        <w:t xml:space="preserve">assess </w:t>
      </w:r>
      <w:r w:rsidRPr="00DC5490">
        <w:rPr>
          <w:rFonts w:asciiTheme="majorHAnsi" w:hAnsiTheme="majorHAnsi" w:cstheme="majorHAnsi"/>
          <w:snapToGrid w:val="0"/>
          <w:sz w:val="20"/>
          <w:szCs w:val="20"/>
          <w:lang w:val="en-US"/>
        </w:rPr>
        <w:t xml:space="preserve">the </w:t>
      </w:r>
      <w:r w:rsidRPr="00DC5490">
        <w:rPr>
          <w:rFonts w:asciiTheme="majorHAnsi" w:hAnsiTheme="majorHAnsi" w:cstheme="majorHAnsi"/>
          <w:b/>
          <w:bCs/>
          <w:snapToGrid w:val="0"/>
          <w:color w:val="0070C0"/>
          <w:sz w:val="20"/>
          <w:szCs w:val="20"/>
          <w:lang w:val="en-US"/>
        </w:rPr>
        <w:t>LR</w:t>
      </w:r>
      <w:r w:rsidRPr="00DC5490">
        <w:rPr>
          <w:rFonts w:asciiTheme="majorHAnsi" w:hAnsiTheme="majorHAnsi" w:cstheme="majorHAnsi"/>
          <w:snapToGrid w:val="0"/>
          <w:sz w:val="20"/>
          <w:szCs w:val="20"/>
          <w:lang w:val="en-US"/>
        </w:rPr>
        <w:t xml:space="preserve"> by marking the appropriate box:</w:t>
      </w:r>
    </w:p>
    <w:tbl>
      <w:tblPr>
        <w:tblStyle w:val="TableGrid8"/>
        <w:tblW w:w="9492" w:type="dxa"/>
        <w:tblInd w:w="355" w:type="dxa"/>
        <w:tblLayout w:type="fixed"/>
        <w:tblLook w:val="04A0" w:firstRow="1" w:lastRow="0" w:firstColumn="1" w:lastColumn="0" w:noHBand="0" w:noVBand="1"/>
      </w:tblPr>
      <w:tblGrid>
        <w:gridCol w:w="4429"/>
        <w:gridCol w:w="1084"/>
        <w:gridCol w:w="904"/>
        <w:gridCol w:w="1084"/>
        <w:gridCol w:w="904"/>
        <w:gridCol w:w="1087"/>
      </w:tblGrid>
      <w:tr w:rsidR="008D0CAD" w:rsidRPr="00DC5490" w14:paraId="5BCDEEA2" w14:textId="77777777" w:rsidTr="00F4751F">
        <w:trPr>
          <w:trHeight w:val="60"/>
          <w:tblHeader/>
        </w:trPr>
        <w:tc>
          <w:tcPr>
            <w:tcW w:w="4429" w:type="dxa"/>
            <w:shd w:val="clear" w:color="auto" w:fill="D9D9D9" w:themeFill="background1" w:themeFillShade="D9"/>
          </w:tcPr>
          <w:p w14:paraId="0E84D822"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p>
        </w:tc>
        <w:tc>
          <w:tcPr>
            <w:tcW w:w="1084" w:type="dxa"/>
            <w:shd w:val="clear" w:color="auto" w:fill="D9D9D9" w:themeFill="background1" w:themeFillShade="D9"/>
            <w:vAlign w:val="center"/>
          </w:tcPr>
          <w:p w14:paraId="19645823"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No opinion</w:t>
            </w:r>
          </w:p>
          <w:p w14:paraId="3995EAA4"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(0)</w:t>
            </w:r>
          </w:p>
        </w:tc>
        <w:tc>
          <w:tcPr>
            <w:tcW w:w="904" w:type="dxa"/>
            <w:shd w:val="clear" w:color="auto" w:fill="D9D9D9" w:themeFill="background1" w:themeFillShade="D9"/>
            <w:vAlign w:val="center"/>
          </w:tcPr>
          <w:p w14:paraId="47576AB2"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Low</w:t>
            </w:r>
          </w:p>
          <w:p w14:paraId="7FA515B0"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(1)</w:t>
            </w:r>
          </w:p>
        </w:tc>
        <w:tc>
          <w:tcPr>
            <w:tcW w:w="1084" w:type="dxa"/>
            <w:shd w:val="clear" w:color="auto" w:fill="D9D9D9" w:themeFill="background1" w:themeFillShade="D9"/>
            <w:vAlign w:val="center"/>
          </w:tcPr>
          <w:p w14:paraId="7B3DF7C5"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Moderate</w:t>
            </w:r>
          </w:p>
          <w:p w14:paraId="13574412"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(2)</w:t>
            </w:r>
          </w:p>
        </w:tc>
        <w:tc>
          <w:tcPr>
            <w:tcW w:w="904" w:type="dxa"/>
            <w:shd w:val="clear" w:color="auto" w:fill="D9D9D9" w:themeFill="background1" w:themeFillShade="D9"/>
            <w:vAlign w:val="center"/>
          </w:tcPr>
          <w:p w14:paraId="15DB11A0"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High</w:t>
            </w:r>
          </w:p>
          <w:p w14:paraId="103FEB9D"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(3)</w:t>
            </w:r>
          </w:p>
        </w:tc>
        <w:tc>
          <w:tcPr>
            <w:tcW w:w="1087" w:type="dxa"/>
            <w:shd w:val="clear" w:color="auto" w:fill="D9D9D9" w:themeFill="background1" w:themeFillShade="D9"/>
            <w:vAlign w:val="center"/>
          </w:tcPr>
          <w:p w14:paraId="7F3E9A42"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Very High</w:t>
            </w:r>
          </w:p>
          <w:p w14:paraId="1FB0C6F9"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(4)</w:t>
            </w:r>
          </w:p>
        </w:tc>
      </w:tr>
      <w:tr w:rsidR="008D0CAD" w:rsidRPr="00DC5490" w14:paraId="474C0E65" w14:textId="77777777" w:rsidTr="009C64E9">
        <w:trPr>
          <w:trHeight w:val="60"/>
        </w:trPr>
        <w:tc>
          <w:tcPr>
            <w:tcW w:w="4429" w:type="dxa"/>
          </w:tcPr>
          <w:p w14:paraId="0648B531"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432" w:hanging="450"/>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b/>
                <w:color w:val="000000"/>
                <w:sz w:val="16"/>
                <w:szCs w:val="16"/>
                <w:lang w:val="en-US"/>
              </w:rPr>
              <w:t>Ease of access</w:t>
            </w:r>
            <w:r w:rsidRPr="00DC5490">
              <w:rPr>
                <w:rFonts w:asciiTheme="majorHAnsi" w:eastAsiaTheme="minorHAnsi" w:hAnsiTheme="majorHAnsi" w:cstheme="majorHAnsi"/>
                <w:color w:val="000000"/>
                <w:sz w:val="16"/>
                <w:szCs w:val="16"/>
                <w:lang w:val="en-US"/>
              </w:rPr>
              <w:t xml:space="preserve"> when connecting to the system</w:t>
            </w:r>
          </w:p>
        </w:tc>
        <w:tc>
          <w:tcPr>
            <w:tcW w:w="1084" w:type="dxa"/>
            <w:vAlign w:val="center"/>
          </w:tcPr>
          <w:p w14:paraId="2E5BC157"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904" w:type="dxa"/>
            <w:vAlign w:val="center"/>
          </w:tcPr>
          <w:p w14:paraId="1114E459"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1084" w:type="dxa"/>
            <w:vAlign w:val="center"/>
          </w:tcPr>
          <w:p w14:paraId="6988F795"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904" w:type="dxa"/>
          </w:tcPr>
          <w:p w14:paraId="468EF362"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087" w:type="dxa"/>
            <w:vAlign w:val="center"/>
          </w:tcPr>
          <w:p w14:paraId="751BD1C9"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r>
      <w:tr w:rsidR="008D0CAD" w:rsidRPr="00DC5490" w14:paraId="69395BD9" w14:textId="77777777" w:rsidTr="009C64E9">
        <w:trPr>
          <w:trHeight w:val="60"/>
        </w:trPr>
        <w:tc>
          <w:tcPr>
            <w:tcW w:w="4429" w:type="dxa"/>
          </w:tcPr>
          <w:p w14:paraId="4BD114A1"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432" w:hanging="450"/>
              <w:rPr>
                <w:rFonts w:asciiTheme="majorHAnsi" w:eastAsiaTheme="minorHAnsi" w:hAnsiTheme="majorHAnsi" w:cstheme="majorHAnsi"/>
                <w:bCs/>
                <w:color w:val="000000"/>
                <w:sz w:val="16"/>
                <w:szCs w:val="16"/>
                <w:lang w:val="en-US"/>
              </w:rPr>
            </w:pPr>
            <w:r w:rsidRPr="00DC5490">
              <w:rPr>
                <w:rFonts w:asciiTheme="majorHAnsi" w:eastAsiaTheme="minorHAnsi" w:hAnsiTheme="majorHAnsi" w:cstheme="majorHAnsi"/>
                <w:b/>
                <w:color w:val="000000"/>
                <w:sz w:val="16"/>
                <w:szCs w:val="16"/>
                <w:lang w:val="en-US"/>
              </w:rPr>
              <w:t>User- friendliness</w:t>
            </w:r>
            <w:r w:rsidRPr="00DC5490">
              <w:rPr>
                <w:rFonts w:asciiTheme="majorHAnsi" w:eastAsiaTheme="minorHAnsi" w:hAnsiTheme="majorHAnsi" w:cstheme="majorHAnsi"/>
                <w:color w:val="000000"/>
                <w:sz w:val="16"/>
                <w:szCs w:val="16"/>
                <w:lang w:val="en-US"/>
              </w:rPr>
              <w:t xml:space="preserve"> of the system when navigating the site</w:t>
            </w:r>
          </w:p>
        </w:tc>
        <w:tc>
          <w:tcPr>
            <w:tcW w:w="1084" w:type="dxa"/>
            <w:vAlign w:val="center"/>
          </w:tcPr>
          <w:p w14:paraId="2F113975"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904" w:type="dxa"/>
            <w:vAlign w:val="center"/>
          </w:tcPr>
          <w:p w14:paraId="42D61698"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084" w:type="dxa"/>
            <w:vAlign w:val="center"/>
          </w:tcPr>
          <w:p w14:paraId="2A2D9DEF"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904" w:type="dxa"/>
          </w:tcPr>
          <w:p w14:paraId="3310B610"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087" w:type="dxa"/>
            <w:vAlign w:val="center"/>
          </w:tcPr>
          <w:p w14:paraId="23254E4B"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r>
      <w:tr w:rsidR="008D0CAD" w:rsidRPr="00DC5490" w14:paraId="553A8DE5" w14:textId="77777777" w:rsidTr="009C64E9">
        <w:trPr>
          <w:trHeight w:val="60"/>
        </w:trPr>
        <w:tc>
          <w:tcPr>
            <w:tcW w:w="4429" w:type="dxa"/>
          </w:tcPr>
          <w:p w14:paraId="58859468"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432" w:hanging="450"/>
              <w:rPr>
                <w:rFonts w:asciiTheme="majorHAnsi" w:eastAsiaTheme="minorHAnsi" w:hAnsiTheme="majorHAnsi" w:cstheme="majorHAnsi"/>
                <w:bCs/>
                <w:color w:val="000000"/>
                <w:sz w:val="16"/>
                <w:szCs w:val="16"/>
                <w:lang w:val="en-US"/>
              </w:rPr>
            </w:pPr>
            <w:r w:rsidRPr="00DC5490">
              <w:rPr>
                <w:rFonts w:asciiTheme="majorHAnsi" w:eastAsiaTheme="minorHAnsi" w:hAnsiTheme="majorHAnsi" w:cstheme="majorHAnsi"/>
                <w:b/>
                <w:color w:val="000000"/>
                <w:sz w:val="16"/>
                <w:szCs w:val="16"/>
                <w:lang w:val="en-US"/>
              </w:rPr>
              <w:t>Usefulness</w:t>
            </w:r>
            <w:r w:rsidRPr="00DC5490">
              <w:rPr>
                <w:rFonts w:asciiTheme="majorHAnsi" w:eastAsiaTheme="minorHAnsi" w:hAnsiTheme="majorHAnsi" w:cstheme="majorHAnsi"/>
                <w:color w:val="000000"/>
                <w:sz w:val="16"/>
                <w:szCs w:val="16"/>
                <w:lang w:val="en-US"/>
              </w:rPr>
              <w:t xml:space="preserve"> of system in enhancing school operations &amp; delivering learning outcomes</w:t>
            </w:r>
          </w:p>
        </w:tc>
        <w:tc>
          <w:tcPr>
            <w:tcW w:w="1084" w:type="dxa"/>
            <w:vAlign w:val="center"/>
          </w:tcPr>
          <w:p w14:paraId="179B4E4C"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904" w:type="dxa"/>
            <w:vAlign w:val="center"/>
          </w:tcPr>
          <w:p w14:paraId="3C177E65"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084" w:type="dxa"/>
            <w:vAlign w:val="center"/>
          </w:tcPr>
          <w:p w14:paraId="6C58B8CA"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904" w:type="dxa"/>
          </w:tcPr>
          <w:p w14:paraId="22B5FDE4"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087" w:type="dxa"/>
            <w:vAlign w:val="center"/>
          </w:tcPr>
          <w:p w14:paraId="3AD9EBDF"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r>
    </w:tbl>
    <w:p w14:paraId="426279C3" w14:textId="77777777" w:rsidR="008D0CAD" w:rsidRPr="00DC5490" w:rsidRDefault="008D0CAD" w:rsidP="00DD08E3">
      <w:pPr>
        <w:numPr>
          <w:ilvl w:val="0"/>
          <w:numId w:val="81"/>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snapToGrid w:val="0"/>
          <w:color w:val="000000" w:themeColor="text1"/>
          <w:sz w:val="20"/>
          <w:szCs w:val="20"/>
        </w:rPr>
        <w:t xml:space="preserve">In your own opinion, what are some hindering and facilitating factors the full utilisation of the </w:t>
      </w:r>
      <w:r w:rsidRPr="00DC5490">
        <w:rPr>
          <w:rFonts w:asciiTheme="majorHAnsi" w:hAnsiTheme="majorHAnsi" w:cstheme="majorHAnsi"/>
          <w:b/>
          <w:snapToGrid w:val="0"/>
          <w:sz w:val="20"/>
          <w:szCs w:val="20"/>
          <w:lang w:val="en-US"/>
        </w:rPr>
        <w:t>Unified information system and sub-systems (UISS)</w:t>
      </w:r>
      <w:r w:rsidRPr="00DC5490">
        <w:rPr>
          <w:rFonts w:asciiTheme="majorHAnsi" w:hAnsiTheme="majorHAnsi" w:cstheme="majorHAnsi"/>
          <w:snapToGrid w:val="0"/>
          <w:color w:val="000000" w:themeColor="text1"/>
          <w:sz w:val="20"/>
          <w:szCs w:val="20"/>
        </w:rPr>
        <w:t>?</w:t>
      </w:r>
      <w:r w:rsidRPr="00DC5490">
        <w:rPr>
          <w:rFonts w:asciiTheme="majorHAnsi" w:hAnsiTheme="majorHAnsi" w:cstheme="majorHAnsi"/>
          <w:snapToGrid w:val="0"/>
          <w:color w:val="000000" w:themeColor="text1"/>
          <w:sz w:val="20"/>
          <w:szCs w:val="20"/>
          <w:lang w:val="en-US"/>
        </w:rPr>
        <w:t xml:space="preserve"> </w:t>
      </w:r>
    </w:p>
    <w:p w14:paraId="56E5F313" w14:textId="77777777" w:rsidR="008D0CAD" w:rsidRPr="00DC5490" w:rsidRDefault="008D0CAD" w:rsidP="00DD08E3">
      <w:pPr>
        <w:numPr>
          <w:ilvl w:val="1"/>
          <w:numId w:val="81"/>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snapToGrid w:val="0"/>
          <w:color w:val="000000" w:themeColor="text1"/>
          <w:sz w:val="20"/>
          <w:szCs w:val="20"/>
          <w:lang w:val="en-US"/>
        </w:rPr>
        <w:t xml:space="preserve">What factors hinder the </w:t>
      </w:r>
      <w:r w:rsidRPr="00DC5490">
        <w:rPr>
          <w:rFonts w:asciiTheme="majorHAnsi" w:hAnsiTheme="majorHAnsi" w:cstheme="majorHAnsi"/>
          <w:snapToGrid w:val="0"/>
          <w:color w:val="000000" w:themeColor="text1"/>
          <w:sz w:val="20"/>
          <w:szCs w:val="20"/>
        </w:rPr>
        <w:t xml:space="preserve">sustained utilisation and effective us of the </w:t>
      </w:r>
      <w:r w:rsidRPr="00DC5490">
        <w:rPr>
          <w:rFonts w:asciiTheme="majorHAnsi" w:hAnsiTheme="majorHAnsi" w:cstheme="majorHAnsi"/>
          <w:b/>
          <w:snapToGrid w:val="0"/>
          <w:sz w:val="20"/>
          <w:szCs w:val="20"/>
          <w:lang w:val="en-US"/>
        </w:rPr>
        <w:t>Unified information system and sub-systems (UISS)</w:t>
      </w:r>
      <w:r w:rsidRPr="00DC5490">
        <w:rPr>
          <w:rFonts w:asciiTheme="majorHAnsi" w:hAnsiTheme="majorHAnsi" w:cstheme="majorHAnsi"/>
          <w:snapToGrid w:val="0"/>
          <w:color w:val="000000" w:themeColor="text1"/>
          <w:sz w:val="20"/>
          <w:szCs w:val="20"/>
        </w:rPr>
        <w:t>?</w:t>
      </w:r>
      <w:r w:rsidRPr="00DC5490">
        <w:rPr>
          <w:rFonts w:asciiTheme="majorHAnsi" w:hAnsiTheme="majorHAnsi" w:cstheme="majorHAnsi"/>
          <w:snapToGrid w:val="0"/>
          <w:color w:val="000000" w:themeColor="text1"/>
          <w:sz w:val="20"/>
          <w:szCs w:val="20"/>
          <w:lang w:val="en-US"/>
        </w:rPr>
        <w:t xml:space="preserve"> </w:t>
      </w:r>
    </w:p>
    <w:p w14:paraId="4EAAF372" w14:textId="77777777" w:rsidR="008D0CAD" w:rsidRPr="00DC5490" w:rsidRDefault="008D0CAD" w:rsidP="00DD08E3">
      <w:pPr>
        <w:numPr>
          <w:ilvl w:val="1"/>
          <w:numId w:val="81"/>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snapToGrid w:val="0"/>
          <w:color w:val="000000" w:themeColor="text1"/>
          <w:sz w:val="20"/>
          <w:szCs w:val="20"/>
          <w:lang w:val="en-US"/>
        </w:rPr>
        <w:t xml:space="preserve">What factors help the </w:t>
      </w:r>
      <w:r w:rsidRPr="00DC5490">
        <w:rPr>
          <w:rFonts w:asciiTheme="majorHAnsi" w:hAnsiTheme="majorHAnsi" w:cstheme="majorHAnsi"/>
          <w:snapToGrid w:val="0"/>
          <w:color w:val="000000" w:themeColor="text1"/>
          <w:sz w:val="20"/>
          <w:szCs w:val="20"/>
        </w:rPr>
        <w:t xml:space="preserve">sustained utilisation and effective us of the </w:t>
      </w:r>
      <w:r w:rsidRPr="00DC5490">
        <w:rPr>
          <w:rFonts w:asciiTheme="majorHAnsi" w:hAnsiTheme="majorHAnsi" w:cstheme="majorHAnsi"/>
          <w:b/>
          <w:snapToGrid w:val="0"/>
          <w:sz w:val="20"/>
          <w:szCs w:val="20"/>
          <w:lang w:val="en-US"/>
        </w:rPr>
        <w:t>Unified information system and sub-systems (UISS)</w:t>
      </w:r>
      <w:r w:rsidRPr="00DC5490">
        <w:rPr>
          <w:rFonts w:asciiTheme="majorHAnsi" w:hAnsiTheme="majorHAnsi" w:cstheme="majorHAnsi"/>
          <w:snapToGrid w:val="0"/>
          <w:color w:val="000000" w:themeColor="text1"/>
          <w:sz w:val="20"/>
          <w:szCs w:val="20"/>
        </w:rPr>
        <w:t>?</w:t>
      </w:r>
    </w:p>
    <w:p w14:paraId="0F4A4A90" w14:textId="77777777" w:rsidR="008D0CAD" w:rsidRPr="00DC5490" w:rsidRDefault="008D0CAD" w:rsidP="00DD08E3">
      <w:pPr>
        <w:numPr>
          <w:ilvl w:val="0"/>
          <w:numId w:val="81"/>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snapToGrid w:val="0"/>
          <w:sz w:val="20"/>
          <w:szCs w:val="20"/>
          <w:lang w:val="en-US"/>
        </w:rPr>
        <w:t xml:space="preserve">As a Principal, what recommendations can you give to ensure </w:t>
      </w:r>
      <w:r w:rsidRPr="00DC5490">
        <w:rPr>
          <w:rFonts w:asciiTheme="majorHAnsi" w:hAnsiTheme="majorHAnsi" w:cstheme="majorHAnsi"/>
          <w:snapToGrid w:val="0"/>
          <w:color w:val="000000" w:themeColor="text1"/>
          <w:sz w:val="20"/>
          <w:szCs w:val="20"/>
        </w:rPr>
        <w:t xml:space="preserve">the sustained utilisation and effective us of the </w:t>
      </w:r>
      <w:r w:rsidRPr="00DC5490">
        <w:rPr>
          <w:rFonts w:asciiTheme="majorHAnsi" w:hAnsiTheme="majorHAnsi" w:cstheme="majorHAnsi"/>
          <w:b/>
          <w:snapToGrid w:val="0"/>
          <w:sz w:val="20"/>
          <w:szCs w:val="20"/>
          <w:lang w:val="en-US"/>
        </w:rPr>
        <w:t xml:space="preserve">Unified information system and sub-systems (UISS) </w:t>
      </w:r>
      <w:r w:rsidRPr="00DC5490">
        <w:rPr>
          <w:rFonts w:asciiTheme="majorHAnsi" w:hAnsiTheme="majorHAnsi" w:cstheme="majorHAnsi"/>
          <w:snapToGrid w:val="0"/>
          <w:sz w:val="20"/>
          <w:szCs w:val="20"/>
          <w:lang w:val="en-US"/>
        </w:rPr>
        <w:t xml:space="preserve">in </w:t>
      </w:r>
      <w:r w:rsidRPr="00DC5490">
        <w:rPr>
          <w:rFonts w:asciiTheme="majorHAnsi" w:hAnsiTheme="majorHAnsi" w:cstheme="majorHAnsi"/>
          <w:bCs/>
          <w:snapToGrid w:val="0"/>
          <w:color w:val="000000"/>
          <w:sz w:val="20"/>
          <w:szCs w:val="20"/>
          <w:lang w:val="en-US"/>
        </w:rPr>
        <w:t>your school</w:t>
      </w:r>
      <w:r w:rsidRPr="00DC5490">
        <w:rPr>
          <w:rFonts w:asciiTheme="majorHAnsi" w:hAnsiTheme="majorHAnsi" w:cstheme="majorHAnsi"/>
          <w:snapToGrid w:val="0"/>
          <w:sz w:val="20"/>
          <w:szCs w:val="20"/>
          <w:lang w:val="en-US"/>
        </w:rPr>
        <w:t>?</w:t>
      </w:r>
    </w:p>
    <w:p w14:paraId="301B2A3D"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rPr>
      </w:pPr>
      <w:r w:rsidRPr="00DC5490">
        <w:rPr>
          <w:rFonts w:asciiTheme="majorHAnsi" w:eastAsiaTheme="minorHAnsi" w:hAnsiTheme="majorHAnsi" w:cstheme="majorHAnsi"/>
          <w:b/>
          <w:color w:val="000000"/>
          <w:sz w:val="20"/>
          <w:szCs w:val="20"/>
          <w:lang w:val="en-US"/>
        </w:rPr>
        <w:t>Organisational development (OD)</w:t>
      </w:r>
    </w:p>
    <w:p w14:paraId="1D303B48" w14:textId="5912C2AE" w:rsidR="008D0CAD" w:rsidRPr="00DC5490" w:rsidRDefault="008D0CAD" w:rsidP="00DD08E3">
      <w:pPr>
        <w:numPr>
          <w:ilvl w:val="0"/>
          <w:numId w:val="81"/>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snapToGrid w:val="0"/>
          <w:sz w:val="20"/>
          <w:szCs w:val="20"/>
          <w:lang w:val="en-US"/>
        </w:rPr>
        <w:t xml:space="preserve">Have you participated in any </w:t>
      </w:r>
      <w:r w:rsidRPr="00DC5490">
        <w:rPr>
          <w:rFonts w:asciiTheme="majorHAnsi" w:hAnsiTheme="majorHAnsi" w:cstheme="majorHAnsi"/>
          <w:b/>
          <w:snapToGrid w:val="0"/>
          <w:sz w:val="20"/>
          <w:szCs w:val="20"/>
          <w:lang w:val="en-US"/>
        </w:rPr>
        <w:t>Continuous Improvement (CI)</w:t>
      </w:r>
      <w:r w:rsidRPr="00DC5490">
        <w:rPr>
          <w:rFonts w:asciiTheme="majorHAnsi" w:hAnsiTheme="majorHAnsi" w:cstheme="majorHAnsi"/>
          <w:snapToGrid w:val="0"/>
          <w:sz w:val="20"/>
          <w:szCs w:val="20"/>
          <w:lang w:val="en-US"/>
        </w:rPr>
        <w:t xml:space="preserve"> activities?</w:t>
      </w:r>
      <w:r w:rsidR="00D434EB">
        <w:rPr>
          <w:rFonts w:asciiTheme="majorHAnsi" w:hAnsiTheme="majorHAnsi" w:cstheme="majorHAnsi"/>
          <w:snapToGrid w:val="0"/>
          <w:sz w:val="20"/>
          <w:szCs w:val="20"/>
          <w:lang w:val="en-US"/>
        </w:rPr>
        <w:t xml:space="preserve"> </w:t>
      </w:r>
      <w:r w:rsidRPr="00DC5490">
        <w:rPr>
          <w:rFonts w:asciiTheme="majorHAnsi" w:hAnsiTheme="majorHAnsi" w:cstheme="majorHAnsi"/>
          <w:snapToGrid w:val="0"/>
          <w:sz w:val="20"/>
          <w:szCs w:val="20"/>
          <w:lang w:val="en-US"/>
        </w:rPr>
        <w:t>___ Yes</w:t>
      </w:r>
      <w:r w:rsidRPr="00DC5490">
        <w:rPr>
          <w:rFonts w:asciiTheme="majorHAnsi" w:hAnsiTheme="majorHAnsi" w:cstheme="majorHAnsi"/>
          <w:snapToGrid w:val="0"/>
          <w:sz w:val="20"/>
          <w:szCs w:val="20"/>
          <w:lang w:val="en-US"/>
        </w:rPr>
        <w:tab/>
        <w:t>___ No</w:t>
      </w:r>
    </w:p>
    <w:p w14:paraId="5E5EF9D1" w14:textId="77777777" w:rsidR="008D0CAD" w:rsidRPr="00DC5490" w:rsidRDefault="008D0CAD" w:rsidP="00DD08E3">
      <w:pPr>
        <w:numPr>
          <w:ilvl w:val="0"/>
          <w:numId w:val="81"/>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bCs/>
          <w:snapToGrid w:val="0"/>
          <w:color w:val="000000"/>
          <w:sz w:val="20"/>
          <w:szCs w:val="20"/>
          <w:lang w:val="en-US"/>
        </w:rPr>
        <w:t xml:space="preserve">If yes, please describe what those activities were: </w:t>
      </w:r>
    </w:p>
    <w:p w14:paraId="7CA2BDC2" w14:textId="3FC37762" w:rsidR="008D0CAD" w:rsidRPr="00DC5490" w:rsidRDefault="008D0CAD" w:rsidP="00DD08E3">
      <w:pPr>
        <w:numPr>
          <w:ilvl w:val="0"/>
          <w:numId w:val="81"/>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snapToGrid w:val="0"/>
          <w:sz w:val="20"/>
          <w:szCs w:val="20"/>
          <w:lang w:val="en-US"/>
        </w:rPr>
        <w:t xml:space="preserve">To what extent did the reforms </w:t>
      </w:r>
      <w:r w:rsidRPr="00DC5490">
        <w:rPr>
          <w:rFonts w:asciiTheme="majorHAnsi" w:hAnsiTheme="majorHAnsi" w:cstheme="majorHAnsi"/>
          <w:bCs/>
          <w:snapToGrid w:val="0"/>
          <w:sz w:val="20"/>
          <w:szCs w:val="20"/>
          <w:lang w:val="en-US"/>
        </w:rPr>
        <w:t xml:space="preserve">in </w:t>
      </w:r>
      <w:r w:rsidRPr="00DC5490">
        <w:rPr>
          <w:rFonts w:asciiTheme="majorHAnsi" w:hAnsiTheme="majorHAnsi" w:cstheme="majorHAnsi"/>
          <w:snapToGrid w:val="0"/>
          <w:sz w:val="20"/>
          <w:szCs w:val="20"/>
          <w:lang w:val="en-US"/>
        </w:rPr>
        <w:t>OD</w:t>
      </w:r>
      <w:r w:rsidRPr="00DC5490">
        <w:rPr>
          <w:rFonts w:asciiTheme="majorHAnsi" w:hAnsiTheme="majorHAnsi" w:cstheme="majorHAnsi"/>
          <w:bCs/>
          <w:snapToGrid w:val="0"/>
          <w:sz w:val="20"/>
          <w:szCs w:val="20"/>
          <w:lang w:val="en-US"/>
        </w:rPr>
        <w:t xml:space="preserve"> enhance the delivery of basic education in your Region/Division</w:t>
      </w:r>
      <w:r w:rsidRPr="00DC5490">
        <w:rPr>
          <w:rFonts w:asciiTheme="majorHAnsi" w:hAnsiTheme="majorHAnsi" w:cstheme="majorHAnsi"/>
          <w:snapToGrid w:val="0"/>
          <w:sz w:val="20"/>
          <w:szCs w:val="20"/>
          <w:lang w:val="en-US"/>
        </w:rPr>
        <w:t>?</w:t>
      </w:r>
      <w:r w:rsidR="00D434EB">
        <w:rPr>
          <w:rFonts w:asciiTheme="majorHAnsi" w:hAnsiTheme="majorHAnsi" w:cstheme="majorHAnsi"/>
          <w:snapToGrid w:val="0"/>
          <w:sz w:val="20"/>
          <w:szCs w:val="20"/>
          <w:lang w:val="en-US"/>
        </w:rPr>
        <w:t xml:space="preserve"> </w:t>
      </w:r>
      <w:r w:rsidRPr="00DC5490">
        <w:rPr>
          <w:rFonts w:asciiTheme="majorHAnsi" w:hAnsiTheme="majorHAnsi" w:cstheme="majorHAnsi"/>
          <w:snapToGrid w:val="0"/>
          <w:sz w:val="20"/>
          <w:szCs w:val="20"/>
          <w:lang w:val="en-US"/>
        </w:rPr>
        <w:t>Please cite specific examples.</w:t>
      </w:r>
    </w:p>
    <w:p w14:paraId="0A56BED4" w14:textId="77777777" w:rsidR="008D0CAD" w:rsidRPr="00DC5490" w:rsidRDefault="008D0CAD" w:rsidP="00DD08E3">
      <w:pPr>
        <w:numPr>
          <w:ilvl w:val="0"/>
          <w:numId w:val="81"/>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snapToGrid w:val="0"/>
          <w:sz w:val="20"/>
          <w:szCs w:val="20"/>
          <w:lang w:val="en-US"/>
        </w:rPr>
        <w:t xml:space="preserve">To what extent would the reforms </w:t>
      </w:r>
      <w:r w:rsidRPr="00DC5490">
        <w:rPr>
          <w:rFonts w:asciiTheme="majorHAnsi" w:hAnsiTheme="majorHAnsi" w:cstheme="majorHAnsi"/>
          <w:bCs/>
          <w:snapToGrid w:val="0"/>
          <w:sz w:val="20"/>
          <w:szCs w:val="20"/>
          <w:lang w:val="en-US"/>
        </w:rPr>
        <w:t xml:space="preserve">in </w:t>
      </w:r>
      <w:r w:rsidRPr="00DC5490">
        <w:rPr>
          <w:rFonts w:asciiTheme="majorHAnsi" w:hAnsiTheme="majorHAnsi" w:cstheme="majorHAnsi"/>
          <w:snapToGrid w:val="0"/>
          <w:sz w:val="20"/>
          <w:szCs w:val="20"/>
          <w:lang w:val="en-US"/>
        </w:rPr>
        <w:t>OD</w:t>
      </w:r>
      <w:r w:rsidRPr="00DC5490">
        <w:rPr>
          <w:rFonts w:asciiTheme="majorHAnsi" w:hAnsiTheme="majorHAnsi" w:cstheme="majorHAnsi"/>
          <w:bCs/>
          <w:snapToGrid w:val="0"/>
          <w:sz w:val="20"/>
          <w:szCs w:val="20"/>
          <w:lang w:val="en-US"/>
        </w:rPr>
        <w:t>, in the last five years, been undertaken and completed without the BEST Program assistance</w:t>
      </w:r>
      <w:r w:rsidRPr="00DC5490">
        <w:rPr>
          <w:rFonts w:asciiTheme="majorHAnsi" w:hAnsiTheme="majorHAnsi" w:cstheme="majorHAnsi"/>
          <w:snapToGrid w:val="0"/>
          <w:sz w:val="20"/>
          <w:szCs w:val="20"/>
          <w:lang w:val="en-US"/>
        </w:rPr>
        <w:t>? How significant was contribution of the BEST Program to these reforms? Please cite specific examples.</w:t>
      </w:r>
    </w:p>
    <w:p w14:paraId="6B290E46" w14:textId="77777777" w:rsidR="0070728E" w:rsidRDefault="008D0CAD" w:rsidP="00DD08E3">
      <w:pPr>
        <w:numPr>
          <w:ilvl w:val="0"/>
          <w:numId w:val="81"/>
        </w:numPr>
        <w:spacing w:before="100" w:beforeAutospacing="1" w:after="100" w:afterAutospacing="1" w:line="360" w:lineRule="auto"/>
        <w:contextualSpacing/>
        <w:rPr>
          <w:rFonts w:asciiTheme="majorHAnsi" w:hAnsiTheme="majorHAnsi" w:cstheme="majorHAnsi"/>
          <w:snapToGrid w:val="0"/>
          <w:sz w:val="20"/>
          <w:szCs w:val="20"/>
          <w:lang w:val="en-US"/>
        </w:rPr>
        <w:sectPr w:rsidR="0070728E" w:rsidSect="009C64E9">
          <w:pgSz w:w="11900" w:h="16840"/>
          <w:pgMar w:top="1440" w:right="1440" w:bottom="1440" w:left="1440" w:header="720" w:footer="720" w:gutter="0"/>
          <w:cols w:space="720"/>
          <w:docGrid w:linePitch="360"/>
        </w:sectPr>
      </w:pPr>
      <w:r w:rsidRPr="00DC5490">
        <w:rPr>
          <w:rFonts w:asciiTheme="majorHAnsi" w:hAnsiTheme="majorHAnsi" w:cstheme="majorHAnsi"/>
          <w:snapToGrid w:val="0"/>
          <w:sz w:val="20"/>
          <w:szCs w:val="20"/>
          <w:lang w:val="en-US"/>
        </w:rPr>
        <w:t>Indicate the different kinds of support provided to you, your teachers and your school to help you successfully implement the reforms and enhance your school operations. Please marking the appropriate box in terms of:</w:t>
      </w:r>
    </w:p>
    <w:p w14:paraId="3CE38E87" w14:textId="138EDFB6" w:rsidR="008D0CAD" w:rsidRPr="00DC5490" w:rsidRDefault="008D0CAD" w:rsidP="004B064D">
      <w:pPr>
        <w:spacing w:before="100" w:beforeAutospacing="1" w:after="100" w:afterAutospacing="1" w:line="360" w:lineRule="auto"/>
        <w:ind w:left="360"/>
        <w:contextualSpacing/>
        <w:rPr>
          <w:rFonts w:asciiTheme="majorHAnsi" w:hAnsiTheme="majorHAnsi" w:cstheme="majorHAnsi"/>
          <w:bCs/>
          <w:snapToGrid w:val="0"/>
          <w:color w:val="000000"/>
          <w:sz w:val="20"/>
          <w:szCs w:val="20"/>
          <w:lang w:val="en-US"/>
        </w:rPr>
      </w:pPr>
    </w:p>
    <w:tbl>
      <w:tblPr>
        <w:tblStyle w:val="TableGrid8"/>
        <w:tblW w:w="9556" w:type="dxa"/>
        <w:tblInd w:w="265" w:type="dxa"/>
        <w:tblLayout w:type="fixed"/>
        <w:tblLook w:val="04A0" w:firstRow="1" w:lastRow="0" w:firstColumn="1" w:lastColumn="0" w:noHBand="0" w:noVBand="1"/>
      </w:tblPr>
      <w:tblGrid>
        <w:gridCol w:w="3721"/>
        <w:gridCol w:w="930"/>
        <w:gridCol w:w="761"/>
        <w:gridCol w:w="845"/>
        <w:gridCol w:w="845"/>
        <w:gridCol w:w="845"/>
        <w:gridCol w:w="1609"/>
      </w:tblGrid>
      <w:tr w:rsidR="00DD6693" w:rsidRPr="00DC5490" w14:paraId="34A9006B" w14:textId="77777777" w:rsidTr="00F4751F">
        <w:trPr>
          <w:trHeight w:val="1196"/>
          <w:tblHeader/>
        </w:trPr>
        <w:tc>
          <w:tcPr>
            <w:tcW w:w="3721" w:type="dxa"/>
            <w:tcBorders>
              <w:bottom w:val="nil"/>
            </w:tcBorders>
            <w:shd w:val="clear" w:color="auto" w:fill="E7E6E6" w:themeFill="background2"/>
          </w:tcPr>
          <w:p w14:paraId="16D7E1C9"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b/>
                <w:color w:val="000000"/>
                <w:sz w:val="16"/>
                <w:szCs w:val="16"/>
                <w:lang w:val="en-US"/>
              </w:rPr>
            </w:pPr>
          </w:p>
        </w:tc>
        <w:tc>
          <w:tcPr>
            <w:tcW w:w="930" w:type="dxa"/>
            <w:tcBorders>
              <w:bottom w:val="nil"/>
              <w:right w:val="single" w:sz="4" w:space="0" w:color="auto"/>
            </w:tcBorders>
            <w:shd w:val="clear" w:color="auto" w:fill="E7E6E6" w:themeFill="background2"/>
            <w:vAlign w:val="center"/>
          </w:tcPr>
          <w:p w14:paraId="72FDA479" w14:textId="3C345F9C"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b/>
                <w:color w:val="000000" w:themeColor="text1"/>
                <w:sz w:val="16"/>
                <w:szCs w:val="16"/>
                <w:lang w:val="en-US"/>
              </w:rPr>
            </w:pPr>
            <w:r w:rsidRPr="00DC5490">
              <w:rPr>
                <w:rFonts w:asciiTheme="majorHAnsi" w:eastAsiaTheme="minorHAnsi" w:hAnsiTheme="majorHAnsi" w:cstheme="majorHAnsi"/>
                <w:b/>
                <w:color w:val="000000" w:themeColor="text1"/>
                <w:sz w:val="16"/>
                <w:szCs w:val="16"/>
                <w:lang w:val="en-US"/>
              </w:rPr>
              <w:t>Not Applicable</w:t>
            </w:r>
          </w:p>
        </w:tc>
        <w:tc>
          <w:tcPr>
            <w:tcW w:w="761" w:type="dxa"/>
            <w:tcBorders>
              <w:left w:val="single" w:sz="4" w:space="0" w:color="auto"/>
              <w:right w:val="nil"/>
            </w:tcBorders>
            <w:shd w:val="clear" w:color="auto" w:fill="E7E6E6" w:themeFill="background2"/>
            <w:vAlign w:val="center"/>
          </w:tcPr>
          <w:p w14:paraId="079BA89A" w14:textId="41974FDC"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b/>
                <w:color w:val="000000" w:themeColor="text1"/>
                <w:sz w:val="16"/>
                <w:szCs w:val="16"/>
                <w:lang w:val="en-US"/>
              </w:rPr>
            </w:pPr>
            <w:r>
              <w:rPr>
                <w:rFonts w:asciiTheme="majorHAnsi" w:eastAsiaTheme="minorHAnsi" w:hAnsiTheme="majorHAnsi" w:cstheme="majorHAnsi"/>
                <w:b/>
                <w:color w:val="000000" w:themeColor="text1"/>
                <w:sz w:val="16"/>
                <w:szCs w:val="16"/>
                <w:lang w:val="en-US"/>
              </w:rPr>
              <w:t>Type</w:t>
            </w:r>
          </w:p>
        </w:tc>
        <w:tc>
          <w:tcPr>
            <w:tcW w:w="845" w:type="dxa"/>
            <w:tcBorders>
              <w:left w:val="nil"/>
              <w:right w:val="nil"/>
            </w:tcBorders>
            <w:shd w:val="clear" w:color="auto" w:fill="E7E6E6" w:themeFill="background2"/>
            <w:vAlign w:val="center"/>
          </w:tcPr>
          <w:p w14:paraId="799FCC1F" w14:textId="64DF7EC4"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b/>
                <w:color w:val="000000" w:themeColor="text1"/>
                <w:sz w:val="16"/>
                <w:szCs w:val="16"/>
                <w:lang w:val="en-US"/>
              </w:rPr>
            </w:pPr>
            <w:r>
              <w:rPr>
                <w:rFonts w:asciiTheme="majorHAnsi" w:eastAsiaTheme="minorHAnsi" w:hAnsiTheme="majorHAnsi" w:cstheme="majorHAnsi"/>
                <w:b/>
                <w:color w:val="000000" w:themeColor="text1"/>
                <w:sz w:val="16"/>
                <w:szCs w:val="16"/>
                <w:lang w:val="en-US"/>
              </w:rPr>
              <w:t>of</w:t>
            </w:r>
          </w:p>
        </w:tc>
        <w:tc>
          <w:tcPr>
            <w:tcW w:w="845" w:type="dxa"/>
            <w:tcBorders>
              <w:left w:val="nil"/>
              <w:right w:val="nil"/>
            </w:tcBorders>
            <w:shd w:val="clear" w:color="auto" w:fill="E7E6E6" w:themeFill="background2"/>
            <w:vAlign w:val="center"/>
          </w:tcPr>
          <w:p w14:paraId="0266B99A" w14:textId="74D3A9B9"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b/>
                <w:color w:val="000000" w:themeColor="text1"/>
                <w:sz w:val="16"/>
                <w:szCs w:val="16"/>
                <w:lang w:val="en-US"/>
              </w:rPr>
            </w:pPr>
            <w:r>
              <w:rPr>
                <w:rFonts w:asciiTheme="majorHAnsi" w:eastAsiaTheme="minorHAnsi" w:hAnsiTheme="majorHAnsi" w:cstheme="majorHAnsi"/>
                <w:b/>
                <w:bCs/>
                <w:color w:val="000000"/>
                <w:sz w:val="16"/>
                <w:szCs w:val="16"/>
                <w:lang w:val="en-US"/>
              </w:rPr>
              <w:t>Support</w:t>
            </w:r>
          </w:p>
        </w:tc>
        <w:tc>
          <w:tcPr>
            <w:tcW w:w="845" w:type="dxa"/>
            <w:tcBorders>
              <w:left w:val="nil"/>
              <w:right w:val="nil"/>
            </w:tcBorders>
            <w:shd w:val="clear" w:color="auto" w:fill="E7E6E6" w:themeFill="background2"/>
            <w:vAlign w:val="center"/>
          </w:tcPr>
          <w:p w14:paraId="39EAF1A2" w14:textId="77231B42"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b/>
                <w:color w:val="000000" w:themeColor="text1"/>
                <w:sz w:val="16"/>
                <w:szCs w:val="16"/>
                <w:lang w:val="en-US"/>
              </w:rPr>
            </w:pPr>
          </w:p>
        </w:tc>
        <w:tc>
          <w:tcPr>
            <w:tcW w:w="1609" w:type="dxa"/>
            <w:tcBorders>
              <w:left w:val="nil"/>
            </w:tcBorders>
            <w:shd w:val="clear" w:color="auto" w:fill="E7E6E6" w:themeFill="background2"/>
            <w:vAlign w:val="center"/>
          </w:tcPr>
          <w:p w14:paraId="05449F89" w14:textId="18D9B953"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b/>
                <w:color w:val="000000" w:themeColor="text1"/>
                <w:sz w:val="16"/>
                <w:szCs w:val="16"/>
                <w:lang w:val="en-US"/>
              </w:rPr>
            </w:pPr>
          </w:p>
        </w:tc>
      </w:tr>
      <w:tr w:rsidR="00DD6693" w:rsidRPr="00DC5490" w14:paraId="2C4D0110" w14:textId="77777777" w:rsidTr="00F4751F">
        <w:trPr>
          <w:trHeight w:val="189"/>
          <w:tblHeader/>
        </w:trPr>
        <w:tc>
          <w:tcPr>
            <w:tcW w:w="3721" w:type="dxa"/>
            <w:tcBorders>
              <w:top w:val="nil"/>
            </w:tcBorders>
            <w:shd w:val="clear" w:color="auto" w:fill="E7E6E6" w:themeFill="background2"/>
          </w:tcPr>
          <w:p w14:paraId="6259478F" w14:textId="281ED4B6" w:rsidR="00DD6693" w:rsidRPr="00DC5490" w:rsidRDefault="00DD6693" w:rsidP="00FF4CA3">
            <w:pPr>
              <w:autoSpaceDE w:val="0"/>
              <w:autoSpaceDN w:val="0"/>
              <w:adjustRightInd w:val="0"/>
              <w:spacing w:before="100" w:beforeAutospacing="1" w:after="100" w:afterAutospacing="1" w:line="360" w:lineRule="auto"/>
              <w:ind w:left="360"/>
              <w:rPr>
                <w:rFonts w:asciiTheme="majorHAnsi" w:eastAsiaTheme="minorHAnsi" w:hAnsiTheme="majorHAnsi" w:cstheme="majorHAnsi"/>
                <w:bCs/>
                <w:color w:val="000000" w:themeColor="text1"/>
                <w:sz w:val="16"/>
                <w:szCs w:val="16"/>
                <w:lang w:val="en-US"/>
              </w:rPr>
            </w:pPr>
            <w:r w:rsidRPr="00DC5490">
              <w:rPr>
                <w:rFonts w:asciiTheme="majorHAnsi" w:eastAsiaTheme="minorHAnsi" w:hAnsiTheme="majorHAnsi" w:cstheme="majorHAnsi"/>
                <w:b/>
                <w:color w:val="000000"/>
                <w:sz w:val="16"/>
                <w:szCs w:val="16"/>
                <w:lang w:val="en-US"/>
              </w:rPr>
              <w:t>Basic Education Reforms</w:t>
            </w:r>
          </w:p>
        </w:tc>
        <w:tc>
          <w:tcPr>
            <w:tcW w:w="930" w:type="dxa"/>
            <w:tcBorders>
              <w:top w:val="nil"/>
            </w:tcBorders>
            <w:shd w:val="clear" w:color="auto" w:fill="E7E6E6" w:themeFill="background2"/>
            <w:vAlign w:val="center"/>
          </w:tcPr>
          <w:p w14:paraId="161B144A" w14:textId="73A772DA"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761" w:type="dxa"/>
            <w:shd w:val="clear" w:color="auto" w:fill="E7E6E6" w:themeFill="background2"/>
            <w:vAlign w:val="center"/>
          </w:tcPr>
          <w:p w14:paraId="27E61E78" w14:textId="7A81CBA6"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b/>
                <w:color w:val="000000" w:themeColor="text1"/>
                <w:sz w:val="16"/>
                <w:szCs w:val="16"/>
                <w:lang w:val="en-US"/>
              </w:rPr>
              <w:t>Policy</w:t>
            </w:r>
          </w:p>
        </w:tc>
        <w:tc>
          <w:tcPr>
            <w:tcW w:w="845" w:type="dxa"/>
            <w:shd w:val="clear" w:color="auto" w:fill="E7E6E6" w:themeFill="background2"/>
            <w:vAlign w:val="center"/>
          </w:tcPr>
          <w:p w14:paraId="422BB54A" w14:textId="606EA2A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b/>
                <w:color w:val="000000" w:themeColor="text1"/>
                <w:sz w:val="16"/>
                <w:szCs w:val="16"/>
                <w:lang w:val="en-US"/>
              </w:rPr>
              <w:t>Capacity Building / Training</w:t>
            </w:r>
          </w:p>
        </w:tc>
        <w:tc>
          <w:tcPr>
            <w:tcW w:w="845" w:type="dxa"/>
            <w:shd w:val="clear" w:color="auto" w:fill="E7E6E6" w:themeFill="background2"/>
            <w:vAlign w:val="center"/>
          </w:tcPr>
          <w:p w14:paraId="21D6AD9A" w14:textId="0F62CA8C"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b/>
                <w:bCs/>
                <w:color w:val="000000"/>
                <w:sz w:val="16"/>
                <w:szCs w:val="16"/>
                <w:lang w:val="en-US"/>
              </w:rPr>
              <w:t>Provision of teaching and learning resources</w:t>
            </w:r>
          </w:p>
        </w:tc>
        <w:tc>
          <w:tcPr>
            <w:tcW w:w="845" w:type="dxa"/>
            <w:shd w:val="clear" w:color="auto" w:fill="E7E6E6" w:themeFill="background2"/>
            <w:vAlign w:val="center"/>
          </w:tcPr>
          <w:p w14:paraId="43CEBEFE" w14:textId="48C7D334"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b/>
                <w:color w:val="000000" w:themeColor="text1"/>
                <w:sz w:val="16"/>
                <w:szCs w:val="16"/>
                <w:lang w:val="en-US"/>
              </w:rPr>
              <w:t>Financial</w:t>
            </w:r>
            <w:r w:rsidR="00D434EB">
              <w:rPr>
                <w:rFonts w:asciiTheme="majorHAnsi" w:eastAsiaTheme="minorHAnsi" w:hAnsiTheme="majorHAnsi" w:cstheme="majorHAnsi"/>
                <w:b/>
                <w:color w:val="000000" w:themeColor="text1"/>
                <w:sz w:val="16"/>
                <w:szCs w:val="16"/>
                <w:lang w:val="en-US"/>
              </w:rPr>
              <w:t xml:space="preserve"> </w:t>
            </w:r>
          </w:p>
        </w:tc>
        <w:tc>
          <w:tcPr>
            <w:tcW w:w="1609" w:type="dxa"/>
            <w:shd w:val="clear" w:color="auto" w:fill="E7E6E6" w:themeFill="background2"/>
            <w:vAlign w:val="center"/>
          </w:tcPr>
          <w:p w14:paraId="6D81EC24" w14:textId="2DE57B8C"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b/>
                <w:color w:val="000000" w:themeColor="text1"/>
                <w:sz w:val="16"/>
                <w:szCs w:val="16"/>
                <w:lang w:val="en-US"/>
              </w:rPr>
              <w:t>Others, please specify</w:t>
            </w:r>
          </w:p>
        </w:tc>
      </w:tr>
      <w:tr w:rsidR="00DD6693" w:rsidRPr="00DC5490" w14:paraId="6A44DA2E" w14:textId="77777777" w:rsidTr="00D36547">
        <w:trPr>
          <w:trHeight w:val="189"/>
        </w:trPr>
        <w:tc>
          <w:tcPr>
            <w:tcW w:w="3721" w:type="dxa"/>
          </w:tcPr>
          <w:p w14:paraId="5281E4CF" w14:textId="34FE3B3F" w:rsidR="00DD6693" w:rsidRPr="00DC5490" w:rsidRDefault="00DD6693" w:rsidP="00DD6693">
            <w:pPr>
              <w:numPr>
                <w:ilvl w:val="0"/>
                <w:numId w:val="96"/>
              </w:num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bCs/>
                <w:color w:val="000000" w:themeColor="text1"/>
                <w:sz w:val="16"/>
                <w:szCs w:val="16"/>
                <w:lang w:val="en-US"/>
              </w:rPr>
              <w:t xml:space="preserve">Trial of the </w:t>
            </w:r>
            <w:r w:rsidRPr="00DC5490">
              <w:rPr>
                <w:rFonts w:asciiTheme="majorHAnsi" w:eastAsiaTheme="minorHAnsi" w:hAnsiTheme="majorHAnsi" w:cstheme="majorHAnsi"/>
                <w:b/>
                <w:bCs/>
                <w:color w:val="000000" w:themeColor="text1"/>
                <w:sz w:val="16"/>
                <w:szCs w:val="16"/>
                <w:lang w:val="en-US"/>
              </w:rPr>
              <w:t>L&amp;D</w:t>
            </w:r>
            <w:r w:rsidRPr="00DC5490">
              <w:rPr>
                <w:rFonts w:asciiTheme="majorHAnsi" w:eastAsiaTheme="minorHAnsi" w:hAnsiTheme="majorHAnsi" w:cstheme="majorHAnsi"/>
                <w:bCs/>
                <w:color w:val="000000" w:themeColor="text1"/>
                <w:sz w:val="16"/>
                <w:szCs w:val="16"/>
                <w:lang w:val="en-US"/>
              </w:rPr>
              <w:t xml:space="preserve"> system</w:t>
            </w:r>
            <w:r w:rsidR="00D434EB">
              <w:rPr>
                <w:rFonts w:asciiTheme="majorHAnsi" w:eastAsiaTheme="minorHAnsi" w:hAnsiTheme="majorHAnsi" w:cstheme="majorHAnsi"/>
                <w:bCs/>
                <w:color w:val="000000" w:themeColor="text1"/>
                <w:sz w:val="16"/>
                <w:szCs w:val="16"/>
                <w:lang w:val="en-US"/>
              </w:rPr>
              <w:t xml:space="preserve"> </w:t>
            </w:r>
            <w:r w:rsidRPr="00DC5490">
              <w:rPr>
                <w:rFonts w:asciiTheme="majorHAnsi" w:eastAsiaTheme="minorHAnsi" w:hAnsiTheme="majorHAnsi" w:cstheme="majorHAnsi"/>
                <w:bCs/>
                <w:color w:val="000000" w:themeColor="text1"/>
                <w:sz w:val="16"/>
                <w:szCs w:val="16"/>
                <w:lang w:val="en-US"/>
              </w:rPr>
              <w:t xml:space="preserve"> </w:t>
            </w:r>
          </w:p>
        </w:tc>
        <w:tc>
          <w:tcPr>
            <w:tcW w:w="930" w:type="dxa"/>
          </w:tcPr>
          <w:p w14:paraId="5C33AE2B"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761" w:type="dxa"/>
            <w:vAlign w:val="center"/>
          </w:tcPr>
          <w:p w14:paraId="45AD80B6"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45" w:type="dxa"/>
            <w:vAlign w:val="center"/>
          </w:tcPr>
          <w:p w14:paraId="2C2F9ED5"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45" w:type="dxa"/>
            <w:vAlign w:val="center"/>
          </w:tcPr>
          <w:p w14:paraId="39ED2D9E"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45" w:type="dxa"/>
          </w:tcPr>
          <w:p w14:paraId="5AFBD0E0"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609" w:type="dxa"/>
            <w:vAlign w:val="center"/>
          </w:tcPr>
          <w:p w14:paraId="09891059"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r>
      <w:tr w:rsidR="00DD6693" w:rsidRPr="00DC5490" w14:paraId="364B0AD1" w14:textId="77777777" w:rsidTr="00D36547">
        <w:trPr>
          <w:trHeight w:val="403"/>
        </w:trPr>
        <w:tc>
          <w:tcPr>
            <w:tcW w:w="3721" w:type="dxa"/>
          </w:tcPr>
          <w:p w14:paraId="6E730B39" w14:textId="77777777" w:rsidR="00DD6693" w:rsidRPr="00DC5490" w:rsidRDefault="00DD6693" w:rsidP="00DD6693">
            <w:pPr>
              <w:numPr>
                <w:ilvl w:val="0"/>
                <w:numId w:val="96"/>
              </w:num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sz w:val="16"/>
                <w:szCs w:val="16"/>
                <w:lang w:val="en-US"/>
              </w:rPr>
              <w:t>Implementation of the Collaborative Lesson Planning (</w:t>
            </w:r>
            <w:r w:rsidRPr="00DC5490">
              <w:rPr>
                <w:rFonts w:asciiTheme="majorHAnsi" w:eastAsiaTheme="minorHAnsi" w:hAnsiTheme="majorHAnsi" w:cstheme="majorHAnsi"/>
                <w:b/>
                <w:color w:val="000000"/>
                <w:sz w:val="16"/>
                <w:szCs w:val="16"/>
                <w:lang w:val="en-US"/>
              </w:rPr>
              <w:t>CLP</w:t>
            </w:r>
            <w:r w:rsidRPr="00DC5490">
              <w:rPr>
                <w:rFonts w:asciiTheme="majorHAnsi" w:eastAsiaTheme="minorHAnsi" w:hAnsiTheme="majorHAnsi" w:cstheme="majorHAnsi"/>
                <w:color w:val="000000"/>
                <w:sz w:val="16"/>
                <w:szCs w:val="16"/>
                <w:lang w:val="en-US"/>
              </w:rPr>
              <w:t>)</w:t>
            </w:r>
          </w:p>
        </w:tc>
        <w:tc>
          <w:tcPr>
            <w:tcW w:w="930" w:type="dxa"/>
          </w:tcPr>
          <w:p w14:paraId="4E8274DB"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761" w:type="dxa"/>
            <w:vAlign w:val="center"/>
          </w:tcPr>
          <w:p w14:paraId="7DC9C5CE"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45" w:type="dxa"/>
            <w:vAlign w:val="center"/>
          </w:tcPr>
          <w:p w14:paraId="40B65E48"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45" w:type="dxa"/>
            <w:vAlign w:val="center"/>
          </w:tcPr>
          <w:p w14:paraId="2F4BC01B"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45" w:type="dxa"/>
          </w:tcPr>
          <w:p w14:paraId="08159E62"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609" w:type="dxa"/>
            <w:vAlign w:val="center"/>
          </w:tcPr>
          <w:p w14:paraId="4069CF85"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r>
      <w:tr w:rsidR="00DD6693" w:rsidRPr="00DC5490" w14:paraId="032E26E1" w14:textId="77777777" w:rsidTr="00D36547">
        <w:trPr>
          <w:trHeight w:val="390"/>
        </w:trPr>
        <w:tc>
          <w:tcPr>
            <w:tcW w:w="3721" w:type="dxa"/>
          </w:tcPr>
          <w:p w14:paraId="77EAC42C" w14:textId="77777777" w:rsidR="00DD6693" w:rsidRPr="00DC5490" w:rsidRDefault="00DD6693" w:rsidP="00DD6693">
            <w:pPr>
              <w:numPr>
                <w:ilvl w:val="0"/>
                <w:numId w:val="96"/>
              </w:num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sz w:val="16"/>
                <w:szCs w:val="16"/>
                <w:lang w:val="en-US"/>
              </w:rPr>
              <w:t xml:space="preserve">Implementation of the </w:t>
            </w:r>
            <w:r w:rsidRPr="00DC5490">
              <w:rPr>
                <w:rFonts w:asciiTheme="majorHAnsi" w:eastAsiaTheme="minorHAnsi" w:hAnsiTheme="majorHAnsi" w:cstheme="majorHAnsi"/>
                <w:color w:val="000000" w:themeColor="text1"/>
                <w:sz w:val="16"/>
                <w:szCs w:val="16"/>
                <w:lang w:val="en-US"/>
              </w:rPr>
              <w:t>Learning Action Cells (</w:t>
            </w:r>
            <w:r w:rsidRPr="00DC5490">
              <w:rPr>
                <w:rFonts w:asciiTheme="majorHAnsi" w:eastAsiaTheme="minorHAnsi" w:hAnsiTheme="majorHAnsi" w:cstheme="majorHAnsi"/>
                <w:b/>
                <w:color w:val="000000" w:themeColor="text1"/>
                <w:sz w:val="16"/>
                <w:szCs w:val="16"/>
                <w:lang w:val="en-US"/>
              </w:rPr>
              <w:t>LAC</w:t>
            </w:r>
            <w:r w:rsidRPr="00DC5490">
              <w:rPr>
                <w:rFonts w:asciiTheme="majorHAnsi" w:eastAsiaTheme="minorHAnsi" w:hAnsiTheme="majorHAnsi" w:cstheme="majorHAnsi"/>
                <w:color w:val="000000" w:themeColor="text1"/>
                <w:sz w:val="16"/>
                <w:szCs w:val="16"/>
                <w:lang w:val="en-US"/>
              </w:rPr>
              <w:t>)</w:t>
            </w:r>
          </w:p>
        </w:tc>
        <w:tc>
          <w:tcPr>
            <w:tcW w:w="930" w:type="dxa"/>
          </w:tcPr>
          <w:p w14:paraId="0474BA6F"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761" w:type="dxa"/>
            <w:vAlign w:val="center"/>
          </w:tcPr>
          <w:p w14:paraId="0D20DDEA"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45" w:type="dxa"/>
            <w:vAlign w:val="center"/>
          </w:tcPr>
          <w:p w14:paraId="40EE0637"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45" w:type="dxa"/>
            <w:vAlign w:val="center"/>
          </w:tcPr>
          <w:p w14:paraId="06714C44"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45" w:type="dxa"/>
          </w:tcPr>
          <w:p w14:paraId="43878FD7"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609" w:type="dxa"/>
            <w:vAlign w:val="center"/>
          </w:tcPr>
          <w:p w14:paraId="42A5FB5B"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p w14:paraId="74A89A23"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r>
      <w:tr w:rsidR="00DD6693" w:rsidRPr="00DC5490" w14:paraId="3B227083" w14:textId="77777777" w:rsidTr="00D36547">
        <w:trPr>
          <w:trHeight w:val="390"/>
        </w:trPr>
        <w:tc>
          <w:tcPr>
            <w:tcW w:w="3721" w:type="dxa"/>
          </w:tcPr>
          <w:p w14:paraId="1C964A73" w14:textId="77777777" w:rsidR="00DD6693" w:rsidRPr="00DC5490" w:rsidRDefault="00DD6693" w:rsidP="00DD6693">
            <w:pPr>
              <w:numPr>
                <w:ilvl w:val="0"/>
                <w:numId w:val="96"/>
              </w:num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sz w:val="16"/>
                <w:szCs w:val="16"/>
                <w:lang w:val="en-US"/>
              </w:rPr>
              <w:t xml:space="preserve">Implementation of the </w:t>
            </w:r>
            <w:r w:rsidRPr="00DC5490">
              <w:rPr>
                <w:rFonts w:asciiTheme="majorHAnsi" w:eastAsiaTheme="minorHAnsi" w:hAnsiTheme="majorHAnsi" w:cstheme="majorHAnsi"/>
                <w:bCs/>
                <w:color w:val="000000"/>
                <w:sz w:val="16"/>
                <w:szCs w:val="16"/>
                <w:lang w:val="en-US"/>
              </w:rPr>
              <w:t>Results-based Performance Management System (</w:t>
            </w:r>
            <w:r w:rsidRPr="00DC5490">
              <w:rPr>
                <w:rFonts w:asciiTheme="majorHAnsi" w:eastAsiaTheme="minorHAnsi" w:hAnsiTheme="majorHAnsi" w:cstheme="majorHAnsi"/>
                <w:b/>
                <w:bCs/>
                <w:color w:val="000000"/>
                <w:sz w:val="16"/>
                <w:szCs w:val="16"/>
                <w:lang w:val="en-US"/>
              </w:rPr>
              <w:t>RPMS</w:t>
            </w:r>
            <w:r w:rsidRPr="00DC5490">
              <w:rPr>
                <w:rFonts w:asciiTheme="majorHAnsi" w:eastAsiaTheme="minorHAnsi" w:hAnsiTheme="majorHAnsi" w:cstheme="majorHAnsi"/>
                <w:bCs/>
                <w:color w:val="000000"/>
                <w:sz w:val="16"/>
                <w:szCs w:val="16"/>
                <w:lang w:val="en-US"/>
              </w:rPr>
              <w:t>)</w:t>
            </w:r>
          </w:p>
        </w:tc>
        <w:tc>
          <w:tcPr>
            <w:tcW w:w="930" w:type="dxa"/>
          </w:tcPr>
          <w:p w14:paraId="4CB2E6E9"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761" w:type="dxa"/>
            <w:vAlign w:val="center"/>
          </w:tcPr>
          <w:p w14:paraId="06514DEB"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45" w:type="dxa"/>
            <w:vAlign w:val="center"/>
          </w:tcPr>
          <w:p w14:paraId="7826D89B"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45" w:type="dxa"/>
            <w:vAlign w:val="center"/>
          </w:tcPr>
          <w:p w14:paraId="0550A0E8"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45" w:type="dxa"/>
          </w:tcPr>
          <w:p w14:paraId="01399BA8"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609" w:type="dxa"/>
            <w:vAlign w:val="center"/>
          </w:tcPr>
          <w:p w14:paraId="1A15386D"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r>
      <w:tr w:rsidR="00DD6693" w:rsidRPr="00DC5490" w14:paraId="4C499358" w14:textId="77777777" w:rsidTr="00D36547">
        <w:trPr>
          <w:trHeight w:val="201"/>
        </w:trPr>
        <w:tc>
          <w:tcPr>
            <w:tcW w:w="3721" w:type="dxa"/>
          </w:tcPr>
          <w:p w14:paraId="33431870" w14:textId="77777777" w:rsidR="00DD6693" w:rsidRPr="00DC5490" w:rsidRDefault="00DD6693" w:rsidP="00DD6693">
            <w:pPr>
              <w:numPr>
                <w:ilvl w:val="0"/>
                <w:numId w:val="96"/>
              </w:num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Use of Self-Assessment Tool (</w:t>
            </w:r>
            <w:r w:rsidRPr="00DC5490">
              <w:rPr>
                <w:rFonts w:asciiTheme="majorHAnsi" w:eastAsiaTheme="minorHAnsi" w:hAnsiTheme="majorHAnsi" w:cstheme="majorHAnsi"/>
                <w:b/>
                <w:color w:val="000000" w:themeColor="text1"/>
                <w:sz w:val="16"/>
                <w:szCs w:val="16"/>
                <w:lang w:val="en-US"/>
              </w:rPr>
              <w:t>SAT</w:t>
            </w:r>
            <w:r w:rsidRPr="00DC5490">
              <w:rPr>
                <w:rFonts w:asciiTheme="majorHAnsi" w:eastAsiaTheme="minorHAnsi" w:hAnsiTheme="majorHAnsi" w:cstheme="majorHAnsi"/>
                <w:color w:val="000000" w:themeColor="text1"/>
                <w:sz w:val="16"/>
                <w:szCs w:val="16"/>
                <w:lang w:val="en-US"/>
              </w:rPr>
              <w:t>)</w:t>
            </w:r>
          </w:p>
        </w:tc>
        <w:tc>
          <w:tcPr>
            <w:tcW w:w="930" w:type="dxa"/>
          </w:tcPr>
          <w:p w14:paraId="300D3D61"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761" w:type="dxa"/>
            <w:vAlign w:val="center"/>
          </w:tcPr>
          <w:p w14:paraId="06F89107"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45" w:type="dxa"/>
            <w:vAlign w:val="center"/>
          </w:tcPr>
          <w:p w14:paraId="08E06468"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45" w:type="dxa"/>
            <w:vAlign w:val="center"/>
          </w:tcPr>
          <w:p w14:paraId="2378995D"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45" w:type="dxa"/>
          </w:tcPr>
          <w:p w14:paraId="64A0455F"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609" w:type="dxa"/>
            <w:vAlign w:val="center"/>
          </w:tcPr>
          <w:p w14:paraId="73923D60"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r>
      <w:tr w:rsidR="00DD6693" w:rsidRPr="00DC5490" w14:paraId="3EEA3948" w14:textId="77777777" w:rsidTr="00D36547">
        <w:trPr>
          <w:trHeight w:val="201"/>
        </w:trPr>
        <w:tc>
          <w:tcPr>
            <w:tcW w:w="3721" w:type="dxa"/>
          </w:tcPr>
          <w:p w14:paraId="3DA68065" w14:textId="77777777" w:rsidR="00DD6693" w:rsidRPr="00DC5490" w:rsidRDefault="00DD6693" w:rsidP="00DD6693">
            <w:pPr>
              <w:numPr>
                <w:ilvl w:val="0"/>
                <w:numId w:val="96"/>
              </w:num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Use of Classroom Observation Tool (</w:t>
            </w:r>
            <w:r w:rsidRPr="00DC5490">
              <w:rPr>
                <w:rFonts w:asciiTheme="majorHAnsi" w:eastAsiaTheme="minorHAnsi" w:hAnsiTheme="majorHAnsi" w:cstheme="majorHAnsi"/>
                <w:b/>
                <w:color w:val="000000" w:themeColor="text1"/>
                <w:sz w:val="16"/>
                <w:szCs w:val="16"/>
                <w:lang w:val="en-US"/>
              </w:rPr>
              <w:t>COT</w:t>
            </w:r>
            <w:r w:rsidRPr="00DC5490">
              <w:rPr>
                <w:rFonts w:asciiTheme="majorHAnsi" w:eastAsiaTheme="minorHAnsi" w:hAnsiTheme="majorHAnsi" w:cstheme="majorHAnsi"/>
                <w:color w:val="000000" w:themeColor="text1"/>
                <w:sz w:val="16"/>
                <w:szCs w:val="16"/>
                <w:lang w:val="en-US"/>
              </w:rPr>
              <w:t>)</w:t>
            </w:r>
          </w:p>
        </w:tc>
        <w:tc>
          <w:tcPr>
            <w:tcW w:w="930" w:type="dxa"/>
          </w:tcPr>
          <w:p w14:paraId="37986BF9"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761" w:type="dxa"/>
            <w:vAlign w:val="center"/>
          </w:tcPr>
          <w:p w14:paraId="6D72FBA8"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45" w:type="dxa"/>
            <w:vAlign w:val="center"/>
          </w:tcPr>
          <w:p w14:paraId="6F2D51D1"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45" w:type="dxa"/>
            <w:vAlign w:val="center"/>
          </w:tcPr>
          <w:p w14:paraId="38A8AD72"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45" w:type="dxa"/>
          </w:tcPr>
          <w:p w14:paraId="3A12C542"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609" w:type="dxa"/>
            <w:vAlign w:val="center"/>
          </w:tcPr>
          <w:p w14:paraId="7D263C74"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r>
      <w:tr w:rsidR="00DD6693" w:rsidRPr="00DC5490" w14:paraId="0B0EE52D" w14:textId="77777777" w:rsidTr="00D36547">
        <w:trPr>
          <w:trHeight w:val="201"/>
        </w:trPr>
        <w:tc>
          <w:tcPr>
            <w:tcW w:w="3721" w:type="dxa"/>
          </w:tcPr>
          <w:p w14:paraId="3AA464D6" w14:textId="77777777" w:rsidR="00DD6693" w:rsidRPr="00DC5490" w:rsidRDefault="00DD6693" w:rsidP="00DD6693">
            <w:pPr>
              <w:numPr>
                <w:ilvl w:val="0"/>
                <w:numId w:val="96"/>
              </w:num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 xml:space="preserve">Use of Portfolio Assessment for Teachers </w:t>
            </w:r>
          </w:p>
        </w:tc>
        <w:tc>
          <w:tcPr>
            <w:tcW w:w="930" w:type="dxa"/>
          </w:tcPr>
          <w:p w14:paraId="4FBD2BE0"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761" w:type="dxa"/>
            <w:vAlign w:val="center"/>
          </w:tcPr>
          <w:p w14:paraId="27490AD1"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45" w:type="dxa"/>
            <w:vAlign w:val="center"/>
          </w:tcPr>
          <w:p w14:paraId="3830B09E"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45" w:type="dxa"/>
            <w:vAlign w:val="center"/>
          </w:tcPr>
          <w:p w14:paraId="3EF47C2F"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45" w:type="dxa"/>
          </w:tcPr>
          <w:p w14:paraId="444CE84C"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609" w:type="dxa"/>
            <w:vAlign w:val="center"/>
          </w:tcPr>
          <w:p w14:paraId="5578818D"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r>
      <w:tr w:rsidR="00DD6693" w:rsidRPr="00DC5490" w14:paraId="4C9AFB8E" w14:textId="77777777" w:rsidTr="00D36547">
        <w:trPr>
          <w:trHeight w:val="403"/>
        </w:trPr>
        <w:tc>
          <w:tcPr>
            <w:tcW w:w="3721" w:type="dxa"/>
          </w:tcPr>
          <w:p w14:paraId="557AB8DA" w14:textId="77777777" w:rsidR="00DD6693" w:rsidRPr="00DC5490" w:rsidRDefault="00DD6693" w:rsidP="00DD6693">
            <w:pPr>
              <w:numPr>
                <w:ilvl w:val="0"/>
                <w:numId w:val="96"/>
              </w:num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sz w:val="16"/>
                <w:szCs w:val="16"/>
                <w:lang w:val="en-US"/>
              </w:rPr>
              <w:t xml:space="preserve">Implementation of the Policy on </w:t>
            </w:r>
            <w:r w:rsidRPr="00DC5490">
              <w:rPr>
                <w:rFonts w:asciiTheme="majorHAnsi" w:eastAsiaTheme="minorHAnsi" w:hAnsiTheme="majorHAnsi" w:cstheme="majorHAnsi"/>
                <w:b/>
                <w:color w:val="000000"/>
                <w:sz w:val="16"/>
                <w:szCs w:val="16"/>
                <w:lang w:val="en-US"/>
              </w:rPr>
              <w:t>Teacher Induction Program</w:t>
            </w:r>
            <w:r w:rsidRPr="00DC5490">
              <w:rPr>
                <w:rFonts w:asciiTheme="majorHAnsi" w:eastAsiaTheme="minorHAnsi" w:hAnsiTheme="majorHAnsi" w:cstheme="majorHAnsi"/>
                <w:color w:val="000000"/>
                <w:sz w:val="16"/>
                <w:szCs w:val="16"/>
                <w:lang w:val="en-US"/>
              </w:rPr>
              <w:t xml:space="preserve"> </w:t>
            </w:r>
          </w:p>
        </w:tc>
        <w:tc>
          <w:tcPr>
            <w:tcW w:w="930" w:type="dxa"/>
          </w:tcPr>
          <w:p w14:paraId="6012644D"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761" w:type="dxa"/>
            <w:vAlign w:val="center"/>
          </w:tcPr>
          <w:p w14:paraId="3C9EC766"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45" w:type="dxa"/>
            <w:vAlign w:val="center"/>
          </w:tcPr>
          <w:p w14:paraId="32545D56"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45" w:type="dxa"/>
            <w:vAlign w:val="center"/>
          </w:tcPr>
          <w:p w14:paraId="698D7871"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45" w:type="dxa"/>
          </w:tcPr>
          <w:p w14:paraId="73527CD6"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609" w:type="dxa"/>
            <w:vAlign w:val="center"/>
          </w:tcPr>
          <w:p w14:paraId="3E8C0C43"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p w14:paraId="1DBF3D2F"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r>
      <w:tr w:rsidR="00DD6693" w:rsidRPr="00DC5490" w14:paraId="4ABE081F" w14:textId="77777777" w:rsidTr="00D36547">
        <w:trPr>
          <w:trHeight w:val="403"/>
        </w:trPr>
        <w:tc>
          <w:tcPr>
            <w:tcW w:w="3721" w:type="dxa"/>
          </w:tcPr>
          <w:p w14:paraId="70B15B5D" w14:textId="77777777" w:rsidR="00DD6693" w:rsidRPr="00DC5490" w:rsidRDefault="00DD6693" w:rsidP="00DD6693">
            <w:pPr>
              <w:numPr>
                <w:ilvl w:val="0"/>
                <w:numId w:val="96"/>
              </w:num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sz w:val="16"/>
                <w:szCs w:val="16"/>
                <w:lang w:val="en-US"/>
              </w:rPr>
              <w:t>Use of the Resource packages on PPST (on the 12 priority indicators)</w:t>
            </w:r>
          </w:p>
        </w:tc>
        <w:tc>
          <w:tcPr>
            <w:tcW w:w="930" w:type="dxa"/>
          </w:tcPr>
          <w:p w14:paraId="5F0AE463"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761" w:type="dxa"/>
            <w:vAlign w:val="center"/>
          </w:tcPr>
          <w:p w14:paraId="3FE88F7E"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45" w:type="dxa"/>
            <w:vAlign w:val="center"/>
          </w:tcPr>
          <w:p w14:paraId="57D5B355"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45" w:type="dxa"/>
            <w:vAlign w:val="center"/>
          </w:tcPr>
          <w:p w14:paraId="3C4DA68F"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45" w:type="dxa"/>
          </w:tcPr>
          <w:p w14:paraId="09FB9E42"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609" w:type="dxa"/>
            <w:vAlign w:val="center"/>
          </w:tcPr>
          <w:p w14:paraId="14F30972"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r>
      <w:tr w:rsidR="00DD6693" w:rsidRPr="00DC5490" w14:paraId="52E116AC" w14:textId="77777777" w:rsidTr="00D36547">
        <w:trPr>
          <w:trHeight w:val="390"/>
        </w:trPr>
        <w:tc>
          <w:tcPr>
            <w:tcW w:w="3721" w:type="dxa"/>
          </w:tcPr>
          <w:p w14:paraId="774A5F74" w14:textId="77777777" w:rsidR="00DD6693" w:rsidRPr="00DC5490" w:rsidRDefault="00DD6693" w:rsidP="00DD6693">
            <w:pPr>
              <w:numPr>
                <w:ilvl w:val="0"/>
                <w:numId w:val="96"/>
              </w:num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sz w:val="16"/>
                <w:szCs w:val="16"/>
                <w:lang w:val="en-US"/>
              </w:rPr>
              <w:t>Implementation of the Policy Guidelines on Classroom Assessment for the K to 12</w:t>
            </w:r>
          </w:p>
        </w:tc>
        <w:tc>
          <w:tcPr>
            <w:tcW w:w="930" w:type="dxa"/>
          </w:tcPr>
          <w:p w14:paraId="7B3CEF4E"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761" w:type="dxa"/>
            <w:vAlign w:val="center"/>
          </w:tcPr>
          <w:p w14:paraId="6BB58170"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45" w:type="dxa"/>
            <w:vAlign w:val="center"/>
          </w:tcPr>
          <w:p w14:paraId="2D339A81"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45" w:type="dxa"/>
            <w:vAlign w:val="center"/>
          </w:tcPr>
          <w:p w14:paraId="2FBB013C"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45" w:type="dxa"/>
          </w:tcPr>
          <w:p w14:paraId="342B2161"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609" w:type="dxa"/>
            <w:vAlign w:val="center"/>
          </w:tcPr>
          <w:p w14:paraId="75AC641F"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p w14:paraId="7189E9F3"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r>
      <w:tr w:rsidR="00DD6693" w:rsidRPr="00DC5490" w14:paraId="7B867F2B" w14:textId="77777777" w:rsidTr="00D36547">
        <w:trPr>
          <w:trHeight w:val="604"/>
        </w:trPr>
        <w:tc>
          <w:tcPr>
            <w:tcW w:w="3721" w:type="dxa"/>
          </w:tcPr>
          <w:p w14:paraId="202FA704" w14:textId="77777777" w:rsidR="00DD6693" w:rsidRPr="00DC5490" w:rsidRDefault="00DD6693" w:rsidP="00DD6693">
            <w:pPr>
              <w:numPr>
                <w:ilvl w:val="0"/>
                <w:numId w:val="96"/>
              </w:num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sz w:val="16"/>
                <w:szCs w:val="16"/>
                <w:lang w:val="en-US"/>
              </w:rPr>
              <w:t>Implementation of the Policy Guidelines on the National Assessment of Student Learning for the K to 12</w:t>
            </w:r>
          </w:p>
        </w:tc>
        <w:tc>
          <w:tcPr>
            <w:tcW w:w="930" w:type="dxa"/>
          </w:tcPr>
          <w:p w14:paraId="5F2718D2"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761" w:type="dxa"/>
            <w:vAlign w:val="center"/>
          </w:tcPr>
          <w:p w14:paraId="79F01E5B"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45" w:type="dxa"/>
            <w:vAlign w:val="center"/>
          </w:tcPr>
          <w:p w14:paraId="0BC982BF"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45" w:type="dxa"/>
            <w:vAlign w:val="center"/>
          </w:tcPr>
          <w:p w14:paraId="4CA98C43"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45" w:type="dxa"/>
          </w:tcPr>
          <w:p w14:paraId="1F76CCFE"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609" w:type="dxa"/>
            <w:vAlign w:val="center"/>
          </w:tcPr>
          <w:p w14:paraId="2BA30045"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p w14:paraId="274E224C"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r>
      <w:tr w:rsidR="00DD6693" w:rsidRPr="00DC5490" w14:paraId="583A8E88" w14:textId="77777777" w:rsidTr="00D36547">
        <w:trPr>
          <w:trHeight w:val="390"/>
        </w:trPr>
        <w:tc>
          <w:tcPr>
            <w:tcW w:w="3721" w:type="dxa"/>
          </w:tcPr>
          <w:p w14:paraId="71C99259" w14:textId="77777777" w:rsidR="00DD6693" w:rsidRPr="00DC5490" w:rsidRDefault="00DD6693" w:rsidP="00DD6693">
            <w:pPr>
              <w:numPr>
                <w:ilvl w:val="0"/>
                <w:numId w:val="96"/>
              </w:num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sz w:val="16"/>
                <w:szCs w:val="16"/>
                <w:lang w:val="en-US"/>
              </w:rPr>
              <w:t>Use of Classroom Assessment Resource Book (CARB)</w:t>
            </w:r>
          </w:p>
        </w:tc>
        <w:tc>
          <w:tcPr>
            <w:tcW w:w="930" w:type="dxa"/>
          </w:tcPr>
          <w:p w14:paraId="5D0058BE"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761" w:type="dxa"/>
            <w:vAlign w:val="center"/>
          </w:tcPr>
          <w:p w14:paraId="715946F7"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45" w:type="dxa"/>
            <w:vAlign w:val="center"/>
          </w:tcPr>
          <w:p w14:paraId="090458B0"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45" w:type="dxa"/>
            <w:vAlign w:val="center"/>
          </w:tcPr>
          <w:p w14:paraId="06CAFB3C"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45" w:type="dxa"/>
          </w:tcPr>
          <w:p w14:paraId="3414CF1D"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609" w:type="dxa"/>
            <w:vAlign w:val="center"/>
          </w:tcPr>
          <w:p w14:paraId="1D5A6CB8"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p w14:paraId="310998E0"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r>
      <w:tr w:rsidR="00DD6693" w:rsidRPr="00DC5490" w14:paraId="0AEB21C3" w14:textId="77777777" w:rsidTr="00D36547">
        <w:trPr>
          <w:trHeight w:val="60"/>
        </w:trPr>
        <w:tc>
          <w:tcPr>
            <w:tcW w:w="3721" w:type="dxa"/>
          </w:tcPr>
          <w:p w14:paraId="597AEA58" w14:textId="77777777" w:rsidR="00DD6693" w:rsidRPr="00DC5490" w:rsidRDefault="00DD6693" w:rsidP="00DD6693">
            <w:pPr>
              <w:numPr>
                <w:ilvl w:val="0"/>
                <w:numId w:val="96"/>
              </w:num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sz w:val="16"/>
                <w:szCs w:val="16"/>
                <w:lang w:val="en-US"/>
              </w:rPr>
              <w:t>School Improvement Plan</w:t>
            </w:r>
          </w:p>
        </w:tc>
        <w:tc>
          <w:tcPr>
            <w:tcW w:w="930" w:type="dxa"/>
          </w:tcPr>
          <w:p w14:paraId="5B7D243C"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761" w:type="dxa"/>
            <w:vAlign w:val="center"/>
          </w:tcPr>
          <w:p w14:paraId="6AE3EBB5"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45" w:type="dxa"/>
            <w:vAlign w:val="center"/>
          </w:tcPr>
          <w:p w14:paraId="44D67DC2"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45" w:type="dxa"/>
            <w:vAlign w:val="center"/>
          </w:tcPr>
          <w:p w14:paraId="73A350D1"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45" w:type="dxa"/>
          </w:tcPr>
          <w:p w14:paraId="5B605DDB"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609" w:type="dxa"/>
            <w:vAlign w:val="center"/>
          </w:tcPr>
          <w:p w14:paraId="1AFD852F" w14:textId="1833B30F" w:rsidR="00DD6693" w:rsidRPr="00DC5490" w:rsidRDefault="00D434EB"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Pr>
                <w:rFonts w:asciiTheme="majorHAnsi" w:eastAsiaTheme="minorHAnsi" w:hAnsiTheme="majorHAnsi" w:cstheme="majorHAnsi"/>
                <w:color w:val="000000" w:themeColor="text1"/>
                <w:sz w:val="16"/>
                <w:szCs w:val="16"/>
                <w:lang w:val="en-US"/>
              </w:rPr>
              <w:t xml:space="preserve"> </w:t>
            </w:r>
          </w:p>
        </w:tc>
      </w:tr>
      <w:tr w:rsidR="00DD6693" w:rsidRPr="00DC5490" w14:paraId="42D27C57" w14:textId="77777777" w:rsidTr="00D36547">
        <w:trPr>
          <w:trHeight w:val="201"/>
        </w:trPr>
        <w:tc>
          <w:tcPr>
            <w:tcW w:w="3721" w:type="dxa"/>
          </w:tcPr>
          <w:p w14:paraId="797AE677" w14:textId="77777777" w:rsidR="00DD6693" w:rsidRPr="00DC5490" w:rsidRDefault="00DD6693" w:rsidP="00DD6693">
            <w:pPr>
              <w:numPr>
                <w:ilvl w:val="0"/>
                <w:numId w:val="96"/>
              </w:num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bCs/>
                <w:color w:val="000000"/>
                <w:sz w:val="16"/>
                <w:szCs w:val="16"/>
                <w:lang w:val="en-US"/>
              </w:rPr>
              <w:t>SBM Assessment Tool</w:t>
            </w:r>
          </w:p>
        </w:tc>
        <w:tc>
          <w:tcPr>
            <w:tcW w:w="930" w:type="dxa"/>
          </w:tcPr>
          <w:p w14:paraId="7AE85F02"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761" w:type="dxa"/>
            <w:vAlign w:val="center"/>
          </w:tcPr>
          <w:p w14:paraId="3F91D2A0"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45" w:type="dxa"/>
            <w:vAlign w:val="center"/>
          </w:tcPr>
          <w:p w14:paraId="584A2A8D"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45" w:type="dxa"/>
            <w:vAlign w:val="center"/>
          </w:tcPr>
          <w:p w14:paraId="304F48AD"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45" w:type="dxa"/>
          </w:tcPr>
          <w:p w14:paraId="6CA3EC70"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609" w:type="dxa"/>
            <w:vAlign w:val="center"/>
          </w:tcPr>
          <w:p w14:paraId="67B26B7D"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r>
      <w:tr w:rsidR="00DD6693" w:rsidRPr="00DC5490" w14:paraId="53617246" w14:textId="77777777" w:rsidTr="00D36547">
        <w:trPr>
          <w:trHeight w:val="403"/>
        </w:trPr>
        <w:tc>
          <w:tcPr>
            <w:tcW w:w="3721" w:type="dxa"/>
          </w:tcPr>
          <w:p w14:paraId="1FF8FEF5" w14:textId="77777777" w:rsidR="00DD6693" w:rsidRPr="00DC5490" w:rsidRDefault="00DD6693" w:rsidP="00DD6693">
            <w:pPr>
              <w:numPr>
                <w:ilvl w:val="0"/>
                <w:numId w:val="96"/>
              </w:num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sz w:val="16"/>
                <w:szCs w:val="16"/>
                <w:lang w:val="en-US"/>
              </w:rPr>
              <w:t>Implementation of the Basic Education Monitoring and Evaluation Framework (</w:t>
            </w:r>
            <w:r w:rsidRPr="00DC5490">
              <w:rPr>
                <w:rFonts w:asciiTheme="majorHAnsi" w:eastAsiaTheme="minorHAnsi" w:hAnsiTheme="majorHAnsi" w:cstheme="majorHAnsi"/>
                <w:b/>
                <w:color w:val="000000"/>
                <w:sz w:val="16"/>
                <w:szCs w:val="16"/>
                <w:lang w:val="en-US"/>
              </w:rPr>
              <w:t>BEMEF</w:t>
            </w:r>
            <w:r w:rsidRPr="00DC5490">
              <w:rPr>
                <w:rFonts w:asciiTheme="majorHAnsi" w:eastAsiaTheme="minorHAnsi" w:hAnsiTheme="majorHAnsi" w:cstheme="majorHAnsi"/>
                <w:color w:val="000000"/>
                <w:sz w:val="16"/>
                <w:szCs w:val="16"/>
                <w:lang w:val="en-US"/>
              </w:rPr>
              <w:t>)</w:t>
            </w:r>
          </w:p>
        </w:tc>
        <w:tc>
          <w:tcPr>
            <w:tcW w:w="930" w:type="dxa"/>
          </w:tcPr>
          <w:p w14:paraId="2E59BF51"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761" w:type="dxa"/>
            <w:vAlign w:val="center"/>
          </w:tcPr>
          <w:p w14:paraId="440D56C0"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45" w:type="dxa"/>
            <w:vAlign w:val="center"/>
          </w:tcPr>
          <w:p w14:paraId="4EC5D2CC"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45" w:type="dxa"/>
            <w:vAlign w:val="center"/>
          </w:tcPr>
          <w:p w14:paraId="1634CE27"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45" w:type="dxa"/>
          </w:tcPr>
          <w:p w14:paraId="02D5732E"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609" w:type="dxa"/>
            <w:vAlign w:val="center"/>
          </w:tcPr>
          <w:p w14:paraId="51B06A5A"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p w14:paraId="77ECD2D7"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r>
      <w:tr w:rsidR="00DD6693" w:rsidRPr="00DC5490" w14:paraId="61A0840C" w14:textId="77777777" w:rsidTr="00D36547">
        <w:trPr>
          <w:trHeight w:val="390"/>
        </w:trPr>
        <w:tc>
          <w:tcPr>
            <w:tcW w:w="3721" w:type="dxa"/>
          </w:tcPr>
          <w:p w14:paraId="5C69BE1F" w14:textId="77777777" w:rsidR="00DD6693" w:rsidRPr="00DC5490" w:rsidRDefault="00DD6693" w:rsidP="00DD6693">
            <w:pPr>
              <w:numPr>
                <w:ilvl w:val="0"/>
                <w:numId w:val="96"/>
              </w:num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 xml:space="preserve">Access &amp; Use of the </w:t>
            </w:r>
            <w:r w:rsidRPr="00DC5490">
              <w:rPr>
                <w:rFonts w:asciiTheme="majorHAnsi" w:eastAsiaTheme="minorHAnsi" w:hAnsiTheme="majorHAnsi" w:cstheme="majorHAnsi"/>
                <w:color w:val="000000"/>
                <w:sz w:val="16"/>
                <w:szCs w:val="16"/>
                <w:lang w:val="en-AU"/>
              </w:rPr>
              <w:t xml:space="preserve">Program Management Information System (PMIS) </w:t>
            </w:r>
          </w:p>
        </w:tc>
        <w:tc>
          <w:tcPr>
            <w:tcW w:w="930" w:type="dxa"/>
          </w:tcPr>
          <w:p w14:paraId="5FAF8B2B"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761" w:type="dxa"/>
            <w:vAlign w:val="center"/>
          </w:tcPr>
          <w:p w14:paraId="6C7ADDA4"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45" w:type="dxa"/>
            <w:vAlign w:val="center"/>
          </w:tcPr>
          <w:p w14:paraId="4095C16F"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45" w:type="dxa"/>
            <w:vAlign w:val="center"/>
          </w:tcPr>
          <w:p w14:paraId="4C2A85AE"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45" w:type="dxa"/>
          </w:tcPr>
          <w:p w14:paraId="1657538F"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609" w:type="dxa"/>
            <w:vAlign w:val="center"/>
          </w:tcPr>
          <w:p w14:paraId="2F2D4548"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p w14:paraId="76C794B3"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r>
      <w:tr w:rsidR="00DD6693" w:rsidRPr="00DC5490" w14:paraId="7EAF8072" w14:textId="77777777" w:rsidTr="00D36547">
        <w:trPr>
          <w:trHeight w:val="403"/>
        </w:trPr>
        <w:tc>
          <w:tcPr>
            <w:tcW w:w="3721" w:type="dxa"/>
          </w:tcPr>
          <w:p w14:paraId="65F6A549" w14:textId="77777777" w:rsidR="00DD6693" w:rsidRPr="00DC5490" w:rsidRDefault="00DD6693" w:rsidP="00DD6693">
            <w:pPr>
              <w:numPr>
                <w:ilvl w:val="0"/>
                <w:numId w:val="96"/>
              </w:num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 xml:space="preserve">Access &amp; Use of the </w:t>
            </w:r>
            <w:r w:rsidRPr="00DC5490">
              <w:rPr>
                <w:rFonts w:asciiTheme="majorHAnsi" w:eastAsiaTheme="minorHAnsi" w:hAnsiTheme="majorHAnsi" w:cstheme="majorHAnsi"/>
                <w:color w:val="000000"/>
                <w:sz w:val="16"/>
                <w:szCs w:val="16"/>
                <w:lang w:val="en-AU"/>
              </w:rPr>
              <w:t>Enhanced Basic Education Information System (EBEIS)</w:t>
            </w:r>
          </w:p>
        </w:tc>
        <w:tc>
          <w:tcPr>
            <w:tcW w:w="930" w:type="dxa"/>
          </w:tcPr>
          <w:p w14:paraId="422FD50F"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761" w:type="dxa"/>
            <w:vAlign w:val="center"/>
          </w:tcPr>
          <w:p w14:paraId="400D7DBC"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45" w:type="dxa"/>
            <w:vAlign w:val="center"/>
          </w:tcPr>
          <w:p w14:paraId="609D749B"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45" w:type="dxa"/>
            <w:vAlign w:val="center"/>
          </w:tcPr>
          <w:p w14:paraId="138F39F3"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45" w:type="dxa"/>
          </w:tcPr>
          <w:p w14:paraId="78AED85F"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609" w:type="dxa"/>
            <w:vAlign w:val="center"/>
          </w:tcPr>
          <w:p w14:paraId="66AF9E15"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p w14:paraId="7A508948"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r>
      <w:tr w:rsidR="00DD6693" w:rsidRPr="00DC5490" w14:paraId="6CEA34B9" w14:textId="77777777" w:rsidTr="00D36547">
        <w:trPr>
          <w:trHeight w:val="390"/>
        </w:trPr>
        <w:tc>
          <w:tcPr>
            <w:tcW w:w="3721" w:type="dxa"/>
          </w:tcPr>
          <w:p w14:paraId="2DDF87D5" w14:textId="77777777" w:rsidR="00DD6693" w:rsidRPr="00DC5490" w:rsidRDefault="00DD6693" w:rsidP="00DD6693">
            <w:pPr>
              <w:numPr>
                <w:ilvl w:val="0"/>
                <w:numId w:val="96"/>
              </w:num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Access &amp; Use of the Learner Information System</w:t>
            </w:r>
          </w:p>
        </w:tc>
        <w:tc>
          <w:tcPr>
            <w:tcW w:w="930" w:type="dxa"/>
          </w:tcPr>
          <w:p w14:paraId="736AB7F0"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761" w:type="dxa"/>
            <w:vAlign w:val="center"/>
          </w:tcPr>
          <w:p w14:paraId="601F6FEA"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45" w:type="dxa"/>
            <w:vAlign w:val="center"/>
          </w:tcPr>
          <w:p w14:paraId="31155C6B"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45" w:type="dxa"/>
            <w:vAlign w:val="center"/>
          </w:tcPr>
          <w:p w14:paraId="1B874ABE"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45" w:type="dxa"/>
          </w:tcPr>
          <w:p w14:paraId="304B14A5"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609" w:type="dxa"/>
            <w:vAlign w:val="center"/>
          </w:tcPr>
          <w:p w14:paraId="4B63CB91"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p w14:paraId="4E855A68"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r>
      <w:tr w:rsidR="00DD6693" w:rsidRPr="00DC5490" w14:paraId="4B1E1567" w14:textId="77777777" w:rsidTr="00D36547">
        <w:trPr>
          <w:trHeight w:val="390"/>
        </w:trPr>
        <w:tc>
          <w:tcPr>
            <w:tcW w:w="3721" w:type="dxa"/>
          </w:tcPr>
          <w:p w14:paraId="6FF5A174" w14:textId="77777777" w:rsidR="00DD6693" w:rsidRPr="00DC5490" w:rsidRDefault="00DD6693" w:rsidP="00DD6693">
            <w:pPr>
              <w:numPr>
                <w:ilvl w:val="0"/>
                <w:numId w:val="96"/>
              </w:num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Access &amp; Use of the Learning Resource Portal</w:t>
            </w:r>
          </w:p>
        </w:tc>
        <w:tc>
          <w:tcPr>
            <w:tcW w:w="930" w:type="dxa"/>
          </w:tcPr>
          <w:p w14:paraId="3D3FCFE9"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761" w:type="dxa"/>
            <w:vAlign w:val="center"/>
          </w:tcPr>
          <w:p w14:paraId="5417DF5B"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45" w:type="dxa"/>
            <w:vAlign w:val="center"/>
          </w:tcPr>
          <w:p w14:paraId="32E08B5D"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45" w:type="dxa"/>
            <w:vAlign w:val="center"/>
          </w:tcPr>
          <w:p w14:paraId="6B4F3870"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45" w:type="dxa"/>
          </w:tcPr>
          <w:p w14:paraId="59350FBB"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609" w:type="dxa"/>
            <w:vAlign w:val="center"/>
          </w:tcPr>
          <w:p w14:paraId="63A95A43"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p w14:paraId="72F8BAAB"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r>
      <w:tr w:rsidR="00DD6693" w:rsidRPr="00DC5490" w14:paraId="39F2909C" w14:textId="77777777" w:rsidTr="00D36547">
        <w:trPr>
          <w:trHeight w:val="201"/>
        </w:trPr>
        <w:tc>
          <w:tcPr>
            <w:tcW w:w="3721" w:type="dxa"/>
          </w:tcPr>
          <w:p w14:paraId="5C27DDD1" w14:textId="77777777" w:rsidR="00DD6693" w:rsidRPr="00DC5490" w:rsidRDefault="00DD6693" w:rsidP="00DD6693">
            <w:pPr>
              <w:numPr>
                <w:ilvl w:val="0"/>
                <w:numId w:val="96"/>
              </w:num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 xml:space="preserve">Mainstreaming </w:t>
            </w:r>
            <w:r w:rsidRPr="00DC5490">
              <w:rPr>
                <w:rFonts w:asciiTheme="majorHAnsi" w:eastAsiaTheme="minorHAnsi" w:hAnsiTheme="majorHAnsi" w:cstheme="majorHAnsi"/>
                <w:b/>
                <w:color w:val="000000" w:themeColor="text1"/>
                <w:sz w:val="16"/>
                <w:szCs w:val="16"/>
                <w:lang w:val="en-US"/>
              </w:rPr>
              <w:t>GRBE</w:t>
            </w:r>
            <w:r w:rsidRPr="00DC5490">
              <w:rPr>
                <w:rFonts w:asciiTheme="majorHAnsi" w:eastAsiaTheme="minorHAnsi" w:hAnsiTheme="majorHAnsi" w:cstheme="majorHAnsi"/>
                <w:color w:val="000000" w:themeColor="text1"/>
                <w:sz w:val="16"/>
                <w:szCs w:val="16"/>
                <w:lang w:val="en-US"/>
              </w:rPr>
              <w:t xml:space="preserve"> at the school level</w:t>
            </w:r>
          </w:p>
        </w:tc>
        <w:tc>
          <w:tcPr>
            <w:tcW w:w="930" w:type="dxa"/>
          </w:tcPr>
          <w:p w14:paraId="00758D1F"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761" w:type="dxa"/>
            <w:vAlign w:val="center"/>
          </w:tcPr>
          <w:p w14:paraId="38B38AD8"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845" w:type="dxa"/>
            <w:vAlign w:val="center"/>
          </w:tcPr>
          <w:p w14:paraId="5AE25D3B"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845" w:type="dxa"/>
            <w:vAlign w:val="center"/>
          </w:tcPr>
          <w:p w14:paraId="391F80CB"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845" w:type="dxa"/>
          </w:tcPr>
          <w:p w14:paraId="089CB5DB"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609" w:type="dxa"/>
            <w:vAlign w:val="center"/>
          </w:tcPr>
          <w:p w14:paraId="7EF93852"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r>
      <w:tr w:rsidR="00DD6693" w:rsidRPr="00DC5490" w14:paraId="255BD534" w14:textId="77777777" w:rsidTr="00D36547">
        <w:trPr>
          <w:trHeight w:val="390"/>
        </w:trPr>
        <w:tc>
          <w:tcPr>
            <w:tcW w:w="3721" w:type="dxa"/>
          </w:tcPr>
          <w:p w14:paraId="29A27D07" w14:textId="77777777" w:rsidR="00DD6693" w:rsidRPr="00DC5490" w:rsidRDefault="00DD6693" w:rsidP="00DD6693">
            <w:pPr>
              <w:numPr>
                <w:ilvl w:val="0"/>
                <w:numId w:val="96"/>
              </w:num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 xml:space="preserve">Implementing </w:t>
            </w:r>
            <w:r w:rsidRPr="00DC5490">
              <w:rPr>
                <w:rFonts w:asciiTheme="majorHAnsi" w:eastAsiaTheme="minorHAnsi" w:hAnsiTheme="majorHAnsi" w:cstheme="majorHAnsi"/>
                <w:b/>
                <w:color w:val="000000" w:themeColor="text1"/>
                <w:sz w:val="16"/>
                <w:szCs w:val="16"/>
                <w:lang w:val="en-US"/>
              </w:rPr>
              <w:t>Inclusive Education</w:t>
            </w:r>
            <w:r w:rsidRPr="00DC5490">
              <w:rPr>
                <w:rFonts w:asciiTheme="majorHAnsi" w:eastAsiaTheme="minorHAnsi" w:hAnsiTheme="majorHAnsi" w:cstheme="majorHAnsi"/>
                <w:color w:val="000000" w:themeColor="text1"/>
                <w:sz w:val="16"/>
                <w:szCs w:val="16"/>
                <w:lang w:val="en-US"/>
              </w:rPr>
              <w:t xml:space="preserve"> at the school level</w:t>
            </w:r>
          </w:p>
        </w:tc>
        <w:tc>
          <w:tcPr>
            <w:tcW w:w="930" w:type="dxa"/>
          </w:tcPr>
          <w:p w14:paraId="59A32C8A"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761" w:type="dxa"/>
            <w:vAlign w:val="center"/>
          </w:tcPr>
          <w:p w14:paraId="63F09068"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845" w:type="dxa"/>
            <w:vAlign w:val="center"/>
          </w:tcPr>
          <w:p w14:paraId="1EE0E3AA"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845" w:type="dxa"/>
            <w:vAlign w:val="center"/>
          </w:tcPr>
          <w:p w14:paraId="348AAA3B"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845" w:type="dxa"/>
          </w:tcPr>
          <w:p w14:paraId="46B1591F"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609" w:type="dxa"/>
            <w:vAlign w:val="center"/>
          </w:tcPr>
          <w:p w14:paraId="1CB4E33D"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p w14:paraId="627E60FE" w14:textId="77777777" w:rsidR="00DD6693" w:rsidRPr="00DC5490" w:rsidRDefault="00DD6693" w:rsidP="00DD669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r>
    </w:tbl>
    <w:p w14:paraId="0C75DE77" w14:textId="77777777" w:rsidR="008D0CAD" w:rsidRPr="00DC5490" w:rsidRDefault="008D0CAD" w:rsidP="00DD08E3">
      <w:pPr>
        <w:numPr>
          <w:ilvl w:val="0"/>
          <w:numId w:val="81"/>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snapToGrid w:val="0"/>
          <w:sz w:val="20"/>
          <w:szCs w:val="20"/>
          <w:lang w:val="en-US"/>
        </w:rPr>
        <w:t>Compared to five years ago, please assess your own capacity and that of your school to successfully implement the reforms or use the new tools introduced in the last 5 years:</w:t>
      </w:r>
    </w:p>
    <w:tbl>
      <w:tblPr>
        <w:tblStyle w:val="TableGrid8"/>
        <w:tblW w:w="9621" w:type="dxa"/>
        <w:tblInd w:w="175" w:type="dxa"/>
        <w:tblLayout w:type="fixed"/>
        <w:tblLook w:val="04A0" w:firstRow="1" w:lastRow="0" w:firstColumn="1" w:lastColumn="0" w:noHBand="0" w:noVBand="1"/>
      </w:tblPr>
      <w:tblGrid>
        <w:gridCol w:w="4473"/>
        <w:gridCol w:w="1097"/>
        <w:gridCol w:w="1097"/>
        <w:gridCol w:w="844"/>
        <w:gridCol w:w="844"/>
        <w:gridCol w:w="1266"/>
      </w:tblGrid>
      <w:tr w:rsidR="008D0CAD" w:rsidRPr="00DC5490" w14:paraId="55E17D7E" w14:textId="77777777" w:rsidTr="009C64E9">
        <w:trPr>
          <w:trHeight w:val="367"/>
          <w:tblHeader/>
        </w:trPr>
        <w:tc>
          <w:tcPr>
            <w:tcW w:w="4473" w:type="dxa"/>
            <w:shd w:val="clear" w:color="auto" w:fill="D9D9D9" w:themeFill="background1" w:themeFillShade="D9"/>
          </w:tcPr>
          <w:p w14:paraId="20E4342E"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b/>
                <w:color w:val="000000"/>
                <w:sz w:val="16"/>
                <w:szCs w:val="16"/>
                <w:lang w:val="en-US"/>
              </w:rPr>
            </w:pPr>
          </w:p>
        </w:tc>
        <w:tc>
          <w:tcPr>
            <w:tcW w:w="1097" w:type="dxa"/>
            <w:shd w:val="clear" w:color="auto" w:fill="D9D9D9" w:themeFill="background1" w:themeFillShade="D9"/>
            <w:vAlign w:val="center"/>
          </w:tcPr>
          <w:p w14:paraId="6DB27DFC"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b/>
                <w:color w:val="000000" w:themeColor="text1"/>
                <w:sz w:val="16"/>
                <w:szCs w:val="16"/>
                <w:lang w:val="en-US"/>
              </w:rPr>
            </w:pPr>
            <w:r w:rsidRPr="00DC5490">
              <w:rPr>
                <w:rFonts w:asciiTheme="majorHAnsi" w:eastAsiaTheme="minorHAnsi" w:hAnsiTheme="majorHAnsi" w:cstheme="majorHAnsi"/>
                <w:b/>
                <w:color w:val="000000" w:themeColor="text1"/>
                <w:sz w:val="16"/>
                <w:szCs w:val="16"/>
                <w:lang w:val="en-US"/>
              </w:rPr>
              <w:t>Not applicable</w:t>
            </w:r>
          </w:p>
        </w:tc>
        <w:tc>
          <w:tcPr>
            <w:tcW w:w="1097" w:type="dxa"/>
            <w:shd w:val="clear" w:color="auto" w:fill="D9D9D9" w:themeFill="background1" w:themeFillShade="D9"/>
            <w:vAlign w:val="center"/>
          </w:tcPr>
          <w:p w14:paraId="73980C01"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b/>
                <w:color w:val="000000" w:themeColor="text1"/>
                <w:sz w:val="16"/>
                <w:szCs w:val="16"/>
                <w:lang w:val="en-US"/>
              </w:rPr>
            </w:pPr>
            <w:r w:rsidRPr="00DC5490">
              <w:rPr>
                <w:rFonts w:asciiTheme="majorHAnsi" w:eastAsiaTheme="minorHAnsi" w:hAnsiTheme="majorHAnsi" w:cstheme="majorHAnsi"/>
                <w:b/>
                <w:color w:val="000000" w:themeColor="text1"/>
                <w:sz w:val="16"/>
                <w:szCs w:val="16"/>
                <w:lang w:val="en-US"/>
              </w:rPr>
              <w:t>Decreased</w:t>
            </w:r>
          </w:p>
        </w:tc>
        <w:tc>
          <w:tcPr>
            <w:tcW w:w="844" w:type="dxa"/>
            <w:shd w:val="clear" w:color="auto" w:fill="D9D9D9" w:themeFill="background1" w:themeFillShade="D9"/>
            <w:vAlign w:val="center"/>
          </w:tcPr>
          <w:p w14:paraId="2B116C17"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b/>
                <w:color w:val="000000" w:themeColor="text1"/>
                <w:sz w:val="16"/>
                <w:szCs w:val="16"/>
                <w:lang w:val="en-US"/>
              </w:rPr>
            </w:pPr>
            <w:r w:rsidRPr="00DC5490">
              <w:rPr>
                <w:rFonts w:asciiTheme="majorHAnsi" w:eastAsiaTheme="minorHAnsi" w:hAnsiTheme="majorHAnsi" w:cstheme="majorHAnsi"/>
                <w:b/>
                <w:color w:val="000000" w:themeColor="text1"/>
                <w:sz w:val="16"/>
                <w:szCs w:val="16"/>
                <w:lang w:val="en-US"/>
              </w:rPr>
              <w:t>No Change</w:t>
            </w:r>
          </w:p>
        </w:tc>
        <w:tc>
          <w:tcPr>
            <w:tcW w:w="844" w:type="dxa"/>
            <w:shd w:val="clear" w:color="auto" w:fill="D9D9D9" w:themeFill="background1" w:themeFillShade="D9"/>
            <w:vAlign w:val="center"/>
          </w:tcPr>
          <w:p w14:paraId="566C6D38"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b/>
                <w:color w:val="000000" w:themeColor="text1"/>
                <w:sz w:val="16"/>
                <w:szCs w:val="16"/>
                <w:lang w:val="en-US"/>
              </w:rPr>
            </w:pPr>
            <w:r w:rsidRPr="00DC5490">
              <w:rPr>
                <w:rFonts w:asciiTheme="majorHAnsi" w:eastAsiaTheme="minorHAnsi" w:hAnsiTheme="majorHAnsi" w:cstheme="majorHAnsi"/>
                <w:b/>
                <w:color w:val="000000" w:themeColor="text1"/>
                <w:sz w:val="16"/>
                <w:szCs w:val="16"/>
                <w:lang w:val="en-US"/>
              </w:rPr>
              <w:t>Increased</w:t>
            </w:r>
          </w:p>
        </w:tc>
        <w:tc>
          <w:tcPr>
            <w:tcW w:w="1266" w:type="dxa"/>
            <w:shd w:val="clear" w:color="auto" w:fill="D9D9D9" w:themeFill="background1" w:themeFillShade="D9"/>
            <w:vAlign w:val="center"/>
          </w:tcPr>
          <w:p w14:paraId="18A6E665"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b/>
                <w:color w:val="000000" w:themeColor="text1"/>
                <w:sz w:val="16"/>
                <w:szCs w:val="16"/>
                <w:lang w:val="en-US"/>
              </w:rPr>
            </w:pPr>
            <w:r w:rsidRPr="00DC5490">
              <w:rPr>
                <w:rFonts w:asciiTheme="majorHAnsi" w:eastAsiaTheme="minorHAnsi" w:hAnsiTheme="majorHAnsi" w:cstheme="majorHAnsi"/>
                <w:b/>
                <w:color w:val="000000" w:themeColor="text1"/>
                <w:sz w:val="16"/>
                <w:szCs w:val="16"/>
                <w:lang w:val="en-US"/>
              </w:rPr>
              <w:t>Significantly Increased</w:t>
            </w:r>
          </w:p>
        </w:tc>
      </w:tr>
      <w:tr w:rsidR="008D0CAD" w:rsidRPr="00DC5490" w14:paraId="0688FA05" w14:textId="77777777" w:rsidTr="009C64E9">
        <w:trPr>
          <w:trHeight w:val="367"/>
        </w:trPr>
        <w:tc>
          <w:tcPr>
            <w:tcW w:w="4473" w:type="dxa"/>
          </w:tcPr>
          <w:p w14:paraId="46982B95" w14:textId="126911C1" w:rsidR="008D0CAD" w:rsidRPr="00DC5490" w:rsidRDefault="008D0CAD" w:rsidP="00DD08E3">
            <w:pPr>
              <w:numPr>
                <w:ilvl w:val="1"/>
                <w:numId w:val="81"/>
              </w:numPr>
              <w:autoSpaceDE w:val="0"/>
              <w:autoSpaceDN w:val="0"/>
              <w:adjustRightInd w:val="0"/>
              <w:spacing w:before="100" w:beforeAutospacing="1" w:after="100" w:afterAutospacing="1" w:line="360" w:lineRule="auto"/>
              <w:ind w:left="522" w:hanging="450"/>
              <w:rPr>
                <w:rFonts w:asciiTheme="majorHAnsi" w:eastAsiaTheme="minorHAnsi" w:hAnsiTheme="majorHAnsi" w:cstheme="majorHAnsi"/>
                <w:iCs/>
                <w:color w:val="000000" w:themeColor="text1"/>
                <w:sz w:val="16"/>
                <w:szCs w:val="16"/>
                <w:lang w:val="en-US"/>
              </w:rPr>
            </w:pPr>
            <w:r w:rsidRPr="00DC5490">
              <w:rPr>
                <w:rFonts w:asciiTheme="majorHAnsi" w:eastAsiaTheme="minorHAnsi" w:hAnsiTheme="majorHAnsi" w:cstheme="majorHAnsi"/>
                <w:color w:val="000000"/>
                <w:sz w:val="16"/>
                <w:szCs w:val="16"/>
                <w:lang w:val="en-US"/>
              </w:rPr>
              <w:t xml:space="preserve">Compared to five years ago, </w:t>
            </w:r>
            <w:r w:rsidRPr="00DC5490">
              <w:rPr>
                <w:rFonts w:asciiTheme="majorHAnsi" w:eastAsiaTheme="minorHAnsi" w:hAnsiTheme="majorHAnsi" w:cstheme="majorHAnsi"/>
                <w:color w:val="000000" w:themeColor="text1"/>
                <w:sz w:val="16"/>
                <w:szCs w:val="16"/>
                <w:lang w:val="en-US"/>
              </w:rPr>
              <w:t>my capacity to</w:t>
            </w:r>
            <w:r w:rsidR="00D434EB">
              <w:rPr>
                <w:rFonts w:asciiTheme="majorHAnsi" w:eastAsiaTheme="minorHAnsi" w:hAnsiTheme="majorHAnsi" w:cstheme="majorHAnsi"/>
                <w:color w:val="000000" w:themeColor="text1"/>
                <w:sz w:val="16"/>
                <w:szCs w:val="16"/>
                <w:lang w:val="en-US"/>
              </w:rPr>
              <w:t xml:space="preserve"> </w:t>
            </w:r>
            <w:r w:rsidRPr="00DC5490">
              <w:rPr>
                <w:rFonts w:asciiTheme="majorHAnsi" w:eastAsiaTheme="minorHAnsi" w:hAnsiTheme="majorHAnsi" w:cstheme="majorHAnsi"/>
                <w:color w:val="000000" w:themeColor="text1"/>
                <w:sz w:val="16"/>
                <w:szCs w:val="16"/>
                <w:lang w:val="en-US"/>
              </w:rPr>
              <w:t xml:space="preserve"> implement Learning &amp; Development system in my school is …</w:t>
            </w:r>
          </w:p>
        </w:tc>
        <w:tc>
          <w:tcPr>
            <w:tcW w:w="1097" w:type="dxa"/>
            <w:vAlign w:val="center"/>
          </w:tcPr>
          <w:p w14:paraId="56CCC0AE"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1097" w:type="dxa"/>
            <w:vAlign w:val="center"/>
          </w:tcPr>
          <w:p w14:paraId="0808ACFB"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844" w:type="dxa"/>
            <w:vAlign w:val="center"/>
          </w:tcPr>
          <w:p w14:paraId="4FE0BD86"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844" w:type="dxa"/>
            <w:vAlign w:val="center"/>
          </w:tcPr>
          <w:p w14:paraId="7BD39B30"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1266" w:type="dxa"/>
            <w:vAlign w:val="center"/>
          </w:tcPr>
          <w:p w14:paraId="7FF574A6"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r>
      <w:tr w:rsidR="008D0CAD" w:rsidRPr="00DC5490" w14:paraId="2D16B8DD" w14:textId="77777777" w:rsidTr="009C64E9">
        <w:trPr>
          <w:trHeight w:val="367"/>
        </w:trPr>
        <w:tc>
          <w:tcPr>
            <w:tcW w:w="4473" w:type="dxa"/>
          </w:tcPr>
          <w:p w14:paraId="4FEC5314"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517" w:hanging="450"/>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sz w:val="16"/>
                <w:szCs w:val="16"/>
                <w:lang w:val="en-US"/>
              </w:rPr>
              <w:t xml:space="preserve">Compared to five years ago, </w:t>
            </w:r>
            <w:r w:rsidRPr="00DC5490">
              <w:rPr>
                <w:rFonts w:asciiTheme="majorHAnsi" w:eastAsiaTheme="minorHAnsi" w:hAnsiTheme="majorHAnsi" w:cstheme="majorHAnsi"/>
                <w:color w:val="000000" w:themeColor="text1"/>
                <w:sz w:val="16"/>
                <w:szCs w:val="16"/>
                <w:lang w:val="en-US"/>
              </w:rPr>
              <w:t>my capacity to assess teacher performance in the classroom is …</w:t>
            </w:r>
          </w:p>
        </w:tc>
        <w:tc>
          <w:tcPr>
            <w:tcW w:w="1097" w:type="dxa"/>
            <w:vAlign w:val="center"/>
          </w:tcPr>
          <w:p w14:paraId="383C081F"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1097" w:type="dxa"/>
            <w:vAlign w:val="center"/>
          </w:tcPr>
          <w:p w14:paraId="72106FA4"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844" w:type="dxa"/>
            <w:vAlign w:val="center"/>
          </w:tcPr>
          <w:p w14:paraId="7B97D35F"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844" w:type="dxa"/>
            <w:vAlign w:val="center"/>
          </w:tcPr>
          <w:p w14:paraId="0A94D9D4"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1266" w:type="dxa"/>
            <w:vAlign w:val="center"/>
          </w:tcPr>
          <w:p w14:paraId="0B75464D"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r>
      <w:tr w:rsidR="008D0CAD" w:rsidRPr="00DC5490" w14:paraId="08B777DC" w14:textId="77777777" w:rsidTr="009C64E9">
        <w:trPr>
          <w:trHeight w:val="367"/>
        </w:trPr>
        <w:tc>
          <w:tcPr>
            <w:tcW w:w="4473" w:type="dxa"/>
          </w:tcPr>
          <w:p w14:paraId="5BBEB54C"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517" w:hanging="450"/>
              <w:rPr>
                <w:rFonts w:asciiTheme="majorHAnsi" w:eastAsiaTheme="minorHAnsi" w:hAnsiTheme="majorHAnsi" w:cstheme="majorHAnsi"/>
                <w:iCs/>
                <w:color w:val="000000" w:themeColor="text1"/>
                <w:sz w:val="16"/>
                <w:szCs w:val="16"/>
                <w:lang w:val="en-US"/>
              </w:rPr>
            </w:pPr>
            <w:r w:rsidRPr="00DC5490">
              <w:rPr>
                <w:rFonts w:asciiTheme="majorHAnsi" w:eastAsiaTheme="minorHAnsi" w:hAnsiTheme="majorHAnsi" w:cstheme="majorHAnsi"/>
                <w:color w:val="000000"/>
                <w:sz w:val="16"/>
                <w:szCs w:val="16"/>
                <w:lang w:val="en-US"/>
              </w:rPr>
              <w:t xml:space="preserve">Compared to five years ago, </w:t>
            </w:r>
            <w:r w:rsidRPr="00DC5490">
              <w:rPr>
                <w:rFonts w:asciiTheme="majorHAnsi" w:eastAsiaTheme="minorHAnsi" w:hAnsiTheme="majorHAnsi" w:cstheme="majorHAnsi"/>
                <w:color w:val="000000" w:themeColor="text1"/>
                <w:sz w:val="16"/>
                <w:szCs w:val="16"/>
                <w:lang w:val="en-US"/>
              </w:rPr>
              <w:t>my capacity to assess student learning outcomes is…</w:t>
            </w:r>
          </w:p>
        </w:tc>
        <w:tc>
          <w:tcPr>
            <w:tcW w:w="1097" w:type="dxa"/>
            <w:vAlign w:val="center"/>
          </w:tcPr>
          <w:p w14:paraId="3E3E1B99"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1097" w:type="dxa"/>
            <w:vAlign w:val="center"/>
          </w:tcPr>
          <w:p w14:paraId="6FB58124"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844" w:type="dxa"/>
            <w:vAlign w:val="center"/>
          </w:tcPr>
          <w:p w14:paraId="212823A3"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844" w:type="dxa"/>
            <w:vAlign w:val="center"/>
          </w:tcPr>
          <w:p w14:paraId="1BEBEAE0"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1266" w:type="dxa"/>
            <w:vAlign w:val="center"/>
          </w:tcPr>
          <w:p w14:paraId="449E51DE"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r>
      <w:tr w:rsidR="008D0CAD" w:rsidRPr="00DC5490" w14:paraId="1F1B26D5" w14:textId="77777777" w:rsidTr="009C64E9">
        <w:trPr>
          <w:trHeight w:val="367"/>
        </w:trPr>
        <w:tc>
          <w:tcPr>
            <w:tcW w:w="4473" w:type="dxa"/>
          </w:tcPr>
          <w:p w14:paraId="017DEDF8"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517" w:hanging="450"/>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sz w:val="16"/>
                <w:szCs w:val="16"/>
                <w:lang w:val="en-US"/>
              </w:rPr>
              <w:t xml:space="preserve">Compared to five years ago, my </w:t>
            </w:r>
            <w:r w:rsidRPr="00DC5490">
              <w:rPr>
                <w:rFonts w:asciiTheme="majorHAnsi" w:eastAsiaTheme="minorHAnsi" w:hAnsiTheme="majorHAnsi" w:cstheme="majorHAnsi"/>
                <w:color w:val="000000" w:themeColor="text1"/>
                <w:sz w:val="16"/>
                <w:szCs w:val="16"/>
                <w:lang w:val="en-US"/>
              </w:rPr>
              <w:t>access to programs for leadership and management development is …</w:t>
            </w:r>
          </w:p>
        </w:tc>
        <w:tc>
          <w:tcPr>
            <w:tcW w:w="1097" w:type="dxa"/>
            <w:vAlign w:val="center"/>
          </w:tcPr>
          <w:p w14:paraId="571EFBAA"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097" w:type="dxa"/>
            <w:vAlign w:val="center"/>
          </w:tcPr>
          <w:p w14:paraId="5AA987EB"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44" w:type="dxa"/>
            <w:vAlign w:val="center"/>
          </w:tcPr>
          <w:p w14:paraId="34D01B89"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44" w:type="dxa"/>
            <w:vAlign w:val="center"/>
          </w:tcPr>
          <w:p w14:paraId="2EBD3674"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266" w:type="dxa"/>
            <w:vAlign w:val="center"/>
          </w:tcPr>
          <w:p w14:paraId="2BDED842"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r>
      <w:tr w:rsidR="008D0CAD" w:rsidRPr="00DC5490" w14:paraId="13F52581" w14:textId="77777777" w:rsidTr="009C64E9">
        <w:trPr>
          <w:trHeight w:val="367"/>
        </w:trPr>
        <w:tc>
          <w:tcPr>
            <w:tcW w:w="4473" w:type="dxa"/>
          </w:tcPr>
          <w:p w14:paraId="6FAD7E76"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517" w:hanging="450"/>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sz w:val="16"/>
                <w:szCs w:val="16"/>
                <w:lang w:val="en-US"/>
              </w:rPr>
              <w:t xml:space="preserve">Compared to five years ago, </w:t>
            </w:r>
            <w:r w:rsidRPr="00DC5490">
              <w:rPr>
                <w:rFonts w:asciiTheme="majorHAnsi" w:eastAsiaTheme="minorHAnsi" w:hAnsiTheme="majorHAnsi" w:cstheme="majorHAnsi"/>
                <w:color w:val="000000" w:themeColor="text1"/>
                <w:sz w:val="16"/>
                <w:szCs w:val="16"/>
                <w:lang w:val="en-US"/>
              </w:rPr>
              <w:t>our school’s collective capacity to deliver Gender-Responsive Basic Education is …</w:t>
            </w:r>
          </w:p>
        </w:tc>
        <w:tc>
          <w:tcPr>
            <w:tcW w:w="1097" w:type="dxa"/>
            <w:vAlign w:val="center"/>
          </w:tcPr>
          <w:p w14:paraId="6DD960D6"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097" w:type="dxa"/>
            <w:vAlign w:val="center"/>
          </w:tcPr>
          <w:p w14:paraId="4764E834"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44" w:type="dxa"/>
            <w:vAlign w:val="center"/>
          </w:tcPr>
          <w:p w14:paraId="052CF37A"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44" w:type="dxa"/>
            <w:vAlign w:val="center"/>
          </w:tcPr>
          <w:p w14:paraId="288547F8"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266" w:type="dxa"/>
            <w:vAlign w:val="center"/>
          </w:tcPr>
          <w:p w14:paraId="1C26B4DC"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r>
      <w:tr w:rsidR="008D0CAD" w:rsidRPr="00DC5490" w14:paraId="166DE92F" w14:textId="77777777" w:rsidTr="009C64E9">
        <w:trPr>
          <w:trHeight w:val="367"/>
        </w:trPr>
        <w:tc>
          <w:tcPr>
            <w:tcW w:w="4473" w:type="dxa"/>
          </w:tcPr>
          <w:p w14:paraId="3EAC8793"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517" w:hanging="450"/>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sz w:val="16"/>
                <w:szCs w:val="16"/>
                <w:lang w:val="en-US"/>
              </w:rPr>
              <w:t xml:space="preserve">Compared to five years ago, </w:t>
            </w:r>
            <w:r w:rsidRPr="00DC5490">
              <w:rPr>
                <w:rFonts w:asciiTheme="majorHAnsi" w:eastAsiaTheme="minorHAnsi" w:hAnsiTheme="majorHAnsi" w:cstheme="majorHAnsi"/>
                <w:color w:val="000000" w:themeColor="text1"/>
                <w:sz w:val="16"/>
                <w:szCs w:val="16"/>
                <w:lang w:val="en-US"/>
              </w:rPr>
              <w:t>our school’s collective capacity to deliver inclusive education is …</w:t>
            </w:r>
          </w:p>
        </w:tc>
        <w:tc>
          <w:tcPr>
            <w:tcW w:w="1097" w:type="dxa"/>
            <w:vAlign w:val="center"/>
          </w:tcPr>
          <w:p w14:paraId="7BD9F7B4"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097" w:type="dxa"/>
            <w:vAlign w:val="center"/>
          </w:tcPr>
          <w:p w14:paraId="7400A468"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44" w:type="dxa"/>
            <w:vAlign w:val="center"/>
          </w:tcPr>
          <w:p w14:paraId="57B018E6"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44" w:type="dxa"/>
            <w:vAlign w:val="center"/>
          </w:tcPr>
          <w:p w14:paraId="19B817C8"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266" w:type="dxa"/>
            <w:vAlign w:val="center"/>
          </w:tcPr>
          <w:p w14:paraId="46752088"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r>
      <w:tr w:rsidR="008D0CAD" w:rsidRPr="00DC5490" w14:paraId="5E17DEC0" w14:textId="77777777" w:rsidTr="009C64E9">
        <w:trPr>
          <w:trHeight w:val="367"/>
        </w:trPr>
        <w:tc>
          <w:tcPr>
            <w:tcW w:w="4473" w:type="dxa"/>
          </w:tcPr>
          <w:p w14:paraId="11977982"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517" w:hanging="450"/>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sz w:val="16"/>
                <w:szCs w:val="16"/>
                <w:lang w:val="en-US"/>
              </w:rPr>
              <w:t xml:space="preserve">Compared to five years ago, </w:t>
            </w:r>
            <w:r w:rsidRPr="00DC5490">
              <w:rPr>
                <w:rFonts w:asciiTheme="majorHAnsi" w:eastAsiaTheme="minorHAnsi" w:hAnsiTheme="majorHAnsi" w:cstheme="majorHAnsi"/>
                <w:color w:val="000000" w:themeColor="text1"/>
                <w:sz w:val="16"/>
                <w:szCs w:val="16"/>
                <w:lang w:val="en-US"/>
              </w:rPr>
              <w:t>our school’s collective capacity to deliver responsive education is …</w:t>
            </w:r>
          </w:p>
        </w:tc>
        <w:tc>
          <w:tcPr>
            <w:tcW w:w="1097" w:type="dxa"/>
            <w:vAlign w:val="center"/>
          </w:tcPr>
          <w:p w14:paraId="7B1D2400"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097" w:type="dxa"/>
            <w:vAlign w:val="center"/>
          </w:tcPr>
          <w:p w14:paraId="27FB018C"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44" w:type="dxa"/>
            <w:vAlign w:val="center"/>
          </w:tcPr>
          <w:p w14:paraId="637720EA"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44" w:type="dxa"/>
            <w:vAlign w:val="center"/>
          </w:tcPr>
          <w:p w14:paraId="6C368EAA"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266" w:type="dxa"/>
            <w:vAlign w:val="center"/>
          </w:tcPr>
          <w:p w14:paraId="040C11EA"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r>
      <w:tr w:rsidR="008D0CAD" w:rsidRPr="00DC5490" w14:paraId="458FDA40" w14:textId="77777777" w:rsidTr="009C64E9">
        <w:trPr>
          <w:trHeight w:val="367"/>
        </w:trPr>
        <w:tc>
          <w:tcPr>
            <w:tcW w:w="4473" w:type="dxa"/>
          </w:tcPr>
          <w:p w14:paraId="54C9540D"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517" w:hanging="450"/>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sz w:val="16"/>
                <w:szCs w:val="16"/>
                <w:lang w:val="en-US"/>
              </w:rPr>
              <w:t xml:space="preserve">Compared to five years ago, </w:t>
            </w:r>
            <w:r w:rsidRPr="00DC5490">
              <w:rPr>
                <w:rFonts w:asciiTheme="majorHAnsi" w:eastAsiaTheme="minorHAnsi" w:hAnsiTheme="majorHAnsi" w:cstheme="majorHAnsi"/>
                <w:color w:val="000000" w:themeColor="text1"/>
                <w:sz w:val="16"/>
                <w:szCs w:val="16"/>
                <w:lang w:val="en-US"/>
              </w:rPr>
              <w:t>decentralisation of management to field offices and schools in DEPED is …</w:t>
            </w:r>
          </w:p>
        </w:tc>
        <w:tc>
          <w:tcPr>
            <w:tcW w:w="1097" w:type="dxa"/>
            <w:vAlign w:val="center"/>
          </w:tcPr>
          <w:p w14:paraId="4AAA4A91"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097" w:type="dxa"/>
            <w:vAlign w:val="center"/>
          </w:tcPr>
          <w:p w14:paraId="01FB8056"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44" w:type="dxa"/>
            <w:vAlign w:val="center"/>
          </w:tcPr>
          <w:p w14:paraId="287706AF"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44" w:type="dxa"/>
            <w:vAlign w:val="center"/>
          </w:tcPr>
          <w:p w14:paraId="79483E31"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266" w:type="dxa"/>
            <w:vAlign w:val="center"/>
          </w:tcPr>
          <w:p w14:paraId="6386CDBE"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r>
      <w:tr w:rsidR="008D0CAD" w:rsidRPr="00DC5490" w14:paraId="0DE6CAC6" w14:textId="77777777" w:rsidTr="009C64E9">
        <w:trPr>
          <w:trHeight w:val="367"/>
        </w:trPr>
        <w:tc>
          <w:tcPr>
            <w:tcW w:w="4473" w:type="dxa"/>
          </w:tcPr>
          <w:p w14:paraId="3AB49621"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517" w:hanging="450"/>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sz w:val="16"/>
                <w:szCs w:val="16"/>
                <w:lang w:val="en-US"/>
              </w:rPr>
              <w:t xml:space="preserve">Compared to five years ago, </w:t>
            </w:r>
            <w:r w:rsidRPr="00DC5490">
              <w:rPr>
                <w:rFonts w:asciiTheme="majorHAnsi" w:eastAsiaTheme="minorHAnsi" w:hAnsiTheme="majorHAnsi" w:cstheme="majorHAnsi"/>
                <w:color w:val="000000" w:themeColor="text1"/>
                <w:sz w:val="16"/>
                <w:szCs w:val="16"/>
                <w:lang w:val="en-US"/>
              </w:rPr>
              <w:t>decentralisation of accountability in DEPED is …</w:t>
            </w:r>
          </w:p>
        </w:tc>
        <w:tc>
          <w:tcPr>
            <w:tcW w:w="1097" w:type="dxa"/>
            <w:vAlign w:val="center"/>
          </w:tcPr>
          <w:p w14:paraId="3CF03167"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097" w:type="dxa"/>
            <w:vAlign w:val="center"/>
          </w:tcPr>
          <w:p w14:paraId="65A405D9"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44" w:type="dxa"/>
            <w:vAlign w:val="center"/>
          </w:tcPr>
          <w:p w14:paraId="60812FF8"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44" w:type="dxa"/>
            <w:vAlign w:val="center"/>
          </w:tcPr>
          <w:p w14:paraId="571A2AA3"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266" w:type="dxa"/>
            <w:vAlign w:val="center"/>
          </w:tcPr>
          <w:p w14:paraId="21E29E7C"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r>
    </w:tbl>
    <w:p w14:paraId="487872DD" w14:textId="63DAE1A4" w:rsidR="008D0CAD" w:rsidRPr="00DC5490" w:rsidRDefault="008D0CAD" w:rsidP="00DD08E3">
      <w:pPr>
        <w:numPr>
          <w:ilvl w:val="0"/>
          <w:numId w:val="81"/>
        </w:num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20"/>
          <w:szCs w:val="20"/>
          <w:lang w:val="en-US"/>
        </w:rPr>
      </w:pPr>
      <w:r w:rsidRPr="00DC5490">
        <w:rPr>
          <w:rFonts w:asciiTheme="majorHAnsi" w:eastAsiaTheme="minorHAnsi" w:hAnsiTheme="majorHAnsi" w:cstheme="majorHAnsi"/>
          <w:bCs/>
          <w:color w:val="000000"/>
          <w:sz w:val="20"/>
          <w:szCs w:val="20"/>
          <w:lang w:val="en-US"/>
        </w:rPr>
        <w:t xml:space="preserve">Were there any other programs implemented in the last five years </w:t>
      </w:r>
      <w:r w:rsidRPr="00DC5490">
        <w:rPr>
          <w:rFonts w:asciiTheme="majorHAnsi" w:eastAsiaTheme="minorHAnsi" w:hAnsiTheme="majorHAnsi" w:cstheme="majorHAnsi"/>
          <w:b/>
          <w:bCs/>
          <w:color w:val="000000"/>
          <w:sz w:val="20"/>
          <w:szCs w:val="20"/>
          <w:lang w:val="en-US"/>
        </w:rPr>
        <w:t>other than the BEST Program</w:t>
      </w:r>
      <w:r w:rsidRPr="00DC5490">
        <w:rPr>
          <w:rFonts w:asciiTheme="majorHAnsi" w:eastAsiaTheme="minorHAnsi" w:hAnsiTheme="majorHAnsi" w:cstheme="majorHAnsi"/>
          <w:bCs/>
          <w:color w:val="000000"/>
          <w:sz w:val="20"/>
          <w:szCs w:val="20"/>
          <w:lang w:val="en-US"/>
        </w:rPr>
        <w:t xml:space="preserve"> that has/have significantly contributed to enhancing and reforming the delivery of basic education in your school?</w:t>
      </w:r>
      <w:r w:rsidR="00D434EB">
        <w:rPr>
          <w:rFonts w:asciiTheme="majorHAnsi" w:eastAsiaTheme="minorHAnsi" w:hAnsiTheme="majorHAnsi" w:cstheme="majorHAnsi"/>
          <w:bCs/>
          <w:color w:val="000000"/>
          <w:sz w:val="20"/>
          <w:szCs w:val="20"/>
          <w:lang w:val="en-US"/>
        </w:rPr>
        <w:t xml:space="preserve"> </w:t>
      </w:r>
    </w:p>
    <w:p w14:paraId="4FDB70A9" w14:textId="5F0F4A2F" w:rsidR="008D0CAD" w:rsidRPr="00DC5490" w:rsidRDefault="008D0CAD" w:rsidP="00EA6CB9">
      <w:pPr>
        <w:autoSpaceDE w:val="0"/>
        <w:autoSpaceDN w:val="0"/>
        <w:adjustRightInd w:val="0"/>
        <w:spacing w:before="100" w:beforeAutospacing="1" w:after="100" w:afterAutospacing="1" w:line="360" w:lineRule="auto"/>
        <w:ind w:left="360"/>
        <w:rPr>
          <w:rFonts w:asciiTheme="majorHAnsi" w:eastAsiaTheme="minorHAnsi" w:hAnsiTheme="majorHAnsi" w:cstheme="majorHAnsi"/>
          <w:bCs/>
          <w:color w:val="000000"/>
          <w:sz w:val="20"/>
          <w:szCs w:val="20"/>
          <w:lang w:val="en-US"/>
        </w:rPr>
      </w:pPr>
      <w:r w:rsidRPr="00DC5490">
        <w:rPr>
          <w:rFonts w:asciiTheme="majorHAnsi" w:eastAsiaTheme="minorHAnsi" w:hAnsiTheme="majorHAnsi" w:cstheme="majorHAnsi"/>
          <w:bCs/>
          <w:color w:val="000000"/>
          <w:sz w:val="20"/>
          <w:szCs w:val="20"/>
          <w:lang w:val="en-US"/>
        </w:rPr>
        <w:t>_____ Yes</w:t>
      </w:r>
      <w:r w:rsidR="00D434EB">
        <w:rPr>
          <w:rFonts w:asciiTheme="majorHAnsi" w:eastAsiaTheme="minorHAnsi" w:hAnsiTheme="majorHAnsi" w:cstheme="majorHAnsi"/>
          <w:bCs/>
          <w:color w:val="000000"/>
          <w:sz w:val="20"/>
          <w:szCs w:val="20"/>
          <w:lang w:val="en-US"/>
        </w:rPr>
        <w:t xml:space="preserve"> </w:t>
      </w:r>
      <w:r w:rsidRPr="00DC5490">
        <w:rPr>
          <w:rFonts w:asciiTheme="majorHAnsi" w:eastAsiaTheme="minorHAnsi" w:hAnsiTheme="majorHAnsi" w:cstheme="majorHAnsi"/>
          <w:bCs/>
          <w:color w:val="000000"/>
          <w:sz w:val="20"/>
          <w:szCs w:val="20"/>
          <w:lang w:val="en-US"/>
        </w:rPr>
        <w:t xml:space="preserve"> _____ No _____ I don’t know</w:t>
      </w:r>
    </w:p>
    <w:p w14:paraId="307DDE35" w14:textId="77777777" w:rsidR="008D0CAD" w:rsidRPr="00DC5490" w:rsidRDefault="008D0CAD" w:rsidP="00DD08E3">
      <w:pPr>
        <w:numPr>
          <w:ilvl w:val="0"/>
          <w:numId w:val="81"/>
        </w:num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20"/>
          <w:szCs w:val="20"/>
          <w:lang w:val="en-US"/>
        </w:rPr>
      </w:pPr>
      <w:r w:rsidRPr="00DC5490">
        <w:rPr>
          <w:rFonts w:asciiTheme="majorHAnsi" w:eastAsiaTheme="minorHAnsi" w:hAnsiTheme="majorHAnsi" w:cstheme="majorHAnsi"/>
          <w:bCs/>
          <w:color w:val="000000"/>
          <w:sz w:val="20"/>
          <w:szCs w:val="20"/>
          <w:lang w:val="en-US"/>
        </w:rPr>
        <w:t>If yes, please cite all other programs that you know that were implemented in the last five years that contributed to the improvement of responsive and inclusive education in your region/division/school?</w:t>
      </w:r>
    </w:p>
    <w:p w14:paraId="67C276C9"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b/>
          <w:color w:val="000000"/>
          <w:sz w:val="20"/>
          <w:szCs w:val="20"/>
          <w:lang w:val="en-US"/>
        </w:rPr>
      </w:pPr>
      <w:r w:rsidRPr="00DC5490">
        <w:rPr>
          <w:rFonts w:asciiTheme="majorHAnsi" w:eastAsiaTheme="minorHAnsi" w:hAnsiTheme="majorHAnsi" w:cstheme="majorHAnsi"/>
          <w:b/>
          <w:color w:val="000000"/>
          <w:sz w:val="20"/>
          <w:szCs w:val="20"/>
          <w:lang w:val="en-US"/>
        </w:rPr>
        <w:t>Part 4: Respondent’s Profile</w:t>
      </w:r>
    </w:p>
    <w:p w14:paraId="70CD8068" w14:textId="77777777" w:rsidR="008D0CAD" w:rsidRPr="00DC5490" w:rsidRDefault="008D0CAD" w:rsidP="00DD08E3">
      <w:pPr>
        <w:numPr>
          <w:ilvl w:val="0"/>
          <w:numId w:val="81"/>
        </w:numPr>
        <w:spacing w:before="100" w:beforeAutospacing="1" w:after="100" w:afterAutospacing="1" w:line="360" w:lineRule="auto"/>
        <w:rPr>
          <w:rFonts w:asciiTheme="majorHAnsi" w:hAnsiTheme="majorHAnsi" w:cstheme="majorHAnsi"/>
          <w:snapToGrid w:val="0"/>
          <w:sz w:val="20"/>
          <w:szCs w:val="20"/>
          <w:lang w:val="en-US"/>
        </w:rPr>
      </w:pPr>
      <w:r w:rsidRPr="00DC5490">
        <w:rPr>
          <w:rFonts w:asciiTheme="majorHAnsi" w:hAnsiTheme="majorHAnsi" w:cstheme="majorHAnsi"/>
          <w:snapToGrid w:val="0"/>
          <w:sz w:val="20"/>
          <w:szCs w:val="20"/>
          <w:lang w:val="en-US"/>
        </w:rPr>
        <w:t>Sex of Respondent:</w:t>
      </w:r>
      <w:r w:rsidRPr="00DC5490">
        <w:rPr>
          <w:rFonts w:asciiTheme="majorHAnsi" w:hAnsiTheme="majorHAnsi" w:cstheme="majorHAnsi"/>
          <w:snapToGrid w:val="0"/>
          <w:sz w:val="20"/>
          <w:szCs w:val="20"/>
          <w:lang w:val="en-US"/>
        </w:rPr>
        <w:tab/>
      </w:r>
      <w:r w:rsidRPr="00DC5490">
        <w:rPr>
          <w:rFonts w:asciiTheme="majorHAnsi" w:hAnsiTheme="majorHAnsi" w:cstheme="majorHAnsi"/>
          <w:snapToGrid w:val="0"/>
          <w:sz w:val="20"/>
          <w:szCs w:val="20"/>
          <w:lang w:val="en-US"/>
        </w:rPr>
        <w:tab/>
        <w:t xml:space="preserve"> </w:t>
      </w:r>
    </w:p>
    <w:p w14:paraId="16C4007B" w14:textId="77777777" w:rsidR="008D0CAD" w:rsidRPr="00DC5490" w:rsidRDefault="008D0CAD" w:rsidP="00DD08E3">
      <w:pPr>
        <w:numPr>
          <w:ilvl w:val="1"/>
          <w:numId w:val="81"/>
        </w:numPr>
        <w:spacing w:before="100" w:beforeAutospacing="1" w:after="100" w:afterAutospacing="1" w:line="360" w:lineRule="auto"/>
        <w:rPr>
          <w:rFonts w:asciiTheme="majorHAnsi" w:hAnsiTheme="majorHAnsi" w:cstheme="majorHAnsi"/>
          <w:snapToGrid w:val="0"/>
          <w:sz w:val="20"/>
          <w:szCs w:val="20"/>
          <w:lang w:val="en-US"/>
        </w:rPr>
      </w:pPr>
      <w:r w:rsidRPr="00DC5490">
        <w:rPr>
          <w:rFonts w:asciiTheme="majorHAnsi" w:hAnsiTheme="majorHAnsi" w:cstheme="majorHAnsi"/>
          <w:snapToGrid w:val="0"/>
          <w:sz w:val="20"/>
          <w:szCs w:val="20"/>
          <w:lang w:val="en-US"/>
        </w:rPr>
        <w:t xml:space="preserve">___ Female </w:t>
      </w:r>
    </w:p>
    <w:p w14:paraId="78533B55" w14:textId="77777777" w:rsidR="008D0CAD" w:rsidRPr="00DC5490" w:rsidRDefault="008D0CAD" w:rsidP="00DD08E3">
      <w:pPr>
        <w:numPr>
          <w:ilvl w:val="1"/>
          <w:numId w:val="81"/>
        </w:numPr>
        <w:spacing w:before="100" w:beforeAutospacing="1" w:after="100" w:afterAutospacing="1" w:line="360" w:lineRule="auto"/>
        <w:rPr>
          <w:rFonts w:asciiTheme="majorHAnsi" w:hAnsiTheme="majorHAnsi" w:cstheme="majorHAnsi"/>
          <w:snapToGrid w:val="0"/>
          <w:sz w:val="20"/>
          <w:szCs w:val="20"/>
          <w:lang w:val="en-US"/>
        </w:rPr>
      </w:pPr>
      <w:r w:rsidRPr="00DC5490">
        <w:rPr>
          <w:rFonts w:asciiTheme="majorHAnsi" w:hAnsiTheme="majorHAnsi" w:cstheme="majorHAnsi"/>
          <w:snapToGrid w:val="0"/>
          <w:sz w:val="20"/>
          <w:szCs w:val="20"/>
          <w:lang w:val="en-US"/>
        </w:rPr>
        <w:t>___ Male</w:t>
      </w:r>
    </w:p>
    <w:p w14:paraId="2C18251D" w14:textId="77777777" w:rsidR="008D0CAD" w:rsidRPr="00DC5490" w:rsidRDefault="008D0CAD" w:rsidP="00DD08E3">
      <w:pPr>
        <w:numPr>
          <w:ilvl w:val="0"/>
          <w:numId w:val="81"/>
        </w:num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20"/>
          <w:szCs w:val="20"/>
          <w:lang w:val="en-US"/>
        </w:rPr>
      </w:pPr>
      <w:r w:rsidRPr="00DC5490">
        <w:rPr>
          <w:rFonts w:asciiTheme="majorHAnsi" w:eastAsiaTheme="minorHAnsi" w:hAnsiTheme="majorHAnsi" w:cstheme="majorHAnsi"/>
          <w:color w:val="000000"/>
          <w:sz w:val="20"/>
          <w:szCs w:val="20"/>
          <w:lang w:val="en-US"/>
        </w:rPr>
        <w:t>Age</w:t>
      </w:r>
    </w:p>
    <w:p w14:paraId="35549F7B"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0"/>
          <w:szCs w:val="20"/>
          <w:lang w:val="en-US"/>
        </w:rPr>
      </w:pPr>
      <w:r w:rsidRPr="00DC5490">
        <w:rPr>
          <w:rFonts w:asciiTheme="majorHAnsi" w:eastAsiaTheme="minorHAnsi" w:hAnsiTheme="majorHAnsi" w:cstheme="majorHAnsi"/>
          <w:color w:val="000000"/>
          <w:sz w:val="20"/>
          <w:szCs w:val="20"/>
          <w:lang w:val="en-US"/>
        </w:rPr>
        <w:t>____ 21-29 years old</w:t>
      </w:r>
    </w:p>
    <w:p w14:paraId="0A76F246"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0"/>
          <w:szCs w:val="20"/>
          <w:lang w:val="en-US"/>
        </w:rPr>
      </w:pPr>
      <w:r w:rsidRPr="00DC5490">
        <w:rPr>
          <w:rFonts w:asciiTheme="majorHAnsi" w:eastAsiaTheme="minorHAnsi" w:hAnsiTheme="majorHAnsi" w:cstheme="majorHAnsi"/>
          <w:color w:val="000000"/>
          <w:sz w:val="20"/>
          <w:szCs w:val="20"/>
          <w:lang w:val="en-US"/>
        </w:rPr>
        <w:t>____ 30-39 years old</w:t>
      </w:r>
    </w:p>
    <w:p w14:paraId="103930F0"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0"/>
          <w:szCs w:val="20"/>
          <w:lang w:val="en-US"/>
        </w:rPr>
      </w:pPr>
      <w:r w:rsidRPr="00DC5490">
        <w:rPr>
          <w:rFonts w:asciiTheme="majorHAnsi" w:eastAsiaTheme="minorHAnsi" w:hAnsiTheme="majorHAnsi" w:cstheme="majorHAnsi"/>
          <w:color w:val="000000"/>
          <w:sz w:val="20"/>
          <w:szCs w:val="20"/>
          <w:lang w:val="en-US"/>
        </w:rPr>
        <w:t>____ 40-49 years old</w:t>
      </w:r>
    </w:p>
    <w:p w14:paraId="7D1721EE"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0"/>
          <w:szCs w:val="20"/>
          <w:lang w:val="en-US"/>
        </w:rPr>
      </w:pPr>
      <w:r w:rsidRPr="00DC5490">
        <w:rPr>
          <w:rFonts w:asciiTheme="majorHAnsi" w:eastAsiaTheme="minorHAnsi" w:hAnsiTheme="majorHAnsi" w:cstheme="majorHAnsi"/>
          <w:color w:val="000000"/>
          <w:sz w:val="20"/>
          <w:szCs w:val="20"/>
          <w:lang w:val="en-US"/>
        </w:rPr>
        <w:t xml:space="preserve">____ 50-59 years old </w:t>
      </w:r>
    </w:p>
    <w:p w14:paraId="7B7D90E2"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0"/>
          <w:szCs w:val="20"/>
          <w:lang w:val="en-US"/>
        </w:rPr>
      </w:pPr>
      <w:r w:rsidRPr="00DC5490">
        <w:rPr>
          <w:rFonts w:asciiTheme="majorHAnsi" w:eastAsiaTheme="minorHAnsi" w:hAnsiTheme="majorHAnsi" w:cstheme="majorHAnsi"/>
          <w:color w:val="000000"/>
          <w:sz w:val="20"/>
          <w:szCs w:val="20"/>
          <w:lang w:val="en-US"/>
        </w:rPr>
        <w:t>____ above 59 years old</w:t>
      </w:r>
    </w:p>
    <w:p w14:paraId="1B2C1DD2" w14:textId="77777777" w:rsidR="008D0CAD" w:rsidRPr="00DC5490" w:rsidRDefault="008D0CAD" w:rsidP="00DD08E3">
      <w:pPr>
        <w:numPr>
          <w:ilvl w:val="0"/>
          <w:numId w:val="81"/>
        </w:num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r w:rsidRPr="00DC5490">
        <w:rPr>
          <w:rFonts w:asciiTheme="majorHAnsi" w:eastAsiaTheme="minorHAnsi" w:hAnsiTheme="majorHAnsi" w:cstheme="majorHAnsi"/>
          <w:color w:val="000000" w:themeColor="text1"/>
          <w:sz w:val="20"/>
          <w:szCs w:val="20"/>
          <w:lang w:val="en-US"/>
        </w:rPr>
        <w:t>BS Course: ___________________________________________________</w:t>
      </w:r>
    </w:p>
    <w:p w14:paraId="0680D48A" w14:textId="77777777" w:rsidR="008D0CAD" w:rsidRPr="00DC5490" w:rsidRDefault="008D0CAD" w:rsidP="00DD08E3">
      <w:pPr>
        <w:numPr>
          <w:ilvl w:val="0"/>
          <w:numId w:val="81"/>
        </w:num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20"/>
          <w:szCs w:val="20"/>
          <w:lang w:val="en-US"/>
        </w:rPr>
      </w:pPr>
      <w:r w:rsidRPr="00DC5490">
        <w:rPr>
          <w:rFonts w:asciiTheme="majorHAnsi" w:eastAsiaTheme="minorHAnsi" w:hAnsiTheme="majorHAnsi" w:cstheme="majorHAnsi"/>
          <w:color w:val="000000"/>
          <w:sz w:val="20"/>
          <w:szCs w:val="20"/>
          <w:lang w:val="en-US"/>
        </w:rPr>
        <w:t xml:space="preserve">Highest Educational Attainment: </w:t>
      </w:r>
    </w:p>
    <w:p w14:paraId="17665E0B"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0"/>
          <w:szCs w:val="20"/>
          <w:lang w:val="en-US"/>
        </w:rPr>
      </w:pPr>
      <w:r w:rsidRPr="00DC5490">
        <w:rPr>
          <w:rFonts w:asciiTheme="majorHAnsi" w:eastAsiaTheme="minorHAnsi" w:hAnsiTheme="majorHAnsi" w:cstheme="majorHAnsi"/>
          <w:color w:val="000000"/>
          <w:sz w:val="20"/>
          <w:szCs w:val="20"/>
          <w:lang w:val="en-US"/>
        </w:rPr>
        <w:t>______ Bachelor’s Degree</w:t>
      </w:r>
    </w:p>
    <w:p w14:paraId="4D329068"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0"/>
          <w:szCs w:val="20"/>
          <w:lang w:val="en-US"/>
        </w:rPr>
      </w:pPr>
      <w:r w:rsidRPr="00DC5490">
        <w:rPr>
          <w:rFonts w:asciiTheme="majorHAnsi" w:eastAsiaTheme="minorHAnsi" w:hAnsiTheme="majorHAnsi" w:cstheme="majorHAnsi"/>
          <w:color w:val="000000"/>
          <w:sz w:val="20"/>
          <w:szCs w:val="20"/>
          <w:lang w:val="en-US"/>
        </w:rPr>
        <w:t>______ Master’s Degree</w:t>
      </w:r>
    </w:p>
    <w:p w14:paraId="27DAB967"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0"/>
          <w:szCs w:val="20"/>
          <w:lang w:val="en-US"/>
        </w:rPr>
      </w:pPr>
      <w:r w:rsidRPr="00DC5490">
        <w:rPr>
          <w:rFonts w:asciiTheme="majorHAnsi" w:eastAsiaTheme="minorHAnsi" w:hAnsiTheme="majorHAnsi" w:cstheme="majorHAnsi"/>
          <w:color w:val="000000"/>
          <w:sz w:val="20"/>
          <w:szCs w:val="20"/>
          <w:lang w:val="en-US"/>
        </w:rPr>
        <w:t>______ Doctoral Degree</w:t>
      </w:r>
    </w:p>
    <w:p w14:paraId="0D07732C" w14:textId="77777777" w:rsidR="008D0CAD" w:rsidRPr="00DC5490" w:rsidRDefault="008D0CAD" w:rsidP="00DD08E3">
      <w:pPr>
        <w:numPr>
          <w:ilvl w:val="0"/>
          <w:numId w:val="81"/>
        </w:num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20"/>
          <w:szCs w:val="20"/>
          <w:lang w:val="en-US"/>
        </w:rPr>
      </w:pPr>
      <w:r w:rsidRPr="00DC5490">
        <w:rPr>
          <w:rFonts w:asciiTheme="majorHAnsi" w:eastAsiaTheme="minorHAnsi" w:hAnsiTheme="majorHAnsi" w:cstheme="majorHAnsi"/>
          <w:color w:val="000000"/>
          <w:sz w:val="20"/>
          <w:szCs w:val="20"/>
          <w:lang w:val="en-US"/>
        </w:rPr>
        <w:t>No. of years as Principal or Head of School: ___________</w:t>
      </w:r>
    </w:p>
    <w:p w14:paraId="71DA0EC9" w14:textId="77777777" w:rsidR="008D0CAD" w:rsidRPr="00DC5490" w:rsidRDefault="008D0CAD" w:rsidP="00DD08E3">
      <w:pPr>
        <w:numPr>
          <w:ilvl w:val="0"/>
          <w:numId w:val="81"/>
        </w:numPr>
        <w:spacing w:before="100" w:beforeAutospacing="1" w:after="100" w:afterAutospacing="1" w:line="360" w:lineRule="auto"/>
        <w:rPr>
          <w:rFonts w:asciiTheme="majorHAnsi" w:hAnsiTheme="majorHAnsi" w:cstheme="majorHAnsi"/>
          <w:sz w:val="20"/>
          <w:szCs w:val="20"/>
          <w:lang w:val="en-US"/>
        </w:rPr>
      </w:pPr>
      <w:r w:rsidRPr="00DC5490">
        <w:rPr>
          <w:rFonts w:asciiTheme="majorHAnsi" w:hAnsiTheme="majorHAnsi" w:cstheme="majorHAnsi"/>
          <w:sz w:val="20"/>
          <w:szCs w:val="20"/>
          <w:lang w:val="en-US"/>
        </w:rPr>
        <w:t>Please identify all BEST-related Training Programs you have attended in last 5 years:</w:t>
      </w:r>
    </w:p>
    <w:p w14:paraId="557630E0"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994" w:hanging="634"/>
        <w:rPr>
          <w:rFonts w:asciiTheme="majorHAnsi" w:eastAsiaTheme="minorHAnsi" w:hAnsiTheme="majorHAnsi" w:cstheme="majorHAnsi"/>
          <w:b/>
          <w:color w:val="000000"/>
          <w:sz w:val="20"/>
          <w:szCs w:val="20"/>
          <w:lang w:val="en-US"/>
        </w:rPr>
      </w:pPr>
      <w:r w:rsidRPr="00DC5490">
        <w:rPr>
          <w:rFonts w:asciiTheme="majorHAnsi" w:eastAsiaTheme="minorHAnsi" w:hAnsiTheme="majorHAnsi" w:cstheme="majorHAnsi"/>
          <w:b/>
          <w:color w:val="000000"/>
          <w:sz w:val="20"/>
          <w:szCs w:val="20"/>
          <w:lang w:val="en-US"/>
        </w:rPr>
        <w:t>PLEASE ATTACHED LIST</w:t>
      </w:r>
    </w:p>
    <w:p w14:paraId="323DE4F5" w14:textId="77777777" w:rsidR="008D0CAD" w:rsidRPr="00DC5490" w:rsidRDefault="008D0CAD" w:rsidP="00DD08E3">
      <w:pPr>
        <w:numPr>
          <w:ilvl w:val="0"/>
          <w:numId w:val="81"/>
        </w:numPr>
        <w:spacing w:before="100" w:beforeAutospacing="1" w:after="100" w:afterAutospacing="1" w:line="360" w:lineRule="auto"/>
        <w:rPr>
          <w:rFonts w:asciiTheme="majorHAnsi" w:hAnsiTheme="majorHAnsi" w:cstheme="majorHAnsi"/>
          <w:sz w:val="20"/>
          <w:szCs w:val="20"/>
          <w:lang w:val="en-US"/>
        </w:rPr>
      </w:pPr>
      <w:r w:rsidRPr="00DC5490">
        <w:rPr>
          <w:rFonts w:asciiTheme="majorHAnsi" w:hAnsiTheme="majorHAnsi" w:cstheme="majorHAnsi"/>
          <w:sz w:val="20"/>
          <w:szCs w:val="20"/>
          <w:lang w:val="en-US"/>
        </w:rPr>
        <w:t>Please list down all Training Programs (and academic courses) attended in last 5 years that were not assisted by BEST Program:</w:t>
      </w:r>
    </w:p>
    <w:p w14:paraId="0B854DD8" w14:textId="689DE5B5" w:rsidR="008D0CAD" w:rsidRPr="00DC5490" w:rsidRDefault="00D434EB" w:rsidP="00DD08E3">
      <w:pPr>
        <w:numPr>
          <w:ilvl w:val="1"/>
          <w:numId w:val="81"/>
        </w:num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r>
        <w:rPr>
          <w:rFonts w:asciiTheme="majorHAnsi" w:eastAsiaTheme="minorHAnsi" w:hAnsiTheme="majorHAnsi" w:cstheme="majorHAnsi"/>
          <w:color w:val="000000" w:themeColor="text1"/>
          <w:sz w:val="20"/>
          <w:szCs w:val="20"/>
          <w:lang w:val="en-US"/>
        </w:rPr>
        <w:t xml:space="preserve"> </w:t>
      </w:r>
      <w:r w:rsidR="008D0CAD" w:rsidRPr="00DC5490">
        <w:rPr>
          <w:rFonts w:asciiTheme="majorHAnsi" w:eastAsiaTheme="minorHAnsi" w:hAnsiTheme="majorHAnsi" w:cstheme="majorHAnsi"/>
          <w:color w:val="000000" w:themeColor="text1"/>
          <w:sz w:val="20"/>
          <w:szCs w:val="20"/>
          <w:lang w:val="en-US"/>
        </w:rPr>
        <w:t>______________________________________________________________________________</w:t>
      </w:r>
    </w:p>
    <w:p w14:paraId="14080BD9" w14:textId="0C823B88" w:rsidR="008D0CAD" w:rsidRPr="00DC5490" w:rsidRDefault="00D434EB" w:rsidP="00DD08E3">
      <w:pPr>
        <w:numPr>
          <w:ilvl w:val="1"/>
          <w:numId w:val="81"/>
        </w:num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r>
        <w:rPr>
          <w:rFonts w:asciiTheme="majorHAnsi" w:eastAsiaTheme="minorHAnsi" w:hAnsiTheme="majorHAnsi" w:cstheme="majorHAnsi"/>
          <w:color w:val="000000" w:themeColor="text1"/>
          <w:sz w:val="20"/>
          <w:szCs w:val="20"/>
          <w:lang w:val="en-US"/>
        </w:rPr>
        <w:t xml:space="preserve"> </w:t>
      </w:r>
      <w:r w:rsidR="008D0CAD" w:rsidRPr="00DC5490">
        <w:rPr>
          <w:rFonts w:asciiTheme="majorHAnsi" w:eastAsiaTheme="minorHAnsi" w:hAnsiTheme="majorHAnsi" w:cstheme="majorHAnsi"/>
          <w:color w:val="000000" w:themeColor="text1"/>
          <w:sz w:val="20"/>
          <w:szCs w:val="20"/>
          <w:lang w:val="en-US"/>
        </w:rPr>
        <w:t>______________________________________________________________________________</w:t>
      </w:r>
    </w:p>
    <w:p w14:paraId="13BB3609"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900" w:hanging="540"/>
        <w:rPr>
          <w:rFonts w:asciiTheme="majorHAnsi" w:eastAsiaTheme="minorHAnsi" w:hAnsiTheme="majorHAnsi" w:cstheme="majorHAnsi"/>
          <w:color w:val="000000" w:themeColor="text1"/>
          <w:sz w:val="20"/>
          <w:szCs w:val="20"/>
          <w:lang w:val="en-US"/>
        </w:rPr>
      </w:pPr>
      <w:r w:rsidRPr="00DC5490">
        <w:rPr>
          <w:rFonts w:asciiTheme="majorHAnsi" w:eastAsiaTheme="minorHAnsi" w:hAnsiTheme="majorHAnsi" w:cstheme="majorHAnsi"/>
          <w:color w:val="000000" w:themeColor="text1"/>
          <w:sz w:val="20"/>
          <w:szCs w:val="20"/>
          <w:lang w:val="en-US"/>
        </w:rPr>
        <w:t>______________________________________________________________________________</w:t>
      </w:r>
    </w:p>
    <w:p w14:paraId="1014C593"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900" w:hanging="540"/>
        <w:rPr>
          <w:rFonts w:asciiTheme="majorHAnsi" w:eastAsiaTheme="minorHAnsi" w:hAnsiTheme="majorHAnsi" w:cstheme="majorHAnsi"/>
          <w:color w:val="000000" w:themeColor="text1"/>
          <w:sz w:val="20"/>
          <w:szCs w:val="20"/>
          <w:lang w:val="en-US"/>
        </w:rPr>
      </w:pPr>
      <w:r w:rsidRPr="00DC5490">
        <w:rPr>
          <w:rFonts w:asciiTheme="majorHAnsi" w:eastAsiaTheme="minorHAnsi" w:hAnsiTheme="majorHAnsi" w:cstheme="majorHAnsi"/>
          <w:color w:val="000000" w:themeColor="text1"/>
          <w:sz w:val="20"/>
          <w:szCs w:val="20"/>
          <w:lang w:val="en-US"/>
        </w:rPr>
        <w:t>______________________________________________________________________________</w:t>
      </w:r>
    </w:p>
    <w:p w14:paraId="07EC44C3"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900" w:hanging="540"/>
        <w:rPr>
          <w:rFonts w:asciiTheme="majorHAnsi" w:eastAsiaTheme="minorHAnsi" w:hAnsiTheme="majorHAnsi" w:cstheme="majorHAnsi"/>
          <w:color w:val="000000" w:themeColor="text1"/>
          <w:sz w:val="20"/>
          <w:szCs w:val="20"/>
          <w:lang w:val="en-US"/>
        </w:rPr>
      </w:pPr>
      <w:r w:rsidRPr="00DC5490">
        <w:rPr>
          <w:rFonts w:asciiTheme="majorHAnsi" w:eastAsiaTheme="minorHAnsi" w:hAnsiTheme="majorHAnsi" w:cstheme="majorHAnsi"/>
          <w:color w:val="000000" w:themeColor="text1"/>
          <w:sz w:val="20"/>
          <w:szCs w:val="20"/>
          <w:lang w:val="en-US"/>
        </w:rPr>
        <w:t>______________________________________________________________________________</w:t>
      </w:r>
    </w:p>
    <w:p w14:paraId="0E16B4B3" w14:textId="77777777" w:rsidR="008D0CAD" w:rsidRPr="00DC5490" w:rsidRDefault="008D0CAD" w:rsidP="00EA6CB9">
      <w:pPr>
        <w:autoSpaceDE w:val="0"/>
        <w:autoSpaceDN w:val="0"/>
        <w:adjustRightInd w:val="0"/>
        <w:spacing w:before="100" w:beforeAutospacing="1" w:after="100" w:afterAutospacing="1" w:line="360" w:lineRule="auto"/>
        <w:ind w:left="720"/>
        <w:rPr>
          <w:rFonts w:asciiTheme="majorHAnsi" w:eastAsiaTheme="minorHAnsi" w:hAnsiTheme="majorHAnsi" w:cstheme="majorHAnsi"/>
          <w:color w:val="000000"/>
          <w:sz w:val="20"/>
          <w:szCs w:val="20"/>
          <w:lang w:val="en-US"/>
        </w:rPr>
      </w:pPr>
      <w:r w:rsidRPr="00DC5490">
        <w:rPr>
          <w:rFonts w:asciiTheme="majorHAnsi" w:eastAsiaTheme="minorHAnsi" w:hAnsiTheme="majorHAnsi" w:cstheme="majorHAnsi"/>
          <w:color w:val="000000"/>
          <w:sz w:val="20"/>
          <w:szCs w:val="20"/>
          <w:lang w:val="en-US"/>
        </w:rPr>
        <w:t>Add sheets if necessary.</w:t>
      </w:r>
    </w:p>
    <w:p w14:paraId="39B5DC56"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b/>
          <w:color w:val="000000"/>
          <w:sz w:val="20"/>
          <w:szCs w:val="20"/>
          <w:lang w:val="en-US"/>
        </w:rPr>
      </w:pPr>
      <w:r w:rsidRPr="00DC5490">
        <w:rPr>
          <w:rFonts w:asciiTheme="majorHAnsi" w:eastAsiaTheme="minorHAnsi" w:hAnsiTheme="majorHAnsi" w:cstheme="majorHAnsi"/>
          <w:b/>
          <w:color w:val="000000"/>
          <w:sz w:val="20"/>
          <w:szCs w:val="20"/>
          <w:lang w:val="en-US"/>
        </w:rPr>
        <w:t>Thank you very much for your cooperation.</w:t>
      </w:r>
    </w:p>
    <w:p w14:paraId="5F0AD0EE" w14:textId="77777777" w:rsidR="008D0CAD" w:rsidRPr="00DC5490" w:rsidRDefault="008D0CAD" w:rsidP="00EA6CB9">
      <w:pPr>
        <w:pStyle w:val="Heading3"/>
        <w:pageBreakBefore/>
        <w:spacing w:before="100" w:beforeAutospacing="1" w:after="100" w:afterAutospacing="1" w:line="360" w:lineRule="auto"/>
        <w:rPr>
          <w:lang w:val="en-US"/>
        </w:rPr>
      </w:pPr>
      <w:bookmarkStart w:id="304" w:name="_Toc39938386"/>
      <w:bookmarkStart w:id="305" w:name="_Toc69820491"/>
      <w:r w:rsidRPr="00DC5490">
        <w:rPr>
          <w:lang w:val="en-US"/>
        </w:rPr>
        <w:t>Annex N-2: 2019 Survey of Teachers</w:t>
      </w:r>
      <w:bookmarkEnd w:id="304"/>
      <w:bookmarkEnd w:id="305"/>
    </w:p>
    <w:p w14:paraId="7E79B04F" w14:textId="77777777" w:rsidR="008D0CAD" w:rsidRPr="00DC5490" w:rsidRDefault="008D0CAD" w:rsidP="00EA6CB9">
      <w:pPr>
        <w:spacing w:before="100" w:beforeAutospacing="1" w:after="100" w:afterAutospacing="1" w:line="360" w:lineRule="auto"/>
        <w:rPr>
          <w:rFonts w:asciiTheme="majorHAnsi" w:hAnsiTheme="majorHAnsi" w:cstheme="majorHAnsi"/>
          <w:b/>
          <w:sz w:val="20"/>
          <w:szCs w:val="20"/>
          <w:lang w:val="en-US"/>
        </w:rPr>
      </w:pPr>
      <w:r w:rsidRPr="00DC5490">
        <w:rPr>
          <w:rFonts w:asciiTheme="majorHAnsi" w:hAnsiTheme="majorHAnsi" w:cstheme="majorHAnsi"/>
          <w:b/>
          <w:sz w:val="20"/>
          <w:szCs w:val="20"/>
          <w:lang w:val="en-US"/>
        </w:rPr>
        <w:t>Part 1: Context</w:t>
      </w:r>
    </w:p>
    <w:p w14:paraId="15917365" w14:textId="6EBD3E0E" w:rsidR="008D0CAD" w:rsidRPr="00DC5490" w:rsidRDefault="008D0CAD" w:rsidP="00DD08E3">
      <w:pPr>
        <w:numPr>
          <w:ilvl w:val="0"/>
          <w:numId w:val="81"/>
        </w:num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20"/>
          <w:szCs w:val="20"/>
          <w:lang w:val="en-US"/>
        </w:rPr>
      </w:pPr>
      <w:r w:rsidRPr="00DC5490">
        <w:rPr>
          <w:rFonts w:asciiTheme="majorHAnsi" w:eastAsiaTheme="minorHAnsi" w:hAnsiTheme="majorHAnsi" w:cstheme="majorHAnsi"/>
          <w:color w:val="000000"/>
          <w:sz w:val="20"/>
          <w:szCs w:val="20"/>
          <w:lang w:val="en-US"/>
        </w:rPr>
        <w:t xml:space="preserve">Are you aware of the </w:t>
      </w:r>
      <w:r w:rsidRPr="00DC5490">
        <w:rPr>
          <w:rFonts w:asciiTheme="majorHAnsi" w:eastAsiaTheme="minorHAnsi" w:hAnsiTheme="majorHAnsi" w:cstheme="majorHAnsi"/>
          <w:b/>
          <w:color w:val="000000"/>
          <w:sz w:val="20"/>
          <w:szCs w:val="20"/>
          <w:lang w:val="en-US"/>
        </w:rPr>
        <w:t>Basic Education Sector Transformation (BEST) Program</w:t>
      </w:r>
      <w:r w:rsidRPr="00DC5490">
        <w:rPr>
          <w:rFonts w:asciiTheme="majorHAnsi" w:eastAsiaTheme="minorHAnsi" w:hAnsiTheme="majorHAnsi" w:cstheme="majorHAnsi"/>
          <w:color w:val="000000"/>
          <w:sz w:val="20"/>
          <w:szCs w:val="20"/>
          <w:lang w:val="en-US"/>
        </w:rPr>
        <w:t>?</w:t>
      </w:r>
      <w:r w:rsidR="00D434EB">
        <w:rPr>
          <w:rFonts w:asciiTheme="majorHAnsi" w:eastAsiaTheme="minorHAnsi" w:hAnsiTheme="majorHAnsi" w:cstheme="majorHAnsi"/>
          <w:color w:val="000000"/>
          <w:sz w:val="20"/>
          <w:szCs w:val="20"/>
          <w:lang w:val="en-US"/>
        </w:rPr>
        <w:t xml:space="preserve"> </w:t>
      </w:r>
      <w:r w:rsidRPr="00DC5490">
        <w:rPr>
          <w:rFonts w:asciiTheme="majorHAnsi" w:eastAsiaTheme="minorHAnsi" w:hAnsiTheme="majorHAnsi" w:cstheme="majorHAnsi"/>
          <w:color w:val="000000"/>
          <w:sz w:val="20"/>
          <w:szCs w:val="20"/>
          <w:lang w:val="en-US"/>
        </w:rPr>
        <w:t>_____ Yes</w:t>
      </w:r>
      <w:r w:rsidR="00D434EB">
        <w:rPr>
          <w:rFonts w:asciiTheme="majorHAnsi" w:eastAsiaTheme="minorHAnsi" w:hAnsiTheme="majorHAnsi" w:cstheme="majorHAnsi"/>
          <w:color w:val="000000"/>
          <w:sz w:val="20"/>
          <w:szCs w:val="20"/>
          <w:lang w:val="en-US"/>
        </w:rPr>
        <w:t xml:space="preserve">   </w:t>
      </w:r>
      <w:r w:rsidRPr="00DC5490">
        <w:rPr>
          <w:rFonts w:asciiTheme="majorHAnsi" w:eastAsiaTheme="minorHAnsi" w:hAnsiTheme="majorHAnsi" w:cstheme="majorHAnsi"/>
          <w:color w:val="000000"/>
          <w:sz w:val="20"/>
          <w:szCs w:val="20"/>
          <w:lang w:val="en-US"/>
        </w:rPr>
        <w:t>_____ No</w:t>
      </w:r>
    </w:p>
    <w:p w14:paraId="0804A57D" w14:textId="77777777" w:rsidR="008D0CAD" w:rsidRPr="00DC5490" w:rsidRDefault="008D0CAD" w:rsidP="00DD08E3">
      <w:pPr>
        <w:numPr>
          <w:ilvl w:val="0"/>
          <w:numId w:val="81"/>
        </w:num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20"/>
          <w:szCs w:val="20"/>
          <w:lang w:val="en-US"/>
        </w:rPr>
      </w:pPr>
      <w:r w:rsidRPr="00DC5490">
        <w:rPr>
          <w:rFonts w:asciiTheme="majorHAnsi" w:eastAsiaTheme="minorHAnsi" w:hAnsiTheme="majorHAnsi" w:cstheme="majorHAnsi"/>
          <w:color w:val="000000"/>
          <w:sz w:val="20"/>
          <w:szCs w:val="20"/>
          <w:lang w:val="en-US"/>
        </w:rPr>
        <w:t xml:space="preserve">In your opinion, </w:t>
      </w:r>
      <w:r w:rsidRPr="00DC5490">
        <w:rPr>
          <w:rFonts w:asciiTheme="majorHAnsi" w:eastAsiaTheme="minorHAnsi" w:hAnsiTheme="majorHAnsi" w:cstheme="majorHAnsi"/>
          <w:color w:val="000000" w:themeColor="text1"/>
          <w:sz w:val="20"/>
          <w:szCs w:val="20"/>
          <w:lang w:val="en-US"/>
        </w:rPr>
        <w:t>what were the educational needs or gaps that the basic education reforms intended to address through the systems/program interventions introduced in the last five years? [Multiple answers allowed.]</w:t>
      </w:r>
    </w:p>
    <w:p w14:paraId="354D5DF0"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0"/>
          <w:szCs w:val="20"/>
          <w:lang w:val="en-US"/>
        </w:rPr>
      </w:pPr>
      <w:r w:rsidRPr="00DC5490">
        <w:rPr>
          <w:rFonts w:asciiTheme="majorHAnsi" w:eastAsiaTheme="minorHAnsi" w:hAnsiTheme="majorHAnsi" w:cstheme="majorHAnsi"/>
          <w:color w:val="000000"/>
          <w:sz w:val="20"/>
          <w:szCs w:val="20"/>
          <w:lang w:val="en-US"/>
        </w:rPr>
        <w:t xml:space="preserve">___ High drop-out rates </w:t>
      </w:r>
    </w:p>
    <w:p w14:paraId="74199C7F"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0"/>
          <w:szCs w:val="20"/>
          <w:lang w:val="en-US"/>
        </w:rPr>
      </w:pPr>
      <w:r w:rsidRPr="00DC5490">
        <w:rPr>
          <w:rFonts w:asciiTheme="majorHAnsi" w:eastAsiaTheme="minorHAnsi" w:hAnsiTheme="majorHAnsi" w:cstheme="majorHAnsi"/>
          <w:color w:val="000000"/>
          <w:sz w:val="20"/>
          <w:szCs w:val="20"/>
          <w:lang w:val="en-US"/>
        </w:rPr>
        <w:t>___ High rates of school leavers</w:t>
      </w:r>
    </w:p>
    <w:p w14:paraId="1595ABF3"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0"/>
          <w:szCs w:val="20"/>
          <w:lang w:val="en-US"/>
        </w:rPr>
      </w:pPr>
      <w:r w:rsidRPr="00DC5490">
        <w:rPr>
          <w:rFonts w:asciiTheme="majorHAnsi" w:eastAsiaTheme="minorHAnsi" w:hAnsiTheme="majorHAnsi" w:cstheme="majorHAnsi"/>
          <w:color w:val="000000"/>
          <w:sz w:val="20"/>
          <w:szCs w:val="20"/>
          <w:lang w:val="en-US"/>
        </w:rPr>
        <w:t xml:space="preserve">___ Low performance in math, science, English and Filipino </w:t>
      </w:r>
    </w:p>
    <w:p w14:paraId="29F24DD7"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0"/>
          <w:szCs w:val="20"/>
          <w:lang w:val="en-US"/>
        </w:rPr>
      </w:pPr>
      <w:r w:rsidRPr="00DC5490">
        <w:rPr>
          <w:rFonts w:asciiTheme="majorHAnsi" w:eastAsiaTheme="minorHAnsi" w:hAnsiTheme="majorHAnsi" w:cstheme="majorHAnsi"/>
          <w:color w:val="000000"/>
          <w:sz w:val="20"/>
          <w:szCs w:val="20"/>
          <w:lang w:val="en-US"/>
        </w:rPr>
        <w:t>___ Disparity of learning outcomes between boys and girls</w:t>
      </w:r>
    </w:p>
    <w:p w14:paraId="4FA0EC4C"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0"/>
          <w:szCs w:val="20"/>
          <w:lang w:val="en-US"/>
        </w:rPr>
      </w:pPr>
      <w:r w:rsidRPr="00DC5490">
        <w:rPr>
          <w:rFonts w:asciiTheme="majorHAnsi" w:eastAsiaTheme="minorHAnsi" w:hAnsiTheme="majorHAnsi" w:cstheme="majorHAnsi"/>
          <w:color w:val="000000"/>
          <w:sz w:val="20"/>
          <w:szCs w:val="20"/>
          <w:lang w:val="en-US"/>
        </w:rPr>
        <w:t>___ Low reading skills among Grade 3 students</w:t>
      </w:r>
    </w:p>
    <w:p w14:paraId="6B960C7A"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0"/>
          <w:szCs w:val="20"/>
          <w:lang w:val="en-US"/>
        </w:rPr>
      </w:pPr>
      <w:r w:rsidRPr="00DC5490">
        <w:rPr>
          <w:rFonts w:asciiTheme="majorHAnsi" w:eastAsiaTheme="minorHAnsi" w:hAnsiTheme="majorHAnsi" w:cstheme="majorHAnsi"/>
          <w:color w:val="000000"/>
          <w:sz w:val="20"/>
          <w:szCs w:val="20"/>
          <w:lang w:val="en-US"/>
        </w:rPr>
        <w:t>___ Low graduation rates</w:t>
      </w:r>
    </w:p>
    <w:p w14:paraId="7669A199"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0"/>
          <w:szCs w:val="20"/>
          <w:lang w:val="en-US"/>
        </w:rPr>
      </w:pPr>
      <w:r w:rsidRPr="00DC5490">
        <w:rPr>
          <w:rFonts w:asciiTheme="majorHAnsi" w:eastAsiaTheme="minorHAnsi" w:hAnsiTheme="majorHAnsi" w:cstheme="majorHAnsi"/>
          <w:color w:val="000000"/>
          <w:sz w:val="20"/>
          <w:szCs w:val="20"/>
          <w:lang w:val="en-US"/>
        </w:rPr>
        <w:t>___ Low completion rates</w:t>
      </w:r>
    </w:p>
    <w:p w14:paraId="4D695F65"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0"/>
          <w:szCs w:val="20"/>
          <w:lang w:val="en-US"/>
        </w:rPr>
      </w:pPr>
      <w:r w:rsidRPr="00DC5490">
        <w:rPr>
          <w:rFonts w:asciiTheme="majorHAnsi" w:eastAsiaTheme="minorHAnsi" w:hAnsiTheme="majorHAnsi" w:cstheme="majorHAnsi"/>
          <w:color w:val="000000"/>
          <w:sz w:val="20"/>
          <w:szCs w:val="20"/>
          <w:lang w:val="en-US"/>
        </w:rPr>
        <w:t>___ Poor access of marginalised children (e.g. Children with disabilities) to education services</w:t>
      </w:r>
    </w:p>
    <w:p w14:paraId="5E7D866C"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0"/>
          <w:szCs w:val="20"/>
          <w:lang w:val="en-US"/>
        </w:rPr>
      </w:pPr>
      <w:r w:rsidRPr="00DC5490">
        <w:rPr>
          <w:rFonts w:asciiTheme="majorHAnsi" w:eastAsiaTheme="minorHAnsi" w:hAnsiTheme="majorHAnsi" w:cstheme="majorHAnsi"/>
          <w:color w:val="000000"/>
          <w:sz w:val="20"/>
          <w:szCs w:val="20"/>
          <w:lang w:val="en-US"/>
        </w:rPr>
        <w:t>___ Inadequate special programs for gifted children</w:t>
      </w:r>
    </w:p>
    <w:p w14:paraId="109ACA2F"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994" w:hanging="634"/>
        <w:rPr>
          <w:rFonts w:asciiTheme="majorHAnsi" w:eastAsiaTheme="minorHAnsi" w:hAnsiTheme="majorHAnsi" w:cstheme="majorHAnsi"/>
          <w:color w:val="000000"/>
          <w:sz w:val="20"/>
          <w:szCs w:val="20"/>
          <w:lang w:val="en-US"/>
        </w:rPr>
      </w:pPr>
      <w:r w:rsidRPr="00DC5490">
        <w:rPr>
          <w:rFonts w:asciiTheme="majorHAnsi" w:eastAsiaTheme="minorHAnsi" w:hAnsiTheme="majorHAnsi" w:cstheme="majorHAnsi"/>
          <w:color w:val="000000"/>
          <w:sz w:val="20"/>
          <w:szCs w:val="20"/>
          <w:lang w:val="en-US"/>
        </w:rPr>
        <w:t>___ Others: _______________________________________________________</w:t>
      </w:r>
    </w:p>
    <w:p w14:paraId="1D4B2499" w14:textId="77777777" w:rsidR="008D0CAD" w:rsidRPr="00DC5490" w:rsidRDefault="008D0CAD" w:rsidP="00DD08E3">
      <w:pPr>
        <w:numPr>
          <w:ilvl w:val="0"/>
          <w:numId w:val="81"/>
        </w:num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20"/>
          <w:szCs w:val="20"/>
          <w:lang w:val="en-US"/>
        </w:rPr>
      </w:pPr>
      <w:r w:rsidRPr="00DC5490">
        <w:rPr>
          <w:rFonts w:asciiTheme="majorHAnsi" w:eastAsiaTheme="minorHAnsi" w:hAnsiTheme="majorHAnsi" w:cstheme="majorHAnsi"/>
          <w:color w:val="000000"/>
          <w:sz w:val="20"/>
          <w:szCs w:val="20"/>
          <w:lang w:val="en-US"/>
        </w:rPr>
        <w:t xml:space="preserve">What were the specific needs of your school that were addressed by the </w:t>
      </w:r>
      <w:r w:rsidRPr="00DC5490">
        <w:rPr>
          <w:rFonts w:asciiTheme="majorHAnsi" w:eastAsiaTheme="minorHAnsi" w:hAnsiTheme="majorHAnsi" w:cstheme="majorHAnsi"/>
          <w:color w:val="000000" w:themeColor="text1"/>
          <w:sz w:val="20"/>
          <w:szCs w:val="20"/>
          <w:lang w:val="en-US"/>
        </w:rPr>
        <w:t>basic education reforms</w:t>
      </w:r>
      <w:r w:rsidRPr="00DC5490">
        <w:rPr>
          <w:rFonts w:asciiTheme="majorHAnsi" w:eastAsiaTheme="minorHAnsi" w:hAnsiTheme="majorHAnsi" w:cstheme="majorHAnsi"/>
          <w:color w:val="000000"/>
          <w:sz w:val="20"/>
          <w:szCs w:val="20"/>
          <w:lang w:val="en-US"/>
        </w:rPr>
        <w:t xml:space="preserve">? </w:t>
      </w:r>
    </w:p>
    <w:p w14:paraId="66C7CBE9"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0"/>
          <w:szCs w:val="20"/>
          <w:lang w:val="en-US"/>
        </w:rPr>
      </w:pPr>
      <w:r w:rsidRPr="00DC5490">
        <w:rPr>
          <w:rFonts w:asciiTheme="majorHAnsi" w:eastAsiaTheme="minorHAnsi" w:hAnsiTheme="majorHAnsi" w:cstheme="majorHAnsi"/>
          <w:color w:val="000000"/>
          <w:sz w:val="20"/>
          <w:szCs w:val="20"/>
          <w:lang w:val="en-US"/>
        </w:rPr>
        <w:t xml:space="preserve">___ Shortage of classrooms </w:t>
      </w:r>
    </w:p>
    <w:p w14:paraId="19E68AAE"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0"/>
          <w:szCs w:val="20"/>
          <w:lang w:val="en-US"/>
        </w:rPr>
      </w:pPr>
      <w:r w:rsidRPr="00DC5490">
        <w:rPr>
          <w:rFonts w:asciiTheme="majorHAnsi" w:eastAsiaTheme="minorHAnsi" w:hAnsiTheme="majorHAnsi" w:cstheme="majorHAnsi"/>
          <w:color w:val="000000"/>
          <w:sz w:val="20"/>
          <w:szCs w:val="20"/>
          <w:lang w:val="en-US"/>
        </w:rPr>
        <w:t>___ Shortage of learning materials</w:t>
      </w:r>
    </w:p>
    <w:p w14:paraId="3C62F14E"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0"/>
          <w:szCs w:val="20"/>
          <w:lang w:val="en-US"/>
        </w:rPr>
      </w:pPr>
      <w:r w:rsidRPr="00DC5490">
        <w:rPr>
          <w:rFonts w:asciiTheme="majorHAnsi" w:eastAsiaTheme="minorHAnsi" w:hAnsiTheme="majorHAnsi" w:cstheme="majorHAnsi"/>
          <w:color w:val="000000"/>
          <w:sz w:val="20"/>
          <w:szCs w:val="20"/>
          <w:lang w:val="en-US"/>
        </w:rPr>
        <w:t>___ Development of Leadership capacity</w:t>
      </w:r>
    </w:p>
    <w:p w14:paraId="3AD00ABD"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0"/>
          <w:szCs w:val="20"/>
          <w:lang w:val="en-US"/>
        </w:rPr>
      </w:pPr>
      <w:r w:rsidRPr="00DC5490">
        <w:rPr>
          <w:rFonts w:asciiTheme="majorHAnsi" w:eastAsiaTheme="minorHAnsi" w:hAnsiTheme="majorHAnsi" w:cstheme="majorHAnsi"/>
          <w:color w:val="000000"/>
          <w:sz w:val="20"/>
          <w:szCs w:val="20"/>
          <w:lang w:val="en-US"/>
        </w:rPr>
        <w:t>___ Development of Management capacity</w:t>
      </w:r>
    </w:p>
    <w:p w14:paraId="5A38C07C"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0"/>
          <w:szCs w:val="20"/>
          <w:lang w:val="en-US"/>
        </w:rPr>
      </w:pPr>
      <w:r w:rsidRPr="00DC5490">
        <w:rPr>
          <w:rFonts w:asciiTheme="majorHAnsi" w:eastAsiaTheme="minorHAnsi" w:hAnsiTheme="majorHAnsi" w:cstheme="majorHAnsi"/>
          <w:color w:val="000000"/>
          <w:sz w:val="20"/>
          <w:szCs w:val="20"/>
          <w:lang w:val="en-US"/>
        </w:rPr>
        <w:t>___ Development of Teachers’ capacity</w:t>
      </w:r>
    </w:p>
    <w:p w14:paraId="4E3D4E5B"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0"/>
          <w:szCs w:val="20"/>
          <w:lang w:val="en-US"/>
        </w:rPr>
      </w:pPr>
      <w:r w:rsidRPr="00DC5490">
        <w:rPr>
          <w:rFonts w:asciiTheme="majorHAnsi" w:eastAsiaTheme="minorHAnsi" w:hAnsiTheme="majorHAnsi" w:cstheme="majorHAnsi"/>
          <w:color w:val="000000"/>
          <w:sz w:val="20"/>
          <w:szCs w:val="20"/>
          <w:lang w:val="en-US"/>
        </w:rPr>
        <w:t xml:space="preserve">___ Problems with Curricula </w:t>
      </w:r>
    </w:p>
    <w:p w14:paraId="20F3D5D2"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0"/>
          <w:szCs w:val="20"/>
          <w:lang w:val="en-US"/>
        </w:rPr>
      </w:pPr>
      <w:r w:rsidRPr="00DC5490">
        <w:rPr>
          <w:rFonts w:asciiTheme="majorHAnsi" w:eastAsiaTheme="minorHAnsi" w:hAnsiTheme="majorHAnsi" w:cstheme="majorHAnsi"/>
          <w:color w:val="000000"/>
          <w:sz w:val="20"/>
          <w:szCs w:val="20"/>
          <w:lang w:val="en-US"/>
        </w:rPr>
        <w:t xml:space="preserve">___ Problems with Assessment </w:t>
      </w:r>
    </w:p>
    <w:p w14:paraId="455EAE2F"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0"/>
          <w:szCs w:val="20"/>
          <w:lang w:val="en-US"/>
        </w:rPr>
      </w:pPr>
      <w:r w:rsidRPr="00DC5490">
        <w:rPr>
          <w:rFonts w:asciiTheme="majorHAnsi" w:eastAsiaTheme="minorHAnsi" w:hAnsiTheme="majorHAnsi" w:cstheme="majorHAnsi"/>
          <w:color w:val="000000"/>
          <w:sz w:val="20"/>
          <w:szCs w:val="20"/>
          <w:lang w:val="en-US"/>
        </w:rPr>
        <w:t>___ Problems with learning outcomes</w:t>
      </w:r>
    </w:p>
    <w:p w14:paraId="5C4D1332"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0"/>
          <w:szCs w:val="20"/>
          <w:lang w:val="en-US"/>
        </w:rPr>
      </w:pPr>
      <w:r w:rsidRPr="00DC5490">
        <w:rPr>
          <w:rFonts w:asciiTheme="majorHAnsi" w:eastAsiaTheme="minorHAnsi" w:hAnsiTheme="majorHAnsi" w:cstheme="majorHAnsi"/>
          <w:color w:val="000000"/>
          <w:sz w:val="20"/>
          <w:szCs w:val="20"/>
          <w:lang w:val="en-US"/>
        </w:rPr>
        <w:t>___ Responsiveness of learning materials</w:t>
      </w:r>
    </w:p>
    <w:p w14:paraId="13E64201"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0"/>
          <w:szCs w:val="20"/>
          <w:lang w:val="en-US"/>
        </w:rPr>
      </w:pPr>
      <w:r w:rsidRPr="00DC5490">
        <w:rPr>
          <w:rFonts w:asciiTheme="majorHAnsi" w:eastAsiaTheme="minorHAnsi" w:hAnsiTheme="majorHAnsi" w:cstheme="majorHAnsi"/>
          <w:color w:val="000000"/>
          <w:sz w:val="20"/>
          <w:szCs w:val="20"/>
          <w:lang w:val="en-US"/>
        </w:rPr>
        <w:t>___ Contextualisation of learning materials</w:t>
      </w:r>
    </w:p>
    <w:p w14:paraId="037ED5DE"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0"/>
          <w:szCs w:val="20"/>
          <w:lang w:val="en-US"/>
        </w:rPr>
      </w:pPr>
      <w:r w:rsidRPr="00DC5490">
        <w:rPr>
          <w:rFonts w:asciiTheme="majorHAnsi" w:eastAsiaTheme="minorHAnsi" w:hAnsiTheme="majorHAnsi" w:cstheme="majorHAnsi"/>
          <w:color w:val="000000"/>
          <w:sz w:val="20"/>
          <w:szCs w:val="20"/>
          <w:lang w:val="en-US"/>
        </w:rPr>
        <w:t>___ Responding to needs of special groups of children (e.g. with disabilities, IPs)</w:t>
      </w:r>
    </w:p>
    <w:p w14:paraId="33DF4D49"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994" w:hanging="634"/>
        <w:rPr>
          <w:rFonts w:asciiTheme="majorHAnsi" w:eastAsiaTheme="minorHAnsi" w:hAnsiTheme="majorHAnsi" w:cstheme="majorHAnsi"/>
          <w:color w:val="000000"/>
          <w:sz w:val="20"/>
          <w:szCs w:val="20"/>
          <w:lang w:val="en-US"/>
        </w:rPr>
      </w:pPr>
      <w:r w:rsidRPr="00DC5490">
        <w:rPr>
          <w:rFonts w:asciiTheme="majorHAnsi" w:eastAsiaTheme="minorHAnsi" w:hAnsiTheme="majorHAnsi" w:cstheme="majorHAnsi"/>
          <w:color w:val="000000"/>
          <w:sz w:val="20"/>
          <w:szCs w:val="20"/>
          <w:lang w:val="en-US"/>
        </w:rPr>
        <w:t xml:space="preserve">___ Others: _______________________________________________________ </w:t>
      </w:r>
    </w:p>
    <w:p w14:paraId="18A4C6BC" w14:textId="77777777" w:rsidR="008D0CAD" w:rsidRPr="00DC5490" w:rsidRDefault="008D0CAD" w:rsidP="00EA6CB9">
      <w:pPr>
        <w:spacing w:before="100" w:beforeAutospacing="1" w:after="100" w:afterAutospacing="1" w:line="360" w:lineRule="auto"/>
        <w:rPr>
          <w:rFonts w:asciiTheme="majorHAnsi" w:hAnsiTheme="majorHAnsi" w:cstheme="majorHAnsi"/>
          <w:b/>
          <w:sz w:val="20"/>
          <w:szCs w:val="20"/>
          <w:lang w:val="en-US"/>
        </w:rPr>
      </w:pPr>
      <w:r w:rsidRPr="00DC5490">
        <w:rPr>
          <w:rFonts w:asciiTheme="majorHAnsi" w:hAnsiTheme="majorHAnsi" w:cstheme="majorHAnsi"/>
          <w:b/>
          <w:sz w:val="20"/>
          <w:szCs w:val="20"/>
          <w:lang w:val="en-US"/>
        </w:rPr>
        <w:t>Part 2: Assessment of Implementation of BEST Program Interventions</w:t>
      </w:r>
    </w:p>
    <w:p w14:paraId="0468CC47" w14:textId="77777777" w:rsidR="008D0CAD" w:rsidRPr="00DC5490" w:rsidRDefault="008D0CAD" w:rsidP="00DD08E3">
      <w:pPr>
        <w:numPr>
          <w:ilvl w:val="0"/>
          <w:numId w:val="81"/>
        </w:numPr>
        <w:spacing w:before="100" w:beforeAutospacing="1" w:after="100" w:afterAutospacing="1" w:line="360" w:lineRule="auto"/>
        <w:contextualSpacing/>
        <w:rPr>
          <w:rFonts w:asciiTheme="majorHAnsi" w:hAnsiTheme="majorHAnsi" w:cstheme="majorHAnsi"/>
          <w:snapToGrid w:val="0"/>
          <w:color w:val="000000"/>
          <w:sz w:val="20"/>
          <w:szCs w:val="20"/>
          <w:lang w:val="en-US"/>
        </w:rPr>
      </w:pPr>
      <w:r w:rsidRPr="00DC5490">
        <w:rPr>
          <w:rFonts w:asciiTheme="majorHAnsi" w:hAnsiTheme="majorHAnsi" w:cstheme="majorHAnsi"/>
          <w:snapToGrid w:val="0"/>
          <w:color w:val="000000"/>
          <w:sz w:val="20"/>
          <w:szCs w:val="20"/>
          <w:lang w:val="en-US"/>
        </w:rPr>
        <w:t xml:space="preserve">Please describe your understanding of what </w:t>
      </w:r>
      <w:r w:rsidRPr="00DC5490">
        <w:rPr>
          <w:rFonts w:asciiTheme="majorHAnsi" w:hAnsiTheme="majorHAnsi" w:cstheme="majorHAnsi"/>
          <w:b/>
          <w:snapToGrid w:val="0"/>
          <w:color w:val="000000"/>
          <w:sz w:val="20"/>
          <w:szCs w:val="20"/>
          <w:lang w:val="en-US"/>
        </w:rPr>
        <w:t xml:space="preserve">Inclusive Education (IE) </w:t>
      </w:r>
      <w:r w:rsidRPr="00DC5490">
        <w:rPr>
          <w:rFonts w:asciiTheme="majorHAnsi" w:hAnsiTheme="majorHAnsi" w:cstheme="majorHAnsi"/>
          <w:snapToGrid w:val="0"/>
          <w:color w:val="000000"/>
          <w:sz w:val="20"/>
          <w:szCs w:val="20"/>
          <w:lang w:val="en-US"/>
        </w:rPr>
        <w:t xml:space="preserve">is </w:t>
      </w:r>
      <w:r w:rsidRPr="00DC5490">
        <w:rPr>
          <w:rFonts w:asciiTheme="majorHAnsi" w:hAnsiTheme="majorHAnsi" w:cstheme="majorHAnsi"/>
          <w:bCs/>
          <w:snapToGrid w:val="0"/>
          <w:color w:val="000000"/>
          <w:sz w:val="20"/>
          <w:szCs w:val="20"/>
          <w:lang w:val="en-US"/>
        </w:rPr>
        <w:t>and how it affects you as a teacher.</w:t>
      </w:r>
    </w:p>
    <w:p w14:paraId="43717930" w14:textId="0F623900" w:rsidR="008D0CAD" w:rsidRPr="00DC5490" w:rsidRDefault="008D0CAD" w:rsidP="00DD08E3">
      <w:pPr>
        <w:numPr>
          <w:ilvl w:val="1"/>
          <w:numId w:val="81"/>
        </w:numPr>
        <w:spacing w:before="100" w:beforeAutospacing="1" w:after="100" w:afterAutospacing="1" w:line="360" w:lineRule="auto"/>
        <w:ind w:left="806" w:hanging="446"/>
        <w:rPr>
          <w:rFonts w:asciiTheme="majorHAnsi" w:hAnsiTheme="majorHAnsi" w:cstheme="majorHAnsi"/>
          <w:bCs/>
          <w:snapToGrid w:val="0"/>
          <w:color w:val="000000"/>
          <w:sz w:val="20"/>
          <w:szCs w:val="20"/>
          <w:lang w:val="en-US"/>
        </w:rPr>
      </w:pPr>
      <w:r w:rsidRPr="00DC5490">
        <w:rPr>
          <w:rFonts w:asciiTheme="majorHAnsi" w:hAnsiTheme="majorHAnsi" w:cstheme="majorHAnsi"/>
          <w:bCs/>
          <w:snapToGrid w:val="0"/>
          <w:color w:val="000000"/>
          <w:sz w:val="20"/>
          <w:szCs w:val="20"/>
          <w:lang w:val="en-US"/>
        </w:rPr>
        <w:t>Are you using inclusive learning materials in your school?</w:t>
      </w:r>
      <w:r w:rsidR="00D434EB">
        <w:rPr>
          <w:rFonts w:asciiTheme="majorHAnsi" w:hAnsiTheme="majorHAnsi" w:cstheme="majorHAnsi"/>
          <w:bCs/>
          <w:snapToGrid w:val="0"/>
          <w:color w:val="000000"/>
          <w:sz w:val="20"/>
          <w:szCs w:val="20"/>
          <w:lang w:val="en-US"/>
        </w:rPr>
        <w:t xml:space="preserve"> </w:t>
      </w:r>
      <w:r w:rsidRPr="00DC5490">
        <w:rPr>
          <w:rFonts w:asciiTheme="majorHAnsi" w:hAnsiTheme="majorHAnsi" w:cstheme="majorHAnsi"/>
          <w:bCs/>
          <w:snapToGrid w:val="0"/>
          <w:color w:val="000000"/>
          <w:sz w:val="20"/>
          <w:szCs w:val="20"/>
          <w:lang w:val="en-US"/>
        </w:rPr>
        <w:t>____ Yes</w:t>
      </w:r>
      <w:r w:rsidR="00D434EB">
        <w:rPr>
          <w:rFonts w:asciiTheme="majorHAnsi" w:hAnsiTheme="majorHAnsi" w:cstheme="majorHAnsi"/>
          <w:bCs/>
          <w:snapToGrid w:val="0"/>
          <w:color w:val="000000"/>
          <w:sz w:val="20"/>
          <w:szCs w:val="20"/>
          <w:lang w:val="en-US"/>
        </w:rPr>
        <w:t xml:space="preserve"> </w:t>
      </w:r>
      <w:r w:rsidRPr="00DC5490">
        <w:rPr>
          <w:rFonts w:asciiTheme="majorHAnsi" w:hAnsiTheme="majorHAnsi" w:cstheme="majorHAnsi"/>
          <w:bCs/>
          <w:snapToGrid w:val="0"/>
          <w:color w:val="000000"/>
          <w:sz w:val="20"/>
          <w:szCs w:val="20"/>
          <w:lang w:val="en-US"/>
        </w:rPr>
        <w:t xml:space="preserve"> ____ No</w:t>
      </w:r>
      <w:r w:rsidR="00D434EB">
        <w:rPr>
          <w:rFonts w:asciiTheme="majorHAnsi" w:hAnsiTheme="majorHAnsi" w:cstheme="majorHAnsi"/>
          <w:bCs/>
          <w:snapToGrid w:val="0"/>
          <w:color w:val="000000"/>
          <w:sz w:val="20"/>
          <w:szCs w:val="20"/>
          <w:lang w:val="en-US"/>
        </w:rPr>
        <w:t xml:space="preserve">  </w:t>
      </w:r>
    </w:p>
    <w:p w14:paraId="73430585" w14:textId="77777777" w:rsidR="008D0CAD" w:rsidRPr="00DC5490" w:rsidRDefault="008D0CAD" w:rsidP="00DD08E3">
      <w:pPr>
        <w:numPr>
          <w:ilvl w:val="2"/>
          <w:numId w:val="81"/>
        </w:numPr>
        <w:spacing w:before="100" w:beforeAutospacing="1" w:after="100" w:afterAutospacing="1" w:line="360" w:lineRule="auto"/>
        <w:ind w:left="1353" w:hanging="547"/>
        <w:rPr>
          <w:rFonts w:asciiTheme="majorHAnsi" w:hAnsiTheme="majorHAnsi" w:cstheme="majorHAnsi"/>
          <w:bCs/>
          <w:snapToGrid w:val="0"/>
          <w:color w:val="000000"/>
          <w:sz w:val="20"/>
          <w:szCs w:val="20"/>
          <w:lang w:val="en-US"/>
        </w:rPr>
      </w:pPr>
      <w:r w:rsidRPr="00DC5490">
        <w:rPr>
          <w:rFonts w:asciiTheme="majorHAnsi" w:hAnsiTheme="majorHAnsi" w:cstheme="majorHAnsi"/>
          <w:bCs/>
          <w:snapToGrid w:val="0"/>
          <w:color w:val="000000"/>
          <w:sz w:val="20"/>
          <w:szCs w:val="20"/>
          <w:lang w:val="en-US"/>
        </w:rPr>
        <w:t xml:space="preserve">If yes, please name these materials: </w:t>
      </w:r>
    </w:p>
    <w:p w14:paraId="6D37AC69" w14:textId="77777777" w:rsidR="008D0CAD" w:rsidRPr="00DC5490" w:rsidRDefault="008D0CAD" w:rsidP="00DD08E3">
      <w:pPr>
        <w:numPr>
          <w:ilvl w:val="2"/>
          <w:numId w:val="81"/>
        </w:numPr>
        <w:spacing w:before="100" w:beforeAutospacing="1" w:after="100" w:afterAutospacing="1" w:line="360" w:lineRule="auto"/>
        <w:ind w:left="1353" w:hanging="547"/>
        <w:rPr>
          <w:rFonts w:asciiTheme="majorHAnsi" w:hAnsiTheme="majorHAnsi" w:cstheme="majorHAnsi"/>
          <w:bCs/>
          <w:snapToGrid w:val="0"/>
          <w:color w:val="000000"/>
          <w:sz w:val="20"/>
          <w:szCs w:val="20"/>
          <w:lang w:val="en-US"/>
        </w:rPr>
      </w:pPr>
      <w:r w:rsidRPr="00DC5490">
        <w:rPr>
          <w:rFonts w:asciiTheme="majorHAnsi" w:hAnsiTheme="majorHAnsi" w:cstheme="majorHAnsi"/>
          <w:bCs/>
          <w:snapToGrid w:val="0"/>
          <w:color w:val="000000"/>
          <w:sz w:val="20"/>
          <w:szCs w:val="20"/>
          <w:lang w:val="en-US"/>
        </w:rPr>
        <w:t xml:space="preserve">If no, why not? </w:t>
      </w:r>
    </w:p>
    <w:p w14:paraId="0BDE23F8" w14:textId="77777777" w:rsidR="008D0CAD" w:rsidRPr="00DC5490" w:rsidRDefault="008D0CAD" w:rsidP="00DD08E3">
      <w:pPr>
        <w:numPr>
          <w:ilvl w:val="1"/>
          <w:numId w:val="81"/>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bCs/>
          <w:snapToGrid w:val="0"/>
          <w:color w:val="000000"/>
          <w:sz w:val="20"/>
          <w:szCs w:val="20"/>
          <w:lang w:val="en-US"/>
        </w:rPr>
        <w:t>Within the last five years, have you ever participated in any processes or activity that trained teachers on inclusive values or practices or develop learning materials to promote Inclusive Education? ____ Yes ____ No</w:t>
      </w:r>
    </w:p>
    <w:p w14:paraId="6416A341" w14:textId="77777777" w:rsidR="008D0CAD" w:rsidRPr="00DC5490" w:rsidRDefault="008D0CAD" w:rsidP="00DD08E3">
      <w:pPr>
        <w:numPr>
          <w:ilvl w:val="1"/>
          <w:numId w:val="81"/>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bCs/>
          <w:snapToGrid w:val="0"/>
          <w:color w:val="000000"/>
          <w:sz w:val="20"/>
          <w:szCs w:val="20"/>
          <w:lang w:val="en-US"/>
        </w:rPr>
        <w:t xml:space="preserve">If yes, how useful were these activities to you as a teacher? </w:t>
      </w:r>
    </w:p>
    <w:p w14:paraId="5381DD5D" w14:textId="77777777" w:rsidR="008D0CAD" w:rsidRPr="00DC5490" w:rsidRDefault="008D0CAD" w:rsidP="00DD08E3">
      <w:pPr>
        <w:numPr>
          <w:ilvl w:val="0"/>
          <w:numId w:val="81"/>
        </w:numPr>
        <w:spacing w:before="100" w:beforeAutospacing="1" w:after="100" w:afterAutospacing="1" w:line="360" w:lineRule="auto"/>
        <w:contextualSpacing/>
        <w:rPr>
          <w:rFonts w:asciiTheme="majorHAnsi" w:hAnsiTheme="majorHAnsi" w:cstheme="majorHAnsi"/>
          <w:snapToGrid w:val="0"/>
          <w:color w:val="000000"/>
          <w:sz w:val="20"/>
          <w:szCs w:val="20"/>
          <w:lang w:val="en-US"/>
        </w:rPr>
      </w:pPr>
      <w:r w:rsidRPr="00DC5490">
        <w:rPr>
          <w:rFonts w:asciiTheme="majorHAnsi" w:hAnsiTheme="majorHAnsi" w:cstheme="majorHAnsi"/>
          <w:snapToGrid w:val="0"/>
          <w:color w:val="000000"/>
          <w:sz w:val="20"/>
          <w:szCs w:val="20"/>
          <w:lang w:val="en-US"/>
        </w:rPr>
        <w:t xml:space="preserve">Please describe your understanding of what </w:t>
      </w:r>
      <w:r w:rsidRPr="00DC5490">
        <w:rPr>
          <w:rFonts w:asciiTheme="majorHAnsi" w:hAnsiTheme="majorHAnsi" w:cstheme="majorHAnsi"/>
          <w:b/>
          <w:snapToGrid w:val="0"/>
          <w:color w:val="000000"/>
          <w:sz w:val="20"/>
          <w:szCs w:val="20"/>
          <w:lang w:val="en-US"/>
        </w:rPr>
        <w:t xml:space="preserve">Gender-Responsive Basic Education (GRBE) </w:t>
      </w:r>
      <w:r w:rsidRPr="00DC5490">
        <w:rPr>
          <w:rFonts w:asciiTheme="majorHAnsi" w:hAnsiTheme="majorHAnsi" w:cstheme="majorHAnsi"/>
          <w:snapToGrid w:val="0"/>
          <w:color w:val="000000"/>
          <w:sz w:val="20"/>
          <w:szCs w:val="20"/>
          <w:lang w:val="en-US"/>
        </w:rPr>
        <w:t xml:space="preserve">is </w:t>
      </w:r>
      <w:r w:rsidRPr="00DC5490">
        <w:rPr>
          <w:rFonts w:asciiTheme="majorHAnsi" w:hAnsiTheme="majorHAnsi" w:cstheme="majorHAnsi"/>
          <w:bCs/>
          <w:snapToGrid w:val="0"/>
          <w:color w:val="000000"/>
          <w:sz w:val="20"/>
          <w:szCs w:val="20"/>
          <w:lang w:val="en-US"/>
        </w:rPr>
        <w:t>and how it affects you as a teacher.</w:t>
      </w:r>
    </w:p>
    <w:p w14:paraId="38161014" w14:textId="6F067310" w:rsidR="008D0CAD" w:rsidRPr="00DC5490" w:rsidRDefault="008D0CAD" w:rsidP="00DD08E3">
      <w:pPr>
        <w:numPr>
          <w:ilvl w:val="1"/>
          <w:numId w:val="81"/>
        </w:numPr>
        <w:spacing w:before="100" w:beforeAutospacing="1" w:after="100" w:afterAutospacing="1" w:line="360" w:lineRule="auto"/>
        <w:ind w:left="806" w:hanging="446"/>
        <w:rPr>
          <w:rFonts w:asciiTheme="majorHAnsi" w:hAnsiTheme="majorHAnsi" w:cstheme="majorHAnsi"/>
          <w:bCs/>
          <w:snapToGrid w:val="0"/>
          <w:color w:val="000000"/>
          <w:sz w:val="20"/>
          <w:szCs w:val="20"/>
          <w:lang w:val="en-US"/>
        </w:rPr>
      </w:pPr>
      <w:r w:rsidRPr="00DC5490">
        <w:rPr>
          <w:rFonts w:asciiTheme="majorHAnsi" w:hAnsiTheme="majorHAnsi" w:cstheme="majorHAnsi"/>
          <w:bCs/>
          <w:snapToGrid w:val="0"/>
          <w:color w:val="000000"/>
          <w:sz w:val="20"/>
          <w:szCs w:val="20"/>
          <w:lang w:val="en-US"/>
        </w:rPr>
        <w:t>Are you using gender-sensitive learning materials in your school?</w:t>
      </w:r>
      <w:r w:rsidR="00D434EB">
        <w:rPr>
          <w:rFonts w:asciiTheme="majorHAnsi" w:hAnsiTheme="majorHAnsi" w:cstheme="majorHAnsi"/>
          <w:bCs/>
          <w:snapToGrid w:val="0"/>
          <w:color w:val="000000"/>
          <w:sz w:val="20"/>
          <w:szCs w:val="20"/>
          <w:lang w:val="en-US"/>
        </w:rPr>
        <w:t xml:space="preserve"> </w:t>
      </w:r>
      <w:r w:rsidRPr="00DC5490">
        <w:rPr>
          <w:rFonts w:asciiTheme="majorHAnsi" w:hAnsiTheme="majorHAnsi" w:cstheme="majorHAnsi"/>
          <w:bCs/>
          <w:snapToGrid w:val="0"/>
          <w:color w:val="000000"/>
          <w:sz w:val="20"/>
          <w:szCs w:val="20"/>
          <w:lang w:val="en-US"/>
        </w:rPr>
        <w:t>____ Yes</w:t>
      </w:r>
      <w:r w:rsidR="00D434EB">
        <w:rPr>
          <w:rFonts w:asciiTheme="majorHAnsi" w:hAnsiTheme="majorHAnsi" w:cstheme="majorHAnsi"/>
          <w:bCs/>
          <w:snapToGrid w:val="0"/>
          <w:color w:val="000000"/>
          <w:sz w:val="20"/>
          <w:szCs w:val="20"/>
          <w:lang w:val="en-US"/>
        </w:rPr>
        <w:t xml:space="preserve"> </w:t>
      </w:r>
      <w:r w:rsidRPr="00DC5490">
        <w:rPr>
          <w:rFonts w:asciiTheme="majorHAnsi" w:hAnsiTheme="majorHAnsi" w:cstheme="majorHAnsi"/>
          <w:bCs/>
          <w:snapToGrid w:val="0"/>
          <w:color w:val="000000"/>
          <w:sz w:val="20"/>
          <w:szCs w:val="20"/>
          <w:lang w:val="en-US"/>
        </w:rPr>
        <w:t xml:space="preserve"> ____ No</w:t>
      </w:r>
    </w:p>
    <w:p w14:paraId="41739A32" w14:textId="65790D18" w:rsidR="008D0CAD" w:rsidRPr="00DC5490" w:rsidRDefault="00D434EB" w:rsidP="00DD08E3">
      <w:pPr>
        <w:numPr>
          <w:ilvl w:val="2"/>
          <w:numId w:val="81"/>
        </w:numPr>
        <w:spacing w:before="100" w:beforeAutospacing="1" w:after="100" w:afterAutospacing="1" w:line="360" w:lineRule="auto"/>
        <w:ind w:left="1353" w:hanging="547"/>
        <w:rPr>
          <w:rFonts w:asciiTheme="majorHAnsi" w:hAnsiTheme="majorHAnsi" w:cstheme="majorHAnsi"/>
          <w:bCs/>
          <w:snapToGrid w:val="0"/>
          <w:color w:val="000000"/>
          <w:sz w:val="20"/>
          <w:szCs w:val="20"/>
          <w:lang w:val="en-US"/>
        </w:rPr>
      </w:pPr>
      <w:r>
        <w:rPr>
          <w:rFonts w:asciiTheme="majorHAnsi" w:hAnsiTheme="majorHAnsi" w:cstheme="majorHAnsi"/>
          <w:bCs/>
          <w:snapToGrid w:val="0"/>
          <w:color w:val="000000"/>
          <w:sz w:val="20"/>
          <w:szCs w:val="20"/>
          <w:lang w:val="en-US"/>
        </w:rPr>
        <w:t xml:space="preserve"> </w:t>
      </w:r>
      <w:r w:rsidR="008D0CAD" w:rsidRPr="00DC5490">
        <w:rPr>
          <w:rFonts w:asciiTheme="majorHAnsi" w:hAnsiTheme="majorHAnsi" w:cstheme="majorHAnsi"/>
          <w:bCs/>
          <w:snapToGrid w:val="0"/>
          <w:color w:val="000000"/>
          <w:sz w:val="20"/>
          <w:szCs w:val="20"/>
          <w:lang w:val="en-US"/>
        </w:rPr>
        <w:t>If yes, please name these materials:</w:t>
      </w:r>
    </w:p>
    <w:p w14:paraId="0AEF3C38" w14:textId="77777777" w:rsidR="008D0CAD" w:rsidRPr="00DC5490" w:rsidRDefault="008D0CAD" w:rsidP="00DD08E3">
      <w:pPr>
        <w:numPr>
          <w:ilvl w:val="2"/>
          <w:numId w:val="81"/>
        </w:numPr>
        <w:spacing w:before="100" w:beforeAutospacing="1" w:after="100" w:afterAutospacing="1" w:line="360" w:lineRule="auto"/>
        <w:ind w:left="1353" w:hanging="547"/>
        <w:rPr>
          <w:rFonts w:asciiTheme="majorHAnsi" w:hAnsiTheme="majorHAnsi" w:cstheme="majorHAnsi"/>
          <w:bCs/>
          <w:snapToGrid w:val="0"/>
          <w:color w:val="000000"/>
          <w:sz w:val="20"/>
          <w:szCs w:val="20"/>
          <w:lang w:val="en-US"/>
        </w:rPr>
      </w:pPr>
      <w:r w:rsidRPr="00DC5490">
        <w:rPr>
          <w:rFonts w:asciiTheme="majorHAnsi" w:hAnsiTheme="majorHAnsi" w:cstheme="majorHAnsi"/>
          <w:bCs/>
          <w:snapToGrid w:val="0"/>
          <w:color w:val="000000"/>
          <w:sz w:val="20"/>
          <w:szCs w:val="20"/>
          <w:lang w:val="en-US"/>
        </w:rPr>
        <w:t xml:space="preserve">If no, why not? </w:t>
      </w:r>
    </w:p>
    <w:p w14:paraId="16E5F1D5" w14:textId="77777777" w:rsidR="008D0CAD" w:rsidRPr="00DC5490" w:rsidRDefault="008D0CAD" w:rsidP="00DD08E3">
      <w:pPr>
        <w:numPr>
          <w:ilvl w:val="1"/>
          <w:numId w:val="81"/>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bCs/>
          <w:snapToGrid w:val="0"/>
          <w:color w:val="000000"/>
          <w:sz w:val="20"/>
          <w:szCs w:val="20"/>
          <w:lang w:val="en-US"/>
        </w:rPr>
        <w:t>Within the last five years, have you ever participated in any processes or activity that trained teachers on gender-responsive values or practices or develop learning materials to promote GRBE? ____ Yes ____ No</w:t>
      </w:r>
    </w:p>
    <w:p w14:paraId="0E7B48C8" w14:textId="77777777" w:rsidR="008D0CAD" w:rsidRPr="00DC5490" w:rsidRDefault="008D0CAD" w:rsidP="00DD08E3">
      <w:pPr>
        <w:numPr>
          <w:ilvl w:val="1"/>
          <w:numId w:val="81"/>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bCs/>
          <w:snapToGrid w:val="0"/>
          <w:color w:val="000000"/>
          <w:sz w:val="20"/>
          <w:szCs w:val="20"/>
          <w:lang w:val="en-US"/>
        </w:rPr>
        <w:t xml:space="preserve">If yes, how useful were these activities to you as a teacher? </w:t>
      </w:r>
    </w:p>
    <w:p w14:paraId="2AA3D050" w14:textId="750B3EBA" w:rsidR="008D0CAD" w:rsidRPr="00DC5490" w:rsidRDefault="008D0CAD" w:rsidP="00DD08E3">
      <w:pPr>
        <w:numPr>
          <w:ilvl w:val="0"/>
          <w:numId w:val="81"/>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snapToGrid w:val="0"/>
          <w:color w:val="000000" w:themeColor="text1"/>
          <w:sz w:val="20"/>
          <w:szCs w:val="20"/>
        </w:rPr>
        <w:t xml:space="preserve">In your own opinion, what are some hindering and facilitating factors </w:t>
      </w:r>
      <w:r w:rsidRPr="00DC5490">
        <w:rPr>
          <w:rFonts w:asciiTheme="majorHAnsi" w:eastAsiaTheme="minorEastAsia" w:hAnsiTheme="majorHAnsi" w:cstheme="majorHAnsi"/>
          <w:snapToGrid w:val="0"/>
          <w:color w:val="000000" w:themeColor="text1"/>
          <w:sz w:val="20"/>
          <w:szCs w:val="20"/>
        </w:rPr>
        <w:t xml:space="preserve">in mainstreaming </w:t>
      </w:r>
      <w:r w:rsidRPr="00DC5490">
        <w:rPr>
          <w:rFonts w:asciiTheme="majorHAnsi" w:eastAsiaTheme="minorEastAsia" w:hAnsiTheme="majorHAnsi" w:cstheme="majorHAnsi"/>
          <w:b/>
          <w:snapToGrid w:val="0"/>
          <w:color w:val="000000" w:themeColor="text1"/>
          <w:sz w:val="20"/>
          <w:szCs w:val="20"/>
        </w:rPr>
        <w:t xml:space="preserve">GRBE and IE </w:t>
      </w:r>
      <w:r w:rsidRPr="00DC5490">
        <w:rPr>
          <w:rFonts w:asciiTheme="majorHAnsi" w:eastAsiaTheme="minorEastAsia" w:hAnsiTheme="majorHAnsi" w:cstheme="majorHAnsi"/>
          <w:snapToGrid w:val="0"/>
          <w:color w:val="000000" w:themeColor="text1"/>
          <w:sz w:val="20"/>
          <w:szCs w:val="20"/>
        </w:rPr>
        <w:t>values, programs and practices in education and in using of the various learning resources in practice</w:t>
      </w:r>
      <w:r w:rsidRPr="00DC5490">
        <w:rPr>
          <w:rFonts w:asciiTheme="majorHAnsi" w:hAnsiTheme="majorHAnsi" w:cstheme="majorHAnsi"/>
          <w:snapToGrid w:val="0"/>
          <w:color w:val="000000" w:themeColor="text1"/>
          <w:sz w:val="20"/>
          <w:szCs w:val="20"/>
        </w:rPr>
        <w:t>?</w:t>
      </w:r>
    </w:p>
    <w:p w14:paraId="697B549E" w14:textId="77777777" w:rsidR="008D0CAD" w:rsidRPr="00DC5490" w:rsidRDefault="008D0CAD" w:rsidP="00DD08E3">
      <w:pPr>
        <w:numPr>
          <w:ilvl w:val="1"/>
          <w:numId w:val="81"/>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snapToGrid w:val="0"/>
          <w:color w:val="000000" w:themeColor="text1"/>
          <w:sz w:val="20"/>
          <w:szCs w:val="20"/>
          <w:lang w:val="en-US"/>
        </w:rPr>
        <w:t xml:space="preserve">What factors hinder </w:t>
      </w:r>
      <w:r w:rsidRPr="00DC5490">
        <w:rPr>
          <w:rFonts w:asciiTheme="majorHAnsi" w:eastAsiaTheme="minorEastAsia" w:hAnsiTheme="majorHAnsi" w:cstheme="majorHAnsi"/>
          <w:snapToGrid w:val="0"/>
          <w:color w:val="000000" w:themeColor="text1"/>
          <w:sz w:val="20"/>
          <w:szCs w:val="20"/>
        </w:rPr>
        <w:t>mainstreaming GEDSI in education</w:t>
      </w:r>
      <w:r w:rsidRPr="00DC5490">
        <w:rPr>
          <w:rFonts w:asciiTheme="majorHAnsi" w:hAnsiTheme="majorHAnsi" w:cstheme="majorHAnsi"/>
          <w:snapToGrid w:val="0"/>
          <w:color w:val="000000" w:themeColor="text1"/>
          <w:sz w:val="20"/>
          <w:szCs w:val="20"/>
        </w:rPr>
        <w:t>?</w:t>
      </w:r>
    </w:p>
    <w:p w14:paraId="3B6A1D25" w14:textId="77777777" w:rsidR="008D0CAD" w:rsidRPr="00DC5490" w:rsidRDefault="008D0CAD" w:rsidP="00DD08E3">
      <w:pPr>
        <w:numPr>
          <w:ilvl w:val="1"/>
          <w:numId w:val="81"/>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snapToGrid w:val="0"/>
          <w:color w:val="000000" w:themeColor="text1"/>
          <w:sz w:val="20"/>
          <w:szCs w:val="20"/>
          <w:lang w:val="en-US"/>
        </w:rPr>
        <w:t xml:space="preserve">What factors help </w:t>
      </w:r>
      <w:r w:rsidRPr="00DC5490">
        <w:rPr>
          <w:rFonts w:asciiTheme="majorHAnsi" w:eastAsiaTheme="minorEastAsia" w:hAnsiTheme="majorHAnsi" w:cstheme="majorHAnsi"/>
          <w:snapToGrid w:val="0"/>
          <w:color w:val="000000" w:themeColor="text1"/>
          <w:sz w:val="20"/>
          <w:szCs w:val="20"/>
        </w:rPr>
        <w:t>mainstreaming GEDSI in education</w:t>
      </w:r>
      <w:r w:rsidRPr="00DC5490">
        <w:rPr>
          <w:rFonts w:asciiTheme="majorHAnsi" w:hAnsiTheme="majorHAnsi" w:cstheme="majorHAnsi"/>
          <w:snapToGrid w:val="0"/>
          <w:color w:val="000000" w:themeColor="text1"/>
          <w:sz w:val="20"/>
          <w:szCs w:val="20"/>
        </w:rPr>
        <w:t>?</w:t>
      </w:r>
    </w:p>
    <w:p w14:paraId="70ECF5EC" w14:textId="77777777" w:rsidR="008D0CAD" w:rsidRPr="00DC5490" w:rsidRDefault="008D0CAD" w:rsidP="00DD08E3">
      <w:pPr>
        <w:numPr>
          <w:ilvl w:val="0"/>
          <w:numId w:val="81"/>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snapToGrid w:val="0"/>
          <w:sz w:val="20"/>
          <w:szCs w:val="20"/>
          <w:lang w:val="en-US"/>
        </w:rPr>
        <w:t xml:space="preserve">As a teacher, what recommendations can you give to further enhance effectiveness and sustainability of the </w:t>
      </w:r>
      <w:r w:rsidRPr="00DC5490">
        <w:rPr>
          <w:rFonts w:asciiTheme="majorHAnsi" w:hAnsiTheme="majorHAnsi" w:cstheme="majorHAnsi"/>
          <w:b/>
          <w:snapToGrid w:val="0"/>
          <w:color w:val="000000" w:themeColor="text1"/>
          <w:sz w:val="20"/>
          <w:szCs w:val="20"/>
          <w:lang w:val="en-US"/>
        </w:rPr>
        <w:t xml:space="preserve">GRBE and IE programs or practices </w:t>
      </w:r>
      <w:r w:rsidRPr="00DC5490">
        <w:rPr>
          <w:rFonts w:asciiTheme="majorHAnsi" w:hAnsiTheme="majorHAnsi" w:cstheme="majorHAnsi"/>
          <w:snapToGrid w:val="0"/>
          <w:sz w:val="20"/>
          <w:szCs w:val="20"/>
          <w:lang w:val="en-US"/>
        </w:rPr>
        <w:t>in your school?</w:t>
      </w:r>
    </w:p>
    <w:p w14:paraId="4DA344A3" w14:textId="6FF83B4A" w:rsidR="008D0CAD" w:rsidRPr="00DC5490" w:rsidRDefault="008D0CAD" w:rsidP="00DD08E3">
      <w:pPr>
        <w:numPr>
          <w:ilvl w:val="0"/>
          <w:numId w:val="81"/>
        </w:numPr>
        <w:spacing w:before="100" w:beforeAutospacing="1" w:after="100" w:afterAutospacing="1" w:line="360" w:lineRule="auto"/>
        <w:contextualSpacing/>
        <w:rPr>
          <w:rFonts w:asciiTheme="majorHAnsi" w:hAnsiTheme="majorHAnsi" w:cstheme="majorHAnsi"/>
          <w:snapToGrid w:val="0"/>
          <w:color w:val="000000"/>
          <w:sz w:val="20"/>
          <w:szCs w:val="20"/>
          <w:lang w:val="en-US"/>
        </w:rPr>
      </w:pPr>
      <w:r w:rsidRPr="00DC5490">
        <w:rPr>
          <w:rFonts w:asciiTheme="majorHAnsi" w:hAnsiTheme="majorHAnsi" w:cstheme="majorHAnsi"/>
          <w:snapToGrid w:val="0"/>
          <w:color w:val="000000"/>
          <w:sz w:val="20"/>
          <w:szCs w:val="20"/>
          <w:lang w:val="en-US"/>
        </w:rPr>
        <w:t xml:space="preserve">Can you please describe what the </w:t>
      </w:r>
      <w:r w:rsidRPr="00DC5490">
        <w:rPr>
          <w:rFonts w:asciiTheme="majorHAnsi" w:hAnsiTheme="majorHAnsi" w:cstheme="majorHAnsi"/>
          <w:b/>
          <w:bCs/>
          <w:snapToGrid w:val="0"/>
          <w:color w:val="000000" w:themeColor="text1"/>
          <w:sz w:val="20"/>
          <w:szCs w:val="20"/>
          <w:lang w:val="en-US"/>
        </w:rPr>
        <w:t>Learning &amp; Development (L&amp;D) System</w:t>
      </w:r>
      <w:r w:rsidRPr="00DC5490">
        <w:rPr>
          <w:rFonts w:asciiTheme="majorHAnsi" w:hAnsiTheme="majorHAnsi" w:cstheme="majorHAnsi"/>
          <w:bCs/>
          <w:snapToGrid w:val="0"/>
          <w:color w:val="000000" w:themeColor="text1"/>
          <w:sz w:val="20"/>
          <w:szCs w:val="20"/>
          <w:lang w:val="en-US"/>
        </w:rPr>
        <w:t xml:space="preserve"> </w:t>
      </w:r>
      <w:r w:rsidRPr="00DC5490">
        <w:rPr>
          <w:rFonts w:asciiTheme="majorHAnsi" w:hAnsiTheme="majorHAnsi" w:cstheme="majorHAnsi"/>
          <w:bCs/>
          <w:snapToGrid w:val="0"/>
          <w:color w:val="000000"/>
          <w:sz w:val="20"/>
          <w:szCs w:val="20"/>
          <w:lang w:val="en-US"/>
        </w:rPr>
        <w:t>is all about and how it affects you as a teacher?</w:t>
      </w:r>
      <w:r w:rsidR="00D434EB">
        <w:rPr>
          <w:rFonts w:asciiTheme="majorHAnsi" w:hAnsiTheme="majorHAnsi" w:cstheme="majorHAnsi"/>
          <w:bCs/>
          <w:snapToGrid w:val="0"/>
          <w:color w:val="000000"/>
          <w:sz w:val="20"/>
          <w:szCs w:val="20"/>
          <w:lang w:val="en-US"/>
        </w:rPr>
        <w:t xml:space="preserve"> </w:t>
      </w:r>
    </w:p>
    <w:p w14:paraId="0B8CFC42" w14:textId="77777777" w:rsidR="008D0CAD" w:rsidRPr="00DC5490" w:rsidRDefault="008D0CAD" w:rsidP="00DD08E3">
      <w:pPr>
        <w:numPr>
          <w:ilvl w:val="0"/>
          <w:numId w:val="81"/>
        </w:numPr>
        <w:spacing w:before="100" w:beforeAutospacing="1" w:after="100" w:afterAutospacing="1" w:line="360" w:lineRule="auto"/>
        <w:contextualSpacing/>
        <w:rPr>
          <w:rFonts w:asciiTheme="majorHAnsi" w:hAnsiTheme="majorHAnsi" w:cstheme="majorHAnsi"/>
          <w:snapToGrid w:val="0"/>
          <w:color w:val="000000"/>
          <w:sz w:val="20"/>
          <w:szCs w:val="20"/>
          <w:lang w:val="en-US"/>
        </w:rPr>
      </w:pPr>
      <w:r w:rsidRPr="00DC5490">
        <w:rPr>
          <w:rFonts w:asciiTheme="majorHAnsi" w:hAnsiTheme="majorHAnsi" w:cstheme="majorHAnsi"/>
          <w:snapToGrid w:val="0"/>
          <w:color w:val="000000"/>
          <w:sz w:val="20"/>
          <w:szCs w:val="20"/>
          <w:lang w:val="en-US"/>
        </w:rPr>
        <w:t>What makes the L&amp;D system better than the previous Training and Development (T&amp;D) system?</w:t>
      </w:r>
    </w:p>
    <w:p w14:paraId="3AB617B0" w14:textId="77777777" w:rsidR="008D0CAD" w:rsidRPr="00DC5490" w:rsidRDefault="008D0CAD" w:rsidP="00DD08E3">
      <w:pPr>
        <w:numPr>
          <w:ilvl w:val="0"/>
          <w:numId w:val="81"/>
        </w:numPr>
        <w:spacing w:before="100" w:beforeAutospacing="1" w:after="100" w:afterAutospacing="1" w:line="360" w:lineRule="auto"/>
        <w:contextualSpacing/>
        <w:rPr>
          <w:rFonts w:asciiTheme="majorHAnsi" w:hAnsiTheme="majorHAnsi" w:cstheme="majorHAnsi"/>
          <w:snapToGrid w:val="0"/>
          <w:color w:val="000000"/>
          <w:sz w:val="20"/>
          <w:szCs w:val="20"/>
          <w:lang w:val="en-US"/>
        </w:rPr>
      </w:pPr>
      <w:r w:rsidRPr="00DC5490">
        <w:rPr>
          <w:rFonts w:asciiTheme="majorHAnsi" w:hAnsiTheme="majorHAnsi" w:cstheme="majorHAnsi"/>
          <w:bCs/>
          <w:snapToGrid w:val="0"/>
          <w:color w:val="000000"/>
          <w:sz w:val="20"/>
          <w:szCs w:val="20"/>
          <w:lang w:val="en-US"/>
        </w:rPr>
        <w:t>Within the last five years, have you ever participated in any of the system (L&amp;D or T&amp;D) processes or any activity, conducted to identify your professional development needs as a teacher? What were those activities?</w:t>
      </w:r>
    </w:p>
    <w:p w14:paraId="76B79F1D" w14:textId="77777777" w:rsidR="008D0CAD" w:rsidRPr="00DC5490" w:rsidRDefault="008D0CAD" w:rsidP="00DD08E3">
      <w:pPr>
        <w:numPr>
          <w:ilvl w:val="0"/>
          <w:numId w:val="81"/>
        </w:numPr>
        <w:spacing w:before="100" w:beforeAutospacing="1" w:after="100" w:afterAutospacing="1" w:line="360" w:lineRule="auto"/>
        <w:contextualSpacing/>
        <w:rPr>
          <w:rFonts w:asciiTheme="majorHAnsi" w:hAnsiTheme="majorHAnsi" w:cstheme="majorHAnsi"/>
          <w:snapToGrid w:val="0"/>
          <w:color w:val="000000"/>
          <w:sz w:val="20"/>
          <w:szCs w:val="20"/>
          <w:lang w:val="en-US"/>
        </w:rPr>
      </w:pPr>
      <w:r w:rsidRPr="00DC5490">
        <w:rPr>
          <w:rFonts w:asciiTheme="majorHAnsi" w:hAnsiTheme="majorHAnsi" w:cstheme="majorHAnsi"/>
          <w:bCs/>
          <w:snapToGrid w:val="0"/>
          <w:color w:val="000000"/>
          <w:sz w:val="20"/>
          <w:szCs w:val="20"/>
          <w:lang w:val="en-US"/>
        </w:rPr>
        <w:t>What do you think is the relationship of the professional standards of teachers (PPST) to the L&amp;D system?</w:t>
      </w:r>
    </w:p>
    <w:p w14:paraId="7D60161D" w14:textId="77777777" w:rsidR="008D0CAD" w:rsidRPr="00DC5490" w:rsidRDefault="008D0CAD" w:rsidP="00DD08E3">
      <w:pPr>
        <w:numPr>
          <w:ilvl w:val="0"/>
          <w:numId w:val="81"/>
        </w:numPr>
        <w:spacing w:before="100" w:beforeAutospacing="1" w:after="100" w:afterAutospacing="1" w:line="360" w:lineRule="auto"/>
        <w:contextualSpacing/>
        <w:rPr>
          <w:rFonts w:asciiTheme="majorHAnsi" w:hAnsiTheme="majorHAnsi" w:cstheme="majorHAnsi"/>
          <w:snapToGrid w:val="0"/>
          <w:color w:val="000000"/>
          <w:sz w:val="20"/>
          <w:szCs w:val="20"/>
          <w:lang w:val="en-US"/>
        </w:rPr>
      </w:pPr>
      <w:r w:rsidRPr="00DC5490">
        <w:rPr>
          <w:rFonts w:asciiTheme="majorHAnsi" w:hAnsiTheme="majorHAnsi" w:cstheme="majorHAnsi"/>
          <w:snapToGrid w:val="0"/>
          <w:color w:val="000000"/>
          <w:sz w:val="20"/>
          <w:szCs w:val="20"/>
          <w:lang w:val="en-US"/>
        </w:rPr>
        <w:t xml:space="preserve">Can you please describe what the </w:t>
      </w:r>
      <w:r w:rsidRPr="00DC5490">
        <w:rPr>
          <w:rFonts w:asciiTheme="majorHAnsi" w:hAnsiTheme="majorHAnsi" w:cstheme="majorHAnsi"/>
          <w:b/>
          <w:bCs/>
          <w:snapToGrid w:val="0"/>
          <w:color w:val="000000"/>
          <w:sz w:val="20"/>
          <w:szCs w:val="20"/>
          <w:lang w:val="en-US"/>
        </w:rPr>
        <w:t xml:space="preserve">Learning Action Cell (LAC) </w:t>
      </w:r>
      <w:r w:rsidRPr="00DC5490">
        <w:rPr>
          <w:rFonts w:asciiTheme="majorHAnsi" w:hAnsiTheme="majorHAnsi" w:cstheme="majorHAnsi"/>
          <w:bCs/>
          <w:snapToGrid w:val="0"/>
          <w:color w:val="000000"/>
          <w:sz w:val="20"/>
          <w:szCs w:val="20"/>
          <w:lang w:val="en-US"/>
        </w:rPr>
        <w:t>is and how it affects your practice as a teacher?</w:t>
      </w:r>
    </w:p>
    <w:p w14:paraId="6A3D5D07" w14:textId="21078377" w:rsidR="008D0CAD" w:rsidRPr="00DC5490" w:rsidRDefault="008D0CAD" w:rsidP="00DD08E3">
      <w:pPr>
        <w:numPr>
          <w:ilvl w:val="1"/>
          <w:numId w:val="81"/>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snapToGrid w:val="0"/>
          <w:color w:val="000000"/>
          <w:sz w:val="20"/>
          <w:szCs w:val="20"/>
          <w:lang w:val="en-US"/>
        </w:rPr>
        <w:t xml:space="preserve">Have you ever participated in any </w:t>
      </w:r>
      <w:r w:rsidRPr="00DC5490">
        <w:rPr>
          <w:rFonts w:asciiTheme="majorHAnsi" w:hAnsiTheme="majorHAnsi" w:cstheme="majorHAnsi"/>
          <w:b/>
          <w:bCs/>
          <w:snapToGrid w:val="0"/>
          <w:color w:val="000000"/>
          <w:sz w:val="20"/>
          <w:szCs w:val="20"/>
          <w:lang w:val="en-US"/>
        </w:rPr>
        <w:t xml:space="preserve">Learning Action Cell (LAC) </w:t>
      </w:r>
      <w:r w:rsidRPr="00DC5490">
        <w:rPr>
          <w:rFonts w:asciiTheme="majorHAnsi" w:hAnsiTheme="majorHAnsi" w:cstheme="majorHAnsi"/>
          <w:bCs/>
          <w:snapToGrid w:val="0"/>
          <w:color w:val="000000"/>
          <w:sz w:val="20"/>
          <w:szCs w:val="20"/>
          <w:lang w:val="en-US"/>
        </w:rPr>
        <w:t>session in your school or district?</w:t>
      </w:r>
      <w:r w:rsidR="00D434EB">
        <w:rPr>
          <w:rFonts w:asciiTheme="majorHAnsi" w:hAnsiTheme="majorHAnsi" w:cstheme="majorHAnsi"/>
          <w:bCs/>
          <w:snapToGrid w:val="0"/>
          <w:color w:val="000000"/>
          <w:sz w:val="20"/>
          <w:szCs w:val="20"/>
          <w:lang w:val="en-US"/>
        </w:rPr>
        <w:t xml:space="preserve"> </w:t>
      </w:r>
      <w:r w:rsidRPr="00DC5490">
        <w:rPr>
          <w:rFonts w:asciiTheme="majorHAnsi" w:hAnsiTheme="majorHAnsi" w:cstheme="majorHAnsi"/>
          <w:bCs/>
          <w:snapToGrid w:val="0"/>
          <w:color w:val="000000"/>
          <w:sz w:val="20"/>
          <w:szCs w:val="20"/>
          <w:lang w:val="en-US"/>
        </w:rPr>
        <w:t xml:space="preserve"> </w:t>
      </w:r>
    </w:p>
    <w:p w14:paraId="4F26D78B" w14:textId="77777777" w:rsidR="008D0CAD" w:rsidRPr="00DC5490" w:rsidRDefault="008D0CAD" w:rsidP="00EA6CB9">
      <w:pPr>
        <w:spacing w:before="100" w:beforeAutospacing="1" w:after="100" w:afterAutospacing="1" w:line="360" w:lineRule="auto"/>
        <w:ind w:left="720" w:firstLine="357"/>
        <w:rPr>
          <w:rFonts w:asciiTheme="majorHAnsi" w:hAnsiTheme="majorHAnsi" w:cstheme="majorHAnsi"/>
          <w:bCs/>
          <w:color w:val="000000"/>
          <w:sz w:val="20"/>
          <w:szCs w:val="20"/>
          <w:lang w:val="en-US"/>
        </w:rPr>
      </w:pPr>
      <w:r w:rsidRPr="00DC5490">
        <w:rPr>
          <w:rFonts w:asciiTheme="majorHAnsi" w:hAnsiTheme="majorHAnsi" w:cstheme="majorHAnsi"/>
          <w:bCs/>
          <w:color w:val="000000"/>
          <w:sz w:val="20"/>
          <w:szCs w:val="20"/>
          <w:lang w:val="en-US"/>
        </w:rPr>
        <w:t xml:space="preserve">____ Yes </w:t>
      </w:r>
      <w:r w:rsidRPr="00DC5490">
        <w:rPr>
          <w:rFonts w:asciiTheme="majorHAnsi" w:hAnsiTheme="majorHAnsi" w:cstheme="majorHAnsi"/>
          <w:bCs/>
          <w:color w:val="000000"/>
          <w:sz w:val="20"/>
          <w:szCs w:val="20"/>
          <w:lang w:val="en-US"/>
        </w:rPr>
        <w:tab/>
      </w:r>
      <w:r w:rsidRPr="00DC5490">
        <w:rPr>
          <w:rFonts w:asciiTheme="majorHAnsi" w:hAnsiTheme="majorHAnsi" w:cstheme="majorHAnsi"/>
          <w:bCs/>
          <w:color w:val="000000"/>
          <w:sz w:val="20"/>
          <w:szCs w:val="20"/>
          <w:lang w:val="en-US"/>
        </w:rPr>
        <w:tab/>
        <w:t>____ No (if no, proceed to Question No. 7)</w:t>
      </w:r>
    </w:p>
    <w:p w14:paraId="2027CEF5" w14:textId="77777777" w:rsidR="008D0CAD" w:rsidRPr="00DC5490" w:rsidRDefault="008D0CAD" w:rsidP="00DD08E3">
      <w:pPr>
        <w:numPr>
          <w:ilvl w:val="1"/>
          <w:numId w:val="81"/>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snapToGrid w:val="0"/>
          <w:color w:val="000000"/>
          <w:sz w:val="20"/>
          <w:szCs w:val="20"/>
          <w:lang w:val="en-US"/>
        </w:rPr>
        <w:t xml:space="preserve">Please describe what happens during a LAC session. </w:t>
      </w:r>
    </w:p>
    <w:p w14:paraId="323B5037" w14:textId="77777777" w:rsidR="008D0CAD" w:rsidRPr="00DC5490" w:rsidRDefault="008D0CAD" w:rsidP="00DD08E3">
      <w:pPr>
        <w:numPr>
          <w:ilvl w:val="1"/>
          <w:numId w:val="81"/>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bCs/>
          <w:snapToGrid w:val="0"/>
          <w:color w:val="000000"/>
          <w:sz w:val="20"/>
          <w:szCs w:val="20"/>
          <w:lang w:val="en-US"/>
        </w:rPr>
        <w:t xml:space="preserve">How often do participate in LAC sessions? </w:t>
      </w:r>
    </w:p>
    <w:p w14:paraId="28812533" w14:textId="4AC419A5" w:rsidR="008D0CAD" w:rsidRPr="00DC5490" w:rsidRDefault="008D0CAD" w:rsidP="00EA6CB9">
      <w:pPr>
        <w:spacing w:before="100" w:beforeAutospacing="1" w:after="100" w:afterAutospacing="1" w:line="360" w:lineRule="auto"/>
        <w:ind w:left="720" w:firstLine="357"/>
        <w:rPr>
          <w:rFonts w:asciiTheme="majorHAnsi" w:hAnsiTheme="majorHAnsi" w:cstheme="majorHAnsi"/>
          <w:bCs/>
          <w:color w:val="000000"/>
          <w:sz w:val="20"/>
          <w:szCs w:val="20"/>
          <w:lang w:val="en-US"/>
        </w:rPr>
      </w:pPr>
      <w:r w:rsidRPr="00DC5490">
        <w:rPr>
          <w:rFonts w:asciiTheme="majorHAnsi" w:hAnsiTheme="majorHAnsi" w:cstheme="majorHAnsi"/>
          <w:bCs/>
          <w:color w:val="000000"/>
          <w:sz w:val="20"/>
          <w:szCs w:val="20"/>
          <w:lang w:val="en-US"/>
        </w:rPr>
        <w:t>___ Monthly</w:t>
      </w:r>
      <w:r w:rsidR="00D434EB">
        <w:rPr>
          <w:rFonts w:asciiTheme="majorHAnsi" w:hAnsiTheme="majorHAnsi" w:cstheme="majorHAnsi"/>
          <w:bCs/>
          <w:color w:val="000000"/>
          <w:sz w:val="20"/>
          <w:szCs w:val="20"/>
          <w:lang w:val="en-US"/>
        </w:rPr>
        <w:t xml:space="preserve"> </w:t>
      </w:r>
      <w:r w:rsidRPr="00DC5490">
        <w:rPr>
          <w:rFonts w:asciiTheme="majorHAnsi" w:hAnsiTheme="majorHAnsi" w:cstheme="majorHAnsi"/>
          <w:bCs/>
          <w:color w:val="000000"/>
          <w:sz w:val="20"/>
          <w:szCs w:val="20"/>
          <w:lang w:val="en-US"/>
        </w:rPr>
        <w:t xml:space="preserve"> ___ Quarterly</w:t>
      </w:r>
      <w:r w:rsidR="00D434EB">
        <w:rPr>
          <w:rFonts w:asciiTheme="majorHAnsi" w:hAnsiTheme="majorHAnsi" w:cstheme="majorHAnsi"/>
          <w:bCs/>
          <w:color w:val="000000"/>
          <w:sz w:val="20"/>
          <w:szCs w:val="20"/>
          <w:lang w:val="en-US"/>
        </w:rPr>
        <w:t xml:space="preserve"> </w:t>
      </w:r>
      <w:r w:rsidRPr="00DC5490">
        <w:rPr>
          <w:rFonts w:asciiTheme="majorHAnsi" w:hAnsiTheme="majorHAnsi" w:cstheme="majorHAnsi"/>
          <w:bCs/>
          <w:color w:val="000000"/>
          <w:sz w:val="20"/>
          <w:szCs w:val="20"/>
          <w:lang w:val="en-US"/>
        </w:rPr>
        <w:t xml:space="preserve"> ___ Semi-Annually</w:t>
      </w:r>
      <w:r w:rsidR="00D434EB">
        <w:rPr>
          <w:rFonts w:asciiTheme="majorHAnsi" w:hAnsiTheme="majorHAnsi" w:cstheme="majorHAnsi"/>
          <w:bCs/>
          <w:color w:val="000000"/>
          <w:sz w:val="20"/>
          <w:szCs w:val="20"/>
          <w:lang w:val="en-US"/>
        </w:rPr>
        <w:t xml:space="preserve"> </w:t>
      </w:r>
      <w:r w:rsidRPr="00DC5490">
        <w:rPr>
          <w:rFonts w:asciiTheme="majorHAnsi" w:hAnsiTheme="majorHAnsi" w:cstheme="majorHAnsi"/>
          <w:bCs/>
          <w:color w:val="000000"/>
          <w:sz w:val="20"/>
          <w:szCs w:val="20"/>
          <w:lang w:val="en-US"/>
        </w:rPr>
        <w:t xml:space="preserve"> ___ Annually</w:t>
      </w:r>
      <w:r w:rsidR="00D434EB">
        <w:rPr>
          <w:rFonts w:asciiTheme="majorHAnsi" w:hAnsiTheme="majorHAnsi" w:cstheme="majorHAnsi"/>
          <w:bCs/>
          <w:color w:val="000000"/>
          <w:sz w:val="20"/>
          <w:szCs w:val="20"/>
          <w:lang w:val="en-US"/>
        </w:rPr>
        <w:t xml:space="preserve">  </w:t>
      </w:r>
      <w:r w:rsidRPr="00DC5490">
        <w:rPr>
          <w:rFonts w:asciiTheme="majorHAnsi" w:hAnsiTheme="majorHAnsi" w:cstheme="majorHAnsi"/>
          <w:bCs/>
          <w:color w:val="000000"/>
          <w:sz w:val="20"/>
          <w:szCs w:val="20"/>
          <w:lang w:val="en-US"/>
        </w:rPr>
        <w:t>___ Others, __________________</w:t>
      </w:r>
    </w:p>
    <w:p w14:paraId="7D7CD97C" w14:textId="6018BAFD" w:rsidR="008D0CAD" w:rsidRPr="00DC5490" w:rsidRDefault="008D0CAD" w:rsidP="00DD08E3">
      <w:pPr>
        <w:numPr>
          <w:ilvl w:val="1"/>
          <w:numId w:val="81"/>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bCs/>
          <w:snapToGrid w:val="0"/>
          <w:color w:val="000000"/>
          <w:sz w:val="20"/>
          <w:szCs w:val="20"/>
          <w:lang w:val="en-US"/>
        </w:rPr>
        <w:t>How are your LAC sessions organised?</w:t>
      </w:r>
      <w:r w:rsidR="00D434EB">
        <w:rPr>
          <w:rFonts w:asciiTheme="majorHAnsi" w:hAnsiTheme="majorHAnsi" w:cstheme="majorHAnsi"/>
          <w:bCs/>
          <w:snapToGrid w:val="0"/>
          <w:color w:val="000000"/>
          <w:sz w:val="20"/>
          <w:szCs w:val="20"/>
          <w:lang w:val="en-US"/>
        </w:rPr>
        <w:t xml:space="preserve"> </w:t>
      </w:r>
    </w:p>
    <w:p w14:paraId="39B06096" w14:textId="080B00B9" w:rsidR="008D0CAD" w:rsidRPr="00DC5490" w:rsidRDefault="008D0CAD" w:rsidP="00EA6CB9">
      <w:pPr>
        <w:spacing w:before="100" w:beforeAutospacing="1" w:after="100" w:afterAutospacing="1" w:line="360" w:lineRule="auto"/>
        <w:ind w:left="720" w:firstLine="357"/>
        <w:rPr>
          <w:rFonts w:asciiTheme="majorHAnsi" w:hAnsiTheme="majorHAnsi" w:cstheme="majorHAnsi"/>
          <w:bCs/>
          <w:color w:val="000000"/>
          <w:sz w:val="20"/>
          <w:szCs w:val="20"/>
          <w:lang w:val="en-US"/>
        </w:rPr>
      </w:pPr>
      <w:r w:rsidRPr="00DC5490">
        <w:rPr>
          <w:rFonts w:asciiTheme="majorHAnsi" w:hAnsiTheme="majorHAnsi" w:cstheme="majorHAnsi"/>
          <w:bCs/>
          <w:color w:val="000000"/>
          <w:sz w:val="20"/>
          <w:szCs w:val="20"/>
          <w:lang w:val="en-US"/>
        </w:rPr>
        <w:t>____ by subject area</w:t>
      </w:r>
      <w:r w:rsidR="00D434EB">
        <w:rPr>
          <w:rFonts w:asciiTheme="majorHAnsi" w:hAnsiTheme="majorHAnsi" w:cstheme="majorHAnsi"/>
          <w:bCs/>
          <w:color w:val="000000"/>
          <w:sz w:val="20"/>
          <w:szCs w:val="20"/>
          <w:lang w:val="en-US"/>
        </w:rPr>
        <w:t xml:space="preserve">   </w:t>
      </w:r>
      <w:r w:rsidRPr="00DC5490">
        <w:rPr>
          <w:rFonts w:asciiTheme="majorHAnsi" w:hAnsiTheme="majorHAnsi" w:cstheme="majorHAnsi"/>
          <w:bCs/>
          <w:color w:val="000000"/>
          <w:sz w:val="20"/>
          <w:szCs w:val="20"/>
          <w:lang w:val="en-US"/>
        </w:rPr>
        <w:t xml:space="preserve">___ Grade level </w:t>
      </w:r>
      <w:r w:rsidRPr="00DC5490">
        <w:rPr>
          <w:rFonts w:asciiTheme="majorHAnsi" w:hAnsiTheme="majorHAnsi" w:cstheme="majorHAnsi"/>
          <w:bCs/>
          <w:color w:val="000000"/>
          <w:sz w:val="20"/>
          <w:szCs w:val="20"/>
          <w:lang w:val="en-US"/>
        </w:rPr>
        <w:tab/>
        <w:t>____ Others, please specify ____________________</w:t>
      </w:r>
    </w:p>
    <w:p w14:paraId="3E761BC1" w14:textId="77777777" w:rsidR="008D0CAD" w:rsidRPr="00DC5490" w:rsidRDefault="008D0CAD" w:rsidP="00DD08E3">
      <w:pPr>
        <w:numPr>
          <w:ilvl w:val="1"/>
          <w:numId w:val="81"/>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snapToGrid w:val="0"/>
          <w:sz w:val="20"/>
          <w:szCs w:val="20"/>
          <w:lang w:val="en-US"/>
        </w:rPr>
        <w:t xml:space="preserve">On a scale of 1 to 4 (with 4 being Very High), </w:t>
      </w:r>
      <w:r w:rsidRPr="00DC5490">
        <w:rPr>
          <w:rFonts w:asciiTheme="majorHAnsi" w:hAnsiTheme="majorHAnsi" w:cstheme="majorHAnsi"/>
          <w:snapToGrid w:val="0"/>
          <w:color w:val="000000"/>
          <w:sz w:val="20"/>
          <w:szCs w:val="20"/>
          <w:lang w:val="en-US"/>
        </w:rPr>
        <w:t xml:space="preserve">assess </w:t>
      </w:r>
      <w:r w:rsidRPr="00DC5490">
        <w:rPr>
          <w:rFonts w:asciiTheme="majorHAnsi" w:hAnsiTheme="majorHAnsi" w:cstheme="majorHAnsi"/>
          <w:bCs/>
          <w:snapToGrid w:val="0"/>
          <w:color w:val="000000"/>
          <w:sz w:val="20"/>
          <w:szCs w:val="20"/>
          <w:lang w:val="en-US"/>
        </w:rPr>
        <w:t>LAC as a modality</w:t>
      </w:r>
      <w:r w:rsidRPr="00DC5490">
        <w:rPr>
          <w:rFonts w:asciiTheme="majorHAnsi" w:hAnsiTheme="majorHAnsi" w:cstheme="majorHAnsi"/>
          <w:snapToGrid w:val="0"/>
          <w:sz w:val="20"/>
          <w:szCs w:val="20"/>
          <w:lang w:val="en-US"/>
        </w:rPr>
        <w:t xml:space="preserve"> for delivering professional development teachers by marking the appropriate box in terms of:</w:t>
      </w:r>
    </w:p>
    <w:tbl>
      <w:tblPr>
        <w:tblStyle w:val="TableGrid9"/>
        <w:tblW w:w="9355" w:type="dxa"/>
        <w:tblInd w:w="805" w:type="dxa"/>
        <w:tblLayout w:type="fixed"/>
        <w:tblLook w:val="04A0" w:firstRow="1" w:lastRow="0" w:firstColumn="1" w:lastColumn="0" w:noHBand="0" w:noVBand="1"/>
      </w:tblPr>
      <w:tblGrid>
        <w:gridCol w:w="4126"/>
        <w:gridCol w:w="1120"/>
        <w:gridCol w:w="933"/>
        <w:gridCol w:w="1120"/>
        <w:gridCol w:w="933"/>
        <w:gridCol w:w="1123"/>
      </w:tblGrid>
      <w:tr w:rsidR="008D0CAD" w:rsidRPr="00DC5490" w14:paraId="7B51F390" w14:textId="77777777" w:rsidTr="00F4751F">
        <w:trPr>
          <w:trHeight w:val="704"/>
          <w:tblHeader/>
        </w:trPr>
        <w:tc>
          <w:tcPr>
            <w:tcW w:w="4126" w:type="dxa"/>
            <w:shd w:val="clear" w:color="auto" w:fill="D9D9D9" w:themeFill="background1" w:themeFillShade="D9"/>
          </w:tcPr>
          <w:p w14:paraId="54139CF8"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p>
        </w:tc>
        <w:tc>
          <w:tcPr>
            <w:tcW w:w="1120" w:type="dxa"/>
            <w:shd w:val="clear" w:color="auto" w:fill="D9D9D9" w:themeFill="background1" w:themeFillShade="D9"/>
            <w:vAlign w:val="center"/>
          </w:tcPr>
          <w:p w14:paraId="0F79B87A"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No opinion</w:t>
            </w:r>
          </w:p>
          <w:p w14:paraId="4BA6E6C1"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(0)</w:t>
            </w:r>
          </w:p>
        </w:tc>
        <w:tc>
          <w:tcPr>
            <w:tcW w:w="933" w:type="dxa"/>
            <w:shd w:val="clear" w:color="auto" w:fill="D9D9D9" w:themeFill="background1" w:themeFillShade="D9"/>
            <w:vAlign w:val="center"/>
          </w:tcPr>
          <w:p w14:paraId="5CEF4A0F"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Low</w:t>
            </w:r>
          </w:p>
          <w:p w14:paraId="62F91A62"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(1)</w:t>
            </w:r>
          </w:p>
        </w:tc>
        <w:tc>
          <w:tcPr>
            <w:tcW w:w="1120" w:type="dxa"/>
            <w:shd w:val="clear" w:color="auto" w:fill="D9D9D9" w:themeFill="background1" w:themeFillShade="D9"/>
            <w:vAlign w:val="center"/>
          </w:tcPr>
          <w:p w14:paraId="097601E3"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Moderate</w:t>
            </w:r>
          </w:p>
          <w:p w14:paraId="0F33249B"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(2)</w:t>
            </w:r>
          </w:p>
        </w:tc>
        <w:tc>
          <w:tcPr>
            <w:tcW w:w="933" w:type="dxa"/>
            <w:shd w:val="clear" w:color="auto" w:fill="D9D9D9" w:themeFill="background1" w:themeFillShade="D9"/>
            <w:vAlign w:val="center"/>
          </w:tcPr>
          <w:p w14:paraId="380FF832"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High</w:t>
            </w:r>
          </w:p>
          <w:p w14:paraId="57B15E3E"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(3)</w:t>
            </w:r>
          </w:p>
        </w:tc>
        <w:tc>
          <w:tcPr>
            <w:tcW w:w="1123" w:type="dxa"/>
            <w:shd w:val="clear" w:color="auto" w:fill="D9D9D9" w:themeFill="background1" w:themeFillShade="D9"/>
            <w:vAlign w:val="center"/>
          </w:tcPr>
          <w:p w14:paraId="4A7966AF"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Very High</w:t>
            </w:r>
          </w:p>
          <w:p w14:paraId="2E653293"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(4)</w:t>
            </w:r>
          </w:p>
        </w:tc>
      </w:tr>
      <w:tr w:rsidR="008D0CAD" w:rsidRPr="00DC5490" w14:paraId="2DDCB77F" w14:textId="77777777" w:rsidTr="009C64E9">
        <w:trPr>
          <w:trHeight w:val="281"/>
        </w:trPr>
        <w:tc>
          <w:tcPr>
            <w:tcW w:w="4126" w:type="dxa"/>
          </w:tcPr>
          <w:p w14:paraId="11F9C411"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432" w:hanging="450"/>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sz w:val="16"/>
                <w:szCs w:val="16"/>
                <w:lang w:val="en-US"/>
              </w:rPr>
              <w:t>Ease of access to LAC resources (LAC session guides) for teachers</w:t>
            </w:r>
          </w:p>
        </w:tc>
        <w:tc>
          <w:tcPr>
            <w:tcW w:w="1120" w:type="dxa"/>
            <w:vAlign w:val="center"/>
          </w:tcPr>
          <w:p w14:paraId="35E37141"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933" w:type="dxa"/>
            <w:vAlign w:val="center"/>
          </w:tcPr>
          <w:p w14:paraId="717CA37A"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1120" w:type="dxa"/>
            <w:vAlign w:val="center"/>
          </w:tcPr>
          <w:p w14:paraId="5598697E"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933" w:type="dxa"/>
          </w:tcPr>
          <w:p w14:paraId="5313EF73"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123" w:type="dxa"/>
            <w:vAlign w:val="center"/>
          </w:tcPr>
          <w:p w14:paraId="3ED5DF1A"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r>
      <w:tr w:rsidR="008D0CAD" w:rsidRPr="00DC5490" w14:paraId="59B51F35" w14:textId="77777777" w:rsidTr="009C64E9">
        <w:trPr>
          <w:trHeight w:val="281"/>
        </w:trPr>
        <w:tc>
          <w:tcPr>
            <w:tcW w:w="4126" w:type="dxa"/>
          </w:tcPr>
          <w:p w14:paraId="07784ED1"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432" w:hanging="450"/>
              <w:rPr>
                <w:rFonts w:asciiTheme="majorHAnsi" w:eastAsiaTheme="minorHAnsi" w:hAnsiTheme="majorHAnsi" w:cstheme="majorHAnsi"/>
                <w:bCs/>
                <w:color w:val="000000"/>
                <w:sz w:val="16"/>
                <w:szCs w:val="16"/>
                <w:lang w:val="en-US"/>
              </w:rPr>
            </w:pPr>
            <w:r w:rsidRPr="00DC5490">
              <w:rPr>
                <w:rFonts w:asciiTheme="majorHAnsi" w:eastAsiaTheme="minorHAnsi" w:hAnsiTheme="majorHAnsi" w:cstheme="majorHAnsi"/>
                <w:color w:val="000000"/>
                <w:sz w:val="16"/>
                <w:szCs w:val="16"/>
                <w:lang w:val="en-US"/>
              </w:rPr>
              <w:t>Usefulness to teachers</w:t>
            </w:r>
          </w:p>
        </w:tc>
        <w:tc>
          <w:tcPr>
            <w:tcW w:w="1120" w:type="dxa"/>
            <w:vAlign w:val="center"/>
          </w:tcPr>
          <w:p w14:paraId="2D746CF0"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933" w:type="dxa"/>
            <w:vAlign w:val="center"/>
          </w:tcPr>
          <w:p w14:paraId="6683F1D3"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120" w:type="dxa"/>
            <w:vAlign w:val="center"/>
          </w:tcPr>
          <w:p w14:paraId="6EE12628"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933" w:type="dxa"/>
          </w:tcPr>
          <w:p w14:paraId="4E81CC0F"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123" w:type="dxa"/>
            <w:vAlign w:val="center"/>
          </w:tcPr>
          <w:p w14:paraId="647E3B48"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r>
      <w:tr w:rsidR="008D0CAD" w:rsidRPr="00DC5490" w14:paraId="382287CA" w14:textId="77777777" w:rsidTr="009C64E9">
        <w:trPr>
          <w:trHeight w:val="281"/>
        </w:trPr>
        <w:tc>
          <w:tcPr>
            <w:tcW w:w="4126" w:type="dxa"/>
          </w:tcPr>
          <w:p w14:paraId="147B1D3B"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432" w:hanging="450"/>
              <w:rPr>
                <w:rFonts w:asciiTheme="majorHAnsi" w:eastAsiaTheme="minorHAnsi" w:hAnsiTheme="majorHAnsi" w:cstheme="majorHAnsi"/>
                <w:bCs/>
                <w:color w:val="000000"/>
                <w:sz w:val="16"/>
                <w:szCs w:val="16"/>
                <w:lang w:val="en-US"/>
              </w:rPr>
            </w:pPr>
            <w:r w:rsidRPr="00DC5490">
              <w:rPr>
                <w:rFonts w:asciiTheme="majorHAnsi" w:eastAsiaTheme="minorHAnsi" w:hAnsiTheme="majorHAnsi" w:cstheme="majorHAnsi"/>
                <w:color w:val="000000"/>
                <w:sz w:val="16"/>
                <w:szCs w:val="16"/>
                <w:lang w:val="en-US"/>
              </w:rPr>
              <w:t>Appropriateness as a modality for delivering professional development for teachers</w:t>
            </w:r>
          </w:p>
        </w:tc>
        <w:tc>
          <w:tcPr>
            <w:tcW w:w="1120" w:type="dxa"/>
            <w:vAlign w:val="center"/>
          </w:tcPr>
          <w:p w14:paraId="521D2644"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933" w:type="dxa"/>
            <w:vAlign w:val="center"/>
          </w:tcPr>
          <w:p w14:paraId="4351E3A2"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120" w:type="dxa"/>
            <w:vAlign w:val="center"/>
          </w:tcPr>
          <w:p w14:paraId="37968B07"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933" w:type="dxa"/>
          </w:tcPr>
          <w:p w14:paraId="256068D5"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123" w:type="dxa"/>
            <w:vAlign w:val="center"/>
          </w:tcPr>
          <w:p w14:paraId="7EA26C52"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r>
    </w:tbl>
    <w:p w14:paraId="2AFB148D" w14:textId="77777777" w:rsidR="008D0CAD" w:rsidRPr="00DC5490" w:rsidRDefault="008D0CAD" w:rsidP="00DD08E3">
      <w:pPr>
        <w:numPr>
          <w:ilvl w:val="0"/>
          <w:numId w:val="81"/>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snapToGrid w:val="0"/>
          <w:color w:val="000000" w:themeColor="text1"/>
          <w:sz w:val="20"/>
          <w:szCs w:val="20"/>
        </w:rPr>
        <w:t xml:space="preserve">In your own opinion, what are some hindering and facilitating factors to </w:t>
      </w:r>
      <w:r w:rsidRPr="00DC5490">
        <w:rPr>
          <w:rFonts w:asciiTheme="majorHAnsi" w:hAnsiTheme="majorHAnsi" w:cstheme="majorHAnsi"/>
          <w:b/>
          <w:bCs/>
          <w:snapToGrid w:val="0"/>
          <w:color w:val="000000"/>
          <w:sz w:val="20"/>
          <w:szCs w:val="20"/>
          <w:lang w:val="en-US"/>
        </w:rPr>
        <w:t xml:space="preserve">Teacher Professional Development </w:t>
      </w:r>
      <w:r w:rsidRPr="00DC5490">
        <w:rPr>
          <w:rFonts w:asciiTheme="majorHAnsi" w:hAnsiTheme="majorHAnsi" w:cstheme="majorHAnsi"/>
          <w:bCs/>
          <w:snapToGrid w:val="0"/>
          <w:color w:val="000000"/>
          <w:sz w:val="20"/>
          <w:szCs w:val="20"/>
          <w:lang w:val="en-US"/>
        </w:rPr>
        <w:t>in your school/ district</w:t>
      </w:r>
      <w:r w:rsidRPr="00DC5490">
        <w:rPr>
          <w:rFonts w:asciiTheme="majorHAnsi" w:hAnsiTheme="majorHAnsi" w:cstheme="majorHAnsi"/>
          <w:snapToGrid w:val="0"/>
          <w:color w:val="000000" w:themeColor="text1"/>
          <w:sz w:val="20"/>
          <w:szCs w:val="20"/>
        </w:rPr>
        <w:t>?</w:t>
      </w:r>
      <w:r w:rsidRPr="00DC5490">
        <w:rPr>
          <w:rFonts w:asciiTheme="majorHAnsi" w:hAnsiTheme="majorHAnsi" w:cstheme="majorHAnsi"/>
          <w:snapToGrid w:val="0"/>
          <w:color w:val="000000" w:themeColor="text1"/>
          <w:sz w:val="20"/>
          <w:szCs w:val="20"/>
          <w:lang w:val="en-US"/>
        </w:rPr>
        <w:t xml:space="preserve"> </w:t>
      </w:r>
    </w:p>
    <w:p w14:paraId="7D503851" w14:textId="77777777" w:rsidR="008D0CAD" w:rsidRPr="00DC5490" w:rsidRDefault="008D0CAD" w:rsidP="00DD08E3">
      <w:pPr>
        <w:numPr>
          <w:ilvl w:val="1"/>
          <w:numId w:val="81"/>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snapToGrid w:val="0"/>
          <w:color w:val="000000" w:themeColor="text1"/>
          <w:sz w:val="20"/>
          <w:szCs w:val="20"/>
          <w:lang w:val="en-US"/>
        </w:rPr>
        <w:t xml:space="preserve">What factors hinder the </w:t>
      </w:r>
      <w:r w:rsidRPr="00DC5490">
        <w:rPr>
          <w:rFonts w:asciiTheme="majorHAnsi" w:hAnsiTheme="majorHAnsi" w:cstheme="majorHAnsi"/>
          <w:snapToGrid w:val="0"/>
          <w:sz w:val="20"/>
          <w:szCs w:val="20"/>
          <w:lang w:val="en-US"/>
        </w:rPr>
        <w:t xml:space="preserve">professional development of teachers in </w:t>
      </w:r>
      <w:r w:rsidRPr="00DC5490">
        <w:rPr>
          <w:rFonts w:asciiTheme="majorHAnsi" w:hAnsiTheme="majorHAnsi" w:cstheme="majorHAnsi"/>
          <w:bCs/>
          <w:snapToGrid w:val="0"/>
          <w:sz w:val="20"/>
          <w:szCs w:val="20"/>
          <w:lang w:val="en-US"/>
        </w:rPr>
        <w:t>your school/ or district?</w:t>
      </w:r>
    </w:p>
    <w:p w14:paraId="098D6621" w14:textId="77777777" w:rsidR="008D0CAD" w:rsidRPr="00DC5490" w:rsidRDefault="008D0CAD" w:rsidP="00DD08E3">
      <w:pPr>
        <w:numPr>
          <w:ilvl w:val="1"/>
          <w:numId w:val="81"/>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snapToGrid w:val="0"/>
          <w:color w:val="000000" w:themeColor="text1"/>
          <w:sz w:val="20"/>
          <w:szCs w:val="20"/>
          <w:lang w:val="en-US"/>
        </w:rPr>
        <w:t xml:space="preserve">What factors help the </w:t>
      </w:r>
      <w:r w:rsidRPr="00DC5490">
        <w:rPr>
          <w:rFonts w:asciiTheme="majorHAnsi" w:hAnsiTheme="majorHAnsi" w:cstheme="majorHAnsi"/>
          <w:snapToGrid w:val="0"/>
          <w:sz w:val="20"/>
          <w:szCs w:val="20"/>
          <w:lang w:val="en-US"/>
        </w:rPr>
        <w:t xml:space="preserve">professional development of teachers in </w:t>
      </w:r>
      <w:r w:rsidRPr="00DC5490">
        <w:rPr>
          <w:rFonts w:asciiTheme="majorHAnsi" w:hAnsiTheme="majorHAnsi" w:cstheme="majorHAnsi"/>
          <w:bCs/>
          <w:snapToGrid w:val="0"/>
          <w:sz w:val="20"/>
          <w:szCs w:val="20"/>
          <w:lang w:val="en-US"/>
        </w:rPr>
        <w:t>your school/ or district?</w:t>
      </w:r>
    </w:p>
    <w:p w14:paraId="1093A648" w14:textId="77777777" w:rsidR="008D0CAD" w:rsidRPr="00DC5490" w:rsidRDefault="008D0CAD" w:rsidP="00DD08E3">
      <w:pPr>
        <w:numPr>
          <w:ilvl w:val="0"/>
          <w:numId w:val="81"/>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snapToGrid w:val="0"/>
          <w:sz w:val="20"/>
          <w:szCs w:val="20"/>
          <w:lang w:val="en-US"/>
        </w:rPr>
        <w:t xml:space="preserve">As a teacher, what recommendations can you give to further enhance the professional development of teachers in </w:t>
      </w:r>
      <w:r w:rsidRPr="00DC5490">
        <w:rPr>
          <w:rFonts w:asciiTheme="majorHAnsi" w:hAnsiTheme="majorHAnsi" w:cstheme="majorHAnsi"/>
          <w:bCs/>
          <w:snapToGrid w:val="0"/>
          <w:color w:val="000000"/>
          <w:sz w:val="20"/>
          <w:szCs w:val="20"/>
          <w:lang w:val="en-US"/>
        </w:rPr>
        <w:t>your school/ district</w:t>
      </w:r>
      <w:r w:rsidRPr="00DC5490">
        <w:rPr>
          <w:rFonts w:asciiTheme="majorHAnsi" w:hAnsiTheme="majorHAnsi" w:cstheme="majorHAnsi"/>
          <w:snapToGrid w:val="0"/>
          <w:sz w:val="20"/>
          <w:szCs w:val="20"/>
          <w:lang w:val="en-US"/>
        </w:rPr>
        <w:t>?</w:t>
      </w:r>
    </w:p>
    <w:p w14:paraId="0B5EC4AB" w14:textId="77777777" w:rsidR="008D0CAD" w:rsidRPr="00DC5490" w:rsidRDefault="008D0CAD" w:rsidP="00DD08E3">
      <w:pPr>
        <w:numPr>
          <w:ilvl w:val="0"/>
          <w:numId w:val="81"/>
        </w:numPr>
        <w:spacing w:before="100" w:beforeAutospacing="1" w:after="100" w:afterAutospacing="1" w:line="360" w:lineRule="auto"/>
        <w:contextualSpacing/>
        <w:rPr>
          <w:rFonts w:asciiTheme="majorHAnsi" w:hAnsiTheme="majorHAnsi" w:cstheme="majorHAnsi"/>
          <w:snapToGrid w:val="0"/>
          <w:color w:val="000000"/>
          <w:sz w:val="20"/>
          <w:szCs w:val="20"/>
          <w:lang w:val="en-US"/>
        </w:rPr>
      </w:pPr>
      <w:r w:rsidRPr="00DC5490">
        <w:rPr>
          <w:rFonts w:asciiTheme="majorHAnsi" w:hAnsiTheme="majorHAnsi" w:cstheme="majorHAnsi"/>
          <w:snapToGrid w:val="0"/>
          <w:color w:val="000000"/>
          <w:sz w:val="20"/>
          <w:szCs w:val="20"/>
          <w:lang w:val="en-US"/>
        </w:rPr>
        <w:t xml:space="preserve">Can you please describe your understanding of what the </w:t>
      </w:r>
      <w:r w:rsidRPr="00DC5490">
        <w:rPr>
          <w:rFonts w:asciiTheme="majorHAnsi" w:hAnsiTheme="majorHAnsi" w:cstheme="majorHAnsi"/>
          <w:b/>
          <w:snapToGrid w:val="0"/>
          <w:color w:val="000000"/>
          <w:sz w:val="20"/>
          <w:szCs w:val="20"/>
          <w:lang w:val="en-US"/>
        </w:rPr>
        <w:t xml:space="preserve">Philippine Professional Standards for Teachers (PPST) </w:t>
      </w:r>
      <w:r w:rsidRPr="00DC5490">
        <w:rPr>
          <w:rFonts w:asciiTheme="majorHAnsi" w:hAnsiTheme="majorHAnsi" w:cstheme="majorHAnsi"/>
          <w:bCs/>
          <w:snapToGrid w:val="0"/>
          <w:color w:val="000000"/>
          <w:sz w:val="20"/>
          <w:szCs w:val="20"/>
          <w:lang w:val="en-US"/>
        </w:rPr>
        <w:t>is all about and how it affects you as a teacher?</w:t>
      </w:r>
    </w:p>
    <w:p w14:paraId="4DAB838D" w14:textId="2927784C" w:rsidR="008D0CAD" w:rsidRPr="00DC5490" w:rsidRDefault="008D0CAD" w:rsidP="00DD08E3">
      <w:pPr>
        <w:numPr>
          <w:ilvl w:val="0"/>
          <w:numId w:val="81"/>
        </w:numPr>
        <w:spacing w:before="100" w:beforeAutospacing="1" w:after="100" w:afterAutospacing="1" w:line="360" w:lineRule="auto"/>
        <w:ind w:left="357" w:hanging="357"/>
        <w:rPr>
          <w:rFonts w:asciiTheme="majorHAnsi" w:hAnsiTheme="majorHAnsi" w:cstheme="majorHAnsi"/>
          <w:bCs/>
          <w:snapToGrid w:val="0"/>
          <w:color w:val="000000"/>
          <w:sz w:val="20"/>
          <w:szCs w:val="20"/>
          <w:lang w:val="en-US"/>
        </w:rPr>
      </w:pPr>
      <w:r w:rsidRPr="00DC5490">
        <w:rPr>
          <w:rFonts w:asciiTheme="majorHAnsi" w:hAnsiTheme="majorHAnsi" w:cstheme="majorHAnsi"/>
          <w:bCs/>
          <w:snapToGrid w:val="0"/>
          <w:color w:val="000000"/>
          <w:sz w:val="20"/>
          <w:szCs w:val="20"/>
          <w:lang w:val="en-US"/>
        </w:rPr>
        <w:t xml:space="preserve">Have you ever participated in any PPST processes or activity, within the last 5 years? </w:t>
      </w:r>
      <w:r w:rsidRPr="00DC5490">
        <w:rPr>
          <w:rFonts w:asciiTheme="majorHAnsi" w:hAnsiTheme="majorHAnsi" w:cstheme="majorHAnsi"/>
          <w:bCs/>
          <w:snapToGrid w:val="0"/>
          <w:color w:val="000000"/>
          <w:sz w:val="20"/>
          <w:szCs w:val="20"/>
          <w:lang w:val="en-US"/>
        </w:rPr>
        <w:tab/>
        <w:t>____ Yes</w:t>
      </w:r>
      <w:r w:rsidR="00D434EB">
        <w:rPr>
          <w:rFonts w:asciiTheme="majorHAnsi" w:hAnsiTheme="majorHAnsi" w:cstheme="majorHAnsi"/>
          <w:bCs/>
          <w:snapToGrid w:val="0"/>
          <w:color w:val="000000"/>
          <w:sz w:val="20"/>
          <w:szCs w:val="20"/>
          <w:lang w:val="en-US"/>
        </w:rPr>
        <w:t xml:space="preserve"> </w:t>
      </w:r>
      <w:r w:rsidRPr="00DC5490">
        <w:rPr>
          <w:rFonts w:asciiTheme="majorHAnsi" w:hAnsiTheme="majorHAnsi" w:cstheme="majorHAnsi"/>
          <w:bCs/>
          <w:snapToGrid w:val="0"/>
          <w:color w:val="000000"/>
          <w:sz w:val="20"/>
          <w:szCs w:val="20"/>
          <w:lang w:val="en-US"/>
        </w:rPr>
        <w:t xml:space="preserve"> ____ No</w:t>
      </w:r>
    </w:p>
    <w:p w14:paraId="47E2913D" w14:textId="77777777" w:rsidR="008D0CAD" w:rsidRPr="00DC5490" w:rsidRDefault="008D0CAD" w:rsidP="00DD08E3">
      <w:pPr>
        <w:numPr>
          <w:ilvl w:val="1"/>
          <w:numId w:val="81"/>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bCs/>
          <w:snapToGrid w:val="0"/>
          <w:color w:val="000000"/>
          <w:sz w:val="20"/>
          <w:szCs w:val="20"/>
          <w:lang w:val="en-US"/>
        </w:rPr>
        <w:t>If yes, what activities have your joined?</w:t>
      </w:r>
    </w:p>
    <w:p w14:paraId="59EAA2E8" w14:textId="6A3ED333" w:rsidR="008D0CAD" w:rsidRPr="00DC5490" w:rsidRDefault="008D0CAD" w:rsidP="00EA6CB9">
      <w:pPr>
        <w:spacing w:before="100" w:beforeAutospacing="1" w:after="100" w:afterAutospacing="1" w:line="360" w:lineRule="auto"/>
        <w:ind w:left="792"/>
        <w:rPr>
          <w:rFonts w:asciiTheme="majorHAnsi" w:hAnsiTheme="majorHAnsi" w:cstheme="majorHAnsi"/>
          <w:bCs/>
          <w:color w:val="000000"/>
          <w:sz w:val="20"/>
          <w:szCs w:val="20"/>
          <w:lang w:val="en-US"/>
        </w:rPr>
      </w:pPr>
      <w:r w:rsidRPr="00DC5490">
        <w:rPr>
          <w:rFonts w:asciiTheme="majorHAnsi" w:hAnsiTheme="majorHAnsi" w:cstheme="majorHAnsi"/>
          <w:bCs/>
          <w:color w:val="000000"/>
          <w:sz w:val="20"/>
          <w:szCs w:val="20"/>
          <w:lang w:val="en-US"/>
        </w:rPr>
        <w:t xml:space="preserve">____ PPST orientation </w:t>
      </w:r>
      <w:r w:rsidRPr="00DC5490">
        <w:rPr>
          <w:rFonts w:asciiTheme="majorHAnsi" w:hAnsiTheme="majorHAnsi" w:cstheme="majorHAnsi"/>
          <w:bCs/>
          <w:color w:val="000000"/>
          <w:sz w:val="20"/>
          <w:szCs w:val="20"/>
          <w:lang w:val="en-US"/>
        </w:rPr>
        <w:tab/>
        <w:t>____ develop or validate PPST</w:t>
      </w:r>
      <w:r w:rsidR="00D434EB">
        <w:rPr>
          <w:rFonts w:asciiTheme="majorHAnsi" w:hAnsiTheme="majorHAnsi" w:cstheme="majorHAnsi"/>
          <w:bCs/>
          <w:color w:val="000000"/>
          <w:sz w:val="20"/>
          <w:szCs w:val="20"/>
          <w:lang w:val="en-US"/>
        </w:rPr>
        <w:t xml:space="preserve"> </w:t>
      </w:r>
      <w:r w:rsidRPr="00DC5490">
        <w:rPr>
          <w:rFonts w:asciiTheme="majorHAnsi" w:hAnsiTheme="majorHAnsi" w:cstheme="majorHAnsi"/>
          <w:bCs/>
          <w:color w:val="000000"/>
          <w:sz w:val="20"/>
          <w:szCs w:val="20"/>
          <w:lang w:val="en-US"/>
        </w:rPr>
        <w:t xml:space="preserve"> ____ Develop resources for the PPST</w:t>
      </w:r>
    </w:p>
    <w:p w14:paraId="19787EA4" w14:textId="77777777" w:rsidR="008D0CAD" w:rsidRPr="00DC5490" w:rsidRDefault="008D0CAD" w:rsidP="00EA6CB9">
      <w:pPr>
        <w:spacing w:before="100" w:beforeAutospacing="1" w:after="100" w:afterAutospacing="1" w:line="360" w:lineRule="auto"/>
        <w:ind w:left="720" w:firstLine="357"/>
        <w:rPr>
          <w:rFonts w:asciiTheme="majorHAnsi" w:hAnsiTheme="majorHAnsi" w:cstheme="majorHAnsi"/>
          <w:bCs/>
          <w:color w:val="000000"/>
          <w:sz w:val="20"/>
          <w:szCs w:val="20"/>
          <w:lang w:val="en-US"/>
        </w:rPr>
      </w:pPr>
      <w:r w:rsidRPr="00DC5490">
        <w:rPr>
          <w:rFonts w:asciiTheme="majorHAnsi" w:hAnsiTheme="majorHAnsi" w:cstheme="majorHAnsi"/>
          <w:bCs/>
          <w:color w:val="000000"/>
          <w:sz w:val="20"/>
          <w:szCs w:val="20"/>
          <w:lang w:val="en-US"/>
        </w:rPr>
        <w:t>____ Others specify _________________________________</w:t>
      </w:r>
    </w:p>
    <w:p w14:paraId="3E9F23AF" w14:textId="07393255" w:rsidR="008D0CAD" w:rsidRPr="00DC5490" w:rsidRDefault="008D0CAD" w:rsidP="00DD08E3">
      <w:pPr>
        <w:numPr>
          <w:ilvl w:val="1"/>
          <w:numId w:val="81"/>
        </w:numPr>
        <w:spacing w:before="100" w:beforeAutospacing="1" w:after="100" w:afterAutospacing="1" w:line="360" w:lineRule="auto"/>
        <w:ind w:left="810"/>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bCs/>
          <w:snapToGrid w:val="0"/>
          <w:color w:val="000000"/>
          <w:sz w:val="20"/>
          <w:szCs w:val="20"/>
          <w:lang w:val="en-US"/>
        </w:rPr>
        <w:t xml:space="preserve">Are you familiar with the </w:t>
      </w:r>
      <w:r w:rsidRPr="00DC5490">
        <w:rPr>
          <w:rFonts w:asciiTheme="majorHAnsi" w:eastAsiaTheme="minorEastAsia" w:hAnsiTheme="majorHAnsi" w:cstheme="majorHAnsi"/>
          <w:b/>
          <w:snapToGrid w:val="0"/>
          <w:sz w:val="20"/>
          <w:szCs w:val="20"/>
          <w:lang w:val="en-US"/>
        </w:rPr>
        <w:t>12 priority indicators</w:t>
      </w:r>
      <w:r w:rsidRPr="00DC5490">
        <w:rPr>
          <w:rFonts w:asciiTheme="majorHAnsi" w:eastAsiaTheme="minorEastAsia" w:hAnsiTheme="majorHAnsi" w:cstheme="majorHAnsi"/>
          <w:snapToGrid w:val="0"/>
          <w:sz w:val="20"/>
          <w:szCs w:val="20"/>
          <w:lang w:val="en-US"/>
        </w:rPr>
        <w:t xml:space="preserve"> of </w:t>
      </w:r>
      <w:r w:rsidRPr="00DC5490">
        <w:rPr>
          <w:rFonts w:asciiTheme="majorHAnsi" w:hAnsiTheme="majorHAnsi" w:cstheme="majorHAnsi"/>
          <w:bCs/>
          <w:snapToGrid w:val="0"/>
          <w:color w:val="000000"/>
          <w:sz w:val="20"/>
          <w:szCs w:val="20"/>
          <w:lang w:val="en-US"/>
        </w:rPr>
        <w:t>the PPST on which RPMS tools and processes are based?</w:t>
      </w:r>
      <w:r w:rsidR="00D434EB">
        <w:rPr>
          <w:rFonts w:asciiTheme="majorHAnsi" w:hAnsiTheme="majorHAnsi" w:cstheme="majorHAnsi"/>
          <w:bCs/>
          <w:snapToGrid w:val="0"/>
          <w:color w:val="000000"/>
          <w:sz w:val="20"/>
          <w:szCs w:val="20"/>
          <w:lang w:val="en-US"/>
        </w:rPr>
        <w:t xml:space="preserve"> </w:t>
      </w:r>
    </w:p>
    <w:p w14:paraId="7A28BCB3" w14:textId="77777777" w:rsidR="008D0CAD" w:rsidRPr="00DC5490" w:rsidRDefault="008D0CAD" w:rsidP="00EA6CB9">
      <w:pPr>
        <w:spacing w:before="100" w:beforeAutospacing="1" w:after="100" w:afterAutospacing="1" w:line="360" w:lineRule="auto"/>
        <w:ind w:left="806"/>
        <w:rPr>
          <w:rFonts w:asciiTheme="majorHAnsi" w:hAnsiTheme="majorHAnsi" w:cstheme="majorHAnsi"/>
          <w:bCs/>
          <w:color w:val="000000"/>
          <w:sz w:val="20"/>
          <w:szCs w:val="20"/>
          <w:lang w:val="en-US"/>
        </w:rPr>
      </w:pPr>
      <w:r w:rsidRPr="00DC5490">
        <w:rPr>
          <w:rFonts w:asciiTheme="majorHAnsi" w:hAnsiTheme="majorHAnsi" w:cstheme="majorHAnsi"/>
          <w:bCs/>
          <w:color w:val="000000"/>
          <w:sz w:val="20"/>
          <w:szCs w:val="20"/>
          <w:lang w:val="en-US"/>
        </w:rPr>
        <w:t xml:space="preserve">____ Yes </w:t>
      </w:r>
      <w:r w:rsidRPr="00DC5490">
        <w:rPr>
          <w:rFonts w:asciiTheme="majorHAnsi" w:hAnsiTheme="majorHAnsi" w:cstheme="majorHAnsi"/>
          <w:bCs/>
          <w:color w:val="000000"/>
          <w:sz w:val="20"/>
          <w:szCs w:val="20"/>
          <w:lang w:val="en-US"/>
        </w:rPr>
        <w:tab/>
      </w:r>
      <w:r w:rsidRPr="00DC5490">
        <w:rPr>
          <w:rFonts w:asciiTheme="majorHAnsi" w:hAnsiTheme="majorHAnsi" w:cstheme="majorHAnsi"/>
          <w:bCs/>
          <w:color w:val="000000"/>
          <w:sz w:val="20"/>
          <w:szCs w:val="20"/>
          <w:lang w:val="en-US"/>
        </w:rPr>
        <w:tab/>
        <w:t>____ No</w:t>
      </w:r>
    </w:p>
    <w:p w14:paraId="07DC0DDA" w14:textId="6F00D8C3" w:rsidR="008D0CAD" w:rsidRPr="00DC5490" w:rsidRDefault="008D0CAD" w:rsidP="00DD08E3">
      <w:pPr>
        <w:numPr>
          <w:ilvl w:val="1"/>
          <w:numId w:val="81"/>
        </w:numPr>
        <w:spacing w:before="100" w:beforeAutospacing="1" w:after="100" w:afterAutospacing="1" w:line="360" w:lineRule="auto"/>
        <w:ind w:left="810"/>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bCs/>
          <w:snapToGrid w:val="0"/>
          <w:color w:val="000000"/>
          <w:sz w:val="20"/>
          <w:szCs w:val="20"/>
          <w:lang w:val="en-US"/>
        </w:rPr>
        <w:t>Have you prepared your Individual Performance Commitment and Review Form (IPCRF)?</w:t>
      </w:r>
      <w:r w:rsidR="00D434EB">
        <w:rPr>
          <w:rFonts w:asciiTheme="majorHAnsi" w:hAnsiTheme="majorHAnsi" w:cstheme="majorHAnsi"/>
          <w:bCs/>
          <w:snapToGrid w:val="0"/>
          <w:color w:val="000000"/>
          <w:sz w:val="20"/>
          <w:szCs w:val="20"/>
          <w:lang w:val="en-US"/>
        </w:rPr>
        <w:t xml:space="preserve"> </w:t>
      </w:r>
      <w:r w:rsidRPr="00DC5490">
        <w:rPr>
          <w:rFonts w:asciiTheme="majorHAnsi" w:hAnsiTheme="majorHAnsi" w:cstheme="majorHAnsi"/>
          <w:bCs/>
          <w:snapToGrid w:val="0"/>
          <w:color w:val="000000"/>
          <w:sz w:val="20"/>
          <w:szCs w:val="20"/>
          <w:lang w:val="en-US"/>
        </w:rPr>
        <w:t>____ Yes</w:t>
      </w:r>
      <w:r w:rsidR="00D434EB">
        <w:rPr>
          <w:rFonts w:asciiTheme="majorHAnsi" w:hAnsiTheme="majorHAnsi" w:cstheme="majorHAnsi"/>
          <w:bCs/>
          <w:snapToGrid w:val="0"/>
          <w:color w:val="000000"/>
          <w:sz w:val="20"/>
          <w:szCs w:val="20"/>
          <w:lang w:val="en-US"/>
        </w:rPr>
        <w:t xml:space="preserve"> </w:t>
      </w:r>
      <w:r w:rsidRPr="00DC5490">
        <w:rPr>
          <w:rFonts w:asciiTheme="majorHAnsi" w:hAnsiTheme="majorHAnsi" w:cstheme="majorHAnsi"/>
          <w:bCs/>
          <w:snapToGrid w:val="0"/>
          <w:color w:val="000000"/>
          <w:sz w:val="20"/>
          <w:szCs w:val="20"/>
          <w:lang w:val="en-US"/>
        </w:rPr>
        <w:t xml:space="preserve"> ____ No</w:t>
      </w:r>
    </w:p>
    <w:p w14:paraId="200C0A30" w14:textId="77777777" w:rsidR="008D0CAD" w:rsidRPr="00DC5490" w:rsidRDefault="008D0CAD" w:rsidP="00DD08E3">
      <w:pPr>
        <w:numPr>
          <w:ilvl w:val="1"/>
          <w:numId w:val="81"/>
        </w:numPr>
        <w:spacing w:before="100" w:beforeAutospacing="1" w:after="100" w:afterAutospacing="1" w:line="360" w:lineRule="auto"/>
        <w:ind w:left="810"/>
        <w:contextualSpacing/>
        <w:rPr>
          <w:rFonts w:asciiTheme="majorHAnsi" w:hAnsiTheme="majorHAnsi" w:cstheme="majorHAnsi"/>
          <w:snapToGrid w:val="0"/>
          <w:sz w:val="20"/>
          <w:szCs w:val="20"/>
          <w:lang w:val="en-US"/>
        </w:rPr>
      </w:pPr>
      <w:r w:rsidRPr="00DC5490">
        <w:rPr>
          <w:rFonts w:asciiTheme="majorHAnsi" w:hAnsiTheme="majorHAnsi" w:cstheme="majorHAnsi"/>
          <w:bCs/>
          <w:snapToGrid w:val="0"/>
          <w:color w:val="000000"/>
          <w:sz w:val="20"/>
          <w:szCs w:val="20"/>
          <w:lang w:val="en-US"/>
        </w:rPr>
        <w:t xml:space="preserve">Can you explain how the IPCRF is related to the PPST? </w:t>
      </w:r>
    </w:p>
    <w:p w14:paraId="08EF8A70" w14:textId="0E889985" w:rsidR="008D0CAD" w:rsidRPr="00DC5490" w:rsidRDefault="008D0CAD" w:rsidP="00DD08E3">
      <w:pPr>
        <w:numPr>
          <w:ilvl w:val="0"/>
          <w:numId w:val="81"/>
        </w:numPr>
        <w:spacing w:before="100" w:beforeAutospacing="1" w:after="100" w:afterAutospacing="1" w:line="360" w:lineRule="auto"/>
        <w:rPr>
          <w:rFonts w:asciiTheme="majorHAnsi" w:hAnsiTheme="majorHAnsi" w:cstheme="majorHAnsi"/>
          <w:snapToGrid w:val="0"/>
          <w:color w:val="000000"/>
          <w:sz w:val="20"/>
          <w:szCs w:val="20"/>
          <w:lang w:val="en-US"/>
        </w:rPr>
      </w:pPr>
      <w:r w:rsidRPr="00DC5490">
        <w:rPr>
          <w:rFonts w:asciiTheme="majorHAnsi" w:hAnsiTheme="majorHAnsi" w:cstheme="majorHAnsi"/>
          <w:snapToGrid w:val="0"/>
          <w:color w:val="000000"/>
          <w:sz w:val="20"/>
          <w:szCs w:val="20"/>
          <w:lang w:val="en-US"/>
        </w:rPr>
        <w:t xml:space="preserve">Have you prepared your </w:t>
      </w:r>
      <w:r w:rsidRPr="00DC5490">
        <w:rPr>
          <w:rFonts w:asciiTheme="majorHAnsi" w:hAnsiTheme="majorHAnsi" w:cstheme="majorHAnsi"/>
          <w:bCs/>
          <w:snapToGrid w:val="0"/>
          <w:color w:val="000000"/>
          <w:sz w:val="20"/>
          <w:szCs w:val="20"/>
          <w:lang w:val="en-US"/>
        </w:rPr>
        <w:t>Self-Assessment Tool (SAT) for teachers?</w:t>
      </w:r>
      <w:r w:rsidR="00D434EB">
        <w:rPr>
          <w:rFonts w:asciiTheme="majorHAnsi" w:hAnsiTheme="majorHAnsi" w:cstheme="majorHAnsi"/>
          <w:bCs/>
          <w:snapToGrid w:val="0"/>
          <w:color w:val="000000"/>
          <w:sz w:val="20"/>
          <w:szCs w:val="20"/>
          <w:lang w:val="en-US"/>
        </w:rPr>
        <w:t xml:space="preserve"> </w:t>
      </w:r>
      <w:r w:rsidRPr="00DC5490">
        <w:rPr>
          <w:rFonts w:asciiTheme="majorHAnsi" w:hAnsiTheme="majorHAnsi" w:cstheme="majorHAnsi"/>
          <w:bCs/>
          <w:snapToGrid w:val="0"/>
          <w:color w:val="000000"/>
          <w:sz w:val="20"/>
          <w:szCs w:val="20"/>
          <w:lang w:val="en-US"/>
        </w:rPr>
        <w:t xml:space="preserve">____ Yes </w:t>
      </w:r>
      <w:r w:rsidRPr="00DC5490">
        <w:rPr>
          <w:rFonts w:asciiTheme="majorHAnsi" w:hAnsiTheme="majorHAnsi" w:cstheme="majorHAnsi"/>
          <w:bCs/>
          <w:snapToGrid w:val="0"/>
          <w:color w:val="000000"/>
          <w:sz w:val="20"/>
          <w:szCs w:val="20"/>
          <w:lang w:val="en-US"/>
        </w:rPr>
        <w:tab/>
        <w:t>____ No</w:t>
      </w:r>
    </w:p>
    <w:p w14:paraId="689EAA99" w14:textId="35B6ABB7" w:rsidR="008D0CAD" w:rsidRPr="00DC5490" w:rsidRDefault="008D0CAD" w:rsidP="00DD08E3">
      <w:pPr>
        <w:numPr>
          <w:ilvl w:val="1"/>
          <w:numId w:val="81"/>
        </w:numPr>
        <w:spacing w:before="100" w:beforeAutospacing="1" w:after="100" w:afterAutospacing="1" w:line="360" w:lineRule="auto"/>
        <w:rPr>
          <w:rFonts w:asciiTheme="majorHAnsi" w:hAnsiTheme="majorHAnsi" w:cstheme="majorHAnsi"/>
          <w:snapToGrid w:val="0"/>
          <w:color w:val="000000"/>
          <w:sz w:val="20"/>
          <w:szCs w:val="20"/>
          <w:lang w:val="en-US"/>
        </w:rPr>
      </w:pPr>
      <w:r w:rsidRPr="00DC5490">
        <w:rPr>
          <w:rFonts w:asciiTheme="majorHAnsi" w:hAnsiTheme="majorHAnsi" w:cstheme="majorHAnsi"/>
          <w:snapToGrid w:val="0"/>
          <w:color w:val="000000"/>
          <w:sz w:val="20"/>
          <w:szCs w:val="20"/>
          <w:lang w:val="en-US"/>
        </w:rPr>
        <w:t>If yes, how did you accomplish it? _______Manually</w:t>
      </w:r>
      <w:r w:rsidR="00D434EB">
        <w:rPr>
          <w:rFonts w:asciiTheme="majorHAnsi" w:hAnsiTheme="majorHAnsi" w:cstheme="majorHAnsi"/>
          <w:snapToGrid w:val="0"/>
          <w:color w:val="000000"/>
          <w:sz w:val="20"/>
          <w:szCs w:val="20"/>
          <w:lang w:val="en-US"/>
        </w:rPr>
        <w:t xml:space="preserve">  </w:t>
      </w:r>
      <w:r w:rsidRPr="00DC5490">
        <w:rPr>
          <w:rFonts w:asciiTheme="majorHAnsi" w:hAnsiTheme="majorHAnsi" w:cstheme="majorHAnsi"/>
          <w:snapToGrid w:val="0"/>
          <w:color w:val="000000"/>
          <w:sz w:val="20"/>
          <w:szCs w:val="20"/>
          <w:lang w:val="en-US"/>
        </w:rPr>
        <w:t xml:space="preserve">______Electronically </w:t>
      </w:r>
    </w:p>
    <w:p w14:paraId="2A03AD77" w14:textId="77777777" w:rsidR="008D0CAD" w:rsidRPr="00DC5490" w:rsidRDefault="008D0CAD" w:rsidP="00DD08E3">
      <w:pPr>
        <w:numPr>
          <w:ilvl w:val="1"/>
          <w:numId w:val="81"/>
        </w:numPr>
        <w:spacing w:before="100" w:beforeAutospacing="1" w:after="100" w:afterAutospacing="1" w:line="360" w:lineRule="auto"/>
        <w:rPr>
          <w:rFonts w:asciiTheme="majorHAnsi" w:hAnsiTheme="majorHAnsi" w:cstheme="majorHAnsi"/>
          <w:snapToGrid w:val="0"/>
          <w:color w:val="000000"/>
          <w:sz w:val="20"/>
          <w:szCs w:val="20"/>
          <w:lang w:val="en-US"/>
        </w:rPr>
      </w:pPr>
      <w:r w:rsidRPr="00DC5490">
        <w:rPr>
          <w:rFonts w:asciiTheme="majorHAnsi" w:hAnsiTheme="majorHAnsi" w:cstheme="majorHAnsi"/>
          <w:bCs/>
          <w:snapToGrid w:val="0"/>
          <w:color w:val="000000"/>
          <w:sz w:val="20"/>
          <w:szCs w:val="20"/>
          <w:lang w:val="en-US"/>
        </w:rPr>
        <w:t xml:space="preserve">Prior to the SAT, what did you use to assess your professional development needs and strengths? </w:t>
      </w:r>
    </w:p>
    <w:p w14:paraId="6A2267B3" w14:textId="77777777" w:rsidR="008D0CAD" w:rsidRPr="00DC5490" w:rsidRDefault="008D0CAD" w:rsidP="00DD08E3">
      <w:pPr>
        <w:numPr>
          <w:ilvl w:val="1"/>
          <w:numId w:val="81"/>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bCs/>
          <w:snapToGrid w:val="0"/>
          <w:color w:val="000000"/>
          <w:sz w:val="20"/>
          <w:szCs w:val="20"/>
          <w:lang w:val="en-US"/>
        </w:rPr>
        <w:t xml:space="preserve">Is the SAT useful to you as a teacher? If yes, how? </w:t>
      </w:r>
    </w:p>
    <w:p w14:paraId="44F12414" w14:textId="3BE6530A" w:rsidR="008D0CAD" w:rsidRPr="00DC5490" w:rsidRDefault="008D0CAD" w:rsidP="00DD08E3">
      <w:pPr>
        <w:numPr>
          <w:ilvl w:val="0"/>
          <w:numId w:val="81"/>
        </w:numPr>
        <w:spacing w:before="100" w:beforeAutospacing="1" w:after="100" w:afterAutospacing="1" w:line="360" w:lineRule="auto"/>
        <w:rPr>
          <w:rFonts w:asciiTheme="majorHAnsi" w:hAnsiTheme="majorHAnsi" w:cstheme="majorHAnsi"/>
          <w:bCs/>
          <w:snapToGrid w:val="0"/>
          <w:color w:val="000000"/>
          <w:sz w:val="20"/>
          <w:szCs w:val="20"/>
          <w:lang w:val="en-US"/>
        </w:rPr>
      </w:pPr>
      <w:r w:rsidRPr="00DC5490">
        <w:rPr>
          <w:rFonts w:asciiTheme="majorHAnsi" w:hAnsiTheme="majorHAnsi" w:cstheme="majorHAnsi"/>
          <w:snapToGrid w:val="0"/>
          <w:color w:val="000000"/>
          <w:sz w:val="20"/>
          <w:szCs w:val="20"/>
          <w:lang w:val="en-US"/>
        </w:rPr>
        <w:t xml:space="preserve">Have you ever been evaluated by your Principal/School Head using the </w:t>
      </w:r>
      <w:r w:rsidRPr="00DC5490">
        <w:rPr>
          <w:rFonts w:asciiTheme="majorHAnsi" w:hAnsiTheme="majorHAnsi" w:cstheme="majorHAnsi"/>
          <w:b/>
          <w:bCs/>
          <w:snapToGrid w:val="0"/>
          <w:color w:val="000000"/>
          <w:sz w:val="20"/>
          <w:szCs w:val="20"/>
          <w:lang w:val="en-US"/>
        </w:rPr>
        <w:t>Classroom Observation Tool (COT) of the RPMS</w:t>
      </w:r>
      <w:r w:rsidRPr="00DC5490">
        <w:rPr>
          <w:rFonts w:asciiTheme="majorHAnsi" w:hAnsiTheme="majorHAnsi" w:cstheme="majorHAnsi"/>
          <w:bCs/>
          <w:snapToGrid w:val="0"/>
          <w:color w:val="000000"/>
          <w:sz w:val="20"/>
          <w:szCs w:val="20"/>
          <w:lang w:val="en-US"/>
        </w:rPr>
        <w:t>?</w:t>
      </w:r>
      <w:r w:rsidR="00D434EB">
        <w:rPr>
          <w:rFonts w:asciiTheme="majorHAnsi" w:hAnsiTheme="majorHAnsi" w:cstheme="majorHAnsi"/>
          <w:bCs/>
          <w:snapToGrid w:val="0"/>
          <w:color w:val="000000"/>
          <w:sz w:val="20"/>
          <w:szCs w:val="20"/>
          <w:lang w:val="en-US"/>
        </w:rPr>
        <w:t xml:space="preserve"> </w:t>
      </w:r>
      <w:r w:rsidRPr="00DC5490">
        <w:rPr>
          <w:rFonts w:asciiTheme="majorHAnsi" w:hAnsiTheme="majorHAnsi" w:cstheme="majorHAnsi"/>
          <w:bCs/>
          <w:snapToGrid w:val="0"/>
          <w:color w:val="000000"/>
          <w:sz w:val="20"/>
          <w:szCs w:val="20"/>
          <w:lang w:val="en-US"/>
        </w:rPr>
        <w:t xml:space="preserve"> ____ Yes </w:t>
      </w:r>
      <w:r w:rsidRPr="00DC5490">
        <w:rPr>
          <w:rFonts w:asciiTheme="majorHAnsi" w:hAnsiTheme="majorHAnsi" w:cstheme="majorHAnsi"/>
          <w:bCs/>
          <w:snapToGrid w:val="0"/>
          <w:color w:val="000000"/>
          <w:sz w:val="20"/>
          <w:szCs w:val="20"/>
          <w:lang w:val="en-US"/>
        </w:rPr>
        <w:tab/>
      </w:r>
      <w:r w:rsidRPr="00DC5490">
        <w:rPr>
          <w:rFonts w:asciiTheme="majorHAnsi" w:hAnsiTheme="majorHAnsi" w:cstheme="majorHAnsi"/>
          <w:bCs/>
          <w:snapToGrid w:val="0"/>
          <w:color w:val="000000"/>
          <w:sz w:val="20"/>
          <w:szCs w:val="20"/>
          <w:lang w:val="en-US"/>
        </w:rPr>
        <w:tab/>
        <w:t xml:space="preserve">____ No </w:t>
      </w:r>
    </w:p>
    <w:p w14:paraId="7201FC3D" w14:textId="77777777" w:rsidR="008D0CAD" w:rsidRPr="00DC5490" w:rsidRDefault="008D0CAD" w:rsidP="00DD08E3">
      <w:pPr>
        <w:numPr>
          <w:ilvl w:val="1"/>
          <w:numId w:val="81"/>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bCs/>
          <w:snapToGrid w:val="0"/>
          <w:color w:val="000000"/>
          <w:sz w:val="20"/>
          <w:szCs w:val="20"/>
          <w:lang w:val="en-US"/>
        </w:rPr>
        <w:t xml:space="preserve">If yes, how often are you evaluated using the COT? </w:t>
      </w:r>
    </w:p>
    <w:p w14:paraId="51369C5B" w14:textId="6C23BE9B" w:rsidR="008D0CAD" w:rsidRDefault="008D0CAD" w:rsidP="00EA6CB9">
      <w:pPr>
        <w:spacing w:before="100" w:beforeAutospacing="1" w:after="100" w:afterAutospacing="1" w:line="360" w:lineRule="auto"/>
        <w:ind w:left="432" w:firstLine="360"/>
        <w:rPr>
          <w:rFonts w:asciiTheme="majorHAnsi" w:hAnsiTheme="majorHAnsi" w:cstheme="majorHAnsi"/>
          <w:bCs/>
          <w:color w:val="000000"/>
          <w:sz w:val="20"/>
          <w:szCs w:val="20"/>
          <w:lang w:val="en-US"/>
        </w:rPr>
      </w:pPr>
      <w:r w:rsidRPr="00DC5490">
        <w:rPr>
          <w:rFonts w:asciiTheme="majorHAnsi" w:hAnsiTheme="majorHAnsi" w:cstheme="majorHAnsi"/>
          <w:bCs/>
          <w:color w:val="000000"/>
          <w:sz w:val="20"/>
          <w:szCs w:val="20"/>
          <w:lang w:val="en-US"/>
        </w:rPr>
        <w:t>___ Quarterly</w:t>
      </w:r>
      <w:r w:rsidR="00D434EB">
        <w:rPr>
          <w:rFonts w:asciiTheme="majorHAnsi" w:hAnsiTheme="majorHAnsi" w:cstheme="majorHAnsi"/>
          <w:bCs/>
          <w:color w:val="000000"/>
          <w:sz w:val="20"/>
          <w:szCs w:val="20"/>
          <w:lang w:val="en-US"/>
        </w:rPr>
        <w:t xml:space="preserve"> </w:t>
      </w:r>
      <w:r w:rsidRPr="00DC5490">
        <w:rPr>
          <w:rFonts w:asciiTheme="majorHAnsi" w:hAnsiTheme="majorHAnsi" w:cstheme="majorHAnsi"/>
          <w:bCs/>
          <w:color w:val="000000"/>
          <w:sz w:val="20"/>
          <w:szCs w:val="20"/>
          <w:lang w:val="en-US"/>
        </w:rPr>
        <w:t xml:space="preserve"> ___ Semi-Annually</w:t>
      </w:r>
      <w:r w:rsidR="00D434EB">
        <w:rPr>
          <w:rFonts w:asciiTheme="majorHAnsi" w:hAnsiTheme="majorHAnsi" w:cstheme="majorHAnsi"/>
          <w:bCs/>
          <w:color w:val="000000"/>
          <w:sz w:val="20"/>
          <w:szCs w:val="20"/>
          <w:lang w:val="en-US"/>
        </w:rPr>
        <w:t xml:space="preserve"> </w:t>
      </w:r>
      <w:r w:rsidRPr="00DC5490">
        <w:rPr>
          <w:rFonts w:asciiTheme="majorHAnsi" w:hAnsiTheme="majorHAnsi" w:cstheme="majorHAnsi"/>
          <w:bCs/>
          <w:color w:val="000000"/>
          <w:sz w:val="20"/>
          <w:szCs w:val="20"/>
          <w:lang w:val="en-US"/>
        </w:rPr>
        <w:t xml:space="preserve"> ___ Annually</w:t>
      </w:r>
      <w:r w:rsidR="00D434EB">
        <w:rPr>
          <w:rFonts w:asciiTheme="majorHAnsi" w:hAnsiTheme="majorHAnsi" w:cstheme="majorHAnsi"/>
          <w:bCs/>
          <w:color w:val="000000"/>
          <w:sz w:val="20"/>
          <w:szCs w:val="20"/>
          <w:lang w:val="en-US"/>
        </w:rPr>
        <w:t xml:space="preserve">  </w:t>
      </w:r>
      <w:r w:rsidRPr="00DC5490">
        <w:rPr>
          <w:rFonts w:asciiTheme="majorHAnsi" w:hAnsiTheme="majorHAnsi" w:cstheme="majorHAnsi"/>
          <w:bCs/>
          <w:color w:val="000000"/>
          <w:sz w:val="20"/>
          <w:szCs w:val="20"/>
          <w:lang w:val="en-US"/>
        </w:rPr>
        <w:t>___ Others, __________________</w:t>
      </w:r>
    </w:p>
    <w:p w14:paraId="5CEC3E16" w14:textId="77777777" w:rsidR="008D0CAD" w:rsidRPr="00DC5490" w:rsidRDefault="008D0CAD" w:rsidP="00DD08E3">
      <w:pPr>
        <w:numPr>
          <w:ilvl w:val="1"/>
          <w:numId w:val="81"/>
        </w:numPr>
        <w:spacing w:before="100" w:beforeAutospacing="1" w:after="100" w:afterAutospacing="1" w:line="360" w:lineRule="auto"/>
        <w:rPr>
          <w:rFonts w:asciiTheme="majorHAnsi" w:hAnsiTheme="majorHAnsi" w:cstheme="majorHAnsi"/>
          <w:bCs/>
          <w:snapToGrid w:val="0"/>
          <w:color w:val="000000"/>
          <w:sz w:val="20"/>
          <w:szCs w:val="20"/>
          <w:lang w:val="en-US"/>
        </w:rPr>
      </w:pPr>
      <w:r w:rsidRPr="00DC5490">
        <w:rPr>
          <w:rFonts w:asciiTheme="majorHAnsi" w:hAnsiTheme="majorHAnsi" w:cstheme="majorHAnsi"/>
          <w:bCs/>
          <w:snapToGrid w:val="0"/>
          <w:color w:val="000000"/>
          <w:sz w:val="20"/>
          <w:szCs w:val="20"/>
          <w:lang w:val="en-US"/>
        </w:rPr>
        <w:t xml:space="preserve">Do you think that the COT is sufficient to evaluate the performance of teachers in the classroom? </w:t>
      </w:r>
    </w:p>
    <w:p w14:paraId="6E16AF47" w14:textId="1D2FB9A4" w:rsidR="008D0CAD" w:rsidRPr="00DC5490" w:rsidRDefault="008D0CAD" w:rsidP="00EA6CB9">
      <w:pPr>
        <w:spacing w:before="100" w:beforeAutospacing="1" w:after="100" w:afterAutospacing="1" w:line="360" w:lineRule="auto"/>
        <w:ind w:left="432" w:firstLine="360"/>
        <w:rPr>
          <w:rFonts w:asciiTheme="majorHAnsi" w:hAnsiTheme="majorHAnsi" w:cstheme="majorHAnsi"/>
          <w:bCs/>
          <w:color w:val="000000"/>
          <w:sz w:val="20"/>
          <w:szCs w:val="20"/>
          <w:lang w:val="en-US"/>
        </w:rPr>
      </w:pPr>
      <w:r w:rsidRPr="00DC5490">
        <w:rPr>
          <w:rFonts w:asciiTheme="majorHAnsi" w:hAnsiTheme="majorHAnsi" w:cstheme="majorHAnsi"/>
          <w:bCs/>
          <w:color w:val="000000"/>
          <w:sz w:val="20"/>
          <w:szCs w:val="20"/>
          <w:lang w:val="en-US"/>
        </w:rPr>
        <w:t>___ Yes</w:t>
      </w:r>
      <w:r w:rsidR="00D434EB">
        <w:rPr>
          <w:rFonts w:asciiTheme="majorHAnsi" w:hAnsiTheme="majorHAnsi" w:cstheme="majorHAnsi"/>
          <w:bCs/>
          <w:color w:val="000000"/>
          <w:sz w:val="20"/>
          <w:szCs w:val="20"/>
          <w:lang w:val="en-US"/>
        </w:rPr>
        <w:t xml:space="preserve"> </w:t>
      </w:r>
      <w:r w:rsidRPr="00DC5490">
        <w:rPr>
          <w:rFonts w:asciiTheme="majorHAnsi" w:hAnsiTheme="majorHAnsi" w:cstheme="majorHAnsi"/>
          <w:bCs/>
          <w:color w:val="000000"/>
          <w:sz w:val="20"/>
          <w:szCs w:val="20"/>
          <w:lang w:val="en-US"/>
        </w:rPr>
        <w:t xml:space="preserve"> ___ No</w:t>
      </w:r>
      <w:r w:rsidR="00D434EB">
        <w:rPr>
          <w:rFonts w:asciiTheme="majorHAnsi" w:hAnsiTheme="majorHAnsi" w:cstheme="majorHAnsi"/>
          <w:bCs/>
          <w:color w:val="000000"/>
          <w:sz w:val="20"/>
          <w:szCs w:val="20"/>
          <w:lang w:val="en-US"/>
        </w:rPr>
        <w:t xml:space="preserve">  </w:t>
      </w:r>
    </w:p>
    <w:p w14:paraId="774F1619" w14:textId="77777777" w:rsidR="008D0CAD" w:rsidRPr="00DC5490" w:rsidRDefault="008D0CAD" w:rsidP="00DD08E3">
      <w:pPr>
        <w:numPr>
          <w:ilvl w:val="1"/>
          <w:numId w:val="81"/>
        </w:numPr>
        <w:spacing w:before="100" w:beforeAutospacing="1" w:after="100" w:afterAutospacing="1" w:line="360" w:lineRule="auto"/>
        <w:rPr>
          <w:rFonts w:asciiTheme="majorHAnsi" w:hAnsiTheme="majorHAnsi" w:cstheme="majorHAnsi"/>
          <w:bCs/>
          <w:snapToGrid w:val="0"/>
          <w:color w:val="000000"/>
          <w:sz w:val="20"/>
          <w:szCs w:val="20"/>
          <w:lang w:val="en-US"/>
        </w:rPr>
      </w:pPr>
      <w:r w:rsidRPr="00DC5490">
        <w:rPr>
          <w:rFonts w:asciiTheme="majorHAnsi" w:hAnsiTheme="majorHAnsi" w:cstheme="majorHAnsi"/>
          <w:bCs/>
          <w:snapToGrid w:val="0"/>
          <w:color w:val="000000"/>
          <w:sz w:val="20"/>
          <w:szCs w:val="20"/>
          <w:lang w:val="en-US"/>
        </w:rPr>
        <w:t xml:space="preserve">Please explain why yes or why not? </w:t>
      </w:r>
    </w:p>
    <w:p w14:paraId="300FBF15" w14:textId="2CE63A1F" w:rsidR="008D0CAD" w:rsidRPr="00DC5490" w:rsidRDefault="008D0CAD" w:rsidP="00DD08E3">
      <w:pPr>
        <w:numPr>
          <w:ilvl w:val="1"/>
          <w:numId w:val="81"/>
        </w:numPr>
        <w:spacing w:before="100" w:beforeAutospacing="1" w:after="100" w:afterAutospacing="1" w:line="360" w:lineRule="auto"/>
        <w:rPr>
          <w:rFonts w:asciiTheme="majorHAnsi" w:hAnsiTheme="majorHAnsi" w:cstheme="majorHAnsi"/>
          <w:bCs/>
          <w:snapToGrid w:val="0"/>
          <w:color w:val="000000"/>
          <w:sz w:val="20"/>
          <w:szCs w:val="20"/>
          <w:lang w:val="en-US"/>
        </w:rPr>
      </w:pPr>
      <w:r w:rsidRPr="00DC5490">
        <w:rPr>
          <w:rFonts w:asciiTheme="majorHAnsi" w:hAnsiTheme="majorHAnsi" w:cstheme="majorHAnsi"/>
          <w:bCs/>
          <w:snapToGrid w:val="0"/>
          <w:color w:val="000000"/>
          <w:sz w:val="20"/>
          <w:szCs w:val="20"/>
          <w:lang w:val="en-US"/>
        </w:rPr>
        <w:t>Have you prepared your Portfolio?</w:t>
      </w:r>
      <w:r w:rsidR="00D434EB">
        <w:rPr>
          <w:rFonts w:asciiTheme="majorHAnsi" w:hAnsiTheme="majorHAnsi" w:cstheme="majorHAnsi"/>
          <w:bCs/>
          <w:snapToGrid w:val="0"/>
          <w:color w:val="000000"/>
          <w:sz w:val="20"/>
          <w:szCs w:val="20"/>
          <w:lang w:val="en-US"/>
        </w:rPr>
        <w:t xml:space="preserve"> </w:t>
      </w:r>
      <w:r w:rsidRPr="00DC5490">
        <w:rPr>
          <w:rFonts w:asciiTheme="majorHAnsi" w:hAnsiTheme="majorHAnsi" w:cstheme="majorHAnsi"/>
          <w:bCs/>
          <w:snapToGrid w:val="0"/>
          <w:color w:val="000000"/>
          <w:sz w:val="20"/>
          <w:szCs w:val="20"/>
          <w:lang w:val="en-US"/>
        </w:rPr>
        <w:t>___ Yes</w:t>
      </w:r>
      <w:r w:rsidR="00D434EB">
        <w:rPr>
          <w:rFonts w:asciiTheme="majorHAnsi" w:hAnsiTheme="majorHAnsi" w:cstheme="majorHAnsi"/>
          <w:bCs/>
          <w:snapToGrid w:val="0"/>
          <w:color w:val="000000"/>
          <w:sz w:val="20"/>
          <w:szCs w:val="20"/>
          <w:lang w:val="en-US"/>
        </w:rPr>
        <w:t xml:space="preserve"> </w:t>
      </w:r>
      <w:r w:rsidRPr="00DC5490">
        <w:rPr>
          <w:rFonts w:asciiTheme="majorHAnsi" w:hAnsiTheme="majorHAnsi" w:cstheme="majorHAnsi"/>
          <w:bCs/>
          <w:snapToGrid w:val="0"/>
          <w:color w:val="000000"/>
          <w:sz w:val="20"/>
          <w:szCs w:val="20"/>
          <w:lang w:val="en-US"/>
        </w:rPr>
        <w:t xml:space="preserve"> ___ No</w:t>
      </w:r>
    </w:p>
    <w:p w14:paraId="67226829" w14:textId="77777777" w:rsidR="008D0CAD" w:rsidRPr="00DC5490" w:rsidRDefault="008D0CAD" w:rsidP="00DD08E3">
      <w:pPr>
        <w:numPr>
          <w:ilvl w:val="1"/>
          <w:numId w:val="81"/>
        </w:numPr>
        <w:spacing w:before="100" w:beforeAutospacing="1" w:after="100" w:afterAutospacing="1" w:line="360" w:lineRule="auto"/>
        <w:rPr>
          <w:rFonts w:asciiTheme="majorHAnsi" w:hAnsiTheme="majorHAnsi" w:cstheme="majorHAnsi"/>
          <w:bCs/>
          <w:snapToGrid w:val="0"/>
          <w:color w:val="000000"/>
          <w:sz w:val="20"/>
          <w:szCs w:val="20"/>
          <w:lang w:val="en-US"/>
        </w:rPr>
      </w:pPr>
      <w:r w:rsidRPr="00DC5490">
        <w:rPr>
          <w:rFonts w:asciiTheme="majorHAnsi" w:hAnsiTheme="majorHAnsi" w:cstheme="majorHAnsi"/>
          <w:bCs/>
          <w:snapToGrid w:val="0"/>
          <w:color w:val="000000"/>
          <w:sz w:val="20"/>
          <w:szCs w:val="20"/>
          <w:lang w:val="en-US"/>
        </w:rPr>
        <w:t xml:space="preserve">If yes, please describe the processes and requirements for preparing your Portfolio. _______________ </w:t>
      </w:r>
    </w:p>
    <w:p w14:paraId="2E02DD70" w14:textId="175088B6" w:rsidR="008D0CAD" w:rsidRPr="00DC5490" w:rsidRDefault="008D0CAD" w:rsidP="00DD08E3">
      <w:pPr>
        <w:numPr>
          <w:ilvl w:val="1"/>
          <w:numId w:val="81"/>
        </w:numPr>
        <w:spacing w:before="100" w:beforeAutospacing="1" w:after="100" w:afterAutospacing="1" w:line="360" w:lineRule="auto"/>
        <w:rPr>
          <w:rFonts w:asciiTheme="majorHAnsi" w:hAnsiTheme="majorHAnsi" w:cstheme="majorHAnsi"/>
          <w:bCs/>
          <w:snapToGrid w:val="0"/>
          <w:color w:val="000000"/>
          <w:sz w:val="20"/>
          <w:szCs w:val="20"/>
          <w:lang w:val="en-US"/>
        </w:rPr>
      </w:pPr>
      <w:r w:rsidRPr="00DC5490">
        <w:rPr>
          <w:rFonts w:asciiTheme="majorHAnsi" w:hAnsiTheme="majorHAnsi" w:cstheme="majorHAnsi"/>
          <w:bCs/>
          <w:snapToGrid w:val="0"/>
          <w:color w:val="000000"/>
          <w:sz w:val="20"/>
          <w:szCs w:val="20"/>
          <w:lang w:val="en-US"/>
        </w:rPr>
        <w:t>What did you find easy in preparing your Portfolio?</w:t>
      </w:r>
      <w:r w:rsidR="00D434EB">
        <w:rPr>
          <w:rFonts w:asciiTheme="majorHAnsi" w:hAnsiTheme="majorHAnsi" w:cstheme="majorHAnsi"/>
          <w:bCs/>
          <w:snapToGrid w:val="0"/>
          <w:color w:val="000000"/>
          <w:sz w:val="20"/>
          <w:szCs w:val="20"/>
          <w:lang w:val="en-US"/>
        </w:rPr>
        <w:t xml:space="preserve"> </w:t>
      </w:r>
      <w:r w:rsidRPr="00DC5490">
        <w:rPr>
          <w:rFonts w:asciiTheme="majorHAnsi" w:hAnsiTheme="majorHAnsi" w:cstheme="majorHAnsi"/>
          <w:bCs/>
          <w:snapToGrid w:val="0"/>
          <w:color w:val="000000"/>
          <w:sz w:val="20"/>
          <w:szCs w:val="20"/>
          <w:lang w:val="en-US"/>
        </w:rPr>
        <w:t>__________________________________________</w:t>
      </w:r>
    </w:p>
    <w:p w14:paraId="3EF5E4C9" w14:textId="77777777" w:rsidR="008D0CAD" w:rsidRPr="00DC5490" w:rsidRDefault="008D0CAD" w:rsidP="00DD08E3">
      <w:pPr>
        <w:numPr>
          <w:ilvl w:val="1"/>
          <w:numId w:val="81"/>
        </w:numPr>
        <w:spacing w:before="100" w:beforeAutospacing="1" w:after="100" w:afterAutospacing="1" w:line="360" w:lineRule="auto"/>
        <w:rPr>
          <w:rFonts w:asciiTheme="majorHAnsi" w:hAnsiTheme="majorHAnsi" w:cstheme="majorHAnsi"/>
          <w:bCs/>
          <w:snapToGrid w:val="0"/>
          <w:color w:val="000000"/>
          <w:sz w:val="20"/>
          <w:szCs w:val="20"/>
          <w:lang w:val="en-US"/>
        </w:rPr>
      </w:pPr>
      <w:r w:rsidRPr="00DC5490">
        <w:rPr>
          <w:rFonts w:asciiTheme="majorHAnsi" w:hAnsiTheme="majorHAnsi" w:cstheme="majorHAnsi"/>
          <w:bCs/>
          <w:snapToGrid w:val="0"/>
          <w:color w:val="000000"/>
          <w:sz w:val="20"/>
          <w:szCs w:val="20"/>
          <w:lang w:val="en-US"/>
        </w:rPr>
        <w:t>What did you find difficult in preparing your Portfolio? ________________________________________</w:t>
      </w:r>
    </w:p>
    <w:p w14:paraId="7A56B75A" w14:textId="77777777" w:rsidR="008D0CAD" w:rsidRPr="00DC5490" w:rsidRDefault="008D0CAD" w:rsidP="00DD08E3">
      <w:pPr>
        <w:numPr>
          <w:ilvl w:val="0"/>
          <w:numId w:val="81"/>
        </w:numPr>
        <w:spacing w:before="100" w:beforeAutospacing="1" w:after="100" w:afterAutospacing="1" w:line="360" w:lineRule="auto"/>
        <w:rPr>
          <w:rFonts w:asciiTheme="majorHAnsi" w:hAnsiTheme="majorHAnsi" w:cstheme="majorHAnsi"/>
          <w:bCs/>
          <w:snapToGrid w:val="0"/>
          <w:color w:val="000000"/>
          <w:sz w:val="20"/>
          <w:szCs w:val="20"/>
          <w:lang w:val="en-US"/>
        </w:rPr>
      </w:pPr>
      <w:r w:rsidRPr="00DC5490">
        <w:rPr>
          <w:rFonts w:asciiTheme="majorHAnsi" w:hAnsiTheme="majorHAnsi" w:cstheme="majorHAnsi"/>
          <w:bCs/>
          <w:snapToGrid w:val="0"/>
          <w:color w:val="000000"/>
          <w:sz w:val="20"/>
          <w:szCs w:val="20"/>
          <w:lang w:val="en-US"/>
        </w:rPr>
        <w:t>Please describe how you were trained to meet the RPMS requirements for the following:</w:t>
      </w:r>
    </w:p>
    <w:tbl>
      <w:tblPr>
        <w:tblStyle w:val="TableGrid9"/>
        <w:tblW w:w="0" w:type="auto"/>
        <w:tblInd w:w="445" w:type="dxa"/>
        <w:tblLook w:val="04A0" w:firstRow="1" w:lastRow="0" w:firstColumn="1" w:lastColumn="0" w:noHBand="0" w:noVBand="1"/>
      </w:tblPr>
      <w:tblGrid>
        <w:gridCol w:w="2905"/>
        <w:gridCol w:w="1051"/>
        <w:gridCol w:w="1009"/>
        <w:gridCol w:w="786"/>
        <w:gridCol w:w="1313"/>
        <w:gridCol w:w="1501"/>
      </w:tblGrid>
      <w:tr w:rsidR="004D6276" w:rsidRPr="00DC5490" w14:paraId="22E9021D" w14:textId="77777777" w:rsidTr="004D6276">
        <w:trPr>
          <w:trHeight w:val="492"/>
        </w:trPr>
        <w:tc>
          <w:tcPr>
            <w:tcW w:w="2905" w:type="dxa"/>
            <w:tcBorders>
              <w:bottom w:val="nil"/>
            </w:tcBorders>
            <w:shd w:val="clear" w:color="auto" w:fill="E7E6E6" w:themeFill="background2"/>
          </w:tcPr>
          <w:p w14:paraId="3EA1C47E"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p>
        </w:tc>
        <w:tc>
          <w:tcPr>
            <w:tcW w:w="1051" w:type="dxa"/>
            <w:tcBorders>
              <w:right w:val="nil"/>
            </w:tcBorders>
            <w:shd w:val="clear" w:color="auto" w:fill="E7E6E6" w:themeFill="background2"/>
            <w:vAlign w:val="center"/>
          </w:tcPr>
          <w:p w14:paraId="5EFBFA5D" w14:textId="79EDFCE5"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p>
        </w:tc>
        <w:tc>
          <w:tcPr>
            <w:tcW w:w="1009" w:type="dxa"/>
            <w:tcBorders>
              <w:left w:val="nil"/>
              <w:right w:val="nil"/>
            </w:tcBorders>
            <w:shd w:val="clear" w:color="auto" w:fill="E7E6E6" w:themeFill="background2"/>
            <w:vAlign w:val="center"/>
          </w:tcPr>
          <w:p w14:paraId="03C0A931" w14:textId="3A0BC604" w:rsidR="008D0CAD" w:rsidRPr="00DC5490" w:rsidRDefault="004D6276" w:rsidP="00EA6CB9">
            <w:pPr>
              <w:spacing w:before="100" w:beforeAutospacing="1" w:after="100" w:afterAutospacing="1" w:line="360" w:lineRule="auto"/>
              <w:rPr>
                <w:rFonts w:asciiTheme="majorHAnsi" w:hAnsiTheme="majorHAnsi" w:cstheme="majorHAnsi"/>
                <w:bCs/>
                <w:color w:val="000000"/>
                <w:sz w:val="16"/>
                <w:szCs w:val="16"/>
                <w:lang w:val="en-US"/>
              </w:rPr>
            </w:pPr>
            <w:r>
              <w:rPr>
                <w:rFonts w:asciiTheme="majorHAnsi" w:hAnsiTheme="majorHAnsi" w:cstheme="majorHAnsi"/>
                <w:bCs/>
                <w:color w:val="000000"/>
                <w:sz w:val="16"/>
                <w:szCs w:val="16"/>
                <w:lang w:val="en-US"/>
              </w:rPr>
              <w:t>Mode of</w:t>
            </w:r>
          </w:p>
        </w:tc>
        <w:tc>
          <w:tcPr>
            <w:tcW w:w="786" w:type="dxa"/>
            <w:tcBorders>
              <w:left w:val="nil"/>
              <w:right w:val="nil"/>
            </w:tcBorders>
            <w:shd w:val="clear" w:color="auto" w:fill="E7E6E6" w:themeFill="background2"/>
            <w:vAlign w:val="center"/>
          </w:tcPr>
          <w:p w14:paraId="11276364" w14:textId="70B865C9" w:rsidR="008D0CAD" w:rsidRPr="00DC5490" w:rsidRDefault="004D6276" w:rsidP="00EA6CB9">
            <w:pPr>
              <w:spacing w:before="100" w:beforeAutospacing="1" w:after="100" w:afterAutospacing="1" w:line="360" w:lineRule="auto"/>
              <w:rPr>
                <w:rFonts w:asciiTheme="majorHAnsi" w:hAnsiTheme="majorHAnsi" w:cstheme="majorHAnsi"/>
                <w:bCs/>
                <w:color w:val="000000"/>
                <w:sz w:val="16"/>
                <w:szCs w:val="16"/>
                <w:lang w:val="en-US"/>
              </w:rPr>
            </w:pPr>
            <w:r>
              <w:rPr>
                <w:rFonts w:asciiTheme="majorHAnsi" w:hAnsiTheme="majorHAnsi" w:cstheme="majorHAnsi"/>
                <w:bCs/>
                <w:color w:val="000000"/>
                <w:sz w:val="16"/>
                <w:szCs w:val="16"/>
                <w:lang w:val="en-US"/>
              </w:rPr>
              <w:t>Training</w:t>
            </w:r>
          </w:p>
        </w:tc>
        <w:tc>
          <w:tcPr>
            <w:tcW w:w="1313" w:type="dxa"/>
            <w:tcBorders>
              <w:left w:val="nil"/>
            </w:tcBorders>
            <w:shd w:val="clear" w:color="auto" w:fill="E7E6E6" w:themeFill="background2"/>
            <w:vAlign w:val="center"/>
          </w:tcPr>
          <w:p w14:paraId="2F1CBBB6" w14:textId="6D25C428"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p>
        </w:tc>
        <w:tc>
          <w:tcPr>
            <w:tcW w:w="1501" w:type="dxa"/>
            <w:shd w:val="clear" w:color="auto" w:fill="E7E6E6" w:themeFill="background2"/>
            <w:vAlign w:val="center"/>
          </w:tcPr>
          <w:p w14:paraId="7C59FA6C"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sz w:val="16"/>
                <w:szCs w:val="16"/>
                <w:lang w:val="en-US"/>
              </w:rPr>
            </w:pPr>
          </w:p>
        </w:tc>
      </w:tr>
      <w:tr w:rsidR="000D0CE8" w:rsidRPr="00DC5490" w14:paraId="2E77C807" w14:textId="77777777" w:rsidTr="00FF4CA3">
        <w:trPr>
          <w:trHeight w:val="252"/>
        </w:trPr>
        <w:tc>
          <w:tcPr>
            <w:tcW w:w="2905" w:type="dxa"/>
            <w:tcBorders>
              <w:top w:val="nil"/>
            </w:tcBorders>
            <w:shd w:val="clear" w:color="auto" w:fill="E7E6E6" w:themeFill="background2"/>
          </w:tcPr>
          <w:p w14:paraId="6D686321" w14:textId="5C632CB0" w:rsidR="004D6276" w:rsidRPr="00DC5490" w:rsidRDefault="004D6276" w:rsidP="00FF4CA3">
            <w:pPr>
              <w:spacing w:before="100" w:beforeAutospacing="1" w:after="100" w:afterAutospacing="1" w:line="360" w:lineRule="auto"/>
              <w:ind w:left="360"/>
              <w:contextualSpacing/>
              <w:rPr>
                <w:rFonts w:asciiTheme="majorHAnsi" w:hAnsiTheme="majorHAnsi" w:cstheme="majorHAnsi"/>
                <w:bCs/>
                <w:snapToGrid w:val="0"/>
                <w:color w:val="000000"/>
                <w:sz w:val="16"/>
                <w:szCs w:val="16"/>
                <w:lang w:val="en-US"/>
              </w:rPr>
            </w:pPr>
            <w:r w:rsidRPr="00DC5490">
              <w:rPr>
                <w:rFonts w:asciiTheme="majorHAnsi" w:hAnsiTheme="majorHAnsi" w:cstheme="majorHAnsi"/>
                <w:bCs/>
                <w:color w:val="000000"/>
                <w:sz w:val="16"/>
                <w:szCs w:val="16"/>
                <w:lang w:val="en-US"/>
              </w:rPr>
              <w:t>RPMS Tools</w:t>
            </w:r>
          </w:p>
        </w:tc>
        <w:tc>
          <w:tcPr>
            <w:tcW w:w="1051" w:type="dxa"/>
            <w:shd w:val="clear" w:color="auto" w:fill="E7E6E6" w:themeFill="background2"/>
            <w:vAlign w:val="center"/>
          </w:tcPr>
          <w:p w14:paraId="58AFD496" w14:textId="0D1B6679" w:rsidR="004D6276" w:rsidRPr="00DC5490" w:rsidRDefault="004D6276" w:rsidP="004D6276">
            <w:pPr>
              <w:spacing w:before="100" w:beforeAutospacing="1" w:after="100" w:afterAutospacing="1" w:line="360" w:lineRule="auto"/>
              <w:rPr>
                <w:rFonts w:asciiTheme="majorHAnsi" w:hAnsiTheme="majorHAnsi" w:cstheme="majorHAnsi"/>
                <w:bCs/>
                <w:color w:val="000000"/>
                <w:sz w:val="16"/>
                <w:szCs w:val="16"/>
                <w:lang w:val="en-US"/>
              </w:rPr>
            </w:pPr>
            <w:r w:rsidRPr="00DC5490">
              <w:rPr>
                <w:rFonts w:asciiTheme="majorHAnsi" w:hAnsiTheme="majorHAnsi" w:cstheme="majorHAnsi"/>
                <w:bCs/>
                <w:color w:val="000000"/>
                <w:sz w:val="16"/>
                <w:szCs w:val="16"/>
                <w:lang w:val="en-US"/>
              </w:rPr>
              <w:t>Face to face training</w:t>
            </w:r>
          </w:p>
        </w:tc>
        <w:tc>
          <w:tcPr>
            <w:tcW w:w="1009" w:type="dxa"/>
            <w:shd w:val="clear" w:color="auto" w:fill="E7E6E6" w:themeFill="background2"/>
            <w:vAlign w:val="center"/>
          </w:tcPr>
          <w:p w14:paraId="6C7B5209" w14:textId="6F36DB0A" w:rsidR="004D6276" w:rsidRPr="00DC5490" w:rsidRDefault="004D6276" w:rsidP="004D6276">
            <w:pPr>
              <w:spacing w:before="100" w:beforeAutospacing="1" w:after="100" w:afterAutospacing="1" w:line="360" w:lineRule="auto"/>
              <w:rPr>
                <w:rFonts w:asciiTheme="majorHAnsi" w:hAnsiTheme="majorHAnsi" w:cstheme="majorHAnsi"/>
                <w:bCs/>
                <w:color w:val="000000"/>
                <w:sz w:val="16"/>
                <w:szCs w:val="16"/>
                <w:lang w:val="en-US"/>
              </w:rPr>
            </w:pPr>
            <w:r w:rsidRPr="00DC5490">
              <w:rPr>
                <w:rFonts w:asciiTheme="majorHAnsi" w:hAnsiTheme="majorHAnsi" w:cstheme="majorHAnsi"/>
                <w:bCs/>
                <w:color w:val="000000"/>
                <w:sz w:val="16"/>
                <w:szCs w:val="16"/>
                <w:lang w:val="en-US"/>
              </w:rPr>
              <w:t>Coaching</w:t>
            </w:r>
          </w:p>
        </w:tc>
        <w:tc>
          <w:tcPr>
            <w:tcW w:w="786" w:type="dxa"/>
            <w:shd w:val="clear" w:color="auto" w:fill="E7E6E6" w:themeFill="background2"/>
            <w:vAlign w:val="center"/>
          </w:tcPr>
          <w:p w14:paraId="5207116A" w14:textId="267DF97C" w:rsidR="004D6276" w:rsidRPr="00DC5490" w:rsidRDefault="004D6276" w:rsidP="004D6276">
            <w:pPr>
              <w:spacing w:before="100" w:beforeAutospacing="1" w:after="100" w:afterAutospacing="1" w:line="360" w:lineRule="auto"/>
              <w:rPr>
                <w:rFonts w:asciiTheme="majorHAnsi" w:hAnsiTheme="majorHAnsi" w:cstheme="majorHAnsi"/>
                <w:bCs/>
                <w:color w:val="000000"/>
                <w:sz w:val="16"/>
                <w:szCs w:val="16"/>
                <w:lang w:val="en-US"/>
              </w:rPr>
            </w:pPr>
            <w:r w:rsidRPr="00DC5490">
              <w:rPr>
                <w:rFonts w:asciiTheme="majorHAnsi" w:hAnsiTheme="majorHAnsi" w:cstheme="majorHAnsi"/>
                <w:bCs/>
                <w:color w:val="000000"/>
                <w:sz w:val="16"/>
                <w:szCs w:val="16"/>
                <w:lang w:val="en-US"/>
              </w:rPr>
              <w:t>LAC</w:t>
            </w:r>
          </w:p>
        </w:tc>
        <w:tc>
          <w:tcPr>
            <w:tcW w:w="1313" w:type="dxa"/>
            <w:shd w:val="clear" w:color="auto" w:fill="E7E6E6" w:themeFill="background2"/>
            <w:vAlign w:val="center"/>
          </w:tcPr>
          <w:p w14:paraId="7433E9F2" w14:textId="49D8BE6C" w:rsidR="004D6276" w:rsidRPr="00DC5490" w:rsidRDefault="004D6276" w:rsidP="004D6276">
            <w:pPr>
              <w:spacing w:before="100" w:beforeAutospacing="1" w:after="100" w:afterAutospacing="1" w:line="360" w:lineRule="auto"/>
              <w:rPr>
                <w:rFonts w:asciiTheme="majorHAnsi" w:hAnsiTheme="majorHAnsi" w:cstheme="majorHAnsi"/>
                <w:bCs/>
                <w:color w:val="000000"/>
                <w:sz w:val="16"/>
                <w:szCs w:val="16"/>
                <w:lang w:val="en-US"/>
              </w:rPr>
            </w:pPr>
            <w:r w:rsidRPr="00DC5490">
              <w:rPr>
                <w:rFonts w:asciiTheme="majorHAnsi" w:hAnsiTheme="majorHAnsi" w:cstheme="majorHAnsi"/>
                <w:bCs/>
                <w:color w:val="000000"/>
                <w:sz w:val="16"/>
                <w:szCs w:val="16"/>
                <w:lang w:val="en-US"/>
              </w:rPr>
              <w:t>Others, specify</w:t>
            </w:r>
          </w:p>
        </w:tc>
        <w:tc>
          <w:tcPr>
            <w:tcW w:w="1501" w:type="dxa"/>
            <w:shd w:val="clear" w:color="auto" w:fill="E7E6E6" w:themeFill="background2"/>
          </w:tcPr>
          <w:p w14:paraId="06A2CBF9" w14:textId="7A6F6693" w:rsidR="004D6276" w:rsidRPr="00DC5490" w:rsidRDefault="004D6276" w:rsidP="004D6276">
            <w:pPr>
              <w:spacing w:before="100" w:beforeAutospacing="1" w:after="100" w:afterAutospacing="1" w:line="360" w:lineRule="auto"/>
              <w:rPr>
                <w:rFonts w:asciiTheme="majorHAnsi" w:hAnsiTheme="majorHAnsi" w:cstheme="majorHAnsi"/>
                <w:bCs/>
                <w:color w:val="000000"/>
                <w:sz w:val="16"/>
                <w:szCs w:val="16"/>
                <w:lang w:val="en-US"/>
              </w:rPr>
            </w:pPr>
            <w:r w:rsidRPr="00DC5490">
              <w:rPr>
                <w:rFonts w:asciiTheme="majorHAnsi" w:hAnsiTheme="majorHAnsi" w:cstheme="majorHAnsi"/>
                <w:bCs/>
                <w:color w:val="000000"/>
                <w:sz w:val="16"/>
                <w:szCs w:val="16"/>
                <w:lang w:val="en-US"/>
              </w:rPr>
              <w:t>Who conducted the training?</w:t>
            </w:r>
          </w:p>
        </w:tc>
      </w:tr>
      <w:tr w:rsidR="004D6276" w:rsidRPr="00DC5490" w14:paraId="6A0C06E7" w14:textId="77777777" w:rsidTr="004D6276">
        <w:trPr>
          <w:trHeight w:val="252"/>
        </w:trPr>
        <w:tc>
          <w:tcPr>
            <w:tcW w:w="2905" w:type="dxa"/>
          </w:tcPr>
          <w:p w14:paraId="6002D632" w14:textId="77777777" w:rsidR="004D6276" w:rsidRPr="00DC5490" w:rsidRDefault="004D6276" w:rsidP="004D6276">
            <w:pPr>
              <w:numPr>
                <w:ilvl w:val="0"/>
                <w:numId w:val="95"/>
              </w:numPr>
              <w:spacing w:before="100" w:beforeAutospacing="1" w:after="100" w:afterAutospacing="1" w:line="360" w:lineRule="auto"/>
              <w:contextualSpacing/>
              <w:rPr>
                <w:rFonts w:asciiTheme="majorHAnsi" w:hAnsiTheme="majorHAnsi" w:cstheme="majorHAnsi"/>
                <w:bCs/>
                <w:snapToGrid w:val="0"/>
                <w:color w:val="000000"/>
                <w:sz w:val="16"/>
                <w:szCs w:val="16"/>
                <w:lang w:val="en-US"/>
              </w:rPr>
            </w:pPr>
            <w:r w:rsidRPr="00DC5490">
              <w:rPr>
                <w:rFonts w:asciiTheme="majorHAnsi" w:hAnsiTheme="majorHAnsi" w:cstheme="majorHAnsi"/>
                <w:bCs/>
                <w:snapToGrid w:val="0"/>
                <w:color w:val="000000"/>
                <w:sz w:val="16"/>
                <w:szCs w:val="16"/>
                <w:lang w:val="en-US"/>
              </w:rPr>
              <w:t>Self-Assessment Tool (SAT)</w:t>
            </w:r>
          </w:p>
        </w:tc>
        <w:tc>
          <w:tcPr>
            <w:tcW w:w="1051" w:type="dxa"/>
          </w:tcPr>
          <w:p w14:paraId="67E016D3" w14:textId="77777777" w:rsidR="004D6276" w:rsidRPr="00DC5490" w:rsidRDefault="004D6276" w:rsidP="004D6276">
            <w:pPr>
              <w:spacing w:before="100" w:beforeAutospacing="1" w:after="100" w:afterAutospacing="1" w:line="360" w:lineRule="auto"/>
              <w:rPr>
                <w:rFonts w:asciiTheme="majorHAnsi" w:hAnsiTheme="majorHAnsi" w:cstheme="majorHAnsi"/>
                <w:bCs/>
                <w:color w:val="000000"/>
                <w:sz w:val="16"/>
                <w:szCs w:val="16"/>
                <w:lang w:val="en-US"/>
              </w:rPr>
            </w:pPr>
          </w:p>
        </w:tc>
        <w:tc>
          <w:tcPr>
            <w:tcW w:w="1009" w:type="dxa"/>
          </w:tcPr>
          <w:p w14:paraId="1AD8949D" w14:textId="77777777" w:rsidR="004D6276" w:rsidRPr="00DC5490" w:rsidRDefault="004D6276" w:rsidP="004D6276">
            <w:pPr>
              <w:spacing w:before="100" w:beforeAutospacing="1" w:after="100" w:afterAutospacing="1" w:line="360" w:lineRule="auto"/>
              <w:rPr>
                <w:rFonts w:asciiTheme="majorHAnsi" w:hAnsiTheme="majorHAnsi" w:cstheme="majorHAnsi"/>
                <w:bCs/>
                <w:color w:val="000000"/>
                <w:sz w:val="16"/>
                <w:szCs w:val="16"/>
                <w:lang w:val="en-US"/>
              </w:rPr>
            </w:pPr>
          </w:p>
        </w:tc>
        <w:tc>
          <w:tcPr>
            <w:tcW w:w="786" w:type="dxa"/>
          </w:tcPr>
          <w:p w14:paraId="01CA1D76" w14:textId="77777777" w:rsidR="004D6276" w:rsidRPr="00DC5490" w:rsidRDefault="004D6276" w:rsidP="004D6276">
            <w:pPr>
              <w:spacing w:before="100" w:beforeAutospacing="1" w:after="100" w:afterAutospacing="1" w:line="360" w:lineRule="auto"/>
              <w:rPr>
                <w:rFonts w:asciiTheme="majorHAnsi" w:hAnsiTheme="majorHAnsi" w:cstheme="majorHAnsi"/>
                <w:bCs/>
                <w:color w:val="000000"/>
                <w:sz w:val="16"/>
                <w:szCs w:val="16"/>
                <w:lang w:val="en-US"/>
              </w:rPr>
            </w:pPr>
          </w:p>
        </w:tc>
        <w:tc>
          <w:tcPr>
            <w:tcW w:w="1313" w:type="dxa"/>
          </w:tcPr>
          <w:p w14:paraId="41D8E3DA" w14:textId="77777777" w:rsidR="004D6276" w:rsidRPr="00DC5490" w:rsidRDefault="004D6276" w:rsidP="004D6276">
            <w:pPr>
              <w:spacing w:before="100" w:beforeAutospacing="1" w:after="100" w:afterAutospacing="1" w:line="360" w:lineRule="auto"/>
              <w:rPr>
                <w:rFonts w:asciiTheme="majorHAnsi" w:hAnsiTheme="majorHAnsi" w:cstheme="majorHAnsi"/>
                <w:bCs/>
                <w:color w:val="000000"/>
                <w:sz w:val="16"/>
                <w:szCs w:val="16"/>
                <w:lang w:val="en-US"/>
              </w:rPr>
            </w:pPr>
          </w:p>
        </w:tc>
        <w:tc>
          <w:tcPr>
            <w:tcW w:w="1501" w:type="dxa"/>
          </w:tcPr>
          <w:p w14:paraId="38A9ED94" w14:textId="77777777" w:rsidR="004D6276" w:rsidRPr="00DC5490" w:rsidRDefault="004D6276" w:rsidP="004D6276">
            <w:pPr>
              <w:spacing w:before="100" w:beforeAutospacing="1" w:after="100" w:afterAutospacing="1" w:line="360" w:lineRule="auto"/>
              <w:rPr>
                <w:rFonts w:asciiTheme="majorHAnsi" w:hAnsiTheme="majorHAnsi" w:cstheme="majorHAnsi"/>
                <w:bCs/>
                <w:color w:val="000000"/>
                <w:sz w:val="16"/>
                <w:szCs w:val="16"/>
                <w:lang w:val="en-US"/>
              </w:rPr>
            </w:pPr>
          </w:p>
        </w:tc>
      </w:tr>
      <w:tr w:rsidR="004D6276" w:rsidRPr="00DC5490" w14:paraId="597DFEA5" w14:textId="77777777" w:rsidTr="004D6276">
        <w:trPr>
          <w:trHeight w:val="240"/>
        </w:trPr>
        <w:tc>
          <w:tcPr>
            <w:tcW w:w="2905" w:type="dxa"/>
          </w:tcPr>
          <w:p w14:paraId="6A71B856" w14:textId="77777777" w:rsidR="004D6276" w:rsidRPr="00DC5490" w:rsidRDefault="004D6276" w:rsidP="004D6276">
            <w:pPr>
              <w:numPr>
                <w:ilvl w:val="0"/>
                <w:numId w:val="95"/>
              </w:numPr>
              <w:spacing w:before="100" w:beforeAutospacing="1" w:after="100" w:afterAutospacing="1" w:line="360" w:lineRule="auto"/>
              <w:contextualSpacing/>
              <w:rPr>
                <w:rFonts w:asciiTheme="majorHAnsi" w:hAnsiTheme="majorHAnsi" w:cstheme="majorHAnsi"/>
                <w:bCs/>
                <w:snapToGrid w:val="0"/>
                <w:color w:val="000000"/>
                <w:sz w:val="16"/>
                <w:szCs w:val="16"/>
                <w:lang w:val="en-US"/>
              </w:rPr>
            </w:pPr>
            <w:r w:rsidRPr="00DC5490">
              <w:rPr>
                <w:rFonts w:asciiTheme="majorHAnsi" w:hAnsiTheme="majorHAnsi" w:cstheme="majorHAnsi"/>
                <w:bCs/>
                <w:snapToGrid w:val="0"/>
                <w:color w:val="000000"/>
                <w:sz w:val="16"/>
                <w:szCs w:val="16"/>
                <w:lang w:val="en-US"/>
              </w:rPr>
              <w:t>Classroom Observation Tool (COT)</w:t>
            </w:r>
          </w:p>
        </w:tc>
        <w:tc>
          <w:tcPr>
            <w:tcW w:w="1051" w:type="dxa"/>
          </w:tcPr>
          <w:p w14:paraId="27B9B514" w14:textId="77777777" w:rsidR="004D6276" w:rsidRPr="00DC5490" w:rsidRDefault="004D6276" w:rsidP="004D6276">
            <w:pPr>
              <w:spacing w:before="100" w:beforeAutospacing="1" w:after="100" w:afterAutospacing="1" w:line="360" w:lineRule="auto"/>
              <w:rPr>
                <w:rFonts w:asciiTheme="majorHAnsi" w:hAnsiTheme="majorHAnsi" w:cstheme="majorHAnsi"/>
                <w:bCs/>
                <w:color w:val="000000"/>
                <w:sz w:val="16"/>
                <w:szCs w:val="16"/>
                <w:lang w:val="en-US"/>
              </w:rPr>
            </w:pPr>
          </w:p>
        </w:tc>
        <w:tc>
          <w:tcPr>
            <w:tcW w:w="1009" w:type="dxa"/>
          </w:tcPr>
          <w:p w14:paraId="1A648115" w14:textId="77777777" w:rsidR="004D6276" w:rsidRPr="00DC5490" w:rsidRDefault="004D6276" w:rsidP="004D6276">
            <w:pPr>
              <w:spacing w:before="100" w:beforeAutospacing="1" w:after="100" w:afterAutospacing="1" w:line="360" w:lineRule="auto"/>
              <w:rPr>
                <w:rFonts w:asciiTheme="majorHAnsi" w:hAnsiTheme="majorHAnsi" w:cstheme="majorHAnsi"/>
                <w:bCs/>
                <w:color w:val="000000"/>
                <w:sz w:val="16"/>
                <w:szCs w:val="16"/>
                <w:lang w:val="en-US"/>
              </w:rPr>
            </w:pPr>
          </w:p>
        </w:tc>
        <w:tc>
          <w:tcPr>
            <w:tcW w:w="786" w:type="dxa"/>
          </w:tcPr>
          <w:p w14:paraId="1CB8BAAE" w14:textId="77777777" w:rsidR="004D6276" w:rsidRPr="00DC5490" w:rsidRDefault="004D6276" w:rsidP="004D6276">
            <w:pPr>
              <w:spacing w:before="100" w:beforeAutospacing="1" w:after="100" w:afterAutospacing="1" w:line="360" w:lineRule="auto"/>
              <w:rPr>
                <w:rFonts w:asciiTheme="majorHAnsi" w:hAnsiTheme="majorHAnsi" w:cstheme="majorHAnsi"/>
                <w:bCs/>
                <w:color w:val="000000"/>
                <w:sz w:val="16"/>
                <w:szCs w:val="16"/>
                <w:lang w:val="en-US"/>
              </w:rPr>
            </w:pPr>
          </w:p>
        </w:tc>
        <w:tc>
          <w:tcPr>
            <w:tcW w:w="1313" w:type="dxa"/>
          </w:tcPr>
          <w:p w14:paraId="75DE5397" w14:textId="77777777" w:rsidR="004D6276" w:rsidRPr="00DC5490" w:rsidRDefault="004D6276" w:rsidP="004D6276">
            <w:pPr>
              <w:spacing w:before="100" w:beforeAutospacing="1" w:after="100" w:afterAutospacing="1" w:line="360" w:lineRule="auto"/>
              <w:rPr>
                <w:rFonts w:asciiTheme="majorHAnsi" w:hAnsiTheme="majorHAnsi" w:cstheme="majorHAnsi"/>
                <w:bCs/>
                <w:color w:val="000000"/>
                <w:sz w:val="16"/>
                <w:szCs w:val="16"/>
                <w:lang w:val="en-US"/>
              </w:rPr>
            </w:pPr>
          </w:p>
        </w:tc>
        <w:tc>
          <w:tcPr>
            <w:tcW w:w="1501" w:type="dxa"/>
          </w:tcPr>
          <w:p w14:paraId="6D39B267" w14:textId="77777777" w:rsidR="004D6276" w:rsidRPr="00DC5490" w:rsidRDefault="004D6276" w:rsidP="004D6276">
            <w:pPr>
              <w:spacing w:before="100" w:beforeAutospacing="1" w:after="100" w:afterAutospacing="1" w:line="360" w:lineRule="auto"/>
              <w:rPr>
                <w:rFonts w:asciiTheme="majorHAnsi" w:hAnsiTheme="majorHAnsi" w:cstheme="majorHAnsi"/>
                <w:bCs/>
                <w:color w:val="000000"/>
                <w:sz w:val="16"/>
                <w:szCs w:val="16"/>
                <w:lang w:val="en-US"/>
              </w:rPr>
            </w:pPr>
          </w:p>
        </w:tc>
      </w:tr>
      <w:tr w:rsidR="004D6276" w:rsidRPr="00DC5490" w14:paraId="4EB9EC49" w14:textId="77777777" w:rsidTr="004D6276">
        <w:trPr>
          <w:trHeight w:val="240"/>
        </w:trPr>
        <w:tc>
          <w:tcPr>
            <w:tcW w:w="2905" w:type="dxa"/>
          </w:tcPr>
          <w:p w14:paraId="519EE911" w14:textId="77777777" w:rsidR="004D6276" w:rsidRPr="00DC5490" w:rsidRDefault="004D6276" w:rsidP="004D6276">
            <w:pPr>
              <w:numPr>
                <w:ilvl w:val="0"/>
                <w:numId w:val="95"/>
              </w:numPr>
              <w:spacing w:before="100" w:beforeAutospacing="1" w:after="100" w:afterAutospacing="1" w:line="360" w:lineRule="auto"/>
              <w:contextualSpacing/>
              <w:rPr>
                <w:rFonts w:asciiTheme="majorHAnsi" w:hAnsiTheme="majorHAnsi" w:cstheme="majorHAnsi"/>
                <w:bCs/>
                <w:snapToGrid w:val="0"/>
                <w:color w:val="000000"/>
                <w:sz w:val="16"/>
                <w:szCs w:val="16"/>
                <w:lang w:val="en-US"/>
              </w:rPr>
            </w:pPr>
            <w:r w:rsidRPr="00DC5490">
              <w:rPr>
                <w:rFonts w:asciiTheme="majorHAnsi" w:hAnsiTheme="majorHAnsi" w:cstheme="majorHAnsi"/>
                <w:bCs/>
                <w:snapToGrid w:val="0"/>
                <w:color w:val="000000"/>
                <w:sz w:val="16"/>
                <w:szCs w:val="16"/>
                <w:lang w:val="en-US"/>
              </w:rPr>
              <w:t>Portfolio Assessment for Teachers (PAT)</w:t>
            </w:r>
          </w:p>
        </w:tc>
        <w:tc>
          <w:tcPr>
            <w:tcW w:w="1051" w:type="dxa"/>
          </w:tcPr>
          <w:p w14:paraId="586004F2" w14:textId="77777777" w:rsidR="004D6276" w:rsidRPr="00DC5490" w:rsidRDefault="004D6276" w:rsidP="004D6276">
            <w:pPr>
              <w:spacing w:before="100" w:beforeAutospacing="1" w:after="100" w:afterAutospacing="1" w:line="360" w:lineRule="auto"/>
              <w:rPr>
                <w:rFonts w:asciiTheme="majorHAnsi" w:hAnsiTheme="majorHAnsi" w:cstheme="majorHAnsi"/>
                <w:bCs/>
                <w:color w:val="000000"/>
                <w:sz w:val="16"/>
                <w:szCs w:val="16"/>
                <w:lang w:val="en-US"/>
              </w:rPr>
            </w:pPr>
          </w:p>
        </w:tc>
        <w:tc>
          <w:tcPr>
            <w:tcW w:w="1009" w:type="dxa"/>
          </w:tcPr>
          <w:p w14:paraId="76AA9499" w14:textId="77777777" w:rsidR="004D6276" w:rsidRPr="00DC5490" w:rsidRDefault="004D6276" w:rsidP="004D6276">
            <w:pPr>
              <w:spacing w:before="100" w:beforeAutospacing="1" w:after="100" w:afterAutospacing="1" w:line="360" w:lineRule="auto"/>
              <w:rPr>
                <w:rFonts w:asciiTheme="majorHAnsi" w:hAnsiTheme="majorHAnsi" w:cstheme="majorHAnsi"/>
                <w:bCs/>
                <w:color w:val="000000"/>
                <w:sz w:val="16"/>
                <w:szCs w:val="16"/>
                <w:lang w:val="en-US"/>
              </w:rPr>
            </w:pPr>
          </w:p>
        </w:tc>
        <w:tc>
          <w:tcPr>
            <w:tcW w:w="786" w:type="dxa"/>
          </w:tcPr>
          <w:p w14:paraId="0913A5E0" w14:textId="77777777" w:rsidR="004D6276" w:rsidRPr="00DC5490" w:rsidRDefault="004D6276" w:rsidP="004D6276">
            <w:pPr>
              <w:spacing w:before="100" w:beforeAutospacing="1" w:after="100" w:afterAutospacing="1" w:line="360" w:lineRule="auto"/>
              <w:rPr>
                <w:rFonts w:asciiTheme="majorHAnsi" w:hAnsiTheme="majorHAnsi" w:cstheme="majorHAnsi"/>
                <w:bCs/>
                <w:color w:val="000000"/>
                <w:sz w:val="16"/>
                <w:szCs w:val="16"/>
                <w:lang w:val="en-US"/>
              </w:rPr>
            </w:pPr>
          </w:p>
        </w:tc>
        <w:tc>
          <w:tcPr>
            <w:tcW w:w="1313" w:type="dxa"/>
          </w:tcPr>
          <w:p w14:paraId="51CF3241" w14:textId="77777777" w:rsidR="004D6276" w:rsidRPr="00DC5490" w:rsidRDefault="004D6276" w:rsidP="004D6276">
            <w:pPr>
              <w:spacing w:before="100" w:beforeAutospacing="1" w:after="100" w:afterAutospacing="1" w:line="360" w:lineRule="auto"/>
              <w:rPr>
                <w:rFonts w:asciiTheme="majorHAnsi" w:hAnsiTheme="majorHAnsi" w:cstheme="majorHAnsi"/>
                <w:bCs/>
                <w:color w:val="000000"/>
                <w:sz w:val="16"/>
                <w:szCs w:val="16"/>
                <w:lang w:val="en-US"/>
              </w:rPr>
            </w:pPr>
          </w:p>
        </w:tc>
        <w:tc>
          <w:tcPr>
            <w:tcW w:w="1501" w:type="dxa"/>
          </w:tcPr>
          <w:p w14:paraId="14C7C414" w14:textId="77777777" w:rsidR="004D6276" w:rsidRPr="00DC5490" w:rsidRDefault="004D6276" w:rsidP="004D6276">
            <w:pPr>
              <w:spacing w:before="100" w:beforeAutospacing="1" w:after="100" w:afterAutospacing="1" w:line="360" w:lineRule="auto"/>
              <w:rPr>
                <w:rFonts w:asciiTheme="majorHAnsi" w:hAnsiTheme="majorHAnsi" w:cstheme="majorHAnsi"/>
                <w:bCs/>
                <w:color w:val="000000"/>
                <w:sz w:val="16"/>
                <w:szCs w:val="16"/>
                <w:lang w:val="en-US"/>
              </w:rPr>
            </w:pPr>
          </w:p>
        </w:tc>
      </w:tr>
      <w:tr w:rsidR="004D6276" w:rsidRPr="00DC5490" w14:paraId="2CECB94E" w14:textId="77777777" w:rsidTr="004D6276">
        <w:trPr>
          <w:trHeight w:val="252"/>
        </w:trPr>
        <w:tc>
          <w:tcPr>
            <w:tcW w:w="2905" w:type="dxa"/>
          </w:tcPr>
          <w:p w14:paraId="4DAA8F20" w14:textId="77777777" w:rsidR="004D6276" w:rsidRPr="00DC5490" w:rsidRDefault="004D6276" w:rsidP="004D6276">
            <w:pPr>
              <w:numPr>
                <w:ilvl w:val="0"/>
                <w:numId w:val="95"/>
              </w:numPr>
              <w:spacing w:before="100" w:beforeAutospacing="1" w:after="100" w:afterAutospacing="1" w:line="360" w:lineRule="auto"/>
              <w:contextualSpacing/>
              <w:rPr>
                <w:rFonts w:asciiTheme="majorHAnsi" w:hAnsiTheme="majorHAnsi" w:cstheme="majorHAnsi"/>
                <w:bCs/>
                <w:snapToGrid w:val="0"/>
                <w:color w:val="000000"/>
                <w:sz w:val="16"/>
                <w:szCs w:val="16"/>
                <w:lang w:val="en-US"/>
              </w:rPr>
            </w:pPr>
            <w:r w:rsidRPr="00DC5490">
              <w:rPr>
                <w:rFonts w:asciiTheme="majorHAnsi" w:hAnsiTheme="majorHAnsi" w:cstheme="majorHAnsi"/>
                <w:bCs/>
                <w:snapToGrid w:val="0"/>
                <w:color w:val="000000"/>
                <w:sz w:val="16"/>
                <w:szCs w:val="16"/>
                <w:lang w:val="en-US"/>
              </w:rPr>
              <w:t>Individual Performance Commitment and Review Form (IPCRF)</w:t>
            </w:r>
          </w:p>
        </w:tc>
        <w:tc>
          <w:tcPr>
            <w:tcW w:w="1051" w:type="dxa"/>
          </w:tcPr>
          <w:p w14:paraId="234199F7" w14:textId="77777777" w:rsidR="004D6276" w:rsidRPr="00DC5490" w:rsidRDefault="004D6276" w:rsidP="004D6276">
            <w:pPr>
              <w:spacing w:before="100" w:beforeAutospacing="1" w:after="100" w:afterAutospacing="1" w:line="360" w:lineRule="auto"/>
              <w:rPr>
                <w:rFonts w:asciiTheme="majorHAnsi" w:hAnsiTheme="majorHAnsi" w:cstheme="majorHAnsi"/>
                <w:bCs/>
                <w:color w:val="000000"/>
                <w:sz w:val="16"/>
                <w:szCs w:val="16"/>
                <w:lang w:val="en-US"/>
              </w:rPr>
            </w:pPr>
          </w:p>
        </w:tc>
        <w:tc>
          <w:tcPr>
            <w:tcW w:w="1009" w:type="dxa"/>
          </w:tcPr>
          <w:p w14:paraId="26BC5C51" w14:textId="77777777" w:rsidR="004D6276" w:rsidRPr="00DC5490" w:rsidRDefault="004D6276" w:rsidP="004D6276">
            <w:pPr>
              <w:spacing w:before="100" w:beforeAutospacing="1" w:after="100" w:afterAutospacing="1" w:line="360" w:lineRule="auto"/>
              <w:rPr>
                <w:rFonts w:asciiTheme="majorHAnsi" w:hAnsiTheme="majorHAnsi" w:cstheme="majorHAnsi"/>
                <w:bCs/>
                <w:color w:val="000000"/>
                <w:sz w:val="16"/>
                <w:szCs w:val="16"/>
                <w:lang w:val="en-US"/>
              </w:rPr>
            </w:pPr>
          </w:p>
        </w:tc>
        <w:tc>
          <w:tcPr>
            <w:tcW w:w="786" w:type="dxa"/>
          </w:tcPr>
          <w:p w14:paraId="232E631F" w14:textId="77777777" w:rsidR="004D6276" w:rsidRPr="00DC5490" w:rsidRDefault="004D6276" w:rsidP="004D6276">
            <w:pPr>
              <w:spacing w:before="100" w:beforeAutospacing="1" w:after="100" w:afterAutospacing="1" w:line="360" w:lineRule="auto"/>
              <w:rPr>
                <w:rFonts w:asciiTheme="majorHAnsi" w:hAnsiTheme="majorHAnsi" w:cstheme="majorHAnsi"/>
                <w:bCs/>
                <w:color w:val="000000"/>
                <w:sz w:val="16"/>
                <w:szCs w:val="16"/>
                <w:lang w:val="en-US"/>
              </w:rPr>
            </w:pPr>
          </w:p>
        </w:tc>
        <w:tc>
          <w:tcPr>
            <w:tcW w:w="1313" w:type="dxa"/>
          </w:tcPr>
          <w:p w14:paraId="459D71FB" w14:textId="77777777" w:rsidR="004D6276" w:rsidRPr="00DC5490" w:rsidRDefault="004D6276" w:rsidP="004D6276">
            <w:pPr>
              <w:spacing w:before="100" w:beforeAutospacing="1" w:after="100" w:afterAutospacing="1" w:line="360" w:lineRule="auto"/>
              <w:rPr>
                <w:rFonts w:asciiTheme="majorHAnsi" w:hAnsiTheme="majorHAnsi" w:cstheme="majorHAnsi"/>
                <w:bCs/>
                <w:color w:val="000000"/>
                <w:sz w:val="16"/>
                <w:szCs w:val="16"/>
                <w:lang w:val="en-US"/>
              </w:rPr>
            </w:pPr>
          </w:p>
        </w:tc>
        <w:tc>
          <w:tcPr>
            <w:tcW w:w="1501" w:type="dxa"/>
          </w:tcPr>
          <w:p w14:paraId="442A7C3B" w14:textId="77777777" w:rsidR="004D6276" w:rsidRPr="00DC5490" w:rsidRDefault="004D6276" w:rsidP="004D6276">
            <w:pPr>
              <w:spacing w:before="100" w:beforeAutospacing="1" w:after="100" w:afterAutospacing="1" w:line="360" w:lineRule="auto"/>
              <w:rPr>
                <w:rFonts w:asciiTheme="majorHAnsi" w:hAnsiTheme="majorHAnsi" w:cstheme="majorHAnsi"/>
                <w:bCs/>
                <w:color w:val="000000"/>
                <w:sz w:val="16"/>
                <w:szCs w:val="16"/>
                <w:lang w:val="en-US"/>
              </w:rPr>
            </w:pPr>
          </w:p>
        </w:tc>
      </w:tr>
    </w:tbl>
    <w:p w14:paraId="2417EAA2" w14:textId="77777777" w:rsidR="008D0CAD" w:rsidRPr="00DC5490" w:rsidRDefault="008D0CAD" w:rsidP="00DD08E3">
      <w:pPr>
        <w:numPr>
          <w:ilvl w:val="0"/>
          <w:numId w:val="81"/>
        </w:numPr>
        <w:spacing w:before="100" w:beforeAutospacing="1" w:after="100" w:afterAutospacing="1" w:line="360" w:lineRule="auto"/>
        <w:rPr>
          <w:rFonts w:asciiTheme="majorHAnsi" w:hAnsiTheme="majorHAnsi" w:cstheme="majorHAnsi"/>
          <w:bCs/>
          <w:snapToGrid w:val="0"/>
          <w:color w:val="000000"/>
          <w:sz w:val="20"/>
          <w:szCs w:val="20"/>
          <w:lang w:val="en-US"/>
        </w:rPr>
      </w:pPr>
      <w:r w:rsidRPr="00DC5490">
        <w:rPr>
          <w:rFonts w:asciiTheme="majorHAnsi" w:hAnsiTheme="majorHAnsi" w:cstheme="majorHAnsi"/>
          <w:snapToGrid w:val="0"/>
          <w:color w:val="000000" w:themeColor="text1"/>
          <w:sz w:val="20"/>
          <w:szCs w:val="20"/>
        </w:rPr>
        <w:t xml:space="preserve">Are you a beginning teacher in DEPED (i.e., have been in Dep Ed Service from 1-3 years)? </w:t>
      </w:r>
    </w:p>
    <w:p w14:paraId="44910339" w14:textId="40103DB3" w:rsidR="008D0CAD" w:rsidRPr="00DC5490" w:rsidRDefault="008D0CAD" w:rsidP="00EA6CB9">
      <w:pPr>
        <w:spacing w:before="100" w:beforeAutospacing="1" w:after="100" w:afterAutospacing="1" w:line="360" w:lineRule="auto"/>
        <w:ind w:left="357"/>
        <w:rPr>
          <w:rFonts w:asciiTheme="majorHAnsi" w:hAnsiTheme="majorHAnsi" w:cstheme="majorHAnsi"/>
          <w:bCs/>
          <w:color w:val="000000"/>
          <w:sz w:val="20"/>
          <w:szCs w:val="20"/>
          <w:lang w:val="en-US"/>
        </w:rPr>
      </w:pPr>
      <w:r w:rsidRPr="00DC5490">
        <w:rPr>
          <w:rFonts w:asciiTheme="majorHAnsi" w:hAnsiTheme="majorHAnsi" w:cstheme="majorHAnsi"/>
          <w:color w:val="000000" w:themeColor="text1"/>
          <w:sz w:val="20"/>
          <w:szCs w:val="20"/>
        </w:rPr>
        <w:t xml:space="preserve">___ Yes </w:t>
      </w:r>
      <w:r w:rsidRPr="00DC5490">
        <w:rPr>
          <w:rFonts w:asciiTheme="majorHAnsi" w:hAnsiTheme="majorHAnsi" w:cstheme="majorHAnsi"/>
          <w:color w:val="000000" w:themeColor="text1"/>
          <w:sz w:val="20"/>
          <w:szCs w:val="20"/>
        </w:rPr>
        <w:tab/>
      </w:r>
      <w:r w:rsidRPr="00DC5490">
        <w:rPr>
          <w:rFonts w:asciiTheme="majorHAnsi" w:hAnsiTheme="majorHAnsi" w:cstheme="majorHAnsi"/>
          <w:b/>
          <w:color w:val="000000" w:themeColor="text1"/>
          <w:sz w:val="20"/>
          <w:szCs w:val="20"/>
        </w:rPr>
        <w:t xml:space="preserve">___ </w:t>
      </w:r>
      <w:r w:rsidRPr="00EC48C1">
        <w:rPr>
          <w:rFonts w:asciiTheme="majorHAnsi" w:hAnsiTheme="majorHAnsi" w:cstheme="majorHAnsi"/>
          <w:b/>
          <w:color w:val="000000" w:themeColor="text1"/>
          <w:sz w:val="20"/>
          <w:szCs w:val="20"/>
        </w:rPr>
        <w:t>No (If No, proceed to Question No. 21)</w:t>
      </w:r>
    </w:p>
    <w:p w14:paraId="0A35684B" w14:textId="77777777" w:rsidR="008D0CAD" w:rsidRPr="00DC5490" w:rsidRDefault="008D0CAD" w:rsidP="00DD08E3">
      <w:pPr>
        <w:numPr>
          <w:ilvl w:val="1"/>
          <w:numId w:val="81"/>
        </w:numPr>
        <w:spacing w:before="100" w:beforeAutospacing="1" w:after="100" w:afterAutospacing="1" w:line="360" w:lineRule="auto"/>
        <w:ind w:left="907" w:hanging="547"/>
        <w:rPr>
          <w:rFonts w:asciiTheme="majorHAnsi" w:hAnsiTheme="majorHAnsi" w:cstheme="majorHAnsi"/>
          <w:bCs/>
          <w:snapToGrid w:val="0"/>
          <w:color w:val="000000"/>
          <w:sz w:val="20"/>
          <w:szCs w:val="20"/>
          <w:lang w:val="en-US"/>
        </w:rPr>
      </w:pPr>
      <w:r w:rsidRPr="00DC5490">
        <w:rPr>
          <w:rFonts w:asciiTheme="majorHAnsi" w:hAnsiTheme="majorHAnsi" w:cstheme="majorHAnsi"/>
          <w:snapToGrid w:val="0"/>
          <w:color w:val="000000" w:themeColor="text1"/>
          <w:sz w:val="20"/>
          <w:szCs w:val="20"/>
        </w:rPr>
        <w:t>Have you used the Training Induction Program (TIP) modules? ___ Yes ___ No (Go to 18.2)</w:t>
      </w:r>
    </w:p>
    <w:p w14:paraId="3DEEBCC5" w14:textId="0799729B" w:rsidR="008D0CAD" w:rsidRPr="00DC5490" w:rsidRDefault="008D0CAD" w:rsidP="00DD08E3">
      <w:pPr>
        <w:numPr>
          <w:ilvl w:val="2"/>
          <w:numId w:val="81"/>
        </w:numPr>
        <w:spacing w:before="100" w:beforeAutospacing="1" w:after="100" w:afterAutospacing="1" w:line="360" w:lineRule="auto"/>
        <w:ind w:left="1541" w:hanging="634"/>
        <w:rPr>
          <w:rFonts w:asciiTheme="majorHAnsi" w:hAnsiTheme="majorHAnsi" w:cstheme="majorHAnsi"/>
          <w:bCs/>
          <w:snapToGrid w:val="0"/>
          <w:color w:val="000000"/>
          <w:sz w:val="20"/>
          <w:szCs w:val="20"/>
          <w:lang w:val="en-US"/>
        </w:rPr>
      </w:pPr>
      <w:r w:rsidRPr="00DC5490">
        <w:rPr>
          <w:rFonts w:asciiTheme="majorHAnsi" w:hAnsiTheme="majorHAnsi" w:cstheme="majorHAnsi"/>
          <w:snapToGrid w:val="0"/>
          <w:color w:val="000000" w:themeColor="text1"/>
          <w:sz w:val="20"/>
          <w:szCs w:val="20"/>
        </w:rPr>
        <w:t>How many TIP modules have you completed in all?</w:t>
      </w:r>
      <w:r w:rsidR="00D434EB">
        <w:rPr>
          <w:rFonts w:asciiTheme="majorHAnsi" w:hAnsiTheme="majorHAnsi" w:cstheme="majorHAnsi"/>
          <w:snapToGrid w:val="0"/>
          <w:color w:val="000000" w:themeColor="text1"/>
          <w:sz w:val="20"/>
          <w:szCs w:val="20"/>
        </w:rPr>
        <w:t xml:space="preserve"> </w:t>
      </w:r>
      <w:r w:rsidRPr="00DC5490">
        <w:rPr>
          <w:rFonts w:asciiTheme="majorHAnsi" w:hAnsiTheme="majorHAnsi" w:cstheme="majorHAnsi"/>
          <w:snapToGrid w:val="0"/>
          <w:color w:val="000000" w:themeColor="text1"/>
          <w:sz w:val="20"/>
          <w:szCs w:val="20"/>
        </w:rPr>
        <w:t>______ modules</w:t>
      </w:r>
    </w:p>
    <w:p w14:paraId="0ACC9BE6" w14:textId="77777777" w:rsidR="008D0CAD" w:rsidRPr="00DC5490" w:rsidRDefault="008D0CAD" w:rsidP="00DD08E3">
      <w:pPr>
        <w:numPr>
          <w:ilvl w:val="2"/>
          <w:numId w:val="81"/>
        </w:numPr>
        <w:spacing w:before="100" w:beforeAutospacing="1" w:after="100" w:afterAutospacing="1" w:line="360" w:lineRule="auto"/>
        <w:ind w:left="1541" w:hanging="634"/>
        <w:rPr>
          <w:rFonts w:asciiTheme="majorHAnsi" w:hAnsiTheme="majorHAnsi" w:cstheme="majorHAnsi"/>
          <w:bCs/>
          <w:snapToGrid w:val="0"/>
          <w:color w:val="000000"/>
          <w:sz w:val="20"/>
          <w:szCs w:val="20"/>
          <w:lang w:val="en-US"/>
        </w:rPr>
      </w:pPr>
      <w:r w:rsidRPr="00DC5490">
        <w:rPr>
          <w:rFonts w:asciiTheme="majorHAnsi" w:hAnsiTheme="majorHAnsi" w:cstheme="majorHAnsi"/>
          <w:snapToGrid w:val="0"/>
          <w:color w:val="000000" w:themeColor="text1"/>
          <w:sz w:val="20"/>
          <w:szCs w:val="20"/>
        </w:rPr>
        <w:t xml:space="preserve">Who oriented/trained you on how to complete the TIP modules? __________________________ </w:t>
      </w:r>
    </w:p>
    <w:p w14:paraId="66858139" w14:textId="77777777" w:rsidR="008D0CAD" w:rsidRPr="00DC5490" w:rsidRDefault="008D0CAD" w:rsidP="00DD08E3">
      <w:pPr>
        <w:numPr>
          <w:ilvl w:val="2"/>
          <w:numId w:val="81"/>
        </w:numPr>
        <w:spacing w:before="100" w:beforeAutospacing="1" w:after="100" w:afterAutospacing="1" w:line="360" w:lineRule="auto"/>
        <w:ind w:left="1531" w:hanging="629"/>
        <w:rPr>
          <w:rFonts w:asciiTheme="majorHAnsi" w:hAnsiTheme="majorHAnsi" w:cstheme="majorHAnsi"/>
          <w:bCs/>
          <w:snapToGrid w:val="0"/>
          <w:color w:val="000000"/>
          <w:sz w:val="20"/>
          <w:szCs w:val="20"/>
          <w:lang w:val="en-US"/>
        </w:rPr>
      </w:pPr>
      <w:r w:rsidRPr="00DC5490">
        <w:rPr>
          <w:rFonts w:asciiTheme="majorHAnsi" w:hAnsiTheme="majorHAnsi" w:cstheme="majorHAnsi"/>
          <w:bCs/>
          <w:snapToGrid w:val="0"/>
          <w:color w:val="000000"/>
          <w:sz w:val="20"/>
          <w:szCs w:val="20"/>
          <w:lang w:val="en-US"/>
        </w:rPr>
        <w:t>How was the orientation/training done? ______________________________________________</w:t>
      </w:r>
    </w:p>
    <w:p w14:paraId="2ABB4A2A" w14:textId="77777777" w:rsidR="008D0CAD" w:rsidRPr="00DC5490" w:rsidRDefault="008D0CAD" w:rsidP="00DD08E3">
      <w:pPr>
        <w:numPr>
          <w:ilvl w:val="1"/>
          <w:numId w:val="81"/>
        </w:numPr>
        <w:spacing w:before="100" w:beforeAutospacing="1" w:after="100" w:afterAutospacing="1" w:line="360" w:lineRule="auto"/>
        <w:ind w:left="896" w:hanging="539"/>
        <w:rPr>
          <w:rFonts w:asciiTheme="majorHAnsi" w:hAnsiTheme="majorHAnsi" w:cstheme="majorHAnsi"/>
          <w:bCs/>
          <w:snapToGrid w:val="0"/>
          <w:color w:val="000000"/>
          <w:sz w:val="20"/>
          <w:szCs w:val="20"/>
          <w:lang w:val="en-US"/>
        </w:rPr>
      </w:pPr>
      <w:r w:rsidRPr="00DC5490">
        <w:rPr>
          <w:rFonts w:asciiTheme="majorHAnsi" w:hAnsiTheme="majorHAnsi" w:cstheme="majorHAnsi"/>
          <w:bCs/>
          <w:snapToGrid w:val="0"/>
          <w:color w:val="000000"/>
          <w:sz w:val="20"/>
          <w:szCs w:val="20"/>
          <w:lang w:val="en-US"/>
        </w:rPr>
        <w:t xml:space="preserve">If no, why have you not gone through the TIP Modules? ____________________________________ </w:t>
      </w:r>
    </w:p>
    <w:p w14:paraId="6E18FAA8" w14:textId="77777777" w:rsidR="008D0CAD" w:rsidRPr="00DC5490" w:rsidRDefault="008D0CAD" w:rsidP="00DD08E3">
      <w:pPr>
        <w:numPr>
          <w:ilvl w:val="1"/>
          <w:numId w:val="81"/>
        </w:numPr>
        <w:spacing w:before="100" w:beforeAutospacing="1" w:after="100" w:afterAutospacing="1" w:line="360" w:lineRule="auto"/>
        <w:ind w:left="896" w:hanging="539"/>
        <w:rPr>
          <w:rFonts w:asciiTheme="majorHAnsi" w:hAnsiTheme="majorHAnsi" w:cstheme="majorHAnsi"/>
          <w:bCs/>
          <w:snapToGrid w:val="0"/>
          <w:color w:val="000000"/>
          <w:sz w:val="20"/>
          <w:szCs w:val="20"/>
          <w:lang w:val="en-US"/>
        </w:rPr>
      </w:pPr>
      <w:r w:rsidRPr="00DC5490">
        <w:rPr>
          <w:rFonts w:asciiTheme="majorHAnsi" w:hAnsiTheme="majorHAnsi" w:cstheme="majorHAnsi"/>
          <w:snapToGrid w:val="0"/>
          <w:color w:val="000000" w:themeColor="text1"/>
          <w:sz w:val="20"/>
          <w:szCs w:val="20"/>
        </w:rPr>
        <w:t xml:space="preserve">What were the factors that helped you in completing the TIP modules? _____________________ </w:t>
      </w:r>
    </w:p>
    <w:p w14:paraId="4F54F139" w14:textId="77777777" w:rsidR="008D0CAD" w:rsidRPr="00DC5490" w:rsidRDefault="008D0CAD" w:rsidP="00DD08E3">
      <w:pPr>
        <w:numPr>
          <w:ilvl w:val="1"/>
          <w:numId w:val="81"/>
        </w:numPr>
        <w:spacing w:before="100" w:beforeAutospacing="1" w:after="100" w:afterAutospacing="1" w:line="360" w:lineRule="auto"/>
        <w:ind w:left="896" w:hanging="539"/>
        <w:rPr>
          <w:rFonts w:asciiTheme="majorHAnsi" w:hAnsiTheme="majorHAnsi" w:cstheme="majorHAnsi"/>
          <w:bCs/>
          <w:snapToGrid w:val="0"/>
          <w:color w:val="000000"/>
          <w:sz w:val="20"/>
          <w:szCs w:val="20"/>
          <w:lang w:val="en-US"/>
        </w:rPr>
      </w:pPr>
      <w:r w:rsidRPr="00DC5490">
        <w:rPr>
          <w:rFonts w:asciiTheme="majorHAnsi" w:hAnsiTheme="majorHAnsi" w:cstheme="majorHAnsi"/>
          <w:snapToGrid w:val="0"/>
          <w:color w:val="000000" w:themeColor="text1"/>
          <w:sz w:val="20"/>
          <w:szCs w:val="20"/>
        </w:rPr>
        <w:t xml:space="preserve">What were the difficulties preventing you from completing the TIP modules? ___________________ </w:t>
      </w:r>
    </w:p>
    <w:p w14:paraId="08B6EAA8" w14:textId="77777777" w:rsidR="008D0CAD" w:rsidRPr="00DC5490" w:rsidRDefault="008D0CAD" w:rsidP="00DD08E3">
      <w:pPr>
        <w:numPr>
          <w:ilvl w:val="1"/>
          <w:numId w:val="81"/>
        </w:numPr>
        <w:spacing w:before="100" w:beforeAutospacing="1" w:after="100" w:afterAutospacing="1" w:line="360" w:lineRule="auto"/>
        <w:ind w:left="896" w:hanging="539"/>
        <w:rPr>
          <w:rFonts w:asciiTheme="majorHAnsi" w:hAnsiTheme="majorHAnsi" w:cstheme="majorHAnsi"/>
          <w:bCs/>
          <w:snapToGrid w:val="0"/>
          <w:color w:val="000000"/>
          <w:sz w:val="20"/>
          <w:szCs w:val="20"/>
          <w:lang w:val="en-US"/>
        </w:rPr>
      </w:pPr>
      <w:r w:rsidRPr="00DC5490">
        <w:rPr>
          <w:rFonts w:asciiTheme="majorHAnsi" w:hAnsiTheme="majorHAnsi" w:cstheme="majorHAnsi"/>
          <w:snapToGrid w:val="0"/>
          <w:color w:val="000000" w:themeColor="text1"/>
          <w:sz w:val="20"/>
          <w:szCs w:val="20"/>
        </w:rPr>
        <w:t xml:space="preserve">Please explain how the TIP modules are related to the professional standards of teachers (PPST)? ___ </w:t>
      </w:r>
    </w:p>
    <w:p w14:paraId="6C54E56D" w14:textId="77777777" w:rsidR="008D0CAD" w:rsidRPr="00DC5490" w:rsidRDefault="008D0CAD" w:rsidP="00DD08E3">
      <w:pPr>
        <w:numPr>
          <w:ilvl w:val="0"/>
          <w:numId w:val="81"/>
        </w:numPr>
        <w:spacing w:before="100" w:beforeAutospacing="1" w:after="100" w:afterAutospacing="1" w:line="360" w:lineRule="auto"/>
        <w:rPr>
          <w:rFonts w:asciiTheme="majorHAnsi" w:hAnsiTheme="majorHAnsi" w:cstheme="majorHAnsi"/>
          <w:bCs/>
          <w:snapToGrid w:val="0"/>
          <w:color w:val="000000"/>
          <w:sz w:val="20"/>
          <w:szCs w:val="20"/>
          <w:lang w:val="en-US"/>
        </w:rPr>
      </w:pPr>
      <w:r w:rsidRPr="00DC5490">
        <w:rPr>
          <w:rFonts w:asciiTheme="majorHAnsi" w:hAnsiTheme="majorHAnsi" w:cstheme="majorHAnsi"/>
          <w:bCs/>
          <w:snapToGrid w:val="0"/>
          <w:color w:val="000000"/>
          <w:sz w:val="20"/>
          <w:szCs w:val="20"/>
          <w:lang w:val="en-US"/>
        </w:rPr>
        <w:t>What are the hindering and facilitating factors in teachers meeting or demonstrating the professional standards in their practice?</w:t>
      </w:r>
    </w:p>
    <w:p w14:paraId="0FF281DC" w14:textId="77777777" w:rsidR="008D0CAD" w:rsidRPr="00DC5490" w:rsidRDefault="008D0CAD" w:rsidP="00DD08E3">
      <w:pPr>
        <w:numPr>
          <w:ilvl w:val="1"/>
          <w:numId w:val="81"/>
        </w:numPr>
        <w:spacing w:before="100" w:beforeAutospacing="1" w:after="100" w:afterAutospacing="1" w:line="360" w:lineRule="auto"/>
        <w:rPr>
          <w:rFonts w:asciiTheme="majorHAnsi" w:hAnsiTheme="majorHAnsi" w:cstheme="majorHAnsi"/>
          <w:bCs/>
          <w:snapToGrid w:val="0"/>
          <w:color w:val="000000"/>
          <w:sz w:val="20"/>
          <w:szCs w:val="20"/>
          <w:lang w:val="en-US"/>
        </w:rPr>
      </w:pPr>
      <w:r w:rsidRPr="00DC5490">
        <w:rPr>
          <w:rFonts w:asciiTheme="majorHAnsi" w:hAnsiTheme="majorHAnsi" w:cstheme="majorHAnsi"/>
          <w:snapToGrid w:val="0"/>
          <w:color w:val="000000" w:themeColor="text1"/>
          <w:sz w:val="20"/>
          <w:szCs w:val="20"/>
          <w:lang w:val="en-US"/>
        </w:rPr>
        <w:t xml:space="preserve">What factors hinder </w:t>
      </w:r>
      <w:r w:rsidRPr="00DC5490">
        <w:rPr>
          <w:rFonts w:asciiTheme="majorHAnsi" w:hAnsiTheme="majorHAnsi" w:cstheme="majorHAnsi"/>
          <w:bCs/>
          <w:snapToGrid w:val="0"/>
          <w:sz w:val="20"/>
          <w:szCs w:val="20"/>
          <w:lang w:val="en-US"/>
        </w:rPr>
        <w:t>teachers from reaching/demonstrating professional standards in their practice?</w:t>
      </w:r>
    </w:p>
    <w:p w14:paraId="656C80C1" w14:textId="77777777" w:rsidR="008D0CAD" w:rsidRPr="00DC5490" w:rsidRDefault="008D0CAD" w:rsidP="00DD08E3">
      <w:pPr>
        <w:numPr>
          <w:ilvl w:val="1"/>
          <w:numId w:val="81"/>
        </w:numPr>
        <w:spacing w:before="100" w:beforeAutospacing="1" w:after="100" w:afterAutospacing="1" w:line="360" w:lineRule="auto"/>
        <w:rPr>
          <w:rFonts w:asciiTheme="majorHAnsi" w:hAnsiTheme="majorHAnsi" w:cstheme="majorHAnsi"/>
          <w:bCs/>
          <w:snapToGrid w:val="0"/>
          <w:color w:val="000000"/>
          <w:sz w:val="20"/>
          <w:szCs w:val="20"/>
          <w:lang w:val="en-US"/>
        </w:rPr>
      </w:pPr>
      <w:r w:rsidRPr="00DC5490">
        <w:rPr>
          <w:rFonts w:asciiTheme="majorHAnsi" w:hAnsiTheme="majorHAnsi" w:cstheme="majorHAnsi"/>
          <w:snapToGrid w:val="0"/>
          <w:color w:val="000000" w:themeColor="text1"/>
          <w:sz w:val="20"/>
          <w:szCs w:val="20"/>
          <w:lang w:val="en-US"/>
        </w:rPr>
        <w:t>What factors help /facilitate teachers reach/demonstrate professional standards in their practice?</w:t>
      </w:r>
    </w:p>
    <w:p w14:paraId="0E944FEC" w14:textId="77777777" w:rsidR="008D0CAD" w:rsidRPr="00DC5490" w:rsidRDefault="008D0CAD" w:rsidP="00DD08E3">
      <w:pPr>
        <w:numPr>
          <w:ilvl w:val="0"/>
          <w:numId w:val="81"/>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snapToGrid w:val="0"/>
          <w:sz w:val="20"/>
          <w:szCs w:val="20"/>
          <w:lang w:val="en-US"/>
        </w:rPr>
        <w:t xml:space="preserve">As a teacher, what recommendations can you give to ensure the full implementation of the </w:t>
      </w:r>
      <w:r w:rsidRPr="00DC5490">
        <w:rPr>
          <w:rFonts w:asciiTheme="majorHAnsi" w:hAnsiTheme="majorHAnsi" w:cstheme="majorHAnsi"/>
          <w:snapToGrid w:val="0"/>
          <w:color w:val="000000"/>
          <w:sz w:val="20"/>
          <w:szCs w:val="20"/>
          <w:lang w:val="en-US"/>
        </w:rPr>
        <w:t>Philippine Professional Standards for Teachers</w:t>
      </w:r>
      <w:r w:rsidRPr="00DC5490">
        <w:rPr>
          <w:rFonts w:asciiTheme="majorHAnsi" w:hAnsiTheme="majorHAnsi" w:cstheme="majorHAnsi"/>
          <w:snapToGrid w:val="0"/>
          <w:sz w:val="20"/>
          <w:szCs w:val="20"/>
          <w:lang w:val="en-US"/>
        </w:rPr>
        <w:t xml:space="preserve"> through RPMS in </w:t>
      </w:r>
      <w:r w:rsidRPr="00DC5490">
        <w:rPr>
          <w:rFonts w:asciiTheme="majorHAnsi" w:hAnsiTheme="majorHAnsi" w:cstheme="majorHAnsi"/>
          <w:bCs/>
          <w:snapToGrid w:val="0"/>
          <w:color w:val="000000"/>
          <w:sz w:val="20"/>
          <w:szCs w:val="20"/>
          <w:lang w:val="en-US"/>
        </w:rPr>
        <w:t>your school</w:t>
      </w:r>
      <w:r w:rsidRPr="00DC5490">
        <w:rPr>
          <w:rFonts w:asciiTheme="majorHAnsi" w:hAnsiTheme="majorHAnsi" w:cstheme="majorHAnsi"/>
          <w:snapToGrid w:val="0"/>
          <w:sz w:val="20"/>
          <w:szCs w:val="20"/>
          <w:lang w:val="en-US"/>
        </w:rPr>
        <w:t>?</w:t>
      </w:r>
    </w:p>
    <w:p w14:paraId="6ACAC21C" w14:textId="77777777" w:rsidR="008D0CAD" w:rsidRPr="00DC5490" w:rsidRDefault="008D0CAD" w:rsidP="00DD08E3">
      <w:pPr>
        <w:numPr>
          <w:ilvl w:val="0"/>
          <w:numId w:val="81"/>
        </w:numPr>
        <w:spacing w:before="100" w:beforeAutospacing="1" w:after="100" w:afterAutospacing="1" w:line="360" w:lineRule="auto"/>
        <w:contextualSpacing/>
        <w:rPr>
          <w:rFonts w:asciiTheme="majorHAnsi" w:hAnsiTheme="majorHAnsi" w:cstheme="majorHAnsi"/>
          <w:snapToGrid w:val="0"/>
          <w:color w:val="000000"/>
          <w:sz w:val="20"/>
          <w:szCs w:val="20"/>
          <w:lang w:val="en-US"/>
        </w:rPr>
      </w:pPr>
      <w:r w:rsidRPr="00DC5490">
        <w:rPr>
          <w:rFonts w:asciiTheme="majorHAnsi" w:hAnsiTheme="majorHAnsi" w:cstheme="majorHAnsi"/>
          <w:snapToGrid w:val="0"/>
          <w:color w:val="000000" w:themeColor="text1"/>
          <w:sz w:val="20"/>
          <w:szCs w:val="20"/>
          <w:lang w:val="en-US"/>
        </w:rPr>
        <w:t>How is a curriculum is developed and rolled out across DepED schools and grade levels?</w:t>
      </w:r>
    </w:p>
    <w:p w14:paraId="7F85A0E8" w14:textId="24CE5889" w:rsidR="008D0CAD" w:rsidRPr="00DC5490" w:rsidRDefault="008D0CAD" w:rsidP="00DD08E3">
      <w:pPr>
        <w:numPr>
          <w:ilvl w:val="0"/>
          <w:numId w:val="81"/>
        </w:numPr>
        <w:spacing w:before="100" w:beforeAutospacing="1" w:after="100" w:afterAutospacing="1" w:line="360" w:lineRule="auto"/>
        <w:ind w:left="357" w:hanging="357"/>
        <w:rPr>
          <w:rFonts w:asciiTheme="majorHAnsi" w:hAnsiTheme="majorHAnsi" w:cstheme="majorHAnsi"/>
          <w:snapToGrid w:val="0"/>
          <w:sz w:val="20"/>
          <w:szCs w:val="20"/>
          <w:lang w:val="en-US"/>
        </w:rPr>
      </w:pPr>
      <w:r w:rsidRPr="00DC5490">
        <w:rPr>
          <w:rFonts w:asciiTheme="majorHAnsi" w:hAnsiTheme="majorHAnsi" w:cstheme="majorHAnsi"/>
          <w:snapToGrid w:val="0"/>
          <w:sz w:val="20"/>
          <w:szCs w:val="20"/>
          <w:lang w:val="en-US"/>
        </w:rPr>
        <w:t xml:space="preserve">How were you capacitated to implement the reforms in </w:t>
      </w:r>
      <w:r w:rsidRPr="00DC5490">
        <w:rPr>
          <w:rFonts w:asciiTheme="majorHAnsi" w:hAnsiTheme="majorHAnsi" w:cstheme="majorHAnsi"/>
          <w:snapToGrid w:val="0"/>
          <w:color w:val="000000" w:themeColor="text1"/>
          <w:sz w:val="20"/>
          <w:szCs w:val="20"/>
          <w:lang w:val="en-US"/>
        </w:rPr>
        <w:t>K to 12 curricula</w:t>
      </w:r>
      <w:r w:rsidRPr="00DC5490">
        <w:rPr>
          <w:rFonts w:asciiTheme="majorHAnsi" w:hAnsiTheme="majorHAnsi" w:cstheme="majorHAnsi"/>
          <w:snapToGrid w:val="0"/>
          <w:sz w:val="20"/>
          <w:szCs w:val="20"/>
          <w:lang w:val="en-US"/>
        </w:rPr>
        <w:t>?</w:t>
      </w:r>
      <w:r w:rsidR="00D434EB">
        <w:rPr>
          <w:rFonts w:asciiTheme="majorHAnsi" w:hAnsiTheme="majorHAnsi" w:cstheme="majorHAnsi"/>
          <w:snapToGrid w:val="0"/>
          <w:sz w:val="20"/>
          <w:szCs w:val="20"/>
          <w:lang w:val="en-US"/>
        </w:rPr>
        <w:t xml:space="preserve"> </w:t>
      </w:r>
    </w:p>
    <w:p w14:paraId="447AE47C" w14:textId="77777777" w:rsidR="008D0CAD" w:rsidRPr="00DC5490" w:rsidRDefault="008D0CAD" w:rsidP="00DD08E3">
      <w:pPr>
        <w:numPr>
          <w:ilvl w:val="1"/>
          <w:numId w:val="81"/>
        </w:numPr>
        <w:spacing w:before="100" w:beforeAutospacing="1" w:after="100" w:afterAutospacing="1" w:line="360" w:lineRule="auto"/>
        <w:ind w:left="788" w:hanging="431"/>
        <w:rPr>
          <w:rFonts w:asciiTheme="majorHAnsi" w:hAnsiTheme="majorHAnsi" w:cstheme="majorHAnsi"/>
          <w:snapToGrid w:val="0"/>
          <w:sz w:val="20"/>
          <w:szCs w:val="20"/>
          <w:lang w:val="en-US"/>
        </w:rPr>
      </w:pPr>
      <w:r w:rsidRPr="00DC5490">
        <w:rPr>
          <w:rFonts w:asciiTheme="majorHAnsi" w:hAnsiTheme="majorHAnsi" w:cstheme="majorHAnsi"/>
          <w:snapToGrid w:val="0"/>
          <w:sz w:val="20"/>
          <w:szCs w:val="20"/>
          <w:lang w:val="en-US"/>
        </w:rPr>
        <w:t xml:space="preserve">Please describe the mode of training provided to you (formal training, job training, peer study, self-study etc.), how long was the training, who trained you, etc.? </w:t>
      </w:r>
    </w:p>
    <w:p w14:paraId="399C3ACB" w14:textId="77777777" w:rsidR="008D0CAD" w:rsidRPr="00DC5490" w:rsidRDefault="008D0CAD" w:rsidP="00DD08E3">
      <w:pPr>
        <w:numPr>
          <w:ilvl w:val="1"/>
          <w:numId w:val="81"/>
        </w:numPr>
        <w:spacing w:before="100" w:beforeAutospacing="1" w:after="100" w:afterAutospacing="1" w:line="360" w:lineRule="auto"/>
        <w:ind w:left="788" w:hanging="431"/>
        <w:rPr>
          <w:rFonts w:asciiTheme="majorHAnsi" w:hAnsiTheme="majorHAnsi" w:cstheme="majorHAnsi"/>
          <w:snapToGrid w:val="0"/>
          <w:sz w:val="20"/>
          <w:szCs w:val="20"/>
          <w:lang w:val="en-US"/>
        </w:rPr>
      </w:pPr>
      <w:r w:rsidRPr="00DC5490">
        <w:rPr>
          <w:rFonts w:asciiTheme="majorHAnsi" w:hAnsiTheme="majorHAnsi" w:cstheme="majorHAnsi"/>
          <w:snapToGrid w:val="0"/>
          <w:sz w:val="20"/>
          <w:szCs w:val="20"/>
          <w:lang w:val="en-US"/>
        </w:rPr>
        <w:t xml:space="preserve">How </w:t>
      </w:r>
      <w:r w:rsidRPr="00DC5490">
        <w:rPr>
          <w:rFonts w:asciiTheme="majorHAnsi" w:hAnsiTheme="majorHAnsi" w:cstheme="majorHAnsi"/>
          <w:b/>
          <w:snapToGrid w:val="0"/>
          <w:sz w:val="20"/>
          <w:szCs w:val="20"/>
          <w:lang w:val="en-US"/>
        </w:rPr>
        <w:t>adequate</w:t>
      </w:r>
      <w:r w:rsidRPr="00DC5490">
        <w:rPr>
          <w:rFonts w:asciiTheme="majorHAnsi" w:hAnsiTheme="majorHAnsi" w:cstheme="majorHAnsi"/>
          <w:snapToGrid w:val="0"/>
          <w:sz w:val="20"/>
          <w:szCs w:val="20"/>
          <w:lang w:val="en-US"/>
        </w:rPr>
        <w:t xml:space="preserve"> and </w:t>
      </w:r>
      <w:r w:rsidRPr="00DC5490">
        <w:rPr>
          <w:rFonts w:asciiTheme="majorHAnsi" w:hAnsiTheme="majorHAnsi" w:cstheme="majorHAnsi"/>
          <w:b/>
          <w:snapToGrid w:val="0"/>
          <w:sz w:val="20"/>
          <w:szCs w:val="20"/>
          <w:lang w:val="en-US"/>
        </w:rPr>
        <w:t>effective</w:t>
      </w:r>
      <w:r w:rsidRPr="00DC5490">
        <w:rPr>
          <w:rFonts w:asciiTheme="majorHAnsi" w:hAnsiTheme="majorHAnsi" w:cstheme="majorHAnsi"/>
          <w:snapToGrid w:val="0"/>
          <w:sz w:val="20"/>
          <w:szCs w:val="20"/>
          <w:lang w:val="en-US"/>
        </w:rPr>
        <w:t xml:space="preserve"> were the capacity building interventions provided to you to help you implement the new curricula?</w:t>
      </w:r>
      <w:r w:rsidRPr="00DC5490">
        <w:rPr>
          <w:rFonts w:asciiTheme="majorHAnsi" w:hAnsiTheme="majorHAnsi" w:cstheme="majorHAnsi"/>
          <w:bCs/>
          <w:snapToGrid w:val="0"/>
          <w:color w:val="000000"/>
          <w:sz w:val="20"/>
          <w:szCs w:val="20"/>
          <w:lang w:val="en-US"/>
        </w:rPr>
        <w:t xml:space="preserve"> Are there remaining gaps? </w:t>
      </w:r>
    </w:p>
    <w:p w14:paraId="39885E1B" w14:textId="77777777" w:rsidR="008D0CAD" w:rsidRPr="00DC5490" w:rsidRDefault="008D0CAD" w:rsidP="00DD08E3">
      <w:pPr>
        <w:numPr>
          <w:ilvl w:val="0"/>
          <w:numId w:val="81"/>
        </w:numPr>
        <w:spacing w:before="100" w:beforeAutospacing="1" w:after="100" w:afterAutospacing="1" w:line="360" w:lineRule="auto"/>
        <w:contextualSpacing/>
        <w:rPr>
          <w:rFonts w:asciiTheme="majorHAnsi" w:hAnsiTheme="majorHAnsi" w:cstheme="majorHAnsi"/>
          <w:snapToGrid w:val="0"/>
          <w:sz w:val="20"/>
          <w:szCs w:val="20"/>
          <w:lang w:val="en-US"/>
        </w:rPr>
      </w:pPr>
      <w:r w:rsidRPr="00DC5490">
        <w:rPr>
          <w:rFonts w:asciiTheme="majorHAnsi" w:hAnsiTheme="majorHAnsi" w:cstheme="majorHAnsi"/>
          <w:snapToGrid w:val="0"/>
          <w:sz w:val="20"/>
          <w:szCs w:val="20"/>
          <w:lang w:val="en-US"/>
        </w:rPr>
        <w:t xml:space="preserve">How were you capacitated to implement the reforms in </w:t>
      </w:r>
      <w:r w:rsidRPr="00DC5490">
        <w:rPr>
          <w:rFonts w:asciiTheme="majorHAnsi" w:hAnsiTheme="majorHAnsi" w:cstheme="majorHAnsi"/>
          <w:snapToGrid w:val="0"/>
          <w:color w:val="000000" w:themeColor="text1"/>
          <w:sz w:val="20"/>
          <w:szCs w:val="20"/>
          <w:lang w:val="en-US"/>
        </w:rPr>
        <w:t xml:space="preserve">K to 12 assessment? </w:t>
      </w:r>
    </w:p>
    <w:p w14:paraId="3F8EFBEA" w14:textId="77777777" w:rsidR="008D0CAD" w:rsidRPr="00DC5490" w:rsidRDefault="008D0CAD" w:rsidP="00DD08E3">
      <w:pPr>
        <w:numPr>
          <w:ilvl w:val="1"/>
          <w:numId w:val="81"/>
        </w:numPr>
        <w:spacing w:before="100" w:beforeAutospacing="1" w:after="100" w:afterAutospacing="1" w:line="360" w:lineRule="auto"/>
        <w:ind w:left="788" w:hanging="431"/>
        <w:rPr>
          <w:rFonts w:asciiTheme="majorHAnsi" w:hAnsiTheme="majorHAnsi" w:cstheme="majorHAnsi"/>
          <w:snapToGrid w:val="0"/>
          <w:sz w:val="20"/>
          <w:szCs w:val="20"/>
          <w:lang w:val="en-US"/>
        </w:rPr>
      </w:pPr>
      <w:r w:rsidRPr="00DC5490">
        <w:rPr>
          <w:rFonts w:asciiTheme="majorHAnsi" w:hAnsiTheme="majorHAnsi" w:cstheme="majorHAnsi"/>
          <w:snapToGrid w:val="0"/>
          <w:sz w:val="20"/>
          <w:szCs w:val="20"/>
          <w:lang w:val="en-US"/>
        </w:rPr>
        <w:t xml:space="preserve"> Please describe the mode of training provided to you (formal training, job training, peer study, self-study etc.), how long was the training, who trained you, etc.? </w:t>
      </w:r>
    </w:p>
    <w:p w14:paraId="6B630C22" w14:textId="77777777" w:rsidR="008D0CAD" w:rsidRPr="00DC5490" w:rsidRDefault="008D0CAD" w:rsidP="00DD08E3">
      <w:pPr>
        <w:numPr>
          <w:ilvl w:val="1"/>
          <w:numId w:val="81"/>
        </w:numPr>
        <w:spacing w:before="100" w:beforeAutospacing="1" w:after="100" w:afterAutospacing="1" w:line="360" w:lineRule="auto"/>
        <w:ind w:left="788" w:hanging="431"/>
        <w:rPr>
          <w:rFonts w:asciiTheme="majorHAnsi" w:hAnsiTheme="majorHAnsi" w:cstheme="majorHAnsi"/>
          <w:snapToGrid w:val="0"/>
          <w:sz w:val="20"/>
          <w:szCs w:val="20"/>
          <w:lang w:val="en-US"/>
        </w:rPr>
      </w:pPr>
      <w:r w:rsidRPr="00DC5490">
        <w:rPr>
          <w:rFonts w:asciiTheme="majorHAnsi" w:hAnsiTheme="majorHAnsi" w:cstheme="majorHAnsi"/>
          <w:snapToGrid w:val="0"/>
          <w:sz w:val="20"/>
          <w:szCs w:val="20"/>
          <w:lang w:val="en-US"/>
        </w:rPr>
        <w:t xml:space="preserve">How </w:t>
      </w:r>
      <w:r w:rsidRPr="00DC5490">
        <w:rPr>
          <w:rFonts w:asciiTheme="majorHAnsi" w:hAnsiTheme="majorHAnsi" w:cstheme="majorHAnsi"/>
          <w:b/>
          <w:snapToGrid w:val="0"/>
          <w:sz w:val="20"/>
          <w:szCs w:val="20"/>
          <w:lang w:val="en-US"/>
        </w:rPr>
        <w:t>adequate</w:t>
      </w:r>
      <w:r w:rsidRPr="00DC5490">
        <w:rPr>
          <w:rFonts w:asciiTheme="majorHAnsi" w:hAnsiTheme="majorHAnsi" w:cstheme="majorHAnsi"/>
          <w:snapToGrid w:val="0"/>
          <w:sz w:val="20"/>
          <w:szCs w:val="20"/>
          <w:lang w:val="en-US"/>
        </w:rPr>
        <w:t xml:space="preserve"> and </w:t>
      </w:r>
      <w:r w:rsidRPr="00DC5490">
        <w:rPr>
          <w:rFonts w:asciiTheme="majorHAnsi" w:hAnsiTheme="majorHAnsi" w:cstheme="majorHAnsi"/>
          <w:b/>
          <w:snapToGrid w:val="0"/>
          <w:sz w:val="20"/>
          <w:szCs w:val="20"/>
          <w:lang w:val="en-US"/>
        </w:rPr>
        <w:t>effective</w:t>
      </w:r>
      <w:r w:rsidRPr="00DC5490">
        <w:rPr>
          <w:rFonts w:asciiTheme="majorHAnsi" w:hAnsiTheme="majorHAnsi" w:cstheme="majorHAnsi"/>
          <w:snapToGrid w:val="0"/>
          <w:sz w:val="20"/>
          <w:szCs w:val="20"/>
          <w:lang w:val="en-US"/>
        </w:rPr>
        <w:t xml:space="preserve"> were the capacity building interventions provided to you to help you implement the new assessment?</w:t>
      </w:r>
      <w:r w:rsidRPr="00DC5490">
        <w:rPr>
          <w:rFonts w:asciiTheme="majorHAnsi" w:hAnsiTheme="majorHAnsi" w:cstheme="majorHAnsi"/>
          <w:bCs/>
          <w:snapToGrid w:val="0"/>
          <w:color w:val="000000"/>
          <w:sz w:val="20"/>
          <w:szCs w:val="20"/>
          <w:lang w:val="en-US"/>
        </w:rPr>
        <w:t xml:space="preserve"> Are there remaining gaps? </w:t>
      </w:r>
    </w:p>
    <w:p w14:paraId="51D5632B" w14:textId="2A701C8E" w:rsidR="008D0CAD" w:rsidRPr="00DC5490" w:rsidRDefault="008D0CAD" w:rsidP="00DD08E3">
      <w:pPr>
        <w:numPr>
          <w:ilvl w:val="0"/>
          <w:numId w:val="81"/>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bCs/>
          <w:snapToGrid w:val="0"/>
          <w:color w:val="000000"/>
          <w:sz w:val="20"/>
          <w:szCs w:val="20"/>
          <w:lang w:val="en-US"/>
        </w:rPr>
        <w:t xml:space="preserve">Have you ever used the </w:t>
      </w:r>
      <w:r w:rsidRPr="00DC5490">
        <w:rPr>
          <w:rFonts w:asciiTheme="majorHAnsi" w:hAnsiTheme="majorHAnsi" w:cstheme="majorHAnsi"/>
          <w:b/>
          <w:bCs/>
          <w:snapToGrid w:val="0"/>
          <w:color w:val="0070C0"/>
          <w:sz w:val="20"/>
          <w:szCs w:val="20"/>
          <w:lang w:val="en-US"/>
        </w:rPr>
        <w:t>Enhanced Basic Education Information System (EBEIS)</w:t>
      </w:r>
      <w:r w:rsidRPr="00DC5490">
        <w:rPr>
          <w:rFonts w:asciiTheme="majorHAnsi" w:hAnsiTheme="majorHAnsi" w:cstheme="majorHAnsi"/>
          <w:bCs/>
          <w:snapToGrid w:val="0"/>
          <w:color w:val="000000"/>
          <w:sz w:val="20"/>
          <w:szCs w:val="20"/>
          <w:lang w:val="en-US"/>
        </w:rPr>
        <w:t>?</w:t>
      </w:r>
      <w:r w:rsidR="00D434EB">
        <w:rPr>
          <w:rFonts w:asciiTheme="majorHAnsi" w:hAnsiTheme="majorHAnsi" w:cstheme="majorHAnsi"/>
          <w:bCs/>
          <w:snapToGrid w:val="0"/>
          <w:color w:val="000000"/>
          <w:sz w:val="20"/>
          <w:szCs w:val="20"/>
          <w:lang w:val="en-US"/>
        </w:rPr>
        <w:t xml:space="preserve"> </w:t>
      </w:r>
      <w:r w:rsidRPr="00DC5490">
        <w:rPr>
          <w:rFonts w:asciiTheme="majorHAnsi" w:hAnsiTheme="majorHAnsi" w:cstheme="majorHAnsi"/>
          <w:bCs/>
          <w:snapToGrid w:val="0"/>
          <w:color w:val="000000"/>
          <w:sz w:val="20"/>
          <w:szCs w:val="20"/>
          <w:lang w:val="en-US"/>
        </w:rPr>
        <w:t xml:space="preserve"> ____ Yes</w:t>
      </w:r>
      <w:r w:rsidR="00D434EB">
        <w:rPr>
          <w:rFonts w:asciiTheme="majorHAnsi" w:hAnsiTheme="majorHAnsi" w:cstheme="majorHAnsi"/>
          <w:bCs/>
          <w:snapToGrid w:val="0"/>
          <w:color w:val="000000"/>
          <w:sz w:val="20"/>
          <w:szCs w:val="20"/>
          <w:lang w:val="en-US"/>
        </w:rPr>
        <w:t xml:space="preserve">  </w:t>
      </w:r>
      <w:r w:rsidRPr="00DC5490">
        <w:rPr>
          <w:rFonts w:asciiTheme="majorHAnsi" w:hAnsiTheme="majorHAnsi" w:cstheme="majorHAnsi"/>
          <w:bCs/>
          <w:snapToGrid w:val="0"/>
          <w:color w:val="000000"/>
          <w:sz w:val="20"/>
          <w:szCs w:val="20"/>
          <w:lang w:val="en-US"/>
        </w:rPr>
        <w:t xml:space="preserve"> ____ No (Go to Question No. 27)</w:t>
      </w:r>
    </w:p>
    <w:p w14:paraId="024A5B57" w14:textId="77777777" w:rsidR="008D0CAD" w:rsidRPr="00DC5490" w:rsidRDefault="008D0CAD" w:rsidP="00DD08E3">
      <w:pPr>
        <w:numPr>
          <w:ilvl w:val="1"/>
          <w:numId w:val="81"/>
        </w:numPr>
        <w:spacing w:before="100" w:beforeAutospacing="1" w:after="100" w:afterAutospacing="1" w:line="360" w:lineRule="auto"/>
        <w:ind w:left="900" w:hanging="540"/>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bCs/>
          <w:snapToGrid w:val="0"/>
          <w:color w:val="000000"/>
          <w:sz w:val="20"/>
          <w:szCs w:val="20"/>
          <w:lang w:val="en-US"/>
        </w:rPr>
        <w:t xml:space="preserve">In your own opinion, what is the purpose of the </w:t>
      </w:r>
      <w:r w:rsidRPr="00DC5490">
        <w:rPr>
          <w:rFonts w:asciiTheme="majorHAnsi" w:hAnsiTheme="majorHAnsi" w:cstheme="majorHAnsi"/>
          <w:b/>
          <w:bCs/>
          <w:snapToGrid w:val="0"/>
          <w:color w:val="000000" w:themeColor="text1"/>
          <w:sz w:val="20"/>
          <w:szCs w:val="20"/>
          <w:lang w:val="en-US"/>
        </w:rPr>
        <w:t>Enhanced Basic Education Information System</w:t>
      </w:r>
      <w:r w:rsidRPr="00DC5490">
        <w:rPr>
          <w:rFonts w:asciiTheme="majorHAnsi" w:hAnsiTheme="majorHAnsi" w:cstheme="majorHAnsi"/>
          <w:snapToGrid w:val="0"/>
          <w:color w:val="000000"/>
          <w:sz w:val="20"/>
          <w:szCs w:val="20"/>
          <w:lang w:val="en-US"/>
        </w:rPr>
        <w:t xml:space="preserve">? </w:t>
      </w:r>
    </w:p>
    <w:p w14:paraId="799ECF9A" w14:textId="2A04427D" w:rsidR="008D0CAD" w:rsidRPr="00DC5490" w:rsidRDefault="008D0CAD" w:rsidP="00DD08E3">
      <w:pPr>
        <w:numPr>
          <w:ilvl w:val="1"/>
          <w:numId w:val="81"/>
        </w:numPr>
        <w:spacing w:before="100" w:beforeAutospacing="1" w:after="100" w:afterAutospacing="1" w:line="360" w:lineRule="auto"/>
        <w:ind w:left="900" w:hanging="540"/>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bCs/>
          <w:snapToGrid w:val="0"/>
          <w:color w:val="000000"/>
          <w:sz w:val="20"/>
          <w:szCs w:val="20"/>
          <w:lang w:val="en-US"/>
        </w:rPr>
        <w:t xml:space="preserve">Since when have you been using the </w:t>
      </w:r>
      <w:r w:rsidRPr="00DC5490">
        <w:rPr>
          <w:rFonts w:asciiTheme="majorHAnsi" w:hAnsiTheme="majorHAnsi" w:cstheme="majorHAnsi"/>
          <w:b/>
          <w:bCs/>
          <w:snapToGrid w:val="0"/>
          <w:color w:val="000000" w:themeColor="text1"/>
          <w:sz w:val="20"/>
          <w:szCs w:val="20"/>
          <w:lang w:val="en-US"/>
        </w:rPr>
        <w:t>Enhanced Basic Education Information System</w:t>
      </w:r>
      <w:r w:rsidRPr="00DC5490">
        <w:rPr>
          <w:rFonts w:asciiTheme="majorHAnsi" w:hAnsiTheme="majorHAnsi" w:cstheme="majorHAnsi"/>
          <w:bCs/>
          <w:snapToGrid w:val="0"/>
          <w:color w:val="000000"/>
          <w:sz w:val="20"/>
          <w:szCs w:val="20"/>
          <w:lang w:val="en-US"/>
        </w:rPr>
        <w:t>?</w:t>
      </w:r>
      <w:r w:rsidR="00D434EB">
        <w:rPr>
          <w:rFonts w:asciiTheme="majorHAnsi" w:hAnsiTheme="majorHAnsi" w:cstheme="majorHAnsi"/>
          <w:bCs/>
          <w:snapToGrid w:val="0"/>
          <w:color w:val="000000"/>
          <w:sz w:val="20"/>
          <w:szCs w:val="20"/>
          <w:lang w:val="en-US"/>
        </w:rPr>
        <w:t xml:space="preserve"> </w:t>
      </w:r>
    </w:p>
    <w:p w14:paraId="5C8F2D39" w14:textId="3DE70F14" w:rsidR="008D0CAD" w:rsidRDefault="008D0CAD" w:rsidP="00EA6CB9">
      <w:pPr>
        <w:spacing w:before="100" w:beforeAutospacing="1" w:after="100" w:afterAutospacing="1" w:line="360" w:lineRule="auto"/>
        <w:ind w:left="788" w:hanging="431"/>
        <w:rPr>
          <w:rFonts w:asciiTheme="majorHAnsi" w:hAnsiTheme="majorHAnsi" w:cstheme="majorHAnsi"/>
          <w:bCs/>
          <w:color w:val="000000"/>
          <w:sz w:val="20"/>
          <w:szCs w:val="20"/>
          <w:lang w:val="en-US"/>
        </w:rPr>
      </w:pPr>
      <w:r w:rsidRPr="00DC5490">
        <w:rPr>
          <w:rFonts w:asciiTheme="majorHAnsi" w:hAnsiTheme="majorHAnsi" w:cstheme="majorHAnsi"/>
          <w:bCs/>
          <w:color w:val="000000"/>
          <w:sz w:val="20"/>
          <w:szCs w:val="20"/>
          <w:lang w:val="en-US"/>
        </w:rPr>
        <w:t xml:space="preserve"> </w:t>
      </w:r>
      <w:r w:rsidRPr="00DC5490">
        <w:rPr>
          <w:rFonts w:asciiTheme="majorHAnsi" w:hAnsiTheme="majorHAnsi" w:cstheme="majorHAnsi"/>
          <w:bCs/>
          <w:color w:val="000000"/>
          <w:sz w:val="20"/>
          <w:szCs w:val="20"/>
          <w:lang w:val="en-US"/>
        </w:rPr>
        <w:tab/>
        <w:t>___ 2014</w:t>
      </w:r>
      <w:r w:rsidR="00D434EB">
        <w:rPr>
          <w:rFonts w:asciiTheme="majorHAnsi" w:hAnsiTheme="majorHAnsi" w:cstheme="majorHAnsi"/>
          <w:bCs/>
          <w:color w:val="000000"/>
          <w:sz w:val="20"/>
          <w:szCs w:val="20"/>
          <w:lang w:val="en-US"/>
        </w:rPr>
        <w:t xml:space="preserve">  </w:t>
      </w:r>
      <w:r w:rsidRPr="00DC5490">
        <w:rPr>
          <w:rFonts w:asciiTheme="majorHAnsi" w:hAnsiTheme="majorHAnsi" w:cstheme="majorHAnsi"/>
          <w:bCs/>
          <w:color w:val="000000"/>
          <w:sz w:val="20"/>
          <w:szCs w:val="20"/>
          <w:lang w:val="en-US"/>
        </w:rPr>
        <w:t xml:space="preserve"> ___ 2015</w:t>
      </w:r>
      <w:r w:rsidR="00D434EB">
        <w:rPr>
          <w:rFonts w:asciiTheme="majorHAnsi" w:hAnsiTheme="majorHAnsi" w:cstheme="majorHAnsi"/>
          <w:bCs/>
          <w:color w:val="000000"/>
          <w:sz w:val="20"/>
          <w:szCs w:val="20"/>
          <w:lang w:val="en-US"/>
        </w:rPr>
        <w:t xml:space="preserve">  </w:t>
      </w:r>
      <w:r w:rsidRPr="00DC5490">
        <w:rPr>
          <w:rFonts w:asciiTheme="majorHAnsi" w:hAnsiTheme="majorHAnsi" w:cstheme="majorHAnsi"/>
          <w:bCs/>
          <w:color w:val="000000"/>
          <w:sz w:val="20"/>
          <w:szCs w:val="20"/>
          <w:lang w:val="en-US"/>
        </w:rPr>
        <w:t xml:space="preserve"> ___ 2016</w:t>
      </w:r>
      <w:r w:rsidR="00D434EB">
        <w:rPr>
          <w:rFonts w:asciiTheme="majorHAnsi" w:hAnsiTheme="majorHAnsi" w:cstheme="majorHAnsi"/>
          <w:bCs/>
          <w:color w:val="000000"/>
          <w:sz w:val="20"/>
          <w:szCs w:val="20"/>
          <w:lang w:val="en-US"/>
        </w:rPr>
        <w:t xml:space="preserve">  </w:t>
      </w:r>
      <w:r w:rsidRPr="00DC5490">
        <w:rPr>
          <w:rFonts w:asciiTheme="majorHAnsi" w:hAnsiTheme="majorHAnsi" w:cstheme="majorHAnsi"/>
          <w:bCs/>
          <w:color w:val="000000"/>
          <w:sz w:val="20"/>
          <w:szCs w:val="20"/>
          <w:lang w:val="en-US"/>
        </w:rPr>
        <w:t xml:space="preserve"> ___ 2017</w:t>
      </w:r>
      <w:r w:rsidR="00D434EB">
        <w:rPr>
          <w:rFonts w:asciiTheme="majorHAnsi" w:hAnsiTheme="majorHAnsi" w:cstheme="majorHAnsi"/>
          <w:bCs/>
          <w:color w:val="000000"/>
          <w:sz w:val="20"/>
          <w:szCs w:val="20"/>
          <w:lang w:val="en-US"/>
        </w:rPr>
        <w:t xml:space="preserve">  </w:t>
      </w:r>
      <w:r w:rsidRPr="00DC5490">
        <w:rPr>
          <w:rFonts w:asciiTheme="majorHAnsi" w:hAnsiTheme="majorHAnsi" w:cstheme="majorHAnsi"/>
          <w:bCs/>
          <w:color w:val="000000"/>
          <w:sz w:val="20"/>
          <w:szCs w:val="20"/>
          <w:lang w:val="en-US"/>
        </w:rPr>
        <w:t xml:space="preserve"> ___ 2018</w:t>
      </w:r>
      <w:r w:rsidR="00D434EB">
        <w:rPr>
          <w:rFonts w:asciiTheme="majorHAnsi" w:hAnsiTheme="majorHAnsi" w:cstheme="majorHAnsi"/>
          <w:bCs/>
          <w:color w:val="000000"/>
          <w:sz w:val="20"/>
          <w:szCs w:val="20"/>
          <w:lang w:val="en-US"/>
        </w:rPr>
        <w:t xml:space="preserve">  </w:t>
      </w:r>
      <w:r w:rsidRPr="00DC5490">
        <w:rPr>
          <w:rFonts w:asciiTheme="majorHAnsi" w:hAnsiTheme="majorHAnsi" w:cstheme="majorHAnsi"/>
          <w:bCs/>
          <w:color w:val="000000"/>
          <w:sz w:val="20"/>
          <w:szCs w:val="20"/>
          <w:lang w:val="en-US"/>
        </w:rPr>
        <w:t xml:space="preserve"> ___ Others, ________</w:t>
      </w:r>
    </w:p>
    <w:p w14:paraId="157BD1D7" w14:textId="77777777" w:rsidR="008D0CAD" w:rsidRPr="00DC5490" w:rsidRDefault="008D0CAD" w:rsidP="00DD08E3">
      <w:pPr>
        <w:numPr>
          <w:ilvl w:val="1"/>
          <w:numId w:val="81"/>
        </w:numPr>
        <w:spacing w:before="100" w:beforeAutospacing="1" w:after="100" w:afterAutospacing="1" w:line="360" w:lineRule="auto"/>
        <w:ind w:left="900" w:hanging="540"/>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bCs/>
          <w:snapToGrid w:val="0"/>
          <w:color w:val="000000"/>
          <w:sz w:val="20"/>
          <w:szCs w:val="20"/>
          <w:lang w:val="en-US"/>
        </w:rPr>
        <w:t xml:space="preserve">How often do you use the </w:t>
      </w:r>
      <w:r w:rsidRPr="00DC5490">
        <w:rPr>
          <w:rFonts w:asciiTheme="majorHAnsi" w:hAnsiTheme="majorHAnsi" w:cstheme="majorHAnsi"/>
          <w:bCs/>
          <w:snapToGrid w:val="0"/>
          <w:color w:val="000000" w:themeColor="text1"/>
          <w:sz w:val="20"/>
          <w:szCs w:val="20"/>
          <w:lang w:val="en-US"/>
        </w:rPr>
        <w:t>Learner Information System</w:t>
      </w:r>
      <w:r w:rsidRPr="00DC5490">
        <w:rPr>
          <w:rFonts w:asciiTheme="majorHAnsi" w:hAnsiTheme="majorHAnsi" w:cstheme="majorHAnsi"/>
          <w:bCs/>
          <w:snapToGrid w:val="0"/>
          <w:color w:val="000000"/>
          <w:sz w:val="20"/>
          <w:szCs w:val="20"/>
          <w:lang w:val="en-US"/>
        </w:rPr>
        <w:t xml:space="preserve">? </w:t>
      </w:r>
    </w:p>
    <w:p w14:paraId="4A2DE5C5" w14:textId="51459E9D" w:rsidR="008D0CAD" w:rsidRPr="00DC5490" w:rsidRDefault="00D434EB" w:rsidP="00EA6CB9">
      <w:pPr>
        <w:spacing w:before="100" w:beforeAutospacing="1" w:after="100" w:afterAutospacing="1" w:line="360" w:lineRule="auto"/>
        <w:ind w:left="788" w:hanging="431"/>
        <w:rPr>
          <w:rFonts w:asciiTheme="majorHAnsi" w:hAnsiTheme="majorHAnsi" w:cstheme="majorHAnsi"/>
          <w:bCs/>
          <w:color w:val="000000"/>
          <w:sz w:val="20"/>
          <w:szCs w:val="20"/>
          <w:lang w:val="en-US"/>
        </w:rPr>
      </w:pPr>
      <w:r>
        <w:rPr>
          <w:rFonts w:asciiTheme="majorHAnsi" w:hAnsiTheme="majorHAnsi" w:cstheme="majorHAnsi"/>
          <w:bCs/>
          <w:color w:val="000000"/>
          <w:sz w:val="20"/>
          <w:szCs w:val="20"/>
          <w:lang w:val="en-US"/>
        </w:rPr>
        <w:t xml:space="preserve">     </w:t>
      </w:r>
      <w:r w:rsidR="008D0CAD" w:rsidRPr="00DC5490">
        <w:rPr>
          <w:rFonts w:asciiTheme="majorHAnsi" w:hAnsiTheme="majorHAnsi" w:cstheme="majorHAnsi"/>
          <w:bCs/>
          <w:color w:val="000000"/>
          <w:sz w:val="20"/>
          <w:szCs w:val="20"/>
          <w:lang w:val="en-US"/>
        </w:rPr>
        <w:t xml:space="preserve"> ___ Monthly</w:t>
      </w:r>
      <w:r>
        <w:rPr>
          <w:rFonts w:asciiTheme="majorHAnsi" w:hAnsiTheme="majorHAnsi" w:cstheme="majorHAnsi"/>
          <w:bCs/>
          <w:color w:val="000000"/>
          <w:sz w:val="20"/>
          <w:szCs w:val="20"/>
          <w:lang w:val="en-US"/>
        </w:rPr>
        <w:t xml:space="preserve"> </w:t>
      </w:r>
      <w:r w:rsidR="008D0CAD" w:rsidRPr="00DC5490">
        <w:rPr>
          <w:rFonts w:asciiTheme="majorHAnsi" w:hAnsiTheme="majorHAnsi" w:cstheme="majorHAnsi"/>
          <w:bCs/>
          <w:color w:val="000000"/>
          <w:sz w:val="20"/>
          <w:szCs w:val="20"/>
          <w:lang w:val="en-US"/>
        </w:rPr>
        <w:t xml:space="preserve"> ___ Quarterly</w:t>
      </w:r>
      <w:r>
        <w:rPr>
          <w:rFonts w:asciiTheme="majorHAnsi" w:hAnsiTheme="majorHAnsi" w:cstheme="majorHAnsi"/>
          <w:bCs/>
          <w:color w:val="000000"/>
          <w:sz w:val="20"/>
          <w:szCs w:val="20"/>
          <w:lang w:val="en-US"/>
        </w:rPr>
        <w:t xml:space="preserve"> </w:t>
      </w:r>
      <w:r w:rsidR="008D0CAD" w:rsidRPr="00DC5490">
        <w:rPr>
          <w:rFonts w:asciiTheme="majorHAnsi" w:hAnsiTheme="majorHAnsi" w:cstheme="majorHAnsi"/>
          <w:bCs/>
          <w:color w:val="000000"/>
          <w:sz w:val="20"/>
          <w:szCs w:val="20"/>
          <w:lang w:val="en-US"/>
        </w:rPr>
        <w:t xml:space="preserve"> ___ Semi-Annually</w:t>
      </w:r>
      <w:r>
        <w:rPr>
          <w:rFonts w:asciiTheme="majorHAnsi" w:hAnsiTheme="majorHAnsi" w:cstheme="majorHAnsi"/>
          <w:bCs/>
          <w:color w:val="000000"/>
          <w:sz w:val="20"/>
          <w:szCs w:val="20"/>
          <w:lang w:val="en-US"/>
        </w:rPr>
        <w:t xml:space="preserve"> </w:t>
      </w:r>
      <w:r w:rsidR="008D0CAD" w:rsidRPr="00DC5490">
        <w:rPr>
          <w:rFonts w:asciiTheme="majorHAnsi" w:hAnsiTheme="majorHAnsi" w:cstheme="majorHAnsi"/>
          <w:bCs/>
          <w:color w:val="000000"/>
          <w:sz w:val="20"/>
          <w:szCs w:val="20"/>
          <w:lang w:val="en-US"/>
        </w:rPr>
        <w:t xml:space="preserve"> ___ Annually</w:t>
      </w:r>
      <w:r>
        <w:rPr>
          <w:rFonts w:asciiTheme="majorHAnsi" w:hAnsiTheme="majorHAnsi" w:cstheme="majorHAnsi"/>
          <w:bCs/>
          <w:color w:val="000000"/>
          <w:sz w:val="20"/>
          <w:szCs w:val="20"/>
          <w:lang w:val="en-US"/>
        </w:rPr>
        <w:t xml:space="preserve">  </w:t>
      </w:r>
      <w:r w:rsidR="008D0CAD" w:rsidRPr="00DC5490">
        <w:rPr>
          <w:rFonts w:asciiTheme="majorHAnsi" w:hAnsiTheme="majorHAnsi" w:cstheme="majorHAnsi"/>
          <w:bCs/>
          <w:color w:val="000000"/>
          <w:sz w:val="20"/>
          <w:szCs w:val="20"/>
          <w:lang w:val="en-US"/>
        </w:rPr>
        <w:t>___ Others, __________________</w:t>
      </w:r>
    </w:p>
    <w:p w14:paraId="5DD4870A" w14:textId="77777777" w:rsidR="008D0CAD" w:rsidRPr="00DC5490" w:rsidRDefault="008D0CAD" w:rsidP="00DD08E3">
      <w:pPr>
        <w:numPr>
          <w:ilvl w:val="1"/>
          <w:numId w:val="81"/>
        </w:numPr>
        <w:spacing w:before="100" w:beforeAutospacing="1" w:after="100" w:afterAutospacing="1" w:line="360" w:lineRule="auto"/>
        <w:ind w:left="900" w:hanging="540"/>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snapToGrid w:val="0"/>
          <w:sz w:val="20"/>
          <w:szCs w:val="20"/>
          <w:lang w:val="en-US"/>
        </w:rPr>
        <w:t xml:space="preserve">On a scale of 1 to 4 (with 4 being Very High), </w:t>
      </w:r>
      <w:r w:rsidRPr="00DC5490">
        <w:rPr>
          <w:rFonts w:asciiTheme="majorHAnsi" w:hAnsiTheme="majorHAnsi" w:cstheme="majorHAnsi"/>
          <w:snapToGrid w:val="0"/>
          <w:color w:val="000000"/>
          <w:sz w:val="20"/>
          <w:szCs w:val="20"/>
          <w:lang w:val="en-US"/>
        </w:rPr>
        <w:t xml:space="preserve">assess </w:t>
      </w:r>
      <w:r w:rsidRPr="00DC5490">
        <w:rPr>
          <w:rFonts w:asciiTheme="majorHAnsi" w:hAnsiTheme="majorHAnsi" w:cstheme="majorHAnsi"/>
          <w:snapToGrid w:val="0"/>
          <w:sz w:val="20"/>
          <w:szCs w:val="20"/>
          <w:lang w:val="en-US"/>
        </w:rPr>
        <w:t xml:space="preserve">the </w:t>
      </w:r>
      <w:r w:rsidRPr="00DC5490">
        <w:rPr>
          <w:rFonts w:asciiTheme="majorHAnsi" w:hAnsiTheme="majorHAnsi" w:cstheme="majorHAnsi"/>
          <w:bCs/>
          <w:snapToGrid w:val="0"/>
          <w:color w:val="000000" w:themeColor="text1"/>
          <w:sz w:val="20"/>
          <w:szCs w:val="20"/>
          <w:lang w:val="en-US"/>
        </w:rPr>
        <w:t>Learner Information System</w:t>
      </w:r>
      <w:r w:rsidRPr="00DC5490">
        <w:rPr>
          <w:rFonts w:asciiTheme="majorHAnsi" w:hAnsiTheme="majorHAnsi" w:cstheme="majorHAnsi"/>
          <w:snapToGrid w:val="0"/>
          <w:sz w:val="20"/>
          <w:szCs w:val="20"/>
          <w:lang w:val="en-US"/>
        </w:rPr>
        <w:t xml:space="preserve"> by marking the appropriate box in terms of:</w:t>
      </w:r>
    </w:p>
    <w:tbl>
      <w:tblPr>
        <w:tblStyle w:val="TableGrid9"/>
        <w:tblW w:w="9343" w:type="dxa"/>
        <w:tblInd w:w="895" w:type="dxa"/>
        <w:tblLayout w:type="fixed"/>
        <w:tblLook w:val="04A0" w:firstRow="1" w:lastRow="0" w:firstColumn="1" w:lastColumn="0" w:noHBand="0" w:noVBand="1"/>
      </w:tblPr>
      <w:tblGrid>
        <w:gridCol w:w="4071"/>
        <w:gridCol w:w="1129"/>
        <w:gridCol w:w="941"/>
        <w:gridCol w:w="1129"/>
        <w:gridCol w:w="941"/>
        <w:gridCol w:w="1132"/>
      </w:tblGrid>
      <w:tr w:rsidR="008D0CAD" w:rsidRPr="00DC5490" w14:paraId="12539B2B" w14:textId="77777777" w:rsidTr="00F4751F">
        <w:trPr>
          <w:trHeight w:val="696"/>
          <w:tblHeader/>
        </w:trPr>
        <w:tc>
          <w:tcPr>
            <w:tcW w:w="4071" w:type="dxa"/>
            <w:shd w:val="clear" w:color="auto" w:fill="D9D9D9" w:themeFill="background1" w:themeFillShade="D9"/>
          </w:tcPr>
          <w:p w14:paraId="3D4D679F"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p>
        </w:tc>
        <w:tc>
          <w:tcPr>
            <w:tcW w:w="1129" w:type="dxa"/>
            <w:shd w:val="clear" w:color="auto" w:fill="D9D9D9" w:themeFill="background1" w:themeFillShade="D9"/>
            <w:vAlign w:val="center"/>
          </w:tcPr>
          <w:p w14:paraId="5D8D0232"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No opinion</w:t>
            </w:r>
          </w:p>
          <w:p w14:paraId="059A244A"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(0)</w:t>
            </w:r>
          </w:p>
        </w:tc>
        <w:tc>
          <w:tcPr>
            <w:tcW w:w="941" w:type="dxa"/>
            <w:shd w:val="clear" w:color="auto" w:fill="D9D9D9" w:themeFill="background1" w:themeFillShade="D9"/>
            <w:vAlign w:val="center"/>
          </w:tcPr>
          <w:p w14:paraId="056EE27C"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Low</w:t>
            </w:r>
          </w:p>
          <w:p w14:paraId="09F359FC"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(1)</w:t>
            </w:r>
          </w:p>
        </w:tc>
        <w:tc>
          <w:tcPr>
            <w:tcW w:w="1129" w:type="dxa"/>
            <w:shd w:val="clear" w:color="auto" w:fill="D9D9D9" w:themeFill="background1" w:themeFillShade="D9"/>
            <w:vAlign w:val="center"/>
          </w:tcPr>
          <w:p w14:paraId="57CFCF18"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Moderate</w:t>
            </w:r>
          </w:p>
          <w:p w14:paraId="5A48AE8C"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(2)</w:t>
            </w:r>
          </w:p>
        </w:tc>
        <w:tc>
          <w:tcPr>
            <w:tcW w:w="941" w:type="dxa"/>
            <w:shd w:val="clear" w:color="auto" w:fill="D9D9D9" w:themeFill="background1" w:themeFillShade="D9"/>
            <w:vAlign w:val="center"/>
          </w:tcPr>
          <w:p w14:paraId="315D211A"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High</w:t>
            </w:r>
          </w:p>
          <w:p w14:paraId="5CCBC008"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(3)</w:t>
            </w:r>
          </w:p>
        </w:tc>
        <w:tc>
          <w:tcPr>
            <w:tcW w:w="1132" w:type="dxa"/>
            <w:shd w:val="clear" w:color="auto" w:fill="D9D9D9" w:themeFill="background1" w:themeFillShade="D9"/>
            <w:vAlign w:val="center"/>
          </w:tcPr>
          <w:p w14:paraId="0F92C7BA"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Very High</w:t>
            </w:r>
          </w:p>
          <w:p w14:paraId="0D04F5BA"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(4)</w:t>
            </w:r>
          </w:p>
        </w:tc>
      </w:tr>
      <w:tr w:rsidR="008D0CAD" w:rsidRPr="00DC5490" w14:paraId="724C3215" w14:textId="77777777" w:rsidTr="009C64E9">
        <w:trPr>
          <w:trHeight w:val="277"/>
        </w:trPr>
        <w:tc>
          <w:tcPr>
            <w:tcW w:w="4071" w:type="dxa"/>
          </w:tcPr>
          <w:p w14:paraId="2C7475BF"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432" w:hanging="450"/>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b/>
                <w:color w:val="000000"/>
                <w:sz w:val="16"/>
                <w:szCs w:val="16"/>
                <w:lang w:val="en-US"/>
              </w:rPr>
              <w:t>Ease of access</w:t>
            </w:r>
            <w:r w:rsidRPr="00DC5490">
              <w:rPr>
                <w:rFonts w:asciiTheme="majorHAnsi" w:eastAsiaTheme="minorHAnsi" w:hAnsiTheme="majorHAnsi" w:cstheme="majorHAnsi"/>
                <w:color w:val="000000"/>
                <w:sz w:val="16"/>
                <w:szCs w:val="16"/>
                <w:lang w:val="en-US"/>
              </w:rPr>
              <w:t xml:space="preserve"> when connecting to the system</w:t>
            </w:r>
          </w:p>
        </w:tc>
        <w:tc>
          <w:tcPr>
            <w:tcW w:w="1129" w:type="dxa"/>
            <w:vAlign w:val="center"/>
          </w:tcPr>
          <w:p w14:paraId="0AD5F1EA"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941" w:type="dxa"/>
            <w:vAlign w:val="center"/>
          </w:tcPr>
          <w:p w14:paraId="4CAE4319"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1129" w:type="dxa"/>
            <w:vAlign w:val="center"/>
          </w:tcPr>
          <w:p w14:paraId="5450EC8C"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941" w:type="dxa"/>
          </w:tcPr>
          <w:p w14:paraId="3F8FA83A"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132" w:type="dxa"/>
            <w:vAlign w:val="center"/>
          </w:tcPr>
          <w:p w14:paraId="05358C18"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r>
      <w:tr w:rsidR="008D0CAD" w:rsidRPr="00DC5490" w14:paraId="21196E8B" w14:textId="77777777" w:rsidTr="009C64E9">
        <w:trPr>
          <w:trHeight w:val="277"/>
        </w:trPr>
        <w:tc>
          <w:tcPr>
            <w:tcW w:w="4071" w:type="dxa"/>
          </w:tcPr>
          <w:p w14:paraId="702A46C3"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432" w:hanging="450"/>
              <w:rPr>
                <w:rFonts w:asciiTheme="majorHAnsi" w:eastAsiaTheme="minorHAnsi" w:hAnsiTheme="majorHAnsi" w:cstheme="majorHAnsi"/>
                <w:bCs/>
                <w:color w:val="000000"/>
                <w:sz w:val="16"/>
                <w:szCs w:val="16"/>
                <w:lang w:val="en-US"/>
              </w:rPr>
            </w:pPr>
            <w:r w:rsidRPr="00DC5490">
              <w:rPr>
                <w:rFonts w:asciiTheme="majorHAnsi" w:eastAsiaTheme="minorHAnsi" w:hAnsiTheme="majorHAnsi" w:cstheme="majorHAnsi"/>
                <w:b/>
                <w:color w:val="000000"/>
                <w:sz w:val="16"/>
                <w:szCs w:val="16"/>
                <w:lang w:val="en-US"/>
              </w:rPr>
              <w:t>User- friendliness</w:t>
            </w:r>
            <w:r w:rsidRPr="00DC5490">
              <w:rPr>
                <w:rFonts w:asciiTheme="majorHAnsi" w:eastAsiaTheme="minorHAnsi" w:hAnsiTheme="majorHAnsi" w:cstheme="majorHAnsi"/>
                <w:color w:val="000000"/>
                <w:sz w:val="16"/>
                <w:szCs w:val="16"/>
                <w:lang w:val="en-US"/>
              </w:rPr>
              <w:t xml:space="preserve"> of the system when navigating the site</w:t>
            </w:r>
          </w:p>
        </w:tc>
        <w:tc>
          <w:tcPr>
            <w:tcW w:w="1129" w:type="dxa"/>
            <w:vAlign w:val="center"/>
          </w:tcPr>
          <w:p w14:paraId="20E99FDA"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941" w:type="dxa"/>
            <w:vAlign w:val="center"/>
          </w:tcPr>
          <w:p w14:paraId="3DA62F29"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129" w:type="dxa"/>
            <w:vAlign w:val="center"/>
          </w:tcPr>
          <w:p w14:paraId="2B6BFDE1"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941" w:type="dxa"/>
          </w:tcPr>
          <w:p w14:paraId="68F76D3D"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132" w:type="dxa"/>
            <w:vAlign w:val="center"/>
          </w:tcPr>
          <w:p w14:paraId="7726A874"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r>
      <w:tr w:rsidR="008D0CAD" w:rsidRPr="00DC5490" w14:paraId="1359A27A" w14:textId="77777777" w:rsidTr="009C64E9">
        <w:trPr>
          <w:trHeight w:val="277"/>
        </w:trPr>
        <w:tc>
          <w:tcPr>
            <w:tcW w:w="4071" w:type="dxa"/>
          </w:tcPr>
          <w:p w14:paraId="67B27C79"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432" w:hanging="450"/>
              <w:rPr>
                <w:rFonts w:asciiTheme="majorHAnsi" w:eastAsiaTheme="minorHAnsi" w:hAnsiTheme="majorHAnsi" w:cstheme="majorHAnsi"/>
                <w:bCs/>
                <w:color w:val="000000"/>
                <w:sz w:val="16"/>
                <w:szCs w:val="16"/>
                <w:lang w:val="en-US"/>
              </w:rPr>
            </w:pPr>
            <w:r w:rsidRPr="00DC5490">
              <w:rPr>
                <w:rFonts w:asciiTheme="majorHAnsi" w:eastAsiaTheme="minorHAnsi" w:hAnsiTheme="majorHAnsi" w:cstheme="majorHAnsi"/>
                <w:b/>
                <w:color w:val="000000"/>
                <w:sz w:val="16"/>
                <w:szCs w:val="16"/>
                <w:lang w:val="en-US"/>
              </w:rPr>
              <w:t>Usefulness</w:t>
            </w:r>
            <w:r w:rsidRPr="00DC5490">
              <w:rPr>
                <w:rFonts w:asciiTheme="majorHAnsi" w:eastAsiaTheme="minorHAnsi" w:hAnsiTheme="majorHAnsi" w:cstheme="majorHAnsi"/>
                <w:color w:val="000000"/>
                <w:sz w:val="16"/>
                <w:szCs w:val="16"/>
                <w:lang w:val="en-US"/>
              </w:rPr>
              <w:t xml:space="preserve"> of system in enhancing school operations &amp; delivering learning outcomes</w:t>
            </w:r>
          </w:p>
        </w:tc>
        <w:tc>
          <w:tcPr>
            <w:tcW w:w="1129" w:type="dxa"/>
            <w:vAlign w:val="center"/>
          </w:tcPr>
          <w:p w14:paraId="455E0DB7"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941" w:type="dxa"/>
            <w:vAlign w:val="center"/>
          </w:tcPr>
          <w:p w14:paraId="44410491"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129" w:type="dxa"/>
            <w:vAlign w:val="center"/>
          </w:tcPr>
          <w:p w14:paraId="0D58F569"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941" w:type="dxa"/>
          </w:tcPr>
          <w:p w14:paraId="28CB829B"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132" w:type="dxa"/>
            <w:vAlign w:val="center"/>
          </w:tcPr>
          <w:p w14:paraId="225E3666"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r>
    </w:tbl>
    <w:p w14:paraId="70BAD75E" w14:textId="77777777" w:rsidR="008D0CAD" w:rsidRPr="00DC5490" w:rsidRDefault="008D0CAD" w:rsidP="00EA6CB9">
      <w:pPr>
        <w:spacing w:before="100" w:beforeAutospacing="1" w:after="100" w:afterAutospacing="1" w:line="360" w:lineRule="auto"/>
        <w:rPr>
          <w:rFonts w:asciiTheme="majorHAnsi" w:hAnsiTheme="majorHAnsi" w:cstheme="majorHAnsi"/>
          <w:bCs/>
          <w:color w:val="000000"/>
          <w:sz w:val="20"/>
          <w:szCs w:val="20"/>
          <w:lang w:val="en-US"/>
        </w:rPr>
      </w:pPr>
    </w:p>
    <w:p w14:paraId="4AE52211" w14:textId="76E2C778" w:rsidR="008D0CAD" w:rsidRPr="00DC5490" w:rsidRDefault="008D0CAD" w:rsidP="00DD08E3">
      <w:pPr>
        <w:numPr>
          <w:ilvl w:val="0"/>
          <w:numId w:val="81"/>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bCs/>
          <w:snapToGrid w:val="0"/>
          <w:color w:val="000000"/>
          <w:sz w:val="20"/>
          <w:szCs w:val="20"/>
          <w:lang w:val="en-US"/>
        </w:rPr>
        <w:t xml:space="preserve">Have you ever used the </w:t>
      </w:r>
      <w:r w:rsidRPr="00DC5490">
        <w:rPr>
          <w:rFonts w:asciiTheme="majorHAnsi" w:hAnsiTheme="majorHAnsi" w:cstheme="majorHAnsi"/>
          <w:b/>
          <w:bCs/>
          <w:snapToGrid w:val="0"/>
          <w:color w:val="0070C0"/>
          <w:sz w:val="20"/>
          <w:szCs w:val="20"/>
          <w:lang w:val="en-US"/>
        </w:rPr>
        <w:t>Learner Information System (LIS)</w:t>
      </w:r>
      <w:r w:rsidRPr="00DC5490">
        <w:rPr>
          <w:rFonts w:asciiTheme="majorHAnsi" w:hAnsiTheme="majorHAnsi" w:cstheme="majorHAnsi"/>
          <w:bCs/>
          <w:snapToGrid w:val="0"/>
          <w:color w:val="000000"/>
          <w:sz w:val="20"/>
          <w:szCs w:val="20"/>
          <w:lang w:val="en-US"/>
        </w:rPr>
        <w:t>?</w:t>
      </w:r>
      <w:r w:rsidR="00D434EB">
        <w:rPr>
          <w:rFonts w:asciiTheme="majorHAnsi" w:hAnsiTheme="majorHAnsi" w:cstheme="majorHAnsi"/>
          <w:bCs/>
          <w:snapToGrid w:val="0"/>
          <w:color w:val="000000"/>
          <w:sz w:val="20"/>
          <w:szCs w:val="20"/>
          <w:lang w:val="en-US"/>
        </w:rPr>
        <w:t xml:space="preserve"> </w:t>
      </w:r>
      <w:r w:rsidRPr="00DC5490">
        <w:rPr>
          <w:rFonts w:asciiTheme="majorHAnsi" w:hAnsiTheme="majorHAnsi" w:cstheme="majorHAnsi"/>
          <w:bCs/>
          <w:snapToGrid w:val="0"/>
          <w:color w:val="000000"/>
          <w:sz w:val="20"/>
          <w:szCs w:val="20"/>
          <w:lang w:val="en-US"/>
        </w:rPr>
        <w:t xml:space="preserve"> ____ Yes ____ No (Go to Question No. 28)</w:t>
      </w:r>
    </w:p>
    <w:p w14:paraId="5358B5D3" w14:textId="77777777" w:rsidR="008D0CAD" w:rsidRPr="00DC5490" w:rsidRDefault="008D0CAD" w:rsidP="00DD08E3">
      <w:pPr>
        <w:numPr>
          <w:ilvl w:val="1"/>
          <w:numId w:val="81"/>
        </w:numPr>
        <w:spacing w:before="100" w:beforeAutospacing="1" w:after="100" w:afterAutospacing="1" w:line="360" w:lineRule="auto"/>
        <w:ind w:left="900" w:hanging="540"/>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bCs/>
          <w:snapToGrid w:val="0"/>
          <w:color w:val="000000"/>
          <w:sz w:val="20"/>
          <w:szCs w:val="20"/>
          <w:lang w:val="en-US"/>
        </w:rPr>
        <w:t xml:space="preserve">In your own opinion, what is the purpose of the </w:t>
      </w:r>
      <w:r w:rsidRPr="00DC5490">
        <w:rPr>
          <w:rFonts w:asciiTheme="majorHAnsi" w:hAnsiTheme="majorHAnsi" w:cstheme="majorHAnsi"/>
          <w:bCs/>
          <w:snapToGrid w:val="0"/>
          <w:color w:val="000000" w:themeColor="text1"/>
          <w:sz w:val="20"/>
          <w:szCs w:val="20"/>
          <w:lang w:val="en-US"/>
        </w:rPr>
        <w:t>Learner Information System</w:t>
      </w:r>
      <w:r w:rsidRPr="00DC5490">
        <w:rPr>
          <w:rFonts w:asciiTheme="majorHAnsi" w:hAnsiTheme="majorHAnsi" w:cstheme="majorHAnsi"/>
          <w:snapToGrid w:val="0"/>
          <w:color w:val="000000"/>
          <w:sz w:val="20"/>
          <w:szCs w:val="20"/>
          <w:lang w:val="en-US"/>
        </w:rPr>
        <w:t xml:space="preserve">? </w:t>
      </w:r>
    </w:p>
    <w:p w14:paraId="0D443CB7" w14:textId="750B5002" w:rsidR="008D0CAD" w:rsidRPr="00DC5490" w:rsidRDefault="008D0CAD" w:rsidP="00DD08E3">
      <w:pPr>
        <w:numPr>
          <w:ilvl w:val="1"/>
          <w:numId w:val="81"/>
        </w:numPr>
        <w:spacing w:before="100" w:beforeAutospacing="1" w:after="100" w:afterAutospacing="1" w:line="360" w:lineRule="auto"/>
        <w:ind w:left="900" w:hanging="540"/>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bCs/>
          <w:snapToGrid w:val="0"/>
          <w:color w:val="000000"/>
          <w:sz w:val="20"/>
          <w:szCs w:val="20"/>
          <w:lang w:val="en-US"/>
        </w:rPr>
        <w:t xml:space="preserve">Since when have you been using the </w:t>
      </w:r>
      <w:r w:rsidRPr="00DC5490">
        <w:rPr>
          <w:rFonts w:asciiTheme="majorHAnsi" w:hAnsiTheme="majorHAnsi" w:cstheme="majorHAnsi"/>
          <w:bCs/>
          <w:snapToGrid w:val="0"/>
          <w:color w:val="000000" w:themeColor="text1"/>
          <w:sz w:val="20"/>
          <w:szCs w:val="20"/>
          <w:lang w:val="en-US"/>
        </w:rPr>
        <w:t>Learner Information System</w:t>
      </w:r>
      <w:r w:rsidRPr="00DC5490">
        <w:rPr>
          <w:rFonts w:asciiTheme="majorHAnsi" w:hAnsiTheme="majorHAnsi" w:cstheme="majorHAnsi"/>
          <w:bCs/>
          <w:snapToGrid w:val="0"/>
          <w:color w:val="000000"/>
          <w:sz w:val="20"/>
          <w:szCs w:val="20"/>
          <w:lang w:val="en-US"/>
        </w:rPr>
        <w:t>?</w:t>
      </w:r>
      <w:r w:rsidR="00D434EB">
        <w:rPr>
          <w:rFonts w:asciiTheme="majorHAnsi" w:hAnsiTheme="majorHAnsi" w:cstheme="majorHAnsi"/>
          <w:bCs/>
          <w:snapToGrid w:val="0"/>
          <w:color w:val="000000"/>
          <w:sz w:val="20"/>
          <w:szCs w:val="20"/>
          <w:lang w:val="en-US"/>
        </w:rPr>
        <w:t xml:space="preserve"> </w:t>
      </w:r>
    </w:p>
    <w:p w14:paraId="0DDA02E3" w14:textId="25573B04" w:rsidR="008D0CAD" w:rsidRPr="00DC5490" w:rsidRDefault="008D0CAD" w:rsidP="00EA6CB9">
      <w:pPr>
        <w:spacing w:before="100" w:beforeAutospacing="1" w:after="100" w:afterAutospacing="1" w:line="360" w:lineRule="auto"/>
        <w:ind w:left="902"/>
        <w:rPr>
          <w:rFonts w:asciiTheme="majorHAnsi" w:hAnsiTheme="majorHAnsi" w:cstheme="majorHAnsi"/>
          <w:bCs/>
          <w:color w:val="000000"/>
          <w:sz w:val="20"/>
          <w:szCs w:val="20"/>
          <w:lang w:val="en-US"/>
        </w:rPr>
      </w:pPr>
      <w:r w:rsidRPr="00DC5490">
        <w:rPr>
          <w:rFonts w:asciiTheme="majorHAnsi" w:hAnsiTheme="majorHAnsi" w:cstheme="majorHAnsi"/>
          <w:bCs/>
          <w:color w:val="000000"/>
          <w:sz w:val="20"/>
          <w:szCs w:val="20"/>
          <w:lang w:val="en-US"/>
        </w:rPr>
        <w:t xml:space="preserve"> </w:t>
      </w:r>
      <w:r w:rsidRPr="00DC5490">
        <w:rPr>
          <w:rFonts w:asciiTheme="majorHAnsi" w:hAnsiTheme="majorHAnsi" w:cstheme="majorHAnsi"/>
          <w:bCs/>
          <w:color w:val="000000"/>
          <w:sz w:val="20"/>
          <w:szCs w:val="20"/>
          <w:lang w:val="en-US"/>
        </w:rPr>
        <w:tab/>
        <w:t>___ 2014</w:t>
      </w:r>
      <w:r w:rsidR="00D434EB">
        <w:rPr>
          <w:rFonts w:asciiTheme="majorHAnsi" w:hAnsiTheme="majorHAnsi" w:cstheme="majorHAnsi"/>
          <w:bCs/>
          <w:color w:val="000000"/>
          <w:sz w:val="20"/>
          <w:szCs w:val="20"/>
          <w:lang w:val="en-US"/>
        </w:rPr>
        <w:t xml:space="preserve">  </w:t>
      </w:r>
      <w:r w:rsidRPr="00DC5490">
        <w:rPr>
          <w:rFonts w:asciiTheme="majorHAnsi" w:hAnsiTheme="majorHAnsi" w:cstheme="majorHAnsi"/>
          <w:bCs/>
          <w:color w:val="000000"/>
          <w:sz w:val="20"/>
          <w:szCs w:val="20"/>
          <w:lang w:val="en-US"/>
        </w:rPr>
        <w:t xml:space="preserve"> ___ 2015</w:t>
      </w:r>
      <w:r w:rsidR="00D434EB">
        <w:rPr>
          <w:rFonts w:asciiTheme="majorHAnsi" w:hAnsiTheme="majorHAnsi" w:cstheme="majorHAnsi"/>
          <w:bCs/>
          <w:color w:val="000000"/>
          <w:sz w:val="20"/>
          <w:szCs w:val="20"/>
          <w:lang w:val="en-US"/>
        </w:rPr>
        <w:t xml:space="preserve">  </w:t>
      </w:r>
      <w:r w:rsidRPr="00DC5490">
        <w:rPr>
          <w:rFonts w:asciiTheme="majorHAnsi" w:hAnsiTheme="majorHAnsi" w:cstheme="majorHAnsi"/>
          <w:bCs/>
          <w:color w:val="000000"/>
          <w:sz w:val="20"/>
          <w:szCs w:val="20"/>
          <w:lang w:val="en-US"/>
        </w:rPr>
        <w:t xml:space="preserve"> ___ 2016</w:t>
      </w:r>
      <w:r w:rsidR="00D434EB">
        <w:rPr>
          <w:rFonts w:asciiTheme="majorHAnsi" w:hAnsiTheme="majorHAnsi" w:cstheme="majorHAnsi"/>
          <w:bCs/>
          <w:color w:val="000000"/>
          <w:sz w:val="20"/>
          <w:szCs w:val="20"/>
          <w:lang w:val="en-US"/>
        </w:rPr>
        <w:t xml:space="preserve">  </w:t>
      </w:r>
      <w:r w:rsidRPr="00DC5490">
        <w:rPr>
          <w:rFonts w:asciiTheme="majorHAnsi" w:hAnsiTheme="majorHAnsi" w:cstheme="majorHAnsi"/>
          <w:bCs/>
          <w:color w:val="000000"/>
          <w:sz w:val="20"/>
          <w:szCs w:val="20"/>
          <w:lang w:val="en-US"/>
        </w:rPr>
        <w:t xml:space="preserve"> ___ 2017</w:t>
      </w:r>
      <w:r w:rsidR="00D434EB">
        <w:rPr>
          <w:rFonts w:asciiTheme="majorHAnsi" w:hAnsiTheme="majorHAnsi" w:cstheme="majorHAnsi"/>
          <w:bCs/>
          <w:color w:val="000000"/>
          <w:sz w:val="20"/>
          <w:szCs w:val="20"/>
          <w:lang w:val="en-US"/>
        </w:rPr>
        <w:t xml:space="preserve">  </w:t>
      </w:r>
      <w:r w:rsidRPr="00DC5490">
        <w:rPr>
          <w:rFonts w:asciiTheme="majorHAnsi" w:hAnsiTheme="majorHAnsi" w:cstheme="majorHAnsi"/>
          <w:bCs/>
          <w:color w:val="000000"/>
          <w:sz w:val="20"/>
          <w:szCs w:val="20"/>
          <w:lang w:val="en-US"/>
        </w:rPr>
        <w:t xml:space="preserve"> ___ 2018</w:t>
      </w:r>
      <w:r w:rsidR="00D434EB">
        <w:rPr>
          <w:rFonts w:asciiTheme="majorHAnsi" w:hAnsiTheme="majorHAnsi" w:cstheme="majorHAnsi"/>
          <w:bCs/>
          <w:color w:val="000000"/>
          <w:sz w:val="20"/>
          <w:szCs w:val="20"/>
          <w:lang w:val="en-US"/>
        </w:rPr>
        <w:t xml:space="preserve">  </w:t>
      </w:r>
      <w:r w:rsidRPr="00DC5490">
        <w:rPr>
          <w:rFonts w:asciiTheme="majorHAnsi" w:hAnsiTheme="majorHAnsi" w:cstheme="majorHAnsi"/>
          <w:bCs/>
          <w:color w:val="000000"/>
          <w:sz w:val="20"/>
          <w:szCs w:val="20"/>
          <w:lang w:val="en-US"/>
        </w:rPr>
        <w:t xml:space="preserve"> ___ Others, ________</w:t>
      </w:r>
    </w:p>
    <w:p w14:paraId="7FAD8019" w14:textId="77777777" w:rsidR="008D0CAD" w:rsidRPr="00DC5490" w:rsidRDefault="008D0CAD" w:rsidP="00DD08E3">
      <w:pPr>
        <w:numPr>
          <w:ilvl w:val="1"/>
          <w:numId w:val="81"/>
        </w:numPr>
        <w:spacing w:before="100" w:beforeAutospacing="1" w:after="100" w:afterAutospacing="1" w:line="360" w:lineRule="auto"/>
        <w:ind w:left="900" w:hanging="540"/>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bCs/>
          <w:snapToGrid w:val="0"/>
          <w:color w:val="000000"/>
          <w:sz w:val="20"/>
          <w:szCs w:val="20"/>
          <w:lang w:val="en-US"/>
        </w:rPr>
        <w:t xml:space="preserve">How often do you use the </w:t>
      </w:r>
      <w:r w:rsidRPr="00DC5490">
        <w:rPr>
          <w:rFonts w:asciiTheme="majorHAnsi" w:hAnsiTheme="majorHAnsi" w:cstheme="majorHAnsi"/>
          <w:bCs/>
          <w:snapToGrid w:val="0"/>
          <w:color w:val="000000" w:themeColor="text1"/>
          <w:sz w:val="20"/>
          <w:szCs w:val="20"/>
          <w:lang w:val="en-US"/>
        </w:rPr>
        <w:t>Learner Information System</w:t>
      </w:r>
      <w:r w:rsidRPr="00DC5490">
        <w:rPr>
          <w:rFonts w:asciiTheme="majorHAnsi" w:hAnsiTheme="majorHAnsi" w:cstheme="majorHAnsi"/>
          <w:bCs/>
          <w:snapToGrid w:val="0"/>
          <w:color w:val="000000"/>
          <w:sz w:val="20"/>
          <w:szCs w:val="20"/>
          <w:lang w:val="en-US"/>
        </w:rPr>
        <w:t xml:space="preserve">? </w:t>
      </w:r>
    </w:p>
    <w:p w14:paraId="3E1843C8" w14:textId="402CC789" w:rsidR="008D0CAD" w:rsidRPr="00DC5490" w:rsidRDefault="008D0CAD" w:rsidP="00EA6CB9">
      <w:pPr>
        <w:spacing w:before="100" w:beforeAutospacing="1" w:after="100" w:afterAutospacing="1" w:line="360" w:lineRule="auto"/>
        <w:ind w:left="902"/>
        <w:rPr>
          <w:rFonts w:asciiTheme="majorHAnsi" w:hAnsiTheme="majorHAnsi" w:cstheme="majorHAnsi"/>
          <w:bCs/>
          <w:color w:val="000000"/>
          <w:sz w:val="20"/>
          <w:szCs w:val="20"/>
          <w:lang w:val="en-US"/>
        </w:rPr>
      </w:pPr>
      <w:r w:rsidRPr="00DC5490">
        <w:rPr>
          <w:rFonts w:asciiTheme="majorHAnsi" w:hAnsiTheme="majorHAnsi" w:cstheme="majorHAnsi"/>
          <w:bCs/>
          <w:color w:val="000000"/>
          <w:sz w:val="20"/>
          <w:szCs w:val="20"/>
          <w:lang w:val="en-US"/>
        </w:rPr>
        <w:t>___ Monthly</w:t>
      </w:r>
      <w:r w:rsidR="00D434EB">
        <w:rPr>
          <w:rFonts w:asciiTheme="majorHAnsi" w:hAnsiTheme="majorHAnsi" w:cstheme="majorHAnsi"/>
          <w:bCs/>
          <w:color w:val="000000"/>
          <w:sz w:val="20"/>
          <w:szCs w:val="20"/>
          <w:lang w:val="en-US"/>
        </w:rPr>
        <w:t xml:space="preserve"> </w:t>
      </w:r>
      <w:r w:rsidRPr="00DC5490">
        <w:rPr>
          <w:rFonts w:asciiTheme="majorHAnsi" w:hAnsiTheme="majorHAnsi" w:cstheme="majorHAnsi"/>
          <w:bCs/>
          <w:color w:val="000000"/>
          <w:sz w:val="20"/>
          <w:szCs w:val="20"/>
          <w:lang w:val="en-US"/>
        </w:rPr>
        <w:t xml:space="preserve"> ___ Quarterly</w:t>
      </w:r>
      <w:r w:rsidR="00D434EB">
        <w:rPr>
          <w:rFonts w:asciiTheme="majorHAnsi" w:hAnsiTheme="majorHAnsi" w:cstheme="majorHAnsi"/>
          <w:bCs/>
          <w:color w:val="000000"/>
          <w:sz w:val="20"/>
          <w:szCs w:val="20"/>
          <w:lang w:val="en-US"/>
        </w:rPr>
        <w:t xml:space="preserve"> </w:t>
      </w:r>
      <w:r w:rsidRPr="00DC5490">
        <w:rPr>
          <w:rFonts w:asciiTheme="majorHAnsi" w:hAnsiTheme="majorHAnsi" w:cstheme="majorHAnsi"/>
          <w:bCs/>
          <w:color w:val="000000"/>
          <w:sz w:val="20"/>
          <w:szCs w:val="20"/>
          <w:lang w:val="en-US"/>
        </w:rPr>
        <w:t xml:space="preserve"> ___ Semi-Annually</w:t>
      </w:r>
      <w:r w:rsidR="00D434EB">
        <w:rPr>
          <w:rFonts w:asciiTheme="majorHAnsi" w:hAnsiTheme="majorHAnsi" w:cstheme="majorHAnsi"/>
          <w:bCs/>
          <w:color w:val="000000"/>
          <w:sz w:val="20"/>
          <w:szCs w:val="20"/>
          <w:lang w:val="en-US"/>
        </w:rPr>
        <w:t xml:space="preserve"> </w:t>
      </w:r>
      <w:r w:rsidRPr="00DC5490">
        <w:rPr>
          <w:rFonts w:asciiTheme="majorHAnsi" w:hAnsiTheme="majorHAnsi" w:cstheme="majorHAnsi"/>
          <w:bCs/>
          <w:color w:val="000000"/>
          <w:sz w:val="20"/>
          <w:szCs w:val="20"/>
          <w:lang w:val="en-US"/>
        </w:rPr>
        <w:t xml:space="preserve"> ___ Annually</w:t>
      </w:r>
      <w:r w:rsidR="00D434EB">
        <w:rPr>
          <w:rFonts w:asciiTheme="majorHAnsi" w:hAnsiTheme="majorHAnsi" w:cstheme="majorHAnsi"/>
          <w:bCs/>
          <w:color w:val="000000"/>
          <w:sz w:val="20"/>
          <w:szCs w:val="20"/>
          <w:lang w:val="en-US"/>
        </w:rPr>
        <w:t xml:space="preserve">  </w:t>
      </w:r>
      <w:r w:rsidRPr="00DC5490">
        <w:rPr>
          <w:rFonts w:asciiTheme="majorHAnsi" w:hAnsiTheme="majorHAnsi" w:cstheme="majorHAnsi"/>
          <w:bCs/>
          <w:color w:val="000000"/>
          <w:sz w:val="20"/>
          <w:szCs w:val="20"/>
          <w:lang w:val="en-US"/>
        </w:rPr>
        <w:t>___ Others, __________________</w:t>
      </w:r>
    </w:p>
    <w:p w14:paraId="43ED1D82" w14:textId="77777777" w:rsidR="008D0CAD" w:rsidRPr="00DC5490" w:rsidRDefault="008D0CAD" w:rsidP="00DD08E3">
      <w:pPr>
        <w:numPr>
          <w:ilvl w:val="1"/>
          <w:numId w:val="81"/>
        </w:numPr>
        <w:spacing w:before="100" w:beforeAutospacing="1" w:after="100" w:afterAutospacing="1" w:line="360" w:lineRule="auto"/>
        <w:ind w:left="900" w:hanging="540"/>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snapToGrid w:val="0"/>
          <w:sz w:val="20"/>
          <w:szCs w:val="20"/>
          <w:lang w:val="en-US"/>
        </w:rPr>
        <w:t xml:space="preserve">On a scale of 1 to 4 (with 4 being Very High), </w:t>
      </w:r>
      <w:r w:rsidRPr="00DC5490">
        <w:rPr>
          <w:rFonts w:asciiTheme="majorHAnsi" w:hAnsiTheme="majorHAnsi" w:cstheme="majorHAnsi"/>
          <w:snapToGrid w:val="0"/>
          <w:color w:val="000000"/>
          <w:sz w:val="20"/>
          <w:szCs w:val="20"/>
          <w:lang w:val="en-US"/>
        </w:rPr>
        <w:t xml:space="preserve">assess </w:t>
      </w:r>
      <w:r w:rsidRPr="00DC5490">
        <w:rPr>
          <w:rFonts w:asciiTheme="majorHAnsi" w:hAnsiTheme="majorHAnsi" w:cstheme="majorHAnsi"/>
          <w:snapToGrid w:val="0"/>
          <w:sz w:val="20"/>
          <w:szCs w:val="20"/>
          <w:lang w:val="en-US"/>
        </w:rPr>
        <w:t xml:space="preserve">the </w:t>
      </w:r>
      <w:r w:rsidRPr="00DC5490">
        <w:rPr>
          <w:rFonts w:asciiTheme="majorHAnsi" w:hAnsiTheme="majorHAnsi" w:cstheme="majorHAnsi"/>
          <w:bCs/>
          <w:snapToGrid w:val="0"/>
          <w:color w:val="000000" w:themeColor="text1"/>
          <w:sz w:val="20"/>
          <w:szCs w:val="20"/>
          <w:lang w:val="en-US"/>
        </w:rPr>
        <w:t>Learner Information System</w:t>
      </w:r>
      <w:r w:rsidRPr="00DC5490">
        <w:rPr>
          <w:rFonts w:asciiTheme="majorHAnsi" w:hAnsiTheme="majorHAnsi" w:cstheme="majorHAnsi"/>
          <w:snapToGrid w:val="0"/>
          <w:sz w:val="20"/>
          <w:szCs w:val="20"/>
          <w:lang w:val="en-US"/>
        </w:rPr>
        <w:t xml:space="preserve"> by marking the appropriate box in terms of:</w:t>
      </w:r>
    </w:p>
    <w:tbl>
      <w:tblPr>
        <w:tblStyle w:val="TableGrid9"/>
        <w:tblW w:w="9343" w:type="dxa"/>
        <w:tblInd w:w="895" w:type="dxa"/>
        <w:tblLayout w:type="fixed"/>
        <w:tblLook w:val="04A0" w:firstRow="1" w:lastRow="0" w:firstColumn="1" w:lastColumn="0" w:noHBand="0" w:noVBand="1"/>
      </w:tblPr>
      <w:tblGrid>
        <w:gridCol w:w="4071"/>
        <w:gridCol w:w="1129"/>
        <w:gridCol w:w="941"/>
        <w:gridCol w:w="1129"/>
        <w:gridCol w:w="941"/>
        <w:gridCol w:w="1132"/>
      </w:tblGrid>
      <w:tr w:rsidR="008D0CAD" w:rsidRPr="00DC5490" w14:paraId="17CEE18D" w14:textId="77777777" w:rsidTr="00F4751F">
        <w:trPr>
          <w:trHeight w:val="696"/>
          <w:tblHeader/>
        </w:trPr>
        <w:tc>
          <w:tcPr>
            <w:tcW w:w="4071" w:type="dxa"/>
            <w:shd w:val="clear" w:color="auto" w:fill="D9D9D9" w:themeFill="background1" w:themeFillShade="D9"/>
          </w:tcPr>
          <w:p w14:paraId="7A91D37F"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p>
        </w:tc>
        <w:tc>
          <w:tcPr>
            <w:tcW w:w="1129" w:type="dxa"/>
            <w:shd w:val="clear" w:color="auto" w:fill="D9D9D9" w:themeFill="background1" w:themeFillShade="D9"/>
            <w:vAlign w:val="center"/>
          </w:tcPr>
          <w:p w14:paraId="476BB615"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No opinion</w:t>
            </w:r>
          </w:p>
          <w:p w14:paraId="0A3522B7"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(0)</w:t>
            </w:r>
          </w:p>
        </w:tc>
        <w:tc>
          <w:tcPr>
            <w:tcW w:w="941" w:type="dxa"/>
            <w:shd w:val="clear" w:color="auto" w:fill="D9D9D9" w:themeFill="background1" w:themeFillShade="D9"/>
            <w:vAlign w:val="center"/>
          </w:tcPr>
          <w:p w14:paraId="33818D37"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Low</w:t>
            </w:r>
          </w:p>
          <w:p w14:paraId="0C133C71"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(1)</w:t>
            </w:r>
          </w:p>
        </w:tc>
        <w:tc>
          <w:tcPr>
            <w:tcW w:w="1129" w:type="dxa"/>
            <w:shd w:val="clear" w:color="auto" w:fill="D9D9D9" w:themeFill="background1" w:themeFillShade="D9"/>
            <w:vAlign w:val="center"/>
          </w:tcPr>
          <w:p w14:paraId="59027D23"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Moderate</w:t>
            </w:r>
          </w:p>
          <w:p w14:paraId="4F87897F"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(2)</w:t>
            </w:r>
          </w:p>
        </w:tc>
        <w:tc>
          <w:tcPr>
            <w:tcW w:w="941" w:type="dxa"/>
            <w:shd w:val="clear" w:color="auto" w:fill="D9D9D9" w:themeFill="background1" w:themeFillShade="D9"/>
            <w:vAlign w:val="center"/>
          </w:tcPr>
          <w:p w14:paraId="1DB2A88D"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High</w:t>
            </w:r>
          </w:p>
          <w:p w14:paraId="69F8F3C6"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(3)</w:t>
            </w:r>
          </w:p>
        </w:tc>
        <w:tc>
          <w:tcPr>
            <w:tcW w:w="1132" w:type="dxa"/>
            <w:shd w:val="clear" w:color="auto" w:fill="D9D9D9" w:themeFill="background1" w:themeFillShade="D9"/>
            <w:vAlign w:val="center"/>
          </w:tcPr>
          <w:p w14:paraId="0EACE8DF"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Very High</w:t>
            </w:r>
          </w:p>
          <w:p w14:paraId="1A6E62BE"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(4)</w:t>
            </w:r>
          </w:p>
        </w:tc>
      </w:tr>
      <w:tr w:rsidR="008D0CAD" w:rsidRPr="00DC5490" w14:paraId="43847DE2" w14:textId="77777777" w:rsidTr="009C64E9">
        <w:trPr>
          <w:trHeight w:val="277"/>
        </w:trPr>
        <w:tc>
          <w:tcPr>
            <w:tcW w:w="4071" w:type="dxa"/>
          </w:tcPr>
          <w:p w14:paraId="76AF9F7B"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432" w:hanging="450"/>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b/>
                <w:color w:val="000000"/>
                <w:sz w:val="16"/>
                <w:szCs w:val="16"/>
                <w:lang w:val="en-US"/>
              </w:rPr>
              <w:t>Ease of access</w:t>
            </w:r>
            <w:r w:rsidRPr="00DC5490">
              <w:rPr>
                <w:rFonts w:asciiTheme="majorHAnsi" w:eastAsiaTheme="minorHAnsi" w:hAnsiTheme="majorHAnsi" w:cstheme="majorHAnsi"/>
                <w:color w:val="000000"/>
                <w:sz w:val="16"/>
                <w:szCs w:val="16"/>
                <w:lang w:val="en-US"/>
              </w:rPr>
              <w:t xml:space="preserve"> when connecting to the system</w:t>
            </w:r>
          </w:p>
        </w:tc>
        <w:tc>
          <w:tcPr>
            <w:tcW w:w="1129" w:type="dxa"/>
            <w:vAlign w:val="center"/>
          </w:tcPr>
          <w:p w14:paraId="4A8639E7"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941" w:type="dxa"/>
            <w:vAlign w:val="center"/>
          </w:tcPr>
          <w:p w14:paraId="1A683574"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1129" w:type="dxa"/>
            <w:vAlign w:val="center"/>
          </w:tcPr>
          <w:p w14:paraId="2AD75126"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941" w:type="dxa"/>
          </w:tcPr>
          <w:p w14:paraId="2150E683"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132" w:type="dxa"/>
            <w:vAlign w:val="center"/>
          </w:tcPr>
          <w:p w14:paraId="37A802E9"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r>
      <w:tr w:rsidR="008D0CAD" w:rsidRPr="00DC5490" w14:paraId="46CA66A0" w14:textId="77777777" w:rsidTr="009C64E9">
        <w:trPr>
          <w:trHeight w:val="277"/>
        </w:trPr>
        <w:tc>
          <w:tcPr>
            <w:tcW w:w="4071" w:type="dxa"/>
          </w:tcPr>
          <w:p w14:paraId="4CDE2DC1"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432" w:hanging="450"/>
              <w:rPr>
                <w:rFonts w:asciiTheme="majorHAnsi" w:eastAsiaTheme="minorHAnsi" w:hAnsiTheme="majorHAnsi" w:cstheme="majorHAnsi"/>
                <w:bCs/>
                <w:color w:val="000000"/>
                <w:sz w:val="16"/>
                <w:szCs w:val="16"/>
                <w:lang w:val="en-US"/>
              </w:rPr>
            </w:pPr>
            <w:r w:rsidRPr="00DC5490">
              <w:rPr>
                <w:rFonts w:asciiTheme="majorHAnsi" w:eastAsiaTheme="minorHAnsi" w:hAnsiTheme="majorHAnsi" w:cstheme="majorHAnsi"/>
                <w:b/>
                <w:color w:val="000000"/>
                <w:sz w:val="16"/>
                <w:szCs w:val="16"/>
                <w:lang w:val="en-US"/>
              </w:rPr>
              <w:t>User- friendliness</w:t>
            </w:r>
            <w:r w:rsidRPr="00DC5490">
              <w:rPr>
                <w:rFonts w:asciiTheme="majorHAnsi" w:eastAsiaTheme="minorHAnsi" w:hAnsiTheme="majorHAnsi" w:cstheme="majorHAnsi"/>
                <w:color w:val="000000"/>
                <w:sz w:val="16"/>
                <w:szCs w:val="16"/>
                <w:lang w:val="en-US"/>
              </w:rPr>
              <w:t xml:space="preserve"> of the system when navigating the site</w:t>
            </w:r>
          </w:p>
        </w:tc>
        <w:tc>
          <w:tcPr>
            <w:tcW w:w="1129" w:type="dxa"/>
            <w:vAlign w:val="center"/>
          </w:tcPr>
          <w:p w14:paraId="028E191D"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941" w:type="dxa"/>
            <w:vAlign w:val="center"/>
          </w:tcPr>
          <w:p w14:paraId="20661267"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129" w:type="dxa"/>
            <w:vAlign w:val="center"/>
          </w:tcPr>
          <w:p w14:paraId="06DCBAFD"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941" w:type="dxa"/>
          </w:tcPr>
          <w:p w14:paraId="5CFE1D8D"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132" w:type="dxa"/>
            <w:vAlign w:val="center"/>
          </w:tcPr>
          <w:p w14:paraId="1BC0996B"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r>
      <w:tr w:rsidR="008D0CAD" w:rsidRPr="00DC5490" w14:paraId="4A8726DE" w14:textId="77777777" w:rsidTr="009C64E9">
        <w:trPr>
          <w:trHeight w:val="277"/>
        </w:trPr>
        <w:tc>
          <w:tcPr>
            <w:tcW w:w="4071" w:type="dxa"/>
          </w:tcPr>
          <w:p w14:paraId="5DCFF046"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432" w:hanging="450"/>
              <w:rPr>
                <w:rFonts w:asciiTheme="majorHAnsi" w:eastAsiaTheme="minorHAnsi" w:hAnsiTheme="majorHAnsi" w:cstheme="majorHAnsi"/>
                <w:bCs/>
                <w:color w:val="000000"/>
                <w:sz w:val="16"/>
                <w:szCs w:val="16"/>
                <w:lang w:val="en-US"/>
              </w:rPr>
            </w:pPr>
            <w:r w:rsidRPr="00DC5490">
              <w:rPr>
                <w:rFonts w:asciiTheme="majorHAnsi" w:eastAsiaTheme="minorHAnsi" w:hAnsiTheme="majorHAnsi" w:cstheme="majorHAnsi"/>
                <w:b/>
                <w:color w:val="000000"/>
                <w:sz w:val="16"/>
                <w:szCs w:val="16"/>
                <w:lang w:val="en-US"/>
              </w:rPr>
              <w:t>Usefulness</w:t>
            </w:r>
            <w:r w:rsidRPr="00DC5490">
              <w:rPr>
                <w:rFonts w:asciiTheme="majorHAnsi" w:eastAsiaTheme="minorHAnsi" w:hAnsiTheme="majorHAnsi" w:cstheme="majorHAnsi"/>
                <w:color w:val="000000"/>
                <w:sz w:val="16"/>
                <w:szCs w:val="16"/>
                <w:lang w:val="en-US"/>
              </w:rPr>
              <w:t xml:space="preserve"> of system in enhancing school operations &amp; delivering learning outcomes</w:t>
            </w:r>
          </w:p>
        </w:tc>
        <w:tc>
          <w:tcPr>
            <w:tcW w:w="1129" w:type="dxa"/>
            <w:vAlign w:val="center"/>
          </w:tcPr>
          <w:p w14:paraId="0D4199B4"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941" w:type="dxa"/>
            <w:vAlign w:val="center"/>
          </w:tcPr>
          <w:p w14:paraId="28B253ED"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129" w:type="dxa"/>
            <w:vAlign w:val="center"/>
          </w:tcPr>
          <w:p w14:paraId="5C4A7427"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941" w:type="dxa"/>
          </w:tcPr>
          <w:p w14:paraId="2F56D9D4"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132" w:type="dxa"/>
            <w:vAlign w:val="center"/>
          </w:tcPr>
          <w:p w14:paraId="31EF75CE"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r>
    </w:tbl>
    <w:p w14:paraId="799EBC25" w14:textId="10EF9815" w:rsidR="008D0CAD" w:rsidRPr="00DC5490" w:rsidRDefault="008D0CAD" w:rsidP="00DD08E3">
      <w:pPr>
        <w:numPr>
          <w:ilvl w:val="0"/>
          <w:numId w:val="81"/>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bCs/>
          <w:snapToGrid w:val="0"/>
          <w:color w:val="000000"/>
          <w:sz w:val="20"/>
          <w:szCs w:val="20"/>
          <w:lang w:val="en-US"/>
        </w:rPr>
        <w:t xml:space="preserve">Have you ever used the </w:t>
      </w:r>
      <w:r w:rsidRPr="00DC5490">
        <w:rPr>
          <w:rFonts w:asciiTheme="majorHAnsi" w:hAnsiTheme="majorHAnsi" w:cstheme="majorHAnsi"/>
          <w:b/>
          <w:bCs/>
          <w:snapToGrid w:val="0"/>
          <w:color w:val="0070C0"/>
          <w:sz w:val="20"/>
          <w:szCs w:val="20"/>
          <w:lang w:val="en-US"/>
        </w:rPr>
        <w:t>Learning Resource (LR</w:t>
      </w:r>
      <w:r w:rsidRPr="00DC5490">
        <w:rPr>
          <w:rFonts w:asciiTheme="majorHAnsi" w:hAnsiTheme="majorHAnsi" w:cstheme="majorHAnsi"/>
          <w:b/>
          <w:snapToGrid w:val="0"/>
          <w:color w:val="0070C0"/>
          <w:sz w:val="20"/>
          <w:szCs w:val="20"/>
          <w:lang w:val="en-US"/>
        </w:rPr>
        <w:t xml:space="preserve">) </w:t>
      </w:r>
      <w:r w:rsidRPr="00DC5490">
        <w:rPr>
          <w:rFonts w:asciiTheme="majorHAnsi" w:hAnsiTheme="majorHAnsi" w:cstheme="majorHAnsi"/>
          <w:b/>
          <w:bCs/>
          <w:snapToGrid w:val="0"/>
          <w:color w:val="0070C0"/>
          <w:sz w:val="20"/>
          <w:szCs w:val="20"/>
          <w:lang w:val="en-US"/>
        </w:rPr>
        <w:t>Portal</w:t>
      </w:r>
      <w:r w:rsidRPr="00DC5490">
        <w:rPr>
          <w:rFonts w:asciiTheme="majorHAnsi" w:hAnsiTheme="majorHAnsi" w:cstheme="majorHAnsi"/>
          <w:bCs/>
          <w:snapToGrid w:val="0"/>
          <w:color w:val="000000"/>
          <w:sz w:val="20"/>
          <w:szCs w:val="20"/>
          <w:lang w:val="en-US"/>
        </w:rPr>
        <w:t>?</w:t>
      </w:r>
      <w:r w:rsidR="00D434EB">
        <w:rPr>
          <w:rFonts w:asciiTheme="majorHAnsi" w:hAnsiTheme="majorHAnsi" w:cstheme="majorHAnsi"/>
          <w:bCs/>
          <w:snapToGrid w:val="0"/>
          <w:color w:val="000000"/>
          <w:sz w:val="20"/>
          <w:szCs w:val="20"/>
          <w:lang w:val="en-US"/>
        </w:rPr>
        <w:t xml:space="preserve"> </w:t>
      </w:r>
      <w:r w:rsidRPr="00DC5490">
        <w:rPr>
          <w:rFonts w:asciiTheme="majorHAnsi" w:hAnsiTheme="majorHAnsi" w:cstheme="majorHAnsi"/>
          <w:bCs/>
          <w:snapToGrid w:val="0"/>
          <w:color w:val="000000"/>
          <w:sz w:val="20"/>
          <w:szCs w:val="20"/>
          <w:lang w:val="en-US"/>
        </w:rPr>
        <w:t xml:space="preserve"> ____ Yes ____ No (if no, proceed to Question No. 29)</w:t>
      </w:r>
    </w:p>
    <w:p w14:paraId="59A4E115" w14:textId="77777777" w:rsidR="008D0CAD" w:rsidRPr="00DC5490" w:rsidRDefault="008D0CAD" w:rsidP="00DD08E3">
      <w:pPr>
        <w:numPr>
          <w:ilvl w:val="1"/>
          <w:numId w:val="81"/>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bCs/>
          <w:snapToGrid w:val="0"/>
          <w:color w:val="000000"/>
          <w:sz w:val="20"/>
          <w:szCs w:val="20"/>
          <w:lang w:val="en-US"/>
        </w:rPr>
        <w:t xml:space="preserve">In your own opinion, what is the purpose of the </w:t>
      </w:r>
      <w:r w:rsidRPr="00DC5490">
        <w:rPr>
          <w:rFonts w:asciiTheme="majorHAnsi" w:hAnsiTheme="majorHAnsi" w:cstheme="majorHAnsi"/>
          <w:bCs/>
          <w:snapToGrid w:val="0"/>
          <w:color w:val="000000" w:themeColor="text1"/>
          <w:sz w:val="20"/>
          <w:szCs w:val="20"/>
          <w:lang w:val="en-US"/>
        </w:rPr>
        <w:t>Learning Resource (LR</w:t>
      </w:r>
      <w:r w:rsidRPr="00DC5490">
        <w:rPr>
          <w:rFonts w:asciiTheme="majorHAnsi" w:hAnsiTheme="majorHAnsi" w:cstheme="majorHAnsi"/>
          <w:snapToGrid w:val="0"/>
          <w:color w:val="000000" w:themeColor="text1"/>
          <w:sz w:val="20"/>
          <w:szCs w:val="20"/>
          <w:lang w:val="en-US"/>
        </w:rPr>
        <w:t xml:space="preserve">) </w:t>
      </w:r>
      <w:r w:rsidRPr="00DC5490">
        <w:rPr>
          <w:rFonts w:asciiTheme="majorHAnsi" w:hAnsiTheme="majorHAnsi" w:cstheme="majorHAnsi"/>
          <w:bCs/>
          <w:snapToGrid w:val="0"/>
          <w:color w:val="000000" w:themeColor="text1"/>
          <w:sz w:val="20"/>
          <w:szCs w:val="20"/>
          <w:lang w:val="en-US"/>
        </w:rPr>
        <w:t>Portal</w:t>
      </w:r>
      <w:r w:rsidRPr="00DC5490">
        <w:rPr>
          <w:rFonts w:asciiTheme="majorHAnsi" w:hAnsiTheme="majorHAnsi" w:cstheme="majorHAnsi"/>
          <w:snapToGrid w:val="0"/>
          <w:color w:val="000000"/>
          <w:sz w:val="20"/>
          <w:szCs w:val="20"/>
          <w:lang w:val="en-US"/>
        </w:rPr>
        <w:t xml:space="preserve">? </w:t>
      </w:r>
    </w:p>
    <w:p w14:paraId="255BD665" w14:textId="52AA11C7" w:rsidR="008D0CAD" w:rsidRPr="00DC5490" w:rsidRDefault="008D0CAD" w:rsidP="00DD08E3">
      <w:pPr>
        <w:numPr>
          <w:ilvl w:val="1"/>
          <w:numId w:val="81"/>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bCs/>
          <w:snapToGrid w:val="0"/>
          <w:color w:val="000000"/>
          <w:sz w:val="20"/>
          <w:szCs w:val="20"/>
          <w:lang w:val="en-US"/>
        </w:rPr>
        <w:t xml:space="preserve">Since when have you been using the </w:t>
      </w:r>
      <w:r w:rsidRPr="00DC5490">
        <w:rPr>
          <w:rFonts w:asciiTheme="majorHAnsi" w:hAnsiTheme="majorHAnsi" w:cstheme="majorHAnsi"/>
          <w:bCs/>
          <w:snapToGrid w:val="0"/>
          <w:color w:val="000000" w:themeColor="text1"/>
          <w:sz w:val="20"/>
          <w:szCs w:val="20"/>
          <w:lang w:val="en-US"/>
        </w:rPr>
        <w:t>Learning Resource (LR</w:t>
      </w:r>
      <w:r w:rsidRPr="00DC5490">
        <w:rPr>
          <w:rFonts w:asciiTheme="majorHAnsi" w:hAnsiTheme="majorHAnsi" w:cstheme="majorHAnsi"/>
          <w:snapToGrid w:val="0"/>
          <w:color w:val="000000" w:themeColor="text1"/>
          <w:sz w:val="20"/>
          <w:szCs w:val="20"/>
          <w:lang w:val="en-US"/>
        </w:rPr>
        <w:t xml:space="preserve">) </w:t>
      </w:r>
      <w:r w:rsidRPr="00DC5490">
        <w:rPr>
          <w:rFonts w:asciiTheme="majorHAnsi" w:hAnsiTheme="majorHAnsi" w:cstheme="majorHAnsi"/>
          <w:bCs/>
          <w:snapToGrid w:val="0"/>
          <w:color w:val="000000" w:themeColor="text1"/>
          <w:sz w:val="20"/>
          <w:szCs w:val="20"/>
          <w:lang w:val="en-US"/>
        </w:rPr>
        <w:t>Portal</w:t>
      </w:r>
      <w:r w:rsidRPr="00DC5490">
        <w:rPr>
          <w:rFonts w:asciiTheme="majorHAnsi" w:hAnsiTheme="majorHAnsi" w:cstheme="majorHAnsi"/>
          <w:bCs/>
          <w:snapToGrid w:val="0"/>
          <w:color w:val="000000"/>
          <w:sz w:val="20"/>
          <w:szCs w:val="20"/>
          <w:lang w:val="en-US"/>
        </w:rPr>
        <w:t>?</w:t>
      </w:r>
      <w:r w:rsidR="00D434EB">
        <w:rPr>
          <w:rFonts w:asciiTheme="majorHAnsi" w:hAnsiTheme="majorHAnsi" w:cstheme="majorHAnsi"/>
          <w:bCs/>
          <w:snapToGrid w:val="0"/>
          <w:color w:val="000000"/>
          <w:sz w:val="20"/>
          <w:szCs w:val="20"/>
          <w:lang w:val="en-US"/>
        </w:rPr>
        <w:t xml:space="preserve"> </w:t>
      </w:r>
    </w:p>
    <w:p w14:paraId="4F3CAC85" w14:textId="038BD120" w:rsidR="008D0CAD" w:rsidRPr="00DC5490" w:rsidRDefault="008D0CAD" w:rsidP="00EA6CB9">
      <w:pPr>
        <w:spacing w:before="100" w:beforeAutospacing="1" w:after="100" w:afterAutospacing="1" w:line="360" w:lineRule="auto"/>
        <w:ind w:left="902"/>
        <w:rPr>
          <w:rFonts w:asciiTheme="majorHAnsi" w:hAnsiTheme="majorHAnsi" w:cstheme="majorHAnsi"/>
          <w:bCs/>
          <w:color w:val="000000"/>
          <w:sz w:val="20"/>
          <w:szCs w:val="20"/>
          <w:lang w:val="en-US"/>
        </w:rPr>
      </w:pPr>
      <w:r w:rsidRPr="00DC5490">
        <w:rPr>
          <w:rFonts w:asciiTheme="majorHAnsi" w:hAnsiTheme="majorHAnsi" w:cstheme="majorHAnsi"/>
          <w:bCs/>
          <w:color w:val="000000"/>
          <w:sz w:val="20"/>
          <w:szCs w:val="20"/>
          <w:lang w:val="en-US"/>
        </w:rPr>
        <w:t xml:space="preserve"> ___ 2014</w:t>
      </w:r>
      <w:r w:rsidR="00D434EB">
        <w:rPr>
          <w:rFonts w:asciiTheme="majorHAnsi" w:hAnsiTheme="majorHAnsi" w:cstheme="majorHAnsi"/>
          <w:bCs/>
          <w:color w:val="000000"/>
          <w:sz w:val="20"/>
          <w:szCs w:val="20"/>
          <w:lang w:val="en-US"/>
        </w:rPr>
        <w:t xml:space="preserve">  </w:t>
      </w:r>
      <w:r w:rsidRPr="00DC5490">
        <w:rPr>
          <w:rFonts w:asciiTheme="majorHAnsi" w:hAnsiTheme="majorHAnsi" w:cstheme="majorHAnsi"/>
          <w:bCs/>
          <w:color w:val="000000"/>
          <w:sz w:val="20"/>
          <w:szCs w:val="20"/>
          <w:lang w:val="en-US"/>
        </w:rPr>
        <w:t xml:space="preserve"> ___ 2015</w:t>
      </w:r>
      <w:r w:rsidR="00D434EB">
        <w:rPr>
          <w:rFonts w:asciiTheme="majorHAnsi" w:hAnsiTheme="majorHAnsi" w:cstheme="majorHAnsi"/>
          <w:bCs/>
          <w:color w:val="000000"/>
          <w:sz w:val="20"/>
          <w:szCs w:val="20"/>
          <w:lang w:val="en-US"/>
        </w:rPr>
        <w:t xml:space="preserve">  </w:t>
      </w:r>
      <w:r w:rsidRPr="00DC5490">
        <w:rPr>
          <w:rFonts w:asciiTheme="majorHAnsi" w:hAnsiTheme="majorHAnsi" w:cstheme="majorHAnsi"/>
          <w:bCs/>
          <w:color w:val="000000"/>
          <w:sz w:val="20"/>
          <w:szCs w:val="20"/>
          <w:lang w:val="en-US"/>
        </w:rPr>
        <w:t xml:space="preserve"> ___ 2016</w:t>
      </w:r>
      <w:r w:rsidR="00D434EB">
        <w:rPr>
          <w:rFonts w:asciiTheme="majorHAnsi" w:hAnsiTheme="majorHAnsi" w:cstheme="majorHAnsi"/>
          <w:bCs/>
          <w:color w:val="000000"/>
          <w:sz w:val="20"/>
          <w:szCs w:val="20"/>
          <w:lang w:val="en-US"/>
        </w:rPr>
        <w:t xml:space="preserve">  </w:t>
      </w:r>
      <w:r w:rsidRPr="00DC5490">
        <w:rPr>
          <w:rFonts w:asciiTheme="majorHAnsi" w:hAnsiTheme="majorHAnsi" w:cstheme="majorHAnsi"/>
          <w:bCs/>
          <w:color w:val="000000"/>
          <w:sz w:val="20"/>
          <w:szCs w:val="20"/>
          <w:lang w:val="en-US"/>
        </w:rPr>
        <w:t xml:space="preserve"> ___ 2017</w:t>
      </w:r>
      <w:r w:rsidR="00D434EB">
        <w:rPr>
          <w:rFonts w:asciiTheme="majorHAnsi" w:hAnsiTheme="majorHAnsi" w:cstheme="majorHAnsi"/>
          <w:bCs/>
          <w:color w:val="000000"/>
          <w:sz w:val="20"/>
          <w:szCs w:val="20"/>
          <w:lang w:val="en-US"/>
        </w:rPr>
        <w:t xml:space="preserve">  </w:t>
      </w:r>
      <w:r w:rsidRPr="00DC5490">
        <w:rPr>
          <w:rFonts w:asciiTheme="majorHAnsi" w:hAnsiTheme="majorHAnsi" w:cstheme="majorHAnsi"/>
          <w:bCs/>
          <w:color w:val="000000"/>
          <w:sz w:val="20"/>
          <w:szCs w:val="20"/>
          <w:lang w:val="en-US"/>
        </w:rPr>
        <w:t xml:space="preserve"> ___ 2018</w:t>
      </w:r>
      <w:r w:rsidR="00D434EB">
        <w:rPr>
          <w:rFonts w:asciiTheme="majorHAnsi" w:hAnsiTheme="majorHAnsi" w:cstheme="majorHAnsi"/>
          <w:bCs/>
          <w:color w:val="000000"/>
          <w:sz w:val="20"/>
          <w:szCs w:val="20"/>
          <w:lang w:val="en-US"/>
        </w:rPr>
        <w:t xml:space="preserve">  </w:t>
      </w:r>
      <w:r w:rsidRPr="00DC5490">
        <w:rPr>
          <w:rFonts w:asciiTheme="majorHAnsi" w:hAnsiTheme="majorHAnsi" w:cstheme="majorHAnsi"/>
          <w:bCs/>
          <w:color w:val="000000"/>
          <w:sz w:val="20"/>
          <w:szCs w:val="20"/>
          <w:lang w:val="en-US"/>
        </w:rPr>
        <w:t xml:space="preserve"> ___ Others, ________</w:t>
      </w:r>
    </w:p>
    <w:p w14:paraId="65B33D43" w14:textId="77777777" w:rsidR="008D0CAD" w:rsidRPr="00DC5490" w:rsidRDefault="008D0CAD" w:rsidP="00DD08E3">
      <w:pPr>
        <w:numPr>
          <w:ilvl w:val="1"/>
          <w:numId w:val="81"/>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bCs/>
          <w:snapToGrid w:val="0"/>
          <w:color w:val="000000"/>
          <w:sz w:val="20"/>
          <w:szCs w:val="20"/>
          <w:lang w:val="en-US"/>
        </w:rPr>
        <w:t xml:space="preserve">How often do you use the </w:t>
      </w:r>
      <w:r w:rsidRPr="00DC5490">
        <w:rPr>
          <w:rFonts w:asciiTheme="majorHAnsi" w:hAnsiTheme="majorHAnsi" w:cstheme="majorHAnsi"/>
          <w:bCs/>
          <w:snapToGrid w:val="0"/>
          <w:color w:val="000000" w:themeColor="text1"/>
          <w:sz w:val="20"/>
          <w:szCs w:val="20"/>
          <w:lang w:val="en-US"/>
        </w:rPr>
        <w:t>Learning Resource (LR</w:t>
      </w:r>
      <w:r w:rsidRPr="00DC5490">
        <w:rPr>
          <w:rFonts w:asciiTheme="majorHAnsi" w:hAnsiTheme="majorHAnsi" w:cstheme="majorHAnsi"/>
          <w:snapToGrid w:val="0"/>
          <w:color w:val="000000" w:themeColor="text1"/>
          <w:sz w:val="20"/>
          <w:szCs w:val="20"/>
          <w:lang w:val="en-US"/>
        </w:rPr>
        <w:t xml:space="preserve">) </w:t>
      </w:r>
      <w:r w:rsidRPr="00DC5490">
        <w:rPr>
          <w:rFonts w:asciiTheme="majorHAnsi" w:hAnsiTheme="majorHAnsi" w:cstheme="majorHAnsi"/>
          <w:bCs/>
          <w:snapToGrid w:val="0"/>
          <w:color w:val="000000" w:themeColor="text1"/>
          <w:sz w:val="20"/>
          <w:szCs w:val="20"/>
          <w:lang w:val="en-US"/>
        </w:rPr>
        <w:t>Portal</w:t>
      </w:r>
      <w:r w:rsidRPr="00DC5490">
        <w:rPr>
          <w:rFonts w:asciiTheme="majorHAnsi" w:hAnsiTheme="majorHAnsi" w:cstheme="majorHAnsi"/>
          <w:bCs/>
          <w:snapToGrid w:val="0"/>
          <w:color w:val="000000"/>
          <w:sz w:val="20"/>
          <w:szCs w:val="20"/>
          <w:lang w:val="en-US"/>
        </w:rPr>
        <w:t xml:space="preserve">? </w:t>
      </w:r>
    </w:p>
    <w:p w14:paraId="2842101A" w14:textId="01EE0731" w:rsidR="008D0CAD" w:rsidRPr="00DC5490" w:rsidRDefault="008D0CAD" w:rsidP="00EA6CB9">
      <w:pPr>
        <w:spacing w:before="100" w:beforeAutospacing="1" w:after="100" w:afterAutospacing="1" w:line="360" w:lineRule="auto"/>
        <w:ind w:left="902"/>
        <w:rPr>
          <w:rFonts w:asciiTheme="majorHAnsi" w:hAnsiTheme="majorHAnsi" w:cstheme="majorHAnsi"/>
          <w:bCs/>
          <w:color w:val="000000"/>
          <w:sz w:val="20"/>
          <w:szCs w:val="20"/>
          <w:lang w:val="en-US"/>
        </w:rPr>
      </w:pPr>
      <w:r w:rsidRPr="00DC5490">
        <w:rPr>
          <w:rFonts w:asciiTheme="majorHAnsi" w:hAnsiTheme="majorHAnsi" w:cstheme="majorHAnsi"/>
          <w:bCs/>
          <w:color w:val="000000"/>
          <w:sz w:val="20"/>
          <w:szCs w:val="20"/>
          <w:lang w:val="en-US"/>
        </w:rPr>
        <w:t>___ Monthly</w:t>
      </w:r>
      <w:r w:rsidR="00D434EB">
        <w:rPr>
          <w:rFonts w:asciiTheme="majorHAnsi" w:hAnsiTheme="majorHAnsi" w:cstheme="majorHAnsi"/>
          <w:bCs/>
          <w:color w:val="000000"/>
          <w:sz w:val="20"/>
          <w:szCs w:val="20"/>
          <w:lang w:val="en-US"/>
        </w:rPr>
        <w:t xml:space="preserve"> </w:t>
      </w:r>
      <w:r w:rsidRPr="00DC5490">
        <w:rPr>
          <w:rFonts w:asciiTheme="majorHAnsi" w:hAnsiTheme="majorHAnsi" w:cstheme="majorHAnsi"/>
          <w:bCs/>
          <w:color w:val="000000"/>
          <w:sz w:val="20"/>
          <w:szCs w:val="20"/>
          <w:lang w:val="en-US"/>
        </w:rPr>
        <w:t xml:space="preserve"> ___ Quarterly</w:t>
      </w:r>
      <w:r w:rsidR="00D434EB">
        <w:rPr>
          <w:rFonts w:asciiTheme="majorHAnsi" w:hAnsiTheme="majorHAnsi" w:cstheme="majorHAnsi"/>
          <w:bCs/>
          <w:color w:val="000000"/>
          <w:sz w:val="20"/>
          <w:szCs w:val="20"/>
          <w:lang w:val="en-US"/>
        </w:rPr>
        <w:t xml:space="preserve"> </w:t>
      </w:r>
      <w:r w:rsidRPr="00DC5490">
        <w:rPr>
          <w:rFonts w:asciiTheme="majorHAnsi" w:hAnsiTheme="majorHAnsi" w:cstheme="majorHAnsi"/>
          <w:bCs/>
          <w:color w:val="000000"/>
          <w:sz w:val="20"/>
          <w:szCs w:val="20"/>
          <w:lang w:val="en-US"/>
        </w:rPr>
        <w:t xml:space="preserve"> ___ Semi-Annually</w:t>
      </w:r>
      <w:r w:rsidR="00D434EB">
        <w:rPr>
          <w:rFonts w:asciiTheme="majorHAnsi" w:hAnsiTheme="majorHAnsi" w:cstheme="majorHAnsi"/>
          <w:bCs/>
          <w:color w:val="000000"/>
          <w:sz w:val="20"/>
          <w:szCs w:val="20"/>
          <w:lang w:val="en-US"/>
        </w:rPr>
        <w:t xml:space="preserve"> </w:t>
      </w:r>
      <w:r w:rsidRPr="00DC5490">
        <w:rPr>
          <w:rFonts w:asciiTheme="majorHAnsi" w:hAnsiTheme="majorHAnsi" w:cstheme="majorHAnsi"/>
          <w:bCs/>
          <w:color w:val="000000"/>
          <w:sz w:val="20"/>
          <w:szCs w:val="20"/>
          <w:lang w:val="en-US"/>
        </w:rPr>
        <w:t xml:space="preserve"> ___ Annually</w:t>
      </w:r>
      <w:r w:rsidR="00D434EB">
        <w:rPr>
          <w:rFonts w:asciiTheme="majorHAnsi" w:hAnsiTheme="majorHAnsi" w:cstheme="majorHAnsi"/>
          <w:bCs/>
          <w:color w:val="000000"/>
          <w:sz w:val="20"/>
          <w:szCs w:val="20"/>
          <w:lang w:val="en-US"/>
        </w:rPr>
        <w:t xml:space="preserve">  </w:t>
      </w:r>
      <w:r w:rsidRPr="00DC5490">
        <w:rPr>
          <w:rFonts w:asciiTheme="majorHAnsi" w:hAnsiTheme="majorHAnsi" w:cstheme="majorHAnsi"/>
          <w:bCs/>
          <w:color w:val="000000"/>
          <w:sz w:val="20"/>
          <w:szCs w:val="20"/>
          <w:lang w:val="en-US"/>
        </w:rPr>
        <w:t>___ Others, __________________</w:t>
      </w:r>
    </w:p>
    <w:p w14:paraId="09708A58" w14:textId="77777777" w:rsidR="008D0CAD" w:rsidRPr="00DC5490" w:rsidRDefault="008D0CAD" w:rsidP="00DD08E3">
      <w:pPr>
        <w:numPr>
          <w:ilvl w:val="1"/>
          <w:numId w:val="81"/>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snapToGrid w:val="0"/>
          <w:sz w:val="20"/>
          <w:szCs w:val="20"/>
          <w:lang w:val="en-US"/>
        </w:rPr>
        <w:t xml:space="preserve">On a scale of 1 to 4 (with 4 being Very High), </w:t>
      </w:r>
      <w:r w:rsidRPr="00DC5490">
        <w:rPr>
          <w:rFonts w:asciiTheme="majorHAnsi" w:hAnsiTheme="majorHAnsi" w:cstheme="majorHAnsi"/>
          <w:snapToGrid w:val="0"/>
          <w:color w:val="000000"/>
          <w:sz w:val="20"/>
          <w:szCs w:val="20"/>
          <w:lang w:val="en-US"/>
        </w:rPr>
        <w:t xml:space="preserve">assess </w:t>
      </w:r>
      <w:r w:rsidRPr="00DC5490">
        <w:rPr>
          <w:rFonts w:asciiTheme="majorHAnsi" w:hAnsiTheme="majorHAnsi" w:cstheme="majorHAnsi"/>
          <w:snapToGrid w:val="0"/>
          <w:sz w:val="20"/>
          <w:szCs w:val="20"/>
          <w:lang w:val="en-US"/>
        </w:rPr>
        <w:t xml:space="preserve">the </w:t>
      </w:r>
      <w:r w:rsidRPr="00DC5490">
        <w:rPr>
          <w:rFonts w:asciiTheme="majorHAnsi" w:hAnsiTheme="majorHAnsi" w:cstheme="majorHAnsi"/>
          <w:bCs/>
          <w:snapToGrid w:val="0"/>
          <w:color w:val="000000" w:themeColor="text1"/>
          <w:sz w:val="20"/>
          <w:szCs w:val="20"/>
          <w:lang w:val="en-US"/>
        </w:rPr>
        <w:t>Learning Resource (LR</w:t>
      </w:r>
      <w:r w:rsidRPr="00DC5490">
        <w:rPr>
          <w:rFonts w:asciiTheme="majorHAnsi" w:hAnsiTheme="majorHAnsi" w:cstheme="majorHAnsi"/>
          <w:snapToGrid w:val="0"/>
          <w:color w:val="000000" w:themeColor="text1"/>
          <w:sz w:val="20"/>
          <w:szCs w:val="20"/>
          <w:lang w:val="en-US"/>
        </w:rPr>
        <w:t xml:space="preserve">) </w:t>
      </w:r>
      <w:r w:rsidRPr="00DC5490">
        <w:rPr>
          <w:rFonts w:asciiTheme="majorHAnsi" w:hAnsiTheme="majorHAnsi" w:cstheme="majorHAnsi"/>
          <w:bCs/>
          <w:snapToGrid w:val="0"/>
          <w:color w:val="000000" w:themeColor="text1"/>
          <w:sz w:val="20"/>
          <w:szCs w:val="20"/>
          <w:lang w:val="en-US"/>
        </w:rPr>
        <w:t>Portal</w:t>
      </w:r>
      <w:r w:rsidRPr="00DC5490">
        <w:rPr>
          <w:rFonts w:asciiTheme="majorHAnsi" w:hAnsiTheme="majorHAnsi" w:cstheme="majorHAnsi"/>
          <w:snapToGrid w:val="0"/>
          <w:sz w:val="20"/>
          <w:szCs w:val="20"/>
          <w:lang w:val="en-US"/>
        </w:rPr>
        <w:t xml:space="preserve"> by marking the appropriate box in terms of:</w:t>
      </w:r>
    </w:p>
    <w:tbl>
      <w:tblPr>
        <w:tblStyle w:val="TableGrid9"/>
        <w:tblW w:w="9883" w:type="dxa"/>
        <w:tblInd w:w="355" w:type="dxa"/>
        <w:tblLayout w:type="fixed"/>
        <w:tblLook w:val="04A0" w:firstRow="1" w:lastRow="0" w:firstColumn="1" w:lastColumn="0" w:noHBand="0" w:noVBand="1"/>
      </w:tblPr>
      <w:tblGrid>
        <w:gridCol w:w="4611"/>
        <w:gridCol w:w="1129"/>
        <w:gridCol w:w="941"/>
        <w:gridCol w:w="1129"/>
        <w:gridCol w:w="941"/>
        <w:gridCol w:w="1132"/>
      </w:tblGrid>
      <w:tr w:rsidR="008D0CAD" w:rsidRPr="00DC5490" w14:paraId="2F4429E3" w14:textId="77777777" w:rsidTr="00F4751F">
        <w:trPr>
          <w:trHeight w:val="696"/>
          <w:tblHeader/>
        </w:trPr>
        <w:tc>
          <w:tcPr>
            <w:tcW w:w="4611" w:type="dxa"/>
            <w:shd w:val="clear" w:color="auto" w:fill="D9D9D9" w:themeFill="background1" w:themeFillShade="D9"/>
          </w:tcPr>
          <w:p w14:paraId="3D77FDBA"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p>
        </w:tc>
        <w:tc>
          <w:tcPr>
            <w:tcW w:w="1129" w:type="dxa"/>
            <w:shd w:val="clear" w:color="auto" w:fill="D9D9D9" w:themeFill="background1" w:themeFillShade="D9"/>
            <w:vAlign w:val="center"/>
          </w:tcPr>
          <w:p w14:paraId="3F4DA568"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No opinion</w:t>
            </w:r>
          </w:p>
          <w:p w14:paraId="20CF62A5"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(0)</w:t>
            </w:r>
          </w:p>
        </w:tc>
        <w:tc>
          <w:tcPr>
            <w:tcW w:w="941" w:type="dxa"/>
            <w:shd w:val="clear" w:color="auto" w:fill="D9D9D9" w:themeFill="background1" w:themeFillShade="D9"/>
            <w:vAlign w:val="center"/>
          </w:tcPr>
          <w:p w14:paraId="4F0821F1"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Low</w:t>
            </w:r>
          </w:p>
          <w:p w14:paraId="060AF7C4"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(1)</w:t>
            </w:r>
          </w:p>
        </w:tc>
        <w:tc>
          <w:tcPr>
            <w:tcW w:w="1129" w:type="dxa"/>
            <w:shd w:val="clear" w:color="auto" w:fill="D9D9D9" w:themeFill="background1" w:themeFillShade="D9"/>
            <w:vAlign w:val="center"/>
          </w:tcPr>
          <w:p w14:paraId="6DCFCC2E"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Moderate</w:t>
            </w:r>
          </w:p>
          <w:p w14:paraId="57D8E078"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(2)</w:t>
            </w:r>
          </w:p>
        </w:tc>
        <w:tc>
          <w:tcPr>
            <w:tcW w:w="941" w:type="dxa"/>
            <w:shd w:val="clear" w:color="auto" w:fill="D9D9D9" w:themeFill="background1" w:themeFillShade="D9"/>
            <w:vAlign w:val="center"/>
          </w:tcPr>
          <w:p w14:paraId="36283AD4"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High</w:t>
            </w:r>
          </w:p>
          <w:p w14:paraId="4065ABAF"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(3)</w:t>
            </w:r>
          </w:p>
        </w:tc>
        <w:tc>
          <w:tcPr>
            <w:tcW w:w="1132" w:type="dxa"/>
            <w:shd w:val="clear" w:color="auto" w:fill="D9D9D9" w:themeFill="background1" w:themeFillShade="D9"/>
            <w:vAlign w:val="center"/>
          </w:tcPr>
          <w:p w14:paraId="17783C28"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Very High</w:t>
            </w:r>
          </w:p>
          <w:p w14:paraId="7AA88D5D"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(4)</w:t>
            </w:r>
          </w:p>
        </w:tc>
      </w:tr>
      <w:tr w:rsidR="008D0CAD" w:rsidRPr="00DC5490" w14:paraId="49CAC898" w14:textId="77777777" w:rsidTr="009C64E9">
        <w:trPr>
          <w:trHeight w:val="277"/>
        </w:trPr>
        <w:tc>
          <w:tcPr>
            <w:tcW w:w="4611" w:type="dxa"/>
          </w:tcPr>
          <w:p w14:paraId="6507C21A"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432" w:hanging="450"/>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b/>
                <w:color w:val="000000"/>
                <w:sz w:val="16"/>
                <w:szCs w:val="16"/>
                <w:lang w:val="en-US"/>
              </w:rPr>
              <w:t>Ease of access</w:t>
            </w:r>
            <w:r w:rsidRPr="00DC5490">
              <w:rPr>
                <w:rFonts w:asciiTheme="majorHAnsi" w:eastAsiaTheme="minorHAnsi" w:hAnsiTheme="majorHAnsi" w:cstheme="majorHAnsi"/>
                <w:color w:val="000000"/>
                <w:sz w:val="16"/>
                <w:szCs w:val="16"/>
                <w:lang w:val="en-US"/>
              </w:rPr>
              <w:t xml:space="preserve"> when connecting to the system</w:t>
            </w:r>
          </w:p>
        </w:tc>
        <w:tc>
          <w:tcPr>
            <w:tcW w:w="1129" w:type="dxa"/>
            <w:vAlign w:val="center"/>
          </w:tcPr>
          <w:p w14:paraId="75AE5B13"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941" w:type="dxa"/>
            <w:vAlign w:val="center"/>
          </w:tcPr>
          <w:p w14:paraId="3CE8DCDE"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1129" w:type="dxa"/>
            <w:vAlign w:val="center"/>
          </w:tcPr>
          <w:p w14:paraId="4C6DF8F4"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941" w:type="dxa"/>
          </w:tcPr>
          <w:p w14:paraId="31F48D58"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132" w:type="dxa"/>
            <w:vAlign w:val="center"/>
          </w:tcPr>
          <w:p w14:paraId="0DDF479B"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r>
      <w:tr w:rsidR="008D0CAD" w:rsidRPr="00DC5490" w14:paraId="6A02E3AB" w14:textId="77777777" w:rsidTr="009C64E9">
        <w:trPr>
          <w:trHeight w:val="277"/>
        </w:trPr>
        <w:tc>
          <w:tcPr>
            <w:tcW w:w="4611" w:type="dxa"/>
          </w:tcPr>
          <w:p w14:paraId="037E4D68"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432" w:hanging="450"/>
              <w:rPr>
                <w:rFonts w:asciiTheme="majorHAnsi" w:eastAsiaTheme="minorHAnsi" w:hAnsiTheme="majorHAnsi" w:cstheme="majorHAnsi"/>
                <w:bCs/>
                <w:color w:val="000000"/>
                <w:sz w:val="16"/>
                <w:szCs w:val="16"/>
                <w:lang w:val="en-US"/>
              </w:rPr>
            </w:pPr>
            <w:r w:rsidRPr="00DC5490">
              <w:rPr>
                <w:rFonts w:asciiTheme="majorHAnsi" w:eastAsiaTheme="minorHAnsi" w:hAnsiTheme="majorHAnsi" w:cstheme="majorHAnsi"/>
                <w:b/>
                <w:color w:val="000000"/>
                <w:sz w:val="16"/>
                <w:szCs w:val="16"/>
                <w:lang w:val="en-US"/>
              </w:rPr>
              <w:t>User- friendliness</w:t>
            </w:r>
            <w:r w:rsidRPr="00DC5490">
              <w:rPr>
                <w:rFonts w:asciiTheme="majorHAnsi" w:eastAsiaTheme="minorHAnsi" w:hAnsiTheme="majorHAnsi" w:cstheme="majorHAnsi"/>
                <w:color w:val="000000"/>
                <w:sz w:val="16"/>
                <w:szCs w:val="16"/>
                <w:lang w:val="en-US"/>
              </w:rPr>
              <w:t xml:space="preserve"> of the system when navigating the site</w:t>
            </w:r>
          </w:p>
        </w:tc>
        <w:tc>
          <w:tcPr>
            <w:tcW w:w="1129" w:type="dxa"/>
            <w:vAlign w:val="center"/>
          </w:tcPr>
          <w:p w14:paraId="1F6C4E9F"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941" w:type="dxa"/>
            <w:vAlign w:val="center"/>
          </w:tcPr>
          <w:p w14:paraId="1910FA50"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129" w:type="dxa"/>
            <w:vAlign w:val="center"/>
          </w:tcPr>
          <w:p w14:paraId="3B5F8CA7"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941" w:type="dxa"/>
          </w:tcPr>
          <w:p w14:paraId="5BA3C858"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132" w:type="dxa"/>
            <w:vAlign w:val="center"/>
          </w:tcPr>
          <w:p w14:paraId="3549C477"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r>
      <w:tr w:rsidR="008D0CAD" w:rsidRPr="00DC5490" w14:paraId="33BCC345" w14:textId="77777777" w:rsidTr="009C64E9">
        <w:trPr>
          <w:trHeight w:val="277"/>
        </w:trPr>
        <w:tc>
          <w:tcPr>
            <w:tcW w:w="4611" w:type="dxa"/>
          </w:tcPr>
          <w:p w14:paraId="0BE4FA2E"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432" w:hanging="450"/>
              <w:rPr>
                <w:rFonts w:asciiTheme="majorHAnsi" w:eastAsiaTheme="minorHAnsi" w:hAnsiTheme="majorHAnsi" w:cstheme="majorHAnsi"/>
                <w:bCs/>
                <w:color w:val="000000"/>
                <w:sz w:val="16"/>
                <w:szCs w:val="16"/>
                <w:lang w:val="en-US"/>
              </w:rPr>
            </w:pPr>
            <w:r w:rsidRPr="00DC5490">
              <w:rPr>
                <w:rFonts w:asciiTheme="majorHAnsi" w:eastAsiaTheme="minorHAnsi" w:hAnsiTheme="majorHAnsi" w:cstheme="majorHAnsi"/>
                <w:b/>
                <w:color w:val="000000"/>
                <w:sz w:val="16"/>
                <w:szCs w:val="16"/>
                <w:lang w:val="en-US"/>
              </w:rPr>
              <w:t>Usefulness</w:t>
            </w:r>
            <w:r w:rsidRPr="00DC5490">
              <w:rPr>
                <w:rFonts w:asciiTheme="majorHAnsi" w:eastAsiaTheme="minorHAnsi" w:hAnsiTheme="majorHAnsi" w:cstheme="majorHAnsi"/>
                <w:color w:val="000000"/>
                <w:sz w:val="16"/>
                <w:szCs w:val="16"/>
                <w:lang w:val="en-US"/>
              </w:rPr>
              <w:t xml:space="preserve"> of system in enhancing school operations &amp; delivering learning outcomes</w:t>
            </w:r>
          </w:p>
        </w:tc>
        <w:tc>
          <w:tcPr>
            <w:tcW w:w="1129" w:type="dxa"/>
            <w:vAlign w:val="center"/>
          </w:tcPr>
          <w:p w14:paraId="6A5E6F21"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941" w:type="dxa"/>
            <w:vAlign w:val="center"/>
          </w:tcPr>
          <w:p w14:paraId="43DA3C93"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129" w:type="dxa"/>
            <w:vAlign w:val="center"/>
          </w:tcPr>
          <w:p w14:paraId="2652A959"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941" w:type="dxa"/>
          </w:tcPr>
          <w:p w14:paraId="4C377BEB"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132" w:type="dxa"/>
            <w:vAlign w:val="center"/>
          </w:tcPr>
          <w:p w14:paraId="0799D63E"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r>
    </w:tbl>
    <w:p w14:paraId="587E4844" w14:textId="77777777" w:rsidR="008D0CAD" w:rsidRPr="00DC5490" w:rsidRDefault="008D0CAD" w:rsidP="00DD08E3">
      <w:pPr>
        <w:numPr>
          <w:ilvl w:val="0"/>
          <w:numId w:val="81"/>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snapToGrid w:val="0"/>
          <w:color w:val="000000" w:themeColor="text1"/>
          <w:sz w:val="20"/>
          <w:szCs w:val="20"/>
        </w:rPr>
        <w:t xml:space="preserve">In your own opinion, what are some hindering and facilitating factors the full utilisation of the </w:t>
      </w:r>
      <w:r w:rsidRPr="00DC5490">
        <w:rPr>
          <w:rFonts w:asciiTheme="majorHAnsi" w:hAnsiTheme="majorHAnsi" w:cstheme="majorHAnsi"/>
          <w:bCs/>
          <w:snapToGrid w:val="0"/>
          <w:color w:val="000000" w:themeColor="text1"/>
          <w:sz w:val="20"/>
          <w:szCs w:val="20"/>
          <w:lang w:val="en-US"/>
        </w:rPr>
        <w:t>Enhanced Basic Education Information System</w:t>
      </w:r>
      <w:r w:rsidRPr="00DC5490">
        <w:rPr>
          <w:rFonts w:asciiTheme="majorHAnsi" w:hAnsiTheme="majorHAnsi" w:cstheme="majorHAnsi"/>
          <w:snapToGrid w:val="0"/>
          <w:color w:val="000000" w:themeColor="text1"/>
          <w:sz w:val="20"/>
          <w:szCs w:val="20"/>
        </w:rPr>
        <w:t xml:space="preserve"> (EBEIS) Learner Information System and the </w:t>
      </w:r>
      <w:r w:rsidRPr="00DC5490">
        <w:rPr>
          <w:rFonts w:asciiTheme="majorHAnsi" w:hAnsiTheme="majorHAnsi" w:cstheme="majorHAnsi"/>
          <w:bCs/>
          <w:snapToGrid w:val="0"/>
          <w:color w:val="000000" w:themeColor="text1"/>
          <w:sz w:val="20"/>
          <w:szCs w:val="20"/>
          <w:lang w:val="en-US"/>
        </w:rPr>
        <w:t>Learning Resource (LR</w:t>
      </w:r>
      <w:r w:rsidRPr="00DC5490">
        <w:rPr>
          <w:rFonts w:asciiTheme="majorHAnsi" w:hAnsiTheme="majorHAnsi" w:cstheme="majorHAnsi"/>
          <w:snapToGrid w:val="0"/>
          <w:color w:val="000000" w:themeColor="text1"/>
          <w:sz w:val="20"/>
          <w:szCs w:val="20"/>
          <w:lang w:val="en-US"/>
        </w:rPr>
        <w:t xml:space="preserve">) </w:t>
      </w:r>
      <w:r w:rsidRPr="00DC5490">
        <w:rPr>
          <w:rFonts w:asciiTheme="majorHAnsi" w:hAnsiTheme="majorHAnsi" w:cstheme="majorHAnsi"/>
          <w:bCs/>
          <w:snapToGrid w:val="0"/>
          <w:color w:val="000000" w:themeColor="text1"/>
          <w:sz w:val="20"/>
          <w:szCs w:val="20"/>
          <w:lang w:val="en-US"/>
        </w:rPr>
        <w:t>Portal</w:t>
      </w:r>
      <w:r w:rsidRPr="00DC5490">
        <w:rPr>
          <w:rFonts w:asciiTheme="majorHAnsi" w:hAnsiTheme="majorHAnsi" w:cstheme="majorHAnsi"/>
          <w:snapToGrid w:val="0"/>
          <w:color w:val="000000" w:themeColor="text1"/>
          <w:sz w:val="20"/>
          <w:szCs w:val="20"/>
        </w:rPr>
        <w:t>?</w:t>
      </w:r>
    </w:p>
    <w:p w14:paraId="7FA74B6A" w14:textId="77777777" w:rsidR="008D0CAD" w:rsidRPr="00DC5490" w:rsidRDefault="008D0CAD" w:rsidP="00DD08E3">
      <w:pPr>
        <w:numPr>
          <w:ilvl w:val="1"/>
          <w:numId w:val="81"/>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snapToGrid w:val="0"/>
          <w:color w:val="000000" w:themeColor="text1"/>
          <w:sz w:val="20"/>
          <w:szCs w:val="20"/>
          <w:lang w:val="en-US"/>
        </w:rPr>
        <w:t xml:space="preserve">What factors hinder the </w:t>
      </w:r>
      <w:r w:rsidRPr="00DC5490">
        <w:rPr>
          <w:rFonts w:asciiTheme="majorHAnsi" w:hAnsiTheme="majorHAnsi" w:cstheme="majorHAnsi"/>
          <w:snapToGrid w:val="0"/>
          <w:color w:val="000000" w:themeColor="text1"/>
          <w:sz w:val="20"/>
          <w:szCs w:val="20"/>
        </w:rPr>
        <w:t xml:space="preserve">full utilisation of the Learner Information System and the </w:t>
      </w:r>
      <w:r w:rsidRPr="00DC5490">
        <w:rPr>
          <w:rFonts w:asciiTheme="majorHAnsi" w:hAnsiTheme="majorHAnsi" w:cstheme="majorHAnsi"/>
          <w:bCs/>
          <w:snapToGrid w:val="0"/>
          <w:color w:val="000000" w:themeColor="text1"/>
          <w:sz w:val="20"/>
          <w:szCs w:val="20"/>
          <w:lang w:val="en-US"/>
        </w:rPr>
        <w:t>Learning Resource (LR</w:t>
      </w:r>
      <w:r w:rsidRPr="00DC5490">
        <w:rPr>
          <w:rFonts w:asciiTheme="majorHAnsi" w:hAnsiTheme="majorHAnsi" w:cstheme="majorHAnsi"/>
          <w:snapToGrid w:val="0"/>
          <w:color w:val="000000" w:themeColor="text1"/>
          <w:sz w:val="20"/>
          <w:szCs w:val="20"/>
          <w:lang w:val="en-US"/>
        </w:rPr>
        <w:t xml:space="preserve">) </w:t>
      </w:r>
      <w:r w:rsidRPr="00DC5490">
        <w:rPr>
          <w:rFonts w:asciiTheme="majorHAnsi" w:hAnsiTheme="majorHAnsi" w:cstheme="majorHAnsi"/>
          <w:bCs/>
          <w:snapToGrid w:val="0"/>
          <w:color w:val="000000" w:themeColor="text1"/>
          <w:sz w:val="20"/>
          <w:szCs w:val="20"/>
          <w:lang w:val="en-US"/>
        </w:rPr>
        <w:t>Portal</w:t>
      </w:r>
      <w:r w:rsidRPr="00DC5490">
        <w:rPr>
          <w:rFonts w:asciiTheme="majorHAnsi" w:hAnsiTheme="majorHAnsi" w:cstheme="majorHAnsi"/>
          <w:snapToGrid w:val="0"/>
          <w:color w:val="000000" w:themeColor="text1"/>
          <w:sz w:val="20"/>
          <w:szCs w:val="20"/>
        </w:rPr>
        <w:t>?</w:t>
      </w:r>
    </w:p>
    <w:p w14:paraId="5005253B" w14:textId="77777777" w:rsidR="008D0CAD" w:rsidRPr="00DC5490" w:rsidRDefault="008D0CAD" w:rsidP="00DD08E3">
      <w:pPr>
        <w:numPr>
          <w:ilvl w:val="1"/>
          <w:numId w:val="81"/>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snapToGrid w:val="0"/>
          <w:color w:val="000000" w:themeColor="text1"/>
          <w:sz w:val="20"/>
          <w:szCs w:val="20"/>
          <w:lang w:val="en-US"/>
        </w:rPr>
        <w:t xml:space="preserve">What factors help the </w:t>
      </w:r>
      <w:r w:rsidRPr="00DC5490">
        <w:rPr>
          <w:rFonts w:asciiTheme="majorHAnsi" w:hAnsiTheme="majorHAnsi" w:cstheme="majorHAnsi"/>
          <w:snapToGrid w:val="0"/>
          <w:color w:val="000000" w:themeColor="text1"/>
          <w:sz w:val="20"/>
          <w:szCs w:val="20"/>
        </w:rPr>
        <w:t xml:space="preserve">full utilisation of the Learner Information System and the </w:t>
      </w:r>
      <w:r w:rsidRPr="00DC5490">
        <w:rPr>
          <w:rFonts w:asciiTheme="majorHAnsi" w:hAnsiTheme="majorHAnsi" w:cstheme="majorHAnsi"/>
          <w:bCs/>
          <w:snapToGrid w:val="0"/>
          <w:color w:val="000000" w:themeColor="text1"/>
          <w:sz w:val="20"/>
          <w:szCs w:val="20"/>
          <w:lang w:val="en-US"/>
        </w:rPr>
        <w:t>Learning Resource (LR</w:t>
      </w:r>
      <w:r w:rsidRPr="00DC5490">
        <w:rPr>
          <w:rFonts w:asciiTheme="majorHAnsi" w:hAnsiTheme="majorHAnsi" w:cstheme="majorHAnsi"/>
          <w:snapToGrid w:val="0"/>
          <w:color w:val="000000" w:themeColor="text1"/>
          <w:sz w:val="20"/>
          <w:szCs w:val="20"/>
          <w:lang w:val="en-US"/>
        </w:rPr>
        <w:t xml:space="preserve">) </w:t>
      </w:r>
      <w:r w:rsidRPr="00DC5490">
        <w:rPr>
          <w:rFonts w:asciiTheme="majorHAnsi" w:hAnsiTheme="majorHAnsi" w:cstheme="majorHAnsi"/>
          <w:bCs/>
          <w:snapToGrid w:val="0"/>
          <w:color w:val="000000" w:themeColor="text1"/>
          <w:sz w:val="20"/>
          <w:szCs w:val="20"/>
          <w:lang w:val="en-US"/>
        </w:rPr>
        <w:t>Portal</w:t>
      </w:r>
      <w:r w:rsidRPr="00DC5490">
        <w:rPr>
          <w:rFonts w:asciiTheme="majorHAnsi" w:hAnsiTheme="majorHAnsi" w:cstheme="majorHAnsi"/>
          <w:snapToGrid w:val="0"/>
          <w:color w:val="000000" w:themeColor="text1"/>
          <w:sz w:val="20"/>
          <w:szCs w:val="20"/>
        </w:rPr>
        <w:t>?</w:t>
      </w:r>
    </w:p>
    <w:p w14:paraId="70722EDC" w14:textId="77777777" w:rsidR="008D0CAD" w:rsidRPr="00DC5490" w:rsidRDefault="008D0CAD" w:rsidP="00DD08E3">
      <w:pPr>
        <w:numPr>
          <w:ilvl w:val="0"/>
          <w:numId w:val="81"/>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snapToGrid w:val="0"/>
          <w:sz w:val="20"/>
          <w:szCs w:val="20"/>
          <w:lang w:val="en-US"/>
        </w:rPr>
        <w:t xml:space="preserve">As a teacher, what recommendations can you give to ensure </w:t>
      </w:r>
      <w:r w:rsidRPr="00DC5490">
        <w:rPr>
          <w:rFonts w:asciiTheme="majorHAnsi" w:hAnsiTheme="majorHAnsi" w:cstheme="majorHAnsi"/>
          <w:snapToGrid w:val="0"/>
          <w:color w:val="000000" w:themeColor="text1"/>
          <w:sz w:val="20"/>
          <w:szCs w:val="20"/>
        </w:rPr>
        <w:t xml:space="preserve">the full utilisation of the Learner Information System and the </w:t>
      </w:r>
      <w:r w:rsidRPr="00DC5490">
        <w:rPr>
          <w:rFonts w:asciiTheme="majorHAnsi" w:hAnsiTheme="majorHAnsi" w:cstheme="majorHAnsi"/>
          <w:bCs/>
          <w:snapToGrid w:val="0"/>
          <w:color w:val="000000" w:themeColor="text1"/>
          <w:sz w:val="20"/>
          <w:szCs w:val="20"/>
          <w:lang w:val="en-US"/>
        </w:rPr>
        <w:t>Learning Resource (LR</w:t>
      </w:r>
      <w:r w:rsidRPr="00DC5490">
        <w:rPr>
          <w:rFonts w:asciiTheme="majorHAnsi" w:hAnsiTheme="majorHAnsi" w:cstheme="majorHAnsi"/>
          <w:snapToGrid w:val="0"/>
          <w:color w:val="000000" w:themeColor="text1"/>
          <w:sz w:val="20"/>
          <w:szCs w:val="20"/>
          <w:lang w:val="en-US"/>
        </w:rPr>
        <w:t xml:space="preserve">) </w:t>
      </w:r>
      <w:r w:rsidRPr="00DC5490">
        <w:rPr>
          <w:rFonts w:asciiTheme="majorHAnsi" w:hAnsiTheme="majorHAnsi" w:cstheme="majorHAnsi"/>
          <w:bCs/>
          <w:snapToGrid w:val="0"/>
          <w:color w:val="000000" w:themeColor="text1"/>
          <w:sz w:val="20"/>
          <w:szCs w:val="20"/>
          <w:lang w:val="en-US"/>
        </w:rPr>
        <w:t>Portal</w:t>
      </w:r>
      <w:r w:rsidRPr="00DC5490">
        <w:rPr>
          <w:rFonts w:asciiTheme="majorHAnsi" w:hAnsiTheme="majorHAnsi" w:cstheme="majorHAnsi"/>
          <w:snapToGrid w:val="0"/>
          <w:sz w:val="20"/>
          <w:szCs w:val="20"/>
          <w:lang w:val="en-US"/>
        </w:rPr>
        <w:t xml:space="preserve"> in </w:t>
      </w:r>
      <w:r w:rsidRPr="00DC5490">
        <w:rPr>
          <w:rFonts w:asciiTheme="majorHAnsi" w:hAnsiTheme="majorHAnsi" w:cstheme="majorHAnsi"/>
          <w:bCs/>
          <w:snapToGrid w:val="0"/>
          <w:color w:val="000000"/>
          <w:sz w:val="20"/>
          <w:szCs w:val="20"/>
          <w:lang w:val="en-US"/>
        </w:rPr>
        <w:t>your school</w:t>
      </w:r>
      <w:r w:rsidRPr="00DC5490">
        <w:rPr>
          <w:rFonts w:asciiTheme="majorHAnsi" w:hAnsiTheme="majorHAnsi" w:cstheme="majorHAnsi"/>
          <w:snapToGrid w:val="0"/>
          <w:sz w:val="20"/>
          <w:szCs w:val="20"/>
          <w:lang w:val="en-US"/>
        </w:rPr>
        <w:t>?</w:t>
      </w:r>
    </w:p>
    <w:p w14:paraId="677C935F" w14:textId="23969BD3" w:rsidR="008D0CAD" w:rsidRPr="00DC5490" w:rsidRDefault="008D0CAD" w:rsidP="00DD08E3">
      <w:pPr>
        <w:numPr>
          <w:ilvl w:val="0"/>
          <w:numId w:val="81"/>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snapToGrid w:val="0"/>
          <w:sz w:val="20"/>
          <w:szCs w:val="20"/>
          <w:lang w:val="en-US"/>
        </w:rPr>
        <w:t xml:space="preserve">Have you participated in any </w:t>
      </w:r>
      <w:r w:rsidRPr="00DC5490">
        <w:rPr>
          <w:rFonts w:asciiTheme="majorHAnsi" w:hAnsiTheme="majorHAnsi" w:cstheme="majorHAnsi"/>
          <w:b/>
          <w:snapToGrid w:val="0"/>
          <w:sz w:val="20"/>
          <w:szCs w:val="20"/>
          <w:lang w:val="en-US"/>
        </w:rPr>
        <w:t>Continuous Improvement (CI)</w:t>
      </w:r>
      <w:r w:rsidRPr="00DC5490">
        <w:rPr>
          <w:rFonts w:asciiTheme="majorHAnsi" w:hAnsiTheme="majorHAnsi" w:cstheme="majorHAnsi"/>
          <w:snapToGrid w:val="0"/>
          <w:sz w:val="20"/>
          <w:szCs w:val="20"/>
          <w:lang w:val="en-US"/>
        </w:rPr>
        <w:t xml:space="preserve"> activities?</w:t>
      </w:r>
      <w:r w:rsidR="00D434EB">
        <w:rPr>
          <w:rFonts w:asciiTheme="majorHAnsi" w:hAnsiTheme="majorHAnsi" w:cstheme="majorHAnsi"/>
          <w:snapToGrid w:val="0"/>
          <w:sz w:val="20"/>
          <w:szCs w:val="20"/>
          <w:lang w:val="en-US"/>
        </w:rPr>
        <w:t xml:space="preserve"> </w:t>
      </w:r>
      <w:r w:rsidRPr="00DC5490">
        <w:rPr>
          <w:rFonts w:asciiTheme="majorHAnsi" w:hAnsiTheme="majorHAnsi" w:cstheme="majorHAnsi"/>
          <w:snapToGrid w:val="0"/>
          <w:sz w:val="20"/>
          <w:szCs w:val="20"/>
          <w:lang w:val="en-US"/>
        </w:rPr>
        <w:t>___ Yes</w:t>
      </w:r>
      <w:r w:rsidRPr="00DC5490">
        <w:rPr>
          <w:rFonts w:asciiTheme="majorHAnsi" w:hAnsiTheme="majorHAnsi" w:cstheme="majorHAnsi"/>
          <w:snapToGrid w:val="0"/>
          <w:sz w:val="20"/>
          <w:szCs w:val="20"/>
          <w:lang w:val="en-US"/>
        </w:rPr>
        <w:tab/>
        <w:t>___ No</w:t>
      </w:r>
    </w:p>
    <w:p w14:paraId="312EA19E" w14:textId="77777777" w:rsidR="008D0CAD" w:rsidRPr="00DC5490" w:rsidRDefault="008D0CAD" w:rsidP="00DD08E3">
      <w:pPr>
        <w:numPr>
          <w:ilvl w:val="1"/>
          <w:numId w:val="81"/>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bCs/>
          <w:snapToGrid w:val="0"/>
          <w:color w:val="000000"/>
          <w:sz w:val="20"/>
          <w:szCs w:val="20"/>
          <w:lang w:val="en-US"/>
        </w:rPr>
        <w:t xml:space="preserve">If yes, please describe what those activities were: </w:t>
      </w:r>
    </w:p>
    <w:p w14:paraId="64FAF8C6" w14:textId="77777777" w:rsidR="008D0CAD" w:rsidRPr="00DC5490" w:rsidRDefault="008D0CAD" w:rsidP="00DD08E3">
      <w:pPr>
        <w:numPr>
          <w:ilvl w:val="0"/>
          <w:numId w:val="81"/>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DC5490">
        <w:rPr>
          <w:rFonts w:asciiTheme="majorHAnsi" w:hAnsiTheme="majorHAnsi" w:cstheme="majorHAnsi"/>
          <w:snapToGrid w:val="0"/>
          <w:sz w:val="20"/>
          <w:szCs w:val="20"/>
          <w:lang w:val="en-US"/>
        </w:rPr>
        <w:t>On a scale of 1 to 4 (with 4 being more than adequate), assess the different kinds of support provided to you as a teacher to enable you to successfully implement the reforms and use the different tools introduced to enhance your performance in the classroom. Please marking the appropriate box in terms of:</w:t>
      </w:r>
    </w:p>
    <w:tbl>
      <w:tblPr>
        <w:tblStyle w:val="TableGrid9"/>
        <w:tblW w:w="9571" w:type="dxa"/>
        <w:tblInd w:w="355" w:type="dxa"/>
        <w:tblLayout w:type="fixed"/>
        <w:tblLook w:val="04A0" w:firstRow="1" w:lastRow="0" w:firstColumn="1" w:lastColumn="0" w:noHBand="0" w:noVBand="1"/>
      </w:tblPr>
      <w:tblGrid>
        <w:gridCol w:w="3307"/>
        <w:gridCol w:w="1131"/>
        <w:gridCol w:w="957"/>
        <w:gridCol w:w="783"/>
        <w:gridCol w:w="1218"/>
        <w:gridCol w:w="1044"/>
        <w:gridCol w:w="1131"/>
      </w:tblGrid>
      <w:tr w:rsidR="008D0CAD" w:rsidRPr="00DC5490" w14:paraId="6E9FDE57" w14:textId="77777777" w:rsidTr="009C64E9">
        <w:trPr>
          <w:trHeight w:val="696"/>
          <w:tblHeader/>
        </w:trPr>
        <w:tc>
          <w:tcPr>
            <w:tcW w:w="3307" w:type="dxa"/>
            <w:shd w:val="clear" w:color="auto" w:fill="D9D9D9" w:themeFill="background1" w:themeFillShade="D9"/>
          </w:tcPr>
          <w:p w14:paraId="0B269D9F"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p>
        </w:tc>
        <w:tc>
          <w:tcPr>
            <w:tcW w:w="1131" w:type="dxa"/>
            <w:shd w:val="clear" w:color="auto" w:fill="D9D9D9" w:themeFill="background1" w:themeFillShade="D9"/>
          </w:tcPr>
          <w:p w14:paraId="6379A07F"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Not Applicable</w:t>
            </w:r>
          </w:p>
        </w:tc>
        <w:tc>
          <w:tcPr>
            <w:tcW w:w="957" w:type="dxa"/>
            <w:shd w:val="clear" w:color="auto" w:fill="D9D9D9" w:themeFill="background1" w:themeFillShade="D9"/>
            <w:vAlign w:val="center"/>
          </w:tcPr>
          <w:p w14:paraId="4C0F09C5"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No support</w:t>
            </w:r>
          </w:p>
          <w:p w14:paraId="77F6980A"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(0)</w:t>
            </w:r>
          </w:p>
        </w:tc>
        <w:tc>
          <w:tcPr>
            <w:tcW w:w="783" w:type="dxa"/>
            <w:shd w:val="clear" w:color="auto" w:fill="D9D9D9" w:themeFill="background1" w:themeFillShade="D9"/>
            <w:vAlign w:val="center"/>
          </w:tcPr>
          <w:p w14:paraId="4A33B0CB"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 xml:space="preserve">Poor </w:t>
            </w:r>
          </w:p>
          <w:p w14:paraId="3C122AA5"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(1)</w:t>
            </w:r>
          </w:p>
        </w:tc>
        <w:tc>
          <w:tcPr>
            <w:tcW w:w="1218" w:type="dxa"/>
            <w:shd w:val="clear" w:color="auto" w:fill="D9D9D9" w:themeFill="background1" w:themeFillShade="D9"/>
            <w:vAlign w:val="center"/>
          </w:tcPr>
          <w:p w14:paraId="1FFAE00C"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Inadequate</w:t>
            </w:r>
          </w:p>
          <w:p w14:paraId="7671F99C"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(2)</w:t>
            </w:r>
          </w:p>
        </w:tc>
        <w:tc>
          <w:tcPr>
            <w:tcW w:w="1044" w:type="dxa"/>
            <w:shd w:val="clear" w:color="auto" w:fill="D9D9D9" w:themeFill="background1" w:themeFillShade="D9"/>
            <w:vAlign w:val="center"/>
          </w:tcPr>
          <w:p w14:paraId="0D81B9EE"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Adequate</w:t>
            </w:r>
          </w:p>
          <w:p w14:paraId="44C6946F"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(3)</w:t>
            </w:r>
          </w:p>
        </w:tc>
        <w:tc>
          <w:tcPr>
            <w:tcW w:w="1131" w:type="dxa"/>
            <w:shd w:val="clear" w:color="auto" w:fill="D9D9D9" w:themeFill="background1" w:themeFillShade="D9"/>
            <w:vAlign w:val="center"/>
          </w:tcPr>
          <w:p w14:paraId="11395047"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More than Adequate</w:t>
            </w:r>
          </w:p>
          <w:p w14:paraId="5EC9611F"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(4)</w:t>
            </w:r>
          </w:p>
        </w:tc>
      </w:tr>
      <w:tr w:rsidR="008D0CAD" w:rsidRPr="00DC5490" w14:paraId="3CBDB4A2" w14:textId="77777777" w:rsidTr="009C64E9">
        <w:trPr>
          <w:trHeight w:val="278"/>
        </w:trPr>
        <w:tc>
          <w:tcPr>
            <w:tcW w:w="3307" w:type="dxa"/>
          </w:tcPr>
          <w:p w14:paraId="0621A805"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432" w:hanging="450"/>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bCs/>
                <w:color w:val="000000"/>
                <w:sz w:val="16"/>
                <w:szCs w:val="16"/>
                <w:lang w:val="en-US"/>
              </w:rPr>
              <w:t>Face to face or formal capacity building (Inset, etc.)</w:t>
            </w:r>
          </w:p>
        </w:tc>
        <w:tc>
          <w:tcPr>
            <w:tcW w:w="1131" w:type="dxa"/>
          </w:tcPr>
          <w:p w14:paraId="54377765"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957" w:type="dxa"/>
            <w:vAlign w:val="center"/>
          </w:tcPr>
          <w:p w14:paraId="6EEC44A4"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783" w:type="dxa"/>
            <w:vAlign w:val="center"/>
          </w:tcPr>
          <w:p w14:paraId="79123771"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1218" w:type="dxa"/>
            <w:vAlign w:val="center"/>
          </w:tcPr>
          <w:p w14:paraId="4AE5F199"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1044" w:type="dxa"/>
          </w:tcPr>
          <w:p w14:paraId="727244AF"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131" w:type="dxa"/>
            <w:vAlign w:val="center"/>
          </w:tcPr>
          <w:p w14:paraId="24C1E011"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r>
      <w:tr w:rsidR="008D0CAD" w:rsidRPr="00DC5490" w14:paraId="742F9A17" w14:textId="77777777" w:rsidTr="009C64E9">
        <w:trPr>
          <w:trHeight w:val="278"/>
        </w:trPr>
        <w:tc>
          <w:tcPr>
            <w:tcW w:w="3307" w:type="dxa"/>
          </w:tcPr>
          <w:p w14:paraId="54C77721"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432" w:hanging="450"/>
              <w:rPr>
                <w:rFonts w:asciiTheme="majorHAnsi" w:eastAsiaTheme="minorHAnsi" w:hAnsiTheme="majorHAnsi" w:cstheme="majorHAnsi"/>
                <w:bCs/>
                <w:color w:val="000000"/>
                <w:sz w:val="16"/>
                <w:szCs w:val="16"/>
                <w:lang w:val="en-US"/>
              </w:rPr>
            </w:pPr>
            <w:r w:rsidRPr="00DC5490">
              <w:rPr>
                <w:rFonts w:asciiTheme="majorHAnsi" w:eastAsiaTheme="minorHAnsi" w:hAnsiTheme="majorHAnsi" w:cstheme="majorHAnsi"/>
                <w:bCs/>
                <w:color w:val="000000"/>
                <w:sz w:val="16"/>
                <w:szCs w:val="16"/>
                <w:lang w:val="en-US"/>
              </w:rPr>
              <w:t>Mentoring &amp; coaching</w:t>
            </w:r>
          </w:p>
        </w:tc>
        <w:tc>
          <w:tcPr>
            <w:tcW w:w="1131" w:type="dxa"/>
          </w:tcPr>
          <w:p w14:paraId="03320362"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957" w:type="dxa"/>
            <w:vAlign w:val="center"/>
          </w:tcPr>
          <w:p w14:paraId="30B88AA3"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783" w:type="dxa"/>
            <w:vAlign w:val="center"/>
          </w:tcPr>
          <w:p w14:paraId="32AB665C"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218" w:type="dxa"/>
            <w:vAlign w:val="center"/>
          </w:tcPr>
          <w:p w14:paraId="7482AB6A"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044" w:type="dxa"/>
          </w:tcPr>
          <w:p w14:paraId="53F6F319"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131" w:type="dxa"/>
            <w:vAlign w:val="center"/>
          </w:tcPr>
          <w:p w14:paraId="43D8EE02"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r>
      <w:tr w:rsidR="008D0CAD" w:rsidRPr="00DC5490" w14:paraId="009AB472" w14:textId="77777777" w:rsidTr="009C64E9">
        <w:trPr>
          <w:trHeight w:val="278"/>
        </w:trPr>
        <w:tc>
          <w:tcPr>
            <w:tcW w:w="3307" w:type="dxa"/>
          </w:tcPr>
          <w:p w14:paraId="61375C9D"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432" w:hanging="450"/>
              <w:rPr>
                <w:rFonts w:asciiTheme="majorHAnsi" w:eastAsiaTheme="minorHAnsi" w:hAnsiTheme="majorHAnsi" w:cstheme="majorHAnsi"/>
                <w:bCs/>
                <w:color w:val="000000"/>
                <w:sz w:val="16"/>
                <w:szCs w:val="16"/>
                <w:lang w:val="en-US"/>
              </w:rPr>
            </w:pPr>
            <w:r w:rsidRPr="00DC5490">
              <w:rPr>
                <w:rFonts w:asciiTheme="majorHAnsi" w:eastAsiaTheme="minorHAnsi" w:hAnsiTheme="majorHAnsi" w:cstheme="majorHAnsi"/>
                <w:bCs/>
                <w:color w:val="000000"/>
                <w:sz w:val="16"/>
                <w:szCs w:val="16"/>
                <w:lang w:val="en-US"/>
              </w:rPr>
              <w:t>Provision of teaching and learning resources</w:t>
            </w:r>
          </w:p>
        </w:tc>
        <w:tc>
          <w:tcPr>
            <w:tcW w:w="1131" w:type="dxa"/>
          </w:tcPr>
          <w:p w14:paraId="23E8E168"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957" w:type="dxa"/>
            <w:vAlign w:val="center"/>
          </w:tcPr>
          <w:p w14:paraId="381C1B9D"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783" w:type="dxa"/>
            <w:vAlign w:val="center"/>
          </w:tcPr>
          <w:p w14:paraId="295C1ECB"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218" w:type="dxa"/>
            <w:vAlign w:val="center"/>
          </w:tcPr>
          <w:p w14:paraId="4E161388"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044" w:type="dxa"/>
          </w:tcPr>
          <w:p w14:paraId="3FF834AE"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131" w:type="dxa"/>
            <w:vAlign w:val="center"/>
          </w:tcPr>
          <w:p w14:paraId="3009BCBF"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r>
      <w:tr w:rsidR="008D0CAD" w:rsidRPr="00DC5490" w14:paraId="70CE67B0" w14:textId="77777777" w:rsidTr="009C64E9">
        <w:trPr>
          <w:trHeight w:val="278"/>
        </w:trPr>
        <w:tc>
          <w:tcPr>
            <w:tcW w:w="3307" w:type="dxa"/>
          </w:tcPr>
          <w:p w14:paraId="4A0930B6"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432" w:hanging="450"/>
              <w:rPr>
                <w:rFonts w:asciiTheme="majorHAnsi" w:eastAsiaTheme="minorHAnsi" w:hAnsiTheme="majorHAnsi" w:cstheme="majorHAnsi"/>
                <w:bCs/>
                <w:color w:val="000000"/>
                <w:sz w:val="16"/>
                <w:szCs w:val="16"/>
                <w:lang w:val="en-US"/>
              </w:rPr>
            </w:pPr>
            <w:r w:rsidRPr="00DC5490">
              <w:rPr>
                <w:rFonts w:asciiTheme="majorHAnsi" w:eastAsiaTheme="minorHAnsi" w:hAnsiTheme="majorHAnsi" w:cstheme="majorHAnsi"/>
                <w:bCs/>
                <w:color w:val="000000"/>
                <w:sz w:val="16"/>
                <w:szCs w:val="16"/>
                <w:lang w:val="en-US"/>
              </w:rPr>
              <w:t>Internet Connectivity</w:t>
            </w:r>
          </w:p>
        </w:tc>
        <w:tc>
          <w:tcPr>
            <w:tcW w:w="1131" w:type="dxa"/>
          </w:tcPr>
          <w:p w14:paraId="5D9E91E7"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957" w:type="dxa"/>
            <w:vAlign w:val="center"/>
          </w:tcPr>
          <w:p w14:paraId="275043C7"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783" w:type="dxa"/>
            <w:vAlign w:val="center"/>
          </w:tcPr>
          <w:p w14:paraId="4D45029B"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218" w:type="dxa"/>
            <w:vAlign w:val="center"/>
          </w:tcPr>
          <w:p w14:paraId="6B81E1ED"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044" w:type="dxa"/>
          </w:tcPr>
          <w:p w14:paraId="70C53755"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131" w:type="dxa"/>
            <w:vAlign w:val="center"/>
          </w:tcPr>
          <w:p w14:paraId="58E8A9FE"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r>
      <w:tr w:rsidR="008D0CAD" w:rsidRPr="00DC5490" w14:paraId="6240E817" w14:textId="77777777" w:rsidTr="009C64E9">
        <w:trPr>
          <w:trHeight w:val="278"/>
        </w:trPr>
        <w:tc>
          <w:tcPr>
            <w:tcW w:w="3307" w:type="dxa"/>
          </w:tcPr>
          <w:p w14:paraId="396CB2CA" w14:textId="77777777" w:rsidR="008D0CAD" w:rsidRPr="00DC5490" w:rsidRDefault="008D0CAD" w:rsidP="00EA6CB9">
            <w:pPr>
              <w:autoSpaceDE w:val="0"/>
              <w:autoSpaceDN w:val="0"/>
              <w:adjustRightInd w:val="0"/>
              <w:spacing w:before="100" w:beforeAutospacing="1" w:after="100" w:afterAutospacing="1" w:line="360" w:lineRule="auto"/>
              <w:ind w:left="-18"/>
              <w:rPr>
                <w:rFonts w:asciiTheme="majorHAnsi" w:eastAsiaTheme="minorHAnsi" w:hAnsiTheme="majorHAnsi" w:cstheme="majorHAnsi"/>
                <w:bCs/>
                <w:color w:val="000000"/>
                <w:sz w:val="16"/>
                <w:szCs w:val="16"/>
                <w:lang w:val="en-US"/>
              </w:rPr>
            </w:pPr>
            <w:r w:rsidRPr="00DC5490">
              <w:rPr>
                <w:rFonts w:asciiTheme="majorHAnsi" w:eastAsiaTheme="minorHAnsi" w:hAnsiTheme="majorHAnsi" w:cstheme="majorHAnsi"/>
                <w:bCs/>
                <w:color w:val="000000"/>
                <w:sz w:val="16"/>
                <w:szCs w:val="16"/>
                <w:lang w:val="en-US"/>
              </w:rPr>
              <w:t>Others, please specify</w:t>
            </w:r>
          </w:p>
        </w:tc>
        <w:tc>
          <w:tcPr>
            <w:tcW w:w="1131" w:type="dxa"/>
          </w:tcPr>
          <w:p w14:paraId="1A13BFEF"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957" w:type="dxa"/>
            <w:vAlign w:val="center"/>
          </w:tcPr>
          <w:p w14:paraId="02B6F16B"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783" w:type="dxa"/>
            <w:vAlign w:val="center"/>
          </w:tcPr>
          <w:p w14:paraId="3F585530"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218" w:type="dxa"/>
            <w:vAlign w:val="center"/>
          </w:tcPr>
          <w:p w14:paraId="3AC8D893"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044" w:type="dxa"/>
          </w:tcPr>
          <w:p w14:paraId="46294A7B"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131" w:type="dxa"/>
            <w:vAlign w:val="center"/>
          </w:tcPr>
          <w:p w14:paraId="391B2AAC"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r>
      <w:tr w:rsidR="008D0CAD" w:rsidRPr="00DC5490" w14:paraId="1867C6DF" w14:textId="77777777" w:rsidTr="009C64E9">
        <w:trPr>
          <w:trHeight w:val="278"/>
        </w:trPr>
        <w:tc>
          <w:tcPr>
            <w:tcW w:w="3307" w:type="dxa"/>
          </w:tcPr>
          <w:p w14:paraId="6F14B1DD"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432" w:hanging="450"/>
              <w:rPr>
                <w:rFonts w:asciiTheme="majorHAnsi" w:eastAsiaTheme="minorHAnsi" w:hAnsiTheme="majorHAnsi" w:cstheme="majorHAnsi"/>
                <w:bCs/>
                <w:color w:val="000000"/>
                <w:sz w:val="16"/>
                <w:szCs w:val="16"/>
                <w:lang w:val="en-US"/>
              </w:rPr>
            </w:pPr>
          </w:p>
        </w:tc>
        <w:tc>
          <w:tcPr>
            <w:tcW w:w="1131" w:type="dxa"/>
          </w:tcPr>
          <w:p w14:paraId="07F860A0"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957" w:type="dxa"/>
            <w:vAlign w:val="center"/>
          </w:tcPr>
          <w:p w14:paraId="5E9F9EFC"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783" w:type="dxa"/>
            <w:vAlign w:val="center"/>
          </w:tcPr>
          <w:p w14:paraId="2CA3009D"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218" w:type="dxa"/>
            <w:vAlign w:val="center"/>
          </w:tcPr>
          <w:p w14:paraId="045B636D"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044" w:type="dxa"/>
          </w:tcPr>
          <w:p w14:paraId="4101FEA6"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131" w:type="dxa"/>
            <w:vAlign w:val="center"/>
          </w:tcPr>
          <w:p w14:paraId="04930D09"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r>
    </w:tbl>
    <w:p w14:paraId="56EE0733" w14:textId="77777777" w:rsidR="008D0CAD" w:rsidRPr="00DC5490" w:rsidRDefault="008D0CAD" w:rsidP="00DD08E3">
      <w:pPr>
        <w:numPr>
          <w:ilvl w:val="0"/>
          <w:numId w:val="81"/>
        </w:num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20"/>
          <w:szCs w:val="20"/>
          <w:lang w:val="en-US"/>
        </w:rPr>
      </w:pPr>
      <w:r w:rsidRPr="00DC5490">
        <w:rPr>
          <w:rFonts w:asciiTheme="majorHAnsi" w:eastAsiaTheme="minorHAnsi" w:hAnsiTheme="majorHAnsi" w:cstheme="majorHAnsi"/>
          <w:color w:val="000000"/>
          <w:sz w:val="20"/>
          <w:szCs w:val="20"/>
          <w:lang w:val="en-US"/>
        </w:rPr>
        <w:t>On a scale of 1 to 4 (with 4 being more than adequate), assess the support provided to you as a teacher to enable you to successfully implement or use the following systems reforms or use the new tools produced associated with the reforms at the classroom level:</w:t>
      </w:r>
    </w:p>
    <w:tbl>
      <w:tblPr>
        <w:tblStyle w:val="TableGrid9"/>
        <w:tblW w:w="10009" w:type="dxa"/>
        <w:tblLayout w:type="fixed"/>
        <w:tblLook w:val="04A0" w:firstRow="1" w:lastRow="0" w:firstColumn="1" w:lastColumn="0" w:noHBand="0" w:noVBand="1"/>
      </w:tblPr>
      <w:tblGrid>
        <w:gridCol w:w="4581"/>
        <w:gridCol w:w="1384"/>
        <w:gridCol w:w="691"/>
        <w:gridCol w:w="1211"/>
        <w:gridCol w:w="1037"/>
        <w:gridCol w:w="1105"/>
      </w:tblGrid>
      <w:tr w:rsidR="008D0CAD" w:rsidRPr="00DC5490" w14:paraId="1E51EA45" w14:textId="77777777" w:rsidTr="004B064D">
        <w:trPr>
          <w:trHeight w:val="528"/>
          <w:tblHeader/>
        </w:trPr>
        <w:tc>
          <w:tcPr>
            <w:tcW w:w="4581" w:type="dxa"/>
            <w:shd w:val="clear" w:color="auto" w:fill="D9D9D9" w:themeFill="background1" w:themeFillShade="D9"/>
          </w:tcPr>
          <w:p w14:paraId="3069372B"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p>
        </w:tc>
        <w:tc>
          <w:tcPr>
            <w:tcW w:w="1384" w:type="dxa"/>
            <w:shd w:val="clear" w:color="auto" w:fill="D9D9D9" w:themeFill="background1" w:themeFillShade="D9"/>
            <w:vAlign w:val="center"/>
          </w:tcPr>
          <w:p w14:paraId="4F76366D"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No knowledge of any support</w:t>
            </w:r>
          </w:p>
        </w:tc>
        <w:tc>
          <w:tcPr>
            <w:tcW w:w="691" w:type="dxa"/>
            <w:shd w:val="clear" w:color="auto" w:fill="D9D9D9" w:themeFill="background1" w:themeFillShade="D9"/>
            <w:vAlign w:val="center"/>
          </w:tcPr>
          <w:p w14:paraId="0512CA38"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 xml:space="preserve">Poor </w:t>
            </w:r>
          </w:p>
        </w:tc>
        <w:tc>
          <w:tcPr>
            <w:tcW w:w="1211" w:type="dxa"/>
            <w:shd w:val="clear" w:color="auto" w:fill="D9D9D9" w:themeFill="background1" w:themeFillShade="D9"/>
            <w:vAlign w:val="center"/>
          </w:tcPr>
          <w:p w14:paraId="3CE478EC"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Inadequate</w:t>
            </w:r>
          </w:p>
        </w:tc>
        <w:tc>
          <w:tcPr>
            <w:tcW w:w="1037" w:type="dxa"/>
            <w:shd w:val="clear" w:color="auto" w:fill="D9D9D9" w:themeFill="background1" w:themeFillShade="D9"/>
            <w:vAlign w:val="center"/>
          </w:tcPr>
          <w:p w14:paraId="23FFC084"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Adequate</w:t>
            </w:r>
          </w:p>
        </w:tc>
        <w:tc>
          <w:tcPr>
            <w:tcW w:w="1105" w:type="dxa"/>
            <w:shd w:val="clear" w:color="auto" w:fill="D9D9D9" w:themeFill="background1" w:themeFillShade="D9"/>
            <w:vAlign w:val="center"/>
          </w:tcPr>
          <w:p w14:paraId="25894612"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More than Adequate</w:t>
            </w:r>
          </w:p>
        </w:tc>
      </w:tr>
      <w:tr w:rsidR="008D0CAD" w:rsidRPr="00DC5490" w14:paraId="52436BE5" w14:textId="77777777" w:rsidTr="004B064D">
        <w:trPr>
          <w:trHeight w:val="72"/>
          <w:tblHeader/>
        </w:trPr>
        <w:tc>
          <w:tcPr>
            <w:tcW w:w="4581" w:type="dxa"/>
            <w:shd w:val="clear" w:color="auto" w:fill="D9D9D9" w:themeFill="background1" w:themeFillShade="D9"/>
          </w:tcPr>
          <w:p w14:paraId="479528B7"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p>
        </w:tc>
        <w:tc>
          <w:tcPr>
            <w:tcW w:w="1384" w:type="dxa"/>
            <w:shd w:val="clear" w:color="auto" w:fill="D9D9D9" w:themeFill="background1" w:themeFillShade="D9"/>
            <w:vAlign w:val="center"/>
          </w:tcPr>
          <w:p w14:paraId="4047D18B"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0</w:t>
            </w:r>
          </w:p>
        </w:tc>
        <w:tc>
          <w:tcPr>
            <w:tcW w:w="691" w:type="dxa"/>
            <w:shd w:val="clear" w:color="auto" w:fill="D9D9D9" w:themeFill="background1" w:themeFillShade="D9"/>
            <w:vAlign w:val="center"/>
          </w:tcPr>
          <w:p w14:paraId="1E3E8BE7"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1</w:t>
            </w:r>
          </w:p>
        </w:tc>
        <w:tc>
          <w:tcPr>
            <w:tcW w:w="1211" w:type="dxa"/>
            <w:shd w:val="clear" w:color="auto" w:fill="D9D9D9" w:themeFill="background1" w:themeFillShade="D9"/>
            <w:vAlign w:val="center"/>
          </w:tcPr>
          <w:p w14:paraId="6089DE8E"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2</w:t>
            </w:r>
          </w:p>
        </w:tc>
        <w:tc>
          <w:tcPr>
            <w:tcW w:w="1037" w:type="dxa"/>
            <w:shd w:val="clear" w:color="auto" w:fill="D9D9D9" w:themeFill="background1" w:themeFillShade="D9"/>
            <w:vAlign w:val="center"/>
          </w:tcPr>
          <w:p w14:paraId="242BCBEC"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3</w:t>
            </w:r>
          </w:p>
        </w:tc>
        <w:tc>
          <w:tcPr>
            <w:tcW w:w="1105" w:type="dxa"/>
            <w:shd w:val="clear" w:color="auto" w:fill="D9D9D9" w:themeFill="background1" w:themeFillShade="D9"/>
            <w:vAlign w:val="center"/>
          </w:tcPr>
          <w:p w14:paraId="3F3AEA83"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4</w:t>
            </w:r>
          </w:p>
        </w:tc>
      </w:tr>
      <w:tr w:rsidR="008D0CAD" w:rsidRPr="00DC5490" w14:paraId="2C7B30CB" w14:textId="77777777" w:rsidTr="009C64E9">
        <w:trPr>
          <w:trHeight w:val="292"/>
        </w:trPr>
        <w:tc>
          <w:tcPr>
            <w:tcW w:w="4581" w:type="dxa"/>
          </w:tcPr>
          <w:p w14:paraId="7F8F14E4"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517" w:hanging="450"/>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bCs/>
                <w:color w:val="000000"/>
                <w:sz w:val="16"/>
                <w:szCs w:val="16"/>
                <w:lang w:val="en-US"/>
              </w:rPr>
              <w:t>Learning &amp; Development (L&amp;D) systems</w:t>
            </w:r>
          </w:p>
        </w:tc>
        <w:tc>
          <w:tcPr>
            <w:tcW w:w="1384" w:type="dxa"/>
            <w:vAlign w:val="center"/>
          </w:tcPr>
          <w:p w14:paraId="2F2173D4"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691" w:type="dxa"/>
            <w:vAlign w:val="center"/>
          </w:tcPr>
          <w:p w14:paraId="31654F61"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1211" w:type="dxa"/>
            <w:vAlign w:val="center"/>
          </w:tcPr>
          <w:p w14:paraId="16A2FB08"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1037" w:type="dxa"/>
          </w:tcPr>
          <w:p w14:paraId="05851DA1"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105" w:type="dxa"/>
            <w:vAlign w:val="center"/>
          </w:tcPr>
          <w:p w14:paraId="5ECE540C"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r>
      <w:tr w:rsidR="008D0CAD" w:rsidRPr="00DC5490" w14:paraId="13F99192" w14:textId="77777777" w:rsidTr="009C64E9">
        <w:trPr>
          <w:trHeight w:val="292"/>
        </w:trPr>
        <w:tc>
          <w:tcPr>
            <w:tcW w:w="4581" w:type="dxa"/>
          </w:tcPr>
          <w:p w14:paraId="0D0BACD2"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517" w:hanging="450"/>
              <w:rPr>
                <w:rFonts w:asciiTheme="majorHAnsi" w:eastAsiaTheme="minorHAnsi" w:hAnsiTheme="majorHAnsi" w:cstheme="majorHAnsi"/>
                <w:iCs/>
                <w:color w:val="000000" w:themeColor="text1"/>
                <w:sz w:val="16"/>
                <w:szCs w:val="16"/>
                <w:lang w:val="en-US"/>
              </w:rPr>
            </w:pPr>
            <w:r w:rsidRPr="00DC5490">
              <w:rPr>
                <w:rFonts w:asciiTheme="majorHAnsi" w:eastAsiaTheme="minorHAnsi" w:hAnsiTheme="majorHAnsi" w:cstheme="majorHAnsi"/>
                <w:color w:val="000000"/>
                <w:sz w:val="16"/>
                <w:szCs w:val="16"/>
                <w:lang w:val="en-US"/>
              </w:rPr>
              <w:t>Philippine Professional Standards for Teachers (PPST)</w:t>
            </w:r>
          </w:p>
        </w:tc>
        <w:tc>
          <w:tcPr>
            <w:tcW w:w="1384" w:type="dxa"/>
            <w:vAlign w:val="center"/>
          </w:tcPr>
          <w:p w14:paraId="13F1BC4C"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691" w:type="dxa"/>
            <w:vAlign w:val="center"/>
          </w:tcPr>
          <w:p w14:paraId="3BD17871"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1211" w:type="dxa"/>
            <w:vAlign w:val="center"/>
          </w:tcPr>
          <w:p w14:paraId="6E064FCE"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1037" w:type="dxa"/>
          </w:tcPr>
          <w:p w14:paraId="033079FE"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105" w:type="dxa"/>
            <w:vAlign w:val="center"/>
          </w:tcPr>
          <w:p w14:paraId="75C4A4F7"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r>
      <w:tr w:rsidR="008D0CAD" w:rsidRPr="00DC5490" w14:paraId="6A9209FD" w14:textId="77777777" w:rsidTr="009C64E9">
        <w:trPr>
          <w:trHeight w:val="292"/>
        </w:trPr>
        <w:tc>
          <w:tcPr>
            <w:tcW w:w="4581" w:type="dxa"/>
          </w:tcPr>
          <w:p w14:paraId="68523F91"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517" w:hanging="450"/>
              <w:rPr>
                <w:rFonts w:asciiTheme="majorHAnsi" w:eastAsiaTheme="minorHAnsi" w:hAnsiTheme="majorHAnsi" w:cstheme="majorHAnsi"/>
                <w:iCs/>
                <w:color w:val="000000" w:themeColor="text1"/>
                <w:sz w:val="16"/>
                <w:szCs w:val="16"/>
                <w:lang w:val="en-US"/>
              </w:rPr>
            </w:pPr>
            <w:r w:rsidRPr="00DC5490">
              <w:rPr>
                <w:rFonts w:asciiTheme="majorHAnsi" w:eastAsiaTheme="minorHAnsi" w:hAnsiTheme="majorHAnsi" w:cstheme="majorHAnsi"/>
                <w:color w:val="000000"/>
                <w:sz w:val="16"/>
                <w:szCs w:val="16"/>
                <w:lang w:val="en-US"/>
              </w:rPr>
              <w:t xml:space="preserve">K-12 curriculum and assessment </w:t>
            </w:r>
          </w:p>
        </w:tc>
        <w:tc>
          <w:tcPr>
            <w:tcW w:w="1384" w:type="dxa"/>
            <w:vAlign w:val="center"/>
          </w:tcPr>
          <w:p w14:paraId="365D79FD"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691" w:type="dxa"/>
            <w:vAlign w:val="center"/>
          </w:tcPr>
          <w:p w14:paraId="3B1DB05C"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1211" w:type="dxa"/>
            <w:vAlign w:val="center"/>
          </w:tcPr>
          <w:p w14:paraId="7D037DE7"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1037" w:type="dxa"/>
          </w:tcPr>
          <w:p w14:paraId="0A0207E0"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105" w:type="dxa"/>
            <w:vAlign w:val="center"/>
          </w:tcPr>
          <w:p w14:paraId="0AF4C0B8"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r>
      <w:tr w:rsidR="008D0CAD" w:rsidRPr="00DC5490" w14:paraId="5E1FC81A" w14:textId="77777777" w:rsidTr="009C64E9">
        <w:trPr>
          <w:trHeight w:val="292"/>
        </w:trPr>
        <w:tc>
          <w:tcPr>
            <w:tcW w:w="4581" w:type="dxa"/>
          </w:tcPr>
          <w:p w14:paraId="7F96231F"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517" w:hanging="450"/>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sz w:val="16"/>
                <w:szCs w:val="16"/>
                <w:lang w:val="en-US"/>
              </w:rPr>
              <w:t>EBEIS, LIS and LR Portal</w:t>
            </w:r>
          </w:p>
        </w:tc>
        <w:tc>
          <w:tcPr>
            <w:tcW w:w="1384" w:type="dxa"/>
            <w:vAlign w:val="center"/>
          </w:tcPr>
          <w:p w14:paraId="3DCE51E6"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691" w:type="dxa"/>
            <w:vAlign w:val="center"/>
          </w:tcPr>
          <w:p w14:paraId="2F28C54A"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211" w:type="dxa"/>
            <w:vAlign w:val="center"/>
          </w:tcPr>
          <w:p w14:paraId="4A256E77"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037" w:type="dxa"/>
          </w:tcPr>
          <w:p w14:paraId="190BA91E"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105" w:type="dxa"/>
            <w:vAlign w:val="center"/>
          </w:tcPr>
          <w:p w14:paraId="6F63AE3A"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r>
      <w:tr w:rsidR="008D0CAD" w:rsidRPr="00DC5490" w14:paraId="4588804B" w14:textId="77777777" w:rsidTr="009C64E9">
        <w:trPr>
          <w:trHeight w:val="292"/>
        </w:trPr>
        <w:tc>
          <w:tcPr>
            <w:tcW w:w="4581" w:type="dxa"/>
          </w:tcPr>
          <w:p w14:paraId="044C6FFB"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517" w:hanging="450"/>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sz w:val="16"/>
                <w:szCs w:val="16"/>
                <w:lang w:val="en-US"/>
              </w:rPr>
              <w:t>Gender Responsive Basic Education</w:t>
            </w:r>
          </w:p>
        </w:tc>
        <w:tc>
          <w:tcPr>
            <w:tcW w:w="1384" w:type="dxa"/>
            <w:vAlign w:val="center"/>
          </w:tcPr>
          <w:p w14:paraId="03709E32"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691" w:type="dxa"/>
            <w:vAlign w:val="center"/>
          </w:tcPr>
          <w:p w14:paraId="12718583"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1211" w:type="dxa"/>
            <w:vAlign w:val="center"/>
          </w:tcPr>
          <w:p w14:paraId="281B9F8C"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1037" w:type="dxa"/>
          </w:tcPr>
          <w:p w14:paraId="46C49719"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105" w:type="dxa"/>
            <w:vAlign w:val="center"/>
          </w:tcPr>
          <w:p w14:paraId="7EE580BB"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r>
      <w:tr w:rsidR="008D0CAD" w:rsidRPr="00DC5490" w14:paraId="54E5BF15" w14:textId="77777777" w:rsidTr="009C64E9">
        <w:trPr>
          <w:trHeight w:val="292"/>
        </w:trPr>
        <w:tc>
          <w:tcPr>
            <w:tcW w:w="4581" w:type="dxa"/>
          </w:tcPr>
          <w:p w14:paraId="20AE888D"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517" w:hanging="450"/>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sz w:val="16"/>
                <w:szCs w:val="16"/>
                <w:lang w:val="en-US"/>
              </w:rPr>
              <w:t>Inclusive Education</w:t>
            </w:r>
          </w:p>
        </w:tc>
        <w:tc>
          <w:tcPr>
            <w:tcW w:w="1384" w:type="dxa"/>
            <w:vAlign w:val="center"/>
          </w:tcPr>
          <w:p w14:paraId="62B951C0"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691" w:type="dxa"/>
            <w:vAlign w:val="center"/>
          </w:tcPr>
          <w:p w14:paraId="7A822C5B"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211" w:type="dxa"/>
            <w:vAlign w:val="center"/>
          </w:tcPr>
          <w:p w14:paraId="6EEC97B1"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037" w:type="dxa"/>
          </w:tcPr>
          <w:p w14:paraId="05844C3A"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105" w:type="dxa"/>
            <w:vAlign w:val="center"/>
          </w:tcPr>
          <w:p w14:paraId="3F6D0857"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r>
      <w:tr w:rsidR="008D0CAD" w:rsidRPr="00DC5490" w14:paraId="31074B19" w14:textId="77777777" w:rsidTr="009C64E9">
        <w:trPr>
          <w:trHeight w:val="292"/>
        </w:trPr>
        <w:tc>
          <w:tcPr>
            <w:tcW w:w="4581" w:type="dxa"/>
          </w:tcPr>
          <w:p w14:paraId="0CE05B6E"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517" w:hanging="450"/>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sz w:val="16"/>
                <w:szCs w:val="16"/>
                <w:lang w:val="en-US"/>
              </w:rPr>
              <w:t>Continuous Improvements</w:t>
            </w:r>
          </w:p>
        </w:tc>
        <w:tc>
          <w:tcPr>
            <w:tcW w:w="1384" w:type="dxa"/>
            <w:vAlign w:val="center"/>
          </w:tcPr>
          <w:p w14:paraId="1620336D"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691" w:type="dxa"/>
            <w:vAlign w:val="center"/>
          </w:tcPr>
          <w:p w14:paraId="6C61935E"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211" w:type="dxa"/>
            <w:vAlign w:val="center"/>
          </w:tcPr>
          <w:p w14:paraId="765F74E2"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037" w:type="dxa"/>
          </w:tcPr>
          <w:p w14:paraId="4713E621"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105" w:type="dxa"/>
            <w:vAlign w:val="center"/>
          </w:tcPr>
          <w:p w14:paraId="61706CB5"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r>
    </w:tbl>
    <w:p w14:paraId="3C678FD7" w14:textId="77777777" w:rsidR="008D0CAD" w:rsidRPr="00DC5490" w:rsidRDefault="008D0CAD" w:rsidP="00DD08E3">
      <w:pPr>
        <w:numPr>
          <w:ilvl w:val="0"/>
          <w:numId w:val="81"/>
        </w:num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20"/>
          <w:szCs w:val="20"/>
          <w:lang w:val="en-US"/>
        </w:rPr>
      </w:pPr>
      <w:r w:rsidRPr="00DC5490">
        <w:rPr>
          <w:rFonts w:asciiTheme="majorHAnsi" w:eastAsiaTheme="minorHAnsi" w:hAnsiTheme="majorHAnsi" w:cstheme="majorHAnsi"/>
          <w:color w:val="000000"/>
          <w:sz w:val="20"/>
          <w:szCs w:val="20"/>
          <w:lang w:val="en-US"/>
        </w:rPr>
        <w:t>Compared to five years ago, assess your capacity to successfully implement the systems reforms or use the new tools produced associated with the reforms at the classroom level:</w:t>
      </w:r>
    </w:p>
    <w:tbl>
      <w:tblPr>
        <w:tblStyle w:val="TableGrid9"/>
        <w:tblW w:w="10065" w:type="dxa"/>
        <w:tblInd w:w="-5" w:type="dxa"/>
        <w:tblLayout w:type="fixed"/>
        <w:tblLook w:val="04A0" w:firstRow="1" w:lastRow="0" w:firstColumn="1" w:lastColumn="0" w:noHBand="0" w:noVBand="1"/>
      </w:tblPr>
      <w:tblGrid>
        <w:gridCol w:w="5130"/>
        <w:gridCol w:w="1080"/>
        <w:gridCol w:w="1080"/>
        <w:gridCol w:w="900"/>
        <w:gridCol w:w="810"/>
        <w:gridCol w:w="1065"/>
      </w:tblGrid>
      <w:tr w:rsidR="008D0CAD" w:rsidRPr="00DC5490" w14:paraId="7EA9AB12" w14:textId="77777777" w:rsidTr="00F4751F">
        <w:trPr>
          <w:trHeight w:val="377"/>
          <w:tblHeader/>
        </w:trPr>
        <w:tc>
          <w:tcPr>
            <w:tcW w:w="5130" w:type="dxa"/>
            <w:shd w:val="clear" w:color="auto" w:fill="D9D9D9" w:themeFill="background1" w:themeFillShade="D9"/>
          </w:tcPr>
          <w:p w14:paraId="6C05F1C3"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p>
        </w:tc>
        <w:tc>
          <w:tcPr>
            <w:tcW w:w="1080" w:type="dxa"/>
            <w:shd w:val="clear" w:color="auto" w:fill="D9D9D9" w:themeFill="background1" w:themeFillShade="D9"/>
            <w:vAlign w:val="center"/>
          </w:tcPr>
          <w:p w14:paraId="3B18AAB2"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Not applicable</w:t>
            </w:r>
          </w:p>
        </w:tc>
        <w:tc>
          <w:tcPr>
            <w:tcW w:w="1080" w:type="dxa"/>
            <w:shd w:val="clear" w:color="auto" w:fill="D9D9D9" w:themeFill="background1" w:themeFillShade="D9"/>
            <w:vAlign w:val="center"/>
          </w:tcPr>
          <w:p w14:paraId="3C593506"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Less than before</w:t>
            </w:r>
          </w:p>
        </w:tc>
        <w:tc>
          <w:tcPr>
            <w:tcW w:w="900" w:type="dxa"/>
            <w:shd w:val="clear" w:color="auto" w:fill="D9D9D9" w:themeFill="background1" w:themeFillShade="D9"/>
            <w:vAlign w:val="center"/>
          </w:tcPr>
          <w:p w14:paraId="4553F029"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No Change</w:t>
            </w:r>
          </w:p>
        </w:tc>
        <w:tc>
          <w:tcPr>
            <w:tcW w:w="810" w:type="dxa"/>
            <w:shd w:val="clear" w:color="auto" w:fill="D9D9D9" w:themeFill="background1" w:themeFillShade="D9"/>
            <w:vAlign w:val="center"/>
          </w:tcPr>
          <w:p w14:paraId="40312B96"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Better</w:t>
            </w:r>
          </w:p>
        </w:tc>
        <w:tc>
          <w:tcPr>
            <w:tcW w:w="1065" w:type="dxa"/>
            <w:shd w:val="clear" w:color="auto" w:fill="D9D9D9" w:themeFill="background1" w:themeFillShade="D9"/>
            <w:vAlign w:val="center"/>
          </w:tcPr>
          <w:p w14:paraId="3961F967"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r w:rsidRPr="00DC5490">
              <w:rPr>
                <w:rFonts w:asciiTheme="majorHAnsi" w:eastAsiaTheme="minorHAnsi" w:hAnsiTheme="majorHAnsi" w:cstheme="majorHAnsi"/>
                <w:color w:val="000000" w:themeColor="text1"/>
                <w:sz w:val="16"/>
                <w:szCs w:val="16"/>
                <w:lang w:val="en-US"/>
              </w:rPr>
              <w:t>Significantly Better</w:t>
            </w:r>
          </w:p>
        </w:tc>
      </w:tr>
      <w:tr w:rsidR="008D0CAD" w:rsidRPr="00DC5490" w14:paraId="53B2C064" w14:textId="77777777" w:rsidTr="009C64E9">
        <w:trPr>
          <w:trHeight w:val="377"/>
        </w:trPr>
        <w:tc>
          <w:tcPr>
            <w:tcW w:w="5130" w:type="dxa"/>
          </w:tcPr>
          <w:p w14:paraId="4E14DCC1"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517" w:hanging="450"/>
              <w:rPr>
                <w:rFonts w:asciiTheme="majorHAnsi" w:eastAsiaTheme="minorHAnsi" w:hAnsiTheme="majorHAnsi" w:cstheme="majorHAnsi"/>
                <w:iCs/>
                <w:color w:val="000000" w:themeColor="text1"/>
                <w:sz w:val="16"/>
                <w:szCs w:val="16"/>
                <w:lang w:val="en-US"/>
              </w:rPr>
            </w:pPr>
            <w:r w:rsidRPr="00DC5490">
              <w:rPr>
                <w:rFonts w:asciiTheme="majorHAnsi" w:eastAsiaTheme="minorHAnsi" w:hAnsiTheme="majorHAnsi" w:cstheme="majorHAnsi"/>
                <w:color w:val="000000"/>
                <w:sz w:val="16"/>
                <w:szCs w:val="16"/>
                <w:lang w:val="en-US"/>
              </w:rPr>
              <w:t xml:space="preserve">Compared to five years ago, </w:t>
            </w:r>
            <w:r w:rsidRPr="00DC5490">
              <w:rPr>
                <w:rFonts w:asciiTheme="majorHAnsi" w:eastAsiaTheme="minorHAnsi" w:hAnsiTheme="majorHAnsi" w:cstheme="majorHAnsi"/>
                <w:color w:val="000000" w:themeColor="text1"/>
                <w:sz w:val="16"/>
                <w:szCs w:val="16"/>
                <w:lang w:val="en-US"/>
              </w:rPr>
              <w:t xml:space="preserve">my capacity to </w:t>
            </w:r>
            <w:r w:rsidRPr="00DC5490">
              <w:rPr>
                <w:rFonts w:asciiTheme="majorHAnsi" w:eastAsiaTheme="minorHAnsi" w:hAnsiTheme="majorHAnsi" w:cstheme="majorHAnsi"/>
                <w:b/>
                <w:color w:val="000000" w:themeColor="text1"/>
                <w:sz w:val="16"/>
                <w:szCs w:val="16"/>
                <w:lang w:val="en-US"/>
              </w:rPr>
              <w:t>conduct collaborative Lesson planning</w:t>
            </w:r>
            <w:r w:rsidRPr="00DC5490">
              <w:rPr>
                <w:rFonts w:asciiTheme="majorHAnsi" w:eastAsiaTheme="minorHAnsi" w:hAnsiTheme="majorHAnsi" w:cstheme="majorHAnsi"/>
                <w:color w:val="000000" w:themeColor="text1"/>
                <w:sz w:val="16"/>
                <w:szCs w:val="16"/>
                <w:lang w:val="en-US"/>
              </w:rPr>
              <w:t xml:space="preserve"> is …</w:t>
            </w:r>
          </w:p>
        </w:tc>
        <w:tc>
          <w:tcPr>
            <w:tcW w:w="1080" w:type="dxa"/>
            <w:vAlign w:val="center"/>
          </w:tcPr>
          <w:p w14:paraId="1165C4D6"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1080" w:type="dxa"/>
            <w:vAlign w:val="center"/>
          </w:tcPr>
          <w:p w14:paraId="083D0EBA"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900" w:type="dxa"/>
            <w:vAlign w:val="center"/>
          </w:tcPr>
          <w:p w14:paraId="296AA5E7"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810" w:type="dxa"/>
            <w:vAlign w:val="center"/>
          </w:tcPr>
          <w:p w14:paraId="7B6B4876"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1065" w:type="dxa"/>
            <w:vAlign w:val="center"/>
          </w:tcPr>
          <w:p w14:paraId="5DC7C3E3"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r>
      <w:tr w:rsidR="008D0CAD" w:rsidRPr="00DC5490" w14:paraId="679C177F" w14:textId="77777777" w:rsidTr="009C64E9">
        <w:trPr>
          <w:trHeight w:val="377"/>
        </w:trPr>
        <w:tc>
          <w:tcPr>
            <w:tcW w:w="5130" w:type="dxa"/>
          </w:tcPr>
          <w:p w14:paraId="0B8BAFDF"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517" w:hanging="450"/>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sz w:val="16"/>
                <w:szCs w:val="16"/>
                <w:lang w:val="en-US"/>
              </w:rPr>
              <w:t xml:space="preserve">Compared to five years ago, </w:t>
            </w:r>
            <w:r w:rsidRPr="00DC5490">
              <w:rPr>
                <w:rFonts w:asciiTheme="majorHAnsi" w:eastAsiaTheme="minorHAnsi" w:hAnsiTheme="majorHAnsi" w:cstheme="majorHAnsi"/>
                <w:color w:val="000000" w:themeColor="text1"/>
                <w:sz w:val="16"/>
                <w:szCs w:val="16"/>
                <w:lang w:val="en-US"/>
              </w:rPr>
              <w:t xml:space="preserve">my capacity to </w:t>
            </w:r>
            <w:r w:rsidRPr="00DC5490">
              <w:rPr>
                <w:rFonts w:asciiTheme="majorHAnsi" w:eastAsiaTheme="minorHAnsi" w:hAnsiTheme="majorHAnsi" w:cstheme="majorHAnsi"/>
                <w:b/>
                <w:color w:val="000000" w:themeColor="text1"/>
                <w:sz w:val="16"/>
                <w:szCs w:val="16"/>
                <w:lang w:val="en-US"/>
              </w:rPr>
              <w:t>integrate Inclusive Education</w:t>
            </w:r>
            <w:r w:rsidRPr="00DC5490">
              <w:rPr>
                <w:rFonts w:asciiTheme="majorHAnsi" w:eastAsiaTheme="minorHAnsi" w:hAnsiTheme="majorHAnsi" w:cstheme="majorHAnsi"/>
                <w:color w:val="000000" w:themeColor="text1"/>
                <w:sz w:val="16"/>
                <w:szCs w:val="16"/>
                <w:lang w:val="en-US"/>
              </w:rPr>
              <w:t xml:space="preserve"> is …</w:t>
            </w:r>
          </w:p>
        </w:tc>
        <w:tc>
          <w:tcPr>
            <w:tcW w:w="1080" w:type="dxa"/>
            <w:vAlign w:val="center"/>
          </w:tcPr>
          <w:p w14:paraId="08E6B4F0"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1080" w:type="dxa"/>
            <w:vAlign w:val="center"/>
          </w:tcPr>
          <w:p w14:paraId="15B81423"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900" w:type="dxa"/>
            <w:vAlign w:val="center"/>
          </w:tcPr>
          <w:p w14:paraId="51E937FD"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810" w:type="dxa"/>
            <w:vAlign w:val="center"/>
          </w:tcPr>
          <w:p w14:paraId="7B15C45E"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1065" w:type="dxa"/>
            <w:vAlign w:val="center"/>
          </w:tcPr>
          <w:p w14:paraId="0D1B33BA"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r>
      <w:tr w:rsidR="008D0CAD" w:rsidRPr="00DC5490" w14:paraId="064BAD6A" w14:textId="77777777" w:rsidTr="009C64E9">
        <w:trPr>
          <w:trHeight w:val="377"/>
        </w:trPr>
        <w:tc>
          <w:tcPr>
            <w:tcW w:w="5130" w:type="dxa"/>
          </w:tcPr>
          <w:p w14:paraId="6A3E546D"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517" w:hanging="450"/>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sz w:val="16"/>
                <w:szCs w:val="16"/>
                <w:lang w:val="en-US"/>
              </w:rPr>
              <w:t xml:space="preserve">Compared to five years ago, </w:t>
            </w:r>
            <w:r w:rsidRPr="00DC5490">
              <w:rPr>
                <w:rFonts w:asciiTheme="majorHAnsi" w:eastAsiaTheme="minorHAnsi" w:hAnsiTheme="majorHAnsi" w:cstheme="majorHAnsi"/>
                <w:color w:val="000000" w:themeColor="text1"/>
                <w:sz w:val="16"/>
                <w:szCs w:val="16"/>
                <w:lang w:val="en-US"/>
              </w:rPr>
              <w:t xml:space="preserve">my capacity to </w:t>
            </w:r>
            <w:r w:rsidRPr="00DC5490">
              <w:rPr>
                <w:rFonts w:asciiTheme="majorHAnsi" w:eastAsiaTheme="minorHAnsi" w:hAnsiTheme="majorHAnsi" w:cstheme="majorHAnsi"/>
                <w:b/>
                <w:color w:val="000000" w:themeColor="text1"/>
                <w:sz w:val="16"/>
                <w:szCs w:val="16"/>
                <w:lang w:val="en-US"/>
              </w:rPr>
              <w:t>mainstream gender responsive education</w:t>
            </w:r>
            <w:r w:rsidRPr="00DC5490">
              <w:rPr>
                <w:rFonts w:asciiTheme="majorHAnsi" w:eastAsiaTheme="minorHAnsi" w:hAnsiTheme="majorHAnsi" w:cstheme="majorHAnsi"/>
                <w:color w:val="000000" w:themeColor="text1"/>
                <w:sz w:val="16"/>
                <w:szCs w:val="16"/>
                <w:lang w:val="en-US"/>
              </w:rPr>
              <w:t xml:space="preserve"> is …</w:t>
            </w:r>
          </w:p>
        </w:tc>
        <w:tc>
          <w:tcPr>
            <w:tcW w:w="1080" w:type="dxa"/>
            <w:vAlign w:val="center"/>
          </w:tcPr>
          <w:p w14:paraId="7439CC03"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080" w:type="dxa"/>
            <w:vAlign w:val="center"/>
          </w:tcPr>
          <w:p w14:paraId="685476F0"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900" w:type="dxa"/>
            <w:vAlign w:val="center"/>
          </w:tcPr>
          <w:p w14:paraId="0B63CC1A"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10" w:type="dxa"/>
            <w:vAlign w:val="center"/>
          </w:tcPr>
          <w:p w14:paraId="0E99BF0A"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065" w:type="dxa"/>
            <w:vAlign w:val="center"/>
          </w:tcPr>
          <w:p w14:paraId="3B42A1F3"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r>
      <w:tr w:rsidR="008D0CAD" w:rsidRPr="00DC5490" w14:paraId="7EA77FF5" w14:textId="77777777" w:rsidTr="009C64E9">
        <w:trPr>
          <w:trHeight w:val="377"/>
        </w:trPr>
        <w:tc>
          <w:tcPr>
            <w:tcW w:w="5130" w:type="dxa"/>
          </w:tcPr>
          <w:p w14:paraId="20486F96"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517" w:hanging="450"/>
              <w:rPr>
                <w:rFonts w:asciiTheme="majorHAnsi" w:eastAsiaTheme="minorHAnsi" w:hAnsiTheme="majorHAnsi" w:cstheme="majorHAnsi"/>
                <w:iCs/>
                <w:color w:val="000000" w:themeColor="text1"/>
                <w:sz w:val="16"/>
                <w:szCs w:val="16"/>
                <w:lang w:val="en-US"/>
              </w:rPr>
            </w:pPr>
            <w:r w:rsidRPr="00DC5490">
              <w:rPr>
                <w:rFonts w:asciiTheme="majorHAnsi" w:eastAsiaTheme="minorHAnsi" w:hAnsiTheme="majorHAnsi" w:cstheme="majorHAnsi"/>
                <w:color w:val="000000"/>
                <w:sz w:val="16"/>
                <w:szCs w:val="16"/>
                <w:lang w:val="en-US"/>
              </w:rPr>
              <w:t xml:space="preserve">Compared to five years ago, </w:t>
            </w:r>
            <w:r w:rsidRPr="00DC5490">
              <w:rPr>
                <w:rFonts w:asciiTheme="majorHAnsi" w:eastAsiaTheme="minorHAnsi" w:hAnsiTheme="majorHAnsi" w:cstheme="majorHAnsi"/>
                <w:color w:val="000000" w:themeColor="text1"/>
                <w:sz w:val="16"/>
                <w:szCs w:val="16"/>
                <w:lang w:val="en-US"/>
              </w:rPr>
              <w:t xml:space="preserve">my capacity to </w:t>
            </w:r>
            <w:r w:rsidRPr="00DC5490">
              <w:rPr>
                <w:rFonts w:asciiTheme="majorHAnsi" w:eastAsiaTheme="minorHAnsi" w:hAnsiTheme="majorHAnsi" w:cstheme="majorHAnsi"/>
                <w:b/>
                <w:color w:val="000000" w:themeColor="text1"/>
                <w:sz w:val="16"/>
                <w:szCs w:val="16"/>
                <w:lang w:val="en-US"/>
              </w:rPr>
              <w:t>deliver lessons effectively</w:t>
            </w:r>
            <w:r w:rsidRPr="00DC5490">
              <w:rPr>
                <w:rFonts w:asciiTheme="majorHAnsi" w:eastAsiaTheme="minorHAnsi" w:hAnsiTheme="majorHAnsi" w:cstheme="majorHAnsi"/>
                <w:color w:val="000000" w:themeColor="text1"/>
                <w:sz w:val="16"/>
                <w:szCs w:val="16"/>
                <w:lang w:val="en-US"/>
              </w:rPr>
              <w:t xml:space="preserve"> is …</w:t>
            </w:r>
          </w:p>
        </w:tc>
        <w:tc>
          <w:tcPr>
            <w:tcW w:w="1080" w:type="dxa"/>
            <w:vAlign w:val="center"/>
          </w:tcPr>
          <w:p w14:paraId="15ED8A30"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1080" w:type="dxa"/>
            <w:vAlign w:val="center"/>
          </w:tcPr>
          <w:p w14:paraId="54DB0BDC"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900" w:type="dxa"/>
            <w:vAlign w:val="center"/>
          </w:tcPr>
          <w:p w14:paraId="7262C824"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810" w:type="dxa"/>
            <w:vAlign w:val="center"/>
          </w:tcPr>
          <w:p w14:paraId="52A50962"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1065" w:type="dxa"/>
            <w:vAlign w:val="center"/>
          </w:tcPr>
          <w:p w14:paraId="2065DBA1"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r>
      <w:tr w:rsidR="008D0CAD" w:rsidRPr="00DC5490" w14:paraId="376F082F" w14:textId="77777777" w:rsidTr="009C64E9">
        <w:trPr>
          <w:trHeight w:val="377"/>
        </w:trPr>
        <w:tc>
          <w:tcPr>
            <w:tcW w:w="5130" w:type="dxa"/>
          </w:tcPr>
          <w:p w14:paraId="7AE4DD5A"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517" w:hanging="450"/>
              <w:rPr>
                <w:rFonts w:asciiTheme="majorHAnsi" w:eastAsiaTheme="minorHAnsi" w:hAnsiTheme="majorHAnsi" w:cstheme="majorHAnsi"/>
                <w:iCs/>
                <w:color w:val="000000" w:themeColor="text1"/>
                <w:sz w:val="16"/>
                <w:szCs w:val="16"/>
                <w:lang w:val="en-US"/>
              </w:rPr>
            </w:pPr>
            <w:r w:rsidRPr="00DC5490">
              <w:rPr>
                <w:rFonts w:asciiTheme="majorHAnsi" w:eastAsiaTheme="minorHAnsi" w:hAnsiTheme="majorHAnsi" w:cstheme="majorHAnsi"/>
                <w:color w:val="000000"/>
                <w:sz w:val="16"/>
                <w:szCs w:val="16"/>
                <w:lang w:val="en-US"/>
              </w:rPr>
              <w:t xml:space="preserve">Compared to five years ago, </w:t>
            </w:r>
            <w:r w:rsidRPr="00DC5490">
              <w:rPr>
                <w:rFonts w:asciiTheme="majorHAnsi" w:eastAsiaTheme="minorHAnsi" w:hAnsiTheme="majorHAnsi" w:cstheme="majorHAnsi"/>
                <w:color w:val="000000" w:themeColor="text1"/>
                <w:sz w:val="16"/>
                <w:szCs w:val="16"/>
                <w:lang w:val="en-US"/>
              </w:rPr>
              <w:t xml:space="preserve">my capacity to </w:t>
            </w:r>
            <w:r w:rsidRPr="00DC5490">
              <w:rPr>
                <w:rFonts w:asciiTheme="majorHAnsi" w:eastAsiaTheme="minorHAnsi" w:hAnsiTheme="majorHAnsi" w:cstheme="majorHAnsi"/>
                <w:b/>
                <w:color w:val="000000" w:themeColor="text1"/>
                <w:sz w:val="16"/>
                <w:szCs w:val="16"/>
                <w:lang w:val="en-US"/>
              </w:rPr>
              <w:t>assess student learning outcomes</w:t>
            </w:r>
            <w:r w:rsidRPr="00DC5490">
              <w:rPr>
                <w:rFonts w:asciiTheme="majorHAnsi" w:eastAsiaTheme="minorHAnsi" w:hAnsiTheme="majorHAnsi" w:cstheme="majorHAnsi"/>
                <w:color w:val="000000" w:themeColor="text1"/>
                <w:sz w:val="16"/>
                <w:szCs w:val="16"/>
                <w:lang w:val="en-US"/>
              </w:rPr>
              <w:t xml:space="preserve"> is…</w:t>
            </w:r>
          </w:p>
        </w:tc>
        <w:tc>
          <w:tcPr>
            <w:tcW w:w="1080" w:type="dxa"/>
            <w:vAlign w:val="center"/>
          </w:tcPr>
          <w:p w14:paraId="390CAF92"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1080" w:type="dxa"/>
            <w:vAlign w:val="center"/>
          </w:tcPr>
          <w:p w14:paraId="36B840D7"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900" w:type="dxa"/>
            <w:vAlign w:val="center"/>
          </w:tcPr>
          <w:p w14:paraId="559C58E9"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810" w:type="dxa"/>
            <w:vAlign w:val="center"/>
          </w:tcPr>
          <w:p w14:paraId="6A0BD68E"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1065" w:type="dxa"/>
            <w:vAlign w:val="center"/>
          </w:tcPr>
          <w:p w14:paraId="633305B6"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r>
      <w:tr w:rsidR="008D0CAD" w:rsidRPr="00DC5490" w14:paraId="3EE0F2AA" w14:textId="77777777" w:rsidTr="009C64E9">
        <w:trPr>
          <w:trHeight w:val="377"/>
        </w:trPr>
        <w:tc>
          <w:tcPr>
            <w:tcW w:w="5130" w:type="dxa"/>
          </w:tcPr>
          <w:p w14:paraId="3999D096"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517" w:hanging="450"/>
              <w:rPr>
                <w:rFonts w:asciiTheme="majorHAnsi" w:eastAsiaTheme="minorHAnsi" w:hAnsiTheme="majorHAnsi" w:cstheme="majorHAnsi"/>
                <w:iCs/>
                <w:color w:val="000000" w:themeColor="text1"/>
                <w:sz w:val="16"/>
                <w:szCs w:val="16"/>
                <w:lang w:val="en-US"/>
              </w:rPr>
            </w:pPr>
            <w:r w:rsidRPr="00DC5490">
              <w:rPr>
                <w:rFonts w:asciiTheme="majorHAnsi" w:eastAsiaTheme="minorHAnsi" w:hAnsiTheme="majorHAnsi" w:cstheme="majorHAnsi"/>
                <w:color w:val="000000"/>
                <w:sz w:val="16"/>
                <w:szCs w:val="16"/>
                <w:lang w:val="en-US"/>
              </w:rPr>
              <w:t xml:space="preserve">Compared to five years ago, </w:t>
            </w:r>
            <w:r w:rsidRPr="00DC5490">
              <w:rPr>
                <w:rFonts w:asciiTheme="majorHAnsi" w:eastAsiaTheme="minorHAnsi" w:hAnsiTheme="majorHAnsi" w:cstheme="majorHAnsi"/>
                <w:color w:val="000000" w:themeColor="text1"/>
                <w:sz w:val="16"/>
                <w:szCs w:val="16"/>
                <w:lang w:val="en-US"/>
              </w:rPr>
              <w:t xml:space="preserve">my capacity to </w:t>
            </w:r>
            <w:r w:rsidRPr="00DC5490">
              <w:rPr>
                <w:rFonts w:asciiTheme="majorHAnsi" w:eastAsiaTheme="minorHAnsi" w:hAnsiTheme="majorHAnsi" w:cstheme="majorHAnsi"/>
                <w:b/>
                <w:color w:val="000000" w:themeColor="text1"/>
                <w:sz w:val="16"/>
                <w:szCs w:val="16"/>
                <w:lang w:val="en-US"/>
              </w:rPr>
              <w:t>conduct action research</w:t>
            </w:r>
            <w:r w:rsidRPr="00DC5490">
              <w:rPr>
                <w:rFonts w:asciiTheme="majorHAnsi" w:eastAsiaTheme="minorHAnsi" w:hAnsiTheme="majorHAnsi" w:cstheme="majorHAnsi"/>
                <w:color w:val="000000" w:themeColor="text1"/>
                <w:sz w:val="16"/>
                <w:szCs w:val="16"/>
                <w:lang w:val="en-US"/>
              </w:rPr>
              <w:t xml:space="preserve"> is …</w:t>
            </w:r>
          </w:p>
        </w:tc>
        <w:tc>
          <w:tcPr>
            <w:tcW w:w="1080" w:type="dxa"/>
            <w:vAlign w:val="center"/>
          </w:tcPr>
          <w:p w14:paraId="5CE3D857"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1080" w:type="dxa"/>
            <w:vAlign w:val="center"/>
          </w:tcPr>
          <w:p w14:paraId="2BEF773F"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900" w:type="dxa"/>
            <w:vAlign w:val="center"/>
          </w:tcPr>
          <w:p w14:paraId="1CBE661C"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810" w:type="dxa"/>
            <w:vAlign w:val="center"/>
          </w:tcPr>
          <w:p w14:paraId="4F5FF8D1"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c>
          <w:tcPr>
            <w:tcW w:w="1065" w:type="dxa"/>
            <w:vAlign w:val="center"/>
          </w:tcPr>
          <w:p w14:paraId="2FD9500E"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themeColor="text1"/>
                <w:sz w:val="16"/>
                <w:szCs w:val="16"/>
                <w:lang w:val="en-US"/>
              </w:rPr>
              <w:t xml:space="preserve"> </w:t>
            </w:r>
          </w:p>
        </w:tc>
      </w:tr>
      <w:tr w:rsidR="008D0CAD" w:rsidRPr="00DC5490" w14:paraId="3D85D968" w14:textId="77777777" w:rsidTr="009C64E9">
        <w:trPr>
          <w:trHeight w:val="377"/>
        </w:trPr>
        <w:tc>
          <w:tcPr>
            <w:tcW w:w="5130" w:type="dxa"/>
          </w:tcPr>
          <w:p w14:paraId="56CA4BD5"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517" w:hanging="450"/>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sz w:val="16"/>
                <w:szCs w:val="16"/>
                <w:lang w:val="en-US"/>
              </w:rPr>
              <w:t xml:space="preserve">Compared to five years ago, my </w:t>
            </w:r>
            <w:r w:rsidRPr="00DC5490">
              <w:rPr>
                <w:rFonts w:asciiTheme="majorHAnsi" w:eastAsiaTheme="minorHAnsi" w:hAnsiTheme="majorHAnsi" w:cstheme="majorHAnsi"/>
                <w:b/>
                <w:color w:val="000000" w:themeColor="text1"/>
                <w:sz w:val="16"/>
                <w:szCs w:val="16"/>
                <w:lang w:val="en-US"/>
              </w:rPr>
              <w:t>access</w:t>
            </w:r>
            <w:r w:rsidRPr="00DC5490">
              <w:rPr>
                <w:rFonts w:asciiTheme="majorHAnsi" w:eastAsiaTheme="minorHAnsi" w:hAnsiTheme="majorHAnsi" w:cstheme="majorHAnsi"/>
                <w:color w:val="000000" w:themeColor="text1"/>
                <w:sz w:val="16"/>
                <w:szCs w:val="16"/>
                <w:lang w:val="en-US"/>
              </w:rPr>
              <w:t xml:space="preserve"> to </w:t>
            </w:r>
            <w:r w:rsidRPr="00DC5490">
              <w:rPr>
                <w:rFonts w:asciiTheme="majorHAnsi" w:eastAsiaTheme="minorHAnsi" w:hAnsiTheme="majorHAnsi" w:cstheme="majorHAnsi"/>
                <w:b/>
                <w:color w:val="000000" w:themeColor="text1"/>
                <w:sz w:val="16"/>
                <w:szCs w:val="16"/>
                <w:lang w:val="en-US"/>
              </w:rPr>
              <w:t>educational learning resources</w:t>
            </w:r>
            <w:r w:rsidRPr="00DC5490">
              <w:rPr>
                <w:rFonts w:asciiTheme="majorHAnsi" w:eastAsiaTheme="minorHAnsi" w:hAnsiTheme="majorHAnsi" w:cstheme="majorHAnsi"/>
                <w:color w:val="000000" w:themeColor="text1"/>
                <w:sz w:val="16"/>
                <w:szCs w:val="16"/>
                <w:lang w:val="en-US"/>
              </w:rPr>
              <w:t xml:space="preserve"> is …</w:t>
            </w:r>
          </w:p>
        </w:tc>
        <w:tc>
          <w:tcPr>
            <w:tcW w:w="1080" w:type="dxa"/>
            <w:vAlign w:val="center"/>
          </w:tcPr>
          <w:p w14:paraId="29CC0FAF"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080" w:type="dxa"/>
            <w:vAlign w:val="center"/>
          </w:tcPr>
          <w:p w14:paraId="1482763B"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900" w:type="dxa"/>
            <w:vAlign w:val="center"/>
          </w:tcPr>
          <w:p w14:paraId="6BFE7E1D"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10" w:type="dxa"/>
            <w:vAlign w:val="center"/>
          </w:tcPr>
          <w:p w14:paraId="1D38FFB8"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065" w:type="dxa"/>
            <w:vAlign w:val="center"/>
          </w:tcPr>
          <w:p w14:paraId="2EB6FFF3"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r>
      <w:tr w:rsidR="008D0CAD" w:rsidRPr="00DC5490" w14:paraId="6D09C7F0" w14:textId="77777777" w:rsidTr="009C64E9">
        <w:trPr>
          <w:trHeight w:val="377"/>
        </w:trPr>
        <w:tc>
          <w:tcPr>
            <w:tcW w:w="5130" w:type="dxa"/>
          </w:tcPr>
          <w:p w14:paraId="52F2333C" w14:textId="77777777" w:rsidR="008D0CAD" w:rsidRPr="00DC5490" w:rsidRDefault="008D0CAD" w:rsidP="00DD08E3">
            <w:pPr>
              <w:numPr>
                <w:ilvl w:val="1"/>
                <w:numId w:val="81"/>
              </w:numPr>
              <w:autoSpaceDE w:val="0"/>
              <w:autoSpaceDN w:val="0"/>
              <w:adjustRightInd w:val="0"/>
              <w:spacing w:before="100" w:beforeAutospacing="1" w:after="100" w:afterAutospacing="1" w:line="360" w:lineRule="auto"/>
              <w:ind w:left="517" w:hanging="450"/>
              <w:rPr>
                <w:rFonts w:asciiTheme="majorHAnsi" w:eastAsiaTheme="minorHAnsi" w:hAnsiTheme="majorHAnsi" w:cstheme="majorHAnsi"/>
                <w:color w:val="000000"/>
                <w:sz w:val="16"/>
                <w:szCs w:val="16"/>
                <w:lang w:val="en-US"/>
              </w:rPr>
            </w:pPr>
            <w:r w:rsidRPr="00DC5490">
              <w:rPr>
                <w:rFonts w:asciiTheme="majorHAnsi" w:eastAsiaTheme="minorHAnsi" w:hAnsiTheme="majorHAnsi" w:cstheme="majorHAnsi"/>
                <w:color w:val="000000"/>
                <w:sz w:val="16"/>
                <w:szCs w:val="16"/>
                <w:lang w:val="en-US"/>
              </w:rPr>
              <w:t xml:space="preserve">Compared to five years ago, my </w:t>
            </w:r>
            <w:r w:rsidRPr="00DC5490">
              <w:rPr>
                <w:rFonts w:asciiTheme="majorHAnsi" w:eastAsiaTheme="minorHAnsi" w:hAnsiTheme="majorHAnsi" w:cstheme="majorHAnsi"/>
                <w:b/>
                <w:color w:val="000000" w:themeColor="text1"/>
                <w:sz w:val="16"/>
                <w:szCs w:val="16"/>
                <w:lang w:val="en-US"/>
              </w:rPr>
              <w:t>access</w:t>
            </w:r>
            <w:r w:rsidRPr="00DC5490">
              <w:rPr>
                <w:rFonts w:asciiTheme="majorHAnsi" w:eastAsiaTheme="minorHAnsi" w:hAnsiTheme="majorHAnsi" w:cstheme="majorHAnsi"/>
                <w:color w:val="000000" w:themeColor="text1"/>
                <w:sz w:val="16"/>
                <w:szCs w:val="16"/>
                <w:lang w:val="en-US"/>
              </w:rPr>
              <w:t xml:space="preserve"> to </w:t>
            </w:r>
            <w:r w:rsidRPr="00DC5490">
              <w:rPr>
                <w:rFonts w:asciiTheme="majorHAnsi" w:eastAsiaTheme="minorHAnsi" w:hAnsiTheme="majorHAnsi" w:cstheme="majorHAnsi"/>
                <w:b/>
                <w:color w:val="000000" w:themeColor="text1"/>
                <w:sz w:val="16"/>
                <w:szCs w:val="16"/>
                <w:lang w:val="en-US"/>
              </w:rPr>
              <w:t>interventions for professional development</w:t>
            </w:r>
            <w:r w:rsidRPr="00DC5490">
              <w:rPr>
                <w:rFonts w:asciiTheme="majorHAnsi" w:eastAsiaTheme="minorHAnsi" w:hAnsiTheme="majorHAnsi" w:cstheme="majorHAnsi"/>
                <w:color w:val="000000" w:themeColor="text1"/>
                <w:sz w:val="16"/>
                <w:szCs w:val="16"/>
                <w:lang w:val="en-US"/>
              </w:rPr>
              <w:t xml:space="preserve"> is …</w:t>
            </w:r>
          </w:p>
        </w:tc>
        <w:tc>
          <w:tcPr>
            <w:tcW w:w="1080" w:type="dxa"/>
            <w:vAlign w:val="center"/>
          </w:tcPr>
          <w:p w14:paraId="30A47770"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080" w:type="dxa"/>
            <w:vAlign w:val="center"/>
          </w:tcPr>
          <w:p w14:paraId="3086DA15"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900" w:type="dxa"/>
            <w:vAlign w:val="center"/>
          </w:tcPr>
          <w:p w14:paraId="40691BAA"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810" w:type="dxa"/>
            <w:vAlign w:val="center"/>
          </w:tcPr>
          <w:p w14:paraId="1B571FE7"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c>
          <w:tcPr>
            <w:tcW w:w="1065" w:type="dxa"/>
            <w:vAlign w:val="center"/>
          </w:tcPr>
          <w:p w14:paraId="786F9DE8" w14:textId="77777777" w:rsidR="008D0CAD" w:rsidRPr="00DC5490"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16"/>
                <w:szCs w:val="16"/>
                <w:lang w:val="en-US"/>
              </w:rPr>
            </w:pPr>
          </w:p>
        </w:tc>
      </w:tr>
    </w:tbl>
    <w:p w14:paraId="155B09CB" w14:textId="77777777" w:rsidR="00625149" w:rsidRDefault="00625149" w:rsidP="00625149">
      <w:pPr>
        <w:autoSpaceDE w:val="0"/>
        <w:autoSpaceDN w:val="0"/>
        <w:adjustRightInd w:val="0"/>
        <w:spacing w:before="100" w:beforeAutospacing="1" w:after="100" w:afterAutospacing="1" w:line="360" w:lineRule="auto"/>
        <w:rPr>
          <w:rFonts w:asciiTheme="majorHAnsi" w:eastAsiaTheme="minorHAnsi" w:hAnsiTheme="majorHAnsi" w:cstheme="majorHAnsi"/>
          <w:b/>
          <w:color w:val="000000"/>
          <w:sz w:val="20"/>
          <w:szCs w:val="20"/>
          <w:lang w:val="en-US"/>
        </w:rPr>
        <w:sectPr w:rsidR="00625149" w:rsidSect="009C64E9">
          <w:pgSz w:w="11900" w:h="16840"/>
          <w:pgMar w:top="1440" w:right="1440" w:bottom="1440" w:left="1440" w:header="720" w:footer="720" w:gutter="0"/>
          <w:cols w:space="720"/>
          <w:docGrid w:linePitch="360"/>
        </w:sectPr>
      </w:pPr>
    </w:p>
    <w:p w14:paraId="15306834" w14:textId="46B7D45F" w:rsidR="008D0CAD" w:rsidRPr="00CF6064" w:rsidRDefault="008D0CAD" w:rsidP="000A4732">
      <w:pPr>
        <w:autoSpaceDE w:val="0"/>
        <w:autoSpaceDN w:val="0"/>
        <w:adjustRightInd w:val="0"/>
        <w:spacing w:before="100" w:beforeAutospacing="1" w:after="100" w:afterAutospacing="1" w:line="360" w:lineRule="auto"/>
        <w:rPr>
          <w:rFonts w:asciiTheme="majorHAnsi" w:eastAsiaTheme="minorHAnsi" w:hAnsiTheme="majorHAnsi" w:cstheme="majorHAnsi"/>
          <w:b/>
          <w:color w:val="000000"/>
          <w:sz w:val="20"/>
          <w:szCs w:val="20"/>
          <w:lang w:val="en-US"/>
        </w:rPr>
      </w:pPr>
      <w:r w:rsidRPr="00CF6064">
        <w:rPr>
          <w:rFonts w:asciiTheme="majorHAnsi" w:eastAsiaTheme="minorHAnsi" w:hAnsiTheme="majorHAnsi" w:cstheme="majorHAnsi"/>
          <w:b/>
          <w:color w:val="000000"/>
          <w:sz w:val="20"/>
          <w:szCs w:val="20"/>
          <w:lang w:val="en-US"/>
        </w:rPr>
        <w:t>Part 3: Respondent’s Profile</w:t>
      </w:r>
    </w:p>
    <w:p w14:paraId="75FB9F72" w14:textId="7376BE0F" w:rsidR="008D0CAD" w:rsidRPr="00CF6064" w:rsidRDefault="008D0CAD" w:rsidP="00DD08E3">
      <w:pPr>
        <w:numPr>
          <w:ilvl w:val="0"/>
          <w:numId w:val="81"/>
        </w:numPr>
        <w:spacing w:before="100" w:beforeAutospacing="1" w:after="100" w:afterAutospacing="1" w:line="360" w:lineRule="auto"/>
        <w:rPr>
          <w:rFonts w:asciiTheme="majorHAnsi" w:hAnsiTheme="majorHAnsi" w:cstheme="majorHAnsi"/>
          <w:snapToGrid w:val="0"/>
          <w:sz w:val="20"/>
          <w:szCs w:val="20"/>
          <w:lang w:val="en-US"/>
        </w:rPr>
      </w:pPr>
      <w:r w:rsidRPr="00CF6064">
        <w:rPr>
          <w:rFonts w:asciiTheme="majorHAnsi" w:hAnsiTheme="majorHAnsi" w:cstheme="majorHAnsi"/>
          <w:snapToGrid w:val="0"/>
          <w:sz w:val="20"/>
          <w:szCs w:val="20"/>
          <w:lang w:val="en-US"/>
        </w:rPr>
        <w:t>Sex of Respondent:</w:t>
      </w:r>
      <w:r w:rsidRPr="00CF6064">
        <w:rPr>
          <w:rFonts w:asciiTheme="majorHAnsi" w:hAnsiTheme="majorHAnsi" w:cstheme="majorHAnsi"/>
          <w:snapToGrid w:val="0"/>
          <w:sz w:val="20"/>
          <w:szCs w:val="20"/>
          <w:lang w:val="en-US"/>
        </w:rPr>
        <w:tab/>
      </w:r>
      <w:r w:rsidRPr="00CF6064">
        <w:rPr>
          <w:rFonts w:asciiTheme="majorHAnsi" w:hAnsiTheme="majorHAnsi" w:cstheme="majorHAnsi"/>
          <w:snapToGrid w:val="0"/>
          <w:sz w:val="20"/>
          <w:szCs w:val="20"/>
          <w:lang w:val="en-US"/>
        </w:rPr>
        <w:tab/>
        <w:t xml:space="preserve"> 35.1.</w:t>
      </w:r>
      <w:r w:rsidR="00D434EB">
        <w:rPr>
          <w:rFonts w:asciiTheme="majorHAnsi" w:hAnsiTheme="majorHAnsi" w:cstheme="majorHAnsi"/>
          <w:snapToGrid w:val="0"/>
          <w:sz w:val="20"/>
          <w:szCs w:val="20"/>
          <w:lang w:val="en-US"/>
        </w:rPr>
        <w:t xml:space="preserve"> </w:t>
      </w:r>
      <w:r w:rsidRPr="00CF6064">
        <w:rPr>
          <w:rFonts w:asciiTheme="majorHAnsi" w:hAnsiTheme="majorHAnsi" w:cstheme="majorHAnsi"/>
          <w:b/>
          <w:snapToGrid w:val="0"/>
          <w:sz w:val="20"/>
          <w:szCs w:val="20"/>
          <w:lang w:val="en-US"/>
        </w:rPr>
        <w:t>____ Female</w:t>
      </w:r>
      <w:r w:rsidR="00D434EB">
        <w:rPr>
          <w:rFonts w:asciiTheme="majorHAnsi" w:hAnsiTheme="majorHAnsi" w:cstheme="majorHAnsi"/>
          <w:b/>
          <w:snapToGrid w:val="0"/>
          <w:sz w:val="20"/>
          <w:szCs w:val="20"/>
          <w:lang w:val="en-US"/>
        </w:rPr>
        <w:t xml:space="preserve">   </w:t>
      </w:r>
      <w:r w:rsidRPr="00CF6064">
        <w:rPr>
          <w:rFonts w:asciiTheme="majorHAnsi" w:hAnsiTheme="majorHAnsi" w:cstheme="majorHAnsi"/>
          <w:b/>
          <w:snapToGrid w:val="0"/>
          <w:sz w:val="20"/>
          <w:szCs w:val="20"/>
          <w:lang w:val="en-US"/>
        </w:rPr>
        <w:t xml:space="preserve"> 35.2.</w:t>
      </w:r>
      <w:r w:rsidR="00D434EB">
        <w:rPr>
          <w:rFonts w:asciiTheme="majorHAnsi" w:hAnsiTheme="majorHAnsi" w:cstheme="majorHAnsi"/>
          <w:b/>
          <w:snapToGrid w:val="0"/>
          <w:sz w:val="20"/>
          <w:szCs w:val="20"/>
          <w:lang w:val="en-US"/>
        </w:rPr>
        <w:t xml:space="preserve"> </w:t>
      </w:r>
      <w:r w:rsidRPr="00CF6064">
        <w:rPr>
          <w:rFonts w:asciiTheme="majorHAnsi" w:hAnsiTheme="majorHAnsi" w:cstheme="majorHAnsi"/>
          <w:b/>
          <w:snapToGrid w:val="0"/>
          <w:sz w:val="20"/>
          <w:szCs w:val="20"/>
          <w:lang w:val="en-US"/>
        </w:rPr>
        <w:t>____ Male</w:t>
      </w:r>
    </w:p>
    <w:p w14:paraId="5120C1D6" w14:textId="77777777" w:rsidR="008D0CAD" w:rsidRPr="00CF6064" w:rsidRDefault="008D0CAD" w:rsidP="00DD08E3">
      <w:pPr>
        <w:numPr>
          <w:ilvl w:val="0"/>
          <w:numId w:val="81"/>
        </w:num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20"/>
          <w:szCs w:val="20"/>
          <w:lang w:val="en-US"/>
        </w:rPr>
      </w:pPr>
      <w:r w:rsidRPr="00CF6064">
        <w:rPr>
          <w:rFonts w:asciiTheme="majorHAnsi" w:eastAsiaTheme="minorHAnsi" w:hAnsiTheme="majorHAnsi" w:cstheme="majorHAnsi"/>
          <w:color w:val="000000"/>
          <w:sz w:val="20"/>
          <w:szCs w:val="20"/>
          <w:lang w:val="en-US"/>
        </w:rPr>
        <w:t>Age</w:t>
      </w:r>
    </w:p>
    <w:p w14:paraId="70B91E75" w14:textId="2D6636E5" w:rsidR="008D0CAD" w:rsidRPr="00CF6064" w:rsidRDefault="008D0CAD" w:rsidP="00DD08E3">
      <w:pPr>
        <w:numPr>
          <w:ilvl w:val="1"/>
          <w:numId w:val="81"/>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0"/>
          <w:szCs w:val="20"/>
          <w:lang w:val="en-US"/>
        </w:rPr>
      </w:pPr>
      <w:r w:rsidRPr="00CF6064">
        <w:rPr>
          <w:rFonts w:asciiTheme="majorHAnsi" w:eastAsiaTheme="minorHAnsi" w:hAnsiTheme="majorHAnsi" w:cstheme="majorHAnsi"/>
          <w:color w:val="000000"/>
          <w:sz w:val="20"/>
          <w:szCs w:val="20"/>
          <w:lang w:val="en-US"/>
        </w:rPr>
        <w:t>____ 21-29 years old</w:t>
      </w:r>
      <w:r w:rsidR="00D434EB">
        <w:rPr>
          <w:rFonts w:asciiTheme="majorHAnsi" w:eastAsiaTheme="minorHAnsi" w:hAnsiTheme="majorHAnsi" w:cstheme="majorHAnsi"/>
          <w:color w:val="000000"/>
          <w:sz w:val="20"/>
          <w:szCs w:val="20"/>
          <w:lang w:val="en-US"/>
        </w:rPr>
        <w:t xml:space="preserve"> </w:t>
      </w:r>
      <w:r w:rsidRPr="00CF6064">
        <w:rPr>
          <w:rFonts w:asciiTheme="majorHAnsi" w:eastAsiaTheme="minorHAnsi" w:hAnsiTheme="majorHAnsi" w:cstheme="majorHAnsi"/>
          <w:color w:val="000000"/>
          <w:sz w:val="20"/>
          <w:szCs w:val="20"/>
          <w:lang w:val="en-US"/>
        </w:rPr>
        <w:t xml:space="preserve"> </w:t>
      </w:r>
      <w:r w:rsidRPr="00CF6064">
        <w:rPr>
          <w:rFonts w:asciiTheme="majorHAnsi" w:eastAsiaTheme="minorHAnsi" w:hAnsiTheme="majorHAnsi" w:cstheme="majorHAnsi"/>
          <w:color w:val="000000"/>
          <w:sz w:val="20"/>
          <w:szCs w:val="20"/>
          <w:lang w:val="en-US"/>
        </w:rPr>
        <w:tab/>
      </w:r>
      <w:r w:rsidRPr="00CF6064">
        <w:rPr>
          <w:rFonts w:asciiTheme="majorHAnsi" w:eastAsiaTheme="minorHAnsi" w:hAnsiTheme="majorHAnsi" w:cstheme="majorHAnsi"/>
          <w:color w:val="000000"/>
          <w:sz w:val="20"/>
          <w:szCs w:val="20"/>
          <w:lang w:val="en-US"/>
        </w:rPr>
        <w:tab/>
        <w:t xml:space="preserve">36.3. ____ 40-49 years old </w:t>
      </w:r>
      <w:r w:rsidRPr="00CF6064">
        <w:rPr>
          <w:rFonts w:asciiTheme="majorHAnsi" w:eastAsiaTheme="minorHAnsi" w:hAnsiTheme="majorHAnsi" w:cstheme="majorHAnsi"/>
          <w:color w:val="000000"/>
          <w:sz w:val="20"/>
          <w:szCs w:val="20"/>
          <w:lang w:val="en-US"/>
        </w:rPr>
        <w:tab/>
        <w:t>36.5 ____ above 59 years old</w:t>
      </w:r>
    </w:p>
    <w:p w14:paraId="08D2680B" w14:textId="77777777" w:rsidR="008D0CAD" w:rsidRPr="00CF6064" w:rsidRDefault="008D0CAD" w:rsidP="00DD08E3">
      <w:pPr>
        <w:numPr>
          <w:ilvl w:val="1"/>
          <w:numId w:val="81"/>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0"/>
          <w:szCs w:val="20"/>
          <w:lang w:val="en-US"/>
        </w:rPr>
      </w:pPr>
      <w:r w:rsidRPr="00CF6064">
        <w:rPr>
          <w:rFonts w:asciiTheme="majorHAnsi" w:eastAsiaTheme="minorHAnsi" w:hAnsiTheme="majorHAnsi" w:cstheme="majorHAnsi"/>
          <w:color w:val="000000"/>
          <w:sz w:val="20"/>
          <w:szCs w:val="20"/>
          <w:lang w:val="en-US"/>
        </w:rPr>
        <w:t>____ 30-39 years old</w:t>
      </w:r>
      <w:r w:rsidRPr="00CF6064">
        <w:rPr>
          <w:rFonts w:asciiTheme="majorHAnsi" w:eastAsiaTheme="minorHAnsi" w:hAnsiTheme="majorHAnsi" w:cstheme="majorHAnsi"/>
          <w:color w:val="000000"/>
          <w:sz w:val="20"/>
          <w:szCs w:val="20"/>
          <w:lang w:val="en-US"/>
        </w:rPr>
        <w:tab/>
      </w:r>
      <w:r w:rsidRPr="00CF6064">
        <w:rPr>
          <w:rFonts w:asciiTheme="majorHAnsi" w:eastAsiaTheme="minorHAnsi" w:hAnsiTheme="majorHAnsi" w:cstheme="majorHAnsi"/>
          <w:color w:val="000000"/>
          <w:sz w:val="20"/>
          <w:szCs w:val="20"/>
          <w:lang w:val="en-US"/>
        </w:rPr>
        <w:tab/>
        <w:t xml:space="preserve">36.4. ____ 50-59 years old </w:t>
      </w:r>
    </w:p>
    <w:p w14:paraId="0AEE1317" w14:textId="77777777" w:rsidR="008D0CAD" w:rsidRPr="00CF6064" w:rsidRDefault="008D0CAD" w:rsidP="00DD08E3">
      <w:pPr>
        <w:numPr>
          <w:ilvl w:val="0"/>
          <w:numId w:val="81"/>
        </w:num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r w:rsidRPr="00CF6064">
        <w:rPr>
          <w:rFonts w:asciiTheme="majorHAnsi" w:eastAsiaTheme="minorHAnsi" w:hAnsiTheme="majorHAnsi" w:cstheme="majorHAnsi"/>
          <w:color w:val="000000" w:themeColor="text1"/>
          <w:sz w:val="20"/>
          <w:szCs w:val="20"/>
          <w:lang w:val="en-US"/>
        </w:rPr>
        <w:t>BS Course: ___________________________________________________</w:t>
      </w:r>
    </w:p>
    <w:p w14:paraId="6A5F0975" w14:textId="77777777" w:rsidR="008D0CAD" w:rsidRPr="00CF6064" w:rsidRDefault="008D0CAD" w:rsidP="00DD08E3">
      <w:pPr>
        <w:numPr>
          <w:ilvl w:val="0"/>
          <w:numId w:val="81"/>
        </w:num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20"/>
          <w:szCs w:val="20"/>
          <w:lang w:val="en-US"/>
        </w:rPr>
      </w:pPr>
      <w:r w:rsidRPr="00CF6064">
        <w:rPr>
          <w:rFonts w:asciiTheme="majorHAnsi" w:eastAsiaTheme="minorHAnsi" w:hAnsiTheme="majorHAnsi" w:cstheme="majorHAnsi"/>
          <w:color w:val="000000"/>
          <w:sz w:val="20"/>
          <w:szCs w:val="20"/>
          <w:lang w:val="en-US"/>
        </w:rPr>
        <w:t xml:space="preserve">Highest Educational Attainment: </w:t>
      </w:r>
    </w:p>
    <w:p w14:paraId="5AFABEDE" w14:textId="7F39BE3D" w:rsidR="008D0CAD" w:rsidRPr="00CF6064" w:rsidRDefault="008D0CAD" w:rsidP="00DD08E3">
      <w:pPr>
        <w:numPr>
          <w:ilvl w:val="1"/>
          <w:numId w:val="81"/>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0"/>
          <w:szCs w:val="20"/>
          <w:lang w:val="en-US"/>
        </w:rPr>
      </w:pPr>
      <w:r w:rsidRPr="00CF6064">
        <w:rPr>
          <w:rFonts w:asciiTheme="majorHAnsi" w:eastAsiaTheme="minorHAnsi" w:hAnsiTheme="majorHAnsi" w:cstheme="majorHAnsi"/>
          <w:color w:val="000000"/>
          <w:sz w:val="20"/>
          <w:szCs w:val="20"/>
          <w:lang w:val="en-US"/>
        </w:rPr>
        <w:t>____ Bachelor’s Degree</w:t>
      </w:r>
      <w:r w:rsidR="00D434EB">
        <w:rPr>
          <w:rFonts w:asciiTheme="majorHAnsi" w:eastAsiaTheme="minorHAnsi" w:hAnsiTheme="majorHAnsi" w:cstheme="majorHAnsi"/>
          <w:color w:val="000000"/>
          <w:sz w:val="20"/>
          <w:szCs w:val="20"/>
          <w:lang w:val="en-US"/>
        </w:rPr>
        <w:t xml:space="preserve">  </w:t>
      </w:r>
      <w:r w:rsidRPr="00CF6064">
        <w:rPr>
          <w:rFonts w:asciiTheme="majorHAnsi" w:eastAsiaTheme="minorHAnsi" w:hAnsiTheme="majorHAnsi" w:cstheme="majorHAnsi"/>
          <w:color w:val="000000"/>
          <w:sz w:val="20"/>
          <w:szCs w:val="20"/>
          <w:lang w:val="en-US"/>
        </w:rPr>
        <w:t xml:space="preserve"> ____</w:t>
      </w:r>
      <w:r w:rsidR="00D434EB">
        <w:rPr>
          <w:rFonts w:asciiTheme="majorHAnsi" w:eastAsiaTheme="minorHAnsi" w:hAnsiTheme="majorHAnsi" w:cstheme="majorHAnsi"/>
          <w:color w:val="000000"/>
          <w:sz w:val="20"/>
          <w:szCs w:val="20"/>
          <w:lang w:val="en-US"/>
        </w:rPr>
        <w:t xml:space="preserve"> </w:t>
      </w:r>
      <w:r w:rsidRPr="00CF6064">
        <w:rPr>
          <w:rFonts w:asciiTheme="majorHAnsi" w:eastAsiaTheme="minorHAnsi" w:hAnsiTheme="majorHAnsi" w:cstheme="majorHAnsi"/>
          <w:color w:val="000000"/>
          <w:sz w:val="20"/>
          <w:szCs w:val="20"/>
          <w:lang w:val="en-US"/>
        </w:rPr>
        <w:t xml:space="preserve"> Master’s Degree </w:t>
      </w:r>
      <w:r w:rsidRPr="00CF6064">
        <w:rPr>
          <w:rFonts w:asciiTheme="majorHAnsi" w:eastAsiaTheme="minorHAnsi" w:hAnsiTheme="majorHAnsi" w:cstheme="majorHAnsi"/>
          <w:color w:val="000000"/>
          <w:sz w:val="20"/>
          <w:szCs w:val="20"/>
          <w:lang w:val="en-US"/>
        </w:rPr>
        <w:tab/>
        <w:t>____ Doctoral Degree ____ Others, ____________</w:t>
      </w:r>
    </w:p>
    <w:p w14:paraId="60794408" w14:textId="77777777" w:rsidR="008D0CAD" w:rsidRPr="00CF6064" w:rsidRDefault="008D0CAD" w:rsidP="00DD08E3">
      <w:pPr>
        <w:numPr>
          <w:ilvl w:val="0"/>
          <w:numId w:val="81"/>
        </w:num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20"/>
          <w:szCs w:val="20"/>
          <w:lang w:val="en-US"/>
        </w:rPr>
      </w:pPr>
      <w:r w:rsidRPr="00CF6064">
        <w:rPr>
          <w:rFonts w:asciiTheme="majorHAnsi" w:eastAsiaTheme="minorHAnsi" w:hAnsiTheme="majorHAnsi" w:cstheme="majorHAnsi"/>
          <w:color w:val="000000"/>
          <w:sz w:val="20"/>
          <w:szCs w:val="20"/>
          <w:lang w:val="en-US"/>
        </w:rPr>
        <w:t>No. of years teaching (in public and private): ___________</w:t>
      </w:r>
    </w:p>
    <w:p w14:paraId="2733CAA3" w14:textId="77777777" w:rsidR="008D0CAD" w:rsidRPr="00CF6064" w:rsidRDefault="008D0CAD" w:rsidP="00DD08E3">
      <w:pPr>
        <w:numPr>
          <w:ilvl w:val="0"/>
          <w:numId w:val="81"/>
        </w:num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20"/>
          <w:szCs w:val="20"/>
          <w:lang w:val="en-US"/>
        </w:rPr>
      </w:pPr>
      <w:r w:rsidRPr="00CF6064">
        <w:rPr>
          <w:rFonts w:asciiTheme="majorHAnsi" w:eastAsiaTheme="minorHAnsi" w:hAnsiTheme="majorHAnsi" w:cstheme="majorHAnsi"/>
          <w:color w:val="000000"/>
          <w:sz w:val="20"/>
          <w:szCs w:val="20"/>
          <w:lang w:val="en-US"/>
        </w:rPr>
        <w:t>No. of years teaching in public: ___________</w:t>
      </w:r>
    </w:p>
    <w:p w14:paraId="08F19FFE" w14:textId="77777777" w:rsidR="008D0CAD" w:rsidRPr="00CF6064" w:rsidRDefault="008D0CAD" w:rsidP="00DD08E3">
      <w:pPr>
        <w:numPr>
          <w:ilvl w:val="0"/>
          <w:numId w:val="81"/>
        </w:num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20"/>
          <w:szCs w:val="20"/>
          <w:lang w:val="en-US"/>
        </w:rPr>
      </w:pPr>
      <w:r w:rsidRPr="00CF6064">
        <w:rPr>
          <w:rFonts w:asciiTheme="majorHAnsi" w:eastAsiaTheme="minorHAnsi" w:hAnsiTheme="majorHAnsi" w:cstheme="majorHAnsi"/>
          <w:color w:val="000000"/>
          <w:sz w:val="20"/>
          <w:szCs w:val="20"/>
          <w:lang w:val="en-US"/>
        </w:rPr>
        <w:t>Year started teaching in basic education: __________</w:t>
      </w:r>
    </w:p>
    <w:p w14:paraId="38937F68" w14:textId="77777777" w:rsidR="008D0CAD" w:rsidRPr="00CF6064" w:rsidRDefault="008D0CAD" w:rsidP="00DD08E3">
      <w:pPr>
        <w:numPr>
          <w:ilvl w:val="0"/>
          <w:numId w:val="81"/>
        </w:num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r w:rsidRPr="00CF6064">
        <w:rPr>
          <w:rFonts w:asciiTheme="majorHAnsi" w:eastAsiaTheme="minorHAnsi" w:hAnsiTheme="majorHAnsi" w:cstheme="majorHAnsi"/>
          <w:color w:val="000000" w:themeColor="text1"/>
          <w:sz w:val="20"/>
          <w:szCs w:val="20"/>
          <w:lang w:val="en-US"/>
        </w:rPr>
        <w:t>Subjects Taught (Multiple responses allowed)</w:t>
      </w:r>
    </w:p>
    <w:p w14:paraId="0D8B9219" w14:textId="63C65E9B" w:rsidR="008D0CAD" w:rsidRPr="00CF6064" w:rsidRDefault="008D0CAD" w:rsidP="00DD08E3">
      <w:pPr>
        <w:numPr>
          <w:ilvl w:val="1"/>
          <w:numId w:val="81"/>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themeColor="text1"/>
          <w:sz w:val="20"/>
          <w:szCs w:val="20"/>
          <w:lang w:val="en-US"/>
        </w:rPr>
      </w:pPr>
      <w:r w:rsidRPr="00CF6064">
        <w:rPr>
          <w:rFonts w:asciiTheme="majorHAnsi" w:eastAsiaTheme="minorHAnsi" w:hAnsiTheme="majorHAnsi" w:cstheme="majorHAnsi"/>
          <w:color w:val="000000"/>
          <w:sz w:val="20"/>
          <w:szCs w:val="20"/>
          <w:lang w:val="en-US"/>
        </w:rPr>
        <w:t>_</w:t>
      </w:r>
      <w:r w:rsidRPr="00CF6064">
        <w:rPr>
          <w:rFonts w:asciiTheme="majorHAnsi" w:eastAsiaTheme="minorHAnsi" w:hAnsiTheme="majorHAnsi" w:cstheme="majorHAnsi"/>
          <w:b/>
          <w:color w:val="000000"/>
          <w:sz w:val="20"/>
          <w:szCs w:val="20"/>
          <w:lang w:val="en-US"/>
        </w:rPr>
        <w:t xml:space="preserve">___ </w:t>
      </w:r>
      <w:r w:rsidRPr="00CF6064">
        <w:rPr>
          <w:rFonts w:asciiTheme="majorHAnsi" w:eastAsiaTheme="minorHAnsi" w:hAnsiTheme="majorHAnsi" w:cstheme="majorHAnsi"/>
          <w:b/>
          <w:color w:val="000000" w:themeColor="text1"/>
          <w:sz w:val="20"/>
          <w:szCs w:val="20"/>
          <w:lang w:val="en-US"/>
        </w:rPr>
        <w:t>Math</w:t>
      </w:r>
      <w:r w:rsidR="00D434EB">
        <w:rPr>
          <w:rFonts w:asciiTheme="majorHAnsi" w:eastAsiaTheme="minorHAnsi" w:hAnsiTheme="majorHAnsi" w:cstheme="majorHAnsi"/>
          <w:b/>
          <w:color w:val="000000" w:themeColor="text1"/>
          <w:sz w:val="20"/>
          <w:szCs w:val="20"/>
          <w:lang w:val="en-US"/>
        </w:rPr>
        <w:t xml:space="preserve"> </w:t>
      </w:r>
      <w:r w:rsidRPr="00CF6064">
        <w:rPr>
          <w:rFonts w:asciiTheme="majorHAnsi" w:eastAsiaTheme="minorHAnsi" w:hAnsiTheme="majorHAnsi" w:cstheme="majorHAnsi"/>
          <w:b/>
          <w:color w:val="000000" w:themeColor="text1"/>
          <w:sz w:val="20"/>
          <w:szCs w:val="20"/>
          <w:lang w:val="en-US"/>
        </w:rPr>
        <w:t xml:space="preserve"> </w:t>
      </w:r>
      <w:r w:rsidRPr="00CF6064">
        <w:rPr>
          <w:rFonts w:asciiTheme="majorHAnsi" w:eastAsiaTheme="minorHAnsi" w:hAnsiTheme="majorHAnsi" w:cstheme="majorHAnsi"/>
          <w:b/>
          <w:color w:val="000000"/>
          <w:sz w:val="20"/>
          <w:szCs w:val="20"/>
          <w:lang w:val="en-US"/>
        </w:rPr>
        <w:t xml:space="preserve">____ </w:t>
      </w:r>
      <w:r w:rsidRPr="00CF6064">
        <w:rPr>
          <w:rFonts w:asciiTheme="majorHAnsi" w:eastAsiaTheme="minorHAnsi" w:hAnsiTheme="majorHAnsi" w:cstheme="majorHAnsi"/>
          <w:b/>
          <w:color w:val="000000" w:themeColor="text1"/>
          <w:sz w:val="20"/>
          <w:szCs w:val="20"/>
          <w:lang w:val="en-US"/>
        </w:rPr>
        <w:t>Science</w:t>
      </w:r>
      <w:r w:rsidR="00D434EB">
        <w:rPr>
          <w:rFonts w:asciiTheme="majorHAnsi" w:eastAsiaTheme="minorHAnsi" w:hAnsiTheme="majorHAnsi" w:cstheme="majorHAnsi"/>
          <w:b/>
          <w:color w:val="000000" w:themeColor="text1"/>
          <w:sz w:val="20"/>
          <w:szCs w:val="20"/>
          <w:lang w:val="en-US"/>
        </w:rPr>
        <w:t xml:space="preserve">  </w:t>
      </w:r>
      <w:r w:rsidRPr="00CF6064">
        <w:rPr>
          <w:rFonts w:asciiTheme="majorHAnsi" w:eastAsiaTheme="minorHAnsi" w:hAnsiTheme="majorHAnsi" w:cstheme="majorHAnsi"/>
          <w:b/>
          <w:color w:val="000000" w:themeColor="text1"/>
          <w:sz w:val="20"/>
          <w:szCs w:val="20"/>
          <w:lang w:val="en-US"/>
        </w:rPr>
        <w:t xml:space="preserve"> </w:t>
      </w:r>
      <w:r w:rsidRPr="00CF6064">
        <w:rPr>
          <w:rFonts w:asciiTheme="majorHAnsi" w:eastAsiaTheme="minorHAnsi" w:hAnsiTheme="majorHAnsi" w:cstheme="majorHAnsi"/>
          <w:b/>
          <w:color w:val="000000"/>
          <w:sz w:val="20"/>
          <w:szCs w:val="20"/>
          <w:lang w:val="en-US"/>
        </w:rPr>
        <w:t xml:space="preserve">____ </w:t>
      </w:r>
      <w:r w:rsidRPr="00CF6064">
        <w:rPr>
          <w:rFonts w:asciiTheme="majorHAnsi" w:eastAsiaTheme="minorHAnsi" w:hAnsiTheme="majorHAnsi" w:cstheme="majorHAnsi"/>
          <w:b/>
          <w:color w:val="000000" w:themeColor="text1"/>
          <w:sz w:val="20"/>
          <w:szCs w:val="20"/>
          <w:lang w:val="en-US"/>
        </w:rPr>
        <w:t xml:space="preserve">English </w:t>
      </w:r>
      <w:r w:rsidRPr="00CF6064">
        <w:rPr>
          <w:rFonts w:asciiTheme="majorHAnsi" w:eastAsiaTheme="minorHAnsi" w:hAnsiTheme="majorHAnsi" w:cstheme="majorHAnsi"/>
          <w:b/>
          <w:color w:val="000000"/>
          <w:sz w:val="20"/>
          <w:szCs w:val="20"/>
          <w:lang w:val="en-US"/>
        </w:rPr>
        <w:t xml:space="preserve">____ </w:t>
      </w:r>
      <w:r w:rsidRPr="00CF6064">
        <w:rPr>
          <w:rFonts w:asciiTheme="majorHAnsi" w:eastAsiaTheme="minorHAnsi" w:hAnsiTheme="majorHAnsi" w:cstheme="majorHAnsi"/>
          <w:b/>
          <w:color w:val="000000" w:themeColor="text1"/>
          <w:sz w:val="20"/>
          <w:szCs w:val="20"/>
          <w:lang w:val="en-US"/>
        </w:rPr>
        <w:t>Filipino</w:t>
      </w:r>
      <w:r w:rsidR="00D434EB">
        <w:rPr>
          <w:rFonts w:asciiTheme="majorHAnsi" w:eastAsiaTheme="minorHAnsi" w:hAnsiTheme="majorHAnsi" w:cstheme="majorHAnsi"/>
          <w:b/>
          <w:color w:val="000000" w:themeColor="text1"/>
          <w:sz w:val="20"/>
          <w:szCs w:val="20"/>
          <w:lang w:val="en-US"/>
        </w:rPr>
        <w:t xml:space="preserve"> </w:t>
      </w:r>
      <w:r w:rsidRPr="00CF6064">
        <w:rPr>
          <w:rFonts w:asciiTheme="majorHAnsi" w:eastAsiaTheme="minorHAnsi" w:hAnsiTheme="majorHAnsi" w:cstheme="majorHAnsi"/>
          <w:b/>
          <w:color w:val="000000" w:themeColor="text1"/>
          <w:sz w:val="20"/>
          <w:szCs w:val="20"/>
          <w:lang w:val="en-US"/>
        </w:rPr>
        <w:t xml:space="preserve"> </w:t>
      </w:r>
      <w:r w:rsidRPr="00CF6064">
        <w:rPr>
          <w:rFonts w:asciiTheme="majorHAnsi" w:eastAsiaTheme="minorHAnsi" w:hAnsiTheme="majorHAnsi" w:cstheme="majorHAnsi"/>
          <w:b/>
          <w:color w:val="000000" w:themeColor="text1"/>
          <w:sz w:val="20"/>
          <w:szCs w:val="20"/>
          <w:lang w:val="en-US"/>
        </w:rPr>
        <w:tab/>
      </w:r>
      <w:r w:rsidRPr="00CF6064">
        <w:rPr>
          <w:rFonts w:asciiTheme="majorHAnsi" w:eastAsiaTheme="minorHAnsi" w:hAnsiTheme="majorHAnsi" w:cstheme="majorHAnsi"/>
          <w:b/>
          <w:color w:val="000000"/>
          <w:sz w:val="20"/>
          <w:szCs w:val="20"/>
          <w:lang w:val="en-US"/>
        </w:rPr>
        <w:t xml:space="preserve">____ </w:t>
      </w:r>
      <w:r w:rsidRPr="00CF6064">
        <w:rPr>
          <w:rFonts w:asciiTheme="majorHAnsi" w:eastAsiaTheme="minorHAnsi" w:hAnsiTheme="majorHAnsi" w:cstheme="majorHAnsi"/>
          <w:b/>
          <w:color w:val="000000" w:themeColor="text1"/>
          <w:sz w:val="20"/>
          <w:szCs w:val="20"/>
          <w:lang w:val="en-US"/>
        </w:rPr>
        <w:t>Others:</w:t>
      </w:r>
      <w:r w:rsidRPr="00CF6064">
        <w:rPr>
          <w:rFonts w:asciiTheme="majorHAnsi" w:eastAsiaTheme="minorHAnsi" w:hAnsiTheme="majorHAnsi" w:cstheme="majorHAnsi"/>
          <w:color w:val="000000" w:themeColor="text1"/>
          <w:sz w:val="20"/>
          <w:szCs w:val="20"/>
          <w:lang w:val="en-US"/>
        </w:rPr>
        <w:t xml:space="preserve"> __________________________</w:t>
      </w:r>
    </w:p>
    <w:p w14:paraId="3E709057" w14:textId="77777777" w:rsidR="008D0CAD" w:rsidRPr="00CF6064" w:rsidRDefault="008D0CAD" w:rsidP="00DD08E3">
      <w:pPr>
        <w:numPr>
          <w:ilvl w:val="0"/>
          <w:numId w:val="81"/>
        </w:num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r w:rsidRPr="00CF6064">
        <w:rPr>
          <w:rFonts w:asciiTheme="majorHAnsi" w:eastAsiaTheme="minorHAnsi" w:hAnsiTheme="majorHAnsi" w:cstheme="majorHAnsi"/>
          <w:color w:val="000000" w:themeColor="text1"/>
          <w:sz w:val="20"/>
          <w:szCs w:val="20"/>
          <w:lang w:val="en-US"/>
        </w:rPr>
        <w:t>Grade levels taught (Multiple responses allowed)</w:t>
      </w:r>
    </w:p>
    <w:p w14:paraId="7F5E297A" w14:textId="3EABB4A2" w:rsidR="008D0CAD" w:rsidRPr="00CF6064" w:rsidRDefault="008D0CAD" w:rsidP="00DD08E3">
      <w:pPr>
        <w:numPr>
          <w:ilvl w:val="1"/>
          <w:numId w:val="81"/>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themeColor="text1"/>
          <w:sz w:val="20"/>
          <w:szCs w:val="20"/>
          <w:lang w:val="en-US"/>
        </w:rPr>
      </w:pPr>
      <w:r w:rsidRPr="00CF6064">
        <w:rPr>
          <w:rFonts w:asciiTheme="majorHAnsi" w:eastAsiaTheme="minorHAnsi" w:hAnsiTheme="majorHAnsi" w:cstheme="majorHAnsi"/>
          <w:color w:val="000000"/>
          <w:sz w:val="20"/>
          <w:szCs w:val="20"/>
          <w:lang w:val="en-US"/>
        </w:rPr>
        <w:t>_</w:t>
      </w:r>
      <w:r w:rsidRPr="00CF6064">
        <w:rPr>
          <w:rFonts w:asciiTheme="majorHAnsi" w:eastAsiaTheme="minorHAnsi" w:hAnsiTheme="majorHAnsi" w:cstheme="majorHAnsi"/>
          <w:b/>
          <w:color w:val="000000"/>
          <w:sz w:val="20"/>
          <w:szCs w:val="20"/>
          <w:lang w:val="en-US"/>
        </w:rPr>
        <w:t xml:space="preserve">___ </w:t>
      </w:r>
      <w:r w:rsidRPr="00CF6064">
        <w:rPr>
          <w:rFonts w:asciiTheme="majorHAnsi" w:eastAsiaTheme="minorHAnsi" w:hAnsiTheme="majorHAnsi" w:cstheme="majorHAnsi"/>
          <w:b/>
          <w:color w:val="000000" w:themeColor="text1"/>
          <w:sz w:val="20"/>
          <w:szCs w:val="20"/>
          <w:lang w:val="en-US"/>
        </w:rPr>
        <w:t>Grade 4</w:t>
      </w:r>
      <w:r w:rsidR="00D434EB">
        <w:rPr>
          <w:rFonts w:asciiTheme="majorHAnsi" w:eastAsiaTheme="minorHAnsi" w:hAnsiTheme="majorHAnsi" w:cstheme="majorHAnsi"/>
          <w:b/>
          <w:color w:val="000000" w:themeColor="text1"/>
          <w:sz w:val="20"/>
          <w:szCs w:val="20"/>
          <w:lang w:val="en-US"/>
        </w:rPr>
        <w:t xml:space="preserve"> </w:t>
      </w:r>
      <w:r w:rsidRPr="00CF6064">
        <w:rPr>
          <w:rFonts w:asciiTheme="majorHAnsi" w:eastAsiaTheme="minorHAnsi" w:hAnsiTheme="majorHAnsi" w:cstheme="majorHAnsi"/>
          <w:b/>
          <w:color w:val="000000" w:themeColor="text1"/>
          <w:sz w:val="20"/>
          <w:szCs w:val="20"/>
          <w:lang w:val="en-US"/>
        </w:rPr>
        <w:t xml:space="preserve"> </w:t>
      </w:r>
      <w:r w:rsidRPr="00CF6064">
        <w:rPr>
          <w:rFonts w:asciiTheme="majorHAnsi" w:eastAsiaTheme="minorHAnsi" w:hAnsiTheme="majorHAnsi" w:cstheme="majorHAnsi"/>
          <w:b/>
          <w:color w:val="000000"/>
          <w:sz w:val="20"/>
          <w:szCs w:val="20"/>
          <w:lang w:val="en-US"/>
        </w:rPr>
        <w:t xml:space="preserve">____ </w:t>
      </w:r>
      <w:r w:rsidRPr="00CF6064">
        <w:rPr>
          <w:rFonts w:asciiTheme="majorHAnsi" w:eastAsiaTheme="minorHAnsi" w:hAnsiTheme="majorHAnsi" w:cstheme="majorHAnsi"/>
          <w:b/>
          <w:color w:val="000000" w:themeColor="text1"/>
          <w:sz w:val="20"/>
          <w:szCs w:val="20"/>
          <w:lang w:val="en-US"/>
        </w:rPr>
        <w:t>Grade 5</w:t>
      </w:r>
      <w:r w:rsidR="00D434EB">
        <w:rPr>
          <w:rFonts w:asciiTheme="majorHAnsi" w:eastAsiaTheme="minorHAnsi" w:hAnsiTheme="majorHAnsi" w:cstheme="majorHAnsi"/>
          <w:b/>
          <w:color w:val="000000" w:themeColor="text1"/>
          <w:sz w:val="20"/>
          <w:szCs w:val="20"/>
          <w:lang w:val="en-US"/>
        </w:rPr>
        <w:t xml:space="preserve">  </w:t>
      </w:r>
      <w:r w:rsidRPr="00CF6064">
        <w:rPr>
          <w:rFonts w:asciiTheme="majorHAnsi" w:eastAsiaTheme="minorHAnsi" w:hAnsiTheme="majorHAnsi" w:cstheme="majorHAnsi"/>
          <w:b/>
          <w:color w:val="000000" w:themeColor="text1"/>
          <w:sz w:val="20"/>
          <w:szCs w:val="20"/>
          <w:lang w:val="en-US"/>
        </w:rPr>
        <w:t xml:space="preserve"> </w:t>
      </w:r>
      <w:r w:rsidRPr="00CF6064">
        <w:rPr>
          <w:rFonts w:asciiTheme="majorHAnsi" w:eastAsiaTheme="minorHAnsi" w:hAnsiTheme="majorHAnsi" w:cstheme="majorHAnsi"/>
          <w:b/>
          <w:color w:val="000000"/>
          <w:sz w:val="20"/>
          <w:szCs w:val="20"/>
          <w:lang w:val="en-US"/>
        </w:rPr>
        <w:t xml:space="preserve">____ </w:t>
      </w:r>
      <w:r w:rsidRPr="00CF6064">
        <w:rPr>
          <w:rFonts w:asciiTheme="majorHAnsi" w:eastAsiaTheme="minorHAnsi" w:hAnsiTheme="majorHAnsi" w:cstheme="majorHAnsi"/>
          <w:b/>
          <w:color w:val="000000" w:themeColor="text1"/>
          <w:sz w:val="20"/>
          <w:szCs w:val="20"/>
          <w:lang w:val="en-US"/>
        </w:rPr>
        <w:t xml:space="preserve">Grade 6 </w:t>
      </w:r>
      <w:r w:rsidRPr="00CF6064">
        <w:rPr>
          <w:rFonts w:asciiTheme="majorHAnsi" w:eastAsiaTheme="minorHAnsi" w:hAnsiTheme="majorHAnsi" w:cstheme="majorHAnsi"/>
          <w:b/>
          <w:color w:val="000000" w:themeColor="text1"/>
          <w:sz w:val="20"/>
          <w:szCs w:val="20"/>
          <w:lang w:val="en-US"/>
        </w:rPr>
        <w:tab/>
      </w:r>
      <w:r w:rsidRPr="00CF6064">
        <w:rPr>
          <w:rFonts w:asciiTheme="majorHAnsi" w:eastAsiaTheme="minorHAnsi" w:hAnsiTheme="majorHAnsi" w:cstheme="majorHAnsi"/>
          <w:b/>
          <w:color w:val="000000" w:themeColor="text1"/>
          <w:sz w:val="20"/>
          <w:szCs w:val="20"/>
          <w:lang w:val="en-US"/>
        </w:rPr>
        <w:tab/>
      </w:r>
      <w:r w:rsidRPr="00CF6064">
        <w:rPr>
          <w:rFonts w:asciiTheme="majorHAnsi" w:eastAsiaTheme="minorHAnsi" w:hAnsiTheme="majorHAnsi" w:cstheme="majorHAnsi"/>
          <w:b/>
          <w:color w:val="000000"/>
          <w:sz w:val="20"/>
          <w:szCs w:val="20"/>
          <w:lang w:val="en-US"/>
        </w:rPr>
        <w:t xml:space="preserve">____ </w:t>
      </w:r>
      <w:r w:rsidRPr="00CF6064">
        <w:rPr>
          <w:rFonts w:asciiTheme="majorHAnsi" w:eastAsiaTheme="minorHAnsi" w:hAnsiTheme="majorHAnsi" w:cstheme="majorHAnsi"/>
          <w:b/>
          <w:color w:val="000000" w:themeColor="text1"/>
          <w:sz w:val="20"/>
          <w:szCs w:val="20"/>
          <w:lang w:val="en-US"/>
        </w:rPr>
        <w:t xml:space="preserve">Others: </w:t>
      </w:r>
      <w:r w:rsidRPr="00CF6064">
        <w:rPr>
          <w:rFonts w:asciiTheme="majorHAnsi" w:eastAsiaTheme="minorHAnsi" w:hAnsiTheme="majorHAnsi" w:cstheme="majorHAnsi"/>
          <w:color w:val="000000" w:themeColor="text1"/>
          <w:sz w:val="20"/>
          <w:szCs w:val="20"/>
          <w:lang w:val="en-US"/>
        </w:rPr>
        <w:t>__________________________</w:t>
      </w:r>
    </w:p>
    <w:p w14:paraId="5A6A1F49" w14:textId="77777777" w:rsidR="008D0CAD" w:rsidRPr="00CF6064" w:rsidRDefault="008D0CAD" w:rsidP="00DD08E3">
      <w:pPr>
        <w:numPr>
          <w:ilvl w:val="0"/>
          <w:numId w:val="81"/>
        </w:numPr>
        <w:spacing w:before="100" w:beforeAutospacing="1" w:after="100" w:afterAutospacing="1" w:line="360" w:lineRule="auto"/>
        <w:rPr>
          <w:rFonts w:asciiTheme="majorHAnsi" w:hAnsiTheme="majorHAnsi" w:cstheme="majorHAnsi"/>
          <w:sz w:val="20"/>
          <w:szCs w:val="20"/>
          <w:lang w:val="en-US"/>
        </w:rPr>
      </w:pPr>
      <w:r w:rsidRPr="00CF6064">
        <w:rPr>
          <w:rFonts w:asciiTheme="majorHAnsi" w:hAnsiTheme="majorHAnsi" w:cstheme="majorHAnsi"/>
          <w:sz w:val="20"/>
          <w:szCs w:val="20"/>
          <w:lang w:val="en-US"/>
        </w:rPr>
        <w:t>What training programs have you attended in last 5 years:</w:t>
      </w:r>
    </w:p>
    <w:p w14:paraId="343F1800" w14:textId="77777777" w:rsidR="008D0CAD" w:rsidRPr="00CF6064" w:rsidRDefault="008D0CAD" w:rsidP="00DD08E3">
      <w:pPr>
        <w:numPr>
          <w:ilvl w:val="1"/>
          <w:numId w:val="81"/>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0"/>
          <w:szCs w:val="20"/>
          <w:lang w:val="en-US"/>
        </w:rPr>
      </w:pPr>
      <w:r w:rsidRPr="00CF6064">
        <w:rPr>
          <w:rFonts w:asciiTheme="majorHAnsi" w:eastAsiaTheme="minorHAnsi" w:hAnsiTheme="majorHAnsi" w:cstheme="majorHAnsi"/>
          <w:b/>
          <w:color w:val="000000"/>
          <w:sz w:val="20"/>
          <w:szCs w:val="20"/>
          <w:lang w:val="en-US"/>
        </w:rPr>
        <w:t>PLEASE CHECK ALL THE TRAINING PROGRAMS ATTENDED FROM THE ATTACHED LIST</w:t>
      </w:r>
    </w:p>
    <w:p w14:paraId="738881BA" w14:textId="77777777" w:rsidR="008D0CAD" w:rsidRPr="00CF6064" w:rsidRDefault="008D0CAD" w:rsidP="00DD08E3">
      <w:pPr>
        <w:numPr>
          <w:ilvl w:val="0"/>
          <w:numId w:val="81"/>
        </w:numPr>
        <w:spacing w:before="100" w:beforeAutospacing="1" w:after="100" w:afterAutospacing="1" w:line="360" w:lineRule="auto"/>
        <w:rPr>
          <w:rFonts w:asciiTheme="majorHAnsi" w:hAnsiTheme="majorHAnsi" w:cstheme="majorHAnsi"/>
          <w:sz w:val="20"/>
          <w:szCs w:val="20"/>
          <w:lang w:val="en-US"/>
        </w:rPr>
      </w:pPr>
      <w:r w:rsidRPr="00CF6064">
        <w:rPr>
          <w:rFonts w:asciiTheme="majorHAnsi" w:hAnsiTheme="majorHAnsi" w:cstheme="majorHAnsi"/>
          <w:sz w:val="20"/>
          <w:szCs w:val="20"/>
          <w:lang w:val="en-US"/>
        </w:rPr>
        <w:t>Please list down all Training Programs (and academic courses) attended in last 5 years that were not in the attached list:</w:t>
      </w:r>
    </w:p>
    <w:p w14:paraId="56E5B295" w14:textId="77777777" w:rsidR="008D0CAD" w:rsidRPr="00CF6064" w:rsidRDefault="008D0CAD" w:rsidP="00DD08E3">
      <w:pPr>
        <w:numPr>
          <w:ilvl w:val="1"/>
          <w:numId w:val="81"/>
        </w:num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r w:rsidRPr="00CF6064">
        <w:rPr>
          <w:rFonts w:asciiTheme="majorHAnsi" w:eastAsiaTheme="minorHAnsi" w:hAnsiTheme="majorHAnsi" w:cstheme="majorHAnsi"/>
          <w:color w:val="000000" w:themeColor="text1"/>
          <w:sz w:val="20"/>
          <w:szCs w:val="20"/>
          <w:lang w:val="en-US"/>
        </w:rPr>
        <w:t>______________________________________________________________________________</w:t>
      </w:r>
    </w:p>
    <w:p w14:paraId="4500DB44" w14:textId="77777777" w:rsidR="008D0CAD" w:rsidRPr="00CF6064" w:rsidRDefault="008D0CAD" w:rsidP="00DD08E3">
      <w:pPr>
        <w:numPr>
          <w:ilvl w:val="1"/>
          <w:numId w:val="81"/>
        </w:num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r w:rsidRPr="00CF6064">
        <w:rPr>
          <w:rFonts w:asciiTheme="majorHAnsi" w:eastAsiaTheme="minorHAnsi" w:hAnsiTheme="majorHAnsi" w:cstheme="majorHAnsi"/>
          <w:color w:val="000000" w:themeColor="text1"/>
          <w:sz w:val="20"/>
          <w:szCs w:val="20"/>
          <w:lang w:val="en-US"/>
        </w:rPr>
        <w:t>______________________________________________________________________________</w:t>
      </w:r>
    </w:p>
    <w:p w14:paraId="4CE89113" w14:textId="77777777" w:rsidR="008D0CAD" w:rsidRPr="00CF6064" w:rsidRDefault="008D0CAD" w:rsidP="00EA6CB9">
      <w:pPr>
        <w:autoSpaceDE w:val="0"/>
        <w:autoSpaceDN w:val="0"/>
        <w:adjustRightInd w:val="0"/>
        <w:spacing w:before="100" w:beforeAutospacing="1" w:after="100" w:afterAutospacing="1" w:line="360" w:lineRule="auto"/>
        <w:ind w:left="720"/>
        <w:rPr>
          <w:rFonts w:asciiTheme="majorHAnsi" w:eastAsiaTheme="minorHAnsi" w:hAnsiTheme="majorHAnsi" w:cstheme="majorHAnsi"/>
          <w:color w:val="000000"/>
          <w:sz w:val="20"/>
          <w:szCs w:val="20"/>
          <w:lang w:val="en-US"/>
        </w:rPr>
      </w:pPr>
      <w:r w:rsidRPr="00CF6064">
        <w:rPr>
          <w:rFonts w:asciiTheme="majorHAnsi" w:eastAsiaTheme="minorHAnsi" w:hAnsiTheme="majorHAnsi" w:cstheme="majorHAnsi"/>
          <w:color w:val="000000"/>
          <w:sz w:val="20"/>
          <w:szCs w:val="20"/>
          <w:lang w:val="en-US"/>
        </w:rPr>
        <w:t>Add sheets if necessary.</w:t>
      </w:r>
    </w:p>
    <w:p w14:paraId="2B8E6C67" w14:textId="705E3804" w:rsidR="008D0CAD" w:rsidRDefault="008D0CAD" w:rsidP="00EA6CB9">
      <w:pPr>
        <w:spacing w:before="100" w:beforeAutospacing="1" w:after="100" w:afterAutospacing="1" w:line="360" w:lineRule="auto"/>
        <w:rPr>
          <w:rFonts w:asciiTheme="majorHAnsi" w:hAnsiTheme="majorHAnsi" w:cstheme="majorHAnsi"/>
        </w:rPr>
      </w:pPr>
      <w:r w:rsidRPr="00CF6064">
        <w:rPr>
          <w:rFonts w:asciiTheme="majorHAnsi" w:hAnsiTheme="majorHAnsi" w:cstheme="majorHAnsi"/>
          <w:b/>
          <w:sz w:val="20"/>
          <w:szCs w:val="20"/>
          <w:lang w:val="en-US"/>
        </w:rPr>
        <w:t>Thank you very much.</w:t>
      </w:r>
    </w:p>
    <w:p w14:paraId="13CA6CC7" w14:textId="77777777" w:rsidR="008D0CAD" w:rsidRDefault="008D0CAD" w:rsidP="002320B3">
      <w:pPr>
        <w:rPr>
          <w:rFonts w:asciiTheme="majorHAnsi" w:hAnsiTheme="majorHAnsi" w:cstheme="majorHAnsi"/>
        </w:rPr>
      </w:pPr>
    </w:p>
    <w:p w14:paraId="3F3CB0FB" w14:textId="77777777" w:rsidR="008D0CAD" w:rsidRDefault="008D0CAD" w:rsidP="002320B3">
      <w:pPr>
        <w:rPr>
          <w:rFonts w:asciiTheme="majorHAnsi" w:hAnsiTheme="majorHAnsi" w:cstheme="majorHAnsi"/>
        </w:rPr>
        <w:sectPr w:rsidR="008D0CAD" w:rsidSect="009C64E9">
          <w:pgSz w:w="11900" w:h="16840"/>
          <w:pgMar w:top="1440" w:right="1440" w:bottom="1440" w:left="1440" w:header="720" w:footer="720" w:gutter="0"/>
          <w:cols w:space="720"/>
          <w:docGrid w:linePitch="360"/>
        </w:sectPr>
      </w:pPr>
    </w:p>
    <w:p w14:paraId="3CB1D93A" w14:textId="77777777" w:rsidR="008D0CAD" w:rsidRPr="00CF6064" w:rsidRDefault="008D0CAD" w:rsidP="00EA6CB9">
      <w:pPr>
        <w:pStyle w:val="Heading2"/>
        <w:numPr>
          <w:ilvl w:val="0"/>
          <w:numId w:val="0"/>
        </w:numPr>
        <w:spacing w:before="100" w:beforeAutospacing="1" w:after="100" w:afterAutospacing="1" w:line="360" w:lineRule="auto"/>
        <w:ind w:left="1288" w:hanging="720"/>
      </w:pPr>
      <w:bookmarkStart w:id="306" w:name="_Toc39938387"/>
      <w:bookmarkStart w:id="307" w:name="_Toc69820492"/>
      <w:r w:rsidRPr="00CF6064">
        <w:t>Annex O. 2020 FGD GUIDE QUESTIONS</w:t>
      </w:r>
      <w:bookmarkEnd w:id="306"/>
      <w:bookmarkEnd w:id="307"/>
    </w:p>
    <w:p w14:paraId="7DE1BBA3" w14:textId="77777777" w:rsidR="008D0CAD" w:rsidRPr="00CF6064" w:rsidRDefault="008D0CAD" w:rsidP="00EA6CB9">
      <w:pPr>
        <w:pStyle w:val="Heading3"/>
        <w:spacing w:before="100" w:beforeAutospacing="1" w:after="100" w:afterAutospacing="1" w:line="360" w:lineRule="auto"/>
        <w:rPr>
          <w:lang w:val="en-US"/>
        </w:rPr>
      </w:pPr>
      <w:bookmarkStart w:id="308" w:name="_Toc39938388"/>
      <w:bookmarkStart w:id="309" w:name="_Toc69820493"/>
      <w:r w:rsidRPr="00CF6064">
        <w:rPr>
          <w:lang w:val="en-US"/>
        </w:rPr>
        <w:t>Annex O-1: 2020 Guide Questions for Principals/School Heads (PSHs)</w:t>
      </w:r>
      <w:bookmarkEnd w:id="308"/>
      <w:bookmarkEnd w:id="309"/>
    </w:p>
    <w:tbl>
      <w:tblPr>
        <w:tblStyle w:val="TableGrid11"/>
        <w:tblW w:w="0" w:type="auto"/>
        <w:tblLook w:val="04A0" w:firstRow="1" w:lastRow="0" w:firstColumn="1" w:lastColumn="0" w:noHBand="0" w:noVBand="1"/>
      </w:tblPr>
      <w:tblGrid>
        <w:gridCol w:w="1817"/>
        <w:gridCol w:w="10766"/>
        <w:gridCol w:w="2085"/>
      </w:tblGrid>
      <w:tr w:rsidR="008D0CAD" w:rsidRPr="00CF6064" w14:paraId="6D6E72FB" w14:textId="77777777" w:rsidTr="001A175A">
        <w:trPr>
          <w:tblHeader/>
        </w:trPr>
        <w:tc>
          <w:tcPr>
            <w:tcW w:w="1838" w:type="dxa"/>
          </w:tcPr>
          <w:p w14:paraId="57E849C2"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1198" w:type="dxa"/>
          </w:tcPr>
          <w:p w14:paraId="056286E6"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r w:rsidRPr="00CF6064">
              <w:rPr>
                <w:rFonts w:asciiTheme="majorHAnsi" w:hAnsiTheme="majorHAnsi" w:cstheme="majorHAnsi"/>
                <w:b/>
                <w:sz w:val="20"/>
                <w:szCs w:val="20"/>
                <w:lang w:val="en-US"/>
              </w:rPr>
              <w:t>Interview Questions</w:t>
            </w:r>
          </w:p>
        </w:tc>
        <w:tc>
          <w:tcPr>
            <w:tcW w:w="2127" w:type="dxa"/>
          </w:tcPr>
          <w:p w14:paraId="2FDDDCDA"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r w:rsidRPr="00CF6064">
              <w:rPr>
                <w:rFonts w:asciiTheme="majorHAnsi" w:hAnsiTheme="majorHAnsi" w:cstheme="majorHAnsi"/>
                <w:b/>
                <w:sz w:val="20"/>
                <w:szCs w:val="20"/>
                <w:lang w:val="en-US"/>
              </w:rPr>
              <w:t>Reference to Survey Questionnaire</w:t>
            </w:r>
          </w:p>
        </w:tc>
      </w:tr>
      <w:tr w:rsidR="008D0CAD" w:rsidRPr="00CF6064" w14:paraId="06B350E4" w14:textId="77777777" w:rsidTr="00EC48C1">
        <w:tc>
          <w:tcPr>
            <w:tcW w:w="1838" w:type="dxa"/>
          </w:tcPr>
          <w:p w14:paraId="413DF494" w14:textId="77777777" w:rsidR="008D0CAD" w:rsidRPr="006E4B2C" w:rsidRDefault="008D0CAD" w:rsidP="00DD08E3">
            <w:pPr>
              <w:numPr>
                <w:ilvl w:val="0"/>
                <w:numId w:val="115"/>
              </w:numPr>
              <w:autoSpaceDE w:val="0"/>
              <w:autoSpaceDN w:val="0"/>
              <w:adjustRightInd w:val="0"/>
              <w:spacing w:before="100" w:beforeAutospacing="1" w:after="100" w:afterAutospacing="1" w:line="360" w:lineRule="auto"/>
              <w:rPr>
                <w:rFonts w:asciiTheme="majorHAnsi" w:eastAsiaTheme="minorHAnsi" w:hAnsiTheme="majorHAnsi" w:cstheme="majorHAnsi"/>
                <w:b/>
                <w:bCs/>
                <w:color w:val="000000" w:themeColor="text1"/>
                <w:sz w:val="20"/>
                <w:szCs w:val="20"/>
                <w:lang w:val="en-US"/>
              </w:rPr>
            </w:pPr>
            <w:r w:rsidRPr="0013772C">
              <w:rPr>
                <w:rFonts w:asciiTheme="majorHAnsi" w:eastAsiaTheme="minorHAnsi" w:hAnsiTheme="majorHAnsi" w:cstheme="majorHAnsi"/>
                <w:b/>
                <w:bCs/>
                <w:color w:val="000000" w:themeColor="text1"/>
                <w:sz w:val="20"/>
                <w:szCs w:val="20"/>
                <w:lang w:val="en-US"/>
              </w:rPr>
              <w:t>General Questions</w:t>
            </w:r>
          </w:p>
          <w:p w14:paraId="00DCB31A" w14:textId="77777777" w:rsidR="008D0CAD" w:rsidRPr="006E4B2C"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b/>
                <w:bCs/>
                <w:color w:val="000000" w:themeColor="text1"/>
                <w:sz w:val="20"/>
                <w:szCs w:val="20"/>
                <w:lang w:val="en-US"/>
              </w:rPr>
            </w:pPr>
          </w:p>
        </w:tc>
        <w:tc>
          <w:tcPr>
            <w:tcW w:w="11198" w:type="dxa"/>
          </w:tcPr>
          <w:p w14:paraId="2DCF9E0D" w14:textId="77777777" w:rsidR="008D0CAD" w:rsidRPr="00CF6064" w:rsidRDefault="008D0CAD" w:rsidP="00DD08E3">
            <w:pPr>
              <w:numPr>
                <w:ilvl w:val="0"/>
                <w:numId w:val="116"/>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GB"/>
              </w:rPr>
            </w:pPr>
            <w:r w:rsidRPr="00CF6064">
              <w:rPr>
                <w:rFonts w:asciiTheme="majorHAnsi" w:hAnsiTheme="majorHAnsi" w:cstheme="majorHAnsi"/>
                <w:snapToGrid w:val="0"/>
                <w:color w:val="000000" w:themeColor="text1"/>
                <w:sz w:val="20"/>
                <w:szCs w:val="20"/>
                <w:lang w:val="en-US"/>
              </w:rPr>
              <w:t>Of all the basic education reforms introduced by DepEd in the last 6 six years, which among these had the most significant impact to you in terms of improving:</w:t>
            </w:r>
          </w:p>
          <w:p w14:paraId="10EF15A5" w14:textId="77777777" w:rsidR="008D0CAD" w:rsidRPr="00CF6064" w:rsidRDefault="008D0CAD" w:rsidP="00DD08E3">
            <w:pPr>
              <w:numPr>
                <w:ilvl w:val="1"/>
                <w:numId w:val="118"/>
              </w:numPr>
              <w:spacing w:before="100" w:beforeAutospacing="1" w:after="100" w:afterAutospacing="1" w:line="360" w:lineRule="auto"/>
              <w:ind w:left="914" w:hanging="567"/>
              <w:contextualSpacing/>
              <w:rPr>
                <w:rFonts w:asciiTheme="majorHAnsi" w:hAnsiTheme="majorHAnsi" w:cstheme="majorHAnsi"/>
                <w:snapToGrid w:val="0"/>
                <w:color w:val="000000" w:themeColor="text1"/>
                <w:sz w:val="20"/>
                <w:szCs w:val="20"/>
                <w:lang w:val="en-GB"/>
              </w:rPr>
            </w:pPr>
            <w:r w:rsidRPr="00CF6064">
              <w:rPr>
                <w:rFonts w:asciiTheme="majorHAnsi" w:hAnsiTheme="majorHAnsi" w:cstheme="majorHAnsi"/>
                <w:snapToGrid w:val="0"/>
                <w:color w:val="000000" w:themeColor="text1"/>
                <w:sz w:val="20"/>
                <w:szCs w:val="20"/>
                <w:lang w:val="en-US"/>
              </w:rPr>
              <w:t>School leadership and management in your school? Why?</w:t>
            </w:r>
          </w:p>
          <w:p w14:paraId="3F1E0D68" w14:textId="77777777" w:rsidR="008D0CAD" w:rsidRPr="00CF6064" w:rsidRDefault="008D0CAD" w:rsidP="00DD08E3">
            <w:pPr>
              <w:numPr>
                <w:ilvl w:val="1"/>
                <w:numId w:val="118"/>
              </w:numPr>
              <w:spacing w:before="100" w:beforeAutospacing="1" w:after="100" w:afterAutospacing="1" w:line="360" w:lineRule="auto"/>
              <w:ind w:left="914" w:hanging="567"/>
              <w:contextualSpacing/>
              <w:rPr>
                <w:rFonts w:asciiTheme="majorHAnsi" w:hAnsiTheme="majorHAnsi" w:cstheme="majorHAnsi"/>
                <w:snapToGrid w:val="0"/>
                <w:color w:val="000000" w:themeColor="text1"/>
                <w:sz w:val="20"/>
                <w:szCs w:val="20"/>
                <w:lang w:val="en-GB"/>
              </w:rPr>
            </w:pPr>
            <w:r w:rsidRPr="00CF6064">
              <w:rPr>
                <w:rFonts w:asciiTheme="majorHAnsi" w:hAnsiTheme="majorHAnsi" w:cstheme="majorHAnsi"/>
                <w:snapToGrid w:val="0"/>
                <w:color w:val="000000" w:themeColor="text1"/>
                <w:sz w:val="20"/>
                <w:szCs w:val="20"/>
                <w:lang w:val="en-US"/>
              </w:rPr>
              <w:t>Teaching delivery in your school? Why?</w:t>
            </w:r>
          </w:p>
          <w:p w14:paraId="7EF52249" w14:textId="77777777" w:rsidR="008D0CAD" w:rsidRPr="00CF6064" w:rsidRDefault="008D0CAD" w:rsidP="00DD08E3">
            <w:pPr>
              <w:numPr>
                <w:ilvl w:val="1"/>
                <w:numId w:val="118"/>
              </w:numPr>
              <w:spacing w:before="100" w:beforeAutospacing="1" w:after="100" w:afterAutospacing="1" w:line="360" w:lineRule="auto"/>
              <w:ind w:left="914" w:hanging="567"/>
              <w:contextualSpacing/>
              <w:rPr>
                <w:rFonts w:asciiTheme="majorHAnsi" w:hAnsiTheme="majorHAnsi" w:cstheme="majorHAnsi"/>
                <w:snapToGrid w:val="0"/>
                <w:color w:val="000000" w:themeColor="text1"/>
                <w:sz w:val="20"/>
                <w:szCs w:val="20"/>
                <w:lang w:val="en-GB"/>
              </w:rPr>
            </w:pPr>
            <w:r w:rsidRPr="00CF6064">
              <w:rPr>
                <w:rFonts w:asciiTheme="majorHAnsi" w:hAnsiTheme="majorHAnsi" w:cstheme="majorHAnsi"/>
                <w:snapToGrid w:val="0"/>
                <w:color w:val="000000" w:themeColor="text1"/>
                <w:sz w:val="20"/>
                <w:szCs w:val="20"/>
                <w:lang w:val="en-US"/>
              </w:rPr>
              <w:t>Decentralisation of management and accountability of basic education? Why?</w:t>
            </w:r>
          </w:p>
        </w:tc>
        <w:tc>
          <w:tcPr>
            <w:tcW w:w="2127" w:type="dxa"/>
          </w:tcPr>
          <w:p w14:paraId="1D314867"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p>
        </w:tc>
      </w:tr>
      <w:tr w:rsidR="008D0CAD" w:rsidRPr="00CF6064" w14:paraId="5BA474F7" w14:textId="77777777" w:rsidTr="00EC48C1">
        <w:tc>
          <w:tcPr>
            <w:tcW w:w="1838" w:type="dxa"/>
          </w:tcPr>
          <w:p w14:paraId="2832FA85" w14:textId="77777777" w:rsidR="008D0CAD" w:rsidRPr="006E4B2C"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1198" w:type="dxa"/>
          </w:tcPr>
          <w:p w14:paraId="46C182ED" w14:textId="77777777" w:rsidR="008D0CAD" w:rsidRPr="00CF6064" w:rsidRDefault="008D0CAD" w:rsidP="00DD08E3">
            <w:pPr>
              <w:numPr>
                <w:ilvl w:val="0"/>
                <w:numId w:val="116"/>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 xml:space="preserve">What is your understanding of </w:t>
            </w:r>
            <w:r w:rsidRPr="00CF6064">
              <w:rPr>
                <w:rFonts w:asciiTheme="majorHAnsi" w:hAnsiTheme="majorHAnsi" w:cstheme="majorHAnsi"/>
                <w:b/>
                <w:bCs/>
                <w:snapToGrid w:val="0"/>
                <w:color w:val="000000" w:themeColor="text1"/>
                <w:sz w:val="20"/>
                <w:szCs w:val="20"/>
                <w:lang w:val="en-US"/>
              </w:rPr>
              <w:t xml:space="preserve">decentralised management and accountability </w:t>
            </w:r>
            <w:r w:rsidRPr="00CF6064">
              <w:rPr>
                <w:rFonts w:asciiTheme="majorHAnsi" w:hAnsiTheme="majorHAnsi" w:cstheme="majorHAnsi"/>
                <w:snapToGrid w:val="0"/>
                <w:color w:val="000000" w:themeColor="text1"/>
                <w:sz w:val="20"/>
                <w:szCs w:val="20"/>
                <w:lang w:val="en-US"/>
              </w:rPr>
              <w:t xml:space="preserve">in schools? </w:t>
            </w:r>
          </w:p>
          <w:p w14:paraId="08C8AA4C" w14:textId="77777777" w:rsidR="008D0CAD" w:rsidRPr="00CF6064" w:rsidRDefault="008D0CAD" w:rsidP="00DD08E3">
            <w:pPr>
              <w:numPr>
                <w:ilvl w:val="1"/>
                <w:numId w:val="122"/>
              </w:numPr>
              <w:spacing w:before="100" w:beforeAutospacing="1" w:after="100" w:afterAutospacing="1" w:line="360" w:lineRule="auto"/>
              <w:ind w:left="891" w:hanging="567"/>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How is decentralized management and accountability implemented in your school?</w:t>
            </w:r>
          </w:p>
          <w:p w14:paraId="1539E42D" w14:textId="77777777" w:rsidR="008D0CAD" w:rsidRPr="00CF6064" w:rsidRDefault="008D0CAD" w:rsidP="00DD08E3">
            <w:pPr>
              <w:numPr>
                <w:ilvl w:val="1"/>
                <w:numId w:val="122"/>
              </w:numPr>
              <w:spacing w:before="100" w:beforeAutospacing="1" w:after="100" w:afterAutospacing="1" w:line="360" w:lineRule="auto"/>
              <w:ind w:left="891" w:hanging="567"/>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How has the implementation of decentralised management and accountability influenced your leadership and management practices?</w:t>
            </w:r>
          </w:p>
        </w:tc>
        <w:tc>
          <w:tcPr>
            <w:tcW w:w="2127" w:type="dxa"/>
          </w:tcPr>
          <w:p w14:paraId="68F35F86"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r w:rsidRPr="00CF6064">
              <w:rPr>
                <w:rFonts w:asciiTheme="majorHAnsi" w:hAnsiTheme="majorHAnsi" w:cstheme="majorHAnsi"/>
                <w:bCs/>
                <w:color w:val="000000" w:themeColor="text1"/>
                <w:sz w:val="20"/>
                <w:szCs w:val="20"/>
                <w:lang w:val="en-US"/>
              </w:rPr>
              <w:t xml:space="preserve"> </w:t>
            </w:r>
          </w:p>
        </w:tc>
      </w:tr>
      <w:tr w:rsidR="008D0CAD" w:rsidRPr="00CF6064" w14:paraId="586F5A93" w14:textId="77777777" w:rsidTr="00EC48C1">
        <w:tc>
          <w:tcPr>
            <w:tcW w:w="1838" w:type="dxa"/>
          </w:tcPr>
          <w:p w14:paraId="4F28070A" w14:textId="77777777" w:rsidR="008D0CAD" w:rsidRPr="006E4B2C" w:rsidRDefault="008D0CAD" w:rsidP="00DD08E3">
            <w:pPr>
              <w:numPr>
                <w:ilvl w:val="0"/>
                <w:numId w:val="115"/>
              </w:numPr>
              <w:autoSpaceDE w:val="0"/>
              <w:autoSpaceDN w:val="0"/>
              <w:adjustRightInd w:val="0"/>
              <w:spacing w:before="100" w:beforeAutospacing="1" w:after="100" w:afterAutospacing="1" w:line="360" w:lineRule="auto"/>
              <w:rPr>
                <w:rFonts w:asciiTheme="majorHAnsi" w:eastAsiaTheme="minorHAnsi" w:hAnsiTheme="majorHAnsi" w:cstheme="majorHAnsi"/>
                <w:b/>
                <w:bCs/>
                <w:color w:val="000000" w:themeColor="text1"/>
                <w:sz w:val="20"/>
                <w:szCs w:val="20"/>
                <w:lang w:val="en-US"/>
              </w:rPr>
            </w:pPr>
            <w:r w:rsidRPr="0013772C">
              <w:rPr>
                <w:rFonts w:asciiTheme="majorHAnsi" w:eastAsiaTheme="minorHAnsi" w:hAnsiTheme="majorHAnsi" w:cstheme="majorHAnsi"/>
                <w:b/>
                <w:color w:val="000000"/>
                <w:sz w:val="20"/>
                <w:szCs w:val="20"/>
                <w:lang w:val="en-US"/>
              </w:rPr>
              <w:t>Basic Education Reforms</w:t>
            </w:r>
          </w:p>
          <w:p w14:paraId="4DA2E645" w14:textId="77777777" w:rsidR="008D0CAD" w:rsidRPr="006E4B2C"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1198" w:type="dxa"/>
          </w:tcPr>
          <w:p w14:paraId="7D68C486" w14:textId="77777777" w:rsidR="008D0CAD" w:rsidRPr="00CF6064" w:rsidRDefault="008D0CAD" w:rsidP="00EA6CB9">
            <w:pPr>
              <w:spacing w:before="100" w:beforeAutospacing="1" w:after="100" w:afterAutospacing="1" w:line="360" w:lineRule="auto"/>
              <w:rPr>
                <w:rFonts w:asciiTheme="majorHAnsi" w:hAnsiTheme="majorHAnsi" w:cstheme="majorHAnsi"/>
                <w:b/>
                <w:bCs/>
                <w:color w:val="0070C0"/>
                <w:sz w:val="20"/>
                <w:szCs w:val="20"/>
                <w:lang w:val="en-US"/>
              </w:rPr>
            </w:pPr>
            <w:r w:rsidRPr="00CF6064">
              <w:rPr>
                <w:rFonts w:asciiTheme="majorHAnsi" w:hAnsiTheme="majorHAnsi" w:cstheme="majorHAnsi"/>
                <w:b/>
                <w:bCs/>
                <w:color w:val="0070C0"/>
                <w:sz w:val="20"/>
                <w:szCs w:val="20"/>
                <w:lang w:val="en-US"/>
              </w:rPr>
              <w:t xml:space="preserve">Learning &amp; Development (L&amp;D) System </w:t>
            </w:r>
          </w:p>
          <w:p w14:paraId="37483241" w14:textId="77777777" w:rsidR="008D0CAD" w:rsidRPr="00CF6064" w:rsidRDefault="008D0CAD" w:rsidP="00EA6CB9">
            <w:pPr>
              <w:spacing w:before="100" w:beforeAutospacing="1" w:after="100" w:afterAutospacing="1" w:line="360" w:lineRule="auto"/>
              <w:rPr>
                <w:rFonts w:asciiTheme="majorHAnsi" w:hAnsiTheme="majorHAnsi" w:cstheme="majorHAnsi"/>
                <w:b/>
                <w:bCs/>
                <w:color w:val="000000" w:themeColor="text1"/>
                <w:sz w:val="20"/>
                <w:szCs w:val="20"/>
                <w:lang w:val="en-US"/>
              </w:rPr>
            </w:pPr>
            <w:r w:rsidRPr="00CF6064">
              <w:rPr>
                <w:rFonts w:asciiTheme="majorHAnsi" w:hAnsiTheme="majorHAnsi" w:cstheme="majorHAnsi"/>
                <w:b/>
                <w:bCs/>
                <w:color w:val="000000" w:themeColor="text1"/>
                <w:sz w:val="20"/>
                <w:szCs w:val="20"/>
                <w:lang w:val="en-US"/>
              </w:rPr>
              <w:t>L&amp;D Knowledge/Awareness</w:t>
            </w:r>
          </w:p>
          <w:p w14:paraId="67BCBEE7" w14:textId="77777777" w:rsidR="008D0CAD" w:rsidRPr="00CF6064" w:rsidRDefault="008D0CAD" w:rsidP="00DD08E3">
            <w:pPr>
              <w:numPr>
                <w:ilvl w:val="0"/>
                <w:numId w:val="116"/>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What is your understanding of the Learning &amp; Development (L&amp;D) System?</w:t>
            </w:r>
          </w:p>
          <w:p w14:paraId="4EF49535" w14:textId="77777777" w:rsidR="008D0CAD" w:rsidRPr="00CF6064" w:rsidRDefault="008D0CAD" w:rsidP="00DD08E3">
            <w:pPr>
              <w:numPr>
                <w:ilvl w:val="1"/>
                <w:numId w:val="123"/>
              </w:numPr>
              <w:spacing w:before="100" w:beforeAutospacing="1" w:after="100" w:afterAutospacing="1" w:line="360" w:lineRule="auto"/>
              <w:ind w:left="891" w:hanging="567"/>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 xml:space="preserve">How is the </w:t>
            </w:r>
            <w:r w:rsidRPr="00CF6064">
              <w:rPr>
                <w:rFonts w:asciiTheme="majorHAnsi" w:hAnsiTheme="majorHAnsi" w:cstheme="majorHAnsi"/>
                <w:bCs/>
                <w:snapToGrid w:val="0"/>
                <w:color w:val="000000" w:themeColor="text1"/>
                <w:sz w:val="20"/>
                <w:szCs w:val="20"/>
                <w:lang w:val="en-US"/>
              </w:rPr>
              <w:t>L&amp;D</w:t>
            </w:r>
            <w:r w:rsidRPr="00CF6064">
              <w:rPr>
                <w:rFonts w:asciiTheme="majorHAnsi" w:hAnsiTheme="majorHAnsi" w:cstheme="majorHAnsi"/>
                <w:b/>
                <w:snapToGrid w:val="0"/>
                <w:color w:val="000000" w:themeColor="text1"/>
                <w:sz w:val="20"/>
                <w:szCs w:val="20"/>
                <w:lang w:val="en-US"/>
              </w:rPr>
              <w:t xml:space="preserve"> </w:t>
            </w:r>
            <w:r w:rsidRPr="00CF6064">
              <w:rPr>
                <w:rFonts w:asciiTheme="majorHAnsi" w:hAnsiTheme="majorHAnsi" w:cstheme="majorHAnsi"/>
                <w:snapToGrid w:val="0"/>
                <w:color w:val="000000" w:themeColor="text1"/>
                <w:sz w:val="20"/>
                <w:szCs w:val="20"/>
                <w:lang w:val="en-US"/>
              </w:rPr>
              <w:t>System different from its predecessor, the Training and Development (T&amp;D) System?</w:t>
            </w:r>
          </w:p>
          <w:p w14:paraId="180D04AC" w14:textId="77777777" w:rsidR="008D0CAD" w:rsidRPr="00CF6064" w:rsidRDefault="008D0CAD" w:rsidP="00DD08E3">
            <w:pPr>
              <w:numPr>
                <w:ilvl w:val="1"/>
                <w:numId w:val="123"/>
              </w:numPr>
              <w:spacing w:before="100" w:beforeAutospacing="1" w:after="100" w:afterAutospacing="1" w:line="360" w:lineRule="auto"/>
              <w:ind w:left="891" w:hanging="567"/>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How is the Learning Management Systems (LMS) linked to L&amp;D?</w:t>
            </w:r>
          </w:p>
          <w:p w14:paraId="4678FBF9" w14:textId="77777777" w:rsidR="008D0CAD" w:rsidRPr="00CF6064" w:rsidRDefault="008D0CAD" w:rsidP="00DD08E3">
            <w:pPr>
              <w:numPr>
                <w:ilvl w:val="1"/>
                <w:numId w:val="123"/>
              </w:numPr>
              <w:spacing w:before="100" w:beforeAutospacing="1" w:after="100" w:afterAutospacing="1" w:line="360" w:lineRule="auto"/>
              <w:ind w:left="891" w:hanging="567"/>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 xml:space="preserve">What are the different LMS methods promoted under L&amp;D? </w:t>
            </w:r>
          </w:p>
        </w:tc>
        <w:tc>
          <w:tcPr>
            <w:tcW w:w="2127" w:type="dxa"/>
          </w:tcPr>
          <w:p w14:paraId="2A674FDB"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r w:rsidRPr="00CF6064">
              <w:rPr>
                <w:rFonts w:asciiTheme="majorHAnsi" w:hAnsiTheme="majorHAnsi" w:cstheme="majorHAnsi"/>
                <w:bCs/>
                <w:color w:val="000000" w:themeColor="text1"/>
                <w:sz w:val="20"/>
                <w:szCs w:val="20"/>
                <w:lang w:val="en-US"/>
              </w:rPr>
              <w:t>Refer to answer to Question No. 3</w:t>
            </w:r>
          </w:p>
        </w:tc>
      </w:tr>
      <w:tr w:rsidR="008D0CAD" w:rsidRPr="00CF6064" w14:paraId="7F27F7C4" w14:textId="77777777" w:rsidTr="00EC48C1">
        <w:tc>
          <w:tcPr>
            <w:tcW w:w="1838" w:type="dxa"/>
          </w:tcPr>
          <w:p w14:paraId="42F2A753"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1198" w:type="dxa"/>
          </w:tcPr>
          <w:p w14:paraId="7209E089" w14:textId="77777777" w:rsidR="008D0CAD" w:rsidRPr="00CF6064" w:rsidRDefault="008D0CAD" w:rsidP="00EA6CB9">
            <w:pPr>
              <w:spacing w:before="100" w:beforeAutospacing="1" w:after="100" w:afterAutospacing="1" w:line="360" w:lineRule="auto"/>
              <w:rPr>
                <w:rFonts w:asciiTheme="majorHAnsi" w:hAnsiTheme="majorHAnsi" w:cstheme="majorHAnsi"/>
                <w:b/>
                <w:bCs/>
                <w:color w:val="000000" w:themeColor="text1"/>
                <w:sz w:val="20"/>
                <w:szCs w:val="20"/>
                <w:lang w:val="en-US"/>
              </w:rPr>
            </w:pPr>
            <w:r w:rsidRPr="00CF6064">
              <w:rPr>
                <w:rFonts w:asciiTheme="majorHAnsi" w:hAnsiTheme="majorHAnsi" w:cstheme="majorHAnsi"/>
                <w:b/>
                <w:bCs/>
                <w:color w:val="000000" w:themeColor="text1"/>
                <w:sz w:val="20"/>
                <w:szCs w:val="20"/>
                <w:lang w:val="en-US"/>
              </w:rPr>
              <w:t>L&amp;D Practices</w:t>
            </w:r>
          </w:p>
          <w:p w14:paraId="7FF7C93F" w14:textId="77777777" w:rsidR="008D0CAD" w:rsidRPr="00CF6064" w:rsidRDefault="008D0CAD" w:rsidP="00DD08E3">
            <w:pPr>
              <w:numPr>
                <w:ilvl w:val="0"/>
                <w:numId w:val="123"/>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How was [Learning &amp; Development (L&amp;D) System]</w:t>
            </w:r>
            <w:r w:rsidRPr="00CF6064">
              <w:rPr>
                <w:rFonts w:asciiTheme="majorHAnsi" w:hAnsiTheme="majorHAnsi" w:cstheme="majorHAnsi"/>
                <w:b/>
                <w:bCs/>
                <w:snapToGrid w:val="0"/>
                <w:color w:val="000000" w:themeColor="text1"/>
                <w:sz w:val="20"/>
                <w:szCs w:val="20"/>
                <w:lang w:val="en-US"/>
              </w:rPr>
              <w:t xml:space="preserve"> </w:t>
            </w:r>
            <w:r w:rsidRPr="00CF6064">
              <w:rPr>
                <w:rFonts w:asciiTheme="majorHAnsi" w:hAnsiTheme="majorHAnsi" w:cstheme="majorHAnsi"/>
                <w:snapToGrid w:val="0"/>
                <w:color w:val="000000" w:themeColor="text1"/>
                <w:sz w:val="20"/>
                <w:szCs w:val="20"/>
                <w:lang w:val="en-US"/>
              </w:rPr>
              <w:t>implemented in your school?</w:t>
            </w:r>
          </w:p>
          <w:p w14:paraId="5FF0823A" w14:textId="77777777" w:rsidR="008D0CAD" w:rsidRPr="00CF6064" w:rsidRDefault="008D0CAD" w:rsidP="00DD08E3">
            <w:pPr>
              <w:numPr>
                <w:ilvl w:val="1"/>
                <w:numId w:val="123"/>
              </w:numPr>
              <w:spacing w:before="100" w:beforeAutospacing="1" w:after="100" w:afterAutospacing="1" w:line="360" w:lineRule="auto"/>
              <w:ind w:left="891" w:hanging="567"/>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As Principal/School Head, how did you supervise and support the implementation of L&amp;D in your school?</w:t>
            </w:r>
          </w:p>
          <w:p w14:paraId="28C0CD27" w14:textId="77777777" w:rsidR="008D0CAD" w:rsidRPr="00CF6064" w:rsidRDefault="008D0CAD" w:rsidP="00DD08E3">
            <w:pPr>
              <w:numPr>
                <w:ilvl w:val="1"/>
                <w:numId w:val="123"/>
              </w:numPr>
              <w:spacing w:before="100" w:beforeAutospacing="1" w:after="100" w:afterAutospacing="1" w:line="360" w:lineRule="auto"/>
              <w:ind w:left="891" w:hanging="567"/>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As Principal/School Head, how do you supervise and support the implementation of the different Learning Management System (LMS) activities in your school namely the:</w:t>
            </w:r>
          </w:p>
          <w:p w14:paraId="078B2218" w14:textId="77777777" w:rsidR="008D0CAD" w:rsidRPr="00CF6064" w:rsidRDefault="008D0CAD" w:rsidP="00DD08E3">
            <w:pPr>
              <w:numPr>
                <w:ilvl w:val="1"/>
                <w:numId w:val="125"/>
              </w:numPr>
              <w:spacing w:before="100" w:beforeAutospacing="1" w:after="100" w:afterAutospacing="1" w:line="360" w:lineRule="auto"/>
              <w:ind w:left="1317" w:hanging="426"/>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Learning Action Cell (LAC)?</w:t>
            </w:r>
          </w:p>
          <w:p w14:paraId="7FA7ACC9" w14:textId="77777777" w:rsidR="008D0CAD" w:rsidRPr="00CF6064" w:rsidRDefault="008D0CAD" w:rsidP="00DD08E3">
            <w:pPr>
              <w:numPr>
                <w:ilvl w:val="1"/>
                <w:numId w:val="125"/>
              </w:numPr>
              <w:spacing w:before="100" w:beforeAutospacing="1" w:after="100" w:afterAutospacing="1" w:line="360" w:lineRule="auto"/>
              <w:ind w:left="1317" w:hanging="426"/>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Action Research?</w:t>
            </w:r>
          </w:p>
          <w:p w14:paraId="5E9C9274" w14:textId="77777777" w:rsidR="008D0CAD" w:rsidRPr="00CF6064" w:rsidRDefault="008D0CAD" w:rsidP="00DD08E3">
            <w:pPr>
              <w:numPr>
                <w:ilvl w:val="1"/>
                <w:numId w:val="125"/>
              </w:numPr>
              <w:spacing w:before="100" w:beforeAutospacing="1" w:after="100" w:afterAutospacing="1" w:line="360" w:lineRule="auto"/>
              <w:ind w:left="1317" w:hanging="426"/>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Job embedded learning?</w:t>
            </w:r>
          </w:p>
          <w:p w14:paraId="37AB5AA9" w14:textId="77777777" w:rsidR="008D0CAD" w:rsidRPr="00CF6064" w:rsidRDefault="008D0CAD" w:rsidP="00DD08E3">
            <w:pPr>
              <w:numPr>
                <w:ilvl w:val="1"/>
                <w:numId w:val="123"/>
              </w:numPr>
              <w:spacing w:before="100" w:beforeAutospacing="1" w:after="100" w:afterAutospacing="1" w:line="360" w:lineRule="auto"/>
              <w:ind w:left="891" w:hanging="567"/>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Why not?</w:t>
            </w:r>
          </w:p>
        </w:tc>
        <w:tc>
          <w:tcPr>
            <w:tcW w:w="2127" w:type="dxa"/>
          </w:tcPr>
          <w:p w14:paraId="43C1DC29"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p>
        </w:tc>
      </w:tr>
      <w:tr w:rsidR="008D0CAD" w:rsidRPr="00CF6064" w14:paraId="71384F7A" w14:textId="77777777" w:rsidTr="00EC48C1">
        <w:tc>
          <w:tcPr>
            <w:tcW w:w="1838" w:type="dxa"/>
          </w:tcPr>
          <w:p w14:paraId="3B592977"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1198" w:type="dxa"/>
          </w:tcPr>
          <w:p w14:paraId="66989F75" w14:textId="77777777" w:rsidR="008D0CAD" w:rsidRPr="00CF6064" w:rsidRDefault="008D0CAD" w:rsidP="00DD08E3">
            <w:pPr>
              <w:numPr>
                <w:ilvl w:val="0"/>
                <w:numId w:val="123"/>
              </w:numPr>
              <w:spacing w:before="100" w:beforeAutospacing="1" w:after="100" w:afterAutospacing="1" w:line="360" w:lineRule="auto"/>
              <w:contextualSpacing/>
              <w:rPr>
                <w:rFonts w:asciiTheme="majorHAnsi" w:hAnsiTheme="majorHAnsi" w:cstheme="majorHAnsi"/>
                <w:bCs/>
                <w:snapToGrid w:val="0"/>
                <w:color w:val="000000" w:themeColor="text1"/>
                <w:sz w:val="20"/>
                <w:szCs w:val="20"/>
                <w:lang w:val="en-US"/>
              </w:rPr>
            </w:pPr>
            <w:r w:rsidRPr="00CF6064">
              <w:rPr>
                <w:rFonts w:asciiTheme="majorHAnsi" w:hAnsiTheme="majorHAnsi" w:cstheme="majorHAnsi"/>
                <w:bCs/>
                <w:snapToGrid w:val="0"/>
                <w:color w:val="000000" w:themeColor="text1"/>
                <w:sz w:val="20"/>
                <w:szCs w:val="20"/>
                <w:lang w:val="en-US"/>
              </w:rPr>
              <w:t>School Heads Leadership Development Program (SHLDP) Modules</w:t>
            </w:r>
          </w:p>
          <w:p w14:paraId="082A348F" w14:textId="77777777" w:rsidR="008D0CAD" w:rsidRPr="00CF6064" w:rsidRDefault="008D0CAD" w:rsidP="00DD08E3">
            <w:pPr>
              <w:numPr>
                <w:ilvl w:val="0"/>
                <w:numId w:val="117"/>
              </w:numPr>
              <w:spacing w:before="100" w:beforeAutospacing="1" w:after="100" w:afterAutospacing="1" w:line="360" w:lineRule="auto"/>
              <w:ind w:left="692" w:hanging="283"/>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If the respondent answered No, ask: Why have you not used the SHLDP?</w:t>
            </w:r>
          </w:p>
          <w:p w14:paraId="562EF863" w14:textId="77777777" w:rsidR="008D0CAD" w:rsidRPr="00CF6064" w:rsidRDefault="008D0CAD" w:rsidP="00DD08E3">
            <w:pPr>
              <w:numPr>
                <w:ilvl w:val="0"/>
                <w:numId w:val="117"/>
              </w:numPr>
              <w:spacing w:before="100" w:beforeAutospacing="1" w:after="100" w:afterAutospacing="1" w:line="360" w:lineRule="auto"/>
              <w:ind w:left="692" w:hanging="283"/>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 xml:space="preserve">If the respondent answered Yes, ask: how did these SHLDP modules help </w:t>
            </w:r>
            <w:r w:rsidRPr="00CF6064">
              <w:rPr>
                <w:rFonts w:asciiTheme="majorHAnsi" w:hAnsiTheme="majorHAnsi" w:cstheme="majorHAnsi"/>
                <w:snapToGrid w:val="0"/>
                <w:color w:val="000000" w:themeColor="text1"/>
                <w:sz w:val="20"/>
                <w:szCs w:val="20"/>
              </w:rPr>
              <w:t xml:space="preserve">improve </w:t>
            </w:r>
            <w:r w:rsidRPr="00CF6064">
              <w:rPr>
                <w:rFonts w:asciiTheme="majorHAnsi" w:hAnsiTheme="majorHAnsi" w:cstheme="majorHAnsi"/>
                <w:snapToGrid w:val="0"/>
                <w:color w:val="000000" w:themeColor="text1"/>
                <w:sz w:val="20"/>
                <w:szCs w:val="20"/>
                <w:lang w:val="en-US"/>
              </w:rPr>
              <w:t>your school leadership and management practices?</w:t>
            </w:r>
          </w:p>
        </w:tc>
        <w:tc>
          <w:tcPr>
            <w:tcW w:w="2127" w:type="dxa"/>
          </w:tcPr>
          <w:p w14:paraId="62FBCEC5"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r w:rsidRPr="00CF6064">
              <w:rPr>
                <w:rFonts w:asciiTheme="majorHAnsi" w:hAnsiTheme="majorHAnsi" w:cstheme="majorHAnsi"/>
                <w:bCs/>
                <w:color w:val="000000" w:themeColor="text1"/>
                <w:sz w:val="20"/>
                <w:szCs w:val="20"/>
                <w:lang w:val="en-US"/>
              </w:rPr>
              <w:t>Refer to answer to Question No. 7</w:t>
            </w:r>
          </w:p>
        </w:tc>
      </w:tr>
      <w:tr w:rsidR="008D0CAD" w:rsidRPr="00CF6064" w14:paraId="30943A6D" w14:textId="77777777" w:rsidTr="00EC48C1">
        <w:tc>
          <w:tcPr>
            <w:tcW w:w="1838" w:type="dxa"/>
          </w:tcPr>
          <w:p w14:paraId="184DFB73"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1198" w:type="dxa"/>
          </w:tcPr>
          <w:p w14:paraId="02B435A3" w14:textId="77777777" w:rsidR="008D0CAD" w:rsidRPr="00CF6064" w:rsidRDefault="008D0CAD" w:rsidP="00EA6CB9">
            <w:pPr>
              <w:spacing w:before="100" w:beforeAutospacing="1" w:after="100" w:afterAutospacing="1" w:line="360" w:lineRule="auto"/>
              <w:rPr>
                <w:rFonts w:asciiTheme="majorHAnsi" w:hAnsiTheme="majorHAnsi" w:cstheme="majorHAnsi"/>
                <w:b/>
                <w:bCs/>
                <w:color w:val="000000" w:themeColor="text1"/>
                <w:sz w:val="20"/>
                <w:szCs w:val="20"/>
                <w:lang w:val="en-US"/>
              </w:rPr>
            </w:pPr>
            <w:r w:rsidRPr="00CF6064">
              <w:rPr>
                <w:rFonts w:asciiTheme="majorHAnsi" w:hAnsiTheme="majorHAnsi" w:cstheme="majorHAnsi"/>
                <w:b/>
                <w:bCs/>
                <w:color w:val="000000" w:themeColor="text1"/>
                <w:sz w:val="20"/>
                <w:szCs w:val="20"/>
                <w:lang w:val="en-US"/>
              </w:rPr>
              <w:t>Innovations on L&amp;D implementation</w:t>
            </w:r>
          </w:p>
          <w:p w14:paraId="567A4CEF" w14:textId="77777777" w:rsidR="008D0CAD" w:rsidRPr="00CF6064" w:rsidRDefault="008D0CAD" w:rsidP="00DD08E3">
            <w:pPr>
              <w:numPr>
                <w:ilvl w:val="0"/>
                <w:numId w:val="123"/>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 xml:space="preserve">What innovations, if any, did your school adopt in terms of implementing the L&amp;D and the LMS? </w:t>
            </w:r>
          </w:p>
          <w:p w14:paraId="2CE658CD" w14:textId="77777777" w:rsidR="008D0CAD" w:rsidRPr="00CF6064" w:rsidRDefault="008D0CAD" w:rsidP="00DD08E3">
            <w:pPr>
              <w:numPr>
                <w:ilvl w:val="1"/>
                <w:numId w:val="123"/>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Why not?</w:t>
            </w:r>
          </w:p>
        </w:tc>
        <w:tc>
          <w:tcPr>
            <w:tcW w:w="2127" w:type="dxa"/>
          </w:tcPr>
          <w:p w14:paraId="1BE97123"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p>
          <w:p w14:paraId="65A61C30"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p>
        </w:tc>
      </w:tr>
      <w:tr w:rsidR="008D0CAD" w:rsidRPr="00CF6064" w14:paraId="5480BBAB" w14:textId="77777777" w:rsidTr="00EC48C1">
        <w:tc>
          <w:tcPr>
            <w:tcW w:w="1838" w:type="dxa"/>
          </w:tcPr>
          <w:p w14:paraId="41922B09"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1198" w:type="dxa"/>
          </w:tcPr>
          <w:p w14:paraId="1F89BE08" w14:textId="77777777" w:rsidR="008D0CAD" w:rsidRPr="00CF6064" w:rsidRDefault="008D0CAD" w:rsidP="00EA6CB9">
            <w:pPr>
              <w:spacing w:before="100" w:beforeAutospacing="1" w:after="100" w:afterAutospacing="1" w:line="360" w:lineRule="auto"/>
              <w:rPr>
                <w:rFonts w:asciiTheme="majorHAnsi" w:hAnsiTheme="majorHAnsi" w:cstheme="majorHAnsi"/>
                <w:b/>
                <w:bCs/>
                <w:color w:val="000000" w:themeColor="text1"/>
                <w:sz w:val="20"/>
                <w:szCs w:val="20"/>
                <w:lang w:val="en-US"/>
              </w:rPr>
            </w:pPr>
            <w:r w:rsidRPr="00CF6064">
              <w:rPr>
                <w:rFonts w:asciiTheme="majorHAnsi" w:hAnsiTheme="majorHAnsi" w:cstheme="majorHAnsi"/>
                <w:b/>
                <w:bCs/>
                <w:color w:val="000000" w:themeColor="text1"/>
                <w:sz w:val="20"/>
                <w:szCs w:val="20"/>
                <w:lang w:val="en-US"/>
              </w:rPr>
              <w:t xml:space="preserve">Effects of L&amp;D </w:t>
            </w:r>
          </w:p>
          <w:p w14:paraId="024BF082" w14:textId="77777777" w:rsidR="008D0CAD" w:rsidRPr="00CF6064" w:rsidRDefault="008D0CAD" w:rsidP="00DD08E3">
            <w:pPr>
              <w:numPr>
                <w:ilvl w:val="0"/>
                <w:numId w:val="123"/>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 xml:space="preserve">Overall, how did the implementation of the </w:t>
            </w:r>
            <w:r w:rsidRPr="00CF6064">
              <w:rPr>
                <w:rFonts w:asciiTheme="majorHAnsi" w:hAnsiTheme="majorHAnsi" w:cstheme="majorHAnsi"/>
                <w:b/>
                <w:bCs/>
                <w:snapToGrid w:val="0"/>
                <w:color w:val="000000" w:themeColor="text1"/>
                <w:sz w:val="20"/>
                <w:szCs w:val="20"/>
                <w:lang w:val="en-US"/>
              </w:rPr>
              <w:t>L&amp;D</w:t>
            </w:r>
            <w:r w:rsidRPr="00CF6064">
              <w:rPr>
                <w:rFonts w:asciiTheme="majorHAnsi" w:hAnsiTheme="majorHAnsi" w:cstheme="majorHAnsi"/>
                <w:b/>
                <w:snapToGrid w:val="0"/>
                <w:color w:val="000000" w:themeColor="text1"/>
                <w:sz w:val="20"/>
                <w:szCs w:val="20"/>
                <w:lang w:val="en-US"/>
              </w:rPr>
              <w:t xml:space="preserve"> </w:t>
            </w:r>
            <w:r w:rsidRPr="00CF6064">
              <w:rPr>
                <w:rFonts w:asciiTheme="majorHAnsi" w:hAnsiTheme="majorHAnsi" w:cstheme="majorHAnsi"/>
                <w:snapToGrid w:val="0"/>
                <w:color w:val="000000" w:themeColor="text1"/>
                <w:sz w:val="20"/>
                <w:szCs w:val="20"/>
                <w:lang w:val="en-US"/>
              </w:rPr>
              <w:t>influence leadership and management practices in your school?</w:t>
            </w:r>
          </w:p>
          <w:p w14:paraId="36565629" w14:textId="77777777" w:rsidR="008D0CAD" w:rsidRPr="00CF6064" w:rsidRDefault="008D0CAD" w:rsidP="00EA6CB9">
            <w:pPr>
              <w:spacing w:before="100" w:beforeAutospacing="1" w:after="100" w:afterAutospacing="1" w:line="360" w:lineRule="auto"/>
              <w:rPr>
                <w:rFonts w:asciiTheme="majorHAnsi" w:hAnsiTheme="majorHAnsi" w:cstheme="majorHAnsi"/>
                <w:color w:val="000000" w:themeColor="text1"/>
                <w:sz w:val="20"/>
                <w:szCs w:val="20"/>
                <w:lang w:val="en-US"/>
              </w:rPr>
            </w:pPr>
          </w:p>
        </w:tc>
        <w:tc>
          <w:tcPr>
            <w:tcW w:w="2127" w:type="dxa"/>
          </w:tcPr>
          <w:p w14:paraId="29343FCF"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p>
        </w:tc>
      </w:tr>
      <w:tr w:rsidR="008D0CAD" w:rsidRPr="00CF6064" w14:paraId="372FA3A2" w14:textId="77777777" w:rsidTr="00EC48C1">
        <w:tc>
          <w:tcPr>
            <w:tcW w:w="1838" w:type="dxa"/>
          </w:tcPr>
          <w:p w14:paraId="69AC764C"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1198" w:type="dxa"/>
          </w:tcPr>
          <w:p w14:paraId="18432006" w14:textId="77777777" w:rsidR="008D0CAD" w:rsidRPr="00CF6064" w:rsidRDefault="008D0CAD" w:rsidP="00EA6CB9">
            <w:pPr>
              <w:spacing w:before="100" w:beforeAutospacing="1" w:after="100" w:afterAutospacing="1" w:line="360" w:lineRule="auto"/>
              <w:rPr>
                <w:rFonts w:asciiTheme="majorHAnsi" w:hAnsiTheme="majorHAnsi" w:cstheme="majorHAnsi"/>
                <w:b/>
                <w:bCs/>
                <w:color w:val="0070C0"/>
                <w:sz w:val="20"/>
                <w:szCs w:val="20"/>
                <w:lang w:val="en-US"/>
              </w:rPr>
            </w:pPr>
            <w:r w:rsidRPr="00CF6064">
              <w:rPr>
                <w:rFonts w:asciiTheme="majorHAnsi" w:hAnsiTheme="majorHAnsi" w:cstheme="majorHAnsi"/>
                <w:b/>
                <w:bCs/>
                <w:color w:val="0070C0"/>
                <w:sz w:val="20"/>
                <w:szCs w:val="20"/>
                <w:lang w:val="en-US"/>
              </w:rPr>
              <w:t>CURRICULUM AND ASSESSMENT SYSTEMS (CAS)</w:t>
            </w:r>
          </w:p>
          <w:p w14:paraId="6230348F" w14:textId="77777777" w:rsidR="008D0CAD" w:rsidRPr="00CF6064" w:rsidRDefault="008D0CAD" w:rsidP="00EA6CB9">
            <w:pPr>
              <w:spacing w:before="100" w:beforeAutospacing="1" w:after="100" w:afterAutospacing="1" w:line="360" w:lineRule="auto"/>
              <w:rPr>
                <w:rFonts w:asciiTheme="majorHAnsi" w:hAnsiTheme="majorHAnsi" w:cstheme="majorHAnsi"/>
                <w:b/>
                <w:bCs/>
                <w:color w:val="000000" w:themeColor="text1"/>
                <w:sz w:val="20"/>
                <w:szCs w:val="20"/>
                <w:lang w:val="en-US"/>
              </w:rPr>
            </w:pPr>
            <w:r w:rsidRPr="00CF6064">
              <w:rPr>
                <w:rFonts w:asciiTheme="majorHAnsi" w:hAnsiTheme="majorHAnsi" w:cstheme="majorHAnsi"/>
                <w:b/>
                <w:bCs/>
                <w:color w:val="000000" w:themeColor="text1"/>
                <w:sz w:val="20"/>
                <w:szCs w:val="20"/>
                <w:lang w:val="en-US"/>
              </w:rPr>
              <w:t>CAS Knowledge/Awareness</w:t>
            </w:r>
          </w:p>
          <w:p w14:paraId="6E5D3C7F" w14:textId="77777777" w:rsidR="008D0CAD" w:rsidRPr="00CF6064" w:rsidRDefault="008D0CAD" w:rsidP="00DD08E3">
            <w:pPr>
              <w:numPr>
                <w:ilvl w:val="0"/>
                <w:numId w:val="123"/>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What were the different reforms related to the K-12 curriculum and assessment in the last six years?</w:t>
            </w:r>
          </w:p>
          <w:p w14:paraId="09E6B938" w14:textId="77777777" w:rsidR="008D0CAD" w:rsidRPr="00CF6064" w:rsidRDefault="008D0CAD" w:rsidP="00DD08E3">
            <w:pPr>
              <w:numPr>
                <w:ilvl w:val="1"/>
                <w:numId w:val="123"/>
              </w:numPr>
              <w:spacing w:before="100" w:beforeAutospacing="1" w:after="100" w:afterAutospacing="1" w:line="360" w:lineRule="auto"/>
              <w:ind w:left="914" w:hanging="567"/>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Can you please give specific examples?</w:t>
            </w:r>
          </w:p>
        </w:tc>
        <w:tc>
          <w:tcPr>
            <w:tcW w:w="2127" w:type="dxa"/>
          </w:tcPr>
          <w:p w14:paraId="735C4E2A"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p>
        </w:tc>
      </w:tr>
      <w:tr w:rsidR="008D0CAD" w:rsidRPr="00CF6064" w14:paraId="1E517140" w14:textId="77777777" w:rsidTr="00EC48C1">
        <w:tc>
          <w:tcPr>
            <w:tcW w:w="1838" w:type="dxa"/>
          </w:tcPr>
          <w:p w14:paraId="39A559CA"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1198" w:type="dxa"/>
          </w:tcPr>
          <w:p w14:paraId="17726F5B" w14:textId="77777777" w:rsidR="008D0CAD" w:rsidRPr="00CF6064" w:rsidRDefault="008D0CAD" w:rsidP="00EA6CB9">
            <w:pPr>
              <w:spacing w:before="100" w:beforeAutospacing="1" w:after="100" w:afterAutospacing="1" w:line="360" w:lineRule="auto"/>
              <w:rPr>
                <w:rFonts w:asciiTheme="majorHAnsi" w:hAnsiTheme="majorHAnsi" w:cstheme="majorHAnsi"/>
                <w:b/>
                <w:bCs/>
                <w:color w:val="000000" w:themeColor="text1"/>
                <w:sz w:val="20"/>
                <w:szCs w:val="20"/>
                <w:lang w:val="en-US"/>
              </w:rPr>
            </w:pPr>
            <w:r w:rsidRPr="00CF6064">
              <w:rPr>
                <w:rFonts w:asciiTheme="majorHAnsi" w:hAnsiTheme="majorHAnsi" w:cstheme="majorHAnsi"/>
                <w:b/>
                <w:bCs/>
                <w:color w:val="000000" w:themeColor="text1"/>
                <w:sz w:val="20"/>
                <w:szCs w:val="20"/>
                <w:lang w:val="en-US"/>
              </w:rPr>
              <w:t>CAS Practices</w:t>
            </w:r>
          </w:p>
          <w:p w14:paraId="1C26A8CA" w14:textId="77777777" w:rsidR="008D0CAD" w:rsidRPr="00CF6064" w:rsidRDefault="008D0CAD" w:rsidP="00DD08E3">
            <w:pPr>
              <w:numPr>
                <w:ilvl w:val="0"/>
                <w:numId w:val="123"/>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How were the different reforms in curriculum and assessment implemented or</w:t>
            </w:r>
            <w:r w:rsidRPr="00CF6064">
              <w:rPr>
                <w:rFonts w:asciiTheme="majorHAnsi" w:hAnsiTheme="majorHAnsi" w:cstheme="majorHAnsi"/>
                <w:b/>
                <w:bCs/>
                <w:snapToGrid w:val="0"/>
                <w:color w:val="000000" w:themeColor="text1"/>
                <w:sz w:val="20"/>
                <w:szCs w:val="20"/>
                <w:lang w:val="en-US"/>
              </w:rPr>
              <w:t xml:space="preserve"> </w:t>
            </w:r>
            <w:r w:rsidRPr="00CF6064">
              <w:rPr>
                <w:rFonts w:asciiTheme="majorHAnsi" w:hAnsiTheme="majorHAnsi" w:cstheme="majorHAnsi"/>
                <w:snapToGrid w:val="0"/>
                <w:color w:val="000000" w:themeColor="text1"/>
                <w:sz w:val="20"/>
                <w:szCs w:val="20"/>
                <w:lang w:val="en-US"/>
              </w:rPr>
              <w:t>used in your school?</w:t>
            </w:r>
          </w:p>
          <w:p w14:paraId="1225FFBD" w14:textId="77777777" w:rsidR="008D0CAD" w:rsidRPr="00CF6064" w:rsidRDefault="008D0CAD" w:rsidP="00DD08E3">
            <w:pPr>
              <w:numPr>
                <w:ilvl w:val="1"/>
                <w:numId w:val="123"/>
              </w:numPr>
              <w:spacing w:before="100" w:beforeAutospacing="1" w:after="100" w:afterAutospacing="1" w:line="360" w:lineRule="auto"/>
              <w:ind w:left="891" w:hanging="567"/>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Why not?</w:t>
            </w:r>
          </w:p>
        </w:tc>
        <w:tc>
          <w:tcPr>
            <w:tcW w:w="2127" w:type="dxa"/>
          </w:tcPr>
          <w:p w14:paraId="56D0AB88"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p>
        </w:tc>
      </w:tr>
      <w:tr w:rsidR="008D0CAD" w:rsidRPr="00CF6064" w14:paraId="5567189C" w14:textId="77777777" w:rsidTr="00EC48C1">
        <w:tc>
          <w:tcPr>
            <w:tcW w:w="1838" w:type="dxa"/>
          </w:tcPr>
          <w:p w14:paraId="35726CDB"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1198" w:type="dxa"/>
          </w:tcPr>
          <w:p w14:paraId="01C6E7C7" w14:textId="77777777" w:rsidR="008D0CAD" w:rsidRPr="00CF6064" w:rsidRDefault="008D0CAD" w:rsidP="00DD08E3">
            <w:pPr>
              <w:numPr>
                <w:ilvl w:val="0"/>
                <w:numId w:val="120"/>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 xml:space="preserve">For </w:t>
            </w:r>
            <w:r w:rsidRPr="00CF6064">
              <w:rPr>
                <w:rFonts w:asciiTheme="majorHAnsi" w:hAnsiTheme="majorHAnsi" w:cstheme="majorHAnsi"/>
                <w:bCs/>
                <w:snapToGrid w:val="0"/>
                <w:color w:val="000000" w:themeColor="text1"/>
                <w:sz w:val="20"/>
                <w:szCs w:val="20"/>
                <w:lang w:val="en-US"/>
              </w:rPr>
              <w:t>K-12 Curriculum Guides</w:t>
            </w:r>
            <w:r w:rsidRPr="00CF6064">
              <w:rPr>
                <w:rFonts w:asciiTheme="majorHAnsi" w:hAnsiTheme="majorHAnsi" w:cstheme="majorHAnsi"/>
                <w:snapToGrid w:val="0"/>
                <w:color w:val="000000" w:themeColor="text1"/>
                <w:sz w:val="20"/>
                <w:szCs w:val="20"/>
                <w:lang w:val="en-US"/>
              </w:rPr>
              <w:t xml:space="preserve"> </w:t>
            </w:r>
          </w:p>
          <w:p w14:paraId="46B66514" w14:textId="77777777" w:rsidR="008D0CAD" w:rsidRPr="00CF6064" w:rsidRDefault="008D0CAD" w:rsidP="00EA6CB9">
            <w:pPr>
              <w:spacing w:before="100" w:beforeAutospacing="1" w:after="100" w:afterAutospacing="1" w:line="360" w:lineRule="auto"/>
              <w:rPr>
                <w:rFonts w:asciiTheme="majorHAnsi" w:hAnsiTheme="majorHAnsi" w:cstheme="majorHAnsi"/>
                <w:color w:val="000000" w:themeColor="text1"/>
                <w:sz w:val="20"/>
                <w:szCs w:val="20"/>
                <w:lang w:val="en-US"/>
              </w:rPr>
            </w:pPr>
          </w:p>
        </w:tc>
        <w:tc>
          <w:tcPr>
            <w:tcW w:w="2127" w:type="dxa"/>
          </w:tcPr>
          <w:p w14:paraId="5E509B6A"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r w:rsidRPr="00CF6064">
              <w:rPr>
                <w:rFonts w:asciiTheme="majorHAnsi" w:hAnsiTheme="majorHAnsi" w:cstheme="majorHAnsi"/>
                <w:bCs/>
                <w:color w:val="000000" w:themeColor="text1"/>
                <w:sz w:val="20"/>
                <w:szCs w:val="20"/>
                <w:lang w:val="en-US"/>
              </w:rPr>
              <w:t>Refer to answer to Question No. 15</w:t>
            </w:r>
          </w:p>
        </w:tc>
      </w:tr>
      <w:tr w:rsidR="008D0CAD" w:rsidRPr="00CF6064" w14:paraId="54D5E89F" w14:textId="77777777" w:rsidTr="00EC48C1">
        <w:tc>
          <w:tcPr>
            <w:tcW w:w="1838" w:type="dxa"/>
          </w:tcPr>
          <w:p w14:paraId="6F27F01C"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1198" w:type="dxa"/>
          </w:tcPr>
          <w:p w14:paraId="6A336166" w14:textId="77777777" w:rsidR="008D0CAD" w:rsidRPr="00CF6064" w:rsidRDefault="008D0CAD" w:rsidP="00DD08E3">
            <w:pPr>
              <w:numPr>
                <w:ilvl w:val="0"/>
                <w:numId w:val="124"/>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 xml:space="preserve">For </w:t>
            </w:r>
            <w:r w:rsidRPr="00CF6064">
              <w:rPr>
                <w:rFonts w:asciiTheme="majorHAnsi" w:hAnsiTheme="majorHAnsi" w:cstheme="majorHAnsi"/>
                <w:bCs/>
                <w:snapToGrid w:val="0"/>
                <w:color w:val="000000" w:themeColor="text1"/>
                <w:sz w:val="20"/>
                <w:szCs w:val="20"/>
                <w:lang w:val="en-US"/>
              </w:rPr>
              <w:t>PRIMALS</w:t>
            </w:r>
          </w:p>
          <w:p w14:paraId="502C7061" w14:textId="77777777" w:rsidR="008D0CAD" w:rsidRPr="00CF6064" w:rsidRDefault="008D0CAD" w:rsidP="00EA6CB9">
            <w:pPr>
              <w:spacing w:before="100" w:beforeAutospacing="1" w:after="100" w:afterAutospacing="1" w:line="360" w:lineRule="auto"/>
              <w:rPr>
                <w:rFonts w:asciiTheme="majorHAnsi" w:hAnsiTheme="majorHAnsi" w:cstheme="majorHAnsi"/>
                <w:color w:val="000000" w:themeColor="text1"/>
                <w:sz w:val="20"/>
                <w:szCs w:val="20"/>
                <w:lang w:val="en-US"/>
              </w:rPr>
            </w:pPr>
          </w:p>
        </w:tc>
        <w:tc>
          <w:tcPr>
            <w:tcW w:w="2127" w:type="dxa"/>
          </w:tcPr>
          <w:p w14:paraId="53E00969"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r w:rsidRPr="00CF6064">
              <w:rPr>
                <w:rFonts w:asciiTheme="majorHAnsi" w:hAnsiTheme="majorHAnsi" w:cstheme="majorHAnsi"/>
                <w:bCs/>
                <w:color w:val="000000" w:themeColor="text1"/>
                <w:sz w:val="20"/>
                <w:szCs w:val="20"/>
                <w:lang w:val="en-US"/>
              </w:rPr>
              <w:t>Refer to answer to Question No. 16</w:t>
            </w:r>
          </w:p>
        </w:tc>
      </w:tr>
      <w:tr w:rsidR="008D0CAD" w:rsidRPr="00CF6064" w14:paraId="40245146" w14:textId="77777777" w:rsidTr="00EC48C1">
        <w:tc>
          <w:tcPr>
            <w:tcW w:w="1838" w:type="dxa"/>
          </w:tcPr>
          <w:p w14:paraId="2D49EFAF"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1198" w:type="dxa"/>
          </w:tcPr>
          <w:p w14:paraId="087CD0D6" w14:textId="77777777" w:rsidR="008D0CAD" w:rsidRPr="00CF6064" w:rsidRDefault="008D0CAD" w:rsidP="00DD08E3">
            <w:pPr>
              <w:numPr>
                <w:ilvl w:val="0"/>
                <w:numId w:val="124"/>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 xml:space="preserve">For </w:t>
            </w:r>
            <w:r w:rsidRPr="00CF6064">
              <w:rPr>
                <w:rFonts w:asciiTheme="majorHAnsi" w:hAnsiTheme="majorHAnsi" w:cstheme="majorHAnsi"/>
                <w:bCs/>
                <w:snapToGrid w:val="0"/>
                <w:color w:val="000000" w:themeColor="text1"/>
                <w:sz w:val="20"/>
                <w:szCs w:val="20"/>
                <w:lang w:val="en-US"/>
              </w:rPr>
              <w:t>CARB</w:t>
            </w:r>
            <w:r w:rsidRPr="00CF6064">
              <w:rPr>
                <w:rFonts w:asciiTheme="majorHAnsi" w:hAnsiTheme="majorHAnsi" w:cstheme="majorHAnsi"/>
                <w:snapToGrid w:val="0"/>
                <w:color w:val="000000" w:themeColor="text1"/>
                <w:sz w:val="20"/>
                <w:szCs w:val="20"/>
                <w:lang w:val="en-US"/>
              </w:rPr>
              <w:t xml:space="preserve"> </w:t>
            </w:r>
          </w:p>
          <w:p w14:paraId="3764676D" w14:textId="77777777" w:rsidR="008D0CAD" w:rsidRPr="00CF6064" w:rsidRDefault="008D0CAD" w:rsidP="00EA6CB9">
            <w:pPr>
              <w:spacing w:before="100" w:beforeAutospacing="1" w:after="100" w:afterAutospacing="1" w:line="360" w:lineRule="auto"/>
              <w:rPr>
                <w:rFonts w:asciiTheme="majorHAnsi" w:hAnsiTheme="majorHAnsi" w:cstheme="majorHAnsi"/>
                <w:color w:val="000000" w:themeColor="text1"/>
                <w:sz w:val="20"/>
                <w:szCs w:val="20"/>
                <w:lang w:val="en-US"/>
              </w:rPr>
            </w:pPr>
          </w:p>
        </w:tc>
        <w:tc>
          <w:tcPr>
            <w:tcW w:w="2127" w:type="dxa"/>
          </w:tcPr>
          <w:p w14:paraId="21E09797"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r w:rsidRPr="00CF6064">
              <w:rPr>
                <w:rFonts w:asciiTheme="majorHAnsi" w:hAnsiTheme="majorHAnsi" w:cstheme="majorHAnsi"/>
                <w:bCs/>
                <w:color w:val="000000" w:themeColor="text1"/>
                <w:sz w:val="20"/>
                <w:szCs w:val="20"/>
                <w:lang w:val="en-US"/>
              </w:rPr>
              <w:t>Refer to answer to Question No. 17</w:t>
            </w:r>
          </w:p>
        </w:tc>
      </w:tr>
      <w:tr w:rsidR="008D0CAD" w:rsidRPr="00CF6064" w14:paraId="61C0488B" w14:textId="77777777" w:rsidTr="00EC48C1">
        <w:tc>
          <w:tcPr>
            <w:tcW w:w="1838" w:type="dxa"/>
          </w:tcPr>
          <w:p w14:paraId="4C4EC6F7"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1198" w:type="dxa"/>
          </w:tcPr>
          <w:p w14:paraId="0533D816" w14:textId="77777777" w:rsidR="008D0CAD" w:rsidRPr="00CF6064" w:rsidRDefault="008D0CAD" w:rsidP="00EA6CB9">
            <w:pPr>
              <w:spacing w:before="100" w:beforeAutospacing="1" w:after="100" w:afterAutospacing="1" w:line="360" w:lineRule="auto"/>
              <w:rPr>
                <w:rFonts w:asciiTheme="majorHAnsi" w:hAnsiTheme="majorHAnsi" w:cstheme="majorHAnsi"/>
                <w:b/>
                <w:bCs/>
                <w:color w:val="000000" w:themeColor="text1"/>
                <w:sz w:val="20"/>
                <w:szCs w:val="20"/>
                <w:lang w:val="en-US"/>
              </w:rPr>
            </w:pPr>
            <w:r w:rsidRPr="00CF6064">
              <w:rPr>
                <w:rFonts w:asciiTheme="majorHAnsi" w:hAnsiTheme="majorHAnsi" w:cstheme="majorHAnsi"/>
                <w:b/>
                <w:bCs/>
                <w:color w:val="000000" w:themeColor="text1"/>
                <w:sz w:val="20"/>
                <w:szCs w:val="20"/>
                <w:lang w:val="en-US"/>
              </w:rPr>
              <w:t>Innovations on CAS implementation</w:t>
            </w:r>
          </w:p>
          <w:p w14:paraId="30F57C1D" w14:textId="77777777" w:rsidR="008D0CAD" w:rsidRPr="00CF6064" w:rsidRDefault="008D0CAD" w:rsidP="00DD08E3">
            <w:pPr>
              <w:numPr>
                <w:ilvl w:val="0"/>
                <w:numId w:val="123"/>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 xml:space="preserve">What innovations, if any, did your school adopt in terms of implementing the reforms in curriculum and assessment? </w:t>
            </w:r>
          </w:p>
          <w:p w14:paraId="54A7403F" w14:textId="77777777" w:rsidR="008D0CAD" w:rsidRPr="00CF6064" w:rsidRDefault="008D0CAD" w:rsidP="00DD08E3">
            <w:pPr>
              <w:numPr>
                <w:ilvl w:val="1"/>
                <w:numId w:val="123"/>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Why not?</w:t>
            </w:r>
          </w:p>
        </w:tc>
        <w:tc>
          <w:tcPr>
            <w:tcW w:w="2127" w:type="dxa"/>
          </w:tcPr>
          <w:p w14:paraId="2F589751"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p>
          <w:p w14:paraId="74B1BD83"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r w:rsidRPr="00CF6064">
              <w:rPr>
                <w:rFonts w:asciiTheme="majorHAnsi" w:hAnsiTheme="majorHAnsi" w:cstheme="majorHAnsi"/>
                <w:bCs/>
                <w:color w:val="000000" w:themeColor="text1"/>
                <w:sz w:val="20"/>
                <w:szCs w:val="20"/>
                <w:lang w:val="en-US"/>
              </w:rPr>
              <w:t>Refer to answer to Question No. 18</w:t>
            </w:r>
          </w:p>
        </w:tc>
      </w:tr>
      <w:tr w:rsidR="008D0CAD" w:rsidRPr="00CF6064" w14:paraId="4D897185" w14:textId="77777777" w:rsidTr="00EC48C1">
        <w:tc>
          <w:tcPr>
            <w:tcW w:w="1838" w:type="dxa"/>
          </w:tcPr>
          <w:p w14:paraId="28ABE360"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1198" w:type="dxa"/>
          </w:tcPr>
          <w:p w14:paraId="653E9C69" w14:textId="77777777" w:rsidR="008D0CAD" w:rsidRPr="00CF6064" w:rsidRDefault="008D0CAD" w:rsidP="00EA6CB9">
            <w:pPr>
              <w:spacing w:before="100" w:beforeAutospacing="1" w:after="100" w:afterAutospacing="1" w:line="360" w:lineRule="auto"/>
              <w:rPr>
                <w:rFonts w:asciiTheme="majorHAnsi" w:hAnsiTheme="majorHAnsi" w:cstheme="majorHAnsi"/>
                <w:b/>
                <w:bCs/>
                <w:color w:val="000000" w:themeColor="text1"/>
                <w:sz w:val="20"/>
                <w:szCs w:val="20"/>
                <w:lang w:val="en-US"/>
              </w:rPr>
            </w:pPr>
            <w:r w:rsidRPr="00CF6064">
              <w:rPr>
                <w:rFonts w:asciiTheme="majorHAnsi" w:hAnsiTheme="majorHAnsi" w:cstheme="majorHAnsi"/>
                <w:b/>
                <w:bCs/>
                <w:color w:val="000000" w:themeColor="text1"/>
                <w:sz w:val="20"/>
                <w:szCs w:val="20"/>
                <w:lang w:val="en-US"/>
              </w:rPr>
              <w:t>Effects of CAS</w:t>
            </w:r>
          </w:p>
          <w:p w14:paraId="2E034D60" w14:textId="77777777" w:rsidR="008D0CAD" w:rsidRPr="00CF6064" w:rsidRDefault="008D0CAD" w:rsidP="00DD08E3">
            <w:pPr>
              <w:numPr>
                <w:ilvl w:val="0"/>
                <w:numId w:val="123"/>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 xml:space="preserve">Overall, how did the implementation of the curriculum and assessment reforms (e.g., use of K-12 curriculum guides, PRIMALS, classroom assessment tools) improve: </w:t>
            </w:r>
          </w:p>
          <w:p w14:paraId="4FBC1E90" w14:textId="77777777" w:rsidR="008D0CAD" w:rsidRPr="00CF6064" w:rsidRDefault="008D0CAD" w:rsidP="00DD08E3">
            <w:pPr>
              <w:numPr>
                <w:ilvl w:val="1"/>
                <w:numId w:val="123"/>
              </w:numPr>
              <w:spacing w:before="100" w:beforeAutospacing="1" w:after="100" w:afterAutospacing="1" w:line="360" w:lineRule="auto"/>
              <w:ind w:left="1033" w:hanging="567"/>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 xml:space="preserve">leadership and management practices in your school? </w:t>
            </w:r>
          </w:p>
          <w:p w14:paraId="7EED471C" w14:textId="77777777" w:rsidR="008D0CAD" w:rsidRPr="00CF6064" w:rsidRDefault="008D0CAD" w:rsidP="00DD08E3">
            <w:pPr>
              <w:numPr>
                <w:ilvl w:val="1"/>
                <w:numId w:val="123"/>
              </w:numPr>
              <w:spacing w:before="100" w:beforeAutospacing="1" w:after="100" w:afterAutospacing="1" w:line="360" w:lineRule="auto"/>
              <w:ind w:left="1033" w:hanging="567"/>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teaching delivery practices in your school?</w:t>
            </w:r>
          </w:p>
        </w:tc>
        <w:tc>
          <w:tcPr>
            <w:tcW w:w="2127" w:type="dxa"/>
          </w:tcPr>
          <w:p w14:paraId="6FCE0457"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p>
        </w:tc>
      </w:tr>
      <w:tr w:rsidR="008D0CAD" w:rsidRPr="00CF6064" w14:paraId="09271340" w14:textId="77777777" w:rsidTr="00EC48C1">
        <w:tc>
          <w:tcPr>
            <w:tcW w:w="1838" w:type="dxa"/>
          </w:tcPr>
          <w:p w14:paraId="2CD4D528"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1198" w:type="dxa"/>
          </w:tcPr>
          <w:p w14:paraId="7C023133" w14:textId="77777777" w:rsidR="008D0CAD" w:rsidRPr="00CF6064" w:rsidRDefault="008D0CAD" w:rsidP="00EA6CB9">
            <w:pPr>
              <w:spacing w:before="100" w:beforeAutospacing="1" w:after="100" w:afterAutospacing="1" w:line="360" w:lineRule="auto"/>
              <w:rPr>
                <w:rFonts w:asciiTheme="majorHAnsi" w:hAnsiTheme="majorHAnsi" w:cstheme="majorHAnsi"/>
                <w:b/>
                <w:bCs/>
                <w:color w:val="0070C0"/>
                <w:sz w:val="20"/>
                <w:szCs w:val="20"/>
                <w:lang w:val="en-US"/>
              </w:rPr>
            </w:pPr>
            <w:r w:rsidRPr="00CF6064">
              <w:rPr>
                <w:rFonts w:asciiTheme="majorHAnsi" w:hAnsiTheme="majorHAnsi" w:cstheme="majorHAnsi"/>
                <w:b/>
                <w:bCs/>
                <w:color w:val="0070C0"/>
                <w:sz w:val="20"/>
                <w:szCs w:val="20"/>
                <w:lang w:val="en-US"/>
              </w:rPr>
              <w:t>GENDER EQUITY, DISABILITY AND SOCIAL INCLUSION (GEDSI)</w:t>
            </w:r>
          </w:p>
          <w:p w14:paraId="7B267147" w14:textId="77777777" w:rsidR="008D0CAD" w:rsidRPr="00CF6064" w:rsidRDefault="008D0CAD" w:rsidP="00EA6CB9">
            <w:pPr>
              <w:spacing w:before="100" w:beforeAutospacing="1" w:after="100" w:afterAutospacing="1" w:line="360" w:lineRule="auto"/>
              <w:rPr>
                <w:rFonts w:asciiTheme="majorHAnsi" w:hAnsiTheme="majorHAnsi" w:cstheme="majorHAnsi"/>
                <w:b/>
                <w:bCs/>
                <w:color w:val="000000" w:themeColor="text1"/>
                <w:sz w:val="20"/>
                <w:szCs w:val="20"/>
                <w:lang w:val="en-US"/>
              </w:rPr>
            </w:pPr>
            <w:r w:rsidRPr="00CF6064">
              <w:rPr>
                <w:rFonts w:asciiTheme="majorHAnsi" w:hAnsiTheme="majorHAnsi" w:cstheme="majorHAnsi"/>
                <w:b/>
                <w:bCs/>
                <w:color w:val="000000" w:themeColor="text1"/>
                <w:sz w:val="20"/>
                <w:szCs w:val="20"/>
                <w:lang w:val="en-US"/>
              </w:rPr>
              <w:t>GEDSI Knowledge/Awareness</w:t>
            </w:r>
          </w:p>
          <w:p w14:paraId="0CD4A576" w14:textId="77777777" w:rsidR="008D0CAD" w:rsidRPr="00CF6064" w:rsidRDefault="008D0CAD" w:rsidP="00DD08E3">
            <w:pPr>
              <w:numPr>
                <w:ilvl w:val="0"/>
                <w:numId w:val="123"/>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 xml:space="preserve">What is your understanding of the concepts of Inclusive Education, Responsive Basic Education; and Gender-Responsive Basic Education (GRBE). </w:t>
            </w:r>
          </w:p>
          <w:p w14:paraId="54DC4C4C" w14:textId="77777777" w:rsidR="008D0CAD" w:rsidRPr="00CF6064" w:rsidRDefault="008D0CAD" w:rsidP="00DD08E3">
            <w:pPr>
              <w:numPr>
                <w:ilvl w:val="1"/>
                <w:numId w:val="123"/>
              </w:numPr>
              <w:spacing w:before="100" w:beforeAutospacing="1" w:after="100" w:afterAutospacing="1" w:line="360" w:lineRule="auto"/>
              <w:ind w:left="914" w:hanging="567"/>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What are the similarities and differences among the three?</w:t>
            </w:r>
          </w:p>
        </w:tc>
        <w:tc>
          <w:tcPr>
            <w:tcW w:w="2127" w:type="dxa"/>
          </w:tcPr>
          <w:p w14:paraId="2267F4CD"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r w:rsidRPr="00CF6064">
              <w:rPr>
                <w:rFonts w:asciiTheme="majorHAnsi" w:hAnsiTheme="majorHAnsi" w:cstheme="majorHAnsi"/>
                <w:bCs/>
                <w:color w:val="000000" w:themeColor="text1"/>
                <w:sz w:val="20"/>
                <w:szCs w:val="20"/>
                <w:lang w:val="en-US"/>
              </w:rPr>
              <w:t xml:space="preserve"> </w:t>
            </w:r>
          </w:p>
        </w:tc>
      </w:tr>
      <w:tr w:rsidR="008D0CAD" w:rsidRPr="00CF6064" w14:paraId="734231F5" w14:textId="77777777" w:rsidTr="00EC48C1">
        <w:tc>
          <w:tcPr>
            <w:tcW w:w="1838" w:type="dxa"/>
          </w:tcPr>
          <w:p w14:paraId="3B1A2942"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1198" w:type="dxa"/>
          </w:tcPr>
          <w:p w14:paraId="75ADACDA" w14:textId="77777777" w:rsidR="008D0CAD" w:rsidRPr="00CF6064" w:rsidRDefault="008D0CAD" w:rsidP="00EA6CB9">
            <w:pPr>
              <w:spacing w:before="100" w:beforeAutospacing="1" w:after="100" w:afterAutospacing="1" w:line="360" w:lineRule="auto"/>
              <w:rPr>
                <w:rFonts w:asciiTheme="majorHAnsi" w:hAnsiTheme="majorHAnsi" w:cstheme="majorHAnsi"/>
                <w:b/>
                <w:bCs/>
                <w:color w:val="000000" w:themeColor="text1"/>
                <w:sz w:val="20"/>
                <w:szCs w:val="20"/>
                <w:lang w:val="en-US"/>
              </w:rPr>
            </w:pPr>
            <w:r w:rsidRPr="00CF6064">
              <w:rPr>
                <w:rFonts w:asciiTheme="majorHAnsi" w:hAnsiTheme="majorHAnsi" w:cstheme="majorHAnsi"/>
                <w:b/>
                <w:bCs/>
                <w:color w:val="000000" w:themeColor="text1"/>
                <w:sz w:val="20"/>
                <w:szCs w:val="20"/>
                <w:lang w:val="en-US"/>
              </w:rPr>
              <w:t>GEDSI Practices</w:t>
            </w:r>
          </w:p>
          <w:p w14:paraId="22CD2C45" w14:textId="77777777" w:rsidR="008D0CAD" w:rsidRPr="00CF6064" w:rsidRDefault="008D0CAD" w:rsidP="00DD08E3">
            <w:pPr>
              <w:numPr>
                <w:ilvl w:val="0"/>
                <w:numId w:val="123"/>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How was [</w:t>
            </w:r>
            <w:r w:rsidRPr="00CF6064">
              <w:rPr>
                <w:rFonts w:asciiTheme="majorHAnsi" w:hAnsiTheme="majorHAnsi" w:cstheme="majorHAnsi"/>
                <w:snapToGrid w:val="0"/>
                <w:color w:val="000000" w:themeColor="text1"/>
                <w:sz w:val="20"/>
                <w:szCs w:val="20"/>
                <w:u w:val="single"/>
                <w:lang w:val="en-US"/>
              </w:rPr>
              <w:t>Responsive Basic Education/Inclusive Education/GRBE</w:t>
            </w:r>
            <w:r w:rsidRPr="00CF6064">
              <w:rPr>
                <w:rFonts w:asciiTheme="majorHAnsi" w:hAnsiTheme="majorHAnsi" w:cstheme="majorHAnsi"/>
                <w:snapToGrid w:val="0"/>
                <w:color w:val="000000" w:themeColor="text1"/>
                <w:sz w:val="20"/>
                <w:szCs w:val="20"/>
                <w:lang w:val="en-US"/>
              </w:rPr>
              <w:t>]</w:t>
            </w:r>
            <w:r w:rsidRPr="00CF6064">
              <w:rPr>
                <w:rFonts w:asciiTheme="majorHAnsi" w:hAnsiTheme="majorHAnsi" w:cstheme="majorHAnsi"/>
                <w:b/>
                <w:bCs/>
                <w:snapToGrid w:val="0"/>
                <w:color w:val="000000" w:themeColor="text1"/>
                <w:sz w:val="20"/>
                <w:szCs w:val="20"/>
                <w:lang w:val="en-US"/>
              </w:rPr>
              <w:t xml:space="preserve"> </w:t>
            </w:r>
            <w:r w:rsidRPr="00CF6064">
              <w:rPr>
                <w:rFonts w:asciiTheme="majorHAnsi" w:hAnsiTheme="majorHAnsi" w:cstheme="majorHAnsi"/>
                <w:snapToGrid w:val="0"/>
                <w:color w:val="000000" w:themeColor="text1"/>
                <w:sz w:val="20"/>
                <w:szCs w:val="20"/>
                <w:lang w:val="en-US"/>
              </w:rPr>
              <w:t>implemented in your school?</w:t>
            </w:r>
          </w:p>
          <w:p w14:paraId="34281D52" w14:textId="77777777" w:rsidR="008D0CAD" w:rsidRPr="00CF6064" w:rsidRDefault="008D0CAD" w:rsidP="00DD08E3">
            <w:pPr>
              <w:numPr>
                <w:ilvl w:val="1"/>
                <w:numId w:val="123"/>
              </w:numPr>
              <w:spacing w:before="100" w:beforeAutospacing="1" w:after="100" w:afterAutospacing="1" w:line="360" w:lineRule="auto"/>
              <w:ind w:left="891" w:hanging="567"/>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As Principal/School Head, how did you support the implementation of [</w:t>
            </w:r>
            <w:r w:rsidRPr="00CF6064">
              <w:rPr>
                <w:rFonts w:asciiTheme="majorHAnsi" w:hAnsiTheme="majorHAnsi" w:cstheme="majorHAnsi"/>
                <w:snapToGrid w:val="0"/>
                <w:color w:val="000000" w:themeColor="text1"/>
                <w:sz w:val="20"/>
                <w:szCs w:val="20"/>
                <w:u w:val="single"/>
                <w:lang w:val="en-US"/>
              </w:rPr>
              <w:t>Responsive Basic Education/Inclusive Education/GRBE</w:t>
            </w:r>
            <w:r w:rsidRPr="00CF6064">
              <w:rPr>
                <w:rFonts w:asciiTheme="majorHAnsi" w:hAnsiTheme="majorHAnsi" w:cstheme="majorHAnsi"/>
                <w:snapToGrid w:val="0"/>
                <w:color w:val="000000" w:themeColor="text1"/>
                <w:sz w:val="20"/>
                <w:szCs w:val="20"/>
                <w:lang w:val="en-US"/>
              </w:rPr>
              <w:t>]</w:t>
            </w:r>
            <w:r w:rsidRPr="00CF6064">
              <w:rPr>
                <w:rFonts w:asciiTheme="majorHAnsi" w:hAnsiTheme="majorHAnsi" w:cstheme="majorHAnsi"/>
                <w:b/>
                <w:snapToGrid w:val="0"/>
                <w:color w:val="000000" w:themeColor="text1"/>
                <w:sz w:val="20"/>
                <w:szCs w:val="20"/>
                <w:lang w:val="en-US"/>
              </w:rPr>
              <w:t xml:space="preserve"> </w:t>
            </w:r>
            <w:r w:rsidRPr="00CF6064">
              <w:rPr>
                <w:rFonts w:asciiTheme="majorHAnsi" w:hAnsiTheme="majorHAnsi" w:cstheme="majorHAnsi"/>
                <w:snapToGrid w:val="0"/>
                <w:color w:val="000000" w:themeColor="text1"/>
                <w:sz w:val="20"/>
                <w:szCs w:val="20"/>
                <w:lang w:val="en-US"/>
              </w:rPr>
              <w:t>in your school?</w:t>
            </w:r>
          </w:p>
          <w:p w14:paraId="01F9ACDB" w14:textId="77777777" w:rsidR="008D0CAD" w:rsidRPr="00CF6064" w:rsidRDefault="008D0CAD" w:rsidP="00DD08E3">
            <w:pPr>
              <w:numPr>
                <w:ilvl w:val="1"/>
                <w:numId w:val="123"/>
              </w:numPr>
              <w:spacing w:before="100" w:beforeAutospacing="1" w:after="100" w:afterAutospacing="1" w:line="360" w:lineRule="auto"/>
              <w:ind w:left="891" w:hanging="567"/>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Why not?</w:t>
            </w:r>
          </w:p>
        </w:tc>
        <w:tc>
          <w:tcPr>
            <w:tcW w:w="2127" w:type="dxa"/>
          </w:tcPr>
          <w:p w14:paraId="62690DC5"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p>
        </w:tc>
      </w:tr>
      <w:tr w:rsidR="008D0CAD" w:rsidRPr="00CF6064" w14:paraId="03DAF313" w14:textId="77777777" w:rsidTr="00EC48C1">
        <w:tc>
          <w:tcPr>
            <w:tcW w:w="1838" w:type="dxa"/>
          </w:tcPr>
          <w:p w14:paraId="4D836A5B"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1198" w:type="dxa"/>
          </w:tcPr>
          <w:p w14:paraId="459403B1" w14:textId="77777777" w:rsidR="008D0CAD" w:rsidRPr="00CF6064" w:rsidRDefault="008D0CAD" w:rsidP="00DD08E3">
            <w:pPr>
              <w:numPr>
                <w:ilvl w:val="0"/>
                <w:numId w:val="124"/>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 xml:space="preserve">For Responsive Basic Education </w:t>
            </w:r>
          </w:p>
          <w:p w14:paraId="5A5E86F3" w14:textId="77777777" w:rsidR="008D0CAD" w:rsidRPr="00CF6064" w:rsidRDefault="008D0CAD" w:rsidP="00EA6CB9">
            <w:pPr>
              <w:spacing w:before="100" w:beforeAutospacing="1" w:after="100" w:afterAutospacing="1" w:line="360" w:lineRule="auto"/>
              <w:rPr>
                <w:rFonts w:asciiTheme="majorHAnsi" w:hAnsiTheme="majorHAnsi" w:cstheme="majorHAnsi"/>
                <w:color w:val="000000" w:themeColor="text1"/>
                <w:sz w:val="20"/>
                <w:szCs w:val="20"/>
                <w:lang w:val="en-US"/>
              </w:rPr>
            </w:pPr>
          </w:p>
        </w:tc>
        <w:tc>
          <w:tcPr>
            <w:tcW w:w="2127" w:type="dxa"/>
          </w:tcPr>
          <w:p w14:paraId="776BF676"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r w:rsidRPr="00CF6064">
              <w:rPr>
                <w:rFonts w:asciiTheme="majorHAnsi" w:hAnsiTheme="majorHAnsi" w:cstheme="majorHAnsi"/>
                <w:bCs/>
                <w:color w:val="000000" w:themeColor="text1"/>
                <w:sz w:val="20"/>
                <w:szCs w:val="20"/>
                <w:lang w:val="en-US"/>
              </w:rPr>
              <w:t>Refer to answer to Question No. 30</w:t>
            </w:r>
          </w:p>
        </w:tc>
      </w:tr>
      <w:tr w:rsidR="008D0CAD" w:rsidRPr="00CF6064" w14:paraId="21D20E6F" w14:textId="77777777" w:rsidTr="00EC48C1">
        <w:tc>
          <w:tcPr>
            <w:tcW w:w="1838" w:type="dxa"/>
          </w:tcPr>
          <w:p w14:paraId="01ABCA17"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1198" w:type="dxa"/>
          </w:tcPr>
          <w:p w14:paraId="367491F3" w14:textId="77777777" w:rsidR="008D0CAD" w:rsidRPr="00CF6064" w:rsidRDefault="008D0CAD" w:rsidP="00DD08E3">
            <w:pPr>
              <w:numPr>
                <w:ilvl w:val="0"/>
                <w:numId w:val="124"/>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For Inclusive Education (IE)</w:t>
            </w:r>
          </w:p>
          <w:p w14:paraId="310FD698" w14:textId="77777777" w:rsidR="008D0CAD" w:rsidRPr="00CF6064" w:rsidRDefault="008D0CAD" w:rsidP="00EA6CB9">
            <w:pPr>
              <w:spacing w:before="100" w:beforeAutospacing="1" w:after="100" w:afterAutospacing="1" w:line="360" w:lineRule="auto"/>
              <w:ind w:left="720"/>
              <w:rPr>
                <w:rFonts w:asciiTheme="majorHAnsi" w:hAnsiTheme="majorHAnsi" w:cstheme="majorHAnsi"/>
                <w:color w:val="000000" w:themeColor="text1"/>
                <w:sz w:val="20"/>
                <w:szCs w:val="20"/>
                <w:lang w:val="en-US"/>
              </w:rPr>
            </w:pPr>
          </w:p>
        </w:tc>
        <w:tc>
          <w:tcPr>
            <w:tcW w:w="2127" w:type="dxa"/>
          </w:tcPr>
          <w:p w14:paraId="47A8625B"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r w:rsidRPr="00CF6064">
              <w:rPr>
                <w:rFonts w:asciiTheme="majorHAnsi" w:hAnsiTheme="majorHAnsi" w:cstheme="majorHAnsi"/>
                <w:bCs/>
                <w:color w:val="000000" w:themeColor="text1"/>
                <w:sz w:val="20"/>
                <w:szCs w:val="20"/>
                <w:lang w:val="en-US"/>
              </w:rPr>
              <w:t>Refer to answer to Question No. 31</w:t>
            </w:r>
          </w:p>
        </w:tc>
      </w:tr>
      <w:tr w:rsidR="008D0CAD" w:rsidRPr="00CF6064" w14:paraId="36D079C7" w14:textId="77777777" w:rsidTr="00EC48C1">
        <w:tc>
          <w:tcPr>
            <w:tcW w:w="1838" w:type="dxa"/>
          </w:tcPr>
          <w:p w14:paraId="128075D8"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1198" w:type="dxa"/>
          </w:tcPr>
          <w:p w14:paraId="653597D0" w14:textId="77777777" w:rsidR="008D0CAD" w:rsidRPr="00CF6064" w:rsidRDefault="008D0CAD" w:rsidP="00DD08E3">
            <w:pPr>
              <w:numPr>
                <w:ilvl w:val="0"/>
                <w:numId w:val="124"/>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For Gender-Responsive Basic Education (GRBE)</w:t>
            </w:r>
          </w:p>
        </w:tc>
        <w:tc>
          <w:tcPr>
            <w:tcW w:w="2127" w:type="dxa"/>
          </w:tcPr>
          <w:p w14:paraId="540DF72E"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r w:rsidRPr="00CF6064">
              <w:rPr>
                <w:rFonts w:asciiTheme="majorHAnsi" w:hAnsiTheme="majorHAnsi" w:cstheme="majorHAnsi"/>
                <w:bCs/>
                <w:color w:val="000000" w:themeColor="text1"/>
                <w:sz w:val="20"/>
                <w:szCs w:val="20"/>
                <w:lang w:val="en-US"/>
              </w:rPr>
              <w:t>Refer to answer to Question No. 32</w:t>
            </w:r>
          </w:p>
        </w:tc>
      </w:tr>
      <w:tr w:rsidR="008D0CAD" w:rsidRPr="00CF6064" w14:paraId="6B3BAFBD" w14:textId="77777777" w:rsidTr="00EC48C1">
        <w:tc>
          <w:tcPr>
            <w:tcW w:w="1838" w:type="dxa"/>
          </w:tcPr>
          <w:p w14:paraId="76DC8781"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1198" w:type="dxa"/>
          </w:tcPr>
          <w:p w14:paraId="05475342" w14:textId="77777777" w:rsidR="008D0CAD" w:rsidRPr="00CF6064" w:rsidRDefault="008D0CAD" w:rsidP="00EA6CB9">
            <w:pPr>
              <w:spacing w:before="100" w:beforeAutospacing="1" w:after="100" w:afterAutospacing="1" w:line="360" w:lineRule="auto"/>
              <w:rPr>
                <w:rFonts w:asciiTheme="majorHAnsi" w:hAnsiTheme="majorHAnsi" w:cstheme="majorHAnsi"/>
                <w:b/>
                <w:bCs/>
                <w:color w:val="000000" w:themeColor="text1"/>
                <w:sz w:val="20"/>
                <w:szCs w:val="20"/>
                <w:lang w:val="en-US"/>
              </w:rPr>
            </w:pPr>
            <w:r w:rsidRPr="00CF6064">
              <w:rPr>
                <w:rFonts w:asciiTheme="majorHAnsi" w:hAnsiTheme="majorHAnsi" w:cstheme="majorHAnsi"/>
                <w:b/>
                <w:bCs/>
                <w:color w:val="000000" w:themeColor="text1"/>
                <w:sz w:val="20"/>
                <w:szCs w:val="20"/>
                <w:lang w:val="en-US"/>
              </w:rPr>
              <w:t>Innovations on GEDSI implementation</w:t>
            </w:r>
          </w:p>
          <w:p w14:paraId="1C51B3F7" w14:textId="77777777" w:rsidR="008D0CAD" w:rsidRPr="00CF6064" w:rsidRDefault="008D0CAD" w:rsidP="00DD08E3">
            <w:pPr>
              <w:numPr>
                <w:ilvl w:val="0"/>
                <w:numId w:val="123"/>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 xml:space="preserve">What innovations, if any, did your school adopt in terms of implementing Inclusive, Responsive and GRBE? </w:t>
            </w:r>
          </w:p>
          <w:p w14:paraId="0571CBEC" w14:textId="77777777" w:rsidR="008D0CAD" w:rsidRPr="00CF6064" w:rsidRDefault="008D0CAD" w:rsidP="00DD08E3">
            <w:pPr>
              <w:numPr>
                <w:ilvl w:val="1"/>
                <w:numId w:val="123"/>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Why not?</w:t>
            </w:r>
          </w:p>
        </w:tc>
        <w:tc>
          <w:tcPr>
            <w:tcW w:w="2127" w:type="dxa"/>
          </w:tcPr>
          <w:p w14:paraId="79A8D142"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p>
          <w:p w14:paraId="5C70B77A"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r w:rsidRPr="00CF6064">
              <w:rPr>
                <w:rFonts w:asciiTheme="majorHAnsi" w:hAnsiTheme="majorHAnsi" w:cstheme="majorHAnsi"/>
                <w:bCs/>
                <w:color w:val="000000" w:themeColor="text1"/>
                <w:sz w:val="20"/>
                <w:szCs w:val="20"/>
                <w:lang w:val="en-US"/>
              </w:rPr>
              <w:t>Refer to answer to Question No. 34</w:t>
            </w:r>
          </w:p>
        </w:tc>
      </w:tr>
      <w:tr w:rsidR="008D0CAD" w:rsidRPr="00CF6064" w14:paraId="3DC74AED" w14:textId="77777777" w:rsidTr="00EC48C1">
        <w:tc>
          <w:tcPr>
            <w:tcW w:w="1838" w:type="dxa"/>
          </w:tcPr>
          <w:p w14:paraId="6BD1DF7E"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1198" w:type="dxa"/>
          </w:tcPr>
          <w:p w14:paraId="6D77CC19" w14:textId="77777777" w:rsidR="008D0CAD" w:rsidRPr="00CF6064" w:rsidRDefault="008D0CAD" w:rsidP="00EA6CB9">
            <w:pPr>
              <w:spacing w:before="100" w:beforeAutospacing="1" w:after="100" w:afterAutospacing="1" w:line="360" w:lineRule="auto"/>
              <w:rPr>
                <w:rFonts w:asciiTheme="majorHAnsi" w:hAnsiTheme="majorHAnsi" w:cstheme="majorHAnsi"/>
                <w:b/>
                <w:bCs/>
                <w:color w:val="000000" w:themeColor="text1"/>
                <w:sz w:val="20"/>
                <w:szCs w:val="20"/>
                <w:lang w:val="en-US"/>
              </w:rPr>
            </w:pPr>
            <w:r w:rsidRPr="00CF6064">
              <w:rPr>
                <w:rFonts w:asciiTheme="majorHAnsi" w:hAnsiTheme="majorHAnsi" w:cstheme="majorHAnsi"/>
                <w:b/>
                <w:bCs/>
                <w:color w:val="000000" w:themeColor="text1"/>
                <w:sz w:val="20"/>
                <w:szCs w:val="20"/>
                <w:lang w:val="en-US"/>
              </w:rPr>
              <w:t>Effects of GEDSI</w:t>
            </w:r>
          </w:p>
          <w:p w14:paraId="27DDC781" w14:textId="77777777" w:rsidR="008D0CAD" w:rsidRPr="00CF6064" w:rsidRDefault="008D0CAD" w:rsidP="00DD08E3">
            <w:pPr>
              <w:numPr>
                <w:ilvl w:val="0"/>
                <w:numId w:val="123"/>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 xml:space="preserve">Overall, how did the implementation of the </w:t>
            </w:r>
            <w:r w:rsidRPr="00CF6064">
              <w:rPr>
                <w:rFonts w:asciiTheme="majorHAnsi" w:hAnsiTheme="majorHAnsi" w:cstheme="majorHAnsi"/>
                <w:b/>
                <w:bCs/>
                <w:snapToGrid w:val="0"/>
                <w:color w:val="000000" w:themeColor="text1"/>
                <w:sz w:val="20"/>
                <w:szCs w:val="20"/>
                <w:lang w:val="en-US"/>
              </w:rPr>
              <w:t>Inclusive and Responsive Education</w:t>
            </w:r>
            <w:r w:rsidRPr="00CF6064">
              <w:rPr>
                <w:rFonts w:asciiTheme="majorHAnsi" w:hAnsiTheme="majorHAnsi" w:cstheme="majorHAnsi"/>
                <w:snapToGrid w:val="0"/>
                <w:color w:val="000000" w:themeColor="text1"/>
                <w:sz w:val="20"/>
                <w:szCs w:val="20"/>
                <w:lang w:val="en-US"/>
              </w:rPr>
              <w:t xml:space="preserve"> and </w:t>
            </w:r>
            <w:r w:rsidRPr="00CF6064">
              <w:rPr>
                <w:rFonts w:asciiTheme="majorHAnsi" w:hAnsiTheme="majorHAnsi" w:cstheme="majorHAnsi"/>
                <w:b/>
                <w:snapToGrid w:val="0"/>
                <w:color w:val="000000" w:themeColor="text1"/>
                <w:sz w:val="20"/>
                <w:szCs w:val="20"/>
                <w:lang w:val="en-US"/>
              </w:rPr>
              <w:t xml:space="preserve">Gender-Responsive Basic Education </w:t>
            </w:r>
            <w:r w:rsidRPr="00CF6064">
              <w:rPr>
                <w:rFonts w:asciiTheme="majorHAnsi" w:hAnsiTheme="majorHAnsi" w:cstheme="majorHAnsi"/>
                <w:snapToGrid w:val="0"/>
                <w:color w:val="000000" w:themeColor="text1"/>
                <w:sz w:val="20"/>
                <w:szCs w:val="20"/>
                <w:lang w:val="en-US"/>
              </w:rPr>
              <w:t>influence leadership and management practices in your school?</w:t>
            </w:r>
          </w:p>
        </w:tc>
        <w:tc>
          <w:tcPr>
            <w:tcW w:w="2127" w:type="dxa"/>
          </w:tcPr>
          <w:p w14:paraId="023B736A"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p>
        </w:tc>
      </w:tr>
      <w:tr w:rsidR="008D0CAD" w:rsidRPr="00CF6064" w14:paraId="668FB635" w14:textId="77777777" w:rsidTr="00EC48C1">
        <w:tc>
          <w:tcPr>
            <w:tcW w:w="1838" w:type="dxa"/>
          </w:tcPr>
          <w:p w14:paraId="21924064"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1198" w:type="dxa"/>
          </w:tcPr>
          <w:p w14:paraId="02BD0217" w14:textId="77777777" w:rsidR="008D0CAD" w:rsidRPr="00CF6064" w:rsidRDefault="008D0CAD" w:rsidP="00EA6CB9">
            <w:pPr>
              <w:spacing w:before="100" w:beforeAutospacing="1" w:after="100" w:afterAutospacing="1" w:line="360" w:lineRule="auto"/>
              <w:rPr>
                <w:rFonts w:asciiTheme="majorHAnsi" w:hAnsiTheme="majorHAnsi" w:cstheme="majorHAnsi"/>
                <w:b/>
                <w:bCs/>
                <w:color w:val="0070C0"/>
                <w:sz w:val="20"/>
                <w:szCs w:val="20"/>
                <w:lang w:val="en-US"/>
              </w:rPr>
            </w:pPr>
            <w:r w:rsidRPr="00CF6064">
              <w:rPr>
                <w:rFonts w:asciiTheme="majorHAnsi" w:hAnsiTheme="majorHAnsi" w:cstheme="majorHAnsi"/>
                <w:b/>
                <w:bCs/>
                <w:color w:val="0070C0"/>
                <w:sz w:val="20"/>
                <w:szCs w:val="20"/>
                <w:lang w:val="en-US"/>
              </w:rPr>
              <w:t>Policy, Planning and Monitoring and Evaluation System (PPMES)</w:t>
            </w:r>
          </w:p>
          <w:p w14:paraId="2805E3F4" w14:textId="77777777" w:rsidR="008D0CAD" w:rsidRPr="00CF6064" w:rsidRDefault="008D0CAD" w:rsidP="00EA6CB9">
            <w:pPr>
              <w:spacing w:before="100" w:beforeAutospacing="1" w:after="100" w:afterAutospacing="1" w:line="360" w:lineRule="auto"/>
              <w:rPr>
                <w:rFonts w:asciiTheme="majorHAnsi" w:hAnsiTheme="majorHAnsi" w:cstheme="majorHAnsi"/>
                <w:b/>
                <w:bCs/>
                <w:color w:val="000000" w:themeColor="text1"/>
                <w:sz w:val="20"/>
                <w:szCs w:val="20"/>
                <w:lang w:val="en-US"/>
              </w:rPr>
            </w:pPr>
            <w:r w:rsidRPr="00CF6064">
              <w:rPr>
                <w:rFonts w:asciiTheme="majorHAnsi" w:hAnsiTheme="majorHAnsi" w:cstheme="majorHAnsi"/>
                <w:b/>
                <w:bCs/>
                <w:color w:val="000000" w:themeColor="text1"/>
                <w:sz w:val="20"/>
                <w:szCs w:val="20"/>
                <w:lang w:val="en-US"/>
              </w:rPr>
              <w:t>PPMES Knowledge/Awareness</w:t>
            </w:r>
          </w:p>
          <w:p w14:paraId="0506D8F2" w14:textId="77777777" w:rsidR="008D0CAD" w:rsidRPr="00CF6064" w:rsidRDefault="008D0CAD" w:rsidP="00DD08E3">
            <w:pPr>
              <w:numPr>
                <w:ilvl w:val="0"/>
                <w:numId w:val="123"/>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What is your understanding of the concepts of the</w:t>
            </w:r>
            <w:r w:rsidRPr="00CF6064">
              <w:rPr>
                <w:rFonts w:asciiTheme="majorHAnsi" w:hAnsiTheme="majorHAnsi" w:cstheme="majorHAnsi"/>
                <w:b/>
                <w:bCs/>
                <w:snapToGrid w:val="0"/>
                <w:color w:val="000000" w:themeColor="text1"/>
                <w:sz w:val="20"/>
                <w:szCs w:val="20"/>
                <w:lang w:val="en-US"/>
              </w:rPr>
              <w:t xml:space="preserve"> School Monitoring, Evaluation and Adjustment (SMEA) Framework?</w:t>
            </w:r>
          </w:p>
        </w:tc>
        <w:tc>
          <w:tcPr>
            <w:tcW w:w="2127" w:type="dxa"/>
          </w:tcPr>
          <w:p w14:paraId="72BD6319"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r w:rsidRPr="00CF6064">
              <w:rPr>
                <w:rFonts w:asciiTheme="majorHAnsi" w:hAnsiTheme="majorHAnsi" w:cstheme="majorHAnsi"/>
                <w:bCs/>
                <w:color w:val="000000" w:themeColor="text1"/>
                <w:sz w:val="20"/>
                <w:szCs w:val="20"/>
                <w:lang w:val="en-US"/>
              </w:rPr>
              <w:t xml:space="preserve"> </w:t>
            </w:r>
          </w:p>
        </w:tc>
      </w:tr>
      <w:tr w:rsidR="008D0CAD" w:rsidRPr="00CF6064" w14:paraId="6AFE4BC0" w14:textId="77777777" w:rsidTr="00EC48C1">
        <w:tc>
          <w:tcPr>
            <w:tcW w:w="1838" w:type="dxa"/>
          </w:tcPr>
          <w:p w14:paraId="324E0079"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1198" w:type="dxa"/>
          </w:tcPr>
          <w:p w14:paraId="7574E70A" w14:textId="77777777" w:rsidR="008D0CAD" w:rsidRPr="00CF6064" w:rsidRDefault="008D0CAD" w:rsidP="00EA6CB9">
            <w:pPr>
              <w:spacing w:before="100" w:beforeAutospacing="1" w:after="100" w:afterAutospacing="1" w:line="360" w:lineRule="auto"/>
              <w:rPr>
                <w:rFonts w:asciiTheme="majorHAnsi" w:hAnsiTheme="majorHAnsi" w:cstheme="majorHAnsi"/>
                <w:b/>
                <w:bCs/>
                <w:color w:val="000000" w:themeColor="text1"/>
                <w:sz w:val="20"/>
                <w:szCs w:val="20"/>
                <w:lang w:val="en-US"/>
              </w:rPr>
            </w:pPr>
            <w:r w:rsidRPr="00CF6064">
              <w:rPr>
                <w:rFonts w:asciiTheme="majorHAnsi" w:hAnsiTheme="majorHAnsi" w:cstheme="majorHAnsi"/>
                <w:b/>
                <w:bCs/>
                <w:color w:val="000000" w:themeColor="text1"/>
                <w:sz w:val="20"/>
                <w:szCs w:val="20"/>
                <w:lang w:val="en-US"/>
              </w:rPr>
              <w:t>PPMES Practices</w:t>
            </w:r>
          </w:p>
          <w:p w14:paraId="20D0569B" w14:textId="77777777" w:rsidR="008D0CAD" w:rsidRPr="00CF6064" w:rsidRDefault="008D0CAD" w:rsidP="00DD08E3">
            <w:pPr>
              <w:numPr>
                <w:ilvl w:val="0"/>
                <w:numId w:val="123"/>
              </w:numPr>
              <w:spacing w:before="100" w:beforeAutospacing="1" w:after="100" w:afterAutospacing="1" w:line="360" w:lineRule="auto"/>
              <w:ind w:left="324" w:hanging="324"/>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 xml:space="preserve">How is SMEA implemented in your school? </w:t>
            </w:r>
          </w:p>
          <w:p w14:paraId="73974867" w14:textId="77777777" w:rsidR="008D0CAD" w:rsidRPr="00CF6064" w:rsidRDefault="008D0CAD" w:rsidP="00DD08E3">
            <w:pPr>
              <w:numPr>
                <w:ilvl w:val="1"/>
                <w:numId w:val="123"/>
              </w:numPr>
              <w:spacing w:before="100" w:beforeAutospacing="1" w:after="100" w:afterAutospacing="1" w:line="360" w:lineRule="auto"/>
              <w:ind w:left="891" w:hanging="567"/>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As Principal/School Head, how did you support the implementation of SMEA</w:t>
            </w:r>
            <w:r w:rsidRPr="00CF6064">
              <w:rPr>
                <w:rFonts w:asciiTheme="majorHAnsi" w:hAnsiTheme="majorHAnsi" w:cstheme="majorHAnsi"/>
                <w:b/>
                <w:snapToGrid w:val="0"/>
                <w:color w:val="000000" w:themeColor="text1"/>
                <w:sz w:val="20"/>
                <w:szCs w:val="20"/>
                <w:lang w:val="en-US"/>
              </w:rPr>
              <w:t xml:space="preserve"> </w:t>
            </w:r>
            <w:r w:rsidRPr="00CF6064">
              <w:rPr>
                <w:rFonts w:asciiTheme="majorHAnsi" w:hAnsiTheme="majorHAnsi" w:cstheme="majorHAnsi"/>
                <w:snapToGrid w:val="0"/>
                <w:color w:val="000000" w:themeColor="text1"/>
                <w:sz w:val="20"/>
                <w:szCs w:val="20"/>
                <w:lang w:val="en-US"/>
              </w:rPr>
              <w:t>in your school?</w:t>
            </w:r>
          </w:p>
          <w:p w14:paraId="0DC19E4B" w14:textId="77777777" w:rsidR="008D0CAD" w:rsidRPr="00CF6064" w:rsidRDefault="008D0CAD" w:rsidP="00DD08E3">
            <w:pPr>
              <w:numPr>
                <w:ilvl w:val="1"/>
                <w:numId w:val="123"/>
              </w:numPr>
              <w:spacing w:before="100" w:beforeAutospacing="1" w:after="100" w:afterAutospacing="1" w:line="360" w:lineRule="auto"/>
              <w:ind w:left="891" w:hanging="567"/>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Why not?</w:t>
            </w:r>
          </w:p>
        </w:tc>
        <w:tc>
          <w:tcPr>
            <w:tcW w:w="2127" w:type="dxa"/>
          </w:tcPr>
          <w:p w14:paraId="57E254EC"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p>
          <w:p w14:paraId="20E0CBFC"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r w:rsidRPr="00CF6064">
              <w:rPr>
                <w:rFonts w:asciiTheme="majorHAnsi" w:hAnsiTheme="majorHAnsi" w:cstheme="majorHAnsi"/>
                <w:bCs/>
                <w:color w:val="000000" w:themeColor="text1"/>
                <w:sz w:val="20"/>
                <w:szCs w:val="20"/>
                <w:lang w:val="en-US"/>
              </w:rPr>
              <w:t>Refer to answer to Question No. 25</w:t>
            </w:r>
          </w:p>
        </w:tc>
      </w:tr>
      <w:tr w:rsidR="008D0CAD" w:rsidRPr="00CF6064" w14:paraId="712ADB9F" w14:textId="77777777" w:rsidTr="00EC48C1">
        <w:tc>
          <w:tcPr>
            <w:tcW w:w="1838" w:type="dxa"/>
          </w:tcPr>
          <w:p w14:paraId="38ACF059"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1198" w:type="dxa"/>
          </w:tcPr>
          <w:p w14:paraId="5D8D59E0" w14:textId="77777777" w:rsidR="008D0CAD" w:rsidRPr="00CF6064" w:rsidRDefault="008D0CAD" w:rsidP="00EA6CB9">
            <w:pPr>
              <w:spacing w:before="100" w:beforeAutospacing="1" w:after="100" w:afterAutospacing="1" w:line="360" w:lineRule="auto"/>
              <w:rPr>
                <w:rFonts w:asciiTheme="majorHAnsi" w:hAnsiTheme="majorHAnsi" w:cstheme="majorHAnsi"/>
                <w:b/>
                <w:bCs/>
                <w:color w:val="000000" w:themeColor="text1"/>
                <w:sz w:val="20"/>
                <w:szCs w:val="20"/>
                <w:lang w:val="en-US"/>
              </w:rPr>
            </w:pPr>
            <w:r w:rsidRPr="00CF6064">
              <w:rPr>
                <w:rFonts w:asciiTheme="majorHAnsi" w:hAnsiTheme="majorHAnsi" w:cstheme="majorHAnsi"/>
                <w:b/>
                <w:bCs/>
                <w:color w:val="000000" w:themeColor="text1"/>
                <w:sz w:val="20"/>
                <w:szCs w:val="20"/>
                <w:lang w:val="en-US"/>
              </w:rPr>
              <w:t>Innovations on SMEA implementation</w:t>
            </w:r>
          </w:p>
          <w:p w14:paraId="12BDD486" w14:textId="77777777" w:rsidR="008D0CAD" w:rsidRPr="00CF6064" w:rsidRDefault="008D0CAD" w:rsidP="00DD08E3">
            <w:pPr>
              <w:numPr>
                <w:ilvl w:val="0"/>
                <w:numId w:val="123"/>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What innovations, if any, did your school adopt in terms of implementing SMEA?</w:t>
            </w:r>
          </w:p>
          <w:p w14:paraId="178ECC9C" w14:textId="77777777" w:rsidR="008D0CAD" w:rsidRPr="00CF6064" w:rsidRDefault="008D0CAD" w:rsidP="00DD08E3">
            <w:pPr>
              <w:numPr>
                <w:ilvl w:val="1"/>
                <w:numId w:val="123"/>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Why not?</w:t>
            </w:r>
          </w:p>
        </w:tc>
        <w:tc>
          <w:tcPr>
            <w:tcW w:w="2127" w:type="dxa"/>
          </w:tcPr>
          <w:p w14:paraId="5C4C2B6D"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r w:rsidRPr="00CF6064">
              <w:rPr>
                <w:rFonts w:asciiTheme="majorHAnsi" w:hAnsiTheme="majorHAnsi" w:cstheme="majorHAnsi"/>
                <w:bCs/>
                <w:color w:val="000000" w:themeColor="text1"/>
                <w:sz w:val="20"/>
                <w:szCs w:val="20"/>
                <w:lang w:val="en-US"/>
              </w:rPr>
              <w:t>Refer to answer to Question No. 26</w:t>
            </w:r>
          </w:p>
        </w:tc>
      </w:tr>
      <w:tr w:rsidR="008D0CAD" w:rsidRPr="00CF6064" w14:paraId="1E9DF2A2" w14:textId="77777777" w:rsidTr="00EC48C1">
        <w:tc>
          <w:tcPr>
            <w:tcW w:w="1838" w:type="dxa"/>
          </w:tcPr>
          <w:p w14:paraId="1438599A"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1198" w:type="dxa"/>
          </w:tcPr>
          <w:p w14:paraId="50D21FB8" w14:textId="77777777" w:rsidR="008D0CAD" w:rsidRPr="00CF6064" w:rsidRDefault="008D0CAD" w:rsidP="00EA6CB9">
            <w:pPr>
              <w:spacing w:before="100" w:beforeAutospacing="1" w:after="100" w:afterAutospacing="1" w:line="360" w:lineRule="auto"/>
              <w:rPr>
                <w:rFonts w:asciiTheme="majorHAnsi" w:hAnsiTheme="majorHAnsi" w:cstheme="majorHAnsi"/>
                <w:b/>
                <w:bCs/>
                <w:color w:val="000000" w:themeColor="text1"/>
                <w:sz w:val="20"/>
                <w:szCs w:val="20"/>
                <w:lang w:val="en-US"/>
              </w:rPr>
            </w:pPr>
            <w:r w:rsidRPr="00CF6064">
              <w:rPr>
                <w:rFonts w:asciiTheme="majorHAnsi" w:hAnsiTheme="majorHAnsi" w:cstheme="majorHAnsi"/>
                <w:b/>
                <w:bCs/>
                <w:color w:val="000000" w:themeColor="text1"/>
                <w:sz w:val="20"/>
                <w:szCs w:val="20"/>
                <w:lang w:val="en-US"/>
              </w:rPr>
              <w:t>Effects of SMEA</w:t>
            </w:r>
          </w:p>
          <w:p w14:paraId="2817A738" w14:textId="77777777" w:rsidR="008D0CAD" w:rsidRPr="00CF6064" w:rsidRDefault="008D0CAD" w:rsidP="00DD08E3">
            <w:pPr>
              <w:numPr>
                <w:ilvl w:val="0"/>
                <w:numId w:val="123"/>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 xml:space="preserve">Overall, how has the provision of the </w:t>
            </w:r>
            <w:r w:rsidRPr="00CF6064">
              <w:rPr>
                <w:rFonts w:asciiTheme="majorHAnsi" w:hAnsiTheme="majorHAnsi" w:cstheme="majorHAnsi"/>
                <w:snapToGrid w:val="0"/>
                <w:sz w:val="20"/>
                <w:szCs w:val="20"/>
                <w:lang w:val="en-US"/>
              </w:rPr>
              <w:t xml:space="preserve">SMEA Technology/Framework </w:t>
            </w:r>
            <w:r w:rsidRPr="00CF6064">
              <w:rPr>
                <w:rFonts w:asciiTheme="majorHAnsi" w:hAnsiTheme="majorHAnsi" w:cstheme="majorHAnsi"/>
                <w:snapToGrid w:val="0"/>
                <w:color w:val="000000" w:themeColor="text1"/>
                <w:sz w:val="20"/>
                <w:szCs w:val="20"/>
                <w:lang w:val="en-US"/>
              </w:rPr>
              <w:t xml:space="preserve">improved leadership and management practices in your school? </w:t>
            </w:r>
          </w:p>
        </w:tc>
        <w:tc>
          <w:tcPr>
            <w:tcW w:w="2127" w:type="dxa"/>
          </w:tcPr>
          <w:p w14:paraId="2E76CCDC"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p>
        </w:tc>
      </w:tr>
      <w:tr w:rsidR="008D0CAD" w:rsidRPr="00CF6064" w14:paraId="75D71FCA" w14:textId="77777777" w:rsidTr="00EC48C1">
        <w:tc>
          <w:tcPr>
            <w:tcW w:w="1838" w:type="dxa"/>
          </w:tcPr>
          <w:p w14:paraId="2C71FB1B"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1198" w:type="dxa"/>
          </w:tcPr>
          <w:p w14:paraId="2BBB14E0" w14:textId="77777777" w:rsidR="008D0CAD" w:rsidRPr="00CF6064" w:rsidRDefault="008D0CAD" w:rsidP="00EA6CB9">
            <w:pPr>
              <w:spacing w:before="100" w:beforeAutospacing="1" w:after="100" w:afterAutospacing="1" w:line="360" w:lineRule="auto"/>
              <w:rPr>
                <w:rFonts w:asciiTheme="majorHAnsi" w:hAnsiTheme="majorHAnsi" w:cstheme="majorHAnsi"/>
                <w:b/>
                <w:bCs/>
                <w:color w:val="0070C0"/>
                <w:sz w:val="20"/>
                <w:szCs w:val="20"/>
                <w:lang w:val="en-GB"/>
              </w:rPr>
            </w:pPr>
            <w:r w:rsidRPr="00CF6064">
              <w:rPr>
                <w:rFonts w:asciiTheme="majorHAnsi" w:hAnsiTheme="majorHAnsi" w:cstheme="majorHAnsi"/>
                <w:b/>
                <w:bCs/>
                <w:color w:val="0070C0"/>
                <w:sz w:val="20"/>
                <w:szCs w:val="20"/>
                <w:lang w:val="en-GB"/>
              </w:rPr>
              <w:t>School-Based Management (SBM)</w:t>
            </w:r>
          </w:p>
          <w:p w14:paraId="431C9597" w14:textId="77777777" w:rsidR="008D0CAD" w:rsidRPr="00CF6064" w:rsidRDefault="008D0CAD" w:rsidP="00EA6CB9">
            <w:pPr>
              <w:spacing w:before="100" w:beforeAutospacing="1" w:after="100" w:afterAutospacing="1" w:line="360" w:lineRule="auto"/>
              <w:rPr>
                <w:rFonts w:asciiTheme="majorHAnsi" w:hAnsiTheme="majorHAnsi" w:cstheme="majorHAnsi"/>
                <w:b/>
                <w:bCs/>
                <w:color w:val="000000" w:themeColor="text1"/>
                <w:sz w:val="20"/>
                <w:szCs w:val="20"/>
                <w:lang w:val="en-US"/>
              </w:rPr>
            </w:pPr>
            <w:r w:rsidRPr="00CF6064">
              <w:rPr>
                <w:rFonts w:asciiTheme="majorHAnsi" w:hAnsiTheme="majorHAnsi" w:cstheme="majorHAnsi"/>
                <w:b/>
                <w:bCs/>
                <w:color w:val="000000" w:themeColor="text1"/>
                <w:sz w:val="20"/>
                <w:szCs w:val="20"/>
                <w:lang w:val="en-GB"/>
              </w:rPr>
              <w:t>SIP Practices</w:t>
            </w:r>
          </w:p>
          <w:p w14:paraId="3AA38EE2" w14:textId="77777777" w:rsidR="008D0CAD" w:rsidRPr="00CF6064" w:rsidRDefault="008D0CAD" w:rsidP="00DD08E3">
            <w:pPr>
              <w:numPr>
                <w:ilvl w:val="0"/>
                <w:numId w:val="123"/>
              </w:numPr>
              <w:spacing w:before="100" w:beforeAutospacing="1" w:after="100" w:afterAutospacing="1" w:line="360" w:lineRule="auto"/>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How is the formulation of the SIP implemented in your school?</w:t>
            </w:r>
          </w:p>
          <w:p w14:paraId="2FAD4374" w14:textId="77777777" w:rsidR="008D0CAD" w:rsidRPr="00CF6064" w:rsidRDefault="008D0CAD" w:rsidP="00DD08E3">
            <w:pPr>
              <w:numPr>
                <w:ilvl w:val="1"/>
                <w:numId w:val="123"/>
              </w:numPr>
              <w:spacing w:before="100" w:beforeAutospacing="1" w:after="100" w:afterAutospacing="1" w:line="360" w:lineRule="auto"/>
              <w:ind w:left="891" w:hanging="567"/>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 xml:space="preserve">What </w:t>
            </w:r>
            <w:r w:rsidRPr="00CF6064">
              <w:rPr>
                <w:rFonts w:asciiTheme="majorHAnsi" w:hAnsiTheme="majorHAnsi" w:cstheme="majorHAnsi"/>
                <w:snapToGrid w:val="0"/>
                <w:sz w:val="20"/>
                <w:szCs w:val="20"/>
                <w:lang w:val="en-US"/>
              </w:rPr>
              <w:t>was the result of the SIP Quality Assessment of your SIP</w:t>
            </w:r>
            <w:r w:rsidRPr="00CF6064">
              <w:rPr>
                <w:rFonts w:asciiTheme="majorHAnsi" w:hAnsiTheme="majorHAnsi" w:cstheme="majorHAnsi"/>
                <w:snapToGrid w:val="0"/>
                <w:color w:val="000000" w:themeColor="text1"/>
                <w:sz w:val="20"/>
                <w:szCs w:val="20"/>
                <w:lang w:val="en-US"/>
              </w:rPr>
              <w:t xml:space="preserve">? </w:t>
            </w:r>
          </w:p>
          <w:p w14:paraId="25017A55" w14:textId="77777777" w:rsidR="008D0CAD" w:rsidRPr="00CF6064" w:rsidRDefault="008D0CAD" w:rsidP="00DD08E3">
            <w:pPr>
              <w:numPr>
                <w:ilvl w:val="1"/>
                <w:numId w:val="123"/>
              </w:numPr>
              <w:spacing w:before="100" w:beforeAutospacing="1" w:after="100" w:afterAutospacing="1" w:line="360" w:lineRule="auto"/>
              <w:ind w:left="891" w:hanging="567"/>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What challenges does your school encounter in complying with the requirements for SIP?</w:t>
            </w:r>
          </w:p>
          <w:p w14:paraId="44BEC367" w14:textId="77777777" w:rsidR="008D0CAD" w:rsidRPr="00CF6064" w:rsidRDefault="008D0CAD" w:rsidP="00DD08E3">
            <w:pPr>
              <w:numPr>
                <w:ilvl w:val="1"/>
                <w:numId w:val="123"/>
              </w:numPr>
              <w:spacing w:before="100" w:beforeAutospacing="1" w:after="100" w:afterAutospacing="1" w:line="360" w:lineRule="auto"/>
              <w:ind w:left="891" w:hanging="567"/>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What innovations, if any, did your school adopt in terms of formulating your SIP?</w:t>
            </w:r>
          </w:p>
        </w:tc>
        <w:tc>
          <w:tcPr>
            <w:tcW w:w="2127" w:type="dxa"/>
          </w:tcPr>
          <w:p w14:paraId="655B2CEB"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p>
        </w:tc>
      </w:tr>
      <w:tr w:rsidR="008D0CAD" w:rsidRPr="00CF6064" w14:paraId="75544913" w14:textId="77777777" w:rsidTr="00EC48C1">
        <w:tc>
          <w:tcPr>
            <w:tcW w:w="1838" w:type="dxa"/>
          </w:tcPr>
          <w:p w14:paraId="58EB8237"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1198" w:type="dxa"/>
          </w:tcPr>
          <w:p w14:paraId="5DEF5F4E" w14:textId="77777777" w:rsidR="008D0CAD" w:rsidRPr="00CF6064" w:rsidRDefault="008D0CAD" w:rsidP="00DD08E3">
            <w:pPr>
              <w:numPr>
                <w:ilvl w:val="0"/>
                <w:numId w:val="126"/>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GB"/>
              </w:rPr>
              <w:t>School Improvement Plan (SIP) Compliance</w:t>
            </w:r>
          </w:p>
        </w:tc>
        <w:tc>
          <w:tcPr>
            <w:tcW w:w="2127" w:type="dxa"/>
          </w:tcPr>
          <w:p w14:paraId="43281FAF"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r w:rsidRPr="00CF6064">
              <w:rPr>
                <w:rFonts w:asciiTheme="majorHAnsi" w:hAnsiTheme="majorHAnsi" w:cstheme="majorHAnsi"/>
                <w:bCs/>
                <w:color w:val="000000" w:themeColor="text1"/>
                <w:sz w:val="20"/>
                <w:szCs w:val="20"/>
                <w:lang w:val="en-US"/>
              </w:rPr>
              <w:t>Refer to answer to Question No. 22</w:t>
            </w:r>
          </w:p>
        </w:tc>
      </w:tr>
      <w:tr w:rsidR="008D0CAD" w:rsidRPr="00CF6064" w14:paraId="3AD747CB" w14:textId="77777777" w:rsidTr="00EC48C1">
        <w:tc>
          <w:tcPr>
            <w:tcW w:w="1838" w:type="dxa"/>
          </w:tcPr>
          <w:p w14:paraId="3D844933"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1198" w:type="dxa"/>
          </w:tcPr>
          <w:p w14:paraId="16F90791" w14:textId="77777777" w:rsidR="008D0CAD" w:rsidRPr="00CF6064" w:rsidRDefault="008D0CAD" w:rsidP="00DD08E3">
            <w:pPr>
              <w:numPr>
                <w:ilvl w:val="0"/>
                <w:numId w:val="126"/>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SIP Quality Assessment Tool</w:t>
            </w:r>
          </w:p>
          <w:p w14:paraId="6AA3F793" w14:textId="77777777" w:rsidR="008D0CAD" w:rsidRPr="00CF6064" w:rsidRDefault="008D0CAD" w:rsidP="00EA6CB9">
            <w:pPr>
              <w:spacing w:before="100" w:beforeAutospacing="1" w:after="100" w:afterAutospacing="1" w:line="360" w:lineRule="auto"/>
              <w:rPr>
                <w:rFonts w:asciiTheme="majorHAnsi" w:hAnsiTheme="majorHAnsi" w:cstheme="majorHAnsi"/>
                <w:color w:val="000000" w:themeColor="text1"/>
                <w:sz w:val="20"/>
                <w:szCs w:val="20"/>
                <w:lang w:val="en-US"/>
              </w:rPr>
            </w:pPr>
          </w:p>
        </w:tc>
        <w:tc>
          <w:tcPr>
            <w:tcW w:w="2127" w:type="dxa"/>
          </w:tcPr>
          <w:p w14:paraId="2F5DC18F"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r w:rsidRPr="00CF6064">
              <w:rPr>
                <w:rFonts w:asciiTheme="majorHAnsi" w:hAnsiTheme="majorHAnsi" w:cstheme="majorHAnsi"/>
                <w:bCs/>
                <w:color w:val="000000" w:themeColor="text1"/>
                <w:sz w:val="20"/>
                <w:szCs w:val="20"/>
                <w:lang w:val="en-US"/>
              </w:rPr>
              <w:t>Refer to answer to Question No. 23</w:t>
            </w:r>
          </w:p>
        </w:tc>
      </w:tr>
      <w:tr w:rsidR="008D0CAD" w:rsidRPr="00CF6064" w14:paraId="3CDB09A1" w14:textId="77777777" w:rsidTr="00EC48C1">
        <w:tc>
          <w:tcPr>
            <w:tcW w:w="1838" w:type="dxa"/>
          </w:tcPr>
          <w:p w14:paraId="6FE9FD1A"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1198" w:type="dxa"/>
          </w:tcPr>
          <w:p w14:paraId="7E9FBDC9" w14:textId="5C3D8B35" w:rsidR="008D0CAD" w:rsidRPr="00CF6064" w:rsidRDefault="008D0CAD" w:rsidP="00DD08E3">
            <w:pPr>
              <w:numPr>
                <w:ilvl w:val="0"/>
                <w:numId w:val="126"/>
              </w:numPr>
              <w:spacing w:before="100" w:beforeAutospacing="1" w:after="100" w:afterAutospacing="1" w:line="360" w:lineRule="auto"/>
              <w:contextualSpacing/>
              <w:rPr>
                <w:rFonts w:asciiTheme="majorHAnsi" w:hAnsiTheme="majorHAnsi" w:cstheme="majorHAnsi"/>
                <w:b/>
                <w:bCs/>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SIP innovations</w:t>
            </w:r>
            <w:r w:rsidR="00D434EB">
              <w:rPr>
                <w:rFonts w:asciiTheme="majorHAnsi" w:hAnsiTheme="majorHAnsi" w:cstheme="majorHAnsi"/>
                <w:b/>
                <w:bCs/>
                <w:snapToGrid w:val="0"/>
                <w:color w:val="000000" w:themeColor="text1"/>
                <w:sz w:val="20"/>
                <w:szCs w:val="20"/>
                <w:lang w:val="en-US"/>
              </w:rPr>
              <w:t xml:space="preserve"> </w:t>
            </w:r>
          </w:p>
        </w:tc>
        <w:tc>
          <w:tcPr>
            <w:tcW w:w="2127" w:type="dxa"/>
          </w:tcPr>
          <w:p w14:paraId="5140C539"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r w:rsidRPr="00CF6064">
              <w:rPr>
                <w:rFonts w:asciiTheme="majorHAnsi" w:hAnsiTheme="majorHAnsi" w:cstheme="majorHAnsi"/>
                <w:bCs/>
                <w:color w:val="000000" w:themeColor="text1"/>
                <w:sz w:val="20"/>
                <w:szCs w:val="20"/>
                <w:lang w:val="en-US"/>
              </w:rPr>
              <w:t>Refer to answer to Question No. 24</w:t>
            </w:r>
          </w:p>
        </w:tc>
      </w:tr>
      <w:tr w:rsidR="008D0CAD" w:rsidRPr="00CF6064" w14:paraId="1E5ED70C" w14:textId="77777777" w:rsidTr="00EC48C1">
        <w:tc>
          <w:tcPr>
            <w:tcW w:w="1838" w:type="dxa"/>
          </w:tcPr>
          <w:p w14:paraId="3A0D2ADF"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1198" w:type="dxa"/>
          </w:tcPr>
          <w:p w14:paraId="26328E7F" w14:textId="77777777" w:rsidR="008D0CAD" w:rsidRPr="00CF6064" w:rsidRDefault="008D0CAD" w:rsidP="00EA6CB9">
            <w:pPr>
              <w:spacing w:before="100" w:beforeAutospacing="1" w:after="100" w:afterAutospacing="1" w:line="360" w:lineRule="auto"/>
              <w:rPr>
                <w:rFonts w:asciiTheme="majorHAnsi" w:hAnsiTheme="majorHAnsi" w:cstheme="majorHAnsi"/>
                <w:b/>
                <w:bCs/>
                <w:color w:val="000000" w:themeColor="text1"/>
                <w:sz w:val="20"/>
                <w:szCs w:val="20"/>
                <w:lang w:val="en-US"/>
              </w:rPr>
            </w:pPr>
            <w:r w:rsidRPr="00CF6064">
              <w:rPr>
                <w:rFonts w:asciiTheme="majorHAnsi" w:hAnsiTheme="majorHAnsi" w:cstheme="majorHAnsi"/>
                <w:b/>
                <w:bCs/>
                <w:color w:val="000000" w:themeColor="text1"/>
                <w:sz w:val="20"/>
                <w:szCs w:val="20"/>
                <w:lang w:val="en-US"/>
              </w:rPr>
              <w:t>SIP Effects</w:t>
            </w:r>
          </w:p>
          <w:p w14:paraId="7C915DAC" w14:textId="77777777" w:rsidR="008D0CAD" w:rsidRPr="00CF6064" w:rsidRDefault="008D0CAD" w:rsidP="00DD08E3">
            <w:pPr>
              <w:numPr>
                <w:ilvl w:val="0"/>
                <w:numId w:val="123"/>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 xml:space="preserve">Overall, how have the provision of the </w:t>
            </w:r>
            <w:r w:rsidRPr="00CF6064">
              <w:rPr>
                <w:rFonts w:asciiTheme="majorHAnsi" w:hAnsiTheme="majorHAnsi" w:cstheme="majorHAnsi"/>
                <w:snapToGrid w:val="0"/>
                <w:sz w:val="20"/>
                <w:szCs w:val="20"/>
                <w:lang w:val="en-US"/>
              </w:rPr>
              <w:t xml:space="preserve">new/enhanced SIP Guidelines and tools </w:t>
            </w:r>
            <w:r w:rsidRPr="00CF6064">
              <w:rPr>
                <w:rFonts w:asciiTheme="majorHAnsi" w:hAnsiTheme="majorHAnsi" w:cstheme="majorHAnsi"/>
                <w:snapToGrid w:val="0"/>
                <w:color w:val="000000" w:themeColor="text1"/>
                <w:sz w:val="20"/>
                <w:szCs w:val="20"/>
                <w:lang w:val="en-US"/>
              </w:rPr>
              <w:t>improved:</w:t>
            </w:r>
          </w:p>
          <w:p w14:paraId="6FC390E2" w14:textId="77777777" w:rsidR="008D0CAD" w:rsidRPr="00CF6064" w:rsidRDefault="008D0CAD" w:rsidP="00DD08E3">
            <w:pPr>
              <w:numPr>
                <w:ilvl w:val="1"/>
                <w:numId w:val="123"/>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leadership and management practices in your school?</w:t>
            </w:r>
          </w:p>
          <w:p w14:paraId="3C9A229E" w14:textId="77777777" w:rsidR="008D0CAD" w:rsidRPr="00CF6064" w:rsidRDefault="008D0CAD" w:rsidP="00DD08E3">
            <w:pPr>
              <w:numPr>
                <w:ilvl w:val="1"/>
                <w:numId w:val="123"/>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Decentralisation of management and accountability of basic education?</w:t>
            </w:r>
          </w:p>
        </w:tc>
        <w:tc>
          <w:tcPr>
            <w:tcW w:w="2127" w:type="dxa"/>
          </w:tcPr>
          <w:p w14:paraId="002ECC43"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p>
        </w:tc>
      </w:tr>
      <w:tr w:rsidR="008D0CAD" w:rsidRPr="00CF6064" w14:paraId="71DDBA6E" w14:textId="77777777" w:rsidTr="00EC48C1">
        <w:tc>
          <w:tcPr>
            <w:tcW w:w="1838" w:type="dxa"/>
          </w:tcPr>
          <w:p w14:paraId="376C9D63"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1198" w:type="dxa"/>
          </w:tcPr>
          <w:p w14:paraId="5CDE9F67" w14:textId="77777777" w:rsidR="008D0CAD" w:rsidRPr="00CF6064" w:rsidRDefault="008D0CAD" w:rsidP="00EA6CB9">
            <w:pPr>
              <w:spacing w:before="100" w:beforeAutospacing="1" w:after="100" w:afterAutospacing="1" w:line="360" w:lineRule="auto"/>
              <w:rPr>
                <w:rFonts w:asciiTheme="majorHAnsi" w:hAnsiTheme="majorHAnsi" w:cstheme="majorHAnsi"/>
                <w:color w:val="0070C0"/>
                <w:sz w:val="20"/>
                <w:szCs w:val="20"/>
                <w:lang w:val="en-US"/>
              </w:rPr>
            </w:pPr>
            <w:r w:rsidRPr="00CF6064">
              <w:rPr>
                <w:rFonts w:asciiTheme="majorHAnsi" w:hAnsiTheme="majorHAnsi" w:cstheme="majorHAnsi"/>
                <w:b/>
                <w:color w:val="0070C0"/>
                <w:sz w:val="20"/>
                <w:szCs w:val="20"/>
                <w:lang w:val="en-US"/>
              </w:rPr>
              <w:t>Unified information system and sub-systems (UISS)</w:t>
            </w:r>
            <w:r w:rsidRPr="00CF6064">
              <w:rPr>
                <w:rFonts w:asciiTheme="majorHAnsi" w:hAnsiTheme="majorHAnsi" w:cstheme="majorHAnsi"/>
                <w:color w:val="0070C0"/>
                <w:sz w:val="20"/>
                <w:szCs w:val="20"/>
                <w:lang w:val="en-US"/>
              </w:rPr>
              <w:t xml:space="preserve"> </w:t>
            </w:r>
          </w:p>
          <w:p w14:paraId="63961459" w14:textId="77777777" w:rsidR="008D0CAD" w:rsidRPr="00CF6064" w:rsidRDefault="008D0CAD" w:rsidP="00DD08E3">
            <w:pPr>
              <w:numPr>
                <w:ilvl w:val="0"/>
                <w:numId w:val="123"/>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 xml:space="preserve">Overall, how has the full operationalisation of the </w:t>
            </w:r>
            <w:r w:rsidRPr="00CF6064">
              <w:rPr>
                <w:rFonts w:asciiTheme="majorHAnsi" w:hAnsiTheme="majorHAnsi" w:cstheme="majorHAnsi"/>
                <w:b/>
                <w:snapToGrid w:val="0"/>
                <w:sz w:val="20"/>
                <w:szCs w:val="20"/>
                <w:lang w:val="en-US"/>
              </w:rPr>
              <w:t>Unified information system and sub-systems (UISS)</w:t>
            </w:r>
            <w:r w:rsidRPr="00CF6064">
              <w:rPr>
                <w:rFonts w:asciiTheme="majorHAnsi" w:hAnsiTheme="majorHAnsi" w:cstheme="majorHAnsi"/>
                <w:snapToGrid w:val="0"/>
                <w:color w:val="000000" w:themeColor="text1"/>
                <w:sz w:val="20"/>
                <w:szCs w:val="20"/>
                <w:lang w:val="en-US"/>
              </w:rPr>
              <w:t xml:space="preserve"> improved:</w:t>
            </w:r>
          </w:p>
          <w:p w14:paraId="0F9783AF" w14:textId="77777777" w:rsidR="008D0CAD" w:rsidRPr="00CF6064" w:rsidRDefault="008D0CAD" w:rsidP="00DD08E3">
            <w:pPr>
              <w:numPr>
                <w:ilvl w:val="1"/>
                <w:numId w:val="123"/>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 xml:space="preserve">School leadership and management practices? </w:t>
            </w:r>
          </w:p>
          <w:p w14:paraId="42A392E3" w14:textId="77777777" w:rsidR="008D0CAD" w:rsidRPr="00CF6064" w:rsidRDefault="008D0CAD" w:rsidP="00DD08E3">
            <w:pPr>
              <w:numPr>
                <w:ilvl w:val="1"/>
                <w:numId w:val="123"/>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Teaching delivery?</w:t>
            </w:r>
          </w:p>
        </w:tc>
        <w:tc>
          <w:tcPr>
            <w:tcW w:w="2127" w:type="dxa"/>
          </w:tcPr>
          <w:p w14:paraId="1846DECA"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r w:rsidRPr="00CF6064">
              <w:rPr>
                <w:rFonts w:asciiTheme="majorHAnsi" w:hAnsiTheme="majorHAnsi" w:cstheme="majorHAnsi"/>
                <w:bCs/>
                <w:color w:val="000000" w:themeColor="text1"/>
                <w:sz w:val="20"/>
                <w:szCs w:val="20"/>
                <w:lang w:val="en-US"/>
              </w:rPr>
              <w:t>Refer to answer to Question No. 27-29</w:t>
            </w:r>
          </w:p>
        </w:tc>
      </w:tr>
      <w:tr w:rsidR="008D0CAD" w:rsidRPr="00CF6064" w14:paraId="3679330B" w14:textId="77777777" w:rsidTr="00EC48C1">
        <w:tc>
          <w:tcPr>
            <w:tcW w:w="1838" w:type="dxa"/>
          </w:tcPr>
          <w:p w14:paraId="62460000"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1198" w:type="dxa"/>
          </w:tcPr>
          <w:p w14:paraId="327AEB86" w14:textId="77777777" w:rsidR="008D0CAD" w:rsidRPr="00CF6064" w:rsidRDefault="008D0CAD" w:rsidP="00EA6CB9">
            <w:pPr>
              <w:spacing w:before="100" w:beforeAutospacing="1" w:after="100" w:afterAutospacing="1" w:line="360" w:lineRule="auto"/>
              <w:rPr>
                <w:rFonts w:asciiTheme="majorHAnsi" w:hAnsiTheme="majorHAnsi" w:cstheme="majorHAnsi"/>
                <w:b/>
                <w:color w:val="0070C0"/>
                <w:sz w:val="20"/>
                <w:szCs w:val="20"/>
                <w:lang w:val="en-US"/>
              </w:rPr>
            </w:pPr>
            <w:r w:rsidRPr="00CF6064">
              <w:rPr>
                <w:rFonts w:asciiTheme="majorHAnsi" w:hAnsiTheme="majorHAnsi" w:cstheme="majorHAnsi"/>
                <w:b/>
                <w:color w:val="0070C0"/>
                <w:sz w:val="20"/>
                <w:szCs w:val="20"/>
                <w:lang w:val="en-US"/>
              </w:rPr>
              <w:t>Philippine Professional Standards for Teachers (PPST)</w:t>
            </w:r>
          </w:p>
          <w:p w14:paraId="30AA4042" w14:textId="77777777" w:rsidR="008D0CAD" w:rsidRPr="00CF6064" w:rsidRDefault="008D0CAD" w:rsidP="00EA6CB9">
            <w:pPr>
              <w:spacing w:before="100" w:beforeAutospacing="1" w:after="100" w:afterAutospacing="1" w:line="360" w:lineRule="auto"/>
              <w:rPr>
                <w:rFonts w:asciiTheme="majorHAnsi" w:hAnsiTheme="majorHAnsi" w:cstheme="majorHAnsi"/>
                <w:b/>
                <w:color w:val="000000" w:themeColor="text1"/>
                <w:sz w:val="20"/>
                <w:szCs w:val="20"/>
                <w:lang w:val="en-US"/>
              </w:rPr>
            </w:pPr>
            <w:r w:rsidRPr="00CF6064">
              <w:rPr>
                <w:rFonts w:asciiTheme="majorHAnsi" w:hAnsiTheme="majorHAnsi" w:cstheme="majorHAnsi"/>
                <w:b/>
                <w:color w:val="000000" w:themeColor="text1"/>
                <w:sz w:val="20"/>
                <w:szCs w:val="20"/>
                <w:lang w:val="en-US"/>
              </w:rPr>
              <w:t>PPST Knowledge/Awareness</w:t>
            </w:r>
          </w:p>
          <w:p w14:paraId="0E6FEFE2" w14:textId="77777777" w:rsidR="008D0CAD" w:rsidRPr="00CF6064" w:rsidRDefault="008D0CAD" w:rsidP="00DD08E3">
            <w:pPr>
              <w:numPr>
                <w:ilvl w:val="0"/>
                <w:numId w:val="123"/>
              </w:numPr>
              <w:spacing w:before="100" w:beforeAutospacing="1" w:after="100" w:afterAutospacing="1" w:line="360" w:lineRule="auto"/>
              <w:contextualSpacing/>
              <w:rPr>
                <w:rFonts w:asciiTheme="majorHAnsi" w:hAnsiTheme="majorHAnsi" w:cstheme="majorHAnsi"/>
                <w:bCs/>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 xml:space="preserve">Please describe your understanding of </w:t>
            </w:r>
            <w:r w:rsidRPr="00CF6064">
              <w:rPr>
                <w:rFonts w:asciiTheme="majorHAnsi" w:hAnsiTheme="majorHAnsi" w:cstheme="majorHAnsi"/>
                <w:bCs/>
                <w:snapToGrid w:val="0"/>
                <w:color w:val="000000" w:themeColor="text1"/>
                <w:sz w:val="20"/>
                <w:szCs w:val="20"/>
                <w:lang w:val="en-US"/>
              </w:rPr>
              <w:t>Philippine Professional Standards for Teachers (PPST)</w:t>
            </w:r>
          </w:p>
          <w:p w14:paraId="775264A6" w14:textId="77777777" w:rsidR="008D0CAD" w:rsidRPr="00CF6064" w:rsidRDefault="008D0CAD" w:rsidP="00DD08E3">
            <w:pPr>
              <w:numPr>
                <w:ilvl w:val="1"/>
                <w:numId w:val="123"/>
              </w:numPr>
              <w:spacing w:before="100" w:beforeAutospacing="1" w:after="100" w:afterAutospacing="1" w:line="360" w:lineRule="auto"/>
              <w:contextualSpacing/>
              <w:rPr>
                <w:rFonts w:asciiTheme="majorHAnsi" w:hAnsiTheme="majorHAnsi" w:cstheme="majorHAnsi"/>
                <w:bCs/>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How is the PPST connected to the RPMS?</w:t>
            </w:r>
          </w:p>
        </w:tc>
        <w:tc>
          <w:tcPr>
            <w:tcW w:w="2127" w:type="dxa"/>
          </w:tcPr>
          <w:p w14:paraId="2EEC334F"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p>
        </w:tc>
      </w:tr>
      <w:tr w:rsidR="008D0CAD" w:rsidRPr="00CF6064" w14:paraId="015E8A16" w14:textId="77777777" w:rsidTr="00EC48C1">
        <w:tc>
          <w:tcPr>
            <w:tcW w:w="1838" w:type="dxa"/>
          </w:tcPr>
          <w:p w14:paraId="62A80290"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1198" w:type="dxa"/>
          </w:tcPr>
          <w:p w14:paraId="627738C9" w14:textId="77777777" w:rsidR="008D0CAD" w:rsidRPr="00CF6064" w:rsidRDefault="008D0CAD" w:rsidP="00EA6CB9">
            <w:pPr>
              <w:spacing w:before="100" w:beforeAutospacing="1" w:after="100" w:afterAutospacing="1" w:line="360" w:lineRule="auto"/>
              <w:rPr>
                <w:rFonts w:asciiTheme="majorHAnsi" w:hAnsiTheme="majorHAnsi" w:cstheme="majorHAnsi"/>
                <w:b/>
                <w:bCs/>
                <w:color w:val="000000" w:themeColor="text1"/>
                <w:sz w:val="20"/>
                <w:szCs w:val="20"/>
                <w:lang w:val="en-US"/>
              </w:rPr>
            </w:pPr>
            <w:r w:rsidRPr="00CF6064">
              <w:rPr>
                <w:rFonts w:asciiTheme="majorHAnsi" w:hAnsiTheme="majorHAnsi" w:cstheme="majorHAnsi"/>
                <w:b/>
                <w:bCs/>
                <w:color w:val="000000" w:themeColor="text1"/>
                <w:sz w:val="20"/>
                <w:szCs w:val="20"/>
                <w:lang w:val="en-US"/>
              </w:rPr>
              <w:t>PPST Practices</w:t>
            </w:r>
          </w:p>
          <w:p w14:paraId="12CA5522" w14:textId="77777777" w:rsidR="008D0CAD" w:rsidRPr="00CF6064" w:rsidRDefault="008D0CAD" w:rsidP="00DD08E3">
            <w:pPr>
              <w:numPr>
                <w:ilvl w:val="0"/>
                <w:numId w:val="123"/>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How was PPST-aligned RPMS implemented in your school?</w:t>
            </w:r>
          </w:p>
          <w:p w14:paraId="7730B238" w14:textId="77777777" w:rsidR="008D0CAD" w:rsidRPr="00CF6064" w:rsidRDefault="008D0CAD" w:rsidP="00DD08E3">
            <w:pPr>
              <w:numPr>
                <w:ilvl w:val="1"/>
                <w:numId w:val="123"/>
              </w:numPr>
              <w:spacing w:before="100" w:beforeAutospacing="1" w:after="100" w:afterAutospacing="1" w:line="360" w:lineRule="auto"/>
              <w:ind w:left="1033" w:hanging="567"/>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As Principal/School Head, how did you support the implementation of the PPST and the PPST-aligned RPMS</w:t>
            </w:r>
            <w:r w:rsidRPr="00CF6064">
              <w:rPr>
                <w:rFonts w:asciiTheme="majorHAnsi" w:hAnsiTheme="majorHAnsi" w:cstheme="majorHAnsi"/>
                <w:b/>
                <w:snapToGrid w:val="0"/>
                <w:color w:val="000000" w:themeColor="text1"/>
                <w:sz w:val="20"/>
                <w:szCs w:val="20"/>
                <w:lang w:val="en-US"/>
              </w:rPr>
              <w:t xml:space="preserve"> </w:t>
            </w:r>
            <w:r w:rsidRPr="00CF6064">
              <w:rPr>
                <w:rFonts w:asciiTheme="majorHAnsi" w:hAnsiTheme="majorHAnsi" w:cstheme="majorHAnsi"/>
                <w:snapToGrid w:val="0"/>
                <w:color w:val="000000" w:themeColor="text1"/>
                <w:sz w:val="20"/>
                <w:szCs w:val="20"/>
                <w:lang w:val="en-US"/>
              </w:rPr>
              <w:t>in your school?</w:t>
            </w:r>
          </w:p>
          <w:p w14:paraId="22320961" w14:textId="77777777" w:rsidR="008D0CAD" w:rsidRPr="00CF6064" w:rsidRDefault="008D0CAD" w:rsidP="00DD08E3">
            <w:pPr>
              <w:numPr>
                <w:ilvl w:val="1"/>
                <w:numId w:val="123"/>
              </w:numPr>
              <w:spacing w:before="100" w:beforeAutospacing="1" w:after="100" w:afterAutospacing="1" w:line="360" w:lineRule="auto"/>
              <w:ind w:left="891" w:hanging="567"/>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Why not?</w:t>
            </w:r>
          </w:p>
        </w:tc>
        <w:tc>
          <w:tcPr>
            <w:tcW w:w="2127" w:type="dxa"/>
          </w:tcPr>
          <w:p w14:paraId="749E8B9A"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p>
        </w:tc>
      </w:tr>
      <w:tr w:rsidR="008D0CAD" w:rsidRPr="00CF6064" w14:paraId="33F2A476" w14:textId="77777777" w:rsidTr="00EC48C1">
        <w:tc>
          <w:tcPr>
            <w:tcW w:w="1838" w:type="dxa"/>
          </w:tcPr>
          <w:p w14:paraId="22E41A47"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1198" w:type="dxa"/>
          </w:tcPr>
          <w:p w14:paraId="23D0D6AF" w14:textId="77777777" w:rsidR="008D0CAD" w:rsidRPr="00CF6064" w:rsidRDefault="008D0CAD" w:rsidP="00DD08E3">
            <w:pPr>
              <w:numPr>
                <w:ilvl w:val="1"/>
                <w:numId w:val="116"/>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 xml:space="preserve">For </w:t>
            </w:r>
            <w:r w:rsidRPr="00CF6064">
              <w:rPr>
                <w:rFonts w:asciiTheme="majorHAnsi" w:hAnsiTheme="majorHAnsi" w:cstheme="majorHAnsi"/>
                <w:snapToGrid w:val="0"/>
                <w:color w:val="000000"/>
                <w:sz w:val="20"/>
                <w:szCs w:val="20"/>
                <w:lang w:val="en-US"/>
              </w:rPr>
              <w:t>Classroom Observation Tool (COT)</w:t>
            </w:r>
          </w:p>
          <w:p w14:paraId="1DC8C218" w14:textId="77777777" w:rsidR="008D0CAD" w:rsidRPr="00CF6064" w:rsidRDefault="008D0CAD" w:rsidP="00EA6CB9">
            <w:pPr>
              <w:spacing w:before="100" w:beforeAutospacing="1" w:after="100" w:afterAutospacing="1" w:line="360" w:lineRule="auto"/>
              <w:rPr>
                <w:rFonts w:asciiTheme="majorHAnsi" w:hAnsiTheme="majorHAnsi" w:cstheme="majorHAnsi"/>
                <w:color w:val="000000" w:themeColor="text1"/>
                <w:sz w:val="20"/>
                <w:szCs w:val="20"/>
                <w:lang w:val="en-US"/>
              </w:rPr>
            </w:pPr>
          </w:p>
        </w:tc>
        <w:tc>
          <w:tcPr>
            <w:tcW w:w="2127" w:type="dxa"/>
          </w:tcPr>
          <w:p w14:paraId="39CACBA1"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r w:rsidRPr="00CF6064">
              <w:rPr>
                <w:rFonts w:asciiTheme="majorHAnsi" w:hAnsiTheme="majorHAnsi" w:cstheme="majorHAnsi"/>
                <w:bCs/>
                <w:color w:val="000000" w:themeColor="text1"/>
                <w:sz w:val="20"/>
                <w:szCs w:val="20"/>
                <w:lang w:val="en-US"/>
              </w:rPr>
              <w:t>Refer to answer to Question No. 11</w:t>
            </w:r>
          </w:p>
        </w:tc>
      </w:tr>
      <w:tr w:rsidR="008D0CAD" w:rsidRPr="00CF6064" w14:paraId="2E9A43E7" w14:textId="77777777" w:rsidTr="00EC48C1">
        <w:tc>
          <w:tcPr>
            <w:tcW w:w="1838" w:type="dxa"/>
          </w:tcPr>
          <w:p w14:paraId="7E9C113D"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1198" w:type="dxa"/>
          </w:tcPr>
          <w:p w14:paraId="444E5136" w14:textId="77777777" w:rsidR="008D0CAD" w:rsidRPr="00CF6064" w:rsidRDefault="008D0CAD" w:rsidP="00DD08E3">
            <w:pPr>
              <w:numPr>
                <w:ilvl w:val="1"/>
                <w:numId w:val="116"/>
              </w:numPr>
              <w:spacing w:before="100" w:beforeAutospacing="1" w:after="100" w:afterAutospacing="1" w:line="360" w:lineRule="auto"/>
              <w:contextualSpacing/>
              <w:rPr>
                <w:rFonts w:asciiTheme="majorHAnsi" w:hAnsiTheme="majorHAnsi" w:cstheme="majorHAnsi"/>
                <w:bCs/>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 xml:space="preserve">For </w:t>
            </w:r>
            <w:r w:rsidRPr="00CF6064">
              <w:rPr>
                <w:rFonts w:asciiTheme="majorHAnsi" w:hAnsiTheme="majorHAnsi" w:cstheme="majorHAnsi"/>
                <w:bCs/>
                <w:snapToGrid w:val="0"/>
                <w:color w:val="000000"/>
                <w:sz w:val="20"/>
                <w:szCs w:val="20"/>
                <w:lang w:val="en-US"/>
              </w:rPr>
              <w:t>Self-Assessment Tool (SAT)</w:t>
            </w:r>
          </w:p>
          <w:p w14:paraId="0B8E6ECB" w14:textId="77777777" w:rsidR="008D0CAD" w:rsidRPr="00CF6064" w:rsidRDefault="008D0CAD" w:rsidP="00EA6CB9">
            <w:pPr>
              <w:spacing w:before="100" w:beforeAutospacing="1" w:after="100" w:afterAutospacing="1" w:line="360" w:lineRule="auto"/>
              <w:rPr>
                <w:rFonts w:asciiTheme="majorHAnsi" w:hAnsiTheme="majorHAnsi" w:cstheme="majorHAnsi"/>
                <w:color w:val="000000" w:themeColor="text1"/>
                <w:sz w:val="20"/>
                <w:szCs w:val="20"/>
                <w:lang w:val="en-US"/>
              </w:rPr>
            </w:pPr>
          </w:p>
        </w:tc>
        <w:tc>
          <w:tcPr>
            <w:tcW w:w="2127" w:type="dxa"/>
          </w:tcPr>
          <w:p w14:paraId="723D23FB"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r w:rsidRPr="00CF6064">
              <w:rPr>
                <w:rFonts w:asciiTheme="majorHAnsi" w:hAnsiTheme="majorHAnsi" w:cstheme="majorHAnsi"/>
                <w:bCs/>
                <w:color w:val="000000" w:themeColor="text1"/>
                <w:sz w:val="20"/>
                <w:szCs w:val="20"/>
                <w:lang w:val="en-US"/>
              </w:rPr>
              <w:t>Refer to answer to Question No. 12</w:t>
            </w:r>
          </w:p>
        </w:tc>
      </w:tr>
      <w:tr w:rsidR="008D0CAD" w:rsidRPr="00CF6064" w14:paraId="634DCA8A" w14:textId="77777777" w:rsidTr="00EC48C1">
        <w:tc>
          <w:tcPr>
            <w:tcW w:w="1838" w:type="dxa"/>
          </w:tcPr>
          <w:p w14:paraId="6F2BC829"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1198" w:type="dxa"/>
          </w:tcPr>
          <w:p w14:paraId="7DAAC587" w14:textId="77777777" w:rsidR="008D0CAD" w:rsidRPr="00CF6064" w:rsidRDefault="008D0CAD" w:rsidP="00EA6CB9">
            <w:pPr>
              <w:spacing w:before="100" w:beforeAutospacing="1" w:after="100" w:afterAutospacing="1" w:line="360" w:lineRule="auto"/>
              <w:rPr>
                <w:rFonts w:asciiTheme="majorHAnsi" w:hAnsiTheme="majorHAnsi" w:cstheme="majorHAnsi"/>
                <w:b/>
                <w:bCs/>
                <w:color w:val="000000" w:themeColor="text1"/>
                <w:sz w:val="20"/>
                <w:szCs w:val="20"/>
                <w:lang w:val="en-US"/>
              </w:rPr>
            </w:pPr>
            <w:r w:rsidRPr="00CF6064">
              <w:rPr>
                <w:rFonts w:asciiTheme="majorHAnsi" w:hAnsiTheme="majorHAnsi" w:cstheme="majorHAnsi"/>
                <w:b/>
                <w:bCs/>
                <w:color w:val="000000" w:themeColor="text1"/>
                <w:sz w:val="20"/>
                <w:szCs w:val="20"/>
                <w:lang w:val="en-US"/>
              </w:rPr>
              <w:t>Innovations on PPST implementation</w:t>
            </w:r>
          </w:p>
          <w:p w14:paraId="1B68B6F8" w14:textId="77777777" w:rsidR="008D0CAD" w:rsidRPr="00CF6064" w:rsidRDefault="008D0CAD" w:rsidP="00DD08E3">
            <w:pPr>
              <w:numPr>
                <w:ilvl w:val="0"/>
                <w:numId w:val="123"/>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 xml:space="preserve">What innovations, if any, did your school adopt in terms of implementing the COT, SAT and IPCRF? </w:t>
            </w:r>
          </w:p>
          <w:p w14:paraId="1B40035D" w14:textId="77777777" w:rsidR="008D0CAD" w:rsidRPr="00CF6064" w:rsidRDefault="008D0CAD" w:rsidP="00DD08E3">
            <w:pPr>
              <w:numPr>
                <w:ilvl w:val="1"/>
                <w:numId w:val="123"/>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Why not?</w:t>
            </w:r>
          </w:p>
        </w:tc>
        <w:tc>
          <w:tcPr>
            <w:tcW w:w="2127" w:type="dxa"/>
          </w:tcPr>
          <w:p w14:paraId="01CDD444"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p>
          <w:p w14:paraId="5054E123"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r w:rsidRPr="00CF6064">
              <w:rPr>
                <w:rFonts w:asciiTheme="majorHAnsi" w:hAnsiTheme="majorHAnsi" w:cstheme="majorHAnsi"/>
                <w:bCs/>
                <w:color w:val="000000" w:themeColor="text1"/>
                <w:sz w:val="20"/>
                <w:szCs w:val="20"/>
                <w:lang w:val="en-US"/>
              </w:rPr>
              <w:t>Refer to answer to Question No. 34</w:t>
            </w:r>
          </w:p>
        </w:tc>
      </w:tr>
      <w:tr w:rsidR="008D0CAD" w:rsidRPr="00CF6064" w14:paraId="09216785" w14:textId="77777777" w:rsidTr="00EC48C1">
        <w:tc>
          <w:tcPr>
            <w:tcW w:w="1838" w:type="dxa"/>
          </w:tcPr>
          <w:p w14:paraId="3A600446"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1198" w:type="dxa"/>
          </w:tcPr>
          <w:p w14:paraId="1090B9BD" w14:textId="77777777" w:rsidR="008D0CAD" w:rsidRPr="00CF6064" w:rsidRDefault="008D0CAD" w:rsidP="00EA6CB9">
            <w:pPr>
              <w:spacing w:before="100" w:beforeAutospacing="1" w:after="100" w:afterAutospacing="1" w:line="360" w:lineRule="auto"/>
              <w:rPr>
                <w:rFonts w:asciiTheme="majorHAnsi" w:hAnsiTheme="majorHAnsi" w:cstheme="majorHAnsi"/>
                <w:b/>
                <w:bCs/>
                <w:color w:val="000000" w:themeColor="text1"/>
                <w:sz w:val="20"/>
                <w:szCs w:val="20"/>
                <w:lang w:val="en-US"/>
              </w:rPr>
            </w:pPr>
            <w:r w:rsidRPr="00CF6064">
              <w:rPr>
                <w:rFonts w:asciiTheme="majorHAnsi" w:hAnsiTheme="majorHAnsi" w:cstheme="majorHAnsi"/>
                <w:b/>
                <w:bCs/>
                <w:color w:val="000000" w:themeColor="text1"/>
                <w:sz w:val="20"/>
                <w:szCs w:val="20"/>
                <w:lang w:val="en-US"/>
              </w:rPr>
              <w:t>Effects of PPST</w:t>
            </w:r>
          </w:p>
          <w:p w14:paraId="1B324601" w14:textId="77777777" w:rsidR="008D0CAD" w:rsidRPr="00CF6064" w:rsidRDefault="008D0CAD" w:rsidP="00DD08E3">
            <w:pPr>
              <w:numPr>
                <w:ilvl w:val="0"/>
                <w:numId w:val="123"/>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 xml:space="preserve">Overall, how has the introduction of the </w:t>
            </w:r>
            <w:r w:rsidRPr="00CF6064">
              <w:rPr>
                <w:rFonts w:asciiTheme="majorHAnsi" w:hAnsiTheme="majorHAnsi" w:cstheme="majorHAnsi"/>
                <w:bCs/>
                <w:snapToGrid w:val="0"/>
                <w:color w:val="000000" w:themeColor="text1"/>
                <w:sz w:val="20"/>
                <w:szCs w:val="20"/>
                <w:lang w:val="en-US"/>
              </w:rPr>
              <w:t>PPST</w:t>
            </w:r>
            <w:r w:rsidRPr="00CF6064">
              <w:rPr>
                <w:rFonts w:asciiTheme="majorHAnsi" w:hAnsiTheme="majorHAnsi" w:cstheme="majorHAnsi"/>
                <w:snapToGrid w:val="0"/>
                <w:color w:val="000000" w:themeColor="text1"/>
                <w:sz w:val="20"/>
                <w:szCs w:val="20"/>
                <w:lang w:val="en-US"/>
              </w:rPr>
              <w:t xml:space="preserve"> and the use of the PPST-aligned tools (COT, SAT, IPCRF) improve: </w:t>
            </w:r>
          </w:p>
          <w:p w14:paraId="72B44CA2" w14:textId="77777777" w:rsidR="008D0CAD" w:rsidRPr="00CF6064" w:rsidRDefault="008D0CAD" w:rsidP="00DD08E3">
            <w:pPr>
              <w:numPr>
                <w:ilvl w:val="1"/>
                <w:numId w:val="123"/>
              </w:numPr>
              <w:spacing w:before="100" w:beforeAutospacing="1" w:after="100" w:afterAutospacing="1" w:line="360" w:lineRule="auto"/>
              <w:ind w:left="891" w:hanging="567"/>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 xml:space="preserve">leadership and management practices in your school? </w:t>
            </w:r>
          </w:p>
          <w:p w14:paraId="09ECCC81" w14:textId="77777777" w:rsidR="008D0CAD" w:rsidRPr="00CF6064" w:rsidRDefault="008D0CAD" w:rsidP="00DD08E3">
            <w:pPr>
              <w:numPr>
                <w:ilvl w:val="1"/>
                <w:numId w:val="123"/>
              </w:numPr>
              <w:spacing w:before="100" w:beforeAutospacing="1" w:after="100" w:afterAutospacing="1" w:line="360" w:lineRule="auto"/>
              <w:ind w:left="914" w:hanging="567"/>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teaching practices in your school?</w:t>
            </w:r>
          </w:p>
        </w:tc>
        <w:tc>
          <w:tcPr>
            <w:tcW w:w="2127" w:type="dxa"/>
          </w:tcPr>
          <w:p w14:paraId="5C6E28D5"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p>
        </w:tc>
      </w:tr>
      <w:tr w:rsidR="008D0CAD" w:rsidRPr="00CF6064" w14:paraId="0F65E6CC" w14:textId="77777777" w:rsidTr="00EC48C1">
        <w:tc>
          <w:tcPr>
            <w:tcW w:w="1838" w:type="dxa"/>
          </w:tcPr>
          <w:p w14:paraId="618D219F" w14:textId="77777777" w:rsidR="008D0CAD" w:rsidRPr="00EC48C1" w:rsidRDefault="008D0CAD" w:rsidP="00DD08E3">
            <w:pPr>
              <w:numPr>
                <w:ilvl w:val="0"/>
                <w:numId w:val="115"/>
              </w:numPr>
              <w:autoSpaceDE w:val="0"/>
              <w:autoSpaceDN w:val="0"/>
              <w:adjustRightInd w:val="0"/>
              <w:spacing w:before="100" w:beforeAutospacing="1" w:after="100" w:afterAutospacing="1" w:line="360" w:lineRule="auto"/>
              <w:rPr>
                <w:rFonts w:asciiTheme="majorHAnsi" w:eastAsiaTheme="minorHAnsi" w:hAnsiTheme="majorHAnsi" w:cstheme="majorHAnsi"/>
                <w:b/>
                <w:bCs/>
                <w:color w:val="000000" w:themeColor="text1"/>
                <w:sz w:val="20"/>
                <w:szCs w:val="20"/>
                <w:lang w:val="en-US"/>
              </w:rPr>
            </w:pPr>
            <w:r w:rsidRPr="00EC48C1">
              <w:rPr>
                <w:rFonts w:asciiTheme="majorHAnsi" w:eastAsiaTheme="minorHAnsi" w:hAnsiTheme="majorHAnsi" w:cstheme="majorHAnsi"/>
                <w:b/>
                <w:bCs/>
                <w:color w:val="000000" w:themeColor="text1"/>
                <w:sz w:val="20"/>
                <w:szCs w:val="20"/>
                <w:lang w:val="en-US"/>
              </w:rPr>
              <w:t>School Outcomes</w:t>
            </w:r>
          </w:p>
          <w:p w14:paraId="7E4FB576"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1198" w:type="dxa"/>
          </w:tcPr>
          <w:p w14:paraId="52F174DD" w14:textId="77777777" w:rsidR="008D0CAD" w:rsidRPr="00CF6064" w:rsidRDefault="008D0CAD" w:rsidP="00DD08E3">
            <w:pPr>
              <w:numPr>
                <w:ilvl w:val="0"/>
                <w:numId w:val="123"/>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b/>
                <w:bCs/>
                <w:snapToGrid w:val="0"/>
                <w:color w:val="000000" w:themeColor="text1"/>
                <w:spacing w:val="-1"/>
                <w:sz w:val="20"/>
                <w:szCs w:val="20"/>
                <w:lang w:val="en-US"/>
              </w:rPr>
              <w:t>To what extent</w:t>
            </w:r>
            <w:r w:rsidRPr="00CF6064">
              <w:rPr>
                <w:rFonts w:asciiTheme="majorHAnsi" w:hAnsiTheme="majorHAnsi" w:cstheme="majorHAnsi"/>
                <w:snapToGrid w:val="0"/>
                <w:color w:val="000000" w:themeColor="text1"/>
                <w:spacing w:val="-1"/>
                <w:sz w:val="20"/>
                <w:szCs w:val="20"/>
                <w:lang w:val="en-US"/>
              </w:rPr>
              <w:t xml:space="preserve"> and </w:t>
            </w:r>
            <w:r w:rsidRPr="00CF6064">
              <w:rPr>
                <w:rFonts w:asciiTheme="majorHAnsi" w:hAnsiTheme="majorHAnsi" w:cstheme="majorHAnsi"/>
                <w:b/>
                <w:bCs/>
                <w:snapToGrid w:val="0"/>
                <w:color w:val="000000" w:themeColor="text1"/>
                <w:spacing w:val="-1"/>
                <w:sz w:val="20"/>
                <w:szCs w:val="20"/>
                <w:lang w:val="en-US"/>
              </w:rPr>
              <w:t>how</w:t>
            </w:r>
            <w:r w:rsidRPr="00CF6064">
              <w:rPr>
                <w:rFonts w:asciiTheme="majorHAnsi" w:hAnsiTheme="majorHAnsi" w:cstheme="majorHAnsi"/>
                <w:snapToGrid w:val="0"/>
                <w:color w:val="000000" w:themeColor="text1"/>
                <w:spacing w:val="-1"/>
                <w:sz w:val="20"/>
                <w:szCs w:val="20"/>
                <w:lang w:val="en-US"/>
              </w:rPr>
              <w:t xml:space="preserve"> did the significant improvements in your competencies (referring to knowledge, skills, behaviors and practices) in school</w:t>
            </w:r>
            <w:r w:rsidRPr="00CF6064">
              <w:rPr>
                <w:rFonts w:asciiTheme="majorHAnsi" w:hAnsiTheme="majorHAnsi" w:cstheme="majorHAnsi"/>
                <w:snapToGrid w:val="0"/>
                <w:color w:val="000000" w:themeColor="text1"/>
                <w:spacing w:val="18"/>
                <w:sz w:val="20"/>
                <w:szCs w:val="20"/>
                <w:lang w:val="en-US"/>
              </w:rPr>
              <w:t xml:space="preserve"> </w:t>
            </w:r>
            <w:r w:rsidRPr="00CF6064">
              <w:rPr>
                <w:rFonts w:asciiTheme="majorHAnsi" w:hAnsiTheme="majorHAnsi" w:cstheme="majorHAnsi"/>
                <w:snapToGrid w:val="0"/>
                <w:color w:val="000000" w:themeColor="text1"/>
                <w:spacing w:val="-1"/>
                <w:sz w:val="20"/>
                <w:szCs w:val="20"/>
                <w:lang w:val="en-US"/>
              </w:rPr>
              <w:t>leadership</w:t>
            </w:r>
            <w:r w:rsidRPr="00CF6064">
              <w:rPr>
                <w:rFonts w:asciiTheme="majorHAnsi" w:hAnsiTheme="majorHAnsi" w:cstheme="majorHAnsi"/>
                <w:snapToGrid w:val="0"/>
                <w:color w:val="000000" w:themeColor="text1"/>
                <w:spacing w:val="75"/>
                <w:w w:val="99"/>
                <w:sz w:val="20"/>
                <w:szCs w:val="20"/>
                <w:lang w:val="en-US"/>
              </w:rPr>
              <w:t xml:space="preserve"> </w:t>
            </w:r>
            <w:r w:rsidRPr="00CF6064">
              <w:rPr>
                <w:rFonts w:asciiTheme="majorHAnsi" w:hAnsiTheme="majorHAnsi" w:cstheme="majorHAnsi"/>
                <w:snapToGrid w:val="0"/>
                <w:color w:val="000000" w:themeColor="text1"/>
                <w:sz w:val="20"/>
                <w:szCs w:val="20"/>
                <w:lang w:val="en-US"/>
              </w:rPr>
              <w:t>and</w:t>
            </w:r>
            <w:r w:rsidRPr="00CF6064">
              <w:rPr>
                <w:rFonts w:asciiTheme="majorHAnsi" w:hAnsiTheme="majorHAnsi" w:cstheme="majorHAnsi"/>
                <w:snapToGrid w:val="0"/>
                <w:color w:val="000000" w:themeColor="text1"/>
                <w:spacing w:val="-6"/>
                <w:sz w:val="20"/>
                <w:szCs w:val="20"/>
                <w:lang w:val="en-US"/>
              </w:rPr>
              <w:t xml:space="preserve"> </w:t>
            </w:r>
            <w:r w:rsidRPr="00CF6064">
              <w:rPr>
                <w:rFonts w:asciiTheme="majorHAnsi" w:hAnsiTheme="majorHAnsi" w:cstheme="majorHAnsi"/>
                <w:snapToGrid w:val="0"/>
                <w:color w:val="000000" w:themeColor="text1"/>
                <w:sz w:val="20"/>
                <w:szCs w:val="20"/>
                <w:lang w:val="en-US"/>
              </w:rPr>
              <w:t xml:space="preserve">management </w:t>
            </w:r>
            <w:r w:rsidRPr="00CF6064">
              <w:rPr>
                <w:rFonts w:asciiTheme="majorHAnsi" w:hAnsiTheme="majorHAnsi" w:cstheme="majorHAnsi"/>
                <w:b/>
                <w:bCs/>
                <w:snapToGrid w:val="0"/>
                <w:sz w:val="20"/>
                <w:szCs w:val="20"/>
                <w:lang w:val="en-GB"/>
              </w:rPr>
              <w:t>increase</w:t>
            </w:r>
            <w:r w:rsidRPr="00CF6064">
              <w:rPr>
                <w:rFonts w:asciiTheme="majorHAnsi" w:hAnsiTheme="majorHAnsi" w:cstheme="majorHAnsi"/>
                <w:snapToGrid w:val="0"/>
                <w:color w:val="000000" w:themeColor="text1"/>
                <w:sz w:val="20"/>
                <w:szCs w:val="20"/>
                <w:lang w:val="en-US"/>
              </w:rPr>
              <w:t>:</w:t>
            </w:r>
          </w:p>
          <w:p w14:paraId="141D2C03" w14:textId="77777777" w:rsidR="008D0CAD" w:rsidRPr="00CF6064" w:rsidRDefault="008D0CAD" w:rsidP="00DD08E3">
            <w:pPr>
              <w:numPr>
                <w:ilvl w:val="1"/>
                <w:numId w:val="119"/>
              </w:numPr>
              <w:spacing w:before="100" w:beforeAutospacing="1" w:after="100" w:afterAutospacing="1" w:line="360" w:lineRule="auto"/>
              <w:ind w:left="1175" w:hanging="709"/>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sz w:val="20"/>
                <w:szCs w:val="20"/>
                <w:lang w:val="en-GB"/>
              </w:rPr>
              <w:t>student participation in your school?</w:t>
            </w:r>
          </w:p>
          <w:p w14:paraId="3E2E2DE1" w14:textId="77777777" w:rsidR="008D0CAD" w:rsidRPr="00CF6064" w:rsidRDefault="008D0CAD" w:rsidP="00DD08E3">
            <w:pPr>
              <w:numPr>
                <w:ilvl w:val="1"/>
                <w:numId w:val="119"/>
              </w:numPr>
              <w:spacing w:before="100" w:beforeAutospacing="1" w:after="100" w:afterAutospacing="1" w:line="360" w:lineRule="auto"/>
              <w:ind w:left="1175" w:hanging="709"/>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sz w:val="20"/>
                <w:szCs w:val="20"/>
                <w:lang w:val="en-GB"/>
              </w:rPr>
              <w:t>community participation and stakeholder engagement?</w:t>
            </w:r>
          </w:p>
          <w:p w14:paraId="0CA2F2D3" w14:textId="77777777" w:rsidR="008D0CAD" w:rsidRPr="00CF6064" w:rsidRDefault="008D0CAD" w:rsidP="00DD08E3">
            <w:pPr>
              <w:numPr>
                <w:ilvl w:val="1"/>
                <w:numId w:val="119"/>
              </w:numPr>
              <w:spacing w:before="100" w:beforeAutospacing="1" w:after="100" w:afterAutospacing="1" w:line="360" w:lineRule="auto"/>
              <w:ind w:left="1175" w:hanging="709"/>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rPr>
              <w:t>Inclusiveness and responsiveness of basic education?</w:t>
            </w:r>
          </w:p>
          <w:p w14:paraId="624A3336" w14:textId="77777777" w:rsidR="008D0CAD" w:rsidRPr="00CF6064" w:rsidRDefault="008D0CAD" w:rsidP="00DD08E3">
            <w:pPr>
              <w:numPr>
                <w:ilvl w:val="1"/>
                <w:numId w:val="119"/>
              </w:numPr>
              <w:spacing w:before="100" w:beforeAutospacing="1" w:after="100" w:afterAutospacing="1" w:line="360" w:lineRule="auto"/>
              <w:ind w:left="1175" w:hanging="709"/>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rPr>
              <w:t>decentralisation of management and accountability to schools</w:t>
            </w:r>
            <w:r w:rsidRPr="00CF6064">
              <w:rPr>
                <w:rFonts w:asciiTheme="majorHAnsi" w:hAnsiTheme="majorHAnsi" w:cstheme="majorHAnsi"/>
                <w:snapToGrid w:val="0"/>
                <w:sz w:val="20"/>
                <w:szCs w:val="20"/>
                <w:lang w:val="en-GB"/>
              </w:rPr>
              <w:t>?</w:t>
            </w:r>
          </w:p>
        </w:tc>
        <w:tc>
          <w:tcPr>
            <w:tcW w:w="2127" w:type="dxa"/>
          </w:tcPr>
          <w:p w14:paraId="539B7F0D"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p>
        </w:tc>
      </w:tr>
      <w:tr w:rsidR="008D0CAD" w:rsidRPr="00CF6064" w14:paraId="74C65AFA" w14:textId="77777777" w:rsidTr="00EC48C1">
        <w:trPr>
          <w:trHeight w:val="379"/>
        </w:trPr>
        <w:tc>
          <w:tcPr>
            <w:tcW w:w="1838" w:type="dxa"/>
          </w:tcPr>
          <w:p w14:paraId="5353E81D" w14:textId="77777777" w:rsidR="008D0CAD" w:rsidRPr="00EC48C1" w:rsidRDefault="008D0CAD" w:rsidP="00DD08E3">
            <w:pPr>
              <w:numPr>
                <w:ilvl w:val="0"/>
                <w:numId w:val="115"/>
              </w:numPr>
              <w:autoSpaceDE w:val="0"/>
              <w:autoSpaceDN w:val="0"/>
              <w:adjustRightInd w:val="0"/>
              <w:spacing w:before="100" w:beforeAutospacing="1" w:after="100" w:afterAutospacing="1" w:line="360" w:lineRule="auto"/>
              <w:rPr>
                <w:rFonts w:asciiTheme="majorHAnsi" w:eastAsiaTheme="minorHAnsi" w:hAnsiTheme="majorHAnsi" w:cstheme="majorHAnsi"/>
                <w:b/>
                <w:bCs/>
                <w:color w:val="000000" w:themeColor="text1"/>
                <w:sz w:val="20"/>
                <w:szCs w:val="20"/>
                <w:lang w:val="en-US"/>
              </w:rPr>
            </w:pPr>
            <w:r w:rsidRPr="00EC48C1">
              <w:rPr>
                <w:rFonts w:asciiTheme="majorHAnsi" w:eastAsiaTheme="minorHAnsi" w:hAnsiTheme="majorHAnsi" w:cstheme="majorHAnsi"/>
                <w:b/>
                <w:color w:val="000000"/>
                <w:sz w:val="20"/>
                <w:szCs w:val="20"/>
                <w:lang w:val="en-US"/>
              </w:rPr>
              <w:t>External Factors and Conditions</w:t>
            </w:r>
          </w:p>
        </w:tc>
        <w:tc>
          <w:tcPr>
            <w:tcW w:w="11198" w:type="dxa"/>
          </w:tcPr>
          <w:p w14:paraId="54FC8FBA" w14:textId="77777777" w:rsidR="008D0CAD" w:rsidRPr="00CF6064" w:rsidRDefault="008D0CAD" w:rsidP="00EA6CB9">
            <w:pPr>
              <w:spacing w:before="100" w:beforeAutospacing="1" w:after="100" w:afterAutospacing="1" w:line="360" w:lineRule="auto"/>
              <w:rPr>
                <w:rFonts w:asciiTheme="majorHAnsi" w:hAnsiTheme="majorHAnsi" w:cstheme="majorHAnsi"/>
                <w:b/>
                <w:bCs/>
                <w:sz w:val="20"/>
                <w:szCs w:val="20"/>
                <w:lang w:val="en-GB"/>
              </w:rPr>
            </w:pPr>
            <w:r w:rsidRPr="00CF6064">
              <w:rPr>
                <w:rFonts w:asciiTheme="majorHAnsi" w:hAnsiTheme="majorHAnsi" w:cstheme="majorHAnsi"/>
                <w:b/>
                <w:bCs/>
                <w:sz w:val="20"/>
                <w:szCs w:val="20"/>
                <w:lang w:val="en-GB"/>
              </w:rPr>
              <w:t>EXTERNAL FACTORS &amp; CONDITIONS AFFECTING SCHOOL OUTCOMES</w:t>
            </w:r>
          </w:p>
          <w:p w14:paraId="7822C1B0" w14:textId="77777777" w:rsidR="008D0CAD" w:rsidRPr="00CF6064" w:rsidRDefault="008D0CAD" w:rsidP="00DD08E3">
            <w:pPr>
              <w:numPr>
                <w:ilvl w:val="0"/>
                <w:numId w:val="123"/>
              </w:numPr>
              <w:spacing w:before="100" w:beforeAutospacing="1" w:after="100" w:afterAutospacing="1" w:line="360" w:lineRule="auto"/>
              <w:contextualSpacing/>
              <w:rPr>
                <w:rFonts w:asciiTheme="majorHAnsi" w:hAnsiTheme="majorHAnsi" w:cstheme="majorHAnsi"/>
                <w:b/>
                <w:bCs/>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How did the following external factors and conditions [</w:t>
            </w:r>
            <w:r w:rsidRPr="00CF6064">
              <w:rPr>
                <w:rFonts w:asciiTheme="majorHAnsi" w:hAnsiTheme="majorHAnsi" w:cstheme="majorHAnsi"/>
                <w:snapToGrid w:val="0"/>
                <w:sz w:val="20"/>
                <w:szCs w:val="20"/>
                <w:lang w:val="en-GB"/>
              </w:rPr>
              <w:t>Socio-Economic and Demographic</w:t>
            </w:r>
            <w:r w:rsidRPr="00CF6064">
              <w:rPr>
                <w:rFonts w:asciiTheme="majorHAnsi" w:hAnsiTheme="majorHAnsi" w:cstheme="majorHAnsi"/>
                <w:snapToGrid w:val="0"/>
                <w:color w:val="000000" w:themeColor="text1"/>
                <w:sz w:val="20"/>
                <w:szCs w:val="20"/>
                <w:lang w:val="en-US"/>
              </w:rPr>
              <w:t xml:space="preserve"> / </w:t>
            </w:r>
            <w:r w:rsidRPr="00CF6064">
              <w:rPr>
                <w:rFonts w:asciiTheme="majorHAnsi" w:hAnsiTheme="majorHAnsi" w:cstheme="majorHAnsi"/>
                <w:snapToGrid w:val="0"/>
                <w:color w:val="000000" w:themeColor="text1"/>
                <w:sz w:val="20"/>
                <w:szCs w:val="20"/>
                <w:lang w:val="en-GB"/>
              </w:rPr>
              <w:t xml:space="preserve">Physical and Geographic / </w:t>
            </w:r>
            <w:r w:rsidRPr="00CF6064">
              <w:rPr>
                <w:rFonts w:asciiTheme="majorHAnsi" w:hAnsiTheme="majorHAnsi" w:cstheme="majorHAnsi"/>
                <w:snapToGrid w:val="0"/>
                <w:sz w:val="20"/>
                <w:szCs w:val="20"/>
                <w:lang w:val="en-GB"/>
              </w:rPr>
              <w:t>Cultural and Religious]</w:t>
            </w:r>
            <w:r w:rsidRPr="00CF6064">
              <w:rPr>
                <w:rFonts w:asciiTheme="majorHAnsi" w:hAnsiTheme="majorHAnsi" w:cstheme="majorHAnsi"/>
                <w:snapToGrid w:val="0"/>
                <w:color w:val="000000" w:themeColor="text1"/>
                <w:sz w:val="20"/>
                <w:szCs w:val="20"/>
                <w:lang w:val="en-GB"/>
              </w:rPr>
              <w:t xml:space="preserve"> </w:t>
            </w:r>
            <w:r w:rsidRPr="00CF6064">
              <w:rPr>
                <w:rFonts w:asciiTheme="majorHAnsi" w:hAnsiTheme="majorHAnsi" w:cstheme="majorHAnsi"/>
                <w:snapToGrid w:val="0"/>
                <w:color w:val="000000" w:themeColor="text1"/>
                <w:sz w:val="20"/>
                <w:szCs w:val="20"/>
                <w:lang w:val="en-US"/>
              </w:rPr>
              <w:t>affect school leadership and management practices?</w:t>
            </w:r>
          </w:p>
          <w:p w14:paraId="686D6516" w14:textId="77777777" w:rsidR="008D0CAD" w:rsidRPr="00CF6064" w:rsidRDefault="008D0CAD" w:rsidP="00DD08E3">
            <w:pPr>
              <w:numPr>
                <w:ilvl w:val="1"/>
                <w:numId w:val="123"/>
              </w:numPr>
              <w:spacing w:before="100" w:beforeAutospacing="1" w:after="100" w:afterAutospacing="1" w:line="360" w:lineRule="auto"/>
              <w:ind w:left="891" w:hanging="567"/>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Why not?</w:t>
            </w:r>
          </w:p>
        </w:tc>
        <w:tc>
          <w:tcPr>
            <w:tcW w:w="2127" w:type="dxa"/>
          </w:tcPr>
          <w:p w14:paraId="47CBE96A"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p>
        </w:tc>
      </w:tr>
      <w:tr w:rsidR="008D0CAD" w:rsidRPr="00CF6064" w14:paraId="31F65EC2" w14:textId="77777777" w:rsidTr="00EC48C1">
        <w:tc>
          <w:tcPr>
            <w:tcW w:w="1838" w:type="dxa"/>
          </w:tcPr>
          <w:p w14:paraId="789D0FFE"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1198" w:type="dxa"/>
          </w:tcPr>
          <w:p w14:paraId="3C7B881F" w14:textId="77777777" w:rsidR="008D0CAD" w:rsidRPr="00CF6064" w:rsidRDefault="008D0CAD" w:rsidP="00DD08E3">
            <w:pPr>
              <w:numPr>
                <w:ilvl w:val="0"/>
                <w:numId w:val="121"/>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 xml:space="preserve">For </w:t>
            </w:r>
            <w:r w:rsidRPr="00CF6064">
              <w:rPr>
                <w:rFonts w:asciiTheme="majorHAnsi" w:hAnsiTheme="majorHAnsi" w:cstheme="majorHAnsi"/>
                <w:snapToGrid w:val="0"/>
                <w:sz w:val="20"/>
                <w:szCs w:val="20"/>
                <w:lang w:val="en-GB"/>
              </w:rPr>
              <w:t>Socio-Economic and Demographic</w:t>
            </w:r>
          </w:p>
        </w:tc>
        <w:tc>
          <w:tcPr>
            <w:tcW w:w="2127" w:type="dxa"/>
          </w:tcPr>
          <w:p w14:paraId="6A21E90C"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r w:rsidRPr="00CF6064">
              <w:rPr>
                <w:rFonts w:asciiTheme="majorHAnsi" w:hAnsiTheme="majorHAnsi" w:cstheme="majorHAnsi"/>
                <w:bCs/>
                <w:color w:val="000000" w:themeColor="text1"/>
                <w:sz w:val="20"/>
                <w:szCs w:val="20"/>
                <w:lang w:val="en-US"/>
              </w:rPr>
              <w:t>Refer to Question 38</w:t>
            </w:r>
          </w:p>
        </w:tc>
      </w:tr>
      <w:tr w:rsidR="008D0CAD" w:rsidRPr="00CF6064" w14:paraId="0C84CBB9" w14:textId="77777777" w:rsidTr="00EC48C1">
        <w:tc>
          <w:tcPr>
            <w:tcW w:w="1838" w:type="dxa"/>
          </w:tcPr>
          <w:p w14:paraId="539DF372"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1198" w:type="dxa"/>
          </w:tcPr>
          <w:p w14:paraId="6D913461" w14:textId="77777777" w:rsidR="008D0CAD" w:rsidRPr="00CF6064" w:rsidRDefault="008D0CAD" w:rsidP="00DD08E3">
            <w:pPr>
              <w:numPr>
                <w:ilvl w:val="0"/>
                <w:numId w:val="121"/>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 xml:space="preserve">For </w:t>
            </w:r>
            <w:r w:rsidRPr="00CF6064">
              <w:rPr>
                <w:rFonts w:asciiTheme="majorHAnsi" w:hAnsiTheme="majorHAnsi" w:cstheme="majorHAnsi"/>
                <w:snapToGrid w:val="0"/>
                <w:color w:val="000000" w:themeColor="text1"/>
                <w:sz w:val="20"/>
                <w:szCs w:val="20"/>
                <w:lang w:val="en-GB"/>
              </w:rPr>
              <w:t>Physical and Geographic</w:t>
            </w:r>
            <w:r w:rsidRPr="00CF6064">
              <w:rPr>
                <w:rFonts w:asciiTheme="majorHAnsi" w:hAnsiTheme="majorHAnsi" w:cstheme="majorHAnsi"/>
                <w:snapToGrid w:val="0"/>
                <w:color w:val="000000" w:themeColor="text1"/>
                <w:sz w:val="20"/>
                <w:szCs w:val="20"/>
                <w:lang w:val="en-US"/>
              </w:rPr>
              <w:t xml:space="preserve"> factors</w:t>
            </w:r>
          </w:p>
        </w:tc>
        <w:tc>
          <w:tcPr>
            <w:tcW w:w="2127" w:type="dxa"/>
          </w:tcPr>
          <w:p w14:paraId="76935084"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r w:rsidRPr="00CF6064">
              <w:rPr>
                <w:rFonts w:asciiTheme="majorHAnsi" w:hAnsiTheme="majorHAnsi" w:cstheme="majorHAnsi"/>
                <w:bCs/>
                <w:color w:val="000000" w:themeColor="text1"/>
                <w:sz w:val="20"/>
                <w:szCs w:val="20"/>
                <w:lang w:val="en-US"/>
              </w:rPr>
              <w:t>Refer to Question 39</w:t>
            </w:r>
          </w:p>
        </w:tc>
      </w:tr>
      <w:tr w:rsidR="008D0CAD" w:rsidRPr="00CF6064" w14:paraId="5BC1884D" w14:textId="77777777" w:rsidTr="00EC48C1">
        <w:trPr>
          <w:trHeight w:val="60"/>
        </w:trPr>
        <w:tc>
          <w:tcPr>
            <w:tcW w:w="1838" w:type="dxa"/>
          </w:tcPr>
          <w:p w14:paraId="5D881DBF"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1198" w:type="dxa"/>
          </w:tcPr>
          <w:p w14:paraId="49EA024D" w14:textId="77777777" w:rsidR="008D0CAD" w:rsidRPr="00CF6064" w:rsidRDefault="008D0CAD" w:rsidP="00DD08E3">
            <w:pPr>
              <w:numPr>
                <w:ilvl w:val="0"/>
                <w:numId w:val="121"/>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 xml:space="preserve">For </w:t>
            </w:r>
            <w:r w:rsidRPr="00CF6064">
              <w:rPr>
                <w:rFonts w:asciiTheme="majorHAnsi" w:hAnsiTheme="majorHAnsi" w:cstheme="majorHAnsi"/>
                <w:snapToGrid w:val="0"/>
                <w:sz w:val="20"/>
                <w:szCs w:val="20"/>
                <w:lang w:val="en-GB"/>
              </w:rPr>
              <w:t>Cultural and Religious</w:t>
            </w:r>
          </w:p>
        </w:tc>
        <w:tc>
          <w:tcPr>
            <w:tcW w:w="2127" w:type="dxa"/>
          </w:tcPr>
          <w:p w14:paraId="31671C9D"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r w:rsidRPr="00CF6064">
              <w:rPr>
                <w:rFonts w:asciiTheme="majorHAnsi" w:hAnsiTheme="majorHAnsi" w:cstheme="majorHAnsi"/>
                <w:bCs/>
                <w:color w:val="000000" w:themeColor="text1"/>
                <w:sz w:val="20"/>
                <w:szCs w:val="20"/>
                <w:lang w:val="en-US"/>
              </w:rPr>
              <w:t>Refer to Question 40</w:t>
            </w:r>
          </w:p>
        </w:tc>
      </w:tr>
      <w:tr w:rsidR="008D0CAD" w:rsidRPr="00CF6064" w14:paraId="0BD9F7AE" w14:textId="77777777" w:rsidTr="00EC48C1">
        <w:tc>
          <w:tcPr>
            <w:tcW w:w="1838" w:type="dxa"/>
          </w:tcPr>
          <w:p w14:paraId="2A96E6F0"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1198" w:type="dxa"/>
          </w:tcPr>
          <w:p w14:paraId="7A264D6A" w14:textId="77777777" w:rsidR="008D0CAD" w:rsidRPr="00CF6064" w:rsidRDefault="008D0CAD" w:rsidP="00DD08E3">
            <w:pPr>
              <w:numPr>
                <w:ilvl w:val="0"/>
                <w:numId w:val="123"/>
              </w:numPr>
              <w:spacing w:before="100" w:beforeAutospacing="1" w:after="100" w:afterAutospacing="1" w:line="360" w:lineRule="auto"/>
              <w:ind w:left="357" w:hanging="357"/>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sz w:val="20"/>
                <w:szCs w:val="20"/>
                <w:lang w:val="en-GB"/>
              </w:rPr>
              <w:t xml:space="preserve">How does other external factors </w:t>
            </w:r>
            <w:r w:rsidRPr="00CF6064">
              <w:rPr>
                <w:rFonts w:asciiTheme="majorHAnsi" w:hAnsiTheme="majorHAnsi" w:cstheme="majorHAnsi"/>
                <w:snapToGrid w:val="0"/>
                <w:color w:val="000000" w:themeColor="text1"/>
                <w:sz w:val="20"/>
                <w:szCs w:val="20"/>
                <w:lang w:val="en-GB"/>
              </w:rPr>
              <w:t xml:space="preserve">influence/affect </w:t>
            </w:r>
            <w:r w:rsidRPr="00CF6064">
              <w:rPr>
                <w:rFonts w:asciiTheme="majorHAnsi" w:hAnsiTheme="majorHAnsi" w:cstheme="majorHAnsi"/>
                <w:snapToGrid w:val="0"/>
                <w:sz w:val="20"/>
                <w:szCs w:val="20"/>
                <w:lang w:val="en-GB"/>
              </w:rPr>
              <w:t>school leadership and management practices in your school</w:t>
            </w:r>
            <w:r w:rsidRPr="00CF6064">
              <w:rPr>
                <w:rFonts w:asciiTheme="majorHAnsi" w:hAnsiTheme="majorHAnsi" w:cstheme="majorHAnsi"/>
                <w:snapToGrid w:val="0"/>
                <w:color w:val="000000" w:themeColor="text1"/>
                <w:sz w:val="20"/>
                <w:szCs w:val="20"/>
                <w:lang w:val="en-GB"/>
              </w:rPr>
              <w:t xml:space="preserve">? </w:t>
            </w:r>
          </w:p>
          <w:p w14:paraId="2A74DF9C" w14:textId="77777777" w:rsidR="008D0CAD" w:rsidRPr="00CF6064" w:rsidRDefault="008D0CAD" w:rsidP="00DD08E3">
            <w:pPr>
              <w:numPr>
                <w:ilvl w:val="1"/>
                <w:numId w:val="123"/>
              </w:numPr>
              <w:spacing w:before="100" w:beforeAutospacing="1" w:after="100" w:afterAutospacing="1" w:line="360" w:lineRule="auto"/>
              <w:ind w:left="1024" w:hanging="630"/>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GB"/>
              </w:rPr>
              <w:t xml:space="preserve">access to key resources (e.g., </w:t>
            </w:r>
            <w:r w:rsidRPr="00CF6064">
              <w:rPr>
                <w:rFonts w:asciiTheme="majorHAnsi" w:hAnsiTheme="majorHAnsi" w:cstheme="majorHAnsi"/>
                <w:i/>
                <w:iCs/>
                <w:snapToGrid w:val="0"/>
                <w:color w:val="000000" w:themeColor="text1"/>
                <w:sz w:val="20"/>
                <w:szCs w:val="20"/>
                <w:lang w:val="en-GB"/>
              </w:rPr>
              <w:t>support/visits from supervisors, consultation with peer principals, access to training and professional development opportunities, among others</w:t>
            </w:r>
            <w:r w:rsidRPr="00CF6064">
              <w:rPr>
                <w:rFonts w:asciiTheme="majorHAnsi" w:hAnsiTheme="majorHAnsi" w:cstheme="majorHAnsi"/>
                <w:snapToGrid w:val="0"/>
                <w:color w:val="000000" w:themeColor="text1"/>
                <w:sz w:val="20"/>
                <w:szCs w:val="20"/>
                <w:lang w:val="en-GB"/>
              </w:rPr>
              <w:t>)</w:t>
            </w:r>
            <w:r w:rsidRPr="00CF6064">
              <w:rPr>
                <w:rFonts w:asciiTheme="majorHAnsi" w:hAnsiTheme="majorHAnsi" w:cstheme="majorHAnsi"/>
                <w:snapToGrid w:val="0"/>
                <w:sz w:val="20"/>
                <w:szCs w:val="20"/>
                <w:lang w:val="en-GB"/>
              </w:rPr>
              <w:t>?</w:t>
            </w:r>
          </w:p>
          <w:p w14:paraId="60B32023" w14:textId="77777777" w:rsidR="008D0CAD" w:rsidRPr="00CF6064" w:rsidRDefault="008D0CAD" w:rsidP="00DD08E3">
            <w:pPr>
              <w:numPr>
                <w:ilvl w:val="1"/>
                <w:numId w:val="123"/>
              </w:numPr>
              <w:spacing w:before="100" w:beforeAutospacing="1" w:after="100" w:afterAutospacing="1" w:line="360" w:lineRule="auto"/>
              <w:ind w:left="1024" w:hanging="630"/>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GB"/>
              </w:rPr>
              <w:t>access to communications/internet and/or transportation infrastructure; and</w:t>
            </w:r>
          </w:p>
          <w:p w14:paraId="52E4CEF5" w14:textId="77777777" w:rsidR="008D0CAD" w:rsidRPr="00CF6064" w:rsidRDefault="008D0CAD" w:rsidP="00DD08E3">
            <w:pPr>
              <w:numPr>
                <w:ilvl w:val="1"/>
                <w:numId w:val="123"/>
              </w:numPr>
              <w:spacing w:before="100" w:beforeAutospacing="1" w:after="100" w:afterAutospacing="1" w:line="360" w:lineRule="auto"/>
              <w:ind w:left="1024" w:hanging="630"/>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GB"/>
              </w:rPr>
              <w:t>occurrence of natural and man-made disasters</w:t>
            </w:r>
          </w:p>
        </w:tc>
        <w:tc>
          <w:tcPr>
            <w:tcW w:w="2127" w:type="dxa"/>
          </w:tcPr>
          <w:p w14:paraId="2EE46A97"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p>
        </w:tc>
      </w:tr>
      <w:tr w:rsidR="008D0CAD" w:rsidRPr="00CF6064" w14:paraId="651EDC4B" w14:textId="77777777" w:rsidTr="00EC48C1">
        <w:trPr>
          <w:trHeight w:val="621"/>
        </w:trPr>
        <w:tc>
          <w:tcPr>
            <w:tcW w:w="1838" w:type="dxa"/>
          </w:tcPr>
          <w:p w14:paraId="43FF7300" w14:textId="77777777" w:rsidR="008D0CAD" w:rsidRPr="00EC48C1" w:rsidRDefault="008D0CAD" w:rsidP="00DD08E3">
            <w:pPr>
              <w:numPr>
                <w:ilvl w:val="0"/>
                <w:numId w:val="115"/>
              </w:numPr>
              <w:autoSpaceDE w:val="0"/>
              <w:autoSpaceDN w:val="0"/>
              <w:adjustRightInd w:val="0"/>
              <w:spacing w:before="100" w:beforeAutospacing="1" w:after="100" w:afterAutospacing="1" w:line="360" w:lineRule="auto"/>
              <w:ind w:left="357" w:hanging="357"/>
              <w:rPr>
                <w:rFonts w:asciiTheme="majorHAnsi" w:eastAsiaTheme="minorHAnsi" w:hAnsiTheme="majorHAnsi" w:cstheme="majorHAnsi"/>
                <w:b/>
                <w:bCs/>
                <w:color w:val="000000" w:themeColor="text1"/>
                <w:sz w:val="20"/>
                <w:szCs w:val="20"/>
                <w:lang w:val="en-US"/>
              </w:rPr>
            </w:pPr>
            <w:r w:rsidRPr="00EC48C1">
              <w:rPr>
                <w:rFonts w:asciiTheme="majorHAnsi" w:eastAsiaTheme="minorHAnsi" w:hAnsiTheme="majorHAnsi" w:cstheme="majorHAnsi"/>
                <w:b/>
                <w:color w:val="000000"/>
                <w:sz w:val="20"/>
                <w:szCs w:val="20"/>
                <w:lang w:val="en-US"/>
              </w:rPr>
              <w:t>Systemic Factors and Conditions</w:t>
            </w:r>
          </w:p>
        </w:tc>
        <w:tc>
          <w:tcPr>
            <w:tcW w:w="11198" w:type="dxa"/>
          </w:tcPr>
          <w:p w14:paraId="39EBA7F5" w14:textId="77777777" w:rsidR="008D0CAD" w:rsidRPr="00CF6064" w:rsidRDefault="008D0CAD" w:rsidP="00DD08E3">
            <w:pPr>
              <w:numPr>
                <w:ilvl w:val="0"/>
                <w:numId w:val="123"/>
              </w:numPr>
              <w:spacing w:before="100" w:beforeAutospacing="1" w:after="100" w:afterAutospacing="1" w:line="360" w:lineRule="auto"/>
              <w:contextualSpacing/>
              <w:rPr>
                <w:rFonts w:asciiTheme="majorHAnsi" w:hAnsiTheme="majorHAnsi" w:cstheme="majorHAnsi"/>
                <w:snapToGrid w:val="0"/>
                <w:sz w:val="20"/>
                <w:szCs w:val="20"/>
                <w:lang w:val="en-US"/>
              </w:rPr>
            </w:pPr>
            <w:r w:rsidRPr="00CF6064">
              <w:rPr>
                <w:rFonts w:asciiTheme="majorHAnsi" w:hAnsiTheme="majorHAnsi" w:cstheme="majorHAnsi"/>
                <w:snapToGrid w:val="0"/>
                <w:sz w:val="20"/>
                <w:szCs w:val="20"/>
                <w:lang w:val="en-US"/>
              </w:rPr>
              <w:t xml:space="preserve">What </w:t>
            </w:r>
            <w:r w:rsidRPr="00CF6064">
              <w:rPr>
                <w:rFonts w:asciiTheme="majorHAnsi" w:hAnsiTheme="majorHAnsi" w:cstheme="majorHAnsi"/>
                <w:snapToGrid w:val="0"/>
                <w:sz w:val="20"/>
                <w:szCs w:val="20"/>
                <w:u w:val="single"/>
                <w:lang w:val="en-US"/>
              </w:rPr>
              <w:t>significant</w:t>
            </w:r>
            <w:r w:rsidRPr="00CF6064">
              <w:rPr>
                <w:rFonts w:asciiTheme="majorHAnsi" w:hAnsiTheme="majorHAnsi" w:cstheme="majorHAnsi"/>
                <w:snapToGrid w:val="0"/>
                <w:sz w:val="20"/>
                <w:szCs w:val="20"/>
                <w:lang w:val="en-US"/>
              </w:rPr>
              <w:t xml:space="preserve"> assistance and support has your school received from external public and private stakeholders (e.g. Division Office, LGU, Church or NGOs)? </w:t>
            </w:r>
          </w:p>
        </w:tc>
        <w:tc>
          <w:tcPr>
            <w:tcW w:w="2127" w:type="dxa"/>
          </w:tcPr>
          <w:p w14:paraId="20973D7E"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p>
        </w:tc>
      </w:tr>
      <w:tr w:rsidR="008D0CAD" w:rsidRPr="00CF6064" w14:paraId="22FB158F" w14:textId="77777777" w:rsidTr="00EC48C1">
        <w:tc>
          <w:tcPr>
            <w:tcW w:w="1838" w:type="dxa"/>
          </w:tcPr>
          <w:p w14:paraId="6BF61B0F" w14:textId="77777777" w:rsidR="008D0CAD" w:rsidRPr="00EC48C1"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b/>
                <w:color w:val="000000"/>
                <w:sz w:val="20"/>
                <w:szCs w:val="20"/>
                <w:lang w:val="en-US"/>
              </w:rPr>
            </w:pPr>
          </w:p>
        </w:tc>
        <w:tc>
          <w:tcPr>
            <w:tcW w:w="11198" w:type="dxa"/>
          </w:tcPr>
          <w:p w14:paraId="5B790B47" w14:textId="77777777" w:rsidR="008D0CAD" w:rsidRPr="00CF6064" w:rsidRDefault="008D0CAD" w:rsidP="00DD08E3">
            <w:pPr>
              <w:numPr>
                <w:ilvl w:val="0"/>
                <w:numId w:val="123"/>
              </w:numPr>
              <w:spacing w:before="100" w:beforeAutospacing="1" w:after="100" w:afterAutospacing="1" w:line="360" w:lineRule="auto"/>
              <w:contextualSpacing/>
              <w:rPr>
                <w:rFonts w:asciiTheme="majorHAnsi" w:hAnsiTheme="majorHAnsi" w:cstheme="majorHAnsi"/>
                <w:snapToGrid w:val="0"/>
                <w:sz w:val="20"/>
                <w:szCs w:val="20"/>
                <w:lang w:val="en-US"/>
              </w:rPr>
            </w:pPr>
            <w:r w:rsidRPr="00CF6064">
              <w:rPr>
                <w:rFonts w:asciiTheme="majorHAnsi" w:hAnsiTheme="majorHAnsi" w:cstheme="majorHAnsi"/>
                <w:snapToGrid w:val="0"/>
                <w:sz w:val="20"/>
                <w:szCs w:val="20"/>
                <w:lang w:val="en-US"/>
              </w:rPr>
              <w:t>How did support and assistance from external stakeholders improve:</w:t>
            </w:r>
          </w:p>
          <w:p w14:paraId="4DB2944F" w14:textId="77777777" w:rsidR="008D0CAD" w:rsidRPr="00CF6064" w:rsidRDefault="008D0CAD" w:rsidP="00DD08E3">
            <w:pPr>
              <w:numPr>
                <w:ilvl w:val="1"/>
                <w:numId w:val="123"/>
              </w:numPr>
              <w:spacing w:before="100" w:beforeAutospacing="1" w:after="100" w:afterAutospacing="1" w:line="360" w:lineRule="auto"/>
              <w:contextualSpacing/>
              <w:rPr>
                <w:rFonts w:asciiTheme="majorHAnsi" w:hAnsiTheme="majorHAnsi" w:cstheme="majorHAnsi"/>
                <w:snapToGrid w:val="0"/>
                <w:sz w:val="20"/>
                <w:szCs w:val="20"/>
                <w:lang w:val="en-US"/>
              </w:rPr>
            </w:pPr>
            <w:r w:rsidRPr="00CF6064">
              <w:rPr>
                <w:rFonts w:asciiTheme="majorHAnsi" w:hAnsiTheme="majorHAnsi" w:cstheme="majorHAnsi"/>
                <w:snapToGrid w:val="0"/>
                <w:sz w:val="20"/>
                <w:szCs w:val="20"/>
                <w:lang w:val="en-US"/>
              </w:rPr>
              <w:t>school leadership and management practices?</w:t>
            </w:r>
          </w:p>
          <w:p w14:paraId="56F07BA8" w14:textId="77777777" w:rsidR="008D0CAD" w:rsidRPr="00CF6064" w:rsidRDefault="008D0CAD" w:rsidP="00DD08E3">
            <w:pPr>
              <w:numPr>
                <w:ilvl w:val="1"/>
                <w:numId w:val="123"/>
              </w:numPr>
              <w:spacing w:before="100" w:beforeAutospacing="1" w:after="100" w:afterAutospacing="1" w:line="360" w:lineRule="auto"/>
              <w:contextualSpacing/>
              <w:rPr>
                <w:rFonts w:asciiTheme="majorHAnsi" w:hAnsiTheme="majorHAnsi" w:cstheme="majorHAnsi"/>
                <w:snapToGrid w:val="0"/>
                <w:sz w:val="20"/>
                <w:szCs w:val="20"/>
                <w:lang w:val="en-US"/>
              </w:rPr>
            </w:pPr>
            <w:r w:rsidRPr="00CF6064">
              <w:rPr>
                <w:rFonts w:asciiTheme="majorHAnsi" w:hAnsiTheme="majorHAnsi" w:cstheme="majorHAnsi"/>
                <w:snapToGrid w:val="0"/>
                <w:sz w:val="20"/>
                <w:szCs w:val="20"/>
                <w:lang w:val="en-US"/>
              </w:rPr>
              <w:t>Decentralisation of management and accountability in basic education?</w:t>
            </w:r>
          </w:p>
          <w:p w14:paraId="62C4B784" w14:textId="77777777" w:rsidR="008D0CAD" w:rsidRPr="00CF6064" w:rsidRDefault="008D0CAD" w:rsidP="00DD08E3">
            <w:pPr>
              <w:numPr>
                <w:ilvl w:val="1"/>
                <w:numId w:val="123"/>
              </w:numPr>
              <w:spacing w:before="100" w:beforeAutospacing="1" w:after="100" w:afterAutospacing="1" w:line="360" w:lineRule="auto"/>
              <w:contextualSpacing/>
              <w:rPr>
                <w:rFonts w:asciiTheme="majorHAnsi" w:hAnsiTheme="majorHAnsi" w:cstheme="majorHAnsi"/>
                <w:snapToGrid w:val="0"/>
                <w:sz w:val="20"/>
                <w:szCs w:val="20"/>
                <w:lang w:val="en-US"/>
              </w:rPr>
            </w:pPr>
            <w:r w:rsidRPr="00CF6064">
              <w:rPr>
                <w:rFonts w:asciiTheme="majorHAnsi" w:hAnsiTheme="majorHAnsi" w:cstheme="majorHAnsi"/>
                <w:snapToGrid w:val="0"/>
                <w:color w:val="000000" w:themeColor="text1"/>
                <w:sz w:val="20"/>
                <w:szCs w:val="20"/>
                <w:lang w:val="en-US"/>
              </w:rPr>
              <w:t>Inclusive and responsive basic education</w:t>
            </w:r>
            <w:r w:rsidRPr="00CF6064">
              <w:rPr>
                <w:rFonts w:asciiTheme="majorHAnsi" w:hAnsiTheme="majorHAnsi" w:cstheme="majorHAnsi"/>
                <w:snapToGrid w:val="0"/>
                <w:color w:val="000000" w:themeColor="text1"/>
                <w:sz w:val="20"/>
                <w:szCs w:val="20"/>
              </w:rPr>
              <w:t>?</w:t>
            </w:r>
          </w:p>
        </w:tc>
        <w:tc>
          <w:tcPr>
            <w:tcW w:w="2127" w:type="dxa"/>
          </w:tcPr>
          <w:p w14:paraId="2FC13AD7"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p>
        </w:tc>
      </w:tr>
      <w:tr w:rsidR="008D0CAD" w:rsidRPr="00CF6064" w14:paraId="27E01D06" w14:textId="77777777" w:rsidTr="00EC48C1">
        <w:tc>
          <w:tcPr>
            <w:tcW w:w="1838" w:type="dxa"/>
          </w:tcPr>
          <w:p w14:paraId="1576E56B" w14:textId="77777777" w:rsidR="008D0CAD" w:rsidRPr="00EC48C1" w:rsidRDefault="008D0CAD" w:rsidP="00DD08E3">
            <w:pPr>
              <w:numPr>
                <w:ilvl w:val="0"/>
                <w:numId w:val="115"/>
              </w:numPr>
              <w:autoSpaceDE w:val="0"/>
              <w:autoSpaceDN w:val="0"/>
              <w:adjustRightInd w:val="0"/>
              <w:spacing w:before="100" w:beforeAutospacing="1" w:after="100" w:afterAutospacing="1" w:line="360" w:lineRule="auto"/>
              <w:rPr>
                <w:rFonts w:asciiTheme="majorHAnsi" w:eastAsiaTheme="minorHAnsi" w:hAnsiTheme="majorHAnsi" w:cstheme="majorHAnsi"/>
                <w:b/>
                <w:bCs/>
                <w:color w:val="000000" w:themeColor="text1"/>
                <w:sz w:val="20"/>
                <w:szCs w:val="20"/>
                <w:lang w:val="en-US"/>
              </w:rPr>
            </w:pPr>
            <w:r w:rsidRPr="00EC48C1">
              <w:rPr>
                <w:rFonts w:asciiTheme="majorHAnsi" w:eastAsiaTheme="minorHAnsi" w:hAnsiTheme="majorHAnsi" w:cstheme="majorHAnsi"/>
                <w:b/>
                <w:color w:val="000000"/>
                <w:sz w:val="20"/>
                <w:szCs w:val="20"/>
                <w:lang w:val="en-US"/>
              </w:rPr>
              <w:t xml:space="preserve">Facilitating &amp; Hindering Factors </w:t>
            </w:r>
          </w:p>
        </w:tc>
        <w:tc>
          <w:tcPr>
            <w:tcW w:w="11198" w:type="dxa"/>
          </w:tcPr>
          <w:p w14:paraId="0D4C04E1" w14:textId="77777777" w:rsidR="008D0CAD" w:rsidRPr="00CF6064" w:rsidRDefault="008D0CAD" w:rsidP="00DD08E3">
            <w:pPr>
              <w:numPr>
                <w:ilvl w:val="0"/>
                <w:numId w:val="123"/>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rPr>
              <w:t>What are some of the key factors that drive/facilitate implementation of:</w:t>
            </w:r>
          </w:p>
          <w:p w14:paraId="3863D865" w14:textId="77777777" w:rsidR="008D0CAD" w:rsidRPr="00CF6064" w:rsidRDefault="008D0CAD" w:rsidP="00DD08E3">
            <w:pPr>
              <w:numPr>
                <w:ilvl w:val="1"/>
                <w:numId w:val="123"/>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sz w:val="20"/>
                <w:szCs w:val="20"/>
                <w:lang w:val="en-US"/>
              </w:rPr>
              <w:t>school leadership and management practices?</w:t>
            </w:r>
          </w:p>
          <w:p w14:paraId="69717E6B" w14:textId="77777777" w:rsidR="008D0CAD" w:rsidRPr="00CF6064" w:rsidRDefault="008D0CAD" w:rsidP="00DD08E3">
            <w:pPr>
              <w:numPr>
                <w:ilvl w:val="1"/>
                <w:numId w:val="123"/>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Decentralisation of management and accountability?</w:t>
            </w:r>
          </w:p>
          <w:p w14:paraId="420BC602" w14:textId="77777777" w:rsidR="008D0CAD" w:rsidRPr="00CF6064" w:rsidRDefault="008D0CAD" w:rsidP="00DD08E3">
            <w:pPr>
              <w:numPr>
                <w:ilvl w:val="1"/>
                <w:numId w:val="123"/>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Implementation of inclusive and responsive basic education</w:t>
            </w:r>
            <w:r w:rsidRPr="00CF6064">
              <w:rPr>
                <w:rFonts w:asciiTheme="majorHAnsi" w:hAnsiTheme="majorHAnsi" w:cstheme="majorHAnsi"/>
                <w:snapToGrid w:val="0"/>
                <w:color w:val="000000" w:themeColor="text1"/>
                <w:sz w:val="20"/>
                <w:szCs w:val="20"/>
              </w:rPr>
              <w:t>?</w:t>
            </w:r>
          </w:p>
        </w:tc>
        <w:tc>
          <w:tcPr>
            <w:tcW w:w="2127" w:type="dxa"/>
          </w:tcPr>
          <w:p w14:paraId="58B80D39"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p>
        </w:tc>
      </w:tr>
      <w:tr w:rsidR="008D0CAD" w:rsidRPr="00CF6064" w14:paraId="6D03136D" w14:textId="77777777" w:rsidTr="00EC48C1">
        <w:tc>
          <w:tcPr>
            <w:tcW w:w="1838" w:type="dxa"/>
          </w:tcPr>
          <w:p w14:paraId="5BC6366F" w14:textId="77777777" w:rsidR="008D0CAD" w:rsidRPr="00EC48C1"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b/>
                <w:color w:val="000000"/>
                <w:sz w:val="20"/>
                <w:szCs w:val="20"/>
                <w:lang w:val="en-US"/>
              </w:rPr>
            </w:pPr>
          </w:p>
        </w:tc>
        <w:tc>
          <w:tcPr>
            <w:tcW w:w="11198" w:type="dxa"/>
          </w:tcPr>
          <w:p w14:paraId="5E23368F" w14:textId="77777777" w:rsidR="008D0CAD" w:rsidRPr="00CF6064" w:rsidRDefault="008D0CAD" w:rsidP="00DD08E3">
            <w:pPr>
              <w:numPr>
                <w:ilvl w:val="0"/>
                <w:numId w:val="123"/>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rPr>
              <w:t>What are some of the remaining hindrances that challenge the implementation of:</w:t>
            </w:r>
          </w:p>
          <w:p w14:paraId="07F0FDEB" w14:textId="77777777" w:rsidR="008D0CAD" w:rsidRPr="00CF6064" w:rsidRDefault="008D0CAD" w:rsidP="00DD08E3">
            <w:pPr>
              <w:numPr>
                <w:ilvl w:val="1"/>
                <w:numId w:val="123"/>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sz w:val="20"/>
                <w:szCs w:val="20"/>
                <w:lang w:val="en-US"/>
              </w:rPr>
              <w:t>school leadership and management practices?</w:t>
            </w:r>
          </w:p>
          <w:p w14:paraId="4349DE69" w14:textId="77777777" w:rsidR="008D0CAD" w:rsidRPr="00CF6064" w:rsidRDefault="008D0CAD" w:rsidP="00DD08E3">
            <w:pPr>
              <w:numPr>
                <w:ilvl w:val="1"/>
                <w:numId w:val="123"/>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Decentralisation of management and accountability?</w:t>
            </w:r>
          </w:p>
          <w:p w14:paraId="03E64B46" w14:textId="77777777" w:rsidR="008D0CAD" w:rsidRPr="00CF6064" w:rsidRDefault="008D0CAD" w:rsidP="00DD08E3">
            <w:pPr>
              <w:numPr>
                <w:ilvl w:val="1"/>
                <w:numId w:val="123"/>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CF6064">
              <w:rPr>
                <w:rFonts w:asciiTheme="majorHAnsi" w:hAnsiTheme="majorHAnsi" w:cstheme="majorHAnsi"/>
                <w:snapToGrid w:val="0"/>
                <w:color w:val="000000" w:themeColor="text1"/>
                <w:sz w:val="20"/>
                <w:szCs w:val="20"/>
                <w:lang w:val="en-US"/>
              </w:rPr>
              <w:t>Implementation of inclusive and responsive basic education</w:t>
            </w:r>
            <w:r w:rsidRPr="00CF6064">
              <w:rPr>
                <w:rFonts w:asciiTheme="majorHAnsi" w:hAnsiTheme="majorHAnsi" w:cstheme="majorHAnsi"/>
                <w:snapToGrid w:val="0"/>
                <w:color w:val="000000" w:themeColor="text1"/>
                <w:sz w:val="20"/>
                <w:szCs w:val="20"/>
              </w:rPr>
              <w:t xml:space="preserve">? </w:t>
            </w:r>
          </w:p>
        </w:tc>
        <w:tc>
          <w:tcPr>
            <w:tcW w:w="2127" w:type="dxa"/>
          </w:tcPr>
          <w:p w14:paraId="34E269D6"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p>
        </w:tc>
      </w:tr>
    </w:tbl>
    <w:p w14:paraId="2A0D30E3" w14:textId="77777777" w:rsidR="008D0CAD" w:rsidRPr="00CF6064" w:rsidRDefault="008D0CAD" w:rsidP="002320B3">
      <w:pPr>
        <w:ind w:left="1260" w:hanging="1260"/>
        <w:rPr>
          <w:rFonts w:asciiTheme="majorHAnsi" w:hAnsiTheme="majorHAnsi" w:cstheme="majorHAnsi"/>
          <w:i/>
          <w:iCs/>
          <w:sz w:val="20"/>
          <w:szCs w:val="20"/>
          <w:lang w:val="en-US"/>
        </w:rPr>
      </w:pPr>
    </w:p>
    <w:p w14:paraId="57194AB5" w14:textId="77777777" w:rsidR="008D0CAD" w:rsidRPr="00CF6064" w:rsidRDefault="008D0CAD" w:rsidP="00DD08E3">
      <w:pPr>
        <w:keepNext/>
        <w:keepLines/>
        <w:numPr>
          <w:ilvl w:val="0"/>
          <w:numId w:val="66"/>
        </w:numPr>
        <w:spacing w:before="40" w:after="120"/>
        <w:ind w:left="0" w:firstLine="0"/>
        <w:outlineLvl w:val="1"/>
        <w:rPr>
          <w:rFonts w:asciiTheme="majorHAnsi" w:eastAsiaTheme="majorEastAsia" w:hAnsiTheme="majorHAnsi" w:cstheme="majorBidi"/>
          <w:color w:val="2F5496" w:themeColor="accent1" w:themeShade="BF"/>
          <w:sz w:val="26"/>
          <w:szCs w:val="26"/>
          <w:lang w:val="en-US"/>
        </w:rPr>
        <w:sectPr w:rsidR="008D0CAD" w:rsidRPr="00CF6064" w:rsidSect="009C64E9">
          <w:pgSz w:w="16838" w:h="11906" w:orient="landscape" w:code="9"/>
          <w:pgMar w:top="1440" w:right="1080" w:bottom="1440" w:left="1080" w:header="708" w:footer="708" w:gutter="0"/>
          <w:cols w:space="708"/>
          <w:docGrid w:linePitch="360"/>
        </w:sectPr>
      </w:pPr>
    </w:p>
    <w:p w14:paraId="2C80C35E" w14:textId="078341E9" w:rsidR="008D0CAD" w:rsidRPr="00CF6064" w:rsidRDefault="008D0CAD" w:rsidP="00EA6CB9">
      <w:pPr>
        <w:pStyle w:val="Heading3"/>
        <w:spacing w:before="100" w:beforeAutospacing="1" w:after="100" w:afterAutospacing="1" w:line="360" w:lineRule="auto"/>
        <w:rPr>
          <w:lang w:val="en-US"/>
        </w:rPr>
      </w:pPr>
      <w:bookmarkStart w:id="310" w:name="_Toc39938389"/>
      <w:bookmarkStart w:id="311" w:name="_Toc69820494"/>
      <w:r w:rsidRPr="00CF6064">
        <w:rPr>
          <w:lang w:val="en-US"/>
        </w:rPr>
        <w:t>Annex O-2: 2020 Guide Questions for Teachers</w:t>
      </w:r>
      <w:bookmarkEnd w:id="310"/>
      <w:bookmarkEnd w:id="311"/>
    </w:p>
    <w:tbl>
      <w:tblPr>
        <w:tblStyle w:val="TableGrid11"/>
        <w:tblW w:w="0" w:type="auto"/>
        <w:tblLook w:val="04A0" w:firstRow="1" w:lastRow="0" w:firstColumn="1" w:lastColumn="0" w:noHBand="0" w:noVBand="1"/>
      </w:tblPr>
      <w:tblGrid>
        <w:gridCol w:w="1816"/>
        <w:gridCol w:w="10767"/>
        <w:gridCol w:w="2085"/>
      </w:tblGrid>
      <w:tr w:rsidR="008D0CAD" w:rsidRPr="00EC48C1" w14:paraId="345C719B" w14:textId="77777777" w:rsidTr="001A175A">
        <w:trPr>
          <w:tblHeader/>
        </w:trPr>
        <w:tc>
          <w:tcPr>
            <w:tcW w:w="1816" w:type="dxa"/>
          </w:tcPr>
          <w:p w14:paraId="62D3A964"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0767" w:type="dxa"/>
          </w:tcPr>
          <w:p w14:paraId="6D164B0D"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r w:rsidRPr="00EC48C1">
              <w:rPr>
                <w:rFonts w:asciiTheme="majorHAnsi" w:hAnsiTheme="majorHAnsi" w:cstheme="majorHAnsi"/>
                <w:b/>
                <w:sz w:val="20"/>
                <w:szCs w:val="20"/>
                <w:lang w:val="en-US"/>
              </w:rPr>
              <w:t>Interview Questions</w:t>
            </w:r>
          </w:p>
        </w:tc>
        <w:tc>
          <w:tcPr>
            <w:tcW w:w="2085" w:type="dxa"/>
          </w:tcPr>
          <w:p w14:paraId="0B4A16E1"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r w:rsidRPr="00EC48C1">
              <w:rPr>
                <w:rFonts w:asciiTheme="majorHAnsi" w:hAnsiTheme="majorHAnsi" w:cstheme="majorHAnsi"/>
                <w:b/>
                <w:sz w:val="20"/>
                <w:szCs w:val="20"/>
                <w:lang w:val="en-US"/>
              </w:rPr>
              <w:t>Reference to Survey Questionnaire</w:t>
            </w:r>
          </w:p>
        </w:tc>
      </w:tr>
      <w:tr w:rsidR="008D0CAD" w:rsidRPr="00EC48C1" w14:paraId="3AB2E15F" w14:textId="77777777" w:rsidTr="00EC48C1">
        <w:tc>
          <w:tcPr>
            <w:tcW w:w="1816" w:type="dxa"/>
          </w:tcPr>
          <w:p w14:paraId="597F262B" w14:textId="77777777" w:rsidR="008D0CAD" w:rsidRPr="00EC48C1" w:rsidRDefault="008D0CAD" w:rsidP="00DD08E3">
            <w:pPr>
              <w:numPr>
                <w:ilvl w:val="0"/>
                <w:numId w:val="135"/>
              </w:numPr>
              <w:autoSpaceDE w:val="0"/>
              <w:autoSpaceDN w:val="0"/>
              <w:adjustRightInd w:val="0"/>
              <w:spacing w:before="100" w:beforeAutospacing="1" w:after="100" w:afterAutospacing="1" w:line="360" w:lineRule="auto"/>
              <w:rPr>
                <w:rFonts w:asciiTheme="majorHAnsi" w:eastAsiaTheme="minorHAnsi" w:hAnsiTheme="majorHAnsi" w:cstheme="majorHAnsi"/>
                <w:b/>
                <w:bCs/>
                <w:color w:val="000000" w:themeColor="text1"/>
                <w:sz w:val="20"/>
                <w:szCs w:val="20"/>
                <w:lang w:val="en-US"/>
              </w:rPr>
            </w:pPr>
            <w:r w:rsidRPr="00EC48C1">
              <w:rPr>
                <w:rFonts w:asciiTheme="majorHAnsi" w:eastAsiaTheme="minorHAnsi" w:hAnsiTheme="majorHAnsi" w:cstheme="majorHAnsi"/>
                <w:b/>
                <w:bCs/>
                <w:color w:val="000000" w:themeColor="text1"/>
                <w:sz w:val="20"/>
                <w:szCs w:val="20"/>
                <w:lang w:val="en-US"/>
              </w:rPr>
              <w:t>General Questions</w:t>
            </w:r>
          </w:p>
          <w:p w14:paraId="7DE817CF" w14:textId="77777777" w:rsidR="008D0CAD" w:rsidRPr="00EC48C1"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b/>
                <w:bCs/>
                <w:color w:val="000000" w:themeColor="text1"/>
                <w:sz w:val="20"/>
                <w:szCs w:val="20"/>
                <w:lang w:val="en-US"/>
              </w:rPr>
            </w:pPr>
          </w:p>
        </w:tc>
        <w:tc>
          <w:tcPr>
            <w:tcW w:w="10767" w:type="dxa"/>
          </w:tcPr>
          <w:p w14:paraId="4BE65862" w14:textId="77777777" w:rsidR="008D0CAD" w:rsidRPr="00EC48C1" w:rsidRDefault="008D0CAD" w:rsidP="00DD08E3">
            <w:pPr>
              <w:numPr>
                <w:ilvl w:val="0"/>
                <w:numId w:val="116"/>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GB"/>
              </w:rPr>
            </w:pPr>
            <w:r w:rsidRPr="00EC48C1">
              <w:rPr>
                <w:rFonts w:asciiTheme="majorHAnsi" w:hAnsiTheme="majorHAnsi" w:cstheme="majorHAnsi"/>
                <w:snapToGrid w:val="0"/>
                <w:color w:val="000000" w:themeColor="text1"/>
                <w:sz w:val="20"/>
                <w:szCs w:val="20"/>
                <w:lang w:val="en-US"/>
              </w:rPr>
              <w:t>Of all the basic education reforms introduced by DepEd in the last 6 six years, which among these had the most significant impact to you in terms of improving:</w:t>
            </w:r>
          </w:p>
          <w:p w14:paraId="5ED98EED" w14:textId="77777777" w:rsidR="008D0CAD" w:rsidRPr="00EC48C1" w:rsidRDefault="008D0CAD" w:rsidP="00DD08E3">
            <w:pPr>
              <w:numPr>
                <w:ilvl w:val="1"/>
                <w:numId w:val="118"/>
              </w:numPr>
              <w:spacing w:before="100" w:beforeAutospacing="1" w:after="100" w:afterAutospacing="1" w:line="360" w:lineRule="auto"/>
              <w:ind w:left="914" w:hanging="567"/>
              <w:contextualSpacing/>
              <w:rPr>
                <w:rFonts w:asciiTheme="majorHAnsi" w:hAnsiTheme="majorHAnsi" w:cstheme="majorHAnsi"/>
                <w:snapToGrid w:val="0"/>
                <w:color w:val="000000" w:themeColor="text1"/>
                <w:sz w:val="20"/>
                <w:szCs w:val="20"/>
                <w:lang w:val="en-GB"/>
              </w:rPr>
            </w:pPr>
            <w:r w:rsidRPr="00EC48C1">
              <w:rPr>
                <w:rFonts w:asciiTheme="majorHAnsi" w:hAnsiTheme="majorHAnsi" w:cstheme="majorHAnsi"/>
                <w:snapToGrid w:val="0"/>
                <w:color w:val="000000" w:themeColor="text1"/>
                <w:sz w:val="20"/>
                <w:szCs w:val="20"/>
                <w:lang w:val="en-US"/>
              </w:rPr>
              <w:t>Leadership and management in your school? Why?</w:t>
            </w:r>
          </w:p>
          <w:p w14:paraId="5B4D0671" w14:textId="77777777" w:rsidR="008D0CAD" w:rsidRPr="00EC48C1" w:rsidRDefault="008D0CAD" w:rsidP="00DD08E3">
            <w:pPr>
              <w:numPr>
                <w:ilvl w:val="1"/>
                <w:numId w:val="118"/>
              </w:numPr>
              <w:spacing w:before="100" w:beforeAutospacing="1" w:after="100" w:afterAutospacing="1" w:line="360" w:lineRule="auto"/>
              <w:ind w:left="914" w:hanging="567"/>
              <w:contextualSpacing/>
              <w:rPr>
                <w:rFonts w:asciiTheme="majorHAnsi" w:hAnsiTheme="majorHAnsi" w:cstheme="majorHAnsi"/>
                <w:snapToGrid w:val="0"/>
                <w:color w:val="000000" w:themeColor="text1"/>
                <w:sz w:val="20"/>
                <w:szCs w:val="20"/>
                <w:lang w:val="en-GB"/>
              </w:rPr>
            </w:pPr>
            <w:r w:rsidRPr="00EC48C1">
              <w:rPr>
                <w:rFonts w:asciiTheme="majorHAnsi" w:hAnsiTheme="majorHAnsi" w:cstheme="majorHAnsi"/>
                <w:snapToGrid w:val="0"/>
                <w:color w:val="000000" w:themeColor="text1"/>
                <w:sz w:val="20"/>
                <w:szCs w:val="20"/>
                <w:lang w:val="en-US"/>
              </w:rPr>
              <w:t>Teaching delivery in your school? Why?</w:t>
            </w:r>
          </w:p>
          <w:p w14:paraId="34FD0FEB" w14:textId="77777777" w:rsidR="008D0CAD" w:rsidRPr="00EC48C1" w:rsidRDefault="008D0CAD" w:rsidP="00DD08E3">
            <w:pPr>
              <w:numPr>
                <w:ilvl w:val="1"/>
                <w:numId w:val="118"/>
              </w:numPr>
              <w:spacing w:before="100" w:beforeAutospacing="1" w:after="100" w:afterAutospacing="1" w:line="360" w:lineRule="auto"/>
              <w:ind w:left="914" w:hanging="567"/>
              <w:contextualSpacing/>
              <w:rPr>
                <w:rFonts w:asciiTheme="majorHAnsi" w:hAnsiTheme="majorHAnsi" w:cstheme="majorHAnsi"/>
                <w:snapToGrid w:val="0"/>
                <w:color w:val="000000" w:themeColor="text1"/>
                <w:sz w:val="20"/>
                <w:szCs w:val="20"/>
                <w:lang w:val="en-GB"/>
              </w:rPr>
            </w:pPr>
            <w:r w:rsidRPr="00EC48C1">
              <w:rPr>
                <w:rFonts w:asciiTheme="majorHAnsi" w:hAnsiTheme="majorHAnsi" w:cstheme="majorHAnsi"/>
                <w:snapToGrid w:val="0"/>
                <w:color w:val="000000" w:themeColor="text1"/>
                <w:sz w:val="20"/>
                <w:szCs w:val="20"/>
                <w:lang w:val="en-US"/>
              </w:rPr>
              <w:t>Decentralisation of management and accountability of basic education? Why?</w:t>
            </w:r>
          </w:p>
        </w:tc>
        <w:tc>
          <w:tcPr>
            <w:tcW w:w="2085" w:type="dxa"/>
          </w:tcPr>
          <w:p w14:paraId="6B586F4E"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p>
        </w:tc>
      </w:tr>
      <w:tr w:rsidR="008D0CAD" w:rsidRPr="00EC48C1" w14:paraId="2E26F84B" w14:textId="77777777" w:rsidTr="00EC48C1">
        <w:tc>
          <w:tcPr>
            <w:tcW w:w="1816" w:type="dxa"/>
          </w:tcPr>
          <w:p w14:paraId="7B7CD1D9" w14:textId="77777777" w:rsidR="008D0CAD" w:rsidRPr="00EC48C1" w:rsidRDefault="008D0CAD" w:rsidP="00DD08E3">
            <w:pPr>
              <w:widowControl w:val="0"/>
              <w:numPr>
                <w:ilvl w:val="0"/>
                <w:numId w:val="135"/>
              </w:numPr>
              <w:spacing w:before="100" w:beforeAutospacing="1" w:after="100" w:afterAutospacing="1" w:line="360" w:lineRule="auto"/>
              <w:rPr>
                <w:rFonts w:asciiTheme="majorHAnsi" w:hAnsiTheme="majorHAnsi" w:cstheme="majorHAnsi"/>
                <w:b/>
                <w:snapToGrid w:val="0"/>
                <w:sz w:val="20"/>
                <w:szCs w:val="20"/>
                <w:lang w:val="en-US"/>
              </w:rPr>
            </w:pPr>
            <w:r w:rsidRPr="00EC48C1">
              <w:rPr>
                <w:rFonts w:asciiTheme="majorHAnsi" w:hAnsiTheme="majorHAnsi" w:cstheme="majorHAnsi"/>
                <w:b/>
                <w:bCs/>
                <w:snapToGrid w:val="0"/>
                <w:color w:val="000000" w:themeColor="text1"/>
                <w:sz w:val="20"/>
                <w:szCs w:val="20"/>
                <w:lang w:val="en-US"/>
              </w:rPr>
              <w:t>Basic Education Reforms</w:t>
            </w:r>
          </w:p>
        </w:tc>
        <w:tc>
          <w:tcPr>
            <w:tcW w:w="10767" w:type="dxa"/>
          </w:tcPr>
          <w:p w14:paraId="7E8B77F3" w14:textId="77777777" w:rsidR="008D0CAD" w:rsidRPr="00EC48C1" w:rsidRDefault="008D0CAD" w:rsidP="00EA6CB9">
            <w:pPr>
              <w:spacing w:before="100" w:beforeAutospacing="1" w:after="100" w:afterAutospacing="1" w:line="360" w:lineRule="auto"/>
              <w:rPr>
                <w:rFonts w:asciiTheme="majorHAnsi" w:hAnsiTheme="majorHAnsi" w:cstheme="majorHAnsi"/>
                <w:b/>
                <w:bCs/>
                <w:color w:val="0070C0"/>
                <w:sz w:val="20"/>
                <w:szCs w:val="20"/>
                <w:lang w:val="en-US"/>
              </w:rPr>
            </w:pPr>
            <w:r w:rsidRPr="00EC48C1">
              <w:rPr>
                <w:rFonts w:asciiTheme="majorHAnsi" w:hAnsiTheme="majorHAnsi" w:cstheme="majorHAnsi"/>
                <w:b/>
                <w:bCs/>
                <w:color w:val="0070C0"/>
                <w:sz w:val="20"/>
                <w:szCs w:val="20"/>
                <w:lang w:val="en-US"/>
              </w:rPr>
              <w:t xml:space="preserve">Learning &amp; Development (L&amp;D) System </w:t>
            </w:r>
          </w:p>
          <w:p w14:paraId="4785AAE0" w14:textId="77777777" w:rsidR="008D0CAD" w:rsidRPr="00EC48C1" w:rsidRDefault="008D0CAD" w:rsidP="00EA6CB9">
            <w:pPr>
              <w:spacing w:before="100" w:beforeAutospacing="1" w:after="100" w:afterAutospacing="1" w:line="360" w:lineRule="auto"/>
              <w:rPr>
                <w:rFonts w:asciiTheme="majorHAnsi" w:hAnsiTheme="majorHAnsi" w:cstheme="majorHAnsi"/>
                <w:b/>
                <w:bCs/>
                <w:color w:val="000000" w:themeColor="text1"/>
                <w:sz w:val="20"/>
                <w:szCs w:val="20"/>
                <w:lang w:val="en-US"/>
              </w:rPr>
            </w:pPr>
            <w:r w:rsidRPr="00EC48C1">
              <w:rPr>
                <w:rFonts w:asciiTheme="majorHAnsi" w:hAnsiTheme="majorHAnsi" w:cstheme="majorHAnsi"/>
                <w:b/>
                <w:bCs/>
                <w:color w:val="000000" w:themeColor="text1"/>
                <w:sz w:val="20"/>
                <w:szCs w:val="20"/>
                <w:lang w:val="en-US"/>
              </w:rPr>
              <w:t>L&amp;D Knowledge/Awareness</w:t>
            </w:r>
          </w:p>
          <w:p w14:paraId="6DF9281E" w14:textId="77777777" w:rsidR="008D0CAD" w:rsidRPr="00EC48C1" w:rsidRDefault="008D0CAD" w:rsidP="00DD08E3">
            <w:pPr>
              <w:numPr>
                <w:ilvl w:val="0"/>
                <w:numId w:val="116"/>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EC48C1">
              <w:rPr>
                <w:rFonts w:asciiTheme="majorHAnsi" w:hAnsiTheme="majorHAnsi" w:cstheme="majorHAnsi"/>
                <w:snapToGrid w:val="0"/>
                <w:color w:val="000000" w:themeColor="text1"/>
                <w:sz w:val="20"/>
                <w:szCs w:val="20"/>
                <w:lang w:val="en-US"/>
              </w:rPr>
              <w:t>What is your understanding of the following:</w:t>
            </w:r>
          </w:p>
          <w:p w14:paraId="0A84F173" w14:textId="77777777" w:rsidR="008D0CAD" w:rsidRPr="00EC48C1" w:rsidRDefault="008D0CAD" w:rsidP="00DD08E3">
            <w:pPr>
              <w:numPr>
                <w:ilvl w:val="1"/>
                <w:numId w:val="132"/>
              </w:numPr>
              <w:spacing w:before="100" w:beforeAutospacing="1" w:after="100" w:afterAutospacing="1" w:line="360" w:lineRule="auto"/>
              <w:ind w:left="934" w:hanging="540"/>
              <w:contextualSpacing/>
              <w:rPr>
                <w:rFonts w:asciiTheme="majorHAnsi" w:hAnsiTheme="majorHAnsi" w:cstheme="majorHAnsi"/>
                <w:snapToGrid w:val="0"/>
                <w:color w:val="000000" w:themeColor="text1"/>
                <w:sz w:val="20"/>
                <w:szCs w:val="20"/>
                <w:lang w:val="en-US"/>
              </w:rPr>
            </w:pPr>
            <w:r w:rsidRPr="00EC48C1">
              <w:rPr>
                <w:rFonts w:asciiTheme="majorHAnsi" w:hAnsiTheme="majorHAnsi" w:cstheme="majorHAnsi"/>
                <w:snapToGrid w:val="0"/>
                <w:color w:val="000000" w:themeColor="text1"/>
                <w:sz w:val="20"/>
                <w:szCs w:val="20"/>
                <w:lang w:val="en-US"/>
              </w:rPr>
              <w:t>Learning &amp; Development (L&amp;D) System?</w:t>
            </w:r>
          </w:p>
          <w:p w14:paraId="292F87A5" w14:textId="77777777" w:rsidR="008D0CAD" w:rsidRPr="00EC48C1" w:rsidRDefault="008D0CAD" w:rsidP="00DD08E3">
            <w:pPr>
              <w:numPr>
                <w:ilvl w:val="1"/>
                <w:numId w:val="132"/>
              </w:numPr>
              <w:spacing w:before="100" w:beforeAutospacing="1" w:after="100" w:afterAutospacing="1" w:line="360" w:lineRule="auto"/>
              <w:ind w:left="934" w:hanging="540"/>
              <w:contextualSpacing/>
              <w:rPr>
                <w:rFonts w:asciiTheme="majorHAnsi" w:hAnsiTheme="majorHAnsi" w:cstheme="majorHAnsi"/>
                <w:snapToGrid w:val="0"/>
                <w:color w:val="000000" w:themeColor="text1"/>
                <w:sz w:val="20"/>
                <w:szCs w:val="20"/>
                <w:lang w:val="en-US"/>
              </w:rPr>
            </w:pPr>
            <w:r w:rsidRPr="00EC48C1">
              <w:rPr>
                <w:rFonts w:asciiTheme="majorHAnsi" w:hAnsiTheme="majorHAnsi" w:cstheme="majorHAnsi"/>
                <w:snapToGrid w:val="0"/>
                <w:color w:val="000000" w:themeColor="text1"/>
                <w:sz w:val="20"/>
                <w:szCs w:val="20"/>
                <w:lang w:val="en-US"/>
              </w:rPr>
              <w:t>Learning Management Systems (LMS)?</w:t>
            </w:r>
          </w:p>
        </w:tc>
        <w:tc>
          <w:tcPr>
            <w:tcW w:w="2085" w:type="dxa"/>
          </w:tcPr>
          <w:p w14:paraId="1F7387A1"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r w:rsidRPr="00EC48C1">
              <w:rPr>
                <w:rFonts w:asciiTheme="majorHAnsi" w:hAnsiTheme="majorHAnsi" w:cstheme="majorHAnsi"/>
                <w:bCs/>
                <w:color w:val="000000" w:themeColor="text1"/>
                <w:sz w:val="20"/>
                <w:szCs w:val="20"/>
                <w:lang w:val="en-US"/>
              </w:rPr>
              <w:t>Refer to answer to Question No. 3</w:t>
            </w:r>
          </w:p>
        </w:tc>
      </w:tr>
      <w:tr w:rsidR="008D0CAD" w:rsidRPr="00EC48C1" w14:paraId="37EAF6DC" w14:textId="77777777" w:rsidTr="00EC48C1">
        <w:tc>
          <w:tcPr>
            <w:tcW w:w="1816" w:type="dxa"/>
          </w:tcPr>
          <w:p w14:paraId="28100FB1"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0767" w:type="dxa"/>
          </w:tcPr>
          <w:p w14:paraId="0B36C6DB" w14:textId="77777777" w:rsidR="008D0CAD" w:rsidRPr="00EC48C1" w:rsidRDefault="008D0CAD" w:rsidP="00EA6CB9">
            <w:pPr>
              <w:spacing w:before="100" w:beforeAutospacing="1" w:after="100" w:afterAutospacing="1" w:line="360" w:lineRule="auto"/>
              <w:rPr>
                <w:rFonts w:asciiTheme="majorHAnsi" w:hAnsiTheme="majorHAnsi" w:cstheme="majorHAnsi"/>
                <w:b/>
                <w:bCs/>
                <w:color w:val="000000" w:themeColor="text1"/>
                <w:sz w:val="20"/>
                <w:szCs w:val="20"/>
                <w:lang w:val="en-US"/>
              </w:rPr>
            </w:pPr>
            <w:r w:rsidRPr="00EC48C1">
              <w:rPr>
                <w:rFonts w:asciiTheme="majorHAnsi" w:hAnsiTheme="majorHAnsi" w:cstheme="majorHAnsi"/>
                <w:b/>
                <w:bCs/>
                <w:color w:val="000000" w:themeColor="text1"/>
                <w:sz w:val="20"/>
                <w:szCs w:val="20"/>
                <w:lang w:val="en-US"/>
              </w:rPr>
              <w:t>L&amp;D Practices</w:t>
            </w:r>
          </w:p>
          <w:p w14:paraId="4F7772F5" w14:textId="77777777" w:rsidR="008D0CAD" w:rsidRPr="00EC48C1" w:rsidRDefault="008D0CAD" w:rsidP="00DD08E3">
            <w:pPr>
              <w:numPr>
                <w:ilvl w:val="0"/>
                <w:numId w:val="123"/>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EC48C1">
              <w:rPr>
                <w:rFonts w:asciiTheme="majorHAnsi" w:hAnsiTheme="majorHAnsi" w:cstheme="majorHAnsi"/>
                <w:snapToGrid w:val="0"/>
                <w:color w:val="000000" w:themeColor="text1"/>
                <w:sz w:val="20"/>
                <w:szCs w:val="20"/>
                <w:lang w:val="en-US"/>
              </w:rPr>
              <w:t>How was the Learning Management Systems (LMS) activities implemented in your school?</w:t>
            </w:r>
          </w:p>
          <w:p w14:paraId="34821212" w14:textId="77777777" w:rsidR="008D0CAD" w:rsidRPr="00EC48C1" w:rsidRDefault="008D0CAD" w:rsidP="00DD08E3">
            <w:pPr>
              <w:numPr>
                <w:ilvl w:val="1"/>
                <w:numId w:val="123"/>
              </w:numPr>
              <w:spacing w:before="100" w:beforeAutospacing="1" w:after="100" w:afterAutospacing="1" w:line="360" w:lineRule="auto"/>
              <w:ind w:left="891" w:hanging="567"/>
              <w:contextualSpacing/>
              <w:rPr>
                <w:rFonts w:asciiTheme="majorHAnsi" w:hAnsiTheme="majorHAnsi" w:cstheme="majorHAnsi"/>
                <w:snapToGrid w:val="0"/>
                <w:color w:val="000000" w:themeColor="text1"/>
                <w:sz w:val="20"/>
                <w:szCs w:val="20"/>
                <w:lang w:val="en-US"/>
              </w:rPr>
            </w:pPr>
            <w:r w:rsidRPr="00EC48C1">
              <w:rPr>
                <w:rFonts w:asciiTheme="majorHAnsi" w:hAnsiTheme="majorHAnsi" w:cstheme="majorHAnsi"/>
                <w:snapToGrid w:val="0"/>
                <w:color w:val="000000" w:themeColor="text1"/>
                <w:sz w:val="20"/>
                <w:szCs w:val="20"/>
                <w:lang w:val="en-US"/>
              </w:rPr>
              <w:t xml:space="preserve">Have you participated in these Learning Management System (LMS) activities? </w:t>
            </w:r>
          </w:p>
          <w:p w14:paraId="7CFC1A0C" w14:textId="77777777" w:rsidR="008D0CAD" w:rsidRPr="00EC48C1" w:rsidRDefault="008D0CAD" w:rsidP="00DD08E3">
            <w:pPr>
              <w:numPr>
                <w:ilvl w:val="1"/>
                <w:numId w:val="125"/>
              </w:numPr>
              <w:spacing w:before="100" w:beforeAutospacing="1" w:after="100" w:afterAutospacing="1" w:line="360" w:lineRule="auto"/>
              <w:ind w:left="1317" w:hanging="426"/>
              <w:contextualSpacing/>
              <w:rPr>
                <w:rFonts w:asciiTheme="majorHAnsi" w:hAnsiTheme="majorHAnsi" w:cstheme="majorHAnsi"/>
                <w:snapToGrid w:val="0"/>
                <w:color w:val="000000" w:themeColor="text1"/>
                <w:sz w:val="20"/>
                <w:szCs w:val="20"/>
                <w:lang w:val="en-US"/>
              </w:rPr>
            </w:pPr>
            <w:r w:rsidRPr="00EC48C1">
              <w:rPr>
                <w:rFonts w:asciiTheme="majorHAnsi" w:hAnsiTheme="majorHAnsi" w:cstheme="majorHAnsi"/>
                <w:snapToGrid w:val="0"/>
                <w:color w:val="000000" w:themeColor="text1"/>
                <w:sz w:val="20"/>
                <w:szCs w:val="20"/>
                <w:lang w:val="en-US"/>
              </w:rPr>
              <w:t>Learning Action Cell (LAC)?</w:t>
            </w:r>
          </w:p>
          <w:p w14:paraId="6E803292" w14:textId="77777777" w:rsidR="008D0CAD" w:rsidRPr="00EC48C1" w:rsidRDefault="008D0CAD" w:rsidP="00DD08E3">
            <w:pPr>
              <w:numPr>
                <w:ilvl w:val="1"/>
                <w:numId w:val="125"/>
              </w:numPr>
              <w:spacing w:before="100" w:beforeAutospacing="1" w:after="100" w:afterAutospacing="1" w:line="360" w:lineRule="auto"/>
              <w:ind w:left="1317" w:hanging="426"/>
              <w:contextualSpacing/>
              <w:rPr>
                <w:rFonts w:asciiTheme="majorHAnsi" w:hAnsiTheme="majorHAnsi" w:cstheme="majorHAnsi"/>
                <w:snapToGrid w:val="0"/>
                <w:color w:val="000000" w:themeColor="text1"/>
                <w:sz w:val="20"/>
                <w:szCs w:val="20"/>
                <w:lang w:val="en-US"/>
              </w:rPr>
            </w:pPr>
            <w:r w:rsidRPr="00EC48C1">
              <w:rPr>
                <w:rFonts w:asciiTheme="majorHAnsi" w:hAnsiTheme="majorHAnsi" w:cstheme="majorHAnsi"/>
                <w:snapToGrid w:val="0"/>
                <w:color w:val="000000" w:themeColor="text1"/>
                <w:sz w:val="20"/>
                <w:szCs w:val="20"/>
                <w:lang w:val="en-US"/>
              </w:rPr>
              <w:t>Action Research?</w:t>
            </w:r>
          </w:p>
          <w:p w14:paraId="472100C0" w14:textId="77777777" w:rsidR="008D0CAD" w:rsidRPr="00EC48C1" w:rsidRDefault="008D0CAD" w:rsidP="00DD08E3">
            <w:pPr>
              <w:numPr>
                <w:ilvl w:val="1"/>
                <w:numId w:val="125"/>
              </w:numPr>
              <w:spacing w:before="100" w:beforeAutospacing="1" w:after="100" w:afterAutospacing="1" w:line="360" w:lineRule="auto"/>
              <w:ind w:left="1317" w:hanging="426"/>
              <w:contextualSpacing/>
              <w:rPr>
                <w:rFonts w:asciiTheme="majorHAnsi" w:hAnsiTheme="majorHAnsi" w:cstheme="majorHAnsi"/>
                <w:snapToGrid w:val="0"/>
                <w:color w:val="000000" w:themeColor="text1"/>
                <w:sz w:val="20"/>
                <w:szCs w:val="20"/>
                <w:lang w:val="en-US"/>
              </w:rPr>
            </w:pPr>
            <w:r w:rsidRPr="00EC48C1">
              <w:rPr>
                <w:rFonts w:asciiTheme="majorHAnsi" w:hAnsiTheme="majorHAnsi" w:cstheme="majorHAnsi"/>
                <w:snapToGrid w:val="0"/>
                <w:color w:val="000000" w:themeColor="text1"/>
                <w:sz w:val="20"/>
                <w:szCs w:val="20"/>
                <w:lang w:val="en-US"/>
              </w:rPr>
              <w:t>Job embedded learning?</w:t>
            </w:r>
          </w:p>
          <w:p w14:paraId="5826AD60" w14:textId="77777777" w:rsidR="008D0CAD" w:rsidRPr="00EC48C1" w:rsidRDefault="008D0CAD" w:rsidP="00DD08E3">
            <w:pPr>
              <w:numPr>
                <w:ilvl w:val="1"/>
                <w:numId w:val="125"/>
              </w:numPr>
              <w:spacing w:before="100" w:beforeAutospacing="1" w:after="100" w:afterAutospacing="1" w:line="360" w:lineRule="auto"/>
              <w:ind w:left="1317" w:hanging="426"/>
              <w:contextualSpacing/>
              <w:rPr>
                <w:rFonts w:asciiTheme="majorHAnsi" w:hAnsiTheme="majorHAnsi" w:cstheme="majorHAnsi"/>
                <w:snapToGrid w:val="0"/>
                <w:color w:val="000000" w:themeColor="text1"/>
                <w:sz w:val="20"/>
                <w:szCs w:val="20"/>
                <w:lang w:val="en-US"/>
              </w:rPr>
            </w:pPr>
            <w:r w:rsidRPr="00EC48C1">
              <w:rPr>
                <w:rFonts w:asciiTheme="majorHAnsi" w:hAnsiTheme="majorHAnsi" w:cstheme="majorHAnsi"/>
                <w:snapToGrid w:val="0"/>
                <w:color w:val="000000" w:themeColor="text1"/>
                <w:sz w:val="20"/>
                <w:szCs w:val="20"/>
                <w:lang w:val="en-US"/>
              </w:rPr>
              <w:t>INSET?</w:t>
            </w:r>
          </w:p>
          <w:p w14:paraId="5ED61DBB" w14:textId="77777777" w:rsidR="008D0CAD" w:rsidRPr="00EC48C1" w:rsidRDefault="008D0CAD" w:rsidP="00DD08E3">
            <w:pPr>
              <w:numPr>
                <w:ilvl w:val="1"/>
                <w:numId w:val="123"/>
              </w:numPr>
              <w:spacing w:before="100" w:beforeAutospacing="1" w:after="100" w:afterAutospacing="1" w:line="360" w:lineRule="auto"/>
              <w:ind w:left="891" w:hanging="567"/>
              <w:contextualSpacing/>
              <w:rPr>
                <w:rFonts w:asciiTheme="majorHAnsi" w:hAnsiTheme="majorHAnsi" w:cstheme="majorHAnsi"/>
                <w:snapToGrid w:val="0"/>
                <w:color w:val="000000" w:themeColor="text1"/>
                <w:sz w:val="20"/>
                <w:szCs w:val="20"/>
                <w:lang w:val="en-US"/>
              </w:rPr>
            </w:pPr>
            <w:r w:rsidRPr="00EC48C1">
              <w:rPr>
                <w:rFonts w:asciiTheme="majorHAnsi" w:hAnsiTheme="majorHAnsi" w:cstheme="majorHAnsi"/>
                <w:snapToGrid w:val="0"/>
                <w:color w:val="000000" w:themeColor="text1"/>
                <w:sz w:val="20"/>
                <w:szCs w:val="20"/>
                <w:lang w:val="en-US"/>
              </w:rPr>
              <w:t>If not, why?</w:t>
            </w:r>
          </w:p>
        </w:tc>
        <w:tc>
          <w:tcPr>
            <w:tcW w:w="2085" w:type="dxa"/>
          </w:tcPr>
          <w:p w14:paraId="573F7150"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p>
        </w:tc>
      </w:tr>
      <w:tr w:rsidR="008D0CAD" w:rsidRPr="00EC48C1" w14:paraId="0D89EDC6" w14:textId="77777777" w:rsidTr="00EC48C1">
        <w:tc>
          <w:tcPr>
            <w:tcW w:w="1816" w:type="dxa"/>
          </w:tcPr>
          <w:p w14:paraId="4C0D25DF"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0767" w:type="dxa"/>
          </w:tcPr>
          <w:p w14:paraId="2F72AE96" w14:textId="77777777" w:rsidR="008D0CAD" w:rsidRPr="00EC48C1" w:rsidRDefault="008D0CAD" w:rsidP="00EA6CB9">
            <w:pPr>
              <w:spacing w:before="100" w:beforeAutospacing="1" w:after="100" w:afterAutospacing="1" w:line="360" w:lineRule="auto"/>
              <w:rPr>
                <w:rFonts w:asciiTheme="majorHAnsi" w:hAnsiTheme="majorHAnsi" w:cstheme="majorHAnsi"/>
                <w:b/>
                <w:bCs/>
                <w:color w:val="000000" w:themeColor="text1"/>
                <w:sz w:val="20"/>
                <w:szCs w:val="20"/>
                <w:lang w:val="en-US"/>
              </w:rPr>
            </w:pPr>
            <w:r w:rsidRPr="00EC48C1">
              <w:rPr>
                <w:rFonts w:asciiTheme="majorHAnsi" w:hAnsiTheme="majorHAnsi" w:cstheme="majorHAnsi"/>
                <w:b/>
                <w:bCs/>
                <w:color w:val="000000" w:themeColor="text1"/>
                <w:sz w:val="20"/>
                <w:szCs w:val="20"/>
                <w:lang w:val="en-US"/>
              </w:rPr>
              <w:t>Innovations on L&amp;D implementation</w:t>
            </w:r>
          </w:p>
          <w:p w14:paraId="5DA06A69" w14:textId="77777777" w:rsidR="008D0CAD" w:rsidRPr="00EC48C1" w:rsidRDefault="008D0CAD" w:rsidP="00DD08E3">
            <w:pPr>
              <w:numPr>
                <w:ilvl w:val="0"/>
                <w:numId w:val="123"/>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EC48C1">
              <w:rPr>
                <w:rFonts w:asciiTheme="majorHAnsi" w:hAnsiTheme="majorHAnsi" w:cstheme="majorHAnsi"/>
                <w:snapToGrid w:val="0"/>
                <w:color w:val="000000" w:themeColor="text1"/>
                <w:sz w:val="20"/>
                <w:szCs w:val="20"/>
                <w:lang w:val="en-US"/>
              </w:rPr>
              <w:t xml:space="preserve">What innovations, if any, did your school adopt in terms of implementing the LAC? </w:t>
            </w:r>
          </w:p>
          <w:p w14:paraId="6E1F27A4" w14:textId="77777777" w:rsidR="008D0CAD" w:rsidRPr="00EC48C1" w:rsidRDefault="008D0CAD" w:rsidP="00DD08E3">
            <w:pPr>
              <w:numPr>
                <w:ilvl w:val="1"/>
                <w:numId w:val="123"/>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EC48C1">
              <w:rPr>
                <w:rFonts w:asciiTheme="majorHAnsi" w:hAnsiTheme="majorHAnsi" w:cstheme="majorHAnsi"/>
                <w:snapToGrid w:val="0"/>
                <w:color w:val="000000" w:themeColor="text1"/>
                <w:sz w:val="20"/>
                <w:szCs w:val="20"/>
                <w:lang w:val="en-US"/>
              </w:rPr>
              <w:t>Why not?</w:t>
            </w:r>
          </w:p>
        </w:tc>
        <w:tc>
          <w:tcPr>
            <w:tcW w:w="2085" w:type="dxa"/>
          </w:tcPr>
          <w:p w14:paraId="3C40B531"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p>
          <w:p w14:paraId="1973E0F6"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r w:rsidRPr="00EC48C1">
              <w:rPr>
                <w:rFonts w:asciiTheme="majorHAnsi" w:hAnsiTheme="majorHAnsi" w:cstheme="majorHAnsi"/>
                <w:bCs/>
                <w:color w:val="000000" w:themeColor="text1"/>
                <w:sz w:val="20"/>
                <w:szCs w:val="20"/>
                <w:lang w:val="en-US"/>
              </w:rPr>
              <w:t>Refer to answer to Question No. 6</w:t>
            </w:r>
          </w:p>
        </w:tc>
      </w:tr>
      <w:tr w:rsidR="008D0CAD" w:rsidRPr="00EC48C1" w14:paraId="255DD5F6" w14:textId="77777777" w:rsidTr="00EC48C1">
        <w:tc>
          <w:tcPr>
            <w:tcW w:w="1816" w:type="dxa"/>
          </w:tcPr>
          <w:p w14:paraId="7F738570"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0767" w:type="dxa"/>
          </w:tcPr>
          <w:p w14:paraId="0DD328F4" w14:textId="77777777" w:rsidR="008D0CAD" w:rsidRPr="00EC48C1" w:rsidRDefault="008D0CAD" w:rsidP="00EA6CB9">
            <w:pPr>
              <w:spacing w:before="100" w:beforeAutospacing="1" w:after="100" w:afterAutospacing="1" w:line="360" w:lineRule="auto"/>
              <w:rPr>
                <w:rFonts w:asciiTheme="majorHAnsi" w:hAnsiTheme="majorHAnsi" w:cstheme="majorHAnsi"/>
                <w:b/>
                <w:bCs/>
                <w:color w:val="000000" w:themeColor="text1"/>
                <w:sz w:val="20"/>
                <w:szCs w:val="20"/>
                <w:lang w:val="en-US"/>
              </w:rPr>
            </w:pPr>
            <w:r w:rsidRPr="00EC48C1">
              <w:rPr>
                <w:rFonts w:asciiTheme="majorHAnsi" w:hAnsiTheme="majorHAnsi" w:cstheme="majorHAnsi"/>
                <w:b/>
                <w:bCs/>
                <w:color w:val="000000" w:themeColor="text1"/>
                <w:sz w:val="20"/>
                <w:szCs w:val="20"/>
                <w:lang w:val="en-US"/>
              </w:rPr>
              <w:t xml:space="preserve">Effects of L&amp;D </w:t>
            </w:r>
          </w:p>
          <w:p w14:paraId="78D6D781" w14:textId="77777777" w:rsidR="008D0CAD" w:rsidRPr="00EC48C1" w:rsidRDefault="008D0CAD" w:rsidP="00DD08E3">
            <w:pPr>
              <w:numPr>
                <w:ilvl w:val="0"/>
                <w:numId w:val="123"/>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EC48C1">
              <w:rPr>
                <w:rFonts w:asciiTheme="majorHAnsi" w:hAnsiTheme="majorHAnsi" w:cstheme="majorHAnsi"/>
                <w:snapToGrid w:val="0"/>
                <w:color w:val="000000" w:themeColor="text1"/>
                <w:sz w:val="20"/>
                <w:szCs w:val="20"/>
                <w:lang w:val="en-US"/>
              </w:rPr>
              <w:t>Overall, how did the implementation of the LMS influence your teaching practices?</w:t>
            </w:r>
          </w:p>
        </w:tc>
        <w:tc>
          <w:tcPr>
            <w:tcW w:w="2085" w:type="dxa"/>
          </w:tcPr>
          <w:p w14:paraId="651658E9"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p>
        </w:tc>
      </w:tr>
      <w:tr w:rsidR="008D0CAD" w:rsidRPr="00EC48C1" w14:paraId="2F1A64DF" w14:textId="77777777" w:rsidTr="00EC48C1">
        <w:tc>
          <w:tcPr>
            <w:tcW w:w="1816" w:type="dxa"/>
          </w:tcPr>
          <w:p w14:paraId="1BE606C0"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0767" w:type="dxa"/>
          </w:tcPr>
          <w:p w14:paraId="629DB90F" w14:textId="77777777" w:rsidR="008D0CAD" w:rsidRPr="00EC48C1" w:rsidRDefault="008D0CAD" w:rsidP="00EA6CB9">
            <w:pPr>
              <w:spacing w:before="100" w:beforeAutospacing="1" w:after="100" w:afterAutospacing="1" w:line="360" w:lineRule="auto"/>
              <w:rPr>
                <w:rFonts w:asciiTheme="majorHAnsi" w:hAnsiTheme="majorHAnsi" w:cstheme="majorHAnsi"/>
                <w:b/>
                <w:bCs/>
                <w:color w:val="0070C0"/>
                <w:sz w:val="20"/>
                <w:szCs w:val="20"/>
                <w:lang w:val="en-US"/>
              </w:rPr>
            </w:pPr>
            <w:r w:rsidRPr="00EC48C1">
              <w:rPr>
                <w:rFonts w:asciiTheme="majorHAnsi" w:hAnsiTheme="majorHAnsi" w:cstheme="majorHAnsi"/>
                <w:b/>
                <w:bCs/>
                <w:color w:val="0070C0"/>
                <w:sz w:val="20"/>
                <w:szCs w:val="20"/>
                <w:lang w:val="en-US"/>
              </w:rPr>
              <w:t>CURRICULUM AND ASSESSMENT SYSTEMS (CAS)</w:t>
            </w:r>
          </w:p>
          <w:p w14:paraId="57D14EF6" w14:textId="77777777" w:rsidR="008D0CAD" w:rsidRPr="00EC48C1" w:rsidRDefault="008D0CAD" w:rsidP="00EA6CB9">
            <w:pPr>
              <w:spacing w:before="100" w:beforeAutospacing="1" w:after="100" w:afterAutospacing="1" w:line="360" w:lineRule="auto"/>
              <w:rPr>
                <w:rFonts w:asciiTheme="majorHAnsi" w:hAnsiTheme="majorHAnsi" w:cstheme="majorHAnsi"/>
                <w:b/>
                <w:bCs/>
                <w:color w:val="000000" w:themeColor="text1"/>
                <w:sz w:val="20"/>
                <w:szCs w:val="20"/>
                <w:lang w:val="en-US"/>
              </w:rPr>
            </w:pPr>
            <w:r w:rsidRPr="00EC48C1">
              <w:rPr>
                <w:rFonts w:asciiTheme="majorHAnsi" w:hAnsiTheme="majorHAnsi" w:cstheme="majorHAnsi"/>
                <w:b/>
                <w:bCs/>
                <w:color w:val="000000" w:themeColor="text1"/>
                <w:sz w:val="20"/>
                <w:szCs w:val="20"/>
                <w:lang w:val="en-US"/>
              </w:rPr>
              <w:t>CAS Knowledge/Awareness</w:t>
            </w:r>
          </w:p>
          <w:p w14:paraId="13CF1D65" w14:textId="77777777" w:rsidR="008D0CAD" w:rsidRPr="00EC48C1" w:rsidRDefault="008D0CAD" w:rsidP="00DD08E3">
            <w:pPr>
              <w:numPr>
                <w:ilvl w:val="0"/>
                <w:numId w:val="123"/>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EC48C1">
              <w:rPr>
                <w:rFonts w:asciiTheme="majorHAnsi" w:hAnsiTheme="majorHAnsi" w:cstheme="majorHAnsi"/>
                <w:snapToGrid w:val="0"/>
                <w:color w:val="000000" w:themeColor="text1"/>
                <w:sz w:val="20"/>
                <w:szCs w:val="20"/>
                <w:lang w:val="en-US"/>
              </w:rPr>
              <w:t>What were the different reforms related to the K-12 curriculum and assessment in the last six years that you are familiar with?</w:t>
            </w:r>
          </w:p>
        </w:tc>
        <w:tc>
          <w:tcPr>
            <w:tcW w:w="2085" w:type="dxa"/>
          </w:tcPr>
          <w:p w14:paraId="0BA75FFF"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p>
        </w:tc>
      </w:tr>
      <w:tr w:rsidR="008D0CAD" w:rsidRPr="00EC48C1" w14:paraId="03C282DF" w14:textId="77777777" w:rsidTr="00EC48C1">
        <w:tc>
          <w:tcPr>
            <w:tcW w:w="1816" w:type="dxa"/>
          </w:tcPr>
          <w:p w14:paraId="229C916F"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0767" w:type="dxa"/>
          </w:tcPr>
          <w:p w14:paraId="6B8421AB" w14:textId="77777777" w:rsidR="008D0CAD" w:rsidRPr="00EC48C1" w:rsidRDefault="008D0CAD" w:rsidP="00EA6CB9">
            <w:pPr>
              <w:spacing w:before="100" w:beforeAutospacing="1" w:after="100" w:afterAutospacing="1" w:line="360" w:lineRule="auto"/>
              <w:rPr>
                <w:rFonts w:asciiTheme="majorHAnsi" w:hAnsiTheme="majorHAnsi" w:cstheme="majorHAnsi"/>
                <w:b/>
                <w:bCs/>
                <w:color w:val="000000" w:themeColor="text1"/>
                <w:sz w:val="20"/>
                <w:szCs w:val="20"/>
                <w:lang w:val="en-US"/>
              </w:rPr>
            </w:pPr>
            <w:r w:rsidRPr="00EC48C1">
              <w:rPr>
                <w:rFonts w:asciiTheme="majorHAnsi" w:hAnsiTheme="majorHAnsi" w:cstheme="majorHAnsi"/>
                <w:b/>
                <w:bCs/>
                <w:color w:val="000000" w:themeColor="text1"/>
                <w:sz w:val="20"/>
                <w:szCs w:val="20"/>
                <w:lang w:val="en-US"/>
              </w:rPr>
              <w:t>CAS Practices</w:t>
            </w:r>
          </w:p>
          <w:p w14:paraId="470C8EDD" w14:textId="77777777" w:rsidR="008D0CAD" w:rsidRPr="00EC48C1" w:rsidRDefault="008D0CAD" w:rsidP="00DD08E3">
            <w:pPr>
              <w:numPr>
                <w:ilvl w:val="0"/>
                <w:numId w:val="123"/>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EC48C1">
              <w:rPr>
                <w:rFonts w:asciiTheme="majorHAnsi" w:hAnsiTheme="majorHAnsi" w:cstheme="majorHAnsi"/>
                <w:snapToGrid w:val="0"/>
                <w:color w:val="000000" w:themeColor="text1"/>
                <w:sz w:val="20"/>
                <w:szCs w:val="20"/>
                <w:lang w:val="en-US"/>
              </w:rPr>
              <w:t>How were these reforms in curriculum and assessment implemented or</w:t>
            </w:r>
            <w:r w:rsidRPr="00EC48C1">
              <w:rPr>
                <w:rFonts w:asciiTheme="majorHAnsi" w:hAnsiTheme="majorHAnsi" w:cstheme="majorHAnsi"/>
                <w:b/>
                <w:bCs/>
                <w:snapToGrid w:val="0"/>
                <w:color w:val="000000" w:themeColor="text1"/>
                <w:sz w:val="20"/>
                <w:szCs w:val="20"/>
                <w:lang w:val="en-US"/>
              </w:rPr>
              <w:t xml:space="preserve"> </w:t>
            </w:r>
            <w:r w:rsidRPr="00EC48C1">
              <w:rPr>
                <w:rFonts w:asciiTheme="majorHAnsi" w:hAnsiTheme="majorHAnsi" w:cstheme="majorHAnsi"/>
                <w:snapToGrid w:val="0"/>
                <w:color w:val="000000" w:themeColor="text1"/>
                <w:sz w:val="20"/>
                <w:szCs w:val="20"/>
                <w:lang w:val="en-US"/>
              </w:rPr>
              <w:t>used in your school?</w:t>
            </w:r>
          </w:p>
          <w:p w14:paraId="47D183EF" w14:textId="77777777" w:rsidR="008D0CAD" w:rsidRPr="00EC48C1" w:rsidRDefault="008D0CAD" w:rsidP="00DD08E3">
            <w:pPr>
              <w:numPr>
                <w:ilvl w:val="1"/>
                <w:numId w:val="123"/>
              </w:numPr>
              <w:spacing w:before="100" w:beforeAutospacing="1" w:after="100" w:afterAutospacing="1" w:line="360" w:lineRule="auto"/>
              <w:ind w:left="891" w:hanging="567"/>
              <w:contextualSpacing/>
              <w:rPr>
                <w:rFonts w:asciiTheme="majorHAnsi" w:hAnsiTheme="majorHAnsi" w:cstheme="majorHAnsi"/>
                <w:snapToGrid w:val="0"/>
                <w:color w:val="000000" w:themeColor="text1"/>
                <w:sz w:val="20"/>
                <w:szCs w:val="20"/>
                <w:lang w:val="en-US"/>
              </w:rPr>
            </w:pPr>
            <w:r w:rsidRPr="00EC48C1">
              <w:rPr>
                <w:rFonts w:asciiTheme="majorHAnsi" w:hAnsiTheme="majorHAnsi" w:cstheme="majorHAnsi"/>
                <w:snapToGrid w:val="0"/>
                <w:color w:val="000000" w:themeColor="text1"/>
                <w:sz w:val="20"/>
                <w:szCs w:val="20"/>
                <w:lang w:val="en-US"/>
              </w:rPr>
              <w:t>Why not?</w:t>
            </w:r>
          </w:p>
        </w:tc>
        <w:tc>
          <w:tcPr>
            <w:tcW w:w="2085" w:type="dxa"/>
          </w:tcPr>
          <w:p w14:paraId="4BBF44E3"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p>
        </w:tc>
      </w:tr>
      <w:tr w:rsidR="008D0CAD" w:rsidRPr="00EC48C1" w14:paraId="38A8D87E" w14:textId="77777777" w:rsidTr="00EC48C1">
        <w:tc>
          <w:tcPr>
            <w:tcW w:w="1816" w:type="dxa"/>
          </w:tcPr>
          <w:p w14:paraId="582366A6"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0767" w:type="dxa"/>
          </w:tcPr>
          <w:p w14:paraId="6125CCA3" w14:textId="77777777" w:rsidR="008D0CAD" w:rsidRPr="00EC48C1" w:rsidRDefault="008D0CAD" w:rsidP="00DD08E3">
            <w:pPr>
              <w:numPr>
                <w:ilvl w:val="0"/>
                <w:numId w:val="120"/>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EC48C1">
              <w:rPr>
                <w:rFonts w:asciiTheme="majorHAnsi" w:hAnsiTheme="majorHAnsi" w:cstheme="majorHAnsi"/>
                <w:snapToGrid w:val="0"/>
                <w:color w:val="000000" w:themeColor="text1"/>
                <w:sz w:val="20"/>
                <w:szCs w:val="20"/>
                <w:lang w:val="en-US"/>
              </w:rPr>
              <w:t xml:space="preserve">For </w:t>
            </w:r>
            <w:r w:rsidRPr="00EC48C1">
              <w:rPr>
                <w:rFonts w:asciiTheme="majorHAnsi" w:hAnsiTheme="majorHAnsi" w:cstheme="majorHAnsi"/>
                <w:bCs/>
                <w:snapToGrid w:val="0"/>
                <w:color w:val="000000" w:themeColor="text1"/>
                <w:sz w:val="20"/>
                <w:szCs w:val="20"/>
                <w:lang w:val="en-US"/>
              </w:rPr>
              <w:t>K-12 Curriculum Guides</w:t>
            </w:r>
            <w:r w:rsidRPr="00EC48C1">
              <w:rPr>
                <w:rFonts w:asciiTheme="majorHAnsi" w:hAnsiTheme="majorHAnsi" w:cstheme="majorHAnsi"/>
                <w:snapToGrid w:val="0"/>
                <w:color w:val="000000" w:themeColor="text1"/>
                <w:sz w:val="20"/>
                <w:szCs w:val="20"/>
                <w:lang w:val="en-US"/>
              </w:rPr>
              <w:t xml:space="preserve"> </w:t>
            </w:r>
          </w:p>
          <w:p w14:paraId="02287D5C" w14:textId="77777777" w:rsidR="008D0CAD" w:rsidRPr="00EC48C1" w:rsidRDefault="008D0CAD" w:rsidP="00EA6CB9">
            <w:pPr>
              <w:spacing w:before="100" w:beforeAutospacing="1" w:after="100" w:afterAutospacing="1" w:line="360" w:lineRule="auto"/>
              <w:rPr>
                <w:rFonts w:asciiTheme="majorHAnsi" w:hAnsiTheme="majorHAnsi" w:cstheme="majorHAnsi"/>
                <w:color w:val="000000" w:themeColor="text1"/>
                <w:sz w:val="20"/>
                <w:szCs w:val="20"/>
                <w:lang w:val="en-US"/>
              </w:rPr>
            </w:pPr>
          </w:p>
        </w:tc>
        <w:tc>
          <w:tcPr>
            <w:tcW w:w="2085" w:type="dxa"/>
          </w:tcPr>
          <w:p w14:paraId="665DD45D"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r w:rsidRPr="00EC48C1">
              <w:rPr>
                <w:rFonts w:asciiTheme="majorHAnsi" w:hAnsiTheme="majorHAnsi" w:cstheme="majorHAnsi"/>
                <w:bCs/>
                <w:color w:val="000000" w:themeColor="text1"/>
                <w:sz w:val="20"/>
                <w:szCs w:val="20"/>
                <w:lang w:val="en-US"/>
              </w:rPr>
              <w:t>Refer to answer to Question No. 7</w:t>
            </w:r>
          </w:p>
        </w:tc>
      </w:tr>
      <w:tr w:rsidR="008D0CAD" w:rsidRPr="00EC48C1" w14:paraId="2031FDD9" w14:textId="77777777" w:rsidTr="00EC48C1">
        <w:tc>
          <w:tcPr>
            <w:tcW w:w="1816" w:type="dxa"/>
          </w:tcPr>
          <w:p w14:paraId="4086290C"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0767" w:type="dxa"/>
          </w:tcPr>
          <w:p w14:paraId="75E191F0" w14:textId="77777777" w:rsidR="008D0CAD" w:rsidRPr="00EC48C1" w:rsidRDefault="008D0CAD" w:rsidP="00DD08E3">
            <w:pPr>
              <w:numPr>
                <w:ilvl w:val="0"/>
                <w:numId w:val="124"/>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EC48C1">
              <w:rPr>
                <w:rFonts w:asciiTheme="majorHAnsi" w:hAnsiTheme="majorHAnsi" w:cstheme="majorHAnsi"/>
                <w:snapToGrid w:val="0"/>
                <w:color w:val="000000" w:themeColor="text1"/>
                <w:sz w:val="20"/>
                <w:szCs w:val="20"/>
                <w:lang w:val="en-US"/>
              </w:rPr>
              <w:t xml:space="preserve">For </w:t>
            </w:r>
            <w:r w:rsidRPr="00EC48C1">
              <w:rPr>
                <w:rFonts w:asciiTheme="majorHAnsi" w:hAnsiTheme="majorHAnsi" w:cstheme="majorHAnsi"/>
                <w:bCs/>
                <w:snapToGrid w:val="0"/>
                <w:color w:val="000000" w:themeColor="text1"/>
                <w:sz w:val="20"/>
                <w:szCs w:val="20"/>
                <w:lang w:val="en-US"/>
              </w:rPr>
              <w:t>PRIMALS</w:t>
            </w:r>
          </w:p>
          <w:p w14:paraId="69A8A98F" w14:textId="77777777" w:rsidR="008D0CAD" w:rsidRPr="00EC48C1" w:rsidRDefault="008D0CAD" w:rsidP="00EA6CB9">
            <w:pPr>
              <w:spacing w:before="100" w:beforeAutospacing="1" w:after="100" w:afterAutospacing="1" w:line="360" w:lineRule="auto"/>
              <w:rPr>
                <w:rFonts w:asciiTheme="majorHAnsi" w:hAnsiTheme="majorHAnsi" w:cstheme="majorHAnsi"/>
                <w:color w:val="000000" w:themeColor="text1"/>
                <w:sz w:val="20"/>
                <w:szCs w:val="20"/>
                <w:lang w:val="en-US"/>
              </w:rPr>
            </w:pPr>
          </w:p>
        </w:tc>
        <w:tc>
          <w:tcPr>
            <w:tcW w:w="2085" w:type="dxa"/>
          </w:tcPr>
          <w:p w14:paraId="067DB915"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r w:rsidRPr="00EC48C1">
              <w:rPr>
                <w:rFonts w:asciiTheme="majorHAnsi" w:hAnsiTheme="majorHAnsi" w:cstheme="majorHAnsi"/>
                <w:bCs/>
                <w:color w:val="000000" w:themeColor="text1"/>
                <w:sz w:val="20"/>
                <w:szCs w:val="20"/>
                <w:lang w:val="en-US"/>
              </w:rPr>
              <w:t>Refer to answer to Question No. 8</w:t>
            </w:r>
          </w:p>
        </w:tc>
      </w:tr>
      <w:tr w:rsidR="008D0CAD" w:rsidRPr="00EC48C1" w14:paraId="00BA214F" w14:textId="77777777" w:rsidTr="00EC48C1">
        <w:tc>
          <w:tcPr>
            <w:tcW w:w="1816" w:type="dxa"/>
          </w:tcPr>
          <w:p w14:paraId="38E42F8B"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0767" w:type="dxa"/>
          </w:tcPr>
          <w:p w14:paraId="2500CCCD" w14:textId="77777777" w:rsidR="008D0CAD" w:rsidRPr="00EC48C1" w:rsidRDefault="008D0CAD" w:rsidP="00DD08E3">
            <w:pPr>
              <w:numPr>
                <w:ilvl w:val="0"/>
                <w:numId w:val="124"/>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EC48C1">
              <w:rPr>
                <w:rFonts w:asciiTheme="majorHAnsi" w:hAnsiTheme="majorHAnsi" w:cstheme="majorHAnsi"/>
                <w:snapToGrid w:val="0"/>
                <w:color w:val="000000" w:themeColor="text1"/>
                <w:sz w:val="20"/>
                <w:szCs w:val="20"/>
                <w:lang w:val="en-US"/>
              </w:rPr>
              <w:t xml:space="preserve">For </w:t>
            </w:r>
            <w:r w:rsidRPr="00EC48C1">
              <w:rPr>
                <w:rFonts w:asciiTheme="majorHAnsi" w:hAnsiTheme="majorHAnsi" w:cstheme="majorHAnsi"/>
                <w:bCs/>
                <w:snapToGrid w:val="0"/>
                <w:color w:val="000000" w:themeColor="text1"/>
                <w:sz w:val="20"/>
                <w:szCs w:val="20"/>
                <w:lang w:val="en-US"/>
              </w:rPr>
              <w:t>CARB</w:t>
            </w:r>
            <w:r w:rsidRPr="00EC48C1">
              <w:rPr>
                <w:rFonts w:asciiTheme="majorHAnsi" w:hAnsiTheme="majorHAnsi" w:cstheme="majorHAnsi"/>
                <w:snapToGrid w:val="0"/>
                <w:color w:val="000000" w:themeColor="text1"/>
                <w:sz w:val="20"/>
                <w:szCs w:val="20"/>
                <w:lang w:val="en-US"/>
              </w:rPr>
              <w:t xml:space="preserve"> </w:t>
            </w:r>
          </w:p>
          <w:p w14:paraId="2ABD9E21" w14:textId="77777777" w:rsidR="008D0CAD" w:rsidRPr="00EC48C1" w:rsidRDefault="008D0CAD" w:rsidP="00EA6CB9">
            <w:pPr>
              <w:spacing w:before="100" w:beforeAutospacing="1" w:after="100" w:afterAutospacing="1" w:line="360" w:lineRule="auto"/>
              <w:rPr>
                <w:rFonts w:asciiTheme="majorHAnsi" w:hAnsiTheme="majorHAnsi" w:cstheme="majorHAnsi"/>
                <w:color w:val="000000" w:themeColor="text1"/>
                <w:sz w:val="20"/>
                <w:szCs w:val="20"/>
                <w:lang w:val="en-US"/>
              </w:rPr>
            </w:pPr>
          </w:p>
        </w:tc>
        <w:tc>
          <w:tcPr>
            <w:tcW w:w="2085" w:type="dxa"/>
          </w:tcPr>
          <w:p w14:paraId="476820AB"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r w:rsidRPr="00EC48C1">
              <w:rPr>
                <w:rFonts w:asciiTheme="majorHAnsi" w:hAnsiTheme="majorHAnsi" w:cstheme="majorHAnsi"/>
                <w:bCs/>
                <w:color w:val="000000" w:themeColor="text1"/>
                <w:sz w:val="20"/>
                <w:szCs w:val="20"/>
                <w:lang w:val="en-US"/>
              </w:rPr>
              <w:t>Refer to answer to Question No. 9</w:t>
            </w:r>
          </w:p>
        </w:tc>
      </w:tr>
      <w:tr w:rsidR="008D0CAD" w:rsidRPr="00EC48C1" w14:paraId="779CB11D" w14:textId="77777777" w:rsidTr="00EC48C1">
        <w:tc>
          <w:tcPr>
            <w:tcW w:w="1816" w:type="dxa"/>
          </w:tcPr>
          <w:p w14:paraId="7F9C775D"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0767" w:type="dxa"/>
          </w:tcPr>
          <w:p w14:paraId="309C164F" w14:textId="77777777" w:rsidR="008D0CAD" w:rsidRPr="00EC48C1" w:rsidRDefault="008D0CAD" w:rsidP="00EA6CB9">
            <w:pPr>
              <w:spacing w:before="100" w:beforeAutospacing="1" w:after="100" w:afterAutospacing="1" w:line="360" w:lineRule="auto"/>
              <w:rPr>
                <w:rFonts w:asciiTheme="majorHAnsi" w:hAnsiTheme="majorHAnsi" w:cstheme="majorHAnsi"/>
                <w:b/>
                <w:bCs/>
                <w:color w:val="000000" w:themeColor="text1"/>
                <w:sz w:val="20"/>
                <w:szCs w:val="20"/>
                <w:lang w:val="en-US"/>
              </w:rPr>
            </w:pPr>
            <w:r w:rsidRPr="00EC48C1">
              <w:rPr>
                <w:rFonts w:asciiTheme="majorHAnsi" w:hAnsiTheme="majorHAnsi" w:cstheme="majorHAnsi"/>
                <w:b/>
                <w:bCs/>
                <w:color w:val="000000" w:themeColor="text1"/>
                <w:sz w:val="20"/>
                <w:szCs w:val="20"/>
                <w:lang w:val="en-US"/>
              </w:rPr>
              <w:t>Innovations on CAS implementation</w:t>
            </w:r>
          </w:p>
          <w:p w14:paraId="6F10ACE3" w14:textId="77777777" w:rsidR="008D0CAD" w:rsidRPr="00EC48C1" w:rsidRDefault="008D0CAD" w:rsidP="00DD08E3">
            <w:pPr>
              <w:numPr>
                <w:ilvl w:val="0"/>
                <w:numId w:val="123"/>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EC48C1">
              <w:rPr>
                <w:rFonts w:asciiTheme="majorHAnsi" w:hAnsiTheme="majorHAnsi" w:cstheme="majorHAnsi"/>
                <w:snapToGrid w:val="0"/>
                <w:color w:val="000000" w:themeColor="text1"/>
                <w:sz w:val="20"/>
                <w:szCs w:val="20"/>
                <w:lang w:val="en-US"/>
              </w:rPr>
              <w:t xml:space="preserve">What innovations, if any, did your school adopt in terms of implementing the reforms in curriculum and assessment? </w:t>
            </w:r>
          </w:p>
          <w:p w14:paraId="6DC578A6" w14:textId="77777777" w:rsidR="008D0CAD" w:rsidRPr="00EC48C1" w:rsidRDefault="008D0CAD" w:rsidP="00DD08E3">
            <w:pPr>
              <w:numPr>
                <w:ilvl w:val="1"/>
                <w:numId w:val="123"/>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EC48C1">
              <w:rPr>
                <w:rFonts w:asciiTheme="majorHAnsi" w:hAnsiTheme="majorHAnsi" w:cstheme="majorHAnsi"/>
                <w:snapToGrid w:val="0"/>
                <w:color w:val="000000" w:themeColor="text1"/>
                <w:sz w:val="20"/>
                <w:szCs w:val="20"/>
                <w:lang w:val="en-US"/>
              </w:rPr>
              <w:t>Why not?</w:t>
            </w:r>
          </w:p>
        </w:tc>
        <w:tc>
          <w:tcPr>
            <w:tcW w:w="2085" w:type="dxa"/>
          </w:tcPr>
          <w:p w14:paraId="4BB25FA1"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p>
          <w:p w14:paraId="150B8FEA"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r w:rsidRPr="00EC48C1">
              <w:rPr>
                <w:rFonts w:asciiTheme="majorHAnsi" w:hAnsiTheme="majorHAnsi" w:cstheme="majorHAnsi"/>
                <w:bCs/>
                <w:color w:val="000000" w:themeColor="text1"/>
                <w:sz w:val="20"/>
                <w:szCs w:val="20"/>
                <w:lang w:val="en-US"/>
              </w:rPr>
              <w:t>Refer to answer to Question No. 10</w:t>
            </w:r>
          </w:p>
        </w:tc>
      </w:tr>
      <w:tr w:rsidR="008D0CAD" w:rsidRPr="00EC48C1" w14:paraId="5BD0FBF5" w14:textId="77777777" w:rsidTr="00EC48C1">
        <w:tc>
          <w:tcPr>
            <w:tcW w:w="1816" w:type="dxa"/>
          </w:tcPr>
          <w:p w14:paraId="51438CB6"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0767" w:type="dxa"/>
          </w:tcPr>
          <w:p w14:paraId="277A009B" w14:textId="77777777" w:rsidR="008D0CAD" w:rsidRPr="00EC48C1" w:rsidRDefault="008D0CAD" w:rsidP="00EA6CB9">
            <w:pPr>
              <w:spacing w:before="100" w:beforeAutospacing="1" w:after="100" w:afterAutospacing="1" w:line="360" w:lineRule="auto"/>
              <w:rPr>
                <w:rFonts w:asciiTheme="majorHAnsi" w:hAnsiTheme="majorHAnsi" w:cstheme="majorHAnsi"/>
                <w:b/>
                <w:bCs/>
                <w:color w:val="000000" w:themeColor="text1"/>
                <w:sz w:val="20"/>
                <w:szCs w:val="20"/>
                <w:lang w:val="en-US"/>
              </w:rPr>
            </w:pPr>
            <w:r w:rsidRPr="00EC48C1">
              <w:rPr>
                <w:rFonts w:asciiTheme="majorHAnsi" w:hAnsiTheme="majorHAnsi" w:cstheme="majorHAnsi"/>
                <w:b/>
                <w:bCs/>
                <w:color w:val="000000" w:themeColor="text1"/>
                <w:sz w:val="20"/>
                <w:szCs w:val="20"/>
                <w:lang w:val="en-US"/>
              </w:rPr>
              <w:t>Effects of CAS</w:t>
            </w:r>
          </w:p>
          <w:p w14:paraId="0E75EFA9" w14:textId="77777777" w:rsidR="008D0CAD" w:rsidRPr="00EC48C1" w:rsidRDefault="008D0CAD" w:rsidP="00DD08E3">
            <w:pPr>
              <w:numPr>
                <w:ilvl w:val="0"/>
                <w:numId w:val="123"/>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EC48C1">
              <w:rPr>
                <w:rFonts w:asciiTheme="majorHAnsi" w:hAnsiTheme="majorHAnsi" w:cstheme="majorHAnsi"/>
                <w:snapToGrid w:val="0"/>
                <w:color w:val="000000" w:themeColor="text1"/>
                <w:sz w:val="20"/>
                <w:szCs w:val="20"/>
                <w:lang w:val="en-US"/>
              </w:rPr>
              <w:t>Overall, how did the implementation of these curriculum and assessment reforms (e.g., use of K-12 curriculum guides, PRIMALS, classroom assessment tools) improve your teaching delivery practices?</w:t>
            </w:r>
          </w:p>
        </w:tc>
        <w:tc>
          <w:tcPr>
            <w:tcW w:w="2085" w:type="dxa"/>
          </w:tcPr>
          <w:p w14:paraId="5D77E675"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p>
        </w:tc>
      </w:tr>
      <w:tr w:rsidR="008D0CAD" w:rsidRPr="00EC48C1" w14:paraId="16090FE9" w14:textId="77777777" w:rsidTr="00EC48C1">
        <w:tc>
          <w:tcPr>
            <w:tcW w:w="1816" w:type="dxa"/>
          </w:tcPr>
          <w:p w14:paraId="7B5EBD97"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0767" w:type="dxa"/>
          </w:tcPr>
          <w:p w14:paraId="7C9C5704" w14:textId="77777777" w:rsidR="008D0CAD" w:rsidRPr="00EC48C1" w:rsidRDefault="008D0CAD" w:rsidP="00EA6CB9">
            <w:pPr>
              <w:spacing w:before="100" w:beforeAutospacing="1" w:after="100" w:afterAutospacing="1" w:line="360" w:lineRule="auto"/>
              <w:rPr>
                <w:rFonts w:asciiTheme="majorHAnsi" w:hAnsiTheme="majorHAnsi" w:cstheme="majorHAnsi"/>
                <w:b/>
                <w:bCs/>
                <w:color w:val="0070C0"/>
                <w:sz w:val="20"/>
                <w:szCs w:val="20"/>
                <w:lang w:val="en-US"/>
              </w:rPr>
            </w:pPr>
            <w:r w:rsidRPr="00EC48C1">
              <w:rPr>
                <w:rFonts w:asciiTheme="majorHAnsi" w:hAnsiTheme="majorHAnsi" w:cstheme="majorHAnsi"/>
                <w:b/>
                <w:bCs/>
                <w:color w:val="0070C0"/>
                <w:sz w:val="20"/>
                <w:szCs w:val="20"/>
                <w:lang w:val="en-US"/>
              </w:rPr>
              <w:t>GENDER EQUITY, DISABILITY AND SOCIAL INCLUSION (GEDSI)</w:t>
            </w:r>
          </w:p>
          <w:p w14:paraId="14C33CC0" w14:textId="77777777" w:rsidR="008D0CAD" w:rsidRPr="00EC48C1" w:rsidRDefault="008D0CAD" w:rsidP="00EA6CB9">
            <w:pPr>
              <w:spacing w:before="100" w:beforeAutospacing="1" w:after="100" w:afterAutospacing="1" w:line="360" w:lineRule="auto"/>
              <w:rPr>
                <w:rFonts w:asciiTheme="majorHAnsi" w:hAnsiTheme="majorHAnsi" w:cstheme="majorHAnsi"/>
                <w:b/>
                <w:bCs/>
                <w:color w:val="000000" w:themeColor="text1"/>
                <w:sz w:val="20"/>
                <w:szCs w:val="20"/>
                <w:lang w:val="en-US"/>
              </w:rPr>
            </w:pPr>
            <w:r w:rsidRPr="00EC48C1">
              <w:rPr>
                <w:rFonts w:asciiTheme="majorHAnsi" w:hAnsiTheme="majorHAnsi" w:cstheme="majorHAnsi"/>
                <w:b/>
                <w:bCs/>
                <w:color w:val="000000" w:themeColor="text1"/>
                <w:sz w:val="20"/>
                <w:szCs w:val="20"/>
                <w:lang w:val="en-US"/>
              </w:rPr>
              <w:t>GEDSI Knowledge/Awareness</w:t>
            </w:r>
          </w:p>
          <w:p w14:paraId="20FE54D0" w14:textId="77777777" w:rsidR="008D0CAD" w:rsidRPr="00EC48C1" w:rsidRDefault="008D0CAD" w:rsidP="00DD08E3">
            <w:pPr>
              <w:numPr>
                <w:ilvl w:val="0"/>
                <w:numId w:val="123"/>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EC48C1">
              <w:rPr>
                <w:rFonts w:asciiTheme="majorHAnsi" w:hAnsiTheme="majorHAnsi" w:cstheme="majorHAnsi"/>
                <w:snapToGrid w:val="0"/>
                <w:color w:val="000000" w:themeColor="text1"/>
                <w:sz w:val="20"/>
                <w:szCs w:val="20"/>
                <w:lang w:val="en-US"/>
              </w:rPr>
              <w:t xml:space="preserve">What is your understanding of the concepts of Inclusive Education, Responsive Basic Education; and Gender-Responsive Basic Education (GRBE). </w:t>
            </w:r>
          </w:p>
          <w:p w14:paraId="580878D7" w14:textId="77777777" w:rsidR="008D0CAD" w:rsidRPr="00EC48C1" w:rsidRDefault="008D0CAD" w:rsidP="00DD08E3">
            <w:pPr>
              <w:numPr>
                <w:ilvl w:val="1"/>
                <w:numId w:val="123"/>
              </w:numPr>
              <w:spacing w:before="100" w:beforeAutospacing="1" w:after="100" w:afterAutospacing="1" w:line="360" w:lineRule="auto"/>
              <w:ind w:left="914" w:hanging="567"/>
              <w:contextualSpacing/>
              <w:rPr>
                <w:rFonts w:asciiTheme="majorHAnsi" w:hAnsiTheme="majorHAnsi" w:cstheme="majorHAnsi"/>
                <w:snapToGrid w:val="0"/>
                <w:color w:val="000000" w:themeColor="text1"/>
                <w:sz w:val="20"/>
                <w:szCs w:val="20"/>
                <w:lang w:val="en-US"/>
              </w:rPr>
            </w:pPr>
            <w:r w:rsidRPr="00EC48C1">
              <w:rPr>
                <w:rFonts w:asciiTheme="majorHAnsi" w:hAnsiTheme="majorHAnsi" w:cstheme="majorHAnsi"/>
                <w:snapToGrid w:val="0"/>
                <w:color w:val="000000" w:themeColor="text1"/>
                <w:sz w:val="20"/>
                <w:szCs w:val="20"/>
                <w:lang w:val="en-US"/>
              </w:rPr>
              <w:t>What are the similarities and differences among the three?</w:t>
            </w:r>
          </w:p>
        </w:tc>
        <w:tc>
          <w:tcPr>
            <w:tcW w:w="2085" w:type="dxa"/>
          </w:tcPr>
          <w:p w14:paraId="5810C2AB"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r w:rsidRPr="00EC48C1">
              <w:rPr>
                <w:rFonts w:asciiTheme="majorHAnsi" w:hAnsiTheme="majorHAnsi" w:cstheme="majorHAnsi"/>
                <w:bCs/>
                <w:color w:val="000000" w:themeColor="text1"/>
                <w:sz w:val="20"/>
                <w:szCs w:val="20"/>
                <w:lang w:val="en-US"/>
              </w:rPr>
              <w:t xml:space="preserve"> </w:t>
            </w:r>
          </w:p>
        </w:tc>
      </w:tr>
      <w:tr w:rsidR="008D0CAD" w:rsidRPr="00EC48C1" w14:paraId="380DBDA4" w14:textId="77777777" w:rsidTr="00EC48C1">
        <w:tc>
          <w:tcPr>
            <w:tcW w:w="1816" w:type="dxa"/>
          </w:tcPr>
          <w:p w14:paraId="74B425CC"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0767" w:type="dxa"/>
          </w:tcPr>
          <w:p w14:paraId="3E1B003D" w14:textId="77777777" w:rsidR="008D0CAD" w:rsidRPr="00EC48C1" w:rsidRDefault="008D0CAD" w:rsidP="00EA6CB9">
            <w:pPr>
              <w:spacing w:before="100" w:beforeAutospacing="1" w:after="100" w:afterAutospacing="1" w:line="360" w:lineRule="auto"/>
              <w:rPr>
                <w:rFonts w:asciiTheme="majorHAnsi" w:hAnsiTheme="majorHAnsi" w:cstheme="majorHAnsi"/>
                <w:b/>
                <w:bCs/>
                <w:color w:val="000000" w:themeColor="text1"/>
                <w:sz w:val="20"/>
                <w:szCs w:val="20"/>
                <w:lang w:val="en-US"/>
              </w:rPr>
            </w:pPr>
            <w:r w:rsidRPr="00EC48C1">
              <w:rPr>
                <w:rFonts w:asciiTheme="majorHAnsi" w:hAnsiTheme="majorHAnsi" w:cstheme="majorHAnsi"/>
                <w:b/>
                <w:bCs/>
                <w:color w:val="000000" w:themeColor="text1"/>
                <w:sz w:val="20"/>
                <w:szCs w:val="20"/>
                <w:lang w:val="en-US"/>
              </w:rPr>
              <w:t>GEDSI Practices</w:t>
            </w:r>
          </w:p>
          <w:p w14:paraId="2CE50B30" w14:textId="77777777" w:rsidR="008D0CAD" w:rsidRPr="00EC48C1" w:rsidRDefault="008D0CAD" w:rsidP="00DD08E3">
            <w:pPr>
              <w:numPr>
                <w:ilvl w:val="0"/>
                <w:numId w:val="123"/>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EC48C1">
              <w:rPr>
                <w:rFonts w:asciiTheme="majorHAnsi" w:hAnsiTheme="majorHAnsi" w:cstheme="majorHAnsi"/>
                <w:snapToGrid w:val="0"/>
                <w:color w:val="000000" w:themeColor="text1"/>
                <w:sz w:val="20"/>
                <w:szCs w:val="20"/>
                <w:lang w:val="en-US"/>
              </w:rPr>
              <w:t>How was [</w:t>
            </w:r>
            <w:r w:rsidRPr="00EC48C1">
              <w:rPr>
                <w:rFonts w:asciiTheme="majorHAnsi" w:hAnsiTheme="majorHAnsi" w:cstheme="majorHAnsi"/>
                <w:snapToGrid w:val="0"/>
                <w:color w:val="000000" w:themeColor="text1"/>
                <w:sz w:val="20"/>
                <w:szCs w:val="20"/>
                <w:u w:val="single"/>
                <w:lang w:val="en-US"/>
              </w:rPr>
              <w:t>Responsive Basic Education/Inclusive Education/GRBE</w:t>
            </w:r>
            <w:r w:rsidRPr="00EC48C1">
              <w:rPr>
                <w:rFonts w:asciiTheme="majorHAnsi" w:hAnsiTheme="majorHAnsi" w:cstheme="majorHAnsi"/>
                <w:snapToGrid w:val="0"/>
                <w:color w:val="000000" w:themeColor="text1"/>
                <w:sz w:val="20"/>
                <w:szCs w:val="20"/>
                <w:lang w:val="en-US"/>
              </w:rPr>
              <w:t>]</w:t>
            </w:r>
            <w:r w:rsidRPr="00EC48C1">
              <w:rPr>
                <w:rFonts w:asciiTheme="majorHAnsi" w:hAnsiTheme="majorHAnsi" w:cstheme="majorHAnsi"/>
                <w:b/>
                <w:bCs/>
                <w:snapToGrid w:val="0"/>
                <w:color w:val="000000" w:themeColor="text1"/>
                <w:sz w:val="20"/>
                <w:szCs w:val="20"/>
                <w:lang w:val="en-US"/>
              </w:rPr>
              <w:t xml:space="preserve"> </w:t>
            </w:r>
            <w:r w:rsidRPr="00EC48C1">
              <w:rPr>
                <w:rFonts w:asciiTheme="majorHAnsi" w:hAnsiTheme="majorHAnsi" w:cstheme="majorHAnsi"/>
                <w:snapToGrid w:val="0"/>
                <w:color w:val="000000" w:themeColor="text1"/>
                <w:sz w:val="20"/>
                <w:szCs w:val="20"/>
                <w:lang w:val="en-US"/>
              </w:rPr>
              <w:t>implemented in your school?</w:t>
            </w:r>
          </w:p>
          <w:p w14:paraId="69EB00E9" w14:textId="77777777" w:rsidR="008D0CAD" w:rsidRPr="00EC48C1" w:rsidRDefault="008D0CAD" w:rsidP="00DD08E3">
            <w:pPr>
              <w:numPr>
                <w:ilvl w:val="1"/>
                <w:numId w:val="123"/>
              </w:numPr>
              <w:spacing w:before="100" w:beforeAutospacing="1" w:after="100" w:afterAutospacing="1" w:line="360" w:lineRule="auto"/>
              <w:ind w:left="891" w:hanging="567"/>
              <w:contextualSpacing/>
              <w:rPr>
                <w:rFonts w:asciiTheme="majorHAnsi" w:hAnsiTheme="majorHAnsi" w:cstheme="majorHAnsi"/>
                <w:snapToGrid w:val="0"/>
                <w:color w:val="000000" w:themeColor="text1"/>
                <w:sz w:val="20"/>
                <w:szCs w:val="20"/>
                <w:lang w:val="en-US"/>
              </w:rPr>
            </w:pPr>
            <w:r w:rsidRPr="00EC48C1">
              <w:rPr>
                <w:rFonts w:asciiTheme="majorHAnsi" w:hAnsiTheme="majorHAnsi" w:cstheme="majorHAnsi"/>
                <w:snapToGrid w:val="0"/>
                <w:color w:val="000000" w:themeColor="text1"/>
                <w:sz w:val="20"/>
                <w:szCs w:val="20"/>
                <w:lang w:val="en-US"/>
              </w:rPr>
              <w:t>As a teacher, how do you implement of [</w:t>
            </w:r>
            <w:r w:rsidRPr="00EC48C1">
              <w:rPr>
                <w:rFonts w:asciiTheme="majorHAnsi" w:hAnsiTheme="majorHAnsi" w:cstheme="majorHAnsi"/>
                <w:snapToGrid w:val="0"/>
                <w:color w:val="000000" w:themeColor="text1"/>
                <w:sz w:val="20"/>
                <w:szCs w:val="20"/>
                <w:u w:val="single"/>
                <w:lang w:val="en-US"/>
              </w:rPr>
              <w:t>Responsive Basic Education/Inclusive Education/GRBE</w:t>
            </w:r>
            <w:r w:rsidRPr="00EC48C1">
              <w:rPr>
                <w:rFonts w:asciiTheme="majorHAnsi" w:hAnsiTheme="majorHAnsi" w:cstheme="majorHAnsi"/>
                <w:snapToGrid w:val="0"/>
                <w:color w:val="000000" w:themeColor="text1"/>
                <w:sz w:val="20"/>
                <w:szCs w:val="20"/>
                <w:lang w:val="en-US"/>
              </w:rPr>
              <w:t>]</w:t>
            </w:r>
            <w:r w:rsidRPr="00EC48C1">
              <w:rPr>
                <w:rFonts w:asciiTheme="majorHAnsi" w:hAnsiTheme="majorHAnsi" w:cstheme="majorHAnsi"/>
                <w:b/>
                <w:snapToGrid w:val="0"/>
                <w:color w:val="000000" w:themeColor="text1"/>
                <w:sz w:val="20"/>
                <w:szCs w:val="20"/>
                <w:lang w:val="en-US"/>
              </w:rPr>
              <w:t xml:space="preserve"> </w:t>
            </w:r>
            <w:r w:rsidRPr="00EC48C1">
              <w:rPr>
                <w:rFonts w:asciiTheme="majorHAnsi" w:hAnsiTheme="majorHAnsi" w:cstheme="majorHAnsi"/>
                <w:snapToGrid w:val="0"/>
                <w:color w:val="000000" w:themeColor="text1"/>
                <w:sz w:val="20"/>
                <w:szCs w:val="20"/>
                <w:lang w:val="en-US"/>
              </w:rPr>
              <w:t>in your classroom?</w:t>
            </w:r>
          </w:p>
          <w:p w14:paraId="778EC7A1" w14:textId="77777777" w:rsidR="008D0CAD" w:rsidRPr="00EC48C1" w:rsidRDefault="008D0CAD" w:rsidP="00DD08E3">
            <w:pPr>
              <w:numPr>
                <w:ilvl w:val="1"/>
                <w:numId w:val="123"/>
              </w:numPr>
              <w:spacing w:before="100" w:beforeAutospacing="1" w:after="100" w:afterAutospacing="1" w:line="360" w:lineRule="auto"/>
              <w:ind w:left="891" w:hanging="567"/>
              <w:contextualSpacing/>
              <w:rPr>
                <w:rFonts w:asciiTheme="majorHAnsi" w:hAnsiTheme="majorHAnsi" w:cstheme="majorHAnsi"/>
                <w:snapToGrid w:val="0"/>
                <w:color w:val="000000" w:themeColor="text1"/>
                <w:sz w:val="20"/>
                <w:szCs w:val="20"/>
                <w:lang w:val="en-US"/>
              </w:rPr>
            </w:pPr>
            <w:r w:rsidRPr="00EC48C1">
              <w:rPr>
                <w:rFonts w:asciiTheme="majorHAnsi" w:hAnsiTheme="majorHAnsi" w:cstheme="majorHAnsi"/>
                <w:snapToGrid w:val="0"/>
                <w:color w:val="000000" w:themeColor="text1"/>
                <w:sz w:val="20"/>
                <w:szCs w:val="20"/>
                <w:lang w:val="en-US"/>
              </w:rPr>
              <w:t>Why not?</w:t>
            </w:r>
          </w:p>
        </w:tc>
        <w:tc>
          <w:tcPr>
            <w:tcW w:w="2085" w:type="dxa"/>
          </w:tcPr>
          <w:p w14:paraId="3B8D554A"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p>
        </w:tc>
      </w:tr>
      <w:tr w:rsidR="008D0CAD" w:rsidRPr="00EC48C1" w14:paraId="254D66A6" w14:textId="77777777" w:rsidTr="00EC48C1">
        <w:tc>
          <w:tcPr>
            <w:tcW w:w="1816" w:type="dxa"/>
          </w:tcPr>
          <w:p w14:paraId="02311A8B"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0767" w:type="dxa"/>
          </w:tcPr>
          <w:p w14:paraId="30D3F16E" w14:textId="77777777" w:rsidR="008D0CAD" w:rsidRPr="00EC48C1" w:rsidRDefault="008D0CAD" w:rsidP="00DD08E3">
            <w:pPr>
              <w:numPr>
                <w:ilvl w:val="1"/>
                <w:numId w:val="116"/>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EC48C1">
              <w:rPr>
                <w:rFonts w:asciiTheme="majorHAnsi" w:hAnsiTheme="majorHAnsi" w:cstheme="majorHAnsi"/>
                <w:snapToGrid w:val="0"/>
                <w:color w:val="000000" w:themeColor="text1"/>
                <w:sz w:val="20"/>
                <w:szCs w:val="20"/>
                <w:lang w:val="en-US"/>
              </w:rPr>
              <w:t xml:space="preserve">For Responsive Basic Education </w:t>
            </w:r>
          </w:p>
          <w:p w14:paraId="4DE1E5E0" w14:textId="77777777" w:rsidR="008D0CAD" w:rsidRPr="00EC48C1" w:rsidRDefault="008D0CAD" w:rsidP="00EA6CB9">
            <w:pPr>
              <w:spacing w:before="100" w:beforeAutospacing="1" w:after="100" w:afterAutospacing="1" w:line="360" w:lineRule="auto"/>
              <w:rPr>
                <w:rFonts w:asciiTheme="majorHAnsi" w:hAnsiTheme="majorHAnsi" w:cstheme="majorHAnsi"/>
                <w:color w:val="000000" w:themeColor="text1"/>
                <w:sz w:val="20"/>
                <w:szCs w:val="20"/>
                <w:lang w:val="en-US"/>
              </w:rPr>
            </w:pPr>
          </w:p>
        </w:tc>
        <w:tc>
          <w:tcPr>
            <w:tcW w:w="2085" w:type="dxa"/>
          </w:tcPr>
          <w:p w14:paraId="6E3C95D8"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r w:rsidRPr="00EC48C1">
              <w:rPr>
                <w:rFonts w:asciiTheme="majorHAnsi" w:hAnsiTheme="majorHAnsi" w:cstheme="majorHAnsi"/>
                <w:bCs/>
                <w:color w:val="000000" w:themeColor="text1"/>
                <w:sz w:val="20"/>
                <w:szCs w:val="20"/>
                <w:lang w:val="en-US"/>
              </w:rPr>
              <w:t>Refer to answer to Question No. 11</w:t>
            </w:r>
          </w:p>
        </w:tc>
      </w:tr>
      <w:tr w:rsidR="008D0CAD" w:rsidRPr="00EC48C1" w14:paraId="53FB03DB" w14:textId="77777777" w:rsidTr="00EC48C1">
        <w:tc>
          <w:tcPr>
            <w:tcW w:w="1816" w:type="dxa"/>
          </w:tcPr>
          <w:p w14:paraId="2567A66E"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0767" w:type="dxa"/>
          </w:tcPr>
          <w:p w14:paraId="14687F50" w14:textId="77777777" w:rsidR="008D0CAD" w:rsidRPr="00EC48C1" w:rsidRDefault="008D0CAD" w:rsidP="00DD08E3">
            <w:pPr>
              <w:numPr>
                <w:ilvl w:val="1"/>
                <w:numId w:val="116"/>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EC48C1">
              <w:rPr>
                <w:rFonts w:asciiTheme="majorHAnsi" w:hAnsiTheme="majorHAnsi" w:cstheme="majorHAnsi"/>
                <w:snapToGrid w:val="0"/>
                <w:color w:val="000000" w:themeColor="text1"/>
                <w:sz w:val="20"/>
                <w:szCs w:val="20"/>
                <w:lang w:val="en-US"/>
              </w:rPr>
              <w:t>For Inclusive Education (IE)</w:t>
            </w:r>
          </w:p>
          <w:p w14:paraId="07E8E021" w14:textId="77777777" w:rsidR="008D0CAD" w:rsidRPr="00EC48C1" w:rsidRDefault="008D0CAD" w:rsidP="00EA6CB9">
            <w:pPr>
              <w:spacing w:before="100" w:beforeAutospacing="1" w:after="100" w:afterAutospacing="1" w:line="360" w:lineRule="auto"/>
              <w:ind w:left="720"/>
              <w:rPr>
                <w:rFonts w:asciiTheme="majorHAnsi" w:hAnsiTheme="majorHAnsi" w:cstheme="majorHAnsi"/>
                <w:color w:val="000000" w:themeColor="text1"/>
                <w:sz w:val="20"/>
                <w:szCs w:val="20"/>
                <w:lang w:val="en-US"/>
              </w:rPr>
            </w:pPr>
          </w:p>
        </w:tc>
        <w:tc>
          <w:tcPr>
            <w:tcW w:w="2085" w:type="dxa"/>
          </w:tcPr>
          <w:p w14:paraId="0BEB1115"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r w:rsidRPr="00EC48C1">
              <w:rPr>
                <w:rFonts w:asciiTheme="majorHAnsi" w:hAnsiTheme="majorHAnsi" w:cstheme="majorHAnsi"/>
                <w:bCs/>
                <w:color w:val="000000" w:themeColor="text1"/>
                <w:sz w:val="20"/>
                <w:szCs w:val="20"/>
                <w:lang w:val="en-US"/>
              </w:rPr>
              <w:t>Refer to answer to Question No. 12</w:t>
            </w:r>
          </w:p>
        </w:tc>
      </w:tr>
      <w:tr w:rsidR="008D0CAD" w:rsidRPr="00EC48C1" w14:paraId="7A9A98CE" w14:textId="77777777" w:rsidTr="00EC48C1">
        <w:tc>
          <w:tcPr>
            <w:tcW w:w="1816" w:type="dxa"/>
          </w:tcPr>
          <w:p w14:paraId="5FCFCF5C"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0767" w:type="dxa"/>
          </w:tcPr>
          <w:p w14:paraId="4252DE5A" w14:textId="77777777" w:rsidR="008D0CAD" w:rsidRPr="00EC48C1" w:rsidRDefault="008D0CAD" w:rsidP="00DD08E3">
            <w:pPr>
              <w:numPr>
                <w:ilvl w:val="1"/>
                <w:numId w:val="116"/>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EC48C1">
              <w:rPr>
                <w:rFonts w:asciiTheme="majorHAnsi" w:hAnsiTheme="majorHAnsi" w:cstheme="majorHAnsi"/>
                <w:snapToGrid w:val="0"/>
                <w:color w:val="000000" w:themeColor="text1"/>
                <w:sz w:val="20"/>
                <w:szCs w:val="20"/>
                <w:lang w:val="en-US"/>
              </w:rPr>
              <w:t>For Gender-Responsive Basic Education (GRBE)</w:t>
            </w:r>
          </w:p>
          <w:p w14:paraId="00290C0C" w14:textId="77777777" w:rsidR="008D0CAD" w:rsidRPr="00EC48C1" w:rsidRDefault="008D0CAD" w:rsidP="00EA6CB9">
            <w:pPr>
              <w:spacing w:before="100" w:beforeAutospacing="1" w:after="100" w:afterAutospacing="1" w:line="360" w:lineRule="auto"/>
              <w:rPr>
                <w:rFonts w:asciiTheme="majorHAnsi" w:hAnsiTheme="majorHAnsi" w:cstheme="majorHAnsi"/>
                <w:color w:val="000000" w:themeColor="text1"/>
                <w:sz w:val="20"/>
                <w:szCs w:val="20"/>
                <w:lang w:val="en-US"/>
              </w:rPr>
            </w:pPr>
          </w:p>
        </w:tc>
        <w:tc>
          <w:tcPr>
            <w:tcW w:w="2085" w:type="dxa"/>
          </w:tcPr>
          <w:p w14:paraId="41BFEAAC"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r w:rsidRPr="00EC48C1">
              <w:rPr>
                <w:rFonts w:asciiTheme="majorHAnsi" w:hAnsiTheme="majorHAnsi" w:cstheme="majorHAnsi"/>
                <w:bCs/>
                <w:color w:val="000000" w:themeColor="text1"/>
                <w:sz w:val="20"/>
                <w:szCs w:val="20"/>
                <w:lang w:val="en-US"/>
              </w:rPr>
              <w:t>Refer to answer to Question No. 13</w:t>
            </w:r>
          </w:p>
        </w:tc>
      </w:tr>
      <w:tr w:rsidR="008D0CAD" w:rsidRPr="00EC48C1" w14:paraId="7066B28A" w14:textId="77777777" w:rsidTr="00EC48C1">
        <w:tc>
          <w:tcPr>
            <w:tcW w:w="1816" w:type="dxa"/>
          </w:tcPr>
          <w:p w14:paraId="17E51AA3"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0767" w:type="dxa"/>
          </w:tcPr>
          <w:p w14:paraId="4B3BA62C" w14:textId="77777777" w:rsidR="008D0CAD" w:rsidRPr="00EC48C1" w:rsidRDefault="008D0CAD" w:rsidP="00EA6CB9">
            <w:pPr>
              <w:spacing w:before="100" w:beforeAutospacing="1" w:after="100" w:afterAutospacing="1" w:line="360" w:lineRule="auto"/>
              <w:rPr>
                <w:rFonts w:asciiTheme="majorHAnsi" w:hAnsiTheme="majorHAnsi" w:cstheme="majorHAnsi"/>
                <w:b/>
                <w:bCs/>
                <w:color w:val="000000" w:themeColor="text1"/>
                <w:sz w:val="20"/>
                <w:szCs w:val="20"/>
                <w:lang w:val="en-US"/>
              </w:rPr>
            </w:pPr>
            <w:r w:rsidRPr="00EC48C1">
              <w:rPr>
                <w:rFonts w:asciiTheme="majorHAnsi" w:hAnsiTheme="majorHAnsi" w:cstheme="majorHAnsi"/>
                <w:b/>
                <w:bCs/>
                <w:color w:val="000000" w:themeColor="text1"/>
                <w:sz w:val="20"/>
                <w:szCs w:val="20"/>
                <w:lang w:val="en-US"/>
              </w:rPr>
              <w:t>Innovations on GEDSI implementation</w:t>
            </w:r>
          </w:p>
          <w:p w14:paraId="4A62C059" w14:textId="77777777" w:rsidR="008D0CAD" w:rsidRPr="00EC48C1" w:rsidRDefault="008D0CAD" w:rsidP="00DD08E3">
            <w:pPr>
              <w:numPr>
                <w:ilvl w:val="0"/>
                <w:numId w:val="123"/>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EC48C1">
              <w:rPr>
                <w:rFonts w:asciiTheme="majorHAnsi" w:hAnsiTheme="majorHAnsi" w:cstheme="majorHAnsi"/>
                <w:snapToGrid w:val="0"/>
                <w:color w:val="000000" w:themeColor="text1"/>
                <w:sz w:val="20"/>
                <w:szCs w:val="20"/>
                <w:lang w:val="en-US"/>
              </w:rPr>
              <w:t xml:space="preserve">What innovations, if any, did your school adopt in terms of implementing Inclusive, Responsive and GRBE? </w:t>
            </w:r>
          </w:p>
          <w:p w14:paraId="4979F26B" w14:textId="77777777" w:rsidR="008D0CAD" w:rsidRPr="00EC48C1" w:rsidRDefault="008D0CAD" w:rsidP="00DD08E3">
            <w:pPr>
              <w:numPr>
                <w:ilvl w:val="1"/>
                <w:numId w:val="123"/>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EC48C1">
              <w:rPr>
                <w:rFonts w:asciiTheme="majorHAnsi" w:hAnsiTheme="majorHAnsi" w:cstheme="majorHAnsi"/>
                <w:snapToGrid w:val="0"/>
                <w:color w:val="000000" w:themeColor="text1"/>
                <w:sz w:val="20"/>
                <w:szCs w:val="20"/>
                <w:lang w:val="en-US"/>
              </w:rPr>
              <w:t>Why not?</w:t>
            </w:r>
          </w:p>
        </w:tc>
        <w:tc>
          <w:tcPr>
            <w:tcW w:w="2085" w:type="dxa"/>
          </w:tcPr>
          <w:p w14:paraId="6655D5C6"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p>
          <w:p w14:paraId="05F70425"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r w:rsidRPr="00EC48C1">
              <w:rPr>
                <w:rFonts w:asciiTheme="majorHAnsi" w:hAnsiTheme="majorHAnsi" w:cstheme="majorHAnsi"/>
                <w:bCs/>
                <w:color w:val="000000" w:themeColor="text1"/>
                <w:sz w:val="20"/>
                <w:szCs w:val="20"/>
                <w:lang w:val="en-US"/>
              </w:rPr>
              <w:t>Refer to answer to Question No. 15</w:t>
            </w:r>
          </w:p>
        </w:tc>
      </w:tr>
      <w:tr w:rsidR="008D0CAD" w:rsidRPr="00EC48C1" w14:paraId="37DB2E3C" w14:textId="77777777" w:rsidTr="00EC48C1">
        <w:tc>
          <w:tcPr>
            <w:tcW w:w="1816" w:type="dxa"/>
          </w:tcPr>
          <w:p w14:paraId="2EDC53B1"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0767" w:type="dxa"/>
          </w:tcPr>
          <w:p w14:paraId="55837502" w14:textId="77777777" w:rsidR="008D0CAD" w:rsidRPr="00EC48C1" w:rsidRDefault="008D0CAD" w:rsidP="00EA6CB9">
            <w:pPr>
              <w:spacing w:before="100" w:beforeAutospacing="1" w:after="100" w:afterAutospacing="1" w:line="360" w:lineRule="auto"/>
              <w:rPr>
                <w:rFonts w:asciiTheme="majorHAnsi" w:hAnsiTheme="majorHAnsi" w:cstheme="majorHAnsi"/>
                <w:b/>
                <w:bCs/>
                <w:color w:val="000000" w:themeColor="text1"/>
                <w:sz w:val="20"/>
                <w:szCs w:val="20"/>
                <w:lang w:val="en-US"/>
              </w:rPr>
            </w:pPr>
            <w:r w:rsidRPr="00EC48C1">
              <w:rPr>
                <w:rFonts w:asciiTheme="majorHAnsi" w:hAnsiTheme="majorHAnsi" w:cstheme="majorHAnsi"/>
                <w:b/>
                <w:bCs/>
                <w:color w:val="000000" w:themeColor="text1"/>
                <w:sz w:val="20"/>
                <w:szCs w:val="20"/>
                <w:lang w:val="en-US"/>
              </w:rPr>
              <w:t>Effects of GEDSI</w:t>
            </w:r>
          </w:p>
          <w:p w14:paraId="2F2CA10C" w14:textId="77777777" w:rsidR="008D0CAD" w:rsidRPr="00EC48C1" w:rsidRDefault="008D0CAD" w:rsidP="00DD08E3">
            <w:pPr>
              <w:numPr>
                <w:ilvl w:val="0"/>
                <w:numId w:val="123"/>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EC48C1">
              <w:rPr>
                <w:rFonts w:asciiTheme="majorHAnsi" w:hAnsiTheme="majorHAnsi" w:cstheme="majorHAnsi"/>
                <w:snapToGrid w:val="0"/>
                <w:color w:val="000000" w:themeColor="text1"/>
                <w:sz w:val="20"/>
                <w:szCs w:val="20"/>
                <w:lang w:val="en-US"/>
              </w:rPr>
              <w:t xml:space="preserve">Overall, how did the implementation of the </w:t>
            </w:r>
            <w:r w:rsidRPr="00EC48C1">
              <w:rPr>
                <w:rFonts w:asciiTheme="majorHAnsi" w:hAnsiTheme="majorHAnsi" w:cstheme="majorHAnsi"/>
                <w:b/>
                <w:bCs/>
                <w:snapToGrid w:val="0"/>
                <w:color w:val="000000" w:themeColor="text1"/>
                <w:sz w:val="20"/>
                <w:szCs w:val="20"/>
                <w:lang w:val="en-US"/>
              </w:rPr>
              <w:t>Inclusive and Responsive Education</w:t>
            </w:r>
            <w:r w:rsidRPr="00EC48C1">
              <w:rPr>
                <w:rFonts w:asciiTheme="majorHAnsi" w:hAnsiTheme="majorHAnsi" w:cstheme="majorHAnsi"/>
                <w:snapToGrid w:val="0"/>
                <w:color w:val="000000" w:themeColor="text1"/>
                <w:sz w:val="20"/>
                <w:szCs w:val="20"/>
                <w:lang w:val="en-US"/>
              </w:rPr>
              <w:t xml:space="preserve"> and </w:t>
            </w:r>
            <w:r w:rsidRPr="00EC48C1">
              <w:rPr>
                <w:rFonts w:asciiTheme="majorHAnsi" w:hAnsiTheme="majorHAnsi" w:cstheme="majorHAnsi"/>
                <w:b/>
                <w:snapToGrid w:val="0"/>
                <w:color w:val="000000" w:themeColor="text1"/>
                <w:sz w:val="20"/>
                <w:szCs w:val="20"/>
                <w:lang w:val="en-US"/>
              </w:rPr>
              <w:t xml:space="preserve">Gender-Responsive Basic Education </w:t>
            </w:r>
            <w:r w:rsidRPr="00EC48C1">
              <w:rPr>
                <w:rFonts w:asciiTheme="majorHAnsi" w:hAnsiTheme="majorHAnsi" w:cstheme="majorHAnsi"/>
                <w:snapToGrid w:val="0"/>
                <w:color w:val="000000" w:themeColor="text1"/>
                <w:sz w:val="20"/>
                <w:szCs w:val="20"/>
                <w:lang w:val="en-US"/>
              </w:rPr>
              <w:t>influence your teaching practices?</w:t>
            </w:r>
          </w:p>
        </w:tc>
        <w:tc>
          <w:tcPr>
            <w:tcW w:w="2085" w:type="dxa"/>
          </w:tcPr>
          <w:p w14:paraId="5E2B2299"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p>
        </w:tc>
      </w:tr>
      <w:tr w:rsidR="008D0CAD" w:rsidRPr="00EC48C1" w14:paraId="103F950D" w14:textId="77777777" w:rsidTr="00EC48C1">
        <w:tc>
          <w:tcPr>
            <w:tcW w:w="1816" w:type="dxa"/>
          </w:tcPr>
          <w:p w14:paraId="6E8987CA"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0767" w:type="dxa"/>
          </w:tcPr>
          <w:p w14:paraId="2D2B41FA" w14:textId="77777777" w:rsidR="008D0CAD" w:rsidRPr="00EC48C1" w:rsidRDefault="008D0CAD" w:rsidP="00EA6CB9">
            <w:pPr>
              <w:spacing w:before="100" w:beforeAutospacing="1" w:after="100" w:afterAutospacing="1" w:line="360" w:lineRule="auto"/>
              <w:rPr>
                <w:rFonts w:asciiTheme="majorHAnsi" w:hAnsiTheme="majorHAnsi" w:cstheme="majorHAnsi"/>
                <w:b/>
                <w:color w:val="0070C0"/>
                <w:sz w:val="20"/>
                <w:szCs w:val="20"/>
                <w:lang w:val="en-US"/>
              </w:rPr>
            </w:pPr>
            <w:r w:rsidRPr="00EC48C1">
              <w:rPr>
                <w:rFonts w:asciiTheme="majorHAnsi" w:hAnsiTheme="majorHAnsi" w:cstheme="majorHAnsi"/>
                <w:b/>
                <w:color w:val="0070C0"/>
                <w:sz w:val="20"/>
                <w:szCs w:val="20"/>
                <w:lang w:val="en-US"/>
              </w:rPr>
              <w:t>Philippine Professional Standards for Teachers (PPST)</w:t>
            </w:r>
          </w:p>
          <w:p w14:paraId="6F8ED561" w14:textId="77777777" w:rsidR="008D0CAD" w:rsidRPr="00EC48C1" w:rsidRDefault="008D0CAD" w:rsidP="00EA6CB9">
            <w:pPr>
              <w:spacing w:before="100" w:beforeAutospacing="1" w:after="100" w:afterAutospacing="1" w:line="360" w:lineRule="auto"/>
              <w:rPr>
                <w:rFonts w:asciiTheme="majorHAnsi" w:hAnsiTheme="majorHAnsi" w:cstheme="majorHAnsi"/>
                <w:b/>
                <w:color w:val="000000" w:themeColor="text1"/>
                <w:sz w:val="20"/>
                <w:szCs w:val="20"/>
                <w:lang w:val="en-US"/>
              </w:rPr>
            </w:pPr>
            <w:r w:rsidRPr="00EC48C1">
              <w:rPr>
                <w:rFonts w:asciiTheme="majorHAnsi" w:hAnsiTheme="majorHAnsi" w:cstheme="majorHAnsi"/>
                <w:b/>
                <w:color w:val="000000" w:themeColor="text1"/>
                <w:sz w:val="20"/>
                <w:szCs w:val="20"/>
                <w:lang w:val="en-US"/>
              </w:rPr>
              <w:t>PPST Knowledge/Awareness</w:t>
            </w:r>
          </w:p>
          <w:p w14:paraId="559CE7F8" w14:textId="77777777" w:rsidR="008D0CAD" w:rsidRPr="00EC48C1" w:rsidRDefault="008D0CAD" w:rsidP="00DD08E3">
            <w:pPr>
              <w:numPr>
                <w:ilvl w:val="0"/>
                <w:numId w:val="123"/>
              </w:numPr>
              <w:spacing w:before="100" w:beforeAutospacing="1" w:after="100" w:afterAutospacing="1" w:line="360" w:lineRule="auto"/>
              <w:contextualSpacing/>
              <w:rPr>
                <w:rFonts w:asciiTheme="majorHAnsi" w:hAnsiTheme="majorHAnsi" w:cstheme="majorHAnsi"/>
                <w:bCs/>
                <w:snapToGrid w:val="0"/>
                <w:color w:val="000000" w:themeColor="text1"/>
                <w:sz w:val="20"/>
                <w:szCs w:val="20"/>
                <w:lang w:val="en-US"/>
              </w:rPr>
            </w:pPr>
            <w:r w:rsidRPr="00EC48C1">
              <w:rPr>
                <w:rFonts w:asciiTheme="majorHAnsi" w:hAnsiTheme="majorHAnsi" w:cstheme="majorHAnsi"/>
                <w:snapToGrid w:val="0"/>
                <w:color w:val="000000" w:themeColor="text1"/>
                <w:sz w:val="20"/>
                <w:szCs w:val="20"/>
                <w:lang w:val="en-US"/>
              </w:rPr>
              <w:t xml:space="preserve">Please describe your understanding of </w:t>
            </w:r>
            <w:r w:rsidRPr="00EC48C1">
              <w:rPr>
                <w:rFonts w:asciiTheme="majorHAnsi" w:hAnsiTheme="majorHAnsi" w:cstheme="majorHAnsi"/>
                <w:bCs/>
                <w:snapToGrid w:val="0"/>
                <w:color w:val="000000" w:themeColor="text1"/>
                <w:sz w:val="20"/>
                <w:szCs w:val="20"/>
                <w:lang w:val="en-US"/>
              </w:rPr>
              <w:t>Philippine Professional Standards for Teachers (PPST)</w:t>
            </w:r>
          </w:p>
          <w:p w14:paraId="7F7BE723" w14:textId="77777777" w:rsidR="008D0CAD" w:rsidRPr="00EC48C1" w:rsidRDefault="008D0CAD" w:rsidP="00DD08E3">
            <w:pPr>
              <w:numPr>
                <w:ilvl w:val="1"/>
                <w:numId w:val="123"/>
              </w:numPr>
              <w:spacing w:before="100" w:beforeAutospacing="1" w:after="100" w:afterAutospacing="1" w:line="360" w:lineRule="auto"/>
              <w:contextualSpacing/>
              <w:rPr>
                <w:rFonts w:asciiTheme="majorHAnsi" w:hAnsiTheme="majorHAnsi" w:cstheme="majorHAnsi"/>
                <w:bCs/>
                <w:snapToGrid w:val="0"/>
                <w:color w:val="000000" w:themeColor="text1"/>
                <w:sz w:val="20"/>
                <w:szCs w:val="20"/>
                <w:lang w:val="en-US"/>
              </w:rPr>
            </w:pPr>
            <w:r w:rsidRPr="00EC48C1">
              <w:rPr>
                <w:rFonts w:asciiTheme="majorHAnsi" w:hAnsiTheme="majorHAnsi" w:cstheme="majorHAnsi"/>
                <w:snapToGrid w:val="0"/>
                <w:color w:val="000000" w:themeColor="text1"/>
                <w:sz w:val="20"/>
                <w:szCs w:val="20"/>
                <w:lang w:val="en-US"/>
              </w:rPr>
              <w:t>How is the PPST connected to the RPMS?</w:t>
            </w:r>
          </w:p>
        </w:tc>
        <w:tc>
          <w:tcPr>
            <w:tcW w:w="2085" w:type="dxa"/>
          </w:tcPr>
          <w:p w14:paraId="4F5F25F2"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r w:rsidRPr="00EC48C1">
              <w:rPr>
                <w:rFonts w:asciiTheme="majorHAnsi" w:hAnsiTheme="majorHAnsi" w:cstheme="majorHAnsi"/>
                <w:bCs/>
                <w:color w:val="000000" w:themeColor="text1"/>
                <w:sz w:val="20"/>
                <w:szCs w:val="20"/>
                <w:lang w:val="en-US"/>
              </w:rPr>
              <w:t>Refer to answer to Question No. 16</w:t>
            </w:r>
          </w:p>
        </w:tc>
      </w:tr>
      <w:tr w:rsidR="008D0CAD" w:rsidRPr="00EC48C1" w14:paraId="40C6575A" w14:textId="77777777" w:rsidTr="00EC48C1">
        <w:tc>
          <w:tcPr>
            <w:tcW w:w="1816" w:type="dxa"/>
          </w:tcPr>
          <w:p w14:paraId="7245C8EB"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0767" w:type="dxa"/>
          </w:tcPr>
          <w:p w14:paraId="7A39DE39" w14:textId="77777777" w:rsidR="008D0CAD" w:rsidRPr="00EC48C1" w:rsidRDefault="008D0CAD" w:rsidP="00EA6CB9">
            <w:pPr>
              <w:spacing w:before="100" w:beforeAutospacing="1" w:after="100" w:afterAutospacing="1" w:line="360" w:lineRule="auto"/>
              <w:rPr>
                <w:rFonts w:asciiTheme="majorHAnsi" w:hAnsiTheme="majorHAnsi" w:cstheme="majorHAnsi"/>
                <w:b/>
                <w:bCs/>
                <w:color w:val="000000" w:themeColor="text1"/>
                <w:sz w:val="20"/>
                <w:szCs w:val="20"/>
                <w:lang w:val="en-US"/>
              </w:rPr>
            </w:pPr>
            <w:r w:rsidRPr="00EC48C1">
              <w:rPr>
                <w:rFonts w:asciiTheme="majorHAnsi" w:hAnsiTheme="majorHAnsi" w:cstheme="majorHAnsi"/>
                <w:b/>
                <w:bCs/>
                <w:color w:val="000000" w:themeColor="text1"/>
                <w:sz w:val="20"/>
                <w:szCs w:val="20"/>
                <w:lang w:val="en-US"/>
              </w:rPr>
              <w:t>PPST Practices</w:t>
            </w:r>
          </w:p>
          <w:p w14:paraId="190F1E7B" w14:textId="77777777" w:rsidR="008D0CAD" w:rsidRPr="00EC48C1" w:rsidRDefault="008D0CAD" w:rsidP="00DD08E3">
            <w:pPr>
              <w:numPr>
                <w:ilvl w:val="0"/>
                <w:numId w:val="123"/>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EC48C1">
              <w:rPr>
                <w:rFonts w:asciiTheme="majorHAnsi" w:hAnsiTheme="majorHAnsi" w:cstheme="majorHAnsi"/>
                <w:snapToGrid w:val="0"/>
                <w:color w:val="000000" w:themeColor="text1"/>
                <w:sz w:val="20"/>
                <w:szCs w:val="20"/>
                <w:lang w:val="en-US"/>
              </w:rPr>
              <w:t>How was PPST-aligned RPMS implemented in your school?</w:t>
            </w:r>
          </w:p>
          <w:p w14:paraId="74110C34" w14:textId="77777777" w:rsidR="008D0CAD" w:rsidRPr="00EC48C1" w:rsidRDefault="008D0CAD" w:rsidP="00DD08E3">
            <w:pPr>
              <w:numPr>
                <w:ilvl w:val="1"/>
                <w:numId w:val="123"/>
              </w:numPr>
              <w:spacing w:before="100" w:beforeAutospacing="1" w:after="100" w:afterAutospacing="1" w:line="360" w:lineRule="auto"/>
              <w:ind w:left="934" w:hanging="540"/>
              <w:contextualSpacing/>
              <w:rPr>
                <w:rFonts w:asciiTheme="majorHAnsi" w:hAnsiTheme="majorHAnsi" w:cstheme="majorHAnsi"/>
                <w:snapToGrid w:val="0"/>
                <w:color w:val="000000" w:themeColor="text1"/>
                <w:sz w:val="20"/>
                <w:szCs w:val="20"/>
                <w:lang w:val="en-US"/>
              </w:rPr>
            </w:pPr>
            <w:r w:rsidRPr="00EC48C1">
              <w:rPr>
                <w:rFonts w:asciiTheme="majorHAnsi" w:hAnsiTheme="majorHAnsi" w:cstheme="majorHAnsi"/>
                <w:snapToGrid w:val="0"/>
                <w:color w:val="000000" w:themeColor="text1"/>
                <w:sz w:val="20"/>
                <w:szCs w:val="20"/>
                <w:lang w:val="en-US"/>
              </w:rPr>
              <w:t>As a teacher, how did you implement PPST and the PPST-aligned RPMS</w:t>
            </w:r>
            <w:r w:rsidRPr="00EC48C1">
              <w:rPr>
                <w:rFonts w:asciiTheme="majorHAnsi" w:hAnsiTheme="majorHAnsi" w:cstheme="majorHAnsi"/>
                <w:b/>
                <w:snapToGrid w:val="0"/>
                <w:color w:val="000000" w:themeColor="text1"/>
                <w:sz w:val="20"/>
                <w:szCs w:val="20"/>
                <w:lang w:val="en-US"/>
              </w:rPr>
              <w:t xml:space="preserve"> </w:t>
            </w:r>
            <w:r w:rsidRPr="00EC48C1">
              <w:rPr>
                <w:rFonts w:asciiTheme="majorHAnsi" w:hAnsiTheme="majorHAnsi" w:cstheme="majorHAnsi"/>
                <w:snapToGrid w:val="0"/>
                <w:color w:val="000000" w:themeColor="text1"/>
                <w:sz w:val="20"/>
                <w:szCs w:val="20"/>
                <w:lang w:val="en-US"/>
              </w:rPr>
              <w:t>in your school?</w:t>
            </w:r>
          </w:p>
          <w:p w14:paraId="4D0E1795" w14:textId="77777777" w:rsidR="008D0CAD" w:rsidRPr="00EC48C1" w:rsidRDefault="008D0CAD" w:rsidP="00DD08E3">
            <w:pPr>
              <w:numPr>
                <w:ilvl w:val="1"/>
                <w:numId w:val="123"/>
              </w:numPr>
              <w:spacing w:before="100" w:beforeAutospacing="1" w:after="100" w:afterAutospacing="1" w:line="360" w:lineRule="auto"/>
              <w:ind w:left="891" w:hanging="567"/>
              <w:contextualSpacing/>
              <w:rPr>
                <w:rFonts w:asciiTheme="majorHAnsi" w:hAnsiTheme="majorHAnsi" w:cstheme="majorHAnsi"/>
                <w:snapToGrid w:val="0"/>
                <w:color w:val="000000" w:themeColor="text1"/>
                <w:sz w:val="20"/>
                <w:szCs w:val="20"/>
                <w:lang w:val="en-US"/>
              </w:rPr>
            </w:pPr>
            <w:r w:rsidRPr="00EC48C1">
              <w:rPr>
                <w:rFonts w:asciiTheme="majorHAnsi" w:hAnsiTheme="majorHAnsi" w:cstheme="majorHAnsi"/>
                <w:snapToGrid w:val="0"/>
                <w:color w:val="000000" w:themeColor="text1"/>
                <w:sz w:val="20"/>
                <w:szCs w:val="20"/>
                <w:lang w:val="en-US"/>
              </w:rPr>
              <w:t>Why not?</w:t>
            </w:r>
          </w:p>
        </w:tc>
        <w:tc>
          <w:tcPr>
            <w:tcW w:w="2085" w:type="dxa"/>
          </w:tcPr>
          <w:p w14:paraId="30AB902A"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p>
        </w:tc>
      </w:tr>
      <w:tr w:rsidR="008D0CAD" w:rsidRPr="00EC48C1" w14:paraId="3C7CF74B" w14:textId="77777777" w:rsidTr="00EC48C1">
        <w:tc>
          <w:tcPr>
            <w:tcW w:w="1816" w:type="dxa"/>
          </w:tcPr>
          <w:p w14:paraId="1411E519"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0767" w:type="dxa"/>
          </w:tcPr>
          <w:p w14:paraId="0D8EBBEA" w14:textId="77777777" w:rsidR="008D0CAD" w:rsidRPr="00EC48C1" w:rsidRDefault="008D0CAD" w:rsidP="00DD08E3">
            <w:pPr>
              <w:numPr>
                <w:ilvl w:val="0"/>
                <w:numId w:val="133"/>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EC48C1">
              <w:rPr>
                <w:rFonts w:asciiTheme="majorHAnsi" w:hAnsiTheme="majorHAnsi" w:cstheme="majorHAnsi"/>
                <w:snapToGrid w:val="0"/>
                <w:color w:val="000000" w:themeColor="text1"/>
                <w:sz w:val="20"/>
                <w:szCs w:val="20"/>
                <w:lang w:val="en-US"/>
              </w:rPr>
              <w:t xml:space="preserve">For </w:t>
            </w:r>
            <w:r w:rsidRPr="00EC48C1">
              <w:rPr>
                <w:rFonts w:asciiTheme="majorHAnsi" w:hAnsiTheme="majorHAnsi" w:cstheme="majorHAnsi"/>
                <w:snapToGrid w:val="0"/>
                <w:color w:val="000000"/>
                <w:sz w:val="20"/>
                <w:szCs w:val="20"/>
                <w:lang w:val="en-US"/>
              </w:rPr>
              <w:t>Classroom Observation Tool (COT)</w:t>
            </w:r>
          </w:p>
          <w:p w14:paraId="37CBAC97" w14:textId="77777777" w:rsidR="008D0CAD" w:rsidRPr="00EC48C1" w:rsidRDefault="008D0CAD" w:rsidP="00EA6CB9">
            <w:pPr>
              <w:spacing w:before="100" w:beforeAutospacing="1" w:after="100" w:afterAutospacing="1" w:line="360" w:lineRule="auto"/>
              <w:rPr>
                <w:rFonts w:asciiTheme="majorHAnsi" w:hAnsiTheme="majorHAnsi" w:cstheme="majorHAnsi"/>
                <w:color w:val="000000" w:themeColor="text1"/>
                <w:sz w:val="20"/>
                <w:szCs w:val="20"/>
                <w:lang w:val="en-US"/>
              </w:rPr>
            </w:pPr>
          </w:p>
        </w:tc>
        <w:tc>
          <w:tcPr>
            <w:tcW w:w="2085" w:type="dxa"/>
          </w:tcPr>
          <w:p w14:paraId="1BA8F99F"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r w:rsidRPr="00EC48C1">
              <w:rPr>
                <w:rFonts w:asciiTheme="majorHAnsi" w:hAnsiTheme="majorHAnsi" w:cstheme="majorHAnsi"/>
                <w:bCs/>
                <w:color w:val="000000" w:themeColor="text1"/>
                <w:sz w:val="20"/>
                <w:szCs w:val="20"/>
                <w:lang w:val="en-US"/>
              </w:rPr>
              <w:t>Refer to answer to Question No. 17</w:t>
            </w:r>
          </w:p>
        </w:tc>
      </w:tr>
      <w:tr w:rsidR="008D0CAD" w:rsidRPr="00EC48C1" w14:paraId="6A6705A6" w14:textId="77777777" w:rsidTr="00EC48C1">
        <w:tc>
          <w:tcPr>
            <w:tcW w:w="1816" w:type="dxa"/>
          </w:tcPr>
          <w:p w14:paraId="2127CA5F"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0767" w:type="dxa"/>
          </w:tcPr>
          <w:p w14:paraId="0E8B54FD" w14:textId="77777777" w:rsidR="008D0CAD" w:rsidRPr="00EC48C1" w:rsidRDefault="008D0CAD" w:rsidP="00DD08E3">
            <w:pPr>
              <w:numPr>
                <w:ilvl w:val="0"/>
                <w:numId w:val="133"/>
              </w:numPr>
              <w:spacing w:before="100" w:beforeAutospacing="1" w:after="100" w:afterAutospacing="1" w:line="360" w:lineRule="auto"/>
              <w:contextualSpacing/>
              <w:rPr>
                <w:rFonts w:asciiTheme="majorHAnsi" w:hAnsiTheme="majorHAnsi" w:cstheme="majorHAnsi"/>
                <w:bCs/>
                <w:snapToGrid w:val="0"/>
                <w:color w:val="000000" w:themeColor="text1"/>
                <w:sz w:val="20"/>
                <w:szCs w:val="20"/>
                <w:lang w:val="en-US"/>
              </w:rPr>
            </w:pPr>
            <w:r w:rsidRPr="00EC48C1">
              <w:rPr>
                <w:rFonts w:asciiTheme="majorHAnsi" w:hAnsiTheme="majorHAnsi" w:cstheme="majorHAnsi"/>
                <w:snapToGrid w:val="0"/>
                <w:color w:val="000000" w:themeColor="text1"/>
                <w:sz w:val="20"/>
                <w:szCs w:val="20"/>
                <w:lang w:val="en-US"/>
              </w:rPr>
              <w:t xml:space="preserve">For </w:t>
            </w:r>
            <w:r w:rsidRPr="00EC48C1">
              <w:rPr>
                <w:rFonts w:asciiTheme="majorHAnsi" w:hAnsiTheme="majorHAnsi" w:cstheme="majorHAnsi"/>
                <w:bCs/>
                <w:snapToGrid w:val="0"/>
                <w:color w:val="000000"/>
                <w:sz w:val="20"/>
                <w:szCs w:val="20"/>
                <w:lang w:val="en-US"/>
              </w:rPr>
              <w:t>Self-Assessment Tool (SAT)</w:t>
            </w:r>
          </w:p>
          <w:p w14:paraId="12482369" w14:textId="77777777" w:rsidR="008D0CAD" w:rsidRPr="00EC48C1" w:rsidRDefault="008D0CAD" w:rsidP="00EA6CB9">
            <w:pPr>
              <w:spacing w:before="100" w:beforeAutospacing="1" w:after="100" w:afterAutospacing="1" w:line="360" w:lineRule="auto"/>
              <w:ind w:left="720"/>
              <w:rPr>
                <w:rFonts w:asciiTheme="majorHAnsi" w:hAnsiTheme="majorHAnsi" w:cstheme="majorHAnsi"/>
                <w:color w:val="000000" w:themeColor="text1"/>
                <w:sz w:val="20"/>
                <w:szCs w:val="20"/>
                <w:lang w:val="en-US"/>
              </w:rPr>
            </w:pPr>
          </w:p>
        </w:tc>
        <w:tc>
          <w:tcPr>
            <w:tcW w:w="2085" w:type="dxa"/>
          </w:tcPr>
          <w:p w14:paraId="74834124"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r w:rsidRPr="00EC48C1">
              <w:rPr>
                <w:rFonts w:asciiTheme="majorHAnsi" w:hAnsiTheme="majorHAnsi" w:cstheme="majorHAnsi"/>
                <w:bCs/>
                <w:color w:val="000000" w:themeColor="text1"/>
                <w:sz w:val="20"/>
                <w:szCs w:val="20"/>
                <w:lang w:val="en-US"/>
              </w:rPr>
              <w:t>Refer to answer to Question No. 18</w:t>
            </w:r>
          </w:p>
        </w:tc>
      </w:tr>
      <w:tr w:rsidR="008D0CAD" w:rsidRPr="00EC48C1" w14:paraId="3F254B0E" w14:textId="77777777" w:rsidTr="00EC48C1">
        <w:tc>
          <w:tcPr>
            <w:tcW w:w="1816" w:type="dxa"/>
          </w:tcPr>
          <w:p w14:paraId="0D50B003"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0767" w:type="dxa"/>
          </w:tcPr>
          <w:p w14:paraId="6B7D1C7C" w14:textId="77777777" w:rsidR="008D0CAD" w:rsidRPr="00EC48C1" w:rsidRDefault="008D0CAD" w:rsidP="00EA6CB9">
            <w:pPr>
              <w:spacing w:before="100" w:beforeAutospacing="1" w:after="100" w:afterAutospacing="1" w:line="360" w:lineRule="auto"/>
              <w:rPr>
                <w:rFonts w:asciiTheme="majorHAnsi" w:hAnsiTheme="majorHAnsi" w:cstheme="majorHAnsi"/>
                <w:b/>
                <w:bCs/>
                <w:color w:val="000000" w:themeColor="text1"/>
                <w:sz w:val="20"/>
                <w:szCs w:val="20"/>
                <w:lang w:val="en-US"/>
              </w:rPr>
            </w:pPr>
            <w:r w:rsidRPr="00EC48C1">
              <w:rPr>
                <w:rFonts w:asciiTheme="majorHAnsi" w:hAnsiTheme="majorHAnsi" w:cstheme="majorHAnsi"/>
                <w:b/>
                <w:bCs/>
                <w:color w:val="000000" w:themeColor="text1"/>
                <w:sz w:val="20"/>
                <w:szCs w:val="20"/>
                <w:lang w:val="en-US"/>
              </w:rPr>
              <w:t>Innovations on PPST implementation</w:t>
            </w:r>
          </w:p>
          <w:p w14:paraId="39BAA022" w14:textId="77777777" w:rsidR="008D0CAD" w:rsidRPr="00EC48C1" w:rsidRDefault="008D0CAD" w:rsidP="00DD08E3">
            <w:pPr>
              <w:numPr>
                <w:ilvl w:val="0"/>
                <w:numId w:val="123"/>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EC48C1">
              <w:rPr>
                <w:rFonts w:asciiTheme="majorHAnsi" w:hAnsiTheme="majorHAnsi" w:cstheme="majorHAnsi"/>
                <w:snapToGrid w:val="0"/>
                <w:color w:val="000000" w:themeColor="text1"/>
                <w:sz w:val="20"/>
                <w:szCs w:val="20"/>
                <w:lang w:val="en-US"/>
              </w:rPr>
              <w:t xml:space="preserve">What innovations, if any, did your school adopt in terms of implementing the COT, SAT and IPCRF? </w:t>
            </w:r>
          </w:p>
          <w:p w14:paraId="479DFF29" w14:textId="77777777" w:rsidR="008D0CAD" w:rsidRPr="00EC48C1" w:rsidRDefault="008D0CAD" w:rsidP="00DD08E3">
            <w:pPr>
              <w:numPr>
                <w:ilvl w:val="1"/>
                <w:numId w:val="123"/>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EC48C1">
              <w:rPr>
                <w:rFonts w:asciiTheme="majorHAnsi" w:hAnsiTheme="majorHAnsi" w:cstheme="majorHAnsi"/>
                <w:snapToGrid w:val="0"/>
                <w:color w:val="000000" w:themeColor="text1"/>
                <w:sz w:val="20"/>
                <w:szCs w:val="20"/>
                <w:lang w:val="en-US"/>
              </w:rPr>
              <w:t>Why not?</w:t>
            </w:r>
          </w:p>
        </w:tc>
        <w:tc>
          <w:tcPr>
            <w:tcW w:w="2085" w:type="dxa"/>
          </w:tcPr>
          <w:p w14:paraId="13529453"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p>
          <w:p w14:paraId="6210F21E"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r w:rsidRPr="00EC48C1">
              <w:rPr>
                <w:rFonts w:asciiTheme="majorHAnsi" w:hAnsiTheme="majorHAnsi" w:cstheme="majorHAnsi"/>
                <w:bCs/>
                <w:color w:val="000000" w:themeColor="text1"/>
                <w:sz w:val="20"/>
                <w:szCs w:val="20"/>
                <w:lang w:val="en-US"/>
              </w:rPr>
              <w:t>Refer to answer to Question No. 19</w:t>
            </w:r>
          </w:p>
        </w:tc>
      </w:tr>
      <w:tr w:rsidR="008D0CAD" w:rsidRPr="00EC48C1" w14:paraId="6DAA8CBD" w14:textId="77777777" w:rsidTr="00EC48C1">
        <w:tc>
          <w:tcPr>
            <w:tcW w:w="1816" w:type="dxa"/>
          </w:tcPr>
          <w:p w14:paraId="14BD2FFB"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0767" w:type="dxa"/>
          </w:tcPr>
          <w:p w14:paraId="38E66622" w14:textId="77777777" w:rsidR="008D0CAD" w:rsidRPr="00EC48C1" w:rsidRDefault="008D0CAD" w:rsidP="00EA6CB9">
            <w:pPr>
              <w:spacing w:before="100" w:beforeAutospacing="1" w:after="100" w:afterAutospacing="1" w:line="360" w:lineRule="auto"/>
              <w:rPr>
                <w:rFonts w:asciiTheme="majorHAnsi" w:hAnsiTheme="majorHAnsi" w:cstheme="majorHAnsi"/>
                <w:b/>
                <w:bCs/>
                <w:color w:val="000000" w:themeColor="text1"/>
                <w:sz w:val="20"/>
                <w:szCs w:val="20"/>
                <w:lang w:val="en-US"/>
              </w:rPr>
            </w:pPr>
            <w:r w:rsidRPr="00EC48C1">
              <w:rPr>
                <w:rFonts w:asciiTheme="majorHAnsi" w:hAnsiTheme="majorHAnsi" w:cstheme="majorHAnsi"/>
                <w:b/>
                <w:bCs/>
                <w:color w:val="000000" w:themeColor="text1"/>
                <w:sz w:val="20"/>
                <w:szCs w:val="20"/>
                <w:lang w:val="en-US"/>
              </w:rPr>
              <w:t>Effects of PPST</w:t>
            </w:r>
          </w:p>
          <w:p w14:paraId="79E8F7CC" w14:textId="77777777" w:rsidR="008D0CAD" w:rsidRPr="00EC48C1" w:rsidRDefault="008D0CAD" w:rsidP="00DD08E3">
            <w:pPr>
              <w:numPr>
                <w:ilvl w:val="0"/>
                <w:numId w:val="123"/>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EC48C1">
              <w:rPr>
                <w:rFonts w:asciiTheme="majorHAnsi" w:hAnsiTheme="majorHAnsi" w:cstheme="majorHAnsi"/>
                <w:snapToGrid w:val="0"/>
                <w:color w:val="000000" w:themeColor="text1"/>
                <w:sz w:val="20"/>
                <w:szCs w:val="20"/>
                <w:lang w:val="en-US"/>
              </w:rPr>
              <w:t xml:space="preserve">Overall, how has the introduction of the </w:t>
            </w:r>
            <w:r w:rsidRPr="00EC48C1">
              <w:rPr>
                <w:rFonts w:asciiTheme="majorHAnsi" w:hAnsiTheme="majorHAnsi" w:cstheme="majorHAnsi"/>
                <w:bCs/>
                <w:snapToGrid w:val="0"/>
                <w:color w:val="000000" w:themeColor="text1"/>
                <w:sz w:val="20"/>
                <w:szCs w:val="20"/>
                <w:lang w:val="en-US"/>
              </w:rPr>
              <w:t>PPST</w:t>
            </w:r>
            <w:r w:rsidRPr="00EC48C1">
              <w:rPr>
                <w:rFonts w:asciiTheme="majorHAnsi" w:hAnsiTheme="majorHAnsi" w:cstheme="majorHAnsi"/>
                <w:snapToGrid w:val="0"/>
                <w:color w:val="000000" w:themeColor="text1"/>
                <w:sz w:val="20"/>
                <w:szCs w:val="20"/>
                <w:lang w:val="en-US"/>
              </w:rPr>
              <w:t xml:space="preserve"> and the use of the PPST-aligned tools (COT, SAT, IPCRF) improve teaching practices in your school?</w:t>
            </w:r>
          </w:p>
        </w:tc>
        <w:tc>
          <w:tcPr>
            <w:tcW w:w="2085" w:type="dxa"/>
          </w:tcPr>
          <w:p w14:paraId="797737F4"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p>
        </w:tc>
      </w:tr>
      <w:tr w:rsidR="008D0CAD" w:rsidRPr="00EC48C1" w14:paraId="767A566B" w14:textId="77777777" w:rsidTr="00EC48C1">
        <w:tc>
          <w:tcPr>
            <w:tcW w:w="1816" w:type="dxa"/>
          </w:tcPr>
          <w:p w14:paraId="42E62DAA"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0767" w:type="dxa"/>
          </w:tcPr>
          <w:p w14:paraId="1372A81B" w14:textId="77777777" w:rsidR="008D0CAD" w:rsidRPr="00EC48C1" w:rsidRDefault="008D0CAD" w:rsidP="00DD08E3">
            <w:pPr>
              <w:numPr>
                <w:ilvl w:val="0"/>
                <w:numId w:val="123"/>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EC48C1">
              <w:rPr>
                <w:rFonts w:asciiTheme="majorHAnsi" w:hAnsiTheme="majorHAnsi" w:cstheme="majorHAnsi"/>
                <w:snapToGrid w:val="0"/>
                <w:color w:val="000000" w:themeColor="text1"/>
                <w:sz w:val="20"/>
                <w:szCs w:val="20"/>
                <w:lang w:val="en-US"/>
              </w:rPr>
              <w:t xml:space="preserve">To what extent and how is </w:t>
            </w:r>
            <w:r w:rsidRPr="00EC48C1">
              <w:rPr>
                <w:rFonts w:asciiTheme="majorHAnsi" w:hAnsiTheme="majorHAnsi" w:cstheme="majorHAnsi"/>
                <w:b/>
                <w:snapToGrid w:val="0"/>
                <w:color w:val="000000" w:themeColor="text1"/>
                <w:sz w:val="20"/>
                <w:szCs w:val="20"/>
                <w:lang w:val="en-US"/>
              </w:rPr>
              <w:t>decentralised management and accountability</w:t>
            </w:r>
            <w:r w:rsidRPr="00EC48C1">
              <w:rPr>
                <w:rFonts w:asciiTheme="majorHAnsi" w:hAnsiTheme="majorHAnsi" w:cstheme="majorHAnsi"/>
                <w:snapToGrid w:val="0"/>
                <w:color w:val="000000" w:themeColor="text1"/>
                <w:sz w:val="20"/>
                <w:szCs w:val="20"/>
                <w:lang w:val="en-US"/>
              </w:rPr>
              <w:t xml:space="preserve"> applied in your school?</w:t>
            </w:r>
          </w:p>
          <w:p w14:paraId="30A7C304" w14:textId="77777777" w:rsidR="008D0CAD" w:rsidRPr="00EC48C1" w:rsidRDefault="008D0CAD" w:rsidP="00DD08E3">
            <w:pPr>
              <w:numPr>
                <w:ilvl w:val="1"/>
                <w:numId w:val="123"/>
              </w:numPr>
              <w:spacing w:before="100" w:beforeAutospacing="1" w:after="100" w:afterAutospacing="1" w:line="360" w:lineRule="auto"/>
              <w:ind w:left="1024" w:hanging="630"/>
              <w:contextualSpacing/>
              <w:rPr>
                <w:rFonts w:asciiTheme="majorHAnsi" w:hAnsiTheme="majorHAnsi" w:cstheme="majorHAnsi"/>
                <w:snapToGrid w:val="0"/>
                <w:color w:val="000000" w:themeColor="text1"/>
                <w:sz w:val="20"/>
                <w:szCs w:val="20"/>
                <w:lang w:val="en-US"/>
              </w:rPr>
            </w:pPr>
            <w:r w:rsidRPr="00EC48C1">
              <w:rPr>
                <w:rFonts w:asciiTheme="majorHAnsi" w:hAnsiTheme="majorHAnsi" w:cstheme="majorHAnsi"/>
                <w:snapToGrid w:val="0"/>
                <w:color w:val="000000" w:themeColor="text1"/>
                <w:sz w:val="20"/>
                <w:szCs w:val="20"/>
                <w:lang w:val="en-US"/>
              </w:rPr>
              <w:t>How has this improved your teaching practices?</w:t>
            </w:r>
          </w:p>
        </w:tc>
        <w:tc>
          <w:tcPr>
            <w:tcW w:w="2085" w:type="dxa"/>
          </w:tcPr>
          <w:p w14:paraId="2EF13490"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r w:rsidRPr="00EC48C1">
              <w:rPr>
                <w:rFonts w:asciiTheme="majorHAnsi" w:hAnsiTheme="majorHAnsi" w:cstheme="majorHAnsi"/>
                <w:bCs/>
                <w:color w:val="000000" w:themeColor="text1"/>
                <w:sz w:val="20"/>
                <w:szCs w:val="20"/>
                <w:lang w:val="en-US"/>
              </w:rPr>
              <w:t xml:space="preserve"> </w:t>
            </w:r>
          </w:p>
        </w:tc>
      </w:tr>
      <w:tr w:rsidR="008D0CAD" w:rsidRPr="00EC48C1" w14:paraId="510A3E2C" w14:textId="77777777" w:rsidTr="00EC48C1">
        <w:tc>
          <w:tcPr>
            <w:tcW w:w="1816" w:type="dxa"/>
          </w:tcPr>
          <w:p w14:paraId="4E524C78"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0767" w:type="dxa"/>
          </w:tcPr>
          <w:p w14:paraId="464C6C56" w14:textId="77777777" w:rsidR="008D0CAD" w:rsidRPr="00EC48C1" w:rsidRDefault="008D0CAD" w:rsidP="00EA6CB9">
            <w:pPr>
              <w:spacing w:before="100" w:beforeAutospacing="1" w:after="100" w:afterAutospacing="1" w:line="360" w:lineRule="auto"/>
              <w:rPr>
                <w:rFonts w:asciiTheme="majorHAnsi" w:hAnsiTheme="majorHAnsi" w:cstheme="majorHAnsi"/>
                <w:color w:val="000000" w:themeColor="text1"/>
                <w:sz w:val="20"/>
                <w:szCs w:val="20"/>
                <w:lang w:val="en-US"/>
              </w:rPr>
            </w:pPr>
            <w:r w:rsidRPr="00EC48C1">
              <w:rPr>
                <w:rFonts w:asciiTheme="majorHAnsi" w:hAnsiTheme="majorHAnsi" w:cstheme="majorHAnsi"/>
                <w:b/>
                <w:sz w:val="20"/>
                <w:szCs w:val="20"/>
                <w:lang w:val="en-US"/>
              </w:rPr>
              <w:t>Unified information system and sub-systems (UISS)</w:t>
            </w:r>
          </w:p>
          <w:p w14:paraId="7CE509C9" w14:textId="77777777" w:rsidR="008D0CAD" w:rsidRPr="00EC48C1" w:rsidRDefault="008D0CAD" w:rsidP="00DD08E3">
            <w:pPr>
              <w:numPr>
                <w:ilvl w:val="0"/>
                <w:numId w:val="123"/>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EC48C1">
              <w:rPr>
                <w:rFonts w:asciiTheme="majorHAnsi" w:hAnsiTheme="majorHAnsi" w:cstheme="majorHAnsi"/>
                <w:snapToGrid w:val="0"/>
                <w:color w:val="000000" w:themeColor="text1"/>
                <w:sz w:val="20"/>
                <w:szCs w:val="20"/>
                <w:lang w:val="en-US"/>
              </w:rPr>
              <w:t xml:space="preserve">Overall, how has the full operationalisation of the </w:t>
            </w:r>
            <w:r w:rsidRPr="00EC48C1">
              <w:rPr>
                <w:rFonts w:asciiTheme="majorHAnsi" w:hAnsiTheme="majorHAnsi" w:cstheme="majorHAnsi"/>
                <w:b/>
                <w:snapToGrid w:val="0"/>
                <w:sz w:val="20"/>
                <w:szCs w:val="20"/>
                <w:lang w:val="en-US"/>
              </w:rPr>
              <w:t>Unified information system and sub-systems (UISS)</w:t>
            </w:r>
            <w:r w:rsidRPr="00EC48C1">
              <w:rPr>
                <w:rFonts w:asciiTheme="majorHAnsi" w:hAnsiTheme="majorHAnsi" w:cstheme="majorHAnsi"/>
                <w:snapToGrid w:val="0"/>
                <w:color w:val="000000" w:themeColor="text1"/>
                <w:sz w:val="20"/>
                <w:szCs w:val="20"/>
                <w:lang w:val="en-US"/>
              </w:rPr>
              <w:t xml:space="preserve"> improved teaching practices in your school?</w:t>
            </w:r>
          </w:p>
          <w:p w14:paraId="79B56F75" w14:textId="77777777" w:rsidR="008D0CAD" w:rsidRPr="00EC48C1" w:rsidRDefault="008D0CAD" w:rsidP="00EA6CB9">
            <w:pPr>
              <w:spacing w:before="100" w:beforeAutospacing="1" w:after="100" w:afterAutospacing="1" w:line="360" w:lineRule="auto"/>
              <w:rPr>
                <w:rFonts w:asciiTheme="majorHAnsi" w:hAnsiTheme="majorHAnsi" w:cstheme="majorHAnsi"/>
                <w:color w:val="000000" w:themeColor="text1"/>
                <w:sz w:val="20"/>
                <w:szCs w:val="20"/>
                <w:lang w:val="en-US"/>
              </w:rPr>
            </w:pPr>
          </w:p>
        </w:tc>
        <w:tc>
          <w:tcPr>
            <w:tcW w:w="2085" w:type="dxa"/>
          </w:tcPr>
          <w:p w14:paraId="4081DD0E"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p>
        </w:tc>
      </w:tr>
      <w:tr w:rsidR="008D0CAD" w:rsidRPr="00EC48C1" w14:paraId="4BE9529C" w14:textId="77777777" w:rsidTr="00EC48C1">
        <w:tc>
          <w:tcPr>
            <w:tcW w:w="1816" w:type="dxa"/>
          </w:tcPr>
          <w:p w14:paraId="110000E5"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0767" w:type="dxa"/>
          </w:tcPr>
          <w:p w14:paraId="482EFBAD" w14:textId="77777777" w:rsidR="008D0CAD" w:rsidRPr="00EC48C1" w:rsidRDefault="008D0CAD" w:rsidP="00DD08E3">
            <w:pPr>
              <w:numPr>
                <w:ilvl w:val="0"/>
                <w:numId w:val="134"/>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EC48C1">
              <w:rPr>
                <w:rFonts w:asciiTheme="majorHAnsi" w:hAnsiTheme="majorHAnsi" w:cstheme="majorHAnsi"/>
                <w:snapToGrid w:val="0"/>
                <w:color w:val="000000" w:themeColor="text1"/>
                <w:sz w:val="20"/>
                <w:szCs w:val="20"/>
                <w:lang w:val="en-US"/>
              </w:rPr>
              <w:t xml:space="preserve">For </w:t>
            </w:r>
            <w:r w:rsidRPr="00EC48C1">
              <w:rPr>
                <w:rFonts w:asciiTheme="majorHAnsi" w:hAnsiTheme="majorHAnsi" w:cstheme="majorHAnsi"/>
                <w:b/>
                <w:bCs/>
                <w:snapToGrid w:val="0"/>
                <w:color w:val="0070C0"/>
                <w:sz w:val="20"/>
                <w:szCs w:val="20"/>
                <w:lang w:val="en-US"/>
              </w:rPr>
              <w:t>Enhanced Basic Education Information System (EBEIS)</w:t>
            </w:r>
          </w:p>
          <w:p w14:paraId="4D79F550" w14:textId="77777777" w:rsidR="008D0CAD" w:rsidRPr="00EC48C1" w:rsidRDefault="008D0CAD" w:rsidP="00EA6CB9">
            <w:pPr>
              <w:spacing w:before="100" w:beforeAutospacing="1" w:after="100" w:afterAutospacing="1" w:line="360" w:lineRule="auto"/>
              <w:rPr>
                <w:rFonts w:asciiTheme="majorHAnsi" w:hAnsiTheme="majorHAnsi" w:cstheme="majorHAnsi"/>
                <w:color w:val="000000" w:themeColor="text1"/>
                <w:sz w:val="20"/>
                <w:szCs w:val="20"/>
                <w:lang w:val="en-US"/>
              </w:rPr>
            </w:pPr>
          </w:p>
        </w:tc>
        <w:tc>
          <w:tcPr>
            <w:tcW w:w="2085" w:type="dxa"/>
          </w:tcPr>
          <w:p w14:paraId="5AC4D341"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r w:rsidRPr="00EC48C1">
              <w:rPr>
                <w:rFonts w:asciiTheme="majorHAnsi" w:hAnsiTheme="majorHAnsi" w:cstheme="majorHAnsi"/>
                <w:bCs/>
                <w:color w:val="000000" w:themeColor="text1"/>
                <w:sz w:val="20"/>
                <w:szCs w:val="20"/>
                <w:lang w:val="en-US"/>
              </w:rPr>
              <w:t>Refer to answer to Question No. 20</w:t>
            </w:r>
          </w:p>
        </w:tc>
      </w:tr>
      <w:tr w:rsidR="008D0CAD" w:rsidRPr="00EC48C1" w14:paraId="6874443A" w14:textId="77777777" w:rsidTr="00EC48C1">
        <w:tc>
          <w:tcPr>
            <w:tcW w:w="1816" w:type="dxa"/>
          </w:tcPr>
          <w:p w14:paraId="5112F706"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0767" w:type="dxa"/>
          </w:tcPr>
          <w:p w14:paraId="5F9B7E8A" w14:textId="77777777" w:rsidR="008D0CAD" w:rsidRPr="00EC48C1" w:rsidRDefault="008D0CAD" w:rsidP="00DD08E3">
            <w:pPr>
              <w:numPr>
                <w:ilvl w:val="0"/>
                <w:numId w:val="134"/>
              </w:numPr>
              <w:spacing w:before="100" w:beforeAutospacing="1" w:after="100" w:afterAutospacing="1" w:line="360" w:lineRule="auto"/>
              <w:contextualSpacing/>
              <w:rPr>
                <w:rFonts w:asciiTheme="majorHAnsi" w:hAnsiTheme="majorHAnsi" w:cstheme="majorHAnsi"/>
                <w:bCs/>
                <w:snapToGrid w:val="0"/>
                <w:color w:val="000000" w:themeColor="text1"/>
                <w:sz w:val="20"/>
                <w:szCs w:val="20"/>
                <w:lang w:val="en-US"/>
              </w:rPr>
            </w:pPr>
            <w:r w:rsidRPr="00EC48C1">
              <w:rPr>
                <w:rFonts w:asciiTheme="majorHAnsi" w:hAnsiTheme="majorHAnsi" w:cstheme="majorHAnsi"/>
                <w:snapToGrid w:val="0"/>
                <w:color w:val="000000" w:themeColor="text1"/>
                <w:sz w:val="20"/>
                <w:szCs w:val="20"/>
                <w:lang w:val="en-US"/>
              </w:rPr>
              <w:t xml:space="preserve">For </w:t>
            </w:r>
            <w:r w:rsidRPr="00EC48C1">
              <w:rPr>
                <w:rFonts w:asciiTheme="majorHAnsi" w:hAnsiTheme="majorHAnsi" w:cstheme="majorHAnsi"/>
                <w:b/>
                <w:bCs/>
                <w:snapToGrid w:val="0"/>
                <w:color w:val="0070C0"/>
                <w:sz w:val="20"/>
                <w:szCs w:val="20"/>
                <w:lang w:val="en-US"/>
              </w:rPr>
              <w:t>Learner Information System (LIS)</w:t>
            </w:r>
          </w:p>
          <w:p w14:paraId="6B525A68" w14:textId="77777777" w:rsidR="008D0CAD" w:rsidRPr="00EC48C1" w:rsidRDefault="008D0CAD" w:rsidP="00EA6CB9">
            <w:pPr>
              <w:spacing w:before="100" w:beforeAutospacing="1" w:after="100" w:afterAutospacing="1" w:line="360" w:lineRule="auto"/>
              <w:ind w:left="720"/>
              <w:rPr>
                <w:rFonts w:asciiTheme="majorHAnsi" w:hAnsiTheme="majorHAnsi" w:cstheme="majorHAnsi"/>
                <w:color w:val="000000" w:themeColor="text1"/>
                <w:sz w:val="20"/>
                <w:szCs w:val="20"/>
                <w:lang w:val="en-US"/>
              </w:rPr>
            </w:pPr>
          </w:p>
        </w:tc>
        <w:tc>
          <w:tcPr>
            <w:tcW w:w="2085" w:type="dxa"/>
          </w:tcPr>
          <w:p w14:paraId="516345A9"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r w:rsidRPr="00EC48C1">
              <w:rPr>
                <w:rFonts w:asciiTheme="majorHAnsi" w:hAnsiTheme="majorHAnsi" w:cstheme="majorHAnsi"/>
                <w:bCs/>
                <w:color w:val="000000" w:themeColor="text1"/>
                <w:sz w:val="20"/>
                <w:szCs w:val="20"/>
                <w:lang w:val="en-US"/>
              </w:rPr>
              <w:t>Refer to answer to Question No. 21</w:t>
            </w:r>
          </w:p>
        </w:tc>
      </w:tr>
      <w:tr w:rsidR="008D0CAD" w:rsidRPr="00EC48C1" w14:paraId="44088F34" w14:textId="77777777" w:rsidTr="00EC48C1">
        <w:tc>
          <w:tcPr>
            <w:tcW w:w="1816" w:type="dxa"/>
          </w:tcPr>
          <w:p w14:paraId="4F6A4B1F"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0767" w:type="dxa"/>
          </w:tcPr>
          <w:p w14:paraId="3BD0CD3D" w14:textId="77777777" w:rsidR="008D0CAD" w:rsidRPr="00EC48C1" w:rsidRDefault="008D0CAD" w:rsidP="00DD08E3">
            <w:pPr>
              <w:numPr>
                <w:ilvl w:val="0"/>
                <w:numId w:val="134"/>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EC48C1">
              <w:rPr>
                <w:rFonts w:asciiTheme="majorHAnsi" w:hAnsiTheme="majorHAnsi" w:cstheme="majorHAnsi"/>
                <w:snapToGrid w:val="0"/>
                <w:color w:val="000000" w:themeColor="text1"/>
                <w:sz w:val="20"/>
                <w:szCs w:val="20"/>
                <w:lang w:val="en-US"/>
              </w:rPr>
              <w:t xml:space="preserve">For </w:t>
            </w:r>
            <w:r w:rsidRPr="00EC48C1">
              <w:rPr>
                <w:rFonts w:asciiTheme="majorHAnsi" w:hAnsiTheme="majorHAnsi" w:cstheme="majorHAnsi"/>
                <w:b/>
                <w:bCs/>
                <w:snapToGrid w:val="0"/>
                <w:color w:val="0070C0"/>
                <w:sz w:val="20"/>
                <w:szCs w:val="20"/>
                <w:lang w:val="en-US"/>
              </w:rPr>
              <w:t>Learning Resource (LR</w:t>
            </w:r>
            <w:r w:rsidRPr="00EC48C1">
              <w:rPr>
                <w:rFonts w:asciiTheme="majorHAnsi" w:hAnsiTheme="majorHAnsi" w:cstheme="majorHAnsi"/>
                <w:b/>
                <w:snapToGrid w:val="0"/>
                <w:color w:val="0070C0"/>
                <w:sz w:val="20"/>
                <w:szCs w:val="20"/>
                <w:lang w:val="en-US"/>
              </w:rPr>
              <w:t xml:space="preserve">) </w:t>
            </w:r>
            <w:r w:rsidRPr="00EC48C1">
              <w:rPr>
                <w:rFonts w:asciiTheme="majorHAnsi" w:hAnsiTheme="majorHAnsi" w:cstheme="majorHAnsi"/>
                <w:b/>
                <w:bCs/>
                <w:snapToGrid w:val="0"/>
                <w:color w:val="0070C0"/>
                <w:sz w:val="20"/>
                <w:szCs w:val="20"/>
                <w:lang w:val="en-US"/>
              </w:rPr>
              <w:t>Portal</w:t>
            </w:r>
          </w:p>
        </w:tc>
        <w:tc>
          <w:tcPr>
            <w:tcW w:w="2085" w:type="dxa"/>
          </w:tcPr>
          <w:p w14:paraId="545E62FE"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r w:rsidRPr="00EC48C1">
              <w:rPr>
                <w:rFonts w:asciiTheme="majorHAnsi" w:hAnsiTheme="majorHAnsi" w:cstheme="majorHAnsi"/>
                <w:bCs/>
                <w:color w:val="000000" w:themeColor="text1"/>
                <w:sz w:val="20"/>
                <w:szCs w:val="20"/>
                <w:lang w:val="en-US"/>
              </w:rPr>
              <w:t>Refer to answer to Question No. 22</w:t>
            </w:r>
          </w:p>
        </w:tc>
      </w:tr>
      <w:tr w:rsidR="008D0CAD" w:rsidRPr="00EC48C1" w14:paraId="6E6A1C90" w14:textId="77777777" w:rsidTr="00EC48C1">
        <w:tc>
          <w:tcPr>
            <w:tcW w:w="1816" w:type="dxa"/>
          </w:tcPr>
          <w:p w14:paraId="176A8B12" w14:textId="77777777" w:rsidR="008D0CAD" w:rsidRPr="00EC48C1" w:rsidRDefault="008D0CAD" w:rsidP="00DD08E3">
            <w:pPr>
              <w:numPr>
                <w:ilvl w:val="0"/>
                <w:numId w:val="135"/>
              </w:numPr>
              <w:autoSpaceDE w:val="0"/>
              <w:autoSpaceDN w:val="0"/>
              <w:adjustRightInd w:val="0"/>
              <w:spacing w:before="100" w:beforeAutospacing="1" w:after="100" w:afterAutospacing="1" w:line="360" w:lineRule="auto"/>
              <w:rPr>
                <w:rFonts w:asciiTheme="majorHAnsi" w:eastAsiaTheme="minorHAnsi" w:hAnsiTheme="majorHAnsi" w:cstheme="majorHAnsi"/>
                <w:b/>
                <w:bCs/>
                <w:color w:val="000000" w:themeColor="text1"/>
                <w:sz w:val="20"/>
                <w:szCs w:val="20"/>
                <w:lang w:val="en-US"/>
              </w:rPr>
            </w:pPr>
            <w:r w:rsidRPr="00EC48C1">
              <w:rPr>
                <w:rFonts w:asciiTheme="majorHAnsi" w:eastAsiaTheme="minorHAnsi" w:hAnsiTheme="majorHAnsi" w:cstheme="majorHAnsi"/>
                <w:b/>
                <w:bCs/>
                <w:color w:val="000000" w:themeColor="text1"/>
                <w:sz w:val="20"/>
                <w:szCs w:val="20"/>
                <w:lang w:val="en-US"/>
              </w:rPr>
              <w:t>School Outcomes</w:t>
            </w:r>
          </w:p>
          <w:p w14:paraId="6D65E876"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0767" w:type="dxa"/>
          </w:tcPr>
          <w:p w14:paraId="7993D62C" w14:textId="77777777" w:rsidR="008D0CAD" w:rsidRPr="00EC48C1" w:rsidRDefault="008D0CAD" w:rsidP="00DD08E3">
            <w:pPr>
              <w:numPr>
                <w:ilvl w:val="0"/>
                <w:numId w:val="123"/>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EC48C1">
              <w:rPr>
                <w:rFonts w:asciiTheme="majorHAnsi" w:hAnsiTheme="majorHAnsi" w:cstheme="majorHAnsi"/>
                <w:snapToGrid w:val="0"/>
                <w:color w:val="000000" w:themeColor="text1"/>
                <w:spacing w:val="-1"/>
                <w:sz w:val="20"/>
                <w:szCs w:val="20"/>
                <w:lang w:val="en-US"/>
              </w:rPr>
              <w:t xml:space="preserve">In the last six years, how did the improvements in knowledge, skills, behaviors and practices in teaching </w:t>
            </w:r>
            <w:r w:rsidRPr="00EC48C1">
              <w:rPr>
                <w:rFonts w:asciiTheme="majorHAnsi" w:hAnsiTheme="majorHAnsi" w:cstheme="majorHAnsi"/>
                <w:snapToGrid w:val="0"/>
                <w:color w:val="000000" w:themeColor="text1"/>
                <w:sz w:val="20"/>
                <w:szCs w:val="20"/>
                <w:lang w:val="en-US"/>
              </w:rPr>
              <w:t>increase:</w:t>
            </w:r>
          </w:p>
          <w:p w14:paraId="378C57FC" w14:textId="77777777" w:rsidR="008D0CAD" w:rsidRPr="00EC48C1" w:rsidRDefault="008D0CAD" w:rsidP="00DD08E3">
            <w:pPr>
              <w:numPr>
                <w:ilvl w:val="1"/>
                <w:numId w:val="123"/>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EC48C1">
              <w:rPr>
                <w:rFonts w:asciiTheme="majorHAnsi" w:hAnsiTheme="majorHAnsi" w:cstheme="majorHAnsi"/>
                <w:snapToGrid w:val="0"/>
                <w:sz w:val="20"/>
                <w:szCs w:val="20"/>
                <w:lang w:val="en-GB"/>
              </w:rPr>
              <w:t>student participation in your school?</w:t>
            </w:r>
          </w:p>
          <w:p w14:paraId="1E183E15" w14:textId="77777777" w:rsidR="008D0CAD" w:rsidRPr="00EC48C1" w:rsidRDefault="008D0CAD" w:rsidP="00DD08E3">
            <w:pPr>
              <w:numPr>
                <w:ilvl w:val="1"/>
                <w:numId w:val="123"/>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EC48C1">
              <w:rPr>
                <w:rFonts w:asciiTheme="majorHAnsi" w:hAnsiTheme="majorHAnsi" w:cstheme="majorHAnsi"/>
                <w:snapToGrid w:val="0"/>
                <w:sz w:val="20"/>
                <w:szCs w:val="20"/>
                <w:lang w:val="en-GB"/>
              </w:rPr>
              <w:t>community participation and stakeholder engagement?</w:t>
            </w:r>
          </w:p>
          <w:p w14:paraId="231275CF" w14:textId="77777777" w:rsidR="008D0CAD" w:rsidRPr="00EC48C1" w:rsidRDefault="008D0CAD" w:rsidP="00DD08E3">
            <w:pPr>
              <w:numPr>
                <w:ilvl w:val="1"/>
                <w:numId w:val="123"/>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EC48C1">
              <w:rPr>
                <w:rFonts w:asciiTheme="majorHAnsi" w:hAnsiTheme="majorHAnsi" w:cstheme="majorHAnsi"/>
                <w:bCs/>
                <w:snapToGrid w:val="0"/>
                <w:color w:val="000000" w:themeColor="text1"/>
                <w:sz w:val="20"/>
                <w:szCs w:val="20"/>
              </w:rPr>
              <w:t>Inclusiveness and responsiveness of basic education?</w:t>
            </w:r>
          </w:p>
          <w:p w14:paraId="163E594C" w14:textId="77777777" w:rsidR="008D0CAD" w:rsidRPr="00EC48C1" w:rsidRDefault="008D0CAD" w:rsidP="00DD08E3">
            <w:pPr>
              <w:numPr>
                <w:ilvl w:val="1"/>
                <w:numId w:val="123"/>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EC48C1">
              <w:rPr>
                <w:rFonts w:asciiTheme="majorHAnsi" w:hAnsiTheme="majorHAnsi" w:cstheme="majorHAnsi"/>
                <w:bCs/>
                <w:snapToGrid w:val="0"/>
                <w:color w:val="000000" w:themeColor="text1"/>
                <w:sz w:val="20"/>
                <w:szCs w:val="20"/>
              </w:rPr>
              <w:t>decentralisation of management and accountability of basic education</w:t>
            </w:r>
            <w:r w:rsidRPr="00EC48C1">
              <w:rPr>
                <w:rFonts w:asciiTheme="majorHAnsi" w:hAnsiTheme="majorHAnsi" w:cstheme="majorHAnsi"/>
                <w:bCs/>
                <w:snapToGrid w:val="0"/>
                <w:sz w:val="20"/>
                <w:szCs w:val="20"/>
                <w:lang w:val="en-GB"/>
              </w:rPr>
              <w:t>?</w:t>
            </w:r>
          </w:p>
        </w:tc>
        <w:tc>
          <w:tcPr>
            <w:tcW w:w="2085" w:type="dxa"/>
          </w:tcPr>
          <w:p w14:paraId="70F47CF1"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p>
        </w:tc>
      </w:tr>
      <w:tr w:rsidR="008D0CAD" w:rsidRPr="00EC48C1" w14:paraId="245D2134" w14:textId="77777777" w:rsidTr="00EC48C1">
        <w:tc>
          <w:tcPr>
            <w:tcW w:w="1816" w:type="dxa"/>
          </w:tcPr>
          <w:p w14:paraId="77D6B99E" w14:textId="77777777" w:rsidR="008D0CAD" w:rsidRPr="00EC48C1" w:rsidRDefault="008D0CAD" w:rsidP="00DD08E3">
            <w:pPr>
              <w:numPr>
                <w:ilvl w:val="0"/>
                <w:numId w:val="135"/>
              </w:numPr>
              <w:autoSpaceDE w:val="0"/>
              <w:autoSpaceDN w:val="0"/>
              <w:adjustRightInd w:val="0"/>
              <w:spacing w:before="100" w:beforeAutospacing="1" w:after="100" w:afterAutospacing="1" w:line="360" w:lineRule="auto"/>
              <w:rPr>
                <w:rFonts w:asciiTheme="majorHAnsi" w:eastAsiaTheme="minorHAnsi" w:hAnsiTheme="majorHAnsi" w:cstheme="majorHAnsi"/>
                <w:b/>
                <w:bCs/>
                <w:color w:val="000000" w:themeColor="text1"/>
                <w:sz w:val="20"/>
                <w:szCs w:val="20"/>
                <w:lang w:val="en-US"/>
              </w:rPr>
            </w:pPr>
            <w:r w:rsidRPr="00EC48C1">
              <w:rPr>
                <w:rFonts w:asciiTheme="majorHAnsi" w:eastAsiaTheme="minorHAnsi" w:hAnsiTheme="majorHAnsi" w:cstheme="majorHAnsi"/>
                <w:b/>
                <w:color w:val="000000"/>
                <w:sz w:val="20"/>
                <w:szCs w:val="20"/>
                <w:lang w:val="en-US"/>
              </w:rPr>
              <w:t>External Factors and Conditions</w:t>
            </w:r>
          </w:p>
          <w:p w14:paraId="039BE59A"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0767" w:type="dxa"/>
          </w:tcPr>
          <w:p w14:paraId="0EC3FA86" w14:textId="77777777" w:rsidR="008D0CAD" w:rsidRPr="00EC48C1" w:rsidRDefault="008D0CAD" w:rsidP="00EA6CB9">
            <w:pPr>
              <w:spacing w:before="100" w:beforeAutospacing="1" w:after="100" w:afterAutospacing="1" w:line="360" w:lineRule="auto"/>
              <w:rPr>
                <w:rFonts w:asciiTheme="majorHAnsi" w:hAnsiTheme="majorHAnsi" w:cstheme="majorHAnsi"/>
                <w:b/>
                <w:bCs/>
                <w:sz w:val="20"/>
                <w:szCs w:val="20"/>
                <w:lang w:val="en-GB"/>
              </w:rPr>
            </w:pPr>
            <w:r w:rsidRPr="00EC48C1">
              <w:rPr>
                <w:rFonts w:asciiTheme="majorHAnsi" w:hAnsiTheme="majorHAnsi" w:cstheme="majorHAnsi"/>
                <w:b/>
                <w:bCs/>
                <w:sz w:val="20"/>
                <w:szCs w:val="20"/>
                <w:lang w:val="en-GB"/>
              </w:rPr>
              <w:t>EXTERNAL FACTORS &amp; CONDITIONS AFFECTING SCHOOL OUTCOMES</w:t>
            </w:r>
          </w:p>
          <w:p w14:paraId="0F6E954A" w14:textId="77777777" w:rsidR="008D0CAD" w:rsidRPr="00EC48C1" w:rsidRDefault="008D0CAD" w:rsidP="00DD08E3">
            <w:pPr>
              <w:numPr>
                <w:ilvl w:val="0"/>
                <w:numId w:val="123"/>
              </w:numPr>
              <w:spacing w:before="100" w:beforeAutospacing="1" w:after="100" w:afterAutospacing="1" w:line="360" w:lineRule="auto"/>
              <w:contextualSpacing/>
              <w:rPr>
                <w:rFonts w:asciiTheme="majorHAnsi" w:hAnsiTheme="majorHAnsi" w:cstheme="majorHAnsi"/>
                <w:b/>
                <w:bCs/>
                <w:snapToGrid w:val="0"/>
                <w:color w:val="000000" w:themeColor="text1"/>
                <w:sz w:val="20"/>
                <w:szCs w:val="20"/>
                <w:lang w:val="en-US"/>
              </w:rPr>
            </w:pPr>
            <w:r w:rsidRPr="00EC48C1">
              <w:rPr>
                <w:rFonts w:asciiTheme="majorHAnsi" w:hAnsiTheme="majorHAnsi" w:cstheme="majorHAnsi"/>
                <w:snapToGrid w:val="0"/>
                <w:color w:val="000000" w:themeColor="text1"/>
                <w:sz w:val="20"/>
                <w:szCs w:val="20"/>
                <w:lang w:val="en-US"/>
              </w:rPr>
              <w:t>How did the following external factors and conditions [</w:t>
            </w:r>
            <w:r w:rsidRPr="00EC48C1">
              <w:rPr>
                <w:rFonts w:asciiTheme="majorHAnsi" w:hAnsiTheme="majorHAnsi" w:cstheme="majorHAnsi"/>
                <w:snapToGrid w:val="0"/>
                <w:sz w:val="20"/>
                <w:szCs w:val="20"/>
                <w:lang w:val="en-GB"/>
              </w:rPr>
              <w:t>Socio-Economic and Demographic</w:t>
            </w:r>
            <w:r w:rsidRPr="00EC48C1">
              <w:rPr>
                <w:rFonts w:asciiTheme="majorHAnsi" w:hAnsiTheme="majorHAnsi" w:cstheme="majorHAnsi"/>
                <w:snapToGrid w:val="0"/>
                <w:color w:val="000000" w:themeColor="text1"/>
                <w:sz w:val="20"/>
                <w:szCs w:val="20"/>
                <w:lang w:val="en-US"/>
              </w:rPr>
              <w:t xml:space="preserve"> / </w:t>
            </w:r>
            <w:r w:rsidRPr="00EC48C1">
              <w:rPr>
                <w:rFonts w:asciiTheme="majorHAnsi" w:hAnsiTheme="majorHAnsi" w:cstheme="majorHAnsi"/>
                <w:snapToGrid w:val="0"/>
                <w:color w:val="000000" w:themeColor="text1"/>
                <w:sz w:val="20"/>
                <w:szCs w:val="20"/>
                <w:lang w:val="en-GB"/>
              </w:rPr>
              <w:t xml:space="preserve">Physical and Geographic / </w:t>
            </w:r>
            <w:r w:rsidRPr="00EC48C1">
              <w:rPr>
                <w:rFonts w:asciiTheme="majorHAnsi" w:hAnsiTheme="majorHAnsi" w:cstheme="majorHAnsi"/>
                <w:snapToGrid w:val="0"/>
                <w:sz w:val="20"/>
                <w:szCs w:val="20"/>
                <w:lang w:val="en-GB"/>
              </w:rPr>
              <w:t>Cultural and Religious]</w:t>
            </w:r>
            <w:r w:rsidRPr="00EC48C1">
              <w:rPr>
                <w:rFonts w:asciiTheme="majorHAnsi" w:hAnsiTheme="majorHAnsi" w:cstheme="majorHAnsi"/>
                <w:snapToGrid w:val="0"/>
                <w:color w:val="000000" w:themeColor="text1"/>
                <w:sz w:val="20"/>
                <w:szCs w:val="20"/>
                <w:lang w:val="en-GB"/>
              </w:rPr>
              <w:t xml:space="preserve"> </w:t>
            </w:r>
            <w:r w:rsidRPr="00EC48C1">
              <w:rPr>
                <w:rFonts w:asciiTheme="majorHAnsi" w:hAnsiTheme="majorHAnsi" w:cstheme="majorHAnsi"/>
                <w:snapToGrid w:val="0"/>
                <w:color w:val="000000" w:themeColor="text1"/>
                <w:sz w:val="20"/>
                <w:szCs w:val="20"/>
                <w:lang w:val="en-US"/>
              </w:rPr>
              <w:t xml:space="preserve">affect </w:t>
            </w:r>
            <w:r w:rsidRPr="00EC48C1">
              <w:rPr>
                <w:rFonts w:asciiTheme="majorHAnsi" w:hAnsiTheme="majorHAnsi" w:cstheme="majorHAnsi"/>
                <w:snapToGrid w:val="0"/>
                <w:sz w:val="20"/>
                <w:szCs w:val="20"/>
                <w:lang w:val="en-GB"/>
              </w:rPr>
              <w:t>student participation and quality of teaching delivery</w:t>
            </w:r>
            <w:r w:rsidRPr="00EC48C1">
              <w:rPr>
                <w:rFonts w:asciiTheme="majorHAnsi" w:hAnsiTheme="majorHAnsi" w:cstheme="majorHAnsi"/>
                <w:snapToGrid w:val="0"/>
                <w:color w:val="000000" w:themeColor="text1"/>
                <w:sz w:val="20"/>
                <w:szCs w:val="20"/>
                <w:lang w:val="en-US"/>
              </w:rPr>
              <w:t>?</w:t>
            </w:r>
          </w:p>
          <w:p w14:paraId="2061EA9D" w14:textId="77777777" w:rsidR="008D0CAD" w:rsidRPr="00EC48C1" w:rsidRDefault="008D0CAD" w:rsidP="00DD08E3">
            <w:pPr>
              <w:numPr>
                <w:ilvl w:val="1"/>
                <w:numId w:val="123"/>
              </w:numPr>
              <w:spacing w:before="100" w:beforeAutospacing="1" w:after="100" w:afterAutospacing="1" w:line="360" w:lineRule="auto"/>
              <w:ind w:left="891" w:hanging="567"/>
              <w:contextualSpacing/>
              <w:rPr>
                <w:rFonts w:asciiTheme="majorHAnsi" w:hAnsiTheme="majorHAnsi" w:cstheme="majorHAnsi"/>
                <w:snapToGrid w:val="0"/>
                <w:color w:val="000000" w:themeColor="text1"/>
                <w:sz w:val="20"/>
                <w:szCs w:val="20"/>
                <w:lang w:val="en-US"/>
              </w:rPr>
            </w:pPr>
            <w:r w:rsidRPr="00EC48C1">
              <w:rPr>
                <w:rFonts w:asciiTheme="majorHAnsi" w:hAnsiTheme="majorHAnsi" w:cstheme="majorHAnsi"/>
                <w:snapToGrid w:val="0"/>
                <w:color w:val="000000" w:themeColor="text1"/>
                <w:sz w:val="20"/>
                <w:szCs w:val="20"/>
                <w:lang w:val="en-US"/>
              </w:rPr>
              <w:t>Why not?</w:t>
            </w:r>
          </w:p>
        </w:tc>
        <w:tc>
          <w:tcPr>
            <w:tcW w:w="2085" w:type="dxa"/>
          </w:tcPr>
          <w:p w14:paraId="67723B63"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p>
        </w:tc>
      </w:tr>
      <w:tr w:rsidR="008D0CAD" w:rsidRPr="00EC48C1" w14:paraId="34FD1EB9" w14:textId="77777777" w:rsidTr="00EC48C1">
        <w:tc>
          <w:tcPr>
            <w:tcW w:w="1816" w:type="dxa"/>
          </w:tcPr>
          <w:p w14:paraId="23CF925F" w14:textId="77777777" w:rsidR="008D0CAD" w:rsidRPr="00EC48C1"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b/>
                <w:color w:val="000000"/>
                <w:sz w:val="20"/>
                <w:szCs w:val="20"/>
                <w:lang w:val="en-US"/>
              </w:rPr>
            </w:pPr>
          </w:p>
        </w:tc>
        <w:tc>
          <w:tcPr>
            <w:tcW w:w="10767" w:type="dxa"/>
          </w:tcPr>
          <w:p w14:paraId="6D2F0F1D" w14:textId="77777777" w:rsidR="008D0CAD" w:rsidRPr="00EC48C1" w:rsidRDefault="008D0CAD" w:rsidP="00DD08E3">
            <w:pPr>
              <w:numPr>
                <w:ilvl w:val="0"/>
                <w:numId w:val="121"/>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EC48C1">
              <w:rPr>
                <w:rFonts w:asciiTheme="majorHAnsi" w:hAnsiTheme="majorHAnsi" w:cstheme="majorHAnsi"/>
                <w:snapToGrid w:val="0"/>
                <w:color w:val="000000" w:themeColor="text1"/>
                <w:sz w:val="20"/>
                <w:szCs w:val="20"/>
                <w:lang w:val="en-US"/>
              </w:rPr>
              <w:t xml:space="preserve">For </w:t>
            </w:r>
            <w:r w:rsidRPr="00EC48C1">
              <w:rPr>
                <w:rFonts w:asciiTheme="majorHAnsi" w:hAnsiTheme="majorHAnsi" w:cstheme="majorHAnsi"/>
                <w:snapToGrid w:val="0"/>
                <w:sz w:val="20"/>
                <w:szCs w:val="20"/>
                <w:lang w:val="en-GB"/>
              </w:rPr>
              <w:t>Socio-Economic and Demographic</w:t>
            </w:r>
          </w:p>
          <w:p w14:paraId="4163CC1D" w14:textId="77777777" w:rsidR="008D0CAD" w:rsidRPr="00EC48C1" w:rsidRDefault="008D0CAD" w:rsidP="00EA6CB9">
            <w:pPr>
              <w:spacing w:before="100" w:beforeAutospacing="1" w:after="100" w:afterAutospacing="1" w:line="360" w:lineRule="auto"/>
              <w:rPr>
                <w:rFonts w:asciiTheme="majorHAnsi" w:hAnsiTheme="majorHAnsi" w:cstheme="majorHAnsi"/>
                <w:color w:val="000000" w:themeColor="text1"/>
                <w:sz w:val="20"/>
                <w:szCs w:val="20"/>
                <w:lang w:val="en-US"/>
              </w:rPr>
            </w:pPr>
          </w:p>
        </w:tc>
        <w:tc>
          <w:tcPr>
            <w:tcW w:w="2085" w:type="dxa"/>
          </w:tcPr>
          <w:p w14:paraId="2C9A42B0"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r w:rsidRPr="00EC48C1">
              <w:rPr>
                <w:rFonts w:asciiTheme="majorHAnsi" w:hAnsiTheme="majorHAnsi" w:cstheme="majorHAnsi"/>
                <w:bCs/>
                <w:color w:val="000000" w:themeColor="text1"/>
                <w:sz w:val="20"/>
                <w:szCs w:val="20"/>
                <w:lang w:val="en-US"/>
              </w:rPr>
              <w:t>Refer to answer to Question No. 24</w:t>
            </w:r>
          </w:p>
        </w:tc>
      </w:tr>
      <w:tr w:rsidR="008D0CAD" w:rsidRPr="00EC48C1" w14:paraId="1DCD9787" w14:textId="77777777" w:rsidTr="00EC48C1">
        <w:tc>
          <w:tcPr>
            <w:tcW w:w="1816" w:type="dxa"/>
          </w:tcPr>
          <w:p w14:paraId="6D906F4E" w14:textId="77777777" w:rsidR="008D0CAD" w:rsidRPr="00EC48C1"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b/>
                <w:color w:val="000000"/>
                <w:sz w:val="20"/>
                <w:szCs w:val="20"/>
                <w:lang w:val="en-US"/>
              </w:rPr>
            </w:pPr>
          </w:p>
        </w:tc>
        <w:tc>
          <w:tcPr>
            <w:tcW w:w="10767" w:type="dxa"/>
          </w:tcPr>
          <w:p w14:paraId="590AE3D8" w14:textId="77777777" w:rsidR="008D0CAD" w:rsidRPr="00EC48C1" w:rsidRDefault="008D0CAD" w:rsidP="00DD08E3">
            <w:pPr>
              <w:numPr>
                <w:ilvl w:val="0"/>
                <w:numId w:val="121"/>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EC48C1">
              <w:rPr>
                <w:rFonts w:asciiTheme="majorHAnsi" w:hAnsiTheme="majorHAnsi" w:cstheme="majorHAnsi"/>
                <w:snapToGrid w:val="0"/>
                <w:color w:val="000000" w:themeColor="text1"/>
                <w:sz w:val="20"/>
                <w:szCs w:val="20"/>
                <w:lang w:val="en-US"/>
              </w:rPr>
              <w:t xml:space="preserve">For </w:t>
            </w:r>
            <w:r w:rsidRPr="00EC48C1">
              <w:rPr>
                <w:rFonts w:asciiTheme="majorHAnsi" w:hAnsiTheme="majorHAnsi" w:cstheme="majorHAnsi"/>
                <w:snapToGrid w:val="0"/>
                <w:color w:val="000000" w:themeColor="text1"/>
                <w:sz w:val="20"/>
                <w:szCs w:val="20"/>
                <w:lang w:val="en-GB"/>
              </w:rPr>
              <w:t>Physical and Geographic</w:t>
            </w:r>
            <w:r w:rsidRPr="00EC48C1">
              <w:rPr>
                <w:rFonts w:asciiTheme="majorHAnsi" w:hAnsiTheme="majorHAnsi" w:cstheme="majorHAnsi"/>
                <w:snapToGrid w:val="0"/>
                <w:color w:val="000000" w:themeColor="text1"/>
                <w:sz w:val="20"/>
                <w:szCs w:val="20"/>
                <w:lang w:val="en-US"/>
              </w:rPr>
              <w:t xml:space="preserve"> factors</w:t>
            </w:r>
          </w:p>
          <w:p w14:paraId="11D3AD83" w14:textId="77777777" w:rsidR="008D0CAD" w:rsidRPr="00EC48C1" w:rsidRDefault="008D0CAD" w:rsidP="00EA6CB9">
            <w:pPr>
              <w:widowControl w:val="0"/>
              <w:spacing w:before="100" w:beforeAutospacing="1" w:after="100" w:afterAutospacing="1" w:line="360" w:lineRule="auto"/>
              <w:ind w:left="1197"/>
              <w:rPr>
                <w:rFonts w:asciiTheme="majorHAnsi" w:hAnsiTheme="majorHAnsi" w:cstheme="majorHAnsi"/>
                <w:snapToGrid w:val="0"/>
                <w:color w:val="000000" w:themeColor="text1"/>
                <w:sz w:val="20"/>
                <w:szCs w:val="20"/>
                <w:lang w:val="en-US"/>
              </w:rPr>
            </w:pPr>
          </w:p>
        </w:tc>
        <w:tc>
          <w:tcPr>
            <w:tcW w:w="2085" w:type="dxa"/>
          </w:tcPr>
          <w:p w14:paraId="00B43E7B"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r w:rsidRPr="00EC48C1">
              <w:rPr>
                <w:rFonts w:asciiTheme="majorHAnsi" w:hAnsiTheme="majorHAnsi" w:cstheme="majorHAnsi"/>
                <w:bCs/>
                <w:color w:val="000000" w:themeColor="text1"/>
                <w:sz w:val="20"/>
                <w:szCs w:val="20"/>
                <w:lang w:val="en-US"/>
              </w:rPr>
              <w:t>Refer to answer to Question No. 25</w:t>
            </w:r>
          </w:p>
        </w:tc>
      </w:tr>
      <w:tr w:rsidR="008D0CAD" w:rsidRPr="00EC48C1" w14:paraId="05452148" w14:textId="77777777" w:rsidTr="00EC48C1">
        <w:tc>
          <w:tcPr>
            <w:tcW w:w="1816" w:type="dxa"/>
          </w:tcPr>
          <w:p w14:paraId="733ADB46"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
                <w:sz w:val="20"/>
                <w:szCs w:val="20"/>
                <w:lang w:val="en-US"/>
              </w:rPr>
            </w:pPr>
          </w:p>
        </w:tc>
        <w:tc>
          <w:tcPr>
            <w:tcW w:w="10767" w:type="dxa"/>
          </w:tcPr>
          <w:p w14:paraId="33FB11D7" w14:textId="77777777" w:rsidR="008D0CAD" w:rsidRPr="00EC48C1" w:rsidRDefault="008D0CAD" w:rsidP="00DD08E3">
            <w:pPr>
              <w:numPr>
                <w:ilvl w:val="0"/>
                <w:numId w:val="121"/>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EC48C1">
              <w:rPr>
                <w:rFonts w:asciiTheme="majorHAnsi" w:hAnsiTheme="majorHAnsi" w:cstheme="majorHAnsi"/>
                <w:snapToGrid w:val="0"/>
                <w:color w:val="000000" w:themeColor="text1"/>
                <w:sz w:val="20"/>
                <w:szCs w:val="20"/>
                <w:lang w:val="en-US"/>
              </w:rPr>
              <w:t xml:space="preserve">For </w:t>
            </w:r>
            <w:r w:rsidRPr="00EC48C1">
              <w:rPr>
                <w:rFonts w:asciiTheme="majorHAnsi" w:hAnsiTheme="majorHAnsi" w:cstheme="majorHAnsi"/>
                <w:snapToGrid w:val="0"/>
                <w:sz w:val="20"/>
                <w:szCs w:val="20"/>
                <w:lang w:val="en-GB"/>
              </w:rPr>
              <w:t>Cultural and Religious</w:t>
            </w:r>
          </w:p>
        </w:tc>
        <w:tc>
          <w:tcPr>
            <w:tcW w:w="2085" w:type="dxa"/>
          </w:tcPr>
          <w:p w14:paraId="41E83BA6"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r w:rsidRPr="00EC48C1">
              <w:rPr>
                <w:rFonts w:asciiTheme="majorHAnsi" w:hAnsiTheme="majorHAnsi" w:cstheme="majorHAnsi"/>
                <w:bCs/>
                <w:color w:val="000000" w:themeColor="text1"/>
                <w:sz w:val="20"/>
                <w:szCs w:val="20"/>
                <w:lang w:val="en-US"/>
              </w:rPr>
              <w:t>Refer to answer to Question No. 26</w:t>
            </w:r>
          </w:p>
        </w:tc>
      </w:tr>
      <w:tr w:rsidR="008D0CAD" w:rsidRPr="00EC48C1" w14:paraId="56610B84" w14:textId="77777777" w:rsidTr="00EC48C1">
        <w:trPr>
          <w:trHeight w:val="350"/>
        </w:trPr>
        <w:tc>
          <w:tcPr>
            <w:tcW w:w="1816" w:type="dxa"/>
          </w:tcPr>
          <w:p w14:paraId="481A6FB1" w14:textId="77777777" w:rsidR="008D0CAD" w:rsidRPr="00EC48C1"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b/>
                <w:color w:val="000000"/>
                <w:sz w:val="20"/>
                <w:szCs w:val="20"/>
                <w:lang w:val="en-US"/>
              </w:rPr>
            </w:pPr>
          </w:p>
        </w:tc>
        <w:tc>
          <w:tcPr>
            <w:tcW w:w="10767" w:type="dxa"/>
          </w:tcPr>
          <w:p w14:paraId="393BBD68" w14:textId="77777777" w:rsidR="008D0CAD" w:rsidRPr="00EC48C1" w:rsidRDefault="008D0CAD" w:rsidP="00DD08E3">
            <w:pPr>
              <w:numPr>
                <w:ilvl w:val="0"/>
                <w:numId w:val="123"/>
              </w:numPr>
              <w:spacing w:before="100" w:beforeAutospacing="1" w:after="100" w:afterAutospacing="1" w:line="360" w:lineRule="auto"/>
              <w:ind w:left="357" w:hanging="357"/>
              <w:rPr>
                <w:rFonts w:asciiTheme="majorHAnsi" w:hAnsiTheme="majorHAnsi" w:cstheme="majorHAnsi"/>
                <w:snapToGrid w:val="0"/>
                <w:color w:val="000000" w:themeColor="text1"/>
                <w:sz w:val="20"/>
                <w:szCs w:val="20"/>
                <w:lang w:val="en-US"/>
              </w:rPr>
            </w:pPr>
            <w:r w:rsidRPr="00EC48C1">
              <w:rPr>
                <w:rFonts w:asciiTheme="majorHAnsi" w:hAnsiTheme="majorHAnsi" w:cstheme="majorHAnsi"/>
                <w:snapToGrid w:val="0"/>
                <w:sz w:val="20"/>
                <w:szCs w:val="20"/>
                <w:lang w:val="en-GB"/>
              </w:rPr>
              <w:t xml:space="preserve">How does other external factors </w:t>
            </w:r>
            <w:r w:rsidRPr="00EC48C1">
              <w:rPr>
                <w:rFonts w:asciiTheme="majorHAnsi" w:hAnsiTheme="majorHAnsi" w:cstheme="majorHAnsi"/>
                <w:snapToGrid w:val="0"/>
                <w:color w:val="000000" w:themeColor="text1"/>
                <w:sz w:val="20"/>
                <w:szCs w:val="20"/>
                <w:lang w:val="en-GB"/>
              </w:rPr>
              <w:t xml:space="preserve">influence/affect </w:t>
            </w:r>
            <w:r w:rsidRPr="00EC48C1">
              <w:rPr>
                <w:rFonts w:asciiTheme="majorHAnsi" w:hAnsiTheme="majorHAnsi" w:cstheme="majorHAnsi"/>
                <w:snapToGrid w:val="0"/>
                <w:sz w:val="20"/>
                <w:szCs w:val="20"/>
                <w:lang w:val="en-GB"/>
              </w:rPr>
              <w:t>teaching practices in your school</w:t>
            </w:r>
            <w:r w:rsidRPr="00EC48C1">
              <w:rPr>
                <w:rFonts w:asciiTheme="majorHAnsi" w:hAnsiTheme="majorHAnsi" w:cstheme="majorHAnsi"/>
                <w:snapToGrid w:val="0"/>
                <w:color w:val="000000" w:themeColor="text1"/>
                <w:sz w:val="20"/>
                <w:szCs w:val="20"/>
                <w:lang w:val="en-GB"/>
              </w:rPr>
              <w:t xml:space="preserve">? </w:t>
            </w:r>
          </w:p>
          <w:p w14:paraId="43DE0C08" w14:textId="77777777" w:rsidR="008D0CAD" w:rsidRPr="00EC48C1" w:rsidRDefault="008D0CAD" w:rsidP="00DD08E3">
            <w:pPr>
              <w:numPr>
                <w:ilvl w:val="1"/>
                <w:numId w:val="123"/>
              </w:numPr>
              <w:spacing w:before="100" w:beforeAutospacing="1" w:after="100" w:afterAutospacing="1" w:line="360" w:lineRule="auto"/>
              <w:ind w:left="1024" w:hanging="630"/>
              <w:rPr>
                <w:rFonts w:asciiTheme="majorHAnsi" w:hAnsiTheme="majorHAnsi" w:cstheme="majorHAnsi"/>
                <w:snapToGrid w:val="0"/>
                <w:color w:val="000000" w:themeColor="text1"/>
                <w:sz w:val="20"/>
                <w:szCs w:val="20"/>
                <w:lang w:val="en-US"/>
              </w:rPr>
            </w:pPr>
            <w:r w:rsidRPr="00EC48C1">
              <w:rPr>
                <w:rFonts w:asciiTheme="majorHAnsi" w:hAnsiTheme="majorHAnsi" w:cstheme="majorHAnsi"/>
                <w:snapToGrid w:val="0"/>
                <w:color w:val="000000" w:themeColor="text1"/>
                <w:sz w:val="20"/>
                <w:szCs w:val="20"/>
                <w:lang w:val="en-GB"/>
              </w:rPr>
              <w:t xml:space="preserve">access to key resources (e.g., </w:t>
            </w:r>
            <w:r w:rsidRPr="00EC48C1">
              <w:rPr>
                <w:rFonts w:asciiTheme="majorHAnsi" w:hAnsiTheme="majorHAnsi" w:cstheme="majorHAnsi"/>
                <w:i/>
                <w:iCs/>
                <w:snapToGrid w:val="0"/>
                <w:color w:val="000000" w:themeColor="text1"/>
                <w:sz w:val="20"/>
                <w:szCs w:val="20"/>
                <w:lang w:val="en-GB"/>
              </w:rPr>
              <w:t>support/visits from supervisors, consultation with peer principals, access to training and professional development opportunities, among others</w:t>
            </w:r>
            <w:r w:rsidRPr="00EC48C1">
              <w:rPr>
                <w:rFonts w:asciiTheme="majorHAnsi" w:hAnsiTheme="majorHAnsi" w:cstheme="majorHAnsi"/>
                <w:snapToGrid w:val="0"/>
                <w:color w:val="000000" w:themeColor="text1"/>
                <w:sz w:val="20"/>
                <w:szCs w:val="20"/>
                <w:lang w:val="en-GB"/>
              </w:rPr>
              <w:t>)</w:t>
            </w:r>
            <w:r w:rsidRPr="00EC48C1">
              <w:rPr>
                <w:rFonts w:asciiTheme="majorHAnsi" w:hAnsiTheme="majorHAnsi" w:cstheme="majorHAnsi"/>
                <w:snapToGrid w:val="0"/>
                <w:sz w:val="20"/>
                <w:szCs w:val="20"/>
                <w:lang w:val="en-GB"/>
              </w:rPr>
              <w:t>?</w:t>
            </w:r>
          </w:p>
          <w:p w14:paraId="38807329" w14:textId="77777777" w:rsidR="008D0CAD" w:rsidRPr="00EC48C1" w:rsidRDefault="008D0CAD" w:rsidP="00DD08E3">
            <w:pPr>
              <w:numPr>
                <w:ilvl w:val="1"/>
                <w:numId w:val="123"/>
              </w:numPr>
              <w:spacing w:before="100" w:beforeAutospacing="1" w:after="100" w:afterAutospacing="1" w:line="360" w:lineRule="auto"/>
              <w:ind w:left="1024" w:hanging="630"/>
              <w:rPr>
                <w:rFonts w:asciiTheme="majorHAnsi" w:hAnsiTheme="majorHAnsi" w:cstheme="majorHAnsi"/>
                <w:snapToGrid w:val="0"/>
                <w:color w:val="000000" w:themeColor="text1"/>
                <w:sz w:val="20"/>
                <w:szCs w:val="20"/>
                <w:lang w:val="en-US"/>
              </w:rPr>
            </w:pPr>
            <w:r w:rsidRPr="00EC48C1">
              <w:rPr>
                <w:rFonts w:asciiTheme="majorHAnsi" w:hAnsiTheme="majorHAnsi" w:cstheme="majorHAnsi"/>
                <w:snapToGrid w:val="0"/>
                <w:color w:val="000000" w:themeColor="text1"/>
                <w:sz w:val="20"/>
                <w:szCs w:val="20"/>
                <w:lang w:val="en-GB"/>
              </w:rPr>
              <w:t>access to communications/internet and/or transportation infrastructure; and</w:t>
            </w:r>
          </w:p>
          <w:p w14:paraId="32CEC715" w14:textId="77777777" w:rsidR="008D0CAD" w:rsidRPr="00EC48C1" w:rsidRDefault="008D0CAD" w:rsidP="00DD08E3">
            <w:pPr>
              <w:numPr>
                <w:ilvl w:val="1"/>
                <w:numId w:val="123"/>
              </w:numPr>
              <w:spacing w:before="100" w:beforeAutospacing="1" w:after="100" w:afterAutospacing="1" w:line="360" w:lineRule="auto"/>
              <w:ind w:left="1024" w:hanging="630"/>
              <w:rPr>
                <w:rFonts w:asciiTheme="majorHAnsi" w:hAnsiTheme="majorHAnsi" w:cstheme="majorHAnsi"/>
                <w:snapToGrid w:val="0"/>
                <w:color w:val="000000" w:themeColor="text1"/>
                <w:sz w:val="20"/>
                <w:szCs w:val="20"/>
                <w:lang w:val="en-US"/>
              </w:rPr>
            </w:pPr>
            <w:r w:rsidRPr="00EC48C1">
              <w:rPr>
                <w:rFonts w:asciiTheme="majorHAnsi" w:hAnsiTheme="majorHAnsi" w:cstheme="majorHAnsi"/>
                <w:snapToGrid w:val="0"/>
                <w:color w:val="000000" w:themeColor="text1"/>
                <w:sz w:val="20"/>
                <w:szCs w:val="20"/>
                <w:lang w:val="en-GB"/>
              </w:rPr>
              <w:t>occurrence of natural and man-made disasters</w:t>
            </w:r>
          </w:p>
        </w:tc>
        <w:tc>
          <w:tcPr>
            <w:tcW w:w="2085" w:type="dxa"/>
          </w:tcPr>
          <w:p w14:paraId="41B84CA4"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p>
        </w:tc>
      </w:tr>
      <w:tr w:rsidR="008D0CAD" w:rsidRPr="00EC48C1" w14:paraId="54CE9A62" w14:textId="77777777" w:rsidTr="00EC48C1">
        <w:trPr>
          <w:trHeight w:val="350"/>
        </w:trPr>
        <w:tc>
          <w:tcPr>
            <w:tcW w:w="1816" w:type="dxa"/>
          </w:tcPr>
          <w:p w14:paraId="64039BEC" w14:textId="77777777" w:rsidR="008D0CAD" w:rsidRPr="00EC48C1" w:rsidRDefault="008D0CAD" w:rsidP="00DD08E3">
            <w:pPr>
              <w:numPr>
                <w:ilvl w:val="0"/>
                <w:numId w:val="135"/>
              </w:numPr>
              <w:autoSpaceDE w:val="0"/>
              <w:autoSpaceDN w:val="0"/>
              <w:adjustRightInd w:val="0"/>
              <w:spacing w:before="100" w:beforeAutospacing="1" w:after="100" w:afterAutospacing="1" w:line="360" w:lineRule="auto"/>
              <w:rPr>
                <w:rFonts w:asciiTheme="majorHAnsi" w:eastAsiaTheme="minorHAnsi" w:hAnsiTheme="majorHAnsi" w:cstheme="majorHAnsi"/>
                <w:b/>
                <w:bCs/>
                <w:color w:val="000000" w:themeColor="text1"/>
                <w:sz w:val="20"/>
                <w:szCs w:val="20"/>
                <w:lang w:val="en-US"/>
              </w:rPr>
            </w:pPr>
            <w:r w:rsidRPr="00EC48C1">
              <w:rPr>
                <w:rFonts w:asciiTheme="majorHAnsi" w:eastAsiaTheme="minorHAnsi" w:hAnsiTheme="majorHAnsi" w:cstheme="majorHAnsi"/>
                <w:b/>
                <w:color w:val="000000"/>
                <w:sz w:val="20"/>
                <w:szCs w:val="20"/>
                <w:lang w:val="en-US"/>
              </w:rPr>
              <w:t>Systemic Factors and Conditions</w:t>
            </w:r>
          </w:p>
        </w:tc>
        <w:tc>
          <w:tcPr>
            <w:tcW w:w="10767" w:type="dxa"/>
          </w:tcPr>
          <w:p w14:paraId="798185D2" w14:textId="77777777" w:rsidR="008D0CAD" w:rsidRPr="00EC48C1" w:rsidRDefault="008D0CAD" w:rsidP="00DD08E3">
            <w:pPr>
              <w:numPr>
                <w:ilvl w:val="0"/>
                <w:numId w:val="123"/>
              </w:numPr>
              <w:spacing w:before="100" w:beforeAutospacing="1" w:after="100" w:afterAutospacing="1" w:line="360" w:lineRule="auto"/>
              <w:contextualSpacing/>
              <w:rPr>
                <w:rFonts w:asciiTheme="majorHAnsi" w:hAnsiTheme="majorHAnsi" w:cstheme="majorHAnsi"/>
                <w:snapToGrid w:val="0"/>
                <w:sz w:val="20"/>
                <w:szCs w:val="20"/>
                <w:lang w:val="en-US"/>
              </w:rPr>
            </w:pPr>
            <w:r w:rsidRPr="00EC48C1">
              <w:rPr>
                <w:rFonts w:asciiTheme="majorHAnsi" w:hAnsiTheme="majorHAnsi" w:cstheme="majorHAnsi"/>
                <w:snapToGrid w:val="0"/>
                <w:sz w:val="20"/>
                <w:szCs w:val="20"/>
                <w:lang w:val="en-US"/>
              </w:rPr>
              <w:t xml:space="preserve">What </w:t>
            </w:r>
            <w:r w:rsidRPr="00EC48C1">
              <w:rPr>
                <w:rFonts w:asciiTheme="majorHAnsi" w:hAnsiTheme="majorHAnsi" w:cstheme="majorHAnsi"/>
                <w:snapToGrid w:val="0"/>
                <w:sz w:val="20"/>
                <w:szCs w:val="20"/>
                <w:u w:val="single"/>
                <w:lang w:val="en-US"/>
              </w:rPr>
              <w:t>significant</w:t>
            </w:r>
            <w:r w:rsidRPr="00EC48C1">
              <w:rPr>
                <w:rFonts w:asciiTheme="majorHAnsi" w:hAnsiTheme="majorHAnsi" w:cstheme="majorHAnsi"/>
                <w:snapToGrid w:val="0"/>
                <w:sz w:val="20"/>
                <w:szCs w:val="20"/>
                <w:lang w:val="en-US"/>
              </w:rPr>
              <w:t xml:space="preserve"> assistance and support has your school received from external public and private stakeholders (e.g. Division Office, LGU, Church or NGOs)? </w:t>
            </w:r>
            <w:r w:rsidRPr="00EC48C1">
              <w:rPr>
                <w:rFonts w:asciiTheme="majorHAnsi" w:hAnsiTheme="majorHAnsi" w:cstheme="majorHAnsi"/>
                <w:i/>
                <w:iCs/>
                <w:snapToGrid w:val="0"/>
                <w:sz w:val="20"/>
                <w:szCs w:val="20"/>
                <w:lang w:val="en-US"/>
              </w:rPr>
              <w:t>(Note: ask respondent to identify who these external stakeholders are)</w:t>
            </w:r>
          </w:p>
        </w:tc>
        <w:tc>
          <w:tcPr>
            <w:tcW w:w="2085" w:type="dxa"/>
          </w:tcPr>
          <w:p w14:paraId="78F7C85D"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p>
        </w:tc>
      </w:tr>
      <w:tr w:rsidR="008D0CAD" w:rsidRPr="00EC48C1" w14:paraId="705415DA" w14:textId="77777777" w:rsidTr="00EC48C1">
        <w:tc>
          <w:tcPr>
            <w:tcW w:w="1816" w:type="dxa"/>
          </w:tcPr>
          <w:p w14:paraId="15059285" w14:textId="77777777" w:rsidR="008D0CAD" w:rsidRPr="00EC48C1"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b/>
                <w:color w:val="000000"/>
                <w:sz w:val="20"/>
                <w:szCs w:val="20"/>
                <w:lang w:val="en-US"/>
              </w:rPr>
            </w:pPr>
          </w:p>
        </w:tc>
        <w:tc>
          <w:tcPr>
            <w:tcW w:w="10767" w:type="dxa"/>
          </w:tcPr>
          <w:p w14:paraId="11D2C7E5" w14:textId="77777777" w:rsidR="008D0CAD" w:rsidRPr="00EC48C1" w:rsidRDefault="008D0CAD" w:rsidP="00DD08E3">
            <w:pPr>
              <w:numPr>
                <w:ilvl w:val="0"/>
                <w:numId w:val="123"/>
              </w:numPr>
              <w:spacing w:before="100" w:beforeAutospacing="1" w:after="100" w:afterAutospacing="1" w:line="360" w:lineRule="auto"/>
              <w:contextualSpacing/>
              <w:rPr>
                <w:rFonts w:asciiTheme="majorHAnsi" w:hAnsiTheme="majorHAnsi" w:cstheme="majorHAnsi"/>
                <w:snapToGrid w:val="0"/>
                <w:sz w:val="20"/>
                <w:szCs w:val="20"/>
                <w:lang w:val="en-US"/>
              </w:rPr>
            </w:pPr>
            <w:r w:rsidRPr="00EC48C1">
              <w:rPr>
                <w:rFonts w:asciiTheme="majorHAnsi" w:hAnsiTheme="majorHAnsi" w:cstheme="majorHAnsi"/>
                <w:snapToGrid w:val="0"/>
                <w:sz w:val="20"/>
                <w:szCs w:val="20"/>
                <w:lang w:val="en-US"/>
              </w:rPr>
              <w:t>How did support and assistance from external stakeholders improve:</w:t>
            </w:r>
          </w:p>
          <w:p w14:paraId="5E4B4BEB" w14:textId="77777777" w:rsidR="008D0CAD" w:rsidRPr="00EC48C1" w:rsidRDefault="008D0CAD" w:rsidP="00DD08E3">
            <w:pPr>
              <w:numPr>
                <w:ilvl w:val="1"/>
                <w:numId w:val="129"/>
              </w:numPr>
              <w:spacing w:before="100" w:beforeAutospacing="1" w:after="100" w:afterAutospacing="1" w:line="360" w:lineRule="auto"/>
              <w:ind w:left="914" w:hanging="567"/>
              <w:contextualSpacing/>
              <w:rPr>
                <w:rFonts w:asciiTheme="majorHAnsi" w:hAnsiTheme="majorHAnsi" w:cstheme="majorHAnsi"/>
                <w:snapToGrid w:val="0"/>
                <w:sz w:val="20"/>
                <w:szCs w:val="20"/>
                <w:lang w:val="en-US"/>
              </w:rPr>
            </w:pPr>
            <w:r w:rsidRPr="00EC48C1">
              <w:rPr>
                <w:rFonts w:asciiTheme="majorHAnsi" w:hAnsiTheme="majorHAnsi" w:cstheme="majorHAnsi"/>
                <w:snapToGrid w:val="0"/>
                <w:color w:val="000000" w:themeColor="text1"/>
                <w:sz w:val="20"/>
                <w:szCs w:val="20"/>
                <w:lang w:val="en-US"/>
              </w:rPr>
              <w:t>Quality teaching delivery</w:t>
            </w:r>
            <w:r w:rsidRPr="00EC48C1">
              <w:rPr>
                <w:rFonts w:asciiTheme="majorHAnsi" w:hAnsiTheme="majorHAnsi" w:cstheme="majorHAnsi"/>
                <w:snapToGrid w:val="0"/>
                <w:sz w:val="20"/>
                <w:szCs w:val="20"/>
                <w:lang w:val="en-US"/>
              </w:rPr>
              <w:t>?</w:t>
            </w:r>
          </w:p>
          <w:p w14:paraId="09AC6B43" w14:textId="77777777" w:rsidR="008D0CAD" w:rsidRPr="00EC48C1" w:rsidRDefault="008D0CAD" w:rsidP="00DD08E3">
            <w:pPr>
              <w:numPr>
                <w:ilvl w:val="1"/>
                <w:numId w:val="129"/>
              </w:numPr>
              <w:spacing w:before="100" w:beforeAutospacing="1" w:after="100" w:afterAutospacing="1" w:line="360" w:lineRule="auto"/>
              <w:ind w:left="914" w:hanging="567"/>
              <w:contextualSpacing/>
              <w:rPr>
                <w:rFonts w:asciiTheme="majorHAnsi" w:hAnsiTheme="majorHAnsi" w:cstheme="majorHAnsi"/>
                <w:snapToGrid w:val="0"/>
                <w:sz w:val="20"/>
                <w:szCs w:val="20"/>
                <w:lang w:val="en-US"/>
              </w:rPr>
            </w:pPr>
            <w:r w:rsidRPr="00EC48C1">
              <w:rPr>
                <w:rFonts w:asciiTheme="majorHAnsi" w:hAnsiTheme="majorHAnsi" w:cstheme="majorHAnsi"/>
                <w:snapToGrid w:val="0"/>
                <w:sz w:val="20"/>
                <w:szCs w:val="20"/>
                <w:lang w:val="en-US"/>
              </w:rPr>
              <w:t>Decentralisation of management and accountability in basic education?</w:t>
            </w:r>
          </w:p>
          <w:p w14:paraId="369BAA9A" w14:textId="77777777" w:rsidR="008D0CAD" w:rsidRPr="00EC48C1" w:rsidRDefault="008D0CAD" w:rsidP="00DD08E3">
            <w:pPr>
              <w:numPr>
                <w:ilvl w:val="1"/>
                <w:numId w:val="129"/>
              </w:numPr>
              <w:spacing w:before="100" w:beforeAutospacing="1" w:after="100" w:afterAutospacing="1" w:line="360" w:lineRule="auto"/>
              <w:ind w:left="914" w:hanging="567"/>
              <w:contextualSpacing/>
              <w:rPr>
                <w:rFonts w:asciiTheme="majorHAnsi" w:hAnsiTheme="majorHAnsi" w:cstheme="majorHAnsi"/>
                <w:snapToGrid w:val="0"/>
                <w:sz w:val="20"/>
                <w:szCs w:val="20"/>
                <w:lang w:val="en-US"/>
              </w:rPr>
            </w:pPr>
            <w:r w:rsidRPr="00EC48C1">
              <w:rPr>
                <w:rFonts w:asciiTheme="majorHAnsi" w:hAnsiTheme="majorHAnsi" w:cstheme="majorHAnsi"/>
                <w:snapToGrid w:val="0"/>
                <w:color w:val="000000" w:themeColor="text1"/>
                <w:sz w:val="20"/>
                <w:szCs w:val="20"/>
                <w:lang w:val="en-US"/>
              </w:rPr>
              <w:t>Implementation of inclusive and responsive basic education</w:t>
            </w:r>
            <w:r w:rsidRPr="00EC48C1">
              <w:rPr>
                <w:rFonts w:asciiTheme="majorHAnsi" w:hAnsiTheme="majorHAnsi" w:cstheme="majorHAnsi"/>
                <w:snapToGrid w:val="0"/>
                <w:color w:val="000000" w:themeColor="text1"/>
                <w:sz w:val="20"/>
                <w:szCs w:val="20"/>
              </w:rPr>
              <w:t>?</w:t>
            </w:r>
          </w:p>
        </w:tc>
        <w:tc>
          <w:tcPr>
            <w:tcW w:w="2085" w:type="dxa"/>
          </w:tcPr>
          <w:p w14:paraId="0CECB7CE"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p>
        </w:tc>
      </w:tr>
      <w:tr w:rsidR="008D0CAD" w:rsidRPr="00EC48C1" w14:paraId="65EBF633" w14:textId="77777777" w:rsidTr="00EC48C1">
        <w:tc>
          <w:tcPr>
            <w:tcW w:w="1816" w:type="dxa"/>
          </w:tcPr>
          <w:p w14:paraId="64D738FD" w14:textId="77777777" w:rsidR="008D0CAD" w:rsidRPr="00EC48C1" w:rsidRDefault="008D0CAD" w:rsidP="00DD08E3">
            <w:pPr>
              <w:numPr>
                <w:ilvl w:val="0"/>
                <w:numId w:val="135"/>
              </w:numPr>
              <w:autoSpaceDE w:val="0"/>
              <w:autoSpaceDN w:val="0"/>
              <w:adjustRightInd w:val="0"/>
              <w:spacing w:before="100" w:beforeAutospacing="1" w:after="100" w:afterAutospacing="1" w:line="360" w:lineRule="auto"/>
              <w:rPr>
                <w:rFonts w:asciiTheme="majorHAnsi" w:eastAsiaTheme="minorHAnsi" w:hAnsiTheme="majorHAnsi" w:cstheme="majorHAnsi"/>
                <w:b/>
                <w:bCs/>
                <w:color w:val="000000" w:themeColor="text1"/>
                <w:sz w:val="20"/>
                <w:szCs w:val="20"/>
                <w:lang w:val="en-US"/>
              </w:rPr>
            </w:pPr>
            <w:r w:rsidRPr="00EC48C1">
              <w:rPr>
                <w:rFonts w:asciiTheme="majorHAnsi" w:eastAsiaTheme="minorHAnsi" w:hAnsiTheme="majorHAnsi" w:cstheme="majorHAnsi"/>
                <w:b/>
                <w:color w:val="000000"/>
                <w:sz w:val="20"/>
                <w:szCs w:val="20"/>
                <w:lang w:val="en-US"/>
              </w:rPr>
              <w:t xml:space="preserve">Others </w:t>
            </w:r>
          </w:p>
        </w:tc>
        <w:tc>
          <w:tcPr>
            <w:tcW w:w="10767" w:type="dxa"/>
          </w:tcPr>
          <w:p w14:paraId="2FB23839" w14:textId="77777777" w:rsidR="008D0CAD" w:rsidRPr="00EC48C1" w:rsidRDefault="008D0CAD" w:rsidP="00DD08E3">
            <w:pPr>
              <w:numPr>
                <w:ilvl w:val="0"/>
                <w:numId w:val="123"/>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EC48C1">
              <w:rPr>
                <w:rFonts w:asciiTheme="majorHAnsi" w:hAnsiTheme="majorHAnsi" w:cstheme="majorHAnsi"/>
                <w:snapToGrid w:val="0"/>
                <w:color w:val="000000" w:themeColor="text1"/>
                <w:sz w:val="20"/>
                <w:szCs w:val="20"/>
              </w:rPr>
              <w:t>What are some of the key factors that drive/facilitate:</w:t>
            </w:r>
          </w:p>
          <w:p w14:paraId="6323B547" w14:textId="77777777" w:rsidR="008D0CAD" w:rsidRPr="00EC48C1" w:rsidRDefault="008D0CAD" w:rsidP="00DD08E3">
            <w:pPr>
              <w:numPr>
                <w:ilvl w:val="1"/>
                <w:numId w:val="130"/>
              </w:numPr>
              <w:spacing w:before="100" w:beforeAutospacing="1" w:after="100" w:afterAutospacing="1" w:line="360" w:lineRule="auto"/>
              <w:ind w:left="914" w:hanging="567"/>
              <w:contextualSpacing/>
              <w:rPr>
                <w:rFonts w:asciiTheme="majorHAnsi" w:hAnsiTheme="majorHAnsi" w:cstheme="majorHAnsi"/>
                <w:snapToGrid w:val="0"/>
                <w:color w:val="000000" w:themeColor="text1"/>
                <w:sz w:val="20"/>
                <w:szCs w:val="20"/>
                <w:lang w:val="en-US"/>
              </w:rPr>
            </w:pPr>
            <w:r w:rsidRPr="00EC48C1">
              <w:rPr>
                <w:rFonts w:asciiTheme="majorHAnsi" w:hAnsiTheme="majorHAnsi" w:cstheme="majorHAnsi"/>
                <w:snapToGrid w:val="0"/>
                <w:color w:val="000000" w:themeColor="text1"/>
                <w:sz w:val="20"/>
                <w:szCs w:val="20"/>
                <w:lang w:val="en-US"/>
              </w:rPr>
              <w:t>Quality teaching delivery</w:t>
            </w:r>
            <w:r w:rsidRPr="00EC48C1">
              <w:rPr>
                <w:rFonts w:asciiTheme="majorHAnsi" w:hAnsiTheme="majorHAnsi" w:cstheme="majorHAnsi"/>
                <w:snapToGrid w:val="0"/>
                <w:sz w:val="20"/>
                <w:szCs w:val="20"/>
                <w:lang w:val="en-US"/>
              </w:rPr>
              <w:t>?</w:t>
            </w:r>
          </w:p>
          <w:p w14:paraId="6BEE4513" w14:textId="77777777" w:rsidR="008D0CAD" w:rsidRPr="00EC48C1" w:rsidRDefault="008D0CAD" w:rsidP="00DD08E3">
            <w:pPr>
              <w:numPr>
                <w:ilvl w:val="1"/>
                <w:numId w:val="130"/>
              </w:numPr>
              <w:spacing w:before="100" w:beforeAutospacing="1" w:after="100" w:afterAutospacing="1" w:line="360" w:lineRule="auto"/>
              <w:ind w:left="914" w:hanging="567"/>
              <w:contextualSpacing/>
              <w:rPr>
                <w:rFonts w:asciiTheme="majorHAnsi" w:hAnsiTheme="majorHAnsi" w:cstheme="majorHAnsi"/>
                <w:snapToGrid w:val="0"/>
                <w:color w:val="000000" w:themeColor="text1"/>
                <w:sz w:val="20"/>
                <w:szCs w:val="20"/>
                <w:lang w:val="en-US"/>
              </w:rPr>
            </w:pPr>
            <w:r w:rsidRPr="00EC48C1">
              <w:rPr>
                <w:rFonts w:asciiTheme="majorHAnsi" w:hAnsiTheme="majorHAnsi" w:cstheme="majorHAnsi"/>
                <w:snapToGrid w:val="0"/>
                <w:color w:val="000000" w:themeColor="text1"/>
                <w:sz w:val="20"/>
                <w:szCs w:val="20"/>
                <w:lang w:val="en-US"/>
              </w:rPr>
              <w:t>Decentralisation of management and accountability?</w:t>
            </w:r>
          </w:p>
          <w:p w14:paraId="2EDCD367" w14:textId="77777777" w:rsidR="008D0CAD" w:rsidRPr="00EC48C1" w:rsidRDefault="008D0CAD" w:rsidP="00DD08E3">
            <w:pPr>
              <w:numPr>
                <w:ilvl w:val="1"/>
                <w:numId w:val="130"/>
              </w:numPr>
              <w:spacing w:before="100" w:beforeAutospacing="1" w:after="100" w:afterAutospacing="1" w:line="360" w:lineRule="auto"/>
              <w:ind w:left="914" w:hanging="567"/>
              <w:contextualSpacing/>
              <w:rPr>
                <w:rFonts w:asciiTheme="majorHAnsi" w:hAnsiTheme="majorHAnsi" w:cstheme="majorHAnsi"/>
                <w:snapToGrid w:val="0"/>
                <w:color w:val="000000" w:themeColor="text1"/>
                <w:sz w:val="20"/>
                <w:szCs w:val="20"/>
                <w:lang w:val="en-US"/>
              </w:rPr>
            </w:pPr>
            <w:r w:rsidRPr="00EC48C1">
              <w:rPr>
                <w:rFonts w:asciiTheme="majorHAnsi" w:hAnsiTheme="majorHAnsi" w:cstheme="majorHAnsi"/>
                <w:snapToGrid w:val="0"/>
                <w:color w:val="000000" w:themeColor="text1"/>
                <w:sz w:val="20"/>
                <w:szCs w:val="20"/>
                <w:lang w:val="en-US"/>
              </w:rPr>
              <w:t>Implementation of inclusive and responsive basic education</w:t>
            </w:r>
            <w:r w:rsidRPr="00EC48C1">
              <w:rPr>
                <w:rFonts w:asciiTheme="majorHAnsi" w:hAnsiTheme="majorHAnsi" w:cstheme="majorHAnsi"/>
                <w:snapToGrid w:val="0"/>
                <w:color w:val="000000" w:themeColor="text1"/>
                <w:sz w:val="20"/>
                <w:szCs w:val="20"/>
              </w:rPr>
              <w:t>?</w:t>
            </w:r>
          </w:p>
        </w:tc>
        <w:tc>
          <w:tcPr>
            <w:tcW w:w="2085" w:type="dxa"/>
          </w:tcPr>
          <w:p w14:paraId="68A6E6AA" w14:textId="77777777" w:rsidR="008D0CAD" w:rsidRPr="00EC48C1"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p>
        </w:tc>
      </w:tr>
      <w:tr w:rsidR="008D0CAD" w:rsidRPr="00CF6064" w14:paraId="703EA7CF" w14:textId="77777777" w:rsidTr="00EC48C1">
        <w:tc>
          <w:tcPr>
            <w:tcW w:w="1816" w:type="dxa"/>
          </w:tcPr>
          <w:p w14:paraId="2850F8B1" w14:textId="77777777" w:rsidR="008D0CAD" w:rsidRPr="00EC48C1" w:rsidRDefault="008D0CAD" w:rsidP="00EA6CB9">
            <w:pPr>
              <w:autoSpaceDE w:val="0"/>
              <w:autoSpaceDN w:val="0"/>
              <w:adjustRightInd w:val="0"/>
              <w:spacing w:before="100" w:beforeAutospacing="1" w:after="100" w:afterAutospacing="1" w:line="360" w:lineRule="auto"/>
              <w:rPr>
                <w:rFonts w:asciiTheme="majorHAnsi" w:eastAsiaTheme="minorHAnsi" w:hAnsiTheme="majorHAnsi" w:cstheme="majorHAnsi"/>
                <w:b/>
                <w:color w:val="000000"/>
                <w:sz w:val="20"/>
                <w:szCs w:val="20"/>
                <w:lang w:val="en-US"/>
              </w:rPr>
            </w:pPr>
          </w:p>
        </w:tc>
        <w:tc>
          <w:tcPr>
            <w:tcW w:w="10767" w:type="dxa"/>
          </w:tcPr>
          <w:p w14:paraId="456162EF" w14:textId="77777777" w:rsidR="008D0CAD" w:rsidRPr="00EC48C1" w:rsidRDefault="008D0CAD" w:rsidP="00DD08E3">
            <w:pPr>
              <w:numPr>
                <w:ilvl w:val="0"/>
                <w:numId w:val="123"/>
              </w:numPr>
              <w:spacing w:before="100" w:beforeAutospacing="1" w:after="100" w:afterAutospacing="1" w:line="360" w:lineRule="auto"/>
              <w:contextualSpacing/>
              <w:rPr>
                <w:rFonts w:asciiTheme="majorHAnsi" w:hAnsiTheme="majorHAnsi" w:cstheme="majorHAnsi"/>
                <w:snapToGrid w:val="0"/>
                <w:color w:val="000000" w:themeColor="text1"/>
                <w:sz w:val="20"/>
                <w:szCs w:val="20"/>
                <w:lang w:val="en-US"/>
              </w:rPr>
            </w:pPr>
            <w:r w:rsidRPr="00EC48C1">
              <w:rPr>
                <w:rFonts w:asciiTheme="majorHAnsi" w:hAnsiTheme="majorHAnsi" w:cstheme="majorHAnsi"/>
                <w:snapToGrid w:val="0"/>
                <w:color w:val="000000" w:themeColor="text1"/>
                <w:sz w:val="20"/>
                <w:szCs w:val="20"/>
              </w:rPr>
              <w:t>What are some of the remaining hindrances to:</w:t>
            </w:r>
          </w:p>
          <w:p w14:paraId="441D5359" w14:textId="77777777" w:rsidR="008D0CAD" w:rsidRPr="00EC48C1" w:rsidRDefault="008D0CAD" w:rsidP="00DD08E3">
            <w:pPr>
              <w:numPr>
                <w:ilvl w:val="1"/>
                <w:numId w:val="131"/>
              </w:numPr>
              <w:spacing w:before="100" w:beforeAutospacing="1" w:after="100" w:afterAutospacing="1" w:line="360" w:lineRule="auto"/>
              <w:ind w:left="914" w:hanging="567"/>
              <w:contextualSpacing/>
              <w:rPr>
                <w:rFonts w:asciiTheme="majorHAnsi" w:hAnsiTheme="majorHAnsi" w:cstheme="majorHAnsi"/>
                <w:snapToGrid w:val="0"/>
                <w:color w:val="000000" w:themeColor="text1"/>
                <w:sz w:val="20"/>
                <w:szCs w:val="20"/>
                <w:lang w:val="en-US"/>
              </w:rPr>
            </w:pPr>
            <w:r w:rsidRPr="00EC48C1">
              <w:rPr>
                <w:rFonts w:asciiTheme="majorHAnsi" w:hAnsiTheme="majorHAnsi" w:cstheme="majorHAnsi"/>
                <w:snapToGrid w:val="0"/>
                <w:color w:val="000000" w:themeColor="text1"/>
                <w:sz w:val="20"/>
                <w:szCs w:val="20"/>
                <w:lang w:val="en-US"/>
              </w:rPr>
              <w:t>Quality teaching delivery</w:t>
            </w:r>
            <w:r w:rsidRPr="00EC48C1">
              <w:rPr>
                <w:rFonts w:asciiTheme="majorHAnsi" w:hAnsiTheme="majorHAnsi" w:cstheme="majorHAnsi"/>
                <w:snapToGrid w:val="0"/>
                <w:sz w:val="20"/>
                <w:szCs w:val="20"/>
                <w:lang w:val="en-US"/>
              </w:rPr>
              <w:t>?</w:t>
            </w:r>
          </w:p>
          <w:p w14:paraId="34136615" w14:textId="77777777" w:rsidR="008D0CAD" w:rsidRPr="00EC48C1" w:rsidRDefault="008D0CAD" w:rsidP="00DD08E3">
            <w:pPr>
              <w:numPr>
                <w:ilvl w:val="1"/>
                <w:numId w:val="131"/>
              </w:numPr>
              <w:spacing w:before="100" w:beforeAutospacing="1" w:after="100" w:afterAutospacing="1" w:line="360" w:lineRule="auto"/>
              <w:ind w:left="914" w:hanging="567"/>
              <w:contextualSpacing/>
              <w:rPr>
                <w:rFonts w:asciiTheme="majorHAnsi" w:hAnsiTheme="majorHAnsi" w:cstheme="majorHAnsi"/>
                <w:snapToGrid w:val="0"/>
                <w:color w:val="000000" w:themeColor="text1"/>
                <w:sz w:val="20"/>
                <w:szCs w:val="20"/>
                <w:lang w:val="en-US"/>
              </w:rPr>
            </w:pPr>
            <w:r w:rsidRPr="00EC48C1">
              <w:rPr>
                <w:rFonts w:asciiTheme="majorHAnsi" w:hAnsiTheme="majorHAnsi" w:cstheme="majorHAnsi"/>
                <w:snapToGrid w:val="0"/>
                <w:color w:val="000000" w:themeColor="text1"/>
                <w:sz w:val="20"/>
                <w:szCs w:val="20"/>
                <w:lang w:val="en-US"/>
              </w:rPr>
              <w:t>Decentralisation of management and accountability?</w:t>
            </w:r>
          </w:p>
          <w:p w14:paraId="67400AEB" w14:textId="77777777" w:rsidR="008D0CAD" w:rsidRPr="00EC48C1" w:rsidRDefault="008D0CAD" w:rsidP="00DD08E3">
            <w:pPr>
              <w:numPr>
                <w:ilvl w:val="1"/>
                <w:numId w:val="131"/>
              </w:numPr>
              <w:spacing w:before="100" w:beforeAutospacing="1" w:after="100" w:afterAutospacing="1" w:line="360" w:lineRule="auto"/>
              <w:ind w:left="914" w:hanging="567"/>
              <w:contextualSpacing/>
              <w:rPr>
                <w:rFonts w:asciiTheme="majorHAnsi" w:hAnsiTheme="majorHAnsi" w:cstheme="majorHAnsi"/>
                <w:snapToGrid w:val="0"/>
                <w:color w:val="000000" w:themeColor="text1"/>
                <w:sz w:val="20"/>
                <w:szCs w:val="20"/>
                <w:lang w:val="en-US"/>
              </w:rPr>
            </w:pPr>
            <w:r w:rsidRPr="00EC48C1">
              <w:rPr>
                <w:rFonts w:asciiTheme="majorHAnsi" w:hAnsiTheme="majorHAnsi" w:cstheme="majorHAnsi"/>
                <w:snapToGrid w:val="0"/>
                <w:color w:val="000000" w:themeColor="text1"/>
                <w:sz w:val="20"/>
                <w:szCs w:val="20"/>
                <w:lang w:val="en-US"/>
              </w:rPr>
              <w:t>Implementation of inclusive and responsive basic education</w:t>
            </w:r>
            <w:r w:rsidRPr="00EC48C1">
              <w:rPr>
                <w:rFonts w:asciiTheme="majorHAnsi" w:hAnsiTheme="majorHAnsi" w:cstheme="majorHAnsi"/>
                <w:snapToGrid w:val="0"/>
                <w:color w:val="000000" w:themeColor="text1"/>
                <w:sz w:val="20"/>
                <w:szCs w:val="20"/>
              </w:rPr>
              <w:t xml:space="preserve">? </w:t>
            </w:r>
          </w:p>
        </w:tc>
        <w:tc>
          <w:tcPr>
            <w:tcW w:w="2085" w:type="dxa"/>
          </w:tcPr>
          <w:p w14:paraId="1EEFCAAA" w14:textId="77777777" w:rsidR="008D0CAD" w:rsidRPr="00CF6064" w:rsidRDefault="008D0CAD" w:rsidP="00EA6CB9">
            <w:pPr>
              <w:widowControl w:val="0"/>
              <w:spacing w:before="100" w:beforeAutospacing="1" w:after="100" w:afterAutospacing="1" w:line="360" w:lineRule="auto"/>
              <w:rPr>
                <w:rFonts w:asciiTheme="majorHAnsi" w:hAnsiTheme="majorHAnsi" w:cstheme="majorHAnsi"/>
                <w:bCs/>
                <w:color w:val="000000" w:themeColor="text1"/>
                <w:sz w:val="20"/>
                <w:szCs w:val="20"/>
                <w:lang w:val="en-US"/>
              </w:rPr>
            </w:pPr>
          </w:p>
        </w:tc>
      </w:tr>
    </w:tbl>
    <w:p w14:paraId="2EB8980D" w14:textId="77777777" w:rsidR="008D0CAD" w:rsidRPr="00CF6064" w:rsidRDefault="008D0CAD" w:rsidP="002320B3">
      <w:pPr>
        <w:rPr>
          <w:lang w:val="en-US"/>
        </w:rPr>
      </w:pPr>
    </w:p>
    <w:p w14:paraId="7AADFB44" w14:textId="77777777" w:rsidR="008D0CAD" w:rsidRDefault="008D0CAD" w:rsidP="002320B3">
      <w:pPr>
        <w:rPr>
          <w:rFonts w:asciiTheme="majorHAnsi" w:hAnsiTheme="majorHAnsi" w:cstheme="majorHAnsi"/>
        </w:rPr>
        <w:sectPr w:rsidR="008D0CAD" w:rsidSect="009C64E9">
          <w:pgSz w:w="16840" w:h="11900" w:orient="landscape"/>
          <w:pgMar w:top="720" w:right="720" w:bottom="720" w:left="720" w:header="720" w:footer="720" w:gutter="0"/>
          <w:cols w:space="720"/>
          <w:docGrid w:linePitch="360"/>
        </w:sectPr>
      </w:pPr>
    </w:p>
    <w:p w14:paraId="7F8D6A04" w14:textId="401260B9" w:rsidR="008D0CAD" w:rsidRPr="006F3D3B" w:rsidRDefault="008D0CAD" w:rsidP="00DD08E3">
      <w:pPr>
        <w:pStyle w:val="Heading2"/>
        <w:numPr>
          <w:ilvl w:val="0"/>
          <w:numId w:val="0"/>
        </w:numPr>
        <w:spacing w:before="100" w:beforeAutospacing="1" w:after="100" w:afterAutospacing="1" w:line="360" w:lineRule="auto"/>
        <w:ind w:left="1288" w:hanging="720"/>
      </w:pPr>
      <w:bookmarkStart w:id="312" w:name="_Toc39938390"/>
      <w:bookmarkStart w:id="313" w:name="_Toc69820495"/>
      <w:r w:rsidRPr="006F3D3B">
        <w:t>Annex P.</w:t>
      </w:r>
      <w:r w:rsidR="00D434EB">
        <w:t xml:space="preserve"> </w:t>
      </w:r>
      <w:r w:rsidRPr="006F3D3B">
        <w:t>2020 KAU Survey Tool</w:t>
      </w:r>
      <w:bookmarkEnd w:id="312"/>
      <w:bookmarkEnd w:id="313"/>
    </w:p>
    <w:p w14:paraId="18E2B917" w14:textId="77777777" w:rsidR="008D0CAD" w:rsidRPr="006F3D3B" w:rsidRDefault="008D0CAD" w:rsidP="00DD08E3">
      <w:pPr>
        <w:spacing w:before="100" w:beforeAutospacing="1" w:after="100" w:afterAutospacing="1" w:line="360" w:lineRule="auto"/>
        <w:rPr>
          <w:rFonts w:asciiTheme="majorHAnsi" w:hAnsiTheme="majorHAnsi" w:cstheme="majorHAnsi"/>
          <w:b/>
          <w:sz w:val="22"/>
          <w:szCs w:val="22"/>
          <w:lang w:val="en-US"/>
        </w:rPr>
      </w:pPr>
      <w:r w:rsidRPr="006F3D3B">
        <w:rPr>
          <w:rFonts w:asciiTheme="majorHAnsi" w:hAnsiTheme="majorHAnsi" w:cstheme="majorHAnsi"/>
          <w:b/>
          <w:bCs/>
          <w:color w:val="000000"/>
          <w:sz w:val="22"/>
          <w:szCs w:val="22"/>
          <w:lang w:val="en-US"/>
        </w:rPr>
        <w:t xml:space="preserve">A </w:t>
      </w:r>
      <w:r w:rsidRPr="006F3D3B">
        <w:rPr>
          <w:rFonts w:asciiTheme="majorHAnsi" w:hAnsiTheme="majorHAnsi" w:cstheme="majorHAnsi"/>
          <w:b/>
          <w:sz w:val="22"/>
          <w:szCs w:val="22"/>
          <w:lang w:val="en-US"/>
        </w:rPr>
        <w:t>Self-Assessment Tool on Basic Education Reforms</w:t>
      </w:r>
      <w:r w:rsidRPr="006F3D3B">
        <w:rPr>
          <w:rFonts w:asciiTheme="majorHAnsi" w:hAnsiTheme="majorHAnsi" w:cstheme="majorHAnsi"/>
          <w:b/>
          <w:sz w:val="22"/>
          <w:szCs w:val="22"/>
          <w:vertAlign w:val="superscript"/>
          <w:lang w:val="en-US"/>
        </w:rPr>
        <w:t xml:space="preserve"> </w:t>
      </w:r>
      <w:r w:rsidRPr="006F3D3B">
        <w:rPr>
          <w:rFonts w:asciiTheme="majorHAnsi" w:hAnsiTheme="majorHAnsi" w:cstheme="majorHAnsi"/>
          <w:b/>
          <w:sz w:val="22"/>
          <w:szCs w:val="22"/>
          <w:vertAlign w:val="superscript"/>
          <w:lang w:val="en-US"/>
        </w:rPr>
        <w:footnoteReference w:id="134"/>
      </w:r>
    </w:p>
    <w:p w14:paraId="49097016" w14:textId="4296AD82" w:rsidR="008D0CAD" w:rsidRPr="00DD08E3" w:rsidRDefault="008D0CAD" w:rsidP="00DD08E3">
      <w:pPr>
        <w:spacing w:before="100" w:beforeAutospacing="1" w:after="100" w:afterAutospacing="1" w:line="360" w:lineRule="auto"/>
        <w:rPr>
          <w:rFonts w:asciiTheme="majorHAnsi" w:hAnsiTheme="majorHAnsi" w:cstheme="majorHAnsi"/>
          <w:b/>
          <w:bCs/>
          <w:sz w:val="22"/>
          <w:szCs w:val="22"/>
          <w:lang w:val="en-US"/>
        </w:rPr>
      </w:pPr>
      <w:r w:rsidRPr="006F3D3B">
        <w:rPr>
          <w:rFonts w:asciiTheme="majorHAnsi" w:hAnsiTheme="majorHAnsi" w:cstheme="majorHAnsi"/>
          <w:b/>
          <w:bCs/>
          <w:sz w:val="22"/>
          <w:szCs w:val="22"/>
          <w:lang w:val="en-US"/>
        </w:rPr>
        <w:t>(Principals/School Heads and Teachers)</w:t>
      </w:r>
    </w:p>
    <w:p w14:paraId="0A1DCFFE" w14:textId="37AA0EE0" w:rsidR="008D0CAD" w:rsidRPr="006F3D3B" w:rsidRDefault="008D0CAD" w:rsidP="00DD08E3">
      <w:pPr>
        <w:spacing w:before="100" w:beforeAutospacing="1" w:after="100" w:afterAutospacing="1" w:line="360" w:lineRule="auto"/>
        <w:rPr>
          <w:rFonts w:asciiTheme="majorHAnsi" w:hAnsiTheme="majorHAnsi" w:cstheme="majorHAnsi"/>
          <w:sz w:val="22"/>
          <w:szCs w:val="22"/>
          <w:lang w:val="en-US"/>
        </w:rPr>
      </w:pPr>
      <w:r w:rsidRPr="006F3D3B">
        <w:rPr>
          <w:rFonts w:asciiTheme="majorHAnsi" w:hAnsiTheme="majorHAnsi" w:cstheme="majorHAnsi"/>
          <w:b/>
          <w:sz w:val="22"/>
          <w:szCs w:val="22"/>
          <w:lang w:val="en-US"/>
        </w:rPr>
        <w:t>Background:</w:t>
      </w:r>
      <w:r w:rsidR="00D434EB">
        <w:rPr>
          <w:rFonts w:asciiTheme="majorHAnsi" w:hAnsiTheme="majorHAnsi" w:cstheme="majorHAnsi"/>
          <w:b/>
          <w:sz w:val="22"/>
          <w:szCs w:val="22"/>
          <w:lang w:val="en-US"/>
        </w:rPr>
        <w:t xml:space="preserve"> </w:t>
      </w:r>
      <w:r w:rsidRPr="006F3D3B">
        <w:rPr>
          <w:rFonts w:asciiTheme="majorHAnsi" w:hAnsiTheme="majorHAnsi" w:cstheme="majorHAnsi"/>
          <w:sz w:val="22"/>
          <w:szCs w:val="22"/>
          <w:lang w:val="en-US"/>
        </w:rPr>
        <w:t>This Self-Assessment Tool is intended to assess the awareness (knowledge and skills) and usage (behavior and practices) of selected respondents on the various policies and outputs of the reforms introduced by DepEd in the last six years.</w:t>
      </w:r>
      <w:r w:rsidR="00D434EB">
        <w:rPr>
          <w:rFonts w:asciiTheme="majorHAnsi" w:hAnsiTheme="majorHAnsi" w:cstheme="majorHAnsi"/>
          <w:sz w:val="22"/>
          <w:szCs w:val="22"/>
          <w:lang w:val="en-US"/>
        </w:rPr>
        <w:t xml:space="preserve"> </w:t>
      </w:r>
      <w:r w:rsidRPr="006F3D3B">
        <w:rPr>
          <w:rFonts w:asciiTheme="majorHAnsi" w:hAnsiTheme="majorHAnsi" w:cstheme="majorHAnsi"/>
          <w:sz w:val="22"/>
          <w:szCs w:val="22"/>
          <w:lang w:val="en-US"/>
        </w:rPr>
        <w:t xml:space="preserve">The self-assessment tool lists </w:t>
      </w:r>
      <w:r w:rsidRPr="006F3D3B">
        <w:rPr>
          <w:rFonts w:asciiTheme="majorHAnsi" w:hAnsiTheme="majorHAnsi" w:cstheme="majorHAnsi"/>
          <w:b/>
          <w:sz w:val="22"/>
          <w:szCs w:val="22"/>
          <w:lang w:val="en-US"/>
        </w:rPr>
        <w:t xml:space="preserve">13 policies </w:t>
      </w:r>
      <w:r w:rsidRPr="006F3D3B">
        <w:rPr>
          <w:rFonts w:asciiTheme="majorHAnsi" w:hAnsiTheme="majorHAnsi" w:cstheme="majorHAnsi"/>
          <w:sz w:val="22"/>
          <w:szCs w:val="22"/>
          <w:lang w:val="en-US"/>
        </w:rPr>
        <w:t xml:space="preserve">(DepEd Orders) issued from 2015 onwards, </w:t>
      </w:r>
      <w:r w:rsidRPr="006F3D3B">
        <w:rPr>
          <w:rFonts w:asciiTheme="majorHAnsi" w:hAnsiTheme="majorHAnsi" w:cstheme="majorHAnsi"/>
          <w:b/>
          <w:sz w:val="22"/>
          <w:szCs w:val="22"/>
          <w:lang w:val="en-US"/>
        </w:rPr>
        <w:t>27 materials</w:t>
      </w:r>
      <w:r w:rsidRPr="006F3D3B">
        <w:rPr>
          <w:rFonts w:asciiTheme="majorHAnsi" w:hAnsiTheme="majorHAnsi" w:cstheme="majorHAnsi"/>
          <w:sz w:val="22"/>
          <w:szCs w:val="22"/>
          <w:lang w:val="en-US"/>
        </w:rPr>
        <w:t xml:space="preserve"> produced with assistance from the BEST Program and </w:t>
      </w:r>
      <w:r w:rsidRPr="006F3D3B">
        <w:rPr>
          <w:rFonts w:asciiTheme="majorHAnsi" w:hAnsiTheme="majorHAnsi" w:cstheme="majorHAnsi"/>
          <w:b/>
          <w:sz w:val="22"/>
          <w:szCs w:val="22"/>
          <w:lang w:val="en-US"/>
        </w:rPr>
        <w:t>10 BEST Program interventions</w:t>
      </w:r>
      <w:r w:rsidRPr="006F3D3B">
        <w:rPr>
          <w:rFonts w:asciiTheme="majorHAnsi" w:hAnsiTheme="majorHAnsi" w:cstheme="majorHAnsi"/>
          <w:sz w:val="22"/>
          <w:szCs w:val="22"/>
          <w:lang w:val="en-US"/>
        </w:rPr>
        <w:t>.</w:t>
      </w:r>
      <w:r w:rsidR="00D434EB">
        <w:rPr>
          <w:rFonts w:asciiTheme="majorHAnsi" w:hAnsiTheme="majorHAnsi" w:cstheme="majorHAnsi"/>
          <w:sz w:val="22"/>
          <w:szCs w:val="22"/>
          <w:lang w:val="en-US"/>
        </w:rPr>
        <w:t xml:space="preserve"> </w:t>
      </w:r>
      <w:r w:rsidRPr="006F3D3B">
        <w:rPr>
          <w:rFonts w:asciiTheme="majorHAnsi" w:hAnsiTheme="majorHAnsi" w:cstheme="majorHAnsi"/>
          <w:sz w:val="22"/>
          <w:szCs w:val="22"/>
          <w:lang w:val="en-US"/>
        </w:rPr>
        <w:t>Outputs of the different program interventions include but is not limited to: training modules; systems guidelines; curriculum guides; learning materials; training videos; manuals; learning portal and other such outputs.</w:t>
      </w:r>
    </w:p>
    <w:p w14:paraId="34C0E824" w14:textId="7904EFDD" w:rsidR="008D0CAD" w:rsidRPr="006F3D3B" w:rsidRDefault="008D0CAD" w:rsidP="00DD08E3">
      <w:pPr>
        <w:spacing w:before="100" w:beforeAutospacing="1" w:after="100" w:afterAutospacing="1" w:line="360" w:lineRule="auto"/>
        <w:rPr>
          <w:rFonts w:asciiTheme="majorHAnsi" w:hAnsiTheme="majorHAnsi" w:cstheme="majorHAnsi"/>
          <w:sz w:val="22"/>
          <w:szCs w:val="22"/>
          <w:lang w:val="en-US"/>
        </w:rPr>
      </w:pPr>
      <w:r w:rsidRPr="006F3D3B">
        <w:rPr>
          <w:rFonts w:asciiTheme="majorHAnsi" w:hAnsiTheme="majorHAnsi" w:cstheme="majorHAnsi"/>
          <w:sz w:val="22"/>
          <w:szCs w:val="22"/>
          <w:lang w:val="en-US"/>
        </w:rPr>
        <w:t>All answers to this self-assessment tool will be kept strictly confidential.</w:t>
      </w:r>
      <w:r w:rsidR="00D434EB">
        <w:rPr>
          <w:rFonts w:asciiTheme="majorHAnsi" w:hAnsiTheme="majorHAnsi" w:cstheme="majorHAnsi"/>
          <w:sz w:val="22"/>
          <w:szCs w:val="22"/>
          <w:lang w:val="en-US"/>
        </w:rPr>
        <w:t xml:space="preserve"> </w:t>
      </w:r>
      <w:r w:rsidRPr="006F3D3B">
        <w:rPr>
          <w:rFonts w:asciiTheme="majorHAnsi" w:hAnsiTheme="majorHAnsi" w:cstheme="majorHAnsi"/>
          <w:sz w:val="22"/>
          <w:szCs w:val="22"/>
          <w:lang w:val="en-US"/>
        </w:rPr>
        <w:t>The digitised results and accomplished questionnaires will be kept at the QED-ADII Office at 22 Matipid Street, Sikatuna Village, Quezon City.</w:t>
      </w:r>
      <w:r w:rsidR="00D434EB">
        <w:rPr>
          <w:rFonts w:asciiTheme="majorHAnsi" w:hAnsiTheme="majorHAnsi" w:cstheme="majorHAnsi"/>
          <w:sz w:val="22"/>
          <w:szCs w:val="22"/>
          <w:lang w:val="en-US"/>
        </w:rPr>
        <w:t xml:space="preserve"> </w:t>
      </w:r>
      <w:r w:rsidRPr="006F3D3B">
        <w:rPr>
          <w:rFonts w:asciiTheme="majorHAnsi" w:hAnsiTheme="majorHAnsi" w:cstheme="majorHAnsi"/>
          <w:sz w:val="22"/>
          <w:szCs w:val="22"/>
          <w:lang w:val="en-US"/>
        </w:rPr>
        <w:t xml:space="preserve">Only authorised persons will have </w:t>
      </w:r>
      <w:r w:rsidRPr="006F3D3B">
        <w:rPr>
          <w:rFonts w:asciiTheme="majorHAnsi" w:hAnsiTheme="majorHAnsi" w:cstheme="majorHAnsi"/>
          <w:color w:val="000000" w:themeColor="text1"/>
          <w:sz w:val="22"/>
          <w:szCs w:val="22"/>
          <w:lang w:val="en-US"/>
        </w:rPr>
        <w:t>access to these results.</w:t>
      </w:r>
      <w:r w:rsidR="00D434EB">
        <w:rPr>
          <w:rFonts w:asciiTheme="majorHAnsi" w:hAnsiTheme="majorHAnsi" w:cstheme="majorHAnsi"/>
          <w:sz w:val="22"/>
          <w:szCs w:val="22"/>
          <w:lang w:val="en-US"/>
        </w:rPr>
        <w:t xml:space="preserve"> </w:t>
      </w:r>
      <w:r w:rsidRPr="006F3D3B">
        <w:rPr>
          <w:rFonts w:asciiTheme="majorHAnsi" w:hAnsiTheme="majorHAnsi" w:cstheme="majorHAnsi"/>
          <w:sz w:val="22"/>
          <w:szCs w:val="22"/>
          <w:lang w:val="en-US"/>
        </w:rPr>
        <w:t>It is expected that the tool will be completed within 5 to 10 minutes.</w:t>
      </w:r>
    </w:p>
    <w:p w14:paraId="111F60F3" w14:textId="037ACC3A" w:rsidR="008D0CAD" w:rsidRPr="00DD08E3" w:rsidRDefault="008D0CAD" w:rsidP="00DD08E3">
      <w:pPr>
        <w:widowControl w:val="0"/>
        <w:spacing w:before="100" w:beforeAutospacing="1" w:after="100" w:afterAutospacing="1" w:line="360" w:lineRule="auto"/>
        <w:rPr>
          <w:rFonts w:asciiTheme="majorHAnsi" w:hAnsiTheme="majorHAnsi" w:cstheme="majorHAnsi"/>
          <w:b/>
          <w:sz w:val="22"/>
          <w:szCs w:val="22"/>
          <w:lang w:val="en-US"/>
        </w:rPr>
      </w:pPr>
      <w:r w:rsidRPr="006F3D3B">
        <w:rPr>
          <w:rFonts w:asciiTheme="majorHAnsi" w:hAnsiTheme="majorHAnsi" w:cstheme="majorHAnsi"/>
          <w:b/>
          <w:lang w:val="en-US"/>
        </w:rPr>
        <w:t>Part 1.</w:t>
      </w:r>
      <w:r w:rsidR="00D434EB">
        <w:rPr>
          <w:rFonts w:asciiTheme="majorHAnsi" w:hAnsiTheme="majorHAnsi" w:cstheme="majorHAnsi"/>
          <w:b/>
          <w:sz w:val="22"/>
          <w:szCs w:val="22"/>
          <w:lang w:val="en-US"/>
        </w:rPr>
        <w:t xml:space="preserve"> </w:t>
      </w:r>
      <w:r w:rsidRPr="006F3D3B">
        <w:rPr>
          <w:rFonts w:asciiTheme="majorHAnsi" w:hAnsiTheme="majorHAnsi" w:cstheme="majorHAnsi"/>
          <w:sz w:val="22"/>
          <w:szCs w:val="22"/>
          <w:lang w:val="en-US"/>
        </w:rPr>
        <w:t>The introduction of a new or revised policy is normally intended to</w:t>
      </w:r>
      <w:r w:rsidRPr="006F3D3B">
        <w:rPr>
          <w:rFonts w:asciiTheme="majorHAnsi" w:hAnsiTheme="majorHAnsi" w:cstheme="majorHAnsi"/>
          <w:color w:val="000000" w:themeColor="text1"/>
          <w:sz w:val="22"/>
          <w:szCs w:val="22"/>
          <w:lang w:val="en-US"/>
        </w:rPr>
        <w:t xml:space="preserve"> introduce reforms towards system improvement or organisational development.</w:t>
      </w:r>
      <w:r w:rsidR="00D434EB">
        <w:rPr>
          <w:rFonts w:asciiTheme="majorHAnsi" w:hAnsiTheme="majorHAnsi" w:cstheme="majorHAnsi"/>
          <w:color w:val="000000" w:themeColor="text1"/>
          <w:sz w:val="22"/>
          <w:szCs w:val="22"/>
          <w:lang w:val="en-US"/>
        </w:rPr>
        <w:t xml:space="preserve"> </w:t>
      </w:r>
      <w:r w:rsidRPr="006F3D3B">
        <w:rPr>
          <w:rFonts w:asciiTheme="majorHAnsi" w:hAnsiTheme="majorHAnsi" w:cstheme="majorHAnsi"/>
          <w:color w:val="000000" w:themeColor="text1"/>
          <w:sz w:val="22"/>
          <w:szCs w:val="22"/>
          <w:lang w:val="en-US"/>
        </w:rPr>
        <w:t>In the last 5 to 6 years, DepEd introduced several policies that are related to the Program being evaluated.</w:t>
      </w:r>
      <w:r w:rsidR="00D434EB">
        <w:rPr>
          <w:rFonts w:asciiTheme="majorHAnsi" w:hAnsiTheme="majorHAnsi" w:cstheme="majorHAnsi"/>
          <w:color w:val="000000" w:themeColor="text1"/>
          <w:sz w:val="22"/>
          <w:szCs w:val="22"/>
          <w:lang w:val="en-US"/>
        </w:rPr>
        <w:t xml:space="preserve"> </w:t>
      </w:r>
      <w:r w:rsidRPr="006F3D3B">
        <w:rPr>
          <w:rFonts w:asciiTheme="majorHAnsi" w:hAnsiTheme="majorHAnsi" w:cstheme="majorHAnsi"/>
          <w:color w:val="000000" w:themeColor="text1"/>
          <w:sz w:val="22"/>
          <w:szCs w:val="22"/>
          <w:lang w:val="en-US"/>
        </w:rPr>
        <w:t>This part of the survey thus aims to determine the extent of diffusion and implementation of these policies.</w:t>
      </w:r>
      <w:r w:rsidR="00D434EB">
        <w:rPr>
          <w:rFonts w:asciiTheme="majorHAnsi" w:hAnsiTheme="majorHAnsi" w:cstheme="majorHAnsi"/>
          <w:color w:val="000000" w:themeColor="text1"/>
          <w:sz w:val="22"/>
          <w:szCs w:val="22"/>
          <w:lang w:val="en-US"/>
        </w:rPr>
        <w:t xml:space="preserve"> </w:t>
      </w:r>
      <w:r w:rsidRPr="006F3D3B">
        <w:rPr>
          <w:rFonts w:asciiTheme="majorHAnsi" w:hAnsiTheme="majorHAnsi" w:cstheme="majorHAnsi"/>
          <w:color w:val="000000" w:themeColor="text1"/>
          <w:sz w:val="22"/>
          <w:szCs w:val="22"/>
          <w:lang w:val="en-US"/>
        </w:rPr>
        <w:t xml:space="preserve">In assessing your knowledge and the school’s implementation of each given policy, please </w:t>
      </w:r>
      <w:r w:rsidRPr="006F3D3B">
        <w:rPr>
          <w:rFonts w:asciiTheme="majorHAnsi" w:hAnsiTheme="majorHAnsi" w:cstheme="majorHAnsi"/>
          <w:bCs/>
          <w:color w:val="000000"/>
          <w:sz w:val="22"/>
          <w:szCs w:val="22"/>
          <w:lang w:val="en-US"/>
        </w:rPr>
        <w:t>use the 4-point scale as shown below:</w:t>
      </w:r>
    </w:p>
    <w:tbl>
      <w:tblPr>
        <w:tblStyle w:val="TableGrid11"/>
        <w:tblW w:w="0" w:type="auto"/>
        <w:tblLook w:val="04A0" w:firstRow="1" w:lastRow="0" w:firstColumn="1" w:lastColumn="0" w:noHBand="0" w:noVBand="1"/>
      </w:tblPr>
      <w:tblGrid>
        <w:gridCol w:w="851"/>
        <w:gridCol w:w="4111"/>
        <w:gridCol w:w="4027"/>
      </w:tblGrid>
      <w:tr w:rsidR="008D0CAD" w:rsidRPr="006F3D3B" w14:paraId="0C18C2E2" w14:textId="77777777" w:rsidTr="001A175A">
        <w:trPr>
          <w:trHeight w:val="202"/>
          <w:tblHeader/>
        </w:trPr>
        <w:tc>
          <w:tcPr>
            <w:tcW w:w="851" w:type="dxa"/>
          </w:tcPr>
          <w:p w14:paraId="7BD6F5CF" w14:textId="77777777" w:rsidR="008D0CAD" w:rsidRPr="006F3D3B" w:rsidRDefault="008D0CAD" w:rsidP="00DD08E3">
            <w:pPr>
              <w:spacing w:before="100" w:beforeAutospacing="1" w:after="100" w:afterAutospacing="1" w:line="360" w:lineRule="auto"/>
              <w:rPr>
                <w:rFonts w:asciiTheme="majorHAnsi" w:hAnsiTheme="majorHAnsi" w:cstheme="majorHAnsi"/>
                <w:b/>
                <w:color w:val="000000" w:themeColor="text1"/>
                <w:lang w:val="en-US"/>
              </w:rPr>
            </w:pPr>
            <w:r w:rsidRPr="006F3D3B">
              <w:rPr>
                <w:rFonts w:asciiTheme="majorHAnsi" w:hAnsiTheme="majorHAnsi" w:cstheme="majorHAnsi"/>
                <w:b/>
                <w:color w:val="000000" w:themeColor="text1"/>
                <w:lang w:val="en-US"/>
              </w:rPr>
              <w:t>Score</w:t>
            </w:r>
          </w:p>
        </w:tc>
        <w:tc>
          <w:tcPr>
            <w:tcW w:w="4111" w:type="dxa"/>
          </w:tcPr>
          <w:p w14:paraId="00A0F47F" w14:textId="77777777" w:rsidR="008D0CAD" w:rsidRPr="006F3D3B" w:rsidRDefault="008D0CAD" w:rsidP="00DD08E3">
            <w:pPr>
              <w:spacing w:before="100" w:beforeAutospacing="1" w:after="100" w:afterAutospacing="1" w:line="360" w:lineRule="auto"/>
              <w:rPr>
                <w:rFonts w:asciiTheme="majorHAnsi" w:hAnsiTheme="majorHAnsi" w:cstheme="majorHAnsi"/>
                <w:b/>
                <w:color w:val="000000" w:themeColor="text1"/>
                <w:lang w:val="en-US"/>
              </w:rPr>
            </w:pPr>
            <w:r w:rsidRPr="006F3D3B">
              <w:rPr>
                <w:rFonts w:asciiTheme="majorHAnsi" w:hAnsiTheme="majorHAnsi" w:cstheme="majorHAnsi"/>
                <w:b/>
                <w:color w:val="000000" w:themeColor="text1"/>
                <w:lang w:val="en-US"/>
              </w:rPr>
              <w:t>Knowledge and Skills</w:t>
            </w:r>
          </w:p>
        </w:tc>
        <w:tc>
          <w:tcPr>
            <w:tcW w:w="4027" w:type="dxa"/>
          </w:tcPr>
          <w:p w14:paraId="39D06E00" w14:textId="77777777" w:rsidR="008D0CAD" w:rsidRPr="006F3D3B" w:rsidRDefault="008D0CAD" w:rsidP="00DD08E3">
            <w:pPr>
              <w:spacing w:before="100" w:beforeAutospacing="1" w:after="100" w:afterAutospacing="1" w:line="360" w:lineRule="auto"/>
              <w:rPr>
                <w:rFonts w:asciiTheme="majorHAnsi" w:hAnsiTheme="majorHAnsi" w:cstheme="majorHAnsi"/>
                <w:b/>
                <w:color w:val="000000" w:themeColor="text1"/>
                <w:lang w:val="en-US"/>
              </w:rPr>
            </w:pPr>
            <w:r w:rsidRPr="006F3D3B">
              <w:rPr>
                <w:rFonts w:asciiTheme="majorHAnsi" w:hAnsiTheme="majorHAnsi" w:cstheme="majorHAnsi"/>
                <w:b/>
                <w:color w:val="000000" w:themeColor="text1"/>
                <w:lang w:val="en-US"/>
              </w:rPr>
              <w:t>Behavior and Practices</w:t>
            </w:r>
          </w:p>
        </w:tc>
      </w:tr>
      <w:tr w:rsidR="008D0CAD" w:rsidRPr="006F3D3B" w14:paraId="087FE26A" w14:textId="77777777" w:rsidTr="00EC48C1">
        <w:trPr>
          <w:trHeight w:val="195"/>
        </w:trPr>
        <w:tc>
          <w:tcPr>
            <w:tcW w:w="851" w:type="dxa"/>
          </w:tcPr>
          <w:p w14:paraId="2CF8FE9E" w14:textId="77777777" w:rsidR="008D0CAD" w:rsidRPr="006F3D3B" w:rsidRDefault="008D0CAD" w:rsidP="00DD08E3">
            <w:pPr>
              <w:spacing w:before="100" w:beforeAutospacing="1" w:after="100" w:afterAutospacing="1" w:line="360" w:lineRule="auto"/>
              <w:rPr>
                <w:rFonts w:asciiTheme="majorHAnsi" w:hAnsiTheme="majorHAnsi" w:cstheme="majorHAnsi"/>
                <w:color w:val="000000" w:themeColor="text1"/>
                <w:lang w:val="en-US"/>
              </w:rPr>
            </w:pPr>
            <w:r w:rsidRPr="006F3D3B">
              <w:rPr>
                <w:rFonts w:asciiTheme="majorHAnsi" w:hAnsiTheme="majorHAnsi" w:cstheme="majorHAnsi"/>
                <w:color w:val="000000" w:themeColor="text1"/>
                <w:lang w:val="en-US"/>
              </w:rPr>
              <w:t>4</w:t>
            </w:r>
          </w:p>
        </w:tc>
        <w:tc>
          <w:tcPr>
            <w:tcW w:w="4111" w:type="dxa"/>
          </w:tcPr>
          <w:p w14:paraId="674CB4CF" w14:textId="77777777" w:rsidR="008D0CAD" w:rsidRPr="006F3D3B" w:rsidRDefault="008D0CAD" w:rsidP="00DD08E3">
            <w:pPr>
              <w:spacing w:before="100" w:beforeAutospacing="1" w:after="100" w:afterAutospacing="1" w:line="360" w:lineRule="auto"/>
              <w:rPr>
                <w:rFonts w:asciiTheme="majorHAnsi" w:hAnsiTheme="majorHAnsi" w:cstheme="majorHAnsi"/>
                <w:color w:val="000000" w:themeColor="text1"/>
                <w:lang w:val="en-US"/>
              </w:rPr>
            </w:pPr>
            <w:r w:rsidRPr="006F3D3B">
              <w:rPr>
                <w:rFonts w:asciiTheme="majorHAnsi" w:hAnsiTheme="majorHAnsi" w:cstheme="majorHAnsi"/>
                <w:lang w:val="en-US"/>
              </w:rPr>
              <w:t xml:space="preserve">I have </w:t>
            </w:r>
            <w:r w:rsidRPr="006F3D3B">
              <w:rPr>
                <w:rFonts w:asciiTheme="majorHAnsi" w:hAnsiTheme="majorHAnsi" w:cstheme="majorHAnsi"/>
                <w:b/>
                <w:lang w:val="en-US"/>
              </w:rPr>
              <w:t>comprehensive knowledge</w:t>
            </w:r>
            <w:r w:rsidRPr="006F3D3B">
              <w:rPr>
                <w:rFonts w:asciiTheme="majorHAnsi" w:hAnsiTheme="majorHAnsi" w:cstheme="majorHAnsi"/>
                <w:lang w:val="en-US"/>
              </w:rPr>
              <w:t xml:space="preserve"> about this Policy</w:t>
            </w:r>
          </w:p>
        </w:tc>
        <w:tc>
          <w:tcPr>
            <w:tcW w:w="4027" w:type="dxa"/>
          </w:tcPr>
          <w:p w14:paraId="04C158FF" w14:textId="77777777" w:rsidR="008D0CAD" w:rsidRPr="006F3D3B" w:rsidRDefault="008D0CAD" w:rsidP="00DD08E3">
            <w:pPr>
              <w:spacing w:before="100" w:beforeAutospacing="1" w:after="100" w:afterAutospacing="1" w:line="360" w:lineRule="auto"/>
              <w:rPr>
                <w:rFonts w:asciiTheme="majorHAnsi" w:hAnsiTheme="majorHAnsi" w:cstheme="majorHAnsi"/>
                <w:color w:val="000000" w:themeColor="text1"/>
                <w:lang w:val="en-US"/>
              </w:rPr>
            </w:pPr>
            <w:r w:rsidRPr="006F3D3B">
              <w:rPr>
                <w:rFonts w:asciiTheme="majorHAnsi" w:hAnsiTheme="majorHAnsi" w:cstheme="majorHAnsi"/>
                <w:color w:val="000000" w:themeColor="text1"/>
                <w:lang w:val="en-US"/>
              </w:rPr>
              <w:t xml:space="preserve">The school has </w:t>
            </w:r>
            <w:r w:rsidRPr="006F3D3B">
              <w:rPr>
                <w:rFonts w:asciiTheme="majorHAnsi" w:hAnsiTheme="majorHAnsi" w:cstheme="majorHAnsi"/>
                <w:b/>
                <w:color w:val="000000" w:themeColor="text1"/>
                <w:lang w:val="en-US"/>
              </w:rPr>
              <w:t>innovated on the implementation</w:t>
            </w:r>
            <w:r w:rsidRPr="006F3D3B">
              <w:rPr>
                <w:rFonts w:asciiTheme="majorHAnsi" w:hAnsiTheme="majorHAnsi" w:cstheme="majorHAnsi"/>
                <w:color w:val="000000" w:themeColor="text1"/>
                <w:lang w:val="en-US"/>
              </w:rPr>
              <w:t xml:space="preserve"> of this policy reform</w:t>
            </w:r>
          </w:p>
        </w:tc>
      </w:tr>
      <w:tr w:rsidR="008D0CAD" w:rsidRPr="006F3D3B" w14:paraId="2958F0DA" w14:textId="77777777" w:rsidTr="00EC48C1">
        <w:trPr>
          <w:trHeight w:val="202"/>
        </w:trPr>
        <w:tc>
          <w:tcPr>
            <w:tcW w:w="851" w:type="dxa"/>
          </w:tcPr>
          <w:p w14:paraId="2D1DC3B1" w14:textId="77777777" w:rsidR="008D0CAD" w:rsidRPr="006F3D3B" w:rsidRDefault="008D0CAD" w:rsidP="00DD08E3">
            <w:pPr>
              <w:spacing w:before="100" w:beforeAutospacing="1" w:after="100" w:afterAutospacing="1" w:line="360" w:lineRule="auto"/>
              <w:rPr>
                <w:rFonts w:asciiTheme="majorHAnsi" w:hAnsiTheme="majorHAnsi" w:cstheme="majorHAnsi"/>
                <w:color w:val="000000" w:themeColor="text1"/>
                <w:lang w:val="en-US"/>
              </w:rPr>
            </w:pPr>
            <w:r w:rsidRPr="006F3D3B">
              <w:rPr>
                <w:rFonts w:asciiTheme="majorHAnsi" w:hAnsiTheme="majorHAnsi" w:cstheme="majorHAnsi"/>
                <w:color w:val="000000" w:themeColor="text1"/>
                <w:lang w:val="en-US"/>
              </w:rPr>
              <w:t>3</w:t>
            </w:r>
          </w:p>
        </w:tc>
        <w:tc>
          <w:tcPr>
            <w:tcW w:w="4111" w:type="dxa"/>
          </w:tcPr>
          <w:p w14:paraId="69E92634" w14:textId="77777777" w:rsidR="008D0CAD" w:rsidRPr="006F3D3B" w:rsidRDefault="008D0CAD" w:rsidP="00DD08E3">
            <w:pPr>
              <w:spacing w:before="100" w:beforeAutospacing="1" w:after="100" w:afterAutospacing="1" w:line="360" w:lineRule="auto"/>
              <w:rPr>
                <w:rFonts w:asciiTheme="majorHAnsi" w:hAnsiTheme="majorHAnsi" w:cstheme="majorHAnsi"/>
                <w:color w:val="000000" w:themeColor="text1"/>
                <w:lang w:val="en-US"/>
              </w:rPr>
            </w:pPr>
            <w:r w:rsidRPr="006F3D3B">
              <w:rPr>
                <w:rFonts w:asciiTheme="majorHAnsi" w:hAnsiTheme="majorHAnsi" w:cstheme="majorHAnsi"/>
                <w:lang w:val="en-US"/>
              </w:rPr>
              <w:t xml:space="preserve">I have </w:t>
            </w:r>
            <w:r w:rsidRPr="006F3D3B">
              <w:rPr>
                <w:rFonts w:asciiTheme="majorHAnsi" w:hAnsiTheme="majorHAnsi" w:cstheme="majorHAnsi"/>
                <w:b/>
                <w:lang w:val="en-US"/>
              </w:rPr>
              <w:t>sufficient knowledge</w:t>
            </w:r>
            <w:r w:rsidRPr="006F3D3B">
              <w:rPr>
                <w:rFonts w:asciiTheme="majorHAnsi" w:hAnsiTheme="majorHAnsi" w:cstheme="majorHAnsi"/>
                <w:lang w:val="en-US"/>
              </w:rPr>
              <w:t xml:space="preserve"> about this Policy</w:t>
            </w:r>
          </w:p>
        </w:tc>
        <w:tc>
          <w:tcPr>
            <w:tcW w:w="4027" w:type="dxa"/>
          </w:tcPr>
          <w:p w14:paraId="306B8EFB" w14:textId="77777777" w:rsidR="008D0CAD" w:rsidRPr="006F3D3B" w:rsidRDefault="008D0CAD" w:rsidP="00DD08E3">
            <w:pPr>
              <w:spacing w:before="100" w:beforeAutospacing="1" w:after="100" w:afterAutospacing="1" w:line="360" w:lineRule="auto"/>
              <w:rPr>
                <w:rFonts w:asciiTheme="majorHAnsi" w:hAnsiTheme="majorHAnsi" w:cstheme="majorHAnsi"/>
                <w:color w:val="000000" w:themeColor="text1"/>
                <w:lang w:val="en-US"/>
              </w:rPr>
            </w:pPr>
            <w:r w:rsidRPr="006F3D3B">
              <w:rPr>
                <w:rFonts w:asciiTheme="majorHAnsi" w:hAnsiTheme="majorHAnsi" w:cstheme="majorHAnsi"/>
                <w:color w:val="000000" w:themeColor="text1"/>
                <w:lang w:val="en-US"/>
              </w:rPr>
              <w:t xml:space="preserve">The school has </w:t>
            </w:r>
            <w:r w:rsidRPr="006F3D3B">
              <w:rPr>
                <w:rFonts w:asciiTheme="majorHAnsi" w:hAnsiTheme="majorHAnsi" w:cstheme="majorHAnsi"/>
                <w:b/>
                <w:color w:val="000000" w:themeColor="text1"/>
                <w:lang w:val="en-US"/>
              </w:rPr>
              <w:t>fully implemented</w:t>
            </w:r>
            <w:r w:rsidRPr="006F3D3B">
              <w:rPr>
                <w:rFonts w:asciiTheme="majorHAnsi" w:hAnsiTheme="majorHAnsi" w:cstheme="majorHAnsi"/>
                <w:color w:val="000000" w:themeColor="text1"/>
                <w:lang w:val="en-US"/>
              </w:rPr>
              <w:t xml:space="preserve"> this policy</w:t>
            </w:r>
          </w:p>
        </w:tc>
      </w:tr>
      <w:tr w:rsidR="008D0CAD" w:rsidRPr="006F3D3B" w14:paraId="2DC907DB" w14:textId="77777777" w:rsidTr="00EC48C1">
        <w:trPr>
          <w:trHeight w:val="195"/>
        </w:trPr>
        <w:tc>
          <w:tcPr>
            <w:tcW w:w="851" w:type="dxa"/>
          </w:tcPr>
          <w:p w14:paraId="541CA17A" w14:textId="77777777" w:rsidR="008D0CAD" w:rsidRPr="006F3D3B" w:rsidRDefault="008D0CAD" w:rsidP="00DD08E3">
            <w:pPr>
              <w:spacing w:before="100" w:beforeAutospacing="1" w:after="100" w:afterAutospacing="1" w:line="360" w:lineRule="auto"/>
              <w:rPr>
                <w:rFonts w:asciiTheme="majorHAnsi" w:hAnsiTheme="majorHAnsi" w:cstheme="majorHAnsi"/>
                <w:color w:val="000000" w:themeColor="text1"/>
                <w:lang w:val="en-US"/>
              </w:rPr>
            </w:pPr>
            <w:r w:rsidRPr="006F3D3B">
              <w:rPr>
                <w:rFonts w:asciiTheme="majorHAnsi" w:hAnsiTheme="majorHAnsi" w:cstheme="majorHAnsi"/>
                <w:color w:val="000000" w:themeColor="text1"/>
                <w:lang w:val="en-US"/>
              </w:rPr>
              <w:t>2</w:t>
            </w:r>
          </w:p>
        </w:tc>
        <w:tc>
          <w:tcPr>
            <w:tcW w:w="4111" w:type="dxa"/>
          </w:tcPr>
          <w:p w14:paraId="696BADB1" w14:textId="77777777" w:rsidR="008D0CAD" w:rsidRPr="006F3D3B" w:rsidRDefault="008D0CAD" w:rsidP="00DD08E3">
            <w:pPr>
              <w:spacing w:before="100" w:beforeAutospacing="1" w:after="100" w:afterAutospacing="1" w:line="360" w:lineRule="auto"/>
              <w:rPr>
                <w:rFonts w:asciiTheme="majorHAnsi" w:hAnsiTheme="majorHAnsi" w:cstheme="majorHAnsi"/>
                <w:color w:val="000000" w:themeColor="text1"/>
                <w:lang w:val="en-US"/>
              </w:rPr>
            </w:pPr>
            <w:r w:rsidRPr="006F3D3B">
              <w:rPr>
                <w:rFonts w:asciiTheme="majorHAnsi" w:hAnsiTheme="majorHAnsi" w:cstheme="majorHAnsi"/>
                <w:lang w:val="en-US"/>
              </w:rPr>
              <w:t xml:space="preserve">I have </w:t>
            </w:r>
            <w:r w:rsidRPr="006F3D3B">
              <w:rPr>
                <w:rFonts w:asciiTheme="majorHAnsi" w:hAnsiTheme="majorHAnsi" w:cstheme="majorHAnsi"/>
                <w:b/>
                <w:lang w:val="en-US"/>
              </w:rPr>
              <w:t>limited knowledge</w:t>
            </w:r>
            <w:r w:rsidRPr="006F3D3B">
              <w:rPr>
                <w:rFonts w:asciiTheme="majorHAnsi" w:hAnsiTheme="majorHAnsi" w:cstheme="majorHAnsi"/>
                <w:lang w:val="en-US"/>
              </w:rPr>
              <w:t xml:space="preserve"> about this Policy</w:t>
            </w:r>
          </w:p>
        </w:tc>
        <w:tc>
          <w:tcPr>
            <w:tcW w:w="4027" w:type="dxa"/>
          </w:tcPr>
          <w:p w14:paraId="62F3607A" w14:textId="77777777" w:rsidR="008D0CAD" w:rsidRPr="006F3D3B" w:rsidRDefault="008D0CAD" w:rsidP="00DD08E3">
            <w:pPr>
              <w:spacing w:before="100" w:beforeAutospacing="1" w:after="100" w:afterAutospacing="1" w:line="360" w:lineRule="auto"/>
              <w:rPr>
                <w:rFonts w:asciiTheme="majorHAnsi" w:hAnsiTheme="majorHAnsi" w:cstheme="majorHAnsi"/>
                <w:color w:val="000000" w:themeColor="text1"/>
                <w:lang w:val="en-US"/>
              </w:rPr>
            </w:pPr>
            <w:r w:rsidRPr="006F3D3B">
              <w:rPr>
                <w:rFonts w:asciiTheme="majorHAnsi" w:hAnsiTheme="majorHAnsi" w:cstheme="majorHAnsi"/>
                <w:color w:val="000000" w:themeColor="text1"/>
                <w:lang w:val="en-US"/>
              </w:rPr>
              <w:t xml:space="preserve">The school has </w:t>
            </w:r>
            <w:r w:rsidRPr="006F3D3B">
              <w:rPr>
                <w:rFonts w:asciiTheme="majorHAnsi" w:hAnsiTheme="majorHAnsi" w:cstheme="majorHAnsi"/>
                <w:b/>
                <w:color w:val="000000" w:themeColor="text1"/>
                <w:lang w:val="en-US"/>
              </w:rPr>
              <w:t>partially implemented</w:t>
            </w:r>
            <w:r w:rsidRPr="006F3D3B">
              <w:rPr>
                <w:rFonts w:asciiTheme="majorHAnsi" w:hAnsiTheme="majorHAnsi" w:cstheme="majorHAnsi"/>
                <w:color w:val="000000" w:themeColor="text1"/>
                <w:lang w:val="en-US"/>
              </w:rPr>
              <w:t xml:space="preserve"> this policy</w:t>
            </w:r>
          </w:p>
        </w:tc>
      </w:tr>
      <w:tr w:rsidR="008D0CAD" w:rsidRPr="006F3D3B" w14:paraId="0AAD8138" w14:textId="77777777" w:rsidTr="00EC48C1">
        <w:trPr>
          <w:trHeight w:val="195"/>
        </w:trPr>
        <w:tc>
          <w:tcPr>
            <w:tcW w:w="851" w:type="dxa"/>
          </w:tcPr>
          <w:p w14:paraId="143F26BE" w14:textId="77777777" w:rsidR="008D0CAD" w:rsidRPr="006F3D3B" w:rsidRDefault="008D0CAD" w:rsidP="00DD08E3">
            <w:pPr>
              <w:spacing w:before="100" w:beforeAutospacing="1" w:after="100" w:afterAutospacing="1" w:line="360" w:lineRule="auto"/>
              <w:rPr>
                <w:rFonts w:asciiTheme="majorHAnsi" w:hAnsiTheme="majorHAnsi" w:cstheme="majorHAnsi"/>
                <w:color w:val="000000" w:themeColor="text1"/>
                <w:lang w:val="en-US"/>
              </w:rPr>
            </w:pPr>
            <w:r w:rsidRPr="006F3D3B">
              <w:rPr>
                <w:rFonts w:asciiTheme="majorHAnsi" w:hAnsiTheme="majorHAnsi" w:cstheme="majorHAnsi"/>
                <w:color w:val="000000" w:themeColor="text1"/>
                <w:lang w:val="en-US"/>
              </w:rPr>
              <w:t>1</w:t>
            </w:r>
          </w:p>
        </w:tc>
        <w:tc>
          <w:tcPr>
            <w:tcW w:w="4111" w:type="dxa"/>
          </w:tcPr>
          <w:p w14:paraId="55BDF3C1" w14:textId="77777777" w:rsidR="008D0CAD" w:rsidRPr="006F3D3B" w:rsidRDefault="008D0CAD" w:rsidP="00DD08E3">
            <w:pPr>
              <w:spacing w:before="100" w:beforeAutospacing="1" w:after="100" w:afterAutospacing="1" w:line="360" w:lineRule="auto"/>
              <w:rPr>
                <w:rFonts w:asciiTheme="majorHAnsi" w:hAnsiTheme="majorHAnsi" w:cstheme="majorHAnsi"/>
                <w:color w:val="000000" w:themeColor="text1"/>
                <w:lang w:val="en-US"/>
              </w:rPr>
            </w:pPr>
            <w:r w:rsidRPr="006F3D3B">
              <w:rPr>
                <w:rFonts w:asciiTheme="majorHAnsi" w:hAnsiTheme="majorHAnsi" w:cstheme="majorHAnsi"/>
                <w:lang w:val="en-US"/>
              </w:rPr>
              <w:t xml:space="preserve">I have </w:t>
            </w:r>
            <w:r w:rsidRPr="006F3D3B">
              <w:rPr>
                <w:rFonts w:asciiTheme="majorHAnsi" w:hAnsiTheme="majorHAnsi" w:cstheme="majorHAnsi"/>
                <w:b/>
                <w:lang w:val="en-US"/>
              </w:rPr>
              <w:t>no knowledge</w:t>
            </w:r>
            <w:r w:rsidRPr="006F3D3B">
              <w:rPr>
                <w:rFonts w:asciiTheme="majorHAnsi" w:hAnsiTheme="majorHAnsi" w:cstheme="majorHAnsi"/>
                <w:lang w:val="en-US"/>
              </w:rPr>
              <w:t xml:space="preserve"> about this Policy</w:t>
            </w:r>
          </w:p>
        </w:tc>
        <w:tc>
          <w:tcPr>
            <w:tcW w:w="4027" w:type="dxa"/>
          </w:tcPr>
          <w:p w14:paraId="733D1DCF" w14:textId="77777777" w:rsidR="008D0CAD" w:rsidRPr="006F3D3B" w:rsidRDefault="008D0CAD" w:rsidP="00DD08E3">
            <w:pPr>
              <w:spacing w:before="100" w:beforeAutospacing="1" w:after="100" w:afterAutospacing="1" w:line="360" w:lineRule="auto"/>
              <w:rPr>
                <w:rFonts w:asciiTheme="majorHAnsi" w:hAnsiTheme="majorHAnsi" w:cstheme="majorHAnsi"/>
                <w:color w:val="000000" w:themeColor="text1"/>
                <w:lang w:val="en-US"/>
              </w:rPr>
            </w:pPr>
            <w:r w:rsidRPr="006F3D3B">
              <w:rPr>
                <w:rFonts w:asciiTheme="majorHAnsi" w:hAnsiTheme="majorHAnsi" w:cstheme="majorHAnsi"/>
                <w:color w:val="000000" w:themeColor="text1"/>
                <w:lang w:val="en-US"/>
              </w:rPr>
              <w:t xml:space="preserve">The school has </w:t>
            </w:r>
            <w:r w:rsidRPr="006F3D3B">
              <w:rPr>
                <w:rFonts w:asciiTheme="majorHAnsi" w:hAnsiTheme="majorHAnsi" w:cstheme="majorHAnsi"/>
                <w:b/>
                <w:color w:val="000000" w:themeColor="text1"/>
                <w:lang w:val="en-US"/>
              </w:rPr>
              <w:t>not implemented</w:t>
            </w:r>
            <w:r w:rsidRPr="006F3D3B">
              <w:rPr>
                <w:rFonts w:asciiTheme="majorHAnsi" w:hAnsiTheme="majorHAnsi" w:cstheme="majorHAnsi"/>
                <w:color w:val="000000" w:themeColor="text1"/>
                <w:lang w:val="en-US"/>
              </w:rPr>
              <w:t xml:space="preserve"> this policy</w:t>
            </w:r>
          </w:p>
        </w:tc>
      </w:tr>
    </w:tbl>
    <w:p w14:paraId="4BAE79DC" w14:textId="77777777" w:rsidR="008D0CAD" w:rsidRDefault="008D0CAD" w:rsidP="00DD08E3">
      <w:pPr>
        <w:widowControl w:val="0"/>
        <w:spacing w:before="100" w:beforeAutospacing="1" w:after="100" w:afterAutospacing="1" w:line="360" w:lineRule="auto"/>
        <w:rPr>
          <w:rFonts w:asciiTheme="majorHAnsi" w:hAnsiTheme="majorHAnsi" w:cstheme="majorHAnsi"/>
          <w:b/>
          <w:bCs/>
          <w:color w:val="000000" w:themeColor="text1"/>
          <w:sz w:val="22"/>
          <w:szCs w:val="22"/>
          <w:lang w:val="en-US"/>
        </w:rPr>
      </w:pPr>
      <w:r w:rsidRPr="006F3D3B">
        <w:rPr>
          <w:rFonts w:asciiTheme="majorHAnsi" w:hAnsiTheme="majorHAnsi" w:cstheme="majorHAnsi"/>
          <w:b/>
          <w:sz w:val="22"/>
          <w:szCs w:val="22"/>
          <w:lang w:val="en-US"/>
        </w:rPr>
        <w:t>Instruction</w:t>
      </w:r>
      <w:r w:rsidRPr="006F3D3B">
        <w:rPr>
          <w:rFonts w:asciiTheme="majorHAnsi" w:hAnsiTheme="majorHAnsi" w:cstheme="majorHAnsi"/>
          <w:sz w:val="22"/>
          <w:szCs w:val="22"/>
          <w:lang w:val="en-US"/>
        </w:rPr>
        <w:t xml:space="preserve">: </w:t>
      </w:r>
      <w:r w:rsidRPr="006F3D3B">
        <w:rPr>
          <w:rFonts w:asciiTheme="majorHAnsi" w:hAnsiTheme="majorHAnsi" w:cstheme="majorHAnsi"/>
          <w:color w:val="000000" w:themeColor="text1"/>
          <w:sz w:val="22"/>
          <w:szCs w:val="22"/>
          <w:lang w:val="en-US"/>
        </w:rPr>
        <w:t xml:space="preserve">For each policy, please write down the corresponding score for the statement that most applies to your Knowledge, Skills, Behavior and Practices relative to these materials in the appropriate columns. </w:t>
      </w:r>
      <w:r w:rsidRPr="006F3D3B">
        <w:rPr>
          <w:rFonts w:asciiTheme="majorHAnsi" w:hAnsiTheme="majorHAnsi" w:cstheme="majorHAnsi"/>
          <w:b/>
          <w:bCs/>
          <w:color w:val="000000" w:themeColor="text1"/>
          <w:sz w:val="22"/>
          <w:szCs w:val="22"/>
          <w:lang w:val="en-US"/>
        </w:rPr>
        <w:t>Please leave the item blank if it does not apply to you.</w:t>
      </w:r>
    </w:p>
    <w:tbl>
      <w:tblPr>
        <w:tblStyle w:val="TableGrid11"/>
        <w:tblW w:w="9391" w:type="dxa"/>
        <w:tblLayout w:type="fixed"/>
        <w:tblLook w:val="04A0" w:firstRow="1" w:lastRow="0" w:firstColumn="1" w:lastColumn="0" w:noHBand="0" w:noVBand="1"/>
      </w:tblPr>
      <w:tblGrid>
        <w:gridCol w:w="6838"/>
        <w:gridCol w:w="1275"/>
        <w:gridCol w:w="1278"/>
      </w:tblGrid>
      <w:tr w:rsidR="008D0CAD" w:rsidRPr="006F3D3B" w14:paraId="6EB2FF9E" w14:textId="77777777" w:rsidTr="00F4751F">
        <w:trPr>
          <w:trHeight w:val="272"/>
          <w:tblHeader/>
        </w:trPr>
        <w:tc>
          <w:tcPr>
            <w:tcW w:w="6838" w:type="dxa"/>
            <w:tcBorders>
              <w:bottom w:val="nil"/>
            </w:tcBorders>
            <w:shd w:val="clear" w:color="auto" w:fill="E7E6E6" w:themeFill="background2"/>
          </w:tcPr>
          <w:p w14:paraId="73055E9B" w14:textId="77777777" w:rsidR="008D0CAD" w:rsidRPr="006F3D3B" w:rsidRDefault="008D0CAD" w:rsidP="00DD08E3">
            <w:pPr>
              <w:widowControl w:val="0"/>
              <w:spacing w:before="100" w:beforeAutospacing="1" w:after="100" w:afterAutospacing="1" w:line="360" w:lineRule="auto"/>
              <w:ind w:left="360" w:hanging="360"/>
              <w:rPr>
                <w:rFonts w:asciiTheme="majorHAnsi" w:hAnsiTheme="majorHAnsi" w:cstheme="majorHAnsi"/>
                <w:b/>
                <w:bCs/>
                <w:snapToGrid w:val="0"/>
                <w:color w:val="000000"/>
                <w:sz w:val="20"/>
                <w:szCs w:val="20"/>
                <w:lang w:val="en-US"/>
              </w:rPr>
            </w:pPr>
          </w:p>
        </w:tc>
        <w:tc>
          <w:tcPr>
            <w:tcW w:w="1275" w:type="dxa"/>
            <w:tcBorders>
              <w:right w:val="nil"/>
            </w:tcBorders>
            <w:shd w:val="clear" w:color="auto" w:fill="E7E6E6" w:themeFill="background2"/>
          </w:tcPr>
          <w:p w14:paraId="300B49E2" w14:textId="5CE32159" w:rsidR="008D0CAD" w:rsidRPr="006F3D3B" w:rsidRDefault="00671801" w:rsidP="00FF4CA3">
            <w:pPr>
              <w:spacing w:before="100" w:beforeAutospacing="1" w:after="100" w:afterAutospacing="1" w:line="360" w:lineRule="auto"/>
              <w:jc w:val="right"/>
              <w:rPr>
                <w:rFonts w:asciiTheme="majorHAnsi" w:hAnsiTheme="majorHAnsi" w:cstheme="majorHAnsi"/>
                <w:b/>
                <w:bCs/>
                <w:color w:val="000000"/>
                <w:sz w:val="20"/>
                <w:szCs w:val="20"/>
                <w:lang w:val="en-US"/>
              </w:rPr>
            </w:pPr>
            <w:r>
              <w:rPr>
                <w:rFonts w:asciiTheme="majorHAnsi" w:hAnsiTheme="majorHAnsi" w:cstheme="majorHAnsi"/>
                <w:b/>
                <w:color w:val="000000" w:themeColor="text1"/>
                <w:sz w:val="20"/>
                <w:szCs w:val="20"/>
                <w:lang w:val="en-US"/>
              </w:rPr>
              <w:t>Score</w:t>
            </w:r>
          </w:p>
        </w:tc>
        <w:tc>
          <w:tcPr>
            <w:tcW w:w="1278" w:type="dxa"/>
            <w:tcBorders>
              <w:left w:val="nil"/>
            </w:tcBorders>
            <w:shd w:val="clear" w:color="auto" w:fill="E7E6E6" w:themeFill="background2"/>
          </w:tcPr>
          <w:p w14:paraId="3C1E3A65" w14:textId="1083460D"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r>
      <w:tr w:rsidR="00B85CCA" w:rsidRPr="006F3D3B" w14:paraId="7F4D1083" w14:textId="77777777" w:rsidTr="00F4751F">
        <w:trPr>
          <w:trHeight w:val="272"/>
          <w:tblHeader/>
        </w:trPr>
        <w:tc>
          <w:tcPr>
            <w:tcW w:w="6838" w:type="dxa"/>
            <w:tcBorders>
              <w:top w:val="nil"/>
            </w:tcBorders>
            <w:shd w:val="clear" w:color="auto" w:fill="E7E6E6" w:themeFill="background2"/>
          </w:tcPr>
          <w:p w14:paraId="2A133E0D" w14:textId="6290B3E0" w:rsidR="00B85CCA" w:rsidRPr="006F3D3B" w:rsidRDefault="00B85CCA" w:rsidP="00FF4CA3">
            <w:pPr>
              <w:spacing w:before="100" w:beforeAutospacing="1" w:after="100" w:afterAutospacing="1" w:line="360" w:lineRule="auto"/>
              <w:ind w:left="360"/>
              <w:contextualSpacing/>
              <w:rPr>
                <w:rFonts w:asciiTheme="majorHAnsi" w:hAnsiTheme="majorHAnsi" w:cstheme="majorHAnsi"/>
                <w:snapToGrid w:val="0"/>
                <w:sz w:val="20"/>
                <w:szCs w:val="20"/>
                <w:lang w:val="en-US"/>
              </w:rPr>
            </w:pPr>
            <w:r>
              <w:rPr>
                <w:rFonts w:asciiTheme="majorHAnsi" w:hAnsiTheme="majorHAnsi" w:cstheme="majorHAnsi"/>
                <w:snapToGrid w:val="0"/>
                <w:sz w:val="20"/>
                <w:szCs w:val="20"/>
                <w:lang w:val="en-US"/>
              </w:rPr>
              <w:t>Policy</w:t>
            </w:r>
          </w:p>
        </w:tc>
        <w:tc>
          <w:tcPr>
            <w:tcW w:w="1275" w:type="dxa"/>
            <w:shd w:val="clear" w:color="auto" w:fill="E7E6E6" w:themeFill="background2"/>
          </w:tcPr>
          <w:p w14:paraId="3F405389" w14:textId="7911AB8F" w:rsidR="00B85CCA" w:rsidRPr="006F3D3B" w:rsidRDefault="00B85CCA" w:rsidP="00B85CCA">
            <w:pPr>
              <w:spacing w:before="100" w:beforeAutospacing="1" w:after="100" w:afterAutospacing="1" w:line="360" w:lineRule="auto"/>
              <w:rPr>
                <w:rFonts w:asciiTheme="majorHAnsi" w:hAnsiTheme="majorHAnsi" w:cstheme="majorHAnsi"/>
                <w:b/>
                <w:bCs/>
                <w:color w:val="000000"/>
                <w:sz w:val="20"/>
                <w:szCs w:val="20"/>
                <w:lang w:val="en-US"/>
              </w:rPr>
            </w:pPr>
            <w:r w:rsidRPr="006F3D3B">
              <w:rPr>
                <w:rFonts w:asciiTheme="majorHAnsi" w:hAnsiTheme="majorHAnsi" w:cstheme="majorHAnsi"/>
                <w:b/>
                <w:color w:val="000000" w:themeColor="text1"/>
                <w:sz w:val="20"/>
                <w:szCs w:val="20"/>
                <w:lang w:val="en-US"/>
              </w:rPr>
              <w:t>Knowledge and Skills</w:t>
            </w:r>
          </w:p>
        </w:tc>
        <w:tc>
          <w:tcPr>
            <w:tcW w:w="1278" w:type="dxa"/>
            <w:shd w:val="clear" w:color="auto" w:fill="E7E6E6" w:themeFill="background2"/>
          </w:tcPr>
          <w:p w14:paraId="21D18E4E" w14:textId="35EF9492" w:rsidR="00B85CCA" w:rsidRPr="006F3D3B" w:rsidRDefault="00B85CCA" w:rsidP="00B85CCA">
            <w:pPr>
              <w:spacing w:before="100" w:beforeAutospacing="1" w:after="100" w:afterAutospacing="1" w:line="360" w:lineRule="auto"/>
              <w:rPr>
                <w:rFonts w:asciiTheme="majorHAnsi" w:hAnsiTheme="majorHAnsi" w:cstheme="majorHAnsi"/>
                <w:b/>
                <w:bCs/>
                <w:color w:val="000000"/>
                <w:sz w:val="20"/>
                <w:szCs w:val="20"/>
                <w:lang w:val="en-US"/>
              </w:rPr>
            </w:pPr>
            <w:r w:rsidRPr="006F3D3B">
              <w:rPr>
                <w:rFonts w:asciiTheme="majorHAnsi" w:hAnsiTheme="majorHAnsi" w:cstheme="majorHAnsi"/>
                <w:b/>
                <w:color w:val="000000" w:themeColor="text1"/>
                <w:sz w:val="20"/>
                <w:szCs w:val="20"/>
                <w:lang w:val="en-US"/>
              </w:rPr>
              <w:t>Behavior and Practices</w:t>
            </w:r>
          </w:p>
        </w:tc>
      </w:tr>
      <w:tr w:rsidR="00B85CCA" w:rsidRPr="006F3D3B" w14:paraId="279AE331" w14:textId="77777777" w:rsidTr="00EC48C1">
        <w:trPr>
          <w:trHeight w:val="272"/>
        </w:trPr>
        <w:tc>
          <w:tcPr>
            <w:tcW w:w="6838" w:type="dxa"/>
          </w:tcPr>
          <w:p w14:paraId="640542D0" w14:textId="77777777" w:rsidR="00B85CCA" w:rsidRPr="006F3D3B" w:rsidRDefault="00B85CCA" w:rsidP="00B85CCA">
            <w:pPr>
              <w:numPr>
                <w:ilvl w:val="0"/>
                <w:numId w:val="136"/>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6F3D3B">
              <w:rPr>
                <w:rFonts w:asciiTheme="majorHAnsi" w:hAnsiTheme="majorHAnsi" w:cstheme="majorHAnsi"/>
                <w:snapToGrid w:val="0"/>
                <w:sz w:val="20"/>
                <w:szCs w:val="20"/>
                <w:lang w:val="en-US"/>
              </w:rPr>
              <w:t>DO No. 35, s. 2016 on “The Learning Action Cell as a K to 12 Basic Education Program School-Based Continuing professional Development Strategy for the Improvement of Teaching and Learning”</w:t>
            </w:r>
          </w:p>
        </w:tc>
        <w:tc>
          <w:tcPr>
            <w:tcW w:w="1275" w:type="dxa"/>
          </w:tcPr>
          <w:p w14:paraId="38E10D7D" w14:textId="77777777" w:rsidR="00B85CCA" w:rsidRPr="006F3D3B" w:rsidRDefault="00B85CCA" w:rsidP="00B85CCA">
            <w:pPr>
              <w:spacing w:before="100" w:beforeAutospacing="1" w:after="100" w:afterAutospacing="1" w:line="360" w:lineRule="auto"/>
              <w:rPr>
                <w:rFonts w:asciiTheme="majorHAnsi" w:hAnsiTheme="majorHAnsi" w:cstheme="majorHAnsi"/>
                <w:b/>
                <w:bCs/>
                <w:color w:val="000000"/>
                <w:sz w:val="20"/>
                <w:szCs w:val="20"/>
                <w:lang w:val="en-US"/>
              </w:rPr>
            </w:pPr>
          </w:p>
        </w:tc>
        <w:tc>
          <w:tcPr>
            <w:tcW w:w="1278" w:type="dxa"/>
          </w:tcPr>
          <w:p w14:paraId="2CCF4BC7" w14:textId="77777777" w:rsidR="00B85CCA" w:rsidRPr="006F3D3B" w:rsidRDefault="00B85CCA" w:rsidP="00B85CCA">
            <w:pPr>
              <w:spacing w:before="100" w:beforeAutospacing="1" w:after="100" w:afterAutospacing="1" w:line="360" w:lineRule="auto"/>
              <w:rPr>
                <w:rFonts w:asciiTheme="majorHAnsi" w:hAnsiTheme="majorHAnsi" w:cstheme="majorHAnsi"/>
                <w:b/>
                <w:bCs/>
                <w:color w:val="000000"/>
                <w:sz w:val="20"/>
                <w:szCs w:val="20"/>
                <w:lang w:val="en-US"/>
              </w:rPr>
            </w:pPr>
            <w:r w:rsidRPr="006F3D3B">
              <w:rPr>
                <w:rFonts w:asciiTheme="majorHAnsi" w:hAnsiTheme="majorHAnsi" w:cstheme="majorHAnsi"/>
                <w:b/>
                <w:bCs/>
                <w:color w:val="000000"/>
                <w:sz w:val="20"/>
                <w:szCs w:val="20"/>
                <w:lang w:val="en-US"/>
              </w:rPr>
              <w:t xml:space="preserve"> </w:t>
            </w:r>
          </w:p>
        </w:tc>
      </w:tr>
      <w:tr w:rsidR="00B85CCA" w:rsidRPr="006F3D3B" w14:paraId="3112A637" w14:textId="77777777" w:rsidTr="00EC48C1">
        <w:trPr>
          <w:trHeight w:val="272"/>
        </w:trPr>
        <w:tc>
          <w:tcPr>
            <w:tcW w:w="6838" w:type="dxa"/>
          </w:tcPr>
          <w:p w14:paraId="7C0A96BB" w14:textId="77777777" w:rsidR="00B85CCA" w:rsidRPr="006F3D3B" w:rsidRDefault="00B85CCA" w:rsidP="00B85CCA">
            <w:pPr>
              <w:numPr>
                <w:ilvl w:val="0"/>
                <w:numId w:val="136"/>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6F3D3B">
              <w:rPr>
                <w:rFonts w:asciiTheme="majorHAnsi" w:hAnsiTheme="majorHAnsi" w:cstheme="majorHAnsi"/>
                <w:snapToGrid w:val="0"/>
                <w:sz w:val="20"/>
                <w:szCs w:val="20"/>
                <w:lang w:val="en-US"/>
              </w:rPr>
              <w:t>DO No. 55, s. 2015 on the “Utilisation of Language Mapping Data for Mother Tongue-Based Multilingual Education (MTB-MLE) Program Implementation”</w:t>
            </w:r>
          </w:p>
        </w:tc>
        <w:tc>
          <w:tcPr>
            <w:tcW w:w="1275" w:type="dxa"/>
          </w:tcPr>
          <w:p w14:paraId="3D456C29" w14:textId="77777777" w:rsidR="00B85CCA" w:rsidRPr="006F3D3B" w:rsidRDefault="00B85CCA" w:rsidP="00B85CCA">
            <w:pPr>
              <w:spacing w:before="100" w:beforeAutospacing="1" w:after="100" w:afterAutospacing="1" w:line="360" w:lineRule="auto"/>
              <w:rPr>
                <w:rFonts w:asciiTheme="majorHAnsi" w:hAnsiTheme="majorHAnsi" w:cstheme="majorHAnsi"/>
                <w:b/>
                <w:bCs/>
                <w:color w:val="000000"/>
                <w:sz w:val="20"/>
                <w:szCs w:val="20"/>
                <w:lang w:val="en-US"/>
              </w:rPr>
            </w:pPr>
          </w:p>
        </w:tc>
        <w:tc>
          <w:tcPr>
            <w:tcW w:w="1278" w:type="dxa"/>
          </w:tcPr>
          <w:p w14:paraId="2B532DD9" w14:textId="77777777" w:rsidR="00B85CCA" w:rsidRPr="006F3D3B" w:rsidRDefault="00B85CCA" w:rsidP="00B85CCA">
            <w:pPr>
              <w:spacing w:before="100" w:beforeAutospacing="1" w:after="100" w:afterAutospacing="1" w:line="360" w:lineRule="auto"/>
              <w:rPr>
                <w:rFonts w:asciiTheme="majorHAnsi" w:hAnsiTheme="majorHAnsi" w:cstheme="majorHAnsi"/>
                <w:b/>
                <w:bCs/>
                <w:color w:val="000000"/>
                <w:sz w:val="20"/>
                <w:szCs w:val="20"/>
                <w:lang w:val="en-US"/>
              </w:rPr>
            </w:pPr>
          </w:p>
        </w:tc>
      </w:tr>
      <w:tr w:rsidR="00B85CCA" w:rsidRPr="006F3D3B" w14:paraId="1B9E7125" w14:textId="77777777" w:rsidTr="00EC48C1">
        <w:trPr>
          <w:trHeight w:val="272"/>
        </w:trPr>
        <w:tc>
          <w:tcPr>
            <w:tcW w:w="6838" w:type="dxa"/>
          </w:tcPr>
          <w:p w14:paraId="337F514A" w14:textId="77777777" w:rsidR="00B85CCA" w:rsidRPr="006F3D3B" w:rsidRDefault="00B85CCA" w:rsidP="00B85CCA">
            <w:pPr>
              <w:numPr>
                <w:ilvl w:val="0"/>
                <w:numId w:val="136"/>
              </w:numPr>
              <w:spacing w:before="100" w:beforeAutospacing="1" w:after="100" w:afterAutospacing="1" w:line="360" w:lineRule="auto"/>
              <w:contextualSpacing/>
              <w:rPr>
                <w:rFonts w:asciiTheme="majorHAnsi" w:hAnsiTheme="majorHAnsi" w:cstheme="majorHAnsi"/>
                <w:snapToGrid w:val="0"/>
                <w:sz w:val="20"/>
                <w:szCs w:val="20"/>
                <w:lang w:val="en-US"/>
              </w:rPr>
            </w:pPr>
            <w:r w:rsidRPr="006F3D3B">
              <w:rPr>
                <w:rFonts w:asciiTheme="majorHAnsi" w:hAnsiTheme="majorHAnsi" w:cstheme="majorHAnsi"/>
                <w:snapToGrid w:val="0"/>
                <w:sz w:val="20"/>
                <w:szCs w:val="20"/>
                <w:lang w:val="en-US"/>
              </w:rPr>
              <w:t>DO No. 39, s. 2016 on the “Adoption of the Basic Education Research Agenda”</w:t>
            </w:r>
          </w:p>
        </w:tc>
        <w:tc>
          <w:tcPr>
            <w:tcW w:w="1275" w:type="dxa"/>
          </w:tcPr>
          <w:p w14:paraId="365E5E66" w14:textId="77777777" w:rsidR="00B85CCA" w:rsidRPr="006F3D3B" w:rsidRDefault="00B85CCA" w:rsidP="00B85CCA">
            <w:pPr>
              <w:spacing w:before="100" w:beforeAutospacing="1" w:after="100" w:afterAutospacing="1" w:line="360" w:lineRule="auto"/>
              <w:rPr>
                <w:rFonts w:asciiTheme="majorHAnsi" w:hAnsiTheme="majorHAnsi" w:cstheme="majorHAnsi"/>
                <w:b/>
                <w:bCs/>
                <w:color w:val="000000"/>
                <w:sz w:val="20"/>
                <w:szCs w:val="20"/>
                <w:lang w:val="en-US"/>
              </w:rPr>
            </w:pPr>
          </w:p>
        </w:tc>
        <w:tc>
          <w:tcPr>
            <w:tcW w:w="1278" w:type="dxa"/>
          </w:tcPr>
          <w:p w14:paraId="5D5832B7" w14:textId="77777777" w:rsidR="00B85CCA" w:rsidRPr="006F3D3B" w:rsidRDefault="00B85CCA" w:rsidP="00B85CCA">
            <w:pPr>
              <w:spacing w:before="100" w:beforeAutospacing="1" w:after="100" w:afterAutospacing="1" w:line="360" w:lineRule="auto"/>
              <w:rPr>
                <w:rFonts w:asciiTheme="majorHAnsi" w:hAnsiTheme="majorHAnsi" w:cstheme="majorHAnsi"/>
                <w:b/>
                <w:bCs/>
                <w:color w:val="000000"/>
                <w:sz w:val="20"/>
                <w:szCs w:val="20"/>
                <w:lang w:val="en-US"/>
              </w:rPr>
            </w:pPr>
          </w:p>
        </w:tc>
      </w:tr>
      <w:tr w:rsidR="00B85CCA" w:rsidRPr="006F3D3B" w14:paraId="180840B4" w14:textId="77777777" w:rsidTr="00EC48C1">
        <w:trPr>
          <w:trHeight w:val="272"/>
        </w:trPr>
        <w:tc>
          <w:tcPr>
            <w:tcW w:w="6838" w:type="dxa"/>
          </w:tcPr>
          <w:p w14:paraId="28676A0A" w14:textId="77777777" w:rsidR="00B85CCA" w:rsidRPr="006F3D3B" w:rsidRDefault="00B85CCA" w:rsidP="00B85CCA">
            <w:pPr>
              <w:numPr>
                <w:ilvl w:val="0"/>
                <w:numId w:val="136"/>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6F3D3B">
              <w:rPr>
                <w:rFonts w:asciiTheme="majorHAnsi" w:hAnsiTheme="majorHAnsi" w:cstheme="majorHAnsi"/>
                <w:bCs/>
                <w:snapToGrid w:val="0"/>
                <w:color w:val="000000"/>
                <w:sz w:val="20"/>
                <w:szCs w:val="20"/>
                <w:lang w:val="en-US"/>
              </w:rPr>
              <w:t xml:space="preserve"> </w:t>
            </w:r>
            <w:r w:rsidRPr="006F3D3B">
              <w:rPr>
                <w:rFonts w:asciiTheme="majorHAnsi" w:hAnsiTheme="majorHAnsi" w:cstheme="majorHAnsi"/>
                <w:snapToGrid w:val="0"/>
                <w:sz w:val="20"/>
                <w:szCs w:val="20"/>
                <w:lang w:val="en-US"/>
              </w:rPr>
              <w:t xml:space="preserve">DO </w:t>
            </w:r>
            <w:r w:rsidRPr="006F3D3B">
              <w:rPr>
                <w:rFonts w:asciiTheme="majorHAnsi" w:hAnsiTheme="majorHAnsi" w:cstheme="majorHAnsi"/>
                <w:bCs/>
                <w:snapToGrid w:val="0"/>
                <w:sz w:val="20"/>
                <w:szCs w:val="20"/>
                <w:lang w:val="en-US"/>
              </w:rPr>
              <w:t xml:space="preserve">No. 42, s. 2017 </w:t>
            </w:r>
            <w:r w:rsidRPr="006F3D3B">
              <w:rPr>
                <w:rFonts w:asciiTheme="majorHAnsi" w:hAnsiTheme="majorHAnsi" w:cstheme="majorHAnsi"/>
                <w:snapToGrid w:val="0"/>
                <w:sz w:val="20"/>
                <w:szCs w:val="20"/>
                <w:lang w:val="en-US"/>
              </w:rPr>
              <w:t>on the “National Adoption and Implementation of the Philippine Professional Standards for Teachers”</w:t>
            </w:r>
          </w:p>
        </w:tc>
        <w:tc>
          <w:tcPr>
            <w:tcW w:w="1275" w:type="dxa"/>
          </w:tcPr>
          <w:p w14:paraId="225BD40E" w14:textId="77777777" w:rsidR="00B85CCA" w:rsidRPr="006F3D3B" w:rsidRDefault="00B85CCA" w:rsidP="00B85CCA">
            <w:pPr>
              <w:spacing w:before="100" w:beforeAutospacing="1" w:after="100" w:afterAutospacing="1" w:line="360" w:lineRule="auto"/>
              <w:rPr>
                <w:rFonts w:asciiTheme="majorHAnsi" w:hAnsiTheme="majorHAnsi" w:cstheme="majorHAnsi"/>
                <w:b/>
                <w:bCs/>
                <w:color w:val="000000"/>
                <w:sz w:val="20"/>
                <w:szCs w:val="20"/>
                <w:lang w:val="en-US"/>
              </w:rPr>
            </w:pPr>
          </w:p>
        </w:tc>
        <w:tc>
          <w:tcPr>
            <w:tcW w:w="1278" w:type="dxa"/>
          </w:tcPr>
          <w:p w14:paraId="37E2EF6F" w14:textId="77777777" w:rsidR="00B85CCA" w:rsidRPr="006F3D3B" w:rsidRDefault="00B85CCA" w:rsidP="00B85CCA">
            <w:pPr>
              <w:spacing w:before="100" w:beforeAutospacing="1" w:after="100" w:afterAutospacing="1" w:line="360" w:lineRule="auto"/>
              <w:rPr>
                <w:rFonts w:asciiTheme="majorHAnsi" w:hAnsiTheme="majorHAnsi" w:cstheme="majorHAnsi"/>
                <w:b/>
                <w:bCs/>
                <w:color w:val="000000"/>
                <w:sz w:val="20"/>
                <w:szCs w:val="20"/>
                <w:lang w:val="en-US"/>
              </w:rPr>
            </w:pPr>
          </w:p>
        </w:tc>
      </w:tr>
      <w:tr w:rsidR="00B85CCA" w:rsidRPr="006F3D3B" w14:paraId="01F477C6" w14:textId="77777777" w:rsidTr="00EC48C1">
        <w:trPr>
          <w:trHeight w:val="272"/>
        </w:trPr>
        <w:tc>
          <w:tcPr>
            <w:tcW w:w="6838" w:type="dxa"/>
          </w:tcPr>
          <w:p w14:paraId="0FA708E5" w14:textId="77777777" w:rsidR="00B85CCA" w:rsidRPr="006F3D3B" w:rsidRDefault="00B85CCA" w:rsidP="00B85CCA">
            <w:pPr>
              <w:numPr>
                <w:ilvl w:val="0"/>
                <w:numId w:val="136"/>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6F3D3B">
              <w:rPr>
                <w:rFonts w:asciiTheme="majorHAnsi" w:eastAsiaTheme="minorEastAsia" w:hAnsiTheme="majorHAnsi" w:cstheme="majorHAnsi"/>
                <w:bCs/>
                <w:snapToGrid w:val="0"/>
                <w:sz w:val="20"/>
                <w:szCs w:val="20"/>
              </w:rPr>
              <w:t xml:space="preserve">DepEd No. 2, s. 2015 </w:t>
            </w:r>
            <w:r w:rsidRPr="006F3D3B">
              <w:rPr>
                <w:rFonts w:asciiTheme="majorHAnsi" w:eastAsiaTheme="minorEastAsia" w:hAnsiTheme="majorHAnsi" w:cstheme="majorHAnsi"/>
                <w:i/>
                <w:iCs/>
                <w:snapToGrid w:val="0"/>
                <w:sz w:val="20"/>
                <w:szCs w:val="20"/>
                <w:lang w:val="en-US"/>
              </w:rPr>
              <w:t>“</w:t>
            </w:r>
            <w:r w:rsidRPr="006F3D3B">
              <w:rPr>
                <w:rFonts w:asciiTheme="majorHAnsi" w:eastAsiaTheme="minorEastAsia" w:hAnsiTheme="majorHAnsi" w:cstheme="majorHAnsi"/>
                <w:iCs/>
                <w:snapToGrid w:val="0"/>
                <w:sz w:val="20"/>
                <w:szCs w:val="20"/>
                <w:lang w:val="en-US"/>
              </w:rPr>
              <w:t>Guidelines on the Establishment and Implementation of the Results-Based Performance Management System (RPMS) in the Department of Education</w:t>
            </w:r>
            <w:r w:rsidRPr="006F3D3B">
              <w:rPr>
                <w:rFonts w:asciiTheme="majorHAnsi" w:eastAsiaTheme="minorEastAsia" w:hAnsiTheme="majorHAnsi" w:cstheme="majorHAnsi"/>
                <w:i/>
                <w:iCs/>
                <w:snapToGrid w:val="0"/>
                <w:sz w:val="20"/>
                <w:szCs w:val="20"/>
                <w:lang w:val="en-US"/>
              </w:rPr>
              <w:t>”</w:t>
            </w:r>
          </w:p>
        </w:tc>
        <w:tc>
          <w:tcPr>
            <w:tcW w:w="1275" w:type="dxa"/>
          </w:tcPr>
          <w:p w14:paraId="160CE1F5" w14:textId="77777777" w:rsidR="00B85CCA" w:rsidRPr="006F3D3B" w:rsidRDefault="00B85CCA" w:rsidP="00B85CCA">
            <w:pPr>
              <w:spacing w:before="100" w:beforeAutospacing="1" w:after="100" w:afterAutospacing="1" w:line="360" w:lineRule="auto"/>
              <w:rPr>
                <w:rFonts w:asciiTheme="majorHAnsi" w:hAnsiTheme="majorHAnsi" w:cstheme="majorHAnsi"/>
                <w:b/>
                <w:bCs/>
                <w:color w:val="000000"/>
                <w:sz w:val="20"/>
                <w:szCs w:val="20"/>
                <w:lang w:val="en-US"/>
              </w:rPr>
            </w:pPr>
          </w:p>
        </w:tc>
        <w:tc>
          <w:tcPr>
            <w:tcW w:w="1278" w:type="dxa"/>
          </w:tcPr>
          <w:p w14:paraId="0745204A" w14:textId="77777777" w:rsidR="00B85CCA" w:rsidRPr="006F3D3B" w:rsidRDefault="00B85CCA" w:rsidP="00B85CCA">
            <w:pPr>
              <w:spacing w:before="100" w:beforeAutospacing="1" w:after="100" w:afterAutospacing="1" w:line="360" w:lineRule="auto"/>
              <w:rPr>
                <w:rFonts w:asciiTheme="majorHAnsi" w:hAnsiTheme="majorHAnsi" w:cstheme="majorHAnsi"/>
                <w:b/>
                <w:bCs/>
                <w:color w:val="000000"/>
                <w:sz w:val="20"/>
                <w:szCs w:val="20"/>
                <w:lang w:val="en-US"/>
              </w:rPr>
            </w:pPr>
          </w:p>
        </w:tc>
      </w:tr>
      <w:tr w:rsidR="00B85CCA" w:rsidRPr="006F3D3B" w14:paraId="4F133727" w14:textId="77777777" w:rsidTr="00EC48C1">
        <w:trPr>
          <w:trHeight w:val="272"/>
        </w:trPr>
        <w:tc>
          <w:tcPr>
            <w:tcW w:w="6838" w:type="dxa"/>
          </w:tcPr>
          <w:p w14:paraId="1AA3A5F2" w14:textId="77777777" w:rsidR="00B85CCA" w:rsidRPr="006F3D3B" w:rsidRDefault="00B85CCA" w:rsidP="00B85CCA">
            <w:pPr>
              <w:numPr>
                <w:ilvl w:val="0"/>
                <w:numId w:val="136"/>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6F3D3B">
              <w:rPr>
                <w:rFonts w:asciiTheme="majorHAnsi" w:hAnsiTheme="majorHAnsi" w:cstheme="majorHAnsi"/>
                <w:snapToGrid w:val="0"/>
                <w:sz w:val="20"/>
                <w:szCs w:val="20"/>
                <w:lang w:val="en-US"/>
              </w:rPr>
              <w:t>DO NO. 8 S. 2015 on the “Policy Guidelines on Classroom Assessment for the K to 12 Basic Education Program”</w:t>
            </w:r>
          </w:p>
        </w:tc>
        <w:tc>
          <w:tcPr>
            <w:tcW w:w="1275" w:type="dxa"/>
          </w:tcPr>
          <w:p w14:paraId="1322058B" w14:textId="77777777" w:rsidR="00B85CCA" w:rsidRPr="006F3D3B" w:rsidRDefault="00B85CCA" w:rsidP="00B85CCA">
            <w:pPr>
              <w:spacing w:before="100" w:beforeAutospacing="1" w:after="100" w:afterAutospacing="1" w:line="360" w:lineRule="auto"/>
              <w:rPr>
                <w:rFonts w:asciiTheme="majorHAnsi" w:hAnsiTheme="majorHAnsi" w:cstheme="majorHAnsi"/>
                <w:b/>
                <w:bCs/>
                <w:color w:val="000000"/>
                <w:sz w:val="20"/>
                <w:szCs w:val="20"/>
                <w:lang w:val="en-US"/>
              </w:rPr>
            </w:pPr>
          </w:p>
        </w:tc>
        <w:tc>
          <w:tcPr>
            <w:tcW w:w="1278" w:type="dxa"/>
          </w:tcPr>
          <w:p w14:paraId="1B3B5AB3" w14:textId="77777777" w:rsidR="00B85CCA" w:rsidRPr="006F3D3B" w:rsidRDefault="00B85CCA" w:rsidP="00B85CCA">
            <w:pPr>
              <w:spacing w:before="100" w:beforeAutospacing="1" w:after="100" w:afterAutospacing="1" w:line="360" w:lineRule="auto"/>
              <w:rPr>
                <w:rFonts w:asciiTheme="majorHAnsi" w:hAnsiTheme="majorHAnsi" w:cstheme="majorHAnsi"/>
                <w:b/>
                <w:bCs/>
                <w:color w:val="000000"/>
                <w:sz w:val="20"/>
                <w:szCs w:val="20"/>
                <w:lang w:val="en-US"/>
              </w:rPr>
            </w:pPr>
          </w:p>
        </w:tc>
      </w:tr>
      <w:tr w:rsidR="00B85CCA" w:rsidRPr="006F3D3B" w14:paraId="5C12325F" w14:textId="77777777" w:rsidTr="00EC48C1">
        <w:trPr>
          <w:trHeight w:val="272"/>
        </w:trPr>
        <w:tc>
          <w:tcPr>
            <w:tcW w:w="6838" w:type="dxa"/>
          </w:tcPr>
          <w:p w14:paraId="2F37C0DD" w14:textId="77777777" w:rsidR="00B85CCA" w:rsidRPr="006F3D3B" w:rsidRDefault="00B85CCA" w:rsidP="00B85CCA">
            <w:pPr>
              <w:numPr>
                <w:ilvl w:val="0"/>
                <w:numId w:val="136"/>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6F3D3B">
              <w:rPr>
                <w:rFonts w:asciiTheme="majorHAnsi" w:hAnsiTheme="majorHAnsi" w:cstheme="majorHAnsi"/>
                <w:snapToGrid w:val="0"/>
                <w:sz w:val="20"/>
                <w:szCs w:val="20"/>
                <w:lang w:val="en-US"/>
              </w:rPr>
              <w:t>DO No. 55, s. 2016 on the “Policy Guidelines on the National Assessment of Student Learning for the K to 12 Basic Education Program”</w:t>
            </w:r>
          </w:p>
        </w:tc>
        <w:tc>
          <w:tcPr>
            <w:tcW w:w="1275" w:type="dxa"/>
          </w:tcPr>
          <w:p w14:paraId="08EEB521" w14:textId="77777777" w:rsidR="00B85CCA" w:rsidRPr="006F3D3B" w:rsidRDefault="00B85CCA" w:rsidP="00B85CCA">
            <w:pPr>
              <w:spacing w:before="100" w:beforeAutospacing="1" w:after="100" w:afterAutospacing="1" w:line="360" w:lineRule="auto"/>
              <w:rPr>
                <w:rFonts w:asciiTheme="majorHAnsi" w:hAnsiTheme="majorHAnsi" w:cstheme="majorHAnsi"/>
                <w:b/>
                <w:bCs/>
                <w:color w:val="000000"/>
                <w:sz w:val="20"/>
                <w:szCs w:val="20"/>
                <w:lang w:val="en-US"/>
              </w:rPr>
            </w:pPr>
          </w:p>
        </w:tc>
        <w:tc>
          <w:tcPr>
            <w:tcW w:w="1278" w:type="dxa"/>
          </w:tcPr>
          <w:p w14:paraId="48A77A78" w14:textId="77777777" w:rsidR="00B85CCA" w:rsidRPr="006F3D3B" w:rsidRDefault="00B85CCA" w:rsidP="00B85CCA">
            <w:pPr>
              <w:spacing w:before="100" w:beforeAutospacing="1" w:after="100" w:afterAutospacing="1" w:line="360" w:lineRule="auto"/>
              <w:rPr>
                <w:rFonts w:asciiTheme="majorHAnsi" w:hAnsiTheme="majorHAnsi" w:cstheme="majorHAnsi"/>
                <w:b/>
                <w:bCs/>
                <w:color w:val="000000"/>
                <w:sz w:val="20"/>
                <w:szCs w:val="20"/>
                <w:lang w:val="en-US"/>
              </w:rPr>
            </w:pPr>
          </w:p>
        </w:tc>
      </w:tr>
      <w:tr w:rsidR="00B85CCA" w:rsidRPr="006F3D3B" w14:paraId="6E1EFD31" w14:textId="77777777" w:rsidTr="00EC48C1">
        <w:trPr>
          <w:trHeight w:val="272"/>
        </w:trPr>
        <w:tc>
          <w:tcPr>
            <w:tcW w:w="6838" w:type="dxa"/>
          </w:tcPr>
          <w:p w14:paraId="41234C1D" w14:textId="77777777" w:rsidR="00B85CCA" w:rsidRPr="006F3D3B" w:rsidRDefault="00B85CCA" w:rsidP="00B85CCA">
            <w:pPr>
              <w:numPr>
                <w:ilvl w:val="0"/>
                <w:numId w:val="136"/>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6F3D3B">
              <w:rPr>
                <w:rFonts w:asciiTheme="majorHAnsi" w:hAnsiTheme="majorHAnsi" w:cstheme="majorHAnsi"/>
                <w:snapToGrid w:val="0"/>
                <w:sz w:val="20"/>
                <w:szCs w:val="20"/>
                <w:lang w:val="en-US"/>
              </w:rPr>
              <w:t>DO No. 29, s. 2017 on the “Policy Guidelines on System Assessment in the K to 12 Basic Education Program”</w:t>
            </w:r>
          </w:p>
        </w:tc>
        <w:tc>
          <w:tcPr>
            <w:tcW w:w="1275" w:type="dxa"/>
          </w:tcPr>
          <w:p w14:paraId="022BDA11" w14:textId="77777777" w:rsidR="00B85CCA" w:rsidRPr="006F3D3B" w:rsidRDefault="00B85CCA" w:rsidP="00B85CCA">
            <w:pPr>
              <w:spacing w:before="100" w:beforeAutospacing="1" w:after="100" w:afterAutospacing="1" w:line="360" w:lineRule="auto"/>
              <w:rPr>
                <w:rFonts w:asciiTheme="majorHAnsi" w:hAnsiTheme="majorHAnsi" w:cstheme="majorHAnsi"/>
                <w:b/>
                <w:bCs/>
                <w:color w:val="000000"/>
                <w:sz w:val="20"/>
                <w:szCs w:val="20"/>
                <w:lang w:val="en-US"/>
              </w:rPr>
            </w:pPr>
          </w:p>
        </w:tc>
        <w:tc>
          <w:tcPr>
            <w:tcW w:w="1278" w:type="dxa"/>
          </w:tcPr>
          <w:p w14:paraId="6759765F" w14:textId="77777777" w:rsidR="00B85CCA" w:rsidRPr="006F3D3B" w:rsidRDefault="00B85CCA" w:rsidP="00B85CCA">
            <w:pPr>
              <w:spacing w:before="100" w:beforeAutospacing="1" w:after="100" w:afterAutospacing="1" w:line="360" w:lineRule="auto"/>
              <w:rPr>
                <w:rFonts w:asciiTheme="majorHAnsi" w:hAnsiTheme="majorHAnsi" w:cstheme="majorHAnsi"/>
                <w:b/>
                <w:bCs/>
                <w:color w:val="000000"/>
                <w:sz w:val="20"/>
                <w:szCs w:val="20"/>
                <w:lang w:val="en-US"/>
              </w:rPr>
            </w:pPr>
          </w:p>
        </w:tc>
      </w:tr>
      <w:tr w:rsidR="00B85CCA" w:rsidRPr="006F3D3B" w14:paraId="1517DFDC" w14:textId="77777777" w:rsidTr="00EC48C1">
        <w:trPr>
          <w:trHeight w:val="272"/>
        </w:trPr>
        <w:tc>
          <w:tcPr>
            <w:tcW w:w="6838" w:type="dxa"/>
          </w:tcPr>
          <w:p w14:paraId="35E43A1C" w14:textId="77777777" w:rsidR="00B85CCA" w:rsidRPr="006F3D3B" w:rsidRDefault="00B85CCA" w:rsidP="00B85CCA">
            <w:pPr>
              <w:numPr>
                <w:ilvl w:val="0"/>
                <w:numId w:val="136"/>
              </w:numPr>
              <w:spacing w:before="100" w:beforeAutospacing="1" w:after="100" w:afterAutospacing="1" w:line="360" w:lineRule="auto"/>
              <w:contextualSpacing/>
              <w:rPr>
                <w:rFonts w:asciiTheme="majorHAnsi" w:hAnsiTheme="majorHAnsi" w:cstheme="majorHAnsi"/>
                <w:snapToGrid w:val="0"/>
                <w:sz w:val="20"/>
                <w:szCs w:val="20"/>
                <w:lang w:val="en-US"/>
              </w:rPr>
            </w:pPr>
            <w:r w:rsidRPr="006F3D3B">
              <w:rPr>
                <w:rFonts w:asciiTheme="majorHAnsi" w:hAnsiTheme="majorHAnsi" w:cstheme="majorHAnsi"/>
                <w:snapToGrid w:val="0"/>
                <w:sz w:val="20"/>
                <w:szCs w:val="20"/>
                <w:lang w:val="en-US"/>
              </w:rPr>
              <w:t>DO No. 43, s. 2017 on the “Teacher Induction Program Policy”</w:t>
            </w:r>
          </w:p>
        </w:tc>
        <w:tc>
          <w:tcPr>
            <w:tcW w:w="1275" w:type="dxa"/>
          </w:tcPr>
          <w:p w14:paraId="0F962103" w14:textId="77777777" w:rsidR="00B85CCA" w:rsidRPr="006F3D3B" w:rsidRDefault="00B85CCA" w:rsidP="00B85CCA">
            <w:pPr>
              <w:spacing w:before="100" w:beforeAutospacing="1" w:after="100" w:afterAutospacing="1" w:line="360" w:lineRule="auto"/>
              <w:rPr>
                <w:rFonts w:asciiTheme="majorHAnsi" w:hAnsiTheme="majorHAnsi" w:cstheme="majorHAnsi"/>
                <w:b/>
                <w:bCs/>
                <w:color w:val="000000"/>
                <w:sz w:val="20"/>
                <w:szCs w:val="20"/>
                <w:lang w:val="en-US"/>
              </w:rPr>
            </w:pPr>
          </w:p>
        </w:tc>
        <w:tc>
          <w:tcPr>
            <w:tcW w:w="1278" w:type="dxa"/>
          </w:tcPr>
          <w:p w14:paraId="0D7D2598" w14:textId="77777777" w:rsidR="00B85CCA" w:rsidRPr="006F3D3B" w:rsidRDefault="00B85CCA" w:rsidP="00B85CCA">
            <w:pPr>
              <w:spacing w:before="100" w:beforeAutospacing="1" w:after="100" w:afterAutospacing="1" w:line="360" w:lineRule="auto"/>
              <w:rPr>
                <w:rFonts w:asciiTheme="majorHAnsi" w:hAnsiTheme="majorHAnsi" w:cstheme="majorHAnsi"/>
                <w:b/>
                <w:bCs/>
                <w:color w:val="000000"/>
                <w:sz w:val="20"/>
                <w:szCs w:val="20"/>
                <w:lang w:val="en-US"/>
              </w:rPr>
            </w:pPr>
          </w:p>
        </w:tc>
      </w:tr>
      <w:tr w:rsidR="00B85CCA" w:rsidRPr="006F3D3B" w14:paraId="60AB6CB7" w14:textId="77777777" w:rsidTr="00EC48C1">
        <w:trPr>
          <w:trHeight w:val="272"/>
        </w:trPr>
        <w:tc>
          <w:tcPr>
            <w:tcW w:w="6838" w:type="dxa"/>
          </w:tcPr>
          <w:p w14:paraId="4FF3B1C5" w14:textId="77777777" w:rsidR="00B85CCA" w:rsidRPr="006F3D3B" w:rsidRDefault="00B85CCA" w:rsidP="00B85CCA">
            <w:pPr>
              <w:numPr>
                <w:ilvl w:val="0"/>
                <w:numId w:val="136"/>
              </w:numPr>
              <w:spacing w:before="100" w:beforeAutospacing="1" w:after="100" w:afterAutospacing="1" w:line="360" w:lineRule="auto"/>
              <w:contextualSpacing/>
              <w:rPr>
                <w:rFonts w:asciiTheme="majorHAnsi" w:hAnsiTheme="majorHAnsi" w:cstheme="majorHAnsi"/>
                <w:snapToGrid w:val="0"/>
                <w:sz w:val="20"/>
                <w:szCs w:val="20"/>
                <w:lang w:val="en-US"/>
              </w:rPr>
            </w:pPr>
            <w:r w:rsidRPr="006F3D3B">
              <w:rPr>
                <w:rFonts w:asciiTheme="majorHAnsi" w:hAnsiTheme="majorHAnsi" w:cstheme="majorHAnsi"/>
                <w:snapToGrid w:val="0"/>
                <w:sz w:val="20"/>
                <w:szCs w:val="20"/>
                <w:lang w:val="en-US"/>
              </w:rPr>
              <w:t>DO 44, s. 2015 on the “Guidelines on the Enhanced School Improvement Planning (SIP) Process and the School Report Card (SRC)”</w:t>
            </w:r>
          </w:p>
        </w:tc>
        <w:tc>
          <w:tcPr>
            <w:tcW w:w="1275" w:type="dxa"/>
          </w:tcPr>
          <w:p w14:paraId="52F7AAE8" w14:textId="77777777" w:rsidR="00B85CCA" w:rsidRPr="006F3D3B" w:rsidRDefault="00B85CCA" w:rsidP="00B85CCA">
            <w:pPr>
              <w:spacing w:before="100" w:beforeAutospacing="1" w:after="100" w:afterAutospacing="1" w:line="360" w:lineRule="auto"/>
              <w:rPr>
                <w:rFonts w:asciiTheme="majorHAnsi" w:hAnsiTheme="majorHAnsi" w:cstheme="majorHAnsi"/>
                <w:b/>
                <w:bCs/>
                <w:color w:val="000000"/>
                <w:sz w:val="20"/>
                <w:szCs w:val="20"/>
                <w:lang w:val="en-US"/>
              </w:rPr>
            </w:pPr>
          </w:p>
        </w:tc>
        <w:tc>
          <w:tcPr>
            <w:tcW w:w="1278" w:type="dxa"/>
          </w:tcPr>
          <w:p w14:paraId="0264660B" w14:textId="77777777" w:rsidR="00B85CCA" w:rsidRPr="006F3D3B" w:rsidRDefault="00B85CCA" w:rsidP="00B85CCA">
            <w:pPr>
              <w:spacing w:before="100" w:beforeAutospacing="1" w:after="100" w:afterAutospacing="1" w:line="360" w:lineRule="auto"/>
              <w:rPr>
                <w:rFonts w:asciiTheme="majorHAnsi" w:hAnsiTheme="majorHAnsi" w:cstheme="majorHAnsi"/>
                <w:b/>
                <w:bCs/>
                <w:color w:val="000000"/>
                <w:sz w:val="20"/>
                <w:szCs w:val="20"/>
                <w:lang w:val="en-US"/>
              </w:rPr>
            </w:pPr>
          </w:p>
        </w:tc>
      </w:tr>
      <w:tr w:rsidR="00B85CCA" w:rsidRPr="006F3D3B" w14:paraId="14F157D3" w14:textId="77777777" w:rsidTr="00EC48C1">
        <w:trPr>
          <w:trHeight w:val="272"/>
        </w:trPr>
        <w:tc>
          <w:tcPr>
            <w:tcW w:w="6838" w:type="dxa"/>
          </w:tcPr>
          <w:p w14:paraId="2B769594" w14:textId="77777777" w:rsidR="00B85CCA" w:rsidRPr="006F3D3B" w:rsidRDefault="00B85CCA" w:rsidP="00B85CCA">
            <w:pPr>
              <w:numPr>
                <w:ilvl w:val="0"/>
                <w:numId w:val="136"/>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6F3D3B">
              <w:rPr>
                <w:rFonts w:asciiTheme="majorHAnsi" w:hAnsiTheme="majorHAnsi" w:cstheme="majorHAnsi"/>
                <w:bCs/>
                <w:snapToGrid w:val="0"/>
                <w:color w:val="000000"/>
                <w:sz w:val="20"/>
                <w:szCs w:val="20"/>
                <w:lang w:val="en-US"/>
              </w:rPr>
              <w:t xml:space="preserve"> DEPED Order No. 32 s. 2017 on Gender-Responsive Basic Education Policy</w:t>
            </w:r>
          </w:p>
        </w:tc>
        <w:tc>
          <w:tcPr>
            <w:tcW w:w="1275" w:type="dxa"/>
          </w:tcPr>
          <w:p w14:paraId="7F552B39" w14:textId="77777777" w:rsidR="00B85CCA" w:rsidRPr="006F3D3B" w:rsidRDefault="00B85CCA" w:rsidP="00B85CCA">
            <w:pPr>
              <w:spacing w:before="100" w:beforeAutospacing="1" w:after="100" w:afterAutospacing="1" w:line="360" w:lineRule="auto"/>
              <w:rPr>
                <w:rFonts w:asciiTheme="majorHAnsi" w:hAnsiTheme="majorHAnsi" w:cstheme="majorHAnsi"/>
                <w:b/>
                <w:bCs/>
                <w:color w:val="000000"/>
                <w:sz w:val="20"/>
                <w:szCs w:val="20"/>
                <w:lang w:val="en-US"/>
              </w:rPr>
            </w:pPr>
          </w:p>
        </w:tc>
        <w:tc>
          <w:tcPr>
            <w:tcW w:w="1278" w:type="dxa"/>
          </w:tcPr>
          <w:p w14:paraId="01682F75" w14:textId="77777777" w:rsidR="00B85CCA" w:rsidRPr="006F3D3B" w:rsidRDefault="00B85CCA" w:rsidP="00B85CCA">
            <w:pPr>
              <w:spacing w:before="100" w:beforeAutospacing="1" w:after="100" w:afterAutospacing="1" w:line="360" w:lineRule="auto"/>
              <w:rPr>
                <w:rFonts w:asciiTheme="majorHAnsi" w:hAnsiTheme="majorHAnsi" w:cstheme="majorHAnsi"/>
                <w:b/>
                <w:bCs/>
                <w:color w:val="000000"/>
                <w:sz w:val="20"/>
                <w:szCs w:val="20"/>
                <w:lang w:val="en-US"/>
              </w:rPr>
            </w:pPr>
          </w:p>
        </w:tc>
      </w:tr>
      <w:tr w:rsidR="00B85CCA" w:rsidRPr="006F3D3B" w14:paraId="62588A5F" w14:textId="77777777" w:rsidTr="00EC48C1">
        <w:trPr>
          <w:trHeight w:val="272"/>
        </w:trPr>
        <w:tc>
          <w:tcPr>
            <w:tcW w:w="6838" w:type="dxa"/>
          </w:tcPr>
          <w:p w14:paraId="09C2F59A" w14:textId="77777777" w:rsidR="00B85CCA" w:rsidRPr="006F3D3B" w:rsidRDefault="00B85CCA" w:rsidP="00B85CCA">
            <w:pPr>
              <w:numPr>
                <w:ilvl w:val="0"/>
                <w:numId w:val="136"/>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6F3D3B">
              <w:rPr>
                <w:rFonts w:asciiTheme="majorHAnsi" w:hAnsiTheme="majorHAnsi" w:cstheme="majorHAnsi"/>
                <w:snapToGrid w:val="0"/>
                <w:sz w:val="20"/>
                <w:szCs w:val="20"/>
                <w:lang w:val="en-US"/>
              </w:rPr>
              <w:t>DO No. 41, s. 2017 on the “Policy Guidelines on Madrasah Education in the K to 12 Basic Education Program”</w:t>
            </w:r>
          </w:p>
        </w:tc>
        <w:tc>
          <w:tcPr>
            <w:tcW w:w="1275" w:type="dxa"/>
          </w:tcPr>
          <w:p w14:paraId="1754B98D" w14:textId="77777777" w:rsidR="00B85CCA" w:rsidRPr="006F3D3B" w:rsidRDefault="00B85CCA" w:rsidP="00B85CCA">
            <w:pPr>
              <w:spacing w:before="100" w:beforeAutospacing="1" w:after="100" w:afterAutospacing="1" w:line="360" w:lineRule="auto"/>
              <w:rPr>
                <w:rFonts w:asciiTheme="majorHAnsi" w:hAnsiTheme="majorHAnsi" w:cstheme="majorHAnsi"/>
                <w:b/>
                <w:bCs/>
                <w:color w:val="000000"/>
                <w:sz w:val="20"/>
                <w:szCs w:val="20"/>
                <w:lang w:val="en-US"/>
              </w:rPr>
            </w:pPr>
          </w:p>
        </w:tc>
        <w:tc>
          <w:tcPr>
            <w:tcW w:w="1278" w:type="dxa"/>
          </w:tcPr>
          <w:p w14:paraId="285F1294" w14:textId="77777777" w:rsidR="00B85CCA" w:rsidRPr="006F3D3B" w:rsidRDefault="00B85CCA" w:rsidP="00B85CCA">
            <w:pPr>
              <w:spacing w:before="100" w:beforeAutospacing="1" w:after="100" w:afterAutospacing="1" w:line="360" w:lineRule="auto"/>
              <w:rPr>
                <w:rFonts w:asciiTheme="majorHAnsi" w:hAnsiTheme="majorHAnsi" w:cstheme="majorHAnsi"/>
                <w:b/>
                <w:bCs/>
                <w:color w:val="000000"/>
                <w:sz w:val="20"/>
                <w:szCs w:val="20"/>
                <w:lang w:val="en-US"/>
              </w:rPr>
            </w:pPr>
          </w:p>
        </w:tc>
      </w:tr>
      <w:tr w:rsidR="00B85CCA" w:rsidRPr="006F3D3B" w14:paraId="5F542730" w14:textId="77777777" w:rsidTr="00EC48C1">
        <w:trPr>
          <w:trHeight w:val="272"/>
        </w:trPr>
        <w:tc>
          <w:tcPr>
            <w:tcW w:w="6838" w:type="dxa"/>
          </w:tcPr>
          <w:p w14:paraId="79C15575" w14:textId="77777777" w:rsidR="00B85CCA" w:rsidRPr="006F3D3B" w:rsidRDefault="00B85CCA" w:rsidP="00B85CCA">
            <w:pPr>
              <w:numPr>
                <w:ilvl w:val="0"/>
                <w:numId w:val="136"/>
              </w:numPr>
              <w:spacing w:before="100" w:beforeAutospacing="1" w:after="100" w:afterAutospacing="1" w:line="360" w:lineRule="auto"/>
              <w:contextualSpacing/>
              <w:rPr>
                <w:rFonts w:asciiTheme="majorHAnsi" w:hAnsiTheme="majorHAnsi" w:cstheme="majorHAnsi"/>
                <w:snapToGrid w:val="0"/>
                <w:sz w:val="20"/>
                <w:szCs w:val="20"/>
                <w:lang w:val="en-US"/>
              </w:rPr>
            </w:pPr>
            <w:r w:rsidRPr="006F3D3B">
              <w:rPr>
                <w:rFonts w:asciiTheme="majorHAnsi" w:hAnsiTheme="majorHAnsi" w:cstheme="majorHAnsi"/>
                <w:snapToGrid w:val="0"/>
                <w:sz w:val="20"/>
                <w:szCs w:val="20"/>
                <w:lang w:val="en-US"/>
              </w:rPr>
              <w:t>DO No. 32, s. 2015 on “Adopting the Indigenous Peoples Education Curriculum Framework”</w:t>
            </w:r>
          </w:p>
        </w:tc>
        <w:tc>
          <w:tcPr>
            <w:tcW w:w="1275" w:type="dxa"/>
          </w:tcPr>
          <w:p w14:paraId="08F86417" w14:textId="77777777" w:rsidR="00B85CCA" w:rsidRPr="006F3D3B" w:rsidRDefault="00B85CCA" w:rsidP="00B85CCA">
            <w:pPr>
              <w:spacing w:before="100" w:beforeAutospacing="1" w:after="100" w:afterAutospacing="1" w:line="360" w:lineRule="auto"/>
              <w:rPr>
                <w:rFonts w:asciiTheme="majorHAnsi" w:hAnsiTheme="majorHAnsi" w:cstheme="majorHAnsi"/>
                <w:b/>
                <w:bCs/>
                <w:color w:val="000000"/>
                <w:sz w:val="20"/>
                <w:szCs w:val="20"/>
                <w:lang w:val="en-US"/>
              </w:rPr>
            </w:pPr>
          </w:p>
        </w:tc>
        <w:tc>
          <w:tcPr>
            <w:tcW w:w="1278" w:type="dxa"/>
          </w:tcPr>
          <w:p w14:paraId="3C248020" w14:textId="77777777" w:rsidR="00B85CCA" w:rsidRPr="006F3D3B" w:rsidRDefault="00B85CCA" w:rsidP="00B85CCA">
            <w:pPr>
              <w:spacing w:before="100" w:beforeAutospacing="1" w:after="100" w:afterAutospacing="1" w:line="360" w:lineRule="auto"/>
              <w:rPr>
                <w:rFonts w:asciiTheme="majorHAnsi" w:hAnsiTheme="majorHAnsi" w:cstheme="majorHAnsi"/>
                <w:b/>
                <w:bCs/>
                <w:color w:val="000000"/>
                <w:sz w:val="20"/>
                <w:szCs w:val="20"/>
                <w:lang w:val="en-US"/>
              </w:rPr>
            </w:pPr>
          </w:p>
        </w:tc>
      </w:tr>
    </w:tbl>
    <w:p w14:paraId="7DAB55CA" w14:textId="18F97DDA" w:rsidR="008D0CAD" w:rsidRPr="006F3D3B" w:rsidRDefault="008D0CAD" w:rsidP="00DD08E3">
      <w:pPr>
        <w:widowControl w:val="0"/>
        <w:spacing w:before="100" w:beforeAutospacing="1" w:after="100" w:afterAutospacing="1" w:line="360" w:lineRule="auto"/>
        <w:rPr>
          <w:rFonts w:asciiTheme="majorHAnsi" w:hAnsiTheme="majorHAnsi" w:cstheme="majorHAnsi"/>
          <w:b/>
          <w:sz w:val="22"/>
          <w:szCs w:val="22"/>
          <w:lang w:val="en-US"/>
        </w:rPr>
      </w:pPr>
      <w:r w:rsidRPr="006F3D3B">
        <w:rPr>
          <w:rFonts w:ascii="Candara" w:hAnsi="Candara"/>
          <w:b/>
          <w:lang w:val="en-US"/>
        </w:rPr>
        <w:t>Part 2.</w:t>
      </w:r>
      <w:r w:rsidRPr="006F3D3B">
        <w:rPr>
          <w:rFonts w:asciiTheme="majorHAnsi" w:hAnsiTheme="majorHAnsi" w:cstheme="majorHAnsi"/>
          <w:b/>
          <w:sz w:val="22"/>
          <w:szCs w:val="22"/>
          <w:lang w:val="en-US"/>
        </w:rPr>
        <w:t xml:space="preserve"> </w:t>
      </w:r>
      <w:r w:rsidRPr="006F3D3B">
        <w:rPr>
          <w:rFonts w:asciiTheme="majorHAnsi" w:hAnsiTheme="majorHAnsi" w:cstheme="majorHAnsi"/>
          <w:sz w:val="22"/>
          <w:szCs w:val="22"/>
          <w:lang w:val="en-US"/>
        </w:rPr>
        <w:t xml:space="preserve">With the introduction of new or revised policies </w:t>
      </w:r>
      <w:r w:rsidRPr="006F3D3B">
        <w:rPr>
          <w:rFonts w:asciiTheme="majorHAnsi" w:hAnsiTheme="majorHAnsi" w:cstheme="majorHAnsi"/>
          <w:bCs/>
          <w:color w:val="000000"/>
          <w:sz w:val="22"/>
          <w:szCs w:val="22"/>
          <w:lang w:val="en-US"/>
        </w:rPr>
        <w:t>within the last five to six years</w:t>
      </w:r>
      <w:r w:rsidRPr="006F3D3B">
        <w:rPr>
          <w:rFonts w:asciiTheme="majorHAnsi" w:hAnsiTheme="majorHAnsi" w:cstheme="majorHAnsi"/>
          <w:sz w:val="22"/>
          <w:szCs w:val="22"/>
          <w:lang w:val="en-US"/>
        </w:rPr>
        <w:t xml:space="preserve">, </w:t>
      </w:r>
      <w:r w:rsidRPr="006F3D3B">
        <w:rPr>
          <w:rFonts w:asciiTheme="majorHAnsi" w:hAnsiTheme="majorHAnsi" w:cstheme="majorHAnsi"/>
          <w:bCs/>
          <w:color w:val="000000"/>
          <w:sz w:val="22"/>
          <w:szCs w:val="22"/>
          <w:lang w:val="en-US"/>
        </w:rPr>
        <w:t xml:space="preserve">several </w:t>
      </w:r>
      <w:r w:rsidRPr="006F3D3B">
        <w:rPr>
          <w:rFonts w:asciiTheme="majorHAnsi" w:hAnsiTheme="majorHAnsi" w:cstheme="majorHAnsi"/>
          <w:b/>
          <w:bCs/>
          <w:i/>
          <w:color w:val="000000"/>
          <w:sz w:val="22"/>
          <w:szCs w:val="22"/>
          <w:lang w:val="en-US"/>
        </w:rPr>
        <w:t>new or enhanced</w:t>
      </w:r>
      <w:r w:rsidRPr="006F3D3B">
        <w:rPr>
          <w:rFonts w:asciiTheme="majorHAnsi" w:hAnsiTheme="majorHAnsi" w:cstheme="majorHAnsi"/>
          <w:bCs/>
          <w:color w:val="000000"/>
          <w:sz w:val="22"/>
          <w:szCs w:val="22"/>
          <w:lang w:val="en-US"/>
        </w:rPr>
        <w:t xml:space="preserve"> </w:t>
      </w:r>
      <w:r w:rsidRPr="006F3D3B">
        <w:rPr>
          <w:rFonts w:asciiTheme="majorHAnsi" w:hAnsiTheme="majorHAnsi" w:cstheme="majorHAnsi"/>
          <w:b/>
          <w:bCs/>
          <w:color w:val="000000"/>
          <w:sz w:val="22"/>
          <w:szCs w:val="22"/>
          <w:lang w:val="en-US"/>
        </w:rPr>
        <w:t>development, teaching and learning materials</w:t>
      </w:r>
      <w:r w:rsidRPr="006F3D3B">
        <w:rPr>
          <w:rFonts w:asciiTheme="majorHAnsi" w:hAnsiTheme="majorHAnsi" w:cstheme="majorHAnsi"/>
          <w:bCs/>
          <w:color w:val="000000"/>
          <w:sz w:val="22"/>
          <w:szCs w:val="22"/>
          <w:lang w:val="en-US"/>
        </w:rPr>
        <w:t xml:space="preserve"> were also introduced in the DepEd system. Listed below are several of these materials. </w:t>
      </w:r>
      <w:r w:rsidRPr="006F3D3B">
        <w:rPr>
          <w:rFonts w:asciiTheme="majorHAnsi" w:hAnsiTheme="majorHAnsi" w:cstheme="majorHAnsi"/>
          <w:color w:val="000000" w:themeColor="text1"/>
          <w:sz w:val="22"/>
          <w:szCs w:val="22"/>
          <w:lang w:val="en-US"/>
        </w:rPr>
        <w:t>This part of the survey aims to determine the extent of knowledge, access and utilisation of these materials in your school.</w:t>
      </w:r>
      <w:r w:rsidR="00D434EB">
        <w:rPr>
          <w:rFonts w:asciiTheme="majorHAnsi" w:hAnsiTheme="majorHAnsi" w:cstheme="majorHAnsi"/>
          <w:color w:val="000000" w:themeColor="text1"/>
          <w:sz w:val="22"/>
          <w:szCs w:val="22"/>
          <w:lang w:val="en-US"/>
        </w:rPr>
        <w:t xml:space="preserve"> </w:t>
      </w:r>
      <w:r w:rsidRPr="006F3D3B">
        <w:rPr>
          <w:rFonts w:asciiTheme="majorHAnsi" w:hAnsiTheme="majorHAnsi" w:cstheme="majorHAnsi"/>
          <w:color w:val="000000" w:themeColor="text1"/>
          <w:sz w:val="22"/>
          <w:szCs w:val="22"/>
          <w:lang w:val="en-US"/>
        </w:rPr>
        <w:t xml:space="preserve">In assessing your knowledge and the school’s access and utilisation of these materials, please </w:t>
      </w:r>
      <w:r w:rsidRPr="006F3D3B">
        <w:rPr>
          <w:rFonts w:asciiTheme="majorHAnsi" w:hAnsiTheme="majorHAnsi" w:cstheme="majorHAnsi"/>
          <w:bCs/>
          <w:color w:val="000000"/>
          <w:sz w:val="22"/>
          <w:szCs w:val="22"/>
          <w:lang w:val="en-US"/>
        </w:rPr>
        <w:t>use the 4-point scale shown below:</w:t>
      </w:r>
    </w:p>
    <w:tbl>
      <w:tblPr>
        <w:tblStyle w:val="TableGrid11"/>
        <w:tblW w:w="0" w:type="auto"/>
        <w:tblLook w:val="04A0" w:firstRow="1" w:lastRow="0" w:firstColumn="1" w:lastColumn="0" w:noHBand="0" w:noVBand="1"/>
      </w:tblPr>
      <w:tblGrid>
        <w:gridCol w:w="992"/>
        <w:gridCol w:w="2834"/>
        <w:gridCol w:w="2754"/>
        <w:gridCol w:w="2430"/>
      </w:tblGrid>
      <w:tr w:rsidR="008D0CAD" w:rsidRPr="006F3D3B" w14:paraId="64780CC3" w14:textId="77777777" w:rsidTr="00F4751F">
        <w:trPr>
          <w:trHeight w:val="231"/>
          <w:tblHeader/>
        </w:trPr>
        <w:tc>
          <w:tcPr>
            <w:tcW w:w="992" w:type="dxa"/>
          </w:tcPr>
          <w:p w14:paraId="79ED1F69" w14:textId="77777777" w:rsidR="008D0CAD" w:rsidRPr="006F3D3B" w:rsidRDefault="008D0CAD" w:rsidP="00DD08E3">
            <w:pPr>
              <w:spacing w:before="100" w:beforeAutospacing="1" w:after="100" w:afterAutospacing="1" w:line="360" w:lineRule="auto"/>
              <w:rPr>
                <w:rFonts w:asciiTheme="majorHAnsi" w:hAnsiTheme="majorHAnsi" w:cstheme="majorHAnsi"/>
                <w:b/>
                <w:color w:val="000000" w:themeColor="text1"/>
                <w:lang w:val="en-US"/>
              </w:rPr>
            </w:pPr>
            <w:r w:rsidRPr="006F3D3B">
              <w:rPr>
                <w:rFonts w:asciiTheme="majorHAnsi" w:hAnsiTheme="majorHAnsi" w:cstheme="majorHAnsi"/>
                <w:b/>
                <w:color w:val="000000" w:themeColor="text1"/>
                <w:lang w:val="en-US"/>
              </w:rPr>
              <w:t>Score</w:t>
            </w:r>
          </w:p>
        </w:tc>
        <w:tc>
          <w:tcPr>
            <w:tcW w:w="2834" w:type="dxa"/>
          </w:tcPr>
          <w:p w14:paraId="18DAEAE5" w14:textId="77777777" w:rsidR="008D0CAD" w:rsidRPr="006F3D3B" w:rsidRDefault="008D0CAD" w:rsidP="00DD08E3">
            <w:pPr>
              <w:spacing w:before="100" w:beforeAutospacing="1" w:after="100" w:afterAutospacing="1" w:line="360" w:lineRule="auto"/>
              <w:rPr>
                <w:rFonts w:asciiTheme="majorHAnsi" w:hAnsiTheme="majorHAnsi" w:cstheme="majorHAnsi"/>
                <w:b/>
                <w:color w:val="000000" w:themeColor="text1"/>
                <w:lang w:val="en-US"/>
              </w:rPr>
            </w:pPr>
            <w:r w:rsidRPr="006F3D3B">
              <w:rPr>
                <w:rFonts w:asciiTheme="majorHAnsi" w:hAnsiTheme="majorHAnsi" w:cstheme="majorHAnsi"/>
                <w:b/>
                <w:bCs/>
                <w:color w:val="000000"/>
                <w:sz w:val="20"/>
                <w:szCs w:val="20"/>
                <w:lang w:val="en-US"/>
              </w:rPr>
              <w:t>Knowledge</w:t>
            </w:r>
          </w:p>
        </w:tc>
        <w:tc>
          <w:tcPr>
            <w:tcW w:w="2754" w:type="dxa"/>
          </w:tcPr>
          <w:p w14:paraId="21720E76" w14:textId="77777777" w:rsidR="008D0CAD" w:rsidRPr="006F3D3B" w:rsidRDefault="008D0CAD" w:rsidP="00DD08E3">
            <w:pPr>
              <w:spacing w:before="100" w:beforeAutospacing="1" w:after="100" w:afterAutospacing="1" w:line="360" w:lineRule="auto"/>
              <w:rPr>
                <w:rFonts w:asciiTheme="majorHAnsi" w:hAnsiTheme="majorHAnsi" w:cstheme="majorHAnsi"/>
                <w:b/>
                <w:color w:val="000000" w:themeColor="text1"/>
                <w:lang w:val="en-US"/>
              </w:rPr>
            </w:pPr>
            <w:r w:rsidRPr="006F3D3B">
              <w:rPr>
                <w:rFonts w:asciiTheme="majorHAnsi" w:hAnsiTheme="majorHAnsi" w:cstheme="majorHAnsi"/>
                <w:b/>
                <w:color w:val="000000" w:themeColor="text1"/>
                <w:lang w:val="en-US"/>
              </w:rPr>
              <w:t>Access</w:t>
            </w:r>
          </w:p>
        </w:tc>
        <w:tc>
          <w:tcPr>
            <w:tcW w:w="2430" w:type="dxa"/>
          </w:tcPr>
          <w:p w14:paraId="2FA19258" w14:textId="77777777" w:rsidR="008D0CAD" w:rsidRPr="006F3D3B" w:rsidRDefault="008D0CAD" w:rsidP="00DD08E3">
            <w:pPr>
              <w:spacing w:before="100" w:beforeAutospacing="1" w:after="100" w:afterAutospacing="1" w:line="360" w:lineRule="auto"/>
              <w:rPr>
                <w:rFonts w:asciiTheme="majorHAnsi" w:hAnsiTheme="majorHAnsi" w:cstheme="majorHAnsi"/>
                <w:b/>
                <w:color w:val="000000" w:themeColor="text1"/>
                <w:lang w:val="en-US"/>
              </w:rPr>
            </w:pPr>
            <w:r w:rsidRPr="006F3D3B">
              <w:rPr>
                <w:rFonts w:asciiTheme="majorHAnsi" w:hAnsiTheme="majorHAnsi" w:cstheme="majorHAnsi"/>
                <w:b/>
                <w:color w:val="000000" w:themeColor="text1"/>
                <w:lang w:val="en-US"/>
              </w:rPr>
              <w:t>Use</w:t>
            </w:r>
          </w:p>
        </w:tc>
      </w:tr>
      <w:tr w:rsidR="008D0CAD" w:rsidRPr="006F3D3B" w14:paraId="6D7E2879" w14:textId="77777777" w:rsidTr="00DD08E3">
        <w:trPr>
          <w:trHeight w:val="223"/>
        </w:trPr>
        <w:tc>
          <w:tcPr>
            <w:tcW w:w="992" w:type="dxa"/>
          </w:tcPr>
          <w:p w14:paraId="6C8E8A06" w14:textId="77777777" w:rsidR="008D0CAD" w:rsidRPr="006F3D3B" w:rsidRDefault="008D0CAD" w:rsidP="00DD08E3">
            <w:pPr>
              <w:spacing w:before="100" w:beforeAutospacing="1" w:after="100" w:afterAutospacing="1" w:line="360" w:lineRule="auto"/>
              <w:rPr>
                <w:rFonts w:asciiTheme="majorHAnsi" w:hAnsiTheme="majorHAnsi" w:cstheme="majorHAnsi"/>
                <w:color w:val="000000" w:themeColor="text1"/>
                <w:lang w:val="en-US"/>
              </w:rPr>
            </w:pPr>
            <w:r w:rsidRPr="006F3D3B">
              <w:rPr>
                <w:rFonts w:asciiTheme="majorHAnsi" w:hAnsiTheme="majorHAnsi" w:cstheme="majorHAnsi"/>
                <w:color w:val="000000" w:themeColor="text1"/>
                <w:lang w:val="en-US"/>
              </w:rPr>
              <w:t>4</w:t>
            </w:r>
          </w:p>
        </w:tc>
        <w:tc>
          <w:tcPr>
            <w:tcW w:w="2834" w:type="dxa"/>
          </w:tcPr>
          <w:p w14:paraId="33520BAE" w14:textId="77777777" w:rsidR="008D0CAD" w:rsidRPr="006F3D3B" w:rsidRDefault="008D0CAD" w:rsidP="00DD08E3">
            <w:pPr>
              <w:spacing w:before="100" w:beforeAutospacing="1" w:after="100" w:afterAutospacing="1" w:line="360" w:lineRule="auto"/>
              <w:rPr>
                <w:rFonts w:asciiTheme="majorHAnsi" w:hAnsiTheme="majorHAnsi" w:cstheme="majorHAnsi"/>
                <w:color w:val="000000" w:themeColor="text1"/>
                <w:lang w:val="en-US"/>
              </w:rPr>
            </w:pPr>
            <w:r w:rsidRPr="006F3D3B">
              <w:rPr>
                <w:rFonts w:asciiTheme="majorHAnsi" w:hAnsiTheme="majorHAnsi" w:cstheme="majorHAnsi"/>
                <w:lang w:val="en-US"/>
              </w:rPr>
              <w:t xml:space="preserve">I have </w:t>
            </w:r>
            <w:r w:rsidRPr="006F3D3B">
              <w:rPr>
                <w:rFonts w:asciiTheme="majorHAnsi" w:hAnsiTheme="majorHAnsi" w:cstheme="majorHAnsi"/>
                <w:b/>
                <w:lang w:val="en-US"/>
              </w:rPr>
              <w:t>comprehensive knowledge</w:t>
            </w:r>
            <w:r w:rsidRPr="006F3D3B">
              <w:rPr>
                <w:rFonts w:asciiTheme="majorHAnsi" w:hAnsiTheme="majorHAnsi" w:cstheme="majorHAnsi"/>
                <w:lang w:val="en-US"/>
              </w:rPr>
              <w:t xml:space="preserve"> about these materials</w:t>
            </w:r>
          </w:p>
        </w:tc>
        <w:tc>
          <w:tcPr>
            <w:tcW w:w="2754" w:type="dxa"/>
          </w:tcPr>
          <w:p w14:paraId="6D96E3A8" w14:textId="77777777" w:rsidR="008D0CAD" w:rsidRPr="006F3D3B" w:rsidRDefault="008D0CAD" w:rsidP="00DD08E3">
            <w:pPr>
              <w:spacing w:before="100" w:beforeAutospacing="1" w:after="100" w:afterAutospacing="1" w:line="360" w:lineRule="auto"/>
              <w:rPr>
                <w:rFonts w:asciiTheme="majorHAnsi" w:hAnsiTheme="majorHAnsi" w:cstheme="majorHAnsi"/>
                <w:color w:val="000000" w:themeColor="text1"/>
                <w:lang w:val="en-US"/>
              </w:rPr>
            </w:pPr>
            <w:r w:rsidRPr="006F3D3B">
              <w:rPr>
                <w:rFonts w:asciiTheme="majorHAnsi" w:hAnsiTheme="majorHAnsi" w:cstheme="majorHAnsi"/>
                <w:color w:val="000000" w:themeColor="text1"/>
                <w:lang w:val="en-US"/>
              </w:rPr>
              <w:t xml:space="preserve">The school has </w:t>
            </w:r>
            <w:r w:rsidRPr="006F3D3B">
              <w:rPr>
                <w:rFonts w:asciiTheme="majorHAnsi" w:hAnsiTheme="majorHAnsi" w:cstheme="majorHAnsi"/>
                <w:b/>
                <w:lang w:val="en-US"/>
              </w:rPr>
              <w:t>full access</w:t>
            </w:r>
            <w:r w:rsidRPr="006F3D3B">
              <w:rPr>
                <w:rFonts w:asciiTheme="majorHAnsi" w:hAnsiTheme="majorHAnsi" w:cstheme="majorHAnsi"/>
                <w:lang w:val="en-US"/>
              </w:rPr>
              <w:t xml:space="preserve"> to these materials</w:t>
            </w:r>
          </w:p>
        </w:tc>
        <w:tc>
          <w:tcPr>
            <w:tcW w:w="2430" w:type="dxa"/>
          </w:tcPr>
          <w:p w14:paraId="50A88EE1" w14:textId="77777777" w:rsidR="008D0CAD" w:rsidRPr="006F3D3B" w:rsidRDefault="008D0CAD" w:rsidP="00DD08E3">
            <w:pPr>
              <w:spacing w:before="100" w:beforeAutospacing="1" w:after="100" w:afterAutospacing="1" w:line="360" w:lineRule="auto"/>
              <w:rPr>
                <w:rFonts w:asciiTheme="majorHAnsi" w:hAnsiTheme="majorHAnsi" w:cstheme="majorHAnsi"/>
                <w:color w:val="000000" w:themeColor="text1"/>
                <w:lang w:val="en-US"/>
              </w:rPr>
            </w:pPr>
            <w:r w:rsidRPr="006F3D3B">
              <w:rPr>
                <w:rFonts w:asciiTheme="majorHAnsi" w:hAnsiTheme="majorHAnsi" w:cstheme="majorHAnsi"/>
                <w:color w:val="000000" w:themeColor="text1"/>
                <w:lang w:val="en-US"/>
              </w:rPr>
              <w:t xml:space="preserve">The school has </w:t>
            </w:r>
            <w:r w:rsidRPr="006F3D3B">
              <w:rPr>
                <w:rFonts w:asciiTheme="majorHAnsi" w:hAnsiTheme="majorHAnsi" w:cstheme="majorHAnsi"/>
                <w:b/>
                <w:color w:val="000000" w:themeColor="text1"/>
                <w:lang w:val="en-US"/>
              </w:rPr>
              <w:t xml:space="preserve">innovated </w:t>
            </w:r>
            <w:r w:rsidRPr="006F3D3B">
              <w:rPr>
                <w:rFonts w:asciiTheme="majorHAnsi" w:hAnsiTheme="majorHAnsi" w:cstheme="majorHAnsi"/>
                <w:color w:val="000000" w:themeColor="text1"/>
                <w:lang w:val="en-US"/>
              </w:rPr>
              <w:t xml:space="preserve">on </w:t>
            </w:r>
            <w:r w:rsidRPr="006F3D3B">
              <w:rPr>
                <w:rFonts w:asciiTheme="majorHAnsi" w:hAnsiTheme="majorHAnsi" w:cstheme="majorHAnsi"/>
                <w:lang w:val="en-US"/>
              </w:rPr>
              <w:t>these materials</w:t>
            </w:r>
          </w:p>
        </w:tc>
      </w:tr>
      <w:tr w:rsidR="008D0CAD" w:rsidRPr="006F3D3B" w14:paraId="46330C4E" w14:textId="77777777" w:rsidTr="00DD08E3">
        <w:trPr>
          <w:trHeight w:val="231"/>
        </w:trPr>
        <w:tc>
          <w:tcPr>
            <w:tcW w:w="992" w:type="dxa"/>
          </w:tcPr>
          <w:p w14:paraId="1BE3A8E3" w14:textId="77777777" w:rsidR="008D0CAD" w:rsidRPr="006F3D3B" w:rsidRDefault="008D0CAD" w:rsidP="00DD08E3">
            <w:pPr>
              <w:spacing w:before="100" w:beforeAutospacing="1" w:after="100" w:afterAutospacing="1" w:line="360" w:lineRule="auto"/>
              <w:rPr>
                <w:rFonts w:asciiTheme="majorHAnsi" w:hAnsiTheme="majorHAnsi" w:cstheme="majorHAnsi"/>
                <w:color w:val="000000" w:themeColor="text1"/>
                <w:lang w:val="en-US"/>
              </w:rPr>
            </w:pPr>
            <w:r w:rsidRPr="006F3D3B">
              <w:rPr>
                <w:rFonts w:asciiTheme="majorHAnsi" w:hAnsiTheme="majorHAnsi" w:cstheme="majorHAnsi"/>
                <w:color w:val="000000" w:themeColor="text1"/>
                <w:lang w:val="en-US"/>
              </w:rPr>
              <w:t>3</w:t>
            </w:r>
          </w:p>
        </w:tc>
        <w:tc>
          <w:tcPr>
            <w:tcW w:w="2834" w:type="dxa"/>
          </w:tcPr>
          <w:p w14:paraId="07D2DAEB" w14:textId="77777777" w:rsidR="008D0CAD" w:rsidRPr="006F3D3B" w:rsidRDefault="008D0CAD" w:rsidP="00DD08E3">
            <w:pPr>
              <w:spacing w:before="100" w:beforeAutospacing="1" w:after="100" w:afterAutospacing="1" w:line="360" w:lineRule="auto"/>
              <w:rPr>
                <w:rFonts w:asciiTheme="majorHAnsi" w:hAnsiTheme="majorHAnsi" w:cstheme="majorHAnsi"/>
                <w:color w:val="000000" w:themeColor="text1"/>
                <w:lang w:val="en-US"/>
              </w:rPr>
            </w:pPr>
            <w:r w:rsidRPr="006F3D3B">
              <w:rPr>
                <w:rFonts w:asciiTheme="majorHAnsi" w:hAnsiTheme="majorHAnsi" w:cstheme="majorHAnsi"/>
                <w:lang w:val="en-US"/>
              </w:rPr>
              <w:t xml:space="preserve">I have </w:t>
            </w:r>
            <w:r w:rsidRPr="006F3D3B">
              <w:rPr>
                <w:rFonts w:asciiTheme="majorHAnsi" w:hAnsiTheme="majorHAnsi" w:cstheme="majorHAnsi"/>
                <w:b/>
                <w:lang w:val="en-US"/>
              </w:rPr>
              <w:t>sufficient knowledge</w:t>
            </w:r>
            <w:r w:rsidRPr="006F3D3B">
              <w:rPr>
                <w:rFonts w:asciiTheme="majorHAnsi" w:hAnsiTheme="majorHAnsi" w:cstheme="majorHAnsi"/>
                <w:lang w:val="en-US"/>
              </w:rPr>
              <w:t xml:space="preserve"> about these materials</w:t>
            </w:r>
          </w:p>
        </w:tc>
        <w:tc>
          <w:tcPr>
            <w:tcW w:w="2754" w:type="dxa"/>
          </w:tcPr>
          <w:p w14:paraId="3F2523AA" w14:textId="77777777" w:rsidR="008D0CAD" w:rsidRPr="006F3D3B" w:rsidRDefault="008D0CAD" w:rsidP="00DD08E3">
            <w:pPr>
              <w:spacing w:before="100" w:beforeAutospacing="1" w:after="100" w:afterAutospacing="1" w:line="360" w:lineRule="auto"/>
              <w:rPr>
                <w:rFonts w:asciiTheme="majorHAnsi" w:hAnsiTheme="majorHAnsi" w:cstheme="majorHAnsi"/>
                <w:color w:val="000000" w:themeColor="text1"/>
                <w:lang w:val="en-US"/>
              </w:rPr>
            </w:pPr>
            <w:r w:rsidRPr="006F3D3B">
              <w:rPr>
                <w:rFonts w:asciiTheme="majorHAnsi" w:hAnsiTheme="majorHAnsi" w:cstheme="majorHAnsi"/>
                <w:color w:val="000000" w:themeColor="text1"/>
                <w:lang w:val="en-US"/>
              </w:rPr>
              <w:t xml:space="preserve">The school has </w:t>
            </w:r>
            <w:r w:rsidRPr="006F3D3B">
              <w:rPr>
                <w:rFonts w:asciiTheme="majorHAnsi" w:hAnsiTheme="majorHAnsi" w:cstheme="majorHAnsi"/>
                <w:b/>
                <w:lang w:val="en-US"/>
              </w:rPr>
              <w:t>sufficient access</w:t>
            </w:r>
            <w:r w:rsidRPr="006F3D3B">
              <w:rPr>
                <w:rFonts w:asciiTheme="majorHAnsi" w:hAnsiTheme="majorHAnsi" w:cstheme="majorHAnsi"/>
                <w:lang w:val="en-US"/>
              </w:rPr>
              <w:t xml:space="preserve"> to these materials</w:t>
            </w:r>
          </w:p>
        </w:tc>
        <w:tc>
          <w:tcPr>
            <w:tcW w:w="2430" w:type="dxa"/>
          </w:tcPr>
          <w:p w14:paraId="0ED616BD" w14:textId="77777777" w:rsidR="008D0CAD" w:rsidRPr="006F3D3B" w:rsidRDefault="008D0CAD" w:rsidP="00DD08E3">
            <w:pPr>
              <w:spacing w:before="100" w:beforeAutospacing="1" w:after="100" w:afterAutospacing="1" w:line="360" w:lineRule="auto"/>
              <w:rPr>
                <w:rFonts w:asciiTheme="majorHAnsi" w:hAnsiTheme="majorHAnsi" w:cstheme="majorHAnsi"/>
                <w:color w:val="000000" w:themeColor="text1"/>
                <w:lang w:val="en-US"/>
              </w:rPr>
            </w:pPr>
            <w:r w:rsidRPr="006F3D3B">
              <w:rPr>
                <w:rFonts w:asciiTheme="majorHAnsi" w:hAnsiTheme="majorHAnsi" w:cstheme="majorHAnsi"/>
                <w:color w:val="000000" w:themeColor="text1"/>
                <w:lang w:val="en-US"/>
              </w:rPr>
              <w:t xml:space="preserve">The school </w:t>
            </w:r>
            <w:r w:rsidRPr="006F3D3B">
              <w:rPr>
                <w:rFonts w:asciiTheme="majorHAnsi" w:hAnsiTheme="majorHAnsi" w:cstheme="majorHAnsi"/>
                <w:b/>
                <w:color w:val="000000" w:themeColor="text1"/>
                <w:lang w:val="en-US"/>
              </w:rPr>
              <w:t>fully uses</w:t>
            </w:r>
            <w:r w:rsidRPr="006F3D3B">
              <w:rPr>
                <w:rFonts w:asciiTheme="majorHAnsi" w:hAnsiTheme="majorHAnsi" w:cstheme="majorHAnsi"/>
                <w:color w:val="000000" w:themeColor="text1"/>
                <w:lang w:val="en-US"/>
              </w:rPr>
              <w:t xml:space="preserve"> </w:t>
            </w:r>
            <w:r w:rsidRPr="006F3D3B">
              <w:rPr>
                <w:rFonts w:asciiTheme="majorHAnsi" w:hAnsiTheme="majorHAnsi" w:cstheme="majorHAnsi"/>
                <w:lang w:val="en-US"/>
              </w:rPr>
              <w:t>these materials</w:t>
            </w:r>
          </w:p>
        </w:tc>
      </w:tr>
      <w:tr w:rsidR="008D0CAD" w:rsidRPr="006F3D3B" w14:paraId="57F4FA35" w14:textId="77777777" w:rsidTr="00DD08E3">
        <w:trPr>
          <w:trHeight w:val="223"/>
        </w:trPr>
        <w:tc>
          <w:tcPr>
            <w:tcW w:w="992" w:type="dxa"/>
          </w:tcPr>
          <w:p w14:paraId="2F6BD64B" w14:textId="77777777" w:rsidR="008D0CAD" w:rsidRPr="006F3D3B" w:rsidRDefault="008D0CAD" w:rsidP="00DD08E3">
            <w:pPr>
              <w:spacing w:before="100" w:beforeAutospacing="1" w:after="100" w:afterAutospacing="1" w:line="360" w:lineRule="auto"/>
              <w:rPr>
                <w:rFonts w:asciiTheme="majorHAnsi" w:hAnsiTheme="majorHAnsi" w:cstheme="majorHAnsi"/>
                <w:color w:val="000000" w:themeColor="text1"/>
                <w:lang w:val="en-US"/>
              </w:rPr>
            </w:pPr>
            <w:r w:rsidRPr="006F3D3B">
              <w:rPr>
                <w:rFonts w:asciiTheme="majorHAnsi" w:hAnsiTheme="majorHAnsi" w:cstheme="majorHAnsi"/>
                <w:color w:val="000000" w:themeColor="text1"/>
                <w:lang w:val="en-US"/>
              </w:rPr>
              <w:t>2</w:t>
            </w:r>
          </w:p>
        </w:tc>
        <w:tc>
          <w:tcPr>
            <w:tcW w:w="2834" w:type="dxa"/>
          </w:tcPr>
          <w:p w14:paraId="5708B96F" w14:textId="77777777" w:rsidR="008D0CAD" w:rsidRPr="006F3D3B" w:rsidRDefault="008D0CAD" w:rsidP="00DD08E3">
            <w:pPr>
              <w:spacing w:before="100" w:beforeAutospacing="1" w:after="100" w:afterAutospacing="1" w:line="360" w:lineRule="auto"/>
              <w:rPr>
                <w:rFonts w:asciiTheme="majorHAnsi" w:hAnsiTheme="majorHAnsi" w:cstheme="majorHAnsi"/>
                <w:color w:val="000000" w:themeColor="text1"/>
                <w:lang w:val="en-US"/>
              </w:rPr>
            </w:pPr>
            <w:r w:rsidRPr="006F3D3B">
              <w:rPr>
                <w:rFonts w:asciiTheme="majorHAnsi" w:hAnsiTheme="majorHAnsi" w:cstheme="majorHAnsi"/>
                <w:lang w:val="en-US"/>
              </w:rPr>
              <w:t xml:space="preserve">I have </w:t>
            </w:r>
            <w:r w:rsidRPr="006F3D3B">
              <w:rPr>
                <w:rFonts w:asciiTheme="majorHAnsi" w:hAnsiTheme="majorHAnsi" w:cstheme="majorHAnsi"/>
                <w:b/>
                <w:lang w:val="en-US"/>
              </w:rPr>
              <w:t>limited knowledge</w:t>
            </w:r>
            <w:r w:rsidRPr="006F3D3B">
              <w:rPr>
                <w:rFonts w:asciiTheme="majorHAnsi" w:hAnsiTheme="majorHAnsi" w:cstheme="majorHAnsi"/>
                <w:lang w:val="en-US"/>
              </w:rPr>
              <w:t xml:space="preserve"> about these materials</w:t>
            </w:r>
          </w:p>
        </w:tc>
        <w:tc>
          <w:tcPr>
            <w:tcW w:w="2754" w:type="dxa"/>
          </w:tcPr>
          <w:p w14:paraId="04BECE64" w14:textId="77777777" w:rsidR="008D0CAD" w:rsidRPr="006F3D3B" w:rsidRDefault="008D0CAD" w:rsidP="00DD08E3">
            <w:pPr>
              <w:spacing w:before="100" w:beforeAutospacing="1" w:after="100" w:afterAutospacing="1" w:line="360" w:lineRule="auto"/>
              <w:rPr>
                <w:rFonts w:asciiTheme="majorHAnsi" w:hAnsiTheme="majorHAnsi" w:cstheme="majorHAnsi"/>
                <w:color w:val="000000" w:themeColor="text1"/>
                <w:lang w:val="en-US"/>
              </w:rPr>
            </w:pPr>
            <w:r w:rsidRPr="006F3D3B">
              <w:rPr>
                <w:rFonts w:asciiTheme="majorHAnsi" w:hAnsiTheme="majorHAnsi" w:cstheme="majorHAnsi"/>
                <w:color w:val="000000" w:themeColor="text1"/>
                <w:lang w:val="en-US"/>
              </w:rPr>
              <w:t xml:space="preserve">The school has </w:t>
            </w:r>
            <w:r w:rsidRPr="006F3D3B">
              <w:rPr>
                <w:rFonts w:asciiTheme="majorHAnsi" w:hAnsiTheme="majorHAnsi" w:cstheme="majorHAnsi"/>
                <w:b/>
                <w:lang w:val="en-US"/>
              </w:rPr>
              <w:t>limited access</w:t>
            </w:r>
            <w:r w:rsidRPr="006F3D3B">
              <w:rPr>
                <w:rFonts w:asciiTheme="majorHAnsi" w:hAnsiTheme="majorHAnsi" w:cstheme="majorHAnsi"/>
                <w:lang w:val="en-US"/>
              </w:rPr>
              <w:t xml:space="preserve"> to these materials</w:t>
            </w:r>
          </w:p>
        </w:tc>
        <w:tc>
          <w:tcPr>
            <w:tcW w:w="2430" w:type="dxa"/>
          </w:tcPr>
          <w:p w14:paraId="2700777F" w14:textId="77777777" w:rsidR="008D0CAD" w:rsidRPr="006F3D3B" w:rsidRDefault="008D0CAD" w:rsidP="00DD08E3">
            <w:pPr>
              <w:spacing w:before="100" w:beforeAutospacing="1" w:after="100" w:afterAutospacing="1" w:line="360" w:lineRule="auto"/>
              <w:rPr>
                <w:rFonts w:asciiTheme="majorHAnsi" w:hAnsiTheme="majorHAnsi" w:cstheme="majorHAnsi"/>
                <w:color w:val="000000" w:themeColor="text1"/>
                <w:lang w:val="en-US"/>
              </w:rPr>
            </w:pPr>
            <w:r w:rsidRPr="006F3D3B">
              <w:rPr>
                <w:rFonts w:asciiTheme="majorHAnsi" w:hAnsiTheme="majorHAnsi" w:cstheme="majorHAnsi"/>
                <w:color w:val="000000" w:themeColor="text1"/>
                <w:lang w:val="en-US"/>
              </w:rPr>
              <w:t xml:space="preserve">The school </w:t>
            </w:r>
            <w:r w:rsidRPr="006F3D3B">
              <w:rPr>
                <w:rFonts w:asciiTheme="majorHAnsi" w:hAnsiTheme="majorHAnsi" w:cstheme="majorHAnsi"/>
                <w:b/>
                <w:color w:val="000000" w:themeColor="text1"/>
                <w:lang w:val="en-US"/>
              </w:rPr>
              <w:t>partially uses</w:t>
            </w:r>
            <w:r w:rsidRPr="006F3D3B">
              <w:rPr>
                <w:rFonts w:asciiTheme="majorHAnsi" w:hAnsiTheme="majorHAnsi" w:cstheme="majorHAnsi"/>
                <w:color w:val="000000" w:themeColor="text1"/>
                <w:lang w:val="en-US"/>
              </w:rPr>
              <w:t xml:space="preserve"> </w:t>
            </w:r>
            <w:r w:rsidRPr="006F3D3B">
              <w:rPr>
                <w:rFonts w:asciiTheme="majorHAnsi" w:hAnsiTheme="majorHAnsi" w:cstheme="majorHAnsi"/>
                <w:lang w:val="en-US"/>
              </w:rPr>
              <w:t>these materials</w:t>
            </w:r>
          </w:p>
        </w:tc>
      </w:tr>
      <w:tr w:rsidR="008D0CAD" w:rsidRPr="006F3D3B" w14:paraId="2D6B65A0" w14:textId="77777777" w:rsidTr="00DD08E3">
        <w:trPr>
          <w:trHeight w:val="223"/>
        </w:trPr>
        <w:tc>
          <w:tcPr>
            <w:tcW w:w="992" w:type="dxa"/>
          </w:tcPr>
          <w:p w14:paraId="6C2FB07F" w14:textId="77777777" w:rsidR="008D0CAD" w:rsidRPr="006F3D3B" w:rsidRDefault="008D0CAD" w:rsidP="00DD08E3">
            <w:pPr>
              <w:spacing w:before="100" w:beforeAutospacing="1" w:after="100" w:afterAutospacing="1" w:line="360" w:lineRule="auto"/>
              <w:rPr>
                <w:rFonts w:asciiTheme="majorHAnsi" w:hAnsiTheme="majorHAnsi" w:cstheme="majorHAnsi"/>
                <w:color w:val="000000" w:themeColor="text1"/>
                <w:lang w:val="en-US"/>
              </w:rPr>
            </w:pPr>
            <w:r w:rsidRPr="006F3D3B">
              <w:rPr>
                <w:rFonts w:asciiTheme="majorHAnsi" w:hAnsiTheme="majorHAnsi" w:cstheme="majorHAnsi"/>
                <w:color w:val="000000" w:themeColor="text1"/>
                <w:lang w:val="en-US"/>
              </w:rPr>
              <w:t>1</w:t>
            </w:r>
          </w:p>
        </w:tc>
        <w:tc>
          <w:tcPr>
            <w:tcW w:w="2834" w:type="dxa"/>
          </w:tcPr>
          <w:p w14:paraId="7C92F1E4" w14:textId="77777777" w:rsidR="008D0CAD" w:rsidRPr="006F3D3B" w:rsidRDefault="008D0CAD" w:rsidP="00DD08E3">
            <w:pPr>
              <w:spacing w:before="100" w:beforeAutospacing="1" w:after="100" w:afterAutospacing="1" w:line="360" w:lineRule="auto"/>
              <w:rPr>
                <w:rFonts w:asciiTheme="majorHAnsi" w:hAnsiTheme="majorHAnsi" w:cstheme="majorHAnsi"/>
                <w:color w:val="000000" w:themeColor="text1"/>
                <w:lang w:val="en-US"/>
              </w:rPr>
            </w:pPr>
            <w:r w:rsidRPr="006F3D3B">
              <w:rPr>
                <w:rFonts w:asciiTheme="majorHAnsi" w:hAnsiTheme="majorHAnsi" w:cstheme="majorHAnsi"/>
                <w:lang w:val="en-US"/>
              </w:rPr>
              <w:t xml:space="preserve">I have </w:t>
            </w:r>
            <w:r w:rsidRPr="006F3D3B">
              <w:rPr>
                <w:rFonts w:asciiTheme="majorHAnsi" w:hAnsiTheme="majorHAnsi" w:cstheme="majorHAnsi"/>
                <w:b/>
                <w:lang w:val="en-US"/>
              </w:rPr>
              <w:t>no knowledge</w:t>
            </w:r>
            <w:r w:rsidRPr="006F3D3B">
              <w:rPr>
                <w:rFonts w:asciiTheme="majorHAnsi" w:hAnsiTheme="majorHAnsi" w:cstheme="majorHAnsi"/>
                <w:lang w:val="en-US"/>
              </w:rPr>
              <w:t xml:space="preserve"> about these materials</w:t>
            </w:r>
          </w:p>
        </w:tc>
        <w:tc>
          <w:tcPr>
            <w:tcW w:w="2754" w:type="dxa"/>
          </w:tcPr>
          <w:p w14:paraId="2C56BE7A" w14:textId="77777777" w:rsidR="008D0CAD" w:rsidRPr="006F3D3B" w:rsidRDefault="008D0CAD" w:rsidP="00DD08E3">
            <w:pPr>
              <w:spacing w:before="100" w:beforeAutospacing="1" w:after="100" w:afterAutospacing="1" w:line="360" w:lineRule="auto"/>
              <w:rPr>
                <w:rFonts w:asciiTheme="majorHAnsi" w:hAnsiTheme="majorHAnsi" w:cstheme="majorHAnsi"/>
                <w:color w:val="000000" w:themeColor="text1"/>
                <w:lang w:val="en-US"/>
              </w:rPr>
            </w:pPr>
            <w:r w:rsidRPr="006F3D3B">
              <w:rPr>
                <w:rFonts w:asciiTheme="majorHAnsi" w:hAnsiTheme="majorHAnsi" w:cstheme="majorHAnsi"/>
                <w:color w:val="000000" w:themeColor="text1"/>
                <w:lang w:val="en-US"/>
              </w:rPr>
              <w:t xml:space="preserve">The school has </w:t>
            </w:r>
            <w:r w:rsidRPr="006F3D3B">
              <w:rPr>
                <w:rFonts w:asciiTheme="majorHAnsi" w:hAnsiTheme="majorHAnsi" w:cstheme="majorHAnsi"/>
                <w:b/>
                <w:lang w:val="en-US"/>
              </w:rPr>
              <w:t>no access</w:t>
            </w:r>
            <w:r w:rsidRPr="006F3D3B">
              <w:rPr>
                <w:rFonts w:asciiTheme="majorHAnsi" w:hAnsiTheme="majorHAnsi" w:cstheme="majorHAnsi"/>
                <w:lang w:val="en-US"/>
              </w:rPr>
              <w:t xml:space="preserve"> to these materials</w:t>
            </w:r>
          </w:p>
        </w:tc>
        <w:tc>
          <w:tcPr>
            <w:tcW w:w="2430" w:type="dxa"/>
          </w:tcPr>
          <w:p w14:paraId="16D61189" w14:textId="77777777" w:rsidR="008D0CAD" w:rsidRPr="006F3D3B" w:rsidRDefault="008D0CAD" w:rsidP="00DD08E3">
            <w:pPr>
              <w:spacing w:before="100" w:beforeAutospacing="1" w:after="100" w:afterAutospacing="1" w:line="360" w:lineRule="auto"/>
              <w:rPr>
                <w:rFonts w:asciiTheme="majorHAnsi" w:hAnsiTheme="majorHAnsi" w:cstheme="majorHAnsi"/>
                <w:color w:val="000000" w:themeColor="text1"/>
                <w:lang w:val="en-US"/>
              </w:rPr>
            </w:pPr>
            <w:r w:rsidRPr="006F3D3B">
              <w:rPr>
                <w:rFonts w:asciiTheme="majorHAnsi" w:hAnsiTheme="majorHAnsi" w:cstheme="majorHAnsi"/>
                <w:color w:val="000000" w:themeColor="text1"/>
                <w:lang w:val="en-US"/>
              </w:rPr>
              <w:t xml:space="preserve">The school does </w:t>
            </w:r>
            <w:r w:rsidRPr="006F3D3B">
              <w:rPr>
                <w:rFonts w:asciiTheme="majorHAnsi" w:hAnsiTheme="majorHAnsi" w:cstheme="majorHAnsi"/>
                <w:b/>
                <w:color w:val="000000" w:themeColor="text1"/>
                <w:lang w:val="en-US"/>
              </w:rPr>
              <w:t>not use</w:t>
            </w:r>
            <w:r w:rsidRPr="006F3D3B">
              <w:rPr>
                <w:rFonts w:asciiTheme="majorHAnsi" w:hAnsiTheme="majorHAnsi" w:cstheme="majorHAnsi"/>
                <w:color w:val="000000" w:themeColor="text1"/>
                <w:lang w:val="en-US"/>
              </w:rPr>
              <w:t xml:space="preserve"> </w:t>
            </w:r>
            <w:r w:rsidRPr="006F3D3B">
              <w:rPr>
                <w:rFonts w:asciiTheme="majorHAnsi" w:hAnsiTheme="majorHAnsi" w:cstheme="majorHAnsi"/>
                <w:lang w:val="en-US"/>
              </w:rPr>
              <w:t>these materials</w:t>
            </w:r>
          </w:p>
        </w:tc>
      </w:tr>
    </w:tbl>
    <w:p w14:paraId="39806F2B" w14:textId="5D8E9929" w:rsidR="008D0CAD" w:rsidRPr="00DD08E3" w:rsidRDefault="008D0CAD" w:rsidP="00DD08E3">
      <w:pPr>
        <w:widowControl w:val="0"/>
        <w:spacing w:before="100" w:beforeAutospacing="1" w:after="100" w:afterAutospacing="1" w:line="360" w:lineRule="auto"/>
        <w:rPr>
          <w:rFonts w:asciiTheme="majorHAnsi" w:hAnsiTheme="majorHAnsi" w:cstheme="majorHAnsi"/>
          <w:bCs/>
          <w:i/>
          <w:color w:val="000000"/>
          <w:sz w:val="22"/>
          <w:szCs w:val="22"/>
          <w:lang w:val="en-US"/>
        </w:rPr>
      </w:pPr>
      <w:r w:rsidRPr="006F3D3B">
        <w:rPr>
          <w:rFonts w:asciiTheme="majorHAnsi" w:hAnsiTheme="majorHAnsi" w:cstheme="majorHAnsi"/>
          <w:bCs/>
          <w:i/>
          <w:color w:val="000000"/>
          <w:sz w:val="22"/>
          <w:szCs w:val="22"/>
          <w:lang w:val="en-US"/>
        </w:rPr>
        <w:t xml:space="preserve"> Note: The </w:t>
      </w:r>
      <w:r w:rsidRPr="006F3D3B">
        <w:rPr>
          <w:rFonts w:asciiTheme="majorHAnsi" w:hAnsiTheme="majorHAnsi" w:cstheme="majorHAnsi"/>
          <w:b/>
          <w:bCs/>
          <w:i/>
          <w:color w:val="000000"/>
          <w:sz w:val="22"/>
          <w:szCs w:val="22"/>
          <w:lang w:val="en-US"/>
        </w:rPr>
        <w:t>How</w:t>
      </w:r>
      <w:r w:rsidRPr="006F3D3B">
        <w:rPr>
          <w:rFonts w:asciiTheme="majorHAnsi" w:hAnsiTheme="majorHAnsi" w:cstheme="majorHAnsi"/>
          <w:bCs/>
          <w:i/>
          <w:color w:val="000000"/>
          <w:sz w:val="22"/>
          <w:szCs w:val="22"/>
          <w:lang w:val="en-US"/>
        </w:rPr>
        <w:t xml:space="preserve"> will be explored during the interviews</w:t>
      </w:r>
    </w:p>
    <w:p w14:paraId="3E30959B" w14:textId="7B75496B" w:rsidR="008D0CAD" w:rsidRPr="00DD08E3" w:rsidRDefault="008D0CAD" w:rsidP="00DD08E3">
      <w:pPr>
        <w:widowControl w:val="0"/>
        <w:spacing w:before="100" w:beforeAutospacing="1" w:after="100" w:afterAutospacing="1" w:line="360" w:lineRule="auto"/>
        <w:rPr>
          <w:rFonts w:asciiTheme="majorHAnsi" w:hAnsiTheme="majorHAnsi" w:cstheme="majorHAnsi"/>
          <w:b/>
          <w:bCs/>
          <w:color w:val="000000" w:themeColor="text1"/>
          <w:sz w:val="22"/>
          <w:szCs w:val="22"/>
          <w:lang w:val="en-US"/>
        </w:rPr>
      </w:pPr>
      <w:r w:rsidRPr="006F3D3B">
        <w:rPr>
          <w:rFonts w:asciiTheme="majorHAnsi" w:hAnsiTheme="majorHAnsi" w:cstheme="majorHAnsi"/>
          <w:b/>
          <w:sz w:val="22"/>
          <w:szCs w:val="22"/>
          <w:lang w:val="en-US"/>
        </w:rPr>
        <w:t>Instruction</w:t>
      </w:r>
      <w:r w:rsidRPr="006F3D3B">
        <w:rPr>
          <w:rFonts w:asciiTheme="majorHAnsi" w:hAnsiTheme="majorHAnsi" w:cstheme="majorHAnsi"/>
          <w:sz w:val="22"/>
          <w:szCs w:val="22"/>
          <w:lang w:val="en-US"/>
        </w:rPr>
        <w:t xml:space="preserve">: </w:t>
      </w:r>
      <w:r w:rsidRPr="006F3D3B">
        <w:rPr>
          <w:rFonts w:asciiTheme="majorHAnsi" w:hAnsiTheme="majorHAnsi" w:cstheme="majorHAnsi"/>
          <w:color w:val="000000" w:themeColor="text1"/>
          <w:sz w:val="22"/>
          <w:szCs w:val="22"/>
          <w:lang w:val="en-US"/>
        </w:rPr>
        <w:t xml:space="preserve">For each </w:t>
      </w:r>
      <w:r w:rsidRPr="006F3D3B">
        <w:rPr>
          <w:rFonts w:asciiTheme="majorHAnsi" w:hAnsiTheme="majorHAnsi" w:cstheme="majorHAnsi"/>
          <w:b/>
          <w:bCs/>
          <w:color w:val="000000"/>
          <w:sz w:val="22"/>
          <w:szCs w:val="22"/>
          <w:lang w:val="en-US"/>
        </w:rPr>
        <w:t>development, teaching and learning materials</w:t>
      </w:r>
      <w:r w:rsidRPr="006F3D3B">
        <w:rPr>
          <w:rFonts w:asciiTheme="majorHAnsi" w:hAnsiTheme="majorHAnsi" w:cstheme="majorHAnsi"/>
          <w:color w:val="000000" w:themeColor="text1"/>
          <w:sz w:val="22"/>
          <w:szCs w:val="22"/>
          <w:lang w:val="en-US"/>
        </w:rPr>
        <w:t xml:space="preserve">, please write down the corresponding score for the statement that most applies to your Knowledge, Access and Use of these materials in the appropriate columns. </w:t>
      </w:r>
      <w:r w:rsidRPr="006F3D3B">
        <w:rPr>
          <w:rFonts w:asciiTheme="majorHAnsi" w:hAnsiTheme="majorHAnsi" w:cstheme="majorHAnsi"/>
          <w:b/>
          <w:bCs/>
          <w:color w:val="000000" w:themeColor="text1"/>
          <w:sz w:val="22"/>
          <w:szCs w:val="22"/>
          <w:lang w:val="en-US"/>
        </w:rPr>
        <w:t>Please leave the item blank if it does not apply to you.</w:t>
      </w:r>
    </w:p>
    <w:tbl>
      <w:tblPr>
        <w:tblStyle w:val="TableGrid11"/>
        <w:tblW w:w="9010" w:type="dxa"/>
        <w:tblLayout w:type="fixed"/>
        <w:tblLook w:val="04A0" w:firstRow="1" w:lastRow="0" w:firstColumn="1" w:lastColumn="0" w:noHBand="0" w:noVBand="1"/>
      </w:tblPr>
      <w:tblGrid>
        <w:gridCol w:w="5958"/>
        <w:gridCol w:w="1134"/>
        <w:gridCol w:w="992"/>
        <w:gridCol w:w="926"/>
      </w:tblGrid>
      <w:tr w:rsidR="008D0CAD" w:rsidRPr="006F3D3B" w14:paraId="0407AE77" w14:textId="77777777" w:rsidTr="001A175A">
        <w:trPr>
          <w:trHeight w:val="268"/>
          <w:tblHeader/>
        </w:trPr>
        <w:tc>
          <w:tcPr>
            <w:tcW w:w="5958" w:type="dxa"/>
          </w:tcPr>
          <w:p w14:paraId="68E820FD"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r w:rsidRPr="006F3D3B">
              <w:rPr>
                <w:rFonts w:asciiTheme="majorHAnsi" w:hAnsiTheme="majorHAnsi" w:cstheme="majorHAnsi"/>
                <w:b/>
                <w:bCs/>
                <w:color w:val="000000"/>
                <w:sz w:val="20"/>
                <w:szCs w:val="20"/>
                <w:lang w:val="en-US"/>
              </w:rPr>
              <w:t>Program Intervention Products</w:t>
            </w:r>
          </w:p>
        </w:tc>
        <w:tc>
          <w:tcPr>
            <w:tcW w:w="1134" w:type="dxa"/>
          </w:tcPr>
          <w:p w14:paraId="2C468744"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r w:rsidRPr="006F3D3B">
              <w:rPr>
                <w:rFonts w:asciiTheme="majorHAnsi" w:hAnsiTheme="majorHAnsi" w:cstheme="majorHAnsi"/>
                <w:b/>
                <w:bCs/>
                <w:color w:val="000000"/>
                <w:sz w:val="20"/>
                <w:szCs w:val="20"/>
                <w:lang w:val="en-US"/>
              </w:rPr>
              <w:t>Knowledge</w:t>
            </w:r>
          </w:p>
        </w:tc>
        <w:tc>
          <w:tcPr>
            <w:tcW w:w="992" w:type="dxa"/>
          </w:tcPr>
          <w:p w14:paraId="28C01120"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r w:rsidRPr="006F3D3B">
              <w:rPr>
                <w:rFonts w:asciiTheme="majorHAnsi" w:hAnsiTheme="majorHAnsi" w:cstheme="majorHAnsi"/>
                <w:b/>
                <w:bCs/>
                <w:color w:val="000000"/>
                <w:sz w:val="20"/>
                <w:szCs w:val="20"/>
                <w:lang w:val="en-US"/>
              </w:rPr>
              <w:t>Access</w:t>
            </w:r>
          </w:p>
        </w:tc>
        <w:tc>
          <w:tcPr>
            <w:tcW w:w="926" w:type="dxa"/>
          </w:tcPr>
          <w:p w14:paraId="6B5DAECC"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r w:rsidRPr="006F3D3B">
              <w:rPr>
                <w:rFonts w:asciiTheme="majorHAnsi" w:hAnsiTheme="majorHAnsi" w:cstheme="majorHAnsi"/>
                <w:b/>
                <w:bCs/>
                <w:color w:val="000000"/>
                <w:sz w:val="20"/>
                <w:szCs w:val="20"/>
                <w:lang w:val="en-US"/>
              </w:rPr>
              <w:t>Use</w:t>
            </w:r>
          </w:p>
        </w:tc>
      </w:tr>
      <w:tr w:rsidR="008D0CAD" w:rsidRPr="006F3D3B" w14:paraId="417CAB15" w14:textId="77777777" w:rsidTr="00EC48C1">
        <w:trPr>
          <w:trHeight w:val="268"/>
        </w:trPr>
        <w:tc>
          <w:tcPr>
            <w:tcW w:w="5958" w:type="dxa"/>
          </w:tcPr>
          <w:p w14:paraId="35BCC381" w14:textId="77777777" w:rsidR="008D0CAD" w:rsidRPr="006F3D3B" w:rsidRDefault="008D0CAD" w:rsidP="00DD08E3">
            <w:pPr>
              <w:numPr>
                <w:ilvl w:val="0"/>
                <w:numId w:val="90"/>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6F3D3B">
              <w:rPr>
                <w:rFonts w:asciiTheme="majorHAnsi" w:hAnsiTheme="majorHAnsi" w:cstheme="majorHAnsi"/>
                <w:snapToGrid w:val="0"/>
                <w:sz w:val="20"/>
                <w:szCs w:val="20"/>
                <w:lang w:val="en-US"/>
              </w:rPr>
              <w:t>School Heads’ Leadership Development Program (SHLDP) Modules</w:t>
            </w:r>
          </w:p>
        </w:tc>
        <w:tc>
          <w:tcPr>
            <w:tcW w:w="1134" w:type="dxa"/>
          </w:tcPr>
          <w:p w14:paraId="25A4EF27"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992" w:type="dxa"/>
          </w:tcPr>
          <w:p w14:paraId="437762FD" w14:textId="77777777" w:rsidR="008D0CAD" w:rsidRPr="006F3D3B" w:rsidRDefault="008D0CAD" w:rsidP="00DD08E3">
            <w:pPr>
              <w:spacing w:before="100" w:beforeAutospacing="1" w:after="100" w:afterAutospacing="1" w:line="360" w:lineRule="auto"/>
              <w:rPr>
                <w:rFonts w:asciiTheme="majorHAnsi" w:hAnsiTheme="majorHAnsi" w:cstheme="majorHAnsi"/>
                <w:bCs/>
                <w:color w:val="000000"/>
                <w:sz w:val="20"/>
                <w:szCs w:val="20"/>
                <w:lang w:val="en-US"/>
              </w:rPr>
            </w:pPr>
          </w:p>
        </w:tc>
        <w:tc>
          <w:tcPr>
            <w:tcW w:w="926" w:type="dxa"/>
          </w:tcPr>
          <w:p w14:paraId="561D6A1C" w14:textId="77777777" w:rsidR="008D0CAD" w:rsidRPr="006F3D3B" w:rsidRDefault="008D0CAD" w:rsidP="00DD08E3">
            <w:pPr>
              <w:spacing w:before="100" w:beforeAutospacing="1" w:after="100" w:afterAutospacing="1" w:line="360" w:lineRule="auto"/>
              <w:rPr>
                <w:rFonts w:asciiTheme="majorHAnsi" w:hAnsiTheme="majorHAnsi" w:cstheme="majorHAnsi"/>
                <w:bCs/>
                <w:color w:val="000000"/>
                <w:sz w:val="20"/>
                <w:szCs w:val="20"/>
                <w:lang w:val="en-US"/>
              </w:rPr>
            </w:pPr>
          </w:p>
        </w:tc>
      </w:tr>
      <w:tr w:rsidR="008D0CAD" w:rsidRPr="006F3D3B" w14:paraId="79FD097A" w14:textId="77777777" w:rsidTr="00EC48C1">
        <w:trPr>
          <w:trHeight w:val="268"/>
        </w:trPr>
        <w:tc>
          <w:tcPr>
            <w:tcW w:w="5958" w:type="dxa"/>
          </w:tcPr>
          <w:p w14:paraId="66BC2895" w14:textId="77777777" w:rsidR="008D0CAD" w:rsidRPr="006F3D3B" w:rsidRDefault="008D0CAD" w:rsidP="00DD08E3">
            <w:pPr>
              <w:numPr>
                <w:ilvl w:val="0"/>
                <w:numId w:val="90"/>
              </w:numPr>
              <w:spacing w:before="100" w:beforeAutospacing="1" w:after="100" w:afterAutospacing="1" w:line="360" w:lineRule="auto"/>
              <w:contextualSpacing/>
              <w:rPr>
                <w:rFonts w:asciiTheme="majorHAnsi" w:hAnsiTheme="majorHAnsi" w:cstheme="majorHAnsi"/>
                <w:snapToGrid w:val="0"/>
                <w:sz w:val="20"/>
                <w:szCs w:val="20"/>
                <w:lang w:val="en-US"/>
              </w:rPr>
            </w:pPr>
            <w:r w:rsidRPr="006F3D3B">
              <w:rPr>
                <w:rFonts w:asciiTheme="majorHAnsi" w:eastAsiaTheme="minorHAnsi" w:hAnsiTheme="majorHAnsi" w:cstheme="majorHAnsi"/>
                <w:snapToGrid w:val="0"/>
                <w:sz w:val="20"/>
                <w:szCs w:val="20"/>
                <w:lang w:val="en-US"/>
              </w:rPr>
              <w:t>Guidebook on Coaching and Mentoring for Specific Purposes</w:t>
            </w:r>
          </w:p>
        </w:tc>
        <w:tc>
          <w:tcPr>
            <w:tcW w:w="1134" w:type="dxa"/>
          </w:tcPr>
          <w:p w14:paraId="5B6DC1CE"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992" w:type="dxa"/>
          </w:tcPr>
          <w:p w14:paraId="1CB0E856" w14:textId="77777777" w:rsidR="008D0CAD" w:rsidRPr="006F3D3B" w:rsidRDefault="008D0CAD" w:rsidP="00DD08E3">
            <w:pPr>
              <w:spacing w:before="100" w:beforeAutospacing="1" w:after="100" w:afterAutospacing="1" w:line="360" w:lineRule="auto"/>
              <w:rPr>
                <w:rFonts w:asciiTheme="majorHAnsi" w:hAnsiTheme="majorHAnsi" w:cstheme="majorHAnsi"/>
                <w:bCs/>
                <w:color w:val="000000"/>
                <w:sz w:val="20"/>
                <w:szCs w:val="20"/>
                <w:lang w:val="en-US"/>
              </w:rPr>
            </w:pPr>
          </w:p>
        </w:tc>
        <w:tc>
          <w:tcPr>
            <w:tcW w:w="926" w:type="dxa"/>
          </w:tcPr>
          <w:p w14:paraId="49CDDF51" w14:textId="77777777" w:rsidR="008D0CAD" w:rsidRPr="006F3D3B" w:rsidRDefault="008D0CAD" w:rsidP="00DD08E3">
            <w:pPr>
              <w:spacing w:before="100" w:beforeAutospacing="1" w:after="100" w:afterAutospacing="1" w:line="360" w:lineRule="auto"/>
              <w:rPr>
                <w:rFonts w:asciiTheme="majorHAnsi" w:hAnsiTheme="majorHAnsi" w:cstheme="majorHAnsi"/>
                <w:bCs/>
                <w:color w:val="000000"/>
                <w:sz w:val="20"/>
                <w:szCs w:val="20"/>
                <w:lang w:val="en-US"/>
              </w:rPr>
            </w:pPr>
          </w:p>
        </w:tc>
      </w:tr>
      <w:tr w:rsidR="008D0CAD" w:rsidRPr="006F3D3B" w14:paraId="45B4038B" w14:textId="77777777" w:rsidTr="00EC48C1">
        <w:trPr>
          <w:trHeight w:val="268"/>
        </w:trPr>
        <w:tc>
          <w:tcPr>
            <w:tcW w:w="5958" w:type="dxa"/>
          </w:tcPr>
          <w:p w14:paraId="7B619277" w14:textId="77777777" w:rsidR="008D0CAD" w:rsidRPr="006F3D3B" w:rsidRDefault="008D0CAD" w:rsidP="00DD08E3">
            <w:pPr>
              <w:numPr>
                <w:ilvl w:val="0"/>
                <w:numId w:val="90"/>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6F3D3B">
              <w:rPr>
                <w:rFonts w:asciiTheme="majorHAnsi" w:hAnsiTheme="majorHAnsi" w:cstheme="majorHAnsi"/>
                <w:bCs/>
                <w:snapToGrid w:val="0"/>
                <w:color w:val="000000"/>
                <w:sz w:val="20"/>
                <w:szCs w:val="20"/>
                <w:lang w:val="en-US"/>
              </w:rPr>
              <w:t>Learning Action Cell (LAC) Toolkit</w:t>
            </w:r>
          </w:p>
        </w:tc>
        <w:tc>
          <w:tcPr>
            <w:tcW w:w="1134" w:type="dxa"/>
          </w:tcPr>
          <w:p w14:paraId="693CD6E4"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992" w:type="dxa"/>
          </w:tcPr>
          <w:p w14:paraId="5E0CC5D0"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r w:rsidRPr="006F3D3B">
              <w:rPr>
                <w:rFonts w:asciiTheme="majorHAnsi" w:hAnsiTheme="majorHAnsi" w:cstheme="majorHAnsi"/>
                <w:bCs/>
                <w:color w:val="000000"/>
                <w:sz w:val="20"/>
                <w:szCs w:val="20"/>
                <w:lang w:val="en-US"/>
              </w:rPr>
              <w:t xml:space="preserve"> </w:t>
            </w:r>
          </w:p>
        </w:tc>
        <w:tc>
          <w:tcPr>
            <w:tcW w:w="926" w:type="dxa"/>
          </w:tcPr>
          <w:p w14:paraId="2B0DA65D"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r w:rsidRPr="006F3D3B">
              <w:rPr>
                <w:rFonts w:asciiTheme="majorHAnsi" w:hAnsiTheme="majorHAnsi" w:cstheme="majorHAnsi"/>
                <w:bCs/>
                <w:color w:val="000000"/>
                <w:sz w:val="20"/>
                <w:szCs w:val="20"/>
                <w:lang w:val="en-US"/>
              </w:rPr>
              <w:t xml:space="preserve"> </w:t>
            </w:r>
          </w:p>
        </w:tc>
      </w:tr>
      <w:tr w:rsidR="008D0CAD" w:rsidRPr="006F3D3B" w14:paraId="0A214935" w14:textId="77777777" w:rsidTr="00EC48C1">
        <w:trPr>
          <w:trHeight w:val="268"/>
        </w:trPr>
        <w:tc>
          <w:tcPr>
            <w:tcW w:w="5958" w:type="dxa"/>
          </w:tcPr>
          <w:p w14:paraId="25F8C975" w14:textId="77777777" w:rsidR="008D0CAD" w:rsidRPr="006F3D3B" w:rsidRDefault="008D0CAD" w:rsidP="00DD08E3">
            <w:pPr>
              <w:numPr>
                <w:ilvl w:val="0"/>
                <w:numId w:val="90"/>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6F3D3B">
              <w:rPr>
                <w:rFonts w:asciiTheme="majorHAnsi" w:hAnsiTheme="majorHAnsi" w:cstheme="majorHAnsi"/>
                <w:bCs/>
                <w:snapToGrid w:val="0"/>
                <w:color w:val="000000"/>
                <w:sz w:val="20"/>
                <w:szCs w:val="20"/>
                <w:lang w:val="en-US"/>
              </w:rPr>
              <w:t>Action Research (AR) Toolkit</w:t>
            </w:r>
          </w:p>
        </w:tc>
        <w:tc>
          <w:tcPr>
            <w:tcW w:w="1134" w:type="dxa"/>
          </w:tcPr>
          <w:p w14:paraId="54555ECD"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992" w:type="dxa"/>
          </w:tcPr>
          <w:p w14:paraId="6A22BB62"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926" w:type="dxa"/>
          </w:tcPr>
          <w:p w14:paraId="517B816E"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r>
      <w:tr w:rsidR="008D0CAD" w:rsidRPr="006F3D3B" w14:paraId="432CB948" w14:textId="77777777" w:rsidTr="00EC48C1">
        <w:trPr>
          <w:trHeight w:val="268"/>
        </w:trPr>
        <w:tc>
          <w:tcPr>
            <w:tcW w:w="5958" w:type="dxa"/>
          </w:tcPr>
          <w:p w14:paraId="3A022D7A" w14:textId="77777777" w:rsidR="008D0CAD" w:rsidRPr="006F3D3B" w:rsidRDefault="008D0CAD" w:rsidP="00DD08E3">
            <w:pPr>
              <w:numPr>
                <w:ilvl w:val="0"/>
                <w:numId w:val="90"/>
              </w:numPr>
              <w:spacing w:before="100" w:beforeAutospacing="1" w:after="100" w:afterAutospacing="1" w:line="360" w:lineRule="auto"/>
              <w:contextualSpacing/>
              <w:rPr>
                <w:rFonts w:asciiTheme="majorHAnsi" w:hAnsiTheme="majorHAnsi" w:cstheme="majorHAnsi"/>
                <w:snapToGrid w:val="0"/>
                <w:sz w:val="20"/>
                <w:szCs w:val="20"/>
                <w:lang w:val="en-US"/>
              </w:rPr>
            </w:pPr>
            <w:r w:rsidRPr="006F3D3B">
              <w:rPr>
                <w:rFonts w:asciiTheme="majorHAnsi" w:hAnsiTheme="majorHAnsi" w:cstheme="majorHAnsi"/>
                <w:bCs/>
                <w:snapToGrid w:val="0"/>
                <w:color w:val="000000"/>
                <w:sz w:val="20"/>
                <w:szCs w:val="20"/>
                <w:lang w:val="en-US"/>
              </w:rPr>
              <w:t>ICT Learning Action Cell (ICT LAC) Resource Materials</w:t>
            </w:r>
          </w:p>
        </w:tc>
        <w:tc>
          <w:tcPr>
            <w:tcW w:w="1134" w:type="dxa"/>
          </w:tcPr>
          <w:p w14:paraId="00977625"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992" w:type="dxa"/>
          </w:tcPr>
          <w:p w14:paraId="4D9C0E3B"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926" w:type="dxa"/>
          </w:tcPr>
          <w:p w14:paraId="76DACE64"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r>
      <w:tr w:rsidR="008D0CAD" w:rsidRPr="006F3D3B" w14:paraId="578A582D" w14:textId="77777777" w:rsidTr="00EC48C1">
        <w:trPr>
          <w:trHeight w:val="268"/>
        </w:trPr>
        <w:tc>
          <w:tcPr>
            <w:tcW w:w="5958" w:type="dxa"/>
          </w:tcPr>
          <w:p w14:paraId="25CCC8D0" w14:textId="77777777" w:rsidR="008D0CAD" w:rsidRPr="006F3D3B" w:rsidRDefault="008D0CAD" w:rsidP="00DD08E3">
            <w:pPr>
              <w:numPr>
                <w:ilvl w:val="0"/>
                <w:numId w:val="90"/>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6F3D3B">
              <w:rPr>
                <w:rFonts w:asciiTheme="majorHAnsi" w:hAnsiTheme="majorHAnsi" w:cstheme="majorHAnsi"/>
                <w:bCs/>
                <w:snapToGrid w:val="0"/>
                <w:color w:val="000000"/>
                <w:sz w:val="20"/>
                <w:szCs w:val="20"/>
                <w:lang w:val="en-US"/>
              </w:rPr>
              <w:t>Pedagogical Retooling in Mathematics, Languages and Sciences (PRIMALS) Trainers resource packages and LAC session guides</w:t>
            </w:r>
          </w:p>
        </w:tc>
        <w:tc>
          <w:tcPr>
            <w:tcW w:w="1134" w:type="dxa"/>
          </w:tcPr>
          <w:p w14:paraId="3C409C3E"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992" w:type="dxa"/>
          </w:tcPr>
          <w:p w14:paraId="15B6D7B5"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926" w:type="dxa"/>
          </w:tcPr>
          <w:p w14:paraId="227E04C9"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r>
      <w:tr w:rsidR="008D0CAD" w:rsidRPr="006F3D3B" w14:paraId="4A029464" w14:textId="77777777" w:rsidTr="00EC48C1">
        <w:trPr>
          <w:trHeight w:val="268"/>
        </w:trPr>
        <w:tc>
          <w:tcPr>
            <w:tcW w:w="5958" w:type="dxa"/>
          </w:tcPr>
          <w:p w14:paraId="7165A949" w14:textId="77777777" w:rsidR="008D0CAD" w:rsidRPr="006F3D3B" w:rsidRDefault="008D0CAD" w:rsidP="00DD08E3">
            <w:pPr>
              <w:numPr>
                <w:ilvl w:val="0"/>
                <w:numId w:val="90"/>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6F3D3B">
              <w:rPr>
                <w:rFonts w:asciiTheme="majorHAnsi" w:hAnsiTheme="majorHAnsi" w:cstheme="majorHAnsi"/>
                <w:bCs/>
                <w:snapToGrid w:val="0"/>
                <w:color w:val="000000"/>
                <w:sz w:val="20"/>
                <w:szCs w:val="20"/>
                <w:lang w:val="en-US"/>
              </w:rPr>
              <w:t>Positive Discipline for Everyday Teaching (PDET-LAC)</w:t>
            </w:r>
          </w:p>
        </w:tc>
        <w:tc>
          <w:tcPr>
            <w:tcW w:w="1134" w:type="dxa"/>
          </w:tcPr>
          <w:p w14:paraId="641C47C9"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992" w:type="dxa"/>
          </w:tcPr>
          <w:p w14:paraId="2BFAC403"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926" w:type="dxa"/>
          </w:tcPr>
          <w:p w14:paraId="4E3E6056"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r>
      <w:tr w:rsidR="008D0CAD" w:rsidRPr="006F3D3B" w14:paraId="18127C4D" w14:textId="77777777" w:rsidTr="00EC48C1">
        <w:trPr>
          <w:trHeight w:val="268"/>
        </w:trPr>
        <w:tc>
          <w:tcPr>
            <w:tcW w:w="5958" w:type="dxa"/>
          </w:tcPr>
          <w:p w14:paraId="60038F4D" w14:textId="77777777" w:rsidR="008D0CAD" w:rsidRPr="006F3D3B" w:rsidRDefault="008D0CAD" w:rsidP="00DD08E3">
            <w:pPr>
              <w:numPr>
                <w:ilvl w:val="0"/>
                <w:numId w:val="90"/>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6F3D3B">
              <w:rPr>
                <w:rFonts w:asciiTheme="majorHAnsi" w:hAnsiTheme="majorHAnsi" w:cstheme="majorHAnsi"/>
                <w:bCs/>
                <w:snapToGrid w:val="0"/>
                <w:color w:val="000000"/>
                <w:sz w:val="20"/>
                <w:szCs w:val="20"/>
                <w:lang w:val="en-US"/>
              </w:rPr>
              <w:t>Collaborative Lesson Planning (CLP)</w:t>
            </w:r>
          </w:p>
        </w:tc>
        <w:tc>
          <w:tcPr>
            <w:tcW w:w="1134" w:type="dxa"/>
          </w:tcPr>
          <w:p w14:paraId="039D680D"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992" w:type="dxa"/>
          </w:tcPr>
          <w:p w14:paraId="48AD5D7D"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926" w:type="dxa"/>
          </w:tcPr>
          <w:p w14:paraId="3DE8690A"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r>
      <w:tr w:rsidR="008D0CAD" w:rsidRPr="006F3D3B" w14:paraId="370452BD" w14:textId="77777777" w:rsidTr="00EC48C1">
        <w:trPr>
          <w:trHeight w:val="268"/>
        </w:trPr>
        <w:tc>
          <w:tcPr>
            <w:tcW w:w="5958" w:type="dxa"/>
          </w:tcPr>
          <w:p w14:paraId="18375D62" w14:textId="77777777" w:rsidR="008D0CAD" w:rsidRPr="006F3D3B" w:rsidRDefault="008D0CAD" w:rsidP="00DD08E3">
            <w:pPr>
              <w:numPr>
                <w:ilvl w:val="0"/>
                <w:numId w:val="90"/>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6F3D3B">
              <w:rPr>
                <w:rFonts w:asciiTheme="majorHAnsi" w:hAnsiTheme="majorHAnsi" w:cstheme="majorHAnsi"/>
                <w:snapToGrid w:val="0"/>
                <w:sz w:val="20"/>
                <w:szCs w:val="20"/>
                <w:lang w:val="en-US"/>
              </w:rPr>
              <w:t xml:space="preserve">Results Based Performance Management System (RPMS) </w:t>
            </w:r>
            <w:r w:rsidRPr="006F3D3B">
              <w:rPr>
                <w:rFonts w:asciiTheme="majorHAnsi" w:eastAsiaTheme="minorEastAsia" w:hAnsiTheme="majorHAnsi" w:cstheme="majorHAnsi"/>
                <w:snapToGrid w:val="0"/>
                <w:sz w:val="20"/>
                <w:szCs w:val="20"/>
                <w:lang w:val="en-US"/>
              </w:rPr>
              <w:t>Facilitator’s Guide</w:t>
            </w:r>
          </w:p>
        </w:tc>
        <w:tc>
          <w:tcPr>
            <w:tcW w:w="1134" w:type="dxa"/>
          </w:tcPr>
          <w:p w14:paraId="1F06300D"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992" w:type="dxa"/>
          </w:tcPr>
          <w:p w14:paraId="4B6E2615"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926" w:type="dxa"/>
          </w:tcPr>
          <w:p w14:paraId="5BB7D8C8"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r>
      <w:tr w:rsidR="008D0CAD" w:rsidRPr="006F3D3B" w14:paraId="704CF049" w14:textId="77777777" w:rsidTr="00EC48C1">
        <w:trPr>
          <w:trHeight w:val="268"/>
        </w:trPr>
        <w:tc>
          <w:tcPr>
            <w:tcW w:w="5958" w:type="dxa"/>
          </w:tcPr>
          <w:p w14:paraId="3BE6ED95" w14:textId="77777777" w:rsidR="008D0CAD" w:rsidRPr="006F3D3B" w:rsidRDefault="008D0CAD" w:rsidP="00DD08E3">
            <w:pPr>
              <w:numPr>
                <w:ilvl w:val="0"/>
                <w:numId w:val="90"/>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6F3D3B">
              <w:rPr>
                <w:rFonts w:asciiTheme="majorHAnsi" w:hAnsiTheme="majorHAnsi" w:cstheme="majorHAnsi"/>
                <w:bCs/>
                <w:snapToGrid w:val="0"/>
                <w:color w:val="000000"/>
                <w:sz w:val="20"/>
                <w:szCs w:val="20"/>
                <w:lang w:val="en-US"/>
              </w:rPr>
              <w:t>Classroom Observation Tool (COT)</w:t>
            </w:r>
          </w:p>
        </w:tc>
        <w:tc>
          <w:tcPr>
            <w:tcW w:w="1134" w:type="dxa"/>
          </w:tcPr>
          <w:p w14:paraId="25354D90"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992" w:type="dxa"/>
          </w:tcPr>
          <w:p w14:paraId="08ED5E63"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926" w:type="dxa"/>
          </w:tcPr>
          <w:p w14:paraId="154AC3F9"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r>
      <w:tr w:rsidR="008D0CAD" w:rsidRPr="006F3D3B" w14:paraId="5FE0F4CE" w14:textId="77777777" w:rsidTr="00EC48C1">
        <w:trPr>
          <w:trHeight w:val="268"/>
        </w:trPr>
        <w:tc>
          <w:tcPr>
            <w:tcW w:w="5958" w:type="dxa"/>
          </w:tcPr>
          <w:p w14:paraId="52AB0FA3" w14:textId="77777777" w:rsidR="008D0CAD" w:rsidRPr="006F3D3B" w:rsidRDefault="008D0CAD" w:rsidP="00DD08E3">
            <w:pPr>
              <w:numPr>
                <w:ilvl w:val="0"/>
                <w:numId w:val="90"/>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6F3D3B">
              <w:rPr>
                <w:rFonts w:asciiTheme="majorHAnsi" w:hAnsiTheme="majorHAnsi" w:cstheme="majorHAnsi"/>
                <w:bCs/>
                <w:snapToGrid w:val="0"/>
                <w:color w:val="000000"/>
                <w:sz w:val="20"/>
                <w:szCs w:val="20"/>
                <w:lang w:val="en-US"/>
              </w:rPr>
              <w:t>Self-Assessment Tool (SAT) for teachers</w:t>
            </w:r>
          </w:p>
        </w:tc>
        <w:tc>
          <w:tcPr>
            <w:tcW w:w="1134" w:type="dxa"/>
          </w:tcPr>
          <w:p w14:paraId="0783C872"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992" w:type="dxa"/>
          </w:tcPr>
          <w:p w14:paraId="65AD63ED"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926" w:type="dxa"/>
          </w:tcPr>
          <w:p w14:paraId="47DF62E0"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r>
      <w:tr w:rsidR="008D0CAD" w:rsidRPr="006F3D3B" w14:paraId="7368F069" w14:textId="77777777" w:rsidTr="00EC48C1">
        <w:trPr>
          <w:trHeight w:val="268"/>
        </w:trPr>
        <w:tc>
          <w:tcPr>
            <w:tcW w:w="5958" w:type="dxa"/>
          </w:tcPr>
          <w:p w14:paraId="541C5CF9" w14:textId="77777777" w:rsidR="008D0CAD" w:rsidRPr="006F3D3B" w:rsidRDefault="008D0CAD" w:rsidP="00DD08E3">
            <w:pPr>
              <w:numPr>
                <w:ilvl w:val="0"/>
                <w:numId w:val="90"/>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6F3D3B">
              <w:rPr>
                <w:rFonts w:asciiTheme="majorHAnsi" w:hAnsiTheme="majorHAnsi" w:cstheme="majorHAnsi"/>
                <w:bCs/>
                <w:snapToGrid w:val="0"/>
                <w:color w:val="000000"/>
                <w:sz w:val="20"/>
                <w:szCs w:val="20"/>
                <w:lang w:val="en-US"/>
              </w:rPr>
              <w:t>Classroom Assessment Resource Book (CARB) for K to Grade 10</w:t>
            </w:r>
          </w:p>
        </w:tc>
        <w:tc>
          <w:tcPr>
            <w:tcW w:w="1134" w:type="dxa"/>
          </w:tcPr>
          <w:p w14:paraId="5F27AA00"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992" w:type="dxa"/>
          </w:tcPr>
          <w:p w14:paraId="0FB1B146"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926" w:type="dxa"/>
          </w:tcPr>
          <w:p w14:paraId="2EEA73CB"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r>
      <w:tr w:rsidR="008D0CAD" w:rsidRPr="006F3D3B" w14:paraId="2F351F75" w14:textId="77777777" w:rsidTr="00EC48C1">
        <w:trPr>
          <w:trHeight w:val="268"/>
        </w:trPr>
        <w:tc>
          <w:tcPr>
            <w:tcW w:w="5958" w:type="dxa"/>
          </w:tcPr>
          <w:p w14:paraId="1BDBD8CB" w14:textId="77777777" w:rsidR="008D0CAD" w:rsidRPr="006F3D3B" w:rsidRDefault="008D0CAD" w:rsidP="00DD08E3">
            <w:pPr>
              <w:numPr>
                <w:ilvl w:val="0"/>
                <w:numId w:val="90"/>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6F3D3B">
              <w:rPr>
                <w:rFonts w:asciiTheme="majorHAnsi" w:hAnsiTheme="majorHAnsi" w:cstheme="majorHAnsi"/>
                <w:snapToGrid w:val="0"/>
                <w:sz w:val="20"/>
                <w:szCs w:val="20"/>
                <w:lang w:val="en-US"/>
              </w:rPr>
              <w:t>K-12 Curriculum Guides</w:t>
            </w:r>
          </w:p>
        </w:tc>
        <w:tc>
          <w:tcPr>
            <w:tcW w:w="1134" w:type="dxa"/>
          </w:tcPr>
          <w:p w14:paraId="5C18A5E8"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992" w:type="dxa"/>
          </w:tcPr>
          <w:p w14:paraId="38A19E08"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926" w:type="dxa"/>
          </w:tcPr>
          <w:p w14:paraId="2B387033"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r>
      <w:tr w:rsidR="008D0CAD" w:rsidRPr="006F3D3B" w14:paraId="3A0AE7A6" w14:textId="77777777" w:rsidTr="00EC48C1">
        <w:trPr>
          <w:trHeight w:val="268"/>
        </w:trPr>
        <w:tc>
          <w:tcPr>
            <w:tcW w:w="5958" w:type="dxa"/>
          </w:tcPr>
          <w:p w14:paraId="2404978F" w14:textId="77777777" w:rsidR="008D0CAD" w:rsidRPr="006F3D3B" w:rsidRDefault="008D0CAD" w:rsidP="00DD08E3">
            <w:pPr>
              <w:numPr>
                <w:ilvl w:val="0"/>
                <w:numId w:val="90"/>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6F3D3B">
              <w:rPr>
                <w:rFonts w:asciiTheme="majorHAnsi" w:hAnsiTheme="majorHAnsi" w:cstheme="majorHAnsi"/>
                <w:snapToGrid w:val="0"/>
                <w:sz w:val="20"/>
                <w:szCs w:val="20"/>
                <w:lang w:val="en-US"/>
              </w:rPr>
              <w:t>Multigrade teach-learn package</w:t>
            </w:r>
          </w:p>
        </w:tc>
        <w:tc>
          <w:tcPr>
            <w:tcW w:w="1134" w:type="dxa"/>
          </w:tcPr>
          <w:p w14:paraId="5F370A6F"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992" w:type="dxa"/>
          </w:tcPr>
          <w:p w14:paraId="5D983B16"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926" w:type="dxa"/>
          </w:tcPr>
          <w:p w14:paraId="341F9103"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r>
      <w:tr w:rsidR="008D0CAD" w:rsidRPr="006F3D3B" w14:paraId="755C592B" w14:textId="77777777" w:rsidTr="00EC48C1">
        <w:trPr>
          <w:trHeight w:val="268"/>
        </w:trPr>
        <w:tc>
          <w:tcPr>
            <w:tcW w:w="5958" w:type="dxa"/>
          </w:tcPr>
          <w:p w14:paraId="4F6590B0" w14:textId="77777777" w:rsidR="008D0CAD" w:rsidRPr="006F3D3B" w:rsidRDefault="008D0CAD" w:rsidP="00DD08E3">
            <w:pPr>
              <w:numPr>
                <w:ilvl w:val="0"/>
                <w:numId w:val="90"/>
              </w:numPr>
              <w:spacing w:before="100" w:beforeAutospacing="1" w:after="100" w:afterAutospacing="1" w:line="360" w:lineRule="auto"/>
              <w:contextualSpacing/>
              <w:rPr>
                <w:rFonts w:asciiTheme="majorHAnsi" w:hAnsiTheme="majorHAnsi" w:cstheme="majorHAnsi"/>
                <w:snapToGrid w:val="0"/>
                <w:sz w:val="20"/>
                <w:szCs w:val="20"/>
                <w:lang w:val="en-US"/>
              </w:rPr>
            </w:pPr>
            <w:r w:rsidRPr="006F3D3B">
              <w:rPr>
                <w:rFonts w:asciiTheme="majorHAnsi" w:hAnsiTheme="majorHAnsi" w:cstheme="majorHAnsi"/>
                <w:snapToGrid w:val="0"/>
                <w:sz w:val="20"/>
                <w:szCs w:val="20"/>
                <w:lang w:val="en-US"/>
              </w:rPr>
              <w:t>Contextualised curriculum resources</w:t>
            </w:r>
          </w:p>
        </w:tc>
        <w:tc>
          <w:tcPr>
            <w:tcW w:w="1134" w:type="dxa"/>
          </w:tcPr>
          <w:p w14:paraId="066C916C"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992" w:type="dxa"/>
          </w:tcPr>
          <w:p w14:paraId="0E139BC7"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926" w:type="dxa"/>
          </w:tcPr>
          <w:p w14:paraId="214BD5F8"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r>
      <w:tr w:rsidR="008D0CAD" w:rsidRPr="006F3D3B" w14:paraId="32529C0D" w14:textId="77777777" w:rsidTr="00EC48C1">
        <w:trPr>
          <w:trHeight w:val="268"/>
        </w:trPr>
        <w:tc>
          <w:tcPr>
            <w:tcW w:w="5958" w:type="dxa"/>
          </w:tcPr>
          <w:p w14:paraId="72D5AACC" w14:textId="77777777" w:rsidR="008D0CAD" w:rsidRPr="006F3D3B" w:rsidRDefault="008D0CAD" w:rsidP="00DD08E3">
            <w:pPr>
              <w:numPr>
                <w:ilvl w:val="0"/>
                <w:numId w:val="90"/>
              </w:numPr>
              <w:spacing w:before="100" w:beforeAutospacing="1" w:after="100" w:afterAutospacing="1" w:line="360" w:lineRule="auto"/>
              <w:contextualSpacing/>
              <w:rPr>
                <w:rFonts w:asciiTheme="majorHAnsi" w:hAnsiTheme="majorHAnsi" w:cstheme="majorHAnsi"/>
                <w:snapToGrid w:val="0"/>
                <w:sz w:val="20"/>
                <w:szCs w:val="20"/>
                <w:lang w:val="en-US"/>
              </w:rPr>
            </w:pPr>
            <w:r w:rsidRPr="006F3D3B">
              <w:rPr>
                <w:rFonts w:asciiTheme="majorHAnsi" w:hAnsiTheme="majorHAnsi" w:cstheme="majorHAnsi"/>
                <w:bCs/>
                <w:snapToGrid w:val="0"/>
                <w:color w:val="000000"/>
                <w:sz w:val="20"/>
                <w:szCs w:val="20"/>
                <w:lang w:val="en-US"/>
              </w:rPr>
              <w:t xml:space="preserve">Teacher Induction Program (TIP) Modules </w:t>
            </w:r>
          </w:p>
        </w:tc>
        <w:tc>
          <w:tcPr>
            <w:tcW w:w="1134" w:type="dxa"/>
          </w:tcPr>
          <w:p w14:paraId="0A064EC5"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992" w:type="dxa"/>
          </w:tcPr>
          <w:p w14:paraId="2F089C61"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926" w:type="dxa"/>
          </w:tcPr>
          <w:p w14:paraId="786413A5"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r>
      <w:tr w:rsidR="008D0CAD" w:rsidRPr="006F3D3B" w14:paraId="59CF7911" w14:textId="77777777" w:rsidTr="00EC48C1">
        <w:trPr>
          <w:trHeight w:val="268"/>
        </w:trPr>
        <w:tc>
          <w:tcPr>
            <w:tcW w:w="5958" w:type="dxa"/>
          </w:tcPr>
          <w:p w14:paraId="263962FC" w14:textId="77777777" w:rsidR="008D0CAD" w:rsidRPr="006F3D3B" w:rsidRDefault="008D0CAD" w:rsidP="00DD08E3">
            <w:pPr>
              <w:numPr>
                <w:ilvl w:val="0"/>
                <w:numId w:val="90"/>
              </w:numPr>
              <w:spacing w:before="100" w:beforeAutospacing="1" w:after="100" w:afterAutospacing="1" w:line="360" w:lineRule="auto"/>
              <w:contextualSpacing/>
              <w:rPr>
                <w:rFonts w:asciiTheme="majorHAnsi" w:hAnsiTheme="majorHAnsi" w:cstheme="majorHAnsi"/>
                <w:snapToGrid w:val="0"/>
                <w:sz w:val="20"/>
                <w:szCs w:val="20"/>
                <w:lang w:val="en-US"/>
              </w:rPr>
            </w:pPr>
            <w:r w:rsidRPr="006F3D3B">
              <w:rPr>
                <w:rFonts w:asciiTheme="majorHAnsi" w:hAnsiTheme="majorHAnsi" w:cstheme="majorHAnsi"/>
                <w:snapToGrid w:val="0"/>
                <w:sz w:val="20"/>
                <w:szCs w:val="20"/>
                <w:lang w:val="en-US"/>
              </w:rPr>
              <w:t xml:space="preserve">SIP Quality Assessment (QA) Tool </w:t>
            </w:r>
          </w:p>
        </w:tc>
        <w:tc>
          <w:tcPr>
            <w:tcW w:w="1134" w:type="dxa"/>
          </w:tcPr>
          <w:p w14:paraId="0297233C"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992" w:type="dxa"/>
          </w:tcPr>
          <w:p w14:paraId="7B2F656C"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926" w:type="dxa"/>
          </w:tcPr>
          <w:p w14:paraId="6452DC04"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r>
      <w:tr w:rsidR="008D0CAD" w:rsidRPr="006F3D3B" w14:paraId="65B62940" w14:textId="77777777" w:rsidTr="00EC48C1">
        <w:trPr>
          <w:trHeight w:val="268"/>
        </w:trPr>
        <w:tc>
          <w:tcPr>
            <w:tcW w:w="5958" w:type="dxa"/>
          </w:tcPr>
          <w:p w14:paraId="0764656F" w14:textId="77777777" w:rsidR="008D0CAD" w:rsidRPr="006F3D3B" w:rsidRDefault="008D0CAD" w:rsidP="00DD08E3">
            <w:pPr>
              <w:numPr>
                <w:ilvl w:val="0"/>
                <w:numId w:val="90"/>
              </w:numPr>
              <w:spacing w:before="100" w:beforeAutospacing="1" w:after="100" w:afterAutospacing="1" w:line="360" w:lineRule="auto"/>
              <w:contextualSpacing/>
              <w:rPr>
                <w:rFonts w:asciiTheme="majorHAnsi" w:hAnsiTheme="majorHAnsi" w:cstheme="majorHAnsi"/>
                <w:snapToGrid w:val="0"/>
                <w:sz w:val="20"/>
                <w:szCs w:val="20"/>
                <w:lang w:val="en-US"/>
              </w:rPr>
            </w:pPr>
            <w:r w:rsidRPr="006F3D3B">
              <w:rPr>
                <w:rFonts w:asciiTheme="majorHAnsi" w:hAnsiTheme="majorHAnsi" w:cstheme="majorHAnsi"/>
                <w:snapToGrid w:val="0"/>
                <w:sz w:val="20"/>
                <w:szCs w:val="20"/>
                <w:lang w:val="en-US"/>
              </w:rPr>
              <w:t>Trainer’s Toolkit for the Enhanced School Improvement Plan (SIP)</w:t>
            </w:r>
          </w:p>
        </w:tc>
        <w:tc>
          <w:tcPr>
            <w:tcW w:w="1134" w:type="dxa"/>
          </w:tcPr>
          <w:p w14:paraId="31940826"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992" w:type="dxa"/>
          </w:tcPr>
          <w:p w14:paraId="170975D2"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926" w:type="dxa"/>
          </w:tcPr>
          <w:p w14:paraId="60F9AEDC"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r>
      <w:tr w:rsidR="008D0CAD" w:rsidRPr="006F3D3B" w14:paraId="68AD2BB5" w14:textId="77777777" w:rsidTr="00EC48C1">
        <w:trPr>
          <w:trHeight w:val="268"/>
        </w:trPr>
        <w:tc>
          <w:tcPr>
            <w:tcW w:w="5958" w:type="dxa"/>
          </w:tcPr>
          <w:p w14:paraId="18597BB5" w14:textId="77777777" w:rsidR="008D0CAD" w:rsidRPr="006F3D3B" w:rsidRDefault="008D0CAD" w:rsidP="00DD08E3">
            <w:pPr>
              <w:numPr>
                <w:ilvl w:val="0"/>
                <w:numId w:val="90"/>
              </w:numPr>
              <w:spacing w:before="100" w:beforeAutospacing="1" w:after="100" w:afterAutospacing="1" w:line="360" w:lineRule="auto"/>
              <w:contextualSpacing/>
              <w:rPr>
                <w:rFonts w:asciiTheme="majorHAnsi" w:hAnsiTheme="majorHAnsi" w:cstheme="majorHAnsi"/>
                <w:snapToGrid w:val="0"/>
                <w:sz w:val="20"/>
                <w:szCs w:val="20"/>
                <w:lang w:val="en-US"/>
              </w:rPr>
            </w:pPr>
            <w:r w:rsidRPr="006F3D3B">
              <w:rPr>
                <w:rFonts w:asciiTheme="majorHAnsi" w:hAnsiTheme="majorHAnsi" w:cstheme="majorHAnsi"/>
                <w:snapToGrid w:val="0"/>
                <w:sz w:val="20"/>
                <w:szCs w:val="20"/>
                <w:lang w:val="en-US"/>
              </w:rPr>
              <w:t>Monitoring, Evaluation, and Adjustment (MEA) Framework</w:t>
            </w:r>
          </w:p>
        </w:tc>
        <w:tc>
          <w:tcPr>
            <w:tcW w:w="1134" w:type="dxa"/>
          </w:tcPr>
          <w:p w14:paraId="3BEB811B"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992" w:type="dxa"/>
          </w:tcPr>
          <w:p w14:paraId="54C4C50B"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926" w:type="dxa"/>
          </w:tcPr>
          <w:p w14:paraId="1BC827D7"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r>
      <w:tr w:rsidR="008D0CAD" w:rsidRPr="006F3D3B" w14:paraId="511AFC90" w14:textId="77777777" w:rsidTr="00EC48C1">
        <w:trPr>
          <w:trHeight w:val="268"/>
        </w:trPr>
        <w:tc>
          <w:tcPr>
            <w:tcW w:w="5958" w:type="dxa"/>
          </w:tcPr>
          <w:p w14:paraId="5672BF54" w14:textId="77777777" w:rsidR="008D0CAD" w:rsidRPr="006F3D3B" w:rsidRDefault="008D0CAD" w:rsidP="00DD08E3">
            <w:pPr>
              <w:numPr>
                <w:ilvl w:val="0"/>
                <w:numId w:val="90"/>
              </w:numPr>
              <w:spacing w:before="100" w:beforeAutospacing="1" w:after="100" w:afterAutospacing="1" w:line="360" w:lineRule="auto"/>
              <w:contextualSpacing/>
              <w:rPr>
                <w:rFonts w:asciiTheme="majorHAnsi" w:hAnsiTheme="majorHAnsi" w:cstheme="majorHAnsi"/>
                <w:snapToGrid w:val="0"/>
                <w:sz w:val="20"/>
                <w:szCs w:val="20"/>
                <w:lang w:val="en-AU"/>
              </w:rPr>
            </w:pPr>
            <w:r w:rsidRPr="006F3D3B">
              <w:rPr>
                <w:rFonts w:asciiTheme="majorHAnsi" w:hAnsiTheme="majorHAnsi" w:cstheme="majorHAnsi"/>
                <w:snapToGrid w:val="0"/>
                <w:sz w:val="20"/>
                <w:szCs w:val="20"/>
                <w:lang w:val="en-AU"/>
              </w:rPr>
              <w:t>Enhanced Basic Education Information System (EBEIS)</w:t>
            </w:r>
          </w:p>
        </w:tc>
        <w:tc>
          <w:tcPr>
            <w:tcW w:w="1134" w:type="dxa"/>
          </w:tcPr>
          <w:p w14:paraId="0B22EE08"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992" w:type="dxa"/>
          </w:tcPr>
          <w:p w14:paraId="56126DB0"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926" w:type="dxa"/>
          </w:tcPr>
          <w:p w14:paraId="1C06EF67"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r>
      <w:tr w:rsidR="008D0CAD" w:rsidRPr="006F3D3B" w14:paraId="321908AF" w14:textId="77777777" w:rsidTr="00EC48C1">
        <w:trPr>
          <w:trHeight w:val="268"/>
        </w:trPr>
        <w:tc>
          <w:tcPr>
            <w:tcW w:w="5958" w:type="dxa"/>
          </w:tcPr>
          <w:p w14:paraId="1357F85B" w14:textId="77777777" w:rsidR="008D0CAD" w:rsidRPr="006F3D3B" w:rsidRDefault="008D0CAD" w:rsidP="00DD08E3">
            <w:pPr>
              <w:numPr>
                <w:ilvl w:val="0"/>
                <w:numId w:val="90"/>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6F3D3B">
              <w:rPr>
                <w:rFonts w:asciiTheme="majorHAnsi" w:hAnsiTheme="majorHAnsi" w:cstheme="majorHAnsi"/>
                <w:snapToGrid w:val="0"/>
                <w:sz w:val="20"/>
                <w:szCs w:val="20"/>
                <w:lang w:val="en-AU"/>
              </w:rPr>
              <w:t>Learner Information System (LIS)</w:t>
            </w:r>
          </w:p>
        </w:tc>
        <w:tc>
          <w:tcPr>
            <w:tcW w:w="1134" w:type="dxa"/>
          </w:tcPr>
          <w:p w14:paraId="30DF7EF2"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992" w:type="dxa"/>
          </w:tcPr>
          <w:p w14:paraId="0915D31F"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926" w:type="dxa"/>
          </w:tcPr>
          <w:p w14:paraId="2551117F"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r>
      <w:tr w:rsidR="008D0CAD" w:rsidRPr="006F3D3B" w14:paraId="0BEC7650" w14:textId="77777777" w:rsidTr="00EC48C1">
        <w:trPr>
          <w:trHeight w:val="268"/>
        </w:trPr>
        <w:tc>
          <w:tcPr>
            <w:tcW w:w="5958" w:type="dxa"/>
          </w:tcPr>
          <w:p w14:paraId="056EE95C" w14:textId="77777777" w:rsidR="008D0CAD" w:rsidRPr="006F3D3B" w:rsidRDefault="008D0CAD" w:rsidP="00DD08E3">
            <w:pPr>
              <w:numPr>
                <w:ilvl w:val="0"/>
                <w:numId w:val="90"/>
              </w:numPr>
              <w:spacing w:before="100" w:beforeAutospacing="1" w:after="100" w:afterAutospacing="1" w:line="360" w:lineRule="auto"/>
              <w:contextualSpacing/>
              <w:rPr>
                <w:rFonts w:asciiTheme="majorHAnsi" w:hAnsiTheme="majorHAnsi" w:cstheme="majorHAnsi"/>
                <w:snapToGrid w:val="0"/>
                <w:sz w:val="20"/>
                <w:szCs w:val="20"/>
                <w:lang w:val="en-AU"/>
              </w:rPr>
            </w:pPr>
            <w:r w:rsidRPr="006F3D3B">
              <w:rPr>
                <w:rFonts w:asciiTheme="majorHAnsi" w:hAnsiTheme="majorHAnsi" w:cstheme="majorHAnsi"/>
                <w:snapToGrid w:val="0"/>
                <w:sz w:val="20"/>
                <w:szCs w:val="20"/>
                <w:lang w:val="en-AU"/>
              </w:rPr>
              <w:t>Learning Resource (LR) Portal</w:t>
            </w:r>
          </w:p>
        </w:tc>
        <w:tc>
          <w:tcPr>
            <w:tcW w:w="1134" w:type="dxa"/>
          </w:tcPr>
          <w:p w14:paraId="0AFB225A"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992" w:type="dxa"/>
          </w:tcPr>
          <w:p w14:paraId="5F618573"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926" w:type="dxa"/>
          </w:tcPr>
          <w:p w14:paraId="3B4973CE"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r>
      <w:tr w:rsidR="008D0CAD" w:rsidRPr="006F3D3B" w14:paraId="6FB888DB" w14:textId="77777777" w:rsidTr="00EC48C1">
        <w:trPr>
          <w:trHeight w:val="269"/>
        </w:trPr>
        <w:tc>
          <w:tcPr>
            <w:tcW w:w="5958" w:type="dxa"/>
          </w:tcPr>
          <w:p w14:paraId="098391B0" w14:textId="77777777" w:rsidR="008D0CAD" w:rsidRPr="006F3D3B" w:rsidRDefault="008D0CAD" w:rsidP="00DD08E3">
            <w:pPr>
              <w:numPr>
                <w:ilvl w:val="0"/>
                <w:numId w:val="90"/>
              </w:numPr>
              <w:spacing w:before="100" w:beforeAutospacing="1" w:after="100" w:afterAutospacing="1" w:line="360" w:lineRule="auto"/>
              <w:contextualSpacing/>
              <w:rPr>
                <w:rFonts w:asciiTheme="majorHAnsi" w:hAnsiTheme="majorHAnsi" w:cstheme="majorHAnsi"/>
                <w:snapToGrid w:val="0"/>
                <w:sz w:val="20"/>
                <w:szCs w:val="20"/>
                <w:lang w:val="en-AU"/>
              </w:rPr>
            </w:pPr>
            <w:r w:rsidRPr="006F3D3B">
              <w:rPr>
                <w:rFonts w:asciiTheme="majorHAnsi" w:hAnsiTheme="majorHAnsi" w:cstheme="majorHAnsi"/>
                <w:snapToGrid w:val="0"/>
                <w:sz w:val="20"/>
                <w:szCs w:val="20"/>
                <w:lang w:val="en-AU"/>
              </w:rPr>
              <w:t>LAC Session Guides on Inclusive Value Series</w:t>
            </w:r>
          </w:p>
        </w:tc>
        <w:tc>
          <w:tcPr>
            <w:tcW w:w="1134" w:type="dxa"/>
          </w:tcPr>
          <w:p w14:paraId="1778D060"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992" w:type="dxa"/>
          </w:tcPr>
          <w:p w14:paraId="10DEB8A3"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926" w:type="dxa"/>
          </w:tcPr>
          <w:p w14:paraId="4B5DFCD0"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r>
      <w:tr w:rsidR="008D0CAD" w:rsidRPr="006F3D3B" w14:paraId="137A6A07" w14:textId="77777777" w:rsidTr="00EC48C1">
        <w:trPr>
          <w:trHeight w:val="269"/>
        </w:trPr>
        <w:tc>
          <w:tcPr>
            <w:tcW w:w="5958" w:type="dxa"/>
          </w:tcPr>
          <w:p w14:paraId="15673CD6" w14:textId="77777777" w:rsidR="008D0CAD" w:rsidRPr="006F3D3B" w:rsidRDefault="008D0CAD" w:rsidP="00DD08E3">
            <w:pPr>
              <w:numPr>
                <w:ilvl w:val="0"/>
                <w:numId w:val="90"/>
              </w:numPr>
              <w:spacing w:before="100" w:beforeAutospacing="1" w:after="100" w:afterAutospacing="1" w:line="360" w:lineRule="auto"/>
              <w:contextualSpacing/>
              <w:rPr>
                <w:rFonts w:asciiTheme="majorHAnsi" w:hAnsiTheme="majorHAnsi" w:cstheme="majorHAnsi"/>
                <w:snapToGrid w:val="0"/>
                <w:sz w:val="20"/>
                <w:szCs w:val="20"/>
                <w:lang w:val="en-US"/>
              </w:rPr>
            </w:pPr>
            <w:r w:rsidRPr="006F3D3B">
              <w:rPr>
                <w:rFonts w:asciiTheme="majorHAnsi" w:hAnsiTheme="majorHAnsi" w:cstheme="majorHAnsi"/>
                <w:bCs/>
                <w:snapToGrid w:val="0"/>
                <w:color w:val="000000"/>
                <w:sz w:val="20"/>
                <w:szCs w:val="20"/>
                <w:lang w:val="en-US"/>
              </w:rPr>
              <w:t>Inclusive Education Video Series</w:t>
            </w:r>
          </w:p>
        </w:tc>
        <w:tc>
          <w:tcPr>
            <w:tcW w:w="1134" w:type="dxa"/>
          </w:tcPr>
          <w:p w14:paraId="34959A36"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992" w:type="dxa"/>
          </w:tcPr>
          <w:p w14:paraId="6A49D37F"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926" w:type="dxa"/>
          </w:tcPr>
          <w:p w14:paraId="2D438CB9"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r>
      <w:tr w:rsidR="008D0CAD" w:rsidRPr="006F3D3B" w14:paraId="62A61061" w14:textId="77777777" w:rsidTr="00EC48C1">
        <w:trPr>
          <w:trHeight w:val="269"/>
        </w:trPr>
        <w:tc>
          <w:tcPr>
            <w:tcW w:w="5958" w:type="dxa"/>
          </w:tcPr>
          <w:p w14:paraId="5A4259B2" w14:textId="77777777" w:rsidR="008D0CAD" w:rsidRPr="006F3D3B" w:rsidRDefault="008D0CAD" w:rsidP="00DD08E3">
            <w:pPr>
              <w:numPr>
                <w:ilvl w:val="0"/>
                <w:numId w:val="90"/>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6F3D3B">
              <w:rPr>
                <w:rFonts w:asciiTheme="majorHAnsi" w:hAnsiTheme="majorHAnsi" w:cstheme="majorHAnsi"/>
                <w:snapToGrid w:val="0"/>
                <w:sz w:val="20"/>
                <w:szCs w:val="20"/>
                <w:lang w:val="en-US"/>
              </w:rPr>
              <w:t>ALS-EST Handbook</w:t>
            </w:r>
          </w:p>
        </w:tc>
        <w:tc>
          <w:tcPr>
            <w:tcW w:w="1134" w:type="dxa"/>
          </w:tcPr>
          <w:p w14:paraId="3E77E29F"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992" w:type="dxa"/>
          </w:tcPr>
          <w:p w14:paraId="183DC940"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926" w:type="dxa"/>
          </w:tcPr>
          <w:p w14:paraId="155E6DC6"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r>
      <w:tr w:rsidR="008D0CAD" w:rsidRPr="006F3D3B" w14:paraId="51F2EF59" w14:textId="77777777" w:rsidTr="00EC48C1">
        <w:trPr>
          <w:trHeight w:val="269"/>
        </w:trPr>
        <w:tc>
          <w:tcPr>
            <w:tcW w:w="5958" w:type="dxa"/>
          </w:tcPr>
          <w:p w14:paraId="17CF5612" w14:textId="77777777" w:rsidR="008D0CAD" w:rsidRPr="006F3D3B" w:rsidRDefault="008D0CAD" w:rsidP="00DD08E3">
            <w:pPr>
              <w:numPr>
                <w:ilvl w:val="0"/>
                <w:numId w:val="90"/>
              </w:numPr>
              <w:spacing w:before="100" w:beforeAutospacing="1" w:after="100" w:afterAutospacing="1" w:line="360" w:lineRule="auto"/>
              <w:contextualSpacing/>
              <w:rPr>
                <w:rFonts w:asciiTheme="majorHAnsi" w:hAnsiTheme="majorHAnsi" w:cstheme="majorHAnsi"/>
                <w:snapToGrid w:val="0"/>
                <w:sz w:val="20"/>
                <w:szCs w:val="20"/>
                <w:lang w:val="en-AU"/>
              </w:rPr>
            </w:pPr>
            <w:r w:rsidRPr="006F3D3B">
              <w:rPr>
                <w:rFonts w:asciiTheme="majorHAnsi" w:hAnsiTheme="majorHAnsi" w:cstheme="majorHAnsi"/>
                <w:snapToGrid w:val="0"/>
                <w:sz w:val="20"/>
                <w:szCs w:val="20"/>
                <w:lang w:val="en-AU"/>
              </w:rPr>
              <w:t xml:space="preserve">Learning Resource (LR) </w:t>
            </w:r>
            <w:r w:rsidRPr="006F3D3B">
              <w:rPr>
                <w:rFonts w:asciiTheme="majorHAnsi" w:hAnsiTheme="majorHAnsi" w:cstheme="majorHAnsi"/>
                <w:snapToGrid w:val="0"/>
                <w:sz w:val="20"/>
                <w:szCs w:val="20"/>
                <w:lang w:val="en-US"/>
              </w:rPr>
              <w:t>for Visually impaired</w:t>
            </w:r>
          </w:p>
        </w:tc>
        <w:tc>
          <w:tcPr>
            <w:tcW w:w="1134" w:type="dxa"/>
          </w:tcPr>
          <w:p w14:paraId="0825BB8C"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992" w:type="dxa"/>
          </w:tcPr>
          <w:p w14:paraId="2A989685"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926" w:type="dxa"/>
          </w:tcPr>
          <w:p w14:paraId="3AD329AF"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r>
      <w:tr w:rsidR="008D0CAD" w:rsidRPr="006F3D3B" w14:paraId="33702776" w14:textId="77777777" w:rsidTr="00EC48C1">
        <w:trPr>
          <w:trHeight w:val="268"/>
        </w:trPr>
        <w:tc>
          <w:tcPr>
            <w:tcW w:w="5958" w:type="dxa"/>
          </w:tcPr>
          <w:p w14:paraId="6FD4FBD3" w14:textId="77777777" w:rsidR="008D0CAD" w:rsidRPr="006F3D3B" w:rsidRDefault="008D0CAD" w:rsidP="00DD08E3">
            <w:pPr>
              <w:numPr>
                <w:ilvl w:val="0"/>
                <w:numId w:val="90"/>
              </w:numPr>
              <w:spacing w:before="100" w:beforeAutospacing="1" w:after="100" w:afterAutospacing="1" w:line="360" w:lineRule="auto"/>
              <w:contextualSpacing/>
              <w:rPr>
                <w:rFonts w:asciiTheme="majorHAnsi" w:hAnsiTheme="majorHAnsi" w:cstheme="majorHAnsi"/>
                <w:snapToGrid w:val="0"/>
                <w:sz w:val="20"/>
                <w:szCs w:val="20"/>
                <w:lang w:val="en-AU"/>
              </w:rPr>
            </w:pPr>
            <w:r w:rsidRPr="006F3D3B">
              <w:rPr>
                <w:rFonts w:asciiTheme="majorHAnsi" w:hAnsiTheme="majorHAnsi" w:cstheme="majorHAnsi"/>
                <w:snapToGrid w:val="0"/>
                <w:sz w:val="20"/>
                <w:szCs w:val="20"/>
                <w:lang w:val="en-US"/>
              </w:rPr>
              <w:t>Continuous Improvement Guidebook</w:t>
            </w:r>
          </w:p>
        </w:tc>
        <w:tc>
          <w:tcPr>
            <w:tcW w:w="1134" w:type="dxa"/>
          </w:tcPr>
          <w:p w14:paraId="58CDCD54" w14:textId="77777777" w:rsidR="008D0CAD" w:rsidRPr="006F3D3B" w:rsidRDefault="008D0CAD" w:rsidP="00DD08E3">
            <w:pPr>
              <w:spacing w:before="100" w:beforeAutospacing="1" w:after="100" w:afterAutospacing="1" w:line="360" w:lineRule="auto"/>
              <w:rPr>
                <w:rFonts w:asciiTheme="majorHAnsi" w:hAnsiTheme="majorHAnsi" w:cstheme="majorHAnsi"/>
                <w:bCs/>
                <w:color w:val="000000"/>
                <w:sz w:val="20"/>
                <w:szCs w:val="20"/>
                <w:lang w:val="en-US"/>
              </w:rPr>
            </w:pPr>
          </w:p>
        </w:tc>
        <w:tc>
          <w:tcPr>
            <w:tcW w:w="992" w:type="dxa"/>
          </w:tcPr>
          <w:p w14:paraId="6A4AFD22" w14:textId="77777777" w:rsidR="008D0CAD" w:rsidRPr="006F3D3B" w:rsidRDefault="008D0CAD" w:rsidP="00DD08E3">
            <w:pPr>
              <w:spacing w:before="100" w:beforeAutospacing="1" w:after="100" w:afterAutospacing="1" w:line="360" w:lineRule="auto"/>
              <w:rPr>
                <w:rFonts w:asciiTheme="majorHAnsi" w:hAnsiTheme="majorHAnsi" w:cstheme="majorHAnsi"/>
                <w:bCs/>
                <w:color w:val="000000"/>
                <w:sz w:val="20"/>
                <w:szCs w:val="20"/>
                <w:lang w:val="en-US"/>
              </w:rPr>
            </w:pPr>
          </w:p>
        </w:tc>
        <w:tc>
          <w:tcPr>
            <w:tcW w:w="926" w:type="dxa"/>
          </w:tcPr>
          <w:p w14:paraId="59DDF796" w14:textId="77777777" w:rsidR="008D0CAD" w:rsidRPr="006F3D3B" w:rsidRDefault="008D0CAD" w:rsidP="00DD08E3">
            <w:pPr>
              <w:spacing w:before="100" w:beforeAutospacing="1" w:after="100" w:afterAutospacing="1" w:line="360" w:lineRule="auto"/>
              <w:rPr>
                <w:rFonts w:asciiTheme="majorHAnsi" w:hAnsiTheme="majorHAnsi" w:cstheme="majorHAnsi"/>
                <w:bCs/>
                <w:color w:val="000000"/>
                <w:sz w:val="20"/>
                <w:szCs w:val="20"/>
                <w:lang w:val="en-US"/>
              </w:rPr>
            </w:pPr>
          </w:p>
        </w:tc>
      </w:tr>
    </w:tbl>
    <w:p w14:paraId="421E8868" w14:textId="77777777" w:rsidR="008D0CAD" w:rsidRDefault="008D0CAD" w:rsidP="00DD08E3">
      <w:pPr>
        <w:spacing w:before="100" w:beforeAutospacing="1" w:after="100" w:afterAutospacing="1" w:line="360" w:lineRule="auto"/>
        <w:rPr>
          <w:rFonts w:asciiTheme="majorHAnsi" w:hAnsiTheme="majorHAnsi" w:cstheme="majorHAnsi"/>
        </w:rPr>
      </w:pPr>
    </w:p>
    <w:p w14:paraId="2863D1A1" w14:textId="77777777" w:rsidR="008D0CAD" w:rsidRDefault="008D0CAD" w:rsidP="00DD08E3">
      <w:pPr>
        <w:spacing w:before="100" w:beforeAutospacing="1" w:after="100" w:afterAutospacing="1" w:line="360" w:lineRule="auto"/>
        <w:rPr>
          <w:rFonts w:asciiTheme="majorHAnsi" w:hAnsiTheme="majorHAnsi" w:cstheme="majorHAnsi"/>
        </w:rPr>
        <w:sectPr w:rsidR="008D0CAD" w:rsidSect="009C64E9">
          <w:pgSz w:w="11900" w:h="16840"/>
          <w:pgMar w:top="1440" w:right="1440" w:bottom="1440" w:left="1440" w:header="720" w:footer="720" w:gutter="0"/>
          <w:cols w:space="720"/>
          <w:docGrid w:linePitch="360"/>
        </w:sectPr>
      </w:pPr>
    </w:p>
    <w:p w14:paraId="186DCAC8" w14:textId="365DD130" w:rsidR="008D0CAD" w:rsidRPr="006F3D3B" w:rsidRDefault="008D0CAD" w:rsidP="00DD08E3">
      <w:pPr>
        <w:widowControl w:val="0"/>
        <w:spacing w:before="100" w:beforeAutospacing="1" w:after="100" w:afterAutospacing="1" w:line="360" w:lineRule="auto"/>
        <w:rPr>
          <w:rFonts w:asciiTheme="majorHAnsi" w:hAnsiTheme="majorHAnsi" w:cstheme="majorHAnsi"/>
          <w:sz w:val="22"/>
          <w:szCs w:val="22"/>
          <w:lang w:val="en-US"/>
        </w:rPr>
      </w:pPr>
      <w:r w:rsidRPr="006F3D3B">
        <w:rPr>
          <w:rFonts w:ascii="Candara" w:hAnsi="Candara"/>
          <w:b/>
          <w:lang w:val="en-US"/>
        </w:rPr>
        <w:t>Part 3.</w:t>
      </w:r>
      <w:r w:rsidR="00D434EB">
        <w:rPr>
          <w:rFonts w:asciiTheme="majorHAnsi" w:hAnsiTheme="majorHAnsi" w:cstheme="majorHAnsi"/>
          <w:b/>
          <w:sz w:val="22"/>
          <w:szCs w:val="22"/>
          <w:lang w:val="en-US"/>
        </w:rPr>
        <w:t xml:space="preserve"> </w:t>
      </w:r>
      <w:r w:rsidRPr="006F3D3B">
        <w:rPr>
          <w:rFonts w:asciiTheme="majorHAnsi" w:hAnsiTheme="majorHAnsi" w:cstheme="majorHAnsi"/>
          <w:sz w:val="22"/>
          <w:szCs w:val="22"/>
          <w:lang w:val="en-US"/>
        </w:rPr>
        <w:t xml:space="preserve">Please indicate whether you are </w:t>
      </w:r>
      <w:r w:rsidRPr="006F3D3B">
        <w:rPr>
          <w:rFonts w:asciiTheme="majorHAnsi" w:hAnsiTheme="majorHAnsi" w:cstheme="majorHAnsi"/>
          <w:b/>
          <w:sz w:val="22"/>
          <w:szCs w:val="22"/>
          <w:lang w:val="en-US"/>
        </w:rPr>
        <w:t>familiar</w:t>
      </w:r>
      <w:r w:rsidRPr="006F3D3B">
        <w:rPr>
          <w:rFonts w:asciiTheme="majorHAnsi" w:hAnsiTheme="majorHAnsi" w:cstheme="majorHAnsi"/>
          <w:sz w:val="22"/>
          <w:szCs w:val="22"/>
          <w:lang w:val="en-US"/>
        </w:rPr>
        <w:t xml:space="preserve"> with the following </w:t>
      </w:r>
      <w:r w:rsidRPr="006F3D3B">
        <w:rPr>
          <w:rFonts w:asciiTheme="majorHAnsi" w:hAnsiTheme="majorHAnsi" w:cstheme="majorHAnsi"/>
          <w:b/>
          <w:sz w:val="22"/>
          <w:szCs w:val="22"/>
          <w:lang w:val="en-US"/>
        </w:rPr>
        <w:t>BEST Program interventions</w:t>
      </w:r>
      <w:r w:rsidRPr="006F3D3B">
        <w:rPr>
          <w:rFonts w:asciiTheme="majorHAnsi" w:hAnsiTheme="majorHAnsi" w:cstheme="majorHAnsi"/>
          <w:sz w:val="22"/>
          <w:szCs w:val="22"/>
          <w:lang w:val="en-US"/>
        </w:rPr>
        <w:t>.</w:t>
      </w:r>
    </w:p>
    <w:tbl>
      <w:tblPr>
        <w:tblStyle w:val="TableGrid11"/>
        <w:tblW w:w="14360" w:type="dxa"/>
        <w:tblLayout w:type="fixed"/>
        <w:tblLook w:val="04A0" w:firstRow="1" w:lastRow="0" w:firstColumn="1" w:lastColumn="0" w:noHBand="0" w:noVBand="1"/>
      </w:tblPr>
      <w:tblGrid>
        <w:gridCol w:w="4817"/>
        <w:gridCol w:w="1605"/>
        <w:gridCol w:w="1515"/>
        <w:gridCol w:w="1515"/>
        <w:gridCol w:w="1694"/>
        <w:gridCol w:w="1515"/>
        <w:gridCol w:w="1699"/>
      </w:tblGrid>
      <w:tr w:rsidR="008D0CAD" w:rsidRPr="006F3D3B" w14:paraId="5C4A1F47" w14:textId="77777777" w:rsidTr="001A175A">
        <w:trPr>
          <w:trHeight w:val="530"/>
          <w:tblHeader/>
        </w:trPr>
        <w:tc>
          <w:tcPr>
            <w:tcW w:w="4817" w:type="dxa"/>
          </w:tcPr>
          <w:p w14:paraId="47092476" w14:textId="77777777" w:rsidR="008D0CAD" w:rsidRPr="006F3D3B" w:rsidRDefault="008D0CAD" w:rsidP="00DD08E3">
            <w:pPr>
              <w:widowControl w:val="0"/>
              <w:spacing w:before="100" w:beforeAutospacing="1" w:after="100" w:afterAutospacing="1" w:line="360" w:lineRule="auto"/>
              <w:ind w:left="360" w:hanging="360"/>
              <w:rPr>
                <w:rFonts w:asciiTheme="majorHAnsi" w:hAnsiTheme="majorHAnsi" w:cstheme="majorHAnsi"/>
                <w:b/>
                <w:bCs/>
                <w:snapToGrid w:val="0"/>
                <w:color w:val="000000"/>
                <w:sz w:val="20"/>
                <w:szCs w:val="20"/>
                <w:lang w:val="en-US"/>
              </w:rPr>
            </w:pPr>
            <w:r w:rsidRPr="006F3D3B">
              <w:rPr>
                <w:rFonts w:asciiTheme="majorHAnsi" w:hAnsiTheme="majorHAnsi" w:cstheme="majorHAnsi"/>
                <w:b/>
                <w:bCs/>
                <w:snapToGrid w:val="0"/>
                <w:color w:val="000000"/>
                <w:sz w:val="20"/>
                <w:szCs w:val="20"/>
                <w:lang w:val="en-US"/>
              </w:rPr>
              <w:t>Policy</w:t>
            </w:r>
          </w:p>
        </w:tc>
        <w:tc>
          <w:tcPr>
            <w:tcW w:w="1605" w:type="dxa"/>
          </w:tcPr>
          <w:p w14:paraId="44C8997C" w14:textId="77777777" w:rsidR="008D0CAD" w:rsidRPr="006F3D3B" w:rsidRDefault="008D0CAD" w:rsidP="00DD08E3">
            <w:pPr>
              <w:spacing w:before="100" w:beforeAutospacing="1" w:after="100" w:afterAutospacing="1" w:line="360" w:lineRule="auto"/>
              <w:rPr>
                <w:rFonts w:asciiTheme="majorHAnsi" w:hAnsiTheme="majorHAnsi" w:cstheme="majorHAnsi"/>
                <w:b/>
                <w:color w:val="000000" w:themeColor="text1"/>
                <w:sz w:val="20"/>
                <w:szCs w:val="20"/>
                <w:lang w:val="en-US"/>
              </w:rPr>
            </w:pPr>
            <w:r w:rsidRPr="006F3D3B">
              <w:rPr>
                <w:rFonts w:asciiTheme="majorHAnsi" w:hAnsiTheme="majorHAnsi" w:cstheme="majorHAnsi"/>
                <w:b/>
                <w:bCs/>
                <w:color w:val="000000"/>
                <w:sz w:val="20"/>
                <w:szCs w:val="20"/>
                <w:lang w:val="en-US"/>
              </w:rPr>
              <w:t>I'm not aware of this intervention (program)</w:t>
            </w:r>
          </w:p>
        </w:tc>
        <w:tc>
          <w:tcPr>
            <w:tcW w:w="1515" w:type="dxa"/>
          </w:tcPr>
          <w:p w14:paraId="5EB502FC" w14:textId="77777777" w:rsidR="008D0CAD" w:rsidRPr="006F3D3B" w:rsidRDefault="008D0CAD" w:rsidP="00DD08E3">
            <w:pPr>
              <w:spacing w:before="100" w:beforeAutospacing="1" w:after="100" w:afterAutospacing="1" w:line="360" w:lineRule="auto"/>
              <w:rPr>
                <w:rFonts w:asciiTheme="majorHAnsi" w:hAnsiTheme="majorHAnsi" w:cstheme="majorHAnsi"/>
                <w:b/>
                <w:color w:val="000000" w:themeColor="text1"/>
                <w:sz w:val="20"/>
                <w:szCs w:val="20"/>
                <w:lang w:val="en-US"/>
              </w:rPr>
            </w:pPr>
            <w:r w:rsidRPr="006F3D3B">
              <w:rPr>
                <w:rFonts w:asciiTheme="majorHAnsi" w:hAnsiTheme="majorHAnsi" w:cstheme="majorHAnsi"/>
                <w:b/>
                <w:bCs/>
                <w:color w:val="000000"/>
                <w:sz w:val="20"/>
                <w:szCs w:val="20"/>
                <w:lang w:val="en-US"/>
              </w:rPr>
              <w:t>I am aware of the BEST intervention but am not able to explain it clearly</w:t>
            </w:r>
          </w:p>
        </w:tc>
        <w:tc>
          <w:tcPr>
            <w:tcW w:w="1515" w:type="dxa"/>
          </w:tcPr>
          <w:p w14:paraId="61406EB0" w14:textId="77777777" w:rsidR="008D0CAD" w:rsidRPr="006F3D3B" w:rsidRDefault="008D0CAD" w:rsidP="00DD08E3">
            <w:pPr>
              <w:spacing w:before="100" w:beforeAutospacing="1" w:after="100" w:afterAutospacing="1" w:line="360" w:lineRule="auto"/>
              <w:rPr>
                <w:rFonts w:asciiTheme="majorHAnsi" w:hAnsiTheme="majorHAnsi" w:cstheme="majorHAnsi"/>
                <w:b/>
                <w:color w:val="000000" w:themeColor="text1"/>
                <w:sz w:val="20"/>
                <w:szCs w:val="20"/>
                <w:lang w:val="en-US"/>
              </w:rPr>
            </w:pPr>
            <w:r w:rsidRPr="006F3D3B">
              <w:rPr>
                <w:rFonts w:asciiTheme="majorHAnsi" w:hAnsiTheme="majorHAnsi" w:cstheme="majorHAnsi"/>
                <w:b/>
                <w:bCs/>
                <w:color w:val="000000"/>
                <w:sz w:val="20"/>
                <w:szCs w:val="20"/>
                <w:lang w:val="en-US"/>
              </w:rPr>
              <w:t>I am aware of the BEST program and can explain it clearly</w:t>
            </w:r>
          </w:p>
        </w:tc>
        <w:tc>
          <w:tcPr>
            <w:tcW w:w="1694" w:type="dxa"/>
          </w:tcPr>
          <w:p w14:paraId="7FE33A6A" w14:textId="77777777" w:rsidR="008D0CAD" w:rsidRPr="006F3D3B" w:rsidRDefault="008D0CAD" w:rsidP="00DD08E3">
            <w:pPr>
              <w:spacing w:before="100" w:beforeAutospacing="1" w:after="100" w:afterAutospacing="1" w:line="360" w:lineRule="auto"/>
              <w:rPr>
                <w:rFonts w:asciiTheme="majorHAnsi" w:hAnsiTheme="majorHAnsi" w:cstheme="majorHAnsi"/>
                <w:b/>
                <w:color w:val="000000" w:themeColor="text1"/>
                <w:sz w:val="20"/>
                <w:szCs w:val="20"/>
                <w:lang w:val="en-US"/>
              </w:rPr>
            </w:pPr>
            <w:r w:rsidRPr="006F3D3B">
              <w:rPr>
                <w:rFonts w:asciiTheme="majorHAnsi" w:hAnsiTheme="majorHAnsi" w:cstheme="majorHAnsi"/>
                <w:b/>
                <w:bCs/>
                <w:color w:val="000000"/>
                <w:sz w:val="20"/>
                <w:szCs w:val="20"/>
                <w:lang w:val="en-US"/>
              </w:rPr>
              <w:t>We demonstrate some facility with the stated intervention (limited practice)</w:t>
            </w:r>
          </w:p>
        </w:tc>
        <w:tc>
          <w:tcPr>
            <w:tcW w:w="1515" w:type="dxa"/>
          </w:tcPr>
          <w:p w14:paraId="4B44E49A" w14:textId="77777777" w:rsidR="008D0CAD" w:rsidRPr="006F3D3B" w:rsidRDefault="008D0CAD" w:rsidP="00DD08E3">
            <w:pPr>
              <w:spacing w:before="100" w:beforeAutospacing="1" w:after="100" w:afterAutospacing="1" w:line="360" w:lineRule="auto"/>
              <w:rPr>
                <w:rFonts w:asciiTheme="majorHAnsi" w:hAnsiTheme="majorHAnsi" w:cstheme="majorHAnsi"/>
                <w:b/>
                <w:color w:val="000000" w:themeColor="text1"/>
                <w:sz w:val="20"/>
                <w:szCs w:val="20"/>
                <w:lang w:val="en-US"/>
              </w:rPr>
            </w:pPr>
            <w:r w:rsidRPr="006F3D3B">
              <w:rPr>
                <w:rFonts w:asciiTheme="majorHAnsi" w:hAnsiTheme="majorHAnsi" w:cstheme="majorHAnsi"/>
                <w:b/>
                <w:bCs/>
                <w:color w:val="000000"/>
                <w:sz w:val="20"/>
                <w:szCs w:val="20"/>
                <w:lang w:val="en-US"/>
              </w:rPr>
              <w:t>We practice the intervention widely and have some mastery of it</w:t>
            </w:r>
          </w:p>
        </w:tc>
        <w:tc>
          <w:tcPr>
            <w:tcW w:w="1699" w:type="dxa"/>
          </w:tcPr>
          <w:p w14:paraId="2D02B798" w14:textId="77777777" w:rsidR="008D0CAD" w:rsidRPr="006F3D3B" w:rsidRDefault="008D0CAD" w:rsidP="00DD08E3">
            <w:pPr>
              <w:spacing w:before="100" w:beforeAutospacing="1" w:after="100" w:afterAutospacing="1" w:line="360" w:lineRule="auto"/>
              <w:rPr>
                <w:rFonts w:asciiTheme="majorHAnsi" w:hAnsiTheme="majorHAnsi" w:cstheme="majorHAnsi"/>
                <w:b/>
                <w:color w:val="000000" w:themeColor="text1"/>
                <w:sz w:val="20"/>
                <w:szCs w:val="20"/>
                <w:lang w:val="en-US"/>
              </w:rPr>
            </w:pPr>
            <w:r w:rsidRPr="006F3D3B">
              <w:rPr>
                <w:rFonts w:asciiTheme="majorHAnsi" w:hAnsiTheme="majorHAnsi" w:cstheme="majorHAnsi"/>
                <w:b/>
                <w:bCs/>
                <w:color w:val="000000"/>
                <w:sz w:val="20"/>
                <w:szCs w:val="20"/>
                <w:lang w:val="en-US"/>
              </w:rPr>
              <w:t>We have introduced home-grown innovations in rolling out additional interventions</w:t>
            </w:r>
          </w:p>
        </w:tc>
      </w:tr>
      <w:tr w:rsidR="008D0CAD" w:rsidRPr="006F3D3B" w14:paraId="30BD4B92" w14:textId="77777777" w:rsidTr="00EC48C1">
        <w:trPr>
          <w:trHeight w:val="260"/>
        </w:trPr>
        <w:tc>
          <w:tcPr>
            <w:tcW w:w="4817" w:type="dxa"/>
          </w:tcPr>
          <w:p w14:paraId="229ED790" w14:textId="77777777" w:rsidR="008D0CAD" w:rsidRPr="006F3D3B" w:rsidRDefault="008D0CAD" w:rsidP="00DD08E3">
            <w:pPr>
              <w:numPr>
                <w:ilvl w:val="0"/>
                <w:numId w:val="137"/>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6F3D3B">
              <w:rPr>
                <w:rFonts w:asciiTheme="majorHAnsi" w:hAnsiTheme="majorHAnsi" w:cstheme="majorHAnsi"/>
                <w:snapToGrid w:val="0"/>
                <w:sz w:val="20"/>
                <w:szCs w:val="20"/>
                <w:lang w:val="en-US"/>
              </w:rPr>
              <w:t>Learning and Development System (L&amp;D)</w:t>
            </w:r>
          </w:p>
        </w:tc>
        <w:tc>
          <w:tcPr>
            <w:tcW w:w="1605" w:type="dxa"/>
          </w:tcPr>
          <w:p w14:paraId="42C070F3"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6BB9F89C"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58836CCF"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694" w:type="dxa"/>
          </w:tcPr>
          <w:p w14:paraId="44F23005"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1A28FC19"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699" w:type="dxa"/>
          </w:tcPr>
          <w:p w14:paraId="315BFB1D"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r w:rsidRPr="006F3D3B">
              <w:rPr>
                <w:rFonts w:asciiTheme="majorHAnsi" w:hAnsiTheme="majorHAnsi" w:cstheme="majorHAnsi"/>
                <w:b/>
                <w:bCs/>
                <w:color w:val="000000"/>
                <w:sz w:val="20"/>
                <w:szCs w:val="20"/>
                <w:lang w:val="en-US"/>
              </w:rPr>
              <w:t xml:space="preserve"> </w:t>
            </w:r>
          </w:p>
        </w:tc>
      </w:tr>
      <w:tr w:rsidR="008D0CAD" w:rsidRPr="006F3D3B" w14:paraId="165B34AD" w14:textId="77777777" w:rsidTr="00EC48C1">
        <w:trPr>
          <w:trHeight w:val="260"/>
        </w:trPr>
        <w:tc>
          <w:tcPr>
            <w:tcW w:w="4817" w:type="dxa"/>
          </w:tcPr>
          <w:p w14:paraId="6908F72E" w14:textId="77777777" w:rsidR="008D0CAD" w:rsidRPr="006F3D3B" w:rsidRDefault="008D0CAD" w:rsidP="00DD08E3">
            <w:pPr>
              <w:numPr>
                <w:ilvl w:val="1"/>
                <w:numId w:val="137"/>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6F3D3B">
              <w:rPr>
                <w:rFonts w:asciiTheme="majorHAnsi" w:hAnsiTheme="majorHAnsi" w:cstheme="majorHAnsi"/>
                <w:bCs/>
                <w:snapToGrid w:val="0"/>
                <w:color w:val="000000"/>
                <w:sz w:val="20"/>
                <w:szCs w:val="20"/>
                <w:lang w:val="en-US"/>
              </w:rPr>
              <w:t>LAC</w:t>
            </w:r>
          </w:p>
        </w:tc>
        <w:tc>
          <w:tcPr>
            <w:tcW w:w="1605" w:type="dxa"/>
          </w:tcPr>
          <w:p w14:paraId="17FF8312"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4053F778"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70499DB1"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694" w:type="dxa"/>
          </w:tcPr>
          <w:p w14:paraId="53338D1B"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7BB91DBF"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699" w:type="dxa"/>
          </w:tcPr>
          <w:p w14:paraId="07B71988"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r>
      <w:tr w:rsidR="008D0CAD" w:rsidRPr="006F3D3B" w14:paraId="0DD65EA7" w14:textId="77777777" w:rsidTr="00EC48C1">
        <w:trPr>
          <w:trHeight w:val="260"/>
        </w:trPr>
        <w:tc>
          <w:tcPr>
            <w:tcW w:w="4817" w:type="dxa"/>
          </w:tcPr>
          <w:p w14:paraId="44008227" w14:textId="77777777" w:rsidR="008D0CAD" w:rsidRPr="006F3D3B" w:rsidRDefault="008D0CAD" w:rsidP="00DD08E3">
            <w:pPr>
              <w:numPr>
                <w:ilvl w:val="1"/>
                <w:numId w:val="137"/>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6F3D3B">
              <w:rPr>
                <w:rFonts w:asciiTheme="majorHAnsi" w:hAnsiTheme="majorHAnsi" w:cstheme="majorHAnsi"/>
                <w:bCs/>
                <w:snapToGrid w:val="0"/>
                <w:color w:val="000000"/>
                <w:sz w:val="20"/>
                <w:szCs w:val="20"/>
                <w:lang w:val="en-US"/>
              </w:rPr>
              <w:t>PRIMALS</w:t>
            </w:r>
          </w:p>
        </w:tc>
        <w:tc>
          <w:tcPr>
            <w:tcW w:w="1605" w:type="dxa"/>
          </w:tcPr>
          <w:p w14:paraId="628DD993"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76E0BA36"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26549358"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694" w:type="dxa"/>
          </w:tcPr>
          <w:p w14:paraId="15A555D6"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02DAB56F"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699" w:type="dxa"/>
          </w:tcPr>
          <w:p w14:paraId="1B6F09C4"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r>
      <w:tr w:rsidR="008D0CAD" w:rsidRPr="006F3D3B" w14:paraId="2F42D66D" w14:textId="77777777" w:rsidTr="00EC48C1">
        <w:trPr>
          <w:trHeight w:val="260"/>
        </w:trPr>
        <w:tc>
          <w:tcPr>
            <w:tcW w:w="4817" w:type="dxa"/>
          </w:tcPr>
          <w:p w14:paraId="73F9EADB" w14:textId="77777777" w:rsidR="008D0CAD" w:rsidRPr="006F3D3B" w:rsidRDefault="008D0CAD" w:rsidP="00DD08E3">
            <w:pPr>
              <w:numPr>
                <w:ilvl w:val="1"/>
                <w:numId w:val="137"/>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6F3D3B">
              <w:rPr>
                <w:rFonts w:asciiTheme="majorHAnsi" w:hAnsiTheme="majorHAnsi" w:cstheme="majorHAnsi"/>
                <w:bCs/>
                <w:snapToGrid w:val="0"/>
                <w:color w:val="000000"/>
                <w:sz w:val="20"/>
                <w:szCs w:val="20"/>
                <w:lang w:val="en-US"/>
              </w:rPr>
              <w:t>Action Research Guides</w:t>
            </w:r>
          </w:p>
        </w:tc>
        <w:tc>
          <w:tcPr>
            <w:tcW w:w="1605" w:type="dxa"/>
          </w:tcPr>
          <w:p w14:paraId="55B3CA9E"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6D71015D"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234E3131"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694" w:type="dxa"/>
          </w:tcPr>
          <w:p w14:paraId="09C1E791"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6EDD5314"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699" w:type="dxa"/>
          </w:tcPr>
          <w:p w14:paraId="3BC92951"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r>
      <w:tr w:rsidR="008D0CAD" w:rsidRPr="006F3D3B" w14:paraId="72529D21" w14:textId="77777777" w:rsidTr="00EC48C1">
        <w:trPr>
          <w:trHeight w:val="260"/>
        </w:trPr>
        <w:tc>
          <w:tcPr>
            <w:tcW w:w="4817" w:type="dxa"/>
          </w:tcPr>
          <w:p w14:paraId="3228F0CF" w14:textId="77777777" w:rsidR="008D0CAD" w:rsidRPr="006F3D3B" w:rsidRDefault="008D0CAD" w:rsidP="00DD08E3">
            <w:pPr>
              <w:numPr>
                <w:ilvl w:val="0"/>
                <w:numId w:val="137"/>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6F3D3B">
              <w:rPr>
                <w:rFonts w:asciiTheme="majorHAnsi" w:hAnsiTheme="majorHAnsi" w:cstheme="majorHAnsi"/>
                <w:bCs/>
                <w:snapToGrid w:val="0"/>
                <w:color w:val="000000"/>
                <w:sz w:val="20"/>
                <w:szCs w:val="20"/>
                <w:lang w:val="en-US"/>
              </w:rPr>
              <w:t>Philippine Professional Standards for Teachers</w:t>
            </w:r>
          </w:p>
        </w:tc>
        <w:tc>
          <w:tcPr>
            <w:tcW w:w="1605" w:type="dxa"/>
          </w:tcPr>
          <w:p w14:paraId="67AB0D8A"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283346E5"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523377E9"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694" w:type="dxa"/>
          </w:tcPr>
          <w:p w14:paraId="1B8C12BE"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67B7C87B"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699" w:type="dxa"/>
          </w:tcPr>
          <w:p w14:paraId="1092FF23"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r>
      <w:tr w:rsidR="008D0CAD" w:rsidRPr="006F3D3B" w14:paraId="729DC58C" w14:textId="77777777" w:rsidTr="00EC48C1">
        <w:trPr>
          <w:trHeight w:val="260"/>
        </w:trPr>
        <w:tc>
          <w:tcPr>
            <w:tcW w:w="4817" w:type="dxa"/>
          </w:tcPr>
          <w:p w14:paraId="6662FCC3" w14:textId="77777777" w:rsidR="008D0CAD" w:rsidRPr="006F3D3B" w:rsidRDefault="008D0CAD" w:rsidP="00DD08E3">
            <w:pPr>
              <w:numPr>
                <w:ilvl w:val="1"/>
                <w:numId w:val="137"/>
              </w:numPr>
              <w:spacing w:before="100" w:beforeAutospacing="1" w:after="100" w:afterAutospacing="1" w:line="360" w:lineRule="auto"/>
              <w:contextualSpacing/>
              <w:rPr>
                <w:rFonts w:asciiTheme="majorHAnsi" w:hAnsiTheme="majorHAnsi" w:cstheme="majorHAnsi"/>
                <w:snapToGrid w:val="0"/>
                <w:sz w:val="20"/>
                <w:szCs w:val="20"/>
                <w:lang w:val="en-US"/>
              </w:rPr>
            </w:pPr>
            <w:r w:rsidRPr="006F3D3B">
              <w:rPr>
                <w:rFonts w:asciiTheme="majorHAnsi" w:hAnsiTheme="majorHAnsi" w:cstheme="majorHAnsi"/>
                <w:snapToGrid w:val="0"/>
                <w:sz w:val="20"/>
                <w:szCs w:val="20"/>
                <w:lang w:val="en-US"/>
              </w:rPr>
              <w:t>SAT</w:t>
            </w:r>
          </w:p>
        </w:tc>
        <w:tc>
          <w:tcPr>
            <w:tcW w:w="1605" w:type="dxa"/>
          </w:tcPr>
          <w:p w14:paraId="7E87B5C1"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3754A30D"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44FFFFF7"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694" w:type="dxa"/>
          </w:tcPr>
          <w:p w14:paraId="2C0B8332"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50B4CE2F"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699" w:type="dxa"/>
          </w:tcPr>
          <w:p w14:paraId="4356C3AE"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r>
      <w:tr w:rsidR="008D0CAD" w:rsidRPr="006F3D3B" w14:paraId="46E02B9A" w14:textId="77777777" w:rsidTr="00EC48C1">
        <w:trPr>
          <w:trHeight w:val="260"/>
        </w:trPr>
        <w:tc>
          <w:tcPr>
            <w:tcW w:w="4817" w:type="dxa"/>
          </w:tcPr>
          <w:p w14:paraId="29B075CF" w14:textId="77777777" w:rsidR="008D0CAD" w:rsidRPr="006F3D3B" w:rsidRDefault="008D0CAD" w:rsidP="00DD08E3">
            <w:pPr>
              <w:numPr>
                <w:ilvl w:val="1"/>
                <w:numId w:val="137"/>
              </w:numPr>
              <w:spacing w:before="100" w:beforeAutospacing="1" w:after="100" w:afterAutospacing="1" w:line="360" w:lineRule="auto"/>
              <w:contextualSpacing/>
              <w:rPr>
                <w:rFonts w:asciiTheme="majorHAnsi" w:hAnsiTheme="majorHAnsi" w:cstheme="majorHAnsi"/>
                <w:snapToGrid w:val="0"/>
                <w:sz w:val="20"/>
                <w:szCs w:val="20"/>
                <w:lang w:val="en-US"/>
              </w:rPr>
            </w:pPr>
            <w:r w:rsidRPr="006F3D3B">
              <w:rPr>
                <w:rFonts w:asciiTheme="majorHAnsi" w:hAnsiTheme="majorHAnsi" w:cstheme="majorHAnsi"/>
                <w:snapToGrid w:val="0"/>
                <w:sz w:val="20"/>
                <w:szCs w:val="20"/>
                <w:lang w:val="en-US"/>
              </w:rPr>
              <w:t>COT</w:t>
            </w:r>
          </w:p>
        </w:tc>
        <w:tc>
          <w:tcPr>
            <w:tcW w:w="1605" w:type="dxa"/>
          </w:tcPr>
          <w:p w14:paraId="71A45A0B"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491F3BA7"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4E403F9F"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694" w:type="dxa"/>
          </w:tcPr>
          <w:p w14:paraId="11D59B52"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4AB44320"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699" w:type="dxa"/>
          </w:tcPr>
          <w:p w14:paraId="007FEE28"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r>
      <w:tr w:rsidR="008D0CAD" w:rsidRPr="006F3D3B" w14:paraId="6A498B9C" w14:textId="77777777" w:rsidTr="00EC48C1">
        <w:trPr>
          <w:trHeight w:val="260"/>
        </w:trPr>
        <w:tc>
          <w:tcPr>
            <w:tcW w:w="4817" w:type="dxa"/>
          </w:tcPr>
          <w:p w14:paraId="20F5A032" w14:textId="77777777" w:rsidR="008D0CAD" w:rsidRPr="006F3D3B" w:rsidRDefault="008D0CAD" w:rsidP="00DD08E3">
            <w:pPr>
              <w:numPr>
                <w:ilvl w:val="0"/>
                <w:numId w:val="137"/>
              </w:numPr>
              <w:spacing w:before="100" w:beforeAutospacing="1" w:after="100" w:afterAutospacing="1" w:line="360" w:lineRule="auto"/>
              <w:contextualSpacing/>
              <w:rPr>
                <w:rFonts w:asciiTheme="majorHAnsi" w:hAnsiTheme="majorHAnsi" w:cstheme="majorHAnsi"/>
                <w:snapToGrid w:val="0"/>
                <w:sz w:val="20"/>
                <w:szCs w:val="20"/>
                <w:lang w:val="en-US"/>
              </w:rPr>
            </w:pPr>
            <w:r w:rsidRPr="006F3D3B">
              <w:rPr>
                <w:rFonts w:asciiTheme="majorHAnsi" w:hAnsiTheme="majorHAnsi" w:cstheme="majorHAnsi"/>
                <w:snapToGrid w:val="0"/>
                <w:sz w:val="20"/>
                <w:szCs w:val="20"/>
                <w:lang w:val="en-US"/>
              </w:rPr>
              <w:t>Curriculum and Assessment Systems</w:t>
            </w:r>
          </w:p>
        </w:tc>
        <w:tc>
          <w:tcPr>
            <w:tcW w:w="1605" w:type="dxa"/>
          </w:tcPr>
          <w:p w14:paraId="0A0F56AA"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097C6997"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04EB7151"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694" w:type="dxa"/>
          </w:tcPr>
          <w:p w14:paraId="5766F163"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23474F50"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699" w:type="dxa"/>
          </w:tcPr>
          <w:p w14:paraId="01BA7C92"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r>
      <w:tr w:rsidR="008D0CAD" w:rsidRPr="006F3D3B" w14:paraId="3C5023A7" w14:textId="77777777" w:rsidTr="00EC48C1">
        <w:trPr>
          <w:trHeight w:val="260"/>
        </w:trPr>
        <w:tc>
          <w:tcPr>
            <w:tcW w:w="4817" w:type="dxa"/>
          </w:tcPr>
          <w:p w14:paraId="227DBDB6" w14:textId="77777777" w:rsidR="008D0CAD" w:rsidRPr="006F3D3B" w:rsidRDefault="008D0CAD" w:rsidP="00DD08E3">
            <w:pPr>
              <w:numPr>
                <w:ilvl w:val="1"/>
                <w:numId w:val="137"/>
              </w:numPr>
              <w:spacing w:before="100" w:beforeAutospacing="1" w:after="100" w:afterAutospacing="1" w:line="360" w:lineRule="auto"/>
              <w:contextualSpacing/>
              <w:rPr>
                <w:rFonts w:asciiTheme="majorHAnsi" w:hAnsiTheme="majorHAnsi" w:cstheme="majorHAnsi"/>
                <w:snapToGrid w:val="0"/>
                <w:sz w:val="20"/>
                <w:szCs w:val="20"/>
                <w:lang w:val="en-US"/>
              </w:rPr>
            </w:pPr>
            <w:r w:rsidRPr="006F3D3B">
              <w:rPr>
                <w:rFonts w:asciiTheme="majorHAnsi" w:hAnsiTheme="majorHAnsi" w:cstheme="majorHAnsi"/>
                <w:snapToGrid w:val="0"/>
                <w:sz w:val="20"/>
                <w:szCs w:val="20"/>
                <w:lang w:val="en-US"/>
              </w:rPr>
              <w:t>CARB</w:t>
            </w:r>
          </w:p>
        </w:tc>
        <w:tc>
          <w:tcPr>
            <w:tcW w:w="1605" w:type="dxa"/>
          </w:tcPr>
          <w:p w14:paraId="4CE3B806"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57178DE7"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3DABBAF3"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694" w:type="dxa"/>
          </w:tcPr>
          <w:p w14:paraId="002FC290"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4347D053"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699" w:type="dxa"/>
          </w:tcPr>
          <w:p w14:paraId="350FDAF8"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r>
      <w:tr w:rsidR="008D0CAD" w:rsidRPr="006F3D3B" w14:paraId="5F1A04B7" w14:textId="77777777" w:rsidTr="00EC48C1">
        <w:trPr>
          <w:trHeight w:val="260"/>
        </w:trPr>
        <w:tc>
          <w:tcPr>
            <w:tcW w:w="4817" w:type="dxa"/>
          </w:tcPr>
          <w:p w14:paraId="6974830D" w14:textId="77777777" w:rsidR="008D0CAD" w:rsidRPr="006F3D3B" w:rsidRDefault="008D0CAD" w:rsidP="00DD08E3">
            <w:pPr>
              <w:numPr>
                <w:ilvl w:val="1"/>
                <w:numId w:val="137"/>
              </w:numPr>
              <w:spacing w:before="100" w:beforeAutospacing="1" w:after="100" w:afterAutospacing="1" w:line="360" w:lineRule="auto"/>
              <w:contextualSpacing/>
              <w:rPr>
                <w:rFonts w:asciiTheme="majorHAnsi" w:hAnsiTheme="majorHAnsi" w:cstheme="majorHAnsi"/>
                <w:snapToGrid w:val="0"/>
                <w:sz w:val="20"/>
                <w:szCs w:val="20"/>
                <w:lang w:val="en-US"/>
              </w:rPr>
            </w:pPr>
            <w:r w:rsidRPr="006F3D3B">
              <w:rPr>
                <w:rFonts w:asciiTheme="majorHAnsi" w:hAnsiTheme="majorHAnsi" w:cstheme="majorHAnsi"/>
                <w:snapToGrid w:val="0"/>
                <w:color w:val="000000"/>
                <w:sz w:val="20"/>
                <w:szCs w:val="20"/>
                <w:lang w:val="en-US"/>
              </w:rPr>
              <w:t>Multi-Grade Teach-Learn Package</w:t>
            </w:r>
          </w:p>
        </w:tc>
        <w:tc>
          <w:tcPr>
            <w:tcW w:w="1605" w:type="dxa"/>
          </w:tcPr>
          <w:p w14:paraId="35D46B35"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31218FCB"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6F9639C8"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694" w:type="dxa"/>
          </w:tcPr>
          <w:p w14:paraId="7133A218"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64DE570C"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699" w:type="dxa"/>
          </w:tcPr>
          <w:p w14:paraId="40BE4997"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r>
      <w:tr w:rsidR="008D0CAD" w:rsidRPr="006F3D3B" w14:paraId="7536D210" w14:textId="77777777" w:rsidTr="00EC48C1">
        <w:trPr>
          <w:trHeight w:val="260"/>
        </w:trPr>
        <w:tc>
          <w:tcPr>
            <w:tcW w:w="4817" w:type="dxa"/>
          </w:tcPr>
          <w:p w14:paraId="0433B8AD" w14:textId="77777777" w:rsidR="008D0CAD" w:rsidRPr="006F3D3B" w:rsidRDefault="008D0CAD" w:rsidP="00DD08E3">
            <w:pPr>
              <w:numPr>
                <w:ilvl w:val="1"/>
                <w:numId w:val="137"/>
              </w:numPr>
              <w:spacing w:before="100" w:beforeAutospacing="1" w:after="100" w:afterAutospacing="1" w:line="360" w:lineRule="auto"/>
              <w:contextualSpacing/>
              <w:rPr>
                <w:rFonts w:asciiTheme="majorHAnsi" w:hAnsiTheme="majorHAnsi" w:cstheme="majorHAnsi"/>
                <w:snapToGrid w:val="0"/>
                <w:sz w:val="20"/>
                <w:szCs w:val="20"/>
                <w:lang w:val="en-US"/>
              </w:rPr>
            </w:pPr>
            <w:r w:rsidRPr="006F3D3B">
              <w:rPr>
                <w:rFonts w:asciiTheme="majorHAnsi" w:hAnsiTheme="majorHAnsi" w:cstheme="majorHAnsi"/>
                <w:snapToGrid w:val="0"/>
                <w:color w:val="000000"/>
                <w:sz w:val="20"/>
                <w:szCs w:val="20"/>
                <w:lang w:val="en-US"/>
              </w:rPr>
              <w:t>Contextualised Curriculum Resources</w:t>
            </w:r>
          </w:p>
        </w:tc>
        <w:tc>
          <w:tcPr>
            <w:tcW w:w="1605" w:type="dxa"/>
          </w:tcPr>
          <w:p w14:paraId="4F40704E"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r w:rsidRPr="006F3D3B">
              <w:rPr>
                <w:rFonts w:asciiTheme="majorHAnsi" w:hAnsiTheme="majorHAnsi" w:cstheme="majorHAnsi"/>
                <w:color w:val="000000"/>
                <w:sz w:val="20"/>
                <w:szCs w:val="20"/>
                <w:lang w:val="en-US"/>
              </w:rPr>
              <w:t xml:space="preserve"> </w:t>
            </w:r>
          </w:p>
        </w:tc>
        <w:tc>
          <w:tcPr>
            <w:tcW w:w="1515" w:type="dxa"/>
          </w:tcPr>
          <w:p w14:paraId="762147A9"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75C70ABD"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694" w:type="dxa"/>
          </w:tcPr>
          <w:p w14:paraId="6FF3E7AC"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7B0BAACA"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699" w:type="dxa"/>
          </w:tcPr>
          <w:p w14:paraId="09A40A96"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r>
      <w:tr w:rsidR="008D0CAD" w:rsidRPr="006F3D3B" w14:paraId="5A87720A" w14:textId="77777777" w:rsidTr="00EC48C1">
        <w:trPr>
          <w:trHeight w:val="260"/>
        </w:trPr>
        <w:tc>
          <w:tcPr>
            <w:tcW w:w="4817" w:type="dxa"/>
          </w:tcPr>
          <w:p w14:paraId="5325AB25" w14:textId="77777777" w:rsidR="008D0CAD" w:rsidRPr="006F3D3B" w:rsidRDefault="008D0CAD" w:rsidP="00DD08E3">
            <w:pPr>
              <w:numPr>
                <w:ilvl w:val="0"/>
                <w:numId w:val="137"/>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6F3D3B">
              <w:rPr>
                <w:rFonts w:asciiTheme="majorHAnsi" w:hAnsiTheme="majorHAnsi" w:cstheme="majorHAnsi"/>
                <w:snapToGrid w:val="0"/>
                <w:sz w:val="20"/>
                <w:szCs w:val="20"/>
                <w:lang w:val="en-US"/>
              </w:rPr>
              <w:t>Teacher Pre-Service Quality Improvements</w:t>
            </w:r>
          </w:p>
        </w:tc>
        <w:tc>
          <w:tcPr>
            <w:tcW w:w="1605" w:type="dxa"/>
          </w:tcPr>
          <w:p w14:paraId="672383AE"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r w:rsidRPr="006F3D3B">
              <w:rPr>
                <w:rFonts w:asciiTheme="majorHAnsi" w:hAnsiTheme="majorHAnsi" w:cstheme="majorHAnsi"/>
                <w:color w:val="000000"/>
                <w:sz w:val="20"/>
                <w:szCs w:val="20"/>
                <w:lang w:val="en-US"/>
              </w:rPr>
              <w:t xml:space="preserve"> </w:t>
            </w:r>
          </w:p>
        </w:tc>
        <w:tc>
          <w:tcPr>
            <w:tcW w:w="1515" w:type="dxa"/>
          </w:tcPr>
          <w:p w14:paraId="587F90DD"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30E54248"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694" w:type="dxa"/>
          </w:tcPr>
          <w:p w14:paraId="662C8F62"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56858A87"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699" w:type="dxa"/>
          </w:tcPr>
          <w:p w14:paraId="5C203468"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r>
      <w:tr w:rsidR="008D0CAD" w:rsidRPr="006F3D3B" w14:paraId="059C458C" w14:textId="77777777" w:rsidTr="00EC48C1">
        <w:trPr>
          <w:trHeight w:val="260"/>
        </w:trPr>
        <w:tc>
          <w:tcPr>
            <w:tcW w:w="4817" w:type="dxa"/>
          </w:tcPr>
          <w:p w14:paraId="192ED7EE" w14:textId="77777777" w:rsidR="008D0CAD" w:rsidRPr="006F3D3B" w:rsidRDefault="008D0CAD" w:rsidP="00DD08E3">
            <w:pPr>
              <w:numPr>
                <w:ilvl w:val="1"/>
                <w:numId w:val="137"/>
              </w:numPr>
              <w:spacing w:before="100" w:beforeAutospacing="1" w:after="100" w:afterAutospacing="1" w:line="360" w:lineRule="auto"/>
              <w:contextualSpacing/>
              <w:rPr>
                <w:rFonts w:asciiTheme="majorHAnsi" w:eastAsiaTheme="minorEastAsia" w:hAnsiTheme="majorHAnsi" w:cstheme="majorHAnsi"/>
                <w:bCs/>
                <w:snapToGrid w:val="0"/>
                <w:sz w:val="20"/>
                <w:szCs w:val="20"/>
              </w:rPr>
            </w:pPr>
            <w:r w:rsidRPr="006F3D3B">
              <w:rPr>
                <w:rFonts w:asciiTheme="majorHAnsi" w:eastAsiaTheme="minorEastAsia" w:hAnsiTheme="majorHAnsi" w:cstheme="majorHAnsi"/>
                <w:bCs/>
                <w:snapToGrid w:val="0"/>
                <w:sz w:val="20"/>
                <w:szCs w:val="20"/>
              </w:rPr>
              <w:t>Teacher Induction Program</w:t>
            </w:r>
          </w:p>
        </w:tc>
        <w:tc>
          <w:tcPr>
            <w:tcW w:w="1605" w:type="dxa"/>
          </w:tcPr>
          <w:p w14:paraId="351E8753"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6F3A4807"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29EA1C52"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694" w:type="dxa"/>
          </w:tcPr>
          <w:p w14:paraId="154D3F4C"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4F82015A"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699" w:type="dxa"/>
          </w:tcPr>
          <w:p w14:paraId="497AC31F"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r>
      <w:tr w:rsidR="008D0CAD" w:rsidRPr="006F3D3B" w14:paraId="7178D9AD" w14:textId="77777777" w:rsidTr="00EC48C1">
        <w:trPr>
          <w:trHeight w:val="260"/>
        </w:trPr>
        <w:tc>
          <w:tcPr>
            <w:tcW w:w="4817" w:type="dxa"/>
          </w:tcPr>
          <w:p w14:paraId="5724B1B2" w14:textId="77777777" w:rsidR="008D0CAD" w:rsidRPr="006F3D3B" w:rsidRDefault="008D0CAD" w:rsidP="00DD08E3">
            <w:pPr>
              <w:numPr>
                <w:ilvl w:val="0"/>
                <w:numId w:val="137"/>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6F3D3B">
              <w:rPr>
                <w:rFonts w:asciiTheme="majorHAnsi" w:eastAsiaTheme="minorEastAsia" w:hAnsiTheme="majorHAnsi" w:cstheme="majorHAnsi"/>
                <w:bCs/>
                <w:snapToGrid w:val="0"/>
                <w:sz w:val="20"/>
                <w:szCs w:val="20"/>
              </w:rPr>
              <w:t>School-Based Management (namely the School Improvement Plan)</w:t>
            </w:r>
          </w:p>
        </w:tc>
        <w:tc>
          <w:tcPr>
            <w:tcW w:w="1605" w:type="dxa"/>
          </w:tcPr>
          <w:p w14:paraId="35C1EF74"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6C0BFD4B"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23012361"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694" w:type="dxa"/>
          </w:tcPr>
          <w:p w14:paraId="7DB700E6"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70AA6E63"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699" w:type="dxa"/>
          </w:tcPr>
          <w:p w14:paraId="5559CF77"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r>
      <w:tr w:rsidR="008D0CAD" w:rsidRPr="006F3D3B" w14:paraId="6AD8C76F" w14:textId="77777777" w:rsidTr="00EC48C1">
        <w:trPr>
          <w:trHeight w:val="260"/>
        </w:trPr>
        <w:tc>
          <w:tcPr>
            <w:tcW w:w="4817" w:type="dxa"/>
          </w:tcPr>
          <w:p w14:paraId="4443ACB2" w14:textId="77777777" w:rsidR="008D0CAD" w:rsidRPr="006F3D3B" w:rsidRDefault="008D0CAD" w:rsidP="00DD08E3">
            <w:pPr>
              <w:numPr>
                <w:ilvl w:val="1"/>
                <w:numId w:val="137"/>
              </w:numPr>
              <w:spacing w:before="100" w:beforeAutospacing="1" w:after="100" w:afterAutospacing="1" w:line="360" w:lineRule="auto"/>
              <w:contextualSpacing/>
              <w:rPr>
                <w:rFonts w:asciiTheme="majorHAnsi" w:hAnsiTheme="majorHAnsi" w:cstheme="majorHAnsi"/>
                <w:snapToGrid w:val="0"/>
                <w:sz w:val="20"/>
                <w:szCs w:val="20"/>
                <w:lang w:val="en-US"/>
              </w:rPr>
            </w:pPr>
            <w:r w:rsidRPr="006F3D3B">
              <w:rPr>
                <w:rFonts w:asciiTheme="majorHAnsi" w:hAnsiTheme="majorHAnsi" w:cstheme="majorHAnsi"/>
                <w:snapToGrid w:val="0"/>
                <w:color w:val="000000"/>
                <w:sz w:val="20"/>
                <w:szCs w:val="20"/>
                <w:lang w:val="en-US"/>
              </w:rPr>
              <w:t>SBM Framework</w:t>
            </w:r>
          </w:p>
        </w:tc>
        <w:tc>
          <w:tcPr>
            <w:tcW w:w="1605" w:type="dxa"/>
          </w:tcPr>
          <w:p w14:paraId="73450366"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r w:rsidRPr="006F3D3B">
              <w:rPr>
                <w:rFonts w:asciiTheme="majorHAnsi" w:hAnsiTheme="majorHAnsi" w:cstheme="majorHAnsi"/>
                <w:color w:val="000000"/>
                <w:sz w:val="20"/>
                <w:szCs w:val="20"/>
                <w:lang w:val="en-US"/>
              </w:rPr>
              <w:t xml:space="preserve"> </w:t>
            </w:r>
          </w:p>
        </w:tc>
        <w:tc>
          <w:tcPr>
            <w:tcW w:w="1515" w:type="dxa"/>
          </w:tcPr>
          <w:p w14:paraId="39A05EFC"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5868B7FF"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694" w:type="dxa"/>
          </w:tcPr>
          <w:p w14:paraId="4467924B"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54642D39"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699" w:type="dxa"/>
          </w:tcPr>
          <w:p w14:paraId="2227C5B7"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r>
      <w:tr w:rsidR="008D0CAD" w:rsidRPr="006F3D3B" w14:paraId="28D4922A" w14:textId="77777777" w:rsidTr="00EC48C1">
        <w:trPr>
          <w:trHeight w:val="260"/>
        </w:trPr>
        <w:tc>
          <w:tcPr>
            <w:tcW w:w="4817" w:type="dxa"/>
          </w:tcPr>
          <w:p w14:paraId="1967D1E1" w14:textId="77777777" w:rsidR="008D0CAD" w:rsidRPr="006F3D3B" w:rsidRDefault="008D0CAD" w:rsidP="00DD08E3">
            <w:pPr>
              <w:numPr>
                <w:ilvl w:val="1"/>
                <w:numId w:val="137"/>
              </w:numPr>
              <w:spacing w:before="100" w:beforeAutospacing="1" w:after="100" w:afterAutospacing="1" w:line="360" w:lineRule="auto"/>
              <w:contextualSpacing/>
              <w:rPr>
                <w:rFonts w:asciiTheme="majorHAnsi" w:hAnsiTheme="majorHAnsi" w:cstheme="majorHAnsi"/>
                <w:snapToGrid w:val="0"/>
                <w:sz w:val="20"/>
                <w:szCs w:val="20"/>
                <w:lang w:val="en-US"/>
              </w:rPr>
            </w:pPr>
            <w:r w:rsidRPr="006F3D3B">
              <w:rPr>
                <w:rFonts w:asciiTheme="majorHAnsi" w:hAnsiTheme="majorHAnsi" w:cstheme="majorHAnsi"/>
                <w:snapToGrid w:val="0"/>
                <w:color w:val="000000"/>
                <w:sz w:val="20"/>
                <w:szCs w:val="20"/>
                <w:lang w:val="en-US"/>
              </w:rPr>
              <w:t>SIP Quality Assurance Tool</w:t>
            </w:r>
          </w:p>
        </w:tc>
        <w:tc>
          <w:tcPr>
            <w:tcW w:w="1605" w:type="dxa"/>
          </w:tcPr>
          <w:p w14:paraId="3EEB7596"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r w:rsidRPr="006F3D3B">
              <w:rPr>
                <w:rFonts w:asciiTheme="majorHAnsi" w:hAnsiTheme="majorHAnsi" w:cstheme="majorHAnsi"/>
                <w:color w:val="000000"/>
                <w:sz w:val="20"/>
                <w:szCs w:val="20"/>
                <w:lang w:val="en-US"/>
              </w:rPr>
              <w:t xml:space="preserve"> </w:t>
            </w:r>
          </w:p>
        </w:tc>
        <w:tc>
          <w:tcPr>
            <w:tcW w:w="1515" w:type="dxa"/>
          </w:tcPr>
          <w:p w14:paraId="6A0AD4F4"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3C989033"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694" w:type="dxa"/>
          </w:tcPr>
          <w:p w14:paraId="43E0BC29"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1F9F3D40"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699" w:type="dxa"/>
          </w:tcPr>
          <w:p w14:paraId="3AFD773F"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r>
      <w:tr w:rsidR="008D0CAD" w:rsidRPr="006F3D3B" w14:paraId="04D513C0" w14:textId="77777777" w:rsidTr="00EC48C1">
        <w:trPr>
          <w:trHeight w:val="260"/>
        </w:trPr>
        <w:tc>
          <w:tcPr>
            <w:tcW w:w="4817" w:type="dxa"/>
          </w:tcPr>
          <w:p w14:paraId="7DF82CC5" w14:textId="77777777" w:rsidR="008D0CAD" w:rsidRPr="006F3D3B" w:rsidRDefault="008D0CAD" w:rsidP="00DD08E3">
            <w:pPr>
              <w:numPr>
                <w:ilvl w:val="1"/>
                <w:numId w:val="137"/>
              </w:numPr>
              <w:spacing w:before="100" w:beforeAutospacing="1" w:after="100" w:afterAutospacing="1" w:line="360" w:lineRule="auto"/>
              <w:contextualSpacing/>
              <w:rPr>
                <w:rFonts w:asciiTheme="majorHAnsi" w:hAnsiTheme="majorHAnsi" w:cstheme="majorHAnsi"/>
                <w:snapToGrid w:val="0"/>
                <w:sz w:val="20"/>
                <w:szCs w:val="20"/>
                <w:lang w:val="en-US"/>
              </w:rPr>
            </w:pPr>
            <w:r w:rsidRPr="006F3D3B">
              <w:rPr>
                <w:rFonts w:asciiTheme="majorHAnsi" w:hAnsiTheme="majorHAnsi" w:cstheme="majorHAnsi"/>
                <w:snapToGrid w:val="0"/>
                <w:color w:val="000000"/>
                <w:sz w:val="20"/>
                <w:szCs w:val="20"/>
                <w:lang w:val="en-US"/>
              </w:rPr>
              <w:t>School Governance Council</w:t>
            </w:r>
          </w:p>
        </w:tc>
        <w:tc>
          <w:tcPr>
            <w:tcW w:w="1605" w:type="dxa"/>
          </w:tcPr>
          <w:p w14:paraId="34DA87C4"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3E9729F8"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4831D8AC"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694" w:type="dxa"/>
          </w:tcPr>
          <w:p w14:paraId="3B52268F"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599E2140"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699" w:type="dxa"/>
          </w:tcPr>
          <w:p w14:paraId="226E8445"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r>
      <w:tr w:rsidR="008D0CAD" w:rsidRPr="006F3D3B" w14:paraId="70C92AA0" w14:textId="77777777" w:rsidTr="00EC48C1">
        <w:trPr>
          <w:trHeight w:val="260"/>
        </w:trPr>
        <w:tc>
          <w:tcPr>
            <w:tcW w:w="4817" w:type="dxa"/>
          </w:tcPr>
          <w:p w14:paraId="7D636791" w14:textId="77777777" w:rsidR="008D0CAD" w:rsidRPr="006F3D3B" w:rsidRDefault="008D0CAD" w:rsidP="00DD08E3">
            <w:pPr>
              <w:numPr>
                <w:ilvl w:val="0"/>
                <w:numId w:val="137"/>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6F3D3B">
              <w:rPr>
                <w:rFonts w:asciiTheme="majorHAnsi" w:hAnsiTheme="majorHAnsi" w:cstheme="majorHAnsi"/>
                <w:snapToGrid w:val="0"/>
                <w:sz w:val="20"/>
                <w:szCs w:val="20"/>
                <w:lang w:val="en-US"/>
              </w:rPr>
              <w:t>Planning, Policy, Monitoring and Evaluation Systems</w:t>
            </w:r>
          </w:p>
        </w:tc>
        <w:tc>
          <w:tcPr>
            <w:tcW w:w="1605" w:type="dxa"/>
          </w:tcPr>
          <w:p w14:paraId="69891611"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4B2075B3"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3750209B"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694" w:type="dxa"/>
          </w:tcPr>
          <w:p w14:paraId="17FFA637"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45983F88"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699" w:type="dxa"/>
          </w:tcPr>
          <w:p w14:paraId="7CCA1D0B"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r>
      <w:tr w:rsidR="008D0CAD" w:rsidRPr="006F3D3B" w14:paraId="3D9716BD" w14:textId="77777777" w:rsidTr="00EC48C1">
        <w:trPr>
          <w:trHeight w:val="260"/>
        </w:trPr>
        <w:tc>
          <w:tcPr>
            <w:tcW w:w="4817" w:type="dxa"/>
          </w:tcPr>
          <w:p w14:paraId="7075313C" w14:textId="77777777" w:rsidR="008D0CAD" w:rsidRPr="006F3D3B" w:rsidRDefault="008D0CAD" w:rsidP="00DD08E3">
            <w:pPr>
              <w:numPr>
                <w:ilvl w:val="1"/>
                <w:numId w:val="137"/>
              </w:numPr>
              <w:spacing w:before="100" w:beforeAutospacing="1" w:after="100" w:afterAutospacing="1" w:line="360" w:lineRule="auto"/>
              <w:contextualSpacing/>
              <w:rPr>
                <w:rFonts w:asciiTheme="majorHAnsi" w:hAnsiTheme="majorHAnsi" w:cstheme="majorHAnsi"/>
                <w:snapToGrid w:val="0"/>
                <w:sz w:val="20"/>
                <w:szCs w:val="20"/>
                <w:lang w:val="en-US"/>
              </w:rPr>
            </w:pPr>
            <w:r w:rsidRPr="006F3D3B">
              <w:rPr>
                <w:rFonts w:asciiTheme="majorHAnsi" w:hAnsiTheme="majorHAnsi" w:cstheme="majorHAnsi"/>
                <w:snapToGrid w:val="0"/>
                <w:color w:val="000000"/>
                <w:sz w:val="20"/>
                <w:szCs w:val="20"/>
                <w:lang w:val="en-US"/>
              </w:rPr>
              <w:t>BEMEF</w:t>
            </w:r>
          </w:p>
        </w:tc>
        <w:tc>
          <w:tcPr>
            <w:tcW w:w="1605" w:type="dxa"/>
          </w:tcPr>
          <w:p w14:paraId="5AEEC767"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156496F5"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4EFFF4FE"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694" w:type="dxa"/>
          </w:tcPr>
          <w:p w14:paraId="4C6692C2"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1618F831"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699" w:type="dxa"/>
          </w:tcPr>
          <w:p w14:paraId="56F62FDD"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r>
      <w:tr w:rsidR="008D0CAD" w:rsidRPr="006F3D3B" w14:paraId="19CAE637" w14:textId="77777777" w:rsidTr="00EC48C1">
        <w:trPr>
          <w:trHeight w:val="260"/>
        </w:trPr>
        <w:tc>
          <w:tcPr>
            <w:tcW w:w="4817" w:type="dxa"/>
          </w:tcPr>
          <w:p w14:paraId="68502840" w14:textId="77777777" w:rsidR="008D0CAD" w:rsidRPr="006F3D3B" w:rsidRDefault="008D0CAD" w:rsidP="00DD08E3">
            <w:pPr>
              <w:numPr>
                <w:ilvl w:val="1"/>
                <w:numId w:val="137"/>
              </w:numPr>
              <w:spacing w:before="100" w:beforeAutospacing="1" w:after="100" w:afterAutospacing="1" w:line="360" w:lineRule="auto"/>
              <w:contextualSpacing/>
              <w:rPr>
                <w:rFonts w:asciiTheme="majorHAnsi" w:hAnsiTheme="majorHAnsi" w:cstheme="majorHAnsi"/>
                <w:snapToGrid w:val="0"/>
                <w:sz w:val="20"/>
                <w:szCs w:val="20"/>
                <w:lang w:val="en-US"/>
              </w:rPr>
            </w:pPr>
            <w:r w:rsidRPr="006F3D3B">
              <w:rPr>
                <w:rFonts w:asciiTheme="majorHAnsi" w:hAnsiTheme="majorHAnsi" w:cstheme="majorHAnsi"/>
                <w:snapToGrid w:val="0"/>
                <w:color w:val="000000"/>
                <w:sz w:val="20"/>
                <w:szCs w:val="20"/>
                <w:lang w:val="en-US"/>
              </w:rPr>
              <w:t>MEA Framework</w:t>
            </w:r>
          </w:p>
        </w:tc>
        <w:tc>
          <w:tcPr>
            <w:tcW w:w="1605" w:type="dxa"/>
          </w:tcPr>
          <w:p w14:paraId="6625060D"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356602A8"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2580AA05"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694" w:type="dxa"/>
          </w:tcPr>
          <w:p w14:paraId="54074421"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35CD7650"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699" w:type="dxa"/>
          </w:tcPr>
          <w:p w14:paraId="2640AA1D"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r>
      <w:tr w:rsidR="008D0CAD" w:rsidRPr="006F3D3B" w14:paraId="7DA9CD02" w14:textId="77777777" w:rsidTr="00EC48C1">
        <w:trPr>
          <w:trHeight w:val="260"/>
        </w:trPr>
        <w:tc>
          <w:tcPr>
            <w:tcW w:w="4817" w:type="dxa"/>
          </w:tcPr>
          <w:p w14:paraId="17EE90FE" w14:textId="77777777" w:rsidR="008D0CAD" w:rsidRPr="006F3D3B" w:rsidRDefault="008D0CAD" w:rsidP="00DD08E3">
            <w:pPr>
              <w:numPr>
                <w:ilvl w:val="1"/>
                <w:numId w:val="137"/>
              </w:numPr>
              <w:spacing w:before="100" w:beforeAutospacing="1" w:after="100" w:afterAutospacing="1" w:line="360" w:lineRule="auto"/>
              <w:contextualSpacing/>
              <w:rPr>
                <w:rFonts w:asciiTheme="majorHAnsi" w:hAnsiTheme="majorHAnsi" w:cstheme="majorHAnsi"/>
                <w:snapToGrid w:val="0"/>
                <w:sz w:val="20"/>
                <w:szCs w:val="20"/>
                <w:lang w:val="en-US"/>
              </w:rPr>
            </w:pPr>
            <w:r w:rsidRPr="006F3D3B">
              <w:rPr>
                <w:rFonts w:asciiTheme="majorHAnsi" w:hAnsiTheme="majorHAnsi" w:cstheme="majorHAnsi"/>
                <w:snapToGrid w:val="0"/>
                <w:color w:val="000000"/>
                <w:sz w:val="20"/>
                <w:szCs w:val="20"/>
                <w:lang w:val="en-US"/>
              </w:rPr>
              <w:t>Planning &amp; Budgeting</w:t>
            </w:r>
          </w:p>
        </w:tc>
        <w:tc>
          <w:tcPr>
            <w:tcW w:w="1605" w:type="dxa"/>
          </w:tcPr>
          <w:p w14:paraId="363D1EEA"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61D7CB27"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2E997056"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694" w:type="dxa"/>
          </w:tcPr>
          <w:p w14:paraId="4F774C90"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2EC1086E"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699" w:type="dxa"/>
          </w:tcPr>
          <w:p w14:paraId="3E6D2ED1"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r>
      <w:tr w:rsidR="008D0CAD" w:rsidRPr="006F3D3B" w14:paraId="6C797DC0" w14:textId="77777777" w:rsidTr="00EC48C1">
        <w:trPr>
          <w:trHeight w:val="260"/>
        </w:trPr>
        <w:tc>
          <w:tcPr>
            <w:tcW w:w="4817" w:type="dxa"/>
          </w:tcPr>
          <w:p w14:paraId="762AB1B2" w14:textId="77777777" w:rsidR="008D0CAD" w:rsidRPr="006F3D3B" w:rsidRDefault="008D0CAD" w:rsidP="00DD08E3">
            <w:pPr>
              <w:numPr>
                <w:ilvl w:val="0"/>
                <w:numId w:val="137"/>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6F3D3B">
              <w:rPr>
                <w:rFonts w:asciiTheme="majorHAnsi" w:hAnsiTheme="majorHAnsi" w:cstheme="majorHAnsi"/>
                <w:snapToGrid w:val="0"/>
                <w:sz w:val="20"/>
                <w:szCs w:val="20"/>
                <w:lang w:val="en-US"/>
              </w:rPr>
              <w:t>Unified Information Systems and Sub-systems</w:t>
            </w:r>
          </w:p>
        </w:tc>
        <w:tc>
          <w:tcPr>
            <w:tcW w:w="1605" w:type="dxa"/>
          </w:tcPr>
          <w:p w14:paraId="5EEFF020"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35DBDC35"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4E9BBC43"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694" w:type="dxa"/>
          </w:tcPr>
          <w:p w14:paraId="47923C78"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5026912C"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699" w:type="dxa"/>
          </w:tcPr>
          <w:p w14:paraId="729C2D0F"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r>
      <w:tr w:rsidR="008D0CAD" w:rsidRPr="006F3D3B" w14:paraId="5E7A7C63" w14:textId="77777777" w:rsidTr="00EC48C1">
        <w:trPr>
          <w:trHeight w:val="260"/>
        </w:trPr>
        <w:tc>
          <w:tcPr>
            <w:tcW w:w="4817" w:type="dxa"/>
          </w:tcPr>
          <w:p w14:paraId="0BDA1EC5" w14:textId="77777777" w:rsidR="008D0CAD" w:rsidRPr="006F3D3B" w:rsidRDefault="008D0CAD" w:rsidP="00DD08E3">
            <w:pPr>
              <w:numPr>
                <w:ilvl w:val="1"/>
                <w:numId w:val="137"/>
              </w:numPr>
              <w:spacing w:before="100" w:beforeAutospacing="1" w:after="100" w:afterAutospacing="1" w:line="360" w:lineRule="auto"/>
              <w:contextualSpacing/>
              <w:rPr>
                <w:rFonts w:asciiTheme="majorHAnsi" w:hAnsiTheme="majorHAnsi" w:cstheme="majorHAnsi"/>
                <w:snapToGrid w:val="0"/>
                <w:sz w:val="20"/>
                <w:szCs w:val="20"/>
                <w:lang w:val="en-US"/>
              </w:rPr>
            </w:pPr>
            <w:r w:rsidRPr="006F3D3B">
              <w:rPr>
                <w:rFonts w:asciiTheme="majorHAnsi" w:hAnsiTheme="majorHAnsi" w:cstheme="majorHAnsi"/>
                <w:snapToGrid w:val="0"/>
                <w:sz w:val="20"/>
                <w:szCs w:val="20"/>
                <w:lang w:val="en-US"/>
              </w:rPr>
              <w:t>EBEIS</w:t>
            </w:r>
          </w:p>
        </w:tc>
        <w:tc>
          <w:tcPr>
            <w:tcW w:w="1605" w:type="dxa"/>
          </w:tcPr>
          <w:p w14:paraId="49DB3452"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797315F0"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4F1D8475"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694" w:type="dxa"/>
          </w:tcPr>
          <w:p w14:paraId="3A6F687A"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5F07E058"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699" w:type="dxa"/>
          </w:tcPr>
          <w:p w14:paraId="4C366982"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r>
      <w:tr w:rsidR="008D0CAD" w:rsidRPr="006F3D3B" w14:paraId="2238B4DA" w14:textId="77777777" w:rsidTr="00EC48C1">
        <w:trPr>
          <w:trHeight w:val="260"/>
        </w:trPr>
        <w:tc>
          <w:tcPr>
            <w:tcW w:w="4817" w:type="dxa"/>
          </w:tcPr>
          <w:p w14:paraId="1C02CBD7" w14:textId="77777777" w:rsidR="008D0CAD" w:rsidRPr="006F3D3B" w:rsidRDefault="008D0CAD" w:rsidP="00DD08E3">
            <w:pPr>
              <w:numPr>
                <w:ilvl w:val="1"/>
                <w:numId w:val="137"/>
              </w:numPr>
              <w:spacing w:before="100" w:beforeAutospacing="1" w:after="100" w:afterAutospacing="1" w:line="360" w:lineRule="auto"/>
              <w:contextualSpacing/>
              <w:rPr>
                <w:rFonts w:asciiTheme="majorHAnsi" w:hAnsiTheme="majorHAnsi" w:cstheme="majorHAnsi"/>
                <w:snapToGrid w:val="0"/>
                <w:sz w:val="20"/>
                <w:szCs w:val="20"/>
                <w:lang w:val="en-US"/>
              </w:rPr>
            </w:pPr>
            <w:r w:rsidRPr="006F3D3B">
              <w:rPr>
                <w:rFonts w:asciiTheme="majorHAnsi" w:hAnsiTheme="majorHAnsi" w:cstheme="majorHAnsi"/>
                <w:snapToGrid w:val="0"/>
                <w:sz w:val="20"/>
                <w:szCs w:val="20"/>
                <w:lang w:val="en-US"/>
              </w:rPr>
              <w:t>LIS</w:t>
            </w:r>
          </w:p>
        </w:tc>
        <w:tc>
          <w:tcPr>
            <w:tcW w:w="1605" w:type="dxa"/>
          </w:tcPr>
          <w:p w14:paraId="3252C3D5"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2C2F9C38"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3988E204"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694" w:type="dxa"/>
          </w:tcPr>
          <w:p w14:paraId="53538CD7"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474F08B2"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699" w:type="dxa"/>
          </w:tcPr>
          <w:p w14:paraId="3E0D606B"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r>
      <w:tr w:rsidR="008D0CAD" w:rsidRPr="006F3D3B" w14:paraId="7EC9186E" w14:textId="77777777" w:rsidTr="00EC48C1">
        <w:trPr>
          <w:trHeight w:val="260"/>
        </w:trPr>
        <w:tc>
          <w:tcPr>
            <w:tcW w:w="4817" w:type="dxa"/>
          </w:tcPr>
          <w:p w14:paraId="747EC9B6" w14:textId="77777777" w:rsidR="008D0CAD" w:rsidRPr="006F3D3B" w:rsidRDefault="008D0CAD" w:rsidP="00DD08E3">
            <w:pPr>
              <w:numPr>
                <w:ilvl w:val="1"/>
                <w:numId w:val="137"/>
              </w:numPr>
              <w:spacing w:before="100" w:beforeAutospacing="1" w:after="100" w:afterAutospacing="1" w:line="360" w:lineRule="auto"/>
              <w:contextualSpacing/>
              <w:rPr>
                <w:rFonts w:asciiTheme="majorHAnsi" w:hAnsiTheme="majorHAnsi" w:cstheme="majorHAnsi"/>
                <w:snapToGrid w:val="0"/>
                <w:sz w:val="20"/>
                <w:szCs w:val="20"/>
                <w:lang w:val="en-US"/>
              </w:rPr>
            </w:pPr>
            <w:r w:rsidRPr="006F3D3B">
              <w:rPr>
                <w:rFonts w:asciiTheme="majorHAnsi" w:hAnsiTheme="majorHAnsi" w:cstheme="majorHAnsi"/>
                <w:snapToGrid w:val="0"/>
                <w:sz w:val="20"/>
                <w:szCs w:val="20"/>
                <w:lang w:val="en-US"/>
              </w:rPr>
              <w:t>LR Portal</w:t>
            </w:r>
          </w:p>
        </w:tc>
        <w:tc>
          <w:tcPr>
            <w:tcW w:w="1605" w:type="dxa"/>
          </w:tcPr>
          <w:p w14:paraId="3F0D4600"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7B4343A4"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5E86DC05"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694" w:type="dxa"/>
          </w:tcPr>
          <w:p w14:paraId="76B385F4"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6026CF2F"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699" w:type="dxa"/>
          </w:tcPr>
          <w:p w14:paraId="4BE72D7E"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r>
      <w:tr w:rsidR="008D0CAD" w:rsidRPr="006F3D3B" w14:paraId="5710BB01" w14:textId="77777777" w:rsidTr="00EC48C1">
        <w:trPr>
          <w:trHeight w:val="260"/>
        </w:trPr>
        <w:tc>
          <w:tcPr>
            <w:tcW w:w="4817" w:type="dxa"/>
          </w:tcPr>
          <w:p w14:paraId="03BB361E" w14:textId="77777777" w:rsidR="008D0CAD" w:rsidRPr="006F3D3B" w:rsidRDefault="008D0CAD" w:rsidP="00DD08E3">
            <w:pPr>
              <w:numPr>
                <w:ilvl w:val="0"/>
                <w:numId w:val="137"/>
              </w:numPr>
              <w:spacing w:before="100" w:beforeAutospacing="1" w:after="100" w:afterAutospacing="1" w:line="360" w:lineRule="auto"/>
              <w:contextualSpacing/>
              <w:rPr>
                <w:rFonts w:asciiTheme="majorHAnsi" w:hAnsiTheme="majorHAnsi" w:cstheme="majorHAnsi"/>
                <w:bCs/>
                <w:snapToGrid w:val="0"/>
                <w:color w:val="000000"/>
                <w:sz w:val="20"/>
                <w:szCs w:val="20"/>
                <w:lang w:val="en-US"/>
              </w:rPr>
            </w:pPr>
            <w:r w:rsidRPr="006F3D3B">
              <w:rPr>
                <w:rFonts w:asciiTheme="majorHAnsi" w:hAnsiTheme="majorHAnsi" w:cstheme="majorHAnsi"/>
                <w:snapToGrid w:val="0"/>
                <w:sz w:val="20"/>
                <w:szCs w:val="20"/>
                <w:lang w:val="en-US"/>
              </w:rPr>
              <w:t>Gender Equity, Disability and Social Inclusion</w:t>
            </w:r>
          </w:p>
        </w:tc>
        <w:tc>
          <w:tcPr>
            <w:tcW w:w="1605" w:type="dxa"/>
          </w:tcPr>
          <w:p w14:paraId="4017BDA4"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69D324E0"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643A9F95"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694" w:type="dxa"/>
          </w:tcPr>
          <w:p w14:paraId="3808FAC9"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4B89BAD3"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699" w:type="dxa"/>
          </w:tcPr>
          <w:p w14:paraId="7DD10744"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r>
      <w:tr w:rsidR="008D0CAD" w:rsidRPr="006F3D3B" w14:paraId="607998AE" w14:textId="77777777" w:rsidTr="00EC48C1">
        <w:trPr>
          <w:trHeight w:val="260"/>
        </w:trPr>
        <w:tc>
          <w:tcPr>
            <w:tcW w:w="4817" w:type="dxa"/>
          </w:tcPr>
          <w:p w14:paraId="37E30695" w14:textId="77777777" w:rsidR="008D0CAD" w:rsidRPr="006F3D3B" w:rsidRDefault="008D0CAD" w:rsidP="00DD08E3">
            <w:pPr>
              <w:numPr>
                <w:ilvl w:val="1"/>
                <w:numId w:val="137"/>
              </w:numPr>
              <w:spacing w:before="100" w:beforeAutospacing="1" w:after="100" w:afterAutospacing="1" w:line="360" w:lineRule="auto"/>
              <w:contextualSpacing/>
              <w:rPr>
                <w:rFonts w:asciiTheme="majorHAnsi" w:hAnsiTheme="majorHAnsi" w:cstheme="majorHAnsi"/>
                <w:snapToGrid w:val="0"/>
                <w:sz w:val="20"/>
                <w:szCs w:val="20"/>
                <w:lang w:val="en-US"/>
              </w:rPr>
            </w:pPr>
            <w:r w:rsidRPr="006F3D3B">
              <w:rPr>
                <w:rFonts w:asciiTheme="majorHAnsi" w:hAnsiTheme="majorHAnsi" w:cstheme="majorHAnsi"/>
                <w:snapToGrid w:val="0"/>
                <w:color w:val="000000"/>
                <w:sz w:val="20"/>
                <w:szCs w:val="20"/>
                <w:lang w:val="en-US"/>
              </w:rPr>
              <w:t>Inclusive Education Video Series</w:t>
            </w:r>
          </w:p>
        </w:tc>
        <w:tc>
          <w:tcPr>
            <w:tcW w:w="1605" w:type="dxa"/>
          </w:tcPr>
          <w:p w14:paraId="1B804737"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2338CE97"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555A46E1"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694" w:type="dxa"/>
          </w:tcPr>
          <w:p w14:paraId="035DFF48"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481722F4"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699" w:type="dxa"/>
          </w:tcPr>
          <w:p w14:paraId="3AA4D484"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r>
      <w:tr w:rsidR="008D0CAD" w:rsidRPr="006F3D3B" w14:paraId="3DC7A45D" w14:textId="77777777" w:rsidTr="00EC48C1">
        <w:trPr>
          <w:trHeight w:val="260"/>
        </w:trPr>
        <w:tc>
          <w:tcPr>
            <w:tcW w:w="4817" w:type="dxa"/>
          </w:tcPr>
          <w:p w14:paraId="33E3250D" w14:textId="77777777" w:rsidR="008D0CAD" w:rsidRPr="006F3D3B" w:rsidRDefault="008D0CAD" w:rsidP="00DD08E3">
            <w:pPr>
              <w:numPr>
                <w:ilvl w:val="1"/>
                <w:numId w:val="137"/>
              </w:numPr>
              <w:spacing w:before="100" w:beforeAutospacing="1" w:after="100" w:afterAutospacing="1" w:line="360" w:lineRule="auto"/>
              <w:contextualSpacing/>
              <w:rPr>
                <w:rFonts w:asciiTheme="majorHAnsi" w:hAnsiTheme="majorHAnsi" w:cstheme="majorHAnsi"/>
                <w:snapToGrid w:val="0"/>
                <w:sz w:val="20"/>
                <w:szCs w:val="20"/>
                <w:lang w:val="en-US"/>
              </w:rPr>
            </w:pPr>
            <w:r w:rsidRPr="006F3D3B">
              <w:rPr>
                <w:rFonts w:asciiTheme="majorHAnsi" w:hAnsiTheme="majorHAnsi" w:cstheme="majorHAnsi"/>
                <w:snapToGrid w:val="0"/>
                <w:color w:val="000000"/>
                <w:sz w:val="20"/>
                <w:szCs w:val="20"/>
                <w:lang w:val="en-US"/>
              </w:rPr>
              <w:t>Learning Resources (LR) for the Visually-Impaired</w:t>
            </w:r>
          </w:p>
        </w:tc>
        <w:tc>
          <w:tcPr>
            <w:tcW w:w="1605" w:type="dxa"/>
          </w:tcPr>
          <w:p w14:paraId="2C113565"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2B3A3D15"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74461CDA"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694" w:type="dxa"/>
          </w:tcPr>
          <w:p w14:paraId="40CDC950"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31B0CE1E"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699" w:type="dxa"/>
          </w:tcPr>
          <w:p w14:paraId="66E01662"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r>
      <w:tr w:rsidR="008D0CAD" w:rsidRPr="006F3D3B" w14:paraId="2429D3EB" w14:textId="77777777" w:rsidTr="00EC48C1">
        <w:trPr>
          <w:trHeight w:val="260"/>
        </w:trPr>
        <w:tc>
          <w:tcPr>
            <w:tcW w:w="4817" w:type="dxa"/>
          </w:tcPr>
          <w:p w14:paraId="2EF959CE" w14:textId="77777777" w:rsidR="008D0CAD" w:rsidRPr="006F3D3B" w:rsidRDefault="008D0CAD" w:rsidP="00DD08E3">
            <w:pPr>
              <w:numPr>
                <w:ilvl w:val="0"/>
                <w:numId w:val="137"/>
              </w:numPr>
              <w:spacing w:before="100" w:beforeAutospacing="1" w:after="100" w:afterAutospacing="1" w:line="360" w:lineRule="auto"/>
              <w:contextualSpacing/>
              <w:rPr>
                <w:rFonts w:asciiTheme="majorHAnsi" w:hAnsiTheme="majorHAnsi" w:cstheme="majorHAnsi"/>
                <w:snapToGrid w:val="0"/>
                <w:sz w:val="20"/>
                <w:szCs w:val="20"/>
                <w:lang w:val="en-US"/>
              </w:rPr>
            </w:pPr>
            <w:r w:rsidRPr="006F3D3B">
              <w:rPr>
                <w:rFonts w:asciiTheme="majorHAnsi" w:hAnsiTheme="majorHAnsi" w:cstheme="majorHAnsi"/>
                <w:snapToGrid w:val="0"/>
                <w:sz w:val="20"/>
                <w:szCs w:val="20"/>
                <w:lang w:val="en-US"/>
              </w:rPr>
              <w:t>Organisational Development</w:t>
            </w:r>
          </w:p>
        </w:tc>
        <w:tc>
          <w:tcPr>
            <w:tcW w:w="1605" w:type="dxa"/>
          </w:tcPr>
          <w:p w14:paraId="2EF6FB65"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54171713"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14DD1563"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694" w:type="dxa"/>
          </w:tcPr>
          <w:p w14:paraId="008A3682"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5159CDE7"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699" w:type="dxa"/>
          </w:tcPr>
          <w:p w14:paraId="7D3CE4FE"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r>
      <w:tr w:rsidR="008D0CAD" w:rsidRPr="006F3D3B" w14:paraId="584DE390" w14:textId="77777777" w:rsidTr="00EC48C1">
        <w:trPr>
          <w:trHeight w:val="260"/>
        </w:trPr>
        <w:tc>
          <w:tcPr>
            <w:tcW w:w="4817" w:type="dxa"/>
          </w:tcPr>
          <w:p w14:paraId="73B3AAB8" w14:textId="77777777" w:rsidR="008D0CAD" w:rsidRPr="006F3D3B" w:rsidRDefault="008D0CAD" w:rsidP="00DD08E3">
            <w:pPr>
              <w:numPr>
                <w:ilvl w:val="1"/>
                <w:numId w:val="137"/>
              </w:numPr>
              <w:spacing w:before="100" w:beforeAutospacing="1" w:after="100" w:afterAutospacing="1" w:line="360" w:lineRule="auto"/>
              <w:contextualSpacing/>
              <w:rPr>
                <w:rFonts w:asciiTheme="majorHAnsi" w:hAnsiTheme="majorHAnsi" w:cstheme="majorHAnsi"/>
                <w:snapToGrid w:val="0"/>
                <w:sz w:val="20"/>
                <w:szCs w:val="20"/>
                <w:lang w:val="en-US"/>
              </w:rPr>
            </w:pPr>
            <w:r w:rsidRPr="006F3D3B">
              <w:rPr>
                <w:rFonts w:asciiTheme="majorHAnsi" w:hAnsiTheme="majorHAnsi" w:cstheme="majorHAnsi"/>
                <w:snapToGrid w:val="0"/>
                <w:color w:val="000000"/>
                <w:sz w:val="20"/>
                <w:szCs w:val="20"/>
                <w:lang w:val="en-US"/>
              </w:rPr>
              <w:t>Continuous Improvement Guidebook</w:t>
            </w:r>
          </w:p>
        </w:tc>
        <w:tc>
          <w:tcPr>
            <w:tcW w:w="1605" w:type="dxa"/>
          </w:tcPr>
          <w:p w14:paraId="4EA95891"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51B7991A"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0B795FE7"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694" w:type="dxa"/>
          </w:tcPr>
          <w:p w14:paraId="4A60D225"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7F6ABC3D"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699" w:type="dxa"/>
          </w:tcPr>
          <w:p w14:paraId="3CC47875"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r>
      <w:tr w:rsidR="008D0CAD" w:rsidRPr="006F3D3B" w14:paraId="61236702" w14:textId="77777777" w:rsidTr="00EC48C1">
        <w:trPr>
          <w:trHeight w:val="260"/>
        </w:trPr>
        <w:tc>
          <w:tcPr>
            <w:tcW w:w="4817" w:type="dxa"/>
          </w:tcPr>
          <w:p w14:paraId="3F1FFAF5" w14:textId="77777777" w:rsidR="008D0CAD" w:rsidRPr="006F3D3B" w:rsidRDefault="008D0CAD" w:rsidP="00DD08E3">
            <w:pPr>
              <w:numPr>
                <w:ilvl w:val="0"/>
                <w:numId w:val="137"/>
              </w:numPr>
              <w:spacing w:before="100" w:beforeAutospacing="1" w:after="100" w:afterAutospacing="1" w:line="360" w:lineRule="auto"/>
              <w:contextualSpacing/>
              <w:rPr>
                <w:rFonts w:asciiTheme="majorHAnsi" w:hAnsiTheme="majorHAnsi" w:cstheme="majorHAnsi"/>
                <w:snapToGrid w:val="0"/>
                <w:sz w:val="20"/>
                <w:szCs w:val="20"/>
                <w:lang w:val="en-US"/>
              </w:rPr>
            </w:pPr>
            <w:r w:rsidRPr="006F3D3B">
              <w:rPr>
                <w:rFonts w:asciiTheme="majorHAnsi" w:hAnsiTheme="majorHAnsi" w:cstheme="majorHAnsi"/>
                <w:snapToGrid w:val="0"/>
                <w:sz w:val="20"/>
                <w:szCs w:val="20"/>
                <w:lang w:val="en-US"/>
              </w:rPr>
              <w:t>Classroom Constructions</w:t>
            </w:r>
          </w:p>
        </w:tc>
        <w:tc>
          <w:tcPr>
            <w:tcW w:w="1605" w:type="dxa"/>
          </w:tcPr>
          <w:p w14:paraId="48EB5535"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0730A1AF"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6FB7585D"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694" w:type="dxa"/>
          </w:tcPr>
          <w:p w14:paraId="67C5E4EA"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515" w:type="dxa"/>
          </w:tcPr>
          <w:p w14:paraId="2DEBCC09"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c>
          <w:tcPr>
            <w:tcW w:w="1699" w:type="dxa"/>
          </w:tcPr>
          <w:p w14:paraId="49FF45BE" w14:textId="77777777" w:rsidR="008D0CAD" w:rsidRPr="006F3D3B" w:rsidRDefault="008D0CAD" w:rsidP="00DD08E3">
            <w:pPr>
              <w:spacing w:before="100" w:beforeAutospacing="1" w:after="100" w:afterAutospacing="1" w:line="360" w:lineRule="auto"/>
              <w:rPr>
                <w:rFonts w:asciiTheme="majorHAnsi" w:hAnsiTheme="majorHAnsi" w:cstheme="majorHAnsi"/>
                <w:b/>
                <w:bCs/>
                <w:color w:val="000000"/>
                <w:sz w:val="20"/>
                <w:szCs w:val="20"/>
                <w:lang w:val="en-US"/>
              </w:rPr>
            </w:pPr>
          </w:p>
        </w:tc>
      </w:tr>
    </w:tbl>
    <w:p w14:paraId="25C87DCE" w14:textId="77777777" w:rsidR="008D0CAD" w:rsidRPr="006F3D3B" w:rsidRDefault="008D0CAD" w:rsidP="00DD08E3">
      <w:pPr>
        <w:spacing w:before="100" w:beforeAutospacing="1" w:after="100" w:afterAutospacing="1" w:line="360" w:lineRule="auto"/>
        <w:rPr>
          <w:rFonts w:asciiTheme="majorHAnsi" w:hAnsiTheme="majorHAnsi" w:cstheme="majorHAnsi"/>
          <w:i/>
          <w:iCs/>
          <w:color w:val="000000" w:themeColor="text1"/>
          <w:sz w:val="20"/>
          <w:szCs w:val="20"/>
          <w:lang w:val="en-US"/>
        </w:rPr>
      </w:pPr>
    </w:p>
    <w:p w14:paraId="178EFF6F" w14:textId="77777777" w:rsidR="008D0CAD" w:rsidRDefault="008D0CAD" w:rsidP="002320B3">
      <w:pPr>
        <w:rPr>
          <w:rFonts w:asciiTheme="majorHAnsi" w:hAnsiTheme="majorHAnsi" w:cstheme="majorHAnsi"/>
        </w:rPr>
        <w:sectPr w:rsidR="008D0CAD" w:rsidSect="009C64E9">
          <w:pgSz w:w="16840" w:h="11900" w:orient="landscape"/>
          <w:pgMar w:top="720" w:right="720" w:bottom="720" w:left="720" w:header="720" w:footer="720" w:gutter="0"/>
          <w:cols w:space="720"/>
          <w:docGrid w:linePitch="360"/>
        </w:sectPr>
      </w:pPr>
    </w:p>
    <w:p w14:paraId="63EA169F" w14:textId="77777777" w:rsidR="008D0CAD" w:rsidRPr="006F3D3B" w:rsidRDefault="008D0CAD" w:rsidP="00DD08E3">
      <w:pPr>
        <w:pStyle w:val="Heading2"/>
        <w:numPr>
          <w:ilvl w:val="0"/>
          <w:numId w:val="0"/>
        </w:numPr>
        <w:spacing w:before="100" w:beforeAutospacing="1" w:after="100" w:afterAutospacing="1" w:line="360" w:lineRule="auto"/>
        <w:ind w:left="1288" w:hanging="720"/>
      </w:pPr>
      <w:bookmarkStart w:id="314" w:name="_Toc39938391"/>
      <w:bookmarkStart w:id="315" w:name="_Toc69820496"/>
      <w:r w:rsidRPr="006F3D3B">
        <w:t>Annex Q. 2020 Survey on the Perceptions on Program Interventions</w:t>
      </w:r>
      <w:bookmarkEnd w:id="314"/>
      <w:bookmarkEnd w:id="315"/>
    </w:p>
    <w:p w14:paraId="18A3DF51" w14:textId="77777777" w:rsidR="008D0CAD" w:rsidRPr="006F3D3B" w:rsidRDefault="008D0CAD" w:rsidP="00DD08E3">
      <w:pPr>
        <w:pStyle w:val="Heading3"/>
        <w:spacing w:before="100" w:beforeAutospacing="1" w:after="100" w:afterAutospacing="1" w:line="360" w:lineRule="auto"/>
        <w:rPr>
          <w:lang w:val="en-US"/>
        </w:rPr>
      </w:pPr>
      <w:bookmarkStart w:id="316" w:name="_Toc39938392"/>
      <w:bookmarkStart w:id="317" w:name="_Toc69820497"/>
      <w:r w:rsidRPr="006F3D3B">
        <w:rPr>
          <w:lang w:val="en-US"/>
        </w:rPr>
        <w:t>Annex Q-1: 2020 Survey of Principals/School Heads (PSHs)</w:t>
      </w:r>
      <w:bookmarkEnd w:id="316"/>
      <w:bookmarkEnd w:id="317"/>
    </w:p>
    <w:p w14:paraId="61BAF04E" w14:textId="77777777" w:rsidR="008D0CAD" w:rsidRPr="006F3D3B" w:rsidRDefault="008D0CAD" w:rsidP="00DD08E3">
      <w:pPr>
        <w:spacing w:before="100" w:beforeAutospacing="1" w:after="100" w:afterAutospacing="1" w:line="360" w:lineRule="auto"/>
        <w:rPr>
          <w:rFonts w:asciiTheme="majorHAnsi" w:hAnsiTheme="majorHAnsi" w:cstheme="majorHAnsi"/>
          <w:b/>
          <w:sz w:val="22"/>
          <w:szCs w:val="22"/>
          <w:lang w:val="en-US"/>
        </w:rPr>
      </w:pPr>
      <w:r w:rsidRPr="006F3D3B">
        <w:rPr>
          <w:rFonts w:asciiTheme="majorHAnsi" w:hAnsiTheme="majorHAnsi" w:cstheme="majorHAnsi"/>
          <w:b/>
          <w:sz w:val="22"/>
          <w:szCs w:val="22"/>
          <w:lang w:val="en-US"/>
        </w:rPr>
        <w:t xml:space="preserve">Part 1: </w:t>
      </w:r>
      <w:r w:rsidRPr="006F3D3B">
        <w:rPr>
          <w:rFonts w:asciiTheme="majorHAnsi" w:hAnsiTheme="majorHAnsi" w:cstheme="majorHAnsi"/>
          <w:b/>
          <w:lang w:val="en-US"/>
        </w:rPr>
        <w:t>Sector/Educational gaps or challenges</w:t>
      </w:r>
    </w:p>
    <w:p w14:paraId="66FFDB8D" w14:textId="77777777" w:rsidR="008D0CAD" w:rsidRPr="006F3D3B" w:rsidRDefault="008D0CAD" w:rsidP="00DD08E3">
      <w:pPr>
        <w:numPr>
          <w:ilvl w:val="0"/>
          <w:numId w:val="81"/>
        </w:num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22"/>
          <w:szCs w:val="22"/>
          <w:lang w:val="en-US"/>
        </w:rPr>
      </w:pPr>
      <w:r w:rsidRPr="006F3D3B">
        <w:rPr>
          <w:rFonts w:asciiTheme="majorHAnsi" w:eastAsiaTheme="minorHAnsi" w:hAnsiTheme="majorHAnsi" w:cstheme="majorHAnsi"/>
          <w:color w:val="000000"/>
          <w:sz w:val="22"/>
          <w:szCs w:val="22"/>
          <w:lang w:val="en-US"/>
        </w:rPr>
        <w:t xml:space="preserve">To the best of your knowledge, </w:t>
      </w:r>
      <w:r w:rsidRPr="006F3D3B">
        <w:rPr>
          <w:rFonts w:asciiTheme="majorHAnsi" w:eastAsiaTheme="minorHAnsi" w:hAnsiTheme="majorHAnsi" w:cstheme="majorHAnsi"/>
          <w:color w:val="000000" w:themeColor="text1"/>
          <w:sz w:val="22"/>
          <w:szCs w:val="22"/>
          <w:lang w:val="en-US"/>
        </w:rPr>
        <w:t>what were the key educational challenges in basic education, five years ago, that were intended to be addressed by the reforms introduced in the last five years? [Multiple answers allowed.]</w:t>
      </w:r>
    </w:p>
    <w:p w14:paraId="0096A1BE" w14:textId="77777777" w:rsidR="008D0CAD" w:rsidRPr="006F3D3B" w:rsidRDefault="008D0CAD" w:rsidP="00DD08E3">
      <w:pPr>
        <w:numPr>
          <w:ilvl w:val="1"/>
          <w:numId w:val="81"/>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2"/>
          <w:szCs w:val="22"/>
          <w:lang w:val="en-US"/>
        </w:rPr>
      </w:pPr>
      <w:r w:rsidRPr="006F3D3B">
        <w:rPr>
          <w:rFonts w:asciiTheme="majorHAnsi" w:eastAsiaTheme="minorHAnsi" w:hAnsiTheme="majorHAnsi" w:cstheme="majorHAnsi"/>
          <w:color w:val="000000"/>
          <w:sz w:val="22"/>
          <w:szCs w:val="22"/>
          <w:lang w:val="en-US"/>
        </w:rPr>
        <w:t xml:space="preserve">___ High drop-out rates </w:t>
      </w:r>
    </w:p>
    <w:p w14:paraId="2DC7B09E" w14:textId="77777777" w:rsidR="008D0CAD" w:rsidRPr="006F3D3B" w:rsidRDefault="008D0CAD" w:rsidP="00DD08E3">
      <w:pPr>
        <w:numPr>
          <w:ilvl w:val="1"/>
          <w:numId w:val="81"/>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2"/>
          <w:szCs w:val="22"/>
          <w:lang w:val="en-US"/>
        </w:rPr>
      </w:pPr>
      <w:r w:rsidRPr="006F3D3B">
        <w:rPr>
          <w:rFonts w:asciiTheme="majorHAnsi" w:eastAsiaTheme="minorHAnsi" w:hAnsiTheme="majorHAnsi" w:cstheme="majorHAnsi"/>
          <w:color w:val="000000"/>
          <w:sz w:val="22"/>
          <w:szCs w:val="22"/>
          <w:lang w:val="en-US"/>
        </w:rPr>
        <w:t>___ High rates of school leavers</w:t>
      </w:r>
    </w:p>
    <w:p w14:paraId="60CF78E3" w14:textId="77777777" w:rsidR="008D0CAD" w:rsidRPr="006F3D3B" w:rsidRDefault="008D0CAD" w:rsidP="00DD08E3">
      <w:pPr>
        <w:numPr>
          <w:ilvl w:val="1"/>
          <w:numId w:val="81"/>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2"/>
          <w:szCs w:val="22"/>
          <w:lang w:val="en-US"/>
        </w:rPr>
      </w:pPr>
      <w:r w:rsidRPr="006F3D3B">
        <w:rPr>
          <w:rFonts w:asciiTheme="majorHAnsi" w:eastAsiaTheme="minorHAnsi" w:hAnsiTheme="majorHAnsi" w:cstheme="majorHAnsi"/>
          <w:color w:val="000000"/>
          <w:sz w:val="22"/>
          <w:szCs w:val="22"/>
          <w:lang w:val="en-US"/>
        </w:rPr>
        <w:t xml:space="preserve">___ Low performance in math, science, English and Filipino </w:t>
      </w:r>
    </w:p>
    <w:p w14:paraId="125D797E" w14:textId="77777777" w:rsidR="008D0CAD" w:rsidRPr="006F3D3B" w:rsidRDefault="008D0CAD" w:rsidP="00DD08E3">
      <w:pPr>
        <w:numPr>
          <w:ilvl w:val="1"/>
          <w:numId w:val="81"/>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2"/>
          <w:szCs w:val="22"/>
          <w:lang w:val="en-US"/>
        </w:rPr>
      </w:pPr>
      <w:r w:rsidRPr="006F3D3B">
        <w:rPr>
          <w:rFonts w:asciiTheme="majorHAnsi" w:eastAsiaTheme="minorHAnsi" w:hAnsiTheme="majorHAnsi" w:cstheme="majorHAnsi"/>
          <w:color w:val="000000"/>
          <w:sz w:val="22"/>
          <w:szCs w:val="22"/>
          <w:lang w:val="en-US"/>
        </w:rPr>
        <w:t>___ Disparity of learning outcomes between boys and girls</w:t>
      </w:r>
    </w:p>
    <w:p w14:paraId="270A8A7A" w14:textId="77777777" w:rsidR="008D0CAD" w:rsidRPr="006F3D3B" w:rsidRDefault="008D0CAD" w:rsidP="00DD08E3">
      <w:pPr>
        <w:numPr>
          <w:ilvl w:val="1"/>
          <w:numId w:val="81"/>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2"/>
          <w:szCs w:val="22"/>
          <w:lang w:val="en-US"/>
        </w:rPr>
      </w:pPr>
      <w:r w:rsidRPr="006F3D3B">
        <w:rPr>
          <w:rFonts w:asciiTheme="majorHAnsi" w:eastAsiaTheme="minorHAnsi" w:hAnsiTheme="majorHAnsi" w:cstheme="majorHAnsi"/>
          <w:color w:val="000000"/>
          <w:sz w:val="22"/>
          <w:szCs w:val="22"/>
          <w:lang w:val="en-US"/>
        </w:rPr>
        <w:t>___ Low reading skills among Grade 3 students</w:t>
      </w:r>
    </w:p>
    <w:p w14:paraId="5A6F2A88" w14:textId="77777777" w:rsidR="008D0CAD" w:rsidRPr="006F3D3B" w:rsidRDefault="008D0CAD" w:rsidP="00DD08E3">
      <w:pPr>
        <w:numPr>
          <w:ilvl w:val="1"/>
          <w:numId w:val="81"/>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2"/>
          <w:szCs w:val="22"/>
          <w:lang w:val="en-US"/>
        </w:rPr>
      </w:pPr>
      <w:r w:rsidRPr="006F3D3B">
        <w:rPr>
          <w:rFonts w:asciiTheme="majorHAnsi" w:eastAsiaTheme="minorHAnsi" w:hAnsiTheme="majorHAnsi" w:cstheme="majorHAnsi"/>
          <w:color w:val="000000"/>
          <w:sz w:val="22"/>
          <w:szCs w:val="22"/>
          <w:lang w:val="en-US"/>
        </w:rPr>
        <w:t>___ Low graduation rates</w:t>
      </w:r>
    </w:p>
    <w:p w14:paraId="75BF96CB" w14:textId="77777777" w:rsidR="008D0CAD" w:rsidRPr="006F3D3B" w:rsidRDefault="008D0CAD" w:rsidP="00DD08E3">
      <w:pPr>
        <w:numPr>
          <w:ilvl w:val="1"/>
          <w:numId w:val="81"/>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2"/>
          <w:szCs w:val="22"/>
          <w:lang w:val="en-US"/>
        </w:rPr>
      </w:pPr>
      <w:r w:rsidRPr="006F3D3B">
        <w:rPr>
          <w:rFonts w:asciiTheme="majorHAnsi" w:eastAsiaTheme="minorHAnsi" w:hAnsiTheme="majorHAnsi" w:cstheme="majorHAnsi"/>
          <w:color w:val="000000"/>
          <w:sz w:val="22"/>
          <w:szCs w:val="22"/>
          <w:lang w:val="en-US"/>
        </w:rPr>
        <w:t>___ Low completion rates</w:t>
      </w:r>
    </w:p>
    <w:p w14:paraId="5208DF75" w14:textId="77777777" w:rsidR="008D0CAD" w:rsidRPr="006F3D3B" w:rsidRDefault="008D0CAD" w:rsidP="00DD08E3">
      <w:pPr>
        <w:numPr>
          <w:ilvl w:val="1"/>
          <w:numId w:val="81"/>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2"/>
          <w:szCs w:val="22"/>
          <w:lang w:val="en-US"/>
        </w:rPr>
      </w:pPr>
      <w:r w:rsidRPr="006F3D3B">
        <w:rPr>
          <w:rFonts w:asciiTheme="majorHAnsi" w:eastAsiaTheme="minorHAnsi" w:hAnsiTheme="majorHAnsi" w:cstheme="majorHAnsi"/>
          <w:color w:val="000000"/>
          <w:sz w:val="22"/>
          <w:szCs w:val="22"/>
          <w:lang w:val="en-US"/>
        </w:rPr>
        <w:t>___ Poor access of marginalised children (e.g. Children with disabilities) to education services</w:t>
      </w:r>
    </w:p>
    <w:p w14:paraId="39717321" w14:textId="77777777" w:rsidR="008D0CAD" w:rsidRPr="006F3D3B" w:rsidRDefault="008D0CAD" w:rsidP="00DD08E3">
      <w:pPr>
        <w:numPr>
          <w:ilvl w:val="1"/>
          <w:numId w:val="81"/>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2"/>
          <w:szCs w:val="22"/>
          <w:lang w:val="en-US"/>
        </w:rPr>
      </w:pPr>
      <w:r w:rsidRPr="006F3D3B">
        <w:rPr>
          <w:rFonts w:asciiTheme="majorHAnsi" w:eastAsiaTheme="minorHAnsi" w:hAnsiTheme="majorHAnsi" w:cstheme="majorHAnsi"/>
          <w:color w:val="000000"/>
          <w:sz w:val="22"/>
          <w:szCs w:val="22"/>
          <w:lang w:val="en-US"/>
        </w:rPr>
        <w:t>___ Inadequate special programs for gifted children</w:t>
      </w:r>
    </w:p>
    <w:p w14:paraId="505A9AD8" w14:textId="77777777" w:rsidR="008D0CAD" w:rsidRPr="006F3D3B" w:rsidRDefault="008D0CAD" w:rsidP="00DD08E3">
      <w:pPr>
        <w:numPr>
          <w:ilvl w:val="1"/>
          <w:numId w:val="81"/>
        </w:numPr>
        <w:autoSpaceDE w:val="0"/>
        <w:autoSpaceDN w:val="0"/>
        <w:adjustRightInd w:val="0"/>
        <w:spacing w:before="100" w:beforeAutospacing="1" w:after="100" w:afterAutospacing="1" w:line="360" w:lineRule="auto"/>
        <w:ind w:left="994" w:hanging="634"/>
        <w:rPr>
          <w:rFonts w:asciiTheme="majorHAnsi" w:eastAsiaTheme="minorHAnsi" w:hAnsiTheme="majorHAnsi" w:cstheme="majorHAnsi"/>
          <w:color w:val="000000"/>
          <w:sz w:val="22"/>
          <w:szCs w:val="22"/>
          <w:lang w:val="en-US"/>
        </w:rPr>
      </w:pPr>
      <w:r w:rsidRPr="006F3D3B">
        <w:rPr>
          <w:rFonts w:asciiTheme="majorHAnsi" w:eastAsiaTheme="minorHAnsi" w:hAnsiTheme="majorHAnsi" w:cstheme="majorHAnsi"/>
          <w:color w:val="000000"/>
          <w:sz w:val="22"/>
          <w:szCs w:val="22"/>
          <w:lang w:val="en-US"/>
        </w:rPr>
        <w:t>___ Others: ______________________________________________________________________ ________________________________________________________________________________</w:t>
      </w:r>
    </w:p>
    <w:p w14:paraId="3EF332DA" w14:textId="77777777" w:rsidR="008D0CAD" w:rsidRPr="006F3D3B" w:rsidRDefault="008D0CAD" w:rsidP="00DD08E3">
      <w:pPr>
        <w:numPr>
          <w:ilvl w:val="0"/>
          <w:numId w:val="81"/>
        </w:num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22"/>
          <w:szCs w:val="22"/>
          <w:lang w:val="en-US"/>
        </w:rPr>
      </w:pPr>
      <w:r w:rsidRPr="006F3D3B">
        <w:rPr>
          <w:rFonts w:asciiTheme="majorHAnsi" w:eastAsiaTheme="minorHAnsi" w:hAnsiTheme="majorHAnsi" w:cstheme="majorHAnsi"/>
          <w:color w:val="000000"/>
          <w:sz w:val="22"/>
          <w:szCs w:val="22"/>
          <w:lang w:val="en-US"/>
        </w:rPr>
        <w:t xml:space="preserve">What were the specific </w:t>
      </w:r>
      <w:r w:rsidRPr="006F3D3B">
        <w:rPr>
          <w:rFonts w:asciiTheme="majorHAnsi" w:eastAsiaTheme="minorHAnsi" w:hAnsiTheme="majorHAnsi" w:cstheme="majorHAnsi"/>
          <w:color w:val="000000" w:themeColor="text1"/>
          <w:sz w:val="22"/>
          <w:szCs w:val="22"/>
          <w:lang w:val="en-US"/>
        </w:rPr>
        <w:t xml:space="preserve">educational challenges </w:t>
      </w:r>
      <w:r w:rsidRPr="006F3D3B">
        <w:rPr>
          <w:rFonts w:asciiTheme="majorHAnsi" w:eastAsiaTheme="minorHAnsi" w:hAnsiTheme="majorHAnsi" w:cstheme="majorHAnsi"/>
          <w:color w:val="000000"/>
          <w:sz w:val="22"/>
          <w:szCs w:val="22"/>
          <w:lang w:val="en-US"/>
        </w:rPr>
        <w:t xml:space="preserve">relevant to your school? </w:t>
      </w:r>
    </w:p>
    <w:p w14:paraId="12F29BA2" w14:textId="77777777" w:rsidR="008D0CAD" w:rsidRPr="006F3D3B" w:rsidRDefault="008D0CAD" w:rsidP="00DD08E3">
      <w:pPr>
        <w:autoSpaceDE w:val="0"/>
        <w:autoSpaceDN w:val="0"/>
        <w:adjustRightInd w:val="0"/>
        <w:spacing w:before="100" w:beforeAutospacing="1" w:after="100" w:afterAutospacing="1" w:line="360" w:lineRule="auto"/>
        <w:ind w:left="360"/>
        <w:rPr>
          <w:rFonts w:asciiTheme="majorHAnsi" w:eastAsiaTheme="minorHAnsi" w:hAnsiTheme="majorHAnsi" w:cstheme="majorHAnsi"/>
          <w:i/>
          <w:color w:val="000000"/>
          <w:sz w:val="22"/>
          <w:szCs w:val="22"/>
          <w:lang w:val="en-US"/>
        </w:rPr>
      </w:pPr>
      <w:r w:rsidRPr="006F3D3B">
        <w:rPr>
          <w:rFonts w:asciiTheme="majorHAnsi" w:eastAsiaTheme="minorHAnsi" w:hAnsiTheme="majorHAnsi" w:cstheme="majorHAnsi"/>
          <w:i/>
          <w:color w:val="0070C0"/>
          <w:sz w:val="22"/>
          <w:szCs w:val="22"/>
          <w:lang w:val="en-US"/>
        </w:rPr>
        <w:t>[Note: Interviewer should ask P/SH to get a copy or at least allow interviewer to look at the Situational Analysis portion of the School Improvement Plan to identify specific challenges of the school.]</w:t>
      </w:r>
    </w:p>
    <w:p w14:paraId="00493F71" w14:textId="77777777" w:rsidR="008D0CAD" w:rsidRPr="006F3D3B" w:rsidRDefault="008D0CAD" w:rsidP="00DD08E3">
      <w:pPr>
        <w:numPr>
          <w:ilvl w:val="1"/>
          <w:numId w:val="81"/>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2"/>
          <w:szCs w:val="22"/>
          <w:lang w:val="en-US"/>
        </w:rPr>
      </w:pPr>
      <w:r w:rsidRPr="006F3D3B">
        <w:rPr>
          <w:rFonts w:asciiTheme="majorHAnsi" w:eastAsiaTheme="minorHAnsi" w:hAnsiTheme="majorHAnsi" w:cstheme="majorHAnsi"/>
          <w:color w:val="000000"/>
          <w:sz w:val="22"/>
          <w:szCs w:val="22"/>
          <w:lang w:val="en-US"/>
        </w:rPr>
        <w:t xml:space="preserve">___ Shortage of classrooms </w:t>
      </w:r>
    </w:p>
    <w:p w14:paraId="15137E43" w14:textId="77777777" w:rsidR="008D0CAD" w:rsidRPr="006F3D3B" w:rsidRDefault="008D0CAD" w:rsidP="00DD08E3">
      <w:pPr>
        <w:numPr>
          <w:ilvl w:val="1"/>
          <w:numId w:val="81"/>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2"/>
          <w:szCs w:val="22"/>
          <w:lang w:val="en-US"/>
        </w:rPr>
      </w:pPr>
      <w:r w:rsidRPr="006F3D3B">
        <w:rPr>
          <w:rFonts w:asciiTheme="majorHAnsi" w:eastAsiaTheme="minorHAnsi" w:hAnsiTheme="majorHAnsi" w:cstheme="majorHAnsi"/>
          <w:color w:val="000000"/>
          <w:sz w:val="22"/>
          <w:szCs w:val="22"/>
          <w:lang w:val="en-US"/>
        </w:rPr>
        <w:t>___ Shortage of learning materials</w:t>
      </w:r>
    </w:p>
    <w:p w14:paraId="27DF8A43" w14:textId="77777777" w:rsidR="008D0CAD" w:rsidRPr="006F3D3B" w:rsidRDefault="008D0CAD" w:rsidP="00DD08E3">
      <w:pPr>
        <w:numPr>
          <w:ilvl w:val="1"/>
          <w:numId w:val="81"/>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2"/>
          <w:szCs w:val="22"/>
          <w:lang w:val="en-US"/>
        </w:rPr>
      </w:pPr>
      <w:r w:rsidRPr="006F3D3B">
        <w:rPr>
          <w:rFonts w:asciiTheme="majorHAnsi" w:eastAsiaTheme="minorHAnsi" w:hAnsiTheme="majorHAnsi" w:cstheme="majorHAnsi"/>
          <w:color w:val="000000"/>
          <w:sz w:val="22"/>
          <w:szCs w:val="22"/>
          <w:lang w:val="en-US"/>
        </w:rPr>
        <w:t>___ Development of Leadership and Management capacity</w:t>
      </w:r>
    </w:p>
    <w:p w14:paraId="45C7FDD8" w14:textId="77777777" w:rsidR="008D0CAD" w:rsidRPr="006F3D3B" w:rsidRDefault="008D0CAD" w:rsidP="00DD08E3">
      <w:pPr>
        <w:numPr>
          <w:ilvl w:val="1"/>
          <w:numId w:val="81"/>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2"/>
          <w:szCs w:val="22"/>
          <w:lang w:val="en-US"/>
        </w:rPr>
      </w:pPr>
      <w:r w:rsidRPr="006F3D3B">
        <w:rPr>
          <w:rFonts w:asciiTheme="majorHAnsi" w:eastAsiaTheme="minorHAnsi" w:hAnsiTheme="majorHAnsi" w:cstheme="majorHAnsi"/>
          <w:color w:val="000000"/>
          <w:sz w:val="22"/>
          <w:szCs w:val="22"/>
          <w:lang w:val="en-US"/>
        </w:rPr>
        <w:t>___ Development of Teachers’ competencies</w:t>
      </w:r>
    </w:p>
    <w:p w14:paraId="24621ACB" w14:textId="77777777" w:rsidR="008D0CAD" w:rsidRPr="006F3D3B" w:rsidRDefault="008D0CAD" w:rsidP="00DD08E3">
      <w:pPr>
        <w:numPr>
          <w:ilvl w:val="1"/>
          <w:numId w:val="81"/>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2"/>
          <w:szCs w:val="22"/>
          <w:lang w:val="en-US"/>
        </w:rPr>
      </w:pPr>
      <w:r w:rsidRPr="006F3D3B">
        <w:rPr>
          <w:rFonts w:asciiTheme="majorHAnsi" w:eastAsiaTheme="minorHAnsi" w:hAnsiTheme="majorHAnsi" w:cstheme="majorHAnsi"/>
          <w:color w:val="000000"/>
          <w:sz w:val="22"/>
          <w:szCs w:val="22"/>
          <w:lang w:val="en-US"/>
        </w:rPr>
        <w:t xml:space="preserve">___ Problems with the Basic Education Curricula </w:t>
      </w:r>
    </w:p>
    <w:p w14:paraId="62AA909F" w14:textId="77777777" w:rsidR="008D0CAD" w:rsidRPr="006F3D3B" w:rsidRDefault="008D0CAD" w:rsidP="00DD08E3">
      <w:pPr>
        <w:numPr>
          <w:ilvl w:val="1"/>
          <w:numId w:val="81"/>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2"/>
          <w:szCs w:val="22"/>
          <w:lang w:val="en-US"/>
        </w:rPr>
      </w:pPr>
      <w:r w:rsidRPr="006F3D3B">
        <w:rPr>
          <w:rFonts w:asciiTheme="majorHAnsi" w:eastAsiaTheme="minorHAnsi" w:hAnsiTheme="majorHAnsi" w:cstheme="majorHAnsi"/>
          <w:color w:val="000000"/>
          <w:sz w:val="22"/>
          <w:szCs w:val="22"/>
          <w:lang w:val="en-US"/>
        </w:rPr>
        <w:t>___ Problems with Assessment of student learning</w:t>
      </w:r>
    </w:p>
    <w:p w14:paraId="447B0A6A" w14:textId="77777777" w:rsidR="008D0CAD" w:rsidRPr="006F3D3B" w:rsidRDefault="008D0CAD" w:rsidP="00DD08E3">
      <w:pPr>
        <w:numPr>
          <w:ilvl w:val="1"/>
          <w:numId w:val="81"/>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2"/>
          <w:szCs w:val="22"/>
          <w:lang w:val="en-US"/>
        </w:rPr>
      </w:pPr>
      <w:r w:rsidRPr="006F3D3B">
        <w:rPr>
          <w:rFonts w:asciiTheme="majorHAnsi" w:eastAsiaTheme="minorHAnsi" w:hAnsiTheme="majorHAnsi" w:cstheme="majorHAnsi"/>
          <w:color w:val="000000"/>
          <w:sz w:val="22"/>
          <w:szCs w:val="22"/>
          <w:lang w:val="en-US"/>
        </w:rPr>
        <w:t>___ Responsiveness of learning materials to different learning needs</w:t>
      </w:r>
    </w:p>
    <w:p w14:paraId="3F4B5881" w14:textId="77777777" w:rsidR="008D0CAD" w:rsidRPr="006F3D3B" w:rsidRDefault="008D0CAD" w:rsidP="00DD08E3">
      <w:pPr>
        <w:numPr>
          <w:ilvl w:val="1"/>
          <w:numId w:val="81"/>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2"/>
          <w:szCs w:val="22"/>
          <w:lang w:val="en-US"/>
        </w:rPr>
      </w:pPr>
      <w:r w:rsidRPr="006F3D3B">
        <w:rPr>
          <w:rFonts w:asciiTheme="majorHAnsi" w:eastAsiaTheme="minorHAnsi" w:hAnsiTheme="majorHAnsi" w:cstheme="majorHAnsi"/>
          <w:color w:val="000000"/>
          <w:sz w:val="22"/>
          <w:szCs w:val="22"/>
          <w:lang w:val="en-US"/>
        </w:rPr>
        <w:t>___ Contextualisation of learning materials</w:t>
      </w:r>
    </w:p>
    <w:p w14:paraId="488F1817" w14:textId="77777777" w:rsidR="008D0CAD" w:rsidRPr="006F3D3B" w:rsidRDefault="008D0CAD" w:rsidP="00DD08E3">
      <w:pPr>
        <w:numPr>
          <w:ilvl w:val="1"/>
          <w:numId w:val="81"/>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2"/>
          <w:szCs w:val="22"/>
          <w:lang w:val="en-US"/>
        </w:rPr>
      </w:pPr>
      <w:r w:rsidRPr="006F3D3B">
        <w:rPr>
          <w:rFonts w:asciiTheme="majorHAnsi" w:eastAsiaTheme="minorHAnsi" w:hAnsiTheme="majorHAnsi" w:cstheme="majorHAnsi"/>
          <w:color w:val="000000"/>
          <w:sz w:val="22"/>
          <w:szCs w:val="22"/>
          <w:lang w:val="en-US"/>
        </w:rPr>
        <w:t>___ Responding to needs of special groups of children (e.g. with disabilities, IPs)</w:t>
      </w:r>
    </w:p>
    <w:p w14:paraId="349C1248" w14:textId="77777777" w:rsidR="008D0CAD" w:rsidRPr="006F3D3B" w:rsidRDefault="008D0CAD" w:rsidP="00DD08E3">
      <w:pPr>
        <w:numPr>
          <w:ilvl w:val="1"/>
          <w:numId w:val="81"/>
        </w:numPr>
        <w:autoSpaceDE w:val="0"/>
        <w:autoSpaceDN w:val="0"/>
        <w:adjustRightInd w:val="0"/>
        <w:spacing w:before="100" w:beforeAutospacing="1" w:after="100" w:afterAutospacing="1" w:line="360" w:lineRule="auto"/>
        <w:ind w:left="994" w:hanging="634"/>
        <w:rPr>
          <w:rFonts w:asciiTheme="majorHAnsi" w:eastAsiaTheme="minorHAnsi" w:hAnsiTheme="majorHAnsi" w:cstheme="majorHAnsi"/>
          <w:color w:val="000000"/>
          <w:sz w:val="22"/>
          <w:szCs w:val="22"/>
          <w:lang w:val="en-US"/>
        </w:rPr>
      </w:pPr>
      <w:r w:rsidRPr="006F3D3B">
        <w:rPr>
          <w:rFonts w:asciiTheme="majorHAnsi" w:eastAsiaTheme="minorHAnsi" w:hAnsiTheme="majorHAnsi" w:cstheme="majorHAnsi"/>
          <w:color w:val="000000"/>
          <w:sz w:val="22"/>
          <w:szCs w:val="22"/>
          <w:lang w:val="en-US"/>
        </w:rPr>
        <w:t>___ Others: ______________________________________________________________________ ________________________________________________________________________________</w:t>
      </w:r>
    </w:p>
    <w:p w14:paraId="62762B85" w14:textId="77777777" w:rsidR="008D0CAD" w:rsidRPr="006F3D3B" w:rsidRDefault="008D0CAD" w:rsidP="00DD08E3">
      <w:pPr>
        <w:spacing w:before="100" w:beforeAutospacing="1" w:after="100" w:afterAutospacing="1" w:line="360" w:lineRule="auto"/>
        <w:rPr>
          <w:rFonts w:asciiTheme="majorHAnsi" w:hAnsiTheme="majorHAnsi" w:cstheme="majorHAnsi"/>
          <w:b/>
          <w:sz w:val="22"/>
          <w:szCs w:val="22"/>
          <w:lang w:val="en-US"/>
        </w:rPr>
      </w:pPr>
      <w:r w:rsidRPr="006F3D3B">
        <w:rPr>
          <w:rFonts w:asciiTheme="majorHAnsi" w:hAnsiTheme="majorHAnsi" w:cstheme="majorHAnsi"/>
          <w:b/>
          <w:sz w:val="22"/>
          <w:szCs w:val="22"/>
          <w:lang w:val="en-US"/>
        </w:rPr>
        <w:t xml:space="preserve">Part 2: Basic Education Reforms </w:t>
      </w:r>
    </w:p>
    <w:p w14:paraId="6A708593" w14:textId="482EF2BB" w:rsidR="008D0CAD" w:rsidRPr="006F3D3B" w:rsidRDefault="008D0CAD" w:rsidP="00DD08E3">
      <w:pPr>
        <w:numPr>
          <w:ilvl w:val="0"/>
          <w:numId w:val="81"/>
        </w:numPr>
        <w:spacing w:before="100" w:beforeAutospacing="1" w:after="100" w:afterAutospacing="1" w:line="360" w:lineRule="auto"/>
        <w:contextualSpacing/>
        <w:rPr>
          <w:rFonts w:asciiTheme="majorHAnsi" w:hAnsiTheme="majorHAnsi" w:cstheme="majorHAnsi"/>
          <w:snapToGrid w:val="0"/>
          <w:color w:val="000000"/>
          <w:sz w:val="22"/>
          <w:szCs w:val="22"/>
          <w:lang w:val="en-US"/>
        </w:rPr>
      </w:pPr>
      <w:r w:rsidRPr="006F3D3B">
        <w:rPr>
          <w:rFonts w:asciiTheme="majorHAnsi" w:hAnsiTheme="majorHAnsi" w:cstheme="majorHAnsi"/>
          <w:bCs/>
          <w:snapToGrid w:val="0"/>
          <w:color w:val="000000"/>
          <w:sz w:val="22"/>
          <w:szCs w:val="22"/>
          <w:lang w:val="en-US"/>
        </w:rPr>
        <w:t xml:space="preserve">Within the last six years, </w:t>
      </w:r>
      <w:r w:rsidRPr="006F3D3B">
        <w:rPr>
          <w:rFonts w:asciiTheme="majorHAnsi" w:hAnsiTheme="majorHAnsi" w:cstheme="majorHAnsi"/>
          <w:snapToGrid w:val="0"/>
          <w:color w:val="000000"/>
          <w:sz w:val="22"/>
          <w:szCs w:val="22"/>
          <w:lang w:val="en-US"/>
        </w:rPr>
        <w:t xml:space="preserve">have you conducted any </w:t>
      </w:r>
      <w:r w:rsidRPr="006F3D3B">
        <w:rPr>
          <w:rFonts w:asciiTheme="majorHAnsi" w:hAnsiTheme="majorHAnsi" w:cstheme="majorHAnsi"/>
          <w:bCs/>
          <w:snapToGrid w:val="0"/>
          <w:color w:val="000000"/>
          <w:sz w:val="22"/>
          <w:szCs w:val="22"/>
          <w:lang w:val="en-US"/>
        </w:rPr>
        <w:t>Learning and Development (L&amp;D) processes or activities in your school? ___ Yes</w:t>
      </w:r>
      <w:r w:rsidR="00D434EB">
        <w:rPr>
          <w:rFonts w:asciiTheme="majorHAnsi" w:hAnsiTheme="majorHAnsi" w:cstheme="majorHAnsi"/>
          <w:bCs/>
          <w:snapToGrid w:val="0"/>
          <w:color w:val="000000"/>
          <w:sz w:val="22"/>
          <w:szCs w:val="22"/>
          <w:lang w:val="en-US"/>
        </w:rPr>
        <w:t xml:space="preserve"> </w:t>
      </w:r>
      <w:r w:rsidRPr="006F3D3B">
        <w:rPr>
          <w:rFonts w:asciiTheme="majorHAnsi" w:hAnsiTheme="majorHAnsi" w:cstheme="majorHAnsi"/>
          <w:bCs/>
          <w:snapToGrid w:val="0"/>
          <w:color w:val="000000"/>
          <w:sz w:val="22"/>
          <w:szCs w:val="22"/>
          <w:lang w:val="en-US"/>
        </w:rPr>
        <w:t xml:space="preserve"> ___ No</w:t>
      </w:r>
    </w:p>
    <w:p w14:paraId="06C202E5" w14:textId="77777777" w:rsidR="008D0CAD" w:rsidRPr="006F3D3B" w:rsidRDefault="008D0CAD" w:rsidP="00DD08E3">
      <w:pPr>
        <w:numPr>
          <w:ilvl w:val="0"/>
          <w:numId w:val="81"/>
        </w:numPr>
        <w:spacing w:before="100" w:beforeAutospacing="1" w:after="100" w:afterAutospacing="1" w:line="360" w:lineRule="auto"/>
        <w:contextualSpacing/>
        <w:rPr>
          <w:rFonts w:asciiTheme="majorHAnsi" w:hAnsiTheme="majorHAnsi" w:cstheme="majorHAnsi"/>
          <w:snapToGrid w:val="0"/>
          <w:color w:val="000000"/>
          <w:sz w:val="22"/>
          <w:szCs w:val="22"/>
          <w:lang w:val="en-US"/>
        </w:rPr>
      </w:pPr>
      <w:r w:rsidRPr="006F3D3B">
        <w:rPr>
          <w:rFonts w:asciiTheme="majorHAnsi" w:hAnsiTheme="majorHAnsi" w:cstheme="majorHAnsi"/>
          <w:bCs/>
          <w:snapToGrid w:val="0"/>
          <w:color w:val="000000"/>
          <w:sz w:val="22"/>
          <w:szCs w:val="22"/>
          <w:lang w:val="en-US"/>
        </w:rPr>
        <w:t xml:space="preserve">Within the last six years, </w:t>
      </w:r>
      <w:r w:rsidRPr="006F3D3B">
        <w:rPr>
          <w:rFonts w:asciiTheme="majorHAnsi" w:hAnsiTheme="majorHAnsi" w:cstheme="majorHAnsi"/>
          <w:snapToGrid w:val="0"/>
          <w:sz w:val="22"/>
          <w:szCs w:val="22"/>
          <w:lang w:val="en-US"/>
        </w:rPr>
        <w:t>has your school used any of the following tools?</w:t>
      </w:r>
    </w:p>
    <w:p w14:paraId="5BF5B1C7" w14:textId="4C22D709" w:rsidR="008D0CAD" w:rsidRPr="006F3D3B" w:rsidRDefault="008D0CAD" w:rsidP="00DD08E3">
      <w:pPr>
        <w:numPr>
          <w:ilvl w:val="1"/>
          <w:numId w:val="81"/>
        </w:numPr>
        <w:spacing w:before="100" w:beforeAutospacing="1" w:after="100" w:afterAutospacing="1" w:line="360" w:lineRule="auto"/>
        <w:contextualSpacing/>
        <w:rPr>
          <w:rFonts w:asciiTheme="majorHAnsi" w:hAnsiTheme="majorHAnsi" w:cstheme="majorHAnsi"/>
          <w:snapToGrid w:val="0"/>
          <w:color w:val="000000"/>
          <w:sz w:val="22"/>
          <w:szCs w:val="22"/>
          <w:lang w:val="en-US"/>
        </w:rPr>
      </w:pPr>
      <w:r w:rsidRPr="006F3D3B">
        <w:rPr>
          <w:rFonts w:asciiTheme="majorHAnsi" w:hAnsiTheme="majorHAnsi" w:cstheme="majorHAnsi"/>
          <w:bCs/>
          <w:snapToGrid w:val="0"/>
          <w:color w:val="000000" w:themeColor="text1"/>
          <w:sz w:val="22"/>
          <w:szCs w:val="22"/>
          <w:lang w:val="en-US"/>
        </w:rPr>
        <w:t>Learning Action Cell (LAC) Toolkit? ___ Yes</w:t>
      </w:r>
      <w:r w:rsidR="00D434EB">
        <w:rPr>
          <w:rFonts w:asciiTheme="majorHAnsi" w:hAnsiTheme="majorHAnsi" w:cstheme="majorHAnsi"/>
          <w:bCs/>
          <w:snapToGrid w:val="0"/>
          <w:color w:val="000000" w:themeColor="text1"/>
          <w:sz w:val="22"/>
          <w:szCs w:val="22"/>
          <w:lang w:val="en-US"/>
        </w:rPr>
        <w:t xml:space="preserve"> </w:t>
      </w:r>
      <w:r w:rsidRPr="006F3D3B">
        <w:rPr>
          <w:rFonts w:asciiTheme="majorHAnsi" w:hAnsiTheme="majorHAnsi" w:cstheme="majorHAnsi"/>
          <w:bCs/>
          <w:snapToGrid w:val="0"/>
          <w:color w:val="000000" w:themeColor="text1"/>
          <w:sz w:val="22"/>
          <w:szCs w:val="22"/>
          <w:lang w:val="en-US"/>
        </w:rPr>
        <w:t xml:space="preserve"> ___ No</w:t>
      </w:r>
    </w:p>
    <w:p w14:paraId="7BB20E09" w14:textId="6FA04BB5" w:rsidR="008D0CAD" w:rsidRPr="006F3D3B" w:rsidRDefault="008D0CAD" w:rsidP="00DD08E3">
      <w:pPr>
        <w:numPr>
          <w:ilvl w:val="1"/>
          <w:numId w:val="81"/>
        </w:numPr>
        <w:spacing w:before="100" w:beforeAutospacing="1" w:after="100" w:afterAutospacing="1" w:line="360" w:lineRule="auto"/>
        <w:contextualSpacing/>
        <w:rPr>
          <w:rFonts w:asciiTheme="majorHAnsi" w:hAnsiTheme="majorHAnsi" w:cstheme="majorHAnsi"/>
          <w:snapToGrid w:val="0"/>
          <w:color w:val="000000"/>
          <w:sz w:val="22"/>
          <w:szCs w:val="22"/>
          <w:lang w:val="en-US"/>
        </w:rPr>
      </w:pPr>
      <w:r w:rsidRPr="006F3D3B">
        <w:rPr>
          <w:rFonts w:asciiTheme="majorHAnsi" w:hAnsiTheme="majorHAnsi" w:cstheme="majorHAnsi"/>
          <w:bCs/>
          <w:snapToGrid w:val="0"/>
          <w:color w:val="000000" w:themeColor="text1"/>
          <w:sz w:val="22"/>
          <w:szCs w:val="22"/>
          <w:lang w:val="en-US"/>
        </w:rPr>
        <w:t>Action Research Toolkit? ___ Yes</w:t>
      </w:r>
      <w:r w:rsidR="00D434EB">
        <w:rPr>
          <w:rFonts w:asciiTheme="majorHAnsi" w:hAnsiTheme="majorHAnsi" w:cstheme="majorHAnsi"/>
          <w:bCs/>
          <w:snapToGrid w:val="0"/>
          <w:color w:val="000000" w:themeColor="text1"/>
          <w:sz w:val="22"/>
          <w:szCs w:val="22"/>
          <w:lang w:val="en-US"/>
        </w:rPr>
        <w:t xml:space="preserve"> </w:t>
      </w:r>
      <w:r w:rsidRPr="006F3D3B">
        <w:rPr>
          <w:rFonts w:asciiTheme="majorHAnsi" w:hAnsiTheme="majorHAnsi" w:cstheme="majorHAnsi"/>
          <w:bCs/>
          <w:snapToGrid w:val="0"/>
          <w:color w:val="000000" w:themeColor="text1"/>
          <w:sz w:val="22"/>
          <w:szCs w:val="22"/>
          <w:lang w:val="en-US"/>
        </w:rPr>
        <w:t xml:space="preserve"> ___ No</w:t>
      </w:r>
    </w:p>
    <w:p w14:paraId="78D15AF0" w14:textId="73855DFB" w:rsidR="008D0CAD" w:rsidRPr="006F3D3B" w:rsidRDefault="008D0CAD" w:rsidP="00DD08E3">
      <w:pPr>
        <w:numPr>
          <w:ilvl w:val="1"/>
          <w:numId w:val="81"/>
        </w:numPr>
        <w:spacing w:before="100" w:beforeAutospacing="1" w:after="100" w:afterAutospacing="1" w:line="360" w:lineRule="auto"/>
        <w:contextualSpacing/>
        <w:rPr>
          <w:rFonts w:asciiTheme="majorHAnsi" w:hAnsiTheme="majorHAnsi" w:cstheme="majorHAnsi"/>
          <w:snapToGrid w:val="0"/>
          <w:color w:val="000000"/>
          <w:sz w:val="22"/>
          <w:szCs w:val="22"/>
          <w:lang w:val="en-US"/>
        </w:rPr>
      </w:pPr>
      <w:r w:rsidRPr="006F3D3B">
        <w:rPr>
          <w:rFonts w:asciiTheme="majorHAnsi" w:hAnsiTheme="majorHAnsi" w:cstheme="majorHAnsi"/>
          <w:bCs/>
          <w:snapToGrid w:val="0"/>
          <w:color w:val="000000"/>
          <w:sz w:val="22"/>
          <w:szCs w:val="22"/>
          <w:lang w:val="en-US"/>
        </w:rPr>
        <w:t>ICT Learning Action Cell</w:t>
      </w:r>
      <w:r w:rsidRPr="006F3D3B">
        <w:rPr>
          <w:rFonts w:asciiTheme="majorHAnsi" w:hAnsiTheme="majorHAnsi" w:cstheme="majorHAnsi"/>
          <w:bCs/>
          <w:snapToGrid w:val="0"/>
          <w:color w:val="000000" w:themeColor="text1"/>
          <w:sz w:val="22"/>
          <w:szCs w:val="22"/>
          <w:lang w:val="en-US"/>
        </w:rPr>
        <w:t xml:space="preserve"> Toolkit? ___ Yes</w:t>
      </w:r>
      <w:r w:rsidR="00D434EB">
        <w:rPr>
          <w:rFonts w:asciiTheme="majorHAnsi" w:hAnsiTheme="majorHAnsi" w:cstheme="majorHAnsi"/>
          <w:bCs/>
          <w:snapToGrid w:val="0"/>
          <w:color w:val="000000" w:themeColor="text1"/>
          <w:sz w:val="22"/>
          <w:szCs w:val="22"/>
          <w:lang w:val="en-US"/>
        </w:rPr>
        <w:t xml:space="preserve"> </w:t>
      </w:r>
      <w:r w:rsidRPr="006F3D3B">
        <w:rPr>
          <w:rFonts w:asciiTheme="majorHAnsi" w:hAnsiTheme="majorHAnsi" w:cstheme="majorHAnsi"/>
          <w:bCs/>
          <w:snapToGrid w:val="0"/>
          <w:color w:val="000000" w:themeColor="text1"/>
          <w:sz w:val="22"/>
          <w:szCs w:val="22"/>
          <w:lang w:val="en-US"/>
        </w:rPr>
        <w:t xml:space="preserve"> ___ No</w:t>
      </w:r>
    </w:p>
    <w:p w14:paraId="129AAA24" w14:textId="5E735081" w:rsidR="008D0CAD" w:rsidRPr="006F3D3B" w:rsidRDefault="008D0CAD" w:rsidP="00DD08E3">
      <w:pPr>
        <w:numPr>
          <w:ilvl w:val="1"/>
          <w:numId w:val="81"/>
        </w:numPr>
        <w:spacing w:before="100" w:beforeAutospacing="1" w:after="100" w:afterAutospacing="1" w:line="360" w:lineRule="auto"/>
        <w:contextualSpacing/>
        <w:rPr>
          <w:rFonts w:asciiTheme="majorHAnsi" w:hAnsiTheme="majorHAnsi" w:cstheme="majorHAnsi"/>
          <w:snapToGrid w:val="0"/>
          <w:color w:val="000000"/>
          <w:sz w:val="22"/>
          <w:szCs w:val="22"/>
          <w:lang w:val="en-US"/>
        </w:rPr>
      </w:pPr>
      <w:r w:rsidRPr="006F3D3B">
        <w:rPr>
          <w:rFonts w:asciiTheme="majorHAnsi" w:hAnsiTheme="majorHAnsi" w:cstheme="majorHAnsi"/>
          <w:bCs/>
          <w:snapToGrid w:val="0"/>
          <w:color w:val="000000"/>
          <w:sz w:val="22"/>
          <w:szCs w:val="22"/>
          <w:lang w:val="en-US"/>
        </w:rPr>
        <w:t>Positive Discipline for Everyday Teaching (PDET-LAC)</w:t>
      </w:r>
      <w:r w:rsidRPr="006F3D3B">
        <w:rPr>
          <w:rFonts w:asciiTheme="majorHAnsi" w:hAnsiTheme="majorHAnsi" w:cstheme="majorHAnsi"/>
          <w:bCs/>
          <w:snapToGrid w:val="0"/>
          <w:color w:val="000000" w:themeColor="text1"/>
          <w:sz w:val="22"/>
          <w:szCs w:val="22"/>
          <w:lang w:val="en-US"/>
        </w:rPr>
        <w:t>? ___ Yes</w:t>
      </w:r>
      <w:r w:rsidR="00D434EB">
        <w:rPr>
          <w:rFonts w:asciiTheme="majorHAnsi" w:hAnsiTheme="majorHAnsi" w:cstheme="majorHAnsi"/>
          <w:bCs/>
          <w:snapToGrid w:val="0"/>
          <w:color w:val="000000" w:themeColor="text1"/>
          <w:sz w:val="22"/>
          <w:szCs w:val="22"/>
          <w:lang w:val="en-US"/>
        </w:rPr>
        <w:t xml:space="preserve"> </w:t>
      </w:r>
      <w:r w:rsidRPr="006F3D3B">
        <w:rPr>
          <w:rFonts w:asciiTheme="majorHAnsi" w:hAnsiTheme="majorHAnsi" w:cstheme="majorHAnsi"/>
          <w:bCs/>
          <w:snapToGrid w:val="0"/>
          <w:color w:val="000000" w:themeColor="text1"/>
          <w:sz w:val="22"/>
          <w:szCs w:val="22"/>
          <w:lang w:val="en-US"/>
        </w:rPr>
        <w:t xml:space="preserve"> ___ No</w:t>
      </w:r>
    </w:p>
    <w:p w14:paraId="527DF1C8" w14:textId="08E45B7A" w:rsidR="008D0CAD" w:rsidRPr="006F3D3B" w:rsidRDefault="008D0CAD" w:rsidP="00DD08E3">
      <w:pPr>
        <w:numPr>
          <w:ilvl w:val="1"/>
          <w:numId w:val="81"/>
        </w:numPr>
        <w:spacing w:before="100" w:beforeAutospacing="1" w:after="100" w:afterAutospacing="1" w:line="360" w:lineRule="auto"/>
        <w:ind w:left="788" w:hanging="431"/>
        <w:rPr>
          <w:rFonts w:asciiTheme="majorHAnsi" w:hAnsiTheme="majorHAnsi" w:cstheme="majorHAnsi"/>
          <w:snapToGrid w:val="0"/>
          <w:color w:val="000000"/>
          <w:sz w:val="22"/>
          <w:szCs w:val="22"/>
          <w:lang w:val="en-US"/>
        </w:rPr>
      </w:pPr>
      <w:r w:rsidRPr="006F3D3B">
        <w:rPr>
          <w:rFonts w:asciiTheme="majorHAnsi" w:hAnsiTheme="majorHAnsi" w:cstheme="majorHAnsi"/>
          <w:bCs/>
          <w:snapToGrid w:val="0"/>
          <w:color w:val="000000"/>
          <w:sz w:val="22"/>
          <w:szCs w:val="22"/>
          <w:lang w:val="en-US"/>
        </w:rPr>
        <w:t>Collaborative Lesson Planning (CLP)</w:t>
      </w:r>
      <w:r w:rsidRPr="006F3D3B">
        <w:rPr>
          <w:rFonts w:asciiTheme="majorHAnsi" w:hAnsiTheme="majorHAnsi" w:cstheme="majorHAnsi"/>
          <w:bCs/>
          <w:snapToGrid w:val="0"/>
          <w:color w:val="000000" w:themeColor="text1"/>
          <w:sz w:val="22"/>
          <w:szCs w:val="22"/>
          <w:lang w:val="en-US"/>
        </w:rPr>
        <w:t xml:space="preserve"> ___ Yes</w:t>
      </w:r>
      <w:r w:rsidR="00D434EB">
        <w:rPr>
          <w:rFonts w:asciiTheme="majorHAnsi" w:hAnsiTheme="majorHAnsi" w:cstheme="majorHAnsi"/>
          <w:bCs/>
          <w:snapToGrid w:val="0"/>
          <w:color w:val="000000" w:themeColor="text1"/>
          <w:sz w:val="22"/>
          <w:szCs w:val="22"/>
          <w:lang w:val="en-US"/>
        </w:rPr>
        <w:t xml:space="preserve"> </w:t>
      </w:r>
      <w:r w:rsidRPr="006F3D3B">
        <w:rPr>
          <w:rFonts w:asciiTheme="majorHAnsi" w:hAnsiTheme="majorHAnsi" w:cstheme="majorHAnsi"/>
          <w:bCs/>
          <w:snapToGrid w:val="0"/>
          <w:color w:val="000000" w:themeColor="text1"/>
          <w:sz w:val="22"/>
          <w:szCs w:val="22"/>
          <w:lang w:val="en-US"/>
        </w:rPr>
        <w:t xml:space="preserve"> ___ No</w:t>
      </w:r>
    </w:p>
    <w:p w14:paraId="44B1632B" w14:textId="3B961F67" w:rsidR="008D0CAD" w:rsidRPr="006F3D3B" w:rsidRDefault="008D0CAD" w:rsidP="00DD08E3">
      <w:pPr>
        <w:numPr>
          <w:ilvl w:val="0"/>
          <w:numId w:val="81"/>
        </w:numPr>
        <w:spacing w:before="100" w:beforeAutospacing="1" w:after="100" w:afterAutospacing="1" w:line="360" w:lineRule="auto"/>
        <w:contextualSpacing/>
        <w:rPr>
          <w:rFonts w:asciiTheme="majorHAnsi" w:hAnsiTheme="majorHAnsi" w:cstheme="majorHAnsi"/>
          <w:snapToGrid w:val="0"/>
          <w:color w:val="000000" w:themeColor="text1"/>
          <w:sz w:val="22"/>
          <w:szCs w:val="22"/>
          <w:lang w:val="en-US"/>
        </w:rPr>
      </w:pPr>
      <w:r w:rsidRPr="006F3D3B">
        <w:rPr>
          <w:rFonts w:asciiTheme="majorHAnsi" w:hAnsiTheme="majorHAnsi" w:cstheme="majorHAnsi"/>
          <w:bCs/>
          <w:snapToGrid w:val="0"/>
          <w:color w:val="000000"/>
          <w:sz w:val="22"/>
          <w:szCs w:val="22"/>
          <w:lang w:val="en-US"/>
        </w:rPr>
        <w:t xml:space="preserve">Within the last six years, </w:t>
      </w:r>
      <w:r w:rsidRPr="006F3D3B">
        <w:rPr>
          <w:rFonts w:asciiTheme="majorHAnsi" w:hAnsiTheme="majorHAnsi" w:cstheme="majorHAnsi"/>
          <w:snapToGrid w:val="0"/>
          <w:color w:val="000000"/>
          <w:sz w:val="22"/>
          <w:szCs w:val="22"/>
          <w:lang w:val="en-US"/>
        </w:rPr>
        <w:t xml:space="preserve">have you conducted any </w:t>
      </w:r>
      <w:r w:rsidRPr="006F3D3B">
        <w:rPr>
          <w:rFonts w:asciiTheme="majorHAnsi" w:hAnsiTheme="majorHAnsi" w:cstheme="majorHAnsi"/>
          <w:b/>
          <w:bCs/>
          <w:snapToGrid w:val="0"/>
          <w:color w:val="000000" w:themeColor="text1"/>
          <w:sz w:val="22"/>
          <w:szCs w:val="22"/>
          <w:lang w:val="en-US"/>
        </w:rPr>
        <w:t xml:space="preserve">Learning Action Cell (LAC) </w:t>
      </w:r>
      <w:r w:rsidRPr="006F3D3B">
        <w:rPr>
          <w:rFonts w:asciiTheme="majorHAnsi" w:hAnsiTheme="majorHAnsi" w:cstheme="majorHAnsi"/>
          <w:bCs/>
          <w:snapToGrid w:val="0"/>
          <w:color w:val="000000" w:themeColor="text1"/>
          <w:sz w:val="22"/>
          <w:szCs w:val="22"/>
          <w:lang w:val="en-US"/>
        </w:rPr>
        <w:t>sessions conducted in your school? ___ Yes</w:t>
      </w:r>
      <w:r w:rsidR="00D434EB">
        <w:rPr>
          <w:rFonts w:asciiTheme="majorHAnsi" w:hAnsiTheme="majorHAnsi" w:cstheme="majorHAnsi"/>
          <w:bCs/>
          <w:snapToGrid w:val="0"/>
          <w:color w:val="000000" w:themeColor="text1"/>
          <w:sz w:val="22"/>
          <w:szCs w:val="22"/>
          <w:lang w:val="en-US"/>
        </w:rPr>
        <w:t xml:space="preserve"> </w:t>
      </w:r>
      <w:r w:rsidRPr="006F3D3B">
        <w:rPr>
          <w:rFonts w:asciiTheme="majorHAnsi" w:hAnsiTheme="majorHAnsi" w:cstheme="majorHAnsi"/>
          <w:bCs/>
          <w:snapToGrid w:val="0"/>
          <w:color w:val="000000" w:themeColor="text1"/>
          <w:sz w:val="22"/>
          <w:szCs w:val="22"/>
          <w:lang w:val="en-US"/>
        </w:rPr>
        <w:t xml:space="preserve"> ___ No</w:t>
      </w:r>
    </w:p>
    <w:p w14:paraId="0ED48F3C" w14:textId="77777777" w:rsidR="008D0CAD" w:rsidRPr="006F3D3B" w:rsidRDefault="008D0CAD" w:rsidP="00DD08E3">
      <w:pPr>
        <w:numPr>
          <w:ilvl w:val="1"/>
          <w:numId w:val="81"/>
        </w:numPr>
        <w:spacing w:before="100" w:beforeAutospacing="1" w:after="100" w:afterAutospacing="1" w:line="360" w:lineRule="auto"/>
        <w:contextualSpacing/>
        <w:rPr>
          <w:rFonts w:asciiTheme="majorHAnsi" w:hAnsiTheme="majorHAnsi" w:cstheme="majorHAnsi"/>
          <w:snapToGrid w:val="0"/>
          <w:color w:val="000000"/>
          <w:sz w:val="22"/>
          <w:szCs w:val="22"/>
          <w:lang w:val="en-US"/>
        </w:rPr>
      </w:pPr>
      <w:r w:rsidRPr="006F3D3B">
        <w:rPr>
          <w:rFonts w:asciiTheme="majorHAnsi" w:hAnsiTheme="majorHAnsi" w:cstheme="majorHAnsi"/>
          <w:snapToGrid w:val="0"/>
          <w:sz w:val="22"/>
          <w:szCs w:val="22"/>
          <w:lang w:val="en-US"/>
        </w:rPr>
        <w:t xml:space="preserve">If Yes, on a scale of 1 to 4 (with 4 being Very High), please </w:t>
      </w:r>
      <w:r w:rsidRPr="006F3D3B">
        <w:rPr>
          <w:rFonts w:asciiTheme="majorHAnsi" w:hAnsiTheme="majorHAnsi" w:cstheme="majorHAnsi"/>
          <w:snapToGrid w:val="0"/>
          <w:color w:val="000000"/>
          <w:sz w:val="22"/>
          <w:szCs w:val="22"/>
          <w:lang w:val="en-US"/>
        </w:rPr>
        <w:t xml:space="preserve">assess the </w:t>
      </w:r>
      <w:r w:rsidRPr="006F3D3B">
        <w:rPr>
          <w:rFonts w:asciiTheme="majorHAnsi" w:hAnsiTheme="majorHAnsi" w:cstheme="majorHAnsi"/>
          <w:bCs/>
          <w:snapToGrid w:val="0"/>
          <w:color w:val="000000"/>
          <w:sz w:val="22"/>
          <w:szCs w:val="22"/>
          <w:lang w:val="en-US"/>
        </w:rPr>
        <w:t>LAC</w:t>
      </w:r>
      <w:r w:rsidRPr="006F3D3B">
        <w:rPr>
          <w:rFonts w:asciiTheme="majorHAnsi" w:hAnsiTheme="majorHAnsi" w:cstheme="majorHAnsi"/>
          <w:snapToGrid w:val="0"/>
          <w:sz w:val="22"/>
          <w:szCs w:val="22"/>
          <w:lang w:val="en-US"/>
        </w:rPr>
        <w:t xml:space="preserve"> in terms of:</w:t>
      </w:r>
    </w:p>
    <w:tbl>
      <w:tblPr>
        <w:tblStyle w:val="TableGrid12"/>
        <w:tblW w:w="9275" w:type="dxa"/>
        <w:tblInd w:w="805" w:type="dxa"/>
        <w:tblLayout w:type="fixed"/>
        <w:tblLook w:val="04A0" w:firstRow="1" w:lastRow="0" w:firstColumn="1" w:lastColumn="0" w:noHBand="0" w:noVBand="1"/>
      </w:tblPr>
      <w:tblGrid>
        <w:gridCol w:w="5853"/>
        <w:gridCol w:w="708"/>
        <w:gridCol w:w="993"/>
        <w:gridCol w:w="708"/>
        <w:gridCol w:w="1013"/>
      </w:tblGrid>
      <w:tr w:rsidR="008D0CAD" w:rsidRPr="006F3D3B" w14:paraId="76606147" w14:textId="77777777" w:rsidTr="00F4751F">
        <w:trPr>
          <w:trHeight w:val="715"/>
          <w:tblHeader/>
        </w:trPr>
        <w:tc>
          <w:tcPr>
            <w:tcW w:w="5853" w:type="dxa"/>
            <w:shd w:val="clear" w:color="auto" w:fill="D9D9D9" w:themeFill="background1" w:themeFillShade="D9"/>
          </w:tcPr>
          <w:p w14:paraId="0B87AB05"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lang w:val="en-US"/>
              </w:rPr>
            </w:pPr>
          </w:p>
        </w:tc>
        <w:tc>
          <w:tcPr>
            <w:tcW w:w="708" w:type="dxa"/>
            <w:shd w:val="clear" w:color="auto" w:fill="D9D9D9" w:themeFill="background1" w:themeFillShade="D9"/>
            <w:vAlign w:val="center"/>
          </w:tcPr>
          <w:p w14:paraId="6EB89776"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r w:rsidRPr="006F3D3B">
              <w:rPr>
                <w:rFonts w:asciiTheme="majorHAnsi" w:eastAsiaTheme="minorHAnsi" w:hAnsiTheme="majorHAnsi" w:cstheme="majorHAnsi"/>
                <w:color w:val="000000" w:themeColor="text1"/>
                <w:lang w:val="en-US"/>
              </w:rPr>
              <w:t>Low (1)</w:t>
            </w:r>
          </w:p>
        </w:tc>
        <w:tc>
          <w:tcPr>
            <w:tcW w:w="993" w:type="dxa"/>
            <w:shd w:val="clear" w:color="auto" w:fill="D9D9D9" w:themeFill="background1" w:themeFillShade="D9"/>
            <w:vAlign w:val="center"/>
          </w:tcPr>
          <w:p w14:paraId="3A976FFF"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r w:rsidRPr="006F3D3B">
              <w:rPr>
                <w:rFonts w:asciiTheme="majorHAnsi" w:eastAsiaTheme="minorHAnsi" w:hAnsiTheme="majorHAnsi" w:cstheme="majorHAnsi"/>
                <w:color w:val="000000" w:themeColor="text1"/>
                <w:lang w:val="en-US"/>
              </w:rPr>
              <w:t>Mode-rate (2)</w:t>
            </w:r>
          </w:p>
        </w:tc>
        <w:tc>
          <w:tcPr>
            <w:tcW w:w="708" w:type="dxa"/>
            <w:shd w:val="clear" w:color="auto" w:fill="D9D9D9" w:themeFill="background1" w:themeFillShade="D9"/>
            <w:vAlign w:val="center"/>
          </w:tcPr>
          <w:p w14:paraId="5EB0534A"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r w:rsidRPr="006F3D3B">
              <w:rPr>
                <w:rFonts w:asciiTheme="majorHAnsi" w:eastAsiaTheme="minorHAnsi" w:hAnsiTheme="majorHAnsi" w:cstheme="majorHAnsi"/>
                <w:color w:val="000000" w:themeColor="text1"/>
                <w:lang w:val="en-US"/>
              </w:rPr>
              <w:t>High (3)</w:t>
            </w:r>
          </w:p>
        </w:tc>
        <w:tc>
          <w:tcPr>
            <w:tcW w:w="1013" w:type="dxa"/>
            <w:shd w:val="clear" w:color="auto" w:fill="D9D9D9" w:themeFill="background1" w:themeFillShade="D9"/>
            <w:vAlign w:val="center"/>
          </w:tcPr>
          <w:p w14:paraId="2D782CEE"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r w:rsidRPr="006F3D3B">
              <w:rPr>
                <w:rFonts w:asciiTheme="majorHAnsi" w:eastAsiaTheme="minorHAnsi" w:hAnsiTheme="majorHAnsi" w:cstheme="majorHAnsi"/>
                <w:color w:val="000000" w:themeColor="text1"/>
                <w:lang w:val="en-US"/>
              </w:rPr>
              <w:t>Very High (4)</w:t>
            </w:r>
          </w:p>
        </w:tc>
      </w:tr>
      <w:tr w:rsidR="008D0CAD" w:rsidRPr="006F3D3B" w14:paraId="787D3399" w14:textId="77777777" w:rsidTr="009C64E9">
        <w:trPr>
          <w:trHeight w:val="285"/>
        </w:trPr>
        <w:tc>
          <w:tcPr>
            <w:tcW w:w="5853" w:type="dxa"/>
          </w:tcPr>
          <w:p w14:paraId="6A80D12F"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bCs/>
                <w:color w:val="000000"/>
                <w:lang w:val="en-US"/>
              </w:rPr>
            </w:pPr>
            <w:r w:rsidRPr="006F3D3B">
              <w:rPr>
                <w:rFonts w:asciiTheme="majorHAnsi" w:eastAsiaTheme="minorHAnsi" w:hAnsiTheme="majorHAnsi" w:cstheme="majorHAnsi"/>
                <w:color w:val="000000"/>
                <w:lang w:val="en-US"/>
              </w:rPr>
              <w:t>Appropriateness (fit) as a learning modality for teachers in your school</w:t>
            </w:r>
          </w:p>
        </w:tc>
        <w:tc>
          <w:tcPr>
            <w:tcW w:w="708" w:type="dxa"/>
            <w:vAlign w:val="center"/>
          </w:tcPr>
          <w:p w14:paraId="6AE5E398"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993" w:type="dxa"/>
            <w:vAlign w:val="center"/>
          </w:tcPr>
          <w:p w14:paraId="10593129"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708" w:type="dxa"/>
          </w:tcPr>
          <w:p w14:paraId="48BFBDF2"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1013" w:type="dxa"/>
            <w:vAlign w:val="center"/>
          </w:tcPr>
          <w:p w14:paraId="7EE6D4C3"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r>
      <w:tr w:rsidR="008D0CAD" w:rsidRPr="006F3D3B" w14:paraId="6A7AC556" w14:textId="77777777" w:rsidTr="009C64E9">
        <w:trPr>
          <w:trHeight w:val="285"/>
        </w:trPr>
        <w:tc>
          <w:tcPr>
            <w:tcW w:w="5853" w:type="dxa"/>
          </w:tcPr>
          <w:p w14:paraId="76317109" w14:textId="77777777" w:rsidR="008D0CAD" w:rsidRPr="006F3D3B" w:rsidRDefault="008D0CAD" w:rsidP="00DD08E3">
            <w:pPr>
              <w:spacing w:before="100" w:beforeAutospacing="1" w:after="100" w:afterAutospacing="1" w:line="360" w:lineRule="auto"/>
              <w:rPr>
                <w:rFonts w:asciiTheme="majorHAnsi" w:hAnsiTheme="majorHAnsi" w:cstheme="majorHAnsi"/>
                <w:lang w:val="en-US"/>
              </w:rPr>
            </w:pPr>
            <w:r w:rsidRPr="006F3D3B">
              <w:rPr>
                <w:rFonts w:asciiTheme="majorHAnsi" w:hAnsiTheme="majorHAnsi" w:cstheme="majorHAnsi"/>
                <w:lang w:val="en-US"/>
              </w:rPr>
              <w:t>Teachers’ acceptance of the revised learning modality in your school</w:t>
            </w:r>
          </w:p>
        </w:tc>
        <w:tc>
          <w:tcPr>
            <w:tcW w:w="708" w:type="dxa"/>
            <w:vAlign w:val="center"/>
          </w:tcPr>
          <w:p w14:paraId="61CA5B3B"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993" w:type="dxa"/>
            <w:vAlign w:val="center"/>
          </w:tcPr>
          <w:p w14:paraId="2B1AD51B"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708" w:type="dxa"/>
          </w:tcPr>
          <w:p w14:paraId="3F6E2B26"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1013" w:type="dxa"/>
            <w:vAlign w:val="center"/>
          </w:tcPr>
          <w:p w14:paraId="007A2F71"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r>
      <w:tr w:rsidR="008D0CAD" w:rsidRPr="006F3D3B" w14:paraId="3D64D0AC" w14:textId="77777777" w:rsidTr="009C64E9">
        <w:trPr>
          <w:trHeight w:val="285"/>
        </w:trPr>
        <w:tc>
          <w:tcPr>
            <w:tcW w:w="5853" w:type="dxa"/>
          </w:tcPr>
          <w:p w14:paraId="02F1526F" w14:textId="77777777" w:rsidR="008D0CAD" w:rsidRPr="006F3D3B" w:rsidRDefault="008D0CAD" w:rsidP="00DD08E3">
            <w:pPr>
              <w:spacing w:before="100" w:beforeAutospacing="1" w:after="100" w:afterAutospacing="1" w:line="360" w:lineRule="auto"/>
              <w:rPr>
                <w:rFonts w:asciiTheme="majorHAnsi" w:hAnsiTheme="majorHAnsi" w:cstheme="majorHAnsi"/>
                <w:lang w:val="en-US"/>
              </w:rPr>
            </w:pPr>
            <w:r w:rsidRPr="006F3D3B">
              <w:rPr>
                <w:rFonts w:asciiTheme="majorHAnsi" w:hAnsiTheme="majorHAnsi" w:cstheme="majorHAnsi"/>
                <w:lang w:val="en-US"/>
              </w:rPr>
              <w:t>Usefulness of the learning modality to teachers in your school</w:t>
            </w:r>
          </w:p>
        </w:tc>
        <w:tc>
          <w:tcPr>
            <w:tcW w:w="708" w:type="dxa"/>
            <w:vAlign w:val="center"/>
          </w:tcPr>
          <w:p w14:paraId="7EF41143"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993" w:type="dxa"/>
            <w:vAlign w:val="center"/>
          </w:tcPr>
          <w:p w14:paraId="7447263C"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708" w:type="dxa"/>
          </w:tcPr>
          <w:p w14:paraId="6892B61E"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1013" w:type="dxa"/>
            <w:vAlign w:val="center"/>
          </w:tcPr>
          <w:p w14:paraId="5F619382"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r>
    </w:tbl>
    <w:p w14:paraId="04178328" w14:textId="647362FA" w:rsidR="008D0CAD" w:rsidRPr="006F3D3B" w:rsidRDefault="008D0CAD" w:rsidP="00DD08E3">
      <w:pPr>
        <w:numPr>
          <w:ilvl w:val="0"/>
          <w:numId w:val="81"/>
        </w:numPr>
        <w:spacing w:before="100" w:beforeAutospacing="1" w:after="100" w:afterAutospacing="1" w:line="360" w:lineRule="auto"/>
        <w:contextualSpacing/>
        <w:rPr>
          <w:rFonts w:asciiTheme="majorHAnsi" w:hAnsiTheme="majorHAnsi" w:cstheme="majorHAnsi"/>
          <w:bCs/>
          <w:color w:val="000000" w:themeColor="text1"/>
          <w:sz w:val="22"/>
          <w:szCs w:val="22"/>
          <w:lang w:val="en-US"/>
        </w:rPr>
      </w:pPr>
      <w:r w:rsidRPr="006F3D3B">
        <w:rPr>
          <w:rFonts w:asciiTheme="majorHAnsi" w:hAnsiTheme="majorHAnsi" w:cstheme="majorHAnsi"/>
          <w:snapToGrid w:val="0"/>
          <w:color w:val="000000" w:themeColor="text1"/>
          <w:sz w:val="22"/>
          <w:szCs w:val="22"/>
          <w:lang w:val="en-US"/>
        </w:rPr>
        <w:t>Have you initiated or made any improvements or innovations on the prescribed processes of the LAC?</w:t>
      </w:r>
      <w:r w:rsidR="00D434EB">
        <w:rPr>
          <w:rFonts w:asciiTheme="majorHAnsi" w:hAnsiTheme="majorHAnsi" w:cstheme="majorHAnsi"/>
          <w:snapToGrid w:val="0"/>
          <w:color w:val="000000" w:themeColor="text1"/>
          <w:sz w:val="22"/>
          <w:szCs w:val="22"/>
          <w:lang w:val="en-US"/>
        </w:rPr>
        <w:t xml:space="preserve"> </w:t>
      </w:r>
      <w:r w:rsidRPr="006F3D3B">
        <w:rPr>
          <w:rFonts w:asciiTheme="majorHAnsi" w:hAnsiTheme="majorHAnsi" w:cstheme="majorHAnsi"/>
          <w:bCs/>
          <w:color w:val="000000" w:themeColor="text1"/>
          <w:sz w:val="22"/>
          <w:szCs w:val="22"/>
          <w:lang w:val="en-US"/>
        </w:rPr>
        <w:t>___ Yes</w:t>
      </w:r>
      <w:r w:rsidR="00D434EB">
        <w:rPr>
          <w:rFonts w:asciiTheme="majorHAnsi" w:hAnsiTheme="majorHAnsi" w:cstheme="majorHAnsi"/>
          <w:bCs/>
          <w:color w:val="000000" w:themeColor="text1"/>
          <w:sz w:val="22"/>
          <w:szCs w:val="22"/>
          <w:lang w:val="en-US"/>
        </w:rPr>
        <w:t xml:space="preserve"> </w:t>
      </w:r>
      <w:r w:rsidRPr="006F3D3B">
        <w:rPr>
          <w:rFonts w:asciiTheme="majorHAnsi" w:hAnsiTheme="majorHAnsi" w:cstheme="majorHAnsi"/>
          <w:bCs/>
          <w:color w:val="000000" w:themeColor="text1"/>
          <w:sz w:val="22"/>
          <w:szCs w:val="22"/>
          <w:lang w:val="en-US"/>
        </w:rPr>
        <w:t xml:space="preserve"> ___ No</w:t>
      </w:r>
    </w:p>
    <w:p w14:paraId="08A40A0E" w14:textId="39A8F959" w:rsidR="008D0CAD" w:rsidRPr="006F3D3B" w:rsidRDefault="008D0CAD" w:rsidP="00DD08E3">
      <w:pPr>
        <w:numPr>
          <w:ilvl w:val="0"/>
          <w:numId w:val="81"/>
        </w:numPr>
        <w:spacing w:before="100" w:beforeAutospacing="1" w:after="100" w:afterAutospacing="1" w:line="360" w:lineRule="auto"/>
        <w:contextualSpacing/>
        <w:rPr>
          <w:rFonts w:asciiTheme="majorHAnsi" w:hAnsiTheme="majorHAnsi" w:cstheme="majorHAnsi"/>
          <w:bCs/>
          <w:snapToGrid w:val="0"/>
          <w:color w:val="000000" w:themeColor="text1"/>
          <w:sz w:val="22"/>
          <w:szCs w:val="22"/>
          <w:lang w:val="en-US"/>
        </w:rPr>
      </w:pPr>
      <w:r w:rsidRPr="006F3D3B">
        <w:rPr>
          <w:rFonts w:asciiTheme="majorHAnsi" w:hAnsiTheme="majorHAnsi" w:cstheme="majorHAnsi"/>
          <w:snapToGrid w:val="0"/>
          <w:color w:val="000000" w:themeColor="text1"/>
          <w:sz w:val="22"/>
          <w:szCs w:val="22"/>
          <w:lang w:val="en-US"/>
        </w:rPr>
        <w:t xml:space="preserve">Have you used the </w:t>
      </w:r>
      <w:r w:rsidRPr="006F3D3B">
        <w:rPr>
          <w:rFonts w:asciiTheme="majorHAnsi" w:hAnsiTheme="majorHAnsi" w:cstheme="majorHAnsi"/>
          <w:b/>
          <w:snapToGrid w:val="0"/>
          <w:color w:val="000000" w:themeColor="text1"/>
          <w:sz w:val="22"/>
          <w:szCs w:val="22"/>
          <w:lang w:val="en-US"/>
        </w:rPr>
        <w:t>School Heads Leadership Development Program (SHLDP) Modules</w:t>
      </w:r>
      <w:r w:rsidRPr="006F3D3B">
        <w:rPr>
          <w:rFonts w:asciiTheme="majorHAnsi" w:hAnsiTheme="majorHAnsi" w:cstheme="majorHAnsi"/>
          <w:snapToGrid w:val="0"/>
          <w:color w:val="000000" w:themeColor="text1"/>
          <w:sz w:val="22"/>
          <w:szCs w:val="22"/>
          <w:lang w:val="en-US"/>
        </w:rPr>
        <w:t xml:space="preserve">? </w:t>
      </w:r>
      <w:r w:rsidRPr="006F3D3B">
        <w:rPr>
          <w:rFonts w:asciiTheme="majorHAnsi" w:hAnsiTheme="majorHAnsi" w:cstheme="majorHAnsi"/>
          <w:bCs/>
          <w:snapToGrid w:val="0"/>
          <w:color w:val="000000" w:themeColor="text1"/>
          <w:sz w:val="22"/>
          <w:szCs w:val="22"/>
          <w:lang w:val="en-US"/>
        </w:rPr>
        <w:t>___ Yes</w:t>
      </w:r>
      <w:r w:rsidR="00D434EB">
        <w:rPr>
          <w:rFonts w:asciiTheme="majorHAnsi" w:hAnsiTheme="majorHAnsi" w:cstheme="majorHAnsi"/>
          <w:bCs/>
          <w:snapToGrid w:val="0"/>
          <w:color w:val="000000" w:themeColor="text1"/>
          <w:sz w:val="22"/>
          <w:szCs w:val="22"/>
          <w:lang w:val="en-US"/>
        </w:rPr>
        <w:t xml:space="preserve"> </w:t>
      </w:r>
      <w:r w:rsidRPr="006F3D3B">
        <w:rPr>
          <w:rFonts w:asciiTheme="majorHAnsi" w:hAnsiTheme="majorHAnsi" w:cstheme="majorHAnsi"/>
          <w:bCs/>
          <w:snapToGrid w:val="0"/>
          <w:color w:val="000000" w:themeColor="text1"/>
          <w:sz w:val="22"/>
          <w:szCs w:val="22"/>
          <w:lang w:val="en-US"/>
        </w:rPr>
        <w:t>___ No</w:t>
      </w:r>
    </w:p>
    <w:p w14:paraId="18226C04" w14:textId="77777777" w:rsidR="008D0CAD" w:rsidRPr="006F3D3B" w:rsidRDefault="008D0CAD" w:rsidP="00DD08E3">
      <w:pPr>
        <w:numPr>
          <w:ilvl w:val="1"/>
          <w:numId w:val="81"/>
        </w:numPr>
        <w:spacing w:before="100" w:beforeAutospacing="1" w:after="100" w:afterAutospacing="1" w:line="360" w:lineRule="auto"/>
        <w:contextualSpacing/>
        <w:rPr>
          <w:rFonts w:asciiTheme="majorHAnsi" w:hAnsiTheme="majorHAnsi" w:cstheme="majorHAnsi"/>
          <w:snapToGrid w:val="0"/>
          <w:color w:val="000000" w:themeColor="text1"/>
          <w:sz w:val="22"/>
          <w:szCs w:val="22"/>
          <w:lang w:val="en-US"/>
        </w:rPr>
      </w:pPr>
      <w:r w:rsidRPr="006F3D3B">
        <w:rPr>
          <w:rFonts w:asciiTheme="majorHAnsi" w:hAnsiTheme="majorHAnsi" w:cstheme="majorHAnsi"/>
          <w:snapToGrid w:val="0"/>
          <w:color w:val="000000" w:themeColor="text1"/>
          <w:sz w:val="22"/>
          <w:szCs w:val="22"/>
          <w:lang w:val="en-US"/>
        </w:rPr>
        <w:t>If Yes, how many modules have you completed? ____ modules</w:t>
      </w:r>
    </w:p>
    <w:p w14:paraId="7B96A061" w14:textId="77777777" w:rsidR="008D0CAD" w:rsidRPr="006F3D3B" w:rsidRDefault="008D0CAD" w:rsidP="00DD08E3">
      <w:pPr>
        <w:numPr>
          <w:ilvl w:val="1"/>
          <w:numId w:val="81"/>
        </w:numPr>
        <w:spacing w:before="100" w:beforeAutospacing="1" w:after="100" w:afterAutospacing="1" w:line="360" w:lineRule="auto"/>
        <w:contextualSpacing/>
        <w:rPr>
          <w:rFonts w:asciiTheme="majorHAnsi" w:hAnsiTheme="majorHAnsi" w:cstheme="majorHAnsi"/>
          <w:bCs/>
          <w:snapToGrid w:val="0"/>
          <w:color w:val="000000" w:themeColor="text1"/>
          <w:sz w:val="22"/>
          <w:szCs w:val="22"/>
          <w:lang w:val="en-US"/>
        </w:rPr>
      </w:pPr>
      <w:r w:rsidRPr="006F3D3B">
        <w:rPr>
          <w:rFonts w:asciiTheme="majorHAnsi" w:hAnsiTheme="majorHAnsi" w:cstheme="majorHAnsi"/>
          <w:snapToGrid w:val="0"/>
          <w:color w:val="000000" w:themeColor="text1"/>
          <w:sz w:val="22"/>
          <w:szCs w:val="22"/>
          <w:lang w:val="en-US"/>
        </w:rPr>
        <w:t xml:space="preserve">If Yes, </w:t>
      </w:r>
      <w:r w:rsidRPr="006F3D3B">
        <w:rPr>
          <w:rFonts w:asciiTheme="majorHAnsi" w:hAnsiTheme="majorHAnsi" w:cstheme="majorHAnsi"/>
          <w:snapToGrid w:val="0"/>
          <w:sz w:val="22"/>
          <w:szCs w:val="22"/>
          <w:lang w:val="en-US"/>
        </w:rPr>
        <w:t xml:space="preserve">on a scale of 1 to 4 (with 4 being Very High), please </w:t>
      </w:r>
      <w:r w:rsidRPr="006F3D3B">
        <w:rPr>
          <w:rFonts w:asciiTheme="majorHAnsi" w:hAnsiTheme="majorHAnsi" w:cstheme="majorHAnsi"/>
          <w:snapToGrid w:val="0"/>
          <w:color w:val="000000"/>
          <w:sz w:val="22"/>
          <w:szCs w:val="22"/>
          <w:lang w:val="en-US"/>
        </w:rPr>
        <w:t xml:space="preserve">assess the </w:t>
      </w:r>
      <w:r w:rsidRPr="006F3D3B">
        <w:rPr>
          <w:rFonts w:asciiTheme="majorHAnsi" w:hAnsiTheme="majorHAnsi" w:cstheme="majorHAnsi"/>
          <w:snapToGrid w:val="0"/>
          <w:color w:val="000000" w:themeColor="text1"/>
          <w:sz w:val="22"/>
          <w:szCs w:val="22"/>
          <w:lang w:val="en-US"/>
        </w:rPr>
        <w:t>training modules in terms of its:</w:t>
      </w:r>
    </w:p>
    <w:tbl>
      <w:tblPr>
        <w:tblStyle w:val="TableGrid12"/>
        <w:tblW w:w="9275" w:type="dxa"/>
        <w:tblInd w:w="805" w:type="dxa"/>
        <w:tblLayout w:type="fixed"/>
        <w:tblLook w:val="04A0" w:firstRow="1" w:lastRow="0" w:firstColumn="1" w:lastColumn="0" w:noHBand="0" w:noVBand="1"/>
      </w:tblPr>
      <w:tblGrid>
        <w:gridCol w:w="5853"/>
        <w:gridCol w:w="708"/>
        <w:gridCol w:w="993"/>
        <w:gridCol w:w="708"/>
        <w:gridCol w:w="1013"/>
      </w:tblGrid>
      <w:tr w:rsidR="008D0CAD" w:rsidRPr="006F3D3B" w14:paraId="5B6D8F33" w14:textId="77777777" w:rsidTr="00F4751F">
        <w:trPr>
          <w:trHeight w:val="462"/>
          <w:tblHeader/>
        </w:trPr>
        <w:tc>
          <w:tcPr>
            <w:tcW w:w="5853" w:type="dxa"/>
            <w:shd w:val="clear" w:color="auto" w:fill="D9D9D9" w:themeFill="background1" w:themeFillShade="D9"/>
          </w:tcPr>
          <w:p w14:paraId="5C939BA7"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lang w:val="en-US"/>
              </w:rPr>
            </w:pPr>
          </w:p>
        </w:tc>
        <w:tc>
          <w:tcPr>
            <w:tcW w:w="708" w:type="dxa"/>
            <w:shd w:val="clear" w:color="auto" w:fill="D9D9D9" w:themeFill="background1" w:themeFillShade="D9"/>
            <w:vAlign w:val="center"/>
          </w:tcPr>
          <w:p w14:paraId="25C73D98"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r w:rsidRPr="006F3D3B">
              <w:rPr>
                <w:rFonts w:asciiTheme="majorHAnsi" w:eastAsiaTheme="minorHAnsi" w:hAnsiTheme="majorHAnsi" w:cstheme="majorHAnsi"/>
                <w:color w:val="000000" w:themeColor="text1"/>
                <w:lang w:val="en-US"/>
              </w:rPr>
              <w:t>Low (1)</w:t>
            </w:r>
          </w:p>
        </w:tc>
        <w:tc>
          <w:tcPr>
            <w:tcW w:w="993" w:type="dxa"/>
            <w:shd w:val="clear" w:color="auto" w:fill="D9D9D9" w:themeFill="background1" w:themeFillShade="D9"/>
            <w:vAlign w:val="center"/>
          </w:tcPr>
          <w:p w14:paraId="6792C795"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r w:rsidRPr="006F3D3B">
              <w:rPr>
                <w:rFonts w:asciiTheme="majorHAnsi" w:eastAsiaTheme="minorHAnsi" w:hAnsiTheme="majorHAnsi" w:cstheme="majorHAnsi"/>
                <w:color w:val="000000" w:themeColor="text1"/>
                <w:lang w:val="en-US"/>
              </w:rPr>
              <w:t>Mode-rate (2)</w:t>
            </w:r>
          </w:p>
        </w:tc>
        <w:tc>
          <w:tcPr>
            <w:tcW w:w="708" w:type="dxa"/>
            <w:shd w:val="clear" w:color="auto" w:fill="D9D9D9" w:themeFill="background1" w:themeFillShade="D9"/>
            <w:vAlign w:val="center"/>
          </w:tcPr>
          <w:p w14:paraId="04FF9765"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r w:rsidRPr="006F3D3B">
              <w:rPr>
                <w:rFonts w:asciiTheme="majorHAnsi" w:eastAsiaTheme="minorHAnsi" w:hAnsiTheme="majorHAnsi" w:cstheme="majorHAnsi"/>
                <w:color w:val="000000" w:themeColor="text1"/>
                <w:lang w:val="en-US"/>
              </w:rPr>
              <w:t>High (3)</w:t>
            </w:r>
          </w:p>
        </w:tc>
        <w:tc>
          <w:tcPr>
            <w:tcW w:w="1013" w:type="dxa"/>
            <w:shd w:val="clear" w:color="auto" w:fill="D9D9D9" w:themeFill="background1" w:themeFillShade="D9"/>
            <w:vAlign w:val="center"/>
          </w:tcPr>
          <w:p w14:paraId="5C5F9F42"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r w:rsidRPr="006F3D3B">
              <w:rPr>
                <w:rFonts w:asciiTheme="majorHAnsi" w:eastAsiaTheme="minorHAnsi" w:hAnsiTheme="majorHAnsi" w:cstheme="majorHAnsi"/>
                <w:color w:val="000000" w:themeColor="text1"/>
                <w:lang w:val="en-US"/>
              </w:rPr>
              <w:t>Very High (4)</w:t>
            </w:r>
          </w:p>
        </w:tc>
      </w:tr>
      <w:tr w:rsidR="008D0CAD" w:rsidRPr="006F3D3B" w14:paraId="5A538A4F" w14:textId="77777777" w:rsidTr="009C64E9">
        <w:trPr>
          <w:trHeight w:val="285"/>
        </w:trPr>
        <w:tc>
          <w:tcPr>
            <w:tcW w:w="5853" w:type="dxa"/>
          </w:tcPr>
          <w:p w14:paraId="151B8AC5"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bCs/>
                <w:color w:val="000000"/>
                <w:lang w:val="en-US"/>
              </w:rPr>
            </w:pPr>
            <w:r w:rsidRPr="006F3D3B">
              <w:rPr>
                <w:rFonts w:asciiTheme="majorHAnsi" w:eastAsiaTheme="minorHAnsi" w:hAnsiTheme="majorHAnsi" w:cstheme="majorHAnsi"/>
                <w:color w:val="000000"/>
                <w:lang w:val="en-US"/>
              </w:rPr>
              <w:t>Appropriateness as a training modality for Principals and School Heads</w:t>
            </w:r>
          </w:p>
        </w:tc>
        <w:tc>
          <w:tcPr>
            <w:tcW w:w="708" w:type="dxa"/>
            <w:vAlign w:val="center"/>
          </w:tcPr>
          <w:p w14:paraId="5CA768FA"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993" w:type="dxa"/>
            <w:vAlign w:val="center"/>
          </w:tcPr>
          <w:p w14:paraId="1D732E9E"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708" w:type="dxa"/>
          </w:tcPr>
          <w:p w14:paraId="66D0172C"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1013" w:type="dxa"/>
            <w:vAlign w:val="center"/>
          </w:tcPr>
          <w:p w14:paraId="5815E087"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r>
      <w:tr w:rsidR="008D0CAD" w:rsidRPr="006F3D3B" w14:paraId="1F89BE7E" w14:textId="77777777" w:rsidTr="009C64E9">
        <w:trPr>
          <w:trHeight w:val="285"/>
        </w:trPr>
        <w:tc>
          <w:tcPr>
            <w:tcW w:w="5853" w:type="dxa"/>
          </w:tcPr>
          <w:p w14:paraId="51EDEEC9" w14:textId="77777777" w:rsidR="008D0CAD" w:rsidRPr="006F3D3B" w:rsidRDefault="008D0CAD" w:rsidP="00DD08E3">
            <w:pPr>
              <w:spacing w:before="100" w:beforeAutospacing="1" w:after="100" w:afterAutospacing="1" w:line="360" w:lineRule="auto"/>
              <w:rPr>
                <w:rFonts w:asciiTheme="majorHAnsi" w:hAnsiTheme="majorHAnsi" w:cstheme="majorHAnsi"/>
                <w:lang w:val="en-US"/>
              </w:rPr>
            </w:pPr>
            <w:r w:rsidRPr="006F3D3B">
              <w:rPr>
                <w:rFonts w:asciiTheme="majorHAnsi" w:hAnsiTheme="majorHAnsi" w:cstheme="majorHAnsi"/>
                <w:lang w:val="en-US"/>
              </w:rPr>
              <w:t xml:space="preserve">Principals and School Heads’ acceptance of the training modality </w:t>
            </w:r>
          </w:p>
        </w:tc>
        <w:tc>
          <w:tcPr>
            <w:tcW w:w="708" w:type="dxa"/>
            <w:vAlign w:val="center"/>
          </w:tcPr>
          <w:p w14:paraId="2FEE790D"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993" w:type="dxa"/>
            <w:vAlign w:val="center"/>
          </w:tcPr>
          <w:p w14:paraId="6AA6AE01"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708" w:type="dxa"/>
          </w:tcPr>
          <w:p w14:paraId="176E44BE"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1013" w:type="dxa"/>
            <w:vAlign w:val="center"/>
          </w:tcPr>
          <w:p w14:paraId="7C4FE178"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r>
      <w:tr w:rsidR="008D0CAD" w:rsidRPr="006F3D3B" w14:paraId="49681F3F" w14:textId="77777777" w:rsidTr="009C64E9">
        <w:trPr>
          <w:trHeight w:val="285"/>
        </w:trPr>
        <w:tc>
          <w:tcPr>
            <w:tcW w:w="5853" w:type="dxa"/>
          </w:tcPr>
          <w:p w14:paraId="025DB208" w14:textId="77777777" w:rsidR="008D0CAD" w:rsidRPr="006F3D3B" w:rsidRDefault="008D0CAD" w:rsidP="00DD08E3">
            <w:pPr>
              <w:spacing w:before="100" w:beforeAutospacing="1" w:after="100" w:afterAutospacing="1" w:line="360" w:lineRule="auto"/>
              <w:rPr>
                <w:rFonts w:asciiTheme="majorHAnsi" w:hAnsiTheme="majorHAnsi" w:cstheme="majorHAnsi"/>
                <w:lang w:val="en-US"/>
              </w:rPr>
            </w:pPr>
            <w:r w:rsidRPr="006F3D3B">
              <w:rPr>
                <w:rFonts w:asciiTheme="majorHAnsi" w:hAnsiTheme="majorHAnsi" w:cstheme="majorHAnsi"/>
                <w:lang w:val="en-US"/>
              </w:rPr>
              <w:t>Usefulness of the training modality in improving your leadership and management competencies</w:t>
            </w:r>
          </w:p>
        </w:tc>
        <w:tc>
          <w:tcPr>
            <w:tcW w:w="708" w:type="dxa"/>
            <w:vAlign w:val="center"/>
          </w:tcPr>
          <w:p w14:paraId="5F83909B"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993" w:type="dxa"/>
            <w:vAlign w:val="center"/>
          </w:tcPr>
          <w:p w14:paraId="554F70E3"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708" w:type="dxa"/>
          </w:tcPr>
          <w:p w14:paraId="63AA987E"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1013" w:type="dxa"/>
            <w:vAlign w:val="center"/>
          </w:tcPr>
          <w:p w14:paraId="22A9066C"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r>
    </w:tbl>
    <w:p w14:paraId="6406488F" w14:textId="22728DB8" w:rsidR="008D0CAD" w:rsidRPr="006F3D3B" w:rsidRDefault="008D0CAD" w:rsidP="00DD08E3">
      <w:pPr>
        <w:numPr>
          <w:ilvl w:val="0"/>
          <w:numId w:val="81"/>
        </w:numPr>
        <w:spacing w:before="100" w:beforeAutospacing="1" w:after="100" w:afterAutospacing="1" w:line="360" w:lineRule="auto"/>
        <w:contextualSpacing/>
        <w:rPr>
          <w:rFonts w:asciiTheme="majorHAnsi" w:hAnsiTheme="majorHAnsi" w:cstheme="majorHAnsi"/>
          <w:snapToGrid w:val="0"/>
          <w:color w:val="000000"/>
          <w:sz w:val="22"/>
          <w:szCs w:val="22"/>
          <w:lang w:val="en-US"/>
        </w:rPr>
      </w:pPr>
      <w:r w:rsidRPr="006F3D3B">
        <w:rPr>
          <w:rFonts w:asciiTheme="majorHAnsi" w:hAnsiTheme="majorHAnsi" w:cstheme="majorHAnsi"/>
          <w:bCs/>
          <w:snapToGrid w:val="0"/>
          <w:color w:val="000000"/>
          <w:sz w:val="22"/>
          <w:szCs w:val="22"/>
          <w:lang w:val="en-US"/>
        </w:rPr>
        <w:t xml:space="preserve">Are you familiar with the </w:t>
      </w:r>
      <w:r w:rsidRPr="006F3D3B">
        <w:rPr>
          <w:rFonts w:asciiTheme="majorHAnsi" w:eastAsiaTheme="minorEastAsia" w:hAnsiTheme="majorHAnsi" w:cstheme="majorHAnsi"/>
          <w:b/>
          <w:snapToGrid w:val="0"/>
          <w:sz w:val="22"/>
          <w:szCs w:val="22"/>
          <w:lang w:val="en-US"/>
        </w:rPr>
        <w:t>32 indicators</w:t>
      </w:r>
      <w:r w:rsidRPr="006F3D3B">
        <w:rPr>
          <w:rFonts w:asciiTheme="majorHAnsi" w:eastAsiaTheme="minorEastAsia" w:hAnsiTheme="majorHAnsi" w:cstheme="majorHAnsi"/>
          <w:snapToGrid w:val="0"/>
          <w:sz w:val="22"/>
          <w:szCs w:val="22"/>
          <w:lang w:val="en-US"/>
        </w:rPr>
        <w:t xml:space="preserve"> under </w:t>
      </w:r>
      <w:r w:rsidRPr="006F3D3B">
        <w:rPr>
          <w:rFonts w:asciiTheme="majorHAnsi" w:hAnsiTheme="majorHAnsi" w:cstheme="majorHAnsi"/>
          <w:bCs/>
          <w:snapToGrid w:val="0"/>
          <w:color w:val="000000"/>
          <w:sz w:val="22"/>
          <w:szCs w:val="22"/>
          <w:lang w:val="en-US"/>
        </w:rPr>
        <w:t>the PPST on which the enhanced RPMS tools and processes were based? ___ Yes</w:t>
      </w:r>
      <w:r w:rsidR="00D434EB">
        <w:rPr>
          <w:rFonts w:asciiTheme="majorHAnsi" w:hAnsiTheme="majorHAnsi" w:cstheme="majorHAnsi"/>
          <w:bCs/>
          <w:snapToGrid w:val="0"/>
          <w:color w:val="000000"/>
          <w:sz w:val="22"/>
          <w:szCs w:val="22"/>
          <w:lang w:val="en-US"/>
        </w:rPr>
        <w:t xml:space="preserve"> </w:t>
      </w:r>
      <w:r w:rsidRPr="006F3D3B">
        <w:rPr>
          <w:rFonts w:asciiTheme="majorHAnsi" w:hAnsiTheme="majorHAnsi" w:cstheme="majorHAnsi"/>
          <w:bCs/>
          <w:snapToGrid w:val="0"/>
          <w:color w:val="000000"/>
          <w:sz w:val="22"/>
          <w:szCs w:val="22"/>
          <w:lang w:val="en-US"/>
        </w:rPr>
        <w:t xml:space="preserve"> ___ No</w:t>
      </w:r>
    </w:p>
    <w:p w14:paraId="74A662DE" w14:textId="1FB3A323" w:rsidR="008D0CAD" w:rsidRPr="006F3D3B" w:rsidRDefault="008D0CAD" w:rsidP="00DD08E3">
      <w:pPr>
        <w:numPr>
          <w:ilvl w:val="0"/>
          <w:numId w:val="81"/>
        </w:numPr>
        <w:spacing w:before="100" w:beforeAutospacing="1" w:after="100" w:afterAutospacing="1" w:line="360" w:lineRule="auto"/>
        <w:contextualSpacing/>
        <w:rPr>
          <w:rFonts w:asciiTheme="majorHAnsi" w:hAnsiTheme="majorHAnsi" w:cstheme="majorHAnsi"/>
          <w:bCs/>
          <w:color w:val="000000" w:themeColor="text1"/>
          <w:sz w:val="22"/>
          <w:szCs w:val="22"/>
          <w:lang w:val="en-US"/>
        </w:rPr>
      </w:pPr>
      <w:r w:rsidRPr="006F3D3B">
        <w:rPr>
          <w:rFonts w:asciiTheme="majorHAnsi" w:hAnsiTheme="majorHAnsi" w:cstheme="majorHAnsi"/>
          <w:snapToGrid w:val="0"/>
          <w:color w:val="000000" w:themeColor="text1"/>
          <w:sz w:val="22"/>
          <w:szCs w:val="22"/>
          <w:lang w:val="en-US"/>
        </w:rPr>
        <w:t xml:space="preserve">Does your school fully comply with the procedures for the </w:t>
      </w:r>
      <w:r w:rsidRPr="006F3D3B">
        <w:rPr>
          <w:rFonts w:asciiTheme="majorHAnsi" w:hAnsiTheme="majorHAnsi" w:cstheme="majorHAnsi"/>
          <w:snapToGrid w:val="0"/>
          <w:color w:val="000000"/>
          <w:sz w:val="22"/>
          <w:szCs w:val="22"/>
          <w:lang w:val="en-US"/>
        </w:rPr>
        <w:t>PPST-aligned</w:t>
      </w:r>
      <w:r w:rsidRPr="006F3D3B">
        <w:rPr>
          <w:rFonts w:asciiTheme="majorHAnsi" w:hAnsiTheme="majorHAnsi" w:cstheme="majorHAnsi"/>
          <w:snapToGrid w:val="0"/>
          <w:color w:val="000000" w:themeColor="text1"/>
          <w:sz w:val="22"/>
          <w:szCs w:val="22"/>
          <w:lang w:val="en-US"/>
        </w:rPr>
        <w:t xml:space="preserve"> </w:t>
      </w:r>
      <w:r w:rsidRPr="006F3D3B">
        <w:rPr>
          <w:rFonts w:asciiTheme="majorHAnsi" w:hAnsiTheme="majorHAnsi" w:cstheme="majorHAnsi"/>
          <w:b/>
          <w:bCs/>
          <w:snapToGrid w:val="0"/>
          <w:color w:val="000000"/>
          <w:sz w:val="22"/>
          <w:szCs w:val="22"/>
          <w:lang w:val="en-US"/>
        </w:rPr>
        <w:t>Classroom Observation Tool (COT)</w:t>
      </w:r>
      <w:r w:rsidRPr="006F3D3B">
        <w:rPr>
          <w:rFonts w:asciiTheme="majorHAnsi" w:hAnsiTheme="majorHAnsi" w:cstheme="majorHAnsi"/>
          <w:snapToGrid w:val="0"/>
          <w:color w:val="000000" w:themeColor="text1"/>
          <w:sz w:val="22"/>
          <w:szCs w:val="22"/>
          <w:lang w:val="en-US"/>
        </w:rPr>
        <w:t xml:space="preserve">? </w:t>
      </w:r>
      <w:r w:rsidRPr="006F3D3B">
        <w:rPr>
          <w:rFonts w:asciiTheme="majorHAnsi" w:hAnsiTheme="majorHAnsi" w:cstheme="majorHAnsi"/>
          <w:bCs/>
          <w:color w:val="000000" w:themeColor="text1"/>
          <w:sz w:val="22"/>
          <w:szCs w:val="22"/>
          <w:lang w:val="en-US"/>
        </w:rPr>
        <w:t>___ Yes</w:t>
      </w:r>
      <w:r w:rsidR="00D434EB">
        <w:rPr>
          <w:rFonts w:asciiTheme="majorHAnsi" w:hAnsiTheme="majorHAnsi" w:cstheme="majorHAnsi"/>
          <w:bCs/>
          <w:color w:val="000000" w:themeColor="text1"/>
          <w:sz w:val="22"/>
          <w:szCs w:val="22"/>
          <w:lang w:val="en-US"/>
        </w:rPr>
        <w:t xml:space="preserve"> </w:t>
      </w:r>
      <w:r w:rsidRPr="006F3D3B">
        <w:rPr>
          <w:rFonts w:asciiTheme="majorHAnsi" w:hAnsiTheme="majorHAnsi" w:cstheme="majorHAnsi"/>
          <w:bCs/>
          <w:color w:val="000000" w:themeColor="text1"/>
          <w:sz w:val="22"/>
          <w:szCs w:val="22"/>
          <w:lang w:val="en-US"/>
        </w:rPr>
        <w:t xml:space="preserve"> ___ No</w:t>
      </w:r>
    </w:p>
    <w:p w14:paraId="2E2BC959" w14:textId="77777777" w:rsidR="008D0CAD" w:rsidRPr="006F3D3B" w:rsidRDefault="008D0CAD" w:rsidP="00DD08E3">
      <w:pPr>
        <w:numPr>
          <w:ilvl w:val="1"/>
          <w:numId w:val="81"/>
        </w:numPr>
        <w:spacing w:before="100" w:beforeAutospacing="1" w:after="100" w:afterAutospacing="1" w:line="360" w:lineRule="auto"/>
        <w:ind w:left="851" w:hanging="491"/>
        <w:contextualSpacing/>
        <w:rPr>
          <w:rFonts w:asciiTheme="majorHAnsi" w:hAnsiTheme="majorHAnsi" w:cstheme="majorHAnsi"/>
          <w:snapToGrid w:val="0"/>
          <w:color w:val="000000" w:themeColor="text1"/>
          <w:sz w:val="22"/>
          <w:szCs w:val="22"/>
          <w:lang w:val="en-US"/>
        </w:rPr>
      </w:pPr>
      <w:r w:rsidRPr="006F3D3B">
        <w:rPr>
          <w:rFonts w:asciiTheme="majorHAnsi" w:hAnsiTheme="majorHAnsi" w:cstheme="majorHAnsi"/>
          <w:bCs/>
          <w:snapToGrid w:val="0"/>
          <w:color w:val="000000" w:themeColor="text1"/>
          <w:sz w:val="22"/>
          <w:szCs w:val="22"/>
          <w:lang w:val="en-US"/>
        </w:rPr>
        <w:t>How often do you conduct classroom observations using the COT? __________________</w:t>
      </w:r>
    </w:p>
    <w:p w14:paraId="60D827FB" w14:textId="77777777" w:rsidR="008D0CAD" w:rsidRPr="006F3D3B" w:rsidRDefault="008D0CAD" w:rsidP="00DD08E3">
      <w:pPr>
        <w:numPr>
          <w:ilvl w:val="1"/>
          <w:numId w:val="81"/>
        </w:numPr>
        <w:spacing w:before="100" w:beforeAutospacing="1" w:after="100" w:afterAutospacing="1" w:line="360" w:lineRule="auto"/>
        <w:ind w:left="851" w:hanging="491"/>
        <w:contextualSpacing/>
        <w:rPr>
          <w:rFonts w:asciiTheme="majorHAnsi" w:hAnsiTheme="majorHAnsi" w:cstheme="majorHAnsi"/>
          <w:bCs/>
          <w:snapToGrid w:val="0"/>
          <w:color w:val="000000" w:themeColor="text1"/>
          <w:sz w:val="22"/>
          <w:szCs w:val="22"/>
          <w:lang w:val="en-US"/>
        </w:rPr>
      </w:pPr>
      <w:r w:rsidRPr="006F3D3B">
        <w:rPr>
          <w:rFonts w:asciiTheme="majorHAnsi" w:hAnsiTheme="majorHAnsi" w:cstheme="majorHAnsi"/>
          <w:snapToGrid w:val="0"/>
          <w:color w:val="000000" w:themeColor="text1"/>
          <w:sz w:val="22"/>
          <w:szCs w:val="22"/>
          <w:lang w:val="en-US"/>
        </w:rPr>
        <w:t xml:space="preserve">If Yes, </w:t>
      </w:r>
      <w:r w:rsidRPr="006F3D3B">
        <w:rPr>
          <w:rFonts w:asciiTheme="majorHAnsi" w:hAnsiTheme="majorHAnsi" w:cstheme="majorHAnsi"/>
          <w:snapToGrid w:val="0"/>
          <w:sz w:val="22"/>
          <w:szCs w:val="22"/>
          <w:lang w:val="en-US"/>
        </w:rPr>
        <w:t>on a scale of 1 to 4 (with 4 being Very High), rate the COT</w:t>
      </w:r>
      <w:r w:rsidRPr="006F3D3B">
        <w:rPr>
          <w:rFonts w:asciiTheme="majorHAnsi" w:hAnsiTheme="majorHAnsi" w:cstheme="majorHAnsi"/>
          <w:snapToGrid w:val="0"/>
          <w:color w:val="000000" w:themeColor="text1"/>
          <w:sz w:val="22"/>
          <w:szCs w:val="22"/>
          <w:lang w:val="en-US"/>
        </w:rPr>
        <w:t xml:space="preserve"> in terms of its:</w:t>
      </w:r>
    </w:p>
    <w:tbl>
      <w:tblPr>
        <w:tblStyle w:val="TableGrid12"/>
        <w:tblW w:w="9275" w:type="dxa"/>
        <w:tblInd w:w="805" w:type="dxa"/>
        <w:tblLayout w:type="fixed"/>
        <w:tblLook w:val="04A0" w:firstRow="1" w:lastRow="0" w:firstColumn="1" w:lastColumn="0" w:noHBand="0" w:noVBand="1"/>
      </w:tblPr>
      <w:tblGrid>
        <w:gridCol w:w="5853"/>
        <w:gridCol w:w="708"/>
        <w:gridCol w:w="993"/>
        <w:gridCol w:w="708"/>
        <w:gridCol w:w="1013"/>
      </w:tblGrid>
      <w:tr w:rsidR="008D0CAD" w:rsidRPr="006F3D3B" w14:paraId="0B53FB4B" w14:textId="77777777" w:rsidTr="00F4751F">
        <w:trPr>
          <w:trHeight w:val="715"/>
          <w:tblHeader/>
        </w:trPr>
        <w:tc>
          <w:tcPr>
            <w:tcW w:w="5853" w:type="dxa"/>
            <w:shd w:val="clear" w:color="auto" w:fill="D9D9D9" w:themeFill="background1" w:themeFillShade="D9"/>
          </w:tcPr>
          <w:p w14:paraId="3642FBAA"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lang w:val="en-US"/>
              </w:rPr>
            </w:pPr>
          </w:p>
        </w:tc>
        <w:tc>
          <w:tcPr>
            <w:tcW w:w="708" w:type="dxa"/>
            <w:shd w:val="clear" w:color="auto" w:fill="D9D9D9" w:themeFill="background1" w:themeFillShade="D9"/>
            <w:vAlign w:val="center"/>
          </w:tcPr>
          <w:p w14:paraId="42BD81C6"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r w:rsidRPr="006F3D3B">
              <w:rPr>
                <w:rFonts w:asciiTheme="majorHAnsi" w:eastAsiaTheme="minorHAnsi" w:hAnsiTheme="majorHAnsi" w:cstheme="majorHAnsi"/>
                <w:color w:val="000000" w:themeColor="text1"/>
                <w:lang w:val="en-US"/>
              </w:rPr>
              <w:t>Low (1)</w:t>
            </w:r>
          </w:p>
        </w:tc>
        <w:tc>
          <w:tcPr>
            <w:tcW w:w="993" w:type="dxa"/>
            <w:shd w:val="clear" w:color="auto" w:fill="D9D9D9" w:themeFill="background1" w:themeFillShade="D9"/>
            <w:vAlign w:val="center"/>
          </w:tcPr>
          <w:p w14:paraId="7B285AAC"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r w:rsidRPr="006F3D3B">
              <w:rPr>
                <w:rFonts w:asciiTheme="majorHAnsi" w:eastAsiaTheme="minorHAnsi" w:hAnsiTheme="majorHAnsi" w:cstheme="majorHAnsi"/>
                <w:color w:val="000000" w:themeColor="text1"/>
                <w:lang w:val="en-US"/>
              </w:rPr>
              <w:t>Mode-rate (2)</w:t>
            </w:r>
          </w:p>
        </w:tc>
        <w:tc>
          <w:tcPr>
            <w:tcW w:w="708" w:type="dxa"/>
            <w:shd w:val="clear" w:color="auto" w:fill="D9D9D9" w:themeFill="background1" w:themeFillShade="D9"/>
            <w:vAlign w:val="center"/>
          </w:tcPr>
          <w:p w14:paraId="562B7F34"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r w:rsidRPr="006F3D3B">
              <w:rPr>
                <w:rFonts w:asciiTheme="majorHAnsi" w:eastAsiaTheme="minorHAnsi" w:hAnsiTheme="majorHAnsi" w:cstheme="majorHAnsi"/>
                <w:color w:val="000000" w:themeColor="text1"/>
                <w:lang w:val="en-US"/>
              </w:rPr>
              <w:t>High (3)</w:t>
            </w:r>
          </w:p>
        </w:tc>
        <w:tc>
          <w:tcPr>
            <w:tcW w:w="1013" w:type="dxa"/>
            <w:shd w:val="clear" w:color="auto" w:fill="D9D9D9" w:themeFill="background1" w:themeFillShade="D9"/>
            <w:vAlign w:val="center"/>
          </w:tcPr>
          <w:p w14:paraId="5DBBDE82"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r w:rsidRPr="006F3D3B">
              <w:rPr>
                <w:rFonts w:asciiTheme="majorHAnsi" w:eastAsiaTheme="minorHAnsi" w:hAnsiTheme="majorHAnsi" w:cstheme="majorHAnsi"/>
                <w:color w:val="000000" w:themeColor="text1"/>
                <w:lang w:val="en-US"/>
              </w:rPr>
              <w:t>Very High (4)</w:t>
            </w:r>
          </w:p>
        </w:tc>
      </w:tr>
      <w:tr w:rsidR="008D0CAD" w:rsidRPr="006F3D3B" w14:paraId="701D5D1C" w14:textId="77777777" w:rsidTr="009C64E9">
        <w:trPr>
          <w:trHeight w:val="285"/>
        </w:trPr>
        <w:tc>
          <w:tcPr>
            <w:tcW w:w="5853" w:type="dxa"/>
          </w:tcPr>
          <w:p w14:paraId="2FDC2C76"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bCs/>
                <w:color w:val="000000"/>
                <w:lang w:val="en-US"/>
              </w:rPr>
            </w:pPr>
            <w:r w:rsidRPr="006F3D3B">
              <w:rPr>
                <w:rFonts w:asciiTheme="majorHAnsi" w:eastAsiaTheme="minorHAnsi" w:hAnsiTheme="majorHAnsi" w:cstheme="majorHAnsi"/>
                <w:color w:val="000000"/>
                <w:lang w:val="en-US"/>
              </w:rPr>
              <w:t>Appropriateness as a tool for Principals and School Heads to assess teacher performance</w:t>
            </w:r>
          </w:p>
        </w:tc>
        <w:tc>
          <w:tcPr>
            <w:tcW w:w="708" w:type="dxa"/>
            <w:vAlign w:val="center"/>
          </w:tcPr>
          <w:p w14:paraId="2CA277E5"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993" w:type="dxa"/>
            <w:vAlign w:val="center"/>
          </w:tcPr>
          <w:p w14:paraId="6FDE5B8A"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708" w:type="dxa"/>
          </w:tcPr>
          <w:p w14:paraId="406AA4AF"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1013" w:type="dxa"/>
            <w:vAlign w:val="center"/>
          </w:tcPr>
          <w:p w14:paraId="563CA89C"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r>
      <w:tr w:rsidR="008D0CAD" w:rsidRPr="006F3D3B" w14:paraId="0B32251D" w14:textId="77777777" w:rsidTr="009C64E9">
        <w:trPr>
          <w:trHeight w:val="285"/>
        </w:trPr>
        <w:tc>
          <w:tcPr>
            <w:tcW w:w="5853" w:type="dxa"/>
          </w:tcPr>
          <w:p w14:paraId="3189DF5A" w14:textId="77777777" w:rsidR="008D0CAD" w:rsidRPr="006F3D3B" w:rsidRDefault="008D0CAD" w:rsidP="00DD08E3">
            <w:pPr>
              <w:spacing w:before="100" w:beforeAutospacing="1" w:after="100" w:afterAutospacing="1" w:line="360" w:lineRule="auto"/>
              <w:rPr>
                <w:rFonts w:asciiTheme="majorHAnsi" w:hAnsiTheme="majorHAnsi" w:cstheme="majorHAnsi"/>
                <w:lang w:val="en-US"/>
              </w:rPr>
            </w:pPr>
            <w:r w:rsidRPr="006F3D3B">
              <w:rPr>
                <w:rFonts w:asciiTheme="majorHAnsi" w:hAnsiTheme="majorHAnsi" w:cstheme="majorHAnsi"/>
                <w:lang w:val="en-US"/>
              </w:rPr>
              <w:t>Principals and School Heads’ acceptance of the tool</w:t>
            </w:r>
          </w:p>
        </w:tc>
        <w:tc>
          <w:tcPr>
            <w:tcW w:w="708" w:type="dxa"/>
            <w:vAlign w:val="center"/>
          </w:tcPr>
          <w:p w14:paraId="114A53FE"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993" w:type="dxa"/>
            <w:vAlign w:val="center"/>
          </w:tcPr>
          <w:p w14:paraId="6B84F802"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708" w:type="dxa"/>
          </w:tcPr>
          <w:p w14:paraId="672B6287"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1013" w:type="dxa"/>
            <w:vAlign w:val="center"/>
          </w:tcPr>
          <w:p w14:paraId="066FD45A"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r>
      <w:tr w:rsidR="008D0CAD" w:rsidRPr="006F3D3B" w14:paraId="15AF0193" w14:textId="77777777" w:rsidTr="009C64E9">
        <w:trPr>
          <w:trHeight w:val="285"/>
        </w:trPr>
        <w:tc>
          <w:tcPr>
            <w:tcW w:w="5853" w:type="dxa"/>
          </w:tcPr>
          <w:p w14:paraId="1DC687A7" w14:textId="77777777" w:rsidR="008D0CAD" w:rsidRPr="006F3D3B" w:rsidRDefault="008D0CAD" w:rsidP="00DD08E3">
            <w:pPr>
              <w:spacing w:before="100" w:beforeAutospacing="1" w:after="100" w:afterAutospacing="1" w:line="360" w:lineRule="auto"/>
              <w:rPr>
                <w:rFonts w:asciiTheme="majorHAnsi" w:hAnsiTheme="majorHAnsi" w:cstheme="majorHAnsi"/>
                <w:lang w:val="en-US"/>
              </w:rPr>
            </w:pPr>
            <w:r w:rsidRPr="006F3D3B">
              <w:rPr>
                <w:rFonts w:asciiTheme="majorHAnsi" w:hAnsiTheme="majorHAnsi" w:cstheme="majorHAnsi"/>
                <w:lang w:val="en-US"/>
              </w:rPr>
              <w:t>Teachers’ acceptance of the tool</w:t>
            </w:r>
          </w:p>
        </w:tc>
        <w:tc>
          <w:tcPr>
            <w:tcW w:w="708" w:type="dxa"/>
            <w:vAlign w:val="center"/>
          </w:tcPr>
          <w:p w14:paraId="644EDB65"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993" w:type="dxa"/>
            <w:vAlign w:val="center"/>
          </w:tcPr>
          <w:p w14:paraId="4043A7B4"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708" w:type="dxa"/>
          </w:tcPr>
          <w:p w14:paraId="7E858173"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1013" w:type="dxa"/>
            <w:vAlign w:val="center"/>
          </w:tcPr>
          <w:p w14:paraId="62C4098B"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r>
      <w:tr w:rsidR="008D0CAD" w:rsidRPr="006F3D3B" w14:paraId="400558EF" w14:textId="77777777" w:rsidTr="009C64E9">
        <w:trPr>
          <w:trHeight w:val="285"/>
        </w:trPr>
        <w:tc>
          <w:tcPr>
            <w:tcW w:w="5853" w:type="dxa"/>
          </w:tcPr>
          <w:p w14:paraId="75DC2357" w14:textId="77777777" w:rsidR="008D0CAD" w:rsidRPr="006F3D3B" w:rsidRDefault="008D0CAD" w:rsidP="00DD08E3">
            <w:pPr>
              <w:spacing w:before="100" w:beforeAutospacing="1" w:after="100" w:afterAutospacing="1" w:line="360" w:lineRule="auto"/>
              <w:rPr>
                <w:rFonts w:asciiTheme="majorHAnsi" w:hAnsiTheme="majorHAnsi" w:cstheme="majorHAnsi"/>
                <w:lang w:val="en-US"/>
              </w:rPr>
            </w:pPr>
            <w:r w:rsidRPr="006F3D3B">
              <w:rPr>
                <w:rFonts w:asciiTheme="majorHAnsi" w:hAnsiTheme="majorHAnsi" w:cstheme="majorHAnsi"/>
                <w:lang w:val="en-US"/>
              </w:rPr>
              <w:t xml:space="preserve">Usefulness of the tool in improving school leadership and management </w:t>
            </w:r>
          </w:p>
        </w:tc>
        <w:tc>
          <w:tcPr>
            <w:tcW w:w="708" w:type="dxa"/>
            <w:vAlign w:val="center"/>
          </w:tcPr>
          <w:p w14:paraId="1944B0A0"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lang w:val="en-US"/>
              </w:rPr>
            </w:pPr>
            <w:r w:rsidRPr="006F3D3B">
              <w:rPr>
                <w:rFonts w:asciiTheme="majorHAnsi" w:eastAsiaTheme="minorHAnsi" w:hAnsiTheme="majorHAnsi" w:cstheme="majorHAnsi"/>
                <w:color w:val="000000" w:themeColor="text1"/>
                <w:lang w:val="en-US"/>
              </w:rPr>
              <w:t xml:space="preserve"> </w:t>
            </w:r>
          </w:p>
        </w:tc>
        <w:tc>
          <w:tcPr>
            <w:tcW w:w="993" w:type="dxa"/>
            <w:vAlign w:val="center"/>
          </w:tcPr>
          <w:p w14:paraId="7B38B2E1"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lang w:val="en-US"/>
              </w:rPr>
            </w:pPr>
            <w:r w:rsidRPr="006F3D3B">
              <w:rPr>
                <w:rFonts w:asciiTheme="majorHAnsi" w:eastAsiaTheme="minorHAnsi" w:hAnsiTheme="majorHAnsi" w:cstheme="majorHAnsi"/>
                <w:color w:val="000000" w:themeColor="text1"/>
                <w:lang w:val="en-US"/>
              </w:rPr>
              <w:t xml:space="preserve"> </w:t>
            </w:r>
          </w:p>
        </w:tc>
        <w:tc>
          <w:tcPr>
            <w:tcW w:w="708" w:type="dxa"/>
          </w:tcPr>
          <w:p w14:paraId="493349E3"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1013" w:type="dxa"/>
            <w:vAlign w:val="center"/>
          </w:tcPr>
          <w:p w14:paraId="4FA675E3"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lang w:val="en-US"/>
              </w:rPr>
            </w:pPr>
            <w:r w:rsidRPr="006F3D3B">
              <w:rPr>
                <w:rFonts w:asciiTheme="majorHAnsi" w:eastAsiaTheme="minorHAnsi" w:hAnsiTheme="majorHAnsi" w:cstheme="majorHAnsi"/>
                <w:color w:val="000000" w:themeColor="text1"/>
                <w:lang w:val="en-US"/>
              </w:rPr>
              <w:t xml:space="preserve"> </w:t>
            </w:r>
          </w:p>
        </w:tc>
      </w:tr>
    </w:tbl>
    <w:p w14:paraId="1539CE6A" w14:textId="498640A5" w:rsidR="008D0CAD" w:rsidRPr="006F3D3B" w:rsidRDefault="008D0CAD" w:rsidP="00DD08E3">
      <w:pPr>
        <w:numPr>
          <w:ilvl w:val="0"/>
          <w:numId w:val="81"/>
        </w:numPr>
        <w:spacing w:before="100" w:beforeAutospacing="1" w:after="100" w:afterAutospacing="1" w:line="360" w:lineRule="auto"/>
        <w:ind w:left="357"/>
        <w:contextualSpacing/>
        <w:rPr>
          <w:rFonts w:asciiTheme="majorHAnsi" w:hAnsiTheme="majorHAnsi" w:cstheme="majorHAnsi"/>
          <w:bCs/>
          <w:color w:val="000000" w:themeColor="text1"/>
          <w:sz w:val="22"/>
          <w:szCs w:val="22"/>
          <w:lang w:val="en-US"/>
        </w:rPr>
      </w:pPr>
      <w:r w:rsidRPr="006F3D3B">
        <w:rPr>
          <w:rFonts w:asciiTheme="majorHAnsi" w:hAnsiTheme="majorHAnsi" w:cstheme="majorHAnsi"/>
          <w:snapToGrid w:val="0"/>
          <w:color w:val="000000" w:themeColor="text1"/>
          <w:sz w:val="22"/>
          <w:szCs w:val="22"/>
          <w:lang w:val="en-US"/>
        </w:rPr>
        <w:t xml:space="preserve">Have you initiated or made any improvements or innovations on the prescribed processes of the COT? </w:t>
      </w:r>
      <w:r w:rsidRPr="006F3D3B">
        <w:rPr>
          <w:rFonts w:asciiTheme="majorHAnsi" w:hAnsiTheme="majorHAnsi" w:cstheme="majorHAnsi"/>
          <w:bCs/>
          <w:color w:val="000000" w:themeColor="text1"/>
          <w:sz w:val="22"/>
          <w:szCs w:val="22"/>
          <w:lang w:val="en-US"/>
        </w:rPr>
        <w:t>___ Yes</w:t>
      </w:r>
      <w:r w:rsidR="00D434EB">
        <w:rPr>
          <w:rFonts w:asciiTheme="majorHAnsi" w:hAnsiTheme="majorHAnsi" w:cstheme="majorHAnsi"/>
          <w:bCs/>
          <w:color w:val="000000" w:themeColor="text1"/>
          <w:sz w:val="22"/>
          <w:szCs w:val="22"/>
          <w:lang w:val="en-US"/>
        </w:rPr>
        <w:t xml:space="preserve"> </w:t>
      </w:r>
      <w:r w:rsidRPr="006F3D3B">
        <w:rPr>
          <w:rFonts w:asciiTheme="majorHAnsi" w:hAnsiTheme="majorHAnsi" w:cstheme="majorHAnsi"/>
          <w:bCs/>
          <w:color w:val="000000" w:themeColor="text1"/>
          <w:sz w:val="22"/>
          <w:szCs w:val="22"/>
          <w:lang w:val="en-US"/>
        </w:rPr>
        <w:t xml:space="preserve"> ___ No</w:t>
      </w:r>
    </w:p>
    <w:p w14:paraId="65B066E3" w14:textId="3E6AC5FE" w:rsidR="008D0CAD" w:rsidRPr="006F3D3B" w:rsidRDefault="008D0CAD" w:rsidP="00DD08E3">
      <w:pPr>
        <w:numPr>
          <w:ilvl w:val="0"/>
          <w:numId w:val="81"/>
        </w:numPr>
        <w:spacing w:before="100" w:beforeAutospacing="1" w:after="100" w:afterAutospacing="1" w:line="360" w:lineRule="auto"/>
        <w:contextualSpacing/>
        <w:rPr>
          <w:rFonts w:asciiTheme="majorHAnsi" w:hAnsiTheme="majorHAnsi" w:cstheme="majorHAnsi"/>
          <w:bCs/>
          <w:color w:val="000000"/>
          <w:sz w:val="22"/>
          <w:szCs w:val="22"/>
          <w:lang w:val="en-US"/>
        </w:rPr>
      </w:pPr>
      <w:r w:rsidRPr="006F3D3B">
        <w:rPr>
          <w:rFonts w:asciiTheme="majorHAnsi" w:hAnsiTheme="majorHAnsi" w:cstheme="majorHAnsi"/>
          <w:snapToGrid w:val="0"/>
          <w:color w:val="000000"/>
          <w:sz w:val="22"/>
          <w:szCs w:val="22"/>
          <w:lang w:val="en-US"/>
        </w:rPr>
        <w:t xml:space="preserve">Do your teachers fully comply with the requirements of the PPST-aligned </w:t>
      </w:r>
      <w:r w:rsidRPr="006F3D3B">
        <w:rPr>
          <w:rFonts w:asciiTheme="majorHAnsi" w:hAnsiTheme="majorHAnsi" w:cstheme="majorHAnsi"/>
          <w:bCs/>
          <w:snapToGrid w:val="0"/>
          <w:color w:val="000000"/>
          <w:sz w:val="22"/>
          <w:szCs w:val="22"/>
          <w:lang w:val="en-US"/>
        </w:rPr>
        <w:t xml:space="preserve">Self-Assessment Tool (SAT)? </w:t>
      </w:r>
      <w:r w:rsidRPr="006F3D3B">
        <w:rPr>
          <w:rFonts w:asciiTheme="majorHAnsi" w:hAnsiTheme="majorHAnsi" w:cstheme="majorHAnsi"/>
          <w:bCs/>
          <w:color w:val="000000"/>
          <w:sz w:val="22"/>
          <w:szCs w:val="22"/>
          <w:lang w:val="en-US"/>
        </w:rPr>
        <w:t>___ Yes</w:t>
      </w:r>
      <w:r w:rsidR="00D434EB">
        <w:rPr>
          <w:rFonts w:asciiTheme="majorHAnsi" w:hAnsiTheme="majorHAnsi" w:cstheme="majorHAnsi"/>
          <w:bCs/>
          <w:color w:val="000000"/>
          <w:sz w:val="22"/>
          <w:szCs w:val="22"/>
          <w:lang w:val="en-US"/>
        </w:rPr>
        <w:t xml:space="preserve"> </w:t>
      </w:r>
      <w:r w:rsidRPr="006F3D3B">
        <w:rPr>
          <w:rFonts w:asciiTheme="majorHAnsi" w:hAnsiTheme="majorHAnsi" w:cstheme="majorHAnsi"/>
          <w:bCs/>
          <w:color w:val="000000"/>
          <w:sz w:val="22"/>
          <w:szCs w:val="22"/>
          <w:lang w:val="en-US"/>
        </w:rPr>
        <w:t xml:space="preserve"> ___ No</w:t>
      </w:r>
    </w:p>
    <w:p w14:paraId="1F62412C" w14:textId="77777777" w:rsidR="008D0CAD" w:rsidRPr="006F3D3B" w:rsidRDefault="008D0CAD" w:rsidP="00DD08E3">
      <w:pPr>
        <w:numPr>
          <w:ilvl w:val="1"/>
          <w:numId w:val="81"/>
        </w:numPr>
        <w:spacing w:before="100" w:beforeAutospacing="1" w:after="100" w:afterAutospacing="1" w:line="360" w:lineRule="auto"/>
        <w:ind w:left="851" w:hanging="491"/>
        <w:contextualSpacing/>
        <w:rPr>
          <w:rFonts w:asciiTheme="majorHAnsi" w:hAnsiTheme="majorHAnsi" w:cstheme="majorHAnsi"/>
          <w:snapToGrid w:val="0"/>
          <w:color w:val="000000"/>
          <w:sz w:val="22"/>
          <w:szCs w:val="22"/>
          <w:lang w:val="en-US"/>
        </w:rPr>
      </w:pPr>
      <w:r w:rsidRPr="006F3D3B">
        <w:rPr>
          <w:rFonts w:asciiTheme="majorHAnsi" w:hAnsiTheme="majorHAnsi" w:cstheme="majorHAnsi"/>
          <w:snapToGrid w:val="0"/>
          <w:sz w:val="22"/>
          <w:szCs w:val="22"/>
          <w:lang w:val="en-US"/>
        </w:rPr>
        <w:t xml:space="preserve">If Yes, on a scale of 1 to 4 (with 4 being Very High), </w:t>
      </w:r>
      <w:r w:rsidRPr="006F3D3B">
        <w:rPr>
          <w:rFonts w:asciiTheme="majorHAnsi" w:hAnsiTheme="majorHAnsi" w:cstheme="majorHAnsi"/>
          <w:snapToGrid w:val="0"/>
          <w:color w:val="000000"/>
          <w:sz w:val="22"/>
          <w:szCs w:val="22"/>
          <w:lang w:val="en-US"/>
        </w:rPr>
        <w:t xml:space="preserve">rate the </w:t>
      </w:r>
      <w:r w:rsidRPr="006F3D3B">
        <w:rPr>
          <w:rFonts w:asciiTheme="majorHAnsi" w:hAnsiTheme="majorHAnsi" w:cstheme="majorHAnsi"/>
          <w:bCs/>
          <w:snapToGrid w:val="0"/>
          <w:color w:val="000000"/>
          <w:sz w:val="22"/>
          <w:szCs w:val="22"/>
          <w:lang w:val="en-US"/>
        </w:rPr>
        <w:t xml:space="preserve">SAT </w:t>
      </w:r>
      <w:r w:rsidRPr="006F3D3B">
        <w:rPr>
          <w:rFonts w:asciiTheme="majorHAnsi" w:hAnsiTheme="majorHAnsi" w:cstheme="majorHAnsi"/>
          <w:snapToGrid w:val="0"/>
          <w:sz w:val="22"/>
          <w:szCs w:val="22"/>
          <w:lang w:val="en-US"/>
        </w:rPr>
        <w:t>in terms of its:</w:t>
      </w:r>
    </w:p>
    <w:tbl>
      <w:tblPr>
        <w:tblStyle w:val="TableGrid12"/>
        <w:tblW w:w="9237" w:type="dxa"/>
        <w:tblInd w:w="805" w:type="dxa"/>
        <w:tblLayout w:type="fixed"/>
        <w:tblLook w:val="04A0" w:firstRow="1" w:lastRow="0" w:firstColumn="1" w:lastColumn="0" w:noHBand="0" w:noVBand="1"/>
      </w:tblPr>
      <w:tblGrid>
        <w:gridCol w:w="5853"/>
        <w:gridCol w:w="708"/>
        <w:gridCol w:w="993"/>
        <w:gridCol w:w="708"/>
        <w:gridCol w:w="975"/>
      </w:tblGrid>
      <w:tr w:rsidR="008D0CAD" w:rsidRPr="006F3D3B" w14:paraId="2F971770" w14:textId="77777777" w:rsidTr="00F4751F">
        <w:trPr>
          <w:trHeight w:val="370"/>
          <w:tblHeader/>
        </w:trPr>
        <w:tc>
          <w:tcPr>
            <w:tcW w:w="5853" w:type="dxa"/>
            <w:shd w:val="clear" w:color="auto" w:fill="D9D9D9" w:themeFill="background1" w:themeFillShade="D9"/>
          </w:tcPr>
          <w:p w14:paraId="176AE9BD"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lang w:val="en-US"/>
              </w:rPr>
            </w:pPr>
          </w:p>
        </w:tc>
        <w:tc>
          <w:tcPr>
            <w:tcW w:w="708" w:type="dxa"/>
            <w:shd w:val="clear" w:color="auto" w:fill="D9D9D9" w:themeFill="background1" w:themeFillShade="D9"/>
            <w:vAlign w:val="center"/>
          </w:tcPr>
          <w:p w14:paraId="7B95A656"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r w:rsidRPr="006F3D3B">
              <w:rPr>
                <w:rFonts w:asciiTheme="majorHAnsi" w:eastAsiaTheme="minorHAnsi" w:hAnsiTheme="majorHAnsi" w:cstheme="majorHAnsi"/>
                <w:color w:val="000000" w:themeColor="text1"/>
                <w:lang w:val="en-US"/>
              </w:rPr>
              <w:t>Low (1)</w:t>
            </w:r>
          </w:p>
        </w:tc>
        <w:tc>
          <w:tcPr>
            <w:tcW w:w="993" w:type="dxa"/>
            <w:shd w:val="clear" w:color="auto" w:fill="D9D9D9" w:themeFill="background1" w:themeFillShade="D9"/>
            <w:vAlign w:val="center"/>
          </w:tcPr>
          <w:p w14:paraId="371B37AA"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r w:rsidRPr="006F3D3B">
              <w:rPr>
                <w:rFonts w:asciiTheme="majorHAnsi" w:eastAsiaTheme="minorHAnsi" w:hAnsiTheme="majorHAnsi" w:cstheme="majorHAnsi"/>
                <w:color w:val="000000" w:themeColor="text1"/>
                <w:lang w:val="en-US"/>
              </w:rPr>
              <w:t>Mode-rate (2)</w:t>
            </w:r>
          </w:p>
        </w:tc>
        <w:tc>
          <w:tcPr>
            <w:tcW w:w="708" w:type="dxa"/>
            <w:shd w:val="clear" w:color="auto" w:fill="D9D9D9" w:themeFill="background1" w:themeFillShade="D9"/>
            <w:vAlign w:val="center"/>
          </w:tcPr>
          <w:p w14:paraId="2A334981"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r w:rsidRPr="006F3D3B">
              <w:rPr>
                <w:rFonts w:asciiTheme="majorHAnsi" w:eastAsiaTheme="minorHAnsi" w:hAnsiTheme="majorHAnsi" w:cstheme="majorHAnsi"/>
                <w:color w:val="000000" w:themeColor="text1"/>
                <w:lang w:val="en-US"/>
              </w:rPr>
              <w:t>High (3)</w:t>
            </w:r>
          </w:p>
        </w:tc>
        <w:tc>
          <w:tcPr>
            <w:tcW w:w="975" w:type="dxa"/>
            <w:shd w:val="clear" w:color="auto" w:fill="D9D9D9" w:themeFill="background1" w:themeFillShade="D9"/>
            <w:vAlign w:val="center"/>
          </w:tcPr>
          <w:p w14:paraId="0C979E0D"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r w:rsidRPr="006F3D3B">
              <w:rPr>
                <w:rFonts w:asciiTheme="majorHAnsi" w:eastAsiaTheme="minorHAnsi" w:hAnsiTheme="majorHAnsi" w:cstheme="majorHAnsi"/>
                <w:color w:val="000000" w:themeColor="text1"/>
                <w:lang w:val="en-US"/>
              </w:rPr>
              <w:t>Very High (4)</w:t>
            </w:r>
          </w:p>
        </w:tc>
      </w:tr>
      <w:tr w:rsidR="008D0CAD" w:rsidRPr="006F3D3B" w14:paraId="00B1142E" w14:textId="77777777" w:rsidTr="009C64E9">
        <w:trPr>
          <w:trHeight w:val="282"/>
        </w:trPr>
        <w:tc>
          <w:tcPr>
            <w:tcW w:w="5853" w:type="dxa"/>
          </w:tcPr>
          <w:p w14:paraId="526AFECD"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bCs/>
                <w:color w:val="000000"/>
                <w:lang w:val="en-US"/>
              </w:rPr>
            </w:pPr>
            <w:r w:rsidRPr="006F3D3B">
              <w:rPr>
                <w:rFonts w:asciiTheme="majorHAnsi" w:eastAsiaTheme="minorHAnsi" w:hAnsiTheme="majorHAnsi" w:cstheme="majorHAnsi"/>
                <w:color w:val="000000"/>
                <w:lang w:val="en-US"/>
              </w:rPr>
              <w:t>Appropriateness as a tool for Principals and School Heads to monitor teacher performance</w:t>
            </w:r>
          </w:p>
        </w:tc>
        <w:tc>
          <w:tcPr>
            <w:tcW w:w="708" w:type="dxa"/>
            <w:vAlign w:val="center"/>
          </w:tcPr>
          <w:p w14:paraId="6DBDD384"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993" w:type="dxa"/>
            <w:vAlign w:val="center"/>
          </w:tcPr>
          <w:p w14:paraId="26684F03"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708" w:type="dxa"/>
          </w:tcPr>
          <w:p w14:paraId="0AABFAD6"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975" w:type="dxa"/>
            <w:vAlign w:val="center"/>
          </w:tcPr>
          <w:p w14:paraId="02C2A7EE"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r>
      <w:tr w:rsidR="008D0CAD" w:rsidRPr="006F3D3B" w14:paraId="66D1C172" w14:textId="77777777" w:rsidTr="009C64E9">
        <w:trPr>
          <w:trHeight w:val="282"/>
        </w:trPr>
        <w:tc>
          <w:tcPr>
            <w:tcW w:w="5853" w:type="dxa"/>
          </w:tcPr>
          <w:p w14:paraId="245FDD77" w14:textId="77777777" w:rsidR="008D0CAD" w:rsidRPr="006F3D3B" w:rsidRDefault="008D0CAD" w:rsidP="00DD08E3">
            <w:pPr>
              <w:spacing w:before="100" w:beforeAutospacing="1" w:after="100" w:afterAutospacing="1" w:line="360" w:lineRule="auto"/>
              <w:rPr>
                <w:rFonts w:asciiTheme="majorHAnsi" w:hAnsiTheme="majorHAnsi" w:cstheme="majorHAnsi"/>
                <w:lang w:val="en-US"/>
              </w:rPr>
            </w:pPr>
            <w:r w:rsidRPr="006F3D3B">
              <w:rPr>
                <w:rFonts w:asciiTheme="majorHAnsi" w:hAnsiTheme="majorHAnsi" w:cstheme="majorHAnsi"/>
                <w:lang w:val="en-US"/>
              </w:rPr>
              <w:t>Principals and School Heads’ acceptance of the tool</w:t>
            </w:r>
          </w:p>
        </w:tc>
        <w:tc>
          <w:tcPr>
            <w:tcW w:w="708" w:type="dxa"/>
            <w:vAlign w:val="center"/>
          </w:tcPr>
          <w:p w14:paraId="0CBFE3E9"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993" w:type="dxa"/>
            <w:vAlign w:val="center"/>
          </w:tcPr>
          <w:p w14:paraId="3897257E"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708" w:type="dxa"/>
          </w:tcPr>
          <w:p w14:paraId="19862BAE"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975" w:type="dxa"/>
            <w:vAlign w:val="center"/>
          </w:tcPr>
          <w:p w14:paraId="4B46665C"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r>
      <w:tr w:rsidR="008D0CAD" w:rsidRPr="006F3D3B" w14:paraId="6BA4E926" w14:textId="77777777" w:rsidTr="009C64E9">
        <w:trPr>
          <w:trHeight w:val="282"/>
        </w:trPr>
        <w:tc>
          <w:tcPr>
            <w:tcW w:w="5853" w:type="dxa"/>
          </w:tcPr>
          <w:p w14:paraId="17F70D14" w14:textId="77777777" w:rsidR="008D0CAD" w:rsidRPr="006F3D3B" w:rsidRDefault="008D0CAD" w:rsidP="00DD08E3">
            <w:pPr>
              <w:spacing w:before="100" w:beforeAutospacing="1" w:after="100" w:afterAutospacing="1" w:line="360" w:lineRule="auto"/>
              <w:rPr>
                <w:rFonts w:asciiTheme="majorHAnsi" w:hAnsiTheme="majorHAnsi" w:cstheme="majorHAnsi"/>
                <w:lang w:val="en-US"/>
              </w:rPr>
            </w:pPr>
            <w:r w:rsidRPr="006F3D3B">
              <w:rPr>
                <w:rFonts w:asciiTheme="majorHAnsi" w:hAnsiTheme="majorHAnsi" w:cstheme="majorHAnsi"/>
                <w:lang w:val="en-US"/>
              </w:rPr>
              <w:t>Teachers’ acceptance of the tool</w:t>
            </w:r>
          </w:p>
        </w:tc>
        <w:tc>
          <w:tcPr>
            <w:tcW w:w="708" w:type="dxa"/>
            <w:vAlign w:val="center"/>
          </w:tcPr>
          <w:p w14:paraId="7BBD89DC"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993" w:type="dxa"/>
            <w:vAlign w:val="center"/>
          </w:tcPr>
          <w:p w14:paraId="315EB5B5"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708" w:type="dxa"/>
          </w:tcPr>
          <w:p w14:paraId="196DB31A"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975" w:type="dxa"/>
            <w:vAlign w:val="center"/>
          </w:tcPr>
          <w:p w14:paraId="207CB7D3"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r>
      <w:tr w:rsidR="008D0CAD" w:rsidRPr="006F3D3B" w14:paraId="440B9A3C" w14:textId="77777777" w:rsidTr="009C64E9">
        <w:trPr>
          <w:trHeight w:val="282"/>
        </w:trPr>
        <w:tc>
          <w:tcPr>
            <w:tcW w:w="5853" w:type="dxa"/>
          </w:tcPr>
          <w:p w14:paraId="30914C4B" w14:textId="77777777" w:rsidR="008D0CAD" w:rsidRPr="006F3D3B" w:rsidRDefault="008D0CAD" w:rsidP="00DD08E3">
            <w:pPr>
              <w:spacing w:before="100" w:beforeAutospacing="1" w:after="100" w:afterAutospacing="1" w:line="360" w:lineRule="auto"/>
              <w:rPr>
                <w:rFonts w:asciiTheme="majorHAnsi" w:hAnsiTheme="majorHAnsi" w:cstheme="majorHAnsi"/>
                <w:lang w:val="en-US"/>
              </w:rPr>
            </w:pPr>
            <w:r w:rsidRPr="006F3D3B">
              <w:rPr>
                <w:rFonts w:asciiTheme="majorHAnsi" w:hAnsiTheme="majorHAnsi" w:cstheme="majorHAnsi"/>
                <w:lang w:val="en-US"/>
              </w:rPr>
              <w:t xml:space="preserve">Usefulness of the tool in improving school leadership and management </w:t>
            </w:r>
          </w:p>
        </w:tc>
        <w:tc>
          <w:tcPr>
            <w:tcW w:w="708" w:type="dxa"/>
            <w:vAlign w:val="center"/>
          </w:tcPr>
          <w:p w14:paraId="5128ABE4"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lang w:val="en-US"/>
              </w:rPr>
            </w:pPr>
            <w:r w:rsidRPr="006F3D3B">
              <w:rPr>
                <w:rFonts w:asciiTheme="majorHAnsi" w:eastAsiaTheme="minorHAnsi" w:hAnsiTheme="majorHAnsi" w:cstheme="majorHAnsi"/>
                <w:color w:val="000000" w:themeColor="text1"/>
                <w:lang w:val="en-US"/>
              </w:rPr>
              <w:t xml:space="preserve"> </w:t>
            </w:r>
          </w:p>
        </w:tc>
        <w:tc>
          <w:tcPr>
            <w:tcW w:w="993" w:type="dxa"/>
            <w:vAlign w:val="center"/>
          </w:tcPr>
          <w:p w14:paraId="20573115"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lang w:val="en-US"/>
              </w:rPr>
            </w:pPr>
            <w:r w:rsidRPr="006F3D3B">
              <w:rPr>
                <w:rFonts w:asciiTheme="majorHAnsi" w:eastAsiaTheme="minorHAnsi" w:hAnsiTheme="majorHAnsi" w:cstheme="majorHAnsi"/>
                <w:color w:val="000000" w:themeColor="text1"/>
                <w:lang w:val="en-US"/>
              </w:rPr>
              <w:t xml:space="preserve"> </w:t>
            </w:r>
          </w:p>
        </w:tc>
        <w:tc>
          <w:tcPr>
            <w:tcW w:w="708" w:type="dxa"/>
          </w:tcPr>
          <w:p w14:paraId="4C02B1A5"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975" w:type="dxa"/>
            <w:vAlign w:val="center"/>
          </w:tcPr>
          <w:p w14:paraId="1E65D791"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lang w:val="en-US"/>
              </w:rPr>
            </w:pPr>
            <w:r w:rsidRPr="006F3D3B">
              <w:rPr>
                <w:rFonts w:asciiTheme="majorHAnsi" w:eastAsiaTheme="minorHAnsi" w:hAnsiTheme="majorHAnsi" w:cstheme="majorHAnsi"/>
                <w:color w:val="000000" w:themeColor="text1"/>
                <w:lang w:val="en-US"/>
              </w:rPr>
              <w:t xml:space="preserve"> </w:t>
            </w:r>
          </w:p>
        </w:tc>
      </w:tr>
    </w:tbl>
    <w:p w14:paraId="14F45692" w14:textId="12B5F933" w:rsidR="008D0CAD" w:rsidRPr="006F3D3B" w:rsidRDefault="008D0CAD" w:rsidP="00DD08E3">
      <w:pPr>
        <w:numPr>
          <w:ilvl w:val="0"/>
          <w:numId w:val="81"/>
        </w:numPr>
        <w:spacing w:before="100" w:beforeAutospacing="1" w:after="100" w:afterAutospacing="1" w:line="360" w:lineRule="auto"/>
        <w:contextualSpacing/>
        <w:rPr>
          <w:rFonts w:asciiTheme="majorHAnsi" w:hAnsiTheme="majorHAnsi" w:cstheme="majorHAnsi"/>
          <w:bCs/>
          <w:color w:val="000000" w:themeColor="text1"/>
          <w:sz w:val="22"/>
          <w:szCs w:val="22"/>
          <w:lang w:val="en-US"/>
        </w:rPr>
      </w:pPr>
      <w:r w:rsidRPr="006F3D3B">
        <w:rPr>
          <w:rFonts w:asciiTheme="majorHAnsi" w:hAnsiTheme="majorHAnsi" w:cstheme="majorHAnsi"/>
          <w:snapToGrid w:val="0"/>
          <w:color w:val="000000" w:themeColor="text1"/>
          <w:sz w:val="22"/>
          <w:szCs w:val="22"/>
          <w:lang w:val="en-US"/>
        </w:rPr>
        <w:t xml:space="preserve">Have you initiated or made any improvements/innovations on the prescribed process of the </w:t>
      </w:r>
      <w:r w:rsidRPr="006F3D3B">
        <w:rPr>
          <w:rFonts w:asciiTheme="majorHAnsi" w:hAnsiTheme="majorHAnsi" w:cstheme="majorHAnsi"/>
          <w:bCs/>
          <w:snapToGrid w:val="0"/>
          <w:color w:val="000000"/>
          <w:sz w:val="22"/>
          <w:szCs w:val="22"/>
          <w:lang w:val="en-US"/>
        </w:rPr>
        <w:t>SAT</w:t>
      </w:r>
      <w:r w:rsidRPr="006F3D3B">
        <w:rPr>
          <w:rFonts w:asciiTheme="majorHAnsi" w:hAnsiTheme="majorHAnsi" w:cstheme="majorHAnsi"/>
          <w:snapToGrid w:val="0"/>
          <w:color w:val="000000" w:themeColor="text1"/>
          <w:sz w:val="22"/>
          <w:szCs w:val="22"/>
          <w:lang w:val="en-US"/>
        </w:rPr>
        <w:t>?</w:t>
      </w:r>
      <w:r w:rsidR="00D434EB">
        <w:rPr>
          <w:rFonts w:asciiTheme="majorHAnsi" w:hAnsiTheme="majorHAnsi" w:cstheme="majorHAnsi"/>
          <w:snapToGrid w:val="0"/>
          <w:color w:val="000000" w:themeColor="text1"/>
          <w:sz w:val="22"/>
          <w:szCs w:val="22"/>
          <w:lang w:val="en-US"/>
        </w:rPr>
        <w:t xml:space="preserve"> </w:t>
      </w:r>
      <w:r w:rsidRPr="006F3D3B">
        <w:rPr>
          <w:rFonts w:asciiTheme="majorHAnsi" w:hAnsiTheme="majorHAnsi" w:cstheme="majorHAnsi"/>
          <w:bCs/>
          <w:color w:val="000000" w:themeColor="text1"/>
          <w:sz w:val="22"/>
          <w:szCs w:val="22"/>
          <w:lang w:val="en-US"/>
        </w:rPr>
        <w:t>___ Yes</w:t>
      </w:r>
      <w:r w:rsidR="00D434EB">
        <w:rPr>
          <w:rFonts w:asciiTheme="majorHAnsi" w:hAnsiTheme="majorHAnsi" w:cstheme="majorHAnsi"/>
          <w:bCs/>
          <w:color w:val="000000" w:themeColor="text1"/>
          <w:sz w:val="22"/>
          <w:szCs w:val="22"/>
          <w:lang w:val="en-US"/>
        </w:rPr>
        <w:t xml:space="preserve"> </w:t>
      </w:r>
      <w:r w:rsidRPr="006F3D3B">
        <w:rPr>
          <w:rFonts w:asciiTheme="majorHAnsi" w:hAnsiTheme="majorHAnsi" w:cstheme="majorHAnsi"/>
          <w:bCs/>
          <w:color w:val="000000" w:themeColor="text1"/>
          <w:sz w:val="22"/>
          <w:szCs w:val="22"/>
          <w:lang w:val="en-US"/>
        </w:rPr>
        <w:t xml:space="preserve"> ___ No</w:t>
      </w:r>
    </w:p>
    <w:p w14:paraId="7CA9CF97" w14:textId="77777777" w:rsidR="008D0CAD" w:rsidRPr="006F3D3B" w:rsidRDefault="008D0CAD" w:rsidP="00DD08E3">
      <w:pPr>
        <w:spacing w:before="100" w:beforeAutospacing="1" w:after="100" w:afterAutospacing="1" w:line="360" w:lineRule="auto"/>
        <w:rPr>
          <w:rFonts w:asciiTheme="majorHAnsi" w:hAnsiTheme="majorHAnsi" w:cstheme="majorHAnsi"/>
          <w:bCs/>
          <w:color w:val="000000" w:themeColor="text1"/>
          <w:sz w:val="22"/>
          <w:szCs w:val="22"/>
          <w:lang w:val="en-US"/>
        </w:rPr>
      </w:pPr>
    </w:p>
    <w:p w14:paraId="198DC8AC" w14:textId="6A25E115" w:rsidR="008D0CAD" w:rsidRPr="006F3D3B" w:rsidRDefault="008D0CAD" w:rsidP="00DD08E3">
      <w:pPr>
        <w:numPr>
          <w:ilvl w:val="0"/>
          <w:numId w:val="81"/>
        </w:numPr>
        <w:spacing w:before="100" w:beforeAutospacing="1" w:after="100" w:afterAutospacing="1" w:line="360" w:lineRule="auto"/>
        <w:contextualSpacing/>
        <w:rPr>
          <w:rFonts w:asciiTheme="majorHAnsi" w:hAnsiTheme="majorHAnsi" w:cstheme="majorHAnsi"/>
          <w:snapToGrid w:val="0"/>
          <w:color w:val="000000"/>
          <w:sz w:val="22"/>
          <w:szCs w:val="22"/>
          <w:lang w:val="en-US"/>
        </w:rPr>
      </w:pPr>
      <w:r w:rsidRPr="006F3D3B">
        <w:rPr>
          <w:rFonts w:asciiTheme="majorHAnsi" w:hAnsiTheme="majorHAnsi" w:cstheme="majorHAnsi"/>
          <w:snapToGrid w:val="0"/>
          <w:color w:val="000000"/>
          <w:sz w:val="22"/>
          <w:szCs w:val="22"/>
          <w:lang w:val="en-US"/>
        </w:rPr>
        <w:t xml:space="preserve">Do your teachers comply with the requirements of the PPST-aligned </w:t>
      </w:r>
      <w:r w:rsidRPr="006F3D3B">
        <w:rPr>
          <w:rFonts w:asciiTheme="majorHAnsi" w:hAnsiTheme="majorHAnsi" w:cstheme="majorHAnsi"/>
          <w:bCs/>
          <w:snapToGrid w:val="0"/>
          <w:color w:val="000000"/>
          <w:sz w:val="22"/>
          <w:szCs w:val="22"/>
          <w:lang w:val="en-US"/>
        </w:rPr>
        <w:t>Individual Performance Commitment and Review Form (IPCRF)? ___ Yes</w:t>
      </w:r>
      <w:r w:rsidR="00D434EB">
        <w:rPr>
          <w:rFonts w:asciiTheme="majorHAnsi" w:hAnsiTheme="majorHAnsi" w:cstheme="majorHAnsi"/>
          <w:bCs/>
          <w:snapToGrid w:val="0"/>
          <w:color w:val="000000"/>
          <w:sz w:val="22"/>
          <w:szCs w:val="22"/>
          <w:lang w:val="en-US"/>
        </w:rPr>
        <w:t xml:space="preserve"> </w:t>
      </w:r>
      <w:r w:rsidRPr="006F3D3B">
        <w:rPr>
          <w:rFonts w:asciiTheme="majorHAnsi" w:hAnsiTheme="majorHAnsi" w:cstheme="majorHAnsi"/>
          <w:bCs/>
          <w:snapToGrid w:val="0"/>
          <w:color w:val="000000"/>
          <w:sz w:val="22"/>
          <w:szCs w:val="22"/>
          <w:lang w:val="en-US"/>
        </w:rPr>
        <w:t xml:space="preserve"> ___ No</w:t>
      </w:r>
    </w:p>
    <w:p w14:paraId="6F5828DA" w14:textId="77777777" w:rsidR="008D0CAD" w:rsidRPr="006F3D3B" w:rsidRDefault="008D0CAD" w:rsidP="00DD08E3">
      <w:pPr>
        <w:numPr>
          <w:ilvl w:val="1"/>
          <w:numId w:val="81"/>
        </w:numPr>
        <w:spacing w:before="100" w:beforeAutospacing="1" w:after="100" w:afterAutospacing="1" w:line="360" w:lineRule="auto"/>
        <w:ind w:left="851" w:hanging="491"/>
        <w:contextualSpacing/>
        <w:rPr>
          <w:rFonts w:asciiTheme="majorHAnsi" w:hAnsiTheme="majorHAnsi" w:cstheme="majorHAnsi"/>
          <w:snapToGrid w:val="0"/>
          <w:color w:val="000000"/>
          <w:sz w:val="22"/>
          <w:szCs w:val="22"/>
          <w:lang w:val="en-US"/>
        </w:rPr>
      </w:pPr>
      <w:r w:rsidRPr="006F3D3B">
        <w:rPr>
          <w:rFonts w:asciiTheme="majorHAnsi" w:hAnsiTheme="majorHAnsi" w:cstheme="majorHAnsi"/>
          <w:snapToGrid w:val="0"/>
          <w:sz w:val="22"/>
          <w:szCs w:val="22"/>
          <w:lang w:val="en-US"/>
        </w:rPr>
        <w:t xml:space="preserve">If Yes, on a scale of 1 to 4 (with 4 being Very High), </w:t>
      </w:r>
      <w:r w:rsidRPr="006F3D3B">
        <w:rPr>
          <w:rFonts w:asciiTheme="majorHAnsi" w:hAnsiTheme="majorHAnsi" w:cstheme="majorHAnsi"/>
          <w:snapToGrid w:val="0"/>
          <w:color w:val="000000"/>
          <w:sz w:val="22"/>
          <w:szCs w:val="22"/>
          <w:lang w:val="en-US"/>
        </w:rPr>
        <w:t xml:space="preserve">rate the </w:t>
      </w:r>
      <w:r w:rsidRPr="006F3D3B">
        <w:rPr>
          <w:rFonts w:asciiTheme="majorHAnsi" w:hAnsiTheme="majorHAnsi" w:cstheme="majorHAnsi"/>
          <w:bCs/>
          <w:snapToGrid w:val="0"/>
          <w:color w:val="000000"/>
          <w:sz w:val="22"/>
          <w:szCs w:val="22"/>
          <w:lang w:val="en-US"/>
        </w:rPr>
        <w:t xml:space="preserve">IPCRF </w:t>
      </w:r>
      <w:r w:rsidRPr="006F3D3B">
        <w:rPr>
          <w:rFonts w:asciiTheme="majorHAnsi" w:hAnsiTheme="majorHAnsi" w:cstheme="majorHAnsi"/>
          <w:snapToGrid w:val="0"/>
          <w:sz w:val="22"/>
          <w:szCs w:val="22"/>
          <w:lang w:val="en-US"/>
        </w:rPr>
        <w:t>in terms of its:</w:t>
      </w:r>
    </w:p>
    <w:tbl>
      <w:tblPr>
        <w:tblStyle w:val="TableGrid12"/>
        <w:tblW w:w="9255" w:type="dxa"/>
        <w:tblInd w:w="805" w:type="dxa"/>
        <w:tblLayout w:type="fixed"/>
        <w:tblLook w:val="04A0" w:firstRow="1" w:lastRow="0" w:firstColumn="1" w:lastColumn="0" w:noHBand="0" w:noVBand="1"/>
      </w:tblPr>
      <w:tblGrid>
        <w:gridCol w:w="5853"/>
        <w:gridCol w:w="708"/>
        <w:gridCol w:w="993"/>
        <w:gridCol w:w="708"/>
        <w:gridCol w:w="993"/>
      </w:tblGrid>
      <w:tr w:rsidR="008D0CAD" w:rsidRPr="006F3D3B" w14:paraId="1C8AF638" w14:textId="77777777" w:rsidTr="00F4751F">
        <w:trPr>
          <w:trHeight w:val="45"/>
          <w:tblHeader/>
        </w:trPr>
        <w:tc>
          <w:tcPr>
            <w:tcW w:w="5853" w:type="dxa"/>
            <w:shd w:val="clear" w:color="auto" w:fill="D9D9D9" w:themeFill="background1" w:themeFillShade="D9"/>
          </w:tcPr>
          <w:p w14:paraId="24242025"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lang w:val="en-US"/>
              </w:rPr>
            </w:pPr>
          </w:p>
        </w:tc>
        <w:tc>
          <w:tcPr>
            <w:tcW w:w="708" w:type="dxa"/>
            <w:shd w:val="clear" w:color="auto" w:fill="D9D9D9" w:themeFill="background1" w:themeFillShade="D9"/>
            <w:vAlign w:val="center"/>
          </w:tcPr>
          <w:p w14:paraId="18F1E31E"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r w:rsidRPr="006F3D3B">
              <w:rPr>
                <w:rFonts w:asciiTheme="majorHAnsi" w:eastAsiaTheme="minorHAnsi" w:hAnsiTheme="majorHAnsi" w:cstheme="majorHAnsi"/>
                <w:color w:val="000000" w:themeColor="text1"/>
                <w:lang w:val="en-US"/>
              </w:rPr>
              <w:t>Low (1)</w:t>
            </w:r>
          </w:p>
        </w:tc>
        <w:tc>
          <w:tcPr>
            <w:tcW w:w="993" w:type="dxa"/>
            <w:shd w:val="clear" w:color="auto" w:fill="D9D9D9" w:themeFill="background1" w:themeFillShade="D9"/>
            <w:vAlign w:val="center"/>
          </w:tcPr>
          <w:p w14:paraId="12A2A7CE"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r w:rsidRPr="006F3D3B">
              <w:rPr>
                <w:rFonts w:asciiTheme="majorHAnsi" w:eastAsiaTheme="minorHAnsi" w:hAnsiTheme="majorHAnsi" w:cstheme="majorHAnsi"/>
                <w:color w:val="000000" w:themeColor="text1"/>
                <w:lang w:val="en-US"/>
              </w:rPr>
              <w:t>Mode-rate (2)</w:t>
            </w:r>
          </w:p>
        </w:tc>
        <w:tc>
          <w:tcPr>
            <w:tcW w:w="708" w:type="dxa"/>
            <w:shd w:val="clear" w:color="auto" w:fill="D9D9D9" w:themeFill="background1" w:themeFillShade="D9"/>
            <w:vAlign w:val="center"/>
          </w:tcPr>
          <w:p w14:paraId="050C3C44"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r w:rsidRPr="006F3D3B">
              <w:rPr>
                <w:rFonts w:asciiTheme="majorHAnsi" w:eastAsiaTheme="minorHAnsi" w:hAnsiTheme="majorHAnsi" w:cstheme="majorHAnsi"/>
                <w:color w:val="000000" w:themeColor="text1"/>
                <w:lang w:val="en-US"/>
              </w:rPr>
              <w:t>High (3)</w:t>
            </w:r>
          </w:p>
        </w:tc>
        <w:tc>
          <w:tcPr>
            <w:tcW w:w="993" w:type="dxa"/>
            <w:shd w:val="clear" w:color="auto" w:fill="D9D9D9" w:themeFill="background1" w:themeFillShade="D9"/>
            <w:vAlign w:val="center"/>
          </w:tcPr>
          <w:p w14:paraId="4170B98C"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r w:rsidRPr="006F3D3B">
              <w:rPr>
                <w:rFonts w:asciiTheme="majorHAnsi" w:eastAsiaTheme="minorHAnsi" w:hAnsiTheme="majorHAnsi" w:cstheme="majorHAnsi"/>
                <w:color w:val="000000" w:themeColor="text1"/>
                <w:lang w:val="en-US"/>
              </w:rPr>
              <w:t>Very High (4)</w:t>
            </w:r>
          </w:p>
        </w:tc>
      </w:tr>
      <w:tr w:rsidR="008D0CAD" w:rsidRPr="006F3D3B" w14:paraId="1A3442B8" w14:textId="77777777" w:rsidTr="009C64E9">
        <w:trPr>
          <w:trHeight w:val="281"/>
        </w:trPr>
        <w:tc>
          <w:tcPr>
            <w:tcW w:w="5853" w:type="dxa"/>
          </w:tcPr>
          <w:p w14:paraId="1A148B54"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bCs/>
                <w:color w:val="000000"/>
                <w:lang w:val="en-US"/>
              </w:rPr>
            </w:pPr>
            <w:r w:rsidRPr="006F3D3B">
              <w:rPr>
                <w:rFonts w:asciiTheme="majorHAnsi" w:eastAsiaTheme="minorHAnsi" w:hAnsiTheme="majorHAnsi" w:cstheme="majorHAnsi"/>
                <w:color w:val="000000"/>
                <w:lang w:val="en-US"/>
              </w:rPr>
              <w:t>Appropriateness as a tool for Principals and School Heads to monitor teacher performance</w:t>
            </w:r>
          </w:p>
        </w:tc>
        <w:tc>
          <w:tcPr>
            <w:tcW w:w="708" w:type="dxa"/>
            <w:vAlign w:val="center"/>
          </w:tcPr>
          <w:p w14:paraId="2131C5D9"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993" w:type="dxa"/>
            <w:vAlign w:val="center"/>
          </w:tcPr>
          <w:p w14:paraId="0D7FCF61"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708" w:type="dxa"/>
          </w:tcPr>
          <w:p w14:paraId="7B4382E4"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993" w:type="dxa"/>
            <w:vAlign w:val="center"/>
          </w:tcPr>
          <w:p w14:paraId="6801700B"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r>
      <w:tr w:rsidR="008D0CAD" w:rsidRPr="006F3D3B" w14:paraId="2C64BB12" w14:textId="77777777" w:rsidTr="009C64E9">
        <w:trPr>
          <w:trHeight w:val="281"/>
        </w:trPr>
        <w:tc>
          <w:tcPr>
            <w:tcW w:w="5853" w:type="dxa"/>
          </w:tcPr>
          <w:p w14:paraId="61F055D2" w14:textId="77777777" w:rsidR="008D0CAD" w:rsidRPr="006F3D3B" w:rsidRDefault="008D0CAD" w:rsidP="00DD08E3">
            <w:pPr>
              <w:spacing w:before="100" w:beforeAutospacing="1" w:after="100" w:afterAutospacing="1" w:line="360" w:lineRule="auto"/>
              <w:rPr>
                <w:rFonts w:asciiTheme="majorHAnsi" w:hAnsiTheme="majorHAnsi" w:cstheme="majorHAnsi"/>
                <w:lang w:val="en-US"/>
              </w:rPr>
            </w:pPr>
            <w:r w:rsidRPr="006F3D3B">
              <w:rPr>
                <w:rFonts w:asciiTheme="majorHAnsi" w:hAnsiTheme="majorHAnsi" w:cstheme="majorHAnsi"/>
                <w:lang w:val="en-US"/>
              </w:rPr>
              <w:t>Principals and School Heads’ acceptance of the tool</w:t>
            </w:r>
          </w:p>
        </w:tc>
        <w:tc>
          <w:tcPr>
            <w:tcW w:w="708" w:type="dxa"/>
            <w:vAlign w:val="center"/>
          </w:tcPr>
          <w:p w14:paraId="5C195658"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993" w:type="dxa"/>
            <w:vAlign w:val="center"/>
          </w:tcPr>
          <w:p w14:paraId="53124DE0"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708" w:type="dxa"/>
          </w:tcPr>
          <w:p w14:paraId="00427766"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993" w:type="dxa"/>
            <w:vAlign w:val="center"/>
          </w:tcPr>
          <w:p w14:paraId="10EB428C"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r>
      <w:tr w:rsidR="008D0CAD" w:rsidRPr="006F3D3B" w14:paraId="23E91C2D" w14:textId="77777777" w:rsidTr="009C64E9">
        <w:trPr>
          <w:trHeight w:val="281"/>
        </w:trPr>
        <w:tc>
          <w:tcPr>
            <w:tcW w:w="5853" w:type="dxa"/>
          </w:tcPr>
          <w:p w14:paraId="2F696AF4" w14:textId="77777777" w:rsidR="008D0CAD" w:rsidRPr="006F3D3B" w:rsidRDefault="008D0CAD" w:rsidP="00DD08E3">
            <w:pPr>
              <w:spacing w:before="100" w:beforeAutospacing="1" w:after="100" w:afterAutospacing="1" w:line="360" w:lineRule="auto"/>
              <w:rPr>
                <w:rFonts w:asciiTheme="majorHAnsi" w:hAnsiTheme="majorHAnsi" w:cstheme="majorHAnsi"/>
                <w:lang w:val="en-US"/>
              </w:rPr>
            </w:pPr>
            <w:r w:rsidRPr="006F3D3B">
              <w:rPr>
                <w:rFonts w:asciiTheme="majorHAnsi" w:hAnsiTheme="majorHAnsi" w:cstheme="majorHAnsi"/>
                <w:lang w:val="en-US"/>
              </w:rPr>
              <w:t xml:space="preserve">Usefulness of the tool in improving school leadership and management </w:t>
            </w:r>
          </w:p>
        </w:tc>
        <w:tc>
          <w:tcPr>
            <w:tcW w:w="708" w:type="dxa"/>
            <w:vAlign w:val="center"/>
          </w:tcPr>
          <w:p w14:paraId="7A38CE48"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lang w:val="en-US"/>
              </w:rPr>
            </w:pPr>
            <w:r w:rsidRPr="006F3D3B">
              <w:rPr>
                <w:rFonts w:asciiTheme="majorHAnsi" w:eastAsiaTheme="minorHAnsi" w:hAnsiTheme="majorHAnsi" w:cstheme="majorHAnsi"/>
                <w:color w:val="000000" w:themeColor="text1"/>
                <w:lang w:val="en-US"/>
              </w:rPr>
              <w:t xml:space="preserve"> </w:t>
            </w:r>
          </w:p>
        </w:tc>
        <w:tc>
          <w:tcPr>
            <w:tcW w:w="993" w:type="dxa"/>
            <w:vAlign w:val="center"/>
          </w:tcPr>
          <w:p w14:paraId="704E9079"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lang w:val="en-US"/>
              </w:rPr>
            </w:pPr>
            <w:r w:rsidRPr="006F3D3B">
              <w:rPr>
                <w:rFonts w:asciiTheme="majorHAnsi" w:eastAsiaTheme="minorHAnsi" w:hAnsiTheme="majorHAnsi" w:cstheme="majorHAnsi"/>
                <w:color w:val="000000" w:themeColor="text1"/>
                <w:lang w:val="en-US"/>
              </w:rPr>
              <w:t xml:space="preserve"> </w:t>
            </w:r>
          </w:p>
        </w:tc>
        <w:tc>
          <w:tcPr>
            <w:tcW w:w="708" w:type="dxa"/>
          </w:tcPr>
          <w:p w14:paraId="11095697"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993" w:type="dxa"/>
            <w:vAlign w:val="center"/>
          </w:tcPr>
          <w:p w14:paraId="2E4B903C"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lang w:val="en-US"/>
              </w:rPr>
            </w:pPr>
            <w:r w:rsidRPr="006F3D3B">
              <w:rPr>
                <w:rFonts w:asciiTheme="majorHAnsi" w:eastAsiaTheme="minorHAnsi" w:hAnsiTheme="majorHAnsi" w:cstheme="majorHAnsi"/>
                <w:color w:val="000000" w:themeColor="text1"/>
                <w:lang w:val="en-US"/>
              </w:rPr>
              <w:t xml:space="preserve"> </w:t>
            </w:r>
          </w:p>
        </w:tc>
      </w:tr>
    </w:tbl>
    <w:p w14:paraId="03AFB996" w14:textId="4A38CE60" w:rsidR="008D0CAD" w:rsidRPr="006F3D3B" w:rsidRDefault="008D0CAD" w:rsidP="00DD08E3">
      <w:pPr>
        <w:numPr>
          <w:ilvl w:val="0"/>
          <w:numId w:val="81"/>
        </w:numPr>
        <w:spacing w:before="100" w:beforeAutospacing="1" w:after="100" w:afterAutospacing="1" w:line="360" w:lineRule="auto"/>
        <w:contextualSpacing/>
        <w:rPr>
          <w:rFonts w:asciiTheme="majorHAnsi" w:hAnsiTheme="majorHAnsi" w:cstheme="majorHAnsi"/>
          <w:bCs/>
          <w:color w:val="000000" w:themeColor="text1"/>
          <w:sz w:val="22"/>
          <w:szCs w:val="22"/>
          <w:lang w:val="en-US"/>
        </w:rPr>
      </w:pPr>
      <w:r w:rsidRPr="006F3D3B">
        <w:rPr>
          <w:rFonts w:asciiTheme="majorHAnsi" w:hAnsiTheme="majorHAnsi" w:cstheme="majorHAnsi"/>
          <w:snapToGrid w:val="0"/>
          <w:color w:val="000000" w:themeColor="text1"/>
          <w:sz w:val="22"/>
          <w:szCs w:val="22"/>
          <w:lang w:val="en-US"/>
        </w:rPr>
        <w:t xml:space="preserve">Have you initiated or made any improvements/innovations on the prescribed process of the </w:t>
      </w:r>
      <w:r w:rsidRPr="006F3D3B">
        <w:rPr>
          <w:rFonts w:asciiTheme="majorHAnsi" w:hAnsiTheme="majorHAnsi" w:cstheme="majorHAnsi"/>
          <w:bCs/>
          <w:snapToGrid w:val="0"/>
          <w:color w:val="000000"/>
          <w:sz w:val="22"/>
          <w:szCs w:val="22"/>
          <w:lang w:val="en-US"/>
        </w:rPr>
        <w:t>IPCRF</w:t>
      </w:r>
      <w:r w:rsidRPr="006F3D3B">
        <w:rPr>
          <w:rFonts w:asciiTheme="majorHAnsi" w:hAnsiTheme="majorHAnsi" w:cstheme="majorHAnsi"/>
          <w:snapToGrid w:val="0"/>
          <w:color w:val="000000" w:themeColor="text1"/>
          <w:sz w:val="22"/>
          <w:szCs w:val="22"/>
          <w:lang w:val="en-US"/>
        </w:rPr>
        <w:t xml:space="preserve">? </w:t>
      </w:r>
      <w:r w:rsidRPr="006F3D3B">
        <w:rPr>
          <w:rFonts w:asciiTheme="majorHAnsi" w:hAnsiTheme="majorHAnsi" w:cstheme="majorHAnsi"/>
          <w:bCs/>
          <w:color w:val="000000" w:themeColor="text1"/>
          <w:sz w:val="22"/>
          <w:szCs w:val="22"/>
          <w:lang w:val="en-US"/>
        </w:rPr>
        <w:t>___ Yes</w:t>
      </w:r>
      <w:r w:rsidR="00D434EB">
        <w:rPr>
          <w:rFonts w:asciiTheme="majorHAnsi" w:hAnsiTheme="majorHAnsi" w:cstheme="majorHAnsi"/>
          <w:bCs/>
          <w:color w:val="000000" w:themeColor="text1"/>
          <w:sz w:val="22"/>
          <w:szCs w:val="22"/>
          <w:lang w:val="en-US"/>
        </w:rPr>
        <w:t xml:space="preserve"> </w:t>
      </w:r>
      <w:r w:rsidRPr="006F3D3B">
        <w:rPr>
          <w:rFonts w:asciiTheme="majorHAnsi" w:hAnsiTheme="majorHAnsi" w:cstheme="majorHAnsi"/>
          <w:bCs/>
          <w:color w:val="000000" w:themeColor="text1"/>
          <w:sz w:val="22"/>
          <w:szCs w:val="22"/>
          <w:lang w:val="en-US"/>
        </w:rPr>
        <w:t xml:space="preserve"> ___ No</w:t>
      </w:r>
    </w:p>
    <w:p w14:paraId="585F8851" w14:textId="00521A5C" w:rsidR="008D0CAD" w:rsidRPr="006F3D3B" w:rsidRDefault="008D0CAD" w:rsidP="00DD08E3">
      <w:pPr>
        <w:numPr>
          <w:ilvl w:val="0"/>
          <w:numId w:val="81"/>
        </w:numPr>
        <w:spacing w:before="100" w:beforeAutospacing="1" w:after="100" w:afterAutospacing="1" w:line="360" w:lineRule="auto"/>
        <w:contextualSpacing/>
        <w:rPr>
          <w:rFonts w:asciiTheme="majorHAnsi" w:hAnsiTheme="majorHAnsi" w:cstheme="majorHAnsi"/>
          <w:snapToGrid w:val="0"/>
          <w:color w:val="000000"/>
          <w:sz w:val="22"/>
          <w:szCs w:val="22"/>
          <w:lang w:val="en-US"/>
        </w:rPr>
      </w:pPr>
      <w:r w:rsidRPr="006F3D3B">
        <w:rPr>
          <w:rFonts w:asciiTheme="majorHAnsi" w:hAnsiTheme="majorHAnsi" w:cstheme="majorHAnsi"/>
          <w:snapToGrid w:val="0"/>
          <w:color w:val="000000"/>
          <w:sz w:val="22"/>
          <w:szCs w:val="22"/>
          <w:lang w:val="en-US"/>
        </w:rPr>
        <w:t xml:space="preserve">Does your school use the </w:t>
      </w:r>
      <w:r w:rsidRPr="006F3D3B">
        <w:rPr>
          <w:rFonts w:asciiTheme="majorHAnsi" w:hAnsiTheme="majorHAnsi" w:cstheme="majorHAnsi"/>
          <w:b/>
          <w:snapToGrid w:val="0"/>
          <w:color w:val="000000"/>
          <w:sz w:val="22"/>
          <w:szCs w:val="22"/>
          <w:lang w:val="en-US"/>
        </w:rPr>
        <w:t>K-12 Curriculum Guides</w:t>
      </w:r>
      <w:r w:rsidRPr="006F3D3B">
        <w:rPr>
          <w:rFonts w:asciiTheme="majorHAnsi" w:hAnsiTheme="majorHAnsi" w:cstheme="majorHAnsi"/>
          <w:bCs/>
          <w:snapToGrid w:val="0"/>
          <w:color w:val="000000"/>
          <w:sz w:val="22"/>
          <w:szCs w:val="22"/>
          <w:lang w:val="en-US"/>
        </w:rPr>
        <w:t>? ___ Yes</w:t>
      </w:r>
      <w:r w:rsidR="00D434EB">
        <w:rPr>
          <w:rFonts w:asciiTheme="majorHAnsi" w:hAnsiTheme="majorHAnsi" w:cstheme="majorHAnsi"/>
          <w:bCs/>
          <w:snapToGrid w:val="0"/>
          <w:color w:val="000000"/>
          <w:sz w:val="22"/>
          <w:szCs w:val="22"/>
          <w:lang w:val="en-US"/>
        </w:rPr>
        <w:t xml:space="preserve"> </w:t>
      </w:r>
      <w:r w:rsidRPr="006F3D3B">
        <w:rPr>
          <w:rFonts w:asciiTheme="majorHAnsi" w:hAnsiTheme="majorHAnsi" w:cstheme="majorHAnsi"/>
          <w:bCs/>
          <w:snapToGrid w:val="0"/>
          <w:color w:val="000000"/>
          <w:sz w:val="22"/>
          <w:szCs w:val="22"/>
          <w:lang w:val="en-US"/>
        </w:rPr>
        <w:t xml:space="preserve"> ___ No</w:t>
      </w:r>
    </w:p>
    <w:p w14:paraId="63FD5E38" w14:textId="77777777" w:rsidR="008D0CAD" w:rsidRPr="006F3D3B" w:rsidRDefault="008D0CAD" w:rsidP="00DD08E3">
      <w:pPr>
        <w:numPr>
          <w:ilvl w:val="1"/>
          <w:numId w:val="81"/>
        </w:numPr>
        <w:spacing w:before="100" w:beforeAutospacing="1" w:after="100" w:afterAutospacing="1" w:line="360" w:lineRule="auto"/>
        <w:ind w:left="851" w:hanging="491"/>
        <w:contextualSpacing/>
        <w:rPr>
          <w:rFonts w:asciiTheme="majorHAnsi" w:hAnsiTheme="majorHAnsi" w:cstheme="majorHAnsi"/>
          <w:snapToGrid w:val="0"/>
          <w:color w:val="000000"/>
          <w:sz w:val="22"/>
          <w:szCs w:val="22"/>
          <w:lang w:val="en-US"/>
        </w:rPr>
      </w:pPr>
      <w:r w:rsidRPr="006F3D3B">
        <w:rPr>
          <w:rFonts w:asciiTheme="majorHAnsi" w:hAnsiTheme="majorHAnsi" w:cstheme="majorHAnsi"/>
          <w:snapToGrid w:val="0"/>
          <w:sz w:val="22"/>
          <w:szCs w:val="22"/>
          <w:lang w:val="en-US"/>
        </w:rPr>
        <w:t xml:space="preserve">If Yes, on a scale of 1 to 4 (with 4 being Very High), </w:t>
      </w:r>
      <w:r w:rsidRPr="006F3D3B">
        <w:rPr>
          <w:rFonts w:asciiTheme="majorHAnsi" w:hAnsiTheme="majorHAnsi" w:cstheme="majorHAnsi"/>
          <w:snapToGrid w:val="0"/>
          <w:color w:val="000000"/>
          <w:sz w:val="22"/>
          <w:szCs w:val="22"/>
          <w:lang w:val="en-US"/>
        </w:rPr>
        <w:t>rate the K-12 Curriculum Guides</w:t>
      </w:r>
      <w:r w:rsidRPr="006F3D3B">
        <w:rPr>
          <w:rFonts w:asciiTheme="majorHAnsi" w:hAnsiTheme="majorHAnsi" w:cstheme="majorHAnsi"/>
          <w:snapToGrid w:val="0"/>
          <w:sz w:val="22"/>
          <w:szCs w:val="22"/>
          <w:lang w:val="en-US"/>
        </w:rPr>
        <w:t xml:space="preserve"> in terms of its:</w:t>
      </w:r>
    </w:p>
    <w:tbl>
      <w:tblPr>
        <w:tblStyle w:val="TableGrid12"/>
        <w:tblW w:w="9255" w:type="dxa"/>
        <w:tblInd w:w="805" w:type="dxa"/>
        <w:tblLayout w:type="fixed"/>
        <w:tblLook w:val="04A0" w:firstRow="1" w:lastRow="0" w:firstColumn="1" w:lastColumn="0" w:noHBand="0" w:noVBand="1"/>
      </w:tblPr>
      <w:tblGrid>
        <w:gridCol w:w="5853"/>
        <w:gridCol w:w="708"/>
        <w:gridCol w:w="993"/>
        <w:gridCol w:w="708"/>
        <w:gridCol w:w="993"/>
      </w:tblGrid>
      <w:tr w:rsidR="008D0CAD" w:rsidRPr="006F3D3B" w14:paraId="6C8E9D5D" w14:textId="77777777" w:rsidTr="00F4751F">
        <w:trPr>
          <w:trHeight w:val="45"/>
          <w:tblHeader/>
        </w:trPr>
        <w:tc>
          <w:tcPr>
            <w:tcW w:w="5853" w:type="dxa"/>
            <w:shd w:val="clear" w:color="auto" w:fill="D9D9D9" w:themeFill="background1" w:themeFillShade="D9"/>
          </w:tcPr>
          <w:p w14:paraId="0A147F89"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lang w:val="en-US"/>
              </w:rPr>
            </w:pPr>
          </w:p>
        </w:tc>
        <w:tc>
          <w:tcPr>
            <w:tcW w:w="708" w:type="dxa"/>
            <w:shd w:val="clear" w:color="auto" w:fill="D9D9D9" w:themeFill="background1" w:themeFillShade="D9"/>
            <w:vAlign w:val="center"/>
          </w:tcPr>
          <w:p w14:paraId="4F6D618B"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r w:rsidRPr="006F3D3B">
              <w:rPr>
                <w:rFonts w:asciiTheme="majorHAnsi" w:eastAsiaTheme="minorHAnsi" w:hAnsiTheme="majorHAnsi" w:cstheme="majorHAnsi"/>
                <w:color w:val="000000" w:themeColor="text1"/>
                <w:lang w:val="en-US"/>
              </w:rPr>
              <w:t>Low (1)</w:t>
            </w:r>
          </w:p>
        </w:tc>
        <w:tc>
          <w:tcPr>
            <w:tcW w:w="993" w:type="dxa"/>
            <w:shd w:val="clear" w:color="auto" w:fill="D9D9D9" w:themeFill="background1" w:themeFillShade="D9"/>
            <w:vAlign w:val="center"/>
          </w:tcPr>
          <w:p w14:paraId="3243E2DF"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r w:rsidRPr="006F3D3B">
              <w:rPr>
                <w:rFonts w:asciiTheme="majorHAnsi" w:eastAsiaTheme="minorHAnsi" w:hAnsiTheme="majorHAnsi" w:cstheme="majorHAnsi"/>
                <w:color w:val="000000" w:themeColor="text1"/>
                <w:lang w:val="en-US"/>
              </w:rPr>
              <w:t>Mode-rate (2)</w:t>
            </w:r>
          </w:p>
        </w:tc>
        <w:tc>
          <w:tcPr>
            <w:tcW w:w="708" w:type="dxa"/>
            <w:shd w:val="clear" w:color="auto" w:fill="D9D9D9" w:themeFill="background1" w:themeFillShade="D9"/>
            <w:vAlign w:val="center"/>
          </w:tcPr>
          <w:p w14:paraId="71634286"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r w:rsidRPr="006F3D3B">
              <w:rPr>
                <w:rFonts w:asciiTheme="majorHAnsi" w:eastAsiaTheme="minorHAnsi" w:hAnsiTheme="majorHAnsi" w:cstheme="majorHAnsi"/>
                <w:color w:val="000000" w:themeColor="text1"/>
                <w:lang w:val="en-US"/>
              </w:rPr>
              <w:t>High (3)</w:t>
            </w:r>
          </w:p>
        </w:tc>
        <w:tc>
          <w:tcPr>
            <w:tcW w:w="993" w:type="dxa"/>
            <w:shd w:val="clear" w:color="auto" w:fill="D9D9D9" w:themeFill="background1" w:themeFillShade="D9"/>
            <w:vAlign w:val="center"/>
          </w:tcPr>
          <w:p w14:paraId="07FC13C2"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r w:rsidRPr="006F3D3B">
              <w:rPr>
                <w:rFonts w:asciiTheme="majorHAnsi" w:eastAsiaTheme="minorHAnsi" w:hAnsiTheme="majorHAnsi" w:cstheme="majorHAnsi"/>
                <w:color w:val="000000" w:themeColor="text1"/>
                <w:lang w:val="en-US"/>
              </w:rPr>
              <w:t>Very High (4)</w:t>
            </w:r>
          </w:p>
        </w:tc>
      </w:tr>
      <w:tr w:rsidR="008D0CAD" w:rsidRPr="006F3D3B" w14:paraId="0971BAB0" w14:textId="77777777" w:rsidTr="009C64E9">
        <w:trPr>
          <w:trHeight w:val="281"/>
        </w:trPr>
        <w:tc>
          <w:tcPr>
            <w:tcW w:w="5853" w:type="dxa"/>
          </w:tcPr>
          <w:p w14:paraId="3637F937"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bCs/>
                <w:color w:val="000000"/>
                <w:lang w:val="en-US"/>
              </w:rPr>
            </w:pPr>
            <w:r w:rsidRPr="006F3D3B">
              <w:rPr>
                <w:rFonts w:asciiTheme="majorHAnsi" w:eastAsiaTheme="minorHAnsi" w:hAnsiTheme="majorHAnsi" w:cstheme="majorHAnsi"/>
                <w:color w:val="000000"/>
                <w:lang w:val="en-US"/>
              </w:rPr>
              <w:t xml:space="preserve">Appropriateness as a teaching tool </w:t>
            </w:r>
            <w:r w:rsidRPr="006F3D3B">
              <w:rPr>
                <w:rFonts w:asciiTheme="majorHAnsi" w:eastAsiaTheme="minorHAnsi" w:hAnsiTheme="majorHAnsi" w:cstheme="majorHAnsi"/>
                <w:bCs/>
                <w:color w:val="000000"/>
                <w:lang w:val="en-US"/>
              </w:rPr>
              <w:t xml:space="preserve">for teachers </w:t>
            </w:r>
          </w:p>
        </w:tc>
        <w:tc>
          <w:tcPr>
            <w:tcW w:w="708" w:type="dxa"/>
            <w:vAlign w:val="center"/>
          </w:tcPr>
          <w:p w14:paraId="1C607359"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993" w:type="dxa"/>
            <w:vAlign w:val="center"/>
          </w:tcPr>
          <w:p w14:paraId="3B35D1EF"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708" w:type="dxa"/>
          </w:tcPr>
          <w:p w14:paraId="1AC384EF"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993" w:type="dxa"/>
            <w:vAlign w:val="center"/>
          </w:tcPr>
          <w:p w14:paraId="59CF86C3"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r>
      <w:tr w:rsidR="008D0CAD" w:rsidRPr="006F3D3B" w14:paraId="41F8E6FA" w14:textId="77777777" w:rsidTr="009C64E9">
        <w:trPr>
          <w:trHeight w:val="281"/>
        </w:trPr>
        <w:tc>
          <w:tcPr>
            <w:tcW w:w="5853" w:type="dxa"/>
          </w:tcPr>
          <w:p w14:paraId="6B13AF3A" w14:textId="77777777" w:rsidR="008D0CAD" w:rsidRPr="006F3D3B" w:rsidRDefault="008D0CAD" w:rsidP="00DD08E3">
            <w:pPr>
              <w:spacing w:before="100" w:beforeAutospacing="1" w:after="100" w:afterAutospacing="1" w:line="360" w:lineRule="auto"/>
              <w:rPr>
                <w:rFonts w:asciiTheme="majorHAnsi" w:hAnsiTheme="majorHAnsi" w:cstheme="majorHAnsi"/>
                <w:lang w:val="en-US"/>
              </w:rPr>
            </w:pPr>
            <w:r w:rsidRPr="006F3D3B">
              <w:rPr>
                <w:rFonts w:asciiTheme="majorHAnsi" w:hAnsiTheme="majorHAnsi" w:cstheme="majorHAnsi"/>
                <w:lang w:val="en-US"/>
              </w:rPr>
              <w:t>Acceptability of the tool to teachers</w:t>
            </w:r>
          </w:p>
        </w:tc>
        <w:tc>
          <w:tcPr>
            <w:tcW w:w="708" w:type="dxa"/>
            <w:vAlign w:val="center"/>
          </w:tcPr>
          <w:p w14:paraId="6D36343C"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993" w:type="dxa"/>
            <w:vAlign w:val="center"/>
          </w:tcPr>
          <w:p w14:paraId="537EDEDA"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708" w:type="dxa"/>
          </w:tcPr>
          <w:p w14:paraId="4538312E"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993" w:type="dxa"/>
            <w:vAlign w:val="center"/>
          </w:tcPr>
          <w:p w14:paraId="17C37F57"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r>
      <w:tr w:rsidR="008D0CAD" w:rsidRPr="006F3D3B" w14:paraId="3592E861" w14:textId="77777777" w:rsidTr="009C64E9">
        <w:trPr>
          <w:trHeight w:val="281"/>
        </w:trPr>
        <w:tc>
          <w:tcPr>
            <w:tcW w:w="5853" w:type="dxa"/>
          </w:tcPr>
          <w:p w14:paraId="04C1CB68" w14:textId="77777777" w:rsidR="008D0CAD" w:rsidRPr="006F3D3B" w:rsidRDefault="008D0CAD" w:rsidP="00DD08E3">
            <w:pPr>
              <w:spacing w:before="100" w:beforeAutospacing="1" w:after="100" w:afterAutospacing="1" w:line="360" w:lineRule="auto"/>
              <w:rPr>
                <w:rFonts w:asciiTheme="majorHAnsi" w:hAnsiTheme="majorHAnsi" w:cstheme="majorHAnsi"/>
                <w:lang w:val="en-US"/>
              </w:rPr>
            </w:pPr>
            <w:r w:rsidRPr="006F3D3B">
              <w:rPr>
                <w:rFonts w:asciiTheme="majorHAnsi" w:hAnsiTheme="majorHAnsi" w:cstheme="majorHAnsi"/>
                <w:lang w:val="en-US"/>
              </w:rPr>
              <w:t>Usefulness of the tool to teachers</w:t>
            </w:r>
          </w:p>
        </w:tc>
        <w:tc>
          <w:tcPr>
            <w:tcW w:w="708" w:type="dxa"/>
            <w:vAlign w:val="center"/>
          </w:tcPr>
          <w:p w14:paraId="19A50C4E"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lang w:val="en-US"/>
              </w:rPr>
            </w:pPr>
            <w:r w:rsidRPr="006F3D3B">
              <w:rPr>
                <w:rFonts w:asciiTheme="majorHAnsi" w:eastAsiaTheme="minorHAnsi" w:hAnsiTheme="majorHAnsi" w:cstheme="majorHAnsi"/>
                <w:color w:val="000000" w:themeColor="text1"/>
                <w:lang w:val="en-US"/>
              </w:rPr>
              <w:t xml:space="preserve"> </w:t>
            </w:r>
          </w:p>
        </w:tc>
        <w:tc>
          <w:tcPr>
            <w:tcW w:w="993" w:type="dxa"/>
            <w:vAlign w:val="center"/>
          </w:tcPr>
          <w:p w14:paraId="6BD5D6AA"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lang w:val="en-US"/>
              </w:rPr>
            </w:pPr>
            <w:r w:rsidRPr="006F3D3B">
              <w:rPr>
                <w:rFonts w:asciiTheme="majorHAnsi" w:eastAsiaTheme="minorHAnsi" w:hAnsiTheme="majorHAnsi" w:cstheme="majorHAnsi"/>
                <w:color w:val="000000" w:themeColor="text1"/>
                <w:lang w:val="en-US"/>
              </w:rPr>
              <w:t xml:space="preserve"> </w:t>
            </w:r>
          </w:p>
        </w:tc>
        <w:tc>
          <w:tcPr>
            <w:tcW w:w="708" w:type="dxa"/>
          </w:tcPr>
          <w:p w14:paraId="059918CB"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993" w:type="dxa"/>
            <w:vAlign w:val="center"/>
          </w:tcPr>
          <w:p w14:paraId="5D58DFE9"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lang w:val="en-US"/>
              </w:rPr>
            </w:pPr>
            <w:r w:rsidRPr="006F3D3B">
              <w:rPr>
                <w:rFonts w:asciiTheme="majorHAnsi" w:eastAsiaTheme="minorHAnsi" w:hAnsiTheme="majorHAnsi" w:cstheme="majorHAnsi"/>
                <w:color w:val="000000" w:themeColor="text1"/>
                <w:lang w:val="en-US"/>
              </w:rPr>
              <w:t xml:space="preserve"> </w:t>
            </w:r>
          </w:p>
        </w:tc>
      </w:tr>
    </w:tbl>
    <w:p w14:paraId="1F9D4F3D" w14:textId="68C9FAF5" w:rsidR="008D0CAD" w:rsidRPr="006F3D3B" w:rsidRDefault="008D0CAD" w:rsidP="00DD08E3">
      <w:pPr>
        <w:numPr>
          <w:ilvl w:val="0"/>
          <w:numId w:val="81"/>
        </w:numPr>
        <w:spacing w:before="100" w:beforeAutospacing="1" w:after="100" w:afterAutospacing="1" w:line="360" w:lineRule="auto"/>
        <w:contextualSpacing/>
        <w:rPr>
          <w:rFonts w:asciiTheme="majorHAnsi" w:hAnsiTheme="majorHAnsi" w:cstheme="majorHAnsi"/>
          <w:snapToGrid w:val="0"/>
          <w:color w:val="000000"/>
          <w:sz w:val="22"/>
          <w:szCs w:val="22"/>
          <w:lang w:val="en-US"/>
        </w:rPr>
      </w:pPr>
      <w:r w:rsidRPr="006F3D3B">
        <w:rPr>
          <w:rFonts w:asciiTheme="majorHAnsi" w:hAnsiTheme="majorHAnsi" w:cstheme="majorHAnsi"/>
          <w:snapToGrid w:val="0"/>
          <w:color w:val="000000"/>
          <w:sz w:val="22"/>
          <w:szCs w:val="22"/>
          <w:lang w:val="en-US"/>
        </w:rPr>
        <w:t xml:space="preserve">Does your school use the </w:t>
      </w:r>
      <w:r w:rsidRPr="006F3D3B">
        <w:rPr>
          <w:rFonts w:asciiTheme="majorHAnsi" w:hAnsiTheme="majorHAnsi" w:cstheme="majorHAnsi"/>
          <w:b/>
          <w:bCs/>
          <w:snapToGrid w:val="0"/>
          <w:color w:val="000000"/>
          <w:sz w:val="22"/>
          <w:szCs w:val="22"/>
          <w:lang w:val="en-US"/>
        </w:rPr>
        <w:t>Pedagogical Retooling in Mathematics, Languages and Sciences (PRIMALS)</w:t>
      </w:r>
      <w:r w:rsidRPr="006F3D3B">
        <w:rPr>
          <w:rFonts w:asciiTheme="majorHAnsi" w:hAnsiTheme="majorHAnsi" w:cstheme="majorHAnsi"/>
          <w:bCs/>
          <w:snapToGrid w:val="0"/>
          <w:color w:val="000000"/>
          <w:sz w:val="22"/>
          <w:szCs w:val="22"/>
          <w:lang w:val="en-US"/>
        </w:rPr>
        <w:t xml:space="preserve"> </w:t>
      </w:r>
      <w:r w:rsidRPr="006F3D3B">
        <w:rPr>
          <w:rFonts w:asciiTheme="majorHAnsi" w:hAnsiTheme="majorHAnsi" w:cstheme="majorHAnsi"/>
          <w:b/>
          <w:snapToGrid w:val="0"/>
          <w:color w:val="000000"/>
          <w:sz w:val="22"/>
          <w:szCs w:val="22"/>
          <w:lang w:val="en-US"/>
        </w:rPr>
        <w:t>1-10</w:t>
      </w:r>
      <w:r w:rsidRPr="006F3D3B">
        <w:rPr>
          <w:rFonts w:asciiTheme="majorHAnsi" w:hAnsiTheme="majorHAnsi" w:cstheme="majorHAnsi"/>
          <w:bCs/>
          <w:snapToGrid w:val="0"/>
          <w:color w:val="000000"/>
          <w:sz w:val="22"/>
          <w:szCs w:val="22"/>
          <w:lang w:val="en-US"/>
        </w:rPr>
        <w:t>? ___ Yes</w:t>
      </w:r>
      <w:r w:rsidR="00D434EB">
        <w:rPr>
          <w:rFonts w:asciiTheme="majorHAnsi" w:hAnsiTheme="majorHAnsi" w:cstheme="majorHAnsi"/>
          <w:bCs/>
          <w:snapToGrid w:val="0"/>
          <w:color w:val="000000"/>
          <w:sz w:val="22"/>
          <w:szCs w:val="22"/>
          <w:lang w:val="en-US"/>
        </w:rPr>
        <w:t xml:space="preserve"> </w:t>
      </w:r>
      <w:r w:rsidRPr="006F3D3B">
        <w:rPr>
          <w:rFonts w:asciiTheme="majorHAnsi" w:hAnsiTheme="majorHAnsi" w:cstheme="majorHAnsi"/>
          <w:bCs/>
          <w:snapToGrid w:val="0"/>
          <w:color w:val="000000"/>
          <w:sz w:val="22"/>
          <w:szCs w:val="22"/>
          <w:lang w:val="en-US"/>
        </w:rPr>
        <w:t xml:space="preserve"> ___ No</w:t>
      </w:r>
    </w:p>
    <w:p w14:paraId="70F58A09" w14:textId="77777777" w:rsidR="008D0CAD" w:rsidRPr="006F3D3B" w:rsidRDefault="008D0CAD" w:rsidP="00DD08E3">
      <w:pPr>
        <w:numPr>
          <w:ilvl w:val="1"/>
          <w:numId w:val="81"/>
        </w:numPr>
        <w:spacing w:before="100" w:beforeAutospacing="1" w:after="100" w:afterAutospacing="1" w:line="360" w:lineRule="auto"/>
        <w:ind w:left="851" w:hanging="491"/>
        <w:contextualSpacing/>
        <w:rPr>
          <w:rFonts w:asciiTheme="majorHAnsi" w:hAnsiTheme="majorHAnsi" w:cstheme="majorHAnsi"/>
          <w:snapToGrid w:val="0"/>
          <w:color w:val="000000"/>
          <w:sz w:val="22"/>
          <w:szCs w:val="22"/>
          <w:lang w:val="en-US"/>
        </w:rPr>
      </w:pPr>
      <w:r w:rsidRPr="006F3D3B">
        <w:rPr>
          <w:rFonts w:asciiTheme="majorHAnsi" w:hAnsiTheme="majorHAnsi" w:cstheme="majorHAnsi"/>
          <w:snapToGrid w:val="0"/>
          <w:sz w:val="22"/>
          <w:szCs w:val="22"/>
          <w:lang w:val="en-US"/>
        </w:rPr>
        <w:t xml:space="preserve">If Yes, on a scale of 1 to 4 (with 4 being Very High), </w:t>
      </w:r>
      <w:r w:rsidRPr="006F3D3B">
        <w:rPr>
          <w:rFonts w:asciiTheme="majorHAnsi" w:hAnsiTheme="majorHAnsi" w:cstheme="majorHAnsi"/>
          <w:snapToGrid w:val="0"/>
          <w:color w:val="000000"/>
          <w:sz w:val="22"/>
          <w:szCs w:val="22"/>
          <w:lang w:val="en-US"/>
        </w:rPr>
        <w:t>rate the PRIMALS</w:t>
      </w:r>
      <w:r w:rsidRPr="006F3D3B">
        <w:rPr>
          <w:rFonts w:asciiTheme="majorHAnsi" w:hAnsiTheme="majorHAnsi" w:cstheme="majorHAnsi"/>
          <w:snapToGrid w:val="0"/>
          <w:sz w:val="22"/>
          <w:szCs w:val="22"/>
          <w:lang w:val="en-US"/>
        </w:rPr>
        <w:t xml:space="preserve"> in terms of its:</w:t>
      </w:r>
    </w:p>
    <w:tbl>
      <w:tblPr>
        <w:tblStyle w:val="TableGrid12"/>
        <w:tblW w:w="9255" w:type="dxa"/>
        <w:tblInd w:w="805" w:type="dxa"/>
        <w:tblLayout w:type="fixed"/>
        <w:tblLook w:val="04A0" w:firstRow="1" w:lastRow="0" w:firstColumn="1" w:lastColumn="0" w:noHBand="0" w:noVBand="1"/>
      </w:tblPr>
      <w:tblGrid>
        <w:gridCol w:w="5853"/>
        <w:gridCol w:w="708"/>
        <w:gridCol w:w="993"/>
        <w:gridCol w:w="708"/>
        <w:gridCol w:w="993"/>
      </w:tblGrid>
      <w:tr w:rsidR="008D0CAD" w:rsidRPr="006F3D3B" w14:paraId="30498373" w14:textId="77777777" w:rsidTr="00F4751F">
        <w:trPr>
          <w:trHeight w:val="45"/>
          <w:tblHeader/>
        </w:trPr>
        <w:tc>
          <w:tcPr>
            <w:tcW w:w="5853" w:type="dxa"/>
            <w:shd w:val="clear" w:color="auto" w:fill="D9D9D9" w:themeFill="background1" w:themeFillShade="D9"/>
          </w:tcPr>
          <w:p w14:paraId="16BD61ED"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lang w:val="en-US"/>
              </w:rPr>
            </w:pPr>
          </w:p>
        </w:tc>
        <w:tc>
          <w:tcPr>
            <w:tcW w:w="708" w:type="dxa"/>
            <w:shd w:val="clear" w:color="auto" w:fill="D9D9D9" w:themeFill="background1" w:themeFillShade="D9"/>
            <w:vAlign w:val="center"/>
          </w:tcPr>
          <w:p w14:paraId="7A626EE0"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r w:rsidRPr="006F3D3B">
              <w:rPr>
                <w:rFonts w:asciiTheme="majorHAnsi" w:eastAsiaTheme="minorHAnsi" w:hAnsiTheme="majorHAnsi" w:cstheme="majorHAnsi"/>
                <w:color w:val="000000" w:themeColor="text1"/>
                <w:lang w:val="en-US"/>
              </w:rPr>
              <w:t>Low (1)</w:t>
            </w:r>
          </w:p>
        </w:tc>
        <w:tc>
          <w:tcPr>
            <w:tcW w:w="993" w:type="dxa"/>
            <w:shd w:val="clear" w:color="auto" w:fill="D9D9D9" w:themeFill="background1" w:themeFillShade="D9"/>
            <w:vAlign w:val="center"/>
          </w:tcPr>
          <w:p w14:paraId="2D4486E8"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r w:rsidRPr="006F3D3B">
              <w:rPr>
                <w:rFonts w:asciiTheme="majorHAnsi" w:eastAsiaTheme="minorHAnsi" w:hAnsiTheme="majorHAnsi" w:cstheme="majorHAnsi"/>
                <w:color w:val="000000" w:themeColor="text1"/>
                <w:lang w:val="en-US"/>
              </w:rPr>
              <w:t>Mode-rate (2)</w:t>
            </w:r>
          </w:p>
        </w:tc>
        <w:tc>
          <w:tcPr>
            <w:tcW w:w="708" w:type="dxa"/>
            <w:shd w:val="clear" w:color="auto" w:fill="D9D9D9" w:themeFill="background1" w:themeFillShade="D9"/>
            <w:vAlign w:val="center"/>
          </w:tcPr>
          <w:p w14:paraId="38F82BC1"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r w:rsidRPr="006F3D3B">
              <w:rPr>
                <w:rFonts w:asciiTheme="majorHAnsi" w:eastAsiaTheme="minorHAnsi" w:hAnsiTheme="majorHAnsi" w:cstheme="majorHAnsi"/>
                <w:color w:val="000000" w:themeColor="text1"/>
                <w:lang w:val="en-US"/>
              </w:rPr>
              <w:t>High (3)</w:t>
            </w:r>
          </w:p>
        </w:tc>
        <w:tc>
          <w:tcPr>
            <w:tcW w:w="993" w:type="dxa"/>
            <w:shd w:val="clear" w:color="auto" w:fill="D9D9D9" w:themeFill="background1" w:themeFillShade="D9"/>
            <w:vAlign w:val="center"/>
          </w:tcPr>
          <w:p w14:paraId="23B34ACE"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r w:rsidRPr="006F3D3B">
              <w:rPr>
                <w:rFonts w:asciiTheme="majorHAnsi" w:eastAsiaTheme="minorHAnsi" w:hAnsiTheme="majorHAnsi" w:cstheme="majorHAnsi"/>
                <w:color w:val="000000" w:themeColor="text1"/>
                <w:lang w:val="en-US"/>
              </w:rPr>
              <w:t>Very High (4)</w:t>
            </w:r>
          </w:p>
        </w:tc>
      </w:tr>
      <w:tr w:rsidR="008D0CAD" w:rsidRPr="006F3D3B" w14:paraId="5D700342" w14:textId="77777777" w:rsidTr="009C64E9">
        <w:trPr>
          <w:trHeight w:val="281"/>
        </w:trPr>
        <w:tc>
          <w:tcPr>
            <w:tcW w:w="5853" w:type="dxa"/>
          </w:tcPr>
          <w:p w14:paraId="0F44989D"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bCs/>
                <w:color w:val="000000"/>
                <w:lang w:val="en-US"/>
              </w:rPr>
            </w:pPr>
            <w:r w:rsidRPr="006F3D3B">
              <w:rPr>
                <w:rFonts w:asciiTheme="majorHAnsi" w:eastAsiaTheme="minorHAnsi" w:hAnsiTheme="majorHAnsi" w:cstheme="majorHAnsi"/>
                <w:color w:val="000000"/>
                <w:lang w:val="en-US"/>
              </w:rPr>
              <w:t xml:space="preserve">Appropriateness as a teaching tool </w:t>
            </w:r>
            <w:r w:rsidRPr="006F3D3B">
              <w:rPr>
                <w:rFonts w:asciiTheme="majorHAnsi" w:eastAsiaTheme="minorHAnsi" w:hAnsiTheme="majorHAnsi" w:cstheme="majorHAnsi"/>
                <w:bCs/>
                <w:color w:val="000000"/>
                <w:lang w:val="en-US"/>
              </w:rPr>
              <w:t xml:space="preserve">for teachers </w:t>
            </w:r>
          </w:p>
        </w:tc>
        <w:tc>
          <w:tcPr>
            <w:tcW w:w="708" w:type="dxa"/>
            <w:vAlign w:val="center"/>
          </w:tcPr>
          <w:p w14:paraId="559F7D99"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993" w:type="dxa"/>
            <w:vAlign w:val="center"/>
          </w:tcPr>
          <w:p w14:paraId="62A24A1F"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708" w:type="dxa"/>
          </w:tcPr>
          <w:p w14:paraId="0702648D"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993" w:type="dxa"/>
            <w:vAlign w:val="center"/>
          </w:tcPr>
          <w:p w14:paraId="01D82E2C"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r>
      <w:tr w:rsidR="008D0CAD" w:rsidRPr="006F3D3B" w14:paraId="141556C3" w14:textId="77777777" w:rsidTr="009C64E9">
        <w:trPr>
          <w:trHeight w:val="281"/>
        </w:trPr>
        <w:tc>
          <w:tcPr>
            <w:tcW w:w="5853" w:type="dxa"/>
          </w:tcPr>
          <w:p w14:paraId="2D39DA70" w14:textId="77777777" w:rsidR="008D0CAD" w:rsidRPr="006F3D3B" w:rsidRDefault="008D0CAD" w:rsidP="00DD08E3">
            <w:pPr>
              <w:spacing w:before="100" w:beforeAutospacing="1" w:after="100" w:afterAutospacing="1" w:line="360" w:lineRule="auto"/>
              <w:rPr>
                <w:rFonts w:asciiTheme="majorHAnsi" w:hAnsiTheme="majorHAnsi" w:cstheme="majorHAnsi"/>
                <w:lang w:val="en-US"/>
              </w:rPr>
            </w:pPr>
            <w:r w:rsidRPr="006F3D3B">
              <w:rPr>
                <w:rFonts w:asciiTheme="majorHAnsi" w:hAnsiTheme="majorHAnsi" w:cstheme="majorHAnsi"/>
                <w:lang w:val="en-US"/>
              </w:rPr>
              <w:t>Acceptability of the tool to teachers</w:t>
            </w:r>
          </w:p>
        </w:tc>
        <w:tc>
          <w:tcPr>
            <w:tcW w:w="708" w:type="dxa"/>
            <w:vAlign w:val="center"/>
          </w:tcPr>
          <w:p w14:paraId="1F7DD4E7"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993" w:type="dxa"/>
            <w:vAlign w:val="center"/>
          </w:tcPr>
          <w:p w14:paraId="395D7012"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708" w:type="dxa"/>
          </w:tcPr>
          <w:p w14:paraId="50A12753"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993" w:type="dxa"/>
            <w:vAlign w:val="center"/>
          </w:tcPr>
          <w:p w14:paraId="516E6B40"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r>
      <w:tr w:rsidR="008D0CAD" w:rsidRPr="006F3D3B" w14:paraId="2D24583D" w14:textId="77777777" w:rsidTr="009C64E9">
        <w:trPr>
          <w:trHeight w:val="281"/>
        </w:trPr>
        <w:tc>
          <w:tcPr>
            <w:tcW w:w="5853" w:type="dxa"/>
          </w:tcPr>
          <w:p w14:paraId="11AE2885" w14:textId="77777777" w:rsidR="008D0CAD" w:rsidRPr="006F3D3B" w:rsidRDefault="008D0CAD" w:rsidP="00DD08E3">
            <w:pPr>
              <w:spacing w:before="100" w:beforeAutospacing="1" w:after="100" w:afterAutospacing="1" w:line="360" w:lineRule="auto"/>
              <w:rPr>
                <w:rFonts w:asciiTheme="majorHAnsi" w:hAnsiTheme="majorHAnsi" w:cstheme="majorHAnsi"/>
                <w:lang w:val="en-US"/>
              </w:rPr>
            </w:pPr>
            <w:r w:rsidRPr="006F3D3B">
              <w:rPr>
                <w:rFonts w:asciiTheme="majorHAnsi" w:hAnsiTheme="majorHAnsi" w:cstheme="majorHAnsi"/>
                <w:lang w:val="en-US"/>
              </w:rPr>
              <w:t>Usefulness of the tool to teachers</w:t>
            </w:r>
          </w:p>
        </w:tc>
        <w:tc>
          <w:tcPr>
            <w:tcW w:w="708" w:type="dxa"/>
            <w:vAlign w:val="center"/>
          </w:tcPr>
          <w:p w14:paraId="61553A33"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lang w:val="en-US"/>
              </w:rPr>
            </w:pPr>
            <w:r w:rsidRPr="006F3D3B">
              <w:rPr>
                <w:rFonts w:asciiTheme="majorHAnsi" w:eastAsiaTheme="minorHAnsi" w:hAnsiTheme="majorHAnsi" w:cstheme="majorHAnsi"/>
                <w:color w:val="000000" w:themeColor="text1"/>
                <w:lang w:val="en-US"/>
              </w:rPr>
              <w:t xml:space="preserve"> </w:t>
            </w:r>
          </w:p>
        </w:tc>
        <w:tc>
          <w:tcPr>
            <w:tcW w:w="993" w:type="dxa"/>
            <w:vAlign w:val="center"/>
          </w:tcPr>
          <w:p w14:paraId="1DA6A619"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lang w:val="en-US"/>
              </w:rPr>
            </w:pPr>
            <w:r w:rsidRPr="006F3D3B">
              <w:rPr>
                <w:rFonts w:asciiTheme="majorHAnsi" w:eastAsiaTheme="minorHAnsi" w:hAnsiTheme="majorHAnsi" w:cstheme="majorHAnsi"/>
                <w:color w:val="000000" w:themeColor="text1"/>
                <w:lang w:val="en-US"/>
              </w:rPr>
              <w:t xml:space="preserve"> </w:t>
            </w:r>
          </w:p>
        </w:tc>
        <w:tc>
          <w:tcPr>
            <w:tcW w:w="708" w:type="dxa"/>
          </w:tcPr>
          <w:p w14:paraId="1D3ED251"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993" w:type="dxa"/>
            <w:vAlign w:val="center"/>
          </w:tcPr>
          <w:p w14:paraId="0E1740F9"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lang w:val="en-US"/>
              </w:rPr>
            </w:pPr>
            <w:r w:rsidRPr="006F3D3B">
              <w:rPr>
                <w:rFonts w:asciiTheme="majorHAnsi" w:eastAsiaTheme="minorHAnsi" w:hAnsiTheme="majorHAnsi" w:cstheme="majorHAnsi"/>
                <w:color w:val="000000" w:themeColor="text1"/>
                <w:lang w:val="en-US"/>
              </w:rPr>
              <w:t xml:space="preserve"> </w:t>
            </w:r>
          </w:p>
        </w:tc>
      </w:tr>
    </w:tbl>
    <w:p w14:paraId="24506EE6" w14:textId="27AD8A69" w:rsidR="008D0CAD" w:rsidRPr="006F3D3B" w:rsidRDefault="008D0CAD" w:rsidP="00DD08E3">
      <w:pPr>
        <w:numPr>
          <w:ilvl w:val="0"/>
          <w:numId w:val="81"/>
        </w:numPr>
        <w:spacing w:before="100" w:beforeAutospacing="1" w:after="100" w:afterAutospacing="1" w:line="360" w:lineRule="auto"/>
        <w:contextualSpacing/>
        <w:rPr>
          <w:rFonts w:asciiTheme="majorHAnsi" w:hAnsiTheme="majorHAnsi" w:cstheme="majorHAnsi"/>
          <w:snapToGrid w:val="0"/>
          <w:color w:val="000000"/>
          <w:sz w:val="22"/>
          <w:szCs w:val="22"/>
          <w:lang w:val="en-US"/>
        </w:rPr>
      </w:pPr>
      <w:r w:rsidRPr="006F3D3B">
        <w:rPr>
          <w:rFonts w:asciiTheme="majorHAnsi" w:hAnsiTheme="majorHAnsi" w:cstheme="majorHAnsi"/>
          <w:snapToGrid w:val="0"/>
          <w:color w:val="000000"/>
          <w:sz w:val="22"/>
          <w:szCs w:val="22"/>
          <w:lang w:val="en-US"/>
        </w:rPr>
        <w:t xml:space="preserve">Does your school use the </w:t>
      </w:r>
      <w:r w:rsidRPr="006F3D3B">
        <w:rPr>
          <w:rFonts w:asciiTheme="majorHAnsi" w:hAnsiTheme="majorHAnsi" w:cstheme="majorHAnsi"/>
          <w:b/>
          <w:snapToGrid w:val="0"/>
          <w:color w:val="000000"/>
          <w:sz w:val="22"/>
          <w:szCs w:val="22"/>
          <w:lang w:val="en-US"/>
        </w:rPr>
        <w:t>Classroom Assessment Resource Book (CARB)</w:t>
      </w:r>
      <w:r w:rsidRPr="006F3D3B">
        <w:rPr>
          <w:rFonts w:asciiTheme="majorHAnsi" w:hAnsiTheme="majorHAnsi" w:cstheme="majorHAnsi"/>
          <w:bCs/>
          <w:snapToGrid w:val="0"/>
          <w:color w:val="000000"/>
          <w:sz w:val="22"/>
          <w:szCs w:val="22"/>
          <w:lang w:val="en-US"/>
        </w:rPr>
        <w:t>? ___ Yes</w:t>
      </w:r>
      <w:r w:rsidR="00D434EB">
        <w:rPr>
          <w:rFonts w:asciiTheme="majorHAnsi" w:hAnsiTheme="majorHAnsi" w:cstheme="majorHAnsi"/>
          <w:bCs/>
          <w:snapToGrid w:val="0"/>
          <w:color w:val="000000"/>
          <w:sz w:val="22"/>
          <w:szCs w:val="22"/>
          <w:lang w:val="en-US"/>
        </w:rPr>
        <w:t xml:space="preserve"> </w:t>
      </w:r>
      <w:r w:rsidRPr="006F3D3B">
        <w:rPr>
          <w:rFonts w:asciiTheme="majorHAnsi" w:hAnsiTheme="majorHAnsi" w:cstheme="majorHAnsi"/>
          <w:bCs/>
          <w:snapToGrid w:val="0"/>
          <w:color w:val="000000"/>
          <w:sz w:val="22"/>
          <w:szCs w:val="22"/>
          <w:lang w:val="en-US"/>
        </w:rPr>
        <w:t xml:space="preserve"> ___ No</w:t>
      </w:r>
    </w:p>
    <w:p w14:paraId="3CBB2E38" w14:textId="77777777" w:rsidR="008D0CAD" w:rsidRPr="006F3D3B" w:rsidRDefault="008D0CAD" w:rsidP="00DD08E3">
      <w:pPr>
        <w:numPr>
          <w:ilvl w:val="1"/>
          <w:numId w:val="81"/>
        </w:numPr>
        <w:spacing w:before="100" w:beforeAutospacing="1" w:after="100" w:afterAutospacing="1" w:line="360" w:lineRule="auto"/>
        <w:ind w:left="851" w:hanging="491"/>
        <w:contextualSpacing/>
        <w:rPr>
          <w:rFonts w:asciiTheme="majorHAnsi" w:hAnsiTheme="majorHAnsi" w:cstheme="majorHAnsi"/>
          <w:snapToGrid w:val="0"/>
          <w:color w:val="000000"/>
          <w:sz w:val="22"/>
          <w:szCs w:val="22"/>
          <w:lang w:val="en-US"/>
        </w:rPr>
      </w:pPr>
      <w:r w:rsidRPr="006F3D3B">
        <w:rPr>
          <w:rFonts w:asciiTheme="majorHAnsi" w:hAnsiTheme="majorHAnsi" w:cstheme="majorHAnsi"/>
          <w:snapToGrid w:val="0"/>
          <w:sz w:val="22"/>
          <w:szCs w:val="22"/>
          <w:lang w:val="en-US"/>
        </w:rPr>
        <w:t xml:space="preserve">If Yes, on a scale of 1 to 4 (with 4 being Very High), </w:t>
      </w:r>
      <w:r w:rsidRPr="006F3D3B">
        <w:rPr>
          <w:rFonts w:asciiTheme="majorHAnsi" w:hAnsiTheme="majorHAnsi" w:cstheme="majorHAnsi"/>
          <w:snapToGrid w:val="0"/>
          <w:color w:val="000000"/>
          <w:sz w:val="22"/>
          <w:szCs w:val="22"/>
          <w:lang w:val="en-US"/>
        </w:rPr>
        <w:t xml:space="preserve">rate the </w:t>
      </w:r>
      <w:r w:rsidRPr="006F3D3B">
        <w:rPr>
          <w:rFonts w:asciiTheme="majorHAnsi" w:hAnsiTheme="majorHAnsi" w:cstheme="majorHAnsi"/>
          <w:bCs/>
          <w:snapToGrid w:val="0"/>
          <w:color w:val="000000"/>
          <w:sz w:val="22"/>
          <w:szCs w:val="22"/>
          <w:lang w:val="en-US"/>
        </w:rPr>
        <w:t xml:space="preserve">CARB </w:t>
      </w:r>
      <w:r w:rsidRPr="006F3D3B">
        <w:rPr>
          <w:rFonts w:asciiTheme="majorHAnsi" w:hAnsiTheme="majorHAnsi" w:cstheme="majorHAnsi"/>
          <w:snapToGrid w:val="0"/>
          <w:sz w:val="22"/>
          <w:szCs w:val="22"/>
          <w:lang w:val="en-US"/>
        </w:rPr>
        <w:t>in terms of its:</w:t>
      </w:r>
    </w:p>
    <w:tbl>
      <w:tblPr>
        <w:tblStyle w:val="TableGrid12"/>
        <w:tblW w:w="9255" w:type="dxa"/>
        <w:tblInd w:w="805" w:type="dxa"/>
        <w:tblLayout w:type="fixed"/>
        <w:tblLook w:val="04A0" w:firstRow="1" w:lastRow="0" w:firstColumn="1" w:lastColumn="0" w:noHBand="0" w:noVBand="1"/>
      </w:tblPr>
      <w:tblGrid>
        <w:gridCol w:w="5853"/>
        <w:gridCol w:w="708"/>
        <w:gridCol w:w="993"/>
        <w:gridCol w:w="708"/>
        <w:gridCol w:w="993"/>
      </w:tblGrid>
      <w:tr w:rsidR="008D0CAD" w:rsidRPr="006F3D3B" w14:paraId="01E5F4C6" w14:textId="77777777" w:rsidTr="00F4751F">
        <w:trPr>
          <w:trHeight w:val="45"/>
          <w:tblHeader/>
        </w:trPr>
        <w:tc>
          <w:tcPr>
            <w:tcW w:w="5853" w:type="dxa"/>
            <w:shd w:val="clear" w:color="auto" w:fill="D9D9D9" w:themeFill="background1" w:themeFillShade="D9"/>
          </w:tcPr>
          <w:p w14:paraId="498530E9"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lang w:val="en-US"/>
              </w:rPr>
            </w:pPr>
          </w:p>
        </w:tc>
        <w:tc>
          <w:tcPr>
            <w:tcW w:w="708" w:type="dxa"/>
            <w:shd w:val="clear" w:color="auto" w:fill="D9D9D9" w:themeFill="background1" w:themeFillShade="D9"/>
            <w:vAlign w:val="center"/>
          </w:tcPr>
          <w:p w14:paraId="15B24485"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r w:rsidRPr="006F3D3B">
              <w:rPr>
                <w:rFonts w:asciiTheme="majorHAnsi" w:eastAsiaTheme="minorHAnsi" w:hAnsiTheme="majorHAnsi" w:cstheme="majorHAnsi"/>
                <w:color w:val="000000" w:themeColor="text1"/>
                <w:lang w:val="en-US"/>
              </w:rPr>
              <w:t>Low (1)</w:t>
            </w:r>
          </w:p>
        </w:tc>
        <w:tc>
          <w:tcPr>
            <w:tcW w:w="993" w:type="dxa"/>
            <w:shd w:val="clear" w:color="auto" w:fill="D9D9D9" w:themeFill="background1" w:themeFillShade="D9"/>
            <w:vAlign w:val="center"/>
          </w:tcPr>
          <w:p w14:paraId="72FB6F0A"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r w:rsidRPr="006F3D3B">
              <w:rPr>
                <w:rFonts w:asciiTheme="majorHAnsi" w:eastAsiaTheme="minorHAnsi" w:hAnsiTheme="majorHAnsi" w:cstheme="majorHAnsi"/>
                <w:color w:val="000000" w:themeColor="text1"/>
                <w:lang w:val="en-US"/>
              </w:rPr>
              <w:t>Mode-rate (2)</w:t>
            </w:r>
          </w:p>
        </w:tc>
        <w:tc>
          <w:tcPr>
            <w:tcW w:w="708" w:type="dxa"/>
            <w:shd w:val="clear" w:color="auto" w:fill="D9D9D9" w:themeFill="background1" w:themeFillShade="D9"/>
            <w:vAlign w:val="center"/>
          </w:tcPr>
          <w:p w14:paraId="32DFD2D6"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r w:rsidRPr="006F3D3B">
              <w:rPr>
                <w:rFonts w:asciiTheme="majorHAnsi" w:eastAsiaTheme="minorHAnsi" w:hAnsiTheme="majorHAnsi" w:cstheme="majorHAnsi"/>
                <w:color w:val="000000" w:themeColor="text1"/>
                <w:lang w:val="en-US"/>
              </w:rPr>
              <w:t>High (3)</w:t>
            </w:r>
          </w:p>
        </w:tc>
        <w:tc>
          <w:tcPr>
            <w:tcW w:w="993" w:type="dxa"/>
            <w:shd w:val="clear" w:color="auto" w:fill="D9D9D9" w:themeFill="background1" w:themeFillShade="D9"/>
            <w:vAlign w:val="center"/>
          </w:tcPr>
          <w:p w14:paraId="4FA82D7D"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r w:rsidRPr="006F3D3B">
              <w:rPr>
                <w:rFonts w:asciiTheme="majorHAnsi" w:eastAsiaTheme="minorHAnsi" w:hAnsiTheme="majorHAnsi" w:cstheme="majorHAnsi"/>
                <w:color w:val="000000" w:themeColor="text1"/>
                <w:lang w:val="en-US"/>
              </w:rPr>
              <w:t>Very High (4)</w:t>
            </w:r>
          </w:p>
        </w:tc>
      </w:tr>
      <w:tr w:rsidR="008D0CAD" w:rsidRPr="006F3D3B" w14:paraId="3FFED821" w14:textId="77777777" w:rsidTr="00F4751F">
        <w:trPr>
          <w:trHeight w:val="281"/>
        </w:trPr>
        <w:tc>
          <w:tcPr>
            <w:tcW w:w="5853" w:type="dxa"/>
          </w:tcPr>
          <w:p w14:paraId="6DEBF3AB"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bCs/>
                <w:color w:val="000000"/>
                <w:lang w:val="en-US"/>
              </w:rPr>
            </w:pPr>
            <w:r w:rsidRPr="006F3D3B">
              <w:rPr>
                <w:rFonts w:asciiTheme="majorHAnsi" w:eastAsiaTheme="minorHAnsi" w:hAnsiTheme="majorHAnsi" w:cstheme="majorHAnsi"/>
                <w:color w:val="000000"/>
                <w:lang w:val="en-US"/>
              </w:rPr>
              <w:t xml:space="preserve">Appropriateness as an assessment tool </w:t>
            </w:r>
            <w:r w:rsidRPr="006F3D3B">
              <w:rPr>
                <w:rFonts w:asciiTheme="majorHAnsi" w:eastAsiaTheme="minorHAnsi" w:hAnsiTheme="majorHAnsi" w:cstheme="majorHAnsi"/>
                <w:bCs/>
                <w:color w:val="000000"/>
                <w:lang w:val="en-US"/>
              </w:rPr>
              <w:t xml:space="preserve">for teachers </w:t>
            </w:r>
          </w:p>
        </w:tc>
        <w:tc>
          <w:tcPr>
            <w:tcW w:w="708" w:type="dxa"/>
            <w:vAlign w:val="center"/>
          </w:tcPr>
          <w:p w14:paraId="0FEFD99E"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993" w:type="dxa"/>
            <w:vAlign w:val="center"/>
          </w:tcPr>
          <w:p w14:paraId="7F7C3B91"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708" w:type="dxa"/>
          </w:tcPr>
          <w:p w14:paraId="5C061A37"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993" w:type="dxa"/>
            <w:vAlign w:val="center"/>
          </w:tcPr>
          <w:p w14:paraId="7128A996"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r>
      <w:tr w:rsidR="008D0CAD" w:rsidRPr="006F3D3B" w14:paraId="128E36D8" w14:textId="77777777" w:rsidTr="00F4751F">
        <w:trPr>
          <w:trHeight w:val="281"/>
        </w:trPr>
        <w:tc>
          <w:tcPr>
            <w:tcW w:w="5853" w:type="dxa"/>
          </w:tcPr>
          <w:p w14:paraId="2EB62E8D" w14:textId="77777777" w:rsidR="008D0CAD" w:rsidRPr="006F3D3B" w:rsidRDefault="008D0CAD" w:rsidP="00DD08E3">
            <w:pPr>
              <w:spacing w:before="100" w:beforeAutospacing="1" w:after="100" w:afterAutospacing="1" w:line="360" w:lineRule="auto"/>
              <w:rPr>
                <w:rFonts w:asciiTheme="majorHAnsi" w:hAnsiTheme="majorHAnsi" w:cstheme="majorHAnsi"/>
                <w:lang w:val="en-US"/>
              </w:rPr>
            </w:pPr>
            <w:r w:rsidRPr="006F3D3B">
              <w:rPr>
                <w:rFonts w:asciiTheme="majorHAnsi" w:hAnsiTheme="majorHAnsi" w:cstheme="majorHAnsi"/>
                <w:lang w:val="en-US"/>
              </w:rPr>
              <w:t>Acceptability of the tool to teachers</w:t>
            </w:r>
          </w:p>
        </w:tc>
        <w:tc>
          <w:tcPr>
            <w:tcW w:w="708" w:type="dxa"/>
            <w:vAlign w:val="center"/>
          </w:tcPr>
          <w:p w14:paraId="1E24926B"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993" w:type="dxa"/>
            <w:vAlign w:val="center"/>
          </w:tcPr>
          <w:p w14:paraId="7C11D960"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708" w:type="dxa"/>
          </w:tcPr>
          <w:p w14:paraId="53CD3527"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993" w:type="dxa"/>
            <w:vAlign w:val="center"/>
          </w:tcPr>
          <w:p w14:paraId="027D0DFC"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r>
      <w:tr w:rsidR="008D0CAD" w:rsidRPr="006F3D3B" w14:paraId="74677D5E" w14:textId="77777777" w:rsidTr="00F4751F">
        <w:trPr>
          <w:trHeight w:val="281"/>
        </w:trPr>
        <w:tc>
          <w:tcPr>
            <w:tcW w:w="5853" w:type="dxa"/>
          </w:tcPr>
          <w:p w14:paraId="74DABC15" w14:textId="77777777" w:rsidR="008D0CAD" w:rsidRPr="006F3D3B" w:rsidRDefault="008D0CAD" w:rsidP="00DD08E3">
            <w:pPr>
              <w:spacing w:before="100" w:beforeAutospacing="1" w:after="100" w:afterAutospacing="1" w:line="360" w:lineRule="auto"/>
              <w:rPr>
                <w:rFonts w:asciiTheme="majorHAnsi" w:hAnsiTheme="majorHAnsi" w:cstheme="majorHAnsi"/>
                <w:lang w:val="en-US"/>
              </w:rPr>
            </w:pPr>
            <w:r w:rsidRPr="006F3D3B">
              <w:rPr>
                <w:rFonts w:asciiTheme="majorHAnsi" w:hAnsiTheme="majorHAnsi" w:cstheme="majorHAnsi"/>
                <w:lang w:val="en-US"/>
              </w:rPr>
              <w:t>Usefulness of the tool to teachers</w:t>
            </w:r>
          </w:p>
        </w:tc>
        <w:tc>
          <w:tcPr>
            <w:tcW w:w="708" w:type="dxa"/>
            <w:vAlign w:val="center"/>
          </w:tcPr>
          <w:p w14:paraId="066E6AA4"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lang w:val="en-US"/>
              </w:rPr>
            </w:pPr>
            <w:r w:rsidRPr="006F3D3B">
              <w:rPr>
                <w:rFonts w:asciiTheme="majorHAnsi" w:eastAsiaTheme="minorHAnsi" w:hAnsiTheme="majorHAnsi" w:cstheme="majorHAnsi"/>
                <w:color w:val="000000" w:themeColor="text1"/>
                <w:lang w:val="en-US"/>
              </w:rPr>
              <w:t xml:space="preserve"> </w:t>
            </w:r>
          </w:p>
        </w:tc>
        <w:tc>
          <w:tcPr>
            <w:tcW w:w="993" w:type="dxa"/>
            <w:vAlign w:val="center"/>
          </w:tcPr>
          <w:p w14:paraId="54FDD68A"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lang w:val="en-US"/>
              </w:rPr>
            </w:pPr>
            <w:r w:rsidRPr="006F3D3B">
              <w:rPr>
                <w:rFonts w:asciiTheme="majorHAnsi" w:eastAsiaTheme="minorHAnsi" w:hAnsiTheme="majorHAnsi" w:cstheme="majorHAnsi"/>
                <w:color w:val="000000" w:themeColor="text1"/>
                <w:lang w:val="en-US"/>
              </w:rPr>
              <w:t xml:space="preserve"> </w:t>
            </w:r>
          </w:p>
        </w:tc>
        <w:tc>
          <w:tcPr>
            <w:tcW w:w="708" w:type="dxa"/>
          </w:tcPr>
          <w:p w14:paraId="291C587B"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993" w:type="dxa"/>
            <w:vAlign w:val="center"/>
          </w:tcPr>
          <w:p w14:paraId="3F7B3330"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lang w:val="en-US"/>
              </w:rPr>
            </w:pPr>
            <w:r w:rsidRPr="006F3D3B">
              <w:rPr>
                <w:rFonts w:asciiTheme="majorHAnsi" w:eastAsiaTheme="minorHAnsi" w:hAnsiTheme="majorHAnsi" w:cstheme="majorHAnsi"/>
                <w:color w:val="000000" w:themeColor="text1"/>
                <w:lang w:val="en-US"/>
              </w:rPr>
              <w:t xml:space="preserve"> </w:t>
            </w:r>
          </w:p>
        </w:tc>
      </w:tr>
    </w:tbl>
    <w:p w14:paraId="09606A34" w14:textId="47A3943E" w:rsidR="008D0CAD" w:rsidRPr="006F3D3B" w:rsidRDefault="008D0CAD" w:rsidP="00DD08E3">
      <w:pPr>
        <w:numPr>
          <w:ilvl w:val="0"/>
          <w:numId w:val="81"/>
        </w:numPr>
        <w:spacing w:before="100" w:beforeAutospacing="1" w:after="100" w:afterAutospacing="1" w:line="360" w:lineRule="auto"/>
        <w:contextualSpacing/>
        <w:rPr>
          <w:rFonts w:asciiTheme="majorHAnsi" w:hAnsiTheme="majorHAnsi" w:cstheme="majorHAnsi"/>
          <w:bCs/>
          <w:color w:val="000000" w:themeColor="text1"/>
          <w:sz w:val="22"/>
          <w:szCs w:val="22"/>
          <w:lang w:val="en-US"/>
        </w:rPr>
      </w:pPr>
      <w:r w:rsidRPr="006F3D3B">
        <w:rPr>
          <w:rFonts w:asciiTheme="majorHAnsi" w:hAnsiTheme="majorHAnsi" w:cstheme="majorHAnsi"/>
          <w:snapToGrid w:val="0"/>
          <w:color w:val="000000" w:themeColor="text1"/>
          <w:sz w:val="22"/>
          <w:szCs w:val="22"/>
          <w:lang w:val="en-US"/>
        </w:rPr>
        <w:t xml:space="preserve">Have you initiated or made any improvements/innovations on the prescribed process of the </w:t>
      </w:r>
      <w:r w:rsidRPr="006F3D3B">
        <w:rPr>
          <w:rFonts w:asciiTheme="majorHAnsi" w:hAnsiTheme="majorHAnsi" w:cstheme="majorHAnsi"/>
          <w:snapToGrid w:val="0"/>
          <w:color w:val="000000"/>
          <w:sz w:val="22"/>
          <w:szCs w:val="22"/>
          <w:lang w:val="en-US"/>
        </w:rPr>
        <w:t>K-12 Curriculum Guides</w:t>
      </w:r>
      <w:r w:rsidRPr="006F3D3B">
        <w:rPr>
          <w:rFonts w:asciiTheme="majorHAnsi" w:hAnsiTheme="majorHAnsi" w:cstheme="majorHAnsi"/>
          <w:bCs/>
          <w:snapToGrid w:val="0"/>
          <w:color w:val="000000"/>
          <w:sz w:val="22"/>
          <w:szCs w:val="22"/>
          <w:lang w:val="en-US"/>
        </w:rPr>
        <w:t>, the PRIMALS or the CARB</w:t>
      </w:r>
      <w:r w:rsidRPr="006F3D3B">
        <w:rPr>
          <w:rFonts w:asciiTheme="majorHAnsi" w:hAnsiTheme="majorHAnsi" w:cstheme="majorHAnsi"/>
          <w:snapToGrid w:val="0"/>
          <w:color w:val="000000" w:themeColor="text1"/>
          <w:sz w:val="22"/>
          <w:szCs w:val="22"/>
          <w:lang w:val="en-US"/>
        </w:rPr>
        <w:t xml:space="preserve">? </w:t>
      </w:r>
      <w:r w:rsidRPr="006F3D3B">
        <w:rPr>
          <w:rFonts w:asciiTheme="majorHAnsi" w:hAnsiTheme="majorHAnsi" w:cstheme="majorHAnsi"/>
          <w:bCs/>
          <w:color w:val="000000" w:themeColor="text1"/>
          <w:sz w:val="22"/>
          <w:szCs w:val="22"/>
          <w:lang w:val="en-US"/>
        </w:rPr>
        <w:t>___ Yes</w:t>
      </w:r>
      <w:r w:rsidR="00D434EB">
        <w:rPr>
          <w:rFonts w:asciiTheme="majorHAnsi" w:hAnsiTheme="majorHAnsi" w:cstheme="majorHAnsi"/>
          <w:bCs/>
          <w:color w:val="000000" w:themeColor="text1"/>
          <w:sz w:val="22"/>
          <w:szCs w:val="22"/>
          <w:lang w:val="en-US"/>
        </w:rPr>
        <w:t xml:space="preserve"> </w:t>
      </w:r>
      <w:r w:rsidRPr="006F3D3B">
        <w:rPr>
          <w:rFonts w:asciiTheme="majorHAnsi" w:hAnsiTheme="majorHAnsi" w:cstheme="majorHAnsi"/>
          <w:bCs/>
          <w:color w:val="000000" w:themeColor="text1"/>
          <w:sz w:val="22"/>
          <w:szCs w:val="22"/>
          <w:lang w:val="en-US"/>
        </w:rPr>
        <w:t xml:space="preserve"> ___ No</w:t>
      </w:r>
    </w:p>
    <w:p w14:paraId="1E18FD9B" w14:textId="2C05BFE3" w:rsidR="008D0CAD" w:rsidRPr="006F3D3B" w:rsidRDefault="008D0CAD" w:rsidP="00DD08E3">
      <w:pPr>
        <w:numPr>
          <w:ilvl w:val="0"/>
          <w:numId w:val="81"/>
        </w:numPr>
        <w:spacing w:before="100" w:beforeAutospacing="1" w:after="100" w:afterAutospacing="1" w:line="360" w:lineRule="auto"/>
        <w:rPr>
          <w:rFonts w:asciiTheme="majorHAnsi" w:hAnsiTheme="majorHAnsi" w:cstheme="majorHAnsi"/>
          <w:bCs/>
          <w:snapToGrid w:val="0"/>
          <w:color w:val="000000"/>
          <w:sz w:val="22"/>
          <w:szCs w:val="22"/>
          <w:lang w:val="en-US"/>
        </w:rPr>
      </w:pPr>
      <w:r w:rsidRPr="006F3D3B">
        <w:rPr>
          <w:rFonts w:asciiTheme="majorHAnsi" w:hAnsiTheme="majorHAnsi" w:cstheme="majorHAnsi"/>
          <w:snapToGrid w:val="0"/>
          <w:color w:val="000000" w:themeColor="text1"/>
          <w:sz w:val="22"/>
          <w:szCs w:val="22"/>
        </w:rPr>
        <w:t>In the last five years, have you used the new Training Induction Program (TIP) modules in orienting and training your new/beginner teachers?</w:t>
      </w:r>
      <w:r w:rsidR="00D434EB">
        <w:rPr>
          <w:rFonts w:asciiTheme="majorHAnsi" w:hAnsiTheme="majorHAnsi" w:cstheme="majorHAnsi"/>
          <w:snapToGrid w:val="0"/>
          <w:color w:val="000000" w:themeColor="text1"/>
          <w:sz w:val="22"/>
          <w:szCs w:val="22"/>
        </w:rPr>
        <w:t xml:space="preserve"> </w:t>
      </w:r>
      <w:r w:rsidRPr="006F3D3B">
        <w:rPr>
          <w:rFonts w:asciiTheme="majorHAnsi" w:hAnsiTheme="majorHAnsi" w:cstheme="majorHAnsi"/>
          <w:snapToGrid w:val="0"/>
          <w:color w:val="000000" w:themeColor="text1"/>
          <w:sz w:val="22"/>
          <w:szCs w:val="22"/>
        </w:rPr>
        <w:t xml:space="preserve">___ Yes </w:t>
      </w:r>
      <w:r w:rsidRPr="006F3D3B">
        <w:rPr>
          <w:rFonts w:asciiTheme="majorHAnsi" w:hAnsiTheme="majorHAnsi" w:cstheme="majorHAnsi"/>
          <w:snapToGrid w:val="0"/>
          <w:color w:val="000000" w:themeColor="text1"/>
          <w:sz w:val="22"/>
          <w:szCs w:val="22"/>
        </w:rPr>
        <w:tab/>
        <w:t>___ No</w:t>
      </w:r>
      <w:r w:rsidR="00D434EB">
        <w:rPr>
          <w:rFonts w:asciiTheme="majorHAnsi" w:hAnsiTheme="majorHAnsi" w:cstheme="majorHAnsi"/>
          <w:snapToGrid w:val="0"/>
          <w:color w:val="000000" w:themeColor="text1"/>
          <w:sz w:val="22"/>
          <w:szCs w:val="22"/>
        </w:rPr>
        <w:t xml:space="preserve"> </w:t>
      </w:r>
      <w:r w:rsidRPr="006F3D3B">
        <w:rPr>
          <w:rFonts w:asciiTheme="majorHAnsi" w:hAnsiTheme="majorHAnsi" w:cstheme="majorHAnsi"/>
          <w:snapToGrid w:val="0"/>
          <w:color w:val="000000" w:themeColor="text1"/>
          <w:sz w:val="22"/>
          <w:szCs w:val="22"/>
        </w:rPr>
        <w:t xml:space="preserve"> </w:t>
      </w:r>
    </w:p>
    <w:p w14:paraId="3FC5EA0B" w14:textId="77777777" w:rsidR="008D0CAD" w:rsidRPr="006F3D3B" w:rsidRDefault="008D0CAD" w:rsidP="00DD08E3">
      <w:pPr>
        <w:numPr>
          <w:ilvl w:val="1"/>
          <w:numId w:val="81"/>
        </w:numPr>
        <w:spacing w:before="100" w:beforeAutospacing="1" w:after="100" w:afterAutospacing="1" w:line="360" w:lineRule="auto"/>
        <w:ind w:left="851" w:hanging="491"/>
        <w:contextualSpacing/>
        <w:rPr>
          <w:rFonts w:asciiTheme="majorHAnsi" w:hAnsiTheme="majorHAnsi" w:cstheme="majorHAnsi"/>
          <w:bCs/>
          <w:snapToGrid w:val="0"/>
          <w:color w:val="000000" w:themeColor="text1"/>
          <w:sz w:val="22"/>
          <w:szCs w:val="22"/>
          <w:lang w:val="en-US"/>
        </w:rPr>
      </w:pPr>
      <w:r w:rsidRPr="006F3D3B">
        <w:rPr>
          <w:rFonts w:asciiTheme="majorHAnsi" w:hAnsiTheme="majorHAnsi" w:cstheme="majorHAnsi"/>
          <w:snapToGrid w:val="0"/>
          <w:color w:val="000000" w:themeColor="text1"/>
          <w:sz w:val="22"/>
          <w:szCs w:val="22"/>
          <w:lang w:val="en-US"/>
        </w:rPr>
        <w:t xml:space="preserve">If Yes, </w:t>
      </w:r>
      <w:r w:rsidRPr="006F3D3B">
        <w:rPr>
          <w:rFonts w:asciiTheme="majorHAnsi" w:hAnsiTheme="majorHAnsi" w:cstheme="majorHAnsi"/>
          <w:snapToGrid w:val="0"/>
          <w:sz w:val="22"/>
          <w:szCs w:val="22"/>
          <w:lang w:val="en-US"/>
        </w:rPr>
        <w:t>on a scale of 1 to 4 (with 4 being Very High), rate the TIP</w:t>
      </w:r>
      <w:r w:rsidRPr="006F3D3B">
        <w:rPr>
          <w:rFonts w:asciiTheme="majorHAnsi" w:hAnsiTheme="majorHAnsi" w:cstheme="majorHAnsi"/>
          <w:snapToGrid w:val="0"/>
          <w:color w:val="000000" w:themeColor="text1"/>
          <w:sz w:val="22"/>
          <w:szCs w:val="22"/>
          <w:lang w:val="en-US"/>
        </w:rPr>
        <w:t xml:space="preserve"> in terms of its:</w:t>
      </w:r>
    </w:p>
    <w:tbl>
      <w:tblPr>
        <w:tblStyle w:val="TableGrid12"/>
        <w:tblW w:w="9255" w:type="dxa"/>
        <w:tblInd w:w="805" w:type="dxa"/>
        <w:tblLayout w:type="fixed"/>
        <w:tblLook w:val="04A0" w:firstRow="1" w:lastRow="0" w:firstColumn="1" w:lastColumn="0" w:noHBand="0" w:noVBand="1"/>
      </w:tblPr>
      <w:tblGrid>
        <w:gridCol w:w="5853"/>
        <w:gridCol w:w="708"/>
        <w:gridCol w:w="993"/>
        <w:gridCol w:w="708"/>
        <w:gridCol w:w="993"/>
      </w:tblGrid>
      <w:tr w:rsidR="008D0CAD" w:rsidRPr="006F3D3B" w14:paraId="76EA3991" w14:textId="77777777" w:rsidTr="00F4751F">
        <w:trPr>
          <w:trHeight w:val="45"/>
          <w:tblHeader/>
        </w:trPr>
        <w:tc>
          <w:tcPr>
            <w:tcW w:w="5853" w:type="dxa"/>
            <w:shd w:val="clear" w:color="auto" w:fill="D9D9D9" w:themeFill="background1" w:themeFillShade="D9"/>
          </w:tcPr>
          <w:p w14:paraId="26B06D75"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lang w:val="en-US"/>
              </w:rPr>
            </w:pPr>
          </w:p>
        </w:tc>
        <w:tc>
          <w:tcPr>
            <w:tcW w:w="708" w:type="dxa"/>
            <w:shd w:val="clear" w:color="auto" w:fill="D9D9D9" w:themeFill="background1" w:themeFillShade="D9"/>
            <w:vAlign w:val="center"/>
          </w:tcPr>
          <w:p w14:paraId="5963E397"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r w:rsidRPr="006F3D3B">
              <w:rPr>
                <w:rFonts w:asciiTheme="majorHAnsi" w:eastAsiaTheme="minorHAnsi" w:hAnsiTheme="majorHAnsi" w:cstheme="majorHAnsi"/>
                <w:color w:val="000000" w:themeColor="text1"/>
                <w:lang w:val="en-US"/>
              </w:rPr>
              <w:t>Low (1)</w:t>
            </w:r>
          </w:p>
        </w:tc>
        <w:tc>
          <w:tcPr>
            <w:tcW w:w="993" w:type="dxa"/>
            <w:shd w:val="clear" w:color="auto" w:fill="D9D9D9" w:themeFill="background1" w:themeFillShade="D9"/>
            <w:vAlign w:val="center"/>
          </w:tcPr>
          <w:p w14:paraId="681EF9A3"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r w:rsidRPr="006F3D3B">
              <w:rPr>
                <w:rFonts w:asciiTheme="majorHAnsi" w:eastAsiaTheme="minorHAnsi" w:hAnsiTheme="majorHAnsi" w:cstheme="majorHAnsi"/>
                <w:color w:val="000000" w:themeColor="text1"/>
                <w:lang w:val="en-US"/>
              </w:rPr>
              <w:t>Mode-rate (2)</w:t>
            </w:r>
          </w:p>
        </w:tc>
        <w:tc>
          <w:tcPr>
            <w:tcW w:w="708" w:type="dxa"/>
            <w:shd w:val="clear" w:color="auto" w:fill="D9D9D9" w:themeFill="background1" w:themeFillShade="D9"/>
            <w:vAlign w:val="center"/>
          </w:tcPr>
          <w:p w14:paraId="075BBDA2"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r w:rsidRPr="006F3D3B">
              <w:rPr>
                <w:rFonts w:asciiTheme="majorHAnsi" w:eastAsiaTheme="minorHAnsi" w:hAnsiTheme="majorHAnsi" w:cstheme="majorHAnsi"/>
                <w:color w:val="000000" w:themeColor="text1"/>
                <w:lang w:val="en-US"/>
              </w:rPr>
              <w:t>High (3)</w:t>
            </w:r>
          </w:p>
        </w:tc>
        <w:tc>
          <w:tcPr>
            <w:tcW w:w="993" w:type="dxa"/>
            <w:shd w:val="clear" w:color="auto" w:fill="D9D9D9" w:themeFill="background1" w:themeFillShade="D9"/>
            <w:vAlign w:val="center"/>
          </w:tcPr>
          <w:p w14:paraId="6586940A"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r w:rsidRPr="006F3D3B">
              <w:rPr>
                <w:rFonts w:asciiTheme="majorHAnsi" w:eastAsiaTheme="minorHAnsi" w:hAnsiTheme="majorHAnsi" w:cstheme="majorHAnsi"/>
                <w:color w:val="000000" w:themeColor="text1"/>
                <w:lang w:val="en-US"/>
              </w:rPr>
              <w:t>Very High (4)</w:t>
            </w:r>
          </w:p>
        </w:tc>
      </w:tr>
      <w:tr w:rsidR="008D0CAD" w:rsidRPr="006F3D3B" w14:paraId="0E858A5B" w14:textId="77777777" w:rsidTr="009C64E9">
        <w:trPr>
          <w:trHeight w:val="281"/>
        </w:trPr>
        <w:tc>
          <w:tcPr>
            <w:tcW w:w="5853" w:type="dxa"/>
          </w:tcPr>
          <w:p w14:paraId="12AF6C23"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bCs/>
                <w:color w:val="000000"/>
                <w:lang w:val="en-US"/>
              </w:rPr>
            </w:pPr>
            <w:r w:rsidRPr="006F3D3B">
              <w:rPr>
                <w:rFonts w:asciiTheme="majorHAnsi" w:eastAsiaTheme="minorHAnsi" w:hAnsiTheme="majorHAnsi" w:cstheme="majorHAnsi"/>
                <w:color w:val="000000"/>
                <w:lang w:val="en-US"/>
              </w:rPr>
              <w:t xml:space="preserve">Appropriateness as a tool </w:t>
            </w:r>
            <w:r w:rsidRPr="006F3D3B">
              <w:rPr>
                <w:rFonts w:asciiTheme="majorHAnsi" w:eastAsiaTheme="minorHAnsi" w:hAnsiTheme="majorHAnsi" w:cstheme="majorHAnsi"/>
                <w:bCs/>
                <w:color w:val="000000"/>
                <w:lang w:val="en-US"/>
              </w:rPr>
              <w:t xml:space="preserve">to train new teachers </w:t>
            </w:r>
          </w:p>
        </w:tc>
        <w:tc>
          <w:tcPr>
            <w:tcW w:w="708" w:type="dxa"/>
            <w:vAlign w:val="center"/>
          </w:tcPr>
          <w:p w14:paraId="6ED422F3"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993" w:type="dxa"/>
            <w:vAlign w:val="center"/>
          </w:tcPr>
          <w:p w14:paraId="5B4DB2DF"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708" w:type="dxa"/>
          </w:tcPr>
          <w:p w14:paraId="4ED3F2BF"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993" w:type="dxa"/>
            <w:vAlign w:val="center"/>
          </w:tcPr>
          <w:p w14:paraId="34146C25"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r>
      <w:tr w:rsidR="008D0CAD" w:rsidRPr="006F3D3B" w14:paraId="35849904" w14:textId="77777777" w:rsidTr="009C64E9">
        <w:trPr>
          <w:trHeight w:val="281"/>
        </w:trPr>
        <w:tc>
          <w:tcPr>
            <w:tcW w:w="5853" w:type="dxa"/>
          </w:tcPr>
          <w:p w14:paraId="34198067" w14:textId="77777777" w:rsidR="008D0CAD" w:rsidRPr="006F3D3B" w:rsidRDefault="008D0CAD" w:rsidP="00DD08E3">
            <w:pPr>
              <w:spacing w:before="100" w:beforeAutospacing="1" w:after="100" w:afterAutospacing="1" w:line="360" w:lineRule="auto"/>
              <w:rPr>
                <w:rFonts w:asciiTheme="majorHAnsi" w:hAnsiTheme="majorHAnsi" w:cstheme="majorHAnsi"/>
                <w:lang w:val="en-US"/>
              </w:rPr>
            </w:pPr>
            <w:r w:rsidRPr="006F3D3B">
              <w:rPr>
                <w:rFonts w:asciiTheme="majorHAnsi" w:hAnsiTheme="majorHAnsi" w:cstheme="majorHAnsi"/>
                <w:lang w:val="en-US"/>
              </w:rPr>
              <w:t>Acceptability of modules and process to Principals/School Heads</w:t>
            </w:r>
          </w:p>
        </w:tc>
        <w:tc>
          <w:tcPr>
            <w:tcW w:w="708" w:type="dxa"/>
            <w:vAlign w:val="center"/>
          </w:tcPr>
          <w:p w14:paraId="515FC3DD"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993" w:type="dxa"/>
            <w:vAlign w:val="center"/>
          </w:tcPr>
          <w:p w14:paraId="61E9C3F5"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708" w:type="dxa"/>
          </w:tcPr>
          <w:p w14:paraId="600F8391"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993" w:type="dxa"/>
            <w:vAlign w:val="center"/>
          </w:tcPr>
          <w:p w14:paraId="4E372B4A"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r>
      <w:tr w:rsidR="008D0CAD" w:rsidRPr="006F3D3B" w14:paraId="4FB57477" w14:textId="77777777" w:rsidTr="009C64E9">
        <w:trPr>
          <w:trHeight w:val="281"/>
        </w:trPr>
        <w:tc>
          <w:tcPr>
            <w:tcW w:w="5853" w:type="dxa"/>
          </w:tcPr>
          <w:p w14:paraId="3AEEEDD8" w14:textId="77777777" w:rsidR="008D0CAD" w:rsidRPr="006F3D3B" w:rsidRDefault="008D0CAD" w:rsidP="00DD08E3">
            <w:pPr>
              <w:spacing w:before="100" w:beforeAutospacing="1" w:after="100" w:afterAutospacing="1" w:line="360" w:lineRule="auto"/>
              <w:rPr>
                <w:rFonts w:asciiTheme="majorHAnsi" w:hAnsiTheme="majorHAnsi" w:cstheme="majorHAnsi"/>
                <w:lang w:val="en-US"/>
              </w:rPr>
            </w:pPr>
            <w:r w:rsidRPr="006F3D3B">
              <w:rPr>
                <w:rFonts w:asciiTheme="majorHAnsi" w:hAnsiTheme="majorHAnsi" w:cstheme="majorHAnsi"/>
                <w:lang w:val="en-US"/>
              </w:rPr>
              <w:t>Usefulness to your work as Principal/School Head</w:t>
            </w:r>
          </w:p>
        </w:tc>
        <w:tc>
          <w:tcPr>
            <w:tcW w:w="708" w:type="dxa"/>
            <w:vAlign w:val="center"/>
          </w:tcPr>
          <w:p w14:paraId="7B274491"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lang w:val="en-US"/>
              </w:rPr>
            </w:pPr>
            <w:r w:rsidRPr="006F3D3B">
              <w:rPr>
                <w:rFonts w:asciiTheme="majorHAnsi" w:eastAsiaTheme="minorHAnsi" w:hAnsiTheme="majorHAnsi" w:cstheme="majorHAnsi"/>
                <w:color w:val="000000" w:themeColor="text1"/>
                <w:lang w:val="en-US"/>
              </w:rPr>
              <w:t xml:space="preserve"> </w:t>
            </w:r>
          </w:p>
        </w:tc>
        <w:tc>
          <w:tcPr>
            <w:tcW w:w="993" w:type="dxa"/>
            <w:vAlign w:val="center"/>
          </w:tcPr>
          <w:p w14:paraId="2C7E6B5C"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lang w:val="en-US"/>
              </w:rPr>
            </w:pPr>
            <w:r w:rsidRPr="006F3D3B">
              <w:rPr>
                <w:rFonts w:asciiTheme="majorHAnsi" w:eastAsiaTheme="minorHAnsi" w:hAnsiTheme="majorHAnsi" w:cstheme="majorHAnsi"/>
                <w:color w:val="000000" w:themeColor="text1"/>
                <w:lang w:val="en-US"/>
              </w:rPr>
              <w:t xml:space="preserve"> </w:t>
            </w:r>
          </w:p>
        </w:tc>
        <w:tc>
          <w:tcPr>
            <w:tcW w:w="708" w:type="dxa"/>
          </w:tcPr>
          <w:p w14:paraId="08E9657E"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993" w:type="dxa"/>
            <w:vAlign w:val="center"/>
          </w:tcPr>
          <w:p w14:paraId="7CE747AB"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lang w:val="en-US"/>
              </w:rPr>
            </w:pPr>
            <w:r w:rsidRPr="006F3D3B">
              <w:rPr>
                <w:rFonts w:asciiTheme="majorHAnsi" w:eastAsiaTheme="minorHAnsi" w:hAnsiTheme="majorHAnsi" w:cstheme="majorHAnsi"/>
                <w:color w:val="000000" w:themeColor="text1"/>
                <w:lang w:val="en-US"/>
              </w:rPr>
              <w:t xml:space="preserve"> </w:t>
            </w:r>
          </w:p>
        </w:tc>
      </w:tr>
      <w:tr w:rsidR="008D0CAD" w:rsidRPr="006F3D3B" w14:paraId="322C88D8" w14:textId="77777777" w:rsidTr="009C64E9">
        <w:trPr>
          <w:trHeight w:val="281"/>
        </w:trPr>
        <w:tc>
          <w:tcPr>
            <w:tcW w:w="5853" w:type="dxa"/>
          </w:tcPr>
          <w:p w14:paraId="7F41D11E" w14:textId="77777777" w:rsidR="008D0CAD" w:rsidRPr="006F3D3B" w:rsidRDefault="008D0CAD" w:rsidP="00DD08E3">
            <w:pPr>
              <w:spacing w:before="100" w:beforeAutospacing="1" w:after="100" w:afterAutospacing="1" w:line="360" w:lineRule="auto"/>
              <w:rPr>
                <w:rFonts w:asciiTheme="majorHAnsi" w:hAnsiTheme="majorHAnsi" w:cstheme="majorHAnsi"/>
                <w:lang w:val="en-US"/>
              </w:rPr>
            </w:pPr>
            <w:r w:rsidRPr="006F3D3B">
              <w:rPr>
                <w:rFonts w:asciiTheme="majorHAnsi" w:hAnsiTheme="majorHAnsi" w:cstheme="majorHAnsi"/>
                <w:lang w:val="en-US"/>
              </w:rPr>
              <w:t>Contribution of modules to your improving your leadership and management competencies</w:t>
            </w:r>
          </w:p>
        </w:tc>
        <w:tc>
          <w:tcPr>
            <w:tcW w:w="708" w:type="dxa"/>
            <w:vAlign w:val="center"/>
          </w:tcPr>
          <w:p w14:paraId="1B006E93"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993" w:type="dxa"/>
            <w:vAlign w:val="center"/>
          </w:tcPr>
          <w:p w14:paraId="7A9ECED9"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708" w:type="dxa"/>
          </w:tcPr>
          <w:p w14:paraId="397245AE"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993" w:type="dxa"/>
            <w:vAlign w:val="center"/>
          </w:tcPr>
          <w:p w14:paraId="6FE7FEF2"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r>
    </w:tbl>
    <w:p w14:paraId="6C7FDC07" w14:textId="3FD29C6C" w:rsidR="008D0CAD" w:rsidRPr="006F3D3B" w:rsidRDefault="008D0CAD" w:rsidP="00DD08E3">
      <w:pPr>
        <w:numPr>
          <w:ilvl w:val="0"/>
          <w:numId w:val="81"/>
        </w:numPr>
        <w:spacing w:before="100" w:beforeAutospacing="1" w:after="100" w:afterAutospacing="1" w:line="360" w:lineRule="auto"/>
        <w:contextualSpacing/>
        <w:rPr>
          <w:rFonts w:asciiTheme="majorHAnsi" w:hAnsiTheme="majorHAnsi" w:cstheme="majorHAnsi"/>
          <w:bCs/>
          <w:color w:val="000000" w:themeColor="text1"/>
          <w:sz w:val="22"/>
          <w:szCs w:val="22"/>
          <w:lang w:val="en-US"/>
        </w:rPr>
      </w:pPr>
      <w:r w:rsidRPr="006F3D3B">
        <w:rPr>
          <w:rFonts w:asciiTheme="majorHAnsi" w:hAnsiTheme="majorHAnsi" w:cstheme="majorHAnsi"/>
          <w:snapToGrid w:val="0"/>
          <w:color w:val="000000" w:themeColor="text1"/>
          <w:sz w:val="22"/>
          <w:szCs w:val="22"/>
          <w:lang w:val="en-US"/>
        </w:rPr>
        <w:t xml:space="preserve">Have you initiated or made any improvements/innovations on the prescribed process of the </w:t>
      </w:r>
      <w:r w:rsidRPr="006F3D3B">
        <w:rPr>
          <w:rFonts w:asciiTheme="majorHAnsi" w:hAnsiTheme="majorHAnsi" w:cstheme="majorHAnsi"/>
          <w:bCs/>
          <w:snapToGrid w:val="0"/>
          <w:color w:val="000000"/>
          <w:sz w:val="22"/>
          <w:szCs w:val="22"/>
          <w:lang w:val="en-US"/>
        </w:rPr>
        <w:t>TIP</w:t>
      </w:r>
      <w:r w:rsidRPr="006F3D3B">
        <w:rPr>
          <w:rFonts w:asciiTheme="majorHAnsi" w:hAnsiTheme="majorHAnsi" w:cstheme="majorHAnsi"/>
          <w:snapToGrid w:val="0"/>
          <w:color w:val="000000" w:themeColor="text1"/>
          <w:sz w:val="22"/>
          <w:szCs w:val="22"/>
          <w:lang w:val="en-US"/>
        </w:rPr>
        <w:t>?</w:t>
      </w:r>
      <w:r w:rsidR="00D434EB">
        <w:rPr>
          <w:rFonts w:asciiTheme="majorHAnsi" w:hAnsiTheme="majorHAnsi" w:cstheme="majorHAnsi"/>
          <w:snapToGrid w:val="0"/>
          <w:color w:val="000000" w:themeColor="text1"/>
          <w:sz w:val="22"/>
          <w:szCs w:val="22"/>
          <w:lang w:val="en-US"/>
        </w:rPr>
        <w:t xml:space="preserve"> </w:t>
      </w:r>
      <w:r w:rsidRPr="006F3D3B">
        <w:rPr>
          <w:rFonts w:asciiTheme="majorHAnsi" w:hAnsiTheme="majorHAnsi" w:cstheme="majorHAnsi"/>
          <w:bCs/>
          <w:color w:val="000000" w:themeColor="text1"/>
          <w:sz w:val="22"/>
          <w:szCs w:val="22"/>
          <w:lang w:val="en-US"/>
        </w:rPr>
        <w:t>___ Yes</w:t>
      </w:r>
      <w:r w:rsidR="00D434EB">
        <w:rPr>
          <w:rFonts w:asciiTheme="majorHAnsi" w:hAnsiTheme="majorHAnsi" w:cstheme="majorHAnsi"/>
          <w:bCs/>
          <w:color w:val="000000" w:themeColor="text1"/>
          <w:sz w:val="22"/>
          <w:szCs w:val="22"/>
          <w:lang w:val="en-US"/>
        </w:rPr>
        <w:t xml:space="preserve"> </w:t>
      </w:r>
      <w:r w:rsidRPr="006F3D3B">
        <w:rPr>
          <w:rFonts w:asciiTheme="majorHAnsi" w:hAnsiTheme="majorHAnsi" w:cstheme="majorHAnsi"/>
          <w:bCs/>
          <w:color w:val="000000" w:themeColor="text1"/>
          <w:sz w:val="22"/>
          <w:szCs w:val="22"/>
          <w:lang w:val="en-US"/>
        </w:rPr>
        <w:t xml:space="preserve"> ___ No</w:t>
      </w:r>
    </w:p>
    <w:p w14:paraId="3AF33624" w14:textId="0DC7AF15" w:rsidR="008D0CAD" w:rsidRPr="006F3D3B" w:rsidRDefault="008D0CAD" w:rsidP="00DD08E3">
      <w:pPr>
        <w:numPr>
          <w:ilvl w:val="0"/>
          <w:numId w:val="81"/>
        </w:numPr>
        <w:spacing w:before="100" w:beforeAutospacing="1" w:after="100" w:afterAutospacing="1" w:line="360" w:lineRule="auto"/>
        <w:contextualSpacing/>
        <w:rPr>
          <w:rFonts w:asciiTheme="majorHAnsi" w:hAnsiTheme="majorHAnsi" w:cstheme="majorHAnsi"/>
          <w:snapToGrid w:val="0"/>
          <w:color w:val="000000"/>
          <w:sz w:val="22"/>
          <w:szCs w:val="22"/>
          <w:lang w:val="en-US"/>
        </w:rPr>
      </w:pPr>
      <w:r w:rsidRPr="006F3D3B">
        <w:rPr>
          <w:rFonts w:asciiTheme="majorHAnsi" w:hAnsiTheme="majorHAnsi" w:cstheme="majorHAnsi"/>
          <w:snapToGrid w:val="0"/>
          <w:color w:val="000000" w:themeColor="text1"/>
          <w:sz w:val="22"/>
          <w:szCs w:val="22"/>
          <w:lang w:val="en-US"/>
        </w:rPr>
        <w:t>Does your</w:t>
      </w:r>
      <w:r w:rsidRPr="006F3D3B">
        <w:rPr>
          <w:rFonts w:asciiTheme="majorHAnsi" w:hAnsiTheme="majorHAnsi" w:cstheme="majorHAnsi"/>
          <w:snapToGrid w:val="0"/>
          <w:color w:val="000000"/>
          <w:sz w:val="22"/>
          <w:szCs w:val="22"/>
          <w:lang w:val="en-US"/>
        </w:rPr>
        <w:t xml:space="preserve"> school have a School Improvement Plan (SIP)</w:t>
      </w:r>
      <w:r w:rsidRPr="006F3D3B">
        <w:rPr>
          <w:rFonts w:asciiTheme="majorHAnsi" w:hAnsiTheme="majorHAnsi" w:cstheme="majorHAnsi"/>
          <w:bCs/>
          <w:snapToGrid w:val="0"/>
          <w:color w:val="000000"/>
          <w:sz w:val="22"/>
          <w:szCs w:val="22"/>
          <w:lang w:val="en-US"/>
        </w:rPr>
        <w:t>? ___ Yes</w:t>
      </w:r>
      <w:r w:rsidR="00D434EB">
        <w:rPr>
          <w:rFonts w:asciiTheme="majorHAnsi" w:hAnsiTheme="majorHAnsi" w:cstheme="majorHAnsi"/>
          <w:bCs/>
          <w:snapToGrid w:val="0"/>
          <w:color w:val="000000"/>
          <w:sz w:val="22"/>
          <w:szCs w:val="22"/>
          <w:lang w:val="en-US"/>
        </w:rPr>
        <w:t xml:space="preserve"> </w:t>
      </w:r>
      <w:r w:rsidRPr="006F3D3B">
        <w:rPr>
          <w:rFonts w:asciiTheme="majorHAnsi" w:hAnsiTheme="majorHAnsi" w:cstheme="majorHAnsi"/>
          <w:bCs/>
          <w:snapToGrid w:val="0"/>
          <w:color w:val="000000"/>
          <w:sz w:val="22"/>
          <w:szCs w:val="22"/>
          <w:lang w:val="en-US"/>
        </w:rPr>
        <w:t xml:space="preserve"> ___ No</w:t>
      </w:r>
    </w:p>
    <w:p w14:paraId="4545C10B" w14:textId="1A7CA88B" w:rsidR="008D0CAD" w:rsidRPr="006F3D3B" w:rsidRDefault="008D0CAD" w:rsidP="00DD08E3">
      <w:pPr>
        <w:numPr>
          <w:ilvl w:val="0"/>
          <w:numId w:val="81"/>
        </w:numPr>
        <w:spacing w:before="100" w:beforeAutospacing="1" w:after="100" w:afterAutospacing="1" w:line="360" w:lineRule="auto"/>
        <w:contextualSpacing/>
        <w:rPr>
          <w:rFonts w:asciiTheme="majorHAnsi" w:hAnsiTheme="majorHAnsi" w:cstheme="majorHAnsi"/>
          <w:snapToGrid w:val="0"/>
          <w:color w:val="000000"/>
          <w:sz w:val="22"/>
          <w:szCs w:val="22"/>
          <w:lang w:val="en-US"/>
        </w:rPr>
      </w:pPr>
      <w:r w:rsidRPr="006F3D3B">
        <w:rPr>
          <w:rFonts w:asciiTheme="majorHAnsi" w:hAnsiTheme="majorHAnsi" w:cstheme="majorHAnsi"/>
          <w:snapToGrid w:val="0"/>
          <w:color w:val="000000" w:themeColor="text1"/>
          <w:sz w:val="22"/>
          <w:szCs w:val="22"/>
          <w:lang w:val="en-US"/>
        </w:rPr>
        <w:t>Does your</w:t>
      </w:r>
      <w:r w:rsidRPr="006F3D3B">
        <w:rPr>
          <w:rFonts w:asciiTheme="majorHAnsi" w:hAnsiTheme="majorHAnsi" w:cstheme="majorHAnsi"/>
          <w:snapToGrid w:val="0"/>
          <w:color w:val="000000"/>
          <w:sz w:val="22"/>
          <w:szCs w:val="22"/>
          <w:lang w:val="en-US"/>
        </w:rPr>
        <w:t xml:space="preserve"> SIP fully comply with the</w:t>
      </w:r>
      <w:r w:rsidRPr="006F3D3B">
        <w:rPr>
          <w:rFonts w:asciiTheme="majorHAnsi" w:hAnsiTheme="majorHAnsi" w:cstheme="majorHAnsi"/>
          <w:snapToGrid w:val="0"/>
          <w:color w:val="000000" w:themeColor="text1"/>
          <w:sz w:val="22"/>
          <w:szCs w:val="22"/>
          <w:lang w:val="en-US"/>
        </w:rPr>
        <w:t xml:space="preserve"> SIP </w:t>
      </w:r>
      <w:r w:rsidRPr="006F3D3B">
        <w:rPr>
          <w:rFonts w:asciiTheme="majorHAnsi" w:hAnsiTheme="majorHAnsi" w:cstheme="majorHAnsi"/>
          <w:snapToGrid w:val="0"/>
          <w:sz w:val="22"/>
          <w:szCs w:val="22"/>
          <w:lang w:val="en-US"/>
        </w:rPr>
        <w:t>Guidelines on the Enhanced School Improvement Planning (SIP) Process and the School Report Card (SRC) stated in DO 44, s. 2015?</w:t>
      </w:r>
      <w:r w:rsidR="00D434EB">
        <w:rPr>
          <w:rFonts w:asciiTheme="majorHAnsi" w:hAnsiTheme="majorHAnsi" w:cstheme="majorHAnsi"/>
          <w:snapToGrid w:val="0"/>
          <w:sz w:val="22"/>
          <w:szCs w:val="22"/>
          <w:lang w:val="en-US"/>
        </w:rPr>
        <w:t xml:space="preserve"> </w:t>
      </w:r>
      <w:r w:rsidRPr="006F3D3B">
        <w:rPr>
          <w:rFonts w:asciiTheme="majorHAnsi" w:hAnsiTheme="majorHAnsi" w:cstheme="majorHAnsi"/>
          <w:bCs/>
          <w:snapToGrid w:val="0"/>
          <w:color w:val="000000"/>
          <w:sz w:val="22"/>
          <w:szCs w:val="22"/>
          <w:lang w:val="en-US"/>
        </w:rPr>
        <w:t>___ Yes</w:t>
      </w:r>
      <w:r w:rsidR="00D434EB">
        <w:rPr>
          <w:rFonts w:asciiTheme="majorHAnsi" w:hAnsiTheme="majorHAnsi" w:cstheme="majorHAnsi"/>
          <w:bCs/>
          <w:snapToGrid w:val="0"/>
          <w:color w:val="000000"/>
          <w:sz w:val="22"/>
          <w:szCs w:val="22"/>
          <w:lang w:val="en-US"/>
        </w:rPr>
        <w:t xml:space="preserve"> </w:t>
      </w:r>
      <w:r w:rsidRPr="006F3D3B">
        <w:rPr>
          <w:rFonts w:asciiTheme="majorHAnsi" w:hAnsiTheme="majorHAnsi" w:cstheme="majorHAnsi"/>
          <w:bCs/>
          <w:snapToGrid w:val="0"/>
          <w:color w:val="000000"/>
          <w:sz w:val="22"/>
          <w:szCs w:val="22"/>
          <w:lang w:val="en-US"/>
        </w:rPr>
        <w:t xml:space="preserve"> ___ No</w:t>
      </w:r>
    </w:p>
    <w:p w14:paraId="7B35D0C3" w14:textId="3B5A8CC0" w:rsidR="008D0CAD" w:rsidRPr="006F3D3B" w:rsidRDefault="008D0CAD" w:rsidP="00DD08E3">
      <w:pPr>
        <w:numPr>
          <w:ilvl w:val="0"/>
          <w:numId w:val="81"/>
        </w:numPr>
        <w:spacing w:before="100" w:beforeAutospacing="1" w:after="100" w:afterAutospacing="1" w:line="360" w:lineRule="auto"/>
        <w:contextualSpacing/>
        <w:rPr>
          <w:rFonts w:asciiTheme="majorHAnsi" w:hAnsiTheme="majorHAnsi" w:cstheme="majorHAnsi"/>
          <w:snapToGrid w:val="0"/>
          <w:color w:val="000000"/>
          <w:sz w:val="22"/>
          <w:szCs w:val="22"/>
          <w:lang w:val="en-US"/>
        </w:rPr>
      </w:pPr>
      <w:r w:rsidRPr="006F3D3B">
        <w:rPr>
          <w:rFonts w:asciiTheme="majorHAnsi" w:hAnsiTheme="majorHAnsi" w:cstheme="majorHAnsi"/>
          <w:snapToGrid w:val="0"/>
          <w:color w:val="000000"/>
          <w:sz w:val="22"/>
          <w:szCs w:val="22"/>
          <w:lang w:val="en-US"/>
        </w:rPr>
        <w:t xml:space="preserve">Have you used the </w:t>
      </w:r>
      <w:r w:rsidRPr="006F3D3B">
        <w:rPr>
          <w:rFonts w:asciiTheme="majorHAnsi" w:hAnsiTheme="majorHAnsi" w:cstheme="majorHAnsi"/>
          <w:b/>
          <w:snapToGrid w:val="0"/>
          <w:color w:val="000000"/>
          <w:sz w:val="22"/>
          <w:szCs w:val="22"/>
          <w:lang w:val="en-US"/>
        </w:rPr>
        <w:t>School Improvement Plan Quality Assessment Tool</w:t>
      </w:r>
      <w:r w:rsidRPr="006F3D3B">
        <w:rPr>
          <w:rFonts w:asciiTheme="majorHAnsi" w:hAnsiTheme="majorHAnsi" w:cstheme="majorHAnsi"/>
          <w:bCs/>
          <w:snapToGrid w:val="0"/>
          <w:color w:val="000000"/>
          <w:sz w:val="22"/>
          <w:szCs w:val="22"/>
          <w:lang w:val="en-US"/>
        </w:rPr>
        <w:t>? ___ Yes</w:t>
      </w:r>
      <w:r w:rsidR="00D434EB">
        <w:rPr>
          <w:rFonts w:asciiTheme="majorHAnsi" w:hAnsiTheme="majorHAnsi" w:cstheme="majorHAnsi"/>
          <w:bCs/>
          <w:snapToGrid w:val="0"/>
          <w:color w:val="000000"/>
          <w:sz w:val="22"/>
          <w:szCs w:val="22"/>
          <w:lang w:val="en-US"/>
        </w:rPr>
        <w:t xml:space="preserve"> </w:t>
      </w:r>
      <w:r w:rsidRPr="006F3D3B">
        <w:rPr>
          <w:rFonts w:asciiTheme="majorHAnsi" w:hAnsiTheme="majorHAnsi" w:cstheme="majorHAnsi"/>
          <w:bCs/>
          <w:snapToGrid w:val="0"/>
          <w:color w:val="000000"/>
          <w:sz w:val="22"/>
          <w:szCs w:val="22"/>
          <w:lang w:val="en-US"/>
        </w:rPr>
        <w:t xml:space="preserve"> ___ No</w:t>
      </w:r>
    </w:p>
    <w:p w14:paraId="2E96959A" w14:textId="1BD67AB1" w:rsidR="008D0CAD" w:rsidRPr="00DD08E3" w:rsidRDefault="008D0CAD" w:rsidP="00DD08E3">
      <w:pPr>
        <w:numPr>
          <w:ilvl w:val="0"/>
          <w:numId w:val="81"/>
        </w:numPr>
        <w:spacing w:before="100" w:beforeAutospacing="1" w:after="100" w:afterAutospacing="1" w:line="360" w:lineRule="auto"/>
        <w:contextualSpacing/>
        <w:rPr>
          <w:rFonts w:asciiTheme="majorHAnsi" w:hAnsiTheme="majorHAnsi" w:cstheme="majorHAnsi"/>
          <w:sz w:val="22"/>
          <w:szCs w:val="22"/>
          <w:lang w:val="en-US"/>
        </w:rPr>
      </w:pPr>
      <w:r w:rsidRPr="00DD08E3">
        <w:rPr>
          <w:rFonts w:asciiTheme="majorHAnsi" w:hAnsiTheme="majorHAnsi" w:cstheme="majorHAnsi"/>
          <w:snapToGrid w:val="0"/>
          <w:color w:val="000000" w:themeColor="text1"/>
          <w:sz w:val="22"/>
          <w:szCs w:val="22"/>
          <w:lang w:val="en-US"/>
        </w:rPr>
        <w:t xml:space="preserve">Have you initiated or made any improvements/innovations on the prescribed process of the </w:t>
      </w:r>
      <w:r w:rsidRPr="00DD08E3">
        <w:rPr>
          <w:rFonts w:asciiTheme="majorHAnsi" w:hAnsiTheme="majorHAnsi" w:cstheme="majorHAnsi"/>
          <w:bCs/>
          <w:snapToGrid w:val="0"/>
          <w:color w:val="000000"/>
          <w:sz w:val="22"/>
          <w:szCs w:val="22"/>
          <w:lang w:val="en-US"/>
        </w:rPr>
        <w:t>SIP</w:t>
      </w:r>
      <w:r w:rsidRPr="00DD08E3">
        <w:rPr>
          <w:rFonts w:asciiTheme="majorHAnsi" w:hAnsiTheme="majorHAnsi" w:cstheme="majorHAnsi"/>
          <w:snapToGrid w:val="0"/>
          <w:color w:val="000000" w:themeColor="text1"/>
          <w:sz w:val="22"/>
          <w:szCs w:val="22"/>
          <w:lang w:val="en-US"/>
        </w:rPr>
        <w:t xml:space="preserve">? </w:t>
      </w:r>
      <w:r w:rsidRPr="00DD08E3">
        <w:rPr>
          <w:rFonts w:asciiTheme="majorHAnsi" w:hAnsiTheme="majorHAnsi" w:cstheme="majorHAnsi"/>
          <w:bCs/>
          <w:color w:val="000000" w:themeColor="text1"/>
          <w:sz w:val="22"/>
          <w:szCs w:val="22"/>
          <w:lang w:val="en-US"/>
        </w:rPr>
        <w:t>___ Yes</w:t>
      </w:r>
      <w:r w:rsidR="00D434EB">
        <w:rPr>
          <w:rFonts w:asciiTheme="majorHAnsi" w:hAnsiTheme="majorHAnsi" w:cstheme="majorHAnsi"/>
          <w:bCs/>
          <w:color w:val="000000" w:themeColor="text1"/>
          <w:sz w:val="22"/>
          <w:szCs w:val="22"/>
          <w:lang w:val="en-US"/>
        </w:rPr>
        <w:t xml:space="preserve"> </w:t>
      </w:r>
      <w:r w:rsidRPr="00DD08E3">
        <w:rPr>
          <w:rFonts w:asciiTheme="majorHAnsi" w:hAnsiTheme="majorHAnsi" w:cstheme="majorHAnsi"/>
          <w:bCs/>
          <w:color w:val="000000" w:themeColor="text1"/>
          <w:sz w:val="22"/>
          <w:szCs w:val="22"/>
          <w:lang w:val="en-US"/>
        </w:rPr>
        <w:t xml:space="preserve"> ___ No</w:t>
      </w:r>
    </w:p>
    <w:p w14:paraId="61F613BA" w14:textId="77777777" w:rsidR="008D0CAD" w:rsidRPr="006F3D3B" w:rsidRDefault="008D0CAD" w:rsidP="00DD08E3">
      <w:pPr>
        <w:numPr>
          <w:ilvl w:val="0"/>
          <w:numId w:val="81"/>
        </w:numPr>
        <w:spacing w:before="100" w:beforeAutospacing="1" w:after="100" w:afterAutospacing="1" w:line="360" w:lineRule="auto"/>
        <w:contextualSpacing/>
        <w:rPr>
          <w:rFonts w:asciiTheme="majorHAnsi" w:hAnsiTheme="majorHAnsi" w:cstheme="majorHAnsi"/>
          <w:snapToGrid w:val="0"/>
          <w:color w:val="000000"/>
          <w:sz w:val="22"/>
          <w:szCs w:val="22"/>
          <w:lang w:val="en-US"/>
        </w:rPr>
      </w:pPr>
      <w:r w:rsidRPr="006F3D3B">
        <w:rPr>
          <w:rFonts w:asciiTheme="majorHAnsi" w:hAnsiTheme="majorHAnsi" w:cstheme="majorHAnsi"/>
          <w:bCs/>
          <w:snapToGrid w:val="0"/>
          <w:color w:val="000000"/>
          <w:sz w:val="22"/>
          <w:szCs w:val="22"/>
          <w:lang w:val="en-US"/>
        </w:rPr>
        <w:t xml:space="preserve">Does your school apply the </w:t>
      </w:r>
      <w:r w:rsidRPr="006F3D3B">
        <w:rPr>
          <w:rFonts w:asciiTheme="majorHAnsi" w:hAnsiTheme="majorHAnsi" w:cstheme="majorHAnsi"/>
          <w:b/>
          <w:snapToGrid w:val="0"/>
          <w:sz w:val="22"/>
          <w:szCs w:val="22"/>
          <w:lang w:val="en-US"/>
        </w:rPr>
        <w:t>School Monitoring, Evaluation and Adjustment (SMEA) Framework</w:t>
      </w:r>
      <w:r w:rsidRPr="006F3D3B">
        <w:rPr>
          <w:rFonts w:asciiTheme="majorHAnsi" w:hAnsiTheme="majorHAnsi" w:cstheme="majorHAnsi"/>
          <w:bCs/>
          <w:snapToGrid w:val="0"/>
          <w:color w:val="000000"/>
          <w:sz w:val="22"/>
          <w:szCs w:val="22"/>
          <w:lang w:val="en-US"/>
        </w:rPr>
        <w:t xml:space="preserve">? </w:t>
      </w:r>
    </w:p>
    <w:p w14:paraId="385FBE28" w14:textId="0E2DA315" w:rsidR="008D0CAD" w:rsidRPr="006F3D3B" w:rsidRDefault="008D0CAD" w:rsidP="00DD08E3">
      <w:pPr>
        <w:spacing w:before="100" w:beforeAutospacing="1" w:after="100" w:afterAutospacing="1" w:line="360" w:lineRule="auto"/>
        <w:ind w:left="360"/>
        <w:rPr>
          <w:rFonts w:asciiTheme="majorHAnsi" w:hAnsiTheme="majorHAnsi" w:cstheme="majorHAnsi"/>
          <w:color w:val="000000"/>
          <w:sz w:val="22"/>
          <w:szCs w:val="22"/>
          <w:lang w:val="en-US"/>
        </w:rPr>
      </w:pPr>
      <w:r w:rsidRPr="006F3D3B">
        <w:rPr>
          <w:rFonts w:asciiTheme="majorHAnsi" w:hAnsiTheme="majorHAnsi" w:cstheme="majorHAnsi"/>
          <w:bCs/>
          <w:color w:val="000000"/>
          <w:sz w:val="22"/>
          <w:szCs w:val="22"/>
          <w:lang w:val="en-US"/>
        </w:rPr>
        <w:t>___ Yes</w:t>
      </w:r>
      <w:r w:rsidR="00D434EB">
        <w:rPr>
          <w:rFonts w:asciiTheme="majorHAnsi" w:hAnsiTheme="majorHAnsi" w:cstheme="majorHAnsi"/>
          <w:bCs/>
          <w:color w:val="000000"/>
          <w:sz w:val="22"/>
          <w:szCs w:val="22"/>
          <w:lang w:val="en-US"/>
        </w:rPr>
        <w:t xml:space="preserve"> </w:t>
      </w:r>
      <w:r w:rsidRPr="006F3D3B">
        <w:rPr>
          <w:rFonts w:asciiTheme="majorHAnsi" w:hAnsiTheme="majorHAnsi" w:cstheme="majorHAnsi"/>
          <w:bCs/>
          <w:color w:val="000000"/>
          <w:sz w:val="22"/>
          <w:szCs w:val="22"/>
          <w:lang w:val="en-US"/>
        </w:rPr>
        <w:t xml:space="preserve"> ___ No</w:t>
      </w:r>
    </w:p>
    <w:p w14:paraId="4C0EDA79" w14:textId="07D61AC0" w:rsidR="008D0CAD" w:rsidRPr="006F3D3B" w:rsidRDefault="008D0CAD" w:rsidP="00DD08E3">
      <w:pPr>
        <w:numPr>
          <w:ilvl w:val="0"/>
          <w:numId w:val="81"/>
        </w:numPr>
        <w:spacing w:before="100" w:beforeAutospacing="1" w:after="100" w:afterAutospacing="1" w:line="360" w:lineRule="auto"/>
        <w:contextualSpacing/>
        <w:rPr>
          <w:rFonts w:asciiTheme="majorHAnsi" w:hAnsiTheme="majorHAnsi" w:cstheme="majorHAnsi"/>
          <w:bCs/>
          <w:color w:val="000000" w:themeColor="text1"/>
          <w:sz w:val="22"/>
          <w:szCs w:val="22"/>
          <w:lang w:val="en-US"/>
        </w:rPr>
      </w:pPr>
      <w:r w:rsidRPr="006F3D3B">
        <w:rPr>
          <w:rFonts w:asciiTheme="majorHAnsi" w:hAnsiTheme="majorHAnsi" w:cstheme="majorHAnsi"/>
          <w:snapToGrid w:val="0"/>
          <w:color w:val="000000" w:themeColor="text1"/>
          <w:sz w:val="22"/>
          <w:szCs w:val="22"/>
          <w:lang w:val="en-US"/>
        </w:rPr>
        <w:t xml:space="preserve">Have you initiated or made any improvements/innovations on the prescribed process of the </w:t>
      </w:r>
      <w:r w:rsidRPr="006F3D3B">
        <w:rPr>
          <w:rFonts w:asciiTheme="majorHAnsi" w:hAnsiTheme="majorHAnsi" w:cstheme="majorHAnsi"/>
          <w:bCs/>
          <w:snapToGrid w:val="0"/>
          <w:color w:val="000000"/>
          <w:sz w:val="22"/>
          <w:szCs w:val="22"/>
          <w:lang w:val="en-US"/>
        </w:rPr>
        <w:t>SMEA</w:t>
      </w:r>
      <w:r w:rsidRPr="006F3D3B">
        <w:rPr>
          <w:rFonts w:asciiTheme="majorHAnsi" w:hAnsiTheme="majorHAnsi" w:cstheme="majorHAnsi"/>
          <w:snapToGrid w:val="0"/>
          <w:color w:val="000000" w:themeColor="text1"/>
          <w:sz w:val="22"/>
          <w:szCs w:val="22"/>
          <w:lang w:val="en-US"/>
        </w:rPr>
        <w:t xml:space="preserve">? </w:t>
      </w:r>
      <w:r w:rsidRPr="006F3D3B">
        <w:rPr>
          <w:rFonts w:asciiTheme="majorHAnsi" w:hAnsiTheme="majorHAnsi" w:cstheme="majorHAnsi"/>
          <w:bCs/>
          <w:color w:val="000000" w:themeColor="text1"/>
          <w:sz w:val="22"/>
          <w:szCs w:val="22"/>
          <w:lang w:val="en-US"/>
        </w:rPr>
        <w:t>___ Yes</w:t>
      </w:r>
      <w:r w:rsidR="00D434EB">
        <w:rPr>
          <w:rFonts w:asciiTheme="majorHAnsi" w:hAnsiTheme="majorHAnsi" w:cstheme="majorHAnsi"/>
          <w:bCs/>
          <w:color w:val="000000" w:themeColor="text1"/>
          <w:sz w:val="22"/>
          <w:szCs w:val="22"/>
          <w:lang w:val="en-US"/>
        </w:rPr>
        <w:t xml:space="preserve"> </w:t>
      </w:r>
      <w:r w:rsidRPr="006F3D3B">
        <w:rPr>
          <w:rFonts w:asciiTheme="majorHAnsi" w:hAnsiTheme="majorHAnsi" w:cstheme="majorHAnsi"/>
          <w:bCs/>
          <w:color w:val="000000" w:themeColor="text1"/>
          <w:sz w:val="22"/>
          <w:szCs w:val="22"/>
          <w:lang w:val="en-US"/>
        </w:rPr>
        <w:t xml:space="preserve"> ___ No</w:t>
      </w:r>
    </w:p>
    <w:p w14:paraId="6540C626" w14:textId="3BCCDB1E" w:rsidR="008D0CAD" w:rsidRPr="006F3D3B" w:rsidRDefault="008D0CAD" w:rsidP="00DD08E3">
      <w:pPr>
        <w:numPr>
          <w:ilvl w:val="0"/>
          <w:numId w:val="81"/>
        </w:numPr>
        <w:spacing w:before="100" w:beforeAutospacing="1" w:after="100" w:afterAutospacing="1" w:line="360" w:lineRule="auto"/>
        <w:contextualSpacing/>
        <w:rPr>
          <w:rFonts w:asciiTheme="majorHAnsi" w:hAnsiTheme="majorHAnsi" w:cstheme="majorHAnsi"/>
          <w:snapToGrid w:val="0"/>
          <w:color w:val="000000"/>
          <w:sz w:val="22"/>
          <w:szCs w:val="22"/>
          <w:lang w:val="en-US"/>
        </w:rPr>
      </w:pPr>
      <w:r w:rsidRPr="006F3D3B">
        <w:rPr>
          <w:rFonts w:asciiTheme="majorHAnsi" w:hAnsiTheme="majorHAnsi" w:cstheme="majorHAnsi"/>
          <w:bCs/>
          <w:snapToGrid w:val="0"/>
          <w:color w:val="000000"/>
          <w:sz w:val="22"/>
          <w:szCs w:val="22"/>
          <w:lang w:val="en-US"/>
        </w:rPr>
        <w:t xml:space="preserve">Does your school use the </w:t>
      </w:r>
      <w:r w:rsidRPr="006F3D3B">
        <w:rPr>
          <w:rFonts w:asciiTheme="majorHAnsi" w:hAnsiTheme="majorHAnsi" w:cstheme="majorHAnsi"/>
          <w:b/>
          <w:bCs/>
          <w:snapToGrid w:val="0"/>
          <w:color w:val="0070C0"/>
          <w:sz w:val="22"/>
          <w:szCs w:val="22"/>
          <w:lang w:val="en-US"/>
        </w:rPr>
        <w:t>Enhanced Basic Education Information System (EBEIS)</w:t>
      </w:r>
      <w:r w:rsidRPr="006F3D3B">
        <w:rPr>
          <w:rFonts w:asciiTheme="majorHAnsi" w:hAnsiTheme="majorHAnsi" w:cstheme="majorHAnsi"/>
          <w:bCs/>
          <w:snapToGrid w:val="0"/>
          <w:color w:val="000000"/>
          <w:sz w:val="22"/>
          <w:szCs w:val="22"/>
          <w:lang w:val="en-US"/>
        </w:rPr>
        <w:t>? ___ Yes</w:t>
      </w:r>
      <w:r w:rsidR="00D434EB">
        <w:rPr>
          <w:rFonts w:asciiTheme="majorHAnsi" w:hAnsiTheme="majorHAnsi" w:cstheme="majorHAnsi"/>
          <w:bCs/>
          <w:snapToGrid w:val="0"/>
          <w:color w:val="000000"/>
          <w:sz w:val="22"/>
          <w:szCs w:val="22"/>
          <w:lang w:val="en-US"/>
        </w:rPr>
        <w:t xml:space="preserve"> </w:t>
      </w:r>
      <w:r w:rsidRPr="006F3D3B">
        <w:rPr>
          <w:rFonts w:asciiTheme="majorHAnsi" w:hAnsiTheme="majorHAnsi" w:cstheme="majorHAnsi"/>
          <w:bCs/>
          <w:snapToGrid w:val="0"/>
          <w:color w:val="000000"/>
          <w:sz w:val="22"/>
          <w:szCs w:val="22"/>
          <w:lang w:val="en-US"/>
        </w:rPr>
        <w:t xml:space="preserve"> ___ No</w:t>
      </w:r>
    </w:p>
    <w:p w14:paraId="00FE80FE" w14:textId="77777777" w:rsidR="008D0CAD" w:rsidRPr="006F3D3B" w:rsidRDefault="008D0CAD" w:rsidP="00DD08E3">
      <w:pPr>
        <w:numPr>
          <w:ilvl w:val="1"/>
          <w:numId w:val="81"/>
        </w:numPr>
        <w:spacing w:before="100" w:beforeAutospacing="1" w:after="100" w:afterAutospacing="1" w:line="360" w:lineRule="auto"/>
        <w:ind w:left="851" w:hanging="491"/>
        <w:contextualSpacing/>
        <w:rPr>
          <w:rFonts w:asciiTheme="majorHAnsi" w:hAnsiTheme="majorHAnsi" w:cstheme="majorHAnsi"/>
          <w:snapToGrid w:val="0"/>
          <w:color w:val="000000"/>
          <w:sz w:val="22"/>
          <w:szCs w:val="22"/>
          <w:lang w:val="en-US"/>
        </w:rPr>
      </w:pPr>
      <w:r w:rsidRPr="006F3D3B">
        <w:rPr>
          <w:rFonts w:asciiTheme="majorHAnsi" w:hAnsiTheme="majorHAnsi" w:cstheme="majorHAnsi"/>
          <w:snapToGrid w:val="0"/>
          <w:sz w:val="22"/>
          <w:szCs w:val="22"/>
          <w:lang w:val="en-US"/>
        </w:rPr>
        <w:t xml:space="preserve">If Yes, on a scale of 1 to 4 (with 4 being Very High), </w:t>
      </w:r>
      <w:r w:rsidRPr="006F3D3B">
        <w:rPr>
          <w:rFonts w:asciiTheme="majorHAnsi" w:hAnsiTheme="majorHAnsi" w:cstheme="majorHAnsi"/>
          <w:snapToGrid w:val="0"/>
          <w:color w:val="000000"/>
          <w:sz w:val="22"/>
          <w:szCs w:val="22"/>
          <w:lang w:val="en-US"/>
        </w:rPr>
        <w:t xml:space="preserve">rate the </w:t>
      </w:r>
      <w:r w:rsidRPr="006F3D3B">
        <w:rPr>
          <w:rFonts w:asciiTheme="majorHAnsi" w:hAnsiTheme="majorHAnsi" w:cstheme="majorHAnsi"/>
          <w:b/>
          <w:bCs/>
          <w:snapToGrid w:val="0"/>
          <w:color w:val="0070C0"/>
          <w:sz w:val="22"/>
          <w:szCs w:val="22"/>
          <w:lang w:val="en-US"/>
        </w:rPr>
        <w:t>EBEIS</w:t>
      </w:r>
      <w:r w:rsidRPr="006F3D3B">
        <w:rPr>
          <w:rFonts w:asciiTheme="majorHAnsi" w:hAnsiTheme="majorHAnsi" w:cstheme="majorHAnsi"/>
          <w:snapToGrid w:val="0"/>
          <w:sz w:val="22"/>
          <w:szCs w:val="22"/>
          <w:lang w:val="en-US"/>
        </w:rPr>
        <w:t xml:space="preserve"> in terms of its:</w:t>
      </w:r>
    </w:p>
    <w:p w14:paraId="3EA733F1" w14:textId="77777777" w:rsidR="008D0CAD" w:rsidRPr="006F3D3B" w:rsidRDefault="008D0CAD" w:rsidP="00DD08E3">
      <w:pPr>
        <w:spacing w:before="100" w:beforeAutospacing="1" w:after="100" w:afterAutospacing="1" w:line="360" w:lineRule="auto"/>
        <w:rPr>
          <w:rFonts w:asciiTheme="majorHAnsi" w:hAnsiTheme="majorHAnsi" w:cstheme="majorHAnsi"/>
          <w:color w:val="000000"/>
          <w:sz w:val="22"/>
          <w:szCs w:val="22"/>
          <w:lang w:val="en-US"/>
        </w:rPr>
      </w:pPr>
    </w:p>
    <w:tbl>
      <w:tblPr>
        <w:tblStyle w:val="TableGrid12"/>
        <w:tblW w:w="9255" w:type="dxa"/>
        <w:tblInd w:w="805" w:type="dxa"/>
        <w:tblLayout w:type="fixed"/>
        <w:tblLook w:val="04A0" w:firstRow="1" w:lastRow="0" w:firstColumn="1" w:lastColumn="0" w:noHBand="0" w:noVBand="1"/>
      </w:tblPr>
      <w:tblGrid>
        <w:gridCol w:w="5853"/>
        <w:gridCol w:w="708"/>
        <w:gridCol w:w="993"/>
        <w:gridCol w:w="708"/>
        <w:gridCol w:w="993"/>
      </w:tblGrid>
      <w:tr w:rsidR="008D0CAD" w:rsidRPr="004B064D" w14:paraId="4487D0A5" w14:textId="77777777" w:rsidTr="004B064D">
        <w:trPr>
          <w:trHeight w:val="45"/>
          <w:tblHeader/>
        </w:trPr>
        <w:tc>
          <w:tcPr>
            <w:tcW w:w="5853" w:type="dxa"/>
            <w:shd w:val="clear" w:color="auto" w:fill="D9D9D9" w:themeFill="background1" w:themeFillShade="D9"/>
          </w:tcPr>
          <w:p w14:paraId="2F8069B6" w14:textId="77777777" w:rsidR="008D0CAD" w:rsidRPr="004B064D"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b/>
                <w:bCs/>
                <w:color w:val="000000"/>
                <w:lang w:val="en-US"/>
              </w:rPr>
            </w:pPr>
          </w:p>
        </w:tc>
        <w:tc>
          <w:tcPr>
            <w:tcW w:w="708" w:type="dxa"/>
            <w:shd w:val="clear" w:color="auto" w:fill="D9D9D9" w:themeFill="background1" w:themeFillShade="D9"/>
            <w:vAlign w:val="center"/>
          </w:tcPr>
          <w:p w14:paraId="6C644328" w14:textId="77777777" w:rsidR="008D0CAD" w:rsidRPr="004B064D"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b/>
                <w:bCs/>
                <w:color w:val="000000" w:themeColor="text1"/>
                <w:lang w:val="en-US"/>
              </w:rPr>
            </w:pPr>
            <w:r w:rsidRPr="004B064D">
              <w:rPr>
                <w:rFonts w:asciiTheme="majorHAnsi" w:eastAsiaTheme="minorHAnsi" w:hAnsiTheme="majorHAnsi" w:cstheme="majorHAnsi"/>
                <w:b/>
                <w:bCs/>
                <w:color w:val="000000" w:themeColor="text1"/>
                <w:lang w:val="en-US"/>
              </w:rPr>
              <w:t>Low (1)</w:t>
            </w:r>
          </w:p>
        </w:tc>
        <w:tc>
          <w:tcPr>
            <w:tcW w:w="993" w:type="dxa"/>
            <w:shd w:val="clear" w:color="auto" w:fill="D9D9D9" w:themeFill="background1" w:themeFillShade="D9"/>
            <w:vAlign w:val="center"/>
          </w:tcPr>
          <w:p w14:paraId="5D713FC7" w14:textId="77777777" w:rsidR="008D0CAD" w:rsidRPr="004B064D"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b/>
                <w:bCs/>
                <w:color w:val="000000" w:themeColor="text1"/>
                <w:lang w:val="en-US"/>
              </w:rPr>
            </w:pPr>
            <w:r w:rsidRPr="004B064D">
              <w:rPr>
                <w:rFonts w:asciiTheme="majorHAnsi" w:eastAsiaTheme="minorHAnsi" w:hAnsiTheme="majorHAnsi" w:cstheme="majorHAnsi"/>
                <w:b/>
                <w:bCs/>
                <w:color w:val="000000" w:themeColor="text1"/>
                <w:lang w:val="en-US"/>
              </w:rPr>
              <w:t>Mode-rate (2)</w:t>
            </w:r>
          </w:p>
        </w:tc>
        <w:tc>
          <w:tcPr>
            <w:tcW w:w="708" w:type="dxa"/>
            <w:shd w:val="clear" w:color="auto" w:fill="D9D9D9" w:themeFill="background1" w:themeFillShade="D9"/>
            <w:vAlign w:val="center"/>
          </w:tcPr>
          <w:p w14:paraId="5CA8A502" w14:textId="77777777" w:rsidR="008D0CAD" w:rsidRPr="004B064D"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b/>
                <w:bCs/>
                <w:color w:val="000000" w:themeColor="text1"/>
                <w:lang w:val="en-US"/>
              </w:rPr>
            </w:pPr>
            <w:r w:rsidRPr="004B064D">
              <w:rPr>
                <w:rFonts w:asciiTheme="majorHAnsi" w:eastAsiaTheme="minorHAnsi" w:hAnsiTheme="majorHAnsi" w:cstheme="majorHAnsi"/>
                <w:b/>
                <w:bCs/>
                <w:color w:val="000000" w:themeColor="text1"/>
                <w:lang w:val="en-US"/>
              </w:rPr>
              <w:t>High (3)</w:t>
            </w:r>
          </w:p>
        </w:tc>
        <w:tc>
          <w:tcPr>
            <w:tcW w:w="993" w:type="dxa"/>
            <w:shd w:val="clear" w:color="auto" w:fill="D9D9D9" w:themeFill="background1" w:themeFillShade="D9"/>
            <w:vAlign w:val="center"/>
          </w:tcPr>
          <w:p w14:paraId="4CCF3743" w14:textId="77777777" w:rsidR="008D0CAD" w:rsidRPr="004B064D"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b/>
                <w:bCs/>
                <w:color w:val="000000" w:themeColor="text1"/>
                <w:lang w:val="en-US"/>
              </w:rPr>
            </w:pPr>
            <w:r w:rsidRPr="004B064D">
              <w:rPr>
                <w:rFonts w:asciiTheme="majorHAnsi" w:eastAsiaTheme="minorHAnsi" w:hAnsiTheme="majorHAnsi" w:cstheme="majorHAnsi"/>
                <w:b/>
                <w:bCs/>
                <w:color w:val="000000" w:themeColor="text1"/>
                <w:lang w:val="en-US"/>
              </w:rPr>
              <w:t>Very High (4)</w:t>
            </w:r>
          </w:p>
        </w:tc>
      </w:tr>
      <w:tr w:rsidR="008D0CAD" w:rsidRPr="006F3D3B" w14:paraId="179C75A6" w14:textId="77777777" w:rsidTr="009C64E9">
        <w:trPr>
          <w:trHeight w:val="281"/>
        </w:trPr>
        <w:tc>
          <w:tcPr>
            <w:tcW w:w="5853" w:type="dxa"/>
          </w:tcPr>
          <w:p w14:paraId="295C1279"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bCs/>
                <w:color w:val="000000"/>
                <w:lang w:val="en-US"/>
              </w:rPr>
            </w:pPr>
            <w:r w:rsidRPr="006F3D3B">
              <w:rPr>
                <w:rFonts w:asciiTheme="majorHAnsi" w:eastAsiaTheme="minorHAnsi" w:hAnsiTheme="majorHAnsi" w:cstheme="majorHAnsi"/>
                <w:b/>
                <w:color w:val="000000"/>
                <w:lang w:val="en-US"/>
              </w:rPr>
              <w:t>Ease of access</w:t>
            </w:r>
            <w:r w:rsidRPr="006F3D3B">
              <w:rPr>
                <w:rFonts w:asciiTheme="majorHAnsi" w:eastAsiaTheme="minorHAnsi" w:hAnsiTheme="majorHAnsi" w:cstheme="majorHAnsi"/>
                <w:color w:val="000000"/>
                <w:lang w:val="en-US"/>
              </w:rPr>
              <w:t xml:space="preserve"> when connecting to the system</w:t>
            </w:r>
          </w:p>
        </w:tc>
        <w:tc>
          <w:tcPr>
            <w:tcW w:w="708" w:type="dxa"/>
            <w:vAlign w:val="center"/>
          </w:tcPr>
          <w:p w14:paraId="4C3D7F34"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993" w:type="dxa"/>
            <w:vAlign w:val="center"/>
          </w:tcPr>
          <w:p w14:paraId="6E45C029"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708" w:type="dxa"/>
          </w:tcPr>
          <w:p w14:paraId="04E9CFAC"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993" w:type="dxa"/>
            <w:vAlign w:val="center"/>
          </w:tcPr>
          <w:p w14:paraId="18D0A6D2"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r>
      <w:tr w:rsidR="008D0CAD" w:rsidRPr="006F3D3B" w14:paraId="1E68E3E5" w14:textId="77777777" w:rsidTr="009C64E9">
        <w:trPr>
          <w:trHeight w:val="281"/>
        </w:trPr>
        <w:tc>
          <w:tcPr>
            <w:tcW w:w="5853" w:type="dxa"/>
          </w:tcPr>
          <w:p w14:paraId="685A0CFC" w14:textId="77777777" w:rsidR="008D0CAD" w:rsidRPr="006F3D3B" w:rsidRDefault="008D0CAD" w:rsidP="00DD08E3">
            <w:pPr>
              <w:spacing w:before="100" w:beforeAutospacing="1" w:after="100" w:afterAutospacing="1" w:line="360" w:lineRule="auto"/>
              <w:rPr>
                <w:rFonts w:asciiTheme="majorHAnsi" w:hAnsiTheme="majorHAnsi" w:cstheme="majorHAnsi"/>
                <w:lang w:val="en-US"/>
              </w:rPr>
            </w:pPr>
            <w:r w:rsidRPr="006F3D3B">
              <w:rPr>
                <w:rFonts w:asciiTheme="majorHAnsi" w:hAnsiTheme="majorHAnsi" w:cstheme="majorHAnsi"/>
                <w:b/>
                <w:lang w:val="en-US"/>
              </w:rPr>
              <w:t>User- friendliness</w:t>
            </w:r>
            <w:r w:rsidRPr="006F3D3B">
              <w:rPr>
                <w:rFonts w:asciiTheme="majorHAnsi" w:hAnsiTheme="majorHAnsi" w:cstheme="majorHAnsi"/>
                <w:lang w:val="en-US"/>
              </w:rPr>
              <w:t xml:space="preserve"> of the system when navigating the site (i.e., does not require intensive training to use)</w:t>
            </w:r>
          </w:p>
        </w:tc>
        <w:tc>
          <w:tcPr>
            <w:tcW w:w="708" w:type="dxa"/>
            <w:vAlign w:val="center"/>
          </w:tcPr>
          <w:p w14:paraId="61B11BC7"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993" w:type="dxa"/>
            <w:vAlign w:val="center"/>
          </w:tcPr>
          <w:p w14:paraId="62838146"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708" w:type="dxa"/>
          </w:tcPr>
          <w:p w14:paraId="6A034E6B"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993" w:type="dxa"/>
            <w:vAlign w:val="center"/>
          </w:tcPr>
          <w:p w14:paraId="1BE43F9B"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r>
      <w:tr w:rsidR="008D0CAD" w:rsidRPr="006F3D3B" w14:paraId="0BCB2344" w14:textId="77777777" w:rsidTr="009C64E9">
        <w:trPr>
          <w:trHeight w:val="281"/>
        </w:trPr>
        <w:tc>
          <w:tcPr>
            <w:tcW w:w="5853" w:type="dxa"/>
          </w:tcPr>
          <w:p w14:paraId="38FB7FB7" w14:textId="77777777" w:rsidR="008D0CAD" w:rsidRPr="006F3D3B" w:rsidRDefault="008D0CAD" w:rsidP="00DD08E3">
            <w:pPr>
              <w:spacing w:before="100" w:beforeAutospacing="1" w:after="100" w:afterAutospacing="1" w:line="360" w:lineRule="auto"/>
              <w:rPr>
                <w:rFonts w:asciiTheme="majorHAnsi" w:hAnsiTheme="majorHAnsi" w:cstheme="majorHAnsi"/>
                <w:lang w:val="en-US"/>
              </w:rPr>
            </w:pPr>
            <w:r w:rsidRPr="006F3D3B">
              <w:rPr>
                <w:rFonts w:asciiTheme="majorHAnsi" w:hAnsiTheme="majorHAnsi" w:cstheme="majorHAnsi"/>
                <w:b/>
                <w:lang w:val="en-US"/>
              </w:rPr>
              <w:t>Usefulness</w:t>
            </w:r>
            <w:r w:rsidRPr="006F3D3B">
              <w:rPr>
                <w:rFonts w:asciiTheme="majorHAnsi" w:hAnsiTheme="majorHAnsi" w:cstheme="majorHAnsi"/>
                <w:lang w:val="en-US"/>
              </w:rPr>
              <w:t xml:space="preserve"> of system in enhancing school leadership and management (i.e., school planning, budgeting and operations)</w:t>
            </w:r>
          </w:p>
        </w:tc>
        <w:tc>
          <w:tcPr>
            <w:tcW w:w="708" w:type="dxa"/>
            <w:vAlign w:val="center"/>
          </w:tcPr>
          <w:p w14:paraId="235F59D0"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lang w:val="en-US"/>
              </w:rPr>
            </w:pPr>
            <w:r w:rsidRPr="006F3D3B">
              <w:rPr>
                <w:rFonts w:asciiTheme="majorHAnsi" w:eastAsiaTheme="minorHAnsi" w:hAnsiTheme="majorHAnsi" w:cstheme="majorHAnsi"/>
                <w:color w:val="000000" w:themeColor="text1"/>
                <w:lang w:val="en-US"/>
              </w:rPr>
              <w:t xml:space="preserve"> </w:t>
            </w:r>
          </w:p>
        </w:tc>
        <w:tc>
          <w:tcPr>
            <w:tcW w:w="993" w:type="dxa"/>
            <w:vAlign w:val="center"/>
          </w:tcPr>
          <w:p w14:paraId="1C053B3C"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lang w:val="en-US"/>
              </w:rPr>
            </w:pPr>
            <w:r w:rsidRPr="006F3D3B">
              <w:rPr>
                <w:rFonts w:asciiTheme="majorHAnsi" w:eastAsiaTheme="minorHAnsi" w:hAnsiTheme="majorHAnsi" w:cstheme="majorHAnsi"/>
                <w:color w:val="000000" w:themeColor="text1"/>
                <w:lang w:val="en-US"/>
              </w:rPr>
              <w:t xml:space="preserve"> </w:t>
            </w:r>
          </w:p>
        </w:tc>
        <w:tc>
          <w:tcPr>
            <w:tcW w:w="708" w:type="dxa"/>
          </w:tcPr>
          <w:p w14:paraId="0FBE28E5"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993" w:type="dxa"/>
            <w:vAlign w:val="center"/>
          </w:tcPr>
          <w:p w14:paraId="0D33803C"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lang w:val="en-US"/>
              </w:rPr>
            </w:pPr>
            <w:r w:rsidRPr="006F3D3B">
              <w:rPr>
                <w:rFonts w:asciiTheme="majorHAnsi" w:eastAsiaTheme="minorHAnsi" w:hAnsiTheme="majorHAnsi" w:cstheme="majorHAnsi"/>
                <w:color w:val="000000" w:themeColor="text1"/>
                <w:lang w:val="en-US"/>
              </w:rPr>
              <w:t xml:space="preserve"> </w:t>
            </w:r>
          </w:p>
        </w:tc>
      </w:tr>
      <w:tr w:rsidR="008D0CAD" w:rsidRPr="006F3D3B" w14:paraId="63E95B32" w14:textId="77777777" w:rsidTr="009C64E9">
        <w:trPr>
          <w:trHeight w:val="281"/>
        </w:trPr>
        <w:tc>
          <w:tcPr>
            <w:tcW w:w="5853" w:type="dxa"/>
          </w:tcPr>
          <w:p w14:paraId="0B14944A" w14:textId="77777777" w:rsidR="008D0CAD" w:rsidRPr="006F3D3B" w:rsidRDefault="008D0CAD" w:rsidP="00DD08E3">
            <w:pPr>
              <w:spacing w:before="100" w:beforeAutospacing="1" w:after="100" w:afterAutospacing="1" w:line="360" w:lineRule="auto"/>
              <w:rPr>
                <w:rFonts w:asciiTheme="majorHAnsi" w:hAnsiTheme="majorHAnsi" w:cstheme="majorHAnsi"/>
                <w:lang w:val="en-US"/>
              </w:rPr>
            </w:pPr>
            <w:r w:rsidRPr="006F3D3B">
              <w:rPr>
                <w:rFonts w:asciiTheme="majorHAnsi" w:hAnsiTheme="majorHAnsi" w:cstheme="majorHAnsi"/>
                <w:lang w:val="en-US"/>
              </w:rPr>
              <w:t>Contribution of modules to your improving your leadership and management competencies</w:t>
            </w:r>
          </w:p>
        </w:tc>
        <w:tc>
          <w:tcPr>
            <w:tcW w:w="708" w:type="dxa"/>
          </w:tcPr>
          <w:p w14:paraId="2F899148"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993" w:type="dxa"/>
          </w:tcPr>
          <w:p w14:paraId="4B974C0D"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708" w:type="dxa"/>
          </w:tcPr>
          <w:p w14:paraId="064D60D9"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993" w:type="dxa"/>
          </w:tcPr>
          <w:p w14:paraId="61891B4E"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r>
    </w:tbl>
    <w:p w14:paraId="19E1F542" w14:textId="3CFEDD8C" w:rsidR="008D0CAD" w:rsidRPr="006F3D3B" w:rsidRDefault="008D0CAD" w:rsidP="00DD08E3">
      <w:pPr>
        <w:numPr>
          <w:ilvl w:val="0"/>
          <w:numId w:val="81"/>
        </w:numPr>
        <w:spacing w:before="100" w:beforeAutospacing="1" w:after="100" w:afterAutospacing="1" w:line="360" w:lineRule="auto"/>
        <w:contextualSpacing/>
        <w:rPr>
          <w:rFonts w:asciiTheme="majorHAnsi" w:hAnsiTheme="majorHAnsi" w:cstheme="majorHAnsi"/>
          <w:snapToGrid w:val="0"/>
          <w:color w:val="000000"/>
          <w:sz w:val="22"/>
          <w:szCs w:val="22"/>
          <w:lang w:val="en-US"/>
        </w:rPr>
      </w:pPr>
      <w:r w:rsidRPr="006F3D3B">
        <w:rPr>
          <w:rFonts w:asciiTheme="majorHAnsi" w:hAnsiTheme="majorHAnsi" w:cstheme="majorHAnsi"/>
          <w:bCs/>
          <w:snapToGrid w:val="0"/>
          <w:color w:val="000000"/>
          <w:sz w:val="22"/>
          <w:szCs w:val="22"/>
          <w:lang w:val="en-US"/>
        </w:rPr>
        <w:t xml:space="preserve">Does your school use the </w:t>
      </w:r>
      <w:r w:rsidRPr="006F3D3B">
        <w:rPr>
          <w:rFonts w:asciiTheme="majorHAnsi" w:hAnsiTheme="majorHAnsi" w:cstheme="majorHAnsi"/>
          <w:b/>
          <w:bCs/>
          <w:snapToGrid w:val="0"/>
          <w:color w:val="0070C0"/>
          <w:sz w:val="22"/>
          <w:szCs w:val="22"/>
          <w:lang w:val="en-US"/>
        </w:rPr>
        <w:t>Learner Information System (LIS)</w:t>
      </w:r>
      <w:r w:rsidRPr="006F3D3B">
        <w:rPr>
          <w:rFonts w:asciiTheme="majorHAnsi" w:hAnsiTheme="majorHAnsi" w:cstheme="majorHAnsi"/>
          <w:bCs/>
          <w:snapToGrid w:val="0"/>
          <w:color w:val="000000"/>
          <w:sz w:val="22"/>
          <w:szCs w:val="22"/>
          <w:lang w:val="en-US"/>
        </w:rPr>
        <w:t>? ___ Yes</w:t>
      </w:r>
      <w:r w:rsidR="00D434EB">
        <w:rPr>
          <w:rFonts w:asciiTheme="majorHAnsi" w:hAnsiTheme="majorHAnsi" w:cstheme="majorHAnsi"/>
          <w:bCs/>
          <w:snapToGrid w:val="0"/>
          <w:color w:val="000000"/>
          <w:sz w:val="22"/>
          <w:szCs w:val="22"/>
          <w:lang w:val="en-US"/>
        </w:rPr>
        <w:t xml:space="preserve"> </w:t>
      </w:r>
      <w:r w:rsidRPr="006F3D3B">
        <w:rPr>
          <w:rFonts w:asciiTheme="majorHAnsi" w:hAnsiTheme="majorHAnsi" w:cstheme="majorHAnsi"/>
          <w:bCs/>
          <w:snapToGrid w:val="0"/>
          <w:color w:val="000000"/>
          <w:sz w:val="22"/>
          <w:szCs w:val="22"/>
          <w:lang w:val="en-US"/>
        </w:rPr>
        <w:t xml:space="preserve"> ___ No</w:t>
      </w:r>
    </w:p>
    <w:p w14:paraId="0C8A96F5" w14:textId="77777777" w:rsidR="008D0CAD" w:rsidRPr="006F3D3B" w:rsidRDefault="008D0CAD" w:rsidP="00DD08E3">
      <w:pPr>
        <w:numPr>
          <w:ilvl w:val="1"/>
          <w:numId w:val="81"/>
        </w:numPr>
        <w:spacing w:before="100" w:beforeAutospacing="1" w:after="100" w:afterAutospacing="1" w:line="360" w:lineRule="auto"/>
        <w:ind w:left="851" w:hanging="491"/>
        <w:contextualSpacing/>
        <w:rPr>
          <w:rFonts w:asciiTheme="majorHAnsi" w:hAnsiTheme="majorHAnsi" w:cstheme="majorHAnsi"/>
          <w:snapToGrid w:val="0"/>
          <w:color w:val="000000"/>
          <w:sz w:val="22"/>
          <w:szCs w:val="22"/>
          <w:lang w:val="en-US"/>
        </w:rPr>
      </w:pPr>
      <w:r w:rsidRPr="006F3D3B">
        <w:rPr>
          <w:rFonts w:asciiTheme="majorHAnsi" w:hAnsiTheme="majorHAnsi" w:cstheme="majorHAnsi"/>
          <w:snapToGrid w:val="0"/>
          <w:sz w:val="22"/>
          <w:szCs w:val="22"/>
          <w:lang w:val="en-US"/>
        </w:rPr>
        <w:t xml:space="preserve">If Yes, on a scale of 1 to 4 (with 4 being Very High), </w:t>
      </w:r>
      <w:r w:rsidRPr="006F3D3B">
        <w:rPr>
          <w:rFonts w:asciiTheme="majorHAnsi" w:hAnsiTheme="majorHAnsi" w:cstheme="majorHAnsi"/>
          <w:snapToGrid w:val="0"/>
          <w:color w:val="000000"/>
          <w:sz w:val="22"/>
          <w:szCs w:val="22"/>
          <w:lang w:val="en-US"/>
        </w:rPr>
        <w:t xml:space="preserve">rate the </w:t>
      </w:r>
      <w:r w:rsidRPr="006F3D3B">
        <w:rPr>
          <w:rFonts w:asciiTheme="majorHAnsi" w:hAnsiTheme="majorHAnsi" w:cstheme="majorHAnsi"/>
          <w:b/>
          <w:bCs/>
          <w:snapToGrid w:val="0"/>
          <w:color w:val="0070C0"/>
          <w:sz w:val="22"/>
          <w:szCs w:val="22"/>
          <w:lang w:val="en-US"/>
        </w:rPr>
        <w:t>LIS</w:t>
      </w:r>
      <w:r w:rsidRPr="006F3D3B">
        <w:rPr>
          <w:rFonts w:asciiTheme="majorHAnsi" w:hAnsiTheme="majorHAnsi" w:cstheme="majorHAnsi"/>
          <w:snapToGrid w:val="0"/>
          <w:sz w:val="22"/>
          <w:szCs w:val="22"/>
          <w:lang w:val="en-US"/>
        </w:rPr>
        <w:t xml:space="preserve"> in terms of its:</w:t>
      </w:r>
    </w:p>
    <w:tbl>
      <w:tblPr>
        <w:tblStyle w:val="TableGrid12"/>
        <w:tblW w:w="9255" w:type="dxa"/>
        <w:tblInd w:w="805" w:type="dxa"/>
        <w:tblLayout w:type="fixed"/>
        <w:tblLook w:val="04A0" w:firstRow="1" w:lastRow="0" w:firstColumn="1" w:lastColumn="0" w:noHBand="0" w:noVBand="1"/>
      </w:tblPr>
      <w:tblGrid>
        <w:gridCol w:w="5853"/>
        <w:gridCol w:w="708"/>
        <w:gridCol w:w="993"/>
        <w:gridCol w:w="708"/>
        <w:gridCol w:w="993"/>
      </w:tblGrid>
      <w:tr w:rsidR="008D0CAD" w:rsidRPr="006F3D3B" w14:paraId="07DF287D" w14:textId="77777777" w:rsidTr="00F4751F">
        <w:trPr>
          <w:trHeight w:val="45"/>
          <w:tblHeader/>
        </w:trPr>
        <w:tc>
          <w:tcPr>
            <w:tcW w:w="5853" w:type="dxa"/>
            <w:shd w:val="clear" w:color="auto" w:fill="D9D9D9" w:themeFill="background1" w:themeFillShade="D9"/>
          </w:tcPr>
          <w:p w14:paraId="3BCDEE66"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lang w:val="en-US"/>
              </w:rPr>
            </w:pPr>
          </w:p>
        </w:tc>
        <w:tc>
          <w:tcPr>
            <w:tcW w:w="708" w:type="dxa"/>
            <w:shd w:val="clear" w:color="auto" w:fill="D9D9D9" w:themeFill="background1" w:themeFillShade="D9"/>
            <w:vAlign w:val="center"/>
          </w:tcPr>
          <w:p w14:paraId="663F9E23"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r w:rsidRPr="006F3D3B">
              <w:rPr>
                <w:rFonts w:asciiTheme="majorHAnsi" w:eastAsiaTheme="minorHAnsi" w:hAnsiTheme="majorHAnsi" w:cstheme="majorHAnsi"/>
                <w:color w:val="000000" w:themeColor="text1"/>
                <w:lang w:val="en-US"/>
              </w:rPr>
              <w:t>Low (1)</w:t>
            </w:r>
          </w:p>
        </w:tc>
        <w:tc>
          <w:tcPr>
            <w:tcW w:w="993" w:type="dxa"/>
            <w:shd w:val="clear" w:color="auto" w:fill="D9D9D9" w:themeFill="background1" w:themeFillShade="D9"/>
            <w:vAlign w:val="center"/>
          </w:tcPr>
          <w:p w14:paraId="31A291D0"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r w:rsidRPr="006F3D3B">
              <w:rPr>
                <w:rFonts w:asciiTheme="majorHAnsi" w:eastAsiaTheme="minorHAnsi" w:hAnsiTheme="majorHAnsi" w:cstheme="majorHAnsi"/>
                <w:color w:val="000000" w:themeColor="text1"/>
                <w:lang w:val="en-US"/>
              </w:rPr>
              <w:t>Mode-rate (2)</w:t>
            </w:r>
          </w:p>
        </w:tc>
        <w:tc>
          <w:tcPr>
            <w:tcW w:w="708" w:type="dxa"/>
            <w:shd w:val="clear" w:color="auto" w:fill="D9D9D9" w:themeFill="background1" w:themeFillShade="D9"/>
            <w:vAlign w:val="center"/>
          </w:tcPr>
          <w:p w14:paraId="44C09E05"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r w:rsidRPr="006F3D3B">
              <w:rPr>
                <w:rFonts w:asciiTheme="majorHAnsi" w:eastAsiaTheme="minorHAnsi" w:hAnsiTheme="majorHAnsi" w:cstheme="majorHAnsi"/>
                <w:color w:val="000000" w:themeColor="text1"/>
                <w:lang w:val="en-US"/>
              </w:rPr>
              <w:t>High (3)</w:t>
            </w:r>
          </w:p>
        </w:tc>
        <w:tc>
          <w:tcPr>
            <w:tcW w:w="993" w:type="dxa"/>
            <w:shd w:val="clear" w:color="auto" w:fill="D9D9D9" w:themeFill="background1" w:themeFillShade="D9"/>
            <w:vAlign w:val="center"/>
          </w:tcPr>
          <w:p w14:paraId="2C7B0E45"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r w:rsidRPr="006F3D3B">
              <w:rPr>
                <w:rFonts w:asciiTheme="majorHAnsi" w:eastAsiaTheme="minorHAnsi" w:hAnsiTheme="majorHAnsi" w:cstheme="majorHAnsi"/>
                <w:color w:val="000000" w:themeColor="text1"/>
                <w:lang w:val="en-US"/>
              </w:rPr>
              <w:t>Very High (4)</w:t>
            </w:r>
          </w:p>
        </w:tc>
      </w:tr>
      <w:tr w:rsidR="008D0CAD" w:rsidRPr="006F3D3B" w14:paraId="5DDCCD45" w14:textId="77777777" w:rsidTr="009C64E9">
        <w:trPr>
          <w:trHeight w:val="281"/>
        </w:trPr>
        <w:tc>
          <w:tcPr>
            <w:tcW w:w="5853" w:type="dxa"/>
          </w:tcPr>
          <w:p w14:paraId="1720F876"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bCs/>
                <w:color w:val="000000"/>
                <w:lang w:val="en-US"/>
              </w:rPr>
            </w:pPr>
            <w:r w:rsidRPr="006F3D3B">
              <w:rPr>
                <w:rFonts w:asciiTheme="majorHAnsi" w:eastAsiaTheme="minorHAnsi" w:hAnsiTheme="majorHAnsi" w:cstheme="majorHAnsi"/>
                <w:b/>
                <w:color w:val="000000"/>
                <w:lang w:val="en-US"/>
              </w:rPr>
              <w:t>Ease of access</w:t>
            </w:r>
            <w:r w:rsidRPr="006F3D3B">
              <w:rPr>
                <w:rFonts w:asciiTheme="majorHAnsi" w:eastAsiaTheme="minorHAnsi" w:hAnsiTheme="majorHAnsi" w:cstheme="majorHAnsi"/>
                <w:color w:val="000000"/>
                <w:lang w:val="en-US"/>
              </w:rPr>
              <w:t xml:space="preserve"> when connecting to the system</w:t>
            </w:r>
          </w:p>
        </w:tc>
        <w:tc>
          <w:tcPr>
            <w:tcW w:w="708" w:type="dxa"/>
            <w:vAlign w:val="center"/>
          </w:tcPr>
          <w:p w14:paraId="66E8916B"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993" w:type="dxa"/>
            <w:vAlign w:val="center"/>
          </w:tcPr>
          <w:p w14:paraId="031FABD0"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708" w:type="dxa"/>
          </w:tcPr>
          <w:p w14:paraId="710EFA4A"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993" w:type="dxa"/>
            <w:vAlign w:val="center"/>
          </w:tcPr>
          <w:p w14:paraId="66A4DDC5"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r>
      <w:tr w:rsidR="008D0CAD" w:rsidRPr="006F3D3B" w14:paraId="0C69969A" w14:textId="77777777" w:rsidTr="009C64E9">
        <w:trPr>
          <w:trHeight w:val="281"/>
        </w:trPr>
        <w:tc>
          <w:tcPr>
            <w:tcW w:w="5853" w:type="dxa"/>
          </w:tcPr>
          <w:p w14:paraId="7ABBAFD2" w14:textId="77777777" w:rsidR="008D0CAD" w:rsidRPr="006F3D3B" w:rsidRDefault="008D0CAD" w:rsidP="00DD08E3">
            <w:pPr>
              <w:spacing w:before="100" w:beforeAutospacing="1" w:after="100" w:afterAutospacing="1" w:line="360" w:lineRule="auto"/>
              <w:rPr>
                <w:rFonts w:asciiTheme="majorHAnsi" w:hAnsiTheme="majorHAnsi" w:cstheme="majorHAnsi"/>
                <w:lang w:val="en-US"/>
              </w:rPr>
            </w:pPr>
            <w:r w:rsidRPr="006F3D3B">
              <w:rPr>
                <w:rFonts w:asciiTheme="majorHAnsi" w:hAnsiTheme="majorHAnsi" w:cstheme="majorHAnsi"/>
                <w:b/>
                <w:lang w:val="en-US"/>
              </w:rPr>
              <w:t>User- friendliness</w:t>
            </w:r>
            <w:r w:rsidRPr="006F3D3B">
              <w:rPr>
                <w:rFonts w:asciiTheme="majorHAnsi" w:hAnsiTheme="majorHAnsi" w:cstheme="majorHAnsi"/>
                <w:lang w:val="en-US"/>
              </w:rPr>
              <w:t xml:space="preserve"> of the system when navigating the site (i.e., does not require intensive training to use)</w:t>
            </w:r>
          </w:p>
        </w:tc>
        <w:tc>
          <w:tcPr>
            <w:tcW w:w="708" w:type="dxa"/>
            <w:vAlign w:val="center"/>
          </w:tcPr>
          <w:p w14:paraId="0D5510BD"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993" w:type="dxa"/>
            <w:vAlign w:val="center"/>
          </w:tcPr>
          <w:p w14:paraId="136FE978"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708" w:type="dxa"/>
          </w:tcPr>
          <w:p w14:paraId="475C6D05"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993" w:type="dxa"/>
            <w:vAlign w:val="center"/>
          </w:tcPr>
          <w:p w14:paraId="3FCF3D25"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r>
      <w:tr w:rsidR="008D0CAD" w:rsidRPr="006F3D3B" w14:paraId="4F23BE6C" w14:textId="77777777" w:rsidTr="009C64E9">
        <w:trPr>
          <w:trHeight w:val="281"/>
        </w:trPr>
        <w:tc>
          <w:tcPr>
            <w:tcW w:w="5853" w:type="dxa"/>
          </w:tcPr>
          <w:p w14:paraId="49C34379" w14:textId="77777777" w:rsidR="008D0CAD" w:rsidRPr="006F3D3B" w:rsidRDefault="008D0CAD" w:rsidP="00DD08E3">
            <w:pPr>
              <w:spacing w:before="100" w:beforeAutospacing="1" w:after="100" w:afterAutospacing="1" w:line="360" w:lineRule="auto"/>
              <w:rPr>
                <w:rFonts w:asciiTheme="majorHAnsi" w:hAnsiTheme="majorHAnsi" w:cstheme="majorHAnsi"/>
                <w:lang w:val="en-US"/>
              </w:rPr>
            </w:pPr>
            <w:r w:rsidRPr="006F3D3B">
              <w:rPr>
                <w:rFonts w:asciiTheme="majorHAnsi" w:hAnsiTheme="majorHAnsi" w:cstheme="majorHAnsi"/>
                <w:b/>
                <w:lang w:val="en-US"/>
              </w:rPr>
              <w:t>Usefulness</w:t>
            </w:r>
            <w:r w:rsidRPr="006F3D3B">
              <w:rPr>
                <w:rFonts w:asciiTheme="majorHAnsi" w:hAnsiTheme="majorHAnsi" w:cstheme="majorHAnsi"/>
                <w:lang w:val="en-US"/>
              </w:rPr>
              <w:t xml:space="preserve"> of system in enhancing school leadership and management (i.e., monitoring students)</w:t>
            </w:r>
          </w:p>
        </w:tc>
        <w:tc>
          <w:tcPr>
            <w:tcW w:w="708" w:type="dxa"/>
            <w:vAlign w:val="center"/>
          </w:tcPr>
          <w:p w14:paraId="63005544"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lang w:val="en-US"/>
              </w:rPr>
            </w:pPr>
            <w:r w:rsidRPr="006F3D3B">
              <w:rPr>
                <w:rFonts w:asciiTheme="majorHAnsi" w:eastAsiaTheme="minorHAnsi" w:hAnsiTheme="majorHAnsi" w:cstheme="majorHAnsi"/>
                <w:color w:val="000000" w:themeColor="text1"/>
                <w:lang w:val="en-US"/>
              </w:rPr>
              <w:t xml:space="preserve"> </w:t>
            </w:r>
          </w:p>
        </w:tc>
        <w:tc>
          <w:tcPr>
            <w:tcW w:w="993" w:type="dxa"/>
            <w:vAlign w:val="center"/>
          </w:tcPr>
          <w:p w14:paraId="1ED40984"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lang w:val="en-US"/>
              </w:rPr>
            </w:pPr>
            <w:r w:rsidRPr="006F3D3B">
              <w:rPr>
                <w:rFonts w:asciiTheme="majorHAnsi" w:eastAsiaTheme="minorHAnsi" w:hAnsiTheme="majorHAnsi" w:cstheme="majorHAnsi"/>
                <w:color w:val="000000" w:themeColor="text1"/>
                <w:lang w:val="en-US"/>
              </w:rPr>
              <w:t xml:space="preserve"> </w:t>
            </w:r>
          </w:p>
        </w:tc>
        <w:tc>
          <w:tcPr>
            <w:tcW w:w="708" w:type="dxa"/>
          </w:tcPr>
          <w:p w14:paraId="477DD170"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993" w:type="dxa"/>
            <w:vAlign w:val="center"/>
          </w:tcPr>
          <w:p w14:paraId="40D89047"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lang w:val="en-US"/>
              </w:rPr>
            </w:pPr>
            <w:r w:rsidRPr="006F3D3B">
              <w:rPr>
                <w:rFonts w:asciiTheme="majorHAnsi" w:eastAsiaTheme="minorHAnsi" w:hAnsiTheme="majorHAnsi" w:cstheme="majorHAnsi"/>
                <w:color w:val="000000" w:themeColor="text1"/>
                <w:lang w:val="en-US"/>
              </w:rPr>
              <w:t xml:space="preserve"> </w:t>
            </w:r>
          </w:p>
        </w:tc>
      </w:tr>
    </w:tbl>
    <w:p w14:paraId="0BC9A345" w14:textId="188620EC" w:rsidR="008D0CAD" w:rsidRPr="006F3D3B" w:rsidRDefault="008D0CAD" w:rsidP="00DD08E3">
      <w:pPr>
        <w:numPr>
          <w:ilvl w:val="0"/>
          <w:numId w:val="81"/>
        </w:numPr>
        <w:spacing w:before="100" w:beforeAutospacing="1" w:after="100" w:afterAutospacing="1" w:line="360" w:lineRule="auto"/>
        <w:contextualSpacing/>
        <w:rPr>
          <w:rFonts w:asciiTheme="majorHAnsi" w:hAnsiTheme="majorHAnsi" w:cstheme="majorHAnsi"/>
          <w:snapToGrid w:val="0"/>
          <w:color w:val="000000"/>
          <w:sz w:val="22"/>
          <w:szCs w:val="22"/>
          <w:lang w:val="en-US"/>
        </w:rPr>
      </w:pPr>
      <w:r w:rsidRPr="006F3D3B">
        <w:rPr>
          <w:rFonts w:asciiTheme="majorHAnsi" w:hAnsiTheme="majorHAnsi" w:cstheme="majorHAnsi"/>
          <w:bCs/>
          <w:snapToGrid w:val="0"/>
          <w:color w:val="000000"/>
          <w:sz w:val="22"/>
          <w:szCs w:val="22"/>
          <w:lang w:val="en-US"/>
        </w:rPr>
        <w:t xml:space="preserve">Do your school and teachers use the </w:t>
      </w:r>
      <w:r w:rsidRPr="006F3D3B">
        <w:rPr>
          <w:rFonts w:asciiTheme="majorHAnsi" w:hAnsiTheme="majorHAnsi" w:cstheme="majorHAnsi"/>
          <w:b/>
          <w:bCs/>
          <w:snapToGrid w:val="0"/>
          <w:color w:val="0070C0"/>
          <w:sz w:val="22"/>
          <w:szCs w:val="22"/>
          <w:lang w:val="en-US"/>
        </w:rPr>
        <w:t>Learning Resource (LR</w:t>
      </w:r>
      <w:r w:rsidRPr="006F3D3B">
        <w:rPr>
          <w:rFonts w:asciiTheme="majorHAnsi" w:hAnsiTheme="majorHAnsi" w:cstheme="majorHAnsi"/>
          <w:b/>
          <w:snapToGrid w:val="0"/>
          <w:color w:val="0070C0"/>
          <w:sz w:val="22"/>
          <w:szCs w:val="22"/>
          <w:lang w:val="en-US"/>
        </w:rPr>
        <w:t xml:space="preserve">) </w:t>
      </w:r>
      <w:r w:rsidRPr="006F3D3B">
        <w:rPr>
          <w:rFonts w:asciiTheme="majorHAnsi" w:hAnsiTheme="majorHAnsi" w:cstheme="majorHAnsi"/>
          <w:b/>
          <w:bCs/>
          <w:snapToGrid w:val="0"/>
          <w:color w:val="0070C0"/>
          <w:sz w:val="22"/>
          <w:szCs w:val="22"/>
          <w:lang w:val="en-US"/>
        </w:rPr>
        <w:t>Portal</w:t>
      </w:r>
      <w:r w:rsidRPr="006F3D3B">
        <w:rPr>
          <w:rFonts w:asciiTheme="majorHAnsi" w:hAnsiTheme="majorHAnsi" w:cstheme="majorHAnsi"/>
          <w:bCs/>
          <w:snapToGrid w:val="0"/>
          <w:color w:val="000000"/>
          <w:sz w:val="22"/>
          <w:szCs w:val="22"/>
          <w:lang w:val="en-US"/>
        </w:rPr>
        <w:t>? ___ Yes</w:t>
      </w:r>
      <w:r w:rsidR="00D434EB">
        <w:rPr>
          <w:rFonts w:asciiTheme="majorHAnsi" w:hAnsiTheme="majorHAnsi" w:cstheme="majorHAnsi"/>
          <w:bCs/>
          <w:snapToGrid w:val="0"/>
          <w:color w:val="000000"/>
          <w:sz w:val="22"/>
          <w:szCs w:val="22"/>
          <w:lang w:val="en-US"/>
        </w:rPr>
        <w:t xml:space="preserve"> </w:t>
      </w:r>
      <w:r w:rsidRPr="006F3D3B">
        <w:rPr>
          <w:rFonts w:asciiTheme="majorHAnsi" w:hAnsiTheme="majorHAnsi" w:cstheme="majorHAnsi"/>
          <w:bCs/>
          <w:snapToGrid w:val="0"/>
          <w:color w:val="000000"/>
          <w:sz w:val="22"/>
          <w:szCs w:val="22"/>
          <w:lang w:val="en-US"/>
        </w:rPr>
        <w:t xml:space="preserve"> ___ No</w:t>
      </w:r>
    </w:p>
    <w:p w14:paraId="5189369A" w14:textId="77777777" w:rsidR="008D0CAD" w:rsidRPr="006F3D3B" w:rsidRDefault="008D0CAD" w:rsidP="00DD08E3">
      <w:pPr>
        <w:numPr>
          <w:ilvl w:val="1"/>
          <w:numId w:val="81"/>
        </w:numPr>
        <w:spacing w:before="100" w:beforeAutospacing="1" w:after="100" w:afterAutospacing="1" w:line="360" w:lineRule="auto"/>
        <w:ind w:left="851" w:hanging="491"/>
        <w:contextualSpacing/>
        <w:rPr>
          <w:rFonts w:asciiTheme="majorHAnsi" w:hAnsiTheme="majorHAnsi" w:cstheme="majorHAnsi"/>
          <w:snapToGrid w:val="0"/>
          <w:color w:val="000000"/>
          <w:sz w:val="22"/>
          <w:szCs w:val="22"/>
          <w:lang w:val="en-US"/>
        </w:rPr>
      </w:pPr>
      <w:r w:rsidRPr="006F3D3B">
        <w:rPr>
          <w:rFonts w:asciiTheme="majorHAnsi" w:hAnsiTheme="majorHAnsi" w:cstheme="majorHAnsi"/>
          <w:snapToGrid w:val="0"/>
          <w:sz w:val="22"/>
          <w:szCs w:val="22"/>
          <w:lang w:val="en-US"/>
        </w:rPr>
        <w:t xml:space="preserve">If Yes, on a scale of 1 to 4 (with 4 being Very High), </w:t>
      </w:r>
      <w:r w:rsidRPr="006F3D3B">
        <w:rPr>
          <w:rFonts w:asciiTheme="majorHAnsi" w:hAnsiTheme="majorHAnsi" w:cstheme="majorHAnsi"/>
          <w:snapToGrid w:val="0"/>
          <w:color w:val="000000"/>
          <w:sz w:val="22"/>
          <w:szCs w:val="22"/>
          <w:lang w:val="en-US"/>
        </w:rPr>
        <w:t xml:space="preserve">rate the </w:t>
      </w:r>
      <w:r w:rsidRPr="006F3D3B">
        <w:rPr>
          <w:rFonts w:asciiTheme="majorHAnsi" w:hAnsiTheme="majorHAnsi" w:cstheme="majorHAnsi"/>
          <w:b/>
          <w:bCs/>
          <w:snapToGrid w:val="0"/>
          <w:color w:val="0070C0"/>
          <w:sz w:val="22"/>
          <w:szCs w:val="22"/>
          <w:lang w:val="en-US"/>
        </w:rPr>
        <w:t>LR</w:t>
      </w:r>
      <w:r w:rsidRPr="006F3D3B">
        <w:rPr>
          <w:rFonts w:asciiTheme="majorHAnsi" w:hAnsiTheme="majorHAnsi" w:cstheme="majorHAnsi"/>
          <w:b/>
          <w:snapToGrid w:val="0"/>
          <w:color w:val="0070C0"/>
          <w:sz w:val="22"/>
          <w:szCs w:val="22"/>
          <w:lang w:val="en-US"/>
        </w:rPr>
        <w:t xml:space="preserve"> </w:t>
      </w:r>
      <w:r w:rsidRPr="006F3D3B">
        <w:rPr>
          <w:rFonts w:asciiTheme="majorHAnsi" w:hAnsiTheme="majorHAnsi" w:cstheme="majorHAnsi"/>
          <w:b/>
          <w:bCs/>
          <w:snapToGrid w:val="0"/>
          <w:color w:val="0070C0"/>
          <w:sz w:val="22"/>
          <w:szCs w:val="22"/>
          <w:lang w:val="en-US"/>
        </w:rPr>
        <w:t>Portal</w:t>
      </w:r>
      <w:r w:rsidRPr="006F3D3B">
        <w:rPr>
          <w:rFonts w:asciiTheme="majorHAnsi" w:hAnsiTheme="majorHAnsi" w:cstheme="majorHAnsi"/>
          <w:snapToGrid w:val="0"/>
          <w:sz w:val="22"/>
          <w:szCs w:val="22"/>
          <w:lang w:val="en-US"/>
        </w:rPr>
        <w:t xml:space="preserve"> in terms of its:</w:t>
      </w:r>
    </w:p>
    <w:tbl>
      <w:tblPr>
        <w:tblStyle w:val="TableGrid12"/>
        <w:tblW w:w="9255" w:type="dxa"/>
        <w:tblInd w:w="805" w:type="dxa"/>
        <w:tblLayout w:type="fixed"/>
        <w:tblLook w:val="04A0" w:firstRow="1" w:lastRow="0" w:firstColumn="1" w:lastColumn="0" w:noHBand="0" w:noVBand="1"/>
      </w:tblPr>
      <w:tblGrid>
        <w:gridCol w:w="5853"/>
        <w:gridCol w:w="708"/>
        <w:gridCol w:w="993"/>
        <w:gridCol w:w="708"/>
        <w:gridCol w:w="993"/>
      </w:tblGrid>
      <w:tr w:rsidR="008D0CAD" w:rsidRPr="006F3D3B" w14:paraId="46DCC845" w14:textId="77777777" w:rsidTr="00F4751F">
        <w:trPr>
          <w:trHeight w:val="45"/>
          <w:tblHeader/>
        </w:trPr>
        <w:tc>
          <w:tcPr>
            <w:tcW w:w="5853" w:type="dxa"/>
            <w:shd w:val="clear" w:color="auto" w:fill="D9D9D9" w:themeFill="background1" w:themeFillShade="D9"/>
          </w:tcPr>
          <w:p w14:paraId="1800960D"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lang w:val="en-US"/>
              </w:rPr>
            </w:pPr>
          </w:p>
        </w:tc>
        <w:tc>
          <w:tcPr>
            <w:tcW w:w="708" w:type="dxa"/>
            <w:shd w:val="clear" w:color="auto" w:fill="D9D9D9" w:themeFill="background1" w:themeFillShade="D9"/>
            <w:vAlign w:val="center"/>
          </w:tcPr>
          <w:p w14:paraId="69893DF9"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r w:rsidRPr="006F3D3B">
              <w:rPr>
                <w:rFonts w:asciiTheme="majorHAnsi" w:eastAsiaTheme="minorHAnsi" w:hAnsiTheme="majorHAnsi" w:cstheme="majorHAnsi"/>
                <w:color w:val="000000" w:themeColor="text1"/>
                <w:lang w:val="en-US"/>
              </w:rPr>
              <w:t>Low (1)</w:t>
            </w:r>
          </w:p>
        </w:tc>
        <w:tc>
          <w:tcPr>
            <w:tcW w:w="993" w:type="dxa"/>
            <w:shd w:val="clear" w:color="auto" w:fill="D9D9D9" w:themeFill="background1" w:themeFillShade="D9"/>
            <w:vAlign w:val="center"/>
          </w:tcPr>
          <w:p w14:paraId="511B5DB6"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r w:rsidRPr="006F3D3B">
              <w:rPr>
                <w:rFonts w:asciiTheme="majorHAnsi" w:eastAsiaTheme="minorHAnsi" w:hAnsiTheme="majorHAnsi" w:cstheme="majorHAnsi"/>
                <w:color w:val="000000" w:themeColor="text1"/>
                <w:lang w:val="en-US"/>
              </w:rPr>
              <w:t>Mode-rate (2)</w:t>
            </w:r>
          </w:p>
        </w:tc>
        <w:tc>
          <w:tcPr>
            <w:tcW w:w="708" w:type="dxa"/>
            <w:shd w:val="clear" w:color="auto" w:fill="D9D9D9" w:themeFill="background1" w:themeFillShade="D9"/>
            <w:vAlign w:val="center"/>
          </w:tcPr>
          <w:p w14:paraId="21E6EA4F"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r w:rsidRPr="006F3D3B">
              <w:rPr>
                <w:rFonts w:asciiTheme="majorHAnsi" w:eastAsiaTheme="minorHAnsi" w:hAnsiTheme="majorHAnsi" w:cstheme="majorHAnsi"/>
                <w:color w:val="000000" w:themeColor="text1"/>
                <w:lang w:val="en-US"/>
              </w:rPr>
              <w:t>High (3)</w:t>
            </w:r>
          </w:p>
        </w:tc>
        <w:tc>
          <w:tcPr>
            <w:tcW w:w="993" w:type="dxa"/>
            <w:shd w:val="clear" w:color="auto" w:fill="D9D9D9" w:themeFill="background1" w:themeFillShade="D9"/>
            <w:vAlign w:val="center"/>
          </w:tcPr>
          <w:p w14:paraId="32B78E59"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r w:rsidRPr="006F3D3B">
              <w:rPr>
                <w:rFonts w:asciiTheme="majorHAnsi" w:eastAsiaTheme="minorHAnsi" w:hAnsiTheme="majorHAnsi" w:cstheme="majorHAnsi"/>
                <w:color w:val="000000" w:themeColor="text1"/>
                <w:lang w:val="en-US"/>
              </w:rPr>
              <w:t>Very High (4)</w:t>
            </w:r>
          </w:p>
        </w:tc>
      </w:tr>
      <w:tr w:rsidR="008D0CAD" w:rsidRPr="006F3D3B" w14:paraId="738A06BC" w14:textId="77777777" w:rsidTr="009C64E9">
        <w:trPr>
          <w:trHeight w:val="281"/>
        </w:trPr>
        <w:tc>
          <w:tcPr>
            <w:tcW w:w="5853" w:type="dxa"/>
          </w:tcPr>
          <w:p w14:paraId="1EFBD40A"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bCs/>
                <w:color w:val="000000"/>
                <w:lang w:val="en-US"/>
              </w:rPr>
            </w:pPr>
            <w:r w:rsidRPr="006F3D3B">
              <w:rPr>
                <w:rFonts w:asciiTheme="majorHAnsi" w:eastAsiaTheme="minorHAnsi" w:hAnsiTheme="majorHAnsi" w:cstheme="majorHAnsi"/>
                <w:b/>
                <w:color w:val="000000"/>
                <w:lang w:val="en-US"/>
              </w:rPr>
              <w:t>Ease of access</w:t>
            </w:r>
            <w:r w:rsidRPr="006F3D3B">
              <w:rPr>
                <w:rFonts w:asciiTheme="majorHAnsi" w:eastAsiaTheme="minorHAnsi" w:hAnsiTheme="majorHAnsi" w:cstheme="majorHAnsi"/>
                <w:color w:val="000000"/>
                <w:lang w:val="en-US"/>
              </w:rPr>
              <w:t xml:space="preserve"> when connecting to the system</w:t>
            </w:r>
          </w:p>
        </w:tc>
        <w:tc>
          <w:tcPr>
            <w:tcW w:w="708" w:type="dxa"/>
            <w:vAlign w:val="center"/>
          </w:tcPr>
          <w:p w14:paraId="3E02365C"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993" w:type="dxa"/>
            <w:vAlign w:val="center"/>
          </w:tcPr>
          <w:p w14:paraId="75EC4022"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708" w:type="dxa"/>
          </w:tcPr>
          <w:p w14:paraId="03655AF5"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993" w:type="dxa"/>
            <w:vAlign w:val="center"/>
          </w:tcPr>
          <w:p w14:paraId="625F0D31"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r>
      <w:tr w:rsidR="008D0CAD" w:rsidRPr="006F3D3B" w14:paraId="6C2A838D" w14:textId="77777777" w:rsidTr="009C64E9">
        <w:trPr>
          <w:trHeight w:val="281"/>
        </w:trPr>
        <w:tc>
          <w:tcPr>
            <w:tcW w:w="5853" w:type="dxa"/>
          </w:tcPr>
          <w:p w14:paraId="113156C2" w14:textId="77777777" w:rsidR="008D0CAD" w:rsidRPr="006F3D3B" w:rsidRDefault="008D0CAD" w:rsidP="00DD08E3">
            <w:pPr>
              <w:spacing w:before="100" w:beforeAutospacing="1" w:after="100" w:afterAutospacing="1" w:line="360" w:lineRule="auto"/>
              <w:rPr>
                <w:rFonts w:asciiTheme="majorHAnsi" w:hAnsiTheme="majorHAnsi" w:cstheme="majorHAnsi"/>
                <w:lang w:val="en-US"/>
              </w:rPr>
            </w:pPr>
            <w:r w:rsidRPr="006F3D3B">
              <w:rPr>
                <w:rFonts w:asciiTheme="majorHAnsi" w:hAnsiTheme="majorHAnsi" w:cstheme="majorHAnsi"/>
                <w:b/>
                <w:lang w:val="en-US"/>
              </w:rPr>
              <w:t>User- friendliness</w:t>
            </w:r>
            <w:r w:rsidRPr="006F3D3B">
              <w:rPr>
                <w:rFonts w:asciiTheme="majorHAnsi" w:hAnsiTheme="majorHAnsi" w:cstheme="majorHAnsi"/>
                <w:lang w:val="en-US"/>
              </w:rPr>
              <w:t xml:space="preserve"> of the system when navigating the site (i.e., does not require intensive training to use)</w:t>
            </w:r>
          </w:p>
        </w:tc>
        <w:tc>
          <w:tcPr>
            <w:tcW w:w="708" w:type="dxa"/>
            <w:vAlign w:val="center"/>
          </w:tcPr>
          <w:p w14:paraId="2CD9F8B7"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993" w:type="dxa"/>
            <w:vAlign w:val="center"/>
          </w:tcPr>
          <w:p w14:paraId="41274CB6"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708" w:type="dxa"/>
          </w:tcPr>
          <w:p w14:paraId="1BB6BFDB"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993" w:type="dxa"/>
            <w:vAlign w:val="center"/>
          </w:tcPr>
          <w:p w14:paraId="4CEAF0F3"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r>
      <w:tr w:rsidR="008D0CAD" w:rsidRPr="006F3D3B" w14:paraId="00995EFF" w14:textId="77777777" w:rsidTr="009C64E9">
        <w:trPr>
          <w:trHeight w:val="281"/>
        </w:trPr>
        <w:tc>
          <w:tcPr>
            <w:tcW w:w="5853" w:type="dxa"/>
          </w:tcPr>
          <w:p w14:paraId="360599EE" w14:textId="77777777" w:rsidR="008D0CAD" w:rsidRPr="006F3D3B" w:rsidRDefault="008D0CAD" w:rsidP="00DD08E3">
            <w:pPr>
              <w:spacing w:before="100" w:beforeAutospacing="1" w:after="100" w:afterAutospacing="1" w:line="360" w:lineRule="auto"/>
              <w:rPr>
                <w:rFonts w:asciiTheme="majorHAnsi" w:hAnsiTheme="majorHAnsi" w:cstheme="majorHAnsi"/>
                <w:lang w:val="en-US"/>
              </w:rPr>
            </w:pPr>
            <w:r w:rsidRPr="006F3D3B">
              <w:rPr>
                <w:rFonts w:asciiTheme="majorHAnsi" w:hAnsiTheme="majorHAnsi" w:cstheme="majorHAnsi"/>
                <w:b/>
                <w:lang w:val="en-US"/>
              </w:rPr>
              <w:t>Usefulness</w:t>
            </w:r>
            <w:r w:rsidRPr="006F3D3B">
              <w:rPr>
                <w:rFonts w:asciiTheme="majorHAnsi" w:hAnsiTheme="majorHAnsi" w:cstheme="majorHAnsi"/>
                <w:lang w:val="en-US"/>
              </w:rPr>
              <w:t xml:space="preserve"> of system in enhancing school leadership and management (i.e., access to resources)</w:t>
            </w:r>
          </w:p>
        </w:tc>
        <w:tc>
          <w:tcPr>
            <w:tcW w:w="708" w:type="dxa"/>
            <w:vAlign w:val="center"/>
          </w:tcPr>
          <w:p w14:paraId="0FEF13E9"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lang w:val="en-US"/>
              </w:rPr>
            </w:pPr>
            <w:r w:rsidRPr="006F3D3B">
              <w:rPr>
                <w:rFonts w:asciiTheme="majorHAnsi" w:eastAsiaTheme="minorHAnsi" w:hAnsiTheme="majorHAnsi" w:cstheme="majorHAnsi"/>
                <w:color w:val="000000" w:themeColor="text1"/>
                <w:lang w:val="en-US"/>
              </w:rPr>
              <w:t xml:space="preserve"> </w:t>
            </w:r>
          </w:p>
        </w:tc>
        <w:tc>
          <w:tcPr>
            <w:tcW w:w="993" w:type="dxa"/>
            <w:vAlign w:val="center"/>
          </w:tcPr>
          <w:p w14:paraId="61DB79F4"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lang w:val="en-US"/>
              </w:rPr>
            </w:pPr>
            <w:r w:rsidRPr="006F3D3B">
              <w:rPr>
                <w:rFonts w:asciiTheme="majorHAnsi" w:eastAsiaTheme="minorHAnsi" w:hAnsiTheme="majorHAnsi" w:cstheme="majorHAnsi"/>
                <w:color w:val="000000" w:themeColor="text1"/>
                <w:lang w:val="en-US"/>
              </w:rPr>
              <w:t xml:space="preserve"> </w:t>
            </w:r>
          </w:p>
        </w:tc>
        <w:tc>
          <w:tcPr>
            <w:tcW w:w="708" w:type="dxa"/>
          </w:tcPr>
          <w:p w14:paraId="3BE27B34"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lang w:val="en-US"/>
              </w:rPr>
            </w:pPr>
          </w:p>
        </w:tc>
        <w:tc>
          <w:tcPr>
            <w:tcW w:w="993" w:type="dxa"/>
            <w:vAlign w:val="center"/>
          </w:tcPr>
          <w:p w14:paraId="7A9D5380" w14:textId="77777777" w:rsidR="008D0CAD" w:rsidRPr="006F3D3B"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lang w:val="en-US"/>
              </w:rPr>
            </w:pPr>
            <w:r w:rsidRPr="006F3D3B">
              <w:rPr>
                <w:rFonts w:asciiTheme="majorHAnsi" w:eastAsiaTheme="minorHAnsi" w:hAnsiTheme="majorHAnsi" w:cstheme="majorHAnsi"/>
                <w:color w:val="000000" w:themeColor="text1"/>
                <w:lang w:val="en-US"/>
              </w:rPr>
              <w:t xml:space="preserve"> </w:t>
            </w:r>
          </w:p>
        </w:tc>
      </w:tr>
    </w:tbl>
    <w:p w14:paraId="61E8E584" w14:textId="6CA9C823" w:rsidR="008D0CAD" w:rsidRPr="006F3D3B" w:rsidRDefault="008D0CAD" w:rsidP="00DD08E3">
      <w:pPr>
        <w:numPr>
          <w:ilvl w:val="0"/>
          <w:numId w:val="81"/>
        </w:numPr>
        <w:spacing w:before="100" w:beforeAutospacing="1" w:after="100" w:afterAutospacing="1" w:line="360" w:lineRule="auto"/>
        <w:contextualSpacing/>
        <w:rPr>
          <w:rFonts w:asciiTheme="majorHAnsi" w:hAnsiTheme="majorHAnsi" w:cstheme="majorHAnsi"/>
          <w:snapToGrid w:val="0"/>
          <w:color w:val="000000" w:themeColor="text1"/>
          <w:sz w:val="22"/>
          <w:szCs w:val="22"/>
          <w:lang w:val="en-US"/>
        </w:rPr>
      </w:pPr>
      <w:r w:rsidRPr="006F3D3B">
        <w:rPr>
          <w:rFonts w:asciiTheme="majorHAnsi" w:hAnsiTheme="majorHAnsi" w:cstheme="majorHAnsi"/>
          <w:bCs/>
          <w:snapToGrid w:val="0"/>
          <w:color w:val="000000" w:themeColor="text1"/>
          <w:sz w:val="22"/>
          <w:szCs w:val="22"/>
          <w:lang w:val="en-US"/>
        </w:rPr>
        <w:t xml:space="preserve">Does your school implement </w:t>
      </w:r>
      <w:r w:rsidRPr="006F3D3B">
        <w:rPr>
          <w:rFonts w:asciiTheme="majorHAnsi" w:hAnsiTheme="majorHAnsi" w:cstheme="majorHAnsi"/>
          <w:b/>
          <w:snapToGrid w:val="0"/>
          <w:color w:val="000000" w:themeColor="text1"/>
          <w:sz w:val="22"/>
          <w:szCs w:val="22"/>
          <w:lang w:val="en-US"/>
        </w:rPr>
        <w:t>Responsive Basic Education</w:t>
      </w:r>
      <w:r w:rsidRPr="006F3D3B">
        <w:rPr>
          <w:rFonts w:asciiTheme="majorHAnsi" w:hAnsiTheme="majorHAnsi" w:cstheme="majorHAnsi"/>
          <w:bCs/>
          <w:snapToGrid w:val="0"/>
          <w:color w:val="000000" w:themeColor="text1"/>
          <w:sz w:val="22"/>
          <w:szCs w:val="22"/>
          <w:lang w:val="en-US"/>
        </w:rPr>
        <w:t>? ___ Yes</w:t>
      </w:r>
      <w:r w:rsidR="00D434EB">
        <w:rPr>
          <w:rFonts w:asciiTheme="majorHAnsi" w:hAnsiTheme="majorHAnsi" w:cstheme="majorHAnsi"/>
          <w:bCs/>
          <w:snapToGrid w:val="0"/>
          <w:color w:val="000000" w:themeColor="text1"/>
          <w:sz w:val="22"/>
          <w:szCs w:val="22"/>
          <w:lang w:val="en-US"/>
        </w:rPr>
        <w:t xml:space="preserve"> </w:t>
      </w:r>
      <w:r w:rsidRPr="006F3D3B">
        <w:rPr>
          <w:rFonts w:asciiTheme="majorHAnsi" w:hAnsiTheme="majorHAnsi" w:cstheme="majorHAnsi"/>
          <w:bCs/>
          <w:snapToGrid w:val="0"/>
          <w:color w:val="000000" w:themeColor="text1"/>
          <w:sz w:val="22"/>
          <w:szCs w:val="22"/>
          <w:lang w:val="en-US"/>
        </w:rPr>
        <w:t xml:space="preserve"> ___ No</w:t>
      </w:r>
    </w:p>
    <w:p w14:paraId="7A6C90CB" w14:textId="486FCEB7" w:rsidR="008D0CAD" w:rsidRPr="006F3D3B" w:rsidRDefault="008D0CAD" w:rsidP="00DD08E3">
      <w:pPr>
        <w:numPr>
          <w:ilvl w:val="0"/>
          <w:numId w:val="81"/>
        </w:numPr>
        <w:spacing w:before="100" w:beforeAutospacing="1" w:after="100" w:afterAutospacing="1" w:line="360" w:lineRule="auto"/>
        <w:contextualSpacing/>
        <w:rPr>
          <w:rFonts w:asciiTheme="majorHAnsi" w:hAnsiTheme="majorHAnsi" w:cstheme="majorHAnsi"/>
          <w:snapToGrid w:val="0"/>
          <w:color w:val="000000" w:themeColor="text1"/>
          <w:sz w:val="22"/>
          <w:szCs w:val="22"/>
          <w:lang w:val="en-US"/>
        </w:rPr>
      </w:pPr>
      <w:r w:rsidRPr="006F3D3B">
        <w:rPr>
          <w:rFonts w:asciiTheme="majorHAnsi" w:hAnsiTheme="majorHAnsi" w:cstheme="majorHAnsi"/>
          <w:bCs/>
          <w:snapToGrid w:val="0"/>
          <w:color w:val="000000" w:themeColor="text1"/>
          <w:sz w:val="22"/>
          <w:szCs w:val="22"/>
          <w:lang w:val="en-US"/>
        </w:rPr>
        <w:t xml:space="preserve">Does your school implement </w:t>
      </w:r>
      <w:r w:rsidRPr="006F3D3B">
        <w:rPr>
          <w:rFonts w:asciiTheme="majorHAnsi" w:hAnsiTheme="majorHAnsi" w:cstheme="majorHAnsi"/>
          <w:b/>
          <w:snapToGrid w:val="0"/>
          <w:color w:val="000000" w:themeColor="text1"/>
          <w:sz w:val="22"/>
          <w:szCs w:val="22"/>
          <w:lang w:val="en-US"/>
        </w:rPr>
        <w:t>Inclusive Education (IE)</w:t>
      </w:r>
      <w:r w:rsidRPr="006F3D3B">
        <w:rPr>
          <w:rFonts w:asciiTheme="majorHAnsi" w:hAnsiTheme="majorHAnsi" w:cstheme="majorHAnsi"/>
          <w:bCs/>
          <w:snapToGrid w:val="0"/>
          <w:color w:val="000000" w:themeColor="text1"/>
          <w:sz w:val="22"/>
          <w:szCs w:val="22"/>
          <w:lang w:val="en-US"/>
        </w:rPr>
        <w:t>? ___ Yes</w:t>
      </w:r>
      <w:r w:rsidR="00D434EB">
        <w:rPr>
          <w:rFonts w:asciiTheme="majorHAnsi" w:hAnsiTheme="majorHAnsi" w:cstheme="majorHAnsi"/>
          <w:bCs/>
          <w:snapToGrid w:val="0"/>
          <w:color w:val="000000" w:themeColor="text1"/>
          <w:sz w:val="22"/>
          <w:szCs w:val="22"/>
          <w:lang w:val="en-US"/>
        </w:rPr>
        <w:t xml:space="preserve"> </w:t>
      </w:r>
      <w:r w:rsidRPr="006F3D3B">
        <w:rPr>
          <w:rFonts w:asciiTheme="majorHAnsi" w:hAnsiTheme="majorHAnsi" w:cstheme="majorHAnsi"/>
          <w:bCs/>
          <w:snapToGrid w:val="0"/>
          <w:color w:val="000000" w:themeColor="text1"/>
          <w:sz w:val="22"/>
          <w:szCs w:val="22"/>
          <w:lang w:val="en-US"/>
        </w:rPr>
        <w:t xml:space="preserve"> ___ No</w:t>
      </w:r>
    </w:p>
    <w:p w14:paraId="1ECB4908" w14:textId="045A20D2" w:rsidR="008D0CAD" w:rsidRPr="006F3D3B" w:rsidRDefault="008D0CAD" w:rsidP="00DD08E3">
      <w:pPr>
        <w:numPr>
          <w:ilvl w:val="0"/>
          <w:numId w:val="81"/>
        </w:numPr>
        <w:spacing w:before="100" w:beforeAutospacing="1" w:after="100" w:afterAutospacing="1" w:line="360" w:lineRule="auto"/>
        <w:contextualSpacing/>
        <w:rPr>
          <w:rFonts w:asciiTheme="majorHAnsi" w:hAnsiTheme="majorHAnsi" w:cstheme="majorHAnsi"/>
          <w:snapToGrid w:val="0"/>
          <w:color w:val="000000" w:themeColor="text1"/>
          <w:sz w:val="22"/>
          <w:szCs w:val="22"/>
          <w:lang w:val="en-US"/>
        </w:rPr>
      </w:pPr>
      <w:r w:rsidRPr="006F3D3B">
        <w:rPr>
          <w:rFonts w:asciiTheme="majorHAnsi" w:hAnsiTheme="majorHAnsi" w:cstheme="majorHAnsi"/>
          <w:bCs/>
          <w:snapToGrid w:val="0"/>
          <w:color w:val="000000" w:themeColor="text1"/>
          <w:sz w:val="22"/>
          <w:szCs w:val="22"/>
          <w:lang w:val="en-US"/>
        </w:rPr>
        <w:t xml:space="preserve">Does your school practice the </w:t>
      </w:r>
      <w:r w:rsidRPr="006F3D3B">
        <w:rPr>
          <w:rFonts w:asciiTheme="majorHAnsi" w:hAnsiTheme="majorHAnsi" w:cstheme="majorHAnsi"/>
          <w:b/>
          <w:snapToGrid w:val="0"/>
          <w:color w:val="000000" w:themeColor="text1"/>
          <w:sz w:val="22"/>
          <w:szCs w:val="22"/>
          <w:lang w:val="en-US"/>
        </w:rPr>
        <w:t xml:space="preserve">Gender-Responsive Basic Education (GRBE) </w:t>
      </w:r>
      <w:r w:rsidRPr="006F3D3B">
        <w:rPr>
          <w:rFonts w:asciiTheme="majorHAnsi" w:hAnsiTheme="majorHAnsi" w:cstheme="majorHAnsi"/>
          <w:snapToGrid w:val="0"/>
          <w:color w:val="000000" w:themeColor="text1"/>
          <w:sz w:val="22"/>
          <w:szCs w:val="22"/>
          <w:lang w:val="en-US"/>
        </w:rPr>
        <w:t>as prescribed in DO</w:t>
      </w:r>
      <w:r w:rsidRPr="006F3D3B">
        <w:rPr>
          <w:rFonts w:asciiTheme="majorHAnsi" w:hAnsiTheme="majorHAnsi" w:cstheme="majorHAnsi"/>
          <w:b/>
          <w:snapToGrid w:val="0"/>
          <w:color w:val="000000" w:themeColor="text1"/>
          <w:sz w:val="22"/>
          <w:szCs w:val="22"/>
          <w:lang w:val="en-US"/>
        </w:rPr>
        <w:t xml:space="preserve"> </w:t>
      </w:r>
      <w:r w:rsidRPr="006F3D3B">
        <w:rPr>
          <w:rFonts w:asciiTheme="majorHAnsi" w:hAnsiTheme="majorHAnsi" w:cstheme="majorHAnsi"/>
          <w:bCs/>
          <w:snapToGrid w:val="0"/>
          <w:color w:val="000000"/>
          <w:sz w:val="22"/>
          <w:szCs w:val="22"/>
          <w:lang w:val="en-US"/>
        </w:rPr>
        <w:t>No. 32 s. 2017</w:t>
      </w:r>
      <w:r w:rsidRPr="006F3D3B">
        <w:rPr>
          <w:rFonts w:asciiTheme="majorHAnsi" w:hAnsiTheme="majorHAnsi" w:cstheme="majorHAnsi"/>
          <w:bCs/>
          <w:snapToGrid w:val="0"/>
          <w:color w:val="000000" w:themeColor="text1"/>
          <w:sz w:val="22"/>
          <w:szCs w:val="22"/>
          <w:lang w:val="en-US"/>
        </w:rPr>
        <w:t>? ___ Yes</w:t>
      </w:r>
      <w:r w:rsidR="00D434EB">
        <w:rPr>
          <w:rFonts w:asciiTheme="majorHAnsi" w:hAnsiTheme="majorHAnsi" w:cstheme="majorHAnsi"/>
          <w:bCs/>
          <w:snapToGrid w:val="0"/>
          <w:color w:val="000000" w:themeColor="text1"/>
          <w:sz w:val="22"/>
          <w:szCs w:val="22"/>
          <w:lang w:val="en-US"/>
        </w:rPr>
        <w:t xml:space="preserve"> </w:t>
      </w:r>
      <w:r w:rsidRPr="006F3D3B">
        <w:rPr>
          <w:rFonts w:asciiTheme="majorHAnsi" w:hAnsiTheme="majorHAnsi" w:cstheme="majorHAnsi"/>
          <w:bCs/>
          <w:snapToGrid w:val="0"/>
          <w:color w:val="000000" w:themeColor="text1"/>
          <w:sz w:val="22"/>
          <w:szCs w:val="22"/>
          <w:lang w:val="en-US"/>
        </w:rPr>
        <w:t xml:space="preserve"> ___ No</w:t>
      </w:r>
    </w:p>
    <w:p w14:paraId="39547A32" w14:textId="77777777" w:rsidR="008D0CAD" w:rsidRPr="006F3D3B" w:rsidRDefault="008D0CAD" w:rsidP="00DD08E3">
      <w:pPr>
        <w:numPr>
          <w:ilvl w:val="0"/>
          <w:numId w:val="81"/>
        </w:numPr>
        <w:spacing w:before="100" w:beforeAutospacing="1" w:after="100" w:afterAutospacing="1" w:line="360" w:lineRule="auto"/>
        <w:contextualSpacing/>
        <w:rPr>
          <w:rFonts w:asciiTheme="majorHAnsi" w:hAnsiTheme="majorHAnsi" w:cstheme="majorHAnsi"/>
          <w:snapToGrid w:val="0"/>
          <w:color w:val="000000" w:themeColor="text1"/>
          <w:sz w:val="22"/>
          <w:szCs w:val="22"/>
          <w:lang w:val="en-US"/>
        </w:rPr>
      </w:pPr>
      <w:r w:rsidRPr="006F3D3B">
        <w:rPr>
          <w:rFonts w:asciiTheme="majorHAnsi" w:hAnsiTheme="majorHAnsi" w:cstheme="majorHAnsi"/>
          <w:bCs/>
          <w:snapToGrid w:val="0"/>
          <w:color w:val="000000" w:themeColor="text1"/>
          <w:sz w:val="22"/>
          <w:szCs w:val="22"/>
          <w:lang w:val="en-US"/>
        </w:rPr>
        <w:t>Does your school use the following?</w:t>
      </w:r>
    </w:p>
    <w:p w14:paraId="78E0A7C1" w14:textId="5B2C24B2" w:rsidR="008D0CAD" w:rsidRPr="006F3D3B" w:rsidRDefault="008D0CAD" w:rsidP="00DD08E3">
      <w:pPr>
        <w:numPr>
          <w:ilvl w:val="1"/>
          <w:numId w:val="81"/>
        </w:numPr>
        <w:spacing w:before="100" w:beforeAutospacing="1" w:after="100" w:afterAutospacing="1" w:line="360" w:lineRule="auto"/>
        <w:ind w:left="851" w:hanging="491"/>
        <w:contextualSpacing/>
        <w:rPr>
          <w:rFonts w:asciiTheme="majorHAnsi" w:hAnsiTheme="majorHAnsi" w:cstheme="majorHAnsi"/>
          <w:snapToGrid w:val="0"/>
          <w:color w:val="000000" w:themeColor="text1"/>
          <w:sz w:val="22"/>
          <w:szCs w:val="22"/>
          <w:lang w:val="en-US"/>
        </w:rPr>
      </w:pPr>
      <w:r w:rsidRPr="006F3D3B">
        <w:rPr>
          <w:rFonts w:asciiTheme="majorHAnsi" w:hAnsiTheme="majorHAnsi" w:cstheme="majorHAnsi"/>
          <w:bCs/>
          <w:snapToGrid w:val="0"/>
          <w:color w:val="000000" w:themeColor="text1"/>
          <w:sz w:val="22"/>
          <w:szCs w:val="22"/>
          <w:lang w:val="en-US"/>
        </w:rPr>
        <w:t>Teaching and learning materials for Children with Disabilities (CWD)?</w:t>
      </w:r>
      <w:r w:rsidR="00D434EB">
        <w:rPr>
          <w:rFonts w:asciiTheme="majorHAnsi" w:hAnsiTheme="majorHAnsi" w:cstheme="majorHAnsi"/>
          <w:bCs/>
          <w:snapToGrid w:val="0"/>
          <w:color w:val="000000" w:themeColor="text1"/>
          <w:sz w:val="22"/>
          <w:szCs w:val="22"/>
          <w:lang w:val="en-US"/>
        </w:rPr>
        <w:t xml:space="preserve"> </w:t>
      </w:r>
      <w:r w:rsidRPr="006F3D3B">
        <w:rPr>
          <w:rFonts w:asciiTheme="majorHAnsi" w:hAnsiTheme="majorHAnsi" w:cstheme="majorHAnsi"/>
          <w:bCs/>
          <w:snapToGrid w:val="0"/>
          <w:color w:val="000000" w:themeColor="text1"/>
          <w:sz w:val="22"/>
          <w:szCs w:val="22"/>
          <w:lang w:val="en-US"/>
        </w:rPr>
        <w:t>___ Yes</w:t>
      </w:r>
      <w:r w:rsidR="00D434EB">
        <w:rPr>
          <w:rFonts w:asciiTheme="majorHAnsi" w:hAnsiTheme="majorHAnsi" w:cstheme="majorHAnsi"/>
          <w:bCs/>
          <w:snapToGrid w:val="0"/>
          <w:color w:val="000000" w:themeColor="text1"/>
          <w:sz w:val="22"/>
          <w:szCs w:val="22"/>
          <w:lang w:val="en-US"/>
        </w:rPr>
        <w:t xml:space="preserve"> </w:t>
      </w:r>
      <w:r w:rsidRPr="006F3D3B">
        <w:rPr>
          <w:rFonts w:asciiTheme="majorHAnsi" w:hAnsiTheme="majorHAnsi" w:cstheme="majorHAnsi"/>
          <w:bCs/>
          <w:snapToGrid w:val="0"/>
          <w:color w:val="000000" w:themeColor="text1"/>
          <w:sz w:val="22"/>
          <w:szCs w:val="22"/>
          <w:lang w:val="en-US"/>
        </w:rPr>
        <w:t xml:space="preserve"> ___ No</w:t>
      </w:r>
    </w:p>
    <w:p w14:paraId="5D907DEA" w14:textId="603CE5C8" w:rsidR="008D0CAD" w:rsidRPr="006F3D3B" w:rsidRDefault="008D0CAD" w:rsidP="00DD08E3">
      <w:pPr>
        <w:numPr>
          <w:ilvl w:val="1"/>
          <w:numId w:val="81"/>
        </w:numPr>
        <w:spacing w:before="100" w:beforeAutospacing="1" w:after="100" w:afterAutospacing="1" w:line="360" w:lineRule="auto"/>
        <w:ind w:left="851" w:hanging="491"/>
        <w:contextualSpacing/>
        <w:rPr>
          <w:rFonts w:asciiTheme="majorHAnsi" w:hAnsiTheme="majorHAnsi" w:cstheme="majorHAnsi"/>
          <w:snapToGrid w:val="0"/>
          <w:color w:val="000000" w:themeColor="text1"/>
          <w:sz w:val="22"/>
          <w:szCs w:val="22"/>
          <w:lang w:val="en-US"/>
        </w:rPr>
      </w:pPr>
      <w:r w:rsidRPr="006F3D3B">
        <w:rPr>
          <w:rFonts w:asciiTheme="majorHAnsi" w:hAnsiTheme="majorHAnsi" w:cstheme="majorHAnsi"/>
          <w:bCs/>
          <w:snapToGrid w:val="0"/>
          <w:color w:val="000000" w:themeColor="text1"/>
          <w:sz w:val="22"/>
          <w:szCs w:val="22"/>
          <w:lang w:val="en-US"/>
        </w:rPr>
        <w:t>Gender-sensitive teaching and learning materials?</w:t>
      </w:r>
      <w:r w:rsidR="00D434EB">
        <w:rPr>
          <w:rFonts w:asciiTheme="majorHAnsi" w:hAnsiTheme="majorHAnsi" w:cstheme="majorHAnsi"/>
          <w:bCs/>
          <w:snapToGrid w:val="0"/>
          <w:color w:val="000000" w:themeColor="text1"/>
          <w:sz w:val="22"/>
          <w:szCs w:val="22"/>
          <w:lang w:val="en-US"/>
        </w:rPr>
        <w:t xml:space="preserve"> </w:t>
      </w:r>
      <w:r w:rsidRPr="006F3D3B">
        <w:rPr>
          <w:rFonts w:asciiTheme="majorHAnsi" w:hAnsiTheme="majorHAnsi" w:cstheme="majorHAnsi"/>
          <w:bCs/>
          <w:snapToGrid w:val="0"/>
          <w:color w:val="000000" w:themeColor="text1"/>
          <w:sz w:val="22"/>
          <w:szCs w:val="22"/>
          <w:lang w:val="en-US"/>
        </w:rPr>
        <w:t>____ Yes</w:t>
      </w:r>
      <w:r w:rsidR="00D434EB">
        <w:rPr>
          <w:rFonts w:asciiTheme="majorHAnsi" w:hAnsiTheme="majorHAnsi" w:cstheme="majorHAnsi"/>
          <w:bCs/>
          <w:snapToGrid w:val="0"/>
          <w:color w:val="000000" w:themeColor="text1"/>
          <w:sz w:val="22"/>
          <w:szCs w:val="22"/>
          <w:lang w:val="en-US"/>
        </w:rPr>
        <w:t xml:space="preserve"> </w:t>
      </w:r>
      <w:r w:rsidRPr="006F3D3B">
        <w:rPr>
          <w:rFonts w:asciiTheme="majorHAnsi" w:hAnsiTheme="majorHAnsi" w:cstheme="majorHAnsi"/>
          <w:bCs/>
          <w:snapToGrid w:val="0"/>
          <w:color w:val="000000" w:themeColor="text1"/>
          <w:sz w:val="22"/>
          <w:szCs w:val="22"/>
          <w:lang w:val="en-US"/>
        </w:rPr>
        <w:t xml:space="preserve"> ____ No</w:t>
      </w:r>
    </w:p>
    <w:p w14:paraId="0B3B5BF1" w14:textId="37197586" w:rsidR="008D0CAD" w:rsidRPr="006F3D3B" w:rsidRDefault="008D0CAD" w:rsidP="00DD08E3">
      <w:pPr>
        <w:numPr>
          <w:ilvl w:val="1"/>
          <w:numId w:val="81"/>
        </w:numPr>
        <w:spacing w:before="100" w:beforeAutospacing="1" w:after="100" w:afterAutospacing="1" w:line="360" w:lineRule="auto"/>
        <w:ind w:left="851" w:hanging="491"/>
        <w:contextualSpacing/>
        <w:rPr>
          <w:rFonts w:asciiTheme="majorHAnsi" w:hAnsiTheme="majorHAnsi" w:cstheme="majorHAnsi"/>
          <w:snapToGrid w:val="0"/>
          <w:color w:val="000000" w:themeColor="text1"/>
          <w:sz w:val="22"/>
          <w:szCs w:val="22"/>
          <w:lang w:val="en-US"/>
        </w:rPr>
      </w:pPr>
      <w:r w:rsidRPr="006F3D3B">
        <w:rPr>
          <w:rFonts w:asciiTheme="majorHAnsi" w:hAnsiTheme="majorHAnsi" w:cstheme="majorHAnsi"/>
          <w:bCs/>
          <w:snapToGrid w:val="0"/>
          <w:color w:val="000000" w:themeColor="text1"/>
          <w:sz w:val="22"/>
          <w:szCs w:val="22"/>
          <w:lang w:val="en-US"/>
        </w:rPr>
        <w:t>IP-sensitive teaching and learning materials?</w:t>
      </w:r>
      <w:r w:rsidR="00D434EB">
        <w:rPr>
          <w:rFonts w:asciiTheme="majorHAnsi" w:hAnsiTheme="majorHAnsi" w:cstheme="majorHAnsi"/>
          <w:bCs/>
          <w:snapToGrid w:val="0"/>
          <w:color w:val="000000" w:themeColor="text1"/>
          <w:sz w:val="22"/>
          <w:szCs w:val="22"/>
          <w:lang w:val="en-US"/>
        </w:rPr>
        <w:t xml:space="preserve"> </w:t>
      </w:r>
      <w:r w:rsidRPr="006F3D3B">
        <w:rPr>
          <w:rFonts w:asciiTheme="majorHAnsi" w:hAnsiTheme="majorHAnsi" w:cstheme="majorHAnsi"/>
          <w:bCs/>
          <w:snapToGrid w:val="0"/>
          <w:color w:val="000000" w:themeColor="text1"/>
          <w:sz w:val="22"/>
          <w:szCs w:val="22"/>
          <w:lang w:val="en-US"/>
        </w:rPr>
        <w:t>____ Yes</w:t>
      </w:r>
      <w:r w:rsidR="00D434EB">
        <w:rPr>
          <w:rFonts w:asciiTheme="majorHAnsi" w:hAnsiTheme="majorHAnsi" w:cstheme="majorHAnsi"/>
          <w:bCs/>
          <w:snapToGrid w:val="0"/>
          <w:color w:val="000000" w:themeColor="text1"/>
          <w:sz w:val="22"/>
          <w:szCs w:val="22"/>
          <w:lang w:val="en-US"/>
        </w:rPr>
        <w:t xml:space="preserve"> </w:t>
      </w:r>
      <w:r w:rsidRPr="006F3D3B">
        <w:rPr>
          <w:rFonts w:asciiTheme="majorHAnsi" w:hAnsiTheme="majorHAnsi" w:cstheme="majorHAnsi"/>
          <w:bCs/>
          <w:snapToGrid w:val="0"/>
          <w:color w:val="000000" w:themeColor="text1"/>
          <w:sz w:val="22"/>
          <w:szCs w:val="22"/>
          <w:lang w:val="en-US"/>
        </w:rPr>
        <w:t xml:space="preserve"> ____ No</w:t>
      </w:r>
    </w:p>
    <w:p w14:paraId="45EC4372" w14:textId="66BE5584" w:rsidR="008D0CAD" w:rsidRPr="006F3D3B" w:rsidRDefault="008D0CAD" w:rsidP="00DD08E3">
      <w:pPr>
        <w:numPr>
          <w:ilvl w:val="0"/>
          <w:numId w:val="81"/>
        </w:numPr>
        <w:spacing w:before="100" w:beforeAutospacing="1" w:after="100" w:afterAutospacing="1" w:line="360" w:lineRule="auto"/>
        <w:contextualSpacing/>
        <w:rPr>
          <w:rFonts w:asciiTheme="majorHAnsi" w:hAnsiTheme="majorHAnsi" w:cstheme="majorHAnsi"/>
          <w:bCs/>
          <w:color w:val="000000" w:themeColor="text1"/>
          <w:sz w:val="22"/>
          <w:szCs w:val="22"/>
          <w:lang w:val="en-US"/>
        </w:rPr>
      </w:pPr>
      <w:r w:rsidRPr="006F3D3B">
        <w:rPr>
          <w:rFonts w:asciiTheme="majorHAnsi" w:hAnsiTheme="majorHAnsi" w:cstheme="majorHAnsi"/>
          <w:snapToGrid w:val="0"/>
          <w:color w:val="000000" w:themeColor="text1"/>
          <w:sz w:val="22"/>
          <w:szCs w:val="22"/>
          <w:lang w:val="en-US"/>
        </w:rPr>
        <w:t xml:space="preserve">Have you initiated or made any improvements/innovations on the prescribed processes of </w:t>
      </w:r>
      <w:r w:rsidRPr="006F3D3B">
        <w:rPr>
          <w:rFonts w:asciiTheme="majorHAnsi" w:hAnsiTheme="majorHAnsi" w:cstheme="majorHAnsi"/>
          <w:bCs/>
          <w:snapToGrid w:val="0"/>
          <w:color w:val="000000"/>
          <w:sz w:val="22"/>
          <w:szCs w:val="22"/>
          <w:lang w:val="en-US"/>
        </w:rPr>
        <w:t>IE and GRBE</w:t>
      </w:r>
      <w:r w:rsidRPr="006F3D3B">
        <w:rPr>
          <w:rFonts w:asciiTheme="majorHAnsi" w:hAnsiTheme="majorHAnsi" w:cstheme="majorHAnsi"/>
          <w:snapToGrid w:val="0"/>
          <w:color w:val="000000" w:themeColor="text1"/>
          <w:sz w:val="22"/>
          <w:szCs w:val="22"/>
          <w:lang w:val="en-US"/>
        </w:rPr>
        <w:t xml:space="preserve">? </w:t>
      </w:r>
      <w:r w:rsidRPr="006F3D3B">
        <w:rPr>
          <w:rFonts w:asciiTheme="majorHAnsi" w:hAnsiTheme="majorHAnsi" w:cstheme="majorHAnsi"/>
          <w:bCs/>
          <w:color w:val="000000" w:themeColor="text1"/>
          <w:sz w:val="22"/>
          <w:szCs w:val="22"/>
          <w:lang w:val="en-US"/>
        </w:rPr>
        <w:t>___ Yes</w:t>
      </w:r>
      <w:r w:rsidR="00D434EB">
        <w:rPr>
          <w:rFonts w:asciiTheme="majorHAnsi" w:hAnsiTheme="majorHAnsi" w:cstheme="majorHAnsi"/>
          <w:bCs/>
          <w:color w:val="000000" w:themeColor="text1"/>
          <w:sz w:val="22"/>
          <w:szCs w:val="22"/>
          <w:lang w:val="en-US"/>
        </w:rPr>
        <w:t xml:space="preserve"> </w:t>
      </w:r>
      <w:r w:rsidRPr="006F3D3B">
        <w:rPr>
          <w:rFonts w:asciiTheme="majorHAnsi" w:hAnsiTheme="majorHAnsi" w:cstheme="majorHAnsi"/>
          <w:bCs/>
          <w:color w:val="000000" w:themeColor="text1"/>
          <w:sz w:val="22"/>
          <w:szCs w:val="22"/>
          <w:lang w:val="en-US"/>
        </w:rPr>
        <w:t xml:space="preserve"> ___ No</w:t>
      </w:r>
    </w:p>
    <w:p w14:paraId="35FDCD95" w14:textId="77777777" w:rsidR="008D0CAD" w:rsidRPr="006F3D3B" w:rsidRDefault="008D0CAD" w:rsidP="00DD08E3">
      <w:pPr>
        <w:numPr>
          <w:ilvl w:val="0"/>
          <w:numId w:val="81"/>
        </w:numPr>
        <w:spacing w:before="100" w:beforeAutospacing="1" w:after="100" w:afterAutospacing="1" w:line="360" w:lineRule="auto"/>
        <w:contextualSpacing/>
        <w:rPr>
          <w:rFonts w:asciiTheme="majorHAnsi" w:hAnsiTheme="majorHAnsi" w:cstheme="majorHAnsi"/>
          <w:snapToGrid w:val="0"/>
          <w:color w:val="000000"/>
          <w:sz w:val="22"/>
          <w:szCs w:val="22"/>
          <w:lang w:val="en-US"/>
        </w:rPr>
      </w:pPr>
      <w:r w:rsidRPr="006F3D3B">
        <w:rPr>
          <w:rFonts w:asciiTheme="majorHAnsi" w:hAnsiTheme="majorHAnsi" w:cstheme="majorHAnsi"/>
          <w:bCs/>
          <w:snapToGrid w:val="0"/>
          <w:color w:val="000000"/>
          <w:sz w:val="22"/>
          <w:szCs w:val="22"/>
          <w:lang w:val="en-US"/>
        </w:rPr>
        <w:t xml:space="preserve">In the past six years, has your school implemented any </w:t>
      </w:r>
      <w:r w:rsidRPr="006F3D3B">
        <w:rPr>
          <w:rFonts w:asciiTheme="majorHAnsi" w:hAnsiTheme="majorHAnsi" w:cstheme="majorHAnsi"/>
          <w:b/>
          <w:snapToGrid w:val="0"/>
          <w:sz w:val="22"/>
          <w:szCs w:val="22"/>
          <w:lang w:val="en-US"/>
        </w:rPr>
        <w:t>Continuous Improvement (CI)</w:t>
      </w:r>
      <w:r w:rsidRPr="006F3D3B">
        <w:rPr>
          <w:rFonts w:asciiTheme="majorHAnsi" w:hAnsiTheme="majorHAnsi" w:cstheme="majorHAnsi"/>
          <w:snapToGrid w:val="0"/>
          <w:sz w:val="22"/>
          <w:szCs w:val="22"/>
          <w:lang w:val="en-US"/>
        </w:rPr>
        <w:t xml:space="preserve"> activities</w:t>
      </w:r>
      <w:r w:rsidRPr="006F3D3B">
        <w:rPr>
          <w:rFonts w:asciiTheme="majorHAnsi" w:hAnsiTheme="majorHAnsi" w:cstheme="majorHAnsi"/>
          <w:bCs/>
          <w:snapToGrid w:val="0"/>
          <w:color w:val="000000"/>
          <w:sz w:val="22"/>
          <w:szCs w:val="22"/>
          <w:lang w:val="en-US"/>
        </w:rPr>
        <w:t xml:space="preserve">? </w:t>
      </w:r>
    </w:p>
    <w:p w14:paraId="64C494AF" w14:textId="60864A33" w:rsidR="008D0CAD" w:rsidRPr="006F3D3B" w:rsidRDefault="00D434EB" w:rsidP="00DD08E3">
      <w:pPr>
        <w:spacing w:before="100" w:beforeAutospacing="1" w:after="100" w:afterAutospacing="1" w:line="360" w:lineRule="auto"/>
        <w:ind w:left="360"/>
        <w:rPr>
          <w:rFonts w:asciiTheme="majorHAnsi" w:hAnsiTheme="majorHAnsi" w:cstheme="majorHAnsi"/>
          <w:color w:val="000000"/>
          <w:sz w:val="22"/>
          <w:szCs w:val="22"/>
          <w:lang w:val="en-US"/>
        </w:rPr>
      </w:pPr>
      <w:r>
        <w:rPr>
          <w:rFonts w:asciiTheme="majorHAnsi" w:hAnsiTheme="majorHAnsi" w:cstheme="majorHAnsi"/>
          <w:bCs/>
          <w:color w:val="000000"/>
          <w:sz w:val="22"/>
          <w:szCs w:val="22"/>
          <w:lang w:val="en-US"/>
        </w:rPr>
        <w:t xml:space="preserve">      </w:t>
      </w:r>
      <w:r w:rsidR="008D0CAD" w:rsidRPr="006F3D3B">
        <w:rPr>
          <w:rFonts w:asciiTheme="majorHAnsi" w:hAnsiTheme="majorHAnsi" w:cstheme="majorHAnsi"/>
          <w:bCs/>
          <w:color w:val="000000"/>
          <w:sz w:val="22"/>
          <w:szCs w:val="22"/>
          <w:lang w:val="en-US"/>
        </w:rPr>
        <w:t xml:space="preserve"> ___ Yes</w:t>
      </w:r>
      <w:r>
        <w:rPr>
          <w:rFonts w:asciiTheme="majorHAnsi" w:hAnsiTheme="majorHAnsi" w:cstheme="majorHAnsi"/>
          <w:bCs/>
          <w:color w:val="000000"/>
          <w:sz w:val="22"/>
          <w:szCs w:val="22"/>
          <w:lang w:val="en-US"/>
        </w:rPr>
        <w:t xml:space="preserve"> </w:t>
      </w:r>
      <w:r w:rsidR="008D0CAD" w:rsidRPr="006F3D3B">
        <w:rPr>
          <w:rFonts w:asciiTheme="majorHAnsi" w:hAnsiTheme="majorHAnsi" w:cstheme="majorHAnsi"/>
          <w:bCs/>
          <w:color w:val="000000"/>
          <w:sz w:val="22"/>
          <w:szCs w:val="22"/>
          <w:lang w:val="en-US"/>
        </w:rPr>
        <w:t xml:space="preserve"> ___ No</w:t>
      </w:r>
    </w:p>
    <w:p w14:paraId="6488E952" w14:textId="77777777" w:rsidR="008D0CAD" w:rsidRPr="006F3D3B" w:rsidRDefault="008D0CAD" w:rsidP="00DD08E3">
      <w:pPr>
        <w:numPr>
          <w:ilvl w:val="1"/>
          <w:numId w:val="81"/>
        </w:numPr>
        <w:spacing w:before="100" w:beforeAutospacing="1" w:after="100" w:afterAutospacing="1" w:line="360" w:lineRule="auto"/>
        <w:ind w:left="851" w:hanging="491"/>
        <w:contextualSpacing/>
        <w:rPr>
          <w:rFonts w:asciiTheme="majorHAnsi" w:hAnsiTheme="majorHAnsi" w:cstheme="majorHAnsi"/>
          <w:snapToGrid w:val="0"/>
          <w:color w:val="000000" w:themeColor="text1"/>
          <w:sz w:val="22"/>
          <w:szCs w:val="22"/>
          <w:lang w:val="en-US"/>
        </w:rPr>
      </w:pPr>
      <w:r w:rsidRPr="006F3D3B">
        <w:rPr>
          <w:rFonts w:asciiTheme="majorHAnsi" w:hAnsiTheme="majorHAnsi" w:cstheme="majorHAnsi"/>
          <w:snapToGrid w:val="0"/>
          <w:color w:val="000000" w:themeColor="text1"/>
          <w:sz w:val="22"/>
          <w:szCs w:val="22"/>
          <w:lang w:val="en-US"/>
        </w:rPr>
        <w:t>If yes, what are these activities? __________________________________________________</w:t>
      </w:r>
    </w:p>
    <w:p w14:paraId="0A21CCF9" w14:textId="24469A4D" w:rsidR="008D0CAD" w:rsidRPr="006F3D3B" w:rsidRDefault="008D0CAD" w:rsidP="00DD08E3">
      <w:pPr>
        <w:numPr>
          <w:ilvl w:val="0"/>
          <w:numId w:val="81"/>
        </w:numPr>
        <w:spacing w:before="100" w:beforeAutospacing="1" w:after="100" w:afterAutospacing="1" w:line="360" w:lineRule="auto"/>
        <w:contextualSpacing/>
        <w:rPr>
          <w:rFonts w:asciiTheme="majorHAnsi" w:hAnsiTheme="majorHAnsi" w:cstheme="majorHAnsi"/>
          <w:snapToGrid w:val="0"/>
          <w:color w:val="000000" w:themeColor="text1"/>
          <w:sz w:val="22"/>
          <w:szCs w:val="22"/>
          <w:lang w:val="en-US"/>
        </w:rPr>
      </w:pPr>
      <w:r w:rsidRPr="006F3D3B">
        <w:rPr>
          <w:rFonts w:asciiTheme="majorHAnsi" w:hAnsiTheme="majorHAnsi" w:cstheme="majorHAnsi"/>
          <w:snapToGrid w:val="0"/>
          <w:color w:val="000000" w:themeColor="text1"/>
          <w:sz w:val="22"/>
          <w:szCs w:val="22"/>
          <w:lang w:val="en-US"/>
        </w:rPr>
        <w:t>Have you initiated or made any improvements/innovations on the prescribed processes in the implementation of Continuous Improvements? ___ Yes.</w:t>
      </w:r>
      <w:r w:rsidR="00D434EB">
        <w:rPr>
          <w:rFonts w:asciiTheme="majorHAnsi" w:hAnsiTheme="majorHAnsi" w:cstheme="majorHAnsi"/>
          <w:snapToGrid w:val="0"/>
          <w:color w:val="000000" w:themeColor="text1"/>
          <w:sz w:val="22"/>
          <w:szCs w:val="22"/>
          <w:lang w:val="en-US"/>
        </w:rPr>
        <w:t xml:space="preserve">  </w:t>
      </w:r>
      <w:r w:rsidRPr="006F3D3B">
        <w:rPr>
          <w:rFonts w:asciiTheme="majorHAnsi" w:hAnsiTheme="majorHAnsi" w:cstheme="majorHAnsi"/>
          <w:snapToGrid w:val="0"/>
          <w:color w:val="000000" w:themeColor="text1"/>
          <w:sz w:val="22"/>
          <w:szCs w:val="22"/>
          <w:lang w:val="en-US"/>
        </w:rPr>
        <w:t>___ No</w:t>
      </w:r>
    </w:p>
    <w:p w14:paraId="59C1B0C7" w14:textId="439A3631" w:rsidR="008D0CAD" w:rsidRPr="003749FD"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b/>
          <w:color w:val="000000"/>
          <w:lang w:val="en-GB"/>
        </w:rPr>
      </w:pPr>
      <w:r w:rsidRPr="00EC48C1">
        <w:rPr>
          <w:rFonts w:asciiTheme="majorHAnsi" w:eastAsiaTheme="minorHAnsi" w:hAnsiTheme="majorHAnsi" w:cstheme="majorHAnsi"/>
          <w:b/>
          <w:color w:val="000000"/>
          <w:lang w:val="en-US"/>
        </w:rPr>
        <w:t>Part 5:</w:t>
      </w:r>
      <w:r w:rsidR="00D434EB">
        <w:rPr>
          <w:rFonts w:asciiTheme="majorHAnsi" w:eastAsiaTheme="minorHAnsi" w:hAnsiTheme="majorHAnsi" w:cstheme="majorHAnsi"/>
          <w:b/>
          <w:color w:val="000000"/>
          <w:lang w:val="en-US"/>
        </w:rPr>
        <w:t xml:space="preserve"> </w:t>
      </w:r>
      <w:r w:rsidRPr="00EC48C1">
        <w:rPr>
          <w:rFonts w:asciiTheme="majorHAnsi" w:eastAsiaTheme="minorHAnsi" w:hAnsiTheme="majorHAnsi" w:cstheme="majorHAnsi"/>
          <w:b/>
          <w:color w:val="000000"/>
          <w:lang w:val="en-US"/>
        </w:rPr>
        <w:t xml:space="preserve"> </w:t>
      </w:r>
      <w:r w:rsidRPr="00EC48C1">
        <w:rPr>
          <w:rFonts w:asciiTheme="majorHAnsi" w:eastAsiaTheme="minorHAnsi" w:hAnsiTheme="majorHAnsi" w:cstheme="majorHAnsi"/>
          <w:b/>
          <w:color w:val="000000"/>
          <w:lang w:val="en-GB"/>
        </w:rPr>
        <w:t xml:space="preserve">Increase in knowledge and skills among Principals/School Heads </w:t>
      </w:r>
    </w:p>
    <w:p w14:paraId="1645FFBA" w14:textId="77777777" w:rsidR="008D0CAD" w:rsidRPr="003749FD" w:rsidRDefault="008D0CAD" w:rsidP="00DD08E3">
      <w:pPr>
        <w:numPr>
          <w:ilvl w:val="0"/>
          <w:numId w:val="81"/>
        </w:numPr>
        <w:spacing w:before="100" w:beforeAutospacing="1" w:after="100" w:afterAutospacing="1" w:line="360" w:lineRule="auto"/>
        <w:contextualSpacing/>
        <w:rPr>
          <w:rFonts w:asciiTheme="majorHAnsi" w:hAnsiTheme="majorHAnsi" w:cstheme="majorHAnsi"/>
          <w:snapToGrid w:val="0"/>
          <w:color w:val="000000" w:themeColor="text1"/>
          <w:sz w:val="22"/>
          <w:szCs w:val="22"/>
          <w:lang w:val="en-US"/>
        </w:rPr>
      </w:pPr>
      <w:r w:rsidRPr="003749FD">
        <w:rPr>
          <w:rFonts w:asciiTheme="majorHAnsi" w:hAnsiTheme="majorHAnsi" w:cstheme="majorHAnsi"/>
          <w:snapToGrid w:val="0"/>
          <w:color w:val="000000" w:themeColor="text1"/>
          <w:sz w:val="22"/>
          <w:szCs w:val="22"/>
          <w:lang w:val="en-US"/>
        </w:rPr>
        <w:t>When compared to six years ago (SY2013-2014), my own competencies (referring to knowledge, skills, attitudes) as a Principal/School Head has [</w:t>
      </w:r>
      <w:r w:rsidRPr="003749FD">
        <w:rPr>
          <w:rFonts w:asciiTheme="majorHAnsi" w:hAnsiTheme="majorHAnsi" w:cstheme="majorHAnsi"/>
          <w:i/>
          <w:snapToGrid w:val="0"/>
          <w:color w:val="000000" w:themeColor="text1"/>
          <w:sz w:val="22"/>
          <w:szCs w:val="22"/>
          <w:lang w:val="en-US"/>
        </w:rPr>
        <w:t>indicate extent of improvement, if any</w:t>
      </w:r>
      <w:r w:rsidRPr="003749FD">
        <w:rPr>
          <w:rFonts w:asciiTheme="majorHAnsi" w:hAnsiTheme="majorHAnsi" w:cstheme="majorHAnsi"/>
          <w:snapToGrid w:val="0"/>
          <w:color w:val="000000" w:themeColor="text1"/>
          <w:sz w:val="22"/>
          <w:szCs w:val="22"/>
          <w:lang w:val="en-US"/>
        </w:rPr>
        <w:t xml:space="preserve">]: </w:t>
      </w:r>
    </w:p>
    <w:p w14:paraId="167037D9" w14:textId="77777777" w:rsidR="008D0CAD" w:rsidRPr="003749FD" w:rsidRDefault="008D0CAD" w:rsidP="00DD08E3">
      <w:pPr>
        <w:spacing w:before="100" w:beforeAutospacing="1" w:after="100" w:afterAutospacing="1" w:line="360" w:lineRule="auto"/>
        <w:rPr>
          <w:rFonts w:asciiTheme="majorHAnsi" w:hAnsiTheme="majorHAnsi" w:cstheme="majorHAnsi"/>
          <w:color w:val="000000" w:themeColor="text1"/>
          <w:sz w:val="22"/>
          <w:szCs w:val="22"/>
          <w:lang w:val="en-US"/>
        </w:rPr>
      </w:pPr>
    </w:p>
    <w:tbl>
      <w:tblPr>
        <w:tblStyle w:val="TableGrid13"/>
        <w:tblW w:w="9885" w:type="dxa"/>
        <w:tblInd w:w="421" w:type="dxa"/>
        <w:tblLayout w:type="fixed"/>
        <w:tblLook w:val="04A0" w:firstRow="1" w:lastRow="0" w:firstColumn="1" w:lastColumn="0" w:noHBand="0" w:noVBand="1"/>
      </w:tblPr>
      <w:tblGrid>
        <w:gridCol w:w="5103"/>
        <w:gridCol w:w="1134"/>
        <w:gridCol w:w="1134"/>
        <w:gridCol w:w="1275"/>
        <w:gridCol w:w="1239"/>
      </w:tblGrid>
      <w:tr w:rsidR="008D0CAD" w:rsidRPr="003749FD" w14:paraId="3F186D1F" w14:textId="77777777" w:rsidTr="009C64E9">
        <w:trPr>
          <w:trHeight w:val="374"/>
          <w:tblHeader/>
        </w:trPr>
        <w:tc>
          <w:tcPr>
            <w:tcW w:w="5103" w:type="dxa"/>
            <w:shd w:val="clear" w:color="auto" w:fill="D9D9D9" w:themeFill="background1" w:themeFillShade="D9"/>
          </w:tcPr>
          <w:p w14:paraId="6A1B38ED" w14:textId="77777777" w:rsidR="008D0CAD" w:rsidRPr="003749FD"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b/>
                <w:color w:val="000000"/>
                <w:sz w:val="20"/>
                <w:szCs w:val="20"/>
                <w:lang w:val="en-US"/>
              </w:rPr>
            </w:pPr>
            <w:r w:rsidRPr="003749FD">
              <w:rPr>
                <w:rFonts w:asciiTheme="majorHAnsi" w:eastAsiaTheme="minorHAnsi" w:hAnsiTheme="majorHAnsi" w:cstheme="majorHAnsi"/>
                <w:b/>
                <w:color w:val="000000"/>
                <w:sz w:val="20"/>
                <w:szCs w:val="20"/>
                <w:lang w:val="en-US"/>
              </w:rPr>
              <w:t>Compared to six years ago (or SY2013-2014):</w:t>
            </w:r>
          </w:p>
        </w:tc>
        <w:tc>
          <w:tcPr>
            <w:tcW w:w="1134" w:type="dxa"/>
            <w:shd w:val="clear" w:color="auto" w:fill="D9D9D9" w:themeFill="background1" w:themeFillShade="D9"/>
            <w:vAlign w:val="center"/>
          </w:tcPr>
          <w:p w14:paraId="3163C5AC" w14:textId="77777777" w:rsidR="008D0CAD" w:rsidRPr="003749FD"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b/>
                <w:color w:val="000000" w:themeColor="text1"/>
                <w:sz w:val="20"/>
                <w:szCs w:val="20"/>
                <w:lang w:val="en-US"/>
              </w:rPr>
            </w:pPr>
            <w:r w:rsidRPr="003749FD">
              <w:rPr>
                <w:rFonts w:asciiTheme="majorHAnsi" w:eastAsiaTheme="minorHAnsi" w:hAnsiTheme="majorHAnsi" w:cstheme="majorHAnsi"/>
                <w:b/>
                <w:color w:val="000000" w:themeColor="text1"/>
                <w:sz w:val="20"/>
                <w:szCs w:val="20"/>
                <w:lang w:val="en-US"/>
              </w:rPr>
              <w:t>Remained the Same</w:t>
            </w:r>
          </w:p>
        </w:tc>
        <w:tc>
          <w:tcPr>
            <w:tcW w:w="1134" w:type="dxa"/>
            <w:shd w:val="clear" w:color="auto" w:fill="D9D9D9" w:themeFill="background1" w:themeFillShade="D9"/>
            <w:vAlign w:val="center"/>
          </w:tcPr>
          <w:p w14:paraId="5BA32EB3" w14:textId="77777777" w:rsidR="008D0CAD" w:rsidRPr="003749FD"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b/>
                <w:color w:val="000000" w:themeColor="text1"/>
                <w:sz w:val="20"/>
                <w:szCs w:val="20"/>
                <w:lang w:val="en-US"/>
              </w:rPr>
            </w:pPr>
            <w:r w:rsidRPr="003749FD">
              <w:rPr>
                <w:rFonts w:asciiTheme="majorHAnsi" w:eastAsiaTheme="minorHAnsi" w:hAnsiTheme="majorHAnsi" w:cstheme="majorHAnsi"/>
                <w:b/>
                <w:color w:val="000000" w:themeColor="text1"/>
                <w:sz w:val="20"/>
                <w:szCs w:val="20"/>
                <w:lang w:val="en-US"/>
              </w:rPr>
              <w:t>Increased</w:t>
            </w:r>
          </w:p>
          <w:p w14:paraId="1E43735A" w14:textId="77777777" w:rsidR="008D0CAD" w:rsidRPr="003749FD"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b/>
                <w:color w:val="000000" w:themeColor="text1"/>
                <w:sz w:val="20"/>
                <w:szCs w:val="20"/>
                <w:lang w:val="en-US"/>
              </w:rPr>
            </w:pPr>
            <w:r w:rsidRPr="003749FD">
              <w:rPr>
                <w:rFonts w:asciiTheme="majorHAnsi" w:eastAsiaTheme="minorHAnsi" w:hAnsiTheme="majorHAnsi" w:cstheme="majorHAnsi"/>
                <w:b/>
                <w:color w:val="000000" w:themeColor="text1"/>
                <w:sz w:val="20"/>
                <w:szCs w:val="20"/>
                <w:lang w:val="en-US"/>
              </w:rPr>
              <w:t>Slightly</w:t>
            </w:r>
          </w:p>
        </w:tc>
        <w:tc>
          <w:tcPr>
            <w:tcW w:w="1275" w:type="dxa"/>
            <w:shd w:val="clear" w:color="auto" w:fill="D9D9D9" w:themeFill="background1" w:themeFillShade="D9"/>
            <w:vAlign w:val="center"/>
          </w:tcPr>
          <w:p w14:paraId="1CAD13DF" w14:textId="77777777" w:rsidR="008D0CAD" w:rsidRPr="003749FD"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b/>
                <w:color w:val="000000" w:themeColor="text1"/>
                <w:sz w:val="20"/>
                <w:szCs w:val="20"/>
                <w:lang w:val="en-US"/>
              </w:rPr>
            </w:pPr>
            <w:r w:rsidRPr="003749FD">
              <w:rPr>
                <w:rFonts w:asciiTheme="majorHAnsi" w:eastAsiaTheme="minorHAnsi" w:hAnsiTheme="majorHAnsi" w:cstheme="majorHAnsi"/>
                <w:b/>
                <w:color w:val="000000" w:themeColor="text1"/>
                <w:sz w:val="20"/>
                <w:szCs w:val="20"/>
                <w:lang w:val="en-US"/>
              </w:rPr>
              <w:t>Increased</w:t>
            </w:r>
          </w:p>
          <w:p w14:paraId="36E01320" w14:textId="77777777" w:rsidR="008D0CAD" w:rsidRPr="003749FD"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b/>
                <w:color w:val="000000" w:themeColor="text1"/>
                <w:sz w:val="20"/>
                <w:szCs w:val="20"/>
                <w:lang w:val="en-US"/>
              </w:rPr>
            </w:pPr>
            <w:r w:rsidRPr="003749FD">
              <w:rPr>
                <w:rFonts w:asciiTheme="majorHAnsi" w:eastAsiaTheme="minorHAnsi" w:hAnsiTheme="majorHAnsi" w:cstheme="majorHAnsi"/>
                <w:b/>
                <w:color w:val="000000" w:themeColor="text1"/>
                <w:sz w:val="20"/>
                <w:szCs w:val="20"/>
                <w:lang w:val="en-US"/>
              </w:rPr>
              <w:t>Moderately</w:t>
            </w:r>
          </w:p>
        </w:tc>
        <w:tc>
          <w:tcPr>
            <w:tcW w:w="1239" w:type="dxa"/>
            <w:shd w:val="clear" w:color="auto" w:fill="D9D9D9" w:themeFill="background1" w:themeFillShade="D9"/>
            <w:vAlign w:val="center"/>
          </w:tcPr>
          <w:p w14:paraId="4D4A868B" w14:textId="77777777" w:rsidR="008D0CAD" w:rsidRPr="003749FD"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b/>
                <w:color w:val="000000" w:themeColor="text1"/>
                <w:sz w:val="20"/>
                <w:szCs w:val="20"/>
                <w:lang w:val="en-US"/>
              </w:rPr>
            </w:pPr>
            <w:r w:rsidRPr="003749FD">
              <w:rPr>
                <w:rFonts w:asciiTheme="majorHAnsi" w:eastAsiaTheme="minorHAnsi" w:hAnsiTheme="majorHAnsi" w:cstheme="majorHAnsi"/>
                <w:b/>
                <w:color w:val="000000" w:themeColor="text1"/>
                <w:sz w:val="20"/>
                <w:szCs w:val="20"/>
                <w:lang w:val="en-US"/>
              </w:rPr>
              <w:t xml:space="preserve">Increased Significantly </w:t>
            </w:r>
          </w:p>
        </w:tc>
      </w:tr>
      <w:tr w:rsidR="008D0CAD" w:rsidRPr="003749FD" w14:paraId="53100F3E" w14:textId="77777777" w:rsidTr="009C64E9">
        <w:trPr>
          <w:trHeight w:val="374"/>
        </w:trPr>
        <w:tc>
          <w:tcPr>
            <w:tcW w:w="5103" w:type="dxa"/>
          </w:tcPr>
          <w:p w14:paraId="271F03F2" w14:textId="77777777" w:rsidR="008D0CAD" w:rsidRPr="003749FD" w:rsidRDefault="008D0CAD" w:rsidP="00DD08E3">
            <w:pPr>
              <w:numPr>
                <w:ilvl w:val="1"/>
                <w:numId w:val="81"/>
              </w:numPr>
              <w:autoSpaceDE w:val="0"/>
              <w:autoSpaceDN w:val="0"/>
              <w:adjustRightInd w:val="0"/>
              <w:spacing w:before="100" w:beforeAutospacing="1" w:after="100" w:afterAutospacing="1" w:line="360" w:lineRule="auto"/>
              <w:ind w:left="601" w:hanging="601"/>
              <w:rPr>
                <w:rFonts w:asciiTheme="majorHAnsi" w:eastAsiaTheme="minorHAnsi" w:hAnsiTheme="majorHAnsi" w:cstheme="majorHAnsi"/>
                <w:iCs/>
                <w:color w:val="000000" w:themeColor="text1"/>
                <w:lang w:val="en-US"/>
              </w:rPr>
            </w:pPr>
            <w:r w:rsidRPr="003749FD">
              <w:rPr>
                <w:rFonts w:asciiTheme="majorHAnsi" w:eastAsiaTheme="minorHAnsi" w:hAnsiTheme="majorHAnsi" w:cstheme="majorHAnsi"/>
                <w:color w:val="000000" w:themeColor="text1"/>
                <w:lang w:val="en-US"/>
              </w:rPr>
              <w:t xml:space="preserve">My capacity to </w:t>
            </w:r>
            <w:r w:rsidRPr="003749FD">
              <w:rPr>
                <w:rFonts w:asciiTheme="majorHAnsi" w:eastAsiaTheme="minorHAnsi" w:hAnsiTheme="majorHAnsi" w:cstheme="majorHAnsi"/>
                <w:b/>
                <w:i/>
                <w:color w:val="000000" w:themeColor="text1"/>
                <w:lang w:val="en-US"/>
              </w:rPr>
              <w:t xml:space="preserve">set the direction of the school </w:t>
            </w:r>
            <w:r w:rsidRPr="003749FD">
              <w:rPr>
                <w:rFonts w:asciiTheme="majorHAnsi" w:eastAsiaTheme="minorHAnsi" w:hAnsiTheme="majorHAnsi" w:cstheme="majorHAnsi"/>
                <w:color w:val="000000" w:themeColor="text1"/>
                <w:lang w:val="en-US"/>
              </w:rPr>
              <w:t xml:space="preserve">has … </w:t>
            </w:r>
          </w:p>
        </w:tc>
        <w:tc>
          <w:tcPr>
            <w:tcW w:w="1134" w:type="dxa"/>
            <w:vAlign w:val="center"/>
          </w:tcPr>
          <w:p w14:paraId="6BE731E7" w14:textId="77777777" w:rsidR="008D0CAD" w:rsidRPr="003749FD"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20"/>
                <w:szCs w:val="20"/>
                <w:lang w:val="en-US"/>
              </w:rPr>
            </w:pPr>
            <w:r w:rsidRPr="003749FD">
              <w:rPr>
                <w:rFonts w:asciiTheme="majorHAnsi" w:eastAsiaTheme="minorHAnsi" w:hAnsiTheme="majorHAnsi" w:cstheme="majorHAnsi"/>
                <w:color w:val="000000" w:themeColor="text1"/>
                <w:sz w:val="20"/>
                <w:szCs w:val="20"/>
                <w:lang w:val="en-US"/>
              </w:rPr>
              <w:t xml:space="preserve"> </w:t>
            </w:r>
          </w:p>
        </w:tc>
        <w:tc>
          <w:tcPr>
            <w:tcW w:w="1134" w:type="dxa"/>
            <w:vAlign w:val="center"/>
          </w:tcPr>
          <w:p w14:paraId="1F7266B4" w14:textId="77777777" w:rsidR="008D0CAD" w:rsidRPr="003749FD"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20"/>
                <w:szCs w:val="20"/>
                <w:lang w:val="en-US"/>
              </w:rPr>
            </w:pPr>
            <w:r w:rsidRPr="003749FD">
              <w:rPr>
                <w:rFonts w:asciiTheme="majorHAnsi" w:eastAsiaTheme="minorHAnsi" w:hAnsiTheme="majorHAnsi" w:cstheme="majorHAnsi"/>
                <w:color w:val="000000" w:themeColor="text1"/>
                <w:sz w:val="20"/>
                <w:szCs w:val="20"/>
                <w:lang w:val="en-US"/>
              </w:rPr>
              <w:t xml:space="preserve"> </w:t>
            </w:r>
          </w:p>
        </w:tc>
        <w:tc>
          <w:tcPr>
            <w:tcW w:w="1275" w:type="dxa"/>
            <w:vAlign w:val="center"/>
          </w:tcPr>
          <w:p w14:paraId="02DABD91" w14:textId="77777777" w:rsidR="008D0CAD" w:rsidRPr="003749FD"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20"/>
                <w:szCs w:val="20"/>
                <w:lang w:val="en-US"/>
              </w:rPr>
            </w:pPr>
            <w:r w:rsidRPr="003749FD">
              <w:rPr>
                <w:rFonts w:asciiTheme="majorHAnsi" w:eastAsiaTheme="minorHAnsi" w:hAnsiTheme="majorHAnsi" w:cstheme="majorHAnsi"/>
                <w:color w:val="000000" w:themeColor="text1"/>
                <w:sz w:val="20"/>
                <w:szCs w:val="20"/>
                <w:lang w:val="en-US"/>
              </w:rPr>
              <w:t xml:space="preserve"> </w:t>
            </w:r>
          </w:p>
        </w:tc>
        <w:tc>
          <w:tcPr>
            <w:tcW w:w="1239" w:type="dxa"/>
            <w:vAlign w:val="center"/>
          </w:tcPr>
          <w:p w14:paraId="1CA723AB" w14:textId="77777777" w:rsidR="008D0CAD" w:rsidRPr="003749FD"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20"/>
                <w:szCs w:val="20"/>
                <w:lang w:val="en-US"/>
              </w:rPr>
            </w:pPr>
            <w:r w:rsidRPr="003749FD">
              <w:rPr>
                <w:rFonts w:asciiTheme="majorHAnsi" w:eastAsiaTheme="minorHAnsi" w:hAnsiTheme="majorHAnsi" w:cstheme="majorHAnsi"/>
                <w:color w:val="000000" w:themeColor="text1"/>
                <w:sz w:val="20"/>
                <w:szCs w:val="20"/>
                <w:lang w:val="en-US"/>
              </w:rPr>
              <w:t xml:space="preserve"> </w:t>
            </w:r>
          </w:p>
        </w:tc>
      </w:tr>
      <w:tr w:rsidR="008D0CAD" w:rsidRPr="003749FD" w14:paraId="639B7F48" w14:textId="77777777" w:rsidTr="009C64E9">
        <w:trPr>
          <w:trHeight w:val="374"/>
        </w:trPr>
        <w:tc>
          <w:tcPr>
            <w:tcW w:w="5103" w:type="dxa"/>
          </w:tcPr>
          <w:p w14:paraId="2A25B03E" w14:textId="77777777" w:rsidR="008D0CAD" w:rsidRPr="003749FD" w:rsidRDefault="008D0CAD" w:rsidP="00DD08E3">
            <w:pPr>
              <w:numPr>
                <w:ilvl w:val="1"/>
                <w:numId w:val="81"/>
              </w:numPr>
              <w:autoSpaceDE w:val="0"/>
              <w:autoSpaceDN w:val="0"/>
              <w:adjustRightInd w:val="0"/>
              <w:spacing w:before="100" w:beforeAutospacing="1" w:after="100" w:afterAutospacing="1" w:line="360" w:lineRule="auto"/>
              <w:ind w:left="601" w:hanging="601"/>
              <w:rPr>
                <w:rFonts w:asciiTheme="majorHAnsi" w:eastAsiaTheme="minorHAnsi" w:hAnsiTheme="majorHAnsi" w:cstheme="majorHAnsi"/>
                <w:color w:val="000000"/>
                <w:lang w:val="en-US"/>
              </w:rPr>
            </w:pPr>
            <w:r w:rsidRPr="003749FD">
              <w:rPr>
                <w:rFonts w:asciiTheme="majorHAnsi" w:eastAsiaTheme="minorHAnsi" w:hAnsiTheme="majorHAnsi" w:cstheme="majorHAnsi"/>
                <w:color w:val="000000"/>
                <w:lang w:val="en-US"/>
              </w:rPr>
              <w:t>M</w:t>
            </w:r>
            <w:r w:rsidRPr="003749FD">
              <w:rPr>
                <w:rFonts w:asciiTheme="majorHAnsi" w:eastAsiaTheme="minorHAnsi" w:hAnsiTheme="majorHAnsi" w:cstheme="majorHAnsi"/>
                <w:color w:val="000000" w:themeColor="text1"/>
                <w:lang w:val="en-US"/>
              </w:rPr>
              <w:t xml:space="preserve">y capacity to </w:t>
            </w:r>
            <w:r w:rsidRPr="003749FD">
              <w:rPr>
                <w:rFonts w:asciiTheme="majorHAnsi" w:eastAsiaTheme="minorHAnsi" w:hAnsiTheme="majorHAnsi" w:cstheme="majorHAnsi"/>
                <w:b/>
                <w:i/>
                <w:color w:val="000000" w:themeColor="text1"/>
                <w:lang w:val="en-US"/>
              </w:rPr>
              <w:t>lead strategically</w:t>
            </w:r>
            <w:r w:rsidRPr="003749FD">
              <w:rPr>
                <w:rFonts w:asciiTheme="majorHAnsi" w:eastAsiaTheme="minorHAnsi" w:hAnsiTheme="majorHAnsi" w:cstheme="majorHAnsi"/>
                <w:color w:val="000000" w:themeColor="text1"/>
                <w:lang w:val="en-US"/>
              </w:rPr>
              <w:t xml:space="preserve"> has …</w:t>
            </w:r>
          </w:p>
        </w:tc>
        <w:tc>
          <w:tcPr>
            <w:tcW w:w="1134" w:type="dxa"/>
            <w:vAlign w:val="center"/>
          </w:tcPr>
          <w:p w14:paraId="02E6F186" w14:textId="77777777" w:rsidR="008D0CAD" w:rsidRPr="003749FD"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20"/>
                <w:szCs w:val="20"/>
                <w:lang w:val="en-US"/>
              </w:rPr>
            </w:pPr>
            <w:r w:rsidRPr="003749FD">
              <w:rPr>
                <w:rFonts w:asciiTheme="majorHAnsi" w:eastAsiaTheme="minorHAnsi" w:hAnsiTheme="majorHAnsi" w:cstheme="majorHAnsi"/>
                <w:color w:val="000000" w:themeColor="text1"/>
                <w:sz w:val="20"/>
                <w:szCs w:val="20"/>
                <w:lang w:val="en-US"/>
              </w:rPr>
              <w:t xml:space="preserve"> </w:t>
            </w:r>
          </w:p>
        </w:tc>
        <w:tc>
          <w:tcPr>
            <w:tcW w:w="1134" w:type="dxa"/>
            <w:vAlign w:val="center"/>
          </w:tcPr>
          <w:p w14:paraId="70CC6197" w14:textId="77777777" w:rsidR="008D0CAD" w:rsidRPr="003749FD"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20"/>
                <w:szCs w:val="20"/>
                <w:lang w:val="en-US"/>
              </w:rPr>
            </w:pPr>
            <w:r w:rsidRPr="003749FD">
              <w:rPr>
                <w:rFonts w:asciiTheme="majorHAnsi" w:eastAsiaTheme="minorHAnsi" w:hAnsiTheme="majorHAnsi" w:cstheme="majorHAnsi"/>
                <w:color w:val="000000" w:themeColor="text1"/>
                <w:sz w:val="20"/>
                <w:szCs w:val="20"/>
                <w:lang w:val="en-US"/>
              </w:rPr>
              <w:t xml:space="preserve"> </w:t>
            </w:r>
          </w:p>
        </w:tc>
        <w:tc>
          <w:tcPr>
            <w:tcW w:w="1275" w:type="dxa"/>
            <w:vAlign w:val="center"/>
          </w:tcPr>
          <w:p w14:paraId="6BC8DBBC" w14:textId="77777777" w:rsidR="008D0CAD" w:rsidRPr="003749FD"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20"/>
                <w:szCs w:val="20"/>
                <w:lang w:val="en-US"/>
              </w:rPr>
            </w:pPr>
            <w:r w:rsidRPr="003749FD">
              <w:rPr>
                <w:rFonts w:asciiTheme="majorHAnsi" w:eastAsiaTheme="minorHAnsi" w:hAnsiTheme="majorHAnsi" w:cstheme="majorHAnsi"/>
                <w:color w:val="000000" w:themeColor="text1"/>
                <w:sz w:val="20"/>
                <w:szCs w:val="20"/>
                <w:lang w:val="en-US"/>
              </w:rPr>
              <w:t xml:space="preserve"> </w:t>
            </w:r>
          </w:p>
        </w:tc>
        <w:tc>
          <w:tcPr>
            <w:tcW w:w="1239" w:type="dxa"/>
            <w:vAlign w:val="center"/>
          </w:tcPr>
          <w:p w14:paraId="13A2B236" w14:textId="77777777" w:rsidR="008D0CAD" w:rsidRPr="003749FD"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20"/>
                <w:szCs w:val="20"/>
                <w:lang w:val="en-US"/>
              </w:rPr>
            </w:pPr>
            <w:r w:rsidRPr="003749FD">
              <w:rPr>
                <w:rFonts w:asciiTheme="majorHAnsi" w:eastAsiaTheme="minorHAnsi" w:hAnsiTheme="majorHAnsi" w:cstheme="majorHAnsi"/>
                <w:color w:val="000000" w:themeColor="text1"/>
                <w:sz w:val="20"/>
                <w:szCs w:val="20"/>
                <w:lang w:val="en-US"/>
              </w:rPr>
              <w:t xml:space="preserve"> </w:t>
            </w:r>
          </w:p>
        </w:tc>
      </w:tr>
      <w:tr w:rsidR="008D0CAD" w:rsidRPr="003749FD" w14:paraId="0DA30CC0" w14:textId="77777777" w:rsidTr="009C64E9">
        <w:trPr>
          <w:trHeight w:val="374"/>
        </w:trPr>
        <w:tc>
          <w:tcPr>
            <w:tcW w:w="5103" w:type="dxa"/>
          </w:tcPr>
          <w:p w14:paraId="5F6ED9CD" w14:textId="77777777" w:rsidR="008D0CAD" w:rsidRPr="003749FD" w:rsidRDefault="008D0CAD" w:rsidP="00DD08E3">
            <w:pPr>
              <w:numPr>
                <w:ilvl w:val="1"/>
                <w:numId w:val="81"/>
              </w:numPr>
              <w:autoSpaceDE w:val="0"/>
              <w:autoSpaceDN w:val="0"/>
              <w:adjustRightInd w:val="0"/>
              <w:spacing w:before="100" w:beforeAutospacing="1" w:after="100" w:afterAutospacing="1" w:line="360" w:lineRule="auto"/>
              <w:ind w:left="601" w:hanging="601"/>
              <w:rPr>
                <w:rFonts w:asciiTheme="majorHAnsi" w:eastAsiaTheme="minorHAnsi" w:hAnsiTheme="majorHAnsi" w:cstheme="majorHAnsi"/>
                <w:iCs/>
                <w:color w:val="000000" w:themeColor="text1"/>
                <w:lang w:val="en-US"/>
              </w:rPr>
            </w:pPr>
            <w:r w:rsidRPr="003749FD">
              <w:rPr>
                <w:rFonts w:asciiTheme="majorHAnsi" w:eastAsiaTheme="minorHAnsi" w:hAnsiTheme="majorHAnsi" w:cstheme="majorHAnsi"/>
                <w:color w:val="000000"/>
                <w:lang w:val="en-US"/>
              </w:rPr>
              <w:t>M</w:t>
            </w:r>
            <w:r w:rsidRPr="003749FD">
              <w:rPr>
                <w:rFonts w:asciiTheme="majorHAnsi" w:eastAsiaTheme="minorHAnsi" w:hAnsiTheme="majorHAnsi" w:cstheme="majorHAnsi"/>
                <w:color w:val="000000" w:themeColor="text1"/>
                <w:lang w:val="en-US"/>
              </w:rPr>
              <w:t xml:space="preserve">y capacity to </w:t>
            </w:r>
            <w:r w:rsidRPr="003749FD">
              <w:rPr>
                <w:rFonts w:asciiTheme="majorHAnsi" w:eastAsiaTheme="minorHAnsi" w:hAnsiTheme="majorHAnsi" w:cstheme="majorHAnsi"/>
                <w:b/>
                <w:i/>
                <w:color w:val="000000"/>
                <w:lang w:val="en-US"/>
              </w:rPr>
              <w:t>manage systems and processes in the school</w:t>
            </w:r>
            <w:r w:rsidRPr="003749FD">
              <w:rPr>
                <w:rFonts w:asciiTheme="majorHAnsi" w:eastAsiaTheme="minorHAnsi" w:hAnsiTheme="majorHAnsi" w:cstheme="majorHAnsi"/>
                <w:color w:val="000000" w:themeColor="text1"/>
                <w:lang w:val="en-US"/>
              </w:rPr>
              <w:t xml:space="preserve"> has …</w:t>
            </w:r>
          </w:p>
        </w:tc>
        <w:tc>
          <w:tcPr>
            <w:tcW w:w="1134" w:type="dxa"/>
            <w:vAlign w:val="center"/>
          </w:tcPr>
          <w:p w14:paraId="3AA675D9" w14:textId="77777777" w:rsidR="008D0CAD" w:rsidRPr="003749FD"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20"/>
                <w:szCs w:val="20"/>
                <w:lang w:val="en-US"/>
              </w:rPr>
            </w:pPr>
            <w:r w:rsidRPr="003749FD">
              <w:rPr>
                <w:rFonts w:asciiTheme="majorHAnsi" w:eastAsiaTheme="minorHAnsi" w:hAnsiTheme="majorHAnsi" w:cstheme="majorHAnsi"/>
                <w:color w:val="000000" w:themeColor="text1"/>
                <w:sz w:val="20"/>
                <w:szCs w:val="20"/>
                <w:lang w:val="en-US"/>
              </w:rPr>
              <w:t xml:space="preserve"> </w:t>
            </w:r>
          </w:p>
        </w:tc>
        <w:tc>
          <w:tcPr>
            <w:tcW w:w="1134" w:type="dxa"/>
            <w:vAlign w:val="center"/>
          </w:tcPr>
          <w:p w14:paraId="1F03E0A6" w14:textId="77777777" w:rsidR="008D0CAD" w:rsidRPr="003749FD"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20"/>
                <w:szCs w:val="20"/>
                <w:lang w:val="en-US"/>
              </w:rPr>
            </w:pPr>
            <w:r w:rsidRPr="003749FD">
              <w:rPr>
                <w:rFonts w:asciiTheme="majorHAnsi" w:eastAsiaTheme="minorHAnsi" w:hAnsiTheme="majorHAnsi" w:cstheme="majorHAnsi"/>
                <w:color w:val="000000" w:themeColor="text1"/>
                <w:sz w:val="20"/>
                <w:szCs w:val="20"/>
                <w:lang w:val="en-US"/>
              </w:rPr>
              <w:t xml:space="preserve"> </w:t>
            </w:r>
          </w:p>
        </w:tc>
        <w:tc>
          <w:tcPr>
            <w:tcW w:w="1275" w:type="dxa"/>
            <w:vAlign w:val="center"/>
          </w:tcPr>
          <w:p w14:paraId="72CDF979" w14:textId="77777777" w:rsidR="008D0CAD" w:rsidRPr="003749FD"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20"/>
                <w:szCs w:val="20"/>
                <w:lang w:val="en-US"/>
              </w:rPr>
            </w:pPr>
            <w:r w:rsidRPr="003749FD">
              <w:rPr>
                <w:rFonts w:asciiTheme="majorHAnsi" w:eastAsiaTheme="minorHAnsi" w:hAnsiTheme="majorHAnsi" w:cstheme="majorHAnsi"/>
                <w:color w:val="000000" w:themeColor="text1"/>
                <w:sz w:val="20"/>
                <w:szCs w:val="20"/>
                <w:lang w:val="en-US"/>
              </w:rPr>
              <w:t xml:space="preserve"> </w:t>
            </w:r>
          </w:p>
        </w:tc>
        <w:tc>
          <w:tcPr>
            <w:tcW w:w="1239" w:type="dxa"/>
            <w:vAlign w:val="center"/>
          </w:tcPr>
          <w:p w14:paraId="62E8877F" w14:textId="77777777" w:rsidR="008D0CAD" w:rsidRPr="003749FD"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20"/>
                <w:szCs w:val="20"/>
                <w:lang w:val="en-US"/>
              </w:rPr>
            </w:pPr>
            <w:r w:rsidRPr="003749FD">
              <w:rPr>
                <w:rFonts w:asciiTheme="majorHAnsi" w:eastAsiaTheme="minorHAnsi" w:hAnsiTheme="majorHAnsi" w:cstheme="majorHAnsi"/>
                <w:color w:val="000000" w:themeColor="text1"/>
                <w:sz w:val="20"/>
                <w:szCs w:val="20"/>
                <w:lang w:val="en-US"/>
              </w:rPr>
              <w:t xml:space="preserve"> </w:t>
            </w:r>
          </w:p>
        </w:tc>
      </w:tr>
      <w:tr w:rsidR="008D0CAD" w:rsidRPr="003749FD" w14:paraId="11878E27" w14:textId="77777777" w:rsidTr="009C64E9">
        <w:trPr>
          <w:trHeight w:val="374"/>
        </w:trPr>
        <w:tc>
          <w:tcPr>
            <w:tcW w:w="5103" w:type="dxa"/>
          </w:tcPr>
          <w:p w14:paraId="432CCDA8" w14:textId="77777777" w:rsidR="008D0CAD" w:rsidRPr="003749FD" w:rsidRDefault="008D0CAD" w:rsidP="00DD08E3">
            <w:pPr>
              <w:numPr>
                <w:ilvl w:val="1"/>
                <w:numId w:val="81"/>
              </w:numPr>
              <w:autoSpaceDE w:val="0"/>
              <w:autoSpaceDN w:val="0"/>
              <w:adjustRightInd w:val="0"/>
              <w:spacing w:before="100" w:beforeAutospacing="1" w:after="100" w:afterAutospacing="1" w:line="360" w:lineRule="auto"/>
              <w:ind w:left="601" w:hanging="601"/>
              <w:rPr>
                <w:rFonts w:asciiTheme="majorHAnsi" w:eastAsiaTheme="minorHAnsi" w:hAnsiTheme="majorHAnsi" w:cstheme="majorHAnsi"/>
                <w:color w:val="000000"/>
                <w:lang w:val="en-US"/>
              </w:rPr>
            </w:pPr>
            <w:r w:rsidRPr="003749FD">
              <w:rPr>
                <w:rFonts w:asciiTheme="majorHAnsi" w:eastAsiaTheme="minorHAnsi" w:hAnsiTheme="majorHAnsi" w:cstheme="majorHAnsi"/>
                <w:color w:val="000000"/>
                <w:lang w:val="en-US"/>
              </w:rPr>
              <w:t xml:space="preserve">My </w:t>
            </w:r>
            <w:r w:rsidRPr="003749FD">
              <w:rPr>
                <w:rFonts w:asciiTheme="majorHAnsi" w:eastAsiaTheme="minorHAnsi" w:hAnsiTheme="majorHAnsi" w:cstheme="majorHAnsi"/>
                <w:color w:val="000000" w:themeColor="text1"/>
                <w:lang w:val="en-US"/>
              </w:rPr>
              <w:t xml:space="preserve">capacity to </w:t>
            </w:r>
            <w:r w:rsidRPr="003749FD">
              <w:rPr>
                <w:rFonts w:asciiTheme="majorHAnsi" w:eastAsiaTheme="minorHAnsi" w:hAnsiTheme="majorHAnsi" w:cstheme="majorHAnsi"/>
                <w:b/>
                <w:i/>
                <w:color w:val="000000"/>
                <w:lang w:val="en-US"/>
              </w:rPr>
              <w:t>manage school operations and resources</w:t>
            </w:r>
            <w:r w:rsidRPr="003749FD">
              <w:rPr>
                <w:rFonts w:asciiTheme="majorHAnsi" w:eastAsiaTheme="minorHAnsi" w:hAnsiTheme="majorHAnsi" w:cstheme="majorHAnsi"/>
                <w:b/>
                <w:i/>
                <w:color w:val="000000" w:themeColor="text1"/>
                <w:lang w:val="en-US"/>
              </w:rPr>
              <w:t xml:space="preserve"> </w:t>
            </w:r>
            <w:r w:rsidRPr="003749FD">
              <w:rPr>
                <w:rFonts w:asciiTheme="majorHAnsi" w:eastAsiaTheme="minorHAnsi" w:hAnsiTheme="majorHAnsi" w:cstheme="majorHAnsi"/>
                <w:color w:val="000000" w:themeColor="text1"/>
                <w:lang w:val="en-US"/>
              </w:rPr>
              <w:t>has …</w:t>
            </w:r>
          </w:p>
        </w:tc>
        <w:tc>
          <w:tcPr>
            <w:tcW w:w="1134" w:type="dxa"/>
            <w:vAlign w:val="center"/>
          </w:tcPr>
          <w:p w14:paraId="28DA90CE" w14:textId="77777777" w:rsidR="008D0CAD" w:rsidRPr="003749FD"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1134" w:type="dxa"/>
            <w:vAlign w:val="center"/>
          </w:tcPr>
          <w:p w14:paraId="63F20274" w14:textId="77777777" w:rsidR="008D0CAD" w:rsidRPr="003749FD"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1275" w:type="dxa"/>
            <w:vAlign w:val="center"/>
          </w:tcPr>
          <w:p w14:paraId="56551141" w14:textId="77777777" w:rsidR="008D0CAD" w:rsidRPr="003749FD"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1239" w:type="dxa"/>
            <w:vAlign w:val="center"/>
          </w:tcPr>
          <w:p w14:paraId="1883C0C9" w14:textId="77777777" w:rsidR="008D0CAD" w:rsidRPr="003749FD"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r>
      <w:tr w:rsidR="008D0CAD" w:rsidRPr="003749FD" w14:paraId="52EBD19F" w14:textId="77777777" w:rsidTr="009C64E9">
        <w:trPr>
          <w:trHeight w:val="374"/>
        </w:trPr>
        <w:tc>
          <w:tcPr>
            <w:tcW w:w="5103" w:type="dxa"/>
          </w:tcPr>
          <w:p w14:paraId="18652B50" w14:textId="77777777" w:rsidR="008D0CAD" w:rsidRPr="003749FD" w:rsidRDefault="008D0CAD" w:rsidP="00DD08E3">
            <w:pPr>
              <w:numPr>
                <w:ilvl w:val="1"/>
                <w:numId w:val="81"/>
              </w:numPr>
              <w:autoSpaceDE w:val="0"/>
              <w:autoSpaceDN w:val="0"/>
              <w:adjustRightInd w:val="0"/>
              <w:spacing w:before="100" w:beforeAutospacing="1" w:after="100" w:afterAutospacing="1" w:line="360" w:lineRule="auto"/>
              <w:ind w:left="601" w:hanging="601"/>
              <w:rPr>
                <w:rFonts w:asciiTheme="majorHAnsi" w:eastAsiaTheme="minorHAnsi" w:hAnsiTheme="majorHAnsi" w:cstheme="majorHAnsi"/>
                <w:color w:val="000000"/>
                <w:lang w:val="en-US"/>
              </w:rPr>
            </w:pPr>
            <w:r w:rsidRPr="003749FD">
              <w:rPr>
                <w:rFonts w:asciiTheme="majorHAnsi" w:eastAsiaTheme="minorHAnsi" w:hAnsiTheme="majorHAnsi" w:cstheme="majorHAnsi"/>
                <w:color w:val="000000"/>
                <w:lang w:val="en-US"/>
              </w:rPr>
              <w:t xml:space="preserve">My </w:t>
            </w:r>
            <w:r w:rsidRPr="003749FD">
              <w:rPr>
                <w:rFonts w:asciiTheme="majorHAnsi" w:eastAsiaTheme="minorHAnsi" w:hAnsiTheme="majorHAnsi" w:cstheme="majorHAnsi"/>
                <w:color w:val="000000" w:themeColor="text1"/>
                <w:lang w:val="en-US"/>
              </w:rPr>
              <w:t xml:space="preserve">capacity to </w:t>
            </w:r>
            <w:r w:rsidRPr="003749FD">
              <w:rPr>
                <w:rFonts w:asciiTheme="majorHAnsi" w:eastAsiaTheme="minorHAnsi" w:hAnsiTheme="majorHAnsi" w:cstheme="majorHAnsi"/>
                <w:b/>
                <w:i/>
                <w:color w:val="000000"/>
                <w:lang w:val="en-US"/>
              </w:rPr>
              <w:t>promote quality teaching and learning</w:t>
            </w:r>
            <w:r w:rsidRPr="003749FD">
              <w:rPr>
                <w:rFonts w:asciiTheme="majorHAnsi" w:eastAsiaTheme="minorHAnsi" w:hAnsiTheme="majorHAnsi" w:cstheme="majorHAnsi"/>
                <w:color w:val="000000" w:themeColor="text1"/>
                <w:lang w:val="en-US"/>
              </w:rPr>
              <w:t xml:space="preserve"> has …</w:t>
            </w:r>
          </w:p>
        </w:tc>
        <w:tc>
          <w:tcPr>
            <w:tcW w:w="1134" w:type="dxa"/>
            <w:vAlign w:val="center"/>
          </w:tcPr>
          <w:p w14:paraId="7C3B57ED" w14:textId="77777777" w:rsidR="008D0CAD" w:rsidRPr="003749FD"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1134" w:type="dxa"/>
            <w:vAlign w:val="center"/>
          </w:tcPr>
          <w:p w14:paraId="0BA92453" w14:textId="77777777" w:rsidR="008D0CAD" w:rsidRPr="003749FD"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1275" w:type="dxa"/>
            <w:vAlign w:val="center"/>
          </w:tcPr>
          <w:p w14:paraId="72E33620" w14:textId="77777777" w:rsidR="008D0CAD" w:rsidRPr="003749FD"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1239" w:type="dxa"/>
            <w:vAlign w:val="center"/>
          </w:tcPr>
          <w:p w14:paraId="11A06FC0" w14:textId="77777777" w:rsidR="008D0CAD" w:rsidRPr="003749FD"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r>
      <w:tr w:rsidR="008D0CAD" w:rsidRPr="003749FD" w14:paraId="4AC12508" w14:textId="77777777" w:rsidTr="009C64E9">
        <w:trPr>
          <w:trHeight w:val="374"/>
        </w:trPr>
        <w:tc>
          <w:tcPr>
            <w:tcW w:w="5103" w:type="dxa"/>
          </w:tcPr>
          <w:p w14:paraId="3BD5956E" w14:textId="77777777" w:rsidR="008D0CAD" w:rsidRPr="003749FD" w:rsidRDefault="008D0CAD" w:rsidP="00DD08E3">
            <w:pPr>
              <w:numPr>
                <w:ilvl w:val="1"/>
                <w:numId w:val="81"/>
              </w:numPr>
              <w:autoSpaceDE w:val="0"/>
              <w:autoSpaceDN w:val="0"/>
              <w:adjustRightInd w:val="0"/>
              <w:spacing w:before="100" w:beforeAutospacing="1" w:after="100" w:afterAutospacing="1" w:line="360" w:lineRule="auto"/>
              <w:ind w:left="601" w:hanging="601"/>
              <w:rPr>
                <w:rFonts w:asciiTheme="majorHAnsi" w:eastAsiaTheme="minorHAnsi" w:hAnsiTheme="majorHAnsi" w:cstheme="majorHAnsi"/>
                <w:color w:val="000000"/>
                <w:lang w:val="en-US"/>
              </w:rPr>
            </w:pPr>
            <w:r w:rsidRPr="003749FD">
              <w:rPr>
                <w:rFonts w:asciiTheme="majorHAnsi" w:eastAsiaTheme="minorHAnsi" w:hAnsiTheme="majorHAnsi" w:cstheme="majorHAnsi"/>
                <w:color w:val="000000"/>
                <w:lang w:val="en-US"/>
              </w:rPr>
              <w:t xml:space="preserve">My </w:t>
            </w:r>
            <w:r w:rsidRPr="003749FD">
              <w:rPr>
                <w:rFonts w:asciiTheme="majorHAnsi" w:eastAsiaTheme="minorHAnsi" w:hAnsiTheme="majorHAnsi" w:cstheme="majorHAnsi"/>
                <w:color w:val="000000" w:themeColor="text1"/>
                <w:lang w:val="en-US"/>
              </w:rPr>
              <w:t xml:space="preserve">capacity to </w:t>
            </w:r>
            <w:r w:rsidRPr="003749FD">
              <w:rPr>
                <w:rFonts w:asciiTheme="majorHAnsi" w:eastAsiaTheme="minorHAnsi" w:hAnsiTheme="majorHAnsi" w:cstheme="majorHAnsi"/>
                <w:b/>
                <w:i/>
                <w:color w:val="000000"/>
                <w:lang w:val="en-US"/>
              </w:rPr>
              <w:t>provide instructional leadership</w:t>
            </w:r>
            <w:r w:rsidRPr="003749FD">
              <w:rPr>
                <w:rFonts w:asciiTheme="majorHAnsi" w:eastAsiaTheme="minorHAnsi" w:hAnsiTheme="majorHAnsi" w:cstheme="majorHAnsi"/>
                <w:color w:val="000000" w:themeColor="text1"/>
                <w:lang w:val="en-US"/>
              </w:rPr>
              <w:t xml:space="preserve"> has …</w:t>
            </w:r>
          </w:p>
        </w:tc>
        <w:tc>
          <w:tcPr>
            <w:tcW w:w="1134" w:type="dxa"/>
            <w:vAlign w:val="center"/>
          </w:tcPr>
          <w:p w14:paraId="0BD2808B" w14:textId="77777777" w:rsidR="008D0CAD" w:rsidRPr="003749FD"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1134" w:type="dxa"/>
            <w:vAlign w:val="center"/>
          </w:tcPr>
          <w:p w14:paraId="259A1756" w14:textId="77777777" w:rsidR="008D0CAD" w:rsidRPr="003749FD"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1275" w:type="dxa"/>
            <w:vAlign w:val="center"/>
          </w:tcPr>
          <w:p w14:paraId="237DF29E" w14:textId="77777777" w:rsidR="008D0CAD" w:rsidRPr="003749FD"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1239" w:type="dxa"/>
            <w:vAlign w:val="center"/>
          </w:tcPr>
          <w:p w14:paraId="31D16FF7" w14:textId="77777777" w:rsidR="008D0CAD" w:rsidRPr="003749FD"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r>
      <w:tr w:rsidR="008D0CAD" w:rsidRPr="003749FD" w14:paraId="7CD21EFE" w14:textId="77777777" w:rsidTr="009C64E9">
        <w:trPr>
          <w:trHeight w:val="374"/>
        </w:trPr>
        <w:tc>
          <w:tcPr>
            <w:tcW w:w="5103" w:type="dxa"/>
          </w:tcPr>
          <w:p w14:paraId="6EB676A0" w14:textId="77777777" w:rsidR="008D0CAD" w:rsidRPr="003749FD" w:rsidRDefault="008D0CAD" w:rsidP="00DD08E3">
            <w:pPr>
              <w:numPr>
                <w:ilvl w:val="1"/>
                <w:numId w:val="81"/>
              </w:numPr>
              <w:autoSpaceDE w:val="0"/>
              <w:autoSpaceDN w:val="0"/>
              <w:adjustRightInd w:val="0"/>
              <w:spacing w:before="100" w:beforeAutospacing="1" w:after="100" w:afterAutospacing="1" w:line="360" w:lineRule="auto"/>
              <w:ind w:left="596" w:hanging="562"/>
              <w:rPr>
                <w:rFonts w:asciiTheme="majorHAnsi" w:eastAsiaTheme="minorHAnsi" w:hAnsiTheme="majorHAnsi" w:cstheme="majorHAnsi"/>
                <w:color w:val="000000"/>
                <w:lang w:val="en-US"/>
              </w:rPr>
            </w:pPr>
            <w:r w:rsidRPr="003749FD">
              <w:rPr>
                <w:rFonts w:asciiTheme="majorHAnsi" w:eastAsiaTheme="minorHAnsi" w:hAnsiTheme="majorHAnsi" w:cstheme="majorHAnsi"/>
                <w:color w:val="000000"/>
                <w:lang w:val="en-US"/>
              </w:rPr>
              <w:t xml:space="preserve">My </w:t>
            </w:r>
            <w:r w:rsidRPr="003749FD">
              <w:rPr>
                <w:rFonts w:asciiTheme="majorHAnsi" w:eastAsiaTheme="minorHAnsi" w:hAnsiTheme="majorHAnsi" w:cstheme="majorHAnsi"/>
                <w:color w:val="000000" w:themeColor="text1"/>
                <w:lang w:val="en-US"/>
              </w:rPr>
              <w:t xml:space="preserve">capacity to </w:t>
            </w:r>
            <w:r w:rsidRPr="003749FD">
              <w:rPr>
                <w:rFonts w:asciiTheme="majorHAnsi" w:eastAsiaTheme="minorHAnsi" w:hAnsiTheme="majorHAnsi" w:cstheme="majorHAnsi"/>
                <w:b/>
                <w:i/>
                <w:color w:val="000000"/>
                <w:lang w:val="en-US"/>
              </w:rPr>
              <w:t>nurture own professional development as well as that of teachers and other school personnel</w:t>
            </w:r>
            <w:r w:rsidRPr="003749FD">
              <w:rPr>
                <w:rFonts w:asciiTheme="majorHAnsi" w:eastAsiaTheme="minorHAnsi" w:hAnsiTheme="majorHAnsi" w:cstheme="majorHAnsi"/>
                <w:color w:val="000000" w:themeColor="text1"/>
                <w:lang w:val="en-US"/>
              </w:rPr>
              <w:t xml:space="preserve"> has …</w:t>
            </w:r>
          </w:p>
        </w:tc>
        <w:tc>
          <w:tcPr>
            <w:tcW w:w="1134" w:type="dxa"/>
            <w:vAlign w:val="center"/>
          </w:tcPr>
          <w:p w14:paraId="68F1C658" w14:textId="77777777" w:rsidR="008D0CAD" w:rsidRPr="003749FD"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1134" w:type="dxa"/>
            <w:vAlign w:val="center"/>
          </w:tcPr>
          <w:p w14:paraId="1E52FF4E" w14:textId="77777777" w:rsidR="008D0CAD" w:rsidRPr="003749FD"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1275" w:type="dxa"/>
            <w:vAlign w:val="center"/>
          </w:tcPr>
          <w:p w14:paraId="711904F0" w14:textId="77777777" w:rsidR="008D0CAD" w:rsidRPr="003749FD"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1239" w:type="dxa"/>
            <w:vAlign w:val="center"/>
          </w:tcPr>
          <w:p w14:paraId="67DF4E77" w14:textId="77777777" w:rsidR="008D0CAD" w:rsidRPr="003749FD"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r>
      <w:tr w:rsidR="008D0CAD" w:rsidRPr="003749FD" w14:paraId="54D9DC72" w14:textId="77777777" w:rsidTr="009C64E9">
        <w:trPr>
          <w:trHeight w:val="374"/>
        </w:trPr>
        <w:tc>
          <w:tcPr>
            <w:tcW w:w="5103" w:type="dxa"/>
          </w:tcPr>
          <w:p w14:paraId="23FBE877" w14:textId="77777777" w:rsidR="008D0CAD" w:rsidRPr="003749FD" w:rsidRDefault="008D0CAD" w:rsidP="00DD08E3">
            <w:pPr>
              <w:numPr>
                <w:ilvl w:val="1"/>
                <w:numId w:val="81"/>
              </w:numPr>
              <w:autoSpaceDE w:val="0"/>
              <w:autoSpaceDN w:val="0"/>
              <w:adjustRightInd w:val="0"/>
              <w:spacing w:before="100" w:beforeAutospacing="1" w:after="100" w:afterAutospacing="1" w:line="360" w:lineRule="auto"/>
              <w:ind w:left="596" w:hanging="562"/>
              <w:rPr>
                <w:rFonts w:asciiTheme="majorHAnsi" w:eastAsiaTheme="minorHAnsi" w:hAnsiTheme="majorHAnsi" w:cstheme="majorHAnsi"/>
                <w:color w:val="000000"/>
                <w:lang w:val="en-US"/>
              </w:rPr>
            </w:pPr>
            <w:r w:rsidRPr="003749FD">
              <w:rPr>
                <w:rFonts w:asciiTheme="majorHAnsi" w:eastAsiaTheme="minorHAnsi" w:hAnsiTheme="majorHAnsi" w:cstheme="majorHAnsi"/>
                <w:color w:val="000000"/>
                <w:lang w:val="en-US"/>
              </w:rPr>
              <w:t xml:space="preserve">My </w:t>
            </w:r>
            <w:r w:rsidRPr="003749FD">
              <w:rPr>
                <w:rFonts w:asciiTheme="majorHAnsi" w:eastAsiaTheme="minorHAnsi" w:hAnsiTheme="majorHAnsi" w:cstheme="majorHAnsi"/>
                <w:color w:val="000000" w:themeColor="text1"/>
                <w:lang w:val="en-US"/>
              </w:rPr>
              <w:t xml:space="preserve">capacity to </w:t>
            </w:r>
            <w:r w:rsidRPr="003749FD">
              <w:rPr>
                <w:rFonts w:asciiTheme="majorHAnsi" w:eastAsiaTheme="minorHAnsi" w:hAnsiTheme="majorHAnsi" w:cstheme="majorHAnsi"/>
                <w:b/>
                <w:i/>
                <w:color w:val="000000"/>
                <w:lang w:val="en-US"/>
              </w:rPr>
              <w:t>nurture team</w:t>
            </w:r>
            <w:r w:rsidRPr="003749FD">
              <w:rPr>
                <w:rFonts w:asciiTheme="majorHAnsi" w:eastAsiaTheme="minorHAnsi" w:hAnsiTheme="majorHAnsi" w:cstheme="majorHAnsi"/>
                <w:color w:val="000000"/>
                <w:lang w:val="en-US"/>
              </w:rPr>
              <w:t xml:space="preserve"> </w:t>
            </w:r>
            <w:r w:rsidRPr="003749FD">
              <w:rPr>
                <w:rFonts w:asciiTheme="majorHAnsi" w:eastAsiaTheme="minorHAnsi" w:hAnsiTheme="majorHAnsi" w:cstheme="majorHAnsi"/>
                <w:b/>
                <w:i/>
                <w:color w:val="000000"/>
                <w:lang w:val="en-US"/>
              </w:rPr>
              <w:t xml:space="preserve">effectiveness </w:t>
            </w:r>
            <w:r w:rsidRPr="003749FD">
              <w:rPr>
                <w:rFonts w:asciiTheme="majorHAnsi" w:eastAsiaTheme="minorHAnsi" w:hAnsiTheme="majorHAnsi" w:cstheme="majorHAnsi"/>
                <w:color w:val="000000"/>
                <w:lang w:val="en-US"/>
              </w:rPr>
              <w:t>has</w:t>
            </w:r>
            <w:r w:rsidRPr="003749FD">
              <w:rPr>
                <w:rFonts w:asciiTheme="majorHAnsi" w:eastAsiaTheme="minorHAnsi" w:hAnsiTheme="majorHAnsi" w:cstheme="majorHAnsi"/>
                <w:color w:val="000000" w:themeColor="text1"/>
                <w:lang w:val="en-US"/>
              </w:rPr>
              <w:t xml:space="preserve"> …</w:t>
            </w:r>
          </w:p>
        </w:tc>
        <w:tc>
          <w:tcPr>
            <w:tcW w:w="1134" w:type="dxa"/>
            <w:vAlign w:val="center"/>
          </w:tcPr>
          <w:p w14:paraId="1211F02E" w14:textId="77777777" w:rsidR="008D0CAD" w:rsidRPr="003749FD"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1134" w:type="dxa"/>
            <w:vAlign w:val="center"/>
          </w:tcPr>
          <w:p w14:paraId="5537CB1C" w14:textId="77777777" w:rsidR="008D0CAD" w:rsidRPr="003749FD"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1275" w:type="dxa"/>
            <w:vAlign w:val="center"/>
          </w:tcPr>
          <w:p w14:paraId="5877C611" w14:textId="77777777" w:rsidR="008D0CAD" w:rsidRPr="003749FD"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1239" w:type="dxa"/>
            <w:vAlign w:val="center"/>
          </w:tcPr>
          <w:p w14:paraId="05F64C4D" w14:textId="77777777" w:rsidR="008D0CAD" w:rsidRPr="003749FD"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r>
      <w:tr w:rsidR="008D0CAD" w:rsidRPr="003749FD" w14:paraId="4F7B86DE" w14:textId="77777777" w:rsidTr="009C64E9">
        <w:trPr>
          <w:trHeight w:val="374"/>
        </w:trPr>
        <w:tc>
          <w:tcPr>
            <w:tcW w:w="5103" w:type="dxa"/>
          </w:tcPr>
          <w:p w14:paraId="44EADD47" w14:textId="77777777" w:rsidR="008D0CAD" w:rsidRPr="003749FD" w:rsidRDefault="008D0CAD" w:rsidP="00DD08E3">
            <w:pPr>
              <w:numPr>
                <w:ilvl w:val="1"/>
                <w:numId w:val="81"/>
              </w:numPr>
              <w:autoSpaceDE w:val="0"/>
              <w:autoSpaceDN w:val="0"/>
              <w:adjustRightInd w:val="0"/>
              <w:spacing w:before="100" w:beforeAutospacing="1" w:after="100" w:afterAutospacing="1" w:line="360" w:lineRule="auto"/>
              <w:ind w:left="596" w:hanging="562"/>
              <w:rPr>
                <w:rFonts w:asciiTheme="majorHAnsi" w:eastAsiaTheme="minorHAnsi" w:hAnsiTheme="majorHAnsi" w:cstheme="majorHAnsi"/>
                <w:color w:val="000000"/>
                <w:lang w:val="en-US"/>
              </w:rPr>
            </w:pPr>
            <w:r w:rsidRPr="003749FD">
              <w:rPr>
                <w:rFonts w:asciiTheme="majorHAnsi" w:eastAsiaTheme="minorHAnsi" w:hAnsiTheme="majorHAnsi" w:cstheme="majorHAnsi"/>
                <w:color w:val="000000"/>
                <w:lang w:val="en-US"/>
              </w:rPr>
              <w:t xml:space="preserve">My </w:t>
            </w:r>
            <w:r w:rsidRPr="003749FD">
              <w:rPr>
                <w:rFonts w:asciiTheme="majorHAnsi" w:eastAsiaTheme="minorHAnsi" w:hAnsiTheme="majorHAnsi" w:cstheme="majorHAnsi"/>
                <w:color w:val="000000" w:themeColor="text1"/>
                <w:lang w:val="en-US"/>
              </w:rPr>
              <w:t xml:space="preserve">capacity to </w:t>
            </w:r>
            <w:r w:rsidRPr="003749FD">
              <w:rPr>
                <w:rFonts w:asciiTheme="majorHAnsi" w:eastAsiaTheme="minorHAnsi" w:hAnsiTheme="majorHAnsi" w:cstheme="majorHAnsi"/>
                <w:b/>
                <w:i/>
                <w:color w:val="000000"/>
                <w:lang w:val="en-US"/>
              </w:rPr>
              <w:t>engage the stakeholders in initiatives towards improvement of the school community</w:t>
            </w:r>
            <w:r w:rsidRPr="003749FD">
              <w:rPr>
                <w:rFonts w:asciiTheme="majorHAnsi" w:eastAsiaTheme="minorHAnsi" w:hAnsiTheme="majorHAnsi" w:cstheme="majorHAnsi"/>
                <w:color w:val="000000" w:themeColor="text1"/>
                <w:lang w:val="en-US"/>
              </w:rPr>
              <w:t xml:space="preserve"> has …</w:t>
            </w:r>
          </w:p>
        </w:tc>
        <w:tc>
          <w:tcPr>
            <w:tcW w:w="1134" w:type="dxa"/>
            <w:vAlign w:val="center"/>
          </w:tcPr>
          <w:p w14:paraId="0137BACC" w14:textId="77777777" w:rsidR="008D0CAD" w:rsidRPr="003749FD"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1134" w:type="dxa"/>
            <w:vAlign w:val="center"/>
          </w:tcPr>
          <w:p w14:paraId="5205DAF5" w14:textId="77777777" w:rsidR="008D0CAD" w:rsidRPr="003749FD"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1275" w:type="dxa"/>
            <w:vAlign w:val="center"/>
          </w:tcPr>
          <w:p w14:paraId="45ADC158" w14:textId="77777777" w:rsidR="008D0CAD" w:rsidRPr="003749FD"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1239" w:type="dxa"/>
            <w:vAlign w:val="center"/>
          </w:tcPr>
          <w:p w14:paraId="35DF3831" w14:textId="77777777" w:rsidR="008D0CAD" w:rsidRPr="003749FD"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r>
      <w:tr w:rsidR="008D0CAD" w:rsidRPr="003749FD" w14:paraId="36ECF38C" w14:textId="77777777" w:rsidTr="009C64E9">
        <w:trPr>
          <w:trHeight w:val="374"/>
        </w:trPr>
        <w:tc>
          <w:tcPr>
            <w:tcW w:w="5103" w:type="dxa"/>
          </w:tcPr>
          <w:p w14:paraId="50F1CF09" w14:textId="77777777" w:rsidR="008D0CAD" w:rsidRPr="003749FD" w:rsidRDefault="008D0CAD" w:rsidP="00DD08E3">
            <w:pPr>
              <w:numPr>
                <w:ilvl w:val="1"/>
                <w:numId w:val="81"/>
              </w:numPr>
              <w:autoSpaceDE w:val="0"/>
              <w:autoSpaceDN w:val="0"/>
              <w:adjustRightInd w:val="0"/>
              <w:spacing w:before="100" w:beforeAutospacing="1" w:after="100" w:afterAutospacing="1" w:line="360" w:lineRule="auto"/>
              <w:ind w:left="596" w:hanging="562"/>
              <w:rPr>
                <w:rFonts w:asciiTheme="majorHAnsi" w:eastAsiaTheme="minorHAnsi" w:hAnsiTheme="majorHAnsi" w:cstheme="majorHAnsi"/>
                <w:color w:val="000000"/>
                <w:lang w:val="en-US"/>
              </w:rPr>
            </w:pPr>
            <w:r w:rsidRPr="003749FD">
              <w:rPr>
                <w:rFonts w:asciiTheme="majorHAnsi" w:eastAsiaTheme="minorHAnsi" w:hAnsiTheme="majorHAnsi" w:cstheme="majorHAnsi"/>
                <w:color w:val="000000"/>
                <w:lang w:val="en-US"/>
              </w:rPr>
              <w:t xml:space="preserve">My </w:t>
            </w:r>
            <w:r w:rsidRPr="003749FD">
              <w:rPr>
                <w:rFonts w:asciiTheme="majorHAnsi" w:eastAsiaTheme="minorHAnsi" w:hAnsiTheme="majorHAnsi" w:cstheme="majorHAnsi"/>
                <w:color w:val="000000" w:themeColor="text1"/>
                <w:lang w:val="en-US"/>
              </w:rPr>
              <w:t xml:space="preserve">capacity to </w:t>
            </w:r>
            <w:r w:rsidRPr="003749FD">
              <w:rPr>
                <w:rFonts w:asciiTheme="majorHAnsi" w:eastAsiaTheme="minorHAnsi" w:hAnsiTheme="majorHAnsi" w:cstheme="majorHAnsi"/>
                <w:b/>
                <w:i/>
                <w:color w:val="000000"/>
                <w:lang w:val="en-US"/>
              </w:rPr>
              <w:t>manage diverse relationships</w:t>
            </w:r>
            <w:r w:rsidRPr="003749FD">
              <w:rPr>
                <w:rFonts w:asciiTheme="majorHAnsi" w:eastAsiaTheme="minorHAnsi" w:hAnsiTheme="majorHAnsi" w:cstheme="majorHAnsi"/>
                <w:color w:val="000000" w:themeColor="text1"/>
                <w:lang w:val="en-US"/>
              </w:rPr>
              <w:t xml:space="preserve"> has …</w:t>
            </w:r>
          </w:p>
        </w:tc>
        <w:tc>
          <w:tcPr>
            <w:tcW w:w="1134" w:type="dxa"/>
            <w:vAlign w:val="center"/>
          </w:tcPr>
          <w:p w14:paraId="67A064AF" w14:textId="77777777" w:rsidR="008D0CAD" w:rsidRPr="003749FD"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1134" w:type="dxa"/>
            <w:vAlign w:val="center"/>
          </w:tcPr>
          <w:p w14:paraId="0F43744E" w14:textId="77777777" w:rsidR="008D0CAD" w:rsidRPr="003749FD"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1275" w:type="dxa"/>
            <w:vAlign w:val="center"/>
          </w:tcPr>
          <w:p w14:paraId="29D188F0" w14:textId="77777777" w:rsidR="008D0CAD" w:rsidRPr="003749FD"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1239" w:type="dxa"/>
            <w:vAlign w:val="center"/>
          </w:tcPr>
          <w:p w14:paraId="667F264B" w14:textId="77777777" w:rsidR="008D0CAD" w:rsidRPr="003749FD"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r>
    </w:tbl>
    <w:p w14:paraId="51715C2A" w14:textId="0E1DD4D0" w:rsidR="008D0CAD" w:rsidRPr="003749FD"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b/>
          <w:color w:val="000000"/>
          <w:lang w:val="en-GB"/>
        </w:rPr>
      </w:pPr>
      <w:r w:rsidRPr="00EC48C1">
        <w:rPr>
          <w:rFonts w:asciiTheme="majorHAnsi" w:eastAsiaTheme="minorHAnsi" w:hAnsiTheme="majorHAnsi" w:cstheme="majorHAnsi"/>
          <w:b/>
          <w:color w:val="000000"/>
          <w:lang w:val="en-US"/>
        </w:rPr>
        <w:t>Part 6:</w:t>
      </w:r>
      <w:r w:rsidR="00D434EB">
        <w:rPr>
          <w:rFonts w:asciiTheme="majorHAnsi" w:eastAsiaTheme="minorHAnsi" w:hAnsiTheme="majorHAnsi" w:cstheme="majorHAnsi"/>
          <w:b/>
          <w:color w:val="000000"/>
          <w:lang w:val="en-US"/>
        </w:rPr>
        <w:t xml:space="preserve"> </w:t>
      </w:r>
      <w:r w:rsidRPr="00EC48C1">
        <w:rPr>
          <w:rFonts w:asciiTheme="majorHAnsi" w:eastAsiaTheme="minorHAnsi" w:hAnsiTheme="majorHAnsi" w:cstheme="majorHAnsi"/>
          <w:b/>
          <w:color w:val="000000"/>
          <w:lang w:val="en-US"/>
        </w:rPr>
        <w:t xml:space="preserve"> </w:t>
      </w:r>
      <w:r w:rsidRPr="00EC48C1">
        <w:rPr>
          <w:rFonts w:asciiTheme="majorHAnsi" w:eastAsiaTheme="minorHAnsi" w:hAnsiTheme="majorHAnsi" w:cstheme="majorHAnsi"/>
          <w:b/>
          <w:color w:val="000000"/>
          <w:lang w:val="en-GB"/>
        </w:rPr>
        <w:t>External Factors and Conditions</w:t>
      </w:r>
    </w:p>
    <w:p w14:paraId="0EF4A351" w14:textId="77777777" w:rsidR="008D0CAD" w:rsidRPr="003749FD" w:rsidRDefault="008D0CAD" w:rsidP="00DD08E3">
      <w:pPr>
        <w:numPr>
          <w:ilvl w:val="0"/>
          <w:numId w:val="81"/>
        </w:numPr>
        <w:spacing w:before="100" w:beforeAutospacing="1" w:after="100" w:afterAutospacing="1" w:line="360" w:lineRule="auto"/>
        <w:ind w:left="357" w:hanging="357"/>
        <w:rPr>
          <w:rFonts w:asciiTheme="majorHAnsi" w:hAnsiTheme="majorHAnsi" w:cstheme="majorHAnsi"/>
          <w:snapToGrid w:val="0"/>
          <w:color w:val="000000" w:themeColor="text1"/>
          <w:sz w:val="22"/>
          <w:szCs w:val="22"/>
          <w:lang w:val="en-US"/>
        </w:rPr>
      </w:pPr>
      <w:r w:rsidRPr="003749FD">
        <w:rPr>
          <w:rFonts w:asciiTheme="majorHAnsi" w:hAnsiTheme="majorHAnsi" w:cstheme="majorHAnsi"/>
          <w:snapToGrid w:val="0"/>
          <w:sz w:val="22"/>
          <w:szCs w:val="22"/>
          <w:lang w:val="en-GB"/>
        </w:rPr>
        <w:t xml:space="preserve">Do existing </w:t>
      </w:r>
      <w:r w:rsidRPr="003749FD">
        <w:rPr>
          <w:rFonts w:asciiTheme="majorHAnsi" w:hAnsiTheme="majorHAnsi" w:cstheme="majorHAnsi"/>
          <w:b/>
          <w:bCs/>
          <w:snapToGrid w:val="0"/>
          <w:sz w:val="22"/>
          <w:szCs w:val="22"/>
          <w:lang w:val="en-GB"/>
        </w:rPr>
        <w:t>socio-economic and demographic factors and conditions</w:t>
      </w:r>
      <w:r w:rsidRPr="003749FD">
        <w:rPr>
          <w:rFonts w:asciiTheme="majorHAnsi" w:hAnsiTheme="majorHAnsi" w:cstheme="majorHAnsi"/>
          <w:snapToGrid w:val="0"/>
          <w:sz w:val="22"/>
          <w:szCs w:val="22"/>
          <w:lang w:val="en-GB"/>
        </w:rPr>
        <w:t xml:space="preserve"> affect school/student performance? </w:t>
      </w:r>
    </w:p>
    <w:p w14:paraId="5A2A2534" w14:textId="77777777" w:rsidR="008D0CAD" w:rsidRPr="003749FD" w:rsidRDefault="008D0CAD" w:rsidP="00DD08E3">
      <w:pPr>
        <w:spacing w:before="100" w:beforeAutospacing="1" w:after="100" w:afterAutospacing="1" w:line="360" w:lineRule="auto"/>
        <w:ind w:left="357"/>
        <w:rPr>
          <w:rFonts w:asciiTheme="majorHAnsi" w:hAnsiTheme="majorHAnsi" w:cstheme="majorHAnsi"/>
          <w:color w:val="000000" w:themeColor="text1"/>
          <w:sz w:val="22"/>
          <w:szCs w:val="22"/>
          <w:lang w:val="en-US"/>
        </w:rPr>
      </w:pPr>
      <w:r w:rsidRPr="003749FD">
        <w:rPr>
          <w:rFonts w:asciiTheme="majorHAnsi" w:hAnsiTheme="majorHAnsi" w:cstheme="majorHAnsi"/>
          <w:sz w:val="22"/>
          <w:szCs w:val="22"/>
          <w:lang w:val="en-GB"/>
        </w:rPr>
        <w:t>__ Yes __ No</w:t>
      </w:r>
      <w:r w:rsidRPr="003749FD">
        <w:rPr>
          <w:rFonts w:asciiTheme="majorHAnsi" w:hAnsiTheme="majorHAnsi" w:cstheme="majorHAnsi"/>
          <w:color w:val="000000" w:themeColor="text1"/>
          <w:sz w:val="22"/>
          <w:szCs w:val="22"/>
          <w:lang w:val="en-GB"/>
        </w:rPr>
        <w:t xml:space="preserve"> </w:t>
      </w:r>
    </w:p>
    <w:p w14:paraId="1DE2205F" w14:textId="2979EF54" w:rsidR="008D0CAD" w:rsidRPr="003749FD" w:rsidRDefault="008D0CAD" w:rsidP="00DD08E3">
      <w:pPr>
        <w:numPr>
          <w:ilvl w:val="0"/>
          <w:numId w:val="81"/>
        </w:numPr>
        <w:spacing w:before="100" w:beforeAutospacing="1" w:after="100" w:afterAutospacing="1" w:line="360" w:lineRule="auto"/>
        <w:ind w:left="357" w:hanging="357"/>
        <w:rPr>
          <w:rFonts w:asciiTheme="majorHAnsi" w:hAnsiTheme="majorHAnsi" w:cstheme="majorHAnsi"/>
          <w:snapToGrid w:val="0"/>
          <w:color w:val="000000" w:themeColor="text1"/>
          <w:sz w:val="22"/>
          <w:szCs w:val="22"/>
          <w:lang w:val="en-US"/>
        </w:rPr>
      </w:pPr>
      <w:r w:rsidRPr="003749FD">
        <w:rPr>
          <w:rFonts w:asciiTheme="majorHAnsi" w:hAnsiTheme="majorHAnsi" w:cstheme="majorHAnsi"/>
          <w:snapToGrid w:val="0"/>
          <w:sz w:val="22"/>
          <w:szCs w:val="22"/>
          <w:lang w:val="en-GB"/>
        </w:rPr>
        <w:t xml:space="preserve">Do current </w:t>
      </w:r>
      <w:r w:rsidRPr="003749FD">
        <w:rPr>
          <w:rFonts w:asciiTheme="majorHAnsi" w:hAnsiTheme="majorHAnsi" w:cstheme="majorHAnsi"/>
          <w:b/>
          <w:bCs/>
          <w:snapToGrid w:val="0"/>
          <w:color w:val="000000" w:themeColor="text1"/>
          <w:sz w:val="22"/>
          <w:szCs w:val="22"/>
          <w:lang w:val="en-GB"/>
        </w:rPr>
        <w:t>physical and geographic factors and conditions</w:t>
      </w:r>
      <w:r w:rsidRPr="003749FD">
        <w:rPr>
          <w:rFonts w:asciiTheme="majorHAnsi" w:hAnsiTheme="majorHAnsi" w:cstheme="majorHAnsi"/>
          <w:snapToGrid w:val="0"/>
          <w:color w:val="000000" w:themeColor="text1"/>
          <w:sz w:val="22"/>
          <w:szCs w:val="22"/>
          <w:lang w:val="en-GB"/>
        </w:rPr>
        <w:t xml:space="preserve"> </w:t>
      </w:r>
      <w:r w:rsidRPr="003749FD">
        <w:rPr>
          <w:rFonts w:asciiTheme="majorHAnsi" w:hAnsiTheme="majorHAnsi" w:cstheme="majorHAnsi"/>
          <w:snapToGrid w:val="0"/>
          <w:sz w:val="22"/>
          <w:szCs w:val="22"/>
          <w:lang w:val="en-GB"/>
        </w:rPr>
        <w:t>affect school/student performance?</w:t>
      </w:r>
      <w:r w:rsidR="00D434EB">
        <w:rPr>
          <w:rFonts w:asciiTheme="majorHAnsi" w:hAnsiTheme="majorHAnsi" w:cstheme="majorHAnsi"/>
          <w:snapToGrid w:val="0"/>
          <w:sz w:val="22"/>
          <w:szCs w:val="22"/>
          <w:lang w:val="en-GB"/>
        </w:rPr>
        <w:t xml:space="preserve"> </w:t>
      </w:r>
    </w:p>
    <w:p w14:paraId="0700A63F" w14:textId="77777777" w:rsidR="008D0CAD" w:rsidRPr="003749FD" w:rsidRDefault="008D0CAD" w:rsidP="00DD08E3">
      <w:pPr>
        <w:spacing w:before="100" w:beforeAutospacing="1" w:after="100" w:afterAutospacing="1" w:line="360" w:lineRule="auto"/>
        <w:ind w:left="357"/>
        <w:rPr>
          <w:rFonts w:asciiTheme="majorHAnsi" w:hAnsiTheme="majorHAnsi" w:cstheme="majorHAnsi"/>
          <w:color w:val="000000" w:themeColor="text1"/>
          <w:sz w:val="22"/>
          <w:szCs w:val="22"/>
          <w:lang w:val="en-US"/>
        </w:rPr>
      </w:pPr>
      <w:r w:rsidRPr="003749FD">
        <w:rPr>
          <w:rFonts w:asciiTheme="majorHAnsi" w:hAnsiTheme="majorHAnsi" w:cstheme="majorHAnsi"/>
          <w:sz w:val="22"/>
          <w:szCs w:val="22"/>
          <w:lang w:val="en-GB"/>
        </w:rPr>
        <w:t>__ Yes __ No</w:t>
      </w:r>
      <w:r w:rsidRPr="003749FD">
        <w:rPr>
          <w:rFonts w:asciiTheme="majorHAnsi" w:hAnsiTheme="majorHAnsi" w:cstheme="majorHAnsi"/>
          <w:color w:val="000000" w:themeColor="text1"/>
          <w:sz w:val="22"/>
          <w:szCs w:val="22"/>
          <w:lang w:val="en-GB"/>
        </w:rPr>
        <w:t xml:space="preserve"> </w:t>
      </w:r>
    </w:p>
    <w:p w14:paraId="3EF6682C" w14:textId="45DF3318" w:rsidR="008D0CAD" w:rsidRPr="003749FD" w:rsidRDefault="008D0CAD" w:rsidP="00DD08E3">
      <w:pPr>
        <w:numPr>
          <w:ilvl w:val="0"/>
          <w:numId w:val="81"/>
        </w:numPr>
        <w:spacing w:before="100" w:beforeAutospacing="1" w:after="100" w:afterAutospacing="1" w:line="360" w:lineRule="auto"/>
        <w:ind w:left="357" w:hanging="357"/>
        <w:rPr>
          <w:rFonts w:asciiTheme="majorHAnsi" w:hAnsiTheme="majorHAnsi" w:cstheme="majorHAnsi"/>
          <w:snapToGrid w:val="0"/>
          <w:color w:val="000000" w:themeColor="text1"/>
          <w:sz w:val="22"/>
          <w:szCs w:val="22"/>
          <w:lang w:val="en-US"/>
        </w:rPr>
      </w:pPr>
      <w:r w:rsidRPr="003749FD">
        <w:rPr>
          <w:rFonts w:asciiTheme="majorHAnsi" w:hAnsiTheme="majorHAnsi" w:cstheme="majorHAnsi"/>
          <w:snapToGrid w:val="0"/>
          <w:sz w:val="22"/>
          <w:szCs w:val="22"/>
          <w:lang w:val="en-GB"/>
        </w:rPr>
        <w:t xml:space="preserve">Do the dominant </w:t>
      </w:r>
      <w:r w:rsidRPr="003749FD">
        <w:rPr>
          <w:rFonts w:asciiTheme="majorHAnsi" w:hAnsiTheme="majorHAnsi" w:cstheme="majorHAnsi"/>
          <w:b/>
          <w:bCs/>
          <w:snapToGrid w:val="0"/>
          <w:sz w:val="22"/>
          <w:szCs w:val="22"/>
          <w:lang w:val="en-GB"/>
        </w:rPr>
        <w:t>cultural and religious beliefs</w:t>
      </w:r>
      <w:r w:rsidRPr="003749FD">
        <w:rPr>
          <w:rFonts w:asciiTheme="majorHAnsi" w:hAnsiTheme="majorHAnsi" w:cstheme="majorHAnsi"/>
          <w:snapToGrid w:val="0"/>
          <w:sz w:val="22"/>
          <w:szCs w:val="22"/>
          <w:lang w:val="en-GB"/>
        </w:rPr>
        <w:t xml:space="preserve"> in your community affect school/student performance?</w:t>
      </w:r>
      <w:r w:rsidR="00D434EB">
        <w:rPr>
          <w:rFonts w:asciiTheme="majorHAnsi" w:hAnsiTheme="majorHAnsi" w:cstheme="majorHAnsi"/>
          <w:snapToGrid w:val="0"/>
          <w:sz w:val="22"/>
          <w:szCs w:val="22"/>
          <w:lang w:val="en-GB"/>
        </w:rPr>
        <w:t xml:space="preserve"> </w:t>
      </w:r>
    </w:p>
    <w:p w14:paraId="0E073D0C" w14:textId="77777777" w:rsidR="008D0CAD" w:rsidRPr="003749FD" w:rsidRDefault="008D0CAD" w:rsidP="00DD08E3">
      <w:pPr>
        <w:spacing w:before="100" w:beforeAutospacing="1" w:after="100" w:afterAutospacing="1" w:line="360" w:lineRule="auto"/>
        <w:ind w:left="357"/>
        <w:rPr>
          <w:rFonts w:asciiTheme="majorHAnsi" w:hAnsiTheme="majorHAnsi" w:cstheme="majorHAnsi"/>
          <w:color w:val="000000" w:themeColor="text1"/>
          <w:sz w:val="22"/>
          <w:szCs w:val="22"/>
          <w:lang w:val="en-US"/>
        </w:rPr>
      </w:pPr>
      <w:r w:rsidRPr="003749FD">
        <w:rPr>
          <w:rFonts w:asciiTheme="majorHAnsi" w:hAnsiTheme="majorHAnsi" w:cstheme="majorHAnsi"/>
          <w:sz w:val="22"/>
          <w:szCs w:val="22"/>
          <w:lang w:val="en-GB"/>
        </w:rPr>
        <w:t>__ Yes __ No</w:t>
      </w:r>
      <w:r w:rsidRPr="003749FD">
        <w:rPr>
          <w:rFonts w:asciiTheme="majorHAnsi" w:hAnsiTheme="majorHAnsi" w:cstheme="majorHAnsi"/>
          <w:color w:val="000000" w:themeColor="text1"/>
          <w:sz w:val="22"/>
          <w:szCs w:val="22"/>
          <w:lang w:val="en-GB"/>
        </w:rPr>
        <w:t xml:space="preserve"> </w:t>
      </w:r>
    </w:p>
    <w:p w14:paraId="46BDBFC3" w14:textId="77777777" w:rsidR="008D0CAD"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b/>
          <w:color w:val="000000"/>
          <w:highlight w:val="yellow"/>
          <w:lang w:val="en-US"/>
        </w:rPr>
      </w:pPr>
    </w:p>
    <w:p w14:paraId="787283D6" w14:textId="77777777" w:rsidR="008D0CAD" w:rsidRPr="003749FD"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b/>
          <w:color w:val="000000"/>
          <w:highlight w:val="yellow"/>
          <w:lang w:val="en-US"/>
        </w:rPr>
        <w:sectPr w:rsidR="008D0CAD" w:rsidRPr="003749FD" w:rsidSect="009C64E9">
          <w:pgSz w:w="11900" w:h="16840"/>
          <w:pgMar w:top="720" w:right="720" w:bottom="720" w:left="720" w:header="720" w:footer="1152" w:gutter="0"/>
          <w:cols w:space="720"/>
          <w:docGrid w:linePitch="360"/>
        </w:sectPr>
      </w:pPr>
    </w:p>
    <w:p w14:paraId="5C38AD70" w14:textId="1EB807CC" w:rsidR="008D0CAD" w:rsidRPr="00EC48C1"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b/>
          <w:color w:val="000000"/>
          <w:lang w:val="en-GB"/>
        </w:rPr>
      </w:pPr>
      <w:r w:rsidRPr="00EC48C1">
        <w:rPr>
          <w:rFonts w:asciiTheme="majorHAnsi" w:eastAsiaTheme="minorHAnsi" w:hAnsiTheme="majorHAnsi" w:cstheme="majorHAnsi"/>
          <w:b/>
          <w:color w:val="000000"/>
          <w:lang w:val="en-US"/>
        </w:rPr>
        <w:t>Part 7:</w:t>
      </w:r>
      <w:r w:rsidR="00D434EB">
        <w:rPr>
          <w:rFonts w:asciiTheme="majorHAnsi" w:eastAsiaTheme="minorHAnsi" w:hAnsiTheme="majorHAnsi" w:cstheme="majorHAnsi"/>
          <w:b/>
          <w:color w:val="000000"/>
          <w:lang w:val="en-US"/>
        </w:rPr>
        <w:t xml:space="preserve"> </w:t>
      </w:r>
      <w:r w:rsidRPr="00EC48C1">
        <w:rPr>
          <w:rFonts w:asciiTheme="majorHAnsi" w:eastAsiaTheme="minorHAnsi" w:hAnsiTheme="majorHAnsi" w:cstheme="majorHAnsi"/>
          <w:b/>
          <w:color w:val="000000"/>
          <w:lang w:val="en-US"/>
        </w:rPr>
        <w:t xml:space="preserve"> </w:t>
      </w:r>
      <w:r w:rsidRPr="00EC48C1">
        <w:rPr>
          <w:rFonts w:asciiTheme="majorHAnsi" w:eastAsiaTheme="minorHAnsi" w:hAnsiTheme="majorHAnsi" w:cstheme="majorHAnsi"/>
          <w:b/>
          <w:color w:val="000000"/>
          <w:lang w:val="en-GB"/>
        </w:rPr>
        <w:t>Systemic Factors and Conditions</w:t>
      </w:r>
    </w:p>
    <w:p w14:paraId="321D8E31" w14:textId="77777777" w:rsidR="008D0CAD" w:rsidRPr="003749FD" w:rsidRDefault="008D0CAD" w:rsidP="00DD08E3">
      <w:pPr>
        <w:numPr>
          <w:ilvl w:val="0"/>
          <w:numId w:val="81"/>
        </w:numPr>
        <w:spacing w:before="100" w:beforeAutospacing="1" w:after="100" w:afterAutospacing="1" w:line="360" w:lineRule="auto"/>
        <w:contextualSpacing/>
        <w:rPr>
          <w:rFonts w:asciiTheme="majorHAnsi" w:hAnsiTheme="majorHAnsi" w:cstheme="majorHAnsi"/>
          <w:snapToGrid w:val="0"/>
          <w:color w:val="000000" w:themeColor="text1"/>
          <w:sz w:val="22"/>
          <w:szCs w:val="22"/>
          <w:lang w:val="en-US"/>
        </w:rPr>
      </w:pPr>
      <w:r w:rsidRPr="003749FD">
        <w:rPr>
          <w:rFonts w:asciiTheme="majorHAnsi" w:hAnsiTheme="majorHAnsi" w:cstheme="majorHAnsi"/>
          <w:b/>
          <w:snapToGrid w:val="0"/>
          <w:color w:val="000000"/>
          <w:sz w:val="22"/>
          <w:szCs w:val="22"/>
          <w:lang w:val="en-US"/>
        </w:rPr>
        <w:t xml:space="preserve">What </w:t>
      </w:r>
      <w:r w:rsidRPr="003749FD">
        <w:rPr>
          <w:rFonts w:asciiTheme="majorHAnsi" w:hAnsiTheme="majorHAnsi" w:cstheme="majorHAnsi"/>
          <w:snapToGrid w:val="0"/>
          <w:sz w:val="22"/>
          <w:szCs w:val="22"/>
          <w:lang w:val="en-US"/>
        </w:rPr>
        <w:t xml:space="preserve">kinds of support were provided to your school to help you successfully implement the reforms and enhance your school operations. Please marking the appropriate box in terms of </w:t>
      </w:r>
      <w:r w:rsidRPr="003749FD">
        <w:rPr>
          <w:rFonts w:asciiTheme="majorHAnsi" w:hAnsiTheme="majorHAnsi" w:cstheme="majorHAnsi"/>
          <w:b/>
          <w:i/>
          <w:snapToGrid w:val="0"/>
          <w:sz w:val="22"/>
          <w:szCs w:val="22"/>
          <w:lang w:val="en-US"/>
        </w:rPr>
        <w:t>(Note: a blank response will be considered as None)</w:t>
      </w:r>
      <w:r w:rsidRPr="003749FD">
        <w:rPr>
          <w:rFonts w:asciiTheme="majorHAnsi" w:hAnsiTheme="majorHAnsi" w:cstheme="majorHAnsi"/>
          <w:snapToGrid w:val="0"/>
          <w:sz w:val="22"/>
          <w:szCs w:val="22"/>
          <w:lang w:val="en-US"/>
        </w:rPr>
        <w:t>:</w:t>
      </w:r>
    </w:p>
    <w:tbl>
      <w:tblPr>
        <w:tblStyle w:val="TableGrid13"/>
        <w:tblW w:w="10038" w:type="dxa"/>
        <w:tblInd w:w="265" w:type="dxa"/>
        <w:tblLayout w:type="fixed"/>
        <w:tblLook w:val="04A0" w:firstRow="1" w:lastRow="0" w:firstColumn="1" w:lastColumn="0" w:noHBand="0" w:noVBand="1"/>
      </w:tblPr>
      <w:tblGrid>
        <w:gridCol w:w="4692"/>
        <w:gridCol w:w="850"/>
        <w:gridCol w:w="851"/>
        <w:gridCol w:w="992"/>
        <w:gridCol w:w="782"/>
        <w:gridCol w:w="1871"/>
      </w:tblGrid>
      <w:tr w:rsidR="008D0CAD" w:rsidRPr="003749FD" w14:paraId="3BCD6690" w14:textId="77777777" w:rsidTr="00F4751F">
        <w:trPr>
          <w:trHeight w:val="789"/>
          <w:tblHeader/>
        </w:trPr>
        <w:tc>
          <w:tcPr>
            <w:tcW w:w="4692" w:type="dxa"/>
            <w:tcBorders>
              <w:bottom w:val="nil"/>
            </w:tcBorders>
            <w:shd w:val="clear" w:color="auto" w:fill="E7E6E6" w:themeFill="background2"/>
          </w:tcPr>
          <w:p w14:paraId="3479FECD" w14:textId="77777777" w:rsidR="008D0CAD" w:rsidRPr="003749FD"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b/>
                <w:color w:val="000000"/>
                <w:sz w:val="16"/>
                <w:szCs w:val="16"/>
                <w:lang w:val="en-US"/>
              </w:rPr>
            </w:pPr>
          </w:p>
        </w:tc>
        <w:tc>
          <w:tcPr>
            <w:tcW w:w="850" w:type="dxa"/>
            <w:tcBorders>
              <w:right w:val="nil"/>
            </w:tcBorders>
            <w:shd w:val="clear" w:color="auto" w:fill="E7E6E6" w:themeFill="background2"/>
            <w:vAlign w:val="center"/>
          </w:tcPr>
          <w:p w14:paraId="4730BD7D" w14:textId="172317B9" w:rsidR="008D0CAD" w:rsidRPr="003749FD"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b/>
                <w:color w:val="000000" w:themeColor="text1"/>
                <w:sz w:val="16"/>
                <w:szCs w:val="16"/>
                <w:lang w:val="en-US"/>
              </w:rPr>
            </w:pPr>
          </w:p>
        </w:tc>
        <w:tc>
          <w:tcPr>
            <w:tcW w:w="851" w:type="dxa"/>
            <w:tcBorders>
              <w:left w:val="nil"/>
              <w:right w:val="nil"/>
            </w:tcBorders>
            <w:shd w:val="clear" w:color="auto" w:fill="E7E6E6" w:themeFill="background2"/>
            <w:vAlign w:val="center"/>
          </w:tcPr>
          <w:p w14:paraId="33E23509" w14:textId="3851D41F" w:rsidR="008D0CAD" w:rsidRPr="003749FD" w:rsidRDefault="007045A4" w:rsidP="00DD08E3">
            <w:pPr>
              <w:autoSpaceDE w:val="0"/>
              <w:autoSpaceDN w:val="0"/>
              <w:adjustRightInd w:val="0"/>
              <w:spacing w:before="100" w:beforeAutospacing="1" w:after="100" w:afterAutospacing="1" w:line="360" w:lineRule="auto"/>
              <w:rPr>
                <w:rFonts w:asciiTheme="majorHAnsi" w:eastAsiaTheme="minorHAnsi" w:hAnsiTheme="majorHAnsi" w:cstheme="majorHAnsi"/>
                <w:b/>
                <w:color w:val="000000" w:themeColor="text1"/>
                <w:sz w:val="16"/>
                <w:szCs w:val="16"/>
                <w:lang w:val="en-US"/>
              </w:rPr>
            </w:pPr>
            <w:r>
              <w:rPr>
                <w:rFonts w:asciiTheme="majorHAnsi" w:eastAsiaTheme="minorHAnsi" w:hAnsiTheme="majorHAnsi" w:cstheme="majorHAnsi"/>
                <w:b/>
                <w:color w:val="000000" w:themeColor="text1"/>
                <w:sz w:val="16"/>
                <w:szCs w:val="16"/>
                <w:lang w:val="en-US"/>
              </w:rPr>
              <w:t>Type</w:t>
            </w:r>
          </w:p>
        </w:tc>
        <w:tc>
          <w:tcPr>
            <w:tcW w:w="992" w:type="dxa"/>
            <w:tcBorders>
              <w:left w:val="nil"/>
              <w:right w:val="nil"/>
            </w:tcBorders>
            <w:shd w:val="clear" w:color="auto" w:fill="E7E6E6" w:themeFill="background2"/>
            <w:vAlign w:val="center"/>
          </w:tcPr>
          <w:p w14:paraId="08195ED5" w14:textId="364380C7" w:rsidR="008D0CAD" w:rsidRPr="003749FD" w:rsidRDefault="007045A4" w:rsidP="00DD08E3">
            <w:pPr>
              <w:autoSpaceDE w:val="0"/>
              <w:autoSpaceDN w:val="0"/>
              <w:adjustRightInd w:val="0"/>
              <w:spacing w:before="100" w:beforeAutospacing="1" w:after="100" w:afterAutospacing="1" w:line="360" w:lineRule="auto"/>
              <w:rPr>
                <w:rFonts w:asciiTheme="majorHAnsi" w:eastAsiaTheme="minorHAnsi" w:hAnsiTheme="majorHAnsi" w:cstheme="majorHAnsi"/>
                <w:b/>
                <w:color w:val="000000" w:themeColor="text1"/>
                <w:sz w:val="16"/>
                <w:szCs w:val="16"/>
                <w:lang w:val="en-US"/>
              </w:rPr>
            </w:pPr>
            <w:r>
              <w:rPr>
                <w:rFonts w:asciiTheme="majorHAnsi" w:eastAsiaTheme="minorHAnsi" w:hAnsiTheme="majorHAnsi" w:cstheme="majorHAnsi"/>
                <w:b/>
                <w:bCs/>
                <w:color w:val="000000"/>
                <w:sz w:val="16"/>
                <w:szCs w:val="16"/>
                <w:lang w:val="en-US"/>
              </w:rPr>
              <w:t>of</w:t>
            </w:r>
          </w:p>
        </w:tc>
        <w:tc>
          <w:tcPr>
            <w:tcW w:w="782" w:type="dxa"/>
            <w:tcBorders>
              <w:left w:val="nil"/>
              <w:right w:val="nil"/>
            </w:tcBorders>
            <w:shd w:val="clear" w:color="auto" w:fill="E7E6E6" w:themeFill="background2"/>
            <w:vAlign w:val="center"/>
          </w:tcPr>
          <w:p w14:paraId="5057CC92" w14:textId="56B03220" w:rsidR="008D0CAD" w:rsidRPr="003749FD" w:rsidRDefault="007045A4" w:rsidP="00DD08E3">
            <w:pPr>
              <w:autoSpaceDE w:val="0"/>
              <w:autoSpaceDN w:val="0"/>
              <w:adjustRightInd w:val="0"/>
              <w:spacing w:before="100" w:beforeAutospacing="1" w:after="100" w:afterAutospacing="1" w:line="360" w:lineRule="auto"/>
              <w:rPr>
                <w:rFonts w:asciiTheme="majorHAnsi" w:eastAsiaTheme="minorHAnsi" w:hAnsiTheme="majorHAnsi" w:cstheme="majorHAnsi"/>
                <w:b/>
                <w:color w:val="000000" w:themeColor="text1"/>
                <w:sz w:val="16"/>
                <w:szCs w:val="16"/>
                <w:lang w:val="en-US"/>
              </w:rPr>
            </w:pPr>
            <w:r>
              <w:rPr>
                <w:rFonts w:asciiTheme="majorHAnsi" w:eastAsiaTheme="minorHAnsi" w:hAnsiTheme="majorHAnsi" w:cstheme="majorHAnsi"/>
                <w:b/>
                <w:color w:val="000000" w:themeColor="text1"/>
                <w:sz w:val="16"/>
                <w:szCs w:val="16"/>
                <w:lang w:val="en-US"/>
              </w:rPr>
              <w:t>Support</w:t>
            </w:r>
          </w:p>
        </w:tc>
        <w:tc>
          <w:tcPr>
            <w:tcW w:w="1871" w:type="dxa"/>
            <w:tcBorders>
              <w:left w:val="nil"/>
            </w:tcBorders>
            <w:shd w:val="clear" w:color="auto" w:fill="E7E6E6" w:themeFill="background2"/>
            <w:vAlign w:val="center"/>
          </w:tcPr>
          <w:p w14:paraId="534FE9E9" w14:textId="407FDBAD" w:rsidR="008D0CAD" w:rsidRPr="003749FD"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b/>
                <w:color w:val="000000" w:themeColor="text1"/>
                <w:sz w:val="16"/>
                <w:szCs w:val="16"/>
                <w:lang w:val="en-US"/>
              </w:rPr>
            </w:pPr>
          </w:p>
        </w:tc>
      </w:tr>
      <w:tr w:rsidR="007045A4" w:rsidRPr="003749FD" w14:paraId="31C79BA8" w14:textId="77777777" w:rsidTr="00F4751F">
        <w:trPr>
          <w:trHeight w:val="60"/>
          <w:tblHeader/>
        </w:trPr>
        <w:tc>
          <w:tcPr>
            <w:tcW w:w="4692" w:type="dxa"/>
            <w:tcBorders>
              <w:top w:val="nil"/>
            </w:tcBorders>
            <w:shd w:val="clear" w:color="auto" w:fill="E7E6E6" w:themeFill="background2"/>
          </w:tcPr>
          <w:p w14:paraId="37043281" w14:textId="1323D1CA" w:rsidR="007045A4" w:rsidRPr="003749FD" w:rsidRDefault="007045A4" w:rsidP="00FF4CA3">
            <w:pPr>
              <w:autoSpaceDE w:val="0"/>
              <w:autoSpaceDN w:val="0"/>
              <w:adjustRightInd w:val="0"/>
              <w:spacing w:before="100" w:beforeAutospacing="1" w:after="100" w:afterAutospacing="1" w:line="360" w:lineRule="auto"/>
              <w:rPr>
                <w:rFonts w:asciiTheme="majorHAnsi" w:eastAsiaTheme="minorHAnsi" w:hAnsiTheme="majorHAnsi" w:cstheme="majorHAnsi"/>
                <w:bCs/>
                <w:color w:val="000000" w:themeColor="text1"/>
                <w:sz w:val="20"/>
                <w:szCs w:val="20"/>
                <w:lang w:val="en-US"/>
              </w:rPr>
            </w:pPr>
            <w:r>
              <w:rPr>
                <w:rFonts w:asciiTheme="majorHAnsi" w:eastAsiaTheme="minorHAnsi" w:hAnsiTheme="majorHAnsi" w:cstheme="majorHAnsi"/>
                <w:bCs/>
                <w:color w:val="000000" w:themeColor="text1"/>
                <w:sz w:val="20"/>
                <w:szCs w:val="20"/>
                <w:lang w:val="en-US"/>
              </w:rPr>
              <w:t>Basic Education Reforms</w:t>
            </w:r>
          </w:p>
        </w:tc>
        <w:tc>
          <w:tcPr>
            <w:tcW w:w="850" w:type="dxa"/>
            <w:shd w:val="clear" w:color="auto" w:fill="E7E6E6" w:themeFill="background2"/>
            <w:vAlign w:val="center"/>
          </w:tcPr>
          <w:p w14:paraId="371243E0" w14:textId="4C491248"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r w:rsidRPr="003749FD">
              <w:rPr>
                <w:rFonts w:asciiTheme="majorHAnsi" w:eastAsiaTheme="minorHAnsi" w:hAnsiTheme="majorHAnsi" w:cstheme="majorHAnsi"/>
                <w:b/>
                <w:color w:val="000000" w:themeColor="text1"/>
                <w:sz w:val="16"/>
                <w:szCs w:val="16"/>
                <w:lang w:val="en-US"/>
              </w:rPr>
              <w:t>Policy support</w:t>
            </w:r>
          </w:p>
        </w:tc>
        <w:tc>
          <w:tcPr>
            <w:tcW w:w="851" w:type="dxa"/>
            <w:shd w:val="clear" w:color="auto" w:fill="E7E6E6" w:themeFill="background2"/>
            <w:vAlign w:val="center"/>
          </w:tcPr>
          <w:p w14:paraId="52C2A704" w14:textId="2A4F34AA"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r w:rsidRPr="003749FD">
              <w:rPr>
                <w:rFonts w:asciiTheme="majorHAnsi" w:eastAsiaTheme="minorHAnsi" w:hAnsiTheme="majorHAnsi" w:cstheme="majorHAnsi"/>
                <w:b/>
                <w:color w:val="000000" w:themeColor="text1"/>
                <w:sz w:val="16"/>
                <w:szCs w:val="16"/>
                <w:lang w:val="en-US"/>
              </w:rPr>
              <w:t>Capacity Building / Training</w:t>
            </w:r>
          </w:p>
        </w:tc>
        <w:tc>
          <w:tcPr>
            <w:tcW w:w="992" w:type="dxa"/>
            <w:shd w:val="clear" w:color="auto" w:fill="E7E6E6" w:themeFill="background2"/>
            <w:vAlign w:val="center"/>
          </w:tcPr>
          <w:p w14:paraId="108E189A" w14:textId="3BA435CD"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r w:rsidRPr="003749FD">
              <w:rPr>
                <w:rFonts w:asciiTheme="majorHAnsi" w:eastAsiaTheme="minorHAnsi" w:hAnsiTheme="majorHAnsi" w:cstheme="majorHAnsi"/>
                <w:b/>
                <w:bCs/>
                <w:color w:val="000000"/>
                <w:sz w:val="16"/>
                <w:szCs w:val="16"/>
                <w:lang w:val="en-US"/>
              </w:rPr>
              <w:t>Teaching &amp; learning resources</w:t>
            </w:r>
          </w:p>
        </w:tc>
        <w:tc>
          <w:tcPr>
            <w:tcW w:w="782" w:type="dxa"/>
            <w:shd w:val="clear" w:color="auto" w:fill="E7E6E6" w:themeFill="background2"/>
            <w:vAlign w:val="center"/>
          </w:tcPr>
          <w:p w14:paraId="36527EBF" w14:textId="150FDC0D"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r w:rsidRPr="003749FD">
              <w:rPr>
                <w:rFonts w:asciiTheme="majorHAnsi" w:eastAsiaTheme="minorHAnsi" w:hAnsiTheme="majorHAnsi" w:cstheme="majorHAnsi"/>
                <w:b/>
                <w:color w:val="000000" w:themeColor="text1"/>
                <w:sz w:val="16"/>
                <w:szCs w:val="16"/>
                <w:lang w:val="en-US"/>
              </w:rPr>
              <w:t>Financial</w:t>
            </w:r>
            <w:r w:rsidR="00D434EB">
              <w:rPr>
                <w:rFonts w:asciiTheme="majorHAnsi" w:eastAsiaTheme="minorHAnsi" w:hAnsiTheme="majorHAnsi" w:cstheme="majorHAnsi"/>
                <w:b/>
                <w:color w:val="000000" w:themeColor="text1"/>
                <w:sz w:val="16"/>
                <w:szCs w:val="16"/>
                <w:lang w:val="en-US"/>
              </w:rPr>
              <w:t xml:space="preserve"> </w:t>
            </w:r>
          </w:p>
        </w:tc>
        <w:tc>
          <w:tcPr>
            <w:tcW w:w="1871" w:type="dxa"/>
            <w:shd w:val="clear" w:color="auto" w:fill="E7E6E6" w:themeFill="background2"/>
            <w:vAlign w:val="center"/>
          </w:tcPr>
          <w:p w14:paraId="15D54513" w14:textId="085D3BA1"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r w:rsidRPr="003749FD">
              <w:rPr>
                <w:rFonts w:asciiTheme="majorHAnsi" w:eastAsiaTheme="minorHAnsi" w:hAnsiTheme="majorHAnsi" w:cstheme="majorHAnsi"/>
                <w:b/>
                <w:color w:val="000000" w:themeColor="text1"/>
                <w:sz w:val="16"/>
                <w:szCs w:val="16"/>
                <w:lang w:val="en-US"/>
              </w:rPr>
              <w:t>Others, please specify</w:t>
            </w:r>
          </w:p>
        </w:tc>
      </w:tr>
      <w:tr w:rsidR="007045A4" w:rsidRPr="003749FD" w14:paraId="4FF3C093" w14:textId="77777777" w:rsidTr="009C64E9">
        <w:trPr>
          <w:trHeight w:val="60"/>
        </w:trPr>
        <w:tc>
          <w:tcPr>
            <w:tcW w:w="4692" w:type="dxa"/>
          </w:tcPr>
          <w:p w14:paraId="51E470C3" w14:textId="1C79A861" w:rsidR="007045A4" w:rsidRPr="003749FD" w:rsidRDefault="007045A4" w:rsidP="007045A4">
            <w:pPr>
              <w:numPr>
                <w:ilvl w:val="0"/>
                <w:numId w:val="127"/>
              </w:num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r w:rsidRPr="003749FD">
              <w:rPr>
                <w:rFonts w:asciiTheme="majorHAnsi" w:eastAsiaTheme="minorHAnsi" w:hAnsiTheme="majorHAnsi" w:cstheme="majorHAnsi"/>
                <w:bCs/>
                <w:color w:val="000000" w:themeColor="text1"/>
                <w:sz w:val="20"/>
                <w:szCs w:val="20"/>
                <w:lang w:val="en-US"/>
              </w:rPr>
              <w:t xml:space="preserve">Implementation of the </w:t>
            </w:r>
            <w:r w:rsidRPr="003749FD">
              <w:rPr>
                <w:rFonts w:asciiTheme="majorHAnsi" w:eastAsiaTheme="minorHAnsi" w:hAnsiTheme="majorHAnsi" w:cstheme="majorHAnsi"/>
                <w:b/>
                <w:bCs/>
                <w:color w:val="000000" w:themeColor="text1"/>
                <w:sz w:val="20"/>
                <w:szCs w:val="20"/>
                <w:lang w:val="en-US"/>
              </w:rPr>
              <w:t>L&amp;D</w:t>
            </w:r>
            <w:r w:rsidRPr="003749FD">
              <w:rPr>
                <w:rFonts w:asciiTheme="majorHAnsi" w:eastAsiaTheme="minorHAnsi" w:hAnsiTheme="majorHAnsi" w:cstheme="majorHAnsi"/>
                <w:bCs/>
                <w:color w:val="000000" w:themeColor="text1"/>
                <w:sz w:val="20"/>
                <w:szCs w:val="20"/>
                <w:lang w:val="en-US"/>
              </w:rPr>
              <w:t xml:space="preserve"> system</w:t>
            </w:r>
            <w:r w:rsidR="00D434EB">
              <w:rPr>
                <w:rFonts w:asciiTheme="majorHAnsi" w:eastAsiaTheme="minorHAnsi" w:hAnsiTheme="majorHAnsi" w:cstheme="majorHAnsi"/>
                <w:bCs/>
                <w:color w:val="000000" w:themeColor="text1"/>
                <w:sz w:val="20"/>
                <w:szCs w:val="20"/>
                <w:lang w:val="en-US"/>
              </w:rPr>
              <w:t xml:space="preserve"> </w:t>
            </w:r>
            <w:r w:rsidRPr="003749FD">
              <w:rPr>
                <w:rFonts w:asciiTheme="majorHAnsi" w:eastAsiaTheme="minorHAnsi" w:hAnsiTheme="majorHAnsi" w:cstheme="majorHAnsi"/>
                <w:bCs/>
                <w:color w:val="000000" w:themeColor="text1"/>
                <w:sz w:val="20"/>
                <w:szCs w:val="20"/>
                <w:lang w:val="en-US"/>
              </w:rPr>
              <w:t xml:space="preserve"> </w:t>
            </w:r>
          </w:p>
        </w:tc>
        <w:tc>
          <w:tcPr>
            <w:tcW w:w="850" w:type="dxa"/>
            <w:vAlign w:val="center"/>
          </w:tcPr>
          <w:p w14:paraId="43C6C97F"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851" w:type="dxa"/>
            <w:vAlign w:val="center"/>
          </w:tcPr>
          <w:p w14:paraId="3C2CF31D"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992" w:type="dxa"/>
            <w:vAlign w:val="center"/>
          </w:tcPr>
          <w:p w14:paraId="2377818B"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782" w:type="dxa"/>
          </w:tcPr>
          <w:p w14:paraId="3AB17B73"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1871" w:type="dxa"/>
            <w:vAlign w:val="center"/>
          </w:tcPr>
          <w:p w14:paraId="45D9CF55"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r>
      <w:tr w:rsidR="007045A4" w:rsidRPr="003749FD" w14:paraId="32B718E2" w14:textId="77777777" w:rsidTr="009C64E9">
        <w:trPr>
          <w:trHeight w:val="45"/>
        </w:trPr>
        <w:tc>
          <w:tcPr>
            <w:tcW w:w="4692" w:type="dxa"/>
          </w:tcPr>
          <w:p w14:paraId="552FB94B" w14:textId="77777777" w:rsidR="007045A4" w:rsidRPr="003749FD" w:rsidRDefault="007045A4" w:rsidP="007045A4">
            <w:pPr>
              <w:numPr>
                <w:ilvl w:val="0"/>
                <w:numId w:val="127"/>
              </w:num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20"/>
                <w:szCs w:val="20"/>
                <w:lang w:val="en-US"/>
              </w:rPr>
            </w:pPr>
            <w:r w:rsidRPr="003749FD">
              <w:rPr>
                <w:rFonts w:asciiTheme="majorHAnsi" w:eastAsiaTheme="minorHAnsi" w:hAnsiTheme="majorHAnsi" w:cstheme="majorHAnsi"/>
                <w:color w:val="000000"/>
                <w:sz w:val="20"/>
                <w:szCs w:val="20"/>
                <w:lang w:val="en-US"/>
              </w:rPr>
              <w:t>Implementation of the Collaborative Lesson Planning (</w:t>
            </w:r>
            <w:r w:rsidRPr="003749FD">
              <w:rPr>
                <w:rFonts w:asciiTheme="majorHAnsi" w:eastAsiaTheme="minorHAnsi" w:hAnsiTheme="majorHAnsi" w:cstheme="majorHAnsi"/>
                <w:b/>
                <w:color w:val="000000"/>
                <w:sz w:val="20"/>
                <w:szCs w:val="20"/>
                <w:lang w:val="en-US"/>
              </w:rPr>
              <w:t>CLP</w:t>
            </w:r>
            <w:r w:rsidRPr="003749FD">
              <w:rPr>
                <w:rFonts w:asciiTheme="majorHAnsi" w:eastAsiaTheme="minorHAnsi" w:hAnsiTheme="majorHAnsi" w:cstheme="majorHAnsi"/>
                <w:color w:val="000000"/>
                <w:sz w:val="20"/>
                <w:szCs w:val="20"/>
                <w:lang w:val="en-US"/>
              </w:rPr>
              <w:t>)</w:t>
            </w:r>
          </w:p>
        </w:tc>
        <w:tc>
          <w:tcPr>
            <w:tcW w:w="850" w:type="dxa"/>
            <w:vAlign w:val="center"/>
          </w:tcPr>
          <w:p w14:paraId="22E44FAF"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851" w:type="dxa"/>
            <w:vAlign w:val="center"/>
          </w:tcPr>
          <w:p w14:paraId="2BD1B375"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992" w:type="dxa"/>
            <w:vAlign w:val="center"/>
          </w:tcPr>
          <w:p w14:paraId="26DE62E7"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782" w:type="dxa"/>
          </w:tcPr>
          <w:p w14:paraId="3C84F1C3"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1871" w:type="dxa"/>
            <w:vAlign w:val="center"/>
          </w:tcPr>
          <w:p w14:paraId="533BA85F"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r>
      <w:tr w:rsidR="007045A4" w:rsidRPr="003749FD" w14:paraId="34DB2167" w14:textId="77777777" w:rsidTr="009C64E9">
        <w:trPr>
          <w:trHeight w:val="181"/>
        </w:trPr>
        <w:tc>
          <w:tcPr>
            <w:tcW w:w="4692" w:type="dxa"/>
          </w:tcPr>
          <w:p w14:paraId="35425DCF" w14:textId="77777777" w:rsidR="007045A4" w:rsidRPr="003749FD" w:rsidRDefault="007045A4" w:rsidP="007045A4">
            <w:pPr>
              <w:numPr>
                <w:ilvl w:val="0"/>
                <w:numId w:val="127"/>
              </w:num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r w:rsidRPr="003749FD">
              <w:rPr>
                <w:rFonts w:asciiTheme="majorHAnsi" w:eastAsiaTheme="minorHAnsi" w:hAnsiTheme="majorHAnsi" w:cstheme="majorHAnsi"/>
                <w:color w:val="000000"/>
                <w:sz w:val="20"/>
                <w:szCs w:val="20"/>
                <w:lang w:val="en-US"/>
              </w:rPr>
              <w:t xml:space="preserve">Implementation of the </w:t>
            </w:r>
            <w:r w:rsidRPr="003749FD">
              <w:rPr>
                <w:rFonts w:asciiTheme="majorHAnsi" w:eastAsiaTheme="minorHAnsi" w:hAnsiTheme="majorHAnsi" w:cstheme="majorHAnsi"/>
                <w:color w:val="000000" w:themeColor="text1"/>
                <w:sz w:val="20"/>
                <w:szCs w:val="20"/>
                <w:lang w:val="en-US"/>
              </w:rPr>
              <w:t>Learning Action Cells (</w:t>
            </w:r>
            <w:r w:rsidRPr="003749FD">
              <w:rPr>
                <w:rFonts w:asciiTheme="majorHAnsi" w:eastAsiaTheme="minorHAnsi" w:hAnsiTheme="majorHAnsi" w:cstheme="majorHAnsi"/>
                <w:b/>
                <w:color w:val="000000" w:themeColor="text1"/>
                <w:sz w:val="20"/>
                <w:szCs w:val="20"/>
                <w:lang w:val="en-US"/>
              </w:rPr>
              <w:t>LAC</w:t>
            </w:r>
            <w:r w:rsidRPr="003749FD">
              <w:rPr>
                <w:rFonts w:asciiTheme="majorHAnsi" w:eastAsiaTheme="minorHAnsi" w:hAnsiTheme="majorHAnsi" w:cstheme="majorHAnsi"/>
                <w:color w:val="000000" w:themeColor="text1"/>
                <w:sz w:val="20"/>
                <w:szCs w:val="20"/>
                <w:lang w:val="en-US"/>
              </w:rPr>
              <w:t>)</w:t>
            </w:r>
          </w:p>
        </w:tc>
        <w:tc>
          <w:tcPr>
            <w:tcW w:w="850" w:type="dxa"/>
            <w:vAlign w:val="center"/>
          </w:tcPr>
          <w:p w14:paraId="4E15A185"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851" w:type="dxa"/>
            <w:vAlign w:val="center"/>
          </w:tcPr>
          <w:p w14:paraId="2EE2448F"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992" w:type="dxa"/>
            <w:vAlign w:val="center"/>
          </w:tcPr>
          <w:p w14:paraId="396CE23D"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782" w:type="dxa"/>
          </w:tcPr>
          <w:p w14:paraId="21301228"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1871" w:type="dxa"/>
            <w:vAlign w:val="center"/>
          </w:tcPr>
          <w:p w14:paraId="4C3553C2"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r>
      <w:tr w:rsidR="007045A4" w:rsidRPr="003749FD" w14:paraId="0BE77F57" w14:textId="77777777" w:rsidTr="009C64E9">
        <w:trPr>
          <w:trHeight w:val="408"/>
        </w:trPr>
        <w:tc>
          <w:tcPr>
            <w:tcW w:w="4692" w:type="dxa"/>
          </w:tcPr>
          <w:p w14:paraId="559D43C9" w14:textId="77777777" w:rsidR="007045A4" w:rsidRPr="003749FD" w:rsidRDefault="007045A4" w:rsidP="007045A4">
            <w:pPr>
              <w:numPr>
                <w:ilvl w:val="0"/>
                <w:numId w:val="127"/>
              </w:num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r w:rsidRPr="003749FD">
              <w:rPr>
                <w:rFonts w:asciiTheme="majorHAnsi" w:eastAsiaTheme="minorHAnsi" w:hAnsiTheme="majorHAnsi" w:cstheme="majorHAnsi"/>
                <w:color w:val="000000"/>
                <w:sz w:val="20"/>
                <w:szCs w:val="20"/>
                <w:lang w:val="en-US"/>
              </w:rPr>
              <w:t xml:space="preserve">Implementation of the </w:t>
            </w:r>
            <w:r w:rsidRPr="003749FD">
              <w:rPr>
                <w:rFonts w:asciiTheme="majorHAnsi" w:eastAsiaTheme="minorHAnsi" w:hAnsiTheme="majorHAnsi" w:cstheme="majorHAnsi"/>
                <w:bCs/>
                <w:color w:val="000000"/>
                <w:sz w:val="20"/>
                <w:szCs w:val="20"/>
                <w:lang w:val="en-US"/>
              </w:rPr>
              <w:t>Results-based Performance Management System (</w:t>
            </w:r>
            <w:r w:rsidRPr="003749FD">
              <w:rPr>
                <w:rFonts w:asciiTheme="majorHAnsi" w:eastAsiaTheme="minorHAnsi" w:hAnsiTheme="majorHAnsi" w:cstheme="majorHAnsi"/>
                <w:b/>
                <w:bCs/>
                <w:color w:val="000000"/>
                <w:sz w:val="20"/>
                <w:szCs w:val="20"/>
                <w:lang w:val="en-US"/>
              </w:rPr>
              <w:t>RPMS</w:t>
            </w:r>
            <w:r w:rsidRPr="003749FD">
              <w:rPr>
                <w:rFonts w:asciiTheme="majorHAnsi" w:eastAsiaTheme="minorHAnsi" w:hAnsiTheme="majorHAnsi" w:cstheme="majorHAnsi"/>
                <w:bCs/>
                <w:color w:val="000000"/>
                <w:sz w:val="20"/>
                <w:szCs w:val="20"/>
                <w:lang w:val="en-US"/>
              </w:rPr>
              <w:t>)</w:t>
            </w:r>
          </w:p>
        </w:tc>
        <w:tc>
          <w:tcPr>
            <w:tcW w:w="850" w:type="dxa"/>
            <w:vAlign w:val="center"/>
          </w:tcPr>
          <w:p w14:paraId="0D3E47EB"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851" w:type="dxa"/>
            <w:vAlign w:val="center"/>
          </w:tcPr>
          <w:p w14:paraId="2959CA4E"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992" w:type="dxa"/>
            <w:vAlign w:val="center"/>
          </w:tcPr>
          <w:p w14:paraId="74B2D432"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782" w:type="dxa"/>
          </w:tcPr>
          <w:p w14:paraId="0B837568"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1871" w:type="dxa"/>
            <w:vAlign w:val="center"/>
          </w:tcPr>
          <w:p w14:paraId="4D3BD858"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r>
      <w:tr w:rsidR="007045A4" w:rsidRPr="003749FD" w14:paraId="267769ED" w14:textId="77777777" w:rsidTr="009C64E9">
        <w:trPr>
          <w:trHeight w:val="45"/>
        </w:trPr>
        <w:tc>
          <w:tcPr>
            <w:tcW w:w="4692" w:type="dxa"/>
          </w:tcPr>
          <w:p w14:paraId="4B0CD823" w14:textId="77777777" w:rsidR="007045A4" w:rsidRPr="003749FD" w:rsidRDefault="007045A4" w:rsidP="007045A4">
            <w:pPr>
              <w:numPr>
                <w:ilvl w:val="0"/>
                <w:numId w:val="127"/>
              </w:num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r w:rsidRPr="003749FD">
              <w:rPr>
                <w:rFonts w:asciiTheme="majorHAnsi" w:eastAsiaTheme="minorHAnsi" w:hAnsiTheme="majorHAnsi" w:cstheme="majorHAnsi"/>
                <w:color w:val="000000" w:themeColor="text1"/>
                <w:sz w:val="20"/>
                <w:szCs w:val="20"/>
                <w:lang w:val="en-US"/>
              </w:rPr>
              <w:t>Use of Self-Assessment Tool (</w:t>
            </w:r>
            <w:r w:rsidRPr="003749FD">
              <w:rPr>
                <w:rFonts w:asciiTheme="majorHAnsi" w:eastAsiaTheme="minorHAnsi" w:hAnsiTheme="majorHAnsi" w:cstheme="majorHAnsi"/>
                <w:b/>
                <w:color w:val="000000" w:themeColor="text1"/>
                <w:sz w:val="20"/>
                <w:szCs w:val="20"/>
                <w:lang w:val="en-US"/>
              </w:rPr>
              <w:t>SAT</w:t>
            </w:r>
            <w:r w:rsidRPr="003749FD">
              <w:rPr>
                <w:rFonts w:asciiTheme="majorHAnsi" w:eastAsiaTheme="minorHAnsi" w:hAnsiTheme="majorHAnsi" w:cstheme="majorHAnsi"/>
                <w:color w:val="000000" w:themeColor="text1"/>
                <w:sz w:val="20"/>
                <w:szCs w:val="20"/>
                <w:lang w:val="en-US"/>
              </w:rPr>
              <w:t>)</w:t>
            </w:r>
          </w:p>
        </w:tc>
        <w:tc>
          <w:tcPr>
            <w:tcW w:w="850" w:type="dxa"/>
            <w:vAlign w:val="center"/>
          </w:tcPr>
          <w:p w14:paraId="46CCA502"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851" w:type="dxa"/>
            <w:vAlign w:val="center"/>
          </w:tcPr>
          <w:p w14:paraId="33E325F4"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992" w:type="dxa"/>
            <w:vAlign w:val="center"/>
          </w:tcPr>
          <w:p w14:paraId="2C33CE85"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782" w:type="dxa"/>
          </w:tcPr>
          <w:p w14:paraId="5A8685BA"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1871" w:type="dxa"/>
            <w:vAlign w:val="center"/>
          </w:tcPr>
          <w:p w14:paraId="75C5205C"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r>
      <w:tr w:rsidR="007045A4" w:rsidRPr="003749FD" w14:paraId="72A7AB60" w14:textId="77777777" w:rsidTr="009C64E9">
        <w:trPr>
          <w:trHeight w:val="45"/>
        </w:trPr>
        <w:tc>
          <w:tcPr>
            <w:tcW w:w="4692" w:type="dxa"/>
          </w:tcPr>
          <w:p w14:paraId="4E27705B" w14:textId="77777777" w:rsidR="007045A4" w:rsidRPr="003749FD" w:rsidRDefault="007045A4" w:rsidP="007045A4">
            <w:pPr>
              <w:numPr>
                <w:ilvl w:val="0"/>
                <w:numId w:val="127"/>
              </w:num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r w:rsidRPr="003749FD">
              <w:rPr>
                <w:rFonts w:asciiTheme="majorHAnsi" w:eastAsiaTheme="minorHAnsi" w:hAnsiTheme="majorHAnsi" w:cstheme="majorHAnsi"/>
                <w:color w:val="000000" w:themeColor="text1"/>
                <w:sz w:val="20"/>
                <w:szCs w:val="20"/>
                <w:lang w:val="en-US"/>
              </w:rPr>
              <w:t>Use of Classroom Observation Tool (</w:t>
            </w:r>
            <w:r w:rsidRPr="003749FD">
              <w:rPr>
                <w:rFonts w:asciiTheme="majorHAnsi" w:eastAsiaTheme="minorHAnsi" w:hAnsiTheme="majorHAnsi" w:cstheme="majorHAnsi"/>
                <w:b/>
                <w:color w:val="000000" w:themeColor="text1"/>
                <w:sz w:val="20"/>
                <w:szCs w:val="20"/>
                <w:lang w:val="en-US"/>
              </w:rPr>
              <w:t>COT</w:t>
            </w:r>
            <w:r w:rsidRPr="003749FD">
              <w:rPr>
                <w:rFonts w:asciiTheme="majorHAnsi" w:eastAsiaTheme="minorHAnsi" w:hAnsiTheme="majorHAnsi" w:cstheme="majorHAnsi"/>
                <w:color w:val="000000" w:themeColor="text1"/>
                <w:sz w:val="20"/>
                <w:szCs w:val="20"/>
                <w:lang w:val="en-US"/>
              </w:rPr>
              <w:t>)</w:t>
            </w:r>
          </w:p>
        </w:tc>
        <w:tc>
          <w:tcPr>
            <w:tcW w:w="850" w:type="dxa"/>
            <w:vAlign w:val="center"/>
          </w:tcPr>
          <w:p w14:paraId="5A0E22EE"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851" w:type="dxa"/>
            <w:vAlign w:val="center"/>
          </w:tcPr>
          <w:p w14:paraId="6B5EF66D"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992" w:type="dxa"/>
            <w:vAlign w:val="center"/>
          </w:tcPr>
          <w:p w14:paraId="35209801"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782" w:type="dxa"/>
          </w:tcPr>
          <w:p w14:paraId="3E742120"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1871" w:type="dxa"/>
            <w:vAlign w:val="center"/>
          </w:tcPr>
          <w:p w14:paraId="08279C66"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r>
      <w:tr w:rsidR="007045A4" w:rsidRPr="003749FD" w14:paraId="2F06A3B7" w14:textId="77777777" w:rsidTr="009C64E9">
        <w:trPr>
          <w:trHeight w:val="45"/>
        </w:trPr>
        <w:tc>
          <w:tcPr>
            <w:tcW w:w="4692" w:type="dxa"/>
          </w:tcPr>
          <w:p w14:paraId="2566762A" w14:textId="77777777" w:rsidR="007045A4" w:rsidRPr="003749FD" w:rsidRDefault="007045A4" w:rsidP="007045A4">
            <w:pPr>
              <w:numPr>
                <w:ilvl w:val="0"/>
                <w:numId w:val="127"/>
              </w:num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r w:rsidRPr="003749FD">
              <w:rPr>
                <w:rFonts w:asciiTheme="majorHAnsi" w:eastAsiaTheme="minorHAnsi" w:hAnsiTheme="majorHAnsi" w:cstheme="majorHAnsi"/>
                <w:color w:val="000000"/>
                <w:sz w:val="20"/>
                <w:szCs w:val="20"/>
                <w:lang w:val="en-US"/>
              </w:rPr>
              <w:t xml:space="preserve">Implementation of the </w:t>
            </w:r>
            <w:r w:rsidRPr="003749FD">
              <w:rPr>
                <w:rFonts w:asciiTheme="majorHAnsi" w:eastAsiaTheme="minorHAnsi" w:hAnsiTheme="majorHAnsi" w:cstheme="majorHAnsi"/>
                <w:b/>
                <w:color w:val="000000"/>
                <w:sz w:val="20"/>
                <w:szCs w:val="20"/>
                <w:lang w:val="en-US"/>
              </w:rPr>
              <w:t>Teacher Induction Program</w:t>
            </w:r>
            <w:r w:rsidRPr="003749FD">
              <w:rPr>
                <w:rFonts w:asciiTheme="majorHAnsi" w:eastAsiaTheme="minorHAnsi" w:hAnsiTheme="majorHAnsi" w:cstheme="majorHAnsi"/>
                <w:color w:val="000000"/>
                <w:sz w:val="20"/>
                <w:szCs w:val="20"/>
                <w:lang w:val="en-US"/>
              </w:rPr>
              <w:t xml:space="preserve"> </w:t>
            </w:r>
          </w:p>
        </w:tc>
        <w:tc>
          <w:tcPr>
            <w:tcW w:w="850" w:type="dxa"/>
            <w:vAlign w:val="center"/>
          </w:tcPr>
          <w:p w14:paraId="66CFFF80"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851" w:type="dxa"/>
            <w:vAlign w:val="center"/>
          </w:tcPr>
          <w:p w14:paraId="5489ADF6"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992" w:type="dxa"/>
            <w:vAlign w:val="center"/>
          </w:tcPr>
          <w:p w14:paraId="40E395C0"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782" w:type="dxa"/>
          </w:tcPr>
          <w:p w14:paraId="75F4C95A"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1871" w:type="dxa"/>
            <w:vAlign w:val="center"/>
          </w:tcPr>
          <w:p w14:paraId="4ADD8365"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r>
      <w:tr w:rsidR="007045A4" w:rsidRPr="003749FD" w14:paraId="1E3B26F4" w14:textId="77777777" w:rsidTr="009C64E9">
        <w:trPr>
          <w:trHeight w:val="45"/>
        </w:trPr>
        <w:tc>
          <w:tcPr>
            <w:tcW w:w="4692" w:type="dxa"/>
          </w:tcPr>
          <w:p w14:paraId="2CC37E25" w14:textId="77777777" w:rsidR="007045A4" w:rsidRPr="003749FD" w:rsidRDefault="007045A4" w:rsidP="007045A4">
            <w:pPr>
              <w:numPr>
                <w:ilvl w:val="0"/>
                <w:numId w:val="127"/>
              </w:num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r w:rsidRPr="003749FD">
              <w:rPr>
                <w:rFonts w:asciiTheme="majorHAnsi" w:eastAsiaTheme="minorHAnsi" w:hAnsiTheme="majorHAnsi" w:cstheme="majorHAnsi"/>
                <w:color w:val="000000"/>
                <w:sz w:val="20"/>
                <w:szCs w:val="20"/>
                <w:lang w:val="en-US"/>
              </w:rPr>
              <w:t>Use of Classroom Assessment Resource Book (CARB)</w:t>
            </w:r>
          </w:p>
        </w:tc>
        <w:tc>
          <w:tcPr>
            <w:tcW w:w="850" w:type="dxa"/>
            <w:vAlign w:val="center"/>
          </w:tcPr>
          <w:p w14:paraId="62CB2309"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851" w:type="dxa"/>
            <w:vAlign w:val="center"/>
          </w:tcPr>
          <w:p w14:paraId="260C090E"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992" w:type="dxa"/>
            <w:vAlign w:val="center"/>
          </w:tcPr>
          <w:p w14:paraId="36C4306F"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782" w:type="dxa"/>
          </w:tcPr>
          <w:p w14:paraId="1F82DDB4"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1871" w:type="dxa"/>
            <w:vAlign w:val="center"/>
          </w:tcPr>
          <w:p w14:paraId="7A8011E3"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r>
      <w:tr w:rsidR="007045A4" w:rsidRPr="003749FD" w14:paraId="63E04D4C" w14:textId="77777777" w:rsidTr="009C64E9">
        <w:trPr>
          <w:trHeight w:val="45"/>
        </w:trPr>
        <w:tc>
          <w:tcPr>
            <w:tcW w:w="4692" w:type="dxa"/>
          </w:tcPr>
          <w:p w14:paraId="5E523149" w14:textId="77777777" w:rsidR="007045A4" w:rsidRPr="003749FD" w:rsidRDefault="007045A4" w:rsidP="007045A4">
            <w:pPr>
              <w:numPr>
                <w:ilvl w:val="0"/>
                <w:numId w:val="127"/>
              </w:num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r w:rsidRPr="003749FD">
              <w:rPr>
                <w:rFonts w:asciiTheme="majorHAnsi" w:eastAsiaTheme="minorHAnsi" w:hAnsiTheme="majorHAnsi" w:cstheme="majorHAnsi"/>
                <w:color w:val="000000"/>
                <w:sz w:val="20"/>
                <w:szCs w:val="20"/>
                <w:lang w:val="en-US"/>
              </w:rPr>
              <w:t>Implementation of the Policy Guidelines on Classroom Assessment for the K to 12</w:t>
            </w:r>
          </w:p>
        </w:tc>
        <w:tc>
          <w:tcPr>
            <w:tcW w:w="850" w:type="dxa"/>
            <w:vAlign w:val="center"/>
          </w:tcPr>
          <w:p w14:paraId="1239A4C6"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851" w:type="dxa"/>
            <w:vAlign w:val="center"/>
          </w:tcPr>
          <w:p w14:paraId="4872FEF2"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992" w:type="dxa"/>
            <w:vAlign w:val="center"/>
          </w:tcPr>
          <w:p w14:paraId="7EAB5A89"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782" w:type="dxa"/>
          </w:tcPr>
          <w:p w14:paraId="0EBD24B2"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1871" w:type="dxa"/>
            <w:vAlign w:val="center"/>
          </w:tcPr>
          <w:p w14:paraId="09357BF0"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r>
      <w:tr w:rsidR="007045A4" w:rsidRPr="003749FD" w14:paraId="74E88A09" w14:textId="77777777" w:rsidTr="009C64E9">
        <w:trPr>
          <w:trHeight w:val="45"/>
        </w:trPr>
        <w:tc>
          <w:tcPr>
            <w:tcW w:w="4692" w:type="dxa"/>
          </w:tcPr>
          <w:p w14:paraId="2F0255C5" w14:textId="77777777" w:rsidR="007045A4" w:rsidRPr="003749FD" w:rsidRDefault="007045A4" w:rsidP="007045A4">
            <w:pPr>
              <w:numPr>
                <w:ilvl w:val="0"/>
                <w:numId w:val="127"/>
              </w:num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r w:rsidRPr="003749FD">
              <w:rPr>
                <w:rFonts w:asciiTheme="majorHAnsi" w:eastAsiaTheme="minorHAnsi" w:hAnsiTheme="majorHAnsi" w:cstheme="majorHAnsi"/>
                <w:color w:val="000000"/>
                <w:sz w:val="20"/>
                <w:szCs w:val="20"/>
                <w:lang w:val="en-US"/>
              </w:rPr>
              <w:t>Implementation of the Policy Guidelines on the National Assessment of Student Learning for the K to 12</w:t>
            </w:r>
          </w:p>
        </w:tc>
        <w:tc>
          <w:tcPr>
            <w:tcW w:w="850" w:type="dxa"/>
            <w:vAlign w:val="center"/>
          </w:tcPr>
          <w:p w14:paraId="07A13565"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851" w:type="dxa"/>
            <w:vAlign w:val="center"/>
          </w:tcPr>
          <w:p w14:paraId="4E8A1A77"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992" w:type="dxa"/>
            <w:vAlign w:val="center"/>
          </w:tcPr>
          <w:p w14:paraId="2326189B"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782" w:type="dxa"/>
          </w:tcPr>
          <w:p w14:paraId="078AAFD4"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1871" w:type="dxa"/>
            <w:vAlign w:val="center"/>
          </w:tcPr>
          <w:p w14:paraId="6E88105C"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r>
      <w:tr w:rsidR="007045A4" w:rsidRPr="003749FD" w14:paraId="75C44AFD" w14:textId="77777777" w:rsidTr="009C64E9">
        <w:trPr>
          <w:trHeight w:val="60"/>
        </w:trPr>
        <w:tc>
          <w:tcPr>
            <w:tcW w:w="4692" w:type="dxa"/>
          </w:tcPr>
          <w:p w14:paraId="18047BC6" w14:textId="77777777" w:rsidR="007045A4" w:rsidRPr="003749FD" w:rsidRDefault="007045A4" w:rsidP="007045A4">
            <w:pPr>
              <w:numPr>
                <w:ilvl w:val="0"/>
                <w:numId w:val="127"/>
              </w:num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r w:rsidRPr="003749FD">
              <w:rPr>
                <w:rFonts w:asciiTheme="majorHAnsi" w:eastAsiaTheme="minorHAnsi" w:hAnsiTheme="majorHAnsi" w:cstheme="majorHAnsi"/>
                <w:color w:val="000000"/>
                <w:sz w:val="20"/>
                <w:szCs w:val="20"/>
                <w:lang w:val="en-US"/>
              </w:rPr>
              <w:t>Formulation of the School Improvement Plan</w:t>
            </w:r>
          </w:p>
        </w:tc>
        <w:tc>
          <w:tcPr>
            <w:tcW w:w="850" w:type="dxa"/>
            <w:vAlign w:val="center"/>
          </w:tcPr>
          <w:p w14:paraId="7F0D222F"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851" w:type="dxa"/>
            <w:vAlign w:val="center"/>
          </w:tcPr>
          <w:p w14:paraId="35E55B50"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992" w:type="dxa"/>
            <w:vAlign w:val="center"/>
          </w:tcPr>
          <w:p w14:paraId="3AECD7D1"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782" w:type="dxa"/>
          </w:tcPr>
          <w:p w14:paraId="2B2038E8"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1871" w:type="dxa"/>
            <w:vAlign w:val="center"/>
          </w:tcPr>
          <w:p w14:paraId="0E33D6CE"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r>
      <w:tr w:rsidR="007045A4" w:rsidRPr="003749FD" w14:paraId="06E0C157" w14:textId="77777777" w:rsidTr="009C64E9">
        <w:trPr>
          <w:trHeight w:val="45"/>
        </w:trPr>
        <w:tc>
          <w:tcPr>
            <w:tcW w:w="4692" w:type="dxa"/>
          </w:tcPr>
          <w:p w14:paraId="067DC7EC" w14:textId="77777777" w:rsidR="007045A4" w:rsidRPr="003749FD" w:rsidRDefault="007045A4" w:rsidP="007045A4">
            <w:pPr>
              <w:numPr>
                <w:ilvl w:val="0"/>
                <w:numId w:val="127"/>
              </w:num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r w:rsidRPr="003749FD">
              <w:rPr>
                <w:rFonts w:asciiTheme="majorHAnsi" w:eastAsiaTheme="minorHAnsi" w:hAnsiTheme="majorHAnsi" w:cstheme="majorHAnsi"/>
                <w:bCs/>
                <w:color w:val="000000"/>
                <w:sz w:val="20"/>
                <w:szCs w:val="20"/>
                <w:lang w:val="en-US"/>
              </w:rPr>
              <w:t>Use of the SBM Quality Assessment Tool</w:t>
            </w:r>
          </w:p>
        </w:tc>
        <w:tc>
          <w:tcPr>
            <w:tcW w:w="850" w:type="dxa"/>
            <w:vAlign w:val="center"/>
          </w:tcPr>
          <w:p w14:paraId="226B4D87"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851" w:type="dxa"/>
            <w:vAlign w:val="center"/>
          </w:tcPr>
          <w:p w14:paraId="0989EEA4"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992" w:type="dxa"/>
            <w:vAlign w:val="center"/>
          </w:tcPr>
          <w:p w14:paraId="0B94BEB5"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782" w:type="dxa"/>
          </w:tcPr>
          <w:p w14:paraId="6464D0E9"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1871" w:type="dxa"/>
            <w:vAlign w:val="center"/>
          </w:tcPr>
          <w:p w14:paraId="0AAF6C77"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r>
      <w:tr w:rsidR="007045A4" w:rsidRPr="003749FD" w14:paraId="6CD5A595" w14:textId="77777777" w:rsidTr="009C64E9">
        <w:trPr>
          <w:trHeight w:val="399"/>
        </w:trPr>
        <w:tc>
          <w:tcPr>
            <w:tcW w:w="4692" w:type="dxa"/>
          </w:tcPr>
          <w:p w14:paraId="7765CB3E" w14:textId="77777777" w:rsidR="007045A4" w:rsidRPr="003749FD" w:rsidRDefault="007045A4" w:rsidP="007045A4">
            <w:pPr>
              <w:numPr>
                <w:ilvl w:val="0"/>
                <w:numId w:val="127"/>
              </w:num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r w:rsidRPr="003749FD">
              <w:rPr>
                <w:rFonts w:asciiTheme="majorHAnsi" w:eastAsiaTheme="minorHAnsi" w:hAnsiTheme="majorHAnsi" w:cstheme="majorHAnsi"/>
                <w:color w:val="000000"/>
                <w:sz w:val="20"/>
                <w:szCs w:val="20"/>
                <w:lang w:val="en-US"/>
              </w:rPr>
              <w:t>Implementation of the School Monitoring, Evaluation and Adjustment Framework (</w:t>
            </w:r>
            <w:r w:rsidRPr="003749FD">
              <w:rPr>
                <w:rFonts w:asciiTheme="majorHAnsi" w:eastAsiaTheme="minorHAnsi" w:hAnsiTheme="majorHAnsi" w:cstheme="majorHAnsi"/>
                <w:b/>
                <w:color w:val="000000"/>
                <w:sz w:val="20"/>
                <w:szCs w:val="20"/>
                <w:lang w:val="en-US"/>
              </w:rPr>
              <w:t>SMEA</w:t>
            </w:r>
            <w:r w:rsidRPr="003749FD">
              <w:rPr>
                <w:rFonts w:asciiTheme="majorHAnsi" w:eastAsiaTheme="minorHAnsi" w:hAnsiTheme="majorHAnsi" w:cstheme="majorHAnsi"/>
                <w:color w:val="000000"/>
                <w:sz w:val="20"/>
                <w:szCs w:val="20"/>
                <w:lang w:val="en-US"/>
              </w:rPr>
              <w:t>)</w:t>
            </w:r>
          </w:p>
        </w:tc>
        <w:tc>
          <w:tcPr>
            <w:tcW w:w="850" w:type="dxa"/>
            <w:vAlign w:val="center"/>
          </w:tcPr>
          <w:p w14:paraId="173302E9"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851" w:type="dxa"/>
            <w:vAlign w:val="center"/>
          </w:tcPr>
          <w:p w14:paraId="1B036203"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992" w:type="dxa"/>
            <w:vAlign w:val="center"/>
          </w:tcPr>
          <w:p w14:paraId="6BD3DDDC"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782" w:type="dxa"/>
          </w:tcPr>
          <w:p w14:paraId="39F339C8"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1871" w:type="dxa"/>
            <w:vAlign w:val="center"/>
          </w:tcPr>
          <w:p w14:paraId="42FC870C"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r>
      <w:tr w:rsidR="007045A4" w:rsidRPr="003749FD" w14:paraId="5A27A3D2" w14:textId="77777777" w:rsidTr="009C64E9">
        <w:trPr>
          <w:trHeight w:val="399"/>
        </w:trPr>
        <w:tc>
          <w:tcPr>
            <w:tcW w:w="4692" w:type="dxa"/>
          </w:tcPr>
          <w:p w14:paraId="5B3E373E" w14:textId="77777777" w:rsidR="007045A4" w:rsidRPr="003749FD" w:rsidRDefault="007045A4" w:rsidP="007045A4">
            <w:pPr>
              <w:numPr>
                <w:ilvl w:val="0"/>
                <w:numId w:val="127"/>
              </w:num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r w:rsidRPr="003749FD">
              <w:rPr>
                <w:rFonts w:asciiTheme="majorHAnsi" w:eastAsiaTheme="minorHAnsi" w:hAnsiTheme="majorHAnsi" w:cstheme="majorHAnsi"/>
                <w:color w:val="000000" w:themeColor="text1"/>
                <w:sz w:val="20"/>
                <w:szCs w:val="20"/>
                <w:lang w:val="en-US"/>
              </w:rPr>
              <w:t xml:space="preserve">Access &amp; Use of the </w:t>
            </w:r>
            <w:r w:rsidRPr="003749FD">
              <w:rPr>
                <w:rFonts w:asciiTheme="majorHAnsi" w:eastAsiaTheme="minorHAnsi" w:hAnsiTheme="majorHAnsi" w:cstheme="majorHAnsi"/>
                <w:color w:val="000000"/>
                <w:sz w:val="20"/>
                <w:szCs w:val="20"/>
                <w:lang w:val="en-AU"/>
              </w:rPr>
              <w:t>Enhanced Basic Education Information System (EBEIS)</w:t>
            </w:r>
          </w:p>
        </w:tc>
        <w:tc>
          <w:tcPr>
            <w:tcW w:w="850" w:type="dxa"/>
            <w:vAlign w:val="center"/>
          </w:tcPr>
          <w:p w14:paraId="7CDA37F0"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851" w:type="dxa"/>
            <w:vAlign w:val="center"/>
          </w:tcPr>
          <w:p w14:paraId="5AA0DA09"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992" w:type="dxa"/>
            <w:vAlign w:val="center"/>
          </w:tcPr>
          <w:p w14:paraId="67D9822E"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782" w:type="dxa"/>
          </w:tcPr>
          <w:p w14:paraId="1E6402AB"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1871" w:type="dxa"/>
            <w:vAlign w:val="center"/>
          </w:tcPr>
          <w:p w14:paraId="7DC7196F"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r>
      <w:tr w:rsidR="007045A4" w:rsidRPr="003749FD" w14:paraId="463A3DB4" w14:textId="77777777" w:rsidTr="009C64E9">
        <w:trPr>
          <w:trHeight w:val="45"/>
        </w:trPr>
        <w:tc>
          <w:tcPr>
            <w:tcW w:w="4692" w:type="dxa"/>
          </w:tcPr>
          <w:p w14:paraId="3DC489BA" w14:textId="77777777" w:rsidR="007045A4" w:rsidRPr="003749FD" w:rsidRDefault="007045A4" w:rsidP="007045A4">
            <w:pPr>
              <w:numPr>
                <w:ilvl w:val="0"/>
                <w:numId w:val="127"/>
              </w:num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r w:rsidRPr="003749FD">
              <w:rPr>
                <w:rFonts w:asciiTheme="majorHAnsi" w:eastAsiaTheme="minorHAnsi" w:hAnsiTheme="majorHAnsi" w:cstheme="majorHAnsi"/>
                <w:color w:val="000000" w:themeColor="text1"/>
                <w:sz w:val="20"/>
                <w:szCs w:val="20"/>
                <w:lang w:val="en-US"/>
              </w:rPr>
              <w:t>Access &amp; Use of the Learner Information System (LIS)</w:t>
            </w:r>
          </w:p>
        </w:tc>
        <w:tc>
          <w:tcPr>
            <w:tcW w:w="850" w:type="dxa"/>
            <w:vAlign w:val="center"/>
          </w:tcPr>
          <w:p w14:paraId="37E487A0"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851" w:type="dxa"/>
            <w:vAlign w:val="center"/>
          </w:tcPr>
          <w:p w14:paraId="5533E3E9"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992" w:type="dxa"/>
            <w:vAlign w:val="center"/>
          </w:tcPr>
          <w:p w14:paraId="42BB32DE"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782" w:type="dxa"/>
          </w:tcPr>
          <w:p w14:paraId="229B4498"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1871" w:type="dxa"/>
            <w:vAlign w:val="center"/>
          </w:tcPr>
          <w:p w14:paraId="39A33BCF"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r>
      <w:tr w:rsidR="007045A4" w:rsidRPr="003749FD" w14:paraId="4E7468FD" w14:textId="77777777" w:rsidTr="009C64E9">
        <w:trPr>
          <w:trHeight w:val="45"/>
        </w:trPr>
        <w:tc>
          <w:tcPr>
            <w:tcW w:w="4692" w:type="dxa"/>
          </w:tcPr>
          <w:p w14:paraId="435E037F" w14:textId="77777777" w:rsidR="007045A4" w:rsidRPr="003749FD" w:rsidRDefault="007045A4" w:rsidP="007045A4">
            <w:pPr>
              <w:numPr>
                <w:ilvl w:val="0"/>
                <w:numId w:val="127"/>
              </w:num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r w:rsidRPr="003749FD">
              <w:rPr>
                <w:rFonts w:asciiTheme="majorHAnsi" w:eastAsiaTheme="minorHAnsi" w:hAnsiTheme="majorHAnsi" w:cstheme="majorHAnsi"/>
                <w:color w:val="000000" w:themeColor="text1"/>
                <w:sz w:val="20"/>
                <w:szCs w:val="20"/>
                <w:lang w:val="en-US"/>
              </w:rPr>
              <w:t>Access &amp; Use of the Learning Resource Portal</w:t>
            </w:r>
          </w:p>
        </w:tc>
        <w:tc>
          <w:tcPr>
            <w:tcW w:w="850" w:type="dxa"/>
            <w:vAlign w:val="center"/>
          </w:tcPr>
          <w:p w14:paraId="08B90891"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851" w:type="dxa"/>
            <w:vAlign w:val="center"/>
          </w:tcPr>
          <w:p w14:paraId="3D8A4598"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992" w:type="dxa"/>
            <w:vAlign w:val="center"/>
          </w:tcPr>
          <w:p w14:paraId="7C9CA46B"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782" w:type="dxa"/>
          </w:tcPr>
          <w:p w14:paraId="205C92A9"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1871" w:type="dxa"/>
            <w:vAlign w:val="center"/>
          </w:tcPr>
          <w:p w14:paraId="1A73258E"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r>
      <w:tr w:rsidR="007045A4" w:rsidRPr="003749FD" w14:paraId="495628BE" w14:textId="77777777" w:rsidTr="009C64E9">
        <w:trPr>
          <w:trHeight w:val="45"/>
        </w:trPr>
        <w:tc>
          <w:tcPr>
            <w:tcW w:w="4692" w:type="dxa"/>
          </w:tcPr>
          <w:p w14:paraId="62EC98C9" w14:textId="77777777" w:rsidR="007045A4" w:rsidRPr="003749FD" w:rsidRDefault="007045A4" w:rsidP="007045A4">
            <w:pPr>
              <w:numPr>
                <w:ilvl w:val="0"/>
                <w:numId w:val="127"/>
              </w:num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r w:rsidRPr="003749FD">
              <w:rPr>
                <w:rFonts w:asciiTheme="majorHAnsi" w:eastAsiaTheme="minorHAnsi" w:hAnsiTheme="majorHAnsi" w:cstheme="majorHAnsi"/>
                <w:color w:val="000000" w:themeColor="text1"/>
                <w:sz w:val="20"/>
                <w:szCs w:val="20"/>
                <w:lang w:val="en-US"/>
              </w:rPr>
              <w:t xml:space="preserve">Mainstreaming </w:t>
            </w:r>
            <w:r w:rsidRPr="003749FD">
              <w:rPr>
                <w:rFonts w:asciiTheme="majorHAnsi" w:eastAsiaTheme="minorHAnsi" w:hAnsiTheme="majorHAnsi" w:cstheme="majorHAnsi"/>
                <w:b/>
                <w:color w:val="000000" w:themeColor="text1"/>
                <w:sz w:val="20"/>
                <w:szCs w:val="20"/>
                <w:lang w:val="en-US"/>
              </w:rPr>
              <w:t>GRBE</w:t>
            </w:r>
            <w:r w:rsidRPr="003749FD">
              <w:rPr>
                <w:rFonts w:asciiTheme="majorHAnsi" w:eastAsiaTheme="minorHAnsi" w:hAnsiTheme="majorHAnsi" w:cstheme="majorHAnsi"/>
                <w:color w:val="000000" w:themeColor="text1"/>
                <w:sz w:val="20"/>
                <w:szCs w:val="20"/>
                <w:lang w:val="en-US"/>
              </w:rPr>
              <w:t xml:space="preserve"> at the school level</w:t>
            </w:r>
          </w:p>
        </w:tc>
        <w:tc>
          <w:tcPr>
            <w:tcW w:w="850" w:type="dxa"/>
            <w:vAlign w:val="center"/>
          </w:tcPr>
          <w:p w14:paraId="29AE3FEC"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r w:rsidRPr="003749FD">
              <w:rPr>
                <w:rFonts w:asciiTheme="majorHAnsi" w:eastAsiaTheme="minorHAnsi" w:hAnsiTheme="majorHAnsi" w:cstheme="majorHAnsi"/>
                <w:color w:val="000000" w:themeColor="text1"/>
                <w:sz w:val="20"/>
                <w:szCs w:val="20"/>
                <w:lang w:val="en-US"/>
              </w:rPr>
              <w:t xml:space="preserve"> </w:t>
            </w:r>
          </w:p>
        </w:tc>
        <w:tc>
          <w:tcPr>
            <w:tcW w:w="851" w:type="dxa"/>
            <w:vAlign w:val="center"/>
          </w:tcPr>
          <w:p w14:paraId="1CD6FF9A"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r w:rsidRPr="003749FD">
              <w:rPr>
                <w:rFonts w:asciiTheme="majorHAnsi" w:eastAsiaTheme="minorHAnsi" w:hAnsiTheme="majorHAnsi" w:cstheme="majorHAnsi"/>
                <w:color w:val="000000" w:themeColor="text1"/>
                <w:sz w:val="20"/>
                <w:szCs w:val="20"/>
                <w:lang w:val="en-US"/>
              </w:rPr>
              <w:t xml:space="preserve"> </w:t>
            </w:r>
          </w:p>
        </w:tc>
        <w:tc>
          <w:tcPr>
            <w:tcW w:w="992" w:type="dxa"/>
            <w:vAlign w:val="center"/>
          </w:tcPr>
          <w:p w14:paraId="7F1879A1"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r w:rsidRPr="003749FD">
              <w:rPr>
                <w:rFonts w:asciiTheme="majorHAnsi" w:eastAsiaTheme="minorHAnsi" w:hAnsiTheme="majorHAnsi" w:cstheme="majorHAnsi"/>
                <w:color w:val="000000" w:themeColor="text1"/>
                <w:sz w:val="20"/>
                <w:szCs w:val="20"/>
                <w:lang w:val="en-US"/>
              </w:rPr>
              <w:t xml:space="preserve"> </w:t>
            </w:r>
          </w:p>
        </w:tc>
        <w:tc>
          <w:tcPr>
            <w:tcW w:w="782" w:type="dxa"/>
          </w:tcPr>
          <w:p w14:paraId="68FF08A7"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1871" w:type="dxa"/>
            <w:vAlign w:val="center"/>
          </w:tcPr>
          <w:p w14:paraId="1AFBCF8E"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r w:rsidRPr="003749FD">
              <w:rPr>
                <w:rFonts w:asciiTheme="majorHAnsi" w:eastAsiaTheme="minorHAnsi" w:hAnsiTheme="majorHAnsi" w:cstheme="majorHAnsi"/>
                <w:color w:val="000000" w:themeColor="text1"/>
                <w:sz w:val="20"/>
                <w:szCs w:val="20"/>
                <w:lang w:val="en-US"/>
              </w:rPr>
              <w:t xml:space="preserve"> </w:t>
            </w:r>
          </w:p>
        </w:tc>
      </w:tr>
      <w:tr w:rsidR="007045A4" w:rsidRPr="003749FD" w14:paraId="3CDFEF2E" w14:textId="77777777" w:rsidTr="009C64E9">
        <w:trPr>
          <w:trHeight w:val="45"/>
        </w:trPr>
        <w:tc>
          <w:tcPr>
            <w:tcW w:w="4692" w:type="dxa"/>
          </w:tcPr>
          <w:p w14:paraId="0965D6AC" w14:textId="77777777" w:rsidR="007045A4" w:rsidRPr="003749FD" w:rsidRDefault="007045A4" w:rsidP="007045A4">
            <w:pPr>
              <w:numPr>
                <w:ilvl w:val="0"/>
                <w:numId w:val="127"/>
              </w:num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r w:rsidRPr="003749FD">
              <w:rPr>
                <w:rFonts w:asciiTheme="majorHAnsi" w:eastAsiaTheme="minorHAnsi" w:hAnsiTheme="majorHAnsi" w:cstheme="majorHAnsi"/>
                <w:color w:val="000000" w:themeColor="text1"/>
                <w:sz w:val="20"/>
                <w:szCs w:val="20"/>
                <w:lang w:val="en-US"/>
              </w:rPr>
              <w:t xml:space="preserve">Implementing </w:t>
            </w:r>
            <w:r w:rsidRPr="003749FD">
              <w:rPr>
                <w:rFonts w:asciiTheme="majorHAnsi" w:eastAsiaTheme="minorHAnsi" w:hAnsiTheme="majorHAnsi" w:cstheme="majorHAnsi"/>
                <w:b/>
                <w:color w:val="000000" w:themeColor="text1"/>
                <w:sz w:val="20"/>
                <w:szCs w:val="20"/>
                <w:lang w:val="en-US"/>
              </w:rPr>
              <w:t>Inclusive Education</w:t>
            </w:r>
            <w:r w:rsidRPr="003749FD">
              <w:rPr>
                <w:rFonts w:asciiTheme="majorHAnsi" w:eastAsiaTheme="minorHAnsi" w:hAnsiTheme="majorHAnsi" w:cstheme="majorHAnsi"/>
                <w:color w:val="000000" w:themeColor="text1"/>
                <w:sz w:val="20"/>
                <w:szCs w:val="20"/>
                <w:lang w:val="en-US"/>
              </w:rPr>
              <w:t xml:space="preserve"> at the school level</w:t>
            </w:r>
          </w:p>
        </w:tc>
        <w:tc>
          <w:tcPr>
            <w:tcW w:w="850" w:type="dxa"/>
            <w:vAlign w:val="center"/>
          </w:tcPr>
          <w:p w14:paraId="22E92934"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r w:rsidRPr="003749FD">
              <w:rPr>
                <w:rFonts w:asciiTheme="majorHAnsi" w:eastAsiaTheme="minorHAnsi" w:hAnsiTheme="majorHAnsi" w:cstheme="majorHAnsi"/>
                <w:color w:val="000000" w:themeColor="text1"/>
                <w:sz w:val="20"/>
                <w:szCs w:val="20"/>
                <w:lang w:val="en-US"/>
              </w:rPr>
              <w:t xml:space="preserve"> </w:t>
            </w:r>
          </w:p>
        </w:tc>
        <w:tc>
          <w:tcPr>
            <w:tcW w:w="851" w:type="dxa"/>
            <w:vAlign w:val="center"/>
          </w:tcPr>
          <w:p w14:paraId="65DE6384"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r w:rsidRPr="003749FD">
              <w:rPr>
                <w:rFonts w:asciiTheme="majorHAnsi" w:eastAsiaTheme="minorHAnsi" w:hAnsiTheme="majorHAnsi" w:cstheme="majorHAnsi"/>
                <w:color w:val="000000" w:themeColor="text1"/>
                <w:sz w:val="20"/>
                <w:szCs w:val="20"/>
                <w:lang w:val="en-US"/>
              </w:rPr>
              <w:t xml:space="preserve"> </w:t>
            </w:r>
          </w:p>
        </w:tc>
        <w:tc>
          <w:tcPr>
            <w:tcW w:w="992" w:type="dxa"/>
            <w:vAlign w:val="center"/>
          </w:tcPr>
          <w:p w14:paraId="1F9C9E90"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r w:rsidRPr="003749FD">
              <w:rPr>
                <w:rFonts w:asciiTheme="majorHAnsi" w:eastAsiaTheme="minorHAnsi" w:hAnsiTheme="majorHAnsi" w:cstheme="majorHAnsi"/>
                <w:color w:val="000000" w:themeColor="text1"/>
                <w:sz w:val="20"/>
                <w:szCs w:val="20"/>
                <w:lang w:val="en-US"/>
              </w:rPr>
              <w:t xml:space="preserve"> </w:t>
            </w:r>
          </w:p>
        </w:tc>
        <w:tc>
          <w:tcPr>
            <w:tcW w:w="782" w:type="dxa"/>
          </w:tcPr>
          <w:p w14:paraId="567BCB75"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p>
        </w:tc>
        <w:tc>
          <w:tcPr>
            <w:tcW w:w="1871" w:type="dxa"/>
            <w:vAlign w:val="center"/>
          </w:tcPr>
          <w:p w14:paraId="66393CD7" w14:textId="77777777" w:rsidR="007045A4" w:rsidRPr="003749FD" w:rsidRDefault="007045A4" w:rsidP="007045A4">
            <w:p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r w:rsidRPr="003749FD">
              <w:rPr>
                <w:rFonts w:asciiTheme="majorHAnsi" w:eastAsiaTheme="minorHAnsi" w:hAnsiTheme="majorHAnsi" w:cstheme="majorHAnsi"/>
                <w:color w:val="000000" w:themeColor="text1"/>
                <w:sz w:val="20"/>
                <w:szCs w:val="20"/>
                <w:lang w:val="en-US"/>
              </w:rPr>
              <w:t xml:space="preserve"> </w:t>
            </w:r>
          </w:p>
        </w:tc>
      </w:tr>
    </w:tbl>
    <w:p w14:paraId="41293E02" w14:textId="023D59EC" w:rsidR="008D0CAD" w:rsidRPr="003749FD" w:rsidRDefault="008D0CAD" w:rsidP="00DD08E3">
      <w:pPr>
        <w:numPr>
          <w:ilvl w:val="0"/>
          <w:numId w:val="81"/>
        </w:numPr>
        <w:spacing w:before="100" w:beforeAutospacing="1" w:after="100" w:afterAutospacing="1" w:line="360" w:lineRule="auto"/>
        <w:contextualSpacing/>
        <w:rPr>
          <w:rFonts w:asciiTheme="majorHAnsi" w:hAnsiTheme="majorHAnsi" w:cstheme="majorHAnsi"/>
          <w:bCs/>
          <w:snapToGrid w:val="0"/>
          <w:color w:val="000000" w:themeColor="text1"/>
          <w:sz w:val="22"/>
          <w:szCs w:val="22"/>
          <w:lang w:val="en-US"/>
        </w:rPr>
      </w:pPr>
      <w:r w:rsidRPr="003749FD">
        <w:rPr>
          <w:rFonts w:asciiTheme="majorHAnsi" w:hAnsiTheme="majorHAnsi" w:cstheme="majorHAnsi"/>
          <w:bCs/>
          <w:snapToGrid w:val="0"/>
          <w:color w:val="000000"/>
          <w:sz w:val="22"/>
          <w:szCs w:val="22"/>
          <w:lang w:val="en-US"/>
        </w:rPr>
        <w:t>Are you familiar with the BEST Program?</w:t>
      </w:r>
      <w:r w:rsidR="00D434EB">
        <w:rPr>
          <w:rFonts w:asciiTheme="majorHAnsi" w:hAnsiTheme="majorHAnsi" w:cstheme="majorHAnsi"/>
          <w:bCs/>
          <w:snapToGrid w:val="0"/>
          <w:color w:val="000000"/>
          <w:sz w:val="22"/>
          <w:szCs w:val="22"/>
          <w:lang w:val="en-US"/>
        </w:rPr>
        <w:t xml:space="preserve"> </w:t>
      </w:r>
      <w:r w:rsidRPr="003749FD">
        <w:rPr>
          <w:rFonts w:asciiTheme="majorHAnsi" w:hAnsiTheme="majorHAnsi" w:cstheme="majorHAnsi"/>
          <w:bCs/>
          <w:snapToGrid w:val="0"/>
          <w:sz w:val="22"/>
          <w:szCs w:val="22"/>
          <w:lang w:val="en-GB"/>
        </w:rPr>
        <w:t>__ Yes __ No</w:t>
      </w:r>
    </w:p>
    <w:p w14:paraId="40AF489B" w14:textId="77777777" w:rsidR="008D0CAD" w:rsidRPr="003749FD" w:rsidRDefault="008D0CAD" w:rsidP="00DD08E3">
      <w:pPr>
        <w:numPr>
          <w:ilvl w:val="0"/>
          <w:numId w:val="81"/>
        </w:numPr>
        <w:spacing w:before="100" w:beforeAutospacing="1" w:after="100" w:afterAutospacing="1" w:line="360" w:lineRule="auto"/>
        <w:contextualSpacing/>
        <w:rPr>
          <w:rFonts w:asciiTheme="majorHAnsi" w:hAnsiTheme="majorHAnsi" w:cstheme="majorHAnsi"/>
          <w:bCs/>
          <w:snapToGrid w:val="0"/>
          <w:color w:val="000000" w:themeColor="text1"/>
          <w:sz w:val="22"/>
          <w:szCs w:val="22"/>
          <w:lang w:val="en-US"/>
        </w:rPr>
      </w:pPr>
      <w:r w:rsidRPr="003749FD">
        <w:rPr>
          <w:rFonts w:asciiTheme="majorHAnsi" w:hAnsiTheme="majorHAnsi" w:cstheme="majorHAnsi"/>
          <w:bCs/>
          <w:snapToGrid w:val="0"/>
          <w:sz w:val="22"/>
          <w:szCs w:val="22"/>
          <w:lang w:val="en-GB"/>
        </w:rPr>
        <w:t xml:space="preserve">Have you participated in any activities facilitated/sponsored by the </w:t>
      </w:r>
      <w:r w:rsidRPr="003749FD">
        <w:rPr>
          <w:rFonts w:asciiTheme="majorHAnsi" w:hAnsiTheme="majorHAnsi" w:cstheme="majorHAnsi"/>
          <w:bCs/>
          <w:snapToGrid w:val="0"/>
          <w:color w:val="000000"/>
          <w:sz w:val="22"/>
          <w:szCs w:val="22"/>
          <w:lang w:val="en-US"/>
        </w:rPr>
        <w:t xml:space="preserve">BEST Program? </w:t>
      </w:r>
      <w:r w:rsidRPr="003749FD">
        <w:rPr>
          <w:rFonts w:asciiTheme="majorHAnsi" w:hAnsiTheme="majorHAnsi" w:cstheme="majorHAnsi"/>
          <w:bCs/>
          <w:snapToGrid w:val="0"/>
          <w:sz w:val="22"/>
          <w:szCs w:val="22"/>
          <w:lang w:val="en-GB"/>
        </w:rPr>
        <w:t>__ Yes __ No</w:t>
      </w:r>
    </w:p>
    <w:p w14:paraId="31213219" w14:textId="77777777" w:rsidR="008D0CAD" w:rsidRDefault="008D0CAD" w:rsidP="00DD08E3">
      <w:pPr>
        <w:spacing w:before="100" w:beforeAutospacing="1" w:after="100" w:afterAutospacing="1" w:line="360" w:lineRule="auto"/>
        <w:rPr>
          <w:rFonts w:asciiTheme="majorHAnsi" w:hAnsiTheme="majorHAnsi" w:cstheme="majorHAnsi"/>
        </w:rPr>
      </w:pPr>
    </w:p>
    <w:p w14:paraId="618BBA74" w14:textId="77777777" w:rsidR="008D0CAD" w:rsidRDefault="008D0CAD" w:rsidP="00DD08E3">
      <w:pPr>
        <w:spacing w:before="100" w:beforeAutospacing="1" w:after="100" w:afterAutospacing="1" w:line="360" w:lineRule="auto"/>
        <w:rPr>
          <w:rFonts w:asciiTheme="majorHAnsi" w:hAnsiTheme="majorHAnsi" w:cstheme="majorHAnsi"/>
        </w:rPr>
        <w:sectPr w:rsidR="008D0CAD" w:rsidSect="009C64E9">
          <w:pgSz w:w="11900" w:h="16840"/>
          <w:pgMar w:top="720" w:right="720" w:bottom="720" w:left="720" w:header="720" w:footer="720" w:gutter="0"/>
          <w:cols w:space="720"/>
          <w:docGrid w:linePitch="360"/>
        </w:sectPr>
      </w:pPr>
    </w:p>
    <w:p w14:paraId="78781686" w14:textId="77777777" w:rsidR="008D0CAD" w:rsidRPr="00AA04A4"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b/>
          <w:color w:val="000000"/>
          <w:sz w:val="22"/>
          <w:szCs w:val="22"/>
          <w:lang w:val="en-US"/>
        </w:rPr>
      </w:pPr>
      <w:r w:rsidRPr="00EC48C1">
        <w:rPr>
          <w:rFonts w:asciiTheme="majorHAnsi" w:eastAsiaTheme="minorHAnsi" w:hAnsiTheme="majorHAnsi" w:cstheme="majorHAnsi"/>
          <w:b/>
          <w:color w:val="000000"/>
          <w:sz w:val="22"/>
          <w:szCs w:val="22"/>
          <w:lang w:val="en-US"/>
        </w:rPr>
        <w:t>Part 8: Respondent’s Profile (Personal Factors and Conditions)</w:t>
      </w:r>
    </w:p>
    <w:tbl>
      <w:tblPr>
        <w:tblStyle w:val="TableGrid15"/>
        <w:tblW w:w="10454" w:type="dxa"/>
        <w:tblLook w:val="04A0" w:firstRow="1" w:lastRow="0" w:firstColumn="1" w:lastColumn="0" w:noHBand="0" w:noVBand="1"/>
      </w:tblPr>
      <w:tblGrid>
        <w:gridCol w:w="3114"/>
        <w:gridCol w:w="3969"/>
        <w:gridCol w:w="3371"/>
      </w:tblGrid>
      <w:tr w:rsidR="008D0CAD" w:rsidRPr="00AA04A4" w14:paraId="1EEEFAA9" w14:textId="77777777" w:rsidTr="000615A1">
        <w:tc>
          <w:tcPr>
            <w:tcW w:w="3114" w:type="dxa"/>
          </w:tcPr>
          <w:p w14:paraId="055C54C1" w14:textId="77777777" w:rsidR="008D0CAD" w:rsidRPr="00AA04A4" w:rsidRDefault="008D0CAD" w:rsidP="00FF4CA3">
            <w:pPr>
              <w:numPr>
                <w:ilvl w:val="0"/>
                <w:numId w:val="174"/>
              </w:numPr>
              <w:spacing w:before="100" w:beforeAutospacing="1" w:after="100" w:afterAutospacing="1" w:line="360" w:lineRule="auto"/>
              <w:rPr>
                <w:rFonts w:asciiTheme="majorHAnsi" w:hAnsiTheme="majorHAnsi" w:cstheme="majorHAnsi"/>
                <w:snapToGrid w:val="0"/>
                <w:sz w:val="20"/>
                <w:szCs w:val="20"/>
                <w:lang w:val="en-US"/>
              </w:rPr>
            </w:pPr>
            <w:r w:rsidRPr="00AA04A4">
              <w:rPr>
                <w:rFonts w:asciiTheme="majorHAnsi" w:hAnsiTheme="majorHAnsi" w:cstheme="majorHAnsi"/>
                <w:snapToGrid w:val="0"/>
                <w:sz w:val="20"/>
                <w:szCs w:val="20"/>
                <w:lang w:val="en-US"/>
              </w:rPr>
              <w:t>Sex of Respondent:</w:t>
            </w:r>
          </w:p>
        </w:tc>
        <w:tc>
          <w:tcPr>
            <w:tcW w:w="3969" w:type="dxa"/>
          </w:tcPr>
          <w:p w14:paraId="422C10EF" w14:textId="77777777" w:rsidR="008D0CAD" w:rsidRPr="00AA04A4" w:rsidRDefault="008D0CAD" w:rsidP="00FF4CA3">
            <w:pPr>
              <w:numPr>
                <w:ilvl w:val="1"/>
                <w:numId w:val="174"/>
              </w:numPr>
              <w:spacing w:before="100" w:beforeAutospacing="1" w:after="100" w:afterAutospacing="1" w:line="360" w:lineRule="auto"/>
              <w:ind w:left="993" w:hanging="633"/>
              <w:rPr>
                <w:rFonts w:asciiTheme="majorHAnsi" w:hAnsiTheme="majorHAnsi" w:cstheme="majorHAnsi"/>
                <w:snapToGrid w:val="0"/>
                <w:sz w:val="20"/>
                <w:szCs w:val="20"/>
                <w:lang w:val="en-US"/>
              </w:rPr>
            </w:pPr>
            <w:r w:rsidRPr="00AA04A4">
              <w:rPr>
                <w:rFonts w:asciiTheme="majorHAnsi" w:hAnsiTheme="majorHAnsi" w:cstheme="majorHAnsi"/>
                <w:snapToGrid w:val="0"/>
                <w:sz w:val="20"/>
                <w:szCs w:val="20"/>
                <w:lang w:val="en-US"/>
              </w:rPr>
              <w:t>___ Female</w:t>
            </w:r>
          </w:p>
        </w:tc>
        <w:tc>
          <w:tcPr>
            <w:tcW w:w="3371" w:type="dxa"/>
          </w:tcPr>
          <w:p w14:paraId="2F9269BB" w14:textId="77777777" w:rsidR="008D0CAD" w:rsidRPr="00AA04A4" w:rsidRDefault="008D0CAD" w:rsidP="00FF4CA3">
            <w:pPr>
              <w:numPr>
                <w:ilvl w:val="1"/>
                <w:numId w:val="174"/>
              </w:numPr>
              <w:spacing w:before="100" w:beforeAutospacing="1" w:after="100" w:afterAutospacing="1" w:line="360" w:lineRule="auto"/>
              <w:ind w:left="993" w:hanging="633"/>
              <w:rPr>
                <w:rFonts w:asciiTheme="majorHAnsi" w:hAnsiTheme="majorHAnsi" w:cstheme="majorHAnsi"/>
                <w:snapToGrid w:val="0"/>
                <w:sz w:val="20"/>
                <w:szCs w:val="20"/>
                <w:lang w:val="en-US"/>
              </w:rPr>
            </w:pPr>
            <w:r w:rsidRPr="00AA04A4">
              <w:rPr>
                <w:rFonts w:asciiTheme="majorHAnsi" w:hAnsiTheme="majorHAnsi" w:cstheme="majorHAnsi"/>
                <w:snapToGrid w:val="0"/>
                <w:sz w:val="20"/>
                <w:szCs w:val="20"/>
                <w:lang w:val="en-US"/>
              </w:rPr>
              <w:t>___ Male</w:t>
            </w:r>
          </w:p>
        </w:tc>
      </w:tr>
      <w:tr w:rsidR="008D0CAD" w:rsidRPr="00AA04A4" w14:paraId="19514B89" w14:textId="77777777" w:rsidTr="000615A1">
        <w:tc>
          <w:tcPr>
            <w:tcW w:w="3114" w:type="dxa"/>
          </w:tcPr>
          <w:p w14:paraId="5112E30F" w14:textId="77777777" w:rsidR="008D0CAD" w:rsidRPr="00AA04A4" w:rsidRDefault="008D0CAD" w:rsidP="00FF4CA3">
            <w:pPr>
              <w:numPr>
                <w:ilvl w:val="0"/>
                <w:numId w:val="174"/>
              </w:num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20"/>
                <w:szCs w:val="20"/>
                <w:lang w:val="en-US"/>
              </w:rPr>
            </w:pPr>
            <w:r w:rsidRPr="00AA04A4">
              <w:rPr>
                <w:rFonts w:asciiTheme="majorHAnsi" w:eastAsiaTheme="minorHAnsi" w:hAnsiTheme="majorHAnsi" w:cstheme="majorHAnsi"/>
                <w:color w:val="000000"/>
                <w:sz w:val="20"/>
                <w:szCs w:val="20"/>
                <w:lang w:val="en-US"/>
              </w:rPr>
              <w:t>Age</w:t>
            </w:r>
          </w:p>
        </w:tc>
        <w:tc>
          <w:tcPr>
            <w:tcW w:w="3969" w:type="dxa"/>
          </w:tcPr>
          <w:p w14:paraId="5C9DA318" w14:textId="77777777" w:rsidR="008D0CAD" w:rsidRPr="00AA04A4" w:rsidRDefault="008D0CAD" w:rsidP="00FF4CA3">
            <w:pPr>
              <w:numPr>
                <w:ilvl w:val="1"/>
                <w:numId w:val="174"/>
              </w:numPr>
              <w:autoSpaceDE w:val="0"/>
              <w:autoSpaceDN w:val="0"/>
              <w:adjustRightInd w:val="0"/>
              <w:spacing w:before="100" w:beforeAutospacing="1" w:after="100" w:afterAutospacing="1" w:line="360" w:lineRule="auto"/>
              <w:ind w:left="936" w:hanging="576"/>
              <w:rPr>
                <w:rFonts w:asciiTheme="majorHAnsi" w:eastAsiaTheme="minorHAnsi" w:hAnsiTheme="majorHAnsi" w:cstheme="majorHAnsi"/>
                <w:color w:val="000000"/>
                <w:sz w:val="20"/>
                <w:szCs w:val="20"/>
                <w:lang w:val="en-US"/>
              </w:rPr>
            </w:pPr>
            <w:r w:rsidRPr="00AA04A4">
              <w:rPr>
                <w:rFonts w:asciiTheme="majorHAnsi" w:eastAsiaTheme="minorHAnsi" w:hAnsiTheme="majorHAnsi" w:cstheme="majorHAnsi"/>
                <w:color w:val="000000"/>
                <w:sz w:val="20"/>
                <w:szCs w:val="20"/>
                <w:lang w:val="en-US"/>
              </w:rPr>
              <w:t>____ 21-29 years old</w:t>
            </w:r>
          </w:p>
        </w:tc>
        <w:tc>
          <w:tcPr>
            <w:tcW w:w="3371" w:type="dxa"/>
          </w:tcPr>
          <w:p w14:paraId="2686B819" w14:textId="77777777" w:rsidR="008D0CAD" w:rsidRPr="00AA04A4"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20"/>
                <w:szCs w:val="20"/>
                <w:lang w:val="en-US"/>
              </w:rPr>
            </w:pPr>
          </w:p>
        </w:tc>
      </w:tr>
      <w:tr w:rsidR="008D0CAD" w:rsidRPr="00AA04A4" w14:paraId="583CA63D" w14:textId="77777777" w:rsidTr="000615A1">
        <w:tc>
          <w:tcPr>
            <w:tcW w:w="3114" w:type="dxa"/>
          </w:tcPr>
          <w:p w14:paraId="5ECB7FF0" w14:textId="77777777" w:rsidR="008D0CAD" w:rsidRPr="00AA04A4"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20"/>
                <w:szCs w:val="20"/>
                <w:lang w:val="en-US"/>
              </w:rPr>
            </w:pPr>
          </w:p>
        </w:tc>
        <w:tc>
          <w:tcPr>
            <w:tcW w:w="3969" w:type="dxa"/>
          </w:tcPr>
          <w:p w14:paraId="3FF80ABB" w14:textId="77777777" w:rsidR="008D0CAD" w:rsidRPr="00AA04A4" w:rsidRDefault="008D0CAD" w:rsidP="00FF4CA3">
            <w:pPr>
              <w:numPr>
                <w:ilvl w:val="1"/>
                <w:numId w:val="174"/>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0"/>
                <w:szCs w:val="20"/>
                <w:lang w:val="en-US"/>
              </w:rPr>
            </w:pPr>
            <w:r w:rsidRPr="00AA04A4">
              <w:rPr>
                <w:rFonts w:asciiTheme="majorHAnsi" w:eastAsiaTheme="minorHAnsi" w:hAnsiTheme="majorHAnsi" w:cstheme="majorHAnsi"/>
                <w:color w:val="000000"/>
                <w:sz w:val="20"/>
                <w:szCs w:val="20"/>
                <w:lang w:val="en-US"/>
              </w:rPr>
              <w:t>____ 30-39 years old</w:t>
            </w:r>
          </w:p>
        </w:tc>
        <w:tc>
          <w:tcPr>
            <w:tcW w:w="3371" w:type="dxa"/>
          </w:tcPr>
          <w:p w14:paraId="29C07B08" w14:textId="77777777" w:rsidR="008D0CAD" w:rsidRPr="00AA04A4" w:rsidRDefault="008D0CAD" w:rsidP="00FF4CA3">
            <w:pPr>
              <w:numPr>
                <w:ilvl w:val="1"/>
                <w:numId w:val="174"/>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0"/>
                <w:szCs w:val="20"/>
                <w:lang w:val="en-US"/>
              </w:rPr>
            </w:pPr>
            <w:r w:rsidRPr="00AA04A4">
              <w:rPr>
                <w:rFonts w:asciiTheme="majorHAnsi" w:eastAsiaTheme="minorHAnsi" w:hAnsiTheme="majorHAnsi" w:cstheme="majorHAnsi"/>
                <w:color w:val="000000"/>
                <w:sz w:val="20"/>
                <w:szCs w:val="20"/>
                <w:lang w:val="en-US"/>
              </w:rPr>
              <w:t>____ 40-49 years old</w:t>
            </w:r>
          </w:p>
        </w:tc>
      </w:tr>
      <w:tr w:rsidR="008D0CAD" w:rsidRPr="00AA04A4" w14:paraId="6A81FBBA" w14:textId="77777777" w:rsidTr="000615A1">
        <w:tc>
          <w:tcPr>
            <w:tcW w:w="3114" w:type="dxa"/>
          </w:tcPr>
          <w:p w14:paraId="29C2652D" w14:textId="77777777" w:rsidR="008D0CAD" w:rsidRPr="00AA04A4"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20"/>
                <w:szCs w:val="20"/>
                <w:lang w:val="en-US"/>
              </w:rPr>
            </w:pPr>
          </w:p>
        </w:tc>
        <w:tc>
          <w:tcPr>
            <w:tcW w:w="3969" w:type="dxa"/>
          </w:tcPr>
          <w:p w14:paraId="21B04238" w14:textId="77777777" w:rsidR="008D0CAD" w:rsidRPr="00AA04A4" w:rsidRDefault="008D0CAD" w:rsidP="00FF4CA3">
            <w:pPr>
              <w:numPr>
                <w:ilvl w:val="1"/>
                <w:numId w:val="174"/>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0"/>
                <w:szCs w:val="20"/>
                <w:lang w:val="en-US"/>
              </w:rPr>
            </w:pPr>
            <w:r w:rsidRPr="00AA04A4">
              <w:rPr>
                <w:rFonts w:asciiTheme="majorHAnsi" w:eastAsiaTheme="minorHAnsi" w:hAnsiTheme="majorHAnsi" w:cstheme="majorHAnsi"/>
                <w:color w:val="000000"/>
                <w:sz w:val="20"/>
                <w:szCs w:val="20"/>
                <w:lang w:val="en-US"/>
              </w:rPr>
              <w:t xml:space="preserve">____ 50-59 years old </w:t>
            </w:r>
          </w:p>
        </w:tc>
        <w:tc>
          <w:tcPr>
            <w:tcW w:w="3371" w:type="dxa"/>
          </w:tcPr>
          <w:p w14:paraId="01E93424" w14:textId="77777777" w:rsidR="008D0CAD" w:rsidRPr="00AA04A4" w:rsidRDefault="008D0CAD" w:rsidP="00FF4CA3">
            <w:pPr>
              <w:numPr>
                <w:ilvl w:val="1"/>
                <w:numId w:val="174"/>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0"/>
                <w:szCs w:val="20"/>
                <w:lang w:val="en-US"/>
              </w:rPr>
            </w:pPr>
            <w:r w:rsidRPr="00AA04A4">
              <w:rPr>
                <w:rFonts w:asciiTheme="majorHAnsi" w:eastAsiaTheme="minorHAnsi" w:hAnsiTheme="majorHAnsi" w:cstheme="majorHAnsi"/>
                <w:color w:val="000000"/>
                <w:sz w:val="20"/>
                <w:szCs w:val="20"/>
                <w:lang w:val="en-US"/>
              </w:rPr>
              <w:t>____ above 59 years old</w:t>
            </w:r>
          </w:p>
        </w:tc>
      </w:tr>
      <w:tr w:rsidR="00F92CDD" w:rsidRPr="00AA04A4" w14:paraId="381BA5E3" w14:textId="77777777" w:rsidTr="000615A1">
        <w:tc>
          <w:tcPr>
            <w:tcW w:w="3114" w:type="dxa"/>
          </w:tcPr>
          <w:p w14:paraId="5DC31548" w14:textId="7DEB4677" w:rsidR="00F92CDD" w:rsidRPr="00FF4CA3" w:rsidRDefault="00F92CDD" w:rsidP="00FF4CA3">
            <w:pPr>
              <w:pStyle w:val="ListParagraph"/>
              <w:numPr>
                <w:ilvl w:val="0"/>
                <w:numId w:val="174"/>
              </w:numPr>
              <w:autoSpaceDE w:val="0"/>
              <w:autoSpaceDN w:val="0"/>
              <w:adjustRightInd w:val="0"/>
              <w:spacing w:before="100" w:beforeAutospacing="1" w:after="100" w:afterAutospacing="1" w:line="360" w:lineRule="auto"/>
              <w:rPr>
                <w:rFonts w:asciiTheme="majorHAnsi" w:eastAsiaTheme="minorHAnsi" w:hAnsiTheme="majorHAnsi" w:cstheme="majorHAnsi"/>
                <w:color w:val="000000"/>
                <w:sz w:val="20"/>
                <w:szCs w:val="20"/>
                <w:lang w:val="en-US"/>
              </w:rPr>
            </w:pPr>
            <w:r w:rsidRPr="00FF4CA3">
              <w:rPr>
                <w:rFonts w:asciiTheme="majorHAnsi" w:eastAsiaTheme="minorHAnsi" w:hAnsiTheme="majorHAnsi" w:cstheme="majorHAnsi"/>
                <w:color w:val="000000"/>
                <w:sz w:val="20"/>
                <w:szCs w:val="20"/>
                <w:lang w:val="en-US"/>
              </w:rPr>
              <w:t xml:space="preserve">Highest Educational Attainment: </w:t>
            </w:r>
          </w:p>
        </w:tc>
        <w:tc>
          <w:tcPr>
            <w:tcW w:w="3969" w:type="dxa"/>
            <w:tcBorders>
              <w:bottom w:val="single" w:sz="4" w:space="0" w:color="auto"/>
            </w:tcBorders>
          </w:tcPr>
          <w:p w14:paraId="212904BB" w14:textId="77777777" w:rsidR="00F92CDD" w:rsidRDefault="00F92CDD" w:rsidP="00FF4CA3">
            <w:pPr>
              <w:numPr>
                <w:ilvl w:val="1"/>
                <w:numId w:val="174"/>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0"/>
                <w:szCs w:val="20"/>
                <w:lang w:val="en-US"/>
              </w:rPr>
            </w:pPr>
            <w:r w:rsidRPr="00AA04A4">
              <w:rPr>
                <w:rFonts w:asciiTheme="majorHAnsi" w:eastAsiaTheme="minorHAnsi" w:hAnsiTheme="majorHAnsi" w:cstheme="majorHAnsi"/>
                <w:color w:val="000000"/>
                <w:sz w:val="20"/>
                <w:szCs w:val="20"/>
                <w:lang w:val="en-US"/>
              </w:rPr>
              <w:t>____ Bachelor’s Degree</w:t>
            </w:r>
          </w:p>
          <w:p w14:paraId="201461EB" w14:textId="57510CE4" w:rsidR="00F92CDD" w:rsidRPr="00AA04A4" w:rsidRDefault="00F92CDD" w:rsidP="00FF4CA3">
            <w:pPr>
              <w:numPr>
                <w:ilvl w:val="1"/>
                <w:numId w:val="174"/>
              </w:numPr>
              <w:autoSpaceDE w:val="0"/>
              <w:autoSpaceDN w:val="0"/>
              <w:adjustRightInd w:val="0"/>
              <w:spacing w:before="100" w:beforeAutospacing="1" w:after="100" w:afterAutospacing="1" w:line="360" w:lineRule="auto"/>
              <w:ind w:left="990" w:hanging="630"/>
              <w:rPr>
                <w:rFonts w:asciiTheme="majorHAnsi" w:eastAsiaTheme="minorHAnsi" w:hAnsiTheme="majorHAnsi" w:cstheme="majorHAnsi"/>
                <w:color w:val="000000"/>
                <w:sz w:val="20"/>
                <w:szCs w:val="20"/>
                <w:lang w:val="en-US"/>
              </w:rPr>
            </w:pPr>
            <w:r>
              <w:rPr>
                <w:rFonts w:asciiTheme="majorHAnsi" w:eastAsiaTheme="minorHAnsi" w:hAnsiTheme="majorHAnsi" w:cstheme="majorHAnsi"/>
                <w:color w:val="000000"/>
                <w:sz w:val="20"/>
                <w:szCs w:val="20"/>
                <w:lang w:val="en-US"/>
              </w:rPr>
              <w:t>____ Master’s Degree</w:t>
            </w:r>
          </w:p>
        </w:tc>
        <w:tc>
          <w:tcPr>
            <w:tcW w:w="3371" w:type="dxa"/>
          </w:tcPr>
          <w:p w14:paraId="48FD4A63" w14:textId="3CC48759" w:rsidR="00F92CDD" w:rsidRPr="00FF4CA3" w:rsidRDefault="00F92CDD" w:rsidP="00FF4CA3">
            <w:pPr>
              <w:pStyle w:val="ListParagraph"/>
              <w:numPr>
                <w:ilvl w:val="1"/>
                <w:numId w:val="174"/>
              </w:numPr>
              <w:autoSpaceDE w:val="0"/>
              <w:autoSpaceDN w:val="0"/>
              <w:adjustRightInd w:val="0"/>
              <w:spacing w:before="100" w:beforeAutospacing="1" w:after="100" w:afterAutospacing="1" w:line="360" w:lineRule="auto"/>
              <w:ind w:left="1022" w:hanging="644"/>
              <w:rPr>
                <w:rFonts w:asciiTheme="majorHAnsi" w:eastAsiaTheme="minorHAnsi" w:hAnsiTheme="majorHAnsi" w:cstheme="majorHAnsi"/>
                <w:color w:val="000000"/>
                <w:sz w:val="20"/>
                <w:szCs w:val="20"/>
                <w:lang w:val="en-US"/>
              </w:rPr>
            </w:pPr>
            <w:r>
              <w:rPr>
                <w:rFonts w:asciiTheme="majorHAnsi" w:eastAsiaTheme="minorHAnsi" w:hAnsiTheme="majorHAnsi" w:cstheme="majorHAnsi"/>
                <w:color w:val="000000"/>
                <w:sz w:val="20"/>
                <w:szCs w:val="20"/>
                <w:lang w:val="en-US"/>
              </w:rPr>
              <w:t>___ Doctoral Degree</w:t>
            </w:r>
          </w:p>
        </w:tc>
      </w:tr>
      <w:tr w:rsidR="008D4CFB" w:rsidRPr="00AA04A4" w14:paraId="0C162B1F" w14:textId="77777777" w:rsidTr="000615A1">
        <w:tc>
          <w:tcPr>
            <w:tcW w:w="3114" w:type="dxa"/>
          </w:tcPr>
          <w:p w14:paraId="0ED0D611" w14:textId="4D6FE367" w:rsidR="008D4CFB" w:rsidRPr="00FF4CA3" w:rsidRDefault="008D4CFB" w:rsidP="00FF4CA3">
            <w:pPr>
              <w:pStyle w:val="ListParagraph"/>
              <w:autoSpaceDE w:val="0"/>
              <w:autoSpaceDN w:val="0"/>
              <w:adjustRightInd w:val="0"/>
              <w:spacing w:before="100" w:beforeAutospacing="1" w:after="100" w:afterAutospacing="1" w:line="360" w:lineRule="auto"/>
              <w:ind w:left="360"/>
              <w:rPr>
                <w:rFonts w:asciiTheme="majorHAnsi" w:eastAsiaTheme="minorHAnsi" w:hAnsiTheme="majorHAnsi" w:cstheme="majorHAnsi"/>
                <w:color w:val="000000"/>
                <w:sz w:val="20"/>
                <w:szCs w:val="20"/>
                <w:lang w:val="en-US"/>
              </w:rPr>
            </w:pPr>
            <w:r>
              <w:rPr>
                <w:rFonts w:asciiTheme="majorHAnsi" w:eastAsiaTheme="minorHAnsi" w:hAnsiTheme="majorHAnsi" w:cstheme="majorHAnsi"/>
                <w:color w:val="000000"/>
                <w:sz w:val="20"/>
                <w:szCs w:val="20"/>
                <w:lang w:val="en-US"/>
              </w:rPr>
              <w:t xml:space="preserve">3.1. BS Course (Spell </w:t>
            </w:r>
            <w:r w:rsidR="00254DB8">
              <w:rPr>
                <w:rFonts w:asciiTheme="majorHAnsi" w:eastAsiaTheme="minorHAnsi" w:hAnsiTheme="majorHAnsi" w:cstheme="majorHAnsi"/>
                <w:color w:val="000000"/>
                <w:sz w:val="20"/>
                <w:szCs w:val="20"/>
                <w:lang w:val="en-US"/>
              </w:rPr>
              <w:t>out):</w:t>
            </w:r>
          </w:p>
        </w:tc>
        <w:tc>
          <w:tcPr>
            <w:tcW w:w="3969" w:type="dxa"/>
            <w:tcBorders>
              <w:bottom w:val="single" w:sz="4" w:space="0" w:color="auto"/>
              <w:right w:val="nil"/>
            </w:tcBorders>
          </w:tcPr>
          <w:p w14:paraId="7CB0FFAC" w14:textId="77777777" w:rsidR="008D4CFB" w:rsidRPr="00AA04A4" w:rsidRDefault="008D4CFB" w:rsidP="00FF4CA3">
            <w:pPr>
              <w:autoSpaceDE w:val="0"/>
              <w:autoSpaceDN w:val="0"/>
              <w:adjustRightInd w:val="0"/>
              <w:spacing w:before="100" w:beforeAutospacing="1" w:after="100" w:afterAutospacing="1" w:line="360" w:lineRule="auto"/>
              <w:ind w:left="990"/>
              <w:rPr>
                <w:rFonts w:asciiTheme="majorHAnsi" w:eastAsiaTheme="minorHAnsi" w:hAnsiTheme="majorHAnsi" w:cstheme="majorHAnsi"/>
                <w:color w:val="000000"/>
                <w:sz w:val="20"/>
                <w:szCs w:val="20"/>
                <w:lang w:val="en-US"/>
              </w:rPr>
            </w:pPr>
          </w:p>
        </w:tc>
        <w:tc>
          <w:tcPr>
            <w:tcW w:w="3371" w:type="dxa"/>
            <w:tcBorders>
              <w:left w:val="nil"/>
            </w:tcBorders>
          </w:tcPr>
          <w:p w14:paraId="2D4D5DD9" w14:textId="77777777" w:rsidR="008D4CFB" w:rsidRDefault="008D4CFB" w:rsidP="00FF4CA3">
            <w:pPr>
              <w:pStyle w:val="ListParagraph"/>
              <w:autoSpaceDE w:val="0"/>
              <w:autoSpaceDN w:val="0"/>
              <w:adjustRightInd w:val="0"/>
              <w:spacing w:before="100" w:beforeAutospacing="1" w:after="100" w:afterAutospacing="1" w:line="360" w:lineRule="auto"/>
              <w:ind w:left="1080"/>
              <w:rPr>
                <w:rFonts w:asciiTheme="majorHAnsi" w:eastAsiaTheme="minorHAnsi" w:hAnsiTheme="majorHAnsi" w:cstheme="majorHAnsi"/>
                <w:color w:val="000000"/>
                <w:sz w:val="20"/>
                <w:szCs w:val="20"/>
                <w:lang w:val="en-US"/>
              </w:rPr>
            </w:pPr>
          </w:p>
        </w:tc>
      </w:tr>
      <w:tr w:rsidR="00F15544" w:rsidRPr="00AA04A4" w14:paraId="426EA446" w14:textId="77777777" w:rsidTr="000615A1">
        <w:tc>
          <w:tcPr>
            <w:tcW w:w="3114" w:type="dxa"/>
          </w:tcPr>
          <w:p w14:paraId="1A75225E" w14:textId="5873D53C" w:rsidR="00F15544" w:rsidRDefault="00615612" w:rsidP="00254DB8">
            <w:pPr>
              <w:pStyle w:val="ListParagraph"/>
              <w:autoSpaceDE w:val="0"/>
              <w:autoSpaceDN w:val="0"/>
              <w:adjustRightInd w:val="0"/>
              <w:spacing w:before="100" w:beforeAutospacing="1" w:after="100" w:afterAutospacing="1" w:line="360" w:lineRule="auto"/>
              <w:ind w:left="360"/>
              <w:rPr>
                <w:rFonts w:asciiTheme="majorHAnsi" w:eastAsiaTheme="minorHAnsi" w:hAnsiTheme="majorHAnsi" w:cstheme="majorHAnsi"/>
                <w:color w:val="000000"/>
                <w:sz w:val="20"/>
                <w:szCs w:val="20"/>
                <w:lang w:val="en-US"/>
              </w:rPr>
            </w:pPr>
            <w:r>
              <w:rPr>
                <w:rFonts w:asciiTheme="majorHAnsi" w:eastAsiaTheme="minorHAnsi" w:hAnsiTheme="majorHAnsi" w:cstheme="majorHAnsi"/>
                <w:color w:val="000000" w:themeColor="text1"/>
                <w:sz w:val="20"/>
                <w:szCs w:val="20"/>
                <w:lang w:val="en-US"/>
              </w:rPr>
              <w:t xml:space="preserve">3.2 </w:t>
            </w:r>
            <w:r w:rsidR="00F15544" w:rsidRPr="00977F48">
              <w:rPr>
                <w:rFonts w:asciiTheme="majorHAnsi" w:eastAsiaTheme="minorHAnsi" w:hAnsiTheme="majorHAnsi" w:cstheme="majorHAnsi"/>
                <w:color w:val="000000" w:themeColor="text1"/>
                <w:sz w:val="20"/>
                <w:szCs w:val="20"/>
                <w:lang w:val="en-US"/>
              </w:rPr>
              <w:t>Master’s Degree:</w:t>
            </w:r>
          </w:p>
        </w:tc>
        <w:tc>
          <w:tcPr>
            <w:tcW w:w="3969" w:type="dxa"/>
            <w:tcBorders>
              <w:bottom w:val="single" w:sz="4" w:space="0" w:color="auto"/>
              <w:right w:val="nil"/>
            </w:tcBorders>
          </w:tcPr>
          <w:p w14:paraId="1AB43649" w14:textId="77777777" w:rsidR="00F15544" w:rsidRPr="00AA04A4" w:rsidRDefault="00F15544" w:rsidP="004F162A">
            <w:pPr>
              <w:autoSpaceDE w:val="0"/>
              <w:autoSpaceDN w:val="0"/>
              <w:adjustRightInd w:val="0"/>
              <w:spacing w:before="100" w:beforeAutospacing="1" w:after="100" w:afterAutospacing="1" w:line="360" w:lineRule="auto"/>
              <w:ind w:left="990"/>
              <w:rPr>
                <w:rFonts w:asciiTheme="majorHAnsi" w:eastAsiaTheme="minorHAnsi" w:hAnsiTheme="majorHAnsi" w:cstheme="majorHAnsi"/>
                <w:color w:val="000000"/>
                <w:sz w:val="20"/>
                <w:szCs w:val="20"/>
                <w:lang w:val="en-US"/>
              </w:rPr>
            </w:pPr>
          </w:p>
        </w:tc>
        <w:tc>
          <w:tcPr>
            <w:tcW w:w="3371" w:type="dxa"/>
            <w:tcBorders>
              <w:left w:val="nil"/>
            </w:tcBorders>
          </w:tcPr>
          <w:p w14:paraId="0E934299" w14:textId="77777777" w:rsidR="00F15544" w:rsidRDefault="00F15544" w:rsidP="004F162A">
            <w:pPr>
              <w:pStyle w:val="ListParagraph"/>
              <w:autoSpaceDE w:val="0"/>
              <w:autoSpaceDN w:val="0"/>
              <w:adjustRightInd w:val="0"/>
              <w:spacing w:before="100" w:beforeAutospacing="1" w:after="100" w:afterAutospacing="1" w:line="360" w:lineRule="auto"/>
              <w:ind w:left="1080"/>
              <w:rPr>
                <w:rFonts w:asciiTheme="majorHAnsi" w:eastAsiaTheme="minorHAnsi" w:hAnsiTheme="majorHAnsi" w:cstheme="majorHAnsi"/>
                <w:color w:val="000000"/>
                <w:sz w:val="20"/>
                <w:szCs w:val="20"/>
                <w:lang w:val="en-US"/>
              </w:rPr>
            </w:pPr>
          </w:p>
        </w:tc>
      </w:tr>
      <w:tr w:rsidR="00F15544" w:rsidRPr="00AA04A4" w14:paraId="5A1B1D5C" w14:textId="77777777" w:rsidTr="000615A1">
        <w:tc>
          <w:tcPr>
            <w:tcW w:w="3114" w:type="dxa"/>
          </w:tcPr>
          <w:p w14:paraId="5D901B13" w14:textId="6EC8516F" w:rsidR="00F15544" w:rsidRDefault="00615612" w:rsidP="00254DB8">
            <w:pPr>
              <w:pStyle w:val="ListParagraph"/>
              <w:autoSpaceDE w:val="0"/>
              <w:autoSpaceDN w:val="0"/>
              <w:adjustRightInd w:val="0"/>
              <w:spacing w:before="100" w:beforeAutospacing="1" w:after="100" w:afterAutospacing="1" w:line="360" w:lineRule="auto"/>
              <w:ind w:left="360"/>
              <w:rPr>
                <w:rFonts w:asciiTheme="majorHAnsi" w:eastAsiaTheme="minorHAnsi" w:hAnsiTheme="majorHAnsi" w:cstheme="majorHAnsi"/>
                <w:color w:val="000000"/>
                <w:sz w:val="20"/>
                <w:szCs w:val="20"/>
                <w:lang w:val="en-US"/>
              </w:rPr>
            </w:pPr>
            <w:r>
              <w:rPr>
                <w:rFonts w:asciiTheme="majorHAnsi" w:eastAsiaTheme="minorHAnsi" w:hAnsiTheme="majorHAnsi" w:cstheme="majorHAnsi"/>
                <w:color w:val="000000" w:themeColor="text1"/>
                <w:sz w:val="20"/>
                <w:szCs w:val="20"/>
                <w:lang w:val="en-US"/>
              </w:rPr>
              <w:t xml:space="preserve">3.3 </w:t>
            </w:r>
            <w:r w:rsidRPr="00977F48">
              <w:rPr>
                <w:rFonts w:asciiTheme="majorHAnsi" w:eastAsiaTheme="minorHAnsi" w:hAnsiTheme="majorHAnsi" w:cstheme="majorHAnsi"/>
                <w:color w:val="000000" w:themeColor="text1"/>
                <w:sz w:val="20"/>
                <w:szCs w:val="20"/>
                <w:lang w:val="en-US"/>
              </w:rPr>
              <w:t>Doctorate Degree:</w:t>
            </w:r>
          </w:p>
        </w:tc>
        <w:tc>
          <w:tcPr>
            <w:tcW w:w="3969" w:type="dxa"/>
            <w:tcBorders>
              <w:bottom w:val="single" w:sz="4" w:space="0" w:color="auto"/>
              <w:right w:val="nil"/>
            </w:tcBorders>
          </w:tcPr>
          <w:p w14:paraId="7C6B7D78" w14:textId="77777777" w:rsidR="00F15544" w:rsidRPr="00AA04A4" w:rsidRDefault="00F15544" w:rsidP="004F162A">
            <w:pPr>
              <w:autoSpaceDE w:val="0"/>
              <w:autoSpaceDN w:val="0"/>
              <w:adjustRightInd w:val="0"/>
              <w:spacing w:before="100" w:beforeAutospacing="1" w:after="100" w:afterAutospacing="1" w:line="360" w:lineRule="auto"/>
              <w:ind w:left="990"/>
              <w:rPr>
                <w:rFonts w:asciiTheme="majorHAnsi" w:eastAsiaTheme="minorHAnsi" w:hAnsiTheme="majorHAnsi" w:cstheme="majorHAnsi"/>
                <w:color w:val="000000"/>
                <w:sz w:val="20"/>
                <w:szCs w:val="20"/>
                <w:lang w:val="en-US"/>
              </w:rPr>
            </w:pPr>
          </w:p>
        </w:tc>
        <w:tc>
          <w:tcPr>
            <w:tcW w:w="3371" w:type="dxa"/>
            <w:tcBorders>
              <w:left w:val="nil"/>
            </w:tcBorders>
          </w:tcPr>
          <w:p w14:paraId="42B94F11" w14:textId="77777777" w:rsidR="00F15544" w:rsidRDefault="00F15544" w:rsidP="004F162A">
            <w:pPr>
              <w:pStyle w:val="ListParagraph"/>
              <w:autoSpaceDE w:val="0"/>
              <w:autoSpaceDN w:val="0"/>
              <w:adjustRightInd w:val="0"/>
              <w:spacing w:before="100" w:beforeAutospacing="1" w:after="100" w:afterAutospacing="1" w:line="360" w:lineRule="auto"/>
              <w:ind w:left="1080"/>
              <w:rPr>
                <w:rFonts w:asciiTheme="majorHAnsi" w:eastAsiaTheme="minorHAnsi" w:hAnsiTheme="majorHAnsi" w:cstheme="majorHAnsi"/>
                <w:color w:val="000000"/>
                <w:sz w:val="20"/>
                <w:szCs w:val="20"/>
                <w:lang w:val="en-US"/>
              </w:rPr>
            </w:pPr>
          </w:p>
        </w:tc>
      </w:tr>
      <w:tr w:rsidR="000C3D98" w:rsidRPr="00AA04A4" w14:paraId="6C95AB5B" w14:textId="77777777" w:rsidTr="000615A1">
        <w:tc>
          <w:tcPr>
            <w:tcW w:w="3114" w:type="dxa"/>
          </w:tcPr>
          <w:p w14:paraId="09CD61EF" w14:textId="6A63ECE1" w:rsidR="000C3D98" w:rsidRDefault="00281C54" w:rsidP="00FF4CA3">
            <w:pPr>
              <w:pStyle w:val="ListParagraph"/>
              <w:numPr>
                <w:ilvl w:val="0"/>
                <w:numId w:val="174"/>
              </w:num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r>
              <w:rPr>
                <w:rFonts w:asciiTheme="majorHAnsi" w:eastAsiaTheme="minorHAnsi" w:hAnsiTheme="majorHAnsi" w:cstheme="majorHAnsi"/>
                <w:color w:val="000000" w:themeColor="text1"/>
                <w:sz w:val="20"/>
                <w:szCs w:val="20"/>
                <w:lang w:val="en-US"/>
              </w:rPr>
              <w:t>Length of Service</w:t>
            </w:r>
          </w:p>
        </w:tc>
        <w:tc>
          <w:tcPr>
            <w:tcW w:w="3969" w:type="dxa"/>
            <w:tcBorders>
              <w:right w:val="nil"/>
            </w:tcBorders>
          </w:tcPr>
          <w:p w14:paraId="2732B90F" w14:textId="77777777" w:rsidR="000C3D98" w:rsidRPr="00AA04A4" w:rsidRDefault="000C3D98" w:rsidP="004F162A">
            <w:pPr>
              <w:autoSpaceDE w:val="0"/>
              <w:autoSpaceDN w:val="0"/>
              <w:adjustRightInd w:val="0"/>
              <w:spacing w:before="100" w:beforeAutospacing="1" w:after="100" w:afterAutospacing="1" w:line="360" w:lineRule="auto"/>
              <w:ind w:left="990"/>
              <w:rPr>
                <w:rFonts w:asciiTheme="majorHAnsi" w:eastAsiaTheme="minorHAnsi" w:hAnsiTheme="majorHAnsi" w:cstheme="majorHAnsi"/>
                <w:color w:val="000000"/>
                <w:sz w:val="20"/>
                <w:szCs w:val="20"/>
                <w:lang w:val="en-US"/>
              </w:rPr>
            </w:pPr>
          </w:p>
        </w:tc>
        <w:tc>
          <w:tcPr>
            <w:tcW w:w="3371" w:type="dxa"/>
            <w:tcBorders>
              <w:left w:val="nil"/>
            </w:tcBorders>
          </w:tcPr>
          <w:p w14:paraId="5FF246DE" w14:textId="77777777" w:rsidR="000C3D98" w:rsidRDefault="000C3D98" w:rsidP="004F162A">
            <w:pPr>
              <w:pStyle w:val="ListParagraph"/>
              <w:autoSpaceDE w:val="0"/>
              <w:autoSpaceDN w:val="0"/>
              <w:adjustRightInd w:val="0"/>
              <w:spacing w:before="100" w:beforeAutospacing="1" w:after="100" w:afterAutospacing="1" w:line="360" w:lineRule="auto"/>
              <w:ind w:left="1080"/>
              <w:rPr>
                <w:rFonts w:asciiTheme="majorHAnsi" w:eastAsiaTheme="minorHAnsi" w:hAnsiTheme="majorHAnsi" w:cstheme="majorHAnsi"/>
                <w:color w:val="000000"/>
                <w:sz w:val="20"/>
                <w:szCs w:val="20"/>
                <w:lang w:val="en-US"/>
              </w:rPr>
            </w:pPr>
          </w:p>
        </w:tc>
      </w:tr>
      <w:tr w:rsidR="005439A1" w:rsidRPr="00AA04A4" w14:paraId="2C6A832C" w14:textId="77777777" w:rsidTr="000615A1">
        <w:tc>
          <w:tcPr>
            <w:tcW w:w="3114" w:type="dxa"/>
          </w:tcPr>
          <w:p w14:paraId="5A153D06" w14:textId="605B0240" w:rsidR="005439A1" w:rsidRDefault="0094015C" w:rsidP="0094015C">
            <w:pPr>
              <w:pStyle w:val="ListParagraph"/>
              <w:autoSpaceDE w:val="0"/>
              <w:autoSpaceDN w:val="0"/>
              <w:adjustRightInd w:val="0"/>
              <w:spacing w:before="100" w:beforeAutospacing="1" w:after="100" w:afterAutospacing="1" w:line="360" w:lineRule="auto"/>
              <w:ind w:left="360"/>
              <w:rPr>
                <w:rFonts w:asciiTheme="majorHAnsi" w:eastAsiaTheme="minorHAnsi" w:hAnsiTheme="majorHAnsi" w:cstheme="majorHAnsi"/>
                <w:color w:val="000000" w:themeColor="text1"/>
                <w:sz w:val="20"/>
                <w:szCs w:val="20"/>
                <w:lang w:val="en-US"/>
              </w:rPr>
            </w:pPr>
            <w:r>
              <w:rPr>
                <w:rFonts w:asciiTheme="majorHAnsi" w:eastAsiaTheme="minorHAnsi" w:hAnsiTheme="majorHAnsi" w:cstheme="majorHAnsi"/>
                <w:color w:val="000000" w:themeColor="text1"/>
                <w:sz w:val="20"/>
                <w:szCs w:val="20"/>
                <w:lang w:val="en-US"/>
              </w:rPr>
              <w:t>4.1 No. of years teaching in current school:</w:t>
            </w:r>
          </w:p>
        </w:tc>
        <w:tc>
          <w:tcPr>
            <w:tcW w:w="3969" w:type="dxa"/>
            <w:tcBorders>
              <w:right w:val="nil"/>
            </w:tcBorders>
          </w:tcPr>
          <w:p w14:paraId="7BD2E771" w14:textId="77777777" w:rsidR="005439A1" w:rsidRPr="00AA04A4" w:rsidRDefault="005439A1" w:rsidP="004F162A">
            <w:pPr>
              <w:autoSpaceDE w:val="0"/>
              <w:autoSpaceDN w:val="0"/>
              <w:adjustRightInd w:val="0"/>
              <w:spacing w:before="100" w:beforeAutospacing="1" w:after="100" w:afterAutospacing="1" w:line="360" w:lineRule="auto"/>
              <w:ind w:left="990"/>
              <w:rPr>
                <w:rFonts w:asciiTheme="majorHAnsi" w:eastAsiaTheme="minorHAnsi" w:hAnsiTheme="majorHAnsi" w:cstheme="majorHAnsi"/>
                <w:color w:val="000000"/>
                <w:sz w:val="20"/>
                <w:szCs w:val="20"/>
                <w:lang w:val="en-US"/>
              </w:rPr>
            </w:pPr>
          </w:p>
        </w:tc>
        <w:tc>
          <w:tcPr>
            <w:tcW w:w="3371" w:type="dxa"/>
            <w:tcBorders>
              <w:left w:val="nil"/>
            </w:tcBorders>
          </w:tcPr>
          <w:p w14:paraId="6505D934" w14:textId="77777777" w:rsidR="005439A1" w:rsidRDefault="005439A1" w:rsidP="004F162A">
            <w:pPr>
              <w:pStyle w:val="ListParagraph"/>
              <w:autoSpaceDE w:val="0"/>
              <w:autoSpaceDN w:val="0"/>
              <w:adjustRightInd w:val="0"/>
              <w:spacing w:before="100" w:beforeAutospacing="1" w:after="100" w:afterAutospacing="1" w:line="360" w:lineRule="auto"/>
              <w:ind w:left="1080"/>
              <w:rPr>
                <w:rFonts w:asciiTheme="majorHAnsi" w:eastAsiaTheme="minorHAnsi" w:hAnsiTheme="majorHAnsi" w:cstheme="majorHAnsi"/>
                <w:color w:val="000000"/>
                <w:sz w:val="20"/>
                <w:szCs w:val="20"/>
                <w:lang w:val="en-US"/>
              </w:rPr>
            </w:pPr>
          </w:p>
        </w:tc>
      </w:tr>
      <w:tr w:rsidR="0094015C" w:rsidRPr="00AA04A4" w14:paraId="609D6985" w14:textId="77777777" w:rsidTr="000615A1">
        <w:tc>
          <w:tcPr>
            <w:tcW w:w="3114" w:type="dxa"/>
          </w:tcPr>
          <w:p w14:paraId="1A9B3933" w14:textId="378D3657" w:rsidR="0094015C" w:rsidRDefault="0094015C" w:rsidP="0094015C">
            <w:pPr>
              <w:pStyle w:val="ListParagraph"/>
              <w:autoSpaceDE w:val="0"/>
              <w:autoSpaceDN w:val="0"/>
              <w:adjustRightInd w:val="0"/>
              <w:spacing w:before="100" w:beforeAutospacing="1" w:after="100" w:afterAutospacing="1" w:line="360" w:lineRule="auto"/>
              <w:ind w:left="360"/>
              <w:rPr>
                <w:rFonts w:asciiTheme="majorHAnsi" w:eastAsiaTheme="minorHAnsi" w:hAnsiTheme="majorHAnsi" w:cstheme="majorHAnsi"/>
                <w:color w:val="000000" w:themeColor="text1"/>
                <w:sz w:val="20"/>
                <w:szCs w:val="20"/>
                <w:lang w:val="en-US"/>
              </w:rPr>
            </w:pPr>
            <w:r>
              <w:rPr>
                <w:rFonts w:asciiTheme="majorHAnsi" w:eastAsiaTheme="minorHAnsi" w:hAnsiTheme="majorHAnsi" w:cstheme="majorHAnsi"/>
                <w:color w:val="000000" w:themeColor="text1"/>
                <w:sz w:val="20"/>
                <w:szCs w:val="20"/>
                <w:lang w:val="en-US"/>
              </w:rPr>
              <w:t>4.2. Total no. of years as teacher in all schools (public &amp; private):</w:t>
            </w:r>
          </w:p>
        </w:tc>
        <w:tc>
          <w:tcPr>
            <w:tcW w:w="3969" w:type="dxa"/>
            <w:tcBorders>
              <w:right w:val="nil"/>
            </w:tcBorders>
          </w:tcPr>
          <w:p w14:paraId="4FEE1552" w14:textId="77777777" w:rsidR="0094015C" w:rsidRPr="00AA04A4" w:rsidRDefault="0094015C" w:rsidP="004F162A">
            <w:pPr>
              <w:autoSpaceDE w:val="0"/>
              <w:autoSpaceDN w:val="0"/>
              <w:adjustRightInd w:val="0"/>
              <w:spacing w:before="100" w:beforeAutospacing="1" w:after="100" w:afterAutospacing="1" w:line="360" w:lineRule="auto"/>
              <w:ind w:left="990"/>
              <w:rPr>
                <w:rFonts w:asciiTheme="majorHAnsi" w:eastAsiaTheme="minorHAnsi" w:hAnsiTheme="majorHAnsi" w:cstheme="majorHAnsi"/>
                <w:color w:val="000000"/>
                <w:sz w:val="20"/>
                <w:szCs w:val="20"/>
                <w:lang w:val="en-US"/>
              </w:rPr>
            </w:pPr>
          </w:p>
        </w:tc>
        <w:tc>
          <w:tcPr>
            <w:tcW w:w="3371" w:type="dxa"/>
            <w:tcBorders>
              <w:left w:val="nil"/>
            </w:tcBorders>
          </w:tcPr>
          <w:p w14:paraId="7BB4C2AD" w14:textId="77777777" w:rsidR="0094015C" w:rsidRDefault="0094015C" w:rsidP="004F162A">
            <w:pPr>
              <w:pStyle w:val="ListParagraph"/>
              <w:autoSpaceDE w:val="0"/>
              <w:autoSpaceDN w:val="0"/>
              <w:adjustRightInd w:val="0"/>
              <w:spacing w:before="100" w:beforeAutospacing="1" w:after="100" w:afterAutospacing="1" w:line="360" w:lineRule="auto"/>
              <w:ind w:left="1080"/>
              <w:rPr>
                <w:rFonts w:asciiTheme="majorHAnsi" w:eastAsiaTheme="minorHAnsi" w:hAnsiTheme="majorHAnsi" w:cstheme="majorHAnsi"/>
                <w:color w:val="000000"/>
                <w:sz w:val="20"/>
                <w:szCs w:val="20"/>
                <w:lang w:val="en-US"/>
              </w:rPr>
            </w:pPr>
          </w:p>
        </w:tc>
      </w:tr>
      <w:tr w:rsidR="00EF72E7" w:rsidRPr="00AA04A4" w14:paraId="434AB1C4" w14:textId="77777777" w:rsidTr="000615A1">
        <w:tc>
          <w:tcPr>
            <w:tcW w:w="3114" w:type="dxa"/>
          </w:tcPr>
          <w:p w14:paraId="0C88F4A7" w14:textId="1A61727F" w:rsidR="00EF72E7" w:rsidRPr="00EF72E7" w:rsidRDefault="00EF72E7" w:rsidP="00EF72E7">
            <w:pPr>
              <w:pStyle w:val="ListParagraph"/>
              <w:numPr>
                <w:ilvl w:val="0"/>
                <w:numId w:val="174"/>
              </w:numPr>
              <w:autoSpaceDE w:val="0"/>
              <w:autoSpaceDN w:val="0"/>
              <w:adjustRightInd w:val="0"/>
              <w:spacing w:before="100" w:beforeAutospacing="1" w:after="100" w:afterAutospacing="1" w:line="360" w:lineRule="auto"/>
              <w:rPr>
                <w:rFonts w:asciiTheme="majorHAnsi" w:eastAsiaTheme="minorHAnsi" w:hAnsiTheme="majorHAnsi" w:cstheme="majorHAnsi"/>
                <w:color w:val="000000" w:themeColor="text1"/>
                <w:sz w:val="20"/>
                <w:szCs w:val="20"/>
                <w:lang w:val="en-US"/>
              </w:rPr>
            </w:pPr>
            <w:r w:rsidRPr="00FF4CA3">
              <w:rPr>
                <w:rFonts w:asciiTheme="majorHAnsi" w:eastAsiaTheme="minorHAnsi" w:hAnsiTheme="majorHAnsi" w:cstheme="majorHAnsi"/>
                <w:color w:val="000000"/>
                <w:sz w:val="20"/>
                <w:szCs w:val="20"/>
                <w:lang w:val="en-US"/>
              </w:rPr>
              <w:t xml:space="preserve">In the last 6 years, what development/training programs have you completed (if any) have you completed that has/have </w:t>
            </w:r>
            <w:r w:rsidRPr="00FF4CA3">
              <w:rPr>
                <w:rFonts w:asciiTheme="majorHAnsi" w:eastAsiaTheme="minorHAnsi" w:hAnsiTheme="majorHAnsi" w:cstheme="majorHAnsi"/>
                <w:b/>
                <w:color w:val="000000"/>
                <w:sz w:val="20"/>
                <w:szCs w:val="20"/>
                <w:lang w:val="en-US"/>
              </w:rPr>
              <w:t>significantly influenced</w:t>
            </w:r>
            <w:r w:rsidRPr="00FF4CA3">
              <w:rPr>
                <w:rFonts w:asciiTheme="majorHAnsi" w:eastAsiaTheme="minorHAnsi" w:hAnsiTheme="majorHAnsi" w:cstheme="majorHAnsi"/>
                <w:color w:val="000000"/>
                <w:sz w:val="20"/>
                <w:szCs w:val="20"/>
                <w:lang w:val="en-US"/>
              </w:rPr>
              <w:t xml:space="preserve"> the quality of your teaching delivery (</w:t>
            </w:r>
            <w:r w:rsidRPr="00FF4CA3">
              <w:rPr>
                <w:rFonts w:asciiTheme="majorHAnsi" w:eastAsiaTheme="minorHAnsi" w:hAnsiTheme="majorHAnsi" w:cstheme="majorHAnsi"/>
                <w:i/>
                <w:color w:val="000000"/>
                <w:sz w:val="20"/>
                <w:szCs w:val="20"/>
                <w:lang w:val="en-US"/>
              </w:rPr>
              <w:t>note: if space is left blank, answered is considered as NONE)</w:t>
            </w:r>
            <w:r w:rsidRPr="00FF4CA3">
              <w:rPr>
                <w:rFonts w:asciiTheme="majorHAnsi" w:eastAsiaTheme="minorHAnsi" w:hAnsiTheme="majorHAnsi" w:cstheme="majorHAnsi"/>
                <w:color w:val="000000"/>
                <w:sz w:val="20"/>
                <w:szCs w:val="20"/>
                <w:lang w:val="en-US"/>
              </w:rPr>
              <w:t>:</w:t>
            </w:r>
          </w:p>
        </w:tc>
        <w:tc>
          <w:tcPr>
            <w:tcW w:w="3969" w:type="dxa"/>
            <w:tcBorders>
              <w:right w:val="nil"/>
            </w:tcBorders>
          </w:tcPr>
          <w:p w14:paraId="7D1E68A1" w14:textId="77777777" w:rsidR="00EF72E7" w:rsidRPr="00AA04A4" w:rsidRDefault="00EF72E7" w:rsidP="004F162A">
            <w:pPr>
              <w:autoSpaceDE w:val="0"/>
              <w:autoSpaceDN w:val="0"/>
              <w:adjustRightInd w:val="0"/>
              <w:spacing w:before="100" w:beforeAutospacing="1" w:after="100" w:afterAutospacing="1" w:line="360" w:lineRule="auto"/>
              <w:ind w:left="990"/>
              <w:rPr>
                <w:rFonts w:asciiTheme="majorHAnsi" w:eastAsiaTheme="minorHAnsi" w:hAnsiTheme="majorHAnsi" w:cstheme="majorHAnsi"/>
                <w:color w:val="000000"/>
                <w:sz w:val="20"/>
                <w:szCs w:val="20"/>
                <w:lang w:val="en-US"/>
              </w:rPr>
            </w:pPr>
          </w:p>
        </w:tc>
        <w:tc>
          <w:tcPr>
            <w:tcW w:w="3371" w:type="dxa"/>
            <w:tcBorders>
              <w:left w:val="nil"/>
            </w:tcBorders>
          </w:tcPr>
          <w:p w14:paraId="12A0F103" w14:textId="77777777" w:rsidR="00EF72E7" w:rsidRDefault="00EF72E7" w:rsidP="004F162A">
            <w:pPr>
              <w:pStyle w:val="ListParagraph"/>
              <w:autoSpaceDE w:val="0"/>
              <w:autoSpaceDN w:val="0"/>
              <w:adjustRightInd w:val="0"/>
              <w:spacing w:before="100" w:beforeAutospacing="1" w:after="100" w:afterAutospacing="1" w:line="360" w:lineRule="auto"/>
              <w:ind w:left="1080"/>
              <w:rPr>
                <w:rFonts w:asciiTheme="majorHAnsi" w:eastAsiaTheme="minorHAnsi" w:hAnsiTheme="majorHAnsi" w:cstheme="majorHAnsi"/>
                <w:color w:val="000000"/>
                <w:sz w:val="20"/>
                <w:szCs w:val="20"/>
                <w:lang w:val="en-US"/>
              </w:rPr>
            </w:pPr>
          </w:p>
        </w:tc>
      </w:tr>
      <w:tr w:rsidR="00540B90" w:rsidRPr="00AA04A4" w14:paraId="3BC17BF3" w14:textId="77777777" w:rsidTr="000615A1">
        <w:tc>
          <w:tcPr>
            <w:tcW w:w="3114" w:type="dxa"/>
          </w:tcPr>
          <w:p w14:paraId="7787B83D" w14:textId="0AF7C736" w:rsidR="00540B90" w:rsidRPr="00FF4CA3" w:rsidRDefault="00540B90" w:rsidP="00540B90">
            <w:pPr>
              <w:pStyle w:val="ListParagraph"/>
              <w:autoSpaceDE w:val="0"/>
              <w:autoSpaceDN w:val="0"/>
              <w:adjustRightInd w:val="0"/>
              <w:spacing w:before="100" w:beforeAutospacing="1" w:after="100" w:afterAutospacing="1" w:line="360" w:lineRule="auto"/>
              <w:ind w:left="360"/>
              <w:rPr>
                <w:rFonts w:asciiTheme="majorHAnsi" w:eastAsiaTheme="minorHAnsi" w:hAnsiTheme="majorHAnsi" w:cstheme="majorHAnsi"/>
                <w:color w:val="000000"/>
                <w:sz w:val="20"/>
                <w:szCs w:val="20"/>
                <w:lang w:val="en-US"/>
              </w:rPr>
            </w:pPr>
            <w:r>
              <w:rPr>
                <w:rFonts w:asciiTheme="majorHAnsi" w:eastAsiaTheme="minorHAnsi" w:hAnsiTheme="majorHAnsi" w:cstheme="majorHAnsi"/>
                <w:color w:val="000000"/>
                <w:sz w:val="20"/>
                <w:szCs w:val="20"/>
                <w:lang w:val="en-US"/>
              </w:rPr>
              <w:t>Approximate Year</w:t>
            </w:r>
          </w:p>
        </w:tc>
        <w:tc>
          <w:tcPr>
            <w:tcW w:w="3969" w:type="dxa"/>
            <w:tcBorders>
              <w:right w:val="nil"/>
            </w:tcBorders>
          </w:tcPr>
          <w:p w14:paraId="2CB3F612" w14:textId="44E46221" w:rsidR="00540B90" w:rsidRPr="00AA04A4" w:rsidRDefault="00540B90" w:rsidP="004F162A">
            <w:pPr>
              <w:autoSpaceDE w:val="0"/>
              <w:autoSpaceDN w:val="0"/>
              <w:adjustRightInd w:val="0"/>
              <w:spacing w:before="100" w:beforeAutospacing="1" w:after="100" w:afterAutospacing="1" w:line="360" w:lineRule="auto"/>
              <w:ind w:left="990"/>
              <w:rPr>
                <w:rFonts w:asciiTheme="majorHAnsi" w:eastAsiaTheme="minorHAnsi" w:hAnsiTheme="majorHAnsi" w:cstheme="majorHAnsi"/>
                <w:color w:val="000000"/>
                <w:sz w:val="20"/>
                <w:szCs w:val="20"/>
                <w:lang w:val="en-US"/>
              </w:rPr>
            </w:pPr>
            <w:r>
              <w:rPr>
                <w:rFonts w:asciiTheme="majorHAnsi" w:eastAsiaTheme="minorHAnsi" w:hAnsiTheme="majorHAnsi" w:cstheme="majorHAnsi"/>
                <w:color w:val="000000"/>
                <w:sz w:val="20"/>
                <w:szCs w:val="20"/>
                <w:lang w:val="en-US"/>
              </w:rPr>
              <w:t>Program/Course Title</w:t>
            </w:r>
          </w:p>
        </w:tc>
        <w:tc>
          <w:tcPr>
            <w:tcW w:w="3371" w:type="dxa"/>
            <w:tcBorders>
              <w:left w:val="nil"/>
            </w:tcBorders>
          </w:tcPr>
          <w:p w14:paraId="0EF3D866" w14:textId="77777777" w:rsidR="00540B90" w:rsidRDefault="00540B90" w:rsidP="004F162A">
            <w:pPr>
              <w:pStyle w:val="ListParagraph"/>
              <w:autoSpaceDE w:val="0"/>
              <w:autoSpaceDN w:val="0"/>
              <w:adjustRightInd w:val="0"/>
              <w:spacing w:before="100" w:beforeAutospacing="1" w:after="100" w:afterAutospacing="1" w:line="360" w:lineRule="auto"/>
              <w:ind w:left="1080"/>
              <w:rPr>
                <w:rFonts w:asciiTheme="majorHAnsi" w:eastAsiaTheme="minorHAnsi" w:hAnsiTheme="majorHAnsi" w:cstheme="majorHAnsi"/>
                <w:color w:val="000000"/>
                <w:sz w:val="20"/>
                <w:szCs w:val="20"/>
                <w:lang w:val="en-US"/>
              </w:rPr>
            </w:pPr>
          </w:p>
        </w:tc>
      </w:tr>
      <w:tr w:rsidR="00263939" w:rsidRPr="00AA04A4" w14:paraId="25C40AF1" w14:textId="77777777" w:rsidTr="000615A1">
        <w:tc>
          <w:tcPr>
            <w:tcW w:w="3114" w:type="dxa"/>
          </w:tcPr>
          <w:p w14:paraId="5AADE5A4" w14:textId="790CB4B5" w:rsidR="00263939" w:rsidRDefault="00263939" w:rsidP="00540B90">
            <w:pPr>
              <w:pStyle w:val="ListParagraph"/>
              <w:autoSpaceDE w:val="0"/>
              <w:autoSpaceDN w:val="0"/>
              <w:adjustRightInd w:val="0"/>
              <w:spacing w:before="100" w:beforeAutospacing="1" w:after="100" w:afterAutospacing="1" w:line="360" w:lineRule="auto"/>
              <w:ind w:left="360"/>
              <w:rPr>
                <w:rFonts w:asciiTheme="majorHAnsi" w:eastAsiaTheme="minorHAnsi" w:hAnsiTheme="majorHAnsi" w:cstheme="majorHAnsi"/>
                <w:color w:val="000000"/>
                <w:sz w:val="20"/>
                <w:szCs w:val="20"/>
                <w:lang w:val="en-US"/>
              </w:rPr>
            </w:pPr>
            <w:r>
              <w:rPr>
                <w:rFonts w:asciiTheme="majorHAnsi" w:eastAsiaTheme="minorHAnsi" w:hAnsiTheme="majorHAnsi" w:cstheme="majorHAnsi"/>
                <w:color w:val="000000"/>
                <w:sz w:val="20"/>
                <w:szCs w:val="20"/>
                <w:lang w:val="en-US"/>
              </w:rPr>
              <w:t>5.1</w:t>
            </w:r>
          </w:p>
        </w:tc>
        <w:tc>
          <w:tcPr>
            <w:tcW w:w="3969" w:type="dxa"/>
            <w:tcBorders>
              <w:right w:val="nil"/>
            </w:tcBorders>
          </w:tcPr>
          <w:p w14:paraId="5C4FAA08" w14:textId="77777777" w:rsidR="00263939" w:rsidRDefault="00263939" w:rsidP="004F162A">
            <w:pPr>
              <w:autoSpaceDE w:val="0"/>
              <w:autoSpaceDN w:val="0"/>
              <w:adjustRightInd w:val="0"/>
              <w:spacing w:before="100" w:beforeAutospacing="1" w:after="100" w:afterAutospacing="1" w:line="360" w:lineRule="auto"/>
              <w:ind w:left="990"/>
              <w:rPr>
                <w:rFonts w:asciiTheme="majorHAnsi" w:eastAsiaTheme="minorHAnsi" w:hAnsiTheme="majorHAnsi" w:cstheme="majorHAnsi"/>
                <w:color w:val="000000"/>
                <w:sz w:val="20"/>
                <w:szCs w:val="20"/>
                <w:lang w:val="en-US"/>
              </w:rPr>
            </w:pPr>
          </w:p>
        </w:tc>
        <w:tc>
          <w:tcPr>
            <w:tcW w:w="3371" w:type="dxa"/>
            <w:tcBorders>
              <w:left w:val="nil"/>
            </w:tcBorders>
          </w:tcPr>
          <w:p w14:paraId="773ACC7F" w14:textId="77777777" w:rsidR="00263939" w:rsidRDefault="00263939" w:rsidP="004F162A">
            <w:pPr>
              <w:pStyle w:val="ListParagraph"/>
              <w:autoSpaceDE w:val="0"/>
              <w:autoSpaceDN w:val="0"/>
              <w:adjustRightInd w:val="0"/>
              <w:spacing w:before="100" w:beforeAutospacing="1" w:after="100" w:afterAutospacing="1" w:line="360" w:lineRule="auto"/>
              <w:ind w:left="1080"/>
              <w:rPr>
                <w:rFonts w:asciiTheme="majorHAnsi" w:eastAsiaTheme="minorHAnsi" w:hAnsiTheme="majorHAnsi" w:cstheme="majorHAnsi"/>
                <w:color w:val="000000"/>
                <w:sz w:val="20"/>
                <w:szCs w:val="20"/>
                <w:lang w:val="en-US"/>
              </w:rPr>
            </w:pPr>
          </w:p>
        </w:tc>
      </w:tr>
      <w:tr w:rsidR="00263939" w:rsidRPr="00AA04A4" w14:paraId="56793829" w14:textId="77777777" w:rsidTr="000615A1">
        <w:tc>
          <w:tcPr>
            <w:tcW w:w="3114" w:type="dxa"/>
          </w:tcPr>
          <w:p w14:paraId="380CFF2B" w14:textId="78D83099" w:rsidR="00263939" w:rsidRDefault="00263939" w:rsidP="00540B90">
            <w:pPr>
              <w:pStyle w:val="ListParagraph"/>
              <w:autoSpaceDE w:val="0"/>
              <w:autoSpaceDN w:val="0"/>
              <w:adjustRightInd w:val="0"/>
              <w:spacing w:before="100" w:beforeAutospacing="1" w:after="100" w:afterAutospacing="1" w:line="360" w:lineRule="auto"/>
              <w:ind w:left="360"/>
              <w:rPr>
                <w:rFonts w:asciiTheme="majorHAnsi" w:eastAsiaTheme="minorHAnsi" w:hAnsiTheme="majorHAnsi" w:cstheme="majorHAnsi"/>
                <w:color w:val="000000"/>
                <w:sz w:val="20"/>
                <w:szCs w:val="20"/>
                <w:lang w:val="en-US"/>
              </w:rPr>
            </w:pPr>
            <w:r>
              <w:rPr>
                <w:rFonts w:asciiTheme="majorHAnsi" w:eastAsiaTheme="minorHAnsi" w:hAnsiTheme="majorHAnsi" w:cstheme="majorHAnsi"/>
                <w:color w:val="000000"/>
                <w:sz w:val="20"/>
                <w:szCs w:val="20"/>
                <w:lang w:val="en-US"/>
              </w:rPr>
              <w:t>5.2</w:t>
            </w:r>
          </w:p>
        </w:tc>
        <w:tc>
          <w:tcPr>
            <w:tcW w:w="3969" w:type="dxa"/>
            <w:tcBorders>
              <w:right w:val="nil"/>
            </w:tcBorders>
          </w:tcPr>
          <w:p w14:paraId="65A5E88A" w14:textId="77777777" w:rsidR="00263939" w:rsidRDefault="00263939" w:rsidP="004F162A">
            <w:pPr>
              <w:autoSpaceDE w:val="0"/>
              <w:autoSpaceDN w:val="0"/>
              <w:adjustRightInd w:val="0"/>
              <w:spacing w:before="100" w:beforeAutospacing="1" w:after="100" w:afterAutospacing="1" w:line="360" w:lineRule="auto"/>
              <w:ind w:left="990"/>
              <w:rPr>
                <w:rFonts w:asciiTheme="majorHAnsi" w:eastAsiaTheme="minorHAnsi" w:hAnsiTheme="majorHAnsi" w:cstheme="majorHAnsi"/>
                <w:color w:val="000000"/>
                <w:sz w:val="20"/>
                <w:szCs w:val="20"/>
                <w:lang w:val="en-US"/>
              </w:rPr>
            </w:pPr>
          </w:p>
        </w:tc>
        <w:tc>
          <w:tcPr>
            <w:tcW w:w="3371" w:type="dxa"/>
            <w:tcBorders>
              <w:left w:val="nil"/>
            </w:tcBorders>
          </w:tcPr>
          <w:p w14:paraId="28D6E0C2" w14:textId="77777777" w:rsidR="00263939" w:rsidRDefault="00263939" w:rsidP="004F162A">
            <w:pPr>
              <w:pStyle w:val="ListParagraph"/>
              <w:autoSpaceDE w:val="0"/>
              <w:autoSpaceDN w:val="0"/>
              <w:adjustRightInd w:val="0"/>
              <w:spacing w:before="100" w:beforeAutospacing="1" w:after="100" w:afterAutospacing="1" w:line="360" w:lineRule="auto"/>
              <w:ind w:left="1080"/>
              <w:rPr>
                <w:rFonts w:asciiTheme="majorHAnsi" w:eastAsiaTheme="minorHAnsi" w:hAnsiTheme="majorHAnsi" w:cstheme="majorHAnsi"/>
                <w:color w:val="000000"/>
                <w:sz w:val="20"/>
                <w:szCs w:val="20"/>
                <w:lang w:val="en-US"/>
              </w:rPr>
            </w:pPr>
          </w:p>
        </w:tc>
      </w:tr>
      <w:tr w:rsidR="00263939" w:rsidRPr="00AA04A4" w14:paraId="70CD6EC6" w14:textId="77777777" w:rsidTr="000615A1">
        <w:tc>
          <w:tcPr>
            <w:tcW w:w="3114" w:type="dxa"/>
          </w:tcPr>
          <w:p w14:paraId="67361658" w14:textId="4F2234FC" w:rsidR="00263939" w:rsidRDefault="00263939" w:rsidP="00540B90">
            <w:pPr>
              <w:pStyle w:val="ListParagraph"/>
              <w:autoSpaceDE w:val="0"/>
              <w:autoSpaceDN w:val="0"/>
              <w:adjustRightInd w:val="0"/>
              <w:spacing w:before="100" w:beforeAutospacing="1" w:after="100" w:afterAutospacing="1" w:line="360" w:lineRule="auto"/>
              <w:ind w:left="360"/>
              <w:rPr>
                <w:rFonts w:asciiTheme="majorHAnsi" w:eastAsiaTheme="minorHAnsi" w:hAnsiTheme="majorHAnsi" w:cstheme="majorHAnsi"/>
                <w:color w:val="000000"/>
                <w:sz w:val="20"/>
                <w:szCs w:val="20"/>
                <w:lang w:val="en-US"/>
              </w:rPr>
            </w:pPr>
            <w:r>
              <w:rPr>
                <w:rFonts w:asciiTheme="majorHAnsi" w:eastAsiaTheme="minorHAnsi" w:hAnsiTheme="majorHAnsi" w:cstheme="majorHAnsi"/>
                <w:color w:val="000000"/>
                <w:sz w:val="20"/>
                <w:szCs w:val="20"/>
                <w:lang w:val="en-US"/>
              </w:rPr>
              <w:t>5.3</w:t>
            </w:r>
          </w:p>
        </w:tc>
        <w:tc>
          <w:tcPr>
            <w:tcW w:w="3969" w:type="dxa"/>
            <w:tcBorders>
              <w:right w:val="nil"/>
            </w:tcBorders>
          </w:tcPr>
          <w:p w14:paraId="2104099C" w14:textId="77777777" w:rsidR="00263939" w:rsidRDefault="00263939" w:rsidP="004F162A">
            <w:pPr>
              <w:autoSpaceDE w:val="0"/>
              <w:autoSpaceDN w:val="0"/>
              <w:adjustRightInd w:val="0"/>
              <w:spacing w:before="100" w:beforeAutospacing="1" w:after="100" w:afterAutospacing="1" w:line="360" w:lineRule="auto"/>
              <w:ind w:left="990"/>
              <w:rPr>
                <w:rFonts w:asciiTheme="majorHAnsi" w:eastAsiaTheme="minorHAnsi" w:hAnsiTheme="majorHAnsi" w:cstheme="majorHAnsi"/>
                <w:color w:val="000000"/>
                <w:sz w:val="20"/>
                <w:szCs w:val="20"/>
                <w:lang w:val="en-US"/>
              </w:rPr>
            </w:pPr>
          </w:p>
        </w:tc>
        <w:tc>
          <w:tcPr>
            <w:tcW w:w="3371" w:type="dxa"/>
            <w:tcBorders>
              <w:left w:val="nil"/>
            </w:tcBorders>
          </w:tcPr>
          <w:p w14:paraId="32F15EC5" w14:textId="77777777" w:rsidR="00263939" w:rsidRDefault="00263939" w:rsidP="004F162A">
            <w:pPr>
              <w:pStyle w:val="ListParagraph"/>
              <w:autoSpaceDE w:val="0"/>
              <w:autoSpaceDN w:val="0"/>
              <w:adjustRightInd w:val="0"/>
              <w:spacing w:before="100" w:beforeAutospacing="1" w:after="100" w:afterAutospacing="1" w:line="360" w:lineRule="auto"/>
              <w:ind w:left="1080"/>
              <w:rPr>
                <w:rFonts w:asciiTheme="majorHAnsi" w:eastAsiaTheme="minorHAnsi" w:hAnsiTheme="majorHAnsi" w:cstheme="majorHAnsi"/>
                <w:color w:val="000000"/>
                <w:sz w:val="20"/>
                <w:szCs w:val="20"/>
                <w:lang w:val="en-US"/>
              </w:rPr>
            </w:pPr>
          </w:p>
        </w:tc>
      </w:tr>
    </w:tbl>
    <w:p w14:paraId="081AB7BF" w14:textId="77777777" w:rsidR="008D0CAD" w:rsidRPr="00AA04A4" w:rsidRDefault="008D0CAD" w:rsidP="00DD08E3">
      <w:pPr>
        <w:autoSpaceDE w:val="0"/>
        <w:autoSpaceDN w:val="0"/>
        <w:adjustRightInd w:val="0"/>
        <w:spacing w:before="100" w:beforeAutospacing="1" w:after="100" w:afterAutospacing="1" w:line="360" w:lineRule="auto"/>
        <w:rPr>
          <w:rFonts w:asciiTheme="majorHAnsi" w:eastAsiaTheme="minorHAnsi" w:hAnsiTheme="majorHAnsi" w:cstheme="majorHAnsi"/>
          <w:b/>
          <w:color w:val="000000"/>
          <w:sz w:val="22"/>
          <w:szCs w:val="22"/>
          <w:lang w:val="en-US"/>
        </w:rPr>
      </w:pPr>
      <w:r w:rsidRPr="00AA04A4">
        <w:rPr>
          <w:rFonts w:asciiTheme="majorHAnsi" w:eastAsiaTheme="minorHAnsi" w:hAnsiTheme="majorHAnsi" w:cstheme="majorHAnsi"/>
          <w:b/>
          <w:color w:val="000000"/>
          <w:sz w:val="22"/>
          <w:szCs w:val="22"/>
          <w:lang w:val="en-US"/>
        </w:rPr>
        <w:t>Thank you very much for your cooperation.</w:t>
      </w:r>
    </w:p>
    <w:p w14:paraId="7CEEBF1D" w14:textId="77777777" w:rsidR="008D0CAD" w:rsidRDefault="008D0CAD" w:rsidP="002320B3">
      <w:pPr>
        <w:rPr>
          <w:rFonts w:asciiTheme="majorHAnsi" w:hAnsiTheme="majorHAnsi" w:cstheme="majorHAnsi"/>
        </w:rPr>
        <w:sectPr w:rsidR="008D0CAD" w:rsidSect="009C64E9">
          <w:pgSz w:w="11900" w:h="16840"/>
          <w:pgMar w:top="720" w:right="720" w:bottom="720" w:left="720" w:header="720" w:footer="720" w:gutter="0"/>
          <w:cols w:space="720"/>
          <w:docGrid w:linePitch="360"/>
        </w:sectPr>
      </w:pPr>
    </w:p>
    <w:p w14:paraId="6E26BF2F" w14:textId="77777777" w:rsidR="008D0CAD" w:rsidRPr="00AA04A4" w:rsidRDefault="008D0CAD" w:rsidP="00DD08E3">
      <w:pPr>
        <w:pStyle w:val="Heading2"/>
        <w:numPr>
          <w:ilvl w:val="0"/>
          <w:numId w:val="0"/>
        </w:numPr>
        <w:spacing w:before="100" w:beforeAutospacing="1" w:after="100" w:afterAutospacing="1" w:line="360" w:lineRule="auto"/>
        <w:ind w:left="1288" w:hanging="720"/>
      </w:pPr>
      <w:bookmarkStart w:id="318" w:name="_Toc39938394"/>
      <w:bookmarkStart w:id="319" w:name="_Toc69820498"/>
      <w:r w:rsidRPr="00AA04A4">
        <w:t>Annex R. Challenges in obtaining school-level data</w:t>
      </w:r>
      <w:bookmarkEnd w:id="318"/>
      <w:bookmarkEnd w:id="319"/>
    </w:p>
    <w:p w14:paraId="01F4FC9D" w14:textId="77777777" w:rsidR="008D0CAD" w:rsidRPr="00AA04A4" w:rsidRDefault="008D0CAD" w:rsidP="00DD08E3">
      <w:pPr>
        <w:spacing w:before="100" w:beforeAutospacing="1" w:after="100" w:afterAutospacing="1" w:line="360" w:lineRule="auto"/>
        <w:rPr>
          <w:rFonts w:asciiTheme="majorHAnsi" w:hAnsiTheme="majorHAnsi" w:cstheme="majorHAnsi"/>
          <w:color w:val="000000" w:themeColor="text1"/>
          <w:sz w:val="20"/>
          <w:szCs w:val="20"/>
          <w:lang w:val="en-US"/>
        </w:rPr>
      </w:pPr>
      <w:r w:rsidRPr="00AA04A4">
        <w:rPr>
          <w:rFonts w:asciiTheme="majorHAnsi" w:hAnsiTheme="majorHAnsi" w:cstheme="majorHAnsi"/>
          <w:color w:val="000000" w:themeColor="text1"/>
          <w:sz w:val="20"/>
          <w:szCs w:val="20"/>
          <w:lang w:val="en-US"/>
        </w:rPr>
        <w:t>At the very beginning of the BEST End-of-Program Evaluation (</w:t>
      </w:r>
      <w:r w:rsidRPr="00AA04A4">
        <w:rPr>
          <w:rFonts w:asciiTheme="majorHAnsi" w:hAnsiTheme="majorHAnsi" w:cstheme="majorHAnsi"/>
          <w:sz w:val="20"/>
          <w:szCs w:val="20"/>
          <w:lang w:val="en-US"/>
        </w:rPr>
        <w:t xml:space="preserve">EOPE) </w:t>
      </w:r>
      <w:r w:rsidRPr="00AA04A4">
        <w:rPr>
          <w:rFonts w:asciiTheme="majorHAnsi" w:hAnsiTheme="majorHAnsi" w:cstheme="majorHAnsi"/>
          <w:color w:val="000000" w:themeColor="text1"/>
          <w:sz w:val="20"/>
          <w:szCs w:val="20"/>
          <w:lang w:val="en-US"/>
        </w:rPr>
        <w:t>Study, various constraints were already identified by the EOPE Study Team such as the fact that it was too soon to assess learning outcomes and the timing of data gathering activities. These concerns were communicated to the BEST Program Team and options were suggested. However, the Study Team was given the approval to proceed and do exert best efforts. These are discussed in the succeeding paragraphs.</w:t>
      </w:r>
    </w:p>
    <w:p w14:paraId="2E8BD3ED" w14:textId="06AF6D8F" w:rsidR="008D0CAD" w:rsidRPr="00AA04A4" w:rsidRDefault="008D0CAD" w:rsidP="00DD08E3">
      <w:pPr>
        <w:numPr>
          <w:ilvl w:val="0"/>
          <w:numId w:val="55"/>
        </w:numPr>
        <w:spacing w:before="100" w:beforeAutospacing="1" w:after="100" w:afterAutospacing="1" w:line="360" w:lineRule="auto"/>
        <w:rPr>
          <w:rFonts w:asciiTheme="majorHAnsi" w:hAnsiTheme="majorHAnsi" w:cstheme="majorHAnsi"/>
          <w:color w:val="000000" w:themeColor="text1"/>
          <w:sz w:val="20"/>
          <w:szCs w:val="20"/>
          <w:lang w:val="en-US"/>
        </w:rPr>
      </w:pPr>
      <w:r w:rsidRPr="00AA04A4">
        <w:rPr>
          <w:rFonts w:asciiTheme="majorHAnsi" w:hAnsiTheme="majorHAnsi" w:cstheme="majorHAnsi"/>
          <w:b/>
          <w:color w:val="000000" w:themeColor="text1"/>
          <w:sz w:val="20"/>
          <w:szCs w:val="20"/>
          <w:lang w:val="en-US"/>
        </w:rPr>
        <w:t>Manifestations of learning outcomes</w:t>
      </w:r>
      <w:r w:rsidRPr="00AA04A4">
        <w:rPr>
          <w:rFonts w:asciiTheme="majorHAnsi" w:hAnsiTheme="majorHAnsi" w:cstheme="majorHAnsi"/>
          <w:color w:val="000000" w:themeColor="text1"/>
          <w:sz w:val="20"/>
          <w:szCs w:val="20"/>
          <w:lang w:val="en-US"/>
        </w:rPr>
        <w:t>. The EOPE Study Team had raised the issue that it was too early for program outcomes to manifest considering that several program activities were still ongoing and the downloading of the interventions to the schools only peaked in 2018. The Team also raised the issue of data required in a statistical analysis using the regression model. The Team proposed several alternatives with the BEST Program Team. However, in the end, it was agreed that the EOPE Study Team will proceed and do its best to collect school-level data particularly on the individual average grades of students under the four subjects in order to answer the two research questions.</w:t>
      </w:r>
      <w:r w:rsidR="00D434EB">
        <w:rPr>
          <w:rFonts w:asciiTheme="majorHAnsi" w:hAnsiTheme="majorHAnsi" w:cstheme="majorHAnsi"/>
          <w:color w:val="000000" w:themeColor="text1"/>
          <w:sz w:val="20"/>
          <w:szCs w:val="20"/>
          <w:lang w:val="en-US"/>
        </w:rPr>
        <w:t xml:space="preserve"> </w:t>
      </w:r>
    </w:p>
    <w:p w14:paraId="454DEA1D" w14:textId="1B404B8E" w:rsidR="008D0CAD" w:rsidRPr="00AA04A4" w:rsidRDefault="008D0CAD" w:rsidP="00DD08E3">
      <w:pPr>
        <w:spacing w:before="100" w:beforeAutospacing="1" w:after="100" w:afterAutospacing="1" w:line="360" w:lineRule="auto"/>
        <w:ind w:left="360"/>
        <w:rPr>
          <w:rFonts w:asciiTheme="majorHAnsi" w:hAnsiTheme="majorHAnsi" w:cstheme="majorHAnsi"/>
          <w:sz w:val="20"/>
          <w:szCs w:val="20"/>
          <w:lang w:val="en-US"/>
        </w:rPr>
      </w:pPr>
      <w:r w:rsidRPr="00AA04A4">
        <w:rPr>
          <w:rFonts w:asciiTheme="majorHAnsi" w:hAnsiTheme="majorHAnsi" w:cstheme="majorHAnsi"/>
          <w:color w:val="000000" w:themeColor="text1"/>
          <w:sz w:val="20"/>
          <w:szCs w:val="20"/>
          <w:lang w:val="en-US"/>
        </w:rPr>
        <w:t xml:space="preserve">In anticipation of the challenges, the EOPE Study Team </w:t>
      </w:r>
      <w:r w:rsidRPr="00AA04A4">
        <w:rPr>
          <w:rFonts w:asciiTheme="majorHAnsi" w:hAnsiTheme="majorHAnsi" w:cstheme="majorHAnsi"/>
          <w:sz w:val="20"/>
          <w:szCs w:val="20"/>
          <w:lang w:val="en-US"/>
        </w:rPr>
        <w:t>organised one Regional Study Team for each region to allow simultaneous conduction of field data gathering.</w:t>
      </w:r>
      <w:r w:rsidR="00D434EB">
        <w:rPr>
          <w:rFonts w:asciiTheme="majorHAnsi" w:hAnsiTheme="majorHAnsi" w:cstheme="majorHAnsi"/>
          <w:sz w:val="20"/>
          <w:szCs w:val="20"/>
          <w:lang w:val="en-US"/>
        </w:rPr>
        <w:t xml:space="preserve"> </w:t>
      </w:r>
      <w:r w:rsidRPr="00AA04A4">
        <w:rPr>
          <w:rFonts w:asciiTheme="majorHAnsi" w:hAnsiTheme="majorHAnsi" w:cstheme="majorHAnsi"/>
          <w:sz w:val="20"/>
          <w:szCs w:val="20"/>
          <w:lang w:val="en-US"/>
        </w:rPr>
        <w:t>Each Regional Team collected school-level secondary data, conducted KIIs (with Regional Directors, Assistant Regional Directors and Superintendents), facilitated FGDs with RO and DO officers and specialists and conducted FGDs with principals and teachers from direct recipient and indirect recipient schools.</w:t>
      </w:r>
      <w:r w:rsidR="00D434EB">
        <w:rPr>
          <w:rFonts w:asciiTheme="majorHAnsi" w:hAnsiTheme="majorHAnsi" w:cstheme="majorHAnsi"/>
          <w:sz w:val="20"/>
          <w:szCs w:val="20"/>
          <w:lang w:val="en-US"/>
        </w:rPr>
        <w:t xml:space="preserve"> </w:t>
      </w:r>
    </w:p>
    <w:p w14:paraId="05C600C1" w14:textId="04EDB7B9" w:rsidR="008D0CAD" w:rsidRPr="0013772C" w:rsidRDefault="008D0CAD" w:rsidP="0013772C">
      <w:pPr>
        <w:numPr>
          <w:ilvl w:val="0"/>
          <w:numId w:val="55"/>
        </w:numPr>
        <w:spacing w:before="100" w:beforeAutospacing="1" w:after="100" w:afterAutospacing="1" w:line="360" w:lineRule="auto"/>
        <w:rPr>
          <w:rFonts w:asciiTheme="majorHAnsi" w:hAnsiTheme="majorHAnsi" w:cstheme="majorHAnsi"/>
          <w:b/>
          <w:color w:val="000000" w:themeColor="text1"/>
          <w:sz w:val="20"/>
          <w:szCs w:val="20"/>
          <w:lang w:val="en-US"/>
        </w:rPr>
      </w:pPr>
      <w:r w:rsidRPr="00AA04A4">
        <w:rPr>
          <w:rFonts w:asciiTheme="majorHAnsi" w:hAnsiTheme="majorHAnsi" w:cstheme="majorHAnsi"/>
          <w:color w:val="000000" w:themeColor="text1"/>
          <w:sz w:val="20"/>
          <w:szCs w:val="20"/>
          <w:lang w:val="en-US"/>
        </w:rPr>
        <w:t>Also, the EOPE Study Team had to spend additional time in visiting each of the schools to follow up the data required. However, at that time (EO March to mid-April), the schools were still preoccupied with many other school year end concerns making their participation even more challenging.</w:t>
      </w:r>
      <w:r w:rsidRPr="0013772C">
        <w:rPr>
          <w:rFonts w:asciiTheme="majorHAnsi" w:hAnsiTheme="majorHAnsi" w:cstheme="majorHAnsi"/>
          <w:b/>
          <w:color w:val="000000" w:themeColor="text1"/>
          <w:sz w:val="20"/>
          <w:szCs w:val="20"/>
          <w:lang w:val="en-US"/>
        </w:rPr>
        <w:t xml:space="preserve">Timing of data gathering activities. </w:t>
      </w:r>
      <w:r w:rsidRPr="0013772C">
        <w:rPr>
          <w:rFonts w:asciiTheme="majorHAnsi" w:hAnsiTheme="majorHAnsi" w:cstheme="majorHAnsi"/>
          <w:bCs/>
          <w:color w:val="000000" w:themeColor="text1"/>
          <w:sz w:val="20"/>
          <w:szCs w:val="20"/>
          <w:lang w:val="en-US"/>
        </w:rPr>
        <w:t>A serious challenge to the conduct of the Study, which was expected at the start, was the timing of the field data collection.</w:t>
      </w:r>
      <w:r w:rsidR="00D434EB" w:rsidRPr="0013772C">
        <w:rPr>
          <w:rFonts w:asciiTheme="majorHAnsi" w:hAnsiTheme="majorHAnsi" w:cstheme="majorHAnsi"/>
          <w:bCs/>
          <w:color w:val="000000" w:themeColor="text1"/>
          <w:sz w:val="20"/>
          <w:szCs w:val="20"/>
          <w:lang w:val="en-US"/>
        </w:rPr>
        <w:t xml:space="preserve"> </w:t>
      </w:r>
      <w:r w:rsidRPr="0013772C">
        <w:rPr>
          <w:rFonts w:asciiTheme="majorHAnsi" w:hAnsiTheme="majorHAnsi" w:cstheme="majorHAnsi"/>
          <w:bCs/>
          <w:color w:val="000000" w:themeColor="text1"/>
          <w:sz w:val="20"/>
          <w:szCs w:val="20"/>
          <w:lang w:val="en-US"/>
        </w:rPr>
        <w:t>Field data gathering only commenced in March 25 and ended on May 10, 2019 (except for the interviews with the past and current BEST Executive Program Sponsors and follow up interviews with key Operating Units at the Central Office).</w:t>
      </w:r>
      <w:r w:rsidR="00D434EB" w:rsidRPr="0013772C">
        <w:rPr>
          <w:rFonts w:asciiTheme="majorHAnsi" w:hAnsiTheme="majorHAnsi" w:cstheme="majorHAnsi"/>
          <w:b/>
          <w:color w:val="000000" w:themeColor="text1"/>
          <w:sz w:val="20"/>
          <w:szCs w:val="20"/>
          <w:lang w:val="en-US"/>
        </w:rPr>
        <w:t xml:space="preserve"> </w:t>
      </w:r>
    </w:p>
    <w:p w14:paraId="1817A822" w14:textId="0E468B34" w:rsidR="008D0CAD" w:rsidRPr="00AA04A4" w:rsidRDefault="008D0CAD" w:rsidP="00DD08E3">
      <w:pPr>
        <w:spacing w:before="100" w:beforeAutospacing="1" w:after="100" w:afterAutospacing="1" w:line="360" w:lineRule="auto"/>
        <w:ind w:left="360"/>
        <w:rPr>
          <w:rFonts w:asciiTheme="majorHAnsi" w:hAnsiTheme="majorHAnsi" w:cstheme="majorHAnsi"/>
          <w:sz w:val="20"/>
          <w:szCs w:val="20"/>
          <w:lang w:val="en-US"/>
        </w:rPr>
      </w:pPr>
      <w:r w:rsidRPr="00AA04A4">
        <w:rPr>
          <w:rFonts w:asciiTheme="majorHAnsi" w:hAnsiTheme="majorHAnsi" w:cstheme="majorHAnsi"/>
          <w:sz w:val="20"/>
          <w:szCs w:val="20"/>
          <w:lang w:val="en-US"/>
        </w:rPr>
        <w:t>The seven-week of data gathering was however interrupted by several factors such as the year-end activities of the school and the Holy Week (Chart 1).</w:t>
      </w:r>
      <w:r w:rsidR="00D434EB">
        <w:rPr>
          <w:rFonts w:asciiTheme="majorHAnsi" w:hAnsiTheme="majorHAnsi" w:cstheme="majorHAnsi"/>
          <w:sz w:val="20"/>
          <w:szCs w:val="20"/>
          <w:lang w:val="en-US"/>
        </w:rPr>
        <w:t xml:space="preserve"> </w:t>
      </w:r>
      <w:r w:rsidRPr="00AA04A4">
        <w:rPr>
          <w:rFonts w:asciiTheme="majorHAnsi" w:hAnsiTheme="majorHAnsi" w:cstheme="majorHAnsi"/>
          <w:sz w:val="20"/>
          <w:szCs w:val="20"/>
          <w:lang w:val="en-US"/>
        </w:rPr>
        <w:t>First, the field research coincided with many school activities that preoccupied the principals and teachers from direct and indirect recipient schools. For example, the start of the field data gathering commenced at the time of the fourth grading tests for the Grade 6 students and well as preparations for graduation and moving up ceremonies of all schools.</w:t>
      </w:r>
      <w:r w:rsidR="00D434EB">
        <w:rPr>
          <w:rFonts w:asciiTheme="majorHAnsi" w:hAnsiTheme="majorHAnsi" w:cstheme="majorHAnsi"/>
          <w:sz w:val="20"/>
          <w:szCs w:val="20"/>
          <w:lang w:val="en-US"/>
        </w:rPr>
        <w:t xml:space="preserve"> </w:t>
      </w:r>
      <w:r w:rsidRPr="00AA04A4">
        <w:rPr>
          <w:rFonts w:asciiTheme="majorHAnsi" w:hAnsiTheme="majorHAnsi" w:cstheme="majorHAnsi"/>
          <w:sz w:val="20"/>
          <w:szCs w:val="20"/>
          <w:lang w:val="en-US"/>
        </w:rPr>
        <w:t>After the graduations/ceremonies, schools became preoccupied with the preparation of year-end reports.</w:t>
      </w:r>
      <w:r w:rsidR="00D434EB">
        <w:rPr>
          <w:rFonts w:asciiTheme="majorHAnsi" w:hAnsiTheme="majorHAnsi" w:cstheme="majorHAnsi"/>
          <w:sz w:val="20"/>
          <w:szCs w:val="20"/>
          <w:lang w:val="en-US"/>
        </w:rPr>
        <w:t xml:space="preserve"> </w:t>
      </w:r>
    </w:p>
    <w:p w14:paraId="5E99E6C8" w14:textId="7B934D32" w:rsidR="008D0CAD" w:rsidRPr="00AA04A4" w:rsidRDefault="008D0CAD" w:rsidP="00DD08E3">
      <w:pPr>
        <w:spacing w:before="100" w:beforeAutospacing="1" w:after="100" w:afterAutospacing="1" w:line="360" w:lineRule="auto"/>
        <w:ind w:left="360"/>
        <w:rPr>
          <w:rFonts w:asciiTheme="majorHAnsi" w:hAnsiTheme="majorHAnsi" w:cstheme="majorHAnsi"/>
          <w:sz w:val="20"/>
          <w:szCs w:val="20"/>
          <w:lang w:val="en-US"/>
        </w:rPr>
      </w:pPr>
      <w:r w:rsidRPr="00AA04A4">
        <w:rPr>
          <w:rFonts w:asciiTheme="majorHAnsi" w:hAnsiTheme="majorHAnsi" w:cstheme="majorHAnsi"/>
          <w:sz w:val="20"/>
          <w:szCs w:val="20"/>
          <w:lang w:val="en-US"/>
        </w:rPr>
        <w:t xml:space="preserve">Second, schools in Eastern Samar (Region VII) were occupied with the </w:t>
      </w:r>
      <w:r w:rsidRPr="00AA04A4">
        <w:rPr>
          <w:rFonts w:asciiTheme="majorHAnsi" w:hAnsiTheme="majorHAnsi" w:cstheme="majorHAnsi"/>
          <w:color w:val="000000"/>
          <w:sz w:val="20"/>
          <w:szCs w:val="20"/>
          <w:lang w:val="en-US"/>
        </w:rPr>
        <w:t>Eastern Visayas Regional Athletic Association (EVRAA) and thus the schools requested to participate only after the Holy Week, which was generally a no work week. Afterwards, the FGDs in Eastern Samar coincided with the 6.5 earthquake, which caused one of the FGDs to be cut short.</w:t>
      </w:r>
      <w:r w:rsidR="00D434EB">
        <w:rPr>
          <w:rFonts w:asciiTheme="majorHAnsi" w:hAnsiTheme="majorHAnsi" w:cstheme="majorHAnsi"/>
          <w:color w:val="000000"/>
          <w:sz w:val="20"/>
          <w:szCs w:val="20"/>
          <w:lang w:val="en-US"/>
        </w:rPr>
        <w:t xml:space="preserve"> </w:t>
      </w:r>
      <w:r w:rsidRPr="00AA04A4">
        <w:rPr>
          <w:rFonts w:asciiTheme="majorHAnsi" w:hAnsiTheme="majorHAnsi" w:cstheme="majorHAnsi"/>
          <w:color w:val="000000"/>
          <w:sz w:val="20"/>
          <w:szCs w:val="20"/>
          <w:lang w:val="en-US"/>
        </w:rPr>
        <w:t xml:space="preserve">Then, several schools also became preoccupied with the national elections. </w:t>
      </w:r>
      <w:r w:rsidRPr="00AA04A4">
        <w:rPr>
          <w:rFonts w:asciiTheme="majorHAnsi" w:hAnsiTheme="majorHAnsi" w:cstheme="majorHAnsi"/>
          <w:sz w:val="20"/>
          <w:szCs w:val="20"/>
          <w:lang w:val="en-US"/>
        </w:rPr>
        <w:t>Thus, the request for secondary data was not well-received particularly by large and very large schools.</w:t>
      </w:r>
      <w:r w:rsidR="00D434EB">
        <w:rPr>
          <w:rFonts w:asciiTheme="majorHAnsi" w:hAnsiTheme="majorHAnsi" w:cstheme="majorHAnsi"/>
          <w:sz w:val="20"/>
          <w:szCs w:val="20"/>
          <w:lang w:val="en-US"/>
        </w:rPr>
        <w:t xml:space="preserve"> </w:t>
      </w:r>
      <w:r w:rsidRPr="00AA04A4">
        <w:rPr>
          <w:rFonts w:asciiTheme="majorHAnsi" w:hAnsiTheme="majorHAnsi" w:cstheme="majorHAnsi"/>
          <w:sz w:val="20"/>
          <w:szCs w:val="20"/>
          <w:lang w:val="en-US"/>
        </w:rPr>
        <w:t xml:space="preserve"> </w:t>
      </w:r>
    </w:p>
    <w:p w14:paraId="69617E1A" w14:textId="77777777" w:rsidR="008D0CAD" w:rsidRPr="00AA04A4" w:rsidRDefault="008D0CAD" w:rsidP="00DD08E3">
      <w:pPr>
        <w:spacing w:before="100" w:beforeAutospacing="1" w:after="100" w:afterAutospacing="1" w:line="360" w:lineRule="auto"/>
        <w:rPr>
          <w:rFonts w:asciiTheme="majorHAnsi" w:hAnsiTheme="majorHAnsi" w:cstheme="majorHAnsi"/>
          <w:b/>
          <w:sz w:val="20"/>
          <w:szCs w:val="20"/>
          <w:lang w:val="en-US"/>
        </w:rPr>
      </w:pPr>
      <w:r w:rsidRPr="00AA04A4">
        <w:rPr>
          <w:rFonts w:asciiTheme="majorHAnsi" w:hAnsiTheme="majorHAnsi" w:cstheme="majorHAnsi"/>
          <w:b/>
          <w:sz w:val="20"/>
          <w:szCs w:val="20"/>
          <w:lang w:val="en-US"/>
        </w:rPr>
        <w:t>Chart 1. Data Collection Timeline</w:t>
      </w:r>
    </w:p>
    <w:p w14:paraId="5C2F8EE0" w14:textId="77777777" w:rsidR="008D0CAD" w:rsidRPr="00AA04A4" w:rsidRDefault="008D0CAD" w:rsidP="00DD08E3">
      <w:pPr>
        <w:spacing w:before="100" w:beforeAutospacing="1" w:after="100" w:afterAutospacing="1" w:line="360" w:lineRule="auto"/>
        <w:rPr>
          <w:rFonts w:asciiTheme="majorHAnsi" w:hAnsiTheme="majorHAnsi" w:cstheme="majorHAnsi"/>
          <w:sz w:val="20"/>
          <w:szCs w:val="20"/>
          <w:lang w:val="en-US"/>
        </w:rPr>
      </w:pPr>
      <w:r w:rsidRPr="00AA04A4">
        <w:rPr>
          <w:rFonts w:asciiTheme="majorHAnsi" w:hAnsiTheme="majorHAnsi" w:cstheme="majorHAnsi"/>
          <w:noProof/>
          <w:sz w:val="20"/>
          <w:szCs w:val="20"/>
          <w:lang w:val="en-AU" w:eastAsia="en-AU"/>
        </w:rPr>
        <w:drawing>
          <wp:inline distT="0" distB="0" distL="0" distR="0" wp14:anchorId="58C0A1F8" wp14:editId="71128950">
            <wp:extent cx="5694556" cy="3870051"/>
            <wp:effectExtent l="0" t="0" r="0" b="3810"/>
            <wp:docPr id="23" name="Picture 23" descr="Data Collection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ata Collection Timeline"/>
                    <pic:cNvPicPr/>
                  </pic:nvPicPr>
                  <pic:blipFill rotWithShape="1">
                    <a:blip r:embed="rId64" cstate="print">
                      <a:extLst>
                        <a:ext uri="{28A0092B-C50C-407E-A947-70E740481C1C}">
                          <a14:useLocalDpi xmlns:a14="http://schemas.microsoft.com/office/drawing/2010/main" val="0"/>
                        </a:ext>
                      </a:extLst>
                    </a:blip>
                    <a:srcRect l="8696" t="26793" r="30561" b="7164"/>
                    <a:stretch/>
                  </pic:blipFill>
                  <pic:spPr bwMode="auto">
                    <a:xfrm>
                      <a:off x="0" y="0"/>
                      <a:ext cx="5723505" cy="3889725"/>
                    </a:xfrm>
                    <a:prstGeom prst="rect">
                      <a:avLst/>
                    </a:prstGeom>
                    <a:ln>
                      <a:noFill/>
                    </a:ln>
                    <a:extLst>
                      <a:ext uri="{53640926-AAD7-44D8-BBD7-CCE9431645EC}">
                        <a14:shadowObscured xmlns:a14="http://schemas.microsoft.com/office/drawing/2010/main"/>
                      </a:ext>
                    </a:extLst>
                  </pic:spPr>
                </pic:pic>
              </a:graphicData>
            </a:graphic>
          </wp:inline>
        </w:drawing>
      </w:r>
    </w:p>
    <w:p w14:paraId="278902A4" w14:textId="5D05769E" w:rsidR="008D0CAD" w:rsidRPr="00AA04A4" w:rsidRDefault="008D0CAD" w:rsidP="00DD08E3">
      <w:pPr>
        <w:spacing w:before="100" w:beforeAutospacing="1" w:after="100" w:afterAutospacing="1" w:line="360" w:lineRule="auto"/>
        <w:ind w:left="360"/>
        <w:rPr>
          <w:rFonts w:asciiTheme="majorHAnsi" w:hAnsiTheme="majorHAnsi" w:cstheme="majorHAnsi"/>
          <w:sz w:val="20"/>
          <w:szCs w:val="20"/>
          <w:lang w:val="en-US"/>
        </w:rPr>
      </w:pPr>
      <w:r w:rsidRPr="00AA04A4">
        <w:rPr>
          <w:rFonts w:asciiTheme="majorHAnsi" w:hAnsiTheme="majorHAnsi" w:cstheme="majorHAnsi"/>
          <w:sz w:val="20"/>
          <w:szCs w:val="20"/>
          <w:lang w:val="en-US"/>
        </w:rPr>
        <w:t>Moreover, intended respondents were not easily available for interviews both at the Central Office, Regional Office and Division Office levels.</w:t>
      </w:r>
      <w:r w:rsidR="00D434EB">
        <w:rPr>
          <w:rFonts w:asciiTheme="majorHAnsi" w:hAnsiTheme="majorHAnsi" w:cstheme="majorHAnsi"/>
          <w:sz w:val="20"/>
          <w:szCs w:val="20"/>
          <w:lang w:val="en-US"/>
        </w:rPr>
        <w:t xml:space="preserve"> </w:t>
      </w:r>
      <w:r w:rsidRPr="00AA04A4">
        <w:rPr>
          <w:rFonts w:asciiTheme="majorHAnsi" w:hAnsiTheme="majorHAnsi" w:cstheme="majorHAnsi"/>
          <w:sz w:val="20"/>
          <w:szCs w:val="20"/>
          <w:lang w:val="en-US"/>
        </w:rPr>
        <w:t>For instance, at the Central Office, many of the intended respondents were still preoccupied with completing their final activities and deliverables for the BEST Program and thus were not available to sit down for interviews. This pushed back the KIIs at the Central Office by at least two weeks.</w:t>
      </w:r>
    </w:p>
    <w:p w14:paraId="4E370A32" w14:textId="35A46430" w:rsidR="008D0CAD" w:rsidRPr="00AA04A4" w:rsidRDefault="008D0CAD" w:rsidP="00DD08E3">
      <w:pPr>
        <w:spacing w:before="100" w:beforeAutospacing="1" w:after="100" w:afterAutospacing="1" w:line="360" w:lineRule="auto"/>
        <w:rPr>
          <w:rFonts w:asciiTheme="majorHAnsi" w:hAnsiTheme="majorHAnsi" w:cstheme="majorHAnsi"/>
          <w:sz w:val="20"/>
          <w:szCs w:val="20"/>
          <w:lang w:val="en-US"/>
        </w:rPr>
      </w:pPr>
      <w:r w:rsidRPr="00AA04A4">
        <w:rPr>
          <w:rFonts w:asciiTheme="majorHAnsi" w:hAnsiTheme="majorHAnsi" w:cstheme="majorHAnsi"/>
          <w:color w:val="000000" w:themeColor="text1"/>
          <w:sz w:val="20"/>
          <w:szCs w:val="20"/>
          <w:lang w:val="en-US"/>
        </w:rPr>
        <w:t>As the Study progressed, other challenges were encountered by the EOPE Study Team.</w:t>
      </w:r>
      <w:r w:rsidR="00D434EB">
        <w:rPr>
          <w:rFonts w:asciiTheme="majorHAnsi" w:hAnsiTheme="majorHAnsi" w:cstheme="majorHAnsi"/>
          <w:color w:val="000000" w:themeColor="text1"/>
          <w:sz w:val="20"/>
          <w:szCs w:val="20"/>
          <w:lang w:val="en-US"/>
        </w:rPr>
        <w:t xml:space="preserve"> </w:t>
      </w:r>
    </w:p>
    <w:p w14:paraId="308EF7FB" w14:textId="7EA468A4" w:rsidR="008D0CAD" w:rsidRPr="00AA04A4" w:rsidRDefault="008D0CAD" w:rsidP="00DD08E3">
      <w:pPr>
        <w:numPr>
          <w:ilvl w:val="0"/>
          <w:numId w:val="161"/>
        </w:numPr>
        <w:spacing w:before="100" w:beforeAutospacing="1" w:after="100" w:afterAutospacing="1" w:line="360" w:lineRule="auto"/>
        <w:rPr>
          <w:rFonts w:asciiTheme="majorHAnsi" w:hAnsiTheme="majorHAnsi" w:cstheme="majorHAnsi"/>
          <w:sz w:val="20"/>
          <w:szCs w:val="20"/>
          <w:lang w:val="en-US"/>
        </w:rPr>
      </w:pPr>
      <w:r w:rsidRPr="00AA04A4">
        <w:rPr>
          <w:rFonts w:asciiTheme="majorHAnsi" w:hAnsiTheme="majorHAnsi" w:cstheme="majorHAnsi"/>
          <w:b/>
          <w:sz w:val="20"/>
          <w:szCs w:val="20"/>
          <w:lang w:val="en-US"/>
        </w:rPr>
        <w:t>Difficulties of scheduling appointments with DepEd Officials</w:t>
      </w:r>
      <w:r w:rsidRPr="00AA04A4">
        <w:rPr>
          <w:rFonts w:asciiTheme="majorHAnsi" w:hAnsiTheme="majorHAnsi" w:cstheme="majorHAnsi"/>
          <w:sz w:val="20"/>
          <w:szCs w:val="20"/>
          <w:lang w:val="en-US"/>
        </w:rPr>
        <w:t>. The Study Team also encountered difficulties in setting appointments for Key Informant Interviews with Regional Directors, Superintendents, Principals as well as Officials at the Central Office.</w:t>
      </w:r>
      <w:r w:rsidR="00D434EB">
        <w:rPr>
          <w:rFonts w:asciiTheme="majorHAnsi" w:hAnsiTheme="majorHAnsi" w:cstheme="majorHAnsi"/>
          <w:sz w:val="20"/>
          <w:szCs w:val="20"/>
          <w:lang w:val="en-US"/>
        </w:rPr>
        <w:t xml:space="preserve"> </w:t>
      </w:r>
    </w:p>
    <w:p w14:paraId="77CC2D86" w14:textId="77777777" w:rsidR="008D0CAD" w:rsidRPr="00AA04A4" w:rsidRDefault="008D0CAD" w:rsidP="00DD08E3">
      <w:pPr>
        <w:spacing w:before="100" w:beforeAutospacing="1" w:after="100" w:afterAutospacing="1" w:line="360" w:lineRule="auto"/>
        <w:ind w:left="360"/>
        <w:rPr>
          <w:rFonts w:asciiTheme="majorHAnsi" w:hAnsiTheme="majorHAnsi" w:cstheme="majorHAnsi"/>
          <w:sz w:val="20"/>
          <w:szCs w:val="20"/>
          <w:lang w:val="en-US"/>
        </w:rPr>
      </w:pPr>
      <w:r w:rsidRPr="00AA04A4">
        <w:rPr>
          <w:rFonts w:asciiTheme="majorHAnsi" w:hAnsiTheme="majorHAnsi" w:cstheme="majorHAnsi"/>
          <w:sz w:val="20"/>
          <w:szCs w:val="20"/>
          <w:lang w:val="en-US"/>
        </w:rPr>
        <w:t>In the case of the Regional Directors, some of them were on official travel or out of their offices.</w:t>
      </w:r>
    </w:p>
    <w:p w14:paraId="6EFB699C" w14:textId="044F484E" w:rsidR="008D0CAD" w:rsidRPr="00AA04A4" w:rsidRDefault="008D0CAD" w:rsidP="00DD08E3">
      <w:pPr>
        <w:spacing w:before="100" w:beforeAutospacing="1" w:after="100" w:afterAutospacing="1" w:line="360" w:lineRule="auto"/>
        <w:ind w:left="360"/>
        <w:rPr>
          <w:rFonts w:asciiTheme="majorHAnsi" w:hAnsiTheme="majorHAnsi" w:cstheme="majorHAnsi"/>
          <w:sz w:val="20"/>
          <w:szCs w:val="20"/>
          <w:lang w:val="en-US"/>
        </w:rPr>
      </w:pPr>
      <w:r w:rsidRPr="00AA04A4">
        <w:rPr>
          <w:rFonts w:asciiTheme="majorHAnsi" w:hAnsiTheme="majorHAnsi" w:cstheme="majorHAnsi"/>
          <w:sz w:val="20"/>
          <w:szCs w:val="20"/>
          <w:lang w:val="en-US"/>
        </w:rPr>
        <w:t>In the case of the Superintendents, the DepEd Memo issued by the Central Office was not sufficient to secure the appointments with them despite a go ahead secured from their Regional Director.</w:t>
      </w:r>
      <w:r w:rsidR="00D434EB">
        <w:rPr>
          <w:rFonts w:asciiTheme="majorHAnsi" w:hAnsiTheme="majorHAnsi" w:cstheme="majorHAnsi"/>
          <w:sz w:val="20"/>
          <w:szCs w:val="20"/>
          <w:lang w:val="en-US"/>
        </w:rPr>
        <w:t xml:space="preserve"> </w:t>
      </w:r>
      <w:r w:rsidRPr="00AA04A4">
        <w:rPr>
          <w:rFonts w:asciiTheme="majorHAnsi" w:hAnsiTheme="majorHAnsi" w:cstheme="majorHAnsi"/>
          <w:sz w:val="20"/>
          <w:szCs w:val="20"/>
          <w:lang w:val="en-US"/>
        </w:rPr>
        <w:t>Some of them were also on official travel or out of their offices. One Superintendent, however, informed the Study Team to come back after two weeks to set an appointment because they were very busy and forbade the Study Team to approach any of the concerned schools.</w:t>
      </w:r>
    </w:p>
    <w:p w14:paraId="3E0F704C" w14:textId="70957B06" w:rsidR="008D0CAD" w:rsidRPr="00AA04A4" w:rsidRDefault="008D0CAD" w:rsidP="00DD08E3">
      <w:pPr>
        <w:spacing w:before="100" w:beforeAutospacing="1" w:after="100" w:afterAutospacing="1" w:line="360" w:lineRule="auto"/>
        <w:ind w:left="360"/>
        <w:rPr>
          <w:rFonts w:asciiTheme="majorHAnsi" w:hAnsiTheme="majorHAnsi" w:cstheme="majorHAnsi"/>
          <w:sz w:val="20"/>
          <w:szCs w:val="20"/>
          <w:lang w:val="en-US"/>
        </w:rPr>
      </w:pPr>
      <w:r w:rsidRPr="00AA04A4">
        <w:rPr>
          <w:rFonts w:asciiTheme="majorHAnsi" w:hAnsiTheme="majorHAnsi" w:cstheme="majorHAnsi"/>
          <w:sz w:val="20"/>
          <w:szCs w:val="20"/>
          <w:lang w:val="en-US"/>
        </w:rPr>
        <w:t>Similarly, in the case of the Principals and Schools Heads, particularly at NCR, the DepEd Memo was also not sufficient to secure the appointments with the Principals and they further requested an order that was signed or noted by their respective Superintendents.</w:t>
      </w:r>
      <w:r w:rsidR="00D434EB">
        <w:rPr>
          <w:rFonts w:asciiTheme="majorHAnsi" w:hAnsiTheme="majorHAnsi" w:cstheme="majorHAnsi"/>
          <w:sz w:val="20"/>
          <w:szCs w:val="20"/>
          <w:lang w:val="en-US"/>
        </w:rPr>
        <w:t xml:space="preserve"> </w:t>
      </w:r>
      <w:r w:rsidRPr="00AA04A4">
        <w:rPr>
          <w:rFonts w:asciiTheme="majorHAnsi" w:hAnsiTheme="majorHAnsi" w:cstheme="majorHAnsi"/>
          <w:sz w:val="20"/>
          <w:szCs w:val="20"/>
          <w:lang w:val="en-US"/>
        </w:rPr>
        <w:t>However, the time constraints did not allow the Study Team to undertake this.</w:t>
      </w:r>
    </w:p>
    <w:p w14:paraId="7153D95D" w14:textId="77777777" w:rsidR="008D0CAD" w:rsidRPr="00AA04A4" w:rsidRDefault="008D0CAD" w:rsidP="00DD08E3">
      <w:pPr>
        <w:spacing w:before="100" w:beforeAutospacing="1" w:after="100" w:afterAutospacing="1" w:line="360" w:lineRule="auto"/>
        <w:ind w:left="360"/>
        <w:rPr>
          <w:rFonts w:asciiTheme="majorHAnsi" w:hAnsiTheme="majorHAnsi" w:cstheme="majorHAnsi"/>
          <w:sz w:val="20"/>
          <w:szCs w:val="20"/>
          <w:lang w:val="en-US"/>
        </w:rPr>
      </w:pPr>
      <w:r w:rsidRPr="00AA04A4">
        <w:rPr>
          <w:rFonts w:asciiTheme="majorHAnsi" w:hAnsiTheme="majorHAnsi" w:cstheme="majorHAnsi"/>
          <w:sz w:val="20"/>
          <w:szCs w:val="20"/>
          <w:lang w:val="en-US"/>
        </w:rPr>
        <w:t>In the case of the CO respondents, some of them were busy with completing activities (such as the L&amp;D Trial and the PPST) under the BEST Program and could not find a suitable time for the interviews.</w:t>
      </w:r>
    </w:p>
    <w:p w14:paraId="38C6C91C" w14:textId="277C84A3" w:rsidR="008D0CAD" w:rsidRPr="00AA04A4" w:rsidRDefault="008D0CAD" w:rsidP="00DD08E3">
      <w:pPr>
        <w:numPr>
          <w:ilvl w:val="0"/>
          <w:numId w:val="161"/>
        </w:numPr>
        <w:spacing w:before="100" w:beforeAutospacing="1" w:after="100" w:afterAutospacing="1" w:line="360" w:lineRule="auto"/>
        <w:rPr>
          <w:rFonts w:asciiTheme="majorHAnsi" w:hAnsiTheme="majorHAnsi" w:cstheme="majorHAnsi"/>
          <w:color w:val="000000" w:themeColor="text1"/>
          <w:sz w:val="20"/>
          <w:szCs w:val="20"/>
          <w:lang w:val="en-US"/>
        </w:rPr>
      </w:pPr>
      <w:r w:rsidRPr="00AA04A4">
        <w:rPr>
          <w:rFonts w:asciiTheme="majorHAnsi" w:hAnsiTheme="majorHAnsi" w:cstheme="majorHAnsi"/>
          <w:b/>
          <w:color w:val="000000" w:themeColor="text1"/>
          <w:sz w:val="20"/>
          <w:szCs w:val="20"/>
          <w:lang w:val="en-US"/>
        </w:rPr>
        <w:t>Absence of baseline information</w:t>
      </w:r>
      <w:r w:rsidRPr="00AA04A4">
        <w:rPr>
          <w:rFonts w:asciiTheme="majorHAnsi" w:hAnsiTheme="majorHAnsi" w:cstheme="majorHAnsi"/>
          <w:color w:val="000000" w:themeColor="text1"/>
          <w:sz w:val="20"/>
          <w:szCs w:val="20"/>
          <w:lang w:val="en-US"/>
        </w:rPr>
        <w:t>.</w:t>
      </w:r>
      <w:r w:rsidR="00D434EB">
        <w:rPr>
          <w:rFonts w:asciiTheme="majorHAnsi" w:hAnsiTheme="majorHAnsi" w:cstheme="majorHAnsi"/>
          <w:color w:val="000000" w:themeColor="text1"/>
          <w:sz w:val="20"/>
          <w:szCs w:val="20"/>
          <w:lang w:val="en-US"/>
        </w:rPr>
        <w:t xml:space="preserve"> </w:t>
      </w:r>
      <w:r w:rsidRPr="00AA04A4">
        <w:rPr>
          <w:rFonts w:asciiTheme="majorHAnsi" w:hAnsiTheme="majorHAnsi" w:cstheme="majorHAnsi"/>
          <w:color w:val="000000" w:themeColor="text1"/>
          <w:sz w:val="20"/>
          <w:szCs w:val="20"/>
          <w:lang w:val="en-US"/>
        </w:rPr>
        <w:t>Many of the interventions of the BEST Program were artifacts of previous programs/projects.</w:t>
      </w:r>
      <w:r w:rsidR="00D434EB">
        <w:rPr>
          <w:rFonts w:asciiTheme="majorHAnsi" w:hAnsiTheme="majorHAnsi" w:cstheme="majorHAnsi"/>
          <w:color w:val="000000" w:themeColor="text1"/>
          <w:sz w:val="20"/>
          <w:szCs w:val="20"/>
          <w:lang w:val="en-US"/>
        </w:rPr>
        <w:t xml:space="preserve"> </w:t>
      </w:r>
      <w:r w:rsidRPr="00AA04A4">
        <w:rPr>
          <w:rFonts w:asciiTheme="majorHAnsi" w:hAnsiTheme="majorHAnsi" w:cstheme="majorHAnsi"/>
          <w:color w:val="000000" w:themeColor="text1"/>
          <w:sz w:val="20"/>
          <w:szCs w:val="20"/>
          <w:lang w:val="en-US"/>
        </w:rPr>
        <w:t>It was quite challenging for the Study Team to determine which among the interventions were attributed to the BEST Program.</w:t>
      </w:r>
      <w:r w:rsidR="00D434EB">
        <w:rPr>
          <w:rFonts w:asciiTheme="majorHAnsi" w:hAnsiTheme="majorHAnsi" w:cstheme="majorHAnsi"/>
          <w:color w:val="000000" w:themeColor="text1"/>
          <w:sz w:val="20"/>
          <w:szCs w:val="20"/>
          <w:lang w:val="en-US"/>
        </w:rPr>
        <w:t xml:space="preserve"> </w:t>
      </w:r>
      <w:r w:rsidRPr="00AA04A4">
        <w:rPr>
          <w:rFonts w:asciiTheme="majorHAnsi" w:hAnsiTheme="majorHAnsi" w:cstheme="majorHAnsi"/>
          <w:color w:val="000000" w:themeColor="text1"/>
          <w:sz w:val="20"/>
          <w:szCs w:val="20"/>
          <w:lang w:val="en-US"/>
        </w:rPr>
        <w:t>Even the respondents themselves could not identify activities that were supported by the BEST Program. In addition, the Program could not provide a baseline to show the status of the different situations and indicators prior to the provision of interventions.</w:t>
      </w:r>
      <w:r w:rsidR="00D434EB">
        <w:rPr>
          <w:rFonts w:asciiTheme="majorHAnsi" w:hAnsiTheme="majorHAnsi" w:cstheme="majorHAnsi"/>
          <w:color w:val="000000" w:themeColor="text1"/>
          <w:sz w:val="20"/>
          <w:szCs w:val="20"/>
          <w:lang w:val="en-US"/>
        </w:rPr>
        <w:t xml:space="preserve"> </w:t>
      </w:r>
    </w:p>
    <w:p w14:paraId="3D1E089F" w14:textId="77777777" w:rsidR="008D0CAD" w:rsidRPr="00AA04A4" w:rsidRDefault="008D0CAD" w:rsidP="00DD08E3">
      <w:pPr>
        <w:spacing w:before="100" w:beforeAutospacing="1" w:after="100" w:afterAutospacing="1" w:line="360" w:lineRule="auto"/>
        <w:ind w:left="360"/>
        <w:rPr>
          <w:rFonts w:asciiTheme="majorHAnsi" w:hAnsiTheme="majorHAnsi" w:cstheme="majorHAnsi"/>
          <w:color w:val="000000" w:themeColor="text1"/>
          <w:sz w:val="20"/>
          <w:szCs w:val="20"/>
          <w:lang w:val="en-US"/>
        </w:rPr>
      </w:pPr>
      <w:r w:rsidRPr="00AA04A4">
        <w:rPr>
          <w:rFonts w:asciiTheme="majorHAnsi" w:hAnsiTheme="majorHAnsi" w:cstheme="majorHAnsi"/>
          <w:color w:val="000000" w:themeColor="text1"/>
          <w:sz w:val="20"/>
          <w:szCs w:val="20"/>
          <w:lang w:val="en-US"/>
        </w:rPr>
        <w:t>This finding was also highlighted in the IPR, which noted that “</w:t>
      </w:r>
      <w:r w:rsidRPr="00AA04A4">
        <w:rPr>
          <w:rFonts w:asciiTheme="majorHAnsi" w:hAnsiTheme="majorHAnsi" w:cstheme="majorHAnsi"/>
          <w:i/>
          <w:sz w:val="20"/>
          <w:szCs w:val="20"/>
          <w:lang w:val="en-US"/>
        </w:rPr>
        <w:t>BEST built on previous initiatives without establishing a clear baseline for all investments on commencement, which limits the ability to determine the impact of BEST’s contributions</w:t>
      </w:r>
      <w:r w:rsidRPr="00AA04A4">
        <w:rPr>
          <w:rFonts w:asciiTheme="majorHAnsi" w:hAnsiTheme="majorHAnsi" w:cstheme="majorHAnsi"/>
          <w:sz w:val="20"/>
          <w:szCs w:val="20"/>
          <w:lang w:val="en-US"/>
        </w:rPr>
        <w:t xml:space="preserve">” </w:t>
      </w:r>
      <w:r w:rsidRPr="00AA04A4">
        <w:rPr>
          <w:rFonts w:asciiTheme="majorHAnsi" w:hAnsiTheme="majorHAnsi" w:cstheme="majorHAnsi"/>
          <w:color w:val="000000" w:themeColor="text1"/>
          <w:sz w:val="20"/>
          <w:szCs w:val="20"/>
          <w:lang w:val="en-US"/>
        </w:rPr>
        <w:t>(p. 8)</w:t>
      </w:r>
      <w:r w:rsidRPr="00AA04A4">
        <w:rPr>
          <w:rFonts w:asciiTheme="majorHAnsi" w:hAnsiTheme="majorHAnsi" w:cstheme="majorHAnsi"/>
          <w:sz w:val="20"/>
          <w:szCs w:val="20"/>
          <w:lang w:val="en-US"/>
        </w:rPr>
        <w:t xml:space="preserve">. </w:t>
      </w:r>
    </w:p>
    <w:p w14:paraId="443D803F" w14:textId="45B57666" w:rsidR="008D0CAD" w:rsidRPr="00AA04A4" w:rsidRDefault="008D0CAD" w:rsidP="00DD08E3">
      <w:pPr>
        <w:numPr>
          <w:ilvl w:val="0"/>
          <w:numId w:val="161"/>
        </w:numPr>
        <w:spacing w:before="100" w:beforeAutospacing="1" w:after="100" w:afterAutospacing="1" w:line="360" w:lineRule="auto"/>
        <w:contextualSpacing/>
        <w:rPr>
          <w:rFonts w:asciiTheme="majorHAnsi" w:hAnsiTheme="majorHAnsi" w:cstheme="majorHAnsi"/>
          <w:snapToGrid w:val="0"/>
          <w:sz w:val="20"/>
          <w:szCs w:val="20"/>
          <w:lang w:val="en-US"/>
        </w:rPr>
      </w:pPr>
      <w:r w:rsidRPr="00AA04A4">
        <w:rPr>
          <w:rFonts w:asciiTheme="majorHAnsi" w:hAnsiTheme="majorHAnsi" w:cstheme="majorHAnsi"/>
          <w:b/>
          <w:snapToGrid w:val="0"/>
          <w:sz w:val="20"/>
          <w:szCs w:val="20"/>
          <w:lang w:val="en-US"/>
        </w:rPr>
        <w:t>School-level data management</w:t>
      </w:r>
      <w:r w:rsidRPr="00AA04A4">
        <w:rPr>
          <w:rFonts w:asciiTheme="majorHAnsi" w:hAnsiTheme="majorHAnsi" w:cstheme="majorHAnsi"/>
          <w:snapToGrid w:val="0"/>
          <w:sz w:val="20"/>
          <w:szCs w:val="20"/>
          <w:lang w:val="en-US"/>
        </w:rPr>
        <w:t>. Another challenge that impeded the research was the state of records/data management across most schools.</w:t>
      </w:r>
      <w:r w:rsidR="00D434EB">
        <w:rPr>
          <w:rFonts w:asciiTheme="majorHAnsi" w:hAnsiTheme="majorHAnsi" w:cstheme="majorHAnsi"/>
          <w:snapToGrid w:val="0"/>
          <w:sz w:val="20"/>
          <w:szCs w:val="20"/>
          <w:lang w:val="en-US"/>
        </w:rPr>
        <w:t xml:space="preserve"> </w:t>
      </w:r>
      <w:r w:rsidRPr="00AA04A4">
        <w:rPr>
          <w:rFonts w:asciiTheme="majorHAnsi" w:hAnsiTheme="majorHAnsi" w:cstheme="majorHAnsi"/>
          <w:snapToGrid w:val="0"/>
          <w:sz w:val="20"/>
          <w:szCs w:val="20"/>
          <w:lang w:val="en-US"/>
        </w:rPr>
        <w:t>Even at school level in many schools, grades were reported only by average.</w:t>
      </w:r>
      <w:r w:rsidR="00D434EB">
        <w:rPr>
          <w:rFonts w:asciiTheme="majorHAnsi" w:hAnsiTheme="majorHAnsi" w:cstheme="majorHAnsi"/>
          <w:snapToGrid w:val="0"/>
          <w:sz w:val="20"/>
          <w:szCs w:val="20"/>
          <w:lang w:val="en-US"/>
        </w:rPr>
        <w:t xml:space="preserve"> </w:t>
      </w:r>
      <w:r w:rsidRPr="00AA04A4">
        <w:rPr>
          <w:rFonts w:asciiTheme="majorHAnsi" w:hAnsiTheme="majorHAnsi" w:cstheme="majorHAnsi"/>
          <w:snapToGrid w:val="0"/>
          <w:sz w:val="20"/>
          <w:szCs w:val="20"/>
          <w:lang w:val="en-US"/>
        </w:rPr>
        <w:t>Many schools were not able to provide individual students’ grades by subjects albeit it was understood that average grades, which were submitted to the Division Offices, were based on individual students’ grades.</w:t>
      </w:r>
      <w:r w:rsidR="00D434EB">
        <w:rPr>
          <w:rFonts w:asciiTheme="majorHAnsi" w:hAnsiTheme="majorHAnsi" w:cstheme="majorHAnsi"/>
          <w:snapToGrid w:val="0"/>
          <w:sz w:val="20"/>
          <w:szCs w:val="20"/>
          <w:lang w:val="en-US"/>
        </w:rPr>
        <w:t xml:space="preserve"> </w:t>
      </w:r>
    </w:p>
    <w:p w14:paraId="066DCB7B" w14:textId="77777777" w:rsidR="008D0CAD" w:rsidRPr="00AA04A4" w:rsidRDefault="008D0CAD" w:rsidP="00DD08E3">
      <w:pPr>
        <w:spacing w:before="100" w:beforeAutospacing="1" w:after="100" w:afterAutospacing="1" w:line="360" w:lineRule="auto"/>
        <w:ind w:left="360"/>
        <w:rPr>
          <w:rFonts w:asciiTheme="majorHAnsi" w:hAnsiTheme="majorHAnsi" w:cstheme="majorHAnsi"/>
          <w:sz w:val="20"/>
          <w:szCs w:val="20"/>
          <w:lang w:val="en-US"/>
        </w:rPr>
      </w:pPr>
      <w:r w:rsidRPr="00AA04A4">
        <w:rPr>
          <w:rFonts w:asciiTheme="majorHAnsi" w:hAnsiTheme="majorHAnsi" w:cstheme="majorHAnsi"/>
          <w:sz w:val="20"/>
          <w:szCs w:val="20"/>
          <w:lang w:val="en-US"/>
        </w:rPr>
        <w:t>Several schools also stated that many of the electronic files of the individual grades were in the computers of different teachers. Several schools did not have complete reports of grades by years on file. Lastly, many grade reports were missing due to floods and no duplicates were kept.</w:t>
      </w:r>
    </w:p>
    <w:p w14:paraId="3D23D1F3" w14:textId="5D8BF009" w:rsidR="008D0CAD" w:rsidRPr="00AA04A4" w:rsidRDefault="008D0CAD" w:rsidP="00DD08E3">
      <w:pPr>
        <w:numPr>
          <w:ilvl w:val="0"/>
          <w:numId w:val="161"/>
        </w:numPr>
        <w:spacing w:before="100" w:beforeAutospacing="1" w:after="100" w:afterAutospacing="1" w:line="360" w:lineRule="auto"/>
        <w:rPr>
          <w:rFonts w:asciiTheme="majorHAnsi" w:hAnsiTheme="majorHAnsi" w:cstheme="majorHAnsi"/>
          <w:color w:val="000000" w:themeColor="text1"/>
          <w:sz w:val="20"/>
          <w:szCs w:val="20"/>
          <w:lang w:val="en-US"/>
        </w:rPr>
      </w:pPr>
      <w:r w:rsidRPr="00AA04A4">
        <w:rPr>
          <w:rFonts w:asciiTheme="majorHAnsi" w:hAnsiTheme="majorHAnsi" w:cstheme="majorHAnsi"/>
          <w:b/>
          <w:bCs/>
          <w:color w:val="000000" w:themeColor="text1"/>
          <w:sz w:val="20"/>
          <w:szCs w:val="20"/>
          <w:lang w:val="en-US"/>
        </w:rPr>
        <w:t>Reluctance of schools to provide data</w:t>
      </w:r>
      <w:r w:rsidRPr="00AA04A4">
        <w:rPr>
          <w:rFonts w:asciiTheme="majorHAnsi" w:hAnsiTheme="majorHAnsi" w:cstheme="majorHAnsi"/>
          <w:bCs/>
          <w:color w:val="000000" w:themeColor="text1"/>
          <w:sz w:val="20"/>
          <w:szCs w:val="20"/>
          <w:lang w:val="en-US"/>
        </w:rPr>
        <w:t xml:space="preserve">. The assessment of the contributions of the BEST Program interventions to the attainment of EOPOs 1 and 2 was considerably impeded by the limited school-level data obtained. The original intention of the EOPE Study to use regression analysis in comparing 80 treatment schools </w:t>
      </w:r>
      <w:r w:rsidRPr="00AA04A4">
        <w:rPr>
          <w:rFonts w:asciiTheme="majorHAnsi" w:hAnsiTheme="majorHAnsi" w:cstheme="majorHAnsi"/>
          <w:color w:val="000000" w:themeColor="text1"/>
          <w:sz w:val="20"/>
          <w:szCs w:val="20"/>
          <w:lang w:val="en-US"/>
        </w:rPr>
        <w:t>with 26 comparison schools to derive the effects of the BEST Program interventions on student mastery by grade level (Grades 4, 5 and 6), by subject (English, Filipino, Math and Science) and by sex could not be done.</w:t>
      </w:r>
      <w:r w:rsidR="00D434EB">
        <w:rPr>
          <w:rFonts w:asciiTheme="majorHAnsi" w:hAnsiTheme="majorHAnsi" w:cstheme="majorHAnsi"/>
          <w:color w:val="000000" w:themeColor="text1"/>
          <w:sz w:val="20"/>
          <w:szCs w:val="20"/>
          <w:lang w:val="en-US"/>
        </w:rPr>
        <w:t xml:space="preserve"> </w:t>
      </w:r>
      <w:r w:rsidRPr="00AA04A4">
        <w:rPr>
          <w:rFonts w:asciiTheme="majorHAnsi" w:eastAsiaTheme="minorEastAsia" w:hAnsiTheme="majorHAnsi" w:cstheme="majorHAnsi"/>
          <w:color w:val="000000" w:themeColor="text1"/>
          <w:sz w:val="20"/>
          <w:szCs w:val="20"/>
          <w:lang w:val="en-US"/>
        </w:rPr>
        <w:t>The analysis was premised on the strong assumption that secondary data to be collected from the individual schools in the sample study would be available</w:t>
      </w:r>
      <w:r w:rsidRPr="00AA04A4">
        <w:rPr>
          <w:rFonts w:asciiTheme="majorHAnsi" w:eastAsiaTheme="minorEastAsia" w:hAnsiTheme="majorHAnsi" w:cstheme="majorHAnsi"/>
          <w:color w:val="000000" w:themeColor="text1"/>
          <w:sz w:val="20"/>
          <w:szCs w:val="20"/>
          <w:vertAlign w:val="superscript"/>
          <w:lang w:val="en-US"/>
        </w:rPr>
        <w:footnoteReference w:id="135"/>
      </w:r>
      <w:r w:rsidRPr="00AA04A4">
        <w:rPr>
          <w:rFonts w:asciiTheme="majorHAnsi" w:eastAsiaTheme="minorEastAsia" w:hAnsiTheme="majorHAnsi" w:cstheme="majorHAnsi"/>
          <w:color w:val="000000" w:themeColor="text1"/>
          <w:sz w:val="20"/>
          <w:szCs w:val="20"/>
          <w:lang w:val="en-US"/>
        </w:rPr>
        <w:t>.</w:t>
      </w:r>
      <w:r w:rsidRPr="00AA04A4">
        <w:rPr>
          <w:rFonts w:asciiTheme="majorHAnsi" w:hAnsiTheme="majorHAnsi" w:cstheme="majorHAnsi"/>
          <w:color w:val="000000" w:themeColor="text1"/>
          <w:sz w:val="20"/>
          <w:szCs w:val="20"/>
          <w:lang w:val="en-US"/>
        </w:rPr>
        <w:t>However, despite doubling its efforts (doing three to four rounds of school visits) the Regional EOPE Teams were only able to collect data from 62 schools out of 106 schools (58.5%) in the study sample and only 25 of these school data sets were complete enough to be used for analysis.</w:t>
      </w:r>
    </w:p>
    <w:p w14:paraId="223A2DD2" w14:textId="5C845FF6" w:rsidR="008D0CAD" w:rsidRPr="00AA04A4" w:rsidRDefault="008D0CAD" w:rsidP="00DD08E3">
      <w:pPr>
        <w:spacing w:before="100" w:beforeAutospacing="1" w:after="100" w:afterAutospacing="1" w:line="360" w:lineRule="auto"/>
        <w:ind w:left="360" w:right="245"/>
        <w:rPr>
          <w:rFonts w:asciiTheme="majorHAnsi" w:eastAsia="Arial Unicode MS" w:hAnsiTheme="majorHAnsi" w:cstheme="majorHAnsi"/>
          <w:color w:val="000000" w:themeColor="text1"/>
          <w:sz w:val="20"/>
          <w:szCs w:val="20"/>
          <w:u w:color="000000"/>
          <w:lang w:val="en-US"/>
        </w:rPr>
      </w:pPr>
      <w:r w:rsidRPr="00AA04A4">
        <w:rPr>
          <w:rFonts w:asciiTheme="majorHAnsi" w:eastAsia="Arial Unicode MS" w:hAnsiTheme="majorHAnsi" w:cstheme="majorHAnsi"/>
          <w:color w:val="000000" w:themeColor="text1"/>
          <w:sz w:val="20"/>
          <w:szCs w:val="20"/>
          <w:u w:color="000000"/>
          <w:lang w:val="en-US"/>
        </w:rPr>
        <w:t>Because of the small data sample collected, the Study could not proceed with the regression analysis and instead the Pooled Difference-in-Differences (DID) Method was used to capture the effects of the BEST Program in improving the grades of the students and in reducing differences in learning outcomes between boys and girls.</w:t>
      </w:r>
      <w:r w:rsidR="00D434EB">
        <w:rPr>
          <w:rFonts w:asciiTheme="majorHAnsi" w:eastAsia="Arial Unicode MS" w:hAnsiTheme="majorHAnsi" w:cstheme="majorHAnsi"/>
          <w:color w:val="000000" w:themeColor="text1"/>
          <w:sz w:val="20"/>
          <w:szCs w:val="20"/>
          <w:u w:color="000000"/>
          <w:lang w:val="en-US"/>
        </w:rPr>
        <w:t xml:space="preserve"> </w:t>
      </w:r>
    </w:p>
    <w:p w14:paraId="2CFCA343" w14:textId="5D624046" w:rsidR="008D0CAD" w:rsidRPr="00AA04A4" w:rsidRDefault="008D0CAD" w:rsidP="00DD08E3">
      <w:pPr>
        <w:spacing w:before="100" w:beforeAutospacing="1" w:after="100" w:afterAutospacing="1" w:line="360" w:lineRule="auto"/>
        <w:ind w:left="360" w:right="245"/>
        <w:rPr>
          <w:rFonts w:asciiTheme="majorHAnsi" w:eastAsia="Arial Unicode MS" w:hAnsiTheme="majorHAnsi" w:cstheme="majorHAnsi"/>
          <w:bCs/>
          <w:color w:val="000000" w:themeColor="text1"/>
          <w:sz w:val="20"/>
          <w:szCs w:val="20"/>
          <w:u w:color="000000"/>
          <w:lang w:val="en-US"/>
        </w:rPr>
      </w:pPr>
      <w:r w:rsidRPr="00AA04A4">
        <w:rPr>
          <w:rFonts w:asciiTheme="majorHAnsi" w:eastAsia="Arial Unicode MS" w:hAnsiTheme="majorHAnsi" w:cstheme="majorHAnsi"/>
          <w:bCs/>
          <w:color w:val="000000" w:themeColor="text1"/>
          <w:sz w:val="20"/>
          <w:szCs w:val="20"/>
          <w:u w:color="000000"/>
          <w:lang w:val="en-US"/>
        </w:rPr>
        <w:t>Moreover, only 13 schools provided data on Phil-IRI Test Results.</w:t>
      </w:r>
      <w:r w:rsidR="00D434EB">
        <w:rPr>
          <w:rFonts w:asciiTheme="majorHAnsi" w:eastAsia="Arial Unicode MS" w:hAnsiTheme="majorHAnsi" w:cstheme="majorHAnsi"/>
          <w:bCs/>
          <w:color w:val="000000" w:themeColor="text1"/>
          <w:sz w:val="20"/>
          <w:szCs w:val="20"/>
          <w:u w:color="000000"/>
          <w:lang w:val="en-US"/>
        </w:rPr>
        <w:t xml:space="preserve"> </w:t>
      </w:r>
      <w:r w:rsidRPr="00AA04A4">
        <w:rPr>
          <w:rFonts w:asciiTheme="majorHAnsi" w:eastAsia="Arial Unicode MS" w:hAnsiTheme="majorHAnsi" w:cstheme="majorHAnsi"/>
          <w:bCs/>
          <w:color w:val="000000" w:themeColor="text1"/>
          <w:sz w:val="20"/>
          <w:szCs w:val="20"/>
          <w:u w:color="000000"/>
          <w:lang w:val="en-US"/>
        </w:rPr>
        <w:t>With this small sample, it was no longer analysed since it would not provide acceptable conclusions.</w:t>
      </w:r>
    </w:p>
    <w:p w14:paraId="7310103D" w14:textId="6766270F" w:rsidR="008D0CAD" w:rsidRPr="00AA04A4" w:rsidRDefault="008D0CAD" w:rsidP="00DD08E3">
      <w:pPr>
        <w:numPr>
          <w:ilvl w:val="0"/>
          <w:numId w:val="161"/>
        </w:numPr>
        <w:spacing w:before="100" w:beforeAutospacing="1" w:after="100" w:afterAutospacing="1" w:line="360" w:lineRule="auto"/>
        <w:rPr>
          <w:rFonts w:asciiTheme="majorHAnsi" w:hAnsiTheme="majorHAnsi" w:cstheme="majorHAnsi"/>
          <w:color w:val="000000" w:themeColor="text1"/>
          <w:sz w:val="20"/>
          <w:szCs w:val="20"/>
          <w:lang w:val="en-US"/>
        </w:rPr>
      </w:pPr>
      <w:r w:rsidRPr="00AA04A4">
        <w:rPr>
          <w:rFonts w:asciiTheme="majorHAnsi" w:hAnsiTheme="majorHAnsi" w:cstheme="majorHAnsi"/>
          <w:b/>
          <w:color w:val="000000" w:themeColor="text1"/>
          <w:sz w:val="20"/>
          <w:szCs w:val="20"/>
          <w:lang w:val="en-US"/>
        </w:rPr>
        <w:t>Inadequate program monitoring data</w:t>
      </w:r>
      <w:r w:rsidRPr="00AA04A4">
        <w:rPr>
          <w:rFonts w:asciiTheme="majorHAnsi" w:hAnsiTheme="majorHAnsi" w:cstheme="majorHAnsi"/>
          <w:color w:val="000000" w:themeColor="text1"/>
          <w:sz w:val="20"/>
          <w:szCs w:val="20"/>
          <w:lang w:val="en-US"/>
        </w:rPr>
        <w:t>.</w:t>
      </w:r>
      <w:r w:rsidR="00D434EB">
        <w:rPr>
          <w:rFonts w:asciiTheme="majorHAnsi" w:hAnsiTheme="majorHAnsi" w:cstheme="majorHAnsi"/>
          <w:color w:val="000000" w:themeColor="text1"/>
          <w:sz w:val="20"/>
          <w:szCs w:val="20"/>
          <w:lang w:val="en-US"/>
        </w:rPr>
        <w:t xml:space="preserve"> </w:t>
      </w:r>
      <w:r w:rsidRPr="00AA04A4">
        <w:rPr>
          <w:rFonts w:asciiTheme="majorHAnsi" w:hAnsiTheme="majorHAnsi" w:cstheme="majorHAnsi"/>
          <w:color w:val="000000" w:themeColor="text1"/>
          <w:sz w:val="20"/>
          <w:szCs w:val="20"/>
          <w:lang w:val="en-US"/>
        </w:rPr>
        <w:t>The</w:t>
      </w:r>
      <w:r w:rsidRPr="00AA04A4">
        <w:rPr>
          <w:rFonts w:asciiTheme="majorHAnsi" w:hAnsiTheme="majorHAnsi" w:cstheme="majorHAnsi"/>
          <w:sz w:val="20"/>
          <w:szCs w:val="20"/>
          <w:lang w:val="en-US"/>
        </w:rPr>
        <w:t xml:space="preserve"> EOPE Study was also constrained by the insufficient program monitoring data. For instance, the Team could not obtain any central/master list/records of the various Trainers’ Training Programs organised by the Central Office (CO) Operating Units (OUs) (except from BHROD-SED) or any of the workshops held at the Central or Regional levels.</w:t>
      </w:r>
      <w:r w:rsidR="00D434EB">
        <w:rPr>
          <w:rFonts w:asciiTheme="majorHAnsi" w:hAnsiTheme="majorHAnsi" w:cstheme="majorHAnsi"/>
          <w:sz w:val="20"/>
          <w:szCs w:val="20"/>
          <w:lang w:val="en-US"/>
        </w:rPr>
        <w:t xml:space="preserve"> </w:t>
      </w:r>
      <w:r w:rsidRPr="00AA04A4">
        <w:rPr>
          <w:rFonts w:asciiTheme="majorHAnsi" w:hAnsiTheme="majorHAnsi" w:cstheme="majorHAnsi"/>
          <w:sz w:val="20"/>
          <w:szCs w:val="20"/>
          <w:lang w:val="en-US"/>
        </w:rPr>
        <w:t xml:space="preserve">Neither the Regional M&amp;E Specialists, the Division Offices nor the Central </w:t>
      </w:r>
      <w:r w:rsidRPr="00AA04A4">
        <w:rPr>
          <w:rFonts w:asciiTheme="majorHAnsi" w:hAnsiTheme="majorHAnsi" w:cstheme="majorHAnsi"/>
          <w:color w:val="000000" w:themeColor="text1"/>
          <w:sz w:val="20"/>
          <w:szCs w:val="20"/>
          <w:lang w:val="en-US"/>
        </w:rPr>
        <w:t>Office OUs were able to share reports on completion of BEST activities.</w:t>
      </w:r>
      <w:r w:rsidR="00D434EB">
        <w:rPr>
          <w:rFonts w:asciiTheme="majorHAnsi" w:hAnsiTheme="majorHAnsi" w:cstheme="majorHAnsi"/>
          <w:color w:val="000000" w:themeColor="text1"/>
          <w:sz w:val="20"/>
          <w:szCs w:val="20"/>
          <w:lang w:val="en-US"/>
        </w:rPr>
        <w:t xml:space="preserve"> </w:t>
      </w:r>
    </w:p>
    <w:p w14:paraId="4A4BD844" w14:textId="54F54BDB" w:rsidR="008D0CAD" w:rsidRPr="00AA04A4" w:rsidRDefault="008D0CAD" w:rsidP="00DD08E3">
      <w:pPr>
        <w:spacing w:before="100" w:beforeAutospacing="1" w:after="100" w:afterAutospacing="1" w:line="360" w:lineRule="auto"/>
        <w:ind w:left="360"/>
        <w:rPr>
          <w:rFonts w:asciiTheme="majorHAnsi" w:hAnsiTheme="majorHAnsi" w:cstheme="majorHAnsi"/>
          <w:color w:val="000000" w:themeColor="text1"/>
          <w:sz w:val="20"/>
          <w:szCs w:val="20"/>
          <w:lang w:val="en-US"/>
        </w:rPr>
      </w:pPr>
      <w:r w:rsidRPr="00AA04A4">
        <w:rPr>
          <w:rFonts w:asciiTheme="majorHAnsi" w:hAnsiTheme="majorHAnsi" w:cstheme="majorHAnsi"/>
          <w:color w:val="000000" w:themeColor="text1"/>
          <w:sz w:val="20"/>
          <w:szCs w:val="20"/>
          <w:lang w:val="en-US"/>
        </w:rPr>
        <w:t>Initially, the BEST Program Team could not share any records/details of downloading activities since they said that these were the responsibilities of the various DepEd OUs.</w:t>
      </w:r>
      <w:r w:rsidR="00D434EB">
        <w:rPr>
          <w:rFonts w:asciiTheme="majorHAnsi" w:hAnsiTheme="majorHAnsi" w:cstheme="majorHAnsi"/>
          <w:color w:val="000000" w:themeColor="text1"/>
          <w:sz w:val="20"/>
          <w:szCs w:val="20"/>
          <w:lang w:val="en-US"/>
        </w:rPr>
        <w:t xml:space="preserve"> </w:t>
      </w:r>
      <w:r w:rsidRPr="00AA04A4">
        <w:rPr>
          <w:rFonts w:asciiTheme="majorHAnsi" w:hAnsiTheme="majorHAnsi" w:cstheme="majorHAnsi"/>
          <w:color w:val="000000" w:themeColor="text1"/>
          <w:sz w:val="20"/>
          <w:szCs w:val="20"/>
          <w:lang w:val="en-US"/>
        </w:rPr>
        <w:t xml:space="preserve">An excel file of capacity building programs containing 3,910 records were finally secured from the BEST Program. The file however appeared to be incomplete because: </w:t>
      </w:r>
    </w:p>
    <w:p w14:paraId="5AB475F4" w14:textId="77777777" w:rsidR="008D0CAD" w:rsidRPr="00AA04A4" w:rsidRDefault="008D0CAD" w:rsidP="00DD08E3">
      <w:pPr>
        <w:numPr>
          <w:ilvl w:val="0"/>
          <w:numId w:val="114"/>
        </w:numPr>
        <w:spacing w:before="100" w:beforeAutospacing="1" w:after="100" w:afterAutospacing="1" w:line="360" w:lineRule="auto"/>
        <w:rPr>
          <w:rFonts w:asciiTheme="majorHAnsi" w:hAnsiTheme="majorHAnsi" w:cstheme="majorHAnsi"/>
          <w:color w:val="000000" w:themeColor="text1"/>
          <w:sz w:val="20"/>
          <w:szCs w:val="20"/>
          <w:lang w:val="en-US"/>
        </w:rPr>
      </w:pPr>
      <w:r w:rsidRPr="00AA04A4">
        <w:rPr>
          <w:rFonts w:asciiTheme="majorHAnsi" w:hAnsiTheme="majorHAnsi" w:cstheme="majorHAnsi"/>
          <w:color w:val="000000" w:themeColor="text1"/>
          <w:sz w:val="20"/>
          <w:szCs w:val="20"/>
          <w:lang w:val="en-US"/>
        </w:rPr>
        <w:t xml:space="preserve">there were training programs that had the qualifier Phase 2 after the title (such as National Training of Trainers (TOT) Phase 2 on Content (Planning Budget Strategy) for RO) but no Phase 1 were included in the list; and </w:t>
      </w:r>
    </w:p>
    <w:p w14:paraId="581DF5E5" w14:textId="77777777" w:rsidR="008D0CAD" w:rsidRPr="00AA04A4" w:rsidRDefault="008D0CAD" w:rsidP="00DD08E3">
      <w:pPr>
        <w:numPr>
          <w:ilvl w:val="0"/>
          <w:numId w:val="114"/>
        </w:numPr>
        <w:spacing w:before="100" w:beforeAutospacing="1" w:after="100" w:afterAutospacing="1" w:line="360" w:lineRule="auto"/>
        <w:rPr>
          <w:rFonts w:asciiTheme="majorHAnsi" w:hAnsiTheme="majorHAnsi" w:cstheme="majorHAnsi"/>
          <w:color w:val="000000" w:themeColor="text1"/>
          <w:sz w:val="20"/>
          <w:szCs w:val="20"/>
          <w:lang w:val="en-US"/>
        </w:rPr>
      </w:pPr>
      <w:r w:rsidRPr="00AA04A4">
        <w:rPr>
          <w:rFonts w:asciiTheme="majorHAnsi" w:hAnsiTheme="majorHAnsi" w:cstheme="majorHAnsi"/>
          <w:color w:val="000000" w:themeColor="text1"/>
          <w:sz w:val="20"/>
          <w:szCs w:val="20"/>
          <w:lang w:val="en-US"/>
        </w:rPr>
        <w:t>there were training programs that listed 60 or 100 under the column of participants while others listed one or two and it was not clear whether these numbers referred to the number of participants or the number of batches.</w:t>
      </w:r>
    </w:p>
    <w:p w14:paraId="106F2D62" w14:textId="77777777" w:rsidR="008D0CAD" w:rsidRPr="00AA04A4" w:rsidRDefault="008D0CAD" w:rsidP="00DD08E3">
      <w:pPr>
        <w:spacing w:before="100" w:beforeAutospacing="1" w:after="100" w:afterAutospacing="1" w:line="360" w:lineRule="auto"/>
        <w:ind w:left="360"/>
        <w:rPr>
          <w:rFonts w:asciiTheme="majorHAnsi" w:hAnsiTheme="majorHAnsi" w:cstheme="majorHAnsi"/>
          <w:color w:val="000000" w:themeColor="text1"/>
          <w:sz w:val="20"/>
          <w:szCs w:val="20"/>
          <w:lang w:val="en-US"/>
        </w:rPr>
      </w:pPr>
      <w:r w:rsidRPr="00AA04A4">
        <w:rPr>
          <w:rFonts w:asciiTheme="majorHAnsi" w:hAnsiTheme="majorHAnsi" w:cstheme="majorHAnsi"/>
          <w:color w:val="000000" w:themeColor="text1"/>
          <w:sz w:val="20"/>
          <w:szCs w:val="20"/>
          <w:lang w:val="en-US"/>
        </w:rPr>
        <w:t>In the absence of any other available list, the Study was used in the analysis to present the trend of capacity building interventions provided through the Program.</w:t>
      </w:r>
    </w:p>
    <w:p w14:paraId="142CBE41" w14:textId="77777777" w:rsidR="008D0CAD" w:rsidRPr="00AA04A4" w:rsidRDefault="008D0CAD" w:rsidP="002320B3">
      <w:pPr>
        <w:rPr>
          <w:rFonts w:asciiTheme="majorHAnsi" w:hAnsiTheme="majorHAnsi" w:cstheme="majorHAnsi"/>
          <w:i/>
          <w:iCs/>
          <w:sz w:val="20"/>
          <w:szCs w:val="20"/>
          <w:lang w:val="en-US"/>
        </w:rPr>
        <w:sectPr w:rsidR="008D0CAD" w:rsidRPr="00AA04A4" w:rsidSect="009C64E9">
          <w:pgSz w:w="11906" w:h="16838" w:code="9"/>
          <w:pgMar w:top="1440" w:right="1080" w:bottom="1440" w:left="1080" w:header="708" w:footer="708" w:gutter="0"/>
          <w:cols w:space="708"/>
          <w:docGrid w:linePitch="360"/>
        </w:sectPr>
      </w:pPr>
    </w:p>
    <w:p w14:paraId="68B4FB67" w14:textId="616BEF7E" w:rsidR="008D0CAD" w:rsidRPr="00D608F7" w:rsidRDefault="008D0CAD" w:rsidP="00DD08E3">
      <w:pPr>
        <w:pStyle w:val="Heading2"/>
        <w:numPr>
          <w:ilvl w:val="0"/>
          <w:numId w:val="0"/>
        </w:numPr>
        <w:spacing w:before="100" w:beforeAutospacing="1" w:after="100" w:afterAutospacing="1" w:line="360" w:lineRule="auto"/>
        <w:ind w:left="1288" w:hanging="720"/>
      </w:pPr>
      <w:bookmarkStart w:id="320" w:name="_Toc39938395"/>
      <w:bookmarkStart w:id="321" w:name="_Toc69820499"/>
      <w:r w:rsidRPr="00AA04A4">
        <w:t>Annex S. Relevance of BEST Program Interventions: A Literature Review</w:t>
      </w:r>
      <w:bookmarkEnd w:id="320"/>
      <w:bookmarkEnd w:id="321"/>
      <w:r w:rsidR="00D434EB">
        <w:t xml:space="preserve"> </w:t>
      </w:r>
    </w:p>
    <w:p w14:paraId="021D9DE0" w14:textId="77777777" w:rsidR="008D0CAD" w:rsidRPr="00AA04A4" w:rsidRDefault="008D0CAD" w:rsidP="00DD08E3">
      <w:pPr>
        <w:pStyle w:val="Heading3"/>
        <w:spacing w:before="100" w:beforeAutospacing="1" w:after="100" w:afterAutospacing="1" w:line="360" w:lineRule="auto"/>
        <w:rPr>
          <w:lang w:val="en-US"/>
        </w:rPr>
      </w:pPr>
      <w:bookmarkStart w:id="322" w:name="_Toc16263668"/>
      <w:bookmarkStart w:id="323" w:name="_Toc16326729"/>
      <w:bookmarkStart w:id="324" w:name="_Toc39938396"/>
      <w:bookmarkStart w:id="325" w:name="_Toc69820500"/>
      <w:r w:rsidRPr="00AA04A4">
        <w:rPr>
          <w:lang w:val="en-US"/>
        </w:rPr>
        <w:t>Introduction</w:t>
      </w:r>
      <w:bookmarkEnd w:id="322"/>
      <w:bookmarkEnd w:id="323"/>
      <w:bookmarkEnd w:id="324"/>
      <w:bookmarkEnd w:id="325"/>
    </w:p>
    <w:p w14:paraId="453E4CBA" w14:textId="04CF93F0" w:rsidR="008D0CAD" w:rsidRPr="00AA04A4" w:rsidRDefault="008D0CAD" w:rsidP="00DD08E3">
      <w:pPr>
        <w:spacing w:before="100" w:beforeAutospacing="1" w:after="100" w:afterAutospacing="1" w:line="360" w:lineRule="auto"/>
        <w:rPr>
          <w:rFonts w:ascii="Calibri Light" w:hAnsi="Calibri Light" w:cs="Calibri Light"/>
          <w:lang w:val="en-US"/>
        </w:rPr>
      </w:pPr>
      <w:r w:rsidRPr="00AA04A4">
        <w:rPr>
          <w:rFonts w:ascii="Calibri Light" w:hAnsi="Calibri Light" w:cs="Calibri Light"/>
          <w:lang w:val="en-US"/>
        </w:rPr>
        <w:t xml:space="preserve">Part of the End-of-Program Evaluation (EOPE) of the Basic Education Sector Transformation (BEST) Program, implemented from 2014 to 2019, was the assessment of the </w:t>
      </w:r>
      <w:r w:rsidRPr="00AA04A4">
        <w:rPr>
          <w:rFonts w:ascii="Calibri Light" w:hAnsi="Calibri Light" w:cs="Calibri Light"/>
          <w:b/>
          <w:lang w:val="en-US"/>
        </w:rPr>
        <w:t>Relevance</w:t>
      </w:r>
      <w:r w:rsidRPr="00AA04A4">
        <w:rPr>
          <w:rFonts w:ascii="Calibri Light" w:hAnsi="Calibri Light" w:cs="Calibri Light"/>
          <w:lang w:val="en-US"/>
        </w:rPr>
        <w:t xml:space="preserve"> of its various components or what it calls Program Interventions.</w:t>
      </w:r>
      <w:r w:rsidR="00D434EB">
        <w:rPr>
          <w:rFonts w:ascii="Calibri Light" w:hAnsi="Calibri Light" w:cs="Calibri Light"/>
          <w:lang w:val="en-US"/>
        </w:rPr>
        <w:t xml:space="preserve"> </w:t>
      </w:r>
      <w:r w:rsidRPr="00AA04A4">
        <w:rPr>
          <w:rFonts w:ascii="Calibri Light" w:hAnsi="Calibri Light" w:cs="Calibri Light"/>
          <w:lang w:val="en-US"/>
        </w:rPr>
        <w:t>The EOPE Study assessed 10 BEST Program Interventions although there were other Program Interventions that were not included.</w:t>
      </w:r>
      <w:r w:rsidRPr="00AA04A4">
        <w:rPr>
          <w:rFonts w:ascii="Calibri Light" w:hAnsi="Calibri Light" w:cs="Calibri Light"/>
          <w:vertAlign w:val="superscript"/>
          <w:lang w:val="en-US"/>
        </w:rPr>
        <w:footnoteReference w:id="136"/>
      </w:r>
    </w:p>
    <w:p w14:paraId="021257D0" w14:textId="77777777" w:rsidR="008D0CAD" w:rsidRPr="00AA04A4" w:rsidRDefault="008D0CAD" w:rsidP="00DD08E3">
      <w:pPr>
        <w:spacing w:before="100" w:beforeAutospacing="1" w:after="100" w:afterAutospacing="1" w:line="360" w:lineRule="auto"/>
        <w:rPr>
          <w:rFonts w:ascii="Calibri Light" w:hAnsi="Calibri Light" w:cs="Calibri Light"/>
          <w:lang w:val="en-US"/>
        </w:rPr>
      </w:pPr>
      <w:r w:rsidRPr="00AA04A4">
        <w:rPr>
          <w:rFonts w:ascii="Calibri Light" w:hAnsi="Calibri Light" w:cs="Calibri Light"/>
          <w:lang w:val="en-US"/>
        </w:rPr>
        <w:t>The 10 Program Interventions were as follows:</w:t>
      </w:r>
    </w:p>
    <w:p w14:paraId="14BF81AF" w14:textId="77777777" w:rsidR="008D0CAD" w:rsidRPr="00AA04A4" w:rsidRDefault="008D0CAD" w:rsidP="00DD08E3">
      <w:pPr>
        <w:widowControl w:val="0"/>
        <w:numPr>
          <w:ilvl w:val="0"/>
          <w:numId w:val="147"/>
        </w:numPr>
        <w:spacing w:before="100" w:beforeAutospacing="1" w:after="100" w:afterAutospacing="1" w:line="360" w:lineRule="auto"/>
        <w:rPr>
          <w:rFonts w:ascii="Calibri Light" w:hAnsi="Calibri Light" w:cs="Calibri Light"/>
          <w:snapToGrid w:val="0"/>
          <w:szCs w:val="20"/>
          <w:lang w:val="en-US"/>
        </w:rPr>
      </w:pPr>
      <w:r w:rsidRPr="00AA04A4">
        <w:rPr>
          <w:rFonts w:ascii="Calibri Light" w:hAnsi="Calibri Light" w:cs="Calibri Light"/>
          <w:snapToGrid w:val="0"/>
          <w:szCs w:val="20"/>
          <w:lang w:val="en-US"/>
        </w:rPr>
        <w:t>Learning and Development (L&amp;D) System;</w:t>
      </w:r>
    </w:p>
    <w:p w14:paraId="11DED61E" w14:textId="77777777" w:rsidR="008D0CAD" w:rsidRPr="00AA04A4" w:rsidRDefault="008D0CAD" w:rsidP="00DD08E3">
      <w:pPr>
        <w:widowControl w:val="0"/>
        <w:numPr>
          <w:ilvl w:val="0"/>
          <w:numId w:val="147"/>
        </w:numPr>
        <w:spacing w:before="100" w:beforeAutospacing="1" w:after="100" w:afterAutospacing="1" w:line="360" w:lineRule="auto"/>
        <w:rPr>
          <w:rFonts w:ascii="Calibri Light" w:hAnsi="Calibri Light" w:cs="Calibri Light"/>
          <w:snapToGrid w:val="0"/>
          <w:szCs w:val="20"/>
          <w:lang w:val="en-US"/>
        </w:rPr>
      </w:pPr>
      <w:r w:rsidRPr="00AA04A4">
        <w:rPr>
          <w:rFonts w:ascii="Calibri Light" w:hAnsi="Calibri Light" w:cs="Calibri Light"/>
          <w:snapToGrid w:val="0"/>
          <w:szCs w:val="20"/>
          <w:lang w:val="en-US"/>
        </w:rPr>
        <w:t>Philippine Professional Standards for Teachers (PPST);</w:t>
      </w:r>
    </w:p>
    <w:p w14:paraId="2CC90894" w14:textId="77777777" w:rsidR="008D0CAD" w:rsidRPr="00AA04A4" w:rsidRDefault="008D0CAD" w:rsidP="00DD08E3">
      <w:pPr>
        <w:widowControl w:val="0"/>
        <w:numPr>
          <w:ilvl w:val="0"/>
          <w:numId w:val="147"/>
        </w:numPr>
        <w:spacing w:before="100" w:beforeAutospacing="1" w:after="100" w:afterAutospacing="1" w:line="360" w:lineRule="auto"/>
        <w:rPr>
          <w:rFonts w:ascii="Calibri Light" w:hAnsi="Calibri Light" w:cs="Calibri Light"/>
          <w:snapToGrid w:val="0"/>
          <w:szCs w:val="20"/>
          <w:lang w:val="en-US"/>
        </w:rPr>
      </w:pPr>
      <w:r w:rsidRPr="00AA04A4">
        <w:rPr>
          <w:rFonts w:ascii="Calibri Light" w:hAnsi="Calibri Light" w:cs="Calibri Light"/>
          <w:snapToGrid w:val="0"/>
          <w:szCs w:val="20"/>
          <w:lang w:val="en-US"/>
        </w:rPr>
        <w:t>Curriculum and Assessment (C&amp;A);</w:t>
      </w:r>
    </w:p>
    <w:p w14:paraId="375ADAC7" w14:textId="77777777" w:rsidR="008D0CAD" w:rsidRPr="00AA04A4" w:rsidRDefault="008D0CAD" w:rsidP="00DD08E3">
      <w:pPr>
        <w:widowControl w:val="0"/>
        <w:numPr>
          <w:ilvl w:val="0"/>
          <w:numId w:val="147"/>
        </w:numPr>
        <w:spacing w:before="100" w:beforeAutospacing="1" w:after="100" w:afterAutospacing="1" w:line="360" w:lineRule="auto"/>
        <w:rPr>
          <w:rFonts w:ascii="Calibri Light" w:hAnsi="Calibri Light" w:cs="Calibri Light"/>
          <w:snapToGrid w:val="0"/>
          <w:szCs w:val="20"/>
          <w:lang w:val="en-US"/>
        </w:rPr>
      </w:pPr>
      <w:r w:rsidRPr="00AA04A4">
        <w:rPr>
          <w:rFonts w:ascii="Calibri Light" w:hAnsi="Calibri Light" w:cs="Calibri Light"/>
          <w:snapToGrid w:val="0"/>
          <w:szCs w:val="20"/>
          <w:lang w:val="en-US"/>
        </w:rPr>
        <w:t>Teacher Pre-Service Quality Improvement (TPQI);</w:t>
      </w:r>
    </w:p>
    <w:p w14:paraId="3387C2EF" w14:textId="77777777" w:rsidR="008D0CAD" w:rsidRPr="00AA04A4" w:rsidRDefault="008D0CAD" w:rsidP="00DD08E3">
      <w:pPr>
        <w:widowControl w:val="0"/>
        <w:numPr>
          <w:ilvl w:val="0"/>
          <w:numId w:val="147"/>
        </w:numPr>
        <w:spacing w:before="100" w:beforeAutospacing="1" w:after="100" w:afterAutospacing="1" w:line="360" w:lineRule="auto"/>
        <w:rPr>
          <w:rFonts w:ascii="Calibri Light" w:hAnsi="Calibri Light" w:cs="Calibri Light"/>
          <w:snapToGrid w:val="0"/>
          <w:szCs w:val="20"/>
          <w:lang w:val="en-US"/>
        </w:rPr>
      </w:pPr>
      <w:r w:rsidRPr="00AA04A4">
        <w:rPr>
          <w:rFonts w:ascii="Calibri Light" w:hAnsi="Calibri Light" w:cs="Calibri Light"/>
          <w:snapToGrid w:val="0"/>
          <w:szCs w:val="20"/>
          <w:lang w:val="en-US"/>
        </w:rPr>
        <w:t>School-Based Management (SBM);</w:t>
      </w:r>
    </w:p>
    <w:p w14:paraId="7A4E1EF7" w14:textId="77777777" w:rsidR="008D0CAD" w:rsidRPr="00AA04A4" w:rsidRDefault="008D0CAD" w:rsidP="00DD08E3">
      <w:pPr>
        <w:widowControl w:val="0"/>
        <w:numPr>
          <w:ilvl w:val="0"/>
          <w:numId w:val="147"/>
        </w:numPr>
        <w:spacing w:before="100" w:beforeAutospacing="1" w:after="100" w:afterAutospacing="1" w:line="360" w:lineRule="auto"/>
        <w:rPr>
          <w:rFonts w:ascii="Calibri Light" w:hAnsi="Calibri Light" w:cs="Calibri Light"/>
          <w:snapToGrid w:val="0"/>
          <w:szCs w:val="20"/>
          <w:lang w:val="en-US"/>
        </w:rPr>
      </w:pPr>
      <w:r w:rsidRPr="00AA04A4">
        <w:rPr>
          <w:rFonts w:ascii="Calibri Light" w:hAnsi="Calibri Light" w:cs="Calibri Light"/>
          <w:snapToGrid w:val="0"/>
          <w:szCs w:val="20"/>
          <w:lang w:val="en-US"/>
        </w:rPr>
        <w:t>Policy, Planning, Monitoring and Evaluation System (PPMES);</w:t>
      </w:r>
    </w:p>
    <w:p w14:paraId="2206E943" w14:textId="77777777" w:rsidR="008D0CAD" w:rsidRPr="00AA04A4" w:rsidRDefault="008D0CAD" w:rsidP="00DD08E3">
      <w:pPr>
        <w:widowControl w:val="0"/>
        <w:numPr>
          <w:ilvl w:val="0"/>
          <w:numId w:val="147"/>
        </w:numPr>
        <w:spacing w:before="100" w:beforeAutospacing="1" w:after="100" w:afterAutospacing="1" w:line="360" w:lineRule="auto"/>
        <w:rPr>
          <w:rFonts w:ascii="Calibri Light" w:hAnsi="Calibri Light" w:cs="Calibri Light"/>
          <w:snapToGrid w:val="0"/>
          <w:szCs w:val="20"/>
          <w:lang w:val="en-US"/>
        </w:rPr>
      </w:pPr>
      <w:r w:rsidRPr="00AA04A4">
        <w:rPr>
          <w:rFonts w:ascii="Calibri Light" w:hAnsi="Calibri Light" w:cs="Calibri Light"/>
          <w:snapToGrid w:val="0"/>
          <w:szCs w:val="20"/>
          <w:lang w:val="en-US"/>
        </w:rPr>
        <w:t>Unified Information System and Sub-systems (UISS);</w:t>
      </w:r>
    </w:p>
    <w:p w14:paraId="7E2F68CE" w14:textId="77777777" w:rsidR="008D0CAD" w:rsidRPr="00AA04A4" w:rsidRDefault="008D0CAD" w:rsidP="00DD08E3">
      <w:pPr>
        <w:widowControl w:val="0"/>
        <w:numPr>
          <w:ilvl w:val="0"/>
          <w:numId w:val="147"/>
        </w:numPr>
        <w:spacing w:before="100" w:beforeAutospacing="1" w:after="100" w:afterAutospacing="1" w:line="360" w:lineRule="auto"/>
        <w:rPr>
          <w:rFonts w:ascii="Calibri Light" w:hAnsi="Calibri Light" w:cs="Calibri Light"/>
          <w:snapToGrid w:val="0"/>
          <w:szCs w:val="20"/>
          <w:lang w:val="en-US"/>
        </w:rPr>
      </w:pPr>
      <w:r w:rsidRPr="00AA04A4">
        <w:rPr>
          <w:rFonts w:ascii="Calibri Light" w:hAnsi="Calibri Light" w:cs="Calibri Light"/>
          <w:snapToGrid w:val="0"/>
          <w:szCs w:val="20"/>
          <w:lang w:val="en-US"/>
        </w:rPr>
        <w:t>Gender Equity, Disability and Social Inclusion (GEDSI);</w:t>
      </w:r>
    </w:p>
    <w:p w14:paraId="7BD4B340" w14:textId="77777777" w:rsidR="008D0CAD" w:rsidRPr="00AA04A4" w:rsidRDefault="008D0CAD" w:rsidP="00DD08E3">
      <w:pPr>
        <w:widowControl w:val="0"/>
        <w:numPr>
          <w:ilvl w:val="0"/>
          <w:numId w:val="147"/>
        </w:numPr>
        <w:spacing w:before="100" w:beforeAutospacing="1" w:after="100" w:afterAutospacing="1" w:line="360" w:lineRule="auto"/>
        <w:rPr>
          <w:rFonts w:ascii="Calibri Light" w:hAnsi="Calibri Light" w:cs="Calibri Light"/>
          <w:snapToGrid w:val="0"/>
          <w:szCs w:val="20"/>
          <w:lang w:val="en-US"/>
        </w:rPr>
      </w:pPr>
      <w:r w:rsidRPr="00AA04A4">
        <w:rPr>
          <w:rFonts w:ascii="Calibri Light" w:hAnsi="Calibri Light" w:cs="Calibri Light"/>
          <w:snapToGrid w:val="0"/>
          <w:szCs w:val="20"/>
          <w:lang w:val="en-US"/>
        </w:rPr>
        <w:t>Organisational Development (OD); and</w:t>
      </w:r>
    </w:p>
    <w:p w14:paraId="29ED8760" w14:textId="77777777" w:rsidR="008D0CAD" w:rsidRPr="00AA04A4" w:rsidRDefault="008D0CAD" w:rsidP="00DD08E3">
      <w:pPr>
        <w:widowControl w:val="0"/>
        <w:numPr>
          <w:ilvl w:val="0"/>
          <w:numId w:val="147"/>
        </w:numPr>
        <w:spacing w:before="100" w:beforeAutospacing="1" w:after="100" w:afterAutospacing="1" w:line="360" w:lineRule="auto"/>
        <w:rPr>
          <w:rFonts w:ascii="Calibri Light" w:hAnsi="Calibri Light" w:cs="Calibri Light"/>
          <w:snapToGrid w:val="0"/>
          <w:szCs w:val="20"/>
          <w:lang w:val="en-US"/>
        </w:rPr>
      </w:pPr>
      <w:r w:rsidRPr="00AA04A4">
        <w:rPr>
          <w:rFonts w:ascii="Calibri Light" w:hAnsi="Calibri Light" w:cs="Calibri Light"/>
          <w:snapToGrid w:val="0"/>
          <w:szCs w:val="20"/>
          <w:lang w:val="en-US"/>
        </w:rPr>
        <w:t>Classroom Construction.</w:t>
      </w:r>
    </w:p>
    <w:p w14:paraId="186F41B9" w14:textId="77777777" w:rsidR="008D0CAD" w:rsidRPr="00AA04A4" w:rsidRDefault="008D0CAD" w:rsidP="00DD08E3">
      <w:pPr>
        <w:spacing w:before="100" w:beforeAutospacing="1" w:after="100" w:afterAutospacing="1" w:line="360" w:lineRule="auto"/>
        <w:rPr>
          <w:rFonts w:ascii="Calibri Light" w:hAnsi="Calibri Light" w:cs="Calibri Light"/>
          <w:lang w:val="en-US"/>
        </w:rPr>
      </w:pPr>
      <w:r w:rsidRPr="00AA04A4">
        <w:rPr>
          <w:rFonts w:ascii="Calibri Light" w:hAnsi="Calibri Light" w:cs="Calibri Light"/>
          <w:lang w:val="en-US"/>
        </w:rPr>
        <w:t>The following literature review looks at the efficacy of these program interventions in reforming the basic education sector.</w:t>
      </w:r>
    </w:p>
    <w:p w14:paraId="7F39137F" w14:textId="77777777" w:rsidR="008D0CAD" w:rsidRPr="00AA04A4" w:rsidRDefault="008D0CAD" w:rsidP="00DD08E3">
      <w:pPr>
        <w:pStyle w:val="Heading3"/>
        <w:spacing w:before="100" w:beforeAutospacing="1" w:after="100" w:afterAutospacing="1" w:line="360" w:lineRule="auto"/>
        <w:rPr>
          <w:lang w:val="en-US"/>
        </w:rPr>
      </w:pPr>
      <w:bookmarkStart w:id="326" w:name="_Toc16263670"/>
      <w:bookmarkStart w:id="327" w:name="_Toc16326730"/>
      <w:bookmarkStart w:id="328" w:name="_Toc39938397"/>
      <w:bookmarkStart w:id="329" w:name="_Toc69820501"/>
      <w:r w:rsidRPr="00AA04A4">
        <w:rPr>
          <w:rFonts w:eastAsia="Calibri"/>
          <w:lang w:val="en-US"/>
        </w:rPr>
        <w:t>Challenges in t</w:t>
      </w:r>
      <w:r w:rsidRPr="00AA04A4">
        <w:rPr>
          <w:lang w:val="en-US"/>
        </w:rPr>
        <w:t>he Philippine Basic Education System</w:t>
      </w:r>
      <w:bookmarkEnd w:id="326"/>
      <w:bookmarkEnd w:id="327"/>
      <w:bookmarkEnd w:id="328"/>
      <w:bookmarkEnd w:id="329"/>
    </w:p>
    <w:p w14:paraId="4BADDF4E" w14:textId="66BFCD61" w:rsidR="008D0CAD" w:rsidRPr="00AA04A4" w:rsidRDefault="008D0CAD" w:rsidP="00DD08E3">
      <w:pPr>
        <w:spacing w:before="100" w:beforeAutospacing="1" w:after="100" w:afterAutospacing="1" w:line="360" w:lineRule="auto"/>
        <w:rPr>
          <w:rFonts w:ascii="Calibri Light" w:hAnsi="Calibri Light" w:cs="Calibri Light"/>
          <w:lang w:val="en-US"/>
        </w:rPr>
      </w:pPr>
      <w:r w:rsidRPr="00AA04A4">
        <w:rPr>
          <w:rFonts w:ascii="Calibri Light" w:hAnsi="Calibri Light" w:cs="Calibri Light"/>
          <w:lang w:val="en-US"/>
        </w:rPr>
        <w:t>The Philippine basic education sector, managed by the Department of Education (DepEd), is one of the biggest bureaucracies and public service provider in the Philippines (De Guzman, 2007; Luz, 2009; Shkabatur, 2012).</w:t>
      </w:r>
      <w:r w:rsidR="00D434EB">
        <w:rPr>
          <w:rFonts w:ascii="Calibri Light" w:hAnsi="Calibri Light" w:cs="Calibri Light"/>
          <w:lang w:val="en-US"/>
        </w:rPr>
        <w:t xml:space="preserve"> </w:t>
      </w:r>
      <w:r w:rsidRPr="00AA04A4">
        <w:rPr>
          <w:rFonts w:ascii="Calibri Light" w:hAnsi="Calibri Light" w:cs="Calibri Light"/>
          <w:lang w:val="en-US"/>
        </w:rPr>
        <w:t>In 2012, during the design stage of the BEST Program, the Program Design Document (PDD) noted that there were 45,051 elementary schools (37,967 public and 7,084 private) and 9,969 secondary schools (5262 public and 4707 private) in the Philippines, spread across the country’s more than 7,000 islands.</w:t>
      </w:r>
      <w:r w:rsidR="00D434EB">
        <w:rPr>
          <w:rFonts w:ascii="Calibri Light" w:hAnsi="Calibri Light" w:cs="Calibri Light"/>
          <w:lang w:val="en-US"/>
        </w:rPr>
        <w:t xml:space="preserve"> </w:t>
      </w:r>
      <w:r w:rsidRPr="00AA04A4">
        <w:rPr>
          <w:rFonts w:ascii="Calibri Light" w:hAnsi="Calibri Light" w:cs="Calibri Light"/>
          <w:lang w:val="en-US"/>
        </w:rPr>
        <w:t xml:space="preserve">Populating these schools were an estimated 20,438,000 students being taught by approximately 500,444 teachers (358,458 elementary and 141,986 secondary) (BEST, 2012). </w:t>
      </w:r>
    </w:p>
    <w:p w14:paraId="685C8A07" w14:textId="77777777" w:rsidR="008D0CAD" w:rsidRPr="00AA04A4" w:rsidRDefault="008D0CAD" w:rsidP="00DD08E3">
      <w:pPr>
        <w:spacing w:before="100" w:beforeAutospacing="1" w:after="100" w:afterAutospacing="1" w:line="360" w:lineRule="auto"/>
        <w:rPr>
          <w:rFonts w:ascii="Calibri Light" w:hAnsi="Calibri Light" w:cs="Calibri Light"/>
          <w:lang w:val="en-US"/>
        </w:rPr>
      </w:pPr>
      <w:r w:rsidRPr="00AA04A4">
        <w:rPr>
          <w:rFonts w:ascii="Calibri Light" w:hAnsi="Calibri Light" w:cs="Calibri Light"/>
          <w:lang w:val="en-US"/>
        </w:rPr>
        <w:t>When compared to the similar sectors of neighboring countries in the ASEAN region, the task of managing the sector is enormous. This is principally because it continues to be a unitary system despite being decentralised.</w:t>
      </w:r>
    </w:p>
    <w:p w14:paraId="41280E74" w14:textId="40E4A313" w:rsidR="008D0CAD" w:rsidRPr="00AA04A4" w:rsidRDefault="008D0CAD" w:rsidP="00DD08E3">
      <w:pPr>
        <w:spacing w:before="100" w:beforeAutospacing="1" w:after="100" w:afterAutospacing="1" w:line="360" w:lineRule="auto"/>
        <w:rPr>
          <w:rFonts w:ascii="Calibri Light" w:hAnsi="Calibri Light" w:cs="Calibri Light"/>
          <w:lang w:val="en-US"/>
        </w:rPr>
      </w:pPr>
      <w:r w:rsidRPr="00AA04A4">
        <w:rPr>
          <w:rFonts w:ascii="Calibri Light" w:hAnsi="Calibri Light" w:cs="Calibri Light"/>
          <w:lang w:val="en-US"/>
        </w:rPr>
        <w:t>The Philippine basic education system is in crisis according to Luz (2009). He expounds, “</w:t>
      </w:r>
      <w:r w:rsidRPr="00AA04A4">
        <w:rPr>
          <w:rFonts w:ascii="Calibri Light" w:hAnsi="Calibri Light" w:cs="Calibri Light"/>
          <w:i/>
          <w:lang w:val="en-US"/>
        </w:rPr>
        <w:t>Numerous studies of the problems in Philippine education lead to predictable and oft-repeated conclusions:</w:t>
      </w:r>
      <w:r w:rsidR="00D434EB">
        <w:rPr>
          <w:rFonts w:ascii="Calibri Light" w:hAnsi="Calibri Light" w:cs="Calibri Light"/>
          <w:i/>
          <w:lang w:val="en-US"/>
        </w:rPr>
        <w:t xml:space="preserve"> </w:t>
      </w:r>
      <w:r w:rsidRPr="00AA04A4">
        <w:rPr>
          <w:rFonts w:ascii="Calibri Light" w:hAnsi="Calibri Light" w:cs="Calibri Light"/>
          <w:i/>
          <w:lang w:val="en-US"/>
        </w:rPr>
        <w:t>the school system has gotten too large, too unwieldy and too difficult to manage; shortages in classrooms, teachers, textbooks and material resources are at the heart of the problem; teachers are poorly trained despite having passed a licensure examination; there is little or no in-service training to improve teachers once hired; oversized classroom sections, multiple shifting or both undermine student learning to occur.</w:t>
      </w:r>
      <w:r w:rsidR="00D434EB">
        <w:rPr>
          <w:rFonts w:ascii="Calibri Light" w:hAnsi="Calibri Light" w:cs="Calibri Light"/>
          <w:i/>
          <w:lang w:val="en-US"/>
        </w:rPr>
        <w:t xml:space="preserve"> </w:t>
      </w:r>
      <w:r w:rsidRPr="00AA04A4">
        <w:rPr>
          <w:rFonts w:ascii="Calibri Light" w:hAnsi="Calibri Light" w:cs="Calibri Light"/>
          <w:i/>
          <w:lang w:val="en-US"/>
        </w:rPr>
        <w:t>The list goes on and on</w:t>
      </w:r>
      <w:r w:rsidRPr="00AA04A4">
        <w:rPr>
          <w:rFonts w:ascii="Calibri Light" w:hAnsi="Calibri Light" w:cs="Calibri Light"/>
          <w:lang w:val="en-US"/>
        </w:rPr>
        <w:t>” (p. 3).</w:t>
      </w:r>
    </w:p>
    <w:p w14:paraId="38BF3ECC" w14:textId="1E50D6B6" w:rsidR="008D0CAD" w:rsidRPr="00AA04A4" w:rsidRDefault="008D0CAD" w:rsidP="00DD08E3">
      <w:pPr>
        <w:spacing w:before="100" w:beforeAutospacing="1" w:after="100" w:afterAutospacing="1" w:line="360" w:lineRule="auto"/>
        <w:rPr>
          <w:rFonts w:ascii="Calibri Light" w:hAnsi="Calibri Light" w:cs="Calibri Light"/>
          <w:lang w:val="en-US"/>
        </w:rPr>
      </w:pPr>
      <w:r w:rsidRPr="00AA04A4">
        <w:rPr>
          <w:rFonts w:ascii="Calibri Light" w:hAnsi="Calibri Light" w:cs="Calibri Light"/>
          <w:lang w:val="en-US"/>
        </w:rPr>
        <w:t>Basic education performance indicators revealed high rates of drop-outs across the system, poor performance in national and international achievement tests, poor reading abilities and functional literacy of older students, lack of student preparedness for study in high schools and universities as revealed in diagnostic tests and entrance exams (De Jesus, 2004; Luz, 2009; Miralao, 2004; Maligalig, 2010).</w:t>
      </w:r>
      <w:r w:rsidR="00D434EB">
        <w:rPr>
          <w:rFonts w:ascii="Calibri Light" w:hAnsi="Calibri Light" w:cs="Calibri Light"/>
          <w:lang w:val="en-US"/>
        </w:rPr>
        <w:t xml:space="preserve"> </w:t>
      </w:r>
    </w:p>
    <w:p w14:paraId="1BD8FCF7" w14:textId="77777777" w:rsidR="008D0CAD" w:rsidRPr="00AA04A4" w:rsidRDefault="008D0CAD" w:rsidP="00DD08E3">
      <w:pPr>
        <w:spacing w:before="100" w:beforeAutospacing="1" w:after="100" w:afterAutospacing="1" w:line="360" w:lineRule="auto"/>
        <w:rPr>
          <w:rFonts w:ascii="Calibri Light" w:hAnsi="Calibri Light" w:cs="Calibri Light"/>
          <w:lang w:val="en-US"/>
        </w:rPr>
      </w:pPr>
      <w:r w:rsidRPr="00AA04A4">
        <w:rPr>
          <w:rFonts w:ascii="Calibri Light" w:hAnsi="Calibri Light" w:cs="Calibri Light"/>
          <w:lang w:val="en-US"/>
        </w:rPr>
        <w:t>Results of national assessments showed that “</w:t>
      </w:r>
      <w:r w:rsidRPr="00AA04A4">
        <w:rPr>
          <w:rFonts w:ascii="Calibri Light" w:hAnsi="Calibri Light" w:cs="Calibri Light"/>
          <w:i/>
          <w:lang w:val="en-US"/>
        </w:rPr>
        <w:t>given the poor performance of students in the NEAT and NSAT, Filipinos should not have been surprised with the results of the Third International Math and Science Study administered internationally in 41 countries, which showed the Philippines as ranking second and third from the bottom in mathematics and science tests respectively</w:t>
      </w:r>
      <w:r w:rsidRPr="00AA04A4">
        <w:rPr>
          <w:rFonts w:ascii="Calibri Light" w:hAnsi="Calibri Light" w:cs="Calibri Light"/>
          <w:lang w:val="en-US"/>
        </w:rPr>
        <w:t xml:space="preserve">” (Miralao, 2004: 76). </w:t>
      </w:r>
    </w:p>
    <w:p w14:paraId="6E6D55F0" w14:textId="77777777" w:rsidR="008D0CAD" w:rsidRPr="00AA04A4" w:rsidRDefault="008D0CAD" w:rsidP="00DD08E3">
      <w:pPr>
        <w:spacing w:before="100" w:beforeAutospacing="1" w:after="100" w:afterAutospacing="1" w:line="360" w:lineRule="auto"/>
        <w:rPr>
          <w:rFonts w:ascii="Calibri Light" w:hAnsi="Calibri Light" w:cs="Calibri Light"/>
          <w:lang w:val="en-US"/>
        </w:rPr>
      </w:pPr>
      <w:r w:rsidRPr="00AA04A4">
        <w:rPr>
          <w:rFonts w:ascii="Calibri Light" w:hAnsi="Calibri Light" w:cs="Calibri Light"/>
          <w:lang w:val="en-US"/>
        </w:rPr>
        <w:t>Reasons for the declining state of basic education in the Philippines varies.</w:t>
      </w:r>
    </w:p>
    <w:p w14:paraId="7386B997" w14:textId="1E49D08C" w:rsidR="008D0CAD" w:rsidRPr="00AA04A4" w:rsidRDefault="008D0CAD" w:rsidP="00DD08E3">
      <w:pPr>
        <w:spacing w:before="100" w:beforeAutospacing="1" w:after="100" w:afterAutospacing="1" w:line="360" w:lineRule="auto"/>
        <w:rPr>
          <w:rFonts w:ascii="Calibri Light" w:hAnsi="Calibri Light" w:cs="Calibri Light"/>
          <w:color w:val="000000"/>
          <w:lang w:val="en-US"/>
        </w:rPr>
      </w:pPr>
      <w:r w:rsidRPr="00AA04A4">
        <w:rPr>
          <w:rFonts w:ascii="Calibri Light" w:hAnsi="Calibri Light" w:cs="Calibri Light"/>
          <w:color w:val="000000"/>
          <w:lang w:val="en-US"/>
        </w:rPr>
        <w:t>A World Bank (2016) study on basic education service delivery in the country, found that “</w:t>
      </w:r>
      <w:r w:rsidRPr="00AA04A4">
        <w:rPr>
          <w:rFonts w:ascii="Calibri Light" w:hAnsi="Calibri Light" w:cs="Calibri Light"/>
          <w:i/>
          <w:color w:val="000000"/>
          <w:lang w:val="en-US"/>
        </w:rPr>
        <w:t>the average elementary or high school teacher could answer fewer than half of the questions on the subject content tests correctly</w:t>
      </w:r>
      <w:r w:rsidRPr="00AA04A4">
        <w:rPr>
          <w:rFonts w:ascii="Calibri Light" w:hAnsi="Calibri Light" w:cs="Calibri Light"/>
          <w:color w:val="000000"/>
          <w:lang w:val="en-US"/>
        </w:rPr>
        <w:t>”, which suggests that these teachers “</w:t>
      </w:r>
      <w:r w:rsidRPr="00AA04A4">
        <w:rPr>
          <w:rFonts w:ascii="Calibri Light" w:hAnsi="Calibri Light" w:cs="Calibri Light"/>
          <w:i/>
          <w:color w:val="000000"/>
          <w:lang w:val="en-US"/>
        </w:rPr>
        <w:t>face significant challenges in teaching a considerable portion of the current curriculum</w:t>
      </w:r>
      <w:r w:rsidRPr="00AA04A4">
        <w:rPr>
          <w:rFonts w:ascii="Calibri Light" w:hAnsi="Calibri Light" w:cs="Calibri Light"/>
          <w:color w:val="000000"/>
          <w:lang w:val="en-US"/>
        </w:rPr>
        <w:t>” (p. xviii).</w:t>
      </w:r>
      <w:r w:rsidR="00D434EB">
        <w:rPr>
          <w:rFonts w:ascii="Calibri Light" w:hAnsi="Calibri Light" w:cs="Calibri Light"/>
          <w:color w:val="000000"/>
          <w:lang w:val="en-US"/>
        </w:rPr>
        <w:t xml:space="preserve"> </w:t>
      </w:r>
      <w:r w:rsidRPr="00AA04A4">
        <w:rPr>
          <w:rFonts w:ascii="Calibri Light" w:hAnsi="Calibri Light" w:cs="Calibri Light"/>
          <w:color w:val="000000"/>
          <w:lang w:val="en-US"/>
        </w:rPr>
        <w:t>It was noted that “</w:t>
      </w:r>
      <w:r w:rsidRPr="00AA04A4">
        <w:rPr>
          <w:rFonts w:ascii="Calibri Light" w:hAnsi="Calibri Light" w:cs="Calibri Light"/>
          <w:i/>
          <w:color w:val="000000"/>
          <w:lang w:val="en-US"/>
        </w:rPr>
        <w:t>there are substantial differences in the quality of education services across the Philippines. The factors associated with the distribution of quality vary, and there is no clear and consistent pattern. The (uneven) distribution of education quality reinforces existing inequalities. Significant differences in levels of education spending and the quality of the learning environment exist across regions and provinces</w:t>
      </w:r>
      <w:r w:rsidRPr="00AA04A4">
        <w:rPr>
          <w:rFonts w:ascii="Calibri Light" w:hAnsi="Calibri Light" w:cs="Calibri Light"/>
          <w:color w:val="000000"/>
          <w:lang w:val="en-US"/>
        </w:rPr>
        <w:t>.”</w:t>
      </w:r>
    </w:p>
    <w:p w14:paraId="128ADB28" w14:textId="77777777" w:rsidR="008D0CAD" w:rsidRPr="00AA04A4" w:rsidRDefault="008D0CAD" w:rsidP="00DD08E3">
      <w:pPr>
        <w:spacing w:before="100" w:beforeAutospacing="1" w:after="100" w:afterAutospacing="1" w:line="360" w:lineRule="auto"/>
        <w:rPr>
          <w:rFonts w:ascii="Calibri Light" w:hAnsi="Calibri Light" w:cs="Calibri Light"/>
          <w:lang w:val="en-US"/>
        </w:rPr>
      </w:pPr>
      <w:r w:rsidRPr="00AA04A4">
        <w:rPr>
          <w:rFonts w:ascii="Calibri Light" w:hAnsi="Calibri Light" w:cs="Calibri Light"/>
          <w:lang w:val="en-US"/>
        </w:rPr>
        <w:t>Moreover, the challenge in managing the sector was also attributed to “resource dependency” as DepEd has the overextended responsibility of “</w:t>
      </w:r>
      <w:r w:rsidRPr="00AA04A4">
        <w:rPr>
          <w:rFonts w:ascii="Calibri Light" w:hAnsi="Calibri Light" w:cs="Calibri Light"/>
          <w:i/>
          <w:lang w:val="en-US"/>
        </w:rPr>
        <w:t>supervision and regulation over private schools</w:t>
      </w:r>
      <w:r w:rsidRPr="00AA04A4">
        <w:rPr>
          <w:rFonts w:ascii="Calibri Light" w:hAnsi="Calibri Light" w:cs="Calibri Light"/>
          <w:lang w:val="en-US"/>
        </w:rPr>
        <w:t>” in comparison with its “</w:t>
      </w:r>
      <w:r w:rsidRPr="00AA04A4">
        <w:rPr>
          <w:rFonts w:ascii="Calibri Light" w:hAnsi="Calibri Light" w:cs="Calibri Light"/>
          <w:i/>
          <w:lang w:val="en-US"/>
        </w:rPr>
        <w:t>power to control, regulate and supervise the operations public elementary and secondary schools</w:t>
      </w:r>
      <w:r w:rsidRPr="00AA04A4">
        <w:rPr>
          <w:rFonts w:ascii="Calibri Light" w:hAnsi="Calibri Light" w:cs="Calibri Light"/>
          <w:lang w:val="en-US"/>
        </w:rPr>
        <w:t xml:space="preserve"> (De Guzman, 2006: 57). </w:t>
      </w:r>
    </w:p>
    <w:p w14:paraId="74064666" w14:textId="77777777" w:rsidR="008D0CAD" w:rsidRPr="00AA04A4" w:rsidRDefault="008D0CAD" w:rsidP="00DD08E3">
      <w:pPr>
        <w:spacing w:before="100" w:beforeAutospacing="1" w:after="100" w:afterAutospacing="1" w:line="360" w:lineRule="auto"/>
        <w:rPr>
          <w:rFonts w:ascii="Calibri Light" w:hAnsi="Calibri Light" w:cs="Calibri Light"/>
          <w:lang w:val="en-US"/>
        </w:rPr>
      </w:pPr>
      <w:r w:rsidRPr="00AA04A4">
        <w:rPr>
          <w:rFonts w:ascii="Calibri Light" w:hAnsi="Calibri Light" w:cs="Calibri Light"/>
          <w:lang w:val="en-US"/>
        </w:rPr>
        <w:t xml:space="preserve">Corong et al. (2013: 89) supported this and lamented that </w:t>
      </w:r>
      <w:r w:rsidRPr="00AA04A4">
        <w:rPr>
          <w:rFonts w:ascii="Calibri Light" w:hAnsi="Calibri Light" w:cs="Calibri Light"/>
          <w:color w:val="000000"/>
          <w:lang w:val="en-US"/>
        </w:rPr>
        <w:t>“</w:t>
      </w:r>
      <w:r w:rsidRPr="00AA04A4">
        <w:rPr>
          <w:rFonts w:ascii="Calibri Light" w:hAnsi="Calibri Light" w:cs="Calibri Light"/>
          <w:i/>
          <w:color w:val="000000"/>
          <w:spacing w:val="2"/>
          <w:shd w:val="clear" w:color="auto" w:fill="FCFCFC"/>
          <w:lang w:val="en-US"/>
        </w:rPr>
        <w:t>In the Philippines, public expenditures on physical infrastructure (particularly transportation and utility infrastructures) and the level of public educational spending are both comparatively low</w:t>
      </w:r>
      <w:r w:rsidRPr="00AA04A4">
        <w:rPr>
          <w:rFonts w:ascii="Calibri Light" w:hAnsi="Calibri Light" w:cs="Calibri Light"/>
          <w:color w:val="333333"/>
          <w:spacing w:val="2"/>
          <w:shd w:val="clear" w:color="auto" w:fill="FCFCFC"/>
          <w:lang w:val="en-US"/>
        </w:rPr>
        <w:t>”. </w:t>
      </w:r>
    </w:p>
    <w:p w14:paraId="2FC7B217" w14:textId="10D248D4" w:rsidR="008D0CAD" w:rsidRPr="00AA04A4" w:rsidRDefault="008D0CAD" w:rsidP="00DD08E3">
      <w:pPr>
        <w:spacing w:before="100" w:beforeAutospacing="1" w:after="100" w:afterAutospacing="1" w:line="360" w:lineRule="auto"/>
        <w:rPr>
          <w:rFonts w:ascii="Calibri Light" w:hAnsi="Calibri Light" w:cs="Calibri Light"/>
          <w:lang w:val="en-US"/>
        </w:rPr>
      </w:pPr>
      <w:r w:rsidRPr="00AA04A4">
        <w:rPr>
          <w:rFonts w:ascii="Calibri Light" w:hAnsi="Calibri Light" w:cs="Calibri Light"/>
          <w:lang w:val="en-US"/>
        </w:rPr>
        <w:t>World Bank (2018:) reported that “</w:t>
      </w:r>
      <w:r w:rsidRPr="00AA04A4">
        <w:rPr>
          <w:rFonts w:ascii="Calibri Light" w:hAnsi="Calibri Light" w:cs="Calibri Light"/>
          <w:i/>
          <w:lang w:val="en-US"/>
        </w:rPr>
        <w:t>public spending on education in the Philippines relative to gross domestic product or overall government spending is less than such spending in most other countries in the region</w:t>
      </w:r>
      <w:r w:rsidRPr="00AA04A4">
        <w:rPr>
          <w:rFonts w:ascii="Calibri Light" w:hAnsi="Calibri Light" w:cs="Calibri Light"/>
          <w:lang w:val="en-US"/>
        </w:rPr>
        <w:t>”.</w:t>
      </w:r>
      <w:r w:rsidR="00D434EB">
        <w:rPr>
          <w:rFonts w:ascii="Calibri Light" w:hAnsi="Calibri Light" w:cs="Calibri Light"/>
          <w:lang w:val="en-US"/>
        </w:rPr>
        <w:t xml:space="preserve"> </w:t>
      </w:r>
      <w:r w:rsidRPr="00AA04A4">
        <w:rPr>
          <w:rFonts w:ascii="Calibri Light" w:hAnsi="Calibri Light" w:cs="Calibri Light"/>
          <w:lang w:val="en-US"/>
        </w:rPr>
        <w:t>Compared to other countries in the region, the Philippines are underinvesting in as it spent 2.6% of gross domestic product on education in 2011, which is less than the neighboring countries of Timor-Leste with 9.5%, Vietnam with 6.3%, Malaysia with 5.9%, Thailand with 4.9%, and Indonesia with 3.6; only Cambodia and Myanmar spent the equivalent or less than the Philippines did (World Bank,2018). The Philippines disbursed only 16.3% on education as a percentage of government expenditure—less than the neighboring countries of Malaysia, Thailand, and Vietnam, which spent more than 20% (UNESCO 2017).</w:t>
      </w:r>
    </w:p>
    <w:p w14:paraId="1B07D9B9" w14:textId="77777777" w:rsidR="008D0CAD" w:rsidRPr="00AA04A4" w:rsidRDefault="008D0CAD" w:rsidP="00DD08E3">
      <w:pPr>
        <w:pStyle w:val="Heading3"/>
        <w:spacing w:before="100" w:beforeAutospacing="1" w:after="100" w:afterAutospacing="1" w:line="360" w:lineRule="auto"/>
        <w:rPr>
          <w:lang w:val="en-US"/>
        </w:rPr>
      </w:pPr>
      <w:bookmarkStart w:id="330" w:name="_Toc16263672"/>
      <w:bookmarkStart w:id="331" w:name="_Toc16326731"/>
      <w:bookmarkStart w:id="332" w:name="_Toc39938398"/>
      <w:bookmarkStart w:id="333" w:name="_Toc69820502"/>
      <w:r w:rsidRPr="00AA04A4">
        <w:rPr>
          <w:lang w:val="en-US"/>
        </w:rPr>
        <w:t>Educational Reforms Initiatives in the Philippines</w:t>
      </w:r>
      <w:bookmarkEnd w:id="330"/>
      <w:bookmarkEnd w:id="331"/>
      <w:bookmarkEnd w:id="332"/>
      <w:bookmarkEnd w:id="333"/>
    </w:p>
    <w:p w14:paraId="17385EFC" w14:textId="77777777" w:rsidR="008D0CAD" w:rsidRPr="00AA04A4" w:rsidRDefault="008D0CAD" w:rsidP="00DD08E3">
      <w:pPr>
        <w:tabs>
          <w:tab w:val="left" w:pos="3686"/>
        </w:tabs>
        <w:spacing w:before="100" w:beforeAutospacing="1" w:after="100" w:afterAutospacing="1" w:line="360" w:lineRule="auto"/>
        <w:rPr>
          <w:rFonts w:ascii="Calibri Light" w:hAnsi="Calibri Light" w:cs="Calibri Light"/>
          <w:color w:val="000000"/>
          <w:sz w:val="18"/>
          <w:szCs w:val="18"/>
          <w:lang w:val="en-US"/>
        </w:rPr>
      </w:pPr>
      <w:r w:rsidRPr="00AA04A4">
        <w:rPr>
          <w:rFonts w:ascii="Calibri Light" w:hAnsi="Calibri Light" w:cs="Calibri Light"/>
          <w:lang w:val="en-US"/>
        </w:rPr>
        <w:t xml:space="preserve">After a long period of struggles with inefficiencies and leakages, the Philippine basic education sector has been undergoing significant reforms and changes to arrest its continued decline. </w:t>
      </w:r>
    </w:p>
    <w:p w14:paraId="68A095AD" w14:textId="6E40A8CE" w:rsidR="008D0CAD" w:rsidRPr="00A2742E" w:rsidRDefault="008D0CAD" w:rsidP="00DD08E3">
      <w:pPr>
        <w:spacing w:before="100" w:beforeAutospacing="1" w:after="100" w:afterAutospacing="1" w:line="360" w:lineRule="auto"/>
        <w:rPr>
          <w:rFonts w:ascii="Calibri Light" w:hAnsi="Calibri Light" w:cs="Calibri Light"/>
          <w:color w:val="C00000"/>
          <w:lang w:val="en-US"/>
        </w:rPr>
      </w:pPr>
      <w:r w:rsidRPr="00CC76D4">
        <w:rPr>
          <w:rFonts w:ascii="Calibri Light" w:hAnsi="Calibri Light" w:cs="Calibri Light"/>
          <w:lang w:val="en-US"/>
        </w:rPr>
        <w:t xml:space="preserve">With the promulgation of Republic Act 9155, the Governance of Basic Education Act in 2001, </w:t>
      </w:r>
      <w:r w:rsidRPr="00AA04A4">
        <w:rPr>
          <w:rFonts w:ascii="Calibri Light" w:hAnsi="Calibri Light" w:cs="Calibri Light"/>
          <w:lang w:val="en-US"/>
        </w:rPr>
        <w:t>confirming the constitutional right to free basic education among the school-age population and young adults to provide them with skills, knowledge, and values to become caring, self-reliant, productive and patriotic citizens.</w:t>
      </w:r>
      <w:r w:rsidR="00D434EB">
        <w:rPr>
          <w:rFonts w:ascii="Calibri Light" w:hAnsi="Calibri Light" w:cs="Calibri Light"/>
          <w:color w:val="C00000"/>
          <w:lang w:val="en-US"/>
        </w:rPr>
        <w:t xml:space="preserve"> </w:t>
      </w:r>
      <w:r w:rsidRPr="00AA04A4">
        <w:rPr>
          <w:rFonts w:ascii="Calibri Light" w:hAnsi="Calibri Light" w:cs="Calibri Light"/>
          <w:lang w:val="en-US"/>
        </w:rPr>
        <w:t xml:space="preserve">RA 9155 has become the cornerstone that propels </w:t>
      </w:r>
      <w:r w:rsidRPr="00A2742E">
        <w:rPr>
          <w:rFonts w:ascii="Calibri Light" w:hAnsi="Calibri Light" w:cs="Calibri Light"/>
          <w:lang w:val="en-US"/>
        </w:rPr>
        <w:t xml:space="preserve">DepEd </w:t>
      </w:r>
      <w:r w:rsidRPr="00A2742E">
        <w:rPr>
          <w:rFonts w:ascii="Calibri Light" w:hAnsi="Calibri Light" w:cs="Calibri Light"/>
          <w:color w:val="000000"/>
          <w:lang w:val="en-US"/>
        </w:rPr>
        <w:t>towards the decentralisation of education management. The Law redefined the basic education sector’s top-down struc</w:t>
      </w:r>
      <w:r w:rsidRPr="00A2742E">
        <w:rPr>
          <w:rFonts w:ascii="Calibri Light" w:hAnsi="Calibri Light" w:cs="Calibri Light"/>
          <w:color w:val="000000"/>
          <w:lang w:val="en-US"/>
        </w:rPr>
        <w:softHyphen/>
        <w:t>ture of the department by providing schools more au</w:t>
      </w:r>
      <w:r w:rsidRPr="00A2742E">
        <w:rPr>
          <w:rFonts w:ascii="Calibri Light" w:hAnsi="Calibri Light" w:cs="Calibri Light"/>
          <w:color w:val="000000"/>
          <w:lang w:val="en-US"/>
        </w:rPr>
        <w:softHyphen/>
        <w:t>tonomy in decision-making, matched by school-level grants and operational funding. The new responsibil</w:t>
      </w:r>
      <w:r w:rsidRPr="00A2742E">
        <w:rPr>
          <w:rFonts w:ascii="Calibri Light" w:hAnsi="Calibri Light" w:cs="Calibri Light"/>
          <w:color w:val="000000"/>
          <w:lang w:val="en-US"/>
        </w:rPr>
        <w:softHyphen/>
        <w:t>ities of the central office were “policy reform, stan</w:t>
      </w:r>
      <w:r w:rsidRPr="00A2742E">
        <w:rPr>
          <w:rFonts w:ascii="Calibri Light" w:hAnsi="Calibri Light" w:cs="Calibri Light"/>
          <w:color w:val="000000"/>
          <w:lang w:val="en-US"/>
        </w:rPr>
        <w:softHyphen/>
        <w:t>dards-setting and resource generation,” while regions would monitor implementation against those stan</w:t>
      </w:r>
      <w:r w:rsidRPr="00A2742E">
        <w:rPr>
          <w:rFonts w:ascii="Calibri Light" w:hAnsi="Calibri Light" w:cs="Calibri Light"/>
          <w:color w:val="000000"/>
          <w:lang w:val="en-US"/>
        </w:rPr>
        <w:softHyphen/>
        <w:t>dards in divisions and schools within their jurisdiction and would provide general operational support (for example, payroll preparation, in-service training, and school engineering) (PIDS, 2009).</w:t>
      </w:r>
    </w:p>
    <w:p w14:paraId="739B0D86" w14:textId="77777777" w:rsidR="008D0CAD" w:rsidRPr="00AA04A4" w:rsidRDefault="008D0CAD" w:rsidP="00DD08E3">
      <w:pPr>
        <w:spacing w:before="100" w:beforeAutospacing="1" w:after="100" w:afterAutospacing="1" w:line="360" w:lineRule="auto"/>
        <w:rPr>
          <w:rFonts w:ascii="Calibri Light" w:hAnsi="Calibri Light" w:cs="Calibri Light"/>
          <w:color w:val="000000"/>
          <w:lang w:val="en-US"/>
        </w:rPr>
      </w:pPr>
      <w:r w:rsidRPr="00AA04A4">
        <w:rPr>
          <w:rFonts w:ascii="Calibri Light" w:hAnsi="Calibri Light" w:cs="Calibri Light"/>
          <w:color w:val="000000"/>
          <w:lang w:val="en-US"/>
        </w:rPr>
        <w:t xml:space="preserve">Reform efforts to improve the structural delivery of the Philippine educational system have been introduced by the Philippine government with the help of its development partners (De Guzman, 2003, 2007; Diokno et al., 2010; Luz, 2009; Read and Atinc, 2017). </w:t>
      </w:r>
    </w:p>
    <w:p w14:paraId="1E62BB4D" w14:textId="77777777" w:rsidR="008D0CAD" w:rsidRPr="00AA04A4" w:rsidRDefault="008D0CAD" w:rsidP="00DD08E3">
      <w:pPr>
        <w:tabs>
          <w:tab w:val="left" w:pos="3686"/>
        </w:tabs>
        <w:spacing w:before="100" w:beforeAutospacing="1" w:after="100" w:afterAutospacing="1" w:line="360" w:lineRule="auto"/>
        <w:rPr>
          <w:rFonts w:ascii="Calibri Light" w:hAnsi="Calibri Light" w:cs="Calibri Light"/>
          <w:lang w:val="en-US"/>
        </w:rPr>
      </w:pPr>
      <w:r w:rsidRPr="00AA04A4">
        <w:rPr>
          <w:rFonts w:ascii="Calibri Light" w:hAnsi="Calibri Light" w:cs="Calibri Light"/>
          <w:lang w:val="en-US"/>
        </w:rPr>
        <w:t xml:space="preserve">As part of this change, DepEd has been implementing since 2006, the Basic Education Sector Reform Agenda (BESRA), which was geared towards the improvement the performance of the public education system by pursuing a decentralised, participatory, and community-centered approach. BESRA concentrated on universal access to basic education schooling and success for children in that age group, with community support enabling effective school-based management, and the provision of universal functional literacy for adults using alternative learning schemes. </w:t>
      </w:r>
    </w:p>
    <w:p w14:paraId="4CB848EC" w14:textId="77777777" w:rsidR="008D0CAD" w:rsidRPr="00AA04A4" w:rsidRDefault="008D0CAD" w:rsidP="00DD08E3">
      <w:pPr>
        <w:tabs>
          <w:tab w:val="left" w:pos="3686"/>
        </w:tabs>
        <w:spacing w:before="100" w:beforeAutospacing="1" w:after="100" w:afterAutospacing="1" w:line="360" w:lineRule="auto"/>
        <w:rPr>
          <w:rFonts w:ascii="Calibri Light" w:hAnsi="Calibri Light" w:cs="Calibri Light"/>
          <w:lang w:val="en-US"/>
        </w:rPr>
      </w:pPr>
      <w:r w:rsidRPr="00AA04A4">
        <w:rPr>
          <w:rFonts w:ascii="Calibri Light" w:hAnsi="Calibri Light" w:cs="Calibri Light"/>
          <w:lang w:val="en-US"/>
        </w:rPr>
        <w:t>The policy actions of BESRA were collected under five key reform thrusts (KRTs): (i) continuous school improvement facilitated by active involvement of local stakeholders; (ii) better learning outcomes achieved by improved teacher standards; (iii) desired learning outcomes enhanced by national curriculum strategies, multi-sector coordination, and quality assurance; (iv) improved impact on outcomes resulting from complementary early childhood education, alternative learning systems and private sector participation; and (v) a change in DepEd culture from prescribing actions through orders and memoranda to facilitating school-based initiatives and assuring quality (De Guzman, 2007; Bautista, Bernardo and Ocampo, 2010).</w:t>
      </w:r>
    </w:p>
    <w:p w14:paraId="54D2584E" w14:textId="77777777" w:rsidR="008D0CAD" w:rsidRPr="00AA04A4" w:rsidRDefault="008D0CAD" w:rsidP="00DD08E3">
      <w:pPr>
        <w:tabs>
          <w:tab w:val="left" w:pos="3686"/>
        </w:tabs>
        <w:spacing w:before="100" w:beforeAutospacing="1" w:after="100" w:afterAutospacing="1" w:line="360" w:lineRule="auto"/>
        <w:rPr>
          <w:rFonts w:ascii="Calibri Light" w:hAnsi="Calibri Light" w:cs="Calibri Light"/>
          <w:lang w:val="en-US"/>
        </w:rPr>
      </w:pPr>
      <w:r w:rsidRPr="00AA04A4">
        <w:rPr>
          <w:rFonts w:ascii="Calibri Light" w:hAnsi="Calibri Light" w:cs="Calibri Light"/>
          <w:lang w:val="en-US"/>
        </w:rPr>
        <w:t>Shkabatur (2012: 4) pointed out that the major foundations of BESRA as a reform initiative centered on:</w:t>
      </w:r>
    </w:p>
    <w:p w14:paraId="2492889F" w14:textId="77777777" w:rsidR="008D0CAD" w:rsidRPr="00AA04A4" w:rsidRDefault="008D0CAD" w:rsidP="00DD08E3">
      <w:pPr>
        <w:widowControl w:val="0"/>
        <w:numPr>
          <w:ilvl w:val="0"/>
          <w:numId w:val="144"/>
        </w:numPr>
        <w:tabs>
          <w:tab w:val="left" w:pos="3686"/>
        </w:tabs>
        <w:spacing w:before="100" w:beforeAutospacing="1" w:after="100" w:afterAutospacing="1" w:line="360" w:lineRule="auto"/>
        <w:rPr>
          <w:rFonts w:ascii="Calibri Light" w:hAnsi="Calibri Light" w:cs="Calibri Light"/>
          <w:snapToGrid w:val="0"/>
          <w:color w:val="C00000"/>
          <w:szCs w:val="20"/>
          <w:lang w:val="en-US"/>
        </w:rPr>
      </w:pPr>
      <w:r w:rsidRPr="00AA04A4">
        <w:rPr>
          <w:rFonts w:ascii="Calibri Light" w:hAnsi="Calibri Light" w:cs="Calibri Light"/>
          <w:b/>
          <w:snapToGrid w:val="0"/>
          <w:szCs w:val="20"/>
          <w:lang w:val="en-US"/>
        </w:rPr>
        <w:t>Empowering schools</w:t>
      </w:r>
      <w:r w:rsidRPr="00AA04A4">
        <w:rPr>
          <w:rFonts w:ascii="Calibri Light" w:hAnsi="Calibri Light" w:cs="Calibri Light"/>
          <w:snapToGrid w:val="0"/>
          <w:szCs w:val="20"/>
          <w:lang w:val="en-US"/>
        </w:rPr>
        <w:t>. BESRA aims to empower school administrators by enabling them to independently identify education priorities and make decisions related to curriculum design, teacher hiring, facility maintenance, and other management aspects. Simultaneously with this delegation of responsibilities to the local level, BESRA introduced monitoring mechanisms that enhance the transparency and accountability of school administrators to DepEd and local division superintendents.</w:t>
      </w:r>
    </w:p>
    <w:p w14:paraId="248FFEE6" w14:textId="77777777" w:rsidR="008D0CAD" w:rsidRPr="00AA04A4" w:rsidRDefault="008D0CAD" w:rsidP="00DD08E3">
      <w:pPr>
        <w:widowControl w:val="0"/>
        <w:numPr>
          <w:ilvl w:val="0"/>
          <w:numId w:val="144"/>
        </w:numPr>
        <w:tabs>
          <w:tab w:val="left" w:pos="3686"/>
        </w:tabs>
        <w:spacing w:before="100" w:beforeAutospacing="1" w:after="100" w:afterAutospacing="1" w:line="360" w:lineRule="auto"/>
        <w:rPr>
          <w:rFonts w:ascii="Calibri Light" w:hAnsi="Calibri Light" w:cs="Calibri Light"/>
          <w:snapToGrid w:val="0"/>
          <w:color w:val="C00000"/>
          <w:szCs w:val="20"/>
          <w:lang w:val="en-US"/>
        </w:rPr>
      </w:pPr>
      <w:r w:rsidRPr="00AA04A4">
        <w:rPr>
          <w:rFonts w:ascii="Calibri Light" w:hAnsi="Calibri Light" w:cs="Calibri Light"/>
          <w:b/>
          <w:snapToGrid w:val="0"/>
          <w:szCs w:val="20"/>
          <w:lang w:val="en-US"/>
        </w:rPr>
        <w:t>Engaging communities</w:t>
      </w:r>
      <w:r w:rsidRPr="00AA04A4">
        <w:rPr>
          <w:rFonts w:ascii="Calibri Light" w:hAnsi="Calibri Light" w:cs="Calibri Light"/>
          <w:snapToGrid w:val="0"/>
          <w:szCs w:val="20"/>
          <w:lang w:val="en-US"/>
        </w:rPr>
        <w:t>. BESRA promotes the principle that those who are directly affected by the performance of a school are the ones who should be involved in its management. The reform therefore aspires to engage the stakeholders of each school in its decision-making and problem-solving processes. (Such stakeholders may include students, parents, teachers, administrators, local politicians, local businesses, local CSOs and groups, and other interested community members”.</w:t>
      </w:r>
    </w:p>
    <w:p w14:paraId="43328DCE" w14:textId="4198E517" w:rsidR="008D0CAD" w:rsidRPr="00AA04A4" w:rsidRDefault="008D0CAD" w:rsidP="00DD08E3">
      <w:pPr>
        <w:spacing w:before="100" w:beforeAutospacing="1" w:after="100" w:afterAutospacing="1" w:line="360" w:lineRule="auto"/>
        <w:rPr>
          <w:rFonts w:ascii="Calibri Light" w:hAnsi="Calibri Light" w:cs="Calibri Light"/>
          <w:bCs/>
          <w:color w:val="000000"/>
          <w:lang w:val="en-US"/>
        </w:rPr>
      </w:pPr>
      <w:r w:rsidRPr="00AA04A4">
        <w:rPr>
          <w:rFonts w:ascii="Calibri Light" w:hAnsi="Calibri Light" w:cs="Calibri Light"/>
          <w:bCs/>
          <w:color w:val="000000"/>
          <w:lang w:val="en-US"/>
        </w:rPr>
        <w:t xml:space="preserve">Development partners had aided in building the education department’s capacity in performing its functions and delivering its mandate at all governance levels – central office, regional offices, division offices and schools. Such forms of assistance were embodied in initiatives and </w:t>
      </w:r>
      <w:r w:rsidRPr="00AA04A4">
        <w:rPr>
          <w:rFonts w:ascii="Calibri Light" w:hAnsi="Calibri Light" w:cs="Calibri Light"/>
          <w:color w:val="000000"/>
          <w:lang w:val="en-US"/>
        </w:rPr>
        <w:t xml:space="preserve">programs </w:t>
      </w:r>
      <w:r w:rsidRPr="00AA04A4">
        <w:rPr>
          <w:rFonts w:ascii="Calibri Light" w:hAnsi="Calibri Light" w:cs="Calibri Light"/>
          <w:bCs/>
          <w:color w:val="000000"/>
          <w:lang w:val="en-US"/>
        </w:rPr>
        <w:t xml:space="preserve">that included the Third Elementary Education Project (TEEP) – implemented in 1998-2006, Secondary Education Development and Improvement Program (SEDIP) started in 1999, then </w:t>
      </w:r>
      <w:r w:rsidRPr="00AA04A4">
        <w:rPr>
          <w:rFonts w:ascii="Calibri Light" w:hAnsi="Calibri Light" w:cs="Calibri Light"/>
          <w:color w:val="000000"/>
          <w:lang w:val="en-US"/>
        </w:rPr>
        <w:t>Basic Education Sector Reform Agenda (BESRA) in 2001 which</w:t>
      </w:r>
      <w:r w:rsidRPr="00AA04A4">
        <w:rPr>
          <w:rFonts w:ascii="Calibri Light" w:hAnsi="Calibri Light" w:cs="Calibri Light"/>
          <w:bCs/>
          <w:color w:val="000000"/>
          <w:lang w:val="en-US"/>
        </w:rPr>
        <w:t xml:space="preserve"> are centered on the basic education sector itself.</w:t>
      </w:r>
      <w:r w:rsidR="00D434EB">
        <w:rPr>
          <w:rFonts w:ascii="Calibri Light" w:hAnsi="Calibri Light" w:cs="Calibri Light"/>
          <w:bCs/>
          <w:color w:val="000000"/>
          <w:lang w:val="en-US"/>
        </w:rPr>
        <w:t xml:space="preserve"> </w:t>
      </w:r>
      <w:r w:rsidRPr="00AA04A4">
        <w:rPr>
          <w:rFonts w:ascii="Calibri Light" w:hAnsi="Calibri Light" w:cs="Calibri Light"/>
          <w:bCs/>
          <w:color w:val="000000"/>
          <w:lang w:val="en-US"/>
        </w:rPr>
        <w:t xml:space="preserve"> </w:t>
      </w:r>
    </w:p>
    <w:p w14:paraId="0576DFEC" w14:textId="21997FBF" w:rsidR="008D0CAD" w:rsidRPr="00AA04A4" w:rsidRDefault="008D0CAD" w:rsidP="00DD08E3">
      <w:pPr>
        <w:spacing w:before="100" w:beforeAutospacing="1" w:after="100" w:afterAutospacing="1" w:line="360" w:lineRule="auto"/>
        <w:rPr>
          <w:rFonts w:ascii="Calibri Light" w:hAnsi="Calibri Light" w:cs="Calibri Light"/>
          <w:color w:val="000000"/>
          <w:lang w:val="en-US"/>
        </w:rPr>
      </w:pPr>
      <w:r w:rsidRPr="00AA04A4">
        <w:rPr>
          <w:rFonts w:ascii="Calibri Light" w:hAnsi="Calibri Light" w:cs="Calibri Light"/>
          <w:color w:val="000000"/>
          <w:lang w:val="en-US"/>
        </w:rPr>
        <w:t>BESRA (Basic Education Sector Reform Agenda) was an agenda during the De Jesus-Abad-Hidalgo years.</w:t>
      </w:r>
      <w:r w:rsidR="00D434EB">
        <w:rPr>
          <w:rFonts w:ascii="Calibri Light" w:hAnsi="Calibri Light" w:cs="Calibri Light"/>
          <w:color w:val="000000"/>
          <w:lang w:val="en-US"/>
        </w:rPr>
        <w:t xml:space="preserve"> </w:t>
      </w:r>
      <w:r w:rsidRPr="00AA04A4">
        <w:rPr>
          <w:rFonts w:ascii="Calibri Light" w:hAnsi="Calibri Light" w:cs="Calibri Light"/>
          <w:color w:val="000000"/>
          <w:lang w:val="en-US"/>
        </w:rPr>
        <w:t>During this period, FAPs –BEAM, STRIVE) were done regionally, not across the system.)</w:t>
      </w:r>
    </w:p>
    <w:p w14:paraId="3C790A2C" w14:textId="77777777" w:rsidR="008D0CAD" w:rsidRPr="00AA04A4" w:rsidRDefault="008D0CAD" w:rsidP="00DD08E3">
      <w:pPr>
        <w:spacing w:before="100" w:beforeAutospacing="1" w:after="100" w:afterAutospacing="1" w:line="360" w:lineRule="auto"/>
        <w:rPr>
          <w:rFonts w:ascii="Calibri Light" w:hAnsi="Calibri Light" w:cs="Calibri Light"/>
          <w:bCs/>
          <w:color w:val="000000"/>
          <w:lang w:val="en-US"/>
        </w:rPr>
      </w:pPr>
      <w:r w:rsidRPr="00AA04A4">
        <w:rPr>
          <w:rFonts w:ascii="Calibri Light" w:hAnsi="Calibri Light" w:cs="Calibri Light"/>
          <w:bCs/>
          <w:color w:val="000000"/>
          <w:lang w:val="en-US"/>
        </w:rPr>
        <w:t xml:space="preserve">There are context and area-specific interventions like Australia’s Basic Education Assistance in Mindanao (BEAM) implemented in 2002-2008, Philippine’s Response to Indigenous and Muslim Education (PRIME) implemented in 2005-2010 and </w:t>
      </w:r>
      <w:r w:rsidRPr="00AA04A4">
        <w:rPr>
          <w:rFonts w:ascii="Calibri Light" w:hAnsi="Calibri Light" w:cs="Calibri Light"/>
          <w:color w:val="000000"/>
          <w:shd w:val="clear" w:color="auto" w:fill="FFFFFF"/>
          <w:lang w:val="en-US"/>
        </w:rPr>
        <w:t>Strengthening the Implementation of Basic Education in Selected Provinces in the Visayas (STRIVE) Project implemented 2011-2014,</w:t>
      </w:r>
      <w:r w:rsidRPr="00AA04A4">
        <w:rPr>
          <w:rFonts w:ascii="Calibri Light" w:hAnsi="Calibri Light" w:cs="Calibri Light"/>
          <w:bCs/>
          <w:color w:val="000000"/>
          <w:lang w:val="en-US"/>
        </w:rPr>
        <w:t xml:space="preserve"> as well as the US-funded Growth with Equity in Mindanao (GEM) implemented in 1995 to 2013.</w:t>
      </w:r>
    </w:p>
    <w:p w14:paraId="0A87FE9F" w14:textId="77777777" w:rsidR="008D0CAD" w:rsidRPr="00AA04A4" w:rsidRDefault="008D0CAD" w:rsidP="00DD08E3">
      <w:pPr>
        <w:spacing w:before="100" w:beforeAutospacing="1" w:after="100" w:afterAutospacing="1" w:line="360" w:lineRule="auto"/>
        <w:rPr>
          <w:rFonts w:ascii="Calibri Light" w:eastAsia="MS Mincho" w:hAnsi="Calibri Light" w:cs="Calibri Light"/>
          <w:color w:val="000000"/>
          <w:lang w:val="en-US" w:eastAsia="ja-JP"/>
        </w:rPr>
      </w:pPr>
      <w:r w:rsidRPr="00AA04A4">
        <w:rPr>
          <w:rFonts w:ascii="Calibri Light" w:eastAsia="MS Mincho" w:hAnsi="Calibri Light" w:cs="Calibri Light"/>
          <w:color w:val="000000"/>
          <w:lang w:val="en-US" w:eastAsia="ja-JP"/>
        </w:rPr>
        <w:t xml:space="preserve">Specific outcomes were observed in these projects, but with specific nuances. For example, schools under the twenty-three divisions covered under the Third Elementary Education Project (TEEP) funded by the World Bank (WB) and the Japan Bank for International Cooperation (JBIC), pointed to positive outcomes of TEEP as an educational initiative. However, Bautista (2005) asserted that it was only TEEP schools with strong division support that exhibited outcomes like increased in NAT scores. However, as a consolation, research also disclosed that: </w:t>
      </w:r>
    </w:p>
    <w:p w14:paraId="1E3FDBED" w14:textId="77777777" w:rsidR="008D0CAD" w:rsidRPr="00AA04A4" w:rsidRDefault="008D0CAD" w:rsidP="00DD08E3">
      <w:pPr>
        <w:spacing w:before="100" w:beforeAutospacing="1" w:after="100" w:afterAutospacing="1" w:line="360" w:lineRule="auto"/>
        <w:ind w:left="1411" w:right="1469"/>
        <w:rPr>
          <w:rFonts w:ascii="Calibri Light" w:eastAsia="MS Mincho" w:hAnsi="Calibri Light" w:cs="Calibri Light"/>
          <w:color w:val="000000"/>
          <w:lang w:val="en-US" w:eastAsia="ja-JP"/>
        </w:rPr>
      </w:pPr>
      <w:r w:rsidRPr="00AA04A4">
        <w:rPr>
          <w:rFonts w:ascii="Calibri Light" w:eastAsia="MS Mincho" w:hAnsi="Calibri Light" w:cs="Calibri Light"/>
          <w:color w:val="000000"/>
          <w:lang w:val="en-US" w:eastAsia="ja-JP"/>
        </w:rPr>
        <w:t>“The TEEP experience affirms the wisdom of lodging decentralisation in the school divisions rather than the regional office. However, the TEEP set up where division superintendents accounted for their achievements in regular face-to-face work planning meetings on which the Project management based the granting of incentives or disincentives—e.g. additional support for good performance and the reallocation of unabsorbed funds to other divisions for those that are not able to move funds—impelled even the seemingly less supportive divisions in TEEP to make sure SBM was implemented in their schools. Thus, the average TEEP schools performed better in NAT than the other poor division clusters (Bautista, Ocampo and Bernardo, 2009: 26).”</w:t>
      </w:r>
    </w:p>
    <w:p w14:paraId="6FDECD56" w14:textId="106DD36B" w:rsidR="008D0CAD" w:rsidRPr="00AA04A4" w:rsidRDefault="008D0CAD" w:rsidP="00DD08E3">
      <w:pPr>
        <w:spacing w:before="100" w:beforeAutospacing="1" w:after="100" w:afterAutospacing="1" w:line="360" w:lineRule="auto"/>
        <w:rPr>
          <w:rFonts w:ascii="Calibri Light" w:eastAsia="Garamond" w:hAnsi="Calibri Light" w:cs="Calibri Light"/>
          <w:bCs/>
          <w:color w:val="000000"/>
          <w:lang w:val="en-US"/>
        </w:rPr>
      </w:pPr>
      <w:r w:rsidRPr="00AA04A4">
        <w:rPr>
          <w:rFonts w:ascii="Calibri Light" w:eastAsia="MS Mincho" w:hAnsi="Calibri Light" w:cs="Calibri Light"/>
          <w:color w:val="000000"/>
          <w:lang w:val="en-US" w:eastAsia="ja-JP"/>
        </w:rPr>
        <w:t xml:space="preserve">In 2005, a more systemic approach was considered under the </w:t>
      </w:r>
      <w:r w:rsidRPr="00AA04A4">
        <w:rPr>
          <w:rFonts w:ascii="Calibri Light" w:eastAsia="Garamond" w:hAnsi="Calibri Light" w:cs="Calibri Light"/>
          <w:bCs/>
          <w:color w:val="000000"/>
          <w:lang w:val="en-US"/>
        </w:rPr>
        <w:t>package of policy reforms called the Basic Education Sector Reform Agenda (BESRA) formulated in 2005.</w:t>
      </w:r>
      <w:r w:rsidR="00D434EB">
        <w:rPr>
          <w:rFonts w:ascii="Calibri Light" w:eastAsia="Garamond" w:hAnsi="Calibri Light" w:cs="Calibri Light"/>
          <w:bCs/>
          <w:color w:val="000000"/>
          <w:lang w:val="en-US"/>
        </w:rPr>
        <w:t xml:space="preserve"> </w:t>
      </w:r>
      <w:r w:rsidRPr="00AA04A4">
        <w:rPr>
          <w:rFonts w:ascii="Calibri Light" w:eastAsia="Garamond" w:hAnsi="Calibri Light" w:cs="Calibri Light"/>
          <w:bCs/>
          <w:color w:val="000000"/>
          <w:lang w:val="en-US"/>
        </w:rPr>
        <w:t>The specific policy actions comprising the BESRA were designed to create a basic education capable of attaining the Education for All (EFA) objectives. The BESRA presents five critical thrusts: 1) School-Based Management; 2) The Competency-Based Teacher Standards; 3) Quality Assurance and Accountability; 4) Early Childhood Education, Alternative Learning; and 5) focusing on DepEd as an organisation.</w:t>
      </w:r>
      <w:r w:rsidR="00D434EB">
        <w:rPr>
          <w:rFonts w:ascii="Calibri Light" w:eastAsia="Garamond" w:hAnsi="Calibri Light" w:cs="Calibri Light"/>
          <w:bCs/>
          <w:color w:val="000000"/>
          <w:lang w:val="en-US"/>
        </w:rPr>
        <w:t xml:space="preserve"> </w:t>
      </w:r>
      <w:r w:rsidRPr="00AA04A4">
        <w:rPr>
          <w:rFonts w:ascii="Calibri Light" w:eastAsia="Garamond" w:hAnsi="Calibri Light" w:cs="Calibri Light"/>
          <w:bCs/>
          <w:color w:val="000000"/>
          <w:lang w:val="en-US"/>
        </w:rPr>
        <w:t xml:space="preserve"> Further, DepEd is continuously developing and creating programs and initiatives to improve the quality and relevance of learning including the strengthening of capabilities in Educational Evaluation and Testing (Valisno, 2008). </w:t>
      </w:r>
    </w:p>
    <w:p w14:paraId="51784D88" w14:textId="77777777" w:rsidR="008D0CAD" w:rsidRPr="00AA04A4" w:rsidRDefault="008D0CAD" w:rsidP="00DD08E3">
      <w:pPr>
        <w:pStyle w:val="Heading3"/>
        <w:spacing w:before="100" w:beforeAutospacing="1" w:after="100" w:afterAutospacing="1" w:line="360" w:lineRule="auto"/>
        <w:rPr>
          <w:lang w:val="en-US" w:eastAsia="en-PH"/>
        </w:rPr>
      </w:pPr>
      <w:bookmarkStart w:id="334" w:name="_Toc16263673"/>
      <w:bookmarkStart w:id="335" w:name="_Toc16326732"/>
      <w:bookmarkStart w:id="336" w:name="_Toc39938399"/>
      <w:bookmarkStart w:id="337" w:name="_Toc69820503"/>
      <w:r w:rsidRPr="00AA04A4">
        <w:rPr>
          <w:lang w:val="en-US" w:eastAsia="en-PH"/>
        </w:rPr>
        <w:t>The Shift to K to 12 Curriculum</w:t>
      </w:r>
      <w:bookmarkEnd w:id="334"/>
      <w:bookmarkEnd w:id="335"/>
      <w:bookmarkEnd w:id="336"/>
      <w:bookmarkEnd w:id="337"/>
      <w:r w:rsidRPr="00AA04A4">
        <w:rPr>
          <w:lang w:val="en-US" w:eastAsia="en-PH"/>
        </w:rPr>
        <w:t xml:space="preserve"> </w:t>
      </w:r>
    </w:p>
    <w:p w14:paraId="0F434CD3" w14:textId="17F6771E" w:rsidR="008D0CAD" w:rsidRPr="00AA04A4" w:rsidRDefault="008D0CAD" w:rsidP="00DD08E3">
      <w:pPr>
        <w:spacing w:before="100" w:beforeAutospacing="1" w:after="100" w:afterAutospacing="1" w:line="360" w:lineRule="auto"/>
        <w:rPr>
          <w:rFonts w:ascii="Calibri Light" w:eastAsia="Garamond" w:hAnsi="Calibri Light" w:cs="Calibri Light"/>
          <w:bCs/>
          <w:color w:val="000000"/>
          <w:lang w:val="en-US"/>
        </w:rPr>
      </w:pPr>
      <w:r w:rsidRPr="00AA04A4">
        <w:rPr>
          <w:rFonts w:ascii="Calibri Light" w:eastAsia="Garamond" w:hAnsi="Calibri Light" w:cs="Calibri Light"/>
          <w:bCs/>
          <w:color w:val="000000"/>
          <w:lang w:val="en-US"/>
        </w:rPr>
        <w:t>The K-12 reform has been the major structural reform in basic education since 1988 when compulsory high school was introduced.</w:t>
      </w:r>
      <w:r w:rsidR="00D434EB">
        <w:rPr>
          <w:rFonts w:ascii="Calibri Light" w:eastAsia="Garamond" w:hAnsi="Calibri Light" w:cs="Calibri Light"/>
          <w:bCs/>
          <w:color w:val="000000"/>
          <w:lang w:val="en-US"/>
        </w:rPr>
        <w:t xml:space="preserve"> </w:t>
      </w:r>
      <w:r w:rsidRPr="00AA04A4">
        <w:rPr>
          <w:rFonts w:ascii="Calibri Light" w:eastAsia="Garamond" w:hAnsi="Calibri Light" w:cs="Calibri Light"/>
          <w:bCs/>
          <w:color w:val="000000"/>
          <w:lang w:val="en-US"/>
        </w:rPr>
        <w:t>The introduction of the additional three years of basic education schooling had a steep learning curve for the public education sector because it was totally new.</w:t>
      </w:r>
      <w:r w:rsidR="00D434EB">
        <w:rPr>
          <w:rFonts w:ascii="Calibri Light" w:eastAsia="Garamond" w:hAnsi="Calibri Light" w:cs="Calibri Light"/>
          <w:bCs/>
          <w:color w:val="000000"/>
          <w:lang w:val="en-US"/>
        </w:rPr>
        <w:t xml:space="preserve"> </w:t>
      </w:r>
      <w:r w:rsidRPr="00AA04A4">
        <w:rPr>
          <w:rFonts w:ascii="Calibri Light" w:eastAsia="Garamond" w:hAnsi="Calibri Light" w:cs="Calibri Light"/>
          <w:bCs/>
          <w:color w:val="000000"/>
          <w:lang w:val="en-US"/>
        </w:rPr>
        <w:t>This was less of a problem for private schools many of which offered Kindergarten and a Grade 7.</w:t>
      </w:r>
      <w:r w:rsidR="00D434EB">
        <w:rPr>
          <w:rFonts w:ascii="Calibri Light" w:eastAsia="Garamond" w:hAnsi="Calibri Light" w:cs="Calibri Light"/>
          <w:bCs/>
          <w:color w:val="000000"/>
          <w:lang w:val="en-US"/>
        </w:rPr>
        <w:t xml:space="preserve"> </w:t>
      </w:r>
      <w:r w:rsidRPr="00AA04A4">
        <w:rPr>
          <w:rFonts w:ascii="Calibri Light" w:eastAsia="Garamond" w:hAnsi="Calibri Light" w:cs="Calibri Light"/>
          <w:bCs/>
          <w:color w:val="000000"/>
          <w:lang w:val="en-US"/>
        </w:rPr>
        <w:t>The expansion of grades was so that the Philippines could match the global norm of 12 years of basic education plus universal kindergarten.</w:t>
      </w:r>
    </w:p>
    <w:p w14:paraId="23E6FC24" w14:textId="65446761" w:rsidR="008D0CAD" w:rsidRPr="00AA04A4" w:rsidRDefault="008D0CAD" w:rsidP="00DD08E3">
      <w:pPr>
        <w:spacing w:before="100" w:beforeAutospacing="1" w:after="100" w:afterAutospacing="1" w:line="360" w:lineRule="auto"/>
        <w:rPr>
          <w:rFonts w:ascii="Calibri Light" w:eastAsia="Garamond" w:hAnsi="Calibri Light" w:cs="Calibri Light"/>
          <w:bCs/>
          <w:color w:val="000000"/>
          <w:lang w:val="en-US"/>
        </w:rPr>
      </w:pPr>
      <w:r w:rsidRPr="00AA04A4">
        <w:rPr>
          <w:rFonts w:ascii="Calibri Light" w:eastAsia="Garamond" w:hAnsi="Calibri Light" w:cs="Calibri Light"/>
          <w:bCs/>
          <w:color w:val="000000"/>
          <w:lang w:val="en-US"/>
        </w:rPr>
        <w:t>The introduction of Kindergarten in the system added millions to the system in terms of enrollment (2.3 million in Kindergarten and around 2 million in Grades 11-12).</w:t>
      </w:r>
      <w:r w:rsidR="00D434EB">
        <w:rPr>
          <w:rFonts w:ascii="Calibri Light" w:eastAsia="Garamond" w:hAnsi="Calibri Light" w:cs="Calibri Light"/>
          <w:bCs/>
          <w:color w:val="000000"/>
          <w:lang w:val="en-US"/>
        </w:rPr>
        <w:t xml:space="preserve"> </w:t>
      </w:r>
      <w:r w:rsidRPr="00AA04A4">
        <w:rPr>
          <w:rFonts w:ascii="Calibri Light" w:eastAsia="Garamond" w:hAnsi="Calibri Light" w:cs="Calibri Light"/>
          <w:bCs/>
          <w:color w:val="000000"/>
          <w:lang w:val="en-US"/>
        </w:rPr>
        <w:t>With this increase in number of students, the teaching corps expanded by around 200,000 teachers over a five-year period (2013-2018).</w:t>
      </w:r>
    </w:p>
    <w:p w14:paraId="6F63C179" w14:textId="1EEFEC8E" w:rsidR="008D0CAD" w:rsidRPr="00AA04A4" w:rsidRDefault="008D0CAD" w:rsidP="00DD08E3">
      <w:pPr>
        <w:spacing w:before="100" w:beforeAutospacing="1" w:after="100" w:afterAutospacing="1" w:line="360" w:lineRule="auto"/>
        <w:rPr>
          <w:rFonts w:ascii="Calibri Light" w:eastAsia="Garamond" w:hAnsi="Calibri Light" w:cs="Calibri Light"/>
          <w:bCs/>
          <w:color w:val="000000"/>
          <w:lang w:val="en-US"/>
        </w:rPr>
      </w:pPr>
      <w:r w:rsidRPr="00AA04A4">
        <w:rPr>
          <w:rFonts w:ascii="Calibri Light" w:eastAsia="Garamond" w:hAnsi="Calibri Light" w:cs="Calibri Light"/>
          <w:bCs/>
          <w:color w:val="000000"/>
          <w:lang w:val="en-US"/>
        </w:rPr>
        <w:t>The addition of K and Senior High School were structural reforms that had no precedent in the system (Figure 1).</w:t>
      </w:r>
      <w:r w:rsidR="00D434EB">
        <w:rPr>
          <w:rFonts w:ascii="Calibri Light" w:eastAsia="Garamond" w:hAnsi="Calibri Light" w:cs="Calibri Light"/>
          <w:bCs/>
          <w:color w:val="000000"/>
          <w:lang w:val="en-US"/>
        </w:rPr>
        <w:t xml:space="preserve"> </w:t>
      </w:r>
      <w:r w:rsidRPr="00AA04A4">
        <w:rPr>
          <w:rFonts w:ascii="Calibri Light" w:eastAsia="Garamond" w:hAnsi="Calibri Light" w:cs="Calibri Light"/>
          <w:bCs/>
          <w:color w:val="000000"/>
          <w:lang w:val="en-US"/>
        </w:rPr>
        <w:t>Kindergarten or early childhood education was new to the system and required a new curriculum.</w:t>
      </w:r>
      <w:r w:rsidR="00D434EB">
        <w:rPr>
          <w:rFonts w:ascii="Calibri Light" w:eastAsia="Garamond" w:hAnsi="Calibri Light" w:cs="Calibri Light"/>
          <w:bCs/>
          <w:color w:val="000000"/>
          <w:lang w:val="en-US"/>
        </w:rPr>
        <w:t xml:space="preserve"> </w:t>
      </w:r>
      <w:r w:rsidRPr="00AA04A4">
        <w:rPr>
          <w:rFonts w:ascii="Calibri Light" w:eastAsia="Garamond" w:hAnsi="Calibri Light" w:cs="Calibri Light"/>
          <w:bCs/>
          <w:color w:val="000000"/>
          <w:lang w:val="en-US"/>
        </w:rPr>
        <w:t>Senior HS was likewise new to the system.</w:t>
      </w:r>
      <w:r w:rsidR="00D434EB">
        <w:rPr>
          <w:rFonts w:ascii="Calibri Light" w:eastAsia="Garamond" w:hAnsi="Calibri Light" w:cs="Calibri Light"/>
          <w:bCs/>
          <w:color w:val="000000"/>
          <w:lang w:val="en-US"/>
        </w:rPr>
        <w:t xml:space="preserve"> </w:t>
      </w:r>
      <w:r w:rsidRPr="00AA04A4">
        <w:rPr>
          <w:rFonts w:ascii="Calibri Light" w:eastAsia="Garamond" w:hAnsi="Calibri Light" w:cs="Calibri Light"/>
          <w:bCs/>
          <w:color w:val="000000"/>
          <w:lang w:val="en-US"/>
        </w:rPr>
        <w:t>To fill this need, DepEd took the approach of creating a new curriculum that would move General Education content taught in the first two years of university down to the senior high school level.</w:t>
      </w:r>
      <w:r w:rsidR="00D434EB">
        <w:rPr>
          <w:rFonts w:ascii="Calibri Light" w:eastAsia="Garamond" w:hAnsi="Calibri Light" w:cs="Calibri Light"/>
          <w:bCs/>
          <w:color w:val="000000"/>
          <w:lang w:val="en-US"/>
        </w:rPr>
        <w:t xml:space="preserve"> </w:t>
      </w:r>
    </w:p>
    <w:p w14:paraId="2DAB402A" w14:textId="780DC2FA" w:rsidR="008D0CAD" w:rsidRPr="00DD08E3" w:rsidRDefault="008D0CAD" w:rsidP="00DD08E3">
      <w:pPr>
        <w:spacing w:before="100" w:beforeAutospacing="1" w:after="100" w:afterAutospacing="1" w:line="360" w:lineRule="auto"/>
        <w:rPr>
          <w:rFonts w:ascii="Calibri Light" w:hAnsi="Calibri Light"/>
          <w:lang w:val="en-US"/>
        </w:rPr>
      </w:pPr>
      <w:r w:rsidRPr="00AA04A4">
        <w:rPr>
          <w:rFonts w:ascii="Calibri Light" w:hAnsi="Calibri Light"/>
          <w:lang w:val="en-US"/>
        </w:rPr>
        <w:t>The Kindergarten Act (RA 10157) widened the scope of education as it makes preschool for five-year-old Filipinos free, mandatory and compulsory. In line with this development was the curricular and education cycle reform that had been legally instituted through the Enhanced Basic Education Act of 2013 (RA 10533) or the K to 12 law that mandated the government to “</w:t>
      </w:r>
      <w:r w:rsidRPr="00AA04A4">
        <w:rPr>
          <w:rFonts w:ascii="Calibri Light" w:hAnsi="Calibri Light"/>
          <w:i/>
          <w:lang w:val="en-US"/>
        </w:rPr>
        <w:t>create a functional basic education system that will develop productive and responsible citizens equipped with the essential competencies, skills and values for both life-long learning and employment</w:t>
      </w:r>
      <w:r w:rsidRPr="00AA04A4">
        <w:rPr>
          <w:rFonts w:ascii="Calibri Light" w:hAnsi="Calibri Light"/>
          <w:lang w:val="en-US"/>
        </w:rPr>
        <w:t>.”</w:t>
      </w:r>
    </w:p>
    <w:p w14:paraId="1DC950A5" w14:textId="7552CE5D" w:rsidR="008D0CAD" w:rsidRPr="005424E3" w:rsidRDefault="008D0CAD" w:rsidP="00DD08E3">
      <w:pPr>
        <w:spacing w:before="100" w:beforeAutospacing="1" w:after="100" w:afterAutospacing="1" w:line="360" w:lineRule="auto"/>
        <w:ind w:left="360"/>
        <w:rPr>
          <w:rFonts w:asciiTheme="majorHAnsi" w:hAnsiTheme="majorHAnsi" w:cstheme="majorHAnsi"/>
          <w:bCs/>
          <w:i/>
          <w:iCs/>
          <w:color w:val="44546A" w:themeColor="text2"/>
          <w:sz w:val="22"/>
          <w:lang w:val="en-AU"/>
        </w:rPr>
      </w:pPr>
      <w:r w:rsidRPr="005424E3">
        <w:rPr>
          <w:rFonts w:asciiTheme="majorHAnsi" w:hAnsiTheme="majorHAnsi" w:cstheme="majorHAnsi"/>
          <w:bCs/>
          <w:i/>
          <w:iCs/>
          <w:color w:val="44546A" w:themeColor="text2"/>
          <w:sz w:val="22"/>
          <w:lang w:val="en-AU"/>
        </w:rPr>
        <w:t>Figure 1.</w:t>
      </w:r>
      <w:r w:rsidR="00D434EB">
        <w:rPr>
          <w:rFonts w:asciiTheme="majorHAnsi" w:hAnsiTheme="majorHAnsi" w:cstheme="majorHAnsi"/>
          <w:bCs/>
          <w:i/>
          <w:iCs/>
          <w:color w:val="44546A" w:themeColor="text2"/>
          <w:sz w:val="22"/>
          <w:lang w:val="en-AU"/>
        </w:rPr>
        <w:t xml:space="preserve"> </w:t>
      </w:r>
      <w:r w:rsidRPr="005424E3">
        <w:rPr>
          <w:rFonts w:asciiTheme="majorHAnsi" w:hAnsiTheme="majorHAnsi" w:cstheme="majorHAnsi"/>
          <w:bCs/>
          <w:i/>
          <w:iCs/>
          <w:color w:val="44546A" w:themeColor="text2"/>
          <w:sz w:val="22"/>
          <w:lang w:val="en-AU"/>
        </w:rPr>
        <w:t>K to 12 Curriculum</w:t>
      </w:r>
    </w:p>
    <w:p w14:paraId="3A28765A" w14:textId="784D1030" w:rsidR="008D0CAD" w:rsidRPr="00D608F7" w:rsidRDefault="008D0CAD" w:rsidP="00DD08E3">
      <w:pPr>
        <w:spacing w:before="100" w:beforeAutospacing="1" w:after="100" w:afterAutospacing="1" w:line="360" w:lineRule="auto"/>
        <w:rPr>
          <w:rFonts w:ascii="Calibri Light" w:eastAsia="Garamond" w:hAnsi="Calibri Light" w:cs="Calibri Light"/>
          <w:bCs/>
          <w:color w:val="000000"/>
          <w:lang w:val="en-US"/>
        </w:rPr>
      </w:pPr>
      <w:r w:rsidRPr="00AA04A4">
        <w:rPr>
          <w:noProof/>
          <w:lang w:val="en-AU" w:eastAsia="en-AU"/>
        </w:rPr>
        <w:drawing>
          <wp:inline distT="0" distB="0" distL="0" distR="0" wp14:anchorId="6F2AB7FF" wp14:editId="54E1AE3E">
            <wp:extent cx="5361620" cy="3333115"/>
            <wp:effectExtent l="0" t="0" r="0" b="635"/>
            <wp:docPr id="24" name="Picture 24" descr="Diagram of the K to 12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 of the K to 12 Curriculum"/>
                    <pic:cNvPicPr/>
                  </pic:nvPicPr>
                  <pic:blipFill rotWithShape="1">
                    <a:blip r:embed="rId65"/>
                    <a:srcRect l="31575" t="48039" r="35369" b="15414"/>
                    <a:stretch/>
                  </pic:blipFill>
                  <pic:spPr bwMode="auto">
                    <a:xfrm>
                      <a:off x="0" y="0"/>
                      <a:ext cx="5377459" cy="3342962"/>
                    </a:xfrm>
                    <a:prstGeom prst="rect">
                      <a:avLst/>
                    </a:prstGeom>
                    <a:ln>
                      <a:noFill/>
                    </a:ln>
                    <a:extLst>
                      <a:ext uri="{53640926-AAD7-44D8-BBD7-CCE9431645EC}">
                        <a14:shadowObscured xmlns:a14="http://schemas.microsoft.com/office/drawing/2010/main"/>
                      </a:ext>
                    </a:extLst>
                  </pic:spPr>
                </pic:pic>
              </a:graphicData>
            </a:graphic>
          </wp:inline>
        </w:drawing>
      </w:r>
    </w:p>
    <w:p w14:paraId="3D5135BC" w14:textId="6167BC81" w:rsidR="008D0CAD" w:rsidRPr="00AA04A4" w:rsidRDefault="008D0CAD" w:rsidP="00DD08E3">
      <w:pPr>
        <w:spacing w:before="100" w:beforeAutospacing="1" w:after="100" w:afterAutospacing="1" w:line="360" w:lineRule="auto"/>
        <w:rPr>
          <w:rFonts w:ascii="Calibri Light" w:hAnsi="Calibri Light"/>
          <w:snapToGrid w:val="0"/>
          <w:szCs w:val="20"/>
          <w:lang w:val="en-US"/>
        </w:rPr>
      </w:pPr>
      <w:r w:rsidRPr="00AA04A4">
        <w:rPr>
          <w:rFonts w:ascii="Calibri Light" w:hAnsi="Calibri Light"/>
          <w:snapToGrid w:val="0"/>
          <w:lang w:val="en-AU" w:eastAsia="en-AU"/>
        </w:rPr>
        <w:t xml:space="preserve">The </w:t>
      </w:r>
      <w:r w:rsidRPr="00AA04A4">
        <w:rPr>
          <w:rFonts w:ascii="Calibri Light" w:hAnsi="Calibri Light" w:cs="Calibri"/>
          <w:snapToGrid w:val="0"/>
          <w:lang w:val="en-US"/>
        </w:rPr>
        <w:t>transition</w:t>
      </w:r>
      <w:r w:rsidRPr="00AA04A4">
        <w:rPr>
          <w:rFonts w:ascii="Calibri Light" w:hAnsi="Calibri Light" w:cs="Apple Chancery"/>
          <w:snapToGrid w:val="0"/>
          <w:szCs w:val="20"/>
          <w:lang w:val="en-GB"/>
        </w:rPr>
        <w:t xml:space="preserve"> to K to 12 was the focus of education reform programs in basic education in the Philippines and was considered as essential </w:t>
      </w:r>
      <w:r w:rsidRPr="00AA04A4">
        <w:rPr>
          <w:rFonts w:ascii="Calibri Light" w:hAnsi="Calibri Light"/>
          <w:snapToGrid w:val="0"/>
          <w:lang w:val="en-AU" w:eastAsia="en-AU"/>
        </w:rPr>
        <w:t>for bringing the education system at par with international standards (Okabe, 2013; Adarlo and Jackson, 2017).</w:t>
      </w:r>
      <w:r w:rsidR="00D434EB">
        <w:rPr>
          <w:rFonts w:ascii="Calibri Light" w:hAnsi="Calibri Light"/>
          <w:snapToGrid w:val="0"/>
          <w:lang w:val="en-AU" w:eastAsia="en-AU"/>
        </w:rPr>
        <w:t xml:space="preserve"> </w:t>
      </w:r>
      <w:r w:rsidRPr="00AA04A4">
        <w:rPr>
          <w:rFonts w:ascii="Calibri Light" w:hAnsi="Calibri Light" w:cs="Apple Chancery"/>
          <w:snapToGrid w:val="0"/>
          <w:szCs w:val="20"/>
          <w:lang w:val="en-GB"/>
        </w:rPr>
        <w:t xml:space="preserve">As of 2013, the Philippines remained the only Asian country and one of the three countries worldwide with only 10 years of pre-university education, which translates into disadvantages for the Philippines (Adarlo and Jackson, 2017). </w:t>
      </w:r>
      <w:r w:rsidRPr="00AA04A4">
        <w:rPr>
          <w:rFonts w:ascii="Calibri Light" w:hAnsi="Calibri Light"/>
          <w:snapToGrid w:val="0"/>
          <w:szCs w:val="20"/>
          <w:lang w:val="en-US"/>
        </w:rPr>
        <w:t xml:space="preserve">The addition of SHS intended to bring the Philippines’ basic education system more into line with international standards and make SHS graduates more competitive domestically and globally. With Republic Act 10533 or the Enhanced Basic Education Act (popularly known as the Kto12 law), the Philippines finally embarked on its most ground-breaking change to the schooling system in decades, the K-12 reform. </w:t>
      </w:r>
    </w:p>
    <w:p w14:paraId="6F873B5F" w14:textId="63B79DD8" w:rsidR="008D0CAD" w:rsidRPr="00AA04A4" w:rsidRDefault="008D0CAD" w:rsidP="00DD08E3">
      <w:pPr>
        <w:spacing w:before="100" w:beforeAutospacing="1" w:after="100" w:afterAutospacing="1" w:line="360" w:lineRule="auto"/>
        <w:rPr>
          <w:rFonts w:ascii="Calibri Light" w:hAnsi="Calibri Light"/>
          <w:snapToGrid w:val="0"/>
          <w:szCs w:val="20"/>
          <w:lang w:val="en-US"/>
        </w:rPr>
      </w:pPr>
      <w:r w:rsidRPr="00AA04A4">
        <w:rPr>
          <w:rFonts w:ascii="Calibri Light" w:hAnsi="Calibri Light"/>
          <w:snapToGrid w:val="0"/>
          <w:szCs w:val="20"/>
          <w:lang w:val="en-US"/>
        </w:rPr>
        <w:t>K-12 extended compulsory schooling to grades 11 and 12, adding two years to secondary school, and makes secondary education compulsory. Prior to its implementation, the Philippines was the only country in Asia, and one of only a few in the world, to have a basic education system of just 10 years. The EBEA also mandated kindergarten as the start of compulsory formal education, while the Kindergarten Act of 2012 made pre-school free. In August 2016, 1.5m Filipino children attended 11th grade, with senior school students choosing between four tracks through the system: academic, technical-vocational, sports or the arts.</w:t>
      </w:r>
      <w:r w:rsidR="00D434EB">
        <w:rPr>
          <w:rFonts w:ascii="Calibri Light" w:hAnsi="Calibri Light"/>
          <w:snapToGrid w:val="0"/>
          <w:szCs w:val="20"/>
          <w:lang w:val="en-US"/>
        </w:rPr>
        <w:t xml:space="preserve"> </w:t>
      </w:r>
      <w:r w:rsidRPr="00AA04A4">
        <w:rPr>
          <w:rFonts w:ascii="Calibri Light" w:hAnsi="Calibri Light"/>
          <w:snapToGrid w:val="0"/>
          <w:szCs w:val="20"/>
          <w:lang w:val="en-US"/>
        </w:rPr>
        <w:t xml:space="preserve">At the start of SY 2016–2017, SHS (grades 11 and 12) will offer a core curriculum and specialisations in four tracks: academic, technical-vocational and livelihood, sports, and arts and design. </w:t>
      </w:r>
    </w:p>
    <w:p w14:paraId="31FD8FB1" w14:textId="77777777" w:rsidR="008D0CAD" w:rsidRPr="00AA04A4" w:rsidRDefault="008D0CAD" w:rsidP="00DD08E3">
      <w:pPr>
        <w:spacing w:before="100" w:beforeAutospacing="1" w:after="100" w:afterAutospacing="1" w:line="360" w:lineRule="auto"/>
        <w:rPr>
          <w:rFonts w:ascii="Calibri Light" w:hAnsi="Calibri Light" w:cs="Calibri Light"/>
          <w:lang w:val="en-US" w:eastAsia="en-PH"/>
        </w:rPr>
      </w:pPr>
      <w:r w:rsidRPr="00AA04A4">
        <w:rPr>
          <w:rFonts w:ascii="Calibri Light" w:hAnsi="Calibri Light" w:cs="Calibri Light"/>
          <w:lang w:val="en-US" w:eastAsia="en-PH"/>
        </w:rPr>
        <w:t>The transition to K to 12 program extended compulsory schooling to Grades 11 and 12, adding two years to secondary education compulsory. Prior to its implementation, the Philippines was the only country in Asia, and one of only a few in the world, to have a basic education system of just 10 years. In support of the Kindergarten ACT of 2012, the EBEA mandated kindergarten as the start of compulsory formal education. Kto12 was implemented to address the demands and challenges of the 21</w:t>
      </w:r>
      <w:r w:rsidRPr="00AA04A4">
        <w:rPr>
          <w:rFonts w:ascii="Calibri Light" w:hAnsi="Calibri Light" w:cs="Calibri Light"/>
          <w:vertAlign w:val="superscript"/>
          <w:lang w:val="en-US" w:eastAsia="en-PH"/>
        </w:rPr>
        <w:t>st</w:t>
      </w:r>
      <w:r w:rsidRPr="00AA04A4">
        <w:rPr>
          <w:rFonts w:ascii="Calibri Light" w:hAnsi="Calibri Light" w:cs="Calibri Light"/>
          <w:lang w:val="en-US" w:eastAsia="en-PH"/>
        </w:rPr>
        <w:t xml:space="preserve"> century (ACTRC, 2015; Adarlo and Jackson, 2017; Leviste, 2019). </w:t>
      </w:r>
      <w:r w:rsidRPr="00AA04A4">
        <w:rPr>
          <w:rFonts w:ascii="Calibri Light" w:hAnsi="Calibri Light" w:cs="Calibri Light"/>
          <w:spacing w:val="2"/>
          <w:shd w:val="clear" w:color="auto" w:fill="FCFCFC"/>
          <w:lang w:val="en-US"/>
        </w:rPr>
        <w:t>Adarlo and Jackson (2017: 277) explained that: “interrelated curricular changes, which emphasize a student-centered, culturally responsive, inclusive, and integrative approach, came from the growing need to address issues impacted by globalisation, namely poverty alleviation, sustainable development, and peaceful co-existence. Although the impact of these educational reforms on the cohort of students undergoing the full K-12 system has yet to be seen, the curriculum guides released by the Department of Education reflect how the younger Filipinos are envisioned to confront the twenty-first century”.</w:t>
      </w:r>
    </w:p>
    <w:p w14:paraId="677E4D98" w14:textId="77777777" w:rsidR="008D0CAD" w:rsidRPr="00AA04A4" w:rsidRDefault="008D0CAD" w:rsidP="00DD08E3">
      <w:pPr>
        <w:pStyle w:val="Heading3"/>
        <w:spacing w:before="100" w:beforeAutospacing="1" w:after="100" w:afterAutospacing="1" w:line="360" w:lineRule="auto"/>
        <w:rPr>
          <w:lang w:val="en-US" w:eastAsia="en-PH"/>
        </w:rPr>
      </w:pPr>
      <w:bookmarkStart w:id="338" w:name="_Toc16263674"/>
      <w:bookmarkStart w:id="339" w:name="_Toc16326733"/>
      <w:bookmarkStart w:id="340" w:name="_Toc39938400"/>
      <w:bookmarkStart w:id="341" w:name="_Toc69820504"/>
      <w:r w:rsidRPr="00AA04A4">
        <w:rPr>
          <w:lang w:val="en-US" w:eastAsia="en-PH"/>
        </w:rPr>
        <w:t>Australian Development Assistance in the Philippines</w:t>
      </w:r>
      <w:bookmarkEnd w:id="338"/>
      <w:bookmarkEnd w:id="339"/>
      <w:bookmarkEnd w:id="340"/>
      <w:bookmarkEnd w:id="341"/>
    </w:p>
    <w:p w14:paraId="7373A751" w14:textId="37634ADB" w:rsidR="008D0CAD" w:rsidRPr="00AA04A4" w:rsidRDefault="008D0CAD" w:rsidP="00DD08E3">
      <w:pPr>
        <w:shd w:val="clear" w:color="auto" w:fill="FFFFFF"/>
        <w:spacing w:before="100" w:beforeAutospacing="1" w:after="100" w:afterAutospacing="1" w:line="360" w:lineRule="auto"/>
        <w:rPr>
          <w:rFonts w:ascii="Calibri Light" w:hAnsi="Calibri Light" w:cs="Calibri Light"/>
          <w:lang w:val="en-US"/>
        </w:rPr>
      </w:pPr>
      <w:r w:rsidRPr="00AA04A4">
        <w:rPr>
          <w:rFonts w:ascii="Calibri Light" w:hAnsi="Calibri Light" w:cs="Calibri Light"/>
          <w:lang w:val="en-US"/>
        </w:rPr>
        <w:t xml:space="preserve">The diplomatic relationship between the Philippines and Australia can be traced back to 1946 but investments in education </w:t>
      </w:r>
      <w:r w:rsidR="005A77AA">
        <w:rPr>
          <w:rFonts w:ascii="Calibri Light" w:hAnsi="Calibri Light" w:cs="Calibri Light"/>
          <w:lang w:val="en-US"/>
        </w:rPr>
        <w:t>accelerated</w:t>
      </w:r>
      <w:r w:rsidRPr="00AA04A4">
        <w:rPr>
          <w:rFonts w:ascii="Calibri Light" w:hAnsi="Calibri Light" w:cs="Calibri Light"/>
          <w:lang w:val="en-US"/>
        </w:rPr>
        <w:t xml:space="preserve"> in 2002 where increase in aid can be marked through the years (DFAT, 2019). </w:t>
      </w:r>
      <w:r w:rsidRPr="00AA04A4">
        <w:rPr>
          <w:rFonts w:ascii="Calibri Light" w:hAnsi="Calibri Light" w:cs="Calibri Light"/>
          <w:spacing w:val="2"/>
          <w:lang w:val="en-US" w:eastAsia="en-PH"/>
        </w:rPr>
        <w:t xml:space="preserve">With the goal of alleviating poverty in the region, Australia’s Department of Foreign Aid and Trade (DFAT) categorised its aid investments with focus in the following: </w:t>
      </w:r>
      <w:hyperlink r:id="rId66" w:history="1">
        <w:r w:rsidRPr="00AA04A4">
          <w:rPr>
            <w:rFonts w:ascii="Calibri Light" w:hAnsi="Calibri Light" w:cs="Calibri Light"/>
            <w:spacing w:val="2"/>
            <w:lang w:val="en-US" w:eastAsia="en-PH"/>
          </w:rPr>
          <w:t>Infrastructure, trade facilitation and international competitiveness</w:t>
        </w:r>
      </w:hyperlink>
      <w:r w:rsidRPr="00AA04A4">
        <w:rPr>
          <w:rFonts w:ascii="Calibri Light" w:hAnsi="Calibri Light" w:cs="Calibri Light"/>
          <w:spacing w:val="2"/>
          <w:lang w:val="en-US" w:eastAsia="en-PH"/>
        </w:rPr>
        <w:t xml:space="preserve">, </w:t>
      </w:r>
      <w:hyperlink r:id="rId67" w:history="1">
        <w:r w:rsidRPr="00AA04A4">
          <w:rPr>
            <w:rFonts w:ascii="Calibri Light" w:hAnsi="Calibri Light" w:cs="Calibri Light"/>
            <w:spacing w:val="2"/>
            <w:lang w:val="en-US" w:eastAsia="en-PH"/>
          </w:rPr>
          <w:t>Agriculture, fisheries and water</w:t>
        </w:r>
      </w:hyperlink>
      <w:r w:rsidRPr="00AA04A4">
        <w:rPr>
          <w:rFonts w:ascii="Calibri Light" w:hAnsi="Calibri Light" w:cs="Calibri Light"/>
          <w:spacing w:val="2"/>
          <w:lang w:val="en-US" w:eastAsia="en-PH"/>
        </w:rPr>
        <w:t xml:space="preserve">, Effective governance: policies, institutions and functioning economies, </w:t>
      </w:r>
      <w:hyperlink r:id="rId68" w:history="1">
        <w:r w:rsidRPr="00AA04A4">
          <w:rPr>
            <w:rFonts w:ascii="Calibri Light" w:hAnsi="Calibri Light" w:cs="Calibri Light"/>
            <w:spacing w:val="2"/>
            <w:lang w:val="en-US" w:eastAsia="en-PH"/>
          </w:rPr>
          <w:t>Education and health</w:t>
        </w:r>
      </w:hyperlink>
      <w:r w:rsidRPr="00AA04A4">
        <w:rPr>
          <w:rFonts w:ascii="Calibri Light" w:hAnsi="Calibri Light" w:cs="Calibri Light"/>
          <w:spacing w:val="2"/>
          <w:lang w:val="en-US" w:eastAsia="en-PH"/>
        </w:rPr>
        <w:t xml:space="preserve">, </w:t>
      </w:r>
      <w:hyperlink r:id="rId69" w:history="1">
        <w:r w:rsidRPr="00AA04A4">
          <w:rPr>
            <w:rFonts w:ascii="Calibri Light" w:hAnsi="Calibri Light" w:cs="Calibri Light"/>
            <w:spacing w:val="2"/>
            <w:lang w:val="en-US" w:eastAsia="en-PH"/>
          </w:rPr>
          <w:t>Building resilience: humanitarian assistance, disaster risk reduction and social protection</w:t>
        </w:r>
      </w:hyperlink>
      <w:r w:rsidRPr="00AA04A4">
        <w:rPr>
          <w:rFonts w:ascii="Calibri Light" w:hAnsi="Calibri Light" w:cs="Calibri Light"/>
          <w:spacing w:val="2"/>
          <w:lang w:val="en-US" w:eastAsia="en-PH"/>
        </w:rPr>
        <w:t xml:space="preserve">, </w:t>
      </w:r>
      <w:hyperlink r:id="rId70" w:history="1">
        <w:r w:rsidRPr="00AA04A4">
          <w:rPr>
            <w:rFonts w:ascii="Calibri Light" w:hAnsi="Calibri Light" w:cs="Calibri Light"/>
            <w:spacing w:val="2"/>
            <w:lang w:val="en-US" w:eastAsia="en-PH"/>
          </w:rPr>
          <w:t>Gender equality and empowering women and girls</w:t>
        </w:r>
      </w:hyperlink>
      <w:r w:rsidRPr="00AA04A4">
        <w:rPr>
          <w:rFonts w:ascii="Calibri Light" w:hAnsi="Calibri Light" w:cs="Calibri Light"/>
          <w:lang w:val="en-US"/>
        </w:rPr>
        <w:t xml:space="preserve"> (DFAT, 2015). </w:t>
      </w:r>
    </w:p>
    <w:p w14:paraId="36E6CC3B" w14:textId="162F4069" w:rsidR="008D0CAD" w:rsidRPr="00AA04A4" w:rsidRDefault="008D0CAD" w:rsidP="00DD08E3">
      <w:pPr>
        <w:shd w:val="clear" w:color="auto" w:fill="FFFFFF"/>
        <w:spacing w:before="100" w:beforeAutospacing="1" w:after="100" w:afterAutospacing="1" w:line="360" w:lineRule="auto"/>
        <w:rPr>
          <w:rFonts w:ascii="Calibri Light" w:hAnsi="Calibri Light" w:cs="Calibri Light"/>
          <w:spacing w:val="2"/>
          <w:shd w:val="clear" w:color="auto" w:fill="FFFFFF"/>
          <w:lang w:val="en-US"/>
        </w:rPr>
      </w:pPr>
      <w:r w:rsidRPr="00AA04A4">
        <w:rPr>
          <w:rFonts w:ascii="Calibri Light" w:hAnsi="Calibri Light" w:cs="Calibri Light"/>
          <w:lang w:val="en-US"/>
        </w:rPr>
        <w:t>Australian development policy shifted to focus on “sector-based approaches as more effective means of aid delivery” in 2006 (Cassity, 2010: 508).</w:t>
      </w:r>
      <w:r w:rsidR="00D434EB">
        <w:rPr>
          <w:rFonts w:ascii="Calibri Light" w:hAnsi="Calibri Light" w:cs="Calibri Light"/>
          <w:lang w:val="en-US"/>
        </w:rPr>
        <w:t xml:space="preserve"> </w:t>
      </w:r>
      <w:r w:rsidRPr="00AA04A4">
        <w:rPr>
          <w:rFonts w:ascii="Calibri Light" w:hAnsi="Calibri Light" w:cs="Calibri Light"/>
          <w:lang w:val="en-US"/>
        </w:rPr>
        <w:t>While in 2015, Australia’s Aid for Trade Policy started to concentrate on assisting</w:t>
      </w:r>
      <w:r w:rsidRPr="00AA04A4">
        <w:rPr>
          <w:rFonts w:ascii="Calibri Light" w:hAnsi="Calibri Light" w:cs="Calibri Light"/>
          <w:spacing w:val="2"/>
          <w:shd w:val="clear" w:color="auto" w:fill="FFFFFF"/>
          <w:lang w:val="en-US"/>
        </w:rPr>
        <w:t xml:space="preserve"> developing countries like the Philippines in addressing internal constraints to trade such as cumbersome regulations, poor infrastructure, and lack of workforce skills (DFAT, 2015). In doing so, the program’s key objective of reducing poverty in the region becomes realisable. </w:t>
      </w:r>
    </w:p>
    <w:p w14:paraId="4F35CC5F" w14:textId="2DC6C6ED" w:rsidR="008D0CAD" w:rsidRPr="00AA04A4" w:rsidRDefault="008D0CAD" w:rsidP="00DD08E3">
      <w:pPr>
        <w:shd w:val="clear" w:color="auto" w:fill="FFFFFF"/>
        <w:spacing w:before="100" w:beforeAutospacing="1" w:after="100" w:afterAutospacing="1" w:line="360" w:lineRule="auto"/>
        <w:rPr>
          <w:rFonts w:ascii="Calibri Light" w:hAnsi="Calibri Light" w:cs="Calibri Light"/>
          <w:iCs/>
          <w:spacing w:val="2"/>
          <w:lang w:val="en-US" w:eastAsia="en-PH"/>
        </w:rPr>
      </w:pPr>
      <w:r w:rsidRPr="00AA04A4">
        <w:rPr>
          <w:rFonts w:ascii="Calibri Light" w:hAnsi="Calibri Light" w:cs="Calibri Light"/>
          <w:spacing w:val="2"/>
          <w:shd w:val="clear" w:color="auto" w:fill="FFFFFF"/>
          <w:lang w:val="en-US"/>
        </w:rPr>
        <w:t>This policy was also based on World Bank’s Report in 2001 which states that, without participating in international trade, a country cannot achieve high and lasting growth (World Bank, 2001).</w:t>
      </w:r>
      <w:r w:rsidR="00D434EB">
        <w:rPr>
          <w:rFonts w:ascii="Calibri Light" w:hAnsi="Calibri Light" w:cs="Calibri Light"/>
          <w:spacing w:val="2"/>
          <w:shd w:val="clear" w:color="auto" w:fill="FFFFFF"/>
          <w:lang w:val="en-US"/>
        </w:rPr>
        <w:t xml:space="preserve"> </w:t>
      </w:r>
      <w:r w:rsidRPr="00AA04A4">
        <w:rPr>
          <w:rFonts w:ascii="Calibri Light" w:hAnsi="Calibri Light" w:cs="Calibri Light"/>
          <w:spacing w:val="2"/>
          <w:shd w:val="clear" w:color="auto" w:fill="FFFFFF"/>
          <w:lang w:val="en-US"/>
        </w:rPr>
        <w:t xml:space="preserve">Investments </w:t>
      </w:r>
      <w:r w:rsidRPr="00AA04A4">
        <w:rPr>
          <w:rFonts w:ascii="Calibri Light" w:hAnsi="Calibri Light" w:cs="Calibri Light"/>
          <w:lang w:val="en-US" w:eastAsia="en-PH"/>
        </w:rPr>
        <w:t xml:space="preserve">in education and health recognises the vital role of these sectors in </w:t>
      </w:r>
      <w:r w:rsidRPr="00AA04A4">
        <w:rPr>
          <w:rFonts w:ascii="Calibri Light" w:hAnsi="Calibri Light" w:cs="Calibri Light"/>
          <w:spacing w:val="2"/>
          <w:lang w:val="en-US" w:eastAsia="en-PH"/>
        </w:rPr>
        <w:t xml:space="preserve">improving livelihoods, enabling poor people to participate in the economy and lifting living standards This will then allow economic growth that is beneficial in the region. DFAT’s basic education thrust in the Philippines is part of its efforts in </w:t>
      </w:r>
      <w:r w:rsidRPr="00AA04A4">
        <w:rPr>
          <w:rFonts w:ascii="Calibri Light" w:hAnsi="Calibri Light" w:cs="Calibri Light"/>
          <w:iCs/>
          <w:spacing w:val="2"/>
          <w:lang w:val="en-US" w:eastAsia="en-PH"/>
        </w:rPr>
        <w:t>changes to education systems and policies in order to deliver better services in the region (DFAT, 2018).</w:t>
      </w:r>
    </w:p>
    <w:p w14:paraId="5DEE49A7" w14:textId="77777777" w:rsidR="008D0CAD" w:rsidRPr="00AA04A4" w:rsidRDefault="008D0CAD" w:rsidP="00DD08E3">
      <w:pPr>
        <w:shd w:val="clear" w:color="auto" w:fill="FFFFFF"/>
        <w:spacing w:before="100" w:beforeAutospacing="1" w:after="100" w:afterAutospacing="1" w:line="360" w:lineRule="auto"/>
        <w:rPr>
          <w:rFonts w:ascii="Calibri Light" w:hAnsi="Calibri Light" w:cs="Calibri Light"/>
          <w:lang w:val="en-US"/>
        </w:rPr>
      </w:pPr>
      <w:r w:rsidRPr="00AA04A4">
        <w:rPr>
          <w:rFonts w:ascii="Calibri Light" w:hAnsi="Calibri Light" w:cs="Calibri Light"/>
          <w:spacing w:val="2"/>
          <w:lang w:val="en-US" w:eastAsia="en-PH"/>
        </w:rPr>
        <w:t xml:space="preserve">The Official Development Assistance (ODA) of the National Economic Development Authority (NEDA) lists grants and loans accessed by the country to aid in the promotion of development and economic welfare of the country as defined in RA 8182 or the ODA Act of 1996. Several of these grants identified the Department of Education as the implementing agency. OECD-DAC (2009) reported that </w:t>
      </w:r>
      <w:r w:rsidRPr="00AA04A4">
        <w:rPr>
          <w:rFonts w:ascii="Calibri Light" w:hAnsi="Calibri Light" w:cs="Calibri Light"/>
          <w:lang w:val="en-US"/>
        </w:rPr>
        <w:t xml:space="preserve">Australia’s support to the education sector, especially basic education, may be considered the largest of any of the bilateral donors. This is generally consistent with the trend that Australia views education as a key sector in its overseas development program (AusAID, 2008; Cassity, 2010). In fact, trends reveal that Australia’s ODA commitments to the Philippines have increased starting 2006 to 2009 and has been sustained up to now (AusAID, 2008; OECD-DAC, 2009; Cassity, 2010). </w:t>
      </w:r>
    </w:p>
    <w:p w14:paraId="198C7026" w14:textId="77777777" w:rsidR="008D0CAD" w:rsidRPr="00AA04A4" w:rsidRDefault="008D0CAD" w:rsidP="00DD08E3">
      <w:pPr>
        <w:shd w:val="clear" w:color="auto" w:fill="FFFFFF"/>
        <w:spacing w:before="100" w:beforeAutospacing="1" w:after="100" w:afterAutospacing="1" w:line="360" w:lineRule="auto"/>
        <w:rPr>
          <w:rFonts w:ascii="Calibri Light" w:hAnsi="Calibri Light" w:cs="Calibri Light"/>
          <w:lang w:val="en-US"/>
        </w:rPr>
      </w:pPr>
      <w:r w:rsidRPr="00AA04A4">
        <w:rPr>
          <w:rFonts w:ascii="Calibri Light" w:hAnsi="Calibri Light" w:cs="Calibri Light"/>
          <w:lang w:val="en-US"/>
        </w:rPr>
        <w:t xml:space="preserve">Australia’s initial support on systems’ building has been through development of the in partnership with the World Bank and the DepEd under the Basic Education Sector Reform Agenda (BESRA) initiated in 2005; BESRA’s five key reform themes are: “improvement of schools; enabling teachers to enhance their contribution to learning outcomes; social support to learning; complementary interventions to improve education outcomes; and, changing DepEd’s institutional culture” (Cassity 2010: 515). </w:t>
      </w:r>
    </w:p>
    <w:p w14:paraId="3BB72B89" w14:textId="77777777" w:rsidR="008D0CAD" w:rsidRPr="00AA04A4" w:rsidRDefault="008D0CAD" w:rsidP="00DD08E3">
      <w:pPr>
        <w:shd w:val="clear" w:color="auto" w:fill="FFFFFF"/>
        <w:spacing w:before="100" w:beforeAutospacing="1" w:after="100" w:afterAutospacing="1" w:line="360" w:lineRule="auto"/>
        <w:rPr>
          <w:rFonts w:ascii="Calibri Light" w:hAnsi="Calibri Light" w:cs="Calibri Light"/>
          <w:lang w:val="en-US"/>
        </w:rPr>
      </w:pPr>
      <w:r w:rsidRPr="00AA04A4">
        <w:rPr>
          <w:rFonts w:ascii="Calibri Light" w:hAnsi="Calibri Light" w:cs="Calibri Light"/>
          <w:lang w:val="en-US"/>
        </w:rPr>
        <w:t xml:space="preserve">With an administration agreement with the World Bank, Australia’s education support to the Philippines had been through two major projects until 2007 with the development of the Support for Support to Basic Education Reforms (SPHERE) Trust Fund, though the Basic Education Assistance to Mindanao Stage 2 (BEAM II) implemented in 2004–2009 and Strengthening Implementation of Visayas Education (STRIVE) implemented in 2005–2010. Philippines Response to Indigenous People’s Muslim Education (PRIME), </w:t>
      </w:r>
      <w:r w:rsidRPr="00AA04A4">
        <w:rPr>
          <w:rFonts w:ascii="Calibri Light" w:hAnsi="Calibri Light" w:cs="Calibri Light"/>
          <w:color w:val="000000"/>
          <w:shd w:val="clear" w:color="auto" w:fill="FFFFFF"/>
          <w:lang w:val="en-US"/>
        </w:rPr>
        <w:t xml:space="preserve">was launched in July 2011, was designed to develop learning materials, train teachers, and develop appropriate curricula that are culturally sensitive and relevant to indigenous and Muslim children; PRIME </w:t>
      </w:r>
      <w:r w:rsidRPr="00AA04A4">
        <w:rPr>
          <w:rFonts w:ascii="Calibri Light" w:hAnsi="Calibri Light" w:cs="Calibri Light"/>
          <w:lang w:val="en-US"/>
        </w:rPr>
        <w:t xml:space="preserve">was able to engage and strengthen local schools and communities to attract IP and Muslim youths in learning institutions (AusAID, 2012 a; Cornerlio and De Castro, 2015). </w:t>
      </w:r>
    </w:p>
    <w:p w14:paraId="7D0DF66A" w14:textId="77777777" w:rsidR="008D0CAD" w:rsidRPr="00AA04A4" w:rsidRDefault="008D0CAD" w:rsidP="00DD08E3">
      <w:pPr>
        <w:shd w:val="clear" w:color="auto" w:fill="FFFFFF"/>
        <w:spacing w:before="100" w:beforeAutospacing="1" w:after="100" w:afterAutospacing="1" w:line="360" w:lineRule="auto"/>
        <w:rPr>
          <w:rFonts w:ascii="Calibri Light" w:hAnsi="Calibri Light" w:cs="Calibri Light"/>
          <w:color w:val="000000"/>
          <w:lang w:val="en-US"/>
        </w:rPr>
      </w:pPr>
      <w:r w:rsidRPr="00AA04A4">
        <w:rPr>
          <w:rFonts w:ascii="Calibri Light" w:hAnsi="Calibri Light" w:cs="Calibri Light"/>
          <w:lang w:val="en-US"/>
        </w:rPr>
        <w:t xml:space="preserve">In addition, under SPHERE, </w:t>
      </w:r>
      <w:r w:rsidRPr="00AA04A4">
        <w:rPr>
          <w:rFonts w:ascii="Calibri Light" w:hAnsi="Calibri Light" w:cs="Calibri Light"/>
          <w:color w:val="000000"/>
          <w:lang w:val="en-US"/>
        </w:rPr>
        <w:t>support to DepEd included: provision of technical assistance for strategic policy areas and building the capacity of DepEd to implement and manage change in line with BESRA reforms; strengthening the capacity of DepEd’s regional offices to undertake quality assurance functions; construction and refurbishment of Teaching and Learning Resource Centers across the country, including information and communication technology facilities to support quality assurance functions and improve teaching learning and assessment; and reproduction and dissemination of teaching and learning materials (except textbooks) and training programs. In addition, this also supported school-based management programs for disadvantaged elementary schools for their school improvement plans, as well as construction of classrooms in identified priority schools in Southern Philippines under the DepEd-managed School Building Program. </w:t>
      </w:r>
    </w:p>
    <w:p w14:paraId="1BB343EF" w14:textId="77777777" w:rsidR="008D0CAD" w:rsidRPr="00AA04A4" w:rsidRDefault="008D0CAD" w:rsidP="00DD08E3">
      <w:pPr>
        <w:shd w:val="clear" w:color="auto" w:fill="FFFFFF"/>
        <w:spacing w:before="100" w:beforeAutospacing="1" w:after="100" w:afterAutospacing="1" w:line="360" w:lineRule="auto"/>
        <w:rPr>
          <w:rFonts w:ascii="Calibri Light" w:hAnsi="Calibri Light" w:cs="Calibri Light"/>
          <w:lang w:val="en-US"/>
        </w:rPr>
      </w:pPr>
      <w:r w:rsidRPr="00AA04A4">
        <w:rPr>
          <w:rFonts w:ascii="Calibri Light" w:hAnsi="Calibri Light" w:cs="Calibri Light"/>
          <w:color w:val="000000"/>
          <w:lang w:val="en-US"/>
        </w:rPr>
        <w:t xml:space="preserve">Cassity (2010: 71) emphasized that </w:t>
      </w:r>
      <w:r w:rsidRPr="00AA04A4">
        <w:rPr>
          <w:rFonts w:ascii="Calibri Light" w:hAnsi="Calibri Light" w:cs="Calibri Light"/>
          <w:lang w:val="en-US"/>
        </w:rPr>
        <w:t>Australia’s support for Philippine basic education is “consistent with the Paris Declaration Alignment indicator of donors using strengthened country systems, particularly through reviews conducted through BESRA. This policy focus makes clear endeavors to meet the Alignment target of the Paris Declaration, and specifically through the indicator of aligning with partners’ strategies”.</w:t>
      </w:r>
    </w:p>
    <w:p w14:paraId="4741F261" w14:textId="77777777" w:rsidR="008D0CAD" w:rsidRPr="00AA04A4" w:rsidRDefault="008D0CAD" w:rsidP="00DD08E3">
      <w:pPr>
        <w:spacing w:before="100" w:beforeAutospacing="1" w:after="100" w:afterAutospacing="1" w:line="360" w:lineRule="auto"/>
        <w:rPr>
          <w:rFonts w:ascii="Calibri Light" w:hAnsi="Calibri Light" w:cs="Calibri Light"/>
          <w:lang w:val="en-US"/>
        </w:rPr>
      </w:pPr>
      <w:r w:rsidRPr="00AA04A4">
        <w:rPr>
          <w:rFonts w:ascii="Calibri Light" w:hAnsi="Calibri Light" w:cs="Calibri Light"/>
          <w:lang w:val="en-US"/>
        </w:rPr>
        <w:t>The Basic Education Sector Transformation (BEST) is the 11</w:t>
      </w:r>
      <w:r w:rsidRPr="00AA04A4">
        <w:rPr>
          <w:rFonts w:ascii="Calibri Light" w:hAnsi="Calibri Light" w:cs="Calibri Light"/>
          <w:vertAlign w:val="superscript"/>
          <w:lang w:val="en-US"/>
        </w:rPr>
        <w:t>th</w:t>
      </w:r>
      <w:r w:rsidRPr="00AA04A4">
        <w:rPr>
          <w:rFonts w:ascii="Calibri Light" w:hAnsi="Calibri Light" w:cs="Calibri Light"/>
          <w:lang w:val="en-US"/>
        </w:rPr>
        <w:t xml:space="preserve"> partnership between the Governments of the Philippines and Australia and the largest project since 1989. It is one of the three identified initiatives in the Education Delivery Strategy of 2013-2023. </w:t>
      </w:r>
    </w:p>
    <w:p w14:paraId="47FC42D0" w14:textId="77777777" w:rsidR="008D0CAD" w:rsidRPr="00AA04A4" w:rsidRDefault="008D0CAD" w:rsidP="00DD08E3">
      <w:pPr>
        <w:pStyle w:val="Heading3"/>
        <w:spacing w:before="100" w:beforeAutospacing="1" w:after="100" w:afterAutospacing="1" w:line="360" w:lineRule="auto"/>
        <w:rPr>
          <w:lang w:val="en-US" w:eastAsia="en-PH"/>
        </w:rPr>
      </w:pPr>
      <w:bookmarkStart w:id="342" w:name="_Toc16263675"/>
      <w:bookmarkStart w:id="343" w:name="_Toc16326734"/>
      <w:bookmarkStart w:id="344" w:name="_Toc39938401"/>
      <w:bookmarkStart w:id="345" w:name="_Toc69820505"/>
      <w:r w:rsidRPr="00AA04A4">
        <w:rPr>
          <w:lang w:val="en-US" w:eastAsia="en-PH"/>
        </w:rPr>
        <w:t>Basic Education Sector Transformation (BEST) Program</w:t>
      </w:r>
      <w:bookmarkEnd w:id="342"/>
      <w:bookmarkEnd w:id="343"/>
      <w:bookmarkEnd w:id="344"/>
      <w:bookmarkEnd w:id="345"/>
    </w:p>
    <w:p w14:paraId="339BFBA8" w14:textId="3DCA3037" w:rsidR="008D0CAD" w:rsidRPr="00AA04A4" w:rsidRDefault="008D0CAD" w:rsidP="00DD08E3">
      <w:pPr>
        <w:spacing w:before="100" w:beforeAutospacing="1" w:after="100" w:afterAutospacing="1" w:line="360" w:lineRule="auto"/>
        <w:rPr>
          <w:rFonts w:ascii="Calibri Light" w:hAnsi="Calibri Light" w:cs="Calibri Light"/>
          <w:lang w:val="en-US"/>
        </w:rPr>
      </w:pPr>
      <w:r w:rsidRPr="00AA04A4">
        <w:rPr>
          <w:rFonts w:ascii="Calibri Light" w:hAnsi="Calibri Light" w:cs="Calibri Light"/>
          <w:lang w:val="en-US"/>
        </w:rPr>
        <w:t xml:space="preserve">The Basic Education Sector Transformation (BEST) Program </w:t>
      </w:r>
      <w:r w:rsidRPr="00AA04A4">
        <w:rPr>
          <w:rFonts w:ascii="Calibri Light" w:hAnsi="Calibri Light" w:cs="Calibri Light"/>
          <w:color w:val="000000"/>
          <w:lang w:val="en-US"/>
        </w:rPr>
        <w:t xml:space="preserve">was a six-year program (2013-2019) designed to ensure the improvement of quality, access and governance in the Philippine basic education. The </w:t>
      </w:r>
      <w:r w:rsidRPr="00AA04A4">
        <w:rPr>
          <w:rFonts w:ascii="Calibri Light" w:hAnsi="Calibri Light" w:cs="Calibri Light"/>
          <w:lang w:val="en-US"/>
        </w:rPr>
        <w:t>BEST Program was facilitated by Cardno Emerging Markets and was initially conceptualised to be a 12-year program.</w:t>
      </w:r>
      <w:r w:rsidR="00D434EB">
        <w:rPr>
          <w:rFonts w:ascii="Calibri Light" w:hAnsi="Calibri Light" w:cs="Calibri Light"/>
          <w:lang w:val="en-US"/>
        </w:rPr>
        <w:t xml:space="preserve"> </w:t>
      </w:r>
      <w:r w:rsidRPr="00AA04A4">
        <w:rPr>
          <w:rFonts w:ascii="Calibri Light" w:hAnsi="Calibri Light" w:cs="Calibri Light"/>
          <w:lang w:val="en-US"/>
        </w:rPr>
        <w:t>It was later reduced to a six-year program from 2013-2019 although it officially started in August of 2014.</w:t>
      </w:r>
      <w:r w:rsidRPr="00AA04A4">
        <w:rPr>
          <w:rFonts w:ascii="Calibri Light" w:hAnsi="Calibri Light" w:cs="Calibri Light"/>
          <w:vertAlign w:val="superscript"/>
          <w:lang w:val="en-US"/>
        </w:rPr>
        <w:footnoteReference w:id="137"/>
      </w:r>
      <w:r w:rsidRPr="00AA04A4">
        <w:rPr>
          <w:rFonts w:ascii="Calibri Light" w:hAnsi="Calibri Light" w:cs="Calibri Light"/>
          <w:lang w:val="en-US"/>
        </w:rPr>
        <w:t xml:space="preserve"> DFAT (2018: 6) reported that: “although BEST officially commenced in its current form in August 2014 it has only been effectively implemented for two and a half years up until August 2017 due in part to the slow mobilisation period and the changes in administration and programming. The design was originally for a 12-year program with corresponding end of program outcomes (EOPOs)” (DFAT, 2018). This was brought about by reductions in Australian aid budget resulted in adjustments to BEST planned activities as well as dropping some activities (DFAT, 2018). It must be noted that </w:t>
      </w:r>
      <w:r w:rsidRPr="00AA04A4">
        <w:rPr>
          <w:rFonts w:ascii="Calibri Light" w:hAnsi="Calibri Light" w:cs="Calibri Light"/>
          <w:iCs/>
          <w:lang w:val="en-US"/>
        </w:rPr>
        <w:t>BEST was designed as a scalable program, and DFAT considered the changes had little impact on effectiveness (DFAT, 2015)</w:t>
      </w:r>
      <w:r w:rsidRPr="00AA04A4">
        <w:rPr>
          <w:rFonts w:ascii="Calibri Light" w:hAnsi="Calibri Light" w:cs="Calibri Light"/>
          <w:lang w:val="en-US"/>
        </w:rPr>
        <w:t xml:space="preserve">. </w:t>
      </w:r>
    </w:p>
    <w:p w14:paraId="02122A8F" w14:textId="10A877B7" w:rsidR="008D0CAD" w:rsidRPr="00AA04A4" w:rsidRDefault="008D0CAD" w:rsidP="00DD08E3">
      <w:pPr>
        <w:spacing w:before="100" w:beforeAutospacing="1" w:after="100" w:afterAutospacing="1" w:line="360" w:lineRule="auto"/>
        <w:rPr>
          <w:rFonts w:ascii="Calibri Light" w:hAnsi="Calibri Light" w:cs="Calibri Light"/>
          <w:lang w:val="en-US"/>
        </w:rPr>
      </w:pPr>
      <w:r w:rsidRPr="00AA04A4">
        <w:rPr>
          <w:rFonts w:ascii="Calibri Light" w:hAnsi="Calibri Light" w:cs="Calibri Light"/>
          <w:lang w:val="en-US"/>
        </w:rPr>
        <w:t>On a similar situation, the Philippines held its national elections in 2016, which resulted to changes in leadership positions. This required reorientation of the new leaders to ensure that previous works started will continue.</w:t>
      </w:r>
      <w:r w:rsidR="00D434EB">
        <w:rPr>
          <w:rFonts w:ascii="Calibri Light" w:hAnsi="Calibri Light" w:cs="Calibri Light"/>
          <w:lang w:val="en-US"/>
        </w:rPr>
        <w:t xml:space="preserve"> </w:t>
      </w:r>
    </w:p>
    <w:p w14:paraId="0DF77137" w14:textId="77777777" w:rsidR="008D0CAD" w:rsidRPr="00AA04A4" w:rsidRDefault="008D0CAD" w:rsidP="00DD08E3">
      <w:pPr>
        <w:shd w:val="clear" w:color="auto" w:fill="FFFFFF"/>
        <w:spacing w:before="100" w:beforeAutospacing="1" w:after="100" w:afterAutospacing="1" w:line="360" w:lineRule="auto"/>
        <w:rPr>
          <w:rFonts w:ascii="Calibri Light" w:hAnsi="Calibri Light" w:cs="Calibri Light"/>
          <w:color w:val="000000"/>
          <w:lang w:val="en-US"/>
        </w:rPr>
      </w:pPr>
      <w:r w:rsidRPr="00AA04A4">
        <w:rPr>
          <w:rFonts w:ascii="Calibri Light" w:hAnsi="Calibri Light" w:cs="Calibri Light"/>
          <w:color w:val="000000"/>
          <w:lang w:val="en-US"/>
        </w:rPr>
        <w:t>The BEST Program objectives aimed to contribute to: (1) improved quality of education outcomes; (2) more equitable access of all people at all levels of education; and (3) improved service delivery through better governance. At the end of Year 6 (2018-19) implementation, the program supposedly envisioned the following outcomes:</w:t>
      </w:r>
    </w:p>
    <w:p w14:paraId="68BF0679" w14:textId="77777777" w:rsidR="008D0CAD" w:rsidRPr="00AA04A4" w:rsidRDefault="008D0CAD" w:rsidP="00DD08E3">
      <w:pPr>
        <w:widowControl w:val="0"/>
        <w:numPr>
          <w:ilvl w:val="0"/>
          <w:numId w:val="148"/>
        </w:numPr>
        <w:shd w:val="clear" w:color="auto" w:fill="FFFFFF"/>
        <w:spacing w:before="100" w:beforeAutospacing="1" w:after="100" w:afterAutospacing="1" w:line="360" w:lineRule="auto"/>
        <w:rPr>
          <w:rFonts w:ascii="Calibri Light" w:hAnsi="Calibri Light" w:cs="Calibri Light"/>
          <w:snapToGrid w:val="0"/>
          <w:color w:val="000000"/>
          <w:szCs w:val="20"/>
          <w:lang w:val="en-US"/>
        </w:rPr>
      </w:pPr>
      <w:r w:rsidRPr="00AA04A4">
        <w:rPr>
          <w:rFonts w:ascii="Calibri Light" w:hAnsi="Calibri Light" w:cs="Calibri Light"/>
          <w:snapToGrid w:val="0"/>
          <w:color w:val="000000"/>
          <w:szCs w:val="20"/>
          <w:lang w:val="en-US"/>
        </w:rPr>
        <w:t>More children are able to demonstrate improved mastery of basic education curriculum competencies (especially in English, Mathematics and Science) and difference in learning outcomes for boys and girls are reduced in target areas.</w:t>
      </w:r>
    </w:p>
    <w:p w14:paraId="03684958" w14:textId="77777777" w:rsidR="008D0CAD" w:rsidRPr="00AA04A4" w:rsidRDefault="008D0CAD" w:rsidP="00DD08E3">
      <w:pPr>
        <w:widowControl w:val="0"/>
        <w:numPr>
          <w:ilvl w:val="0"/>
          <w:numId w:val="148"/>
        </w:numPr>
        <w:shd w:val="clear" w:color="auto" w:fill="FFFFFF"/>
        <w:spacing w:before="100" w:beforeAutospacing="1" w:after="100" w:afterAutospacing="1" w:line="360" w:lineRule="auto"/>
        <w:rPr>
          <w:rFonts w:ascii="Calibri Light" w:hAnsi="Calibri Light" w:cs="Calibri Light"/>
          <w:snapToGrid w:val="0"/>
          <w:color w:val="000000"/>
          <w:szCs w:val="20"/>
          <w:lang w:val="en-US"/>
        </w:rPr>
      </w:pPr>
      <w:r w:rsidRPr="00AA04A4">
        <w:rPr>
          <w:rFonts w:ascii="Calibri Light" w:hAnsi="Calibri Light" w:cs="Calibri Light"/>
          <w:snapToGrid w:val="0"/>
          <w:color w:val="000000"/>
          <w:szCs w:val="20"/>
          <w:lang w:val="en-US"/>
        </w:rPr>
        <w:t>More boys and girls participate in and complete education in target areas.</w:t>
      </w:r>
    </w:p>
    <w:p w14:paraId="52D27256" w14:textId="77777777" w:rsidR="008D0CAD" w:rsidRPr="00AA04A4" w:rsidRDefault="008D0CAD" w:rsidP="00DD08E3">
      <w:pPr>
        <w:widowControl w:val="0"/>
        <w:numPr>
          <w:ilvl w:val="0"/>
          <w:numId w:val="148"/>
        </w:numPr>
        <w:shd w:val="clear" w:color="auto" w:fill="FFFFFF"/>
        <w:spacing w:before="100" w:beforeAutospacing="1" w:after="100" w:afterAutospacing="1" w:line="360" w:lineRule="auto"/>
        <w:rPr>
          <w:rFonts w:ascii="Calibri Light" w:hAnsi="Calibri Light" w:cs="Calibri Light"/>
          <w:snapToGrid w:val="0"/>
          <w:color w:val="000000"/>
          <w:szCs w:val="20"/>
          <w:lang w:val="en-US"/>
        </w:rPr>
      </w:pPr>
      <w:r w:rsidRPr="00AA04A4">
        <w:rPr>
          <w:rFonts w:ascii="Calibri Light" w:hAnsi="Calibri Light" w:cs="Calibri Light"/>
          <w:snapToGrid w:val="0"/>
          <w:color w:val="000000"/>
          <w:szCs w:val="20"/>
          <w:lang w:val="en-US"/>
        </w:rPr>
        <w:t>Department of Education (DepEd) is better able to deliver basic education services that is more gender responsive and inclusive and with greater decentralisation of management and accountability to the field offices and schools.</w:t>
      </w:r>
    </w:p>
    <w:p w14:paraId="6E791E03" w14:textId="77777777" w:rsidR="008D0CAD" w:rsidRPr="00AA04A4" w:rsidRDefault="008D0CAD" w:rsidP="00DD08E3">
      <w:pPr>
        <w:spacing w:before="100" w:beforeAutospacing="1" w:after="100" w:afterAutospacing="1" w:line="360" w:lineRule="auto"/>
        <w:rPr>
          <w:rFonts w:ascii="Calibri Light" w:hAnsi="Calibri Light" w:cs="Calibri Light"/>
          <w:lang w:val="en-US"/>
        </w:rPr>
      </w:pPr>
      <w:r w:rsidRPr="00AA04A4">
        <w:rPr>
          <w:rFonts w:ascii="Calibri Light" w:hAnsi="Calibri Light" w:cs="Calibri Light"/>
          <w:lang w:val="en-US"/>
        </w:rPr>
        <w:t>BEST, from the start had four (4) partners then later on partnered with three (3) more institutions. Its seven (7) partner organisations are, Department of Education (DepEd), Commission on Higher Education (CHED), Philippine Business for Education (PBEd), Philippine Business for Social Progress (PBSP), Research Center for Teacher Quality (RCTQ), Assessment, Curriculum, Technology Research Centre (ACTRC), with Cardno Emerging Markets as the Facilitating Contractor.</w:t>
      </w:r>
    </w:p>
    <w:p w14:paraId="378151F3" w14:textId="77777777" w:rsidR="008D0CAD" w:rsidRPr="00AA04A4" w:rsidRDefault="008D0CAD" w:rsidP="00DD08E3">
      <w:pPr>
        <w:shd w:val="clear" w:color="auto" w:fill="FFFFFF"/>
        <w:spacing w:before="100" w:beforeAutospacing="1" w:after="100" w:afterAutospacing="1" w:line="360" w:lineRule="auto"/>
        <w:rPr>
          <w:rFonts w:ascii="Calibri Light" w:hAnsi="Calibri Light" w:cs="Calibri Light"/>
          <w:lang w:val="en-US"/>
        </w:rPr>
      </w:pPr>
      <w:r w:rsidRPr="00AA04A4">
        <w:rPr>
          <w:rFonts w:ascii="Calibri Light" w:hAnsi="Calibri Light" w:cs="Calibri Light"/>
          <w:lang w:val="en-US"/>
        </w:rPr>
        <w:t>While BEST is designed as a national program, intensive support was provided across six target area regions namely: National Capital Region, Region 5 – Bicol, Region 6 – Western Visayas, Region 7 – Central Visayas, Region 8 – Eastern Visayas, and Region 10 – Northern Mindanao. Intensive support was given to these selected regions as they were judged to be well prepared to participate fully in BEST based on equity considerations as well as established readiness indicators.</w:t>
      </w:r>
    </w:p>
    <w:p w14:paraId="7731B0AA" w14:textId="77777777" w:rsidR="008D0CAD" w:rsidRPr="00AA04A4" w:rsidRDefault="008D0CAD" w:rsidP="00DD08E3">
      <w:pPr>
        <w:shd w:val="clear" w:color="auto" w:fill="FFFFFF"/>
        <w:spacing w:before="100" w:beforeAutospacing="1" w:after="100" w:afterAutospacing="1" w:line="360" w:lineRule="auto"/>
        <w:rPr>
          <w:rFonts w:ascii="Calibri Light" w:hAnsi="Calibri Light" w:cs="Calibri Light"/>
          <w:color w:val="000000"/>
          <w:lang w:val="en-US"/>
        </w:rPr>
      </w:pPr>
      <w:r w:rsidRPr="00AA04A4">
        <w:rPr>
          <w:rFonts w:ascii="Calibri Light" w:hAnsi="Calibri Light" w:cs="Calibri Light"/>
          <w:color w:val="000000"/>
          <w:lang w:val="en-US"/>
        </w:rPr>
        <w:t>It strived to ensure that DepEd is better able to deliver basic education services that are more gender responsive and inclusive, and with greater decentralisation and accountability of the field offices and schools. Moreover, the BEST Program proposed to contribute to the improvement of the preparedness of school graduates in the Philippines to participate productively in the workforce, in technical vocational training and to undertake further study. It directly supported the Philippine Government’s shift from a 10-year to a 12-year program for basic education or the Kindergarten to Grade 12 (K-12) reform.</w:t>
      </w:r>
    </w:p>
    <w:p w14:paraId="48535E59" w14:textId="77777777" w:rsidR="008D0CAD" w:rsidRPr="00AA04A4" w:rsidRDefault="008D0CAD" w:rsidP="00DD08E3">
      <w:pPr>
        <w:shd w:val="clear" w:color="auto" w:fill="FFFFFF"/>
        <w:spacing w:before="100" w:beforeAutospacing="1" w:after="100" w:afterAutospacing="1" w:line="360" w:lineRule="auto"/>
        <w:rPr>
          <w:rFonts w:ascii="Calibri Light" w:hAnsi="Calibri Light" w:cs="Calibri Light"/>
          <w:color w:val="000000"/>
          <w:lang w:val="en-US"/>
        </w:rPr>
      </w:pPr>
      <w:r w:rsidRPr="00AA04A4">
        <w:rPr>
          <w:rFonts w:ascii="Calibri Light" w:hAnsi="Calibri Light" w:cs="Calibri Light"/>
          <w:color w:val="000000"/>
          <w:lang w:val="en-US"/>
        </w:rPr>
        <w:t>The BEST Program followed three strategic focus:</w:t>
      </w:r>
    </w:p>
    <w:p w14:paraId="41574816" w14:textId="77777777" w:rsidR="008D0CAD" w:rsidRPr="00AA04A4" w:rsidRDefault="008D0CAD" w:rsidP="00DD08E3">
      <w:pPr>
        <w:shd w:val="clear" w:color="auto" w:fill="FFFFFF"/>
        <w:spacing w:before="100" w:beforeAutospacing="1" w:after="100" w:afterAutospacing="1" w:line="360" w:lineRule="auto"/>
        <w:textAlignment w:val="baseline"/>
        <w:rPr>
          <w:rFonts w:ascii="Calibri Light" w:hAnsi="Calibri Light" w:cs="Calibri Light"/>
          <w:color w:val="000000"/>
          <w:u w:val="single"/>
          <w:lang w:val="en-US"/>
        </w:rPr>
      </w:pPr>
      <w:r w:rsidRPr="00AA04A4">
        <w:rPr>
          <w:rFonts w:ascii="Calibri Light" w:hAnsi="Calibri Light" w:cs="Calibri Light"/>
          <w:color w:val="000000"/>
          <w:u w:val="single"/>
          <w:lang w:val="en-US"/>
        </w:rPr>
        <w:t>Pillar 1: Teacher Development</w:t>
      </w:r>
    </w:p>
    <w:p w14:paraId="4C753FF8" w14:textId="77777777" w:rsidR="008D0CAD" w:rsidRPr="00AA04A4" w:rsidRDefault="008D0CAD" w:rsidP="00DD08E3">
      <w:pPr>
        <w:numPr>
          <w:ilvl w:val="0"/>
          <w:numId w:val="139"/>
        </w:numPr>
        <w:shd w:val="clear" w:color="auto" w:fill="FFFFFF"/>
        <w:spacing w:before="100" w:beforeAutospacing="1" w:after="100" w:afterAutospacing="1" w:line="360" w:lineRule="auto"/>
        <w:textAlignment w:val="baseline"/>
        <w:rPr>
          <w:rFonts w:ascii="Calibri Light" w:hAnsi="Calibri Light" w:cs="Calibri Light"/>
          <w:color w:val="000000"/>
          <w:lang w:val="en-US"/>
        </w:rPr>
      </w:pPr>
      <w:r w:rsidRPr="00AA04A4">
        <w:rPr>
          <w:rFonts w:ascii="Calibri Light" w:hAnsi="Calibri Light" w:cs="Calibri Light"/>
          <w:color w:val="000000"/>
          <w:lang w:val="en-US"/>
        </w:rPr>
        <w:t>Learning and Development System Trial: Strengthening Standards-Based Teacher Professional Development</w:t>
      </w:r>
    </w:p>
    <w:p w14:paraId="4923EDFA" w14:textId="77777777" w:rsidR="008D0CAD" w:rsidRPr="00AA04A4" w:rsidRDefault="008D0CAD" w:rsidP="00DD08E3">
      <w:pPr>
        <w:numPr>
          <w:ilvl w:val="0"/>
          <w:numId w:val="139"/>
        </w:numPr>
        <w:shd w:val="clear" w:color="auto" w:fill="FFFFFF"/>
        <w:spacing w:before="100" w:beforeAutospacing="1" w:after="100" w:afterAutospacing="1" w:line="360" w:lineRule="auto"/>
        <w:textAlignment w:val="baseline"/>
        <w:rPr>
          <w:rFonts w:ascii="Calibri Light" w:hAnsi="Calibri Light" w:cs="Calibri Light"/>
          <w:color w:val="000000"/>
          <w:lang w:val="en-US"/>
        </w:rPr>
      </w:pPr>
      <w:r w:rsidRPr="00AA04A4">
        <w:rPr>
          <w:rFonts w:ascii="Calibri Light" w:hAnsi="Calibri Light" w:cs="Calibri Light"/>
          <w:color w:val="000000"/>
          <w:lang w:val="en-US"/>
        </w:rPr>
        <w:t>Development of a Joint DepEd-CHED Policy on the Pre-Service Teachers’ Field Study and Teaching Internship Experiences</w:t>
      </w:r>
    </w:p>
    <w:p w14:paraId="026D6458" w14:textId="77777777" w:rsidR="008D0CAD" w:rsidRPr="00AA04A4" w:rsidRDefault="008D0CAD" w:rsidP="00DD08E3">
      <w:pPr>
        <w:numPr>
          <w:ilvl w:val="0"/>
          <w:numId w:val="139"/>
        </w:numPr>
        <w:shd w:val="clear" w:color="auto" w:fill="FFFFFF"/>
        <w:spacing w:before="100" w:beforeAutospacing="1" w:after="100" w:afterAutospacing="1" w:line="360" w:lineRule="auto"/>
        <w:textAlignment w:val="baseline"/>
        <w:rPr>
          <w:rFonts w:ascii="Calibri Light" w:hAnsi="Calibri Light" w:cs="Calibri Light"/>
          <w:color w:val="000000"/>
          <w:lang w:val="en-US"/>
        </w:rPr>
      </w:pPr>
      <w:r w:rsidRPr="00AA04A4">
        <w:rPr>
          <w:rFonts w:ascii="Calibri Light" w:hAnsi="Calibri Light" w:cs="Calibri Light"/>
          <w:color w:val="000000"/>
          <w:lang w:val="en-US"/>
        </w:rPr>
        <w:t>Systematic Instructional Planning Program (SIPP) in Region 7</w:t>
      </w:r>
    </w:p>
    <w:p w14:paraId="39AF3340" w14:textId="77777777" w:rsidR="008D0CAD" w:rsidRPr="00AA04A4" w:rsidRDefault="008D0CAD" w:rsidP="00DD08E3">
      <w:pPr>
        <w:numPr>
          <w:ilvl w:val="0"/>
          <w:numId w:val="139"/>
        </w:numPr>
        <w:shd w:val="clear" w:color="auto" w:fill="FFFFFF"/>
        <w:spacing w:before="100" w:beforeAutospacing="1" w:after="100" w:afterAutospacing="1" w:line="360" w:lineRule="auto"/>
        <w:textAlignment w:val="baseline"/>
        <w:rPr>
          <w:rFonts w:ascii="Calibri Light" w:hAnsi="Calibri Light" w:cs="Calibri Light"/>
          <w:color w:val="000000"/>
          <w:lang w:val="en-US"/>
        </w:rPr>
      </w:pPr>
      <w:r w:rsidRPr="00AA04A4">
        <w:rPr>
          <w:rFonts w:ascii="Calibri Light" w:hAnsi="Calibri Light" w:cs="Calibri Light"/>
          <w:color w:val="000000"/>
          <w:lang w:val="en-US"/>
        </w:rPr>
        <w:t>Development and Validation of Professional Standards for Principals and Supervisors</w:t>
      </w:r>
    </w:p>
    <w:p w14:paraId="114DE955" w14:textId="77777777" w:rsidR="008D0CAD" w:rsidRPr="00AA04A4" w:rsidRDefault="008D0CAD" w:rsidP="00DD08E3">
      <w:pPr>
        <w:numPr>
          <w:ilvl w:val="0"/>
          <w:numId w:val="139"/>
        </w:numPr>
        <w:shd w:val="clear" w:color="auto" w:fill="FFFFFF"/>
        <w:spacing w:before="100" w:beforeAutospacing="1" w:after="100" w:afterAutospacing="1" w:line="360" w:lineRule="auto"/>
        <w:textAlignment w:val="baseline"/>
        <w:rPr>
          <w:rFonts w:ascii="Calibri Light" w:hAnsi="Calibri Light" w:cs="Calibri Light"/>
          <w:color w:val="000000"/>
          <w:lang w:val="en-US"/>
        </w:rPr>
      </w:pPr>
      <w:r w:rsidRPr="00AA04A4">
        <w:rPr>
          <w:rFonts w:ascii="Calibri Light" w:hAnsi="Calibri Light" w:cs="Calibri Light"/>
          <w:color w:val="000000"/>
          <w:lang w:val="en-US"/>
        </w:rPr>
        <w:t>Study of the implementation of PPST and TIP at various levels of DepEd Governance</w:t>
      </w:r>
    </w:p>
    <w:p w14:paraId="74FD2C81" w14:textId="77777777" w:rsidR="008D0CAD" w:rsidRPr="00AA04A4" w:rsidRDefault="008D0CAD" w:rsidP="00DD08E3">
      <w:pPr>
        <w:numPr>
          <w:ilvl w:val="0"/>
          <w:numId w:val="139"/>
        </w:numPr>
        <w:shd w:val="clear" w:color="auto" w:fill="FFFFFF"/>
        <w:spacing w:before="100" w:beforeAutospacing="1" w:after="100" w:afterAutospacing="1" w:line="360" w:lineRule="auto"/>
        <w:textAlignment w:val="baseline"/>
        <w:rPr>
          <w:rFonts w:ascii="Calibri Light" w:hAnsi="Calibri Light" w:cs="Calibri Light"/>
          <w:color w:val="000000"/>
          <w:lang w:val="en-US"/>
        </w:rPr>
      </w:pPr>
      <w:r w:rsidRPr="00AA04A4">
        <w:rPr>
          <w:rFonts w:ascii="Calibri Light" w:hAnsi="Calibri Light" w:cs="Calibri Light"/>
          <w:color w:val="000000"/>
          <w:lang w:val="en-US"/>
        </w:rPr>
        <w:t>PPST Support Materials for Teachers</w:t>
      </w:r>
    </w:p>
    <w:p w14:paraId="2FA14DC5" w14:textId="77777777" w:rsidR="008D0CAD" w:rsidRPr="00AA04A4" w:rsidRDefault="008D0CAD" w:rsidP="00DD08E3">
      <w:pPr>
        <w:numPr>
          <w:ilvl w:val="0"/>
          <w:numId w:val="139"/>
        </w:numPr>
        <w:shd w:val="clear" w:color="auto" w:fill="FFFFFF"/>
        <w:spacing w:before="100" w:beforeAutospacing="1" w:after="100" w:afterAutospacing="1" w:line="360" w:lineRule="auto"/>
        <w:textAlignment w:val="baseline"/>
        <w:rPr>
          <w:rFonts w:ascii="Calibri Light" w:hAnsi="Calibri Light" w:cs="Calibri Light"/>
          <w:color w:val="000000"/>
          <w:lang w:val="en-US"/>
        </w:rPr>
      </w:pPr>
      <w:r w:rsidRPr="00AA04A4">
        <w:rPr>
          <w:rFonts w:ascii="Calibri Light" w:hAnsi="Calibri Light" w:cs="Calibri Light"/>
          <w:color w:val="000000"/>
          <w:lang w:val="en-US"/>
        </w:rPr>
        <w:t>Results-Based Performance Management (RPMS) Assessment Tools for Year 2 National Roll-out</w:t>
      </w:r>
    </w:p>
    <w:p w14:paraId="5A31509D" w14:textId="77777777" w:rsidR="008D0CAD" w:rsidRPr="00AA04A4" w:rsidRDefault="008D0CAD" w:rsidP="00DD08E3">
      <w:pPr>
        <w:numPr>
          <w:ilvl w:val="0"/>
          <w:numId w:val="139"/>
        </w:numPr>
        <w:shd w:val="clear" w:color="auto" w:fill="FFFFFF"/>
        <w:spacing w:before="100" w:beforeAutospacing="1" w:after="100" w:afterAutospacing="1" w:line="360" w:lineRule="auto"/>
        <w:textAlignment w:val="baseline"/>
        <w:rPr>
          <w:rFonts w:ascii="Calibri Light" w:hAnsi="Calibri Light" w:cs="Calibri Light"/>
          <w:color w:val="000000"/>
          <w:lang w:val="en-US"/>
        </w:rPr>
      </w:pPr>
      <w:r w:rsidRPr="00AA04A4">
        <w:rPr>
          <w:rFonts w:ascii="Calibri Light" w:hAnsi="Calibri Light" w:cs="Calibri Light"/>
          <w:color w:val="000000"/>
          <w:lang w:val="en-US"/>
        </w:rPr>
        <w:t>Capability-Building (CB) Series for Faculty of Teacher Education Institutions (TEIs)</w:t>
      </w:r>
    </w:p>
    <w:p w14:paraId="30EE6CE7" w14:textId="77777777" w:rsidR="008D0CAD" w:rsidRPr="00AA04A4" w:rsidRDefault="008D0CAD" w:rsidP="00DD08E3">
      <w:pPr>
        <w:numPr>
          <w:ilvl w:val="0"/>
          <w:numId w:val="139"/>
        </w:numPr>
        <w:shd w:val="clear" w:color="auto" w:fill="FFFFFF"/>
        <w:spacing w:before="100" w:beforeAutospacing="1" w:after="100" w:afterAutospacing="1" w:line="360" w:lineRule="auto"/>
        <w:textAlignment w:val="baseline"/>
        <w:rPr>
          <w:rFonts w:ascii="Calibri Light" w:hAnsi="Calibri Light" w:cs="Calibri Light"/>
          <w:color w:val="000000"/>
          <w:lang w:val="en-US"/>
        </w:rPr>
      </w:pPr>
      <w:r w:rsidRPr="00AA04A4">
        <w:rPr>
          <w:rFonts w:ascii="Calibri Light" w:hAnsi="Calibri Light" w:cs="Calibri Light"/>
          <w:color w:val="000000"/>
          <w:lang w:val="en-US"/>
        </w:rPr>
        <w:t>Ensuring more boys and girls complete basic education in the NCR Region</w:t>
      </w:r>
    </w:p>
    <w:p w14:paraId="45D4B9E7" w14:textId="77777777" w:rsidR="008D0CAD" w:rsidRPr="00AA04A4" w:rsidRDefault="008D0CAD" w:rsidP="00DD08E3">
      <w:pPr>
        <w:numPr>
          <w:ilvl w:val="0"/>
          <w:numId w:val="139"/>
        </w:numPr>
        <w:shd w:val="clear" w:color="auto" w:fill="FFFFFF"/>
        <w:spacing w:before="100" w:beforeAutospacing="1" w:after="100" w:afterAutospacing="1" w:line="360" w:lineRule="auto"/>
        <w:textAlignment w:val="baseline"/>
        <w:rPr>
          <w:rFonts w:ascii="Calibri Light" w:hAnsi="Calibri Light" w:cs="Calibri Light"/>
          <w:color w:val="000000"/>
          <w:lang w:val="en-US"/>
        </w:rPr>
      </w:pPr>
      <w:r w:rsidRPr="00AA04A4">
        <w:rPr>
          <w:rFonts w:ascii="Calibri Light" w:hAnsi="Calibri Light" w:cs="Calibri Light"/>
          <w:color w:val="000000"/>
          <w:lang w:val="en-US"/>
        </w:rPr>
        <w:t>Bureau of Learning Resources (BLR) Capacity-Building Program for Production and Quality Assurance of Learning Resources for Learners with Visual Impairment or Low Vision</w:t>
      </w:r>
    </w:p>
    <w:p w14:paraId="0CECA08C" w14:textId="77777777" w:rsidR="008D0CAD" w:rsidRPr="00AA04A4" w:rsidRDefault="008D0CAD" w:rsidP="00DD08E3">
      <w:pPr>
        <w:numPr>
          <w:ilvl w:val="0"/>
          <w:numId w:val="139"/>
        </w:numPr>
        <w:shd w:val="clear" w:color="auto" w:fill="FFFFFF"/>
        <w:spacing w:before="100" w:beforeAutospacing="1" w:after="100" w:afterAutospacing="1" w:line="360" w:lineRule="auto"/>
        <w:textAlignment w:val="baseline"/>
        <w:rPr>
          <w:rFonts w:ascii="Calibri Light" w:hAnsi="Calibri Light" w:cs="Calibri Light"/>
          <w:color w:val="000000"/>
          <w:lang w:val="en-US"/>
        </w:rPr>
      </w:pPr>
      <w:r w:rsidRPr="00AA04A4">
        <w:rPr>
          <w:rFonts w:ascii="Calibri Light" w:hAnsi="Calibri Light" w:cs="Calibri Light"/>
          <w:color w:val="000000"/>
          <w:lang w:val="en-US"/>
        </w:rPr>
        <w:t>Phase by Phase Preparation in the Implementation of Open Senior High School Program in Region 10</w:t>
      </w:r>
    </w:p>
    <w:p w14:paraId="2F1BFF04" w14:textId="0610601E" w:rsidR="008D0CAD" w:rsidRPr="00DD08E3" w:rsidRDefault="008D0CAD" w:rsidP="00DD08E3">
      <w:pPr>
        <w:numPr>
          <w:ilvl w:val="0"/>
          <w:numId w:val="139"/>
        </w:numPr>
        <w:shd w:val="clear" w:color="auto" w:fill="FFFFFF"/>
        <w:spacing w:before="100" w:beforeAutospacing="1" w:after="100" w:afterAutospacing="1" w:line="360" w:lineRule="auto"/>
        <w:textAlignment w:val="baseline"/>
        <w:rPr>
          <w:rFonts w:ascii="Calibri Light" w:hAnsi="Calibri Light" w:cs="Calibri Light"/>
          <w:color w:val="000000"/>
          <w:lang w:val="en-US"/>
        </w:rPr>
      </w:pPr>
      <w:r w:rsidRPr="00AA04A4">
        <w:rPr>
          <w:rFonts w:ascii="Calibri Light" w:hAnsi="Calibri Light" w:cs="Calibri Light"/>
          <w:color w:val="000000"/>
          <w:lang w:val="en-US"/>
        </w:rPr>
        <w:t>Beyond Horizons for Literacy in Region 6</w:t>
      </w:r>
    </w:p>
    <w:p w14:paraId="60131A7D" w14:textId="77777777" w:rsidR="008D0CAD" w:rsidRPr="00AA04A4" w:rsidRDefault="008D0CAD" w:rsidP="00DD08E3">
      <w:pPr>
        <w:shd w:val="clear" w:color="auto" w:fill="FFFFFF"/>
        <w:spacing w:before="100" w:beforeAutospacing="1" w:after="100" w:afterAutospacing="1" w:line="360" w:lineRule="auto"/>
        <w:textAlignment w:val="baseline"/>
        <w:rPr>
          <w:rFonts w:ascii="Calibri Light" w:hAnsi="Calibri Light" w:cs="Calibri Light"/>
          <w:color w:val="000000"/>
          <w:u w:val="single"/>
          <w:lang w:val="en-US"/>
        </w:rPr>
      </w:pPr>
      <w:r w:rsidRPr="00AA04A4">
        <w:rPr>
          <w:rFonts w:ascii="Calibri Light" w:hAnsi="Calibri Light" w:cs="Calibri Light"/>
          <w:color w:val="000000"/>
          <w:u w:val="single"/>
          <w:lang w:val="en-US"/>
        </w:rPr>
        <w:t>Pillar 2: Curriculum &amp; Assessment Development</w:t>
      </w:r>
    </w:p>
    <w:p w14:paraId="57EC05AD" w14:textId="77777777" w:rsidR="008D0CAD" w:rsidRPr="00AA04A4" w:rsidRDefault="008D0CAD" w:rsidP="00DD08E3">
      <w:pPr>
        <w:numPr>
          <w:ilvl w:val="0"/>
          <w:numId w:val="140"/>
        </w:numPr>
        <w:shd w:val="clear" w:color="auto" w:fill="FFFFFF"/>
        <w:spacing w:before="100" w:beforeAutospacing="1" w:after="100" w:afterAutospacing="1" w:line="360" w:lineRule="auto"/>
        <w:textAlignment w:val="baseline"/>
        <w:rPr>
          <w:rFonts w:ascii="Calibri Light" w:hAnsi="Calibri Light" w:cs="Calibri Light"/>
          <w:color w:val="000000"/>
          <w:lang w:val="en-US"/>
        </w:rPr>
      </w:pPr>
      <w:r w:rsidRPr="00AA04A4">
        <w:rPr>
          <w:rFonts w:ascii="Calibri Light" w:hAnsi="Calibri Light" w:cs="Calibri Light"/>
          <w:color w:val="000000"/>
          <w:lang w:val="en-US"/>
        </w:rPr>
        <w:t>Maximising the use of Pedagogical Retooling in Mathematics, Language and Science (PRIMALS) and other BEST resource packages for division and school -based professional development of teachers</w:t>
      </w:r>
    </w:p>
    <w:p w14:paraId="14A296A4" w14:textId="77777777" w:rsidR="008D0CAD" w:rsidRPr="00AA04A4" w:rsidRDefault="008D0CAD" w:rsidP="00DD08E3">
      <w:pPr>
        <w:numPr>
          <w:ilvl w:val="0"/>
          <w:numId w:val="140"/>
        </w:numPr>
        <w:shd w:val="clear" w:color="auto" w:fill="FFFFFF"/>
        <w:spacing w:before="100" w:beforeAutospacing="1" w:after="100" w:afterAutospacing="1" w:line="360" w:lineRule="auto"/>
        <w:textAlignment w:val="baseline"/>
        <w:rPr>
          <w:rFonts w:ascii="Calibri Light" w:hAnsi="Calibri Light" w:cs="Calibri Light"/>
          <w:color w:val="000000"/>
          <w:lang w:val="en-US"/>
        </w:rPr>
      </w:pPr>
      <w:r w:rsidRPr="00AA04A4">
        <w:rPr>
          <w:rFonts w:ascii="Calibri Light" w:hAnsi="Calibri Light" w:cs="Calibri Light"/>
          <w:color w:val="000000"/>
          <w:lang w:val="en-US"/>
        </w:rPr>
        <w:t>Curriculum Review of the K to 12 Program</w:t>
      </w:r>
    </w:p>
    <w:p w14:paraId="3C79CE6C" w14:textId="77777777" w:rsidR="008D0CAD" w:rsidRPr="00AA04A4" w:rsidRDefault="008D0CAD" w:rsidP="00DD08E3">
      <w:pPr>
        <w:numPr>
          <w:ilvl w:val="0"/>
          <w:numId w:val="140"/>
        </w:numPr>
        <w:shd w:val="clear" w:color="auto" w:fill="FFFFFF"/>
        <w:spacing w:before="100" w:beforeAutospacing="1" w:after="100" w:afterAutospacing="1" w:line="360" w:lineRule="auto"/>
        <w:textAlignment w:val="baseline"/>
        <w:rPr>
          <w:rFonts w:ascii="Calibri Light" w:hAnsi="Calibri Light" w:cs="Calibri Light"/>
          <w:color w:val="000000"/>
          <w:lang w:val="en-US"/>
        </w:rPr>
      </w:pPr>
      <w:r w:rsidRPr="00AA04A4">
        <w:rPr>
          <w:rFonts w:ascii="Calibri Light" w:hAnsi="Calibri Light" w:cs="Calibri Light"/>
          <w:color w:val="000000"/>
          <w:lang w:val="en-US"/>
        </w:rPr>
        <w:t>Technical Assistance to Large Scale Assessment Program Implementation</w:t>
      </w:r>
    </w:p>
    <w:p w14:paraId="5BBF4F33" w14:textId="3E01A8C4" w:rsidR="008D0CAD" w:rsidRPr="00DD08E3" w:rsidRDefault="008D0CAD" w:rsidP="00DD08E3">
      <w:pPr>
        <w:numPr>
          <w:ilvl w:val="0"/>
          <w:numId w:val="140"/>
        </w:numPr>
        <w:shd w:val="clear" w:color="auto" w:fill="FFFFFF"/>
        <w:spacing w:before="100" w:beforeAutospacing="1" w:after="100" w:afterAutospacing="1" w:line="360" w:lineRule="auto"/>
        <w:textAlignment w:val="baseline"/>
        <w:rPr>
          <w:rFonts w:ascii="Calibri Light" w:hAnsi="Calibri Light" w:cs="Calibri Light"/>
          <w:color w:val="000000"/>
          <w:lang w:val="en-US"/>
        </w:rPr>
      </w:pPr>
      <w:r w:rsidRPr="00AA04A4">
        <w:rPr>
          <w:rFonts w:ascii="Calibri Light" w:hAnsi="Calibri Light" w:cs="Calibri Light"/>
          <w:color w:val="000000"/>
          <w:lang w:val="en-US"/>
        </w:rPr>
        <w:t>Finalisation and Implementation of the Division Local Heritage Matrix (DLHM) and the Division Contextualised Curriculum Matrix (DCCM) in DepEd Region V</w:t>
      </w:r>
    </w:p>
    <w:p w14:paraId="554E2E38" w14:textId="77777777" w:rsidR="008D0CAD" w:rsidRPr="00AA04A4" w:rsidRDefault="008D0CAD" w:rsidP="00DD08E3">
      <w:pPr>
        <w:shd w:val="clear" w:color="auto" w:fill="FFFFFF"/>
        <w:spacing w:before="100" w:beforeAutospacing="1" w:after="100" w:afterAutospacing="1" w:line="360" w:lineRule="auto"/>
        <w:textAlignment w:val="baseline"/>
        <w:rPr>
          <w:rFonts w:ascii="Calibri Light" w:hAnsi="Calibri Light" w:cs="Calibri Light"/>
          <w:color w:val="000000"/>
          <w:u w:val="single"/>
          <w:lang w:val="en-US"/>
        </w:rPr>
      </w:pPr>
      <w:r w:rsidRPr="00AA04A4">
        <w:rPr>
          <w:rFonts w:ascii="Calibri Light" w:hAnsi="Calibri Light" w:cs="Calibri Light"/>
          <w:color w:val="000000"/>
          <w:u w:val="single"/>
          <w:lang w:val="en-US"/>
        </w:rPr>
        <w:t>Pillar 3: Governance &amp; Organisational Development</w:t>
      </w:r>
    </w:p>
    <w:p w14:paraId="334FFA41" w14:textId="77777777" w:rsidR="008D0CAD" w:rsidRPr="00AA04A4" w:rsidRDefault="008D0CAD" w:rsidP="00DD08E3">
      <w:pPr>
        <w:numPr>
          <w:ilvl w:val="0"/>
          <w:numId w:val="141"/>
        </w:numPr>
        <w:shd w:val="clear" w:color="auto" w:fill="FFFFFF"/>
        <w:spacing w:before="100" w:beforeAutospacing="1" w:after="100" w:afterAutospacing="1" w:line="360" w:lineRule="auto"/>
        <w:textAlignment w:val="baseline"/>
        <w:rPr>
          <w:rFonts w:ascii="Calibri Light" w:hAnsi="Calibri Light" w:cs="Calibri Light"/>
          <w:color w:val="000000"/>
          <w:lang w:val="en-US"/>
        </w:rPr>
      </w:pPr>
      <w:r w:rsidRPr="00AA04A4">
        <w:rPr>
          <w:rFonts w:ascii="Calibri Light" w:hAnsi="Calibri Light" w:cs="Calibri Light"/>
          <w:color w:val="000000"/>
          <w:lang w:val="en-US"/>
        </w:rPr>
        <w:t>Provision of Technical Assistance to the Department of Education (DepEd) on Policy Development, Planning and Monitoring &amp; Evaluation</w:t>
      </w:r>
    </w:p>
    <w:p w14:paraId="1E405646" w14:textId="77777777" w:rsidR="008D0CAD" w:rsidRPr="00AA04A4" w:rsidRDefault="008D0CAD" w:rsidP="00DD08E3">
      <w:pPr>
        <w:numPr>
          <w:ilvl w:val="0"/>
          <w:numId w:val="141"/>
        </w:numPr>
        <w:shd w:val="clear" w:color="auto" w:fill="FFFFFF"/>
        <w:spacing w:before="100" w:beforeAutospacing="1" w:after="100" w:afterAutospacing="1" w:line="360" w:lineRule="auto"/>
        <w:textAlignment w:val="baseline"/>
        <w:rPr>
          <w:rFonts w:ascii="Calibri Light" w:hAnsi="Calibri Light" w:cs="Calibri Light"/>
          <w:color w:val="000000"/>
          <w:lang w:val="en-US"/>
        </w:rPr>
      </w:pPr>
      <w:r w:rsidRPr="00AA04A4">
        <w:rPr>
          <w:rFonts w:ascii="Calibri Light" w:hAnsi="Calibri Light" w:cs="Calibri Light"/>
          <w:color w:val="000000"/>
          <w:lang w:val="en-US"/>
        </w:rPr>
        <w:t>Continuing Support to Program Management Information Systems (PMIS)</w:t>
      </w:r>
    </w:p>
    <w:p w14:paraId="253A79EC" w14:textId="77777777" w:rsidR="008D0CAD" w:rsidRPr="00AA04A4" w:rsidRDefault="008D0CAD" w:rsidP="00DD08E3">
      <w:pPr>
        <w:numPr>
          <w:ilvl w:val="0"/>
          <w:numId w:val="141"/>
        </w:numPr>
        <w:shd w:val="clear" w:color="auto" w:fill="FFFFFF"/>
        <w:spacing w:before="100" w:beforeAutospacing="1" w:after="100" w:afterAutospacing="1" w:line="360" w:lineRule="auto"/>
        <w:textAlignment w:val="baseline"/>
        <w:rPr>
          <w:rFonts w:ascii="Calibri Light" w:hAnsi="Calibri Light" w:cs="Calibri Light"/>
          <w:color w:val="000000"/>
          <w:lang w:val="en-US"/>
        </w:rPr>
      </w:pPr>
      <w:r w:rsidRPr="00AA04A4">
        <w:rPr>
          <w:rFonts w:ascii="Calibri Light" w:hAnsi="Calibri Light" w:cs="Calibri Light"/>
          <w:color w:val="000000"/>
          <w:lang w:val="en-US"/>
        </w:rPr>
        <w:t>Support for Learner Information System (LIS) and Enhanced Basic Education Information System (EBEIS) Transition</w:t>
      </w:r>
    </w:p>
    <w:p w14:paraId="4F6418F1" w14:textId="77777777" w:rsidR="008D0CAD" w:rsidRPr="00AA04A4" w:rsidRDefault="008D0CAD" w:rsidP="00DD08E3">
      <w:pPr>
        <w:numPr>
          <w:ilvl w:val="0"/>
          <w:numId w:val="141"/>
        </w:numPr>
        <w:shd w:val="clear" w:color="auto" w:fill="FFFFFF"/>
        <w:spacing w:before="100" w:beforeAutospacing="1" w:after="100" w:afterAutospacing="1" w:line="360" w:lineRule="auto"/>
        <w:textAlignment w:val="baseline"/>
        <w:rPr>
          <w:rFonts w:ascii="Calibri Light" w:hAnsi="Calibri Light" w:cs="Calibri Light"/>
          <w:color w:val="000000"/>
          <w:lang w:val="en-US"/>
        </w:rPr>
      </w:pPr>
      <w:r w:rsidRPr="00AA04A4">
        <w:rPr>
          <w:rFonts w:ascii="Calibri Light" w:hAnsi="Calibri Light" w:cs="Calibri Light"/>
          <w:color w:val="000000"/>
          <w:lang w:val="en-US"/>
        </w:rPr>
        <w:t>Gender Equality, Disability and Social Inclusion (GEDSI) Interventions at DepEd Central Office</w:t>
      </w:r>
    </w:p>
    <w:p w14:paraId="4E1DB6F5" w14:textId="77777777" w:rsidR="008D0CAD" w:rsidRPr="00AA04A4" w:rsidRDefault="008D0CAD" w:rsidP="00DD08E3">
      <w:pPr>
        <w:numPr>
          <w:ilvl w:val="0"/>
          <w:numId w:val="141"/>
        </w:numPr>
        <w:shd w:val="clear" w:color="auto" w:fill="FFFFFF"/>
        <w:spacing w:before="100" w:beforeAutospacing="1" w:after="100" w:afterAutospacing="1" w:line="360" w:lineRule="auto"/>
        <w:textAlignment w:val="baseline"/>
        <w:rPr>
          <w:rFonts w:ascii="Calibri Light" w:hAnsi="Calibri Light" w:cs="Calibri Light"/>
          <w:color w:val="000000"/>
          <w:lang w:val="en-US"/>
        </w:rPr>
      </w:pPr>
      <w:r w:rsidRPr="00AA04A4">
        <w:rPr>
          <w:rFonts w:ascii="Calibri Light" w:hAnsi="Calibri Light" w:cs="Calibri Light"/>
          <w:color w:val="000000"/>
          <w:lang w:val="en-US"/>
        </w:rPr>
        <w:t>Enhancement of Donor Coordination and Collaboration Mechanisms at the Department of Education (DepEd)</w:t>
      </w:r>
    </w:p>
    <w:p w14:paraId="6500B3F0" w14:textId="77777777" w:rsidR="008D0CAD" w:rsidRPr="00AA04A4" w:rsidRDefault="008D0CAD" w:rsidP="00DD08E3">
      <w:pPr>
        <w:numPr>
          <w:ilvl w:val="0"/>
          <w:numId w:val="141"/>
        </w:numPr>
        <w:shd w:val="clear" w:color="auto" w:fill="FFFFFF"/>
        <w:spacing w:before="100" w:beforeAutospacing="1" w:after="100" w:afterAutospacing="1" w:line="360" w:lineRule="auto"/>
        <w:textAlignment w:val="baseline"/>
        <w:rPr>
          <w:rFonts w:ascii="Calibri Light" w:hAnsi="Calibri Light" w:cs="Calibri Light"/>
          <w:color w:val="000000"/>
          <w:lang w:val="en-US"/>
        </w:rPr>
      </w:pPr>
      <w:r w:rsidRPr="00AA04A4">
        <w:rPr>
          <w:rFonts w:ascii="Calibri Light" w:hAnsi="Calibri Light" w:cs="Calibri Light"/>
          <w:color w:val="000000"/>
          <w:lang w:val="en-US"/>
        </w:rPr>
        <w:t>Innovation Fund</w:t>
      </w:r>
    </w:p>
    <w:p w14:paraId="1A4F6D09" w14:textId="07EA7A39" w:rsidR="008D0CAD" w:rsidRPr="00DD08E3" w:rsidRDefault="008D0CAD" w:rsidP="00DD08E3">
      <w:pPr>
        <w:numPr>
          <w:ilvl w:val="0"/>
          <w:numId w:val="141"/>
        </w:numPr>
        <w:shd w:val="clear" w:color="auto" w:fill="FFFFFF"/>
        <w:spacing w:before="100" w:beforeAutospacing="1" w:after="100" w:afterAutospacing="1" w:line="360" w:lineRule="auto"/>
        <w:textAlignment w:val="baseline"/>
        <w:rPr>
          <w:rFonts w:ascii="Calibri Light" w:hAnsi="Calibri Light" w:cs="Calibri Light"/>
          <w:color w:val="000000"/>
          <w:lang w:val="en-US"/>
        </w:rPr>
      </w:pPr>
      <w:r w:rsidRPr="00AA04A4">
        <w:rPr>
          <w:rFonts w:ascii="Calibri Light" w:hAnsi="Calibri Light" w:cs="Calibri Light"/>
          <w:color w:val="000000"/>
          <w:lang w:val="en-US"/>
        </w:rPr>
        <w:t>Enhancement of School-Based Management (SBM) structure, systems, processes at the Department of Education (DepEd)</w:t>
      </w:r>
    </w:p>
    <w:p w14:paraId="7416B39B" w14:textId="77777777" w:rsidR="008D0CAD" w:rsidRPr="00AA04A4" w:rsidRDefault="008D0CAD" w:rsidP="00DD08E3">
      <w:pPr>
        <w:pStyle w:val="Heading3"/>
        <w:spacing w:before="100" w:beforeAutospacing="1" w:after="100" w:afterAutospacing="1" w:line="360" w:lineRule="auto"/>
        <w:rPr>
          <w:lang w:val="en-US"/>
        </w:rPr>
      </w:pPr>
      <w:bookmarkStart w:id="346" w:name="_Toc16263677"/>
      <w:bookmarkStart w:id="347" w:name="_Toc16326735"/>
      <w:bookmarkStart w:id="348" w:name="_Toc39938402"/>
      <w:bookmarkStart w:id="349" w:name="_Toc69820506"/>
      <w:r w:rsidRPr="00AA04A4">
        <w:rPr>
          <w:lang w:val="en-US"/>
        </w:rPr>
        <w:t>10 BEST Program Components in the EOPE Study</w:t>
      </w:r>
      <w:bookmarkEnd w:id="346"/>
      <w:bookmarkEnd w:id="347"/>
      <w:bookmarkEnd w:id="348"/>
      <w:bookmarkEnd w:id="349"/>
    </w:p>
    <w:p w14:paraId="25F52A23" w14:textId="77777777" w:rsidR="008D0CAD" w:rsidRPr="00AA04A4" w:rsidRDefault="008D0CAD" w:rsidP="00DD08E3">
      <w:pPr>
        <w:spacing w:before="100" w:beforeAutospacing="1" w:after="100" w:afterAutospacing="1" w:line="360" w:lineRule="auto"/>
        <w:textAlignment w:val="baseline"/>
        <w:rPr>
          <w:rFonts w:ascii="Calibri Light" w:hAnsi="Calibri Light" w:cs="Calibri Light"/>
          <w:lang w:val="en-US"/>
        </w:rPr>
      </w:pPr>
      <w:r w:rsidRPr="00AA04A4">
        <w:rPr>
          <w:rFonts w:ascii="Calibri Light" w:hAnsi="Calibri Light" w:cs="Calibri Light"/>
          <w:lang w:val="en-US"/>
        </w:rPr>
        <w:t xml:space="preserve">There were ten program interventions of the BEST Program that were included in the evaluation study. It is important to note that some of the activities have already been started even prior to the entry of BEST in the Philippines. Some activities were assimilated into the components as they were found significant to the achievement of outcomes. </w:t>
      </w:r>
    </w:p>
    <w:p w14:paraId="495E38B0" w14:textId="77777777" w:rsidR="008D0CAD" w:rsidRPr="00AA04A4" w:rsidRDefault="008D0CAD" w:rsidP="00DD08E3">
      <w:pPr>
        <w:spacing w:before="100" w:beforeAutospacing="1" w:after="100" w:afterAutospacing="1" w:line="360" w:lineRule="auto"/>
        <w:textAlignment w:val="baseline"/>
        <w:rPr>
          <w:rFonts w:ascii="Calibri Light" w:hAnsi="Calibri Light" w:cs="Calibri Light"/>
          <w:lang w:val="en-US"/>
        </w:rPr>
      </w:pPr>
      <w:r w:rsidRPr="00AA04A4">
        <w:rPr>
          <w:rFonts w:ascii="Calibri Light" w:hAnsi="Calibri Light" w:cs="Calibri Light"/>
          <w:lang w:val="en-US"/>
        </w:rPr>
        <w:t>BEST was geared towards benefitting 8 million DepEd learners from about 20,000 schools in BEST supported regions. The succeeding sections describes the ten program interventions clustered under the Program Outcomes to which they were intended to contribute.</w:t>
      </w:r>
    </w:p>
    <w:p w14:paraId="3EB185B7" w14:textId="77777777" w:rsidR="008D0CAD" w:rsidRPr="00AA04A4" w:rsidRDefault="008D0CAD" w:rsidP="00DD08E3">
      <w:pPr>
        <w:pStyle w:val="Heading4"/>
        <w:spacing w:before="100" w:beforeAutospacing="1" w:after="100" w:afterAutospacing="1" w:line="360" w:lineRule="auto"/>
        <w:rPr>
          <w:lang w:val="en-US"/>
        </w:rPr>
      </w:pPr>
      <w:bookmarkStart w:id="350" w:name="_Toc16263678"/>
      <w:bookmarkStart w:id="351" w:name="_Toc16326736"/>
      <w:r w:rsidRPr="00AA04A4">
        <w:rPr>
          <w:lang w:val="en-US"/>
        </w:rPr>
        <w:t>Towards Student Mastery</w:t>
      </w:r>
      <w:bookmarkEnd w:id="350"/>
      <w:bookmarkEnd w:id="351"/>
    </w:p>
    <w:p w14:paraId="3B6385C9" w14:textId="77777777" w:rsidR="008D0CAD" w:rsidRPr="00AA04A4" w:rsidRDefault="008D0CAD" w:rsidP="00DD08E3">
      <w:pPr>
        <w:pStyle w:val="Heading5"/>
        <w:numPr>
          <w:ilvl w:val="0"/>
          <w:numId w:val="0"/>
        </w:numPr>
        <w:spacing w:before="100" w:beforeAutospacing="1" w:after="100" w:afterAutospacing="1" w:line="360" w:lineRule="auto"/>
        <w:ind w:left="1222" w:hanging="1080"/>
      </w:pPr>
      <w:bookmarkStart w:id="352" w:name="_Toc16263679"/>
      <w:bookmarkStart w:id="353" w:name="_Toc16326737"/>
      <w:r w:rsidRPr="00AA04A4">
        <w:t>Learning and Development System (L&amp;D)</w:t>
      </w:r>
      <w:bookmarkEnd w:id="352"/>
      <w:bookmarkEnd w:id="353"/>
    </w:p>
    <w:p w14:paraId="741054B8" w14:textId="77777777" w:rsidR="008D0CAD" w:rsidRPr="00AA04A4" w:rsidRDefault="008D0CAD" w:rsidP="00DD08E3">
      <w:pPr>
        <w:spacing w:before="100" w:beforeAutospacing="1" w:after="100" w:afterAutospacing="1" w:line="360" w:lineRule="auto"/>
        <w:rPr>
          <w:rFonts w:ascii="Calibri Light" w:hAnsi="Calibri Light" w:cs="Calibri Light"/>
          <w:b/>
          <w:bCs/>
          <w:i/>
          <w:iCs/>
          <w:lang w:val="en-GB"/>
        </w:rPr>
      </w:pPr>
      <w:r w:rsidRPr="00AA04A4">
        <w:rPr>
          <w:rFonts w:ascii="Calibri Light" w:hAnsi="Calibri Light" w:cs="Calibri Light"/>
          <w:b/>
          <w:bCs/>
          <w:i/>
          <w:iCs/>
          <w:lang w:val="en-GB"/>
        </w:rPr>
        <w:t>Gaps in professional development prior to the implementation of the BEST program</w:t>
      </w:r>
    </w:p>
    <w:p w14:paraId="318F1BD8" w14:textId="77777777" w:rsidR="008D0CAD" w:rsidRPr="00AA04A4" w:rsidRDefault="008D0CAD" w:rsidP="00DD08E3">
      <w:pPr>
        <w:spacing w:before="100" w:beforeAutospacing="1" w:after="100" w:afterAutospacing="1" w:line="360" w:lineRule="auto"/>
        <w:rPr>
          <w:rFonts w:ascii="Calibri Light" w:hAnsi="Calibri Light" w:cs="Calibri Light"/>
          <w:lang w:val="en-GB"/>
        </w:rPr>
      </w:pPr>
      <w:r w:rsidRPr="00AA04A4">
        <w:rPr>
          <w:rFonts w:ascii="Calibri Light" w:hAnsi="Calibri Light" w:cs="Calibri Light"/>
          <w:lang w:val="en-GB"/>
        </w:rPr>
        <w:t xml:space="preserve">In 2014, World Bank published an assessment of the Filipino teachers’ performance and development needs across identified development areas. The study showed that teacher performance on content knowledge assessments was poor, and that “many teachers had some understanding of the subject area but lacked the higher-order problem-solving skills necessary to teach the curriculum effectively” </w:t>
      </w:r>
      <w:sdt>
        <w:sdtPr>
          <w:rPr>
            <w:rFonts w:ascii="Calibri Light" w:hAnsi="Calibri Light" w:cs="Calibri Light"/>
            <w:lang w:val="en-GB"/>
          </w:rPr>
          <w:id w:val="-1851096673"/>
          <w:citation/>
        </w:sdtPr>
        <w:sdtEndPr/>
        <w:sdtContent>
          <w:r w:rsidRPr="00AA04A4">
            <w:rPr>
              <w:rFonts w:ascii="Calibri Light" w:hAnsi="Calibri Light" w:cs="Calibri Light"/>
              <w:lang w:val="en-GB"/>
            </w:rPr>
            <w:fldChar w:fldCharType="begin"/>
          </w:r>
          <w:r w:rsidRPr="00AA04A4">
            <w:rPr>
              <w:rFonts w:ascii="Calibri Light" w:hAnsi="Calibri Light" w:cs="Calibri Light"/>
              <w:lang w:val="en-GB"/>
            </w:rPr>
            <w:instrText xml:space="preserve"> CITATION Wor14 \l 13321 </w:instrText>
          </w:r>
          <w:r w:rsidRPr="00AA04A4">
            <w:rPr>
              <w:rFonts w:ascii="Calibri Light" w:hAnsi="Calibri Light" w:cs="Calibri Light"/>
              <w:lang w:val="en-GB"/>
            </w:rPr>
            <w:fldChar w:fldCharType="separate"/>
          </w:r>
          <w:r w:rsidRPr="00AA04A4">
            <w:rPr>
              <w:rFonts w:ascii="Calibri Light" w:hAnsi="Calibri Light" w:cs="Calibri Light"/>
              <w:noProof/>
              <w:lang w:val="en-GB"/>
            </w:rPr>
            <w:t>(World Bank Group, 2014)</w:t>
          </w:r>
          <w:r w:rsidRPr="00AA04A4">
            <w:rPr>
              <w:rFonts w:ascii="Calibri Light" w:hAnsi="Calibri Light" w:cs="Calibri Light"/>
              <w:lang w:val="en-GB"/>
            </w:rPr>
            <w:fldChar w:fldCharType="end"/>
          </w:r>
        </w:sdtContent>
      </w:sdt>
      <w:r w:rsidRPr="00AA04A4">
        <w:rPr>
          <w:rFonts w:ascii="Calibri Light" w:hAnsi="Calibri Light" w:cs="Calibri Light"/>
          <w:lang w:val="en-GB"/>
        </w:rPr>
        <w:t xml:space="preserve">. Teachers’ self-assessment further showed that there are perceived weaknesses in competencies related to instructional planning, as well as to fostering positive learning environments. This was despite the fact that among sampled teachers in 2013 and 2014, participation in annual in-service trainings was high, even in comparison with high-income OECD countries. However, in-service trainings were more focused on subject-based content and not on the development needs outlined above. Further, 40 percent of teachers surveyed by the World Bank study articulated the need to be provided with more in-service training opportunities. </w:t>
      </w:r>
    </w:p>
    <w:p w14:paraId="5A2BF0D4" w14:textId="15D6AD0F" w:rsidR="008D0CAD" w:rsidRPr="00AA04A4" w:rsidRDefault="008D0CAD" w:rsidP="00DD08E3">
      <w:pPr>
        <w:spacing w:before="100" w:beforeAutospacing="1" w:after="100" w:afterAutospacing="1" w:line="360" w:lineRule="auto"/>
        <w:rPr>
          <w:rFonts w:ascii="Calibri Light" w:hAnsi="Calibri Light" w:cs="Calibri Light"/>
          <w:lang w:val="en-GB"/>
        </w:rPr>
      </w:pPr>
      <w:r w:rsidRPr="00AA04A4">
        <w:rPr>
          <w:rFonts w:ascii="Calibri Light" w:hAnsi="Calibri Light" w:cs="Calibri Light"/>
          <w:lang w:val="en-GB"/>
        </w:rPr>
        <w:t xml:space="preserve">The disconnect between the development gaps identified and the available development opportunities was attributed to weak systems for identification of teacher development needs at the school level </w:t>
      </w:r>
      <w:sdt>
        <w:sdtPr>
          <w:rPr>
            <w:rFonts w:ascii="Calibri Light" w:hAnsi="Calibri Light" w:cs="Calibri Light"/>
            <w:lang w:val="en-GB"/>
          </w:rPr>
          <w:id w:val="-957796225"/>
          <w:citation/>
        </w:sdtPr>
        <w:sdtEndPr/>
        <w:sdtContent>
          <w:r w:rsidRPr="00AA04A4">
            <w:rPr>
              <w:rFonts w:ascii="Calibri Light" w:hAnsi="Calibri Light" w:cs="Calibri Light"/>
              <w:lang w:val="en-GB"/>
            </w:rPr>
            <w:fldChar w:fldCharType="begin"/>
          </w:r>
          <w:r w:rsidRPr="00AA04A4">
            <w:rPr>
              <w:rFonts w:ascii="Calibri Light" w:hAnsi="Calibri Light" w:cs="Calibri Light"/>
              <w:lang w:val="en-GB"/>
            </w:rPr>
            <w:instrText xml:space="preserve"> CITATION Wor14 \l 13321 </w:instrText>
          </w:r>
          <w:r w:rsidRPr="00AA04A4">
            <w:rPr>
              <w:rFonts w:ascii="Calibri Light" w:hAnsi="Calibri Light" w:cs="Calibri Light"/>
              <w:lang w:val="en-GB"/>
            </w:rPr>
            <w:fldChar w:fldCharType="separate"/>
          </w:r>
          <w:r w:rsidRPr="00AA04A4">
            <w:rPr>
              <w:rFonts w:ascii="Calibri Light" w:hAnsi="Calibri Light" w:cs="Calibri Light"/>
              <w:noProof/>
              <w:lang w:val="en-GB"/>
            </w:rPr>
            <w:t>(World Bank Group, 2014)</w:t>
          </w:r>
          <w:r w:rsidRPr="00AA04A4">
            <w:rPr>
              <w:rFonts w:ascii="Calibri Light" w:hAnsi="Calibri Light" w:cs="Calibri Light"/>
              <w:lang w:val="en-GB"/>
            </w:rPr>
            <w:fldChar w:fldCharType="end"/>
          </w:r>
        </w:sdtContent>
      </w:sdt>
      <w:r w:rsidRPr="00AA04A4">
        <w:rPr>
          <w:rFonts w:ascii="Calibri Light" w:hAnsi="Calibri Light" w:cs="Calibri Light"/>
          <w:lang w:val="en-GB"/>
        </w:rPr>
        <w:t xml:space="preserve">. “A significant proportion of teachers and schools had not developed professional development plans,” and school plans “were even less common” </w:t>
      </w:r>
      <w:sdt>
        <w:sdtPr>
          <w:rPr>
            <w:rFonts w:ascii="Calibri Light" w:hAnsi="Calibri Light" w:cs="Calibri Light"/>
            <w:lang w:val="en-GB"/>
          </w:rPr>
          <w:id w:val="575404011"/>
          <w:citation/>
        </w:sdtPr>
        <w:sdtEndPr/>
        <w:sdtContent>
          <w:r w:rsidRPr="00AA04A4">
            <w:rPr>
              <w:rFonts w:ascii="Calibri Light" w:hAnsi="Calibri Light" w:cs="Calibri Light"/>
              <w:lang w:val="en-GB"/>
            </w:rPr>
            <w:fldChar w:fldCharType="begin"/>
          </w:r>
          <w:r w:rsidRPr="00AA04A4">
            <w:rPr>
              <w:rFonts w:ascii="Calibri Light" w:hAnsi="Calibri Light" w:cs="Calibri Light"/>
              <w:lang w:val="en-GB"/>
            </w:rPr>
            <w:instrText xml:space="preserve"> CITATION Wor14 \l 13321 </w:instrText>
          </w:r>
          <w:r w:rsidRPr="00AA04A4">
            <w:rPr>
              <w:rFonts w:ascii="Calibri Light" w:hAnsi="Calibri Light" w:cs="Calibri Light"/>
              <w:lang w:val="en-GB"/>
            </w:rPr>
            <w:fldChar w:fldCharType="separate"/>
          </w:r>
          <w:r w:rsidRPr="00AA04A4">
            <w:rPr>
              <w:rFonts w:ascii="Calibri Light" w:hAnsi="Calibri Light" w:cs="Calibri Light"/>
              <w:noProof/>
              <w:lang w:val="en-GB"/>
            </w:rPr>
            <w:t>(World Bank Group, 2014)</w:t>
          </w:r>
          <w:r w:rsidRPr="00AA04A4">
            <w:rPr>
              <w:rFonts w:ascii="Calibri Light" w:hAnsi="Calibri Light" w:cs="Calibri Light"/>
              <w:lang w:val="en-GB"/>
            </w:rPr>
            <w:fldChar w:fldCharType="end"/>
          </w:r>
        </w:sdtContent>
      </w:sdt>
      <w:r w:rsidRPr="00AA04A4">
        <w:rPr>
          <w:rFonts w:ascii="Calibri Light" w:hAnsi="Calibri Light" w:cs="Calibri Light"/>
          <w:lang w:val="en-GB"/>
        </w:rPr>
        <w:t>.</w:t>
      </w:r>
      <w:r w:rsidR="00D434EB">
        <w:rPr>
          <w:rFonts w:ascii="Calibri Light" w:hAnsi="Calibri Light" w:cs="Calibri Light"/>
          <w:lang w:val="en-GB"/>
        </w:rPr>
        <w:t xml:space="preserve"> </w:t>
      </w:r>
      <w:r w:rsidRPr="00AA04A4">
        <w:rPr>
          <w:rFonts w:ascii="Calibri Light" w:hAnsi="Calibri Light" w:cs="Calibri Light"/>
          <w:lang w:val="en-GB"/>
        </w:rPr>
        <w:t>In the absence of such development plans, trainings were therefore provided without consideration to each teacher’s development needs, levels of experience or qualification. Thus, while DepEd’s mass training model afforded high participation rates among teachers, there were limited evidences linking how these trainings were used to bridge gap areas in teacher development.</w:t>
      </w:r>
    </w:p>
    <w:p w14:paraId="62C2DA2B" w14:textId="67B9CFF8" w:rsidR="008D0CAD" w:rsidRPr="00AA04A4" w:rsidRDefault="008D0CAD" w:rsidP="00DD08E3">
      <w:pPr>
        <w:spacing w:before="100" w:beforeAutospacing="1" w:after="100" w:afterAutospacing="1" w:line="360" w:lineRule="auto"/>
        <w:rPr>
          <w:rFonts w:ascii="Calibri Light" w:hAnsi="Calibri Light" w:cs="Calibri Light"/>
          <w:lang w:val="en-GB"/>
        </w:rPr>
      </w:pPr>
      <w:r w:rsidRPr="00AA04A4">
        <w:rPr>
          <w:rFonts w:ascii="Calibri Light" w:hAnsi="Calibri Light" w:cs="Calibri Light"/>
          <w:lang w:val="en-GB"/>
        </w:rPr>
        <w:t>From 2005-2014, budget utilisation rates for in-service trainings are also lower than annual allotments. In 2014, only 57 percent of the total budget allocation for training and development was spent on relevant activities. The study also showed varying percentages of fund downloading from the regional HRTD funds to the division level. These differences were attributed to bureaucratic delays in fund requests and releases, which then affect the number of training opportunities provided to teachers at the division level.</w:t>
      </w:r>
      <w:r w:rsidR="00D434EB">
        <w:rPr>
          <w:rFonts w:ascii="Calibri Light" w:hAnsi="Calibri Light" w:cs="Calibri Light"/>
          <w:lang w:val="en-GB"/>
        </w:rPr>
        <w:t xml:space="preserve"> </w:t>
      </w:r>
    </w:p>
    <w:p w14:paraId="683885B3" w14:textId="77777777" w:rsidR="008D0CAD" w:rsidRPr="00AA04A4" w:rsidRDefault="008D0CAD" w:rsidP="00DD08E3">
      <w:pPr>
        <w:spacing w:before="100" w:beforeAutospacing="1" w:after="100" w:afterAutospacing="1" w:line="360" w:lineRule="auto"/>
        <w:rPr>
          <w:rFonts w:ascii="Calibri Light" w:hAnsi="Calibri Light" w:cs="Calibri Light"/>
          <w:b/>
          <w:bCs/>
          <w:i/>
          <w:iCs/>
          <w:lang w:val="en-GB"/>
        </w:rPr>
      </w:pPr>
      <w:r w:rsidRPr="00AA04A4">
        <w:rPr>
          <w:rFonts w:ascii="Calibri Light" w:hAnsi="Calibri Light" w:cs="Calibri Light"/>
          <w:b/>
          <w:bCs/>
          <w:i/>
          <w:iCs/>
          <w:lang w:val="en-GB"/>
        </w:rPr>
        <w:t>Bridging L&amp;D gaps</w:t>
      </w:r>
    </w:p>
    <w:p w14:paraId="5B6E1B50" w14:textId="77777777" w:rsidR="008D0CAD" w:rsidRPr="00AA04A4" w:rsidRDefault="008D0CAD" w:rsidP="00DD08E3">
      <w:pPr>
        <w:spacing w:before="100" w:beforeAutospacing="1" w:after="100" w:afterAutospacing="1" w:line="360" w:lineRule="auto"/>
        <w:rPr>
          <w:rFonts w:ascii="Calibri Light" w:hAnsi="Calibri Light" w:cs="Calibri Light"/>
          <w:lang w:val="en-GB"/>
        </w:rPr>
      </w:pPr>
      <w:r w:rsidRPr="00AA04A4">
        <w:rPr>
          <w:rFonts w:ascii="Calibri Light" w:hAnsi="Calibri Light" w:cs="Calibri Light"/>
          <w:lang w:val="en-GB"/>
        </w:rPr>
        <w:t xml:space="preserve">The L&amp;D approach supported by BEST considers the generation of knowledge and </w:t>
      </w:r>
      <w:r w:rsidRPr="00AA04A4">
        <w:rPr>
          <w:rFonts w:ascii="Calibri Light" w:hAnsi="Calibri Light" w:cs="Calibri Light"/>
          <w:i/>
          <w:iCs/>
          <w:lang w:val="en-GB"/>
        </w:rPr>
        <w:t xml:space="preserve">learning </w:t>
      </w:r>
      <w:r w:rsidRPr="00AA04A4">
        <w:rPr>
          <w:rFonts w:ascii="Calibri Light" w:hAnsi="Calibri Light" w:cs="Calibri Light"/>
          <w:lang w:val="en-GB"/>
        </w:rPr>
        <w:t>from the teachers’ articulation of their experiences, as well of their needs and situations. The inductive format of the L&amp;D addresses the mismatch between available training opportunities and the perceived development needs of the teachers.</w:t>
      </w:r>
    </w:p>
    <w:p w14:paraId="2A1AAC7F" w14:textId="77777777" w:rsidR="008D0CAD" w:rsidRPr="00AA04A4" w:rsidRDefault="008D0CAD" w:rsidP="00DD08E3">
      <w:pPr>
        <w:spacing w:before="100" w:beforeAutospacing="1" w:after="100" w:afterAutospacing="1" w:line="360" w:lineRule="auto"/>
        <w:rPr>
          <w:rFonts w:ascii="Calibri Light" w:hAnsi="Calibri Light" w:cs="Calibri Light"/>
          <w:lang w:val="en-GB"/>
        </w:rPr>
      </w:pPr>
      <w:r w:rsidRPr="00AA04A4">
        <w:rPr>
          <w:rFonts w:ascii="Calibri Light" w:hAnsi="Calibri Light" w:cs="Calibri Light"/>
          <w:lang w:val="en-GB"/>
        </w:rPr>
        <w:t xml:space="preserve">DepEd Order No. 35, series of 2016, which institutionalised the use of learning action cells as a strategy for continuing professional development provides a mechanism for teachers to continuously assess their development needs and plan how to address them at the school level. The process of institutionalisation likewise integrated the LACs within the professional teaching standards and performance assessments and ensured that the conduct of LACs is monitored and integrated within the DepEd system. The results from the current endline study show encouraging indications of the usefulness of LACs in the development of teachers across the six regions. </w:t>
      </w:r>
    </w:p>
    <w:p w14:paraId="5C585535" w14:textId="77777777" w:rsidR="008D0CAD" w:rsidRPr="00AA04A4" w:rsidRDefault="008D0CAD" w:rsidP="00DD08E3">
      <w:pPr>
        <w:spacing w:before="100" w:beforeAutospacing="1" w:after="100" w:afterAutospacing="1" w:line="360" w:lineRule="auto"/>
        <w:rPr>
          <w:rFonts w:ascii="Calibri Light" w:hAnsi="Calibri Light" w:cs="Calibri Light"/>
          <w:b/>
          <w:bCs/>
          <w:i/>
          <w:iCs/>
          <w:lang w:val="en-GB"/>
        </w:rPr>
      </w:pPr>
      <w:r w:rsidRPr="00AA04A4">
        <w:rPr>
          <w:rFonts w:ascii="Calibri Light" w:hAnsi="Calibri Light" w:cs="Calibri Light"/>
          <w:b/>
          <w:bCs/>
          <w:i/>
          <w:iCs/>
          <w:lang w:val="en-GB"/>
        </w:rPr>
        <w:t>Practices of other countries in teacher learning and development</w:t>
      </w:r>
    </w:p>
    <w:p w14:paraId="43C9C0A0" w14:textId="1209402D" w:rsidR="008D0CAD" w:rsidRPr="00AA04A4" w:rsidRDefault="008D0CAD" w:rsidP="00DD08E3">
      <w:pPr>
        <w:spacing w:before="100" w:beforeAutospacing="1" w:after="100" w:afterAutospacing="1" w:line="360" w:lineRule="auto"/>
        <w:rPr>
          <w:rFonts w:ascii="Calibri Light" w:hAnsi="Calibri Light" w:cs="Calibri Light"/>
          <w:lang w:val="en-GB"/>
        </w:rPr>
      </w:pPr>
      <w:r w:rsidRPr="00AA04A4">
        <w:rPr>
          <w:rFonts w:ascii="Calibri Light" w:hAnsi="Calibri Light" w:cs="Calibri Light"/>
          <w:lang w:val="en-GB"/>
        </w:rPr>
        <w:t xml:space="preserve">In the United States, aspirations for professional development focus on linking training support to teachers’ classroom practices and needs </w:t>
      </w:r>
      <w:sdt>
        <w:sdtPr>
          <w:rPr>
            <w:rFonts w:ascii="Calibri Light" w:hAnsi="Calibri Light" w:cs="Calibri Light"/>
            <w:lang w:val="en-GB"/>
          </w:rPr>
          <w:id w:val="293805717"/>
          <w:citation/>
        </w:sdtPr>
        <w:sdtEndPr/>
        <w:sdtContent>
          <w:r w:rsidRPr="00AA04A4">
            <w:rPr>
              <w:rFonts w:ascii="Calibri Light" w:hAnsi="Calibri Light" w:cs="Calibri Light"/>
              <w:lang w:val="en-GB"/>
            </w:rPr>
            <w:fldChar w:fldCharType="begin"/>
          </w:r>
          <w:r w:rsidRPr="00AA04A4">
            <w:rPr>
              <w:rFonts w:ascii="Calibri Light" w:hAnsi="Calibri Light" w:cs="Calibri Light"/>
              <w:lang w:val="en-US"/>
            </w:rPr>
            <w:instrText xml:space="preserve"> CITATION Nat12 \l 13321 </w:instrText>
          </w:r>
          <w:r w:rsidRPr="00AA04A4">
            <w:rPr>
              <w:rFonts w:ascii="Calibri Light" w:hAnsi="Calibri Light" w:cs="Calibri Light"/>
              <w:lang w:val="en-GB"/>
            </w:rPr>
            <w:fldChar w:fldCharType="separate"/>
          </w:r>
          <w:r w:rsidRPr="00AA04A4">
            <w:rPr>
              <w:rFonts w:ascii="Calibri Light" w:hAnsi="Calibri Light" w:cs="Calibri Light"/>
              <w:noProof/>
              <w:lang w:val="en-US"/>
            </w:rPr>
            <w:t>(National Research Council, 2012)</w:t>
          </w:r>
          <w:r w:rsidRPr="00AA04A4">
            <w:rPr>
              <w:rFonts w:ascii="Calibri Light" w:hAnsi="Calibri Light" w:cs="Calibri Light"/>
              <w:lang w:val="en-GB"/>
            </w:rPr>
            <w:fldChar w:fldCharType="end"/>
          </w:r>
        </w:sdtContent>
      </w:sdt>
      <w:r w:rsidRPr="00AA04A4">
        <w:rPr>
          <w:rFonts w:ascii="Calibri Light" w:hAnsi="Calibri Light" w:cs="Calibri Light"/>
          <w:lang w:val="en-GB"/>
        </w:rPr>
        <w:t>. Similar to the practice in the Philippines, professional development is also tied to the standards and curricula, as well as to the context of practice. There is, however, an added layer of State regulation in identifying teaching standards, as these are independently defined by individual States. States with common teaching standards usually adopt similar frames of professional development approaches, although there are limited indications that these approaches are also conducted and tailored in school levels like the learning action cells.</w:t>
      </w:r>
      <w:r w:rsidR="00D434EB">
        <w:rPr>
          <w:rFonts w:ascii="Calibri Light" w:hAnsi="Calibri Light" w:cs="Calibri Light"/>
          <w:lang w:val="en-GB"/>
        </w:rPr>
        <w:t xml:space="preserve">  </w:t>
      </w:r>
      <w:r w:rsidRPr="00AA04A4">
        <w:rPr>
          <w:rFonts w:ascii="Calibri Light" w:hAnsi="Calibri Light" w:cs="Calibri Light"/>
          <w:lang w:val="en-GB"/>
        </w:rPr>
        <w:t xml:space="preserve"> </w:t>
      </w:r>
    </w:p>
    <w:p w14:paraId="2DEF82F5" w14:textId="562917AB" w:rsidR="008D0CAD" w:rsidRPr="00AA04A4" w:rsidRDefault="008D0CAD" w:rsidP="00DD08E3">
      <w:pPr>
        <w:spacing w:before="100" w:beforeAutospacing="1" w:after="100" w:afterAutospacing="1" w:line="360" w:lineRule="auto"/>
        <w:rPr>
          <w:rFonts w:ascii="Calibri Light" w:hAnsi="Calibri Light" w:cs="Calibri Light"/>
          <w:lang w:val="en-GB"/>
        </w:rPr>
      </w:pPr>
      <w:r w:rsidRPr="00AA04A4">
        <w:rPr>
          <w:rFonts w:ascii="Calibri Light" w:hAnsi="Calibri Light" w:cs="Calibri Light"/>
          <w:lang w:val="en-GB"/>
        </w:rPr>
        <w:t xml:space="preserve">In Hongkong, the approach for teachers’ development put premium to “finding time for teacher collaboration, allowing more professional autonomy, building up teachers’ confidence through rapport with peers, and support from external agents” </w:t>
      </w:r>
      <w:sdt>
        <w:sdtPr>
          <w:rPr>
            <w:rFonts w:ascii="Calibri Light" w:hAnsi="Calibri Light" w:cs="Calibri Light"/>
            <w:lang w:val="en-GB"/>
          </w:rPr>
          <w:id w:val="-1296825258"/>
          <w:citation/>
        </w:sdtPr>
        <w:sdtEndPr/>
        <w:sdtContent>
          <w:r w:rsidRPr="00AA04A4">
            <w:rPr>
              <w:rFonts w:ascii="Calibri Light" w:hAnsi="Calibri Light" w:cs="Calibri Light"/>
              <w:lang w:val="en-GB"/>
            </w:rPr>
            <w:fldChar w:fldCharType="begin"/>
          </w:r>
          <w:r w:rsidRPr="00AA04A4">
            <w:rPr>
              <w:rFonts w:ascii="Calibri Light" w:hAnsi="Calibri Light" w:cs="Calibri Light"/>
              <w:lang w:val="en-US"/>
            </w:rPr>
            <w:instrText xml:space="preserve"> CITATION Edu18 \l 13321 </w:instrText>
          </w:r>
          <w:r w:rsidRPr="00AA04A4">
            <w:rPr>
              <w:rFonts w:ascii="Calibri Light" w:hAnsi="Calibri Light" w:cs="Calibri Light"/>
              <w:lang w:val="en-GB"/>
            </w:rPr>
            <w:fldChar w:fldCharType="separate"/>
          </w:r>
          <w:r w:rsidRPr="00AA04A4">
            <w:rPr>
              <w:rFonts w:ascii="Calibri Light" w:hAnsi="Calibri Light" w:cs="Calibri Light"/>
              <w:noProof/>
              <w:lang w:val="en-US"/>
            </w:rPr>
            <w:t>(Education Bureau, 2018)</w:t>
          </w:r>
          <w:r w:rsidRPr="00AA04A4">
            <w:rPr>
              <w:rFonts w:ascii="Calibri Light" w:hAnsi="Calibri Light" w:cs="Calibri Light"/>
              <w:lang w:val="en-GB"/>
            </w:rPr>
            <w:fldChar w:fldCharType="end"/>
          </w:r>
        </w:sdtContent>
      </w:sdt>
      <w:r w:rsidRPr="00AA04A4">
        <w:rPr>
          <w:rFonts w:ascii="Calibri Light" w:hAnsi="Calibri Light" w:cs="Calibri Light"/>
          <w:lang w:val="en-GB"/>
        </w:rPr>
        <w:t xml:space="preserve">. To avoid fragmentation of strategies and overloading of responsibilities, the Bureau adopts a set of curriculum strategies, which then form the general framework for identifying development areas. Further, Hongkong organises curriculum development groups (CDGs), which are similar to DepEd’s LACs. The CDGs are “groups usually consist of teachers within the same key learning area at the same level,” and “finds time to collectively prepare lessons, discuss issues related to learning and teaching in their own classrooms, adapt textbook materials and other learning materials, and develop strategies based on theories or other research findings” </w:t>
      </w:r>
      <w:sdt>
        <w:sdtPr>
          <w:rPr>
            <w:rFonts w:ascii="Calibri Light" w:hAnsi="Calibri Light" w:cs="Calibri Light"/>
            <w:lang w:val="en-GB"/>
          </w:rPr>
          <w:id w:val="1495910364"/>
          <w:citation/>
        </w:sdtPr>
        <w:sdtEndPr/>
        <w:sdtContent>
          <w:r w:rsidRPr="00AA04A4">
            <w:rPr>
              <w:rFonts w:ascii="Calibri Light" w:hAnsi="Calibri Light" w:cs="Calibri Light"/>
              <w:lang w:val="en-GB"/>
            </w:rPr>
            <w:fldChar w:fldCharType="begin"/>
          </w:r>
          <w:r w:rsidRPr="00AA04A4">
            <w:rPr>
              <w:rFonts w:ascii="Calibri Light" w:hAnsi="Calibri Light" w:cs="Calibri Light"/>
              <w:lang w:val="en-US"/>
            </w:rPr>
            <w:instrText xml:space="preserve"> CITATION Edu18 \l 13321 </w:instrText>
          </w:r>
          <w:r w:rsidRPr="00AA04A4">
            <w:rPr>
              <w:rFonts w:ascii="Calibri Light" w:hAnsi="Calibri Light" w:cs="Calibri Light"/>
              <w:lang w:val="en-GB"/>
            </w:rPr>
            <w:fldChar w:fldCharType="separate"/>
          </w:r>
          <w:r w:rsidRPr="00AA04A4">
            <w:rPr>
              <w:rFonts w:ascii="Calibri Light" w:hAnsi="Calibri Light" w:cs="Calibri Light"/>
              <w:noProof/>
              <w:lang w:val="en-US"/>
            </w:rPr>
            <w:t>(Education Bureau, 2018)</w:t>
          </w:r>
          <w:r w:rsidRPr="00AA04A4">
            <w:rPr>
              <w:rFonts w:ascii="Calibri Light" w:hAnsi="Calibri Light" w:cs="Calibri Light"/>
              <w:lang w:val="en-GB"/>
            </w:rPr>
            <w:fldChar w:fldCharType="end"/>
          </w:r>
        </w:sdtContent>
      </w:sdt>
      <w:r w:rsidRPr="00AA04A4">
        <w:rPr>
          <w:rFonts w:ascii="Calibri Light" w:hAnsi="Calibri Light" w:cs="Calibri Light"/>
          <w:lang w:val="en-GB"/>
        </w:rPr>
        <w:t>. An added value of Hongkong’s CDGs is the tapping of university partners at the initial stages of CDG organising through using their expertise to provide some support to teachers in structuring collaborative lesson preparation and identifying training needs.</w:t>
      </w:r>
      <w:r w:rsidR="00D434EB">
        <w:rPr>
          <w:rFonts w:ascii="Calibri Light" w:hAnsi="Calibri Light" w:cs="Calibri Light"/>
          <w:lang w:val="en-GB"/>
        </w:rPr>
        <w:t xml:space="preserve">   </w:t>
      </w:r>
    </w:p>
    <w:p w14:paraId="587FB9C2" w14:textId="77777777" w:rsidR="008D0CAD" w:rsidRPr="00AA04A4" w:rsidRDefault="008D0CAD" w:rsidP="00DD08E3">
      <w:pPr>
        <w:spacing w:before="100" w:beforeAutospacing="1" w:after="100" w:afterAutospacing="1" w:line="360" w:lineRule="auto"/>
        <w:rPr>
          <w:rFonts w:ascii="Calibri Light" w:hAnsi="Calibri Light" w:cs="Calibri Light"/>
          <w:lang w:val="en-GB"/>
        </w:rPr>
      </w:pPr>
      <w:r w:rsidRPr="00AA04A4">
        <w:rPr>
          <w:rFonts w:ascii="Calibri Light" w:hAnsi="Calibri Light" w:cs="Calibri Light"/>
          <w:lang w:val="en-GB"/>
        </w:rPr>
        <w:t>According to Hongkong’s Education Bureau the CDGs have the following results:</w:t>
      </w:r>
    </w:p>
    <w:p w14:paraId="37062FA1" w14:textId="77777777" w:rsidR="008D0CAD" w:rsidRPr="00AA04A4" w:rsidRDefault="008D0CAD" w:rsidP="00DD08E3">
      <w:pPr>
        <w:numPr>
          <w:ilvl w:val="0"/>
          <w:numId w:val="146"/>
        </w:numPr>
        <w:spacing w:before="100" w:beforeAutospacing="1" w:after="100" w:afterAutospacing="1" w:line="360" w:lineRule="auto"/>
        <w:rPr>
          <w:rFonts w:ascii="Calibri Light" w:hAnsi="Calibri Light" w:cs="Calibri Light"/>
          <w:snapToGrid w:val="0"/>
          <w:lang w:val="en-GB"/>
        </w:rPr>
      </w:pPr>
      <w:r w:rsidRPr="00AA04A4">
        <w:rPr>
          <w:rFonts w:ascii="Calibri Light" w:hAnsi="Calibri Light" w:cs="Calibri Light"/>
          <w:snapToGrid w:val="0"/>
          <w:lang w:val="en-GB"/>
        </w:rPr>
        <w:t>“Allows teachers to focus directly on actual classroom practices, and to reflect and improve on action taken, based on evidence from students’ feedback;</w:t>
      </w:r>
    </w:p>
    <w:p w14:paraId="035DF967" w14:textId="77777777" w:rsidR="008D0CAD" w:rsidRPr="00AA04A4" w:rsidRDefault="008D0CAD" w:rsidP="00DD08E3">
      <w:pPr>
        <w:numPr>
          <w:ilvl w:val="0"/>
          <w:numId w:val="146"/>
        </w:numPr>
        <w:spacing w:before="100" w:beforeAutospacing="1" w:after="100" w:afterAutospacing="1" w:line="360" w:lineRule="auto"/>
        <w:rPr>
          <w:rFonts w:ascii="Calibri Light" w:hAnsi="Calibri Light" w:cs="Calibri Light"/>
          <w:snapToGrid w:val="0"/>
          <w:lang w:val="en-GB"/>
        </w:rPr>
      </w:pPr>
      <w:r w:rsidRPr="00AA04A4">
        <w:rPr>
          <w:rFonts w:ascii="Calibri Light" w:hAnsi="Calibri Light" w:cs="Calibri Light"/>
          <w:snapToGrid w:val="0"/>
          <w:lang w:val="en-GB"/>
        </w:rPr>
        <w:t>Knowledge generated helps improve further practice and decisions;</w:t>
      </w:r>
    </w:p>
    <w:p w14:paraId="47358397" w14:textId="77777777" w:rsidR="008D0CAD" w:rsidRPr="00AA04A4" w:rsidRDefault="008D0CAD" w:rsidP="00DD08E3">
      <w:pPr>
        <w:numPr>
          <w:ilvl w:val="0"/>
          <w:numId w:val="146"/>
        </w:numPr>
        <w:spacing w:before="100" w:beforeAutospacing="1" w:after="100" w:afterAutospacing="1" w:line="360" w:lineRule="auto"/>
        <w:rPr>
          <w:rFonts w:ascii="Calibri Light" w:hAnsi="Calibri Light" w:cs="Calibri Light"/>
          <w:snapToGrid w:val="0"/>
          <w:lang w:val="en-GB"/>
        </w:rPr>
      </w:pPr>
      <w:r w:rsidRPr="00AA04A4">
        <w:rPr>
          <w:rFonts w:ascii="Calibri Light" w:hAnsi="Calibri Light" w:cs="Calibri Light"/>
          <w:snapToGrid w:val="0"/>
          <w:lang w:val="en-GB"/>
        </w:rPr>
        <w:t>Provides the context for teacher interaction, and mentoring, thus fostering a collaborative and interdependent culture;</w:t>
      </w:r>
    </w:p>
    <w:p w14:paraId="6B0600E9" w14:textId="39688ADD" w:rsidR="008D0CAD" w:rsidRPr="00AA04A4" w:rsidRDefault="008D0CAD" w:rsidP="00DD08E3">
      <w:pPr>
        <w:numPr>
          <w:ilvl w:val="0"/>
          <w:numId w:val="146"/>
        </w:numPr>
        <w:spacing w:before="100" w:beforeAutospacing="1" w:after="100" w:afterAutospacing="1" w:line="360" w:lineRule="auto"/>
        <w:rPr>
          <w:rFonts w:ascii="Calibri Light" w:hAnsi="Calibri Light" w:cs="Calibri Light"/>
          <w:snapToGrid w:val="0"/>
          <w:lang w:val="en-GB"/>
        </w:rPr>
      </w:pPr>
      <w:r w:rsidRPr="00AA04A4">
        <w:rPr>
          <w:rFonts w:ascii="Calibri Light" w:hAnsi="Calibri Light" w:cs="Calibri Light"/>
          <w:snapToGrid w:val="0"/>
          <w:lang w:val="en-GB"/>
        </w:rPr>
        <w:t xml:space="preserve">Provides a platform for continuous improvement through developing and trying out new learning and teaching strategies, assessment modes, curriculum design and organisation, etc.” </w:t>
      </w:r>
      <w:sdt>
        <w:sdtPr>
          <w:rPr>
            <w:rFonts w:ascii="Calibri Light" w:hAnsi="Calibri Light" w:cs="Calibri Light"/>
            <w:snapToGrid w:val="0"/>
            <w:lang w:val="en-GB"/>
          </w:rPr>
          <w:id w:val="-875543822"/>
          <w:citation/>
        </w:sdtPr>
        <w:sdtEndPr/>
        <w:sdtContent>
          <w:r w:rsidRPr="00AA04A4">
            <w:rPr>
              <w:rFonts w:ascii="Calibri Light" w:hAnsi="Calibri Light" w:cs="Calibri Light"/>
              <w:snapToGrid w:val="0"/>
              <w:lang w:val="en-GB"/>
            </w:rPr>
            <w:fldChar w:fldCharType="begin"/>
          </w:r>
          <w:r w:rsidRPr="00AA04A4">
            <w:rPr>
              <w:rFonts w:ascii="Calibri Light" w:hAnsi="Calibri Light" w:cs="Calibri Light"/>
              <w:snapToGrid w:val="0"/>
              <w:lang w:val="en-US"/>
            </w:rPr>
            <w:instrText xml:space="preserve"> CITATION Edu18 \l 13321 </w:instrText>
          </w:r>
          <w:r w:rsidRPr="00AA04A4">
            <w:rPr>
              <w:rFonts w:ascii="Calibri Light" w:hAnsi="Calibri Light" w:cs="Calibri Light"/>
              <w:snapToGrid w:val="0"/>
              <w:lang w:val="en-GB"/>
            </w:rPr>
            <w:fldChar w:fldCharType="separate"/>
          </w:r>
          <w:r w:rsidRPr="00AA04A4">
            <w:rPr>
              <w:rFonts w:ascii="Calibri Light" w:hAnsi="Calibri Light" w:cs="Calibri Light"/>
              <w:noProof/>
              <w:snapToGrid w:val="0"/>
              <w:lang w:val="en-US"/>
            </w:rPr>
            <w:t>(Education Bureau, 2018)</w:t>
          </w:r>
          <w:r w:rsidRPr="00AA04A4">
            <w:rPr>
              <w:rFonts w:ascii="Calibri Light" w:hAnsi="Calibri Light" w:cs="Calibri Light"/>
              <w:snapToGrid w:val="0"/>
              <w:lang w:val="en-GB"/>
            </w:rPr>
            <w:fldChar w:fldCharType="end"/>
          </w:r>
        </w:sdtContent>
      </w:sdt>
      <w:r w:rsidR="00D434EB">
        <w:rPr>
          <w:rFonts w:ascii="Calibri Light" w:hAnsi="Calibri Light" w:cs="Calibri Light"/>
          <w:snapToGrid w:val="0"/>
          <w:lang w:val="en-GB"/>
        </w:rPr>
        <w:t xml:space="preserve"> </w:t>
      </w:r>
    </w:p>
    <w:p w14:paraId="605DC84E" w14:textId="77777777" w:rsidR="008D0CAD" w:rsidRPr="00AA04A4" w:rsidRDefault="008D0CAD" w:rsidP="00DD08E3">
      <w:pPr>
        <w:spacing w:before="100" w:beforeAutospacing="1" w:after="100" w:afterAutospacing="1" w:line="360" w:lineRule="auto"/>
        <w:rPr>
          <w:rFonts w:ascii="Calibri Light" w:hAnsi="Calibri Light" w:cs="Calibri Light"/>
          <w:lang w:val="en-GB"/>
        </w:rPr>
      </w:pPr>
      <w:r w:rsidRPr="00AA04A4">
        <w:rPr>
          <w:rFonts w:ascii="Calibri Light" w:hAnsi="Calibri Light" w:cs="Calibri Light"/>
          <w:lang w:val="en-GB"/>
        </w:rPr>
        <w:t xml:space="preserve">Further, the Education Bureau emphasises on “learning through practice,” particularly in the context of developing teachers’ life-long learning capacity </w:t>
      </w:r>
      <w:sdt>
        <w:sdtPr>
          <w:rPr>
            <w:rFonts w:ascii="Calibri Light" w:hAnsi="Calibri Light" w:cs="Calibri Light"/>
            <w:lang w:val="en-GB"/>
          </w:rPr>
          <w:id w:val="618184584"/>
          <w:citation/>
        </w:sdtPr>
        <w:sdtEndPr/>
        <w:sdtContent>
          <w:r w:rsidRPr="00AA04A4">
            <w:rPr>
              <w:rFonts w:ascii="Calibri Light" w:hAnsi="Calibri Light" w:cs="Calibri Light"/>
              <w:lang w:val="en-GB"/>
            </w:rPr>
            <w:fldChar w:fldCharType="begin"/>
          </w:r>
          <w:r w:rsidRPr="00AA04A4">
            <w:rPr>
              <w:rFonts w:ascii="Calibri Light" w:hAnsi="Calibri Light" w:cs="Calibri Light"/>
              <w:lang w:val="en-US"/>
            </w:rPr>
            <w:instrText xml:space="preserve"> CITATION Edu18 \l 13321 </w:instrText>
          </w:r>
          <w:r w:rsidRPr="00AA04A4">
            <w:rPr>
              <w:rFonts w:ascii="Calibri Light" w:hAnsi="Calibri Light" w:cs="Calibri Light"/>
              <w:lang w:val="en-GB"/>
            </w:rPr>
            <w:fldChar w:fldCharType="separate"/>
          </w:r>
          <w:r w:rsidRPr="00AA04A4">
            <w:rPr>
              <w:rFonts w:ascii="Calibri Light" w:hAnsi="Calibri Light" w:cs="Calibri Light"/>
              <w:noProof/>
              <w:lang w:val="en-US"/>
            </w:rPr>
            <w:t>(Education Bureau, 2018)</w:t>
          </w:r>
          <w:r w:rsidRPr="00AA04A4">
            <w:rPr>
              <w:rFonts w:ascii="Calibri Light" w:hAnsi="Calibri Light" w:cs="Calibri Light"/>
              <w:lang w:val="en-GB"/>
            </w:rPr>
            <w:fldChar w:fldCharType="end"/>
          </w:r>
        </w:sdtContent>
      </w:sdt>
      <w:r w:rsidRPr="00AA04A4">
        <w:rPr>
          <w:rFonts w:ascii="Calibri Light" w:hAnsi="Calibri Light" w:cs="Calibri Light"/>
          <w:lang w:val="en-GB"/>
        </w:rPr>
        <w:t>. By developing a platform that will facilitate this principle, the Education Bureau aims to transform these improvements into gains in student learning outcomes.</w:t>
      </w:r>
    </w:p>
    <w:p w14:paraId="08DA3447" w14:textId="761A65B1" w:rsidR="008D0CAD" w:rsidRPr="00AA04A4" w:rsidRDefault="008D0CAD" w:rsidP="00DD08E3">
      <w:pPr>
        <w:spacing w:before="100" w:beforeAutospacing="1" w:after="100" w:afterAutospacing="1" w:line="360" w:lineRule="auto"/>
        <w:rPr>
          <w:rFonts w:ascii="Calibri Light" w:hAnsi="Calibri Light" w:cs="Calibri Light"/>
          <w:lang w:val="en-GB"/>
        </w:rPr>
      </w:pPr>
      <w:r w:rsidRPr="00AA04A4">
        <w:rPr>
          <w:rFonts w:ascii="Calibri Light" w:hAnsi="Calibri Light" w:cs="Calibri Light"/>
          <w:lang w:val="en-GB"/>
        </w:rPr>
        <w:t xml:space="preserve">The Journal of Education for Sustainable Development agrees with this assumption. Redman, Wiek and Redman (2018) emphasized the need to align continuing professional development to the specific practice context of teachers. Within the continuing professional development framework, teachers should have the time and the mechanism to collaborate on common themes and integrate learning within the practices of teaching. This may be done by providing teachers with “the time to translate their ideas into their own school system” </w:t>
      </w:r>
      <w:sdt>
        <w:sdtPr>
          <w:rPr>
            <w:rFonts w:ascii="Calibri Light" w:hAnsi="Calibri Light" w:cs="Calibri Light"/>
            <w:lang w:val="en-GB"/>
          </w:rPr>
          <w:id w:val="-1292358962"/>
          <w:citation/>
        </w:sdtPr>
        <w:sdtEndPr/>
        <w:sdtContent>
          <w:r w:rsidRPr="00AA04A4">
            <w:rPr>
              <w:rFonts w:ascii="Calibri Light" w:hAnsi="Calibri Light" w:cs="Calibri Light"/>
              <w:lang w:val="en-GB"/>
            </w:rPr>
            <w:fldChar w:fldCharType="begin"/>
          </w:r>
          <w:r w:rsidRPr="00AA04A4">
            <w:rPr>
              <w:rFonts w:ascii="Calibri Light" w:hAnsi="Calibri Light" w:cs="Calibri Light"/>
              <w:lang w:val="en-US"/>
            </w:rPr>
            <w:instrText xml:space="preserve"> CITATION Red18 \l 13321 </w:instrText>
          </w:r>
          <w:r w:rsidRPr="00AA04A4">
            <w:rPr>
              <w:rFonts w:ascii="Calibri Light" w:hAnsi="Calibri Light" w:cs="Calibri Light"/>
              <w:lang w:val="en-GB"/>
            </w:rPr>
            <w:fldChar w:fldCharType="separate"/>
          </w:r>
          <w:r w:rsidRPr="00AA04A4">
            <w:rPr>
              <w:rFonts w:ascii="Calibri Light" w:hAnsi="Calibri Light" w:cs="Calibri Light"/>
              <w:noProof/>
              <w:lang w:val="en-US"/>
            </w:rPr>
            <w:t>(Redma, Wiek, &amp; Redman, 2018)</w:t>
          </w:r>
          <w:r w:rsidRPr="00AA04A4">
            <w:rPr>
              <w:rFonts w:ascii="Calibri Light" w:hAnsi="Calibri Light" w:cs="Calibri Light"/>
              <w:lang w:val="en-GB"/>
            </w:rPr>
            <w:fldChar w:fldCharType="end"/>
          </w:r>
        </w:sdtContent>
      </w:sdt>
      <w:r w:rsidRPr="00AA04A4">
        <w:rPr>
          <w:rFonts w:ascii="Calibri Light" w:hAnsi="Calibri Light" w:cs="Calibri Light"/>
          <w:lang w:val="en-GB"/>
        </w:rPr>
        <w:t>. It should be noted that collaborative learning and integration is already one of the main purposes of setting up LACs in schools.</w:t>
      </w:r>
      <w:r w:rsidR="00D434EB">
        <w:rPr>
          <w:rFonts w:ascii="Calibri Light" w:hAnsi="Calibri Light" w:cs="Calibri Light"/>
          <w:lang w:val="en-GB"/>
        </w:rPr>
        <w:t xml:space="preserve">   </w:t>
      </w:r>
    </w:p>
    <w:p w14:paraId="36143666" w14:textId="77777777" w:rsidR="008D0CAD" w:rsidRPr="00AA04A4" w:rsidRDefault="008D0CAD" w:rsidP="00DD08E3">
      <w:pPr>
        <w:spacing w:before="100" w:beforeAutospacing="1" w:after="100" w:afterAutospacing="1" w:line="360" w:lineRule="auto"/>
        <w:rPr>
          <w:rFonts w:ascii="Calibri Light" w:hAnsi="Calibri Light" w:cs="Calibri Light"/>
          <w:lang w:val="en-GB"/>
        </w:rPr>
      </w:pPr>
      <w:r w:rsidRPr="00AA04A4">
        <w:rPr>
          <w:rFonts w:ascii="Calibri Light" w:hAnsi="Calibri Light" w:cs="Calibri Light"/>
          <w:lang w:val="en-GB"/>
        </w:rPr>
        <w:t xml:space="preserve">The Teaching and Learning International Survey (TALIS) in OECD countries identified “informal dialogue with peers to improve teaching” as the most participated method for professional development, while attending courses and workshop is a far second </w:t>
      </w:r>
      <w:sdt>
        <w:sdtPr>
          <w:rPr>
            <w:rFonts w:ascii="Calibri Light" w:hAnsi="Calibri Light" w:cs="Calibri Light"/>
            <w:lang w:val="en-GB"/>
          </w:rPr>
          <w:id w:val="-1693757878"/>
          <w:citation/>
        </w:sdtPr>
        <w:sdtEndPr/>
        <w:sdtContent>
          <w:r w:rsidRPr="00AA04A4">
            <w:rPr>
              <w:rFonts w:ascii="Calibri Light" w:hAnsi="Calibri Light" w:cs="Calibri Light"/>
              <w:lang w:val="en-GB"/>
            </w:rPr>
            <w:fldChar w:fldCharType="begin"/>
          </w:r>
          <w:r w:rsidRPr="00AA04A4">
            <w:rPr>
              <w:rFonts w:ascii="Calibri Light" w:hAnsi="Calibri Light" w:cs="Calibri Light"/>
              <w:lang w:val="en-GB"/>
            </w:rPr>
            <w:instrText xml:space="preserve"> CITATION TAL13 \l 13321 </w:instrText>
          </w:r>
          <w:r w:rsidRPr="00AA04A4">
            <w:rPr>
              <w:rFonts w:ascii="Calibri Light" w:hAnsi="Calibri Light" w:cs="Calibri Light"/>
              <w:lang w:val="en-GB"/>
            </w:rPr>
            <w:fldChar w:fldCharType="separate"/>
          </w:r>
          <w:r w:rsidRPr="00AA04A4">
            <w:rPr>
              <w:rFonts w:ascii="Calibri Light" w:hAnsi="Calibri Light" w:cs="Calibri Light"/>
              <w:lang w:val="en-GB"/>
            </w:rPr>
            <w:t>(TALIS, 2013)</w:t>
          </w:r>
          <w:r w:rsidRPr="00AA04A4">
            <w:rPr>
              <w:rFonts w:ascii="Calibri Light" w:hAnsi="Calibri Light" w:cs="Calibri Light"/>
              <w:lang w:val="en-GB"/>
            </w:rPr>
            <w:fldChar w:fldCharType="end"/>
          </w:r>
        </w:sdtContent>
      </w:sdt>
      <w:r w:rsidRPr="00AA04A4">
        <w:rPr>
          <w:rFonts w:ascii="Calibri Light" w:hAnsi="Calibri Light" w:cs="Calibri Light"/>
          <w:lang w:val="en-GB"/>
        </w:rPr>
        <w:t xml:space="preserve">. Of more than 90 percent teachers who responded with informal dialogues, 85 percent reported moderate or high level of impact to their development. However, these informal dialogues (unlike LACs) were “not counted as measure for professional development” </w:t>
      </w:r>
      <w:sdt>
        <w:sdtPr>
          <w:rPr>
            <w:rFonts w:ascii="Calibri Light" w:hAnsi="Calibri Light" w:cs="Calibri Light"/>
            <w:lang w:val="en-GB"/>
          </w:rPr>
          <w:id w:val="-1232698262"/>
          <w:citation/>
        </w:sdtPr>
        <w:sdtEndPr/>
        <w:sdtContent>
          <w:r w:rsidRPr="00AA04A4">
            <w:rPr>
              <w:rFonts w:ascii="Calibri Light" w:hAnsi="Calibri Light" w:cs="Calibri Light"/>
              <w:lang w:val="en-GB"/>
            </w:rPr>
            <w:fldChar w:fldCharType="begin"/>
          </w:r>
          <w:r w:rsidRPr="00AA04A4">
            <w:rPr>
              <w:rFonts w:ascii="Calibri Light" w:hAnsi="Calibri Light" w:cs="Calibri Light"/>
              <w:lang w:val="en-US"/>
            </w:rPr>
            <w:instrText xml:space="preserve"> CITATION TAL13 \l 13321 </w:instrText>
          </w:r>
          <w:r w:rsidRPr="00AA04A4">
            <w:rPr>
              <w:rFonts w:ascii="Calibri Light" w:hAnsi="Calibri Light" w:cs="Calibri Light"/>
              <w:lang w:val="en-GB"/>
            </w:rPr>
            <w:fldChar w:fldCharType="separate"/>
          </w:r>
          <w:r w:rsidRPr="00AA04A4">
            <w:rPr>
              <w:rFonts w:ascii="Calibri Light" w:hAnsi="Calibri Light" w:cs="Calibri Light"/>
              <w:noProof/>
              <w:lang w:val="en-US"/>
            </w:rPr>
            <w:t>(TALIS, 2013)</w:t>
          </w:r>
          <w:r w:rsidRPr="00AA04A4">
            <w:rPr>
              <w:rFonts w:ascii="Calibri Light" w:hAnsi="Calibri Light" w:cs="Calibri Light"/>
              <w:lang w:val="en-GB"/>
            </w:rPr>
            <w:fldChar w:fldCharType="end"/>
          </w:r>
        </w:sdtContent>
      </w:sdt>
      <w:r w:rsidRPr="00AA04A4">
        <w:rPr>
          <w:rFonts w:ascii="Calibri Light" w:hAnsi="Calibri Light" w:cs="Calibri Light"/>
          <w:lang w:val="en-GB"/>
        </w:rPr>
        <w:t>.</w:t>
      </w:r>
    </w:p>
    <w:p w14:paraId="4077C025" w14:textId="77777777" w:rsidR="008D0CAD" w:rsidRPr="00AA04A4" w:rsidRDefault="008D0CAD" w:rsidP="00DD08E3">
      <w:pPr>
        <w:spacing w:before="100" w:beforeAutospacing="1" w:after="100" w:afterAutospacing="1" w:line="360" w:lineRule="auto"/>
        <w:rPr>
          <w:rFonts w:ascii="Calibri Light" w:hAnsi="Calibri Light" w:cs="Calibri Light"/>
          <w:lang w:val="en-GB"/>
        </w:rPr>
      </w:pPr>
      <w:r w:rsidRPr="00AA04A4">
        <w:rPr>
          <w:rFonts w:ascii="Calibri Light" w:hAnsi="Calibri Light" w:cs="Calibri Light"/>
          <w:lang w:val="en-GB"/>
        </w:rPr>
        <w:t xml:space="preserve">A key factor for participation that was identified in the survey is the length of the time the teachers are required to spend in order to complete a development activity. Individual and collaborative research and qualification programmes often take more time than other development activities and therefore have lower participation rates. It is striking, however, that teachers in the Philippines (in 2014) have identified almost the same development gap as teachers in OECD countries (2013). In World Bank’s 2014 study, Filipino teachers identified the need to learn more about developing positive learning environments for students to address behavioural dysfunctions. In OECD countries, more than 30 percent of teachers surveyed from 23 participating countries identified teaching students with special learning needs as a priority development area that has not been attended by service providers. </w:t>
      </w:r>
    </w:p>
    <w:p w14:paraId="4D132428" w14:textId="77777777" w:rsidR="008D0CAD" w:rsidRPr="00AA04A4" w:rsidRDefault="008D0CAD" w:rsidP="00DD08E3">
      <w:pPr>
        <w:pStyle w:val="Heading5"/>
        <w:numPr>
          <w:ilvl w:val="0"/>
          <w:numId w:val="0"/>
        </w:numPr>
        <w:spacing w:before="100" w:beforeAutospacing="1" w:after="100" w:afterAutospacing="1" w:line="360" w:lineRule="auto"/>
        <w:ind w:left="1222" w:hanging="1080"/>
      </w:pPr>
      <w:bookmarkStart w:id="354" w:name="_Toc16263680"/>
      <w:bookmarkStart w:id="355" w:name="_Toc16326738"/>
      <w:r w:rsidRPr="00AA04A4">
        <w:t>Philippine Professional Standards for Teachers (PPST)</w:t>
      </w:r>
      <w:bookmarkEnd w:id="354"/>
      <w:bookmarkEnd w:id="355"/>
    </w:p>
    <w:p w14:paraId="725EEEC4" w14:textId="77777777" w:rsidR="008D0CAD" w:rsidRPr="00AA04A4" w:rsidRDefault="008D0CAD" w:rsidP="00DD08E3">
      <w:pPr>
        <w:spacing w:before="100" w:beforeAutospacing="1" w:after="100" w:afterAutospacing="1" w:line="360" w:lineRule="auto"/>
        <w:rPr>
          <w:rFonts w:ascii="Calibri Light" w:hAnsi="Calibri Light" w:cs="Calibri Light"/>
          <w:b/>
          <w:bCs/>
          <w:i/>
          <w:iCs/>
          <w:lang w:val="en-GB"/>
        </w:rPr>
      </w:pPr>
      <w:r w:rsidRPr="00AA04A4">
        <w:rPr>
          <w:rFonts w:ascii="Calibri Light" w:hAnsi="Calibri Light" w:cs="Calibri Light"/>
          <w:b/>
          <w:bCs/>
          <w:i/>
          <w:iCs/>
          <w:lang w:val="en-GB"/>
        </w:rPr>
        <w:t>Gaps in teaching standard prior to the implementation of the BEST program</w:t>
      </w:r>
    </w:p>
    <w:p w14:paraId="3EFAC60C" w14:textId="150F7658" w:rsidR="008D0CAD" w:rsidRPr="00AA04A4" w:rsidRDefault="008D0CAD" w:rsidP="00DD08E3">
      <w:pPr>
        <w:spacing w:before="100" w:beforeAutospacing="1" w:after="100" w:afterAutospacing="1" w:line="360" w:lineRule="auto"/>
        <w:rPr>
          <w:rFonts w:ascii="Calibri Light" w:hAnsi="Calibri Light" w:cs="Calibri Light"/>
        </w:rPr>
      </w:pPr>
      <w:r w:rsidRPr="00AA04A4">
        <w:rPr>
          <w:rFonts w:ascii="Calibri Light" w:hAnsi="Calibri Light" w:cs="Calibri Light"/>
          <w:lang w:val="en-US"/>
        </w:rPr>
        <w:t xml:space="preserve">Prior to the adoption of the Philippine Professional Standard for Teachers (PPST), the National Competency-Based Teacher Standards (NCBTS) was used to assess teacher quality. While NCBTS and PPST consisted of seven almost similar domains, NCBTS did not capture performance appraisal and was “not used to determine what rewards performing teachers should get” </w:t>
      </w:r>
      <w:sdt>
        <w:sdtPr>
          <w:rPr>
            <w:rFonts w:ascii="Calibri Light" w:hAnsi="Calibri Light" w:cs="Calibri Light"/>
            <w:lang w:val="en-US"/>
          </w:rPr>
          <w:id w:val="-192161598"/>
          <w:citation/>
        </w:sdtPr>
        <w:sdtEndPr/>
        <w:sdtContent>
          <w:r w:rsidRPr="00AA04A4">
            <w:rPr>
              <w:rFonts w:ascii="Calibri Light" w:hAnsi="Calibri Light" w:cs="Calibri Light"/>
              <w:lang w:val="en-US"/>
            </w:rPr>
            <w:fldChar w:fldCharType="begin"/>
          </w:r>
          <w:r w:rsidRPr="00AA04A4">
            <w:rPr>
              <w:rFonts w:ascii="Calibri Light" w:hAnsi="Calibri Light" w:cs="Calibri Light"/>
              <w:lang w:val="en-US"/>
            </w:rPr>
            <w:instrText xml:space="preserve"> CITATION SIR10 \l 13321 </w:instrText>
          </w:r>
          <w:r w:rsidRPr="00AA04A4">
            <w:rPr>
              <w:rFonts w:ascii="Calibri Light" w:hAnsi="Calibri Light" w:cs="Calibri Light"/>
              <w:lang w:val="en-US"/>
            </w:rPr>
            <w:fldChar w:fldCharType="separate"/>
          </w:r>
          <w:r w:rsidRPr="00AA04A4">
            <w:rPr>
              <w:rFonts w:ascii="Calibri Light" w:hAnsi="Calibri Light" w:cs="Calibri Light"/>
              <w:noProof/>
              <w:lang w:val="en-US"/>
            </w:rPr>
            <w:t>(SIREP, 2010)</w:t>
          </w:r>
          <w:r w:rsidRPr="00AA04A4">
            <w:rPr>
              <w:rFonts w:ascii="Calibri Light" w:hAnsi="Calibri Light" w:cs="Calibri Light"/>
              <w:lang w:val="en-US"/>
            </w:rPr>
            <w:fldChar w:fldCharType="end"/>
          </w:r>
        </w:sdtContent>
      </w:sdt>
      <w:r w:rsidRPr="00AA04A4">
        <w:rPr>
          <w:rFonts w:ascii="Calibri Light" w:hAnsi="Calibri Light" w:cs="Calibri Light"/>
          <w:lang w:val="en-US"/>
        </w:rPr>
        <w:t>. The promotion system, lodged in the Civil Service Commission, was not linked to NCBTS, and a separate system was in place. NCBTS was only used to assess the type of training the teachers should get.</w:t>
      </w:r>
      <w:r w:rsidR="00D434EB">
        <w:rPr>
          <w:rFonts w:ascii="Calibri Light" w:hAnsi="Calibri Light" w:cs="Calibri Light"/>
          <w:lang w:val="en-US"/>
        </w:rPr>
        <w:t xml:space="preserve"> </w:t>
      </w:r>
    </w:p>
    <w:p w14:paraId="358C831E" w14:textId="77777777" w:rsidR="008D0CAD" w:rsidRPr="00AA04A4" w:rsidRDefault="008D0CAD" w:rsidP="00DD08E3">
      <w:pPr>
        <w:spacing w:before="100" w:beforeAutospacing="1" w:after="100" w:afterAutospacing="1" w:line="360" w:lineRule="auto"/>
        <w:rPr>
          <w:rFonts w:ascii="Calibri Light" w:hAnsi="Calibri Light" w:cs="Calibri Light"/>
          <w:lang w:val="en-US"/>
        </w:rPr>
      </w:pPr>
      <w:r w:rsidRPr="00AA04A4">
        <w:rPr>
          <w:rFonts w:ascii="Calibri Light" w:hAnsi="Calibri Light" w:cs="Calibri Light"/>
          <w:lang w:val="en-US"/>
        </w:rPr>
        <w:t>While PPST and NCBTS possessed almost similar domains, the strands under these domains differed. Some strands found in the NCBTS, which excluded from PPST such as:</w:t>
      </w:r>
    </w:p>
    <w:p w14:paraId="6A8ED7AF" w14:textId="77777777" w:rsidR="008D0CAD" w:rsidRPr="00AA04A4" w:rsidRDefault="008D0CAD" w:rsidP="00DD08E3">
      <w:pPr>
        <w:numPr>
          <w:ilvl w:val="0"/>
          <w:numId w:val="146"/>
        </w:numPr>
        <w:spacing w:before="100" w:beforeAutospacing="1" w:after="100" w:afterAutospacing="1" w:line="360" w:lineRule="auto"/>
        <w:contextualSpacing/>
        <w:rPr>
          <w:rFonts w:ascii="Calibri Light" w:hAnsi="Calibri Light" w:cs="Calibri Light"/>
          <w:snapToGrid w:val="0"/>
          <w:lang w:val="en-US"/>
        </w:rPr>
      </w:pPr>
      <w:r w:rsidRPr="00AA04A4">
        <w:rPr>
          <w:rFonts w:ascii="Calibri Light" w:hAnsi="Calibri Light" w:cs="Calibri Light"/>
          <w:snapToGrid w:val="0"/>
          <w:lang w:val="en-US"/>
        </w:rPr>
        <w:t>“Be punctual;</w:t>
      </w:r>
    </w:p>
    <w:p w14:paraId="04F540D9" w14:textId="77777777" w:rsidR="008D0CAD" w:rsidRPr="00AA04A4" w:rsidRDefault="008D0CAD" w:rsidP="00DD08E3">
      <w:pPr>
        <w:numPr>
          <w:ilvl w:val="0"/>
          <w:numId w:val="146"/>
        </w:numPr>
        <w:spacing w:before="100" w:beforeAutospacing="1" w:after="100" w:afterAutospacing="1" w:line="360" w:lineRule="auto"/>
        <w:contextualSpacing/>
        <w:rPr>
          <w:rFonts w:ascii="Calibri Light" w:hAnsi="Calibri Light" w:cs="Calibri Light"/>
          <w:snapToGrid w:val="0"/>
          <w:lang w:val="en-US"/>
        </w:rPr>
      </w:pPr>
      <w:r w:rsidRPr="00AA04A4">
        <w:rPr>
          <w:rFonts w:ascii="Calibri Light" w:hAnsi="Calibri Light" w:cs="Calibri Light"/>
          <w:snapToGrid w:val="0"/>
          <w:lang w:val="en-US"/>
        </w:rPr>
        <w:t>Maintain appropriate appearance;</w:t>
      </w:r>
    </w:p>
    <w:p w14:paraId="4FC58A5D" w14:textId="77777777" w:rsidR="008D0CAD" w:rsidRPr="00AA04A4" w:rsidRDefault="008D0CAD" w:rsidP="00DD08E3">
      <w:pPr>
        <w:numPr>
          <w:ilvl w:val="0"/>
          <w:numId w:val="146"/>
        </w:numPr>
        <w:spacing w:before="100" w:beforeAutospacing="1" w:after="100" w:afterAutospacing="1" w:line="360" w:lineRule="auto"/>
        <w:contextualSpacing/>
        <w:rPr>
          <w:rFonts w:ascii="Calibri Light" w:hAnsi="Calibri Light" w:cs="Calibri Light"/>
          <w:snapToGrid w:val="0"/>
          <w:lang w:val="en-US"/>
        </w:rPr>
      </w:pPr>
      <w:r w:rsidRPr="00AA04A4">
        <w:rPr>
          <w:rFonts w:ascii="Calibri Light" w:hAnsi="Calibri Light" w:cs="Calibri Light"/>
          <w:snapToGrid w:val="0"/>
          <w:lang w:val="en-US"/>
        </w:rPr>
        <w:t>Provide gender-fair opportunities for learning</w:t>
      </w:r>
      <w:r w:rsidRPr="00AA04A4">
        <w:rPr>
          <w:rFonts w:ascii="Calibri Light" w:hAnsi="Calibri Light" w:cs="Calibri Light"/>
          <w:snapToGrid w:val="0"/>
          <w:vertAlign w:val="superscript"/>
          <w:lang w:val="en-US"/>
        </w:rPr>
        <w:footnoteReference w:id="138"/>
      </w:r>
      <w:r w:rsidRPr="00AA04A4">
        <w:rPr>
          <w:rFonts w:ascii="Calibri Light" w:hAnsi="Calibri Light" w:cs="Calibri Light"/>
          <w:snapToGrid w:val="0"/>
          <w:lang w:val="en-US"/>
        </w:rPr>
        <w:t xml:space="preserve">; </w:t>
      </w:r>
    </w:p>
    <w:p w14:paraId="685A0134" w14:textId="77777777" w:rsidR="008D0CAD" w:rsidRPr="00AA04A4" w:rsidRDefault="008D0CAD" w:rsidP="00DD08E3">
      <w:pPr>
        <w:numPr>
          <w:ilvl w:val="0"/>
          <w:numId w:val="146"/>
        </w:numPr>
        <w:spacing w:before="100" w:beforeAutospacing="1" w:after="100" w:afterAutospacing="1" w:line="360" w:lineRule="auto"/>
        <w:contextualSpacing/>
        <w:rPr>
          <w:rFonts w:ascii="Calibri Light" w:hAnsi="Calibri Light" w:cs="Calibri Light"/>
          <w:snapToGrid w:val="0"/>
          <w:lang w:val="en-US"/>
        </w:rPr>
      </w:pPr>
      <w:r w:rsidRPr="00AA04A4">
        <w:rPr>
          <w:rFonts w:ascii="Calibri Light" w:hAnsi="Calibri Light" w:cs="Calibri Light"/>
          <w:snapToGrid w:val="0"/>
          <w:lang w:val="en-US"/>
        </w:rPr>
        <w:t xml:space="preserve">Maintain a safe, clean and orderly classrooms free of distraction; </w:t>
      </w:r>
    </w:p>
    <w:p w14:paraId="5FED058D" w14:textId="52E128ED" w:rsidR="008D0CAD" w:rsidRPr="00AA04A4" w:rsidRDefault="008D0CAD" w:rsidP="00DD08E3">
      <w:pPr>
        <w:numPr>
          <w:ilvl w:val="0"/>
          <w:numId w:val="146"/>
        </w:numPr>
        <w:spacing w:before="100" w:beforeAutospacing="1" w:after="100" w:afterAutospacing="1" w:line="360" w:lineRule="auto"/>
        <w:contextualSpacing/>
        <w:rPr>
          <w:rFonts w:ascii="Calibri Light" w:hAnsi="Calibri Light" w:cs="Calibri Light"/>
          <w:snapToGrid w:val="0"/>
          <w:lang w:val="en-US"/>
        </w:rPr>
      </w:pPr>
      <w:r w:rsidRPr="00AA04A4">
        <w:rPr>
          <w:rFonts w:ascii="Calibri Light" w:hAnsi="Calibri Light" w:cs="Calibri Light"/>
          <w:snapToGrid w:val="0"/>
          <w:lang w:val="en-US"/>
        </w:rPr>
        <w:t xml:space="preserve">Show proof </w:t>
      </w:r>
      <w:r w:rsidR="00B33BA9">
        <w:rPr>
          <w:rFonts w:ascii="Calibri Light" w:hAnsi="Calibri Light" w:cs="Calibri Light"/>
          <w:snapToGrid w:val="0"/>
          <w:lang w:val="en-US"/>
        </w:rPr>
        <w:t>o</w:t>
      </w:r>
      <w:r w:rsidRPr="00AA04A4">
        <w:rPr>
          <w:rFonts w:ascii="Calibri Light" w:hAnsi="Calibri Light" w:cs="Calibri Light"/>
          <w:snapToGrid w:val="0"/>
          <w:lang w:val="en-US"/>
        </w:rPr>
        <w:t>f instructional planning;</w:t>
      </w:r>
    </w:p>
    <w:p w14:paraId="22FACE03" w14:textId="77777777" w:rsidR="008D0CAD" w:rsidRPr="00AA04A4" w:rsidRDefault="008D0CAD" w:rsidP="00DD08E3">
      <w:pPr>
        <w:numPr>
          <w:ilvl w:val="0"/>
          <w:numId w:val="146"/>
        </w:numPr>
        <w:spacing w:before="100" w:beforeAutospacing="1" w:after="100" w:afterAutospacing="1" w:line="360" w:lineRule="auto"/>
        <w:contextualSpacing/>
        <w:rPr>
          <w:rFonts w:ascii="Calibri Light" w:hAnsi="Calibri Light" w:cs="Calibri Light"/>
          <w:snapToGrid w:val="0"/>
          <w:lang w:val="en-US"/>
        </w:rPr>
      </w:pPr>
      <w:r w:rsidRPr="00AA04A4">
        <w:rPr>
          <w:rFonts w:ascii="Calibri Light" w:hAnsi="Calibri Light" w:cs="Calibri Light"/>
          <w:snapToGrid w:val="0"/>
          <w:lang w:val="en-US"/>
        </w:rPr>
        <w:t>Cope with varied teaching milieu;</w:t>
      </w:r>
    </w:p>
    <w:p w14:paraId="0ABE1020" w14:textId="77777777" w:rsidR="008D0CAD" w:rsidRPr="00AA04A4" w:rsidRDefault="008D0CAD" w:rsidP="00DD08E3">
      <w:pPr>
        <w:numPr>
          <w:ilvl w:val="0"/>
          <w:numId w:val="146"/>
        </w:numPr>
        <w:spacing w:before="100" w:beforeAutospacing="1" w:after="100" w:afterAutospacing="1" w:line="360" w:lineRule="auto"/>
        <w:contextualSpacing/>
        <w:rPr>
          <w:rFonts w:ascii="Calibri Light" w:hAnsi="Calibri Light" w:cs="Calibri Light"/>
          <w:snapToGrid w:val="0"/>
          <w:lang w:val="en-US"/>
        </w:rPr>
      </w:pPr>
      <w:r w:rsidRPr="00AA04A4">
        <w:rPr>
          <w:rFonts w:ascii="Calibri Light" w:hAnsi="Calibri Light" w:cs="Calibri Light"/>
          <w:snapToGrid w:val="0"/>
          <w:lang w:val="en-US"/>
        </w:rPr>
        <w:t>Conduct regular meetings with their students and their parents to report on their students’ progress;</w:t>
      </w:r>
    </w:p>
    <w:p w14:paraId="387D5698" w14:textId="77777777" w:rsidR="008D0CAD" w:rsidRPr="00AA04A4" w:rsidRDefault="008D0CAD" w:rsidP="00DD08E3">
      <w:pPr>
        <w:numPr>
          <w:ilvl w:val="0"/>
          <w:numId w:val="146"/>
        </w:numPr>
        <w:spacing w:before="100" w:beforeAutospacing="1" w:after="100" w:afterAutospacing="1" w:line="360" w:lineRule="auto"/>
        <w:contextualSpacing/>
        <w:rPr>
          <w:rFonts w:ascii="Calibri Light" w:hAnsi="Calibri Light" w:cs="Calibri Light"/>
          <w:snapToGrid w:val="0"/>
          <w:lang w:val="en-US"/>
        </w:rPr>
      </w:pPr>
      <w:r w:rsidRPr="00AA04A4">
        <w:rPr>
          <w:rFonts w:ascii="Calibri Light" w:hAnsi="Calibri Light" w:cs="Calibri Light"/>
          <w:snapToGrid w:val="0"/>
          <w:lang w:val="en-US"/>
        </w:rPr>
        <w:t>Involve their students’ parents in school activities that promote learning; and</w:t>
      </w:r>
    </w:p>
    <w:p w14:paraId="3B6FDD2F" w14:textId="77777777" w:rsidR="008D0CAD" w:rsidRPr="00AA04A4" w:rsidRDefault="008D0CAD" w:rsidP="00DD08E3">
      <w:pPr>
        <w:numPr>
          <w:ilvl w:val="0"/>
          <w:numId w:val="146"/>
        </w:numPr>
        <w:spacing w:before="100" w:beforeAutospacing="1" w:after="100" w:afterAutospacing="1" w:line="360" w:lineRule="auto"/>
        <w:contextualSpacing/>
        <w:rPr>
          <w:rFonts w:ascii="Calibri Light" w:hAnsi="Calibri Light" w:cs="Calibri Light"/>
          <w:snapToGrid w:val="0"/>
          <w:szCs w:val="20"/>
          <w:lang w:val="en-US"/>
        </w:rPr>
      </w:pPr>
      <w:r w:rsidRPr="00AA04A4">
        <w:rPr>
          <w:rFonts w:ascii="Calibri Light" w:hAnsi="Calibri Light" w:cs="Calibri Light"/>
          <w:snapToGrid w:val="0"/>
          <w:lang w:val="en-US"/>
        </w:rPr>
        <w:t>Take pride in the nobility of teaching as a profession”.</w:t>
      </w:r>
    </w:p>
    <w:p w14:paraId="4D85375B" w14:textId="77777777" w:rsidR="008D0CAD" w:rsidRPr="00AA04A4" w:rsidRDefault="008D0CAD" w:rsidP="00DD08E3">
      <w:pPr>
        <w:spacing w:before="100" w:beforeAutospacing="1" w:after="100" w:afterAutospacing="1" w:line="360" w:lineRule="auto"/>
        <w:rPr>
          <w:rFonts w:ascii="Calibri Light" w:hAnsi="Calibri Light" w:cs="Calibri Light"/>
          <w:lang w:val="en-US"/>
        </w:rPr>
      </w:pPr>
      <w:r w:rsidRPr="00AA04A4">
        <w:rPr>
          <w:rFonts w:ascii="Calibri Light" w:hAnsi="Calibri Light" w:cs="Calibri Light"/>
          <w:lang w:val="en-US"/>
        </w:rPr>
        <w:t xml:space="preserve">PPST stripped off strands that were mostly concerned with form but focused on enriching the substance under each domain. This resulted in the reduction on the number of strands to be complied with, and a more coherent and concrete set of items to be observed. </w:t>
      </w:r>
    </w:p>
    <w:p w14:paraId="0AA96B63" w14:textId="77777777" w:rsidR="008D0CAD" w:rsidRPr="00AA04A4" w:rsidRDefault="008D0CAD" w:rsidP="00DD08E3">
      <w:pPr>
        <w:spacing w:before="100" w:beforeAutospacing="1" w:after="100" w:afterAutospacing="1" w:line="360" w:lineRule="auto"/>
        <w:rPr>
          <w:rFonts w:ascii="Calibri Light" w:hAnsi="Calibri Light" w:cs="Calibri Light"/>
          <w:lang w:val="en-US"/>
        </w:rPr>
      </w:pPr>
      <w:r w:rsidRPr="00AA04A4">
        <w:rPr>
          <w:rFonts w:ascii="Calibri Light" w:hAnsi="Calibri Light" w:cs="Calibri Light"/>
          <w:lang w:val="en-US"/>
        </w:rPr>
        <w:t xml:space="preserve">At the time of the NCBTS, there was also limited efforts to link the impact of the adoption of these teaching standards to the actual performance of students, or to students’ learning outcomes. This limited the conclusion as to whether NCBTS contributed to improvement of student learning at the time when it was adopted. </w:t>
      </w:r>
    </w:p>
    <w:p w14:paraId="208979D4" w14:textId="77777777" w:rsidR="008D0CAD" w:rsidRPr="00AA04A4" w:rsidRDefault="008D0CAD" w:rsidP="00DD08E3">
      <w:pPr>
        <w:spacing w:before="100" w:beforeAutospacing="1" w:after="100" w:afterAutospacing="1" w:line="360" w:lineRule="auto"/>
        <w:rPr>
          <w:rFonts w:ascii="Calibri Light" w:hAnsi="Calibri Light" w:cs="Calibri Light"/>
          <w:b/>
          <w:bCs/>
          <w:i/>
          <w:iCs/>
          <w:lang w:val="en-GB"/>
        </w:rPr>
      </w:pPr>
      <w:r w:rsidRPr="00AA04A4">
        <w:rPr>
          <w:rFonts w:ascii="Calibri Light" w:hAnsi="Calibri Light" w:cs="Calibri Light"/>
          <w:b/>
          <w:bCs/>
          <w:i/>
          <w:iCs/>
          <w:lang w:val="en-GB"/>
        </w:rPr>
        <w:t>Bridging gaps in teaching standard</w:t>
      </w:r>
    </w:p>
    <w:p w14:paraId="55136AB8" w14:textId="0D3BD6BA" w:rsidR="008D0CAD" w:rsidRPr="00AA04A4" w:rsidRDefault="008D0CAD" w:rsidP="00DD08E3">
      <w:pPr>
        <w:spacing w:before="100" w:beforeAutospacing="1" w:after="100" w:afterAutospacing="1" w:line="360" w:lineRule="auto"/>
        <w:rPr>
          <w:rFonts w:ascii="Calibri Light" w:hAnsi="Calibri Light" w:cs="Calibri Light"/>
          <w:b/>
          <w:bCs/>
          <w:i/>
          <w:iCs/>
          <w:lang w:val="en-GB"/>
        </w:rPr>
      </w:pPr>
      <w:r w:rsidRPr="00AA04A4">
        <w:rPr>
          <w:rFonts w:ascii="Calibri Light" w:hAnsi="Calibri Light" w:cs="Calibri Light"/>
          <w:lang w:val="en-GB"/>
        </w:rPr>
        <w:t>The integration of RPMS in BEST-supported PPST was one of the key advantages of the shift from NCBTS to PPST. Teachers and principals were provided with bases for assessment and self-assessment. Rewards, bonus packages, and career promotions were backed up by organised documentations of teacher performance and progress ratings.</w:t>
      </w:r>
      <w:r w:rsidR="00D434EB">
        <w:rPr>
          <w:rFonts w:ascii="Calibri Light" w:hAnsi="Calibri Light" w:cs="Calibri Light"/>
          <w:lang w:val="en-GB"/>
        </w:rPr>
        <w:t xml:space="preserve"> </w:t>
      </w:r>
      <w:r w:rsidRPr="00AA04A4">
        <w:rPr>
          <w:rFonts w:ascii="Calibri Light" w:hAnsi="Calibri Light" w:cs="Calibri Light"/>
          <w:b/>
          <w:bCs/>
          <w:i/>
          <w:iCs/>
          <w:lang w:val="en-GB"/>
        </w:rPr>
        <w:t xml:space="preserve"> </w:t>
      </w:r>
    </w:p>
    <w:p w14:paraId="64F1F13A" w14:textId="77777777" w:rsidR="008D0CAD" w:rsidRPr="00AA04A4" w:rsidRDefault="008D0CAD" w:rsidP="00DD08E3">
      <w:pPr>
        <w:spacing w:before="100" w:beforeAutospacing="1" w:after="100" w:afterAutospacing="1" w:line="360" w:lineRule="auto"/>
        <w:rPr>
          <w:rFonts w:ascii="Calibri Light" w:hAnsi="Calibri Light" w:cs="Calibri Light"/>
        </w:rPr>
      </w:pPr>
      <w:r w:rsidRPr="00AA04A4">
        <w:rPr>
          <w:rFonts w:ascii="Calibri Light" w:hAnsi="Calibri Light" w:cs="Calibri Light"/>
          <w:lang w:val="en-US"/>
        </w:rPr>
        <w:t xml:space="preserve">PPST also streamlined teaching standards and introduced a more coherent and realistic framework for identifying training needs and assessing teacher competency. </w:t>
      </w:r>
    </w:p>
    <w:p w14:paraId="30C03CDA" w14:textId="77777777" w:rsidR="008D0CAD" w:rsidRPr="00AA04A4" w:rsidRDefault="008D0CAD" w:rsidP="00DD08E3">
      <w:pPr>
        <w:spacing w:before="100" w:beforeAutospacing="1" w:after="100" w:afterAutospacing="1" w:line="360" w:lineRule="auto"/>
        <w:rPr>
          <w:rFonts w:ascii="Calibri Light" w:hAnsi="Calibri Light" w:cs="Calibri Light"/>
          <w:b/>
          <w:bCs/>
          <w:i/>
          <w:iCs/>
          <w:lang w:val="en-US"/>
        </w:rPr>
      </w:pPr>
      <w:r w:rsidRPr="00AA04A4">
        <w:rPr>
          <w:rFonts w:ascii="Calibri Light" w:hAnsi="Calibri Light" w:cs="Calibri Light"/>
          <w:b/>
          <w:bCs/>
          <w:i/>
          <w:iCs/>
          <w:lang w:val="en-US"/>
        </w:rPr>
        <w:t>Teaching standards in other countries</w:t>
      </w:r>
    </w:p>
    <w:p w14:paraId="59EB378F" w14:textId="77777777" w:rsidR="008D0CAD" w:rsidRPr="00AA04A4" w:rsidRDefault="008D0CAD" w:rsidP="00DD08E3">
      <w:pPr>
        <w:spacing w:before="100" w:beforeAutospacing="1" w:after="100" w:afterAutospacing="1" w:line="360" w:lineRule="auto"/>
        <w:rPr>
          <w:rFonts w:ascii="Calibri Light" w:hAnsi="Calibri Light" w:cs="Calibri Light"/>
          <w:lang w:val="en-US"/>
        </w:rPr>
      </w:pPr>
      <w:r w:rsidRPr="00AA04A4">
        <w:rPr>
          <w:rFonts w:ascii="Calibri Light" w:hAnsi="Calibri Light" w:cs="Calibri Light"/>
          <w:lang w:val="en-US"/>
        </w:rPr>
        <w:t xml:space="preserve">The PPST was comparable with other ASEAN countries. In Indonesia, the Ministry of Education implemented an integrated Teacher Professional Management System (TPMS), which like PPST had three major areas: </w:t>
      </w:r>
    </w:p>
    <w:p w14:paraId="2FBF43EA" w14:textId="77777777" w:rsidR="008D0CAD" w:rsidRPr="00AA04A4" w:rsidRDefault="008D0CAD" w:rsidP="00DD08E3">
      <w:pPr>
        <w:numPr>
          <w:ilvl w:val="0"/>
          <w:numId w:val="146"/>
        </w:numPr>
        <w:spacing w:before="100" w:beforeAutospacing="1" w:after="100" w:afterAutospacing="1" w:line="360" w:lineRule="auto"/>
        <w:contextualSpacing/>
        <w:rPr>
          <w:rFonts w:ascii="Calibri Light" w:hAnsi="Calibri Light" w:cs="Calibri Light"/>
          <w:snapToGrid w:val="0"/>
          <w:lang w:val="en-US"/>
        </w:rPr>
      </w:pPr>
      <w:r w:rsidRPr="00AA04A4">
        <w:rPr>
          <w:rFonts w:ascii="Calibri Light" w:hAnsi="Calibri Light" w:cs="Calibri Light"/>
          <w:snapToGrid w:val="0"/>
          <w:lang w:val="en-US"/>
        </w:rPr>
        <w:t>Competency training, which was an assessment of teachers’ strengths and weaknesses;</w:t>
      </w:r>
    </w:p>
    <w:p w14:paraId="579D2F1D" w14:textId="77777777" w:rsidR="008D0CAD" w:rsidRPr="00AA04A4" w:rsidRDefault="008D0CAD" w:rsidP="00DD08E3">
      <w:pPr>
        <w:numPr>
          <w:ilvl w:val="0"/>
          <w:numId w:val="146"/>
        </w:numPr>
        <w:spacing w:before="100" w:beforeAutospacing="1" w:after="100" w:afterAutospacing="1" w:line="360" w:lineRule="auto"/>
        <w:contextualSpacing/>
        <w:rPr>
          <w:rFonts w:ascii="Calibri Light" w:hAnsi="Calibri Light" w:cs="Calibri Light"/>
          <w:snapToGrid w:val="0"/>
          <w:lang w:val="en-US"/>
        </w:rPr>
      </w:pPr>
      <w:r w:rsidRPr="00AA04A4">
        <w:rPr>
          <w:rFonts w:ascii="Calibri Light" w:hAnsi="Calibri Light" w:cs="Calibri Light"/>
          <w:snapToGrid w:val="0"/>
          <w:lang w:val="en-US"/>
        </w:rPr>
        <w:t xml:space="preserve">Performance appraisal, which linked outcomes of teacher performance to salary scale; and </w:t>
      </w:r>
    </w:p>
    <w:p w14:paraId="670E0C96" w14:textId="109EC80E" w:rsidR="008D0CAD" w:rsidRPr="00071086" w:rsidRDefault="008D0CAD" w:rsidP="00DD08E3">
      <w:pPr>
        <w:numPr>
          <w:ilvl w:val="0"/>
          <w:numId w:val="146"/>
        </w:numPr>
        <w:spacing w:before="100" w:beforeAutospacing="1" w:after="100" w:afterAutospacing="1" w:line="360" w:lineRule="auto"/>
        <w:contextualSpacing/>
        <w:rPr>
          <w:rFonts w:ascii="Calibri Light" w:hAnsi="Calibri Light" w:cs="Calibri Light"/>
          <w:snapToGrid w:val="0"/>
          <w:lang w:val="en-US"/>
        </w:rPr>
      </w:pPr>
      <w:r w:rsidRPr="00AA04A4">
        <w:rPr>
          <w:rFonts w:ascii="Calibri Light" w:hAnsi="Calibri Light" w:cs="Calibri Light"/>
          <w:snapToGrid w:val="0"/>
          <w:lang w:val="en-US"/>
        </w:rPr>
        <w:t xml:space="preserve">Continuous professional development, which provided in-service and induction training, mentoring, and organising of local teacher working groups </w:t>
      </w:r>
      <w:sdt>
        <w:sdtPr>
          <w:rPr>
            <w:rFonts w:ascii="Calibri Light" w:hAnsi="Calibri Light" w:cs="Calibri Light"/>
            <w:snapToGrid w:val="0"/>
            <w:lang w:val="en-US"/>
          </w:rPr>
          <w:id w:val="944121518"/>
          <w:citation/>
        </w:sdtPr>
        <w:sdtEndPr/>
        <w:sdtContent>
          <w:r w:rsidRPr="00AA04A4">
            <w:rPr>
              <w:rFonts w:ascii="Calibri Light" w:hAnsi="Calibri Light" w:cs="Calibri Light"/>
              <w:snapToGrid w:val="0"/>
              <w:lang w:val="en-US"/>
            </w:rPr>
            <w:fldChar w:fldCharType="begin"/>
          </w:r>
          <w:r w:rsidRPr="00AA04A4">
            <w:rPr>
              <w:rFonts w:ascii="Calibri Light" w:hAnsi="Calibri Light" w:cs="Calibri Light"/>
              <w:snapToGrid w:val="0"/>
              <w:lang w:val="en-US"/>
            </w:rPr>
            <w:instrText xml:space="preserve"> CITATION Wor14 \l 13321 </w:instrText>
          </w:r>
          <w:r w:rsidRPr="00AA04A4">
            <w:rPr>
              <w:rFonts w:ascii="Calibri Light" w:hAnsi="Calibri Light" w:cs="Calibri Light"/>
              <w:snapToGrid w:val="0"/>
              <w:lang w:val="en-US"/>
            </w:rPr>
            <w:fldChar w:fldCharType="separate"/>
          </w:r>
          <w:r w:rsidRPr="00AA04A4">
            <w:rPr>
              <w:rFonts w:ascii="Calibri Light" w:hAnsi="Calibri Light" w:cs="Calibri Light"/>
              <w:noProof/>
              <w:snapToGrid w:val="0"/>
              <w:lang w:val="en-US"/>
            </w:rPr>
            <w:t>(World Bank Group, 2014)</w:t>
          </w:r>
          <w:r w:rsidRPr="00AA04A4">
            <w:rPr>
              <w:rFonts w:ascii="Calibri Light" w:hAnsi="Calibri Light" w:cs="Calibri Light"/>
              <w:snapToGrid w:val="0"/>
              <w:lang w:val="en-US"/>
            </w:rPr>
            <w:fldChar w:fldCharType="end"/>
          </w:r>
        </w:sdtContent>
      </w:sdt>
      <w:r w:rsidRPr="00AA04A4">
        <w:rPr>
          <w:rFonts w:ascii="Calibri Light" w:hAnsi="Calibri Light" w:cs="Calibri Light"/>
          <w:snapToGrid w:val="0"/>
          <w:lang w:val="en-US"/>
        </w:rPr>
        <w:t>.</w:t>
      </w:r>
    </w:p>
    <w:p w14:paraId="2105BA26" w14:textId="77777777" w:rsidR="008D0CAD" w:rsidRPr="00AA04A4" w:rsidRDefault="008D0CAD" w:rsidP="00DD08E3">
      <w:pPr>
        <w:spacing w:before="100" w:beforeAutospacing="1" w:after="100" w:afterAutospacing="1" w:line="360" w:lineRule="auto"/>
        <w:rPr>
          <w:rFonts w:ascii="Calibri Light" w:hAnsi="Calibri Light" w:cs="Calibri Light"/>
          <w:lang w:val="en-US"/>
        </w:rPr>
      </w:pPr>
      <w:r w:rsidRPr="00AA04A4">
        <w:rPr>
          <w:rFonts w:ascii="Calibri Light" w:hAnsi="Calibri Light" w:cs="Calibri Light"/>
          <w:lang w:val="en-US"/>
        </w:rPr>
        <w:t xml:space="preserve">The above components were almost similar to the three major objectives of PPST. Both training standards linked teacher performance with their corresponding appraisal systems, provided mechanisms for professional development, and even similar provisions on local working groups, and both standards provide measures to assess teacher strengths and weaknesses. These components were anchored on a system of “making teachers more accountable to their performance” </w:t>
      </w:r>
      <w:sdt>
        <w:sdtPr>
          <w:rPr>
            <w:rFonts w:ascii="Calibri Light" w:hAnsi="Calibri Light" w:cs="Calibri Light"/>
            <w:lang w:val="en-US"/>
          </w:rPr>
          <w:id w:val="1352538748"/>
          <w:citation/>
        </w:sdtPr>
        <w:sdtEndPr/>
        <w:sdtContent>
          <w:r w:rsidRPr="00AA04A4">
            <w:rPr>
              <w:rFonts w:ascii="Calibri Light" w:hAnsi="Calibri Light" w:cs="Calibri Light"/>
              <w:lang w:val="en-US"/>
            </w:rPr>
            <w:fldChar w:fldCharType="begin"/>
          </w:r>
          <w:r w:rsidRPr="00AA04A4">
            <w:rPr>
              <w:rFonts w:ascii="Calibri Light" w:hAnsi="Calibri Light" w:cs="Calibri Light"/>
              <w:lang w:val="en-US"/>
            </w:rPr>
            <w:instrText xml:space="preserve"> CITATION Wor14 \l 13321 </w:instrText>
          </w:r>
          <w:r w:rsidRPr="00AA04A4">
            <w:rPr>
              <w:rFonts w:ascii="Calibri Light" w:hAnsi="Calibri Light" w:cs="Calibri Light"/>
              <w:lang w:val="en-US"/>
            </w:rPr>
            <w:fldChar w:fldCharType="separate"/>
          </w:r>
          <w:r w:rsidRPr="00AA04A4">
            <w:rPr>
              <w:rFonts w:ascii="Calibri Light" w:hAnsi="Calibri Light" w:cs="Calibri Light"/>
              <w:noProof/>
              <w:lang w:val="en-US"/>
            </w:rPr>
            <w:t>(World Bank Group, 2014)</w:t>
          </w:r>
          <w:r w:rsidRPr="00AA04A4">
            <w:rPr>
              <w:rFonts w:ascii="Calibri Light" w:hAnsi="Calibri Light" w:cs="Calibri Light"/>
              <w:lang w:val="en-US"/>
            </w:rPr>
            <w:fldChar w:fldCharType="end"/>
          </w:r>
        </w:sdtContent>
      </w:sdt>
      <w:r w:rsidRPr="00AA04A4">
        <w:rPr>
          <w:rFonts w:ascii="Calibri Light" w:hAnsi="Calibri Light" w:cs="Calibri Light"/>
          <w:lang w:val="en-US"/>
        </w:rPr>
        <w:t xml:space="preserve">. However, there was no online information on the status of TPMS implementation. This limited the comparative analysis on the basic premises and aims of the teaching standards. </w:t>
      </w:r>
    </w:p>
    <w:p w14:paraId="73C30D9B" w14:textId="339CF3D7" w:rsidR="008D0CAD" w:rsidRPr="00AA04A4" w:rsidRDefault="008D0CAD" w:rsidP="00DD08E3">
      <w:pPr>
        <w:spacing w:before="100" w:beforeAutospacing="1" w:after="100" w:afterAutospacing="1" w:line="360" w:lineRule="auto"/>
        <w:rPr>
          <w:rFonts w:ascii="Calibri Light" w:hAnsi="Calibri Light" w:cs="Calibri Light"/>
          <w:lang w:val="en-US"/>
        </w:rPr>
      </w:pPr>
      <w:r w:rsidRPr="00AA04A4">
        <w:rPr>
          <w:rFonts w:ascii="Calibri Light" w:hAnsi="Calibri Light" w:cs="Calibri Light"/>
          <w:lang w:val="en-US"/>
        </w:rPr>
        <w:t xml:space="preserve">In Lao-PDR, a National Charter for Teacher Competencies (NCTC) sets the standard for professional development. NCTC placed emphasis on teacher competencies, and how it should translate improved knowledge among children. Under NCTC, domains of interventions included: inclusive education, support to children with special educational needs, effect of children’s background to learning, and fair treatment of teachers to students </w:t>
      </w:r>
      <w:sdt>
        <w:sdtPr>
          <w:rPr>
            <w:rFonts w:ascii="Calibri Light" w:hAnsi="Calibri Light" w:cs="Calibri Light"/>
            <w:lang w:val="en-US"/>
          </w:rPr>
          <w:id w:val="787545687"/>
          <w:citation/>
        </w:sdtPr>
        <w:sdtEndPr/>
        <w:sdtContent>
          <w:r w:rsidRPr="00AA04A4">
            <w:rPr>
              <w:rFonts w:ascii="Calibri Light" w:hAnsi="Calibri Light" w:cs="Calibri Light"/>
              <w:lang w:val="en-US"/>
            </w:rPr>
            <w:fldChar w:fldCharType="begin"/>
          </w:r>
          <w:r w:rsidRPr="00AA04A4">
            <w:rPr>
              <w:rFonts w:ascii="Calibri Light" w:hAnsi="Calibri Light" w:cs="Calibri Light"/>
              <w:lang w:val="en-US"/>
            </w:rPr>
            <w:instrText xml:space="preserve"> CITATION Lac08 \l 13321 </w:instrText>
          </w:r>
          <w:r w:rsidRPr="00AA04A4">
            <w:rPr>
              <w:rFonts w:ascii="Calibri Light" w:hAnsi="Calibri Light" w:cs="Calibri Light"/>
              <w:lang w:val="en-US"/>
            </w:rPr>
            <w:fldChar w:fldCharType="separate"/>
          </w:r>
          <w:r w:rsidRPr="00AA04A4">
            <w:rPr>
              <w:rFonts w:ascii="Calibri Light" w:hAnsi="Calibri Light" w:cs="Calibri Light"/>
              <w:noProof/>
              <w:lang w:val="en-US"/>
            </w:rPr>
            <w:t>(Lachanthaboun, 2008)</w:t>
          </w:r>
          <w:r w:rsidRPr="00AA04A4">
            <w:rPr>
              <w:rFonts w:ascii="Calibri Light" w:hAnsi="Calibri Light" w:cs="Calibri Light"/>
              <w:lang w:val="en-US"/>
            </w:rPr>
            <w:fldChar w:fldCharType="end"/>
          </w:r>
        </w:sdtContent>
      </w:sdt>
      <w:r w:rsidRPr="00AA04A4">
        <w:rPr>
          <w:rFonts w:ascii="Calibri Light" w:hAnsi="Calibri Light" w:cs="Calibri Light"/>
          <w:lang w:val="en-US"/>
        </w:rPr>
        <w:t>.</w:t>
      </w:r>
      <w:r w:rsidR="00D434EB">
        <w:rPr>
          <w:rFonts w:ascii="Calibri Light" w:hAnsi="Calibri Light" w:cs="Calibri Light"/>
          <w:lang w:val="en-US"/>
        </w:rPr>
        <w:t xml:space="preserve"> </w:t>
      </w:r>
    </w:p>
    <w:p w14:paraId="1CEDF04B" w14:textId="2743587F" w:rsidR="008D0CAD" w:rsidRPr="00AA04A4" w:rsidRDefault="008D0CAD" w:rsidP="00DD08E3">
      <w:pPr>
        <w:spacing w:before="100" w:beforeAutospacing="1" w:after="100" w:afterAutospacing="1" w:line="360" w:lineRule="auto"/>
        <w:rPr>
          <w:rFonts w:ascii="Calibri Light" w:hAnsi="Calibri Light" w:cs="Calibri Light"/>
          <w:lang w:val="en-US"/>
        </w:rPr>
      </w:pPr>
      <w:r w:rsidRPr="00AA04A4">
        <w:rPr>
          <w:rFonts w:ascii="Calibri Light" w:hAnsi="Calibri Light" w:cs="Calibri Light"/>
          <w:lang w:val="en-US"/>
        </w:rPr>
        <w:t>Lao-PDR’s Education Sector Plan for 2016-2020 provided the overarching framework to support development of the education sector. Focused was in providing teachers in small schools with trainings in handling multi-grade classes, as well as a comprehensive in-training system to match competency requirements. Further, the plan outlines the development and testing of a competency-based teaching standard.</w:t>
      </w:r>
      <w:r w:rsidR="00D434EB">
        <w:rPr>
          <w:rFonts w:ascii="Calibri Light" w:hAnsi="Calibri Light" w:cs="Calibri Light"/>
          <w:lang w:val="en-US"/>
        </w:rPr>
        <w:t xml:space="preserve"> </w:t>
      </w:r>
      <w:r w:rsidRPr="00AA04A4">
        <w:rPr>
          <w:rFonts w:ascii="Calibri Light" w:hAnsi="Calibri Light" w:cs="Calibri Light"/>
          <w:lang w:val="en-US"/>
        </w:rPr>
        <w:t xml:space="preserve">Current practices involve the measurement of teacher performance in terms of their attitudes, values, academic qualification, academic output, and teaching experience </w:t>
      </w:r>
      <w:sdt>
        <w:sdtPr>
          <w:rPr>
            <w:rFonts w:ascii="Calibri Light" w:hAnsi="Calibri Light" w:cs="Calibri Light"/>
            <w:lang w:val="en-US"/>
          </w:rPr>
          <w:id w:val="-139958803"/>
          <w:citation/>
        </w:sdtPr>
        <w:sdtEndPr/>
        <w:sdtContent>
          <w:r w:rsidRPr="00AA04A4">
            <w:rPr>
              <w:rFonts w:ascii="Calibri Light" w:hAnsi="Calibri Light" w:cs="Calibri Light"/>
              <w:lang w:val="en-US"/>
            </w:rPr>
            <w:fldChar w:fldCharType="begin"/>
          </w:r>
          <w:r w:rsidRPr="00AA04A4">
            <w:rPr>
              <w:rFonts w:ascii="Calibri Light" w:hAnsi="Calibri Light" w:cs="Calibri Light"/>
              <w:lang w:val="en-US"/>
            </w:rPr>
            <w:instrText xml:space="preserve"> CITATION SIR10 \l 13321 </w:instrText>
          </w:r>
          <w:r w:rsidRPr="00AA04A4">
            <w:rPr>
              <w:rFonts w:ascii="Calibri Light" w:hAnsi="Calibri Light" w:cs="Calibri Light"/>
              <w:lang w:val="en-US"/>
            </w:rPr>
            <w:fldChar w:fldCharType="separate"/>
          </w:r>
          <w:r w:rsidRPr="00AA04A4">
            <w:rPr>
              <w:rFonts w:ascii="Calibri Light" w:hAnsi="Calibri Light" w:cs="Calibri Light"/>
              <w:noProof/>
              <w:lang w:val="en-US"/>
            </w:rPr>
            <w:t>(SIREP, 2010)</w:t>
          </w:r>
          <w:r w:rsidRPr="00AA04A4">
            <w:rPr>
              <w:rFonts w:ascii="Calibri Light" w:hAnsi="Calibri Light" w:cs="Calibri Light"/>
              <w:lang w:val="en-US"/>
            </w:rPr>
            <w:fldChar w:fldCharType="end"/>
          </w:r>
        </w:sdtContent>
      </w:sdt>
      <w:r w:rsidRPr="00AA04A4">
        <w:rPr>
          <w:rFonts w:ascii="Calibri Light" w:hAnsi="Calibri Light" w:cs="Calibri Light"/>
          <w:lang w:val="en-US"/>
        </w:rPr>
        <w:t xml:space="preserve">. Lao-PDR’s plan to shift into competency-based education indicated its appreciation of the merits of such standards that are adopted by its ASEAN counterparts. </w:t>
      </w:r>
    </w:p>
    <w:p w14:paraId="6F281FD2" w14:textId="77777777" w:rsidR="008D0CAD" w:rsidRPr="00AA04A4" w:rsidRDefault="008D0CAD" w:rsidP="00DD08E3">
      <w:pPr>
        <w:pStyle w:val="Heading5"/>
        <w:numPr>
          <w:ilvl w:val="0"/>
          <w:numId w:val="0"/>
        </w:numPr>
        <w:spacing w:before="100" w:beforeAutospacing="1" w:after="100" w:afterAutospacing="1" w:line="360" w:lineRule="auto"/>
        <w:ind w:left="1222" w:hanging="1080"/>
      </w:pPr>
      <w:bookmarkStart w:id="356" w:name="_Toc16263681"/>
      <w:bookmarkStart w:id="357" w:name="_Toc16326739"/>
      <w:r w:rsidRPr="00AA04A4">
        <w:t>Curriculum and Assessment</w:t>
      </w:r>
      <w:bookmarkEnd w:id="356"/>
      <w:r w:rsidRPr="00AA04A4">
        <w:t xml:space="preserve"> (C&amp;A)</w:t>
      </w:r>
      <w:bookmarkEnd w:id="357"/>
    </w:p>
    <w:p w14:paraId="7159AC6E" w14:textId="761CEEF8" w:rsidR="008D0CAD" w:rsidRPr="00AA04A4" w:rsidRDefault="008D0CAD" w:rsidP="00DD08E3">
      <w:pPr>
        <w:shd w:val="clear" w:color="auto" w:fill="FFFFFF"/>
        <w:spacing w:before="100" w:beforeAutospacing="1" w:after="100" w:afterAutospacing="1" w:line="360" w:lineRule="auto"/>
        <w:rPr>
          <w:rFonts w:ascii="Calibri Light" w:hAnsi="Calibri Light" w:cs="Calibri Light"/>
          <w:lang w:val="en-US"/>
        </w:rPr>
      </w:pPr>
      <w:r w:rsidRPr="00AA04A4">
        <w:rPr>
          <w:rFonts w:ascii="Calibri Light" w:hAnsi="Calibri Light" w:cs="Calibri Light"/>
          <w:color w:val="000000"/>
          <w:lang w:val="en-US"/>
        </w:rPr>
        <w:t xml:space="preserve">As early as 2005, the Government of the Philippines inaugurated a comprehensive policy reform program under its </w:t>
      </w:r>
      <w:r w:rsidRPr="00AA04A4">
        <w:rPr>
          <w:rFonts w:ascii="Calibri Light" w:hAnsi="Calibri Light" w:cs="Calibri Light"/>
          <w:i/>
          <w:color w:val="000000"/>
          <w:lang w:val="en-US"/>
        </w:rPr>
        <w:t>Basic Education Sector Reform Agenda (BESRA)</w:t>
      </w:r>
      <w:r w:rsidRPr="00AA04A4">
        <w:rPr>
          <w:rFonts w:ascii="Calibri Light" w:hAnsi="Calibri Light" w:cs="Calibri Light"/>
          <w:color w:val="000000"/>
          <w:lang w:val="en-US"/>
        </w:rPr>
        <w:t xml:space="preserve"> to arrest the long-term decline in key education sector indicators, which began in the 1990s.</w:t>
      </w:r>
      <w:r w:rsidR="00D434EB">
        <w:rPr>
          <w:rFonts w:ascii="Calibri Light" w:hAnsi="Calibri Light" w:cs="Calibri Light"/>
          <w:color w:val="000000"/>
          <w:lang w:val="en-US"/>
        </w:rPr>
        <w:t xml:space="preserve"> </w:t>
      </w:r>
      <w:r w:rsidRPr="00AA04A4">
        <w:rPr>
          <w:rFonts w:ascii="Calibri Light" w:hAnsi="Calibri Light" w:cs="Calibri Light"/>
          <w:lang w:val="en-US"/>
        </w:rPr>
        <w:t xml:space="preserve">The intentions of the program were geared towards aiding the DepEd in the improvement of the quality and delivery of basic education by providing technical assistance in the implementation of the K to 12 system of education. </w:t>
      </w:r>
    </w:p>
    <w:p w14:paraId="1838DC98" w14:textId="77777777" w:rsidR="008D0CAD" w:rsidRPr="00AA04A4" w:rsidRDefault="008D0CAD" w:rsidP="00DD08E3">
      <w:pPr>
        <w:spacing w:before="100" w:beforeAutospacing="1" w:after="100" w:afterAutospacing="1" w:line="360" w:lineRule="auto"/>
        <w:rPr>
          <w:rFonts w:ascii="Calibri Light" w:hAnsi="Calibri Light" w:cs="Calibri Light"/>
          <w:color w:val="000000"/>
          <w:spacing w:val="2"/>
          <w:lang w:val="en-US"/>
        </w:rPr>
      </w:pPr>
      <w:r w:rsidRPr="00AA04A4">
        <w:rPr>
          <w:rFonts w:ascii="Calibri Light" w:eastAsia="Calibri" w:hAnsi="Calibri Light" w:cs="Calibri Light"/>
          <w:color w:val="000000"/>
          <w:lang w:val="en-US"/>
        </w:rPr>
        <w:t>The</w:t>
      </w:r>
      <w:r w:rsidRPr="00AA04A4">
        <w:rPr>
          <w:rFonts w:ascii="Calibri Light" w:hAnsi="Calibri Light" w:cs="Calibri Light"/>
          <w:lang w:val="en-US"/>
        </w:rPr>
        <w:t xml:space="preserve"> Basic Education Sector Transformation (BEST) Program, under the</w:t>
      </w:r>
      <w:r w:rsidRPr="00AA04A4">
        <w:rPr>
          <w:rFonts w:ascii="Calibri Light" w:hAnsi="Calibri Light" w:cs="Calibri Light"/>
          <w:bCs/>
          <w:color w:val="000000"/>
          <w:lang w:val="en-US"/>
        </w:rPr>
        <w:t xml:space="preserve"> Education Delivery Strategy 2013-2023, </w:t>
      </w:r>
      <w:r w:rsidRPr="00AA04A4">
        <w:rPr>
          <w:rFonts w:ascii="Calibri Light" w:hAnsi="Calibri Light" w:cs="Calibri Light"/>
          <w:color w:val="000000"/>
          <w:spacing w:val="2"/>
          <w:lang w:val="en-US"/>
        </w:rPr>
        <w:t>was Australia’s response to the Philippine Government’s request for support to implement the 2013 Enhanced Basic Education Act which added a mandatory Kindergarten and years 11 and 12 to their 10-year education system. BEST supported this agenda in partnership with Department of Education (DepEd) and the Commission on Higher Education to:</w:t>
      </w:r>
    </w:p>
    <w:p w14:paraId="58736498" w14:textId="77777777" w:rsidR="008D0CAD" w:rsidRPr="00AA04A4" w:rsidRDefault="008D0CAD" w:rsidP="00DD08E3">
      <w:pPr>
        <w:numPr>
          <w:ilvl w:val="0"/>
          <w:numId w:val="142"/>
        </w:numPr>
        <w:shd w:val="clear" w:color="auto" w:fill="FFFFFF"/>
        <w:spacing w:before="100" w:beforeAutospacing="1" w:after="100" w:afterAutospacing="1" w:line="360" w:lineRule="auto"/>
        <w:rPr>
          <w:rFonts w:ascii="Calibri Light" w:hAnsi="Calibri Light" w:cs="Calibri Light"/>
          <w:color w:val="000000"/>
          <w:spacing w:val="2"/>
          <w:lang w:val="en-US"/>
        </w:rPr>
      </w:pPr>
      <w:r w:rsidRPr="00AA04A4">
        <w:rPr>
          <w:rFonts w:ascii="Calibri Light" w:hAnsi="Calibri Light" w:cs="Calibri Light"/>
          <w:color w:val="000000"/>
          <w:spacing w:val="2"/>
          <w:lang w:val="en-US"/>
        </w:rPr>
        <w:t>improve learning achievements;</w:t>
      </w:r>
    </w:p>
    <w:p w14:paraId="5DE70FF5" w14:textId="77777777" w:rsidR="008D0CAD" w:rsidRPr="00AA04A4" w:rsidRDefault="008D0CAD" w:rsidP="00DD08E3">
      <w:pPr>
        <w:numPr>
          <w:ilvl w:val="0"/>
          <w:numId w:val="142"/>
        </w:numPr>
        <w:shd w:val="clear" w:color="auto" w:fill="FFFFFF"/>
        <w:spacing w:before="100" w:beforeAutospacing="1" w:after="100" w:afterAutospacing="1" w:line="360" w:lineRule="auto"/>
        <w:rPr>
          <w:rFonts w:ascii="Calibri Light" w:hAnsi="Calibri Light" w:cs="Calibri Light"/>
          <w:color w:val="000000"/>
          <w:spacing w:val="2"/>
          <w:lang w:val="en-US"/>
        </w:rPr>
      </w:pPr>
      <w:r w:rsidRPr="00AA04A4">
        <w:rPr>
          <w:rFonts w:ascii="Calibri Light" w:hAnsi="Calibri Light" w:cs="Calibri Light"/>
          <w:color w:val="000000"/>
          <w:spacing w:val="2"/>
          <w:lang w:val="en-US"/>
        </w:rPr>
        <w:t>increase attendance and completion rates; and</w:t>
      </w:r>
    </w:p>
    <w:p w14:paraId="045C03B2" w14:textId="77777777" w:rsidR="008D0CAD" w:rsidRPr="00AA04A4" w:rsidRDefault="008D0CAD" w:rsidP="00DD08E3">
      <w:pPr>
        <w:numPr>
          <w:ilvl w:val="0"/>
          <w:numId w:val="142"/>
        </w:numPr>
        <w:shd w:val="clear" w:color="auto" w:fill="FFFFFF"/>
        <w:spacing w:before="100" w:beforeAutospacing="1" w:after="100" w:afterAutospacing="1" w:line="360" w:lineRule="auto"/>
        <w:rPr>
          <w:rFonts w:ascii="Calibri Light" w:hAnsi="Calibri Light" w:cs="Calibri Light"/>
          <w:color w:val="000000"/>
          <w:spacing w:val="2"/>
          <w:lang w:val="en-US"/>
        </w:rPr>
      </w:pPr>
      <w:r w:rsidRPr="00AA04A4">
        <w:rPr>
          <w:rFonts w:ascii="Calibri Light" w:hAnsi="Calibri Light" w:cs="Calibri Light"/>
          <w:color w:val="000000"/>
          <w:spacing w:val="2"/>
          <w:lang w:val="en-US"/>
        </w:rPr>
        <w:t>strengthen DepEd governance and systems.</w:t>
      </w:r>
    </w:p>
    <w:p w14:paraId="59068766" w14:textId="77777777" w:rsidR="008D0CAD" w:rsidRPr="00AA04A4" w:rsidRDefault="008D0CAD" w:rsidP="00DD08E3">
      <w:pPr>
        <w:spacing w:before="100" w:beforeAutospacing="1" w:after="100" w:afterAutospacing="1" w:line="360" w:lineRule="auto"/>
        <w:rPr>
          <w:rFonts w:ascii="Calibri Light" w:hAnsi="Calibri Light" w:cs="Calibri Light"/>
          <w:bCs/>
          <w:lang w:val="en-US"/>
        </w:rPr>
      </w:pPr>
      <w:r w:rsidRPr="00AA04A4">
        <w:rPr>
          <w:rFonts w:ascii="Calibri Light" w:hAnsi="Calibri Light" w:cs="Calibri Light"/>
          <w:bCs/>
          <w:lang w:val="en-US"/>
        </w:rPr>
        <w:t>The gradual approach in the implementation of the K to 12 curriculum and the learnings from the implementation of the Revised Basic Education Curriculum (RBEC) of 2002 signaled the many changes that must be done accordingly in consonance with the new curricula. Thus, the provision of technical assistance by BEST in the development of K to 12 materials is highly relevant.</w:t>
      </w:r>
    </w:p>
    <w:p w14:paraId="6A8535AF" w14:textId="4F08883F" w:rsidR="008D0CAD" w:rsidRPr="00AA04A4" w:rsidRDefault="008D0CAD" w:rsidP="00DD08E3">
      <w:pPr>
        <w:spacing w:before="100" w:beforeAutospacing="1" w:after="100" w:afterAutospacing="1" w:line="360" w:lineRule="auto"/>
        <w:rPr>
          <w:rFonts w:ascii="Calibri Light" w:hAnsi="Calibri Light" w:cs="Calibri Light"/>
          <w:snapToGrid w:val="0"/>
          <w:lang w:val="en-US"/>
        </w:rPr>
      </w:pPr>
      <w:r w:rsidRPr="00AA04A4">
        <w:rPr>
          <w:rFonts w:ascii="Calibri Light" w:hAnsi="Calibri Light" w:cs="Calibri Light"/>
          <w:snapToGrid w:val="0"/>
          <w:color w:val="000000"/>
          <w:lang w:val="en-AU" w:eastAsia="en-AU"/>
        </w:rPr>
        <w:t>The K to 12 Program (also called the Enhanced Basic Education Program) was the anchor for BESRA and for bringing the education system at par with international standards.</w:t>
      </w:r>
      <w:r w:rsidR="00D434EB">
        <w:rPr>
          <w:rFonts w:ascii="Calibri Light" w:hAnsi="Calibri Light" w:cs="Calibri Light"/>
          <w:snapToGrid w:val="0"/>
          <w:color w:val="000000"/>
          <w:lang w:val="en-AU" w:eastAsia="en-AU"/>
        </w:rPr>
        <w:t xml:space="preserve"> </w:t>
      </w:r>
      <w:r w:rsidRPr="00AA04A4">
        <w:rPr>
          <w:rFonts w:ascii="Calibri Light" w:hAnsi="Calibri Light" w:cs="Calibri Light"/>
          <w:snapToGrid w:val="0"/>
          <w:color w:val="000000"/>
          <w:lang w:val="en-AU" w:eastAsia="en-AU"/>
        </w:rPr>
        <w:t xml:space="preserve"> </w:t>
      </w:r>
      <w:r w:rsidRPr="00AA04A4">
        <w:rPr>
          <w:rFonts w:ascii="Calibri Light" w:hAnsi="Calibri Light" w:cs="Calibri Light"/>
          <w:snapToGrid w:val="0"/>
          <w:lang w:val="en-US"/>
        </w:rPr>
        <w:t>The Program translated to changes in curriculum and assessment, teacher standards and learning resources. More importantly, this change required increased funding for infrastructure as well as on additional teachers and learning materials.</w:t>
      </w:r>
    </w:p>
    <w:p w14:paraId="13696E6B" w14:textId="38FD6F4F" w:rsidR="008D0CAD" w:rsidRPr="00AA04A4" w:rsidRDefault="008D0CAD" w:rsidP="00DD08E3">
      <w:pPr>
        <w:spacing w:before="100" w:beforeAutospacing="1" w:after="100" w:afterAutospacing="1" w:line="360" w:lineRule="auto"/>
        <w:rPr>
          <w:rFonts w:ascii="Calibri Light" w:hAnsi="Calibri Light" w:cs="Calibri Light"/>
          <w:lang w:val="en-US"/>
        </w:rPr>
      </w:pPr>
      <w:r w:rsidRPr="00AA04A4">
        <w:rPr>
          <w:rFonts w:ascii="Calibri Light" w:hAnsi="Calibri Light" w:cs="Calibri Light"/>
          <w:lang w:val="en-GB"/>
        </w:rPr>
        <w:t xml:space="preserve">In terms of Curriculum and Assessment, the movement </w:t>
      </w:r>
      <w:r w:rsidR="00D922F5">
        <w:rPr>
          <w:rFonts w:ascii="Calibri Light" w:hAnsi="Calibri Light" w:cs="Calibri Light"/>
          <w:lang w:val="en-GB"/>
        </w:rPr>
        <w:t>to</w:t>
      </w:r>
      <w:r w:rsidRPr="00AA04A4">
        <w:rPr>
          <w:rFonts w:ascii="Calibri Light" w:hAnsi="Calibri Light" w:cs="Calibri Light"/>
          <w:lang w:val="en-GB"/>
        </w:rPr>
        <w:t xml:space="preserve"> Kto12 curriculum was the focus of education reform programs in basic education in the Philippines. As of 2013, the Philippines is the only Asian country and one of the three countries worldwide with only 10 years of pre-university education, which translates into disadvantages for the Philippines. </w:t>
      </w:r>
      <w:r w:rsidRPr="00AA04A4">
        <w:rPr>
          <w:rFonts w:ascii="Calibri Light" w:hAnsi="Calibri Light" w:cs="Calibri Light"/>
          <w:lang w:val="en-US"/>
        </w:rPr>
        <w:t xml:space="preserve">The addition of SHS intends to bring the Philippines’ basic education system more into line with international standards and make SHS graduates more competitive domestically and globally. </w:t>
      </w:r>
    </w:p>
    <w:p w14:paraId="5D619E29" w14:textId="366D72B0" w:rsidR="008D0CAD" w:rsidRPr="00071086" w:rsidRDefault="008D0CAD" w:rsidP="00DD08E3">
      <w:pPr>
        <w:spacing w:before="100" w:beforeAutospacing="1" w:after="100" w:afterAutospacing="1" w:line="360" w:lineRule="auto"/>
        <w:rPr>
          <w:rFonts w:ascii="Calibri Light" w:hAnsi="Calibri Light" w:cs="Calibri Light"/>
          <w:lang w:val="en-US"/>
        </w:rPr>
      </w:pPr>
      <w:r w:rsidRPr="00AA04A4">
        <w:rPr>
          <w:rFonts w:ascii="Calibri Light" w:hAnsi="Calibri Light" w:cs="Calibri Light"/>
          <w:lang w:val="en-US"/>
        </w:rPr>
        <w:t xml:space="preserve">Beginning in SY 2016–2017, SHS (grades 11 and 12) will offer a core curriculum and specialisations in four tracks: academic, technical-vocational and livelihood, sports, and arts and design. Literature disclosed that </w:t>
      </w:r>
      <w:r w:rsidRPr="00AA04A4">
        <w:rPr>
          <w:rFonts w:ascii="Calibri Light" w:hAnsi="Calibri Light" w:cs="Calibri Light"/>
          <w:spacing w:val="2"/>
          <w:lang w:val="en-US" w:eastAsia="en-PH"/>
        </w:rPr>
        <w:t xml:space="preserve">that an additional year of educational attainment increases one’s earning by 10% in developed countries, which is connected to the chances of families having fewer children, thus increasing their chances to finish at least the primary level (Hanushek and Woessmann, 2007). The K to 12 educational reform is a product of the intensifying demand for globally competitive schools” (Leviste, 2019). </w:t>
      </w:r>
    </w:p>
    <w:p w14:paraId="04FD6809" w14:textId="77777777" w:rsidR="008D0CAD" w:rsidRPr="00071086" w:rsidRDefault="008D0CAD" w:rsidP="00DD08E3">
      <w:pPr>
        <w:spacing w:before="100" w:beforeAutospacing="1" w:after="100" w:afterAutospacing="1" w:line="360" w:lineRule="auto"/>
        <w:rPr>
          <w:rFonts w:asciiTheme="majorHAnsi" w:hAnsiTheme="majorHAnsi" w:cstheme="majorHAnsi"/>
          <w:b/>
          <w:sz w:val="22"/>
          <w:szCs w:val="22"/>
          <w:lang w:val="en-GB"/>
        </w:rPr>
      </w:pPr>
      <w:r w:rsidRPr="00071086">
        <w:rPr>
          <w:rFonts w:asciiTheme="majorHAnsi" w:hAnsiTheme="majorHAnsi" w:cstheme="majorHAnsi"/>
          <w:b/>
          <w:sz w:val="22"/>
          <w:szCs w:val="22"/>
          <w:lang w:val="en-GB"/>
        </w:rPr>
        <w:t>Table 1.0 Duration of Basic and Pre-University Education in Selected Asian Countries</w:t>
      </w:r>
    </w:p>
    <w:tbl>
      <w:tblPr>
        <w:tblStyle w:val="TableGrid"/>
        <w:tblW w:w="8784" w:type="dxa"/>
        <w:tblLook w:val="04A0" w:firstRow="1" w:lastRow="0" w:firstColumn="1" w:lastColumn="0" w:noHBand="0" w:noVBand="1"/>
      </w:tblPr>
      <w:tblGrid>
        <w:gridCol w:w="1116"/>
        <w:gridCol w:w="1431"/>
        <w:gridCol w:w="1134"/>
        <w:gridCol w:w="1134"/>
        <w:gridCol w:w="1374"/>
        <w:gridCol w:w="922"/>
        <w:gridCol w:w="1673"/>
      </w:tblGrid>
      <w:tr w:rsidR="00104415" w:rsidRPr="00071086" w14:paraId="55812D71" w14:textId="77777777" w:rsidTr="00F4751F">
        <w:trPr>
          <w:tblHeader/>
        </w:trPr>
        <w:tc>
          <w:tcPr>
            <w:tcW w:w="1116" w:type="dxa"/>
          </w:tcPr>
          <w:p w14:paraId="088CCC48" w14:textId="77777777" w:rsidR="00104415" w:rsidRPr="00071086" w:rsidRDefault="00104415" w:rsidP="00104415">
            <w:pPr>
              <w:spacing w:before="100" w:beforeAutospacing="1" w:after="100" w:afterAutospacing="1" w:line="360" w:lineRule="auto"/>
              <w:rPr>
                <w:rFonts w:asciiTheme="majorHAnsi" w:hAnsiTheme="majorHAnsi" w:cstheme="majorHAnsi"/>
                <w:b/>
                <w:sz w:val="18"/>
                <w:szCs w:val="18"/>
                <w:lang w:val="en-GB"/>
              </w:rPr>
            </w:pPr>
            <w:r w:rsidRPr="00071086">
              <w:rPr>
                <w:rFonts w:asciiTheme="majorHAnsi" w:hAnsiTheme="majorHAnsi" w:cstheme="majorHAnsi"/>
                <w:b/>
                <w:sz w:val="18"/>
                <w:szCs w:val="18"/>
                <w:lang w:val="en-GB"/>
              </w:rPr>
              <w:t>Country</w:t>
            </w:r>
          </w:p>
        </w:tc>
        <w:tc>
          <w:tcPr>
            <w:tcW w:w="1431" w:type="dxa"/>
          </w:tcPr>
          <w:p w14:paraId="1C85A3AD" w14:textId="77777777" w:rsidR="00104415" w:rsidRPr="00071086" w:rsidRDefault="00104415" w:rsidP="00104415">
            <w:pPr>
              <w:spacing w:before="100" w:beforeAutospacing="1" w:after="100" w:afterAutospacing="1" w:line="360" w:lineRule="auto"/>
              <w:rPr>
                <w:rFonts w:asciiTheme="majorHAnsi" w:hAnsiTheme="majorHAnsi" w:cstheme="majorHAnsi"/>
                <w:b/>
                <w:sz w:val="18"/>
                <w:szCs w:val="18"/>
                <w:lang w:val="en-GB"/>
              </w:rPr>
            </w:pPr>
            <w:r w:rsidRPr="00071086">
              <w:rPr>
                <w:rFonts w:asciiTheme="majorHAnsi" w:hAnsiTheme="majorHAnsi" w:cstheme="majorHAnsi"/>
                <w:b/>
                <w:sz w:val="18"/>
                <w:szCs w:val="18"/>
                <w:lang w:val="en-GB"/>
              </w:rPr>
              <w:t>Years of Elementary Education</w:t>
            </w:r>
          </w:p>
        </w:tc>
        <w:tc>
          <w:tcPr>
            <w:tcW w:w="1134" w:type="dxa"/>
          </w:tcPr>
          <w:p w14:paraId="414C12D1" w14:textId="77777777" w:rsidR="00104415" w:rsidRDefault="00104415" w:rsidP="00104415">
            <w:pPr>
              <w:spacing w:before="100" w:beforeAutospacing="1" w:after="100" w:afterAutospacing="1" w:line="360" w:lineRule="auto"/>
              <w:jc w:val="both"/>
              <w:rPr>
                <w:rFonts w:asciiTheme="majorHAnsi" w:hAnsiTheme="majorHAnsi" w:cstheme="majorHAnsi"/>
                <w:b/>
                <w:sz w:val="18"/>
                <w:szCs w:val="18"/>
                <w:lang w:val="en-GB"/>
              </w:rPr>
            </w:pPr>
            <w:r>
              <w:rPr>
                <w:rFonts w:asciiTheme="majorHAnsi" w:hAnsiTheme="majorHAnsi" w:cstheme="majorHAnsi"/>
                <w:b/>
                <w:sz w:val="18"/>
                <w:szCs w:val="18"/>
                <w:lang w:val="en-GB"/>
              </w:rPr>
              <w:t>Years of Secondary Education</w:t>
            </w:r>
          </w:p>
          <w:p w14:paraId="2E44D10F" w14:textId="1E7AC281" w:rsidR="00104415" w:rsidRDefault="00104415" w:rsidP="00104415">
            <w:pPr>
              <w:spacing w:before="100" w:beforeAutospacing="1" w:after="100" w:afterAutospacing="1" w:line="360" w:lineRule="auto"/>
              <w:jc w:val="both"/>
              <w:rPr>
                <w:rFonts w:asciiTheme="majorHAnsi" w:hAnsiTheme="majorHAnsi" w:cstheme="majorHAnsi"/>
                <w:b/>
                <w:sz w:val="18"/>
                <w:szCs w:val="18"/>
                <w:lang w:val="en-GB"/>
              </w:rPr>
            </w:pPr>
            <w:r>
              <w:rPr>
                <w:rFonts w:asciiTheme="majorHAnsi" w:hAnsiTheme="majorHAnsi" w:cstheme="majorHAnsi"/>
                <w:b/>
                <w:sz w:val="18"/>
                <w:szCs w:val="18"/>
                <w:lang w:val="en-GB"/>
              </w:rPr>
              <w:t>Lower</w:t>
            </w:r>
          </w:p>
        </w:tc>
        <w:tc>
          <w:tcPr>
            <w:tcW w:w="1134" w:type="dxa"/>
            <w:tcBorders>
              <w:left w:val="single" w:sz="4" w:space="0" w:color="auto"/>
            </w:tcBorders>
          </w:tcPr>
          <w:p w14:paraId="0FBF3A47" w14:textId="77777777" w:rsidR="00104415" w:rsidRDefault="00104415" w:rsidP="00104415">
            <w:pPr>
              <w:spacing w:before="100" w:beforeAutospacing="1" w:after="100" w:afterAutospacing="1" w:line="360" w:lineRule="auto"/>
              <w:rPr>
                <w:rFonts w:asciiTheme="majorHAnsi" w:hAnsiTheme="majorHAnsi" w:cstheme="majorHAnsi"/>
                <w:b/>
                <w:sz w:val="18"/>
                <w:szCs w:val="18"/>
                <w:lang w:val="en-GB"/>
              </w:rPr>
            </w:pPr>
            <w:r>
              <w:rPr>
                <w:rFonts w:asciiTheme="majorHAnsi" w:hAnsiTheme="majorHAnsi" w:cstheme="majorHAnsi"/>
                <w:b/>
                <w:sz w:val="18"/>
                <w:szCs w:val="18"/>
                <w:lang w:val="en-GB"/>
              </w:rPr>
              <w:t>Years of Secondary Education</w:t>
            </w:r>
          </w:p>
          <w:p w14:paraId="4DE4DC31" w14:textId="3201D1AF" w:rsidR="00104415" w:rsidRPr="00071086" w:rsidRDefault="00104415" w:rsidP="00104415">
            <w:pPr>
              <w:spacing w:before="100" w:beforeAutospacing="1" w:after="100" w:afterAutospacing="1" w:line="360" w:lineRule="auto"/>
              <w:rPr>
                <w:rFonts w:asciiTheme="majorHAnsi" w:hAnsiTheme="majorHAnsi" w:cstheme="majorHAnsi"/>
                <w:b/>
                <w:sz w:val="18"/>
                <w:szCs w:val="18"/>
                <w:lang w:val="en-GB"/>
              </w:rPr>
            </w:pPr>
            <w:r>
              <w:rPr>
                <w:rFonts w:asciiTheme="majorHAnsi" w:hAnsiTheme="majorHAnsi" w:cstheme="majorHAnsi"/>
                <w:b/>
                <w:sz w:val="18"/>
                <w:szCs w:val="18"/>
                <w:lang w:val="en-GB"/>
              </w:rPr>
              <w:t>Upper</w:t>
            </w:r>
          </w:p>
        </w:tc>
        <w:tc>
          <w:tcPr>
            <w:tcW w:w="1374" w:type="dxa"/>
          </w:tcPr>
          <w:p w14:paraId="5FE0346B" w14:textId="77777777" w:rsidR="00104415" w:rsidRPr="00071086" w:rsidRDefault="00104415" w:rsidP="00104415">
            <w:pPr>
              <w:spacing w:before="100" w:beforeAutospacing="1" w:after="100" w:afterAutospacing="1" w:line="360" w:lineRule="auto"/>
              <w:rPr>
                <w:rFonts w:asciiTheme="majorHAnsi" w:hAnsiTheme="majorHAnsi" w:cstheme="majorHAnsi"/>
                <w:b/>
                <w:sz w:val="18"/>
                <w:szCs w:val="18"/>
                <w:lang w:val="en-GB"/>
              </w:rPr>
            </w:pPr>
            <w:r w:rsidRPr="00071086">
              <w:rPr>
                <w:rFonts w:asciiTheme="majorHAnsi" w:hAnsiTheme="majorHAnsi" w:cstheme="majorHAnsi"/>
                <w:b/>
                <w:sz w:val="18"/>
                <w:szCs w:val="18"/>
                <w:lang w:val="en-GB"/>
              </w:rPr>
              <w:t>Total Elementary and Secondary</w:t>
            </w:r>
          </w:p>
        </w:tc>
        <w:tc>
          <w:tcPr>
            <w:tcW w:w="922" w:type="dxa"/>
          </w:tcPr>
          <w:p w14:paraId="3747C6F0" w14:textId="77777777" w:rsidR="00104415" w:rsidRPr="00071086" w:rsidRDefault="00104415" w:rsidP="00104415">
            <w:pPr>
              <w:spacing w:before="100" w:beforeAutospacing="1" w:after="100" w:afterAutospacing="1" w:line="360" w:lineRule="auto"/>
              <w:rPr>
                <w:rFonts w:asciiTheme="majorHAnsi" w:hAnsiTheme="majorHAnsi" w:cstheme="majorHAnsi"/>
                <w:b/>
                <w:sz w:val="18"/>
                <w:szCs w:val="18"/>
                <w:lang w:val="en-GB"/>
              </w:rPr>
            </w:pPr>
            <w:r w:rsidRPr="00071086">
              <w:rPr>
                <w:rFonts w:asciiTheme="majorHAnsi" w:hAnsiTheme="majorHAnsi" w:cstheme="majorHAnsi"/>
                <w:b/>
                <w:sz w:val="18"/>
                <w:szCs w:val="18"/>
                <w:lang w:val="en-GB"/>
              </w:rPr>
              <w:t>Pre-university</w:t>
            </w:r>
          </w:p>
        </w:tc>
        <w:tc>
          <w:tcPr>
            <w:tcW w:w="1673" w:type="dxa"/>
          </w:tcPr>
          <w:p w14:paraId="57A7A566" w14:textId="77777777" w:rsidR="00104415" w:rsidRPr="00071086" w:rsidRDefault="00104415" w:rsidP="00104415">
            <w:pPr>
              <w:spacing w:before="100" w:beforeAutospacing="1" w:after="100" w:afterAutospacing="1" w:line="360" w:lineRule="auto"/>
              <w:rPr>
                <w:rFonts w:asciiTheme="majorHAnsi" w:hAnsiTheme="majorHAnsi" w:cstheme="majorHAnsi"/>
                <w:b/>
                <w:sz w:val="18"/>
                <w:szCs w:val="18"/>
                <w:lang w:val="en-GB"/>
              </w:rPr>
            </w:pPr>
            <w:r w:rsidRPr="00071086">
              <w:rPr>
                <w:rFonts w:asciiTheme="majorHAnsi" w:hAnsiTheme="majorHAnsi" w:cstheme="majorHAnsi"/>
                <w:b/>
                <w:sz w:val="18"/>
                <w:szCs w:val="18"/>
                <w:lang w:val="en-GB"/>
              </w:rPr>
              <w:t>Total Basic and Pre-university Education Duration</w:t>
            </w:r>
          </w:p>
        </w:tc>
      </w:tr>
      <w:tr w:rsidR="00104415" w:rsidRPr="00071086" w14:paraId="32D37D2D" w14:textId="77777777" w:rsidTr="00104415">
        <w:tc>
          <w:tcPr>
            <w:tcW w:w="1116" w:type="dxa"/>
          </w:tcPr>
          <w:p w14:paraId="50000E67" w14:textId="77777777" w:rsidR="00104415" w:rsidRPr="00071086" w:rsidRDefault="00104415" w:rsidP="00104415">
            <w:pPr>
              <w:spacing w:before="100" w:beforeAutospacing="1" w:after="100" w:afterAutospacing="1" w:line="360" w:lineRule="auto"/>
              <w:rPr>
                <w:rFonts w:asciiTheme="majorHAnsi" w:hAnsiTheme="majorHAnsi" w:cstheme="majorHAnsi"/>
                <w:bCs/>
                <w:sz w:val="18"/>
                <w:szCs w:val="18"/>
                <w:lang w:val="en-GB"/>
              </w:rPr>
            </w:pPr>
            <w:r w:rsidRPr="00071086">
              <w:rPr>
                <w:rFonts w:asciiTheme="majorHAnsi" w:hAnsiTheme="majorHAnsi" w:cstheme="majorHAnsi"/>
                <w:bCs/>
                <w:sz w:val="18"/>
                <w:szCs w:val="18"/>
                <w:lang w:val="en-GB"/>
              </w:rPr>
              <w:t>Brunei Darussalam</w:t>
            </w:r>
          </w:p>
        </w:tc>
        <w:tc>
          <w:tcPr>
            <w:tcW w:w="1431" w:type="dxa"/>
          </w:tcPr>
          <w:p w14:paraId="2D357237" w14:textId="77777777" w:rsidR="00104415" w:rsidRPr="00071086" w:rsidRDefault="00104415" w:rsidP="00104415">
            <w:pPr>
              <w:spacing w:before="100" w:beforeAutospacing="1" w:after="100" w:afterAutospacing="1" w:line="360" w:lineRule="auto"/>
              <w:rPr>
                <w:rFonts w:asciiTheme="majorHAnsi" w:hAnsiTheme="majorHAnsi" w:cstheme="majorHAnsi"/>
                <w:bCs/>
                <w:sz w:val="18"/>
                <w:szCs w:val="18"/>
                <w:lang w:val="en-GB"/>
              </w:rPr>
            </w:pPr>
            <w:r w:rsidRPr="00071086">
              <w:rPr>
                <w:rFonts w:asciiTheme="majorHAnsi" w:hAnsiTheme="majorHAnsi" w:cstheme="majorHAnsi"/>
                <w:bCs/>
                <w:sz w:val="18"/>
                <w:szCs w:val="18"/>
                <w:lang w:val="en-GB"/>
              </w:rPr>
              <w:t>6</w:t>
            </w:r>
          </w:p>
        </w:tc>
        <w:tc>
          <w:tcPr>
            <w:tcW w:w="1134" w:type="dxa"/>
          </w:tcPr>
          <w:p w14:paraId="5CC50830" w14:textId="66849BE3" w:rsidR="00104415" w:rsidRPr="00071086" w:rsidRDefault="00104415" w:rsidP="00104415">
            <w:pPr>
              <w:spacing w:before="100" w:beforeAutospacing="1" w:after="100" w:afterAutospacing="1" w:line="360" w:lineRule="auto"/>
              <w:rPr>
                <w:rFonts w:asciiTheme="majorHAnsi" w:hAnsiTheme="majorHAnsi" w:cstheme="majorHAnsi"/>
                <w:bCs/>
                <w:sz w:val="18"/>
                <w:szCs w:val="18"/>
                <w:lang w:val="en-GB"/>
              </w:rPr>
            </w:pPr>
            <w:r w:rsidRPr="00071086">
              <w:rPr>
                <w:rFonts w:asciiTheme="majorHAnsi" w:hAnsiTheme="majorHAnsi" w:cstheme="majorHAnsi"/>
                <w:bCs/>
                <w:sz w:val="18"/>
                <w:szCs w:val="18"/>
                <w:lang w:val="en-GB"/>
              </w:rPr>
              <w:t>2/3</w:t>
            </w:r>
          </w:p>
        </w:tc>
        <w:tc>
          <w:tcPr>
            <w:tcW w:w="1134" w:type="dxa"/>
          </w:tcPr>
          <w:p w14:paraId="13E4B809" w14:textId="77777777" w:rsidR="00104415" w:rsidRPr="00071086" w:rsidRDefault="00104415" w:rsidP="00104415">
            <w:pPr>
              <w:spacing w:before="100" w:beforeAutospacing="1" w:after="100" w:afterAutospacing="1" w:line="360" w:lineRule="auto"/>
              <w:rPr>
                <w:rFonts w:asciiTheme="majorHAnsi" w:hAnsiTheme="majorHAnsi" w:cstheme="majorHAnsi"/>
                <w:bCs/>
                <w:sz w:val="18"/>
                <w:szCs w:val="18"/>
                <w:lang w:val="en-GB"/>
              </w:rPr>
            </w:pPr>
            <w:r w:rsidRPr="00071086">
              <w:rPr>
                <w:rFonts w:asciiTheme="majorHAnsi" w:hAnsiTheme="majorHAnsi" w:cstheme="majorHAnsi"/>
                <w:bCs/>
                <w:sz w:val="18"/>
                <w:szCs w:val="18"/>
                <w:lang w:val="en-GB"/>
              </w:rPr>
              <w:t>3</w:t>
            </w:r>
          </w:p>
        </w:tc>
        <w:tc>
          <w:tcPr>
            <w:tcW w:w="1374" w:type="dxa"/>
          </w:tcPr>
          <w:p w14:paraId="4874EB57" w14:textId="77777777" w:rsidR="00104415" w:rsidRPr="00071086" w:rsidRDefault="00104415" w:rsidP="00104415">
            <w:pPr>
              <w:spacing w:before="100" w:beforeAutospacing="1" w:after="100" w:afterAutospacing="1" w:line="360" w:lineRule="auto"/>
              <w:rPr>
                <w:rFonts w:asciiTheme="majorHAnsi" w:hAnsiTheme="majorHAnsi" w:cstheme="majorHAnsi"/>
                <w:bCs/>
                <w:sz w:val="18"/>
                <w:szCs w:val="18"/>
                <w:lang w:val="en-GB"/>
              </w:rPr>
            </w:pPr>
            <w:r w:rsidRPr="00071086">
              <w:rPr>
                <w:rFonts w:asciiTheme="majorHAnsi" w:hAnsiTheme="majorHAnsi" w:cstheme="majorHAnsi"/>
                <w:bCs/>
                <w:sz w:val="18"/>
                <w:szCs w:val="18"/>
                <w:lang w:val="en-GB"/>
              </w:rPr>
              <w:t>11</w:t>
            </w:r>
          </w:p>
        </w:tc>
        <w:tc>
          <w:tcPr>
            <w:tcW w:w="922" w:type="dxa"/>
          </w:tcPr>
          <w:p w14:paraId="487539AD" w14:textId="77777777" w:rsidR="00104415" w:rsidRPr="00071086" w:rsidRDefault="00104415" w:rsidP="00104415">
            <w:pPr>
              <w:spacing w:before="100" w:beforeAutospacing="1" w:after="100" w:afterAutospacing="1" w:line="360" w:lineRule="auto"/>
              <w:rPr>
                <w:rFonts w:asciiTheme="majorHAnsi" w:hAnsiTheme="majorHAnsi" w:cstheme="majorHAnsi"/>
                <w:bCs/>
                <w:sz w:val="18"/>
                <w:szCs w:val="18"/>
                <w:lang w:val="en-GB"/>
              </w:rPr>
            </w:pPr>
            <w:r w:rsidRPr="00071086">
              <w:rPr>
                <w:rFonts w:asciiTheme="majorHAnsi" w:hAnsiTheme="majorHAnsi" w:cstheme="majorHAnsi"/>
                <w:bCs/>
                <w:sz w:val="18"/>
                <w:szCs w:val="18"/>
                <w:lang w:val="en-GB"/>
              </w:rPr>
              <w:t>2/3</w:t>
            </w:r>
          </w:p>
        </w:tc>
        <w:tc>
          <w:tcPr>
            <w:tcW w:w="1673" w:type="dxa"/>
          </w:tcPr>
          <w:p w14:paraId="54329037" w14:textId="77777777" w:rsidR="00104415" w:rsidRPr="00071086" w:rsidRDefault="00104415" w:rsidP="00104415">
            <w:pPr>
              <w:spacing w:before="100" w:beforeAutospacing="1" w:after="100" w:afterAutospacing="1" w:line="360" w:lineRule="auto"/>
              <w:rPr>
                <w:rFonts w:asciiTheme="majorHAnsi" w:hAnsiTheme="majorHAnsi" w:cstheme="majorHAnsi"/>
                <w:bCs/>
                <w:sz w:val="18"/>
                <w:szCs w:val="18"/>
                <w:lang w:val="en-GB"/>
              </w:rPr>
            </w:pPr>
            <w:r w:rsidRPr="00071086">
              <w:rPr>
                <w:rFonts w:asciiTheme="majorHAnsi" w:hAnsiTheme="majorHAnsi" w:cstheme="majorHAnsi"/>
                <w:bCs/>
                <w:sz w:val="18"/>
                <w:szCs w:val="18"/>
                <w:lang w:val="en-GB"/>
              </w:rPr>
              <w:t>13/14</w:t>
            </w:r>
          </w:p>
        </w:tc>
      </w:tr>
      <w:tr w:rsidR="00104415" w:rsidRPr="00071086" w14:paraId="7AD299AF" w14:textId="77777777" w:rsidTr="00104415">
        <w:tc>
          <w:tcPr>
            <w:tcW w:w="1116" w:type="dxa"/>
          </w:tcPr>
          <w:p w14:paraId="7675F01A" w14:textId="77777777" w:rsidR="00104415" w:rsidRPr="00071086" w:rsidRDefault="00104415" w:rsidP="00104415">
            <w:pPr>
              <w:spacing w:before="100" w:beforeAutospacing="1" w:after="100" w:afterAutospacing="1" w:line="360" w:lineRule="auto"/>
              <w:rPr>
                <w:rFonts w:asciiTheme="majorHAnsi" w:hAnsiTheme="majorHAnsi" w:cstheme="majorHAnsi"/>
                <w:bCs/>
                <w:sz w:val="18"/>
                <w:szCs w:val="18"/>
                <w:lang w:val="en-GB"/>
              </w:rPr>
            </w:pPr>
            <w:r w:rsidRPr="00071086">
              <w:rPr>
                <w:rFonts w:asciiTheme="majorHAnsi" w:hAnsiTheme="majorHAnsi" w:cstheme="majorHAnsi"/>
                <w:bCs/>
                <w:sz w:val="18"/>
                <w:szCs w:val="18"/>
                <w:lang w:val="en-GB"/>
              </w:rPr>
              <w:t>Cambodia</w:t>
            </w:r>
          </w:p>
        </w:tc>
        <w:tc>
          <w:tcPr>
            <w:tcW w:w="1431" w:type="dxa"/>
          </w:tcPr>
          <w:p w14:paraId="2588FD99" w14:textId="77777777" w:rsidR="00104415" w:rsidRPr="00071086" w:rsidRDefault="00104415" w:rsidP="00104415">
            <w:pPr>
              <w:spacing w:before="100" w:beforeAutospacing="1" w:after="100" w:afterAutospacing="1" w:line="360" w:lineRule="auto"/>
              <w:rPr>
                <w:rFonts w:asciiTheme="majorHAnsi" w:hAnsiTheme="majorHAnsi" w:cstheme="majorHAnsi"/>
                <w:bCs/>
                <w:sz w:val="18"/>
                <w:szCs w:val="18"/>
                <w:lang w:val="en-GB"/>
              </w:rPr>
            </w:pPr>
            <w:r w:rsidRPr="00071086">
              <w:rPr>
                <w:rFonts w:asciiTheme="majorHAnsi" w:hAnsiTheme="majorHAnsi" w:cstheme="majorHAnsi"/>
                <w:bCs/>
                <w:sz w:val="18"/>
                <w:szCs w:val="18"/>
                <w:lang w:val="en-GB"/>
              </w:rPr>
              <w:t>6</w:t>
            </w:r>
          </w:p>
        </w:tc>
        <w:tc>
          <w:tcPr>
            <w:tcW w:w="1134" w:type="dxa"/>
          </w:tcPr>
          <w:p w14:paraId="47E8B5A1" w14:textId="085D492E" w:rsidR="00104415" w:rsidRPr="00071086" w:rsidRDefault="00104415" w:rsidP="00104415">
            <w:pPr>
              <w:spacing w:before="100" w:beforeAutospacing="1" w:after="100" w:afterAutospacing="1" w:line="360" w:lineRule="auto"/>
              <w:rPr>
                <w:rFonts w:asciiTheme="majorHAnsi" w:hAnsiTheme="majorHAnsi" w:cstheme="majorHAnsi"/>
                <w:bCs/>
                <w:sz w:val="18"/>
                <w:szCs w:val="18"/>
                <w:lang w:val="en-GB"/>
              </w:rPr>
            </w:pPr>
            <w:r w:rsidRPr="00071086">
              <w:rPr>
                <w:rFonts w:asciiTheme="majorHAnsi" w:hAnsiTheme="majorHAnsi" w:cstheme="majorHAnsi"/>
                <w:bCs/>
                <w:sz w:val="18"/>
                <w:szCs w:val="18"/>
                <w:lang w:val="en-GB"/>
              </w:rPr>
              <w:t>3</w:t>
            </w:r>
          </w:p>
        </w:tc>
        <w:tc>
          <w:tcPr>
            <w:tcW w:w="1134" w:type="dxa"/>
          </w:tcPr>
          <w:p w14:paraId="2207130D" w14:textId="77777777" w:rsidR="00104415" w:rsidRPr="00071086" w:rsidRDefault="00104415" w:rsidP="00104415">
            <w:pPr>
              <w:spacing w:before="100" w:beforeAutospacing="1" w:after="100" w:afterAutospacing="1" w:line="360" w:lineRule="auto"/>
              <w:rPr>
                <w:rFonts w:asciiTheme="majorHAnsi" w:hAnsiTheme="majorHAnsi" w:cstheme="majorHAnsi"/>
                <w:bCs/>
                <w:sz w:val="18"/>
                <w:szCs w:val="18"/>
                <w:lang w:val="en-GB"/>
              </w:rPr>
            </w:pPr>
            <w:r w:rsidRPr="00071086">
              <w:rPr>
                <w:rFonts w:asciiTheme="majorHAnsi" w:hAnsiTheme="majorHAnsi" w:cstheme="majorHAnsi"/>
                <w:bCs/>
                <w:sz w:val="18"/>
                <w:szCs w:val="18"/>
                <w:lang w:val="en-GB"/>
              </w:rPr>
              <w:t>3</w:t>
            </w:r>
          </w:p>
        </w:tc>
        <w:tc>
          <w:tcPr>
            <w:tcW w:w="1374" w:type="dxa"/>
          </w:tcPr>
          <w:p w14:paraId="04729A8A" w14:textId="77777777" w:rsidR="00104415" w:rsidRPr="00071086" w:rsidRDefault="00104415" w:rsidP="00104415">
            <w:pPr>
              <w:spacing w:before="100" w:beforeAutospacing="1" w:after="100" w:afterAutospacing="1" w:line="360" w:lineRule="auto"/>
              <w:rPr>
                <w:rFonts w:asciiTheme="majorHAnsi" w:hAnsiTheme="majorHAnsi" w:cstheme="majorHAnsi"/>
                <w:bCs/>
                <w:sz w:val="18"/>
                <w:szCs w:val="18"/>
                <w:lang w:val="en-GB"/>
              </w:rPr>
            </w:pPr>
            <w:r w:rsidRPr="00071086">
              <w:rPr>
                <w:rFonts w:asciiTheme="majorHAnsi" w:hAnsiTheme="majorHAnsi" w:cstheme="majorHAnsi"/>
                <w:bCs/>
                <w:sz w:val="18"/>
                <w:szCs w:val="18"/>
                <w:lang w:val="en-GB"/>
              </w:rPr>
              <w:t>12</w:t>
            </w:r>
          </w:p>
        </w:tc>
        <w:tc>
          <w:tcPr>
            <w:tcW w:w="922" w:type="dxa"/>
          </w:tcPr>
          <w:p w14:paraId="3B9F582E" w14:textId="77777777" w:rsidR="00104415" w:rsidRPr="00071086" w:rsidRDefault="00104415" w:rsidP="00104415">
            <w:pPr>
              <w:spacing w:before="100" w:beforeAutospacing="1" w:after="100" w:afterAutospacing="1" w:line="360" w:lineRule="auto"/>
              <w:rPr>
                <w:rFonts w:asciiTheme="majorHAnsi" w:hAnsiTheme="majorHAnsi" w:cstheme="majorHAnsi"/>
                <w:bCs/>
                <w:sz w:val="18"/>
                <w:szCs w:val="18"/>
                <w:lang w:val="en-GB"/>
              </w:rPr>
            </w:pPr>
            <w:r w:rsidRPr="00071086">
              <w:rPr>
                <w:rFonts w:asciiTheme="majorHAnsi" w:hAnsiTheme="majorHAnsi" w:cstheme="majorHAnsi"/>
                <w:bCs/>
                <w:sz w:val="18"/>
                <w:szCs w:val="18"/>
                <w:lang w:val="en-GB"/>
              </w:rPr>
              <w:t>1*</w:t>
            </w:r>
          </w:p>
        </w:tc>
        <w:tc>
          <w:tcPr>
            <w:tcW w:w="1673" w:type="dxa"/>
          </w:tcPr>
          <w:p w14:paraId="6B06B174" w14:textId="77777777" w:rsidR="00104415" w:rsidRPr="00071086" w:rsidRDefault="00104415" w:rsidP="00104415">
            <w:pPr>
              <w:spacing w:before="100" w:beforeAutospacing="1" w:after="100" w:afterAutospacing="1" w:line="360" w:lineRule="auto"/>
              <w:rPr>
                <w:rFonts w:asciiTheme="majorHAnsi" w:hAnsiTheme="majorHAnsi" w:cstheme="majorHAnsi"/>
                <w:bCs/>
                <w:sz w:val="18"/>
                <w:szCs w:val="18"/>
                <w:lang w:val="en-GB"/>
              </w:rPr>
            </w:pPr>
            <w:r w:rsidRPr="00071086">
              <w:rPr>
                <w:rFonts w:asciiTheme="majorHAnsi" w:hAnsiTheme="majorHAnsi" w:cstheme="majorHAnsi"/>
                <w:bCs/>
                <w:sz w:val="18"/>
                <w:szCs w:val="18"/>
                <w:lang w:val="en-GB"/>
              </w:rPr>
              <w:t>13</w:t>
            </w:r>
          </w:p>
        </w:tc>
      </w:tr>
      <w:tr w:rsidR="00104415" w:rsidRPr="00071086" w14:paraId="5516A5FE" w14:textId="77777777" w:rsidTr="00104415">
        <w:tc>
          <w:tcPr>
            <w:tcW w:w="1116" w:type="dxa"/>
          </w:tcPr>
          <w:p w14:paraId="7C5EDA2A" w14:textId="77777777" w:rsidR="00104415" w:rsidRPr="00071086" w:rsidRDefault="00104415" w:rsidP="00104415">
            <w:pPr>
              <w:spacing w:before="100" w:beforeAutospacing="1" w:after="100" w:afterAutospacing="1" w:line="360" w:lineRule="auto"/>
              <w:rPr>
                <w:rFonts w:asciiTheme="majorHAnsi" w:hAnsiTheme="majorHAnsi" w:cstheme="majorHAnsi"/>
                <w:bCs/>
                <w:sz w:val="18"/>
                <w:szCs w:val="18"/>
                <w:lang w:val="en-GB"/>
              </w:rPr>
            </w:pPr>
            <w:r w:rsidRPr="00071086">
              <w:rPr>
                <w:rFonts w:asciiTheme="majorHAnsi" w:hAnsiTheme="majorHAnsi" w:cstheme="majorHAnsi"/>
                <w:bCs/>
                <w:sz w:val="18"/>
                <w:szCs w:val="18"/>
                <w:lang w:val="en-GB"/>
              </w:rPr>
              <w:t>Indonesia</w:t>
            </w:r>
          </w:p>
        </w:tc>
        <w:tc>
          <w:tcPr>
            <w:tcW w:w="1431" w:type="dxa"/>
          </w:tcPr>
          <w:p w14:paraId="5DE46661" w14:textId="77777777" w:rsidR="00104415" w:rsidRPr="00071086" w:rsidRDefault="00104415" w:rsidP="00104415">
            <w:pPr>
              <w:spacing w:before="100" w:beforeAutospacing="1" w:after="100" w:afterAutospacing="1" w:line="360" w:lineRule="auto"/>
              <w:rPr>
                <w:rFonts w:asciiTheme="majorHAnsi" w:hAnsiTheme="majorHAnsi" w:cstheme="majorHAnsi"/>
                <w:bCs/>
                <w:sz w:val="18"/>
                <w:szCs w:val="18"/>
                <w:lang w:val="en-GB"/>
              </w:rPr>
            </w:pPr>
            <w:r w:rsidRPr="00071086">
              <w:rPr>
                <w:rFonts w:asciiTheme="majorHAnsi" w:hAnsiTheme="majorHAnsi" w:cstheme="majorHAnsi"/>
                <w:bCs/>
                <w:sz w:val="18"/>
                <w:szCs w:val="18"/>
                <w:lang w:val="en-GB"/>
              </w:rPr>
              <w:t>6</w:t>
            </w:r>
          </w:p>
        </w:tc>
        <w:tc>
          <w:tcPr>
            <w:tcW w:w="1134" w:type="dxa"/>
          </w:tcPr>
          <w:p w14:paraId="63FECBF9" w14:textId="7DCD2AE5" w:rsidR="00104415" w:rsidRPr="00071086" w:rsidRDefault="00104415" w:rsidP="00104415">
            <w:pPr>
              <w:spacing w:before="100" w:beforeAutospacing="1" w:after="100" w:afterAutospacing="1" w:line="360" w:lineRule="auto"/>
              <w:rPr>
                <w:rFonts w:asciiTheme="majorHAnsi" w:hAnsiTheme="majorHAnsi" w:cstheme="majorHAnsi"/>
                <w:bCs/>
                <w:sz w:val="18"/>
                <w:szCs w:val="18"/>
                <w:lang w:val="en-GB"/>
              </w:rPr>
            </w:pPr>
            <w:r w:rsidRPr="00071086">
              <w:rPr>
                <w:rFonts w:asciiTheme="majorHAnsi" w:hAnsiTheme="majorHAnsi" w:cstheme="majorHAnsi"/>
                <w:bCs/>
                <w:sz w:val="18"/>
                <w:szCs w:val="18"/>
                <w:lang w:val="en-GB"/>
              </w:rPr>
              <w:t>3</w:t>
            </w:r>
          </w:p>
        </w:tc>
        <w:tc>
          <w:tcPr>
            <w:tcW w:w="1134" w:type="dxa"/>
          </w:tcPr>
          <w:p w14:paraId="7B30A611" w14:textId="77777777" w:rsidR="00104415" w:rsidRPr="00071086" w:rsidRDefault="00104415" w:rsidP="00104415">
            <w:pPr>
              <w:spacing w:before="100" w:beforeAutospacing="1" w:after="100" w:afterAutospacing="1" w:line="360" w:lineRule="auto"/>
              <w:rPr>
                <w:rFonts w:asciiTheme="majorHAnsi" w:hAnsiTheme="majorHAnsi" w:cstheme="majorHAnsi"/>
                <w:bCs/>
                <w:sz w:val="18"/>
                <w:szCs w:val="18"/>
                <w:lang w:val="en-GB"/>
              </w:rPr>
            </w:pPr>
            <w:r w:rsidRPr="00071086">
              <w:rPr>
                <w:rFonts w:asciiTheme="majorHAnsi" w:hAnsiTheme="majorHAnsi" w:cstheme="majorHAnsi"/>
                <w:bCs/>
                <w:sz w:val="18"/>
                <w:szCs w:val="18"/>
                <w:lang w:val="en-GB"/>
              </w:rPr>
              <w:t>3</w:t>
            </w:r>
          </w:p>
        </w:tc>
        <w:tc>
          <w:tcPr>
            <w:tcW w:w="1374" w:type="dxa"/>
          </w:tcPr>
          <w:p w14:paraId="145FCA59" w14:textId="77777777" w:rsidR="00104415" w:rsidRPr="00071086" w:rsidRDefault="00104415" w:rsidP="00104415">
            <w:pPr>
              <w:spacing w:before="100" w:beforeAutospacing="1" w:after="100" w:afterAutospacing="1" w:line="360" w:lineRule="auto"/>
              <w:rPr>
                <w:rFonts w:asciiTheme="majorHAnsi" w:hAnsiTheme="majorHAnsi" w:cstheme="majorHAnsi"/>
                <w:bCs/>
                <w:sz w:val="18"/>
                <w:szCs w:val="18"/>
                <w:lang w:val="en-GB"/>
              </w:rPr>
            </w:pPr>
            <w:r w:rsidRPr="00071086">
              <w:rPr>
                <w:rFonts w:asciiTheme="majorHAnsi" w:hAnsiTheme="majorHAnsi" w:cstheme="majorHAnsi"/>
                <w:bCs/>
                <w:sz w:val="18"/>
                <w:szCs w:val="18"/>
                <w:lang w:val="en-GB"/>
              </w:rPr>
              <w:t>11</w:t>
            </w:r>
          </w:p>
        </w:tc>
        <w:tc>
          <w:tcPr>
            <w:tcW w:w="922" w:type="dxa"/>
          </w:tcPr>
          <w:p w14:paraId="39E268A9" w14:textId="77777777" w:rsidR="00104415" w:rsidRPr="00071086" w:rsidRDefault="00104415" w:rsidP="00104415">
            <w:pPr>
              <w:spacing w:before="100" w:beforeAutospacing="1" w:after="100" w:afterAutospacing="1" w:line="360" w:lineRule="auto"/>
              <w:rPr>
                <w:rFonts w:asciiTheme="majorHAnsi" w:hAnsiTheme="majorHAnsi" w:cstheme="majorHAnsi"/>
                <w:bCs/>
                <w:sz w:val="18"/>
                <w:szCs w:val="18"/>
                <w:lang w:val="en-GB"/>
              </w:rPr>
            </w:pPr>
            <w:r w:rsidRPr="00071086">
              <w:rPr>
                <w:rFonts w:asciiTheme="majorHAnsi" w:hAnsiTheme="majorHAnsi" w:cstheme="majorHAnsi"/>
                <w:bCs/>
                <w:sz w:val="18"/>
                <w:szCs w:val="18"/>
                <w:lang w:val="en-GB"/>
              </w:rPr>
              <w:t>2*</w:t>
            </w:r>
          </w:p>
        </w:tc>
        <w:tc>
          <w:tcPr>
            <w:tcW w:w="1673" w:type="dxa"/>
          </w:tcPr>
          <w:p w14:paraId="3DD5FB4E" w14:textId="77777777" w:rsidR="00104415" w:rsidRPr="00071086" w:rsidRDefault="00104415" w:rsidP="00104415">
            <w:pPr>
              <w:spacing w:before="100" w:beforeAutospacing="1" w:after="100" w:afterAutospacing="1" w:line="360" w:lineRule="auto"/>
              <w:rPr>
                <w:rFonts w:asciiTheme="majorHAnsi" w:hAnsiTheme="majorHAnsi" w:cstheme="majorHAnsi"/>
                <w:bCs/>
                <w:sz w:val="18"/>
                <w:szCs w:val="18"/>
                <w:lang w:val="en-GB"/>
              </w:rPr>
            </w:pPr>
            <w:r w:rsidRPr="00071086">
              <w:rPr>
                <w:rFonts w:asciiTheme="majorHAnsi" w:hAnsiTheme="majorHAnsi" w:cstheme="majorHAnsi"/>
                <w:bCs/>
                <w:sz w:val="18"/>
                <w:szCs w:val="18"/>
                <w:lang w:val="en-GB"/>
              </w:rPr>
              <w:t>13</w:t>
            </w:r>
          </w:p>
        </w:tc>
      </w:tr>
      <w:tr w:rsidR="00104415" w:rsidRPr="00071086" w14:paraId="1452657C" w14:textId="77777777" w:rsidTr="00104415">
        <w:tc>
          <w:tcPr>
            <w:tcW w:w="1116" w:type="dxa"/>
          </w:tcPr>
          <w:p w14:paraId="60EAE620" w14:textId="77777777" w:rsidR="00104415" w:rsidRPr="00071086" w:rsidRDefault="00104415" w:rsidP="00104415">
            <w:pPr>
              <w:spacing w:before="100" w:beforeAutospacing="1" w:after="100" w:afterAutospacing="1" w:line="360" w:lineRule="auto"/>
              <w:rPr>
                <w:rFonts w:asciiTheme="majorHAnsi" w:hAnsiTheme="majorHAnsi" w:cstheme="majorHAnsi"/>
                <w:bCs/>
                <w:sz w:val="18"/>
                <w:szCs w:val="18"/>
                <w:lang w:val="en-GB"/>
              </w:rPr>
            </w:pPr>
            <w:r w:rsidRPr="00071086">
              <w:rPr>
                <w:rFonts w:asciiTheme="majorHAnsi" w:hAnsiTheme="majorHAnsi" w:cstheme="majorHAnsi"/>
                <w:bCs/>
                <w:sz w:val="18"/>
                <w:szCs w:val="18"/>
                <w:lang w:val="en-GB"/>
              </w:rPr>
              <w:t>Lao PDR</w:t>
            </w:r>
          </w:p>
        </w:tc>
        <w:tc>
          <w:tcPr>
            <w:tcW w:w="1431" w:type="dxa"/>
          </w:tcPr>
          <w:p w14:paraId="2E8B4633" w14:textId="77777777" w:rsidR="00104415" w:rsidRPr="00071086" w:rsidRDefault="00104415" w:rsidP="00104415">
            <w:pPr>
              <w:spacing w:before="100" w:beforeAutospacing="1" w:after="100" w:afterAutospacing="1" w:line="360" w:lineRule="auto"/>
              <w:rPr>
                <w:rFonts w:asciiTheme="majorHAnsi" w:hAnsiTheme="majorHAnsi" w:cstheme="majorHAnsi"/>
                <w:bCs/>
                <w:sz w:val="18"/>
                <w:szCs w:val="18"/>
                <w:lang w:val="en-GB"/>
              </w:rPr>
            </w:pPr>
            <w:r w:rsidRPr="00071086">
              <w:rPr>
                <w:rFonts w:asciiTheme="majorHAnsi" w:hAnsiTheme="majorHAnsi" w:cstheme="majorHAnsi"/>
                <w:bCs/>
                <w:sz w:val="18"/>
                <w:szCs w:val="18"/>
                <w:lang w:val="en-GB"/>
              </w:rPr>
              <w:t>5</w:t>
            </w:r>
          </w:p>
        </w:tc>
        <w:tc>
          <w:tcPr>
            <w:tcW w:w="1134" w:type="dxa"/>
          </w:tcPr>
          <w:p w14:paraId="2217A3A3" w14:textId="42F39471" w:rsidR="00104415" w:rsidRPr="00071086" w:rsidRDefault="00104415" w:rsidP="00104415">
            <w:pPr>
              <w:spacing w:before="100" w:beforeAutospacing="1" w:after="100" w:afterAutospacing="1" w:line="360" w:lineRule="auto"/>
              <w:rPr>
                <w:rFonts w:asciiTheme="majorHAnsi" w:hAnsiTheme="majorHAnsi" w:cstheme="majorHAnsi"/>
                <w:bCs/>
                <w:sz w:val="18"/>
                <w:szCs w:val="18"/>
                <w:lang w:val="en-GB"/>
              </w:rPr>
            </w:pPr>
            <w:r w:rsidRPr="00071086">
              <w:rPr>
                <w:rFonts w:asciiTheme="majorHAnsi" w:hAnsiTheme="majorHAnsi" w:cstheme="majorHAnsi"/>
                <w:bCs/>
                <w:sz w:val="18"/>
                <w:szCs w:val="18"/>
                <w:lang w:val="en-GB"/>
              </w:rPr>
              <w:t>3</w:t>
            </w:r>
          </w:p>
        </w:tc>
        <w:tc>
          <w:tcPr>
            <w:tcW w:w="1134" w:type="dxa"/>
          </w:tcPr>
          <w:p w14:paraId="0FAB38FA" w14:textId="77777777" w:rsidR="00104415" w:rsidRPr="00071086" w:rsidRDefault="00104415" w:rsidP="00104415">
            <w:pPr>
              <w:spacing w:before="100" w:beforeAutospacing="1" w:after="100" w:afterAutospacing="1" w:line="360" w:lineRule="auto"/>
              <w:rPr>
                <w:rFonts w:asciiTheme="majorHAnsi" w:hAnsiTheme="majorHAnsi" w:cstheme="majorHAnsi"/>
                <w:bCs/>
                <w:sz w:val="18"/>
                <w:szCs w:val="18"/>
                <w:lang w:val="en-GB"/>
              </w:rPr>
            </w:pPr>
            <w:r w:rsidRPr="00071086">
              <w:rPr>
                <w:rFonts w:asciiTheme="majorHAnsi" w:hAnsiTheme="majorHAnsi" w:cstheme="majorHAnsi"/>
                <w:bCs/>
                <w:sz w:val="18"/>
                <w:szCs w:val="18"/>
                <w:lang w:val="en-GB"/>
              </w:rPr>
              <w:t>3</w:t>
            </w:r>
          </w:p>
        </w:tc>
        <w:tc>
          <w:tcPr>
            <w:tcW w:w="1374" w:type="dxa"/>
          </w:tcPr>
          <w:p w14:paraId="36B5879E" w14:textId="77777777" w:rsidR="00104415" w:rsidRPr="00071086" w:rsidRDefault="00104415" w:rsidP="00104415">
            <w:pPr>
              <w:spacing w:before="100" w:beforeAutospacing="1" w:after="100" w:afterAutospacing="1" w:line="360" w:lineRule="auto"/>
              <w:rPr>
                <w:rFonts w:asciiTheme="majorHAnsi" w:hAnsiTheme="majorHAnsi" w:cstheme="majorHAnsi"/>
                <w:bCs/>
                <w:sz w:val="18"/>
                <w:szCs w:val="18"/>
                <w:lang w:val="en-GB"/>
              </w:rPr>
            </w:pPr>
            <w:r w:rsidRPr="00071086">
              <w:rPr>
                <w:rFonts w:asciiTheme="majorHAnsi" w:hAnsiTheme="majorHAnsi" w:cstheme="majorHAnsi"/>
                <w:bCs/>
                <w:sz w:val="18"/>
                <w:szCs w:val="18"/>
                <w:lang w:val="en-GB"/>
              </w:rPr>
              <w:t>11</w:t>
            </w:r>
          </w:p>
        </w:tc>
        <w:tc>
          <w:tcPr>
            <w:tcW w:w="922" w:type="dxa"/>
          </w:tcPr>
          <w:p w14:paraId="6D208619" w14:textId="77777777" w:rsidR="00104415" w:rsidRPr="00071086" w:rsidRDefault="00104415" w:rsidP="00104415">
            <w:pPr>
              <w:spacing w:before="100" w:beforeAutospacing="1" w:after="100" w:afterAutospacing="1" w:line="360" w:lineRule="auto"/>
              <w:rPr>
                <w:rFonts w:asciiTheme="majorHAnsi" w:hAnsiTheme="majorHAnsi" w:cstheme="majorHAnsi"/>
                <w:bCs/>
                <w:sz w:val="18"/>
                <w:szCs w:val="18"/>
                <w:lang w:val="en-GB"/>
              </w:rPr>
            </w:pPr>
            <w:r w:rsidRPr="00071086">
              <w:rPr>
                <w:rFonts w:asciiTheme="majorHAnsi" w:hAnsiTheme="majorHAnsi" w:cstheme="majorHAnsi"/>
                <w:bCs/>
                <w:sz w:val="18"/>
                <w:szCs w:val="18"/>
                <w:lang w:val="en-GB"/>
              </w:rPr>
              <w:t>1/3</w:t>
            </w:r>
          </w:p>
        </w:tc>
        <w:tc>
          <w:tcPr>
            <w:tcW w:w="1673" w:type="dxa"/>
          </w:tcPr>
          <w:p w14:paraId="13C554C9" w14:textId="77777777" w:rsidR="00104415" w:rsidRPr="00071086" w:rsidRDefault="00104415" w:rsidP="00104415">
            <w:pPr>
              <w:spacing w:before="100" w:beforeAutospacing="1" w:after="100" w:afterAutospacing="1" w:line="360" w:lineRule="auto"/>
              <w:rPr>
                <w:rFonts w:asciiTheme="majorHAnsi" w:hAnsiTheme="majorHAnsi" w:cstheme="majorHAnsi"/>
                <w:bCs/>
                <w:sz w:val="18"/>
                <w:szCs w:val="18"/>
                <w:lang w:val="en-GB"/>
              </w:rPr>
            </w:pPr>
            <w:r w:rsidRPr="00071086">
              <w:rPr>
                <w:rFonts w:asciiTheme="majorHAnsi" w:hAnsiTheme="majorHAnsi" w:cstheme="majorHAnsi"/>
                <w:bCs/>
                <w:sz w:val="18"/>
                <w:szCs w:val="18"/>
                <w:lang w:val="en-GB"/>
              </w:rPr>
              <w:t>13/14</w:t>
            </w:r>
          </w:p>
        </w:tc>
      </w:tr>
      <w:tr w:rsidR="00104415" w:rsidRPr="00071086" w14:paraId="0715ADA5" w14:textId="77777777" w:rsidTr="00104415">
        <w:tc>
          <w:tcPr>
            <w:tcW w:w="1116" w:type="dxa"/>
          </w:tcPr>
          <w:p w14:paraId="380BFDF2" w14:textId="77777777" w:rsidR="00104415" w:rsidRPr="00071086" w:rsidRDefault="00104415" w:rsidP="00104415">
            <w:pPr>
              <w:spacing w:before="100" w:beforeAutospacing="1" w:after="100" w:afterAutospacing="1" w:line="360" w:lineRule="auto"/>
              <w:rPr>
                <w:rFonts w:asciiTheme="majorHAnsi" w:hAnsiTheme="majorHAnsi" w:cstheme="majorHAnsi"/>
                <w:bCs/>
                <w:sz w:val="18"/>
                <w:szCs w:val="18"/>
                <w:lang w:val="en-GB"/>
              </w:rPr>
            </w:pPr>
            <w:r w:rsidRPr="00071086">
              <w:rPr>
                <w:rFonts w:asciiTheme="majorHAnsi" w:hAnsiTheme="majorHAnsi" w:cstheme="majorHAnsi"/>
                <w:bCs/>
                <w:sz w:val="18"/>
                <w:szCs w:val="18"/>
                <w:lang w:val="en-GB"/>
              </w:rPr>
              <w:t>Myanmar</w:t>
            </w:r>
          </w:p>
        </w:tc>
        <w:tc>
          <w:tcPr>
            <w:tcW w:w="1431" w:type="dxa"/>
          </w:tcPr>
          <w:p w14:paraId="3F19F3B9" w14:textId="77777777" w:rsidR="00104415" w:rsidRPr="00071086" w:rsidRDefault="00104415" w:rsidP="00104415">
            <w:pPr>
              <w:spacing w:before="100" w:beforeAutospacing="1" w:after="100" w:afterAutospacing="1" w:line="360" w:lineRule="auto"/>
              <w:rPr>
                <w:rFonts w:asciiTheme="majorHAnsi" w:hAnsiTheme="majorHAnsi" w:cstheme="majorHAnsi"/>
                <w:bCs/>
                <w:sz w:val="18"/>
                <w:szCs w:val="18"/>
                <w:lang w:val="en-GB"/>
              </w:rPr>
            </w:pPr>
            <w:r w:rsidRPr="00071086">
              <w:rPr>
                <w:rFonts w:asciiTheme="majorHAnsi" w:hAnsiTheme="majorHAnsi" w:cstheme="majorHAnsi"/>
                <w:bCs/>
                <w:sz w:val="18"/>
                <w:szCs w:val="18"/>
                <w:lang w:val="en-GB"/>
              </w:rPr>
              <w:t>5</w:t>
            </w:r>
          </w:p>
        </w:tc>
        <w:tc>
          <w:tcPr>
            <w:tcW w:w="1134" w:type="dxa"/>
          </w:tcPr>
          <w:p w14:paraId="4557E0F4" w14:textId="159299A1" w:rsidR="00104415" w:rsidRPr="00071086" w:rsidRDefault="00104415" w:rsidP="00104415">
            <w:pPr>
              <w:spacing w:before="100" w:beforeAutospacing="1" w:after="100" w:afterAutospacing="1" w:line="360" w:lineRule="auto"/>
              <w:rPr>
                <w:rFonts w:asciiTheme="majorHAnsi" w:hAnsiTheme="majorHAnsi" w:cstheme="majorHAnsi"/>
                <w:bCs/>
                <w:sz w:val="18"/>
                <w:szCs w:val="18"/>
                <w:lang w:val="en-GB"/>
              </w:rPr>
            </w:pPr>
            <w:r w:rsidRPr="00071086">
              <w:rPr>
                <w:rFonts w:asciiTheme="majorHAnsi" w:hAnsiTheme="majorHAnsi" w:cstheme="majorHAnsi"/>
                <w:bCs/>
                <w:sz w:val="18"/>
                <w:szCs w:val="18"/>
                <w:lang w:val="en-GB"/>
              </w:rPr>
              <w:t>4</w:t>
            </w:r>
          </w:p>
        </w:tc>
        <w:tc>
          <w:tcPr>
            <w:tcW w:w="1134" w:type="dxa"/>
          </w:tcPr>
          <w:p w14:paraId="7D62472D" w14:textId="77777777" w:rsidR="00104415" w:rsidRPr="00071086" w:rsidRDefault="00104415" w:rsidP="00104415">
            <w:pPr>
              <w:spacing w:before="100" w:beforeAutospacing="1" w:after="100" w:afterAutospacing="1" w:line="360" w:lineRule="auto"/>
              <w:rPr>
                <w:rFonts w:asciiTheme="majorHAnsi" w:hAnsiTheme="majorHAnsi" w:cstheme="majorHAnsi"/>
                <w:bCs/>
                <w:sz w:val="18"/>
                <w:szCs w:val="18"/>
                <w:lang w:val="en-GB"/>
              </w:rPr>
            </w:pPr>
            <w:r w:rsidRPr="00071086">
              <w:rPr>
                <w:rFonts w:asciiTheme="majorHAnsi" w:hAnsiTheme="majorHAnsi" w:cstheme="majorHAnsi"/>
                <w:bCs/>
                <w:sz w:val="18"/>
                <w:szCs w:val="18"/>
                <w:lang w:val="en-GB"/>
              </w:rPr>
              <w:t>2</w:t>
            </w:r>
          </w:p>
        </w:tc>
        <w:tc>
          <w:tcPr>
            <w:tcW w:w="1374" w:type="dxa"/>
          </w:tcPr>
          <w:p w14:paraId="3E5191DE" w14:textId="77777777" w:rsidR="00104415" w:rsidRPr="00071086" w:rsidRDefault="00104415" w:rsidP="00104415">
            <w:pPr>
              <w:spacing w:before="100" w:beforeAutospacing="1" w:after="100" w:afterAutospacing="1" w:line="360" w:lineRule="auto"/>
              <w:rPr>
                <w:rFonts w:asciiTheme="majorHAnsi" w:hAnsiTheme="majorHAnsi" w:cstheme="majorHAnsi"/>
                <w:bCs/>
                <w:sz w:val="18"/>
                <w:szCs w:val="18"/>
                <w:lang w:val="en-GB"/>
              </w:rPr>
            </w:pPr>
            <w:r w:rsidRPr="00071086">
              <w:rPr>
                <w:rFonts w:asciiTheme="majorHAnsi" w:hAnsiTheme="majorHAnsi" w:cstheme="majorHAnsi"/>
                <w:bCs/>
                <w:sz w:val="18"/>
                <w:szCs w:val="18"/>
                <w:lang w:val="en-GB"/>
              </w:rPr>
              <w:t>11</w:t>
            </w:r>
          </w:p>
        </w:tc>
        <w:tc>
          <w:tcPr>
            <w:tcW w:w="922" w:type="dxa"/>
          </w:tcPr>
          <w:p w14:paraId="5A55C9B0" w14:textId="77777777" w:rsidR="00104415" w:rsidRPr="00071086" w:rsidRDefault="00104415" w:rsidP="00104415">
            <w:pPr>
              <w:spacing w:before="100" w:beforeAutospacing="1" w:after="100" w:afterAutospacing="1" w:line="360" w:lineRule="auto"/>
              <w:rPr>
                <w:rFonts w:asciiTheme="majorHAnsi" w:hAnsiTheme="majorHAnsi" w:cstheme="majorHAnsi"/>
                <w:bCs/>
                <w:sz w:val="18"/>
                <w:szCs w:val="18"/>
                <w:lang w:val="en-GB"/>
              </w:rPr>
            </w:pPr>
            <w:r w:rsidRPr="00071086">
              <w:rPr>
                <w:rFonts w:asciiTheme="majorHAnsi" w:hAnsiTheme="majorHAnsi" w:cstheme="majorHAnsi"/>
                <w:bCs/>
                <w:sz w:val="18"/>
                <w:szCs w:val="18"/>
                <w:lang w:val="en-GB"/>
              </w:rPr>
              <w:t>1</w:t>
            </w:r>
          </w:p>
        </w:tc>
        <w:tc>
          <w:tcPr>
            <w:tcW w:w="1673" w:type="dxa"/>
          </w:tcPr>
          <w:p w14:paraId="28274F30" w14:textId="77777777" w:rsidR="00104415" w:rsidRPr="00071086" w:rsidRDefault="00104415" w:rsidP="00104415">
            <w:pPr>
              <w:spacing w:before="100" w:beforeAutospacing="1" w:after="100" w:afterAutospacing="1" w:line="360" w:lineRule="auto"/>
              <w:rPr>
                <w:rFonts w:asciiTheme="majorHAnsi" w:hAnsiTheme="majorHAnsi" w:cstheme="majorHAnsi"/>
                <w:bCs/>
                <w:sz w:val="18"/>
                <w:szCs w:val="18"/>
                <w:lang w:val="en-GB"/>
              </w:rPr>
            </w:pPr>
            <w:r w:rsidRPr="00071086">
              <w:rPr>
                <w:rFonts w:asciiTheme="majorHAnsi" w:hAnsiTheme="majorHAnsi" w:cstheme="majorHAnsi"/>
                <w:bCs/>
                <w:sz w:val="18"/>
                <w:szCs w:val="18"/>
                <w:lang w:val="en-GB"/>
              </w:rPr>
              <w:t>12</w:t>
            </w:r>
          </w:p>
        </w:tc>
      </w:tr>
      <w:tr w:rsidR="00104415" w:rsidRPr="00071086" w14:paraId="0F58BD61" w14:textId="77777777" w:rsidTr="00104415">
        <w:tc>
          <w:tcPr>
            <w:tcW w:w="1116" w:type="dxa"/>
          </w:tcPr>
          <w:p w14:paraId="65B3582C" w14:textId="77777777" w:rsidR="00104415" w:rsidRPr="00071086" w:rsidRDefault="00104415" w:rsidP="00104415">
            <w:pPr>
              <w:spacing w:before="100" w:beforeAutospacing="1" w:after="100" w:afterAutospacing="1" w:line="360" w:lineRule="auto"/>
              <w:rPr>
                <w:rFonts w:asciiTheme="majorHAnsi" w:hAnsiTheme="majorHAnsi" w:cstheme="majorHAnsi"/>
                <w:b/>
                <w:sz w:val="18"/>
                <w:szCs w:val="18"/>
                <w:lang w:val="en-GB"/>
              </w:rPr>
            </w:pPr>
            <w:r w:rsidRPr="00071086">
              <w:rPr>
                <w:rFonts w:asciiTheme="majorHAnsi" w:hAnsiTheme="majorHAnsi" w:cstheme="majorHAnsi"/>
                <w:b/>
                <w:sz w:val="18"/>
                <w:szCs w:val="18"/>
                <w:lang w:val="en-GB"/>
              </w:rPr>
              <w:t>Philippines</w:t>
            </w:r>
          </w:p>
        </w:tc>
        <w:tc>
          <w:tcPr>
            <w:tcW w:w="1431" w:type="dxa"/>
          </w:tcPr>
          <w:p w14:paraId="2C4A89E5" w14:textId="77777777" w:rsidR="00104415" w:rsidRPr="00071086" w:rsidRDefault="00104415" w:rsidP="00104415">
            <w:pPr>
              <w:spacing w:before="100" w:beforeAutospacing="1" w:after="100" w:afterAutospacing="1" w:line="360" w:lineRule="auto"/>
              <w:rPr>
                <w:rFonts w:asciiTheme="majorHAnsi" w:hAnsiTheme="majorHAnsi" w:cstheme="majorHAnsi"/>
                <w:b/>
                <w:sz w:val="18"/>
                <w:szCs w:val="18"/>
                <w:lang w:val="en-GB"/>
              </w:rPr>
            </w:pPr>
            <w:r w:rsidRPr="00071086">
              <w:rPr>
                <w:rFonts w:asciiTheme="majorHAnsi" w:hAnsiTheme="majorHAnsi" w:cstheme="majorHAnsi"/>
                <w:b/>
                <w:sz w:val="18"/>
                <w:szCs w:val="18"/>
                <w:lang w:val="en-GB"/>
              </w:rPr>
              <w:t>6</w:t>
            </w:r>
          </w:p>
        </w:tc>
        <w:tc>
          <w:tcPr>
            <w:tcW w:w="1134" w:type="dxa"/>
          </w:tcPr>
          <w:p w14:paraId="400CF550" w14:textId="341C8284" w:rsidR="00104415" w:rsidRPr="00071086" w:rsidRDefault="00104415" w:rsidP="00104415">
            <w:pPr>
              <w:spacing w:before="100" w:beforeAutospacing="1" w:after="100" w:afterAutospacing="1" w:line="360" w:lineRule="auto"/>
              <w:rPr>
                <w:rFonts w:asciiTheme="majorHAnsi" w:hAnsiTheme="majorHAnsi" w:cstheme="majorHAnsi"/>
                <w:b/>
                <w:sz w:val="18"/>
                <w:szCs w:val="18"/>
                <w:lang w:val="en-GB"/>
              </w:rPr>
            </w:pPr>
            <w:r w:rsidRPr="00071086">
              <w:rPr>
                <w:rFonts w:asciiTheme="majorHAnsi" w:hAnsiTheme="majorHAnsi" w:cstheme="majorHAnsi"/>
                <w:b/>
                <w:sz w:val="18"/>
                <w:szCs w:val="18"/>
                <w:lang w:val="en-GB"/>
              </w:rPr>
              <w:t>4</w:t>
            </w:r>
          </w:p>
        </w:tc>
        <w:tc>
          <w:tcPr>
            <w:tcW w:w="1134" w:type="dxa"/>
          </w:tcPr>
          <w:p w14:paraId="4298DDF9" w14:textId="6E881032" w:rsidR="00104415" w:rsidRPr="00071086" w:rsidRDefault="00104415" w:rsidP="00104415">
            <w:pPr>
              <w:spacing w:before="100" w:beforeAutospacing="1" w:after="100" w:afterAutospacing="1" w:line="360" w:lineRule="auto"/>
              <w:rPr>
                <w:rFonts w:asciiTheme="majorHAnsi" w:hAnsiTheme="majorHAnsi" w:cstheme="majorHAnsi"/>
                <w:b/>
                <w:sz w:val="18"/>
                <w:szCs w:val="18"/>
                <w:lang w:val="en-GB"/>
              </w:rPr>
            </w:pPr>
          </w:p>
        </w:tc>
        <w:tc>
          <w:tcPr>
            <w:tcW w:w="1374" w:type="dxa"/>
          </w:tcPr>
          <w:p w14:paraId="7D8873BE" w14:textId="77777777" w:rsidR="00104415" w:rsidRPr="00071086" w:rsidRDefault="00104415" w:rsidP="00104415">
            <w:pPr>
              <w:spacing w:before="100" w:beforeAutospacing="1" w:after="100" w:afterAutospacing="1" w:line="360" w:lineRule="auto"/>
              <w:rPr>
                <w:rFonts w:asciiTheme="majorHAnsi" w:hAnsiTheme="majorHAnsi" w:cstheme="majorHAnsi"/>
                <w:b/>
                <w:sz w:val="18"/>
                <w:szCs w:val="18"/>
                <w:lang w:val="en-GB"/>
              </w:rPr>
            </w:pPr>
            <w:r w:rsidRPr="00071086">
              <w:rPr>
                <w:rFonts w:asciiTheme="majorHAnsi" w:hAnsiTheme="majorHAnsi" w:cstheme="majorHAnsi"/>
                <w:b/>
                <w:sz w:val="18"/>
                <w:szCs w:val="18"/>
                <w:lang w:val="en-GB"/>
              </w:rPr>
              <w:t>10</w:t>
            </w:r>
          </w:p>
        </w:tc>
        <w:tc>
          <w:tcPr>
            <w:tcW w:w="922" w:type="dxa"/>
          </w:tcPr>
          <w:p w14:paraId="76CD3B81" w14:textId="77777777" w:rsidR="00104415" w:rsidRPr="00071086" w:rsidRDefault="00104415" w:rsidP="00104415">
            <w:pPr>
              <w:spacing w:before="100" w:beforeAutospacing="1" w:after="100" w:afterAutospacing="1" w:line="360" w:lineRule="auto"/>
              <w:rPr>
                <w:rFonts w:asciiTheme="majorHAnsi" w:hAnsiTheme="majorHAnsi" w:cstheme="majorHAnsi"/>
                <w:b/>
                <w:sz w:val="18"/>
                <w:szCs w:val="18"/>
                <w:lang w:val="en-GB"/>
              </w:rPr>
            </w:pPr>
            <w:r w:rsidRPr="00071086">
              <w:rPr>
                <w:rFonts w:asciiTheme="majorHAnsi" w:hAnsiTheme="majorHAnsi" w:cstheme="majorHAnsi"/>
                <w:b/>
                <w:sz w:val="18"/>
                <w:szCs w:val="18"/>
                <w:lang w:val="en-GB"/>
              </w:rPr>
              <w:t>-</w:t>
            </w:r>
          </w:p>
        </w:tc>
        <w:tc>
          <w:tcPr>
            <w:tcW w:w="1673" w:type="dxa"/>
          </w:tcPr>
          <w:p w14:paraId="3A70AAE4" w14:textId="77777777" w:rsidR="00104415" w:rsidRPr="00071086" w:rsidRDefault="00104415" w:rsidP="00104415">
            <w:pPr>
              <w:spacing w:before="100" w:beforeAutospacing="1" w:after="100" w:afterAutospacing="1" w:line="360" w:lineRule="auto"/>
              <w:rPr>
                <w:rFonts w:asciiTheme="majorHAnsi" w:hAnsiTheme="majorHAnsi" w:cstheme="majorHAnsi"/>
                <w:b/>
                <w:sz w:val="18"/>
                <w:szCs w:val="18"/>
                <w:lang w:val="en-GB"/>
              </w:rPr>
            </w:pPr>
            <w:r w:rsidRPr="00071086">
              <w:rPr>
                <w:rFonts w:asciiTheme="majorHAnsi" w:hAnsiTheme="majorHAnsi" w:cstheme="majorHAnsi"/>
                <w:b/>
                <w:sz w:val="18"/>
                <w:szCs w:val="18"/>
                <w:lang w:val="en-GB"/>
              </w:rPr>
              <w:t>10</w:t>
            </w:r>
          </w:p>
        </w:tc>
      </w:tr>
      <w:tr w:rsidR="00104415" w:rsidRPr="00071086" w14:paraId="75F3AF09" w14:textId="77777777" w:rsidTr="00104415">
        <w:tc>
          <w:tcPr>
            <w:tcW w:w="1116" w:type="dxa"/>
          </w:tcPr>
          <w:p w14:paraId="5A65EFD4" w14:textId="77777777" w:rsidR="00104415" w:rsidRPr="00071086" w:rsidRDefault="00104415" w:rsidP="00104415">
            <w:pPr>
              <w:spacing w:before="100" w:beforeAutospacing="1" w:after="100" w:afterAutospacing="1" w:line="360" w:lineRule="auto"/>
              <w:rPr>
                <w:rFonts w:asciiTheme="majorHAnsi" w:hAnsiTheme="majorHAnsi" w:cstheme="majorHAnsi"/>
                <w:bCs/>
                <w:sz w:val="18"/>
                <w:szCs w:val="18"/>
                <w:lang w:val="en-GB"/>
              </w:rPr>
            </w:pPr>
            <w:r w:rsidRPr="00071086">
              <w:rPr>
                <w:rFonts w:asciiTheme="majorHAnsi" w:hAnsiTheme="majorHAnsi" w:cstheme="majorHAnsi"/>
                <w:bCs/>
                <w:sz w:val="18"/>
                <w:szCs w:val="18"/>
                <w:lang w:val="en-GB"/>
              </w:rPr>
              <w:t>Singapore</w:t>
            </w:r>
          </w:p>
        </w:tc>
        <w:tc>
          <w:tcPr>
            <w:tcW w:w="1431" w:type="dxa"/>
          </w:tcPr>
          <w:p w14:paraId="13AE7DB2" w14:textId="77777777" w:rsidR="00104415" w:rsidRPr="00071086" w:rsidRDefault="00104415" w:rsidP="00104415">
            <w:pPr>
              <w:spacing w:before="100" w:beforeAutospacing="1" w:after="100" w:afterAutospacing="1" w:line="360" w:lineRule="auto"/>
              <w:rPr>
                <w:rFonts w:asciiTheme="majorHAnsi" w:hAnsiTheme="majorHAnsi" w:cstheme="majorHAnsi"/>
                <w:bCs/>
                <w:sz w:val="18"/>
                <w:szCs w:val="18"/>
                <w:lang w:val="en-GB"/>
              </w:rPr>
            </w:pPr>
            <w:r w:rsidRPr="00071086">
              <w:rPr>
                <w:rFonts w:asciiTheme="majorHAnsi" w:hAnsiTheme="majorHAnsi" w:cstheme="majorHAnsi"/>
                <w:bCs/>
                <w:sz w:val="18"/>
                <w:szCs w:val="18"/>
                <w:lang w:val="en-GB"/>
              </w:rPr>
              <w:t>6</w:t>
            </w:r>
          </w:p>
        </w:tc>
        <w:tc>
          <w:tcPr>
            <w:tcW w:w="1134" w:type="dxa"/>
          </w:tcPr>
          <w:p w14:paraId="1FE78021" w14:textId="44C7D14D" w:rsidR="00104415" w:rsidRPr="00071086" w:rsidRDefault="00104415" w:rsidP="00104415">
            <w:pPr>
              <w:spacing w:before="100" w:beforeAutospacing="1" w:after="100" w:afterAutospacing="1" w:line="360" w:lineRule="auto"/>
              <w:rPr>
                <w:rFonts w:asciiTheme="majorHAnsi" w:hAnsiTheme="majorHAnsi" w:cstheme="majorHAnsi"/>
                <w:bCs/>
                <w:sz w:val="18"/>
                <w:szCs w:val="18"/>
                <w:lang w:val="en-GB"/>
              </w:rPr>
            </w:pPr>
            <w:r w:rsidRPr="00071086">
              <w:rPr>
                <w:rFonts w:asciiTheme="majorHAnsi" w:hAnsiTheme="majorHAnsi" w:cstheme="majorHAnsi"/>
                <w:bCs/>
                <w:sz w:val="18"/>
                <w:szCs w:val="18"/>
                <w:lang w:val="en-GB"/>
              </w:rPr>
              <w:t>2</w:t>
            </w:r>
          </w:p>
        </w:tc>
        <w:tc>
          <w:tcPr>
            <w:tcW w:w="1134" w:type="dxa"/>
          </w:tcPr>
          <w:p w14:paraId="5CB4FB8C" w14:textId="77777777" w:rsidR="00104415" w:rsidRPr="00071086" w:rsidRDefault="00104415" w:rsidP="00104415">
            <w:pPr>
              <w:spacing w:before="100" w:beforeAutospacing="1" w:after="100" w:afterAutospacing="1" w:line="360" w:lineRule="auto"/>
              <w:rPr>
                <w:rFonts w:asciiTheme="majorHAnsi" w:hAnsiTheme="majorHAnsi" w:cstheme="majorHAnsi"/>
                <w:bCs/>
                <w:sz w:val="18"/>
                <w:szCs w:val="18"/>
                <w:lang w:val="en-GB"/>
              </w:rPr>
            </w:pPr>
            <w:r w:rsidRPr="00071086">
              <w:rPr>
                <w:rFonts w:asciiTheme="majorHAnsi" w:hAnsiTheme="majorHAnsi" w:cstheme="majorHAnsi"/>
                <w:bCs/>
                <w:sz w:val="18"/>
                <w:szCs w:val="18"/>
                <w:lang w:val="en-GB"/>
              </w:rPr>
              <w:t>1/3</w:t>
            </w:r>
          </w:p>
        </w:tc>
        <w:tc>
          <w:tcPr>
            <w:tcW w:w="1374" w:type="dxa"/>
          </w:tcPr>
          <w:p w14:paraId="26230CEB" w14:textId="77777777" w:rsidR="00104415" w:rsidRPr="00071086" w:rsidRDefault="00104415" w:rsidP="00104415">
            <w:pPr>
              <w:spacing w:before="100" w:beforeAutospacing="1" w:after="100" w:afterAutospacing="1" w:line="360" w:lineRule="auto"/>
              <w:rPr>
                <w:rFonts w:asciiTheme="majorHAnsi" w:hAnsiTheme="majorHAnsi" w:cstheme="majorHAnsi"/>
                <w:bCs/>
                <w:sz w:val="18"/>
                <w:szCs w:val="18"/>
                <w:lang w:val="en-GB"/>
              </w:rPr>
            </w:pPr>
            <w:r w:rsidRPr="00071086">
              <w:rPr>
                <w:rFonts w:asciiTheme="majorHAnsi" w:hAnsiTheme="majorHAnsi" w:cstheme="majorHAnsi"/>
                <w:bCs/>
                <w:sz w:val="18"/>
                <w:szCs w:val="18"/>
                <w:lang w:val="en-GB"/>
              </w:rPr>
              <w:t>10/11</w:t>
            </w:r>
          </w:p>
        </w:tc>
        <w:tc>
          <w:tcPr>
            <w:tcW w:w="922" w:type="dxa"/>
          </w:tcPr>
          <w:p w14:paraId="29B34BCB" w14:textId="77777777" w:rsidR="00104415" w:rsidRPr="00071086" w:rsidRDefault="00104415" w:rsidP="00104415">
            <w:pPr>
              <w:spacing w:before="100" w:beforeAutospacing="1" w:after="100" w:afterAutospacing="1" w:line="360" w:lineRule="auto"/>
              <w:rPr>
                <w:rFonts w:asciiTheme="majorHAnsi" w:hAnsiTheme="majorHAnsi" w:cstheme="majorHAnsi"/>
                <w:bCs/>
                <w:sz w:val="18"/>
                <w:szCs w:val="18"/>
                <w:lang w:val="en-GB"/>
              </w:rPr>
            </w:pPr>
            <w:r w:rsidRPr="00071086">
              <w:rPr>
                <w:rFonts w:asciiTheme="majorHAnsi" w:hAnsiTheme="majorHAnsi" w:cstheme="majorHAnsi"/>
                <w:bCs/>
                <w:sz w:val="18"/>
                <w:szCs w:val="18"/>
                <w:lang w:val="en-GB"/>
              </w:rPr>
              <w:t>2/3</w:t>
            </w:r>
          </w:p>
        </w:tc>
        <w:tc>
          <w:tcPr>
            <w:tcW w:w="1673" w:type="dxa"/>
          </w:tcPr>
          <w:p w14:paraId="5E6F7BF8" w14:textId="77777777" w:rsidR="00104415" w:rsidRPr="00071086" w:rsidRDefault="00104415" w:rsidP="00104415">
            <w:pPr>
              <w:spacing w:before="100" w:beforeAutospacing="1" w:after="100" w:afterAutospacing="1" w:line="360" w:lineRule="auto"/>
              <w:rPr>
                <w:rFonts w:asciiTheme="majorHAnsi" w:hAnsiTheme="majorHAnsi" w:cstheme="majorHAnsi"/>
                <w:bCs/>
                <w:sz w:val="18"/>
                <w:szCs w:val="18"/>
                <w:lang w:val="en-GB"/>
              </w:rPr>
            </w:pPr>
            <w:r w:rsidRPr="00071086">
              <w:rPr>
                <w:rFonts w:asciiTheme="majorHAnsi" w:hAnsiTheme="majorHAnsi" w:cstheme="majorHAnsi"/>
                <w:bCs/>
                <w:sz w:val="18"/>
                <w:szCs w:val="18"/>
                <w:lang w:val="en-GB"/>
              </w:rPr>
              <w:t>12/13</w:t>
            </w:r>
          </w:p>
        </w:tc>
      </w:tr>
      <w:tr w:rsidR="00104415" w:rsidRPr="00071086" w14:paraId="64A9C78E" w14:textId="77777777" w:rsidTr="00104415">
        <w:tc>
          <w:tcPr>
            <w:tcW w:w="1116" w:type="dxa"/>
          </w:tcPr>
          <w:p w14:paraId="208ED339" w14:textId="77777777" w:rsidR="00104415" w:rsidRPr="00071086" w:rsidRDefault="00104415" w:rsidP="00104415">
            <w:pPr>
              <w:spacing w:before="100" w:beforeAutospacing="1" w:after="100" w:afterAutospacing="1" w:line="360" w:lineRule="auto"/>
              <w:rPr>
                <w:rFonts w:asciiTheme="majorHAnsi" w:hAnsiTheme="majorHAnsi" w:cstheme="majorHAnsi"/>
                <w:bCs/>
                <w:sz w:val="18"/>
                <w:szCs w:val="18"/>
                <w:lang w:val="en-GB"/>
              </w:rPr>
            </w:pPr>
            <w:r w:rsidRPr="00071086">
              <w:rPr>
                <w:rFonts w:asciiTheme="majorHAnsi" w:hAnsiTheme="majorHAnsi" w:cstheme="majorHAnsi"/>
                <w:bCs/>
                <w:sz w:val="18"/>
                <w:szCs w:val="18"/>
                <w:lang w:val="en-GB"/>
              </w:rPr>
              <w:t>Thailand</w:t>
            </w:r>
          </w:p>
        </w:tc>
        <w:tc>
          <w:tcPr>
            <w:tcW w:w="1431" w:type="dxa"/>
          </w:tcPr>
          <w:p w14:paraId="2249FB5D" w14:textId="77777777" w:rsidR="00104415" w:rsidRPr="00071086" w:rsidRDefault="00104415" w:rsidP="00104415">
            <w:pPr>
              <w:spacing w:before="100" w:beforeAutospacing="1" w:after="100" w:afterAutospacing="1" w:line="360" w:lineRule="auto"/>
              <w:rPr>
                <w:rFonts w:asciiTheme="majorHAnsi" w:hAnsiTheme="majorHAnsi" w:cstheme="majorHAnsi"/>
                <w:bCs/>
                <w:sz w:val="18"/>
                <w:szCs w:val="18"/>
                <w:lang w:val="en-GB"/>
              </w:rPr>
            </w:pPr>
            <w:r w:rsidRPr="00071086">
              <w:rPr>
                <w:rFonts w:asciiTheme="majorHAnsi" w:hAnsiTheme="majorHAnsi" w:cstheme="majorHAnsi"/>
                <w:bCs/>
                <w:sz w:val="18"/>
                <w:szCs w:val="18"/>
                <w:lang w:val="en-GB"/>
              </w:rPr>
              <w:t>6</w:t>
            </w:r>
          </w:p>
        </w:tc>
        <w:tc>
          <w:tcPr>
            <w:tcW w:w="1134" w:type="dxa"/>
          </w:tcPr>
          <w:p w14:paraId="6AADF8A8" w14:textId="40B55E86" w:rsidR="00104415" w:rsidRPr="00071086" w:rsidRDefault="00104415" w:rsidP="00104415">
            <w:pPr>
              <w:spacing w:before="100" w:beforeAutospacing="1" w:after="100" w:afterAutospacing="1" w:line="360" w:lineRule="auto"/>
              <w:rPr>
                <w:rFonts w:asciiTheme="majorHAnsi" w:hAnsiTheme="majorHAnsi" w:cstheme="majorHAnsi"/>
                <w:bCs/>
                <w:sz w:val="18"/>
                <w:szCs w:val="18"/>
                <w:lang w:val="en-GB"/>
              </w:rPr>
            </w:pPr>
            <w:r w:rsidRPr="00071086">
              <w:rPr>
                <w:rFonts w:asciiTheme="majorHAnsi" w:hAnsiTheme="majorHAnsi" w:cstheme="majorHAnsi"/>
                <w:bCs/>
                <w:sz w:val="18"/>
                <w:szCs w:val="18"/>
                <w:lang w:val="en-GB"/>
              </w:rPr>
              <w:t>3</w:t>
            </w:r>
          </w:p>
        </w:tc>
        <w:tc>
          <w:tcPr>
            <w:tcW w:w="1134" w:type="dxa"/>
          </w:tcPr>
          <w:p w14:paraId="3A88A16A" w14:textId="77777777" w:rsidR="00104415" w:rsidRPr="00071086" w:rsidRDefault="00104415" w:rsidP="00104415">
            <w:pPr>
              <w:spacing w:before="100" w:beforeAutospacing="1" w:after="100" w:afterAutospacing="1" w:line="360" w:lineRule="auto"/>
              <w:rPr>
                <w:rFonts w:asciiTheme="majorHAnsi" w:hAnsiTheme="majorHAnsi" w:cstheme="majorHAnsi"/>
                <w:bCs/>
                <w:sz w:val="18"/>
                <w:szCs w:val="18"/>
                <w:lang w:val="en-GB"/>
              </w:rPr>
            </w:pPr>
            <w:r w:rsidRPr="00071086">
              <w:rPr>
                <w:rFonts w:asciiTheme="majorHAnsi" w:hAnsiTheme="majorHAnsi" w:cstheme="majorHAnsi"/>
                <w:bCs/>
                <w:sz w:val="18"/>
                <w:szCs w:val="18"/>
                <w:lang w:val="en-GB"/>
              </w:rPr>
              <w:t>3</w:t>
            </w:r>
          </w:p>
        </w:tc>
        <w:tc>
          <w:tcPr>
            <w:tcW w:w="1374" w:type="dxa"/>
          </w:tcPr>
          <w:p w14:paraId="26A5298A" w14:textId="77777777" w:rsidR="00104415" w:rsidRPr="00071086" w:rsidRDefault="00104415" w:rsidP="00104415">
            <w:pPr>
              <w:spacing w:before="100" w:beforeAutospacing="1" w:after="100" w:afterAutospacing="1" w:line="360" w:lineRule="auto"/>
              <w:rPr>
                <w:rFonts w:asciiTheme="majorHAnsi" w:hAnsiTheme="majorHAnsi" w:cstheme="majorHAnsi"/>
                <w:bCs/>
                <w:sz w:val="18"/>
                <w:szCs w:val="18"/>
                <w:lang w:val="en-GB"/>
              </w:rPr>
            </w:pPr>
            <w:r w:rsidRPr="00071086">
              <w:rPr>
                <w:rFonts w:asciiTheme="majorHAnsi" w:hAnsiTheme="majorHAnsi" w:cstheme="majorHAnsi"/>
                <w:bCs/>
                <w:sz w:val="18"/>
                <w:szCs w:val="18"/>
                <w:lang w:val="en-GB"/>
              </w:rPr>
              <w:t>12</w:t>
            </w:r>
          </w:p>
        </w:tc>
        <w:tc>
          <w:tcPr>
            <w:tcW w:w="922" w:type="dxa"/>
          </w:tcPr>
          <w:p w14:paraId="2937584B" w14:textId="77777777" w:rsidR="00104415" w:rsidRPr="00071086" w:rsidRDefault="00104415" w:rsidP="00104415">
            <w:pPr>
              <w:spacing w:before="100" w:beforeAutospacing="1" w:after="100" w:afterAutospacing="1" w:line="360" w:lineRule="auto"/>
              <w:rPr>
                <w:rFonts w:asciiTheme="majorHAnsi" w:hAnsiTheme="majorHAnsi" w:cstheme="majorHAnsi"/>
                <w:bCs/>
                <w:sz w:val="18"/>
                <w:szCs w:val="18"/>
                <w:lang w:val="en-GB"/>
              </w:rPr>
            </w:pPr>
            <w:r w:rsidRPr="00071086">
              <w:rPr>
                <w:rFonts w:asciiTheme="majorHAnsi" w:hAnsiTheme="majorHAnsi" w:cstheme="majorHAnsi"/>
                <w:bCs/>
                <w:sz w:val="18"/>
                <w:szCs w:val="18"/>
                <w:lang w:val="en-GB"/>
              </w:rPr>
              <w:t>-</w:t>
            </w:r>
          </w:p>
        </w:tc>
        <w:tc>
          <w:tcPr>
            <w:tcW w:w="1673" w:type="dxa"/>
          </w:tcPr>
          <w:p w14:paraId="4B4301D3" w14:textId="77777777" w:rsidR="00104415" w:rsidRPr="00071086" w:rsidRDefault="00104415" w:rsidP="00104415">
            <w:pPr>
              <w:spacing w:before="100" w:beforeAutospacing="1" w:after="100" w:afterAutospacing="1" w:line="360" w:lineRule="auto"/>
              <w:rPr>
                <w:rFonts w:asciiTheme="majorHAnsi" w:hAnsiTheme="majorHAnsi" w:cstheme="majorHAnsi"/>
                <w:bCs/>
                <w:sz w:val="18"/>
                <w:szCs w:val="18"/>
                <w:lang w:val="en-GB"/>
              </w:rPr>
            </w:pPr>
            <w:r w:rsidRPr="00071086">
              <w:rPr>
                <w:rFonts w:asciiTheme="majorHAnsi" w:hAnsiTheme="majorHAnsi" w:cstheme="majorHAnsi"/>
                <w:bCs/>
                <w:sz w:val="18"/>
                <w:szCs w:val="18"/>
                <w:lang w:val="en-GB"/>
              </w:rPr>
              <w:t>12</w:t>
            </w:r>
          </w:p>
        </w:tc>
      </w:tr>
      <w:tr w:rsidR="00104415" w:rsidRPr="00071086" w14:paraId="5397B279" w14:textId="77777777" w:rsidTr="00104415">
        <w:tc>
          <w:tcPr>
            <w:tcW w:w="1116" w:type="dxa"/>
          </w:tcPr>
          <w:p w14:paraId="60596C80" w14:textId="77777777" w:rsidR="00104415" w:rsidRPr="00071086" w:rsidRDefault="00104415" w:rsidP="00104415">
            <w:pPr>
              <w:spacing w:before="100" w:beforeAutospacing="1" w:after="100" w:afterAutospacing="1" w:line="360" w:lineRule="auto"/>
              <w:rPr>
                <w:rFonts w:asciiTheme="majorHAnsi" w:hAnsiTheme="majorHAnsi" w:cstheme="majorHAnsi"/>
                <w:bCs/>
                <w:sz w:val="18"/>
                <w:szCs w:val="18"/>
                <w:lang w:val="en-GB"/>
              </w:rPr>
            </w:pPr>
            <w:r w:rsidRPr="00071086">
              <w:rPr>
                <w:rFonts w:asciiTheme="majorHAnsi" w:hAnsiTheme="majorHAnsi" w:cstheme="majorHAnsi"/>
                <w:bCs/>
                <w:sz w:val="18"/>
                <w:szCs w:val="18"/>
                <w:lang w:val="en-GB"/>
              </w:rPr>
              <w:t>Timor-Leste</w:t>
            </w:r>
          </w:p>
        </w:tc>
        <w:tc>
          <w:tcPr>
            <w:tcW w:w="1431" w:type="dxa"/>
          </w:tcPr>
          <w:p w14:paraId="61A44323" w14:textId="77777777" w:rsidR="00104415" w:rsidRPr="00071086" w:rsidRDefault="00104415" w:rsidP="00104415">
            <w:pPr>
              <w:spacing w:before="100" w:beforeAutospacing="1" w:after="100" w:afterAutospacing="1" w:line="360" w:lineRule="auto"/>
              <w:rPr>
                <w:rFonts w:asciiTheme="majorHAnsi" w:hAnsiTheme="majorHAnsi" w:cstheme="majorHAnsi"/>
                <w:bCs/>
                <w:sz w:val="18"/>
                <w:szCs w:val="18"/>
                <w:lang w:val="en-GB"/>
              </w:rPr>
            </w:pPr>
            <w:r w:rsidRPr="00071086">
              <w:rPr>
                <w:rFonts w:asciiTheme="majorHAnsi" w:hAnsiTheme="majorHAnsi" w:cstheme="majorHAnsi"/>
                <w:bCs/>
                <w:sz w:val="18"/>
                <w:szCs w:val="18"/>
                <w:lang w:val="en-GB"/>
              </w:rPr>
              <w:t>6</w:t>
            </w:r>
          </w:p>
        </w:tc>
        <w:tc>
          <w:tcPr>
            <w:tcW w:w="1134" w:type="dxa"/>
          </w:tcPr>
          <w:p w14:paraId="467A657A" w14:textId="08F81592" w:rsidR="00104415" w:rsidRPr="00071086" w:rsidRDefault="00104415" w:rsidP="00104415">
            <w:pPr>
              <w:spacing w:before="100" w:beforeAutospacing="1" w:after="100" w:afterAutospacing="1" w:line="360" w:lineRule="auto"/>
              <w:rPr>
                <w:rFonts w:asciiTheme="majorHAnsi" w:hAnsiTheme="majorHAnsi" w:cstheme="majorHAnsi"/>
                <w:bCs/>
                <w:sz w:val="18"/>
                <w:szCs w:val="18"/>
                <w:lang w:val="en-GB"/>
              </w:rPr>
            </w:pPr>
            <w:r w:rsidRPr="00071086">
              <w:rPr>
                <w:rFonts w:asciiTheme="majorHAnsi" w:hAnsiTheme="majorHAnsi" w:cstheme="majorHAnsi"/>
                <w:bCs/>
                <w:sz w:val="18"/>
                <w:szCs w:val="18"/>
                <w:lang w:val="en-GB"/>
              </w:rPr>
              <w:t>3</w:t>
            </w:r>
          </w:p>
        </w:tc>
        <w:tc>
          <w:tcPr>
            <w:tcW w:w="1134" w:type="dxa"/>
          </w:tcPr>
          <w:p w14:paraId="11C4D1EF" w14:textId="77777777" w:rsidR="00104415" w:rsidRPr="00071086" w:rsidRDefault="00104415" w:rsidP="00104415">
            <w:pPr>
              <w:spacing w:before="100" w:beforeAutospacing="1" w:after="100" w:afterAutospacing="1" w:line="360" w:lineRule="auto"/>
              <w:rPr>
                <w:rFonts w:asciiTheme="majorHAnsi" w:hAnsiTheme="majorHAnsi" w:cstheme="majorHAnsi"/>
                <w:bCs/>
                <w:sz w:val="18"/>
                <w:szCs w:val="18"/>
                <w:lang w:val="en-GB"/>
              </w:rPr>
            </w:pPr>
            <w:r w:rsidRPr="00071086">
              <w:rPr>
                <w:rFonts w:asciiTheme="majorHAnsi" w:hAnsiTheme="majorHAnsi" w:cstheme="majorHAnsi"/>
                <w:bCs/>
                <w:sz w:val="18"/>
                <w:szCs w:val="18"/>
                <w:lang w:val="en-GB"/>
              </w:rPr>
              <w:t>3</w:t>
            </w:r>
          </w:p>
        </w:tc>
        <w:tc>
          <w:tcPr>
            <w:tcW w:w="1374" w:type="dxa"/>
          </w:tcPr>
          <w:p w14:paraId="46B68621" w14:textId="77777777" w:rsidR="00104415" w:rsidRPr="00071086" w:rsidRDefault="00104415" w:rsidP="00104415">
            <w:pPr>
              <w:spacing w:before="100" w:beforeAutospacing="1" w:after="100" w:afterAutospacing="1" w:line="360" w:lineRule="auto"/>
              <w:rPr>
                <w:rFonts w:asciiTheme="majorHAnsi" w:hAnsiTheme="majorHAnsi" w:cstheme="majorHAnsi"/>
                <w:bCs/>
                <w:sz w:val="18"/>
                <w:szCs w:val="18"/>
                <w:lang w:val="en-GB"/>
              </w:rPr>
            </w:pPr>
            <w:r w:rsidRPr="00071086">
              <w:rPr>
                <w:rFonts w:asciiTheme="majorHAnsi" w:hAnsiTheme="majorHAnsi" w:cstheme="majorHAnsi"/>
                <w:bCs/>
                <w:sz w:val="18"/>
                <w:szCs w:val="18"/>
                <w:lang w:val="en-GB"/>
              </w:rPr>
              <w:t>12</w:t>
            </w:r>
          </w:p>
        </w:tc>
        <w:tc>
          <w:tcPr>
            <w:tcW w:w="922" w:type="dxa"/>
          </w:tcPr>
          <w:p w14:paraId="634484B1" w14:textId="77777777" w:rsidR="00104415" w:rsidRPr="00071086" w:rsidRDefault="00104415" w:rsidP="00104415">
            <w:pPr>
              <w:spacing w:before="100" w:beforeAutospacing="1" w:after="100" w:afterAutospacing="1" w:line="360" w:lineRule="auto"/>
              <w:rPr>
                <w:rFonts w:asciiTheme="majorHAnsi" w:hAnsiTheme="majorHAnsi" w:cstheme="majorHAnsi"/>
                <w:bCs/>
                <w:sz w:val="18"/>
                <w:szCs w:val="18"/>
                <w:lang w:val="en-GB"/>
              </w:rPr>
            </w:pPr>
            <w:r w:rsidRPr="00071086">
              <w:rPr>
                <w:rFonts w:asciiTheme="majorHAnsi" w:hAnsiTheme="majorHAnsi" w:cstheme="majorHAnsi"/>
                <w:bCs/>
                <w:sz w:val="18"/>
                <w:szCs w:val="18"/>
                <w:lang w:val="en-GB"/>
              </w:rPr>
              <w:t>-</w:t>
            </w:r>
          </w:p>
        </w:tc>
        <w:tc>
          <w:tcPr>
            <w:tcW w:w="1673" w:type="dxa"/>
          </w:tcPr>
          <w:p w14:paraId="56A358EF" w14:textId="77777777" w:rsidR="00104415" w:rsidRPr="00071086" w:rsidRDefault="00104415" w:rsidP="00104415">
            <w:pPr>
              <w:spacing w:before="100" w:beforeAutospacing="1" w:after="100" w:afterAutospacing="1" w:line="360" w:lineRule="auto"/>
              <w:rPr>
                <w:rFonts w:asciiTheme="majorHAnsi" w:hAnsiTheme="majorHAnsi" w:cstheme="majorHAnsi"/>
                <w:bCs/>
                <w:sz w:val="18"/>
                <w:szCs w:val="18"/>
                <w:lang w:val="en-GB"/>
              </w:rPr>
            </w:pPr>
            <w:r w:rsidRPr="00071086">
              <w:rPr>
                <w:rFonts w:asciiTheme="majorHAnsi" w:hAnsiTheme="majorHAnsi" w:cstheme="majorHAnsi"/>
                <w:bCs/>
                <w:sz w:val="18"/>
                <w:szCs w:val="18"/>
                <w:lang w:val="en-GB"/>
              </w:rPr>
              <w:t>12</w:t>
            </w:r>
          </w:p>
        </w:tc>
      </w:tr>
      <w:tr w:rsidR="00104415" w:rsidRPr="00071086" w14:paraId="0C80AAD6" w14:textId="77777777" w:rsidTr="00104415">
        <w:tc>
          <w:tcPr>
            <w:tcW w:w="1116" w:type="dxa"/>
          </w:tcPr>
          <w:p w14:paraId="7DA6AA23" w14:textId="77777777" w:rsidR="00104415" w:rsidRPr="00071086" w:rsidRDefault="00104415" w:rsidP="00104415">
            <w:pPr>
              <w:spacing w:before="100" w:beforeAutospacing="1" w:after="100" w:afterAutospacing="1" w:line="360" w:lineRule="auto"/>
              <w:rPr>
                <w:rFonts w:asciiTheme="majorHAnsi" w:hAnsiTheme="majorHAnsi" w:cstheme="majorHAnsi"/>
                <w:bCs/>
                <w:sz w:val="18"/>
                <w:szCs w:val="18"/>
                <w:lang w:val="en-GB"/>
              </w:rPr>
            </w:pPr>
            <w:r w:rsidRPr="00071086">
              <w:rPr>
                <w:rFonts w:asciiTheme="majorHAnsi" w:hAnsiTheme="majorHAnsi" w:cstheme="majorHAnsi"/>
                <w:bCs/>
                <w:sz w:val="18"/>
                <w:szCs w:val="18"/>
                <w:lang w:val="en-GB"/>
              </w:rPr>
              <w:t>Vietnam</w:t>
            </w:r>
          </w:p>
        </w:tc>
        <w:tc>
          <w:tcPr>
            <w:tcW w:w="1431" w:type="dxa"/>
          </w:tcPr>
          <w:p w14:paraId="7DDA0D47" w14:textId="77777777" w:rsidR="00104415" w:rsidRPr="00071086" w:rsidRDefault="00104415" w:rsidP="00104415">
            <w:pPr>
              <w:spacing w:before="100" w:beforeAutospacing="1" w:after="100" w:afterAutospacing="1" w:line="360" w:lineRule="auto"/>
              <w:rPr>
                <w:rFonts w:asciiTheme="majorHAnsi" w:hAnsiTheme="majorHAnsi" w:cstheme="majorHAnsi"/>
                <w:bCs/>
                <w:sz w:val="18"/>
                <w:szCs w:val="18"/>
                <w:lang w:val="en-GB"/>
              </w:rPr>
            </w:pPr>
            <w:r w:rsidRPr="00071086">
              <w:rPr>
                <w:rFonts w:asciiTheme="majorHAnsi" w:hAnsiTheme="majorHAnsi" w:cstheme="majorHAnsi"/>
                <w:bCs/>
                <w:sz w:val="18"/>
                <w:szCs w:val="18"/>
                <w:lang w:val="en-GB"/>
              </w:rPr>
              <w:t>5</w:t>
            </w:r>
          </w:p>
        </w:tc>
        <w:tc>
          <w:tcPr>
            <w:tcW w:w="1134" w:type="dxa"/>
          </w:tcPr>
          <w:p w14:paraId="1270E1C8" w14:textId="3060422E" w:rsidR="00104415" w:rsidRPr="00071086" w:rsidRDefault="00104415" w:rsidP="00104415">
            <w:pPr>
              <w:spacing w:before="100" w:beforeAutospacing="1" w:after="100" w:afterAutospacing="1" w:line="360" w:lineRule="auto"/>
              <w:rPr>
                <w:rFonts w:asciiTheme="majorHAnsi" w:hAnsiTheme="majorHAnsi" w:cstheme="majorHAnsi"/>
                <w:bCs/>
                <w:sz w:val="18"/>
                <w:szCs w:val="18"/>
                <w:lang w:val="en-GB"/>
              </w:rPr>
            </w:pPr>
            <w:r w:rsidRPr="00071086">
              <w:rPr>
                <w:rFonts w:asciiTheme="majorHAnsi" w:hAnsiTheme="majorHAnsi" w:cstheme="majorHAnsi"/>
                <w:bCs/>
                <w:sz w:val="18"/>
                <w:szCs w:val="18"/>
                <w:lang w:val="en-GB"/>
              </w:rPr>
              <w:t>4</w:t>
            </w:r>
          </w:p>
        </w:tc>
        <w:tc>
          <w:tcPr>
            <w:tcW w:w="1134" w:type="dxa"/>
          </w:tcPr>
          <w:p w14:paraId="7264046B" w14:textId="77777777" w:rsidR="00104415" w:rsidRPr="00071086" w:rsidRDefault="00104415" w:rsidP="00104415">
            <w:pPr>
              <w:spacing w:before="100" w:beforeAutospacing="1" w:after="100" w:afterAutospacing="1" w:line="360" w:lineRule="auto"/>
              <w:rPr>
                <w:rFonts w:asciiTheme="majorHAnsi" w:hAnsiTheme="majorHAnsi" w:cstheme="majorHAnsi"/>
                <w:bCs/>
                <w:sz w:val="18"/>
                <w:szCs w:val="18"/>
                <w:lang w:val="en-GB"/>
              </w:rPr>
            </w:pPr>
            <w:r w:rsidRPr="00071086">
              <w:rPr>
                <w:rFonts w:asciiTheme="majorHAnsi" w:hAnsiTheme="majorHAnsi" w:cstheme="majorHAnsi"/>
                <w:bCs/>
                <w:sz w:val="18"/>
                <w:szCs w:val="18"/>
                <w:lang w:val="en-GB"/>
              </w:rPr>
              <w:t>3</w:t>
            </w:r>
          </w:p>
        </w:tc>
        <w:tc>
          <w:tcPr>
            <w:tcW w:w="1374" w:type="dxa"/>
          </w:tcPr>
          <w:p w14:paraId="020A6985" w14:textId="77777777" w:rsidR="00104415" w:rsidRPr="00071086" w:rsidRDefault="00104415" w:rsidP="00104415">
            <w:pPr>
              <w:spacing w:before="100" w:beforeAutospacing="1" w:after="100" w:afterAutospacing="1" w:line="360" w:lineRule="auto"/>
              <w:rPr>
                <w:rFonts w:asciiTheme="majorHAnsi" w:hAnsiTheme="majorHAnsi" w:cstheme="majorHAnsi"/>
                <w:bCs/>
                <w:sz w:val="18"/>
                <w:szCs w:val="18"/>
                <w:lang w:val="en-GB"/>
              </w:rPr>
            </w:pPr>
            <w:r w:rsidRPr="00071086">
              <w:rPr>
                <w:rFonts w:asciiTheme="majorHAnsi" w:hAnsiTheme="majorHAnsi" w:cstheme="majorHAnsi"/>
                <w:bCs/>
                <w:sz w:val="18"/>
                <w:szCs w:val="18"/>
                <w:lang w:val="en-GB"/>
              </w:rPr>
              <w:t>12</w:t>
            </w:r>
          </w:p>
        </w:tc>
        <w:tc>
          <w:tcPr>
            <w:tcW w:w="922" w:type="dxa"/>
          </w:tcPr>
          <w:p w14:paraId="647ED57A" w14:textId="77777777" w:rsidR="00104415" w:rsidRPr="00071086" w:rsidRDefault="00104415" w:rsidP="00104415">
            <w:pPr>
              <w:spacing w:before="100" w:beforeAutospacing="1" w:after="100" w:afterAutospacing="1" w:line="360" w:lineRule="auto"/>
              <w:rPr>
                <w:rFonts w:asciiTheme="majorHAnsi" w:hAnsiTheme="majorHAnsi" w:cstheme="majorHAnsi"/>
                <w:bCs/>
                <w:sz w:val="18"/>
                <w:szCs w:val="18"/>
                <w:lang w:val="en-GB"/>
              </w:rPr>
            </w:pPr>
            <w:r w:rsidRPr="00071086">
              <w:rPr>
                <w:rFonts w:asciiTheme="majorHAnsi" w:hAnsiTheme="majorHAnsi" w:cstheme="majorHAnsi"/>
                <w:bCs/>
                <w:sz w:val="18"/>
                <w:szCs w:val="18"/>
                <w:lang w:val="en-GB"/>
              </w:rPr>
              <w:t>2-3*</w:t>
            </w:r>
          </w:p>
        </w:tc>
        <w:tc>
          <w:tcPr>
            <w:tcW w:w="1673" w:type="dxa"/>
          </w:tcPr>
          <w:p w14:paraId="70D09212" w14:textId="77777777" w:rsidR="00104415" w:rsidRPr="00071086" w:rsidRDefault="00104415" w:rsidP="00104415">
            <w:pPr>
              <w:spacing w:before="100" w:beforeAutospacing="1" w:after="100" w:afterAutospacing="1" w:line="360" w:lineRule="auto"/>
              <w:rPr>
                <w:rFonts w:asciiTheme="majorHAnsi" w:hAnsiTheme="majorHAnsi" w:cstheme="majorHAnsi"/>
                <w:bCs/>
                <w:sz w:val="18"/>
                <w:szCs w:val="18"/>
                <w:lang w:val="en-GB"/>
              </w:rPr>
            </w:pPr>
            <w:r w:rsidRPr="00071086">
              <w:rPr>
                <w:rFonts w:asciiTheme="majorHAnsi" w:hAnsiTheme="majorHAnsi" w:cstheme="majorHAnsi"/>
                <w:bCs/>
                <w:sz w:val="18"/>
                <w:szCs w:val="18"/>
                <w:lang w:val="en-GB"/>
              </w:rPr>
              <w:t>14/15</w:t>
            </w:r>
          </w:p>
        </w:tc>
      </w:tr>
      <w:tr w:rsidR="00104415" w:rsidRPr="00071086" w14:paraId="4B9AFDFA" w14:textId="77777777" w:rsidTr="00104415">
        <w:tc>
          <w:tcPr>
            <w:tcW w:w="1116" w:type="dxa"/>
          </w:tcPr>
          <w:p w14:paraId="3F26959B" w14:textId="77777777" w:rsidR="00104415" w:rsidRPr="00071086" w:rsidRDefault="00104415" w:rsidP="00104415">
            <w:pPr>
              <w:spacing w:before="100" w:beforeAutospacing="1" w:after="100" w:afterAutospacing="1" w:line="360" w:lineRule="auto"/>
              <w:rPr>
                <w:rFonts w:asciiTheme="majorHAnsi" w:hAnsiTheme="majorHAnsi" w:cstheme="majorHAnsi"/>
                <w:bCs/>
                <w:sz w:val="18"/>
                <w:szCs w:val="18"/>
                <w:lang w:val="en-GB"/>
              </w:rPr>
            </w:pPr>
            <w:r w:rsidRPr="00071086">
              <w:rPr>
                <w:rFonts w:asciiTheme="majorHAnsi" w:hAnsiTheme="majorHAnsi" w:cstheme="majorHAnsi"/>
                <w:bCs/>
                <w:sz w:val="18"/>
                <w:szCs w:val="18"/>
                <w:lang w:val="en-GB"/>
              </w:rPr>
              <w:t>Hong Kong</w:t>
            </w:r>
          </w:p>
        </w:tc>
        <w:tc>
          <w:tcPr>
            <w:tcW w:w="1431" w:type="dxa"/>
          </w:tcPr>
          <w:p w14:paraId="4646282F" w14:textId="77777777" w:rsidR="00104415" w:rsidRPr="00071086" w:rsidRDefault="00104415" w:rsidP="00104415">
            <w:pPr>
              <w:spacing w:before="100" w:beforeAutospacing="1" w:after="100" w:afterAutospacing="1" w:line="360" w:lineRule="auto"/>
              <w:rPr>
                <w:rFonts w:asciiTheme="majorHAnsi" w:hAnsiTheme="majorHAnsi" w:cstheme="majorHAnsi"/>
                <w:bCs/>
                <w:sz w:val="18"/>
                <w:szCs w:val="18"/>
                <w:lang w:val="en-GB"/>
              </w:rPr>
            </w:pPr>
            <w:r w:rsidRPr="00071086">
              <w:rPr>
                <w:rFonts w:asciiTheme="majorHAnsi" w:hAnsiTheme="majorHAnsi" w:cstheme="majorHAnsi"/>
                <w:bCs/>
                <w:sz w:val="18"/>
                <w:szCs w:val="18"/>
                <w:lang w:val="en-GB"/>
              </w:rPr>
              <w:t>6</w:t>
            </w:r>
          </w:p>
        </w:tc>
        <w:tc>
          <w:tcPr>
            <w:tcW w:w="1134" w:type="dxa"/>
          </w:tcPr>
          <w:p w14:paraId="313CBF63" w14:textId="77D7A4C4" w:rsidR="00104415" w:rsidRPr="00071086" w:rsidRDefault="00104415" w:rsidP="00104415">
            <w:pPr>
              <w:spacing w:before="100" w:beforeAutospacing="1" w:after="100" w:afterAutospacing="1" w:line="360" w:lineRule="auto"/>
              <w:rPr>
                <w:rFonts w:asciiTheme="majorHAnsi" w:hAnsiTheme="majorHAnsi" w:cstheme="majorHAnsi"/>
                <w:bCs/>
                <w:sz w:val="18"/>
                <w:szCs w:val="18"/>
                <w:lang w:val="en-GB"/>
              </w:rPr>
            </w:pPr>
            <w:r w:rsidRPr="00071086">
              <w:rPr>
                <w:rFonts w:asciiTheme="majorHAnsi" w:hAnsiTheme="majorHAnsi" w:cstheme="majorHAnsi"/>
                <w:bCs/>
                <w:sz w:val="18"/>
                <w:szCs w:val="18"/>
                <w:lang w:val="en-GB"/>
              </w:rPr>
              <w:t>3</w:t>
            </w:r>
          </w:p>
        </w:tc>
        <w:tc>
          <w:tcPr>
            <w:tcW w:w="1134" w:type="dxa"/>
          </w:tcPr>
          <w:p w14:paraId="37F5C6A0" w14:textId="77777777" w:rsidR="00104415" w:rsidRPr="00071086" w:rsidRDefault="00104415" w:rsidP="00104415">
            <w:pPr>
              <w:spacing w:before="100" w:beforeAutospacing="1" w:after="100" w:afterAutospacing="1" w:line="360" w:lineRule="auto"/>
              <w:rPr>
                <w:rFonts w:asciiTheme="majorHAnsi" w:hAnsiTheme="majorHAnsi" w:cstheme="majorHAnsi"/>
                <w:bCs/>
                <w:sz w:val="18"/>
                <w:szCs w:val="18"/>
                <w:lang w:val="en-GB"/>
              </w:rPr>
            </w:pPr>
            <w:r w:rsidRPr="00071086">
              <w:rPr>
                <w:rFonts w:asciiTheme="majorHAnsi" w:hAnsiTheme="majorHAnsi" w:cstheme="majorHAnsi"/>
                <w:bCs/>
                <w:sz w:val="18"/>
                <w:szCs w:val="18"/>
                <w:lang w:val="en-GB"/>
              </w:rPr>
              <w:t>3</w:t>
            </w:r>
          </w:p>
        </w:tc>
        <w:tc>
          <w:tcPr>
            <w:tcW w:w="1374" w:type="dxa"/>
          </w:tcPr>
          <w:p w14:paraId="6AD1C243" w14:textId="77777777" w:rsidR="00104415" w:rsidRPr="00071086" w:rsidRDefault="00104415" w:rsidP="00104415">
            <w:pPr>
              <w:spacing w:before="100" w:beforeAutospacing="1" w:after="100" w:afterAutospacing="1" w:line="360" w:lineRule="auto"/>
              <w:rPr>
                <w:rFonts w:asciiTheme="majorHAnsi" w:hAnsiTheme="majorHAnsi" w:cstheme="majorHAnsi"/>
                <w:bCs/>
                <w:sz w:val="18"/>
                <w:szCs w:val="18"/>
                <w:lang w:val="en-GB"/>
              </w:rPr>
            </w:pPr>
            <w:r w:rsidRPr="00071086">
              <w:rPr>
                <w:rFonts w:asciiTheme="majorHAnsi" w:hAnsiTheme="majorHAnsi" w:cstheme="majorHAnsi"/>
                <w:bCs/>
                <w:sz w:val="18"/>
                <w:szCs w:val="18"/>
                <w:lang w:val="en-GB"/>
              </w:rPr>
              <w:t>12</w:t>
            </w:r>
          </w:p>
        </w:tc>
        <w:tc>
          <w:tcPr>
            <w:tcW w:w="922" w:type="dxa"/>
          </w:tcPr>
          <w:p w14:paraId="0C1671E3" w14:textId="77777777" w:rsidR="00104415" w:rsidRPr="00071086" w:rsidRDefault="00104415" w:rsidP="00104415">
            <w:pPr>
              <w:spacing w:before="100" w:beforeAutospacing="1" w:after="100" w:afterAutospacing="1" w:line="360" w:lineRule="auto"/>
              <w:rPr>
                <w:rFonts w:asciiTheme="majorHAnsi" w:hAnsiTheme="majorHAnsi" w:cstheme="majorHAnsi"/>
                <w:bCs/>
                <w:sz w:val="18"/>
                <w:szCs w:val="18"/>
                <w:lang w:val="en-GB"/>
              </w:rPr>
            </w:pPr>
          </w:p>
        </w:tc>
        <w:tc>
          <w:tcPr>
            <w:tcW w:w="1673" w:type="dxa"/>
          </w:tcPr>
          <w:p w14:paraId="541BDA85" w14:textId="77777777" w:rsidR="00104415" w:rsidRPr="00071086" w:rsidRDefault="00104415" w:rsidP="00104415">
            <w:pPr>
              <w:spacing w:before="100" w:beforeAutospacing="1" w:after="100" w:afterAutospacing="1" w:line="360" w:lineRule="auto"/>
              <w:rPr>
                <w:rFonts w:asciiTheme="majorHAnsi" w:hAnsiTheme="majorHAnsi" w:cstheme="majorHAnsi"/>
                <w:bCs/>
                <w:sz w:val="18"/>
                <w:szCs w:val="18"/>
                <w:lang w:val="en-GB"/>
              </w:rPr>
            </w:pPr>
            <w:r w:rsidRPr="00071086">
              <w:rPr>
                <w:rFonts w:asciiTheme="majorHAnsi" w:hAnsiTheme="majorHAnsi" w:cstheme="majorHAnsi"/>
                <w:bCs/>
                <w:sz w:val="18"/>
                <w:szCs w:val="18"/>
                <w:lang w:val="en-GB"/>
              </w:rPr>
              <w:t>12</w:t>
            </w:r>
          </w:p>
        </w:tc>
      </w:tr>
    </w:tbl>
    <w:p w14:paraId="011196B5" w14:textId="77777777" w:rsidR="008D0CAD" w:rsidRPr="00071086" w:rsidRDefault="008D0CAD" w:rsidP="00DD08E3">
      <w:pPr>
        <w:spacing w:before="100" w:beforeAutospacing="1" w:after="100" w:afterAutospacing="1" w:line="360" w:lineRule="auto"/>
        <w:rPr>
          <w:rFonts w:asciiTheme="majorHAnsi" w:hAnsiTheme="majorHAnsi" w:cstheme="majorHAnsi"/>
          <w:sz w:val="20"/>
          <w:lang w:val="en-US"/>
        </w:rPr>
      </w:pPr>
      <w:r w:rsidRPr="00071086">
        <w:rPr>
          <w:rFonts w:asciiTheme="majorHAnsi" w:hAnsiTheme="majorHAnsi" w:cstheme="majorHAnsi"/>
          <w:sz w:val="20"/>
          <w:lang w:val="en-US"/>
        </w:rPr>
        <w:t>Source: SEAMEO INNOTECH (2012a)</w:t>
      </w:r>
    </w:p>
    <w:p w14:paraId="11506E78" w14:textId="77777777" w:rsidR="008D0CAD" w:rsidRPr="00071086" w:rsidRDefault="008D0CAD" w:rsidP="00DD08E3">
      <w:pPr>
        <w:spacing w:before="100" w:beforeAutospacing="1" w:after="100" w:afterAutospacing="1" w:line="360" w:lineRule="auto"/>
        <w:rPr>
          <w:rFonts w:asciiTheme="majorHAnsi" w:hAnsiTheme="majorHAnsi" w:cstheme="majorHAnsi"/>
          <w:b/>
          <w:i/>
          <w:sz w:val="22"/>
          <w:lang w:val="en-AU"/>
        </w:rPr>
      </w:pPr>
      <w:r w:rsidRPr="00071086">
        <w:rPr>
          <w:rFonts w:asciiTheme="majorHAnsi" w:hAnsiTheme="majorHAnsi" w:cstheme="majorHAnsi"/>
          <w:b/>
          <w:i/>
          <w:sz w:val="22"/>
          <w:lang w:val="en-AU"/>
        </w:rPr>
        <w:t xml:space="preserve">Figure 2.0 Comparison of the Basic Education Curriculum and the 2013 Kto12 Curriculum </w:t>
      </w:r>
    </w:p>
    <w:p w14:paraId="55AA9C3A" w14:textId="77777777" w:rsidR="008D0CAD" w:rsidRPr="00AA04A4" w:rsidRDefault="008D0CAD" w:rsidP="00DD08E3">
      <w:pPr>
        <w:spacing w:before="100" w:beforeAutospacing="1" w:after="100" w:afterAutospacing="1" w:line="360" w:lineRule="auto"/>
        <w:rPr>
          <w:rFonts w:ascii="Tw Cen MT" w:hAnsi="Tw Cen MT"/>
          <w:sz w:val="22"/>
          <w:lang w:val="en-AU"/>
        </w:rPr>
      </w:pPr>
      <w:r w:rsidRPr="00AA04A4">
        <w:rPr>
          <w:rFonts w:ascii="Tw Cen MT" w:hAnsi="Tw Cen MT"/>
          <w:noProof/>
          <w:lang w:val="en-AU" w:eastAsia="en-AU"/>
        </w:rPr>
        <w:drawing>
          <wp:inline distT="0" distB="0" distL="0" distR="0" wp14:anchorId="70E65D0F" wp14:editId="508CEECD">
            <wp:extent cx="3105150" cy="2457450"/>
            <wp:effectExtent l="0" t="0" r="0" b="0"/>
            <wp:docPr id="37" name="Picture 37" descr="Diagram comparing the old Basic Education Curriculum to the K to 12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 comparing the old Basic Education Curriculum to the K to 12 Curriculum"/>
                    <pic:cNvPicPr/>
                  </pic:nvPicPr>
                  <pic:blipFill rotWithShape="1">
                    <a:blip r:embed="rId71"/>
                    <a:srcRect l="29656" t="28244" r="45290" b="40033"/>
                    <a:stretch/>
                  </pic:blipFill>
                  <pic:spPr bwMode="auto">
                    <a:xfrm>
                      <a:off x="0" y="0"/>
                      <a:ext cx="3118834" cy="2468280"/>
                    </a:xfrm>
                    <a:prstGeom prst="rect">
                      <a:avLst/>
                    </a:prstGeom>
                    <a:ln>
                      <a:noFill/>
                    </a:ln>
                    <a:extLst>
                      <a:ext uri="{53640926-AAD7-44D8-BBD7-CCE9431645EC}">
                        <a14:shadowObscured xmlns:a14="http://schemas.microsoft.com/office/drawing/2010/main"/>
                      </a:ext>
                    </a:extLst>
                  </pic:spPr>
                </pic:pic>
              </a:graphicData>
            </a:graphic>
          </wp:inline>
        </w:drawing>
      </w:r>
    </w:p>
    <w:p w14:paraId="42A7A2E9" w14:textId="00272B3C" w:rsidR="008D0CAD" w:rsidRPr="00071086" w:rsidRDefault="008D0CAD" w:rsidP="00071086">
      <w:pPr>
        <w:spacing w:before="100" w:beforeAutospacing="1" w:after="100" w:afterAutospacing="1" w:line="360" w:lineRule="auto"/>
        <w:ind w:hanging="33"/>
        <w:rPr>
          <w:rFonts w:ascii="Calibri Light" w:hAnsi="Calibri Light" w:cs="Calibri Light"/>
          <w:sz w:val="20"/>
          <w:szCs w:val="22"/>
          <w:lang w:val="en-AU"/>
        </w:rPr>
      </w:pPr>
      <w:r w:rsidRPr="00093517">
        <w:rPr>
          <w:rFonts w:ascii="Calibri Light" w:hAnsi="Calibri Light" w:cs="Calibri Light"/>
          <w:sz w:val="20"/>
          <w:szCs w:val="22"/>
          <w:lang w:val="en-AU"/>
        </w:rPr>
        <w:t>Source: SEAMEO-INNOTECH, 2012a</w:t>
      </w:r>
    </w:p>
    <w:p w14:paraId="34218D07" w14:textId="77777777" w:rsidR="008D0CAD" w:rsidRPr="00AA04A4" w:rsidRDefault="008D0CAD" w:rsidP="00DD08E3">
      <w:pPr>
        <w:spacing w:before="100" w:beforeAutospacing="1" w:after="100" w:afterAutospacing="1" w:line="360" w:lineRule="auto"/>
        <w:rPr>
          <w:rFonts w:ascii="Calibri Light" w:hAnsi="Calibri Light" w:cs="Calibri Light"/>
          <w:snapToGrid w:val="0"/>
          <w:lang w:val="en-US"/>
        </w:rPr>
      </w:pPr>
      <w:r w:rsidRPr="00AA04A4">
        <w:rPr>
          <w:rFonts w:ascii="Calibri Light" w:hAnsi="Calibri Light" w:cs="Calibri Light"/>
          <w:snapToGrid w:val="0"/>
          <w:lang w:val="en-US"/>
        </w:rPr>
        <w:t xml:space="preserve">Capability building programs, designed and implemented under BEST, provided support to DepEd in the management of the K to 12 transition, new curriculum implementation and curriculum assessment. </w:t>
      </w:r>
      <w:r w:rsidRPr="00AA04A4">
        <w:rPr>
          <w:rFonts w:ascii="Calibri Light" w:hAnsi="Calibri Light" w:cs="Calibri Light"/>
          <w:bCs/>
          <w:snapToGrid w:val="0"/>
          <w:lang w:val="en-US"/>
        </w:rPr>
        <w:t xml:space="preserve">The curriculum guide and materials that were developed per year level and linked to the previous year (spiral curriculum) made teaching for learning organised and systematic. The development of the </w:t>
      </w:r>
      <w:r w:rsidRPr="00AA04A4">
        <w:rPr>
          <w:rFonts w:ascii="Calibri Light" w:hAnsi="Calibri Light" w:cs="Calibri Light"/>
          <w:snapToGrid w:val="0"/>
          <w:lang w:val="en-US"/>
        </w:rPr>
        <w:t xml:space="preserve">national assessment framework was also significant as it supported the delivery of the curriculum. </w:t>
      </w:r>
    </w:p>
    <w:p w14:paraId="062C0ADB" w14:textId="06ACB61C" w:rsidR="008D0CAD" w:rsidRPr="00AA04A4" w:rsidRDefault="008D0CAD" w:rsidP="00DD08E3">
      <w:pPr>
        <w:spacing w:before="100" w:beforeAutospacing="1" w:after="100" w:afterAutospacing="1" w:line="360" w:lineRule="auto"/>
        <w:rPr>
          <w:rFonts w:ascii="Calibri Light" w:hAnsi="Calibri Light" w:cs="Calibri Light"/>
          <w:snapToGrid w:val="0"/>
          <w:lang w:val="en-US"/>
        </w:rPr>
      </w:pPr>
      <w:r w:rsidRPr="00AA04A4">
        <w:rPr>
          <w:rFonts w:ascii="Calibri Light" w:hAnsi="Calibri Light" w:cs="Calibri Light"/>
          <w:snapToGrid w:val="0"/>
          <w:lang w:val="en-US"/>
        </w:rPr>
        <w:t xml:space="preserve">As an example, the localisation and contextualisation of the curriculum allowed more room for teachers to creatively think outside the box and give examples in the learning plans that are apt in their geographical context. In contrast with the one size fits all context of the curriculum as well as assessments, the improved methodologies resulted from the </w:t>
      </w:r>
      <w:r w:rsidR="000E2324" w:rsidRPr="00AA04A4">
        <w:rPr>
          <w:rFonts w:ascii="Calibri Light" w:hAnsi="Calibri Light" w:cs="Calibri Light"/>
          <w:snapToGrid w:val="0"/>
          <w:lang w:val="en-US"/>
        </w:rPr>
        <w:t>research</w:t>
      </w:r>
      <w:r w:rsidRPr="00AA04A4">
        <w:rPr>
          <w:rFonts w:ascii="Calibri Light" w:hAnsi="Calibri Light" w:cs="Calibri Light"/>
          <w:snapToGrid w:val="0"/>
          <w:lang w:val="en-US"/>
        </w:rPr>
        <w:t xml:space="preserve"> that BEST helped execute. </w:t>
      </w:r>
    </w:p>
    <w:p w14:paraId="62A927B5" w14:textId="77777777" w:rsidR="008D0CAD" w:rsidRPr="00AA04A4" w:rsidRDefault="008D0CAD" w:rsidP="00DD08E3">
      <w:pPr>
        <w:spacing w:before="100" w:beforeAutospacing="1" w:after="100" w:afterAutospacing="1" w:line="360" w:lineRule="auto"/>
        <w:rPr>
          <w:rFonts w:ascii="Calibri Light" w:hAnsi="Calibri Light" w:cs="Calibri Light"/>
          <w:snapToGrid w:val="0"/>
          <w:lang w:val="en-US"/>
        </w:rPr>
      </w:pPr>
      <w:r w:rsidRPr="00AA04A4">
        <w:rPr>
          <w:rFonts w:ascii="Calibri Light" w:hAnsi="Calibri Light" w:cs="Calibri Light"/>
          <w:snapToGrid w:val="0"/>
          <w:lang w:val="en-US"/>
        </w:rPr>
        <w:t xml:space="preserve">In support of the K to 12 curriculum implementations, BEST provided technical assistance on the implementation of the Senior High School (SHS) program, conducted research on curriculum implementation and assessment systems, and strengthened the system for national assessment as well as classroom assessment practices in DepEd. </w:t>
      </w:r>
    </w:p>
    <w:p w14:paraId="0E6534C8" w14:textId="77777777" w:rsidR="008D0CAD" w:rsidRPr="00AA04A4" w:rsidRDefault="008D0CAD" w:rsidP="00DD08E3">
      <w:pPr>
        <w:spacing w:before="100" w:beforeAutospacing="1" w:after="100" w:afterAutospacing="1" w:line="360" w:lineRule="auto"/>
        <w:rPr>
          <w:rFonts w:ascii="Calibri Light" w:hAnsi="Calibri Light" w:cs="Calibri Light"/>
          <w:snapToGrid w:val="0"/>
          <w:lang w:val="en-US"/>
        </w:rPr>
      </w:pPr>
      <w:r w:rsidRPr="00AA04A4">
        <w:rPr>
          <w:rFonts w:ascii="Calibri Light" w:hAnsi="Calibri Light" w:cs="Calibri Light"/>
          <w:snapToGrid w:val="0"/>
          <w:lang w:val="en-US"/>
        </w:rPr>
        <w:t xml:space="preserve">The Program also provides capability building support to DepEd that will allow its staff to manage the K to 12 implementation and curriculum assessment. Teaching and Learning Materials: Under this sub-component, BEST supported the strengthening of the Bureau of Learning Resources (BLR) to fulfil its function of design, development, procurement and quality assurance of K to 12 teaching and learning materials. The Program also helped in strengthening of the BEST Regions capacity to manage and operationalise the Learning Resources Management and Development System (LRMDS) and the formulation of strategies and tools to support further development of school and class libraries. Educational facilities, in partnership with the Philippine Business for Social Progress (PBSP), provided additional classroom and access to clean water and toilets and access to school by children with (physical) disabilities with the provision of ramps. </w:t>
      </w:r>
    </w:p>
    <w:p w14:paraId="5BA690F4" w14:textId="77777777" w:rsidR="008D0CAD" w:rsidRPr="00AA04A4" w:rsidRDefault="008D0CAD" w:rsidP="00DD08E3">
      <w:pPr>
        <w:spacing w:before="100" w:beforeAutospacing="1" w:after="100" w:afterAutospacing="1" w:line="360" w:lineRule="auto"/>
        <w:rPr>
          <w:rFonts w:ascii="Calibri Light" w:hAnsi="Calibri Light" w:cs="Calibri Light"/>
          <w:snapToGrid w:val="0"/>
          <w:lang w:val="en-GB"/>
        </w:rPr>
      </w:pPr>
      <w:r w:rsidRPr="00AA04A4">
        <w:rPr>
          <w:rFonts w:ascii="Calibri Light" w:hAnsi="Calibri Light" w:cs="Calibri Light"/>
          <w:snapToGrid w:val="0"/>
          <w:lang w:val="en-US"/>
        </w:rPr>
        <w:t>In addition, continuing the gains from the Philippines Response to Indigenous Peoples and Muslim Education (PRIME) program, BEST continued to provide technical supports for the efficient and effective implementation of the Indigenous Peoples’ Education (IPEd) and Madrasah Education (ME). Another important deliverable for this subcomponent is the capability building of DepEd staff to manage inclusive education for learners with disability. These are intended to facilitate increase participation of learners from different contexts.</w:t>
      </w:r>
    </w:p>
    <w:p w14:paraId="2013D89A" w14:textId="7C7F0621" w:rsidR="008D0CAD" w:rsidRPr="00AA04A4" w:rsidRDefault="008D0CAD" w:rsidP="00DD08E3">
      <w:pPr>
        <w:spacing w:before="100" w:beforeAutospacing="1" w:after="100" w:afterAutospacing="1" w:line="360" w:lineRule="auto"/>
        <w:rPr>
          <w:rFonts w:ascii="Calibri Light" w:hAnsi="Calibri Light" w:cs="Calibri Light"/>
          <w:snapToGrid w:val="0"/>
          <w:szCs w:val="20"/>
          <w:lang w:val="en-US"/>
        </w:rPr>
      </w:pPr>
      <w:r w:rsidRPr="00AA04A4">
        <w:rPr>
          <w:rFonts w:ascii="Calibri Light" w:hAnsi="Calibri Light" w:cs="Calibri Light"/>
          <w:snapToGrid w:val="0"/>
          <w:szCs w:val="20"/>
          <w:lang w:val="en-US"/>
        </w:rPr>
        <w:t xml:space="preserve">With this the following new imperatives for Kto12 are highlighted: (1) Streamline the curriculum to improve mastery of basic competencies; (2) Ensure seamlessness of primary, secondary and post-secondary competencies; (3) Improve teaching through the use of enhanced pedagogies (e.g., spiral progression in Science and Math) and medium of instruction; and, (4) Expand job opportunities (by reducing jobs-skills mismatch and provide better preparation for higher training. Consequently, this points towards mutual benefits between Australia and the Philippines as a more inclusive and open economy will boost both economies. The financial aid being given by DFAT longs to eventually shift the two countries’ relationship from donor-recipient to strong economic partners (DFAT, 2019). </w:t>
      </w:r>
    </w:p>
    <w:p w14:paraId="34695E5E" w14:textId="77777777" w:rsidR="008D0CAD" w:rsidRPr="00AA04A4" w:rsidRDefault="008D0CAD" w:rsidP="00DD08E3">
      <w:pPr>
        <w:spacing w:before="100" w:beforeAutospacing="1" w:after="100" w:afterAutospacing="1" w:line="360" w:lineRule="auto"/>
        <w:rPr>
          <w:rFonts w:ascii="Tahoma" w:hAnsi="Tahoma" w:cs="Tahoma"/>
          <w:snapToGrid w:val="0"/>
          <w:color w:val="37424A"/>
          <w:szCs w:val="20"/>
          <w:lang w:val="en-US"/>
        </w:rPr>
      </w:pPr>
      <w:r w:rsidRPr="00AA04A4">
        <w:rPr>
          <w:rFonts w:ascii="Calibri Light" w:hAnsi="Calibri Light" w:cs="Calibri Light"/>
          <w:snapToGrid w:val="0"/>
          <w:szCs w:val="20"/>
          <w:lang w:val="en-US"/>
        </w:rPr>
        <w:t>In a recent self-assessment on Kto12 implementation conducted by DepEd last January 2017, it was reported that the condition of learners at the kindergarten level improved with a more localised curriculum, the construction of child-friendly classrooms and school-community partnerships. For Grades 1 to 6, Christian, Muslim and learners from indigenous communities were able to access a curriculum geared towards their learning needs. Muslim children were also provided the venue for learning Arabic as well (Metilla, Predilla &amp; Williams, 2016, 2017). It was also observed that, for Junior and Senior High Schools, DepEd has been responsive to the pre-determined strands. Even with this progress, DepEd still has a long way to further their commitment to the Filipino learners and make Kto12 more relevant and responsive; in fact, in line with the spiral approach of the new curriculum, DepEd is consulting industry and other sectors to introduce innovations in science and technology, as well as make their graduates develop 21</w:t>
      </w:r>
      <w:r w:rsidRPr="00AA04A4">
        <w:rPr>
          <w:rFonts w:ascii="Calibri Light" w:hAnsi="Calibri Light" w:cs="Calibri Light"/>
          <w:snapToGrid w:val="0"/>
          <w:szCs w:val="20"/>
          <w:vertAlign w:val="superscript"/>
          <w:lang w:val="en-US"/>
        </w:rPr>
        <w:t>st</w:t>
      </w:r>
      <w:r w:rsidRPr="00AA04A4">
        <w:rPr>
          <w:rFonts w:ascii="Calibri Light" w:hAnsi="Calibri Light" w:cs="Calibri Light"/>
          <w:snapToGrid w:val="0"/>
          <w:szCs w:val="20"/>
          <w:lang w:val="en-US"/>
        </w:rPr>
        <w:t xml:space="preserve"> Century Skills (ACTRC, 2015). </w:t>
      </w:r>
    </w:p>
    <w:p w14:paraId="49560E7F" w14:textId="77777777" w:rsidR="008D0CAD" w:rsidRPr="00AA04A4" w:rsidRDefault="008D0CAD" w:rsidP="00DD08E3">
      <w:pPr>
        <w:pStyle w:val="Heading5"/>
        <w:numPr>
          <w:ilvl w:val="0"/>
          <w:numId w:val="0"/>
        </w:numPr>
        <w:spacing w:before="100" w:beforeAutospacing="1" w:after="100" w:afterAutospacing="1" w:line="360" w:lineRule="auto"/>
        <w:ind w:left="1222" w:hanging="1080"/>
      </w:pPr>
      <w:bookmarkStart w:id="358" w:name="_Toc16263682"/>
      <w:bookmarkStart w:id="359" w:name="_Toc16326740"/>
      <w:r w:rsidRPr="00AA04A4">
        <w:t>Teacher Pre-Service Quality Improvement</w:t>
      </w:r>
      <w:bookmarkEnd w:id="358"/>
      <w:r w:rsidRPr="00AA04A4">
        <w:t xml:space="preserve"> (TPQI)</w:t>
      </w:r>
      <w:bookmarkEnd w:id="359"/>
    </w:p>
    <w:p w14:paraId="0576E985" w14:textId="13D115D0" w:rsidR="008D0CAD" w:rsidRPr="00AA04A4" w:rsidRDefault="008D0CAD" w:rsidP="00DD08E3">
      <w:pPr>
        <w:spacing w:before="100" w:beforeAutospacing="1" w:after="100" w:afterAutospacing="1" w:line="360" w:lineRule="auto"/>
        <w:rPr>
          <w:rFonts w:ascii="Calibri Light" w:hAnsi="Calibri Light"/>
          <w:snapToGrid w:val="0"/>
          <w:szCs w:val="20"/>
          <w:lang w:val="en-US"/>
        </w:rPr>
      </w:pPr>
      <w:bookmarkStart w:id="360" w:name="_Hlk15566173"/>
      <w:r w:rsidRPr="00AA04A4">
        <w:rPr>
          <w:rFonts w:ascii="Calibri Light" w:hAnsi="Calibri Light"/>
          <w:snapToGrid w:val="0"/>
          <w:szCs w:val="20"/>
          <w:lang w:val="en-US"/>
        </w:rPr>
        <w:t xml:space="preserve">The addition of Kindergarten and SHS intends to bring the Philippines’ basic education system more into line with international standards and make SHS graduates more competitive domestically and globally (Okabe, 2013; Leviste, 2019). </w:t>
      </w:r>
      <w:r w:rsidRPr="00AA04A4">
        <w:rPr>
          <w:rFonts w:ascii="Calibri Light" w:hAnsi="Calibri Light"/>
          <w:snapToGrid w:val="0"/>
          <w:lang w:val="en-AU" w:eastAsia="en-AU"/>
        </w:rPr>
        <w:t xml:space="preserve">With the </w:t>
      </w:r>
      <w:r w:rsidRPr="00AA04A4">
        <w:rPr>
          <w:rFonts w:ascii="Calibri Light" w:hAnsi="Calibri Light" w:cs="Apple Chancery"/>
          <w:snapToGrid w:val="0"/>
          <w:szCs w:val="20"/>
          <w:lang w:val="en-GB"/>
        </w:rPr>
        <w:t>Kto12 reform as the cornerstone of educational reform in the country, it has brought with it corresponding considerations that needs to be addressed.</w:t>
      </w:r>
      <w:r w:rsidRPr="00AA04A4">
        <w:rPr>
          <w:rFonts w:ascii="Calibri Light" w:hAnsi="Calibri Light"/>
          <w:snapToGrid w:val="0"/>
          <w:szCs w:val="20"/>
          <w:lang w:val="en-US"/>
        </w:rPr>
        <w:t xml:space="preserve"> In August 2016, 1.5m Filipino children attended 11th grade, with senior high school students choosing between four tracks through the system: academic, technical-vocational, sports or the arts.</w:t>
      </w:r>
      <w:bookmarkEnd w:id="360"/>
      <w:r w:rsidR="00D434EB">
        <w:rPr>
          <w:rFonts w:ascii="Calibri Light" w:hAnsi="Calibri Light"/>
          <w:snapToGrid w:val="0"/>
          <w:szCs w:val="20"/>
          <w:lang w:val="en-US"/>
        </w:rPr>
        <w:t xml:space="preserve"> </w:t>
      </w:r>
      <w:r w:rsidRPr="00AA04A4">
        <w:rPr>
          <w:rFonts w:ascii="Calibri Light" w:hAnsi="Calibri Light"/>
          <w:snapToGrid w:val="0"/>
          <w:szCs w:val="20"/>
          <w:lang w:val="en-US"/>
        </w:rPr>
        <w:t>The introduction of such reforms, to be more responsive to student needs, should also focus on the availability of competent teachers who can manage and teach in the Kto12 classroom. Before the Kto12 implementation, it was reported that there are not enough teachers within the educational system; with a forecast of more than 21 million learners for the incoming school year in the first year of Kto12 implementation, a shortage of more than 50,000 teachers was expected (DepEd, 2017b).</w:t>
      </w:r>
    </w:p>
    <w:p w14:paraId="3DE93C74" w14:textId="1986E261" w:rsidR="008D0CAD" w:rsidRPr="00AA04A4" w:rsidRDefault="008D0CAD" w:rsidP="00DD08E3">
      <w:pPr>
        <w:spacing w:before="100" w:beforeAutospacing="1" w:after="100" w:afterAutospacing="1" w:line="360" w:lineRule="auto"/>
        <w:rPr>
          <w:rFonts w:ascii="Calibri Light" w:hAnsi="Calibri Light"/>
          <w:snapToGrid w:val="0"/>
          <w:szCs w:val="20"/>
          <w:lang w:val="en-US"/>
        </w:rPr>
      </w:pPr>
      <w:r w:rsidRPr="00AA04A4">
        <w:rPr>
          <w:rFonts w:ascii="Calibri Light" w:hAnsi="Calibri Light"/>
          <w:snapToGrid w:val="0"/>
          <w:szCs w:val="20"/>
          <w:lang w:val="en-US"/>
        </w:rPr>
        <w:t>In addition, equipping current and future teachers to handle the programs, especially the different SHS strands was deemed necessary.</w:t>
      </w:r>
      <w:r w:rsidR="00D434EB">
        <w:rPr>
          <w:rFonts w:ascii="Calibri Light" w:hAnsi="Calibri Light"/>
          <w:snapToGrid w:val="0"/>
          <w:szCs w:val="20"/>
          <w:lang w:val="en-US"/>
        </w:rPr>
        <w:t xml:space="preserve">  </w:t>
      </w:r>
      <w:r w:rsidRPr="00AA04A4">
        <w:rPr>
          <w:rFonts w:ascii="Calibri Light" w:hAnsi="Calibri Light"/>
          <w:snapToGrid w:val="0"/>
          <w:szCs w:val="20"/>
          <w:lang w:val="en-US"/>
        </w:rPr>
        <w:t xml:space="preserve"> Teacher Education Institutions (TEIs) should be able to prepare its students to </w:t>
      </w:r>
      <w:r w:rsidR="00AF5A6A">
        <w:rPr>
          <w:rFonts w:ascii="Calibri Light" w:hAnsi="Calibri Light"/>
          <w:snapToGrid w:val="0"/>
          <w:szCs w:val="20"/>
          <w:lang w:val="en-US"/>
        </w:rPr>
        <w:t xml:space="preserve">be </w:t>
      </w:r>
      <w:r w:rsidRPr="00AA04A4">
        <w:rPr>
          <w:rFonts w:ascii="Calibri Light" w:hAnsi="Calibri Light"/>
          <w:snapToGrid w:val="0"/>
          <w:szCs w:val="20"/>
          <w:lang w:val="en-US"/>
        </w:rPr>
        <w:t>ready to manage and teach in the Kto12 classroom through pre-service education and teacher training (Acosta and Acosta, 2016; Montebon, 2015). Earlier literature pointed towards perception of students that Kto12 teachers need to be further equipped; Montebon (2014: 154) explained that students look at teacher performance and the need for “</w:t>
      </w:r>
      <w:r w:rsidRPr="00AA04A4">
        <w:rPr>
          <w:rFonts w:ascii="Calibri Light" w:hAnsi="Calibri Light" w:cs="Calibri Light"/>
          <w:i/>
          <w:snapToGrid w:val="0"/>
          <w:szCs w:val="20"/>
          <w:lang w:val="en-US"/>
        </w:rPr>
        <w:t>shifts from traditional methods of teaching to a more innovative exploration that emphasises the enhancement of the students’ critical thinking and scientific skills. The new curriculum utilises learner-centered approach such as the inquiry-based learning pedagogy. Concepts and skills are being taught by providing pedagogy which will enable them to enhance their cognitive, affective, and psychomotor domains</w:t>
      </w:r>
      <w:r w:rsidRPr="00AA04A4">
        <w:rPr>
          <w:rFonts w:ascii="Calibri Light" w:hAnsi="Calibri Light" w:cs="Calibri Light"/>
          <w:snapToGrid w:val="0"/>
          <w:szCs w:val="20"/>
          <w:lang w:val="en-US"/>
        </w:rPr>
        <w:t xml:space="preserve">”. This is further supported by other literature as pre-service teachers expressed the need for more education geared towards the Kto12 curriculum (Montebon, 2015). In addition, </w:t>
      </w:r>
      <w:r w:rsidRPr="00AA04A4">
        <w:rPr>
          <w:rFonts w:ascii="Calibri Light" w:hAnsi="Calibri Light"/>
          <w:snapToGrid w:val="0"/>
          <w:szCs w:val="20"/>
          <w:lang w:val="en-US"/>
        </w:rPr>
        <w:t xml:space="preserve">Acosta and Acosta (2016) conveyed that teachers themselves perceive that these higher education institutions (HEIs) are not prepared to develop the new teachers; hence, affecting teacher readiness. </w:t>
      </w:r>
    </w:p>
    <w:p w14:paraId="37C0FD44" w14:textId="77777777" w:rsidR="008D0CAD" w:rsidRPr="00AA04A4" w:rsidRDefault="008D0CAD" w:rsidP="00DD08E3">
      <w:pPr>
        <w:spacing w:before="100" w:beforeAutospacing="1" w:after="100" w:afterAutospacing="1" w:line="360" w:lineRule="auto"/>
        <w:rPr>
          <w:rFonts w:ascii="Calibri Light" w:hAnsi="Calibri Light" w:cs="Calibri Light"/>
          <w:color w:val="000000"/>
          <w:lang w:val="en-US"/>
        </w:rPr>
      </w:pPr>
      <w:r w:rsidRPr="00AA04A4">
        <w:rPr>
          <w:rFonts w:ascii="Calibri Light" w:hAnsi="Calibri Light" w:cs="Calibri Light"/>
          <w:lang w:val="en-US"/>
        </w:rPr>
        <w:t xml:space="preserve">The change in basic education curriculum from ten to 13-year program requires an enhancement in the existing teacher education curriculum. The inclusion of the Senior High School (SHS) with a sub-track on education requires a teacher education program that continues the content and foundation courses in basic education particularly those set in the SHS program. It is for this reason that Teacher Education Institutions (TEIs) need evidence-based advice on the kind of course offerings that could prepare the pre-service teachers to become the champions in the implementation of the K to 12 Reform when they eventually join the teaching profession. </w:t>
      </w:r>
      <w:r w:rsidRPr="00AA04A4">
        <w:rPr>
          <w:rFonts w:ascii="Calibri Light" w:hAnsi="Calibri Light" w:cs="Calibri Light"/>
          <w:color w:val="000000"/>
          <w:lang w:val="en-US"/>
        </w:rPr>
        <w:t>The interventions of the BEST Program under the TPQI generally falls under two groups of activities: enhancing the education curriculum; and direct provision of scholarships to promote the teaching profession.</w:t>
      </w:r>
    </w:p>
    <w:p w14:paraId="01C0EC5A" w14:textId="77777777" w:rsidR="008D0CAD" w:rsidRPr="00AA04A4" w:rsidRDefault="008D0CAD" w:rsidP="00DD08E3">
      <w:pPr>
        <w:spacing w:before="100" w:beforeAutospacing="1" w:after="100" w:afterAutospacing="1" w:line="360" w:lineRule="auto"/>
        <w:rPr>
          <w:rFonts w:ascii="Calibri Light" w:hAnsi="Calibri Light" w:cs="Calibri Light"/>
          <w:color w:val="000000"/>
          <w:lang w:val="en-US"/>
        </w:rPr>
      </w:pPr>
      <w:r w:rsidRPr="00AA04A4">
        <w:rPr>
          <w:rFonts w:ascii="Calibri Light" w:hAnsi="Calibri Light" w:cs="Calibri Light"/>
          <w:color w:val="000000"/>
          <w:lang w:val="en-US"/>
        </w:rPr>
        <w:t>In addition, as part of its support, the Pre-Service Teacher Development Needs Study (PTDNS) – under the RCTQ was also conceptualised in 2014. Phase I of the PTDNS</w:t>
      </w:r>
      <w:r w:rsidRPr="00AA04A4">
        <w:rPr>
          <w:rFonts w:ascii="Calibri Light" w:hAnsi="Calibri Light" w:cs="Calibri Light"/>
          <w:lang w:val="en-US"/>
        </w:rPr>
        <w:t xml:space="preserve"> involved the assessment of graduating students from the TEIs on their content knowledge using developed tests in Mathematics, Science, English and Filipino. Likewise, the Teachers’ Strengths and Needs Assessment - with permission to be used from DepEd - was also administered to assess their perceived pedagogical knowledge, skills and attitudes. The assessment results will also be correlated to the graduating cohorts’ LET scores to gauge the effectiveness of the system in certifying the readiness of TEI graduates in entering the teaching profession. For Phase II, PTDNS results were presented to the National Network of Normal Schools, Teacher Education Panel and relevant stakeholders through focus-group to draw insights and implications of the study to the development of curricular programs, policies, and standards in teacher education. The PTDNS was critical to the design and subsequent development of programs intended to strengthen the capabilities of the beginning teachers as they are integrated to the K to12 system. </w:t>
      </w:r>
      <w:r w:rsidRPr="00AA04A4">
        <w:rPr>
          <w:rFonts w:ascii="Calibri Light" w:hAnsi="Calibri Light" w:cs="Calibri Light"/>
          <w:color w:val="000000"/>
          <w:lang w:val="en-US"/>
        </w:rPr>
        <w:t>The PTDNS served as basis for training and other curriculum inputs. BEST also implemented a Capability Building Series for education faculty from TEIs to offer specific inputs and updates on a range of teaching and learning issues such as Inclusive Education, Action Research and Formative Assessment.</w:t>
      </w:r>
    </w:p>
    <w:p w14:paraId="6137F995" w14:textId="3EE624F3" w:rsidR="008D0CAD" w:rsidRDefault="008D0CAD" w:rsidP="00DD08E3">
      <w:pPr>
        <w:spacing w:before="100" w:beforeAutospacing="1" w:after="100" w:afterAutospacing="1" w:line="360" w:lineRule="auto"/>
        <w:rPr>
          <w:lang w:val="en-US"/>
        </w:rPr>
      </w:pPr>
      <w:r w:rsidRPr="00AA04A4">
        <w:rPr>
          <w:rFonts w:ascii="Calibri Light" w:hAnsi="Calibri Light" w:cs="Calibri Light"/>
          <w:color w:val="000000"/>
          <w:lang w:val="en-US"/>
        </w:rPr>
        <w:t>In terms of directly improving the pool of quality teachers, the Philippines Business for Education (PBED) managed the local scholarship program aimed to attract highly qualified individuals to become teachers in learning areas where they are needed, e.g. Math, Science and English.</w:t>
      </w:r>
      <w:r w:rsidR="00D434EB">
        <w:rPr>
          <w:rFonts w:ascii="Calibri Light" w:hAnsi="Calibri Light" w:cs="Calibri Light"/>
          <w:color w:val="000000"/>
          <w:lang w:val="en-US"/>
        </w:rPr>
        <w:t xml:space="preserve"> </w:t>
      </w:r>
      <w:r w:rsidRPr="00AA04A4">
        <w:rPr>
          <w:rFonts w:ascii="Calibri Light" w:hAnsi="Calibri Light" w:cs="Calibri Light"/>
          <w:color w:val="000000"/>
          <w:lang w:val="en-US"/>
        </w:rPr>
        <w:t xml:space="preserve">The Program was called </w:t>
      </w:r>
      <w:r w:rsidRPr="00AA04A4">
        <w:rPr>
          <w:rFonts w:ascii="Calibri Light" w:hAnsi="Calibri Light" w:cs="Calibri Light"/>
          <w:bCs/>
          <w:lang w:val="en-US"/>
        </w:rPr>
        <w:t xml:space="preserve">Scholarships for Teacher Education Programs to Uplift Teacher Quality in the Philippines (STEP UP). </w:t>
      </w:r>
      <w:r w:rsidRPr="00AA04A4">
        <w:rPr>
          <w:rFonts w:ascii="Calibri Light" w:hAnsi="Calibri Light" w:cs="Calibri Light"/>
          <w:color w:val="000000"/>
        </w:rPr>
        <w:t>PBED targeted to place 1,000 teaching scholarships for the duration of the BEST Program.</w:t>
      </w:r>
      <w:r w:rsidR="00D434EB">
        <w:rPr>
          <w:rFonts w:ascii="Calibri Light" w:hAnsi="Calibri Light" w:cs="Calibri Light"/>
          <w:color w:val="000000"/>
        </w:rPr>
        <w:t xml:space="preserve"> </w:t>
      </w:r>
    </w:p>
    <w:p w14:paraId="202998DB" w14:textId="77777777" w:rsidR="008D0CAD" w:rsidRPr="00AA04A4" w:rsidRDefault="008D0CAD" w:rsidP="00DD08E3">
      <w:pPr>
        <w:pStyle w:val="Heading4"/>
        <w:spacing w:before="100" w:beforeAutospacing="1" w:after="100" w:afterAutospacing="1" w:line="360" w:lineRule="auto"/>
        <w:rPr>
          <w:lang w:val="en-US"/>
        </w:rPr>
      </w:pPr>
      <w:bookmarkStart w:id="361" w:name="_Toc16326741"/>
      <w:r w:rsidRPr="00AA04A4">
        <w:rPr>
          <w:lang w:val="en-US"/>
        </w:rPr>
        <w:t>Towards Student Participation</w:t>
      </w:r>
      <w:bookmarkEnd w:id="361"/>
    </w:p>
    <w:p w14:paraId="76D9C50C" w14:textId="77777777" w:rsidR="008D0CAD" w:rsidRPr="00AA04A4" w:rsidRDefault="008D0CAD" w:rsidP="00DD08E3">
      <w:pPr>
        <w:pStyle w:val="Heading5"/>
        <w:numPr>
          <w:ilvl w:val="0"/>
          <w:numId w:val="0"/>
        </w:numPr>
        <w:spacing w:before="100" w:beforeAutospacing="1" w:after="100" w:afterAutospacing="1" w:line="360" w:lineRule="auto"/>
        <w:ind w:left="1222" w:hanging="1080"/>
      </w:pPr>
      <w:bookmarkStart w:id="362" w:name="_Toc16263683"/>
      <w:bookmarkStart w:id="363" w:name="_Toc16326742"/>
      <w:r w:rsidRPr="00AA04A4">
        <w:t>School-Based Management (SBM)</w:t>
      </w:r>
      <w:bookmarkEnd w:id="362"/>
      <w:bookmarkEnd w:id="363"/>
    </w:p>
    <w:p w14:paraId="1B69661B" w14:textId="77777777" w:rsidR="008D0CAD" w:rsidRPr="00AA04A4" w:rsidRDefault="008D0CAD" w:rsidP="00DD08E3">
      <w:pPr>
        <w:spacing w:before="100" w:beforeAutospacing="1" w:after="100" w:afterAutospacing="1" w:line="360" w:lineRule="auto"/>
        <w:rPr>
          <w:rFonts w:ascii="Calibri Light" w:hAnsi="Calibri Light" w:cs="Calibri Light"/>
          <w:color w:val="000000"/>
          <w:lang w:val="en-US"/>
        </w:rPr>
      </w:pPr>
      <w:r w:rsidRPr="00AA04A4">
        <w:rPr>
          <w:rFonts w:ascii="Calibri Light" w:hAnsi="Calibri Light" w:cs="Calibri Light"/>
          <w:color w:val="000000"/>
          <w:lang w:val="en-US"/>
        </w:rPr>
        <w:t>Challenges/Problems related to the absence of SBM</w:t>
      </w:r>
    </w:p>
    <w:p w14:paraId="357EE051" w14:textId="250F2930" w:rsidR="008D0CAD" w:rsidRPr="00AA04A4" w:rsidRDefault="008D0CAD" w:rsidP="00DD08E3">
      <w:pPr>
        <w:spacing w:before="100" w:beforeAutospacing="1" w:after="100" w:afterAutospacing="1" w:line="360" w:lineRule="auto"/>
        <w:rPr>
          <w:rFonts w:ascii="Calibri Light" w:hAnsi="Calibri Light" w:cs="Calibri Light"/>
          <w:snapToGrid w:val="0"/>
          <w:szCs w:val="20"/>
          <w:lang w:val="en-US" w:eastAsia="en-GB"/>
        </w:rPr>
      </w:pPr>
      <w:r w:rsidRPr="00AA04A4">
        <w:rPr>
          <w:rFonts w:ascii="Calibri Light" w:hAnsi="Calibri Light" w:cs="Calibri Light"/>
          <w:snapToGrid w:val="0"/>
          <w:szCs w:val="20"/>
          <w:lang w:val="en-US" w:eastAsia="en-GB"/>
        </w:rPr>
        <w:t>School-Based Management (SBM), which was implemented as early 1990s in the developing countries, comprised of promoting autonomy in schools by giving them leeway in decisions about management and administration (Briggs and Wohlstetter;</w:t>
      </w:r>
      <w:r w:rsidR="00D434EB">
        <w:rPr>
          <w:rFonts w:ascii="Calibri Light" w:hAnsi="Calibri Light" w:cs="Calibri Light"/>
          <w:snapToGrid w:val="0"/>
          <w:szCs w:val="20"/>
          <w:lang w:val="en-US" w:eastAsia="en-GB"/>
        </w:rPr>
        <w:t xml:space="preserve"> </w:t>
      </w:r>
      <w:r w:rsidRPr="00AA04A4">
        <w:rPr>
          <w:rFonts w:ascii="Calibri Light" w:hAnsi="Calibri Light" w:cs="Calibri Light"/>
          <w:snapToGrid w:val="0"/>
          <w:szCs w:val="20"/>
          <w:lang w:val="en-US" w:eastAsia="en-GB"/>
        </w:rPr>
        <w:t>Erbes, 2006; Gamage &amp;</w:t>
      </w:r>
      <w:r w:rsidR="00D434EB">
        <w:rPr>
          <w:rFonts w:ascii="Calibri Light" w:hAnsi="Calibri Light" w:cs="Calibri Light"/>
          <w:snapToGrid w:val="0"/>
          <w:szCs w:val="20"/>
          <w:lang w:val="en-US" w:eastAsia="en-GB"/>
        </w:rPr>
        <w:t xml:space="preserve"> </w:t>
      </w:r>
      <w:r w:rsidRPr="00AA04A4">
        <w:rPr>
          <w:rFonts w:ascii="Calibri Light" w:hAnsi="Calibri Light" w:cs="Calibri Light"/>
          <w:snapToGrid w:val="0"/>
          <w:szCs w:val="20"/>
          <w:lang w:val="en-US" w:eastAsia="en-GB"/>
        </w:rPr>
        <w:t>Sooksomchitra, 2004; Gamage and Zajdja, 2009; Richardson, 2007; Stevenson, 2001; Umansky and Vegas, 2007).</w:t>
      </w:r>
      <w:r w:rsidR="00D434EB">
        <w:rPr>
          <w:rFonts w:ascii="Calibri Light" w:hAnsi="Calibri Light" w:cs="Calibri Light"/>
          <w:snapToGrid w:val="0"/>
          <w:szCs w:val="20"/>
          <w:lang w:val="en-US" w:eastAsia="en-GB"/>
        </w:rPr>
        <w:t xml:space="preserve"> </w:t>
      </w:r>
      <w:r w:rsidRPr="00AA04A4">
        <w:rPr>
          <w:rFonts w:ascii="Calibri Light" w:hAnsi="Calibri Light" w:cs="Calibri Light"/>
          <w:snapToGrid w:val="0"/>
          <w:szCs w:val="20"/>
          <w:lang w:val="en-US" w:eastAsia="en-GB"/>
        </w:rPr>
        <w:t>This suggests increased autonomy in the administration of the school’s human, material and financial resources. However, SBM outcome is undoubtedly a core and contentious issue, with some authors claiming that SBM has produced significant impact, while others argue that its introduction has led to deterioration especially in the weakest schools.</w:t>
      </w:r>
      <w:r w:rsidR="00D434EB">
        <w:rPr>
          <w:rFonts w:ascii="Calibri Light" w:hAnsi="Calibri Light" w:cs="Calibri Light"/>
          <w:snapToGrid w:val="0"/>
          <w:szCs w:val="20"/>
          <w:lang w:val="en-US" w:eastAsia="en-GB"/>
        </w:rPr>
        <w:t xml:space="preserve"> </w:t>
      </w:r>
    </w:p>
    <w:p w14:paraId="5F705A57" w14:textId="46B2E493" w:rsidR="008D0CAD" w:rsidRPr="00AA04A4" w:rsidRDefault="008D0CAD" w:rsidP="00DD08E3">
      <w:pPr>
        <w:spacing w:before="100" w:beforeAutospacing="1" w:after="100" w:afterAutospacing="1" w:line="360" w:lineRule="auto"/>
        <w:rPr>
          <w:rFonts w:ascii="Calibri Light" w:hAnsi="Calibri Light" w:cs="Calibri Light"/>
          <w:snapToGrid w:val="0"/>
          <w:szCs w:val="20"/>
          <w:lang w:val="en-US" w:eastAsia="en-GB"/>
        </w:rPr>
      </w:pPr>
      <w:r w:rsidRPr="00AA04A4">
        <w:rPr>
          <w:rFonts w:ascii="Calibri Light" w:hAnsi="Calibri Light" w:cs="Calibri Light"/>
          <w:snapToGrid w:val="0"/>
          <w:szCs w:val="20"/>
          <w:lang w:val="en-US" w:eastAsia="en-GB"/>
        </w:rPr>
        <w:t>SBM studies in the last few years disclose a variety of implementation barriers and challenges.</w:t>
      </w:r>
      <w:r w:rsidR="00D434EB">
        <w:rPr>
          <w:rFonts w:ascii="Calibri Light" w:hAnsi="Calibri Light" w:cs="Calibri Light"/>
          <w:snapToGrid w:val="0"/>
          <w:szCs w:val="20"/>
          <w:lang w:val="en-US" w:eastAsia="en-GB"/>
        </w:rPr>
        <w:t xml:space="preserve"> </w:t>
      </w:r>
      <w:r w:rsidRPr="00AA04A4">
        <w:rPr>
          <w:rFonts w:ascii="Calibri Light" w:hAnsi="Calibri Light" w:cs="Calibri Light"/>
          <w:snapToGrid w:val="0"/>
          <w:szCs w:val="20"/>
          <w:lang w:val="en-US" w:eastAsia="en-GB"/>
        </w:rPr>
        <w:t>Many researchers report that the barriers include poor resources in schools, lack of professional development on leadership for school leaders, confusion on the part of school councils in relation to new roles and responsibilities, difficulties of coordination, lack of decision-making authority, lack of knowledge, low parental participation, and under funding of education by governments (Grauwe, 2005; Mulyasa, 2004; Gamage &amp; Sooksomchitra, 2004).</w:t>
      </w:r>
      <w:r w:rsidR="00D434EB">
        <w:rPr>
          <w:rFonts w:ascii="Calibri Light" w:hAnsi="Calibri Light" w:cs="Calibri Light"/>
          <w:snapToGrid w:val="0"/>
          <w:szCs w:val="20"/>
          <w:lang w:val="en-US" w:eastAsia="en-GB"/>
        </w:rPr>
        <w:t xml:space="preserve"> </w:t>
      </w:r>
    </w:p>
    <w:p w14:paraId="7446B06A" w14:textId="2D257D98" w:rsidR="008D0CAD" w:rsidRPr="00AA04A4" w:rsidRDefault="008D0CAD" w:rsidP="00DD08E3">
      <w:pPr>
        <w:spacing w:before="100" w:beforeAutospacing="1" w:after="100" w:afterAutospacing="1" w:line="360" w:lineRule="auto"/>
        <w:rPr>
          <w:rFonts w:ascii="Calibri Light" w:hAnsi="Calibri Light" w:cs="Calibri Light"/>
          <w:snapToGrid w:val="0"/>
          <w:szCs w:val="20"/>
          <w:lang w:val="en-US" w:eastAsia="en-GB"/>
        </w:rPr>
      </w:pPr>
      <w:r w:rsidRPr="00AA04A4">
        <w:rPr>
          <w:rFonts w:ascii="Calibri Light" w:hAnsi="Calibri Light" w:cs="Calibri Light"/>
          <w:snapToGrid w:val="0"/>
          <w:szCs w:val="20"/>
          <w:lang w:val="en-US" w:eastAsia="en-GB"/>
        </w:rPr>
        <w:t>On the other hand, some research revealed that SBM is crucial in empowering schools towards the improvement of educational processes, more responsive teaching/learning environments, and positive student outcomes (Caldwell, 2008, 2005; Gamage and Zajda, 2005; 2009; Lam, 2006; Gamage and Sooksomchitra, 2004; Leroy, 2002).</w:t>
      </w:r>
      <w:r w:rsidR="00D434EB">
        <w:rPr>
          <w:rFonts w:ascii="Calibri Light" w:hAnsi="Calibri Light" w:cs="Calibri Light"/>
          <w:snapToGrid w:val="0"/>
          <w:szCs w:val="20"/>
          <w:lang w:val="en-US" w:eastAsia="en-GB"/>
        </w:rPr>
        <w:t xml:space="preserve"> </w:t>
      </w:r>
      <w:r w:rsidRPr="00AA04A4">
        <w:rPr>
          <w:rFonts w:ascii="Calibri Light" w:hAnsi="Calibri Light" w:cs="Calibri Light"/>
          <w:snapToGrid w:val="0"/>
          <w:szCs w:val="20"/>
          <w:lang w:val="en-US" w:eastAsia="en-GB"/>
        </w:rPr>
        <w:t>Gamage &amp; Zajda (2005) explained that SBM is primarily concerned with a system of educational decentralisation in order to strengthen and empower school communities. In short, the system can empower stakeholders within school communities, increase participation in decision-making, and provide opportunities to share power and authority at the school level through the forum of a school council board.</w:t>
      </w:r>
      <w:r w:rsidR="00D434EB">
        <w:rPr>
          <w:rFonts w:ascii="Calibri Light" w:hAnsi="Calibri Light" w:cs="Calibri Light"/>
          <w:snapToGrid w:val="0"/>
          <w:szCs w:val="20"/>
          <w:lang w:val="en-US" w:eastAsia="en-GB"/>
        </w:rPr>
        <w:t xml:space="preserve"> </w:t>
      </w:r>
      <w:r w:rsidRPr="00AA04A4">
        <w:rPr>
          <w:rFonts w:ascii="Calibri Light" w:hAnsi="Calibri Light" w:cs="Calibri Light"/>
          <w:snapToGrid w:val="0"/>
          <w:szCs w:val="20"/>
          <w:lang w:val="en-US" w:eastAsia="en-GB"/>
        </w:rPr>
        <w:t xml:space="preserve"> This has resulted in the creation of healthier teaching/learning environments leading to more efficient and effective schools with quality education (Gamage, 1998a: 313).</w:t>
      </w:r>
      <w:r w:rsidR="00D434EB">
        <w:rPr>
          <w:rFonts w:ascii="Calibri Light" w:hAnsi="Calibri Light" w:cs="Calibri Light"/>
          <w:snapToGrid w:val="0"/>
          <w:szCs w:val="20"/>
          <w:lang w:val="en-US" w:eastAsia="en-GB"/>
        </w:rPr>
        <w:t xml:space="preserve"> </w:t>
      </w:r>
    </w:p>
    <w:p w14:paraId="56EAD987" w14:textId="77777777" w:rsidR="008D0CAD" w:rsidRPr="00AA04A4" w:rsidRDefault="008D0CAD" w:rsidP="00DD08E3">
      <w:pPr>
        <w:spacing w:before="100" w:beforeAutospacing="1" w:after="100" w:afterAutospacing="1" w:line="360" w:lineRule="auto"/>
        <w:rPr>
          <w:rFonts w:ascii="Calibri Light" w:hAnsi="Calibri Light" w:cs="Calibri Light"/>
          <w:snapToGrid w:val="0"/>
          <w:szCs w:val="20"/>
          <w:lang w:val="en-US"/>
        </w:rPr>
      </w:pPr>
      <w:r w:rsidRPr="00AA04A4">
        <w:rPr>
          <w:rFonts w:ascii="Calibri Light" w:hAnsi="Calibri Light" w:cs="Calibri Light"/>
          <w:snapToGrid w:val="0"/>
          <w:szCs w:val="20"/>
          <w:lang w:val="en-US"/>
        </w:rPr>
        <w:t>The recommendations of BESRA in 2006 included a strategy to improve management by transferring significant decision-making from the central government to regions, divisions, and schools.</w:t>
      </w:r>
      <w:r w:rsidRPr="00AA04A4">
        <w:rPr>
          <w:rFonts w:ascii="Calibri Light" w:hAnsi="Calibri Light" w:cs="Calibri Light"/>
          <w:snapToGrid w:val="0"/>
          <w:color w:val="FF0000"/>
          <w:szCs w:val="20"/>
          <w:lang w:val="en-US"/>
        </w:rPr>
        <w:t xml:space="preserve"> </w:t>
      </w:r>
      <w:r w:rsidRPr="00AA04A4">
        <w:rPr>
          <w:rFonts w:ascii="Calibri Light" w:hAnsi="Calibri Light" w:cs="Calibri Light"/>
          <w:snapToGrid w:val="0"/>
          <w:szCs w:val="20"/>
          <w:lang w:val="en-US"/>
        </w:rPr>
        <w:t>The School-Based Management (SBM) was designed to provide principals, teachers, students, parents, communities and local governments with greater involvement over the education process.</w:t>
      </w:r>
    </w:p>
    <w:p w14:paraId="0AA7F62C" w14:textId="08CF29C2" w:rsidR="008D0CAD" w:rsidRPr="00AA04A4" w:rsidRDefault="008D0CAD" w:rsidP="00DD08E3">
      <w:pPr>
        <w:spacing w:before="100" w:beforeAutospacing="1" w:after="100" w:afterAutospacing="1" w:line="360" w:lineRule="auto"/>
        <w:rPr>
          <w:rFonts w:ascii="Calibri Light" w:hAnsi="Calibri Light" w:cs="Calibri Light"/>
          <w:snapToGrid w:val="0"/>
          <w:color w:val="000000"/>
          <w:szCs w:val="20"/>
          <w:lang w:val="en-US"/>
        </w:rPr>
      </w:pPr>
      <w:r w:rsidRPr="00AA04A4">
        <w:rPr>
          <w:rFonts w:ascii="Calibri Light" w:hAnsi="Calibri Light" w:cs="Calibri Light"/>
          <w:snapToGrid w:val="0"/>
          <w:color w:val="000000"/>
          <w:szCs w:val="20"/>
          <w:lang w:val="en-US"/>
        </w:rPr>
        <w:t>The premise of SBM as implemented in the Philippines is that principals, teachers, parents, and the local communities are in the best position to know the needs of their schools and to make appropriate decisions in a timely manner.</w:t>
      </w:r>
      <w:r w:rsidR="00D434EB">
        <w:rPr>
          <w:rFonts w:ascii="Calibri Light" w:hAnsi="Calibri Light" w:cs="Calibri Light"/>
          <w:snapToGrid w:val="0"/>
          <w:color w:val="000000"/>
          <w:szCs w:val="20"/>
          <w:lang w:val="en-US"/>
        </w:rPr>
        <w:t xml:space="preserve"> </w:t>
      </w:r>
      <w:r w:rsidRPr="00AA04A4">
        <w:rPr>
          <w:rFonts w:ascii="Calibri Light" w:hAnsi="Calibri Light" w:cs="Calibri Light"/>
          <w:snapToGrid w:val="0"/>
          <w:color w:val="000000"/>
          <w:szCs w:val="20"/>
          <w:lang w:val="en-US"/>
        </w:rPr>
        <w:t>Therefore, “involving local stakeholders in addressing local problems is the key to improving schools and even to mobilising much-needed resources” (World Bank, 2004). Several authors assessed the viability of such initiatives in the Philippines (Bernardo, et.al, 2010; de Guzman, 2002, 2006; Khattri et. al.). De Guzman (2002) described how School-Based Management as a concept of school restructuring was initiated, operationalised and implemented in the Philippines.</w:t>
      </w:r>
      <w:r w:rsidR="00D434EB">
        <w:rPr>
          <w:rFonts w:ascii="Calibri Light" w:hAnsi="Calibri Light" w:cs="Calibri Light"/>
          <w:snapToGrid w:val="0"/>
          <w:color w:val="000000"/>
          <w:szCs w:val="20"/>
          <w:lang w:val="en-US"/>
        </w:rPr>
        <w:t xml:space="preserve"> </w:t>
      </w:r>
      <w:r w:rsidRPr="00AA04A4">
        <w:rPr>
          <w:rFonts w:ascii="Calibri Light" w:hAnsi="Calibri Light" w:cs="Calibri Light"/>
          <w:snapToGrid w:val="0"/>
          <w:color w:val="000000"/>
          <w:szCs w:val="20"/>
          <w:lang w:val="en-US"/>
        </w:rPr>
        <w:t>In this paper, he enumerated that there were roadblocks to SBM, especially the form of decentralisation here in the Philippines, namely, (1) the detailed and rigid specification of the government budget as set by Congress; and (2) the Magna Carta for teachers that impeded local education officials from giving additional loads to teachers and other school personnel.</w:t>
      </w:r>
      <w:r w:rsidR="00D434EB">
        <w:rPr>
          <w:rFonts w:ascii="Calibri Light" w:hAnsi="Calibri Light" w:cs="Calibri Light"/>
          <w:snapToGrid w:val="0"/>
          <w:color w:val="000000"/>
          <w:szCs w:val="20"/>
          <w:lang w:val="en-US"/>
        </w:rPr>
        <w:t xml:space="preserve"> </w:t>
      </w:r>
      <w:r w:rsidRPr="00AA04A4">
        <w:rPr>
          <w:rFonts w:ascii="Calibri Light" w:hAnsi="Calibri Light" w:cs="Calibri Light"/>
          <w:snapToGrid w:val="0"/>
          <w:color w:val="000000"/>
          <w:szCs w:val="20"/>
          <w:lang w:val="en-US"/>
        </w:rPr>
        <w:t>With these systemic impediments, de Guzman called for a more aggressive system of decentralisation that would address and be more responsive to the needs of the educational system.</w:t>
      </w:r>
    </w:p>
    <w:p w14:paraId="689BBF90" w14:textId="77777777" w:rsidR="008D0CAD" w:rsidRPr="00AA04A4" w:rsidRDefault="008D0CAD" w:rsidP="00DD08E3">
      <w:pPr>
        <w:pStyle w:val="Heading5"/>
        <w:numPr>
          <w:ilvl w:val="0"/>
          <w:numId w:val="0"/>
        </w:numPr>
        <w:spacing w:before="100" w:beforeAutospacing="1" w:after="100" w:afterAutospacing="1" w:line="360" w:lineRule="auto"/>
        <w:ind w:left="1222" w:hanging="1080"/>
      </w:pPr>
      <w:r w:rsidRPr="00AA04A4">
        <w:t>BEST Program Interventions on addressing the Problem stated above</w:t>
      </w:r>
    </w:p>
    <w:p w14:paraId="3A10DF63" w14:textId="66A77535" w:rsidR="008D0CAD" w:rsidRPr="00AA04A4" w:rsidRDefault="008D0CAD" w:rsidP="00DD08E3">
      <w:pPr>
        <w:spacing w:before="100" w:beforeAutospacing="1" w:after="100" w:afterAutospacing="1" w:line="360" w:lineRule="auto"/>
        <w:rPr>
          <w:rFonts w:ascii="Calibri Light" w:hAnsi="Calibri Light" w:cs="Calibri Light"/>
          <w:snapToGrid w:val="0"/>
          <w:szCs w:val="20"/>
          <w:lang w:val="en-US"/>
        </w:rPr>
      </w:pPr>
      <w:r w:rsidRPr="00AA04A4">
        <w:rPr>
          <w:rFonts w:ascii="Calibri Light" w:hAnsi="Calibri Light" w:cs="Calibri Light"/>
          <w:snapToGrid w:val="0"/>
          <w:szCs w:val="20"/>
          <w:lang w:val="en-US"/>
        </w:rPr>
        <w:t>SBM is intended to strengthen the support systems of the DepEd through improved educational planning and management; specifically, it aims to: (1) strengthen the support systems of DepEd, Regional Offices, selected Divisions and schools for School Based Management through improved educational planning and management; and (2) develop a functional management support system for continuing school improvement at regional, division and school levels (DepEd, 2009). SBM is comprised of the following sub-components created to attain these goals: (1) Policy and Planning System, (2) Participatory Mechanisms in Education Governance, (3) Human Resource Development of Education Management, Quality Assurance and Accountability System, and (5) Programs to Improve Access.</w:t>
      </w:r>
      <w:r w:rsidR="00D434EB">
        <w:rPr>
          <w:rFonts w:ascii="Calibri Light" w:hAnsi="Calibri Light" w:cs="Calibri Light"/>
          <w:snapToGrid w:val="0"/>
          <w:szCs w:val="20"/>
          <w:lang w:val="en-US"/>
        </w:rPr>
        <w:t xml:space="preserve"> </w:t>
      </w:r>
    </w:p>
    <w:p w14:paraId="3456BE45" w14:textId="11B8170F" w:rsidR="008D0CAD" w:rsidRPr="00AA04A4" w:rsidRDefault="008D0CAD" w:rsidP="00DD08E3">
      <w:pPr>
        <w:spacing w:before="100" w:beforeAutospacing="1" w:after="100" w:afterAutospacing="1" w:line="360" w:lineRule="auto"/>
        <w:rPr>
          <w:rFonts w:ascii="Calibri Light" w:hAnsi="Calibri Light" w:cs="Calibri Light"/>
          <w:snapToGrid w:val="0"/>
          <w:color w:val="000000"/>
          <w:lang w:val="en-US"/>
        </w:rPr>
      </w:pPr>
      <w:r w:rsidRPr="00AA04A4">
        <w:rPr>
          <w:rFonts w:ascii="Calibri Light" w:hAnsi="Calibri Light" w:cs="Calibri Light"/>
          <w:snapToGrid w:val="0"/>
          <w:szCs w:val="20"/>
          <w:lang w:val="en-US" w:eastAsia="en-GB"/>
        </w:rPr>
        <w:t>BEST intended to contribute to the achievement of DepEd’s efforts in School-Based Management.</w:t>
      </w:r>
      <w:r w:rsidR="00D434EB">
        <w:rPr>
          <w:rFonts w:ascii="Calibri Light" w:hAnsi="Calibri Light" w:cs="Calibri Light"/>
          <w:snapToGrid w:val="0"/>
          <w:szCs w:val="20"/>
          <w:lang w:val="en-US" w:eastAsia="en-GB"/>
        </w:rPr>
        <w:t xml:space="preserve"> </w:t>
      </w:r>
      <w:r w:rsidRPr="00AA04A4">
        <w:rPr>
          <w:rFonts w:ascii="Calibri Light" w:hAnsi="Calibri Light" w:cs="Calibri Light"/>
          <w:snapToGrid w:val="0"/>
          <w:szCs w:val="20"/>
          <w:lang w:val="en-US" w:eastAsia="en-GB"/>
        </w:rPr>
        <w:t xml:space="preserve">The activities supported by were selected according to the priorities established by the DepEd Central Office, anchored on the Philippine Development Plan and prepared in close consultation with counterparts and other stakeholders. </w:t>
      </w:r>
      <w:r w:rsidRPr="00AA04A4">
        <w:rPr>
          <w:rFonts w:ascii="Calibri Light" w:hAnsi="Calibri Light" w:cs="Calibri Light"/>
          <w:snapToGrid w:val="0"/>
          <w:szCs w:val="20"/>
          <w:lang w:val="en-US"/>
        </w:rPr>
        <w:t xml:space="preserve">SBM, under BEST, was designed to </w:t>
      </w:r>
      <w:r w:rsidRPr="00AA04A4">
        <w:rPr>
          <w:rFonts w:ascii="Calibri Light" w:hAnsi="Calibri Light" w:cs="Calibri Light"/>
          <w:bCs/>
          <w:snapToGrid w:val="0"/>
          <w:szCs w:val="20"/>
          <w:lang w:val="en-US"/>
        </w:rPr>
        <w:t>strengthen the implementation and management of school-based management policies, processes and systems.</w:t>
      </w:r>
      <w:r w:rsidR="00D434EB">
        <w:rPr>
          <w:rFonts w:ascii="Calibri Light" w:hAnsi="Calibri Light" w:cs="Calibri Light"/>
          <w:b/>
          <w:snapToGrid w:val="0"/>
          <w:szCs w:val="20"/>
          <w:lang w:val="en-US"/>
        </w:rPr>
        <w:t xml:space="preserve"> </w:t>
      </w:r>
      <w:r w:rsidRPr="00AA04A4">
        <w:rPr>
          <w:rFonts w:ascii="Calibri Light" w:hAnsi="Calibri Light" w:cs="Calibri Light"/>
          <w:snapToGrid w:val="0"/>
          <w:szCs w:val="20"/>
          <w:lang w:val="en-US"/>
        </w:rPr>
        <w:t xml:space="preserve">This is intended to fine-tune the design of school-based management, and install major implementing and management systems, including operations management and M&amp;E” (Cardno, 2015: 35). BEST assistance – in terms of process improvement and support as well as researches –  would further improve SBM </w:t>
      </w:r>
      <w:r w:rsidRPr="00AA04A4">
        <w:rPr>
          <w:rFonts w:ascii="Calibri Light" w:hAnsi="Calibri Light" w:cs="Calibri Light"/>
          <w:snapToGrid w:val="0"/>
          <w:color w:val="000000"/>
          <w:lang w:val="en-US"/>
        </w:rPr>
        <w:t>implementation and management across DepEd’s governance levels at the central, regional and division. The support provided by BEST in this area included the following:</w:t>
      </w:r>
    </w:p>
    <w:p w14:paraId="7ECE26B8" w14:textId="77777777" w:rsidR="008D0CAD" w:rsidRPr="00AA04A4" w:rsidRDefault="008D0CAD" w:rsidP="00DD08E3">
      <w:pPr>
        <w:widowControl w:val="0"/>
        <w:numPr>
          <w:ilvl w:val="0"/>
          <w:numId w:val="143"/>
        </w:numPr>
        <w:spacing w:before="100" w:beforeAutospacing="1" w:after="100" w:afterAutospacing="1" w:line="360" w:lineRule="auto"/>
        <w:rPr>
          <w:rFonts w:ascii="Calibri Light" w:hAnsi="Calibri Light" w:cs="Calibri Light"/>
          <w:snapToGrid w:val="0"/>
          <w:color w:val="000000"/>
          <w:lang w:val="en-US"/>
        </w:rPr>
      </w:pPr>
      <w:r w:rsidRPr="00AA04A4">
        <w:rPr>
          <w:rFonts w:ascii="Calibri Light" w:hAnsi="Calibri Light" w:cs="Calibri Light"/>
          <w:snapToGrid w:val="0"/>
          <w:color w:val="000000"/>
          <w:lang w:val="en-US"/>
        </w:rPr>
        <w:t>The finalisation of key SBM policies establishing SBM organisational structures, systems, and processes.</w:t>
      </w:r>
    </w:p>
    <w:p w14:paraId="45B04FE3" w14:textId="77777777" w:rsidR="008D0CAD" w:rsidRPr="00AA04A4" w:rsidRDefault="008D0CAD" w:rsidP="00DD08E3">
      <w:pPr>
        <w:widowControl w:val="0"/>
        <w:numPr>
          <w:ilvl w:val="0"/>
          <w:numId w:val="143"/>
        </w:numPr>
        <w:spacing w:before="100" w:beforeAutospacing="1" w:after="100" w:afterAutospacing="1" w:line="360" w:lineRule="auto"/>
        <w:rPr>
          <w:rFonts w:ascii="Calibri Light" w:hAnsi="Calibri Light" w:cs="Calibri Light"/>
          <w:snapToGrid w:val="0"/>
          <w:color w:val="000000"/>
          <w:lang w:val="en-US"/>
        </w:rPr>
      </w:pPr>
      <w:r w:rsidRPr="00AA04A4">
        <w:rPr>
          <w:rFonts w:ascii="Calibri Light" w:hAnsi="Calibri Light" w:cs="Calibri Light"/>
          <w:snapToGrid w:val="0"/>
          <w:color w:val="000000"/>
          <w:lang w:val="en-US"/>
        </w:rPr>
        <w:t xml:space="preserve">The strengthening of the capacity of SBM coordinators and school personnel in pilot schools on implementing SBM. </w:t>
      </w:r>
    </w:p>
    <w:p w14:paraId="17F598CD" w14:textId="77777777" w:rsidR="008D0CAD" w:rsidRPr="00AA04A4" w:rsidRDefault="008D0CAD" w:rsidP="00DD08E3">
      <w:pPr>
        <w:widowControl w:val="0"/>
        <w:numPr>
          <w:ilvl w:val="0"/>
          <w:numId w:val="143"/>
        </w:numPr>
        <w:spacing w:before="100" w:beforeAutospacing="1" w:after="100" w:afterAutospacing="1" w:line="360" w:lineRule="auto"/>
        <w:rPr>
          <w:rFonts w:ascii="Calibri Light" w:hAnsi="Calibri Light" w:cs="Calibri Light"/>
          <w:snapToGrid w:val="0"/>
          <w:color w:val="000000"/>
          <w:lang w:val="en-US"/>
        </w:rPr>
      </w:pPr>
      <w:r w:rsidRPr="00AA04A4">
        <w:rPr>
          <w:rFonts w:ascii="Calibri Light" w:hAnsi="Calibri Light" w:cs="Calibri Light"/>
          <w:snapToGrid w:val="0"/>
          <w:color w:val="000000"/>
          <w:lang w:val="en-US"/>
        </w:rPr>
        <w:t>The development of knowledge products on SBM.</w:t>
      </w:r>
    </w:p>
    <w:p w14:paraId="43F3A213" w14:textId="77777777" w:rsidR="008D0CAD" w:rsidRPr="00AA04A4" w:rsidRDefault="008D0CAD" w:rsidP="00DD08E3">
      <w:pPr>
        <w:spacing w:before="100" w:beforeAutospacing="1" w:after="100" w:afterAutospacing="1" w:line="360" w:lineRule="auto"/>
        <w:rPr>
          <w:rFonts w:ascii="Calibri Light" w:hAnsi="Calibri Light" w:cs="Calibri Light"/>
          <w:b/>
          <w:color w:val="C00000"/>
          <w:lang w:val="en-US"/>
        </w:rPr>
      </w:pPr>
      <w:r w:rsidRPr="00AA04A4">
        <w:rPr>
          <w:rFonts w:ascii="Calibri Light" w:hAnsi="Calibri Light" w:cs="Calibri Light"/>
          <w:color w:val="000000"/>
          <w:lang w:val="en-US"/>
        </w:rPr>
        <w:t xml:space="preserve">This is further supported by recent Basic Education governance literature that emphasised that interventions focus must be “the </w:t>
      </w:r>
      <w:r w:rsidRPr="00AA04A4">
        <w:rPr>
          <w:rFonts w:ascii="Calibri Light" w:eastAsia="Calibri" w:hAnsi="Calibri Light" w:cs="Calibri Light"/>
          <w:lang w:val="en-US"/>
        </w:rPr>
        <w:t>extent to which governance responsibility should be assigned to the school-level itself” (Levy, Cameron, Hoadley &amp; Naidoo, 2018: 4).</w:t>
      </w:r>
    </w:p>
    <w:p w14:paraId="749D962E" w14:textId="77777777" w:rsidR="008D0CAD" w:rsidRPr="00AA04A4" w:rsidRDefault="008D0CAD" w:rsidP="00DD08E3">
      <w:pPr>
        <w:pStyle w:val="Heading4"/>
        <w:spacing w:before="100" w:beforeAutospacing="1" w:after="100" w:afterAutospacing="1" w:line="360" w:lineRule="auto"/>
        <w:rPr>
          <w:lang w:val="en-US"/>
        </w:rPr>
      </w:pPr>
      <w:bookmarkStart w:id="364" w:name="_Toc16263684"/>
      <w:bookmarkStart w:id="365" w:name="_Toc16326743"/>
      <w:r w:rsidRPr="00AA04A4">
        <w:rPr>
          <w:lang w:val="en-US"/>
        </w:rPr>
        <w:t>Gender Equity, Disability and Social Inclusion (GEDSI)</w:t>
      </w:r>
      <w:bookmarkEnd w:id="364"/>
      <w:bookmarkEnd w:id="365"/>
    </w:p>
    <w:p w14:paraId="5C975666" w14:textId="77777777" w:rsidR="008D0CAD" w:rsidRPr="00AA04A4" w:rsidRDefault="008D0CAD" w:rsidP="00DD08E3">
      <w:pPr>
        <w:shd w:val="clear" w:color="auto" w:fill="FFFFFF"/>
        <w:spacing w:before="100" w:beforeAutospacing="1" w:after="100" w:afterAutospacing="1" w:line="360" w:lineRule="auto"/>
        <w:textAlignment w:val="baseline"/>
        <w:rPr>
          <w:rFonts w:ascii="Calibri Light" w:hAnsi="Calibri Light" w:cs="Calibri Light"/>
          <w:b/>
          <w:bCs/>
          <w:color w:val="000000"/>
          <w:lang w:val="en-US"/>
        </w:rPr>
      </w:pPr>
      <w:r w:rsidRPr="00AA04A4">
        <w:rPr>
          <w:rFonts w:ascii="Calibri Light" w:hAnsi="Calibri Light" w:cs="Calibri Light"/>
          <w:color w:val="1D2228"/>
          <w:lang w:val="en-US" w:eastAsia="en-PH"/>
        </w:rPr>
        <w:t xml:space="preserve">The Development Research News (April-June 2019, Volume 37, ISSN 2508-0857) of the Philippine Institute for Development Studies (PIDS) featured the results of the research </w:t>
      </w:r>
      <w:r w:rsidRPr="00AA04A4">
        <w:rPr>
          <w:rFonts w:ascii="Calibri Light" w:hAnsi="Calibri Light" w:cs="Calibri Light"/>
          <w:i/>
          <w:color w:val="1A1A1A"/>
          <w:lang w:val="en-US"/>
        </w:rPr>
        <w:t>Gender Equity in Education: Helping Boys Catch Up.</w:t>
      </w:r>
      <w:r w:rsidRPr="00AA04A4">
        <w:rPr>
          <w:rFonts w:ascii="Calibri Light" w:hAnsi="Calibri Light" w:cs="Calibri Light"/>
          <w:color w:val="1D2228"/>
          <w:lang w:val="en-US" w:eastAsia="en-PH"/>
        </w:rPr>
        <w:t xml:space="preserve"> </w:t>
      </w:r>
      <w:r w:rsidRPr="00AA04A4">
        <w:rPr>
          <w:rFonts w:ascii="Calibri Light" w:hAnsi="Calibri Light" w:cs="Calibri Light"/>
          <w:color w:val="1A1A1A"/>
          <w:lang w:val="en-US"/>
        </w:rPr>
        <w:t>The research revealed that a</w:t>
      </w:r>
      <w:r w:rsidRPr="00AA04A4">
        <w:rPr>
          <w:rFonts w:ascii="Calibri Light" w:hAnsi="Calibri Light" w:cs="Calibri Light"/>
          <w:color w:val="1D2228"/>
          <w:lang w:val="en-US" w:eastAsia="en-PH"/>
        </w:rPr>
        <w:t xml:space="preserve">lthough the country ranked high in educational attainment, it was lagging behind in gender parity in education. Filipino boys were missing out in basic and secondary education, in terms of enrolment, performance and completion rates. Girls receive more schooling and perform better than boys, and this gap is more pronounced among the low-income groups, reflecting the link between poverty and education. </w:t>
      </w:r>
    </w:p>
    <w:p w14:paraId="34DA7247" w14:textId="77777777" w:rsidR="008D0CAD" w:rsidRPr="00AA04A4" w:rsidRDefault="008D0CAD" w:rsidP="00DD08E3">
      <w:pPr>
        <w:shd w:val="clear" w:color="auto" w:fill="FFFFFF"/>
        <w:spacing w:before="100" w:beforeAutospacing="1" w:after="100" w:afterAutospacing="1" w:line="360" w:lineRule="auto"/>
        <w:textAlignment w:val="baseline"/>
        <w:rPr>
          <w:rFonts w:ascii="Calibri Light" w:hAnsi="Calibri Light" w:cs="Calibri Light"/>
          <w:b/>
          <w:bCs/>
          <w:color w:val="000000"/>
          <w:lang w:val="en-US"/>
        </w:rPr>
      </w:pPr>
      <w:r w:rsidRPr="00AA04A4">
        <w:rPr>
          <w:rFonts w:ascii="Calibri Light" w:hAnsi="Calibri Light" w:cs="Calibri Light"/>
          <w:color w:val="1D2228"/>
          <w:lang w:val="en-US" w:eastAsia="en-PH"/>
        </w:rPr>
        <w:t>The 2016 Annual Poverty Indicators Survey (APIS) also showed that boys lagged behind girls in basic education.</w:t>
      </w:r>
    </w:p>
    <w:p w14:paraId="3B5EE4DC" w14:textId="29357E8F" w:rsidR="008D0CAD" w:rsidRPr="00AA04A4" w:rsidRDefault="008D0CAD" w:rsidP="00DD08E3">
      <w:pPr>
        <w:shd w:val="clear" w:color="auto" w:fill="FFFFFF"/>
        <w:spacing w:before="100" w:beforeAutospacing="1" w:after="100" w:afterAutospacing="1" w:line="360" w:lineRule="auto"/>
        <w:textAlignment w:val="baseline"/>
        <w:rPr>
          <w:rFonts w:ascii="Calibri Light" w:hAnsi="Calibri Light" w:cs="Calibri Light"/>
          <w:b/>
          <w:bCs/>
          <w:color w:val="000000"/>
          <w:lang w:val="en-US"/>
        </w:rPr>
      </w:pPr>
      <w:r w:rsidRPr="00AA04A4">
        <w:rPr>
          <w:rFonts w:ascii="Calibri Light" w:hAnsi="Calibri Light" w:cs="Calibri Light"/>
          <w:color w:val="1D2228"/>
          <w:lang w:val="en-US" w:eastAsia="en-PH"/>
        </w:rPr>
        <w:t>There was also gap in terms of providing children with disabilities or special needs with access to basic education. According to Mr. Edgardo F. Garcia, MPA of the Deafblind Support Philippines, in his presentation during the 1</w:t>
      </w:r>
      <w:r w:rsidRPr="00AA04A4">
        <w:rPr>
          <w:rFonts w:ascii="Calibri Light" w:hAnsi="Calibri Light" w:cs="Calibri Light"/>
          <w:color w:val="1D2228"/>
          <w:vertAlign w:val="superscript"/>
          <w:lang w:val="en-US" w:eastAsia="en-PH"/>
        </w:rPr>
        <w:t>st</w:t>
      </w:r>
      <w:r w:rsidRPr="00AA04A4">
        <w:rPr>
          <w:rFonts w:ascii="Calibri Light" w:hAnsi="Calibri Light" w:cs="Calibri Light"/>
          <w:color w:val="1D2228"/>
          <w:lang w:val="en-US" w:eastAsia="en-PH"/>
        </w:rPr>
        <w:t xml:space="preserve"> International Conference of Public Librarians in March 2014, he cited that in 2010-2015 the number of Children with Disabilities has reached 2 to 2.13 million based on the October 2013 calculations done by AIM for the Advisory Council for the Education of Children and Youth with Disabilities.</w:t>
      </w:r>
      <w:r w:rsidR="00D434EB">
        <w:rPr>
          <w:rFonts w:ascii="Calibri Light" w:hAnsi="Calibri Light" w:cs="Calibri Light"/>
          <w:color w:val="1D2228"/>
          <w:lang w:val="en-US" w:eastAsia="en-PH"/>
        </w:rPr>
        <w:t xml:space="preserve"> </w:t>
      </w:r>
      <w:r w:rsidRPr="00AA04A4">
        <w:rPr>
          <w:rFonts w:ascii="Calibri Light" w:hAnsi="Calibri Light" w:cs="Calibri Light"/>
          <w:color w:val="1D2228"/>
          <w:lang w:val="en-US" w:eastAsia="en-PH"/>
        </w:rPr>
        <w:t xml:space="preserve">This coincides with the statistics provided in the Dep Ed Order 72 in 2009 which cited that special education in the Philippines has only served 2% of the targeted 2.2 million children with disabilities in the country who live without access to basic education. </w:t>
      </w:r>
    </w:p>
    <w:p w14:paraId="427EA84F" w14:textId="5E5967B3" w:rsidR="008D0CAD" w:rsidRPr="00AA04A4" w:rsidRDefault="008D0CAD" w:rsidP="00DD08E3">
      <w:pPr>
        <w:shd w:val="clear" w:color="auto" w:fill="FFFFFF"/>
        <w:spacing w:before="100" w:beforeAutospacing="1" w:after="100" w:afterAutospacing="1" w:line="360" w:lineRule="auto"/>
        <w:rPr>
          <w:rFonts w:ascii="Calibri Light" w:hAnsi="Calibri Light" w:cs="Calibri Light"/>
          <w:color w:val="1D2228"/>
          <w:lang w:val="en-US" w:eastAsia="en-PH"/>
        </w:rPr>
      </w:pPr>
      <w:r w:rsidRPr="00AA04A4">
        <w:rPr>
          <w:rFonts w:ascii="Calibri Light" w:hAnsi="Calibri Light" w:cs="Calibri Light"/>
          <w:color w:val="1D2228"/>
          <w:lang w:val="en-US" w:eastAsia="en-PH"/>
        </w:rPr>
        <w:t xml:space="preserve">The existence of these gaps very well justified the inclusion of the GEDSI Program intervention under the BEST program. The BEST Program Design Document cited these gaps as among the target areas to be addressed by the program. By addressing these development gaps, the Australian Government also intended to contribute </w:t>
      </w:r>
      <w:r w:rsidR="00AF5A6A">
        <w:rPr>
          <w:rFonts w:ascii="Calibri Light" w:hAnsi="Calibri Light" w:cs="Calibri Light"/>
          <w:color w:val="1D2228"/>
          <w:lang w:val="en-US" w:eastAsia="en-PH"/>
        </w:rPr>
        <w:t>o</w:t>
      </w:r>
      <w:r w:rsidRPr="00AA04A4">
        <w:rPr>
          <w:rFonts w:ascii="Calibri Light" w:hAnsi="Calibri Light" w:cs="Calibri Light"/>
          <w:color w:val="1D2228"/>
          <w:lang w:val="en-US" w:eastAsia="en-PH"/>
        </w:rPr>
        <w:t>n the fulfilment of its various international commitments such as the UN Convention on the Rights of the Child (1989), UN Convention on the Rights of Persons with Disabilities (UNCRPD, 2006), among others.</w:t>
      </w:r>
    </w:p>
    <w:p w14:paraId="100BB71E" w14:textId="26EC2249" w:rsidR="008D0CAD" w:rsidRPr="00AA04A4" w:rsidRDefault="008D0CAD" w:rsidP="00DD08E3">
      <w:pPr>
        <w:shd w:val="clear" w:color="auto" w:fill="FFFFFF"/>
        <w:spacing w:before="100" w:beforeAutospacing="1" w:after="100" w:afterAutospacing="1" w:line="360" w:lineRule="auto"/>
        <w:rPr>
          <w:rFonts w:ascii="Calibri Light" w:hAnsi="Calibri Light" w:cs="Calibri Light"/>
          <w:color w:val="1D2228"/>
          <w:lang w:val="en-US" w:eastAsia="en-PH"/>
        </w:rPr>
      </w:pPr>
      <w:r w:rsidRPr="00AA04A4">
        <w:rPr>
          <w:rFonts w:ascii="Calibri Light" w:hAnsi="Calibri Light" w:cs="Calibri Light"/>
          <w:color w:val="1D2228"/>
          <w:lang w:val="en-US" w:eastAsia="en-PH"/>
        </w:rPr>
        <w:t>The Philippines Aid Investment Plan for 2015-2018 of the Australian Government Department of Foreign Affairs and Trade (DFAT) cited that the overarching goal of the Australian Aid program in the Philippines is to accelerate inclusive economic growth and political stability. Among the three objectives in this Aid Investment Plan was enhancing the foundations of economic growth which gives importance to education investments that would lay the groundwork for a better educated workforce and promote higher participation in the formal labor market. This clearly showed that GEDSI was aligned with this goal and specific objective of the Australian Government.</w:t>
      </w:r>
    </w:p>
    <w:p w14:paraId="2C7CBA43" w14:textId="77777777" w:rsidR="008D0CAD" w:rsidRPr="00AA04A4" w:rsidRDefault="008D0CAD" w:rsidP="00DD08E3">
      <w:pPr>
        <w:shd w:val="clear" w:color="auto" w:fill="FFFFFF"/>
        <w:spacing w:before="100" w:beforeAutospacing="1" w:after="100" w:afterAutospacing="1" w:line="360" w:lineRule="auto"/>
        <w:rPr>
          <w:rFonts w:ascii="Calibri Light" w:hAnsi="Calibri Light" w:cs="Calibri Light"/>
          <w:lang w:val="en-US"/>
        </w:rPr>
      </w:pPr>
      <w:r w:rsidRPr="00AA04A4">
        <w:rPr>
          <w:rFonts w:ascii="Calibri Light" w:hAnsi="Calibri Light" w:cs="Calibri Light"/>
          <w:color w:val="1D2228"/>
          <w:lang w:val="en-US" w:eastAsia="en-PH"/>
        </w:rPr>
        <w:t xml:space="preserve">Moreover, the document recognised the need for support to the Philippine Government’s </w:t>
      </w:r>
      <w:r w:rsidRPr="00AA04A4">
        <w:rPr>
          <w:rFonts w:ascii="Calibri Light" w:hAnsi="Calibri Light" w:cs="Calibri Light"/>
          <w:lang w:val="en-US"/>
        </w:rPr>
        <w:t>basic education sector in order to meet the demand for a job-ready workforce. It cited that around nine per cent of children never enrolled in school. Only 71 percent completed primary school and less than half of grade one entrants end up completing a secondary education. Furthermore, while there were currently more girls than boys attending school in the Philippines, gender equality remained a focus for the Australian Government’s education program. The Australian-supported Programs aimed for the increased inclusion of boys, who recorded a higher drop-out rate than girls, in schools. Gender equality issues will be closely monitored within the sector.</w:t>
      </w:r>
    </w:p>
    <w:p w14:paraId="4802774D" w14:textId="41F23A97" w:rsidR="008D0CAD" w:rsidRPr="00AA04A4" w:rsidRDefault="008D0CAD" w:rsidP="00DD08E3">
      <w:pPr>
        <w:shd w:val="clear" w:color="auto" w:fill="FFFFFF"/>
        <w:spacing w:before="100" w:beforeAutospacing="1" w:after="100" w:afterAutospacing="1" w:line="360" w:lineRule="auto"/>
        <w:rPr>
          <w:rFonts w:ascii="Calibri Light" w:hAnsi="Calibri Light" w:cs="Calibri Light"/>
          <w:lang w:val="en-US"/>
        </w:rPr>
      </w:pPr>
      <w:r w:rsidRPr="00AA04A4">
        <w:rPr>
          <w:rFonts w:ascii="Calibri Light" w:hAnsi="Calibri Light" w:cs="Calibri Light"/>
          <w:bCs/>
          <w:color w:val="000000"/>
          <w:lang w:val="en-US"/>
        </w:rPr>
        <w:t>In fact, Paqueo and Orbeta (2019) wrote: “Instead of merely targeting the educational status of girls…the government focus should be on ‘improving the status of educationally-disadvantaged gender group, albeit males, at a faster rate.’”</w:t>
      </w:r>
      <w:r w:rsidR="00D434EB">
        <w:rPr>
          <w:rFonts w:ascii="Calibri Light" w:hAnsi="Calibri Light" w:cs="Calibri Light"/>
          <w:bCs/>
          <w:color w:val="000000"/>
          <w:lang w:val="en-US"/>
        </w:rPr>
        <w:t xml:space="preserve"> </w:t>
      </w:r>
      <w:r w:rsidRPr="00AA04A4">
        <w:rPr>
          <w:rFonts w:ascii="Calibri Light" w:hAnsi="Calibri Light" w:cs="Calibri Light"/>
          <w:bCs/>
          <w:color w:val="000000"/>
          <w:lang w:val="en-US"/>
        </w:rPr>
        <w:t>This was a reversal of the past Philippine experience when females were the disadvantaged group until the mid-70s when the percentage of women completing college surpassed that of men.</w:t>
      </w:r>
      <w:r w:rsidR="00D434EB">
        <w:rPr>
          <w:rFonts w:ascii="Calibri Light" w:hAnsi="Calibri Light" w:cs="Calibri Light"/>
          <w:bCs/>
          <w:color w:val="000000"/>
          <w:lang w:val="en-US"/>
        </w:rPr>
        <w:t xml:space="preserve"> </w:t>
      </w:r>
      <w:r w:rsidRPr="00AA04A4">
        <w:rPr>
          <w:rFonts w:ascii="Calibri Light" w:hAnsi="Calibri Light" w:cs="Calibri Light"/>
          <w:bCs/>
          <w:color w:val="000000"/>
          <w:lang w:val="en-US"/>
        </w:rPr>
        <w:t>This trend was experienced in other Asian countries and Brazil as well.</w:t>
      </w:r>
      <w:r w:rsidRPr="00AA04A4">
        <w:rPr>
          <w:rFonts w:ascii="Calibri Light" w:hAnsi="Calibri Light" w:cs="Calibri Light"/>
          <w:lang w:val="en-US"/>
        </w:rPr>
        <w:t xml:space="preserve"> Moreover, it was also noted that </w:t>
      </w:r>
      <w:r w:rsidRPr="00AA04A4">
        <w:rPr>
          <w:rFonts w:ascii="Calibri Light" w:hAnsi="Calibri Light" w:cs="Calibri Light"/>
          <w:bCs/>
          <w:color w:val="000000"/>
          <w:lang w:val="en-US"/>
        </w:rPr>
        <w:t>less boys finished elementary than girls (89 percent versus 95 percent).</w:t>
      </w:r>
      <w:r w:rsidR="00D434EB">
        <w:rPr>
          <w:rFonts w:ascii="Calibri Light" w:hAnsi="Calibri Light" w:cs="Calibri Light"/>
          <w:bCs/>
          <w:color w:val="000000"/>
          <w:lang w:val="en-US"/>
        </w:rPr>
        <w:t xml:space="preserve"> </w:t>
      </w:r>
      <w:r w:rsidRPr="00AA04A4">
        <w:rPr>
          <w:rFonts w:ascii="Calibri Light" w:hAnsi="Calibri Light" w:cs="Calibri Light"/>
          <w:bCs/>
          <w:color w:val="000000"/>
          <w:lang w:val="en-US"/>
        </w:rPr>
        <w:t>The same was so for secondary school (64 percent versus 79 percent).</w:t>
      </w:r>
      <w:r w:rsidR="00D434EB">
        <w:rPr>
          <w:rFonts w:ascii="Calibri Light" w:hAnsi="Calibri Light" w:cs="Calibri Light"/>
          <w:bCs/>
          <w:color w:val="000000"/>
          <w:lang w:val="en-US"/>
        </w:rPr>
        <w:t xml:space="preserve"> </w:t>
      </w:r>
      <w:r w:rsidRPr="00AA04A4">
        <w:rPr>
          <w:rFonts w:ascii="Calibri Light" w:hAnsi="Calibri Light" w:cs="Calibri Light"/>
          <w:bCs/>
          <w:color w:val="000000"/>
          <w:lang w:val="en-US"/>
        </w:rPr>
        <w:t>David et al (2017) reported that two out of three out-of-school children aged 5 to 17 years was male.</w:t>
      </w:r>
    </w:p>
    <w:p w14:paraId="21A7B272" w14:textId="77777777" w:rsidR="008D0CAD" w:rsidRPr="00AA04A4" w:rsidRDefault="008D0CAD" w:rsidP="00DD08E3">
      <w:pPr>
        <w:shd w:val="clear" w:color="auto" w:fill="FFFFFF"/>
        <w:spacing w:before="100" w:beforeAutospacing="1" w:after="100" w:afterAutospacing="1" w:line="360" w:lineRule="auto"/>
        <w:rPr>
          <w:rFonts w:ascii="Calibri Light" w:hAnsi="Calibri Light" w:cs="Calibri Light"/>
          <w:color w:val="1D2228"/>
          <w:lang w:val="en-US" w:eastAsia="en-PH"/>
        </w:rPr>
      </w:pPr>
      <w:r w:rsidRPr="00AA04A4">
        <w:rPr>
          <w:rFonts w:ascii="Calibri Light" w:hAnsi="Calibri Light" w:cs="Calibri Light"/>
          <w:lang w:val="en-US"/>
        </w:rPr>
        <w:t xml:space="preserve">The Australian Government also pledged its continued support in Muslim Mindanao for a comprehensive education assistance program that will reduce the gap in school participation and learning achievement particularly in highly disadvantaged communities. </w:t>
      </w:r>
    </w:p>
    <w:p w14:paraId="3975815A" w14:textId="04BE9850" w:rsidR="008D0CAD" w:rsidRPr="00AA04A4" w:rsidRDefault="008D0CAD" w:rsidP="00DD08E3">
      <w:pPr>
        <w:shd w:val="clear" w:color="auto" w:fill="FFFFFF"/>
        <w:spacing w:before="100" w:beforeAutospacing="1" w:after="100" w:afterAutospacing="1" w:line="360" w:lineRule="auto"/>
        <w:rPr>
          <w:rFonts w:ascii="Calibri Light" w:hAnsi="Calibri Light" w:cs="Calibri Light"/>
          <w:color w:val="1D2228"/>
          <w:lang w:val="en-US" w:eastAsia="en-PH"/>
        </w:rPr>
      </w:pPr>
      <w:r w:rsidRPr="00AA04A4">
        <w:rPr>
          <w:rFonts w:ascii="Calibri Light" w:hAnsi="Calibri Light" w:cs="Calibri Light"/>
          <w:lang w:val="en-US"/>
        </w:rPr>
        <w:t>GEDSI is well aligned with the goals of the Philippines as shown in the Country’s 2040 Vision, medium-term development plan, Department of Education’s Vision and Mission, laws and various policy issuances specifically on education.</w:t>
      </w:r>
      <w:r w:rsidR="00D434EB">
        <w:rPr>
          <w:rFonts w:ascii="Calibri Light" w:hAnsi="Calibri Light" w:cs="Calibri Light"/>
          <w:lang w:val="en-US"/>
        </w:rPr>
        <w:t xml:space="preserve"> </w:t>
      </w:r>
      <w:r w:rsidRPr="00AA04A4">
        <w:rPr>
          <w:rFonts w:ascii="Calibri Light" w:hAnsi="Calibri Light" w:cs="Calibri Light"/>
          <w:lang w:val="en-US"/>
        </w:rPr>
        <w:t xml:space="preserve">They all aimed to promote gender responsive and inclusive education. </w:t>
      </w:r>
    </w:p>
    <w:p w14:paraId="6BF02D8A" w14:textId="77777777" w:rsidR="008D0CAD" w:rsidRPr="00AA04A4" w:rsidRDefault="008D0CAD" w:rsidP="00DD08E3">
      <w:pPr>
        <w:shd w:val="clear" w:color="auto" w:fill="FFFFFF"/>
        <w:spacing w:before="100" w:beforeAutospacing="1" w:after="100" w:afterAutospacing="1" w:line="360" w:lineRule="auto"/>
        <w:rPr>
          <w:rFonts w:ascii="Calibri Light" w:hAnsi="Calibri Light" w:cs="Calibri Light"/>
          <w:color w:val="1D2228"/>
          <w:lang w:val="en-US" w:eastAsia="en-PH"/>
        </w:rPr>
      </w:pPr>
      <w:r w:rsidRPr="00AA04A4">
        <w:rPr>
          <w:rFonts w:ascii="Calibri Light" w:hAnsi="Calibri Light" w:cs="Calibri Light"/>
          <w:color w:val="1D2228"/>
          <w:lang w:val="en-US" w:eastAsia="en-PH"/>
        </w:rPr>
        <w:t xml:space="preserve">The </w:t>
      </w:r>
      <w:r w:rsidRPr="00AA04A4">
        <w:rPr>
          <w:rFonts w:ascii="Calibri Light" w:hAnsi="Calibri Light" w:cs="Calibri Light"/>
          <w:i/>
          <w:color w:val="1D2228"/>
          <w:lang w:val="en-US" w:eastAsia="en-PH"/>
        </w:rPr>
        <w:t xml:space="preserve">Ambisyon 2040 </w:t>
      </w:r>
      <w:r w:rsidRPr="00AA04A4">
        <w:rPr>
          <w:rFonts w:ascii="Calibri Light" w:hAnsi="Calibri Light" w:cs="Calibri Light"/>
          <w:color w:val="1D2228"/>
          <w:lang w:val="en-US" w:eastAsia="en-PH"/>
        </w:rPr>
        <w:t>states that</w:t>
      </w:r>
      <w:r w:rsidRPr="00AA04A4">
        <w:rPr>
          <w:rFonts w:ascii="Calibri Light" w:hAnsi="Calibri Light" w:cs="Calibri Light"/>
          <w:i/>
          <w:color w:val="1D2228"/>
          <w:lang w:val="en-US" w:eastAsia="en-PH"/>
        </w:rPr>
        <w:t xml:space="preserve"> </w:t>
      </w:r>
      <w:r w:rsidRPr="00AA04A4">
        <w:rPr>
          <w:rFonts w:ascii="Calibri Light" w:hAnsi="Calibri Light" w:cs="Calibri Light"/>
          <w:color w:val="1D2228"/>
          <w:lang w:val="en-US" w:eastAsia="en-PH"/>
        </w:rPr>
        <w:t>the Philippines shall be a country where all citizens are free from hunger and poverty, have equal opportunities, enabled by fair and just society that is governed with order and unity. Furthermore, the Filipino people envision a nation where families live together, thriving in vibrant, culturally diverse and resilient communities. Also, the Philippines strongly support the achievement of the Sustainable Development Goals which includes SDG #4 - “</w:t>
      </w:r>
      <w:r w:rsidRPr="00AA04A4">
        <w:rPr>
          <w:rFonts w:ascii="Calibri Light" w:hAnsi="Calibri Light" w:cs="Calibri Light"/>
          <w:i/>
          <w:color w:val="1D2228"/>
          <w:lang w:val="en-US" w:eastAsia="en-PH"/>
        </w:rPr>
        <w:t>ensure inclusive and equitable quality education and promote lifelong learning opportunities for al</w:t>
      </w:r>
      <w:r w:rsidRPr="00AA04A4">
        <w:rPr>
          <w:rFonts w:ascii="Calibri Light" w:hAnsi="Calibri Light" w:cs="Calibri Light"/>
          <w:color w:val="1D2228"/>
          <w:lang w:val="en-US" w:eastAsia="en-PH"/>
        </w:rPr>
        <w:t>l”.</w:t>
      </w:r>
    </w:p>
    <w:p w14:paraId="780FEAC9" w14:textId="77777777" w:rsidR="008D0CAD" w:rsidRPr="00AA04A4" w:rsidRDefault="008D0CAD" w:rsidP="00DD08E3">
      <w:pPr>
        <w:autoSpaceDE w:val="0"/>
        <w:autoSpaceDN w:val="0"/>
        <w:adjustRightInd w:val="0"/>
        <w:spacing w:before="100" w:beforeAutospacing="1" w:after="100" w:afterAutospacing="1" w:line="360" w:lineRule="auto"/>
        <w:rPr>
          <w:rFonts w:ascii="Calibri Light" w:hAnsi="Calibri Light" w:cs="Calibri Light"/>
          <w:lang w:val="en-US"/>
        </w:rPr>
      </w:pPr>
      <w:r w:rsidRPr="00AA04A4">
        <w:rPr>
          <w:rFonts w:ascii="Calibri Light" w:hAnsi="Calibri Light" w:cs="Calibri Light"/>
          <w:color w:val="1D2228"/>
          <w:lang w:val="en-US" w:eastAsia="en-PH"/>
        </w:rPr>
        <w:t xml:space="preserve">The 2011-2016 Philippine Development Plan which provided a detailed plan for achieving the country’s goal of reducing poverty </w:t>
      </w:r>
      <w:r w:rsidRPr="00AA04A4">
        <w:rPr>
          <w:rFonts w:ascii="Calibri Light" w:hAnsi="Calibri Light" w:cs="Calibri Light"/>
          <w:lang w:val="en-US"/>
        </w:rPr>
        <w:t xml:space="preserve">stated the need to continuously improve the quality of- and access to- basic education. The plan included strategies to address education issues which made use of a range of learning modes and a holistic approach to inclusivity in relation to meeting the needs of all learners. </w:t>
      </w:r>
    </w:p>
    <w:p w14:paraId="15AF1157" w14:textId="77777777" w:rsidR="008D0CAD" w:rsidRPr="00AA04A4" w:rsidRDefault="008D0CAD" w:rsidP="00DD08E3">
      <w:pPr>
        <w:autoSpaceDE w:val="0"/>
        <w:autoSpaceDN w:val="0"/>
        <w:adjustRightInd w:val="0"/>
        <w:spacing w:before="100" w:beforeAutospacing="1" w:after="100" w:afterAutospacing="1" w:line="360" w:lineRule="auto"/>
        <w:rPr>
          <w:rFonts w:ascii="Calibri Light" w:hAnsi="Calibri Light" w:cs="Calibri Light"/>
          <w:lang w:val="en-US"/>
        </w:rPr>
      </w:pPr>
      <w:r w:rsidRPr="00AA04A4">
        <w:rPr>
          <w:rFonts w:ascii="Calibri Light" w:hAnsi="Calibri Light" w:cs="Calibri Light"/>
          <w:lang w:val="en-US"/>
        </w:rPr>
        <w:t>Aside from the above-mentioned Medium-Term Development Plan, GEDSI’s alignment with the country’s goal of improving the quality of life of Filipino people was clearly shown in the following laws, policies and issuances:</w:t>
      </w:r>
    </w:p>
    <w:p w14:paraId="7838F4DE" w14:textId="77777777" w:rsidR="008D0CAD" w:rsidRPr="00AA04A4" w:rsidRDefault="008D0CAD" w:rsidP="00DD08E3">
      <w:pPr>
        <w:widowControl w:val="0"/>
        <w:numPr>
          <w:ilvl w:val="0"/>
          <w:numId w:val="149"/>
        </w:numPr>
        <w:autoSpaceDE w:val="0"/>
        <w:autoSpaceDN w:val="0"/>
        <w:adjustRightInd w:val="0"/>
        <w:spacing w:before="100" w:beforeAutospacing="1" w:after="100" w:afterAutospacing="1" w:line="360" w:lineRule="auto"/>
        <w:rPr>
          <w:rFonts w:ascii="Calibri Light" w:hAnsi="Calibri Light" w:cs="Calibri Light"/>
          <w:snapToGrid w:val="0"/>
          <w:szCs w:val="20"/>
          <w:lang w:val="en-US"/>
        </w:rPr>
      </w:pPr>
      <w:r w:rsidRPr="00AA04A4">
        <w:rPr>
          <w:rFonts w:ascii="Calibri Light" w:hAnsi="Calibri Light" w:cs="Calibri Light"/>
          <w:snapToGrid w:val="0"/>
          <w:color w:val="1D2228"/>
          <w:szCs w:val="20"/>
          <w:lang w:val="en-US" w:eastAsia="en-PH"/>
        </w:rPr>
        <w:t xml:space="preserve">The enactment of Republic Act 9710 or the Magna Carta of Women in August 2009 further strengthened the various existing laws and policies that aim to empower and protect women. More importantly, the law ensures equal rights and opportunities for men and women. </w:t>
      </w:r>
    </w:p>
    <w:p w14:paraId="3C16E6AE" w14:textId="1EE5E64B" w:rsidR="008D0CAD" w:rsidRPr="00AA04A4" w:rsidRDefault="008D0CAD" w:rsidP="00DD08E3">
      <w:pPr>
        <w:widowControl w:val="0"/>
        <w:numPr>
          <w:ilvl w:val="0"/>
          <w:numId w:val="149"/>
        </w:numPr>
        <w:autoSpaceDE w:val="0"/>
        <w:autoSpaceDN w:val="0"/>
        <w:adjustRightInd w:val="0"/>
        <w:spacing w:before="100" w:beforeAutospacing="1" w:after="100" w:afterAutospacing="1" w:line="360" w:lineRule="auto"/>
        <w:rPr>
          <w:rFonts w:ascii="Calibri Light" w:hAnsi="Calibri Light" w:cs="Calibri Light"/>
          <w:snapToGrid w:val="0"/>
          <w:szCs w:val="20"/>
          <w:lang w:val="en-US"/>
        </w:rPr>
      </w:pPr>
      <w:r w:rsidRPr="00AA04A4">
        <w:rPr>
          <w:rFonts w:ascii="Calibri Light" w:hAnsi="Calibri Light" w:cs="Calibri Light"/>
          <w:snapToGrid w:val="0"/>
          <w:color w:val="1D2228"/>
          <w:szCs w:val="20"/>
          <w:lang w:val="en-US" w:eastAsia="en-PH"/>
        </w:rPr>
        <w:t>The Department of Education’s vision by 2022 was to have nation-loving and competent lifelong learners able to respond to challenges and opportunities through the delivery of quality, accessible, relevant and liberating K to 12 Program by a modern, professional, pro-active, nimble, trusted and nurturing Dep Ed.</w:t>
      </w:r>
      <w:r w:rsidR="00D434EB">
        <w:rPr>
          <w:rFonts w:ascii="Calibri Light" w:hAnsi="Calibri Light" w:cs="Calibri Light"/>
          <w:snapToGrid w:val="0"/>
          <w:color w:val="1D2228"/>
          <w:szCs w:val="20"/>
          <w:lang w:val="en-US" w:eastAsia="en-PH"/>
        </w:rPr>
        <w:t xml:space="preserve"> </w:t>
      </w:r>
      <w:r w:rsidRPr="00AA04A4">
        <w:rPr>
          <w:rFonts w:ascii="Calibri Light" w:hAnsi="Calibri Light" w:cs="Calibri Light"/>
          <w:snapToGrid w:val="0"/>
          <w:color w:val="1D2228"/>
          <w:szCs w:val="20"/>
          <w:lang w:val="en-US" w:eastAsia="en-PH"/>
        </w:rPr>
        <w:t>It is mission of the Dep Ed to protect and promote the right of every Filipino to quality, equitable, culture-based and complete basic education where students learn in a child-friendly, gender-sensitive, safe and motivating environment.</w:t>
      </w:r>
    </w:p>
    <w:p w14:paraId="559C68C4" w14:textId="77777777" w:rsidR="008D0CAD" w:rsidRPr="00AA04A4" w:rsidRDefault="008D0CAD" w:rsidP="00DD08E3">
      <w:pPr>
        <w:widowControl w:val="0"/>
        <w:numPr>
          <w:ilvl w:val="0"/>
          <w:numId w:val="149"/>
        </w:numPr>
        <w:autoSpaceDE w:val="0"/>
        <w:autoSpaceDN w:val="0"/>
        <w:adjustRightInd w:val="0"/>
        <w:spacing w:before="100" w:beforeAutospacing="1" w:after="100" w:afterAutospacing="1" w:line="360" w:lineRule="auto"/>
        <w:rPr>
          <w:rFonts w:ascii="Calibri Light" w:hAnsi="Calibri Light" w:cs="Calibri Light"/>
          <w:snapToGrid w:val="0"/>
          <w:szCs w:val="20"/>
          <w:lang w:val="en-US"/>
        </w:rPr>
      </w:pPr>
      <w:r w:rsidRPr="00AA04A4">
        <w:rPr>
          <w:rFonts w:ascii="Calibri Light" w:hAnsi="Calibri Light" w:cs="Calibri Light"/>
          <w:snapToGrid w:val="0"/>
          <w:color w:val="1D2228"/>
          <w:szCs w:val="20"/>
          <w:lang w:val="en-US" w:eastAsia="en-PH"/>
        </w:rPr>
        <w:t xml:space="preserve">Dep Ed Order 72, s2009 entitled </w:t>
      </w:r>
      <w:r w:rsidRPr="00AA04A4">
        <w:rPr>
          <w:rFonts w:ascii="Calibri Light" w:hAnsi="Calibri Light" w:cs="Calibri Light"/>
          <w:i/>
          <w:snapToGrid w:val="0"/>
          <w:color w:val="1D2228"/>
          <w:szCs w:val="20"/>
          <w:lang w:val="en-US" w:eastAsia="en-PH"/>
        </w:rPr>
        <w:t>“Inclusive Education as Strategy for Increasing Participation Rate of Children”</w:t>
      </w:r>
      <w:r w:rsidRPr="00AA04A4">
        <w:rPr>
          <w:rFonts w:ascii="Calibri Light" w:hAnsi="Calibri Light" w:cs="Calibri Light"/>
          <w:snapToGrid w:val="0"/>
          <w:color w:val="1D2228"/>
          <w:szCs w:val="20"/>
          <w:lang w:val="en-US" w:eastAsia="en-PH"/>
        </w:rPr>
        <w:t xml:space="preserve"> stated that special education in the Philippines has only served 2% of the targeted 2.2 million children with disabilities in the country who live without access to a basic human right which is the right to education. It was cited further in the Dep Ed Order that most of these children live in rural and far flung areas whose parents need to be aware of educational opportunities that these children could avail of. To respond to this problem, a comprehensive inclusive program for children with special needs has been developed and implemented.</w:t>
      </w:r>
      <w:bookmarkStart w:id="366" w:name="_Toc16263685"/>
    </w:p>
    <w:p w14:paraId="6C6C12F3" w14:textId="77777777" w:rsidR="008D0CAD" w:rsidRPr="00AA04A4" w:rsidRDefault="008D0CAD" w:rsidP="00DD08E3">
      <w:pPr>
        <w:pStyle w:val="Heading5"/>
        <w:numPr>
          <w:ilvl w:val="0"/>
          <w:numId w:val="0"/>
        </w:numPr>
        <w:spacing w:before="100" w:beforeAutospacing="1" w:after="100" w:afterAutospacing="1" w:line="360" w:lineRule="auto"/>
        <w:ind w:left="1222" w:hanging="1080"/>
      </w:pPr>
      <w:bookmarkStart w:id="367" w:name="_Toc16326744"/>
      <w:r w:rsidRPr="00AA04A4">
        <w:t>Classroom Construction</w:t>
      </w:r>
      <w:bookmarkEnd w:id="366"/>
      <w:bookmarkEnd w:id="367"/>
    </w:p>
    <w:p w14:paraId="091FD5C3" w14:textId="74C08BAE" w:rsidR="008D0CAD" w:rsidRPr="00AA04A4" w:rsidRDefault="008D0CAD" w:rsidP="00DD08E3">
      <w:pPr>
        <w:spacing w:before="100" w:beforeAutospacing="1" w:after="100" w:afterAutospacing="1" w:line="360" w:lineRule="auto"/>
        <w:rPr>
          <w:rFonts w:ascii="Calibri Light" w:hAnsi="Calibri Light" w:cs="Calibri Light"/>
          <w:color w:val="000000"/>
          <w:bdr w:val="none" w:sz="0" w:space="0" w:color="auto" w:frame="1"/>
          <w:lang w:val="en-US"/>
        </w:rPr>
      </w:pPr>
      <w:r w:rsidRPr="00AA04A4">
        <w:rPr>
          <w:rFonts w:ascii="Calibri Light" w:hAnsi="Calibri Light" w:cs="Calibri Light"/>
          <w:color w:val="000000"/>
          <w:lang w:val="en-US"/>
        </w:rPr>
        <w:t>Glewwe et al. (2011), in a review of economics literature for a 20-year period, called attention to the fact that the</w:t>
      </w:r>
      <w:r w:rsidRPr="00AA04A4">
        <w:rPr>
          <w:rFonts w:ascii="Calibri Light" w:hAnsi="Calibri Light" w:cs="Calibri Light"/>
          <w:color w:val="000000"/>
          <w:bdr w:val="none" w:sz="0" w:space="0" w:color="auto" w:frame="1"/>
          <w:lang w:val="en-US"/>
        </w:rPr>
        <w:t xml:space="preserve"> availability of basic school infrastructure (such as classrooms, desks, and chairs) and facilities (such as electricity, libraries, and blackboards) is frequently associated with better student learning. ‘’</w:t>
      </w:r>
      <w:r w:rsidR="00D434EB">
        <w:rPr>
          <w:rFonts w:ascii="Calibri Light" w:hAnsi="Calibri Light" w:cs="Calibri Light"/>
          <w:color w:val="000000"/>
          <w:bdr w:val="none" w:sz="0" w:space="0" w:color="auto" w:frame="1"/>
          <w:lang w:val="en-US"/>
        </w:rPr>
        <w:t xml:space="preserve"> </w:t>
      </w:r>
    </w:p>
    <w:p w14:paraId="25585975" w14:textId="4BEBFF58" w:rsidR="008D0CAD" w:rsidRPr="00AA04A4" w:rsidRDefault="008D0CAD" w:rsidP="00DD08E3">
      <w:pPr>
        <w:spacing w:before="100" w:beforeAutospacing="1" w:after="100" w:afterAutospacing="1" w:line="360" w:lineRule="auto"/>
        <w:rPr>
          <w:rFonts w:ascii="Calibri Light" w:hAnsi="Calibri Light" w:cs="Calibri Light"/>
          <w:color w:val="000000"/>
          <w:bdr w:val="none" w:sz="0" w:space="0" w:color="auto" w:frame="1"/>
          <w:lang w:val="en-US"/>
        </w:rPr>
      </w:pPr>
      <w:r w:rsidRPr="00AA04A4">
        <w:rPr>
          <w:rFonts w:ascii="Calibri Light" w:hAnsi="Calibri Light" w:cs="Calibri Light"/>
          <w:color w:val="000000"/>
          <w:bdr w:val="none" w:sz="0" w:space="0" w:color="auto" w:frame="1"/>
          <w:lang w:val="en-US"/>
        </w:rPr>
        <w:t xml:space="preserve">With this as a backdrop, it can be posited that challenges in the achievement of basic education outcomes may be associated with the relative lack of school buildings and classroom as well as their corresponding facilities. An </w:t>
      </w:r>
      <w:r w:rsidRPr="00AA04A4">
        <w:rPr>
          <w:rFonts w:ascii="Calibri Light" w:hAnsi="Calibri Light" w:cs="Calibri Light"/>
          <w:color w:val="000000"/>
          <w:lang w:val="en-US"/>
        </w:rPr>
        <w:t xml:space="preserve">earlier study reported that, from 2002-2009, the number of schools experiencing classroom shortage has hardly changed with about around twenty-five percent of the total number of schools consistently experiencing shortages as shown in the table below. To address this, from 2002-2005 and 2007-2009 - under the Regular School Building Program (RSBP) – a budget of Php2 Billion per year was allocated by the national government for building classrooms and schools. Recent World Bank (WB) and Australian Aid (AusAID) report (2016b: 2) underscored that: “bulk of public-school infrastructure in the Philippines was built using funds from national and local governments, with only a limited proportion built using funds from private sector sources”. With a large bureaucracy, investment in the school buildings and classrooms are still lagging behind. </w:t>
      </w:r>
    </w:p>
    <w:p w14:paraId="496C9926" w14:textId="68788158" w:rsidR="008D0CAD" w:rsidRPr="00AA04A4" w:rsidRDefault="008D0CAD" w:rsidP="00DD08E3">
      <w:pPr>
        <w:spacing w:before="100" w:beforeAutospacing="1" w:after="100" w:afterAutospacing="1" w:line="360" w:lineRule="auto"/>
        <w:rPr>
          <w:rFonts w:ascii="Calibri Light" w:hAnsi="Calibri Light" w:cs="Calibri Light"/>
          <w:color w:val="000000"/>
          <w:lang w:val="en-US"/>
        </w:rPr>
      </w:pPr>
      <w:r w:rsidRPr="00AA04A4">
        <w:rPr>
          <w:rFonts w:ascii="Calibri Light" w:hAnsi="Calibri Light" w:cs="Calibri Light"/>
          <w:color w:val="000000"/>
          <w:lang w:val="en-US"/>
        </w:rPr>
        <w:t xml:space="preserve">On 4 March 2011 DepEd Order 21, S. 2011 entitled Guidelines on the Institutionalisation of “Bayanihang Eskwela” was issued. This D.O. stressed the need for a Community-Based Public-Private Monitoring of Projects for the Regular School Building Program (RSBP) and in Areas Experiencing Acute Classroom Shortage (Red and Black Schools). This introduced an accountability system </w:t>
      </w:r>
      <w:r w:rsidR="00AF5A6A">
        <w:rPr>
          <w:rFonts w:ascii="Calibri Light" w:hAnsi="Calibri Light" w:cs="Calibri Light"/>
          <w:color w:val="000000"/>
          <w:lang w:val="en-US"/>
        </w:rPr>
        <w:t xml:space="preserve">that </w:t>
      </w:r>
      <w:r w:rsidRPr="00AA04A4">
        <w:rPr>
          <w:rFonts w:ascii="Calibri Light" w:hAnsi="Calibri Light" w:cs="Calibri Light"/>
          <w:color w:val="000000"/>
          <w:lang w:val="en-US"/>
        </w:rPr>
        <w:t xml:space="preserve">provides for a nationwide mobilisation and capacity-building of communities to check on school-building projects in their school using an easy-to-use monitoring tool. It also provides for a system to disseminate information and consolidate monitoring results from all over the country that will allow verification if all the </w:t>
      </w:r>
      <w:r w:rsidR="00AF5A6A">
        <w:rPr>
          <w:rFonts w:ascii="Calibri Light" w:hAnsi="Calibri Light" w:cs="Calibri Light"/>
          <w:color w:val="000000"/>
          <w:lang w:val="en-US"/>
        </w:rPr>
        <w:t>P</w:t>
      </w:r>
      <w:r w:rsidRPr="00AA04A4">
        <w:rPr>
          <w:rFonts w:ascii="Calibri Light" w:hAnsi="Calibri Light" w:cs="Calibri Light"/>
          <w:color w:val="000000"/>
          <w:lang w:val="en-US"/>
        </w:rPr>
        <w:t>SBPs were constructed according to specifications and standards provided in the D.O.</w:t>
      </w:r>
    </w:p>
    <w:p w14:paraId="663C10C2" w14:textId="69D8AF1E" w:rsidR="008D0CAD" w:rsidRPr="00AA04A4" w:rsidRDefault="008D0CAD" w:rsidP="00DD08E3">
      <w:pPr>
        <w:spacing w:before="100" w:beforeAutospacing="1" w:after="100" w:afterAutospacing="1" w:line="360" w:lineRule="auto"/>
        <w:rPr>
          <w:rFonts w:ascii="Calibri Light" w:hAnsi="Calibri Light" w:cs="Calibri Light"/>
          <w:color w:val="000000"/>
          <w:lang w:eastAsia="en-PH"/>
        </w:rPr>
      </w:pPr>
      <w:r w:rsidRPr="00AA04A4">
        <w:rPr>
          <w:rFonts w:ascii="Calibri Light" w:hAnsi="Calibri Light" w:cs="Calibri Light"/>
          <w:color w:val="000000"/>
          <w:lang w:val="en-US"/>
        </w:rPr>
        <w:t xml:space="preserve">These developments, notwithstanding, in President Benigno Aquino’s 2012 State of the Nation Address (SONA), a year before the start of the Kto12 implementation. He shared that his </w:t>
      </w:r>
      <w:r w:rsidRPr="00AA04A4">
        <w:rPr>
          <w:rFonts w:ascii="Calibri Light" w:hAnsi="Calibri Light" w:cs="Calibri Light"/>
          <w:color w:val="000000"/>
          <w:lang w:eastAsia="en-PH"/>
        </w:rPr>
        <w:t xml:space="preserve">administration was still dealing with a long list of obligation to fulfill with a backlog of almost 70,000 classrooms still needed to be built with a budget price need </w:t>
      </w:r>
      <w:r w:rsidR="00AF5A6A">
        <w:rPr>
          <w:rFonts w:ascii="Calibri Light" w:hAnsi="Calibri Light" w:cs="Calibri Light"/>
          <w:color w:val="000000"/>
          <w:lang w:eastAsia="en-PH"/>
        </w:rPr>
        <w:t>of</w:t>
      </w:r>
      <w:r w:rsidRPr="00AA04A4">
        <w:rPr>
          <w:rFonts w:ascii="Calibri Light" w:hAnsi="Calibri Light" w:cs="Calibri Light"/>
          <w:color w:val="000000"/>
          <w:lang w:eastAsia="en-PH"/>
        </w:rPr>
        <w:t xml:space="preserve"> around Php55 billion; in addition, there is a need to furnish the schools with around Ph 2.6 million school chairs, amounting to almost Php 2.5 billion pesos.</w:t>
      </w:r>
      <w:r w:rsidR="00D434EB">
        <w:rPr>
          <w:rFonts w:ascii="Calibri Light" w:hAnsi="Calibri Light" w:cs="Calibri Light"/>
          <w:color w:val="000000"/>
          <w:lang w:eastAsia="en-PH"/>
        </w:rPr>
        <w:t xml:space="preserve"> </w:t>
      </w:r>
    </w:p>
    <w:p w14:paraId="295BC708" w14:textId="5A005029" w:rsidR="008D0CAD" w:rsidRPr="00AA04A4" w:rsidRDefault="008D0CAD" w:rsidP="00DD08E3">
      <w:pPr>
        <w:spacing w:before="100" w:beforeAutospacing="1" w:after="100" w:afterAutospacing="1" w:line="360" w:lineRule="auto"/>
        <w:rPr>
          <w:rFonts w:ascii="Calibri Light" w:hAnsi="Calibri Light" w:cs="Calibri Light"/>
          <w:color w:val="000000"/>
          <w:lang w:val="en-US"/>
        </w:rPr>
      </w:pPr>
      <w:r w:rsidRPr="00AA04A4">
        <w:rPr>
          <w:rFonts w:ascii="Calibri Light" w:hAnsi="Calibri Light" w:cs="Calibri Light"/>
          <w:color w:val="000000"/>
          <w:lang w:val="en-US"/>
        </w:rPr>
        <w:t xml:space="preserve">BEST Program’s classroom construction component </w:t>
      </w:r>
      <w:r w:rsidRPr="00AA04A4">
        <w:rPr>
          <w:rFonts w:ascii="Calibri Light" w:hAnsi="Calibri Light" w:cs="Calibri Light"/>
          <w:bCs/>
          <w:color w:val="000000"/>
          <w:lang w:val="en-US"/>
        </w:rPr>
        <w:t>is</w:t>
      </w:r>
      <w:r w:rsidRPr="00AA04A4">
        <w:rPr>
          <w:rFonts w:ascii="Calibri Light" w:hAnsi="Calibri Light" w:cs="Calibri Light"/>
          <w:color w:val="000000"/>
          <w:lang w:val="en-US"/>
        </w:rPr>
        <w:t xml:space="preserve"> </w:t>
      </w:r>
      <w:r w:rsidRPr="00AA04A4">
        <w:rPr>
          <w:rFonts w:ascii="Calibri Light" w:hAnsi="Calibri Light" w:cs="Calibri Light"/>
          <w:lang w:val="en-US"/>
        </w:rPr>
        <w:t xml:space="preserve">a timely and relevant initiative contributing to the Government of the Philippines (GOP) efforts to reduce classroom shortage and improve access to learning by closing the classroom gap. </w:t>
      </w:r>
      <w:r w:rsidRPr="00AA04A4">
        <w:rPr>
          <w:rFonts w:ascii="Calibri Light" w:hAnsi="Calibri Light" w:cs="Calibri Light"/>
          <w:bCs/>
          <w:lang w:val="en-US"/>
        </w:rPr>
        <w:t>It is</w:t>
      </w:r>
      <w:r w:rsidRPr="00AA04A4">
        <w:rPr>
          <w:rFonts w:ascii="Calibri Light" w:hAnsi="Calibri Light" w:cs="Calibri Light"/>
          <w:color w:val="000000"/>
          <w:lang w:val="en-US"/>
        </w:rPr>
        <w:t xml:space="preserve"> responsive with DepEd’s request for support to build new classrooms to address the increasing classroom gap brought about by ageing school buildings, increasing student population, additional needs for Senior High School and replacement of buildings damaged by calamities. Moreover, it is aligned with Australia’s Classroom Construction Initiative 2011-17 (CCI); CCI is an investment identified in the Australian Government Education Delivery Strategy 2013-23, supporting Australia and the Philippines shared commitment to promote prosperity, reduce poverty and enhance political stability through partnerships in education reforms, as one objective.</w:t>
      </w:r>
      <w:r w:rsidR="00D434EB">
        <w:rPr>
          <w:rFonts w:ascii="Calibri Light" w:hAnsi="Calibri Light" w:cs="Calibri Light"/>
          <w:color w:val="000000"/>
          <w:lang w:val="en-US"/>
        </w:rPr>
        <w:t xml:space="preserve"> </w:t>
      </w:r>
      <w:r w:rsidRPr="00AA04A4">
        <w:rPr>
          <w:rFonts w:ascii="Calibri Light" w:hAnsi="Calibri Light" w:cs="Calibri Light"/>
          <w:color w:val="000000"/>
          <w:lang w:val="en-US"/>
        </w:rPr>
        <w:t>Generally, BEST is aligned with the Australian government’s commitment to improve education through strengthened governance and service delivery systems, more effective schools and teachers, and to reduce disparities in educational outcomes.</w:t>
      </w:r>
      <w:r w:rsidR="00D434EB">
        <w:rPr>
          <w:rFonts w:ascii="Calibri Light" w:hAnsi="Calibri Light" w:cs="Calibri Light"/>
          <w:color w:val="000000"/>
          <w:lang w:val="en-US"/>
        </w:rPr>
        <w:t xml:space="preserve"> </w:t>
      </w:r>
      <w:r w:rsidRPr="00AA04A4">
        <w:rPr>
          <w:rFonts w:ascii="Calibri Light" w:hAnsi="Calibri Light" w:cs="Calibri Light"/>
          <w:color w:val="000000"/>
          <w:lang w:val="en-US"/>
        </w:rPr>
        <w:t xml:space="preserve">In addition, the classrooms are also made compliant to DFAT’s cross-cutting principles of gender sensitivity by putting two toilets per classrooms so that the boys and girls will have separate toilets. They are also designed to be disability inclusive with features addressing the needs of persons with disabilities (PWDs). </w:t>
      </w:r>
    </w:p>
    <w:p w14:paraId="40EF4E9B" w14:textId="77777777" w:rsidR="008D0CAD" w:rsidRPr="00AA04A4" w:rsidRDefault="008D0CAD" w:rsidP="00DD08E3">
      <w:pPr>
        <w:pStyle w:val="Heading4"/>
        <w:spacing w:before="100" w:beforeAutospacing="1" w:after="100" w:afterAutospacing="1" w:line="360" w:lineRule="auto"/>
      </w:pPr>
      <w:bookmarkStart w:id="368" w:name="_Toc16263686"/>
      <w:bookmarkStart w:id="369" w:name="_Toc16326745"/>
      <w:r w:rsidRPr="00AA04A4">
        <w:t>Towards Strengthening DepEd’s Capacity</w:t>
      </w:r>
      <w:bookmarkEnd w:id="368"/>
      <w:bookmarkEnd w:id="369"/>
    </w:p>
    <w:p w14:paraId="37A75BD6" w14:textId="77777777" w:rsidR="008D0CAD" w:rsidRPr="00AA04A4" w:rsidRDefault="008D0CAD" w:rsidP="00DD08E3">
      <w:pPr>
        <w:pStyle w:val="Heading5"/>
        <w:numPr>
          <w:ilvl w:val="0"/>
          <w:numId w:val="0"/>
        </w:numPr>
        <w:spacing w:before="100" w:beforeAutospacing="1" w:after="100" w:afterAutospacing="1" w:line="360" w:lineRule="auto"/>
        <w:ind w:left="1222" w:hanging="1080"/>
      </w:pPr>
      <w:bookmarkStart w:id="370" w:name="_Toc16263687"/>
      <w:bookmarkStart w:id="371" w:name="_Toc16326746"/>
      <w:r w:rsidRPr="00AA04A4">
        <w:t>Policy, Planning and Monitoring and Evaluation (PPMES)</w:t>
      </w:r>
      <w:bookmarkEnd w:id="370"/>
      <w:bookmarkEnd w:id="371"/>
    </w:p>
    <w:p w14:paraId="2A7AFE2E" w14:textId="59102775" w:rsidR="008D0CAD" w:rsidRPr="00AA04A4" w:rsidRDefault="008D0CAD" w:rsidP="00DD08E3">
      <w:pPr>
        <w:spacing w:before="100" w:beforeAutospacing="1" w:after="100" w:afterAutospacing="1" w:line="360" w:lineRule="auto"/>
        <w:textAlignment w:val="baseline"/>
        <w:rPr>
          <w:rFonts w:ascii="Calibri Light" w:eastAsia="Calibri" w:hAnsi="Calibri Light" w:cs="Calibri Light"/>
          <w:snapToGrid w:val="0"/>
          <w:lang w:val="en-US"/>
        </w:rPr>
      </w:pPr>
      <w:r w:rsidRPr="00AA04A4">
        <w:rPr>
          <w:rFonts w:ascii="Calibri Light" w:hAnsi="Calibri Light" w:cs="Calibri Light"/>
          <w:snapToGrid w:val="0"/>
          <w:szCs w:val="20"/>
          <w:lang w:val="en-US"/>
        </w:rPr>
        <w:t>One of the major initiatives pursued by DepEd in the last 10 years was the strengthening of its planning, monitoring and evaluation functions as well as the strengthening of the planning and M&amp;E competencies of DepEd staff at all governance levels. DepEd has been implementing various interventions throughout the years in order to strengthen its planning, policy research and development and monitoring and evaluation (M&amp;E) functions. What was needed was to foster the “</w:t>
      </w:r>
      <w:r w:rsidRPr="00AA04A4">
        <w:rPr>
          <w:rFonts w:ascii="Calibri Light" w:eastAsia="Calibri" w:hAnsi="Calibri Light" w:cs="Calibri Light"/>
          <w:snapToGrid w:val="0"/>
          <w:lang w:val="en-US"/>
        </w:rPr>
        <w:t>the appropriate balance between hierarchical (top-down, bureaucratic) governance, and more ‘horizontal’ approaches, which delegate significant resources and responsibility to internal and community stakeholders at the school-level”, where basic education policy, planning, as well as monitoring and evaluation</w:t>
      </w:r>
      <w:r w:rsidR="00D434EB">
        <w:rPr>
          <w:rFonts w:ascii="Calibri Light" w:eastAsia="Calibri" w:hAnsi="Calibri Light" w:cs="Calibri Light"/>
          <w:snapToGrid w:val="0"/>
          <w:lang w:val="en-US"/>
        </w:rPr>
        <w:t xml:space="preserve"> </w:t>
      </w:r>
      <w:r w:rsidRPr="00AA04A4">
        <w:rPr>
          <w:rFonts w:ascii="Calibri Light" w:eastAsia="Calibri" w:hAnsi="Calibri Light" w:cs="Calibri Light"/>
          <w:snapToGrid w:val="0"/>
          <w:lang w:val="en-US"/>
        </w:rPr>
        <w:t>promote bureaucratic control “located—nationally, sub-nationally, or at local government levels” (Levy, Cameeron, Hoadley &amp; Naidoo, 2018: 3-4).</w:t>
      </w:r>
    </w:p>
    <w:p w14:paraId="4B75F198" w14:textId="77777777" w:rsidR="008D0CAD" w:rsidRPr="00AA04A4" w:rsidRDefault="008D0CAD" w:rsidP="00DD08E3">
      <w:pPr>
        <w:pStyle w:val="Heading5"/>
        <w:numPr>
          <w:ilvl w:val="0"/>
          <w:numId w:val="0"/>
        </w:numPr>
        <w:spacing w:before="100" w:beforeAutospacing="1" w:after="100" w:afterAutospacing="1" w:line="360" w:lineRule="auto"/>
        <w:ind w:left="1222" w:hanging="1080"/>
      </w:pPr>
      <w:r w:rsidRPr="00AA04A4">
        <w:t>Imperatives for PPMES</w:t>
      </w:r>
    </w:p>
    <w:p w14:paraId="06C2279E" w14:textId="5BC6A94A" w:rsidR="008D0CAD" w:rsidRPr="00AA04A4" w:rsidRDefault="008D0CAD" w:rsidP="00DD08E3">
      <w:pPr>
        <w:spacing w:before="100" w:beforeAutospacing="1" w:after="100" w:afterAutospacing="1" w:line="360" w:lineRule="auto"/>
        <w:rPr>
          <w:rFonts w:ascii="Calibri Light" w:hAnsi="Calibri Light" w:cs="Calibri Light"/>
          <w:bCs/>
          <w:snapToGrid w:val="0"/>
          <w:szCs w:val="20"/>
          <w:lang w:val="en-US"/>
        </w:rPr>
      </w:pPr>
      <w:r w:rsidRPr="00AA04A4">
        <w:rPr>
          <w:rFonts w:ascii="Calibri Light" w:hAnsi="Calibri Light" w:cs="Calibri Light"/>
          <w:bCs/>
          <w:snapToGrid w:val="0"/>
          <w:szCs w:val="20"/>
          <w:lang w:val="en-US"/>
        </w:rPr>
        <w:t>There are several internal and external imperatives that are effectively forcing DepEd to intensify its capacity to deliver more responsive, inclusive and programmatic interventions to its ultimate clients – the learners as well as to decentralise management and accountability of these interventions.</w:t>
      </w:r>
      <w:r w:rsidR="00D434EB">
        <w:rPr>
          <w:rFonts w:ascii="Calibri Light" w:hAnsi="Calibri Light" w:cs="Calibri Light"/>
          <w:bCs/>
          <w:snapToGrid w:val="0"/>
          <w:szCs w:val="20"/>
          <w:lang w:val="en-US"/>
        </w:rPr>
        <w:t xml:space="preserve"> </w:t>
      </w:r>
    </w:p>
    <w:p w14:paraId="6176923E" w14:textId="77777777" w:rsidR="008D0CAD" w:rsidRPr="00AA04A4" w:rsidRDefault="008D0CAD" w:rsidP="00DD08E3">
      <w:pPr>
        <w:spacing w:before="100" w:beforeAutospacing="1" w:after="100" w:afterAutospacing="1" w:line="360" w:lineRule="auto"/>
        <w:rPr>
          <w:rFonts w:ascii="Calibri Light" w:hAnsi="Calibri Light" w:cs="Calibri Light"/>
          <w:snapToGrid w:val="0"/>
          <w:color w:val="000000"/>
          <w:sz w:val="18"/>
          <w:lang w:val="en-US"/>
        </w:rPr>
      </w:pPr>
      <w:r w:rsidRPr="00AA04A4">
        <w:rPr>
          <w:rFonts w:ascii="Calibri Light" w:hAnsi="Calibri Light" w:cs="Calibri Light"/>
          <w:bCs/>
          <w:snapToGrid w:val="0"/>
          <w:szCs w:val="20"/>
          <w:lang w:val="en-US"/>
        </w:rPr>
        <w:t xml:space="preserve">These include, but are not limited to: national and local laws (such as </w:t>
      </w:r>
      <w:r w:rsidRPr="0013772C">
        <w:rPr>
          <w:rFonts w:ascii="Calibri Light" w:hAnsi="Calibri Light" w:cs="Calibri Light"/>
          <w:bCs/>
          <w:snapToGrid w:val="0"/>
          <w:szCs w:val="20"/>
          <w:lang w:val="en-US"/>
        </w:rPr>
        <w:t>Republic Act 9155,</w:t>
      </w:r>
      <w:r w:rsidRPr="00AA04A4">
        <w:rPr>
          <w:rFonts w:ascii="Calibri Light" w:hAnsi="Calibri Light" w:cs="Calibri Light"/>
          <w:snapToGrid w:val="0"/>
          <w:color w:val="000000"/>
          <w:sz w:val="18"/>
          <w:lang w:val="en-US"/>
        </w:rPr>
        <w:t xml:space="preserve"> </w:t>
      </w:r>
      <w:r w:rsidRPr="00AA04A4">
        <w:rPr>
          <w:rFonts w:ascii="Calibri Light" w:hAnsi="Calibri Light" w:cs="Calibri Light"/>
          <w:bCs/>
          <w:snapToGrid w:val="0"/>
          <w:szCs w:val="20"/>
          <w:lang w:val="en-US"/>
        </w:rPr>
        <w:t xml:space="preserve">National Budget Circular (NBC) No. 552 Series of 2014, NBC No. 565 s. 2016 and NEDA-DBM Joint Memorandum Circular 2015-1 s. 2015, Results-based Performance Management System or RbPMS); national development plans (such as the </w:t>
      </w:r>
      <w:r w:rsidRPr="00AA04A4">
        <w:rPr>
          <w:rFonts w:ascii="Calibri Light" w:hAnsi="Calibri Light" w:cs="Calibri Light"/>
          <w:bCs/>
          <w:snapToGrid w:val="0"/>
          <w:lang w:val="en-US"/>
        </w:rPr>
        <w:t xml:space="preserve">Ambisyon 2040 and the Philippine Development Plan (PDP) 2017-2020); and international commitments (such as Sustainable Development Goals (SDGs) and </w:t>
      </w:r>
      <w:r w:rsidRPr="00AA04A4">
        <w:rPr>
          <w:rFonts w:ascii="Calibri Light" w:hAnsi="Calibri Light" w:cs="Calibri Light"/>
          <w:bCs/>
          <w:snapToGrid w:val="0"/>
          <w:szCs w:val="20"/>
          <w:lang w:val="en-US"/>
        </w:rPr>
        <w:t xml:space="preserve">the </w:t>
      </w:r>
      <w:r w:rsidRPr="00AA04A4">
        <w:rPr>
          <w:rFonts w:ascii="Calibri Light" w:hAnsi="Calibri Light" w:cs="Calibri Light"/>
          <w:snapToGrid w:val="0"/>
          <w:lang w:val="en-US"/>
        </w:rPr>
        <w:t>Philippine Development Forum or the PDF).</w:t>
      </w:r>
    </w:p>
    <w:p w14:paraId="1CD5370E" w14:textId="77777777" w:rsidR="008D0CAD" w:rsidRPr="001929A7" w:rsidRDefault="008D0CAD" w:rsidP="00DD08E3">
      <w:pPr>
        <w:spacing w:before="100" w:beforeAutospacing="1" w:after="100" w:afterAutospacing="1" w:line="360" w:lineRule="auto"/>
        <w:rPr>
          <w:rFonts w:ascii="Calibri Light" w:hAnsi="Calibri Light" w:cs="Calibri Light"/>
          <w:bCs/>
          <w:snapToGrid w:val="0"/>
          <w:lang w:val="en-US"/>
        </w:rPr>
      </w:pPr>
      <w:r w:rsidRPr="001929A7">
        <w:rPr>
          <w:rFonts w:ascii="Calibri Light" w:hAnsi="Calibri Light" w:cs="Calibri Light"/>
          <w:bCs/>
          <w:snapToGrid w:val="0"/>
          <w:lang w:val="en-US"/>
        </w:rPr>
        <w:t>With the decentralisation of DepEd through Republic Act 9155 or the Governance of Basic Education Act in 2001, the central office is solely responsible for “policy reform, stan</w:t>
      </w:r>
      <w:r w:rsidRPr="001929A7">
        <w:rPr>
          <w:rFonts w:ascii="Calibri Light" w:hAnsi="Calibri Light" w:cs="Calibri Light"/>
          <w:bCs/>
          <w:snapToGrid w:val="0"/>
          <w:lang w:val="en-US"/>
        </w:rPr>
        <w:softHyphen/>
        <w:t>dards-setting and resource generation,” while regions would monitor implementation against those stan</w:t>
      </w:r>
      <w:r w:rsidRPr="001929A7">
        <w:rPr>
          <w:rFonts w:ascii="Calibri Light" w:hAnsi="Calibri Light" w:cs="Calibri Light"/>
          <w:bCs/>
          <w:snapToGrid w:val="0"/>
          <w:lang w:val="en-US"/>
        </w:rPr>
        <w:softHyphen/>
        <w:t xml:space="preserve">dards in divisions and schools within their jurisdiction and would provide general operational support at their governance levels (PIDS, 2009). </w:t>
      </w:r>
    </w:p>
    <w:p w14:paraId="3AADE875" w14:textId="6F596A66" w:rsidR="008D0CAD" w:rsidRPr="00AA04A4" w:rsidRDefault="008D0CAD" w:rsidP="00DD08E3">
      <w:pPr>
        <w:spacing w:before="100" w:beforeAutospacing="1" w:after="100" w:afterAutospacing="1" w:line="360" w:lineRule="auto"/>
        <w:rPr>
          <w:rFonts w:ascii="Calibri Light" w:hAnsi="Calibri Light" w:cs="Calibri Light"/>
          <w:bCs/>
          <w:snapToGrid w:val="0"/>
          <w:lang w:val="en-US"/>
        </w:rPr>
      </w:pPr>
      <w:r w:rsidRPr="00AA04A4">
        <w:rPr>
          <w:rFonts w:ascii="Calibri Light" w:hAnsi="Calibri Light" w:cs="Calibri Light"/>
          <w:bCs/>
          <w:snapToGrid w:val="0"/>
          <w:lang w:val="en-US"/>
        </w:rPr>
        <w:t>In addition, DepEd’s plan should be aligned to Ambisyon 2040 and the Philippine Development Plan (PDP) 2017-2020. Ambisyon 2040 is a long-term strategy of the national government in fighting poverty, which represents the collective long-term vision and aspirations of the Filipinos for themselves and for the country in the next 25 years. While the PDP 2017-2022 is the current administration’s 10-point Socioeconomic Agenda and is geared towards the attainment of Ambisyon 2040.</w:t>
      </w:r>
      <w:r w:rsidR="00D434EB">
        <w:rPr>
          <w:rFonts w:ascii="Calibri Light" w:hAnsi="Calibri Light" w:cs="Calibri Light"/>
          <w:bCs/>
          <w:snapToGrid w:val="0"/>
          <w:lang w:val="en-US"/>
        </w:rPr>
        <w:t xml:space="preserve"> </w:t>
      </w:r>
      <w:r w:rsidRPr="00AA04A4">
        <w:rPr>
          <w:rFonts w:ascii="Calibri Light" w:hAnsi="Calibri Light" w:cs="Calibri Light"/>
          <w:bCs/>
          <w:snapToGrid w:val="0"/>
          <w:lang w:val="en-US"/>
        </w:rPr>
        <w:t>In addition, DepEd’s 10-point Basic Education Agenda 2016-2022 outlined set of principles and priorities guiding the current DepEd administration in providing quality, accessible, relevant, and liberating education.</w:t>
      </w:r>
    </w:p>
    <w:p w14:paraId="3CBB9836" w14:textId="38C30D3B" w:rsidR="008D0CAD" w:rsidRPr="00AA04A4" w:rsidRDefault="008D0CAD" w:rsidP="00DD08E3">
      <w:pPr>
        <w:spacing w:before="100" w:beforeAutospacing="1" w:after="100" w:afterAutospacing="1" w:line="360" w:lineRule="auto"/>
        <w:rPr>
          <w:rFonts w:ascii="Calibri Light" w:hAnsi="Calibri Light" w:cs="Calibri Light"/>
          <w:bCs/>
          <w:snapToGrid w:val="0"/>
          <w:lang w:val="en-US"/>
        </w:rPr>
      </w:pPr>
      <w:r w:rsidRPr="00AA04A4">
        <w:rPr>
          <w:rFonts w:ascii="Calibri Light" w:hAnsi="Calibri Light" w:cs="Calibri Light"/>
          <w:bCs/>
          <w:snapToGrid w:val="0"/>
          <w:lang w:val="en-US"/>
        </w:rPr>
        <w:t xml:space="preserve">In addition, the Philippine government has instituted strategic reforms to improve the system of planning and budgeting to ensure that taxpayers’ money is judiciously and optimally utilised for the common good. </w:t>
      </w:r>
    </w:p>
    <w:p w14:paraId="03CB22F1" w14:textId="5453C82F" w:rsidR="008D0CAD" w:rsidRPr="00AA04A4" w:rsidRDefault="008D0CAD" w:rsidP="00DD08E3">
      <w:pPr>
        <w:spacing w:before="100" w:beforeAutospacing="1" w:after="100" w:afterAutospacing="1" w:line="360" w:lineRule="auto"/>
        <w:rPr>
          <w:rFonts w:ascii="Calibri Light" w:hAnsi="Calibri Light" w:cs="Calibri Light"/>
          <w:bCs/>
          <w:snapToGrid w:val="0"/>
          <w:lang w:val="en-US"/>
        </w:rPr>
      </w:pPr>
      <w:r w:rsidRPr="00AA04A4">
        <w:rPr>
          <w:rFonts w:ascii="Calibri Light" w:hAnsi="Calibri Light" w:cs="Calibri Light"/>
          <w:bCs/>
          <w:snapToGrid w:val="0"/>
          <w:lang w:val="en-US"/>
        </w:rPr>
        <w:t>DepEd subscribes to the National Government Fiscal Calendar (DBM-DOF-NEDA Joint Circular No. 2017-1); this is the national policy which aims to strengthen the link between planning and budgeting through the establishment of a unified calendar of fiscal activities in the national government, complemented by a unified schedule of publications and reports, among others. Consistent with government efforts on Annual Cash-Based Appropriations (ACBA), DepEd abides with the current budget reform wherein contractual obligations are incurred and payments to goods delivered and services rendered, inspected, and accepted are disbursed within the fiscal year; DepEd ensures that payments for these are settled within the fiscal year. However, projects with an implementation period exceeding twelve (12) months must secure a multi-year obligation authority (MYOA) before entering into a multi-year contract. As part of its effort, DepEd also implements the Public Expenditure Management (PEM); this is an approach to public sector budgeting that focuses on outcomes and treats expenditures as a means to produce outputs in order to achieve the desired outcomes.</w:t>
      </w:r>
      <w:r w:rsidR="00D434EB">
        <w:rPr>
          <w:rFonts w:ascii="Calibri Light" w:hAnsi="Calibri Light" w:cs="Calibri Light"/>
          <w:bCs/>
          <w:snapToGrid w:val="0"/>
          <w:lang w:val="en-US"/>
        </w:rPr>
        <w:t xml:space="preserve"> </w:t>
      </w:r>
      <w:r w:rsidRPr="00AA04A4">
        <w:rPr>
          <w:rFonts w:ascii="Calibri Light" w:hAnsi="Calibri Light" w:cs="Calibri Light"/>
          <w:bCs/>
          <w:snapToGrid w:val="0"/>
          <w:lang w:val="en-US"/>
        </w:rPr>
        <w:t xml:space="preserve">An effective PEM promotes the practice of fiscal discipline (spending within means), allocative efficiency (spending on the right priorities), and operational efficiency (spending with maximum results). </w:t>
      </w:r>
    </w:p>
    <w:p w14:paraId="23082A6E" w14:textId="77777777" w:rsidR="008D0CAD" w:rsidRPr="00AA04A4" w:rsidRDefault="008D0CAD" w:rsidP="00DD08E3">
      <w:pPr>
        <w:spacing w:before="100" w:beforeAutospacing="1" w:after="100" w:afterAutospacing="1" w:line="360" w:lineRule="auto"/>
        <w:rPr>
          <w:rFonts w:ascii="Calibri Light" w:hAnsi="Calibri Light" w:cs="Calibri Light"/>
          <w:bCs/>
          <w:snapToGrid w:val="0"/>
          <w:lang w:val="en-US"/>
        </w:rPr>
      </w:pPr>
      <w:r w:rsidRPr="00AA04A4">
        <w:rPr>
          <w:rFonts w:ascii="Calibri Light" w:hAnsi="Calibri Light" w:cs="Calibri Light"/>
          <w:bCs/>
          <w:snapToGrid w:val="0"/>
          <w:lang w:val="en-US"/>
        </w:rPr>
        <w:t>As the DepEd expands its efforts to improve delivery of basic education services, it also introduces reforms by improving its internal processes and systems towards improved accountability and transparency to its stakeholders. In this regard, it seeks to strengthen its evidence-based decision-making. To further support the M&amp;E of programs, projects, and major activities, DepEd restructured its budgeting process introduced by Department of Budget and Management (DBM) through the Program Expenditure Classification (PREXC). This improves planning, monitoring and evaluation of results to provide better programs, projects, and major activities. </w:t>
      </w:r>
    </w:p>
    <w:p w14:paraId="0B507E41" w14:textId="2DDF6986" w:rsidR="008D0CAD" w:rsidRPr="00AA04A4" w:rsidRDefault="008D0CAD" w:rsidP="00DD08E3">
      <w:pPr>
        <w:shd w:val="clear" w:color="auto" w:fill="FFFFFF"/>
        <w:spacing w:before="100" w:beforeAutospacing="1" w:after="100" w:afterAutospacing="1" w:line="360" w:lineRule="auto"/>
        <w:rPr>
          <w:rFonts w:ascii="Calibri Light" w:hAnsi="Calibri Light" w:cs="Arial"/>
          <w:color w:val="000000"/>
          <w:lang w:val="en-US"/>
        </w:rPr>
      </w:pPr>
      <w:r w:rsidRPr="00AA04A4">
        <w:rPr>
          <w:rFonts w:ascii="Calibri Light" w:hAnsi="Calibri Light" w:cs="Calibri Light"/>
          <w:bCs/>
          <w:color w:val="000000"/>
          <w:lang w:val="en-US"/>
        </w:rPr>
        <w:t xml:space="preserve">The Philippine Development Plan (PDP) 2011-2016 and PDP 2017-2022 emphasized the integration of the National Economic Development Authority (NEDA) Results Matrix (RM). In fact, as early as 2011, the President Aquino administration issued Administrative Order (AO) No. 25, series of 2011 </w:t>
      </w:r>
      <w:r w:rsidR="009207CB">
        <w:rPr>
          <w:rFonts w:ascii="Calibri Light" w:hAnsi="Calibri Light" w:cs="Calibri Light"/>
          <w:bCs/>
          <w:color w:val="000000"/>
          <w:lang w:val="en-US"/>
        </w:rPr>
        <w:t xml:space="preserve">that </w:t>
      </w:r>
      <w:r w:rsidRPr="00AA04A4">
        <w:rPr>
          <w:rFonts w:ascii="Calibri Light" w:hAnsi="Calibri Light" w:cs="Calibri Light"/>
          <w:bCs/>
          <w:color w:val="000000"/>
          <w:lang w:val="en-US"/>
        </w:rPr>
        <w:t>created a unified and integrated Results-based Performance Management System (RbPMS). For this, an inter-agency Task Force was initially created. This Task Force takes on the harmonisation of national government performance monitoring, information, and reporting systems.</w:t>
      </w:r>
      <w:r w:rsidR="00D434EB">
        <w:rPr>
          <w:rFonts w:ascii="Calibri Light" w:hAnsi="Calibri Light" w:cs="Calibri Light"/>
          <w:bCs/>
          <w:color w:val="000000"/>
          <w:lang w:val="en-US"/>
        </w:rPr>
        <w:t xml:space="preserve"> </w:t>
      </w:r>
      <w:r w:rsidRPr="00AA04A4">
        <w:rPr>
          <w:rFonts w:ascii="Calibri Light" w:hAnsi="Calibri Light" w:cs="Calibri Light"/>
          <w:bCs/>
          <w:color w:val="000000"/>
          <w:lang w:val="en-US"/>
        </w:rPr>
        <w:t xml:space="preserve"> </w:t>
      </w:r>
      <w:r w:rsidRPr="00AA04A4">
        <w:rPr>
          <w:rFonts w:ascii="Calibri Light" w:hAnsi="Calibri Light" w:cs="Arial"/>
          <w:color w:val="000000"/>
          <w:lang w:val="en-US"/>
        </w:rPr>
        <w:t xml:space="preserve">The AO25 IATF is chaired by the Department of Budget and Management (DBM) and co-chaired by the Office of the Cabinet Secretary (OCS). Its members include the Office of the President – Office of the Executive Secretary (OP-OES), National Economic and Development Authority (NEDA), the Presidential Management Staff (PMS), and the Department of Finance (DOF). The Technical Working Group, chaired by DBM, is composed of representatives of member agencies as well as the invited members: </w:t>
      </w:r>
    </w:p>
    <w:p w14:paraId="2A08313F" w14:textId="77777777" w:rsidR="008D0CAD" w:rsidRPr="00AA04A4" w:rsidRDefault="008D0CAD" w:rsidP="00DD08E3">
      <w:pPr>
        <w:numPr>
          <w:ilvl w:val="0"/>
          <w:numId w:val="145"/>
        </w:numPr>
        <w:shd w:val="clear" w:color="auto" w:fill="FFFFFF"/>
        <w:spacing w:before="100" w:beforeAutospacing="1" w:after="100" w:afterAutospacing="1" w:line="360" w:lineRule="auto"/>
        <w:rPr>
          <w:rFonts w:ascii="Calibri Light" w:hAnsi="Calibri Light" w:cs="Arial"/>
          <w:color w:val="000000"/>
          <w:lang w:val="en-US"/>
        </w:rPr>
      </w:pPr>
      <w:r w:rsidRPr="00AA04A4">
        <w:rPr>
          <w:rFonts w:ascii="Calibri Light" w:hAnsi="Calibri Light" w:cs="Arial"/>
          <w:color w:val="000000"/>
          <w:lang w:val="en-US"/>
        </w:rPr>
        <w:t>Civil Service Commission (CSC)</w:t>
      </w:r>
    </w:p>
    <w:p w14:paraId="1756091E" w14:textId="77777777" w:rsidR="008D0CAD" w:rsidRPr="00AA04A4" w:rsidRDefault="008D0CAD" w:rsidP="00DD08E3">
      <w:pPr>
        <w:numPr>
          <w:ilvl w:val="0"/>
          <w:numId w:val="145"/>
        </w:numPr>
        <w:shd w:val="clear" w:color="auto" w:fill="FFFFFF"/>
        <w:spacing w:before="100" w:beforeAutospacing="1" w:after="100" w:afterAutospacing="1" w:line="360" w:lineRule="auto"/>
        <w:rPr>
          <w:rFonts w:ascii="Calibri Light" w:hAnsi="Calibri Light" w:cs="Arial"/>
          <w:color w:val="000000"/>
          <w:lang w:val="en-US"/>
        </w:rPr>
      </w:pPr>
      <w:r w:rsidRPr="00AA04A4">
        <w:rPr>
          <w:rFonts w:ascii="Calibri Light" w:hAnsi="Calibri Light" w:cs="Arial"/>
          <w:color w:val="000000"/>
          <w:lang w:val="en-US"/>
        </w:rPr>
        <w:t>Commission on Audit (COA)</w:t>
      </w:r>
    </w:p>
    <w:p w14:paraId="5AA88576" w14:textId="77777777" w:rsidR="008D0CAD" w:rsidRPr="00AA04A4" w:rsidRDefault="008D0CAD" w:rsidP="00DD08E3">
      <w:pPr>
        <w:numPr>
          <w:ilvl w:val="0"/>
          <w:numId w:val="145"/>
        </w:numPr>
        <w:shd w:val="clear" w:color="auto" w:fill="FFFFFF"/>
        <w:spacing w:before="100" w:beforeAutospacing="1" w:after="100" w:afterAutospacing="1" w:line="360" w:lineRule="auto"/>
        <w:rPr>
          <w:rFonts w:ascii="Calibri Light" w:hAnsi="Calibri Light" w:cs="Arial"/>
          <w:color w:val="000000"/>
          <w:lang w:val="en-US"/>
        </w:rPr>
      </w:pPr>
      <w:r w:rsidRPr="00AA04A4">
        <w:rPr>
          <w:rFonts w:ascii="Calibri Light" w:hAnsi="Calibri Light" w:cs="Arial"/>
          <w:color w:val="000000"/>
          <w:lang w:val="en-US"/>
        </w:rPr>
        <w:t>Office of the Ombudsman</w:t>
      </w:r>
    </w:p>
    <w:p w14:paraId="0E14D73D" w14:textId="77777777" w:rsidR="008D0CAD" w:rsidRPr="00AA04A4" w:rsidRDefault="008D0CAD" w:rsidP="00DD08E3">
      <w:pPr>
        <w:numPr>
          <w:ilvl w:val="0"/>
          <w:numId w:val="145"/>
        </w:numPr>
        <w:shd w:val="clear" w:color="auto" w:fill="FFFFFF"/>
        <w:spacing w:before="100" w:beforeAutospacing="1" w:after="100" w:afterAutospacing="1" w:line="360" w:lineRule="auto"/>
        <w:rPr>
          <w:rFonts w:ascii="Calibri Light" w:hAnsi="Calibri Light" w:cs="Arial"/>
          <w:color w:val="000000"/>
          <w:lang w:val="en-US"/>
        </w:rPr>
      </w:pPr>
      <w:r w:rsidRPr="00AA04A4">
        <w:rPr>
          <w:rFonts w:ascii="Calibri Light" w:hAnsi="Calibri Light" w:cs="Arial"/>
          <w:color w:val="000000"/>
          <w:lang w:val="en-US"/>
        </w:rPr>
        <w:t>Commission on Higher Education (CHED)</w:t>
      </w:r>
    </w:p>
    <w:p w14:paraId="5091EAB1" w14:textId="77777777" w:rsidR="008D0CAD" w:rsidRPr="00AA04A4" w:rsidRDefault="008D0CAD" w:rsidP="00DD08E3">
      <w:pPr>
        <w:numPr>
          <w:ilvl w:val="0"/>
          <w:numId w:val="145"/>
        </w:numPr>
        <w:shd w:val="clear" w:color="auto" w:fill="FFFFFF"/>
        <w:spacing w:before="100" w:beforeAutospacing="1" w:after="100" w:afterAutospacing="1" w:line="360" w:lineRule="auto"/>
        <w:rPr>
          <w:rFonts w:ascii="Calibri Light" w:hAnsi="Calibri Light" w:cs="Arial"/>
          <w:color w:val="000000"/>
          <w:lang w:val="en-US"/>
        </w:rPr>
      </w:pPr>
      <w:r w:rsidRPr="00AA04A4">
        <w:rPr>
          <w:rFonts w:ascii="Calibri Light" w:hAnsi="Calibri Light" w:cs="Arial"/>
          <w:color w:val="000000"/>
          <w:lang w:val="en-US"/>
        </w:rPr>
        <w:t>Career Executive Service Board (CESB)</w:t>
      </w:r>
    </w:p>
    <w:p w14:paraId="08E57699" w14:textId="77777777" w:rsidR="008D0CAD" w:rsidRPr="00AA04A4" w:rsidRDefault="008D0CAD" w:rsidP="00DD08E3">
      <w:pPr>
        <w:numPr>
          <w:ilvl w:val="0"/>
          <w:numId w:val="145"/>
        </w:numPr>
        <w:shd w:val="clear" w:color="auto" w:fill="FFFFFF"/>
        <w:spacing w:before="100" w:beforeAutospacing="1" w:after="100" w:afterAutospacing="1" w:line="360" w:lineRule="auto"/>
        <w:rPr>
          <w:rFonts w:ascii="Calibri Light" w:hAnsi="Calibri Light" w:cs="Arial"/>
          <w:color w:val="000000"/>
          <w:lang w:val="en-US"/>
        </w:rPr>
      </w:pPr>
      <w:r w:rsidRPr="00AA04A4">
        <w:rPr>
          <w:rFonts w:ascii="Calibri Light" w:hAnsi="Calibri Light" w:cs="Arial"/>
          <w:color w:val="000000"/>
          <w:lang w:val="en-US"/>
        </w:rPr>
        <w:t>National Competitiveness Council (NCC)</w:t>
      </w:r>
    </w:p>
    <w:p w14:paraId="66038D71" w14:textId="77777777" w:rsidR="008D0CAD" w:rsidRPr="00AA04A4" w:rsidRDefault="008D0CAD" w:rsidP="00DD08E3">
      <w:pPr>
        <w:numPr>
          <w:ilvl w:val="0"/>
          <w:numId w:val="145"/>
        </w:numPr>
        <w:shd w:val="clear" w:color="auto" w:fill="FFFFFF"/>
        <w:spacing w:before="100" w:beforeAutospacing="1" w:after="100" w:afterAutospacing="1" w:line="360" w:lineRule="auto"/>
        <w:rPr>
          <w:rFonts w:ascii="Calibri Light" w:hAnsi="Calibri Light" w:cs="Arial"/>
          <w:color w:val="000000"/>
          <w:lang w:val="en-US"/>
        </w:rPr>
      </w:pPr>
      <w:r w:rsidRPr="00AA04A4">
        <w:rPr>
          <w:rFonts w:ascii="Calibri Light" w:hAnsi="Calibri Light" w:cs="Arial"/>
          <w:color w:val="000000"/>
          <w:lang w:val="en-US"/>
        </w:rPr>
        <w:t>Governance Commission for the Government-Owned and Controlled Corporations (GCG)</w:t>
      </w:r>
    </w:p>
    <w:p w14:paraId="31561B4B" w14:textId="77777777" w:rsidR="008D0CAD" w:rsidRPr="00AA04A4" w:rsidRDefault="008D0CAD" w:rsidP="00DD08E3">
      <w:pPr>
        <w:numPr>
          <w:ilvl w:val="0"/>
          <w:numId w:val="145"/>
        </w:numPr>
        <w:shd w:val="clear" w:color="auto" w:fill="FFFFFF"/>
        <w:spacing w:before="100" w:beforeAutospacing="1" w:after="100" w:afterAutospacing="1" w:line="360" w:lineRule="auto"/>
        <w:rPr>
          <w:rFonts w:ascii="Calibri Light" w:hAnsi="Calibri Light" w:cs="Arial"/>
          <w:color w:val="000000"/>
          <w:lang w:val="en-US"/>
        </w:rPr>
      </w:pPr>
      <w:r w:rsidRPr="00AA04A4">
        <w:rPr>
          <w:rFonts w:ascii="Calibri Light" w:hAnsi="Calibri Light" w:cs="Arial"/>
          <w:color w:val="000000"/>
          <w:lang w:val="en-US"/>
        </w:rPr>
        <w:t>Local Water Utilities Administration (LWUA)</w:t>
      </w:r>
    </w:p>
    <w:p w14:paraId="4F61CDA8" w14:textId="77777777" w:rsidR="008D0CAD" w:rsidRPr="00AA04A4" w:rsidRDefault="008D0CAD" w:rsidP="00DD08E3">
      <w:pPr>
        <w:numPr>
          <w:ilvl w:val="0"/>
          <w:numId w:val="145"/>
        </w:numPr>
        <w:shd w:val="clear" w:color="auto" w:fill="FFFFFF"/>
        <w:spacing w:before="100" w:beforeAutospacing="1" w:after="100" w:afterAutospacing="1" w:line="360" w:lineRule="auto"/>
        <w:rPr>
          <w:rFonts w:ascii="Calibri Light" w:hAnsi="Calibri Light" w:cs="Arial"/>
          <w:color w:val="000000"/>
          <w:lang w:val="en-US"/>
        </w:rPr>
      </w:pPr>
      <w:r w:rsidRPr="00AA04A4">
        <w:rPr>
          <w:rFonts w:ascii="Calibri Light" w:hAnsi="Calibri Light" w:cs="Arial"/>
          <w:color w:val="000000"/>
          <w:lang w:val="en-US"/>
        </w:rPr>
        <w:t>Department of the Interior and Local Government (DILG)</w:t>
      </w:r>
    </w:p>
    <w:p w14:paraId="761B95D2" w14:textId="77777777" w:rsidR="008D0CAD" w:rsidRPr="00AA04A4" w:rsidRDefault="008D0CAD" w:rsidP="00DD08E3">
      <w:pPr>
        <w:spacing w:before="100" w:beforeAutospacing="1" w:after="100" w:afterAutospacing="1" w:line="360" w:lineRule="auto"/>
        <w:rPr>
          <w:rFonts w:ascii="Calibri Light" w:hAnsi="Calibri Light" w:cs="Calibri Light"/>
          <w:bCs/>
          <w:snapToGrid w:val="0"/>
          <w:lang w:val="en-US"/>
        </w:rPr>
      </w:pPr>
      <w:r w:rsidRPr="00AA04A4">
        <w:rPr>
          <w:rFonts w:ascii="Calibri Light" w:hAnsi="Calibri Light" w:cs="Calibri Light"/>
          <w:bCs/>
          <w:snapToGrid w:val="0"/>
          <w:lang w:val="en-US"/>
        </w:rPr>
        <w:t xml:space="preserve">Subsequently, several administrative orders have been issued that support RbPMS; these are: (1) the National Budget Circular No. 552 Series of 2014. As early as 2014, guidelines on the shift to outcome-based Performance-Informed Budget (PIB) for the Fiscal Year 2015, budget preparation were used in this circular; (2) NEDA-DBM Joint Memorandum Circular 2015-1, July 15, 2015, National Evaluation Policy Framework of the Philippines; supporting the government’s efforts of strengthening the M&amp;E system of the government agencies; and the DBM National Budget Circular No. 565 dated December 2, 2016 (NBC No. 565 s. 2016). </w:t>
      </w:r>
    </w:p>
    <w:p w14:paraId="1B4F99CB" w14:textId="6EE01264" w:rsidR="008D0CAD" w:rsidRPr="00AA04A4" w:rsidRDefault="008D0CAD" w:rsidP="00DD08E3">
      <w:pPr>
        <w:shd w:val="clear" w:color="auto" w:fill="FFFFFF"/>
        <w:spacing w:before="100" w:beforeAutospacing="1" w:after="100" w:afterAutospacing="1" w:line="360" w:lineRule="auto"/>
        <w:rPr>
          <w:rFonts w:ascii="Calibri Light" w:hAnsi="Calibri Light" w:cs="Calibri Light"/>
          <w:bCs/>
          <w:lang w:val="en-US"/>
        </w:rPr>
      </w:pPr>
      <w:r w:rsidRPr="00AA04A4">
        <w:rPr>
          <w:rFonts w:ascii="Calibri Light" w:hAnsi="Calibri Light" w:cs="Calibri Light"/>
          <w:bCs/>
          <w:lang w:val="en-US"/>
        </w:rPr>
        <w:t xml:space="preserve">Following the aforementioned NEDA-DBM Joint Memorandum Circular, this circular outline the Adoption of a Results-based Monitoring and Evaluation Reporting (RbMER) Policy which aims to strengthen, streamline, and standardise the RbMER system evidenced by a timely, useful, accurate, and credible reporting of performance information in order to support policy and program improvement, expenditure management, and local and national decision-making. </w:t>
      </w:r>
    </w:p>
    <w:p w14:paraId="57CBC800" w14:textId="77777777" w:rsidR="008D0CAD" w:rsidRPr="00AA04A4" w:rsidRDefault="008D0CAD" w:rsidP="00DD08E3">
      <w:pPr>
        <w:shd w:val="clear" w:color="auto" w:fill="FFFFFF"/>
        <w:spacing w:before="100" w:beforeAutospacing="1" w:after="100" w:afterAutospacing="1" w:line="360" w:lineRule="auto"/>
        <w:rPr>
          <w:rFonts w:ascii="Arial" w:hAnsi="Arial" w:cs="Arial"/>
          <w:color w:val="222222"/>
          <w:sz w:val="21"/>
          <w:szCs w:val="21"/>
          <w:lang w:val="en-US"/>
        </w:rPr>
      </w:pPr>
      <w:r w:rsidRPr="00AA04A4">
        <w:rPr>
          <w:rFonts w:ascii="Calibri Light" w:hAnsi="Calibri Light" w:cs="Calibri Light"/>
          <w:bCs/>
          <w:lang w:val="en-US"/>
        </w:rPr>
        <w:t>Likewise, the Civil Service Commission (</w:t>
      </w:r>
      <w:r w:rsidRPr="00AA04A4">
        <w:rPr>
          <w:rFonts w:ascii="Calibri Light" w:hAnsi="Calibri Light" w:cs="Arial"/>
          <w:color w:val="222222"/>
          <w:shd w:val="clear" w:color="auto" w:fill="FFFFFF"/>
          <w:lang w:val="en-US"/>
        </w:rPr>
        <w:t>CSC) Memorandum Circular No. 3, s. 2012. t</w:t>
      </w:r>
      <w:r w:rsidRPr="00AA04A4">
        <w:rPr>
          <w:rFonts w:ascii="Calibri Light" w:hAnsi="Calibri Light" w:cs="Arial"/>
          <w:color w:val="222222"/>
          <w:lang w:val="en-US"/>
        </w:rPr>
        <w:t>he Program to Institutionalise Meritocracy and Excellence in Human Resource Management (PRIME-HRM) integrates and enhances the Personnel Management Assessment and Assistance Program (PMAAP) and the CSC Agency Accreditation Program (CSCAAP). It is a mechanism that empowers government agencies by developing their human resource management competencies, systems, and practices toward HR excellence. PRIME-HRM entails greater engagement not just of the human resource management officer (HRMO) but also of the officials and the rank-and-file employees of the agency</w:t>
      </w:r>
      <w:r w:rsidRPr="00AA04A4">
        <w:rPr>
          <w:rFonts w:ascii="Arial" w:hAnsi="Arial" w:cs="Arial"/>
          <w:color w:val="222222"/>
          <w:sz w:val="21"/>
          <w:szCs w:val="21"/>
          <w:lang w:val="en-US"/>
        </w:rPr>
        <w:t>.</w:t>
      </w:r>
      <w:r w:rsidRPr="00AA04A4">
        <w:rPr>
          <w:rFonts w:ascii="Calibri Light" w:hAnsi="Calibri Light" w:cs="Arial"/>
          <w:color w:val="222222"/>
          <w:lang w:val="en-US"/>
        </w:rPr>
        <w:t xml:space="preserve"> The CSC will assess the maturity level of an agency’s competencies, systems, and practices in four HR systems: (1) recruitment, selection, and placement; (2) learning and development; (3) performance management; and (4) rewards and recognition.</w:t>
      </w:r>
    </w:p>
    <w:p w14:paraId="3FC49E3D" w14:textId="2FABA7EB" w:rsidR="008D0CAD" w:rsidRPr="00AA04A4" w:rsidRDefault="008D0CAD" w:rsidP="00DD08E3">
      <w:pPr>
        <w:shd w:val="clear" w:color="auto" w:fill="FFFFFF"/>
        <w:spacing w:before="100" w:beforeAutospacing="1" w:after="100" w:afterAutospacing="1" w:line="360" w:lineRule="auto"/>
        <w:rPr>
          <w:rFonts w:ascii="Calibri Light" w:hAnsi="Calibri Light" w:cs="Calibri Light"/>
          <w:bCs/>
          <w:lang w:val="en-US"/>
        </w:rPr>
      </w:pPr>
      <w:r w:rsidRPr="00AA04A4">
        <w:rPr>
          <w:rFonts w:ascii="Calibri Light" w:hAnsi="Calibri Light" w:cs="Calibri Light"/>
          <w:bCs/>
          <w:lang w:val="en-US"/>
        </w:rPr>
        <w:t>In terms of planning, the Philippine commitment to the 2030 Agenda for Sustainable Development, adopted by all United Nations Member States in 2015, provides a shared blueprint for peace and prosperity for people and the planet, now and into the future; at the core of this development are the 17 Sustainable Development Goals (SDGs) which are an urgent call for action by all countries – developed and developing – in a global partnership. In particular, DepEd supports and focuses its efforts toward the attainment of SDG 4, which is “to ensure inclusive and equitable quality education and promote lifelong learning opportunities for all”.</w:t>
      </w:r>
      <w:r w:rsidR="00D434EB">
        <w:rPr>
          <w:rFonts w:ascii="Calibri Light" w:hAnsi="Calibri Light" w:cs="Calibri Light"/>
          <w:bCs/>
          <w:lang w:val="en-US"/>
        </w:rPr>
        <w:t xml:space="preserve"> </w:t>
      </w:r>
    </w:p>
    <w:p w14:paraId="74F755C3" w14:textId="6755BF5B" w:rsidR="008D0CAD" w:rsidRPr="00AA04A4" w:rsidRDefault="008D0CAD" w:rsidP="00DD08E3">
      <w:pPr>
        <w:spacing w:before="100" w:beforeAutospacing="1" w:after="100" w:afterAutospacing="1" w:line="360" w:lineRule="auto"/>
        <w:rPr>
          <w:rFonts w:ascii="Calibri Light" w:hAnsi="Calibri Light" w:cs="Calibri Light"/>
          <w:bCs/>
          <w:snapToGrid w:val="0"/>
          <w:lang w:val="en-US"/>
        </w:rPr>
      </w:pPr>
      <w:r w:rsidRPr="00AA04A4">
        <w:rPr>
          <w:rFonts w:ascii="Calibri Light" w:hAnsi="Calibri Light" w:cs="Calibri Light"/>
          <w:bCs/>
          <w:snapToGrid w:val="0"/>
          <w:lang w:val="en-US"/>
        </w:rPr>
        <w:t>Even with SDG 4 as a universal standalone goal, DepEd is also supportive of the attainment of other SDG that were essential to learners’ well-being and supportive of DepEd outcomes. It should be highlighted that there are interrelationships and linkages between education and other SDG areas, and DepEd policy makers have long recognised many of them. Learners’ well-being affects their participation in education, and education can also contribute to health and well-being. This points toward a shared understanding that education is a powerful lever for improving people’s health. Consequently, DepEd in its programs highlights its support for SDG 3 that focuses on ensuring healthy lives and promote well-being for all at all ages. Likewise, Dep Ed supports SDG 6 as it seeks to “Ensure availability and sustainable management of water and sanitation for all” in school settings.</w:t>
      </w:r>
      <w:r w:rsidR="00D434EB">
        <w:rPr>
          <w:rFonts w:ascii="Calibri Light" w:hAnsi="Calibri Light" w:cs="Calibri Light"/>
          <w:bCs/>
          <w:snapToGrid w:val="0"/>
          <w:lang w:val="en-US"/>
        </w:rPr>
        <w:t xml:space="preserve"> </w:t>
      </w:r>
      <w:r w:rsidRPr="00AA04A4">
        <w:rPr>
          <w:rFonts w:ascii="Calibri Light" w:hAnsi="Calibri Light" w:cs="Calibri Light"/>
          <w:bCs/>
          <w:snapToGrid w:val="0"/>
          <w:lang w:val="en-US"/>
        </w:rPr>
        <w:t>Inclusion is at the core of DepEd’s strategic direction. Basic Education should serve as means to promote peace, justice and equality for sustainable development. As a result, DepEd is also focused on attaining SDG 16 as it intends to “promote peaceful and inclusive societies for sustainable development, provide access to justice for all and build effective, accountable and inclusive institutions at all levels”.</w:t>
      </w:r>
    </w:p>
    <w:p w14:paraId="4FA1FE3E" w14:textId="5F9AEFDB" w:rsidR="008D0CAD" w:rsidRPr="00AA04A4" w:rsidRDefault="008D0CAD" w:rsidP="00DD08E3">
      <w:pPr>
        <w:spacing w:before="100" w:beforeAutospacing="1" w:after="100" w:afterAutospacing="1" w:line="360" w:lineRule="auto"/>
        <w:rPr>
          <w:rFonts w:ascii="Calibri Light" w:hAnsi="Calibri Light" w:cs="Calibri Light"/>
          <w:snapToGrid w:val="0"/>
          <w:lang w:val="en-US"/>
        </w:rPr>
      </w:pPr>
      <w:r w:rsidRPr="00AA04A4">
        <w:rPr>
          <w:rFonts w:ascii="Calibri Light" w:hAnsi="Calibri Light" w:cs="Calibri Light"/>
          <w:snapToGrid w:val="0"/>
          <w:lang w:val="en-US"/>
        </w:rPr>
        <w:t>The Philippine Development Forum (PDF), established in 2005, is where Government facilitates policy dialogue among all stakeholders in development. The PDF evolved from a series of consultation meetings between the World Bank and the Government of the Philippines Department of Finance to encourage wider policy dialogue about the country’s development agenda (PDF, 2009: 209). AusAID and DepEd are co-conveners of the Education section of the MDGs and Social Progress Working Groups (PDF, 2009). In this way, Australia has positioned itself to engage in partnership and policy dialogue with the government. Australia elicits its strategy as supporting systemic improvements in the education sector with ‘‘enhanced sectoral expertise and policy engagement’’ (AusAID, 2007a: 11). Early literature highlighted Australian involvement in education policy reform. In fact, it was depicted that “policy engagement occurs through support of SPHERE, engagement in the PDF, and through a 6-monthly BESRA Review that is jointly undertaken by DepEd and education donors. AusAID contends that its projects contribute to the implementation and framework of BESRA, and that the SPHERE Trust Fund supports policy development, resources for schools and classroom construction, and financing of activities for resource management and mobilisation of BESRA” (Cassity, 2010: 71).</w:t>
      </w:r>
      <w:r w:rsidR="00D434EB">
        <w:rPr>
          <w:rFonts w:ascii="Calibri Light" w:hAnsi="Calibri Light" w:cs="Calibri Light"/>
          <w:snapToGrid w:val="0"/>
          <w:lang w:val="en-US"/>
        </w:rPr>
        <w:t xml:space="preserve"> </w:t>
      </w:r>
    </w:p>
    <w:p w14:paraId="14A379A7" w14:textId="77777777" w:rsidR="008D0CAD" w:rsidRPr="00AA04A4" w:rsidRDefault="008D0CAD" w:rsidP="00DD08E3">
      <w:pPr>
        <w:pStyle w:val="Heading5"/>
        <w:numPr>
          <w:ilvl w:val="0"/>
          <w:numId w:val="0"/>
        </w:numPr>
        <w:spacing w:before="100" w:beforeAutospacing="1" w:after="100" w:afterAutospacing="1" w:line="360" w:lineRule="auto"/>
        <w:ind w:left="1222" w:hanging="1080"/>
      </w:pPr>
      <w:r w:rsidRPr="00AA04A4">
        <w:t>Challenges related to PPMES</w:t>
      </w:r>
    </w:p>
    <w:p w14:paraId="5E7EA913" w14:textId="55F090AE" w:rsidR="008D0CAD" w:rsidRPr="00AA04A4" w:rsidRDefault="008D0CAD" w:rsidP="00DD08E3">
      <w:pPr>
        <w:spacing w:before="100" w:beforeAutospacing="1" w:after="100" w:afterAutospacing="1" w:line="360" w:lineRule="auto"/>
        <w:rPr>
          <w:rFonts w:ascii="Calibri Light" w:hAnsi="Calibri Light" w:cs="Calibri Light"/>
          <w:lang w:val="en-US"/>
        </w:rPr>
      </w:pPr>
      <w:r w:rsidRPr="00AA04A4">
        <w:rPr>
          <w:rFonts w:ascii="Calibri Light" w:hAnsi="Calibri Light" w:cs="Calibri Light"/>
          <w:lang w:val="en-US"/>
        </w:rPr>
        <w:t xml:space="preserve">One of the major initiatives pursued by DepEd in the last 10 years was the strengthening of its planning, monitoring and evaluation functions as well as the strengthening of the planning and M&amp;E competencies of DepEd staff at all governance levels. DepEd has been implementing various interventions throughout the years in order to strengthen its planning, policy research and development and monitoring and evaluation (M&amp;E) functions. The intent was to harmonise </w:t>
      </w:r>
      <w:r w:rsidRPr="00AA04A4">
        <w:rPr>
          <w:rFonts w:ascii="Calibri Light" w:hAnsi="Calibri Light" w:cs="Calibri Light"/>
          <w:snapToGrid w:val="0"/>
          <w:lang w:val="en-US"/>
        </w:rPr>
        <w:t>these past initiatives into one coherent system of planning, budgeting, policy research and development and M&amp;E. In addition, DepEd needs to venture on the provision of alignments and direct linkages between these sub-systems to the teaching and learning process happening in schools. Across DepEd’s governance levels, m</w:t>
      </w:r>
      <w:r w:rsidRPr="00AA04A4">
        <w:rPr>
          <w:rFonts w:ascii="Calibri Light" w:hAnsi="Calibri Light" w:cs="Calibri Light"/>
          <w:lang w:val="en-US"/>
        </w:rPr>
        <w:t>ost of the schools were taught how to develop and package the School Improvement Plan, divisions prepared their Division Education Development Plan, and the regions developed their Regional Education Development Plan.</w:t>
      </w:r>
      <w:r w:rsidR="00D434EB">
        <w:rPr>
          <w:rFonts w:ascii="Calibri Light" w:hAnsi="Calibri Light" w:cs="Calibri Light"/>
          <w:lang w:val="en-US"/>
        </w:rPr>
        <w:t xml:space="preserve"> </w:t>
      </w:r>
      <w:r w:rsidRPr="00AA04A4">
        <w:rPr>
          <w:rFonts w:ascii="Calibri Light" w:hAnsi="Calibri Light" w:cs="Calibri Light"/>
          <w:lang w:val="en-US"/>
        </w:rPr>
        <w:t xml:space="preserve">These educational development plans are bases of operational planning, ensuring that budget allocation is purposive. As a result, DepEd’s strategic directions are articulated, cascaded and contextualised in aligned NEDP, REDP, DEDP and SIP. </w:t>
      </w:r>
    </w:p>
    <w:p w14:paraId="3C291A97" w14:textId="77777777" w:rsidR="008D0CAD" w:rsidRPr="00AA04A4" w:rsidRDefault="008D0CAD" w:rsidP="00DD08E3">
      <w:pPr>
        <w:spacing w:before="100" w:beforeAutospacing="1" w:after="100" w:afterAutospacing="1" w:line="360" w:lineRule="auto"/>
        <w:rPr>
          <w:rFonts w:ascii="Calibri Light" w:hAnsi="Calibri Light" w:cs="Calibri Light"/>
          <w:lang w:val="en-US"/>
        </w:rPr>
      </w:pPr>
      <w:r w:rsidRPr="00AA04A4">
        <w:rPr>
          <w:rFonts w:ascii="Calibri Light" w:hAnsi="Calibri Light" w:cs="Calibri Light"/>
          <w:lang w:val="en-US"/>
        </w:rPr>
        <w:t xml:space="preserve">Furthermore, as previously discussed, other frameworks influence the alignment and harmonisation of the strategic planning framework and these education development plans. The following are considered essential by DepEd: (1) Philippine Development Plan, (2) DepEd’s Vision-Mission-Values, (3) DepEd’s Performance Governance Scorecard, (4) DepEd 2013-2016 Roadmap, (4) Kto12 M&amp;E Framework and (5) Program Expenditure Classification (PREXC). </w:t>
      </w:r>
    </w:p>
    <w:p w14:paraId="0FEDE0C9" w14:textId="77777777" w:rsidR="008D0CAD" w:rsidRPr="00AA04A4" w:rsidRDefault="008D0CAD" w:rsidP="00DD08E3">
      <w:pPr>
        <w:spacing w:before="100" w:beforeAutospacing="1" w:after="100" w:afterAutospacing="1" w:line="360" w:lineRule="auto"/>
        <w:rPr>
          <w:rFonts w:ascii="Calibri Light" w:hAnsi="Calibri Light" w:cs="Calibri Light"/>
          <w:snapToGrid w:val="0"/>
          <w:szCs w:val="20"/>
          <w:lang w:val="en-US"/>
        </w:rPr>
      </w:pPr>
      <w:r w:rsidRPr="00AA04A4">
        <w:rPr>
          <w:rFonts w:ascii="Calibri Light" w:hAnsi="Calibri Light" w:cs="Calibri Light"/>
          <w:snapToGrid w:val="0"/>
          <w:szCs w:val="20"/>
          <w:lang w:val="en-US"/>
        </w:rPr>
        <w:t xml:space="preserve">Correspondingly, these were mainstreamed in programs and projects such as Supporting Transformation by Reducing Insecurity and Vulnerability with Economic Strengthening, Basic Education Assistance for Mindanao, SPHERE, STRIVE, PAHRODF and PRIME. Each program/project had provided technical support, systems improvement, and a series of capability building activities on education planning, program monitoring and outcomes evaluation. </w:t>
      </w:r>
    </w:p>
    <w:p w14:paraId="33D52EE6" w14:textId="77777777" w:rsidR="008D0CAD" w:rsidRPr="00AA04A4" w:rsidRDefault="008D0CAD" w:rsidP="00DD08E3">
      <w:pPr>
        <w:spacing w:before="100" w:beforeAutospacing="1" w:after="100" w:afterAutospacing="1" w:line="360" w:lineRule="auto"/>
        <w:rPr>
          <w:rFonts w:ascii="Calibri Light" w:hAnsi="Calibri Light" w:cs="Calibri Light"/>
          <w:snapToGrid w:val="0"/>
          <w:szCs w:val="20"/>
          <w:lang w:val="en-US"/>
        </w:rPr>
      </w:pPr>
      <w:r w:rsidRPr="00AA04A4">
        <w:rPr>
          <w:rFonts w:ascii="Calibri Light" w:hAnsi="Calibri Light" w:cs="Calibri Light"/>
          <w:snapToGrid w:val="0"/>
          <w:szCs w:val="20"/>
          <w:lang w:val="en-US"/>
        </w:rPr>
        <w:t>The BEST Program intended to harmonize these past achievements into one coherent system of planning, budgeting, and M&amp;E. Specifically, the objective was to provide a direct link between these sub-systems to the teaching and learning process happening in schools. Aside from this general strategic direction within DepEd, government thrust has also contributed to the refinement of planning and M&amp;E in DepEd.</w:t>
      </w:r>
    </w:p>
    <w:p w14:paraId="14750A05" w14:textId="77777777" w:rsidR="008D0CAD" w:rsidRPr="00AA04A4" w:rsidRDefault="008D0CAD" w:rsidP="00DD08E3">
      <w:pPr>
        <w:pStyle w:val="Heading5"/>
        <w:numPr>
          <w:ilvl w:val="0"/>
          <w:numId w:val="0"/>
        </w:numPr>
        <w:spacing w:before="100" w:beforeAutospacing="1" w:after="100" w:afterAutospacing="1" w:line="360" w:lineRule="auto"/>
        <w:ind w:left="1222" w:hanging="1080"/>
      </w:pPr>
      <w:r w:rsidRPr="00AA04A4">
        <w:t>Interventions under PPMES</w:t>
      </w:r>
    </w:p>
    <w:p w14:paraId="690E1AD6" w14:textId="77777777" w:rsidR="008D0CAD" w:rsidRPr="00AA04A4" w:rsidRDefault="008D0CAD" w:rsidP="00DD08E3">
      <w:pPr>
        <w:spacing w:before="100" w:beforeAutospacing="1" w:after="100" w:afterAutospacing="1" w:line="360" w:lineRule="auto"/>
        <w:rPr>
          <w:rFonts w:ascii="Calibri Light" w:hAnsi="Calibri Light" w:cs="Calibri Light"/>
          <w:bCs/>
          <w:snapToGrid w:val="0"/>
          <w:szCs w:val="20"/>
          <w:lang w:val="en-US"/>
        </w:rPr>
      </w:pPr>
      <w:r w:rsidRPr="00AA04A4">
        <w:rPr>
          <w:rFonts w:ascii="Calibri Light" w:hAnsi="Calibri Light" w:cs="Calibri Light"/>
          <w:bCs/>
          <w:snapToGrid w:val="0"/>
          <w:szCs w:val="20"/>
          <w:lang w:val="en-US"/>
        </w:rPr>
        <w:t>As a result, the Department of Education (DepEd) developed the Basic Education Monitoring and Evaluation Framework (BEMEF) to guide DepEd operating units in the conduct of M&amp;E activities and assessment of office and individual performance in line with the aforementioned policies. This is also in line with the establishment of the National Quality Management System (QMS) which aims to enhance the organisation’s capacity and internal systems and processes. This shall strengthen evidence-based decision-making and policy formulation which shall in turn improve the delivery of services, as well as the allocation and management of government resources, as well as strengthen transparency and accountability in the basic education sector. It is consistent and aligned with the government’s global development cooperation commitments based on the principles, concepts and methods of Managing for Development Results and Results-based Management.</w:t>
      </w:r>
    </w:p>
    <w:p w14:paraId="5D286659" w14:textId="77777777" w:rsidR="008D0CAD" w:rsidRPr="00AA04A4" w:rsidRDefault="008D0CAD" w:rsidP="00DD08E3">
      <w:pPr>
        <w:spacing w:before="100" w:beforeAutospacing="1" w:after="100" w:afterAutospacing="1" w:line="360" w:lineRule="auto"/>
        <w:rPr>
          <w:rFonts w:ascii="Calibri Light" w:hAnsi="Calibri Light" w:cs="Calibri Light"/>
          <w:snapToGrid w:val="0"/>
          <w:szCs w:val="20"/>
          <w:lang w:val="en-US"/>
        </w:rPr>
      </w:pPr>
      <w:r w:rsidRPr="00AA04A4">
        <w:rPr>
          <w:rFonts w:ascii="Calibri Light" w:hAnsi="Calibri Light" w:cs="Calibri Light"/>
          <w:bCs/>
          <w:snapToGrid w:val="0"/>
          <w:szCs w:val="20"/>
          <w:lang w:val="en-US"/>
        </w:rPr>
        <w:t xml:space="preserve">The policy, </w:t>
      </w:r>
      <w:r w:rsidRPr="00AA04A4">
        <w:rPr>
          <w:rFonts w:ascii="Calibri Light" w:hAnsi="Calibri Light" w:cs="Calibri Light"/>
          <w:snapToGrid w:val="0"/>
          <w:szCs w:val="20"/>
          <w:lang w:val="en-US"/>
        </w:rPr>
        <w:t xml:space="preserve">planning, monitoring and evaluation functions of the DepEd has become one of the central concerns as they try to strengthen monitoring and evaluation (M&amp;E) competencies at all governance levels. In 2015, one of the major initiatives to be undertaken is the preparation of a pre-BEST Program baseline situation in the six supported regions. </w:t>
      </w:r>
    </w:p>
    <w:p w14:paraId="71EB3FAB" w14:textId="77777777" w:rsidR="008D0CAD" w:rsidRPr="00AA04A4" w:rsidRDefault="008D0CAD" w:rsidP="00DD08E3">
      <w:pPr>
        <w:spacing w:before="100" w:beforeAutospacing="1" w:after="100" w:afterAutospacing="1" w:line="360" w:lineRule="auto"/>
        <w:rPr>
          <w:rFonts w:ascii="Calibri Light" w:hAnsi="Calibri Light" w:cs="Calibri Light"/>
          <w:snapToGrid w:val="0"/>
          <w:szCs w:val="20"/>
          <w:lang w:val="en-US"/>
        </w:rPr>
      </w:pPr>
      <w:r w:rsidRPr="00AA04A4">
        <w:rPr>
          <w:rFonts w:ascii="Calibri Light" w:hAnsi="Calibri Light" w:cs="Calibri Light"/>
          <w:snapToGrid w:val="0"/>
          <w:szCs w:val="20"/>
          <w:lang w:val="en-US"/>
        </w:rPr>
        <w:t xml:space="preserve">The baseline documentations will be used as input to DepEd’s effort to make for more demand responsive and relevant education projects, programs and policies. The same can be used by other BEST Program sub-components in their strategy formulation and used as the basis for outcome evaluation to be conducted in the latter part of the Program. </w:t>
      </w:r>
    </w:p>
    <w:p w14:paraId="68F66D11" w14:textId="08EB412D" w:rsidR="008D0CAD" w:rsidRPr="00AA04A4" w:rsidRDefault="008D0CAD" w:rsidP="00DD08E3">
      <w:pPr>
        <w:spacing w:before="100" w:beforeAutospacing="1" w:after="100" w:afterAutospacing="1" w:line="360" w:lineRule="auto"/>
        <w:rPr>
          <w:rFonts w:ascii="Calibri Light" w:hAnsi="Calibri Light" w:cs="Calibri Light"/>
          <w:snapToGrid w:val="0"/>
          <w:szCs w:val="20"/>
          <w:lang w:val="en-US"/>
        </w:rPr>
      </w:pPr>
      <w:r w:rsidRPr="00AA04A4">
        <w:rPr>
          <w:rFonts w:ascii="Calibri Light" w:hAnsi="Calibri Light" w:cs="Calibri Light"/>
          <w:snapToGrid w:val="0"/>
          <w:szCs w:val="20"/>
          <w:lang w:val="en-US"/>
        </w:rPr>
        <w:t>A critical input to the base-lining initiative is the formulation of the Basic Education Sector M&amp;E Framework (BESMEF). The BESMEF shall define the critical outcomes, results, and indicators that will be used as reference by the education plans, and as the basis for performance measures and accomplishments. BESMEF will be updated in the context of the K–12 Program and the Theory of Change Framework of the BEST Program. The baseline and BESMEF will be used as inputs to the development of DepEd’s National Education Plan. BEST also provided technical support, systems improvement, and a series of capability building activities on education planning, program monitoring and outcomes evaluation with schools. They were taught to develop their own School, Division, and Regional Education Plans that are in-sync with the agency’s plan.</w:t>
      </w:r>
      <w:r w:rsidR="00D434EB">
        <w:rPr>
          <w:rFonts w:ascii="Calibri Light" w:hAnsi="Calibri Light" w:cs="Calibri Light"/>
          <w:snapToGrid w:val="0"/>
          <w:szCs w:val="20"/>
          <w:lang w:val="en-US"/>
        </w:rPr>
        <w:t xml:space="preserve"> </w:t>
      </w:r>
      <w:r w:rsidRPr="00AA04A4">
        <w:rPr>
          <w:rFonts w:ascii="Calibri Light" w:hAnsi="Calibri Light" w:cs="Calibri Light"/>
          <w:bCs/>
          <w:snapToGrid w:val="0"/>
          <w:szCs w:val="20"/>
          <w:lang w:val="en-US"/>
        </w:rPr>
        <w:t>Under these programs</w:t>
      </w:r>
      <w:r w:rsidRPr="00AA04A4">
        <w:rPr>
          <w:rFonts w:ascii="Calibri Light" w:hAnsi="Calibri Light" w:cs="Calibri Light"/>
          <w:snapToGrid w:val="0"/>
          <w:szCs w:val="20"/>
          <w:lang w:val="en-US"/>
        </w:rPr>
        <w:t xml:space="preserve">, most of the schools were taught how to prepare and package the School Improvement Plan, divisions prepared their Division Education Development Plan, and the regions developed their Regional Education Development Plan. </w:t>
      </w:r>
    </w:p>
    <w:p w14:paraId="50C31F62" w14:textId="77777777" w:rsidR="008D0CAD" w:rsidRPr="00AA04A4" w:rsidRDefault="008D0CAD" w:rsidP="00DD08E3">
      <w:pPr>
        <w:pStyle w:val="Heading4"/>
        <w:spacing w:before="100" w:beforeAutospacing="1" w:after="100" w:afterAutospacing="1" w:line="360" w:lineRule="auto"/>
        <w:rPr>
          <w:lang w:val="en-US"/>
        </w:rPr>
      </w:pPr>
      <w:bookmarkStart w:id="372" w:name="_Toc16263688"/>
      <w:bookmarkStart w:id="373" w:name="_Toc16326747"/>
      <w:r w:rsidRPr="00AA04A4">
        <w:rPr>
          <w:lang w:val="en-US"/>
        </w:rPr>
        <w:t>Unified Information System and Sub-systems (UISS)</w:t>
      </w:r>
      <w:bookmarkEnd w:id="372"/>
      <w:bookmarkEnd w:id="373"/>
      <w:r w:rsidRPr="00AA04A4">
        <w:rPr>
          <w:lang w:val="en-US"/>
        </w:rPr>
        <w:t xml:space="preserve"> </w:t>
      </w:r>
    </w:p>
    <w:p w14:paraId="6897D641" w14:textId="77777777" w:rsidR="008D0CAD" w:rsidRPr="00AA04A4" w:rsidRDefault="008D0CAD" w:rsidP="00DD08E3">
      <w:pPr>
        <w:pStyle w:val="Heading5"/>
        <w:numPr>
          <w:ilvl w:val="0"/>
          <w:numId w:val="0"/>
        </w:numPr>
        <w:spacing w:before="100" w:beforeAutospacing="1" w:after="100" w:afterAutospacing="1" w:line="360" w:lineRule="auto"/>
        <w:ind w:left="1222" w:hanging="1080"/>
      </w:pPr>
      <w:r w:rsidRPr="00AA04A4">
        <w:t>Challenges/Problems related to weak data or weak ICT</w:t>
      </w:r>
    </w:p>
    <w:p w14:paraId="24036BC8" w14:textId="77777777" w:rsidR="008D0CAD" w:rsidRPr="00AA04A4" w:rsidRDefault="008D0CAD" w:rsidP="00DD08E3">
      <w:pPr>
        <w:spacing w:before="100" w:beforeAutospacing="1" w:after="100" w:afterAutospacing="1" w:line="360" w:lineRule="auto"/>
        <w:rPr>
          <w:rFonts w:ascii="Calibri Light" w:hAnsi="Calibri Light" w:cs="Calibri Light"/>
          <w:lang w:val="en-GB"/>
        </w:rPr>
      </w:pPr>
      <w:r w:rsidRPr="00AA04A4">
        <w:rPr>
          <w:rFonts w:ascii="Calibri Light" w:hAnsi="Calibri Light" w:cs="Calibri Light"/>
          <w:lang w:val="en-GB"/>
        </w:rPr>
        <w:t>The current Department of Education (DepEd) system generates information on a number of key indicators required for mandatory reporting on: (1) major final output for reporting to the Department of Budget Management, (2) a resource matrix and PDP-Education Sector accomplishments for reporting to the National Economic and Development Authority, and (3) financial information to the Commission on Audit. In addition, the M&amp;E system is used for (4) providing information to the DepEd Secretary for Congressional question and answer briefing sessions, (5) SDGs at the international level, and (6) project progress reports for government and development partners review. The Enhanced Basic Education Act of 2013 and associated implementing rules and regulations require DepEd to report on additional indicators related to SHS. However, no comprehensive annual statistical bulletin on education is currently published.</w:t>
      </w:r>
    </w:p>
    <w:p w14:paraId="324AAE46" w14:textId="44300648" w:rsidR="008D0CAD" w:rsidRPr="00AA04A4" w:rsidRDefault="008D0CAD" w:rsidP="00DD08E3">
      <w:pPr>
        <w:spacing w:before="100" w:beforeAutospacing="1" w:after="100" w:afterAutospacing="1" w:line="360" w:lineRule="auto"/>
        <w:rPr>
          <w:rFonts w:ascii="Calibri Light" w:hAnsi="Calibri Light" w:cs="Calibri Light"/>
          <w:lang w:val="en-GB"/>
        </w:rPr>
      </w:pPr>
      <w:r w:rsidRPr="00AA04A4">
        <w:rPr>
          <w:rFonts w:ascii="Calibri Light" w:hAnsi="Calibri Light" w:cs="Calibri Light"/>
          <w:lang w:val="en-GB"/>
        </w:rPr>
        <w:t>As early as 2011, there were efforts in DepEd to develop the Unified Information System.</w:t>
      </w:r>
      <w:r w:rsidR="00D434EB">
        <w:rPr>
          <w:rFonts w:ascii="Calibri Light" w:hAnsi="Calibri Light" w:cs="Calibri Light"/>
          <w:lang w:val="en-GB"/>
        </w:rPr>
        <w:t xml:space="preserve"> </w:t>
      </w:r>
      <w:r w:rsidRPr="00AA04A4">
        <w:rPr>
          <w:rFonts w:ascii="Calibri Light" w:hAnsi="Calibri Light" w:cs="Calibri Light"/>
          <w:lang w:val="en-GB"/>
        </w:rPr>
        <w:t xml:space="preserve">For this the University of the Philippines – Information Technology Development Center was tapped to develop the UIS. However, there were hindrances in terms of the following: (1) Systems design specification established by DepEd; and, (2) Documentation specification </w:t>
      </w:r>
    </w:p>
    <w:p w14:paraId="760C8C5E" w14:textId="77777777" w:rsidR="008D0CAD" w:rsidRPr="00AA04A4" w:rsidRDefault="008D0CAD" w:rsidP="00DD08E3">
      <w:pPr>
        <w:pStyle w:val="Heading4"/>
        <w:spacing w:before="100" w:beforeAutospacing="1" w:after="100" w:afterAutospacing="1" w:line="360" w:lineRule="auto"/>
        <w:rPr>
          <w:lang w:val="en-US"/>
        </w:rPr>
      </w:pPr>
      <w:r w:rsidRPr="00AA04A4">
        <w:rPr>
          <w:lang w:val="en-US"/>
        </w:rPr>
        <w:t>BEST Program Interventions on addressing the Problem stated above</w:t>
      </w:r>
    </w:p>
    <w:p w14:paraId="5A71E34A" w14:textId="252E88EE" w:rsidR="008D0CAD" w:rsidRPr="00AA04A4" w:rsidRDefault="008D0CAD" w:rsidP="00DD08E3">
      <w:pPr>
        <w:spacing w:before="100" w:beforeAutospacing="1" w:after="100" w:afterAutospacing="1" w:line="360" w:lineRule="auto"/>
        <w:rPr>
          <w:rFonts w:ascii="Calibri Light" w:hAnsi="Calibri Light" w:cs="Calibri Light"/>
          <w:lang w:val="en-US"/>
        </w:rPr>
      </w:pPr>
      <w:r w:rsidRPr="00AA04A4">
        <w:rPr>
          <w:rFonts w:ascii="Calibri Light" w:hAnsi="Calibri Light" w:cs="Calibri Light"/>
          <w:lang w:val="en-US"/>
        </w:rPr>
        <w:t>At the DepEd Central Office level, the UISS is highly relevant, aligning strongly to central office priorities on information systems. T</w:t>
      </w:r>
      <w:r w:rsidRPr="00AA04A4">
        <w:rPr>
          <w:rFonts w:ascii="Calibri Light" w:hAnsi="Calibri Light" w:cs="Calibri Light"/>
        </w:rPr>
        <w:t>he UISS project was designed to accommodate a wide range of actors across governance levels, from Departments (at the national central office, regional, division, district, down to schools</w:t>
      </w:r>
      <w:r w:rsidR="009207CB">
        <w:rPr>
          <w:rFonts w:ascii="Calibri Light" w:hAnsi="Calibri Light" w:cs="Calibri Light"/>
        </w:rPr>
        <w:t>)</w:t>
      </w:r>
      <w:r w:rsidRPr="00AA04A4">
        <w:rPr>
          <w:rFonts w:ascii="Calibri Light" w:hAnsi="Calibri Light" w:cs="Calibri Light"/>
        </w:rPr>
        <w:t>. With regard to ownership, process owners were defined at the central office with support from the Information and Communication Technology Services (ICTS). Moreover, t</w:t>
      </w:r>
      <w:r w:rsidRPr="00AA04A4">
        <w:rPr>
          <w:rFonts w:ascii="Calibri Light" w:hAnsi="Calibri Light" w:cs="Calibri Light"/>
          <w:lang w:val="en-US"/>
        </w:rPr>
        <w:t>he UISS was designed to accommodate data collection and information sharing from schools up to the divisions, then to the regional up to the central office for reporting and data-driven decision making. However,</w:t>
      </w:r>
      <w:r w:rsidR="009207CB">
        <w:rPr>
          <w:rFonts w:ascii="Calibri Light" w:hAnsi="Calibri Light" w:cs="Calibri Light"/>
          <w:lang w:val="en-US"/>
        </w:rPr>
        <w:t xml:space="preserve"> there were</w:t>
      </w:r>
      <w:r w:rsidRPr="00AA04A4">
        <w:rPr>
          <w:rFonts w:ascii="Calibri Light" w:hAnsi="Calibri Light" w:cs="Calibri Light"/>
          <w:lang w:val="en-US"/>
        </w:rPr>
        <w:t xml:space="preserve"> limitations at the lower governance levels in terms of access to computers and internet.</w:t>
      </w:r>
    </w:p>
    <w:p w14:paraId="5E297283" w14:textId="0547DD05" w:rsidR="008D0CAD" w:rsidRPr="00AA04A4" w:rsidRDefault="008D0CAD" w:rsidP="00DD08E3">
      <w:pPr>
        <w:spacing w:before="100" w:beforeAutospacing="1" w:after="100" w:afterAutospacing="1" w:line="360" w:lineRule="auto"/>
        <w:rPr>
          <w:rFonts w:ascii="Calibri Light" w:hAnsi="Calibri Light" w:cs="Calibri Light"/>
          <w:lang w:val="en-GB"/>
        </w:rPr>
      </w:pPr>
      <w:r w:rsidRPr="00AA04A4">
        <w:rPr>
          <w:rFonts w:ascii="Calibri Light" w:hAnsi="Calibri Light" w:cs="Calibri Light"/>
          <w:i/>
          <w:lang w:val="en-GB"/>
        </w:rPr>
        <w:t xml:space="preserve">EBEIS. </w:t>
      </w:r>
      <w:r w:rsidRPr="00AA04A4">
        <w:rPr>
          <w:rFonts w:ascii="Calibri Light" w:hAnsi="Calibri Light" w:cs="Calibri Light"/>
          <w:lang w:val="en-GB"/>
        </w:rPr>
        <w:t xml:space="preserve">Initially, there were efforts to develop a BEIS for Region 10’s Research and Statistics Division, while an EBEIS is being designed for the </w:t>
      </w:r>
      <w:r w:rsidRPr="00AA04A4">
        <w:rPr>
          <w:rFonts w:ascii="Calibri Light" w:hAnsi="Calibri Light" w:cs="Calibri Light"/>
          <w:lang w:val="en-US"/>
        </w:rPr>
        <w:t>the Strengthening Basic Education in the Visayas (STRIVE), a program of the Department of Education with support from the Australian Government from 2009-2011</w:t>
      </w:r>
      <w:r w:rsidRPr="00AA04A4">
        <w:rPr>
          <w:rFonts w:ascii="Calibri Light" w:hAnsi="Calibri Light" w:cs="Calibri Light"/>
          <w:lang w:val="en-GB"/>
        </w:rPr>
        <w:t>.</w:t>
      </w:r>
      <w:r w:rsidR="00D434EB">
        <w:rPr>
          <w:rFonts w:ascii="Calibri Light" w:hAnsi="Calibri Light" w:cs="Calibri Light"/>
          <w:lang w:val="en-GB"/>
        </w:rPr>
        <w:t xml:space="preserve"> </w:t>
      </w:r>
      <w:r w:rsidRPr="00AA04A4">
        <w:rPr>
          <w:rFonts w:ascii="Calibri Light" w:hAnsi="Calibri Light" w:cs="Calibri Light"/>
          <w:lang w:val="en-GB"/>
        </w:rPr>
        <w:t xml:space="preserve">Subsequently, the </w:t>
      </w:r>
      <w:r w:rsidRPr="00AA04A4">
        <w:rPr>
          <w:rFonts w:ascii="Calibri Light" w:hAnsi="Calibri Light" w:cs="Calibri Light"/>
          <w:lang w:val="en-US"/>
        </w:rPr>
        <w:t>implementation of the web-based EBEIS significantly reduced the turn-around time for collecting and reporting school-level data from 10 months to 4 months in the first year (SY 2011-2012), then to 3 months in the next year (SY 2012-2013) and to 1 month in SY 2013-2014.</w:t>
      </w:r>
    </w:p>
    <w:p w14:paraId="771AE341" w14:textId="77777777" w:rsidR="008D0CAD" w:rsidRPr="00AA04A4" w:rsidRDefault="008D0CAD" w:rsidP="00DD08E3">
      <w:pPr>
        <w:spacing w:before="100" w:beforeAutospacing="1" w:after="100" w:afterAutospacing="1" w:line="360" w:lineRule="auto"/>
        <w:rPr>
          <w:rFonts w:ascii="Calibri Light" w:hAnsi="Calibri Light" w:cs="Calibri Light"/>
          <w:lang w:val="en-GB"/>
        </w:rPr>
      </w:pPr>
      <w:r w:rsidRPr="00AA04A4">
        <w:rPr>
          <w:rFonts w:ascii="Calibri Light" w:hAnsi="Calibri Light" w:cs="Calibri Light"/>
          <w:i/>
          <w:lang w:val="en-US"/>
        </w:rPr>
        <w:t xml:space="preserve">LIS. </w:t>
      </w:r>
      <w:r w:rsidRPr="00AA04A4">
        <w:rPr>
          <w:rFonts w:ascii="Calibri Light" w:hAnsi="Calibri Light" w:cs="Calibri Light"/>
          <w:lang w:val="en-US"/>
        </w:rPr>
        <w:t>The implementation of the LIS started in SY 2011-2012 with the directive for all public schools to submit their Masterlist of Learners to the Office of the Secretary in electronic format. These masterlists were processed and uploaded into a single database; each learner is accounted for in this database through a unique identification number called the Learner Reference Number. The LIS was launched online in school year 2012-2013 with all public schools accessing the system to enroll and update the profile of their learners. The rollout of the online system took advantage of the structures and capacities that have been developed and established at the region, division and schools as it dovetailed well with the second year of EBEIS implementation.</w:t>
      </w:r>
    </w:p>
    <w:p w14:paraId="5D8D2262" w14:textId="30F6B207" w:rsidR="008D0CAD" w:rsidRPr="00AA04A4" w:rsidRDefault="008D0CAD" w:rsidP="00DD08E3">
      <w:pPr>
        <w:spacing w:before="100" w:beforeAutospacing="1" w:after="100" w:afterAutospacing="1" w:line="360" w:lineRule="auto"/>
        <w:rPr>
          <w:rFonts w:ascii="Calibri Light" w:hAnsi="Calibri Light" w:cs="Calibri Light"/>
          <w:lang w:val="en-GB"/>
        </w:rPr>
      </w:pPr>
      <w:r w:rsidRPr="00AA04A4">
        <w:rPr>
          <w:rFonts w:ascii="Calibri Light" w:hAnsi="Calibri Light" w:cs="Calibri Light"/>
          <w:i/>
          <w:lang w:val="en-US"/>
        </w:rPr>
        <w:t>LRM</w:t>
      </w:r>
      <w:r w:rsidR="009207CB">
        <w:rPr>
          <w:rFonts w:ascii="Calibri Light" w:hAnsi="Calibri Light" w:cs="Calibri Light"/>
          <w:i/>
          <w:lang w:val="en-US"/>
        </w:rPr>
        <w:t>D</w:t>
      </w:r>
      <w:r w:rsidRPr="00AA04A4">
        <w:rPr>
          <w:rFonts w:ascii="Calibri Light" w:hAnsi="Calibri Light" w:cs="Calibri Light"/>
          <w:i/>
          <w:lang w:val="en-US"/>
        </w:rPr>
        <w:t xml:space="preserve">S. </w:t>
      </w:r>
      <w:r w:rsidRPr="00AA04A4">
        <w:rPr>
          <w:rFonts w:ascii="Calibri Light" w:hAnsi="Calibri Light" w:cs="Calibri Light"/>
          <w:lang w:val="en-US"/>
        </w:rPr>
        <w:t>Similar to EBEIS, the Learning Resource Management and Development System (LRMDS) was first conceptualised under STRIVE, which was implemented in selected regions in 2009-2011 through the magnanimous support of the Australian Government (Casity, 2010; Reyes, 2015). The LR Portal was the primordial support, intended to function as a clearinghouse through the provision of location of resources (hardcopy and softcopy), as well as allowing users to access digital versions of resources that are published and stored within the portal. It is also a quality assurance system providing support to DepEd Regions, Divisions and Schools in the selection of quality digital and non-digital resources in response to identified local educational needs. Through another project supported by the Australian Government called Philippines Response to Indigenous People’s Muslim Education (PRIME), the LR Portal was successfully piloted in regions 6, 7 and 8 where LRMDS was first introduced. Through DO 76, s. 2011, the LR Portal was rolled out nationally.</w:t>
      </w:r>
    </w:p>
    <w:p w14:paraId="0A6CE77E" w14:textId="77777777" w:rsidR="008D0CAD" w:rsidRPr="00AA04A4" w:rsidRDefault="008D0CAD" w:rsidP="00DD08E3">
      <w:pPr>
        <w:spacing w:before="100" w:beforeAutospacing="1" w:after="100" w:afterAutospacing="1" w:line="360" w:lineRule="auto"/>
        <w:rPr>
          <w:rFonts w:ascii="Calibri Light" w:hAnsi="Calibri Light" w:cs="Calibri Light"/>
          <w:snapToGrid w:val="0"/>
          <w:lang w:val="en-GB"/>
        </w:rPr>
      </w:pPr>
      <w:r w:rsidRPr="00AA04A4">
        <w:rPr>
          <w:rFonts w:ascii="Calibri Light" w:hAnsi="Calibri Light" w:cs="Calibri Light"/>
          <w:i/>
          <w:snapToGrid w:val="0"/>
          <w:lang w:val="en-US"/>
        </w:rPr>
        <w:t xml:space="preserve">PMIS. </w:t>
      </w:r>
      <w:r w:rsidRPr="00AA04A4">
        <w:rPr>
          <w:rFonts w:ascii="Calibri Light" w:hAnsi="Calibri Light" w:cs="Calibri Light"/>
          <w:snapToGrid w:val="0"/>
          <w:lang w:val="en-US"/>
        </w:rPr>
        <w:t>The PMIS was developed and pilot-tested through the Australian-funded program, the Philippines Response to Indigenous and Muslim and Education (PRIME) which was implemented within 2011-2013. This covered special programs of the Department of Education. Through another Australia-funded program that runs from 2014-2019, the Basic Education Sector Transformation (BEST) Program, PMIS is being enhanced and expanded and mainstreamed in DepEd’s core functions and processes to provide official source of data on PPA implementation covering the Central Office (CO), Regional Offices (ROs) and Schools Division Offices (SDOs).</w:t>
      </w:r>
    </w:p>
    <w:p w14:paraId="1266E3B2" w14:textId="39C7716F" w:rsidR="008D0CAD" w:rsidRPr="00AA04A4" w:rsidRDefault="008D0CAD" w:rsidP="00071086">
      <w:pPr>
        <w:tabs>
          <w:tab w:val="left" w:pos="6002"/>
        </w:tabs>
        <w:spacing w:before="100" w:beforeAutospacing="1" w:after="100" w:afterAutospacing="1" w:line="360" w:lineRule="auto"/>
        <w:rPr>
          <w:rFonts w:ascii="Calibri Light" w:hAnsi="Calibri Light" w:cs="Calibri Light"/>
          <w:lang w:val="en-AU"/>
        </w:rPr>
      </w:pPr>
      <w:r w:rsidRPr="00AA04A4">
        <w:rPr>
          <w:rFonts w:ascii="Calibri Light" w:hAnsi="Calibri Light" w:cs="Calibri Light"/>
          <w:lang w:val="en-AU"/>
        </w:rPr>
        <w:t>This UISS is expected to address significant system efficiency and quality issues encountered by DepEd in delivering education in a decentralised environment and therefore will directly contribute to achieving program outcome 3, a foundational outcome.</w:t>
      </w:r>
      <w:r w:rsidR="00D434EB">
        <w:rPr>
          <w:rFonts w:ascii="Calibri Light" w:hAnsi="Calibri Light" w:cs="Calibri Light"/>
          <w:lang w:val="en-AU"/>
        </w:rPr>
        <w:t xml:space="preserve"> </w:t>
      </w:r>
      <w:r w:rsidRPr="00AA04A4">
        <w:rPr>
          <w:rFonts w:ascii="Calibri Light" w:hAnsi="Calibri Light" w:cs="Calibri Light"/>
          <w:lang w:val="en-AU"/>
        </w:rPr>
        <w:t>This is intended to support all subcomponents under Component 1 in terms of policy, strategy, business processes and information systems.</w:t>
      </w:r>
      <w:r w:rsidR="00D434EB">
        <w:rPr>
          <w:rFonts w:ascii="Calibri Light" w:hAnsi="Calibri Light" w:cs="Calibri Light"/>
          <w:lang w:val="en-AU"/>
        </w:rPr>
        <w:t xml:space="preserve">  </w:t>
      </w:r>
      <w:r w:rsidRPr="00AA04A4">
        <w:rPr>
          <w:rFonts w:ascii="Calibri Light" w:hAnsi="Calibri Light" w:cs="Calibri Light"/>
          <w:lang w:val="en-AU"/>
        </w:rPr>
        <w:t xml:space="preserve">It builds on attempts under previous DFAT-funded education programs to support development of an Enterprise Architecture for DepEd’s computer-based information systems and will include provision of direct technical support for systems planning, design, implementation and maintenance based upon integration of existing systems as well as new systems. </w:t>
      </w:r>
    </w:p>
    <w:p w14:paraId="1039DFC3" w14:textId="77777777" w:rsidR="008D0CAD" w:rsidRPr="00AA04A4" w:rsidRDefault="008D0CAD" w:rsidP="00DD08E3">
      <w:pPr>
        <w:spacing w:before="100" w:beforeAutospacing="1" w:after="100" w:afterAutospacing="1" w:line="360" w:lineRule="auto"/>
        <w:ind w:left="360"/>
        <w:rPr>
          <w:rFonts w:ascii="Calibri Light" w:hAnsi="Calibri Light" w:cs="Calibri Light"/>
          <w:lang w:val="en-AU"/>
        </w:rPr>
      </w:pPr>
      <w:r w:rsidRPr="00AA04A4">
        <w:rPr>
          <w:rFonts w:ascii="Calibri Light" w:hAnsi="Calibri Light" w:cs="Calibri Light"/>
          <w:i/>
          <w:noProof/>
          <w:lang w:val="en-AU" w:eastAsia="en-AU"/>
        </w:rPr>
        <w:drawing>
          <wp:inline distT="0" distB="0" distL="0" distR="0" wp14:anchorId="49B20D1B" wp14:editId="4EADAE75">
            <wp:extent cx="5373512" cy="2032000"/>
            <wp:effectExtent l="0" t="0" r="0" b="6350"/>
            <wp:docPr id="31" name="Picture 31" descr="Diagram of Integration of Various DepEd Information System and Unified Information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 of Integration of Various DepEd Information System and Unified Information System "/>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79567" cy="2034290"/>
                    </a:xfrm>
                    <a:prstGeom prst="rect">
                      <a:avLst/>
                    </a:prstGeom>
                    <a:noFill/>
                    <a:ln>
                      <a:noFill/>
                    </a:ln>
                  </pic:spPr>
                </pic:pic>
              </a:graphicData>
            </a:graphic>
          </wp:inline>
        </w:drawing>
      </w:r>
    </w:p>
    <w:p w14:paraId="08919D92" w14:textId="4A36EE29" w:rsidR="008D0CAD" w:rsidRPr="00071086" w:rsidRDefault="008D0CAD" w:rsidP="00071086">
      <w:pPr>
        <w:spacing w:before="100" w:beforeAutospacing="1" w:after="100" w:afterAutospacing="1" w:line="360" w:lineRule="auto"/>
        <w:ind w:left="360"/>
        <w:rPr>
          <w:rFonts w:ascii="Calibri Light" w:hAnsi="Calibri Light" w:cs="Calibri Light"/>
          <w:lang w:val="en-AU"/>
        </w:rPr>
      </w:pPr>
      <w:r w:rsidRPr="00AA04A4">
        <w:rPr>
          <w:rFonts w:ascii="Calibri Light" w:hAnsi="Calibri Light" w:cs="Calibri Light"/>
          <w:b/>
          <w:i/>
          <w:lang w:val="en-AU"/>
        </w:rPr>
        <w:t xml:space="preserve">Figure 3.0 Diagram of Integration of Various DepEd IS in the UIS </w:t>
      </w:r>
      <w:r w:rsidRPr="00AA04A4">
        <w:rPr>
          <w:rFonts w:ascii="Calibri Light" w:hAnsi="Calibri Light" w:cs="Calibri Light"/>
          <w:lang w:val="en-AU"/>
        </w:rPr>
        <w:t>(DFAT, 2012)</w:t>
      </w:r>
    </w:p>
    <w:p w14:paraId="5556969F" w14:textId="77777777" w:rsidR="008D0CAD" w:rsidRPr="00AA04A4" w:rsidRDefault="008D0CAD" w:rsidP="00DD08E3">
      <w:pPr>
        <w:spacing w:before="100" w:beforeAutospacing="1" w:after="100" w:afterAutospacing="1" w:line="360" w:lineRule="auto"/>
        <w:rPr>
          <w:rFonts w:ascii="Calibri Light" w:hAnsi="Calibri Light" w:cs="Calibri Light"/>
          <w:lang w:val="en-GB"/>
        </w:rPr>
      </w:pPr>
      <w:r w:rsidRPr="00AA04A4">
        <w:rPr>
          <w:rFonts w:ascii="Calibri Light" w:hAnsi="Calibri Light" w:cs="Calibri Light"/>
          <w:lang w:val="en-AU"/>
        </w:rPr>
        <w:t>Department of Foreign Affairs and Trade (DFAT) stress that the UIS is intended to provide information needed by the different governance levels in DepEd (</w:t>
      </w:r>
      <w:r w:rsidRPr="00AA04A4">
        <w:rPr>
          <w:rFonts w:ascii="Calibri Light" w:hAnsi="Calibri Light" w:cs="Calibri Light"/>
          <w:lang w:val="en-GB"/>
        </w:rPr>
        <w:t>DFAT, 2012). The design and implementation of the UIS are as follows:</w:t>
      </w:r>
    </w:p>
    <w:p w14:paraId="75DD2E85" w14:textId="77777777" w:rsidR="008D0CAD" w:rsidRPr="00AA04A4" w:rsidRDefault="008D0CAD" w:rsidP="00DD08E3">
      <w:pPr>
        <w:spacing w:before="100" w:beforeAutospacing="1" w:after="100" w:afterAutospacing="1" w:line="360" w:lineRule="auto"/>
        <w:rPr>
          <w:rFonts w:ascii="Calibri Light" w:hAnsi="Calibri Light" w:cs="Calibri Light"/>
          <w:lang w:val="en-US"/>
        </w:rPr>
      </w:pPr>
      <w:r w:rsidRPr="00AA04A4">
        <w:rPr>
          <w:rFonts w:ascii="Calibri Light" w:hAnsi="Calibri Light" w:cs="Calibri Light"/>
          <w:bCs/>
          <w:i/>
          <w:lang w:val="en-US"/>
        </w:rPr>
        <w:t>DepEd ICTS-UIS Architecture and Core Information Systems</w:t>
      </w:r>
      <w:r w:rsidRPr="00AA04A4">
        <w:rPr>
          <w:rFonts w:ascii="Calibri Light" w:hAnsi="Calibri Light" w:cs="Calibri Light"/>
          <w:b/>
          <w:i/>
          <w:lang w:val="en-US"/>
        </w:rPr>
        <w:t xml:space="preserve">. </w:t>
      </w:r>
      <w:r w:rsidRPr="00AA04A4">
        <w:rPr>
          <w:rFonts w:ascii="Calibri Light" w:hAnsi="Calibri Light" w:cs="Calibri Light"/>
          <w:lang w:val="en-US"/>
        </w:rPr>
        <w:t>This pertains to the additional software, equipment and hardware infrastructure, building on the ICT foundations put in place by STRIVE and BEAM by supporting the increased use of ICT tools in the publishing of learning resources for basic education and professional development (LRMDS Portal, ACUMEN) and the provision of professional development training courses (TDIS).</w:t>
      </w:r>
    </w:p>
    <w:p w14:paraId="414E9F93" w14:textId="77777777" w:rsidR="008D0CAD" w:rsidRPr="00AA04A4" w:rsidRDefault="008D0CAD" w:rsidP="00DD08E3">
      <w:pPr>
        <w:spacing w:before="100" w:beforeAutospacing="1" w:after="100" w:afterAutospacing="1" w:line="360" w:lineRule="auto"/>
        <w:ind w:left="360"/>
        <w:rPr>
          <w:rFonts w:ascii="Calibri Light" w:hAnsi="Calibri Light" w:cs="Calibri Light"/>
          <w:lang w:val="en-GB"/>
        </w:rPr>
      </w:pPr>
      <w:r w:rsidRPr="00AA04A4">
        <w:rPr>
          <w:rFonts w:ascii="Calibri Light" w:hAnsi="Calibri Light" w:cs="Calibri Light"/>
          <w:noProof/>
          <w:lang w:val="en-AU" w:eastAsia="en-AU"/>
        </w:rPr>
        <w:drawing>
          <wp:inline distT="0" distB="0" distL="0" distR="0" wp14:anchorId="780A9CB0" wp14:editId="4A29F224">
            <wp:extent cx="5106670" cy="3324860"/>
            <wp:effectExtent l="0" t="0" r="0" b="8890"/>
            <wp:docPr id="35" name="Picture 35" descr="Diagram of Unified Information System and sub-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 of Unified Information System and sub-system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06670" cy="3324860"/>
                    </a:xfrm>
                    <a:prstGeom prst="rect">
                      <a:avLst/>
                    </a:prstGeom>
                    <a:noFill/>
                    <a:ln>
                      <a:noFill/>
                    </a:ln>
                  </pic:spPr>
                </pic:pic>
              </a:graphicData>
            </a:graphic>
          </wp:inline>
        </w:drawing>
      </w:r>
    </w:p>
    <w:p w14:paraId="16207D64" w14:textId="385B7FF9" w:rsidR="008D0CAD" w:rsidRPr="00071086" w:rsidRDefault="008D0CAD" w:rsidP="00071086">
      <w:pPr>
        <w:spacing w:before="100" w:beforeAutospacing="1" w:after="100" w:afterAutospacing="1" w:line="360" w:lineRule="auto"/>
        <w:ind w:left="360"/>
        <w:rPr>
          <w:rFonts w:ascii="Calibri Light" w:hAnsi="Calibri Light" w:cs="Calibri Light"/>
          <w:lang w:val="en-AU"/>
        </w:rPr>
      </w:pPr>
      <w:r w:rsidRPr="00AA04A4">
        <w:rPr>
          <w:rFonts w:ascii="Calibri Light" w:hAnsi="Calibri Light" w:cs="Calibri Light"/>
          <w:b/>
          <w:i/>
          <w:lang w:val="en-AU"/>
        </w:rPr>
        <w:t xml:space="preserve">Figure 4.0 Diagram of UIS Services vis-à-vis Sub-Systems </w:t>
      </w:r>
      <w:r w:rsidRPr="00AA04A4">
        <w:rPr>
          <w:rFonts w:ascii="Calibri Light" w:hAnsi="Calibri Light" w:cs="Calibri Light"/>
          <w:lang w:val="en-AU"/>
        </w:rPr>
        <w:t>(DFAT, 2012)</w:t>
      </w:r>
    </w:p>
    <w:p w14:paraId="2EAEFA7F" w14:textId="7C580C14" w:rsidR="008D0CAD" w:rsidRPr="00071086" w:rsidRDefault="008D0CAD" w:rsidP="00DD08E3">
      <w:pPr>
        <w:spacing w:before="100" w:beforeAutospacing="1" w:after="100" w:afterAutospacing="1" w:line="360" w:lineRule="auto"/>
        <w:rPr>
          <w:rFonts w:ascii="Calibri Light" w:hAnsi="Calibri Light" w:cs="Calibri Light"/>
          <w:snapToGrid w:val="0"/>
          <w:lang w:val="en-GB"/>
        </w:rPr>
      </w:pPr>
      <w:r w:rsidRPr="00AA04A4">
        <w:rPr>
          <w:rFonts w:ascii="Calibri Light" w:hAnsi="Calibri Light" w:cs="Calibri Light"/>
          <w:snapToGrid w:val="0"/>
          <w:lang w:val="en-US"/>
        </w:rPr>
        <w:t xml:space="preserve">The Australian government initially supported the development and implementation of the system through direct technical assistance and then later through the BEST Program Unified Information Systems component. </w:t>
      </w:r>
      <w:r w:rsidRPr="00AA04A4">
        <w:rPr>
          <w:rFonts w:ascii="Calibri Light" w:hAnsi="Calibri Light" w:cs="Calibri Light"/>
          <w:snapToGrid w:val="0"/>
          <w:lang w:val="en-GB"/>
        </w:rPr>
        <w:t>Consequently, DepEd has successfully rolled out major components of its UISS, and the integration of these has been supported by the Australian government through the provision of strategic technical assistance intended to strengthen the capacity of DepEd to manage and implement basic education sector reform priorities through the national implementation of these education management systems.</w:t>
      </w:r>
    </w:p>
    <w:p w14:paraId="09CCB6FA" w14:textId="77777777" w:rsidR="008D0CAD" w:rsidRPr="00AA04A4" w:rsidRDefault="008D0CAD" w:rsidP="00DD08E3">
      <w:pPr>
        <w:spacing w:before="100" w:beforeAutospacing="1" w:after="100" w:afterAutospacing="1" w:line="360" w:lineRule="auto"/>
        <w:rPr>
          <w:rFonts w:asciiTheme="majorHAnsi" w:hAnsiTheme="majorHAnsi" w:cstheme="majorHAnsi"/>
          <w:b/>
          <w:bCs/>
          <w:lang w:val="en-US" w:eastAsia="en-PH"/>
        </w:rPr>
      </w:pPr>
      <w:bookmarkStart w:id="374" w:name="_Toc16263689"/>
      <w:bookmarkStart w:id="375" w:name="_Toc16326748"/>
      <w:r w:rsidRPr="00AA04A4">
        <w:rPr>
          <w:rFonts w:asciiTheme="majorHAnsi" w:hAnsiTheme="majorHAnsi" w:cstheme="majorHAnsi"/>
          <w:b/>
          <w:bCs/>
          <w:lang w:val="en-US" w:eastAsia="en-PH"/>
        </w:rPr>
        <w:t>Organisational Development</w:t>
      </w:r>
      <w:bookmarkEnd w:id="374"/>
      <w:bookmarkEnd w:id="375"/>
    </w:p>
    <w:p w14:paraId="0D944A53" w14:textId="77777777" w:rsidR="008D0CAD" w:rsidRPr="00AA04A4" w:rsidRDefault="008D0CAD" w:rsidP="00DD08E3">
      <w:pPr>
        <w:pStyle w:val="Heading4"/>
        <w:spacing w:before="100" w:beforeAutospacing="1" w:after="100" w:afterAutospacing="1" w:line="360" w:lineRule="auto"/>
        <w:rPr>
          <w:lang w:val="en-GB"/>
        </w:rPr>
      </w:pPr>
      <w:r w:rsidRPr="00AA04A4">
        <w:rPr>
          <w:lang w:val="en-GB"/>
        </w:rPr>
        <w:t>Challenges related to Organisational Development</w:t>
      </w:r>
    </w:p>
    <w:p w14:paraId="0CF3F9CB" w14:textId="33578318" w:rsidR="008D0CAD" w:rsidRPr="00AA04A4" w:rsidRDefault="008D0CAD" w:rsidP="00DD08E3">
      <w:pPr>
        <w:shd w:val="clear" w:color="auto" w:fill="FFFFFF"/>
        <w:spacing w:before="100" w:beforeAutospacing="1" w:after="100" w:afterAutospacing="1" w:line="360" w:lineRule="auto"/>
        <w:rPr>
          <w:rFonts w:ascii="Calibri Light" w:hAnsi="Calibri Light" w:cs="Helvetica"/>
          <w:color w:val="0A0A0A"/>
          <w:lang w:val="en-US"/>
        </w:rPr>
      </w:pPr>
      <w:r w:rsidRPr="00AA04A4">
        <w:rPr>
          <w:rFonts w:ascii="Calibri Light" w:hAnsi="Calibri Light" w:cs="Helvetica"/>
          <w:color w:val="0A0A0A"/>
          <w:lang w:val="en-US"/>
        </w:rPr>
        <w:t>Republic Act No. 9155 series of 2001 (RA 9155), </w:t>
      </w:r>
      <w:r w:rsidRPr="00AA04A4">
        <w:rPr>
          <w:rFonts w:ascii="Calibri Light" w:hAnsi="Calibri Light" w:cs="Helvetica"/>
          <w:i/>
          <w:iCs/>
          <w:color w:val="0A0A0A"/>
          <w:lang w:val="en-US"/>
        </w:rPr>
        <w:t>An Act Instituting A Framework of Governance for Basic Education, Establishing Authority and Accountability, Renaming the Department of Education, Culture and Sports as the Department of Education, and for Other Purposes</w:t>
      </w:r>
      <w:r w:rsidRPr="00AA04A4">
        <w:rPr>
          <w:rFonts w:ascii="Calibri Light" w:hAnsi="Calibri Light" w:cs="Helvetica"/>
          <w:color w:val="0A0A0A"/>
          <w:lang w:val="en-US"/>
        </w:rPr>
        <w:t>, otherwise known as the </w:t>
      </w:r>
      <w:r w:rsidRPr="00AA04A4">
        <w:rPr>
          <w:rFonts w:ascii="Calibri Light" w:hAnsi="Calibri Light" w:cs="Helvetica"/>
          <w:i/>
          <w:iCs/>
          <w:color w:val="0A0A0A"/>
          <w:lang w:val="en-US"/>
        </w:rPr>
        <w:t>Governance of Basic Education Act of 2001</w:t>
      </w:r>
      <w:r w:rsidRPr="00AA04A4">
        <w:rPr>
          <w:rFonts w:ascii="Calibri Light" w:hAnsi="Calibri Light" w:cs="Helvetica"/>
          <w:color w:val="0A0A0A"/>
          <w:lang w:val="en-US"/>
        </w:rPr>
        <w:t>, was issued.</w:t>
      </w:r>
      <w:r w:rsidR="00D434EB">
        <w:rPr>
          <w:rFonts w:ascii="Calibri Light" w:hAnsi="Calibri Light" w:cs="Helvetica"/>
          <w:color w:val="0A0A0A"/>
          <w:lang w:val="en-US"/>
        </w:rPr>
        <w:t xml:space="preserve"> </w:t>
      </w:r>
      <w:r w:rsidRPr="00AA04A4">
        <w:rPr>
          <w:rFonts w:ascii="Calibri Light" w:hAnsi="Calibri Light" w:cs="Helvetica"/>
          <w:color w:val="0A0A0A"/>
          <w:lang w:val="en-US"/>
        </w:rPr>
        <w:t>It provided a framework for the governance of education, decentralising governance to the field, and making the schools and learning centers the heart of the education system. The law also established the authority and accountability of the various organisation levels of the Department of Education (DepEd).</w:t>
      </w:r>
    </w:p>
    <w:p w14:paraId="06C29799" w14:textId="77777777" w:rsidR="008D0CAD" w:rsidRPr="00AA04A4" w:rsidRDefault="008D0CAD" w:rsidP="00DD08E3">
      <w:pPr>
        <w:shd w:val="clear" w:color="auto" w:fill="FFFFFF"/>
        <w:spacing w:before="100" w:beforeAutospacing="1" w:after="100" w:afterAutospacing="1" w:line="360" w:lineRule="auto"/>
        <w:rPr>
          <w:rFonts w:ascii="Calibri Light" w:hAnsi="Calibri Light" w:cs="Helvetica"/>
          <w:color w:val="0A0A0A"/>
          <w:lang w:val="en-US"/>
        </w:rPr>
      </w:pPr>
      <w:r w:rsidRPr="00AA04A4">
        <w:rPr>
          <w:noProof/>
          <w:lang w:val="en-AU" w:eastAsia="en-AU"/>
        </w:rPr>
        <w:drawing>
          <wp:inline distT="0" distB="0" distL="0" distR="0" wp14:anchorId="463B1FA0" wp14:editId="65392114">
            <wp:extent cx="2857500" cy="1724025"/>
            <wp:effectExtent l="0" t="0" r="0" b="9525"/>
            <wp:docPr id="39" name="Picture 39" descr="Timeline of DepEd's Organisational Development from 2005 t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imeline of DepEd's Organisational Development from 2005 to 202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57500" cy="1724025"/>
                    </a:xfrm>
                    <a:prstGeom prst="rect">
                      <a:avLst/>
                    </a:prstGeom>
                    <a:noFill/>
                    <a:ln>
                      <a:noFill/>
                    </a:ln>
                  </pic:spPr>
                </pic:pic>
              </a:graphicData>
            </a:graphic>
          </wp:inline>
        </w:drawing>
      </w:r>
    </w:p>
    <w:p w14:paraId="723E7A8E" w14:textId="77777777" w:rsidR="008D0CAD" w:rsidRPr="00AA04A4" w:rsidRDefault="008D0CAD" w:rsidP="00DD08E3">
      <w:pPr>
        <w:shd w:val="clear" w:color="auto" w:fill="FFFFFF"/>
        <w:spacing w:before="100" w:beforeAutospacing="1" w:after="100" w:afterAutospacing="1" w:line="360" w:lineRule="auto"/>
        <w:rPr>
          <w:rFonts w:ascii="Calibri Light" w:hAnsi="Calibri Light" w:cs="Helvetica"/>
          <w:color w:val="0A0A0A"/>
          <w:lang w:val="en-US"/>
        </w:rPr>
      </w:pPr>
      <w:r w:rsidRPr="00AA04A4">
        <w:rPr>
          <w:rFonts w:ascii="Calibri Light" w:hAnsi="Calibri Light" w:cs="Helvetica"/>
          <w:color w:val="0A0A0A"/>
          <w:lang w:val="en-US"/>
        </w:rPr>
        <w:t>In October 2004, Executive Order No. 366 (EO 366, s. 2004), </w:t>
      </w:r>
      <w:r w:rsidRPr="00AA04A4">
        <w:rPr>
          <w:rFonts w:ascii="Calibri Light" w:hAnsi="Calibri Light" w:cs="Helvetica"/>
          <w:i/>
          <w:iCs/>
          <w:color w:val="0A0A0A"/>
          <w:lang w:val="en-US"/>
        </w:rPr>
        <w:t>Directing A Strategic Review of the Operations and Organisations of the Executive Branch and Providing Options and Incentives for Government Employees Who May Be Affected by the Rationalisation of the Functions and Agencies of the Executive Branch</w:t>
      </w:r>
      <w:r w:rsidRPr="00AA04A4">
        <w:rPr>
          <w:rFonts w:ascii="Calibri Light" w:hAnsi="Calibri Light" w:cs="Helvetica"/>
          <w:color w:val="0A0A0A"/>
          <w:lang w:val="en-US"/>
        </w:rPr>
        <w:t>, was issued. According to Section 2 of the said EO, the initiative aimed to: (a) focus government efforts and resources on its vital/core service; and (b) improve the quality and efficiency of government services delivery by eliminating/minimising overlaps and duplication and improving agency performance through the rationalisation of service delivery and support systems, and organisation structure and staffing (Section 2, EO 366, s. 2004).</w:t>
      </w:r>
      <w:r w:rsidRPr="00AA04A4">
        <w:rPr>
          <w:noProof/>
          <w:lang w:val="en-US"/>
        </w:rPr>
        <w:t xml:space="preserve"> </w:t>
      </w:r>
    </w:p>
    <w:p w14:paraId="61F09FB5" w14:textId="3F4D0C68" w:rsidR="008D0CAD" w:rsidRPr="00AA04A4" w:rsidRDefault="008D0CAD" w:rsidP="00DD08E3">
      <w:pPr>
        <w:shd w:val="clear" w:color="auto" w:fill="FFFFFF"/>
        <w:spacing w:before="100" w:beforeAutospacing="1" w:after="100" w:afterAutospacing="1" w:line="360" w:lineRule="auto"/>
        <w:rPr>
          <w:rFonts w:ascii="Calibri Light" w:hAnsi="Calibri Light" w:cs="Calibri Light"/>
          <w:color w:val="000000"/>
          <w:lang w:val="en-US"/>
        </w:rPr>
      </w:pPr>
      <w:r w:rsidRPr="00AA04A4">
        <w:rPr>
          <w:rFonts w:ascii="Calibri Light" w:hAnsi="Calibri Light" w:cs="Helvetica"/>
          <w:color w:val="0A0A0A"/>
          <w:lang w:val="en-US"/>
        </w:rPr>
        <w:t>Subsequently, DepEd embarked on the review and revision of its Rationalisation Plan (RP) based on RA 9155 on 2011; this examined long-term reforms needed in the education sector to respond to fast-changing demands of the local and global environment.</w:t>
      </w:r>
      <w:r w:rsidR="00D434EB">
        <w:rPr>
          <w:rFonts w:ascii="Calibri Light" w:hAnsi="Calibri Light" w:cs="Helvetica"/>
          <w:color w:val="0A0A0A"/>
          <w:lang w:val="en-US"/>
        </w:rPr>
        <w:t xml:space="preserve"> </w:t>
      </w:r>
      <w:r w:rsidRPr="00AA04A4">
        <w:rPr>
          <w:rFonts w:ascii="Calibri Light" w:hAnsi="Calibri Light" w:cs="Helvetica"/>
          <w:color w:val="0A0A0A"/>
          <w:lang w:val="en-US"/>
        </w:rPr>
        <w:t xml:space="preserve">The DepEd Rationalisation Plan (RP) was approved by the Department of Budget and Management (DBM) in 2013. The approval included the rationalised structure and staffing pattern of offices at the central, regional, and school’s division levels. </w:t>
      </w:r>
      <w:r w:rsidRPr="00AA04A4">
        <w:rPr>
          <w:rFonts w:ascii="Calibri Light" w:hAnsi="Calibri Light" w:cs="Calibri Light"/>
          <w:color w:val="000000"/>
          <w:bdr w:val="none" w:sz="0" w:space="0" w:color="auto" w:frame="1"/>
          <w:lang w:val="en-US"/>
        </w:rPr>
        <w:t>On same year, Republic Act No. 10533, otherwise known as the Enhanced Basic Education Act (K to12 law) took effect.</w:t>
      </w:r>
    </w:p>
    <w:p w14:paraId="672BC1FC" w14:textId="77777777" w:rsidR="008D0CAD" w:rsidRPr="00AA04A4" w:rsidRDefault="008D0CAD" w:rsidP="00DD08E3">
      <w:pPr>
        <w:shd w:val="clear" w:color="auto" w:fill="FFFFFF"/>
        <w:spacing w:before="100" w:beforeAutospacing="1" w:after="100" w:afterAutospacing="1" w:line="360" w:lineRule="auto"/>
        <w:rPr>
          <w:rFonts w:ascii="Calibri Light" w:hAnsi="Calibri Light" w:cs="Calibri Light"/>
          <w:color w:val="000000"/>
          <w:lang w:val="en-US"/>
        </w:rPr>
      </w:pPr>
      <w:r w:rsidRPr="00AA04A4">
        <w:rPr>
          <w:rFonts w:ascii="Calibri Light" w:hAnsi="Calibri Light" w:cs="Helvetica"/>
          <w:color w:val="0A0A0A"/>
          <w:lang w:val="en-US"/>
        </w:rPr>
        <w:t xml:space="preserve">Consequently, for DepEd to be more responsive, it further studied the </w:t>
      </w:r>
      <w:r w:rsidRPr="00AA04A4">
        <w:rPr>
          <w:rFonts w:ascii="Calibri Light" w:hAnsi="Calibri Light" w:cs="Calibri Light"/>
          <w:color w:val="000000"/>
          <w:bdr w:val="none" w:sz="0" w:space="0" w:color="auto" w:frame="1"/>
          <w:lang w:val="en-US"/>
        </w:rPr>
        <w:t>DepED Rationalisation Program Implementation; this was conducted by the DepEd Central Office through the Office of the Undersecretary for Administration (OUA) and Bureau of Human Resource and Organisational Development (BHROD). This resulted to the development of an integrated proposal to the Department of Budget Management (DBM) aimed at aligning the purpose, process, and people towards service excellence. The five-year implementation of the DepED Rationalisation Program started from 2014 to 2018. In 2014 (Year 1), the DepED prepared for actions to those affected employees and released of Notice of Organisation Staffing and Compensation Actions (NOSCAs). For 2015 (Year 2), the DepED undergone transition to rationalised structure specifically the ROs and SDOs transition, appointments, and drafting of office functions and job descriptions. Transition to new administration took place in 2016 its third year. From 2017 to 2018, DepEd ensured organisational strengthening through team formation, alignment to Basic Education M&amp;E Framework, Compendium of Office Functions and Job Descriptions Version 2, and Establishment of Quality Management System (QMS).</w:t>
      </w:r>
    </w:p>
    <w:p w14:paraId="14BDDB95" w14:textId="77777777" w:rsidR="008D0CAD" w:rsidRPr="00AA04A4" w:rsidRDefault="008D0CAD" w:rsidP="00DD08E3">
      <w:pPr>
        <w:spacing w:before="100" w:beforeAutospacing="1" w:after="100" w:afterAutospacing="1" w:line="360" w:lineRule="auto"/>
        <w:rPr>
          <w:rFonts w:ascii="Calibri Light" w:hAnsi="Calibri Light" w:cs="Calibri Light"/>
          <w:bdr w:val="none" w:sz="0" w:space="0" w:color="auto" w:frame="1"/>
          <w:lang w:val="en-US"/>
        </w:rPr>
      </w:pPr>
      <w:r w:rsidRPr="00AA04A4">
        <w:rPr>
          <w:rFonts w:ascii="Calibri Light" w:hAnsi="Calibri Light" w:cs="Calibri Light"/>
          <w:bdr w:val="none" w:sz="0" w:space="0" w:color="auto" w:frame="1"/>
          <w:lang w:val="en-US"/>
        </w:rPr>
        <w:t>From 2019 to 2022, the DepEd aims for a modern, professional, pro-active, nimble and nurturing institution through organisational alignment.</w:t>
      </w:r>
    </w:p>
    <w:p w14:paraId="529DA058" w14:textId="77777777" w:rsidR="008D0CAD" w:rsidRPr="00AA04A4" w:rsidRDefault="008D0CAD" w:rsidP="00DD08E3">
      <w:pPr>
        <w:pStyle w:val="Heading3"/>
        <w:spacing w:before="100" w:beforeAutospacing="1" w:after="100" w:afterAutospacing="1" w:line="360" w:lineRule="auto"/>
        <w:rPr>
          <w:lang w:val="en-US"/>
        </w:rPr>
      </w:pPr>
      <w:bookmarkStart w:id="376" w:name="_Toc16263690"/>
      <w:bookmarkStart w:id="377" w:name="_Toc16326749"/>
      <w:bookmarkStart w:id="378" w:name="_Toc39938403"/>
      <w:bookmarkStart w:id="379" w:name="_Toc69820507"/>
      <w:r w:rsidRPr="00AA04A4">
        <w:rPr>
          <w:lang w:val="en-US"/>
        </w:rPr>
        <w:t>Conclusions</w:t>
      </w:r>
      <w:bookmarkEnd w:id="376"/>
      <w:bookmarkEnd w:id="377"/>
      <w:bookmarkEnd w:id="378"/>
      <w:bookmarkEnd w:id="379"/>
    </w:p>
    <w:p w14:paraId="041D392C" w14:textId="77777777" w:rsidR="008D0CAD" w:rsidRPr="00AA04A4" w:rsidRDefault="008D0CAD" w:rsidP="00DD08E3">
      <w:pPr>
        <w:spacing w:before="100" w:beforeAutospacing="1" w:after="100" w:afterAutospacing="1" w:line="360" w:lineRule="auto"/>
        <w:rPr>
          <w:rFonts w:ascii="Calibri Light" w:hAnsi="Calibri Light" w:cs="Calibri Light"/>
          <w:color w:val="000000"/>
          <w:lang w:val="en-US"/>
        </w:rPr>
      </w:pPr>
      <w:r w:rsidRPr="00AA04A4">
        <w:rPr>
          <w:rFonts w:ascii="Calibri Light" w:hAnsi="Calibri Light" w:cs="Calibri Light"/>
          <w:lang w:val="en-US"/>
        </w:rPr>
        <w:t xml:space="preserve">Generally, the review of literature revealed that the BEST Program Interventions remained relevant to the overall national goals of both the Government of Philippines and the Government of Australia. In particular, the review showed that the </w:t>
      </w:r>
      <w:r w:rsidRPr="00AA04A4">
        <w:rPr>
          <w:rFonts w:ascii="Calibri Light" w:hAnsi="Calibri Light" w:cs="Calibri Light"/>
          <w:color w:val="000000"/>
          <w:lang w:val="en-US"/>
        </w:rPr>
        <w:t xml:space="preserve">BEST Program objectives were also aligned with both countries’ strategic thrusts of: improving the quality of education outcomes; increasing equitable access of boys and girls to basic education; and improving DepEd’s capacity to deliver responsive and inclusive basic education service through better governance. </w:t>
      </w:r>
    </w:p>
    <w:p w14:paraId="7027015B" w14:textId="77777777" w:rsidR="008D0CAD" w:rsidRPr="00AA04A4" w:rsidRDefault="008D0CAD" w:rsidP="00DD08E3">
      <w:pPr>
        <w:pStyle w:val="Heading3"/>
        <w:spacing w:before="100" w:beforeAutospacing="1" w:after="100" w:afterAutospacing="1" w:line="360" w:lineRule="auto"/>
        <w:rPr>
          <w:lang w:val="en-US"/>
        </w:rPr>
      </w:pPr>
      <w:bookmarkStart w:id="380" w:name="_Toc16326750"/>
      <w:bookmarkStart w:id="381" w:name="_Toc39938404"/>
      <w:bookmarkStart w:id="382" w:name="_Toc69820508"/>
      <w:r w:rsidRPr="00AA04A4">
        <w:rPr>
          <w:lang w:val="en-US"/>
        </w:rPr>
        <w:t>Towards Increasing Student Mastery</w:t>
      </w:r>
      <w:bookmarkEnd w:id="380"/>
      <w:bookmarkEnd w:id="381"/>
      <w:bookmarkEnd w:id="382"/>
      <w:r w:rsidRPr="00AA04A4">
        <w:rPr>
          <w:lang w:val="en-US"/>
        </w:rPr>
        <w:t xml:space="preserve"> </w:t>
      </w:r>
    </w:p>
    <w:p w14:paraId="236BFEFD" w14:textId="77777777" w:rsidR="008D0CAD" w:rsidRPr="00AA04A4" w:rsidRDefault="008D0CAD" w:rsidP="00DD08E3">
      <w:pPr>
        <w:shd w:val="clear" w:color="auto" w:fill="FFFFFF"/>
        <w:spacing w:before="100" w:beforeAutospacing="1" w:after="100" w:afterAutospacing="1" w:line="360" w:lineRule="auto"/>
        <w:rPr>
          <w:rFonts w:ascii="Calibri Light" w:hAnsi="Calibri Light" w:cs="Calibri Light"/>
          <w:color w:val="000000"/>
          <w:lang w:val="en-US"/>
        </w:rPr>
      </w:pPr>
      <w:r w:rsidRPr="00AA04A4">
        <w:rPr>
          <w:rFonts w:ascii="Calibri Light" w:hAnsi="Calibri Light" w:cs="Calibri Light"/>
          <w:color w:val="000000"/>
          <w:spacing w:val="2"/>
          <w:lang w:val="en-US"/>
        </w:rPr>
        <w:t xml:space="preserve">The four Program Interventions designed to contribute to increasing student mastery of the curriculum were: </w:t>
      </w:r>
      <w:r w:rsidRPr="00AA04A4">
        <w:rPr>
          <w:rFonts w:ascii="Calibri Light" w:hAnsi="Calibri Light" w:cs="Calibri Light"/>
          <w:color w:val="000000"/>
          <w:lang w:val="en-US"/>
        </w:rPr>
        <w:t>Learning and Development (L&amp;D) System; Philippine Professional Standards for Teachers (PPST); Curriculum and Assessment (C&amp;A); and Teacher Pre-Service Quality Improvement (TPQI).</w:t>
      </w:r>
    </w:p>
    <w:p w14:paraId="0121FE5D" w14:textId="348458FF" w:rsidR="008D0CAD" w:rsidRPr="00AA04A4" w:rsidRDefault="008D0CAD" w:rsidP="00DD08E3">
      <w:pPr>
        <w:shd w:val="clear" w:color="auto" w:fill="FFFFFF"/>
        <w:spacing w:before="100" w:beforeAutospacing="1" w:after="100" w:afterAutospacing="1" w:line="360" w:lineRule="auto"/>
        <w:rPr>
          <w:rFonts w:ascii="Calibri Light" w:hAnsi="Calibri Light" w:cs="Calibri Light"/>
          <w:color w:val="000000"/>
          <w:lang w:val="en-US"/>
        </w:rPr>
      </w:pPr>
      <w:r w:rsidRPr="00AA04A4">
        <w:rPr>
          <w:rFonts w:ascii="Calibri Light" w:hAnsi="Calibri Light" w:cs="Calibri Light"/>
          <w:color w:val="000000"/>
          <w:lang w:val="en-US"/>
        </w:rPr>
        <w:t>The review of literature clearly showed that all these Interventions were appropriate and relevant to the current context of the Philippine basic education sector.</w:t>
      </w:r>
      <w:r w:rsidR="00D434EB">
        <w:rPr>
          <w:rFonts w:ascii="Calibri Light" w:hAnsi="Calibri Light" w:cs="Calibri Light"/>
          <w:color w:val="000000"/>
          <w:lang w:val="en-US"/>
        </w:rPr>
        <w:t xml:space="preserve"> </w:t>
      </w:r>
      <w:r w:rsidRPr="00AA04A4">
        <w:rPr>
          <w:rFonts w:ascii="Calibri Light" w:hAnsi="Calibri Light" w:cs="Calibri Light"/>
          <w:color w:val="000000"/>
          <w:lang w:val="en-US"/>
        </w:rPr>
        <w:t>In particular,</w:t>
      </w:r>
      <w:r w:rsidRPr="00AA04A4">
        <w:rPr>
          <w:rFonts w:ascii="Calibri Light" w:hAnsi="Calibri Light" w:cs="Calibri Light"/>
          <w:color w:val="000000"/>
          <w:spacing w:val="2"/>
          <w:lang w:val="en-US"/>
        </w:rPr>
        <w:t xml:space="preserve"> the BEST Program support to DepEd in terms of Curriculum and Assessment to support the shift to the K to 12 Program</w:t>
      </w:r>
      <w:r w:rsidRPr="00AA04A4">
        <w:rPr>
          <w:rFonts w:ascii="Calibri Light" w:hAnsi="Calibri Light" w:cs="Calibri Light"/>
          <w:color w:val="000000"/>
          <w:lang w:val="en-US"/>
        </w:rPr>
        <w:t xml:space="preserve"> were found to be highly relevant towards the pursuit of student mastery.</w:t>
      </w:r>
      <w:r w:rsidR="00D434EB">
        <w:rPr>
          <w:rFonts w:ascii="Calibri Light" w:hAnsi="Calibri Light" w:cs="Calibri Light"/>
          <w:color w:val="000000"/>
          <w:lang w:val="en-US"/>
        </w:rPr>
        <w:t xml:space="preserve"> </w:t>
      </w:r>
    </w:p>
    <w:p w14:paraId="1027F015" w14:textId="77777777" w:rsidR="008D0CAD" w:rsidRPr="00AA04A4" w:rsidRDefault="008D0CAD" w:rsidP="00DD08E3">
      <w:pPr>
        <w:shd w:val="clear" w:color="auto" w:fill="FFFFFF"/>
        <w:spacing w:before="100" w:beforeAutospacing="1" w:after="100" w:afterAutospacing="1" w:line="360" w:lineRule="auto"/>
        <w:rPr>
          <w:rFonts w:ascii="Calibri Light" w:hAnsi="Calibri Light" w:cs="Calibri Light"/>
          <w:color w:val="000000"/>
          <w:spacing w:val="2"/>
          <w:lang w:val="en-US"/>
        </w:rPr>
      </w:pPr>
      <w:r w:rsidRPr="00AA04A4">
        <w:rPr>
          <w:rFonts w:ascii="Calibri Light" w:hAnsi="Calibri Light" w:cs="Calibri Light"/>
          <w:color w:val="000000"/>
          <w:spacing w:val="2"/>
          <w:lang w:val="en-US"/>
        </w:rPr>
        <w:t xml:space="preserve">The interventions to support the performance of teachers (namely </w:t>
      </w:r>
      <w:r w:rsidRPr="00AA04A4">
        <w:rPr>
          <w:rFonts w:ascii="Calibri Light" w:hAnsi="Calibri Light" w:cs="Calibri Light"/>
          <w:color w:val="000000"/>
          <w:lang w:val="en-US"/>
        </w:rPr>
        <w:t>L&amp;D System and PPST)</w:t>
      </w:r>
      <w:r w:rsidRPr="00AA04A4">
        <w:rPr>
          <w:rFonts w:ascii="Calibri Light" w:hAnsi="Calibri Light" w:cs="Calibri Light"/>
          <w:color w:val="000000"/>
          <w:spacing w:val="2"/>
          <w:lang w:val="en-US"/>
        </w:rPr>
        <w:t xml:space="preserve"> were also found to be relevant in contributing to the attainment of student mastery. The need to enhanced curricula of teacher education was likewise seen as relevant particularly in light of the recent findings (from the RCTQ and World Bank studies) of inadequate competencies of current teachers in the basic education sector.</w:t>
      </w:r>
    </w:p>
    <w:p w14:paraId="6732153E" w14:textId="77777777" w:rsidR="008D0CAD" w:rsidRPr="00AA04A4" w:rsidRDefault="008D0CAD" w:rsidP="00DD08E3">
      <w:pPr>
        <w:pStyle w:val="Heading3"/>
        <w:spacing w:before="100" w:beforeAutospacing="1" w:after="100" w:afterAutospacing="1" w:line="360" w:lineRule="auto"/>
        <w:rPr>
          <w:lang w:val="en-US"/>
        </w:rPr>
      </w:pPr>
      <w:bookmarkStart w:id="383" w:name="_Toc16326751"/>
      <w:bookmarkStart w:id="384" w:name="_Toc39938405"/>
      <w:bookmarkStart w:id="385" w:name="_Toc69820509"/>
      <w:r w:rsidRPr="00AA04A4">
        <w:rPr>
          <w:lang w:val="en-US"/>
        </w:rPr>
        <w:t>Towards Increasing Student Participation</w:t>
      </w:r>
      <w:bookmarkEnd w:id="383"/>
      <w:bookmarkEnd w:id="384"/>
      <w:bookmarkEnd w:id="385"/>
    </w:p>
    <w:p w14:paraId="0765D909" w14:textId="77777777" w:rsidR="008D0CAD" w:rsidRPr="00AA04A4" w:rsidRDefault="008D0CAD" w:rsidP="00DD08E3">
      <w:pPr>
        <w:spacing w:before="100" w:beforeAutospacing="1" w:after="100" w:afterAutospacing="1" w:line="360" w:lineRule="auto"/>
        <w:rPr>
          <w:rFonts w:ascii="Calibri Light" w:hAnsi="Calibri Light" w:cs="Calibri Light"/>
          <w:lang w:val="en-US"/>
        </w:rPr>
      </w:pPr>
      <w:r w:rsidRPr="00AA04A4">
        <w:rPr>
          <w:rFonts w:ascii="Calibri Light" w:hAnsi="Calibri Light" w:cs="Calibri Light"/>
          <w:color w:val="000000"/>
          <w:spacing w:val="2"/>
          <w:lang w:val="en-US"/>
        </w:rPr>
        <w:t xml:space="preserve">Three Program Interventions were designed to contribute to increasing student participation in the basic education sector namely: </w:t>
      </w:r>
      <w:r w:rsidRPr="00AA04A4">
        <w:rPr>
          <w:rFonts w:ascii="Calibri Light" w:hAnsi="Calibri Light" w:cs="Calibri Light"/>
          <w:lang w:val="en-US"/>
        </w:rPr>
        <w:t>School-Based Management (SBM); Gender Equity, Disability and Social Inclusion (GEDSI); and Classroom Construction.</w:t>
      </w:r>
    </w:p>
    <w:p w14:paraId="6943E078" w14:textId="2A519D78" w:rsidR="008D0CAD" w:rsidRPr="00AA04A4" w:rsidRDefault="008D0CAD" w:rsidP="00DD08E3">
      <w:pPr>
        <w:shd w:val="clear" w:color="auto" w:fill="FFFFFF"/>
        <w:spacing w:before="100" w:beforeAutospacing="1" w:after="100" w:afterAutospacing="1" w:line="360" w:lineRule="auto"/>
        <w:rPr>
          <w:rFonts w:ascii="Calibri Light" w:hAnsi="Calibri Light" w:cs="Calibri Light"/>
          <w:color w:val="000000"/>
          <w:lang w:val="en-US"/>
        </w:rPr>
      </w:pPr>
      <w:r w:rsidRPr="00AA04A4">
        <w:rPr>
          <w:rFonts w:ascii="Calibri Light" w:hAnsi="Calibri Light" w:cs="Calibri Light"/>
          <w:color w:val="000000"/>
          <w:lang w:val="en-US"/>
        </w:rPr>
        <w:t>The literature review undoubtedly revealed that all these interventions were appropriate and relevant to the current context of the Philippine basic education sector in terms of increasing student participation.</w:t>
      </w:r>
      <w:r w:rsidR="00D434EB">
        <w:rPr>
          <w:rFonts w:ascii="Calibri Light" w:hAnsi="Calibri Light" w:cs="Calibri Light"/>
          <w:color w:val="000000"/>
          <w:lang w:val="en-US"/>
        </w:rPr>
        <w:t xml:space="preserve"> </w:t>
      </w:r>
      <w:r w:rsidRPr="00AA04A4">
        <w:rPr>
          <w:rFonts w:ascii="Calibri Light" w:hAnsi="Calibri Light" w:cs="Calibri Light"/>
          <w:color w:val="000000"/>
          <w:lang w:val="en-US"/>
        </w:rPr>
        <w:t>More than the physical requirements for education,</w:t>
      </w:r>
      <w:r w:rsidRPr="00AA04A4">
        <w:rPr>
          <w:rFonts w:ascii="Calibri Light" w:hAnsi="Calibri Light" w:cs="Calibri Light"/>
          <w:color w:val="000000"/>
          <w:spacing w:val="2"/>
          <w:lang w:val="en-US"/>
        </w:rPr>
        <w:t xml:space="preserve"> the prominence of </w:t>
      </w:r>
      <w:r w:rsidRPr="00AA04A4">
        <w:rPr>
          <w:rFonts w:ascii="Calibri Light" w:hAnsi="Calibri Light" w:cs="Calibri Light"/>
          <w:lang w:val="en-US"/>
        </w:rPr>
        <w:t>SBM</w:t>
      </w:r>
      <w:r w:rsidRPr="00AA04A4">
        <w:rPr>
          <w:rFonts w:ascii="Calibri Light" w:hAnsi="Calibri Light" w:cs="Calibri Light"/>
          <w:color w:val="000000"/>
          <w:spacing w:val="2"/>
          <w:lang w:val="en-US"/>
        </w:rPr>
        <w:t xml:space="preserve"> was highlighted as highly relevant</w:t>
      </w:r>
      <w:r w:rsidRPr="00AA04A4">
        <w:rPr>
          <w:rFonts w:ascii="Calibri Light" w:hAnsi="Calibri Light" w:cs="Calibri Light"/>
          <w:color w:val="000000"/>
          <w:lang w:val="en-US"/>
        </w:rPr>
        <w:t>.</w:t>
      </w:r>
      <w:r w:rsidR="00D434EB">
        <w:rPr>
          <w:rFonts w:ascii="Calibri Light" w:hAnsi="Calibri Light" w:cs="Calibri Light"/>
          <w:color w:val="000000"/>
          <w:lang w:val="en-US"/>
        </w:rPr>
        <w:t xml:space="preserve"> </w:t>
      </w:r>
    </w:p>
    <w:p w14:paraId="6C075041" w14:textId="1812C0D7" w:rsidR="008D0CAD" w:rsidRPr="00AA04A4" w:rsidRDefault="008D0CAD" w:rsidP="00DD08E3">
      <w:pPr>
        <w:pStyle w:val="Heading3"/>
        <w:spacing w:before="100" w:beforeAutospacing="1" w:after="100" w:afterAutospacing="1" w:line="360" w:lineRule="auto"/>
        <w:rPr>
          <w:color w:val="1F4E79"/>
          <w:lang w:val="en-US"/>
        </w:rPr>
      </w:pPr>
      <w:bookmarkStart w:id="386" w:name="_Toc16326752"/>
      <w:bookmarkStart w:id="387" w:name="_Toc39938406"/>
      <w:bookmarkStart w:id="388" w:name="_Toc69820510"/>
      <w:r w:rsidRPr="00AA04A4">
        <w:rPr>
          <w:lang w:val="en-US"/>
        </w:rPr>
        <w:t>Toward Increasing DepEd Capacity</w:t>
      </w:r>
      <w:bookmarkEnd w:id="386"/>
      <w:bookmarkEnd w:id="387"/>
      <w:bookmarkEnd w:id="388"/>
      <w:r w:rsidR="00D434EB">
        <w:rPr>
          <w:lang w:val="en-US"/>
        </w:rPr>
        <w:t xml:space="preserve"> </w:t>
      </w:r>
    </w:p>
    <w:p w14:paraId="6F9EC6B2" w14:textId="77777777" w:rsidR="008D0CAD" w:rsidRPr="00AA04A4" w:rsidRDefault="008D0CAD" w:rsidP="00DD08E3">
      <w:pPr>
        <w:spacing w:before="100" w:beforeAutospacing="1" w:after="100" w:afterAutospacing="1" w:line="360" w:lineRule="auto"/>
        <w:rPr>
          <w:rFonts w:ascii="Calibri Light" w:hAnsi="Calibri Light" w:cs="Calibri Light"/>
          <w:color w:val="000000"/>
          <w:spacing w:val="2"/>
          <w:lang w:val="en-US"/>
        </w:rPr>
      </w:pPr>
      <w:r w:rsidRPr="00AA04A4">
        <w:rPr>
          <w:rFonts w:ascii="Calibri Light" w:hAnsi="Calibri Light" w:cs="Calibri Light"/>
          <w:color w:val="000000"/>
          <w:spacing w:val="2"/>
          <w:lang w:val="en-US"/>
        </w:rPr>
        <w:t xml:space="preserve">Likewise, three Program Interventions also contributed to increasing DepEd’s capacity to deliver responsive and inclusive education with greater decentralisation namely: </w:t>
      </w:r>
      <w:r w:rsidRPr="00AA04A4">
        <w:rPr>
          <w:rFonts w:ascii="Calibri Light" w:hAnsi="Calibri Light" w:cs="Calibri Light"/>
          <w:lang w:val="en-US"/>
        </w:rPr>
        <w:t xml:space="preserve">Policy, </w:t>
      </w:r>
      <w:r w:rsidRPr="00AA04A4">
        <w:rPr>
          <w:rFonts w:ascii="Calibri Light" w:hAnsi="Calibri Light" w:cs="Calibri Light"/>
          <w:color w:val="000000"/>
          <w:lang w:val="en-US"/>
        </w:rPr>
        <w:t>Planning, Monitoring and Evaluation System (PPMES);</w:t>
      </w:r>
      <w:r w:rsidRPr="00AA04A4">
        <w:rPr>
          <w:rFonts w:ascii="Calibri Light" w:hAnsi="Calibri Light" w:cs="Calibri Light"/>
          <w:color w:val="000000"/>
          <w:spacing w:val="2"/>
          <w:lang w:val="en-US"/>
        </w:rPr>
        <w:t xml:space="preserve"> </w:t>
      </w:r>
      <w:r w:rsidRPr="00AA04A4">
        <w:rPr>
          <w:rFonts w:ascii="Calibri Light" w:hAnsi="Calibri Light" w:cs="Calibri Light"/>
          <w:color w:val="000000"/>
          <w:lang w:val="en-US"/>
        </w:rPr>
        <w:t>Unified Information System and Sub-systems (UISS); and</w:t>
      </w:r>
      <w:r w:rsidRPr="00AA04A4">
        <w:rPr>
          <w:rFonts w:ascii="Calibri Light" w:hAnsi="Calibri Light" w:cs="Calibri Light"/>
          <w:color w:val="000000"/>
          <w:spacing w:val="2"/>
          <w:lang w:val="en-US"/>
        </w:rPr>
        <w:t xml:space="preserve"> </w:t>
      </w:r>
      <w:r w:rsidRPr="00AA04A4">
        <w:rPr>
          <w:rFonts w:ascii="Calibri Light" w:hAnsi="Calibri Light" w:cs="Calibri Light"/>
          <w:color w:val="000000"/>
          <w:lang w:val="en-US"/>
        </w:rPr>
        <w:t>Organisational Development (OD).</w:t>
      </w:r>
    </w:p>
    <w:p w14:paraId="393988E2" w14:textId="2408C237" w:rsidR="008D0CAD" w:rsidRPr="00AA04A4" w:rsidRDefault="008D0CAD" w:rsidP="00DD08E3">
      <w:pPr>
        <w:spacing w:before="100" w:beforeAutospacing="1" w:after="100" w:afterAutospacing="1" w:line="360" w:lineRule="auto"/>
        <w:rPr>
          <w:rFonts w:ascii="Calibri Light" w:hAnsi="Calibri Light"/>
          <w:snapToGrid w:val="0"/>
          <w:color w:val="000000"/>
          <w:lang w:val="en-US"/>
        </w:rPr>
      </w:pPr>
      <w:r w:rsidRPr="00AA04A4">
        <w:rPr>
          <w:rFonts w:ascii="Calibri Light" w:hAnsi="Calibri Light"/>
          <w:snapToGrid w:val="0"/>
          <w:color w:val="000000"/>
          <w:lang w:val="en-US"/>
        </w:rPr>
        <w:t xml:space="preserve">The </w:t>
      </w:r>
      <w:r w:rsidRPr="00AA04A4">
        <w:rPr>
          <w:rFonts w:ascii="Calibri Light" w:hAnsi="Calibri Light" w:cs="Calibri Light"/>
          <w:snapToGrid w:val="0"/>
          <w:color w:val="000000"/>
          <w:szCs w:val="20"/>
          <w:lang w:val="en-US"/>
        </w:rPr>
        <w:t xml:space="preserve">review of literature related to the </w:t>
      </w:r>
      <w:r w:rsidRPr="00AA04A4">
        <w:rPr>
          <w:rFonts w:ascii="Calibri Light" w:hAnsi="Calibri Light"/>
          <w:snapToGrid w:val="0"/>
          <w:color w:val="000000"/>
          <w:lang w:val="en-US"/>
        </w:rPr>
        <w:t>interventions on the PPMES revealed that there was a strong need to strengthen the capacity of DepEd in this management competency and in fact, it was rightly identified as a foundational outcome.</w:t>
      </w:r>
      <w:r w:rsidR="00D434EB">
        <w:rPr>
          <w:rFonts w:ascii="Calibri Light" w:hAnsi="Calibri Light"/>
          <w:snapToGrid w:val="0"/>
          <w:color w:val="000000"/>
          <w:lang w:val="en-US"/>
        </w:rPr>
        <w:t xml:space="preserve"> </w:t>
      </w:r>
      <w:r w:rsidRPr="00AA04A4">
        <w:rPr>
          <w:rFonts w:ascii="Calibri Light" w:hAnsi="Calibri Light"/>
          <w:snapToGrid w:val="0"/>
          <w:color w:val="000000"/>
          <w:lang w:val="en-US"/>
        </w:rPr>
        <w:t>It was found to be aligned to the priorities of the Philippine Government.</w:t>
      </w:r>
      <w:r w:rsidR="00D434EB">
        <w:rPr>
          <w:rFonts w:ascii="Calibri Light" w:hAnsi="Calibri Light"/>
          <w:snapToGrid w:val="0"/>
          <w:color w:val="000000"/>
          <w:lang w:val="en-US"/>
        </w:rPr>
        <w:t xml:space="preserve"> </w:t>
      </w:r>
    </w:p>
    <w:p w14:paraId="6F45276E" w14:textId="126E4192" w:rsidR="008D0CAD" w:rsidRPr="00AA04A4" w:rsidRDefault="008D0CAD" w:rsidP="00DD08E3">
      <w:pPr>
        <w:spacing w:before="100" w:beforeAutospacing="1" w:after="100" w:afterAutospacing="1" w:line="360" w:lineRule="auto"/>
        <w:rPr>
          <w:rFonts w:ascii="Calibri Light" w:hAnsi="Calibri Light" w:cs="Calibri"/>
        </w:rPr>
      </w:pPr>
      <w:r w:rsidRPr="00AA04A4">
        <w:rPr>
          <w:rFonts w:ascii="Calibri Light" w:hAnsi="Calibri Light"/>
          <w:color w:val="000000"/>
          <w:lang w:val="en-US"/>
        </w:rPr>
        <w:t xml:space="preserve">The Program interventions under the heading of UISS was found to be highly responsive and </w:t>
      </w:r>
      <w:r w:rsidRPr="00AA04A4">
        <w:rPr>
          <w:rFonts w:ascii="Calibri Light" w:hAnsi="Calibri Light"/>
          <w:lang w:val="en-US"/>
        </w:rPr>
        <w:t>relevant to the needs and priorities of DepEd, especially in terms of students and school information.</w:t>
      </w:r>
      <w:r w:rsidR="00D434EB">
        <w:rPr>
          <w:rFonts w:ascii="Calibri Light" w:hAnsi="Calibri Light"/>
          <w:lang w:val="en-US"/>
        </w:rPr>
        <w:t xml:space="preserve"> </w:t>
      </w:r>
      <w:r w:rsidRPr="00AA04A4">
        <w:rPr>
          <w:rFonts w:ascii="Calibri Light" w:hAnsi="Calibri Light"/>
          <w:lang w:val="en-US"/>
        </w:rPr>
        <w:t>T</w:t>
      </w:r>
      <w:r w:rsidRPr="00AA04A4">
        <w:rPr>
          <w:rFonts w:ascii="Calibri Light" w:hAnsi="Calibri Light" w:cs="Calibri"/>
        </w:rPr>
        <w:t>he UISS accommodated a wide range of actors across governance levels, from Operating Units at the national central office to the regional, division, district offices, down to schools.</w:t>
      </w:r>
      <w:r w:rsidR="00D434EB">
        <w:rPr>
          <w:rFonts w:ascii="Calibri Light" w:hAnsi="Calibri Light" w:cs="Calibri"/>
        </w:rPr>
        <w:t xml:space="preserve"> </w:t>
      </w:r>
    </w:p>
    <w:p w14:paraId="4B06A54A" w14:textId="77777777" w:rsidR="008D0CAD" w:rsidRPr="00AA04A4" w:rsidRDefault="008D0CAD" w:rsidP="00DD08E3">
      <w:pPr>
        <w:spacing w:before="100" w:beforeAutospacing="1" w:after="100" w:afterAutospacing="1" w:line="360" w:lineRule="auto"/>
        <w:rPr>
          <w:rFonts w:ascii="Calibri Light" w:hAnsi="Calibri Light"/>
          <w:lang w:val="en-US"/>
        </w:rPr>
      </w:pPr>
      <w:r w:rsidRPr="00AA04A4">
        <w:rPr>
          <w:rFonts w:ascii="Calibri Light" w:hAnsi="Calibri Light"/>
          <w:lang w:val="en-US"/>
        </w:rPr>
        <w:t>Lastly, the literature showed that the interventions under Organisational Development, which were largely the support to the implementation of the Rationalisation Plan (RatPlan), were indeed aligned not only to the priorities of DepEd but to the entire Philippine Government as well. The Program interventions also served as an enabler for the other Program Interventions since the other interventions (such as Curriculum and Assessment) could not proceed until and unless the responsibilities of the different Operating Units under the RatPlan were settled.</w:t>
      </w:r>
    </w:p>
    <w:p w14:paraId="58FFEB50" w14:textId="2AD629B9" w:rsidR="008D0CAD" w:rsidRPr="00AA04A4" w:rsidRDefault="008D0CAD" w:rsidP="00DD08E3">
      <w:pPr>
        <w:spacing w:before="100" w:beforeAutospacing="1" w:after="100" w:afterAutospacing="1" w:line="360" w:lineRule="auto"/>
        <w:rPr>
          <w:rFonts w:ascii="Calibri Light" w:hAnsi="Calibri Light"/>
          <w:lang w:val="en-US"/>
        </w:rPr>
      </w:pPr>
      <w:r w:rsidRPr="00AA04A4">
        <w:rPr>
          <w:rFonts w:ascii="Calibri Light" w:hAnsi="Calibri Light"/>
          <w:lang w:val="en-US"/>
        </w:rPr>
        <w:t>Overall, the 10 BEST Program Interventions were found to be appropriate and significant in terms of reforming the basic education sector within the context of the Philippines. All the interventions were aligned with the priorities of the Philippine and Australian Governments.</w:t>
      </w:r>
      <w:r w:rsidR="00D434EB">
        <w:rPr>
          <w:rFonts w:ascii="Calibri Light" w:hAnsi="Calibri Light"/>
          <w:lang w:val="en-US"/>
        </w:rPr>
        <w:t xml:space="preserve"> </w:t>
      </w:r>
      <w:r w:rsidRPr="00AA04A4">
        <w:rPr>
          <w:rFonts w:ascii="Calibri Light" w:hAnsi="Calibri Light"/>
          <w:lang w:val="en-US"/>
        </w:rPr>
        <w:t>Of these 10 interventions, three interventions were found to be highly relevant: Curriculum and Assessment (C&amp;A); School-based Management (SBM); and Unified Information System and Sub-systems (UISS).</w:t>
      </w:r>
    </w:p>
    <w:p w14:paraId="3413E912" w14:textId="77777777" w:rsidR="00F84124" w:rsidRDefault="00F84124" w:rsidP="00796BFA">
      <w:pPr>
        <w:pStyle w:val="Heading2"/>
        <w:numPr>
          <w:ilvl w:val="0"/>
          <w:numId w:val="0"/>
        </w:numPr>
        <w:spacing w:before="100" w:beforeAutospacing="1" w:after="100" w:afterAutospacing="1" w:line="360" w:lineRule="auto"/>
        <w:ind w:left="1288" w:hanging="720"/>
        <w:sectPr w:rsidR="00F84124" w:rsidSect="009C64E9">
          <w:pgSz w:w="11906" w:h="16838" w:code="9"/>
          <w:pgMar w:top="1440" w:right="1440" w:bottom="1440" w:left="1440" w:header="708" w:footer="864" w:gutter="0"/>
          <w:cols w:space="708"/>
          <w:docGrid w:linePitch="360"/>
        </w:sectPr>
      </w:pPr>
      <w:bookmarkStart w:id="389" w:name="_Toc39938407"/>
      <w:bookmarkStart w:id="390" w:name="_Toc69820511"/>
    </w:p>
    <w:p w14:paraId="5F72595B" w14:textId="54A409AC" w:rsidR="008D0CAD" w:rsidRPr="00AA04A4" w:rsidRDefault="008D0CAD" w:rsidP="00796BFA">
      <w:pPr>
        <w:pStyle w:val="Heading2"/>
        <w:numPr>
          <w:ilvl w:val="0"/>
          <w:numId w:val="0"/>
        </w:numPr>
        <w:spacing w:before="100" w:beforeAutospacing="1" w:after="100" w:afterAutospacing="1" w:line="360" w:lineRule="auto"/>
        <w:ind w:left="1288" w:hanging="720"/>
      </w:pPr>
      <w:r>
        <w:t>A</w:t>
      </w:r>
      <w:r w:rsidRPr="00AA04A4">
        <w:t>nnex T. Analyses of Learning Outcomes</w:t>
      </w:r>
      <w:bookmarkEnd w:id="389"/>
      <w:bookmarkEnd w:id="390"/>
    </w:p>
    <w:p w14:paraId="2A1A0388" w14:textId="750B7412" w:rsidR="008D0CAD" w:rsidRPr="00AA04A4" w:rsidRDefault="008D0CAD" w:rsidP="00796BFA">
      <w:pPr>
        <w:pStyle w:val="Heading3"/>
        <w:spacing w:before="100" w:beforeAutospacing="1" w:after="100" w:afterAutospacing="1" w:line="360" w:lineRule="auto"/>
        <w:rPr>
          <w:lang w:val="en-US"/>
        </w:rPr>
      </w:pPr>
      <w:bookmarkStart w:id="391" w:name="_Toc39938408"/>
      <w:bookmarkStart w:id="392" w:name="_Toc69820512"/>
      <w:r w:rsidRPr="00AA04A4">
        <w:rPr>
          <w:lang w:val="en-US"/>
        </w:rPr>
        <w:t>Annex T-1. Average Grades per Subject</w:t>
      </w:r>
      <w:bookmarkEnd w:id="391"/>
      <w:bookmarkEnd w:id="392"/>
      <w:r w:rsidR="00D434EB">
        <w:rPr>
          <w:lang w:val="en-US"/>
        </w:rPr>
        <w:t xml:space="preserve"> </w:t>
      </w:r>
    </w:p>
    <w:p w14:paraId="43064D9A" w14:textId="77777777" w:rsidR="008D0CAD" w:rsidRPr="00AA04A4" w:rsidRDefault="008D0CAD" w:rsidP="00796BFA">
      <w:pPr>
        <w:spacing w:before="100" w:beforeAutospacing="1" w:after="100" w:afterAutospacing="1" w:line="360" w:lineRule="auto"/>
        <w:rPr>
          <w:rFonts w:asciiTheme="majorHAnsi" w:hAnsiTheme="majorHAnsi" w:cstheme="majorHAnsi"/>
          <w:b/>
          <w:bCs/>
          <w:lang w:val="en-US"/>
        </w:rPr>
      </w:pPr>
      <w:bookmarkStart w:id="393" w:name="_Toc15638011"/>
      <w:r w:rsidRPr="00AA04A4">
        <w:rPr>
          <w:rFonts w:asciiTheme="majorHAnsi" w:hAnsiTheme="majorHAnsi" w:cstheme="majorHAnsi"/>
          <w:b/>
          <w:bCs/>
          <w:lang w:val="en-US"/>
        </w:rPr>
        <w:t>Average Grade by Subject</w:t>
      </w:r>
      <w:bookmarkEnd w:id="393"/>
    </w:p>
    <w:p w14:paraId="63DBD493" w14:textId="77777777" w:rsidR="008D0CAD" w:rsidRPr="00AA04A4" w:rsidRDefault="008D0CAD" w:rsidP="00796BFA">
      <w:pPr>
        <w:spacing w:before="100" w:beforeAutospacing="1" w:after="100" w:afterAutospacing="1" w:line="360" w:lineRule="auto"/>
        <w:ind w:right="245"/>
        <w:rPr>
          <w:rFonts w:asciiTheme="majorHAnsi" w:eastAsia="Arial Unicode MS" w:hAnsiTheme="majorHAnsi" w:cstheme="majorHAnsi"/>
          <w:bCs/>
          <w:color w:val="000000" w:themeColor="text1"/>
          <w:sz w:val="22"/>
          <w:szCs w:val="22"/>
          <w:u w:color="000000"/>
          <w:lang w:val="en-US"/>
        </w:rPr>
      </w:pPr>
      <w:r w:rsidRPr="00AA04A4">
        <w:rPr>
          <w:rFonts w:asciiTheme="majorHAnsi" w:eastAsia="Arial Unicode MS" w:hAnsiTheme="majorHAnsi" w:cstheme="majorHAnsi"/>
          <w:bCs/>
          <w:color w:val="000000" w:themeColor="text1"/>
          <w:sz w:val="22"/>
          <w:szCs w:val="22"/>
          <w:u w:color="000000"/>
          <w:lang w:val="en-US"/>
        </w:rPr>
        <w:t xml:space="preserve">The original intention of the EOPE Study was to use regression analysis in comparing the 80 treatment schools </w:t>
      </w:r>
      <w:r w:rsidRPr="00AA04A4">
        <w:rPr>
          <w:rFonts w:asciiTheme="majorHAnsi" w:eastAsia="Arial Unicode MS" w:hAnsiTheme="majorHAnsi" w:cstheme="majorHAnsi"/>
          <w:sz w:val="22"/>
          <w:szCs w:val="22"/>
          <w:u w:color="000000"/>
          <w:lang w:val="en-US"/>
        </w:rPr>
        <w:t>with the 26 comparison schools using the regression model:</w:t>
      </w:r>
    </w:p>
    <w:p w14:paraId="06FFA243" w14:textId="265FF8D7" w:rsidR="008D0CAD" w:rsidRPr="00796BFA" w:rsidRDefault="00092C0F" w:rsidP="00796BFA">
      <w:pPr>
        <w:spacing w:before="100" w:beforeAutospacing="1" w:after="100" w:afterAutospacing="1" w:line="360" w:lineRule="auto"/>
        <w:rPr>
          <w:rFonts w:asciiTheme="majorHAnsi" w:hAnsiTheme="majorHAnsi" w:cstheme="majorHAnsi"/>
          <w:sz w:val="22"/>
          <w:szCs w:val="22"/>
        </w:rPr>
      </w:pPr>
      <m:oMathPara>
        <m:oMath>
          <m:sSub>
            <m:sSubPr>
              <m:ctrlPr>
                <w:rPr>
                  <w:rFonts w:ascii="Cambria Math" w:hAnsi="Cambria Math" w:cstheme="majorHAnsi"/>
                  <w:i/>
                  <w:iCs/>
                  <w:sz w:val="22"/>
                  <w:szCs w:val="22"/>
                  <w:lang w:val="en-US"/>
                </w:rPr>
              </m:ctrlPr>
            </m:sSubPr>
            <m:e>
              <m:r>
                <w:rPr>
                  <w:rFonts w:ascii="Cambria Math" w:hAnsi="Cambria Math" w:cstheme="majorHAnsi"/>
                  <w:sz w:val="22"/>
                  <w:szCs w:val="22"/>
                  <w:lang w:val="en-US"/>
                </w:rPr>
                <m:t>y</m:t>
              </m:r>
            </m:e>
            <m:sub>
              <m:r>
                <w:rPr>
                  <w:rFonts w:ascii="Cambria Math" w:hAnsi="Cambria Math" w:cstheme="majorHAnsi"/>
                  <w:sz w:val="22"/>
                  <w:szCs w:val="22"/>
                  <w:lang w:val="en-US"/>
                </w:rPr>
                <m:t>i</m:t>
              </m:r>
              <m:r>
                <w:rPr>
                  <w:rFonts w:ascii="Cambria Math" w:hAnsi="Cambria Math" w:cstheme="majorHAnsi"/>
                  <w:sz w:val="22"/>
                  <w:szCs w:val="22"/>
                  <w:lang w:val="en-US"/>
                </w:rPr>
                <m:t>, </m:t>
              </m:r>
              <m:r>
                <w:rPr>
                  <w:rFonts w:ascii="Cambria Math" w:hAnsi="Cambria Math" w:cstheme="majorHAnsi"/>
                  <w:sz w:val="22"/>
                  <w:szCs w:val="22"/>
                  <w:lang w:val="en-US"/>
                </w:rPr>
                <m:t>t</m:t>
              </m:r>
            </m:sub>
          </m:sSub>
          <m:r>
            <w:rPr>
              <w:rFonts w:ascii="Cambria Math" w:hAnsi="Cambria Math" w:cstheme="majorHAnsi"/>
              <w:sz w:val="22"/>
              <w:szCs w:val="22"/>
              <w:lang w:val="en-US"/>
            </w:rPr>
            <m:t>=</m:t>
          </m:r>
          <m:sSub>
            <m:sSubPr>
              <m:ctrlPr>
                <w:rPr>
                  <w:rFonts w:ascii="Cambria Math" w:hAnsi="Cambria Math" w:cstheme="majorHAnsi"/>
                  <w:i/>
                  <w:iCs/>
                  <w:sz w:val="22"/>
                  <w:szCs w:val="22"/>
                  <w:lang w:val="en-US"/>
                </w:rPr>
              </m:ctrlPr>
            </m:sSubPr>
            <m:e>
              <m:r>
                <w:rPr>
                  <w:rFonts w:ascii="Cambria Math" w:hAnsi="Cambria Math" w:cstheme="majorHAnsi"/>
                  <w:sz w:val="22"/>
                  <w:szCs w:val="22"/>
                  <w:lang w:val="en-US"/>
                </w:rPr>
                <m:t>α</m:t>
              </m:r>
            </m:e>
            <m:sub>
              <m:r>
                <w:rPr>
                  <w:rFonts w:ascii="Cambria Math" w:hAnsi="Cambria Math" w:cstheme="majorHAnsi"/>
                  <w:sz w:val="22"/>
                  <w:szCs w:val="22"/>
                  <w:lang w:val="en-US"/>
                </w:rPr>
                <m:t>0</m:t>
              </m:r>
            </m:sub>
          </m:sSub>
          <m:r>
            <w:rPr>
              <w:rFonts w:ascii="Cambria Math" w:hAnsi="Cambria Math" w:cstheme="majorHAnsi"/>
              <w:sz w:val="22"/>
              <w:szCs w:val="22"/>
              <w:lang w:val="en-US"/>
            </w:rPr>
            <m:t>+</m:t>
          </m:r>
          <m:sSub>
            <m:sSubPr>
              <m:ctrlPr>
                <w:rPr>
                  <w:rFonts w:ascii="Cambria Math" w:hAnsi="Cambria Math" w:cstheme="majorHAnsi"/>
                  <w:i/>
                  <w:iCs/>
                  <w:sz w:val="22"/>
                  <w:szCs w:val="22"/>
                  <w:lang w:val="en-US"/>
                </w:rPr>
              </m:ctrlPr>
            </m:sSubPr>
            <m:e>
              <m:r>
                <w:rPr>
                  <w:rFonts w:ascii="Cambria Math" w:hAnsi="Cambria Math" w:cstheme="majorHAnsi"/>
                  <w:sz w:val="22"/>
                  <w:szCs w:val="22"/>
                  <w:lang w:val="en-US"/>
                </w:rPr>
                <m:t>α</m:t>
              </m:r>
            </m:e>
            <m:sub>
              <m:r>
                <w:rPr>
                  <w:rFonts w:ascii="Cambria Math" w:hAnsi="Cambria Math" w:cstheme="majorHAnsi"/>
                  <w:sz w:val="22"/>
                  <w:szCs w:val="22"/>
                  <w:lang w:val="en-US"/>
                </w:rPr>
                <m:t>1</m:t>
              </m:r>
            </m:sub>
          </m:sSub>
          <m:r>
            <w:rPr>
              <w:rFonts w:ascii="Cambria Math" w:hAnsi="Cambria Math" w:cstheme="majorHAnsi"/>
              <w:sz w:val="22"/>
              <w:szCs w:val="22"/>
              <w:lang w:val="en-US"/>
            </w:rPr>
            <m:t>BES</m:t>
          </m:r>
          <m:sSub>
            <m:sSubPr>
              <m:ctrlPr>
                <w:rPr>
                  <w:rFonts w:ascii="Cambria Math" w:hAnsi="Cambria Math" w:cstheme="majorHAnsi"/>
                  <w:i/>
                  <w:iCs/>
                  <w:sz w:val="22"/>
                  <w:szCs w:val="22"/>
                  <w:lang w:val="en-US"/>
                </w:rPr>
              </m:ctrlPr>
            </m:sSubPr>
            <m:e>
              <m:r>
                <w:rPr>
                  <w:rFonts w:ascii="Cambria Math" w:hAnsi="Cambria Math" w:cstheme="majorHAnsi"/>
                  <w:sz w:val="22"/>
                  <w:szCs w:val="22"/>
                  <w:lang w:val="en-US"/>
                </w:rPr>
                <m:t>T</m:t>
              </m:r>
            </m:e>
            <m:sub>
              <m:r>
                <w:rPr>
                  <w:rFonts w:ascii="Cambria Math" w:hAnsi="Cambria Math" w:cstheme="majorHAnsi"/>
                  <w:sz w:val="22"/>
                  <w:szCs w:val="22"/>
                  <w:lang w:val="en-US"/>
                </w:rPr>
                <m:t>i</m:t>
              </m:r>
            </m:sub>
          </m:sSub>
          <m:r>
            <w:rPr>
              <w:rFonts w:ascii="Cambria Math" w:hAnsi="Cambria Math" w:cstheme="majorHAnsi"/>
              <w:sz w:val="22"/>
              <w:szCs w:val="22"/>
              <w:lang w:val="en-US"/>
            </w:rPr>
            <m:t>+</m:t>
          </m:r>
          <m:sSub>
            <m:sSubPr>
              <m:ctrlPr>
                <w:rPr>
                  <w:rFonts w:ascii="Cambria Math" w:hAnsi="Cambria Math" w:cstheme="majorHAnsi"/>
                  <w:i/>
                  <w:iCs/>
                  <w:sz w:val="22"/>
                  <w:szCs w:val="22"/>
                  <w:lang w:val="en-US"/>
                </w:rPr>
              </m:ctrlPr>
            </m:sSubPr>
            <m:e>
              <m:r>
                <w:rPr>
                  <w:rFonts w:ascii="Cambria Math" w:hAnsi="Cambria Math" w:cstheme="majorHAnsi"/>
                  <w:sz w:val="22"/>
                  <w:szCs w:val="22"/>
                  <w:lang w:val="en-US"/>
                </w:rPr>
                <m:t>α</m:t>
              </m:r>
            </m:e>
            <m:sub>
              <m:r>
                <w:rPr>
                  <w:rFonts w:ascii="Cambria Math" w:hAnsi="Cambria Math" w:cstheme="majorHAnsi"/>
                  <w:sz w:val="22"/>
                  <w:szCs w:val="22"/>
                  <w:lang w:val="en-US"/>
                </w:rPr>
                <m:t>2</m:t>
              </m:r>
            </m:sub>
          </m:sSub>
          <m:sSub>
            <m:sSubPr>
              <m:ctrlPr>
                <w:rPr>
                  <w:rFonts w:ascii="Cambria Math" w:hAnsi="Cambria Math" w:cstheme="majorHAnsi"/>
                  <w:i/>
                  <w:iCs/>
                  <w:sz w:val="22"/>
                  <w:szCs w:val="22"/>
                  <w:lang w:val="en-US"/>
                </w:rPr>
              </m:ctrlPr>
            </m:sSubPr>
            <m:e>
              <m:r>
                <w:rPr>
                  <w:rFonts w:ascii="Cambria Math" w:hAnsi="Cambria Math" w:cstheme="majorHAnsi"/>
                  <w:sz w:val="22"/>
                  <w:szCs w:val="22"/>
                  <w:lang w:val="en-US"/>
                </w:rPr>
                <m:t>I</m:t>
              </m:r>
            </m:e>
            <m:sub>
              <m:d>
                <m:dPr>
                  <m:begChr m:val="{"/>
                  <m:endChr m:val="}"/>
                  <m:ctrlPr>
                    <w:rPr>
                      <w:rFonts w:ascii="Cambria Math" w:hAnsi="Cambria Math" w:cstheme="majorHAnsi"/>
                      <w:i/>
                      <w:iCs/>
                      <w:sz w:val="22"/>
                      <w:szCs w:val="22"/>
                      <w:lang w:val="en-US"/>
                    </w:rPr>
                  </m:ctrlPr>
                </m:dPr>
                <m:e>
                  <m:r>
                    <w:rPr>
                      <w:rFonts w:ascii="Cambria Math" w:hAnsi="Cambria Math" w:cstheme="majorHAnsi"/>
                      <w:sz w:val="22"/>
                      <w:szCs w:val="22"/>
                      <w:lang w:val="en-US"/>
                    </w:rPr>
                    <m:t>endline</m:t>
                  </m:r>
                </m:e>
              </m:d>
            </m:sub>
          </m:sSub>
          <m:d>
            <m:dPr>
              <m:ctrlPr>
                <w:rPr>
                  <w:rFonts w:ascii="Cambria Math" w:hAnsi="Cambria Math" w:cstheme="majorHAnsi"/>
                  <w:i/>
                  <w:iCs/>
                  <w:sz w:val="22"/>
                  <w:szCs w:val="22"/>
                  <w:lang w:val="en-US"/>
                </w:rPr>
              </m:ctrlPr>
            </m:dPr>
            <m:e>
              <m:r>
                <w:rPr>
                  <w:rFonts w:ascii="Cambria Math" w:hAnsi="Cambria Math" w:cstheme="majorHAnsi"/>
                  <w:sz w:val="22"/>
                  <w:szCs w:val="22"/>
                  <w:lang w:val="en-US"/>
                </w:rPr>
                <m:t>t</m:t>
              </m:r>
            </m:e>
          </m:d>
          <m:r>
            <m:rPr>
              <m:sty m:val="p"/>
            </m:rPr>
            <w:rPr>
              <w:rFonts w:ascii="Cambria Math" w:eastAsiaTheme="minorEastAsia" w:hAnsi="Cambria Math" w:cstheme="majorHAnsi"/>
              <w:sz w:val="22"/>
              <w:szCs w:val="22"/>
              <w:lang w:val="en-US"/>
            </w:rPr>
            <m:t xml:space="preserve"> </m:t>
          </m:r>
          <m:r>
            <w:rPr>
              <w:rFonts w:ascii="Cambria Math" w:hAnsi="Cambria Math" w:cstheme="majorHAnsi"/>
              <w:sz w:val="22"/>
              <w:szCs w:val="22"/>
              <w:lang w:val="en-US"/>
            </w:rPr>
            <m:t>+</m:t>
          </m:r>
          <m:r>
            <w:rPr>
              <w:rFonts w:ascii="Cambria Math" w:hAnsi="Cambria Math" w:cstheme="majorHAnsi"/>
              <w:sz w:val="22"/>
              <w:szCs w:val="22"/>
              <w:lang w:val="en-US"/>
            </w:rPr>
            <m:t>γBES</m:t>
          </m:r>
          <m:sSub>
            <m:sSubPr>
              <m:ctrlPr>
                <w:rPr>
                  <w:rFonts w:ascii="Cambria Math" w:hAnsi="Cambria Math" w:cstheme="majorHAnsi"/>
                  <w:i/>
                  <w:iCs/>
                  <w:sz w:val="22"/>
                  <w:szCs w:val="22"/>
                  <w:lang w:val="en-US"/>
                </w:rPr>
              </m:ctrlPr>
            </m:sSubPr>
            <m:e>
              <m:r>
                <w:rPr>
                  <w:rFonts w:ascii="Cambria Math" w:hAnsi="Cambria Math" w:cstheme="majorHAnsi"/>
                  <w:sz w:val="22"/>
                  <w:szCs w:val="22"/>
                  <w:lang w:val="en-US"/>
                </w:rPr>
                <m:t>T</m:t>
              </m:r>
            </m:e>
            <m:sub>
              <m:r>
                <w:rPr>
                  <w:rFonts w:ascii="Cambria Math" w:hAnsi="Cambria Math" w:cstheme="majorHAnsi"/>
                  <w:sz w:val="22"/>
                  <w:szCs w:val="22"/>
                  <w:lang w:val="en-US"/>
                </w:rPr>
                <m:t>i</m:t>
              </m:r>
            </m:sub>
          </m:sSub>
          <m:r>
            <w:rPr>
              <w:rFonts w:ascii="Cambria Math" w:hAnsi="Cambria Math" w:cstheme="majorHAnsi"/>
              <w:sz w:val="22"/>
              <w:szCs w:val="22"/>
              <w:lang w:val="en-US"/>
            </w:rPr>
            <m:t>*</m:t>
          </m:r>
          <m:sSub>
            <m:sSubPr>
              <m:ctrlPr>
                <w:rPr>
                  <w:rFonts w:ascii="Cambria Math" w:hAnsi="Cambria Math" w:cstheme="majorHAnsi"/>
                  <w:i/>
                  <w:iCs/>
                  <w:sz w:val="22"/>
                  <w:szCs w:val="22"/>
                  <w:lang w:val="en-US"/>
                </w:rPr>
              </m:ctrlPr>
            </m:sSubPr>
            <m:e>
              <m:r>
                <w:rPr>
                  <w:rFonts w:ascii="Cambria Math" w:hAnsi="Cambria Math" w:cstheme="majorHAnsi"/>
                  <w:sz w:val="22"/>
                  <w:szCs w:val="22"/>
                  <w:lang w:val="en-US"/>
                </w:rPr>
                <m:t>I</m:t>
              </m:r>
            </m:e>
            <m:sub>
              <m:d>
                <m:dPr>
                  <m:begChr m:val="{"/>
                  <m:endChr m:val="}"/>
                  <m:ctrlPr>
                    <w:rPr>
                      <w:rFonts w:ascii="Cambria Math" w:hAnsi="Cambria Math" w:cstheme="majorHAnsi"/>
                      <w:i/>
                      <w:iCs/>
                      <w:sz w:val="22"/>
                      <w:szCs w:val="22"/>
                      <w:lang w:val="en-US"/>
                    </w:rPr>
                  </m:ctrlPr>
                </m:dPr>
                <m:e>
                  <m:r>
                    <w:rPr>
                      <w:rFonts w:ascii="Cambria Math" w:hAnsi="Cambria Math" w:cstheme="majorHAnsi"/>
                      <w:sz w:val="22"/>
                      <w:szCs w:val="22"/>
                      <w:lang w:val="en-US"/>
                    </w:rPr>
                    <m:t>endline</m:t>
                  </m:r>
                </m:e>
              </m:d>
            </m:sub>
          </m:sSub>
          <m:d>
            <m:dPr>
              <m:ctrlPr>
                <w:rPr>
                  <w:rFonts w:ascii="Cambria Math" w:hAnsi="Cambria Math" w:cstheme="majorHAnsi"/>
                  <w:i/>
                  <w:iCs/>
                  <w:sz w:val="22"/>
                  <w:szCs w:val="22"/>
                  <w:lang w:val="en-US"/>
                </w:rPr>
              </m:ctrlPr>
            </m:dPr>
            <m:e>
              <m:r>
                <w:rPr>
                  <w:rFonts w:ascii="Cambria Math" w:hAnsi="Cambria Math" w:cstheme="majorHAnsi"/>
                  <w:sz w:val="22"/>
                  <w:szCs w:val="22"/>
                  <w:lang w:val="en-US"/>
                </w:rPr>
                <m:t>t</m:t>
              </m:r>
            </m:e>
          </m:d>
          <m:r>
            <m:rPr>
              <m:sty m:val="p"/>
            </m:rPr>
            <w:rPr>
              <w:rFonts w:ascii="Cambria Math" w:eastAsiaTheme="minorEastAsia" w:hAnsi="Cambria Math" w:cstheme="majorHAnsi"/>
              <w:sz w:val="22"/>
              <w:szCs w:val="22"/>
              <w:lang w:val="en-US"/>
            </w:rPr>
            <m:t>+</m:t>
          </m:r>
          <m:r>
            <w:rPr>
              <w:rFonts w:ascii="Cambria Math" w:eastAsiaTheme="minorEastAsia" w:hAnsi="Cambria Math" w:cstheme="majorHAnsi"/>
              <w:sz w:val="22"/>
              <w:szCs w:val="22"/>
              <w:lang w:val="en-US"/>
            </w:rPr>
            <m:t>ηBESTdu</m:t>
          </m:r>
          <m:sSub>
            <m:sSubPr>
              <m:ctrlPr>
                <w:rPr>
                  <w:rFonts w:ascii="Cambria Math" w:eastAsiaTheme="minorEastAsia" w:hAnsi="Cambria Math" w:cstheme="majorHAnsi"/>
                  <w:i/>
                  <w:iCs/>
                  <w:sz w:val="22"/>
                  <w:szCs w:val="22"/>
                  <w:lang w:val="en-US"/>
                </w:rPr>
              </m:ctrlPr>
            </m:sSubPr>
            <m:e>
              <m:r>
                <w:rPr>
                  <w:rFonts w:ascii="Cambria Math" w:eastAsiaTheme="minorEastAsia" w:hAnsi="Cambria Math" w:cstheme="majorHAnsi"/>
                  <w:sz w:val="22"/>
                  <w:szCs w:val="22"/>
                  <w:lang w:val="en-US"/>
                </w:rPr>
                <m:t>r</m:t>
              </m:r>
            </m:e>
            <m:sub>
              <m:r>
                <w:rPr>
                  <w:rFonts w:ascii="Cambria Math" w:eastAsiaTheme="minorEastAsia" w:hAnsi="Cambria Math" w:cstheme="majorHAnsi"/>
                  <w:sz w:val="22"/>
                  <w:szCs w:val="22"/>
                  <w:lang w:val="en-US"/>
                </w:rPr>
                <m:t>i</m:t>
              </m:r>
            </m:sub>
          </m:sSub>
          <m:r>
            <m:rPr>
              <m:sty m:val="b"/>
            </m:rPr>
            <w:rPr>
              <w:rFonts w:ascii="Cambria Math" w:eastAsiaTheme="minorEastAsia" w:hAnsi="Cambria Math" w:cstheme="majorHAnsi"/>
              <w:sz w:val="22"/>
              <w:szCs w:val="22"/>
              <w:lang w:val="en-US"/>
            </w:rPr>
            <m:t>+</m:t>
          </m:r>
          <m:r>
            <m:rPr>
              <m:sty m:val="b"/>
            </m:rPr>
            <w:rPr>
              <w:rFonts w:ascii="Cambria Math" w:eastAsiaTheme="minorEastAsia" w:hAnsi="Cambria Math" w:cstheme="majorHAnsi"/>
              <w:sz w:val="22"/>
              <w:szCs w:val="22"/>
              <w:lang w:val="en-US"/>
            </w:rPr>
            <m:t>Xβ</m:t>
          </m:r>
          <m:r>
            <m:rPr>
              <m:sty m:val="bi"/>
            </m:rPr>
            <w:rPr>
              <w:rFonts w:ascii="Cambria Math" w:hAnsi="Cambria Math" w:cstheme="majorHAnsi"/>
              <w:sz w:val="22"/>
              <w:szCs w:val="22"/>
              <w:lang w:val="en-US"/>
            </w:rPr>
            <m:t>+</m:t>
          </m:r>
          <m:sSub>
            <m:sSubPr>
              <m:ctrlPr>
                <w:rPr>
                  <w:rFonts w:ascii="Cambria Math" w:hAnsi="Cambria Math" w:cstheme="majorHAnsi"/>
                  <w:i/>
                  <w:iCs/>
                  <w:sz w:val="22"/>
                  <w:szCs w:val="22"/>
                  <w:lang w:val="en-US"/>
                </w:rPr>
              </m:ctrlPr>
            </m:sSubPr>
            <m:e>
              <m:r>
                <w:rPr>
                  <w:rFonts w:ascii="Cambria Math" w:hAnsi="Cambria Math" w:cstheme="majorHAnsi"/>
                  <w:sz w:val="22"/>
                  <w:szCs w:val="22"/>
                  <w:lang w:val="en-US"/>
                </w:rPr>
                <m:t>ϵ</m:t>
              </m:r>
            </m:e>
            <m:sub>
              <m:r>
                <w:rPr>
                  <w:rFonts w:ascii="Cambria Math" w:hAnsi="Cambria Math" w:cstheme="majorHAnsi"/>
                  <w:sz w:val="22"/>
                  <w:szCs w:val="22"/>
                  <w:lang w:val="en-US"/>
                </w:rPr>
                <m:t>it</m:t>
              </m:r>
            </m:sub>
          </m:sSub>
        </m:oMath>
      </m:oMathPara>
    </w:p>
    <w:p w14:paraId="1800A442" w14:textId="03188CA4" w:rsidR="008D0CAD" w:rsidRPr="00AA04A4" w:rsidRDefault="008D0CAD" w:rsidP="00796BFA">
      <w:pPr>
        <w:spacing w:before="100" w:beforeAutospacing="1" w:after="100" w:afterAutospacing="1" w:line="360" w:lineRule="auto"/>
        <w:ind w:right="245"/>
        <w:rPr>
          <w:rFonts w:asciiTheme="majorHAnsi" w:eastAsiaTheme="minorEastAsia" w:hAnsiTheme="majorHAnsi" w:cstheme="majorHAnsi"/>
          <w:sz w:val="22"/>
          <w:szCs w:val="22"/>
          <w:lang w:val="en-US"/>
        </w:rPr>
      </w:pPr>
      <w:r w:rsidRPr="00AA04A4">
        <w:rPr>
          <w:rFonts w:asciiTheme="majorHAnsi" w:hAnsiTheme="majorHAnsi" w:cstheme="majorHAnsi"/>
          <w:sz w:val="22"/>
          <w:szCs w:val="22"/>
          <w:lang w:val="en-US"/>
        </w:rPr>
        <w:t xml:space="preserve">where </w:t>
      </w:r>
      <m:oMath>
        <m:r>
          <w:rPr>
            <w:rFonts w:ascii="Cambria Math" w:hAnsi="Cambria Math" w:cstheme="majorHAnsi"/>
            <w:sz w:val="22"/>
            <w:szCs w:val="22"/>
            <w:lang w:val="en-US"/>
          </w:rPr>
          <m:t>BES</m:t>
        </m:r>
        <m:sSub>
          <m:sSubPr>
            <m:ctrlPr>
              <w:rPr>
                <w:rFonts w:ascii="Cambria Math" w:hAnsi="Cambria Math" w:cstheme="majorHAnsi"/>
                <w:i/>
                <w:iCs/>
                <w:sz w:val="22"/>
                <w:szCs w:val="22"/>
                <w:lang w:val="en-US"/>
              </w:rPr>
            </m:ctrlPr>
          </m:sSubPr>
          <m:e>
            <m:r>
              <w:rPr>
                <w:rFonts w:ascii="Cambria Math" w:hAnsi="Cambria Math" w:cstheme="majorHAnsi"/>
                <w:sz w:val="22"/>
                <w:szCs w:val="22"/>
                <w:lang w:val="en-US"/>
              </w:rPr>
              <m:t>T</m:t>
            </m:r>
          </m:e>
          <m:sub>
            <m:r>
              <w:rPr>
                <w:rFonts w:ascii="Cambria Math" w:hAnsi="Cambria Math" w:cstheme="majorHAnsi"/>
                <w:sz w:val="22"/>
                <w:szCs w:val="22"/>
                <w:lang w:val="en-US"/>
              </w:rPr>
              <m:t>i</m:t>
            </m:r>
          </m:sub>
        </m:sSub>
      </m:oMath>
      <w:r w:rsidRPr="00AA04A4">
        <w:rPr>
          <w:rFonts w:asciiTheme="majorHAnsi" w:eastAsiaTheme="minorEastAsia" w:hAnsiTheme="majorHAnsi" w:cstheme="majorHAnsi"/>
          <w:iCs/>
          <w:sz w:val="22"/>
          <w:szCs w:val="22"/>
          <w:lang w:val="en-US"/>
        </w:rPr>
        <w:t xml:space="preserve"> was the indicator for the best school, that is, its value was 1 if the school was a </w:t>
      </w:r>
      <w:r w:rsidRPr="00AA04A4">
        <w:rPr>
          <w:rFonts w:asciiTheme="majorHAnsi" w:eastAsiaTheme="minorEastAsia" w:hAnsiTheme="majorHAnsi" w:cstheme="majorHAnsi"/>
          <w:sz w:val="22"/>
          <w:szCs w:val="22"/>
          <w:lang w:val="en-US"/>
        </w:rPr>
        <w:t xml:space="preserve">direct </w:t>
      </w:r>
      <w:r w:rsidRPr="00AA04A4">
        <w:rPr>
          <w:rFonts w:asciiTheme="majorHAnsi" w:eastAsiaTheme="minorEastAsia" w:hAnsiTheme="majorHAnsi" w:cstheme="majorHAnsi"/>
          <w:iCs/>
          <w:sz w:val="22"/>
          <w:szCs w:val="22"/>
          <w:lang w:val="en-US"/>
        </w:rPr>
        <w:t>beneficiary of the BEST program and 0 if not.</w:t>
      </w:r>
      <w:r w:rsidR="00D434EB">
        <w:rPr>
          <w:rFonts w:asciiTheme="majorHAnsi" w:eastAsiaTheme="minorEastAsia" w:hAnsiTheme="majorHAnsi" w:cstheme="majorHAnsi"/>
          <w:iCs/>
          <w:sz w:val="22"/>
          <w:szCs w:val="22"/>
          <w:lang w:val="en-US"/>
        </w:rPr>
        <w:t xml:space="preserve"> </w:t>
      </w:r>
      <w:r w:rsidRPr="00AA04A4">
        <w:rPr>
          <w:rFonts w:asciiTheme="majorHAnsi" w:eastAsiaTheme="minorEastAsia" w:hAnsiTheme="majorHAnsi" w:cstheme="majorHAnsi"/>
          <w:iCs/>
          <w:sz w:val="22"/>
          <w:szCs w:val="22"/>
          <w:lang w:val="en-US"/>
        </w:rPr>
        <w:t xml:space="preserve">Interventions outside the </w:t>
      </w:r>
      <w:r w:rsidR="008D7B77">
        <w:rPr>
          <w:rFonts w:asciiTheme="majorHAnsi" w:eastAsiaTheme="minorEastAsia" w:hAnsiTheme="majorHAnsi" w:cstheme="majorHAnsi"/>
          <w:iCs/>
          <w:sz w:val="22"/>
          <w:szCs w:val="22"/>
          <w:lang w:val="en-US"/>
        </w:rPr>
        <w:t>BEST</w:t>
      </w:r>
      <w:r w:rsidR="008D7B77" w:rsidRPr="00AA04A4">
        <w:rPr>
          <w:rFonts w:asciiTheme="majorHAnsi" w:eastAsiaTheme="minorEastAsia" w:hAnsiTheme="majorHAnsi" w:cstheme="majorHAnsi"/>
          <w:iCs/>
          <w:sz w:val="22"/>
          <w:szCs w:val="22"/>
          <w:lang w:val="en-US"/>
        </w:rPr>
        <w:t xml:space="preserve"> </w:t>
      </w:r>
      <w:r w:rsidRPr="00AA04A4">
        <w:rPr>
          <w:rFonts w:asciiTheme="majorHAnsi" w:eastAsiaTheme="minorEastAsia" w:hAnsiTheme="majorHAnsi" w:cstheme="majorHAnsi"/>
          <w:iCs/>
          <w:sz w:val="22"/>
          <w:szCs w:val="22"/>
          <w:lang w:val="en-US"/>
        </w:rPr>
        <w:t xml:space="preserve">program would be added in the regression model above through dummy variables in the </w:t>
      </w:r>
      <m:oMath>
        <m:r>
          <m:rPr>
            <m:sty m:val="b"/>
          </m:rPr>
          <w:rPr>
            <w:rFonts w:ascii="Cambria Math" w:eastAsiaTheme="minorEastAsia" w:hAnsi="Cambria Math" w:cstheme="majorHAnsi"/>
            <w:sz w:val="22"/>
            <w:szCs w:val="22"/>
            <w:lang w:val="en-US"/>
          </w:rPr>
          <m:t>Xβ</m:t>
        </m:r>
      </m:oMath>
      <w:r w:rsidRPr="00AA04A4">
        <w:rPr>
          <w:rFonts w:asciiTheme="majorHAnsi" w:eastAsiaTheme="minorEastAsia" w:hAnsiTheme="majorHAnsi" w:cstheme="majorHAnsi"/>
          <w:sz w:val="22"/>
          <w:szCs w:val="22"/>
          <w:lang w:val="en-US"/>
        </w:rPr>
        <w:t>. Therefore, we needed a comprehensive list of all available interventions outside of BEST for each BEST and comparison school.</w:t>
      </w:r>
    </w:p>
    <w:p w14:paraId="6BAA2921" w14:textId="77777777" w:rsidR="008D0CAD" w:rsidRPr="00AA04A4" w:rsidRDefault="008D0CAD" w:rsidP="00796BFA">
      <w:pPr>
        <w:spacing w:before="100" w:beforeAutospacing="1" w:after="100" w:afterAutospacing="1" w:line="360" w:lineRule="auto"/>
        <w:ind w:right="245"/>
        <w:rPr>
          <w:rFonts w:asciiTheme="majorHAnsi" w:hAnsiTheme="majorHAnsi" w:cstheme="majorHAnsi"/>
          <w:sz w:val="22"/>
          <w:szCs w:val="22"/>
          <w:lang w:val="en-US"/>
        </w:rPr>
      </w:pPr>
      <w:r w:rsidRPr="00AA04A4">
        <w:rPr>
          <w:rFonts w:asciiTheme="majorHAnsi" w:eastAsiaTheme="minorEastAsia" w:hAnsiTheme="majorHAnsi" w:cstheme="majorHAnsi"/>
          <w:sz w:val="22"/>
          <w:szCs w:val="22"/>
          <w:lang w:val="en-US"/>
        </w:rPr>
        <w:t>At the end of the data collection period, o</w:t>
      </w:r>
      <w:r w:rsidRPr="00AA04A4">
        <w:rPr>
          <w:rFonts w:asciiTheme="majorHAnsi" w:hAnsiTheme="majorHAnsi" w:cstheme="majorHAnsi"/>
          <w:sz w:val="22"/>
          <w:szCs w:val="22"/>
          <w:lang w:val="en-US"/>
        </w:rPr>
        <w:t>ut of the 80 direct recipient schools in the sample study, only 16 schools (20.0% response rate) provided complete</w:t>
      </w:r>
      <w:r w:rsidRPr="00AA04A4">
        <w:rPr>
          <w:rFonts w:asciiTheme="majorHAnsi" w:hAnsiTheme="majorHAnsi" w:cstheme="majorHAnsi"/>
          <w:sz w:val="22"/>
          <w:szCs w:val="22"/>
          <w:vertAlign w:val="superscript"/>
          <w:lang w:val="en-US"/>
        </w:rPr>
        <w:footnoteReference w:id="139"/>
      </w:r>
      <w:r w:rsidRPr="00AA04A4">
        <w:rPr>
          <w:rFonts w:asciiTheme="majorHAnsi" w:hAnsiTheme="majorHAnsi" w:cstheme="majorHAnsi"/>
          <w:sz w:val="22"/>
          <w:szCs w:val="22"/>
          <w:lang w:val="en-US"/>
        </w:rPr>
        <w:t xml:space="preserve"> student-level information on average grades (see Table 1). On the other hand, out of the 26 indirect recipient schools, only 9 schools (34.6% response rate) provided complete student-level information. </w:t>
      </w:r>
    </w:p>
    <w:p w14:paraId="79F8B6D2" w14:textId="684A38F5" w:rsidR="008D0CAD" w:rsidRPr="00AA04A4" w:rsidRDefault="008D0CAD" w:rsidP="00796BFA">
      <w:pPr>
        <w:spacing w:before="100" w:beforeAutospacing="1" w:after="100" w:afterAutospacing="1" w:line="360" w:lineRule="auto"/>
        <w:ind w:right="245"/>
        <w:rPr>
          <w:rFonts w:asciiTheme="majorHAnsi" w:hAnsiTheme="majorHAnsi" w:cstheme="majorHAnsi"/>
          <w:sz w:val="22"/>
          <w:szCs w:val="22"/>
          <w:lang w:val="en-GB"/>
        </w:rPr>
      </w:pPr>
      <w:r w:rsidRPr="00AA04A4">
        <w:rPr>
          <w:rFonts w:asciiTheme="majorHAnsi" w:hAnsiTheme="majorHAnsi" w:cstheme="majorHAnsi"/>
          <w:sz w:val="22"/>
          <w:szCs w:val="22"/>
          <w:lang w:val="en-US"/>
        </w:rPr>
        <w:t>Because of the small data sample, the EOPE Team used a different method of analysis.</w:t>
      </w:r>
      <w:r w:rsidR="00D434EB">
        <w:rPr>
          <w:rFonts w:asciiTheme="majorHAnsi" w:hAnsiTheme="majorHAnsi" w:cstheme="majorHAnsi"/>
          <w:sz w:val="22"/>
          <w:szCs w:val="22"/>
          <w:lang w:val="en-US"/>
        </w:rPr>
        <w:t xml:space="preserve"> </w:t>
      </w:r>
      <w:r w:rsidRPr="00AA04A4">
        <w:rPr>
          <w:rFonts w:asciiTheme="majorHAnsi" w:hAnsiTheme="majorHAnsi" w:cstheme="majorHAnsi"/>
          <w:sz w:val="22"/>
          <w:szCs w:val="22"/>
          <w:lang w:val="en-US"/>
        </w:rPr>
        <w:t xml:space="preserve">The Pooled Difference-in-Differences (DID) Method was instead used to capture the effects of the BEST Program in improving the grades of the students. </w:t>
      </w:r>
      <w:r w:rsidRPr="00AA04A4">
        <w:rPr>
          <w:rFonts w:asciiTheme="majorHAnsi" w:hAnsiTheme="majorHAnsi" w:cstheme="majorHAnsi"/>
          <w:sz w:val="22"/>
          <w:szCs w:val="22"/>
          <w:lang w:val="en-GB"/>
        </w:rPr>
        <w:t>The DID estimator is the difference between two before–after differences, namely: the before–after change observed in the treatment group (</w:t>
      </w:r>
      <w:r w:rsidRPr="00AA04A4">
        <w:rPr>
          <w:rFonts w:asciiTheme="majorHAnsi" w:hAnsiTheme="majorHAnsi" w:cstheme="majorHAnsi"/>
          <w:sz w:val="22"/>
          <w:szCs w:val="22"/>
          <w:lang w:val="en-US"/>
        </w:rPr>
        <w:t>direct recipient schools</w:t>
      </w:r>
      <w:r w:rsidRPr="00AA04A4">
        <w:rPr>
          <w:rFonts w:asciiTheme="majorHAnsi" w:hAnsiTheme="majorHAnsi" w:cstheme="majorHAnsi"/>
          <w:sz w:val="22"/>
          <w:szCs w:val="22"/>
          <w:lang w:val="en-GB"/>
        </w:rPr>
        <w:t>); and the before–after change observed in the comparison group (in</w:t>
      </w:r>
      <w:r w:rsidRPr="00AA04A4">
        <w:rPr>
          <w:rFonts w:asciiTheme="majorHAnsi" w:hAnsiTheme="majorHAnsi" w:cstheme="majorHAnsi"/>
          <w:sz w:val="22"/>
          <w:szCs w:val="22"/>
          <w:lang w:val="en-US"/>
        </w:rPr>
        <w:t>direct recipient schools</w:t>
      </w:r>
      <w:r w:rsidRPr="00AA04A4">
        <w:rPr>
          <w:rFonts w:asciiTheme="majorHAnsi" w:hAnsiTheme="majorHAnsi" w:cstheme="majorHAnsi"/>
          <w:sz w:val="22"/>
          <w:szCs w:val="22"/>
          <w:lang w:val="en-GB"/>
        </w:rPr>
        <w:t>).</w:t>
      </w:r>
      <w:r w:rsidR="00D434EB">
        <w:rPr>
          <w:rFonts w:asciiTheme="majorHAnsi" w:hAnsiTheme="majorHAnsi" w:cstheme="majorHAnsi"/>
          <w:sz w:val="22"/>
          <w:szCs w:val="22"/>
          <w:lang w:val="en-GB"/>
        </w:rPr>
        <w:t xml:space="preserve"> </w:t>
      </w:r>
      <w:r w:rsidRPr="00AA04A4">
        <w:rPr>
          <w:rFonts w:asciiTheme="majorHAnsi" w:hAnsiTheme="majorHAnsi" w:cstheme="majorHAnsi"/>
          <w:sz w:val="22"/>
          <w:szCs w:val="22"/>
          <w:lang w:val="en-GB"/>
        </w:rPr>
        <w:t xml:space="preserve">The </w:t>
      </w:r>
      <w:r w:rsidRPr="00AA04A4">
        <w:rPr>
          <w:rFonts w:asciiTheme="majorHAnsi" w:hAnsiTheme="majorHAnsi" w:cstheme="majorHAnsi"/>
          <w:sz w:val="22"/>
          <w:szCs w:val="22"/>
          <w:lang w:val="en-US"/>
        </w:rPr>
        <w:t xml:space="preserve">Pooled DID Estimator is given by the formula: </w:t>
      </w:r>
    </w:p>
    <w:p w14:paraId="3CD3DE87" w14:textId="4ADA22C0" w:rsidR="008D0CAD" w:rsidRPr="00AA04A4" w:rsidRDefault="008D0CAD" w:rsidP="00796BFA">
      <w:pPr>
        <w:spacing w:before="100" w:beforeAutospacing="1" w:after="100" w:afterAutospacing="1" w:line="360" w:lineRule="auto"/>
        <w:rPr>
          <w:rFonts w:asciiTheme="majorHAnsi" w:hAnsiTheme="majorHAnsi" w:cstheme="majorHAnsi"/>
          <w:sz w:val="22"/>
          <w:szCs w:val="22"/>
          <w:lang w:val="en-US"/>
        </w:rPr>
      </w:pPr>
      <m:oMathPara>
        <m:oMath>
          <m:r>
            <w:rPr>
              <w:rFonts w:ascii="Cambria Math" w:hAnsi="Cambria Math" w:cstheme="majorHAnsi"/>
              <w:sz w:val="22"/>
              <w:szCs w:val="22"/>
              <w:lang w:val="en-US"/>
            </w:rPr>
            <m:t>DID=</m:t>
          </m:r>
          <m:d>
            <m:dPr>
              <m:ctrlPr>
                <w:rPr>
                  <w:rFonts w:ascii="Cambria Math" w:hAnsi="Cambria Math" w:cstheme="majorHAnsi"/>
                  <w:i/>
                  <w:iCs/>
                  <w:sz w:val="22"/>
                  <w:szCs w:val="22"/>
                  <w:lang w:val="en-US"/>
                </w:rPr>
              </m:ctrlPr>
            </m:dPr>
            <m:e>
              <m:sSub>
                <m:sSubPr>
                  <m:ctrlPr>
                    <w:rPr>
                      <w:rFonts w:ascii="Cambria Math" w:hAnsi="Cambria Math" w:cstheme="majorHAnsi"/>
                      <w:i/>
                      <w:iCs/>
                      <w:sz w:val="22"/>
                      <w:szCs w:val="22"/>
                      <w:lang w:val="en-US"/>
                    </w:rPr>
                  </m:ctrlPr>
                </m:sSubPr>
                <m:e>
                  <m:acc>
                    <m:accPr>
                      <m:chr m:val="̅"/>
                      <m:ctrlPr>
                        <w:rPr>
                          <w:rFonts w:ascii="Cambria Math" w:hAnsi="Cambria Math" w:cstheme="majorHAnsi"/>
                          <w:i/>
                          <w:iCs/>
                          <w:sz w:val="22"/>
                          <w:szCs w:val="22"/>
                          <w:lang w:val="en-US"/>
                        </w:rPr>
                      </m:ctrlPr>
                    </m:accPr>
                    <m:e>
                      <m:r>
                        <w:rPr>
                          <w:rFonts w:ascii="Cambria Math" w:hAnsi="Cambria Math" w:cstheme="majorHAnsi"/>
                          <w:sz w:val="22"/>
                          <w:szCs w:val="22"/>
                          <w:lang w:val="en-US"/>
                        </w:rPr>
                        <m:t>Y</m:t>
                      </m:r>
                    </m:e>
                  </m:acc>
                </m:e>
                <m:sub>
                  <m:r>
                    <w:rPr>
                      <w:rFonts w:ascii="Cambria Math" w:hAnsi="Cambria Math" w:cstheme="majorHAnsi"/>
                      <w:sz w:val="22"/>
                      <w:szCs w:val="22"/>
                      <w:lang w:val="en-US"/>
                    </w:rPr>
                    <m:t>BEST,End</m:t>
                  </m:r>
                </m:sub>
              </m:sSub>
              <m:r>
                <w:rPr>
                  <w:rFonts w:ascii="Cambria Math" w:hAnsi="Cambria Math" w:cstheme="majorHAnsi"/>
                  <w:sz w:val="22"/>
                  <w:szCs w:val="22"/>
                  <w:lang w:val="en-US"/>
                </w:rPr>
                <m:t>-</m:t>
              </m:r>
              <m:sSub>
                <m:sSubPr>
                  <m:ctrlPr>
                    <w:rPr>
                      <w:rFonts w:ascii="Cambria Math" w:hAnsi="Cambria Math" w:cstheme="majorHAnsi"/>
                      <w:i/>
                      <w:iCs/>
                      <w:sz w:val="22"/>
                      <w:szCs w:val="22"/>
                      <w:lang w:val="en-US"/>
                    </w:rPr>
                  </m:ctrlPr>
                </m:sSubPr>
                <m:e>
                  <m:acc>
                    <m:accPr>
                      <m:chr m:val="̅"/>
                      <m:ctrlPr>
                        <w:rPr>
                          <w:rFonts w:ascii="Cambria Math" w:hAnsi="Cambria Math" w:cstheme="majorHAnsi"/>
                          <w:i/>
                          <w:iCs/>
                          <w:sz w:val="22"/>
                          <w:szCs w:val="22"/>
                          <w:lang w:val="en-US"/>
                        </w:rPr>
                      </m:ctrlPr>
                    </m:accPr>
                    <m:e>
                      <m:r>
                        <w:rPr>
                          <w:rFonts w:ascii="Cambria Math" w:hAnsi="Cambria Math" w:cstheme="majorHAnsi"/>
                          <w:sz w:val="22"/>
                          <w:szCs w:val="22"/>
                          <w:lang w:val="en-US"/>
                        </w:rPr>
                        <m:t>Y</m:t>
                      </m:r>
                    </m:e>
                  </m:acc>
                </m:e>
                <m:sub>
                  <m:r>
                    <w:rPr>
                      <w:rFonts w:ascii="Cambria Math" w:hAnsi="Cambria Math" w:cstheme="majorHAnsi"/>
                      <w:sz w:val="22"/>
                      <w:szCs w:val="22"/>
                      <w:lang w:val="en-US"/>
                    </w:rPr>
                    <m:t>BEST,Base</m:t>
                  </m:r>
                </m:sub>
              </m:sSub>
            </m:e>
          </m:d>
          <m:r>
            <w:rPr>
              <w:rFonts w:ascii="Cambria Math" w:hAnsi="Cambria Math" w:cstheme="majorHAnsi"/>
              <w:sz w:val="22"/>
              <w:szCs w:val="22"/>
              <w:lang w:val="en-US"/>
            </w:rPr>
            <m:t>-</m:t>
          </m:r>
          <m:d>
            <m:dPr>
              <m:ctrlPr>
                <w:rPr>
                  <w:rFonts w:ascii="Cambria Math" w:hAnsi="Cambria Math" w:cstheme="majorHAnsi"/>
                  <w:i/>
                  <w:iCs/>
                  <w:sz w:val="22"/>
                  <w:szCs w:val="22"/>
                  <w:lang w:val="en-US"/>
                </w:rPr>
              </m:ctrlPr>
            </m:dPr>
            <m:e>
              <m:sSub>
                <m:sSubPr>
                  <m:ctrlPr>
                    <w:rPr>
                      <w:rFonts w:ascii="Cambria Math" w:hAnsi="Cambria Math" w:cstheme="majorHAnsi"/>
                      <w:i/>
                      <w:iCs/>
                      <w:sz w:val="22"/>
                      <w:szCs w:val="22"/>
                      <w:lang w:val="en-US"/>
                    </w:rPr>
                  </m:ctrlPr>
                </m:sSubPr>
                <m:e>
                  <m:acc>
                    <m:accPr>
                      <m:chr m:val="̅"/>
                      <m:ctrlPr>
                        <w:rPr>
                          <w:rFonts w:ascii="Cambria Math" w:hAnsi="Cambria Math" w:cstheme="majorHAnsi"/>
                          <w:i/>
                          <w:iCs/>
                          <w:sz w:val="22"/>
                          <w:szCs w:val="22"/>
                          <w:lang w:val="en-US"/>
                        </w:rPr>
                      </m:ctrlPr>
                    </m:accPr>
                    <m:e>
                      <m:r>
                        <w:rPr>
                          <w:rFonts w:ascii="Cambria Math" w:hAnsi="Cambria Math" w:cstheme="majorHAnsi"/>
                          <w:sz w:val="22"/>
                          <w:szCs w:val="22"/>
                          <w:lang w:val="en-US"/>
                        </w:rPr>
                        <m:t>Y</m:t>
                      </m:r>
                    </m:e>
                  </m:acc>
                </m:e>
                <m:sub>
                  <m:r>
                    <w:rPr>
                      <w:rFonts w:ascii="Cambria Math" w:hAnsi="Cambria Math" w:cstheme="majorHAnsi"/>
                      <w:sz w:val="22"/>
                      <w:szCs w:val="22"/>
                      <w:lang w:val="en-US"/>
                    </w:rPr>
                    <m:t>NB,End</m:t>
                  </m:r>
                </m:sub>
              </m:sSub>
              <m:r>
                <w:rPr>
                  <w:rFonts w:ascii="Cambria Math" w:hAnsi="Cambria Math" w:cstheme="majorHAnsi"/>
                  <w:sz w:val="22"/>
                  <w:szCs w:val="22"/>
                  <w:lang w:val="en-US"/>
                </w:rPr>
                <m:t>-</m:t>
              </m:r>
              <m:sSub>
                <m:sSubPr>
                  <m:ctrlPr>
                    <w:rPr>
                      <w:rFonts w:ascii="Cambria Math" w:hAnsi="Cambria Math" w:cstheme="majorHAnsi"/>
                      <w:i/>
                      <w:iCs/>
                      <w:sz w:val="22"/>
                      <w:szCs w:val="22"/>
                      <w:lang w:val="en-US"/>
                    </w:rPr>
                  </m:ctrlPr>
                </m:sSubPr>
                <m:e>
                  <m:acc>
                    <m:accPr>
                      <m:chr m:val="̅"/>
                      <m:ctrlPr>
                        <w:rPr>
                          <w:rFonts w:ascii="Cambria Math" w:hAnsi="Cambria Math" w:cstheme="majorHAnsi"/>
                          <w:i/>
                          <w:iCs/>
                          <w:sz w:val="22"/>
                          <w:szCs w:val="22"/>
                          <w:lang w:val="en-US"/>
                        </w:rPr>
                      </m:ctrlPr>
                    </m:accPr>
                    <m:e>
                      <m:r>
                        <w:rPr>
                          <w:rFonts w:ascii="Cambria Math" w:hAnsi="Cambria Math" w:cstheme="majorHAnsi"/>
                          <w:sz w:val="22"/>
                          <w:szCs w:val="22"/>
                          <w:lang w:val="en-US"/>
                        </w:rPr>
                        <m:t>Y</m:t>
                      </m:r>
                    </m:e>
                  </m:acc>
                </m:e>
                <m:sub>
                  <m:r>
                    <w:rPr>
                      <w:rFonts w:ascii="Cambria Math" w:hAnsi="Cambria Math" w:cstheme="majorHAnsi"/>
                      <w:sz w:val="22"/>
                      <w:szCs w:val="22"/>
                      <w:lang w:val="en-US"/>
                    </w:rPr>
                    <m:t>NB,Base</m:t>
                  </m:r>
                </m:sub>
              </m:sSub>
            </m:e>
          </m:d>
        </m:oMath>
      </m:oMathPara>
    </w:p>
    <w:p w14:paraId="270CA9BA" w14:textId="0277F7D5" w:rsidR="008D0CAD" w:rsidRPr="00AA04A4" w:rsidRDefault="008D0CAD" w:rsidP="00796BFA">
      <w:pPr>
        <w:spacing w:before="100" w:beforeAutospacing="1" w:after="100" w:afterAutospacing="1" w:line="360" w:lineRule="auto"/>
        <w:ind w:right="245"/>
        <w:rPr>
          <w:rFonts w:asciiTheme="majorHAnsi" w:hAnsiTheme="majorHAnsi" w:cstheme="majorHAnsi"/>
          <w:sz w:val="22"/>
          <w:szCs w:val="22"/>
          <w:lang w:val="en-US"/>
        </w:rPr>
      </w:pPr>
      <w:r w:rsidRPr="00AA04A4">
        <w:rPr>
          <w:rFonts w:asciiTheme="majorHAnsi" w:hAnsiTheme="majorHAnsi" w:cstheme="majorHAnsi"/>
          <w:sz w:val="22"/>
          <w:szCs w:val="22"/>
          <w:lang w:val="en-US"/>
        </w:rPr>
        <w:t xml:space="preserve">where </w:t>
      </w:r>
      <m:oMath>
        <m:acc>
          <m:accPr>
            <m:chr m:val="̅"/>
            <m:ctrlPr>
              <w:rPr>
                <w:rFonts w:ascii="Cambria Math" w:hAnsi="Cambria Math" w:cstheme="majorHAnsi"/>
                <w:i/>
                <w:iCs/>
                <w:sz w:val="22"/>
                <w:szCs w:val="22"/>
                <w:lang w:val="en-US"/>
              </w:rPr>
            </m:ctrlPr>
          </m:accPr>
          <m:e>
            <m:r>
              <w:rPr>
                <w:rFonts w:ascii="Cambria Math" w:hAnsi="Cambria Math" w:cstheme="majorHAnsi"/>
                <w:sz w:val="22"/>
                <w:szCs w:val="22"/>
                <w:lang w:val="en-US"/>
              </w:rPr>
              <m:t>Y</m:t>
            </m:r>
          </m:e>
        </m:acc>
      </m:oMath>
      <w:r w:rsidRPr="00AA04A4">
        <w:rPr>
          <w:rFonts w:asciiTheme="majorHAnsi" w:hAnsiTheme="majorHAnsi" w:cstheme="majorHAnsi"/>
          <w:sz w:val="22"/>
          <w:szCs w:val="22"/>
          <w:lang w:val="en-US"/>
        </w:rPr>
        <w:t xml:space="preserve"> is the average of the outcome variable (such as subject grades and attendance rates).</w:t>
      </w:r>
      <w:r w:rsidR="00D434EB">
        <w:rPr>
          <w:rFonts w:asciiTheme="majorHAnsi" w:hAnsiTheme="majorHAnsi" w:cstheme="majorHAnsi"/>
          <w:sz w:val="22"/>
          <w:szCs w:val="22"/>
          <w:lang w:val="en-US"/>
        </w:rPr>
        <w:t xml:space="preserve"> </w:t>
      </w:r>
      <w:r w:rsidRPr="00AA04A4">
        <w:rPr>
          <w:rFonts w:asciiTheme="majorHAnsi" w:hAnsiTheme="majorHAnsi" w:cstheme="majorHAnsi"/>
          <w:i/>
          <w:iCs/>
          <w:color w:val="000000"/>
          <w:sz w:val="22"/>
          <w:szCs w:val="22"/>
          <w:lang w:val="en-US"/>
        </w:rPr>
        <w:t>Panel DID Regression</w:t>
      </w:r>
      <w:r w:rsidR="00796BFA">
        <w:rPr>
          <w:rFonts w:asciiTheme="majorHAnsi" w:hAnsiTheme="majorHAnsi" w:cstheme="majorHAnsi"/>
          <w:i/>
          <w:iCs/>
          <w:color w:val="000000"/>
          <w:sz w:val="22"/>
          <w:szCs w:val="22"/>
          <w:lang w:val="en-US"/>
        </w:rPr>
        <w:t>.</w:t>
      </w:r>
    </w:p>
    <w:p w14:paraId="2BD7FF64" w14:textId="77777777" w:rsidR="008D0CAD" w:rsidRPr="00AA04A4" w:rsidRDefault="008D0CAD" w:rsidP="00796BFA">
      <w:pPr>
        <w:spacing w:before="100" w:beforeAutospacing="1" w:after="100" w:afterAutospacing="1" w:line="360" w:lineRule="auto"/>
        <w:ind w:right="245"/>
        <w:rPr>
          <w:rFonts w:asciiTheme="majorHAnsi" w:hAnsiTheme="majorHAnsi" w:cstheme="majorHAnsi"/>
          <w:sz w:val="22"/>
          <w:szCs w:val="22"/>
          <w:lang w:val="en-US"/>
        </w:rPr>
      </w:pPr>
      <w:r w:rsidRPr="00AA04A4">
        <w:rPr>
          <w:rFonts w:asciiTheme="majorHAnsi" w:hAnsiTheme="majorHAnsi" w:cstheme="majorHAnsi"/>
          <w:sz w:val="22"/>
          <w:szCs w:val="22"/>
          <w:lang w:val="en-US"/>
        </w:rPr>
        <w:t xml:space="preserve">A positive DID implies positive effects of the BEST Program, that is, a positive DID means there was a higher increase in grades in </w:t>
      </w:r>
      <w:r w:rsidRPr="00AA04A4">
        <w:rPr>
          <w:rFonts w:asciiTheme="majorHAnsi" w:hAnsiTheme="majorHAnsi" w:cstheme="majorHAnsi"/>
          <w:sz w:val="22"/>
          <w:szCs w:val="22"/>
          <w:lang w:val="en-GB"/>
        </w:rPr>
        <w:t xml:space="preserve">the </w:t>
      </w:r>
      <w:r w:rsidRPr="00AA04A4">
        <w:rPr>
          <w:rFonts w:asciiTheme="majorHAnsi" w:hAnsiTheme="majorHAnsi" w:cstheme="majorHAnsi"/>
          <w:sz w:val="22"/>
          <w:szCs w:val="22"/>
          <w:lang w:val="en-US"/>
        </w:rPr>
        <w:t xml:space="preserve">direct recipient schools relative to the </w:t>
      </w:r>
      <w:r w:rsidRPr="00AA04A4">
        <w:rPr>
          <w:rFonts w:asciiTheme="majorHAnsi" w:hAnsiTheme="majorHAnsi" w:cstheme="majorHAnsi"/>
          <w:sz w:val="22"/>
          <w:szCs w:val="22"/>
          <w:lang w:val="en-GB"/>
        </w:rPr>
        <w:t>in</w:t>
      </w:r>
      <w:r w:rsidRPr="00AA04A4">
        <w:rPr>
          <w:rFonts w:asciiTheme="majorHAnsi" w:hAnsiTheme="majorHAnsi" w:cstheme="majorHAnsi"/>
          <w:sz w:val="22"/>
          <w:szCs w:val="22"/>
          <w:lang w:val="en-US"/>
        </w:rPr>
        <w:t>direct recipient schools.</w:t>
      </w:r>
    </w:p>
    <w:p w14:paraId="186D695C" w14:textId="77777777" w:rsidR="008D0CAD" w:rsidRPr="00AA04A4" w:rsidRDefault="008D0CAD" w:rsidP="00796BFA">
      <w:pPr>
        <w:spacing w:before="100" w:beforeAutospacing="1" w:after="100" w:afterAutospacing="1" w:line="360" w:lineRule="auto"/>
        <w:ind w:right="245"/>
        <w:rPr>
          <w:rFonts w:asciiTheme="majorHAnsi" w:hAnsiTheme="majorHAnsi" w:cstheme="majorHAnsi"/>
          <w:sz w:val="22"/>
          <w:szCs w:val="22"/>
          <w:lang w:val="en-US"/>
        </w:rPr>
      </w:pPr>
      <w:r w:rsidRPr="00AA04A4">
        <w:rPr>
          <w:rFonts w:asciiTheme="majorHAnsi" w:hAnsiTheme="majorHAnsi" w:cstheme="majorHAnsi"/>
          <w:sz w:val="22"/>
          <w:szCs w:val="22"/>
          <w:lang w:val="en-US"/>
        </w:rPr>
        <w:t>The assumptions used in the Pooled DID analysis were as follows:</w:t>
      </w:r>
    </w:p>
    <w:p w14:paraId="386FB395" w14:textId="77777777" w:rsidR="008D0CAD" w:rsidRPr="00AA04A4" w:rsidRDefault="008D0CAD" w:rsidP="00796BFA">
      <w:pPr>
        <w:numPr>
          <w:ilvl w:val="0"/>
          <w:numId w:val="150"/>
        </w:numPr>
        <w:spacing w:before="100" w:beforeAutospacing="1" w:after="100" w:afterAutospacing="1" w:line="360" w:lineRule="auto"/>
        <w:contextualSpacing/>
        <w:rPr>
          <w:rFonts w:asciiTheme="majorHAnsi" w:hAnsiTheme="majorHAnsi" w:cstheme="majorHAnsi"/>
          <w:sz w:val="22"/>
          <w:szCs w:val="22"/>
          <w:lang w:val="en-US"/>
        </w:rPr>
      </w:pPr>
      <w:r w:rsidRPr="00AA04A4">
        <w:rPr>
          <w:rFonts w:asciiTheme="majorHAnsi" w:hAnsiTheme="majorHAnsi" w:cstheme="majorHAnsi"/>
          <w:sz w:val="22"/>
          <w:szCs w:val="22"/>
          <w:lang w:val="en-US"/>
        </w:rPr>
        <w:t>The Baseline used was SY2016-17 because the commencement dates of the Program interventions in all the schools in the sample was this year;</w:t>
      </w:r>
    </w:p>
    <w:p w14:paraId="304927B5" w14:textId="77777777" w:rsidR="008D0CAD" w:rsidRPr="00AA04A4" w:rsidRDefault="008D0CAD" w:rsidP="00796BFA">
      <w:pPr>
        <w:numPr>
          <w:ilvl w:val="0"/>
          <w:numId w:val="150"/>
        </w:numPr>
        <w:spacing w:before="100" w:beforeAutospacing="1" w:after="100" w:afterAutospacing="1" w:line="360" w:lineRule="auto"/>
        <w:contextualSpacing/>
        <w:rPr>
          <w:rFonts w:asciiTheme="majorHAnsi" w:hAnsiTheme="majorHAnsi" w:cstheme="majorHAnsi"/>
          <w:sz w:val="22"/>
          <w:szCs w:val="22"/>
          <w:lang w:val="en-US"/>
        </w:rPr>
      </w:pPr>
      <w:r w:rsidRPr="00AA04A4">
        <w:rPr>
          <w:rFonts w:asciiTheme="majorHAnsi" w:hAnsiTheme="majorHAnsi" w:cstheme="majorHAnsi"/>
          <w:sz w:val="22"/>
          <w:szCs w:val="22"/>
          <w:lang w:val="en-US"/>
        </w:rPr>
        <w:t>The End-line used was SY2017-18 since no observations were observed after this school year and thus the fermentation effects of the Program could not be observed;</w:t>
      </w:r>
    </w:p>
    <w:p w14:paraId="018516A9" w14:textId="77777777" w:rsidR="008D0CAD" w:rsidRPr="00AA04A4" w:rsidRDefault="008D0CAD" w:rsidP="00796BFA">
      <w:pPr>
        <w:numPr>
          <w:ilvl w:val="0"/>
          <w:numId w:val="150"/>
        </w:numPr>
        <w:spacing w:before="100" w:beforeAutospacing="1" w:after="100" w:afterAutospacing="1" w:line="360" w:lineRule="auto"/>
        <w:contextualSpacing/>
        <w:rPr>
          <w:rFonts w:asciiTheme="majorHAnsi" w:hAnsiTheme="majorHAnsi" w:cstheme="majorHAnsi"/>
          <w:sz w:val="22"/>
          <w:szCs w:val="22"/>
          <w:lang w:val="en-US"/>
        </w:rPr>
      </w:pPr>
      <w:r w:rsidRPr="00AA04A4">
        <w:rPr>
          <w:rFonts w:asciiTheme="majorHAnsi" w:hAnsiTheme="majorHAnsi" w:cstheme="majorHAnsi"/>
          <w:sz w:val="22"/>
          <w:szCs w:val="22"/>
          <w:lang w:val="en-US"/>
        </w:rPr>
        <w:t>It assumed that the performance of the different batches of students did not vary through time;</w:t>
      </w:r>
    </w:p>
    <w:p w14:paraId="69C304F1" w14:textId="77777777" w:rsidR="008D0CAD" w:rsidRPr="00AA04A4" w:rsidRDefault="008D0CAD" w:rsidP="00796BFA">
      <w:pPr>
        <w:numPr>
          <w:ilvl w:val="0"/>
          <w:numId w:val="150"/>
        </w:numPr>
        <w:spacing w:before="100" w:beforeAutospacing="1" w:after="100" w:afterAutospacing="1" w:line="360" w:lineRule="auto"/>
        <w:contextualSpacing/>
        <w:rPr>
          <w:rFonts w:asciiTheme="majorHAnsi" w:hAnsiTheme="majorHAnsi" w:cstheme="majorHAnsi"/>
          <w:sz w:val="22"/>
          <w:szCs w:val="22"/>
          <w:lang w:val="en-US"/>
        </w:rPr>
      </w:pPr>
      <w:r w:rsidRPr="00AA04A4">
        <w:rPr>
          <w:rFonts w:asciiTheme="majorHAnsi" w:hAnsiTheme="majorHAnsi" w:cstheme="majorHAnsi"/>
          <w:sz w:val="22"/>
          <w:szCs w:val="22"/>
          <w:lang w:val="en-US"/>
        </w:rPr>
        <w:t xml:space="preserve">Other interventions were administered to all schools, or were not implemented exclusively in either direct recipient schools or </w:t>
      </w:r>
      <w:r w:rsidRPr="00AA04A4">
        <w:rPr>
          <w:rFonts w:asciiTheme="majorHAnsi" w:hAnsiTheme="majorHAnsi" w:cstheme="majorHAnsi"/>
          <w:sz w:val="22"/>
          <w:szCs w:val="22"/>
          <w:lang w:val="en-GB"/>
        </w:rPr>
        <w:t>in</w:t>
      </w:r>
      <w:r w:rsidRPr="00AA04A4">
        <w:rPr>
          <w:rFonts w:asciiTheme="majorHAnsi" w:hAnsiTheme="majorHAnsi" w:cstheme="majorHAnsi"/>
          <w:sz w:val="22"/>
          <w:szCs w:val="22"/>
          <w:lang w:val="en-US"/>
        </w:rPr>
        <w:t>direct recipient schools; and</w:t>
      </w:r>
    </w:p>
    <w:p w14:paraId="79A1908D" w14:textId="77777777" w:rsidR="008D0CAD" w:rsidRPr="00AA04A4" w:rsidRDefault="008D0CAD" w:rsidP="00796BFA">
      <w:pPr>
        <w:numPr>
          <w:ilvl w:val="0"/>
          <w:numId w:val="150"/>
        </w:numPr>
        <w:spacing w:before="100" w:beforeAutospacing="1" w:after="100" w:afterAutospacing="1" w:line="360" w:lineRule="auto"/>
        <w:rPr>
          <w:rFonts w:asciiTheme="majorHAnsi" w:hAnsiTheme="majorHAnsi" w:cstheme="majorHAnsi"/>
          <w:sz w:val="22"/>
          <w:szCs w:val="22"/>
          <w:lang w:val="en-US"/>
        </w:rPr>
      </w:pPr>
      <w:r w:rsidRPr="00AA04A4">
        <w:rPr>
          <w:rFonts w:asciiTheme="majorHAnsi" w:hAnsiTheme="majorHAnsi" w:cstheme="majorHAnsi"/>
          <w:sz w:val="22"/>
          <w:szCs w:val="22"/>
          <w:lang w:val="en-US"/>
        </w:rPr>
        <w:t xml:space="preserve">Other characteristics of the schools, teachers, and students were homogenous across direct recipient schools or </w:t>
      </w:r>
      <w:r w:rsidRPr="00AA04A4">
        <w:rPr>
          <w:rFonts w:asciiTheme="majorHAnsi" w:hAnsiTheme="majorHAnsi" w:cstheme="majorHAnsi"/>
          <w:sz w:val="22"/>
          <w:szCs w:val="22"/>
          <w:lang w:val="en-GB"/>
        </w:rPr>
        <w:t>in</w:t>
      </w:r>
      <w:r w:rsidRPr="00AA04A4">
        <w:rPr>
          <w:rFonts w:asciiTheme="majorHAnsi" w:hAnsiTheme="majorHAnsi" w:cstheme="majorHAnsi"/>
          <w:sz w:val="22"/>
          <w:szCs w:val="22"/>
          <w:lang w:val="en-US"/>
        </w:rPr>
        <w:t>direct recipient schools.</w:t>
      </w:r>
    </w:p>
    <w:p w14:paraId="46337851" w14:textId="5FD817BD" w:rsidR="008D0CAD" w:rsidRPr="00AA04A4" w:rsidRDefault="008D0CAD" w:rsidP="00796BFA">
      <w:pPr>
        <w:spacing w:before="100" w:beforeAutospacing="1" w:after="100" w:afterAutospacing="1" w:line="360" w:lineRule="auto"/>
        <w:ind w:right="245"/>
        <w:rPr>
          <w:rFonts w:asciiTheme="majorHAnsi" w:hAnsiTheme="majorHAnsi" w:cstheme="majorHAnsi"/>
          <w:sz w:val="22"/>
          <w:szCs w:val="22"/>
          <w:lang w:val="en-US"/>
        </w:rPr>
      </w:pPr>
      <w:r w:rsidRPr="00AA04A4">
        <w:rPr>
          <w:rFonts w:asciiTheme="majorHAnsi" w:hAnsiTheme="majorHAnsi" w:cstheme="majorHAnsi"/>
          <w:sz w:val="22"/>
          <w:szCs w:val="22"/>
          <w:lang w:val="en-US"/>
        </w:rPr>
        <w:t>Moreover,</w:t>
      </w:r>
      <w:r w:rsidRPr="00AA04A4">
        <w:rPr>
          <w:rFonts w:asciiTheme="majorHAnsi" w:hAnsiTheme="majorHAnsi" w:cstheme="majorHAnsi"/>
          <w:b/>
          <w:sz w:val="22"/>
          <w:szCs w:val="22"/>
          <w:lang w:val="en-US"/>
        </w:rPr>
        <w:t xml:space="preserve"> </w:t>
      </w:r>
      <w:r w:rsidRPr="00AA04A4">
        <w:rPr>
          <w:rFonts w:asciiTheme="majorHAnsi" w:hAnsiTheme="majorHAnsi" w:cstheme="majorHAnsi"/>
          <w:sz w:val="22"/>
          <w:szCs w:val="22"/>
          <w:lang w:val="en-US"/>
        </w:rPr>
        <w:t xml:space="preserve">due to the small sample size collected, results of the following analyses are applicable only to the 16 direct recipient schools and 9 </w:t>
      </w:r>
      <w:r w:rsidRPr="00AA04A4">
        <w:rPr>
          <w:rFonts w:asciiTheme="majorHAnsi" w:hAnsiTheme="majorHAnsi" w:cstheme="majorHAnsi"/>
          <w:sz w:val="22"/>
          <w:szCs w:val="22"/>
          <w:lang w:val="en-GB"/>
        </w:rPr>
        <w:t>in</w:t>
      </w:r>
      <w:r w:rsidRPr="00AA04A4">
        <w:rPr>
          <w:rFonts w:asciiTheme="majorHAnsi" w:hAnsiTheme="majorHAnsi" w:cstheme="majorHAnsi"/>
          <w:sz w:val="22"/>
          <w:szCs w:val="22"/>
          <w:lang w:val="en-US"/>
        </w:rPr>
        <w:t xml:space="preserve">direct recipient schools. Conclusions made from this data can neither be generalised </w:t>
      </w:r>
      <w:r w:rsidR="008D7B77">
        <w:rPr>
          <w:rFonts w:asciiTheme="majorHAnsi" w:hAnsiTheme="majorHAnsi" w:cstheme="majorHAnsi"/>
          <w:sz w:val="22"/>
          <w:szCs w:val="22"/>
          <w:lang w:val="en-US"/>
        </w:rPr>
        <w:t>at</w:t>
      </w:r>
      <w:r w:rsidRPr="00AA04A4">
        <w:rPr>
          <w:rFonts w:asciiTheme="majorHAnsi" w:hAnsiTheme="majorHAnsi" w:cstheme="majorHAnsi"/>
          <w:sz w:val="22"/>
          <w:szCs w:val="22"/>
          <w:lang w:val="en-US"/>
        </w:rPr>
        <w:t xml:space="preserve"> the regional level nor at the national level.</w:t>
      </w:r>
      <w:r w:rsidR="00D434EB">
        <w:rPr>
          <w:rFonts w:asciiTheme="majorHAnsi" w:hAnsiTheme="majorHAnsi" w:cstheme="majorHAnsi"/>
          <w:sz w:val="22"/>
          <w:szCs w:val="22"/>
          <w:lang w:val="en-US"/>
        </w:rPr>
        <w:t xml:space="preserve"> </w:t>
      </w:r>
      <w:r w:rsidRPr="00AA04A4">
        <w:rPr>
          <w:rFonts w:asciiTheme="majorHAnsi" w:hAnsiTheme="majorHAnsi" w:cstheme="majorHAnsi"/>
          <w:sz w:val="22"/>
          <w:szCs w:val="22"/>
          <w:lang w:val="en-US"/>
        </w:rPr>
        <w:t xml:space="preserve"> </w:t>
      </w:r>
      <w:r w:rsidRPr="00AA04A4">
        <w:rPr>
          <w:rFonts w:asciiTheme="majorHAnsi" w:hAnsiTheme="majorHAnsi" w:cstheme="majorHAnsi"/>
          <w:bCs/>
          <w:color w:val="000000" w:themeColor="text1"/>
          <w:sz w:val="22"/>
          <w:szCs w:val="22"/>
          <w:lang w:val="en-US"/>
        </w:rPr>
        <w:t>The small sample size prevented the crafting of a general conclusion applicable to all the schools in the BEST supported regions.</w:t>
      </w:r>
    </w:p>
    <w:p w14:paraId="3F9BA872" w14:textId="77777777" w:rsidR="008D0CAD" w:rsidRPr="00AA04A4" w:rsidRDefault="008D0CAD" w:rsidP="00796BFA">
      <w:pPr>
        <w:spacing w:before="100" w:beforeAutospacing="1" w:after="100" w:afterAutospacing="1" w:line="360" w:lineRule="auto"/>
        <w:ind w:right="245"/>
        <w:rPr>
          <w:rFonts w:asciiTheme="majorHAnsi" w:hAnsiTheme="majorHAnsi" w:cstheme="majorHAnsi"/>
          <w:sz w:val="22"/>
          <w:szCs w:val="22"/>
          <w:lang w:val="en-US"/>
        </w:rPr>
      </w:pPr>
      <w:r w:rsidRPr="00AA04A4">
        <w:rPr>
          <w:rFonts w:asciiTheme="majorHAnsi" w:hAnsiTheme="majorHAnsi" w:cstheme="majorHAnsi"/>
          <w:sz w:val="22"/>
          <w:szCs w:val="22"/>
          <w:lang w:val="en-US"/>
        </w:rPr>
        <w:t>Thus, no further analysis was done on the average grades by subject.</w:t>
      </w:r>
    </w:p>
    <w:p w14:paraId="519A0244" w14:textId="77777777" w:rsidR="008D0CAD" w:rsidRPr="00AA04A4" w:rsidRDefault="008D0CAD" w:rsidP="00796BFA">
      <w:pPr>
        <w:spacing w:before="100" w:beforeAutospacing="1" w:after="100" w:afterAutospacing="1" w:line="360" w:lineRule="auto"/>
        <w:rPr>
          <w:rFonts w:asciiTheme="majorHAnsi" w:hAnsiTheme="majorHAnsi" w:cstheme="majorHAnsi"/>
          <w:b/>
          <w:bCs/>
          <w:lang w:val="en-US"/>
        </w:rPr>
      </w:pPr>
      <w:bookmarkStart w:id="394" w:name="_Toc15638012"/>
      <w:r w:rsidRPr="00AA04A4">
        <w:rPr>
          <w:rFonts w:asciiTheme="majorHAnsi" w:hAnsiTheme="majorHAnsi" w:cstheme="majorHAnsi"/>
          <w:b/>
          <w:bCs/>
          <w:lang w:val="en-US"/>
        </w:rPr>
        <w:t>Average Grade by School</w:t>
      </w:r>
      <w:bookmarkEnd w:id="394"/>
    </w:p>
    <w:p w14:paraId="1C55D747" w14:textId="1E8266B3" w:rsidR="008D0CAD" w:rsidRPr="00AA04A4" w:rsidRDefault="008D0CAD" w:rsidP="00796BFA">
      <w:pPr>
        <w:spacing w:before="100" w:beforeAutospacing="1" w:after="100" w:afterAutospacing="1" w:line="360" w:lineRule="auto"/>
        <w:rPr>
          <w:rFonts w:asciiTheme="majorHAnsi" w:hAnsiTheme="majorHAnsi" w:cstheme="majorHAnsi"/>
          <w:sz w:val="22"/>
          <w:szCs w:val="22"/>
          <w:lang w:val="en-US"/>
        </w:rPr>
      </w:pPr>
      <w:r w:rsidRPr="00AA04A4">
        <w:rPr>
          <w:rFonts w:asciiTheme="majorHAnsi" w:hAnsiTheme="majorHAnsi" w:cstheme="majorHAnsi"/>
          <w:bCs/>
          <w:color w:val="000000" w:themeColor="text1"/>
          <w:sz w:val="22"/>
          <w:szCs w:val="22"/>
          <w:lang w:val="en-US"/>
        </w:rPr>
        <w:t>Because the data obtained from the schools was not sufficient to conduct an analysis, the EOPE Study analysed data previously provided by the BEST Program. This data set was the one used to identify the reduced population used in the preceding DID calculations.</w:t>
      </w:r>
      <w:r w:rsidRPr="00AA04A4">
        <w:rPr>
          <w:rFonts w:asciiTheme="majorHAnsi" w:hAnsiTheme="majorHAnsi" w:cstheme="majorHAnsi"/>
          <w:color w:val="000000" w:themeColor="text1"/>
          <w:sz w:val="22"/>
          <w:szCs w:val="22"/>
          <w:lang w:val="en-US"/>
        </w:rPr>
        <w:t xml:space="preserve"> The 673 direct recipient schools came from the same divisions where the 106 schools in the study sample were taken from.</w:t>
      </w:r>
      <w:r w:rsidR="00D434EB">
        <w:rPr>
          <w:rFonts w:asciiTheme="majorHAnsi" w:hAnsiTheme="majorHAnsi" w:cstheme="majorHAnsi"/>
          <w:color w:val="000000" w:themeColor="text1"/>
          <w:sz w:val="22"/>
          <w:szCs w:val="22"/>
          <w:lang w:val="en-US"/>
        </w:rPr>
        <w:t xml:space="preserve"> </w:t>
      </w:r>
      <w:r w:rsidRPr="00AA04A4">
        <w:rPr>
          <w:rFonts w:asciiTheme="majorHAnsi" w:hAnsiTheme="majorHAnsi" w:cstheme="majorHAnsi"/>
          <w:color w:val="000000" w:themeColor="text1"/>
          <w:sz w:val="22"/>
          <w:szCs w:val="22"/>
          <w:lang w:val="en-US"/>
        </w:rPr>
        <w:t>Of these 673 schools, three schools (0.4%) received program interventions in SY2015-16, 239 schools (35.5%) received interventions in SY2016-17 and 431 schools (64%) received interventions in SY2017-18 (Table 1).</w:t>
      </w:r>
      <w:r w:rsidR="00D434EB">
        <w:rPr>
          <w:rFonts w:asciiTheme="majorHAnsi" w:hAnsiTheme="majorHAnsi" w:cstheme="majorHAnsi"/>
          <w:color w:val="000000" w:themeColor="text1"/>
          <w:sz w:val="22"/>
          <w:szCs w:val="22"/>
          <w:lang w:val="en-US"/>
        </w:rPr>
        <w:t xml:space="preserve"> </w:t>
      </w:r>
      <w:r w:rsidRPr="00AA04A4">
        <w:rPr>
          <w:rFonts w:asciiTheme="majorHAnsi" w:hAnsiTheme="majorHAnsi" w:cstheme="majorHAnsi"/>
          <w:sz w:val="22"/>
          <w:szCs w:val="22"/>
          <w:lang w:val="en-US"/>
        </w:rPr>
        <w:t>The data set consisted of the average grades of direct recipient schools from SY2014-15 to SY2017-18 by grade level but not segregated by sex.</w:t>
      </w:r>
      <w:r w:rsidR="00D434EB">
        <w:rPr>
          <w:rFonts w:asciiTheme="majorHAnsi" w:hAnsiTheme="majorHAnsi" w:cstheme="majorHAnsi"/>
          <w:sz w:val="22"/>
          <w:szCs w:val="22"/>
          <w:lang w:val="en-US"/>
        </w:rPr>
        <w:t xml:space="preserve"> </w:t>
      </w:r>
      <w:r w:rsidRPr="00AA04A4">
        <w:rPr>
          <w:rFonts w:asciiTheme="majorHAnsi" w:hAnsiTheme="majorHAnsi" w:cstheme="majorHAnsi"/>
          <w:sz w:val="22"/>
          <w:szCs w:val="22"/>
          <w:lang w:val="en-US"/>
        </w:rPr>
        <w:t xml:space="preserve">Observations with missing average grades were excluded from the analysis resulting in the reduction of the number of observations to </w:t>
      </w:r>
      <w:r w:rsidRPr="00AA04A4">
        <w:rPr>
          <w:rFonts w:asciiTheme="majorHAnsi" w:hAnsiTheme="majorHAnsi" w:cstheme="majorHAnsi"/>
          <w:b/>
          <w:color w:val="000000" w:themeColor="text1"/>
          <w:sz w:val="22"/>
          <w:szCs w:val="22"/>
          <w:lang w:val="en-US"/>
        </w:rPr>
        <w:t xml:space="preserve">597 </w:t>
      </w:r>
      <w:r w:rsidRPr="00AA04A4">
        <w:rPr>
          <w:rFonts w:asciiTheme="majorHAnsi" w:hAnsiTheme="majorHAnsi" w:cstheme="majorHAnsi"/>
          <w:b/>
          <w:sz w:val="22"/>
          <w:szCs w:val="22"/>
          <w:lang w:val="en-US"/>
        </w:rPr>
        <w:t>direct recipient schools</w:t>
      </w:r>
      <w:r w:rsidRPr="00AA04A4">
        <w:rPr>
          <w:rFonts w:asciiTheme="majorHAnsi" w:hAnsiTheme="majorHAnsi" w:cstheme="majorHAnsi"/>
          <w:sz w:val="22"/>
          <w:szCs w:val="22"/>
          <w:lang w:val="en-US"/>
        </w:rPr>
        <w:t>.</w:t>
      </w:r>
      <w:r w:rsidR="00D434EB">
        <w:rPr>
          <w:rFonts w:asciiTheme="majorHAnsi" w:hAnsiTheme="majorHAnsi" w:cstheme="majorHAnsi"/>
          <w:sz w:val="22"/>
          <w:szCs w:val="22"/>
          <w:lang w:val="en-US"/>
        </w:rPr>
        <w:t xml:space="preserve"> </w:t>
      </w:r>
    </w:p>
    <w:p w14:paraId="72BEE5AC" w14:textId="25CCAD92" w:rsidR="008D0CAD" w:rsidRPr="005424E3" w:rsidRDefault="008D0CAD" w:rsidP="00796BFA">
      <w:pPr>
        <w:spacing w:before="100" w:beforeAutospacing="1" w:after="100" w:afterAutospacing="1" w:line="360" w:lineRule="auto"/>
        <w:rPr>
          <w:rFonts w:asciiTheme="majorHAnsi" w:hAnsiTheme="majorHAnsi" w:cstheme="majorHAnsi"/>
          <w:bCs/>
          <w:i/>
          <w:color w:val="44546A" w:themeColor="text2"/>
          <w:sz w:val="22"/>
          <w:szCs w:val="22"/>
          <w:lang w:val="en-US"/>
        </w:rPr>
      </w:pPr>
      <w:bookmarkStart w:id="395" w:name="_Toc11510969"/>
      <w:bookmarkStart w:id="396" w:name="_Toc15638036"/>
      <w:bookmarkStart w:id="397" w:name="_Toc71616634"/>
      <w:r w:rsidRPr="005424E3">
        <w:rPr>
          <w:rFonts w:asciiTheme="majorHAnsi" w:hAnsiTheme="majorHAnsi" w:cstheme="majorHAnsi"/>
          <w:bCs/>
          <w:i/>
          <w:color w:val="44546A" w:themeColor="text2"/>
          <w:sz w:val="22"/>
          <w:szCs w:val="22"/>
          <w:lang w:val="en-US"/>
        </w:rPr>
        <w:t xml:space="preserve">Table </w:t>
      </w:r>
      <w:r w:rsidRPr="005424E3">
        <w:rPr>
          <w:rFonts w:asciiTheme="majorHAnsi" w:hAnsiTheme="majorHAnsi" w:cstheme="majorHAnsi"/>
          <w:bCs/>
          <w:i/>
          <w:color w:val="44546A" w:themeColor="text2"/>
          <w:sz w:val="22"/>
          <w:szCs w:val="22"/>
          <w:lang w:val="en-US"/>
        </w:rPr>
        <w:fldChar w:fldCharType="begin"/>
      </w:r>
      <w:r w:rsidRPr="005424E3">
        <w:rPr>
          <w:rFonts w:asciiTheme="majorHAnsi" w:hAnsiTheme="majorHAnsi" w:cstheme="majorHAnsi"/>
          <w:bCs/>
          <w:i/>
          <w:color w:val="44546A" w:themeColor="text2"/>
          <w:sz w:val="22"/>
          <w:szCs w:val="22"/>
          <w:lang w:val="en-US"/>
        </w:rPr>
        <w:instrText xml:space="preserve"> SEQ Table \* ARABIC </w:instrText>
      </w:r>
      <w:r w:rsidRPr="005424E3">
        <w:rPr>
          <w:rFonts w:asciiTheme="majorHAnsi" w:hAnsiTheme="majorHAnsi" w:cstheme="majorHAnsi"/>
          <w:bCs/>
          <w:i/>
          <w:color w:val="44546A" w:themeColor="text2"/>
          <w:sz w:val="22"/>
          <w:szCs w:val="22"/>
          <w:lang w:val="en-US"/>
        </w:rPr>
        <w:fldChar w:fldCharType="separate"/>
      </w:r>
      <w:r w:rsidR="00D6133D">
        <w:rPr>
          <w:rFonts w:asciiTheme="majorHAnsi" w:hAnsiTheme="majorHAnsi" w:cstheme="majorHAnsi"/>
          <w:bCs/>
          <w:i/>
          <w:noProof/>
          <w:color w:val="44546A" w:themeColor="text2"/>
          <w:sz w:val="22"/>
          <w:szCs w:val="22"/>
          <w:lang w:val="en-US"/>
        </w:rPr>
        <w:t>43</w:t>
      </w:r>
      <w:r w:rsidRPr="005424E3">
        <w:rPr>
          <w:rFonts w:asciiTheme="majorHAnsi" w:hAnsiTheme="majorHAnsi" w:cstheme="majorHAnsi"/>
          <w:bCs/>
          <w:i/>
          <w:color w:val="44546A" w:themeColor="text2"/>
          <w:sz w:val="22"/>
          <w:szCs w:val="22"/>
          <w:lang w:val="en-US"/>
        </w:rPr>
        <w:fldChar w:fldCharType="end"/>
      </w:r>
      <w:r w:rsidRPr="005424E3">
        <w:rPr>
          <w:rFonts w:asciiTheme="majorHAnsi" w:hAnsiTheme="majorHAnsi" w:cstheme="majorHAnsi"/>
          <w:bCs/>
          <w:i/>
          <w:color w:val="44546A" w:themeColor="text2"/>
          <w:sz w:val="22"/>
          <w:szCs w:val="22"/>
          <w:lang w:val="en-US"/>
        </w:rPr>
        <w:t>.</w:t>
      </w:r>
      <w:r w:rsidRPr="005424E3">
        <w:rPr>
          <w:rFonts w:asciiTheme="majorHAnsi" w:hAnsiTheme="majorHAnsi" w:cstheme="majorHAnsi"/>
          <w:bCs/>
          <w:i/>
          <w:color w:val="44546A" w:themeColor="text2"/>
          <w:sz w:val="22"/>
          <w:szCs w:val="22"/>
        </w:rPr>
        <w:t>Number of Interventions by School Year (n=673)</w:t>
      </w:r>
      <w:bookmarkEnd w:id="395"/>
      <w:bookmarkEnd w:id="396"/>
      <w:bookmarkEnd w:id="397"/>
    </w:p>
    <w:tbl>
      <w:tblPr>
        <w:tblStyle w:val="TableGrid11"/>
        <w:tblW w:w="7854" w:type="dxa"/>
        <w:tblLook w:val="0620" w:firstRow="1" w:lastRow="0" w:firstColumn="0" w:lastColumn="0" w:noHBand="1" w:noVBand="1"/>
      </w:tblPr>
      <w:tblGrid>
        <w:gridCol w:w="1621"/>
        <w:gridCol w:w="1557"/>
        <w:gridCol w:w="1558"/>
        <w:gridCol w:w="1557"/>
        <w:gridCol w:w="1561"/>
      </w:tblGrid>
      <w:tr w:rsidR="008D0CAD" w:rsidRPr="00AA04A4" w14:paraId="6C0C5BCA" w14:textId="77777777" w:rsidTr="00F4751F">
        <w:trPr>
          <w:trHeight w:val="238"/>
          <w:tblHeader/>
        </w:trPr>
        <w:tc>
          <w:tcPr>
            <w:tcW w:w="0" w:type="auto"/>
            <w:tcBorders>
              <w:bottom w:val="nil"/>
            </w:tcBorders>
            <w:hideMark/>
          </w:tcPr>
          <w:p w14:paraId="0EEBA438" w14:textId="77777777" w:rsidR="008D0CAD" w:rsidRPr="00AA04A4" w:rsidRDefault="008D0CAD" w:rsidP="00796BFA">
            <w:pPr>
              <w:spacing w:before="100" w:beforeAutospacing="1" w:after="100" w:afterAutospacing="1" w:line="360" w:lineRule="auto"/>
              <w:rPr>
                <w:rFonts w:asciiTheme="majorHAnsi" w:hAnsiTheme="majorHAnsi" w:cstheme="majorHAnsi"/>
                <w:sz w:val="20"/>
                <w:szCs w:val="20"/>
                <w:lang w:val="en-US"/>
              </w:rPr>
            </w:pPr>
          </w:p>
        </w:tc>
        <w:tc>
          <w:tcPr>
            <w:tcW w:w="1557" w:type="dxa"/>
            <w:tcBorders>
              <w:right w:val="nil"/>
            </w:tcBorders>
          </w:tcPr>
          <w:p w14:paraId="0107B0FE" w14:textId="036B033C" w:rsidR="008D0CAD" w:rsidRPr="00AA04A4" w:rsidRDefault="008D0CAD" w:rsidP="00796BFA">
            <w:pPr>
              <w:spacing w:before="100" w:beforeAutospacing="1" w:after="100" w:afterAutospacing="1" w:line="360" w:lineRule="auto"/>
              <w:rPr>
                <w:rFonts w:asciiTheme="majorHAnsi" w:hAnsiTheme="majorHAnsi" w:cstheme="majorHAnsi"/>
                <w:sz w:val="20"/>
                <w:szCs w:val="20"/>
                <w:lang w:val="en-US"/>
              </w:rPr>
            </w:pPr>
          </w:p>
        </w:tc>
        <w:tc>
          <w:tcPr>
            <w:tcW w:w="1558" w:type="dxa"/>
            <w:tcBorders>
              <w:left w:val="nil"/>
              <w:right w:val="nil"/>
            </w:tcBorders>
          </w:tcPr>
          <w:p w14:paraId="1F1DC00A" w14:textId="3B67C50D" w:rsidR="008D0CAD" w:rsidRPr="00AA04A4" w:rsidRDefault="00086A22" w:rsidP="00FF4CA3">
            <w:pPr>
              <w:spacing w:before="100" w:beforeAutospacing="1" w:after="100" w:afterAutospacing="1" w:line="360" w:lineRule="auto"/>
              <w:jc w:val="right"/>
              <w:rPr>
                <w:rFonts w:asciiTheme="majorHAnsi" w:hAnsiTheme="majorHAnsi" w:cstheme="majorHAnsi"/>
                <w:sz w:val="20"/>
                <w:szCs w:val="20"/>
                <w:lang w:val="en-US"/>
              </w:rPr>
            </w:pPr>
            <w:r>
              <w:rPr>
                <w:rFonts w:asciiTheme="majorHAnsi" w:hAnsiTheme="majorHAnsi" w:cstheme="majorHAnsi"/>
                <w:b/>
                <w:bCs/>
                <w:sz w:val="20"/>
                <w:szCs w:val="20"/>
              </w:rPr>
              <w:t>School Year</w:t>
            </w:r>
            <w:r w:rsidRPr="00AA04A4" w:rsidDel="00086A22">
              <w:rPr>
                <w:rFonts w:asciiTheme="majorHAnsi" w:hAnsiTheme="majorHAnsi" w:cstheme="majorHAnsi"/>
                <w:b/>
                <w:bCs/>
                <w:sz w:val="20"/>
                <w:szCs w:val="20"/>
              </w:rPr>
              <w:t xml:space="preserve"> </w:t>
            </w:r>
          </w:p>
        </w:tc>
        <w:tc>
          <w:tcPr>
            <w:tcW w:w="1557" w:type="dxa"/>
            <w:tcBorders>
              <w:left w:val="nil"/>
              <w:right w:val="nil"/>
            </w:tcBorders>
          </w:tcPr>
          <w:p w14:paraId="535D0936" w14:textId="16FF5CAA" w:rsidR="008D0CAD" w:rsidRPr="00AA04A4" w:rsidRDefault="008D0CAD" w:rsidP="00796BFA">
            <w:pPr>
              <w:spacing w:before="100" w:beforeAutospacing="1" w:after="100" w:afterAutospacing="1" w:line="360" w:lineRule="auto"/>
              <w:rPr>
                <w:rFonts w:asciiTheme="majorHAnsi" w:hAnsiTheme="majorHAnsi" w:cstheme="majorHAnsi"/>
                <w:sz w:val="20"/>
                <w:szCs w:val="20"/>
                <w:lang w:val="en-US"/>
              </w:rPr>
            </w:pPr>
          </w:p>
        </w:tc>
        <w:tc>
          <w:tcPr>
            <w:tcW w:w="1561" w:type="dxa"/>
            <w:tcBorders>
              <w:left w:val="nil"/>
            </w:tcBorders>
          </w:tcPr>
          <w:p w14:paraId="33375032" w14:textId="5D92B089" w:rsidR="008D0CAD" w:rsidRPr="00AA04A4" w:rsidRDefault="008D0CAD" w:rsidP="00796BFA">
            <w:pPr>
              <w:spacing w:before="100" w:beforeAutospacing="1" w:after="100" w:afterAutospacing="1" w:line="360" w:lineRule="auto"/>
              <w:rPr>
                <w:rFonts w:asciiTheme="majorHAnsi" w:hAnsiTheme="majorHAnsi" w:cstheme="majorHAnsi"/>
                <w:sz w:val="20"/>
                <w:szCs w:val="20"/>
                <w:lang w:val="en-US"/>
              </w:rPr>
            </w:pPr>
          </w:p>
        </w:tc>
      </w:tr>
      <w:tr w:rsidR="00086A22" w:rsidRPr="00AA04A4" w14:paraId="0EE0AF9B" w14:textId="77777777" w:rsidTr="00F4751F">
        <w:trPr>
          <w:trHeight w:val="238"/>
          <w:tblHeader/>
        </w:trPr>
        <w:tc>
          <w:tcPr>
            <w:tcW w:w="1621" w:type="dxa"/>
            <w:tcBorders>
              <w:top w:val="nil"/>
            </w:tcBorders>
          </w:tcPr>
          <w:p w14:paraId="3C90B185" w14:textId="634E319D" w:rsidR="00086A22" w:rsidRPr="00AA04A4" w:rsidRDefault="00463E76" w:rsidP="00086A22">
            <w:pPr>
              <w:spacing w:before="100" w:beforeAutospacing="1" w:after="100" w:afterAutospacing="1" w:line="360" w:lineRule="auto"/>
              <w:rPr>
                <w:rFonts w:asciiTheme="majorHAnsi" w:hAnsiTheme="majorHAnsi" w:cstheme="majorHAnsi"/>
                <w:b/>
                <w:bCs/>
                <w:sz w:val="20"/>
                <w:szCs w:val="20"/>
              </w:rPr>
            </w:pPr>
            <w:r w:rsidRPr="00AA04A4">
              <w:rPr>
                <w:rFonts w:asciiTheme="majorHAnsi" w:hAnsiTheme="majorHAnsi" w:cstheme="majorHAnsi"/>
                <w:b/>
                <w:bCs/>
                <w:sz w:val="20"/>
                <w:szCs w:val="20"/>
              </w:rPr>
              <w:t>Intervention</w:t>
            </w:r>
          </w:p>
        </w:tc>
        <w:tc>
          <w:tcPr>
            <w:tcW w:w="1557" w:type="dxa"/>
          </w:tcPr>
          <w:p w14:paraId="15F70593" w14:textId="028EA640" w:rsidR="00086A22" w:rsidRPr="00AA04A4" w:rsidRDefault="00086A22" w:rsidP="00086A22">
            <w:pPr>
              <w:spacing w:before="100" w:beforeAutospacing="1" w:after="100" w:afterAutospacing="1" w:line="360" w:lineRule="auto"/>
              <w:rPr>
                <w:rFonts w:asciiTheme="majorHAnsi" w:hAnsiTheme="majorHAnsi" w:cstheme="majorHAnsi"/>
                <w:sz w:val="20"/>
                <w:szCs w:val="20"/>
              </w:rPr>
            </w:pPr>
            <w:r w:rsidRPr="00AA04A4">
              <w:rPr>
                <w:rFonts w:asciiTheme="majorHAnsi" w:hAnsiTheme="majorHAnsi" w:cstheme="majorHAnsi"/>
                <w:b/>
                <w:bCs/>
                <w:sz w:val="20"/>
                <w:szCs w:val="20"/>
              </w:rPr>
              <w:t>2014-15</w:t>
            </w:r>
          </w:p>
        </w:tc>
        <w:tc>
          <w:tcPr>
            <w:tcW w:w="1558" w:type="dxa"/>
          </w:tcPr>
          <w:p w14:paraId="409D8C1A" w14:textId="358C9654" w:rsidR="00086A22" w:rsidRPr="00AA04A4" w:rsidRDefault="00086A22" w:rsidP="00086A22">
            <w:pPr>
              <w:spacing w:before="100" w:beforeAutospacing="1" w:after="100" w:afterAutospacing="1" w:line="360" w:lineRule="auto"/>
              <w:rPr>
                <w:rFonts w:asciiTheme="majorHAnsi" w:hAnsiTheme="majorHAnsi" w:cstheme="majorHAnsi"/>
                <w:sz w:val="20"/>
                <w:szCs w:val="20"/>
              </w:rPr>
            </w:pPr>
            <w:r w:rsidRPr="00AA04A4">
              <w:rPr>
                <w:rFonts w:asciiTheme="majorHAnsi" w:hAnsiTheme="majorHAnsi" w:cstheme="majorHAnsi"/>
                <w:b/>
                <w:bCs/>
                <w:sz w:val="20"/>
                <w:szCs w:val="20"/>
              </w:rPr>
              <w:t>2015-16</w:t>
            </w:r>
          </w:p>
        </w:tc>
        <w:tc>
          <w:tcPr>
            <w:tcW w:w="1557" w:type="dxa"/>
          </w:tcPr>
          <w:p w14:paraId="7714A805" w14:textId="6D6FED61" w:rsidR="00086A22" w:rsidRPr="00AA04A4" w:rsidRDefault="00086A22" w:rsidP="00086A22">
            <w:pPr>
              <w:spacing w:before="100" w:beforeAutospacing="1" w:after="100" w:afterAutospacing="1" w:line="360" w:lineRule="auto"/>
              <w:rPr>
                <w:rFonts w:asciiTheme="majorHAnsi" w:hAnsiTheme="majorHAnsi" w:cstheme="majorHAnsi"/>
                <w:sz w:val="20"/>
                <w:szCs w:val="20"/>
              </w:rPr>
            </w:pPr>
            <w:r w:rsidRPr="00AA04A4">
              <w:rPr>
                <w:rFonts w:asciiTheme="majorHAnsi" w:hAnsiTheme="majorHAnsi" w:cstheme="majorHAnsi"/>
                <w:b/>
                <w:bCs/>
                <w:sz w:val="20"/>
                <w:szCs w:val="20"/>
              </w:rPr>
              <w:t>2016-17</w:t>
            </w:r>
          </w:p>
        </w:tc>
        <w:tc>
          <w:tcPr>
            <w:tcW w:w="1561" w:type="dxa"/>
          </w:tcPr>
          <w:p w14:paraId="6E7EBB34" w14:textId="79F2A369" w:rsidR="00086A22" w:rsidRPr="00AA04A4" w:rsidRDefault="00086A22" w:rsidP="00086A22">
            <w:pPr>
              <w:spacing w:before="100" w:beforeAutospacing="1" w:after="100" w:afterAutospacing="1" w:line="360" w:lineRule="auto"/>
              <w:rPr>
                <w:rFonts w:asciiTheme="majorHAnsi" w:hAnsiTheme="majorHAnsi" w:cstheme="majorHAnsi"/>
                <w:sz w:val="20"/>
                <w:szCs w:val="20"/>
              </w:rPr>
            </w:pPr>
            <w:r w:rsidRPr="00AA04A4">
              <w:rPr>
                <w:rFonts w:asciiTheme="majorHAnsi" w:hAnsiTheme="majorHAnsi" w:cstheme="majorHAnsi"/>
                <w:b/>
                <w:bCs/>
                <w:sz w:val="20"/>
                <w:szCs w:val="20"/>
              </w:rPr>
              <w:t>2017-18</w:t>
            </w:r>
          </w:p>
        </w:tc>
      </w:tr>
      <w:tr w:rsidR="00086A22" w:rsidRPr="00AA04A4" w14:paraId="4A797E89" w14:textId="77777777" w:rsidTr="00FF4CA3">
        <w:trPr>
          <w:trHeight w:val="238"/>
        </w:trPr>
        <w:tc>
          <w:tcPr>
            <w:tcW w:w="1621" w:type="dxa"/>
            <w:hideMark/>
          </w:tcPr>
          <w:p w14:paraId="312A351E" w14:textId="77777777" w:rsidR="00086A22" w:rsidRPr="00AA04A4" w:rsidRDefault="00086A22" w:rsidP="00086A22">
            <w:pPr>
              <w:spacing w:before="100" w:beforeAutospacing="1" w:after="100" w:afterAutospacing="1" w:line="360" w:lineRule="auto"/>
              <w:rPr>
                <w:rFonts w:asciiTheme="majorHAnsi" w:hAnsiTheme="majorHAnsi" w:cstheme="majorHAnsi"/>
                <w:sz w:val="20"/>
                <w:szCs w:val="20"/>
                <w:lang w:val="en-US"/>
              </w:rPr>
            </w:pPr>
            <w:r w:rsidRPr="00AA04A4">
              <w:rPr>
                <w:rFonts w:asciiTheme="majorHAnsi" w:hAnsiTheme="majorHAnsi" w:cstheme="majorHAnsi"/>
                <w:b/>
                <w:bCs/>
                <w:sz w:val="20"/>
                <w:szCs w:val="20"/>
              </w:rPr>
              <w:t>1</w:t>
            </w:r>
          </w:p>
        </w:tc>
        <w:tc>
          <w:tcPr>
            <w:tcW w:w="1557" w:type="dxa"/>
            <w:hideMark/>
          </w:tcPr>
          <w:p w14:paraId="3B44868E" w14:textId="77777777" w:rsidR="00086A22" w:rsidRPr="00AA04A4" w:rsidRDefault="00086A22" w:rsidP="00086A22">
            <w:pPr>
              <w:spacing w:before="100" w:beforeAutospacing="1" w:after="100" w:afterAutospacing="1" w:line="360" w:lineRule="auto"/>
              <w:rPr>
                <w:rFonts w:asciiTheme="majorHAnsi" w:hAnsiTheme="majorHAnsi" w:cstheme="majorHAnsi"/>
                <w:sz w:val="20"/>
                <w:szCs w:val="20"/>
                <w:lang w:val="en-US"/>
              </w:rPr>
            </w:pPr>
            <w:r w:rsidRPr="00AA04A4">
              <w:rPr>
                <w:rFonts w:asciiTheme="majorHAnsi" w:hAnsiTheme="majorHAnsi" w:cstheme="majorHAnsi"/>
                <w:sz w:val="20"/>
                <w:szCs w:val="20"/>
              </w:rPr>
              <w:t>0</w:t>
            </w:r>
          </w:p>
        </w:tc>
        <w:tc>
          <w:tcPr>
            <w:tcW w:w="1558" w:type="dxa"/>
            <w:hideMark/>
          </w:tcPr>
          <w:p w14:paraId="4EEADA70" w14:textId="77777777" w:rsidR="00086A22" w:rsidRPr="00AA04A4" w:rsidRDefault="00086A22" w:rsidP="00086A22">
            <w:pPr>
              <w:spacing w:before="100" w:beforeAutospacing="1" w:after="100" w:afterAutospacing="1" w:line="360" w:lineRule="auto"/>
              <w:rPr>
                <w:rFonts w:asciiTheme="majorHAnsi" w:hAnsiTheme="majorHAnsi" w:cstheme="majorHAnsi"/>
                <w:sz w:val="20"/>
                <w:szCs w:val="20"/>
                <w:lang w:val="en-US"/>
              </w:rPr>
            </w:pPr>
            <w:r w:rsidRPr="00AA04A4">
              <w:rPr>
                <w:rFonts w:asciiTheme="majorHAnsi" w:hAnsiTheme="majorHAnsi" w:cstheme="majorHAnsi"/>
                <w:sz w:val="20"/>
                <w:szCs w:val="20"/>
              </w:rPr>
              <w:t>0</w:t>
            </w:r>
          </w:p>
        </w:tc>
        <w:tc>
          <w:tcPr>
            <w:tcW w:w="1557" w:type="dxa"/>
            <w:hideMark/>
          </w:tcPr>
          <w:p w14:paraId="22CAE743" w14:textId="77777777" w:rsidR="00086A22" w:rsidRPr="00AA04A4" w:rsidRDefault="00086A22" w:rsidP="00086A22">
            <w:pPr>
              <w:spacing w:before="100" w:beforeAutospacing="1" w:after="100" w:afterAutospacing="1" w:line="360" w:lineRule="auto"/>
              <w:rPr>
                <w:rFonts w:asciiTheme="majorHAnsi" w:hAnsiTheme="majorHAnsi" w:cstheme="majorHAnsi"/>
                <w:sz w:val="20"/>
                <w:szCs w:val="20"/>
                <w:lang w:val="en-US"/>
              </w:rPr>
            </w:pPr>
            <w:r w:rsidRPr="00AA04A4">
              <w:rPr>
                <w:rFonts w:asciiTheme="majorHAnsi" w:hAnsiTheme="majorHAnsi" w:cstheme="majorHAnsi"/>
                <w:sz w:val="20"/>
                <w:szCs w:val="20"/>
              </w:rPr>
              <w:t>61</w:t>
            </w:r>
          </w:p>
        </w:tc>
        <w:tc>
          <w:tcPr>
            <w:tcW w:w="1561" w:type="dxa"/>
            <w:hideMark/>
          </w:tcPr>
          <w:p w14:paraId="5D16B062" w14:textId="77777777" w:rsidR="00086A22" w:rsidRPr="00AA04A4" w:rsidRDefault="00086A22" w:rsidP="00086A22">
            <w:pPr>
              <w:spacing w:before="100" w:beforeAutospacing="1" w:after="100" w:afterAutospacing="1" w:line="360" w:lineRule="auto"/>
              <w:rPr>
                <w:rFonts w:asciiTheme="majorHAnsi" w:hAnsiTheme="majorHAnsi" w:cstheme="majorHAnsi"/>
                <w:sz w:val="20"/>
                <w:szCs w:val="20"/>
                <w:lang w:val="en-US"/>
              </w:rPr>
            </w:pPr>
            <w:r w:rsidRPr="00AA04A4">
              <w:rPr>
                <w:rFonts w:asciiTheme="majorHAnsi" w:hAnsiTheme="majorHAnsi" w:cstheme="majorHAnsi"/>
                <w:sz w:val="20"/>
                <w:szCs w:val="20"/>
              </w:rPr>
              <w:t>25</w:t>
            </w:r>
          </w:p>
        </w:tc>
      </w:tr>
      <w:tr w:rsidR="00086A22" w:rsidRPr="00AA04A4" w14:paraId="79969EA7" w14:textId="77777777" w:rsidTr="00FF4CA3">
        <w:trPr>
          <w:trHeight w:val="238"/>
        </w:trPr>
        <w:tc>
          <w:tcPr>
            <w:tcW w:w="1621" w:type="dxa"/>
            <w:hideMark/>
          </w:tcPr>
          <w:p w14:paraId="31F82CEE" w14:textId="77777777" w:rsidR="00086A22" w:rsidRPr="00AA04A4" w:rsidRDefault="00086A22" w:rsidP="00086A22">
            <w:pPr>
              <w:spacing w:before="100" w:beforeAutospacing="1" w:after="100" w:afterAutospacing="1" w:line="360" w:lineRule="auto"/>
              <w:rPr>
                <w:rFonts w:asciiTheme="majorHAnsi" w:hAnsiTheme="majorHAnsi" w:cstheme="majorHAnsi"/>
                <w:sz w:val="20"/>
                <w:szCs w:val="20"/>
                <w:lang w:val="en-US"/>
              </w:rPr>
            </w:pPr>
            <w:r w:rsidRPr="00AA04A4">
              <w:rPr>
                <w:rFonts w:asciiTheme="majorHAnsi" w:hAnsiTheme="majorHAnsi" w:cstheme="majorHAnsi"/>
                <w:b/>
                <w:bCs/>
                <w:sz w:val="20"/>
                <w:szCs w:val="20"/>
              </w:rPr>
              <w:t>2</w:t>
            </w:r>
          </w:p>
        </w:tc>
        <w:tc>
          <w:tcPr>
            <w:tcW w:w="1557" w:type="dxa"/>
            <w:hideMark/>
          </w:tcPr>
          <w:p w14:paraId="18E0742A" w14:textId="77777777" w:rsidR="00086A22" w:rsidRPr="00AA04A4" w:rsidRDefault="00086A22" w:rsidP="00086A22">
            <w:pPr>
              <w:spacing w:before="100" w:beforeAutospacing="1" w:after="100" w:afterAutospacing="1" w:line="360" w:lineRule="auto"/>
              <w:rPr>
                <w:rFonts w:asciiTheme="majorHAnsi" w:hAnsiTheme="majorHAnsi" w:cstheme="majorHAnsi"/>
                <w:sz w:val="20"/>
                <w:szCs w:val="20"/>
                <w:lang w:val="en-US"/>
              </w:rPr>
            </w:pPr>
            <w:r w:rsidRPr="00AA04A4">
              <w:rPr>
                <w:rFonts w:asciiTheme="majorHAnsi" w:hAnsiTheme="majorHAnsi" w:cstheme="majorHAnsi"/>
                <w:sz w:val="20"/>
                <w:szCs w:val="20"/>
              </w:rPr>
              <w:t>0</w:t>
            </w:r>
          </w:p>
        </w:tc>
        <w:tc>
          <w:tcPr>
            <w:tcW w:w="1558" w:type="dxa"/>
            <w:hideMark/>
          </w:tcPr>
          <w:p w14:paraId="75D53098" w14:textId="77777777" w:rsidR="00086A22" w:rsidRPr="00AA04A4" w:rsidRDefault="00086A22" w:rsidP="00086A22">
            <w:pPr>
              <w:spacing w:before="100" w:beforeAutospacing="1" w:after="100" w:afterAutospacing="1" w:line="360" w:lineRule="auto"/>
              <w:rPr>
                <w:rFonts w:asciiTheme="majorHAnsi" w:hAnsiTheme="majorHAnsi" w:cstheme="majorHAnsi"/>
                <w:sz w:val="20"/>
                <w:szCs w:val="20"/>
                <w:lang w:val="en-US"/>
              </w:rPr>
            </w:pPr>
            <w:r w:rsidRPr="00AA04A4">
              <w:rPr>
                <w:rFonts w:asciiTheme="majorHAnsi" w:hAnsiTheme="majorHAnsi" w:cstheme="majorHAnsi"/>
                <w:sz w:val="20"/>
                <w:szCs w:val="20"/>
              </w:rPr>
              <w:t>0</w:t>
            </w:r>
          </w:p>
        </w:tc>
        <w:tc>
          <w:tcPr>
            <w:tcW w:w="1557" w:type="dxa"/>
            <w:hideMark/>
          </w:tcPr>
          <w:p w14:paraId="0EB6200C" w14:textId="77777777" w:rsidR="00086A22" w:rsidRPr="00AA04A4" w:rsidRDefault="00086A22" w:rsidP="00086A22">
            <w:pPr>
              <w:spacing w:before="100" w:beforeAutospacing="1" w:after="100" w:afterAutospacing="1" w:line="360" w:lineRule="auto"/>
              <w:rPr>
                <w:rFonts w:asciiTheme="majorHAnsi" w:hAnsiTheme="majorHAnsi" w:cstheme="majorHAnsi"/>
                <w:sz w:val="20"/>
                <w:szCs w:val="20"/>
                <w:lang w:val="en-US"/>
              </w:rPr>
            </w:pPr>
            <w:r w:rsidRPr="00AA04A4">
              <w:rPr>
                <w:rFonts w:asciiTheme="majorHAnsi" w:hAnsiTheme="majorHAnsi" w:cstheme="majorHAnsi"/>
                <w:sz w:val="20"/>
                <w:szCs w:val="20"/>
              </w:rPr>
              <w:t>0</w:t>
            </w:r>
          </w:p>
        </w:tc>
        <w:tc>
          <w:tcPr>
            <w:tcW w:w="1561" w:type="dxa"/>
            <w:hideMark/>
          </w:tcPr>
          <w:p w14:paraId="7BF82454" w14:textId="77777777" w:rsidR="00086A22" w:rsidRPr="00AA04A4" w:rsidRDefault="00086A22" w:rsidP="00086A22">
            <w:pPr>
              <w:spacing w:before="100" w:beforeAutospacing="1" w:after="100" w:afterAutospacing="1" w:line="360" w:lineRule="auto"/>
              <w:rPr>
                <w:rFonts w:asciiTheme="majorHAnsi" w:hAnsiTheme="majorHAnsi" w:cstheme="majorHAnsi"/>
                <w:sz w:val="20"/>
                <w:szCs w:val="20"/>
                <w:lang w:val="en-US"/>
              </w:rPr>
            </w:pPr>
            <w:r w:rsidRPr="00AA04A4">
              <w:rPr>
                <w:rFonts w:asciiTheme="majorHAnsi" w:hAnsiTheme="majorHAnsi" w:cstheme="majorHAnsi"/>
                <w:sz w:val="20"/>
                <w:szCs w:val="20"/>
              </w:rPr>
              <w:t>1</w:t>
            </w:r>
          </w:p>
        </w:tc>
      </w:tr>
      <w:tr w:rsidR="00086A22" w:rsidRPr="00AA04A4" w14:paraId="7737B887" w14:textId="77777777" w:rsidTr="00FF4CA3">
        <w:trPr>
          <w:trHeight w:val="238"/>
        </w:trPr>
        <w:tc>
          <w:tcPr>
            <w:tcW w:w="1621" w:type="dxa"/>
            <w:hideMark/>
          </w:tcPr>
          <w:p w14:paraId="22515B7D" w14:textId="77777777" w:rsidR="00086A22" w:rsidRPr="00AA04A4" w:rsidRDefault="00086A22" w:rsidP="00086A22">
            <w:pPr>
              <w:spacing w:before="100" w:beforeAutospacing="1" w:after="100" w:afterAutospacing="1" w:line="360" w:lineRule="auto"/>
              <w:rPr>
                <w:rFonts w:asciiTheme="majorHAnsi" w:hAnsiTheme="majorHAnsi" w:cstheme="majorHAnsi"/>
                <w:sz w:val="20"/>
                <w:szCs w:val="20"/>
                <w:lang w:val="en-US"/>
              </w:rPr>
            </w:pPr>
            <w:r w:rsidRPr="00AA04A4">
              <w:rPr>
                <w:rFonts w:asciiTheme="majorHAnsi" w:hAnsiTheme="majorHAnsi" w:cstheme="majorHAnsi"/>
                <w:b/>
                <w:bCs/>
                <w:sz w:val="20"/>
                <w:szCs w:val="20"/>
              </w:rPr>
              <w:t>3</w:t>
            </w:r>
          </w:p>
        </w:tc>
        <w:tc>
          <w:tcPr>
            <w:tcW w:w="1557" w:type="dxa"/>
            <w:hideMark/>
          </w:tcPr>
          <w:p w14:paraId="262F96C4" w14:textId="77777777" w:rsidR="00086A22" w:rsidRPr="00AA04A4" w:rsidRDefault="00086A22" w:rsidP="00086A22">
            <w:pPr>
              <w:spacing w:before="100" w:beforeAutospacing="1" w:after="100" w:afterAutospacing="1" w:line="360" w:lineRule="auto"/>
              <w:rPr>
                <w:rFonts w:asciiTheme="majorHAnsi" w:hAnsiTheme="majorHAnsi" w:cstheme="majorHAnsi"/>
                <w:sz w:val="20"/>
                <w:szCs w:val="20"/>
                <w:lang w:val="en-US"/>
              </w:rPr>
            </w:pPr>
            <w:r w:rsidRPr="00AA04A4">
              <w:rPr>
                <w:rFonts w:asciiTheme="majorHAnsi" w:hAnsiTheme="majorHAnsi" w:cstheme="majorHAnsi"/>
                <w:sz w:val="20"/>
                <w:szCs w:val="20"/>
              </w:rPr>
              <w:t>0</w:t>
            </w:r>
          </w:p>
        </w:tc>
        <w:tc>
          <w:tcPr>
            <w:tcW w:w="1558" w:type="dxa"/>
            <w:hideMark/>
          </w:tcPr>
          <w:p w14:paraId="0AB79434" w14:textId="77777777" w:rsidR="00086A22" w:rsidRPr="00AA04A4" w:rsidRDefault="00086A22" w:rsidP="00086A22">
            <w:pPr>
              <w:spacing w:before="100" w:beforeAutospacing="1" w:after="100" w:afterAutospacing="1" w:line="360" w:lineRule="auto"/>
              <w:rPr>
                <w:rFonts w:asciiTheme="majorHAnsi" w:hAnsiTheme="majorHAnsi" w:cstheme="majorHAnsi"/>
                <w:sz w:val="20"/>
                <w:szCs w:val="20"/>
                <w:lang w:val="en-US"/>
              </w:rPr>
            </w:pPr>
            <w:r w:rsidRPr="00AA04A4">
              <w:rPr>
                <w:rFonts w:asciiTheme="majorHAnsi" w:hAnsiTheme="majorHAnsi" w:cstheme="majorHAnsi"/>
                <w:sz w:val="20"/>
                <w:szCs w:val="20"/>
              </w:rPr>
              <w:t>0</w:t>
            </w:r>
          </w:p>
        </w:tc>
        <w:tc>
          <w:tcPr>
            <w:tcW w:w="1557" w:type="dxa"/>
            <w:hideMark/>
          </w:tcPr>
          <w:p w14:paraId="3FBD4ECE" w14:textId="77777777" w:rsidR="00086A22" w:rsidRPr="00AA04A4" w:rsidRDefault="00086A22" w:rsidP="00086A22">
            <w:pPr>
              <w:spacing w:before="100" w:beforeAutospacing="1" w:after="100" w:afterAutospacing="1" w:line="360" w:lineRule="auto"/>
              <w:rPr>
                <w:rFonts w:asciiTheme="majorHAnsi" w:hAnsiTheme="majorHAnsi" w:cstheme="majorHAnsi"/>
                <w:sz w:val="20"/>
                <w:szCs w:val="20"/>
                <w:lang w:val="en-US"/>
              </w:rPr>
            </w:pPr>
            <w:r w:rsidRPr="00AA04A4">
              <w:rPr>
                <w:rFonts w:asciiTheme="majorHAnsi" w:hAnsiTheme="majorHAnsi" w:cstheme="majorHAnsi"/>
                <w:sz w:val="20"/>
                <w:szCs w:val="20"/>
              </w:rPr>
              <w:t>8</w:t>
            </w:r>
          </w:p>
        </w:tc>
        <w:tc>
          <w:tcPr>
            <w:tcW w:w="1561" w:type="dxa"/>
            <w:hideMark/>
          </w:tcPr>
          <w:p w14:paraId="5C850C5A" w14:textId="77777777" w:rsidR="00086A22" w:rsidRPr="00AA04A4" w:rsidRDefault="00086A22" w:rsidP="00086A22">
            <w:pPr>
              <w:spacing w:before="100" w:beforeAutospacing="1" w:after="100" w:afterAutospacing="1" w:line="360" w:lineRule="auto"/>
              <w:rPr>
                <w:rFonts w:asciiTheme="majorHAnsi" w:hAnsiTheme="majorHAnsi" w:cstheme="majorHAnsi"/>
                <w:sz w:val="20"/>
                <w:szCs w:val="20"/>
                <w:lang w:val="en-US"/>
              </w:rPr>
            </w:pPr>
            <w:r w:rsidRPr="00AA04A4">
              <w:rPr>
                <w:rFonts w:asciiTheme="majorHAnsi" w:hAnsiTheme="majorHAnsi" w:cstheme="majorHAnsi"/>
                <w:sz w:val="20"/>
                <w:szCs w:val="20"/>
              </w:rPr>
              <w:t>24</w:t>
            </w:r>
          </w:p>
        </w:tc>
      </w:tr>
      <w:tr w:rsidR="00086A22" w:rsidRPr="00AA04A4" w14:paraId="023D82B9" w14:textId="77777777" w:rsidTr="00FF4CA3">
        <w:trPr>
          <w:trHeight w:val="238"/>
        </w:trPr>
        <w:tc>
          <w:tcPr>
            <w:tcW w:w="1621" w:type="dxa"/>
            <w:hideMark/>
          </w:tcPr>
          <w:p w14:paraId="2FAEF919" w14:textId="77777777" w:rsidR="00086A22" w:rsidRPr="00AA04A4" w:rsidRDefault="00086A22" w:rsidP="00086A22">
            <w:pPr>
              <w:spacing w:before="100" w:beforeAutospacing="1" w:after="100" w:afterAutospacing="1" w:line="360" w:lineRule="auto"/>
              <w:rPr>
                <w:rFonts w:asciiTheme="majorHAnsi" w:hAnsiTheme="majorHAnsi" w:cstheme="majorHAnsi"/>
                <w:sz w:val="20"/>
                <w:szCs w:val="20"/>
                <w:lang w:val="en-US"/>
              </w:rPr>
            </w:pPr>
            <w:r w:rsidRPr="00AA04A4">
              <w:rPr>
                <w:rFonts w:asciiTheme="majorHAnsi" w:hAnsiTheme="majorHAnsi" w:cstheme="majorHAnsi"/>
                <w:b/>
                <w:bCs/>
                <w:sz w:val="20"/>
                <w:szCs w:val="20"/>
              </w:rPr>
              <w:t>4</w:t>
            </w:r>
          </w:p>
        </w:tc>
        <w:tc>
          <w:tcPr>
            <w:tcW w:w="1557" w:type="dxa"/>
            <w:hideMark/>
          </w:tcPr>
          <w:p w14:paraId="6696F6D7" w14:textId="77777777" w:rsidR="00086A22" w:rsidRPr="00AA04A4" w:rsidRDefault="00086A22" w:rsidP="00086A22">
            <w:pPr>
              <w:spacing w:before="100" w:beforeAutospacing="1" w:after="100" w:afterAutospacing="1" w:line="360" w:lineRule="auto"/>
              <w:rPr>
                <w:rFonts w:asciiTheme="majorHAnsi" w:hAnsiTheme="majorHAnsi" w:cstheme="majorHAnsi"/>
                <w:sz w:val="20"/>
                <w:szCs w:val="20"/>
                <w:lang w:val="en-US"/>
              </w:rPr>
            </w:pPr>
            <w:r w:rsidRPr="00AA04A4">
              <w:rPr>
                <w:rFonts w:asciiTheme="majorHAnsi" w:hAnsiTheme="majorHAnsi" w:cstheme="majorHAnsi"/>
                <w:sz w:val="20"/>
                <w:szCs w:val="20"/>
              </w:rPr>
              <w:t>0</w:t>
            </w:r>
          </w:p>
        </w:tc>
        <w:tc>
          <w:tcPr>
            <w:tcW w:w="1558" w:type="dxa"/>
            <w:hideMark/>
          </w:tcPr>
          <w:p w14:paraId="4888903D" w14:textId="77777777" w:rsidR="00086A22" w:rsidRPr="00AA04A4" w:rsidRDefault="00086A22" w:rsidP="00086A22">
            <w:pPr>
              <w:spacing w:before="100" w:beforeAutospacing="1" w:after="100" w:afterAutospacing="1" w:line="360" w:lineRule="auto"/>
              <w:rPr>
                <w:rFonts w:asciiTheme="majorHAnsi" w:hAnsiTheme="majorHAnsi" w:cstheme="majorHAnsi"/>
                <w:sz w:val="20"/>
                <w:szCs w:val="20"/>
                <w:lang w:val="en-US"/>
              </w:rPr>
            </w:pPr>
            <w:r w:rsidRPr="00AA04A4">
              <w:rPr>
                <w:rFonts w:asciiTheme="majorHAnsi" w:hAnsiTheme="majorHAnsi" w:cstheme="majorHAnsi"/>
                <w:sz w:val="20"/>
                <w:szCs w:val="20"/>
              </w:rPr>
              <w:t>0</w:t>
            </w:r>
          </w:p>
        </w:tc>
        <w:tc>
          <w:tcPr>
            <w:tcW w:w="1557" w:type="dxa"/>
            <w:hideMark/>
          </w:tcPr>
          <w:p w14:paraId="3A1250D9" w14:textId="77777777" w:rsidR="00086A22" w:rsidRPr="00AA04A4" w:rsidRDefault="00086A22" w:rsidP="00086A22">
            <w:pPr>
              <w:spacing w:before="100" w:beforeAutospacing="1" w:after="100" w:afterAutospacing="1" w:line="360" w:lineRule="auto"/>
              <w:rPr>
                <w:rFonts w:asciiTheme="majorHAnsi" w:hAnsiTheme="majorHAnsi" w:cstheme="majorHAnsi"/>
                <w:sz w:val="20"/>
                <w:szCs w:val="20"/>
                <w:lang w:val="en-US"/>
              </w:rPr>
            </w:pPr>
            <w:r w:rsidRPr="00AA04A4">
              <w:rPr>
                <w:rFonts w:asciiTheme="majorHAnsi" w:hAnsiTheme="majorHAnsi" w:cstheme="majorHAnsi"/>
                <w:sz w:val="20"/>
                <w:szCs w:val="20"/>
              </w:rPr>
              <w:t>0</w:t>
            </w:r>
          </w:p>
        </w:tc>
        <w:tc>
          <w:tcPr>
            <w:tcW w:w="1561" w:type="dxa"/>
            <w:hideMark/>
          </w:tcPr>
          <w:p w14:paraId="6BB462C1" w14:textId="77777777" w:rsidR="00086A22" w:rsidRPr="00AA04A4" w:rsidRDefault="00086A22" w:rsidP="00086A22">
            <w:pPr>
              <w:spacing w:before="100" w:beforeAutospacing="1" w:after="100" w:afterAutospacing="1" w:line="360" w:lineRule="auto"/>
              <w:rPr>
                <w:rFonts w:asciiTheme="majorHAnsi" w:hAnsiTheme="majorHAnsi" w:cstheme="majorHAnsi"/>
                <w:sz w:val="20"/>
                <w:szCs w:val="20"/>
                <w:lang w:val="en-US"/>
              </w:rPr>
            </w:pPr>
            <w:r w:rsidRPr="00AA04A4">
              <w:rPr>
                <w:rFonts w:asciiTheme="majorHAnsi" w:hAnsiTheme="majorHAnsi" w:cstheme="majorHAnsi"/>
                <w:sz w:val="20"/>
                <w:szCs w:val="20"/>
              </w:rPr>
              <w:t>0</w:t>
            </w:r>
          </w:p>
        </w:tc>
      </w:tr>
      <w:tr w:rsidR="00086A22" w:rsidRPr="00AA04A4" w14:paraId="1B70332D" w14:textId="77777777" w:rsidTr="00FF4CA3">
        <w:trPr>
          <w:trHeight w:val="238"/>
        </w:trPr>
        <w:tc>
          <w:tcPr>
            <w:tcW w:w="1621" w:type="dxa"/>
            <w:hideMark/>
          </w:tcPr>
          <w:p w14:paraId="0CCCA962" w14:textId="77777777" w:rsidR="00086A22" w:rsidRPr="00AA04A4" w:rsidRDefault="00086A22" w:rsidP="00086A22">
            <w:pPr>
              <w:spacing w:before="100" w:beforeAutospacing="1" w:after="100" w:afterAutospacing="1" w:line="360" w:lineRule="auto"/>
              <w:rPr>
                <w:rFonts w:asciiTheme="majorHAnsi" w:hAnsiTheme="majorHAnsi" w:cstheme="majorHAnsi"/>
                <w:sz w:val="20"/>
                <w:szCs w:val="20"/>
                <w:lang w:val="en-US"/>
              </w:rPr>
            </w:pPr>
            <w:r w:rsidRPr="00AA04A4">
              <w:rPr>
                <w:rFonts w:asciiTheme="majorHAnsi" w:hAnsiTheme="majorHAnsi" w:cstheme="majorHAnsi"/>
                <w:b/>
                <w:bCs/>
                <w:sz w:val="20"/>
                <w:szCs w:val="20"/>
              </w:rPr>
              <w:t>5</w:t>
            </w:r>
          </w:p>
        </w:tc>
        <w:tc>
          <w:tcPr>
            <w:tcW w:w="1557" w:type="dxa"/>
            <w:hideMark/>
          </w:tcPr>
          <w:p w14:paraId="228AD498" w14:textId="77777777" w:rsidR="00086A22" w:rsidRPr="00AA04A4" w:rsidRDefault="00086A22" w:rsidP="00086A22">
            <w:pPr>
              <w:spacing w:before="100" w:beforeAutospacing="1" w:after="100" w:afterAutospacing="1" w:line="360" w:lineRule="auto"/>
              <w:rPr>
                <w:rFonts w:asciiTheme="majorHAnsi" w:hAnsiTheme="majorHAnsi" w:cstheme="majorHAnsi"/>
                <w:sz w:val="20"/>
                <w:szCs w:val="20"/>
                <w:lang w:val="en-US"/>
              </w:rPr>
            </w:pPr>
            <w:r w:rsidRPr="00AA04A4">
              <w:rPr>
                <w:rFonts w:asciiTheme="majorHAnsi" w:hAnsiTheme="majorHAnsi" w:cstheme="majorHAnsi"/>
                <w:sz w:val="20"/>
                <w:szCs w:val="20"/>
              </w:rPr>
              <w:t>0</w:t>
            </w:r>
          </w:p>
        </w:tc>
        <w:tc>
          <w:tcPr>
            <w:tcW w:w="1558" w:type="dxa"/>
            <w:hideMark/>
          </w:tcPr>
          <w:p w14:paraId="430A9A55" w14:textId="77777777" w:rsidR="00086A22" w:rsidRPr="00AA04A4" w:rsidRDefault="00086A22" w:rsidP="00086A22">
            <w:pPr>
              <w:spacing w:before="100" w:beforeAutospacing="1" w:after="100" w:afterAutospacing="1" w:line="360" w:lineRule="auto"/>
              <w:rPr>
                <w:rFonts w:asciiTheme="majorHAnsi" w:hAnsiTheme="majorHAnsi" w:cstheme="majorHAnsi"/>
                <w:sz w:val="20"/>
                <w:szCs w:val="20"/>
                <w:lang w:val="en-US"/>
              </w:rPr>
            </w:pPr>
            <w:r w:rsidRPr="00AA04A4">
              <w:rPr>
                <w:rFonts w:asciiTheme="majorHAnsi" w:hAnsiTheme="majorHAnsi" w:cstheme="majorHAnsi"/>
                <w:sz w:val="20"/>
                <w:szCs w:val="20"/>
              </w:rPr>
              <w:t>0</w:t>
            </w:r>
          </w:p>
        </w:tc>
        <w:tc>
          <w:tcPr>
            <w:tcW w:w="1557" w:type="dxa"/>
            <w:hideMark/>
          </w:tcPr>
          <w:p w14:paraId="08CF98A5" w14:textId="77777777" w:rsidR="00086A22" w:rsidRPr="00AA04A4" w:rsidRDefault="00086A22" w:rsidP="00086A22">
            <w:pPr>
              <w:spacing w:before="100" w:beforeAutospacing="1" w:after="100" w:afterAutospacing="1" w:line="360" w:lineRule="auto"/>
              <w:rPr>
                <w:rFonts w:asciiTheme="majorHAnsi" w:hAnsiTheme="majorHAnsi" w:cstheme="majorHAnsi"/>
                <w:sz w:val="20"/>
                <w:szCs w:val="20"/>
                <w:lang w:val="en-US"/>
              </w:rPr>
            </w:pPr>
            <w:r w:rsidRPr="00AA04A4">
              <w:rPr>
                <w:rFonts w:asciiTheme="majorHAnsi" w:hAnsiTheme="majorHAnsi" w:cstheme="majorHAnsi"/>
                <w:sz w:val="20"/>
                <w:szCs w:val="20"/>
              </w:rPr>
              <w:t>1</w:t>
            </w:r>
          </w:p>
        </w:tc>
        <w:tc>
          <w:tcPr>
            <w:tcW w:w="1561" w:type="dxa"/>
            <w:hideMark/>
          </w:tcPr>
          <w:p w14:paraId="1F1FA100" w14:textId="77777777" w:rsidR="00086A22" w:rsidRPr="00AA04A4" w:rsidRDefault="00086A22" w:rsidP="00086A22">
            <w:pPr>
              <w:spacing w:before="100" w:beforeAutospacing="1" w:after="100" w:afterAutospacing="1" w:line="360" w:lineRule="auto"/>
              <w:rPr>
                <w:rFonts w:asciiTheme="majorHAnsi" w:hAnsiTheme="majorHAnsi" w:cstheme="majorHAnsi"/>
                <w:sz w:val="20"/>
                <w:szCs w:val="20"/>
                <w:lang w:val="en-US"/>
              </w:rPr>
            </w:pPr>
            <w:r w:rsidRPr="00AA04A4">
              <w:rPr>
                <w:rFonts w:asciiTheme="majorHAnsi" w:hAnsiTheme="majorHAnsi" w:cstheme="majorHAnsi"/>
                <w:sz w:val="20"/>
                <w:szCs w:val="20"/>
              </w:rPr>
              <w:t>0</w:t>
            </w:r>
          </w:p>
        </w:tc>
      </w:tr>
      <w:tr w:rsidR="00086A22" w:rsidRPr="00AA04A4" w14:paraId="3777E9B9" w14:textId="77777777" w:rsidTr="00FF4CA3">
        <w:trPr>
          <w:trHeight w:val="238"/>
        </w:trPr>
        <w:tc>
          <w:tcPr>
            <w:tcW w:w="1621" w:type="dxa"/>
            <w:hideMark/>
          </w:tcPr>
          <w:p w14:paraId="3A680556" w14:textId="77777777" w:rsidR="00086A22" w:rsidRPr="00AA04A4" w:rsidRDefault="00086A22" w:rsidP="00086A22">
            <w:pPr>
              <w:spacing w:before="100" w:beforeAutospacing="1" w:after="100" w:afterAutospacing="1" w:line="360" w:lineRule="auto"/>
              <w:rPr>
                <w:rFonts w:asciiTheme="majorHAnsi" w:hAnsiTheme="majorHAnsi" w:cstheme="majorHAnsi"/>
                <w:sz w:val="20"/>
                <w:szCs w:val="20"/>
                <w:lang w:val="en-US"/>
              </w:rPr>
            </w:pPr>
            <w:r w:rsidRPr="00AA04A4">
              <w:rPr>
                <w:rFonts w:asciiTheme="majorHAnsi" w:hAnsiTheme="majorHAnsi" w:cstheme="majorHAnsi"/>
                <w:b/>
                <w:bCs/>
                <w:sz w:val="20"/>
                <w:szCs w:val="20"/>
              </w:rPr>
              <w:t>6</w:t>
            </w:r>
          </w:p>
        </w:tc>
        <w:tc>
          <w:tcPr>
            <w:tcW w:w="1557" w:type="dxa"/>
            <w:hideMark/>
          </w:tcPr>
          <w:p w14:paraId="43A192BA" w14:textId="77777777" w:rsidR="00086A22" w:rsidRPr="00AA04A4" w:rsidRDefault="00086A22" w:rsidP="00086A22">
            <w:pPr>
              <w:spacing w:before="100" w:beforeAutospacing="1" w:after="100" w:afterAutospacing="1" w:line="360" w:lineRule="auto"/>
              <w:rPr>
                <w:rFonts w:asciiTheme="majorHAnsi" w:hAnsiTheme="majorHAnsi" w:cstheme="majorHAnsi"/>
                <w:sz w:val="20"/>
                <w:szCs w:val="20"/>
                <w:lang w:val="en-US"/>
              </w:rPr>
            </w:pPr>
            <w:r w:rsidRPr="00AA04A4">
              <w:rPr>
                <w:rFonts w:asciiTheme="majorHAnsi" w:hAnsiTheme="majorHAnsi" w:cstheme="majorHAnsi"/>
                <w:sz w:val="20"/>
                <w:szCs w:val="20"/>
              </w:rPr>
              <w:t>0</w:t>
            </w:r>
          </w:p>
        </w:tc>
        <w:tc>
          <w:tcPr>
            <w:tcW w:w="1558" w:type="dxa"/>
            <w:hideMark/>
          </w:tcPr>
          <w:p w14:paraId="2886C549" w14:textId="77777777" w:rsidR="00086A22" w:rsidRPr="00AA04A4" w:rsidRDefault="00086A22" w:rsidP="00086A22">
            <w:pPr>
              <w:spacing w:before="100" w:beforeAutospacing="1" w:after="100" w:afterAutospacing="1" w:line="360" w:lineRule="auto"/>
              <w:rPr>
                <w:rFonts w:asciiTheme="majorHAnsi" w:hAnsiTheme="majorHAnsi" w:cstheme="majorHAnsi"/>
                <w:sz w:val="20"/>
                <w:szCs w:val="20"/>
                <w:lang w:val="en-US"/>
              </w:rPr>
            </w:pPr>
            <w:r w:rsidRPr="00AA04A4">
              <w:rPr>
                <w:rFonts w:asciiTheme="majorHAnsi" w:hAnsiTheme="majorHAnsi" w:cstheme="majorHAnsi"/>
                <w:sz w:val="20"/>
                <w:szCs w:val="20"/>
              </w:rPr>
              <w:t>3</w:t>
            </w:r>
          </w:p>
        </w:tc>
        <w:tc>
          <w:tcPr>
            <w:tcW w:w="1557" w:type="dxa"/>
            <w:hideMark/>
          </w:tcPr>
          <w:p w14:paraId="554B4195" w14:textId="77777777" w:rsidR="00086A22" w:rsidRPr="00AA04A4" w:rsidRDefault="00086A22" w:rsidP="00086A22">
            <w:pPr>
              <w:spacing w:before="100" w:beforeAutospacing="1" w:after="100" w:afterAutospacing="1" w:line="360" w:lineRule="auto"/>
              <w:rPr>
                <w:rFonts w:asciiTheme="majorHAnsi" w:hAnsiTheme="majorHAnsi" w:cstheme="majorHAnsi"/>
                <w:sz w:val="20"/>
                <w:szCs w:val="20"/>
                <w:lang w:val="en-US"/>
              </w:rPr>
            </w:pPr>
            <w:r w:rsidRPr="00AA04A4">
              <w:rPr>
                <w:rFonts w:asciiTheme="majorHAnsi" w:hAnsiTheme="majorHAnsi" w:cstheme="majorHAnsi"/>
                <w:sz w:val="20"/>
                <w:szCs w:val="20"/>
              </w:rPr>
              <w:t>153</w:t>
            </w:r>
          </w:p>
        </w:tc>
        <w:tc>
          <w:tcPr>
            <w:tcW w:w="1561" w:type="dxa"/>
            <w:hideMark/>
          </w:tcPr>
          <w:p w14:paraId="431FD695" w14:textId="77777777" w:rsidR="00086A22" w:rsidRPr="00AA04A4" w:rsidRDefault="00086A22" w:rsidP="00086A22">
            <w:pPr>
              <w:spacing w:before="100" w:beforeAutospacing="1" w:after="100" w:afterAutospacing="1" w:line="360" w:lineRule="auto"/>
              <w:rPr>
                <w:rFonts w:asciiTheme="majorHAnsi" w:hAnsiTheme="majorHAnsi" w:cstheme="majorHAnsi"/>
                <w:sz w:val="20"/>
                <w:szCs w:val="20"/>
                <w:lang w:val="en-US"/>
              </w:rPr>
            </w:pPr>
            <w:r w:rsidRPr="00AA04A4">
              <w:rPr>
                <w:rFonts w:asciiTheme="majorHAnsi" w:hAnsiTheme="majorHAnsi" w:cstheme="majorHAnsi"/>
                <w:sz w:val="20"/>
                <w:szCs w:val="20"/>
              </w:rPr>
              <w:t>360</w:t>
            </w:r>
          </w:p>
        </w:tc>
      </w:tr>
      <w:tr w:rsidR="00086A22" w:rsidRPr="00AA04A4" w14:paraId="51AC0ED4" w14:textId="77777777" w:rsidTr="00FF4CA3">
        <w:trPr>
          <w:trHeight w:val="238"/>
        </w:trPr>
        <w:tc>
          <w:tcPr>
            <w:tcW w:w="1621" w:type="dxa"/>
            <w:hideMark/>
          </w:tcPr>
          <w:p w14:paraId="0E4E1EA6" w14:textId="77777777" w:rsidR="00086A22" w:rsidRPr="00AA04A4" w:rsidRDefault="00086A22" w:rsidP="00086A22">
            <w:pPr>
              <w:spacing w:before="100" w:beforeAutospacing="1" w:after="100" w:afterAutospacing="1" w:line="360" w:lineRule="auto"/>
              <w:rPr>
                <w:rFonts w:asciiTheme="majorHAnsi" w:hAnsiTheme="majorHAnsi" w:cstheme="majorHAnsi"/>
                <w:sz w:val="20"/>
                <w:szCs w:val="20"/>
                <w:lang w:val="en-US"/>
              </w:rPr>
            </w:pPr>
            <w:r w:rsidRPr="00AA04A4">
              <w:rPr>
                <w:rFonts w:asciiTheme="majorHAnsi" w:hAnsiTheme="majorHAnsi" w:cstheme="majorHAnsi"/>
                <w:b/>
                <w:bCs/>
                <w:sz w:val="20"/>
                <w:szCs w:val="20"/>
              </w:rPr>
              <w:t>7</w:t>
            </w:r>
          </w:p>
        </w:tc>
        <w:tc>
          <w:tcPr>
            <w:tcW w:w="1557" w:type="dxa"/>
            <w:hideMark/>
          </w:tcPr>
          <w:p w14:paraId="65FA81DF" w14:textId="77777777" w:rsidR="00086A22" w:rsidRPr="00AA04A4" w:rsidRDefault="00086A22" w:rsidP="00086A22">
            <w:pPr>
              <w:spacing w:before="100" w:beforeAutospacing="1" w:after="100" w:afterAutospacing="1" w:line="360" w:lineRule="auto"/>
              <w:rPr>
                <w:rFonts w:asciiTheme="majorHAnsi" w:hAnsiTheme="majorHAnsi" w:cstheme="majorHAnsi"/>
                <w:sz w:val="20"/>
                <w:szCs w:val="20"/>
                <w:lang w:val="en-US"/>
              </w:rPr>
            </w:pPr>
            <w:r w:rsidRPr="00AA04A4">
              <w:rPr>
                <w:rFonts w:asciiTheme="majorHAnsi" w:hAnsiTheme="majorHAnsi" w:cstheme="majorHAnsi"/>
                <w:sz w:val="20"/>
                <w:szCs w:val="20"/>
              </w:rPr>
              <w:t>0</w:t>
            </w:r>
          </w:p>
        </w:tc>
        <w:tc>
          <w:tcPr>
            <w:tcW w:w="1558" w:type="dxa"/>
            <w:hideMark/>
          </w:tcPr>
          <w:p w14:paraId="5655315C" w14:textId="77777777" w:rsidR="00086A22" w:rsidRPr="00AA04A4" w:rsidRDefault="00086A22" w:rsidP="00086A22">
            <w:pPr>
              <w:spacing w:before="100" w:beforeAutospacing="1" w:after="100" w:afterAutospacing="1" w:line="360" w:lineRule="auto"/>
              <w:rPr>
                <w:rFonts w:asciiTheme="majorHAnsi" w:hAnsiTheme="majorHAnsi" w:cstheme="majorHAnsi"/>
                <w:sz w:val="20"/>
                <w:szCs w:val="20"/>
                <w:lang w:val="en-US"/>
              </w:rPr>
            </w:pPr>
            <w:r w:rsidRPr="00AA04A4">
              <w:rPr>
                <w:rFonts w:asciiTheme="majorHAnsi" w:hAnsiTheme="majorHAnsi" w:cstheme="majorHAnsi"/>
                <w:sz w:val="20"/>
                <w:szCs w:val="20"/>
              </w:rPr>
              <w:t>0</w:t>
            </w:r>
          </w:p>
        </w:tc>
        <w:tc>
          <w:tcPr>
            <w:tcW w:w="1557" w:type="dxa"/>
            <w:hideMark/>
          </w:tcPr>
          <w:p w14:paraId="1D537F19" w14:textId="77777777" w:rsidR="00086A22" w:rsidRPr="00AA04A4" w:rsidRDefault="00086A22" w:rsidP="00086A22">
            <w:pPr>
              <w:spacing w:before="100" w:beforeAutospacing="1" w:after="100" w:afterAutospacing="1" w:line="360" w:lineRule="auto"/>
              <w:rPr>
                <w:rFonts w:asciiTheme="majorHAnsi" w:hAnsiTheme="majorHAnsi" w:cstheme="majorHAnsi"/>
                <w:sz w:val="20"/>
                <w:szCs w:val="20"/>
                <w:lang w:val="en-US"/>
              </w:rPr>
            </w:pPr>
            <w:r w:rsidRPr="00AA04A4">
              <w:rPr>
                <w:rFonts w:asciiTheme="majorHAnsi" w:hAnsiTheme="majorHAnsi" w:cstheme="majorHAnsi"/>
                <w:sz w:val="20"/>
                <w:szCs w:val="20"/>
              </w:rPr>
              <w:t>3</w:t>
            </w:r>
          </w:p>
        </w:tc>
        <w:tc>
          <w:tcPr>
            <w:tcW w:w="1561" w:type="dxa"/>
            <w:hideMark/>
          </w:tcPr>
          <w:p w14:paraId="273FB268" w14:textId="77777777" w:rsidR="00086A22" w:rsidRPr="00AA04A4" w:rsidRDefault="00086A22" w:rsidP="00086A22">
            <w:pPr>
              <w:spacing w:before="100" w:beforeAutospacing="1" w:after="100" w:afterAutospacing="1" w:line="360" w:lineRule="auto"/>
              <w:rPr>
                <w:rFonts w:asciiTheme="majorHAnsi" w:hAnsiTheme="majorHAnsi" w:cstheme="majorHAnsi"/>
                <w:sz w:val="20"/>
                <w:szCs w:val="20"/>
                <w:lang w:val="en-US"/>
              </w:rPr>
            </w:pPr>
            <w:r w:rsidRPr="00AA04A4">
              <w:rPr>
                <w:rFonts w:asciiTheme="majorHAnsi" w:hAnsiTheme="majorHAnsi" w:cstheme="majorHAnsi"/>
                <w:sz w:val="20"/>
                <w:szCs w:val="20"/>
              </w:rPr>
              <w:t>2</w:t>
            </w:r>
          </w:p>
        </w:tc>
      </w:tr>
      <w:tr w:rsidR="00086A22" w:rsidRPr="00AA04A4" w14:paraId="4261A288" w14:textId="77777777" w:rsidTr="00FF4CA3">
        <w:trPr>
          <w:trHeight w:val="238"/>
        </w:trPr>
        <w:tc>
          <w:tcPr>
            <w:tcW w:w="1621" w:type="dxa"/>
            <w:hideMark/>
          </w:tcPr>
          <w:p w14:paraId="50C1CD0E" w14:textId="77777777" w:rsidR="00086A22" w:rsidRPr="00AA04A4" w:rsidRDefault="00086A22" w:rsidP="00086A22">
            <w:pPr>
              <w:spacing w:before="100" w:beforeAutospacing="1" w:after="100" w:afterAutospacing="1" w:line="360" w:lineRule="auto"/>
              <w:rPr>
                <w:rFonts w:asciiTheme="majorHAnsi" w:hAnsiTheme="majorHAnsi" w:cstheme="majorHAnsi"/>
                <w:sz w:val="20"/>
                <w:szCs w:val="20"/>
                <w:lang w:val="en-US"/>
              </w:rPr>
            </w:pPr>
            <w:r w:rsidRPr="00AA04A4">
              <w:rPr>
                <w:rFonts w:asciiTheme="majorHAnsi" w:hAnsiTheme="majorHAnsi" w:cstheme="majorHAnsi"/>
                <w:b/>
                <w:bCs/>
                <w:sz w:val="20"/>
                <w:szCs w:val="20"/>
              </w:rPr>
              <w:t>8</w:t>
            </w:r>
          </w:p>
        </w:tc>
        <w:tc>
          <w:tcPr>
            <w:tcW w:w="1557" w:type="dxa"/>
            <w:hideMark/>
          </w:tcPr>
          <w:p w14:paraId="35E47D76" w14:textId="77777777" w:rsidR="00086A22" w:rsidRPr="00AA04A4" w:rsidRDefault="00086A22" w:rsidP="00086A22">
            <w:pPr>
              <w:spacing w:before="100" w:beforeAutospacing="1" w:after="100" w:afterAutospacing="1" w:line="360" w:lineRule="auto"/>
              <w:rPr>
                <w:rFonts w:asciiTheme="majorHAnsi" w:hAnsiTheme="majorHAnsi" w:cstheme="majorHAnsi"/>
                <w:sz w:val="20"/>
                <w:szCs w:val="20"/>
                <w:lang w:val="en-US"/>
              </w:rPr>
            </w:pPr>
            <w:r w:rsidRPr="00AA04A4">
              <w:rPr>
                <w:rFonts w:asciiTheme="majorHAnsi" w:hAnsiTheme="majorHAnsi" w:cstheme="majorHAnsi"/>
                <w:sz w:val="20"/>
                <w:szCs w:val="20"/>
              </w:rPr>
              <w:t>0</w:t>
            </w:r>
          </w:p>
        </w:tc>
        <w:tc>
          <w:tcPr>
            <w:tcW w:w="1558" w:type="dxa"/>
            <w:hideMark/>
          </w:tcPr>
          <w:p w14:paraId="19ADD683" w14:textId="77777777" w:rsidR="00086A22" w:rsidRPr="00AA04A4" w:rsidRDefault="00086A22" w:rsidP="00086A22">
            <w:pPr>
              <w:spacing w:before="100" w:beforeAutospacing="1" w:after="100" w:afterAutospacing="1" w:line="360" w:lineRule="auto"/>
              <w:rPr>
                <w:rFonts w:asciiTheme="majorHAnsi" w:hAnsiTheme="majorHAnsi" w:cstheme="majorHAnsi"/>
                <w:sz w:val="20"/>
                <w:szCs w:val="20"/>
                <w:lang w:val="en-US"/>
              </w:rPr>
            </w:pPr>
            <w:r w:rsidRPr="00AA04A4">
              <w:rPr>
                <w:rFonts w:asciiTheme="majorHAnsi" w:hAnsiTheme="majorHAnsi" w:cstheme="majorHAnsi"/>
                <w:sz w:val="20"/>
                <w:szCs w:val="20"/>
              </w:rPr>
              <w:t>0</w:t>
            </w:r>
          </w:p>
        </w:tc>
        <w:tc>
          <w:tcPr>
            <w:tcW w:w="1557" w:type="dxa"/>
            <w:hideMark/>
          </w:tcPr>
          <w:p w14:paraId="3D0B0D5F" w14:textId="77777777" w:rsidR="00086A22" w:rsidRPr="00AA04A4" w:rsidRDefault="00086A22" w:rsidP="00086A22">
            <w:pPr>
              <w:spacing w:before="100" w:beforeAutospacing="1" w:after="100" w:afterAutospacing="1" w:line="360" w:lineRule="auto"/>
              <w:rPr>
                <w:rFonts w:asciiTheme="majorHAnsi" w:hAnsiTheme="majorHAnsi" w:cstheme="majorHAnsi"/>
                <w:sz w:val="20"/>
                <w:szCs w:val="20"/>
                <w:lang w:val="en-US"/>
              </w:rPr>
            </w:pPr>
            <w:r w:rsidRPr="00AA04A4">
              <w:rPr>
                <w:rFonts w:asciiTheme="majorHAnsi" w:hAnsiTheme="majorHAnsi" w:cstheme="majorHAnsi"/>
                <w:sz w:val="20"/>
                <w:szCs w:val="20"/>
              </w:rPr>
              <w:t>11</w:t>
            </w:r>
          </w:p>
        </w:tc>
        <w:tc>
          <w:tcPr>
            <w:tcW w:w="1561" w:type="dxa"/>
            <w:hideMark/>
          </w:tcPr>
          <w:p w14:paraId="6C0CCEAD" w14:textId="77777777" w:rsidR="00086A22" w:rsidRPr="00AA04A4" w:rsidRDefault="00086A22" w:rsidP="00086A22">
            <w:pPr>
              <w:spacing w:before="100" w:beforeAutospacing="1" w:after="100" w:afterAutospacing="1" w:line="360" w:lineRule="auto"/>
              <w:rPr>
                <w:rFonts w:asciiTheme="majorHAnsi" w:hAnsiTheme="majorHAnsi" w:cstheme="majorHAnsi"/>
                <w:sz w:val="20"/>
                <w:szCs w:val="20"/>
                <w:lang w:val="en-US"/>
              </w:rPr>
            </w:pPr>
            <w:r w:rsidRPr="00AA04A4">
              <w:rPr>
                <w:rFonts w:asciiTheme="majorHAnsi" w:hAnsiTheme="majorHAnsi" w:cstheme="majorHAnsi"/>
                <w:sz w:val="20"/>
                <w:szCs w:val="20"/>
              </w:rPr>
              <w:t>16</w:t>
            </w:r>
          </w:p>
        </w:tc>
      </w:tr>
      <w:tr w:rsidR="00086A22" w:rsidRPr="00AA04A4" w14:paraId="55198E47" w14:textId="77777777" w:rsidTr="00FF4CA3">
        <w:trPr>
          <w:trHeight w:val="238"/>
        </w:trPr>
        <w:tc>
          <w:tcPr>
            <w:tcW w:w="1621" w:type="dxa"/>
            <w:hideMark/>
          </w:tcPr>
          <w:p w14:paraId="36A51399" w14:textId="77777777" w:rsidR="00086A22" w:rsidRPr="00AA04A4" w:rsidRDefault="00086A22" w:rsidP="00086A22">
            <w:pPr>
              <w:spacing w:before="100" w:beforeAutospacing="1" w:after="100" w:afterAutospacing="1" w:line="360" w:lineRule="auto"/>
              <w:rPr>
                <w:rFonts w:asciiTheme="majorHAnsi" w:hAnsiTheme="majorHAnsi" w:cstheme="majorHAnsi"/>
                <w:sz w:val="20"/>
                <w:szCs w:val="20"/>
                <w:lang w:val="en-US"/>
              </w:rPr>
            </w:pPr>
            <w:r w:rsidRPr="00AA04A4">
              <w:rPr>
                <w:rFonts w:asciiTheme="majorHAnsi" w:hAnsiTheme="majorHAnsi" w:cstheme="majorHAnsi"/>
                <w:b/>
                <w:bCs/>
                <w:sz w:val="20"/>
                <w:szCs w:val="20"/>
              </w:rPr>
              <w:t>9</w:t>
            </w:r>
          </w:p>
        </w:tc>
        <w:tc>
          <w:tcPr>
            <w:tcW w:w="1557" w:type="dxa"/>
            <w:hideMark/>
          </w:tcPr>
          <w:p w14:paraId="75EDA667" w14:textId="77777777" w:rsidR="00086A22" w:rsidRPr="00AA04A4" w:rsidRDefault="00086A22" w:rsidP="00086A22">
            <w:pPr>
              <w:spacing w:before="100" w:beforeAutospacing="1" w:after="100" w:afterAutospacing="1" w:line="360" w:lineRule="auto"/>
              <w:rPr>
                <w:rFonts w:asciiTheme="majorHAnsi" w:hAnsiTheme="majorHAnsi" w:cstheme="majorHAnsi"/>
                <w:sz w:val="20"/>
                <w:szCs w:val="20"/>
                <w:lang w:val="en-US"/>
              </w:rPr>
            </w:pPr>
            <w:r w:rsidRPr="00AA04A4">
              <w:rPr>
                <w:rFonts w:asciiTheme="majorHAnsi" w:hAnsiTheme="majorHAnsi" w:cstheme="majorHAnsi"/>
                <w:sz w:val="20"/>
                <w:szCs w:val="20"/>
              </w:rPr>
              <w:t>0</w:t>
            </w:r>
          </w:p>
        </w:tc>
        <w:tc>
          <w:tcPr>
            <w:tcW w:w="1558" w:type="dxa"/>
            <w:hideMark/>
          </w:tcPr>
          <w:p w14:paraId="3915A4BF" w14:textId="77777777" w:rsidR="00086A22" w:rsidRPr="00AA04A4" w:rsidRDefault="00086A22" w:rsidP="00086A22">
            <w:pPr>
              <w:spacing w:before="100" w:beforeAutospacing="1" w:after="100" w:afterAutospacing="1" w:line="360" w:lineRule="auto"/>
              <w:rPr>
                <w:rFonts w:asciiTheme="majorHAnsi" w:hAnsiTheme="majorHAnsi" w:cstheme="majorHAnsi"/>
                <w:sz w:val="20"/>
                <w:szCs w:val="20"/>
                <w:lang w:val="en-US"/>
              </w:rPr>
            </w:pPr>
            <w:r w:rsidRPr="00AA04A4">
              <w:rPr>
                <w:rFonts w:asciiTheme="majorHAnsi" w:hAnsiTheme="majorHAnsi" w:cstheme="majorHAnsi"/>
                <w:sz w:val="20"/>
                <w:szCs w:val="20"/>
              </w:rPr>
              <w:t>0</w:t>
            </w:r>
          </w:p>
        </w:tc>
        <w:tc>
          <w:tcPr>
            <w:tcW w:w="1557" w:type="dxa"/>
            <w:hideMark/>
          </w:tcPr>
          <w:p w14:paraId="0E5DF973" w14:textId="77777777" w:rsidR="00086A22" w:rsidRPr="00AA04A4" w:rsidRDefault="00086A22" w:rsidP="00086A22">
            <w:pPr>
              <w:spacing w:before="100" w:beforeAutospacing="1" w:after="100" w:afterAutospacing="1" w:line="360" w:lineRule="auto"/>
              <w:rPr>
                <w:rFonts w:asciiTheme="majorHAnsi" w:hAnsiTheme="majorHAnsi" w:cstheme="majorHAnsi"/>
                <w:sz w:val="20"/>
                <w:szCs w:val="20"/>
                <w:lang w:val="en-US"/>
              </w:rPr>
            </w:pPr>
            <w:r w:rsidRPr="00AA04A4">
              <w:rPr>
                <w:rFonts w:asciiTheme="majorHAnsi" w:hAnsiTheme="majorHAnsi" w:cstheme="majorHAnsi"/>
                <w:sz w:val="20"/>
                <w:szCs w:val="20"/>
              </w:rPr>
              <w:t>0</w:t>
            </w:r>
          </w:p>
        </w:tc>
        <w:tc>
          <w:tcPr>
            <w:tcW w:w="1561" w:type="dxa"/>
            <w:hideMark/>
          </w:tcPr>
          <w:p w14:paraId="46375DE2" w14:textId="77777777" w:rsidR="00086A22" w:rsidRPr="00AA04A4" w:rsidRDefault="00086A22" w:rsidP="00086A22">
            <w:pPr>
              <w:spacing w:before="100" w:beforeAutospacing="1" w:after="100" w:afterAutospacing="1" w:line="360" w:lineRule="auto"/>
              <w:rPr>
                <w:rFonts w:asciiTheme="majorHAnsi" w:hAnsiTheme="majorHAnsi" w:cstheme="majorHAnsi"/>
                <w:sz w:val="20"/>
                <w:szCs w:val="20"/>
                <w:lang w:val="en-US"/>
              </w:rPr>
            </w:pPr>
            <w:r w:rsidRPr="00AA04A4">
              <w:rPr>
                <w:rFonts w:asciiTheme="majorHAnsi" w:hAnsiTheme="majorHAnsi" w:cstheme="majorHAnsi"/>
                <w:sz w:val="20"/>
                <w:szCs w:val="20"/>
              </w:rPr>
              <w:t>0</w:t>
            </w:r>
          </w:p>
        </w:tc>
      </w:tr>
      <w:tr w:rsidR="00086A22" w:rsidRPr="00AA04A4" w14:paraId="51B70B46" w14:textId="77777777" w:rsidTr="00FF4CA3">
        <w:trPr>
          <w:trHeight w:val="238"/>
        </w:trPr>
        <w:tc>
          <w:tcPr>
            <w:tcW w:w="1621" w:type="dxa"/>
            <w:hideMark/>
          </w:tcPr>
          <w:p w14:paraId="50741834" w14:textId="77777777" w:rsidR="00086A22" w:rsidRPr="00AA04A4" w:rsidRDefault="00086A22" w:rsidP="00086A22">
            <w:pPr>
              <w:spacing w:before="100" w:beforeAutospacing="1" w:after="100" w:afterAutospacing="1" w:line="360" w:lineRule="auto"/>
              <w:rPr>
                <w:rFonts w:asciiTheme="majorHAnsi" w:hAnsiTheme="majorHAnsi" w:cstheme="majorHAnsi"/>
                <w:sz w:val="20"/>
                <w:szCs w:val="20"/>
                <w:lang w:val="en-US"/>
              </w:rPr>
            </w:pPr>
            <w:r w:rsidRPr="00AA04A4">
              <w:rPr>
                <w:rFonts w:asciiTheme="majorHAnsi" w:hAnsiTheme="majorHAnsi" w:cstheme="majorHAnsi"/>
                <w:b/>
                <w:bCs/>
                <w:sz w:val="20"/>
                <w:szCs w:val="20"/>
              </w:rPr>
              <w:t>10</w:t>
            </w:r>
          </w:p>
        </w:tc>
        <w:tc>
          <w:tcPr>
            <w:tcW w:w="1557" w:type="dxa"/>
            <w:hideMark/>
          </w:tcPr>
          <w:p w14:paraId="10D157A3" w14:textId="77777777" w:rsidR="00086A22" w:rsidRPr="00AA04A4" w:rsidRDefault="00086A22" w:rsidP="00086A22">
            <w:pPr>
              <w:spacing w:before="100" w:beforeAutospacing="1" w:after="100" w:afterAutospacing="1" w:line="360" w:lineRule="auto"/>
              <w:rPr>
                <w:rFonts w:asciiTheme="majorHAnsi" w:hAnsiTheme="majorHAnsi" w:cstheme="majorHAnsi"/>
                <w:sz w:val="20"/>
                <w:szCs w:val="20"/>
                <w:lang w:val="en-US"/>
              </w:rPr>
            </w:pPr>
            <w:r w:rsidRPr="00AA04A4">
              <w:rPr>
                <w:rFonts w:asciiTheme="majorHAnsi" w:hAnsiTheme="majorHAnsi" w:cstheme="majorHAnsi"/>
                <w:sz w:val="20"/>
                <w:szCs w:val="20"/>
              </w:rPr>
              <w:t>0</w:t>
            </w:r>
          </w:p>
        </w:tc>
        <w:tc>
          <w:tcPr>
            <w:tcW w:w="1558" w:type="dxa"/>
            <w:hideMark/>
          </w:tcPr>
          <w:p w14:paraId="4A1BCC66" w14:textId="77777777" w:rsidR="00086A22" w:rsidRPr="00AA04A4" w:rsidRDefault="00086A22" w:rsidP="00086A22">
            <w:pPr>
              <w:spacing w:before="100" w:beforeAutospacing="1" w:after="100" w:afterAutospacing="1" w:line="360" w:lineRule="auto"/>
              <w:rPr>
                <w:rFonts w:asciiTheme="majorHAnsi" w:hAnsiTheme="majorHAnsi" w:cstheme="majorHAnsi"/>
                <w:sz w:val="20"/>
                <w:szCs w:val="20"/>
                <w:lang w:val="en-US"/>
              </w:rPr>
            </w:pPr>
            <w:r w:rsidRPr="00AA04A4">
              <w:rPr>
                <w:rFonts w:asciiTheme="majorHAnsi" w:hAnsiTheme="majorHAnsi" w:cstheme="majorHAnsi"/>
                <w:sz w:val="20"/>
                <w:szCs w:val="20"/>
              </w:rPr>
              <w:t>0</w:t>
            </w:r>
          </w:p>
        </w:tc>
        <w:tc>
          <w:tcPr>
            <w:tcW w:w="1557" w:type="dxa"/>
            <w:hideMark/>
          </w:tcPr>
          <w:p w14:paraId="277D4A23" w14:textId="77777777" w:rsidR="00086A22" w:rsidRPr="00AA04A4" w:rsidRDefault="00086A22" w:rsidP="00086A22">
            <w:pPr>
              <w:spacing w:before="100" w:beforeAutospacing="1" w:after="100" w:afterAutospacing="1" w:line="360" w:lineRule="auto"/>
              <w:rPr>
                <w:rFonts w:asciiTheme="majorHAnsi" w:hAnsiTheme="majorHAnsi" w:cstheme="majorHAnsi"/>
                <w:sz w:val="20"/>
                <w:szCs w:val="20"/>
                <w:lang w:val="en-US"/>
              </w:rPr>
            </w:pPr>
            <w:r w:rsidRPr="00AA04A4">
              <w:rPr>
                <w:rFonts w:asciiTheme="majorHAnsi" w:hAnsiTheme="majorHAnsi" w:cstheme="majorHAnsi"/>
                <w:sz w:val="20"/>
                <w:szCs w:val="20"/>
              </w:rPr>
              <w:t>2</w:t>
            </w:r>
          </w:p>
        </w:tc>
        <w:tc>
          <w:tcPr>
            <w:tcW w:w="1561" w:type="dxa"/>
            <w:hideMark/>
          </w:tcPr>
          <w:p w14:paraId="0C91D578" w14:textId="77777777" w:rsidR="00086A22" w:rsidRPr="00AA04A4" w:rsidRDefault="00086A22" w:rsidP="00086A22">
            <w:pPr>
              <w:spacing w:before="100" w:beforeAutospacing="1" w:after="100" w:afterAutospacing="1" w:line="360" w:lineRule="auto"/>
              <w:rPr>
                <w:rFonts w:asciiTheme="majorHAnsi" w:hAnsiTheme="majorHAnsi" w:cstheme="majorHAnsi"/>
                <w:sz w:val="20"/>
                <w:szCs w:val="20"/>
                <w:lang w:val="en-US"/>
              </w:rPr>
            </w:pPr>
            <w:r w:rsidRPr="00AA04A4">
              <w:rPr>
                <w:rFonts w:asciiTheme="majorHAnsi" w:hAnsiTheme="majorHAnsi" w:cstheme="majorHAnsi"/>
                <w:sz w:val="20"/>
                <w:szCs w:val="20"/>
              </w:rPr>
              <w:t>3</w:t>
            </w:r>
          </w:p>
        </w:tc>
      </w:tr>
      <w:tr w:rsidR="00086A22" w:rsidRPr="00AA04A4" w14:paraId="417EEA36" w14:textId="77777777" w:rsidTr="00FF4CA3">
        <w:trPr>
          <w:trHeight w:val="238"/>
        </w:trPr>
        <w:tc>
          <w:tcPr>
            <w:tcW w:w="1621" w:type="dxa"/>
            <w:hideMark/>
          </w:tcPr>
          <w:p w14:paraId="76385C7C" w14:textId="77777777" w:rsidR="00086A22" w:rsidRPr="00AA04A4" w:rsidRDefault="00086A22" w:rsidP="00086A22">
            <w:pPr>
              <w:spacing w:before="100" w:beforeAutospacing="1" w:after="100" w:afterAutospacing="1" w:line="360" w:lineRule="auto"/>
              <w:rPr>
                <w:rFonts w:asciiTheme="majorHAnsi" w:hAnsiTheme="majorHAnsi" w:cstheme="majorHAnsi"/>
                <w:sz w:val="20"/>
                <w:szCs w:val="20"/>
                <w:lang w:val="en-US"/>
              </w:rPr>
            </w:pPr>
            <w:r w:rsidRPr="00AA04A4">
              <w:rPr>
                <w:rFonts w:asciiTheme="majorHAnsi" w:hAnsiTheme="majorHAnsi" w:cstheme="majorHAnsi"/>
                <w:b/>
                <w:bCs/>
                <w:sz w:val="20"/>
                <w:szCs w:val="20"/>
              </w:rPr>
              <w:t>Total</w:t>
            </w:r>
          </w:p>
        </w:tc>
        <w:tc>
          <w:tcPr>
            <w:tcW w:w="1557" w:type="dxa"/>
            <w:hideMark/>
          </w:tcPr>
          <w:p w14:paraId="6B40FC00" w14:textId="77777777" w:rsidR="00086A22" w:rsidRPr="00AA04A4" w:rsidRDefault="00086A22" w:rsidP="00086A22">
            <w:pPr>
              <w:spacing w:before="100" w:beforeAutospacing="1" w:after="100" w:afterAutospacing="1" w:line="360" w:lineRule="auto"/>
              <w:rPr>
                <w:rFonts w:asciiTheme="majorHAnsi" w:hAnsiTheme="majorHAnsi" w:cstheme="majorHAnsi"/>
                <w:sz w:val="20"/>
                <w:szCs w:val="20"/>
                <w:lang w:val="en-US"/>
              </w:rPr>
            </w:pPr>
            <w:r w:rsidRPr="00AA04A4">
              <w:rPr>
                <w:rFonts w:asciiTheme="majorHAnsi" w:hAnsiTheme="majorHAnsi" w:cstheme="majorHAnsi"/>
                <w:sz w:val="20"/>
                <w:szCs w:val="20"/>
              </w:rPr>
              <w:t>0</w:t>
            </w:r>
          </w:p>
        </w:tc>
        <w:tc>
          <w:tcPr>
            <w:tcW w:w="1558" w:type="dxa"/>
            <w:hideMark/>
          </w:tcPr>
          <w:p w14:paraId="37108F0D" w14:textId="77777777" w:rsidR="00086A22" w:rsidRPr="00AA04A4" w:rsidRDefault="00086A22" w:rsidP="00086A22">
            <w:pPr>
              <w:spacing w:before="100" w:beforeAutospacing="1" w:after="100" w:afterAutospacing="1" w:line="360" w:lineRule="auto"/>
              <w:rPr>
                <w:rFonts w:asciiTheme="majorHAnsi" w:hAnsiTheme="majorHAnsi" w:cstheme="majorHAnsi"/>
                <w:sz w:val="20"/>
                <w:szCs w:val="20"/>
                <w:lang w:val="en-US"/>
              </w:rPr>
            </w:pPr>
            <w:r w:rsidRPr="00AA04A4">
              <w:rPr>
                <w:rFonts w:asciiTheme="majorHAnsi" w:hAnsiTheme="majorHAnsi" w:cstheme="majorHAnsi"/>
                <w:sz w:val="20"/>
                <w:szCs w:val="20"/>
              </w:rPr>
              <w:t>3</w:t>
            </w:r>
          </w:p>
        </w:tc>
        <w:tc>
          <w:tcPr>
            <w:tcW w:w="1557" w:type="dxa"/>
            <w:hideMark/>
          </w:tcPr>
          <w:p w14:paraId="114CB3BA" w14:textId="77777777" w:rsidR="00086A22" w:rsidRPr="00AA04A4" w:rsidRDefault="00086A22" w:rsidP="00086A22">
            <w:pPr>
              <w:spacing w:before="100" w:beforeAutospacing="1" w:after="100" w:afterAutospacing="1" w:line="360" w:lineRule="auto"/>
              <w:rPr>
                <w:rFonts w:asciiTheme="majorHAnsi" w:hAnsiTheme="majorHAnsi" w:cstheme="majorHAnsi"/>
                <w:sz w:val="20"/>
                <w:szCs w:val="20"/>
                <w:lang w:val="en-US"/>
              </w:rPr>
            </w:pPr>
            <w:r w:rsidRPr="00AA04A4">
              <w:rPr>
                <w:rFonts w:asciiTheme="majorHAnsi" w:hAnsiTheme="majorHAnsi" w:cstheme="majorHAnsi"/>
                <w:sz w:val="20"/>
                <w:szCs w:val="20"/>
              </w:rPr>
              <w:t>239</w:t>
            </w:r>
          </w:p>
        </w:tc>
        <w:tc>
          <w:tcPr>
            <w:tcW w:w="1561" w:type="dxa"/>
            <w:hideMark/>
          </w:tcPr>
          <w:p w14:paraId="46979D6B" w14:textId="77777777" w:rsidR="00086A22" w:rsidRPr="00AA04A4" w:rsidRDefault="00086A22" w:rsidP="00086A22">
            <w:pPr>
              <w:spacing w:before="100" w:beforeAutospacing="1" w:after="100" w:afterAutospacing="1" w:line="360" w:lineRule="auto"/>
              <w:rPr>
                <w:rFonts w:asciiTheme="majorHAnsi" w:hAnsiTheme="majorHAnsi" w:cstheme="majorHAnsi"/>
                <w:sz w:val="20"/>
                <w:szCs w:val="20"/>
                <w:lang w:val="en-US"/>
              </w:rPr>
            </w:pPr>
            <w:r w:rsidRPr="00AA04A4">
              <w:rPr>
                <w:rFonts w:asciiTheme="majorHAnsi" w:hAnsiTheme="majorHAnsi" w:cstheme="majorHAnsi"/>
                <w:sz w:val="20"/>
                <w:szCs w:val="20"/>
              </w:rPr>
              <w:t>431</w:t>
            </w:r>
          </w:p>
        </w:tc>
      </w:tr>
      <w:tr w:rsidR="00086A22" w:rsidRPr="00AA04A4" w14:paraId="10AAE9EF" w14:textId="77777777" w:rsidTr="00FF4CA3">
        <w:trPr>
          <w:trHeight w:val="108"/>
        </w:trPr>
        <w:tc>
          <w:tcPr>
            <w:tcW w:w="1621" w:type="dxa"/>
            <w:hideMark/>
          </w:tcPr>
          <w:p w14:paraId="3CEBF960" w14:textId="77777777" w:rsidR="00086A22" w:rsidRPr="00AA04A4" w:rsidRDefault="00086A22" w:rsidP="00086A22">
            <w:pPr>
              <w:spacing w:before="100" w:beforeAutospacing="1" w:after="100" w:afterAutospacing="1" w:line="360" w:lineRule="auto"/>
              <w:rPr>
                <w:rFonts w:asciiTheme="majorHAnsi" w:hAnsiTheme="majorHAnsi" w:cstheme="majorHAnsi"/>
                <w:sz w:val="20"/>
                <w:szCs w:val="20"/>
                <w:lang w:val="en-US"/>
              </w:rPr>
            </w:pPr>
            <w:r w:rsidRPr="00AA04A4">
              <w:rPr>
                <w:rFonts w:asciiTheme="majorHAnsi" w:hAnsiTheme="majorHAnsi" w:cstheme="majorHAnsi"/>
                <w:sz w:val="20"/>
                <w:szCs w:val="20"/>
              </w:rPr>
              <w:t> </w:t>
            </w:r>
          </w:p>
        </w:tc>
        <w:tc>
          <w:tcPr>
            <w:tcW w:w="1557" w:type="dxa"/>
            <w:hideMark/>
          </w:tcPr>
          <w:p w14:paraId="43CAB6F6" w14:textId="77777777" w:rsidR="00086A22" w:rsidRPr="00AA04A4" w:rsidRDefault="00086A22" w:rsidP="00086A22">
            <w:pPr>
              <w:spacing w:before="100" w:beforeAutospacing="1" w:after="100" w:afterAutospacing="1" w:line="360" w:lineRule="auto"/>
              <w:rPr>
                <w:rFonts w:asciiTheme="majorHAnsi" w:hAnsiTheme="majorHAnsi" w:cstheme="majorHAnsi"/>
                <w:sz w:val="20"/>
                <w:szCs w:val="20"/>
                <w:lang w:val="en-US"/>
              </w:rPr>
            </w:pPr>
            <w:r w:rsidRPr="00AA04A4">
              <w:rPr>
                <w:rFonts w:asciiTheme="majorHAnsi" w:hAnsiTheme="majorHAnsi" w:cstheme="majorHAnsi"/>
                <w:sz w:val="20"/>
                <w:szCs w:val="20"/>
              </w:rPr>
              <w:t> </w:t>
            </w:r>
          </w:p>
        </w:tc>
        <w:tc>
          <w:tcPr>
            <w:tcW w:w="1558" w:type="dxa"/>
            <w:hideMark/>
          </w:tcPr>
          <w:p w14:paraId="52D9C219" w14:textId="77777777" w:rsidR="00086A22" w:rsidRPr="00AA04A4" w:rsidRDefault="00086A22" w:rsidP="00086A22">
            <w:pPr>
              <w:spacing w:before="100" w:beforeAutospacing="1" w:after="100" w:afterAutospacing="1" w:line="360" w:lineRule="auto"/>
              <w:rPr>
                <w:rFonts w:asciiTheme="majorHAnsi" w:hAnsiTheme="majorHAnsi" w:cstheme="majorHAnsi"/>
                <w:sz w:val="20"/>
                <w:szCs w:val="20"/>
                <w:lang w:val="en-US"/>
              </w:rPr>
            </w:pPr>
            <w:r w:rsidRPr="00AA04A4">
              <w:rPr>
                <w:rFonts w:asciiTheme="majorHAnsi" w:hAnsiTheme="majorHAnsi" w:cstheme="majorHAnsi"/>
                <w:sz w:val="20"/>
                <w:szCs w:val="20"/>
              </w:rPr>
              <w:t> </w:t>
            </w:r>
          </w:p>
        </w:tc>
        <w:tc>
          <w:tcPr>
            <w:tcW w:w="1557" w:type="dxa"/>
            <w:hideMark/>
          </w:tcPr>
          <w:p w14:paraId="06F824E8" w14:textId="77777777" w:rsidR="00086A22" w:rsidRPr="00AA04A4" w:rsidRDefault="00086A22" w:rsidP="00086A22">
            <w:pPr>
              <w:spacing w:before="100" w:beforeAutospacing="1" w:after="100" w:afterAutospacing="1" w:line="360" w:lineRule="auto"/>
              <w:rPr>
                <w:rFonts w:asciiTheme="majorHAnsi" w:hAnsiTheme="majorHAnsi" w:cstheme="majorHAnsi"/>
                <w:sz w:val="20"/>
                <w:szCs w:val="20"/>
                <w:lang w:val="en-US"/>
              </w:rPr>
            </w:pPr>
            <w:r w:rsidRPr="00AA04A4">
              <w:rPr>
                <w:rFonts w:asciiTheme="majorHAnsi" w:hAnsiTheme="majorHAnsi" w:cstheme="majorHAnsi"/>
                <w:sz w:val="20"/>
                <w:szCs w:val="20"/>
              </w:rPr>
              <w:t> </w:t>
            </w:r>
          </w:p>
        </w:tc>
        <w:tc>
          <w:tcPr>
            <w:tcW w:w="1561" w:type="dxa"/>
            <w:hideMark/>
          </w:tcPr>
          <w:p w14:paraId="78AC9A5D" w14:textId="77777777" w:rsidR="00086A22" w:rsidRPr="00AA04A4" w:rsidRDefault="00086A22" w:rsidP="00086A22">
            <w:pPr>
              <w:spacing w:before="100" w:beforeAutospacing="1" w:after="100" w:afterAutospacing="1" w:line="360" w:lineRule="auto"/>
              <w:rPr>
                <w:rFonts w:asciiTheme="majorHAnsi" w:hAnsiTheme="majorHAnsi" w:cstheme="majorHAnsi"/>
                <w:sz w:val="20"/>
                <w:szCs w:val="20"/>
                <w:lang w:val="en-US"/>
              </w:rPr>
            </w:pPr>
            <w:r w:rsidRPr="00AA04A4">
              <w:rPr>
                <w:rFonts w:asciiTheme="majorHAnsi" w:hAnsiTheme="majorHAnsi" w:cstheme="majorHAnsi"/>
                <w:sz w:val="20"/>
                <w:szCs w:val="20"/>
              </w:rPr>
              <w:t> </w:t>
            </w:r>
          </w:p>
        </w:tc>
      </w:tr>
    </w:tbl>
    <w:p w14:paraId="1577ECEE" w14:textId="1E38381D" w:rsidR="008D0CAD" w:rsidRPr="00AA04A4" w:rsidRDefault="008D0CAD" w:rsidP="00796BFA">
      <w:pPr>
        <w:spacing w:before="100" w:beforeAutospacing="1" w:after="100" w:afterAutospacing="1" w:line="360" w:lineRule="auto"/>
        <w:rPr>
          <w:rFonts w:asciiTheme="majorHAnsi" w:hAnsiTheme="majorHAnsi" w:cstheme="majorHAnsi"/>
          <w:lang w:val="en-US"/>
        </w:rPr>
      </w:pPr>
      <w:r w:rsidRPr="00AA04A4">
        <w:rPr>
          <w:rFonts w:asciiTheme="majorHAnsi" w:hAnsiTheme="majorHAnsi" w:cstheme="majorHAnsi"/>
          <w:lang w:val="en-US"/>
        </w:rPr>
        <w:t>The same process was followed for identifying the comparison schools.</w:t>
      </w:r>
      <w:r w:rsidR="00D434EB">
        <w:rPr>
          <w:rFonts w:asciiTheme="majorHAnsi" w:hAnsiTheme="majorHAnsi" w:cstheme="majorHAnsi"/>
          <w:lang w:val="en-US"/>
        </w:rPr>
        <w:t xml:space="preserve"> </w:t>
      </w:r>
      <w:r w:rsidRPr="00AA04A4">
        <w:rPr>
          <w:rFonts w:asciiTheme="majorHAnsi" w:hAnsiTheme="majorHAnsi" w:cstheme="majorHAnsi"/>
          <w:lang w:val="en-US"/>
        </w:rPr>
        <w:t>Data was also obtained for indirect recipient schools which were located in the same divisions as that of the direct recipient schools.</w:t>
      </w:r>
      <w:r w:rsidR="00D434EB">
        <w:rPr>
          <w:rFonts w:asciiTheme="majorHAnsi" w:hAnsiTheme="majorHAnsi" w:cstheme="majorHAnsi"/>
          <w:lang w:val="en-US"/>
        </w:rPr>
        <w:t xml:space="preserve"> </w:t>
      </w:r>
      <w:r w:rsidRPr="00AA04A4">
        <w:rPr>
          <w:rFonts w:asciiTheme="majorHAnsi" w:hAnsiTheme="majorHAnsi" w:cstheme="majorHAnsi"/>
          <w:lang w:val="en-US"/>
        </w:rPr>
        <w:t>Observations with missing average grades were dropped resulting in 5,689 indirect recipient schools included in the analysis.</w:t>
      </w:r>
      <w:r w:rsidR="00D434EB">
        <w:rPr>
          <w:rFonts w:asciiTheme="majorHAnsi" w:hAnsiTheme="majorHAnsi" w:cstheme="majorHAnsi"/>
          <w:lang w:val="en-US"/>
        </w:rPr>
        <w:t xml:space="preserve"> </w:t>
      </w:r>
      <w:r w:rsidRPr="00AA04A4">
        <w:rPr>
          <w:rFonts w:asciiTheme="majorHAnsi" w:hAnsiTheme="majorHAnsi" w:cstheme="majorHAnsi"/>
          <w:lang w:val="en-US"/>
        </w:rPr>
        <w:t>Thus, the list of 629 direct recipient schools and 5,689 indirect recipient schools was the dataset used in the succeeding calculations.</w:t>
      </w:r>
    </w:p>
    <w:p w14:paraId="34C91691" w14:textId="7E00BC0C" w:rsidR="008D0CAD" w:rsidRPr="00AA04A4" w:rsidRDefault="008D0CAD" w:rsidP="00796BFA">
      <w:pPr>
        <w:spacing w:before="100" w:beforeAutospacing="1" w:after="100" w:afterAutospacing="1" w:line="360" w:lineRule="auto"/>
        <w:rPr>
          <w:rFonts w:asciiTheme="majorHAnsi" w:hAnsiTheme="majorHAnsi" w:cstheme="majorHAnsi"/>
          <w:lang w:val="en-US"/>
        </w:rPr>
      </w:pPr>
      <w:r w:rsidRPr="00AA04A4">
        <w:rPr>
          <w:rFonts w:asciiTheme="majorHAnsi" w:hAnsiTheme="majorHAnsi" w:cstheme="majorHAnsi"/>
          <w:lang w:val="en-US"/>
        </w:rPr>
        <w:t xml:space="preserve">It should be noted that the grades provided in this list were averaged by school, meaning it represented the </w:t>
      </w:r>
      <w:r w:rsidRPr="00AA04A4">
        <w:rPr>
          <w:rFonts w:asciiTheme="majorHAnsi" w:hAnsiTheme="majorHAnsi" w:cstheme="majorHAnsi"/>
          <w:b/>
          <w:lang w:val="en-US"/>
        </w:rPr>
        <w:t>average grades of all students in a school</w:t>
      </w:r>
      <w:r w:rsidRPr="00AA04A4">
        <w:rPr>
          <w:rFonts w:asciiTheme="majorHAnsi" w:hAnsiTheme="majorHAnsi" w:cstheme="majorHAnsi"/>
          <w:lang w:val="en-US"/>
        </w:rPr>
        <w:t>.</w:t>
      </w:r>
      <w:r w:rsidR="00D434EB">
        <w:rPr>
          <w:rFonts w:asciiTheme="majorHAnsi" w:hAnsiTheme="majorHAnsi" w:cstheme="majorHAnsi"/>
          <w:lang w:val="en-US"/>
        </w:rPr>
        <w:t xml:space="preserve"> </w:t>
      </w:r>
      <w:r w:rsidRPr="00AA04A4">
        <w:rPr>
          <w:rFonts w:asciiTheme="majorHAnsi" w:hAnsiTheme="majorHAnsi" w:cstheme="majorHAnsi"/>
          <w:lang w:val="en-US"/>
        </w:rPr>
        <w:t>The data was not disaggregated by subject (i.e., English, Science, Maths and Filipino) and by sex (male and female).</w:t>
      </w:r>
      <w:r w:rsidR="00D434EB">
        <w:rPr>
          <w:rFonts w:asciiTheme="majorHAnsi" w:hAnsiTheme="majorHAnsi" w:cstheme="majorHAnsi"/>
          <w:lang w:val="en-US"/>
        </w:rPr>
        <w:t xml:space="preserve"> </w:t>
      </w:r>
      <w:r w:rsidRPr="00AA04A4">
        <w:rPr>
          <w:rFonts w:asciiTheme="majorHAnsi" w:hAnsiTheme="majorHAnsi" w:cstheme="majorHAnsi"/>
          <w:lang w:val="en-US"/>
        </w:rPr>
        <w:t>This was in fact the reason why the EOPE Study initially attempted to obtain data directly from the schools.</w:t>
      </w:r>
    </w:p>
    <w:p w14:paraId="678F7D3B" w14:textId="2E456B1A" w:rsidR="00093517" w:rsidRPr="00AA04A4" w:rsidRDefault="008D0CAD" w:rsidP="00796BFA">
      <w:pPr>
        <w:spacing w:before="100" w:beforeAutospacing="1" w:after="100" w:afterAutospacing="1" w:line="360" w:lineRule="auto"/>
        <w:rPr>
          <w:rFonts w:asciiTheme="majorHAnsi" w:hAnsiTheme="majorHAnsi" w:cstheme="majorHAnsi"/>
          <w:bCs/>
          <w:color w:val="000000"/>
          <w:lang w:val="en-US"/>
        </w:rPr>
      </w:pPr>
      <w:r w:rsidRPr="00AA04A4">
        <w:rPr>
          <w:rFonts w:asciiTheme="majorHAnsi" w:hAnsiTheme="majorHAnsi" w:cstheme="majorHAnsi"/>
          <w:lang w:val="en-US"/>
        </w:rPr>
        <w:t xml:space="preserve">Although it may appear that having more indirect recipient schools would distort the results, </w:t>
      </w:r>
      <w:r w:rsidRPr="00AA04A4">
        <w:rPr>
          <w:rFonts w:asciiTheme="majorHAnsi" w:hAnsiTheme="majorHAnsi" w:cstheme="majorHAnsi"/>
          <w:bCs/>
          <w:color w:val="000000"/>
          <w:lang w:val="en-US"/>
        </w:rPr>
        <w:t>increasing the number of observations in the analysis only reduced the estimation errors and did not significantly change the estimated effects under the assumption that both groups of schools were within the same geographic areas, which was the case.</w:t>
      </w:r>
    </w:p>
    <w:p w14:paraId="06C4242B" w14:textId="77777777" w:rsidR="008D0CAD" w:rsidRPr="00AA04A4" w:rsidRDefault="008D0CAD" w:rsidP="00796BFA">
      <w:pPr>
        <w:spacing w:before="100" w:beforeAutospacing="1" w:after="100" w:afterAutospacing="1" w:line="360" w:lineRule="auto"/>
        <w:rPr>
          <w:rFonts w:asciiTheme="majorHAnsi" w:hAnsiTheme="majorHAnsi" w:cstheme="majorHAnsi"/>
          <w:b/>
          <w:bCs/>
          <w:lang w:val="en-US"/>
        </w:rPr>
      </w:pPr>
      <w:bookmarkStart w:id="398" w:name="_Toc15638013"/>
      <w:r w:rsidRPr="00AA04A4">
        <w:rPr>
          <w:rFonts w:asciiTheme="majorHAnsi" w:hAnsiTheme="majorHAnsi" w:cstheme="majorHAnsi"/>
          <w:b/>
          <w:bCs/>
          <w:lang w:val="en-US"/>
        </w:rPr>
        <w:t>Average Grades by Grade Level</w:t>
      </w:r>
      <w:bookmarkEnd w:id="398"/>
    </w:p>
    <w:p w14:paraId="2DAC3008" w14:textId="7D3B1DF4" w:rsidR="008D0CAD" w:rsidRPr="00AA04A4" w:rsidRDefault="008D0CAD" w:rsidP="00796BFA">
      <w:pPr>
        <w:spacing w:before="100" w:beforeAutospacing="1" w:after="100" w:afterAutospacing="1" w:line="360" w:lineRule="auto"/>
        <w:rPr>
          <w:rFonts w:asciiTheme="majorHAnsi" w:hAnsiTheme="majorHAnsi" w:cstheme="majorHAnsi"/>
          <w:lang w:val="en-US"/>
        </w:rPr>
      </w:pPr>
      <w:r w:rsidRPr="00AA04A4">
        <w:rPr>
          <w:rFonts w:asciiTheme="majorHAnsi" w:hAnsiTheme="majorHAnsi" w:cstheme="majorHAnsi"/>
          <w:lang w:val="en-US"/>
        </w:rPr>
        <w:t>The results of the second round of analysis showed that average grades of Grade 4 students in the direct recipient schools is higher than those in the indirect recipient schools in earlier school years but were overtaken by in the latter school years (Figure 1).</w:t>
      </w:r>
      <w:r w:rsidR="00D434EB">
        <w:rPr>
          <w:rFonts w:asciiTheme="majorHAnsi" w:hAnsiTheme="majorHAnsi" w:cstheme="majorHAnsi"/>
          <w:lang w:val="en-US"/>
        </w:rPr>
        <w:t xml:space="preserve"> </w:t>
      </w:r>
      <w:r w:rsidRPr="00AA04A4">
        <w:rPr>
          <w:rFonts w:asciiTheme="majorHAnsi" w:hAnsiTheme="majorHAnsi" w:cstheme="majorHAnsi"/>
          <w:lang w:val="en-US"/>
        </w:rPr>
        <w:t>Growth of average grades in the indirect recipient schools was faster than in the direct recipient schools; however, average grades were almost the same in the end-line.</w:t>
      </w:r>
    </w:p>
    <w:p w14:paraId="41BB7567" w14:textId="5FF914BF" w:rsidR="008D0CAD" w:rsidRPr="005424E3" w:rsidRDefault="00D434EB" w:rsidP="00796BFA">
      <w:pPr>
        <w:spacing w:before="100" w:beforeAutospacing="1" w:after="100" w:afterAutospacing="1" w:line="360" w:lineRule="auto"/>
        <w:rPr>
          <w:rFonts w:asciiTheme="majorHAnsi" w:hAnsiTheme="majorHAnsi" w:cstheme="majorHAnsi"/>
          <w:bCs/>
          <w:i/>
          <w:color w:val="44546A" w:themeColor="text2"/>
          <w:sz w:val="22"/>
          <w:szCs w:val="22"/>
          <w:lang w:val="en-US"/>
        </w:rPr>
      </w:pPr>
      <w:bookmarkStart w:id="399" w:name="_Toc11511232"/>
      <w:r>
        <w:rPr>
          <w:rFonts w:asciiTheme="majorHAnsi" w:hAnsiTheme="majorHAnsi" w:cstheme="majorHAnsi"/>
          <w:bCs/>
          <w:i/>
          <w:color w:val="44546A" w:themeColor="text2"/>
          <w:sz w:val="22"/>
          <w:szCs w:val="22"/>
          <w:lang w:val="en-US"/>
        </w:rPr>
        <w:t xml:space="preserve"> </w:t>
      </w:r>
      <w:r w:rsidR="008D0CAD" w:rsidRPr="005424E3">
        <w:rPr>
          <w:rFonts w:asciiTheme="majorHAnsi" w:hAnsiTheme="majorHAnsi" w:cstheme="majorHAnsi"/>
          <w:bCs/>
          <w:i/>
          <w:color w:val="44546A" w:themeColor="text2"/>
          <w:sz w:val="22"/>
          <w:szCs w:val="22"/>
          <w:lang w:val="en-US"/>
        </w:rPr>
        <w:t xml:space="preserve"> </w:t>
      </w:r>
      <w:bookmarkStart w:id="400" w:name="_Toc15637950"/>
      <w:bookmarkStart w:id="401" w:name="_Toc71616553"/>
      <w:r w:rsidR="008D0CAD" w:rsidRPr="005424E3">
        <w:rPr>
          <w:rFonts w:asciiTheme="majorHAnsi" w:hAnsiTheme="majorHAnsi" w:cstheme="majorHAnsi"/>
          <w:bCs/>
          <w:i/>
          <w:color w:val="44546A" w:themeColor="text2"/>
          <w:sz w:val="22"/>
          <w:szCs w:val="22"/>
          <w:lang w:val="en-US"/>
        </w:rPr>
        <w:t xml:space="preserve">Figure </w:t>
      </w:r>
      <w:r w:rsidR="008D0CAD" w:rsidRPr="005424E3">
        <w:rPr>
          <w:rFonts w:asciiTheme="majorHAnsi" w:hAnsiTheme="majorHAnsi" w:cstheme="majorHAnsi"/>
          <w:bCs/>
          <w:i/>
          <w:color w:val="44546A" w:themeColor="text2"/>
          <w:sz w:val="22"/>
          <w:szCs w:val="22"/>
          <w:lang w:val="en-US"/>
        </w:rPr>
        <w:fldChar w:fldCharType="begin"/>
      </w:r>
      <w:r w:rsidR="008D0CAD" w:rsidRPr="005424E3">
        <w:rPr>
          <w:rFonts w:asciiTheme="majorHAnsi" w:hAnsiTheme="majorHAnsi" w:cstheme="majorHAnsi"/>
          <w:bCs/>
          <w:i/>
          <w:color w:val="44546A" w:themeColor="text2"/>
          <w:sz w:val="22"/>
          <w:szCs w:val="22"/>
          <w:lang w:val="en-US"/>
        </w:rPr>
        <w:instrText xml:space="preserve"> SEQ Figure \* ARABIC </w:instrText>
      </w:r>
      <w:r w:rsidR="008D0CAD" w:rsidRPr="005424E3">
        <w:rPr>
          <w:rFonts w:asciiTheme="majorHAnsi" w:hAnsiTheme="majorHAnsi" w:cstheme="majorHAnsi"/>
          <w:bCs/>
          <w:i/>
          <w:color w:val="44546A" w:themeColor="text2"/>
          <w:sz w:val="22"/>
          <w:szCs w:val="22"/>
          <w:lang w:val="en-US"/>
        </w:rPr>
        <w:fldChar w:fldCharType="separate"/>
      </w:r>
      <w:r w:rsidR="00D6133D">
        <w:rPr>
          <w:rFonts w:asciiTheme="majorHAnsi" w:hAnsiTheme="majorHAnsi" w:cstheme="majorHAnsi"/>
          <w:bCs/>
          <w:i/>
          <w:noProof/>
          <w:color w:val="44546A" w:themeColor="text2"/>
          <w:sz w:val="22"/>
          <w:szCs w:val="22"/>
          <w:lang w:val="en-US"/>
        </w:rPr>
        <w:t>26</w:t>
      </w:r>
      <w:r w:rsidR="008D0CAD" w:rsidRPr="005424E3">
        <w:rPr>
          <w:rFonts w:asciiTheme="majorHAnsi" w:hAnsiTheme="majorHAnsi" w:cstheme="majorHAnsi"/>
          <w:bCs/>
          <w:i/>
          <w:color w:val="44546A" w:themeColor="text2"/>
          <w:sz w:val="22"/>
          <w:szCs w:val="22"/>
          <w:lang w:val="en-US"/>
        </w:rPr>
        <w:fldChar w:fldCharType="end"/>
      </w:r>
      <w:r w:rsidR="008D0CAD" w:rsidRPr="005424E3">
        <w:rPr>
          <w:rFonts w:asciiTheme="majorHAnsi" w:hAnsiTheme="majorHAnsi" w:cstheme="majorHAnsi"/>
          <w:bCs/>
          <w:i/>
          <w:color w:val="44546A" w:themeColor="text2"/>
          <w:sz w:val="22"/>
          <w:szCs w:val="22"/>
          <w:lang w:val="en-US"/>
        </w:rPr>
        <w:t>. Average Grades of Grade 4 Students</w:t>
      </w:r>
      <w:bookmarkEnd w:id="399"/>
      <w:bookmarkEnd w:id="400"/>
      <w:bookmarkEnd w:id="401"/>
    </w:p>
    <w:p w14:paraId="4F93C9BB" w14:textId="77777777" w:rsidR="008D0CAD" w:rsidRPr="00AA04A4" w:rsidRDefault="008D0CAD" w:rsidP="00796BFA">
      <w:pPr>
        <w:spacing w:before="100" w:beforeAutospacing="1" w:after="100" w:afterAutospacing="1" w:line="360" w:lineRule="auto"/>
        <w:rPr>
          <w:lang w:val="en-US"/>
        </w:rPr>
      </w:pPr>
      <w:r w:rsidRPr="00AA04A4">
        <w:rPr>
          <w:noProof/>
          <w:lang w:val="en-AU" w:eastAsia="en-AU"/>
        </w:rPr>
        <w:drawing>
          <wp:inline distT="0" distB="0" distL="0" distR="0" wp14:anchorId="5BB6E1F1" wp14:editId="02EDB7C6">
            <wp:extent cx="5731002" cy="2157663"/>
            <wp:effectExtent l="0" t="0" r="0" b="1905"/>
            <wp:docPr id="20" name="Picture 20" descr="Line charts of average grades of grade four students from BEST and non-BEST schools, from 2014 to 2018. Ranging from 81-84, increa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ine charts of average grades of grade four students from BEST and non-BEST schools, from 2014 to 2018. Ranging from 81-84, increasing."/>
                    <pic:cNvPicPr/>
                  </pic:nvPicPr>
                  <pic:blipFill rotWithShape="1">
                    <a:blip r:embed="rId75" cstate="print">
                      <a:extLst>
                        <a:ext uri="{28A0092B-C50C-407E-A947-70E740481C1C}">
                          <a14:useLocalDpi xmlns:a14="http://schemas.microsoft.com/office/drawing/2010/main" val="0"/>
                        </a:ext>
                      </a:extLst>
                    </a:blip>
                    <a:srcRect t="5151" b="34608"/>
                    <a:stretch/>
                  </pic:blipFill>
                  <pic:spPr bwMode="auto">
                    <a:xfrm>
                      <a:off x="0" y="0"/>
                      <a:ext cx="5731002" cy="2157663"/>
                    </a:xfrm>
                    <a:prstGeom prst="rect">
                      <a:avLst/>
                    </a:prstGeom>
                    <a:ln>
                      <a:noFill/>
                    </a:ln>
                    <a:extLst>
                      <a:ext uri="{53640926-AAD7-44D8-BBD7-CCE9431645EC}">
                        <a14:shadowObscured xmlns:a14="http://schemas.microsoft.com/office/drawing/2010/main"/>
                      </a:ext>
                    </a:extLst>
                  </pic:spPr>
                </pic:pic>
              </a:graphicData>
            </a:graphic>
          </wp:inline>
        </w:drawing>
      </w:r>
    </w:p>
    <w:p w14:paraId="73AEF88D" w14:textId="78B44382" w:rsidR="008D0CAD" w:rsidRPr="00AA04A4" w:rsidRDefault="008D0CAD" w:rsidP="00796BFA">
      <w:pPr>
        <w:spacing w:before="100" w:beforeAutospacing="1" w:after="100" w:afterAutospacing="1" w:line="360" w:lineRule="auto"/>
        <w:rPr>
          <w:rFonts w:asciiTheme="majorHAnsi" w:hAnsiTheme="majorHAnsi" w:cstheme="majorHAnsi"/>
          <w:lang w:val="en-US"/>
        </w:rPr>
      </w:pPr>
      <w:r w:rsidRPr="00AA04A4">
        <w:rPr>
          <w:rFonts w:asciiTheme="majorHAnsi" w:hAnsiTheme="majorHAnsi" w:cstheme="majorHAnsi"/>
          <w:lang w:val="en-US"/>
        </w:rPr>
        <w:t>Similarly, average grades of Grade 5 students in the direct recipient schools were slightly higher than those in indirect recipient schools in earlier school years but average grades of students in the indirect recipient schools in the latter school years caught up (Figure 2).</w:t>
      </w:r>
      <w:r w:rsidR="00D434EB">
        <w:rPr>
          <w:rFonts w:asciiTheme="majorHAnsi" w:hAnsiTheme="majorHAnsi" w:cstheme="majorHAnsi"/>
          <w:lang w:val="en-US"/>
        </w:rPr>
        <w:t xml:space="preserve"> </w:t>
      </w:r>
      <w:r w:rsidRPr="00AA04A4">
        <w:rPr>
          <w:rFonts w:asciiTheme="majorHAnsi" w:hAnsiTheme="majorHAnsi" w:cstheme="majorHAnsi"/>
          <w:lang w:val="en-US"/>
        </w:rPr>
        <w:t>Growth of average grades in the direct recipient schools was slower than in the indirect recipient schools but their average grades caught up in end-line.</w:t>
      </w:r>
      <w:r w:rsidR="00D434EB">
        <w:rPr>
          <w:rFonts w:asciiTheme="majorHAnsi" w:hAnsiTheme="majorHAnsi" w:cstheme="majorHAnsi"/>
          <w:lang w:val="en-US"/>
        </w:rPr>
        <w:t xml:space="preserve"> </w:t>
      </w:r>
      <w:r w:rsidRPr="00AA04A4">
        <w:rPr>
          <w:rFonts w:asciiTheme="majorHAnsi" w:hAnsiTheme="majorHAnsi" w:cstheme="majorHAnsi"/>
          <w:lang w:val="en-US"/>
        </w:rPr>
        <w:t>The trend observed in the average grades of both Grades 4 and 5 students was also observed in the average grades of Grade 6 students. (Figure 3).</w:t>
      </w:r>
    </w:p>
    <w:p w14:paraId="1A822F76" w14:textId="2706AD38" w:rsidR="008D0CAD" w:rsidRPr="00AC648E" w:rsidRDefault="008D0CAD" w:rsidP="00796BFA">
      <w:pPr>
        <w:pageBreakBefore/>
        <w:spacing w:before="100" w:beforeAutospacing="1" w:after="100" w:afterAutospacing="1" w:line="360" w:lineRule="auto"/>
        <w:rPr>
          <w:rFonts w:asciiTheme="majorHAnsi" w:hAnsiTheme="majorHAnsi" w:cstheme="majorHAnsi"/>
          <w:bCs/>
          <w:i/>
          <w:color w:val="44546A" w:themeColor="text2"/>
          <w:sz w:val="22"/>
          <w:szCs w:val="22"/>
          <w:lang w:val="en-US"/>
        </w:rPr>
      </w:pPr>
      <w:bookmarkStart w:id="402" w:name="_Toc11511233"/>
      <w:bookmarkStart w:id="403" w:name="_Toc15637951"/>
      <w:bookmarkStart w:id="404" w:name="_Toc71616554"/>
      <w:r w:rsidRPr="00AC648E">
        <w:rPr>
          <w:rFonts w:asciiTheme="majorHAnsi" w:hAnsiTheme="majorHAnsi" w:cstheme="majorHAnsi"/>
          <w:bCs/>
          <w:i/>
          <w:color w:val="44546A" w:themeColor="text2"/>
          <w:sz w:val="22"/>
          <w:szCs w:val="22"/>
          <w:lang w:val="en-US"/>
        </w:rPr>
        <w:t xml:space="preserve">Figure </w:t>
      </w:r>
      <w:r w:rsidRPr="00AC648E">
        <w:rPr>
          <w:rFonts w:asciiTheme="majorHAnsi" w:hAnsiTheme="majorHAnsi" w:cstheme="majorHAnsi"/>
          <w:bCs/>
          <w:i/>
          <w:color w:val="44546A" w:themeColor="text2"/>
          <w:sz w:val="22"/>
          <w:szCs w:val="22"/>
          <w:lang w:val="en-US"/>
        </w:rPr>
        <w:fldChar w:fldCharType="begin"/>
      </w:r>
      <w:r w:rsidRPr="00AC648E">
        <w:rPr>
          <w:rFonts w:asciiTheme="majorHAnsi" w:hAnsiTheme="majorHAnsi" w:cstheme="majorHAnsi"/>
          <w:bCs/>
          <w:i/>
          <w:color w:val="44546A" w:themeColor="text2"/>
          <w:sz w:val="22"/>
          <w:szCs w:val="22"/>
          <w:lang w:val="en-US"/>
        </w:rPr>
        <w:instrText xml:space="preserve"> SEQ Figure \* ARABIC </w:instrText>
      </w:r>
      <w:r w:rsidRPr="00AC648E">
        <w:rPr>
          <w:rFonts w:asciiTheme="majorHAnsi" w:hAnsiTheme="majorHAnsi" w:cstheme="majorHAnsi"/>
          <w:bCs/>
          <w:i/>
          <w:color w:val="44546A" w:themeColor="text2"/>
          <w:sz w:val="22"/>
          <w:szCs w:val="22"/>
          <w:lang w:val="en-US"/>
        </w:rPr>
        <w:fldChar w:fldCharType="separate"/>
      </w:r>
      <w:r w:rsidR="00D6133D">
        <w:rPr>
          <w:rFonts w:asciiTheme="majorHAnsi" w:hAnsiTheme="majorHAnsi" w:cstheme="majorHAnsi"/>
          <w:bCs/>
          <w:i/>
          <w:noProof/>
          <w:color w:val="44546A" w:themeColor="text2"/>
          <w:sz w:val="22"/>
          <w:szCs w:val="22"/>
          <w:lang w:val="en-US"/>
        </w:rPr>
        <w:t>27</w:t>
      </w:r>
      <w:r w:rsidRPr="00AC648E">
        <w:rPr>
          <w:rFonts w:asciiTheme="majorHAnsi" w:hAnsiTheme="majorHAnsi" w:cstheme="majorHAnsi"/>
          <w:bCs/>
          <w:i/>
          <w:color w:val="44546A" w:themeColor="text2"/>
          <w:sz w:val="22"/>
          <w:szCs w:val="22"/>
          <w:lang w:val="en-US"/>
        </w:rPr>
        <w:fldChar w:fldCharType="end"/>
      </w:r>
      <w:r w:rsidRPr="00AC648E">
        <w:rPr>
          <w:rFonts w:asciiTheme="majorHAnsi" w:hAnsiTheme="majorHAnsi" w:cstheme="majorHAnsi"/>
          <w:bCs/>
          <w:i/>
          <w:color w:val="44546A" w:themeColor="text2"/>
          <w:sz w:val="22"/>
          <w:szCs w:val="22"/>
          <w:lang w:val="en-US"/>
        </w:rPr>
        <w:t>. Average Grades of Grade 5 Students</w:t>
      </w:r>
      <w:bookmarkEnd w:id="402"/>
      <w:bookmarkEnd w:id="403"/>
      <w:bookmarkEnd w:id="404"/>
    </w:p>
    <w:p w14:paraId="0F638D9F" w14:textId="77777777" w:rsidR="008D0CAD" w:rsidRPr="00AA04A4" w:rsidRDefault="008D0CAD" w:rsidP="00796BFA">
      <w:pPr>
        <w:spacing w:before="100" w:beforeAutospacing="1" w:after="100" w:afterAutospacing="1" w:line="360" w:lineRule="auto"/>
        <w:rPr>
          <w:lang w:val="en-US"/>
        </w:rPr>
      </w:pPr>
      <w:r w:rsidRPr="00AA04A4">
        <w:rPr>
          <w:noProof/>
          <w:lang w:val="en-AU" w:eastAsia="en-AU"/>
        </w:rPr>
        <w:drawing>
          <wp:inline distT="0" distB="0" distL="0" distR="0" wp14:anchorId="290EF1CD" wp14:editId="72C30297">
            <wp:extent cx="5731283" cy="2133600"/>
            <wp:effectExtent l="0" t="0" r="0" b="0"/>
            <wp:docPr id="41" name="Picture 41" descr="Line charts of average grades of grade five students from BEST and non-BEST schools, from 2014 to 2018. Increasing from 815 in 2014 to 84% i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ine charts of average grades of grade five students from BEST and non-BEST schools, from 2014 to 2018. Increasing from 815 in 2014 to 84% in 2017."/>
                    <pic:cNvPicPr/>
                  </pic:nvPicPr>
                  <pic:blipFill rotWithShape="1">
                    <a:blip r:embed="rId76" cstate="print">
                      <a:extLst>
                        <a:ext uri="{28A0092B-C50C-407E-A947-70E740481C1C}">
                          <a14:useLocalDpi xmlns:a14="http://schemas.microsoft.com/office/drawing/2010/main" val="0"/>
                        </a:ext>
                      </a:extLst>
                    </a:blip>
                    <a:srcRect t="5598" b="34836"/>
                    <a:stretch/>
                  </pic:blipFill>
                  <pic:spPr bwMode="auto">
                    <a:xfrm>
                      <a:off x="0" y="0"/>
                      <a:ext cx="5731510" cy="2133685"/>
                    </a:xfrm>
                    <a:prstGeom prst="rect">
                      <a:avLst/>
                    </a:prstGeom>
                    <a:ln>
                      <a:noFill/>
                    </a:ln>
                    <a:extLst>
                      <a:ext uri="{53640926-AAD7-44D8-BBD7-CCE9431645EC}">
                        <a14:shadowObscured xmlns:a14="http://schemas.microsoft.com/office/drawing/2010/main"/>
                      </a:ext>
                    </a:extLst>
                  </pic:spPr>
                </pic:pic>
              </a:graphicData>
            </a:graphic>
          </wp:inline>
        </w:drawing>
      </w:r>
    </w:p>
    <w:p w14:paraId="18C6A815" w14:textId="3D00F38E" w:rsidR="008D0CAD" w:rsidRPr="005424E3" w:rsidRDefault="008D0CAD" w:rsidP="00796BFA">
      <w:pPr>
        <w:spacing w:before="100" w:beforeAutospacing="1" w:after="100" w:afterAutospacing="1" w:line="360" w:lineRule="auto"/>
        <w:rPr>
          <w:rFonts w:asciiTheme="majorHAnsi" w:hAnsiTheme="majorHAnsi" w:cstheme="majorHAnsi"/>
          <w:bCs/>
          <w:i/>
          <w:color w:val="44546A" w:themeColor="text2"/>
          <w:sz w:val="22"/>
          <w:szCs w:val="22"/>
          <w:lang w:val="en-US"/>
        </w:rPr>
      </w:pPr>
      <w:bookmarkStart w:id="405" w:name="_Toc11511234"/>
      <w:bookmarkStart w:id="406" w:name="_Toc15637952"/>
      <w:bookmarkStart w:id="407" w:name="_Toc71616555"/>
      <w:r w:rsidRPr="005424E3">
        <w:rPr>
          <w:rFonts w:asciiTheme="majorHAnsi" w:hAnsiTheme="majorHAnsi" w:cstheme="majorHAnsi"/>
          <w:bCs/>
          <w:i/>
          <w:color w:val="44546A" w:themeColor="text2"/>
          <w:sz w:val="22"/>
          <w:szCs w:val="22"/>
          <w:lang w:val="en-US"/>
        </w:rPr>
        <w:t xml:space="preserve">Figure </w:t>
      </w:r>
      <w:r w:rsidRPr="005424E3">
        <w:rPr>
          <w:rFonts w:asciiTheme="majorHAnsi" w:hAnsiTheme="majorHAnsi" w:cstheme="majorHAnsi"/>
          <w:bCs/>
          <w:i/>
          <w:color w:val="44546A" w:themeColor="text2"/>
          <w:sz w:val="22"/>
          <w:szCs w:val="22"/>
          <w:lang w:val="en-US"/>
        </w:rPr>
        <w:fldChar w:fldCharType="begin"/>
      </w:r>
      <w:r w:rsidRPr="005424E3">
        <w:rPr>
          <w:rFonts w:asciiTheme="majorHAnsi" w:hAnsiTheme="majorHAnsi" w:cstheme="majorHAnsi"/>
          <w:bCs/>
          <w:i/>
          <w:color w:val="44546A" w:themeColor="text2"/>
          <w:sz w:val="22"/>
          <w:szCs w:val="22"/>
          <w:lang w:val="en-US"/>
        </w:rPr>
        <w:instrText xml:space="preserve"> SEQ Figure \* ARABIC </w:instrText>
      </w:r>
      <w:r w:rsidRPr="005424E3">
        <w:rPr>
          <w:rFonts w:asciiTheme="majorHAnsi" w:hAnsiTheme="majorHAnsi" w:cstheme="majorHAnsi"/>
          <w:bCs/>
          <w:i/>
          <w:color w:val="44546A" w:themeColor="text2"/>
          <w:sz w:val="22"/>
          <w:szCs w:val="22"/>
          <w:lang w:val="en-US"/>
        </w:rPr>
        <w:fldChar w:fldCharType="separate"/>
      </w:r>
      <w:r w:rsidR="00D6133D">
        <w:rPr>
          <w:rFonts w:asciiTheme="majorHAnsi" w:hAnsiTheme="majorHAnsi" w:cstheme="majorHAnsi"/>
          <w:bCs/>
          <w:i/>
          <w:noProof/>
          <w:color w:val="44546A" w:themeColor="text2"/>
          <w:sz w:val="22"/>
          <w:szCs w:val="22"/>
          <w:lang w:val="en-US"/>
        </w:rPr>
        <w:t>28</w:t>
      </w:r>
      <w:r w:rsidRPr="005424E3">
        <w:rPr>
          <w:rFonts w:asciiTheme="majorHAnsi" w:hAnsiTheme="majorHAnsi" w:cstheme="majorHAnsi"/>
          <w:bCs/>
          <w:i/>
          <w:color w:val="44546A" w:themeColor="text2"/>
          <w:sz w:val="22"/>
          <w:szCs w:val="22"/>
          <w:lang w:val="en-US"/>
        </w:rPr>
        <w:fldChar w:fldCharType="end"/>
      </w:r>
      <w:r w:rsidRPr="005424E3">
        <w:rPr>
          <w:rFonts w:asciiTheme="majorHAnsi" w:hAnsiTheme="majorHAnsi" w:cstheme="majorHAnsi"/>
          <w:bCs/>
          <w:i/>
          <w:color w:val="44546A" w:themeColor="text2"/>
          <w:sz w:val="22"/>
          <w:szCs w:val="22"/>
          <w:lang w:val="en-US"/>
        </w:rPr>
        <w:t>. Average Grades of Grade 6 Students</w:t>
      </w:r>
      <w:bookmarkEnd w:id="405"/>
      <w:bookmarkEnd w:id="406"/>
      <w:bookmarkEnd w:id="407"/>
    </w:p>
    <w:p w14:paraId="182AEA2C" w14:textId="77777777" w:rsidR="008D0CAD" w:rsidRPr="00AA04A4" w:rsidRDefault="008D0CAD" w:rsidP="00796BFA">
      <w:pPr>
        <w:spacing w:before="100" w:beforeAutospacing="1" w:after="100" w:afterAutospacing="1" w:line="360" w:lineRule="auto"/>
        <w:rPr>
          <w:rFonts w:asciiTheme="majorHAnsi" w:hAnsiTheme="majorHAnsi" w:cstheme="majorHAnsi"/>
          <w:lang w:val="en-US"/>
        </w:rPr>
      </w:pPr>
      <w:r w:rsidRPr="00AA04A4">
        <w:rPr>
          <w:noProof/>
          <w:lang w:val="en-AU" w:eastAsia="en-AU"/>
        </w:rPr>
        <w:drawing>
          <wp:inline distT="0" distB="0" distL="0" distR="0" wp14:anchorId="00E2E40C" wp14:editId="117B9B38">
            <wp:extent cx="5730485" cy="2085474"/>
            <wp:effectExtent l="0" t="0" r="0" b="0"/>
            <wp:docPr id="42" name="Picture 42" descr="Line charts of average grades of grade six students from BEST and non-BEST schools, from 2014 to 2018. Increasing from 81.5% in 2014 to 84% i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Line charts of average grades of grade six students from BEST and non-BEST schools, from 2014 to 2018. Increasing from 81.5% in 2014 to 84% in 2017."/>
                    <pic:cNvPicPr/>
                  </pic:nvPicPr>
                  <pic:blipFill rotWithShape="1">
                    <a:blip r:embed="rId77" cstate="print">
                      <a:extLst>
                        <a:ext uri="{28A0092B-C50C-407E-A947-70E740481C1C}">
                          <a14:useLocalDpi xmlns:a14="http://schemas.microsoft.com/office/drawing/2010/main" val="0"/>
                        </a:ext>
                      </a:extLst>
                    </a:blip>
                    <a:srcRect t="6046" b="35723"/>
                    <a:stretch/>
                  </pic:blipFill>
                  <pic:spPr bwMode="auto">
                    <a:xfrm>
                      <a:off x="0" y="0"/>
                      <a:ext cx="5731510" cy="2085847"/>
                    </a:xfrm>
                    <a:prstGeom prst="rect">
                      <a:avLst/>
                    </a:prstGeom>
                    <a:ln>
                      <a:noFill/>
                    </a:ln>
                    <a:extLst>
                      <a:ext uri="{53640926-AAD7-44D8-BBD7-CCE9431645EC}">
                        <a14:shadowObscured xmlns:a14="http://schemas.microsoft.com/office/drawing/2010/main"/>
                      </a:ext>
                    </a:extLst>
                  </pic:spPr>
                </pic:pic>
              </a:graphicData>
            </a:graphic>
          </wp:inline>
        </w:drawing>
      </w:r>
    </w:p>
    <w:p w14:paraId="111D46D9" w14:textId="7A546F75" w:rsidR="008D0CAD" w:rsidRPr="00AA04A4" w:rsidRDefault="008D0CAD" w:rsidP="00796BFA">
      <w:pPr>
        <w:spacing w:before="100" w:beforeAutospacing="1" w:after="100" w:afterAutospacing="1" w:line="360" w:lineRule="auto"/>
        <w:ind w:right="245"/>
        <w:rPr>
          <w:rFonts w:asciiTheme="majorHAnsi" w:hAnsiTheme="majorHAnsi" w:cstheme="majorHAnsi"/>
          <w:u w:color="000000"/>
          <w:lang w:val="en-US"/>
        </w:rPr>
      </w:pPr>
      <w:r w:rsidRPr="00AA04A4">
        <w:rPr>
          <w:rFonts w:asciiTheme="majorHAnsi" w:eastAsia="Arial Unicode MS" w:hAnsiTheme="majorHAnsi" w:cstheme="majorHAnsi"/>
          <w:u w:color="000000"/>
          <w:lang w:val="en-US"/>
        </w:rPr>
        <w:t xml:space="preserve">In sum, the </w:t>
      </w:r>
      <w:r w:rsidRPr="00AA04A4">
        <w:rPr>
          <w:rFonts w:asciiTheme="majorHAnsi" w:hAnsiTheme="majorHAnsi" w:cstheme="majorHAnsi"/>
          <w:u w:color="000000"/>
          <w:lang w:val="en-US"/>
        </w:rPr>
        <w:t>pattern of average grades of students across all grade levels from SY2014-15 to SY2017-18 was almost the same.</w:t>
      </w:r>
      <w:r w:rsidR="00D434EB">
        <w:rPr>
          <w:rFonts w:asciiTheme="majorHAnsi" w:hAnsiTheme="majorHAnsi" w:cstheme="majorHAnsi"/>
          <w:u w:color="000000"/>
          <w:lang w:val="en-US"/>
        </w:rPr>
        <w:t xml:space="preserve"> </w:t>
      </w:r>
      <w:r w:rsidRPr="00AA04A4">
        <w:rPr>
          <w:rFonts w:asciiTheme="majorHAnsi" w:eastAsia="Arial Unicode MS" w:hAnsiTheme="majorHAnsi" w:cstheme="majorHAnsi"/>
          <w:u w:color="000000"/>
          <w:lang w:val="en-US"/>
        </w:rPr>
        <w:t xml:space="preserve"> </w:t>
      </w:r>
      <w:r w:rsidRPr="00AA04A4">
        <w:rPr>
          <w:rFonts w:asciiTheme="majorHAnsi" w:hAnsiTheme="majorHAnsi" w:cstheme="majorHAnsi"/>
          <w:u w:color="000000"/>
          <w:lang w:val="en-US"/>
        </w:rPr>
        <w:t>The direct recipient or treatment schools had higher average grades during the earlier years under review.</w:t>
      </w:r>
      <w:r w:rsidR="00D434EB">
        <w:rPr>
          <w:rFonts w:asciiTheme="majorHAnsi" w:hAnsiTheme="majorHAnsi" w:cstheme="majorHAnsi"/>
          <w:u w:color="000000"/>
          <w:lang w:val="en-US"/>
        </w:rPr>
        <w:t xml:space="preserve"> </w:t>
      </w:r>
      <w:r w:rsidRPr="00AA04A4">
        <w:rPr>
          <w:rFonts w:asciiTheme="majorHAnsi" w:hAnsiTheme="majorHAnsi" w:cstheme="majorHAnsi"/>
          <w:u w:color="000000"/>
          <w:lang w:val="en-US"/>
        </w:rPr>
        <w:t>Both treatment and comparisons schools experienced increases in average grades in all grade levels from 2014 to 2017.</w:t>
      </w:r>
      <w:r w:rsidR="00D434EB">
        <w:rPr>
          <w:rFonts w:asciiTheme="majorHAnsi" w:hAnsiTheme="majorHAnsi" w:cstheme="majorHAnsi"/>
          <w:u w:color="000000"/>
          <w:lang w:val="en-US"/>
        </w:rPr>
        <w:t xml:space="preserve"> </w:t>
      </w:r>
      <w:r w:rsidRPr="00AA04A4">
        <w:rPr>
          <w:rFonts w:asciiTheme="majorHAnsi" w:hAnsiTheme="majorHAnsi" w:cstheme="majorHAnsi"/>
          <w:u w:color="000000"/>
          <w:lang w:val="en-US"/>
        </w:rPr>
        <w:t>However, indirect recipient schools had marginally increased faster in average grades from baseline to end-line than the direct recipient schools.</w:t>
      </w:r>
      <w:r w:rsidR="00D434EB">
        <w:rPr>
          <w:rFonts w:asciiTheme="majorHAnsi" w:hAnsiTheme="majorHAnsi" w:cstheme="majorHAnsi"/>
          <w:u w:color="000000"/>
          <w:lang w:val="en-US"/>
        </w:rPr>
        <w:t xml:space="preserve"> </w:t>
      </w:r>
      <w:r w:rsidRPr="00AA04A4">
        <w:rPr>
          <w:rFonts w:asciiTheme="majorHAnsi" w:hAnsiTheme="majorHAnsi" w:cstheme="majorHAnsi"/>
          <w:u w:color="000000"/>
          <w:lang w:val="en-US"/>
        </w:rPr>
        <w:t xml:space="preserve"> This trend can be generalised among all schools under the BEST Regions.</w:t>
      </w:r>
    </w:p>
    <w:p w14:paraId="2B33A1AA" w14:textId="77777777" w:rsidR="008D0CAD" w:rsidRPr="00AA04A4" w:rsidRDefault="008D0CAD" w:rsidP="00796BFA">
      <w:pPr>
        <w:pStyle w:val="Heading4"/>
        <w:spacing w:before="100" w:beforeAutospacing="1" w:after="100" w:afterAutospacing="1" w:line="360" w:lineRule="auto"/>
        <w:rPr>
          <w:lang w:val="en-US"/>
        </w:rPr>
      </w:pPr>
      <w:bookmarkStart w:id="408" w:name="_Toc15638014"/>
      <w:r w:rsidRPr="00AA04A4">
        <w:rPr>
          <w:lang w:val="en-US"/>
        </w:rPr>
        <w:t>Average Change of Grades by Grade Level</w:t>
      </w:r>
      <w:bookmarkEnd w:id="408"/>
    </w:p>
    <w:p w14:paraId="76CDBE63" w14:textId="2202D9A6" w:rsidR="008D0CAD" w:rsidRPr="00AA04A4" w:rsidRDefault="008D0CAD" w:rsidP="00796BFA">
      <w:pPr>
        <w:spacing w:before="100" w:beforeAutospacing="1" w:after="100" w:afterAutospacing="1" w:line="360" w:lineRule="auto"/>
        <w:ind w:right="245"/>
        <w:rPr>
          <w:rFonts w:asciiTheme="majorHAnsi" w:hAnsiTheme="majorHAnsi" w:cstheme="majorHAnsi"/>
          <w:u w:color="000000"/>
          <w:lang w:val="en-US"/>
        </w:rPr>
      </w:pPr>
      <w:r w:rsidRPr="00AA04A4">
        <w:rPr>
          <w:rFonts w:asciiTheme="majorHAnsi" w:hAnsiTheme="majorHAnsi" w:cstheme="majorHAnsi"/>
          <w:u w:color="000000"/>
          <w:lang w:val="en-US"/>
        </w:rPr>
        <w:t>The same large data set was further used to determine the impact of the BEST Program interventions on student mastery by BEST-supported Region using a panel DID regression.</w:t>
      </w:r>
      <w:r w:rsidR="00D434EB">
        <w:rPr>
          <w:rFonts w:asciiTheme="majorHAnsi" w:hAnsiTheme="majorHAnsi" w:cstheme="majorHAnsi"/>
          <w:u w:color="000000"/>
          <w:lang w:val="en-US"/>
        </w:rPr>
        <w:t xml:space="preserve"> </w:t>
      </w:r>
      <w:r w:rsidRPr="00AA04A4">
        <w:rPr>
          <w:rFonts w:asciiTheme="majorHAnsi" w:hAnsiTheme="majorHAnsi" w:cstheme="majorHAnsi"/>
          <w:u w:color="000000"/>
          <w:lang w:val="en-US"/>
        </w:rPr>
        <w:t>This</w:t>
      </w:r>
      <w:r w:rsidRPr="00AA04A4">
        <w:rPr>
          <w:rFonts w:asciiTheme="majorHAnsi" w:hAnsiTheme="majorHAnsi" w:cstheme="majorHAnsi"/>
          <w:b/>
          <w:bCs/>
          <w:u w:color="000000"/>
          <w:lang w:val="en-US"/>
        </w:rPr>
        <w:t xml:space="preserve"> </w:t>
      </w:r>
      <w:r w:rsidRPr="00AA04A4">
        <w:rPr>
          <w:rFonts w:asciiTheme="majorHAnsi" w:hAnsiTheme="majorHAnsi" w:cstheme="majorHAnsi"/>
          <w:bCs/>
          <w:u w:color="000000"/>
          <w:lang w:val="en-US"/>
        </w:rPr>
        <w:t>methodology</w:t>
      </w:r>
      <w:r w:rsidRPr="00AA04A4">
        <w:rPr>
          <w:rFonts w:asciiTheme="majorHAnsi" w:eastAsia="Arial Unicode MS" w:hAnsiTheme="majorHAnsi" w:cstheme="majorHAnsi"/>
          <w:u w:color="000000"/>
          <w:lang w:val="en-US"/>
        </w:rPr>
        <w:t xml:space="preserve"> </w:t>
      </w:r>
      <w:r w:rsidRPr="00AA04A4">
        <w:rPr>
          <w:rFonts w:asciiTheme="majorHAnsi" w:hAnsiTheme="majorHAnsi" w:cstheme="majorHAnsi"/>
          <w:u w:color="000000"/>
          <w:lang w:val="en-US"/>
        </w:rPr>
        <w:t>used the SY2014-15 as the baseline and SY2017-18 as the end-line.</w:t>
      </w:r>
      <w:r w:rsidR="00D434EB">
        <w:rPr>
          <w:rFonts w:asciiTheme="majorHAnsi" w:eastAsia="Arial Unicode MS" w:hAnsiTheme="majorHAnsi" w:cstheme="majorHAnsi"/>
          <w:u w:color="000000"/>
          <w:lang w:val="en-US"/>
        </w:rPr>
        <w:t xml:space="preserve"> </w:t>
      </w:r>
      <w:r w:rsidRPr="00AA04A4">
        <w:rPr>
          <w:rFonts w:asciiTheme="majorHAnsi" w:hAnsiTheme="majorHAnsi" w:cstheme="majorHAnsi"/>
          <w:u w:color="000000"/>
          <w:lang w:val="en-US"/>
        </w:rPr>
        <w:t xml:space="preserve">The dependent variable was the percent change of grades from baseline to end-line </w:t>
      </w:r>
      <m:oMath>
        <m:r>
          <m:rPr>
            <m:sty m:val="p"/>
          </m:rPr>
          <w:rPr>
            <w:rFonts w:ascii="Cambria Math" w:hAnsi="Cambria Math" w:cstheme="majorHAnsi"/>
            <w:u w:color="000000"/>
            <w:lang w:val="en-US"/>
          </w:rPr>
          <m:t>(Δ</m:t>
        </m:r>
        <m:r>
          <w:rPr>
            <w:rFonts w:ascii="Cambria Math" w:hAnsi="Cambria Math" w:cstheme="majorHAnsi"/>
            <w:u w:color="000000"/>
            <w:lang w:val="en-US"/>
          </w:rPr>
          <m:t>G)</m:t>
        </m:r>
      </m:oMath>
      <w:r w:rsidR="00D434EB">
        <w:rPr>
          <w:rFonts w:asciiTheme="majorHAnsi" w:eastAsia="Arial Unicode MS" w:hAnsiTheme="majorHAnsi" w:cstheme="majorHAnsi"/>
          <w:u w:color="000000"/>
          <w:lang w:val="en-US"/>
        </w:rPr>
        <w:t xml:space="preserve"> </w:t>
      </w:r>
      <w:r w:rsidRPr="00AA04A4">
        <w:rPr>
          <w:rFonts w:asciiTheme="majorHAnsi" w:eastAsia="Arial Unicode MS" w:hAnsiTheme="majorHAnsi" w:cstheme="majorHAnsi"/>
          <w:u w:color="000000"/>
          <w:lang w:val="en-US"/>
        </w:rPr>
        <w:t xml:space="preserve">and the </w:t>
      </w:r>
      <w:r w:rsidRPr="00AA04A4">
        <w:rPr>
          <w:rFonts w:asciiTheme="majorHAnsi" w:hAnsiTheme="majorHAnsi" w:cstheme="majorHAnsi"/>
          <w:u w:color="000000"/>
          <w:lang w:val="en-US"/>
        </w:rPr>
        <w:t>control variables included were the regions and sizes of elementary school.</w:t>
      </w:r>
      <w:r w:rsidR="00D434EB">
        <w:rPr>
          <w:rFonts w:asciiTheme="majorHAnsi" w:hAnsiTheme="majorHAnsi" w:cstheme="majorHAnsi"/>
          <w:u w:color="000000"/>
          <w:lang w:val="en-US"/>
        </w:rPr>
        <w:t xml:space="preserve"> </w:t>
      </w:r>
    </w:p>
    <w:p w14:paraId="4E0DCEAE" w14:textId="77777777" w:rsidR="008D0CAD" w:rsidRPr="00AA04A4" w:rsidRDefault="008D0CAD" w:rsidP="00796BFA">
      <w:pPr>
        <w:spacing w:before="100" w:beforeAutospacing="1" w:after="100" w:afterAutospacing="1" w:line="360" w:lineRule="auto"/>
        <w:ind w:right="245"/>
        <w:rPr>
          <w:rFonts w:asciiTheme="majorHAnsi" w:hAnsiTheme="majorHAnsi" w:cstheme="majorHAnsi"/>
          <w:iCs/>
          <w:u w:color="000000"/>
          <w:lang w:val="en-US"/>
        </w:rPr>
      </w:pPr>
      <w:r w:rsidRPr="00AA04A4">
        <w:rPr>
          <w:rFonts w:asciiTheme="majorHAnsi" w:hAnsiTheme="majorHAnsi" w:cstheme="majorHAnsi"/>
          <w:iCs/>
          <w:u w:color="000000"/>
          <w:lang w:val="en-US"/>
        </w:rPr>
        <w:t>The panel DID regression model was represented by:</w:t>
      </w:r>
    </w:p>
    <w:p w14:paraId="02BEC6A7" w14:textId="77777777" w:rsidR="008D0CAD" w:rsidRPr="00AA04A4" w:rsidRDefault="008D0CAD" w:rsidP="00796BFA">
      <w:pPr>
        <w:spacing w:before="100" w:beforeAutospacing="1" w:after="100" w:afterAutospacing="1" w:line="360" w:lineRule="auto"/>
        <w:ind w:right="245"/>
        <w:rPr>
          <w:rFonts w:asciiTheme="majorHAnsi" w:eastAsia="Arial Unicode MS" w:hAnsiTheme="majorHAnsi" w:cstheme="majorHAnsi"/>
          <w:u w:color="000000"/>
          <w:lang w:val="en-US"/>
        </w:rPr>
      </w:pPr>
      <m:oMathPara>
        <m:oMathParaPr>
          <m:jc m:val="centerGroup"/>
        </m:oMathParaPr>
        <m:oMath>
          <m:r>
            <m:rPr>
              <m:sty m:val="p"/>
            </m:rPr>
            <w:rPr>
              <w:rFonts w:ascii="Cambria Math" w:hAnsi="Cambria Math" w:cstheme="majorHAnsi"/>
              <w:u w:color="000000"/>
              <w:lang w:val="en-US"/>
            </w:rPr>
            <m:t>Δ</m:t>
          </m:r>
          <m:r>
            <w:rPr>
              <w:rFonts w:ascii="Cambria Math" w:hAnsi="Cambria Math" w:cstheme="majorHAnsi"/>
              <w:u w:color="000000"/>
              <w:lang w:val="en-US"/>
            </w:rPr>
            <m:t>G=</m:t>
          </m:r>
          <m:sSub>
            <m:sSubPr>
              <m:ctrlPr>
                <w:rPr>
                  <w:rFonts w:ascii="Cambria Math" w:eastAsia="Arial Unicode MS" w:hAnsi="Cambria Math" w:cstheme="majorHAnsi"/>
                  <w:i/>
                  <w:iCs/>
                  <w:u w:color="000000"/>
                  <w:lang w:val="en-US"/>
                </w:rPr>
              </m:ctrlPr>
            </m:sSubPr>
            <m:e>
              <m:r>
                <w:rPr>
                  <w:rFonts w:ascii="Cambria Math" w:hAnsi="Cambria Math" w:cstheme="majorHAnsi"/>
                  <w:u w:color="000000"/>
                  <w:lang w:val="en-US"/>
                </w:rPr>
                <m:t>β</m:t>
              </m:r>
            </m:e>
            <m:sub>
              <m:r>
                <w:rPr>
                  <w:rFonts w:ascii="Cambria Math" w:hAnsi="Cambria Math" w:cstheme="majorHAnsi"/>
                  <w:u w:color="000000"/>
                  <w:lang w:val="en-US"/>
                </w:rPr>
                <m:t>0</m:t>
              </m:r>
            </m:sub>
          </m:sSub>
          <m:r>
            <w:rPr>
              <w:rFonts w:ascii="Cambria Math" w:hAnsi="Cambria Math" w:cstheme="majorHAnsi"/>
              <w:u w:color="000000"/>
              <w:lang w:val="en-US"/>
            </w:rPr>
            <m:t>+γBEST+Control+ϵ</m:t>
          </m:r>
        </m:oMath>
      </m:oMathPara>
    </w:p>
    <w:p w14:paraId="6BD7952F" w14:textId="77777777" w:rsidR="008D0CAD" w:rsidRPr="00AA04A4" w:rsidRDefault="008D0CAD" w:rsidP="00796BFA">
      <w:pPr>
        <w:spacing w:before="100" w:beforeAutospacing="1" w:after="100" w:afterAutospacing="1" w:line="360" w:lineRule="auto"/>
        <w:ind w:right="245"/>
        <w:rPr>
          <w:rFonts w:asciiTheme="majorHAnsi" w:eastAsia="Arial Unicode MS" w:hAnsiTheme="majorHAnsi" w:cstheme="majorHAnsi"/>
          <w:u w:color="000000"/>
          <w:lang w:val="en-US"/>
        </w:rPr>
      </w:pPr>
      <w:r w:rsidRPr="00AA04A4">
        <w:rPr>
          <w:rFonts w:asciiTheme="majorHAnsi" w:hAnsiTheme="majorHAnsi" w:cstheme="majorHAnsi"/>
          <w:iCs/>
          <w:u w:color="000000"/>
          <w:lang w:val="en-US"/>
        </w:rPr>
        <w:t xml:space="preserve">where </w:t>
      </w:r>
      <m:oMath>
        <m:r>
          <m:rPr>
            <m:sty m:val="p"/>
          </m:rPr>
          <w:rPr>
            <w:rFonts w:ascii="Cambria Math" w:hAnsi="Cambria Math" w:cstheme="majorHAnsi"/>
            <w:u w:color="000000"/>
            <w:lang w:val="en-US"/>
          </w:rPr>
          <m:t>γ</m:t>
        </m:r>
      </m:oMath>
      <w:r w:rsidRPr="00AA04A4">
        <w:rPr>
          <w:rFonts w:asciiTheme="majorHAnsi" w:hAnsiTheme="majorHAnsi" w:cstheme="majorHAnsi"/>
          <w:iCs/>
          <w:u w:color="000000"/>
          <w:lang w:val="en-US"/>
        </w:rPr>
        <w:t xml:space="preserve"> was the DID estimate for BEST.</w:t>
      </w:r>
    </w:p>
    <w:p w14:paraId="488325D6" w14:textId="62648BB2" w:rsidR="008D0CAD" w:rsidRPr="00AA04A4" w:rsidRDefault="008D0CAD" w:rsidP="00796BFA">
      <w:pPr>
        <w:spacing w:before="100" w:beforeAutospacing="1" w:after="100" w:afterAutospacing="1" w:line="360" w:lineRule="auto"/>
        <w:ind w:right="245"/>
        <w:rPr>
          <w:rFonts w:asciiTheme="majorHAnsi" w:hAnsiTheme="majorHAnsi" w:cstheme="majorHAnsi"/>
          <w:u w:color="000000"/>
          <w:lang w:val="en-US"/>
        </w:rPr>
      </w:pPr>
      <w:r w:rsidRPr="00AA04A4">
        <w:rPr>
          <w:rFonts w:asciiTheme="majorHAnsi" w:hAnsiTheme="majorHAnsi" w:cstheme="majorHAnsi"/>
          <w:u w:color="000000"/>
          <w:lang w:val="en-US"/>
        </w:rPr>
        <w:t>The results showed that the average change in indirect recipient (Non-BEST) schools was higher than in direct recipient (BEST) schools across all grade levels (Figure 4).</w:t>
      </w:r>
      <w:r w:rsidR="00D434EB">
        <w:rPr>
          <w:rFonts w:asciiTheme="majorHAnsi" w:hAnsiTheme="majorHAnsi" w:cstheme="majorHAnsi"/>
          <w:u w:color="000000"/>
          <w:lang w:val="en-US"/>
        </w:rPr>
        <w:t xml:space="preserve"> </w:t>
      </w:r>
      <w:r w:rsidRPr="00AA04A4">
        <w:rPr>
          <w:rFonts w:asciiTheme="majorHAnsi" w:hAnsiTheme="majorHAnsi" w:cstheme="majorHAnsi"/>
          <w:u w:color="000000"/>
          <w:lang w:val="en-US"/>
        </w:rPr>
        <w:t>The widest gap was between the average grades of Grade 6 students.</w:t>
      </w:r>
    </w:p>
    <w:p w14:paraId="30A79BFC" w14:textId="096B3AF5" w:rsidR="008D0CAD" w:rsidRPr="00796BFA" w:rsidRDefault="008D0CAD" w:rsidP="00796BFA">
      <w:pPr>
        <w:spacing w:before="100" w:beforeAutospacing="1" w:after="100" w:afterAutospacing="1" w:line="360" w:lineRule="auto"/>
        <w:ind w:right="245"/>
        <w:rPr>
          <w:rFonts w:asciiTheme="majorHAnsi" w:hAnsiTheme="majorHAnsi" w:cstheme="majorHAnsi"/>
          <w:b/>
          <w:u w:color="000000"/>
          <w:lang w:val="en-US"/>
        </w:rPr>
      </w:pPr>
      <w:r w:rsidRPr="00AA04A4">
        <w:rPr>
          <w:rFonts w:asciiTheme="majorHAnsi" w:hAnsiTheme="majorHAnsi" w:cstheme="majorHAnsi"/>
          <w:u w:color="000000"/>
          <w:lang w:val="en-US"/>
        </w:rPr>
        <w:t>The regression model was then used to test whether the improvements in the indirect recipient schools were statistically higher than in the direct recipient schools.</w:t>
      </w:r>
      <w:r w:rsidR="00D434EB">
        <w:rPr>
          <w:rFonts w:asciiTheme="majorHAnsi" w:hAnsiTheme="majorHAnsi" w:cstheme="majorHAnsi"/>
          <w:u w:color="000000"/>
          <w:lang w:val="en-US"/>
        </w:rPr>
        <w:t xml:space="preserve"> </w:t>
      </w:r>
      <w:r w:rsidRPr="00AA04A4">
        <w:rPr>
          <w:rFonts w:asciiTheme="majorHAnsi" w:hAnsiTheme="majorHAnsi" w:cstheme="majorHAnsi"/>
          <w:b/>
          <w:u w:color="000000"/>
          <w:lang w:val="en-US"/>
        </w:rPr>
        <w:t xml:space="preserve">The results of the </w:t>
      </w:r>
      <w:r w:rsidRPr="00AA04A4">
        <w:rPr>
          <w:rFonts w:asciiTheme="majorHAnsi" w:eastAsia="Arial Unicode MS" w:hAnsiTheme="majorHAnsi" w:cstheme="majorHAnsi"/>
          <w:b/>
          <w:u w:color="000000"/>
          <w:lang w:val="en-US"/>
        </w:rPr>
        <w:t>Panel DID Regression showed that the overall effect of the BEST Program interventions was not statistically significant across all year levels, that is, that there was no sufficient evidence to say that the BEST Program interventions improved the average grades of students in direct recipient schools compared to indirect recipient schools (Table 2).</w:t>
      </w:r>
      <w:r w:rsidR="00D434EB">
        <w:rPr>
          <w:rFonts w:asciiTheme="majorHAnsi" w:hAnsiTheme="majorHAnsi" w:cstheme="majorHAnsi"/>
          <w:b/>
          <w:u w:color="000000"/>
          <w:lang w:val="en-US"/>
        </w:rPr>
        <w:t xml:space="preserve"> </w:t>
      </w:r>
    </w:p>
    <w:p w14:paraId="1319F174" w14:textId="0459922D" w:rsidR="008D0CAD" w:rsidRPr="00AA04A4" w:rsidRDefault="008D0CAD" w:rsidP="00796BFA">
      <w:pPr>
        <w:spacing w:before="100" w:beforeAutospacing="1" w:after="100" w:afterAutospacing="1" w:line="360" w:lineRule="auto"/>
        <w:rPr>
          <w:rFonts w:asciiTheme="majorHAnsi" w:eastAsia="Arial Unicode MS" w:hAnsiTheme="majorHAnsi" w:cstheme="majorHAnsi"/>
          <w:u w:color="000000"/>
          <w:lang w:val="en-US"/>
        </w:rPr>
      </w:pPr>
      <w:bookmarkStart w:id="409" w:name="_Toc11511235"/>
      <w:bookmarkStart w:id="410" w:name="_Toc15637953"/>
      <w:bookmarkStart w:id="411" w:name="_Toc71616556"/>
      <w:r w:rsidRPr="005424E3">
        <w:rPr>
          <w:rFonts w:asciiTheme="majorHAnsi" w:hAnsiTheme="majorHAnsi" w:cstheme="majorHAnsi"/>
          <w:bCs/>
          <w:i/>
          <w:color w:val="44546A" w:themeColor="text2"/>
          <w:sz w:val="22"/>
          <w:szCs w:val="22"/>
          <w:lang w:val="en-US"/>
        </w:rPr>
        <w:t xml:space="preserve">Figure </w:t>
      </w:r>
      <w:r w:rsidRPr="005424E3">
        <w:rPr>
          <w:rFonts w:asciiTheme="majorHAnsi" w:hAnsiTheme="majorHAnsi" w:cstheme="majorHAnsi"/>
          <w:bCs/>
          <w:i/>
          <w:color w:val="44546A" w:themeColor="text2"/>
          <w:sz w:val="22"/>
          <w:szCs w:val="22"/>
          <w:lang w:val="en-US"/>
        </w:rPr>
        <w:fldChar w:fldCharType="begin"/>
      </w:r>
      <w:r w:rsidRPr="005424E3">
        <w:rPr>
          <w:rFonts w:asciiTheme="majorHAnsi" w:hAnsiTheme="majorHAnsi" w:cstheme="majorHAnsi"/>
          <w:bCs/>
          <w:i/>
          <w:color w:val="44546A" w:themeColor="text2"/>
          <w:sz w:val="22"/>
          <w:szCs w:val="22"/>
          <w:lang w:val="en-US"/>
        </w:rPr>
        <w:instrText xml:space="preserve"> SEQ Figure \* ARABIC </w:instrText>
      </w:r>
      <w:r w:rsidRPr="005424E3">
        <w:rPr>
          <w:rFonts w:asciiTheme="majorHAnsi" w:hAnsiTheme="majorHAnsi" w:cstheme="majorHAnsi"/>
          <w:bCs/>
          <w:i/>
          <w:color w:val="44546A" w:themeColor="text2"/>
          <w:sz w:val="22"/>
          <w:szCs w:val="22"/>
          <w:lang w:val="en-US"/>
        </w:rPr>
        <w:fldChar w:fldCharType="separate"/>
      </w:r>
      <w:r w:rsidR="00D6133D">
        <w:rPr>
          <w:rFonts w:asciiTheme="majorHAnsi" w:hAnsiTheme="majorHAnsi" w:cstheme="majorHAnsi"/>
          <w:bCs/>
          <w:i/>
          <w:noProof/>
          <w:color w:val="44546A" w:themeColor="text2"/>
          <w:sz w:val="22"/>
          <w:szCs w:val="22"/>
          <w:lang w:val="en-US"/>
        </w:rPr>
        <w:t>29</w:t>
      </w:r>
      <w:r w:rsidRPr="005424E3">
        <w:rPr>
          <w:rFonts w:asciiTheme="majorHAnsi" w:hAnsiTheme="majorHAnsi" w:cstheme="majorHAnsi"/>
          <w:bCs/>
          <w:i/>
          <w:color w:val="44546A" w:themeColor="text2"/>
          <w:sz w:val="22"/>
          <w:szCs w:val="22"/>
          <w:lang w:val="en-US"/>
        </w:rPr>
        <w:fldChar w:fldCharType="end"/>
      </w:r>
      <w:r w:rsidRPr="005424E3">
        <w:rPr>
          <w:rFonts w:asciiTheme="majorHAnsi" w:hAnsiTheme="majorHAnsi" w:cstheme="majorHAnsi"/>
          <w:bCs/>
          <w:i/>
          <w:color w:val="44546A" w:themeColor="text2"/>
          <w:sz w:val="22"/>
          <w:szCs w:val="22"/>
          <w:lang w:val="en-US"/>
        </w:rPr>
        <w:t>. Average Change of Grades by Grade Level</w:t>
      </w:r>
      <w:bookmarkEnd w:id="409"/>
      <w:bookmarkEnd w:id="410"/>
      <w:bookmarkEnd w:id="411"/>
      <w:r w:rsidRPr="00AA04A4">
        <w:rPr>
          <w:rFonts w:asciiTheme="majorHAnsi" w:eastAsia="Arial Unicode MS" w:hAnsiTheme="majorHAnsi" w:cstheme="majorHAnsi"/>
          <w:noProof/>
          <w:u w:color="000000"/>
          <w:lang w:val="en-AU" w:eastAsia="en-AU"/>
        </w:rPr>
        <w:drawing>
          <wp:inline distT="0" distB="0" distL="0" distR="0" wp14:anchorId="65797949" wp14:editId="1180A7F1">
            <wp:extent cx="3357974" cy="3170420"/>
            <wp:effectExtent l="0" t="0" r="7620" b="17780"/>
            <wp:docPr id="43" name="Chart 43" descr="Bar chart of average change of grades by grade level (for grades four, five and six). Highest average growth, Grade 4.">
              <a:extLst xmlns:a="http://schemas.openxmlformats.org/drawingml/2006/main">
                <a:ext uri="{FF2B5EF4-FFF2-40B4-BE49-F238E27FC236}">
                  <a16:creationId xmlns:a16="http://schemas.microsoft.com/office/drawing/2014/main" id="{72AF4D23-FDB0-524A-89ED-410D714026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614A7B44" w14:textId="36B3C09A" w:rsidR="008D0CAD" w:rsidRPr="005424E3" w:rsidRDefault="008D0CAD" w:rsidP="00796BFA">
      <w:pPr>
        <w:spacing w:before="100" w:beforeAutospacing="1" w:after="100" w:afterAutospacing="1" w:line="360" w:lineRule="auto"/>
        <w:rPr>
          <w:rFonts w:asciiTheme="majorHAnsi" w:hAnsiTheme="majorHAnsi" w:cstheme="majorHAnsi"/>
          <w:bCs/>
          <w:i/>
          <w:color w:val="44546A" w:themeColor="text2"/>
          <w:sz w:val="22"/>
          <w:szCs w:val="22"/>
          <w:lang w:val="en-US"/>
        </w:rPr>
      </w:pPr>
      <w:bookmarkStart w:id="412" w:name="_Toc11510970"/>
      <w:bookmarkStart w:id="413" w:name="_Toc15638037"/>
      <w:bookmarkStart w:id="414" w:name="_Toc71616635"/>
      <w:r w:rsidRPr="005424E3">
        <w:rPr>
          <w:rFonts w:asciiTheme="majorHAnsi" w:hAnsiTheme="majorHAnsi" w:cstheme="majorHAnsi"/>
          <w:bCs/>
          <w:i/>
          <w:color w:val="44546A" w:themeColor="text2"/>
          <w:sz w:val="22"/>
          <w:szCs w:val="22"/>
          <w:lang w:val="en-US"/>
        </w:rPr>
        <w:t xml:space="preserve">Table </w:t>
      </w:r>
      <w:r w:rsidRPr="005424E3">
        <w:rPr>
          <w:rFonts w:asciiTheme="majorHAnsi" w:hAnsiTheme="majorHAnsi" w:cstheme="majorHAnsi"/>
          <w:bCs/>
          <w:i/>
          <w:color w:val="44546A" w:themeColor="text2"/>
          <w:sz w:val="22"/>
          <w:szCs w:val="22"/>
          <w:lang w:val="en-US"/>
        </w:rPr>
        <w:fldChar w:fldCharType="begin"/>
      </w:r>
      <w:r w:rsidRPr="005424E3">
        <w:rPr>
          <w:rFonts w:asciiTheme="majorHAnsi" w:hAnsiTheme="majorHAnsi" w:cstheme="majorHAnsi"/>
          <w:bCs/>
          <w:i/>
          <w:color w:val="44546A" w:themeColor="text2"/>
          <w:sz w:val="22"/>
          <w:szCs w:val="22"/>
          <w:lang w:val="en-US"/>
        </w:rPr>
        <w:instrText xml:space="preserve"> SEQ Table \* ARABIC </w:instrText>
      </w:r>
      <w:r w:rsidRPr="005424E3">
        <w:rPr>
          <w:rFonts w:asciiTheme="majorHAnsi" w:hAnsiTheme="majorHAnsi" w:cstheme="majorHAnsi"/>
          <w:bCs/>
          <w:i/>
          <w:color w:val="44546A" w:themeColor="text2"/>
          <w:sz w:val="22"/>
          <w:szCs w:val="22"/>
          <w:lang w:val="en-US"/>
        </w:rPr>
        <w:fldChar w:fldCharType="separate"/>
      </w:r>
      <w:r w:rsidR="00D6133D">
        <w:rPr>
          <w:rFonts w:asciiTheme="majorHAnsi" w:hAnsiTheme="majorHAnsi" w:cstheme="majorHAnsi"/>
          <w:bCs/>
          <w:i/>
          <w:noProof/>
          <w:color w:val="44546A" w:themeColor="text2"/>
          <w:sz w:val="22"/>
          <w:szCs w:val="22"/>
          <w:lang w:val="en-US"/>
        </w:rPr>
        <w:t>44</w:t>
      </w:r>
      <w:r w:rsidRPr="005424E3">
        <w:rPr>
          <w:rFonts w:asciiTheme="majorHAnsi" w:hAnsiTheme="majorHAnsi" w:cstheme="majorHAnsi"/>
          <w:bCs/>
          <w:i/>
          <w:color w:val="44546A" w:themeColor="text2"/>
          <w:sz w:val="22"/>
          <w:szCs w:val="22"/>
          <w:lang w:val="en-US"/>
        </w:rPr>
        <w:fldChar w:fldCharType="end"/>
      </w:r>
      <w:r w:rsidRPr="005424E3">
        <w:rPr>
          <w:rFonts w:asciiTheme="majorHAnsi" w:hAnsiTheme="majorHAnsi" w:cstheme="majorHAnsi"/>
          <w:bCs/>
          <w:i/>
          <w:color w:val="44546A" w:themeColor="text2"/>
          <w:sz w:val="22"/>
          <w:szCs w:val="22"/>
          <w:lang w:val="en-US"/>
        </w:rPr>
        <w:t>.</w:t>
      </w:r>
      <w:r w:rsidRPr="005424E3">
        <w:rPr>
          <w:rFonts w:asciiTheme="majorHAnsi" w:hAnsiTheme="majorHAnsi" w:cstheme="majorHAnsi"/>
          <w:bCs/>
          <w:i/>
          <w:color w:val="44546A" w:themeColor="text2"/>
          <w:sz w:val="22"/>
          <w:szCs w:val="22"/>
        </w:rPr>
        <w:t xml:space="preserve"> Panel DID Regression Estimates</w:t>
      </w:r>
      <w:bookmarkEnd w:id="412"/>
      <w:bookmarkEnd w:id="413"/>
      <w:bookmarkEnd w:id="414"/>
    </w:p>
    <w:tbl>
      <w:tblPr>
        <w:tblStyle w:val="TableGrid11"/>
        <w:tblW w:w="9067" w:type="dxa"/>
        <w:tblLayout w:type="fixed"/>
        <w:tblLook w:val="0620" w:firstRow="1" w:lastRow="0" w:firstColumn="0" w:lastColumn="0" w:noHBand="1" w:noVBand="1"/>
      </w:tblPr>
      <w:tblGrid>
        <w:gridCol w:w="2123"/>
        <w:gridCol w:w="1133"/>
        <w:gridCol w:w="1134"/>
        <w:gridCol w:w="1134"/>
        <w:gridCol w:w="1134"/>
        <w:gridCol w:w="1275"/>
        <w:gridCol w:w="1134"/>
      </w:tblGrid>
      <w:tr w:rsidR="00B4093B" w:rsidRPr="00AA04A4" w14:paraId="48BCC388" w14:textId="77777777" w:rsidTr="00F4751F">
        <w:trPr>
          <w:trHeight w:val="740"/>
          <w:tblHeader/>
        </w:trPr>
        <w:tc>
          <w:tcPr>
            <w:tcW w:w="2123" w:type="dxa"/>
            <w:tcBorders>
              <w:right w:val="nil"/>
            </w:tcBorders>
          </w:tcPr>
          <w:p w14:paraId="19D8687B" w14:textId="415CF371" w:rsidR="00B4093B" w:rsidRPr="00AA04A4" w:rsidRDefault="00B4093B" w:rsidP="00B4093B">
            <w:pPr>
              <w:spacing w:before="100" w:beforeAutospacing="1" w:after="100" w:afterAutospacing="1" w:line="360" w:lineRule="auto"/>
              <w:ind w:left="90" w:right="245"/>
              <w:rPr>
                <w:rFonts w:asciiTheme="majorHAnsi" w:eastAsia="Arial Unicode MS" w:hAnsiTheme="majorHAnsi" w:cstheme="majorHAnsi"/>
                <w:sz w:val="20"/>
                <w:szCs w:val="20"/>
                <w:u w:color="000000"/>
                <w:lang w:val="en-US"/>
              </w:rPr>
            </w:pPr>
            <w:r w:rsidRPr="00AA04A4">
              <w:rPr>
                <w:rFonts w:asciiTheme="majorHAnsi" w:eastAsia="Arial Unicode MS" w:hAnsiTheme="majorHAnsi" w:cstheme="majorHAnsi"/>
                <w:i/>
                <w:sz w:val="20"/>
                <w:szCs w:val="20"/>
                <w:u w:color="000000"/>
              </w:rPr>
              <w:t>Dependent:</w:t>
            </w:r>
            <w:r>
              <w:rPr>
                <w:rFonts w:asciiTheme="majorHAnsi" w:eastAsia="Arial Unicode MS" w:hAnsiTheme="majorHAnsi" w:cstheme="majorHAnsi"/>
                <w:i/>
                <w:sz w:val="20"/>
                <w:szCs w:val="20"/>
                <w:u w:color="000000"/>
              </w:rPr>
              <w:t xml:space="preserve"> </w:t>
            </w:r>
          </w:p>
        </w:tc>
        <w:tc>
          <w:tcPr>
            <w:tcW w:w="1133" w:type="dxa"/>
            <w:tcBorders>
              <w:left w:val="nil"/>
              <w:right w:val="nil"/>
            </w:tcBorders>
          </w:tcPr>
          <w:p w14:paraId="1E2CF09B" w14:textId="2DF5D329" w:rsidR="00B4093B" w:rsidRPr="003305BA" w:rsidRDefault="00B4093B" w:rsidP="00B5167F">
            <w:pPr>
              <w:spacing w:before="100" w:beforeAutospacing="1" w:after="100" w:afterAutospacing="1" w:line="360" w:lineRule="auto"/>
              <w:ind w:right="245"/>
              <w:jc w:val="center"/>
              <w:rPr>
                <w:rFonts w:asciiTheme="majorHAnsi" w:eastAsia="Arial Unicode MS" w:hAnsiTheme="majorHAnsi" w:cstheme="majorHAnsi"/>
                <w:i/>
                <w:iCs/>
                <w:sz w:val="20"/>
                <w:szCs w:val="20"/>
                <w:u w:color="000000"/>
                <w:lang w:val="en-US"/>
              </w:rPr>
            </w:pPr>
            <w:r w:rsidRPr="003305BA">
              <w:rPr>
                <w:rFonts w:asciiTheme="majorHAnsi" w:eastAsia="Arial Unicode MS" w:hAnsiTheme="majorHAnsi" w:cstheme="majorHAnsi"/>
                <w:i/>
                <w:iCs/>
                <w:sz w:val="20"/>
                <w:szCs w:val="20"/>
                <w:u w:color="000000"/>
                <w:lang w:val="en-US"/>
              </w:rPr>
              <w:t>Percent</w:t>
            </w:r>
          </w:p>
        </w:tc>
        <w:tc>
          <w:tcPr>
            <w:tcW w:w="1134" w:type="dxa"/>
            <w:tcBorders>
              <w:left w:val="nil"/>
              <w:right w:val="nil"/>
            </w:tcBorders>
          </w:tcPr>
          <w:p w14:paraId="3D172D72" w14:textId="4AB2A91B" w:rsidR="00B4093B" w:rsidRPr="003305BA" w:rsidRDefault="00B4093B" w:rsidP="00B5167F">
            <w:pPr>
              <w:spacing w:before="100" w:beforeAutospacing="1" w:after="100" w:afterAutospacing="1" w:line="360" w:lineRule="auto"/>
              <w:ind w:left="131" w:right="99"/>
              <w:jc w:val="center"/>
              <w:rPr>
                <w:rFonts w:asciiTheme="majorHAnsi" w:eastAsia="Arial Unicode MS" w:hAnsiTheme="majorHAnsi" w:cstheme="majorHAnsi"/>
                <w:i/>
                <w:iCs/>
                <w:sz w:val="20"/>
                <w:szCs w:val="20"/>
                <w:u w:color="000000"/>
                <w:lang w:val="en-US"/>
              </w:rPr>
            </w:pPr>
            <w:r w:rsidRPr="003305BA">
              <w:rPr>
                <w:rFonts w:asciiTheme="majorHAnsi" w:eastAsia="Arial Unicode MS" w:hAnsiTheme="majorHAnsi" w:cstheme="majorHAnsi"/>
                <w:i/>
                <w:iCs/>
                <w:sz w:val="20"/>
                <w:szCs w:val="20"/>
                <w:u w:color="000000"/>
                <w:lang w:val="en-US"/>
              </w:rPr>
              <w:t>Change</w:t>
            </w:r>
          </w:p>
        </w:tc>
        <w:tc>
          <w:tcPr>
            <w:tcW w:w="1134" w:type="dxa"/>
            <w:tcBorders>
              <w:left w:val="nil"/>
              <w:right w:val="nil"/>
            </w:tcBorders>
          </w:tcPr>
          <w:p w14:paraId="1EECD177" w14:textId="4199A55C" w:rsidR="009719FA" w:rsidRDefault="001F2F0B" w:rsidP="00B5167F">
            <w:pPr>
              <w:spacing w:before="100" w:beforeAutospacing="1" w:after="100" w:afterAutospacing="1" w:line="360" w:lineRule="auto"/>
              <w:ind w:left="137" w:right="105"/>
              <w:jc w:val="center"/>
              <w:rPr>
                <w:rFonts w:asciiTheme="majorHAnsi" w:eastAsia="Arial Unicode MS" w:hAnsiTheme="majorHAnsi" w:cstheme="majorHAnsi"/>
                <w:i/>
                <w:iCs/>
                <w:sz w:val="20"/>
                <w:szCs w:val="20"/>
                <w:u w:color="000000"/>
                <w:lang w:val="en-US"/>
              </w:rPr>
            </w:pPr>
            <w:r>
              <w:rPr>
                <w:rFonts w:asciiTheme="majorHAnsi" w:eastAsia="Arial Unicode MS" w:hAnsiTheme="majorHAnsi" w:cstheme="majorHAnsi"/>
                <w:i/>
                <w:iCs/>
                <w:sz w:val="20"/>
                <w:szCs w:val="20"/>
                <w:u w:color="000000"/>
                <w:lang w:val="en-US"/>
              </w:rPr>
              <w:t>o</w:t>
            </w:r>
            <w:r w:rsidR="00B4093B" w:rsidRPr="003305BA">
              <w:rPr>
                <w:rFonts w:asciiTheme="majorHAnsi" w:eastAsia="Arial Unicode MS" w:hAnsiTheme="majorHAnsi" w:cstheme="majorHAnsi"/>
                <w:i/>
                <w:iCs/>
                <w:sz w:val="20"/>
                <w:szCs w:val="20"/>
                <w:u w:color="000000"/>
                <w:lang w:val="en-US"/>
              </w:rPr>
              <w:t>f</w:t>
            </w:r>
          </w:p>
          <w:p w14:paraId="3D373EAA" w14:textId="53D14910" w:rsidR="003305BA" w:rsidRPr="003305BA" w:rsidRDefault="003305BA" w:rsidP="00B5167F">
            <w:pPr>
              <w:spacing w:before="100" w:beforeAutospacing="1" w:after="100" w:afterAutospacing="1" w:line="360" w:lineRule="auto"/>
              <w:ind w:left="137" w:right="105"/>
              <w:jc w:val="center"/>
              <w:rPr>
                <w:rFonts w:asciiTheme="majorHAnsi" w:eastAsia="Arial Unicode MS" w:hAnsiTheme="majorHAnsi" w:cstheme="majorHAnsi"/>
                <w:i/>
                <w:iCs/>
                <w:sz w:val="20"/>
                <w:szCs w:val="20"/>
                <w:u w:color="000000"/>
                <w:lang w:val="en-US"/>
              </w:rPr>
            </w:pPr>
            <w:r w:rsidRPr="003305BA">
              <w:rPr>
                <w:rFonts w:asciiTheme="majorHAnsi" w:eastAsia="Arial Unicode MS" w:hAnsiTheme="majorHAnsi" w:cstheme="majorHAnsi"/>
                <w:i/>
                <w:iCs/>
                <w:sz w:val="20"/>
                <w:szCs w:val="20"/>
                <w:u w:color="000000"/>
                <w:lang w:val="en-US"/>
              </w:rPr>
              <w:t>to</w:t>
            </w:r>
          </w:p>
        </w:tc>
        <w:tc>
          <w:tcPr>
            <w:tcW w:w="1134" w:type="dxa"/>
            <w:tcBorders>
              <w:left w:val="nil"/>
              <w:right w:val="nil"/>
            </w:tcBorders>
          </w:tcPr>
          <w:p w14:paraId="1EC5E4DD" w14:textId="77777777" w:rsidR="00B4093B" w:rsidRPr="003305BA" w:rsidRDefault="00B4093B" w:rsidP="00B5167F">
            <w:pPr>
              <w:spacing w:before="100" w:beforeAutospacing="1" w:after="100" w:afterAutospacing="1" w:line="360" w:lineRule="auto"/>
              <w:ind w:left="65" w:right="245"/>
              <w:jc w:val="center"/>
              <w:rPr>
                <w:rFonts w:asciiTheme="majorHAnsi" w:eastAsia="Arial Unicode MS" w:hAnsiTheme="majorHAnsi" w:cstheme="majorHAnsi"/>
                <w:i/>
                <w:iCs/>
                <w:sz w:val="20"/>
                <w:szCs w:val="20"/>
                <w:u w:color="000000"/>
                <w:lang w:val="en-US"/>
              </w:rPr>
            </w:pPr>
            <w:r w:rsidRPr="003305BA">
              <w:rPr>
                <w:rFonts w:asciiTheme="majorHAnsi" w:eastAsia="Arial Unicode MS" w:hAnsiTheme="majorHAnsi" w:cstheme="majorHAnsi"/>
                <w:i/>
                <w:iCs/>
                <w:sz w:val="20"/>
                <w:szCs w:val="20"/>
                <w:u w:color="000000"/>
                <w:lang w:val="en-US"/>
              </w:rPr>
              <w:t>Grades</w:t>
            </w:r>
          </w:p>
          <w:p w14:paraId="0B6BC7D8" w14:textId="0A452864" w:rsidR="003305BA" w:rsidRPr="003305BA" w:rsidRDefault="003305BA" w:rsidP="00B5167F">
            <w:pPr>
              <w:spacing w:before="100" w:beforeAutospacing="1" w:after="100" w:afterAutospacing="1" w:line="360" w:lineRule="auto"/>
              <w:ind w:left="65" w:right="245"/>
              <w:jc w:val="center"/>
              <w:rPr>
                <w:rFonts w:asciiTheme="majorHAnsi" w:eastAsia="Arial Unicode MS" w:hAnsiTheme="majorHAnsi" w:cstheme="majorHAnsi"/>
                <w:i/>
                <w:iCs/>
                <w:sz w:val="20"/>
                <w:szCs w:val="20"/>
                <w:u w:color="000000"/>
                <w:lang w:val="en-US"/>
              </w:rPr>
            </w:pPr>
            <w:r w:rsidRPr="003305BA">
              <w:rPr>
                <w:rFonts w:asciiTheme="majorHAnsi" w:eastAsia="Arial Unicode MS" w:hAnsiTheme="majorHAnsi" w:cstheme="majorHAnsi"/>
                <w:i/>
                <w:iCs/>
                <w:sz w:val="20"/>
                <w:szCs w:val="20"/>
                <w:u w:color="000000"/>
                <w:lang w:val="en-US"/>
              </w:rPr>
              <w:t>Endline</w:t>
            </w:r>
          </w:p>
        </w:tc>
        <w:tc>
          <w:tcPr>
            <w:tcW w:w="1275" w:type="dxa"/>
            <w:tcBorders>
              <w:left w:val="nil"/>
              <w:right w:val="nil"/>
            </w:tcBorders>
          </w:tcPr>
          <w:p w14:paraId="40DE52E8" w14:textId="16191691" w:rsidR="00B4093B" w:rsidRPr="003305BA" w:rsidRDefault="003305BA" w:rsidP="00B5167F">
            <w:pPr>
              <w:spacing w:before="100" w:beforeAutospacing="1" w:after="100" w:afterAutospacing="1" w:line="360" w:lineRule="auto"/>
              <w:ind w:left="65" w:right="245"/>
              <w:jc w:val="center"/>
              <w:rPr>
                <w:rFonts w:asciiTheme="majorHAnsi" w:eastAsia="Arial Unicode MS" w:hAnsiTheme="majorHAnsi" w:cstheme="majorHAnsi"/>
                <w:i/>
                <w:iCs/>
                <w:sz w:val="20"/>
                <w:szCs w:val="20"/>
                <w:u w:color="000000"/>
                <w:lang w:val="en-US"/>
              </w:rPr>
            </w:pPr>
            <w:r w:rsidRPr="003305BA">
              <w:rPr>
                <w:rFonts w:asciiTheme="majorHAnsi" w:eastAsia="Arial Unicode MS" w:hAnsiTheme="majorHAnsi" w:cstheme="majorHAnsi"/>
                <w:i/>
                <w:iCs/>
                <w:sz w:val="20"/>
                <w:szCs w:val="20"/>
                <w:u w:color="000000"/>
                <w:lang w:val="en-US"/>
              </w:rPr>
              <w:t>From</w:t>
            </w:r>
          </w:p>
        </w:tc>
        <w:tc>
          <w:tcPr>
            <w:tcW w:w="1134" w:type="dxa"/>
            <w:tcBorders>
              <w:left w:val="nil"/>
            </w:tcBorders>
          </w:tcPr>
          <w:p w14:paraId="2C1F52EB" w14:textId="6091862F" w:rsidR="003305BA" w:rsidRPr="003305BA" w:rsidRDefault="003305BA" w:rsidP="00B5167F">
            <w:pPr>
              <w:spacing w:before="100" w:beforeAutospacing="1" w:after="100" w:afterAutospacing="1" w:line="360" w:lineRule="auto"/>
              <w:ind w:left="65" w:right="87"/>
              <w:jc w:val="center"/>
              <w:rPr>
                <w:rFonts w:asciiTheme="majorHAnsi" w:eastAsia="Arial Unicode MS" w:hAnsiTheme="majorHAnsi" w:cstheme="majorHAnsi"/>
                <w:i/>
                <w:iCs/>
                <w:sz w:val="20"/>
                <w:szCs w:val="20"/>
                <w:u w:color="000000"/>
                <w:lang w:val="en-US"/>
              </w:rPr>
            </w:pPr>
            <w:r w:rsidRPr="003305BA">
              <w:rPr>
                <w:rFonts w:asciiTheme="majorHAnsi" w:eastAsia="Arial Unicode MS" w:hAnsiTheme="majorHAnsi" w:cstheme="majorHAnsi"/>
                <w:i/>
                <w:iCs/>
                <w:sz w:val="20"/>
                <w:szCs w:val="20"/>
                <w:u w:color="000000"/>
                <w:lang w:val="en-US"/>
              </w:rPr>
              <w:t>Baseline</w:t>
            </w:r>
          </w:p>
        </w:tc>
      </w:tr>
      <w:tr w:rsidR="00B4093B" w:rsidRPr="00AA04A4" w14:paraId="3A56E6D3" w14:textId="77777777" w:rsidTr="00F4751F">
        <w:trPr>
          <w:trHeight w:val="133"/>
          <w:tblHeader/>
        </w:trPr>
        <w:tc>
          <w:tcPr>
            <w:tcW w:w="2123" w:type="dxa"/>
          </w:tcPr>
          <w:p w14:paraId="777FB7FD" w14:textId="425203D4" w:rsidR="00B4093B" w:rsidRPr="00AA04A4" w:rsidRDefault="00B4093B" w:rsidP="00B4093B">
            <w:pPr>
              <w:spacing w:before="100" w:beforeAutospacing="1" w:after="100" w:afterAutospacing="1" w:line="360" w:lineRule="auto"/>
              <w:ind w:left="90" w:right="245"/>
              <w:rPr>
                <w:rFonts w:asciiTheme="majorHAnsi" w:eastAsia="Arial Unicode MS" w:hAnsiTheme="majorHAnsi" w:cstheme="majorHAnsi"/>
                <w:b/>
                <w:bCs/>
                <w:sz w:val="20"/>
                <w:szCs w:val="20"/>
                <w:u w:color="000000"/>
              </w:rPr>
            </w:pPr>
            <w:r w:rsidRPr="00AA04A4">
              <w:rPr>
                <w:rFonts w:asciiTheme="majorHAnsi" w:eastAsia="Arial Unicode MS" w:hAnsiTheme="majorHAnsi" w:cstheme="majorHAnsi"/>
                <w:b/>
                <w:bCs/>
                <w:sz w:val="20"/>
                <w:szCs w:val="20"/>
                <w:u w:color="000000"/>
              </w:rPr>
              <w:t>DID</w:t>
            </w:r>
          </w:p>
        </w:tc>
        <w:tc>
          <w:tcPr>
            <w:tcW w:w="1133" w:type="dxa"/>
            <w:tcBorders>
              <w:right w:val="nil"/>
            </w:tcBorders>
          </w:tcPr>
          <w:p w14:paraId="79C25167" w14:textId="3EF1E558" w:rsidR="00B4093B" w:rsidRPr="00AA04A4" w:rsidRDefault="00B4093B" w:rsidP="00B4093B">
            <w:pPr>
              <w:spacing w:before="100" w:beforeAutospacing="1" w:after="100" w:afterAutospacing="1" w:line="360" w:lineRule="auto"/>
              <w:ind w:right="245"/>
              <w:rPr>
                <w:rFonts w:asciiTheme="majorHAnsi" w:eastAsia="Arial Unicode MS" w:hAnsiTheme="majorHAnsi" w:cstheme="majorHAnsi"/>
                <w:sz w:val="20"/>
                <w:szCs w:val="20"/>
                <w:u w:color="000000"/>
              </w:rPr>
            </w:pPr>
            <w:r w:rsidRPr="00AA04A4">
              <w:rPr>
                <w:rFonts w:asciiTheme="majorHAnsi" w:eastAsia="Arial Unicode MS" w:hAnsiTheme="majorHAnsi" w:cstheme="majorHAnsi"/>
                <w:b/>
                <w:bCs/>
                <w:sz w:val="20"/>
                <w:szCs w:val="20"/>
                <w:u w:color="000000"/>
              </w:rPr>
              <w:t>Grade 4</w:t>
            </w:r>
          </w:p>
        </w:tc>
        <w:tc>
          <w:tcPr>
            <w:tcW w:w="1134" w:type="dxa"/>
            <w:tcBorders>
              <w:left w:val="nil"/>
            </w:tcBorders>
          </w:tcPr>
          <w:p w14:paraId="2EB9DD39" w14:textId="67808820" w:rsidR="00B4093B" w:rsidRPr="00AA04A4" w:rsidRDefault="00B4093B" w:rsidP="00B4093B">
            <w:pPr>
              <w:spacing w:before="100" w:beforeAutospacing="1" w:after="100" w:afterAutospacing="1" w:line="360" w:lineRule="auto"/>
              <w:ind w:left="131" w:right="99"/>
              <w:rPr>
                <w:rFonts w:asciiTheme="majorHAnsi" w:eastAsia="Arial Unicode MS" w:hAnsiTheme="majorHAnsi" w:cstheme="majorHAnsi"/>
                <w:sz w:val="20"/>
                <w:szCs w:val="20"/>
                <w:u w:color="000000"/>
              </w:rPr>
            </w:pPr>
          </w:p>
        </w:tc>
        <w:tc>
          <w:tcPr>
            <w:tcW w:w="1134" w:type="dxa"/>
            <w:tcBorders>
              <w:right w:val="nil"/>
            </w:tcBorders>
          </w:tcPr>
          <w:p w14:paraId="2B68907A" w14:textId="05F89589" w:rsidR="00B4093B" w:rsidRPr="00AA04A4" w:rsidRDefault="00B4093B" w:rsidP="00B4093B">
            <w:pPr>
              <w:spacing w:before="100" w:beforeAutospacing="1" w:after="100" w:afterAutospacing="1" w:line="360" w:lineRule="auto"/>
              <w:ind w:left="137" w:right="105"/>
              <w:rPr>
                <w:rFonts w:asciiTheme="majorHAnsi" w:eastAsia="Arial Unicode MS" w:hAnsiTheme="majorHAnsi" w:cstheme="majorHAnsi"/>
                <w:sz w:val="20"/>
                <w:szCs w:val="20"/>
                <w:u w:color="000000"/>
              </w:rPr>
            </w:pPr>
            <w:r w:rsidRPr="00AA04A4">
              <w:rPr>
                <w:rFonts w:asciiTheme="majorHAnsi" w:eastAsia="Arial Unicode MS" w:hAnsiTheme="majorHAnsi" w:cstheme="majorHAnsi"/>
                <w:b/>
                <w:bCs/>
                <w:sz w:val="20"/>
                <w:szCs w:val="20"/>
                <w:u w:color="000000"/>
              </w:rPr>
              <w:t xml:space="preserve">Grade </w:t>
            </w:r>
            <w:r>
              <w:rPr>
                <w:rFonts w:asciiTheme="majorHAnsi" w:eastAsia="Arial Unicode MS" w:hAnsiTheme="majorHAnsi" w:cstheme="majorHAnsi"/>
                <w:b/>
                <w:bCs/>
                <w:sz w:val="20"/>
                <w:szCs w:val="20"/>
                <w:u w:color="000000"/>
              </w:rPr>
              <w:t>5</w:t>
            </w:r>
          </w:p>
        </w:tc>
        <w:tc>
          <w:tcPr>
            <w:tcW w:w="1134" w:type="dxa"/>
            <w:tcBorders>
              <w:left w:val="nil"/>
            </w:tcBorders>
          </w:tcPr>
          <w:p w14:paraId="657B57B5" w14:textId="3E92B7B6" w:rsidR="00B4093B" w:rsidRPr="00AA04A4" w:rsidRDefault="00B4093B" w:rsidP="00B4093B">
            <w:pPr>
              <w:spacing w:before="100" w:beforeAutospacing="1" w:after="100" w:afterAutospacing="1" w:line="360" w:lineRule="auto"/>
              <w:ind w:left="65" w:right="245"/>
              <w:rPr>
                <w:rFonts w:asciiTheme="majorHAnsi" w:eastAsia="Arial Unicode MS" w:hAnsiTheme="majorHAnsi" w:cstheme="majorHAnsi"/>
                <w:sz w:val="20"/>
                <w:szCs w:val="20"/>
                <w:u w:color="000000"/>
              </w:rPr>
            </w:pPr>
          </w:p>
        </w:tc>
        <w:tc>
          <w:tcPr>
            <w:tcW w:w="1275" w:type="dxa"/>
            <w:tcBorders>
              <w:right w:val="nil"/>
            </w:tcBorders>
          </w:tcPr>
          <w:p w14:paraId="47E0AE38" w14:textId="47661F8E" w:rsidR="00B4093B" w:rsidRPr="00AA04A4" w:rsidRDefault="00B4093B" w:rsidP="00B4093B">
            <w:pPr>
              <w:spacing w:before="100" w:beforeAutospacing="1" w:after="100" w:afterAutospacing="1" w:line="360" w:lineRule="auto"/>
              <w:ind w:left="65" w:right="245"/>
              <w:rPr>
                <w:rFonts w:asciiTheme="majorHAnsi" w:eastAsia="Arial Unicode MS" w:hAnsiTheme="majorHAnsi" w:cstheme="majorHAnsi"/>
                <w:sz w:val="20"/>
                <w:szCs w:val="20"/>
                <w:u w:color="000000"/>
              </w:rPr>
            </w:pPr>
            <w:r w:rsidRPr="00AA04A4">
              <w:rPr>
                <w:rFonts w:asciiTheme="majorHAnsi" w:eastAsia="Arial Unicode MS" w:hAnsiTheme="majorHAnsi" w:cstheme="majorHAnsi"/>
                <w:b/>
                <w:bCs/>
                <w:sz w:val="20"/>
                <w:szCs w:val="20"/>
                <w:u w:color="000000"/>
              </w:rPr>
              <w:t xml:space="preserve">Grade </w:t>
            </w:r>
            <w:r>
              <w:rPr>
                <w:rFonts w:asciiTheme="majorHAnsi" w:eastAsia="Arial Unicode MS" w:hAnsiTheme="majorHAnsi" w:cstheme="majorHAnsi"/>
                <w:b/>
                <w:bCs/>
                <w:sz w:val="20"/>
                <w:szCs w:val="20"/>
                <w:u w:color="000000"/>
              </w:rPr>
              <w:t>6</w:t>
            </w:r>
          </w:p>
        </w:tc>
        <w:tc>
          <w:tcPr>
            <w:tcW w:w="1134" w:type="dxa"/>
            <w:tcBorders>
              <w:left w:val="nil"/>
            </w:tcBorders>
          </w:tcPr>
          <w:p w14:paraId="118870AA" w14:textId="60F0B5B3" w:rsidR="00B4093B" w:rsidRPr="00AA04A4" w:rsidRDefault="00B4093B" w:rsidP="00B4093B">
            <w:pPr>
              <w:spacing w:before="100" w:beforeAutospacing="1" w:after="100" w:afterAutospacing="1" w:line="360" w:lineRule="auto"/>
              <w:ind w:left="65" w:right="87"/>
              <w:rPr>
                <w:rFonts w:asciiTheme="majorHAnsi" w:eastAsia="Arial Unicode MS" w:hAnsiTheme="majorHAnsi" w:cstheme="majorHAnsi"/>
                <w:sz w:val="20"/>
                <w:szCs w:val="20"/>
                <w:u w:color="000000"/>
              </w:rPr>
            </w:pPr>
          </w:p>
        </w:tc>
      </w:tr>
      <w:tr w:rsidR="00B4093B" w:rsidRPr="00AA04A4" w14:paraId="13B28AFC" w14:textId="77777777" w:rsidTr="00276D50">
        <w:trPr>
          <w:trHeight w:val="133"/>
        </w:trPr>
        <w:tc>
          <w:tcPr>
            <w:tcW w:w="2123" w:type="dxa"/>
          </w:tcPr>
          <w:p w14:paraId="173708DF" w14:textId="46ED74E2" w:rsidR="00B4093B" w:rsidRPr="00AA04A4" w:rsidRDefault="00B4093B" w:rsidP="00B4093B">
            <w:pPr>
              <w:spacing w:before="100" w:beforeAutospacing="1" w:after="100" w:afterAutospacing="1" w:line="360" w:lineRule="auto"/>
              <w:ind w:left="90" w:right="245"/>
              <w:rPr>
                <w:rFonts w:asciiTheme="majorHAnsi" w:eastAsia="Arial Unicode MS" w:hAnsiTheme="majorHAnsi" w:cstheme="majorHAnsi"/>
                <w:b/>
                <w:bCs/>
                <w:sz w:val="20"/>
                <w:szCs w:val="20"/>
                <w:u w:color="000000"/>
              </w:rPr>
            </w:pPr>
            <w:r w:rsidRPr="00AA04A4">
              <w:rPr>
                <w:rFonts w:asciiTheme="majorHAnsi" w:eastAsia="Arial Unicode MS" w:hAnsiTheme="majorHAnsi" w:cstheme="majorHAnsi"/>
                <w:b/>
                <w:bCs/>
                <w:sz w:val="20"/>
                <w:szCs w:val="20"/>
                <w:u w:color="000000"/>
              </w:rPr>
              <w:t>Overall BEST</w:t>
            </w:r>
          </w:p>
        </w:tc>
        <w:tc>
          <w:tcPr>
            <w:tcW w:w="1133" w:type="dxa"/>
          </w:tcPr>
          <w:p w14:paraId="355C0E81" w14:textId="1EA9EF93" w:rsidR="00B4093B" w:rsidRPr="00AA04A4" w:rsidRDefault="00B4093B" w:rsidP="00B4093B">
            <w:pPr>
              <w:spacing w:before="100" w:beforeAutospacing="1" w:after="100" w:afterAutospacing="1" w:line="360" w:lineRule="auto"/>
              <w:ind w:right="245"/>
              <w:rPr>
                <w:rFonts w:asciiTheme="majorHAnsi" w:eastAsia="Arial Unicode MS" w:hAnsiTheme="majorHAnsi" w:cstheme="majorHAnsi"/>
                <w:sz w:val="20"/>
                <w:szCs w:val="20"/>
                <w:u w:color="000000"/>
              </w:rPr>
            </w:pPr>
            <w:r w:rsidRPr="00AA04A4">
              <w:rPr>
                <w:rFonts w:asciiTheme="majorHAnsi" w:eastAsia="Arial Unicode MS" w:hAnsiTheme="majorHAnsi" w:cstheme="majorHAnsi"/>
                <w:sz w:val="20"/>
                <w:szCs w:val="20"/>
                <w:u w:color="000000"/>
              </w:rPr>
              <w:t>0.041</w:t>
            </w:r>
          </w:p>
        </w:tc>
        <w:tc>
          <w:tcPr>
            <w:tcW w:w="1134" w:type="dxa"/>
          </w:tcPr>
          <w:p w14:paraId="27A54D3F" w14:textId="78589C56" w:rsidR="00B4093B" w:rsidRPr="00AA04A4" w:rsidRDefault="00B4093B" w:rsidP="00B4093B">
            <w:pPr>
              <w:spacing w:before="100" w:beforeAutospacing="1" w:after="100" w:afterAutospacing="1" w:line="360" w:lineRule="auto"/>
              <w:ind w:left="131" w:right="99"/>
              <w:rPr>
                <w:rFonts w:asciiTheme="majorHAnsi" w:eastAsia="Arial Unicode MS" w:hAnsiTheme="majorHAnsi" w:cstheme="majorHAnsi"/>
                <w:sz w:val="20"/>
                <w:szCs w:val="20"/>
                <w:u w:color="000000"/>
              </w:rPr>
            </w:pPr>
            <w:r w:rsidRPr="00AA04A4">
              <w:rPr>
                <w:rFonts w:asciiTheme="majorHAnsi" w:eastAsia="Arial Unicode MS" w:hAnsiTheme="majorHAnsi" w:cstheme="majorHAnsi"/>
                <w:sz w:val="20"/>
                <w:szCs w:val="20"/>
                <w:u w:color="000000"/>
              </w:rPr>
              <w:t>Not Sig</w:t>
            </w:r>
          </w:p>
        </w:tc>
        <w:tc>
          <w:tcPr>
            <w:tcW w:w="1134" w:type="dxa"/>
          </w:tcPr>
          <w:p w14:paraId="0B913053" w14:textId="7A728972" w:rsidR="00B4093B" w:rsidRPr="00AA04A4" w:rsidRDefault="00B4093B" w:rsidP="00B4093B">
            <w:pPr>
              <w:spacing w:before="100" w:beforeAutospacing="1" w:after="100" w:afterAutospacing="1" w:line="360" w:lineRule="auto"/>
              <w:ind w:left="137" w:right="105"/>
              <w:rPr>
                <w:rFonts w:asciiTheme="majorHAnsi" w:eastAsia="Arial Unicode MS" w:hAnsiTheme="majorHAnsi" w:cstheme="majorHAnsi"/>
                <w:sz w:val="20"/>
                <w:szCs w:val="20"/>
                <w:u w:color="000000"/>
              </w:rPr>
            </w:pPr>
            <w:r w:rsidRPr="00AA04A4">
              <w:rPr>
                <w:rFonts w:asciiTheme="majorHAnsi" w:eastAsia="Arial Unicode MS" w:hAnsiTheme="majorHAnsi" w:cstheme="majorHAnsi"/>
                <w:sz w:val="20"/>
                <w:szCs w:val="20"/>
                <w:u w:color="000000"/>
              </w:rPr>
              <w:t>0.044</w:t>
            </w:r>
          </w:p>
        </w:tc>
        <w:tc>
          <w:tcPr>
            <w:tcW w:w="1134" w:type="dxa"/>
          </w:tcPr>
          <w:p w14:paraId="5BF789BC" w14:textId="170FE482" w:rsidR="00B4093B" w:rsidRPr="00AA04A4" w:rsidRDefault="00B4093B" w:rsidP="00B4093B">
            <w:pPr>
              <w:spacing w:before="100" w:beforeAutospacing="1" w:after="100" w:afterAutospacing="1" w:line="360" w:lineRule="auto"/>
              <w:ind w:left="65" w:right="245"/>
              <w:rPr>
                <w:rFonts w:asciiTheme="majorHAnsi" w:eastAsia="Arial Unicode MS" w:hAnsiTheme="majorHAnsi" w:cstheme="majorHAnsi"/>
                <w:sz w:val="20"/>
                <w:szCs w:val="20"/>
                <w:u w:color="000000"/>
              </w:rPr>
            </w:pPr>
            <w:r w:rsidRPr="00AA04A4">
              <w:rPr>
                <w:rFonts w:asciiTheme="majorHAnsi" w:eastAsia="Arial Unicode MS" w:hAnsiTheme="majorHAnsi" w:cstheme="majorHAnsi"/>
                <w:sz w:val="20"/>
                <w:szCs w:val="20"/>
                <w:u w:color="000000"/>
              </w:rPr>
              <w:t>Not Sig</w:t>
            </w:r>
          </w:p>
        </w:tc>
        <w:tc>
          <w:tcPr>
            <w:tcW w:w="1275" w:type="dxa"/>
          </w:tcPr>
          <w:p w14:paraId="426BEA3B" w14:textId="57BE2013" w:rsidR="00B4093B" w:rsidRPr="00AA04A4" w:rsidRDefault="00B4093B" w:rsidP="00B4093B">
            <w:pPr>
              <w:spacing w:before="100" w:beforeAutospacing="1" w:after="100" w:afterAutospacing="1" w:line="360" w:lineRule="auto"/>
              <w:ind w:left="65" w:right="245"/>
              <w:rPr>
                <w:rFonts w:asciiTheme="majorHAnsi" w:eastAsia="Arial Unicode MS" w:hAnsiTheme="majorHAnsi" w:cstheme="majorHAnsi"/>
                <w:sz w:val="20"/>
                <w:szCs w:val="20"/>
                <w:u w:color="000000"/>
              </w:rPr>
            </w:pPr>
            <w:r w:rsidRPr="00AA04A4">
              <w:rPr>
                <w:rFonts w:asciiTheme="majorHAnsi" w:eastAsia="Arial Unicode MS" w:hAnsiTheme="majorHAnsi" w:cstheme="majorHAnsi"/>
                <w:sz w:val="20"/>
                <w:szCs w:val="20"/>
                <w:u w:color="000000"/>
              </w:rPr>
              <w:t>-0.099</w:t>
            </w:r>
          </w:p>
        </w:tc>
        <w:tc>
          <w:tcPr>
            <w:tcW w:w="1134" w:type="dxa"/>
          </w:tcPr>
          <w:p w14:paraId="4105B9B7" w14:textId="33E1525E" w:rsidR="00B4093B" w:rsidRPr="00AA04A4" w:rsidRDefault="00B4093B" w:rsidP="00B4093B">
            <w:pPr>
              <w:spacing w:before="100" w:beforeAutospacing="1" w:after="100" w:afterAutospacing="1" w:line="360" w:lineRule="auto"/>
              <w:ind w:left="65" w:right="87"/>
              <w:rPr>
                <w:rFonts w:asciiTheme="majorHAnsi" w:eastAsia="Arial Unicode MS" w:hAnsiTheme="majorHAnsi" w:cstheme="majorHAnsi"/>
                <w:sz w:val="20"/>
                <w:szCs w:val="20"/>
                <w:u w:color="000000"/>
              </w:rPr>
            </w:pPr>
            <w:r w:rsidRPr="00AA04A4">
              <w:rPr>
                <w:rFonts w:asciiTheme="majorHAnsi" w:eastAsia="Arial Unicode MS" w:hAnsiTheme="majorHAnsi" w:cstheme="majorHAnsi"/>
                <w:sz w:val="20"/>
                <w:szCs w:val="20"/>
                <w:u w:color="000000"/>
              </w:rPr>
              <w:t>Not Sig</w:t>
            </w:r>
          </w:p>
        </w:tc>
      </w:tr>
      <w:tr w:rsidR="00B4093B" w:rsidRPr="00AA04A4" w14:paraId="087812C0" w14:textId="77777777" w:rsidTr="00276D50">
        <w:trPr>
          <w:trHeight w:val="47"/>
        </w:trPr>
        <w:tc>
          <w:tcPr>
            <w:tcW w:w="2123" w:type="dxa"/>
            <w:hideMark/>
          </w:tcPr>
          <w:p w14:paraId="12C429CF" w14:textId="77777777" w:rsidR="00B4093B" w:rsidRPr="00AA04A4" w:rsidRDefault="00B4093B" w:rsidP="00B4093B">
            <w:pPr>
              <w:spacing w:before="100" w:beforeAutospacing="1" w:after="100" w:afterAutospacing="1" w:line="360" w:lineRule="auto"/>
              <w:ind w:left="90" w:right="245"/>
              <w:rPr>
                <w:rFonts w:asciiTheme="majorHAnsi" w:eastAsia="Arial Unicode MS" w:hAnsiTheme="majorHAnsi" w:cstheme="majorHAnsi"/>
                <w:sz w:val="20"/>
                <w:szCs w:val="20"/>
                <w:u w:color="000000"/>
                <w:lang w:val="en-US"/>
              </w:rPr>
            </w:pPr>
            <w:r w:rsidRPr="00AA04A4">
              <w:rPr>
                <w:rFonts w:asciiTheme="majorHAnsi" w:eastAsia="Arial Unicode MS" w:hAnsiTheme="majorHAnsi" w:cstheme="majorHAnsi"/>
                <w:b/>
                <w:bCs/>
                <w:sz w:val="20"/>
                <w:szCs w:val="20"/>
                <w:u w:color="000000"/>
              </w:rPr>
              <w:t>Intervention 1</w:t>
            </w:r>
          </w:p>
        </w:tc>
        <w:tc>
          <w:tcPr>
            <w:tcW w:w="1133" w:type="dxa"/>
            <w:hideMark/>
          </w:tcPr>
          <w:p w14:paraId="0A849C7B" w14:textId="77777777" w:rsidR="00B4093B" w:rsidRPr="00AA04A4" w:rsidRDefault="00B4093B" w:rsidP="00B4093B">
            <w:pPr>
              <w:spacing w:before="100" w:beforeAutospacing="1" w:after="100" w:afterAutospacing="1" w:line="360" w:lineRule="auto"/>
              <w:ind w:right="245"/>
              <w:rPr>
                <w:rFonts w:asciiTheme="majorHAnsi" w:eastAsia="Arial Unicode MS" w:hAnsiTheme="majorHAnsi" w:cstheme="majorHAnsi"/>
                <w:sz w:val="20"/>
                <w:szCs w:val="20"/>
                <w:u w:color="000000"/>
                <w:lang w:val="en-US"/>
              </w:rPr>
            </w:pPr>
            <w:r w:rsidRPr="00AA04A4">
              <w:rPr>
                <w:rFonts w:asciiTheme="majorHAnsi" w:eastAsia="Arial Unicode MS" w:hAnsiTheme="majorHAnsi" w:cstheme="majorHAnsi"/>
                <w:sz w:val="20"/>
                <w:szCs w:val="20"/>
                <w:u w:color="000000"/>
              </w:rPr>
              <w:t>0.443</w:t>
            </w:r>
          </w:p>
        </w:tc>
        <w:tc>
          <w:tcPr>
            <w:tcW w:w="1134" w:type="dxa"/>
            <w:hideMark/>
          </w:tcPr>
          <w:p w14:paraId="1C73C997" w14:textId="77777777" w:rsidR="00B4093B" w:rsidRPr="00AA04A4" w:rsidRDefault="00B4093B" w:rsidP="00B4093B">
            <w:pPr>
              <w:spacing w:before="100" w:beforeAutospacing="1" w:after="100" w:afterAutospacing="1" w:line="360" w:lineRule="auto"/>
              <w:ind w:left="131" w:right="99"/>
              <w:rPr>
                <w:rFonts w:asciiTheme="majorHAnsi" w:eastAsia="Arial Unicode MS" w:hAnsiTheme="majorHAnsi" w:cstheme="majorHAnsi"/>
                <w:sz w:val="20"/>
                <w:szCs w:val="20"/>
                <w:u w:color="000000"/>
                <w:lang w:val="en-US"/>
              </w:rPr>
            </w:pPr>
            <w:r w:rsidRPr="00AA04A4">
              <w:rPr>
                <w:rFonts w:asciiTheme="majorHAnsi" w:eastAsia="Arial Unicode MS" w:hAnsiTheme="majorHAnsi" w:cstheme="majorHAnsi"/>
                <w:sz w:val="20"/>
                <w:szCs w:val="20"/>
                <w:u w:color="000000"/>
              </w:rPr>
              <w:t>Not Sig</w:t>
            </w:r>
          </w:p>
        </w:tc>
        <w:tc>
          <w:tcPr>
            <w:tcW w:w="1134" w:type="dxa"/>
            <w:hideMark/>
          </w:tcPr>
          <w:p w14:paraId="21097475" w14:textId="77777777" w:rsidR="00B4093B" w:rsidRPr="00AA04A4" w:rsidRDefault="00B4093B" w:rsidP="00B4093B">
            <w:pPr>
              <w:spacing w:before="100" w:beforeAutospacing="1" w:after="100" w:afterAutospacing="1" w:line="360" w:lineRule="auto"/>
              <w:ind w:left="137" w:right="105"/>
              <w:rPr>
                <w:rFonts w:asciiTheme="majorHAnsi" w:eastAsia="Arial Unicode MS" w:hAnsiTheme="majorHAnsi" w:cstheme="majorHAnsi"/>
                <w:sz w:val="20"/>
                <w:szCs w:val="20"/>
                <w:u w:color="000000"/>
                <w:lang w:val="en-US"/>
              </w:rPr>
            </w:pPr>
            <w:r w:rsidRPr="00AA04A4">
              <w:rPr>
                <w:rFonts w:asciiTheme="majorHAnsi" w:eastAsia="Arial Unicode MS" w:hAnsiTheme="majorHAnsi" w:cstheme="majorHAnsi"/>
                <w:sz w:val="20"/>
                <w:szCs w:val="20"/>
                <w:u w:color="000000"/>
              </w:rPr>
              <w:t>0.256</w:t>
            </w:r>
          </w:p>
        </w:tc>
        <w:tc>
          <w:tcPr>
            <w:tcW w:w="1134" w:type="dxa"/>
            <w:hideMark/>
          </w:tcPr>
          <w:p w14:paraId="02C574BD" w14:textId="77777777" w:rsidR="00B4093B" w:rsidRPr="00AA04A4" w:rsidRDefault="00B4093B" w:rsidP="00B4093B">
            <w:pPr>
              <w:spacing w:before="100" w:beforeAutospacing="1" w:after="100" w:afterAutospacing="1" w:line="360" w:lineRule="auto"/>
              <w:ind w:left="65" w:right="245"/>
              <w:rPr>
                <w:rFonts w:asciiTheme="majorHAnsi" w:eastAsia="Arial Unicode MS" w:hAnsiTheme="majorHAnsi" w:cstheme="majorHAnsi"/>
                <w:sz w:val="20"/>
                <w:szCs w:val="20"/>
                <w:u w:color="000000"/>
                <w:lang w:val="en-US"/>
              </w:rPr>
            </w:pPr>
            <w:r w:rsidRPr="00AA04A4">
              <w:rPr>
                <w:rFonts w:asciiTheme="majorHAnsi" w:eastAsia="Arial Unicode MS" w:hAnsiTheme="majorHAnsi" w:cstheme="majorHAnsi"/>
                <w:sz w:val="20"/>
                <w:szCs w:val="20"/>
                <w:u w:color="000000"/>
              </w:rPr>
              <w:t>Not Sig</w:t>
            </w:r>
          </w:p>
        </w:tc>
        <w:tc>
          <w:tcPr>
            <w:tcW w:w="1275" w:type="dxa"/>
            <w:hideMark/>
          </w:tcPr>
          <w:p w14:paraId="6C1C2E08" w14:textId="77777777" w:rsidR="00B4093B" w:rsidRPr="00AA04A4" w:rsidRDefault="00B4093B" w:rsidP="00B4093B">
            <w:pPr>
              <w:spacing w:before="100" w:beforeAutospacing="1" w:after="100" w:afterAutospacing="1" w:line="360" w:lineRule="auto"/>
              <w:ind w:left="65" w:right="245"/>
              <w:rPr>
                <w:rFonts w:asciiTheme="majorHAnsi" w:eastAsia="Arial Unicode MS" w:hAnsiTheme="majorHAnsi" w:cstheme="majorHAnsi"/>
                <w:sz w:val="20"/>
                <w:szCs w:val="20"/>
                <w:u w:color="000000"/>
                <w:lang w:val="en-US"/>
              </w:rPr>
            </w:pPr>
            <w:r w:rsidRPr="00AA04A4">
              <w:rPr>
                <w:rFonts w:asciiTheme="majorHAnsi" w:eastAsia="Arial Unicode MS" w:hAnsiTheme="majorHAnsi" w:cstheme="majorHAnsi"/>
                <w:sz w:val="20"/>
                <w:szCs w:val="20"/>
                <w:u w:color="000000"/>
              </w:rPr>
              <w:t>0.314</w:t>
            </w:r>
          </w:p>
        </w:tc>
        <w:tc>
          <w:tcPr>
            <w:tcW w:w="1134" w:type="dxa"/>
            <w:hideMark/>
          </w:tcPr>
          <w:p w14:paraId="101ECBAB" w14:textId="77777777" w:rsidR="00B4093B" w:rsidRPr="00AA04A4" w:rsidRDefault="00B4093B" w:rsidP="00B4093B">
            <w:pPr>
              <w:spacing w:before="100" w:beforeAutospacing="1" w:after="100" w:afterAutospacing="1" w:line="360" w:lineRule="auto"/>
              <w:ind w:left="65" w:right="87"/>
              <w:rPr>
                <w:rFonts w:asciiTheme="majorHAnsi" w:eastAsia="Arial Unicode MS" w:hAnsiTheme="majorHAnsi" w:cstheme="majorHAnsi"/>
                <w:sz w:val="20"/>
                <w:szCs w:val="20"/>
                <w:u w:color="000000"/>
                <w:lang w:val="en-US"/>
              </w:rPr>
            </w:pPr>
            <w:r w:rsidRPr="00AA04A4">
              <w:rPr>
                <w:rFonts w:asciiTheme="majorHAnsi" w:eastAsia="Arial Unicode MS" w:hAnsiTheme="majorHAnsi" w:cstheme="majorHAnsi"/>
                <w:sz w:val="20"/>
                <w:szCs w:val="20"/>
                <w:u w:color="000000"/>
              </w:rPr>
              <w:t>Not Sig</w:t>
            </w:r>
          </w:p>
        </w:tc>
      </w:tr>
      <w:tr w:rsidR="00B4093B" w:rsidRPr="00AA04A4" w14:paraId="364B11B4" w14:textId="77777777" w:rsidTr="00276D50">
        <w:trPr>
          <w:trHeight w:val="45"/>
        </w:trPr>
        <w:tc>
          <w:tcPr>
            <w:tcW w:w="2123" w:type="dxa"/>
            <w:hideMark/>
          </w:tcPr>
          <w:p w14:paraId="01740900" w14:textId="77777777" w:rsidR="00B4093B" w:rsidRPr="00AA04A4" w:rsidRDefault="00B4093B" w:rsidP="00B4093B">
            <w:pPr>
              <w:spacing w:before="100" w:beforeAutospacing="1" w:after="100" w:afterAutospacing="1" w:line="360" w:lineRule="auto"/>
              <w:ind w:left="90" w:right="245"/>
              <w:rPr>
                <w:rFonts w:asciiTheme="majorHAnsi" w:eastAsia="Arial Unicode MS" w:hAnsiTheme="majorHAnsi" w:cstheme="majorHAnsi"/>
                <w:sz w:val="20"/>
                <w:szCs w:val="20"/>
                <w:u w:color="000000"/>
                <w:lang w:val="en-US"/>
              </w:rPr>
            </w:pPr>
            <w:r w:rsidRPr="00AA04A4">
              <w:rPr>
                <w:rFonts w:asciiTheme="majorHAnsi" w:eastAsia="Arial Unicode MS" w:hAnsiTheme="majorHAnsi" w:cstheme="majorHAnsi"/>
                <w:b/>
                <w:bCs/>
                <w:sz w:val="20"/>
                <w:szCs w:val="20"/>
                <w:u w:color="000000"/>
              </w:rPr>
              <w:t>Intervention 3</w:t>
            </w:r>
          </w:p>
        </w:tc>
        <w:tc>
          <w:tcPr>
            <w:tcW w:w="1133" w:type="dxa"/>
            <w:hideMark/>
          </w:tcPr>
          <w:p w14:paraId="5B89EFC8" w14:textId="77777777" w:rsidR="00B4093B" w:rsidRPr="00AA04A4" w:rsidRDefault="00B4093B" w:rsidP="00B4093B">
            <w:pPr>
              <w:spacing w:before="100" w:beforeAutospacing="1" w:after="100" w:afterAutospacing="1" w:line="360" w:lineRule="auto"/>
              <w:ind w:left="65" w:right="245"/>
              <w:rPr>
                <w:rFonts w:asciiTheme="majorHAnsi" w:eastAsia="Arial Unicode MS" w:hAnsiTheme="majorHAnsi" w:cstheme="majorHAnsi"/>
                <w:sz w:val="20"/>
                <w:szCs w:val="20"/>
                <w:u w:color="000000"/>
                <w:lang w:val="en-US"/>
              </w:rPr>
            </w:pPr>
            <w:r w:rsidRPr="00AA04A4">
              <w:rPr>
                <w:rFonts w:asciiTheme="majorHAnsi" w:eastAsia="Arial Unicode MS" w:hAnsiTheme="majorHAnsi" w:cstheme="majorHAnsi"/>
                <w:sz w:val="20"/>
                <w:szCs w:val="20"/>
                <w:u w:color="000000"/>
              </w:rPr>
              <w:t>-0.217</w:t>
            </w:r>
          </w:p>
        </w:tc>
        <w:tc>
          <w:tcPr>
            <w:tcW w:w="1134" w:type="dxa"/>
            <w:hideMark/>
          </w:tcPr>
          <w:p w14:paraId="55C0C0FE" w14:textId="77777777" w:rsidR="00B4093B" w:rsidRPr="00AA04A4" w:rsidRDefault="00B4093B" w:rsidP="00B4093B">
            <w:pPr>
              <w:spacing w:before="100" w:beforeAutospacing="1" w:after="100" w:afterAutospacing="1" w:line="360" w:lineRule="auto"/>
              <w:ind w:left="65" w:right="99"/>
              <w:rPr>
                <w:rFonts w:asciiTheme="majorHAnsi" w:eastAsia="Arial Unicode MS" w:hAnsiTheme="majorHAnsi" w:cstheme="majorHAnsi"/>
                <w:sz w:val="20"/>
                <w:szCs w:val="20"/>
                <w:u w:color="000000"/>
                <w:lang w:val="en-US"/>
              </w:rPr>
            </w:pPr>
            <w:r w:rsidRPr="00AA04A4">
              <w:rPr>
                <w:rFonts w:asciiTheme="majorHAnsi" w:eastAsia="Arial Unicode MS" w:hAnsiTheme="majorHAnsi" w:cstheme="majorHAnsi"/>
                <w:sz w:val="20"/>
                <w:szCs w:val="20"/>
                <w:u w:color="000000"/>
              </w:rPr>
              <w:t>Not Sig</w:t>
            </w:r>
          </w:p>
        </w:tc>
        <w:tc>
          <w:tcPr>
            <w:tcW w:w="1134" w:type="dxa"/>
            <w:hideMark/>
          </w:tcPr>
          <w:p w14:paraId="5EB8C6CF" w14:textId="77777777" w:rsidR="00B4093B" w:rsidRPr="00AA04A4" w:rsidRDefault="00B4093B" w:rsidP="00B4093B">
            <w:pPr>
              <w:spacing w:before="100" w:beforeAutospacing="1" w:after="100" w:afterAutospacing="1" w:line="360" w:lineRule="auto"/>
              <w:ind w:left="137" w:right="105"/>
              <w:rPr>
                <w:rFonts w:asciiTheme="majorHAnsi" w:eastAsia="Arial Unicode MS" w:hAnsiTheme="majorHAnsi" w:cstheme="majorHAnsi"/>
                <w:sz w:val="20"/>
                <w:szCs w:val="20"/>
                <w:u w:color="000000"/>
                <w:lang w:val="en-US"/>
              </w:rPr>
            </w:pPr>
            <w:r w:rsidRPr="00AA04A4">
              <w:rPr>
                <w:rFonts w:asciiTheme="majorHAnsi" w:eastAsia="Arial Unicode MS" w:hAnsiTheme="majorHAnsi" w:cstheme="majorHAnsi"/>
                <w:sz w:val="20"/>
                <w:szCs w:val="20"/>
                <w:u w:color="000000"/>
              </w:rPr>
              <w:t>-0.297</w:t>
            </w:r>
          </w:p>
        </w:tc>
        <w:tc>
          <w:tcPr>
            <w:tcW w:w="1134" w:type="dxa"/>
            <w:hideMark/>
          </w:tcPr>
          <w:p w14:paraId="71AFDAAC" w14:textId="77777777" w:rsidR="00B4093B" w:rsidRPr="00AA04A4" w:rsidRDefault="00B4093B" w:rsidP="00B4093B">
            <w:pPr>
              <w:spacing w:before="100" w:beforeAutospacing="1" w:after="100" w:afterAutospacing="1" w:line="360" w:lineRule="auto"/>
              <w:ind w:left="65" w:right="245"/>
              <w:rPr>
                <w:rFonts w:asciiTheme="majorHAnsi" w:eastAsia="Arial Unicode MS" w:hAnsiTheme="majorHAnsi" w:cstheme="majorHAnsi"/>
                <w:sz w:val="20"/>
                <w:szCs w:val="20"/>
                <w:u w:color="000000"/>
                <w:lang w:val="en-US"/>
              </w:rPr>
            </w:pPr>
            <w:r w:rsidRPr="00AA04A4">
              <w:rPr>
                <w:rFonts w:asciiTheme="majorHAnsi" w:eastAsia="Arial Unicode MS" w:hAnsiTheme="majorHAnsi" w:cstheme="majorHAnsi"/>
                <w:sz w:val="20"/>
                <w:szCs w:val="20"/>
                <w:u w:color="000000"/>
              </w:rPr>
              <w:t>Not Sig</w:t>
            </w:r>
          </w:p>
        </w:tc>
        <w:tc>
          <w:tcPr>
            <w:tcW w:w="1275" w:type="dxa"/>
            <w:hideMark/>
          </w:tcPr>
          <w:p w14:paraId="0264F2C5" w14:textId="77777777" w:rsidR="00B4093B" w:rsidRPr="00AA04A4" w:rsidRDefault="00B4093B" w:rsidP="00B4093B">
            <w:pPr>
              <w:spacing w:before="100" w:beforeAutospacing="1" w:after="100" w:afterAutospacing="1" w:line="360" w:lineRule="auto"/>
              <w:ind w:left="65" w:right="245"/>
              <w:rPr>
                <w:rFonts w:asciiTheme="majorHAnsi" w:eastAsia="Arial Unicode MS" w:hAnsiTheme="majorHAnsi" w:cstheme="majorHAnsi"/>
                <w:sz w:val="20"/>
                <w:szCs w:val="20"/>
                <w:u w:color="000000"/>
                <w:lang w:val="en-US"/>
              </w:rPr>
            </w:pPr>
            <w:r w:rsidRPr="00AA04A4">
              <w:rPr>
                <w:rFonts w:asciiTheme="majorHAnsi" w:eastAsia="Arial Unicode MS" w:hAnsiTheme="majorHAnsi" w:cstheme="majorHAnsi"/>
                <w:sz w:val="20"/>
                <w:szCs w:val="20"/>
                <w:u w:color="000000"/>
              </w:rPr>
              <w:t>0.102</w:t>
            </w:r>
          </w:p>
        </w:tc>
        <w:tc>
          <w:tcPr>
            <w:tcW w:w="1134" w:type="dxa"/>
            <w:hideMark/>
          </w:tcPr>
          <w:p w14:paraId="75C233D3" w14:textId="77777777" w:rsidR="00B4093B" w:rsidRPr="00AA04A4" w:rsidRDefault="00B4093B" w:rsidP="00B4093B">
            <w:pPr>
              <w:spacing w:before="100" w:beforeAutospacing="1" w:after="100" w:afterAutospacing="1" w:line="360" w:lineRule="auto"/>
              <w:ind w:left="65" w:right="87"/>
              <w:rPr>
                <w:rFonts w:asciiTheme="majorHAnsi" w:eastAsia="Arial Unicode MS" w:hAnsiTheme="majorHAnsi" w:cstheme="majorHAnsi"/>
                <w:sz w:val="20"/>
                <w:szCs w:val="20"/>
                <w:u w:color="000000"/>
                <w:lang w:val="en-US"/>
              </w:rPr>
            </w:pPr>
            <w:r w:rsidRPr="00AA04A4">
              <w:rPr>
                <w:rFonts w:asciiTheme="majorHAnsi" w:eastAsia="Arial Unicode MS" w:hAnsiTheme="majorHAnsi" w:cstheme="majorHAnsi"/>
                <w:sz w:val="20"/>
                <w:szCs w:val="20"/>
                <w:u w:color="000000"/>
              </w:rPr>
              <w:t>Not Sig</w:t>
            </w:r>
          </w:p>
        </w:tc>
      </w:tr>
      <w:tr w:rsidR="00B4093B" w:rsidRPr="00AA04A4" w14:paraId="5E9FEFEE" w14:textId="77777777" w:rsidTr="00276D50">
        <w:trPr>
          <w:trHeight w:val="115"/>
        </w:trPr>
        <w:tc>
          <w:tcPr>
            <w:tcW w:w="2123" w:type="dxa"/>
            <w:hideMark/>
          </w:tcPr>
          <w:p w14:paraId="78F2EE18" w14:textId="77777777" w:rsidR="00B4093B" w:rsidRPr="00AA04A4" w:rsidRDefault="00B4093B" w:rsidP="00B4093B">
            <w:pPr>
              <w:spacing w:before="100" w:beforeAutospacing="1" w:after="100" w:afterAutospacing="1" w:line="360" w:lineRule="auto"/>
              <w:ind w:left="90" w:right="245"/>
              <w:rPr>
                <w:rFonts w:asciiTheme="majorHAnsi" w:eastAsia="Arial Unicode MS" w:hAnsiTheme="majorHAnsi" w:cstheme="majorHAnsi"/>
                <w:sz w:val="20"/>
                <w:szCs w:val="20"/>
                <w:u w:color="000000"/>
                <w:lang w:val="en-US"/>
              </w:rPr>
            </w:pPr>
            <w:r w:rsidRPr="00AA04A4">
              <w:rPr>
                <w:rFonts w:asciiTheme="majorHAnsi" w:eastAsia="Arial Unicode MS" w:hAnsiTheme="majorHAnsi" w:cstheme="majorHAnsi"/>
                <w:b/>
                <w:bCs/>
                <w:sz w:val="20"/>
                <w:szCs w:val="20"/>
                <w:u w:color="000000"/>
              </w:rPr>
              <w:t>Intervention 6</w:t>
            </w:r>
          </w:p>
        </w:tc>
        <w:tc>
          <w:tcPr>
            <w:tcW w:w="1133" w:type="dxa"/>
            <w:hideMark/>
          </w:tcPr>
          <w:p w14:paraId="1AA50868" w14:textId="77777777" w:rsidR="00B4093B" w:rsidRPr="00AA04A4" w:rsidRDefault="00B4093B" w:rsidP="00B4093B">
            <w:pPr>
              <w:spacing w:before="100" w:beforeAutospacing="1" w:after="100" w:afterAutospacing="1" w:line="360" w:lineRule="auto"/>
              <w:ind w:left="65" w:right="245"/>
              <w:rPr>
                <w:rFonts w:asciiTheme="majorHAnsi" w:eastAsia="Arial Unicode MS" w:hAnsiTheme="majorHAnsi" w:cstheme="majorHAnsi"/>
                <w:sz w:val="20"/>
                <w:szCs w:val="20"/>
                <w:u w:color="000000"/>
                <w:lang w:val="en-US"/>
              </w:rPr>
            </w:pPr>
            <w:r w:rsidRPr="00AA04A4">
              <w:rPr>
                <w:rFonts w:asciiTheme="majorHAnsi" w:eastAsia="Arial Unicode MS" w:hAnsiTheme="majorHAnsi" w:cstheme="majorHAnsi"/>
                <w:sz w:val="20"/>
                <w:szCs w:val="20"/>
                <w:u w:color="000000"/>
              </w:rPr>
              <w:t>-0.005</w:t>
            </w:r>
          </w:p>
        </w:tc>
        <w:tc>
          <w:tcPr>
            <w:tcW w:w="1134" w:type="dxa"/>
            <w:hideMark/>
          </w:tcPr>
          <w:p w14:paraId="484030A8" w14:textId="77777777" w:rsidR="00B4093B" w:rsidRPr="00AA04A4" w:rsidRDefault="00B4093B" w:rsidP="00B4093B">
            <w:pPr>
              <w:spacing w:before="100" w:beforeAutospacing="1" w:after="100" w:afterAutospacing="1" w:line="360" w:lineRule="auto"/>
              <w:ind w:left="65" w:right="99"/>
              <w:rPr>
                <w:rFonts w:asciiTheme="majorHAnsi" w:eastAsia="Arial Unicode MS" w:hAnsiTheme="majorHAnsi" w:cstheme="majorHAnsi"/>
                <w:sz w:val="20"/>
                <w:szCs w:val="20"/>
                <w:u w:color="000000"/>
                <w:lang w:val="en-US"/>
              </w:rPr>
            </w:pPr>
            <w:r w:rsidRPr="00AA04A4">
              <w:rPr>
                <w:rFonts w:asciiTheme="majorHAnsi" w:eastAsia="Arial Unicode MS" w:hAnsiTheme="majorHAnsi" w:cstheme="majorHAnsi"/>
                <w:sz w:val="20"/>
                <w:szCs w:val="20"/>
                <w:u w:color="000000"/>
              </w:rPr>
              <w:t>Not Sig</w:t>
            </w:r>
          </w:p>
        </w:tc>
        <w:tc>
          <w:tcPr>
            <w:tcW w:w="1134" w:type="dxa"/>
            <w:hideMark/>
          </w:tcPr>
          <w:p w14:paraId="619783AE" w14:textId="77777777" w:rsidR="00B4093B" w:rsidRPr="00AA04A4" w:rsidRDefault="00B4093B" w:rsidP="00B4093B">
            <w:pPr>
              <w:spacing w:before="100" w:beforeAutospacing="1" w:after="100" w:afterAutospacing="1" w:line="360" w:lineRule="auto"/>
              <w:ind w:left="137" w:right="105"/>
              <w:rPr>
                <w:rFonts w:asciiTheme="majorHAnsi" w:eastAsia="Arial Unicode MS" w:hAnsiTheme="majorHAnsi" w:cstheme="majorHAnsi"/>
                <w:sz w:val="20"/>
                <w:szCs w:val="20"/>
                <w:u w:color="000000"/>
                <w:lang w:val="en-US"/>
              </w:rPr>
            </w:pPr>
            <w:r w:rsidRPr="00AA04A4">
              <w:rPr>
                <w:rFonts w:asciiTheme="majorHAnsi" w:eastAsia="Arial Unicode MS" w:hAnsiTheme="majorHAnsi" w:cstheme="majorHAnsi"/>
                <w:sz w:val="20"/>
                <w:szCs w:val="20"/>
                <w:u w:color="000000"/>
              </w:rPr>
              <w:t>0.024</w:t>
            </w:r>
          </w:p>
        </w:tc>
        <w:tc>
          <w:tcPr>
            <w:tcW w:w="1134" w:type="dxa"/>
            <w:hideMark/>
          </w:tcPr>
          <w:p w14:paraId="0CA3A493" w14:textId="77777777" w:rsidR="00B4093B" w:rsidRPr="00AA04A4" w:rsidRDefault="00B4093B" w:rsidP="00B4093B">
            <w:pPr>
              <w:spacing w:before="100" w:beforeAutospacing="1" w:after="100" w:afterAutospacing="1" w:line="360" w:lineRule="auto"/>
              <w:ind w:left="65" w:right="245"/>
              <w:rPr>
                <w:rFonts w:asciiTheme="majorHAnsi" w:eastAsia="Arial Unicode MS" w:hAnsiTheme="majorHAnsi" w:cstheme="majorHAnsi"/>
                <w:sz w:val="20"/>
                <w:szCs w:val="20"/>
                <w:u w:color="000000"/>
                <w:lang w:val="en-US"/>
              </w:rPr>
            </w:pPr>
            <w:r w:rsidRPr="00AA04A4">
              <w:rPr>
                <w:rFonts w:asciiTheme="majorHAnsi" w:eastAsia="Arial Unicode MS" w:hAnsiTheme="majorHAnsi" w:cstheme="majorHAnsi"/>
                <w:sz w:val="20"/>
                <w:szCs w:val="20"/>
                <w:u w:color="000000"/>
              </w:rPr>
              <w:t>Not Sig</w:t>
            </w:r>
          </w:p>
        </w:tc>
        <w:tc>
          <w:tcPr>
            <w:tcW w:w="1275" w:type="dxa"/>
            <w:hideMark/>
          </w:tcPr>
          <w:p w14:paraId="7CED4044" w14:textId="77777777" w:rsidR="00B4093B" w:rsidRPr="00AA04A4" w:rsidRDefault="00B4093B" w:rsidP="00B4093B">
            <w:pPr>
              <w:spacing w:before="100" w:beforeAutospacing="1" w:after="100" w:afterAutospacing="1" w:line="360" w:lineRule="auto"/>
              <w:ind w:left="65" w:right="245"/>
              <w:rPr>
                <w:rFonts w:asciiTheme="majorHAnsi" w:eastAsia="Arial Unicode MS" w:hAnsiTheme="majorHAnsi" w:cstheme="majorHAnsi"/>
                <w:sz w:val="20"/>
                <w:szCs w:val="20"/>
                <w:u w:color="000000"/>
                <w:lang w:val="en-US"/>
              </w:rPr>
            </w:pPr>
            <w:r w:rsidRPr="00AA04A4">
              <w:rPr>
                <w:rFonts w:asciiTheme="majorHAnsi" w:eastAsia="Arial Unicode MS" w:hAnsiTheme="majorHAnsi" w:cstheme="majorHAnsi"/>
                <w:b/>
                <w:bCs/>
                <w:sz w:val="20"/>
                <w:szCs w:val="20"/>
                <w:u w:color="000000"/>
              </w:rPr>
              <w:t>-0.232</w:t>
            </w:r>
          </w:p>
        </w:tc>
        <w:tc>
          <w:tcPr>
            <w:tcW w:w="1134" w:type="dxa"/>
            <w:hideMark/>
          </w:tcPr>
          <w:p w14:paraId="34C758A1" w14:textId="77777777" w:rsidR="00B4093B" w:rsidRPr="00AA04A4" w:rsidRDefault="00B4093B" w:rsidP="00B4093B">
            <w:pPr>
              <w:spacing w:before="100" w:beforeAutospacing="1" w:after="100" w:afterAutospacing="1" w:line="360" w:lineRule="auto"/>
              <w:ind w:left="65" w:right="87"/>
              <w:rPr>
                <w:rFonts w:asciiTheme="majorHAnsi" w:eastAsia="Arial Unicode MS" w:hAnsiTheme="majorHAnsi" w:cstheme="majorHAnsi"/>
                <w:sz w:val="20"/>
                <w:szCs w:val="20"/>
                <w:u w:color="000000"/>
                <w:lang w:val="en-US"/>
              </w:rPr>
            </w:pPr>
            <w:r w:rsidRPr="00AA04A4">
              <w:rPr>
                <w:rFonts w:asciiTheme="majorHAnsi" w:eastAsia="Arial Unicode MS" w:hAnsiTheme="majorHAnsi" w:cstheme="majorHAnsi"/>
                <w:b/>
                <w:bCs/>
                <w:sz w:val="20"/>
                <w:szCs w:val="20"/>
                <w:u w:color="000000"/>
              </w:rPr>
              <w:t>Sig</w:t>
            </w:r>
          </w:p>
        </w:tc>
      </w:tr>
      <w:tr w:rsidR="00B4093B" w:rsidRPr="00AA04A4" w14:paraId="44B051B9" w14:textId="77777777" w:rsidTr="00276D50">
        <w:trPr>
          <w:trHeight w:val="124"/>
        </w:trPr>
        <w:tc>
          <w:tcPr>
            <w:tcW w:w="2123" w:type="dxa"/>
            <w:hideMark/>
          </w:tcPr>
          <w:p w14:paraId="38C45654" w14:textId="77777777" w:rsidR="00B4093B" w:rsidRPr="00AA04A4" w:rsidRDefault="00B4093B" w:rsidP="00B4093B">
            <w:pPr>
              <w:spacing w:before="100" w:beforeAutospacing="1" w:after="100" w:afterAutospacing="1" w:line="360" w:lineRule="auto"/>
              <w:ind w:left="90" w:right="245"/>
              <w:rPr>
                <w:rFonts w:asciiTheme="majorHAnsi" w:eastAsia="Arial Unicode MS" w:hAnsiTheme="majorHAnsi" w:cstheme="majorHAnsi"/>
                <w:sz w:val="20"/>
                <w:szCs w:val="20"/>
                <w:u w:color="000000"/>
                <w:lang w:val="en-US"/>
              </w:rPr>
            </w:pPr>
            <w:r w:rsidRPr="00AA04A4">
              <w:rPr>
                <w:rFonts w:asciiTheme="majorHAnsi" w:eastAsia="Arial Unicode MS" w:hAnsiTheme="majorHAnsi" w:cstheme="majorHAnsi"/>
                <w:b/>
                <w:bCs/>
                <w:sz w:val="20"/>
                <w:szCs w:val="20"/>
                <w:u w:color="000000"/>
              </w:rPr>
              <w:t>Intervention 7</w:t>
            </w:r>
          </w:p>
        </w:tc>
        <w:tc>
          <w:tcPr>
            <w:tcW w:w="1133" w:type="dxa"/>
            <w:hideMark/>
          </w:tcPr>
          <w:p w14:paraId="5F309853" w14:textId="77777777" w:rsidR="00B4093B" w:rsidRPr="00AA04A4" w:rsidRDefault="00B4093B" w:rsidP="00B4093B">
            <w:pPr>
              <w:spacing w:before="100" w:beforeAutospacing="1" w:after="100" w:afterAutospacing="1" w:line="360" w:lineRule="auto"/>
              <w:ind w:left="65" w:right="245"/>
              <w:rPr>
                <w:rFonts w:asciiTheme="majorHAnsi" w:eastAsia="Arial Unicode MS" w:hAnsiTheme="majorHAnsi" w:cstheme="majorHAnsi"/>
                <w:sz w:val="20"/>
                <w:szCs w:val="20"/>
                <w:u w:color="000000"/>
                <w:lang w:val="en-US"/>
              </w:rPr>
            </w:pPr>
            <w:r w:rsidRPr="00AA04A4">
              <w:rPr>
                <w:rFonts w:asciiTheme="majorHAnsi" w:eastAsia="Arial Unicode MS" w:hAnsiTheme="majorHAnsi" w:cstheme="majorHAnsi"/>
                <w:sz w:val="20"/>
                <w:szCs w:val="20"/>
                <w:u w:color="000000"/>
              </w:rPr>
              <w:t>-0.740</w:t>
            </w:r>
          </w:p>
        </w:tc>
        <w:tc>
          <w:tcPr>
            <w:tcW w:w="1134" w:type="dxa"/>
            <w:hideMark/>
          </w:tcPr>
          <w:p w14:paraId="665090C0" w14:textId="77777777" w:rsidR="00B4093B" w:rsidRPr="00AA04A4" w:rsidRDefault="00B4093B" w:rsidP="00B4093B">
            <w:pPr>
              <w:spacing w:before="100" w:beforeAutospacing="1" w:after="100" w:afterAutospacing="1" w:line="360" w:lineRule="auto"/>
              <w:ind w:left="65" w:right="99"/>
              <w:rPr>
                <w:rFonts w:asciiTheme="majorHAnsi" w:eastAsia="Arial Unicode MS" w:hAnsiTheme="majorHAnsi" w:cstheme="majorHAnsi"/>
                <w:sz w:val="20"/>
                <w:szCs w:val="20"/>
                <w:u w:color="000000"/>
                <w:lang w:val="en-US"/>
              </w:rPr>
            </w:pPr>
            <w:r w:rsidRPr="00AA04A4">
              <w:rPr>
                <w:rFonts w:asciiTheme="majorHAnsi" w:eastAsia="Arial Unicode MS" w:hAnsiTheme="majorHAnsi" w:cstheme="majorHAnsi"/>
                <w:sz w:val="20"/>
                <w:szCs w:val="20"/>
                <w:u w:color="000000"/>
              </w:rPr>
              <w:t>Not Sig</w:t>
            </w:r>
          </w:p>
        </w:tc>
        <w:tc>
          <w:tcPr>
            <w:tcW w:w="1134" w:type="dxa"/>
            <w:hideMark/>
          </w:tcPr>
          <w:p w14:paraId="3BCE0578" w14:textId="77777777" w:rsidR="00B4093B" w:rsidRPr="00AA04A4" w:rsidRDefault="00B4093B" w:rsidP="00B4093B">
            <w:pPr>
              <w:spacing w:before="100" w:beforeAutospacing="1" w:after="100" w:afterAutospacing="1" w:line="360" w:lineRule="auto"/>
              <w:ind w:left="137" w:right="105"/>
              <w:rPr>
                <w:rFonts w:asciiTheme="majorHAnsi" w:eastAsia="Arial Unicode MS" w:hAnsiTheme="majorHAnsi" w:cstheme="majorHAnsi"/>
                <w:sz w:val="20"/>
                <w:szCs w:val="20"/>
                <w:u w:color="000000"/>
                <w:lang w:val="en-US"/>
              </w:rPr>
            </w:pPr>
            <w:r w:rsidRPr="00AA04A4">
              <w:rPr>
                <w:rFonts w:asciiTheme="majorHAnsi" w:eastAsia="Arial Unicode MS" w:hAnsiTheme="majorHAnsi" w:cstheme="majorHAnsi"/>
                <w:sz w:val="20"/>
                <w:szCs w:val="20"/>
                <w:u w:color="000000"/>
              </w:rPr>
              <w:t>-0.102</w:t>
            </w:r>
          </w:p>
        </w:tc>
        <w:tc>
          <w:tcPr>
            <w:tcW w:w="1134" w:type="dxa"/>
            <w:hideMark/>
          </w:tcPr>
          <w:p w14:paraId="69B49FC3" w14:textId="77777777" w:rsidR="00B4093B" w:rsidRPr="00AA04A4" w:rsidRDefault="00B4093B" w:rsidP="00B4093B">
            <w:pPr>
              <w:spacing w:before="100" w:beforeAutospacing="1" w:after="100" w:afterAutospacing="1" w:line="360" w:lineRule="auto"/>
              <w:ind w:left="65" w:right="245"/>
              <w:rPr>
                <w:rFonts w:asciiTheme="majorHAnsi" w:eastAsia="Arial Unicode MS" w:hAnsiTheme="majorHAnsi" w:cstheme="majorHAnsi"/>
                <w:sz w:val="20"/>
                <w:szCs w:val="20"/>
                <w:u w:color="000000"/>
                <w:lang w:val="en-US"/>
              </w:rPr>
            </w:pPr>
            <w:r w:rsidRPr="00AA04A4">
              <w:rPr>
                <w:rFonts w:asciiTheme="majorHAnsi" w:eastAsia="Arial Unicode MS" w:hAnsiTheme="majorHAnsi" w:cstheme="majorHAnsi"/>
                <w:sz w:val="20"/>
                <w:szCs w:val="20"/>
                <w:u w:color="000000"/>
              </w:rPr>
              <w:t>Not Sig</w:t>
            </w:r>
          </w:p>
        </w:tc>
        <w:tc>
          <w:tcPr>
            <w:tcW w:w="1275" w:type="dxa"/>
            <w:hideMark/>
          </w:tcPr>
          <w:p w14:paraId="5161ED81" w14:textId="77777777" w:rsidR="00B4093B" w:rsidRPr="00AA04A4" w:rsidRDefault="00B4093B" w:rsidP="00B4093B">
            <w:pPr>
              <w:spacing w:before="100" w:beforeAutospacing="1" w:after="100" w:afterAutospacing="1" w:line="360" w:lineRule="auto"/>
              <w:ind w:left="65" w:right="245"/>
              <w:rPr>
                <w:rFonts w:asciiTheme="majorHAnsi" w:eastAsia="Arial Unicode MS" w:hAnsiTheme="majorHAnsi" w:cstheme="majorHAnsi"/>
                <w:sz w:val="20"/>
                <w:szCs w:val="20"/>
                <w:u w:color="000000"/>
                <w:lang w:val="en-US"/>
              </w:rPr>
            </w:pPr>
            <w:r w:rsidRPr="00AA04A4">
              <w:rPr>
                <w:rFonts w:asciiTheme="majorHAnsi" w:eastAsia="Arial Unicode MS" w:hAnsiTheme="majorHAnsi" w:cstheme="majorHAnsi"/>
                <w:sz w:val="20"/>
                <w:szCs w:val="20"/>
                <w:u w:color="000000"/>
              </w:rPr>
              <w:t>0.583</w:t>
            </w:r>
          </w:p>
        </w:tc>
        <w:tc>
          <w:tcPr>
            <w:tcW w:w="1134" w:type="dxa"/>
            <w:hideMark/>
          </w:tcPr>
          <w:p w14:paraId="34E15CC2" w14:textId="77777777" w:rsidR="00B4093B" w:rsidRPr="00AA04A4" w:rsidRDefault="00B4093B" w:rsidP="00B4093B">
            <w:pPr>
              <w:spacing w:before="100" w:beforeAutospacing="1" w:after="100" w:afterAutospacing="1" w:line="360" w:lineRule="auto"/>
              <w:ind w:left="65" w:right="87"/>
              <w:rPr>
                <w:rFonts w:asciiTheme="majorHAnsi" w:eastAsia="Arial Unicode MS" w:hAnsiTheme="majorHAnsi" w:cstheme="majorHAnsi"/>
                <w:sz w:val="20"/>
                <w:szCs w:val="20"/>
                <w:u w:color="000000"/>
                <w:lang w:val="en-US"/>
              </w:rPr>
            </w:pPr>
            <w:r w:rsidRPr="00AA04A4">
              <w:rPr>
                <w:rFonts w:asciiTheme="majorHAnsi" w:eastAsia="Arial Unicode MS" w:hAnsiTheme="majorHAnsi" w:cstheme="majorHAnsi"/>
                <w:sz w:val="20"/>
                <w:szCs w:val="20"/>
                <w:u w:color="000000"/>
              </w:rPr>
              <w:t>Not Sig</w:t>
            </w:r>
          </w:p>
        </w:tc>
      </w:tr>
      <w:tr w:rsidR="00B4093B" w:rsidRPr="00AA04A4" w14:paraId="0EB0A929" w14:textId="77777777" w:rsidTr="00276D50">
        <w:trPr>
          <w:trHeight w:val="133"/>
        </w:trPr>
        <w:tc>
          <w:tcPr>
            <w:tcW w:w="2123" w:type="dxa"/>
            <w:hideMark/>
          </w:tcPr>
          <w:p w14:paraId="3B3BF87B" w14:textId="77777777" w:rsidR="00B4093B" w:rsidRPr="00AA04A4" w:rsidRDefault="00B4093B" w:rsidP="00B4093B">
            <w:pPr>
              <w:spacing w:before="100" w:beforeAutospacing="1" w:after="100" w:afterAutospacing="1" w:line="360" w:lineRule="auto"/>
              <w:ind w:left="90" w:right="245"/>
              <w:rPr>
                <w:rFonts w:asciiTheme="majorHAnsi" w:eastAsia="Arial Unicode MS" w:hAnsiTheme="majorHAnsi" w:cstheme="majorHAnsi"/>
                <w:sz w:val="20"/>
                <w:szCs w:val="20"/>
                <w:u w:color="000000"/>
                <w:lang w:val="en-US"/>
              </w:rPr>
            </w:pPr>
            <w:r w:rsidRPr="00AA04A4">
              <w:rPr>
                <w:rFonts w:asciiTheme="majorHAnsi" w:eastAsia="Arial Unicode MS" w:hAnsiTheme="majorHAnsi" w:cstheme="majorHAnsi"/>
                <w:b/>
                <w:bCs/>
                <w:sz w:val="20"/>
                <w:szCs w:val="20"/>
                <w:u w:color="000000"/>
              </w:rPr>
              <w:t>Intervention 8</w:t>
            </w:r>
          </w:p>
        </w:tc>
        <w:tc>
          <w:tcPr>
            <w:tcW w:w="1133" w:type="dxa"/>
            <w:hideMark/>
          </w:tcPr>
          <w:p w14:paraId="06B84B19" w14:textId="77777777" w:rsidR="00B4093B" w:rsidRPr="00AA04A4" w:rsidRDefault="00B4093B" w:rsidP="00B4093B">
            <w:pPr>
              <w:spacing w:before="100" w:beforeAutospacing="1" w:after="100" w:afterAutospacing="1" w:line="360" w:lineRule="auto"/>
              <w:ind w:left="65" w:right="245"/>
              <w:rPr>
                <w:rFonts w:asciiTheme="majorHAnsi" w:eastAsia="Arial Unicode MS" w:hAnsiTheme="majorHAnsi" w:cstheme="majorHAnsi"/>
                <w:sz w:val="20"/>
                <w:szCs w:val="20"/>
                <w:u w:color="000000"/>
                <w:lang w:val="en-US"/>
              </w:rPr>
            </w:pPr>
            <w:r w:rsidRPr="00AA04A4">
              <w:rPr>
                <w:rFonts w:asciiTheme="majorHAnsi" w:eastAsia="Arial Unicode MS" w:hAnsiTheme="majorHAnsi" w:cstheme="majorHAnsi"/>
                <w:sz w:val="20"/>
                <w:szCs w:val="20"/>
                <w:u w:color="000000"/>
              </w:rPr>
              <w:t>0.182</w:t>
            </w:r>
          </w:p>
        </w:tc>
        <w:tc>
          <w:tcPr>
            <w:tcW w:w="1134" w:type="dxa"/>
            <w:hideMark/>
          </w:tcPr>
          <w:p w14:paraId="6725AB56" w14:textId="77777777" w:rsidR="00B4093B" w:rsidRPr="00AA04A4" w:rsidRDefault="00B4093B" w:rsidP="00B4093B">
            <w:pPr>
              <w:spacing w:before="100" w:beforeAutospacing="1" w:after="100" w:afterAutospacing="1" w:line="360" w:lineRule="auto"/>
              <w:ind w:left="65" w:right="99"/>
              <w:rPr>
                <w:rFonts w:asciiTheme="majorHAnsi" w:eastAsia="Arial Unicode MS" w:hAnsiTheme="majorHAnsi" w:cstheme="majorHAnsi"/>
                <w:sz w:val="20"/>
                <w:szCs w:val="20"/>
                <w:u w:color="000000"/>
                <w:lang w:val="en-US"/>
              </w:rPr>
            </w:pPr>
            <w:r w:rsidRPr="00AA04A4">
              <w:rPr>
                <w:rFonts w:asciiTheme="majorHAnsi" w:eastAsia="Arial Unicode MS" w:hAnsiTheme="majorHAnsi" w:cstheme="majorHAnsi"/>
                <w:sz w:val="20"/>
                <w:szCs w:val="20"/>
                <w:u w:color="000000"/>
              </w:rPr>
              <w:t>Not Sig</w:t>
            </w:r>
          </w:p>
        </w:tc>
        <w:tc>
          <w:tcPr>
            <w:tcW w:w="1134" w:type="dxa"/>
            <w:hideMark/>
          </w:tcPr>
          <w:p w14:paraId="2B2AF75B" w14:textId="77777777" w:rsidR="00B4093B" w:rsidRPr="00AA04A4" w:rsidRDefault="00B4093B" w:rsidP="00B4093B">
            <w:pPr>
              <w:spacing w:before="100" w:beforeAutospacing="1" w:after="100" w:afterAutospacing="1" w:line="360" w:lineRule="auto"/>
              <w:ind w:left="137" w:right="105"/>
              <w:rPr>
                <w:rFonts w:asciiTheme="majorHAnsi" w:eastAsia="Arial Unicode MS" w:hAnsiTheme="majorHAnsi" w:cstheme="majorHAnsi"/>
                <w:sz w:val="20"/>
                <w:szCs w:val="20"/>
                <w:u w:color="000000"/>
                <w:lang w:val="en-US"/>
              </w:rPr>
            </w:pPr>
            <w:r w:rsidRPr="00AA04A4">
              <w:rPr>
                <w:rFonts w:asciiTheme="majorHAnsi" w:eastAsia="Arial Unicode MS" w:hAnsiTheme="majorHAnsi" w:cstheme="majorHAnsi"/>
                <w:sz w:val="20"/>
                <w:szCs w:val="20"/>
                <w:u w:color="000000"/>
              </w:rPr>
              <w:t>0.502</w:t>
            </w:r>
          </w:p>
        </w:tc>
        <w:tc>
          <w:tcPr>
            <w:tcW w:w="1134" w:type="dxa"/>
            <w:hideMark/>
          </w:tcPr>
          <w:p w14:paraId="2A60343A" w14:textId="77777777" w:rsidR="00B4093B" w:rsidRPr="00AA04A4" w:rsidRDefault="00B4093B" w:rsidP="00B4093B">
            <w:pPr>
              <w:spacing w:before="100" w:beforeAutospacing="1" w:after="100" w:afterAutospacing="1" w:line="360" w:lineRule="auto"/>
              <w:ind w:left="65" w:right="245"/>
              <w:rPr>
                <w:rFonts w:asciiTheme="majorHAnsi" w:eastAsia="Arial Unicode MS" w:hAnsiTheme="majorHAnsi" w:cstheme="majorHAnsi"/>
                <w:sz w:val="20"/>
                <w:szCs w:val="20"/>
                <w:u w:color="000000"/>
                <w:lang w:val="en-US"/>
              </w:rPr>
            </w:pPr>
            <w:r w:rsidRPr="00AA04A4">
              <w:rPr>
                <w:rFonts w:asciiTheme="majorHAnsi" w:eastAsia="Arial Unicode MS" w:hAnsiTheme="majorHAnsi" w:cstheme="majorHAnsi"/>
                <w:sz w:val="20"/>
                <w:szCs w:val="20"/>
                <w:u w:color="000000"/>
              </w:rPr>
              <w:t>Not Sig</w:t>
            </w:r>
          </w:p>
        </w:tc>
        <w:tc>
          <w:tcPr>
            <w:tcW w:w="1275" w:type="dxa"/>
            <w:hideMark/>
          </w:tcPr>
          <w:p w14:paraId="47C06A90" w14:textId="77777777" w:rsidR="00B4093B" w:rsidRPr="00AA04A4" w:rsidRDefault="00B4093B" w:rsidP="00B4093B">
            <w:pPr>
              <w:spacing w:before="100" w:beforeAutospacing="1" w:after="100" w:afterAutospacing="1" w:line="360" w:lineRule="auto"/>
              <w:ind w:left="65" w:right="245"/>
              <w:rPr>
                <w:rFonts w:asciiTheme="majorHAnsi" w:eastAsia="Arial Unicode MS" w:hAnsiTheme="majorHAnsi" w:cstheme="majorHAnsi"/>
                <w:sz w:val="20"/>
                <w:szCs w:val="20"/>
                <w:u w:color="000000"/>
                <w:lang w:val="en-US"/>
              </w:rPr>
            </w:pPr>
            <w:r w:rsidRPr="00AA04A4">
              <w:rPr>
                <w:rFonts w:asciiTheme="majorHAnsi" w:eastAsia="Arial Unicode MS" w:hAnsiTheme="majorHAnsi" w:cstheme="majorHAnsi"/>
                <w:sz w:val="20"/>
                <w:szCs w:val="20"/>
                <w:u w:color="000000"/>
              </w:rPr>
              <w:t>0.342</w:t>
            </w:r>
          </w:p>
        </w:tc>
        <w:tc>
          <w:tcPr>
            <w:tcW w:w="1134" w:type="dxa"/>
            <w:hideMark/>
          </w:tcPr>
          <w:p w14:paraId="3BC4F9D1" w14:textId="77777777" w:rsidR="00B4093B" w:rsidRPr="00AA04A4" w:rsidRDefault="00B4093B" w:rsidP="00B4093B">
            <w:pPr>
              <w:spacing w:before="100" w:beforeAutospacing="1" w:after="100" w:afterAutospacing="1" w:line="360" w:lineRule="auto"/>
              <w:ind w:left="65" w:right="87"/>
              <w:rPr>
                <w:rFonts w:asciiTheme="majorHAnsi" w:eastAsia="Arial Unicode MS" w:hAnsiTheme="majorHAnsi" w:cstheme="majorHAnsi"/>
                <w:sz w:val="20"/>
                <w:szCs w:val="20"/>
                <w:u w:color="000000"/>
                <w:lang w:val="en-US"/>
              </w:rPr>
            </w:pPr>
            <w:r w:rsidRPr="00AA04A4">
              <w:rPr>
                <w:rFonts w:asciiTheme="majorHAnsi" w:eastAsia="Arial Unicode MS" w:hAnsiTheme="majorHAnsi" w:cstheme="majorHAnsi"/>
                <w:sz w:val="20"/>
                <w:szCs w:val="20"/>
                <w:u w:color="000000"/>
              </w:rPr>
              <w:t>Not Sig</w:t>
            </w:r>
          </w:p>
        </w:tc>
      </w:tr>
      <w:tr w:rsidR="00B4093B" w:rsidRPr="00AA04A4" w14:paraId="581A9CD4" w14:textId="77777777" w:rsidTr="00276D50">
        <w:trPr>
          <w:trHeight w:val="47"/>
        </w:trPr>
        <w:tc>
          <w:tcPr>
            <w:tcW w:w="2123" w:type="dxa"/>
            <w:hideMark/>
          </w:tcPr>
          <w:p w14:paraId="2A564264" w14:textId="77777777" w:rsidR="00B4093B" w:rsidRPr="00AA04A4" w:rsidRDefault="00B4093B" w:rsidP="00B4093B">
            <w:pPr>
              <w:spacing w:before="100" w:beforeAutospacing="1" w:after="100" w:afterAutospacing="1" w:line="360" w:lineRule="auto"/>
              <w:ind w:left="90" w:right="245"/>
              <w:rPr>
                <w:rFonts w:asciiTheme="majorHAnsi" w:eastAsia="Arial Unicode MS" w:hAnsiTheme="majorHAnsi" w:cstheme="majorHAnsi"/>
                <w:sz w:val="20"/>
                <w:szCs w:val="20"/>
                <w:u w:color="000000"/>
                <w:lang w:val="en-US"/>
              </w:rPr>
            </w:pPr>
            <w:r w:rsidRPr="00AA04A4">
              <w:rPr>
                <w:rFonts w:asciiTheme="majorHAnsi" w:eastAsia="Arial Unicode MS" w:hAnsiTheme="majorHAnsi" w:cstheme="majorHAnsi"/>
                <w:b/>
                <w:bCs/>
                <w:sz w:val="20"/>
                <w:szCs w:val="20"/>
                <w:u w:color="000000"/>
              </w:rPr>
              <w:t>Intervention 10</w:t>
            </w:r>
          </w:p>
        </w:tc>
        <w:tc>
          <w:tcPr>
            <w:tcW w:w="1133" w:type="dxa"/>
            <w:tcBorders>
              <w:bottom w:val="single" w:sz="4" w:space="0" w:color="auto"/>
            </w:tcBorders>
            <w:hideMark/>
          </w:tcPr>
          <w:p w14:paraId="4A3DCE85" w14:textId="77777777" w:rsidR="00B4093B" w:rsidRPr="00AA04A4" w:rsidRDefault="00B4093B" w:rsidP="00B4093B">
            <w:pPr>
              <w:spacing w:before="100" w:beforeAutospacing="1" w:after="100" w:afterAutospacing="1" w:line="360" w:lineRule="auto"/>
              <w:ind w:left="65" w:right="245"/>
              <w:rPr>
                <w:rFonts w:asciiTheme="majorHAnsi" w:eastAsia="Arial Unicode MS" w:hAnsiTheme="majorHAnsi" w:cstheme="majorHAnsi"/>
                <w:sz w:val="20"/>
                <w:szCs w:val="20"/>
                <w:u w:color="000000"/>
                <w:lang w:val="en-US"/>
              </w:rPr>
            </w:pPr>
            <w:r w:rsidRPr="00AA04A4">
              <w:rPr>
                <w:rFonts w:asciiTheme="majorHAnsi" w:eastAsia="Arial Unicode MS" w:hAnsiTheme="majorHAnsi" w:cstheme="majorHAnsi"/>
                <w:sz w:val="20"/>
                <w:szCs w:val="20"/>
                <w:u w:color="000000"/>
              </w:rPr>
              <w:t>-</w:t>
            </w:r>
            <w:r w:rsidRPr="00AA04A4">
              <w:rPr>
                <w:rFonts w:asciiTheme="majorHAnsi" w:eastAsia="Arial Unicode MS" w:hAnsiTheme="majorHAnsi" w:cstheme="majorHAnsi"/>
                <w:b/>
                <w:bCs/>
                <w:sz w:val="20"/>
                <w:szCs w:val="20"/>
                <w:u w:color="000000"/>
              </w:rPr>
              <w:t>2.327</w:t>
            </w:r>
          </w:p>
        </w:tc>
        <w:tc>
          <w:tcPr>
            <w:tcW w:w="1134" w:type="dxa"/>
            <w:hideMark/>
          </w:tcPr>
          <w:p w14:paraId="40289623" w14:textId="77777777" w:rsidR="00B4093B" w:rsidRPr="00AA04A4" w:rsidRDefault="00B4093B" w:rsidP="00B4093B">
            <w:pPr>
              <w:spacing w:before="100" w:beforeAutospacing="1" w:after="100" w:afterAutospacing="1" w:line="360" w:lineRule="auto"/>
              <w:ind w:left="65" w:right="99"/>
              <w:rPr>
                <w:rFonts w:asciiTheme="majorHAnsi" w:eastAsia="Arial Unicode MS" w:hAnsiTheme="majorHAnsi" w:cstheme="majorHAnsi"/>
                <w:sz w:val="20"/>
                <w:szCs w:val="20"/>
                <w:u w:color="000000"/>
                <w:lang w:val="en-US"/>
              </w:rPr>
            </w:pPr>
            <w:r w:rsidRPr="00AA04A4">
              <w:rPr>
                <w:rFonts w:asciiTheme="majorHAnsi" w:eastAsia="Arial Unicode MS" w:hAnsiTheme="majorHAnsi" w:cstheme="majorHAnsi"/>
                <w:b/>
                <w:bCs/>
                <w:sz w:val="20"/>
                <w:szCs w:val="20"/>
                <w:u w:color="000000"/>
              </w:rPr>
              <w:t>Sig</w:t>
            </w:r>
          </w:p>
        </w:tc>
        <w:tc>
          <w:tcPr>
            <w:tcW w:w="1134" w:type="dxa"/>
            <w:tcBorders>
              <w:bottom w:val="single" w:sz="4" w:space="0" w:color="auto"/>
            </w:tcBorders>
            <w:hideMark/>
          </w:tcPr>
          <w:p w14:paraId="7014A40A" w14:textId="77777777" w:rsidR="00B4093B" w:rsidRPr="00AA04A4" w:rsidRDefault="00B4093B" w:rsidP="00B4093B">
            <w:pPr>
              <w:spacing w:before="100" w:beforeAutospacing="1" w:after="100" w:afterAutospacing="1" w:line="360" w:lineRule="auto"/>
              <w:ind w:left="137" w:right="105"/>
              <w:rPr>
                <w:rFonts w:asciiTheme="majorHAnsi" w:eastAsia="Arial Unicode MS" w:hAnsiTheme="majorHAnsi" w:cstheme="majorHAnsi"/>
                <w:sz w:val="20"/>
                <w:szCs w:val="20"/>
                <w:u w:color="000000"/>
                <w:lang w:val="en-US"/>
              </w:rPr>
            </w:pPr>
            <w:r w:rsidRPr="00AA04A4">
              <w:rPr>
                <w:rFonts w:asciiTheme="majorHAnsi" w:eastAsia="Arial Unicode MS" w:hAnsiTheme="majorHAnsi" w:cstheme="majorHAnsi"/>
                <w:sz w:val="20"/>
                <w:szCs w:val="20"/>
                <w:u w:color="000000"/>
              </w:rPr>
              <w:t>-0.865</w:t>
            </w:r>
          </w:p>
        </w:tc>
        <w:tc>
          <w:tcPr>
            <w:tcW w:w="1134" w:type="dxa"/>
            <w:hideMark/>
          </w:tcPr>
          <w:p w14:paraId="62E5FFFA" w14:textId="77777777" w:rsidR="00B4093B" w:rsidRPr="00AA04A4" w:rsidRDefault="00B4093B" w:rsidP="00B4093B">
            <w:pPr>
              <w:spacing w:before="100" w:beforeAutospacing="1" w:after="100" w:afterAutospacing="1" w:line="360" w:lineRule="auto"/>
              <w:ind w:left="65" w:right="245"/>
              <w:rPr>
                <w:rFonts w:asciiTheme="majorHAnsi" w:eastAsia="Arial Unicode MS" w:hAnsiTheme="majorHAnsi" w:cstheme="majorHAnsi"/>
                <w:sz w:val="20"/>
                <w:szCs w:val="20"/>
                <w:u w:color="000000"/>
                <w:lang w:val="en-US"/>
              </w:rPr>
            </w:pPr>
            <w:r w:rsidRPr="00AA04A4">
              <w:rPr>
                <w:rFonts w:asciiTheme="majorHAnsi" w:eastAsia="Arial Unicode MS" w:hAnsiTheme="majorHAnsi" w:cstheme="majorHAnsi"/>
                <w:sz w:val="20"/>
                <w:szCs w:val="20"/>
                <w:u w:color="000000"/>
              </w:rPr>
              <w:t>Not Sig</w:t>
            </w:r>
          </w:p>
        </w:tc>
        <w:tc>
          <w:tcPr>
            <w:tcW w:w="1275" w:type="dxa"/>
            <w:tcBorders>
              <w:bottom w:val="single" w:sz="4" w:space="0" w:color="auto"/>
            </w:tcBorders>
            <w:hideMark/>
          </w:tcPr>
          <w:p w14:paraId="2C9A0CD6" w14:textId="77777777" w:rsidR="00B4093B" w:rsidRPr="00AA04A4" w:rsidRDefault="00B4093B" w:rsidP="00B4093B">
            <w:pPr>
              <w:spacing w:before="100" w:beforeAutospacing="1" w:after="100" w:afterAutospacing="1" w:line="360" w:lineRule="auto"/>
              <w:ind w:left="65" w:right="245"/>
              <w:rPr>
                <w:rFonts w:asciiTheme="majorHAnsi" w:eastAsia="Arial Unicode MS" w:hAnsiTheme="majorHAnsi" w:cstheme="majorHAnsi"/>
                <w:sz w:val="20"/>
                <w:szCs w:val="20"/>
                <w:u w:color="000000"/>
                <w:lang w:val="en-US"/>
              </w:rPr>
            </w:pPr>
            <w:r w:rsidRPr="00AA04A4">
              <w:rPr>
                <w:rFonts w:asciiTheme="majorHAnsi" w:eastAsia="Arial Unicode MS" w:hAnsiTheme="majorHAnsi" w:cstheme="majorHAnsi"/>
                <w:sz w:val="20"/>
                <w:szCs w:val="20"/>
                <w:u w:color="000000"/>
              </w:rPr>
              <w:t>-1.087</w:t>
            </w:r>
          </w:p>
        </w:tc>
        <w:tc>
          <w:tcPr>
            <w:tcW w:w="1134" w:type="dxa"/>
            <w:hideMark/>
          </w:tcPr>
          <w:p w14:paraId="2CEB409D" w14:textId="77777777" w:rsidR="00B4093B" w:rsidRPr="00AA04A4" w:rsidRDefault="00B4093B" w:rsidP="00B4093B">
            <w:pPr>
              <w:spacing w:before="100" w:beforeAutospacing="1" w:after="100" w:afterAutospacing="1" w:line="360" w:lineRule="auto"/>
              <w:ind w:left="65" w:right="87"/>
              <w:rPr>
                <w:rFonts w:asciiTheme="majorHAnsi" w:eastAsia="Arial Unicode MS" w:hAnsiTheme="majorHAnsi" w:cstheme="majorHAnsi"/>
                <w:sz w:val="20"/>
                <w:szCs w:val="20"/>
                <w:u w:color="000000"/>
                <w:lang w:val="en-US"/>
              </w:rPr>
            </w:pPr>
            <w:r w:rsidRPr="00AA04A4">
              <w:rPr>
                <w:rFonts w:asciiTheme="majorHAnsi" w:eastAsia="Arial Unicode MS" w:hAnsiTheme="majorHAnsi" w:cstheme="majorHAnsi"/>
                <w:sz w:val="20"/>
                <w:szCs w:val="20"/>
                <w:u w:color="000000"/>
              </w:rPr>
              <w:t>Not Sig</w:t>
            </w:r>
          </w:p>
        </w:tc>
      </w:tr>
      <w:tr w:rsidR="00B4093B" w:rsidRPr="00AA04A4" w14:paraId="38D15817" w14:textId="77777777" w:rsidTr="00276D50">
        <w:trPr>
          <w:trHeight w:val="322"/>
        </w:trPr>
        <w:tc>
          <w:tcPr>
            <w:tcW w:w="2123" w:type="dxa"/>
            <w:hideMark/>
          </w:tcPr>
          <w:p w14:paraId="0FFF4A09" w14:textId="0E919611" w:rsidR="00B4093B" w:rsidRPr="00AA04A4" w:rsidRDefault="00B4093B" w:rsidP="00B4093B">
            <w:pPr>
              <w:spacing w:before="100" w:beforeAutospacing="1" w:after="100" w:afterAutospacing="1" w:line="360" w:lineRule="auto"/>
              <w:ind w:right="245"/>
              <w:rPr>
                <w:rFonts w:asciiTheme="majorHAnsi" w:eastAsia="Arial Unicode MS" w:hAnsiTheme="majorHAnsi" w:cstheme="majorHAnsi"/>
                <w:sz w:val="20"/>
                <w:szCs w:val="20"/>
                <w:u w:color="000000"/>
                <w:lang w:val="en-US"/>
              </w:rPr>
            </w:pPr>
            <w:r w:rsidRPr="00AA04A4">
              <w:rPr>
                <w:rFonts w:asciiTheme="majorHAnsi" w:eastAsia="Arial Unicode MS" w:hAnsiTheme="majorHAnsi" w:cstheme="majorHAnsi"/>
                <w:i/>
                <w:iCs/>
                <w:sz w:val="20"/>
                <w:szCs w:val="20"/>
                <w:u w:color="000000"/>
              </w:rPr>
              <w:t>at 5% Level of Significance</w:t>
            </w:r>
          </w:p>
        </w:tc>
        <w:tc>
          <w:tcPr>
            <w:tcW w:w="1133" w:type="dxa"/>
            <w:tcBorders>
              <w:bottom w:val="single" w:sz="4" w:space="0" w:color="auto"/>
              <w:right w:val="nil"/>
            </w:tcBorders>
            <w:hideMark/>
          </w:tcPr>
          <w:p w14:paraId="4FC7E6A7" w14:textId="77777777" w:rsidR="00B4093B" w:rsidRPr="00AA04A4" w:rsidRDefault="00B4093B" w:rsidP="00B4093B">
            <w:pPr>
              <w:spacing w:before="100" w:beforeAutospacing="1" w:after="100" w:afterAutospacing="1" w:line="360" w:lineRule="auto"/>
              <w:ind w:left="72" w:right="245"/>
              <w:rPr>
                <w:rFonts w:asciiTheme="majorHAnsi" w:eastAsia="Arial Unicode MS" w:hAnsiTheme="majorHAnsi" w:cstheme="majorHAnsi"/>
                <w:sz w:val="20"/>
                <w:szCs w:val="20"/>
                <w:u w:color="000000"/>
                <w:lang w:val="en-US"/>
              </w:rPr>
            </w:pPr>
          </w:p>
        </w:tc>
        <w:tc>
          <w:tcPr>
            <w:tcW w:w="1134" w:type="dxa"/>
            <w:tcBorders>
              <w:left w:val="nil"/>
              <w:bottom w:val="single" w:sz="4" w:space="0" w:color="auto"/>
            </w:tcBorders>
            <w:hideMark/>
          </w:tcPr>
          <w:p w14:paraId="42E87507" w14:textId="77777777" w:rsidR="00B4093B" w:rsidRPr="00AA04A4" w:rsidRDefault="00B4093B" w:rsidP="00B4093B">
            <w:pPr>
              <w:spacing w:before="100" w:beforeAutospacing="1" w:after="100" w:afterAutospacing="1" w:line="360" w:lineRule="auto"/>
              <w:ind w:left="72" w:right="245"/>
              <w:rPr>
                <w:rFonts w:asciiTheme="majorHAnsi" w:eastAsia="Arial Unicode MS" w:hAnsiTheme="majorHAnsi" w:cstheme="majorHAnsi"/>
                <w:sz w:val="20"/>
                <w:szCs w:val="20"/>
                <w:u w:color="000000"/>
                <w:lang w:val="en-US"/>
              </w:rPr>
            </w:pPr>
          </w:p>
        </w:tc>
        <w:tc>
          <w:tcPr>
            <w:tcW w:w="1134" w:type="dxa"/>
            <w:tcBorders>
              <w:bottom w:val="single" w:sz="4" w:space="0" w:color="auto"/>
              <w:right w:val="nil"/>
            </w:tcBorders>
            <w:hideMark/>
          </w:tcPr>
          <w:p w14:paraId="6ADE57A5" w14:textId="77777777" w:rsidR="00B4093B" w:rsidRPr="00AA04A4" w:rsidRDefault="00B4093B" w:rsidP="00B4093B">
            <w:pPr>
              <w:spacing w:before="100" w:beforeAutospacing="1" w:after="100" w:afterAutospacing="1" w:line="360" w:lineRule="auto"/>
              <w:ind w:left="72" w:right="245"/>
              <w:rPr>
                <w:rFonts w:asciiTheme="majorHAnsi" w:eastAsia="Arial Unicode MS" w:hAnsiTheme="majorHAnsi" w:cstheme="majorHAnsi"/>
                <w:sz w:val="20"/>
                <w:szCs w:val="20"/>
                <w:u w:color="000000"/>
                <w:lang w:val="en-US"/>
              </w:rPr>
            </w:pPr>
          </w:p>
        </w:tc>
        <w:tc>
          <w:tcPr>
            <w:tcW w:w="1134" w:type="dxa"/>
            <w:tcBorders>
              <w:left w:val="nil"/>
              <w:bottom w:val="single" w:sz="4" w:space="0" w:color="auto"/>
            </w:tcBorders>
            <w:hideMark/>
          </w:tcPr>
          <w:p w14:paraId="6ED5476E" w14:textId="77777777" w:rsidR="00B4093B" w:rsidRPr="00AA04A4" w:rsidRDefault="00B4093B" w:rsidP="00B4093B">
            <w:pPr>
              <w:spacing w:before="100" w:beforeAutospacing="1" w:after="100" w:afterAutospacing="1" w:line="360" w:lineRule="auto"/>
              <w:ind w:left="72" w:right="245"/>
              <w:rPr>
                <w:rFonts w:asciiTheme="majorHAnsi" w:eastAsia="Arial Unicode MS" w:hAnsiTheme="majorHAnsi" w:cstheme="majorHAnsi"/>
                <w:sz w:val="20"/>
                <w:szCs w:val="20"/>
                <w:u w:color="000000"/>
                <w:lang w:val="en-US"/>
              </w:rPr>
            </w:pPr>
          </w:p>
        </w:tc>
        <w:tc>
          <w:tcPr>
            <w:tcW w:w="1275" w:type="dxa"/>
            <w:tcBorders>
              <w:bottom w:val="single" w:sz="4" w:space="0" w:color="auto"/>
              <w:right w:val="nil"/>
            </w:tcBorders>
            <w:hideMark/>
          </w:tcPr>
          <w:p w14:paraId="072235C9" w14:textId="77777777" w:rsidR="00B4093B" w:rsidRPr="00AA04A4" w:rsidRDefault="00B4093B" w:rsidP="00B4093B">
            <w:pPr>
              <w:spacing w:before="100" w:beforeAutospacing="1" w:after="100" w:afterAutospacing="1" w:line="360" w:lineRule="auto"/>
              <w:ind w:left="72" w:right="245"/>
              <w:rPr>
                <w:rFonts w:asciiTheme="majorHAnsi" w:eastAsia="Arial Unicode MS" w:hAnsiTheme="majorHAnsi" w:cstheme="majorHAnsi"/>
                <w:sz w:val="20"/>
                <w:szCs w:val="20"/>
                <w:u w:color="000000"/>
                <w:lang w:val="en-US"/>
              </w:rPr>
            </w:pPr>
          </w:p>
        </w:tc>
        <w:tc>
          <w:tcPr>
            <w:tcW w:w="1134" w:type="dxa"/>
            <w:tcBorders>
              <w:left w:val="nil"/>
              <w:right w:val="single" w:sz="4" w:space="0" w:color="auto"/>
            </w:tcBorders>
            <w:hideMark/>
          </w:tcPr>
          <w:p w14:paraId="46760602" w14:textId="77777777" w:rsidR="00B4093B" w:rsidRPr="00AA04A4" w:rsidRDefault="00B4093B" w:rsidP="00B4093B">
            <w:pPr>
              <w:spacing w:before="100" w:beforeAutospacing="1" w:after="100" w:afterAutospacing="1" w:line="360" w:lineRule="auto"/>
              <w:ind w:left="72" w:right="245"/>
              <w:rPr>
                <w:rFonts w:asciiTheme="majorHAnsi" w:eastAsia="Arial Unicode MS" w:hAnsiTheme="majorHAnsi" w:cstheme="majorHAnsi"/>
                <w:sz w:val="20"/>
                <w:szCs w:val="20"/>
                <w:u w:color="000000"/>
                <w:lang w:val="en-US"/>
              </w:rPr>
            </w:pPr>
          </w:p>
        </w:tc>
      </w:tr>
      <w:tr w:rsidR="00B4093B" w:rsidRPr="00AA04A4" w14:paraId="6291386F" w14:textId="77777777" w:rsidTr="00276D50">
        <w:trPr>
          <w:trHeight w:val="322"/>
        </w:trPr>
        <w:tc>
          <w:tcPr>
            <w:tcW w:w="2123" w:type="dxa"/>
          </w:tcPr>
          <w:p w14:paraId="6DB9B399" w14:textId="158AD945" w:rsidR="00B4093B" w:rsidRPr="00AA04A4" w:rsidRDefault="00B4093B" w:rsidP="00B4093B">
            <w:pPr>
              <w:spacing w:before="100" w:beforeAutospacing="1" w:after="100" w:afterAutospacing="1" w:line="360" w:lineRule="auto"/>
              <w:ind w:right="245"/>
              <w:rPr>
                <w:rFonts w:asciiTheme="majorHAnsi" w:eastAsia="Arial Unicode MS" w:hAnsiTheme="majorHAnsi" w:cstheme="majorHAnsi"/>
                <w:sz w:val="20"/>
                <w:szCs w:val="20"/>
                <w:u w:color="000000"/>
                <w:lang w:val="en-US"/>
              </w:rPr>
            </w:pPr>
            <w:r w:rsidRPr="00AA04A4">
              <w:rPr>
                <w:rFonts w:asciiTheme="majorHAnsi" w:eastAsia="Arial Unicode MS" w:hAnsiTheme="majorHAnsi" w:cstheme="majorHAnsi"/>
                <w:i/>
                <w:iCs/>
                <w:sz w:val="20"/>
                <w:szCs w:val="20"/>
                <w:u w:color="000000"/>
              </w:rPr>
              <w:t>Controlling for Regions &amp; Size of Elementary School</w:t>
            </w:r>
          </w:p>
        </w:tc>
        <w:tc>
          <w:tcPr>
            <w:tcW w:w="1133" w:type="dxa"/>
            <w:tcBorders>
              <w:right w:val="nil"/>
            </w:tcBorders>
          </w:tcPr>
          <w:p w14:paraId="082BDA0A" w14:textId="77777777" w:rsidR="00B4093B" w:rsidRPr="00AA04A4" w:rsidRDefault="00B4093B" w:rsidP="00B4093B">
            <w:pPr>
              <w:spacing w:before="100" w:beforeAutospacing="1" w:after="100" w:afterAutospacing="1" w:line="360" w:lineRule="auto"/>
              <w:ind w:left="72" w:right="245"/>
              <w:rPr>
                <w:rFonts w:asciiTheme="majorHAnsi" w:eastAsia="Arial Unicode MS" w:hAnsiTheme="majorHAnsi" w:cstheme="majorHAnsi"/>
                <w:sz w:val="20"/>
                <w:szCs w:val="20"/>
                <w:u w:color="000000"/>
                <w:lang w:val="en-US"/>
              </w:rPr>
            </w:pPr>
          </w:p>
        </w:tc>
        <w:tc>
          <w:tcPr>
            <w:tcW w:w="1134" w:type="dxa"/>
            <w:tcBorders>
              <w:left w:val="nil"/>
              <w:right w:val="nil"/>
            </w:tcBorders>
          </w:tcPr>
          <w:p w14:paraId="15586303" w14:textId="77777777" w:rsidR="00B4093B" w:rsidRPr="00AA04A4" w:rsidRDefault="00B4093B" w:rsidP="00B4093B">
            <w:pPr>
              <w:spacing w:before="100" w:beforeAutospacing="1" w:after="100" w:afterAutospacing="1" w:line="360" w:lineRule="auto"/>
              <w:ind w:left="72" w:right="245"/>
              <w:rPr>
                <w:rFonts w:asciiTheme="majorHAnsi" w:eastAsia="Arial Unicode MS" w:hAnsiTheme="majorHAnsi" w:cstheme="majorHAnsi"/>
                <w:sz w:val="20"/>
                <w:szCs w:val="20"/>
                <w:u w:color="000000"/>
                <w:lang w:val="en-US"/>
              </w:rPr>
            </w:pPr>
          </w:p>
        </w:tc>
        <w:tc>
          <w:tcPr>
            <w:tcW w:w="1134" w:type="dxa"/>
            <w:tcBorders>
              <w:left w:val="nil"/>
              <w:right w:val="nil"/>
            </w:tcBorders>
          </w:tcPr>
          <w:p w14:paraId="7ADB3876" w14:textId="77777777" w:rsidR="00B4093B" w:rsidRPr="00AA04A4" w:rsidRDefault="00B4093B" w:rsidP="00B4093B">
            <w:pPr>
              <w:spacing w:before="100" w:beforeAutospacing="1" w:after="100" w:afterAutospacing="1" w:line="360" w:lineRule="auto"/>
              <w:ind w:left="72" w:right="245"/>
              <w:rPr>
                <w:rFonts w:asciiTheme="majorHAnsi" w:eastAsia="Arial Unicode MS" w:hAnsiTheme="majorHAnsi" w:cstheme="majorHAnsi"/>
                <w:sz w:val="20"/>
                <w:szCs w:val="20"/>
                <w:u w:color="000000"/>
                <w:lang w:val="en-US"/>
              </w:rPr>
            </w:pPr>
          </w:p>
        </w:tc>
        <w:tc>
          <w:tcPr>
            <w:tcW w:w="1134" w:type="dxa"/>
            <w:tcBorders>
              <w:left w:val="nil"/>
              <w:right w:val="nil"/>
            </w:tcBorders>
          </w:tcPr>
          <w:p w14:paraId="471206EB" w14:textId="77777777" w:rsidR="00B4093B" w:rsidRPr="00AA04A4" w:rsidRDefault="00B4093B" w:rsidP="00B4093B">
            <w:pPr>
              <w:spacing w:before="100" w:beforeAutospacing="1" w:after="100" w:afterAutospacing="1" w:line="360" w:lineRule="auto"/>
              <w:ind w:left="72" w:right="245"/>
              <w:rPr>
                <w:rFonts w:asciiTheme="majorHAnsi" w:eastAsia="Arial Unicode MS" w:hAnsiTheme="majorHAnsi" w:cstheme="majorHAnsi"/>
                <w:sz w:val="20"/>
                <w:szCs w:val="20"/>
                <w:u w:color="000000"/>
                <w:lang w:val="en-US"/>
              </w:rPr>
            </w:pPr>
          </w:p>
        </w:tc>
        <w:tc>
          <w:tcPr>
            <w:tcW w:w="1275" w:type="dxa"/>
            <w:tcBorders>
              <w:left w:val="nil"/>
              <w:right w:val="nil"/>
            </w:tcBorders>
          </w:tcPr>
          <w:p w14:paraId="19A04F8C" w14:textId="77777777" w:rsidR="00B4093B" w:rsidRPr="00AA04A4" w:rsidRDefault="00B4093B" w:rsidP="00B4093B">
            <w:pPr>
              <w:spacing w:before="100" w:beforeAutospacing="1" w:after="100" w:afterAutospacing="1" w:line="360" w:lineRule="auto"/>
              <w:ind w:left="72" w:right="245"/>
              <w:rPr>
                <w:rFonts w:asciiTheme="majorHAnsi" w:eastAsia="Arial Unicode MS" w:hAnsiTheme="majorHAnsi" w:cstheme="majorHAnsi"/>
                <w:sz w:val="20"/>
                <w:szCs w:val="20"/>
                <w:u w:color="000000"/>
                <w:lang w:val="en-US"/>
              </w:rPr>
            </w:pPr>
          </w:p>
        </w:tc>
        <w:tc>
          <w:tcPr>
            <w:tcW w:w="1134" w:type="dxa"/>
            <w:tcBorders>
              <w:left w:val="nil"/>
            </w:tcBorders>
          </w:tcPr>
          <w:p w14:paraId="36187019" w14:textId="77777777" w:rsidR="00B4093B" w:rsidRPr="00AA04A4" w:rsidRDefault="00B4093B" w:rsidP="00B4093B">
            <w:pPr>
              <w:spacing w:before="100" w:beforeAutospacing="1" w:after="100" w:afterAutospacing="1" w:line="360" w:lineRule="auto"/>
              <w:ind w:left="72" w:right="245"/>
              <w:rPr>
                <w:rFonts w:asciiTheme="majorHAnsi" w:eastAsia="Arial Unicode MS" w:hAnsiTheme="majorHAnsi" w:cstheme="majorHAnsi"/>
                <w:sz w:val="20"/>
                <w:szCs w:val="20"/>
                <w:u w:color="000000"/>
                <w:lang w:val="en-US"/>
              </w:rPr>
            </w:pPr>
          </w:p>
        </w:tc>
      </w:tr>
    </w:tbl>
    <w:p w14:paraId="611E61AA" w14:textId="77777777" w:rsidR="008D0CAD" w:rsidRPr="00AA04A4" w:rsidRDefault="008D0CAD" w:rsidP="00796BFA">
      <w:pPr>
        <w:spacing w:before="100" w:beforeAutospacing="1" w:after="100" w:afterAutospacing="1" w:line="360" w:lineRule="auto"/>
        <w:ind w:right="245"/>
        <w:rPr>
          <w:rFonts w:asciiTheme="majorHAnsi" w:eastAsia="Arial Unicode MS" w:hAnsiTheme="majorHAnsi" w:cstheme="majorHAnsi"/>
          <w:u w:color="000000"/>
          <w:lang w:val="en-US"/>
        </w:rPr>
      </w:pPr>
      <w:r w:rsidRPr="00AA04A4">
        <w:rPr>
          <w:rFonts w:asciiTheme="majorHAnsi" w:eastAsia="Arial Unicode MS" w:hAnsiTheme="majorHAnsi" w:cstheme="majorHAnsi"/>
          <w:u w:color="000000"/>
          <w:lang w:val="en-US"/>
        </w:rPr>
        <w:t>Unexpectedly, schools that received Intervention 6 (Policy, Planning and Monitoring and Evaluation Systems) and Intervention 10 (Classroom Construction) experienced a reduction in average grades in Grade 4 and Grade 6, respectively, compared to those schools that did not receive any interventions.</w:t>
      </w:r>
    </w:p>
    <w:p w14:paraId="65959BAF" w14:textId="77777777" w:rsidR="008D0CAD" w:rsidRPr="00AA04A4" w:rsidRDefault="008D0CAD" w:rsidP="00796BFA">
      <w:pPr>
        <w:spacing w:before="100" w:beforeAutospacing="1" w:after="100" w:afterAutospacing="1" w:line="360" w:lineRule="auto"/>
        <w:ind w:right="245"/>
        <w:rPr>
          <w:rFonts w:asciiTheme="majorHAnsi" w:eastAsia="Arial Unicode MS" w:hAnsiTheme="majorHAnsi" w:cstheme="majorHAnsi"/>
          <w:bCs/>
          <w:color w:val="000000"/>
          <w:u w:color="000000"/>
          <w:lang w:val="en-US"/>
        </w:rPr>
      </w:pPr>
      <w:r w:rsidRPr="00AA04A4">
        <w:rPr>
          <w:rFonts w:asciiTheme="majorHAnsi" w:eastAsia="Arial Unicode MS" w:hAnsiTheme="majorHAnsi" w:cstheme="majorHAnsi"/>
          <w:u w:color="000000"/>
          <w:lang w:val="en-US"/>
        </w:rPr>
        <w:t xml:space="preserve">In summary, the results revealed that, statistically, the BEST Program interventions did not improve the average grades of the students in the BEST-supported schools more that the improvements of the indirect recipient schools. </w:t>
      </w:r>
      <w:r w:rsidRPr="00AA04A4">
        <w:rPr>
          <w:rFonts w:asciiTheme="majorHAnsi" w:eastAsia="Arial Unicode MS" w:hAnsiTheme="majorHAnsi" w:cstheme="majorHAnsi"/>
          <w:bCs/>
          <w:color w:val="000000"/>
          <w:u w:color="000000"/>
          <w:lang w:val="en-US"/>
        </w:rPr>
        <w:t>A lot of factors might have influenced this result.</w:t>
      </w:r>
    </w:p>
    <w:p w14:paraId="37827C1D" w14:textId="71C185FE" w:rsidR="008D0CAD" w:rsidRPr="00AA04A4" w:rsidRDefault="008D0CAD" w:rsidP="00796BFA">
      <w:pPr>
        <w:spacing w:before="100" w:beforeAutospacing="1" w:after="100" w:afterAutospacing="1" w:line="360" w:lineRule="auto"/>
        <w:ind w:right="245"/>
        <w:rPr>
          <w:rFonts w:asciiTheme="majorHAnsi" w:eastAsia="Arial Unicode MS" w:hAnsiTheme="majorHAnsi" w:cstheme="majorHAnsi"/>
          <w:bCs/>
          <w:color w:val="000000"/>
          <w:u w:color="000000"/>
          <w:lang w:val="en-US"/>
        </w:rPr>
      </w:pPr>
      <w:r w:rsidRPr="00AA04A4">
        <w:rPr>
          <w:rFonts w:asciiTheme="majorHAnsi" w:eastAsia="Arial Unicode MS" w:hAnsiTheme="majorHAnsi" w:cstheme="majorHAnsi"/>
          <w:bCs/>
          <w:color w:val="000000"/>
          <w:u w:color="000000"/>
          <w:lang w:val="en-US"/>
        </w:rPr>
        <w:t>One explanation was the simultaneous implementation of DepEd of their version of the BEST program interventions parallel to the implementation of the BEST Program itself. It was possible that the quality of the implementation of DepEd is the same as that of the Program. If this is the case, then this is a positive effect of the BEST Program interventions at the systems level.</w:t>
      </w:r>
      <w:r w:rsidR="00D434EB">
        <w:rPr>
          <w:rFonts w:asciiTheme="majorHAnsi" w:eastAsia="Arial Unicode MS" w:hAnsiTheme="majorHAnsi" w:cstheme="majorHAnsi"/>
          <w:bCs/>
          <w:color w:val="000000"/>
          <w:u w:color="000000"/>
          <w:lang w:val="en-US"/>
        </w:rPr>
        <w:t xml:space="preserve"> </w:t>
      </w:r>
      <w:r w:rsidRPr="00AA04A4">
        <w:rPr>
          <w:rFonts w:asciiTheme="majorHAnsi" w:eastAsia="Arial Unicode MS" w:hAnsiTheme="majorHAnsi" w:cstheme="majorHAnsi"/>
          <w:bCs/>
          <w:color w:val="000000"/>
          <w:u w:color="000000"/>
          <w:lang w:val="en-US"/>
        </w:rPr>
        <w:t>Further study could be done comparing BEST supported regions from regions that are not directly supported by the Program.</w:t>
      </w:r>
    </w:p>
    <w:p w14:paraId="23E041D3" w14:textId="283E5BEF" w:rsidR="008D0CAD" w:rsidRPr="00AA04A4" w:rsidRDefault="008D0CAD" w:rsidP="00796BFA">
      <w:pPr>
        <w:spacing w:before="100" w:beforeAutospacing="1" w:after="100" w:afterAutospacing="1" w:line="360" w:lineRule="auto"/>
        <w:ind w:right="245"/>
        <w:rPr>
          <w:rFonts w:asciiTheme="majorHAnsi" w:eastAsia="Arial Unicode MS" w:hAnsiTheme="majorHAnsi" w:cstheme="majorHAnsi"/>
          <w:u w:color="000000"/>
          <w:lang w:val="en-US"/>
        </w:rPr>
      </w:pPr>
      <w:r w:rsidRPr="00AA04A4">
        <w:rPr>
          <w:rFonts w:asciiTheme="majorHAnsi" w:eastAsia="Arial Unicode MS" w:hAnsiTheme="majorHAnsi" w:cstheme="majorHAnsi"/>
          <w:u w:color="000000"/>
          <w:lang w:val="en-US"/>
        </w:rPr>
        <w:t>A second factor is the limitations of the data since most of the direct recipient schools received interventions only from SY2017-18, which the analysis had set as the end-line.</w:t>
      </w:r>
      <w:r w:rsidR="00D434EB">
        <w:rPr>
          <w:rFonts w:asciiTheme="majorHAnsi" w:eastAsia="Arial Unicode MS" w:hAnsiTheme="majorHAnsi" w:cstheme="majorHAnsi"/>
          <w:u w:color="000000"/>
          <w:lang w:val="en-US"/>
        </w:rPr>
        <w:t xml:space="preserve"> </w:t>
      </w:r>
      <w:r w:rsidRPr="00AA04A4">
        <w:rPr>
          <w:rFonts w:asciiTheme="majorHAnsi" w:eastAsia="Arial Unicode MS" w:hAnsiTheme="majorHAnsi" w:cstheme="majorHAnsi"/>
          <w:u w:color="000000"/>
          <w:lang w:val="en-US"/>
        </w:rPr>
        <w:t xml:space="preserve">Ideally, the appropriate practice is to use the succeeding year after the intervention was administered as end-line. Because the study was done while the Program was still ongoing, </w:t>
      </w:r>
      <w:r w:rsidRPr="00AA04A4">
        <w:rPr>
          <w:rFonts w:asciiTheme="majorHAnsi" w:eastAsia="Arial Unicode MS" w:hAnsiTheme="majorHAnsi" w:cstheme="majorHAnsi"/>
          <w:bCs/>
          <w:color w:val="000000"/>
          <w:u w:color="000000"/>
          <w:lang w:val="en-US"/>
        </w:rPr>
        <w:t>there was not sufficient time for the effects to mature and materialise at a degree that it would be significantly make a difference.</w:t>
      </w:r>
    </w:p>
    <w:p w14:paraId="6D49F498" w14:textId="7B59A0A2" w:rsidR="008D0CAD" w:rsidRPr="00AA04A4" w:rsidRDefault="008D0CAD" w:rsidP="00796BFA">
      <w:pPr>
        <w:spacing w:before="100" w:beforeAutospacing="1" w:after="100" w:afterAutospacing="1" w:line="360" w:lineRule="auto"/>
        <w:ind w:right="245"/>
        <w:rPr>
          <w:rFonts w:asciiTheme="majorHAnsi" w:eastAsia="Arial Unicode MS" w:hAnsiTheme="majorHAnsi" w:cstheme="majorHAnsi"/>
          <w:u w:color="000000"/>
          <w:lang w:val="en-US"/>
        </w:rPr>
      </w:pPr>
      <w:r w:rsidRPr="00AA04A4">
        <w:rPr>
          <w:rFonts w:asciiTheme="majorHAnsi" w:eastAsia="Arial Unicode MS" w:hAnsiTheme="majorHAnsi" w:cstheme="majorHAnsi"/>
          <w:u w:color="000000"/>
          <w:lang w:val="en-US"/>
        </w:rPr>
        <w:t>Another factor to consider is that the disaggregated analysis by intervention may not provide a good estimate of the BEST Program effect since the direct recipient schools overwhelmingly received only one – Intervention No. 6.</w:t>
      </w:r>
      <w:r w:rsidR="00D434EB">
        <w:rPr>
          <w:rFonts w:asciiTheme="majorHAnsi" w:eastAsia="Arial Unicode MS" w:hAnsiTheme="majorHAnsi" w:cstheme="majorHAnsi"/>
          <w:u w:color="000000"/>
          <w:lang w:val="en-US"/>
        </w:rPr>
        <w:t xml:space="preserve"> </w:t>
      </w:r>
      <w:r w:rsidRPr="00AA04A4">
        <w:rPr>
          <w:rFonts w:asciiTheme="majorHAnsi" w:eastAsia="Arial Unicode MS" w:hAnsiTheme="majorHAnsi" w:cstheme="majorHAnsi"/>
          <w:u w:color="000000"/>
          <w:lang w:val="en-US"/>
        </w:rPr>
        <w:t>Again, it might be more informative if a follow-up study is done in the future other interventions would have been provided to the schools and would have been given sufficient time to mature.</w:t>
      </w:r>
    </w:p>
    <w:p w14:paraId="77AAA377" w14:textId="573C93EA" w:rsidR="008D0CAD" w:rsidRPr="00796BFA" w:rsidRDefault="008D0CAD" w:rsidP="00796BFA">
      <w:pPr>
        <w:spacing w:before="100" w:beforeAutospacing="1" w:after="100" w:afterAutospacing="1" w:line="360" w:lineRule="auto"/>
        <w:ind w:right="245"/>
        <w:rPr>
          <w:rFonts w:asciiTheme="majorHAnsi" w:eastAsia="Arial Unicode MS" w:hAnsiTheme="majorHAnsi" w:cstheme="majorHAnsi"/>
          <w:u w:color="000000"/>
          <w:lang w:val="en-US"/>
        </w:rPr>
      </w:pPr>
      <w:r w:rsidRPr="00AA04A4">
        <w:rPr>
          <w:rFonts w:asciiTheme="majorHAnsi" w:eastAsia="Arial Unicode MS" w:hAnsiTheme="majorHAnsi" w:cstheme="majorHAnsi"/>
          <w:u w:color="000000"/>
          <w:lang w:val="en-US"/>
        </w:rPr>
        <w:t>Lastly, other DepEd interventions might have been present in the schools during the BEST project implementation which may have contributed to these findings.</w:t>
      </w:r>
    </w:p>
    <w:p w14:paraId="79C36C1D" w14:textId="77777777" w:rsidR="008D0CAD" w:rsidRPr="004213BA" w:rsidRDefault="008D0CAD" w:rsidP="00796BFA">
      <w:pPr>
        <w:spacing w:before="100" w:beforeAutospacing="1" w:after="100" w:afterAutospacing="1" w:line="360" w:lineRule="auto"/>
        <w:rPr>
          <w:rFonts w:asciiTheme="majorHAnsi" w:hAnsiTheme="majorHAnsi" w:cstheme="majorHAnsi"/>
          <w:b/>
          <w:bCs/>
          <w:lang w:val="en-US"/>
        </w:rPr>
      </w:pPr>
      <w:bookmarkStart w:id="415" w:name="_Toc15638015"/>
      <w:r w:rsidRPr="004213BA">
        <w:rPr>
          <w:rFonts w:asciiTheme="majorHAnsi" w:hAnsiTheme="majorHAnsi" w:cstheme="majorHAnsi"/>
          <w:b/>
          <w:bCs/>
          <w:lang w:val="en-US"/>
        </w:rPr>
        <w:t>Average Grades by Region</w:t>
      </w:r>
      <w:bookmarkEnd w:id="415"/>
    </w:p>
    <w:p w14:paraId="59179E2D" w14:textId="6551ADDE" w:rsidR="008D0CAD" w:rsidRPr="004213BA" w:rsidRDefault="008D0CAD" w:rsidP="00796BFA">
      <w:pPr>
        <w:spacing w:before="100" w:beforeAutospacing="1" w:after="100" w:afterAutospacing="1" w:line="360" w:lineRule="auto"/>
        <w:ind w:right="245"/>
        <w:rPr>
          <w:rFonts w:asciiTheme="majorHAnsi" w:eastAsia="Arial Unicode MS" w:hAnsiTheme="majorHAnsi" w:cstheme="majorHAnsi"/>
          <w:bCs/>
          <w:color w:val="000000" w:themeColor="text1"/>
          <w:u w:color="000000"/>
          <w:lang w:val="en-US"/>
        </w:rPr>
      </w:pPr>
      <w:r w:rsidRPr="004213BA">
        <w:rPr>
          <w:rFonts w:asciiTheme="majorHAnsi" w:eastAsia="Arial Unicode MS" w:hAnsiTheme="majorHAnsi" w:cstheme="majorHAnsi"/>
          <w:bCs/>
          <w:color w:val="000000" w:themeColor="text1"/>
          <w:u w:color="000000"/>
          <w:lang w:val="en-US"/>
        </w:rPr>
        <w:t>The 10 BEST Program interventions under review were directed at the Central Office (through the various DepEd OUs) and in turn, DepEd OUs downloaded the interventions to the field units at their own pace and with their own timing.</w:t>
      </w:r>
      <w:r w:rsidR="00D434EB">
        <w:rPr>
          <w:rFonts w:asciiTheme="majorHAnsi" w:eastAsia="Arial Unicode MS" w:hAnsiTheme="majorHAnsi" w:cstheme="majorHAnsi"/>
          <w:bCs/>
          <w:color w:val="000000" w:themeColor="text1"/>
          <w:u w:color="000000"/>
          <w:lang w:val="en-US"/>
        </w:rPr>
        <w:t xml:space="preserve"> </w:t>
      </w:r>
      <w:r w:rsidRPr="004213BA">
        <w:rPr>
          <w:rFonts w:asciiTheme="majorHAnsi" w:eastAsia="Arial Unicode MS" w:hAnsiTheme="majorHAnsi" w:cstheme="majorHAnsi"/>
          <w:bCs/>
          <w:color w:val="000000" w:themeColor="text1"/>
          <w:u w:color="000000"/>
          <w:lang w:val="en-US"/>
        </w:rPr>
        <w:t>This made the evaluation of the effects of each program very challenging.</w:t>
      </w:r>
      <w:r w:rsidR="00D434EB">
        <w:rPr>
          <w:rFonts w:asciiTheme="majorHAnsi" w:eastAsia="Arial Unicode MS" w:hAnsiTheme="majorHAnsi" w:cstheme="majorHAnsi"/>
          <w:bCs/>
          <w:color w:val="000000" w:themeColor="text1"/>
          <w:u w:color="000000"/>
          <w:lang w:val="en-US"/>
        </w:rPr>
        <w:t xml:space="preserve"> </w:t>
      </w:r>
    </w:p>
    <w:p w14:paraId="22D5DC5D" w14:textId="09880833" w:rsidR="008D0CAD" w:rsidRPr="004213BA" w:rsidRDefault="008D0CAD" w:rsidP="00796BFA">
      <w:pPr>
        <w:spacing w:before="100" w:beforeAutospacing="1" w:after="100" w:afterAutospacing="1" w:line="360" w:lineRule="auto"/>
        <w:ind w:right="245"/>
        <w:rPr>
          <w:rFonts w:ascii="Calibri Light" w:eastAsia="Arial Unicode MS" w:hAnsi="Calibri Light" w:cs="Calibri Light"/>
          <w:u w:color="000000"/>
          <w:lang w:val="en-US"/>
        </w:rPr>
      </w:pPr>
      <w:r w:rsidRPr="004213BA">
        <w:rPr>
          <w:rFonts w:asciiTheme="majorHAnsi" w:eastAsia="Arial Unicode MS" w:hAnsiTheme="majorHAnsi" w:cstheme="majorHAnsi"/>
          <w:bCs/>
          <w:color w:val="000000" w:themeColor="text1"/>
          <w:u w:color="000000"/>
          <w:lang w:val="en-US"/>
        </w:rPr>
        <w:t>Thus, to be able to assess the Program from a systems perspective, a</w:t>
      </w:r>
      <w:r w:rsidRPr="004213BA">
        <w:rPr>
          <w:rFonts w:ascii="Calibri Light" w:eastAsia="Arial Unicode MS" w:hAnsi="Calibri Light" w:cs="Calibri Light"/>
          <w:u w:color="000000"/>
          <w:lang w:val="en-US"/>
        </w:rPr>
        <w:t>dditional analysis was undertaken using Panel regression models for Grade 4, 5, and 6 using average change in grades between 2014 to 2017 as the dependent variable (Table 3)</w:t>
      </w:r>
      <w:r w:rsidRPr="004213BA">
        <w:rPr>
          <w:rFonts w:ascii="Calibri Light" w:eastAsia="Arial Unicode MS" w:hAnsi="Calibri Light" w:cs="Calibri Light"/>
          <w:u w:color="000000"/>
          <w:vertAlign w:val="superscript"/>
          <w:lang w:val="en-US"/>
        </w:rPr>
        <w:footnoteReference w:id="140"/>
      </w:r>
      <w:r w:rsidRPr="004213BA">
        <w:rPr>
          <w:rFonts w:ascii="Calibri Light" w:eastAsia="Arial Unicode MS" w:hAnsi="Calibri Light" w:cs="Calibri Light"/>
          <w:u w:color="000000"/>
          <w:lang w:val="en-US"/>
        </w:rPr>
        <w:t>.</w:t>
      </w:r>
      <w:r w:rsidR="00D434EB">
        <w:rPr>
          <w:rFonts w:ascii="Calibri Light" w:eastAsia="Arial Unicode MS" w:hAnsi="Calibri Light" w:cs="Calibri Light"/>
          <w:u w:color="000000"/>
          <w:lang w:val="en-US"/>
        </w:rPr>
        <w:t xml:space="preserve"> </w:t>
      </w:r>
      <w:r w:rsidRPr="004213BA">
        <w:rPr>
          <w:rFonts w:ascii="Calibri Light" w:eastAsia="Arial Unicode MS" w:hAnsi="Calibri Light" w:cs="Calibri Light"/>
          <w:u w:color="000000"/>
          <w:lang w:val="en-US"/>
        </w:rPr>
        <w:t xml:space="preserve">Results showed that across all the grade levels of direct recipient schools, the effect of the BEST Program was not statistically significant when compared with indirect recipient schools, implying that the change in the average grades among direct recipient schools was almost the same as that of indirect recipient schools. </w:t>
      </w:r>
    </w:p>
    <w:p w14:paraId="0173AEBC" w14:textId="65DA19ED" w:rsidR="008D0CAD" w:rsidRPr="005424E3" w:rsidRDefault="008D0CAD" w:rsidP="00796BFA">
      <w:pPr>
        <w:keepNext/>
        <w:spacing w:before="100" w:beforeAutospacing="1" w:after="100" w:afterAutospacing="1" w:line="360" w:lineRule="auto"/>
        <w:rPr>
          <w:rFonts w:asciiTheme="majorHAnsi" w:hAnsiTheme="majorHAnsi" w:cstheme="majorHAnsi"/>
          <w:bCs/>
          <w:i/>
          <w:color w:val="44546A" w:themeColor="text2"/>
          <w:sz w:val="22"/>
          <w:szCs w:val="22"/>
          <w:lang w:val="en-US"/>
        </w:rPr>
      </w:pPr>
      <w:bookmarkStart w:id="416" w:name="_Toc15638038"/>
      <w:bookmarkStart w:id="417" w:name="_Toc71616636"/>
      <w:r w:rsidRPr="005424E3">
        <w:rPr>
          <w:rFonts w:asciiTheme="majorHAnsi" w:hAnsiTheme="majorHAnsi" w:cstheme="majorHAnsi"/>
          <w:bCs/>
          <w:i/>
          <w:color w:val="44546A" w:themeColor="text2"/>
          <w:sz w:val="22"/>
          <w:szCs w:val="22"/>
          <w:lang w:val="en-US"/>
        </w:rPr>
        <w:t xml:space="preserve">Table </w:t>
      </w:r>
      <w:r w:rsidRPr="005424E3">
        <w:rPr>
          <w:rFonts w:asciiTheme="majorHAnsi" w:hAnsiTheme="majorHAnsi" w:cstheme="majorHAnsi"/>
          <w:bCs/>
          <w:i/>
          <w:color w:val="44546A" w:themeColor="text2"/>
          <w:sz w:val="22"/>
          <w:szCs w:val="22"/>
          <w:lang w:val="en-US"/>
        </w:rPr>
        <w:fldChar w:fldCharType="begin"/>
      </w:r>
      <w:r w:rsidRPr="005424E3">
        <w:rPr>
          <w:rFonts w:asciiTheme="majorHAnsi" w:hAnsiTheme="majorHAnsi" w:cstheme="majorHAnsi"/>
          <w:bCs/>
          <w:i/>
          <w:color w:val="44546A" w:themeColor="text2"/>
          <w:sz w:val="22"/>
          <w:szCs w:val="22"/>
          <w:lang w:val="en-US"/>
        </w:rPr>
        <w:instrText xml:space="preserve"> SEQ Table \* ARABIC </w:instrText>
      </w:r>
      <w:r w:rsidRPr="005424E3">
        <w:rPr>
          <w:rFonts w:asciiTheme="majorHAnsi" w:hAnsiTheme="majorHAnsi" w:cstheme="majorHAnsi"/>
          <w:bCs/>
          <w:i/>
          <w:color w:val="44546A" w:themeColor="text2"/>
          <w:sz w:val="22"/>
          <w:szCs w:val="22"/>
          <w:lang w:val="en-US"/>
        </w:rPr>
        <w:fldChar w:fldCharType="separate"/>
      </w:r>
      <w:r w:rsidR="00D6133D">
        <w:rPr>
          <w:rFonts w:asciiTheme="majorHAnsi" w:hAnsiTheme="majorHAnsi" w:cstheme="majorHAnsi"/>
          <w:bCs/>
          <w:i/>
          <w:noProof/>
          <w:color w:val="44546A" w:themeColor="text2"/>
          <w:sz w:val="22"/>
          <w:szCs w:val="22"/>
          <w:lang w:val="en-US"/>
        </w:rPr>
        <w:t>45</w:t>
      </w:r>
      <w:r w:rsidRPr="005424E3">
        <w:rPr>
          <w:rFonts w:asciiTheme="majorHAnsi" w:hAnsiTheme="majorHAnsi" w:cstheme="majorHAnsi"/>
          <w:bCs/>
          <w:i/>
          <w:color w:val="44546A" w:themeColor="text2"/>
          <w:sz w:val="22"/>
          <w:szCs w:val="22"/>
          <w:lang w:val="en-US"/>
        </w:rPr>
        <w:fldChar w:fldCharType="end"/>
      </w:r>
      <w:r w:rsidRPr="005424E3">
        <w:rPr>
          <w:rFonts w:asciiTheme="majorHAnsi" w:hAnsiTheme="majorHAnsi" w:cstheme="majorHAnsi"/>
          <w:bCs/>
          <w:i/>
          <w:color w:val="44546A" w:themeColor="text2"/>
          <w:sz w:val="22"/>
          <w:szCs w:val="22"/>
          <w:lang w:val="en-US"/>
        </w:rPr>
        <w:t>.Regression Model of BEST Program by Grade Level</w:t>
      </w:r>
      <w:bookmarkEnd w:id="416"/>
      <w:bookmarkEnd w:id="417"/>
    </w:p>
    <w:tbl>
      <w:tblPr>
        <w:tblStyle w:val="TableGrid18"/>
        <w:tblW w:w="8813" w:type="dxa"/>
        <w:tblLook w:val="04A0" w:firstRow="1" w:lastRow="0" w:firstColumn="1" w:lastColumn="0" w:noHBand="0" w:noVBand="1"/>
      </w:tblPr>
      <w:tblGrid>
        <w:gridCol w:w="1814"/>
        <w:gridCol w:w="1248"/>
        <w:gridCol w:w="1016"/>
        <w:gridCol w:w="1251"/>
        <w:gridCol w:w="1139"/>
        <w:gridCol w:w="1208"/>
        <w:gridCol w:w="1137"/>
      </w:tblGrid>
      <w:tr w:rsidR="005A6126" w:rsidRPr="004B064D" w14:paraId="5B4AD326" w14:textId="77777777" w:rsidTr="004B064D">
        <w:trPr>
          <w:trHeight w:val="493"/>
          <w:tblHeader/>
        </w:trPr>
        <w:tc>
          <w:tcPr>
            <w:tcW w:w="1814" w:type="dxa"/>
            <w:tcBorders>
              <w:bottom w:val="nil"/>
            </w:tcBorders>
          </w:tcPr>
          <w:p w14:paraId="5902BAEF" w14:textId="77777777" w:rsidR="005A6126" w:rsidRPr="004B064D" w:rsidRDefault="005A6126" w:rsidP="00796BFA">
            <w:pPr>
              <w:spacing w:before="100" w:beforeAutospacing="1" w:after="100" w:afterAutospacing="1" w:line="360" w:lineRule="auto"/>
              <w:rPr>
                <w:rFonts w:ascii="Calibri Light" w:eastAsiaTheme="minorEastAsia" w:hAnsi="Calibri Light" w:cs="Calibri Light"/>
                <w:b/>
                <w:bCs/>
                <w:color w:val="000000"/>
                <w:sz w:val="20"/>
                <w:szCs w:val="20"/>
                <w:lang w:val="en-US" w:eastAsia="zh-CN" w:bidi="hi-IN"/>
              </w:rPr>
            </w:pPr>
          </w:p>
        </w:tc>
        <w:tc>
          <w:tcPr>
            <w:tcW w:w="1248" w:type="dxa"/>
            <w:tcBorders>
              <w:right w:val="nil"/>
            </w:tcBorders>
          </w:tcPr>
          <w:p w14:paraId="58CA3BD6" w14:textId="61578341" w:rsidR="005A6126" w:rsidRPr="004B064D" w:rsidRDefault="005A6126" w:rsidP="00796BFA">
            <w:pPr>
              <w:spacing w:before="100" w:beforeAutospacing="1" w:after="100" w:afterAutospacing="1" w:line="360" w:lineRule="auto"/>
              <w:rPr>
                <w:rFonts w:ascii="Calibri Light" w:eastAsiaTheme="minorEastAsia" w:hAnsi="Calibri Light" w:cs="Calibri Light"/>
                <w:b/>
                <w:bCs/>
                <w:sz w:val="20"/>
                <w:szCs w:val="20"/>
                <w:lang w:val="en-US" w:eastAsia="zh-CN" w:bidi="hi-IN"/>
              </w:rPr>
            </w:pPr>
            <w:r w:rsidRPr="004B064D">
              <w:rPr>
                <w:rFonts w:ascii="Calibri Light" w:eastAsiaTheme="minorEastAsia" w:hAnsi="Calibri Light" w:cs="Calibri Light"/>
                <w:b/>
                <w:bCs/>
                <w:sz w:val="20"/>
                <w:szCs w:val="20"/>
                <w:lang w:val="en-US" w:eastAsia="zh-CN" w:bidi="hi-IN"/>
              </w:rPr>
              <w:t>Grade 4</w:t>
            </w:r>
          </w:p>
        </w:tc>
        <w:tc>
          <w:tcPr>
            <w:tcW w:w="1016" w:type="dxa"/>
            <w:tcBorders>
              <w:left w:val="nil"/>
            </w:tcBorders>
          </w:tcPr>
          <w:p w14:paraId="616678DA" w14:textId="77777777" w:rsidR="005A6126" w:rsidRPr="004B064D" w:rsidRDefault="005A6126" w:rsidP="00796BFA">
            <w:pPr>
              <w:spacing w:before="100" w:beforeAutospacing="1" w:after="100" w:afterAutospacing="1" w:line="360" w:lineRule="auto"/>
              <w:rPr>
                <w:rFonts w:ascii="Calibri Light" w:eastAsiaTheme="minorEastAsia" w:hAnsi="Calibri Light" w:cs="Calibri Light"/>
                <w:b/>
                <w:bCs/>
                <w:sz w:val="20"/>
                <w:szCs w:val="20"/>
                <w:lang w:val="en-US" w:eastAsia="zh-CN" w:bidi="hi-IN"/>
              </w:rPr>
            </w:pPr>
          </w:p>
        </w:tc>
        <w:tc>
          <w:tcPr>
            <w:tcW w:w="1251" w:type="dxa"/>
            <w:tcBorders>
              <w:right w:val="nil"/>
            </w:tcBorders>
          </w:tcPr>
          <w:p w14:paraId="3337238E" w14:textId="0F87E6F0" w:rsidR="005A6126" w:rsidRPr="004B064D" w:rsidRDefault="005A6126" w:rsidP="00796BFA">
            <w:pPr>
              <w:spacing w:before="100" w:beforeAutospacing="1" w:after="100" w:afterAutospacing="1" w:line="360" w:lineRule="auto"/>
              <w:rPr>
                <w:rFonts w:ascii="Calibri Light" w:eastAsiaTheme="minorEastAsia" w:hAnsi="Calibri Light" w:cs="Calibri Light"/>
                <w:b/>
                <w:bCs/>
                <w:sz w:val="20"/>
                <w:szCs w:val="20"/>
                <w:lang w:val="en-US" w:eastAsia="zh-CN" w:bidi="hi-IN"/>
              </w:rPr>
            </w:pPr>
            <w:r w:rsidRPr="004B064D">
              <w:rPr>
                <w:rFonts w:ascii="Calibri Light" w:eastAsiaTheme="minorEastAsia" w:hAnsi="Calibri Light" w:cs="Calibri Light"/>
                <w:b/>
                <w:bCs/>
                <w:sz w:val="20"/>
                <w:szCs w:val="20"/>
                <w:lang w:val="en-US" w:eastAsia="zh-CN" w:bidi="hi-IN"/>
              </w:rPr>
              <w:t>Grade 5</w:t>
            </w:r>
          </w:p>
        </w:tc>
        <w:tc>
          <w:tcPr>
            <w:tcW w:w="1139" w:type="dxa"/>
            <w:tcBorders>
              <w:left w:val="nil"/>
            </w:tcBorders>
          </w:tcPr>
          <w:p w14:paraId="655BC8B0" w14:textId="77777777" w:rsidR="005A6126" w:rsidRPr="004B064D" w:rsidRDefault="005A6126" w:rsidP="00796BFA">
            <w:pPr>
              <w:spacing w:before="100" w:beforeAutospacing="1" w:after="100" w:afterAutospacing="1" w:line="360" w:lineRule="auto"/>
              <w:rPr>
                <w:rFonts w:ascii="Calibri Light" w:eastAsiaTheme="minorEastAsia" w:hAnsi="Calibri Light" w:cs="Calibri Light"/>
                <w:b/>
                <w:bCs/>
                <w:sz w:val="20"/>
                <w:szCs w:val="20"/>
                <w:lang w:val="en-US" w:eastAsia="zh-CN" w:bidi="hi-IN"/>
              </w:rPr>
            </w:pPr>
          </w:p>
        </w:tc>
        <w:tc>
          <w:tcPr>
            <w:tcW w:w="1208" w:type="dxa"/>
            <w:tcBorders>
              <w:right w:val="nil"/>
            </w:tcBorders>
          </w:tcPr>
          <w:p w14:paraId="0D2EFA6E" w14:textId="31651BCC" w:rsidR="005A6126" w:rsidRPr="004B064D" w:rsidRDefault="005A6126" w:rsidP="00796BFA">
            <w:pPr>
              <w:spacing w:before="100" w:beforeAutospacing="1" w:after="100" w:afterAutospacing="1" w:line="360" w:lineRule="auto"/>
              <w:rPr>
                <w:rFonts w:ascii="Calibri Light" w:eastAsiaTheme="minorEastAsia" w:hAnsi="Calibri Light" w:cs="Calibri Light"/>
                <w:b/>
                <w:bCs/>
                <w:sz w:val="20"/>
                <w:szCs w:val="20"/>
                <w:lang w:val="en-US" w:eastAsia="zh-CN" w:bidi="hi-IN"/>
              </w:rPr>
            </w:pPr>
            <w:r w:rsidRPr="004B064D">
              <w:rPr>
                <w:rFonts w:ascii="Calibri Light" w:eastAsiaTheme="minorEastAsia" w:hAnsi="Calibri Light" w:cs="Calibri Light"/>
                <w:b/>
                <w:bCs/>
                <w:sz w:val="20"/>
                <w:szCs w:val="20"/>
                <w:lang w:val="en-US" w:eastAsia="zh-CN" w:bidi="hi-IN"/>
              </w:rPr>
              <w:t>Grade 6</w:t>
            </w:r>
          </w:p>
        </w:tc>
        <w:tc>
          <w:tcPr>
            <w:tcW w:w="1137" w:type="dxa"/>
            <w:tcBorders>
              <w:left w:val="nil"/>
            </w:tcBorders>
          </w:tcPr>
          <w:p w14:paraId="5E4A166A" w14:textId="77777777" w:rsidR="005A6126" w:rsidRPr="004B064D" w:rsidRDefault="005A6126" w:rsidP="00796BFA">
            <w:pPr>
              <w:spacing w:before="100" w:beforeAutospacing="1" w:after="100" w:afterAutospacing="1" w:line="360" w:lineRule="auto"/>
              <w:rPr>
                <w:rFonts w:ascii="Calibri Light" w:eastAsiaTheme="minorEastAsia" w:hAnsi="Calibri Light" w:cs="Calibri Light"/>
                <w:b/>
                <w:bCs/>
                <w:sz w:val="20"/>
                <w:szCs w:val="20"/>
                <w:lang w:val="en-US" w:eastAsia="zh-CN" w:bidi="hi-IN"/>
              </w:rPr>
            </w:pPr>
          </w:p>
        </w:tc>
      </w:tr>
      <w:tr w:rsidR="008D0CAD" w:rsidRPr="004B064D" w14:paraId="79778969" w14:textId="77777777" w:rsidTr="004B064D">
        <w:trPr>
          <w:trHeight w:val="493"/>
          <w:tblHeader/>
        </w:trPr>
        <w:tc>
          <w:tcPr>
            <w:tcW w:w="1814" w:type="dxa"/>
            <w:tcBorders>
              <w:top w:val="nil"/>
            </w:tcBorders>
          </w:tcPr>
          <w:p w14:paraId="6CF8A5AF" w14:textId="77777777" w:rsidR="008D0CAD" w:rsidRPr="004B064D" w:rsidRDefault="008D0CAD" w:rsidP="00796BFA">
            <w:pPr>
              <w:spacing w:before="100" w:beforeAutospacing="1" w:after="100" w:afterAutospacing="1" w:line="360" w:lineRule="auto"/>
              <w:rPr>
                <w:rFonts w:ascii="Calibri Light" w:eastAsiaTheme="minorEastAsia" w:hAnsi="Calibri Light" w:cs="Calibri Light"/>
                <w:b/>
                <w:bCs/>
                <w:color w:val="000000"/>
                <w:sz w:val="20"/>
                <w:szCs w:val="20"/>
                <w:lang w:val="en-US" w:eastAsia="zh-CN" w:bidi="hi-IN"/>
              </w:rPr>
            </w:pPr>
            <w:r w:rsidRPr="004B064D">
              <w:rPr>
                <w:rFonts w:ascii="Calibri Light" w:eastAsiaTheme="minorEastAsia" w:hAnsi="Calibri Light" w:cs="Calibri Light"/>
                <w:b/>
                <w:bCs/>
                <w:color w:val="000000"/>
                <w:sz w:val="20"/>
                <w:szCs w:val="20"/>
                <w:lang w:val="en-US" w:eastAsia="zh-CN" w:bidi="hi-IN"/>
              </w:rPr>
              <w:t>Variable</w:t>
            </w:r>
          </w:p>
        </w:tc>
        <w:tc>
          <w:tcPr>
            <w:tcW w:w="1248" w:type="dxa"/>
          </w:tcPr>
          <w:p w14:paraId="19F91D11" w14:textId="77777777" w:rsidR="008D0CAD" w:rsidRPr="004B064D" w:rsidRDefault="008D0CAD" w:rsidP="00796BFA">
            <w:pPr>
              <w:spacing w:before="100" w:beforeAutospacing="1" w:after="100" w:afterAutospacing="1" w:line="360" w:lineRule="auto"/>
              <w:rPr>
                <w:rFonts w:ascii="Calibri Light" w:eastAsiaTheme="minorEastAsia" w:hAnsi="Calibri Light" w:cs="Calibri Light"/>
                <w:b/>
                <w:bCs/>
                <w:sz w:val="20"/>
                <w:szCs w:val="20"/>
                <w:lang w:val="en-US" w:eastAsia="zh-CN" w:bidi="hi-IN"/>
              </w:rPr>
            </w:pPr>
            <w:r w:rsidRPr="004B064D">
              <w:rPr>
                <w:rFonts w:ascii="Calibri Light" w:eastAsiaTheme="minorEastAsia" w:hAnsi="Calibri Light" w:cs="Calibri Light"/>
                <w:b/>
                <w:bCs/>
                <w:sz w:val="20"/>
                <w:szCs w:val="20"/>
                <w:lang w:val="en-US" w:eastAsia="zh-CN" w:bidi="hi-IN"/>
              </w:rPr>
              <w:t>Coefficient</w:t>
            </w:r>
          </w:p>
        </w:tc>
        <w:tc>
          <w:tcPr>
            <w:tcW w:w="1016" w:type="dxa"/>
          </w:tcPr>
          <w:p w14:paraId="04DCDDA3" w14:textId="77777777" w:rsidR="008D0CAD" w:rsidRPr="004B064D" w:rsidRDefault="008D0CAD" w:rsidP="00796BFA">
            <w:pPr>
              <w:spacing w:before="100" w:beforeAutospacing="1" w:after="100" w:afterAutospacing="1" w:line="360" w:lineRule="auto"/>
              <w:rPr>
                <w:rFonts w:ascii="Calibri Light" w:eastAsiaTheme="minorEastAsia" w:hAnsi="Calibri Light" w:cs="Calibri Light"/>
                <w:b/>
                <w:bCs/>
                <w:sz w:val="20"/>
                <w:szCs w:val="20"/>
                <w:lang w:val="en-US" w:eastAsia="zh-CN" w:bidi="hi-IN"/>
              </w:rPr>
            </w:pPr>
            <w:r w:rsidRPr="004B064D">
              <w:rPr>
                <w:rFonts w:ascii="Calibri Light" w:eastAsiaTheme="minorEastAsia" w:hAnsi="Calibri Light" w:cs="Calibri Light"/>
                <w:b/>
                <w:bCs/>
                <w:sz w:val="20"/>
                <w:szCs w:val="20"/>
                <w:lang w:val="en-US" w:eastAsia="zh-CN" w:bidi="hi-IN"/>
              </w:rPr>
              <w:t>Standard Error</w:t>
            </w:r>
          </w:p>
        </w:tc>
        <w:tc>
          <w:tcPr>
            <w:tcW w:w="1251" w:type="dxa"/>
          </w:tcPr>
          <w:p w14:paraId="282F5C21" w14:textId="77777777" w:rsidR="008D0CAD" w:rsidRPr="004B064D" w:rsidRDefault="008D0CAD" w:rsidP="00796BFA">
            <w:pPr>
              <w:spacing w:before="100" w:beforeAutospacing="1" w:after="100" w:afterAutospacing="1" w:line="360" w:lineRule="auto"/>
              <w:rPr>
                <w:rFonts w:ascii="Calibri Light" w:eastAsiaTheme="minorEastAsia" w:hAnsi="Calibri Light" w:cs="Calibri Light"/>
                <w:b/>
                <w:bCs/>
                <w:sz w:val="20"/>
                <w:szCs w:val="20"/>
                <w:lang w:val="en-US" w:eastAsia="zh-CN" w:bidi="hi-IN"/>
              </w:rPr>
            </w:pPr>
            <w:r w:rsidRPr="004B064D">
              <w:rPr>
                <w:rFonts w:ascii="Calibri Light" w:eastAsiaTheme="minorEastAsia" w:hAnsi="Calibri Light" w:cs="Calibri Light"/>
                <w:b/>
                <w:bCs/>
                <w:sz w:val="20"/>
                <w:szCs w:val="20"/>
                <w:lang w:val="en-US" w:eastAsia="zh-CN" w:bidi="hi-IN"/>
              </w:rPr>
              <w:t>Coefficient</w:t>
            </w:r>
          </w:p>
        </w:tc>
        <w:tc>
          <w:tcPr>
            <w:tcW w:w="1139" w:type="dxa"/>
          </w:tcPr>
          <w:p w14:paraId="3BEE3462" w14:textId="77777777" w:rsidR="008D0CAD" w:rsidRPr="004B064D" w:rsidRDefault="008D0CAD" w:rsidP="00796BFA">
            <w:pPr>
              <w:spacing w:before="100" w:beforeAutospacing="1" w:after="100" w:afterAutospacing="1" w:line="360" w:lineRule="auto"/>
              <w:rPr>
                <w:rFonts w:ascii="Calibri Light" w:eastAsiaTheme="minorEastAsia" w:hAnsi="Calibri Light" w:cs="Calibri Light"/>
                <w:b/>
                <w:bCs/>
                <w:sz w:val="20"/>
                <w:szCs w:val="20"/>
                <w:lang w:val="en-US" w:eastAsia="zh-CN" w:bidi="hi-IN"/>
              </w:rPr>
            </w:pPr>
            <w:r w:rsidRPr="004B064D">
              <w:rPr>
                <w:rFonts w:ascii="Calibri Light" w:eastAsiaTheme="minorEastAsia" w:hAnsi="Calibri Light" w:cs="Calibri Light"/>
                <w:b/>
                <w:bCs/>
                <w:sz w:val="20"/>
                <w:szCs w:val="20"/>
                <w:lang w:val="en-US" w:eastAsia="zh-CN" w:bidi="hi-IN"/>
              </w:rPr>
              <w:t>Standard Error</w:t>
            </w:r>
          </w:p>
        </w:tc>
        <w:tc>
          <w:tcPr>
            <w:tcW w:w="1208" w:type="dxa"/>
          </w:tcPr>
          <w:p w14:paraId="3C5C57A3" w14:textId="77777777" w:rsidR="008D0CAD" w:rsidRPr="004B064D" w:rsidRDefault="008D0CAD" w:rsidP="00796BFA">
            <w:pPr>
              <w:spacing w:before="100" w:beforeAutospacing="1" w:after="100" w:afterAutospacing="1" w:line="360" w:lineRule="auto"/>
              <w:rPr>
                <w:rFonts w:ascii="Calibri Light" w:eastAsiaTheme="minorEastAsia" w:hAnsi="Calibri Light" w:cs="Calibri Light"/>
                <w:b/>
                <w:bCs/>
                <w:sz w:val="20"/>
                <w:szCs w:val="20"/>
                <w:lang w:val="en-US" w:eastAsia="zh-CN" w:bidi="hi-IN"/>
              </w:rPr>
            </w:pPr>
            <w:r w:rsidRPr="004B064D">
              <w:rPr>
                <w:rFonts w:ascii="Calibri Light" w:eastAsiaTheme="minorEastAsia" w:hAnsi="Calibri Light" w:cs="Calibri Light"/>
                <w:b/>
                <w:bCs/>
                <w:sz w:val="20"/>
                <w:szCs w:val="20"/>
                <w:lang w:val="en-US" w:eastAsia="zh-CN" w:bidi="hi-IN"/>
              </w:rPr>
              <w:t>Coefficient</w:t>
            </w:r>
          </w:p>
        </w:tc>
        <w:tc>
          <w:tcPr>
            <w:tcW w:w="1137" w:type="dxa"/>
          </w:tcPr>
          <w:p w14:paraId="3D9ADF5B" w14:textId="77777777" w:rsidR="008D0CAD" w:rsidRPr="004B064D" w:rsidRDefault="008D0CAD" w:rsidP="00796BFA">
            <w:pPr>
              <w:spacing w:before="100" w:beforeAutospacing="1" w:after="100" w:afterAutospacing="1" w:line="360" w:lineRule="auto"/>
              <w:rPr>
                <w:rFonts w:ascii="Calibri Light" w:eastAsiaTheme="minorEastAsia" w:hAnsi="Calibri Light" w:cs="Calibri Light"/>
                <w:b/>
                <w:bCs/>
                <w:sz w:val="20"/>
                <w:szCs w:val="20"/>
                <w:lang w:val="en-US" w:eastAsia="zh-CN" w:bidi="hi-IN"/>
              </w:rPr>
            </w:pPr>
            <w:r w:rsidRPr="004B064D">
              <w:rPr>
                <w:rFonts w:ascii="Calibri Light" w:eastAsiaTheme="minorEastAsia" w:hAnsi="Calibri Light" w:cs="Calibri Light"/>
                <w:b/>
                <w:bCs/>
                <w:sz w:val="20"/>
                <w:szCs w:val="20"/>
                <w:lang w:val="en-US" w:eastAsia="zh-CN" w:bidi="hi-IN"/>
              </w:rPr>
              <w:t>Standard Error</w:t>
            </w:r>
          </w:p>
        </w:tc>
      </w:tr>
      <w:tr w:rsidR="008D0CAD" w:rsidRPr="004213BA" w14:paraId="50A34788" w14:textId="77777777" w:rsidTr="0048024E">
        <w:trPr>
          <w:trHeight w:val="240"/>
        </w:trPr>
        <w:tc>
          <w:tcPr>
            <w:tcW w:w="1814" w:type="dxa"/>
          </w:tcPr>
          <w:p w14:paraId="79DF7BCD"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sz w:val="20"/>
                <w:szCs w:val="20"/>
                <w:lang w:val="en-US" w:eastAsia="zh-CN" w:bidi="hi-IN"/>
              </w:rPr>
            </w:pPr>
            <w:r w:rsidRPr="004213BA">
              <w:rPr>
                <w:rFonts w:ascii="Calibri Light" w:eastAsiaTheme="minorEastAsia" w:hAnsi="Calibri Light" w:cs="Calibri Light"/>
                <w:sz w:val="20"/>
                <w:szCs w:val="20"/>
                <w:lang w:val="en-US" w:eastAsia="zh-CN" w:bidi="hi-IN"/>
              </w:rPr>
              <w:t>BEST</w:t>
            </w:r>
          </w:p>
        </w:tc>
        <w:tc>
          <w:tcPr>
            <w:tcW w:w="1248" w:type="dxa"/>
          </w:tcPr>
          <w:p w14:paraId="0D9D4EA7"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0.0433</w:t>
            </w:r>
          </w:p>
        </w:tc>
        <w:tc>
          <w:tcPr>
            <w:tcW w:w="1016" w:type="dxa"/>
          </w:tcPr>
          <w:p w14:paraId="66DF14CA"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0.1062</w:t>
            </w:r>
          </w:p>
        </w:tc>
        <w:tc>
          <w:tcPr>
            <w:tcW w:w="1251" w:type="dxa"/>
          </w:tcPr>
          <w:p w14:paraId="172D6519"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0.0345</w:t>
            </w:r>
          </w:p>
        </w:tc>
        <w:tc>
          <w:tcPr>
            <w:tcW w:w="1139" w:type="dxa"/>
          </w:tcPr>
          <w:p w14:paraId="438C3025"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0.1036</w:t>
            </w:r>
          </w:p>
        </w:tc>
        <w:tc>
          <w:tcPr>
            <w:tcW w:w="1208" w:type="dxa"/>
          </w:tcPr>
          <w:p w14:paraId="741FE0E4"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-0.0986</w:t>
            </w:r>
          </w:p>
        </w:tc>
        <w:tc>
          <w:tcPr>
            <w:tcW w:w="1137" w:type="dxa"/>
          </w:tcPr>
          <w:p w14:paraId="060388C9"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0.0953</w:t>
            </w:r>
          </w:p>
        </w:tc>
      </w:tr>
      <w:tr w:rsidR="008D0CAD" w:rsidRPr="004213BA" w14:paraId="2458E745" w14:textId="77777777" w:rsidTr="0048024E">
        <w:trPr>
          <w:trHeight w:val="252"/>
        </w:trPr>
        <w:tc>
          <w:tcPr>
            <w:tcW w:w="1814" w:type="dxa"/>
          </w:tcPr>
          <w:p w14:paraId="22FC154F"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Inc Class: 1st</w:t>
            </w:r>
          </w:p>
        </w:tc>
        <w:tc>
          <w:tcPr>
            <w:tcW w:w="1248" w:type="dxa"/>
          </w:tcPr>
          <w:p w14:paraId="3BCA3691"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0.4126</w:t>
            </w:r>
          </w:p>
        </w:tc>
        <w:tc>
          <w:tcPr>
            <w:tcW w:w="1016" w:type="dxa"/>
          </w:tcPr>
          <w:p w14:paraId="579C1B5C"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0.2537</w:t>
            </w:r>
          </w:p>
        </w:tc>
        <w:tc>
          <w:tcPr>
            <w:tcW w:w="1251" w:type="dxa"/>
          </w:tcPr>
          <w:p w14:paraId="1AD28B97"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0.7025**</w:t>
            </w:r>
          </w:p>
        </w:tc>
        <w:tc>
          <w:tcPr>
            <w:tcW w:w="1139" w:type="dxa"/>
          </w:tcPr>
          <w:p w14:paraId="1A41DA4D"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0.2995</w:t>
            </w:r>
          </w:p>
        </w:tc>
        <w:tc>
          <w:tcPr>
            <w:tcW w:w="1208" w:type="dxa"/>
          </w:tcPr>
          <w:p w14:paraId="6B608985"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0.3103</w:t>
            </w:r>
          </w:p>
        </w:tc>
        <w:tc>
          <w:tcPr>
            <w:tcW w:w="1137" w:type="dxa"/>
          </w:tcPr>
          <w:p w14:paraId="7188B371"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0.2999</w:t>
            </w:r>
          </w:p>
        </w:tc>
      </w:tr>
      <w:tr w:rsidR="008D0CAD" w:rsidRPr="004213BA" w14:paraId="6748BAB9" w14:textId="77777777" w:rsidTr="0048024E">
        <w:trPr>
          <w:trHeight w:val="252"/>
        </w:trPr>
        <w:tc>
          <w:tcPr>
            <w:tcW w:w="1814" w:type="dxa"/>
          </w:tcPr>
          <w:p w14:paraId="01AD073B"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 xml:space="preserve">Inc Class: 2nd </w:t>
            </w:r>
          </w:p>
        </w:tc>
        <w:tc>
          <w:tcPr>
            <w:tcW w:w="1248" w:type="dxa"/>
          </w:tcPr>
          <w:p w14:paraId="65FB08A5"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0.5260*</w:t>
            </w:r>
          </w:p>
        </w:tc>
        <w:tc>
          <w:tcPr>
            <w:tcW w:w="1016" w:type="dxa"/>
          </w:tcPr>
          <w:p w14:paraId="6A879435"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0.2716</w:t>
            </w:r>
          </w:p>
        </w:tc>
        <w:tc>
          <w:tcPr>
            <w:tcW w:w="1251" w:type="dxa"/>
          </w:tcPr>
          <w:p w14:paraId="6E4DA62B"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0.7426**</w:t>
            </w:r>
          </w:p>
        </w:tc>
        <w:tc>
          <w:tcPr>
            <w:tcW w:w="1139" w:type="dxa"/>
          </w:tcPr>
          <w:p w14:paraId="33ECB58F"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0.3157</w:t>
            </w:r>
          </w:p>
        </w:tc>
        <w:tc>
          <w:tcPr>
            <w:tcW w:w="1208" w:type="dxa"/>
          </w:tcPr>
          <w:p w14:paraId="1AFE0532"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0.3871</w:t>
            </w:r>
          </w:p>
        </w:tc>
        <w:tc>
          <w:tcPr>
            <w:tcW w:w="1137" w:type="dxa"/>
          </w:tcPr>
          <w:p w14:paraId="1E1A0544"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0.3152</w:t>
            </w:r>
          </w:p>
        </w:tc>
      </w:tr>
      <w:tr w:rsidR="008D0CAD" w:rsidRPr="004213BA" w14:paraId="1DE2364D" w14:textId="77777777" w:rsidTr="0048024E">
        <w:trPr>
          <w:trHeight w:val="240"/>
        </w:trPr>
        <w:tc>
          <w:tcPr>
            <w:tcW w:w="1814" w:type="dxa"/>
          </w:tcPr>
          <w:p w14:paraId="6C302DCF"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 xml:space="preserve">Inc Class: 3rd </w:t>
            </w:r>
          </w:p>
        </w:tc>
        <w:tc>
          <w:tcPr>
            <w:tcW w:w="1248" w:type="dxa"/>
          </w:tcPr>
          <w:p w14:paraId="0F5A5FE7"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0.4896*</w:t>
            </w:r>
          </w:p>
        </w:tc>
        <w:tc>
          <w:tcPr>
            <w:tcW w:w="1016" w:type="dxa"/>
          </w:tcPr>
          <w:p w14:paraId="191DE495"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0.2705</w:t>
            </w:r>
          </w:p>
        </w:tc>
        <w:tc>
          <w:tcPr>
            <w:tcW w:w="1251" w:type="dxa"/>
          </w:tcPr>
          <w:p w14:paraId="2AD6DC6E"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0.7494**</w:t>
            </w:r>
          </w:p>
        </w:tc>
        <w:tc>
          <w:tcPr>
            <w:tcW w:w="1139" w:type="dxa"/>
          </w:tcPr>
          <w:p w14:paraId="0FD33990"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0.3149</w:t>
            </w:r>
          </w:p>
        </w:tc>
        <w:tc>
          <w:tcPr>
            <w:tcW w:w="1208" w:type="dxa"/>
          </w:tcPr>
          <w:p w14:paraId="3553F55F"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0.3061</w:t>
            </w:r>
          </w:p>
        </w:tc>
        <w:tc>
          <w:tcPr>
            <w:tcW w:w="1137" w:type="dxa"/>
          </w:tcPr>
          <w:p w14:paraId="70F90FDB"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0.3143</w:t>
            </w:r>
          </w:p>
        </w:tc>
      </w:tr>
      <w:tr w:rsidR="008D0CAD" w:rsidRPr="004213BA" w14:paraId="603DA5ED" w14:textId="77777777" w:rsidTr="0048024E">
        <w:trPr>
          <w:trHeight w:val="252"/>
        </w:trPr>
        <w:tc>
          <w:tcPr>
            <w:tcW w:w="1814" w:type="dxa"/>
          </w:tcPr>
          <w:p w14:paraId="0A49F7A0"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 xml:space="preserve">Inc Class: 4th </w:t>
            </w:r>
          </w:p>
        </w:tc>
        <w:tc>
          <w:tcPr>
            <w:tcW w:w="1248" w:type="dxa"/>
          </w:tcPr>
          <w:p w14:paraId="52AD6BD2"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0.3510</w:t>
            </w:r>
          </w:p>
        </w:tc>
        <w:tc>
          <w:tcPr>
            <w:tcW w:w="1016" w:type="dxa"/>
          </w:tcPr>
          <w:p w14:paraId="620E480E"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0.2691</w:t>
            </w:r>
          </w:p>
        </w:tc>
        <w:tc>
          <w:tcPr>
            <w:tcW w:w="1251" w:type="dxa"/>
          </w:tcPr>
          <w:p w14:paraId="58EF2916"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0.6314**</w:t>
            </w:r>
          </w:p>
        </w:tc>
        <w:tc>
          <w:tcPr>
            <w:tcW w:w="1139" w:type="dxa"/>
          </w:tcPr>
          <w:p w14:paraId="6A080F53"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0.3136</w:t>
            </w:r>
          </w:p>
        </w:tc>
        <w:tc>
          <w:tcPr>
            <w:tcW w:w="1208" w:type="dxa"/>
          </w:tcPr>
          <w:p w14:paraId="5240D74A"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0.3350</w:t>
            </w:r>
          </w:p>
        </w:tc>
        <w:tc>
          <w:tcPr>
            <w:tcW w:w="1137" w:type="dxa"/>
          </w:tcPr>
          <w:p w14:paraId="1C90208E"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0.3143</w:t>
            </w:r>
          </w:p>
        </w:tc>
      </w:tr>
      <w:tr w:rsidR="008D0CAD" w:rsidRPr="004213BA" w14:paraId="14CCF22D" w14:textId="77777777" w:rsidTr="0048024E">
        <w:trPr>
          <w:trHeight w:val="252"/>
        </w:trPr>
        <w:tc>
          <w:tcPr>
            <w:tcW w:w="1814" w:type="dxa"/>
          </w:tcPr>
          <w:p w14:paraId="381353BC"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 xml:space="preserve">Inc Class: 5th </w:t>
            </w:r>
          </w:p>
        </w:tc>
        <w:tc>
          <w:tcPr>
            <w:tcW w:w="1248" w:type="dxa"/>
          </w:tcPr>
          <w:p w14:paraId="58801695"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0.4193</w:t>
            </w:r>
          </w:p>
        </w:tc>
        <w:tc>
          <w:tcPr>
            <w:tcW w:w="1016" w:type="dxa"/>
          </w:tcPr>
          <w:p w14:paraId="44EF3050"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0.2860</w:t>
            </w:r>
          </w:p>
        </w:tc>
        <w:tc>
          <w:tcPr>
            <w:tcW w:w="1251" w:type="dxa"/>
          </w:tcPr>
          <w:p w14:paraId="271D5344"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0.6616**</w:t>
            </w:r>
          </w:p>
        </w:tc>
        <w:tc>
          <w:tcPr>
            <w:tcW w:w="1139" w:type="dxa"/>
          </w:tcPr>
          <w:p w14:paraId="2B102841"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0.3240</w:t>
            </w:r>
          </w:p>
        </w:tc>
        <w:tc>
          <w:tcPr>
            <w:tcW w:w="1208" w:type="dxa"/>
          </w:tcPr>
          <w:p w14:paraId="25E50335"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0.2963</w:t>
            </w:r>
          </w:p>
        </w:tc>
        <w:tc>
          <w:tcPr>
            <w:tcW w:w="1137" w:type="dxa"/>
          </w:tcPr>
          <w:p w14:paraId="5DB8C791"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0.3259</w:t>
            </w:r>
          </w:p>
        </w:tc>
      </w:tr>
      <w:tr w:rsidR="008D0CAD" w:rsidRPr="004213BA" w14:paraId="42BFF9D7" w14:textId="77777777" w:rsidTr="0048024E">
        <w:trPr>
          <w:trHeight w:val="240"/>
        </w:trPr>
        <w:tc>
          <w:tcPr>
            <w:tcW w:w="1814" w:type="dxa"/>
          </w:tcPr>
          <w:p w14:paraId="15735C6D"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 xml:space="preserve">Inc Class: 6th </w:t>
            </w:r>
          </w:p>
        </w:tc>
        <w:tc>
          <w:tcPr>
            <w:tcW w:w="1248" w:type="dxa"/>
          </w:tcPr>
          <w:p w14:paraId="05AD7E4B"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-1.0656**</w:t>
            </w:r>
          </w:p>
        </w:tc>
        <w:tc>
          <w:tcPr>
            <w:tcW w:w="1016" w:type="dxa"/>
          </w:tcPr>
          <w:p w14:paraId="6BD2BBAA"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0.4813</w:t>
            </w:r>
          </w:p>
        </w:tc>
        <w:tc>
          <w:tcPr>
            <w:tcW w:w="1251" w:type="dxa"/>
          </w:tcPr>
          <w:p w14:paraId="0E766059"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0.1258</w:t>
            </w:r>
          </w:p>
        </w:tc>
        <w:tc>
          <w:tcPr>
            <w:tcW w:w="1139" w:type="dxa"/>
          </w:tcPr>
          <w:p w14:paraId="6E5AE5E9"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0.7119</w:t>
            </w:r>
          </w:p>
        </w:tc>
        <w:tc>
          <w:tcPr>
            <w:tcW w:w="1208" w:type="dxa"/>
          </w:tcPr>
          <w:p w14:paraId="30330299"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0.1265</w:t>
            </w:r>
          </w:p>
        </w:tc>
        <w:tc>
          <w:tcPr>
            <w:tcW w:w="1137" w:type="dxa"/>
          </w:tcPr>
          <w:p w14:paraId="2FF7713D"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0.5757</w:t>
            </w:r>
          </w:p>
        </w:tc>
      </w:tr>
      <w:tr w:rsidR="008D0CAD" w:rsidRPr="004213BA" w14:paraId="7A001FB8" w14:textId="77777777" w:rsidTr="0048024E">
        <w:trPr>
          <w:trHeight w:val="252"/>
        </w:trPr>
        <w:tc>
          <w:tcPr>
            <w:tcW w:w="1814" w:type="dxa"/>
          </w:tcPr>
          <w:p w14:paraId="59E08E49"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ES Size: Large</w:t>
            </w:r>
          </w:p>
        </w:tc>
        <w:tc>
          <w:tcPr>
            <w:tcW w:w="1248" w:type="dxa"/>
          </w:tcPr>
          <w:p w14:paraId="16BF76EA"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-0.6707***</w:t>
            </w:r>
          </w:p>
        </w:tc>
        <w:tc>
          <w:tcPr>
            <w:tcW w:w="1016" w:type="dxa"/>
          </w:tcPr>
          <w:p w14:paraId="4A41B42B"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0.1491</w:t>
            </w:r>
          </w:p>
        </w:tc>
        <w:tc>
          <w:tcPr>
            <w:tcW w:w="1251" w:type="dxa"/>
          </w:tcPr>
          <w:p w14:paraId="55A9A232"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-0.5974***</w:t>
            </w:r>
          </w:p>
        </w:tc>
        <w:tc>
          <w:tcPr>
            <w:tcW w:w="1139" w:type="dxa"/>
          </w:tcPr>
          <w:p w14:paraId="67C04A6D"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0.1539</w:t>
            </w:r>
          </w:p>
        </w:tc>
        <w:tc>
          <w:tcPr>
            <w:tcW w:w="1208" w:type="dxa"/>
          </w:tcPr>
          <w:p w14:paraId="56F437E0"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-0.3299**</w:t>
            </w:r>
          </w:p>
        </w:tc>
        <w:tc>
          <w:tcPr>
            <w:tcW w:w="1137" w:type="dxa"/>
          </w:tcPr>
          <w:p w14:paraId="72106503"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0.1382</w:t>
            </w:r>
          </w:p>
        </w:tc>
      </w:tr>
      <w:tr w:rsidR="008D0CAD" w:rsidRPr="004213BA" w14:paraId="0BEC5234" w14:textId="77777777" w:rsidTr="0048024E">
        <w:trPr>
          <w:trHeight w:val="252"/>
        </w:trPr>
        <w:tc>
          <w:tcPr>
            <w:tcW w:w="1814" w:type="dxa"/>
          </w:tcPr>
          <w:p w14:paraId="71CDCAF4"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ES Size: Medium</w:t>
            </w:r>
          </w:p>
        </w:tc>
        <w:tc>
          <w:tcPr>
            <w:tcW w:w="1248" w:type="dxa"/>
          </w:tcPr>
          <w:p w14:paraId="7EEFEF3E"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-0.4532***</w:t>
            </w:r>
          </w:p>
        </w:tc>
        <w:tc>
          <w:tcPr>
            <w:tcW w:w="1016" w:type="dxa"/>
          </w:tcPr>
          <w:p w14:paraId="55BA206C"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0.0944</w:t>
            </w:r>
          </w:p>
        </w:tc>
        <w:tc>
          <w:tcPr>
            <w:tcW w:w="1251" w:type="dxa"/>
          </w:tcPr>
          <w:p w14:paraId="607AB5A9"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-0.4194***</w:t>
            </w:r>
          </w:p>
        </w:tc>
        <w:tc>
          <w:tcPr>
            <w:tcW w:w="1139" w:type="dxa"/>
          </w:tcPr>
          <w:p w14:paraId="5E97F9D9"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0.0885</w:t>
            </w:r>
          </w:p>
        </w:tc>
        <w:tc>
          <w:tcPr>
            <w:tcW w:w="1208" w:type="dxa"/>
          </w:tcPr>
          <w:p w14:paraId="0758D16D"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-0.2454**</w:t>
            </w:r>
          </w:p>
        </w:tc>
        <w:tc>
          <w:tcPr>
            <w:tcW w:w="1137" w:type="dxa"/>
          </w:tcPr>
          <w:p w14:paraId="75670308"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0.0948</w:t>
            </w:r>
          </w:p>
        </w:tc>
      </w:tr>
      <w:tr w:rsidR="008D0CAD" w:rsidRPr="004213BA" w14:paraId="7AB0AD3D" w14:textId="77777777" w:rsidTr="0048024E">
        <w:trPr>
          <w:trHeight w:val="240"/>
        </w:trPr>
        <w:tc>
          <w:tcPr>
            <w:tcW w:w="1814" w:type="dxa"/>
          </w:tcPr>
          <w:p w14:paraId="041A57F5"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ES Size: Very Large</w:t>
            </w:r>
          </w:p>
        </w:tc>
        <w:tc>
          <w:tcPr>
            <w:tcW w:w="1248" w:type="dxa"/>
          </w:tcPr>
          <w:p w14:paraId="01ACF4ED"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-1.1414***</w:t>
            </w:r>
          </w:p>
        </w:tc>
        <w:tc>
          <w:tcPr>
            <w:tcW w:w="1016" w:type="dxa"/>
          </w:tcPr>
          <w:p w14:paraId="633CCDEF"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0.1631</w:t>
            </w:r>
          </w:p>
        </w:tc>
        <w:tc>
          <w:tcPr>
            <w:tcW w:w="1251" w:type="dxa"/>
          </w:tcPr>
          <w:p w14:paraId="2EB53F9D"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-1.0523***</w:t>
            </w:r>
          </w:p>
        </w:tc>
        <w:tc>
          <w:tcPr>
            <w:tcW w:w="1139" w:type="dxa"/>
          </w:tcPr>
          <w:p w14:paraId="7A564931"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0.1876</w:t>
            </w:r>
          </w:p>
        </w:tc>
        <w:tc>
          <w:tcPr>
            <w:tcW w:w="1208" w:type="dxa"/>
          </w:tcPr>
          <w:p w14:paraId="5B42D0DD"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-0.5410**</w:t>
            </w:r>
          </w:p>
        </w:tc>
        <w:tc>
          <w:tcPr>
            <w:tcW w:w="1137" w:type="dxa"/>
          </w:tcPr>
          <w:p w14:paraId="2D539610"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0.2158</w:t>
            </w:r>
          </w:p>
        </w:tc>
      </w:tr>
      <w:tr w:rsidR="008D0CAD" w:rsidRPr="004213BA" w14:paraId="02E21CE3" w14:textId="77777777" w:rsidTr="0048024E">
        <w:trPr>
          <w:trHeight w:val="252"/>
        </w:trPr>
        <w:tc>
          <w:tcPr>
            <w:tcW w:w="1814" w:type="dxa"/>
          </w:tcPr>
          <w:p w14:paraId="66F2FDA9"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Partially Urban</w:t>
            </w:r>
          </w:p>
        </w:tc>
        <w:tc>
          <w:tcPr>
            <w:tcW w:w="1248" w:type="dxa"/>
          </w:tcPr>
          <w:p w14:paraId="12FA2A05"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0.0676</w:t>
            </w:r>
          </w:p>
        </w:tc>
        <w:tc>
          <w:tcPr>
            <w:tcW w:w="1016" w:type="dxa"/>
          </w:tcPr>
          <w:p w14:paraId="222AAB54"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0.1541</w:t>
            </w:r>
          </w:p>
        </w:tc>
        <w:tc>
          <w:tcPr>
            <w:tcW w:w="1251" w:type="dxa"/>
          </w:tcPr>
          <w:p w14:paraId="59FB811E"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-0.0307</w:t>
            </w:r>
          </w:p>
        </w:tc>
        <w:tc>
          <w:tcPr>
            <w:tcW w:w="1139" w:type="dxa"/>
          </w:tcPr>
          <w:p w14:paraId="2095404E"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0.1676</w:t>
            </w:r>
          </w:p>
        </w:tc>
        <w:tc>
          <w:tcPr>
            <w:tcW w:w="1208" w:type="dxa"/>
          </w:tcPr>
          <w:p w14:paraId="18D0B31A"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0.1572</w:t>
            </w:r>
          </w:p>
        </w:tc>
        <w:tc>
          <w:tcPr>
            <w:tcW w:w="1137" w:type="dxa"/>
          </w:tcPr>
          <w:p w14:paraId="197399DB"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0.1562</w:t>
            </w:r>
          </w:p>
        </w:tc>
      </w:tr>
      <w:tr w:rsidR="008D0CAD" w:rsidRPr="004213BA" w14:paraId="1F62EC0D" w14:textId="77777777" w:rsidTr="0048024E">
        <w:trPr>
          <w:trHeight w:val="252"/>
        </w:trPr>
        <w:tc>
          <w:tcPr>
            <w:tcW w:w="1814" w:type="dxa"/>
          </w:tcPr>
          <w:p w14:paraId="377AD807"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Urban</w:t>
            </w:r>
          </w:p>
        </w:tc>
        <w:tc>
          <w:tcPr>
            <w:tcW w:w="1248" w:type="dxa"/>
          </w:tcPr>
          <w:p w14:paraId="7EBE5AC9"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-0.2474</w:t>
            </w:r>
          </w:p>
        </w:tc>
        <w:tc>
          <w:tcPr>
            <w:tcW w:w="1016" w:type="dxa"/>
          </w:tcPr>
          <w:p w14:paraId="67ADC47B"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0.2098</w:t>
            </w:r>
          </w:p>
        </w:tc>
        <w:tc>
          <w:tcPr>
            <w:tcW w:w="1251" w:type="dxa"/>
          </w:tcPr>
          <w:p w14:paraId="10579F71"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-0.1613</w:t>
            </w:r>
          </w:p>
        </w:tc>
        <w:tc>
          <w:tcPr>
            <w:tcW w:w="1139" w:type="dxa"/>
          </w:tcPr>
          <w:p w14:paraId="0C8C7617"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0.2215</w:t>
            </w:r>
          </w:p>
        </w:tc>
        <w:tc>
          <w:tcPr>
            <w:tcW w:w="1208" w:type="dxa"/>
          </w:tcPr>
          <w:p w14:paraId="039B0123"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0.2679</w:t>
            </w:r>
          </w:p>
        </w:tc>
        <w:tc>
          <w:tcPr>
            <w:tcW w:w="1137" w:type="dxa"/>
          </w:tcPr>
          <w:p w14:paraId="6C8758B4"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0.2113</w:t>
            </w:r>
          </w:p>
        </w:tc>
      </w:tr>
      <w:tr w:rsidR="008D0CAD" w:rsidRPr="004213BA" w14:paraId="53C8951F" w14:textId="77777777" w:rsidTr="0048024E">
        <w:trPr>
          <w:trHeight w:val="240"/>
        </w:trPr>
        <w:tc>
          <w:tcPr>
            <w:tcW w:w="1814" w:type="dxa"/>
          </w:tcPr>
          <w:p w14:paraId="31066F89"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Region 10</w:t>
            </w:r>
          </w:p>
        </w:tc>
        <w:tc>
          <w:tcPr>
            <w:tcW w:w="1248" w:type="dxa"/>
          </w:tcPr>
          <w:p w14:paraId="5EF1B92D"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-0.0898</w:t>
            </w:r>
          </w:p>
        </w:tc>
        <w:tc>
          <w:tcPr>
            <w:tcW w:w="1016" w:type="dxa"/>
          </w:tcPr>
          <w:p w14:paraId="7A59EE74"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0.2614</w:t>
            </w:r>
          </w:p>
        </w:tc>
        <w:tc>
          <w:tcPr>
            <w:tcW w:w="1251" w:type="dxa"/>
          </w:tcPr>
          <w:p w14:paraId="671DC2B0"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-0.7790**</w:t>
            </w:r>
          </w:p>
        </w:tc>
        <w:tc>
          <w:tcPr>
            <w:tcW w:w="1139" w:type="dxa"/>
          </w:tcPr>
          <w:p w14:paraId="7BC2BF2A"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0.3189</w:t>
            </w:r>
          </w:p>
        </w:tc>
        <w:tc>
          <w:tcPr>
            <w:tcW w:w="1208" w:type="dxa"/>
          </w:tcPr>
          <w:p w14:paraId="792C974E"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0.0548</w:t>
            </w:r>
          </w:p>
        </w:tc>
        <w:tc>
          <w:tcPr>
            <w:tcW w:w="1137" w:type="dxa"/>
          </w:tcPr>
          <w:p w14:paraId="3EB57EA7"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0.2895</w:t>
            </w:r>
          </w:p>
        </w:tc>
      </w:tr>
      <w:tr w:rsidR="008D0CAD" w:rsidRPr="004213BA" w14:paraId="7A72B75F" w14:textId="77777777" w:rsidTr="0048024E">
        <w:trPr>
          <w:trHeight w:val="252"/>
        </w:trPr>
        <w:tc>
          <w:tcPr>
            <w:tcW w:w="1814" w:type="dxa"/>
          </w:tcPr>
          <w:p w14:paraId="510DB8E7"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Region 5</w:t>
            </w:r>
          </w:p>
        </w:tc>
        <w:tc>
          <w:tcPr>
            <w:tcW w:w="1248" w:type="dxa"/>
          </w:tcPr>
          <w:p w14:paraId="167B4C50"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0.1943</w:t>
            </w:r>
          </w:p>
        </w:tc>
        <w:tc>
          <w:tcPr>
            <w:tcW w:w="1016" w:type="dxa"/>
          </w:tcPr>
          <w:p w14:paraId="132B5D1A"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0.2556</w:t>
            </w:r>
          </w:p>
        </w:tc>
        <w:tc>
          <w:tcPr>
            <w:tcW w:w="1251" w:type="dxa"/>
          </w:tcPr>
          <w:p w14:paraId="019F5F3A"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-0.0559</w:t>
            </w:r>
          </w:p>
        </w:tc>
        <w:tc>
          <w:tcPr>
            <w:tcW w:w="1139" w:type="dxa"/>
          </w:tcPr>
          <w:p w14:paraId="5A14F110"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0.3121</w:t>
            </w:r>
          </w:p>
        </w:tc>
        <w:tc>
          <w:tcPr>
            <w:tcW w:w="1208" w:type="dxa"/>
          </w:tcPr>
          <w:p w14:paraId="7070C71B"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0.4887*</w:t>
            </w:r>
          </w:p>
        </w:tc>
        <w:tc>
          <w:tcPr>
            <w:tcW w:w="1137" w:type="dxa"/>
          </w:tcPr>
          <w:p w14:paraId="31934960"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0.2874</w:t>
            </w:r>
          </w:p>
        </w:tc>
      </w:tr>
      <w:tr w:rsidR="008D0CAD" w:rsidRPr="004213BA" w14:paraId="23342091" w14:textId="77777777" w:rsidTr="0048024E">
        <w:trPr>
          <w:trHeight w:val="252"/>
        </w:trPr>
        <w:tc>
          <w:tcPr>
            <w:tcW w:w="1814" w:type="dxa"/>
          </w:tcPr>
          <w:p w14:paraId="1DF1AD00"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Region 6</w:t>
            </w:r>
          </w:p>
        </w:tc>
        <w:tc>
          <w:tcPr>
            <w:tcW w:w="1248" w:type="dxa"/>
          </w:tcPr>
          <w:p w14:paraId="5B86ABA5"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-0.4902**</w:t>
            </w:r>
          </w:p>
        </w:tc>
        <w:tc>
          <w:tcPr>
            <w:tcW w:w="1016" w:type="dxa"/>
          </w:tcPr>
          <w:p w14:paraId="5873C031"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0.2439</w:t>
            </w:r>
          </w:p>
        </w:tc>
        <w:tc>
          <w:tcPr>
            <w:tcW w:w="1251" w:type="dxa"/>
          </w:tcPr>
          <w:p w14:paraId="6BA0FD2D"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-0.8253***</w:t>
            </w:r>
          </w:p>
        </w:tc>
        <w:tc>
          <w:tcPr>
            <w:tcW w:w="1139" w:type="dxa"/>
          </w:tcPr>
          <w:p w14:paraId="1A1D9E56"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0.3039</w:t>
            </w:r>
          </w:p>
        </w:tc>
        <w:tc>
          <w:tcPr>
            <w:tcW w:w="1208" w:type="dxa"/>
          </w:tcPr>
          <w:p w14:paraId="7D500DCC"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-0.1727</w:t>
            </w:r>
          </w:p>
        </w:tc>
        <w:tc>
          <w:tcPr>
            <w:tcW w:w="1137" w:type="dxa"/>
          </w:tcPr>
          <w:p w14:paraId="032E5309"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0.2803</w:t>
            </w:r>
          </w:p>
        </w:tc>
      </w:tr>
      <w:tr w:rsidR="008D0CAD" w:rsidRPr="004213BA" w14:paraId="78EC1ACB" w14:textId="77777777" w:rsidTr="0048024E">
        <w:trPr>
          <w:trHeight w:val="252"/>
        </w:trPr>
        <w:tc>
          <w:tcPr>
            <w:tcW w:w="1814" w:type="dxa"/>
          </w:tcPr>
          <w:p w14:paraId="21D2192C"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Region7</w:t>
            </w:r>
          </w:p>
        </w:tc>
        <w:tc>
          <w:tcPr>
            <w:tcW w:w="1248" w:type="dxa"/>
          </w:tcPr>
          <w:p w14:paraId="141C63D6"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1.0098***</w:t>
            </w:r>
          </w:p>
        </w:tc>
        <w:tc>
          <w:tcPr>
            <w:tcW w:w="1016" w:type="dxa"/>
          </w:tcPr>
          <w:p w14:paraId="202EBAB9"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0.2481</w:t>
            </w:r>
          </w:p>
        </w:tc>
        <w:tc>
          <w:tcPr>
            <w:tcW w:w="1251" w:type="dxa"/>
          </w:tcPr>
          <w:p w14:paraId="3BBE049A"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0.6550**</w:t>
            </w:r>
          </w:p>
        </w:tc>
        <w:tc>
          <w:tcPr>
            <w:tcW w:w="1139" w:type="dxa"/>
          </w:tcPr>
          <w:p w14:paraId="03C36709"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0.3072</w:t>
            </w:r>
          </w:p>
        </w:tc>
        <w:tc>
          <w:tcPr>
            <w:tcW w:w="1208" w:type="dxa"/>
          </w:tcPr>
          <w:p w14:paraId="7A5464A3"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1.0657</w:t>
            </w:r>
          </w:p>
        </w:tc>
        <w:tc>
          <w:tcPr>
            <w:tcW w:w="1137" w:type="dxa"/>
          </w:tcPr>
          <w:p w14:paraId="12A5AD0A"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0.2809</w:t>
            </w:r>
          </w:p>
        </w:tc>
      </w:tr>
      <w:tr w:rsidR="008D0CAD" w:rsidRPr="004213BA" w14:paraId="4D510CAE" w14:textId="77777777" w:rsidTr="0048024E">
        <w:trPr>
          <w:trHeight w:val="240"/>
        </w:trPr>
        <w:tc>
          <w:tcPr>
            <w:tcW w:w="1814" w:type="dxa"/>
          </w:tcPr>
          <w:p w14:paraId="14CCC680"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Region 8</w:t>
            </w:r>
          </w:p>
        </w:tc>
        <w:tc>
          <w:tcPr>
            <w:tcW w:w="1248" w:type="dxa"/>
          </w:tcPr>
          <w:p w14:paraId="0EE7CD95"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-0.0815</w:t>
            </w:r>
          </w:p>
        </w:tc>
        <w:tc>
          <w:tcPr>
            <w:tcW w:w="1016" w:type="dxa"/>
          </w:tcPr>
          <w:p w14:paraId="6DC67FA1"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0.2566</w:t>
            </w:r>
          </w:p>
        </w:tc>
        <w:tc>
          <w:tcPr>
            <w:tcW w:w="1251" w:type="dxa"/>
          </w:tcPr>
          <w:p w14:paraId="731B2DA9"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-0.4039</w:t>
            </w:r>
          </w:p>
        </w:tc>
        <w:tc>
          <w:tcPr>
            <w:tcW w:w="1139" w:type="dxa"/>
          </w:tcPr>
          <w:p w14:paraId="74B39511"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0.3151</w:t>
            </w:r>
          </w:p>
        </w:tc>
        <w:tc>
          <w:tcPr>
            <w:tcW w:w="1208" w:type="dxa"/>
          </w:tcPr>
          <w:p w14:paraId="286AA3F0"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0.4657***</w:t>
            </w:r>
          </w:p>
        </w:tc>
        <w:tc>
          <w:tcPr>
            <w:tcW w:w="1137" w:type="dxa"/>
          </w:tcPr>
          <w:p w14:paraId="1E200448"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0.2905</w:t>
            </w:r>
          </w:p>
        </w:tc>
      </w:tr>
      <w:tr w:rsidR="008D0CAD" w:rsidRPr="004213BA" w14:paraId="54257853" w14:textId="77777777" w:rsidTr="00FF4CA3">
        <w:trPr>
          <w:trHeight w:val="252"/>
        </w:trPr>
        <w:tc>
          <w:tcPr>
            <w:tcW w:w="1814" w:type="dxa"/>
          </w:tcPr>
          <w:p w14:paraId="396056D6"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sz w:val="20"/>
                <w:szCs w:val="20"/>
                <w:lang w:val="en-US" w:eastAsia="zh-CN" w:bidi="hi-IN"/>
              </w:rPr>
            </w:pPr>
            <w:r w:rsidRPr="004213BA">
              <w:rPr>
                <w:rFonts w:ascii="Calibri Light" w:eastAsiaTheme="minorEastAsia" w:hAnsi="Calibri Light" w:cs="Calibri Light"/>
                <w:sz w:val="20"/>
                <w:szCs w:val="20"/>
                <w:lang w:val="en-US" w:eastAsia="zh-CN" w:bidi="hi-IN"/>
              </w:rPr>
              <w:t>Constant</w:t>
            </w:r>
          </w:p>
        </w:tc>
        <w:tc>
          <w:tcPr>
            <w:tcW w:w="1248" w:type="dxa"/>
            <w:tcBorders>
              <w:bottom w:val="single" w:sz="4" w:space="0" w:color="auto"/>
            </w:tcBorders>
          </w:tcPr>
          <w:p w14:paraId="3FF03199"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3.3207</w:t>
            </w:r>
          </w:p>
        </w:tc>
        <w:tc>
          <w:tcPr>
            <w:tcW w:w="1016" w:type="dxa"/>
          </w:tcPr>
          <w:p w14:paraId="7CAB9CF6"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0.2412</w:t>
            </w:r>
          </w:p>
        </w:tc>
        <w:tc>
          <w:tcPr>
            <w:tcW w:w="1251" w:type="dxa"/>
            <w:tcBorders>
              <w:bottom w:val="single" w:sz="4" w:space="0" w:color="auto"/>
            </w:tcBorders>
          </w:tcPr>
          <w:p w14:paraId="5EB17629"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3.2517</w:t>
            </w:r>
          </w:p>
        </w:tc>
        <w:tc>
          <w:tcPr>
            <w:tcW w:w="1139" w:type="dxa"/>
          </w:tcPr>
          <w:p w14:paraId="590EF935"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0.2715</w:t>
            </w:r>
          </w:p>
        </w:tc>
        <w:tc>
          <w:tcPr>
            <w:tcW w:w="1208" w:type="dxa"/>
            <w:tcBorders>
              <w:bottom w:val="single" w:sz="4" w:space="0" w:color="auto"/>
            </w:tcBorders>
          </w:tcPr>
          <w:p w14:paraId="2E7B38D4"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2.1124</w:t>
            </w:r>
          </w:p>
        </w:tc>
        <w:tc>
          <w:tcPr>
            <w:tcW w:w="1137" w:type="dxa"/>
          </w:tcPr>
          <w:p w14:paraId="483FD6EF" w14:textId="77777777" w:rsidR="008D0CAD" w:rsidRPr="004213BA" w:rsidRDefault="008D0CAD" w:rsidP="00796BFA">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0.2970</w:t>
            </w:r>
          </w:p>
        </w:tc>
      </w:tr>
      <w:tr w:rsidR="006F245D" w:rsidRPr="004213BA" w14:paraId="22C69F6B" w14:textId="77777777" w:rsidTr="00FF4CA3">
        <w:trPr>
          <w:trHeight w:val="252"/>
        </w:trPr>
        <w:tc>
          <w:tcPr>
            <w:tcW w:w="1814" w:type="dxa"/>
          </w:tcPr>
          <w:p w14:paraId="665F3E64" w14:textId="57B2379B" w:rsidR="006F245D" w:rsidRPr="004213BA" w:rsidRDefault="006F245D" w:rsidP="00796BFA">
            <w:pPr>
              <w:spacing w:before="100" w:beforeAutospacing="1" w:after="100" w:afterAutospacing="1" w:line="360" w:lineRule="auto"/>
              <w:rPr>
                <w:rFonts w:ascii="Calibri Light" w:eastAsiaTheme="minorEastAsia" w:hAnsi="Calibri Light" w:cs="Calibri Light"/>
                <w:sz w:val="20"/>
                <w:szCs w:val="20"/>
                <w:lang w:val="en-US" w:eastAsia="zh-CN" w:bidi="hi-IN"/>
              </w:rPr>
            </w:pPr>
            <w:r>
              <w:rPr>
                <w:rFonts w:ascii="Calibri Light" w:eastAsiaTheme="minorEastAsia" w:hAnsi="Calibri Light" w:cs="Calibri Light"/>
                <w:sz w:val="20"/>
                <w:szCs w:val="20"/>
                <w:lang w:val="en-US" w:eastAsia="zh-CN" w:bidi="hi-IN"/>
              </w:rPr>
              <w:t>No. of observations</w:t>
            </w:r>
          </w:p>
        </w:tc>
        <w:tc>
          <w:tcPr>
            <w:tcW w:w="1248" w:type="dxa"/>
            <w:tcBorders>
              <w:right w:val="nil"/>
            </w:tcBorders>
          </w:tcPr>
          <w:p w14:paraId="6EE96DD9" w14:textId="70118A36" w:rsidR="006F245D" w:rsidRPr="004213BA" w:rsidRDefault="006F245D" w:rsidP="00796BFA">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6,318</w:t>
            </w:r>
          </w:p>
        </w:tc>
        <w:tc>
          <w:tcPr>
            <w:tcW w:w="1016" w:type="dxa"/>
            <w:tcBorders>
              <w:left w:val="nil"/>
            </w:tcBorders>
          </w:tcPr>
          <w:p w14:paraId="0C2810C7" w14:textId="77777777" w:rsidR="006F245D" w:rsidRPr="004213BA" w:rsidRDefault="006F245D" w:rsidP="00796BFA">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p>
        </w:tc>
        <w:tc>
          <w:tcPr>
            <w:tcW w:w="1251" w:type="dxa"/>
            <w:tcBorders>
              <w:right w:val="nil"/>
            </w:tcBorders>
          </w:tcPr>
          <w:p w14:paraId="781847FB" w14:textId="293375EC" w:rsidR="006F245D" w:rsidRPr="004213BA" w:rsidRDefault="006F245D" w:rsidP="00796BFA">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6,318</w:t>
            </w:r>
          </w:p>
        </w:tc>
        <w:tc>
          <w:tcPr>
            <w:tcW w:w="1139" w:type="dxa"/>
            <w:tcBorders>
              <w:left w:val="nil"/>
            </w:tcBorders>
          </w:tcPr>
          <w:p w14:paraId="568E5008" w14:textId="77777777" w:rsidR="006F245D" w:rsidRPr="004213BA" w:rsidRDefault="006F245D" w:rsidP="00796BFA">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p>
        </w:tc>
        <w:tc>
          <w:tcPr>
            <w:tcW w:w="1208" w:type="dxa"/>
            <w:tcBorders>
              <w:right w:val="nil"/>
            </w:tcBorders>
          </w:tcPr>
          <w:p w14:paraId="2CA139D2" w14:textId="363F9B6D" w:rsidR="006F245D" w:rsidRPr="004213BA" w:rsidRDefault="006F245D" w:rsidP="00796BFA">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r w:rsidRPr="004213BA">
              <w:rPr>
                <w:rFonts w:ascii="Calibri Light" w:eastAsiaTheme="minorEastAsia" w:hAnsi="Calibri Light" w:cs="Calibri Light"/>
                <w:color w:val="000000"/>
                <w:sz w:val="20"/>
                <w:szCs w:val="20"/>
                <w:lang w:val="en-US" w:eastAsia="zh-CN" w:bidi="hi-IN"/>
              </w:rPr>
              <w:t>6,318</w:t>
            </w:r>
          </w:p>
        </w:tc>
        <w:tc>
          <w:tcPr>
            <w:tcW w:w="1137" w:type="dxa"/>
            <w:tcBorders>
              <w:left w:val="nil"/>
            </w:tcBorders>
          </w:tcPr>
          <w:p w14:paraId="4033EAE1" w14:textId="77777777" w:rsidR="006F245D" w:rsidRPr="004213BA" w:rsidRDefault="006F245D" w:rsidP="00796BFA">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p>
        </w:tc>
      </w:tr>
      <w:tr w:rsidR="008A5308" w:rsidRPr="004213BA" w14:paraId="7F557170" w14:textId="77777777" w:rsidTr="00FF4CA3">
        <w:trPr>
          <w:trHeight w:val="252"/>
        </w:trPr>
        <w:tc>
          <w:tcPr>
            <w:tcW w:w="1814" w:type="dxa"/>
          </w:tcPr>
          <w:p w14:paraId="29896735" w14:textId="298A8777" w:rsidR="008A5308" w:rsidRDefault="008A5308" w:rsidP="008A5308">
            <w:pPr>
              <w:spacing w:before="100" w:beforeAutospacing="1" w:after="100" w:afterAutospacing="1" w:line="360" w:lineRule="auto"/>
              <w:rPr>
                <w:rFonts w:ascii="Calibri Light" w:eastAsiaTheme="minorEastAsia" w:hAnsi="Calibri Light" w:cs="Calibri Light"/>
                <w:sz w:val="20"/>
                <w:szCs w:val="20"/>
                <w:lang w:val="en-US" w:eastAsia="zh-CN" w:bidi="hi-IN"/>
              </w:rPr>
            </w:pPr>
            <w:r w:rsidRPr="004213BA">
              <w:rPr>
                <w:rFonts w:ascii="Calibri Light" w:eastAsiaTheme="minorEastAsia" w:hAnsi="Calibri Light" w:cs="Calibri Light"/>
                <w:sz w:val="20"/>
                <w:szCs w:val="20"/>
                <w:lang w:val="en-US" w:eastAsia="zh-CN" w:bidi="hi-IN"/>
              </w:rPr>
              <w:t>F-test Significance</w:t>
            </w:r>
          </w:p>
        </w:tc>
        <w:tc>
          <w:tcPr>
            <w:tcW w:w="1248" w:type="dxa"/>
            <w:tcBorders>
              <w:right w:val="nil"/>
            </w:tcBorders>
          </w:tcPr>
          <w:p w14:paraId="17491786" w14:textId="427BA9E3" w:rsidR="008A5308" w:rsidRPr="004213BA" w:rsidRDefault="008A5308" w:rsidP="008A5308">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r w:rsidRPr="004213BA">
              <w:rPr>
                <w:rFonts w:ascii="Calibri Light" w:hAnsi="Calibri Light" w:cs="Calibri Light"/>
                <w:color w:val="000000"/>
                <w:sz w:val="20"/>
                <w:szCs w:val="20"/>
                <w:lang w:val="en-US"/>
              </w:rPr>
              <w:t>***</w:t>
            </w:r>
          </w:p>
        </w:tc>
        <w:tc>
          <w:tcPr>
            <w:tcW w:w="1016" w:type="dxa"/>
            <w:tcBorders>
              <w:left w:val="nil"/>
            </w:tcBorders>
          </w:tcPr>
          <w:p w14:paraId="6A183D27" w14:textId="0A7EDADE" w:rsidR="008A5308" w:rsidRPr="004213BA" w:rsidRDefault="008A5308" w:rsidP="008A5308">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p>
        </w:tc>
        <w:tc>
          <w:tcPr>
            <w:tcW w:w="1251" w:type="dxa"/>
            <w:tcBorders>
              <w:right w:val="nil"/>
            </w:tcBorders>
          </w:tcPr>
          <w:p w14:paraId="3EEEFA54" w14:textId="035D96A1" w:rsidR="008A5308" w:rsidRPr="004213BA" w:rsidRDefault="008A5308" w:rsidP="008A5308">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r w:rsidRPr="004213BA">
              <w:rPr>
                <w:rFonts w:ascii="Calibri Light" w:hAnsi="Calibri Light" w:cs="Calibri Light"/>
                <w:color w:val="000000"/>
                <w:sz w:val="20"/>
                <w:szCs w:val="20"/>
                <w:lang w:val="en-US"/>
              </w:rPr>
              <w:t>***</w:t>
            </w:r>
          </w:p>
        </w:tc>
        <w:tc>
          <w:tcPr>
            <w:tcW w:w="1139" w:type="dxa"/>
            <w:tcBorders>
              <w:left w:val="nil"/>
            </w:tcBorders>
          </w:tcPr>
          <w:p w14:paraId="71063756" w14:textId="77777777" w:rsidR="008A5308" w:rsidRPr="004213BA" w:rsidRDefault="008A5308" w:rsidP="008A5308">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p>
        </w:tc>
        <w:tc>
          <w:tcPr>
            <w:tcW w:w="1208" w:type="dxa"/>
            <w:tcBorders>
              <w:right w:val="nil"/>
            </w:tcBorders>
          </w:tcPr>
          <w:p w14:paraId="1685E1BF" w14:textId="3F9F2E2C" w:rsidR="008A5308" w:rsidRPr="004213BA" w:rsidRDefault="008A5308" w:rsidP="008A5308">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r w:rsidRPr="004213BA">
              <w:rPr>
                <w:rFonts w:ascii="Calibri Light" w:hAnsi="Calibri Light" w:cs="Calibri Light"/>
                <w:color w:val="000000"/>
                <w:sz w:val="20"/>
                <w:szCs w:val="20"/>
                <w:lang w:val="en-US"/>
              </w:rPr>
              <w:t>***</w:t>
            </w:r>
          </w:p>
        </w:tc>
        <w:tc>
          <w:tcPr>
            <w:tcW w:w="1137" w:type="dxa"/>
            <w:tcBorders>
              <w:left w:val="nil"/>
            </w:tcBorders>
          </w:tcPr>
          <w:p w14:paraId="29320779" w14:textId="77777777" w:rsidR="008A5308" w:rsidRPr="004213BA" w:rsidRDefault="008A5308" w:rsidP="008A5308">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p>
        </w:tc>
      </w:tr>
      <w:tr w:rsidR="00E77AC1" w:rsidRPr="004213BA" w14:paraId="2B8652F4" w14:textId="77777777" w:rsidTr="00FF4CA3">
        <w:trPr>
          <w:trHeight w:val="252"/>
        </w:trPr>
        <w:tc>
          <w:tcPr>
            <w:tcW w:w="1814" w:type="dxa"/>
          </w:tcPr>
          <w:p w14:paraId="74044237" w14:textId="4C25310A" w:rsidR="00E77AC1" w:rsidRPr="004213BA" w:rsidRDefault="00E77AC1" w:rsidP="008A5308">
            <w:pPr>
              <w:spacing w:before="100" w:beforeAutospacing="1" w:after="100" w:afterAutospacing="1" w:line="360" w:lineRule="auto"/>
              <w:rPr>
                <w:rFonts w:ascii="Calibri Light" w:eastAsiaTheme="minorEastAsia" w:hAnsi="Calibri Light" w:cs="Calibri Light"/>
                <w:sz w:val="20"/>
                <w:szCs w:val="20"/>
                <w:lang w:val="en-US" w:eastAsia="zh-CN" w:bidi="hi-IN"/>
              </w:rPr>
            </w:pPr>
            <w:r w:rsidRPr="004213BA">
              <w:rPr>
                <w:rFonts w:ascii="Calibri Light" w:eastAsiaTheme="minorEastAsia" w:hAnsi="Calibri Light" w:cs="Calibri Light"/>
                <w:sz w:val="20"/>
                <w:szCs w:val="20"/>
                <w:lang w:val="en-US" w:eastAsia="zh-CN" w:bidi="hi-IN"/>
              </w:rPr>
              <w:t>R-squared</w:t>
            </w:r>
          </w:p>
        </w:tc>
        <w:tc>
          <w:tcPr>
            <w:tcW w:w="1248" w:type="dxa"/>
            <w:tcBorders>
              <w:right w:val="nil"/>
            </w:tcBorders>
          </w:tcPr>
          <w:p w14:paraId="626D24ED" w14:textId="0ADEE4CF" w:rsidR="00E77AC1" w:rsidRPr="004213BA" w:rsidRDefault="00E77AC1" w:rsidP="008A5308">
            <w:pPr>
              <w:spacing w:before="100" w:beforeAutospacing="1" w:after="100" w:afterAutospacing="1" w:line="360" w:lineRule="auto"/>
              <w:rPr>
                <w:rFonts w:ascii="Calibri Light" w:hAnsi="Calibri Light" w:cs="Calibri Light"/>
                <w:color w:val="000000"/>
                <w:sz w:val="20"/>
                <w:szCs w:val="20"/>
                <w:lang w:val="en-US"/>
              </w:rPr>
            </w:pPr>
            <w:r w:rsidRPr="004213BA">
              <w:rPr>
                <w:rFonts w:ascii="Calibri Light" w:hAnsi="Calibri Light" w:cs="Calibri Light"/>
                <w:color w:val="000000"/>
                <w:sz w:val="20"/>
                <w:szCs w:val="20"/>
                <w:lang w:val="en-US"/>
              </w:rPr>
              <w:t>0.0721</w:t>
            </w:r>
          </w:p>
        </w:tc>
        <w:tc>
          <w:tcPr>
            <w:tcW w:w="1016" w:type="dxa"/>
            <w:tcBorders>
              <w:left w:val="nil"/>
            </w:tcBorders>
          </w:tcPr>
          <w:p w14:paraId="102E7623" w14:textId="77777777" w:rsidR="00E77AC1" w:rsidRPr="004213BA" w:rsidRDefault="00E77AC1" w:rsidP="008A5308">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p>
        </w:tc>
        <w:tc>
          <w:tcPr>
            <w:tcW w:w="1251" w:type="dxa"/>
            <w:tcBorders>
              <w:right w:val="nil"/>
            </w:tcBorders>
          </w:tcPr>
          <w:p w14:paraId="6176CE9E" w14:textId="2BC1DA46" w:rsidR="00E77AC1" w:rsidRPr="004213BA" w:rsidRDefault="00E77AC1" w:rsidP="008A5308">
            <w:pPr>
              <w:spacing w:before="100" w:beforeAutospacing="1" w:after="100" w:afterAutospacing="1" w:line="360" w:lineRule="auto"/>
              <w:rPr>
                <w:rFonts w:ascii="Calibri Light" w:hAnsi="Calibri Light" w:cs="Calibri Light"/>
                <w:color w:val="000000"/>
                <w:sz w:val="20"/>
                <w:szCs w:val="20"/>
                <w:lang w:val="en-US"/>
              </w:rPr>
            </w:pPr>
            <w:r w:rsidRPr="004213BA">
              <w:rPr>
                <w:rFonts w:ascii="Calibri Light" w:hAnsi="Calibri Light" w:cs="Calibri Light"/>
                <w:color w:val="000000"/>
                <w:sz w:val="20"/>
                <w:szCs w:val="20"/>
                <w:lang w:val="en-US"/>
              </w:rPr>
              <w:t>0.0653</w:t>
            </w:r>
          </w:p>
        </w:tc>
        <w:tc>
          <w:tcPr>
            <w:tcW w:w="1139" w:type="dxa"/>
            <w:tcBorders>
              <w:left w:val="nil"/>
            </w:tcBorders>
          </w:tcPr>
          <w:p w14:paraId="25E15C31" w14:textId="77777777" w:rsidR="00E77AC1" w:rsidRPr="004213BA" w:rsidRDefault="00E77AC1" w:rsidP="008A5308">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p>
        </w:tc>
        <w:tc>
          <w:tcPr>
            <w:tcW w:w="1208" w:type="dxa"/>
            <w:tcBorders>
              <w:right w:val="nil"/>
            </w:tcBorders>
          </w:tcPr>
          <w:p w14:paraId="519A80A4" w14:textId="6B3902CD" w:rsidR="00E77AC1" w:rsidRPr="004213BA" w:rsidRDefault="00E77AC1" w:rsidP="008A5308">
            <w:pPr>
              <w:spacing w:before="100" w:beforeAutospacing="1" w:after="100" w:afterAutospacing="1" w:line="360" w:lineRule="auto"/>
              <w:rPr>
                <w:rFonts w:ascii="Calibri Light" w:hAnsi="Calibri Light" w:cs="Calibri Light"/>
                <w:color w:val="000000"/>
                <w:sz w:val="20"/>
                <w:szCs w:val="20"/>
                <w:lang w:val="en-US"/>
              </w:rPr>
            </w:pPr>
            <w:r w:rsidRPr="004213BA">
              <w:rPr>
                <w:rFonts w:ascii="Calibri Light" w:hAnsi="Calibri Light" w:cs="Calibri Light"/>
                <w:color w:val="000000"/>
                <w:sz w:val="20"/>
                <w:szCs w:val="20"/>
                <w:lang w:val="en-US"/>
              </w:rPr>
              <w:t>0.0414</w:t>
            </w:r>
          </w:p>
        </w:tc>
        <w:tc>
          <w:tcPr>
            <w:tcW w:w="1137" w:type="dxa"/>
            <w:tcBorders>
              <w:left w:val="nil"/>
            </w:tcBorders>
          </w:tcPr>
          <w:p w14:paraId="2F46004D" w14:textId="77777777" w:rsidR="00E77AC1" w:rsidRPr="004213BA" w:rsidRDefault="00E77AC1" w:rsidP="008A5308">
            <w:pPr>
              <w:spacing w:before="100" w:beforeAutospacing="1" w:after="100" w:afterAutospacing="1" w:line="360" w:lineRule="auto"/>
              <w:rPr>
                <w:rFonts w:ascii="Calibri Light" w:eastAsiaTheme="minorEastAsia" w:hAnsi="Calibri Light" w:cs="Calibri Light"/>
                <w:color w:val="000000"/>
                <w:sz w:val="20"/>
                <w:szCs w:val="20"/>
                <w:lang w:val="en-US" w:eastAsia="zh-CN" w:bidi="hi-IN"/>
              </w:rPr>
            </w:pPr>
          </w:p>
        </w:tc>
      </w:tr>
    </w:tbl>
    <w:p w14:paraId="313C1512" w14:textId="77777777" w:rsidR="008D0CAD" w:rsidRPr="004213BA" w:rsidRDefault="008D0CAD" w:rsidP="00796BFA">
      <w:pPr>
        <w:spacing w:before="100" w:beforeAutospacing="1" w:after="100" w:afterAutospacing="1" w:line="360" w:lineRule="auto"/>
        <w:rPr>
          <w:rFonts w:ascii="Calibri Light" w:hAnsi="Calibri Light" w:cs="Calibri Light"/>
          <w:color w:val="000000"/>
          <w:sz w:val="16"/>
          <w:szCs w:val="16"/>
          <w:lang w:eastAsia="en-PH"/>
        </w:rPr>
      </w:pPr>
      <w:r w:rsidRPr="004213BA">
        <w:rPr>
          <w:rFonts w:ascii="Calibri Light" w:hAnsi="Calibri Light" w:cs="Calibri Light"/>
          <w:color w:val="000000"/>
          <w:sz w:val="16"/>
          <w:szCs w:val="16"/>
          <w:lang w:eastAsia="en-PH"/>
        </w:rPr>
        <w:t>*, **, *** indicates significance at the 10%, 5%, and 1% level, respectively.</w:t>
      </w:r>
    </w:p>
    <w:p w14:paraId="69012A4E" w14:textId="77777777" w:rsidR="008D0CAD" w:rsidRPr="004213BA" w:rsidRDefault="008D0CAD" w:rsidP="00796BFA">
      <w:pPr>
        <w:spacing w:before="100" w:beforeAutospacing="1" w:after="100" w:afterAutospacing="1" w:line="360" w:lineRule="auto"/>
        <w:rPr>
          <w:rFonts w:ascii="Calibri Light" w:hAnsi="Calibri Light" w:cs="Calibri Light"/>
          <w:color w:val="000000"/>
          <w:sz w:val="16"/>
          <w:szCs w:val="16"/>
          <w:lang w:eastAsia="en-PH"/>
        </w:rPr>
      </w:pPr>
      <w:r w:rsidRPr="004213BA">
        <w:rPr>
          <w:rFonts w:ascii="Calibri Light" w:hAnsi="Calibri Light" w:cs="Calibri Light"/>
          <w:color w:val="000000"/>
          <w:sz w:val="16"/>
          <w:szCs w:val="16"/>
          <w:lang w:eastAsia="en-PH"/>
        </w:rPr>
        <w:t>Base categories are Income Class (Spe), ES Size (Small), Urbanity (Rural), and Region (NCR)</w:t>
      </w:r>
    </w:p>
    <w:p w14:paraId="3D59D584" w14:textId="77777777" w:rsidR="008D0CAD" w:rsidRPr="004213BA" w:rsidRDefault="008D0CAD" w:rsidP="00796BFA">
      <w:pPr>
        <w:spacing w:before="100" w:beforeAutospacing="1" w:after="100" w:afterAutospacing="1" w:line="360" w:lineRule="auto"/>
        <w:rPr>
          <w:rFonts w:ascii="Calibri Light" w:hAnsi="Calibri Light" w:cs="Calibri Light"/>
          <w:lang w:val="en-US"/>
        </w:rPr>
      </w:pPr>
      <w:r w:rsidRPr="004213BA">
        <w:rPr>
          <w:rFonts w:ascii="Calibri Light" w:hAnsi="Calibri Light" w:cs="Calibri Light"/>
          <w:lang w:val="en-US"/>
        </w:rPr>
        <w:t xml:space="preserve">This result could be due to the timing of the implementation of the BEST Program interventions, as most schools received their first intervention in 2017, which was the Study’s end -line. The BEST Program interventions may have a lagged effect, that is, benefits may not be felt during the year of project implementation, although it might have been more apparent after more than a year. Due to data limitations, the only available information was for 2017, which prevented the Study to further investigate the delayed effects of BEST. </w:t>
      </w:r>
    </w:p>
    <w:p w14:paraId="3A610E2F" w14:textId="59E664A3" w:rsidR="008D0CAD" w:rsidRPr="004213BA" w:rsidRDefault="008D0CAD" w:rsidP="00796BFA">
      <w:pPr>
        <w:spacing w:before="100" w:beforeAutospacing="1" w:after="100" w:afterAutospacing="1" w:line="360" w:lineRule="auto"/>
        <w:rPr>
          <w:rFonts w:ascii="Calibri Light" w:hAnsi="Calibri Light" w:cs="Calibri Light"/>
          <w:lang w:val="en-US"/>
        </w:rPr>
      </w:pPr>
      <w:r w:rsidRPr="004213BA">
        <w:rPr>
          <w:rFonts w:ascii="Calibri Light" w:hAnsi="Calibri Light" w:cs="Calibri Light"/>
          <w:lang w:val="en-US"/>
        </w:rPr>
        <w:t>The results of the partial F-test</w:t>
      </w:r>
      <w:r w:rsidRPr="004213BA">
        <w:rPr>
          <w:rFonts w:ascii="Calibri Light" w:hAnsi="Calibri Light" w:cs="Calibri Light"/>
          <w:vertAlign w:val="superscript"/>
          <w:lang w:val="en-US"/>
        </w:rPr>
        <w:footnoteReference w:id="141"/>
      </w:r>
      <w:r w:rsidRPr="004213BA">
        <w:rPr>
          <w:rFonts w:ascii="Calibri Light" w:hAnsi="Calibri Light" w:cs="Calibri Light"/>
          <w:lang w:val="en-US"/>
        </w:rPr>
        <w:t xml:space="preserve"> of the categorical variables (such as income class, elementary school size, urbanity, and regions) are provided in the Table 4.</w:t>
      </w:r>
      <w:r w:rsidR="00D434EB">
        <w:rPr>
          <w:rFonts w:ascii="Calibri Light" w:hAnsi="Calibri Light" w:cs="Calibri Light"/>
          <w:lang w:val="en-US"/>
        </w:rPr>
        <w:t xml:space="preserve"> </w:t>
      </w:r>
      <w:r w:rsidRPr="004213BA">
        <w:rPr>
          <w:rFonts w:ascii="Calibri Light" w:hAnsi="Calibri Light" w:cs="Calibri Light"/>
          <w:lang w:val="en-US"/>
        </w:rPr>
        <w:t>Results of the F-test revealed that that there were differences among the categories of the variable in terms of improvements in the average grades from 2014 to 2017.</w:t>
      </w:r>
      <w:r w:rsidR="00D434EB">
        <w:rPr>
          <w:rFonts w:ascii="Calibri Light" w:hAnsi="Calibri Light" w:cs="Calibri Light"/>
          <w:lang w:val="en-US"/>
        </w:rPr>
        <w:t xml:space="preserve"> </w:t>
      </w:r>
      <w:r w:rsidRPr="004213BA">
        <w:rPr>
          <w:rFonts w:ascii="Calibri Light" w:hAnsi="Calibri Light" w:cs="Calibri Light"/>
          <w:lang w:val="en-US"/>
        </w:rPr>
        <w:t>Results showed that income class was only significant for Grade 4 students, and from the regression results, it was revealed that Income Class 2</w:t>
      </w:r>
      <w:r w:rsidRPr="004213BA">
        <w:rPr>
          <w:rFonts w:ascii="Calibri Light" w:hAnsi="Calibri Light" w:cs="Calibri Light"/>
          <w:vertAlign w:val="superscript"/>
          <w:lang w:val="en-US"/>
        </w:rPr>
        <w:t>nd</w:t>
      </w:r>
      <w:r w:rsidRPr="004213BA">
        <w:rPr>
          <w:rFonts w:ascii="Calibri Light" w:hAnsi="Calibri Light" w:cs="Calibri Light"/>
          <w:lang w:val="en-US"/>
        </w:rPr>
        <w:t xml:space="preserve"> and 3</w:t>
      </w:r>
      <w:r w:rsidRPr="004213BA">
        <w:rPr>
          <w:rFonts w:ascii="Calibri Light" w:hAnsi="Calibri Light" w:cs="Calibri Light"/>
          <w:vertAlign w:val="superscript"/>
          <w:lang w:val="en-US"/>
        </w:rPr>
        <w:t>rd</w:t>
      </w:r>
      <w:r w:rsidRPr="004213BA">
        <w:rPr>
          <w:rFonts w:ascii="Calibri Light" w:hAnsi="Calibri Light" w:cs="Calibri Light"/>
          <w:lang w:val="en-US"/>
        </w:rPr>
        <w:t xml:space="preserve"> experienced higher changes in grades compared to the other income classes. </w:t>
      </w:r>
    </w:p>
    <w:tbl>
      <w:tblPr>
        <w:tblStyle w:val="TableGrid1"/>
        <w:tblpPr w:leftFromText="180" w:rightFromText="180" w:vertAnchor="text" w:horzAnchor="margin" w:tblpY="349"/>
        <w:tblW w:w="7146" w:type="dxa"/>
        <w:tblLook w:val="04A0" w:firstRow="1" w:lastRow="0" w:firstColumn="1" w:lastColumn="0" w:noHBand="0" w:noVBand="1"/>
      </w:tblPr>
      <w:tblGrid>
        <w:gridCol w:w="3644"/>
        <w:gridCol w:w="1355"/>
        <w:gridCol w:w="1074"/>
        <w:gridCol w:w="1075"/>
      </w:tblGrid>
      <w:tr w:rsidR="00AA76C5" w:rsidRPr="004213BA" w14:paraId="14890BB7" w14:textId="77777777" w:rsidTr="004B064D">
        <w:trPr>
          <w:trHeight w:val="301"/>
          <w:tblHeader/>
        </w:trPr>
        <w:tc>
          <w:tcPr>
            <w:tcW w:w="3644" w:type="dxa"/>
            <w:tcBorders>
              <w:bottom w:val="nil"/>
            </w:tcBorders>
            <w:hideMark/>
          </w:tcPr>
          <w:p w14:paraId="77F0BE46" w14:textId="77777777" w:rsidR="00AA76C5" w:rsidRPr="004213BA" w:rsidRDefault="00AA76C5" w:rsidP="00AA76C5">
            <w:pPr>
              <w:spacing w:before="100" w:beforeAutospacing="1" w:after="100" w:afterAutospacing="1" w:line="360" w:lineRule="auto"/>
              <w:rPr>
                <w:rFonts w:ascii="Calibri Light" w:hAnsi="Calibri Light" w:cs="Calibri Light"/>
                <w:color w:val="000000"/>
                <w:lang w:eastAsia="en-PH"/>
              </w:rPr>
            </w:pPr>
            <w:bookmarkStart w:id="418" w:name="_Toc15638039"/>
            <w:bookmarkStart w:id="419" w:name="_Toc71616637"/>
          </w:p>
        </w:tc>
        <w:tc>
          <w:tcPr>
            <w:tcW w:w="1353" w:type="dxa"/>
            <w:tcBorders>
              <w:right w:val="nil"/>
            </w:tcBorders>
            <w:noWrap/>
          </w:tcPr>
          <w:p w14:paraId="69C08521" w14:textId="77777777" w:rsidR="00AA76C5" w:rsidRPr="004B064D" w:rsidRDefault="00AA76C5" w:rsidP="00AA76C5">
            <w:pPr>
              <w:spacing w:before="100" w:beforeAutospacing="1" w:after="100" w:afterAutospacing="1" w:line="360" w:lineRule="auto"/>
              <w:rPr>
                <w:rFonts w:ascii="Calibri Light" w:hAnsi="Calibri Light" w:cs="Calibri Light"/>
                <w:b/>
                <w:bCs/>
                <w:color w:val="000000"/>
                <w:lang w:eastAsia="en-PH"/>
              </w:rPr>
            </w:pPr>
            <w:r w:rsidRPr="004B064D">
              <w:rPr>
                <w:rFonts w:ascii="Calibri Light" w:hAnsi="Calibri Light" w:cs="Calibri Light"/>
                <w:b/>
                <w:bCs/>
                <w:color w:val="000000"/>
                <w:lang w:eastAsia="en-PH"/>
              </w:rPr>
              <w:t>Significance</w:t>
            </w:r>
          </w:p>
        </w:tc>
        <w:tc>
          <w:tcPr>
            <w:tcW w:w="1074" w:type="dxa"/>
            <w:tcBorders>
              <w:left w:val="nil"/>
              <w:right w:val="nil"/>
            </w:tcBorders>
            <w:noWrap/>
          </w:tcPr>
          <w:p w14:paraId="19C02D04" w14:textId="77777777" w:rsidR="00AA76C5" w:rsidRPr="004B064D" w:rsidRDefault="00AA76C5" w:rsidP="00AA76C5">
            <w:pPr>
              <w:spacing w:before="100" w:beforeAutospacing="1" w:after="100" w:afterAutospacing="1" w:line="360" w:lineRule="auto"/>
              <w:rPr>
                <w:rFonts w:ascii="Calibri Light" w:hAnsi="Calibri Light" w:cs="Calibri Light"/>
                <w:b/>
                <w:bCs/>
                <w:color w:val="000000"/>
                <w:lang w:eastAsia="en-PH"/>
              </w:rPr>
            </w:pPr>
            <w:r w:rsidRPr="004B064D">
              <w:rPr>
                <w:rFonts w:ascii="Calibri Light" w:hAnsi="Calibri Light" w:cs="Calibri Light"/>
                <w:b/>
                <w:bCs/>
                <w:color w:val="000000"/>
                <w:lang w:eastAsia="en-PH"/>
              </w:rPr>
              <w:t>(Partial</w:t>
            </w:r>
          </w:p>
        </w:tc>
        <w:tc>
          <w:tcPr>
            <w:tcW w:w="1075" w:type="dxa"/>
            <w:tcBorders>
              <w:left w:val="nil"/>
            </w:tcBorders>
            <w:noWrap/>
          </w:tcPr>
          <w:p w14:paraId="7C8BA6C0" w14:textId="77777777" w:rsidR="00AA76C5" w:rsidRPr="004B064D" w:rsidRDefault="00AA76C5" w:rsidP="00AA76C5">
            <w:pPr>
              <w:spacing w:before="100" w:beforeAutospacing="1" w:after="100" w:afterAutospacing="1" w:line="360" w:lineRule="auto"/>
              <w:rPr>
                <w:rFonts w:ascii="Calibri Light" w:hAnsi="Calibri Light" w:cs="Calibri Light"/>
                <w:b/>
                <w:bCs/>
                <w:color w:val="000000"/>
                <w:lang w:eastAsia="en-PH"/>
              </w:rPr>
            </w:pPr>
            <w:r w:rsidRPr="004B064D">
              <w:rPr>
                <w:rFonts w:ascii="Calibri Light" w:hAnsi="Calibri Light" w:cs="Calibri Light"/>
                <w:b/>
                <w:bCs/>
                <w:color w:val="000000"/>
                <w:lang w:eastAsia="en-PH"/>
              </w:rPr>
              <w:t>F-Test)</w:t>
            </w:r>
          </w:p>
        </w:tc>
      </w:tr>
      <w:tr w:rsidR="00AA76C5" w:rsidRPr="004B064D" w14:paraId="7975956C" w14:textId="77777777" w:rsidTr="004B064D">
        <w:trPr>
          <w:trHeight w:val="301"/>
          <w:tblHeader/>
        </w:trPr>
        <w:tc>
          <w:tcPr>
            <w:tcW w:w="3644" w:type="dxa"/>
            <w:tcBorders>
              <w:top w:val="nil"/>
            </w:tcBorders>
            <w:noWrap/>
          </w:tcPr>
          <w:p w14:paraId="6893179C" w14:textId="77777777" w:rsidR="00AA76C5" w:rsidRPr="004B064D" w:rsidRDefault="00AA76C5" w:rsidP="00AA76C5">
            <w:pPr>
              <w:spacing w:before="100" w:beforeAutospacing="1" w:after="100" w:afterAutospacing="1" w:line="360" w:lineRule="auto"/>
              <w:rPr>
                <w:rFonts w:ascii="Calibri Light" w:hAnsi="Calibri Light" w:cs="Calibri Light"/>
                <w:b/>
                <w:bCs/>
                <w:color w:val="000000"/>
                <w:lang w:eastAsia="en-PH"/>
              </w:rPr>
            </w:pPr>
            <w:r w:rsidRPr="004B064D">
              <w:rPr>
                <w:rFonts w:ascii="Calibri Light" w:hAnsi="Calibri Light" w:cs="Calibri Light"/>
                <w:b/>
                <w:bCs/>
                <w:color w:val="000000"/>
                <w:lang w:eastAsia="en-PH"/>
              </w:rPr>
              <w:t>Categorical Variable</w:t>
            </w:r>
          </w:p>
        </w:tc>
        <w:tc>
          <w:tcPr>
            <w:tcW w:w="1353" w:type="dxa"/>
            <w:noWrap/>
          </w:tcPr>
          <w:p w14:paraId="6DFDBB59" w14:textId="77777777" w:rsidR="00AA76C5" w:rsidRPr="004B064D" w:rsidRDefault="00AA76C5" w:rsidP="00AA76C5">
            <w:pPr>
              <w:spacing w:before="100" w:beforeAutospacing="1" w:after="100" w:afterAutospacing="1" w:line="360" w:lineRule="auto"/>
              <w:rPr>
                <w:rFonts w:ascii="Calibri Light" w:hAnsi="Calibri Light" w:cs="Calibri Light"/>
                <w:b/>
                <w:bCs/>
                <w:color w:val="000000"/>
                <w:lang w:eastAsia="en-PH"/>
              </w:rPr>
            </w:pPr>
            <w:r w:rsidRPr="004B064D">
              <w:rPr>
                <w:rFonts w:ascii="Calibri Light" w:hAnsi="Calibri Light" w:cs="Calibri Light"/>
                <w:b/>
                <w:bCs/>
                <w:color w:val="000000"/>
                <w:lang w:eastAsia="en-PH"/>
              </w:rPr>
              <w:t>Grade 4</w:t>
            </w:r>
          </w:p>
        </w:tc>
        <w:tc>
          <w:tcPr>
            <w:tcW w:w="1074" w:type="dxa"/>
            <w:noWrap/>
          </w:tcPr>
          <w:p w14:paraId="3A0932F4" w14:textId="77777777" w:rsidR="00AA76C5" w:rsidRPr="004B064D" w:rsidRDefault="00AA76C5" w:rsidP="00AA76C5">
            <w:pPr>
              <w:spacing w:before="100" w:beforeAutospacing="1" w:after="100" w:afterAutospacing="1" w:line="360" w:lineRule="auto"/>
              <w:rPr>
                <w:rFonts w:ascii="Calibri Light" w:hAnsi="Calibri Light" w:cs="Calibri Light"/>
                <w:b/>
                <w:bCs/>
                <w:color w:val="000000"/>
                <w:lang w:eastAsia="en-PH"/>
              </w:rPr>
            </w:pPr>
            <w:r w:rsidRPr="004B064D">
              <w:rPr>
                <w:rFonts w:ascii="Calibri Light" w:hAnsi="Calibri Light" w:cs="Calibri Light"/>
                <w:b/>
                <w:bCs/>
                <w:color w:val="000000"/>
                <w:lang w:eastAsia="en-PH"/>
              </w:rPr>
              <w:t>Grade 5</w:t>
            </w:r>
          </w:p>
        </w:tc>
        <w:tc>
          <w:tcPr>
            <w:tcW w:w="1075" w:type="dxa"/>
            <w:noWrap/>
          </w:tcPr>
          <w:p w14:paraId="0DF48A98" w14:textId="77777777" w:rsidR="00AA76C5" w:rsidRPr="004B064D" w:rsidRDefault="00AA76C5" w:rsidP="00AA76C5">
            <w:pPr>
              <w:spacing w:before="100" w:beforeAutospacing="1" w:after="100" w:afterAutospacing="1" w:line="360" w:lineRule="auto"/>
              <w:rPr>
                <w:rFonts w:ascii="Calibri Light" w:hAnsi="Calibri Light" w:cs="Calibri Light"/>
                <w:b/>
                <w:bCs/>
                <w:color w:val="000000"/>
                <w:lang w:eastAsia="en-PH"/>
              </w:rPr>
            </w:pPr>
            <w:r w:rsidRPr="004B064D">
              <w:rPr>
                <w:rFonts w:ascii="Calibri Light" w:hAnsi="Calibri Light" w:cs="Calibri Light"/>
                <w:b/>
                <w:bCs/>
                <w:color w:val="000000"/>
                <w:lang w:eastAsia="en-PH"/>
              </w:rPr>
              <w:t>Grade 6</w:t>
            </w:r>
          </w:p>
        </w:tc>
      </w:tr>
      <w:tr w:rsidR="00AA76C5" w:rsidRPr="004213BA" w14:paraId="75D9B412" w14:textId="77777777" w:rsidTr="00AA76C5">
        <w:trPr>
          <w:trHeight w:val="301"/>
        </w:trPr>
        <w:tc>
          <w:tcPr>
            <w:tcW w:w="3644" w:type="dxa"/>
            <w:noWrap/>
            <w:hideMark/>
          </w:tcPr>
          <w:p w14:paraId="2EF256E2" w14:textId="77777777" w:rsidR="00AA76C5" w:rsidRPr="004213BA" w:rsidRDefault="00AA76C5" w:rsidP="00AA76C5">
            <w:pPr>
              <w:spacing w:before="100" w:beforeAutospacing="1" w:after="100" w:afterAutospacing="1" w:line="360" w:lineRule="auto"/>
              <w:rPr>
                <w:rFonts w:ascii="Calibri Light" w:hAnsi="Calibri Light" w:cs="Calibri Light"/>
                <w:color w:val="000000"/>
                <w:lang w:eastAsia="en-PH"/>
              </w:rPr>
            </w:pPr>
            <w:r w:rsidRPr="004213BA">
              <w:rPr>
                <w:rFonts w:ascii="Calibri Light" w:hAnsi="Calibri Light" w:cs="Calibri Light"/>
                <w:color w:val="000000"/>
                <w:lang w:eastAsia="en-PH"/>
              </w:rPr>
              <w:t>Income Class</w:t>
            </w:r>
          </w:p>
        </w:tc>
        <w:tc>
          <w:tcPr>
            <w:tcW w:w="1353" w:type="dxa"/>
            <w:noWrap/>
            <w:hideMark/>
          </w:tcPr>
          <w:p w14:paraId="21FBDF50" w14:textId="77777777" w:rsidR="00AA76C5" w:rsidRPr="004213BA" w:rsidRDefault="00AA76C5" w:rsidP="00AA76C5">
            <w:pPr>
              <w:spacing w:before="100" w:beforeAutospacing="1" w:after="100" w:afterAutospacing="1" w:line="360" w:lineRule="auto"/>
              <w:rPr>
                <w:rFonts w:ascii="Calibri Light" w:hAnsi="Calibri Light" w:cs="Calibri Light"/>
                <w:color w:val="000000"/>
                <w:lang w:eastAsia="en-PH"/>
              </w:rPr>
            </w:pPr>
            <w:r w:rsidRPr="004213BA">
              <w:rPr>
                <w:rFonts w:ascii="Calibri Light" w:hAnsi="Calibri Light" w:cs="Calibri Light"/>
                <w:color w:val="000000"/>
                <w:lang w:eastAsia="en-PH"/>
              </w:rPr>
              <w:t>***</w:t>
            </w:r>
          </w:p>
        </w:tc>
        <w:tc>
          <w:tcPr>
            <w:tcW w:w="1074" w:type="dxa"/>
            <w:noWrap/>
            <w:hideMark/>
          </w:tcPr>
          <w:p w14:paraId="56B2D747" w14:textId="77777777" w:rsidR="00AA76C5" w:rsidRPr="004213BA" w:rsidRDefault="00AA76C5" w:rsidP="00AA76C5">
            <w:pPr>
              <w:spacing w:before="100" w:beforeAutospacing="1" w:after="100" w:afterAutospacing="1" w:line="360" w:lineRule="auto"/>
              <w:rPr>
                <w:rFonts w:ascii="Calibri Light" w:hAnsi="Calibri Light" w:cs="Calibri Light"/>
                <w:color w:val="000000"/>
                <w:lang w:eastAsia="en-PH"/>
              </w:rPr>
            </w:pPr>
            <w:r w:rsidRPr="004213BA">
              <w:rPr>
                <w:rFonts w:ascii="Calibri Light" w:hAnsi="Calibri Light" w:cs="Calibri Light"/>
                <w:color w:val="000000"/>
                <w:lang w:eastAsia="en-PH"/>
              </w:rPr>
              <w:t> </w:t>
            </w:r>
          </w:p>
        </w:tc>
        <w:tc>
          <w:tcPr>
            <w:tcW w:w="1075" w:type="dxa"/>
            <w:noWrap/>
            <w:hideMark/>
          </w:tcPr>
          <w:p w14:paraId="25F9A91E" w14:textId="77777777" w:rsidR="00AA76C5" w:rsidRPr="004213BA" w:rsidRDefault="00AA76C5" w:rsidP="00AA76C5">
            <w:pPr>
              <w:spacing w:before="100" w:beforeAutospacing="1" w:after="100" w:afterAutospacing="1" w:line="360" w:lineRule="auto"/>
              <w:rPr>
                <w:rFonts w:ascii="Calibri Light" w:hAnsi="Calibri Light" w:cs="Calibri Light"/>
                <w:color w:val="000000"/>
                <w:lang w:eastAsia="en-PH"/>
              </w:rPr>
            </w:pPr>
            <w:r w:rsidRPr="004213BA">
              <w:rPr>
                <w:rFonts w:ascii="Calibri Light" w:hAnsi="Calibri Light" w:cs="Calibri Light"/>
                <w:color w:val="000000"/>
                <w:lang w:eastAsia="en-PH"/>
              </w:rPr>
              <w:t> </w:t>
            </w:r>
          </w:p>
        </w:tc>
      </w:tr>
      <w:tr w:rsidR="00AA76C5" w:rsidRPr="004213BA" w14:paraId="5A82023F" w14:textId="77777777" w:rsidTr="00AA76C5">
        <w:trPr>
          <w:trHeight w:val="301"/>
        </w:trPr>
        <w:tc>
          <w:tcPr>
            <w:tcW w:w="3644" w:type="dxa"/>
            <w:noWrap/>
            <w:hideMark/>
          </w:tcPr>
          <w:p w14:paraId="3BDDFE04" w14:textId="77777777" w:rsidR="00AA76C5" w:rsidRPr="004213BA" w:rsidRDefault="00AA76C5" w:rsidP="00AA76C5">
            <w:pPr>
              <w:spacing w:before="100" w:beforeAutospacing="1" w:after="100" w:afterAutospacing="1" w:line="360" w:lineRule="auto"/>
              <w:rPr>
                <w:rFonts w:ascii="Calibri Light" w:hAnsi="Calibri Light" w:cs="Calibri Light"/>
                <w:color w:val="000000"/>
                <w:lang w:eastAsia="en-PH"/>
              </w:rPr>
            </w:pPr>
            <w:r w:rsidRPr="004213BA">
              <w:rPr>
                <w:rFonts w:ascii="Calibri Light" w:hAnsi="Calibri Light" w:cs="Calibri Light"/>
                <w:color w:val="000000"/>
                <w:lang w:eastAsia="en-PH"/>
              </w:rPr>
              <w:t>ES Size</w:t>
            </w:r>
          </w:p>
        </w:tc>
        <w:tc>
          <w:tcPr>
            <w:tcW w:w="1353" w:type="dxa"/>
            <w:noWrap/>
            <w:hideMark/>
          </w:tcPr>
          <w:p w14:paraId="4E66B372" w14:textId="77777777" w:rsidR="00AA76C5" w:rsidRPr="004213BA" w:rsidRDefault="00AA76C5" w:rsidP="00AA76C5">
            <w:pPr>
              <w:spacing w:before="100" w:beforeAutospacing="1" w:after="100" w:afterAutospacing="1" w:line="360" w:lineRule="auto"/>
              <w:rPr>
                <w:rFonts w:ascii="Calibri Light" w:hAnsi="Calibri Light" w:cs="Calibri Light"/>
                <w:color w:val="000000"/>
                <w:lang w:eastAsia="en-PH"/>
              </w:rPr>
            </w:pPr>
            <w:r w:rsidRPr="004213BA">
              <w:rPr>
                <w:rFonts w:ascii="Calibri Light" w:hAnsi="Calibri Light" w:cs="Calibri Light"/>
                <w:color w:val="000000"/>
                <w:lang w:eastAsia="en-PH"/>
              </w:rPr>
              <w:t>***</w:t>
            </w:r>
          </w:p>
        </w:tc>
        <w:tc>
          <w:tcPr>
            <w:tcW w:w="1074" w:type="dxa"/>
            <w:noWrap/>
            <w:hideMark/>
          </w:tcPr>
          <w:p w14:paraId="54FF0E01" w14:textId="77777777" w:rsidR="00AA76C5" w:rsidRPr="004213BA" w:rsidRDefault="00AA76C5" w:rsidP="00AA76C5">
            <w:pPr>
              <w:spacing w:before="100" w:beforeAutospacing="1" w:after="100" w:afterAutospacing="1" w:line="360" w:lineRule="auto"/>
              <w:rPr>
                <w:rFonts w:ascii="Calibri Light" w:hAnsi="Calibri Light" w:cs="Calibri Light"/>
                <w:color w:val="000000"/>
                <w:lang w:eastAsia="en-PH"/>
              </w:rPr>
            </w:pPr>
            <w:r w:rsidRPr="004213BA">
              <w:rPr>
                <w:rFonts w:ascii="Calibri Light" w:hAnsi="Calibri Light" w:cs="Calibri Light"/>
                <w:color w:val="000000"/>
                <w:lang w:eastAsia="en-PH"/>
              </w:rPr>
              <w:t>***</w:t>
            </w:r>
          </w:p>
        </w:tc>
        <w:tc>
          <w:tcPr>
            <w:tcW w:w="1075" w:type="dxa"/>
            <w:noWrap/>
            <w:hideMark/>
          </w:tcPr>
          <w:p w14:paraId="57C9244A" w14:textId="77777777" w:rsidR="00AA76C5" w:rsidRPr="004213BA" w:rsidRDefault="00AA76C5" w:rsidP="00AA76C5">
            <w:pPr>
              <w:spacing w:before="100" w:beforeAutospacing="1" w:after="100" w:afterAutospacing="1" w:line="360" w:lineRule="auto"/>
              <w:rPr>
                <w:rFonts w:ascii="Calibri Light" w:hAnsi="Calibri Light" w:cs="Calibri Light"/>
                <w:color w:val="000000"/>
                <w:lang w:eastAsia="en-PH"/>
              </w:rPr>
            </w:pPr>
            <w:r w:rsidRPr="004213BA">
              <w:rPr>
                <w:rFonts w:ascii="Calibri Light" w:hAnsi="Calibri Light" w:cs="Calibri Light"/>
                <w:color w:val="000000"/>
                <w:lang w:eastAsia="en-PH"/>
              </w:rPr>
              <w:t>***</w:t>
            </w:r>
          </w:p>
        </w:tc>
      </w:tr>
      <w:tr w:rsidR="00AA76C5" w:rsidRPr="004213BA" w14:paraId="7CC1905C" w14:textId="77777777" w:rsidTr="00AA76C5">
        <w:trPr>
          <w:trHeight w:val="301"/>
        </w:trPr>
        <w:tc>
          <w:tcPr>
            <w:tcW w:w="3644" w:type="dxa"/>
            <w:noWrap/>
            <w:hideMark/>
          </w:tcPr>
          <w:p w14:paraId="489D2325" w14:textId="77777777" w:rsidR="00AA76C5" w:rsidRPr="004213BA" w:rsidRDefault="00AA76C5" w:rsidP="00AA76C5">
            <w:pPr>
              <w:spacing w:before="100" w:beforeAutospacing="1" w:after="100" w:afterAutospacing="1" w:line="360" w:lineRule="auto"/>
              <w:rPr>
                <w:rFonts w:ascii="Calibri Light" w:hAnsi="Calibri Light" w:cs="Calibri Light"/>
                <w:color w:val="000000"/>
                <w:lang w:eastAsia="en-PH"/>
              </w:rPr>
            </w:pPr>
            <w:r w:rsidRPr="004213BA">
              <w:rPr>
                <w:rFonts w:ascii="Calibri Light" w:hAnsi="Calibri Light" w:cs="Calibri Light"/>
                <w:color w:val="000000"/>
                <w:lang w:eastAsia="en-PH"/>
              </w:rPr>
              <w:t>Urbanity</w:t>
            </w:r>
          </w:p>
        </w:tc>
        <w:tc>
          <w:tcPr>
            <w:tcW w:w="1353" w:type="dxa"/>
            <w:noWrap/>
            <w:hideMark/>
          </w:tcPr>
          <w:p w14:paraId="4F5A30BC" w14:textId="77777777" w:rsidR="00AA76C5" w:rsidRPr="004213BA" w:rsidRDefault="00AA76C5" w:rsidP="00AA76C5">
            <w:pPr>
              <w:spacing w:before="100" w:beforeAutospacing="1" w:after="100" w:afterAutospacing="1" w:line="360" w:lineRule="auto"/>
              <w:rPr>
                <w:rFonts w:ascii="Calibri Light" w:hAnsi="Calibri Light" w:cs="Calibri Light"/>
                <w:color w:val="000000"/>
                <w:lang w:eastAsia="en-PH"/>
              </w:rPr>
            </w:pPr>
            <w:r w:rsidRPr="004213BA">
              <w:rPr>
                <w:rFonts w:ascii="Calibri Light" w:hAnsi="Calibri Light" w:cs="Calibri Light"/>
                <w:color w:val="000000"/>
                <w:lang w:eastAsia="en-PH"/>
              </w:rPr>
              <w:t> </w:t>
            </w:r>
          </w:p>
        </w:tc>
        <w:tc>
          <w:tcPr>
            <w:tcW w:w="1074" w:type="dxa"/>
            <w:noWrap/>
            <w:hideMark/>
          </w:tcPr>
          <w:p w14:paraId="520C8485" w14:textId="77777777" w:rsidR="00AA76C5" w:rsidRPr="004213BA" w:rsidRDefault="00AA76C5" w:rsidP="00AA76C5">
            <w:pPr>
              <w:spacing w:before="100" w:beforeAutospacing="1" w:after="100" w:afterAutospacing="1" w:line="360" w:lineRule="auto"/>
              <w:rPr>
                <w:rFonts w:ascii="Calibri Light" w:hAnsi="Calibri Light" w:cs="Calibri Light"/>
                <w:color w:val="000000"/>
                <w:lang w:eastAsia="en-PH"/>
              </w:rPr>
            </w:pPr>
            <w:r w:rsidRPr="004213BA">
              <w:rPr>
                <w:rFonts w:ascii="Calibri Light" w:hAnsi="Calibri Light" w:cs="Calibri Light"/>
                <w:color w:val="000000"/>
                <w:lang w:eastAsia="en-PH"/>
              </w:rPr>
              <w:t> </w:t>
            </w:r>
          </w:p>
        </w:tc>
        <w:tc>
          <w:tcPr>
            <w:tcW w:w="1075" w:type="dxa"/>
            <w:noWrap/>
            <w:hideMark/>
          </w:tcPr>
          <w:p w14:paraId="4544D58E" w14:textId="77777777" w:rsidR="00AA76C5" w:rsidRPr="004213BA" w:rsidRDefault="00AA76C5" w:rsidP="00AA76C5">
            <w:pPr>
              <w:spacing w:before="100" w:beforeAutospacing="1" w:after="100" w:afterAutospacing="1" w:line="360" w:lineRule="auto"/>
              <w:rPr>
                <w:rFonts w:ascii="Calibri Light" w:hAnsi="Calibri Light" w:cs="Calibri Light"/>
                <w:color w:val="000000"/>
                <w:lang w:eastAsia="en-PH"/>
              </w:rPr>
            </w:pPr>
            <w:r w:rsidRPr="004213BA">
              <w:rPr>
                <w:rFonts w:ascii="Calibri Light" w:hAnsi="Calibri Light" w:cs="Calibri Light"/>
                <w:color w:val="000000"/>
                <w:lang w:eastAsia="en-PH"/>
              </w:rPr>
              <w:t> </w:t>
            </w:r>
          </w:p>
        </w:tc>
      </w:tr>
      <w:tr w:rsidR="00AA76C5" w:rsidRPr="004213BA" w14:paraId="65AC5C96" w14:textId="77777777" w:rsidTr="00AA76C5">
        <w:trPr>
          <w:trHeight w:val="301"/>
        </w:trPr>
        <w:tc>
          <w:tcPr>
            <w:tcW w:w="3644" w:type="dxa"/>
            <w:noWrap/>
            <w:hideMark/>
          </w:tcPr>
          <w:p w14:paraId="28CC0937" w14:textId="77777777" w:rsidR="00AA76C5" w:rsidRPr="004213BA" w:rsidRDefault="00AA76C5" w:rsidP="00AA76C5">
            <w:pPr>
              <w:spacing w:before="100" w:beforeAutospacing="1" w:after="100" w:afterAutospacing="1" w:line="360" w:lineRule="auto"/>
              <w:rPr>
                <w:rFonts w:ascii="Calibri Light" w:hAnsi="Calibri Light" w:cs="Calibri Light"/>
                <w:color w:val="000000"/>
                <w:lang w:eastAsia="en-PH"/>
              </w:rPr>
            </w:pPr>
            <w:r w:rsidRPr="004213BA">
              <w:rPr>
                <w:rFonts w:ascii="Calibri Light" w:hAnsi="Calibri Light" w:cs="Calibri Light"/>
                <w:color w:val="000000"/>
                <w:lang w:eastAsia="en-PH"/>
              </w:rPr>
              <w:t>Regions</w:t>
            </w:r>
          </w:p>
        </w:tc>
        <w:tc>
          <w:tcPr>
            <w:tcW w:w="1353" w:type="dxa"/>
            <w:noWrap/>
            <w:hideMark/>
          </w:tcPr>
          <w:p w14:paraId="368A5D1F" w14:textId="77777777" w:rsidR="00AA76C5" w:rsidRPr="004213BA" w:rsidRDefault="00AA76C5" w:rsidP="00AA76C5">
            <w:pPr>
              <w:spacing w:before="100" w:beforeAutospacing="1" w:after="100" w:afterAutospacing="1" w:line="360" w:lineRule="auto"/>
              <w:rPr>
                <w:rFonts w:ascii="Calibri Light" w:hAnsi="Calibri Light" w:cs="Calibri Light"/>
                <w:color w:val="000000"/>
                <w:lang w:eastAsia="en-PH"/>
              </w:rPr>
            </w:pPr>
            <w:r w:rsidRPr="004213BA">
              <w:rPr>
                <w:rFonts w:ascii="Calibri Light" w:hAnsi="Calibri Light" w:cs="Calibri Light"/>
                <w:color w:val="000000"/>
                <w:lang w:eastAsia="en-PH"/>
              </w:rPr>
              <w:t>***</w:t>
            </w:r>
          </w:p>
        </w:tc>
        <w:tc>
          <w:tcPr>
            <w:tcW w:w="1074" w:type="dxa"/>
            <w:noWrap/>
            <w:hideMark/>
          </w:tcPr>
          <w:p w14:paraId="75233571" w14:textId="77777777" w:rsidR="00AA76C5" w:rsidRPr="004213BA" w:rsidRDefault="00AA76C5" w:rsidP="00AA76C5">
            <w:pPr>
              <w:spacing w:before="100" w:beforeAutospacing="1" w:after="100" w:afterAutospacing="1" w:line="360" w:lineRule="auto"/>
              <w:rPr>
                <w:rFonts w:ascii="Calibri Light" w:hAnsi="Calibri Light" w:cs="Calibri Light"/>
                <w:color w:val="000000"/>
                <w:lang w:eastAsia="en-PH"/>
              </w:rPr>
            </w:pPr>
            <w:r w:rsidRPr="004213BA">
              <w:rPr>
                <w:rFonts w:ascii="Calibri Light" w:hAnsi="Calibri Light" w:cs="Calibri Light"/>
                <w:color w:val="000000"/>
                <w:lang w:eastAsia="en-PH"/>
              </w:rPr>
              <w:t>***</w:t>
            </w:r>
          </w:p>
        </w:tc>
        <w:tc>
          <w:tcPr>
            <w:tcW w:w="1075" w:type="dxa"/>
            <w:noWrap/>
            <w:hideMark/>
          </w:tcPr>
          <w:p w14:paraId="62C61F51" w14:textId="77777777" w:rsidR="00AA76C5" w:rsidRPr="004213BA" w:rsidRDefault="00AA76C5" w:rsidP="00AA76C5">
            <w:pPr>
              <w:spacing w:before="100" w:beforeAutospacing="1" w:after="100" w:afterAutospacing="1" w:line="360" w:lineRule="auto"/>
              <w:rPr>
                <w:rFonts w:ascii="Calibri Light" w:hAnsi="Calibri Light" w:cs="Calibri Light"/>
                <w:color w:val="000000"/>
                <w:lang w:eastAsia="en-PH"/>
              </w:rPr>
            </w:pPr>
            <w:r w:rsidRPr="004213BA">
              <w:rPr>
                <w:rFonts w:ascii="Calibri Light" w:hAnsi="Calibri Light" w:cs="Calibri Light"/>
                <w:color w:val="000000"/>
                <w:lang w:eastAsia="en-PH"/>
              </w:rPr>
              <w:t>***</w:t>
            </w:r>
          </w:p>
        </w:tc>
      </w:tr>
    </w:tbl>
    <w:p w14:paraId="51537CA4" w14:textId="746C932B" w:rsidR="008D0CAD" w:rsidRPr="005424E3" w:rsidRDefault="008D0CAD" w:rsidP="00796BFA">
      <w:pPr>
        <w:keepNext/>
        <w:spacing w:before="100" w:beforeAutospacing="1" w:after="100" w:afterAutospacing="1" w:line="360" w:lineRule="auto"/>
        <w:ind w:hanging="22"/>
        <w:rPr>
          <w:rFonts w:asciiTheme="majorHAnsi" w:hAnsiTheme="majorHAnsi" w:cstheme="majorHAnsi"/>
          <w:bCs/>
          <w:i/>
          <w:color w:val="44546A" w:themeColor="text2"/>
          <w:sz w:val="22"/>
          <w:szCs w:val="22"/>
          <w:lang w:val="en-US"/>
        </w:rPr>
      </w:pPr>
      <w:r w:rsidRPr="005424E3">
        <w:rPr>
          <w:rFonts w:asciiTheme="majorHAnsi" w:hAnsiTheme="majorHAnsi" w:cstheme="majorHAnsi"/>
          <w:bCs/>
          <w:i/>
          <w:color w:val="44546A" w:themeColor="text2"/>
          <w:sz w:val="22"/>
          <w:szCs w:val="22"/>
          <w:lang w:val="en-US"/>
        </w:rPr>
        <w:t xml:space="preserve">Table </w:t>
      </w:r>
      <w:r w:rsidRPr="005424E3">
        <w:rPr>
          <w:rFonts w:asciiTheme="majorHAnsi" w:hAnsiTheme="majorHAnsi" w:cstheme="majorHAnsi"/>
          <w:bCs/>
          <w:i/>
          <w:color w:val="44546A" w:themeColor="text2"/>
          <w:sz w:val="22"/>
          <w:szCs w:val="22"/>
          <w:lang w:val="en-US"/>
        </w:rPr>
        <w:fldChar w:fldCharType="begin"/>
      </w:r>
      <w:r w:rsidRPr="005424E3">
        <w:rPr>
          <w:rFonts w:asciiTheme="majorHAnsi" w:hAnsiTheme="majorHAnsi" w:cstheme="majorHAnsi"/>
          <w:bCs/>
          <w:i/>
          <w:color w:val="44546A" w:themeColor="text2"/>
          <w:sz w:val="22"/>
          <w:szCs w:val="22"/>
          <w:lang w:val="en-US"/>
        </w:rPr>
        <w:instrText xml:space="preserve"> SEQ Table \* ARABIC </w:instrText>
      </w:r>
      <w:r w:rsidRPr="005424E3">
        <w:rPr>
          <w:rFonts w:asciiTheme="majorHAnsi" w:hAnsiTheme="majorHAnsi" w:cstheme="majorHAnsi"/>
          <w:bCs/>
          <w:i/>
          <w:color w:val="44546A" w:themeColor="text2"/>
          <w:sz w:val="22"/>
          <w:szCs w:val="22"/>
          <w:lang w:val="en-US"/>
        </w:rPr>
        <w:fldChar w:fldCharType="separate"/>
      </w:r>
      <w:r w:rsidR="00D6133D">
        <w:rPr>
          <w:rFonts w:asciiTheme="majorHAnsi" w:hAnsiTheme="majorHAnsi" w:cstheme="majorHAnsi"/>
          <w:bCs/>
          <w:i/>
          <w:noProof/>
          <w:color w:val="44546A" w:themeColor="text2"/>
          <w:sz w:val="22"/>
          <w:szCs w:val="22"/>
          <w:lang w:val="en-US"/>
        </w:rPr>
        <w:t>46</w:t>
      </w:r>
      <w:r w:rsidRPr="005424E3">
        <w:rPr>
          <w:rFonts w:asciiTheme="majorHAnsi" w:hAnsiTheme="majorHAnsi" w:cstheme="majorHAnsi"/>
          <w:bCs/>
          <w:i/>
          <w:color w:val="44546A" w:themeColor="text2"/>
          <w:sz w:val="22"/>
          <w:szCs w:val="22"/>
          <w:lang w:val="en-US"/>
        </w:rPr>
        <w:fldChar w:fldCharType="end"/>
      </w:r>
      <w:r w:rsidRPr="005424E3">
        <w:rPr>
          <w:rFonts w:asciiTheme="majorHAnsi" w:hAnsiTheme="majorHAnsi" w:cstheme="majorHAnsi"/>
          <w:bCs/>
          <w:i/>
          <w:color w:val="44546A" w:themeColor="text2"/>
          <w:sz w:val="22"/>
          <w:szCs w:val="22"/>
          <w:lang w:val="en-US"/>
        </w:rPr>
        <w:t>. Partial F-test of Categorical Variables</w:t>
      </w:r>
      <w:bookmarkEnd w:id="418"/>
      <w:bookmarkEnd w:id="419"/>
    </w:p>
    <w:p w14:paraId="43CE23D8" w14:textId="77777777" w:rsidR="00AA76C5" w:rsidRDefault="00AA76C5" w:rsidP="00796BFA">
      <w:pPr>
        <w:spacing w:before="100" w:beforeAutospacing="1" w:after="100" w:afterAutospacing="1" w:line="360" w:lineRule="auto"/>
        <w:rPr>
          <w:rFonts w:ascii="Calibri Light" w:hAnsi="Calibri Light" w:cs="Calibri Light"/>
          <w:lang w:val="en-US"/>
        </w:rPr>
      </w:pPr>
    </w:p>
    <w:p w14:paraId="3A63FCEC" w14:textId="77777777" w:rsidR="00AA76C5" w:rsidRDefault="00AA76C5" w:rsidP="00796BFA">
      <w:pPr>
        <w:spacing w:before="100" w:beforeAutospacing="1" w:after="100" w:afterAutospacing="1" w:line="360" w:lineRule="auto"/>
        <w:rPr>
          <w:rFonts w:ascii="Calibri Light" w:hAnsi="Calibri Light" w:cs="Calibri Light"/>
          <w:lang w:val="en-US"/>
        </w:rPr>
      </w:pPr>
    </w:p>
    <w:p w14:paraId="52F5DDB6" w14:textId="77777777" w:rsidR="00AA76C5" w:rsidRDefault="00AA76C5" w:rsidP="00796BFA">
      <w:pPr>
        <w:spacing w:before="100" w:beforeAutospacing="1" w:after="100" w:afterAutospacing="1" w:line="360" w:lineRule="auto"/>
        <w:rPr>
          <w:rFonts w:ascii="Calibri Light" w:hAnsi="Calibri Light" w:cs="Calibri Light"/>
          <w:lang w:val="en-US"/>
        </w:rPr>
      </w:pPr>
    </w:p>
    <w:p w14:paraId="1B6FCAD2" w14:textId="77777777" w:rsidR="00BB4458" w:rsidRDefault="00BB4458" w:rsidP="00BB4458">
      <w:pPr>
        <w:spacing w:before="100" w:beforeAutospacing="1" w:after="100" w:afterAutospacing="1" w:line="360" w:lineRule="auto"/>
        <w:rPr>
          <w:rFonts w:ascii="Calibri Light" w:hAnsi="Calibri Light" w:cs="Calibri Light"/>
          <w:lang w:val="en-US"/>
        </w:rPr>
      </w:pPr>
    </w:p>
    <w:p w14:paraId="5EAE922A" w14:textId="70FFABD4" w:rsidR="00BB4458" w:rsidRPr="004213BA" w:rsidRDefault="00BB4458" w:rsidP="00BB4458">
      <w:pPr>
        <w:spacing w:before="100" w:beforeAutospacing="1" w:after="100" w:afterAutospacing="1" w:line="360" w:lineRule="auto"/>
        <w:rPr>
          <w:rFonts w:ascii="Calibri Light" w:hAnsi="Calibri Light" w:cs="Calibri Light"/>
          <w:color w:val="000000"/>
          <w:lang w:eastAsia="en-PH"/>
        </w:rPr>
      </w:pPr>
      <w:r w:rsidRPr="004213BA">
        <w:rPr>
          <w:rFonts w:ascii="Calibri Light" w:hAnsi="Calibri Light" w:cs="Calibri Light"/>
          <w:color w:val="000000"/>
          <w:sz w:val="16"/>
          <w:szCs w:val="16"/>
          <w:lang w:eastAsia="en-PH"/>
        </w:rPr>
        <w:t>*, **, *** indicates significance at the 10%, 5%, and 1% level, respectively.</w:t>
      </w:r>
    </w:p>
    <w:p w14:paraId="58E171D6" w14:textId="1B37E852" w:rsidR="008D0CAD" w:rsidRPr="004213BA" w:rsidRDefault="008D0CAD" w:rsidP="00796BFA">
      <w:pPr>
        <w:spacing w:before="100" w:beforeAutospacing="1" w:after="100" w:afterAutospacing="1" w:line="360" w:lineRule="auto"/>
        <w:rPr>
          <w:rFonts w:ascii="Calibri Light" w:hAnsi="Calibri Light" w:cs="Calibri Light"/>
          <w:lang w:val="en-US"/>
        </w:rPr>
      </w:pPr>
      <w:r w:rsidRPr="004213BA">
        <w:rPr>
          <w:rFonts w:ascii="Calibri Light" w:hAnsi="Calibri Light" w:cs="Calibri Light"/>
          <w:lang w:val="en-US"/>
        </w:rPr>
        <w:t>Elementary school sizes and regions were significant across all grade levels. For elementary school size, the results in the regression model showed that small elementary schools experienced higher changes in the average grades compared to medium, large, and very large elementary schools. This finding was consistent across all grade levels.</w:t>
      </w:r>
      <w:r w:rsidR="00D434EB">
        <w:rPr>
          <w:rFonts w:ascii="Calibri Light" w:hAnsi="Calibri Light" w:cs="Calibri Light"/>
          <w:lang w:val="en-US"/>
        </w:rPr>
        <w:t xml:space="preserve"> </w:t>
      </w:r>
      <w:r w:rsidRPr="004213BA">
        <w:rPr>
          <w:rFonts w:ascii="Calibri Light" w:hAnsi="Calibri Light" w:cs="Calibri Light"/>
          <w:lang w:val="en-US"/>
        </w:rPr>
        <w:t xml:space="preserve"> </w:t>
      </w:r>
    </w:p>
    <w:p w14:paraId="5BD90924" w14:textId="659876DD" w:rsidR="008D0CAD" w:rsidRPr="004213BA" w:rsidRDefault="008D0CAD" w:rsidP="00796BFA">
      <w:pPr>
        <w:spacing w:before="100" w:beforeAutospacing="1" w:after="100" w:afterAutospacing="1" w:line="360" w:lineRule="auto"/>
        <w:rPr>
          <w:rFonts w:ascii="Calibri Light" w:hAnsi="Calibri Light" w:cs="Calibri Light"/>
          <w:lang w:val="en-US"/>
        </w:rPr>
      </w:pPr>
      <w:r w:rsidRPr="004213BA">
        <w:rPr>
          <w:rFonts w:ascii="Calibri Light" w:hAnsi="Calibri Light" w:cs="Calibri Light"/>
          <w:lang w:val="en-US"/>
        </w:rPr>
        <w:t>For Grade 4 students, Region VI showed slightly lower improvements compared to NCR, while Region VII had a better performance than NCR (Table 5).</w:t>
      </w:r>
      <w:r w:rsidR="00D434EB">
        <w:rPr>
          <w:rFonts w:ascii="Calibri Light" w:hAnsi="Calibri Light" w:cs="Calibri Light"/>
          <w:lang w:val="en-US"/>
        </w:rPr>
        <w:t xml:space="preserve"> </w:t>
      </w:r>
      <w:r w:rsidRPr="004213BA">
        <w:rPr>
          <w:rFonts w:ascii="Calibri Light" w:hAnsi="Calibri Light" w:cs="Calibri Light"/>
          <w:lang w:val="en-US"/>
        </w:rPr>
        <w:t>All other regions were similar to the performance of NCR for this grade level. For Grade 5 students, the results were the same for Regions VI and VII while Region X showed lower improvements than NCR.</w:t>
      </w:r>
      <w:r w:rsidR="00D434EB">
        <w:rPr>
          <w:rFonts w:ascii="Calibri Light" w:hAnsi="Calibri Light" w:cs="Calibri Light"/>
          <w:lang w:val="en-US"/>
        </w:rPr>
        <w:t xml:space="preserve"> </w:t>
      </w:r>
      <w:r w:rsidRPr="004213BA">
        <w:rPr>
          <w:rFonts w:ascii="Calibri Light" w:hAnsi="Calibri Light" w:cs="Calibri Light"/>
          <w:lang w:val="en-US"/>
        </w:rPr>
        <w:t xml:space="preserve">Results were different for Grade 6 students. Regions V and VIII showed better performances than NCR while performances of all other regions were comparable to that of NCR. </w:t>
      </w:r>
    </w:p>
    <w:p w14:paraId="30408139" w14:textId="2514F838" w:rsidR="008D0CAD" w:rsidRPr="005424E3" w:rsidRDefault="008D0CAD" w:rsidP="00796BFA">
      <w:pPr>
        <w:keepNext/>
        <w:spacing w:before="100" w:beforeAutospacing="1" w:after="100" w:afterAutospacing="1" w:line="360" w:lineRule="auto"/>
        <w:ind w:hanging="22"/>
        <w:rPr>
          <w:rFonts w:asciiTheme="majorHAnsi" w:hAnsiTheme="majorHAnsi" w:cstheme="majorHAnsi"/>
          <w:bCs/>
          <w:i/>
          <w:color w:val="44546A" w:themeColor="text2"/>
          <w:sz w:val="22"/>
          <w:szCs w:val="22"/>
          <w:lang w:val="en-US"/>
        </w:rPr>
      </w:pPr>
      <w:bookmarkStart w:id="420" w:name="_Toc15638040"/>
      <w:bookmarkStart w:id="421" w:name="_Toc71616638"/>
      <w:r w:rsidRPr="005424E3">
        <w:rPr>
          <w:rFonts w:asciiTheme="majorHAnsi" w:hAnsiTheme="majorHAnsi" w:cstheme="majorHAnsi"/>
          <w:bCs/>
          <w:i/>
          <w:color w:val="44546A" w:themeColor="text2"/>
          <w:sz w:val="22"/>
          <w:szCs w:val="22"/>
          <w:lang w:val="en-US"/>
        </w:rPr>
        <w:t xml:space="preserve">Table </w:t>
      </w:r>
      <w:r w:rsidRPr="005424E3">
        <w:rPr>
          <w:rFonts w:asciiTheme="majorHAnsi" w:hAnsiTheme="majorHAnsi" w:cstheme="majorHAnsi"/>
          <w:bCs/>
          <w:i/>
          <w:color w:val="44546A" w:themeColor="text2"/>
          <w:sz w:val="22"/>
          <w:szCs w:val="22"/>
          <w:lang w:val="en-US"/>
        </w:rPr>
        <w:fldChar w:fldCharType="begin"/>
      </w:r>
      <w:r w:rsidRPr="005424E3">
        <w:rPr>
          <w:rFonts w:asciiTheme="majorHAnsi" w:hAnsiTheme="majorHAnsi" w:cstheme="majorHAnsi"/>
          <w:bCs/>
          <w:i/>
          <w:color w:val="44546A" w:themeColor="text2"/>
          <w:sz w:val="22"/>
          <w:szCs w:val="22"/>
          <w:lang w:val="en-US"/>
        </w:rPr>
        <w:instrText xml:space="preserve"> SEQ Table \* ARABIC </w:instrText>
      </w:r>
      <w:r w:rsidRPr="005424E3">
        <w:rPr>
          <w:rFonts w:asciiTheme="majorHAnsi" w:hAnsiTheme="majorHAnsi" w:cstheme="majorHAnsi"/>
          <w:bCs/>
          <w:i/>
          <w:color w:val="44546A" w:themeColor="text2"/>
          <w:sz w:val="22"/>
          <w:szCs w:val="22"/>
          <w:lang w:val="en-US"/>
        </w:rPr>
        <w:fldChar w:fldCharType="separate"/>
      </w:r>
      <w:r w:rsidR="00D6133D">
        <w:rPr>
          <w:rFonts w:asciiTheme="majorHAnsi" w:hAnsiTheme="majorHAnsi" w:cstheme="majorHAnsi"/>
          <w:bCs/>
          <w:i/>
          <w:noProof/>
          <w:color w:val="44546A" w:themeColor="text2"/>
          <w:sz w:val="22"/>
          <w:szCs w:val="22"/>
          <w:lang w:val="en-US"/>
        </w:rPr>
        <w:t>47</w:t>
      </w:r>
      <w:r w:rsidRPr="005424E3">
        <w:rPr>
          <w:rFonts w:asciiTheme="majorHAnsi" w:hAnsiTheme="majorHAnsi" w:cstheme="majorHAnsi"/>
          <w:bCs/>
          <w:i/>
          <w:color w:val="44546A" w:themeColor="text2"/>
          <w:sz w:val="22"/>
          <w:szCs w:val="22"/>
          <w:lang w:val="en-US"/>
        </w:rPr>
        <w:fldChar w:fldCharType="end"/>
      </w:r>
      <w:r w:rsidRPr="005424E3">
        <w:rPr>
          <w:rFonts w:asciiTheme="majorHAnsi" w:hAnsiTheme="majorHAnsi" w:cstheme="majorHAnsi"/>
          <w:bCs/>
          <w:i/>
          <w:color w:val="44546A" w:themeColor="text2"/>
          <w:sz w:val="22"/>
          <w:szCs w:val="22"/>
          <w:lang w:val="en-US"/>
        </w:rPr>
        <w:t>.</w:t>
      </w:r>
      <w:r w:rsidR="00D434EB">
        <w:rPr>
          <w:rFonts w:asciiTheme="majorHAnsi" w:hAnsiTheme="majorHAnsi" w:cstheme="majorHAnsi"/>
          <w:bCs/>
          <w:i/>
          <w:color w:val="44546A" w:themeColor="text2"/>
          <w:sz w:val="22"/>
          <w:szCs w:val="22"/>
          <w:lang w:val="en-US"/>
        </w:rPr>
        <w:t xml:space="preserve"> </w:t>
      </w:r>
      <w:r w:rsidRPr="005424E3">
        <w:rPr>
          <w:rFonts w:asciiTheme="majorHAnsi" w:hAnsiTheme="majorHAnsi" w:cstheme="majorHAnsi"/>
          <w:bCs/>
          <w:i/>
          <w:color w:val="44546A" w:themeColor="text2"/>
          <w:sz w:val="22"/>
          <w:szCs w:val="22"/>
          <w:lang w:val="en-US"/>
        </w:rPr>
        <w:t>Effects of BEST by Region</w:t>
      </w:r>
      <w:bookmarkEnd w:id="420"/>
      <w:bookmarkEnd w:id="421"/>
    </w:p>
    <w:tbl>
      <w:tblPr>
        <w:tblStyle w:val="TableGrid1"/>
        <w:tblW w:w="7578" w:type="dxa"/>
        <w:tblLook w:val="04A0" w:firstRow="1" w:lastRow="0" w:firstColumn="1" w:lastColumn="0" w:noHBand="0" w:noVBand="1"/>
      </w:tblPr>
      <w:tblGrid>
        <w:gridCol w:w="3055"/>
        <w:gridCol w:w="1170"/>
        <w:gridCol w:w="410"/>
        <w:gridCol w:w="1065"/>
        <w:gridCol w:w="436"/>
        <w:gridCol w:w="1006"/>
        <w:gridCol w:w="436"/>
      </w:tblGrid>
      <w:tr w:rsidR="003B5A8C" w:rsidRPr="004B064D" w14:paraId="14E6B613" w14:textId="77777777" w:rsidTr="00F4751F">
        <w:trPr>
          <w:trHeight w:val="300"/>
          <w:tblHeader/>
        </w:trPr>
        <w:tc>
          <w:tcPr>
            <w:tcW w:w="3055" w:type="dxa"/>
            <w:noWrap/>
          </w:tcPr>
          <w:p w14:paraId="18260527" w14:textId="61634787" w:rsidR="003B5A8C" w:rsidRPr="004B064D" w:rsidRDefault="003B5A8C" w:rsidP="003B5A8C">
            <w:pPr>
              <w:spacing w:before="100" w:beforeAutospacing="1" w:after="100" w:afterAutospacing="1" w:line="360" w:lineRule="auto"/>
              <w:rPr>
                <w:rFonts w:asciiTheme="majorHAnsi" w:hAnsiTheme="majorHAnsi" w:cstheme="majorHAnsi"/>
                <w:b/>
                <w:bCs/>
                <w:color w:val="000000"/>
                <w:sz w:val="22"/>
                <w:szCs w:val="22"/>
                <w:lang w:eastAsia="en-PH"/>
              </w:rPr>
            </w:pPr>
            <w:r w:rsidRPr="004B064D">
              <w:rPr>
                <w:rFonts w:asciiTheme="majorHAnsi" w:hAnsiTheme="majorHAnsi" w:cstheme="majorHAnsi"/>
                <w:b/>
                <w:bCs/>
                <w:color w:val="000000"/>
                <w:sz w:val="22"/>
                <w:szCs w:val="22"/>
                <w:lang w:eastAsia="en-PH"/>
              </w:rPr>
              <w:t>Region</w:t>
            </w:r>
          </w:p>
        </w:tc>
        <w:tc>
          <w:tcPr>
            <w:tcW w:w="1170" w:type="dxa"/>
            <w:tcBorders>
              <w:right w:val="nil"/>
            </w:tcBorders>
            <w:noWrap/>
          </w:tcPr>
          <w:p w14:paraId="05A06078" w14:textId="022A4913" w:rsidR="003B5A8C" w:rsidRPr="004B064D" w:rsidRDefault="003B5A8C" w:rsidP="003B5A8C">
            <w:pPr>
              <w:spacing w:before="100" w:beforeAutospacing="1" w:after="100" w:afterAutospacing="1" w:line="360" w:lineRule="auto"/>
              <w:rPr>
                <w:rFonts w:asciiTheme="majorHAnsi" w:hAnsiTheme="majorHAnsi" w:cstheme="majorHAnsi"/>
                <w:b/>
                <w:bCs/>
                <w:color w:val="000000"/>
                <w:sz w:val="22"/>
                <w:szCs w:val="22"/>
                <w:lang w:val="en-US" w:eastAsia="en-PH"/>
              </w:rPr>
            </w:pPr>
            <w:r w:rsidRPr="004B064D">
              <w:rPr>
                <w:rFonts w:asciiTheme="majorHAnsi" w:hAnsiTheme="majorHAnsi" w:cstheme="majorHAnsi"/>
                <w:b/>
                <w:bCs/>
                <w:color w:val="000000"/>
                <w:sz w:val="22"/>
                <w:szCs w:val="22"/>
                <w:lang w:eastAsia="en-PH"/>
              </w:rPr>
              <w:t>Grade 4</w:t>
            </w:r>
          </w:p>
        </w:tc>
        <w:tc>
          <w:tcPr>
            <w:tcW w:w="410" w:type="dxa"/>
            <w:tcBorders>
              <w:left w:val="nil"/>
            </w:tcBorders>
            <w:noWrap/>
          </w:tcPr>
          <w:p w14:paraId="74A19104" w14:textId="3556854C" w:rsidR="003B5A8C" w:rsidRPr="004B064D" w:rsidRDefault="003B5A8C" w:rsidP="003B5A8C">
            <w:pPr>
              <w:spacing w:before="100" w:beforeAutospacing="1" w:after="100" w:afterAutospacing="1" w:line="360" w:lineRule="auto"/>
              <w:rPr>
                <w:rFonts w:asciiTheme="majorHAnsi" w:hAnsiTheme="majorHAnsi" w:cstheme="majorHAnsi"/>
                <w:b/>
                <w:bCs/>
                <w:color w:val="000000"/>
                <w:sz w:val="22"/>
                <w:szCs w:val="22"/>
                <w:lang w:eastAsia="en-PH"/>
              </w:rPr>
            </w:pPr>
          </w:p>
        </w:tc>
        <w:tc>
          <w:tcPr>
            <w:tcW w:w="1065" w:type="dxa"/>
            <w:tcBorders>
              <w:right w:val="nil"/>
            </w:tcBorders>
            <w:noWrap/>
          </w:tcPr>
          <w:p w14:paraId="754533D8" w14:textId="1EC73D41" w:rsidR="003B5A8C" w:rsidRPr="004B064D" w:rsidRDefault="003B5A8C" w:rsidP="003B5A8C">
            <w:pPr>
              <w:spacing w:before="100" w:beforeAutospacing="1" w:after="100" w:afterAutospacing="1" w:line="360" w:lineRule="auto"/>
              <w:rPr>
                <w:rFonts w:asciiTheme="majorHAnsi" w:hAnsiTheme="majorHAnsi" w:cstheme="majorHAnsi"/>
                <w:b/>
                <w:bCs/>
                <w:color w:val="000000"/>
                <w:sz w:val="22"/>
                <w:szCs w:val="22"/>
                <w:lang w:eastAsia="en-PH"/>
              </w:rPr>
            </w:pPr>
            <w:r w:rsidRPr="004B064D">
              <w:rPr>
                <w:rFonts w:asciiTheme="majorHAnsi" w:hAnsiTheme="majorHAnsi" w:cstheme="majorHAnsi"/>
                <w:b/>
                <w:bCs/>
                <w:color w:val="000000"/>
                <w:sz w:val="22"/>
                <w:szCs w:val="22"/>
                <w:lang w:eastAsia="en-PH"/>
              </w:rPr>
              <w:t>Grade 6</w:t>
            </w:r>
          </w:p>
        </w:tc>
        <w:tc>
          <w:tcPr>
            <w:tcW w:w="436" w:type="dxa"/>
            <w:tcBorders>
              <w:left w:val="nil"/>
            </w:tcBorders>
            <w:noWrap/>
          </w:tcPr>
          <w:p w14:paraId="7AE2ED29" w14:textId="77777777" w:rsidR="003B5A8C" w:rsidRPr="004B064D" w:rsidRDefault="003B5A8C" w:rsidP="003B5A8C">
            <w:pPr>
              <w:spacing w:before="100" w:beforeAutospacing="1" w:after="100" w:afterAutospacing="1" w:line="360" w:lineRule="auto"/>
              <w:rPr>
                <w:rFonts w:asciiTheme="majorHAnsi" w:hAnsiTheme="majorHAnsi" w:cstheme="majorHAnsi"/>
                <w:b/>
                <w:bCs/>
                <w:color w:val="000000"/>
                <w:sz w:val="22"/>
                <w:szCs w:val="22"/>
                <w:lang w:eastAsia="en-PH"/>
              </w:rPr>
            </w:pPr>
          </w:p>
        </w:tc>
        <w:tc>
          <w:tcPr>
            <w:tcW w:w="1006" w:type="dxa"/>
            <w:tcBorders>
              <w:right w:val="nil"/>
            </w:tcBorders>
            <w:noWrap/>
          </w:tcPr>
          <w:p w14:paraId="6EB13C4C" w14:textId="534481DC" w:rsidR="003B5A8C" w:rsidRPr="004B064D" w:rsidRDefault="003B5A8C" w:rsidP="003B5A8C">
            <w:pPr>
              <w:spacing w:before="100" w:beforeAutospacing="1" w:after="100" w:afterAutospacing="1" w:line="360" w:lineRule="auto"/>
              <w:rPr>
                <w:rFonts w:asciiTheme="majorHAnsi" w:hAnsiTheme="majorHAnsi" w:cstheme="majorHAnsi"/>
                <w:b/>
                <w:bCs/>
                <w:color w:val="000000"/>
                <w:sz w:val="22"/>
                <w:szCs w:val="22"/>
                <w:lang w:val="en-US" w:eastAsia="en-PH"/>
              </w:rPr>
            </w:pPr>
            <w:r w:rsidRPr="004B064D">
              <w:rPr>
                <w:rFonts w:asciiTheme="majorHAnsi" w:hAnsiTheme="majorHAnsi" w:cstheme="majorHAnsi"/>
                <w:b/>
                <w:bCs/>
                <w:color w:val="000000"/>
                <w:sz w:val="22"/>
                <w:szCs w:val="22"/>
                <w:lang w:eastAsia="en-PH"/>
              </w:rPr>
              <w:t>Grade 5</w:t>
            </w:r>
          </w:p>
        </w:tc>
        <w:tc>
          <w:tcPr>
            <w:tcW w:w="436" w:type="dxa"/>
            <w:tcBorders>
              <w:left w:val="nil"/>
            </w:tcBorders>
            <w:noWrap/>
          </w:tcPr>
          <w:p w14:paraId="206319EF" w14:textId="77777777" w:rsidR="003B5A8C" w:rsidRPr="004B064D" w:rsidRDefault="003B5A8C" w:rsidP="003B5A8C">
            <w:pPr>
              <w:spacing w:before="100" w:beforeAutospacing="1" w:after="100" w:afterAutospacing="1" w:line="360" w:lineRule="auto"/>
              <w:rPr>
                <w:rFonts w:asciiTheme="majorHAnsi" w:hAnsiTheme="majorHAnsi" w:cstheme="majorHAnsi"/>
                <w:b/>
                <w:bCs/>
                <w:color w:val="000000"/>
                <w:sz w:val="22"/>
                <w:szCs w:val="22"/>
                <w:lang w:eastAsia="en-PH"/>
              </w:rPr>
            </w:pPr>
          </w:p>
        </w:tc>
      </w:tr>
      <w:tr w:rsidR="003B5A8C" w:rsidRPr="004213BA" w14:paraId="495BE569" w14:textId="77777777" w:rsidTr="00AF2654">
        <w:trPr>
          <w:trHeight w:val="300"/>
        </w:trPr>
        <w:tc>
          <w:tcPr>
            <w:tcW w:w="3055" w:type="dxa"/>
            <w:noWrap/>
            <w:hideMark/>
          </w:tcPr>
          <w:p w14:paraId="4B7DB481" w14:textId="77777777" w:rsidR="003B5A8C" w:rsidRPr="004213BA" w:rsidRDefault="003B5A8C" w:rsidP="003B5A8C">
            <w:pPr>
              <w:spacing w:before="100" w:beforeAutospacing="1" w:after="100" w:afterAutospacing="1" w:line="360" w:lineRule="auto"/>
              <w:rPr>
                <w:rFonts w:asciiTheme="majorHAnsi" w:hAnsiTheme="majorHAnsi" w:cstheme="majorHAnsi"/>
                <w:color w:val="000000"/>
                <w:sz w:val="22"/>
                <w:szCs w:val="22"/>
                <w:lang w:eastAsia="en-PH"/>
              </w:rPr>
            </w:pPr>
            <w:r w:rsidRPr="004213BA">
              <w:rPr>
                <w:rFonts w:asciiTheme="majorHAnsi" w:hAnsiTheme="majorHAnsi" w:cstheme="majorHAnsi"/>
                <w:color w:val="000000"/>
                <w:sz w:val="22"/>
                <w:szCs w:val="22"/>
                <w:lang w:eastAsia="en-PH"/>
              </w:rPr>
              <w:t>NCR</w:t>
            </w:r>
          </w:p>
        </w:tc>
        <w:tc>
          <w:tcPr>
            <w:tcW w:w="1170" w:type="dxa"/>
            <w:noWrap/>
            <w:hideMark/>
          </w:tcPr>
          <w:p w14:paraId="30829D58" w14:textId="77777777" w:rsidR="003B5A8C" w:rsidRPr="004213BA" w:rsidRDefault="003B5A8C" w:rsidP="003B5A8C">
            <w:pPr>
              <w:spacing w:before="100" w:beforeAutospacing="1" w:after="100" w:afterAutospacing="1" w:line="360" w:lineRule="auto"/>
              <w:rPr>
                <w:rFonts w:asciiTheme="majorHAnsi" w:hAnsiTheme="majorHAnsi" w:cstheme="majorHAnsi"/>
                <w:color w:val="000000"/>
                <w:sz w:val="22"/>
                <w:szCs w:val="22"/>
                <w:lang w:eastAsia="en-PH"/>
              </w:rPr>
            </w:pPr>
            <w:r w:rsidRPr="004213BA">
              <w:rPr>
                <w:rFonts w:asciiTheme="majorHAnsi" w:hAnsiTheme="majorHAnsi" w:cstheme="majorHAnsi"/>
                <w:color w:val="000000"/>
                <w:sz w:val="22"/>
                <w:szCs w:val="22"/>
                <w:lang w:val="en-US" w:eastAsia="en-PH"/>
              </w:rPr>
              <w:t>-0.0712</w:t>
            </w:r>
          </w:p>
        </w:tc>
        <w:tc>
          <w:tcPr>
            <w:tcW w:w="410" w:type="dxa"/>
            <w:noWrap/>
            <w:hideMark/>
          </w:tcPr>
          <w:p w14:paraId="1DDB02B3" w14:textId="77777777" w:rsidR="003B5A8C" w:rsidRPr="004213BA" w:rsidRDefault="003B5A8C" w:rsidP="003B5A8C">
            <w:pPr>
              <w:spacing w:before="100" w:beforeAutospacing="1" w:after="100" w:afterAutospacing="1" w:line="360" w:lineRule="auto"/>
              <w:rPr>
                <w:rFonts w:asciiTheme="majorHAnsi" w:hAnsiTheme="majorHAnsi" w:cstheme="majorHAnsi"/>
                <w:color w:val="000000"/>
                <w:sz w:val="22"/>
                <w:szCs w:val="22"/>
                <w:lang w:eastAsia="en-PH"/>
              </w:rPr>
            </w:pPr>
            <w:r w:rsidRPr="004213BA">
              <w:rPr>
                <w:rFonts w:asciiTheme="majorHAnsi" w:hAnsiTheme="majorHAnsi" w:cstheme="majorHAnsi"/>
                <w:color w:val="000000"/>
                <w:sz w:val="22"/>
                <w:szCs w:val="22"/>
                <w:lang w:eastAsia="en-PH"/>
              </w:rPr>
              <w:t> </w:t>
            </w:r>
          </w:p>
        </w:tc>
        <w:tc>
          <w:tcPr>
            <w:tcW w:w="1065" w:type="dxa"/>
            <w:noWrap/>
            <w:hideMark/>
          </w:tcPr>
          <w:p w14:paraId="76035CAC" w14:textId="77777777" w:rsidR="003B5A8C" w:rsidRPr="004213BA" w:rsidRDefault="003B5A8C" w:rsidP="003B5A8C">
            <w:pPr>
              <w:spacing w:before="100" w:beforeAutospacing="1" w:after="100" w:afterAutospacing="1" w:line="360" w:lineRule="auto"/>
              <w:rPr>
                <w:rFonts w:asciiTheme="majorHAnsi" w:hAnsiTheme="majorHAnsi" w:cstheme="majorHAnsi"/>
                <w:color w:val="000000"/>
                <w:sz w:val="22"/>
                <w:szCs w:val="22"/>
                <w:lang w:eastAsia="en-PH"/>
              </w:rPr>
            </w:pPr>
            <w:r w:rsidRPr="004213BA">
              <w:rPr>
                <w:rFonts w:asciiTheme="majorHAnsi" w:hAnsiTheme="majorHAnsi" w:cstheme="majorHAnsi"/>
                <w:color w:val="000000"/>
                <w:sz w:val="22"/>
                <w:szCs w:val="22"/>
                <w:lang w:eastAsia="en-PH"/>
              </w:rPr>
              <w:t>0.7948</w:t>
            </w:r>
          </w:p>
        </w:tc>
        <w:tc>
          <w:tcPr>
            <w:tcW w:w="436" w:type="dxa"/>
            <w:noWrap/>
            <w:hideMark/>
          </w:tcPr>
          <w:p w14:paraId="7A0735E8" w14:textId="77777777" w:rsidR="003B5A8C" w:rsidRPr="004213BA" w:rsidRDefault="003B5A8C" w:rsidP="003B5A8C">
            <w:pPr>
              <w:spacing w:before="100" w:beforeAutospacing="1" w:after="100" w:afterAutospacing="1" w:line="360" w:lineRule="auto"/>
              <w:rPr>
                <w:rFonts w:asciiTheme="majorHAnsi" w:hAnsiTheme="majorHAnsi" w:cstheme="majorHAnsi"/>
                <w:color w:val="000000"/>
                <w:sz w:val="22"/>
                <w:szCs w:val="22"/>
                <w:lang w:eastAsia="en-PH"/>
              </w:rPr>
            </w:pPr>
            <w:r w:rsidRPr="004213BA">
              <w:rPr>
                <w:rFonts w:asciiTheme="majorHAnsi" w:hAnsiTheme="majorHAnsi" w:cstheme="majorHAnsi"/>
                <w:color w:val="000000"/>
                <w:sz w:val="22"/>
                <w:szCs w:val="22"/>
                <w:lang w:eastAsia="en-PH"/>
              </w:rPr>
              <w:t>*</w:t>
            </w:r>
          </w:p>
        </w:tc>
        <w:tc>
          <w:tcPr>
            <w:tcW w:w="1006" w:type="dxa"/>
            <w:noWrap/>
            <w:hideMark/>
          </w:tcPr>
          <w:p w14:paraId="01ABF634" w14:textId="77777777" w:rsidR="003B5A8C" w:rsidRPr="004213BA" w:rsidRDefault="003B5A8C" w:rsidP="003B5A8C">
            <w:pPr>
              <w:spacing w:before="100" w:beforeAutospacing="1" w:after="100" w:afterAutospacing="1" w:line="360" w:lineRule="auto"/>
              <w:rPr>
                <w:rFonts w:asciiTheme="majorHAnsi" w:hAnsiTheme="majorHAnsi" w:cstheme="majorHAnsi"/>
                <w:color w:val="000000"/>
                <w:sz w:val="22"/>
                <w:szCs w:val="22"/>
                <w:lang w:eastAsia="en-PH"/>
              </w:rPr>
            </w:pPr>
            <w:r w:rsidRPr="004213BA">
              <w:rPr>
                <w:rFonts w:asciiTheme="majorHAnsi" w:hAnsiTheme="majorHAnsi" w:cstheme="majorHAnsi"/>
                <w:color w:val="000000"/>
                <w:sz w:val="22"/>
                <w:szCs w:val="22"/>
                <w:lang w:val="en-US" w:eastAsia="en-PH"/>
              </w:rPr>
              <w:t>0.5808</w:t>
            </w:r>
          </w:p>
        </w:tc>
        <w:tc>
          <w:tcPr>
            <w:tcW w:w="436" w:type="dxa"/>
            <w:noWrap/>
            <w:hideMark/>
          </w:tcPr>
          <w:p w14:paraId="3D10D22D" w14:textId="77777777" w:rsidR="003B5A8C" w:rsidRPr="004213BA" w:rsidRDefault="003B5A8C" w:rsidP="003B5A8C">
            <w:pPr>
              <w:spacing w:before="100" w:beforeAutospacing="1" w:after="100" w:afterAutospacing="1" w:line="360" w:lineRule="auto"/>
              <w:rPr>
                <w:rFonts w:asciiTheme="majorHAnsi" w:hAnsiTheme="majorHAnsi" w:cstheme="majorHAnsi"/>
                <w:color w:val="000000"/>
                <w:sz w:val="22"/>
                <w:szCs w:val="22"/>
                <w:lang w:eastAsia="en-PH"/>
              </w:rPr>
            </w:pPr>
            <w:r w:rsidRPr="004213BA">
              <w:rPr>
                <w:rFonts w:asciiTheme="majorHAnsi" w:hAnsiTheme="majorHAnsi" w:cstheme="majorHAnsi"/>
                <w:color w:val="000000"/>
                <w:sz w:val="22"/>
                <w:szCs w:val="22"/>
                <w:lang w:eastAsia="en-PH"/>
              </w:rPr>
              <w:t>*</w:t>
            </w:r>
          </w:p>
        </w:tc>
      </w:tr>
      <w:tr w:rsidR="003B5A8C" w:rsidRPr="004213BA" w14:paraId="718C65AE" w14:textId="77777777" w:rsidTr="00AF2654">
        <w:trPr>
          <w:trHeight w:val="300"/>
        </w:trPr>
        <w:tc>
          <w:tcPr>
            <w:tcW w:w="3055" w:type="dxa"/>
            <w:noWrap/>
            <w:hideMark/>
          </w:tcPr>
          <w:p w14:paraId="657CCE8D" w14:textId="77777777" w:rsidR="003B5A8C" w:rsidRPr="004213BA" w:rsidRDefault="003B5A8C" w:rsidP="003B5A8C">
            <w:pPr>
              <w:spacing w:before="100" w:beforeAutospacing="1" w:after="100" w:afterAutospacing="1" w:line="360" w:lineRule="auto"/>
              <w:rPr>
                <w:rFonts w:asciiTheme="majorHAnsi" w:hAnsiTheme="majorHAnsi" w:cstheme="majorHAnsi"/>
                <w:color w:val="000000"/>
                <w:sz w:val="22"/>
                <w:szCs w:val="22"/>
                <w:lang w:eastAsia="en-PH"/>
              </w:rPr>
            </w:pPr>
            <w:r w:rsidRPr="004213BA">
              <w:rPr>
                <w:rFonts w:asciiTheme="majorHAnsi" w:hAnsiTheme="majorHAnsi" w:cstheme="majorHAnsi"/>
                <w:color w:val="000000"/>
                <w:sz w:val="22"/>
                <w:szCs w:val="22"/>
                <w:lang w:eastAsia="en-PH"/>
              </w:rPr>
              <w:t>Region 10</w:t>
            </w:r>
          </w:p>
        </w:tc>
        <w:tc>
          <w:tcPr>
            <w:tcW w:w="1170" w:type="dxa"/>
            <w:noWrap/>
            <w:hideMark/>
          </w:tcPr>
          <w:p w14:paraId="000CD629" w14:textId="77777777" w:rsidR="003B5A8C" w:rsidRPr="004213BA" w:rsidRDefault="003B5A8C" w:rsidP="003B5A8C">
            <w:pPr>
              <w:spacing w:before="100" w:beforeAutospacing="1" w:after="100" w:afterAutospacing="1" w:line="360" w:lineRule="auto"/>
              <w:rPr>
                <w:rFonts w:asciiTheme="majorHAnsi" w:hAnsiTheme="majorHAnsi" w:cstheme="majorHAnsi"/>
                <w:color w:val="000000"/>
                <w:sz w:val="22"/>
                <w:szCs w:val="22"/>
                <w:lang w:eastAsia="en-PH"/>
              </w:rPr>
            </w:pPr>
            <w:r w:rsidRPr="004213BA">
              <w:rPr>
                <w:rFonts w:asciiTheme="majorHAnsi" w:hAnsiTheme="majorHAnsi" w:cstheme="majorHAnsi"/>
                <w:color w:val="000000"/>
                <w:sz w:val="22"/>
                <w:szCs w:val="22"/>
                <w:lang w:eastAsia="en-PH"/>
              </w:rPr>
              <w:t>0.2538</w:t>
            </w:r>
          </w:p>
        </w:tc>
        <w:tc>
          <w:tcPr>
            <w:tcW w:w="410" w:type="dxa"/>
            <w:noWrap/>
            <w:hideMark/>
          </w:tcPr>
          <w:p w14:paraId="07809BB2" w14:textId="77777777" w:rsidR="003B5A8C" w:rsidRPr="004213BA" w:rsidRDefault="003B5A8C" w:rsidP="003B5A8C">
            <w:pPr>
              <w:spacing w:before="100" w:beforeAutospacing="1" w:after="100" w:afterAutospacing="1" w:line="360" w:lineRule="auto"/>
              <w:rPr>
                <w:rFonts w:asciiTheme="majorHAnsi" w:hAnsiTheme="majorHAnsi" w:cstheme="majorHAnsi"/>
                <w:color w:val="000000"/>
                <w:sz w:val="22"/>
                <w:szCs w:val="22"/>
                <w:lang w:eastAsia="en-PH"/>
              </w:rPr>
            </w:pPr>
            <w:r w:rsidRPr="004213BA">
              <w:rPr>
                <w:rFonts w:asciiTheme="majorHAnsi" w:hAnsiTheme="majorHAnsi" w:cstheme="majorHAnsi"/>
                <w:color w:val="000000"/>
                <w:sz w:val="22"/>
                <w:szCs w:val="22"/>
                <w:lang w:eastAsia="en-PH"/>
              </w:rPr>
              <w:t> </w:t>
            </w:r>
          </w:p>
        </w:tc>
        <w:tc>
          <w:tcPr>
            <w:tcW w:w="1065" w:type="dxa"/>
            <w:noWrap/>
            <w:hideMark/>
          </w:tcPr>
          <w:p w14:paraId="6BE1A300" w14:textId="77777777" w:rsidR="003B5A8C" w:rsidRPr="004213BA" w:rsidRDefault="003B5A8C" w:rsidP="003B5A8C">
            <w:pPr>
              <w:spacing w:before="100" w:beforeAutospacing="1" w:after="100" w:afterAutospacing="1" w:line="360" w:lineRule="auto"/>
              <w:rPr>
                <w:rFonts w:asciiTheme="majorHAnsi" w:hAnsiTheme="majorHAnsi" w:cstheme="majorHAnsi"/>
                <w:color w:val="000000"/>
                <w:sz w:val="22"/>
                <w:szCs w:val="22"/>
                <w:lang w:eastAsia="en-PH"/>
              </w:rPr>
            </w:pPr>
            <w:r w:rsidRPr="004213BA">
              <w:rPr>
                <w:rFonts w:asciiTheme="majorHAnsi" w:hAnsiTheme="majorHAnsi" w:cstheme="majorHAnsi"/>
                <w:color w:val="000000"/>
                <w:sz w:val="22"/>
                <w:szCs w:val="22"/>
                <w:lang w:val="en-US" w:eastAsia="en-PH"/>
              </w:rPr>
              <w:t>-1.1469</w:t>
            </w:r>
          </w:p>
        </w:tc>
        <w:tc>
          <w:tcPr>
            <w:tcW w:w="436" w:type="dxa"/>
            <w:noWrap/>
            <w:hideMark/>
          </w:tcPr>
          <w:p w14:paraId="4A372C5B" w14:textId="77777777" w:rsidR="003B5A8C" w:rsidRPr="004213BA" w:rsidRDefault="003B5A8C" w:rsidP="003B5A8C">
            <w:pPr>
              <w:spacing w:before="100" w:beforeAutospacing="1" w:after="100" w:afterAutospacing="1" w:line="360" w:lineRule="auto"/>
              <w:rPr>
                <w:rFonts w:asciiTheme="majorHAnsi" w:hAnsiTheme="majorHAnsi" w:cstheme="majorHAnsi"/>
                <w:color w:val="000000"/>
                <w:sz w:val="22"/>
                <w:szCs w:val="22"/>
                <w:lang w:eastAsia="en-PH"/>
              </w:rPr>
            </w:pPr>
            <w:r w:rsidRPr="004213BA">
              <w:rPr>
                <w:rFonts w:asciiTheme="majorHAnsi" w:hAnsiTheme="majorHAnsi" w:cstheme="majorHAnsi"/>
                <w:color w:val="000000"/>
                <w:sz w:val="22"/>
                <w:szCs w:val="22"/>
                <w:lang w:eastAsia="en-PH"/>
              </w:rPr>
              <w:t> </w:t>
            </w:r>
          </w:p>
        </w:tc>
        <w:tc>
          <w:tcPr>
            <w:tcW w:w="1006" w:type="dxa"/>
            <w:noWrap/>
            <w:hideMark/>
          </w:tcPr>
          <w:p w14:paraId="41AD8257" w14:textId="77777777" w:rsidR="003B5A8C" w:rsidRPr="004213BA" w:rsidRDefault="003B5A8C" w:rsidP="003B5A8C">
            <w:pPr>
              <w:spacing w:before="100" w:beforeAutospacing="1" w:after="100" w:afterAutospacing="1" w:line="360" w:lineRule="auto"/>
              <w:rPr>
                <w:rFonts w:asciiTheme="majorHAnsi" w:hAnsiTheme="majorHAnsi" w:cstheme="majorHAnsi"/>
                <w:color w:val="000000"/>
                <w:sz w:val="22"/>
                <w:szCs w:val="22"/>
                <w:lang w:eastAsia="en-PH"/>
              </w:rPr>
            </w:pPr>
            <w:r w:rsidRPr="004213BA">
              <w:rPr>
                <w:rFonts w:asciiTheme="majorHAnsi" w:hAnsiTheme="majorHAnsi" w:cstheme="majorHAnsi"/>
                <w:color w:val="000000"/>
                <w:sz w:val="22"/>
                <w:szCs w:val="22"/>
                <w:lang w:eastAsia="en-PH"/>
              </w:rPr>
              <w:t>0.0711</w:t>
            </w:r>
          </w:p>
        </w:tc>
        <w:tc>
          <w:tcPr>
            <w:tcW w:w="436" w:type="dxa"/>
            <w:noWrap/>
            <w:hideMark/>
          </w:tcPr>
          <w:p w14:paraId="386E10EF" w14:textId="77777777" w:rsidR="003B5A8C" w:rsidRPr="004213BA" w:rsidRDefault="003B5A8C" w:rsidP="003B5A8C">
            <w:pPr>
              <w:spacing w:before="100" w:beforeAutospacing="1" w:after="100" w:afterAutospacing="1" w:line="360" w:lineRule="auto"/>
              <w:rPr>
                <w:rFonts w:asciiTheme="majorHAnsi" w:hAnsiTheme="majorHAnsi" w:cstheme="majorHAnsi"/>
                <w:color w:val="000000"/>
                <w:sz w:val="22"/>
                <w:szCs w:val="22"/>
                <w:lang w:eastAsia="en-PH"/>
              </w:rPr>
            </w:pPr>
            <w:r w:rsidRPr="004213BA">
              <w:rPr>
                <w:rFonts w:asciiTheme="majorHAnsi" w:hAnsiTheme="majorHAnsi" w:cstheme="majorHAnsi"/>
                <w:color w:val="000000"/>
                <w:sz w:val="22"/>
                <w:szCs w:val="22"/>
                <w:lang w:eastAsia="en-PH"/>
              </w:rPr>
              <w:t> </w:t>
            </w:r>
          </w:p>
        </w:tc>
      </w:tr>
      <w:tr w:rsidR="003B5A8C" w:rsidRPr="004213BA" w14:paraId="77CD30FD" w14:textId="77777777" w:rsidTr="00AF2654">
        <w:trPr>
          <w:trHeight w:val="300"/>
        </w:trPr>
        <w:tc>
          <w:tcPr>
            <w:tcW w:w="3055" w:type="dxa"/>
            <w:noWrap/>
            <w:hideMark/>
          </w:tcPr>
          <w:p w14:paraId="3225C1A4" w14:textId="77777777" w:rsidR="003B5A8C" w:rsidRPr="004213BA" w:rsidRDefault="003B5A8C" w:rsidP="003B5A8C">
            <w:pPr>
              <w:spacing w:before="100" w:beforeAutospacing="1" w:after="100" w:afterAutospacing="1" w:line="360" w:lineRule="auto"/>
              <w:rPr>
                <w:rFonts w:asciiTheme="majorHAnsi" w:hAnsiTheme="majorHAnsi" w:cstheme="majorHAnsi"/>
                <w:color w:val="000000"/>
                <w:sz w:val="22"/>
                <w:szCs w:val="22"/>
                <w:lang w:eastAsia="en-PH"/>
              </w:rPr>
            </w:pPr>
            <w:r w:rsidRPr="004213BA">
              <w:rPr>
                <w:rFonts w:asciiTheme="majorHAnsi" w:hAnsiTheme="majorHAnsi" w:cstheme="majorHAnsi"/>
                <w:color w:val="000000"/>
                <w:sz w:val="22"/>
                <w:szCs w:val="22"/>
                <w:lang w:eastAsia="en-PH"/>
              </w:rPr>
              <w:t>Region 5</w:t>
            </w:r>
          </w:p>
        </w:tc>
        <w:tc>
          <w:tcPr>
            <w:tcW w:w="1170" w:type="dxa"/>
            <w:noWrap/>
            <w:hideMark/>
          </w:tcPr>
          <w:p w14:paraId="6D828D1D" w14:textId="77777777" w:rsidR="003B5A8C" w:rsidRPr="004213BA" w:rsidRDefault="003B5A8C" w:rsidP="003B5A8C">
            <w:pPr>
              <w:spacing w:before="100" w:beforeAutospacing="1" w:after="100" w:afterAutospacing="1" w:line="360" w:lineRule="auto"/>
              <w:rPr>
                <w:rFonts w:asciiTheme="majorHAnsi" w:hAnsiTheme="majorHAnsi" w:cstheme="majorHAnsi"/>
                <w:color w:val="000000"/>
                <w:sz w:val="22"/>
                <w:szCs w:val="22"/>
                <w:lang w:eastAsia="en-PH"/>
              </w:rPr>
            </w:pPr>
            <w:r w:rsidRPr="004213BA">
              <w:rPr>
                <w:rFonts w:asciiTheme="majorHAnsi" w:hAnsiTheme="majorHAnsi" w:cstheme="majorHAnsi"/>
                <w:color w:val="000000"/>
                <w:sz w:val="22"/>
                <w:szCs w:val="22"/>
                <w:lang w:eastAsia="en-PH"/>
              </w:rPr>
              <w:t>0.7576</w:t>
            </w:r>
          </w:p>
        </w:tc>
        <w:tc>
          <w:tcPr>
            <w:tcW w:w="410" w:type="dxa"/>
            <w:noWrap/>
            <w:hideMark/>
          </w:tcPr>
          <w:p w14:paraId="446C77E3" w14:textId="77777777" w:rsidR="003B5A8C" w:rsidRPr="004213BA" w:rsidRDefault="003B5A8C" w:rsidP="003B5A8C">
            <w:pPr>
              <w:spacing w:before="100" w:beforeAutospacing="1" w:after="100" w:afterAutospacing="1" w:line="360" w:lineRule="auto"/>
              <w:rPr>
                <w:rFonts w:asciiTheme="majorHAnsi" w:hAnsiTheme="majorHAnsi" w:cstheme="majorHAnsi"/>
                <w:color w:val="000000"/>
                <w:sz w:val="22"/>
                <w:szCs w:val="22"/>
                <w:lang w:eastAsia="en-PH"/>
              </w:rPr>
            </w:pPr>
            <w:r w:rsidRPr="004213BA">
              <w:rPr>
                <w:rFonts w:asciiTheme="majorHAnsi" w:hAnsiTheme="majorHAnsi" w:cstheme="majorHAnsi"/>
                <w:color w:val="000000"/>
                <w:sz w:val="22"/>
                <w:szCs w:val="22"/>
                <w:lang w:eastAsia="en-PH"/>
              </w:rPr>
              <w:t> </w:t>
            </w:r>
          </w:p>
        </w:tc>
        <w:tc>
          <w:tcPr>
            <w:tcW w:w="1065" w:type="dxa"/>
            <w:noWrap/>
            <w:hideMark/>
          </w:tcPr>
          <w:p w14:paraId="10401E1A" w14:textId="77777777" w:rsidR="003B5A8C" w:rsidRPr="004213BA" w:rsidRDefault="003B5A8C" w:rsidP="003B5A8C">
            <w:pPr>
              <w:spacing w:before="100" w:beforeAutospacing="1" w:after="100" w:afterAutospacing="1" w:line="360" w:lineRule="auto"/>
              <w:rPr>
                <w:rFonts w:asciiTheme="majorHAnsi" w:hAnsiTheme="majorHAnsi" w:cstheme="majorHAnsi"/>
                <w:color w:val="000000"/>
                <w:sz w:val="22"/>
                <w:szCs w:val="22"/>
                <w:lang w:eastAsia="en-PH"/>
              </w:rPr>
            </w:pPr>
            <w:r w:rsidRPr="004213BA">
              <w:rPr>
                <w:rFonts w:asciiTheme="majorHAnsi" w:hAnsiTheme="majorHAnsi" w:cstheme="majorHAnsi"/>
                <w:color w:val="000000"/>
                <w:sz w:val="22"/>
                <w:szCs w:val="22"/>
                <w:lang w:eastAsia="en-PH"/>
              </w:rPr>
              <w:t>0.3271</w:t>
            </w:r>
          </w:p>
        </w:tc>
        <w:tc>
          <w:tcPr>
            <w:tcW w:w="436" w:type="dxa"/>
            <w:noWrap/>
            <w:hideMark/>
          </w:tcPr>
          <w:p w14:paraId="06CF8EBC" w14:textId="77777777" w:rsidR="003B5A8C" w:rsidRPr="004213BA" w:rsidRDefault="003B5A8C" w:rsidP="003B5A8C">
            <w:pPr>
              <w:spacing w:before="100" w:beforeAutospacing="1" w:after="100" w:afterAutospacing="1" w:line="360" w:lineRule="auto"/>
              <w:rPr>
                <w:rFonts w:asciiTheme="majorHAnsi" w:hAnsiTheme="majorHAnsi" w:cstheme="majorHAnsi"/>
                <w:color w:val="000000"/>
                <w:sz w:val="22"/>
                <w:szCs w:val="22"/>
                <w:lang w:eastAsia="en-PH"/>
              </w:rPr>
            </w:pPr>
            <w:r w:rsidRPr="004213BA">
              <w:rPr>
                <w:rFonts w:asciiTheme="majorHAnsi" w:hAnsiTheme="majorHAnsi" w:cstheme="majorHAnsi"/>
                <w:color w:val="000000"/>
                <w:sz w:val="22"/>
                <w:szCs w:val="22"/>
                <w:lang w:eastAsia="en-PH"/>
              </w:rPr>
              <w:t>**</w:t>
            </w:r>
          </w:p>
        </w:tc>
        <w:tc>
          <w:tcPr>
            <w:tcW w:w="1006" w:type="dxa"/>
            <w:noWrap/>
            <w:hideMark/>
          </w:tcPr>
          <w:p w14:paraId="63A37A1E" w14:textId="77777777" w:rsidR="003B5A8C" w:rsidRPr="004213BA" w:rsidRDefault="003B5A8C" w:rsidP="003B5A8C">
            <w:pPr>
              <w:spacing w:before="100" w:beforeAutospacing="1" w:after="100" w:afterAutospacing="1" w:line="360" w:lineRule="auto"/>
              <w:rPr>
                <w:rFonts w:asciiTheme="majorHAnsi" w:hAnsiTheme="majorHAnsi" w:cstheme="majorHAnsi"/>
                <w:color w:val="000000"/>
                <w:sz w:val="22"/>
                <w:szCs w:val="22"/>
                <w:lang w:eastAsia="en-PH"/>
              </w:rPr>
            </w:pPr>
            <w:r w:rsidRPr="004213BA">
              <w:rPr>
                <w:rFonts w:asciiTheme="majorHAnsi" w:hAnsiTheme="majorHAnsi" w:cstheme="majorHAnsi"/>
                <w:color w:val="000000"/>
                <w:sz w:val="22"/>
                <w:szCs w:val="22"/>
                <w:lang w:eastAsia="en-PH"/>
              </w:rPr>
              <w:t>0.7820</w:t>
            </w:r>
          </w:p>
        </w:tc>
        <w:tc>
          <w:tcPr>
            <w:tcW w:w="436" w:type="dxa"/>
            <w:noWrap/>
            <w:hideMark/>
          </w:tcPr>
          <w:p w14:paraId="1190B71B" w14:textId="77777777" w:rsidR="003B5A8C" w:rsidRPr="004213BA" w:rsidRDefault="003B5A8C" w:rsidP="003B5A8C">
            <w:pPr>
              <w:spacing w:before="100" w:beforeAutospacing="1" w:after="100" w:afterAutospacing="1" w:line="360" w:lineRule="auto"/>
              <w:rPr>
                <w:rFonts w:asciiTheme="majorHAnsi" w:hAnsiTheme="majorHAnsi" w:cstheme="majorHAnsi"/>
                <w:color w:val="000000"/>
                <w:sz w:val="22"/>
                <w:szCs w:val="22"/>
                <w:lang w:eastAsia="en-PH"/>
              </w:rPr>
            </w:pPr>
            <w:r w:rsidRPr="004213BA">
              <w:rPr>
                <w:rFonts w:asciiTheme="majorHAnsi" w:hAnsiTheme="majorHAnsi" w:cstheme="majorHAnsi"/>
                <w:color w:val="000000"/>
                <w:sz w:val="22"/>
                <w:szCs w:val="22"/>
                <w:lang w:eastAsia="en-PH"/>
              </w:rPr>
              <w:t>**</w:t>
            </w:r>
          </w:p>
        </w:tc>
      </w:tr>
      <w:tr w:rsidR="003B5A8C" w:rsidRPr="004213BA" w14:paraId="32D535B7" w14:textId="77777777" w:rsidTr="00AF2654">
        <w:trPr>
          <w:trHeight w:val="300"/>
        </w:trPr>
        <w:tc>
          <w:tcPr>
            <w:tcW w:w="3055" w:type="dxa"/>
            <w:noWrap/>
            <w:hideMark/>
          </w:tcPr>
          <w:p w14:paraId="15DD643B" w14:textId="77777777" w:rsidR="003B5A8C" w:rsidRPr="004213BA" w:rsidRDefault="003B5A8C" w:rsidP="003B5A8C">
            <w:pPr>
              <w:spacing w:before="100" w:beforeAutospacing="1" w:after="100" w:afterAutospacing="1" w:line="360" w:lineRule="auto"/>
              <w:rPr>
                <w:rFonts w:asciiTheme="majorHAnsi" w:hAnsiTheme="majorHAnsi" w:cstheme="majorHAnsi"/>
                <w:color w:val="000000"/>
                <w:sz w:val="22"/>
                <w:szCs w:val="22"/>
                <w:lang w:eastAsia="en-PH"/>
              </w:rPr>
            </w:pPr>
            <w:r w:rsidRPr="004213BA">
              <w:rPr>
                <w:rFonts w:asciiTheme="majorHAnsi" w:hAnsiTheme="majorHAnsi" w:cstheme="majorHAnsi"/>
                <w:color w:val="000000"/>
                <w:sz w:val="22"/>
                <w:szCs w:val="22"/>
                <w:lang w:eastAsia="en-PH"/>
              </w:rPr>
              <w:t>Region 6</w:t>
            </w:r>
          </w:p>
        </w:tc>
        <w:tc>
          <w:tcPr>
            <w:tcW w:w="1170" w:type="dxa"/>
            <w:noWrap/>
            <w:hideMark/>
          </w:tcPr>
          <w:p w14:paraId="695AEAE5" w14:textId="77777777" w:rsidR="003B5A8C" w:rsidRPr="004213BA" w:rsidRDefault="003B5A8C" w:rsidP="003B5A8C">
            <w:pPr>
              <w:spacing w:before="100" w:beforeAutospacing="1" w:after="100" w:afterAutospacing="1" w:line="360" w:lineRule="auto"/>
              <w:rPr>
                <w:rFonts w:asciiTheme="majorHAnsi" w:hAnsiTheme="majorHAnsi" w:cstheme="majorHAnsi"/>
                <w:color w:val="000000"/>
                <w:sz w:val="22"/>
                <w:szCs w:val="22"/>
                <w:lang w:eastAsia="en-PH"/>
              </w:rPr>
            </w:pPr>
            <w:r w:rsidRPr="004213BA">
              <w:rPr>
                <w:rFonts w:asciiTheme="majorHAnsi" w:hAnsiTheme="majorHAnsi" w:cstheme="majorHAnsi"/>
                <w:color w:val="000000"/>
                <w:sz w:val="22"/>
                <w:szCs w:val="22"/>
                <w:lang w:eastAsia="en-PH"/>
              </w:rPr>
              <w:t>0.1061</w:t>
            </w:r>
          </w:p>
        </w:tc>
        <w:tc>
          <w:tcPr>
            <w:tcW w:w="410" w:type="dxa"/>
            <w:noWrap/>
            <w:hideMark/>
          </w:tcPr>
          <w:p w14:paraId="5FF24D9F" w14:textId="77777777" w:rsidR="003B5A8C" w:rsidRPr="004213BA" w:rsidRDefault="003B5A8C" w:rsidP="003B5A8C">
            <w:pPr>
              <w:spacing w:before="100" w:beforeAutospacing="1" w:after="100" w:afterAutospacing="1" w:line="360" w:lineRule="auto"/>
              <w:rPr>
                <w:rFonts w:asciiTheme="majorHAnsi" w:hAnsiTheme="majorHAnsi" w:cstheme="majorHAnsi"/>
                <w:color w:val="000000"/>
                <w:sz w:val="22"/>
                <w:szCs w:val="22"/>
                <w:lang w:eastAsia="en-PH"/>
              </w:rPr>
            </w:pPr>
            <w:r w:rsidRPr="004213BA">
              <w:rPr>
                <w:rFonts w:asciiTheme="majorHAnsi" w:hAnsiTheme="majorHAnsi" w:cstheme="majorHAnsi"/>
                <w:color w:val="000000"/>
                <w:sz w:val="22"/>
                <w:szCs w:val="22"/>
                <w:lang w:eastAsia="en-PH"/>
              </w:rPr>
              <w:t> </w:t>
            </w:r>
          </w:p>
        </w:tc>
        <w:tc>
          <w:tcPr>
            <w:tcW w:w="1065" w:type="dxa"/>
            <w:noWrap/>
            <w:hideMark/>
          </w:tcPr>
          <w:p w14:paraId="6D98C552" w14:textId="77777777" w:rsidR="003B5A8C" w:rsidRPr="004213BA" w:rsidRDefault="003B5A8C" w:rsidP="003B5A8C">
            <w:pPr>
              <w:spacing w:before="100" w:beforeAutospacing="1" w:after="100" w:afterAutospacing="1" w:line="360" w:lineRule="auto"/>
              <w:rPr>
                <w:rFonts w:asciiTheme="majorHAnsi" w:hAnsiTheme="majorHAnsi" w:cstheme="majorHAnsi"/>
                <w:color w:val="000000"/>
                <w:sz w:val="22"/>
                <w:szCs w:val="22"/>
                <w:lang w:eastAsia="en-PH"/>
              </w:rPr>
            </w:pPr>
            <w:r w:rsidRPr="004213BA">
              <w:rPr>
                <w:rFonts w:asciiTheme="majorHAnsi" w:hAnsiTheme="majorHAnsi" w:cstheme="majorHAnsi"/>
                <w:color w:val="000000"/>
                <w:sz w:val="22"/>
                <w:szCs w:val="22"/>
                <w:lang w:eastAsia="en-PH"/>
              </w:rPr>
              <w:t>0.1941</w:t>
            </w:r>
          </w:p>
        </w:tc>
        <w:tc>
          <w:tcPr>
            <w:tcW w:w="436" w:type="dxa"/>
            <w:noWrap/>
            <w:hideMark/>
          </w:tcPr>
          <w:p w14:paraId="18D6BE99" w14:textId="77777777" w:rsidR="003B5A8C" w:rsidRPr="004213BA" w:rsidRDefault="003B5A8C" w:rsidP="003B5A8C">
            <w:pPr>
              <w:spacing w:before="100" w:beforeAutospacing="1" w:after="100" w:afterAutospacing="1" w:line="360" w:lineRule="auto"/>
              <w:rPr>
                <w:rFonts w:asciiTheme="majorHAnsi" w:hAnsiTheme="majorHAnsi" w:cstheme="majorHAnsi"/>
                <w:color w:val="000000"/>
                <w:sz w:val="22"/>
                <w:szCs w:val="22"/>
                <w:lang w:eastAsia="en-PH"/>
              </w:rPr>
            </w:pPr>
            <w:r w:rsidRPr="004213BA">
              <w:rPr>
                <w:rFonts w:asciiTheme="majorHAnsi" w:hAnsiTheme="majorHAnsi" w:cstheme="majorHAnsi"/>
                <w:color w:val="000000"/>
                <w:sz w:val="22"/>
                <w:szCs w:val="22"/>
                <w:lang w:eastAsia="en-PH"/>
              </w:rPr>
              <w:t>*</w:t>
            </w:r>
          </w:p>
        </w:tc>
        <w:tc>
          <w:tcPr>
            <w:tcW w:w="1006" w:type="dxa"/>
            <w:noWrap/>
            <w:hideMark/>
          </w:tcPr>
          <w:p w14:paraId="015AA4F7" w14:textId="77777777" w:rsidR="003B5A8C" w:rsidRPr="004213BA" w:rsidRDefault="003B5A8C" w:rsidP="003B5A8C">
            <w:pPr>
              <w:spacing w:before="100" w:beforeAutospacing="1" w:after="100" w:afterAutospacing="1" w:line="360" w:lineRule="auto"/>
              <w:rPr>
                <w:rFonts w:asciiTheme="majorHAnsi" w:hAnsiTheme="majorHAnsi" w:cstheme="majorHAnsi"/>
                <w:color w:val="000000"/>
                <w:sz w:val="22"/>
                <w:szCs w:val="22"/>
                <w:lang w:eastAsia="en-PH"/>
              </w:rPr>
            </w:pPr>
            <w:r w:rsidRPr="004213BA">
              <w:rPr>
                <w:rFonts w:asciiTheme="majorHAnsi" w:hAnsiTheme="majorHAnsi" w:cstheme="majorHAnsi"/>
                <w:color w:val="000000"/>
                <w:sz w:val="22"/>
                <w:szCs w:val="22"/>
                <w:lang w:eastAsia="en-PH"/>
              </w:rPr>
              <w:t>-0.1784</w:t>
            </w:r>
          </w:p>
        </w:tc>
        <w:tc>
          <w:tcPr>
            <w:tcW w:w="436" w:type="dxa"/>
            <w:noWrap/>
            <w:hideMark/>
          </w:tcPr>
          <w:p w14:paraId="0D773FBF" w14:textId="77777777" w:rsidR="003B5A8C" w:rsidRPr="004213BA" w:rsidRDefault="003B5A8C" w:rsidP="003B5A8C">
            <w:pPr>
              <w:spacing w:before="100" w:beforeAutospacing="1" w:after="100" w:afterAutospacing="1" w:line="360" w:lineRule="auto"/>
              <w:rPr>
                <w:rFonts w:asciiTheme="majorHAnsi" w:hAnsiTheme="majorHAnsi" w:cstheme="majorHAnsi"/>
                <w:color w:val="000000"/>
                <w:sz w:val="22"/>
                <w:szCs w:val="22"/>
                <w:lang w:eastAsia="en-PH"/>
              </w:rPr>
            </w:pPr>
            <w:r w:rsidRPr="004213BA">
              <w:rPr>
                <w:rFonts w:asciiTheme="majorHAnsi" w:hAnsiTheme="majorHAnsi" w:cstheme="majorHAnsi"/>
                <w:color w:val="000000"/>
                <w:sz w:val="22"/>
                <w:szCs w:val="22"/>
                <w:lang w:eastAsia="en-PH"/>
              </w:rPr>
              <w:t> </w:t>
            </w:r>
          </w:p>
        </w:tc>
      </w:tr>
      <w:tr w:rsidR="003B5A8C" w:rsidRPr="004213BA" w14:paraId="5A5575BF" w14:textId="77777777" w:rsidTr="00AF2654">
        <w:trPr>
          <w:trHeight w:val="300"/>
        </w:trPr>
        <w:tc>
          <w:tcPr>
            <w:tcW w:w="3055" w:type="dxa"/>
            <w:noWrap/>
            <w:hideMark/>
          </w:tcPr>
          <w:p w14:paraId="387A7CB8" w14:textId="77777777" w:rsidR="003B5A8C" w:rsidRPr="004213BA" w:rsidRDefault="003B5A8C" w:rsidP="003B5A8C">
            <w:pPr>
              <w:spacing w:before="100" w:beforeAutospacing="1" w:after="100" w:afterAutospacing="1" w:line="360" w:lineRule="auto"/>
              <w:rPr>
                <w:rFonts w:asciiTheme="majorHAnsi" w:hAnsiTheme="majorHAnsi" w:cstheme="majorHAnsi"/>
                <w:color w:val="000000"/>
                <w:sz w:val="22"/>
                <w:szCs w:val="22"/>
                <w:lang w:eastAsia="en-PH"/>
              </w:rPr>
            </w:pPr>
            <w:r w:rsidRPr="004213BA">
              <w:rPr>
                <w:rFonts w:asciiTheme="majorHAnsi" w:hAnsiTheme="majorHAnsi" w:cstheme="majorHAnsi"/>
                <w:color w:val="000000"/>
                <w:sz w:val="22"/>
                <w:szCs w:val="22"/>
                <w:lang w:eastAsia="en-PH"/>
              </w:rPr>
              <w:t>Region 7</w:t>
            </w:r>
          </w:p>
        </w:tc>
        <w:tc>
          <w:tcPr>
            <w:tcW w:w="1170" w:type="dxa"/>
            <w:noWrap/>
            <w:hideMark/>
          </w:tcPr>
          <w:p w14:paraId="4E0F68C3" w14:textId="77777777" w:rsidR="003B5A8C" w:rsidRPr="004213BA" w:rsidRDefault="003B5A8C" w:rsidP="003B5A8C">
            <w:pPr>
              <w:spacing w:before="100" w:beforeAutospacing="1" w:after="100" w:afterAutospacing="1" w:line="360" w:lineRule="auto"/>
              <w:rPr>
                <w:rFonts w:asciiTheme="majorHAnsi" w:hAnsiTheme="majorHAnsi" w:cstheme="majorHAnsi"/>
                <w:color w:val="000000"/>
                <w:sz w:val="22"/>
                <w:szCs w:val="22"/>
                <w:lang w:eastAsia="en-PH"/>
              </w:rPr>
            </w:pPr>
            <w:r w:rsidRPr="004213BA">
              <w:rPr>
                <w:rFonts w:asciiTheme="majorHAnsi" w:hAnsiTheme="majorHAnsi" w:cstheme="majorHAnsi"/>
                <w:color w:val="000000"/>
                <w:sz w:val="22"/>
                <w:szCs w:val="22"/>
                <w:lang w:eastAsia="en-PH"/>
              </w:rPr>
              <w:t>-0.3750</w:t>
            </w:r>
          </w:p>
        </w:tc>
        <w:tc>
          <w:tcPr>
            <w:tcW w:w="410" w:type="dxa"/>
            <w:noWrap/>
            <w:hideMark/>
          </w:tcPr>
          <w:p w14:paraId="4032CEC4" w14:textId="77777777" w:rsidR="003B5A8C" w:rsidRPr="004213BA" w:rsidRDefault="003B5A8C" w:rsidP="003B5A8C">
            <w:pPr>
              <w:spacing w:before="100" w:beforeAutospacing="1" w:after="100" w:afterAutospacing="1" w:line="360" w:lineRule="auto"/>
              <w:rPr>
                <w:rFonts w:asciiTheme="majorHAnsi" w:hAnsiTheme="majorHAnsi" w:cstheme="majorHAnsi"/>
                <w:color w:val="000000"/>
                <w:sz w:val="22"/>
                <w:szCs w:val="22"/>
                <w:lang w:eastAsia="en-PH"/>
              </w:rPr>
            </w:pPr>
            <w:r w:rsidRPr="004213BA">
              <w:rPr>
                <w:rFonts w:asciiTheme="majorHAnsi" w:hAnsiTheme="majorHAnsi" w:cstheme="majorHAnsi"/>
                <w:color w:val="000000"/>
                <w:sz w:val="22"/>
                <w:szCs w:val="22"/>
                <w:lang w:eastAsia="en-PH"/>
              </w:rPr>
              <w:t> </w:t>
            </w:r>
          </w:p>
        </w:tc>
        <w:tc>
          <w:tcPr>
            <w:tcW w:w="1065" w:type="dxa"/>
            <w:noWrap/>
            <w:hideMark/>
          </w:tcPr>
          <w:p w14:paraId="78330B71" w14:textId="77777777" w:rsidR="003B5A8C" w:rsidRPr="004213BA" w:rsidRDefault="003B5A8C" w:rsidP="003B5A8C">
            <w:pPr>
              <w:spacing w:before="100" w:beforeAutospacing="1" w:after="100" w:afterAutospacing="1" w:line="360" w:lineRule="auto"/>
              <w:rPr>
                <w:rFonts w:asciiTheme="majorHAnsi" w:hAnsiTheme="majorHAnsi" w:cstheme="majorHAnsi"/>
                <w:color w:val="000000"/>
                <w:sz w:val="22"/>
                <w:szCs w:val="22"/>
                <w:lang w:eastAsia="en-PH"/>
              </w:rPr>
            </w:pPr>
            <w:r w:rsidRPr="004213BA">
              <w:rPr>
                <w:rFonts w:asciiTheme="majorHAnsi" w:hAnsiTheme="majorHAnsi" w:cstheme="majorHAnsi"/>
                <w:color w:val="000000"/>
                <w:sz w:val="22"/>
                <w:szCs w:val="22"/>
                <w:lang w:eastAsia="en-PH"/>
              </w:rPr>
              <w:t>-0.4089</w:t>
            </w:r>
          </w:p>
        </w:tc>
        <w:tc>
          <w:tcPr>
            <w:tcW w:w="436" w:type="dxa"/>
            <w:noWrap/>
            <w:hideMark/>
          </w:tcPr>
          <w:p w14:paraId="594AF0E0" w14:textId="77777777" w:rsidR="003B5A8C" w:rsidRPr="004213BA" w:rsidRDefault="003B5A8C" w:rsidP="003B5A8C">
            <w:pPr>
              <w:spacing w:before="100" w:beforeAutospacing="1" w:after="100" w:afterAutospacing="1" w:line="360" w:lineRule="auto"/>
              <w:rPr>
                <w:rFonts w:asciiTheme="majorHAnsi" w:hAnsiTheme="majorHAnsi" w:cstheme="majorHAnsi"/>
                <w:color w:val="000000"/>
                <w:sz w:val="22"/>
                <w:szCs w:val="22"/>
                <w:lang w:eastAsia="en-PH"/>
              </w:rPr>
            </w:pPr>
            <w:r w:rsidRPr="004213BA">
              <w:rPr>
                <w:rFonts w:asciiTheme="majorHAnsi" w:hAnsiTheme="majorHAnsi" w:cstheme="majorHAnsi"/>
                <w:color w:val="000000"/>
                <w:sz w:val="22"/>
                <w:szCs w:val="22"/>
                <w:lang w:eastAsia="en-PH"/>
              </w:rPr>
              <w:t>**</w:t>
            </w:r>
          </w:p>
        </w:tc>
        <w:tc>
          <w:tcPr>
            <w:tcW w:w="1006" w:type="dxa"/>
            <w:noWrap/>
            <w:hideMark/>
          </w:tcPr>
          <w:p w14:paraId="2B07A0E9" w14:textId="77777777" w:rsidR="003B5A8C" w:rsidRPr="004213BA" w:rsidRDefault="003B5A8C" w:rsidP="003B5A8C">
            <w:pPr>
              <w:spacing w:before="100" w:beforeAutospacing="1" w:after="100" w:afterAutospacing="1" w:line="360" w:lineRule="auto"/>
              <w:rPr>
                <w:rFonts w:asciiTheme="majorHAnsi" w:hAnsiTheme="majorHAnsi" w:cstheme="majorHAnsi"/>
                <w:color w:val="000000"/>
                <w:sz w:val="22"/>
                <w:szCs w:val="22"/>
                <w:lang w:eastAsia="en-PH"/>
              </w:rPr>
            </w:pPr>
            <w:r w:rsidRPr="004213BA">
              <w:rPr>
                <w:rFonts w:asciiTheme="majorHAnsi" w:hAnsiTheme="majorHAnsi" w:cstheme="majorHAnsi"/>
                <w:color w:val="000000"/>
                <w:sz w:val="22"/>
                <w:szCs w:val="22"/>
                <w:lang w:eastAsia="en-PH"/>
              </w:rPr>
              <w:t>-0.0058</w:t>
            </w:r>
          </w:p>
        </w:tc>
        <w:tc>
          <w:tcPr>
            <w:tcW w:w="436" w:type="dxa"/>
            <w:noWrap/>
            <w:hideMark/>
          </w:tcPr>
          <w:p w14:paraId="5EB4D4D2" w14:textId="77777777" w:rsidR="003B5A8C" w:rsidRPr="004213BA" w:rsidRDefault="003B5A8C" w:rsidP="003B5A8C">
            <w:pPr>
              <w:spacing w:before="100" w:beforeAutospacing="1" w:after="100" w:afterAutospacing="1" w:line="360" w:lineRule="auto"/>
              <w:rPr>
                <w:rFonts w:asciiTheme="majorHAnsi" w:hAnsiTheme="majorHAnsi" w:cstheme="majorHAnsi"/>
                <w:color w:val="000000"/>
                <w:sz w:val="22"/>
                <w:szCs w:val="22"/>
                <w:lang w:eastAsia="en-PH"/>
              </w:rPr>
            </w:pPr>
            <w:r w:rsidRPr="004213BA">
              <w:rPr>
                <w:rFonts w:asciiTheme="majorHAnsi" w:hAnsiTheme="majorHAnsi" w:cstheme="majorHAnsi"/>
                <w:color w:val="000000"/>
                <w:sz w:val="22"/>
                <w:szCs w:val="22"/>
                <w:lang w:eastAsia="en-PH"/>
              </w:rPr>
              <w:t> </w:t>
            </w:r>
          </w:p>
        </w:tc>
      </w:tr>
      <w:tr w:rsidR="003B5A8C" w:rsidRPr="004213BA" w14:paraId="65422478" w14:textId="77777777" w:rsidTr="00AF2654">
        <w:trPr>
          <w:trHeight w:val="300"/>
        </w:trPr>
        <w:tc>
          <w:tcPr>
            <w:tcW w:w="3055" w:type="dxa"/>
            <w:noWrap/>
            <w:hideMark/>
          </w:tcPr>
          <w:p w14:paraId="1B930B16" w14:textId="77777777" w:rsidR="003B5A8C" w:rsidRPr="004213BA" w:rsidRDefault="003B5A8C" w:rsidP="003B5A8C">
            <w:pPr>
              <w:spacing w:before="100" w:beforeAutospacing="1" w:after="100" w:afterAutospacing="1" w:line="360" w:lineRule="auto"/>
              <w:rPr>
                <w:rFonts w:asciiTheme="majorHAnsi" w:hAnsiTheme="majorHAnsi" w:cstheme="majorHAnsi"/>
                <w:color w:val="000000"/>
                <w:sz w:val="22"/>
                <w:szCs w:val="22"/>
                <w:lang w:eastAsia="en-PH"/>
              </w:rPr>
            </w:pPr>
            <w:r w:rsidRPr="004213BA">
              <w:rPr>
                <w:rFonts w:asciiTheme="majorHAnsi" w:hAnsiTheme="majorHAnsi" w:cstheme="majorHAnsi"/>
                <w:color w:val="000000"/>
                <w:sz w:val="22"/>
                <w:szCs w:val="22"/>
                <w:lang w:eastAsia="en-PH"/>
              </w:rPr>
              <w:t>Region 8</w:t>
            </w:r>
          </w:p>
        </w:tc>
        <w:tc>
          <w:tcPr>
            <w:tcW w:w="1170" w:type="dxa"/>
            <w:noWrap/>
            <w:hideMark/>
          </w:tcPr>
          <w:p w14:paraId="731D17A4" w14:textId="77777777" w:rsidR="003B5A8C" w:rsidRPr="004213BA" w:rsidRDefault="003B5A8C" w:rsidP="003B5A8C">
            <w:pPr>
              <w:spacing w:before="100" w:beforeAutospacing="1" w:after="100" w:afterAutospacing="1" w:line="360" w:lineRule="auto"/>
              <w:rPr>
                <w:rFonts w:asciiTheme="majorHAnsi" w:hAnsiTheme="majorHAnsi" w:cstheme="majorHAnsi"/>
                <w:color w:val="000000"/>
                <w:sz w:val="22"/>
                <w:szCs w:val="22"/>
                <w:lang w:eastAsia="en-PH"/>
              </w:rPr>
            </w:pPr>
            <w:r w:rsidRPr="004213BA">
              <w:rPr>
                <w:rFonts w:asciiTheme="majorHAnsi" w:hAnsiTheme="majorHAnsi" w:cstheme="majorHAnsi"/>
                <w:color w:val="000000"/>
                <w:sz w:val="22"/>
                <w:szCs w:val="22"/>
                <w:lang w:eastAsia="en-PH"/>
              </w:rPr>
              <w:t>0.3450</w:t>
            </w:r>
          </w:p>
        </w:tc>
        <w:tc>
          <w:tcPr>
            <w:tcW w:w="410" w:type="dxa"/>
            <w:noWrap/>
            <w:hideMark/>
          </w:tcPr>
          <w:p w14:paraId="3E20E7D0" w14:textId="77777777" w:rsidR="003B5A8C" w:rsidRPr="004213BA" w:rsidRDefault="003B5A8C" w:rsidP="003B5A8C">
            <w:pPr>
              <w:spacing w:before="100" w:beforeAutospacing="1" w:after="100" w:afterAutospacing="1" w:line="360" w:lineRule="auto"/>
              <w:rPr>
                <w:rFonts w:asciiTheme="majorHAnsi" w:hAnsiTheme="majorHAnsi" w:cstheme="majorHAnsi"/>
                <w:color w:val="000000"/>
                <w:sz w:val="22"/>
                <w:szCs w:val="22"/>
                <w:lang w:eastAsia="en-PH"/>
              </w:rPr>
            </w:pPr>
            <w:r w:rsidRPr="004213BA">
              <w:rPr>
                <w:rFonts w:asciiTheme="majorHAnsi" w:hAnsiTheme="majorHAnsi" w:cstheme="majorHAnsi"/>
                <w:color w:val="000000"/>
                <w:sz w:val="22"/>
                <w:szCs w:val="22"/>
                <w:lang w:eastAsia="en-PH"/>
              </w:rPr>
              <w:t> </w:t>
            </w:r>
          </w:p>
        </w:tc>
        <w:tc>
          <w:tcPr>
            <w:tcW w:w="1065" w:type="dxa"/>
            <w:noWrap/>
            <w:hideMark/>
          </w:tcPr>
          <w:p w14:paraId="0F69EC82" w14:textId="77777777" w:rsidR="003B5A8C" w:rsidRPr="004213BA" w:rsidRDefault="003B5A8C" w:rsidP="003B5A8C">
            <w:pPr>
              <w:spacing w:before="100" w:beforeAutospacing="1" w:after="100" w:afterAutospacing="1" w:line="360" w:lineRule="auto"/>
              <w:rPr>
                <w:rFonts w:asciiTheme="majorHAnsi" w:hAnsiTheme="majorHAnsi" w:cstheme="majorHAnsi"/>
                <w:color w:val="000000"/>
                <w:sz w:val="22"/>
                <w:szCs w:val="22"/>
                <w:lang w:eastAsia="en-PH"/>
              </w:rPr>
            </w:pPr>
            <w:r w:rsidRPr="004213BA">
              <w:rPr>
                <w:rFonts w:asciiTheme="majorHAnsi" w:hAnsiTheme="majorHAnsi" w:cstheme="majorHAnsi"/>
                <w:color w:val="000000"/>
                <w:sz w:val="22"/>
                <w:szCs w:val="22"/>
                <w:lang w:eastAsia="en-PH"/>
              </w:rPr>
              <w:t>-0.4683</w:t>
            </w:r>
          </w:p>
        </w:tc>
        <w:tc>
          <w:tcPr>
            <w:tcW w:w="436" w:type="dxa"/>
            <w:noWrap/>
            <w:hideMark/>
          </w:tcPr>
          <w:p w14:paraId="6DA2F7D0" w14:textId="77777777" w:rsidR="003B5A8C" w:rsidRPr="004213BA" w:rsidRDefault="003B5A8C" w:rsidP="003B5A8C">
            <w:pPr>
              <w:spacing w:before="100" w:beforeAutospacing="1" w:after="100" w:afterAutospacing="1" w:line="360" w:lineRule="auto"/>
              <w:rPr>
                <w:rFonts w:asciiTheme="majorHAnsi" w:hAnsiTheme="majorHAnsi" w:cstheme="majorHAnsi"/>
                <w:color w:val="000000"/>
                <w:sz w:val="22"/>
                <w:szCs w:val="22"/>
                <w:lang w:eastAsia="en-PH"/>
              </w:rPr>
            </w:pPr>
            <w:r w:rsidRPr="004213BA">
              <w:rPr>
                <w:rFonts w:asciiTheme="majorHAnsi" w:hAnsiTheme="majorHAnsi" w:cstheme="majorHAnsi"/>
                <w:color w:val="000000"/>
                <w:sz w:val="22"/>
                <w:szCs w:val="22"/>
                <w:lang w:eastAsia="en-PH"/>
              </w:rPr>
              <w:t>*</w:t>
            </w:r>
          </w:p>
        </w:tc>
        <w:tc>
          <w:tcPr>
            <w:tcW w:w="1006" w:type="dxa"/>
            <w:noWrap/>
            <w:hideMark/>
          </w:tcPr>
          <w:p w14:paraId="2009D66F" w14:textId="77777777" w:rsidR="003B5A8C" w:rsidRPr="004213BA" w:rsidRDefault="003B5A8C" w:rsidP="003B5A8C">
            <w:pPr>
              <w:spacing w:before="100" w:beforeAutospacing="1" w:after="100" w:afterAutospacing="1" w:line="360" w:lineRule="auto"/>
              <w:rPr>
                <w:rFonts w:asciiTheme="majorHAnsi" w:hAnsiTheme="majorHAnsi" w:cstheme="majorHAnsi"/>
                <w:color w:val="000000"/>
                <w:sz w:val="22"/>
                <w:szCs w:val="22"/>
                <w:lang w:eastAsia="en-PH"/>
              </w:rPr>
            </w:pPr>
            <w:r w:rsidRPr="004213BA">
              <w:rPr>
                <w:rFonts w:asciiTheme="majorHAnsi" w:hAnsiTheme="majorHAnsi" w:cstheme="majorHAnsi"/>
                <w:color w:val="000000"/>
                <w:sz w:val="22"/>
                <w:szCs w:val="22"/>
                <w:lang w:eastAsia="en-PH"/>
              </w:rPr>
              <w:t>-0.5668</w:t>
            </w:r>
          </w:p>
        </w:tc>
        <w:tc>
          <w:tcPr>
            <w:tcW w:w="436" w:type="dxa"/>
            <w:noWrap/>
            <w:hideMark/>
          </w:tcPr>
          <w:p w14:paraId="34741B25" w14:textId="77777777" w:rsidR="003B5A8C" w:rsidRPr="004213BA" w:rsidRDefault="003B5A8C" w:rsidP="003B5A8C">
            <w:pPr>
              <w:spacing w:before="100" w:beforeAutospacing="1" w:after="100" w:afterAutospacing="1" w:line="360" w:lineRule="auto"/>
              <w:rPr>
                <w:rFonts w:asciiTheme="majorHAnsi" w:hAnsiTheme="majorHAnsi" w:cstheme="majorHAnsi"/>
                <w:color w:val="000000"/>
                <w:sz w:val="22"/>
                <w:szCs w:val="22"/>
                <w:lang w:eastAsia="en-PH"/>
              </w:rPr>
            </w:pPr>
            <w:r w:rsidRPr="004213BA">
              <w:rPr>
                <w:rFonts w:asciiTheme="majorHAnsi" w:hAnsiTheme="majorHAnsi" w:cstheme="majorHAnsi"/>
                <w:color w:val="000000"/>
                <w:sz w:val="22"/>
                <w:szCs w:val="22"/>
                <w:lang w:eastAsia="en-PH"/>
              </w:rPr>
              <w:t>**</w:t>
            </w:r>
          </w:p>
        </w:tc>
      </w:tr>
    </w:tbl>
    <w:p w14:paraId="76E96CB1" w14:textId="77777777" w:rsidR="003B5A8C" w:rsidRPr="004213BA" w:rsidRDefault="003B5A8C" w:rsidP="00796BFA">
      <w:pPr>
        <w:spacing w:before="100" w:beforeAutospacing="1" w:after="100" w:afterAutospacing="1" w:line="360" w:lineRule="auto"/>
        <w:rPr>
          <w:rFonts w:ascii="Calibri Light" w:hAnsi="Calibri Light" w:cs="Calibri Light"/>
          <w:color w:val="000000"/>
          <w:sz w:val="16"/>
          <w:szCs w:val="16"/>
          <w:lang w:eastAsia="en-PH"/>
        </w:rPr>
      </w:pPr>
      <w:r w:rsidRPr="004213BA">
        <w:rPr>
          <w:rFonts w:ascii="Calibri Light" w:hAnsi="Calibri Light" w:cs="Calibri Light"/>
          <w:color w:val="000000"/>
          <w:sz w:val="16"/>
          <w:szCs w:val="16"/>
          <w:lang w:eastAsia="en-PH"/>
        </w:rPr>
        <w:t>*, **, *** indicates significance at the 10%, 5%, and 1% level, respectively.</w:t>
      </w:r>
    </w:p>
    <w:p w14:paraId="73FBB324" w14:textId="77777777" w:rsidR="003B5A8C" w:rsidRPr="004213BA" w:rsidRDefault="003B5A8C" w:rsidP="00796BFA">
      <w:pPr>
        <w:spacing w:before="100" w:beforeAutospacing="1" w:after="100" w:afterAutospacing="1" w:line="360" w:lineRule="auto"/>
        <w:rPr>
          <w:rFonts w:ascii="Calibri Light" w:hAnsi="Calibri Light" w:cs="Calibri Light"/>
          <w:color w:val="000000"/>
          <w:lang w:eastAsia="en-PH"/>
        </w:rPr>
      </w:pPr>
      <w:r w:rsidRPr="004213BA">
        <w:rPr>
          <w:rFonts w:ascii="Calibri Light" w:hAnsi="Calibri Light" w:cs="Calibri Light"/>
          <w:color w:val="000000"/>
          <w:sz w:val="16"/>
          <w:szCs w:val="16"/>
          <w:lang w:eastAsia="en-PH"/>
        </w:rPr>
        <w:t>Controlling for ES Size and Urbanity</w:t>
      </w:r>
    </w:p>
    <w:p w14:paraId="5EB21666" w14:textId="16D2A0EA" w:rsidR="008D0CAD" w:rsidRPr="004213BA" w:rsidRDefault="008D0CAD" w:rsidP="00796BFA">
      <w:pPr>
        <w:spacing w:before="100" w:beforeAutospacing="1" w:after="100" w:afterAutospacing="1" w:line="360" w:lineRule="auto"/>
        <w:rPr>
          <w:rFonts w:ascii="Calibri Light" w:hAnsi="Calibri Light" w:cs="Calibri Light"/>
          <w:lang w:val="en-US"/>
        </w:rPr>
      </w:pPr>
      <w:r w:rsidRPr="004213BA">
        <w:rPr>
          <w:rFonts w:ascii="Calibri Light" w:hAnsi="Calibri Light" w:cs="Calibri Light"/>
          <w:lang w:val="en-US"/>
        </w:rPr>
        <w:t>The effects of the BEST Program across regions were also assessed using the panel regression model applied per region by grade level (Table 6). The approach was intended to examine uniformity of effects across the regions. The regression controlled for the size of the elementary school and urbanity of the school area.</w:t>
      </w:r>
      <w:r w:rsidR="00D434EB">
        <w:rPr>
          <w:rFonts w:ascii="Calibri Light" w:hAnsi="Calibri Light" w:cs="Calibri Light"/>
          <w:lang w:val="en-US"/>
        </w:rPr>
        <w:t xml:space="preserve"> </w:t>
      </w:r>
      <w:r w:rsidRPr="004213BA">
        <w:rPr>
          <w:rFonts w:ascii="Calibri Light" w:hAnsi="Calibri Light" w:cs="Calibri Light"/>
          <w:lang w:val="en-US"/>
        </w:rPr>
        <w:t xml:space="preserve">Values in the cells are the effects in percentage points while the asterisks to its right denote the significance. </w:t>
      </w:r>
    </w:p>
    <w:p w14:paraId="711242AF" w14:textId="77777777" w:rsidR="008D0CAD" w:rsidRPr="004213BA" w:rsidRDefault="008D0CAD" w:rsidP="00796BFA">
      <w:pPr>
        <w:spacing w:before="100" w:beforeAutospacing="1" w:after="100" w:afterAutospacing="1" w:line="360" w:lineRule="auto"/>
        <w:rPr>
          <w:rFonts w:ascii="Calibri Light" w:hAnsi="Calibri Light" w:cs="Calibri Light"/>
          <w:lang w:val="en-US"/>
        </w:rPr>
      </w:pPr>
      <w:r w:rsidRPr="004213BA">
        <w:rPr>
          <w:rFonts w:ascii="Calibri Light" w:hAnsi="Calibri Light" w:cs="Calibri Light"/>
          <w:lang w:val="en-US"/>
        </w:rPr>
        <w:t xml:space="preserve">Results showed that Grade 4 students’ grades did not significantly improve as a result of BEST Program interventions. It implied that the changes in the grades of Grade 4 students of direct recipient schools from 2014 to 2017 was almost the same as that of indirect recipient schools. </w:t>
      </w:r>
    </w:p>
    <w:p w14:paraId="64952889" w14:textId="77777777" w:rsidR="008D0CAD" w:rsidRPr="004213BA" w:rsidRDefault="008D0CAD" w:rsidP="00796BFA">
      <w:pPr>
        <w:spacing w:before="100" w:beforeAutospacing="1" w:after="100" w:afterAutospacing="1" w:line="360" w:lineRule="auto"/>
        <w:rPr>
          <w:rFonts w:ascii="Calibri Light" w:hAnsi="Calibri Light" w:cs="Calibri Light"/>
          <w:lang w:val="en-US"/>
        </w:rPr>
      </w:pPr>
      <w:r w:rsidRPr="004213BA">
        <w:rPr>
          <w:rFonts w:ascii="Calibri Light" w:hAnsi="Calibri Light" w:cs="Calibri Light"/>
          <w:lang w:val="en-US"/>
        </w:rPr>
        <w:t xml:space="preserve">On the other hand, significant changes in grades were detected for Grade 5 students. Students in NCR, Region V and Region VI experienced significant improvements in grades for direct recipient schools compared to indirect recipient schools. NCR experienced the largest effects at 0.79 percentage points increase in average grades. However, Regions VII and VIII experienced negative effects for Grade 5 students, implying decreases in average grades. </w:t>
      </w:r>
    </w:p>
    <w:p w14:paraId="4940FE70" w14:textId="77777777" w:rsidR="008D0CAD" w:rsidRPr="004213BA" w:rsidRDefault="008D0CAD" w:rsidP="00796BFA">
      <w:pPr>
        <w:spacing w:before="100" w:beforeAutospacing="1" w:after="100" w:afterAutospacing="1" w:line="360" w:lineRule="auto"/>
        <w:rPr>
          <w:rFonts w:ascii="Calibri Light" w:hAnsi="Calibri Light" w:cs="Calibri Light"/>
          <w:lang w:val="en-US"/>
        </w:rPr>
      </w:pPr>
      <w:r w:rsidRPr="004213BA">
        <w:rPr>
          <w:rFonts w:ascii="Calibri Light" w:hAnsi="Calibri Light" w:cs="Calibri Light"/>
          <w:lang w:val="en-US"/>
        </w:rPr>
        <w:t>For Grade 6 students, NCR and Region V experienced significant changes in average grades for direct recipient schools compared to indirect recipient schools. However, direct recipient schools in Region VIII experienced negative effects of the Program.</w:t>
      </w:r>
    </w:p>
    <w:p w14:paraId="5D6DF364" w14:textId="77777777" w:rsidR="008D0CAD" w:rsidRPr="004213BA" w:rsidRDefault="008D0CAD" w:rsidP="00796BFA">
      <w:pPr>
        <w:spacing w:before="100" w:beforeAutospacing="1" w:after="100" w:afterAutospacing="1" w:line="360" w:lineRule="auto"/>
        <w:rPr>
          <w:rFonts w:asciiTheme="majorHAnsi" w:hAnsiTheme="majorHAnsi" w:cstheme="majorHAnsi"/>
          <w:lang w:val="en-US"/>
        </w:rPr>
      </w:pPr>
      <w:r w:rsidRPr="004213BA">
        <w:rPr>
          <w:rFonts w:ascii="Calibri Light" w:hAnsi="Calibri Light" w:cs="Calibri Light"/>
          <w:lang w:val="en-US"/>
        </w:rPr>
        <w:t>In sum, the results of analysis by region showed that the BEST Program had disparate effects across regions, which could be attributed to the different timing of project implementation in regions, the differences in the types of intervention applied, and more importantly, the divergent approaches employed by the ROs/DOs in downloading the interventions. It might be beneficial to undertake further studies one or two years from now to investigate these disparities.</w:t>
      </w:r>
    </w:p>
    <w:p w14:paraId="5E1F21F6" w14:textId="77777777" w:rsidR="008D0CAD" w:rsidRPr="004213BA" w:rsidRDefault="008D0CAD" w:rsidP="00796BFA">
      <w:pPr>
        <w:spacing w:before="100" w:beforeAutospacing="1" w:after="100" w:afterAutospacing="1" w:line="360" w:lineRule="auto"/>
        <w:rPr>
          <w:rFonts w:asciiTheme="majorHAnsi" w:hAnsiTheme="majorHAnsi" w:cstheme="majorHAnsi"/>
          <w:color w:val="000000" w:themeColor="text1"/>
          <w:lang w:val="en-US"/>
        </w:rPr>
      </w:pPr>
    </w:p>
    <w:p w14:paraId="6B66C404" w14:textId="77777777" w:rsidR="008D0CAD" w:rsidRPr="004213BA" w:rsidRDefault="008D0CAD" w:rsidP="00796BFA">
      <w:pPr>
        <w:spacing w:before="100" w:beforeAutospacing="1" w:after="100" w:afterAutospacing="1" w:line="360" w:lineRule="auto"/>
        <w:rPr>
          <w:rFonts w:asciiTheme="majorHAnsi" w:hAnsiTheme="majorHAnsi" w:cstheme="majorHAnsi"/>
          <w:b/>
          <w:iCs/>
          <w:color w:val="44546A" w:themeColor="text2"/>
          <w:lang w:val="en-US"/>
        </w:rPr>
        <w:sectPr w:rsidR="008D0CAD" w:rsidRPr="004213BA" w:rsidSect="009C64E9">
          <w:pgSz w:w="11906" w:h="16838" w:code="9"/>
          <w:pgMar w:top="1440" w:right="1440" w:bottom="1440" w:left="1440" w:header="708" w:footer="864" w:gutter="0"/>
          <w:cols w:space="708"/>
          <w:docGrid w:linePitch="360"/>
        </w:sectPr>
      </w:pPr>
    </w:p>
    <w:p w14:paraId="5D17727E" w14:textId="2973FF76" w:rsidR="008D0CAD" w:rsidRPr="005424E3" w:rsidRDefault="008D0CAD" w:rsidP="00796BFA">
      <w:pPr>
        <w:spacing w:before="100" w:beforeAutospacing="1" w:after="100" w:afterAutospacing="1" w:line="360" w:lineRule="auto"/>
        <w:rPr>
          <w:rFonts w:asciiTheme="majorHAnsi" w:hAnsiTheme="majorHAnsi" w:cstheme="majorHAnsi"/>
          <w:bCs/>
          <w:i/>
          <w:color w:val="44546A" w:themeColor="text2"/>
          <w:sz w:val="22"/>
          <w:szCs w:val="22"/>
          <w:lang w:val="en-US"/>
        </w:rPr>
      </w:pPr>
      <w:bookmarkStart w:id="422" w:name="_Toc15638041"/>
      <w:bookmarkStart w:id="423" w:name="_Toc71616639"/>
      <w:r w:rsidRPr="005424E3">
        <w:rPr>
          <w:rFonts w:asciiTheme="majorHAnsi" w:hAnsiTheme="majorHAnsi" w:cstheme="majorHAnsi"/>
          <w:bCs/>
          <w:i/>
          <w:color w:val="44546A" w:themeColor="text2"/>
          <w:sz w:val="22"/>
          <w:szCs w:val="22"/>
          <w:lang w:val="en-US"/>
        </w:rPr>
        <w:t xml:space="preserve">Table </w:t>
      </w:r>
      <w:r w:rsidRPr="005424E3">
        <w:rPr>
          <w:rFonts w:asciiTheme="majorHAnsi" w:hAnsiTheme="majorHAnsi" w:cstheme="majorHAnsi"/>
          <w:bCs/>
          <w:i/>
          <w:color w:val="44546A" w:themeColor="text2"/>
          <w:sz w:val="22"/>
          <w:szCs w:val="22"/>
          <w:lang w:val="en-US"/>
        </w:rPr>
        <w:fldChar w:fldCharType="begin"/>
      </w:r>
      <w:r w:rsidRPr="005424E3">
        <w:rPr>
          <w:rFonts w:asciiTheme="majorHAnsi" w:hAnsiTheme="majorHAnsi" w:cstheme="majorHAnsi"/>
          <w:bCs/>
          <w:i/>
          <w:color w:val="44546A" w:themeColor="text2"/>
          <w:sz w:val="22"/>
          <w:szCs w:val="22"/>
          <w:lang w:val="en-US"/>
        </w:rPr>
        <w:instrText xml:space="preserve"> SEQ Table \* ARABIC </w:instrText>
      </w:r>
      <w:r w:rsidRPr="005424E3">
        <w:rPr>
          <w:rFonts w:asciiTheme="majorHAnsi" w:hAnsiTheme="majorHAnsi" w:cstheme="majorHAnsi"/>
          <w:bCs/>
          <w:i/>
          <w:color w:val="44546A" w:themeColor="text2"/>
          <w:sz w:val="22"/>
          <w:szCs w:val="22"/>
          <w:lang w:val="en-US"/>
        </w:rPr>
        <w:fldChar w:fldCharType="separate"/>
      </w:r>
      <w:r w:rsidR="00D6133D">
        <w:rPr>
          <w:rFonts w:asciiTheme="majorHAnsi" w:hAnsiTheme="majorHAnsi" w:cstheme="majorHAnsi"/>
          <w:bCs/>
          <w:i/>
          <w:noProof/>
          <w:color w:val="44546A" w:themeColor="text2"/>
          <w:sz w:val="22"/>
          <w:szCs w:val="22"/>
          <w:lang w:val="en-US"/>
        </w:rPr>
        <w:t>48</w:t>
      </w:r>
      <w:r w:rsidRPr="005424E3">
        <w:rPr>
          <w:rFonts w:asciiTheme="majorHAnsi" w:hAnsiTheme="majorHAnsi" w:cstheme="majorHAnsi"/>
          <w:bCs/>
          <w:i/>
          <w:color w:val="44546A" w:themeColor="text2"/>
          <w:sz w:val="22"/>
          <w:szCs w:val="22"/>
          <w:lang w:val="en-US"/>
        </w:rPr>
        <w:fldChar w:fldCharType="end"/>
      </w:r>
      <w:r w:rsidRPr="005424E3">
        <w:rPr>
          <w:rFonts w:asciiTheme="majorHAnsi" w:hAnsiTheme="majorHAnsi" w:cstheme="majorHAnsi"/>
          <w:bCs/>
          <w:i/>
          <w:color w:val="44546A" w:themeColor="text2"/>
          <w:sz w:val="22"/>
          <w:szCs w:val="22"/>
          <w:lang w:val="en-US"/>
        </w:rPr>
        <w:t>. Overall Regression Results</w:t>
      </w:r>
      <w:bookmarkEnd w:id="422"/>
      <w:bookmarkEnd w:id="423"/>
      <w:r w:rsidR="00D434EB">
        <w:rPr>
          <w:rFonts w:asciiTheme="majorHAnsi" w:hAnsiTheme="majorHAnsi" w:cstheme="majorHAnsi"/>
          <w:bCs/>
          <w:i/>
          <w:color w:val="44546A" w:themeColor="text2"/>
          <w:sz w:val="22"/>
          <w:szCs w:val="22"/>
          <w:lang w:val="en-US"/>
        </w:rPr>
        <w:t xml:space="preserve"> </w:t>
      </w:r>
    </w:p>
    <w:tbl>
      <w:tblPr>
        <w:tblStyle w:val="TableGrid18"/>
        <w:tblW w:w="10364" w:type="dxa"/>
        <w:tblLook w:val="04A0" w:firstRow="1" w:lastRow="0" w:firstColumn="1" w:lastColumn="0" w:noHBand="0" w:noVBand="1"/>
      </w:tblPr>
      <w:tblGrid>
        <w:gridCol w:w="2539"/>
        <w:gridCol w:w="1395"/>
        <w:gridCol w:w="1137"/>
        <w:gridCol w:w="1398"/>
        <w:gridCol w:w="1274"/>
        <w:gridCol w:w="1349"/>
        <w:gridCol w:w="1272"/>
      </w:tblGrid>
      <w:tr w:rsidR="00456BD4" w:rsidRPr="004213BA" w14:paraId="13F25AFA" w14:textId="77777777" w:rsidTr="00F4751F">
        <w:trPr>
          <w:trHeight w:val="528"/>
          <w:tblHeader/>
        </w:trPr>
        <w:tc>
          <w:tcPr>
            <w:tcW w:w="2539" w:type="dxa"/>
            <w:tcBorders>
              <w:top w:val="single" w:sz="4" w:space="0" w:color="auto"/>
              <w:bottom w:val="nil"/>
            </w:tcBorders>
          </w:tcPr>
          <w:p w14:paraId="12BDA89C" w14:textId="77777777" w:rsidR="00456BD4" w:rsidRPr="004B064D" w:rsidRDefault="00456BD4" w:rsidP="00796BFA">
            <w:pPr>
              <w:spacing w:before="100" w:beforeAutospacing="1" w:after="100" w:afterAutospacing="1" w:line="360" w:lineRule="auto"/>
              <w:rPr>
                <w:rFonts w:asciiTheme="majorHAnsi" w:eastAsiaTheme="minorEastAsia" w:hAnsiTheme="majorHAnsi" w:cstheme="majorHAnsi"/>
                <w:b/>
                <w:bCs/>
                <w:color w:val="000000"/>
                <w:sz w:val="20"/>
                <w:szCs w:val="20"/>
                <w:lang w:val="en-US" w:eastAsia="zh-CN" w:bidi="hi-IN"/>
              </w:rPr>
            </w:pPr>
          </w:p>
        </w:tc>
        <w:tc>
          <w:tcPr>
            <w:tcW w:w="1395" w:type="dxa"/>
            <w:tcBorders>
              <w:right w:val="nil"/>
            </w:tcBorders>
          </w:tcPr>
          <w:p w14:paraId="10FA11EC" w14:textId="7499B094" w:rsidR="00456BD4" w:rsidRPr="004B064D" w:rsidRDefault="00456BD4" w:rsidP="00796BFA">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r w:rsidRPr="004B064D">
              <w:rPr>
                <w:rFonts w:asciiTheme="majorHAnsi" w:eastAsiaTheme="minorEastAsia" w:hAnsiTheme="majorHAnsi" w:cstheme="majorHAnsi"/>
                <w:b/>
                <w:bCs/>
                <w:sz w:val="20"/>
                <w:szCs w:val="20"/>
                <w:lang w:val="en-US" w:eastAsia="zh-CN" w:bidi="hi-IN"/>
              </w:rPr>
              <w:t>Grade 4</w:t>
            </w:r>
          </w:p>
        </w:tc>
        <w:tc>
          <w:tcPr>
            <w:tcW w:w="1137" w:type="dxa"/>
            <w:tcBorders>
              <w:left w:val="nil"/>
            </w:tcBorders>
          </w:tcPr>
          <w:p w14:paraId="648E5121" w14:textId="77777777" w:rsidR="00456BD4" w:rsidRPr="004B064D" w:rsidRDefault="00456BD4" w:rsidP="00796BFA">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p>
        </w:tc>
        <w:tc>
          <w:tcPr>
            <w:tcW w:w="1398" w:type="dxa"/>
            <w:tcBorders>
              <w:right w:val="nil"/>
            </w:tcBorders>
          </w:tcPr>
          <w:p w14:paraId="42CB3EA2" w14:textId="1294C559" w:rsidR="00456BD4" w:rsidRPr="004B064D" w:rsidRDefault="00456BD4" w:rsidP="00796BFA">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r w:rsidRPr="004B064D">
              <w:rPr>
                <w:rFonts w:asciiTheme="majorHAnsi" w:eastAsiaTheme="minorEastAsia" w:hAnsiTheme="majorHAnsi" w:cstheme="majorHAnsi"/>
                <w:b/>
                <w:bCs/>
                <w:sz w:val="20"/>
                <w:szCs w:val="20"/>
                <w:lang w:val="en-US" w:eastAsia="zh-CN" w:bidi="hi-IN"/>
              </w:rPr>
              <w:t>Grade 5</w:t>
            </w:r>
          </w:p>
        </w:tc>
        <w:tc>
          <w:tcPr>
            <w:tcW w:w="1274" w:type="dxa"/>
            <w:tcBorders>
              <w:left w:val="nil"/>
            </w:tcBorders>
          </w:tcPr>
          <w:p w14:paraId="0A2EB4B5" w14:textId="77777777" w:rsidR="00456BD4" w:rsidRPr="004B064D" w:rsidRDefault="00456BD4" w:rsidP="00796BFA">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p>
        </w:tc>
        <w:tc>
          <w:tcPr>
            <w:tcW w:w="1349" w:type="dxa"/>
            <w:tcBorders>
              <w:right w:val="nil"/>
            </w:tcBorders>
          </w:tcPr>
          <w:p w14:paraId="3CD72DCA" w14:textId="75A3D270" w:rsidR="00456BD4" w:rsidRPr="004B064D" w:rsidRDefault="00456BD4" w:rsidP="00796BFA">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r w:rsidRPr="004B064D">
              <w:rPr>
                <w:rFonts w:asciiTheme="majorHAnsi" w:eastAsiaTheme="minorEastAsia" w:hAnsiTheme="majorHAnsi" w:cstheme="majorHAnsi"/>
                <w:b/>
                <w:bCs/>
                <w:sz w:val="20"/>
                <w:szCs w:val="20"/>
                <w:lang w:val="en-US" w:eastAsia="zh-CN" w:bidi="hi-IN"/>
              </w:rPr>
              <w:t>Grade 6</w:t>
            </w:r>
          </w:p>
        </w:tc>
        <w:tc>
          <w:tcPr>
            <w:tcW w:w="1272" w:type="dxa"/>
            <w:tcBorders>
              <w:left w:val="nil"/>
            </w:tcBorders>
          </w:tcPr>
          <w:p w14:paraId="26047467" w14:textId="77777777" w:rsidR="00456BD4" w:rsidRPr="004B064D" w:rsidRDefault="00456BD4" w:rsidP="00796BFA">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p>
        </w:tc>
      </w:tr>
      <w:tr w:rsidR="008D0CAD" w:rsidRPr="004213BA" w14:paraId="6067A58B" w14:textId="77777777" w:rsidTr="00F4751F">
        <w:trPr>
          <w:trHeight w:val="528"/>
          <w:tblHeader/>
        </w:trPr>
        <w:tc>
          <w:tcPr>
            <w:tcW w:w="2539" w:type="dxa"/>
            <w:tcBorders>
              <w:top w:val="nil"/>
            </w:tcBorders>
          </w:tcPr>
          <w:p w14:paraId="42C1F941" w14:textId="77777777" w:rsidR="008D0CAD" w:rsidRPr="004B064D" w:rsidRDefault="008D0CAD" w:rsidP="00796BFA">
            <w:pPr>
              <w:spacing w:before="100" w:beforeAutospacing="1" w:after="100" w:afterAutospacing="1" w:line="360" w:lineRule="auto"/>
              <w:rPr>
                <w:rFonts w:asciiTheme="majorHAnsi" w:eastAsiaTheme="minorEastAsia" w:hAnsiTheme="majorHAnsi" w:cstheme="majorHAnsi"/>
                <w:b/>
                <w:bCs/>
                <w:color w:val="000000"/>
                <w:sz w:val="20"/>
                <w:szCs w:val="20"/>
                <w:lang w:val="en-US" w:eastAsia="zh-CN" w:bidi="hi-IN"/>
              </w:rPr>
            </w:pPr>
          </w:p>
        </w:tc>
        <w:tc>
          <w:tcPr>
            <w:tcW w:w="1395" w:type="dxa"/>
          </w:tcPr>
          <w:p w14:paraId="2683FFCB" w14:textId="77777777" w:rsidR="008D0CAD" w:rsidRPr="004B064D" w:rsidRDefault="008D0CAD" w:rsidP="00796BFA">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r w:rsidRPr="004B064D">
              <w:rPr>
                <w:rFonts w:asciiTheme="majorHAnsi" w:eastAsiaTheme="minorEastAsia" w:hAnsiTheme="majorHAnsi" w:cstheme="majorHAnsi"/>
                <w:b/>
                <w:bCs/>
                <w:sz w:val="20"/>
                <w:szCs w:val="20"/>
                <w:lang w:val="en-US" w:eastAsia="zh-CN" w:bidi="hi-IN"/>
              </w:rPr>
              <w:t>Coefficient</w:t>
            </w:r>
          </w:p>
        </w:tc>
        <w:tc>
          <w:tcPr>
            <w:tcW w:w="1137" w:type="dxa"/>
          </w:tcPr>
          <w:p w14:paraId="30F8C5AB" w14:textId="77777777" w:rsidR="008D0CAD" w:rsidRPr="004B064D" w:rsidRDefault="008D0CAD" w:rsidP="00796BFA">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r w:rsidRPr="004B064D">
              <w:rPr>
                <w:rFonts w:asciiTheme="majorHAnsi" w:eastAsiaTheme="minorEastAsia" w:hAnsiTheme="majorHAnsi" w:cstheme="majorHAnsi"/>
                <w:b/>
                <w:bCs/>
                <w:sz w:val="20"/>
                <w:szCs w:val="20"/>
                <w:lang w:val="en-US" w:eastAsia="zh-CN" w:bidi="hi-IN"/>
              </w:rPr>
              <w:t>Standard Error</w:t>
            </w:r>
          </w:p>
        </w:tc>
        <w:tc>
          <w:tcPr>
            <w:tcW w:w="1398" w:type="dxa"/>
          </w:tcPr>
          <w:p w14:paraId="52C4106E" w14:textId="77777777" w:rsidR="008D0CAD" w:rsidRPr="000A4732" w:rsidRDefault="008D0CAD" w:rsidP="00796BFA">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r w:rsidRPr="004B064D">
              <w:rPr>
                <w:rFonts w:asciiTheme="majorHAnsi" w:eastAsiaTheme="minorEastAsia" w:hAnsiTheme="majorHAnsi" w:cstheme="majorHAnsi"/>
                <w:b/>
                <w:bCs/>
                <w:sz w:val="20"/>
                <w:szCs w:val="20"/>
                <w:lang w:val="en-US" w:eastAsia="zh-CN" w:bidi="hi-IN"/>
              </w:rPr>
              <w:t>Coefficient</w:t>
            </w:r>
          </w:p>
        </w:tc>
        <w:tc>
          <w:tcPr>
            <w:tcW w:w="1274" w:type="dxa"/>
          </w:tcPr>
          <w:p w14:paraId="46B72799" w14:textId="77777777" w:rsidR="008D0CAD" w:rsidRPr="000A4732" w:rsidRDefault="008D0CAD" w:rsidP="00796BFA">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r w:rsidRPr="004B064D">
              <w:rPr>
                <w:rFonts w:asciiTheme="majorHAnsi" w:eastAsiaTheme="minorEastAsia" w:hAnsiTheme="majorHAnsi" w:cstheme="majorHAnsi"/>
                <w:b/>
                <w:bCs/>
                <w:sz w:val="20"/>
                <w:szCs w:val="20"/>
                <w:lang w:val="en-US" w:eastAsia="zh-CN" w:bidi="hi-IN"/>
              </w:rPr>
              <w:t>Standard Error</w:t>
            </w:r>
          </w:p>
        </w:tc>
        <w:tc>
          <w:tcPr>
            <w:tcW w:w="1349" w:type="dxa"/>
          </w:tcPr>
          <w:p w14:paraId="7B76F80A" w14:textId="77777777" w:rsidR="008D0CAD" w:rsidRPr="000A4732" w:rsidRDefault="008D0CAD" w:rsidP="00796BFA">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r w:rsidRPr="004B064D">
              <w:rPr>
                <w:rFonts w:asciiTheme="majorHAnsi" w:eastAsiaTheme="minorEastAsia" w:hAnsiTheme="majorHAnsi" w:cstheme="majorHAnsi"/>
                <w:b/>
                <w:bCs/>
                <w:sz w:val="20"/>
                <w:szCs w:val="20"/>
                <w:lang w:val="en-US" w:eastAsia="zh-CN" w:bidi="hi-IN"/>
              </w:rPr>
              <w:t>Coefficient</w:t>
            </w:r>
          </w:p>
        </w:tc>
        <w:tc>
          <w:tcPr>
            <w:tcW w:w="1272" w:type="dxa"/>
          </w:tcPr>
          <w:p w14:paraId="1E168136" w14:textId="77777777" w:rsidR="008D0CAD" w:rsidRPr="000A4732" w:rsidRDefault="008D0CAD" w:rsidP="00796BFA">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r w:rsidRPr="004B064D">
              <w:rPr>
                <w:rFonts w:asciiTheme="majorHAnsi" w:eastAsiaTheme="minorEastAsia" w:hAnsiTheme="majorHAnsi" w:cstheme="majorHAnsi"/>
                <w:b/>
                <w:bCs/>
                <w:sz w:val="20"/>
                <w:szCs w:val="20"/>
                <w:lang w:val="en-US" w:eastAsia="zh-CN" w:bidi="hi-IN"/>
              </w:rPr>
              <w:t>Standard Error</w:t>
            </w:r>
          </w:p>
        </w:tc>
      </w:tr>
      <w:tr w:rsidR="008D0CAD" w:rsidRPr="004213BA" w14:paraId="023CC670" w14:textId="77777777" w:rsidTr="00FF4CA3">
        <w:trPr>
          <w:trHeight w:val="258"/>
        </w:trPr>
        <w:tc>
          <w:tcPr>
            <w:tcW w:w="2539" w:type="dxa"/>
          </w:tcPr>
          <w:p w14:paraId="0346B6CB"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sz w:val="20"/>
                <w:szCs w:val="20"/>
                <w:lang w:val="en-US" w:eastAsia="zh-CN" w:bidi="hi-IN"/>
              </w:rPr>
              <w:t>Best</w:t>
            </w:r>
          </w:p>
        </w:tc>
        <w:tc>
          <w:tcPr>
            <w:tcW w:w="1395" w:type="dxa"/>
          </w:tcPr>
          <w:p w14:paraId="4ADF2F6F"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0.0433</w:t>
            </w:r>
          </w:p>
        </w:tc>
        <w:tc>
          <w:tcPr>
            <w:tcW w:w="1137" w:type="dxa"/>
          </w:tcPr>
          <w:p w14:paraId="6F2B9D2D"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0.1062</w:t>
            </w:r>
          </w:p>
        </w:tc>
        <w:tc>
          <w:tcPr>
            <w:tcW w:w="1398" w:type="dxa"/>
          </w:tcPr>
          <w:p w14:paraId="7739AEBF"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0.0345</w:t>
            </w:r>
          </w:p>
        </w:tc>
        <w:tc>
          <w:tcPr>
            <w:tcW w:w="1274" w:type="dxa"/>
          </w:tcPr>
          <w:p w14:paraId="7AF1C8B3"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0.1036</w:t>
            </w:r>
          </w:p>
        </w:tc>
        <w:tc>
          <w:tcPr>
            <w:tcW w:w="1349" w:type="dxa"/>
          </w:tcPr>
          <w:p w14:paraId="28AD69D9"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-0.0986</w:t>
            </w:r>
          </w:p>
        </w:tc>
        <w:tc>
          <w:tcPr>
            <w:tcW w:w="1272" w:type="dxa"/>
          </w:tcPr>
          <w:p w14:paraId="1FC27630"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0.0953</w:t>
            </w:r>
          </w:p>
        </w:tc>
      </w:tr>
      <w:tr w:rsidR="008D0CAD" w:rsidRPr="004213BA" w14:paraId="48277945" w14:textId="77777777" w:rsidTr="00FF4CA3">
        <w:trPr>
          <w:trHeight w:val="270"/>
        </w:trPr>
        <w:tc>
          <w:tcPr>
            <w:tcW w:w="2539" w:type="dxa"/>
          </w:tcPr>
          <w:p w14:paraId="70957699"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Inc Class: 1st</w:t>
            </w:r>
          </w:p>
        </w:tc>
        <w:tc>
          <w:tcPr>
            <w:tcW w:w="1395" w:type="dxa"/>
          </w:tcPr>
          <w:p w14:paraId="30F3C977"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0.4126</w:t>
            </w:r>
          </w:p>
        </w:tc>
        <w:tc>
          <w:tcPr>
            <w:tcW w:w="1137" w:type="dxa"/>
          </w:tcPr>
          <w:p w14:paraId="1384AAC8"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0.2537</w:t>
            </w:r>
          </w:p>
        </w:tc>
        <w:tc>
          <w:tcPr>
            <w:tcW w:w="1398" w:type="dxa"/>
          </w:tcPr>
          <w:p w14:paraId="6398783F"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0.7025**</w:t>
            </w:r>
          </w:p>
        </w:tc>
        <w:tc>
          <w:tcPr>
            <w:tcW w:w="1274" w:type="dxa"/>
          </w:tcPr>
          <w:p w14:paraId="6B49EE90"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0.2995</w:t>
            </w:r>
          </w:p>
        </w:tc>
        <w:tc>
          <w:tcPr>
            <w:tcW w:w="1349" w:type="dxa"/>
          </w:tcPr>
          <w:p w14:paraId="0E51F6D0"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0.3103</w:t>
            </w:r>
          </w:p>
        </w:tc>
        <w:tc>
          <w:tcPr>
            <w:tcW w:w="1272" w:type="dxa"/>
          </w:tcPr>
          <w:p w14:paraId="79763DA2"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0.2999</w:t>
            </w:r>
          </w:p>
        </w:tc>
      </w:tr>
      <w:tr w:rsidR="008D0CAD" w:rsidRPr="004213BA" w14:paraId="0DA4A795" w14:textId="77777777" w:rsidTr="00FF4CA3">
        <w:trPr>
          <w:trHeight w:val="258"/>
        </w:trPr>
        <w:tc>
          <w:tcPr>
            <w:tcW w:w="2539" w:type="dxa"/>
          </w:tcPr>
          <w:p w14:paraId="2D642B01"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 xml:space="preserve">Inc Class: 2nd </w:t>
            </w:r>
          </w:p>
        </w:tc>
        <w:tc>
          <w:tcPr>
            <w:tcW w:w="1395" w:type="dxa"/>
          </w:tcPr>
          <w:p w14:paraId="76D27E28"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0.5260*</w:t>
            </w:r>
          </w:p>
        </w:tc>
        <w:tc>
          <w:tcPr>
            <w:tcW w:w="1137" w:type="dxa"/>
          </w:tcPr>
          <w:p w14:paraId="043EB899"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0.2716</w:t>
            </w:r>
          </w:p>
        </w:tc>
        <w:tc>
          <w:tcPr>
            <w:tcW w:w="1398" w:type="dxa"/>
          </w:tcPr>
          <w:p w14:paraId="753C86FE"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0.7426**</w:t>
            </w:r>
          </w:p>
        </w:tc>
        <w:tc>
          <w:tcPr>
            <w:tcW w:w="1274" w:type="dxa"/>
          </w:tcPr>
          <w:p w14:paraId="2E13AE11"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0.3157</w:t>
            </w:r>
          </w:p>
        </w:tc>
        <w:tc>
          <w:tcPr>
            <w:tcW w:w="1349" w:type="dxa"/>
          </w:tcPr>
          <w:p w14:paraId="44099C51"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0.3871</w:t>
            </w:r>
          </w:p>
        </w:tc>
        <w:tc>
          <w:tcPr>
            <w:tcW w:w="1272" w:type="dxa"/>
          </w:tcPr>
          <w:p w14:paraId="3FBE969C"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0.3152</w:t>
            </w:r>
          </w:p>
        </w:tc>
      </w:tr>
      <w:tr w:rsidR="008D0CAD" w:rsidRPr="004213BA" w14:paraId="412766B3" w14:textId="77777777" w:rsidTr="00FF4CA3">
        <w:trPr>
          <w:trHeight w:val="270"/>
        </w:trPr>
        <w:tc>
          <w:tcPr>
            <w:tcW w:w="2539" w:type="dxa"/>
          </w:tcPr>
          <w:p w14:paraId="00BDA87E"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 xml:space="preserve">Inc Class: 3rd </w:t>
            </w:r>
          </w:p>
        </w:tc>
        <w:tc>
          <w:tcPr>
            <w:tcW w:w="1395" w:type="dxa"/>
          </w:tcPr>
          <w:p w14:paraId="06F5A771"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0.4896*</w:t>
            </w:r>
          </w:p>
        </w:tc>
        <w:tc>
          <w:tcPr>
            <w:tcW w:w="1137" w:type="dxa"/>
          </w:tcPr>
          <w:p w14:paraId="19256056"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0.2705</w:t>
            </w:r>
          </w:p>
        </w:tc>
        <w:tc>
          <w:tcPr>
            <w:tcW w:w="1398" w:type="dxa"/>
          </w:tcPr>
          <w:p w14:paraId="49ED90C1"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0.7494**</w:t>
            </w:r>
          </w:p>
        </w:tc>
        <w:tc>
          <w:tcPr>
            <w:tcW w:w="1274" w:type="dxa"/>
          </w:tcPr>
          <w:p w14:paraId="39D72593"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0.3149</w:t>
            </w:r>
          </w:p>
        </w:tc>
        <w:tc>
          <w:tcPr>
            <w:tcW w:w="1349" w:type="dxa"/>
          </w:tcPr>
          <w:p w14:paraId="0DC95850"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0.3061</w:t>
            </w:r>
          </w:p>
        </w:tc>
        <w:tc>
          <w:tcPr>
            <w:tcW w:w="1272" w:type="dxa"/>
          </w:tcPr>
          <w:p w14:paraId="004DBBB9"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0.3143</w:t>
            </w:r>
          </w:p>
        </w:tc>
      </w:tr>
      <w:tr w:rsidR="008D0CAD" w:rsidRPr="004213BA" w14:paraId="7AE6276B" w14:textId="77777777" w:rsidTr="00FF4CA3">
        <w:trPr>
          <w:trHeight w:val="258"/>
        </w:trPr>
        <w:tc>
          <w:tcPr>
            <w:tcW w:w="2539" w:type="dxa"/>
          </w:tcPr>
          <w:p w14:paraId="1F9BA73D"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 xml:space="preserve">Inc Class: 4th </w:t>
            </w:r>
          </w:p>
        </w:tc>
        <w:tc>
          <w:tcPr>
            <w:tcW w:w="1395" w:type="dxa"/>
          </w:tcPr>
          <w:p w14:paraId="316B9897"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0.3510</w:t>
            </w:r>
          </w:p>
        </w:tc>
        <w:tc>
          <w:tcPr>
            <w:tcW w:w="1137" w:type="dxa"/>
          </w:tcPr>
          <w:p w14:paraId="07C9B2FF"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0.2691</w:t>
            </w:r>
          </w:p>
        </w:tc>
        <w:tc>
          <w:tcPr>
            <w:tcW w:w="1398" w:type="dxa"/>
          </w:tcPr>
          <w:p w14:paraId="5FE4A7D1"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0.6314**</w:t>
            </w:r>
          </w:p>
        </w:tc>
        <w:tc>
          <w:tcPr>
            <w:tcW w:w="1274" w:type="dxa"/>
          </w:tcPr>
          <w:p w14:paraId="6206EC31"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0.3136</w:t>
            </w:r>
          </w:p>
        </w:tc>
        <w:tc>
          <w:tcPr>
            <w:tcW w:w="1349" w:type="dxa"/>
          </w:tcPr>
          <w:p w14:paraId="3EA009E3"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0.3350</w:t>
            </w:r>
          </w:p>
        </w:tc>
        <w:tc>
          <w:tcPr>
            <w:tcW w:w="1272" w:type="dxa"/>
          </w:tcPr>
          <w:p w14:paraId="1CA82D7F"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0.3143</w:t>
            </w:r>
          </w:p>
        </w:tc>
      </w:tr>
      <w:tr w:rsidR="008D0CAD" w:rsidRPr="004213BA" w14:paraId="65E42271" w14:textId="77777777" w:rsidTr="00FF4CA3">
        <w:trPr>
          <w:trHeight w:val="258"/>
        </w:trPr>
        <w:tc>
          <w:tcPr>
            <w:tcW w:w="2539" w:type="dxa"/>
          </w:tcPr>
          <w:p w14:paraId="6A831C3E"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 xml:space="preserve">Inc Class: 5th </w:t>
            </w:r>
          </w:p>
        </w:tc>
        <w:tc>
          <w:tcPr>
            <w:tcW w:w="1395" w:type="dxa"/>
          </w:tcPr>
          <w:p w14:paraId="42DF77C6"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0.4193</w:t>
            </w:r>
          </w:p>
        </w:tc>
        <w:tc>
          <w:tcPr>
            <w:tcW w:w="1137" w:type="dxa"/>
          </w:tcPr>
          <w:p w14:paraId="1202CD6F"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0.2860</w:t>
            </w:r>
          </w:p>
        </w:tc>
        <w:tc>
          <w:tcPr>
            <w:tcW w:w="1398" w:type="dxa"/>
          </w:tcPr>
          <w:p w14:paraId="108FE163"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0.6616**</w:t>
            </w:r>
          </w:p>
        </w:tc>
        <w:tc>
          <w:tcPr>
            <w:tcW w:w="1274" w:type="dxa"/>
          </w:tcPr>
          <w:p w14:paraId="7AC64012"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0.3240</w:t>
            </w:r>
          </w:p>
        </w:tc>
        <w:tc>
          <w:tcPr>
            <w:tcW w:w="1349" w:type="dxa"/>
          </w:tcPr>
          <w:p w14:paraId="2294D9B8"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0.2963</w:t>
            </w:r>
          </w:p>
        </w:tc>
        <w:tc>
          <w:tcPr>
            <w:tcW w:w="1272" w:type="dxa"/>
          </w:tcPr>
          <w:p w14:paraId="43711FF7"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0.3259</w:t>
            </w:r>
          </w:p>
        </w:tc>
      </w:tr>
      <w:tr w:rsidR="008D0CAD" w:rsidRPr="004213BA" w14:paraId="709F6700" w14:textId="77777777" w:rsidTr="00FF4CA3">
        <w:trPr>
          <w:trHeight w:val="270"/>
        </w:trPr>
        <w:tc>
          <w:tcPr>
            <w:tcW w:w="2539" w:type="dxa"/>
          </w:tcPr>
          <w:p w14:paraId="7C0A2F79"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 xml:space="preserve">Inc Class: 6th </w:t>
            </w:r>
          </w:p>
        </w:tc>
        <w:tc>
          <w:tcPr>
            <w:tcW w:w="1395" w:type="dxa"/>
          </w:tcPr>
          <w:p w14:paraId="2DCC40C6"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-1.0656**</w:t>
            </w:r>
          </w:p>
        </w:tc>
        <w:tc>
          <w:tcPr>
            <w:tcW w:w="1137" w:type="dxa"/>
          </w:tcPr>
          <w:p w14:paraId="0FDDC3AD"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0.4813</w:t>
            </w:r>
          </w:p>
        </w:tc>
        <w:tc>
          <w:tcPr>
            <w:tcW w:w="1398" w:type="dxa"/>
          </w:tcPr>
          <w:p w14:paraId="49A86BDC"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0.1258</w:t>
            </w:r>
          </w:p>
        </w:tc>
        <w:tc>
          <w:tcPr>
            <w:tcW w:w="1274" w:type="dxa"/>
          </w:tcPr>
          <w:p w14:paraId="5D3EB09C"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0.7119</w:t>
            </w:r>
          </w:p>
        </w:tc>
        <w:tc>
          <w:tcPr>
            <w:tcW w:w="1349" w:type="dxa"/>
          </w:tcPr>
          <w:p w14:paraId="490A3AC5"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0.1265</w:t>
            </w:r>
          </w:p>
        </w:tc>
        <w:tc>
          <w:tcPr>
            <w:tcW w:w="1272" w:type="dxa"/>
          </w:tcPr>
          <w:p w14:paraId="287D7933"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0.5757</w:t>
            </w:r>
          </w:p>
        </w:tc>
      </w:tr>
      <w:tr w:rsidR="008D0CAD" w:rsidRPr="004213BA" w14:paraId="13D89643" w14:textId="77777777" w:rsidTr="00FF4CA3">
        <w:trPr>
          <w:trHeight w:val="258"/>
        </w:trPr>
        <w:tc>
          <w:tcPr>
            <w:tcW w:w="2539" w:type="dxa"/>
          </w:tcPr>
          <w:p w14:paraId="2E3F6429"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ES Size: Large</w:t>
            </w:r>
          </w:p>
        </w:tc>
        <w:tc>
          <w:tcPr>
            <w:tcW w:w="1395" w:type="dxa"/>
          </w:tcPr>
          <w:p w14:paraId="50F247CB"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-0.6707***</w:t>
            </w:r>
          </w:p>
        </w:tc>
        <w:tc>
          <w:tcPr>
            <w:tcW w:w="1137" w:type="dxa"/>
          </w:tcPr>
          <w:p w14:paraId="79B91AD9"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0.1491</w:t>
            </w:r>
          </w:p>
        </w:tc>
        <w:tc>
          <w:tcPr>
            <w:tcW w:w="1398" w:type="dxa"/>
          </w:tcPr>
          <w:p w14:paraId="4D47EA72"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-0.5974***</w:t>
            </w:r>
          </w:p>
        </w:tc>
        <w:tc>
          <w:tcPr>
            <w:tcW w:w="1274" w:type="dxa"/>
          </w:tcPr>
          <w:p w14:paraId="5AF9FBBE"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0.1539</w:t>
            </w:r>
          </w:p>
        </w:tc>
        <w:tc>
          <w:tcPr>
            <w:tcW w:w="1349" w:type="dxa"/>
          </w:tcPr>
          <w:p w14:paraId="433B8A2E"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-0.3299**</w:t>
            </w:r>
          </w:p>
        </w:tc>
        <w:tc>
          <w:tcPr>
            <w:tcW w:w="1272" w:type="dxa"/>
          </w:tcPr>
          <w:p w14:paraId="5E30DE9A"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0.1382</w:t>
            </w:r>
          </w:p>
        </w:tc>
      </w:tr>
      <w:tr w:rsidR="008D0CAD" w:rsidRPr="004213BA" w14:paraId="1298730E" w14:textId="77777777" w:rsidTr="00FF4CA3">
        <w:trPr>
          <w:trHeight w:val="270"/>
        </w:trPr>
        <w:tc>
          <w:tcPr>
            <w:tcW w:w="2539" w:type="dxa"/>
          </w:tcPr>
          <w:p w14:paraId="7709336C"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ES Size: Medium</w:t>
            </w:r>
          </w:p>
        </w:tc>
        <w:tc>
          <w:tcPr>
            <w:tcW w:w="1395" w:type="dxa"/>
          </w:tcPr>
          <w:p w14:paraId="3706A115"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-0.4532***</w:t>
            </w:r>
          </w:p>
        </w:tc>
        <w:tc>
          <w:tcPr>
            <w:tcW w:w="1137" w:type="dxa"/>
          </w:tcPr>
          <w:p w14:paraId="145E7D5F"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0.0944</w:t>
            </w:r>
          </w:p>
        </w:tc>
        <w:tc>
          <w:tcPr>
            <w:tcW w:w="1398" w:type="dxa"/>
          </w:tcPr>
          <w:p w14:paraId="07FC57B8"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-0.4194***</w:t>
            </w:r>
          </w:p>
        </w:tc>
        <w:tc>
          <w:tcPr>
            <w:tcW w:w="1274" w:type="dxa"/>
          </w:tcPr>
          <w:p w14:paraId="76BDD5C7"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0.0885</w:t>
            </w:r>
          </w:p>
        </w:tc>
        <w:tc>
          <w:tcPr>
            <w:tcW w:w="1349" w:type="dxa"/>
          </w:tcPr>
          <w:p w14:paraId="6BBF2C60"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-0.2454**</w:t>
            </w:r>
          </w:p>
        </w:tc>
        <w:tc>
          <w:tcPr>
            <w:tcW w:w="1272" w:type="dxa"/>
          </w:tcPr>
          <w:p w14:paraId="20164D19"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0.0948</w:t>
            </w:r>
          </w:p>
        </w:tc>
      </w:tr>
      <w:tr w:rsidR="008D0CAD" w:rsidRPr="004213BA" w14:paraId="3D0E180C" w14:textId="77777777" w:rsidTr="00FF4CA3">
        <w:trPr>
          <w:trHeight w:val="258"/>
        </w:trPr>
        <w:tc>
          <w:tcPr>
            <w:tcW w:w="2539" w:type="dxa"/>
          </w:tcPr>
          <w:p w14:paraId="7D8291AF"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ES Size: Very Large</w:t>
            </w:r>
          </w:p>
        </w:tc>
        <w:tc>
          <w:tcPr>
            <w:tcW w:w="1395" w:type="dxa"/>
          </w:tcPr>
          <w:p w14:paraId="151BF038"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-1.1414***</w:t>
            </w:r>
          </w:p>
        </w:tc>
        <w:tc>
          <w:tcPr>
            <w:tcW w:w="1137" w:type="dxa"/>
          </w:tcPr>
          <w:p w14:paraId="6BDB61BE"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0.1631</w:t>
            </w:r>
          </w:p>
        </w:tc>
        <w:tc>
          <w:tcPr>
            <w:tcW w:w="1398" w:type="dxa"/>
          </w:tcPr>
          <w:p w14:paraId="5A41A836"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-1.0523***</w:t>
            </w:r>
          </w:p>
        </w:tc>
        <w:tc>
          <w:tcPr>
            <w:tcW w:w="1274" w:type="dxa"/>
          </w:tcPr>
          <w:p w14:paraId="23DF18EE"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0.1876</w:t>
            </w:r>
          </w:p>
        </w:tc>
        <w:tc>
          <w:tcPr>
            <w:tcW w:w="1349" w:type="dxa"/>
          </w:tcPr>
          <w:p w14:paraId="40CC18DC"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-0.5410**</w:t>
            </w:r>
          </w:p>
        </w:tc>
        <w:tc>
          <w:tcPr>
            <w:tcW w:w="1272" w:type="dxa"/>
          </w:tcPr>
          <w:p w14:paraId="70E284D0"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0.2158</w:t>
            </w:r>
          </w:p>
        </w:tc>
      </w:tr>
      <w:tr w:rsidR="008D0CAD" w:rsidRPr="004213BA" w14:paraId="38836941" w14:textId="77777777" w:rsidTr="00FF4CA3">
        <w:trPr>
          <w:trHeight w:val="270"/>
        </w:trPr>
        <w:tc>
          <w:tcPr>
            <w:tcW w:w="2539" w:type="dxa"/>
          </w:tcPr>
          <w:p w14:paraId="60BD6132"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Partially Urban</w:t>
            </w:r>
          </w:p>
        </w:tc>
        <w:tc>
          <w:tcPr>
            <w:tcW w:w="1395" w:type="dxa"/>
          </w:tcPr>
          <w:p w14:paraId="5C469706"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0.0676</w:t>
            </w:r>
          </w:p>
        </w:tc>
        <w:tc>
          <w:tcPr>
            <w:tcW w:w="1137" w:type="dxa"/>
          </w:tcPr>
          <w:p w14:paraId="1B1CB58C"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0.1541</w:t>
            </w:r>
          </w:p>
        </w:tc>
        <w:tc>
          <w:tcPr>
            <w:tcW w:w="1398" w:type="dxa"/>
          </w:tcPr>
          <w:p w14:paraId="376D72B5"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-0.0307</w:t>
            </w:r>
          </w:p>
        </w:tc>
        <w:tc>
          <w:tcPr>
            <w:tcW w:w="1274" w:type="dxa"/>
          </w:tcPr>
          <w:p w14:paraId="7CD66217"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0.1676</w:t>
            </w:r>
          </w:p>
        </w:tc>
        <w:tc>
          <w:tcPr>
            <w:tcW w:w="1349" w:type="dxa"/>
          </w:tcPr>
          <w:p w14:paraId="477E127A"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0.1572</w:t>
            </w:r>
          </w:p>
        </w:tc>
        <w:tc>
          <w:tcPr>
            <w:tcW w:w="1272" w:type="dxa"/>
          </w:tcPr>
          <w:p w14:paraId="4A97B18E"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0.1562</w:t>
            </w:r>
          </w:p>
        </w:tc>
      </w:tr>
      <w:tr w:rsidR="008D0CAD" w:rsidRPr="004213BA" w14:paraId="63BA3EEC" w14:textId="77777777" w:rsidTr="00FF4CA3">
        <w:trPr>
          <w:trHeight w:val="258"/>
        </w:trPr>
        <w:tc>
          <w:tcPr>
            <w:tcW w:w="2539" w:type="dxa"/>
          </w:tcPr>
          <w:p w14:paraId="2469C632"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Urban</w:t>
            </w:r>
          </w:p>
        </w:tc>
        <w:tc>
          <w:tcPr>
            <w:tcW w:w="1395" w:type="dxa"/>
          </w:tcPr>
          <w:p w14:paraId="08E52F01"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-0.2474</w:t>
            </w:r>
          </w:p>
        </w:tc>
        <w:tc>
          <w:tcPr>
            <w:tcW w:w="1137" w:type="dxa"/>
          </w:tcPr>
          <w:p w14:paraId="5B48EDBD"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0.2098</w:t>
            </w:r>
          </w:p>
        </w:tc>
        <w:tc>
          <w:tcPr>
            <w:tcW w:w="1398" w:type="dxa"/>
          </w:tcPr>
          <w:p w14:paraId="17D5443A"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-0.1613</w:t>
            </w:r>
          </w:p>
        </w:tc>
        <w:tc>
          <w:tcPr>
            <w:tcW w:w="1274" w:type="dxa"/>
          </w:tcPr>
          <w:p w14:paraId="6BA7335E"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0.2215</w:t>
            </w:r>
          </w:p>
        </w:tc>
        <w:tc>
          <w:tcPr>
            <w:tcW w:w="1349" w:type="dxa"/>
          </w:tcPr>
          <w:p w14:paraId="086A963C"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0.2679</w:t>
            </w:r>
          </w:p>
        </w:tc>
        <w:tc>
          <w:tcPr>
            <w:tcW w:w="1272" w:type="dxa"/>
          </w:tcPr>
          <w:p w14:paraId="7C1243A6"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0.2113</w:t>
            </w:r>
          </w:p>
        </w:tc>
      </w:tr>
      <w:tr w:rsidR="008D0CAD" w:rsidRPr="004213BA" w14:paraId="504E84B7" w14:textId="77777777" w:rsidTr="00FF4CA3">
        <w:trPr>
          <w:trHeight w:val="270"/>
        </w:trPr>
        <w:tc>
          <w:tcPr>
            <w:tcW w:w="2539" w:type="dxa"/>
          </w:tcPr>
          <w:p w14:paraId="7B0CDB3E"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Region 10</w:t>
            </w:r>
          </w:p>
        </w:tc>
        <w:tc>
          <w:tcPr>
            <w:tcW w:w="1395" w:type="dxa"/>
          </w:tcPr>
          <w:p w14:paraId="3743CEDD"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-0.0898</w:t>
            </w:r>
          </w:p>
        </w:tc>
        <w:tc>
          <w:tcPr>
            <w:tcW w:w="1137" w:type="dxa"/>
          </w:tcPr>
          <w:p w14:paraId="3F63B925"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0.2614</w:t>
            </w:r>
          </w:p>
        </w:tc>
        <w:tc>
          <w:tcPr>
            <w:tcW w:w="1398" w:type="dxa"/>
          </w:tcPr>
          <w:p w14:paraId="6FC29781"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-0.7790**</w:t>
            </w:r>
          </w:p>
        </w:tc>
        <w:tc>
          <w:tcPr>
            <w:tcW w:w="1274" w:type="dxa"/>
          </w:tcPr>
          <w:p w14:paraId="173B329E"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0.3189</w:t>
            </w:r>
          </w:p>
        </w:tc>
        <w:tc>
          <w:tcPr>
            <w:tcW w:w="1349" w:type="dxa"/>
          </w:tcPr>
          <w:p w14:paraId="55118986"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0.0548</w:t>
            </w:r>
          </w:p>
        </w:tc>
        <w:tc>
          <w:tcPr>
            <w:tcW w:w="1272" w:type="dxa"/>
          </w:tcPr>
          <w:p w14:paraId="1CD5C761"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0.2895</w:t>
            </w:r>
          </w:p>
        </w:tc>
      </w:tr>
      <w:tr w:rsidR="008D0CAD" w:rsidRPr="004213BA" w14:paraId="0A12B8E1" w14:textId="77777777" w:rsidTr="00FF4CA3">
        <w:trPr>
          <w:trHeight w:val="258"/>
        </w:trPr>
        <w:tc>
          <w:tcPr>
            <w:tcW w:w="2539" w:type="dxa"/>
          </w:tcPr>
          <w:p w14:paraId="6F464E53"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Region 5</w:t>
            </w:r>
          </w:p>
        </w:tc>
        <w:tc>
          <w:tcPr>
            <w:tcW w:w="1395" w:type="dxa"/>
          </w:tcPr>
          <w:p w14:paraId="7737AAEE"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0.1943</w:t>
            </w:r>
          </w:p>
        </w:tc>
        <w:tc>
          <w:tcPr>
            <w:tcW w:w="1137" w:type="dxa"/>
          </w:tcPr>
          <w:p w14:paraId="2DA55224"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0.2556</w:t>
            </w:r>
          </w:p>
        </w:tc>
        <w:tc>
          <w:tcPr>
            <w:tcW w:w="1398" w:type="dxa"/>
          </w:tcPr>
          <w:p w14:paraId="3A4CF549"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-0.0559</w:t>
            </w:r>
          </w:p>
        </w:tc>
        <w:tc>
          <w:tcPr>
            <w:tcW w:w="1274" w:type="dxa"/>
          </w:tcPr>
          <w:p w14:paraId="356AD2ED"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0.3121</w:t>
            </w:r>
          </w:p>
        </w:tc>
        <w:tc>
          <w:tcPr>
            <w:tcW w:w="1349" w:type="dxa"/>
          </w:tcPr>
          <w:p w14:paraId="5E2AAD08"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0.4887*</w:t>
            </w:r>
          </w:p>
        </w:tc>
        <w:tc>
          <w:tcPr>
            <w:tcW w:w="1272" w:type="dxa"/>
          </w:tcPr>
          <w:p w14:paraId="263CEB11"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0.2874</w:t>
            </w:r>
          </w:p>
        </w:tc>
      </w:tr>
      <w:tr w:rsidR="008D0CAD" w:rsidRPr="004213BA" w14:paraId="29AEA0B1" w14:textId="77777777" w:rsidTr="00FF4CA3">
        <w:trPr>
          <w:trHeight w:val="258"/>
        </w:trPr>
        <w:tc>
          <w:tcPr>
            <w:tcW w:w="2539" w:type="dxa"/>
          </w:tcPr>
          <w:p w14:paraId="0B4B5114"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Region 6</w:t>
            </w:r>
          </w:p>
        </w:tc>
        <w:tc>
          <w:tcPr>
            <w:tcW w:w="1395" w:type="dxa"/>
          </w:tcPr>
          <w:p w14:paraId="63722EBA"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-0.4902**</w:t>
            </w:r>
          </w:p>
        </w:tc>
        <w:tc>
          <w:tcPr>
            <w:tcW w:w="1137" w:type="dxa"/>
          </w:tcPr>
          <w:p w14:paraId="2E7773D5"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0.2439</w:t>
            </w:r>
          </w:p>
        </w:tc>
        <w:tc>
          <w:tcPr>
            <w:tcW w:w="1398" w:type="dxa"/>
          </w:tcPr>
          <w:p w14:paraId="37A37930"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-0.8253***</w:t>
            </w:r>
          </w:p>
        </w:tc>
        <w:tc>
          <w:tcPr>
            <w:tcW w:w="1274" w:type="dxa"/>
          </w:tcPr>
          <w:p w14:paraId="156CF2DE"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0.3039</w:t>
            </w:r>
          </w:p>
        </w:tc>
        <w:tc>
          <w:tcPr>
            <w:tcW w:w="1349" w:type="dxa"/>
          </w:tcPr>
          <w:p w14:paraId="0FADEC9E"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-0.1727</w:t>
            </w:r>
          </w:p>
        </w:tc>
        <w:tc>
          <w:tcPr>
            <w:tcW w:w="1272" w:type="dxa"/>
          </w:tcPr>
          <w:p w14:paraId="1E5B2532"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0.2803</w:t>
            </w:r>
          </w:p>
        </w:tc>
      </w:tr>
      <w:tr w:rsidR="008D0CAD" w:rsidRPr="004213BA" w14:paraId="6EFA6706" w14:textId="77777777" w:rsidTr="00FF4CA3">
        <w:trPr>
          <w:trHeight w:val="270"/>
        </w:trPr>
        <w:tc>
          <w:tcPr>
            <w:tcW w:w="2539" w:type="dxa"/>
          </w:tcPr>
          <w:p w14:paraId="2B57829D"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Region7</w:t>
            </w:r>
          </w:p>
        </w:tc>
        <w:tc>
          <w:tcPr>
            <w:tcW w:w="1395" w:type="dxa"/>
          </w:tcPr>
          <w:p w14:paraId="573A927B"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1.0098***</w:t>
            </w:r>
          </w:p>
        </w:tc>
        <w:tc>
          <w:tcPr>
            <w:tcW w:w="1137" w:type="dxa"/>
          </w:tcPr>
          <w:p w14:paraId="7D126387"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0.2481</w:t>
            </w:r>
          </w:p>
        </w:tc>
        <w:tc>
          <w:tcPr>
            <w:tcW w:w="1398" w:type="dxa"/>
          </w:tcPr>
          <w:p w14:paraId="458132FF"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0.6550**</w:t>
            </w:r>
          </w:p>
        </w:tc>
        <w:tc>
          <w:tcPr>
            <w:tcW w:w="1274" w:type="dxa"/>
          </w:tcPr>
          <w:p w14:paraId="088E2B58"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0.3072</w:t>
            </w:r>
          </w:p>
        </w:tc>
        <w:tc>
          <w:tcPr>
            <w:tcW w:w="1349" w:type="dxa"/>
          </w:tcPr>
          <w:p w14:paraId="5121861E"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1.0657</w:t>
            </w:r>
          </w:p>
        </w:tc>
        <w:tc>
          <w:tcPr>
            <w:tcW w:w="1272" w:type="dxa"/>
          </w:tcPr>
          <w:p w14:paraId="0E22FAC1"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0.2809</w:t>
            </w:r>
          </w:p>
        </w:tc>
      </w:tr>
      <w:tr w:rsidR="008D0CAD" w:rsidRPr="004213BA" w14:paraId="3C599ED5" w14:textId="77777777" w:rsidTr="00FF4CA3">
        <w:trPr>
          <w:trHeight w:val="258"/>
        </w:trPr>
        <w:tc>
          <w:tcPr>
            <w:tcW w:w="2539" w:type="dxa"/>
          </w:tcPr>
          <w:p w14:paraId="174F31C4"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Region 8</w:t>
            </w:r>
          </w:p>
        </w:tc>
        <w:tc>
          <w:tcPr>
            <w:tcW w:w="1395" w:type="dxa"/>
          </w:tcPr>
          <w:p w14:paraId="5434E4EC"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-0.0815</w:t>
            </w:r>
          </w:p>
        </w:tc>
        <w:tc>
          <w:tcPr>
            <w:tcW w:w="1137" w:type="dxa"/>
          </w:tcPr>
          <w:p w14:paraId="0C3F1ED5"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0.2566</w:t>
            </w:r>
          </w:p>
        </w:tc>
        <w:tc>
          <w:tcPr>
            <w:tcW w:w="1398" w:type="dxa"/>
          </w:tcPr>
          <w:p w14:paraId="6C8E96D6"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-0.4039</w:t>
            </w:r>
          </w:p>
        </w:tc>
        <w:tc>
          <w:tcPr>
            <w:tcW w:w="1274" w:type="dxa"/>
          </w:tcPr>
          <w:p w14:paraId="353D7831"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0.3151</w:t>
            </w:r>
          </w:p>
        </w:tc>
        <w:tc>
          <w:tcPr>
            <w:tcW w:w="1349" w:type="dxa"/>
          </w:tcPr>
          <w:p w14:paraId="1238D1BC"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0.4657***</w:t>
            </w:r>
          </w:p>
        </w:tc>
        <w:tc>
          <w:tcPr>
            <w:tcW w:w="1272" w:type="dxa"/>
          </w:tcPr>
          <w:p w14:paraId="28D2DC49"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0.2905</w:t>
            </w:r>
          </w:p>
        </w:tc>
      </w:tr>
      <w:tr w:rsidR="008D0CAD" w:rsidRPr="004213BA" w14:paraId="3C5E37C4" w14:textId="77777777" w:rsidTr="00FF4CA3">
        <w:trPr>
          <w:trHeight w:val="270"/>
        </w:trPr>
        <w:tc>
          <w:tcPr>
            <w:tcW w:w="2539" w:type="dxa"/>
          </w:tcPr>
          <w:p w14:paraId="552F21B3"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sz w:val="20"/>
                <w:szCs w:val="20"/>
                <w:lang w:val="en-US" w:eastAsia="zh-CN" w:bidi="hi-IN"/>
              </w:rPr>
              <w:t>Constant</w:t>
            </w:r>
          </w:p>
        </w:tc>
        <w:tc>
          <w:tcPr>
            <w:tcW w:w="1395" w:type="dxa"/>
            <w:tcBorders>
              <w:bottom w:val="single" w:sz="4" w:space="0" w:color="auto"/>
            </w:tcBorders>
          </w:tcPr>
          <w:p w14:paraId="0C2CC572"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3.3207</w:t>
            </w:r>
          </w:p>
        </w:tc>
        <w:tc>
          <w:tcPr>
            <w:tcW w:w="1137" w:type="dxa"/>
            <w:tcBorders>
              <w:bottom w:val="single" w:sz="4" w:space="0" w:color="auto"/>
            </w:tcBorders>
          </w:tcPr>
          <w:p w14:paraId="2C9F4BBB"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0.2412</w:t>
            </w:r>
          </w:p>
        </w:tc>
        <w:tc>
          <w:tcPr>
            <w:tcW w:w="1398" w:type="dxa"/>
            <w:tcBorders>
              <w:bottom w:val="single" w:sz="4" w:space="0" w:color="auto"/>
            </w:tcBorders>
          </w:tcPr>
          <w:p w14:paraId="762909F1"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3.2517</w:t>
            </w:r>
          </w:p>
        </w:tc>
        <w:tc>
          <w:tcPr>
            <w:tcW w:w="1274" w:type="dxa"/>
          </w:tcPr>
          <w:p w14:paraId="1F6F478E"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0.2715</w:t>
            </w:r>
          </w:p>
        </w:tc>
        <w:tc>
          <w:tcPr>
            <w:tcW w:w="1349" w:type="dxa"/>
            <w:tcBorders>
              <w:bottom w:val="single" w:sz="4" w:space="0" w:color="auto"/>
            </w:tcBorders>
          </w:tcPr>
          <w:p w14:paraId="0B18E6BC"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2.1124</w:t>
            </w:r>
          </w:p>
        </w:tc>
        <w:tc>
          <w:tcPr>
            <w:tcW w:w="1272" w:type="dxa"/>
          </w:tcPr>
          <w:p w14:paraId="55586D19"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0.2970</w:t>
            </w:r>
          </w:p>
        </w:tc>
      </w:tr>
      <w:tr w:rsidR="00643967" w:rsidRPr="004213BA" w14:paraId="7A46FF7B" w14:textId="77777777" w:rsidTr="00FF4CA3">
        <w:trPr>
          <w:trHeight w:val="270"/>
        </w:trPr>
        <w:tc>
          <w:tcPr>
            <w:tcW w:w="2539" w:type="dxa"/>
          </w:tcPr>
          <w:p w14:paraId="4CA19B72" w14:textId="2266868F" w:rsidR="00643967" w:rsidRPr="004213BA" w:rsidRDefault="00643967"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Pr>
                <w:rFonts w:asciiTheme="majorHAnsi" w:eastAsiaTheme="minorEastAsia" w:hAnsiTheme="majorHAnsi" w:cstheme="majorHAnsi"/>
                <w:sz w:val="20"/>
                <w:szCs w:val="20"/>
                <w:lang w:val="en-US" w:eastAsia="zh-CN" w:bidi="hi-IN"/>
              </w:rPr>
              <w:t>No. of observations</w:t>
            </w:r>
          </w:p>
        </w:tc>
        <w:tc>
          <w:tcPr>
            <w:tcW w:w="1395" w:type="dxa"/>
            <w:tcBorders>
              <w:bottom w:val="single" w:sz="4" w:space="0" w:color="auto"/>
              <w:right w:val="nil"/>
            </w:tcBorders>
          </w:tcPr>
          <w:p w14:paraId="6ED53C14" w14:textId="7099DF29" w:rsidR="00643967" w:rsidRPr="004213BA" w:rsidRDefault="00643967"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Pr>
                <w:rFonts w:asciiTheme="majorHAnsi" w:eastAsiaTheme="minorEastAsia" w:hAnsiTheme="majorHAnsi" w:cstheme="majorHAnsi"/>
                <w:color w:val="000000"/>
                <w:sz w:val="20"/>
                <w:szCs w:val="20"/>
                <w:lang w:val="en-US" w:eastAsia="zh-CN" w:bidi="hi-IN"/>
              </w:rPr>
              <w:t>6,318</w:t>
            </w:r>
          </w:p>
        </w:tc>
        <w:tc>
          <w:tcPr>
            <w:tcW w:w="1137" w:type="dxa"/>
            <w:tcBorders>
              <w:left w:val="nil"/>
              <w:bottom w:val="single" w:sz="4" w:space="0" w:color="auto"/>
            </w:tcBorders>
          </w:tcPr>
          <w:p w14:paraId="056EB90A" w14:textId="77777777" w:rsidR="00643967" w:rsidRPr="004213BA" w:rsidRDefault="00643967"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c>
          <w:tcPr>
            <w:tcW w:w="1398" w:type="dxa"/>
            <w:tcBorders>
              <w:right w:val="nil"/>
            </w:tcBorders>
          </w:tcPr>
          <w:p w14:paraId="03BD6C29" w14:textId="2D5C47C8" w:rsidR="00643967" w:rsidRPr="004213BA" w:rsidRDefault="00643967"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Pr>
                <w:rFonts w:asciiTheme="majorHAnsi" w:eastAsiaTheme="minorEastAsia" w:hAnsiTheme="majorHAnsi" w:cstheme="majorHAnsi"/>
                <w:color w:val="000000"/>
                <w:sz w:val="20"/>
                <w:szCs w:val="20"/>
                <w:lang w:val="en-US" w:eastAsia="zh-CN" w:bidi="hi-IN"/>
              </w:rPr>
              <w:t>6,318</w:t>
            </w:r>
          </w:p>
        </w:tc>
        <w:tc>
          <w:tcPr>
            <w:tcW w:w="1274" w:type="dxa"/>
            <w:tcBorders>
              <w:left w:val="nil"/>
            </w:tcBorders>
          </w:tcPr>
          <w:p w14:paraId="14EB04DD" w14:textId="77777777" w:rsidR="00643967" w:rsidRPr="004213BA" w:rsidRDefault="00643967"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c>
          <w:tcPr>
            <w:tcW w:w="1349" w:type="dxa"/>
            <w:tcBorders>
              <w:right w:val="nil"/>
            </w:tcBorders>
          </w:tcPr>
          <w:p w14:paraId="17264CF5" w14:textId="483A9AF3" w:rsidR="00643967" w:rsidRPr="004213BA" w:rsidRDefault="00643967"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Pr>
                <w:rFonts w:asciiTheme="majorHAnsi" w:eastAsiaTheme="minorEastAsia" w:hAnsiTheme="majorHAnsi" w:cstheme="majorHAnsi"/>
                <w:color w:val="000000"/>
                <w:sz w:val="20"/>
                <w:szCs w:val="20"/>
                <w:lang w:val="en-US" w:eastAsia="zh-CN" w:bidi="hi-IN"/>
              </w:rPr>
              <w:t>6,318</w:t>
            </w:r>
          </w:p>
        </w:tc>
        <w:tc>
          <w:tcPr>
            <w:tcW w:w="1272" w:type="dxa"/>
            <w:tcBorders>
              <w:left w:val="nil"/>
            </w:tcBorders>
          </w:tcPr>
          <w:p w14:paraId="33630F19" w14:textId="77777777" w:rsidR="00643967" w:rsidRPr="004213BA" w:rsidRDefault="00643967"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r>
      <w:tr w:rsidR="00200AD4" w:rsidRPr="004213BA" w14:paraId="72B47089" w14:textId="77777777" w:rsidTr="00FF4CA3">
        <w:trPr>
          <w:trHeight w:val="270"/>
        </w:trPr>
        <w:tc>
          <w:tcPr>
            <w:tcW w:w="2539" w:type="dxa"/>
          </w:tcPr>
          <w:p w14:paraId="396FBFBC" w14:textId="44A81966" w:rsidR="00200AD4" w:rsidRDefault="00200AD4"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sz w:val="20"/>
                <w:szCs w:val="20"/>
                <w:lang w:val="en-US" w:eastAsia="zh-CN" w:bidi="hi-IN"/>
              </w:rPr>
              <w:t>F-test Significance</w:t>
            </w:r>
          </w:p>
        </w:tc>
        <w:tc>
          <w:tcPr>
            <w:tcW w:w="1395" w:type="dxa"/>
            <w:tcBorders>
              <w:bottom w:val="single" w:sz="4" w:space="0" w:color="auto"/>
              <w:right w:val="nil"/>
            </w:tcBorders>
          </w:tcPr>
          <w:p w14:paraId="0F1B6338" w14:textId="5F6FF32C" w:rsidR="00200AD4" w:rsidRDefault="00200AD4"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Pr>
                <w:rFonts w:asciiTheme="majorHAnsi" w:eastAsiaTheme="minorEastAsia" w:hAnsiTheme="majorHAnsi" w:cstheme="majorHAnsi"/>
                <w:color w:val="000000"/>
                <w:sz w:val="20"/>
                <w:szCs w:val="20"/>
                <w:lang w:val="en-US" w:eastAsia="zh-CN" w:bidi="hi-IN"/>
              </w:rPr>
              <w:t>***</w:t>
            </w:r>
          </w:p>
        </w:tc>
        <w:tc>
          <w:tcPr>
            <w:tcW w:w="1137" w:type="dxa"/>
            <w:tcBorders>
              <w:left w:val="nil"/>
              <w:bottom w:val="single" w:sz="4" w:space="0" w:color="auto"/>
            </w:tcBorders>
          </w:tcPr>
          <w:p w14:paraId="28BA1F9B" w14:textId="77777777" w:rsidR="00200AD4" w:rsidRPr="004213BA" w:rsidRDefault="00200AD4"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c>
          <w:tcPr>
            <w:tcW w:w="1398" w:type="dxa"/>
            <w:tcBorders>
              <w:right w:val="nil"/>
            </w:tcBorders>
          </w:tcPr>
          <w:p w14:paraId="075B42FF" w14:textId="168A6F34" w:rsidR="00200AD4" w:rsidRDefault="00200AD4"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Pr>
                <w:rFonts w:asciiTheme="majorHAnsi" w:eastAsiaTheme="minorEastAsia" w:hAnsiTheme="majorHAnsi" w:cstheme="majorHAnsi"/>
                <w:color w:val="000000"/>
                <w:sz w:val="20"/>
                <w:szCs w:val="20"/>
                <w:lang w:val="en-US" w:eastAsia="zh-CN" w:bidi="hi-IN"/>
              </w:rPr>
              <w:t>***</w:t>
            </w:r>
          </w:p>
        </w:tc>
        <w:tc>
          <w:tcPr>
            <w:tcW w:w="1274" w:type="dxa"/>
            <w:tcBorders>
              <w:left w:val="nil"/>
            </w:tcBorders>
          </w:tcPr>
          <w:p w14:paraId="5325E144" w14:textId="77777777" w:rsidR="00200AD4" w:rsidRPr="004213BA" w:rsidRDefault="00200AD4"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c>
          <w:tcPr>
            <w:tcW w:w="1349" w:type="dxa"/>
            <w:tcBorders>
              <w:right w:val="nil"/>
            </w:tcBorders>
          </w:tcPr>
          <w:p w14:paraId="6F3FC31E" w14:textId="13E72CEC" w:rsidR="00200AD4" w:rsidRDefault="00200AD4"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Pr>
                <w:rFonts w:asciiTheme="majorHAnsi" w:eastAsiaTheme="minorEastAsia" w:hAnsiTheme="majorHAnsi" w:cstheme="majorHAnsi"/>
                <w:color w:val="000000"/>
                <w:sz w:val="20"/>
                <w:szCs w:val="20"/>
                <w:lang w:val="en-US" w:eastAsia="zh-CN" w:bidi="hi-IN"/>
              </w:rPr>
              <w:t>***</w:t>
            </w:r>
          </w:p>
        </w:tc>
        <w:tc>
          <w:tcPr>
            <w:tcW w:w="1272" w:type="dxa"/>
            <w:tcBorders>
              <w:left w:val="nil"/>
            </w:tcBorders>
          </w:tcPr>
          <w:p w14:paraId="7C2D58CB" w14:textId="77777777" w:rsidR="00200AD4" w:rsidRPr="004213BA" w:rsidRDefault="00200AD4"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r>
      <w:tr w:rsidR="00E77AC1" w:rsidRPr="004213BA" w14:paraId="1C142975" w14:textId="77777777" w:rsidTr="00FF4CA3">
        <w:trPr>
          <w:trHeight w:val="270"/>
        </w:trPr>
        <w:tc>
          <w:tcPr>
            <w:tcW w:w="2539" w:type="dxa"/>
          </w:tcPr>
          <w:p w14:paraId="21B8D088" w14:textId="5F4FCF61" w:rsidR="00E77AC1" w:rsidRPr="004213BA" w:rsidRDefault="00E77AC1" w:rsidP="00E77AC1">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sz w:val="20"/>
                <w:szCs w:val="20"/>
                <w:lang w:val="en-US" w:eastAsia="zh-CN" w:bidi="hi-IN"/>
              </w:rPr>
              <w:t>R-squared</w:t>
            </w:r>
          </w:p>
        </w:tc>
        <w:tc>
          <w:tcPr>
            <w:tcW w:w="1395" w:type="dxa"/>
            <w:tcBorders>
              <w:bottom w:val="single" w:sz="4" w:space="0" w:color="auto"/>
              <w:right w:val="nil"/>
            </w:tcBorders>
          </w:tcPr>
          <w:p w14:paraId="4A24AFF9" w14:textId="243D6FD0" w:rsidR="00E77AC1" w:rsidRDefault="00E77AC1" w:rsidP="00E77AC1">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hAnsiTheme="majorHAnsi" w:cstheme="majorHAnsi"/>
                <w:color w:val="000000"/>
                <w:sz w:val="20"/>
                <w:szCs w:val="20"/>
                <w:lang w:val="en-US"/>
              </w:rPr>
              <w:t>0.0721</w:t>
            </w:r>
          </w:p>
        </w:tc>
        <w:tc>
          <w:tcPr>
            <w:tcW w:w="1137" w:type="dxa"/>
            <w:tcBorders>
              <w:left w:val="nil"/>
              <w:bottom w:val="single" w:sz="4" w:space="0" w:color="auto"/>
            </w:tcBorders>
          </w:tcPr>
          <w:p w14:paraId="7C7FB0A1" w14:textId="77777777" w:rsidR="00E77AC1" w:rsidRPr="004213BA" w:rsidRDefault="00E77AC1" w:rsidP="00E77AC1">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c>
          <w:tcPr>
            <w:tcW w:w="1398" w:type="dxa"/>
            <w:tcBorders>
              <w:right w:val="nil"/>
            </w:tcBorders>
          </w:tcPr>
          <w:p w14:paraId="49A81423" w14:textId="567E8986" w:rsidR="00E77AC1" w:rsidRDefault="00E77AC1" w:rsidP="00E77AC1">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hAnsiTheme="majorHAnsi" w:cstheme="majorHAnsi"/>
                <w:color w:val="000000"/>
                <w:sz w:val="20"/>
                <w:szCs w:val="20"/>
                <w:lang w:val="en-US"/>
              </w:rPr>
              <w:t>0.0653</w:t>
            </w:r>
          </w:p>
        </w:tc>
        <w:tc>
          <w:tcPr>
            <w:tcW w:w="1274" w:type="dxa"/>
            <w:tcBorders>
              <w:left w:val="nil"/>
            </w:tcBorders>
          </w:tcPr>
          <w:p w14:paraId="50196219" w14:textId="77777777" w:rsidR="00E77AC1" w:rsidRPr="004213BA" w:rsidRDefault="00E77AC1" w:rsidP="00E77AC1">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c>
          <w:tcPr>
            <w:tcW w:w="1349" w:type="dxa"/>
            <w:tcBorders>
              <w:right w:val="nil"/>
            </w:tcBorders>
          </w:tcPr>
          <w:p w14:paraId="78D53BAF" w14:textId="33FDCEED" w:rsidR="00E77AC1" w:rsidRDefault="00E77AC1" w:rsidP="00E77AC1">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hAnsiTheme="majorHAnsi" w:cstheme="majorHAnsi"/>
                <w:color w:val="000000"/>
                <w:sz w:val="20"/>
                <w:szCs w:val="20"/>
                <w:lang w:val="en-US"/>
              </w:rPr>
              <w:t>0.0414</w:t>
            </w:r>
          </w:p>
        </w:tc>
        <w:tc>
          <w:tcPr>
            <w:tcW w:w="1272" w:type="dxa"/>
            <w:tcBorders>
              <w:left w:val="nil"/>
            </w:tcBorders>
          </w:tcPr>
          <w:p w14:paraId="275FAA47" w14:textId="77777777" w:rsidR="00E77AC1" w:rsidRPr="004213BA" w:rsidRDefault="00E77AC1" w:rsidP="00E77AC1">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r>
    </w:tbl>
    <w:p w14:paraId="7D76D6FF" w14:textId="77777777" w:rsidR="008D0CAD" w:rsidRPr="004213BA" w:rsidRDefault="008D0CAD" w:rsidP="00796BFA">
      <w:pPr>
        <w:spacing w:before="100" w:beforeAutospacing="1" w:after="100" w:afterAutospacing="1" w:line="360" w:lineRule="auto"/>
        <w:rPr>
          <w:rFonts w:asciiTheme="minorHAnsi" w:eastAsiaTheme="minorEastAsia" w:hAnsiTheme="minorHAnsi" w:cstheme="minorBidi"/>
          <w:sz w:val="22"/>
          <w:szCs w:val="20"/>
          <w:lang w:val="en-US" w:eastAsia="zh-CN" w:bidi="hi-IN"/>
        </w:rPr>
      </w:pPr>
      <w:r w:rsidRPr="004213BA">
        <w:rPr>
          <w:rFonts w:asciiTheme="minorHAnsi" w:eastAsiaTheme="minorEastAsia" w:hAnsiTheme="minorHAnsi" w:cstheme="minorBidi"/>
          <w:sz w:val="22"/>
          <w:szCs w:val="20"/>
          <w:lang w:val="en-US" w:eastAsia="zh-CN" w:bidi="hi-IN"/>
        </w:rPr>
        <w:t>*, **, *** indicates significance at the 10%, 5%, and 1% level, respectively.</w:t>
      </w:r>
    </w:p>
    <w:p w14:paraId="5322FB95" w14:textId="77777777" w:rsidR="008D0CAD" w:rsidRPr="004213BA" w:rsidRDefault="008D0CAD" w:rsidP="00796BFA">
      <w:pPr>
        <w:spacing w:before="100" w:beforeAutospacing="1" w:after="100" w:afterAutospacing="1" w:line="360" w:lineRule="auto"/>
        <w:rPr>
          <w:rFonts w:asciiTheme="minorHAnsi" w:eastAsiaTheme="minorEastAsia" w:hAnsiTheme="minorHAnsi" w:cstheme="minorBidi"/>
          <w:sz w:val="22"/>
          <w:szCs w:val="20"/>
          <w:lang w:val="en-US" w:eastAsia="zh-CN" w:bidi="hi-IN"/>
        </w:rPr>
      </w:pPr>
      <w:r w:rsidRPr="004213BA">
        <w:rPr>
          <w:rFonts w:asciiTheme="minorHAnsi" w:eastAsiaTheme="minorEastAsia" w:hAnsiTheme="minorHAnsi" w:cstheme="minorBidi"/>
          <w:sz w:val="22"/>
          <w:szCs w:val="20"/>
          <w:lang w:val="en-US" w:eastAsia="zh-CN" w:bidi="hi-IN"/>
        </w:rPr>
        <w:t>Base Categories: Special, Small, Rural, NCR</w:t>
      </w:r>
    </w:p>
    <w:p w14:paraId="1698C902" w14:textId="19348CBB" w:rsidR="008D0CAD" w:rsidRPr="005424E3" w:rsidRDefault="008D0CAD" w:rsidP="00796BFA">
      <w:pPr>
        <w:spacing w:before="100" w:beforeAutospacing="1" w:after="100" w:afterAutospacing="1" w:line="360" w:lineRule="auto"/>
        <w:rPr>
          <w:rFonts w:asciiTheme="majorHAnsi" w:hAnsiTheme="majorHAnsi" w:cstheme="majorHAnsi"/>
          <w:bCs/>
          <w:i/>
          <w:color w:val="44546A" w:themeColor="text2"/>
          <w:sz w:val="22"/>
          <w:szCs w:val="22"/>
          <w:lang w:val="en-US"/>
        </w:rPr>
      </w:pPr>
      <w:bookmarkStart w:id="424" w:name="_Toc15638042"/>
      <w:bookmarkStart w:id="425" w:name="_Toc71616640"/>
      <w:r w:rsidRPr="005424E3">
        <w:rPr>
          <w:rFonts w:asciiTheme="majorHAnsi" w:hAnsiTheme="majorHAnsi" w:cstheme="majorHAnsi"/>
          <w:bCs/>
          <w:i/>
          <w:color w:val="44546A" w:themeColor="text2"/>
          <w:sz w:val="22"/>
          <w:szCs w:val="22"/>
          <w:lang w:val="en-US"/>
        </w:rPr>
        <w:t xml:space="preserve">Table </w:t>
      </w:r>
      <w:r w:rsidRPr="005424E3">
        <w:rPr>
          <w:rFonts w:asciiTheme="majorHAnsi" w:hAnsiTheme="majorHAnsi" w:cstheme="majorHAnsi"/>
          <w:bCs/>
          <w:i/>
          <w:color w:val="44546A" w:themeColor="text2"/>
          <w:sz w:val="22"/>
          <w:szCs w:val="22"/>
          <w:lang w:val="en-US"/>
        </w:rPr>
        <w:fldChar w:fldCharType="begin"/>
      </w:r>
      <w:r w:rsidRPr="005424E3">
        <w:rPr>
          <w:rFonts w:asciiTheme="majorHAnsi" w:hAnsiTheme="majorHAnsi" w:cstheme="majorHAnsi"/>
          <w:bCs/>
          <w:i/>
          <w:color w:val="44546A" w:themeColor="text2"/>
          <w:sz w:val="22"/>
          <w:szCs w:val="22"/>
          <w:lang w:val="en-US"/>
        </w:rPr>
        <w:instrText xml:space="preserve"> SEQ Table \* ARABIC </w:instrText>
      </w:r>
      <w:r w:rsidRPr="005424E3">
        <w:rPr>
          <w:rFonts w:asciiTheme="majorHAnsi" w:hAnsiTheme="majorHAnsi" w:cstheme="majorHAnsi"/>
          <w:bCs/>
          <w:i/>
          <w:color w:val="44546A" w:themeColor="text2"/>
          <w:sz w:val="22"/>
          <w:szCs w:val="22"/>
          <w:lang w:val="en-US"/>
        </w:rPr>
        <w:fldChar w:fldCharType="separate"/>
      </w:r>
      <w:r w:rsidR="00D6133D">
        <w:rPr>
          <w:rFonts w:asciiTheme="majorHAnsi" w:hAnsiTheme="majorHAnsi" w:cstheme="majorHAnsi"/>
          <w:bCs/>
          <w:i/>
          <w:noProof/>
          <w:color w:val="44546A" w:themeColor="text2"/>
          <w:sz w:val="22"/>
          <w:szCs w:val="22"/>
          <w:lang w:val="en-US"/>
        </w:rPr>
        <w:t>49</w:t>
      </w:r>
      <w:r w:rsidRPr="005424E3">
        <w:rPr>
          <w:rFonts w:asciiTheme="majorHAnsi" w:hAnsiTheme="majorHAnsi" w:cstheme="majorHAnsi"/>
          <w:bCs/>
          <w:i/>
          <w:color w:val="44546A" w:themeColor="text2"/>
          <w:sz w:val="22"/>
          <w:szCs w:val="22"/>
          <w:lang w:val="en-US"/>
        </w:rPr>
        <w:fldChar w:fldCharType="end"/>
      </w:r>
      <w:r w:rsidRPr="005424E3">
        <w:rPr>
          <w:rFonts w:asciiTheme="majorHAnsi" w:hAnsiTheme="majorHAnsi" w:cstheme="majorHAnsi"/>
          <w:bCs/>
          <w:i/>
          <w:color w:val="44546A" w:themeColor="text2"/>
          <w:sz w:val="22"/>
          <w:szCs w:val="22"/>
          <w:lang w:val="en-US"/>
        </w:rPr>
        <w:t>. Regression Results for Region NCR Students</w:t>
      </w:r>
      <w:bookmarkEnd w:id="424"/>
      <w:bookmarkEnd w:id="425"/>
    </w:p>
    <w:tbl>
      <w:tblPr>
        <w:tblStyle w:val="TableGrid18"/>
        <w:tblW w:w="0" w:type="auto"/>
        <w:tblLook w:val="04A0" w:firstRow="1" w:lastRow="0" w:firstColumn="1" w:lastColumn="0" w:noHBand="0" w:noVBand="1"/>
      </w:tblPr>
      <w:tblGrid>
        <w:gridCol w:w="2611"/>
        <w:gridCol w:w="1307"/>
        <w:gridCol w:w="1306"/>
        <w:gridCol w:w="1307"/>
        <w:gridCol w:w="1306"/>
        <w:gridCol w:w="1307"/>
        <w:gridCol w:w="1306"/>
      </w:tblGrid>
      <w:tr w:rsidR="003E06F8" w:rsidRPr="004213BA" w14:paraId="2877D763" w14:textId="77777777" w:rsidTr="00FF4CA3">
        <w:trPr>
          <w:tblHeader/>
        </w:trPr>
        <w:tc>
          <w:tcPr>
            <w:tcW w:w="2611" w:type="dxa"/>
          </w:tcPr>
          <w:p w14:paraId="17E7156A" w14:textId="77777777" w:rsidR="003E06F8" w:rsidRPr="004213BA" w:rsidRDefault="003E06F8"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c>
          <w:tcPr>
            <w:tcW w:w="1307" w:type="dxa"/>
            <w:tcBorders>
              <w:right w:val="nil"/>
            </w:tcBorders>
          </w:tcPr>
          <w:p w14:paraId="172D49CB" w14:textId="73409374" w:rsidR="003E06F8" w:rsidRPr="004B064D" w:rsidRDefault="003E06F8" w:rsidP="00796BFA">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r w:rsidRPr="004B064D">
              <w:rPr>
                <w:rFonts w:asciiTheme="majorHAnsi" w:eastAsiaTheme="minorEastAsia" w:hAnsiTheme="majorHAnsi" w:cstheme="majorHAnsi"/>
                <w:b/>
                <w:bCs/>
                <w:sz w:val="20"/>
                <w:szCs w:val="20"/>
                <w:lang w:val="en-US" w:eastAsia="zh-CN" w:bidi="hi-IN"/>
              </w:rPr>
              <w:t>Grade 4</w:t>
            </w:r>
          </w:p>
        </w:tc>
        <w:tc>
          <w:tcPr>
            <w:tcW w:w="1306" w:type="dxa"/>
            <w:tcBorders>
              <w:left w:val="nil"/>
            </w:tcBorders>
          </w:tcPr>
          <w:p w14:paraId="3F74B2C2" w14:textId="77777777" w:rsidR="003E06F8" w:rsidRPr="004B064D" w:rsidRDefault="003E06F8" w:rsidP="00796BFA">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p>
        </w:tc>
        <w:tc>
          <w:tcPr>
            <w:tcW w:w="1307" w:type="dxa"/>
            <w:tcBorders>
              <w:right w:val="nil"/>
            </w:tcBorders>
          </w:tcPr>
          <w:p w14:paraId="7AFA9749" w14:textId="1E354144" w:rsidR="003E06F8" w:rsidRPr="004B064D" w:rsidRDefault="003E06F8" w:rsidP="00796BFA">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r w:rsidRPr="004B064D">
              <w:rPr>
                <w:rFonts w:asciiTheme="majorHAnsi" w:eastAsiaTheme="minorEastAsia" w:hAnsiTheme="majorHAnsi" w:cstheme="majorHAnsi"/>
                <w:b/>
                <w:bCs/>
                <w:sz w:val="20"/>
                <w:szCs w:val="20"/>
                <w:lang w:val="en-US" w:eastAsia="zh-CN" w:bidi="hi-IN"/>
              </w:rPr>
              <w:t>Grade 5</w:t>
            </w:r>
          </w:p>
        </w:tc>
        <w:tc>
          <w:tcPr>
            <w:tcW w:w="1306" w:type="dxa"/>
            <w:tcBorders>
              <w:left w:val="nil"/>
            </w:tcBorders>
          </w:tcPr>
          <w:p w14:paraId="7A8AD16A" w14:textId="77777777" w:rsidR="003E06F8" w:rsidRPr="004B064D" w:rsidRDefault="003E06F8" w:rsidP="00796BFA">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p>
        </w:tc>
        <w:tc>
          <w:tcPr>
            <w:tcW w:w="1307" w:type="dxa"/>
            <w:tcBorders>
              <w:right w:val="nil"/>
            </w:tcBorders>
          </w:tcPr>
          <w:p w14:paraId="3A90C020" w14:textId="5F1E79D4" w:rsidR="003E06F8" w:rsidRPr="004B064D" w:rsidRDefault="003E06F8" w:rsidP="00796BFA">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r w:rsidRPr="004B064D">
              <w:rPr>
                <w:rFonts w:asciiTheme="majorHAnsi" w:eastAsiaTheme="minorEastAsia" w:hAnsiTheme="majorHAnsi" w:cstheme="majorHAnsi"/>
                <w:b/>
                <w:bCs/>
                <w:sz w:val="20"/>
                <w:szCs w:val="20"/>
                <w:lang w:val="en-US" w:eastAsia="zh-CN" w:bidi="hi-IN"/>
              </w:rPr>
              <w:t>Grade 6</w:t>
            </w:r>
          </w:p>
        </w:tc>
        <w:tc>
          <w:tcPr>
            <w:tcW w:w="1306" w:type="dxa"/>
            <w:tcBorders>
              <w:left w:val="nil"/>
            </w:tcBorders>
          </w:tcPr>
          <w:p w14:paraId="5E2765C3" w14:textId="77777777" w:rsidR="003E06F8" w:rsidRPr="004B064D" w:rsidRDefault="003E06F8" w:rsidP="00796BFA">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p>
        </w:tc>
      </w:tr>
      <w:tr w:rsidR="008D0CAD" w:rsidRPr="004213BA" w14:paraId="6EDA8D55" w14:textId="77777777" w:rsidTr="00FF4CA3">
        <w:trPr>
          <w:tblHeader/>
        </w:trPr>
        <w:tc>
          <w:tcPr>
            <w:tcW w:w="2611" w:type="dxa"/>
          </w:tcPr>
          <w:p w14:paraId="2723B199"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c>
          <w:tcPr>
            <w:tcW w:w="1307" w:type="dxa"/>
          </w:tcPr>
          <w:p w14:paraId="1F60F88D" w14:textId="77777777" w:rsidR="008D0CAD" w:rsidRPr="004B064D" w:rsidRDefault="008D0CAD" w:rsidP="00796BFA">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r w:rsidRPr="004B064D">
              <w:rPr>
                <w:rFonts w:asciiTheme="majorHAnsi" w:eastAsiaTheme="minorEastAsia" w:hAnsiTheme="majorHAnsi" w:cstheme="majorHAnsi"/>
                <w:b/>
                <w:bCs/>
                <w:sz w:val="20"/>
                <w:szCs w:val="20"/>
                <w:lang w:val="en-US" w:eastAsia="zh-CN" w:bidi="hi-IN"/>
              </w:rPr>
              <w:t>Coefficient</w:t>
            </w:r>
          </w:p>
        </w:tc>
        <w:tc>
          <w:tcPr>
            <w:tcW w:w="1306" w:type="dxa"/>
          </w:tcPr>
          <w:p w14:paraId="662BF503" w14:textId="77777777" w:rsidR="008D0CAD" w:rsidRPr="004B064D" w:rsidRDefault="008D0CAD" w:rsidP="00796BFA">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r w:rsidRPr="004B064D">
              <w:rPr>
                <w:rFonts w:asciiTheme="majorHAnsi" w:eastAsiaTheme="minorEastAsia" w:hAnsiTheme="majorHAnsi" w:cstheme="majorHAnsi"/>
                <w:b/>
                <w:bCs/>
                <w:sz w:val="20"/>
                <w:szCs w:val="20"/>
                <w:lang w:val="en-US" w:eastAsia="zh-CN" w:bidi="hi-IN"/>
              </w:rPr>
              <w:t>Standard Error</w:t>
            </w:r>
          </w:p>
        </w:tc>
        <w:tc>
          <w:tcPr>
            <w:tcW w:w="1307" w:type="dxa"/>
          </w:tcPr>
          <w:p w14:paraId="3F637258" w14:textId="77777777" w:rsidR="008D0CAD" w:rsidRPr="000A4732" w:rsidRDefault="008D0CAD" w:rsidP="00796BFA">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r w:rsidRPr="004B064D">
              <w:rPr>
                <w:rFonts w:asciiTheme="majorHAnsi" w:eastAsiaTheme="minorEastAsia" w:hAnsiTheme="majorHAnsi" w:cstheme="majorHAnsi"/>
                <w:b/>
                <w:bCs/>
                <w:sz w:val="20"/>
                <w:szCs w:val="20"/>
                <w:lang w:val="en-US" w:eastAsia="zh-CN" w:bidi="hi-IN"/>
              </w:rPr>
              <w:t>Coefficient</w:t>
            </w:r>
          </w:p>
        </w:tc>
        <w:tc>
          <w:tcPr>
            <w:tcW w:w="1306" w:type="dxa"/>
          </w:tcPr>
          <w:p w14:paraId="65267647" w14:textId="77777777" w:rsidR="008D0CAD" w:rsidRPr="000A4732" w:rsidRDefault="008D0CAD" w:rsidP="00796BFA">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r w:rsidRPr="004B064D">
              <w:rPr>
                <w:rFonts w:asciiTheme="majorHAnsi" w:eastAsiaTheme="minorEastAsia" w:hAnsiTheme="majorHAnsi" w:cstheme="majorHAnsi"/>
                <w:b/>
                <w:bCs/>
                <w:sz w:val="20"/>
                <w:szCs w:val="20"/>
                <w:lang w:val="en-US" w:eastAsia="zh-CN" w:bidi="hi-IN"/>
              </w:rPr>
              <w:t>Standard Error</w:t>
            </w:r>
          </w:p>
        </w:tc>
        <w:tc>
          <w:tcPr>
            <w:tcW w:w="1307" w:type="dxa"/>
          </w:tcPr>
          <w:p w14:paraId="0F94799B" w14:textId="77777777" w:rsidR="008D0CAD" w:rsidRPr="000A4732" w:rsidRDefault="008D0CAD" w:rsidP="00796BFA">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r w:rsidRPr="004B064D">
              <w:rPr>
                <w:rFonts w:asciiTheme="majorHAnsi" w:eastAsiaTheme="minorEastAsia" w:hAnsiTheme="majorHAnsi" w:cstheme="majorHAnsi"/>
                <w:b/>
                <w:bCs/>
                <w:sz w:val="20"/>
                <w:szCs w:val="20"/>
                <w:lang w:val="en-US" w:eastAsia="zh-CN" w:bidi="hi-IN"/>
              </w:rPr>
              <w:t>Coefficient</w:t>
            </w:r>
          </w:p>
        </w:tc>
        <w:tc>
          <w:tcPr>
            <w:tcW w:w="1306" w:type="dxa"/>
          </w:tcPr>
          <w:p w14:paraId="4E09F3CB" w14:textId="77777777" w:rsidR="008D0CAD" w:rsidRPr="000A4732" w:rsidRDefault="008D0CAD" w:rsidP="00796BFA">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r w:rsidRPr="004B064D">
              <w:rPr>
                <w:rFonts w:asciiTheme="majorHAnsi" w:eastAsiaTheme="minorEastAsia" w:hAnsiTheme="majorHAnsi" w:cstheme="majorHAnsi"/>
                <w:b/>
                <w:bCs/>
                <w:sz w:val="20"/>
                <w:szCs w:val="20"/>
                <w:lang w:val="en-US" w:eastAsia="zh-CN" w:bidi="hi-IN"/>
              </w:rPr>
              <w:t>Standard Error</w:t>
            </w:r>
          </w:p>
        </w:tc>
      </w:tr>
      <w:tr w:rsidR="008D0CAD" w:rsidRPr="004213BA" w14:paraId="09E598B0" w14:textId="77777777" w:rsidTr="00FF4CA3">
        <w:tc>
          <w:tcPr>
            <w:tcW w:w="2611" w:type="dxa"/>
          </w:tcPr>
          <w:p w14:paraId="516CE6DF"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best</w:t>
            </w:r>
          </w:p>
        </w:tc>
        <w:tc>
          <w:tcPr>
            <w:tcW w:w="1307" w:type="dxa"/>
          </w:tcPr>
          <w:p w14:paraId="59E1CF8D"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-0.0712</w:t>
            </w:r>
          </w:p>
        </w:tc>
        <w:tc>
          <w:tcPr>
            <w:tcW w:w="1306" w:type="dxa"/>
          </w:tcPr>
          <w:p w14:paraId="46E44C8F"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0.2469</w:t>
            </w:r>
          </w:p>
        </w:tc>
        <w:tc>
          <w:tcPr>
            <w:tcW w:w="1307" w:type="dxa"/>
          </w:tcPr>
          <w:p w14:paraId="3F59D8D9"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0.7948*</w:t>
            </w:r>
          </w:p>
        </w:tc>
        <w:tc>
          <w:tcPr>
            <w:tcW w:w="1306" w:type="dxa"/>
          </w:tcPr>
          <w:p w14:paraId="74E0E0EF"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0.4605</w:t>
            </w:r>
          </w:p>
        </w:tc>
        <w:tc>
          <w:tcPr>
            <w:tcW w:w="1307" w:type="dxa"/>
          </w:tcPr>
          <w:p w14:paraId="72222470"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0.5808*</w:t>
            </w:r>
          </w:p>
        </w:tc>
        <w:tc>
          <w:tcPr>
            <w:tcW w:w="1306" w:type="dxa"/>
          </w:tcPr>
          <w:p w14:paraId="22DCC105"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0.2997</w:t>
            </w:r>
          </w:p>
        </w:tc>
      </w:tr>
      <w:tr w:rsidR="008D0CAD" w:rsidRPr="004213BA" w14:paraId="40E154F3" w14:textId="77777777" w:rsidTr="00FF4CA3">
        <w:tc>
          <w:tcPr>
            <w:tcW w:w="2611" w:type="dxa"/>
          </w:tcPr>
          <w:p w14:paraId="481F506F"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ES Size: Large</w:t>
            </w:r>
          </w:p>
        </w:tc>
        <w:tc>
          <w:tcPr>
            <w:tcW w:w="1307" w:type="dxa"/>
          </w:tcPr>
          <w:p w14:paraId="745D8A83"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-0.8936*</w:t>
            </w:r>
          </w:p>
        </w:tc>
        <w:tc>
          <w:tcPr>
            <w:tcW w:w="1306" w:type="dxa"/>
          </w:tcPr>
          <w:p w14:paraId="4397BBC6"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0.5214</w:t>
            </w:r>
          </w:p>
        </w:tc>
        <w:tc>
          <w:tcPr>
            <w:tcW w:w="1307" w:type="dxa"/>
          </w:tcPr>
          <w:p w14:paraId="2F0B8242"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-1.0266**</w:t>
            </w:r>
          </w:p>
        </w:tc>
        <w:tc>
          <w:tcPr>
            <w:tcW w:w="1306" w:type="dxa"/>
          </w:tcPr>
          <w:p w14:paraId="6790E3F5"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0.4296</w:t>
            </w:r>
          </w:p>
        </w:tc>
        <w:tc>
          <w:tcPr>
            <w:tcW w:w="1307" w:type="dxa"/>
          </w:tcPr>
          <w:p w14:paraId="3C8620DF"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-0.6113</w:t>
            </w:r>
          </w:p>
        </w:tc>
        <w:tc>
          <w:tcPr>
            <w:tcW w:w="1306" w:type="dxa"/>
          </w:tcPr>
          <w:p w14:paraId="00A7CFF3"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0.5177</w:t>
            </w:r>
          </w:p>
        </w:tc>
      </w:tr>
      <w:tr w:rsidR="008D0CAD" w:rsidRPr="004213BA" w14:paraId="2DB3821D" w14:textId="77777777" w:rsidTr="00FF4CA3">
        <w:tc>
          <w:tcPr>
            <w:tcW w:w="2611" w:type="dxa"/>
          </w:tcPr>
          <w:p w14:paraId="1F84C68C"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ES Size: Medium</w:t>
            </w:r>
          </w:p>
        </w:tc>
        <w:tc>
          <w:tcPr>
            <w:tcW w:w="1307" w:type="dxa"/>
          </w:tcPr>
          <w:p w14:paraId="43C1A6C0"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-0.9211*</w:t>
            </w:r>
          </w:p>
        </w:tc>
        <w:tc>
          <w:tcPr>
            <w:tcW w:w="1306" w:type="dxa"/>
          </w:tcPr>
          <w:p w14:paraId="7726EEEF"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0.5385</w:t>
            </w:r>
          </w:p>
        </w:tc>
        <w:tc>
          <w:tcPr>
            <w:tcW w:w="1307" w:type="dxa"/>
          </w:tcPr>
          <w:p w14:paraId="2BA94933"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-0.5272</w:t>
            </w:r>
          </w:p>
        </w:tc>
        <w:tc>
          <w:tcPr>
            <w:tcW w:w="1306" w:type="dxa"/>
          </w:tcPr>
          <w:p w14:paraId="186A0578"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0.5328</w:t>
            </w:r>
          </w:p>
        </w:tc>
        <w:tc>
          <w:tcPr>
            <w:tcW w:w="1307" w:type="dxa"/>
          </w:tcPr>
          <w:p w14:paraId="36607B33"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-0.5010</w:t>
            </w:r>
          </w:p>
        </w:tc>
        <w:tc>
          <w:tcPr>
            <w:tcW w:w="1306" w:type="dxa"/>
          </w:tcPr>
          <w:p w14:paraId="2E632C9E"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0.5801</w:t>
            </w:r>
          </w:p>
        </w:tc>
      </w:tr>
      <w:tr w:rsidR="008D0CAD" w:rsidRPr="004213BA" w14:paraId="38750E90" w14:textId="77777777" w:rsidTr="00FF4CA3">
        <w:tc>
          <w:tcPr>
            <w:tcW w:w="2611" w:type="dxa"/>
          </w:tcPr>
          <w:p w14:paraId="5A936EC5"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ES Size: Very Large</w:t>
            </w:r>
          </w:p>
        </w:tc>
        <w:tc>
          <w:tcPr>
            <w:tcW w:w="1307" w:type="dxa"/>
          </w:tcPr>
          <w:p w14:paraId="650D6C68"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-1.2251**</w:t>
            </w:r>
          </w:p>
        </w:tc>
        <w:tc>
          <w:tcPr>
            <w:tcW w:w="1306" w:type="dxa"/>
          </w:tcPr>
          <w:p w14:paraId="4F04C0C0"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0.5182</w:t>
            </w:r>
          </w:p>
        </w:tc>
        <w:tc>
          <w:tcPr>
            <w:tcW w:w="1307" w:type="dxa"/>
          </w:tcPr>
          <w:p w14:paraId="04635FF8"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-1.2327**</w:t>
            </w:r>
          </w:p>
        </w:tc>
        <w:tc>
          <w:tcPr>
            <w:tcW w:w="1306" w:type="dxa"/>
          </w:tcPr>
          <w:p w14:paraId="736554E1"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0.4041</w:t>
            </w:r>
          </w:p>
        </w:tc>
        <w:tc>
          <w:tcPr>
            <w:tcW w:w="1307" w:type="dxa"/>
          </w:tcPr>
          <w:p w14:paraId="117626E4"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-0.8259</w:t>
            </w:r>
          </w:p>
        </w:tc>
        <w:tc>
          <w:tcPr>
            <w:tcW w:w="1306" w:type="dxa"/>
          </w:tcPr>
          <w:p w14:paraId="7CBEA2B6"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0.5190</w:t>
            </w:r>
          </w:p>
        </w:tc>
      </w:tr>
      <w:tr w:rsidR="008D0CAD" w:rsidRPr="004213BA" w14:paraId="06666992" w14:textId="77777777" w:rsidTr="00FF4CA3">
        <w:tc>
          <w:tcPr>
            <w:tcW w:w="2611" w:type="dxa"/>
          </w:tcPr>
          <w:p w14:paraId="7DBC7A42"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Partially Urban</w:t>
            </w:r>
          </w:p>
        </w:tc>
        <w:tc>
          <w:tcPr>
            <w:tcW w:w="1307" w:type="dxa"/>
          </w:tcPr>
          <w:p w14:paraId="42AB2EE9"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w:t>
            </w:r>
          </w:p>
        </w:tc>
        <w:tc>
          <w:tcPr>
            <w:tcW w:w="1306" w:type="dxa"/>
          </w:tcPr>
          <w:p w14:paraId="3C338114"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(omitted)</w:t>
            </w:r>
          </w:p>
        </w:tc>
        <w:tc>
          <w:tcPr>
            <w:tcW w:w="1307" w:type="dxa"/>
          </w:tcPr>
          <w:p w14:paraId="1EEBAD57"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w:t>
            </w:r>
          </w:p>
        </w:tc>
        <w:tc>
          <w:tcPr>
            <w:tcW w:w="1306" w:type="dxa"/>
          </w:tcPr>
          <w:p w14:paraId="5265AA9C"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(omitted)</w:t>
            </w:r>
          </w:p>
        </w:tc>
        <w:tc>
          <w:tcPr>
            <w:tcW w:w="1307" w:type="dxa"/>
          </w:tcPr>
          <w:p w14:paraId="214F11DE"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w:t>
            </w:r>
          </w:p>
        </w:tc>
        <w:tc>
          <w:tcPr>
            <w:tcW w:w="1306" w:type="dxa"/>
          </w:tcPr>
          <w:p w14:paraId="716D3A67"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(omitted)</w:t>
            </w:r>
          </w:p>
        </w:tc>
      </w:tr>
      <w:tr w:rsidR="008D0CAD" w:rsidRPr="004213BA" w14:paraId="4CCAA62A" w14:textId="77777777" w:rsidTr="00FF4CA3">
        <w:tc>
          <w:tcPr>
            <w:tcW w:w="2611" w:type="dxa"/>
          </w:tcPr>
          <w:p w14:paraId="21ECCC19"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Urban</w:t>
            </w:r>
          </w:p>
        </w:tc>
        <w:tc>
          <w:tcPr>
            <w:tcW w:w="1307" w:type="dxa"/>
          </w:tcPr>
          <w:p w14:paraId="145EAE8E"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w:t>
            </w:r>
          </w:p>
        </w:tc>
        <w:tc>
          <w:tcPr>
            <w:tcW w:w="1306" w:type="dxa"/>
          </w:tcPr>
          <w:p w14:paraId="0F5B3E67"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(omitted)</w:t>
            </w:r>
          </w:p>
        </w:tc>
        <w:tc>
          <w:tcPr>
            <w:tcW w:w="1307" w:type="dxa"/>
          </w:tcPr>
          <w:p w14:paraId="3A75AD77"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w:t>
            </w:r>
          </w:p>
        </w:tc>
        <w:tc>
          <w:tcPr>
            <w:tcW w:w="1306" w:type="dxa"/>
          </w:tcPr>
          <w:p w14:paraId="4F8C82F9"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(omitted)</w:t>
            </w:r>
          </w:p>
        </w:tc>
        <w:tc>
          <w:tcPr>
            <w:tcW w:w="1307" w:type="dxa"/>
          </w:tcPr>
          <w:p w14:paraId="5C897501"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w:t>
            </w:r>
          </w:p>
        </w:tc>
        <w:tc>
          <w:tcPr>
            <w:tcW w:w="1306" w:type="dxa"/>
          </w:tcPr>
          <w:p w14:paraId="205A8C72"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(omitted)</w:t>
            </w:r>
          </w:p>
        </w:tc>
      </w:tr>
      <w:tr w:rsidR="008D0CAD" w:rsidRPr="004213BA" w14:paraId="420C1A61" w14:textId="77777777" w:rsidTr="00FF4CA3">
        <w:tc>
          <w:tcPr>
            <w:tcW w:w="2611" w:type="dxa"/>
          </w:tcPr>
          <w:p w14:paraId="15556E4E"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sz w:val="20"/>
                <w:szCs w:val="20"/>
                <w:lang w:val="en-US" w:eastAsia="zh-CN" w:bidi="hi-IN"/>
              </w:rPr>
              <w:t>constant</w:t>
            </w:r>
          </w:p>
        </w:tc>
        <w:tc>
          <w:tcPr>
            <w:tcW w:w="1307" w:type="dxa"/>
            <w:tcBorders>
              <w:bottom w:val="single" w:sz="4" w:space="0" w:color="auto"/>
            </w:tcBorders>
          </w:tcPr>
          <w:p w14:paraId="09756009"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3.3444</w:t>
            </w:r>
          </w:p>
        </w:tc>
        <w:tc>
          <w:tcPr>
            <w:tcW w:w="1306" w:type="dxa"/>
          </w:tcPr>
          <w:p w14:paraId="76F1E77F"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0.4870</w:t>
            </w:r>
          </w:p>
        </w:tc>
        <w:tc>
          <w:tcPr>
            <w:tcW w:w="1307" w:type="dxa"/>
            <w:tcBorders>
              <w:bottom w:val="single" w:sz="4" w:space="0" w:color="auto"/>
            </w:tcBorders>
          </w:tcPr>
          <w:p w14:paraId="394AF61D"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3.3637</w:t>
            </w:r>
          </w:p>
        </w:tc>
        <w:tc>
          <w:tcPr>
            <w:tcW w:w="1306" w:type="dxa"/>
          </w:tcPr>
          <w:p w14:paraId="0BD07D7F"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0.3630</w:t>
            </w:r>
          </w:p>
        </w:tc>
        <w:tc>
          <w:tcPr>
            <w:tcW w:w="1307" w:type="dxa"/>
            <w:tcBorders>
              <w:bottom w:val="single" w:sz="4" w:space="0" w:color="auto"/>
            </w:tcBorders>
          </w:tcPr>
          <w:p w14:paraId="586B2523"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2.6219</w:t>
            </w:r>
          </w:p>
        </w:tc>
        <w:tc>
          <w:tcPr>
            <w:tcW w:w="1306" w:type="dxa"/>
          </w:tcPr>
          <w:p w14:paraId="217C8BCE"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0.4518</w:t>
            </w:r>
          </w:p>
        </w:tc>
      </w:tr>
      <w:tr w:rsidR="0021794E" w:rsidRPr="004213BA" w14:paraId="5DA1BDC7" w14:textId="77777777" w:rsidTr="00FF4CA3">
        <w:tc>
          <w:tcPr>
            <w:tcW w:w="2611" w:type="dxa"/>
          </w:tcPr>
          <w:p w14:paraId="55519BEF" w14:textId="03177ED8" w:rsidR="0021794E" w:rsidRPr="004213BA" w:rsidRDefault="0021794E"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Pr>
                <w:rFonts w:asciiTheme="majorHAnsi" w:eastAsiaTheme="minorEastAsia" w:hAnsiTheme="majorHAnsi" w:cstheme="majorHAnsi"/>
                <w:sz w:val="20"/>
                <w:szCs w:val="20"/>
                <w:lang w:val="en-US" w:eastAsia="zh-CN" w:bidi="hi-IN"/>
              </w:rPr>
              <w:t>No of observations</w:t>
            </w:r>
          </w:p>
        </w:tc>
        <w:tc>
          <w:tcPr>
            <w:tcW w:w="1307" w:type="dxa"/>
            <w:tcBorders>
              <w:right w:val="nil"/>
            </w:tcBorders>
          </w:tcPr>
          <w:p w14:paraId="36D7FE89" w14:textId="210253F2" w:rsidR="0021794E" w:rsidRPr="004213BA" w:rsidRDefault="0021794E"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Pr>
                <w:rFonts w:asciiTheme="majorHAnsi" w:eastAsiaTheme="minorEastAsia" w:hAnsiTheme="majorHAnsi" w:cstheme="majorHAnsi"/>
                <w:color w:val="000000"/>
                <w:sz w:val="20"/>
                <w:szCs w:val="20"/>
                <w:lang w:val="en-US" w:eastAsia="zh-CN" w:bidi="hi-IN"/>
              </w:rPr>
              <w:t>192</w:t>
            </w:r>
          </w:p>
        </w:tc>
        <w:tc>
          <w:tcPr>
            <w:tcW w:w="1306" w:type="dxa"/>
            <w:tcBorders>
              <w:left w:val="nil"/>
            </w:tcBorders>
          </w:tcPr>
          <w:p w14:paraId="174C9807" w14:textId="77777777" w:rsidR="0021794E" w:rsidRPr="004213BA" w:rsidRDefault="0021794E"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c>
          <w:tcPr>
            <w:tcW w:w="1307" w:type="dxa"/>
            <w:tcBorders>
              <w:right w:val="nil"/>
            </w:tcBorders>
          </w:tcPr>
          <w:p w14:paraId="7070F83E" w14:textId="739E0109" w:rsidR="0021794E" w:rsidRPr="004213BA" w:rsidRDefault="0021794E"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Pr>
                <w:rFonts w:asciiTheme="majorHAnsi" w:eastAsiaTheme="minorEastAsia" w:hAnsiTheme="majorHAnsi" w:cstheme="majorHAnsi"/>
                <w:color w:val="000000"/>
                <w:sz w:val="20"/>
                <w:szCs w:val="20"/>
                <w:lang w:val="en-US" w:eastAsia="zh-CN" w:bidi="hi-IN"/>
              </w:rPr>
              <w:t>192</w:t>
            </w:r>
          </w:p>
        </w:tc>
        <w:tc>
          <w:tcPr>
            <w:tcW w:w="1306" w:type="dxa"/>
            <w:tcBorders>
              <w:left w:val="nil"/>
            </w:tcBorders>
          </w:tcPr>
          <w:p w14:paraId="38F0491A" w14:textId="77777777" w:rsidR="0021794E" w:rsidRPr="004213BA" w:rsidRDefault="0021794E"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c>
          <w:tcPr>
            <w:tcW w:w="1307" w:type="dxa"/>
            <w:tcBorders>
              <w:right w:val="nil"/>
            </w:tcBorders>
          </w:tcPr>
          <w:p w14:paraId="7531378B" w14:textId="3ED68AB9" w:rsidR="0021794E" w:rsidRPr="004213BA" w:rsidRDefault="0021794E"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Pr>
                <w:rFonts w:asciiTheme="majorHAnsi" w:eastAsiaTheme="minorEastAsia" w:hAnsiTheme="majorHAnsi" w:cstheme="majorHAnsi"/>
                <w:color w:val="000000"/>
                <w:sz w:val="20"/>
                <w:szCs w:val="20"/>
                <w:lang w:val="en-US" w:eastAsia="zh-CN" w:bidi="hi-IN"/>
              </w:rPr>
              <w:t>192</w:t>
            </w:r>
          </w:p>
        </w:tc>
        <w:tc>
          <w:tcPr>
            <w:tcW w:w="1306" w:type="dxa"/>
            <w:tcBorders>
              <w:left w:val="nil"/>
            </w:tcBorders>
          </w:tcPr>
          <w:p w14:paraId="7C2CCC2C" w14:textId="77777777" w:rsidR="0021794E" w:rsidRPr="004213BA" w:rsidRDefault="0021794E"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r>
      <w:tr w:rsidR="001520FD" w:rsidRPr="004213BA" w14:paraId="495A7A13" w14:textId="77777777" w:rsidTr="00FF4CA3">
        <w:tc>
          <w:tcPr>
            <w:tcW w:w="2611" w:type="dxa"/>
          </w:tcPr>
          <w:p w14:paraId="149D4985" w14:textId="2C81EB6D" w:rsidR="001520FD" w:rsidRDefault="001520F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sz w:val="20"/>
                <w:szCs w:val="20"/>
                <w:lang w:val="en-US" w:eastAsia="zh-CN" w:bidi="hi-IN"/>
              </w:rPr>
              <w:t>F-test Significance</w:t>
            </w:r>
          </w:p>
        </w:tc>
        <w:tc>
          <w:tcPr>
            <w:tcW w:w="1307" w:type="dxa"/>
            <w:tcBorders>
              <w:right w:val="nil"/>
            </w:tcBorders>
          </w:tcPr>
          <w:p w14:paraId="711A3ADF" w14:textId="77777777" w:rsidR="001520FD" w:rsidRDefault="001520F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c>
          <w:tcPr>
            <w:tcW w:w="1306" w:type="dxa"/>
            <w:tcBorders>
              <w:left w:val="nil"/>
            </w:tcBorders>
          </w:tcPr>
          <w:p w14:paraId="165168C3" w14:textId="77777777" w:rsidR="001520FD" w:rsidRPr="004213BA" w:rsidRDefault="001520F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c>
          <w:tcPr>
            <w:tcW w:w="1307" w:type="dxa"/>
            <w:tcBorders>
              <w:right w:val="nil"/>
            </w:tcBorders>
          </w:tcPr>
          <w:p w14:paraId="4C2CBC1C" w14:textId="71217812" w:rsidR="001520FD" w:rsidRDefault="001520F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Pr>
                <w:rFonts w:asciiTheme="majorHAnsi" w:eastAsiaTheme="minorEastAsia" w:hAnsiTheme="majorHAnsi" w:cstheme="majorHAnsi"/>
                <w:color w:val="000000"/>
                <w:sz w:val="20"/>
                <w:szCs w:val="20"/>
                <w:lang w:val="en-US" w:eastAsia="zh-CN" w:bidi="hi-IN"/>
              </w:rPr>
              <w:t>***</w:t>
            </w:r>
          </w:p>
        </w:tc>
        <w:tc>
          <w:tcPr>
            <w:tcW w:w="1306" w:type="dxa"/>
            <w:tcBorders>
              <w:left w:val="nil"/>
            </w:tcBorders>
          </w:tcPr>
          <w:p w14:paraId="6B394BA5" w14:textId="77777777" w:rsidR="001520FD" w:rsidRPr="004213BA" w:rsidRDefault="001520F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c>
          <w:tcPr>
            <w:tcW w:w="1307" w:type="dxa"/>
            <w:tcBorders>
              <w:right w:val="nil"/>
            </w:tcBorders>
          </w:tcPr>
          <w:p w14:paraId="1017F21B" w14:textId="77777777" w:rsidR="001520FD" w:rsidRDefault="001520F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c>
          <w:tcPr>
            <w:tcW w:w="1306" w:type="dxa"/>
            <w:tcBorders>
              <w:left w:val="nil"/>
            </w:tcBorders>
          </w:tcPr>
          <w:p w14:paraId="01AF9E59" w14:textId="77777777" w:rsidR="001520FD" w:rsidRPr="004213BA" w:rsidRDefault="001520F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r>
      <w:tr w:rsidR="00D417B5" w:rsidRPr="004213BA" w14:paraId="3B48C2FC" w14:textId="77777777" w:rsidTr="00FF4CA3">
        <w:tc>
          <w:tcPr>
            <w:tcW w:w="2611" w:type="dxa"/>
          </w:tcPr>
          <w:p w14:paraId="74E6C088" w14:textId="0B5F5205" w:rsidR="00D417B5" w:rsidRPr="004213BA" w:rsidRDefault="00D417B5"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sz w:val="20"/>
                <w:szCs w:val="20"/>
                <w:lang w:val="en-US" w:eastAsia="zh-CN" w:bidi="hi-IN"/>
              </w:rPr>
              <w:t>R-squared</w:t>
            </w:r>
          </w:p>
        </w:tc>
        <w:tc>
          <w:tcPr>
            <w:tcW w:w="1307" w:type="dxa"/>
            <w:tcBorders>
              <w:right w:val="nil"/>
            </w:tcBorders>
          </w:tcPr>
          <w:p w14:paraId="5375183E" w14:textId="1C2BDA0A" w:rsidR="00D417B5" w:rsidRDefault="00D417B5"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hAnsiTheme="majorHAnsi" w:cstheme="majorHAnsi"/>
                <w:color w:val="000000"/>
                <w:sz w:val="20"/>
                <w:szCs w:val="20"/>
                <w:lang w:val="en-US"/>
              </w:rPr>
              <w:t>0.0333</w:t>
            </w:r>
          </w:p>
        </w:tc>
        <w:tc>
          <w:tcPr>
            <w:tcW w:w="1306" w:type="dxa"/>
            <w:tcBorders>
              <w:left w:val="nil"/>
            </w:tcBorders>
          </w:tcPr>
          <w:p w14:paraId="4E2FDFA9" w14:textId="77777777" w:rsidR="00D417B5" w:rsidRPr="004213BA" w:rsidRDefault="00D417B5"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c>
          <w:tcPr>
            <w:tcW w:w="1307" w:type="dxa"/>
            <w:tcBorders>
              <w:right w:val="nil"/>
            </w:tcBorders>
          </w:tcPr>
          <w:p w14:paraId="1DA427C5" w14:textId="2A95927E" w:rsidR="00D417B5" w:rsidRDefault="00D417B5"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hAnsiTheme="majorHAnsi" w:cstheme="majorHAnsi"/>
                <w:color w:val="000000"/>
                <w:sz w:val="20"/>
                <w:szCs w:val="20"/>
                <w:lang w:val="en-US"/>
              </w:rPr>
              <w:t>0.064</w:t>
            </w:r>
          </w:p>
        </w:tc>
        <w:tc>
          <w:tcPr>
            <w:tcW w:w="1306" w:type="dxa"/>
            <w:tcBorders>
              <w:left w:val="nil"/>
            </w:tcBorders>
          </w:tcPr>
          <w:p w14:paraId="3D966E15" w14:textId="77777777" w:rsidR="00D417B5" w:rsidRPr="004213BA" w:rsidRDefault="00D417B5"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c>
          <w:tcPr>
            <w:tcW w:w="1307" w:type="dxa"/>
            <w:tcBorders>
              <w:right w:val="nil"/>
            </w:tcBorders>
          </w:tcPr>
          <w:p w14:paraId="4F09FA56" w14:textId="7026C238" w:rsidR="00D417B5" w:rsidRDefault="00D417B5"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hAnsiTheme="majorHAnsi" w:cstheme="majorHAnsi"/>
                <w:color w:val="000000"/>
                <w:sz w:val="20"/>
                <w:szCs w:val="20"/>
                <w:lang w:val="en-US"/>
              </w:rPr>
              <w:t>0.0171</w:t>
            </w:r>
          </w:p>
        </w:tc>
        <w:tc>
          <w:tcPr>
            <w:tcW w:w="1306" w:type="dxa"/>
            <w:tcBorders>
              <w:left w:val="nil"/>
            </w:tcBorders>
          </w:tcPr>
          <w:p w14:paraId="4CD5A5DC" w14:textId="77777777" w:rsidR="00D417B5" w:rsidRPr="004213BA" w:rsidRDefault="00D417B5"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r>
    </w:tbl>
    <w:p w14:paraId="7EF78FE9" w14:textId="77777777" w:rsidR="008D0CAD" w:rsidRPr="005424E3" w:rsidRDefault="008D0CAD" w:rsidP="00796BFA">
      <w:pPr>
        <w:spacing w:before="100" w:beforeAutospacing="1" w:after="100" w:afterAutospacing="1" w:line="360" w:lineRule="auto"/>
        <w:rPr>
          <w:rFonts w:asciiTheme="majorHAnsi" w:eastAsiaTheme="minorEastAsia" w:hAnsiTheme="majorHAnsi" w:cstheme="majorHAnsi"/>
          <w:sz w:val="20"/>
          <w:szCs w:val="16"/>
          <w:lang w:val="en-US" w:eastAsia="zh-CN" w:bidi="hi-IN"/>
        </w:rPr>
      </w:pPr>
      <w:r w:rsidRPr="005424E3">
        <w:rPr>
          <w:rFonts w:asciiTheme="majorHAnsi" w:eastAsiaTheme="minorEastAsia" w:hAnsiTheme="majorHAnsi" w:cstheme="majorHAnsi"/>
          <w:sz w:val="20"/>
          <w:szCs w:val="16"/>
          <w:lang w:val="en-US" w:eastAsia="zh-CN" w:bidi="hi-IN"/>
        </w:rPr>
        <w:t>*, **, *** indicates significance at the 10%, 5%, and 1% level, respectively.</w:t>
      </w:r>
    </w:p>
    <w:p w14:paraId="2B563DC4" w14:textId="6BE6A34B" w:rsidR="008D0CAD" w:rsidRPr="005424E3" w:rsidRDefault="008D0CAD" w:rsidP="00796BFA">
      <w:pPr>
        <w:spacing w:before="100" w:beforeAutospacing="1" w:after="100" w:afterAutospacing="1" w:line="360" w:lineRule="auto"/>
        <w:rPr>
          <w:rFonts w:asciiTheme="majorHAnsi" w:hAnsiTheme="majorHAnsi" w:cstheme="majorHAnsi"/>
          <w:bCs/>
          <w:i/>
          <w:color w:val="44546A" w:themeColor="text2"/>
          <w:sz w:val="22"/>
          <w:szCs w:val="22"/>
          <w:lang w:val="en-US"/>
        </w:rPr>
      </w:pPr>
      <w:bookmarkStart w:id="426" w:name="_Toc15638043"/>
      <w:bookmarkStart w:id="427" w:name="_Toc71616641"/>
      <w:r w:rsidRPr="005424E3">
        <w:rPr>
          <w:rFonts w:asciiTheme="majorHAnsi" w:hAnsiTheme="majorHAnsi" w:cstheme="majorHAnsi"/>
          <w:bCs/>
          <w:i/>
          <w:color w:val="44546A" w:themeColor="text2"/>
          <w:sz w:val="22"/>
          <w:szCs w:val="22"/>
          <w:lang w:val="en-US"/>
        </w:rPr>
        <w:t xml:space="preserve">Table </w:t>
      </w:r>
      <w:r w:rsidRPr="005424E3">
        <w:rPr>
          <w:rFonts w:asciiTheme="majorHAnsi" w:hAnsiTheme="majorHAnsi" w:cstheme="majorHAnsi"/>
          <w:bCs/>
          <w:i/>
          <w:color w:val="44546A" w:themeColor="text2"/>
          <w:sz w:val="22"/>
          <w:szCs w:val="22"/>
          <w:lang w:val="en-US"/>
        </w:rPr>
        <w:fldChar w:fldCharType="begin"/>
      </w:r>
      <w:r w:rsidRPr="005424E3">
        <w:rPr>
          <w:rFonts w:asciiTheme="majorHAnsi" w:hAnsiTheme="majorHAnsi" w:cstheme="majorHAnsi"/>
          <w:bCs/>
          <w:i/>
          <w:color w:val="44546A" w:themeColor="text2"/>
          <w:sz w:val="22"/>
          <w:szCs w:val="22"/>
          <w:lang w:val="en-US"/>
        </w:rPr>
        <w:instrText xml:space="preserve"> SEQ Table \* ARABIC </w:instrText>
      </w:r>
      <w:r w:rsidRPr="005424E3">
        <w:rPr>
          <w:rFonts w:asciiTheme="majorHAnsi" w:hAnsiTheme="majorHAnsi" w:cstheme="majorHAnsi"/>
          <w:bCs/>
          <w:i/>
          <w:color w:val="44546A" w:themeColor="text2"/>
          <w:sz w:val="22"/>
          <w:szCs w:val="22"/>
          <w:lang w:val="en-US"/>
        </w:rPr>
        <w:fldChar w:fldCharType="separate"/>
      </w:r>
      <w:r w:rsidR="00D6133D">
        <w:rPr>
          <w:rFonts w:asciiTheme="majorHAnsi" w:hAnsiTheme="majorHAnsi" w:cstheme="majorHAnsi"/>
          <w:bCs/>
          <w:i/>
          <w:noProof/>
          <w:color w:val="44546A" w:themeColor="text2"/>
          <w:sz w:val="22"/>
          <w:szCs w:val="22"/>
          <w:lang w:val="en-US"/>
        </w:rPr>
        <w:t>50</w:t>
      </w:r>
      <w:r w:rsidRPr="005424E3">
        <w:rPr>
          <w:rFonts w:asciiTheme="majorHAnsi" w:hAnsiTheme="majorHAnsi" w:cstheme="majorHAnsi"/>
          <w:bCs/>
          <w:i/>
          <w:color w:val="44546A" w:themeColor="text2"/>
          <w:sz w:val="22"/>
          <w:szCs w:val="22"/>
          <w:lang w:val="en-US"/>
        </w:rPr>
        <w:fldChar w:fldCharType="end"/>
      </w:r>
      <w:r w:rsidRPr="005424E3">
        <w:rPr>
          <w:rFonts w:asciiTheme="majorHAnsi" w:hAnsiTheme="majorHAnsi" w:cstheme="majorHAnsi"/>
          <w:bCs/>
          <w:i/>
          <w:color w:val="44546A" w:themeColor="text2"/>
          <w:sz w:val="22"/>
          <w:szCs w:val="22"/>
          <w:lang w:val="en-US"/>
        </w:rPr>
        <w:t>. Regression Results for Region V Students</w:t>
      </w:r>
      <w:bookmarkEnd w:id="426"/>
      <w:bookmarkEnd w:id="427"/>
    </w:p>
    <w:tbl>
      <w:tblPr>
        <w:tblStyle w:val="TableGrid18"/>
        <w:tblW w:w="10585" w:type="dxa"/>
        <w:tblLook w:val="04A0" w:firstRow="1" w:lastRow="0" w:firstColumn="1" w:lastColumn="0" w:noHBand="0" w:noVBand="1"/>
      </w:tblPr>
      <w:tblGrid>
        <w:gridCol w:w="2614"/>
        <w:gridCol w:w="1436"/>
        <w:gridCol w:w="1307"/>
        <w:gridCol w:w="1307"/>
        <w:gridCol w:w="1307"/>
        <w:gridCol w:w="1307"/>
        <w:gridCol w:w="1307"/>
      </w:tblGrid>
      <w:tr w:rsidR="00121A80" w:rsidRPr="004213BA" w14:paraId="1D17F293" w14:textId="77777777" w:rsidTr="00F4751F">
        <w:trPr>
          <w:tblHeader/>
        </w:trPr>
        <w:tc>
          <w:tcPr>
            <w:tcW w:w="2614" w:type="dxa"/>
          </w:tcPr>
          <w:p w14:paraId="36264523" w14:textId="77777777" w:rsidR="00121A80" w:rsidRPr="004213BA" w:rsidRDefault="00121A80"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c>
          <w:tcPr>
            <w:tcW w:w="1436" w:type="dxa"/>
            <w:tcBorders>
              <w:right w:val="nil"/>
            </w:tcBorders>
          </w:tcPr>
          <w:p w14:paraId="753710AD" w14:textId="07A53FA9" w:rsidR="00121A80" w:rsidRPr="004B064D" w:rsidRDefault="00121A80" w:rsidP="00796BFA">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r w:rsidRPr="004B064D">
              <w:rPr>
                <w:rFonts w:asciiTheme="majorHAnsi" w:eastAsiaTheme="minorEastAsia" w:hAnsiTheme="majorHAnsi" w:cstheme="majorHAnsi"/>
                <w:b/>
                <w:bCs/>
                <w:sz w:val="20"/>
                <w:szCs w:val="20"/>
                <w:lang w:val="en-US" w:eastAsia="zh-CN" w:bidi="hi-IN"/>
              </w:rPr>
              <w:t>Grade 4</w:t>
            </w:r>
          </w:p>
        </w:tc>
        <w:tc>
          <w:tcPr>
            <w:tcW w:w="1307" w:type="dxa"/>
            <w:tcBorders>
              <w:left w:val="nil"/>
            </w:tcBorders>
          </w:tcPr>
          <w:p w14:paraId="5C87A931" w14:textId="77777777" w:rsidR="00121A80" w:rsidRPr="004B064D" w:rsidRDefault="00121A80" w:rsidP="00796BFA">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p>
        </w:tc>
        <w:tc>
          <w:tcPr>
            <w:tcW w:w="1307" w:type="dxa"/>
            <w:tcBorders>
              <w:right w:val="nil"/>
            </w:tcBorders>
          </w:tcPr>
          <w:p w14:paraId="5B72AFD0" w14:textId="4E0E0976" w:rsidR="00121A80" w:rsidRPr="004B064D" w:rsidRDefault="00121A80" w:rsidP="00796BFA">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r w:rsidRPr="004B064D">
              <w:rPr>
                <w:rFonts w:asciiTheme="majorHAnsi" w:eastAsiaTheme="minorEastAsia" w:hAnsiTheme="majorHAnsi" w:cstheme="majorHAnsi"/>
                <w:b/>
                <w:bCs/>
                <w:sz w:val="20"/>
                <w:szCs w:val="20"/>
                <w:lang w:val="en-US" w:eastAsia="zh-CN" w:bidi="hi-IN"/>
              </w:rPr>
              <w:t>Grade 5</w:t>
            </w:r>
          </w:p>
        </w:tc>
        <w:tc>
          <w:tcPr>
            <w:tcW w:w="1307" w:type="dxa"/>
            <w:tcBorders>
              <w:left w:val="nil"/>
            </w:tcBorders>
          </w:tcPr>
          <w:p w14:paraId="59CFB7CC" w14:textId="77777777" w:rsidR="00121A80" w:rsidRPr="004B064D" w:rsidRDefault="00121A80" w:rsidP="00796BFA">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p>
        </w:tc>
        <w:tc>
          <w:tcPr>
            <w:tcW w:w="1307" w:type="dxa"/>
            <w:tcBorders>
              <w:right w:val="nil"/>
            </w:tcBorders>
          </w:tcPr>
          <w:p w14:paraId="10CAE2E8" w14:textId="4416773D" w:rsidR="00121A80" w:rsidRPr="004B064D" w:rsidRDefault="00121A80" w:rsidP="00796BFA">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r w:rsidRPr="004B064D">
              <w:rPr>
                <w:rFonts w:asciiTheme="majorHAnsi" w:eastAsiaTheme="minorEastAsia" w:hAnsiTheme="majorHAnsi" w:cstheme="majorHAnsi"/>
                <w:b/>
                <w:bCs/>
                <w:sz w:val="20"/>
                <w:szCs w:val="20"/>
                <w:lang w:val="en-US" w:eastAsia="zh-CN" w:bidi="hi-IN"/>
              </w:rPr>
              <w:t>Grade 6</w:t>
            </w:r>
          </w:p>
        </w:tc>
        <w:tc>
          <w:tcPr>
            <w:tcW w:w="1307" w:type="dxa"/>
            <w:tcBorders>
              <w:left w:val="nil"/>
            </w:tcBorders>
          </w:tcPr>
          <w:p w14:paraId="526F90EF" w14:textId="77777777" w:rsidR="00121A80" w:rsidRPr="004B064D" w:rsidRDefault="00121A80" w:rsidP="00796BFA">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p>
        </w:tc>
      </w:tr>
      <w:tr w:rsidR="008D0CAD" w:rsidRPr="004213BA" w14:paraId="22075282" w14:textId="77777777" w:rsidTr="00F4751F">
        <w:trPr>
          <w:tblHeader/>
        </w:trPr>
        <w:tc>
          <w:tcPr>
            <w:tcW w:w="2614" w:type="dxa"/>
          </w:tcPr>
          <w:p w14:paraId="589E37C7"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c>
          <w:tcPr>
            <w:tcW w:w="1436" w:type="dxa"/>
          </w:tcPr>
          <w:p w14:paraId="48CEB2BF" w14:textId="77777777" w:rsidR="008D0CAD" w:rsidRPr="004B064D" w:rsidRDefault="008D0CAD" w:rsidP="00796BFA">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r w:rsidRPr="004B064D">
              <w:rPr>
                <w:rFonts w:asciiTheme="majorHAnsi" w:eastAsiaTheme="minorEastAsia" w:hAnsiTheme="majorHAnsi" w:cstheme="majorHAnsi"/>
                <w:b/>
                <w:bCs/>
                <w:sz w:val="20"/>
                <w:szCs w:val="20"/>
                <w:lang w:val="en-US" w:eastAsia="zh-CN" w:bidi="hi-IN"/>
              </w:rPr>
              <w:t>Coefficient</w:t>
            </w:r>
          </w:p>
        </w:tc>
        <w:tc>
          <w:tcPr>
            <w:tcW w:w="1307" w:type="dxa"/>
          </w:tcPr>
          <w:p w14:paraId="3CAC20FA" w14:textId="77777777" w:rsidR="008D0CAD" w:rsidRPr="004B064D" w:rsidRDefault="008D0CAD" w:rsidP="00796BFA">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r w:rsidRPr="004B064D">
              <w:rPr>
                <w:rFonts w:asciiTheme="majorHAnsi" w:eastAsiaTheme="minorEastAsia" w:hAnsiTheme="majorHAnsi" w:cstheme="majorHAnsi"/>
                <w:b/>
                <w:bCs/>
                <w:sz w:val="20"/>
                <w:szCs w:val="20"/>
                <w:lang w:val="en-US" w:eastAsia="zh-CN" w:bidi="hi-IN"/>
              </w:rPr>
              <w:t>Standard Error</w:t>
            </w:r>
          </w:p>
        </w:tc>
        <w:tc>
          <w:tcPr>
            <w:tcW w:w="1307" w:type="dxa"/>
          </w:tcPr>
          <w:p w14:paraId="3279FDA0" w14:textId="77777777" w:rsidR="008D0CAD" w:rsidRPr="000A4732" w:rsidRDefault="008D0CAD" w:rsidP="00796BFA">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r w:rsidRPr="004B064D">
              <w:rPr>
                <w:rFonts w:asciiTheme="majorHAnsi" w:eastAsiaTheme="minorEastAsia" w:hAnsiTheme="majorHAnsi" w:cstheme="majorHAnsi"/>
                <w:b/>
                <w:bCs/>
                <w:sz w:val="20"/>
                <w:szCs w:val="20"/>
                <w:lang w:val="en-US" w:eastAsia="zh-CN" w:bidi="hi-IN"/>
              </w:rPr>
              <w:t>Coefficient</w:t>
            </w:r>
          </w:p>
        </w:tc>
        <w:tc>
          <w:tcPr>
            <w:tcW w:w="1307" w:type="dxa"/>
          </w:tcPr>
          <w:p w14:paraId="0D039EB2" w14:textId="77777777" w:rsidR="008D0CAD" w:rsidRPr="000A4732" w:rsidRDefault="008D0CAD" w:rsidP="00796BFA">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r w:rsidRPr="004B064D">
              <w:rPr>
                <w:rFonts w:asciiTheme="majorHAnsi" w:eastAsiaTheme="minorEastAsia" w:hAnsiTheme="majorHAnsi" w:cstheme="majorHAnsi"/>
                <w:b/>
                <w:bCs/>
                <w:sz w:val="20"/>
                <w:szCs w:val="20"/>
                <w:lang w:val="en-US" w:eastAsia="zh-CN" w:bidi="hi-IN"/>
              </w:rPr>
              <w:t>Standard Error</w:t>
            </w:r>
          </w:p>
        </w:tc>
        <w:tc>
          <w:tcPr>
            <w:tcW w:w="1307" w:type="dxa"/>
          </w:tcPr>
          <w:p w14:paraId="5EEBD5A6" w14:textId="77777777" w:rsidR="008D0CAD" w:rsidRPr="000A4732" w:rsidRDefault="008D0CAD" w:rsidP="00796BFA">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r w:rsidRPr="004B064D">
              <w:rPr>
                <w:rFonts w:asciiTheme="majorHAnsi" w:eastAsiaTheme="minorEastAsia" w:hAnsiTheme="majorHAnsi" w:cstheme="majorHAnsi"/>
                <w:b/>
                <w:bCs/>
                <w:sz w:val="20"/>
                <w:szCs w:val="20"/>
                <w:lang w:val="en-US" w:eastAsia="zh-CN" w:bidi="hi-IN"/>
              </w:rPr>
              <w:t>Coefficient</w:t>
            </w:r>
          </w:p>
        </w:tc>
        <w:tc>
          <w:tcPr>
            <w:tcW w:w="1307" w:type="dxa"/>
          </w:tcPr>
          <w:p w14:paraId="187029FB" w14:textId="77777777" w:rsidR="008D0CAD" w:rsidRPr="000A4732" w:rsidRDefault="008D0CAD" w:rsidP="00796BFA">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r w:rsidRPr="004B064D">
              <w:rPr>
                <w:rFonts w:asciiTheme="majorHAnsi" w:eastAsiaTheme="minorEastAsia" w:hAnsiTheme="majorHAnsi" w:cstheme="majorHAnsi"/>
                <w:b/>
                <w:bCs/>
                <w:sz w:val="20"/>
                <w:szCs w:val="20"/>
                <w:lang w:val="en-US" w:eastAsia="zh-CN" w:bidi="hi-IN"/>
              </w:rPr>
              <w:t>Standard Error</w:t>
            </w:r>
          </w:p>
        </w:tc>
      </w:tr>
      <w:tr w:rsidR="008D0CAD" w:rsidRPr="004213BA" w14:paraId="2C56739E" w14:textId="77777777" w:rsidTr="0048024E">
        <w:tc>
          <w:tcPr>
            <w:tcW w:w="2614" w:type="dxa"/>
          </w:tcPr>
          <w:p w14:paraId="0DF51447"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best</w:t>
            </w:r>
          </w:p>
        </w:tc>
        <w:tc>
          <w:tcPr>
            <w:tcW w:w="1436" w:type="dxa"/>
          </w:tcPr>
          <w:p w14:paraId="0E17B379"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0.7576</w:t>
            </w:r>
          </w:p>
        </w:tc>
        <w:tc>
          <w:tcPr>
            <w:tcW w:w="1307" w:type="dxa"/>
          </w:tcPr>
          <w:p w14:paraId="3E4CEDF7"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0.5023</w:t>
            </w:r>
          </w:p>
        </w:tc>
        <w:tc>
          <w:tcPr>
            <w:tcW w:w="1307" w:type="dxa"/>
          </w:tcPr>
          <w:p w14:paraId="285201BC"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0.3271**</w:t>
            </w:r>
          </w:p>
        </w:tc>
        <w:tc>
          <w:tcPr>
            <w:tcW w:w="1307" w:type="dxa"/>
          </w:tcPr>
          <w:p w14:paraId="6D195D70"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0.3884</w:t>
            </w:r>
          </w:p>
        </w:tc>
        <w:tc>
          <w:tcPr>
            <w:tcW w:w="1307" w:type="dxa"/>
          </w:tcPr>
          <w:p w14:paraId="01229138"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0.7820**</w:t>
            </w:r>
          </w:p>
        </w:tc>
        <w:tc>
          <w:tcPr>
            <w:tcW w:w="1307" w:type="dxa"/>
          </w:tcPr>
          <w:p w14:paraId="2629CAD1"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0.3456</w:t>
            </w:r>
          </w:p>
        </w:tc>
      </w:tr>
      <w:tr w:rsidR="008D0CAD" w:rsidRPr="004213BA" w14:paraId="7265411B" w14:textId="77777777" w:rsidTr="0048024E">
        <w:tc>
          <w:tcPr>
            <w:tcW w:w="2614" w:type="dxa"/>
          </w:tcPr>
          <w:p w14:paraId="0B9E4284"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ES Size: Large</w:t>
            </w:r>
          </w:p>
        </w:tc>
        <w:tc>
          <w:tcPr>
            <w:tcW w:w="1436" w:type="dxa"/>
          </w:tcPr>
          <w:p w14:paraId="516A7012"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-0.4704</w:t>
            </w:r>
          </w:p>
        </w:tc>
        <w:tc>
          <w:tcPr>
            <w:tcW w:w="1307" w:type="dxa"/>
          </w:tcPr>
          <w:p w14:paraId="7B5A47E0"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0.3797</w:t>
            </w:r>
          </w:p>
        </w:tc>
        <w:tc>
          <w:tcPr>
            <w:tcW w:w="1307" w:type="dxa"/>
          </w:tcPr>
          <w:p w14:paraId="51846318"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-0.0005</w:t>
            </w:r>
          </w:p>
        </w:tc>
        <w:tc>
          <w:tcPr>
            <w:tcW w:w="1307" w:type="dxa"/>
          </w:tcPr>
          <w:p w14:paraId="5EDA8056"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0.3321</w:t>
            </w:r>
          </w:p>
        </w:tc>
        <w:tc>
          <w:tcPr>
            <w:tcW w:w="1307" w:type="dxa"/>
          </w:tcPr>
          <w:p w14:paraId="7F7A3D4D"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-0.4171</w:t>
            </w:r>
          </w:p>
        </w:tc>
        <w:tc>
          <w:tcPr>
            <w:tcW w:w="1307" w:type="dxa"/>
          </w:tcPr>
          <w:p w14:paraId="0F8EBFEB"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0.3029</w:t>
            </w:r>
          </w:p>
        </w:tc>
      </w:tr>
      <w:tr w:rsidR="008D0CAD" w:rsidRPr="004213BA" w14:paraId="03303845" w14:textId="77777777" w:rsidTr="0048024E">
        <w:tc>
          <w:tcPr>
            <w:tcW w:w="2614" w:type="dxa"/>
          </w:tcPr>
          <w:p w14:paraId="317FA57E"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ES Size: Medium</w:t>
            </w:r>
          </w:p>
        </w:tc>
        <w:tc>
          <w:tcPr>
            <w:tcW w:w="1436" w:type="dxa"/>
          </w:tcPr>
          <w:p w14:paraId="08FC8FD8"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-0.4656**</w:t>
            </w:r>
          </w:p>
        </w:tc>
        <w:tc>
          <w:tcPr>
            <w:tcW w:w="1307" w:type="dxa"/>
          </w:tcPr>
          <w:p w14:paraId="5C27065E"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0.2276</w:t>
            </w:r>
          </w:p>
        </w:tc>
        <w:tc>
          <w:tcPr>
            <w:tcW w:w="1307" w:type="dxa"/>
          </w:tcPr>
          <w:p w14:paraId="602C2721"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-0.2729</w:t>
            </w:r>
          </w:p>
        </w:tc>
        <w:tc>
          <w:tcPr>
            <w:tcW w:w="1307" w:type="dxa"/>
          </w:tcPr>
          <w:p w14:paraId="18E5F4CF"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0.2188</w:t>
            </w:r>
          </w:p>
        </w:tc>
        <w:tc>
          <w:tcPr>
            <w:tcW w:w="1307" w:type="dxa"/>
          </w:tcPr>
          <w:p w14:paraId="48ED582E"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-0.3086</w:t>
            </w:r>
          </w:p>
        </w:tc>
        <w:tc>
          <w:tcPr>
            <w:tcW w:w="1307" w:type="dxa"/>
          </w:tcPr>
          <w:p w14:paraId="545CB247"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0.2045</w:t>
            </w:r>
          </w:p>
        </w:tc>
      </w:tr>
      <w:tr w:rsidR="008D0CAD" w:rsidRPr="004213BA" w14:paraId="6947E4C6" w14:textId="77777777" w:rsidTr="0048024E">
        <w:tc>
          <w:tcPr>
            <w:tcW w:w="2614" w:type="dxa"/>
          </w:tcPr>
          <w:p w14:paraId="6BEB66D0"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ES Size: Very Large</w:t>
            </w:r>
          </w:p>
        </w:tc>
        <w:tc>
          <w:tcPr>
            <w:tcW w:w="1436" w:type="dxa"/>
          </w:tcPr>
          <w:p w14:paraId="40D418CD"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-1.2863***</w:t>
            </w:r>
          </w:p>
        </w:tc>
        <w:tc>
          <w:tcPr>
            <w:tcW w:w="1307" w:type="dxa"/>
          </w:tcPr>
          <w:p w14:paraId="23C835C9"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0.3313</w:t>
            </w:r>
          </w:p>
        </w:tc>
        <w:tc>
          <w:tcPr>
            <w:tcW w:w="1307" w:type="dxa"/>
          </w:tcPr>
          <w:p w14:paraId="52C4142B"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-0.4227**</w:t>
            </w:r>
          </w:p>
        </w:tc>
        <w:tc>
          <w:tcPr>
            <w:tcW w:w="1307" w:type="dxa"/>
          </w:tcPr>
          <w:p w14:paraId="47469FA5"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0.1922</w:t>
            </w:r>
          </w:p>
        </w:tc>
        <w:tc>
          <w:tcPr>
            <w:tcW w:w="1307" w:type="dxa"/>
          </w:tcPr>
          <w:p w14:paraId="7B67579A"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-1.1866**</w:t>
            </w:r>
          </w:p>
        </w:tc>
        <w:tc>
          <w:tcPr>
            <w:tcW w:w="1307" w:type="dxa"/>
          </w:tcPr>
          <w:p w14:paraId="4698A6E8"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0.5124</w:t>
            </w:r>
          </w:p>
        </w:tc>
      </w:tr>
      <w:tr w:rsidR="008D0CAD" w:rsidRPr="004213BA" w14:paraId="57B773BB" w14:textId="77777777" w:rsidTr="0048024E">
        <w:tc>
          <w:tcPr>
            <w:tcW w:w="2614" w:type="dxa"/>
          </w:tcPr>
          <w:p w14:paraId="06207F9D"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Partially Urban</w:t>
            </w:r>
          </w:p>
        </w:tc>
        <w:tc>
          <w:tcPr>
            <w:tcW w:w="1436" w:type="dxa"/>
          </w:tcPr>
          <w:p w14:paraId="27CC4AEE"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0.5643</w:t>
            </w:r>
          </w:p>
        </w:tc>
        <w:tc>
          <w:tcPr>
            <w:tcW w:w="1307" w:type="dxa"/>
          </w:tcPr>
          <w:p w14:paraId="63635C55"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0.6909</w:t>
            </w:r>
          </w:p>
        </w:tc>
        <w:tc>
          <w:tcPr>
            <w:tcW w:w="1307" w:type="dxa"/>
          </w:tcPr>
          <w:p w14:paraId="75DA1AD8"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0.8909</w:t>
            </w:r>
          </w:p>
        </w:tc>
        <w:tc>
          <w:tcPr>
            <w:tcW w:w="1307" w:type="dxa"/>
          </w:tcPr>
          <w:p w14:paraId="4B44B4DF"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0.7063</w:t>
            </w:r>
          </w:p>
        </w:tc>
        <w:tc>
          <w:tcPr>
            <w:tcW w:w="1307" w:type="dxa"/>
          </w:tcPr>
          <w:p w14:paraId="25DBB823"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-0.0820</w:t>
            </w:r>
          </w:p>
        </w:tc>
        <w:tc>
          <w:tcPr>
            <w:tcW w:w="1307" w:type="dxa"/>
          </w:tcPr>
          <w:p w14:paraId="7933EA7B"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0.6846</w:t>
            </w:r>
          </w:p>
        </w:tc>
      </w:tr>
      <w:tr w:rsidR="008D0CAD" w:rsidRPr="004213BA" w14:paraId="0B0B7494" w14:textId="77777777" w:rsidTr="0048024E">
        <w:tc>
          <w:tcPr>
            <w:tcW w:w="2614" w:type="dxa"/>
          </w:tcPr>
          <w:p w14:paraId="33DFC14C"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Urban</w:t>
            </w:r>
          </w:p>
        </w:tc>
        <w:tc>
          <w:tcPr>
            <w:tcW w:w="1436" w:type="dxa"/>
          </w:tcPr>
          <w:p w14:paraId="2A075DD2"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0.6199</w:t>
            </w:r>
          </w:p>
        </w:tc>
        <w:tc>
          <w:tcPr>
            <w:tcW w:w="1307" w:type="dxa"/>
          </w:tcPr>
          <w:p w14:paraId="77A719A0"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1.1639</w:t>
            </w:r>
          </w:p>
        </w:tc>
        <w:tc>
          <w:tcPr>
            <w:tcW w:w="1307" w:type="dxa"/>
          </w:tcPr>
          <w:p w14:paraId="608F153F"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1.1386</w:t>
            </w:r>
          </w:p>
        </w:tc>
        <w:tc>
          <w:tcPr>
            <w:tcW w:w="1307" w:type="dxa"/>
          </w:tcPr>
          <w:p w14:paraId="6C2EF11E"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0.8432</w:t>
            </w:r>
          </w:p>
        </w:tc>
        <w:tc>
          <w:tcPr>
            <w:tcW w:w="1307" w:type="dxa"/>
          </w:tcPr>
          <w:p w14:paraId="5FE506EE"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-0.2023</w:t>
            </w:r>
          </w:p>
        </w:tc>
        <w:tc>
          <w:tcPr>
            <w:tcW w:w="1307" w:type="dxa"/>
          </w:tcPr>
          <w:p w14:paraId="7047BC30"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0.9013</w:t>
            </w:r>
          </w:p>
        </w:tc>
      </w:tr>
      <w:tr w:rsidR="008D0CAD" w:rsidRPr="004213BA" w14:paraId="2E81E4F3" w14:textId="77777777" w:rsidTr="00FF4CA3">
        <w:tc>
          <w:tcPr>
            <w:tcW w:w="2614" w:type="dxa"/>
          </w:tcPr>
          <w:p w14:paraId="5183FE0C"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sz w:val="20"/>
                <w:szCs w:val="20"/>
                <w:lang w:val="en-US" w:eastAsia="zh-CN" w:bidi="hi-IN"/>
              </w:rPr>
              <w:t>constant</w:t>
            </w:r>
          </w:p>
        </w:tc>
        <w:tc>
          <w:tcPr>
            <w:tcW w:w="1436" w:type="dxa"/>
            <w:tcBorders>
              <w:bottom w:val="single" w:sz="4" w:space="0" w:color="auto"/>
            </w:tcBorders>
          </w:tcPr>
          <w:p w14:paraId="4FB5F99C"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3.4201</w:t>
            </w:r>
          </w:p>
        </w:tc>
        <w:tc>
          <w:tcPr>
            <w:tcW w:w="1307" w:type="dxa"/>
          </w:tcPr>
          <w:p w14:paraId="1335BB0E"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0.6870</w:t>
            </w:r>
          </w:p>
        </w:tc>
        <w:tc>
          <w:tcPr>
            <w:tcW w:w="1307" w:type="dxa"/>
            <w:tcBorders>
              <w:bottom w:val="single" w:sz="4" w:space="0" w:color="auto"/>
            </w:tcBorders>
          </w:tcPr>
          <w:p w14:paraId="0F55B259"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2.9415</w:t>
            </w:r>
          </w:p>
        </w:tc>
        <w:tc>
          <w:tcPr>
            <w:tcW w:w="1307" w:type="dxa"/>
          </w:tcPr>
          <w:p w14:paraId="65A7C4E4"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0.7043</w:t>
            </w:r>
          </w:p>
        </w:tc>
        <w:tc>
          <w:tcPr>
            <w:tcW w:w="1307" w:type="dxa"/>
            <w:tcBorders>
              <w:bottom w:val="single" w:sz="4" w:space="0" w:color="auto"/>
            </w:tcBorders>
          </w:tcPr>
          <w:p w14:paraId="70394062"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3.1296</w:t>
            </w:r>
          </w:p>
        </w:tc>
        <w:tc>
          <w:tcPr>
            <w:tcW w:w="1307" w:type="dxa"/>
          </w:tcPr>
          <w:p w14:paraId="5F67DC79"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0.6837</w:t>
            </w:r>
          </w:p>
        </w:tc>
      </w:tr>
      <w:tr w:rsidR="00010C00" w:rsidRPr="004213BA" w14:paraId="300FDB71" w14:textId="77777777" w:rsidTr="00FF4CA3">
        <w:tc>
          <w:tcPr>
            <w:tcW w:w="2614" w:type="dxa"/>
          </w:tcPr>
          <w:p w14:paraId="07278641" w14:textId="0C1815D8" w:rsidR="00010C00" w:rsidRPr="004213BA" w:rsidRDefault="00010C00"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Pr>
                <w:rFonts w:asciiTheme="majorHAnsi" w:eastAsiaTheme="minorEastAsia" w:hAnsiTheme="majorHAnsi" w:cstheme="majorHAnsi"/>
                <w:sz w:val="20"/>
                <w:szCs w:val="20"/>
                <w:lang w:val="en-US" w:eastAsia="zh-CN" w:bidi="hi-IN"/>
              </w:rPr>
              <w:t>No. of observations</w:t>
            </w:r>
          </w:p>
        </w:tc>
        <w:tc>
          <w:tcPr>
            <w:tcW w:w="1436" w:type="dxa"/>
            <w:tcBorders>
              <w:right w:val="nil"/>
            </w:tcBorders>
          </w:tcPr>
          <w:p w14:paraId="12562BAE" w14:textId="786C5161" w:rsidR="00010C00" w:rsidRPr="004213BA" w:rsidRDefault="00010C00"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Pr>
                <w:rFonts w:asciiTheme="majorHAnsi" w:eastAsiaTheme="minorEastAsia" w:hAnsiTheme="majorHAnsi" w:cstheme="majorHAnsi"/>
                <w:color w:val="000000"/>
                <w:sz w:val="20"/>
                <w:szCs w:val="20"/>
                <w:lang w:val="en-US" w:eastAsia="zh-CN" w:bidi="hi-IN"/>
              </w:rPr>
              <w:t>1,215</w:t>
            </w:r>
          </w:p>
        </w:tc>
        <w:tc>
          <w:tcPr>
            <w:tcW w:w="1307" w:type="dxa"/>
            <w:tcBorders>
              <w:left w:val="nil"/>
            </w:tcBorders>
          </w:tcPr>
          <w:p w14:paraId="0ED6714E" w14:textId="77777777" w:rsidR="00010C00" w:rsidRPr="004213BA" w:rsidRDefault="00010C00"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c>
          <w:tcPr>
            <w:tcW w:w="1307" w:type="dxa"/>
            <w:tcBorders>
              <w:right w:val="nil"/>
            </w:tcBorders>
          </w:tcPr>
          <w:p w14:paraId="53C56E90" w14:textId="152D24BF" w:rsidR="00010C00" w:rsidRPr="004213BA" w:rsidRDefault="00010C00"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Pr>
                <w:rFonts w:asciiTheme="majorHAnsi" w:eastAsiaTheme="minorEastAsia" w:hAnsiTheme="majorHAnsi" w:cstheme="majorHAnsi"/>
                <w:color w:val="000000"/>
                <w:sz w:val="20"/>
                <w:szCs w:val="20"/>
                <w:lang w:val="en-US" w:eastAsia="zh-CN" w:bidi="hi-IN"/>
              </w:rPr>
              <w:t>1,215</w:t>
            </w:r>
          </w:p>
        </w:tc>
        <w:tc>
          <w:tcPr>
            <w:tcW w:w="1307" w:type="dxa"/>
            <w:tcBorders>
              <w:left w:val="nil"/>
            </w:tcBorders>
          </w:tcPr>
          <w:p w14:paraId="582F711D" w14:textId="77777777" w:rsidR="00010C00" w:rsidRPr="004213BA" w:rsidRDefault="00010C00"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c>
          <w:tcPr>
            <w:tcW w:w="1307" w:type="dxa"/>
            <w:tcBorders>
              <w:right w:val="nil"/>
            </w:tcBorders>
          </w:tcPr>
          <w:p w14:paraId="2F134778" w14:textId="32FA2311" w:rsidR="00010C00" w:rsidRPr="004213BA" w:rsidRDefault="00010C00"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Pr>
                <w:rFonts w:asciiTheme="majorHAnsi" w:eastAsiaTheme="minorEastAsia" w:hAnsiTheme="majorHAnsi" w:cstheme="majorHAnsi"/>
                <w:color w:val="000000"/>
                <w:sz w:val="20"/>
                <w:szCs w:val="20"/>
                <w:lang w:val="en-US" w:eastAsia="zh-CN" w:bidi="hi-IN"/>
              </w:rPr>
              <w:t>1,215</w:t>
            </w:r>
          </w:p>
        </w:tc>
        <w:tc>
          <w:tcPr>
            <w:tcW w:w="1307" w:type="dxa"/>
            <w:tcBorders>
              <w:left w:val="nil"/>
            </w:tcBorders>
          </w:tcPr>
          <w:p w14:paraId="11A98995" w14:textId="77777777" w:rsidR="00010C00" w:rsidRPr="004213BA" w:rsidRDefault="00010C00"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r>
      <w:tr w:rsidR="000A7694" w:rsidRPr="004213BA" w14:paraId="3224D01F" w14:textId="77777777" w:rsidTr="00FF4CA3">
        <w:tc>
          <w:tcPr>
            <w:tcW w:w="2614" w:type="dxa"/>
          </w:tcPr>
          <w:p w14:paraId="2F1FACAB" w14:textId="41257F03" w:rsidR="000A7694" w:rsidRDefault="000A7694"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sz w:val="20"/>
                <w:szCs w:val="20"/>
                <w:lang w:val="en-US" w:eastAsia="zh-CN" w:bidi="hi-IN"/>
              </w:rPr>
              <w:t>F-test Significance</w:t>
            </w:r>
          </w:p>
        </w:tc>
        <w:tc>
          <w:tcPr>
            <w:tcW w:w="1436" w:type="dxa"/>
            <w:tcBorders>
              <w:right w:val="nil"/>
            </w:tcBorders>
          </w:tcPr>
          <w:p w14:paraId="6D2FDC68" w14:textId="61DD0301" w:rsidR="000A7694" w:rsidRDefault="000A7694"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Pr>
                <w:rFonts w:asciiTheme="majorHAnsi" w:eastAsiaTheme="minorEastAsia" w:hAnsiTheme="majorHAnsi" w:cstheme="majorHAnsi"/>
                <w:color w:val="000000"/>
                <w:sz w:val="20"/>
                <w:szCs w:val="20"/>
                <w:lang w:val="en-US" w:eastAsia="zh-CN" w:bidi="hi-IN"/>
              </w:rPr>
              <w:t>***</w:t>
            </w:r>
          </w:p>
        </w:tc>
        <w:tc>
          <w:tcPr>
            <w:tcW w:w="1307" w:type="dxa"/>
            <w:tcBorders>
              <w:left w:val="nil"/>
            </w:tcBorders>
          </w:tcPr>
          <w:p w14:paraId="60277C23" w14:textId="77777777" w:rsidR="000A7694" w:rsidRPr="004213BA" w:rsidRDefault="000A7694"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c>
          <w:tcPr>
            <w:tcW w:w="1307" w:type="dxa"/>
            <w:tcBorders>
              <w:right w:val="nil"/>
            </w:tcBorders>
          </w:tcPr>
          <w:p w14:paraId="65D23C61" w14:textId="77777777" w:rsidR="000A7694" w:rsidRDefault="000A7694"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c>
          <w:tcPr>
            <w:tcW w:w="1307" w:type="dxa"/>
            <w:tcBorders>
              <w:left w:val="nil"/>
            </w:tcBorders>
          </w:tcPr>
          <w:p w14:paraId="4D634422" w14:textId="77777777" w:rsidR="000A7694" w:rsidRPr="004213BA" w:rsidRDefault="000A7694"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c>
          <w:tcPr>
            <w:tcW w:w="1307" w:type="dxa"/>
            <w:tcBorders>
              <w:right w:val="nil"/>
            </w:tcBorders>
          </w:tcPr>
          <w:p w14:paraId="74399F98" w14:textId="77777777" w:rsidR="000A7694" w:rsidRDefault="000A7694"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c>
          <w:tcPr>
            <w:tcW w:w="1307" w:type="dxa"/>
            <w:tcBorders>
              <w:left w:val="nil"/>
            </w:tcBorders>
          </w:tcPr>
          <w:p w14:paraId="61AC82DA" w14:textId="77777777" w:rsidR="000A7694" w:rsidRPr="004213BA" w:rsidRDefault="000A7694"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r>
      <w:tr w:rsidR="007B055C" w:rsidRPr="004213BA" w14:paraId="483A2FE3" w14:textId="77777777" w:rsidTr="00FF4CA3">
        <w:tc>
          <w:tcPr>
            <w:tcW w:w="2614" w:type="dxa"/>
          </w:tcPr>
          <w:p w14:paraId="1AB1896D" w14:textId="77D53D3D" w:rsidR="007B055C" w:rsidRPr="004213BA" w:rsidRDefault="007B055C"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sz w:val="20"/>
                <w:szCs w:val="20"/>
                <w:lang w:val="en-US" w:eastAsia="zh-CN" w:bidi="hi-IN"/>
              </w:rPr>
              <w:t>R-squared</w:t>
            </w:r>
          </w:p>
        </w:tc>
        <w:tc>
          <w:tcPr>
            <w:tcW w:w="1436" w:type="dxa"/>
            <w:tcBorders>
              <w:right w:val="nil"/>
            </w:tcBorders>
          </w:tcPr>
          <w:p w14:paraId="27F1D99D" w14:textId="5889BAE7" w:rsidR="007B055C" w:rsidRDefault="007B055C"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hAnsiTheme="majorHAnsi" w:cstheme="majorHAnsi"/>
                <w:color w:val="000000"/>
                <w:sz w:val="20"/>
                <w:szCs w:val="20"/>
                <w:lang w:val="en-US"/>
              </w:rPr>
              <w:t>0.0077</w:t>
            </w:r>
          </w:p>
        </w:tc>
        <w:tc>
          <w:tcPr>
            <w:tcW w:w="1307" w:type="dxa"/>
            <w:tcBorders>
              <w:left w:val="nil"/>
            </w:tcBorders>
          </w:tcPr>
          <w:p w14:paraId="04362CA9" w14:textId="77777777" w:rsidR="007B055C" w:rsidRPr="004213BA" w:rsidRDefault="007B055C"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c>
          <w:tcPr>
            <w:tcW w:w="1307" w:type="dxa"/>
            <w:tcBorders>
              <w:right w:val="nil"/>
            </w:tcBorders>
          </w:tcPr>
          <w:p w14:paraId="2D5C13F5" w14:textId="069FC63D" w:rsidR="007B055C" w:rsidRDefault="007B055C"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hAnsiTheme="majorHAnsi" w:cstheme="majorHAnsi"/>
                <w:color w:val="000000"/>
                <w:sz w:val="20"/>
                <w:szCs w:val="20"/>
                <w:lang w:val="en-US"/>
              </w:rPr>
              <w:t>0.0032</w:t>
            </w:r>
          </w:p>
        </w:tc>
        <w:tc>
          <w:tcPr>
            <w:tcW w:w="1307" w:type="dxa"/>
            <w:tcBorders>
              <w:left w:val="nil"/>
            </w:tcBorders>
          </w:tcPr>
          <w:p w14:paraId="40765933" w14:textId="77777777" w:rsidR="007B055C" w:rsidRPr="004213BA" w:rsidRDefault="007B055C"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c>
          <w:tcPr>
            <w:tcW w:w="1307" w:type="dxa"/>
            <w:tcBorders>
              <w:right w:val="nil"/>
            </w:tcBorders>
          </w:tcPr>
          <w:p w14:paraId="1748C00A" w14:textId="3B952E42" w:rsidR="007B055C" w:rsidRDefault="007B055C"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hAnsiTheme="majorHAnsi" w:cstheme="majorHAnsi"/>
                <w:color w:val="000000"/>
                <w:sz w:val="20"/>
                <w:szCs w:val="20"/>
                <w:lang w:val="en-US"/>
              </w:rPr>
              <w:t>0.0067</w:t>
            </w:r>
          </w:p>
        </w:tc>
        <w:tc>
          <w:tcPr>
            <w:tcW w:w="1307" w:type="dxa"/>
            <w:tcBorders>
              <w:left w:val="nil"/>
            </w:tcBorders>
          </w:tcPr>
          <w:p w14:paraId="5CFBF02F" w14:textId="77777777" w:rsidR="007B055C" w:rsidRPr="004213BA" w:rsidRDefault="007B055C"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r>
    </w:tbl>
    <w:p w14:paraId="0578DB4E"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sz w:val="20"/>
          <w:szCs w:val="20"/>
          <w:lang w:val="en-US" w:eastAsia="zh-CN" w:bidi="hi-IN"/>
        </w:rPr>
        <w:t>*, **, *** indicates significance at the 10%, 5%, and 1% level, respectively.</w:t>
      </w:r>
    </w:p>
    <w:p w14:paraId="01C4914A" w14:textId="0A036C38" w:rsidR="008D0CAD" w:rsidRPr="005424E3" w:rsidRDefault="008D0CAD" w:rsidP="00796BFA">
      <w:pPr>
        <w:spacing w:before="100" w:beforeAutospacing="1" w:after="100" w:afterAutospacing="1" w:line="360" w:lineRule="auto"/>
        <w:rPr>
          <w:rFonts w:asciiTheme="majorHAnsi" w:hAnsiTheme="majorHAnsi" w:cstheme="majorHAnsi"/>
          <w:bCs/>
          <w:i/>
          <w:color w:val="44546A" w:themeColor="text2"/>
          <w:sz w:val="22"/>
          <w:szCs w:val="22"/>
          <w:lang w:val="en-US"/>
        </w:rPr>
      </w:pPr>
      <w:bookmarkStart w:id="428" w:name="_Toc15638044"/>
      <w:bookmarkStart w:id="429" w:name="_Toc71616642"/>
      <w:r w:rsidRPr="005424E3">
        <w:rPr>
          <w:rFonts w:asciiTheme="majorHAnsi" w:hAnsiTheme="majorHAnsi" w:cstheme="majorHAnsi"/>
          <w:bCs/>
          <w:i/>
          <w:color w:val="44546A" w:themeColor="text2"/>
          <w:sz w:val="22"/>
          <w:szCs w:val="22"/>
          <w:lang w:val="en-US"/>
        </w:rPr>
        <w:t xml:space="preserve">Table </w:t>
      </w:r>
      <w:r w:rsidRPr="005424E3">
        <w:rPr>
          <w:rFonts w:asciiTheme="majorHAnsi" w:hAnsiTheme="majorHAnsi" w:cstheme="majorHAnsi"/>
          <w:bCs/>
          <w:i/>
          <w:color w:val="44546A" w:themeColor="text2"/>
          <w:sz w:val="22"/>
          <w:szCs w:val="22"/>
          <w:lang w:val="en-US"/>
        </w:rPr>
        <w:fldChar w:fldCharType="begin"/>
      </w:r>
      <w:r w:rsidRPr="005424E3">
        <w:rPr>
          <w:rFonts w:asciiTheme="majorHAnsi" w:hAnsiTheme="majorHAnsi" w:cstheme="majorHAnsi"/>
          <w:bCs/>
          <w:i/>
          <w:color w:val="44546A" w:themeColor="text2"/>
          <w:sz w:val="22"/>
          <w:szCs w:val="22"/>
          <w:lang w:val="en-US"/>
        </w:rPr>
        <w:instrText xml:space="preserve"> SEQ Table \* ARABIC </w:instrText>
      </w:r>
      <w:r w:rsidRPr="005424E3">
        <w:rPr>
          <w:rFonts w:asciiTheme="majorHAnsi" w:hAnsiTheme="majorHAnsi" w:cstheme="majorHAnsi"/>
          <w:bCs/>
          <w:i/>
          <w:color w:val="44546A" w:themeColor="text2"/>
          <w:sz w:val="22"/>
          <w:szCs w:val="22"/>
          <w:lang w:val="en-US"/>
        </w:rPr>
        <w:fldChar w:fldCharType="separate"/>
      </w:r>
      <w:r w:rsidR="00D6133D">
        <w:rPr>
          <w:rFonts w:asciiTheme="majorHAnsi" w:hAnsiTheme="majorHAnsi" w:cstheme="majorHAnsi"/>
          <w:bCs/>
          <w:i/>
          <w:noProof/>
          <w:color w:val="44546A" w:themeColor="text2"/>
          <w:sz w:val="22"/>
          <w:szCs w:val="22"/>
          <w:lang w:val="en-US"/>
        </w:rPr>
        <w:t>51</w:t>
      </w:r>
      <w:r w:rsidRPr="005424E3">
        <w:rPr>
          <w:rFonts w:asciiTheme="majorHAnsi" w:hAnsiTheme="majorHAnsi" w:cstheme="majorHAnsi"/>
          <w:bCs/>
          <w:i/>
          <w:color w:val="44546A" w:themeColor="text2"/>
          <w:sz w:val="22"/>
          <w:szCs w:val="22"/>
          <w:lang w:val="en-US"/>
        </w:rPr>
        <w:fldChar w:fldCharType="end"/>
      </w:r>
      <w:r w:rsidRPr="005424E3">
        <w:rPr>
          <w:rFonts w:asciiTheme="majorHAnsi" w:hAnsiTheme="majorHAnsi" w:cstheme="majorHAnsi"/>
          <w:bCs/>
          <w:i/>
          <w:color w:val="44546A" w:themeColor="text2"/>
          <w:sz w:val="22"/>
          <w:szCs w:val="22"/>
          <w:lang w:val="en-US"/>
        </w:rPr>
        <w:t>. Regression Results for Region VI Students</w:t>
      </w:r>
      <w:bookmarkEnd w:id="428"/>
      <w:bookmarkEnd w:id="429"/>
    </w:p>
    <w:tbl>
      <w:tblPr>
        <w:tblStyle w:val="TableGrid18"/>
        <w:tblW w:w="10584" w:type="dxa"/>
        <w:tblLook w:val="04A0" w:firstRow="1" w:lastRow="0" w:firstColumn="1" w:lastColumn="0" w:noHBand="0" w:noVBand="1"/>
      </w:tblPr>
      <w:tblGrid>
        <w:gridCol w:w="2614"/>
        <w:gridCol w:w="1436"/>
        <w:gridCol w:w="1170"/>
        <w:gridCol w:w="1440"/>
        <w:gridCol w:w="1310"/>
        <w:gridCol w:w="1307"/>
        <w:gridCol w:w="1307"/>
      </w:tblGrid>
      <w:tr w:rsidR="00A629C3" w:rsidRPr="004213BA" w14:paraId="7C120D10" w14:textId="77777777" w:rsidTr="00F4751F">
        <w:trPr>
          <w:tblHeader/>
        </w:trPr>
        <w:tc>
          <w:tcPr>
            <w:tcW w:w="2614" w:type="dxa"/>
          </w:tcPr>
          <w:p w14:paraId="29C31D66" w14:textId="77777777" w:rsidR="00A629C3" w:rsidRPr="004213BA" w:rsidRDefault="00A629C3" w:rsidP="005805AC">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c>
          <w:tcPr>
            <w:tcW w:w="1436" w:type="dxa"/>
            <w:tcBorders>
              <w:right w:val="nil"/>
            </w:tcBorders>
          </w:tcPr>
          <w:p w14:paraId="3D4BA1EE" w14:textId="2D65BBB0" w:rsidR="00A629C3" w:rsidRPr="004B064D" w:rsidRDefault="00A629C3" w:rsidP="005805AC">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r w:rsidRPr="004B064D">
              <w:rPr>
                <w:rFonts w:asciiTheme="majorHAnsi" w:eastAsiaTheme="minorEastAsia" w:hAnsiTheme="majorHAnsi" w:cstheme="majorHAnsi"/>
                <w:b/>
                <w:bCs/>
                <w:sz w:val="20"/>
                <w:szCs w:val="20"/>
                <w:lang w:val="en-US" w:eastAsia="zh-CN" w:bidi="hi-IN"/>
              </w:rPr>
              <w:t>Grade 4</w:t>
            </w:r>
          </w:p>
        </w:tc>
        <w:tc>
          <w:tcPr>
            <w:tcW w:w="1170" w:type="dxa"/>
            <w:tcBorders>
              <w:left w:val="nil"/>
            </w:tcBorders>
          </w:tcPr>
          <w:p w14:paraId="198FF311" w14:textId="37A18976" w:rsidR="00A629C3" w:rsidRPr="004B064D" w:rsidRDefault="00A629C3" w:rsidP="005805AC">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p>
        </w:tc>
        <w:tc>
          <w:tcPr>
            <w:tcW w:w="1440" w:type="dxa"/>
            <w:tcBorders>
              <w:right w:val="nil"/>
            </w:tcBorders>
          </w:tcPr>
          <w:p w14:paraId="426C9137" w14:textId="613DE668" w:rsidR="00A629C3" w:rsidRPr="000A4732" w:rsidRDefault="00A629C3" w:rsidP="005805AC">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r w:rsidRPr="000A4732">
              <w:rPr>
                <w:rFonts w:asciiTheme="majorHAnsi" w:eastAsiaTheme="minorEastAsia" w:hAnsiTheme="majorHAnsi" w:cstheme="majorHAnsi"/>
                <w:b/>
                <w:bCs/>
                <w:sz w:val="20"/>
                <w:szCs w:val="20"/>
                <w:lang w:val="en-US" w:eastAsia="zh-CN" w:bidi="hi-IN"/>
              </w:rPr>
              <w:t>Grade 5</w:t>
            </w:r>
          </w:p>
        </w:tc>
        <w:tc>
          <w:tcPr>
            <w:tcW w:w="1310" w:type="dxa"/>
            <w:tcBorders>
              <w:left w:val="nil"/>
            </w:tcBorders>
          </w:tcPr>
          <w:p w14:paraId="5A0BD41B" w14:textId="2595CB52" w:rsidR="00A629C3" w:rsidRPr="004B064D" w:rsidRDefault="00A629C3" w:rsidP="005805AC">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p>
        </w:tc>
        <w:tc>
          <w:tcPr>
            <w:tcW w:w="1307" w:type="dxa"/>
            <w:tcBorders>
              <w:right w:val="nil"/>
            </w:tcBorders>
          </w:tcPr>
          <w:p w14:paraId="12D4E395" w14:textId="2D3FC4F6" w:rsidR="00A629C3" w:rsidRPr="004B064D" w:rsidRDefault="00A629C3" w:rsidP="005805AC">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r w:rsidRPr="004B064D">
              <w:rPr>
                <w:rFonts w:asciiTheme="majorHAnsi" w:eastAsiaTheme="minorEastAsia" w:hAnsiTheme="majorHAnsi" w:cstheme="majorHAnsi"/>
                <w:b/>
                <w:bCs/>
                <w:sz w:val="20"/>
                <w:szCs w:val="20"/>
                <w:lang w:val="en-US" w:eastAsia="zh-CN" w:bidi="hi-IN"/>
              </w:rPr>
              <w:t>Grade 6</w:t>
            </w:r>
          </w:p>
        </w:tc>
        <w:tc>
          <w:tcPr>
            <w:tcW w:w="1307" w:type="dxa"/>
            <w:tcBorders>
              <w:left w:val="nil"/>
            </w:tcBorders>
          </w:tcPr>
          <w:p w14:paraId="0C2B8175" w14:textId="696E558C" w:rsidR="00A629C3" w:rsidRPr="004B064D" w:rsidRDefault="00A629C3" w:rsidP="005805AC">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p>
        </w:tc>
      </w:tr>
      <w:tr w:rsidR="008D0CAD" w:rsidRPr="004213BA" w14:paraId="71E13EAB" w14:textId="77777777" w:rsidTr="00F4751F">
        <w:trPr>
          <w:tblHeader/>
        </w:trPr>
        <w:tc>
          <w:tcPr>
            <w:tcW w:w="2614" w:type="dxa"/>
          </w:tcPr>
          <w:p w14:paraId="01FCA6BE"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c>
          <w:tcPr>
            <w:tcW w:w="1436" w:type="dxa"/>
          </w:tcPr>
          <w:p w14:paraId="54958224" w14:textId="77777777" w:rsidR="008D0CAD" w:rsidRPr="004B064D" w:rsidRDefault="008D0CAD" w:rsidP="00796BFA">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r w:rsidRPr="004B064D">
              <w:rPr>
                <w:rFonts w:asciiTheme="majorHAnsi" w:eastAsiaTheme="minorEastAsia" w:hAnsiTheme="majorHAnsi" w:cstheme="majorHAnsi"/>
                <w:b/>
                <w:bCs/>
                <w:sz w:val="20"/>
                <w:szCs w:val="20"/>
                <w:lang w:val="en-US" w:eastAsia="zh-CN" w:bidi="hi-IN"/>
              </w:rPr>
              <w:t>Coefficient</w:t>
            </w:r>
          </w:p>
        </w:tc>
        <w:tc>
          <w:tcPr>
            <w:tcW w:w="1170" w:type="dxa"/>
          </w:tcPr>
          <w:p w14:paraId="06AE84FD" w14:textId="77777777" w:rsidR="008D0CAD" w:rsidRPr="004B064D" w:rsidRDefault="008D0CAD" w:rsidP="00796BFA">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r w:rsidRPr="004B064D">
              <w:rPr>
                <w:rFonts w:asciiTheme="majorHAnsi" w:eastAsiaTheme="minorEastAsia" w:hAnsiTheme="majorHAnsi" w:cstheme="majorHAnsi"/>
                <w:b/>
                <w:bCs/>
                <w:sz w:val="20"/>
                <w:szCs w:val="20"/>
                <w:lang w:val="en-US" w:eastAsia="zh-CN" w:bidi="hi-IN"/>
              </w:rPr>
              <w:t>Standard Error</w:t>
            </w:r>
          </w:p>
        </w:tc>
        <w:tc>
          <w:tcPr>
            <w:tcW w:w="1440" w:type="dxa"/>
          </w:tcPr>
          <w:p w14:paraId="70308339" w14:textId="77777777" w:rsidR="008D0CAD" w:rsidRPr="000A4732" w:rsidRDefault="008D0CAD" w:rsidP="00796BFA">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r w:rsidRPr="004B064D">
              <w:rPr>
                <w:rFonts w:asciiTheme="majorHAnsi" w:eastAsiaTheme="minorEastAsia" w:hAnsiTheme="majorHAnsi" w:cstheme="majorHAnsi"/>
                <w:b/>
                <w:bCs/>
                <w:sz w:val="20"/>
                <w:szCs w:val="20"/>
                <w:lang w:val="en-US" w:eastAsia="zh-CN" w:bidi="hi-IN"/>
              </w:rPr>
              <w:t>Coefficient</w:t>
            </w:r>
          </w:p>
        </w:tc>
        <w:tc>
          <w:tcPr>
            <w:tcW w:w="1310" w:type="dxa"/>
          </w:tcPr>
          <w:p w14:paraId="10270D15" w14:textId="77777777" w:rsidR="008D0CAD" w:rsidRPr="000A4732" w:rsidRDefault="008D0CAD" w:rsidP="00796BFA">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r w:rsidRPr="004B064D">
              <w:rPr>
                <w:rFonts w:asciiTheme="majorHAnsi" w:eastAsiaTheme="minorEastAsia" w:hAnsiTheme="majorHAnsi" w:cstheme="majorHAnsi"/>
                <w:b/>
                <w:bCs/>
                <w:sz w:val="20"/>
                <w:szCs w:val="20"/>
                <w:lang w:val="en-US" w:eastAsia="zh-CN" w:bidi="hi-IN"/>
              </w:rPr>
              <w:t>Standard Error</w:t>
            </w:r>
          </w:p>
        </w:tc>
        <w:tc>
          <w:tcPr>
            <w:tcW w:w="1307" w:type="dxa"/>
          </w:tcPr>
          <w:p w14:paraId="452D9D58" w14:textId="77777777" w:rsidR="008D0CAD" w:rsidRPr="000A4732" w:rsidRDefault="008D0CAD" w:rsidP="00796BFA">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r w:rsidRPr="004B064D">
              <w:rPr>
                <w:rFonts w:asciiTheme="majorHAnsi" w:eastAsiaTheme="minorEastAsia" w:hAnsiTheme="majorHAnsi" w:cstheme="majorHAnsi"/>
                <w:b/>
                <w:bCs/>
                <w:sz w:val="20"/>
                <w:szCs w:val="20"/>
                <w:lang w:val="en-US" w:eastAsia="zh-CN" w:bidi="hi-IN"/>
              </w:rPr>
              <w:t>Coefficient</w:t>
            </w:r>
          </w:p>
        </w:tc>
        <w:tc>
          <w:tcPr>
            <w:tcW w:w="1307" w:type="dxa"/>
          </w:tcPr>
          <w:p w14:paraId="01FA1416" w14:textId="77777777" w:rsidR="008D0CAD" w:rsidRPr="000A4732" w:rsidRDefault="008D0CAD" w:rsidP="00796BFA">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r w:rsidRPr="004B064D">
              <w:rPr>
                <w:rFonts w:asciiTheme="majorHAnsi" w:eastAsiaTheme="minorEastAsia" w:hAnsiTheme="majorHAnsi" w:cstheme="majorHAnsi"/>
                <w:b/>
                <w:bCs/>
                <w:sz w:val="20"/>
                <w:szCs w:val="20"/>
                <w:lang w:val="en-US" w:eastAsia="zh-CN" w:bidi="hi-IN"/>
              </w:rPr>
              <w:t>Standard Error</w:t>
            </w:r>
          </w:p>
        </w:tc>
      </w:tr>
      <w:tr w:rsidR="008D0CAD" w:rsidRPr="004213BA" w14:paraId="1B657F9C" w14:textId="77777777" w:rsidTr="00F4751F">
        <w:tc>
          <w:tcPr>
            <w:tcW w:w="2614" w:type="dxa"/>
          </w:tcPr>
          <w:p w14:paraId="692E2C8B"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best</w:t>
            </w:r>
          </w:p>
        </w:tc>
        <w:tc>
          <w:tcPr>
            <w:tcW w:w="1436" w:type="dxa"/>
          </w:tcPr>
          <w:p w14:paraId="2B6FBC2B"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0.1061</w:t>
            </w:r>
          </w:p>
        </w:tc>
        <w:tc>
          <w:tcPr>
            <w:tcW w:w="1170" w:type="dxa"/>
          </w:tcPr>
          <w:p w14:paraId="78929822"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0.1175</w:t>
            </w:r>
          </w:p>
        </w:tc>
        <w:tc>
          <w:tcPr>
            <w:tcW w:w="1440" w:type="dxa"/>
          </w:tcPr>
          <w:p w14:paraId="2AE33A60"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0.1941*</w:t>
            </w:r>
          </w:p>
        </w:tc>
        <w:tc>
          <w:tcPr>
            <w:tcW w:w="1310" w:type="dxa"/>
          </w:tcPr>
          <w:p w14:paraId="6A434F9C"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0.1151</w:t>
            </w:r>
          </w:p>
        </w:tc>
        <w:tc>
          <w:tcPr>
            <w:tcW w:w="1307" w:type="dxa"/>
          </w:tcPr>
          <w:p w14:paraId="3352129A"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-0.1784</w:t>
            </w:r>
          </w:p>
        </w:tc>
        <w:tc>
          <w:tcPr>
            <w:tcW w:w="1307" w:type="dxa"/>
          </w:tcPr>
          <w:p w14:paraId="6EA06C3E"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0.1163</w:t>
            </w:r>
          </w:p>
        </w:tc>
      </w:tr>
      <w:tr w:rsidR="008D0CAD" w:rsidRPr="004213BA" w14:paraId="24C2289C" w14:textId="77777777" w:rsidTr="00F4751F">
        <w:tc>
          <w:tcPr>
            <w:tcW w:w="2614" w:type="dxa"/>
          </w:tcPr>
          <w:p w14:paraId="1FDD4B88"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ES Size: Large</w:t>
            </w:r>
          </w:p>
        </w:tc>
        <w:tc>
          <w:tcPr>
            <w:tcW w:w="1436" w:type="dxa"/>
          </w:tcPr>
          <w:p w14:paraId="07A75B4E"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-0.6782</w:t>
            </w:r>
          </w:p>
        </w:tc>
        <w:tc>
          <w:tcPr>
            <w:tcW w:w="1170" w:type="dxa"/>
          </w:tcPr>
          <w:p w14:paraId="3A6669F9"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0.1634</w:t>
            </w:r>
          </w:p>
        </w:tc>
        <w:tc>
          <w:tcPr>
            <w:tcW w:w="1440" w:type="dxa"/>
          </w:tcPr>
          <w:p w14:paraId="05FC3680"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-0.6835***</w:t>
            </w:r>
          </w:p>
        </w:tc>
        <w:tc>
          <w:tcPr>
            <w:tcW w:w="1310" w:type="dxa"/>
          </w:tcPr>
          <w:p w14:paraId="37C37317"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0.1933</w:t>
            </w:r>
          </w:p>
        </w:tc>
        <w:tc>
          <w:tcPr>
            <w:tcW w:w="1307" w:type="dxa"/>
          </w:tcPr>
          <w:p w14:paraId="602301BC"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-0.1490</w:t>
            </w:r>
          </w:p>
        </w:tc>
        <w:tc>
          <w:tcPr>
            <w:tcW w:w="1307" w:type="dxa"/>
          </w:tcPr>
          <w:p w14:paraId="3A0674F8"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0.1734</w:t>
            </w:r>
          </w:p>
        </w:tc>
      </w:tr>
      <w:tr w:rsidR="008D0CAD" w:rsidRPr="004213BA" w14:paraId="0C329DEB" w14:textId="77777777" w:rsidTr="00F4751F">
        <w:tc>
          <w:tcPr>
            <w:tcW w:w="2614" w:type="dxa"/>
          </w:tcPr>
          <w:p w14:paraId="479CAC55"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ES Size: Medium</w:t>
            </w:r>
          </w:p>
        </w:tc>
        <w:tc>
          <w:tcPr>
            <w:tcW w:w="1436" w:type="dxa"/>
          </w:tcPr>
          <w:p w14:paraId="608C138A"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-0.4113***</w:t>
            </w:r>
          </w:p>
        </w:tc>
        <w:tc>
          <w:tcPr>
            <w:tcW w:w="1170" w:type="dxa"/>
          </w:tcPr>
          <w:p w14:paraId="78D68D17"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0.1340</w:t>
            </w:r>
          </w:p>
        </w:tc>
        <w:tc>
          <w:tcPr>
            <w:tcW w:w="1440" w:type="dxa"/>
          </w:tcPr>
          <w:p w14:paraId="59EFA423"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-0.3818***</w:t>
            </w:r>
          </w:p>
        </w:tc>
        <w:tc>
          <w:tcPr>
            <w:tcW w:w="1310" w:type="dxa"/>
          </w:tcPr>
          <w:p w14:paraId="5978CB6C"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0.1420</w:t>
            </w:r>
          </w:p>
        </w:tc>
        <w:tc>
          <w:tcPr>
            <w:tcW w:w="1307" w:type="dxa"/>
          </w:tcPr>
          <w:p w14:paraId="0A20DFFB"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-0.0361</w:t>
            </w:r>
          </w:p>
        </w:tc>
        <w:tc>
          <w:tcPr>
            <w:tcW w:w="1307" w:type="dxa"/>
          </w:tcPr>
          <w:p w14:paraId="2A3D4952"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0.1465</w:t>
            </w:r>
          </w:p>
        </w:tc>
      </w:tr>
      <w:tr w:rsidR="008D0CAD" w:rsidRPr="004213BA" w14:paraId="5B434C96" w14:textId="77777777" w:rsidTr="00F4751F">
        <w:tc>
          <w:tcPr>
            <w:tcW w:w="2614" w:type="dxa"/>
          </w:tcPr>
          <w:p w14:paraId="0CE0ECA8"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ES Size: Very Large</w:t>
            </w:r>
          </w:p>
        </w:tc>
        <w:tc>
          <w:tcPr>
            <w:tcW w:w="1436" w:type="dxa"/>
          </w:tcPr>
          <w:p w14:paraId="2BE3A9EC"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-0.5243*</w:t>
            </w:r>
          </w:p>
        </w:tc>
        <w:tc>
          <w:tcPr>
            <w:tcW w:w="1170" w:type="dxa"/>
          </w:tcPr>
          <w:p w14:paraId="57FA81BF"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0.2789</w:t>
            </w:r>
          </w:p>
        </w:tc>
        <w:tc>
          <w:tcPr>
            <w:tcW w:w="1440" w:type="dxa"/>
          </w:tcPr>
          <w:p w14:paraId="40507360"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-0.5425*</w:t>
            </w:r>
          </w:p>
        </w:tc>
        <w:tc>
          <w:tcPr>
            <w:tcW w:w="1310" w:type="dxa"/>
          </w:tcPr>
          <w:p w14:paraId="6966EE6F"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0.2953</w:t>
            </w:r>
          </w:p>
        </w:tc>
        <w:tc>
          <w:tcPr>
            <w:tcW w:w="1307" w:type="dxa"/>
          </w:tcPr>
          <w:p w14:paraId="2CD5F9E2"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0.2619</w:t>
            </w:r>
          </w:p>
        </w:tc>
        <w:tc>
          <w:tcPr>
            <w:tcW w:w="1307" w:type="dxa"/>
          </w:tcPr>
          <w:p w14:paraId="27E0199C"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0.6450</w:t>
            </w:r>
          </w:p>
        </w:tc>
      </w:tr>
      <w:tr w:rsidR="008D0CAD" w:rsidRPr="004213BA" w14:paraId="69DA4BB2" w14:textId="77777777" w:rsidTr="00F4751F">
        <w:tc>
          <w:tcPr>
            <w:tcW w:w="2614" w:type="dxa"/>
          </w:tcPr>
          <w:p w14:paraId="3FDE0B4E"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Partially Urban</w:t>
            </w:r>
          </w:p>
        </w:tc>
        <w:tc>
          <w:tcPr>
            <w:tcW w:w="1436" w:type="dxa"/>
          </w:tcPr>
          <w:p w14:paraId="44648FFE"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0.0037</w:t>
            </w:r>
          </w:p>
        </w:tc>
        <w:tc>
          <w:tcPr>
            <w:tcW w:w="1170" w:type="dxa"/>
          </w:tcPr>
          <w:p w14:paraId="60F4E940"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0.2503</w:t>
            </w:r>
          </w:p>
        </w:tc>
        <w:tc>
          <w:tcPr>
            <w:tcW w:w="1440" w:type="dxa"/>
          </w:tcPr>
          <w:p w14:paraId="2EA51E42"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0.0438</w:t>
            </w:r>
          </w:p>
        </w:tc>
        <w:tc>
          <w:tcPr>
            <w:tcW w:w="1310" w:type="dxa"/>
          </w:tcPr>
          <w:p w14:paraId="0F8693EF"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0.2498</w:t>
            </w:r>
          </w:p>
        </w:tc>
        <w:tc>
          <w:tcPr>
            <w:tcW w:w="1307" w:type="dxa"/>
          </w:tcPr>
          <w:p w14:paraId="38E5F604"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0.1219</w:t>
            </w:r>
          </w:p>
        </w:tc>
        <w:tc>
          <w:tcPr>
            <w:tcW w:w="1307" w:type="dxa"/>
          </w:tcPr>
          <w:p w14:paraId="691BC826"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0.2322</w:t>
            </w:r>
          </w:p>
        </w:tc>
      </w:tr>
      <w:tr w:rsidR="008D0CAD" w:rsidRPr="004213BA" w14:paraId="287E2230" w14:textId="77777777" w:rsidTr="00F4751F">
        <w:tc>
          <w:tcPr>
            <w:tcW w:w="2614" w:type="dxa"/>
          </w:tcPr>
          <w:p w14:paraId="7696C919"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Urban</w:t>
            </w:r>
          </w:p>
        </w:tc>
        <w:tc>
          <w:tcPr>
            <w:tcW w:w="1436" w:type="dxa"/>
          </w:tcPr>
          <w:p w14:paraId="11ADB155"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0.3917</w:t>
            </w:r>
          </w:p>
        </w:tc>
        <w:tc>
          <w:tcPr>
            <w:tcW w:w="1170" w:type="dxa"/>
          </w:tcPr>
          <w:p w14:paraId="4F78B70F"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0.3049</w:t>
            </w:r>
          </w:p>
        </w:tc>
        <w:tc>
          <w:tcPr>
            <w:tcW w:w="1440" w:type="dxa"/>
          </w:tcPr>
          <w:p w14:paraId="6513A898"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0.6969**</w:t>
            </w:r>
          </w:p>
        </w:tc>
        <w:tc>
          <w:tcPr>
            <w:tcW w:w="1310" w:type="dxa"/>
          </w:tcPr>
          <w:p w14:paraId="3E37A982"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0.3152</w:t>
            </w:r>
          </w:p>
        </w:tc>
        <w:tc>
          <w:tcPr>
            <w:tcW w:w="1307" w:type="dxa"/>
          </w:tcPr>
          <w:p w14:paraId="786EB558"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0.7526</w:t>
            </w:r>
          </w:p>
        </w:tc>
        <w:tc>
          <w:tcPr>
            <w:tcW w:w="1307" w:type="dxa"/>
          </w:tcPr>
          <w:p w14:paraId="4A2FD7FF"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0.3159</w:t>
            </w:r>
          </w:p>
        </w:tc>
      </w:tr>
      <w:tr w:rsidR="008D0CAD" w:rsidRPr="004213BA" w14:paraId="70809D17" w14:textId="77777777" w:rsidTr="00F4751F">
        <w:tc>
          <w:tcPr>
            <w:tcW w:w="2614" w:type="dxa"/>
          </w:tcPr>
          <w:p w14:paraId="09F24908"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sz w:val="20"/>
                <w:szCs w:val="20"/>
                <w:lang w:val="en-US" w:eastAsia="zh-CN" w:bidi="hi-IN"/>
              </w:rPr>
              <w:t>constant</w:t>
            </w:r>
          </w:p>
        </w:tc>
        <w:tc>
          <w:tcPr>
            <w:tcW w:w="1436" w:type="dxa"/>
            <w:tcBorders>
              <w:bottom w:val="single" w:sz="4" w:space="0" w:color="auto"/>
            </w:tcBorders>
          </w:tcPr>
          <w:p w14:paraId="2EE87739"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3.2616</w:t>
            </w:r>
          </w:p>
        </w:tc>
        <w:tc>
          <w:tcPr>
            <w:tcW w:w="1170" w:type="dxa"/>
          </w:tcPr>
          <w:p w14:paraId="27328BD7"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0.2460</w:t>
            </w:r>
          </w:p>
        </w:tc>
        <w:tc>
          <w:tcPr>
            <w:tcW w:w="1440" w:type="dxa"/>
            <w:tcBorders>
              <w:bottom w:val="single" w:sz="4" w:space="0" w:color="auto"/>
            </w:tcBorders>
          </w:tcPr>
          <w:p w14:paraId="592B918B"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2.9691</w:t>
            </w:r>
          </w:p>
        </w:tc>
        <w:tc>
          <w:tcPr>
            <w:tcW w:w="1310" w:type="dxa"/>
          </w:tcPr>
          <w:p w14:paraId="777B648C"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0.2478</w:t>
            </w:r>
          </w:p>
        </w:tc>
        <w:tc>
          <w:tcPr>
            <w:tcW w:w="1307" w:type="dxa"/>
            <w:tcBorders>
              <w:bottom w:val="single" w:sz="4" w:space="0" w:color="auto"/>
            </w:tcBorders>
          </w:tcPr>
          <w:p w14:paraId="53CD5402"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2.2508</w:t>
            </w:r>
          </w:p>
        </w:tc>
        <w:tc>
          <w:tcPr>
            <w:tcW w:w="1307" w:type="dxa"/>
          </w:tcPr>
          <w:p w14:paraId="071CA207"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0.2303</w:t>
            </w:r>
          </w:p>
        </w:tc>
      </w:tr>
      <w:tr w:rsidR="00253714" w:rsidRPr="004213BA" w14:paraId="51095405" w14:textId="77777777" w:rsidTr="00F4751F">
        <w:tc>
          <w:tcPr>
            <w:tcW w:w="2614" w:type="dxa"/>
          </w:tcPr>
          <w:p w14:paraId="04292B13" w14:textId="11EC14FF" w:rsidR="00253714" w:rsidRPr="004213BA" w:rsidRDefault="00253714" w:rsidP="00253714">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sz w:val="20"/>
                <w:szCs w:val="20"/>
                <w:lang w:val="en-US" w:eastAsia="zh-CN" w:bidi="hi-IN"/>
              </w:rPr>
              <w:t>No. of observations</w:t>
            </w:r>
          </w:p>
        </w:tc>
        <w:tc>
          <w:tcPr>
            <w:tcW w:w="1436" w:type="dxa"/>
            <w:tcBorders>
              <w:right w:val="nil"/>
            </w:tcBorders>
          </w:tcPr>
          <w:p w14:paraId="3A662B01" w14:textId="28EE4771" w:rsidR="00253714" w:rsidRPr="004213BA" w:rsidRDefault="00253714" w:rsidP="00253714">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1,704</w:t>
            </w:r>
          </w:p>
        </w:tc>
        <w:tc>
          <w:tcPr>
            <w:tcW w:w="1170" w:type="dxa"/>
            <w:tcBorders>
              <w:left w:val="nil"/>
            </w:tcBorders>
          </w:tcPr>
          <w:p w14:paraId="7C8C9A8E" w14:textId="7624EABD" w:rsidR="00253714" w:rsidRPr="004213BA" w:rsidRDefault="00253714" w:rsidP="00253714">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c>
          <w:tcPr>
            <w:tcW w:w="1440" w:type="dxa"/>
            <w:tcBorders>
              <w:right w:val="nil"/>
            </w:tcBorders>
          </w:tcPr>
          <w:p w14:paraId="39122795" w14:textId="65EF71FC" w:rsidR="00253714" w:rsidRPr="004213BA" w:rsidRDefault="00253714" w:rsidP="00253714">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1,704</w:t>
            </w:r>
          </w:p>
        </w:tc>
        <w:tc>
          <w:tcPr>
            <w:tcW w:w="1310" w:type="dxa"/>
            <w:tcBorders>
              <w:left w:val="nil"/>
            </w:tcBorders>
          </w:tcPr>
          <w:p w14:paraId="08854B7C" w14:textId="77777777" w:rsidR="00253714" w:rsidRPr="004213BA" w:rsidRDefault="00253714" w:rsidP="00253714">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c>
          <w:tcPr>
            <w:tcW w:w="1307" w:type="dxa"/>
            <w:tcBorders>
              <w:right w:val="nil"/>
            </w:tcBorders>
          </w:tcPr>
          <w:p w14:paraId="7CAD8B0A" w14:textId="586628D8" w:rsidR="00253714" w:rsidRPr="004213BA" w:rsidRDefault="00253714" w:rsidP="00253714">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1,704</w:t>
            </w:r>
          </w:p>
        </w:tc>
        <w:tc>
          <w:tcPr>
            <w:tcW w:w="1307" w:type="dxa"/>
            <w:tcBorders>
              <w:left w:val="nil"/>
            </w:tcBorders>
          </w:tcPr>
          <w:p w14:paraId="28BC0B46" w14:textId="77777777" w:rsidR="00253714" w:rsidRPr="004213BA" w:rsidRDefault="00253714" w:rsidP="00253714">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r>
      <w:tr w:rsidR="00BF6C0B" w:rsidRPr="004213BA" w14:paraId="5202FE8B" w14:textId="77777777" w:rsidTr="00F4751F">
        <w:tc>
          <w:tcPr>
            <w:tcW w:w="2614" w:type="dxa"/>
          </w:tcPr>
          <w:p w14:paraId="13233F11" w14:textId="738F71C6" w:rsidR="00BF6C0B" w:rsidRPr="004213BA" w:rsidRDefault="00BF6C0B" w:rsidP="00253714">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sz w:val="20"/>
                <w:szCs w:val="20"/>
                <w:lang w:val="en-US" w:eastAsia="zh-CN" w:bidi="hi-IN"/>
              </w:rPr>
              <w:t>F-test Significance</w:t>
            </w:r>
          </w:p>
        </w:tc>
        <w:tc>
          <w:tcPr>
            <w:tcW w:w="1436" w:type="dxa"/>
            <w:tcBorders>
              <w:right w:val="nil"/>
            </w:tcBorders>
          </w:tcPr>
          <w:p w14:paraId="4A37341C" w14:textId="26466970" w:rsidR="00BF6C0B" w:rsidRPr="004213BA" w:rsidRDefault="00BF6C0B" w:rsidP="00253714">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hAnsiTheme="majorHAnsi" w:cstheme="majorHAnsi"/>
                <w:color w:val="000000"/>
                <w:sz w:val="20"/>
                <w:szCs w:val="20"/>
                <w:lang w:val="en-US"/>
              </w:rPr>
              <w:t>***</w:t>
            </w:r>
          </w:p>
        </w:tc>
        <w:tc>
          <w:tcPr>
            <w:tcW w:w="1170" w:type="dxa"/>
            <w:tcBorders>
              <w:left w:val="nil"/>
            </w:tcBorders>
          </w:tcPr>
          <w:p w14:paraId="42D6F435" w14:textId="77777777" w:rsidR="00BF6C0B" w:rsidRPr="004213BA" w:rsidRDefault="00BF6C0B" w:rsidP="00253714">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c>
          <w:tcPr>
            <w:tcW w:w="1440" w:type="dxa"/>
            <w:tcBorders>
              <w:right w:val="nil"/>
            </w:tcBorders>
          </w:tcPr>
          <w:p w14:paraId="4B636D85" w14:textId="7647C62D" w:rsidR="00BF6C0B" w:rsidRPr="004213BA" w:rsidRDefault="00BF6C0B" w:rsidP="00253714">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hAnsiTheme="majorHAnsi" w:cstheme="majorHAnsi"/>
                <w:color w:val="000000"/>
                <w:sz w:val="20"/>
                <w:szCs w:val="20"/>
                <w:lang w:val="en-US"/>
              </w:rPr>
              <w:t>***</w:t>
            </w:r>
          </w:p>
        </w:tc>
        <w:tc>
          <w:tcPr>
            <w:tcW w:w="1310" w:type="dxa"/>
            <w:tcBorders>
              <w:left w:val="nil"/>
            </w:tcBorders>
          </w:tcPr>
          <w:p w14:paraId="406D601B" w14:textId="77777777" w:rsidR="00BF6C0B" w:rsidRPr="004213BA" w:rsidRDefault="00BF6C0B" w:rsidP="00253714">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c>
          <w:tcPr>
            <w:tcW w:w="1307" w:type="dxa"/>
            <w:tcBorders>
              <w:right w:val="nil"/>
            </w:tcBorders>
          </w:tcPr>
          <w:p w14:paraId="3F0CCF04" w14:textId="3A8A9A0B" w:rsidR="00BF6C0B" w:rsidRPr="004213BA" w:rsidRDefault="00BF6C0B" w:rsidP="00253714">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hAnsiTheme="majorHAnsi" w:cstheme="majorHAnsi"/>
                <w:color w:val="000000"/>
                <w:sz w:val="20"/>
                <w:szCs w:val="20"/>
                <w:lang w:val="en-US"/>
              </w:rPr>
              <w:t>***</w:t>
            </w:r>
          </w:p>
        </w:tc>
        <w:tc>
          <w:tcPr>
            <w:tcW w:w="1307" w:type="dxa"/>
            <w:tcBorders>
              <w:left w:val="nil"/>
            </w:tcBorders>
          </w:tcPr>
          <w:p w14:paraId="696E92CF" w14:textId="77777777" w:rsidR="00BF6C0B" w:rsidRPr="004213BA" w:rsidRDefault="00BF6C0B" w:rsidP="00253714">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r>
      <w:tr w:rsidR="00BF6C0B" w:rsidRPr="004213BA" w14:paraId="25E4C3B3" w14:textId="77777777" w:rsidTr="00F4751F">
        <w:tc>
          <w:tcPr>
            <w:tcW w:w="2614" w:type="dxa"/>
          </w:tcPr>
          <w:p w14:paraId="07B80419" w14:textId="7746606B" w:rsidR="00BF6C0B" w:rsidRPr="004213BA" w:rsidRDefault="00BF6C0B" w:rsidP="00253714">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sz w:val="20"/>
                <w:szCs w:val="20"/>
                <w:lang w:val="en-US" w:eastAsia="zh-CN" w:bidi="hi-IN"/>
              </w:rPr>
              <w:t>R-squared</w:t>
            </w:r>
          </w:p>
        </w:tc>
        <w:tc>
          <w:tcPr>
            <w:tcW w:w="1436" w:type="dxa"/>
            <w:tcBorders>
              <w:right w:val="nil"/>
            </w:tcBorders>
          </w:tcPr>
          <w:p w14:paraId="3981F9BD" w14:textId="566A6C03" w:rsidR="00BF6C0B" w:rsidRPr="004213BA" w:rsidRDefault="00BF6C0B" w:rsidP="00253714">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hAnsiTheme="majorHAnsi" w:cstheme="majorHAnsi"/>
                <w:color w:val="000000"/>
                <w:sz w:val="20"/>
                <w:szCs w:val="20"/>
                <w:lang w:val="en-US"/>
              </w:rPr>
              <w:t>0.0064</w:t>
            </w:r>
          </w:p>
        </w:tc>
        <w:tc>
          <w:tcPr>
            <w:tcW w:w="1170" w:type="dxa"/>
            <w:tcBorders>
              <w:left w:val="nil"/>
            </w:tcBorders>
          </w:tcPr>
          <w:p w14:paraId="4A56AC83" w14:textId="77777777" w:rsidR="00BF6C0B" w:rsidRPr="004213BA" w:rsidRDefault="00BF6C0B" w:rsidP="00253714">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c>
          <w:tcPr>
            <w:tcW w:w="1440" w:type="dxa"/>
            <w:tcBorders>
              <w:right w:val="nil"/>
            </w:tcBorders>
          </w:tcPr>
          <w:p w14:paraId="7A250A28" w14:textId="19FD06EE" w:rsidR="00BF6C0B" w:rsidRPr="004213BA" w:rsidRDefault="00BF6C0B" w:rsidP="00253714">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hAnsiTheme="majorHAnsi" w:cstheme="majorHAnsi"/>
                <w:color w:val="000000"/>
                <w:sz w:val="20"/>
                <w:szCs w:val="20"/>
                <w:lang w:val="en-US"/>
              </w:rPr>
              <w:t>0.0087</w:t>
            </w:r>
          </w:p>
        </w:tc>
        <w:tc>
          <w:tcPr>
            <w:tcW w:w="1310" w:type="dxa"/>
            <w:tcBorders>
              <w:left w:val="nil"/>
            </w:tcBorders>
          </w:tcPr>
          <w:p w14:paraId="7A03A84C" w14:textId="77777777" w:rsidR="00BF6C0B" w:rsidRPr="004213BA" w:rsidRDefault="00BF6C0B" w:rsidP="00253714">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c>
          <w:tcPr>
            <w:tcW w:w="1307" w:type="dxa"/>
            <w:tcBorders>
              <w:right w:val="nil"/>
            </w:tcBorders>
          </w:tcPr>
          <w:p w14:paraId="795C70E7" w14:textId="27858D34" w:rsidR="00BF6C0B" w:rsidRPr="004213BA" w:rsidRDefault="00BF6C0B" w:rsidP="00253714">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hAnsiTheme="majorHAnsi" w:cstheme="majorHAnsi"/>
                <w:color w:val="000000"/>
                <w:sz w:val="20"/>
                <w:szCs w:val="20"/>
                <w:lang w:val="en-US"/>
              </w:rPr>
              <w:t>0.007</w:t>
            </w:r>
          </w:p>
        </w:tc>
        <w:tc>
          <w:tcPr>
            <w:tcW w:w="1307" w:type="dxa"/>
            <w:tcBorders>
              <w:left w:val="nil"/>
            </w:tcBorders>
          </w:tcPr>
          <w:p w14:paraId="6A645383" w14:textId="77777777" w:rsidR="00BF6C0B" w:rsidRPr="004213BA" w:rsidRDefault="00BF6C0B" w:rsidP="00253714">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r>
    </w:tbl>
    <w:p w14:paraId="001D330F"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sz w:val="20"/>
          <w:szCs w:val="20"/>
          <w:lang w:val="en-US" w:eastAsia="zh-CN" w:bidi="hi-IN"/>
        </w:rPr>
        <w:t>*, **, *** indicates significance at the 10%, 5%, and 1% level, respectively.</w:t>
      </w:r>
    </w:p>
    <w:p w14:paraId="7910EEE4" w14:textId="4AF29CEA" w:rsidR="008D0CAD" w:rsidRPr="005424E3" w:rsidRDefault="008D0CAD" w:rsidP="00796BFA">
      <w:pPr>
        <w:spacing w:before="100" w:beforeAutospacing="1" w:after="100" w:afterAutospacing="1" w:line="360" w:lineRule="auto"/>
        <w:rPr>
          <w:rFonts w:asciiTheme="majorHAnsi" w:hAnsiTheme="majorHAnsi" w:cstheme="majorHAnsi"/>
          <w:bCs/>
          <w:i/>
          <w:color w:val="44546A" w:themeColor="text2"/>
          <w:sz w:val="22"/>
          <w:szCs w:val="22"/>
          <w:lang w:val="en-US"/>
        </w:rPr>
      </w:pPr>
      <w:bookmarkStart w:id="430" w:name="_Toc15638045"/>
      <w:bookmarkStart w:id="431" w:name="_Toc71616643"/>
      <w:r w:rsidRPr="005424E3">
        <w:rPr>
          <w:rFonts w:asciiTheme="majorHAnsi" w:hAnsiTheme="majorHAnsi" w:cstheme="majorHAnsi"/>
          <w:bCs/>
          <w:i/>
          <w:color w:val="44546A" w:themeColor="text2"/>
          <w:sz w:val="22"/>
          <w:szCs w:val="22"/>
          <w:lang w:val="en-US"/>
        </w:rPr>
        <w:t xml:space="preserve">Table </w:t>
      </w:r>
      <w:r w:rsidRPr="005424E3">
        <w:rPr>
          <w:rFonts w:asciiTheme="majorHAnsi" w:hAnsiTheme="majorHAnsi" w:cstheme="majorHAnsi"/>
          <w:bCs/>
          <w:i/>
          <w:color w:val="44546A" w:themeColor="text2"/>
          <w:sz w:val="22"/>
          <w:szCs w:val="22"/>
          <w:lang w:val="en-US"/>
        </w:rPr>
        <w:fldChar w:fldCharType="begin"/>
      </w:r>
      <w:r w:rsidRPr="005424E3">
        <w:rPr>
          <w:rFonts w:asciiTheme="majorHAnsi" w:hAnsiTheme="majorHAnsi" w:cstheme="majorHAnsi"/>
          <w:bCs/>
          <w:i/>
          <w:color w:val="44546A" w:themeColor="text2"/>
          <w:sz w:val="22"/>
          <w:szCs w:val="22"/>
          <w:lang w:val="en-US"/>
        </w:rPr>
        <w:instrText xml:space="preserve"> SEQ Table \* ARABIC </w:instrText>
      </w:r>
      <w:r w:rsidRPr="005424E3">
        <w:rPr>
          <w:rFonts w:asciiTheme="majorHAnsi" w:hAnsiTheme="majorHAnsi" w:cstheme="majorHAnsi"/>
          <w:bCs/>
          <w:i/>
          <w:color w:val="44546A" w:themeColor="text2"/>
          <w:sz w:val="22"/>
          <w:szCs w:val="22"/>
          <w:lang w:val="en-US"/>
        </w:rPr>
        <w:fldChar w:fldCharType="separate"/>
      </w:r>
      <w:r w:rsidR="00D6133D">
        <w:rPr>
          <w:rFonts w:asciiTheme="majorHAnsi" w:hAnsiTheme="majorHAnsi" w:cstheme="majorHAnsi"/>
          <w:bCs/>
          <w:i/>
          <w:noProof/>
          <w:color w:val="44546A" w:themeColor="text2"/>
          <w:sz w:val="22"/>
          <w:szCs w:val="22"/>
          <w:lang w:val="en-US"/>
        </w:rPr>
        <w:t>52</w:t>
      </w:r>
      <w:r w:rsidRPr="005424E3">
        <w:rPr>
          <w:rFonts w:asciiTheme="majorHAnsi" w:hAnsiTheme="majorHAnsi" w:cstheme="majorHAnsi"/>
          <w:bCs/>
          <w:i/>
          <w:color w:val="44546A" w:themeColor="text2"/>
          <w:sz w:val="22"/>
          <w:szCs w:val="22"/>
          <w:lang w:val="en-US"/>
        </w:rPr>
        <w:fldChar w:fldCharType="end"/>
      </w:r>
      <w:r w:rsidRPr="005424E3">
        <w:rPr>
          <w:rFonts w:asciiTheme="majorHAnsi" w:hAnsiTheme="majorHAnsi" w:cstheme="majorHAnsi"/>
          <w:bCs/>
          <w:i/>
          <w:color w:val="44546A" w:themeColor="text2"/>
          <w:sz w:val="22"/>
          <w:szCs w:val="22"/>
          <w:lang w:val="en-US"/>
        </w:rPr>
        <w:t>. Regression Results for Region VII Students</w:t>
      </w:r>
      <w:bookmarkEnd w:id="430"/>
      <w:bookmarkEnd w:id="431"/>
    </w:p>
    <w:tbl>
      <w:tblPr>
        <w:tblStyle w:val="TableGrid18"/>
        <w:tblW w:w="10584" w:type="dxa"/>
        <w:tblLook w:val="04A0" w:firstRow="1" w:lastRow="0" w:firstColumn="1" w:lastColumn="0" w:noHBand="0" w:noVBand="1"/>
      </w:tblPr>
      <w:tblGrid>
        <w:gridCol w:w="2614"/>
        <w:gridCol w:w="1436"/>
        <w:gridCol w:w="1170"/>
        <w:gridCol w:w="1440"/>
        <w:gridCol w:w="1310"/>
        <w:gridCol w:w="1307"/>
        <w:gridCol w:w="1307"/>
      </w:tblGrid>
      <w:tr w:rsidR="00B15E9B" w:rsidRPr="004213BA" w14:paraId="1DAF9195" w14:textId="77777777" w:rsidTr="00F4751F">
        <w:trPr>
          <w:tblHeader/>
        </w:trPr>
        <w:tc>
          <w:tcPr>
            <w:tcW w:w="2614" w:type="dxa"/>
          </w:tcPr>
          <w:p w14:paraId="56EB9414" w14:textId="77777777" w:rsidR="00B15E9B" w:rsidRPr="004213BA" w:rsidRDefault="00B15E9B" w:rsidP="005805AC">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c>
          <w:tcPr>
            <w:tcW w:w="1436" w:type="dxa"/>
            <w:tcBorders>
              <w:right w:val="nil"/>
            </w:tcBorders>
          </w:tcPr>
          <w:p w14:paraId="269C9DEE" w14:textId="43C882FF" w:rsidR="00B15E9B" w:rsidRPr="004B064D" w:rsidRDefault="00B15E9B" w:rsidP="005805AC">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r w:rsidRPr="004B064D">
              <w:rPr>
                <w:rFonts w:asciiTheme="majorHAnsi" w:eastAsiaTheme="minorEastAsia" w:hAnsiTheme="majorHAnsi" w:cstheme="majorHAnsi"/>
                <w:b/>
                <w:bCs/>
                <w:sz w:val="20"/>
                <w:szCs w:val="20"/>
                <w:lang w:val="en-US" w:eastAsia="zh-CN" w:bidi="hi-IN"/>
              </w:rPr>
              <w:t>Grade 4</w:t>
            </w:r>
          </w:p>
        </w:tc>
        <w:tc>
          <w:tcPr>
            <w:tcW w:w="1170" w:type="dxa"/>
            <w:tcBorders>
              <w:left w:val="nil"/>
            </w:tcBorders>
          </w:tcPr>
          <w:p w14:paraId="6163850E" w14:textId="7694E8A5" w:rsidR="00B15E9B" w:rsidRPr="004B064D" w:rsidRDefault="00B15E9B" w:rsidP="005805AC">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p>
        </w:tc>
        <w:tc>
          <w:tcPr>
            <w:tcW w:w="1440" w:type="dxa"/>
            <w:tcBorders>
              <w:right w:val="nil"/>
            </w:tcBorders>
          </w:tcPr>
          <w:p w14:paraId="41F462DF" w14:textId="1FFE38B4" w:rsidR="00B15E9B" w:rsidRPr="004B064D" w:rsidRDefault="00B15E9B" w:rsidP="005805AC">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r w:rsidRPr="000A4732">
              <w:rPr>
                <w:rFonts w:asciiTheme="majorHAnsi" w:eastAsiaTheme="minorEastAsia" w:hAnsiTheme="majorHAnsi" w:cstheme="majorHAnsi"/>
                <w:b/>
                <w:bCs/>
                <w:sz w:val="20"/>
                <w:szCs w:val="20"/>
                <w:lang w:val="en-US" w:eastAsia="zh-CN" w:bidi="hi-IN"/>
              </w:rPr>
              <w:t>Grade 5</w:t>
            </w:r>
          </w:p>
        </w:tc>
        <w:tc>
          <w:tcPr>
            <w:tcW w:w="1310" w:type="dxa"/>
            <w:tcBorders>
              <w:left w:val="nil"/>
            </w:tcBorders>
          </w:tcPr>
          <w:p w14:paraId="5781D75B" w14:textId="1813975E" w:rsidR="00B15E9B" w:rsidRPr="004B064D" w:rsidRDefault="00B15E9B" w:rsidP="005805AC">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p>
        </w:tc>
        <w:tc>
          <w:tcPr>
            <w:tcW w:w="1307" w:type="dxa"/>
            <w:tcBorders>
              <w:right w:val="nil"/>
            </w:tcBorders>
          </w:tcPr>
          <w:p w14:paraId="2B2FAFCD" w14:textId="379A56F0" w:rsidR="00B15E9B" w:rsidRPr="004B064D" w:rsidRDefault="00B15E9B" w:rsidP="005805AC">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r w:rsidRPr="004B064D">
              <w:rPr>
                <w:rFonts w:asciiTheme="majorHAnsi" w:eastAsiaTheme="minorEastAsia" w:hAnsiTheme="majorHAnsi" w:cstheme="majorHAnsi"/>
                <w:b/>
                <w:bCs/>
                <w:sz w:val="20"/>
                <w:szCs w:val="20"/>
                <w:lang w:val="en-US" w:eastAsia="zh-CN" w:bidi="hi-IN"/>
              </w:rPr>
              <w:t>Grade 6</w:t>
            </w:r>
          </w:p>
        </w:tc>
        <w:tc>
          <w:tcPr>
            <w:tcW w:w="1307" w:type="dxa"/>
            <w:tcBorders>
              <w:left w:val="nil"/>
            </w:tcBorders>
          </w:tcPr>
          <w:p w14:paraId="5F781AF8" w14:textId="7B0BC157" w:rsidR="00B15E9B" w:rsidRPr="004B064D" w:rsidRDefault="00B15E9B" w:rsidP="005805AC">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p>
        </w:tc>
      </w:tr>
      <w:tr w:rsidR="008D0CAD" w:rsidRPr="004213BA" w14:paraId="680693F7" w14:textId="77777777" w:rsidTr="00F4751F">
        <w:trPr>
          <w:tblHeader/>
        </w:trPr>
        <w:tc>
          <w:tcPr>
            <w:tcW w:w="2614" w:type="dxa"/>
          </w:tcPr>
          <w:p w14:paraId="2A702CE4"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c>
          <w:tcPr>
            <w:tcW w:w="1436" w:type="dxa"/>
          </w:tcPr>
          <w:p w14:paraId="2C76E6F8" w14:textId="77777777" w:rsidR="008D0CAD" w:rsidRPr="004B064D" w:rsidRDefault="008D0CAD" w:rsidP="00796BFA">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r w:rsidRPr="004B064D">
              <w:rPr>
                <w:rFonts w:asciiTheme="majorHAnsi" w:eastAsiaTheme="minorEastAsia" w:hAnsiTheme="majorHAnsi" w:cstheme="majorHAnsi"/>
                <w:b/>
                <w:bCs/>
                <w:sz w:val="20"/>
                <w:szCs w:val="20"/>
                <w:lang w:val="en-US" w:eastAsia="zh-CN" w:bidi="hi-IN"/>
              </w:rPr>
              <w:t>Coefficient</w:t>
            </w:r>
          </w:p>
        </w:tc>
        <w:tc>
          <w:tcPr>
            <w:tcW w:w="1170" w:type="dxa"/>
          </w:tcPr>
          <w:p w14:paraId="68877E26" w14:textId="77777777" w:rsidR="008D0CAD" w:rsidRPr="004B064D" w:rsidRDefault="008D0CAD" w:rsidP="00796BFA">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r w:rsidRPr="004B064D">
              <w:rPr>
                <w:rFonts w:asciiTheme="majorHAnsi" w:eastAsiaTheme="minorEastAsia" w:hAnsiTheme="majorHAnsi" w:cstheme="majorHAnsi"/>
                <w:b/>
                <w:bCs/>
                <w:sz w:val="20"/>
                <w:szCs w:val="20"/>
                <w:lang w:val="en-US" w:eastAsia="zh-CN" w:bidi="hi-IN"/>
              </w:rPr>
              <w:t>Standard Error</w:t>
            </w:r>
          </w:p>
        </w:tc>
        <w:tc>
          <w:tcPr>
            <w:tcW w:w="1440" w:type="dxa"/>
          </w:tcPr>
          <w:p w14:paraId="30FF71A4" w14:textId="77777777" w:rsidR="008D0CAD" w:rsidRPr="000A4732" w:rsidRDefault="008D0CAD" w:rsidP="00796BFA">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r w:rsidRPr="004B064D">
              <w:rPr>
                <w:rFonts w:asciiTheme="majorHAnsi" w:eastAsiaTheme="minorEastAsia" w:hAnsiTheme="majorHAnsi" w:cstheme="majorHAnsi"/>
                <w:b/>
                <w:bCs/>
                <w:sz w:val="20"/>
                <w:szCs w:val="20"/>
                <w:lang w:val="en-US" w:eastAsia="zh-CN" w:bidi="hi-IN"/>
              </w:rPr>
              <w:t>Coefficient</w:t>
            </w:r>
          </w:p>
        </w:tc>
        <w:tc>
          <w:tcPr>
            <w:tcW w:w="1310" w:type="dxa"/>
          </w:tcPr>
          <w:p w14:paraId="52B76164" w14:textId="77777777" w:rsidR="008D0CAD" w:rsidRPr="000A4732" w:rsidRDefault="008D0CAD" w:rsidP="00796BFA">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r w:rsidRPr="004B064D">
              <w:rPr>
                <w:rFonts w:asciiTheme="majorHAnsi" w:eastAsiaTheme="minorEastAsia" w:hAnsiTheme="majorHAnsi" w:cstheme="majorHAnsi"/>
                <w:b/>
                <w:bCs/>
                <w:sz w:val="20"/>
                <w:szCs w:val="20"/>
                <w:lang w:val="en-US" w:eastAsia="zh-CN" w:bidi="hi-IN"/>
              </w:rPr>
              <w:t>Standard Error</w:t>
            </w:r>
          </w:p>
        </w:tc>
        <w:tc>
          <w:tcPr>
            <w:tcW w:w="1307" w:type="dxa"/>
          </w:tcPr>
          <w:p w14:paraId="602017BC" w14:textId="77777777" w:rsidR="008D0CAD" w:rsidRPr="000A4732" w:rsidRDefault="008D0CAD" w:rsidP="00796BFA">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r w:rsidRPr="004B064D">
              <w:rPr>
                <w:rFonts w:asciiTheme="majorHAnsi" w:eastAsiaTheme="minorEastAsia" w:hAnsiTheme="majorHAnsi" w:cstheme="majorHAnsi"/>
                <w:b/>
                <w:bCs/>
                <w:sz w:val="20"/>
                <w:szCs w:val="20"/>
                <w:lang w:val="en-US" w:eastAsia="zh-CN" w:bidi="hi-IN"/>
              </w:rPr>
              <w:t>Coefficient</w:t>
            </w:r>
          </w:p>
        </w:tc>
        <w:tc>
          <w:tcPr>
            <w:tcW w:w="1307" w:type="dxa"/>
          </w:tcPr>
          <w:p w14:paraId="4A3B8267" w14:textId="77777777" w:rsidR="008D0CAD" w:rsidRPr="000A4732" w:rsidRDefault="008D0CAD" w:rsidP="00796BFA">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r w:rsidRPr="004B064D">
              <w:rPr>
                <w:rFonts w:asciiTheme="majorHAnsi" w:eastAsiaTheme="minorEastAsia" w:hAnsiTheme="majorHAnsi" w:cstheme="majorHAnsi"/>
                <w:b/>
                <w:bCs/>
                <w:sz w:val="20"/>
                <w:szCs w:val="20"/>
                <w:lang w:val="en-US" w:eastAsia="zh-CN" w:bidi="hi-IN"/>
              </w:rPr>
              <w:t>Standard Error</w:t>
            </w:r>
          </w:p>
        </w:tc>
      </w:tr>
      <w:tr w:rsidR="008D0CAD" w:rsidRPr="004213BA" w14:paraId="31C12DD9" w14:textId="77777777" w:rsidTr="0048024E">
        <w:tc>
          <w:tcPr>
            <w:tcW w:w="2614" w:type="dxa"/>
          </w:tcPr>
          <w:p w14:paraId="5F674FCF"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best</w:t>
            </w:r>
          </w:p>
        </w:tc>
        <w:tc>
          <w:tcPr>
            <w:tcW w:w="1436" w:type="dxa"/>
          </w:tcPr>
          <w:p w14:paraId="196D9351"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-0.3750</w:t>
            </w:r>
          </w:p>
        </w:tc>
        <w:tc>
          <w:tcPr>
            <w:tcW w:w="1170" w:type="dxa"/>
          </w:tcPr>
          <w:p w14:paraId="1BB9391C"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0.3578</w:t>
            </w:r>
          </w:p>
        </w:tc>
        <w:tc>
          <w:tcPr>
            <w:tcW w:w="1440" w:type="dxa"/>
          </w:tcPr>
          <w:p w14:paraId="2BD0A0DE"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-0.4089</w:t>
            </w:r>
          </w:p>
        </w:tc>
        <w:tc>
          <w:tcPr>
            <w:tcW w:w="1310" w:type="dxa"/>
          </w:tcPr>
          <w:p w14:paraId="7DB8393D"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0.4012</w:t>
            </w:r>
          </w:p>
        </w:tc>
        <w:tc>
          <w:tcPr>
            <w:tcW w:w="1307" w:type="dxa"/>
          </w:tcPr>
          <w:p w14:paraId="1F78DC23"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-0.0058</w:t>
            </w:r>
          </w:p>
        </w:tc>
        <w:tc>
          <w:tcPr>
            <w:tcW w:w="1307" w:type="dxa"/>
          </w:tcPr>
          <w:p w14:paraId="7AA1F1AB"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0.3095</w:t>
            </w:r>
          </w:p>
        </w:tc>
      </w:tr>
      <w:tr w:rsidR="008D0CAD" w:rsidRPr="004213BA" w14:paraId="503817A0" w14:textId="77777777" w:rsidTr="0048024E">
        <w:tc>
          <w:tcPr>
            <w:tcW w:w="2614" w:type="dxa"/>
          </w:tcPr>
          <w:p w14:paraId="5B08BA11"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ES Size: Large</w:t>
            </w:r>
          </w:p>
        </w:tc>
        <w:tc>
          <w:tcPr>
            <w:tcW w:w="1436" w:type="dxa"/>
          </w:tcPr>
          <w:p w14:paraId="78D70F04"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-0.7790*</w:t>
            </w:r>
          </w:p>
        </w:tc>
        <w:tc>
          <w:tcPr>
            <w:tcW w:w="1170" w:type="dxa"/>
          </w:tcPr>
          <w:p w14:paraId="6D67FB6B"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0.4631</w:t>
            </w:r>
          </w:p>
        </w:tc>
        <w:tc>
          <w:tcPr>
            <w:tcW w:w="1440" w:type="dxa"/>
          </w:tcPr>
          <w:p w14:paraId="49253886"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-0.5165</w:t>
            </w:r>
          </w:p>
        </w:tc>
        <w:tc>
          <w:tcPr>
            <w:tcW w:w="1310" w:type="dxa"/>
          </w:tcPr>
          <w:p w14:paraId="33F641E0"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0.4486</w:t>
            </w:r>
          </w:p>
        </w:tc>
        <w:tc>
          <w:tcPr>
            <w:tcW w:w="1307" w:type="dxa"/>
          </w:tcPr>
          <w:p w14:paraId="0949F603"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-0.3440</w:t>
            </w:r>
          </w:p>
        </w:tc>
        <w:tc>
          <w:tcPr>
            <w:tcW w:w="1307" w:type="dxa"/>
          </w:tcPr>
          <w:p w14:paraId="756F7713"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0.3821</w:t>
            </w:r>
          </w:p>
        </w:tc>
      </w:tr>
      <w:tr w:rsidR="008D0CAD" w:rsidRPr="004213BA" w14:paraId="0A77931F" w14:textId="77777777" w:rsidTr="0048024E">
        <w:tc>
          <w:tcPr>
            <w:tcW w:w="2614" w:type="dxa"/>
          </w:tcPr>
          <w:p w14:paraId="12EF3B8E"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ES Size: Medium</w:t>
            </w:r>
          </w:p>
        </w:tc>
        <w:tc>
          <w:tcPr>
            <w:tcW w:w="1436" w:type="dxa"/>
          </w:tcPr>
          <w:p w14:paraId="7ECC75AC"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-0.8219***</w:t>
            </w:r>
          </w:p>
        </w:tc>
        <w:tc>
          <w:tcPr>
            <w:tcW w:w="1170" w:type="dxa"/>
          </w:tcPr>
          <w:p w14:paraId="04CB4571"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0.1841</w:t>
            </w:r>
          </w:p>
        </w:tc>
        <w:tc>
          <w:tcPr>
            <w:tcW w:w="1440" w:type="dxa"/>
          </w:tcPr>
          <w:p w14:paraId="0533C091"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-0.8488***</w:t>
            </w:r>
          </w:p>
        </w:tc>
        <w:tc>
          <w:tcPr>
            <w:tcW w:w="1310" w:type="dxa"/>
          </w:tcPr>
          <w:p w14:paraId="2D6F3D37"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0.1692</w:t>
            </w:r>
          </w:p>
        </w:tc>
        <w:tc>
          <w:tcPr>
            <w:tcW w:w="1307" w:type="dxa"/>
          </w:tcPr>
          <w:p w14:paraId="1F8C25D9"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-0.8396</w:t>
            </w:r>
          </w:p>
        </w:tc>
        <w:tc>
          <w:tcPr>
            <w:tcW w:w="1307" w:type="dxa"/>
          </w:tcPr>
          <w:p w14:paraId="5E94B884"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0.1751</w:t>
            </w:r>
          </w:p>
        </w:tc>
      </w:tr>
      <w:tr w:rsidR="008D0CAD" w:rsidRPr="004213BA" w14:paraId="692C0CC2" w14:textId="77777777" w:rsidTr="0048024E">
        <w:tc>
          <w:tcPr>
            <w:tcW w:w="2614" w:type="dxa"/>
          </w:tcPr>
          <w:p w14:paraId="2853C6B5"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ES Size: Very Large</w:t>
            </w:r>
          </w:p>
        </w:tc>
        <w:tc>
          <w:tcPr>
            <w:tcW w:w="1436" w:type="dxa"/>
          </w:tcPr>
          <w:p w14:paraId="30FADB4E"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-1.7755***</w:t>
            </w:r>
          </w:p>
        </w:tc>
        <w:tc>
          <w:tcPr>
            <w:tcW w:w="1170" w:type="dxa"/>
          </w:tcPr>
          <w:p w14:paraId="22BC191A"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0.3224</w:t>
            </w:r>
          </w:p>
        </w:tc>
        <w:tc>
          <w:tcPr>
            <w:tcW w:w="1440" w:type="dxa"/>
          </w:tcPr>
          <w:p w14:paraId="251BC527"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-1.6221***</w:t>
            </w:r>
          </w:p>
        </w:tc>
        <w:tc>
          <w:tcPr>
            <w:tcW w:w="1310" w:type="dxa"/>
          </w:tcPr>
          <w:p w14:paraId="35672051"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0.4049</w:t>
            </w:r>
          </w:p>
        </w:tc>
        <w:tc>
          <w:tcPr>
            <w:tcW w:w="1307" w:type="dxa"/>
          </w:tcPr>
          <w:p w14:paraId="504F9147"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-0.7216*</w:t>
            </w:r>
          </w:p>
        </w:tc>
        <w:tc>
          <w:tcPr>
            <w:tcW w:w="1307" w:type="dxa"/>
          </w:tcPr>
          <w:p w14:paraId="17852012"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0.4244</w:t>
            </w:r>
          </w:p>
        </w:tc>
      </w:tr>
      <w:tr w:rsidR="008D0CAD" w:rsidRPr="004213BA" w14:paraId="5BDAB6BE" w14:textId="77777777" w:rsidTr="0048024E">
        <w:tc>
          <w:tcPr>
            <w:tcW w:w="2614" w:type="dxa"/>
          </w:tcPr>
          <w:p w14:paraId="59F24D7C"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Partially Urban</w:t>
            </w:r>
          </w:p>
        </w:tc>
        <w:tc>
          <w:tcPr>
            <w:tcW w:w="1436" w:type="dxa"/>
          </w:tcPr>
          <w:p w14:paraId="3F93742D"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0.0728</w:t>
            </w:r>
          </w:p>
        </w:tc>
        <w:tc>
          <w:tcPr>
            <w:tcW w:w="1170" w:type="dxa"/>
          </w:tcPr>
          <w:p w14:paraId="16DCABEE"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0.2465</w:t>
            </w:r>
          </w:p>
        </w:tc>
        <w:tc>
          <w:tcPr>
            <w:tcW w:w="1440" w:type="dxa"/>
          </w:tcPr>
          <w:p w14:paraId="2ABC8B2D"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-0.1795</w:t>
            </w:r>
          </w:p>
        </w:tc>
        <w:tc>
          <w:tcPr>
            <w:tcW w:w="1310" w:type="dxa"/>
          </w:tcPr>
          <w:p w14:paraId="1E33FC4A"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0.2498</w:t>
            </w:r>
          </w:p>
        </w:tc>
        <w:tc>
          <w:tcPr>
            <w:tcW w:w="1307" w:type="dxa"/>
          </w:tcPr>
          <w:p w14:paraId="4B626C89"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0.3003</w:t>
            </w:r>
          </w:p>
        </w:tc>
        <w:tc>
          <w:tcPr>
            <w:tcW w:w="1307" w:type="dxa"/>
          </w:tcPr>
          <w:p w14:paraId="19EAB2D1"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0.2400</w:t>
            </w:r>
          </w:p>
        </w:tc>
      </w:tr>
      <w:tr w:rsidR="008D0CAD" w:rsidRPr="004213BA" w14:paraId="2984E273" w14:textId="77777777" w:rsidTr="0048024E">
        <w:tc>
          <w:tcPr>
            <w:tcW w:w="2614" w:type="dxa"/>
          </w:tcPr>
          <w:p w14:paraId="70A1876A"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Urban</w:t>
            </w:r>
          </w:p>
        </w:tc>
        <w:tc>
          <w:tcPr>
            <w:tcW w:w="1436" w:type="dxa"/>
          </w:tcPr>
          <w:p w14:paraId="7FD4D907"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-0.4223</w:t>
            </w:r>
          </w:p>
        </w:tc>
        <w:tc>
          <w:tcPr>
            <w:tcW w:w="1170" w:type="dxa"/>
          </w:tcPr>
          <w:p w14:paraId="2396D48F"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0.3591</w:t>
            </w:r>
          </w:p>
        </w:tc>
        <w:tc>
          <w:tcPr>
            <w:tcW w:w="1440" w:type="dxa"/>
          </w:tcPr>
          <w:p w14:paraId="6C6544E4"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-0.5656*</w:t>
            </w:r>
          </w:p>
        </w:tc>
        <w:tc>
          <w:tcPr>
            <w:tcW w:w="1310" w:type="dxa"/>
          </w:tcPr>
          <w:p w14:paraId="0410E1F5"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0.3388</w:t>
            </w:r>
          </w:p>
        </w:tc>
        <w:tc>
          <w:tcPr>
            <w:tcW w:w="1307" w:type="dxa"/>
          </w:tcPr>
          <w:p w14:paraId="16B922B0"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0.1856</w:t>
            </w:r>
          </w:p>
        </w:tc>
        <w:tc>
          <w:tcPr>
            <w:tcW w:w="1307" w:type="dxa"/>
          </w:tcPr>
          <w:p w14:paraId="577473A2"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0.3407</w:t>
            </w:r>
          </w:p>
        </w:tc>
      </w:tr>
      <w:tr w:rsidR="008D0CAD" w:rsidRPr="004213BA" w14:paraId="003FFD0C" w14:textId="77777777" w:rsidTr="00B7466E">
        <w:tc>
          <w:tcPr>
            <w:tcW w:w="2614" w:type="dxa"/>
          </w:tcPr>
          <w:p w14:paraId="69F00C06"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sz w:val="20"/>
                <w:szCs w:val="20"/>
                <w:lang w:val="en-US" w:eastAsia="zh-CN" w:bidi="hi-IN"/>
              </w:rPr>
              <w:t>constant</w:t>
            </w:r>
          </w:p>
        </w:tc>
        <w:tc>
          <w:tcPr>
            <w:tcW w:w="1436" w:type="dxa"/>
            <w:tcBorders>
              <w:bottom w:val="single" w:sz="4" w:space="0" w:color="auto"/>
            </w:tcBorders>
          </w:tcPr>
          <w:p w14:paraId="390A2F80"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4.8359</w:t>
            </w:r>
          </w:p>
        </w:tc>
        <w:tc>
          <w:tcPr>
            <w:tcW w:w="1170" w:type="dxa"/>
          </w:tcPr>
          <w:p w14:paraId="56CD1BDD"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0.2365</w:t>
            </w:r>
          </w:p>
        </w:tc>
        <w:tc>
          <w:tcPr>
            <w:tcW w:w="1440" w:type="dxa"/>
            <w:tcBorders>
              <w:bottom w:val="single" w:sz="4" w:space="0" w:color="auto"/>
            </w:tcBorders>
          </w:tcPr>
          <w:p w14:paraId="15B2C960"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4.8326</w:t>
            </w:r>
          </w:p>
        </w:tc>
        <w:tc>
          <w:tcPr>
            <w:tcW w:w="1310" w:type="dxa"/>
          </w:tcPr>
          <w:p w14:paraId="06E4246C"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0.2415</w:t>
            </w:r>
          </w:p>
        </w:tc>
        <w:tc>
          <w:tcPr>
            <w:tcW w:w="1307" w:type="dxa"/>
            <w:tcBorders>
              <w:bottom w:val="single" w:sz="4" w:space="0" w:color="auto"/>
            </w:tcBorders>
          </w:tcPr>
          <w:p w14:paraId="7955EDB7"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3.4534</w:t>
            </w:r>
          </w:p>
        </w:tc>
        <w:tc>
          <w:tcPr>
            <w:tcW w:w="1307" w:type="dxa"/>
          </w:tcPr>
          <w:p w14:paraId="708D854E"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0.2290</w:t>
            </w:r>
          </w:p>
        </w:tc>
      </w:tr>
      <w:tr w:rsidR="00B7466E" w:rsidRPr="004213BA" w14:paraId="31B75E3C" w14:textId="77777777" w:rsidTr="00B7466E">
        <w:tc>
          <w:tcPr>
            <w:tcW w:w="2614" w:type="dxa"/>
          </w:tcPr>
          <w:p w14:paraId="079EEE36" w14:textId="3B20CA9A" w:rsidR="00B7466E" w:rsidRPr="004213BA" w:rsidRDefault="00B7466E" w:rsidP="00B7466E">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sz w:val="20"/>
                <w:szCs w:val="20"/>
                <w:lang w:val="en-US" w:eastAsia="zh-CN" w:bidi="hi-IN"/>
              </w:rPr>
              <w:t>No. of observations</w:t>
            </w:r>
          </w:p>
        </w:tc>
        <w:tc>
          <w:tcPr>
            <w:tcW w:w="1436" w:type="dxa"/>
            <w:tcBorders>
              <w:right w:val="nil"/>
            </w:tcBorders>
          </w:tcPr>
          <w:p w14:paraId="77254A4E" w14:textId="1D25BBAC" w:rsidR="00B7466E" w:rsidRPr="004213BA" w:rsidRDefault="00B7466E" w:rsidP="00B7466E">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1,704</w:t>
            </w:r>
          </w:p>
        </w:tc>
        <w:tc>
          <w:tcPr>
            <w:tcW w:w="1170" w:type="dxa"/>
            <w:tcBorders>
              <w:left w:val="nil"/>
            </w:tcBorders>
          </w:tcPr>
          <w:p w14:paraId="6CA0977B" w14:textId="77777777" w:rsidR="00B7466E" w:rsidRPr="004213BA" w:rsidRDefault="00B7466E" w:rsidP="00B7466E">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c>
          <w:tcPr>
            <w:tcW w:w="1440" w:type="dxa"/>
            <w:tcBorders>
              <w:right w:val="nil"/>
            </w:tcBorders>
          </w:tcPr>
          <w:p w14:paraId="67E04158" w14:textId="430F48F0" w:rsidR="00B7466E" w:rsidRPr="004213BA" w:rsidRDefault="00B7466E" w:rsidP="00B7466E">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1,704</w:t>
            </w:r>
          </w:p>
        </w:tc>
        <w:tc>
          <w:tcPr>
            <w:tcW w:w="1310" w:type="dxa"/>
            <w:tcBorders>
              <w:left w:val="nil"/>
            </w:tcBorders>
          </w:tcPr>
          <w:p w14:paraId="2137A9F5" w14:textId="77777777" w:rsidR="00B7466E" w:rsidRPr="004213BA" w:rsidRDefault="00B7466E" w:rsidP="00B7466E">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c>
          <w:tcPr>
            <w:tcW w:w="1307" w:type="dxa"/>
            <w:tcBorders>
              <w:right w:val="nil"/>
            </w:tcBorders>
          </w:tcPr>
          <w:p w14:paraId="6F7FDF70" w14:textId="134533B9" w:rsidR="00B7466E" w:rsidRPr="004213BA" w:rsidRDefault="00B7466E" w:rsidP="00B7466E">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1,704</w:t>
            </w:r>
          </w:p>
        </w:tc>
        <w:tc>
          <w:tcPr>
            <w:tcW w:w="1307" w:type="dxa"/>
            <w:tcBorders>
              <w:left w:val="nil"/>
            </w:tcBorders>
          </w:tcPr>
          <w:p w14:paraId="17ABB7D0" w14:textId="77777777" w:rsidR="00B7466E" w:rsidRPr="004213BA" w:rsidRDefault="00B7466E" w:rsidP="00B7466E">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r>
      <w:tr w:rsidR="001F1EF0" w:rsidRPr="004213BA" w14:paraId="6E31C9ED" w14:textId="77777777" w:rsidTr="00B7466E">
        <w:tc>
          <w:tcPr>
            <w:tcW w:w="2614" w:type="dxa"/>
          </w:tcPr>
          <w:p w14:paraId="36D72D31" w14:textId="4B5795A0" w:rsidR="001F1EF0" w:rsidRPr="004213BA" w:rsidRDefault="001F1EF0" w:rsidP="00B7466E">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sz w:val="20"/>
                <w:szCs w:val="20"/>
                <w:lang w:val="en-US" w:eastAsia="zh-CN" w:bidi="hi-IN"/>
              </w:rPr>
              <w:t>F-test Significance</w:t>
            </w:r>
          </w:p>
        </w:tc>
        <w:tc>
          <w:tcPr>
            <w:tcW w:w="1436" w:type="dxa"/>
            <w:tcBorders>
              <w:right w:val="nil"/>
            </w:tcBorders>
          </w:tcPr>
          <w:p w14:paraId="77ED88EA" w14:textId="12950CF6" w:rsidR="001F1EF0" w:rsidRPr="004213BA" w:rsidRDefault="001F1EF0" w:rsidP="00B7466E">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hAnsiTheme="majorHAnsi" w:cstheme="majorHAnsi"/>
                <w:color w:val="000000"/>
                <w:sz w:val="20"/>
                <w:szCs w:val="20"/>
                <w:lang w:val="en-US"/>
              </w:rPr>
              <w:t>***</w:t>
            </w:r>
          </w:p>
        </w:tc>
        <w:tc>
          <w:tcPr>
            <w:tcW w:w="1170" w:type="dxa"/>
            <w:tcBorders>
              <w:left w:val="nil"/>
            </w:tcBorders>
          </w:tcPr>
          <w:p w14:paraId="6EAA813A" w14:textId="77777777" w:rsidR="001F1EF0" w:rsidRPr="004213BA" w:rsidRDefault="001F1EF0" w:rsidP="00B7466E">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c>
          <w:tcPr>
            <w:tcW w:w="1440" w:type="dxa"/>
            <w:tcBorders>
              <w:right w:val="nil"/>
            </w:tcBorders>
          </w:tcPr>
          <w:p w14:paraId="1E2C709A" w14:textId="7B1F07BD" w:rsidR="001F1EF0" w:rsidRPr="004213BA" w:rsidRDefault="001F1EF0" w:rsidP="00B7466E">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hAnsiTheme="majorHAnsi" w:cstheme="majorHAnsi"/>
                <w:color w:val="000000"/>
                <w:sz w:val="20"/>
                <w:szCs w:val="20"/>
                <w:lang w:val="en-US"/>
              </w:rPr>
              <w:t>***</w:t>
            </w:r>
          </w:p>
        </w:tc>
        <w:tc>
          <w:tcPr>
            <w:tcW w:w="1310" w:type="dxa"/>
            <w:tcBorders>
              <w:left w:val="nil"/>
            </w:tcBorders>
          </w:tcPr>
          <w:p w14:paraId="29E89864" w14:textId="77777777" w:rsidR="001F1EF0" w:rsidRPr="004213BA" w:rsidRDefault="001F1EF0" w:rsidP="00B7466E">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c>
          <w:tcPr>
            <w:tcW w:w="1307" w:type="dxa"/>
            <w:tcBorders>
              <w:right w:val="nil"/>
            </w:tcBorders>
          </w:tcPr>
          <w:p w14:paraId="5B2B0300" w14:textId="7078DDB6" w:rsidR="001F1EF0" w:rsidRPr="004213BA" w:rsidRDefault="001F1EF0" w:rsidP="00B7466E">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hAnsiTheme="majorHAnsi" w:cstheme="majorHAnsi"/>
                <w:color w:val="000000"/>
                <w:sz w:val="20"/>
                <w:szCs w:val="20"/>
                <w:lang w:val="en-US"/>
              </w:rPr>
              <w:t>***</w:t>
            </w:r>
          </w:p>
        </w:tc>
        <w:tc>
          <w:tcPr>
            <w:tcW w:w="1307" w:type="dxa"/>
            <w:tcBorders>
              <w:left w:val="nil"/>
            </w:tcBorders>
          </w:tcPr>
          <w:p w14:paraId="1C1F0C91" w14:textId="77777777" w:rsidR="001F1EF0" w:rsidRPr="004213BA" w:rsidRDefault="001F1EF0" w:rsidP="00B7466E">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r>
      <w:tr w:rsidR="001F1EF0" w:rsidRPr="004213BA" w14:paraId="10A84C23" w14:textId="77777777" w:rsidTr="00B7466E">
        <w:tc>
          <w:tcPr>
            <w:tcW w:w="2614" w:type="dxa"/>
          </w:tcPr>
          <w:p w14:paraId="7C6CEA07" w14:textId="16B5E246" w:rsidR="001F1EF0" w:rsidRPr="004213BA" w:rsidRDefault="001F1EF0" w:rsidP="00B7466E">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sz w:val="20"/>
                <w:szCs w:val="20"/>
                <w:lang w:val="en-US" w:eastAsia="zh-CN" w:bidi="hi-IN"/>
              </w:rPr>
              <w:t>R-squared</w:t>
            </w:r>
          </w:p>
        </w:tc>
        <w:tc>
          <w:tcPr>
            <w:tcW w:w="1436" w:type="dxa"/>
            <w:tcBorders>
              <w:right w:val="nil"/>
            </w:tcBorders>
          </w:tcPr>
          <w:p w14:paraId="795B1317" w14:textId="1492DCCC" w:rsidR="001F1EF0" w:rsidRPr="004213BA" w:rsidRDefault="001F1EF0" w:rsidP="00B7466E">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hAnsiTheme="majorHAnsi" w:cstheme="majorHAnsi"/>
                <w:color w:val="000000"/>
                <w:sz w:val="20"/>
                <w:szCs w:val="20"/>
                <w:lang w:val="en-US"/>
              </w:rPr>
              <w:t>0.0376</w:t>
            </w:r>
          </w:p>
        </w:tc>
        <w:tc>
          <w:tcPr>
            <w:tcW w:w="1170" w:type="dxa"/>
            <w:tcBorders>
              <w:left w:val="nil"/>
            </w:tcBorders>
          </w:tcPr>
          <w:p w14:paraId="35F83FA2" w14:textId="77777777" w:rsidR="001F1EF0" w:rsidRPr="004213BA" w:rsidRDefault="001F1EF0" w:rsidP="00B7466E">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c>
          <w:tcPr>
            <w:tcW w:w="1440" w:type="dxa"/>
            <w:tcBorders>
              <w:right w:val="nil"/>
            </w:tcBorders>
          </w:tcPr>
          <w:p w14:paraId="0FAE0172" w14:textId="1BD1DB5C" w:rsidR="001F1EF0" w:rsidRPr="004213BA" w:rsidRDefault="001F1EF0" w:rsidP="00B7466E">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hAnsiTheme="majorHAnsi" w:cstheme="majorHAnsi"/>
                <w:color w:val="000000"/>
                <w:sz w:val="20"/>
                <w:szCs w:val="20"/>
                <w:lang w:val="en-US"/>
              </w:rPr>
              <w:t>0.0334</w:t>
            </w:r>
          </w:p>
        </w:tc>
        <w:tc>
          <w:tcPr>
            <w:tcW w:w="1310" w:type="dxa"/>
            <w:tcBorders>
              <w:left w:val="nil"/>
            </w:tcBorders>
          </w:tcPr>
          <w:p w14:paraId="217A32DB" w14:textId="77777777" w:rsidR="001F1EF0" w:rsidRPr="004213BA" w:rsidRDefault="001F1EF0" w:rsidP="00B7466E">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c>
          <w:tcPr>
            <w:tcW w:w="1307" w:type="dxa"/>
            <w:tcBorders>
              <w:right w:val="nil"/>
            </w:tcBorders>
          </w:tcPr>
          <w:p w14:paraId="67FDB720" w14:textId="7215F5EE" w:rsidR="001F1EF0" w:rsidRPr="004213BA" w:rsidRDefault="001F1EF0" w:rsidP="00B7466E">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hAnsiTheme="majorHAnsi" w:cstheme="majorHAnsi"/>
                <w:color w:val="000000"/>
                <w:sz w:val="20"/>
                <w:szCs w:val="20"/>
                <w:lang w:val="en-US"/>
              </w:rPr>
              <w:t>0.0131</w:t>
            </w:r>
          </w:p>
        </w:tc>
        <w:tc>
          <w:tcPr>
            <w:tcW w:w="1307" w:type="dxa"/>
            <w:tcBorders>
              <w:left w:val="nil"/>
            </w:tcBorders>
          </w:tcPr>
          <w:p w14:paraId="0B672FFA" w14:textId="77777777" w:rsidR="001F1EF0" w:rsidRPr="004213BA" w:rsidRDefault="001F1EF0" w:rsidP="00B7466E">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r>
    </w:tbl>
    <w:p w14:paraId="1A10B41E" w14:textId="77777777" w:rsidR="008D0CAD"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sz w:val="20"/>
          <w:szCs w:val="20"/>
          <w:lang w:val="en-US" w:eastAsia="zh-CN" w:bidi="hi-IN"/>
        </w:rPr>
        <w:t>*, **, *** indicates significance at the 10%, 5%, and 1% level, respectively.</w:t>
      </w:r>
    </w:p>
    <w:p w14:paraId="6A1B8D24" w14:textId="0B6B8154" w:rsidR="008D0CAD" w:rsidRPr="005424E3" w:rsidRDefault="008D0CAD" w:rsidP="00796BFA">
      <w:pPr>
        <w:spacing w:before="100" w:beforeAutospacing="1" w:after="100" w:afterAutospacing="1" w:line="360" w:lineRule="auto"/>
        <w:rPr>
          <w:rFonts w:asciiTheme="majorHAnsi" w:hAnsiTheme="majorHAnsi" w:cstheme="majorHAnsi"/>
          <w:bCs/>
          <w:i/>
          <w:color w:val="44546A" w:themeColor="text2"/>
          <w:sz w:val="22"/>
          <w:szCs w:val="22"/>
          <w:lang w:val="en-US"/>
        </w:rPr>
      </w:pPr>
      <w:bookmarkStart w:id="432" w:name="_Toc15638046"/>
      <w:bookmarkStart w:id="433" w:name="_Toc71616644"/>
      <w:r w:rsidRPr="005424E3">
        <w:rPr>
          <w:rFonts w:asciiTheme="majorHAnsi" w:hAnsiTheme="majorHAnsi" w:cstheme="majorHAnsi"/>
          <w:bCs/>
          <w:i/>
          <w:color w:val="44546A" w:themeColor="text2"/>
          <w:sz w:val="22"/>
          <w:szCs w:val="22"/>
          <w:lang w:val="en-US"/>
        </w:rPr>
        <w:t xml:space="preserve">Table </w:t>
      </w:r>
      <w:r w:rsidRPr="005424E3">
        <w:rPr>
          <w:rFonts w:asciiTheme="majorHAnsi" w:hAnsiTheme="majorHAnsi" w:cstheme="majorHAnsi"/>
          <w:bCs/>
          <w:i/>
          <w:color w:val="44546A" w:themeColor="text2"/>
          <w:sz w:val="22"/>
          <w:szCs w:val="22"/>
          <w:lang w:val="en-US"/>
        </w:rPr>
        <w:fldChar w:fldCharType="begin"/>
      </w:r>
      <w:r w:rsidRPr="005424E3">
        <w:rPr>
          <w:rFonts w:asciiTheme="majorHAnsi" w:hAnsiTheme="majorHAnsi" w:cstheme="majorHAnsi"/>
          <w:bCs/>
          <w:i/>
          <w:color w:val="44546A" w:themeColor="text2"/>
          <w:sz w:val="22"/>
          <w:szCs w:val="22"/>
          <w:lang w:val="en-US"/>
        </w:rPr>
        <w:instrText xml:space="preserve"> SEQ Table \* ARABIC </w:instrText>
      </w:r>
      <w:r w:rsidRPr="005424E3">
        <w:rPr>
          <w:rFonts w:asciiTheme="majorHAnsi" w:hAnsiTheme="majorHAnsi" w:cstheme="majorHAnsi"/>
          <w:bCs/>
          <w:i/>
          <w:color w:val="44546A" w:themeColor="text2"/>
          <w:sz w:val="22"/>
          <w:szCs w:val="22"/>
          <w:lang w:val="en-US"/>
        </w:rPr>
        <w:fldChar w:fldCharType="separate"/>
      </w:r>
      <w:r w:rsidR="00D6133D">
        <w:rPr>
          <w:rFonts w:asciiTheme="majorHAnsi" w:hAnsiTheme="majorHAnsi" w:cstheme="majorHAnsi"/>
          <w:bCs/>
          <w:i/>
          <w:noProof/>
          <w:color w:val="44546A" w:themeColor="text2"/>
          <w:sz w:val="22"/>
          <w:szCs w:val="22"/>
          <w:lang w:val="en-US"/>
        </w:rPr>
        <w:t>53</w:t>
      </w:r>
      <w:r w:rsidRPr="005424E3">
        <w:rPr>
          <w:rFonts w:asciiTheme="majorHAnsi" w:hAnsiTheme="majorHAnsi" w:cstheme="majorHAnsi"/>
          <w:bCs/>
          <w:i/>
          <w:color w:val="44546A" w:themeColor="text2"/>
          <w:sz w:val="22"/>
          <w:szCs w:val="22"/>
          <w:lang w:val="en-US"/>
        </w:rPr>
        <w:fldChar w:fldCharType="end"/>
      </w:r>
      <w:r w:rsidRPr="005424E3">
        <w:rPr>
          <w:rFonts w:asciiTheme="majorHAnsi" w:hAnsiTheme="majorHAnsi" w:cstheme="majorHAnsi"/>
          <w:bCs/>
          <w:i/>
          <w:color w:val="44546A" w:themeColor="text2"/>
          <w:sz w:val="22"/>
          <w:szCs w:val="22"/>
          <w:lang w:val="en-US"/>
        </w:rPr>
        <w:t>. Regression Results for Region VIII Students</w:t>
      </w:r>
      <w:bookmarkEnd w:id="432"/>
      <w:bookmarkEnd w:id="433"/>
    </w:p>
    <w:tbl>
      <w:tblPr>
        <w:tblStyle w:val="TableGrid18"/>
        <w:tblW w:w="10668" w:type="dxa"/>
        <w:tblLook w:val="04A0" w:firstRow="1" w:lastRow="0" w:firstColumn="1" w:lastColumn="0" w:noHBand="0" w:noVBand="1"/>
      </w:tblPr>
      <w:tblGrid>
        <w:gridCol w:w="2614"/>
        <w:gridCol w:w="1436"/>
        <w:gridCol w:w="1170"/>
        <w:gridCol w:w="1440"/>
        <w:gridCol w:w="1310"/>
        <w:gridCol w:w="1390"/>
        <w:gridCol w:w="1308"/>
      </w:tblGrid>
      <w:tr w:rsidR="00D5211F" w:rsidRPr="004213BA" w14:paraId="1951D123" w14:textId="77777777" w:rsidTr="00D5211F">
        <w:trPr>
          <w:tblHeader/>
        </w:trPr>
        <w:tc>
          <w:tcPr>
            <w:tcW w:w="2614" w:type="dxa"/>
          </w:tcPr>
          <w:p w14:paraId="5CF175D5" w14:textId="77777777" w:rsidR="00D5211F" w:rsidRPr="004213BA" w:rsidRDefault="00D5211F" w:rsidP="005805AC">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c>
          <w:tcPr>
            <w:tcW w:w="1436" w:type="dxa"/>
            <w:tcBorders>
              <w:right w:val="nil"/>
            </w:tcBorders>
          </w:tcPr>
          <w:p w14:paraId="3642623E" w14:textId="505BB1C8" w:rsidR="00D5211F" w:rsidRPr="004B064D" w:rsidRDefault="00D5211F" w:rsidP="005805AC">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r w:rsidRPr="004B064D">
              <w:rPr>
                <w:rFonts w:asciiTheme="majorHAnsi" w:eastAsiaTheme="minorEastAsia" w:hAnsiTheme="majorHAnsi" w:cstheme="majorHAnsi"/>
                <w:b/>
                <w:bCs/>
                <w:sz w:val="20"/>
                <w:szCs w:val="20"/>
                <w:lang w:val="en-US" w:eastAsia="zh-CN" w:bidi="hi-IN"/>
              </w:rPr>
              <w:t>Grade 4</w:t>
            </w:r>
          </w:p>
        </w:tc>
        <w:tc>
          <w:tcPr>
            <w:tcW w:w="1170" w:type="dxa"/>
            <w:tcBorders>
              <w:left w:val="nil"/>
            </w:tcBorders>
          </w:tcPr>
          <w:p w14:paraId="2BBFB3A6" w14:textId="67868A9F" w:rsidR="00D5211F" w:rsidRPr="004B064D" w:rsidRDefault="00D5211F" w:rsidP="005805AC">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p>
        </w:tc>
        <w:tc>
          <w:tcPr>
            <w:tcW w:w="1440" w:type="dxa"/>
            <w:tcBorders>
              <w:right w:val="nil"/>
            </w:tcBorders>
          </w:tcPr>
          <w:p w14:paraId="745BB9F3" w14:textId="12727BD7" w:rsidR="00D5211F" w:rsidRPr="000A4732" w:rsidRDefault="00D5211F" w:rsidP="005805AC">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r w:rsidRPr="000A4732">
              <w:rPr>
                <w:rFonts w:asciiTheme="majorHAnsi" w:eastAsiaTheme="minorEastAsia" w:hAnsiTheme="majorHAnsi" w:cstheme="majorHAnsi"/>
                <w:b/>
                <w:bCs/>
                <w:sz w:val="20"/>
                <w:szCs w:val="20"/>
                <w:lang w:val="en-US" w:eastAsia="zh-CN" w:bidi="hi-IN"/>
              </w:rPr>
              <w:t>Grade 5</w:t>
            </w:r>
          </w:p>
        </w:tc>
        <w:tc>
          <w:tcPr>
            <w:tcW w:w="1310" w:type="dxa"/>
            <w:tcBorders>
              <w:left w:val="nil"/>
            </w:tcBorders>
          </w:tcPr>
          <w:p w14:paraId="7DF98686" w14:textId="03AAC8F1" w:rsidR="00D5211F" w:rsidRPr="004B064D" w:rsidRDefault="00D5211F" w:rsidP="005805AC">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p>
        </w:tc>
        <w:tc>
          <w:tcPr>
            <w:tcW w:w="1390" w:type="dxa"/>
            <w:tcBorders>
              <w:right w:val="nil"/>
            </w:tcBorders>
          </w:tcPr>
          <w:p w14:paraId="68AACE92" w14:textId="575084FF" w:rsidR="00D5211F" w:rsidRPr="004B064D" w:rsidRDefault="00D5211F" w:rsidP="005805AC">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r w:rsidRPr="004B064D">
              <w:rPr>
                <w:rFonts w:asciiTheme="majorHAnsi" w:eastAsiaTheme="minorEastAsia" w:hAnsiTheme="majorHAnsi" w:cstheme="majorHAnsi"/>
                <w:b/>
                <w:bCs/>
                <w:sz w:val="20"/>
                <w:szCs w:val="20"/>
                <w:lang w:val="en-US" w:eastAsia="zh-CN" w:bidi="hi-IN"/>
              </w:rPr>
              <w:t>Grade 6</w:t>
            </w:r>
          </w:p>
        </w:tc>
        <w:tc>
          <w:tcPr>
            <w:tcW w:w="1308" w:type="dxa"/>
            <w:tcBorders>
              <w:left w:val="nil"/>
            </w:tcBorders>
          </w:tcPr>
          <w:p w14:paraId="7BC395AC" w14:textId="72D0E3AF" w:rsidR="00D5211F" w:rsidRPr="004B064D" w:rsidRDefault="00D5211F" w:rsidP="005805AC">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p>
        </w:tc>
      </w:tr>
      <w:tr w:rsidR="008D0CAD" w:rsidRPr="004213BA" w14:paraId="413B4726" w14:textId="77777777" w:rsidTr="00644322">
        <w:trPr>
          <w:tblHeader/>
        </w:trPr>
        <w:tc>
          <w:tcPr>
            <w:tcW w:w="2614" w:type="dxa"/>
          </w:tcPr>
          <w:p w14:paraId="68282687"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c>
          <w:tcPr>
            <w:tcW w:w="1436" w:type="dxa"/>
          </w:tcPr>
          <w:p w14:paraId="675AFD7B" w14:textId="77777777" w:rsidR="008D0CAD" w:rsidRPr="004B064D" w:rsidRDefault="008D0CAD" w:rsidP="00796BFA">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r w:rsidRPr="004B064D">
              <w:rPr>
                <w:rFonts w:asciiTheme="majorHAnsi" w:eastAsiaTheme="minorEastAsia" w:hAnsiTheme="majorHAnsi" w:cstheme="majorHAnsi"/>
                <w:b/>
                <w:bCs/>
                <w:sz w:val="20"/>
                <w:szCs w:val="20"/>
                <w:lang w:val="en-US" w:eastAsia="zh-CN" w:bidi="hi-IN"/>
              </w:rPr>
              <w:t>Coefficient</w:t>
            </w:r>
          </w:p>
        </w:tc>
        <w:tc>
          <w:tcPr>
            <w:tcW w:w="1170" w:type="dxa"/>
          </w:tcPr>
          <w:p w14:paraId="28BB3BDD" w14:textId="77777777" w:rsidR="008D0CAD" w:rsidRPr="004B064D" w:rsidRDefault="008D0CAD" w:rsidP="00796BFA">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r w:rsidRPr="004B064D">
              <w:rPr>
                <w:rFonts w:asciiTheme="majorHAnsi" w:eastAsiaTheme="minorEastAsia" w:hAnsiTheme="majorHAnsi" w:cstheme="majorHAnsi"/>
                <w:b/>
                <w:bCs/>
                <w:sz w:val="20"/>
                <w:szCs w:val="20"/>
                <w:lang w:val="en-US" w:eastAsia="zh-CN" w:bidi="hi-IN"/>
              </w:rPr>
              <w:t>Standard Error</w:t>
            </w:r>
          </w:p>
        </w:tc>
        <w:tc>
          <w:tcPr>
            <w:tcW w:w="1440" w:type="dxa"/>
          </w:tcPr>
          <w:p w14:paraId="31F46181" w14:textId="77777777" w:rsidR="008D0CAD" w:rsidRPr="000A4732" w:rsidRDefault="008D0CAD" w:rsidP="00796BFA">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r w:rsidRPr="004B064D">
              <w:rPr>
                <w:rFonts w:asciiTheme="majorHAnsi" w:eastAsiaTheme="minorEastAsia" w:hAnsiTheme="majorHAnsi" w:cstheme="majorHAnsi"/>
                <w:b/>
                <w:bCs/>
                <w:sz w:val="20"/>
                <w:szCs w:val="20"/>
                <w:lang w:val="en-US" w:eastAsia="zh-CN" w:bidi="hi-IN"/>
              </w:rPr>
              <w:t>Coefficient</w:t>
            </w:r>
          </w:p>
        </w:tc>
        <w:tc>
          <w:tcPr>
            <w:tcW w:w="1310" w:type="dxa"/>
          </w:tcPr>
          <w:p w14:paraId="074D7200" w14:textId="77777777" w:rsidR="008D0CAD" w:rsidRPr="000A4732" w:rsidRDefault="008D0CAD" w:rsidP="00796BFA">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r w:rsidRPr="004B064D">
              <w:rPr>
                <w:rFonts w:asciiTheme="majorHAnsi" w:eastAsiaTheme="minorEastAsia" w:hAnsiTheme="majorHAnsi" w:cstheme="majorHAnsi"/>
                <w:b/>
                <w:bCs/>
                <w:sz w:val="20"/>
                <w:szCs w:val="20"/>
                <w:lang w:val="en-US" w:eastAsia="zh-CN" w:bidi="hi-IN"/>
              </w:rPr>
              <w:t>Standard Error</w:t>
            </w:r>
          </w:p>
        </w:tc>
        <w:tc>
          <w:tcPr>
            <w:tcW w:w="1390" w:type="dxa"/>
          </w:tcPr>
          <w:p w14:paraId="411B1F33" w14:textId="77777777" w:rsidR="008D0CAD" w:rsidRPr="000A4732" w:rsidRDefault="008D0CAD" w:rsidP="00796BFA">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r w:rsidRPr="004B064D">
              <w:rPr>
                <w:rFonts w:asciiTheme="majorHAnsi" w:eastAsiaTheme="minorEastAsia" w:hAnsiTheme="majorHAnsi" w:cstheme="majorHAnsi"/>
                <w:b/>
                <w:bCs/>
                <w:sz w:val="20"/>
                <w:szCs w:val="20"/>
                <w:lang w:val="en-US" w:eastAsia="zh-CN" w:bidi="hi-IN"/>
              </w:rPr>
              <w:t>Coefficient</w:t>
            </w:r>
          </w:p>
        </w:tc>
        <w:tc>
          <w:tcPr>
            <w:tcW w:w="1308" w:type="dxa"/>
          </w:tcPr>
          <w:p w14:paraId="4888C004" w14:textId="77777777" w:rsidR="008D0CAD" w:rsidRPr="000A4732" w:rsidRDefault="008D0CAD" w:rsidP="00796BFA">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r w:rsidRPr="004B064D">
              <w:rPr>
                <w:rFonts w:asciiTheme="majorHAnsi" w:eastAsiaTheme="minorEastAsia" w:hAnsiTheme="majorHAnsi" w:cstheme="majorHAnsi"/>
                <w:b/>
                <w:bCs/>
                <w:sz w:val="20"/>
                <w:szCs w:val="20"/>
                <w:lang w:val="en-US" w:eastAsia="zh-CN" w:bidi="hi-IN"/>
              </w:rPr>
              <w:t>Standard Error</w:t>
            </w:r>
          </w:p>
        </w:tc>
      </w:tr>
      <w:tr w:rsidR="008D0CAD" w:rsidRPr="004213BA" w14:paraId="09CA2F18" w14:textId="77777777" w:rsidTr="0048024E">
        <w:tc>
          <w:tcPr>
            <w:tcW w:w="2614" w:type="dxa"/>
          </w:tcPr>
          <w:p w14:paraId="1A2553A6"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best</w:t>
            </w:r>
          </w:p>
        </w:tc>
        <w:tc>
          <w:tcPr>
            <w:tcW w:w="1436" w:type="dxa"/>
          </w:tcPr>
          <w:p w14:paraId="2506CECA"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-0.3450</w:t>
            </w:r>
          </w:p>
        </w:tc>
        <w:tc>
          <w:tcPr>
            <w:tcW w:w="1170" w:type="dxa"/>
          </w:tcPr>
          <w:p w14:paraId="1137D9CD"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0.2605</w:t>
            </w:r>
          </w:p>
        </w:tc>
        <w:tc>
          <w:tcPr>
            <w:tcW w:w="1440" w:type="dxa"/>
          </w:tcPr>
          <w:p w14:paraId="26AB4CB7"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-0.4683*</w:t>
            </w:r>
          </w:p>
        </w:tc>
        <w:tc>
          <w:tcPr>
            <w:tcW w:w="1310" w:type="dxa"/>
          </w:tcPr>
          <w:p w14:paraId="14AAC7A6"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0.2762</w:t>
            </w:r>
          </w:p>
        </w:tc>
        <w:tc>
          <w:tcPr>
            <w:tcW w:w="1390" w:type="dxa"/>
          </w:tcPr>
          <w:p w14:paraId="76B9E37F"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-0.5668**</w:t>
            </w:r>
          </w:p>
        </w:tc>
        <w:tc>
          <w:tcPr>
            <w:tcW w:w="1308" w:type="dxa"/>
          </w:tcPr>
          <w:p w14:paraId="5459882E"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0.2424</w:t>
            </w:r>
          </w:p>
        </w:tc>
      </w:tr>
      <w:tr w:rsidR="008D0CAD" w:rsidRPr="004213BA" w14:paraId="7A17500D" w14:textId="77777777" w:rsidTr="0048024E">
        <w:tc>
          <w:tcPr>
            <w:tcW w:w="2614" w:type="dxa"/>
          </w:tcPr>
          <w:p w14:paraId="2C7D7227"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ES Size: Large</w:t>
            </w:r>
          </w:p>
        </w:tc>
        <w:tc>
          <w:tcPr>
            <w:tcW w:w="1436" w:type="dxa"/>
          </w:tcPr>
          <w:p w14:paraId="6391121D"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-0.9699***</w:t>
            </w:r>
          </w:p>
        </w:tc>
        <w:tc>
          <w:tcPr>
            <w:tcW w:w="1170" w:type="dxa"/>
          </w:tcPr>
          <w:p w14:paraId="4F70DB78"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0.3071</w:t>
            </w:r>
          </w:p>
        </w:tc>
        <w:tc>
          <w:tcPr>
            <w:tcW w:w="1440" w:type="dxa"/>
          </w:tcPr>
          <w:p w14:paraId="37A06AE1"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-0.7342*</w:t>
            </w:r>
          </w:p>
        </w:tc>
        <w:tc>
          <w:tcPr>
            <w:tcW w:w="1310" w:type="dxa"/>
          </w:tcPr>
          <w:p w14:paraId="2030FCE0"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0.4336</w:t>
            </w:r>
          </w:p>
        </w:tc>
        <w:tc>
          <w:tcPr>
            <w:tcW w:w="1390" w:type="dxa"/>
          </w:tcPr>
          <w:p w14:paraId="1261EDA0"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-1.2145**</w:t>
            </w:r>
          </w:p>
        </w:tc>
        <w:tc>
          <w:tcPr>
            <w:tcW w:w="1308" w:type="dxa"/>
          </w:tcPr>
          <w:p w14:paraId="51E5DB35"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0.5362</w:t>
            </w:r>
          </w:p>
        </w:tc>
      </w:tr>
      <w:tr w:rsidR="008D0CAD" w:rsidRPr="004213BA" w14:paraId="2CDCA784" w14:textId="77777777" w:rsidTr="0048024E">
        <w:tc>
          <w:tcPr>
            <w:tcW w:w="2614" w:type="dxa"/>
          </w:tcPr>
          <w:p w14:paraId="6B66EDB8"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ES Size: Medium</w:t>
            </w:r>
          </w:p>
        </w:tc>
        <w:tc>
          <w:tcPr>
            <w:tcW w:w="1436" w:type="dxa"/>
          </w:tcPr>
          <w:p w14:paraId="66BA945E"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-0.2444</w:t>
            </w:r>
          </w:p>
        </w:tc>
        <w:tc>
          <w:tcPr>
            <w:tcW w:w="1170" w:type="dxa"/>
          </w:tcPr>
          <w:p w14:paraId="1EDAC2FA"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0.2299</w:t>
            </w:r>
          </w:p>
        </w:tc>
        <w:tc>
          <w:tcPr>
            <w:tcW w:w="1440" w:type="dxa"/>
          </w:tcPr>
          <w:p w14:paraId="4976A8B7"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-0.1721</w:t>
            </w:r>
          </w:p>
        </w:tc>
        <w:tc>
          <w:tcPr>
            <w:tcW w:w="1310" w:type="dxa"/>
          </w:tcPr>
          <w:p w14:paraId="683361A6"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0.2402</w:t>
            </w:r>
          </w:p>
        </w:tc>
        <w:tc>
          <w:tcPr>
            <w:tcW w:w="1390" w:type="dxa"/>
          </w:tcPr>
          <w:p w14:paraId="16361019"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0.0835</w:t>
            </w:r>
          </w:p>
        </w:tc>
        <w:tc>
          <w:tcPr>
            <w:tcW w:w="1308" w:type="dxa"/>
          </w:tcPr>
          <w:p w14:paraId="33144D0D"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0.2549</w:t>
            </w:r>
          </w:p>
        </w:tc>
      </w:tr>
      <w:tr w:rsidR="008D0CAD" w:rsidRPr="004213BA" w14:paraId="61208F0E" w14:textId="77777777" w:rsidTr="0048024E">
        <w:tc>
          <w:tcPr>
            <w:tcW w:w="2614" w:type="dxa"/>
          </w:tcPr>
          <w:p w14:paraId="28134AD9"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ES Size: Very Large</w:t>
            </w:r>
          </w:p>
        </w:tc>
        <w:tc>
          <w:tcPr>
            <w:tcW w:w="1436" w:type="dxa"/>
          </w:tcPr>
          <w:p w14:paraId="072B1CC9"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1.0538***</w:t>
            </w:r>
          </w:p>
        </w:tc>
        <w:tc>
          <w:tcPr>
            <w:tcW w:w="1170" w:type="dxa"/>
          </w:tcPr>
          <w:p w14:paraId="1BFBF61B"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0.2547</w:t>
            </w:r>
          </w:p>
        </w:tc>
        <w:tc>
          <w:tcPr>
            <w:tcW w:w="1440" w:type="dxa"/>
          </w:tcPr>
          <w:p w14:paraId="2C1D2E4B"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1.6178***</w:t>
            </w:r>
          </w:p>
        </w:tc>
        <w:tc>
          <w:tcPr>
            <w:tcW w:w="1310" w:type="dxa"/>
          </w:tcPr>
          <w:p w14:paraId="7685CDD5"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0.2703</w:t>
            </w:r>
          </w:p>
        </w:tc>
        <w:tc>
          <w:tcPr>
            <w:tcW w:w="1390" w:type="dxa"/>
          </w:tcPr>
          <w:p w14:paraId="06365560"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-1.1049***</w:t>
            </w:r>
          </w:p>
        </w:tc>
        <w:tc>
          <w:tcPr>
            <w:tcW w:w="1308" w:type="dxa"/>
          </w:tcPr>
          <w:p w14:paraId="6D75F40D"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0.2339</w:t>
            </w:r>
          </w:p>
        </w:tc>
      </w:tr>
      <w:tr w:rsidR="008D0CAD" w:rsidRPr="004213BA" w14:paraId="464BC0A0" w14:textId="77777777" w:rsidTr="0048024E">
        <w:tc>
          <w:tcPr>
            <w:tcW w:w="2614" w:type="dxa"/>
          </w:tcPr>
          <w:p w14:paraId="391D0180"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Partially Urban</w:t>
            </w:r>
          </w:p>
        </w:tc>
        <w:tc>
          <w:tcPr>
            <w:tcW w:w="1436" w:type="dxa"/>
          </w:tcPr>
          <w:p w14:paraId="28CF572E"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-0.7852***</w:t>
            </w:r>
          </w:p>
        </w:tc>
        <w:tc>
          <w:tcPr>
            <w:tcW w:w="1170" w:type="dxa"/>
          </w:tcPr>
          <w:p w14:paraId="355044B9"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0.2306</w:t>
            </w:r>
          </w:p>
        </w:tc>
        <w:tc>
          <w:tcPr>
            <w:tcW w:w="1440" w:type="dxa"/>
          </w:tcPr>
          <w:p w14:paraId="63692BD8"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-2.1487**</w:t>
            </w:r>
          </w:p>
        </w:tc>
        <w:tc>
          <w:tcPr>
            <w:tcW w:w="1310" w:type="dxa"/>
          </w:tcPr>
          <w:p w14:paraId="54C3F7FA"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0.8693</w:t>
            </w:r>
          </w:p>
        </w:tc>
        <w:tc>
          <w:tcPr>
            <w:tcW w:w="1390" w:type="dxa"/>
          </w:tcPr>
          <w:p w14:paraId="7D0D0AFB"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-0.8602</w:t>
            </w:r>
          </w:p>
        </w:tc>
        <w:tc>
          <w:tcPr>
            <w:tcW w:w="1308" w:type="dxa"/>
          </w:tcPr>
          <w:p w14:paraId="786B453A"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0.7535</w:t>
            </w:r>
          </w:p>
        </w:tc>
      </w:tr>
      <w:tr w:rsidR="008D0CAD" w:rsidRPr="004213BA" w14:paraId="3BE3FA1E" w14:textId="77777777" w:rsidTr="0048024E">
        <w:tc>
          <w:tcPr>
            <w:tcW w:w="2614" w:type="dxa"/>
          </w:tcPr>
          <w:p w14:paraId="63298C05"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Urban</w:t>
            </w:r>
          </w:p>
        </w:tc>
        <w:tc>
          <w:tcPr>
            <w:tcW w:w="1436" w:type="dxa"/>
          </w:tcPr>
          <w:p w14:paraId="4BED8A1C"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w:t>
            </w:r>
          </w:p>
        </w:tc>
        <w:tc>
          <w:tcPr>
            <w:tcW w:w="1170" w:type="dxa"/>
          </w:tcPr>
          <w:p w14:paraId="72D83C65"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(omitted)</w:t>
            </w:r>
          </w:p>
        </w:tc>
        <w:tc>
          <w:tcPr>
            <w:tcW w:w="1440" w:type="dxa"/>
          </w:tcPr>
          <w:p w14:paraId="6C91E1EE"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w:t>
            </w:r>
          </w:p>
        </w:tc>
        <w:tc>
          <w:tcPr>
            <w:tcW w:w="1310" w:type="dxa"/>
          </w:tcPr>
          <w:p w14:paraId="33954F63"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(omitted)</w:t>
            </w:r>
          </w:p>
        </w:tc>
        <w:tc>
          <w:tcPr>
            <w:tcW w:w="1390" w:type="dxa"/>
          </w:tcPr>
          <w:p w14:paraId="02136069"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w:t>
            </w:r>
          </w:p>
        </w:tc>
        <w:tc>
          <w:tcPr>
            <w:tcW w:w="1308" w:type="dxa"/>
          </w:tcPr>
          <w:p w14:paraId="3C664EA6"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(omitted)</w:t>
            </w:r>
          </w:p>
        </w:tc>
      </w:tr>
      <w:tr w:rsidR="008D0CAD" w:rsidRPr="004213BA" w14:paraId="27175A45" w14:textId="77777777" w:rsidTr="001346C6">
        <w:tc>
          <w:tcPr>
            <w:tcW w:w="2614" w:type="dxa"/>
          </w:tcPr>
          <w:p w14:paraId="33FF2A24"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sz w:val="20"/>
                <w:szCs w:val="20"/>
                <w:lang w:val="en-US" w:eastAsia="zh-CN" w:bidi="hi-IN"/>
              </w:rPr>
              <w:t>constant</w:t>
            </w:r>
          </w:p>
        </w:tc>
        <w:tc>
          <w:tcPr>
            <w:tcW w:w="1436" w:type="dxa"/>
            <w:tcBorders>
              <w:bottom w:val="single" w:sz="4" w:space="0" w:color="auto"/>
            </w:tcBorders>
          </w:tcPr>
          <w:p w14:paraId="5F00675D"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4.5504</w:t>
            </w:r>
          </w:p>
        </w:tc>
        <w:tc>
          <w:tcPr>
            <w:tcW w:w="1170" w:type="dxa"/>
          </w:tcPr>
          <w:p w14:paraId="2D8A5525"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0.2172</w:t>
            </w:r>
          </w:p>
        </w:tc>
        <w:tc>
          <w:tcPr>
            <w:tcW w:w="1440" w:type="dxa"/>
            <w:tcBorders>
              <w:bottom w:val="single" w:sz="4" w:space="0" w:color="auto"/>
            </w:tcBorders>
          </w:tcPr>
          <w:p w14:paraId="2EF137AC"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5.6860</w:t>
            </w:r>
          </w:p>
        </w:tc>
        <w:tc>
          <w:tcPr>
            <w:tcW w:w="1310" w:type="dxa"/>
          </w:tcPr>
          <w:p w14:paraId="76F1830B"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0.8655</w:t>
            </w:r>
          </w:p>
        </w:tc>
        <w:tc>
          <w:tcPr>
            <w:tcW w:w="1390" w:type="dxa"/>
            <w:tcBorders>
              <w:bottom w:val="single" w:sz="4" w:space="0" w:color="auto"/>
            </w:tcBorders>
          </w:tcPr>
          <w:p w14:paraId="2A3D3ABA"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3.9560</w:t>
            </w:r>
          </w:p>
        </w:tc>
        <w:tc>
          <w:tcPr>
            <w:tcW w:w="1308" w:type="dxa"/>
          </w:tcPr>
          <w:p w14:paraId="0A02C39F"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0.7491</w:t>
            </w:r>
          </w:p>
        </w:tc>
      </w:tr>
      <w:tr w:rsidR="001346C6" w:rsidRPr="004213BA" w14:paraId="45885A2F" w14:textId="77777777" w:rsidTr="001346C6">
        <w:tc>
          <w:tcPr>
            <w:tcW w:w="2614" w:type="dxa"/>
          </w:tcPr>
          <w:p w14:paraId="62F672B5" w14:textId="4F40AF7B" w:rsidR="001346C6" w:rsidRPr="004213BA" w:rsidRDefault="001346C6" w:rsidP="001346C6">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sz w:val="20"/>
                <w:szCs w:val="20"/>
                <w:lang w:val="en-US" w:eastAsia="zh-CN" w:bidi="hi-IN"/>
              </w:rPr>
              <w:t>No. of observations</w:t>
            </w:r>
          </w:p>
        </w:tc>
        <w:tc>
          <w:tcPr>
            <w:tcW w:w="1436" w:type="dxa"/>
            <w:tcBorders>
              <w:right w:val="nil"/>
            </w:tcBorders>
          </w:tcPr>
          <w:p w14:paraId="239B6F49" w14:textId="20D79CFD" w:rsidR="001346C6" w:rsidRPr="004213BA" w:rsidRDefault="001346C6" w:rsidP="001346C6">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1,201</w:t>
            </w:r>
          </w:p>
        </w:tc>
        <w:tc>
          <w:tcPr>
            <w:tcW w:w="1170" w:type="dxa"/>
            <w:tcBorders>
              <w:left w:val="nil"/>
            </w:tcBorders>
          </w:tcPr>
          <w:p w14:paraId="1D08FBB8" w14:textId="77777777" w:rsidR="001346C6" w:rsidRPr="004213BA" w:rsidRDefault="001346C6" w:rsidP="001346C6">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c>
          <w:tcPr>
            <w:tcW w:w="1440" w:type="dxa"/>
            <w:tcBorders>
              <w:right w:val="nil"/>
            </w:tcBorders>
          </w:tcPr>
          <w:p w14:paraId="7CAD7E28" w14:textId="5322E00E" w:rsidR="001346C6" w:rsidRPr="004213BA" w:rsidRDefault="001346C6" w:rsidP="001346C6">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1,201</w:t>
            </w:r>
          </w:p>
        </w:tc>
        <w:tc>
          <w:tcPr>
            <w:tcW w:w="1310" w:type="dxa"/>
            <w:tcBorders>
              <w:left w:val="nil"/>
            </w:tcBorders>
          </w:tcPr>
          <w:p w14:paraId="26CDCD34" w14:textId="77777777" w:rsidR="001346C6" w:rsidRPr="004213BA" w:rsidRDefault="001346C6" w:rsidP="001346C6">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c>
          <w:tcPr>
            <w:tcW w:w="1390" w:type="dxa"/>
            <w:tcBorders>
              <w:right w:val="nil"/>
            </w:tcBorders>
          </w:tcPr>
          <w:p w14:paraId="4046035B" w14:textId="4ACE9AAF" w:rsidR="001346C6" w:rsidRPr="004213BA" w:rsidRDefault="001346C6" w:rsidP="001346C6">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1,201</w:t>
            </w:r>
          </w:p>
        </w:tc>
        <w:tc>
          <w:tcPr>
            <w:tcW w:w="1308" w:type="dxa"/>
            <w:tcBorders>
              <w:left w:val="nil"/>
            </w:tcBorders>
          </w:tcPr>
          <w:p w14:paraId="58FB8E20" w14:textId="77777777" w:rsidR="001346C6" w:rsidRPr="004213BA" w:rsidRDefault="001346C6" w:rsidP="001346C6">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r>
      <w:tr w:rsidR="00B85AAB" w:rsidRPr="004213BA" w14:paraId="69FE87C1" w14:textId="77777777" w:rsidTr="001346C6">
        <w:tc>
          <w:tcPr>
            <w:tcW w:w="2614" w:type="dxa"/>
          </w:tcPr>
          <w:p w14:paraId="7DE5BE45" w14:textId="6EF0DFD8" w:rsidR="00B85AAB" w:rsidRPr="004213BA" w:rsidRDefault="00B85AAB" w:rsidP="001346C6">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sz w:val="20"/>
                <w:szCs w:val="20"/>
                <w:lang w:val="en-US" w:eastAsia="zh-CN" w:bidi="hi-IN"/>
              </w:rPr>
              <w:t>F-test Significance</w:t>
            </w:r>
          </w:p>
        </w:tc>
        <w:tc>
          <w:tcPr>
            <w:tcW w:w="1436" w:type="dxa"/>
            <w:tcBorders>
              <w:right w:val="nil"/>
            </w:tcBorders>
          </w:tcPr>
          <w:p w14:paraId="71C14F1B" w14:textId="29C85409" w:rsidR="00B85AAB" w:rsidRPr="004213BA" w:rsidRDefault="00B85AAB" w:rsidP="001346C6">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Pr>
                <w:rFonts w:asciiTheme="majorHAnsi" w:eastAsiaTheme="minorEastAsia" w:hAnsiTheme="majorHAnsi" w:cstheme="majorHAnsi"/>
                <w:color w:val="000000"/>
                <w:sz w:val="20"/>
                <w:szCs w:val="20"/>
                <w:lang w:val="en-US" w:eastAsia="zh-CN" w:bidi="hi-IN"/>
              </w:rPr>
              <w:t>.</w:t>
            </w:r>
          </w:p>
        </w:tc>
        <w:tc>
          <w:tcPr>
            <w:tcW w:w="1170" w:type="dxa"/>
            <w:tcBorders>
              <w:left w:val="nil"/>
            </w:tcBorders>
          </w:tcPr>
          <w:p w14:paraId="2004AA55" w14:textId="77777777" w:rsidR="00B85AAB" w:rsidRPr="004213BA" w:rsidRDefault="00B85AAB" w:rsidP="001346C6">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c>
          <w:tcPr>
            <w:tcW w:w="1440" w:type="dxa"/>
            <w:tcBorders>
              <w:right w:val="nil"/>
            </w:tcBorders>
          </w:tcPr>
          <w:p w14:paraId="6E074B87" w14:textId="054CACC6" w:rsidR="00B85AAB" w:rsidRPr="004213BA" w:rsidRDefault="00B85AAB" w:rsidP="001346C6">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Pr>
                <w:rFonts w:asciiTheme="majorHAnsi" w:eastAsiaTheme="minorEastAsia" w:hAnsiTheme="majorHAnsi" w:cstheme="majorHAnsi"/>
                <w:color w:val="000000"/>
                <w:sz w:val="20"/>
                <w:szCs w:val="20"/>
                <w:lang w:val="en-US" w:eastAsia="zh-CN" w:bidi="hi-IN"/>
              </w:rPr>
              <w:t>.</w:t>
            </w:r>
          </w:p>
        </w:tc>
        <w:tc>
          <w:tcPr>
            <w:tcW w:w="1310" w:type="dxa"/>
            <w:tcBorders>
              <w:left w:val="nil"/>
            </w:tcBorders>
          </w:tcPr>
          <w:p w14:paraId="28E97347" w14:textId="77777777" w:rsidR="00B85AAB" w:rsidRPr="004213BA" w:rsidRDefault="00B85AAB" w:rsidP="001346C6">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c>
          <w:tcPr>
            <w:tcW w:w="1390" w:type="dxa"/>
            <w:tcBorders>
              <w:right w:val="nil"/>
            </w:tcBorders>
          </w:tcPr>
          <w:p w14:paraId="1EF840BD" w14:textId="698CD0B0" w:rsidR="00B85AAB" w:rsidRPr="004213BA" w:rsidRDefault="00B85AAB" w:rsidP="001346C6">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Pr>
                <w:rFonts w:asciiTheme="majorHAnsi" w:eastAsiaTheme="minorEastAsia" w:hAnsiTheme="majorHAnsi" w:cstheme="majorHAnsi"/>
                <w:color w:val="000000"/>
                <w:sz w:val="20"/>
                <w:szCs w:val="20"/>
                <w:lang w:val="en-US" w:eastAsia="zh-CN" w:bidi="hi-IN"/>
              </w:rPr>
              <w:t>.</w:t>
            </w:r>
          </w:p>
        </w:tc>
        <w:tc>
          <w:tcPr>
            <w:tcW w:w="1308" w:type="dxa"/>
            <w:tcBorders>
              <w:left w:val="nil"/>
            </w:tcBorders>
          </w:tcPr>
          <w:p w14:paraId="34D85340" w14:textId="77777777" w:rsidR="00B85AAB" w:rsidRPr="004213BA" w:rsidRDefault="00B85AAB" w:rsidP="001346C6">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r>
      <w:tr w:rsidR="00C97B73" w:rsidRPr="004213BA" w14:paraId="61E0A4E5" w14:textId="77777777" w:rsidTr="001346C6">
        <w:tc>
          <w:tcPr>
            <w:tcW w:w="2614" w:type="dxa"/>
          </w:tcPr>
          <w:p w14:paraId="2F9791FF" w14:textId="07B277EE" w:rsidR="00C97B73" w:rsidRPr="004213BA" w:rsidRDefault="00C97B73" w:rsidP="001346C6">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sz w:val="20"/>
                <w:szCs w:val="20"/>
                <w:lang w:val="en-US" w:eastAsia="zh-CN" w:bidi="hi-IN"/>
              </w:rPr>
              <w:t>R-squared</w:t>
            </w:r>
          </w:p>
        </w:tc>
        <w:tc>
          <w:tcPr>
            <w:tcW w:w="1436" w:type="dxa"/>
            <w:tcBorders>
              <w:right w:val="nil"/>
            </w:tcBorders>
          </w:tcPr>
          <w:p w14:paraId="64C8AE30" w14:textId="2578F690" w:rsidR="00C97B73" w:rsidRDefault="00C97B73" w:rsidP="001346C6">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hAnsiTheme="majorHAnsi" w:cstheme="majorHAnsi"/>
                <w:color w:val="000000"/>
                <w:sz w:val="20"/>
                <w:szCs w:val="20"/>
                <w:lang w:val="en-US"/>
              </w:rPr>
              <w:t>0.0051</w:t>
            </w:r>
          </w:p>
        </w:tc>
        <w:tc>
          <w:tcPr>
            <w:tcW w:w="1170" w:type="dxa"/>
            <w:tcBorders>
              <w:left w:val="nil"/>
            </w:tcBorders>
          </w:tcPr>
          <w:p w14:paraId="01CF5D61" w14:textId="77777777" w:rsidR="00C97B73" w:rsidRPr="004213BA" w:rsidRDefault="00C97B73" w:rsidP="001346C6">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c>
          <w:tcPr>
            <w:tcW w:w="1440" w:type="dxa"/>
            <w:tcBorders>
              <w:right w:val="nil"/>
            </w:tcBorders>
          </w:tcPr>
          <w:p w14:paraId="0B3E01F9" w14:textId="58303FAF" w:rsidR="00C97B73" w:rsidRDefault="00C97B73" w:rsidP="001346C6">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hAnsiTheme="majorHAnsi" w:cstheme="majorHAnsi"/>
                <w:color w:val="000000"/>
                <w:sz w:val="20"/>
                <w:szCs w:val="20"/>
                <w:lang w:val="en-US"/>
              </w:rPr>
              <w:t>0.0076</w:t>
            </w:r>
          </w:p>
        </w:tc>
        <w:tc>
          <w:tcPr>
            <w:tcW w:w="1310" w:type="dxa"/>
            <w:tcBorders>
              <w:left w:val="nil"/>
            </w:tcBorders>
          </w:tcPr>
          <w:p w14:paraId="64DE559E" w14:textId="77777777" w:rsidR="00C97B73" w:rsidRPr="004213BA" w:rsidRDefault="00C97B73" w:rsidP="001346C6">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c>
          <w:tcPr>
            <w:tcW w:w="1390" w:type="dxa"/>
            <w:tcBorders>
              <w:right w:val="nil"/>
            </w:tcBorders>
          </w:tcPr>
          <w:p w14:paraId="40878D05" w14:textId="13895D12" w:rsidR="00C97B73" w:rsidRDefault="00C97B73" w:rsidP="001346C6">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hAnsiTheme="majorHAnsi" w:cstheme="majorHAnsi"/>
                <w:color w:val="000000"/>
                <w:sz w:val="20"/>
                <w:szCs w:val="20"/>
                <w:lang w:val="en-US"/>
              </w:rPr>
              <w:t>0.0083</w:t>
            </w:r>
          </w:p>
        </w:tc>
        <w:tc>
          <w:tcPr>
            <w:tcW w:w="1308" w:type="dxa"/>
            <w:tcBorders>
              <w:left w:val="nil"/>
            </w:tcBorders>
          </w:tcPr>
          <w:p w14:paraId="2B39C253" w14:textId="77777777" w:rsidR="00C97B73" w:rsidRPr="004213BA" w:rsidRDefault="00C97B73" w:rsidP="001346C6">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r>
    </w:tbl>
    <w:p w14:paraId="1C8579C3"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sz w:val="20"/>
          <w:szCs w:val="20"/>
          <w:lang w:val="en-US" w:eastAsia="zh-CN" w:bidi="hi-IN"/>
        </w:rPr>
        <w:t>*, **, *** indicates significance at the 10%, 5%, and 1% level, respectively.</w:t>
      </w:r>
    </w:p>
    <w:p w14:paraId="18209758" w14:textId="6CE4A9B6" w:rsidR="008D0CAD" w:rsidRPr="005424E3" w:rsidRDefault="008D0CAD" w:rsidP="00796BFA">
      <w:pPr>
        <w:spacing w:before="100" w:beforeAutospacing="1" w:after="100" w:afterAutospacing="1" w:line="360" w:lineRule="auto"/>
        <w:rPr>
          <w:rFonts w:asciiTheme="majorHAnsi" w:hAnsiTheme="majorHAnsi" w:cstheme="majorHAnsi"/>
          <w:bCs/>
          <w:i/>
          <w:color w:val="44546A" w:themeColor="text2"/>
          <w:sz w:val="22"/>
          <w:szCs w:val="22"/>
          <w:lang w:val="en-US"/>
        </w:rPr>
      </w:pPr>
      <w:bookmarkStart w:id="434" w:name="_Toc15638047"/>
      <w:bookmarkStart w:id="435" w:name="_Toc71616645"/>
      <w:r w:rsidRPr="005424E3">
        <w:rPr>
          <w:rFonts w:asciiTheme="majorHAnsi" w:hAnsiTheme="majorHAnsi" w:cstheme="majorHAnsi"/>
          <w:bCs/>
          <w:i/>
          <w:color w:val="44546A" w:themeColor="text2"/>
          <w:sz w:val="22"/>
          <w:szCs w:val="22"/>
          <w:lang w:val="en-US"/>
        </w:rPr>
        <w:t xml:space="preserve">Table </w:t>
      </w:r>
      <w:r w:rsidRPr="005424E3">
        <w:rPr>
          <w:rFonts w:asciiTheme="majorHAnsi" w:hAnsiTheme="majorHAnsi" w:cstheme="majorHAnsi"/>
          <w:bCs/>
          <w:i/>
          <w:color w:val="44546A" w:themeColor="text2"/>
          <w:sz w:val="22"/>
          <w:szCs w:val="22"/>
          <w:lang w:val="en-US"/>
        </w:rPr>
        <w:fldChar w:fldCharType="begin"/>
      </w:r>
      <w:r w:rsidRPr="005424E3">
        <w:rPr>
          <w:rFonts w:asciiTheme="majorHAnsi" w:hAnsiTheme="majorHAnsi" w:cstheme="majorHAnsi"/>
          <w:bCs/>
          <w:i/>
          <w:color w:val="44546A" w:themeColor="text2"/>
          <w:sz w:val="22"/>
          <w:szCs w:val="22"/>
          <w:lang w:val="en-US"/>
        </w:rPr>
        <w:instrText xml:space="preserve"> SEQ Table \* ARABIC </w:instrText>
      </w:r>
      <w:r w:rsidRPr="005424E3">
        <w:rPr>
          <w:rFonts w:asciiTheme="majorHAnsi" w:hAnsiTheme="majorHAnsi" w:cstheme="majorHAnsi"/>
          <w:bCs/>
          <w:i/>
          <w:color w:val="44546A" w:themeColor="text2"/>
          <w:sz w:val="22"/>
          <w:szCs w:val="22"/>
          <w:lang w:val="en-US"/>
        </w:rPr>
        <w:fldChar w:fldCharType="separate"/>
      </w:r>
      <w:r w:rsidR="00D6133D">
        <w:rPr>
          <w:rFonts w:asciiTheme="majorHAnsi" w:hAnsiTheme="majorHAnsi" w:cstheme="majorHAnsi"/>
          <w:bCs/>
          <w:i/>
          <w:noProof/>
          <w:color w:val="44546A" w:themeColor="text2"/>
          <w:sz w:val="22"/>
          <w:szCs w:val="22"/>
          <w:lang w:val="en-US"/>
        </w:rPr>
        <w:t>54</w:t>
      </w:r>
      <w:r w:rsidRPr="005424E3">
        <w:rPr>
          <w:rFonts w:asciiTheme="majorHAnsi" w:hAnsiTheme="majorHAnsi" w:cstheme="majorHAnsi"/>
          <w:bCs/>
          <w:i/>
          <w:color w:val="44546A" w:themeColor="text2"/>
          <w:sz w:val="22"/>
          <w:szCs w:val="22"/>
          <w:lang w:val="en-US"/>
        </w:rPr>
        <w:fldChar w:fldCharType="end"/>
      </w:r>
      <w:r w:rsidRPr="005424E3">
        <w:rPr>
          <w:rFonts w:asciiTheme="majorHAnsi" w:hAnsiTheme="majorHAnsi" w:cstheme="majorHAnsi"/>
          <w:bCs/>
          <w:i/>
          <w:color w:val="44546A" w:themeColor="text2"/>
          <w:sz w:val="22"/>
          <w:szCs w:val="22"/>
          <w:lang w:val="en-US"/>
        </w:rPr>
        <w:t>. Regression Results for Region X Students</w:t>
      </w:r>
      <w:bookmarkEnd w:id="434"/>
      <w:bookmarkEnd w:id="435"/>
    </w:p>
    <w:tbl>
      <w:tblPr>
        <w:tblStyle w:val="TableGrid18"/>
        <w:tblW w:w="0" w:type="auto"/>
        <w:tblLook w:val="04A0" w:firstRow="1" w:lastRow="0" w:firstColumn="1" w:lastColumn="0" w:noHBand="0" w:noVBand="1"/>
      </w:tblPr>
      <w:tblGrid>
        <w:gridCol w:w="2611"/>
        <w:gridCol w:w="1307"/>
        <w:gridCol w:w="1306"/>
        <w:gridCol w:w="1307"/>
        <w:gridCol w:w="1306"/>
        <w:gridCol w:w="1307"/>
        <w:gridCol w:w="1306"/>
      </w:tblGrid>
      <w:tr w:rsidR="00B60DB7" w:rsidRPr="004213BA" w14:paraId="1FE605E6" w14:textId="77777777" w:rsidTr="00F4751F">
        <w:trPr>
          <w:tblHeader/>
        </w:trPr>
        <w:tc>
          <w:tcPr>
            <w:tcW w:w="2611" w:type="dxa"/>
          </w:tcPr>
          <w:p w14:paraId="72119117" w14:textId="77777777" w:rsidR="00B60DB7" w:rsidRPr="004213BA" w:rsidRDefault="00B60DB7" w:rsidP="005805AC">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c>
          <w:tcPr>
            <w:tcW w:w="1307" w:type="dxa"/>
            <w:tcBorders>
              <w:right w:val="nil"/>
            </w:tcBorders>
          </w:tcPr>
          <w:p w14:paraId="26F81931" w14:textId="2CF5FDA8" w:rsidR="00B60DB7" w:rsidRPr="004B064D" w:rsidRDefault="00B60DB7" w:rsidP="005805AC">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r w:rsidRPr="004B064D">
              <w:rPr>
                <w:rFonts w:asciiTheme="majorHAnsi" w:eastAsiaTheme="minorEastAsia" w:hAnsiTheme="majorHAnsi" w:cstheme="majorHAnsi"/>
                <w:b/>
                <w:bCs/>
                <w:sz w:val="20"/>
                <w:szCs w:val="20"/>
                <w:lang w:val="en-US" w:eastAsia="zh-CN" w:bidi="hi-IN"/>
              </w:rPr>
              <w:t>Grade 4</w:t>
            </w:r>
          </w:p>
        </w:tc>
        <w:tc>
          <w:tcPr>
            <w:tcW w:w="1306" w:type="dxa"/>
            <w:tcBorders>
              <w:left w:val="nil"/>
            </w:tcBorders>
          </w:tcPr>
          <w:p w14:paraId="16EB2DC4" w14:textId="7B3B30CC" w:rsidR="00B60DB7" w:rsidRPr="004B064D" w:rsidRDefault="00B60DB7" w:rsidP="005805AC">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p>
        </w:tc>
        <w:tc>
          <w:tcPr>
            <w:tcW w:w="1307" w:type="dxa"/>
            <w:tcBorders>
              <w:right w:val="nil"/>
            </w:tcBorders>
          </w:tcPr>
          <w:p w14:paraId="57477E2F" w14:textId="217F6BEB" w:rsidR="00B60DB7" w:rsidRPr="004B064D" w:rsidRDefault="00B60DB7" w:rsidP="005805AC">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r w:rsidRPr="000A4732">
              <w:rPr>
                <w:rFonts w:asciiTheme="majorHAnsi" w:eastAsiaTheme="minorEastAsia" w:hAnsiTheme="majorHAnsi" w:cstheme="majorHAnsi"/>
                <w:b/>
                <w:bCs/>
                <w:sz w:val="20"/>
                <w:szCs w:val="20"/>
                <w:lang w:val="en-US" w:eastAsia="zh-CN" w:bidi="hi-IN"/>
              </w:rPr>
              <w:t>Grade 5</w:t>
            </w:r>
          </w:p>
        </w:tc>
        <w:tc>
          <w:tcPr>
            <w:tcW w:w="1306" w:type="dxa"/>
            <w:tcBorders>
              <w:left w:val="nil"/>
            </w:tcBorders>
          </w:tcPr>
          <w:p w14:paraId="6CC0C3F0" w14:textId="0AB36078" w:rsidR="00B60DB7" w:rsidRPr="004B064D" w:rsidRDefault="00B60DB7" w:rsidP="005805AC">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p>
        </w:tc>
        <w:tc>
          <w:tcPr>
            <w:tcW w:w="1307" w:type="dxa"/>
            <w:tcBorders>
              <w:right w:val="nil"/>
            </w:tcBorders>
          </w:tcPr>
          <w:p w14:paraId="3A29B97C" w14:textId="1D00D3F2" w:rsidR="00B60DB7" w:rsidRPr="004B064D" w:rsidRDefault="00B60DB7" w:rsidP="005805AC">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r w:rsidRPr="004B064D">
              <w:rPr>
                <w:rFonts w:asciiTheme="majorHAnsi" w:eastAsiaTheme="minorEastAsia" w:hAnsiTheme="majorHAnsi" w:cstheme="majorHAnsi"/>
                <w:b/>
                <w:bCs/>
                <w:sz w:val="20"/>
                <w:szCs w:val="20"/>
                <w:lang w:val="en-US" w:eastAsia="zh-CN" w:bidi="hi-IN"/>
              </w:rPr>
              <w:t>Grade 6</w:t>
            </w:r>
          </w:p>
        </w:tc>
        <w:tc>
          <w:tcPr>
            <w:tcW w:w="1306" w:type="dxa"/>
            <w:tcBorders>
              <w:left w:val="nil"/>
            </w:tcBorders>
          </w:tcPr>
          <w:p w14:paraId="6DBDA814" w14:textId="567CFB21" w:rsidR="00B60DB7" w:rsidRPr="004B064D" w:rsidRDefault="00B60DB7" w:rsidP="005805AC">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p>
        </w:tc>
      </w:tr>
      <w:tr w:rsidR="008D0CAD" w:rsidRPr="004213BA" w14:paraId="700A78F2" w14:textId="77777777" w:rsidTr="00F4751F">
        <w:trPr>
          <w:tblHeader/>
        </w:trPr>
        <w:tc>
          <w:tcPr>
            <w:tcW w:w="2611" w:type="dxa"/>
          </w:tcPr>
          <w:p w14:paraId="3E343700"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c>
          <w:tcPr>
            <w:tcW w:w="1307" w:type="dxa"/>
          </w:tcPr>
          <w:p w14:paraId="742EC57A" w14:textId="77777777" w:rsidR="008D0CAD" w:rsidRPr="004B064D" w:rsidRDefault="008D0CAD" w:rsidP="00796BFA">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r w:rsidRPr="004B064D">
              <w:rPr>
                <w:rFonts w:asciiTheme="majorHAnsi" w:eastAsiaTheme="minorEastAsia" w:hAnsiTheme="majorHAnsi" w:cstheme="majorHAnsi"/>
                <w:b/>
                <w:bCs/>
                <w:sz w:val="20"/>
                <w:szCs w:val="20"/>
                <w:lang w:val="en-US" w:eastAsia="zh-CN" w:bidi="hi-IN"/>
              </w:rPr>
              <w:t>Coefficient</w:t>
            </w:r>
          </w:p>
        </w:tc>
        <w:tc>
          <w:tcPr>
            <w:tcW w:w="1306" w:type="dxa"/>
          </w:tcPr>
          <w:p w14:paraId="415AC84A" w14:textId="77777777" w:rsidR="008D0CAD" w:rsidRPr="004B064D" w:rsidRDefault="008D0CAD" w:rsidP="00796BFA">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r w:rsidRPr="004B064D">
              <w:rPr>
                <w:rFonts w:asciiTheme="majorHAnsi" w:eastAsiaTheme="minorEastAsia" w:hAnsiTheme="majorHAnsi" w:cstheme="majorHAnsi"/>
                <w:b/>
                <w:bCs/>
                <w:sz w:val="20"/>
                <w:szCs w:val="20"/>
                <w:lang w:val="en-US" w:eastAsia="zh-CN" w:bidi="hi-IN"/>
              </w:rPr>
              <w:t>Standard Error</w:t>
            </w:r>
          </w:p>
        </w:tc>
        <w:tc>
          <w:tcPr>
            <w:tcW w:w="1307" w:type="dxa"/>
          </w:tcPr>
          <w:p w14:paraId="52C2992C" w14:textId="77777777" w:rsidR="008D0CAD" w:rsidRPr="000A4732" w:rsidRDefault="008D0CAD" w:rsidP="00796BFA">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r w:rsidRPr="004B064D">
              <w:rPr>
                <w:rFonts w:asciiTheme="majorHAnsi" w:eastAsiaTheme="minorEastAsia" w:hAnsiTheme="majorHAnsi" w:cstheme="majorHAnsi"/>
                <w:b/>
                <w:bCs/>
                <w:sz w:val="20"/>
                <w:szCs w:val="20"/>
                <w:lang w:val="en-US" w:eastAsia="zh-CN" w:bidi="hi-IN"/>
              </w:rPr>
              <w:t>Coefficient</w:t>
            </w:r>
          </w:p>
        </w:tc>
        <w:tc>
          <w:tcPr>
            <w:tcW w:w="1306" w:type="dxa"/>
          </w:tcPr>
          <w:p w14:paraId="0E7B021B" w14:textId="77777777" w:rsidR="008D0CAD" w:rsidRPr="000A4732" w:rsidRDefault="008D0CAD" w:rsidP="00796BFA">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r w:rsidRPr="004B064D">
              <w:rPr>
                <w:rFonts w:asciiTheme="majorHAnsi" w:eastAsiaTheme="minorEastAsia" w:hAnsiTheme="majorHAnsi" w:cstheme="majorHAnsi"/>
                <w:b/>
                <w:bCs/>
                <w:sz w:val="20"/>
                <w:szCs w:val="20"/>
                <w:lang w:val="en-US" w:eastAsia="zh-CN" w:bidi="hi-IN"/>
              </w:rPr>
              <w:t>Standard Error</w:t>
            </w:r>
          </w:p>
        </w:tc>
        <w:tc>
          <w:tcPr>
            <w:tcW w:w="1307" w:type="dxa"/>
          </w:tcPr>
          <w:p w14:paraId="200C8679" w14:textId="77777777" w:rsidR="008D0CAD" w:rsidRPr="000A4732" w:rsidRDefault="008D0CAD" w:rsidP="00796BFA">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r w:rsidRPr="004B064D">
              <w:rPr>
                <w:rFonts w:asciiTheme="majorHAnsi" w:eastAsiaTheme="minorEastAsia" w:hAnsiTheme="majorHAnsi" w:cstheme="majorHAnsi"/>
                <w:b/>
                <w:bCs/>
                <w:sz w:val="20"/>
                <w:szCs w:val="20"/>
                <w:lang w:val="en-US" w:eastAsia="zh-CN" w:bidi="hi-IN"/>
              </w:rPr>
              <w:t>Coefficient</w:t>
            </w:r>
          </w:p>
        </w:tc>
        <w:tc>
          <w:tcPr>
            <w:tcW w:w="1306" w:type="dxa"/>
          </w:tcPr>
          <w:p w14:paraId="1B8FA06F" w14:textId="77777777" w:rsidR="008D0CAD" w:rsidRPr="000A4732" w:rsidRDefault="008D0CAD" w:rsidP="00796BFA">
            <w:pPr>
              <w:spacing w:before="100" w:beforeAutospacing="1" w:after="100" w:afterAutospacing="1" w:line="360" w:lineRule="auto"/>
              <w:rPr>
                <w:rFonts w:asciiTheme="majorHAnsi" w:eastAsiaTheme="minorEastAsia" w:hAnsiTheme="majorHAnsi" w:cstheme="majorHAnsi"/>
                <w:b/>
                <w:bCs/>
                <w:sz w:val="20"/>
                <w:szCs w:val="20"/>
                <w:lang w:val="en-US" w:eastAsia="zh-CN" w:bidi="hi-IN"/>
              </w:rPr>
            </w:pPr>
            <w:r w:rsidRPr="004B064D">
              <w:rPr>
                <w:rFonts w:asciiTheme="majorHAnsi" w:eastAsiaTheme="minorEastAsia" w:hAnsiTheme="majorHAnsi" w:cstheme="majorHAnsi"/>
                <w:b/>
                <w:bCs/>
                <w:sz w:val="20"/>
                <w:szCs w:val="20"/>
                <w:lang w:val="en-US" w:eastAsia="zh-CN" w:bidi="hi-IN"/>
              </w:rPr>
              <w:t>Standard Error</w:t>
            </w:r>
          </w:p>
        </w:tc>
      </w:tr>
      <w:tr w:rsidR="008D0CAD" w:rsidRPr="004213BA" w14:paraId="01D2D611" w14:textId="77777777" w:rsidTr="00B60DB7">
        <w:tc>
          <w:tcPr>
            <w:tcW w:w="2611" w:type="dxa"/>
          </w:tcPr>
          <w:p w14:paraId="5CCEC5B6"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best</w:t>
            </w:r>
          </w:p>
        </w:tc>
        <w:tc>
          <w:tcPr>
            <w:tcW w:w="1307" w:type="dxa"/>
          </w:tcPr>
          <w:p w14:paraId="0383C33E"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0.2538</w:t>
            </w:r>
          </w:p>
        </w:tc>
        <w:tc>
          <w:tcPr>
            <w:tcW w:w="1306" w:type="dxa"/>
          </w:tcPr>
          <w:p w14:paraId="70E5D91E"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0.4591</w:t>
            </w:r>
          </w:p>
        </w:tc>
        <w:tc>
          <w:tcPr>
            <w:tcW w:w="1307" w:type="dxa"/>
          </w:tcPr>
          <w:p w14:paraId="3CC74B8F"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-1.1469</w:t>
            </w:r>
          </w:p>
        </w:tc>
        <w:tc>
          <w:tcPr>
            <w:tcW w:w="1306" w:type="dxa"/>
          </w:tcPr>
          <w:p w14:paraId="44AA89EF"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0.7228</w:t>
            </w:r>
          </w:p>
        </w:tc>
        <w:tc>
          <w:tcPr>
            <w:tcW w:w="1307" w:type="dxa"/>
          </w:tcPr>
          <w:p w14:paraId="5D7A7F9F"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0.0711</w:t>
            </w:r>
          </w:p>
        </w:tc>
        <w:tc>
          <w:tcPr>
            <w:tcW w:w="1306" w:type="dxa"/>
          </w:tcPr>
          <w:p w14:paraId="3F7EE2E2"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0.6223</w:t>
            </w:r>
          </w:p>
        </w:tc>
      </w:tr>
      <w:tr w:rsidR="008D0CAD" w:rsidRPr="004213BA" w14:paraId="3C666EE3" w14:textId="77777777" w:rsidTr="00B60DB7">
        <w:tc>
          <w:tcPr>
            <w:tcW w:w="2611" w:type="dxa"/>
          </w:tcPr>
          <w:p w14:paraId="106AF51D"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ES Size: Large</w:t>
            </w:r>
          </w:p>
        </w:tc>
        <w:tc>
          <w:tcPr>
            <w:tcW w:w="1307" w:type="dxa"/>
          </w:tcPr>
          <w:p w14:paraId="724A1015"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-0.5285</w:t>
            </w:r>
          </w:p>
        </w:tc>
        <w:tc>
          <w:tcPr>
            <w:tcW w:w="1306" w:type="dxa"/>
          </w:tcPr>
          <w:p w14:paraId="1E57EF77"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0.3889</w:t>
            </w:r>
          </w:p>
        </w:tc>
        <w:tc>
          <w:tcPr>
            <w:tcW w:w="1307" w:type="dxa"/>
          </w:tcPr>
          <w:p w14:paraId="2E8A6932"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-0.9013**</w:t>
            </w:r>
          </w:p>
        </w:tc>
        <w:tc>
          <w:tcPr>
            <w:tcW w:w="1306" w:type="dxa"/>
          </w:tcPr>
          <w:p w14:paraId="0EF26927"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0.4360</w:t>
            </w:r>
          </w:p>
        </w:tc>
        <w:tc>
          <w:tcPr>
            <w:tcW w:w="1307" w:type="dxa"/>
          </w:tcPr>
          <w:p w14:paraId="04B8A34F"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-0.3739</w:t>
            </w:r>
          </w:p>
        </w:tc>
        <w:tc>
          <w:tcPr>
            <w:tcW w:w="1306" w:type="dxa"/>
          </w:tcPr>
          <w:p w14:paraId="3A5DD2A2"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0.3540</w:t>
            </w:r>
          </w:p>
        </w:tc>
      </w:tr>
      <w:tr w:rsidR="008D0CAD" w:rsidRPr="004213BA" w14:paraId="32A0CA9F" w14:textId="77777777" w:rsidTr="00B60DB7">
        <w:tc>
          <w:tcPr>
            <w:tcW w:w="2611" w:type="dxa"/>
          </w:tcPr>
          <w:p w14:paraId="40B8D2BB"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ES Size: Medium</w:t>
            </w:r>
          </w:p>
        </w:tc>
        <w:tc>
          <w:tcPr>
            <w:tcW w:w="1307" w:type="dxa"/>
          </w:tcPr>
          <w:p w14:paraId="0D7928BA"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0.5421</w:t>
            </w:r>
          </w:p>
        </w:tc>
        <w:tc>
          <w:tcPr>
            <w:tcW w:w="1306" w:type="dxa"/>
          </w:tcPr>
          <w:p w14:paraId="7C1C2469"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0.5655</w:t>
            </w:r>
          </w:p>
        </w:tc>
        <w:tc>
          <w:tcPr>
            <w:tcW w:w="1307" w:type="dxa"/>
          </w:tcPr>
          <w:p w14:paraId="5EADBCDD"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0.1644</w:t>
            </w:r>
          </w:p>
        </w:tc>
        <w:tc>
          <w:tcPr>
            <w:tcW w:w="1306" w:type="dxa"/>
          </w:tcPr>
          <w:p w14:paraId="4A3359B4"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0.2944</w:t>
            </w:r>
          </w:p>
        </w:tc>
        <w:tc>
          <w:tcPr>
            <w:tcW w:w="1307" w:type="dxa"/>
          </w:tcPr>
          <w:p w14:paraId="2F052C0D"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0.7834</w:t>
            </w:r>
          </w:p>
        </w:tc>
        <w:tc>
          <w:tcPr>
            <w:tcW w:w="1306" w:type="dxa"/>
          </w:tcPr>
          <w:p w14:paraId="7477CA82"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0.5577</w:t>
            </w:r>
          </w:p>
        </w:tc>
      </w:tr>
      <w:tr w:rsidR="008D0CAD" w:rsidRPr="004213BA" w14:paraId="6A338759" w14:textId="77777777" w:rsidTr="00B60DB7">
        <w:tc>
          <w:tcPr>
            <w:tcW w:w="2611" w:type="dxa"/>
          </w:tcPr>
          <w:p w14:paraId="5D8A1718"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ES Size: Very Large</w:t>
            </w:r>
          </w:p>
        </w:tc>
        <w:tc>
          <w:tcPr>
            <w:tcW w:w="1307" w:type="dxa"/>
          </w:tcPr>
          <w:p w14:paraId="15A4CBB0"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-0.6416</w:t>
            </w:r>
          </w:p>
        </w:tc>
        <w:tc>
          <w:tcPr>
            <w:tcW w:w="1306" w:type="dxa"/>
          </w:tcPr>
          <w:p w14:paraId="6E26DBDA"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0.4593</w:t>
            </w:r>
          </w:p>
        </w:tc>
        <w:tc>
          <w:tcPr>
            <w:tcW w:w="1307" w:type="dxa"/>
          </w:tcPr>
          <w:p w14:paraId="63CD2DE2"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-0.2332</w:t>
            </w:r>
          </w:p>
        </w:tc>
        <w:tc>
          <w:tcPr>
            <w:tcW w:w="1306" w:type="dxa"/>
          </w:tcPr>
          <w:p w14:paraId="51662253"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0.4678</w:t>
            </w:r>
          </w:p>
        </w:tc>
        <w:tc>
          <w:tcPr>
            <w:tcW w:w="1307" w:type="dxa"/>
          </w:tcPr>
          <w:p w14:paraId="563FA138"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-0.3465</w:t>
            </w:r>
          </w:p>
        </w:tc>
        <w:tc>
          <w:tcPr>
            <w:tcW w:w="1306" w:type="dxa"/>
          </w:tcPr>
          <w:p w14:paraId="6218BDBB"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0.4119</w:t>
            </w:r>
          </w:p>
        </w:tc>
      </w:tr>
      <w:tr w:rsidR="008D0CAD" w:rsidRPr="004213BA" w14:paraId="75B8F25C" w14:textId="77777777" w:rsidTr="00B60DB7">
        <w:tc>
          <w:tcPr>
            <w:tcW w:w="2611" w:type="dxa"/>
          </w:tcPr>
          <w:p w14:paraId="55DC480F"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Partially Urban</w:t>
            </w:r>
          </w:p>
        </w:tc>
        <w:tc>
          <w:tcPr>
            <w:tcW w:w="1307" w:type="dxa"/>
          </w:tcPr>
          <w:p w14:paraId="7EC54269"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0.3412</w:t>
            </w:r>
          </w:p>
        </w:tc>
        <w:tc>
          <w:tcPr>
            <w:tcW w:w="1306" w:type="dxa"/>
          </w:tcPr>
          <w:p w14:paraId="7091A39D"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0.3690</w:t>
            </w:r>
          </w:p>
        </w:tc>
        <w:tc>
          <w:tcPr>
            <w:tcW w:w="1307" w:type="dxa"/>
          </w:tcPr>
          <w:p w14:paraId="1E3EA66A"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0.3042</w:t>
            </w:r>
          </w:p>
        </w:tc>
        <w:tc>
          <w:tcPr>
            <w:tcW w:w="1306" w:type="dxa"/>
          </w:tcPr>
          <w:p w14:paraId="6482E508"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0.4988</w:t>
            </w:r>
          </w:p>
        </w:tc>
        <w:tc>
          <w:tcPr>
            <w:tcW w:w="1307" w:type="dxa"/>
          </w:tcPr>
          <w:p w14:paraId="0C994A69"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0.2710</w:t>
            </w:r>
          </w:p>
        </w:tc>
        <w:tc>
          <w:tcPr>
            <w:tcW w:w="1306" w:type="dxa"/>
          </w:tcPr>
          <w:p w14:paraId="6FC86433"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0.4628</w:t>
            </w:r>
          </w:p>
        </w:tc>
      </w:tr>
      <w:tr w:rsidR="008D0CAD" w:rsidRPr="004213BA" w14:paraId="2EDD75F4" w14:textId="77777777" w:rsidTr="00B60DB7">
        <w:tc>
          <w:tcPr>
            <w:tcW w:w="2611" w:type="dxa"/>
          </w:tcPr>
          <w:p w14:paraId="53369ABF"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Urban</w:t>
            </w:r>
          </w:p>
        </w:tc>
        <w:tc>
          <w:tcPr>
            <w:tcW w:w="1307" w:type="dxa"/>
          </w:tcPr>
          <w:p w14:paraId="70DB7DCE"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-0.5785</w:t>
            </w:r>
          </w:p>
        </w:tc>
        <w:tc>
          <w:tcPr>
            <w:tcW w:w="1306" w:type="dxa"/>
          </w:tcPr>
          <w:p w14:paraId="2F7641AC"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0.5034</w:t>
            </w:r>
          </w:p>
        </w:tc>
        <w:tc>
          <w:tcPr>
            <w:tcW w:w="1307" w:type="dxa"/>
          </w:tcPr>
          <w:p w14:paraId="66C22472"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-0.1696</w:t>
            </w:r>
          </w:p>
        </w:tc>
        <w:tc>
          <w:tcPr>
            <w:tcW w:w="1306" w:type="dxa"/>
          </w:tcPr>
          <w:p w14:paraId="40FD15C3"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0.6170</w:t>
            </w:r>
          </w:p>
        </w:tc>
        <w:tc>
          <w:tcPr>
            <w:tcW w:w="1307" w:type="dxa"/>
          </w:tcPr>
          <w:p w14:paraId="4838A657"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-0.0450</w:t>
            </w:r>
          </w:p>
        </w:tc>
        <w:tc>
          <w:tcPr>
            <w:tcW w:w="1306" w:type="dxa"/>
          </w:tcPr>
          <w:p w14:paraId="405242E7"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0.5091</w:t>
            </w:r>
          </w:p>
        </w:tc>
      </w:tr>
      <w:tr w:rsidR="008D0CAD" w:rsidRPr="004213BA" w14:paraId="142FFB92" w14:textId="77777777" w:rsidTr="009423E4">
        <w:tc>
          <w:tcPr>
            <w:tcW w:w="2611" w:type="dxa"/>
          </w:tcPr>
          <w:p w14:paraId="0102E9E9"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sz w:val="20"/>
                <w:szCs w:val="20"/>
                <w:lang w:val="en-US" w:eastAsia="zh-CN" w:bidi="hi-IN"/>
              </w:rPr>
              <w:t>constant</w:t>
            </w:r>
          </w:p>
        </w:tc>
        <w:tc>
          <w:tcPr>
            <w:tcW w:w="1307" w:type="dxa"/>
            <w:tcBorders>
              <w:bottom w:val="single" w:sz="4" w:space="0" w:color="auto"/>
            </w:tcBorders>
          </w:tcPr>
          <w:p w14:paraId="67D44212"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3.3731</w:t>
            </w:r>
          </w:p>
        </w:tc>
        <w:tc>
          <w:tcPr>
            <w:tcW w:w="1306" w:type="dxa"/>
          </w:tcPr>
          <w:p w14:paraId="54F78FBF"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0.3423</w:t>
            </w:r>
          </w:p>
        </w:tc>
        <w:tc>
          <w:tcPr>
            <w:tcW w:w="1307" w:type="dxa"/>
            <w:tcBorders>
              <w:bottom w:val="single" w:sz="4" w:space="0" w:color="auto"/>
            </w:tcBorders>
          </w:tcPr>
          <w:p w14:paraId="38526436"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2.8729</w:t>
            </w:r>
          </w:p>
        </w:tc>
        <w:tc>
          <w:tcPr>
            <w:tcW w:w="1306" w:type="dxa"/>
          </w:tcPr>
          <w:p w14:paraId="4BDB2C94"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0.4774</w:t>
            </w:r>
          </w:p>
        </w:tc>
        <w:tc>
          <w:tcPr>
            <w:tcW w:w="1307" w:type="dxa"/>
            <w:tcBorders>
              <w:bottom w:val="single" w:sz="4" w:space="0" w:color="auto"/>
            </w:tcBorders>
          </w:tcPr>
          <w:p w14:paraId="324A161D"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2.3750</w:t>
            </w:r>
          </w:p>
        </w:tc>
        <w:tc>
          <w:tcPr>
            <w:tcW w:w="1306" w:type="dxa"/>
          </w:tcPr>
          <w:p w14:paraId="5F3F2309"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0.4369</w:t>
            </w:r>
          </w:p>
        </w:tc>
      </w:tr>
      <w:tr w:rsidR="009423E4" w:rsidRPr="004213BA" w14:paraId="0CCB2CB2" w14:textId="77777777" w:rsidTr="009423E4">
        <w:tc>
          <w:tcPr>
            <w:tcW w:w="2611" w:type="dxa"/>
          </w:tcPr>
          <w:p w14:paraId="3A1BF9BF" w14:textId="3039FBE6" w:rsidR="009423E4" w:rsidRPr="004213BA" w:rsidRDefault="009423E4"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sz w:val="20"/>
                <w:szCs w:val="20"/>
                <w:lang w:val="en-US" w:eastAsia="zh-CN" w:bidi="hi-IN"/>
              </w:rPr>
              <w:t>No. of observations</w:t>
            </w:r>
          </w:p>
        </w:tc>
        <w:tc>
          <w:tcPr>
            <w:tcW w:w="1307" w:type="dxa"/>
            <w:tcBorders>
              <w:right w:val="nil"/>
            </w:tcBorders>
          </w:tcPr>
          <w:p w14:paraId="5E48F079" w14:textId="14A58C61" w:rsidR="009423E4" w:rsidRPr="004213BA" w:rsidRDefault="009423E4"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384</w:t>
            </w:r>
          </w:p>
        </w:tc>
        <w:tc>
          <w:tcPr>
            <w:tcW w:w="1306" w:type="dxa"/>
            <w:tcBorders>
              <w:left w:val="nil"/>
            </w:tcBorders>
          </w:tcPr>
          <w:p w14:paraId="2F3E34DD" w14:textId="77777777" w:rsidR="009423E4" w:rsidRPr="004213BA" w:rsidRDefault="009423E4"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c>
          <w:tcPr>
            <w:tcW w:w="1307" w:type="dxa"/>
            <w:tcBorders>
              <w:right w:val="nil"/>
            </w:tcBorders>
          </w:tcPr>
          <w:p w14:paraId="007ED323" w14:textId="6D5C9AA5" w:rsidR="009423E4" w:rsidRPr="004213BA" w:rsidRDefault="009423E4"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384</w:t>
            </w:r>
          </w:p>
        </w:tc>
        <w:tc>
          <w:tcPr>
            <w:tcW w:w="1306" w:type="dxa"/>
            <w:tcBorders>
              <w:left w:val="nil"/>
            </w:tcBorders>
          </w:tcPr>
          <w:p w14:paraId="1C7698D2" w14:textId="77777777" w:rsidR="009423E4" w:rsidRPr="004213BA" w:rsidRDefault="009423E4"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c>
          <w:tcPr>
            <w:tcW w:w="1307" w:type="dxa"/>
            <w:tcBorders>
              <w:right w:val="nil"/>
            </w:tcBorders>
          </w:tcPr>
          <w:p w14:paraId="0CD15F20" w14:textId="2E071006" w:rsidR="009423E4" w:rsidRPr="004213BA" w:rsidRDefault="009423E4"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eastAsiaTheme="minorEastAsia" w:hAnsiTheme="majorHAnsi" w:cstheme="majorHAnsi"/>
                <w:color w:val="000000"/>
                <w:sz w:val="20"/>
                <w:szCs w:val="20"/>
                <w:lang w:val="en-US" w:eastAsia="zh-CN" w:bidi="hi-IN"/>
              </w:rPr>
              <w:t>384</w:t>
            </w:r>
          </w:p>
        </w:tc>
        <w:tc>
          <w:tcPr>
            <w:tcW w:w="1306" w:type="dxa"/>
            <w:tcBorders>
              <w:left w:val="nil"/>
            </w:tcBorders>
          </w:tcPr>
          <w:p w14:paraId="573AFB65" w14:textId="77777777" w:rsidR="009423E4" w:rsidRPr="004213BA" w:rsidRDefault="009423E4"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r>
      <w:tr w:rsidR="00551D75" w:rsidRPr="004213BA" w14:paraId="45C0C783" w14:textId="77777777" w:rsidTr="009423E4">
        <w:tc>
          <w:tcPr>
            <w:tcW w:w="2611" w:type="dxa"/>
          </w:tcPr>
          <w:p w14:paraId="4FC80CDB" w14:textId="2A709762" w:rsidR="00551D75" w:rsidRPr="004213BA" w:rsidRDefault="00551D75"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sz w:val="20"/>
                <w:szCs w:val="20"/>
                <w:lang w:val="en-US" w:eastAsia="zh-CN" w:bidi="hi-IN"/>
              </w:rPr>
              <w:t>F-test Significance</w:t>
            </w:r>
          </w:p>
        </w:tc>
        <w:tc>
          <w:tcPr>
            <w:tcW w:w="1307" w:type="dxa"/>
            <w:tcBorders>
              <w:right w:val="nil"/>
            </w:tcBorders>
          </w:tcPr>
          <w:p w14:paraId="48A219FB" w14:textId="4B24E240" w:rsidR="00551D75" w:rsidRPr="004213BA" w:rsidRDefault="00551D75"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hAnsiTheme="majorHAnsi" w:cstheme="majorHAnsi"/>
                <w:color w:val="000000"/>
                <w:sz w:val="20"/>
                <w:szCs w:val="20"/>
                <w:lang w:val="en-US"/>
              </w:rPr>
              <w:t>***</w:t>
            </w:r>
          </w:p>
        </w:tc>
        <w:tc>
          <w:tcPr>
            <w:tcW w:w="1306" w:type="dxa"/>
            <w:tcBorders>
              <w:left w:val="nil"/>
            </w:tcBorders>
          </w:tcPr>
          <w:p w14:paraId="0DCB85A8" w14:textId="77777777" w:rsidR="00551D75" w:rsidRPr="004213BA" w:rsidRDefault="00551D75"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c>
          <w:tcPr>
            <w:tcW w:w="1307" w:type="dxa"/>
            <w:tcBorders>
              <w:right w:val="nil"/>
            </w:tcBorders>
          </w:tcPr>
          <w:p w14:paraId="53D33ED8" w14:textId="61088B9D" w:rsidR="00551D75" w:rsidRPr="004213BA" w:rsidRDefault="00551D75"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hAnsiTheme="majorHAnsi" w:cstheme="majorHAnsi"/>
                <w:color w:val="000000"/>
                <w:sz w:val="20"/>
                <w:szCs w:val="20"/>
                <w:lang w:val="en-US"/>
              </w:rPr>
              <w:t>***</w:t>
            </w:r>
          </w:p>
        </w:tc>
        <w:tc>
          <w:tcPr>
            <w:tcW w:w="1306" w:type="dxa"/>
            <w:tcBorders>
              <w:left w:val="nil"/>
            </w:tcBorders>
          </w:tcPr>
          <w:p w14:paraId="6A1EC2E0" w14:textId="77777777" w:rsidR="00551D75" w:rsidRPr="004213BA" w:rsidRDefault="00551D75"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c>
          <w:tcPr>
            <w:tcW w:w="1307" w:type="dxa"/>
            <w:tcBorders>
              <w:right w:val="nil"/>
            </w:tcBorders>
          </w:tcPr>
          <w:p w14:paraId="3927067C" w14:textId="77777777" w:rsidR="00551D75" w:rsidRPr="004213BA" w:rsidRDefault="00551D75"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c>
          <w:tcPr>
            <w:tcW w:w="1306" w:type="dxa"/>
            <w:tcBorders>
              <w:left w:val="nil"/>
            </w:tcBorders>
          </w:tcPr>
          <w:p w14:paraId="2930873C" w14:textId="77777777" w:rsidR="00551D75" w:rsidRPr="004213BA" w:rsidRDefault="00551D75"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r>
      <w:tr w:rsidR="00C97B73" w:rsidRPr="004213BA" w14:paraId="6043086C" w14:textId="77777777" w:rsidTr="009423E4">
        <w:tc>
          <w:tcPr>
            <w:tcW w:w="2611" w:type="dxa"/>
          </w:tcPr>
          <w:p w14:paraId="55B76E6C" w14:textId="084F2BFC" w:rsidR="00C97B73" w:rsidRPr="004213BA" w:rsidRDefault="00C97B73"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sz w:val="20"/>
                <w:szCs w:val="20"/>
                <w:lang w:val="en-US" w:eastAsia="zh-CN" w:bidi="hi-IN"/>
              </w:rPr>
              <w:t>R-squared</w:t>
            </w:r>
          </w:p>
        </w:tc>
        <w:tc>
          <w:tcPr>
            <w:tcW w:w="1307" w:type="dxa"/>
            <w:tcBorders>
              <w:right w:val="nil"/>
            </w:tcBorders>
          </w:tcPr>
          <w:p w14:paraId="7913FB79" w14:textId="4C3C9965" w:rsidR="00C97B73" w:rsidRPr="004213BA" w:rsidRDefault="00C97B73" w:rsidP="00796BFA">
            <w:pPr>
              <w:spacing w:before="100" w:beforeAutospacing="1" w:after="100" w:afterAutospacing="1" w:line="360" w:lineRule="auto"/>
              <w:rPr>
                <w:rFonts w:asciiTheme="majorHAnsi" w:hAnsiTheme="majorHAnsi" w:cstheme="majorHAnsi"/>
                <w:color w:val="000000"/>
                <w:sz w:val="20"/>
                <w:szCs w:val="20"/>
                <w:lang w:val="en-US"/>
              </w:rPr>
            </w:pPr>
            <w:r w:rsidRPr="004213BA">
              <w:rPr>
                <w:rFonts w:asciiTheme="majorHAnsi" w:hAnsiTheme="majorHAnsi" w:cstheme="majorHAnsi"/>
                <w:color w:val="000000"/>
                <w:sz w:val="20"/>
                <w:szCs w:val="20"/>
                <w:lang w:val="en-US"/>
              </w:rPr>
              <w:t>0.0419</w:t>
            </w:r>
          </w:p>
        </w:tc>
        <w:tc>
          <w:tcPr>
            <w:tcW w:w="1306" w:type="dxa"/>
            <w:tcBorders>
              <w:left w:val="nil"/>
            </w:tcBorders>
          </w:tcPr>
          <w:p w14:paraId="0EA353C9" w14:textId="77777777" w:rsidR="00C97B73" w:rsidRPr="004213BA" w:rsidRDefault="00C97B73"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c>
          <w:tcPr>
            <w:tcW w:w="1307" w:type="dxa"/>
            <w:tcBorders>
              <w:right w:val="nil"/>
            </w:tcBorders>
          </w:tcPr>
          <w:p w14:paraId="2AD1FF31" w14:textId="751786A9" w:rsidR="00C97B73" w:rsidRPr="004213BA" w:rsidRDefault="00C97B73" w:rsidP="00796BFA">
            <w:pPr>
              <w:spacing w:before="100" w:beforeAutospacing="1" w:after="100" w:afterAutospacing="1" w:line="360" w:lineRule="auto"/>
              <w:rPr>
                <w:rFonts w:asciiTheme="majorHAnsi" w:hAnsiTheme="majorHAnsi" w:cstheme="majorHAnsi"/>
                <w:color w:val="000000"/>
                <w:sz w:val="20"/>
                <w:szCs w:val="20"/>
                <w:lang w:val="en-US"/>
              </w:rPr>
            </w:pPr>
            <w:r w:rsidRPr="004213BA">
              <w:rPr>
                <w:rFonts w:asciiTheme="majorHAnsi" w:hAnsiTheme="majorHAnsi" w:cstheme="majorHAnsi"/>
                <w:color w:val="000000"/>
                <w:sz w:val="20"/>
                <w:szCs w:val="20"/>
                <w:lang w:val="en-US"/>
              </w:rPr>
              <w:t>0.0263</w:t>
            </w:r>
          </w:p>
        </w:tc>
        <w:tc>
          <w:tcPr>
            <w:tcW w:w="1306" w:type="dxa"/>
            <w:tcBorders>
              <w:left w:val="nil"/>
            </w:tcBorders>
          </w:tcPr>
          <w:p w14:paraId="5537C4FB" w14:textId="77777777" w:rsidR="00C97B73" w:rsidRPr="004213BA" w:rsidRDefault="00C97B73"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c>
          <w:tcPr>
            <w:tcW w:w="1307" w:type="dxa"/>
            <w:tcBorders>
              <w:right w:val="nil"/>
            </w:tcBorders>
          </w:tcPr>
          <w:p w14:paraId="578CA447" w14:textId="1A4C9BE8" w:rsidR="00C97B73" w:rsidRPr="004213BA" w:rsidRDefault="00C97B73"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r w:rsidRPr="004213BA">
              <w:rPr>
                <w:rFonts w:asciiTheme="majorHAnsi" w:hAnsiTheme="majorHAnsi" w:cstheme="majorHAnsi"/>
                <w:color w:val="000000"/>
                <w:sz w:val="20"/>
                <w:szCs w:val="20"/>
                <w:lang w:val="en-US"/>
              </w:rPr>
              <w:t>0.0153</w:t>
            </w:r>
          </w:p>
        </w:tc>
        <w:tc>
          <w:tcPr>
            <w:tcW w:w="1306" w:type="dxa"/>
            <w:tcBorders>
              <w:left w:val="nil"/>
            </w:tcBorders>
          </w:tcPr>
          <w:p w14:paraId="4987227E" w14:textId="77777777" w:rsidR="00C97B73" w:rsidRPr="004213BA" w:rsidRDefault="00C97B73" w:rsidP="00796BFA">
            <w:pPr>
              <w:spacing w:before="100" w:beforeAutospacing="1" w:after="100" w:afterAutospacing="1" w:line="360" w:lineRule="auto"/>
              <w:rPr>
                <w:rFonts w:asciiTheme="majorHAnsi" w:eastAsiaTheme="minorEastAsia" w:hAnsiTheme="majorHAnsi" w:cstheme="majorHAnsi"/>
                <w:color w:val="000000"/>
                <w:sz w:val="20"/>
                <w:szCs w:val="20"/>
                <w:lang w:val="en-US" w:eastAsia="zh-CN" w:bidi="hi-IN"/>
              </w:rPr>
            </w:pPr>
          </w:p>
        </w:tc>
      </w:tr>
    </w:tbl>
    <w:p w14:paraId="4A43E3AB" w14:textId="77777777" w:rsidR="008D0CAD" w:rsidRPr="004213BA" w:rsidRDefault="008D0CAD" w:rsidP="00796BFA">
      <w:pPr>
        <w:spacing w:before="100" w:beforeAutospacing="1" w:after="100" w:afterAutospacing="1" w:line="360" w:lineRule="auto"/>
        <w:rPr>
          <w:rFonts w:asciiTheme="majorHAnsi" w:eastAsiaTheme="minorEastAsia" w:hAnsiTheme="majorHAnsi" w:cstheme="majorHAnsi"/>
          <w:sz w:val="20"/>
          <w:szCs w:val="20"/>
          <w:lang w:val="en-US" w:eastAsia="zh-CN" w:bidi="hi-IN"/>
        </w:rPr>
      </w:pPr>
      <w:r w:rsidRPr="004213BA">
        <w:rPr>
          <w:rFonts w:asciiTheme="majorHAnsi" w:eastAsiaTheme="minorEastAsia" w:hAnsiTheme="majorHAnsi" w:cstheme="majorHAnsi"/>
          <w:sz w:val="20"/>
          <w:szCs w:val="20"/>
          <w:lang w:val="en-US" w:eastAsia="zh-CN" w:bidi="hi-IN"/>
        </w:rPr>
        <w:t>*, **, *** indicates significance at the 10%, 5%, and 1% level, respectively.</w:t>
      </w:r>
    </w:p>
    <w:p w14:paraId="2981E20D" w14:textId="77777777" w:rsidR="008D0CAD" w:rsidRDefault="008D0CAD" w:rsidP="00796BFA">
      <w:pPr>
        <w:spacing w:before="100" w:beforeAutospacing="1" w:after="100" w:afterAutospacing="1" w:line="360" w:lineRule="auto"/>
        <w:rPr>
          <w:rFonts w:asciiTheme="majorHAnsi" w:hAnsiTheme="majorHAnsi" w:cstheme="majorHAnsi"/>
        </w:rPr>
        <w:sectPr w:rsidR="008D0CAD" w:rsidSect="009C64E9">
          <w:pgSz w:w="11900" w:h="16840"/>
          <w:pgMar w:top="720" w:right="720" w:bottom="720" w:left="720" w:header="720" w:footer="720" w:gutter="0"/>
          <w:cols w:space="720"/>
          <w:docGrid w:linePitch="360"/>
        </w:sectPr>
      </w:pPr>
    </w:p>
    <w:p w14:paraId="76C9D8C6" w14:textId="77777777" w:rsidR="008D0CAD" w:rsidRPr="00A2742E" w:rsidRDefault="008D0CAD" w:rsidP="00796BFA">
      <w:pPr>
        <w:pStyle w:val="Heading3"/>
        <w:spacing w:before="100" w:beforeAutospacing="1" w:after="100" w:afterAutospacing="1" w:line="360" w:lineRule="auto"/>
        <w:rPr>
          <w:lang w:val="en-US"/>
        </w:rPr>
      </w:pPr>
      <w:bookmarkStart w:id="436" w:name="_Toc39938409"/>
      <w:bookmarkStart w:id="437" w:name="_Toc69820513"/>
      <w:r w:rsidRPr="00A2742E">
        <w:rPr>
          <w:lang w:val="en-US"/>
        </w:rPr>
        <w:t>Annex T-2. DID Analysis on Gender Grade Differentials</w:t>
      </w:r>
      <w:bookmarkEnd w:id="436"/>
      <w:bookmarkEnd w:id="437"/>
    </w:p>
    <w:p w14:paraId="388E0BC8" w14:textId="621C0C29" w:rsidR="008D0CAD" w:rsidRPr="00A2742E" w:rsidRDefault="008D0CAD" w:rsidP="00796BFA">
      <w:pPr>
        <w:spacing w:before="100" w:beforeAutospacing="1" w:after="100" w:afterAutospacing="1" w:line="360" w:lineRule="auto"/>
        <w:ind w:right="245"/>
        <w:rPr>
          <w:rFonts w:asciiTheme="majorHAnsi" w:eastAsia="Arial Unicode MS" w:hAnsiTheme="majorHAnsi" w:cstheme="majorHAnsi"/>
          <w:bCs/>
          <w:color w:val="000000" w:themeColor="text1"/>
          <w:sz w:val="22"/>
          <w:szCs w:val="22"/>
          <w:u w:color="000000"/>
          <w:lang w:val="en-US"/>
        </w:rPr>
      </w:pPr>
      <w:r w:rsidRPr="00A2742E">
        <w:rPr>
          <w:rFonts w:asciiTheme="majorHAnsi" w:eastAsia="Arial Unicode MS" w:hAnsiTheme="majorHAnsi" w:cstheme="majorHAnsi"/>
          <w:bCs/>
          <w:color w:val="000000" w:themeColor="text1"/>
          <w:sz w:val="22"/>
          <w:szCs w:val="22"/>
          <w:u w:color="000000"/>
          <w:lang w:val="en-US"/>
        </w:rPr>
        <w:t>The study also asked, “To what extent and how did BEST interventions reduce the differences in learning outcomes for boys and girls in target areas?”</w:t>
      </w:r>
      <w:r w:rsidR="00D434EB">
        <w:rPr>
          <w:rFonts w:asciiTheme="majorHAnsi" w:eastAsia="Arial Unicode MS" w:hAnsiTheme="majorHAnsi" w:cstheme="majorHAnsi"/>
          <w:bCs/>
          <w:color w:val="000000" w:themeColor="text1"/>
          <w:sz w:val="22"/>
          <w:szCs w:val="22"/>
          <w:u w:color="000000"/>
          <w:lang w:val="en-US"/>
        </w:rPr>
        <w:t xml:space="preserve"> </w:t>
      </w:r>
    </w:p>
    <w:p w14:paraId="3C66C834" w14:textId="75765B04" w:rsidR="008D0CAD" w:rsidRPr="00A2742E" w:rsidRDefault="008D0CAD" w:rsidP="00796BFA">
      <w:pPr>
        <w:spacing w:before="100" w:beforeAutospacing="1" w:after="100" w:afterAutospacing="1" w:line="360" w:lineRule="auto"/>
        <w:ind w:right="245"/>
        <w:rPr>
          <w:rFonts w:asciiTheme="majorHAnsi" w:eastAsia="Arial Unicode MS" w:hAnsiTheme="majorHAnsi" w:cstheme="majorHAnsi"/>
          <w:bCs/>
          <w:color w:val="000000" w:themeColor="text1"/>
          <w:sz w:val="22"/>
          <w:szCs w:val="22"/>
          <w:u w:color="000000"/>
          <w:lang w:val="en-US"/>
        </w:rPr>
      </w:pPr>
      <w:r w:rsidRPr="00A2742E">
        <w:rPr>
          <w:rFonts w:asciiTheme="majorHAnsi" w:eastAsia="Arial Unicode MS" w:hAnsiTheme="majorHAnsi" w:cstheme="majorHAnsi"/>
          <w:bCs/>
          <w:color w:val="000000" w:themeColor="text1"/>
          <w:sz w:val="22"/>
          <w:szCs w:val="22"/>
          <w:u w:color="000000"/>
          <w:lang w:val="en-US"/>
        </w:rPr>
        <w:t>To answer the question, gender grade differentials (GGD) by subject was determined using the difference-in-difference approach. Gender grade differential was derived from the difference between the grades of female and male students.</w:t>
      </w:r>
      <w:r w:rsidR="00D434EB">
        <w:rPr>
          <w:rFonts w:asciiTheme="majorHAnsi" w:eastAsia="Arial Unicode MS" w:hAnsiTheme="majorHAnsi" w:cstheme="majorHAnsi"/>
          <w:bCs/>
          <w:color w:val="000000" w:themeColor="text1"/>
          <w:sz w:val="22"/>
          <w:szCs w:val="22"/>
          <w:u w:color="000000"/>
          <w:lang w:val="en-US"/>
        </w:rPr>
        <w:t xml:space="preserve"> </w:t>
      </w:r>
      <w:r w:rsidRPr="00A2742E">
        <w:rPr>
          <w:rFonts w:asciiTheme="majorHAnsi" w:eastAsia="Arial Unicode MS" w:hAnsiTheme="majorHAnsi" w:cstheme="majorHAnsi"/>
          <w:bCs/>
          <w:color w:val="000000" w:themeColor="text1"/>
          <w:sz w:val="22"/>
          <w:szCs w:val="22"/>
          <w:u w:color="000000"/>
          <w:lang w:val="en-US"/>
        </w:rPr>
        <w:t>A positive GGD implied that average grades of girls were higher than that of boys.</w:t>
      </w:r>
      <w:r w:rsidR="00D434EB">
        <w:rPr>
          <w:rFonts w:asciiTheme="majorHAnsi" w:eastAsia="Arial Unicode MS" w:hAnsiTheme="majorHAnsi" w:cstheme="majorHAnsi"/>
          <w:bCs/>
          <w:color w:val="000000" w:themeColor="text1"/>
          <w:sz w:val="22"/>
          <w:szCs w:val="22"/>
          <w:u w:color="000000"/>
          <w:lang w:val="en-US"/>
        </w:rPr>
        <w:t xml:space="preserve"> </w:t>
      </w:r>
      <w:r w:rsidRPr="00A2742E">
        <w:rPr>
          <w:rFonts w:asciiTheme="majorHAnsi" w:eastAsia="Arial Unicode MS" w:hAnsiTheme="majorHAnsi" w:cstheme="majorHAnsi"/>
          <w:bCs/>
          <w:color w:val="000000" w:themeColor="text1"/>
          <w:sz w:val="22"/>
          <w:szCs w:val="22"/>
          <w:u w:color="000000"/>
          <w:lang w:val="en-US"/>
        </w:rPr>
        <w:t>In contrast, a negative</w:t>
      </w:r>
      <w:r w:rsidRPr="00A2742E">
        <w:rPr>
          <w:rFonts w:asciiTheme="majorHAnsi" w:eastAsia="Arial Unicode MS" w:hAnsiTheme="majorHAnsi" w:cstheme="majorHAnsi"/>
          <w:b/>
          <w:bCs/>
          <w:color w:val="000000" w:themeColor="text1"/>
          <w:sz w:val="22"/>
          <w:szCs w:val="22"/>
          <w:u w:color="000000"/>
          <w:lang w:val="en-US"/>
        </w:rPr>
        <w:t xml:space="preserve"> </w:t>
      </w:r>
      <w:r w:rsidRPr="00A2742E">
        <w:rPr>
          <w:rFonts w:asciiTheme="majorHAnsi" w:eastAsia="Arial Unicode MS" w:hAnsiTheme="majorHAnsi" w:cstheme="majorHAnsi"/>
          <w:bCs/>
          <w:color w:val="000000" w:themeColor="text1"/>
          <w:sz w:val="22"/>
          <w:szCs w:val="22"/>
          <w:u w:color="000000"/>
          <w:lang w:val="en-US"/>
        </w:rPr>
        <w:t xml:space="preserve">DID imply a positive effect of the Program in reducing the GGD in </w:t>
      </w:r>
      <w:r w:rsidRPr="00A2742E">
        <w:rPr>
          <w:rFonts w:asciiTheme="majorHAnsi" w:eastAsia="Arial Unicode MS" w:hAnsiTheme="majorHAnsi" w:cstheme="majorHAnsi"/>
          <w:sz w:val="22"/>
          <w:szCs w:val="22"/>
          <w:u w:color="000000"/>
          <w:lang w:val="en-US"/>
        </w:rPr>
        <w:t xml:space="preserve">direct recipient </w:t>
      </w:r>
      <w:r w:rsidRPr="00A2742E">
        <w:rPr>
          <w:rFonts w:asciiTheme="majorHAnsi" w:eastAsia="Arial Unicode MS" w:hAnsiTheme="majorHAnsi" w:cstheme="majorHAnsi"/>
          <w:bCs/>
          <w:color w:val="000000" w:themeColor="text1"/>
          <w:sz w:val="22"/>
          <w:szCs w:val="22"/>
          <w:u w:color="000000"/>
          <w:lang w:val="en-US"/>
        </w:rPr>
        <w:t xml:space="preserve">schools relative to </w:t>
      </w:r>
      <w:r w:rsidRPr="00A2742E">
        <w:rPr>
          <w:rFonts w:asciiTheme="majorHAnsi" w:eastAsia="Arial Unicode MS" w:hAnsiTheme="majorHAnsi" w:cstheme="majorHAnsi"/>
          <w:sz w:val="22"/>
          <w:szCs w:val="22"/>
          <w:u w:color="000000"/>
          <w:lang w:val="en-US"/>
        </w:rPr>
        <w:t xml:space="preserve">indirect recipient </w:t>
      </w:r>
      <w:r w:rsidRPr="00A2742E">
        <w:rPr>
          <w:rFonts w:asciiTheme="majorHAnsi" w:eastAsia="Arial Unicode MS" w:hAnsiTheme="majorHAnsi" w:cstheme="majorHAnsi"/>
          <w:bCs/>
          <w:color w:val="000000" w:themeColor="text1"/>
          <w:sz w:val="22"/>
          <w:szCs w:val="22"/>
          <w:u w:color="000000"/>
          <w:lang w:val="en-US"/>
        </w:rPr>
        <w:t xml:space="preserve">schools. </w:t>
      </w:r>
    </w:p>
    <w:p w14:paraId="4E1B56D8" w14:textId="77777777" w:rsidR="008D0CAD" w:rsidRPr="00A2742E" w:rsidRDefault="008D0CAD" w:rsidP="00796BFA">
      <w:pPr>
        <w:spacing w:before="100" w:beforeAutospacing="1" w:after="100" w:afterAutospacing="1" w:line="360" w:lineRule="auto"/>
        <w:ind w:right="245"/>
        <w:rPr>
          <w:rFonts w:asciiTheme="majorHAnsi" w:eastAsia="Arial Unicode MS" w:hAnsiTheme="majorHAnsi" w:cstheme="majorHAnsi"/>
          <w:sz w:val="22"/>
          <w:szCs w:val="22"/>
          <w:u w:color="000000"/>
          <w:lang w:val="en-US"/>
        </w:rPr>
      </w:pPr>
      <w:r w:rsidRPr="00A2742E">
        <w:rPr>
          <w:rFonts w:asciiTheme="majorHAnsi" w:eastAsia="Arial Unicode MS" w:hAnsiTheme="majorHAnsi" w:cstheme="majorHAnsi"/>
          <w:sz w:val="22"/>
          <w:szCs w:val="22"/>
          <w:u w:color="000000"/>
          <w:lang w:val="en-US"/>
        </w:rPr>
        <w:t xml:space="preserve">However, similar to the analysis on average grades by subject, the limited data set (16 direct recipient schools and 9 indirect recipient schools) could not provide </w:t>
      </w:r>
      <w:r w:rsidRPr="00A2742E">
        <w:rPr>
          <w:rFonts w:asciiTheme="majorHAnsi" w:eastAsia="Arial Unicode MS" w:hAnsiTheme="majorHAnsi" w:cstheme="majorHAnsi"/>
          <w:bCs/>
          <w:color w:val="000000" w:themeColor="text1"/>
          <w:sz w:val="22"/>
          <w:szCs w:val="22"/>
          <w:u w:color="000000"/>
          <w:lang w:val="en-US"/>
        </w:rPr>
        <w:t>a general conclusion applicable to all the schools in the BEST supported regions</w:t>
      </w:r>
      <w:r w:rsidRPr="00A2742E">
        <w:rPr>
          <w:rFonts w:asciiTheme="majorHAnsi" w:eastAsia="Arial Unicode MS" w:hAnsiTheme="majorHAnsi" w:cstheme="majorHAnsi"/>
          <w:sz w:val="22"/>
          <w:szCs w:val="22"/>
          <w:u w:color="000000"/>
          <w:lang w:val="en-US"/>
        </w:rPr>
        <w:t>.</w:t>
      </w:r>
    </w:p>
    <w:p w14:paraId="09DF8226" w14:textId="77777777" w:rsidR="008D0CAD" w:rsidRPr="00A2742E" w:rsidRDefault="008D0CAD" w:rsidP="00796BFA">
      <w:pPr>
        <w:spacing w:before="100" w:beforeAutospacing="1" w:after="100" w:afterAutospacing="1" w:line="360" w:lineRule="auto"/>
        <w:ind w:right="245"/>
        <w:rPr>
          <w:rFonts w:asciiTheme="majorHAnsi" w:hAnsiTheme="majorHAnsi" w:cstheme="majorHAnsi"/>
          <w:sz w:val="22"/>
          <w:szCs w:val="22"/>
          <w:lang w:val="en-US"/>
        </w:rPr>
      </w:pPr>
      <w:r w:rsidRPr="00A2742E">
        <w:rPr>
          <w:rFonts w:asciiTheme="majorHAnsi" w:hAnsiTheme="majorHAnsi" w:cstheme="majorHAnsi"/>
          <w:sz w:val="22"/>
          <w:szCs w:val="22"/>
          <w:lang w:val="en-US"/>
        </w:rPr>
        <w:t xml:space="preserve">Thus, no further analysis was done on the </w:t>
      </w:r>
      <w:r w:rsidRPr="00A2742E">
        <w:rPr>
          <w:rFonts w:asciiTheme="majorHAnsi" w:hAnsiTheme="majorHAnsi" w:cstheme="majorHAnsi"/>
          <w:bCs/>
          <w:color w:val="000000" w:themeColor="text1"/>
          <w:sz w:val="22"/>
          <w:szCs w:val="22"/>
          <w:lang w:val="en-US"/>
        </w:rPr>
        <w:t xml:space="preserve">gender grade differentials </w:t>
      </w:r>
      <w:r w:rsidRPr="00A2742E">
        <w:rPr>
          <w:rFonts w:asciiTheme="majorHAnsi" w:hAnsiTheme="majorHAnsi" w:cstheme="majorHAnsi"/>
          <w:sz w:val="22"/>
          <w:szCs w:val="22"/>
          <w:lang w:val="en-US"/>
        </w:rPr>
        <w:t>by subject.</w:t>
      </w:r>
    </w:p>
    <w:p w14:paraId="5E90B1F0" w14:textId="77777777" w:rsidR="008D0CAD" w:rsidRPr="00A2742E" w:rsidRDefault="008D0CAD" w:rsidP="00796BFA">
      <w:pPr>
        <w:spacing w:before="100" w:beforeAutospacing="1" w:after="100" w:afterAutospacing="1" w:line="360" w:lineRule="auto"/>
        <w:rPr>
          <w:rFonts w:asciiTheme="majorHAnsi" w:hAnsiTheme="majorHAnsi" w:cstheme="majorHAnsi"/>
          <w:sz w:val="20"/>
          <w:szCs w:val="20"/>
          <w:lang w:val="en-US"/>
        </w:rPr>
      </w:pPr>
    </w:p>
    <w:p w14:paraId="70071EA0" w14:textId="77777777" w:rsidR="008D0CAD" w:rsidRDefault="008D0CAD" w:rsidP="00796BFA">
      <w:pPr>
        <w:spacing w:before="100" w:beforeAutospacing="1" w:after="100" w:afterAutospacing="1" w:line="360" w:lineRule="auto"/>
        <w:rPr>
          <w:rFonts w:asciiTheme="majorHAnsi" w:hAnsiTheme="majorHAnsi" w:cstheme="majorHAnsi"/>
        </w:rPr>
        <w:sectPr w:rsidR="008D0CAD" w:rsidSect="009C64E9">
          <w:pgSz w:w="11900" w:h="16840"/>
          <w:pgMar w:top="1440" w:right="1440" w:bottom="1440" w:left="1440" w:header="720" w:footer="720" w:gutter="0"/>
          <w:cols w:space="720"/>
          <w:docGrid w:linePitch="360"/>
        </w:sectPr>
      </w:pPr>
    </w:p>
    <w:p w14:paraId="09029AA6" w14:textId="77777777" w:rsidR="00A8457A" w:rsidRPr="00445DB6" w:rsidRDefault="008D0CAD" w:rsidP="00796BFA">
      <w:pPr>
        <w:pStyle w:val="Heading3"/>
        <w:spacing w:before="100" w:beforeAutospacing="1" w:after="100" w:afterAutospacing="1" w:line="360" w:lineRule="auto"/>
        <w:rPr>
          <w:lang w:val="en-US"/>
        </w:rPr>
      </w:pPr>
      <w:bookmarkStart w:id="438" w:name="_Toc39938410"/>
      <w:bookmarkStart w:id="439" w:name="_Toc69820514"/>
      <w:r w:rsidRPr="00E00C4B">
        <w:rPr>
          <w:lang w:val="en-US"/>
        </w:rPr>
        <w:t>Annex T-3. Phil-IRI test results for Grades 4, 5 and 6 students from SY2013-2014 to SY2017-2018</w:t>
      </w:r>
      <w:bookmarkEnd w:id="438"/>
      <w:bookmarkEnd w:id="439"/>
    </w:p>
    <w:tbl>
      <w:tblPr>
        <w:tblStyle w:val="TableGrid"/>
        <w:tblW w:w="0" w:type="auto"/>
        <w:tblLook w:val="04A0" w:firstRow="1" w:lastRow="0" w:firstColumn="1" w:lastColumn="0" w:noHBand="0" w:noVBand="1"/>
      </w:tblPr>
      <w:tblGrid>
        <w:gridCol w:w="777"/>
        <w:gridCol w:w="922"/>
        <w:gridCol w:w="1018"/>
        <w:gridCol w:w="1037"/>
        <w:gridCol w:w="922"/>
        <w:gridCol w:w="1018"/>
        <w:gridCol w:w="1037"/>
        <w:gridCol w:w="922"/>
        <w:gridCol w:w="1018"/>
        <w:gridCol w:w="1037"/>
        <w:gridCol w:w="922"/>
        <w:gridCol w:w="1018"/>
        <w:gridCol w:w="1037"/>
        <w:gridCol w:w="840"/>
        <w:gridCol w:w="924"/>
        <w:gridCol w:w="941"/>
      </w:tblGrid>
      <w:tr w:rsidR="0025315D" w:rsidRPr="004B064D" w14:paraId="7793F461" w14:textId="77777777" w:rsidTr="00F4751F">
        <w:trPr>
          <w:trHeight w:val="338"/>
          <w:tblHeader/>
        </w:trPr>
        <w:tc>
          <w:tcPr>
            <w:tcW w:w="778" w:type="dxa"/>
          </w:tcPr>
          <w:p w14:paraId="24F59B68" w14:textId="77777777" w:rsidR="0025315D" w:rsidRPr="004B064D" w:rsidRDefault="0025315D" w:rsidP="0025315D">
            <w:pPr>
              <w:spacing w:before="100" w:beforeAutospacing="1" w:after="100" w:afterAutospacing="1" w:line="360" w:lineRule="auto"/>
              <w:rPr>
                <w:rFonts w:asciiTheme="majorHAnsi" w:hAnsiTheme="majorHAnsi" w:cstheme="majorHAnsi"/>
                <w:b/>
                <w:bCs/>
                <w:sz w:val="14"/>
                <w:szCs w:val="14"/>
              </w:rPr>
            </w:pPr>
          </w:p>
        </w:tc>
        <w:tc>
          <w:tcPr>
            <w:tcW w:w="922" w:type="dxa"/>
            <w:tcBorders>
              <w:right w:val="nil"/>
            </w:tcBorders>
          </w:tcPr>
          <w:p w14:paraId="7D57B10E" w14:textId="4FED8243" w:rsidR="0025315D" w:rsidRPr="004B064D" w:rsidRDefault="0025315D" w:rsidP="0025315D">
            <w:pPr>
              <w:spacing w:before="100" w:beforeAutospacing="1" w:after="100" w:afterAutospacing="1" w:line="360" w:lineRule="auto"/>
              <w:rPr>
                <w:rFonts w:asciiTheme="majorHAnsi" w:hAnsiTheme="majorHAnsi" w:cstheme="majorHAnsi"/>
                <w:b/>
                <w:bCs/>
                <w:sz w:val="14"/>
                <w:szCs w:val="14"/>
              </w:rPr>
            </w:pPr>
          </w:p>
        </w:tc>
        <w:tc>
          <w:tcPr>
            <w:tcW w:w="1018" w:type="dxa"/>
            <w:tcBorders>
              <w:left w:val="nil"/>
              <w:right w:val="nil"/>
            </w:tcBorders>
          </w:tcPr>
          <w:p w14:paraId="283062D8" w14:textId="65AB35C8" w:rsidR="0025315D" w:rsidRPr="004B064D" w:rsidRDefault="0025315D" w:rsidP="0025315D">
            <w:pPr>
              <w:spacing w:before="100" w:beforeAutospacing="1" w:after="100" w:afterAutospacing="1" w:line="360" w:lineRule="auto"/>
              <w:rPr>
                <w:rFonts w:asciiTheme="majorHAnsi" w:hAnsiTheme="majorHAnsi" w:cstheme="majorHAnsi"/>
                <w:b/>
                <w:bCs/>
                <w:sz w:val="14"/>
                <w:szCs w:val="14"/>
              </w:rPr>
            </w:pPr>
            <w:r w:rsidRPr="004B064D">
              <w:rPr>
                <w:rFonts w:asciiTheme="majorHAnsi" w:hAnsiTheme="majorHAnsi" w:cstheme="majorHAnsi"/>
                <w:b/>
                <w:bCs/>
                <w:sz w:val="14"/>
                <w:szCs w:val="14"/>
              </w:rPr>
              <w:t>SY2013-2014</w:t>
            </w:r>
          </w:p>
        </w:tc>
        <w:tc>
          <w:tcPr>
            <w:tcW w:w="1037" w:type="dxa"/>
            <w:tcBorders>
              <w:left w:val="nil"/>
            </w:tcBorders>
          </w:tcPr>
          <w:p w14:paraId="634CBC94" w14:textId="257777B4" w:rsidR="0025315D" w:rsidRPr="004B064D" w:rsidRDefault="0025315D" w:rsidP="0025315D">
            <w:pPr>
              <w:spacing w:before="100" w:beforeAutospacing="1" w:after="100" w:afterAutospacing="1" w:line="360" w:lineRule="auto"/>
              <w:rPr>
                <w:rFonts w:asciiTheme="majorHAnsi" w:hAnsiTheme="majorHAnsi" w:cstheme="majorHAnsi"/>
                <w:b/>
                <w:bCs/>
                <w:sz w:val="14"/>
                <w:szCs w:val="14"/>
              </w:rPr>
            </w:pPr>
          </w:p>
        </w:tc>
        <w:tc>
          <w:tcPr>
            <w:tcW w:w="922" w:type="dxa"/>
            <w:tcBorders>
              <w:right w:val="nil"/>
            </w:tcBorders>
          </w:tcPr>
          <w:p w14:paraId="11EB57E1" w14:textId="5D58746E" w:rsidR="0025315D" w:rsidRPr="004B064D" w:rsidRDefault="0025315D" w:rsidP="0025315D">
            <w:pPr>
              <w:spacing w:before="100" w:beforeAutospacing="1" w:after="100" w:afterAutospacing="1" w:line="360" w:lineRule="auto"/>
              <w:rPr>
                <w:rFonts w:asciiTheme="majorHAnsi" w:hAnsiTheme="majorHAnsi" w:cstheme="majorHAnsi"/>
                <w:b/>
                <w:bCs/>
                <w:sz w:val="14"/>
                <w:szCs w:val="14"/>
              </w:rPr>
            </w:pPr>
          </w:p>
        </w:tc>
        <w:tc>
          <w:tcPr>
            <w:tcW w:w="1018" w:type="dxa"/>
            <w:tcBorders>
              <w:left w:val="nil"/>
              <w:right w:val="nil"/>
            </w:tcBorders>
          </w:tcPr>
          <w:p w14:paraId="0C970B9D" w14:textId="335FE89E" w:rsidR="0025315D" w:rsidRPr="004B064D" w:rsidRDefault="0025315D" w:rsidP="0025315D">
            <w:pPr>
              <w:spacing w:before="100" w:beforeAutospacing="1" w:after="100" w:afterAutospacing="1" w:line="360" w:lineRule="auto"/>
              <w:rPr>
                <w:rFonts w:asciiTheme="majorHAnsi" w:hAnsiTheme="majorHAnsi" w:cstheme="majorHAnsi"/>
                <w:b/>
                <w:bCs/>
                <w:sz w:val="14"/>
                <w:szCs w:val="14"/>
              </w:rPr>
            </w:pPr>
            <w:r w:rsidRPr="004B064D">
              <w:rPr>
                <w:rFonts w:asciiTheme="majorHAnsi" w:hAnsiTheme="majorHAnsi" w:cstheme="majorHAnsi"/>
                <w:b/>
                <w:bCs/>
                <w:sz w:val="14"/>
                <w:szCs w:val="14"/>
              </w:rPr>
              <w:t>SY2014-2015</w:t>
            </w:r>
          </w:p>
        </w:tc>
        <w:tc>
          <w:tcPr>
            <w:tcW w:w="1037" w:type="dxa"/>
            <w:tcBorders>
              <w:left w:val="nil"/>
            </w:tcBorders>
          </w:tcPr>
          <w:p w14:paraId="19A53458" w14:textId="269E87C6" w:rsidR="0025315D" w:rsidRPr="004B064D" w:rsidRDefault="0025315D" w:rsidP="0025315D">
            <w:pPr>
              <w:spacing w:before="100" w:beforeAutospacing="1" w:after="100" w:afterAutospacing="1" w:line="360" w:lineRule="auto"/>
              <w:rPr>
                <w:rFonts w:asciiTheme="majorHAnsi" w:hAnsiTheme="majorHAnsi" w:cstheme="majorHAnsi"/>
                <w:b/>
                <w:bCs/>
                <w:sz w:val="14"/>
                <w:szCs w:val="14"/>
              </w:rPr>
            </w:pPr>
          </w:p>
        </w:tc>
        <w:tc>
          <w:tcPr>
            <w:tcW w:w="922" w:type="dxa"/>
            <w:tcBorders>
              <w:right w:val="nil"/>
            </w:tcBorders>
          </w:tcPr>
          <w:p w14:paraId="71D5D12F" w14:textId="27C75F44" w:rsidR="0025315D" w:rsidRPr="004B064D" w:rsidRDefault="0025315D" w:rsidP="0025315D">
            <w:pPr>
              <w:spacing w:before="100" w:beforeAutospacing="1" w:after="100" w:afterAutospacing="1" w:line="360" w:lineRule="auto"/>
              <w:rPr>
                <w:rFonts w:asciiTheme="majorHAnsi" w:hAnsiTheme="majorHAnsi" w:cstheme="majorHAnsi"/>
                <w:b/>
                <w:bCs/>
                <w:sz w:val="14"/>
                <w:szCs w:val="14"/>
              </w:rPr>
            </w:pPr>
          </w:p>
        </w:tc>
        <w:tc>
          <w:tcPr>
            <w:tcW w:w="1018" w:type="dxa"/>
            <w:tcBorders>
              <w:left w:val="nil"/>
              <w:right w:val="nil"/>
            </w:tcBorders>
          </w:tcPr>
          <w:p w14:paraId="32C6E146" w14:textId="593585D0" w:rsidR="0025315D" w:rsidRPr="004B064D" w:rsidRDefault="0025315D" w:rsidP="0025315D">
            <w:pPr>
              <w:spacing w:before="100" w:beforeAutospacing="1" w:after="100" w:afterAutospacing="1" w:line="360" w:lineRule="auto"/>
              <w:rPr>
                <w:rFonts w:asciiTheme="majorHAnsi" w:hAnsiTheme="majorHAnsi" w:cstheme="majorHAnsi"/>
                <w:b/>
                <w:bCs/>
                <w:sz w:val="14"/>
                <w:szCs w:val="14"/>
              </w:rPr>
            </w:pPr>
            <w:r w:rsidRPr="004B064D">
              <w:rPr>
                <w:rFonts w:asciiTheme="majorHAnsi" w:hAnsiTheme="majorHAnsi" w:cstheme="majorHAnsi"/>
                <w:b/>
                <w:bCs/>
                <w:sz w:val="14"/>
                <w:szCs w:val="14"/>
              </w:rPr>
              <w:t>SY2015-2016</w:t>
            </w:r>
          </w:p>
        </w:tc>
        <w:tc>
          <w:tcPr>
            <w:tcW w:w="1037" w:type="dxa"/>
            <w:tcBorders>
              <w:left w:val="nil"/>
            </w:tcBorders>
          </w:tcPr>
          <w:p w14:paraId="12BD152C" w14:textId="1E36BB4B" w:rsidR="0025315D" w:rsidRPr="004B064D" w:rsidRDefault="0025315D" w:rsidP="0025315D">
            <w:pPr>
              <w:spacing w:before="100" w:beforeAutospacing="1" w:after="100" w:afterAutospacing="1" w:line="360" w:lineRule="auto"/>
              <w:rPr>
                <w:rFonts w:asciiTheme="majorHAnsi" w:hAnsiTheme="majorHAnsi" w:cstheme="majorHAnsi"/>
                <w:b/>
                <w:bCs/>
                <w:sz w:val="14"/>
                <w:szCs w:val="14"/>
              </w:rPr>
            </w:pPr>
          </w:p>
        </w:tc>
        <w:tc>
          <w:tcPr>
            <w:tcW w:w="922" w:type="dxa"/>
            <w:tcBorders>
              <w:right w:val="nil"/>
            </w:tcBorders>
          </w:tcPr>
          <w:p w14:paraId="7AE1EB2F" w14:textId="1C26F94D" w:rsidR="0025315D" w:rsidRPr="004B064D" w:rsidRDefault="0025315D" w:rsidP="0025315D">
            <w:pPr>
              <w:spacing w:before="100" w:beforeAutospacing="1" w:after="100" w:afterAutospacing="1" w:line="360" w:lineRule="auto"/>
              <w:rPr>
                <w:rFonts w:asciiTheme="majorHAnsi" w:hAnsiTheme="majorHAnsi" w:cstheme="majorHAnsi"/>
                <w:b/>
                <w:bCs/>
                <w:sz w:val="14"/>
                <w:szCs w:val="14"/>
              </w:rPr>
            </w:pPr>
          </w:p>
        </w:tc>
        <w:tc>
          <w:tcPr>
            <w:tcW w:w="1018" w:type="dxa"/>
            <w:tcBorders>
              <w:left w:val="nil"/>
              <w:right w:val="nil"/>
            </w:tcBorders>
          </w:tcPr>
          <w:p w14:paraId="48085EBD" w14:textId="31E249DD" w:rsidR="0025315D" w:rsidRPr="004B064D" w:rsidRDefault="0025315D" w:rsidP="0025315D">
            <w:pPr>
              <w:spacing w:before="100" w:beforeAutospacing="1" w:after="100" w:afterAutospacing="1" w:line="360" w:lineRule="auto"/>
              <w:rPr>
                <w:rFonts w:asciiTheme="majorHAnsi" w:hAnsiTheme="majorHAnsi" w:cstheme="majorHAnsi"/>
                <w:b/>
                <w:bCs/>
                <w:sz w:val="14"/>
                <w:szCs w:val="14"/>
              </w:rPr>
            </w:pPr>
            <w:r w:rsidRPr="004B064D">
              <w:rPr>
                <w:rFonts w:asciiTheme="majorHAnsi" w:hAnsiTheme="majorHAnsi" w:cstheme="majorHAnsi"/>
                <w:b/>
                <w:bCs/>
                <w:sz w:val="14"/>
                <w:szCs w:val="14"/>
              </w:rPr>
              <w:t>SY2016-2017</w:t>
            </w:r>
          </w:p>
        </w:tc>
        <w:tc>
          <w:tcPr>
            <w:tcW w:w="1037" w:type="dxa"/>
            <w:tcBorders>
              <w:left w:val="nil"/>
            </w:tcBorders>
          </w:tcPr>
          <w:p w14:paraId="04274B76" w14:textId="320AAA23" w:rsidR="0025315D" w:rsidRPr="004B064D" w:rsidRDefault="0025315D" w:rsidP="0025315D">
            <w:pPr>
              <w:spacing w:before="100" w:beforeAutospacing="1" w:after="100" w:afterAutospacing="1" w:line="360" w:lineRule="auto"/>
              <w:rPr>
                <w:rFonts w:asciiTheme="majorHAnsi" w:hAnsiTheme="majorHAnsi" w:cstheme="majorHAnsi"/>
                <w:b/>
                <w:bCs/>
                <w:sz w:val="14"/>
                <w:szCs w:val="14"/>
              </w:rPr>
            </w:pPr>
          </w:p>
        </w:tc>
        <w:tc>
          <w:tcPr>
            <w:tcW w:w="839" w:type="dxa"/>
            <w:tcBorders>
              <w:right w:val="nil"/>
            </w:tcBorders>
          </w:tcPr>
          <w:p w14:paraId="72869653" w14:textId="670E7E28" w:rsidR="0025315D" w:rsidRPr="004B064D" w:rsidRDefault="0025315D" w:rsidP="0025315D">
            <w:pPr>
              <w:spacing w:before="100" w:beforeAutospacing="1" w:after="100" w:afterAutospacing="1" w:line="360" w:lineRule="auto"/>
              <w:rPr>
                <w:rFonts w:asciiTheme="majorHAnsi" w:hAnsiTheme="majorHAnsi" w:cstheme="majorHAnsi"/>
                <w:b/>
                <w:bCs/>
                <w:sz w:val="14"/>
                <w:szCs w:val="14"/>
              </w:rPr>
            </w:pPr>
          </w:p>
        </w:tc>
        <w:tc>
          <w:tcPr>
            <w:tcW w:w="924" w:type="dxa"/>
            <w:tcBorders>
              <w:left w:val="nil"/>
              <w:right w:val="nil"/>
            </w:tcBorders>
          </w:tcPr>
          <w:p w14:paraId="3041F1A7" w14:textId="50DD962C" w:rsidR="0025315D" w:rsidRPr="004B064D" w:rsidRDefault="0025315D" w:rsidP="0025315D">
            <w:pPr>
              <w:spacing w:before="100" w:beforeAutospacing="1" w:after="100" w:afterAutospacing="1" w:line="360" w:lineRule="auto"/>
              <w:rPr>
                <w:rFonts w:asciiTheme="majorHAnsi" w:hAnsiTheme="majorHAnsi" w:cstheme="majorHAnsi"/>
                <w:b/>
                <w:bCs/>
                <w:sz w:val="14"/>
                <w:szCs w:val="14"/>
              </w:rPr>
            </w:pPr>
            <w:r w:rsidRPr="004B064D">
              <w:rPr>
                <w:rFonts w:asciiTheme="majorHAnsi" w:hAnsiTheme="majorHAnsi" w:cstheme="majorHAnsi"/>
                <w:b/>
                <w:bCs/>
                <w:sz w:val="14"/>
                <w:szCs w:val="14"/>
              </w:rPr>
              <w:t>SY2017-2018</w:t>
            </w:r>
          </w:p>
        </w:tc>
        <w:tc>
          <w:tcPr>
            <w:tcW w:w="941" w:type="dxa"/>
            <w:tcBorders>
              <w:left w:val="nil"/>
            </w:tcBorders>
          </w:tcPr>
          <w:p w14:paraId="6CE0651D" w14:textId="02132E58" w:rsidR="0025315D" w:rsidRPr="004B064D" w:rsidRDefault="0025315D" w:rsidP="0025315D">
            <w:pPr>
              <w:spacing w:before="100" w:beforeAutospacing="1" w:after="100" w:afterAutospacing="1" w:line="360" w:lineRule="auto"/>
              <w:rPr>
                <w:rFonts w:asciiTheme="majorHAnsi" w:hAnsiTheme="majorHAnsi" w:cstheme="majorHAnsi"/>
                <w:b/>
                <w:bCs/>
                <w:sz w:val="14"/>
                <w:szCs w:val="14"/>
              </w:rPr>
            </w:pPr>
          </w:p>
        </w:tc>
      </w:tr>
      <w:tr w:rsidR="0025315D" w:rsidRPr="004B064D" w14:paraId="7E784E1F" w14:textId="77777777" w:rsidTr="00F4751F">
        <w:trPr>
          <w:tblHeader/>
        </w:trPr>
        <w:tc>
          <w:tcPr>
            <w:tcW w:w="778" w:type="dxa"/>
          </w:tcPr>
          <w:p w14:paraId="2D18A823" w14:textId="77777777" w:rsidR="0025315D" w:rsidRPr="004B064D" w:rsidRDefault="0025315D" w:rsidP="0025315D">
            <w:pPr>
              <w:spacing w:before="100" w:beforeAutospacing="1" w:after="100" w:afterAutospacing="1" w:line="360" w:lineRule="auto"/>
              <w:rPr>
                <w:rFonts w:asciiTheme="majorHAnsi" w:hAnsiTheme="majorHAnsi" w:cstheme="majorHAnsi"/>
                <w:b/>
                <w:bCs/>
                <w:sz w:val="14"/>
                <w:szCs w:val="14"/>
              </w:rPr>
            </w:pPr>
          </w:p>
        </w:tc>
        <w:tc>
          <w:tcPr>
            <w:tcW w:w="922" w:type="dxa"/>
          </w:tcPr>
          <w:p w14:paraId="25F70342" w14:textId="77777777" w:rsidR="0025315D" w:rsidRPr="004B064D" w:rsidRDefault="0025315D" w:rsidP="0025315D">
            <w:pPr>
              <w:spacing w:before="100" w:beforeAutospacing="1" w:after="100" w:afterAutospacing="1" w:line="360" w:lineRule="auto"/>
              <w:rPr>
                <w:rFonts w:asciiTheme="majorHAnsi" w:hAnsiTheme="majorHAnsi" w:cstheme="majorHAnsi"/>
                <w:b/>
                <w:bCs/>
                <w:sz w:val="14"/>
                <w:szCs w:val="14"/>
              </w:rPr>
            </w:pPr>
            <w:r w:rsidRPr="004B064D">
              <w:rPr>
                <w:rFonts w:asciiTheme="majorHAnsi" w:hAnsiTheme="majorHAnsi" w:cstheme="majorHAnsi"/>
                <w:b/>
                <w:bCs/>
                <w:sz w:val="14"/>
                <w:szCs w:val="14"/>
              </w:rPr>
              <w:t>Frustration</w:t>
            </w:r>
          </w:p>
        </w:tc>
        <w:tc>
          <w:tcPr>
            <w:tcW w:w="1018" w:type="dxa"/>
          </w:tcPr>
          <w:p w14:paraId="1044CBD4" w14:textId="77777777" w:rsidR="0025315D" w:rsidRPr="004B064D" w:rsidRDefault="0025315D" w:rsidP="0025315D">
            <w:pPr>
              <w:spacing w:before="100" w:beforeAutospacing="1" w:after="100" w:afterAutospacing="1" w:line="360" w:lineRule="auto"/>
              <w:rPr>
                <w:rFonts w:asciiTheme="majorHAnsi" w:hAnsiTheme="majorHAnsi" w:cstheme="majorHAnsi"/>
                <w:b/>
                <w:bCs/>
                <w:sz w:val="14"/>
                <w:szCs w:val="14"/>
              </w:rPr>
            </w:pPr>
            <w:r w:rsidRPr="004B064D">
              <w:rPr>
                <w:rFonts w:asciiTheme="majorHAnsi" w:hAnsiTheme="majorHAnsi" w:cstheme="majorHAnsi"/>
                <w:b/>
                <w:bCs/>
                <w:sz w:val="14"/>
                <w:szCs w:val="14"/>
              </w:rPr>
              <w:t>Instructional</w:t>
            </w:r>
          </w:p>
        </w:tc>
        <w:tc>
          <w:tcPr>
            <w:tcW w:w="1037" w:type="dxa"/>
          </w:tcPr>
          <w:p w14:paraId="3A4C371E" w14:textId="77777777" w:rsidR="0025315D" w:rsidRPr="004B064D" w:rsidRDefault="0025315D" w:rsidP="0025315D">
            <w:pPr>
              <w:spacing w:before="100" w:beforeAutospacing="1" w:after="100" w:afterAutospacing="1" w:line="360" w:lineRule="auto"/>
              <w:rPr>
                <w:rFonts w:asciiTheme="majorHAnsi" w:hAnsiTheme="majorHAnsi" w:cstheme="majorHAnsi"/>
                <w:b/>
                <w:bCs/>
                <w:sz w:val="14"/>
                <w:szCs w:val="14"/>
              </w:rPr>
            </w:pPr>
            <w:r w:rsidRPr="004B064D">
              <w:rPr>
                <w:rFonts w:asciiTheme="majorHAnsi" w:hAnsiTheme="majorHAnsi" w:cstheme="majorHAnsi"/>
                <w:b/>
                <w:bCs/>
                <w:sz w:val="14"/>
                <w:szCs w:val="14"/>
              </w:rPr>
              <w:t>Independent</w:t>
            </w:r>
          </w:p>
        </w:tc>
        <w:tc>
          <w:tcPr>
            <w:tcW w:w="922" w:type="dxa"/>
          </w:tcPr>
          <w:p w14:paraId="18EB4F18" w14:textId="77777777" w:rsidR="0025315D" w:rsidRPr="004B064D" w:rsidRDefault="0025315D" w:rsidP="0025315D">
            <w:pPr>
              <w:spacing w:before="100" w:beforeAutospacing="1" w:after="100" w:afterAutospacing="1" w:line="360" w:lineRule="auto"/>
              <w:rPr>
                <w:rFonts w:asciiTheme="majorHAnsi" w:hAnsiTheme="majorHAnsi" w:cstheme="majorHAnsi"/>
                <w:b/>
                <w:bCs/>
                <w:sz w:val="14"/>
                <w:szCs w:val="14"/>
              </w:rPr>
            </w:pPr>
            <w:r w:rsidRPr="004B064D">
              <w:rPr>
                <w:rFonts w:asciiTheme="majorHAnsi" w:hAnsiTheme="majorHAnsi" w:cstheme="majorHAnsi"/>
                <w:b/>
                <w:bCs/>
                <w:sz w:val="14"/>
                <w:szCs w:val="14"/>
              </w:rPr>
              <w:t>Frustration</w:t>
            </w:r>
          </w:p>
        </w:tc>
        <w:tc>
          <w:tcPr>
            <w:tcW w:w="1018" w:type="dxa"/>
          </w:tcPr>
          <w:p w14:paraId="1646135A" w14:textId="77777777" w:rsidR="0025315D" w:rsidRPr="004B064D" w:rsidRDefault="0025315D" w:rsidP="0025315D">
            <w:pPr>
              <w:spacing w:before="100" w:beforeAutospacing="1" w:after="100" w:afterAutospacing="1" w:line="360" w:lineRule="auto"/>
              <w:rPr>
                <w:rFonts w:asciiTheme="majorHAnsi" w:hAnsiTheme="majorHAnsi" w:cstheme="majorHAnsi"/>
                <w:b/>
                <w:bCs/>
                <w:sz w:val="14"/>
                <w:szCs w:val="14"/>
              </w:rPr>
            </w:pPr>
            <w:r w:rsidRPr="004B064D">
              <w:rPr>
                <w:rFonts w:asciiTheme="majorHAnsi" w:hAnsiTheme="majorHAnsi" w:cstheme="majorHAnsi"/>
                <w:b/>
                <w:bCs/>
                <w:sz w:val="14"/>
                <w:szCs w:val="14"/>
              </w:rPr>
              <w:t>Instructional</w:t>
            </w:r>
          </w:p>
        </w:tc>
        <w:tc>
          <w:tcPr>
            <w:tcW w:w="1037" w:type="dxa"/>
          </w:tcPr>
          <w:p w14:paraId="1961300D" w14:textId="77777777" w:rsidR="0025315D" w:rsidRPr="004B064D" w:rsidRDefault="0025315D" w:rsidP="0025315D">
            <w:pPr>
              <w:spacing w:before="100" w:beforeAutospacing="1" w:after="100" w:afterAutospacing="1" w:line="360" w:lineRule="auto"/>
              <w:rPr>
                <w:rFonts w:asciiTheme="majorHAnsi" w:hAnsiTheme="majorHAnsi" w:cstheme="majorHAnsi"/>
                <w:b/>
                <w:bCs/>
                <w:sz w:val="14"/>
                <w:szCs w:val="14"/>
              </w:rPr>
            </w:pPr>
            <w:r w:rsidRPr="004B064D">
              <w:rPr>
                <w:rFonts w:asciiTheme="majorHAnsi" w:hAnsiTheme="majorHAnsi" w:cstheme="majorHAnsi"/>
                <w:b/>
                <w:bCs/>
                <w:sz w:val="14"/>
                <w:szCs w:val="14"/>
              </w:rPr>
              <w:t>Independent</w:t>
            </w:r>
          </w:p>
        </w:tc>
        <w:tc>
          <w:tcPr>
            <w:tcW w:w="922" w:type="dxa"/>
          </w:tcPr>
          <w:p w14:paraId="407D19B8" w14:textId="77777777" w:rsidR="0025315D" w:rsidRPr="004B064D" w:rsidRDefault="0025315D" w:rsidP="0025315D">
            <w:pPr>
              <w:spacing w:before="100" w:beforeAutospacing="1" w:after="100" w:afterAutospacing="1" w:line="360" w:lineRule="auto"/>
              <w:rPr>
                <w:rFonts w:asciiTheme="majorHAnsi" w:hAnsiTheme="majorHAnsi" w:cstheme="majorHAnsi"/>
                <w:b/>
                <w:bCs/>
                <w:sz w:val="14"/>
                <w:szCs w:val="14"/>
              </w:rPr>
            </w:pPr>
            <w:r w:rsidRPr="004B064D">
              <w:rPr>
                <w:rFonts w:asciiTheme="majorHAnsi" w:hAnsiTheme="majorHAnsi" w:cstheme="majorHAnsi"/>
                <w:b/>
                <w:bCs/>
                <w:sz w:val="14"/>
                <w:szCs w:val="14"/>
              </w:rPr>
              <w:t>Frustration</w:t>
            </w:r>
          </w:p>
        </w:tc>
        <w:tc>
          <w:tcPr>
            <w:tcW w:w="1018" w:type="dxa"/>
          </w:tcPr>
          <w:p w14:paraId="1A508E20" w14:textId="77777777" w:rsidR="0025315D" w:rsidRPr="004B064D" w:rsidRDefault="0025315D" w:rsidP="0025315D">
            <w:pPr>
              <w:spacing w:before="100" w:beforeAutospacing="1" w:after="100" w:afterAutospacing="1" w:line="360" w:lineRule="auto"/>
              <w:rPr>
                <w:rFonts w:asciiTheme="majorHAnsi" w:hAnsiTheme="majorHAnsi" w:cstheme="majorHAnsi"/>
                <w:b/>
                <w:bCs/>
                <w:sz w:val="14"/>
                <w:szCs w:val="14"/>
              </w:rPr>
            </w:pPr>
            <w:r w:rsidRPr="004B064D">
              <w:rPr>
                <w:rFonts w:asciiTheme="majorHAnsi" w:hAnsiTheme="majorHAnsi" w:cstheme="majorHAnsi"/>
                <w:b/>
                <w:bCs/>
                <w:sz w:val="14"/>
                <w:szCs w:val="14"/>
              </w:rPr>
              <w:t>Instructional</w:t>
            </w:r>
          </w:p>
        </w:tc>
        <w:tc>
          <w:tcPr>
            <w:tcW w:w="1037" w:type="dxa"/>
          </w:tcPr>
          <w:p w14:paraId="1F6912C8" w14:textId="77777777" w:rsidR="0025315D" w:rsidRPr="004B064D" w:rsidRDefault="0025315D" w:rsidP="0025315D">
            <w:pPr>
              <w:spacing w:before="100" w:beforeAutospacing="1" w:after="100" w:afterAutospacing="1" w:line="360" w:lineRule="auto"/>
              <w:rPr>
                <w:rFonts w:asciiTheme="majorHAnsi" w:hAnsiTheme="majorHAnsi" w:cstheme="majorHAnsi"/>
                <w:b/>
                <w:bCs/>
                <w:sz w:val="14"/>
                <w:szCs w:val="14"/>
              </w:rPr>
            </w:pPr>
            <w:r w:rsidRPr="004B064D">
              <w:rPr>
                <w:rFonts w:asciiTheme="majorHAnsi" w:hAnsiTheme="majorHAnsi" w:cstheme="majorHAnsi"/>
                <w:b/>
                <w:bCs/>
                <w:sz w:val="14"/>
                <w:szCs w:val="14"/>
              </w:rPr>
              <w:t>Independent</w:t>
            </w:r>
          </w:p>
        </w:tc>
        <w:tc>
          <w:tcPr>
            <w:tcW w:w="922" w:type="dxa"/>
          </w:tcPr>
          <w:p w14:paraId="1D023C21" w14:textId="77777777" w:rsidR="0025315D" w:rsidRPr="004B064D" w:rsidRDefault="0025315D" w:rsidP="0025315D">
            <w:pPr>
              <w:spacing w:before="100" w:beforeAutospacing="1" w:after="100" w:afterAutospacing="1" w:line="360" w:lineRule="auto"/>
              <w:rPr>
                <w:rFonts w:asciiTheme="majorHAnsi" w:hAnsiTheme="majorHAnsi" w:cstheme="majorHAnsi"/>
                <w:b/>
                <w:bCs/>
                <w:sz w:val="14"/>
                <w:szCs w:val="14"/>
              </w:rPr>
            </w:pPr>
            <w:r w:rsidRPr="004B064D">
              <w:rPr>
                <w:rFonts w:asciiTheme="majorHAnsi" w:hAnsiTheme="majorHAnsi" w:cstheme="majorHAnsi"/>
                <w:b/>
                <w:bCs/>
                <w:sz w:val="14"/>
                <w:szCs w:val="14"/>
              </w:rPr>
              <w:t>Frustration</w:t>
            </w:r>
          </w:p>
        </w:tc>
        <w:tc>
          <w:tcPr>
            <w:tcW w:w="1018" w:type="dxa"/>
          </w:tcPr>
          <w:p w14:paraId="79C97DAD" w14:textId="77777777" w:rsidR="0025315D" w:rsidRPr="004B064D" w:rsidRDefault="0025315D" w:rsidP="0025315D">
            <w:pPr>
              <w:spacing w:before="100" w:beforeAutospacing="1" w:after="100" w:afterAutospacing="1" w:line="360" w:lineRule="auto"/>
              <w:rPr>
                <w:rFonts w:asciiTheme="majorHAnsi" w:hAnsiTheme="majorHAnsi" w:cstheme="majorHAnsi"/>
                <w:b/>
                <w:bCs/>
                <w:sz w:val="14"/>
                <w:szCs w:val="14"/>
              </w:rPr>
            </w:pPr>
            <w:r w:rsidRPr="004B064D">
              <w:rPr>
                <w:rFonts w:asciiTheme="majorHAnsi" w:hAnsiTheme="majorHAnsi" w:cstheme="majorHAnsi"/>
                <w:b/>
                <w:bCs/>
                <w:sz w:val="14"/>
                <w:szCs w:val="14"/>
              </w:rPr>
              <w:t>Instructional</w:t>
            </w:r>
          </w:p>
        </w:tc>
        <w:tc>
          <w:tcPr>
            <w:tcW w:w="1037" w:type="dxa"/>
          </w:tcPr>
          <w:p w14:paraId="41E73ED3" w14:textId="77777777" w:rsidR="0025315D" w:rsidRPr="004B064D" w:rsidRDefault="0025315D" w:rsidP="0025315D">
            <w:pPr>
              <w:spacing w:before="100" w:beforeAutospacing="1" w:after="100" w:afterAutospacing="1" w:line="360" w:lineRule="auto"/>
              <w:rPr>
                <w:rFonts w:asciiTheme="majorHAnsi" w:hAnsiTheme="majorHAnsi" w:cstheme="majorHAnsi"/>
                <w:b/>
                <w:bCs/>
                <w:sz w:val="14"/>
                <w:szCs w:val="14"/>
              </w:rPr>
            </w:pPr>
            <w:r w:rsidRPr="004B064D">
              <w:rPr>
                <w:rFonts w:asciiTheme="majorHAnsi" w:hAnsiTheme="majorHAnsi" w:cstheme="majorHAnsi"/>
                <w:b/>
                <w:bCs/>
                <w:sz w:val="14"/>
                <w:szCs w:val="14"/>
              </w:rPr>
              <w:t>Independent</w:t>
            </w:r>
          </w:p>
        </w:tc>
        <w:tc>
          <w:tcPr>
            <w:tcW w:w="839" w:type="dxa"/>
          </w:tcPr>
          <w:p w14:paraId="5F61EA8F" w14:textId="77777777" w:rsidR="0025315D" w:rsidRPr="004B064D" w:rsidRDefault="0025315D" w:rsidP="0025315D">
            <w:pPr>
              <w:spacing w:before="100" w:beforeAutospacing="1" w:after="100" w:afterAutospacing="1" w:line="360" w:lineRule="auto"/>
              <w:rPr>
                <w:rFonts w:asciiTheme="majorHAnsi" w:hAnsiTheme="majorHAnsi" w:cstheme="majorHAnsi"/>
                <w:b/>
                <w:bCs/>
                <w:sz w:val="14"/>
                <w:szCs w:val="14"/>
              </w:rPr>
            </w:pPr>
            <w:r w:rsidRPr="004B064D">
              <w:rPr>
                <w:rFonts w:asciiTheme="majorHAnsi" w:hAnsiTheme="majorHAnsi" w:cstheme="majorHAnsi"/>
                <w:b/>
                <w:bCs/>
                <w:sz w:val="14"/>
                <w:szCs w:val="14"/>
              </w:rPr>
              <w:t>Frustration</w:t>
            </w:r>
          </w:p>
        </w:tc>
        <w:tc>
          <w:tcPr>
            <w:tcW w:w="924" w:type="dxa"/>
          </w:tcPr>
          <w:p w14:paraId="4A705BD8" w14:textId="77777777" w:rsidR="0025315D" w:rsidRPr="004B064D" w:rsidRDefault="0025315D" w:rsidP="0025315D">
            <w:pPr>
              <w:spacing w:before="100" w:beforeAutospacing="1" w:after="100" w:afterAutospacing="1" w:line="360" w:lineRule="auto"/>
              <w:rPr>
                <w:rFonts w:asciiTheme="majorHAnsi" w:hAnsiTheme="majorHAnsi" w:cstheme="majorHAnsi"/>
                <w:b/>
                <w:bCs/>
                <w:sz w:val="14"/>
                <w:szCs w:val="14"/>
              </w:rPr>
            </w:pPr>
            <w:r w:rsidRPr="004B064D">
              <w:rPr>
                <w:rFonts w:asciiTheme="majorHAnsi" w:hAnsiTheme="majorHAnsi" w:cstheme="majorHAnsi"/>
                <w:b/>
                <w:bCs/>
                <w:sz w:val="14"/>
                <w:szCs w:val="14"/>
              </w:rPr>
              <w:t>Instructional</w:t>
            </w:r>
          </w:p>
        </w:tc>
        <w:tc>
          <w:tcPr>
            <w:tcW w:w="941" w:type="dxa"/>
          </w:tcPr>
          <w:p w14:paraId="53805CE3" w14:textId="77777777" w:rsidR="0025315D" w:rsidRPr="004B064D" w:rsidRDefault="0025315D" w:rsidP="0025315D">
            <w:pPr>
              <w:spacing w:before="100" w:beforeAutospacing="1" w:after="100" w:afterAutospacing="1" w:line="360" w:lineRule="auto"/>
              <w:rPr>
                <w:rFonts w:asciiTheme="majorHAnsi" w:hAnsiTheme="majorHAnsi" w:cstheme="majorHAnsi"/>
                <w:b/>
                <w:bCs/>
                <w:sz w:val="14"/>
                <w:szCs w:val="14"/>
              </w:rPr>
            </w:pPr>
            <w:r w:rsidRPr="004B064D">
              <w:rPr>
                <w:rFonts w:asciiTheme="majorHAnsi" w:hAnsiTheme="majorHAnsi" w:cstheme="majorHAnsi"/>
                <w:b/>
                <w:bCs/>
                <w:sz w:val="14"/>
                <w:szCs w:val="14"/>
              </w:rPr>
              <w:t>Independent</w:t>
            </w:r>
          </w:p>
        </w:tc>
      </w:tr>
      <w:tr w:rsidR="0025315D" w:rsidRPr="00445DB6" w14:paraId="27A2CB49" w14:textId="77777777" w:rsidTr="0025315D">
        <w:tc>
          <w:tcPr>
            <w:tcW w:w="778" w:type="dxa"/>
          </w:tcPr>
          <w:p w14:paraId="6859FD69"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sidRPr="00445DB6">
              <w:rPr>
                <w:rFonts w:asciiTheme="majorHAnsi" w:hAnsiTheme="majorHAnsi" w:cstheme="majorHAnsi"/>
                <w:sz w:val="14"/>
                <w:szCs w:val="14"/>
              </w:rPr>
              <w:t>Grade 4 Students</w:t>
            </w:r>
          </w:p>
        </w:tc>
        <w:tc>
          <w:tcPr>
            <w:tcW w:w="922" w:type="dxa"/>
          </w:tcPr>
          <w:p w14:paraId="5F5B929D"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p>
        </w:tc>
        <w:tc>
          <w:tcPr>
            <w:tcW w:w="1018" w:type="dxa"/>
          </w:tcPr>
          <w:p w14:paraId="57147956"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p>
        </w:tc>
        <w:tc>
          <w:tcPr>
            <w:tcW w:w="1037" w:type="dxa"/>
          </w:tcPr>
          <w:p w14:paraId="477FAC16"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p>
        </w:tc>
        <w:tc>
          <w:tcPr>
            <w:tcW w:w="922" w:type="dxa"/>
          </w:tcPr>
          <w:p w14:paraId="07F9ABA7"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p>
        </w:tc>
        <w:tc>
          <w:tcPr>
            <w:tcW w:w="1018" w:type="dxa"/>
          </w:tcPr>
          <w:p w14:paraId="103AC91D"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p>
        </w:tc>
        <w:tc>
          <w:tcPr>
            <w:tcW w:w="1037" w:type="dxa"/>
          </w:tcPr>
          <w:p w14:paraId="3A420DCA"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p>
        </w:tc>
        <w:tc>
          <w:tcPr>
            <w:tcW w:w="922" w:type="dxa"/>
          </w:tcPr>
          <w:p w14:paraId="1317D753"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p>
        </w:tc>
        <w:tc>
          <w:tcPr>
            <w:tcW w:w="1018" w:type="dxa"/>
          </w:tcPr>
          <w:p w14:paraId="14AC55EF"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p>
        </w:tc>
        <w:tc>
          <w:tcPr>
            <w:tcW w:w="1037" w:type="dxa"/>
          </w:tcPr>
          <w:p w14:paraId="32696FF1"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p>
        </w:tc>
        <w:tc>
          <w:tcPr>
            <w:tcW w:w="922" w:type="dxa"/>
          </w:tcPr>
          <w:p w14:paraId="11F83A49"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p>
        </w:tc>
        <w:tc>
          <w:tcPr>
            <w:tcW w:w="1018" w:type="dxa"/>
          </w:tcPr>
          <w:p w14:paraId="7AE0ABCD"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p>
        </w:tc>
        <w:tc>
          <w:tcPr>
            <w:tcW w:w="1037" w:type="dxa"/>
          </w:tcPr>
          <w:p w14:paraId="182BDAE6"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p>
        </w:tc>
        <w:tc>
          <w:tcPr>
            <w:tcW w:w="839" w:type="dxa"/>
          </w:tcPr>
          <w:p w14:paraId="6579741B"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p>
        </w:tc>
        <w:tc>
          <w:tcPr>
            <w:tcW w:w="924" w:type="dxa"/>
          </w:tcPr>
          <w:p w14:paraId="7F6825BE"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p>
        </w:tc>
        <w:tc>
          <w:tcPr>
            <w:tcW w:w="941" w:type="dxa"/>
          </w:tcPr>
          <w:p w14:paraId="597CE67A"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p>
        </w:tc>
      </w:tr>
      <w:tr w:rsidR="0025315D" w:rsidRPr="00445DB6" w14:paraId="5956E88B" w14:textId="77777777" w:rsidTr="0025315D">
        <w:tc>
          <w:tcPr>
            <w:tcW w:w="778" w:type="dxa"/>
          </w:tcPr>
          <w:p w14:paraId="2B5D77C1"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sidRPr="00445DB6">
              <w:rPr>
                <w:rFonts w:asciiTheme="majorHAnsi" w:hAnsiTheme="majorHAnsi" w:cstheme="majorHAnsi"/>
                <w:sz w:val="14"/>
                <w:szCs w:val="14"/>
              </w:rPr>
              <w:t>Female</w:t>
            </w:r>
          </w:p>
        </w:tc>
        <w:tc>
          <w:tcPr>
            <w:tcW w:w="922" w:type="dxa"/>
          </w:tcPr>
          <w:p w14:paraId="3BC7DE7C"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sidRPr="00445DB6">
              <w:rPr>
                <w:rFonts w:asciiTheme="majorHAnsi" w:hAnsiTheme="majorHAnsi" w:cstheme="majorHAnsi"/>
                <w:sz w:val="14"/>
                <w:szCs w:val="14"/>
              </w:rPr>
              <w:t>10%</w:t>
            </w:r>
          </w:p>
        </w:tc>
        <w:tc>
          <w:tcPr>
            <w:tcW w:w="1018" w:type="dxa"/>
          </w:tcPr>
          <w:p w14:paraId="7DAF1DCD"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sidRPr="00445DB6">
              <w:rPr>
                <w:rFonts w:asciiTheme="majorHAnsi" w:hAnsiTheme="majorHAnsi" w:cstheme="majorHAnsi"/>
                <w:sz w:val="14"/>
                <w:szCs w:val="14"/>
              </w:rPr>
              <w:t>42%</w:t>
            </w:r>
          </w:p>
        </w:tc>
        <w:tc>
          <w:tcPr>
            <w:tcW w:w="1037" w:type="dxa"/>
          </w:tcPr>
          <w:p w14:paraId="42172ABF"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sidRPr="00445DB6">
              <w:rPr>
                <w:rFonts w:asciiTheme="majorHAnsi" w:hAnsiTheme="majorHAnsi" w:cstheme="majorHAnsi"/>
                <w:sz w:val="14"/>
                <w:szCs w:val="14"/>
              </w:rPr>
              <w:t>48%</w:t>
            </w:r>
          </w:p>
        </w:tc>
        <w:tc>
          <w:tcPr>
            <w:tcW w:w="922" w:type="dxa"/>
          </w:tcPr>
          <w:p w14:paraId="0DCFC32C"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sidRPr="00445DB6">
              <w:rPr>
                <w:rFonts w:asciiTheme="majorHAnsi" w:hAnsiTheme="majorHAnsi" w:cstheme="majorHAnsi"/>
                <w:sz w:val="14"/>
                <w:szCs w:val="14"/>
              </w:rPr>
              <w:t>26%</w:t>
            </w:r>
          </w:p>
        </w:tc>
        <w:tc>
          <w:tcPr>
            <w:tcW w:w="1018" w:type="dxa"/>
          </w:tcPr>
          <w:p w14:paraId="767F2408"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sidRPr="00445DB6">
              <w:rPr>
                <w:rFonts w:asciiTheme="majorHAnsi" w:hAnsiTheme="majorHAnsi" w:cstheme="majorHAnsi"/>
                <w:sz w:val="14"/>
                <w:szCs w:val="14"/>
              </w:rPr>
              <w:t>28%</w:t>
            </w:r>
          </w:p>
        </w:tc>
        <w:tc>
          <w:tcPr>
            <w:tcW w:w="1037" w:type="dxa"/>
          </w:tcPr>
          <w:p w14:paraId="069637D4"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sidRPr="00445DB6">
              <w:rPr>
                <w:rFonts w:asciiTheme="majorHAnsi" w:hAnsiTheme="majorHAnsi" w:cstheme="majorHAnsi"/>
                <w:sz w:val="14"/>
                <w:szCs w:val="14"/>
              </w:rPr>
              <w:t>46</w:t>
            </w:r>
            <w:r>
              <w:rPr>
                <w:rFonts w:asciiTheme="majorHAnsi" w:hAnsiTheme="majorHAnsi" w:cstheme="majorHAnsi"/>
                <w:sz w:val="14"/>
                <w:szCs w:val="14"/>
              </w:rPr>
              <w:t>%</w:t>
            </w:r>
          </w:p>
        </w:tc>
        <w:tc>
          <w:tcPr>
            <w:tcW w:w="922" w:type="dxa"/>
          </w:tcPr>
          <w:p w14:paraId="4BE8694D"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sidRPr="00445DB6">
              <w:rPr>
                <w:rFonts w:asciiTheme="majorHAnsi" w:hAnsiTheme="majorHAnsi" w:cstheme="majorHAnsi"/>
                <w:sz w:val="14"/>
                <w:szCs w:val="14"/>
              </w:rPr>
              <w:t>13</w:t>
            </w:r>
            <w:r>
              <w:rPr>
                <w:rFonts w:asciiTheme="majorHAnsi" w:hAnsiTheme="majorHAnsi" w:cstheme="majorHAnsi"/>
                <w:sz w:val="14"/>
                <w:szCs w:val="14"/>
              </w:rPr>
              <w:t>%</w:t>
            </w:r>
          </w:p>
        </w:tc>
        <w:tc>
          <w:tcPr>
            <w:tcW w:w="1018" w:type="dxa"/>
          </w:tcPr>
          <w:p w14:paraId="2E1C8C09"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sidRPr="00445DB6">
              <w:rPr>
                <w:rFonts w:asciiTheme="majorHAnsi" w:hAnsiTheme="majorHAnsi" w:cstheme="majorHAnsi"/>
                <w:sz w:val="14"/>
                <w:szCs w:val="14"/>
              </w:rPr>
              <w:t>37</w:t>
            </w:r>
            <w:r>
              <w:rPr>
                <w:rFonts w:asciiTheme="majorHAnsi" w:hAnsiTheme="majorHAnsi" w:cstheme="majorHAnsi"/>
                <w:sz w:val="14"/>
                <w:szCs w:val="14"/>
              </w:rPr>
              <w:t>%</w:t>
            </w:r>
          </w:p>
        </w:tc>
        <w:tc>
          <w:tcPr>
            <w:tcW w:w="1037" w:type="dxa"/>
          </w:tcPr>
          <w:p w14:paraId="1834FFAD"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sidRPr="00445DB6">
              <w:rPr>
                <w:rFonts w:asciiTheme="majorHAnsi" w:hAnsiTheme="majorHAnsi" w:cstheme="majorHAnsi"/>
                <w:sz w:val="14"/>
                <w:szCs w:val="14"/>
              </w:rPr>
              <w:t>50</w:t>
            </w:r>
            <w:r>
              <w:rPr>
                <w:rFonts w:asciiTheme="majorHAnsi" w:hAnsiTheme="majorHAnsi" w:cstheme="majorHAnsi"/>
                <w:sz w:val="14"/>
                <w:szCs w:val="14"/>
              </w:rPr>
              <w:t>%</w:t>
            </w:r>
          </w:p>
        </w:tc>
        <w:tc>
          <w:tcPr>
            <w:tcW w:w="922" w:type="dxa"/>
          </w:tcPr>
          <w:p w14:paraId="4441517C"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sidRPr="00445DB6">
              <w:rPr>
                <w:rFonts w:asciiTheme="majorHAnsi" w:hAnsiTheme="majorHAnsi" w:cstheme="majorHAnsi"/>
                <w:sz w:val="14"/>
                <w:szCs w:val="14"/>
              </w:rPr>
              <w:t>8</w:t>
            </w:r>
            <w:r>
              <w:rPr>
                <w:rFonts w:asciiTheme="majorHAnsi" w:hAnsiTheme="majorHAnsi" w:cstheme="majorHAnsi"/>
                <w:sz w:val="14"/>
                <w:szCs w:val="14"/>
              </w:rPr>
              <w:t>%</w:t>
            </w:r>
          </w:p>
        </w:tc>
        <w:tc>
          <w:tcPr>
            <w:tcW w:w="1018" w:type="dxa"/>
          </w:tcPr>
          <w:p w14:paraId="18DFE062"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sidRPr="00445DB6">
              <w:rPr>
                <w:rFonts w:asciiTheme="majorHAnsi" w:hAnsiTheme="majorHAnsi" w:cstheme="majorHAnsi"/>
                <w:sz w:val="14"/>
                <w:szCs w:val="14"/>
              </w:rPr>
              <w:t>43</w:t>
            </w:r>
            <w:r>
              <w:rPr>
                <w:rFonts w:asciiTheme="majorHAnsi" w:hAnsiTheme="majorHAnsi" w:cstheme="majorHAnsi"/>
                <w:sz w:val="14"/>
                <w:szCs w:val="14"/>
              </w:rPr>
              <w:t>%</w:t>
            </w:r>
          </w:p>
        </w:tc>
        <w:tc>
          <w:tcPr>
            <w:tcW w:w="1037" w:type="dxa"/>
          </w:tcPr>
          <w:p w14:paraId="5FAFDD60"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49%</w:t>
            </w:r>
          </w:p>
        </w:tc>
        <w:tc>
          <w:tcPr>
            <w:tcW w:w="839" w:type="dxa"/>
          </w:tcPr>
          <w:p w14:paraId="78CC9A8A"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10%</w:t>
            </w:r>
          </w:p>
        </w:tc>
        <w:tc>
          <w:tcPr>
            <w:tcW w:w="924" w:type="dxa"/>
          </w:tcPr>
          <w:p w14:paraId="5C51AB33"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32%</w:t>
            </w:r>
          </w:p>
        </w:tc>
        <w:tc>
          <w:tcPr>
            <w:tcW w:w="941" w:type="dxa"/>
          </w:tcPr>
          <w:p w14:paraId="4421A229"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58%</w:t>
            </w:r>
          </w:p>
        </w:tc>
      </w:tr>
      <w:tr w:rsidR="0025315D" w:rsidRPr="00445DB6" w14:paraId="723D345F" w14:textId="77777777" w:rsidTr="0025315D">
        <w:tc>
          <w:tcPr>
            <w:tcW w:w="778" w:type="dxa"/>
          </w:tcPr>
          <w:p w14:paraId="7623FAAE"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sidRPr="00445DB6">
              <w:rPr>
                <w:rFonts w:asciiTheme="majorHAnsi" w:hAnsiTheme="majorHAnsi" w:cstheme="majorHAnsi"/>
                <w:sz w:val="14"/>
                <w:szCs w:val="14"/>
              </w:rPr>
              <w:t>Male</w:t>
            </w:r>
          </w:p>
        </w:tc>
        <w:tc>
          <w:tcPr>
            <w:tcW w:w="922" w:type="dxa"/>
          </w:tcPr>
          <w:p w14:paraId="5D54CB69"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16%</w:t>
            </w:r>
          </w:p>
        </w:tc>
        <w:tc>
          <w:tcPr>
            <w:tcW w:w="1018" w:type="dxa"/>
          </w:tcPr>
          <w:p w14:paraId="190C720F"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48%</w:t>
            </w:r>
          </w:p>
        </w:tc>
        <w:tc>
          <w:tcPr>
            <w:tcW w:w="1037" w:type="dxa"/>
          </w:tcPr>
          <w:p w14:paraId="0D80670B"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37%</w:t>
            </w:r>
          </w:p>
        </w:tc>
        <w:tc>
          <w:tcPr>
            <w:tcW w:w="922" w:type="dxa"/>
          </w:tcPr>
          <w:p w14:paraId="11FDD050"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31%</w:t>
            </w:r>
          </w:p>
        </w:tc>
        <w:tc>
          <w:tcPr>
            <w:tcW w:w="1018" w:type="dxa"/>
          </w:tcPr>
          <w:p w14:paraId="512D5332"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38%</w:t>
            </w:r>
          </w:p>
        </w:tc>
        <w:tc>
          <w:tcPr>
            <w:tcW w:w="1037" w:type="dxa"/>
          </w:tcPr>
          <w:p w14:paraId="52DD7F9A"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31%</w:t>
            </w:r>
          </w:p>
        </w:tc>
        <w:tc>
          <w:tcPr>
            <w:tcW w:w="922" w:type="dxa"/>
          </w:tcPr>
          <w:p w14:paraId="16751A01"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16%</w:t>
            </w:r>
          </w:p>
        </w:tc>
        <w:tc>
          <w:tcPr>
            <w:tcW w:w="1018" w:type="dxa"/>
          </w:tcPr>
          <w:p w14:paraId="257350C9"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47%</w:t>
            </w:r>
          </w:p>
        </w:tc>
        <w:tc>
          <w:tcPr>
            <w:tcW w:w="1037" w:type="dxa"/>
          </w:tcPr>
          <w:p w14:paraId="53EF003E"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36%</w:t>
            </w:r>
          </w:p>
        </w:tc>
        <w:tc>
          <w:tcPr>
            <w:tcW w:w="922" w:type="dxa"/>
          </w:tcPr>
          <w:p w14:paraId="12E92078"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14%</w:t>
            </w:r>
          </w:p>
        </w:tc>
        <w:tc>
          <w:tcPr>
            <w:tcW w:w="1018" w:type="dxa"/>
          </w:tcPr>
          <w:p w14:paraId="148F5C2F"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47%</w:t>
            </w:r>
          </w:p>
        </w:tc>
        <w:tc>
          <w:tcPr>
            <w:tcW w:w="1037" w:type="dxa"/>
          </w:tcPr>
          <w:p w14:paraId="5AD04094"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39%</w:t>
            </w:r>
          </w:p>
        </w:tc>
        <w:tc>
          <w:tcPr>
            <w:tcW w:w="839" w:type="dxa"/>
          </w:tcPr>
          <w:p w14:paraId="024A4EE0"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15%</w:t>
            </w:r>
          </w:p>
        </w:tc>
        <w:tc>
          <w:tcPr>
            <w:tcW w:w="924" w:type="dxa"/>
          </w:tcPr>
          <w:p w14:paraId="77C0AA6F"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44</w:t>
            </w:r>
          </w:p>
        </w:tc>
        <w:tc>
          <w:tcPr>
            <w:tcW w:w="941" w:type="dxa"/>
          </w:tcPr>
          <w:p w14:paraId="355753F8"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42%</w:t>
            </w:r>
          </w:p>
        </w:tc>
      </w:tr>
      <w:tr w:rsidR="0025315D" w:rsidRPr="00445DB6" w14:paraId="51BAE208" w14:textId="77777777" w:rsidTr="0025315D">
        <w:tc>
          <w:tcPr>
            <w:tcW w:w="778" w:type="dxa"/>
          </w:tcPr>
          <w:p w14:paraId="310F1434"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sidRPr="00445DB6">
              <w:rPr>
                <w:rFonts w:asciiTheme="majorHAnsi" w:hAnsiTheme="majorHAnsi" w:cstheme="majorHAnsi"/>
                <w:sz w:val="14"/>
                <w:szCs w:val="14"/>
              </w:rPr>
              <w:t>Grade 5 Students</w:t>
            </w:r>
          </w:p>
        </w:tc>
        <w:tc>
          <w:tcPr>
            <w:tcW w:w="922" w:type="dxa"/>
          </w:tcPr>
          <w:p w14:paraId="2A86D3C0"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p>
        </w:tc>
        <w:tc>
          <w:tcPr>
            <w:tcW w:w="1018" w:type="dxa"/>
          </w:tcPr>
          <w:p w14:paraId="117643D2"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p>
        </w:tc>
        <w:tc>
          <w:tcPr>
            <w:tcW w:w="1037" w:type="dxa"/>
          </w:tcPr>
          <w:p w14:paraId="01148551"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p>
        </w:tc>
        <w:tc>
          <w:tcPr>
            <w:tcW w:w="922" w:type="dxa"/>
          </w:tcPr>
          <w:p w14:paraId="0B4B267B"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p>
        </w:tc>
        <w:tc>
          <w:tcPr>
            <w:tcW w:w="1018" w:type="dxa"/>
          </w:tcPr>
          <w:p w14:paraId="5D0FFD0C"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p>
        </w:tc>
        <w:tc>
          <w:tcPr>
            <w:tcW w:w="1037" w:type="dxa"/>
          </w:tcPr>
          <w:p w14:paraId="496B9BD3"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p>
        </w:tc>
        <w:tc>
          <w:tcPr>
            <w:tcW w:w="922" w:type="dxa"/>
          </w:tcPr>
          <w:p w14:paraId="4045C35F"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p>
        </w:tc>
        <w:tc>
          <w:tcPr>
            <w:tcW w:w="1018" w:type="dxa"/>
          </w:tcPr>
          <w:p w14:paraId="4F64E58F"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p>
        </w:tc>
        <w:tc>
          <w:tcPr>
            <w:tcW w:w="1037" w:type="dxa"/>
          </w:tcPr>
          <w:p w14:paraId="6CC774D1"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p>
        </w:tc>
        <w:tc>
          <w:tcPr>
            <w:tcW w:w="922" w:type="dxa"/>
          </w:tcPr>
          <w:p w14:paraId="3AD955E9"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p>
        </w:tc>
        <w:tc>
          <w:tcPr>
            <w:tcW w:w="1018" w:type="dxa"/>
          </w:tcPr>
          <w:p w14:paraId="3EC19958"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p>
        </w:tc>
        <w:tc>
          <w:tcPr>
            <w:tcW w:w="1037" w:type="dxa"/>
          </w:tcPr>
          <w:p w14:paraId="2424ACAC"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p>
        </w:tc>
        <w:tc>
          <w:tcPr>
            <w:tcW w:w="839" w:type="dxa"/>
          </w:tcPr>
          <w:p w14:paraId="2E0104F2"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p>
        </w:tc>
        <w:tc>
          <w:tcPr>
            <w:tcW w:w="924" w:type="dxa"/>
          </w:tcPr>
          <w:p w14:paraId="7827962C"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p>
        </w:tc>
        <w:tc>
          <w:tcPr>
            <w:tcW w:w="941" w:type="dxa"/>
          </w:tcPr>
          <w:p w14:paraId="21B90328"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p>
        </w:tc>
      </w:tr>
      <w:tr w:rsidR="0025315D" w:rsidRPr="00445DB6" w14:paraId="27A66A60" w14:textId="77777777" w:rsidTr="0025315D">
        <w:tc>
          <w:tcPr>
            <w:tcW w:w="778" w:type="dxa"/>
          </w:tcPr>
          <w:p w14:paraId="097E3835"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sidRPr="00445DB6">
              <w:rPr>
                <w:rFonts w:asciiTheme="majorHAnsi" w:hAnsiTheme="majorHAnsi" w:cstheme="majorHAnsi"/>
                <w:sz w:val="14"/>
                <w:szCs w:val="14"/>
              </w:rPr>
              <w:t>Female</w:t>
            </w:r>
          </w:p>
        </w:tc>
        <w:tc>
          <w:tcPr>
            <w:tcW w:w="922" w:type="dxa"/>
          </w:tcPr>
          <w:p w14:paraId="4A3F00ED"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12%</w:t>
            </w:r>
          </w:p>
        </w:tc>
        <w:tc>
          <w:tcPr>
            <w:tcW w:w="1018" w:type="dxa"/>
          </w:tcPr>
          <w:p w14:paraId="6E135C5C"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52%</w:t>
            </w:r>
          </w:p>
        </w:tc>
        <w:tc>
          <w:tcPr>
            <w:tcW w:w="1037" w:type="dxa"/>
          </w:tcPr>
          <w:p w14:paraId="77CB3492"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36%</w:t>
            </w:r>
          </w:p>
        </w:tc>
        <w:tc>
          <w:tcPr>
            <w:tcW w:w="922" w:type="dxa"/>
          </w:tcPr>
          <w:p w14:paraId="49ACCEAF"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7%</w:t>
            </w:r>
          </w:p>
        </w:tc>
        <w:tc>
          <w:tcPr>
            <w:tcW w:w="1018" w:type="dxa"/>
          </w:tcPr>
          <w:p w14:paraId="0581DCFB"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42%</w:t>
            </w:r>
          </w:p>
        </w:tc>
        <w:tc>
          <w:tcPr>
            <w:tcW w:w="1037" w:type="dxa"/>
          </w:tcPr>
          <w:p w14:paraId="62072EA5"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51%</w:t>
            </w:r>
          </w:p>
        </w:tc>
        <w:tc>
          <w:tcPr>
            <w:tcW w:w="922" w:type="dxa"/>
          </w:tcPr>
          <w:p w14:paraId="48956940"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25%</w:t>
            </w:r>
          </w:p>
        </w:tc>
        <w:tc>
          <w:tcPr>
            <w:tcW w:w="1018" w:type="dxa"/>
          </w:tcPr>
          <w:p w14:paraId="26F39903"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31%</w:t>
            </w:r>
          </w:p>
        </w:tc>
        <w:tc>
          <w:tcPr>
            <w:tcW w:w="1037" w:type="dxa"/>
          </w:tcPr>
          <w:p w14:paraId="6A41DCFB"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44%</w:t>
            </w:r>
          </w:p>
        </w:tc>
        <w:tc>
          <w:tcPr>
            <w:tcW w:w="922" w:type="dxa"/>
          </w:tcPr>
          <w:p w14:paraId="7BC781AA"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25%</w:t>
            </w:r>
          </w:p>
        </w:tc>
        <w:tc>
          <w:tcPr>
            <w:tcW w:w="1018" w:type="dxa"/>
          </w:tcPr>
          <w:p w14:paraId="2FC659F5"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31%</w:t>
            </w:r>
          </w:p>
        </w:tc>
        <w:tc>
          <w:tcPr>
            <w:tcW w:w="1037" w:type="dxa"/>
          </w:tcPr>
          <w:p w14:paraId="6775E7F0"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44%</w:t>
            </w:r>
          </w:p>
        </w:tc>
        <w:tc>
          <w:tcPr>
            <w:tcW w:w="839" w:type="dxa"/>
          </w:tcPr>
          <w:p w14:paraId="314FDD85"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10%</w:t>
            </w:r>
          </w:p>
        </w:tc>
        <w:tc>
          <w:tcPr>
            <w:tcW w:w="924" w:type="dxa"/>
          </w:tcPr>
          <w:p w14:paraId="5FF21068"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32%</w:t>
            </w:r>
          </w:p>
        </w:tc>
        <w:tc>
          <w:tcPr>
            <w:tcW w:w="941" w:type="dxa"/>
          </w:tcPr>
          <w:p w14:paraId="646C3E7F"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58%</w:t>
            </w:r>
          </w:p>
        </w:tc>
      </w:tr>
      <w:tr w:rsidR="0025315D" w:rsidRPr="00445DB6" w14:paraId="43EE3DBB" w14:textId="77777777" w:rsidTr="0025315D">
        <w:tc>
          <w:tcPr>
            <w:tcW w:w="778" w:type="dxa"/>
          </w:tcPr>
          <w:p w14:paraId="364BAF5B"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sidRPr="00445DB6">
              <w:rPr>
                <w:rFonts w:asciiTheme="majorHAnsi" w:hAnsiTheme="majorHAnsi" w:cstheme="majorHAnsi"/>
                <w:sz w:val="14"/>
                <w:szCs w:val="14"/>
              </w:rPr>
              <w:t>Male</w:t>
            </w:r>
          </w:p>
        </w:tc>
        <w:tc>
          <w:tcPr>
            <w:tcW w:w="922" w:type="dxa"/>
          </w:tcPr>
          <w:p w14:paraId="1092FEAB"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25%</w:t>
            </w:r>
          </w:p>
        </w:tc>
        <w:tc>
          <w:tcPr>
            <w:tcW w:w="1018" w:type="dxa"/>
          </w:tcPr>
          <w:p w14:paraId="724099F8"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43%</w:t>
            </w:r>
          </w:p>
        </w:tc>
        <w:tc>
          <w:tcPr>
            <w:tcW w:w="1037" w:type="dxa"/>
          </w:tcPr>
          <w:p w14:paraId="335FB39C"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32%</w:t>
            </w:r>
          </w:p>
        </w:tc>
        <w:tc>
          <w:tcPr>
            <w:tcW w:w="922" w:type="dxa"/>
          </w:tcPr>
          <w:p w14:paraId="797A2C87"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16%</w:t>
            </w:r>
          </w:p>
        </w:tc>
        <w:tc>
          <w:tcPr>
            <w:tcW w:w="1018" w:type="dxa"/>
          </w:tcPr>
          <w:p w14:paraId="5F0B3479"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47%</w:t>
            </w:r>
          </w:p>
        </w:tc>
        <w:tc>
          <w:tcPr>
            <w:tcW w:w="1037" w:type="dxa"/>
          </w:tcPr>
          <w:p w14:paraId="4BE8E27E"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37%</w:t>
            </w:r>
          </w:p>
        </w:tc>
        <w:tc>
          <w:tcPr>
            <w:tcW w:w="922" w:type="dxa"/>
          </w:tcPr>
          <w:p w14:paraId="4045E220"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27%</w:t>
            </w:r>
          </w:p>
        </w:tc>
        <w:tc>
          <w:tcPr>
            <w:tcW w:w="1018" w:type="dxa"/>
          </w:tcPr>
          <w:p w14:paraId="5400C41C"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39%</w:t>
            </w:r>
          </w:p>
        </w:tc>
        <w:tc>
          <w:tcPr>
            <w:tcW w:w="1037" w:type="dxa"/>
          </w:tcPr>
          <w:p w14:paraId="3C7041E2"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35%</w:t>
            </w:r>
          </w:p>
        </w:tc>
        <w:tc>
          <w:tcPr>
            <w:tcW w:w="922" w:type="dxa"/>
          </w:tcPr>
          <w:p w14:paraId="399C6187"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27%</w:t>
            </w:r>
          </w:p>
        </w:tc>
        <w:tc>
          <w:tcPr>
            <w:tcW w:w="1018" w:type="dxa"/>
          </w:tcPr>
          <w:p w14:paraId="3F565D7F"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39%</w:t>
            </w:r>
          </w:p>
        </w:tc>
        <w:tc>
          <w:tcPr>
            <w:tcW w:w="1037" w:type="dxa"/>
          </w:tcPr>
          <w:p w14:paraId="6F4DA8BA"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35%</w:t>
            </w:r>
          </w:p>
        </w:tc>
        <w:tc>
          <w:tcPr>
            <w:tcW w:w="839" w:type="dxa"/>
          </w:tcPr>
          <w:p w14:paraId="114ECE60"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15%</w:t>
            </w:r>
          </w:p>
        </w:tc>
        <w:tc>
          <w:tcPr>
            <w:tcW w:w="924" w:type="dxa"/>
          </w:tcPr>
          <w:p w14:paraId="174FF472"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44%</w:t>
            </w:r>
          </w:p>
        </w:tc>
        <w:tc>
          <w:tcPr>
            <w:tcW w:w="941" w:type="dxa"/>
          </w:tcPr>
          <w:p w14:paraId="71617C66"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42%</w:t>
            </w:r>
          </w:p>
        </w:tc>
      </w:tr>
      <w:tr w:rsidR="0025315D" w:rsidRPr="00445DB6" w14:paraId="0056CC79" w14:textId="77777777" w:rsidTr="0025315D">
        <w:tc>
          <w:tcPr>
            <w:tcW w:w="778" w:type="dxa"/>
          </w:tcPr>
          <w:p w14:paraId="25C2FF55"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sidRPr="00445DB6">
              <w:rPr>
                <w:rFonts w:asciiTheme="majorHAnsi" w:hAnsiTheme="majorHAnsi" w:cstheme="majorHAnsi"/>
                <w:sz w:val="14"/>
                <w:szCs w:val="14"/>
              </w:rPr>
              <w:t>Grade 6 Students</w:t>
            </w:r>
          </w:p>
        </w:tc>
        <w:tc>
          <w:tcPr>
            <w:tcW w:w="922" w:type="dxa"/>
          </w:tcPr>
          <w:p w14:paraId="44CA35E6"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p>
        </w:tc>
        <w:tc>
          <w:tcPr>
            <w:tcW w:w="1018" w:type="dxa"/>
          </w:tcPr>
          <w:p w14:paraId="1C82801D"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p>
        </w:tc>
        <w:tc>
          <w:tcPr>
            <w:tcW w:w="1037" w:type="dxa"/>
          </w:tcPr>
          <w:p w14:paraId="55799DEB"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p>
        </w:tc>
        <w:tc>
          <w:tcPr>
            <w:tcW w:w="922" w:type="dxa"/>
          </w:tcPr>
          <w:p w14:paraId="35AC21DB"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p>
        </w:tc>
        <w:tc>
          <w:tcPr>
            <w:tcW w:w="1018" w:type="dxa"/>
          </w:tcPr>
          <w:p w14:paraId="279B8E19"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p>
        </w:tc>
        <w:tc>
          <w:tcPr>
            <w:tcW w:w="1037" w:type="dxa"/>
          </w:tcPr>
          <w:p w14:paraId="15A7301F"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p>
        </w:tc>
        <w:tc>
          <w:tcPr>
            <w:tcW w:w="922" w:type="dxa"/>
          </w:tcPr>
          <w:p w14:paraId="49EDE356"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p>
        </w:tc>
        <w:tc>
          <w:tcPr>
            <w:tcW w:w="1018" w:type="dxa"/>
          </w:tcPr>
          <w:p w14:paraId="46373E6C"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p>
        </w:tc>
        <w:tc>
          <w:tcPr>
            <w:tcW w:w="1037" w:type="dxa"/>
          </w:tcPr>
          <w:p w14:paraId="50628974"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p>
        </w:tc>
        <w:tc>
          <w:tcPr>
            <w:tcW w:w="922" w:type="dxa"/>
          </w:tcPr>
          <w:p w14:paraId="6F400745"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p>
        </w:tc>
        <w:tc>
          <w:tcPr>
            <w:tcW w:w="1018" w:type="dxa"/>
          </w:tcPr>
          <w:p w14:paraId="0663E3FF"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p>
        </w:tc>
        <w:tc>
          <w:tcPr>
            <w:tcW w:w="1037" w:type="dxa"/>
          </w:tcPr>
          <w:p w14:paraId="412E5FEA"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p>
        </w:tc>
        <w:tc>
          <w:tcPr>
            <w:tcW w:w="839" w:type="dxa"/>
          </w:tcPr>
          <w:p w14:paraId="2B226947"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p>
        </w:tc>
        <w:tc>
          <w:tcPr>
            <w:tcW w:w="924" w:type="dxa"/>
          </w:tcPr>
          <w:p w14:paraId="622D9764"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p>
        </w:tc>
        <w:tc>
          <w:tcPr>
            <w:tcW w:w="941" w:type="dxa"/>
          </w:tcPr>
          <w:p w14:paraId="0A15C5ED"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p>
        </w:tc>
      </w:tr>
      <w:tr w:rsidR="0025315D" w:rsidRPr="00445DB6" w14:paraId="0CD56DF2" w14:textId="77777777" w:rsidTr="0025315D">
        <w:tc>
          <w:tcPr>
            <w:tcW w:w="778" w:type="dxa"/>
          </w:tcPr>
          <w:p w14:paraId="1CEEFA5A"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sidRPr="00445DB6">
              <w:rPr>
                <w:rFonts w:asciiTheme="majorHAnsi" w:hAnsiTheme="majorHAnsi" w:cstheme="majorHAnsi"/>
                <w:sz w:val="14"/>
                <w:szCs w:val="14"/>
              </w:rPr>
              <w:t>Female</w:t>
            </w:r>
          </w:p>
        </w:tc>
        <w:tc>
          <w:tcPr>
            <w:tcW w:w="922" w:type="dxa"/>
          </w:tcPr>
          <w:p w14:paraId="1707119C"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8%</w:t>
            </w:r>
          </w:p>
        </w:tc>
        <w:tc>
          <w:tcPr>
            <w:tcW w:w="1018" w:type="dxa"/>
          </w:tcPr>
          <w:p w14:paraId="053B5768"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30%</w:t>
            </w:r>
          </w:p>
        </w:tc>
        <w:tc>
          <w:tcPr>
            <w:tcW w:w="1037" w:type="dxa"/>
          </w:tcPr>
          <w:p w14:paraId="5094DA11"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62%</w:t>
            </w:r>
          </w:p>
        </w:tc>
        <w:tc>
          <w:tcPr>
            <w:tcW w:w="922" w:type="dxa"/>
          </w:tcPr>
          <w:p w14:paraId="797E9B3C"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7%</w:t>
            </w:r>
          </w:p>
        </w:tc>
        <w:tc>
          <w:tcPr>
            <w:tcW w:w="1018" w:type="dxa"/>
          </w:tcPr>
          <w:p w14:paraId="09163D91"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38%</w:t>
            </w:r>
          </w:p>
        </w:tc>
        <w:tc>
          <w:tcPr>
            <w:tcW w:w="1037" w:type="dxa"/>
          </w:tcPr>
          <w:p w14:paraId="3544A564"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55%</w:t>
            </w:r>
          </w:p>
        </w:tc>
        <w:tc>
          <w:tcPr>
            <w:tcW w:w="922" w:type="dxa"/>
          </w:tcPr>
          <w:p w14:paraId="2589AC45"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18%</w:t>
            </w:r>
          </w:p>
        </w:tc>
        <w:tc>
          <w:tcPr>
            <w:tcW w:w="1018" w:type="dxa"/>
          </w:tcPr>
          <w:p w14:paraId="2DA29CB9"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27%</w:t>
            </w:r>
          </w:p>
        </w:tc>
        <w:tc>
          <w:tcPr>
            <w:tcW w:w="1037" w:type="dxa"/>
          </w:tcPr>
          <w:p w14:paraId="52632DE3"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55%</w:t>
            </w:r>
          </w:p>
        </w:tc>
        <w:tc>
          <w:tcPr>
            <w:tcW w:w="922" w:type="dxa"/>
          </w:tcPr>
          <w:p w14:paraId="41E43EA6"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6%</w:t>
            </w:r>
          </w:p>
        </w:tc>
        <w:tc>
          <w:tcPr>
            <w:tcW w:w="1018" w:type="dxa"/>
          </w:tcPr>
          <w:p w14:paraId="6C443055"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30%</w:t>
            </w:r>
          </w:p>
        </w:tc>
        <w:tc>
          <w:tcPr>
            <w:tcW w:w="1037" w:type="dxa"/>
          </w:tcPr>
          <w:p w14:paraId="0EFF1868"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63%</w:t>
            </w:r>
          </w:p>
        </w:tc>
        <w:tc>
          <w:tcPr>
            <w:tcW w:w="839" w:type="dxa"/>
          </w:tcPr>
          <w:p w14:paraId="6B57F411"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15%</w:t>
            </w:r>
          </w:p>
        </w:tc>
        <w:tc>
          <w:tcPr>
            <w:tcW w:w="924" w:type="dxa"/>
          </w:tcPr>
          <w:p w14:paraId="283B2969"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23%</w:t>
            </w:r>
          </w:p>
        </w:tc>
        <w:tc>
          <w:tcPr>
            <w:tcW w:w="941" w:type="dxa"/>
          </w:tcPr>
          <w:p w14:paraId="00B07717"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62%</w:t>
            </w:r>
          </w:p>
        </w:tc>
      </w:tr>
      <w:tr w:rsidR="0025315D" w:rsidRPr="00445DB6" w14:paraId="65927072" w14:textId="77777777" w:rsidTr="0025315D">
        <w:tc>
          <w:tcPr>
            <w:tcW w:w="778" w:type="dxa"/>
          </w:tcPr>
          <w:p w14:paraId="72E7A66B"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sidRPr="00445DB6">
              <w:rPr>
                <w:rFonts w:asciiTheme="majorHAnsi" w:hAnsiTheme="majorHAnsi" w:cstheme="majorHAnsi"/>
                <w:sz w:val="14"/>
                <w:szCs w:val="14"/>
              </w:rPr>
              <w:t>Male</w:t>
            </w:r>
          </w:p>
        </w:tc>
        <w:tc>
          <w:tcPr>
            <w:tcW w:w="922" w:type="dxa"/>
          </w:tcPr>
          <w:p w14:paraId="3BE8437B"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12%</w:t>
            </w:r>
          </w:p>
        </w:tc>
        <w:tc>
          <w:tcPr>
            <w:tcW w:w="1018" w:type="dxa"/>
          </w:tcPr>
          <w:p w14:paraId="5871976E"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43%</w:t>
            </w:r>
          </w:p>
        </w:tc>
        <w:tc>
          <w:tcPr>
            <w:tcW w:w="1037" w:type="dxa"/>
          </w:tcPr>
          <w:p w14:paraId="18CB3752"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46%</w:t>
            </w:r>
          </w:p>
        </w:tc>
        <w:tc>
          <w:tcPr>
            <w:tcW w:w="922" w:type="dxa"/>
          </w:tcPr>
          <w:p w14:paraId="47160EE5"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17%</w:t>
            </w:r>
          </w:p>
        </w:tc>
        <w:tc>
          <w:tcPr>
            <w:tcW w:w="1018" w:type="dxa"/>
          </w:tcPr>
          <w:p w14:paraId="34463352"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38%</w:t>
            </w:r>
          </w:p>
        </w:tc>
        <w:tc>
          <w:tcPr>
            <w:tcW w:w="1037" w:type="dxa"/>
          </w:tcPr>
          <w:p w14:paraId="042B9940"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45%</w:t>
            </w:r>
          </w:p>
        </w:tc>
        <w:tc>
          <w:tcPr>
            <w:tcW w:w="922" w:type="dxa"/>
          </w:tcPr>
          <w:p w14:paraId="17A2D22B"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23%</w:t>
            </w:r>
          </w:p>
        </w:tc>
        <w:tc>
          <w:tcPr>
            <w:tcW w:w="1018" w:type="dxa"/>
          </w:tcPr>
          <w:p w14:paraId="5C656BA6"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31%</w:t>
            </w:r>
          </w:p>
        </w:tc>
        <w:tc>
          <w:tcPr>
            <w:tcW w:w="1037" w:type="dxa"/>
          </w:tcPr>
          <w:p w14:paraId="39DFA9B4"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46%</w:t>
            </w:r>
          </w:p>
        </w:tc>
        <w:tc>
          <w:tcPr>
            <w:tcW w:w="922" w:type="dxa"/>
          </w:tcPr>
          <w:p w14:paraId="547E3588"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11%</w:t>
            </w:r>
          </w:p>
        </w:tc>
        <w:tc>
          <w:tcPr>
            <w:tcW w:w="1018" w:type="dxa"/>
          </w:tcPr>
          <w:p w14:paraId="08D885C4"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41%</w:t>
            </w:r>
          </w:p>
        </w:tc>
        <w:tc>
          <w:tcPr>
            <w:tcW w:w="1037" w:type="dxa"/>
          </w:tcPr>
          <w:p w14:paraId="75905E22"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48%</w:t>
            </w:r>
          </w:p>
        </w:tc>
        <w:tc>
          <w:tcPr>
            <w:tcW w:w="839" w:type="dxa"/>
          </w:tcPr>
          <w:p w14:paraId="3E782574"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23%</w:t>
            </w:r>
          </w:p>
        </w:tc>
        <w:tc>
          <w:tcPr>
            <w:tcW w:w="924" w:type="dxa"/>
          </w:tcPr>
          <w:p w14:paraId="2241AA96"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28%</w:t>
            </w:r>
          </w:p>
        </w:tc>
        <w:tc>
          <w:tcPr>
            <w:tcW w:w="941" w:type="dxa"/>
          </w:tcPr>
          <w:p w14:paraId="4C39EEFE" w14:textId="77777777" w:rsidR="0025315D" w:rsidRPr="00445DB6" w:rsidRDefault="0025315D" w:rsidP="0025315D">
            <w:pPr>
              <w:spacing w:before="100" w:beforeAutospacing="1" w:after="100" w:afterAutospacing="1" w:line="360" w:lineRule="auto"/>
              <w:rPr>
                <w:rFonts w:asciiTheme="majorHAnsi" w:hAnsiTheme="majorHAnsi" w:cstheme="majorHAnsi"/>
                <w:sz w:val="14"/>
                <w:szCs w:val="14"/>
              </w:rPr>
            </w:pPr>
            <w:r>
              <w:rPr>
                <w:rFonts w:asciiTheme="majorHAnsi" w:hAnsiTheme="majorHAnsi" w:cstheme="majorHAnsi"/>
                <w:sz w:val="14"/>
                <w:szCs w:val="14"/>
              </w:rPr>
              <w:t>49%</w:t>
            </w:r>
          </w:p>
        </w:tc>
      </w:tr>
    </w:tbl>
    <w:p w14:paraId="3DF0AE04" w14:textId="77777777" w:rsidR="00A8457A" w:rsidRDefault="00A8457A" w:rsidP="00796BFA">
      <w:pPr>
        <w:spacing w:before="100" w:beforeAutospacing="1" w:after="100" w:afterAutospacing="1" w:line="360" w:lineRule="auto"/>
        <w:rPr>
          <w:rFonts w:asciiTheme="majorHAnsi" w:hAnsiTheme="majorHAnsi" w:cstheme="majorHAnsi"/>
        </w:rPr>
        <w:sectPr w:rsidR="00A8457A" w:rsidSect="009C64E9">
          <w:pgSz w:w="16840" w:h="11900" w:orient="landscape"/>
          <w:pgMar w:top="720" w:right="720" w:bottom="720" w:left="720" w:header="720" w:footer="720" w:gutter="0"/>
          <w:cols w:space="720"/>
          <w:docGrid w:linePitch="360"/>
        </w:sectPr>
      </w:pPr>
    </w:p>
    <w:p w14:paraId="555098CF" w14:textId="77777777" w:rsidR="008D0CAD" w:rsidRPr="00E00C4B" w:rsidRDefault="008D0CAD" w:rsidP="00796BFA">
      <w:pPr>
        <w:pStyle w:val="Heading2"/>
        <w:numPr>
          <w:ilvl w:val="0"/>
          <w:numId w:val="0"/>
        </w:numPr>
        <w:spacing w:before="100" w:beforeAutospacing="1" w:after="100" w:afterAutospacing="1" w:line="360" w:lineRule="auto"/>
        <w:ind w:left="1288" w:hanging="720"/>
      </w:pPr>
      <w:bookmarkStart w:id="440" w:name="_Toc39938411"/>
      <w:bookmarkStart w:id="441" w:name="_Toc69820515"/>
      <w:r w:rsidRPr="00E00C4B">
        <w:t>Annex U. Analysis of Classroom Observations and Teacher Performance</w:t>
      </w:r>
      <w:bookmarkEnd w:id="440"/>
      <w:bookmarkEnd w:id="441"/>
    </w:p>
    <w:p w14:paraId="6097D7D0" w14:textId="588E98C5" w:rsidR="008D0CAD" w:rsidRPr="00E00C4B" w:rsidRDefault="008D0CAD" w:rsidP="00796BFA">
      <w:pPr>
        <w:spacing w:before="100" w:beforeAutospacing="1" w:after="100" w:afterAutospacing="1" w:line="360" w:lineRule="auto"/>
        <w:ind w:right="245"/>
        <w:rPr>
          <w:rFonts w:asciiTheme="majorHAnsi" w:eastAsia="Arial Unicode MS" w:hAnsiTheme="majorHAnsi" w:cstheme="majorHAnsi"/>
          <w:color w:val="000000" w:themeColor="text1"/>
          <w:u w:color="000000"/>
          <w:lang w:val="en-US"/>
        </w:rPr>
      </w:pPr>
      <w:r w:rsidRPr="00E00C4B">
        <w:rPr>
          <w:rFonts w:asciiTheme="majorHAnsi" w:eastAsia="Arial Unicode MS" w:hAnsiTheme="majorHAnsi" w:cstheme="majorHAnsi"/>
          <w:color w:val="000000" w:themeColor="text1"/>
          <w:u w:color="000000"/>
          <w:lang w:val="en-US"/>
        </w:rPr>
        <w:t>The Study also looked at how the BEST Program interventions contributed to improving teacher performance which in turn leads to improved student mastery. The snapshot of teacher performance is presented in the succeeding sections.</w:t>
      </w:r>
      <w:r w:rsidR="00D434EB">
        <w:rPr>
          <w:rFonts w:asciiTheme="majorHAnsi" w:eastAsia="Arial Unicode MS" w:hAnsiTheme="majorHAnsi" w:cstheme="majorHAnsi"/>
          <w:color w:val="000000" w:themeColor="text1"/>
          <w:u w:color="000000"/>
          <w:lang w:val="en-US"/>
        </w:rPr>
        <w:t xml:space="preserve"> </w:t>
      </w:r>
    </w:p>
    <w:p w14:paraId="3C3F3575" w14:textId="77777777" w:rsidR="008D0CAD" w:rsidRPr="00E00C4B" w:rsidRDefault="008D0CAD" w:rsidP="00796BFA">
      <w:pPr>
        <w:pStyle w:val="Heading3"/>
        <w:spacing w:before="100" w:beforeAutospacing="1" w:after="100" w:afterAutospacing="1" w:line="360" w:lineRule="auto"/>
        <w:rPr>
          <w:lang w:val="en-US"/>
        </w:rPr>
      </w:pPr>
      <w:r w:rsidRPr="00E00C4B">
        <w:rPr>
          <w:lang w:val="en-US"/>
        </w:rPr>
        <w:t>Classroom Observations</w:t>
      </w:r>
    </w:p>
    <w:p w14:paraId="5FF29CBF" w14:textId="0013954B" w:rsidR="008D0CAD" w:rsidRPr="00E00C4B" w:rsidRDefault="008D0CAD" w:rsidP="00796BFA">
      <w:pPr>
        <w:spacing w:before="100" w:beforeAutospacing="1" w:after="100" w:afterAutospacing="1" w:line="360" w:lineRule="auto"/>
        <w:rPr>
          <w:rFonts w:asciiTheme="majorHAnsi" w:hAnsiTheme="majorHAnsi" w:cstheme="majorHAnsi"/>
          <w:color w:val="000000" w:themeColor="text1"/>
          <w:lang w:val="en-US"/>
        </w:rPr>
      </w:pPr>
      <w:r w:rsidRPr="00E00C4B">
        <w:rPr>
          <w:rFonts w:asciiTheme="majorHAnsi" w:hAnsiTheme="majorHAnsi" w:cstheme="majorHAnsi"/>
          <w:color w:val="000000" w:themeColor="text1"/>
          <w:lang w:val="en-US"/>
        </w:rPr>
        <w:t>The PPST-aligned Results based Performance Management (RPMS) system is used by the principal, master or head teacher to observe how the teacher conducts the class.</w:t>
      </w:r>
      <w:r w:rsidR="00D434EB">
        <w:rPr>
          <w:rFonts w:asciiTheme="majorHAnsi" w:hAnsiTheme="majorHAnsi" w:cstheme="majorHAnsi"/>
          <w:color w:val="000000" w:themeColor="text1"/>
          <w:lang w:val="en-US"/>
        </w:rPr>
        <w:t xml:space="preserve"> </w:t>
      </w:r>
      <w:r w:rsidRPr="00E00C4B">
        <w:rPr>
          <w:rFonts w:asciiTheme="majorHAnsi" w:hAnsiTheme="majorHAnsi" w:cstheme="majorHAnsi"/>
          <w:color w:val="000000" w:themeColor="text1"/>
          <w:lang w:val="en-US"/>
        </w:rPr>
        <w:t>These observations are schedule</w:t>
      </w:r>
      <w:r w:rsidR="008D7B77">
        <w:rPr>
          <w:rFonts w:asciiTheme="majorHAnsi" w:hAnsiTheme="majorHAnsi" w:cstheme="majorHAnsi"/>
          <w:color w:val="000000" w:themeColor="text1"/>
          <w:lang w:val="en-US"/>
        </w:rPr>
        <w:t>d</w:t>
      </w:r>
      <w:r w:rsidRPr="00E00C4B">
        <w:rPr>
          <w:rFonts w:asciiTheme="majorHAnsi" w:hAnsiTheme="majorHAnsi" w:cstheme="majorHAnsi"/>
          <w:color w:val="000000" w:themeColor="text1"/>
          <w:lang w:val="en-US"/>
        </w:rPr>
        <w:t xml:space="preserve"> and the topics and methods are agreed upon by the rater and the ratee.</w:t>
      </w:r>
      <w:r w:rsidR="00D434EB">
        <w:rPr>
          <w:rFonts w:asciiTheme="majorHAnsi" w:hAnsiTheme="majorHAnsi" w:cstheme="majorHAnsi"/>
          <w:color w:val="000000" w:themeColor="text1"/>
          <w:lang w:val="en-US"/>
        </w:rPr>
        <w:t xml:space="preserve"> </w:t>
      </w:r>
      <w:r w:rsidRPr="00E00C4B">
        <w:rPr>
          <w:rFonts w:asciiTheme="majorHAnsi" w:hAnsiTheme="majorHAnsi" w:cstheme="majorHAnsi"/>
          <w:color w:val="000000" w:themeColor="text1"/>
          <w:lang w:val="en-US"/>
        </w:rPr>
        <w:t>During the classroom observation, notes are taken down by the rater and later these observations are transferred to the Classroom Observation Tool.</w:t>
      </w:r>
      <w:r w:rsidR="00D434EB">
        <w:rPr>
          <w:rFonts w:asciiTheme="majorHAnsi" w:hAnsiTheme="majorHAnsi" w:cstheme="majorHAnsi"/>
          <w:color w:val="000000" w:themeColor="text1"/>
          <w:lang w:val="en-US"/>
        </w:rPr>
        <w:t xml:space="preserve"> </w:t>
      </w:r>
    </w:p>
    <w:p w14:paraId="79744405" w14:textId="55FA9B64" w:rsidR="008D0CAD" w:rsidRPr="00E00C4B" w:rsidRDefault="008D0CAD" w:rsidP="00796BFA">
      <w:pPr>
        <w:spacing w:before="100" w:beforeAutospacing="1" w:after="100" w:afterAutospacing="1" w:line="360" w:lineRule="auto"/>
        <w:rPr>
          <w:rFonts w:asciiTheme="majorHAnsi" w:hAnsiTheme="majorHAnsi" w:cstheme="majorHAnsi"/>
          <w:color w:val="000000" w:themeColor="text1"/>
          <w:lang w:val="en-US"/>
        </w:rPr>
      </w:pPr>
      <w:r w:rsidRPr="00E00C4B">
        <w:rPr>
          <w:rFonts w:asciiTheme="majorHAnsi" w:hAnsiTheme="majorHAnsi" w:cstheme="majorHAnsi"/>
          <w:color w:val="000000" w:themeColor="text1"/>
          <w:lang w:val="en-US"/>
        </w:rPr>
        <w:t>Although the RPMS and the COT in particular does not enhance teacher performance per se, it measures teacher performance and links it to the PPST and encouraged the teachers to hone their competencies.</w:t>
      </w:r>
      <w:r w:rsidR="00D434EB">
        <w:rPr>
          <w:rFonts w:asciiTheme="majorHAnsi" w:hAnsiTheme="majorHAnsi" w:cstheme="majorHAnsi"/>
          <w:color w:val="000000" w:themeColor="text1"/>
          <w:lang w:val="en-US"/>
        </w:rPr>
        <w:t xml:space="preserve"> </w:t>
      </w:r>
      <w:r w:rsidRPr="00E00C4B">
        <w:rPr>
          <w:rFonts w:asciiTheme="majorHAnsi" w:hAnsiTheme="majorHAnsi" w:cstheme="majorHAnsi"/>
          <w:color w:val="000000" w:themeColor="text1"/>
          <w:lang w:val="en-US"/>
        </w:rPr>
        <w:t>These were based on the responses of teachers in the FGD, that the COT (and the RPMS) provided them with a definite assessment of their rank (Teacher I-III, Master teacher I-IV) and clear competency requirements for promotion and teacher development.</w:t>
      </w:r>
      <w:r w:rsidR="00D434EB">
        <w:rPr>
          <w:rFonts w:asciiTheme="majorHAnsi" w:hAnsiTheme="majorHAnsi" w:cstheme="majorHAnsi"/>
          <w:color w:val="000000" w:themeColor="text1"/>
          <w:lang w:val="en-US"/>
        </w:rPr>
        <w:t xml:space="preserve"> </w:t>
      </w:r>
      <w:r w:rsidRPr="00E00C4B">
        <w:rPr>
          <w:rFonts w:asciiTheme="majorHAnsi" w:hAnsiTheme="majorHAnsi" w:cstheme="majorHAnsi"/>
          <w:color w:val="000000" w:themeColor="text1"/>
          <w:lang w:val="en-US"/>
        </w:rPr>
        <w:t>The RPMS through its link to PPST encouraged the teachers to perform better and to access formal and non-formal teacher development activities.</w:t>
      </w:r>
    </w:p>
    <w:p w14:paraId="7C625E96" w14:textId="611471AB" w:rsidR="008D0CAD" w:rsidRPr="00E00C4B" w:rsidRDefault="008D0CAD" w:rsidP="00796BFA">
      <w:pPr>
        <w:spacing w:before="100" w:beforeAutospacing="1" w:after="100" w:afterAutospacing="1" w:line="360" w:lineRule="auto"/>
        <w:rPr>
          <w:rFonts w:asciiTheme="majorHAnsi" w:hAnsiTheme="majorHAnsi" w:cstheme="majorHAnsi"/>
          <w:color w:val="000000" w:themeColor="text1"/>
          <w:lang w:val="en-US"/>
        </w:rPr>
      </w:pPr>
      <w:r w:rsidRPr="00E00C4B">
        <w:rPr>
          <w:rFonts w:asciiTheme="majorHAnsi" w:hAnsiTheme="majorHAnsi" w:cstheme="majorHAnsi"/>
          <w:color w:val="000000" w:themeColor="text1"/>
          <w:lang w:val="en-US"/>
        </w:rPr>
        <w:t>The COT contains nine Key Result Areas (KRAs). The descriptors of the KRAs are found below:</w:t>
      </w:r>
    </w:p>
    <w:tbl>
      <w:tblPr>
        <w:tblStyle w:val="TableGrid18"/>
        <w:tblW w:w="0" w:type="auto"/>
        <w:tblLook w:val="04A0" w:firstRow="1" w:lastRow="0" w:firstColumn="1" w:lastColumn="0" w:noHBand="0" w:noVBand="1"/>
      </w:tblPr>
      <w:tblGrid>
        <w:gridCol w:w="9063"/>
      </w:tblGrid>
      <w:tr w:rsidR="00B71678" w:rsidRPr="00E00C4B" w14:paraId="56FFD0BA" w14:textId="77777777" w:rsidTr="00B71678">
        <w:trPr>
          <w:trHeight w:val="323"/>
          <w:tblHeader/>
        </w:trPr>
        <w:tc>
          <w:tcPr>
            <w:tcW w:w="9063" w:type="dxa"/>
          </w:tcPr>
          <w:p w14:paraId="4442F00C" w14:textId="67CA63CB" w:rsidR="00B71678" w:rsidRPr="00E00C4B" w:rsidRDefault="00B71678" w:rsidP="00796BFA">
            <w:pPr>
              <w:spacing w:before="100" w:beforeAutospacing="1" w:after="100" w:afterAutospacing="1" w:line="360" w:lineRule="auto"/>
              <w:ind w:left="360"/>
              <w:rPr>
                <w:rFonts w:asciiTheme="majorHAnsi" w:hAnsiTheme="majorHAnsi" w:cstheme="majorHAnsi"/>
                <w:b/>
                <w:color w:val="4472C4" w:themeColor="accent1"/>
                <w:lang w:val="en-US"/>
              </w:rPr>
            </w:pPr>
            <w:r w:rsidRPr="00E00C4B">
              <w:rPr>
                <w:rFonts w:asciiTheme="majorHAnsi" w:hAnsiTheme="majorHAnsi" w:cstheme="majorHAnsi"/>
                <w:b/>
                <w:color w:val="4472C4" w:themeColor="accent1"/>
                <w:lang w:val="en-US"/>
              </w:rPr>
              <w:t>COT KRAs</w:t>
            </w:r>
          </w:p>
        </w:tc>
      </w:tr>
      <w:tr w:rsidR="008D0CAD" w:rsidRPr="00E00C4B" w14:paraId="4E652857" w14:textId="77777777" w:rsidTr="0048024E">
        <w:trPr>
          <w:trHeight w:val="323"/>
        </w:trPr>
        <w:tc>
          <w:tcPr>
            <w:tcW w:w="9063" w:type="dxa"/>
          </w:tcPr>
          <w:p w14:paraId="49E41778" w14:textId="42577D96" w:rsidR="008D0CAD" w:rsidRPr="00E00C4B" w:rsidRDefault="008D0CAD" w:rsidP="00796BFA">
            <w:pPr>
              <w:spacing w:before="100" w:beforeAutospacing="1" w:after="100" w:afterAutospacing="1" w:line="360" w:lineRule="auto"/>
              <w:ind w:left="360"/>
              <w:rPr>
                <w:rFonts w:asciiTheme="majorHAnsi" w:hAnsiTheme="majorHAnsi" w:cstheme="majorHAnsi"/>
                <w:color w:val="4472C4" w:themeColor="accent1"/>
                <w:lang w:val="en-US"/>
              </w:rPr>
            </w:pPr>
            <w:r w:rsidRPr="00E00C4B">
              <w:rPr>
                <w:rFonts w:asciiTheme="majorHAnsi" w:hAnsiTheme="majorHAnsi" w:cstheme="majorHAnsi"/>
                <w:b/>
                <w:color w:val="4472C4" w:themeColor="accent1"/>
                <w:lang w:val="en-US"/>
              </w:rPr>
              <w:t>KRA 1.</w:t>
            </w:r>
            <w:r w:rsidR="00D434EB">
              <w:rPr>
                <w:rFonts w:asciiTheme="majorHAnsi" w:hAnsiTheme="majorHAnsi" w:cstheme="majorHAnsi"/>
                <w:color w:val="4472C4" w:themeColor="accent1"/>
                <w:lang w:val="en-US"/>
              </w:rPr>
              <w:t xml:space="preserve">  </w:t>
            </w:r>
            <w:r w:rsidRPr="00E00C4B">
              <w:rPr>
                <w:rFonts w:asciiTheme="majorHAnsi" w:hAnsiTheme="majorHAnsi" w:cstheme="majorHAnsi"/>
                <w:color w:val="4472C4" w:themeColor="accent1"/>
                <w:lang w:val="en-US"/>
              </w:rPr>
              <w:t>Applies knowledge of content within and across curriculum</w:t>
            </w:r>
          </w:p>
        </w:tc>
      </w:tr>
      <w:tr w:rsidR="008D0CAD" w:rsidRPr="00E00C4B" w14:paraId="6025DAD5" w14:textId="77777777" w:rsidTr="0048024E">
        <w:trPr>
          <w:trHeight w:val="557"/>
        </w:trPr>
        <w:tc>
          <w:tcPr>
            <w:tcW w:w="9063" w:type="dxa"/>
          </w:tcPr>
          <w:p w14:paraId="19C971F7" w14:textId="3179CB58" w:rsidR="008D0CAD" w:rsidRPr="00E00C4B" w:rsidRDefault="008D0CAD" w:rsidP="00796BFA">
            <w:pPr>
              <w:spacing w:before="100" w:beforeAutospacing="1" w:after="100" w:afterAutospacing="1" w:line="360" w:lineRule="auto"/>
              <w:ind w:left="360"/>
              <w:rPr>
                <w:rFonts w:asciiTheme="majorHAnsi" w:hAnsiTheme="majorHAnsi" w:cstheme="majorHAnsi"/>
                <w:color w:val="4472C4" w:themeColor="accent1"/>
                <w:lang w:val="en-US"/>
              </w:rPr>
            </w:pPr>
            <w:r w:rsidRPr="00E00C4B">
              <w:rPr>
                <w:rFonts w:asciiTheme="majorHAnsi" w:hAnsiTheme="majorHAnsi" w:cstheme="majorHAnsi"/>
                <w:b/>
                <w:color w:val="4472C4" w:themeColor="accent1"/>
                <w:lang w:val="en-US"/>
              </w:rPr>
              <w:t>KRA 2.</w:t>
            </w:r>
            <w:r w:rsidR="00D434EB">
              <w:rPr>
                <w:rFonts w:asciiTheme="majorHAnsi" w:hAnsiTheme="majorHAnsi" w:cstheme="majorHAnsi"/>
                <w:color w:val="4472C4" w:themeColor="accent1"/>
                <w:lang w:val="en-US"/>
              </w:rPr>
              <w:t xml:space="preserve"> </w:t>
            </w:r>
            <w:r w:rsidRPr="00E00C4B">
              <w:rPr>
                <w:rFonts w:asciiTheme="majorHAnsi" w:hAnsiTheme="majorHAnsi" w:cstheme="majorHAnsi"/>
                <w:color w:val="4472C4" w:themeColor="accent1"/>
                <w:lang w:val="en-US"/>
              </w:rPr>
              <w:t xml:space="preserve"> Uses a range of teaching strategies that enhance learner achievement in literacy and numeracy skill</w:t>
            </w:r>
          </w:p>
        </w:tc>
      </w:tr>
      <w:tr w:rsidR="008D0CAD" w:rsidRPr="00E00C4B" w14:paraId="38F2A678" w14:textId="77777777" w:rsidTr="0048024E">
        <w:trPr>
          <w:trHeight w:val="323"/>
        </w:trPr>
        <w:tc>
          <w:tcPr>
            <w:tcW w:w="9063" w:type="dxa"/>
          </w:tcPr>
          <w:p w14:paraId="27490FDF" w14:textId="287ABF5E" w:rsidR="008D0CAD" w:rsidRPr="00E00C4B" w:rsidRDefault="008D0CAD" w:rsidP="00796BFA">
            <w:pPr>
              <w:spacing w:before="100" w:beforeAutospacing="1" w:after="100" w:afterAutospacing="1" w:line="360" w:lineRule="auto"/>
              <w:ind w:left="360"/>
              <w:rPr>
                <w:rFonts w:asciiTheme="majorHAnsi" w:hAnsiTheme="majorHAnsi" w:cstheme="majorHAnsi"/>
                <w:color w:val="4472C4" w:themeColor="accent1"/>
                <w:lang w:val="en-US"/>
              </w:rPr>
            </w:pPr>
            <w:r w:rsidRPr="00E00C4B">
              <w:rPr>
                <w:rFonts w:asciiTheme="majorHAnsi" w:hAnsiTheme="majorHAnsi" w:cstheme="majorHAnsi"/>
                <w:b/>
                <w:color w:val="4472C4" w:themeColor="accent1"/>
                <w:lang w:val="en-US"/>
              </w:rPr>
              <w:t>KRA 3.</w:t>
            </w:r>
            <w:r w:rsidR="00D434EB">
              <w:rPr>
                <w:rFonts w:asciiTheme="majorHAnsi" w:hAnsiTheme="majorHAnsi" w:cstheme="majorHAnsi"/>
                <w:color w:val="4472C4" w:themeColor="accent1"/>
                <w:lang w:val="en-US"/>
              </w:rPr>
              <w:t xml:space="preserve"> </w:t>
            </w:r>
            <w:r w:rsidRPr="00E00C4B">
              <w:rPr>
                <w:rFonts w:asciiTheme="majorHAnsi" w:hAnsiTheme="majorHAnsi" w:cstheme="majorHAnsi"/>
                <w:color w:val="4472C4" w:themeColor="accent1"/>
                <w:lang w:val="en-US"/>
              </w:rPr>
              <w:t xml:space="preserve"> Applies a range of teaching strategies to develop critical thinking</w:t>
            </w:r>
          </w:p>
        </w:tc>
      </w:tr>
      <w:tr w:rsidR="008D0CAD" w:rsidRPr="00E00C4B" w14:paraId="3BF8E268" w14:textId="77777777" w:rsidTr="0048024E">
        <w:trPr>
          <w:trHeight w:val="782"/>
        </w:trPr>
        <w:tc>
          <w:tcPr>
            <w:tcW w:w="9063" w:type="dxa"/>
          </w:tcPr>
          <w:p w14:paraId="4FE915DF" w14:textId="080C4F2B" w:rsidR="008D0CAD" w:rsidRPr="00E00C4B" w:rsidRDefault="008D0CAD" w:rsidP="00796BFA">
            <w:pPr>
              <w:spacing w:before="100" w:beforeAutospacing="1" w:after="100" w:afterAutospacing="1" w:line="360" w:lineRule="auto"/>
              <w:ind w:left="360"/>
              <w:rPr>
                <w:rFonts w:asciiTheme="majorHAnsi" w:hAnsiTheme="majorHAnsi" w:cstheme="majorHAnsi"/>
                <w:color w:val="4472C4" w:themeColor="accent1"/>
                <w:lang w:val="en-US"/>
              </w:rPr>
            </w:pPr>
            <w:r w:rsidRPr="00E00C4B">
              <w:rPr>
                <w:rFonts w:asciiTheme="majorHAnsi" w:hAnsiTheme="majorHAnsi" w:cstheme="majorHAnsi"/>
                <w:b/>
                <w:color w:val="4472C4" w:themeColor="accent1"/>
                <w:lang w:val="en-US"/>
              </w:rPr>
              <w:t>KRA 4.</w:t>
            </w:r>
            <w:r w:rsidR="00D434EB">
              <w:rPr>
                <w:rFonts w:asciiTheme="majorHAnsi" w:hAnsiTheme="majorHAnsi" w:cstheme="majorHAnsi"/>
                <w:color w:val="4472C4" w:themeColor="accent1"/>
                <w:lang w:val="en-US"/>
              </w:rPr>
              <w:t xml:space="preserve"> </w:t>
            </w:r>
            <w:r w:rsidRPr="00E00C4B">
              <w:rPr>
                <w:rFonts w:asciiTheme="majorHAnsi" w:hAnsiTheme="majorHAnsi" w:cstheme="majorHAnsi"/>
                <w:color w:val="4472C4" w:themeColor="accent1"/>
                <w:lang w:val="en-US"/>
              </w:rPr>
              <w:t xml:space="preserve"> Manages classroom structure to engage learners, individually or in groups, in meaningful exploration, discovery and hands-on activities within a range of physical learning environments</w:t>
            </w:r>
          </w:p>
        </w:tc>
      </w:tr>
      <w:tr w:rsidR="008D0CAD" w:rsidRPr="00E00C4B" w14:paraId="1CF1F012" w14:textId="77777777" w:rsidTr="0048024E">
        <w:trPr>
          <w:trHeight w:val="557"/>
        </w:trPr>
        <w:tc>
          <w:tcPr>
            <w:tcW w:w="9063" w:type="dxa"/>
          </w:tcPr>
          <w:p w14:paraId="561273D1" w14:textId="24826619" w:rsidR="008D0CAD" w:rsidRPr="00E00C4B" w:rsidRDefault="008D0CAD" w:rsidP="00796BFA">
            <w:pPr>
              <w:spacing w:before="100" w:beforeAutospacing="1" w:after="100" w:afterAutospacing="1" w:line="360" w:lineRule="auto"/>
              <w:ind w:left="360"/>
              <w:rPr>
                <w:rFonts w:asciiTheme="majorHAnsi" w:hAnsiTheme="majorHAnsi" w:cstheme="majorHAnsi"/>
                <w:color w:val="4472C4" w:themeColor="accent1"/>
                <w:lang w:val="en-US"/>
              </w:rPr>
            </w:pPr>
            <w:r w:rsidRPr="00E00C4B">
              <w:rPr>
                <w:rFonts w:asciiTheme="majorHAnsi" w:hAnsiTheme="majorHAnsi" w:cstheme="majorHAnsi"/>
                <w:b/>
                <w:color w:val="4472C4" w:themeColor="accent1"/>
                <w:lang w:val="en-US"/>
              </w:rPr>
              <w:t>KRA 5.</w:t>
            </w:r>
            <w:r w:rsidR="00D434EB">
              <w:rPr>
                <w:rFonts w:asciiTheme="majorHAnsi" w:hAnsiTheme="majorHAnsi" w:cstheme="majorHAnsi"/>
                <w:color w:val="4472C4" w:themeColor="accent1"/>
                <w:lang w:val="en-US"/>
              </w:rPr>
              <w:t xml:space="preserve">  </w:t>
            </w:r>
            <w:r w:rsidRPr="00E00C4B">
              <w:rPr>
                <w:rFonts w:asciiTheme="majorHAnsi" w:hAnsiTheme="majorHAnsi" w:cstheme="majorHAnsi"/>
                <w:color w:val="4472C4" w:themeColor="accent1"/>
                <w:lang w:val="en-US"/>
              </w:rPr>
              <w:t>Manages learner behavior constructively by applying positive and non-violent discipline to ensure learning-focused environments</w:t>
            </w:r>
          </w:p>
        </w:tc>
      </w:tr>
      <w:tr w:rsidR="008D0CAD" w:rsidRPr="00E00C4B" w14:paraId="225BF8B4" w14:textId="77777777" w:rsidTr="0048024E">
        <w:trPr>
          <w:trHeight w:val="557"/>
        </w:trPr>
        <w:tc>
          <w:tcPr>
            <w:tcW w:w="9063" w:type="dxa"/>
          </w:tcPr>
          <w:p w14:paraId="08939F89" w14:textId="6BDCF26D" w:rsidR="008D0CAD" w:rsidRPr="00E00C4B" w:rsidRDefault="008D0CAD" w:rsidP="00796BFA">
            <w:pPr>
              <w:spacing w:before="100" w:beforeAutospacing="1" w:after="100" w:afterAutospacing="1" w:line="360" w:lineRule="auto"/>
              <w:ind w:left="360"/>
              <w:rPr>
                <w:rFonts w:asciiTheme="majorHAnsi" w:hAnsiTheme="majorHAnsi" w:cstheme="majorHAnsi"/>
                <w:color w:val="4472C4" w:themeColor="accent1"/>
                <w:lang w:val="en-US"/>
              </w:rPr>
            </w:pPr>
            <w:r w:rsidRPr="00E00C4B">
              <w:rPr>
                <w:rFonts w:asciiTheme="majorHAnsi" w:hAnsiTheme="majorHAnsi" w:cstheme="majorHAnsi"/>
                <w:b/>
                <w:color w:val="4472C4" w:themeColor="accent1"/>
                <w:lang w:val="en-US"/>
              </w:rPr>
              <w:t>KRA 6.</w:t>
            </w:r>
            <w:r w:rsidR="00D434EB">
              <w:rPr>
                <w:rFonts w:asciiTheme="majorHAnsi" w:hAnsiTheme="majorHAnsi" w:cstheme="majorHAnsi"/>
                <w:color w:val="4472C4" w:themeColor="accent1"/>
                <w:lang w:val="en-US"/>
              </w:rPr>
              <w:t xml:space="preserve">  </w:t>
            </w:r>
            <w:r w:rsidRPr="00E00C4B">
              <w:rPr>
                <w:rFonts w:asciiTheme="majorHAnsi" w:hAnsiTheme="majorHAnsi" w:cstheme="majorHAnsi"/>
                <w:color w:val="4472C4" w:themeColor="accent1"/>
                <w:lang w:val="en-US"/>
              </w:rPr>
              <w:t>Uses differentiated, developmentally appropriate learning experiences to address learners' gender, needs, strengths, interests and experiences</w:t>
            </w:r>
          </w:p>
        </w:tc>
      </w:tr>
      <w:tr w:rsidR="008D0CAD" w:rsidRPr="00E00C4B" w14:paraId="466A136E" w14:textId="77777777" w:rsidTr="0048024E">
        <w:trPr>
          <w:trHeight w:val="224"/>
        </w:trPr>
        <w:tc>
          <w:tcPr>
            <w:tcW w:w="9063" w:type="dxa"/>
          </w:tcPr>
          <w:p w14:paraId="3D60D221" w14:textId="2CC36B27" w:rsidR="008D0CAD" w:rsidRPr="00E00C4B" w:rsidRDefault="008D0CAD" w:rsidP="00796BFA">
            <w:pPr>
              <w:spacing w:before="100" w:beforeAutospacing="1" w:after="100" w:afterAutospacing="1" w:line="360" w:lineRule="auto"/>
              <w:ind w:left="360"/>
              <w:rPr>
                <w:rFonts w:asciiTheme="majorHAnsi" w:hAnsiTheme="majorHAnsi" w:cstheme="majorHAnsi"/>
                <w:color w:val="4472C4" w:themeColor="accent1"/>
                <w:lang w:val="en-US"/>
              </w:rPr>
            </w:pPr>
            <w:r w:rsidRPr="00E00C4B">
              <w:rPr>
                <w:rFonts w:asciiTheme="majorHAnsi" w:hAnsiTheme="majorHAnsi" w:cstheme="majorHAnsi"/>
                <w:b/>
                <w:color w:val="4472C4" w:themeColor="accent1"/>
                <w:lang w:val="en-US"/>
              </w:rPr>
              <w:t>KRA 7.</w:t>
            </w:r>
            <w:r w:rsidR="00D434EB">
              <w:rPr>
                <w:rFonts w:asciiTheme="majorHAnsi" w:hAnsiTheme="majorHAnsi" w:cstheme="majorHAnsi"/>
                <w:color w:val="4472C4" w:themeColor="accent1"/>
                <w:lang w:val="en-US"/>
              </w:rPr>
              <w:t xml:space="preserve">  </w:t>
            </w:r>
            <w:r w:rsidRPr="00E00C4B">
              <w:rPr>
                <w:rFonts w:asciiTheme="majorHAnsi" w:hAnsiTheme="majorHAnsi" w:cstheme="majorHAnsi"/>
                <w:color w:val="4472C4" w:themeColor="accent1"/>
                <w:lang w:val="en-US"/>
              </w:rPr>
              <w:t>Plans, manages and implements developmentally sequenced teaching and learning processes to meet curriculum requirements and varied teaching contexts</w:t>
            </w:r>
          </w:p>
        </w:tc>
      </w:tr>
      <w:tr w:rsidR="008D0CAD" w:rsidRPr="00E00C4B" w14:paraId="159BF7D4" w14:textId="77777777" w:rsidTr="0048024E">
        <w:trPr>
          <w:trHeight w:val="547"/>
        </w:trPr>
        <w:tc>
          <w:tcPr>
            <w:tcW w:w="9063" w:type="dxa"/>
          </w:tcPr>
          <w:p w14:paraId="6E783BD3" w14:textId="748A0FBC" w:rsidR="008D0CAD" w:rsidRPr="00E00C4B" w:rsidRDefault="008D0CAD" w:rsidP="00796BFA">
            <w:pPr>
              <w:spacing w:before="100" w:beforeAutospacing="1" w:after="100" w:afterAutospacing="1" w:line="360" w:lineRule="auto"/>
              <w:ind w:left="360"/>
              <w:rPr>
                <w:rFonts w:asciiTheme="majorHAnsi" w:hAnsiTheme="majorHAnsi" w:cstheme="majorHAnsi"/>
                <w:color w:val="4472C4" w:themeColor="accent1"/>
                <w:lang w:val="en-US"/>
              </w:rPr>
            </w:pPr>
            <w:r w:rsidRPr="00E00C4B">
              <w:rPr>
                <w:rFonts w:asciiTheme="majorHAnsi" w:hAnsiTheme="majorHAnsi" w:cstheme="majorHAnsi"/>
                <w:b/>
                <w:color w:val="4472C4" w:themeColor="accent1"/>
                <w:lang w:val="en-US"/>
              </w:rPr>
              <w:t>KRA 8.</w:t>
            </w:r>
            <w:r w:rsidR="00D434EB">
              <w:rPr>
                <w:rFonts w:asciiTheme="majorHAnsi" w:hAnsiTheme="majorHAnsi" w:cstheme="majorHAnsi"/>
                <w:color w:val="4472C4" w:themeColor="accent1"/>
                <w:lang w:val="en-US"/>
              </w:rPr>
              <w:t xml:space="preserve">  </w:t>
            </w:r>
            <w:r w:rsidRPr="00E00C4B">
              <w:rPr>
                <w:rFonts w:asciiTheme="majorHAnsi" w:hAnsiTheme="majorHAnsi" w:cstheme="majorHAnsi"/>
                <w:color w:val="4472C4" w:themeColor="accent1"/>
                <w:lang w:val="en-US"/>
              </w:rPr>
              <w:t>Selects, develops, organises, and uses appropriate teaching and learning resources, including ICT, to address learning goals</w:t>
            </w:r>
          </w:p>
        </w:tc>
      </w:tr>
      <w:tr w:rsidR="008D0CAD" w:rsidRPr="00E00C4B" w14:paraId="7C2060D6" w14:textId="77777777" w:rsidTr="0048024E">
        <w:trPr>
          <w:trHeight w:val="547"/>
        </w:trPr>
        <w:tc>
          <w:tcPr>
            <w:tcW w:w="9063" w:type="dxa"/>
          </w:tcPr>
          <w:p w14:paraId="1B7F4254" w14:textId="351597AA" w:rsidR="008D0CAD" w:rsidRPr="00E00C4B" w:rsidRDefault="008D0CAD" w:rsidP="00796BFA">
            <w:pPr>
              <w:spacing w:before="100" w:beforeAutospacing="1" w:after="100" w:afterAutospacing="1" w:line="360" w:lineRule="auto"/>
              <w:ind w:left="360"/>
              <w:rPr>
                <w:rFonts w:asciiTheme="majorHAnsi" w:hAnsiTheme="majorHAnsi" w:cstheme="majorHAnsi"/>
                <w:color w:val="4472C4" w:themeColor="accent1"/>
                <w:lang w:val="en-US"/>
              </w:rPr>
            </w:pPr>
            <w:r w:rsidRPr="00E00C4B">
              <w:rPr>
                <w:rFonts w:asciiTheme="majorHAnsi" w:hAnsiTheme="majorHAnsi" w:cstheme="majorHAnsi"/>
                <w:b/>
                <w:color w:val="4472C4" w:themeColor="accent1"/>
                <w:lang w:val="en-US"/>
              </w:rPr>
              <w:t>KRA 9.</w:t>
            </w:r>
            <w:r w:rsidR="00D434EB">
              <w:rPr>
                <w:rFonts w:asciiTheme="majorHAnsi" w:hAnsiTheme="majorHAnsi" w:cstheme="majorHAnsi"/>
                <w:color w:val="4472C4" w:themeColor="accent1"/>
                <w:lang w:val="en-US"/>
              </w:rPr>
              <w:t xml:space="preserve">  </w:t>
            </w:r>
            <w:r w:rsidRPr="00E00C4B">
              <w:rPr>
                <w:rFonts w:asciiTheme="majorHAnsi" w:hAnsiTheme="majorHAnsi" w:cstheme="majorHAnsi"/>
                <w:color w:val="4472C4" w:themeColor="accent1"/>
                <w:lang w:val="en-US"/>
              </w:rPr>
              <w:t>Designs, selects, organises, and uses diagnostic, formative and summative assessment strategies consistent with curriculum requirements</w:t>
            </w:r>
          </w:p>
        </w:tc>
      </w:tr>
    </w:tbl>
    <w:p w14:paraId="600E7D7F" w14:textId="77777777" w:rsidR="008D0CAD" w:rsidRPr="00661A15" w:rsidRDefault="008D0CAD" w:rsidP="00796BFA">
      <w:pPr>
        <w:pStyle w:val="Heading3"/>
        <w:spacing w:before="100" w:beforeAutospacing="1" w:after="100" w:afterAutospacing="1" w:line="360" w:lineRule="auto"/>
        <w:rPr>
          <w:lang w:val="en-US"/>
        </w:rPr>
      </w:pPr>
      <w:bookmarkStart w:id="442" w:name="_Hlk10479650"/>
      <w:bookmarkStart w:id="443" w:name="_Toc10533486"/>
      <w:bookmarkStart w:id="444" w:name="_Toc10534140"/>
      <w:bookmarkStart w:id="445" w:name="_Toc10542178"/>
      <w:bookmarkStart w:id="446" w:name="_Toc14083002"/>
      <w:bookmarkStart w:id="447" w:name="_Toc39938412"/>
      <w:bookmarkStart w:id="448" w:name="_Toc69820516"/>
      <w:bookmarkEnd w:id="442"/>
      <w:r w:rsidRPr="00661A15">
        <w:rPr>
          <w:lang w:val="en-US"/>
        </w:rPr>
        <w:t>COT Analysis by KRA per Region</w:t>
      </w:r>
      <w:bookmarkEnd w:id="443"/>
      <w:bookmarkEnd w:id="444"/>
      <w:bookmarkEnd w:id="445"/>
      <w:bookmarkEnd w:id="446"/>
      <w:bookmarkEnd w:id="447"/>
      <w:bookmarkEnd w:id="448"/>
      <w:r w:rsidRPr="00661A15">
        <w:rPr>
          <w:lang w:val="en-US"/>
        </w:rPr>
        <w:t xml:space="preserve"> </w:t>
      </w:r>
    </w:p>
    <w:p w14:paraId="26F15D86"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themeColor="text1"/>
          <w:lang w:val="en-US"/>
        </w:rPr>
      </w:pPr>
      <w:r w:rsidRPr="00E00C4B">
        <w:rPr>
          <w:rFonts w:asciiTheme="majorHAnsi" w:hAnsiTheme="majorHAnsi" w:cstheme="majorHAnsi"/>
          <w:color w:val="000000" w:themeColor="text1"/>
          <w:lang w:val="en-US"/>
        </w:rPr>
        <w:t xml:space="preserve">Available COT ratings were collected from 41 BEST schools (Table 1) and they were categorised first by teacher and then by the subject areas of Mathematics, Science, English, and Filipino. COTs in other subject areas were not included in the analysis. After data organisation, COT ratings of 52 teachers in one or two subject areas were encoded and processed. In total, 69 COT observation ratings were analysed. </w:t>
      </w:r>
    </w:p>
    <w:p w14:paraId="149D9A86" w14:textId="186818B8" w:rsidR="008D0CAD" w:rsidRPr="00E00C4B" w:rsidRDefault="008D0CAD" w:rsidP="00796BFA">
      <w:pPr>
        <w:spacing w:before="100" w:beforeAutospacing="1" w:after="100" w:afterAutospacing="1" w:line="360" w:lineRule="auto"/>
        <w:rPr>
          <w:rFonts w:asciiTheme="majorHAnsi" w:hAnsiTheme="majorHAnsi" w:cstheme="majorHAnsi"/>
          <w:color w:val="000000" w:themeColor="text1"/>
          <w:lang w:val="en-US"/>
        </w:rPr>
      </w:pPr>
      <w:r w:rsidRPr="00E00C4B">
        <w:rPr>
          <w:rFonts w:asciiTheme="majorHAnsi" w:hAnsiTheme="majorHAnsi" w:cstheme="majorHAnsi"/>
          <w:color w:val="000000" w:themeColor="text1"/>
          <w:lang w:val="en-US"/>
        </w:rPr>
        <w:t>The average of COT ratings in 2-4 quarters were computed while a single observation for a subject was considered as one entry.</w:t>
      </w:r>
      <w:r w:rsidR="00D434EB">
        <w:rPr>
          <w:rFonts w:asciiTheme="majorHAnsi" w:hAnsiTheme="majorHAnsi" w:cstheme="majorHAnsi"/>
          <w:color w:val="000000" w:themeColor="text1"/>
          <w:lang w:val="en-US"/>
        </w:rPr>
        <w:t xml:space="preserve"> </w:t>
      </w:r>
      <w:r w:rsidRPr="00E00C4B">
        <w:rPr>
          <w:rFonts w:asciiTheme="majorHAnsi" w:hAnsiTheme="majorHAnsi" w:cstheme="majorHAnsi"/>
          <w:color w:val="000000" w:themeColor="text1"/>
          <w:lang w:val="en-US"/>
        </w:rPr>
        <w:t xml:space="preserve">The ratings were converted to adjectival rating for Teacher I-III Level (47 teachers) and for Master Teacher level (5 Teachers) using the process described in the RPMS Manual. </w:t>
      </w:r>
    </w:p>
    <w:p w14:paraId="7D3DCD09" w14:textId="77777777" w:rsidR="008D0CAD" w:rsidRPr="00E00C4B" w:rsidRDefault="008D0CAD" w:rsidP="00796BFA">
      <w:pPr>
        <w:spacing w:before="100" w:beforeAutospacing="1" w:after="100" w:afterAutospacing="1" w:line="360" w:lineRule="auto"/>
        <w:ind w:left="720"/>
        <w:rPr>
          <w:rFonts w:asciiTheme="majorHAnsi" w:hAnsiTheme="majorHAnsi" w:cstheme="majorHAnsi"/>
          <w:color w:val="000000" w:themeColor="text1"/>
          <w:lang w:val="en-US"/>
        </w:rPr>
      </w:pPr>
      <w:r w:rsidRPr="00E00C4B">
        <w:rPr>
          <w:rFonts w:asciiTheme="majorHAnsi" w:hAnsiTheme="majorHAnsi" w:cstheme="majorHAnsi"/>
          <w:color w:val="000000" w:themeColor="text1"/>
          <w:lang w:val="en-US"/>
        </w:rPr>
        <w:t xml:space="preserve">Table 1. COT Data Source </w:t>
      </w:r>
    </w:p>
    <w:tbl>
      <w:tblPr>
        <w:tblStyle w:val="TableGrid18"/>
        <w:tblW w:w="0" w:type="auto"/>
        <w:tblLook w:val="04A0" w:firstRow="1" w:lastRow="0" w:firstColumn="1" w:lastColumn="0" w:noHBand="0" w:noVBand="1"/>
      </w:tblPr>
      <w:tblGrid>
        <w:gridCol w:w="2464"/>
        <w:gridCol w:w="1592"/>
        <w:gridCol w:w="2186"/>
        <w:gridCol w:w="2019"/>
      </w:tblGrid>
      <w:tr w:rsidR="008D0CAD" w:rsidRPr="00E00C4B" w14:paraId="1EAEE89C" w14:textId="77777777" w:rsidTr="004B064D">
        <w:trPr>
          <w:tblHeader/>
        </w:trPr>
        <w:tc>
          <w:tcPr>
            <w:tcW w:w="0" w:type="auto"/>
            <w:hideMark/>
          </w:tcPr>
          <w:p w14:paraId="46EFC19D" w14:textId="77777777" w:rsidR="008D0CAD" w:rsidRPr="00E00C4B" w:rsidRDefault="008D0CAD" w:rsidP="00796BFA">
            <w:pPr>
              <w:spacing w:before="100" w:beforeAutospacing="1" w:after="100" w:afterAutospacing="1" w:line="360" w:lineRule="auto"/>
              <w:rPr>
                <w:rFonts w:asciiTheme="majorHAnsi" w:hAnsiTheme="majorHAnsi" w:cstheme="majorHAnsi"/>
                <w:b/>
                <w:bCs/>
                <w:color w:val="4472C4" w:themeColor="accent1"/>
                <w:lang w:val="en-US"/>
              </w:rPr>
            </w:pPr>
            <w:r w:rsidRPr="00E00C4B">
              <w:rPr>
                <w:rFonts w:asciiTheme="majorHAnsi" w:hAnsiTheme="majorHAnsi" w:cstheme="majorHAnsi"/>
                <w:b/>
                <w:bCs/>
                <w:color w:val="4472C4" w:themeColor="accent1"/>
                <w:lang w:val="en-US"/>
              </w:rPr>
              <w:t>Region</w:t>
            </w:r>
          </w:p>
        </w:tc>
        <w:tc>
          <w:tcPr>
            <w:tcW w:w="0" w:type="auto"/>
            <w:hideMark/>
          </w:tcPr>
          <w:p w14:paraId="76E37AE0" w14:textId="77777777" w:rsidR="008D0CAD" w:rsidRPr="00E00C4B" w:rsidRDefault="008D0CAD" w:rsidP="00796BFA">
            <w:pPr>
              <w:spacing w:before="100" w:beforeAutospacing="1" w:after="100" w:afterAutospacing="1" w:line="360" w:lineRule="auto"/>
              <w:rPr>
                <w:rFonts w:asciiTheme="majorHAnsi" w:hAnsiTheme="majorHAnsi" w:cstheme="majorHAnsi"/>
                <w:b/>
                <w:bCs/>
                <w:color w:val="4472C4" w:themeColor="accent1"/>
                <w:lang w:val="en-US"/>
              </w:rPr>
            </w:pPr>
            <w:r w:rsidRPr="00E00C4B">
              <w:rPr>
                <w:rFonts w:asciiTheme="majorHAnsi" w:hAnsiTheme="majorHAnsi" w:cstheme="majorHAnsi"/>
                <w:b/>
                <w:bCs/>
                <w:color w:val="4472C4" w:themeColor="accent1"/>
                <w:lang w:val="en-US"/>
              </w:rPr>
              <w:t>No. of Schools</w:t>
            </w:r>
          </w:p>
        </w:tc>
        <w:tc>
          <w:tcPr>
            <w:tcW w:w="0" w:type="auto"/>
            <w:hideMark/>
          </w:tcPr>
          <w:p w14:paraId="0FEDD139" w14:textId="77777777" w:rsidR="008D0CAD" w:rsidRPr="00E00C4B" w:rsidRDefault="008D0CAD" w:rsidP="00796BFA">
            <w:pPr>
              <w:spacing w:before="100" w:beforeAutospacing="1" w:after="100" w:afterAutospacing="1" w:line="360" w:lineRule="auto"/>
              <w:rPr>
                <w:rFonts w:asciiTheme="majorHAnsi" w:hAnsiTheme="majorHAnsi" w:cstheme="majorHAnsi"/>
                <w:b/>
                <w:bCs/>
                <w:color w:val="4472C4" w:themeColor="accent1"/>
                <w:lang w:val="en-US"/>
              </w:rPr>
            </w:pPr>
            <w:r w:rsidRPr="00E00C4B">
              <w:rPr>
                <w:rFonts w:asciiTheme="majorHAnsi" w:hAnsiTheme="majorHAnsi" w:cstheme="majorHAnsi"/>
                <w:b/>
                <w:bCs/>
                <w:color w:val="4472C4" w:themeColor="accent1"/>
                <w:lang w:val="en-US"/>
              </w:rPr>
              <w:t>Number of Teachers</w:t>
            </w:r>
          </w:p>
        </w:tc>
        <w:tc>
          <w:tcPr>
            <w:tcW w:w="0" w:type="auto"/>
            <w:hideMark/>
          </w:tcPr>
          <w:p w14:paraId="31803646" w14:textId="77777777" w:rsidR="008D0CAD" w:rsidRPr="00E00C4B" w:rsidRDefault="008D0CAD" w:rsidP="00796BFA">
            <w:pPr>
              <w:spacing w:before="100" w:beforeAutospacing="1" w:after="100" w:afterAutospacing="1" w:line="360" w:lineRule="auto"/>
              <w:rPr>
                <w:rFonts w:asciiTheme="majorHAnsi" w:hAnsiTheme="majorHAnsi" w:cstheme="majorHAnsi"/>
                <w:b/>
                <w:bCs/>
                <w:color w:val="4472C4" w:themeColor="accent1"/>
                <w:lang w:val="en-US"/>
              </w:rPr>
            </w:pPr>
            <w:r w:rsidRPr="00E00C4B">
              <w:rPr>
                <w:rFonts w:asciiTheme="majorHAnsi" w:hAnsiTheme="majorHAnsi" w:cstheme="majorHAnsi"/>
                <w:b/>
                <w:bCs/>
                <w:color w:val="4472C4" w:themeColor="accent1"/>
                <w:lang w:val="en-US"/>
              </w:rPr>
              <w:t>No. of COT Ratings</w:t>
            </w:r>
          </w:p>
        </w:tc>
      </w:tr>
      <w:tr w:rsidR="008D0CAD" w:rsidRPr="00E00C4B" w14:paraId="2FD786B2" w14:textId="77777777" w:rsidTr="0048024E">
        <w:tc>
          <w:tcPr>
            <w:tcW w:w="0" w:type="auto"/>
            <w:hideMark/>
          </w:tcPr>
          <w:p w14:paraId="371E5F98" w14:textId="77777777" w:rsidR="008D0CAD" w:rsidRPr="00E00C4B" w:rsidRDefault="008D0CAD" w:rsidP="00796BFA">
            <w:pPr>
              <w:spacing w:before="100" w:beforeAutospacing="1" w:after="100" w:afterAutospacing="1" w:line="360" w:lineRule="auto"/>
              <w:rPr>
                <w:rFonts w:asciiTheme="majorHAnsi" w:hAnsiTheme="majorHAnsi" w:cstheme="majorHAnsi"/>
                <w:color w:val="4472C4" w:themeColor="accent1"/>
                <w:lang w:val="en-US"/>
              </w:rPr>
            </w:pPr>
            <w:r w:rsidRPr="00E00C4B">
              <w:rPr>
                <w:rFonts w:asciiTheme="majorHAnsi" w:hAnsiTheme="majorHAnsi" w:cstheme="majorHAnsi"/>
                <w:color w:val="4472C4" w:themeColor="accent1"/>
                <w:lang w:val="en-US"/>
              </w:rPr>
              <w:t>National Capital Region</w:t>
            </w:r>
          </w:p>
        </w:tc>
        <w:tc>
          <w:tcPr>
            <w:tcW w:w="0" w:type="auto"/>
            <w:hideMark/>
          </w:tcPr>
          <w:p w14:paraId="23462988" w14:textId="77777777" w:rsidR="008D0CAD" w:rsidRPr="00E00C4B" w:rsidRDefault="008D0CAD" w:rsidP="00796BFA">
            <w:pPr>
              <w:spacing w:before="100" w:beforeAutospacing="1" w:after="100" w:afterAutospacing="1" w:line="360" w:lineRule="auto"/>
              <w:rPr>
                <w:rFonts w:asciiTheme="majorHAnsi" w:hAnsiTheme="majorHAnsi" w:cstheme="majorHAnsi"/>
                <w:color w:val="4472C4" w:themeColor="accent1"/>
                <w:lang w:val="en-US"/>
              </w:rPr>
            </w:pPr>
            <w:r w:rsidRPr="00E00C4B">
              <w:rPr>
                <w:rFonts w:asciiTheme="majorHAnsi" w:hAnsiTheme="majorHAnsi" w:cstheme="majorHAnsi"/>
                <w:color w:val="4472C4" w:themeColor="accent1"/>
                <w:lang w:val="en-US"/>
              </w:rPr>
              <w:t>12</w:t>
            </w:r>
          </w:p>
        </w:tc>
        <w:tc>
          <w:tcPr>
            <w:tcW w:w="0" w:type="auto"/>
            <w:hideMark/>
          </w:tcPr>
          <w:p w14:paraId="55B3FBAE" w14:textId="77777777" w:rsidR="008D0CAD" w:rsidRPr="00E00C4B" w:rsidRDefault="008D0CAD" w:rsidP="00796BFA">
            <w:pPr>
              <w:spacing w:before="100" w:beforeAutospacing="1" w:after="100" w:afterAutospacing="1" w:line="360" w:lineRule="auto"/>
              <w:rPr>
                <w:rFonts w:asciiTheme="majorHAnsi" w:hAnsiTheme="majorHAnsi" w:cstheme="majorHAnsi"/>
                <w:color w:val="4472C4" w:themeColor="accent1"/>
                <w:lang w:val="en-US"/>
              </w:rPr>
            </w:pPr>
            <w:r w:rsidRPr="00E00C4B">
              <w:rPr>
                <w:rFonts w:asciiTheme="majorHAnsi" w:hAnsiTheme="majorHAnsi" w:cstheme="majorHAnsi"/>
                <w:color w:val="4472C4" w:themeColor="accent1"/>
                <w:lang w:val="en-US"/>
              </w:rPr>
              <w:t>14</w:t>
            </w:r>
          </w:p>
        </w:tc>
        <w:tc>
          <w:tcPr>
            <w:tcW w:w="0" w:type="auto"/>
            <w:hideMark/>
          </w:tcPr>
          <w:p w14:paraId="74CB21AB" w14:textId="77777777" w:rsidR="008D0CAD" w:rsidRPr="00E00C4B" w:rsidRDefault="008D0CAD" w:rsidP="00796BFA">
            <w:pPr>
              <w:spacing w:before="100" w:beforeAutospacing="1" w:after="100" w:afterAutospacing="1" w:line="360" w:lineRule="auto"/>
              <w:rPr>
                <w:rFonts w:asciiTheme="majorHAnsi" w:hAnsiTheme="majorHAnsi" w:cstheme="majorHAnsi"/>
                <w:color w:val="4472C4" w:themeColor="accent1"/>
                <w:lang w:val="en-US"/>
              </w:rPr>
            </w:pPr>
            <w:r w:rsidRPr="00E00C4B">
              <w:rPr>
                <w:rFonts w:asciiTheme="majorHAnsi" w:hAnsiTheme="majorHAnsi" w:cstheme="majorHAnsi"/>
                <w:color w:val="4472C4" w:themeColor="accent1"/>
                <w:lang w:val="en-US"/>
              </w:rPr>
              <w:t>14</w:t>
            </w:r>
          </w:p>
        </w:tc>
      </w:tr>
      <w:tr w:rsidR="008D0CAD" w:rsidRPr="00E00C4B" w14:paraId="1EEC5857" w14:textId="77777777" w:rsidTr="0048024E">
        <w:tc>
          <w:tcPr>
            <w:tcW w:w="0" w:type="auto"/>
            <w:hideMark/>
          </w:tcPr>
          <w:p w14:paraId="7A5731F4" w14:textId="77777777" w:rsidR="008D0CAD" w:rsidRPr="00E00C4B" w:rsidRDefault="008D0CAD" w:rsidP="00796BFA">
            <w:pPr>
              <w:spacing w:before="100" w:beforeAutospacing="1" w:after="100" w:afterAutospacing="1" w:line="360" w:lineRule="auto"/>
              <w:rPr>
                <w:rFonts w:asciiTheme="majorHAnsi" w:hAnsiTheme="majorHAnsi" w:cstheme="majorHAnsi"/>
                <w:color w:val="4472C4" w:themeColor="accent1"/>
                <w:lang w:val="en-US"/>
              </w:rPr>
            </w:pPr>
            <w:r w:rsidRPr="00E00C4B">
              <w:rPr>
                <w:rFonts w:asciiTheme="majorHAnsi" w:hAnsiTheme="majorHAnsi" w:cstheme="majorHAnsi"/>
                <w:color w:val="4472C4" w:themeColor="accent1"/>
                <w:lang w:val="en-US"/>
              </w:rPr>
              <w:t>Region 5</w:t>
            </w:r>
          </w:p>
        </w:tc>
        <w:tc>
          <w:tcPr>
            <w:tcW w:w="0" w:type="auto"/>
            <w:hideMark/>
          </w:tcPr>
          <w:p w14:paraId="7E244EEE" w14:textId="77777777" w:rsidR="008D0CAD" w:rsidRPr="00E00C4B" w:rsidRDefault="008D0CAD" w:rsidP="00796BFA">
            <w:pPr>
              <w:spacing w:before="100" w:beforeAutospacing="1" w:after="100" w:afterAutospacing="1" w:line="360" w:lineRule="auto"/>
              <w:rPr>
                <w:rFonts w:asciiTheme="majorHAnsi" w:hAnsiTheme="majorHAnsi" w:cstheme="majorHAnsi"/>
                <w:color w:val="4472C4" w:themeColor="accent1"/>
                <w:lang w:val="en-US"/>
              </w:rPr>
            </w:pPr>
            <w:r w:rsidRPr="00E00C4B">
              <w:rPr>
                <w:rFonts w:asciiTheme="majorHAnsi" w:hAnsiTheme="majorHAnsi" w:cstheme="majorHAnsi"/>
                <w:color w:val="4472C4" w:themeColor="accent1"/>
                <w:lang w:val="en-US"/>
              </w:rPr>
              <w:t>5</w:t>
            </w:r>
          </w:p>
        </w:tc>
        <w:tc>
          <w:tcPr>
            <w:tcW w:w="0" w:type="auto"/>
            <w:hideMark/>
          </w:tcPr>
          <w:p w14:paraId="51F4F2E0" w14:textId="77777777" w:rsidR="008D0CAD" w:rsidRPr="00E00C4B" w:rsidRDefault="008D0CAD" w:rsidP="00796BFA">
            <w:pPr>
              <w:spacing w:before="100" w:beforeAutospacing="1" w:after="100" w:afterAutospacing="1" w:line="360" w:lineRule="auto"/>
              <w:rPr>
                <w:rFonts w:asciiTheme="majorHAnsi" w:hAnsiTheme="majorHAnsi" w:cstheme="majorHAnsi"/>
                <w:color w:val="4472C4" w:themeColor="accent1"/>
                <w:lang w:val="en-US"/>
              </w:rPr>
            </w:pPr>
            <w:r w:rsidRPr="00E00C4B">
              <w:rPr>
                <w:rFonts w:asciiTheme="majorHAnsi" w:hAnsiTheme="majorHAnsi" w:cstheme="majorHAnsi"/>
                <w:color w:val="4472C4" w:themeColor="accent1"/>
                <w:lang w:val="en-US"/>
              </w:rPr>
              <w:t>5</w:t>
            </w:r>
          </w:p>
        </w:tc>
        <w:tc>
          <w:tcPr>
            <w:tcW w:w="0" w:type="auto"/>
            <w:hideMark/>
          </w:tcPr>
          <w:p w14:paraId="3D16634D" w14:textId="77777777" w:rsidR="008D0CAD" w:rsidRPr="00E00C4B" w:rsidRDefault="008D0CAD" w:rsidP="00796BFA">
            <w:pPr>
              <w:spacing w:before="100" w:beforeAutospacing="1" w:after="100" w:afterAutospacing="1" w:line="360" w:lineRule="auto"/>
              <w:rPr>
                <w:rFonts w:asciiTheme="majorHAnsi" w:hAnsiTheme="majorHAnsi" w:cstheme="majorHAnsi"/>
                <w:color w:val="4472C4" w:themeColor="accent1"/>
                <w:lang w:val="en-US"/>
              </w:rPr>
            </w:pPr>
            <w:r w:rsidRPr="00E00C4B">
              <w:rPr>
                <w:rFonts w:asciiTheme="majorHAnsi" w:hAnsiTheme="majorHAnsi" w:cstheme="majorHAnsi"/>
                <w:color w:val="4472C4" w:themeColor="accent1"/>
                <w:lang w:val="en-US"/>
              </w:rPr>
              <w:t>7</w:t>
            </w:r>
          </w:p>
        </w:tc>
      </w:tr>
      <w:tr w:rsidR="008D0CAD" w:rsidRPr="00E00C4B" w14:paraId="450E27A8" w14:textId="77777777" w:rsidTr="0048024E">
        <w:tc>
          <w:tcPr>
            <w:tcW w:w="0" w:type="auto"/>
            <w:hideMark/>
          </w:tcPr>
          <w:p w14:paraId="6C05D380" w14:textId="77777777" w:rsidR="008D0CAD" w:rsidRPr="00E00C4B" w:rsidRDefault="008D0CAD" w:rsidP="00796BFA">
            <w:pPr>
              <w:spacing w:before="100" w:beforeAutospacing="1" w:after="100" w:afterAutospacing="1" w:line="360" w:lineRule="auto"/>
              <w:rPr>
                <w:rFonts w:asciiTheme="majorHAnsi" w:hAnsiTheme="majorHAnsi" w:cstheme="majorHAnsi"/>
                <w:color w:val="4472C4" w:themeColor="accent1"/>
                <w:lang w:val="en-US"/>
              </w:rPr>
            </w:pPr>
            <w:r w:rsidRPr="00E00C4B">
              <w:rPr>
                <w:rFonts w:asciiTheme="majorHAnsi" w:hAnsiTheme="majorHAnsi" w:cstheme="majorHAnsi"/>
                <w:color w:val="4472C4" w:themeColor="accent1"/>
                <w:lang w:val="en-US"/>
              </w:rPr>
              <w:t>Region 6</w:t>
            </w:r>
          </w:p>
        </w:tc>
        <w:tc>
          <w:tcPr>
            <w:tcW w:w="0" w:type="auto"/>
            <w:hideMark/>
          </w:tcPr>
          <w:p w14:paraId="368FC3CC" w14:textId="77777777" w:rsidR="008D0CAD" w:rsidRPr="00E00C4B" w:rsidRDefault="008D0CAD" w:rsidP="00796BFA">
            <w:pPr>
              <w:spacing w:before="100" w:beforeAutospacing="1" w:after="100" w:afterAutospacing="1" w:line="360" w:lineRule="auto"/>
              <w:rPr>
                <w:rFonts w:asciiTheme="majorHAnsi" w:hAnsiTheme="majorHAnsi" w:cstheme="majorHAnsi"/>
                <w:color w:val="4472C4" w:themeColor="accent1"/>
                <w:lang w:val="en-US"/>
              </w:rPr>
            </w:pPr>
            <w:r w:rsidRPr="00E00C4B">
              <w:rPr>
                <w:rFonts w:asciiTheme="majorHAnsi" w:hAnsiTheme="majorHAnsi" w:cstheme="majorHAnsi"/>
                <w:color w:val="4472C4" w:themeColor="accent1"/>
                <w:lang w:val="en-US"/>
              </w:rPr>
              <w:t>8</w:t>
            </w:r>
          </w:p>
        </w:tc>
        <w:tc>
          <w:tcPr>
            <w:tcW w:w="0" w:type="auto"/>
            <w:hideMark/>
          </w:tcPr>
          <w:p w14:paraId="44572AF9" w14:textId="77777777" w:rsidR="008D0CAD" w:rsidRPr="00E00C4B" w:rsidRDefault="008D0CAD" w:rsidP="00796BFA">
            <w:pPr>
              <w:spacing w:before="100" w:beforeAutospacing="1" w:after="100" w:afterAutospacing="1" w:line="360" w:lineRule="auto"/>
              <w:rPr>
                <w:rFonts w:asciiTheme="majorHAnsi" w:hAnsiTheme="majorHAnsi" w:cstheme="majorHAnsi"/>
                <w:color w:val="4472C4" w:themeColor="accent1"/>
                <w:lang w:val="en-US"/>
              </w:rPr>
            </w:pPr>
            <w:r w:rsidRPr="00E00C4B">
              <w:rPr>
                <w:rFonts w:asciiTheme="majorHAnsi" w:hAnsiTheme="majorHAnsi" w:cstheme="majorHAnsi"/>
                <w:color w:val="4472C4" w:themeColor="accent1"/>
                <w:lang w:val="en-US"/>
              </w:rPr>
              <w:t>8</w:t>
            </w:r>
          </w:p>
        </w:tc>
        <w:tc>
          <w:tcPr>
            <w:tcW w:w="0" w:type="auto"/>
            <w:hideMark/>
          </w:tcPr>
          <w:p w14:paraId="5F185F55" w14:textId="77777777" w:rsidR="008D0CAD" w:rsidRPr="00E00C4B" w:rsidRDefault="008D0CAD" w:rsidP="00796BFA">
            <w:pPr>
              <w:spacing w:before="100" w:beforeAutospacing="1" w:after="100" w:afterAutospacing="1" w:line="360" w:lineRule="auto"/>
              <w:rPr>
                <w:rFonts w:asciiTheme="majorHAnsi" w:hAnsiTheme="majorHAnsi" w:cstheme="majorHAnsi"/>
                <w:color w:val="4472C4" w:themeColor="accent1"/>
                <w:lang w:val="en-US"/>
              </w:rPr>
            </w:pPr>
            <w:r w:rsidRPr="00E00C4B">
              <w:rPr>
                <w:rFonts w:asciiTheme="majorHAnsi" w:hAnsiTheme="majorHAnsi" w:cstheme="majorHAnsi"/>
                <w:color w:val="4472C4" w:themeColor="accent1"/>
                <w:lang w:val="en-US"/>
              </w:rPr>
              <w:t>8</w:t>
            </w:r>
          </w:p>
        </w:tc>
      </w:tr>
      <w:tr w:rsidR="008D0CAD" w:rsidRPr="00E00C4B" w14:paraId="73A98105" w14:textId="77777777" w:rsidTr="0048024E">
        <w:tc>
          <w:tcPr>
            <w:tcW w:w="0" w:type="auto"/>
            <w:hideMark/>
          </w:tcPr>
          <w:p w14:paraId="4B142176" w14:textId="77777777" w:rsidR="008D0CAD" w:rsidRPr="00E00C4B" w:rsidRDefault="008D0CAD" w:rsidP="00796BFA">
            <w:pPr>
              <w:spacing w:before="100" w:beforeAutospacing="1" w:after="100" w:afterAutospacing="1" w:line="360" w:lineRule="auto"/>
              <w:rPr>
                <w:rFonts w:asciiTheme="majorHAnsi" w:hAnsiTheme="majorHAnsi" w:cstheme="majorHAnsi"/>
                <w:color w:val="4472C4" w:themeColor="accent1"/>
                <w:lang w:val="en-US"/>
              </w:rPr>
            </w:pPr>
            <w:r w:rsidRPr="00E00C4B">
              <w:rPr>
                <w:rFonts w:asciiTheme="majorHAnsi" w:hAnsiTheme="majorHAnsi" w:cstheme="majorHAnsi"/>
                <w:color w:val="4472C4" w:themeColor="accent1"/>
                <w:lang w:val="en-US"/>
              </w:rPr>
              <w:t>Region 7</w:t>
            </w:r>
          </w:p>
        </w:tc>
        <w:tc>
          <w:tcPr>
            <w:tcW w:w="0" w:type="auto"/>
            <w:hideMark/>
          </w:tcPr>
          <w:p w14:paraId="5E548601" w14:textId="77777777" w:rsidR="008D0CAD" w:rsidRPr="00E00C4B" w:rsidRDefault="008D0CAD" w:rsidP="00796BFA">
            <w:pPr>
              <w:spacing w:before="100" w:beforeAutospacing="1" w:after="100" w:afterAutospacing="1" w:line="360" w:lineRule="auto"/>
              <w:rPr>
                <w:rFonts w:asciiTheme="majorHAnsi" w:hAnsiTheme="majorHAnsi" w:cstheme="majorHAnsi"/>
                <w:color w:val="4472C4" w:themeColor="accent1"/>
                <w:lang w:val="en-US"/>
              </w:rPr>
            </w:pPr>
            <w:r w:rsidRPr="00E00C4B">
              <w:rPr>
                <w:rFonts w:asciiTheme="majorHAnsi" w:hAnsiTheme="majorHAnsi" w:cstheme="majorHAnsi"/>
                <w:color w:val="4472C4" w:themeColor="accent1"/>
                <w:lang w:val="en-US"/>
              </w:rPr>
              <w:t>5</w:t>
            </w:r>
          </w:p>
        </w:tc>
        <w:tc>
          <w:tcPr>
            <w:tcW w:w="0" w:type="auto"/>
            <w:hideMark/>
          </w:tcPr>
          <w:p w14:paraId="6BA5C1E8" w14:textId="77777777" w:rsidR="008D0CAD" w:rsidRPr="00E00C4B" w:rsidRDefault="008D0CAD" w:rsidP="00796BFA">
            <w:pPr>
              <w:spacing w:before="100" w:beforeAutospacing="1" w:after="100" w:afterAutospacing="1" w:line="360" w:lineRule="auto"/>
              <w:rPr>
                <w:rFonts w:asciiTheme="majorHAnsi" w:hAnsiTheme="majorHAnsi" w:cstheme="majorHAnsi"/>
                <w:color w:val="4472C4" w:themeColor="accent1"/>
                <w:lang w:val="en-US"/>
              </w:rPr>
            </w:pPr>
            <w:r w:rsidRPr="00E00C4B">
              <w:rPr>
                <w:rFonts w:asciiTheme="majorHAnsi" w:hAnsiTheme="majorHAnsi" w:cstheme="majorHAnsi"/>
                <w:color w:val="4472C4" w:themeColor="accent1"/>
                <w:lang w:val="en-US"/>
              </w:rPr>
              <w:t>7</w:t>
            </w:r>
          </w:p>
        </w:tc>
        <w:tc>
          <w:tcPr>
            <w:tcW w:w="0" w:type="auto"/>
            <w:hideMark/>
          </w:tcPr>
          <w:p w14:paraId="510CD08D" w14:textId="77777777" w:rsidR="008D0CAD" w:rsidRPr="00E00C4B" w:rsidRDefault="008D0CAD" w:rsidP="00796BFA">
            <w:pPr>
              <w:spacing w:before="100" w:beforeAutospacing="1" w:after="100" w:afterAutospacing="1" w:line="360" w:lineRule="auto"/>
              <w:rPr>
                <w:rFonts w:asciiTheme="majorHAnsi" w:hAnsiTheme="majorHAnsi" w:cstheme="majorHAnsi"/>
                <w:color w:val="4472C4" w:themeColor="accent1"/>
                <w:lang w:val="en-US"/>
              </w:rPr>
            </w:pPr>
            <w:r w:rsidRPr="00E00C4B">
              <w:rPr>
                <w:rFonts w:asciiTheme="majorHAnsi" w:hAnsiTheme="majorHAnsi" w:cstheme="majorHAnsi"/>
                <w:color w:val="4472C4" w:themeColor="accent1"/>
                <w:lang w:val="en-US"/>
              </w:rPr>
              <w:t>7</w:t>
            </w:r>
          </w:p>
        </w:tc>
      </w:tr>
      <w:tr w:rsidR="008D0CAD" w:rsidRPr="00E00C4B" w14:paraId="22CA6D5B" w14:textId="77777777" w:rsidTr="0048024E">
        <w:tc>
          <w:tcPr>
            <w:tcW w:w="0" w:type="auto"/>
            <w:hideMark/>
          </w:tcPr>
          <w:p w14:paraId="48C787D0" w14:textId="77777777" w:rsidR="008D0CAD" w:rsidRPr="00E00C4B" w:rsidRDefault="008D0CAD" w:rsidP="00796BFA">
            <w:pPr>
              <w:spacing w:before="100" w:beforeAutospacing="1" w:after="100" w:afterAutospacing="1" w:line="360" w:lineRule="auto"/>
              <w:rPr>
                <w:rFonts w:asciiTheme="majorHAnsi" w:hAnsiTheme="majorHAnsi" w:cstheme="majorHAnsi"/>
                <w:color w:val="4472C4" w:themeColor="accent1"/>
                <w:lang w:val="en-US"/>
              </w:rPr>
            </w:pPr>
            <w:r w:rsidRPr="00E00C4B">
              <w:rPr>
                <w:rFonts w:asciiTheme="majorHAnsi" w:hAnsiTheme="majorHAnsi" w:cstheme="majorHAnsi"/>
                <w:color w:val="4472C4" w:themeColor="accent1"/>
                <w:lang w:val="en-US"/>
              </w:rPr>
              <w:t>Region 8</w:t>
            </w:r>
          </w:p>
        </w:tc>
        <w:tc>
          <w:tcPr>
            <w:tcW w:w="0" w:type="auto"/>
            <w:hideMark/>
          </w:tcPr>
          <w:p w14:paraId="29B21F17" w14:textId="77777777" w:rsidR="008D0CAD" w:rsidRPr="00E00C4B" w:rsidRDefault="008D0CAD" w:rsidP="00796BFA">
            <w:pPr>
              <w:spacing w:before="100" w:beforeAutospacing="1" w:after="100" w:afterAutospacing="1" w:line="360" w:lineRule="auto"/>
              <w:rPr>
                <w:rFonts w:asciiTheme="majorHAnsi" w:hAnsiTheme="majorHAnsi" w:cstheme="majorHAnsi"/>
                <w:color w:val="4472C4" w:themeColor="accent1"/>
                <w:lang w:val="en-US"/>
              </w:rPr>
            </w:pPr>
            <w:r w:rsidRPr="00E00C4B">
              <w:rPr>
                <w:rFonts w:asciiTheme="majorHAnsi" w:hAnsiTheme="majorHAnsi" w:cstheme="majorHAnsi"/>
                <w:color w:val="4472C4" w:themeColor="accent1"/>
                <w:lang w:val="en-US"/>
              </w:rPr>
              <w:t>4</w:t>
            </w:r>
          </w:p>
        </w:tc>
        <w:tc>
          <w:tcPr>
            <w:tcW w:w="0" w:type="auto"/>
            <w:hideMark/>
          </w:tcPr>
          <w:p w14:paraId="315F77BE" w14:textId="77777777" w:rsidR="008D0CAD" w:rsidRPr="00E00C4B" w:rsidRDefault="008D0CAD" w:rsidP="00796BFA">
            <w:pPr>
              <w:spacing w:before="100" w:beforeAutospacing="1" w:after="100" w:afterAutospacing="1" w:line="360" w:lineRule="auto"/>
              <w:rPr>
                <w:rFonts w:asciiTheme="majorHAnsi" w:hAnsiTheme="majorHAnsi" w:cstheme="majorHAnsi"/>
                <w:color w:val="4472C4" w:themeColor="accent1"/>
                <w:lang w:val="en-US"/>
              </w:rPr>
            </w:pPr>
            <w:r w:rsidRPr="00E00C4B">
              <w:rPr>
                <w:rFonts w:asciiTheme="majorHAnsi" w:hAnsiTheme="majorHAnsi" w:cstheme="majorHAnsi"/>
                <w:color w:val="4472C4" w:themeColor="accent1"/>
                <w:lang w:val="en-US"/>
              </w:rPr>
              <w:t>5</w:t>
            </w:r>
          </w:p>
        </w:tc>
        <w:tc>
          <w:tcPr>
            <w:tcW w:w="0" w:type="auto"/>
            <w:hideMark/>
          </w:tcPr>
          <w:p w14:paraId="36818B51" w14:textId="77777777" w:rsidR="008D0CAD" w:rsidRPr="00E00C4B" w:rsidRDefault="008D0CAD" w:rsidP="00796BFA">
            <w:pPr>
              <w:spacing w:before="100" w:beforeAutospacing="1" w:after="100" w:afterAutospacing="1" w:line="360" w:lineRule="auto"/>
              <w:rPr>
                <w:rFonts w:asciiTheme="majorHAnsi" w:hAnsiTheme="majorHAnsi" w:cstheme="majorHAnsi"/>
                <w:color w:val="4472C4" w:themeColor="accent1"/>
                <w:lang w:val="en-US"/>
              </w:rPr>
            </w:pPr>
            <w:r w:rsidRPr="00E00C4B">
              <w:rPr>
                <w:rFonts w:asciiTheme="majorHAnsi" w:hAnsiTheme="majorHAnsi" w:cstheme="majorHAnsi"/>
                <w:color w:val="4472C4" w:themeColor="accent1"/>
                <w:lang w:val="en-US"/>
              </w:rPr>
              <w:t>5</w:t>
            </w:r>
          </w:p>
        </w:tc>
      </w:tr>
      <w:tr w:rsidR="008D0CAD" w:rsidRPr="00E00C4B" w14:paraId="38CFCD73" w14:textId="77777777" w:rsidTr="0048024E">
        <w:tc>
          <w:tcPr>
            <w:tcW w:w="0" w:type="auto"/>
            <w:hideMark/>
          </w:tcPr>
          <w:p w14:paraId="4AD2081C" w14:textId="77777777" w:rsidR="008D0CAD" w:rsidRPr="00E00C4B" w:rsidRDefault="008D0CAD" w:rsidP="00796BFA">
            <w:pPr>
              <w:spacing w:before="100" w:beforeAutospacing="1" w:after="100" w:afterAutospacing="1" w:line="360" w:lineRule="auto"/>
              <w:rPr>
                <w:rFonts w:asciiTheme="majorHAnsi" w:hAnsiTheme="majorHAnsi" w:cstheme="majorHAnsi"/>
                <w:color w:val="4472C4" w:themeColor="accent1"/>
                <w:lang w:val="en-US"/>
              </w:rPr>
            </w:pPr>
            <w:r w:rsidRPr="00E00C4B">
              <w:rPr>
                <w:rFonts w:asciiTheme="majorHAnsi" w:hAnsiTheme="majorHAnsi" w:cstheme="majorHAnsi"/>
                <w:color w:val="4472C4" w:themeColor="accent1"/>
                <w:lang w:val="en-US"/>
              </w:rPr>
              <w:t>Region 10</w:t>
            </w:r>
          </w:p>
        </w:tc>
        <w:tc>
          <w:tcPr>
            <w:tcW w:w="0" w:type="auto"/>
            <w:hideMark/>
          </w:tcPr>
          <w:p w14:paraId="768E0205" w14:textId="77777777" w:rsidR="008D0CAD" w:rsidRPr="00E00C4B" w:rsidRDefault="008D0CAD" w:rsidP="00796BFA">
            <w:pPr>
              <w:spacing w:before="100" w:beforeAutospacing="1" w:after="100" w:afterAutospacing="1" w:line="360" w:lineRule="auto"/>
              <w:rPr>
                <w:rFonts w:asciiTheme="majorHAnsi" w:hAnsiTheme="majorHAnsi" w:cstheme="majorHAnsi"/>
                <w:color w:val="4472C4" w:themeColor="accent1"/>
                <w:lang w:val="en-US"/>
              </w:rPr>
            </w:pPr>
            <w:r w:rsidRPr="00E00C4B">
              <w:rPr>
                <w:rFonts w:asciiTheme="majorHAnsi" w:hAnsiTheme="majorHAnsi" w:cstheme="majorHAnsi"/>
                <w:color w:val="4472C4" w:themeColor="accent1"/>
                <w:lang w:val="en-US"/>
              </w:rPr>
              <w:t>7</w:t>
            </w:r>
          </w:p>
        </w:tc>
        <w:tc>
          <w:tcPr>
            <w:tcW w:w="0" w:type="auto"/>
            <w:hideMark/>
          </w:tcPr>
          <w:p w14:paraId="40F07094" w14:textId="77777777" w:rsidR="008D0CAD" w:rsidRPr="00E00C4B" w:rsidRDefault="008D0CAD" w:rsidP="00796BFA">
            <w:pPr>
              <w:spacing w:before="100" w:beforeAutospacing="1" w:after="100" w:afterAutospacing="1" w:line="360" w:lineRule="auto"/>
              <w:rPr>
                <w:rFonts w:asciiTheme="majorHAnsi" w:hAnsiTheme="majorHAnsi" w:cstheme="majorHAnsi"/>
                <w:color w:val="4472C4" w:themeColor="accent1"/>
                <w:lang w:val="en-US"/>
              </w:rPr>
            </w:pPr>
            <w:r w:rsidRPr="00E00C4B">
              <w:rPr>
                <w:rFonts w:asciiTheme="majorHAnsi" w:hAnsiTheme="majorHAnsi" w:cstheme="majorHAnsi"/>
                <w:color w:val="4472C4" w:themeColor="accent1"/>
                <w:lang w:val="en-US"/>
              </w:rPr>
              <w:t>13</w:t>
            </w:r>
          </w:p>
        </w:tc>
        <w:tc>
          <w:tcPr>
            <w:tcW w:w="0" w:type="auto"/>
            <w:hideMark/>
          </w:tcPr>
          <w:p w14:paraId="631BB3DB" w14:textId="77777777" w:rsidR="008D0CAD" w:rsidRPr="00E00C4B" w:rsidRDefault="008D0CAD" w:rsidP="00796BFA">
            <w:pPr>
              <w:spacing w:before="100" w:beforeAutospacing="1" w:after="100" w:afterAutospacing="1" w:line="360" w:lineRule="auto"/>
              <w:rPr>
                <w:rFonts w:asciiTheme="majorHAnsi" w:hAnsiTheme="majorHAnsi" w:cstheme="majorHAnsi"/>
                <w:color w:val="4472C4" w:themeColor="accent1"/>
                <w:lang w:val="en-US"/>
              </w:rPr>
            </w:pPr>
            <w:r w:rsidRPr="00E00C4B">
              <w:rPr>
                <w:rFonts w:asciiTheme="majorHAnsi" w:hAnsiTheme="majorHAnsi" w:cstheme="majorHAnsi"/>
                <w:color w:val="4472C4" w:themeColor="accent1"/>
                <w:lang w:val="en-US"/>
              </w:rPr>
              <w:t>28</w:t>
            </w:r>
          </w:p>
        </w:tc>
      </w:tr>
      <w:tr w:rsidR="008D0CAD" w:rsidRPr="00E00C4B" w14:paraId="3C2F5EA9" w14:textId="77777777" w:rsidTr="0048024E">
        <w:tc>
          <w:tcPr>
            <w:tcW w:w="0" w:type="auto"/>
            <w:hideMark/>
          </w:tcPr>
          <w:p w14:paraId="1709760B" w14:textId="77777777" w:rsidR="008D0CAD" w:rsidRPr="00E00C4B" w:rsidRDefault="008D0CAD" w:rsidP="00796BFA">
            <w:pPr>
              <w:spacing w:before="100" w:beforeAutospacing="1" w:after="100" w:afterAutospacing="1" w:line="360" w:lineRule="auto"/>
              <w:rPr>
                <w:rFonts w:asciiTheme="majorHAnsi" w:hAnsiTheme="majorHAnsi" w:cstheme="majorHAnsi"/>
                <w:color w:val="4472C4" w:themeColor="accent1"/>
                <w:lang w:val="en-US"/>
              </w:rPr>
            </w:pPr>
            <w:r w:rsidRPr="00E00C4B">
              <w:rPr>
                <w:rFonts w:asciiTheme="majorHAnsi" w:hAnsiTheme="majorHAnsi" w:cstheme="majorHAnsi"/>
                <w:color w:val="4472C4" w:themeColor="accent1"/>
                <w:lang w:val="en-US"/>
              </w:rPr>
              <w:t>Total</w:t>
            </w:r>
          </w:p>
        </w:tc>
        <w:tc>
          <w:tcPr>
            <w:tcW w:w="0" w:type="auto"/>
            <w:hideMark/>
          </w:tcPr>
          <w:p w14:paraId="61023F7D" w14:textId="77777777" w:rsidR="008D0CAD" w:rsidRPr="00E00C4B" w:rsidRDefault="008D0CAD" w:rsidP="00796BFA">
            <w:pPr>
              <w:spacing w:before="100" w:beforeAutospacing="1" w:after="100" w:afterAutospacing="1" w:line="360" w:lineRule="auto"/>
              <w:rPr>
                <w:rFonts w:asciiTheme="majorHAnsi" w:hAnsiTheme="majorHAnsi" w:cstheme="majorHAnsi"/>
                <w:color w:val="4472C4" w:themeColor="accent1"/>
                <w:lang w:val="en-US"/>
              </w:rPr>
            </w:pPr>
            <w:r w:rsidRPr="00E00C4B">
              <w:rPr>
                <w:rFonts w:asciiTheme="majorHAnsi" w:hAnsiTheme="majorHAnsi" w:cstheme="majorHAnsi"/>
                <w:color w:val="4472C4" w:themeColor="accent1"/>
                <w:lang w:val="en-US"/>
              </w:rPr>
              <w:t>41</w:t>
            </w:r>
          </w:p>
        </w:tc>
        <w:tc>
          <w:tcPr>
            <w:tcW w:w="0" w:type="auto"/>
            <w:hideMark/>
          </w:tcPr>
          <w:p w14:paraId="2E4A80CB" w14:textId="77777777" w:rsidR="008D0CAD" w:rsidRPr="00E00C4B" w:rsidRDefault="008D0CAD" w:rsidP="00796BFA">
            <w:pPr>
              <w:spacing w:before="100" w:beforeAutospacing="1" w:after="100" w:afterAutospacing="1" w:line="360" w:lineRule="auto"/>
              <w:rPr>
                <w:rFonts w:asciiTheme="majorHAnsi" w:hAnsiTheme="majorHAnsi" w:cstheme="majorHAnsi"/>
                <w:color w:val="4472C4" w:themeColor="accent1"/>
                <w:lang w:val="en-US"/>
              </w:rPr>
            </w:pPr>
            <w:r w:rsidRPr="00E00C4B">
              <w:rPr>
                <w:rFonts w:asciiTheme="majorHAnsi" w:hAnsiTheme="majorHAnsi" w:cstheme="majorHAnsi"/>
                <w:color w:val="4472C4" w:themeColor="accent1"/>
                <w:lang w:val="en-US"/>
              </w:rPr>
              <w:t>52</w:t>
            </w:r>
          </w:p>
        </w:tc>
        <w:tc>
          <w:tcPr>
            <w:tcW w:w="0" w:type="auto"/>
            <w:hideMark/>
          </w:tcPr>
          <w:p w14:paraId="7B3BB22D" w14:textId="77777777" w:rsidR="008D0CAD" w:rsidRPr="00E00C4B" w:rsidRDefault="008D0CAD" w:rsidP="00796BFA">
            <w:pPr>
              <w:spacing w:before="100" w:beforeAutospacing="1" w:after="100" w:afterAutospacing="1" w:line="360" w:lineRule="auto"/>
              <w:rPr>
                <w:rFonts w:asciiTheme="majorHAnsi" w:hAnsiTheme="majorHAnsi" w:cstheme="majorHAnsi"/>
                <w:color w:val="4472C4" w:themeColor="accent1"/>
                <w:lang w:val="en-US"/>
              </w:rPr>
            </w:pPr>
            <w:r w:rsidRPr="00E00C4B">
              <w:rPr>
                <w:rFonts w:asciiTheme="majorHAnsi" w:hAnsiTheme="majorHAnsi" w:cstheme="majorHAnsi"/>
                <w:color w:val="4472C4" w:themeColor="accent1"/>
                <w:lang w:val="en-US"/>
              </w:rPr>
              <w:t>69</w:t>
            </w:r>
          </w:p>
        </w:tc>
      </w:tr>
    </w:tbl>
    <w:p w14:paraId="7D2502E1" w14:textId="2EC2048E" w:rsidR="008D0CAD" w:rsidRPr="00E00C4B" w:rsidRDefault="008D0CAD" w:rsidP="00796BFA">
      <w:pPr>
        <w:spacing w:before="100" w:beforeAutospacing="1" w:after="100" w:afterAutospacing="1" w:line="360" w:lineRule="auto"/>
        <w:rPr>
          <w:rFonts w:asciiTheme="majorHAnsi" w:hAnsiTheme="majorHAnsi" w:cstheme="majorHAnsi"/>
          <w:color w:val="000000" w:themeColor="text1"/>
          <w:lang w:val="en-US"/>
        </w:rPr>
      </w:pPr>
      <w:r w:rsidRPr="00E00C4B">
        <w:rPr>
          <w:rFonts w:asciiTheme="majorHAnsi" w:hAnsiTheme="majorHAnsi" w:cstheme="majorHAnsi"/>
          <w:color w:val="000000" w:themeColor="text1"/>
          <w:lang w:val="en-US"/>
        </w:rPr>
        <w:t>In general, the COT performance of the teachers observed is very satisfactory. It indicated high competency in the various Key Result Areas. The summary of COT ratings in the nine KRAs by region is presented in Figure 1 and in Table 2.</w:t>
      </w:r>
      <w:r w:rsidR="00D434EB">
        <w:rPr>
          <w:rFonts w:asciiTheme="majorHAnsi" w:hAnsiTheme="majorHAnsi" w:cstheme="majorHAnsi"/>
          <w:color w:val="000000" w:themeColor="text1"/>
          <w:lang w:val="en-US"/>
        </w:rPr>
        <w:t xml:space="preserve"> </w:t>
      </w:r>
      <w:r w:rsidRPr="00E00C4B">
        <w:rPr>
          <w:rFonts w:asciiTheme="majorHAnsi" w:hAnsiTheme="majorHAnsi" w:cstheme="majorHAnsi"/>
          <w:color w:val="000000" w:themeColor="text1"/>
          <w:u w:val="single"/>
          <w:lang w:val="en-US"/>
        </w:rPr>
        <w:t>Based on the result of analysis, teachers across regions ha</w:t>
      </w:r>
      <w:r w:rsidR="008D7B77">
        <w:rPr>
          <w:rFonts w:asciiTheme="majorHAnsi" w:hAnsiTheme="majorHAnsi" w:cstheme="majorHAnsi"/>
          <w:color w:val="000000" w:themeColor="text1"/>
          <w:u w:val="single"/>
          <w:lang w:val="en-US"/>
        </w:rPr>
        <w:t>ve</w:t>
      </w:r>
      <w:r w:rsidRPr="00E00C4B">
        <w:rPr>
          <w:rFonts w:asciiTheme="majorHAnsi" w:hAnsiTheme="majorHAnsi" w:cstheme="majorHAnsi"/>
          <w:color w:val="000000" w:themeColor="text1"/>
          <w:u w:val="single"/>
          <w:lang w:val="en-US"/>
        </w:rPr>
        <w:t xml:space="preserve"> the best performance in KRA 5 with the highest percentage of teachers who got Outstanding and Very satisfactory rating.</w:t>
      </w:r>
      <w:r w:rsidRPr="00E00C4B">
        <w:rPr>
          <w:rFonts w:asciiTheme="majorHAnsi" w:hAnsiTheme="majorHAnsi" w:cstheme="majorHAnsi"/>
          <w:color w:val="000000" w:themeColor="text1"/>
          <w:lang w:val="en-US"/>
        </w:rPr>
        <w:t xml:space="preserve"> In KRA 6, most teachers obtained a Satisfactory rating. </w:t>
      </w:r>
    </w:p>
    <w:p w14:paraId="0FEC7D7C" w14:textId="05AD3176" w:rsidR="008D0CAD" w:rsidRPr="00E00C4B" w:rsidRDefault="008D0CAD" w:rsidP="00796BFA">
      <w:pPr>
        <w:widowControl w:val="0"/>
        <w:tabs>
          <w:tab w:val="left" w:pos="2127"/>
        </w:tabs>
        <w:spacing w:before="100" w:beforeAutospacing="1" w:after="100" w:afterAutospacing="1" w:line="360" w:lineRule="auto"/>
        <w:rPr>
          <w:rFonts w:asciiTheme="majorHAnsi" w:hAnsiTheme="majorHAnsi" w:cstheme="majorHAnsi"/>
          <w:color w:val="000000" w:themeColor="text1"/>
          <w:lang w:val="en-US"/>
        </w:rPr>
      </w:pPr>
      <w:r w:rsidRPr="00E00C4B">
        <w:rPr>
          <w:rFonts w:asciiTheme="majorHAnsi" w:hAnsiTheme="majorHAnsi" w:cstheme="majorHAnsi"/>
          <w:color w:val="000000" w:themeColor="text1"/>
          <w:lang w:val="en-US"/>
        </w:rPr>
        <w:t>KRA 1 (Pedagogy and content) is the evaluation of the teacher’s mastery of the subject matter and the competency in teaching it.</w:t>
      </w:r>
      <w:r w:rsidR="00D434EB">
        <w:rPr>
          <w:rFonts w:asciiTheme="majorHAnsi" w:hAnsiTheme="majorHAnsi" w:cstheme="majorHAnsi"/>
          <w:color w:val="000000" w:themeColor="text1"/>
          <w:lang w:val="en-US"/>
        </w:rPr>
        <w:t xml:space="preserve"> </w:t>
      </w:r>
      <w:r w:rsidRPr="00E00C4B">
        <w:rPr>
          <w:rFonts w:asciiTheme="majorHAnsi" w:hAnsiTheme="majorHAnsi" w:cstheme="majorHAnsi"/>
          <w:color w:val="000000" w:themeColor="text1"/>
          <w:lang w:val="en-US"/>
        </w:rPr>
        <w:t>In this data set, COTs of the teachers were collated and analysed. For KRA</w:t>
      </w:r>
      <w:r w:rsidR="00D434EB">
        <w:rPr>
          <w:rFonts w:asciiTheme="majorHAnsi" w:hAnsiTheme="majorHAnsi" w:cstheme="majorHAnsi"/>
          <w:color w:val="000000" w:themeColor="text1"/>
          <w:lang w:val="en-US"/>
        </w:rPr>
        <w:t xml:space="preserve"> </w:t>
      </w:r>
      <w:r w:rsidRPr="00E00C4B">
        <w:rPr>
          <w:rFonts w:asciiTheme="majorHAnsi" w:hAnsiTheme="majorHAnsi" w:cstheme="majorHAnsi"/>
          <w:color w:val="000000" w:themeColor="text1"/>
          <w:lang w:val="en-US"/>
        </w:rPr>
        <w:t>1 (Applies knowledge of content within and across curriculum teaching areas), 34.78% of the teachers got an Outstanding rating (Table 3). Only four teachers (6%) failed in this KRA. The observation notes indicated that these ratings were associated to the inability of the teacher to integrate the lesson across other learning areas and not on the knowledge on content.</w:t>
      </w:r>
    </w:p>
    <w:p w14:paraId="7E96B6C4"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themeColor="text1"/>
          <w:lang w:val="en-US"/>
        </w:rPr>
      </w:pPr>
      <w:r w:rsidRPr="00E00C4B">
        <w:rPr>
          <w:rFonts w:asciiTheme="majorHAnsi" w:hAnsiTheme="majorHAnsi" w:cstheme="majorHAnsi"/>
          <w:color w:val="000000" w:themeColor="text1"/>
          <w:lang w:val="en-US"/>
        </w:rPr>
        <w:t xml:space="preserve">There are teachers with poor rating in KRAS 1, 5, 7 and 9. There are also teachers who got Unsatisfactory ratings in KRAs 1,2,3,4,6, and 7. It was noted that these failing ratings are either lone COTs for the whole school year or several ratings with consistently low COT scores in the specific KRAs. </w:t>
      </w:r>
    </w:p>
    <w:p w14:paraId="76EE6A4C"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themeColor="text1"/>
          <w:lang w:val="en-US"/>
        </w:rPr>
      </w:pPr>
      <w:r w:rsidRPr="00E00C4B">
        <w:rPr>
          <w:rFonts w:asciiTheme="majorHAnsi" w:hAnsiTheme="majorHAnsi" w:cstheme="majorHAnsi"/>
          <w:color w:val="000000" w:themeColor="text1"/>
          <w:lang w:val="en-US"/>
        </w:rPr>
        <w:t>It was noted that some COT rating forms have blank items or No Answer. This is commonly observed in KRAs 6, 8, and 9.</w:t>
      </w:r>
    </w:p>
    <w:p w14:paraId="3370D16F" w14:textId="77777777" w:rsidR="008D0CAD" w:rsidRPr="00E00C4B" w:rsidRDefault="008D0CAD" w:rsidP="00796BFA">
      <w:pPr>
        <w:spacing w:before="100" w:beforeAutospacing="1" w:after="100" w:afterAutospacing="1" w:line="360" w:lineRule="auto"/>
        <w:rPr>
          <w:rFonts w:asciiTheme="majorHAnsi" w:hAnsiTheme="majorHAnsi" w:cstheme="majorHAnsi"/>
          <w:color w:val="4472C4" w:themeColor="accent1"/>
          <w:lang w:val="en-US"/>
        </w:rPr>
      </w:pPr>
      <w:r w:rsidRPr="00E00C4B">
        <w:rPr>
          <w:rFonts w:asciiTheme="majorHAnsi" w:hAnsiTheme="majorHAnsi" w:cstheme="majorHAnsi"/>
          <w:noProof/>
          <w:color w:val="4472C4" w:themeColor="accent1"/>
          <w:lang w:val="en-AU" w:eastAsia="en-AU"/>
        </w:rPr>
        <w:drawing>
          <wp:inline distT="0" distB="0" distL="0" distR="0" wp14:anchorId="20204393" wp14:editId="10CD2943">
            <wp:extent cx="5563235" cy="2529840"/>
            <wp:effectExtent l="0" t="0" r="12065" b="10160"/>
            <wp:docPr id="46" name="Chart 46" descr="Bar chart of COT performance by KRA">
              <a:extLst xmlns:a="http://schemas.openxmlformats.org/drawingml/2006/main">
                <a:ext uri="{FF2B5EF4-FFF2-40B4-BE49-F238E27FC236}">
                  <a16:creationId xmlns:a16="http://schemas.microsoft.com/office/drawing/2014/main" id="{FC1B1AD6-CF4F-A743-9AEA-987ECD8EA4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6E85EACB" w14:textId="6435907F" w:rsidR="008D0CAD" w:rsidRPr="00E00C4B" w:rsidRDefault="008D0CAD" w:rsidP="00796BFA">
      <w:pPr>
        <w:spacing w:before="100" w:beforeAutospacing="1" w:after="100" w:afterAutospacing="1" w:line="360" w:lineRule="auto"/>
        <w:rPr>
          <w:rFonts w:asciiTheme="majorHAnsi" w:hAnsiTheme="majorHAnsi" w:cstheme="majorHAnsi"/>
          <w:color w:val="000000" w:themeColor="text1"/>
          <w:lang w:val="en-US"/>
        </w:rPr>
      </w:pPr>
      <w:r w:rsidRPr="00E00C4B">
        <w:rPr>
          <w:rFonts w:asciiTheme="majorHAnsi" w:hAnsiTheme="majorHAnsi" w:cstheme="majorHAnsi"/>
          <w:b/>
          <w:color w:val="000000" w:themeColor="text1"/>
          <w:lang w:val="en-US"/>
        </w:rPr>
        <w:t>Findings</w:t>
      </w:r>
      <w:r w:rsidRPr="00E00C4B">
        <w:rPr>
          <w:rFonts w:asciiTheme="majorHAnsi" w:hAnsiTheme="majorHAnsi" w:cstheme="majorHAnsi"/>
          <w:color w:val="000000" w:themeColor="text1"/>
          <w:lang w:val="en-US"/>
        </w:rPr>
        <w:t>. Overall, there is a very good rating on KRA 1. The level of mastery in content and competency in integrating lesson across learning area and across subject is well-distributed.</w:t>
      </w:r>
      <w:r w:rsidR="00D434EB">
        <w:rPr>
          <w:rFonts w:asciiTheme="majorHAnsi" w:hAnsiTheme="majorHAnsi" w:cstheme="majorHAnsi"/>
          <w:color w:val="000000" w:themeColor="text1"/>
          <w:lang w:val="en-US"/>
        </w:rPr>
        <w:t xml:space="preserve"> </w:t>
      </w:r>
      <w:r w:rsidRPr="00E00C4B">
        <w:rPr>
          <w:rFonts w:asciiTheme="majorHAnsi" w:hAnsiTheme="majorHAnsi" w:cstheme="majorHAnsi"/>
          <w:color w:val="000000" w:themeColor="text1"/>
          <w:lang w:val="en-US"/>
        </w:rPr>
        <w:t xml:space="preserve"> In addition, teacher performance across all KRA</w:t>
      </w:r>
      <w:r w:rsidR="008D7B77">
        <w:rPr>
          <w:rFonts w:asciiTheme="majorHAnsi" w:hAnsiTheme="majorHAnsi" w:cstheme="majorHAnsi"/>
          <w:color w:val="000000" w:themeColor="text1"/>
          <w:lang w:val="en-US"/>
        </w:rPr>
        <w:t>s</w:t>
      </w:r>
      <w:r w:rsidRPr="00E00C4B">
        <w:rPr>
          <w:rFonts w:asciiTheme="majorHAnsi" w:hAnsiTheme="majorHAnsi" w:cstheme="majorHAnsi"/>
          <w:color w:val="000000" w:themeColor="text1"/>
          <w:lang w:val="en-US"/>
        </w:rPr>
        <w:t xml:space="preserve"> are mostly outstanding and very satisfactory except for KRA 6 and 9.</w:t>
      </w:r>
    </w:p>
    <w:p w14:paraId="228D6B67"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themeColor="text1"/>
          <w:lang w:val="en-US"/>
        </w:rPr>
      </w:pPr>
      <w:r w:rsidRPr="00E00C4B">
        <w:rPr>
          <w:rFonts w:asciiTheme="majorHAnsi" w:hAnsiTheme="majorHAnsi" w:cstheme="majorHAnsi"/>
          <w:b/>
          <w:color w:val="000000" w:themeColor="text1"/>
          <w:lang w:val="en-US"/>
        </w:rPr>
        <w:t>Conclusion</w:t>
      </w:r>
      <w:r w:rsidRPr="00E00C4B">
        <w:rPr>
          <w:rFonts w:asciiTheme="majorHAnsi" w:hAnsiTheme="majorHAnsi" w:cstheme="majorHAnsi"/>
          <w:color w:val="000000" w:themeColor="text1"/>
          <w:lang w:val="en-US"/>
        </w:rPr>
        <w:t>. Based on COTs analysed, the PPST-aligned RPMS has shown that at the time of evaluation and on the COT collated, teacher performance is very satisfactory to excellent particularly in KRA 1 and in other six KRAs.</w:t>
      </w:r>
    </w:p>
    <w:p w14:paraId="265E196C" w14:textId="77777777" w:rsidR="008D0CAD" w:rsidRPr="00E00C4B" w:rsidRDefault="008D0CAD" w:rsidP="00796BFA">
      <w:pPr>
        <w:spacing w:before="100" w:beforeAutospacing="1" w:after="100" w:afterAutospacing="1" w:line="360" w:lineRule="auto"/>
        <w:rPr>
          <w:rFonts w:asciiTheme="majorHAnsi" w:hAnsiTheme="majorHAnsi" w:cstheme="majorHAnsi"/>
          <w:b/>
          <w:color w:val="000000" w:themeColor="text1"/>
          <w:lang w:val="en-US"/>
        </w:rPr>
      </w:pPr>
      <w:r w:rsidRPr="00E00C4B">
        <w:rPr>
          <w:rFonts w:asciiTheme="majorHAnsi" w:hAnsiTheme="majorHAnsi" w:cstheme="majorHAnsi"/>
          <w:b/>
          <w:lang w:val="en-US"/>
        </w:rPr>
        <w:t xml:space="preserve">COT Analysis by Subject Area </w:t>
      </w:r>
    </w:p>
    <w:p w14:paraId="03021742" w14:textId="77777777" w:rsidR="008D0CAD" w:rsidRPr="00E00C4B" w:rsidRDefault="008D0CAD" w:rsidP="00796BFA">
      <w:pPr>
        <w:pStyle w:val="Heading3"/>
        <w:spacing w:before="100" w:beforeAutospacing="1" w:after="100" w:afterAutospacing="1" w:line="360" w:lineRule="auto"/>
        <w:rPr>
          <w:lang w:val="en-US"/>
        </w:rPr>
      </w:pPr>
      <w:bookmarkStart w:id="449" w:name="_Toc10533490"/>
      <w:bookmarkStart w:id="450" w:name="_Toc10534144"/>
      <w:bookmarkStart w:id="451" w:name="_Toc10542182"/>
      <w:bookmarkStart w:id="452" w:name="_Toc14083003"/>
      <w:bookmarkStart w:id="453" w:name="_Toc39938413"/>
      <w:bookmarkStart w:id="454" w:name="_Toc69820517"/>
      <w:r w:rsidRPr="00E00C4B">
        <w:rPr>
          <w:lang w:val="en-US"/>
        </w:rPr>
        <w:t>Science</w:t>
      </w:r>
      <w:bookmarkEnd w:id="449"/>
      <w:bookmarkEnd w:id="450"/>
      <w:bookmarkEnd w:id="451"/>
      <w:bookmarkEnd w:id="452"/>
      <w:bookmarkEnd w:id="453"/>
      <w:bookmarkEnd w:id="454"/>
    </w:p>
    <w:p w14:paraId="0242FC59"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themeColor="text1"/>
          <w:lang w:val="en-US"/>
        </w:rPr>
      </w:pPr>
      <w:r w:rsidRPr="00E00C4B">
        <w:rPr>
          <w:rFonts w:asciiTheme="majorHAnsi" w:hAnsiTheme="majorHAnsi" w:cstheme="majorHAnsi"/>
          <w:color w:val="000000" w:themeColor="text1"/>
          <w:lang w:val="en-US"/>
        </w:rPr>
        <w:t xml:space="preserve">Among teachers observed during their Science class, KRA 4 has the highest percentage of teachers with outstanding rating (52.94%). Given the nature of the learning area, engaging learners in exploration and discovery is a must. This is followed by KRAs 7 and 5. </w:t>
      </w:r>
    </w:p>
    <w:p w14:paraId="5ED78CBE" w14:textId="77777777" w:rsidR="008D0CAD" w:rsidRPr="00E00C4B" w:rsidRDefault="008D0CAD" w:rsidP="00796BFA">
      <w:pPr>
        <w:spacing w:before="100" w:beforeAutospacing="1" w:after="100" w:afterAutospacing="1" w:line="360" w:lineRule="auto"/>
        <w:rPr>
          <w:rFonts w:asciiTheme="majorHAnsi" w:hAnsiTheme="majorHAnsi" w:cstheme="majorHAnsi"/>
          <w:lang w:val="en-US"/>
        </w:rPr>
      </w:pPr>
      <w:r w:rsidRPr="00E00C4B">
        <w:rPr>
          <w:rFonts w:asciiTheme="majorHAnsi" w:hAnsiTheme="majorHAnsi" w:cstheme="majorHAnsi"/>
          <w:lang w:val="en-US"/>
        </w:rPr>
        <w:t xml:space="preserve">Table 12. Summary of COT Rating of Teachers observed in Science class </w:t>
      </w:r>
    </w:p>
    <w:tbl>
      <w:tblPr>
        <w:tblStyle w:val="TableGrid18"/>
        <w:tblW w:w="9146" w:type="dxa"/>
        <w:tblLayout w:type="fixed"/>
        <w:tblLook w:val="04A0" w:firstRow="1" w:lastRow="0" w:firstColumn="1" w:lastColumn="0" w:noHBand="0" w:noVBand="1"/>
      </w:tblPr>
      <w:tblGrid>
        <w:gridCol w:w="1113"/>
        <w:gridCol w:w="1361"/>
        <w:gridCol w:w="1362"/>
        <w:gridCol w:w="1361"/>
        <w:gridCol w:w="1634"/>
        <w:gridCol w:w="1089"/>
        <w:gridCol w:w="1226"/>
      </w:tblGrid>
      <w:tr w:rsidR="008D0CAD" w:rsidRPr="004B064D" w14:paraId="46A36AF9" w14:textId="77777777" w:rsidTr="00F4751F">
        <w:trPr>
          <w:trHeight w:val="60"/>
          <w:tblHeader/>
        </w:trPr>
        <w:tc>
          <w:tcPr>
            <w:tcW w:w="1113" w:type="dxa"/>
            <w:noWrap/>
            <w:hideMark/>
          </w:tcPr>
          <w:p w14:paraId="0E3F3E85"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000000"/>
                <w:sz w:val="20"/>
                <w:szCs w:val="20"/>
                <w:lang w:val="en-US"/>
              </w:rPr>
            </w:pPr>
            <w:r w:rsidRPr="004B064D">
              <w:rPr>
                <w:rFonts w:asciiTheme="majorHAnsi" w:hAnsiTheme="majorHAnsi" w:cstheme="majorHAnsi"/>
                <w:b/>
                <w:bCs/>
                <w:color w:val="000000"/>
                <w:sz w:val="20"/>
                <w:szCs w:val="20"/>
                <w:lang w:val="en-US"/>
              </w:rPr>
              <w:t xml:space="preserve">n= 17 </w:t>
            </w:r>
          </w:p>
        </w:tc>
        <w:tc>
          <w:tcPr>
            <w:tcW w:w="1361" w:type="dxa"/>
            <w:hideMark/>
          </w:tcPr>
          <w:p w14:paraId="2B4E3CEC"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C00000"/>
                <w:sz w:val="20"/>
                <w:szCs w:val="20"/>
                <w:lang w:val="en-US"/>
              </w:rPr>
            </w:pPr>
            <w:r w:rsidRPr="004B064D">
              <w:rPr>
                <w:rFonts w:asciiTheme="majorHAnsi" w:hAnsiTheme="majorHAnsi" w:cstheme="majorHAnsi"/>
                <w:b/>
                <w:bCs/>
                <w:color w:val="C00000"/>
                <w:sz w:val="20"/>
                <w:szCs w:val="20"/>
                <w:lang w:val="en-US"/>
              </w:rPr>
              <w:t>Outstanding</w:t>
            </w:r>
          </w:p>
          <w:p w14:paraId="738403F2"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C00000"/>
                <w:sz w:val="20"/>
                <w:szCs w:val="20"/>
                <w:lang w:val="en-US"/>
              </w:rPr>
            </w:pPr>
            <w:r w:rsidRPr="004B064D">
              <w:rPr>
                <w:rFonts w:asciiTheme="majorHAnsi" w:hAnsiTheme="majorHAnsi" w:cstheme="majorHAnsi"/>
                <w:b/>
                <w:bCs/>
                <w:color w:val="000000"/>
                <w:sz w:val="20"/>
                <w:szCs w:val="20"/>
                <w:lang w:val="en-US"/>
              </w:rPr>
              <w:t>%</w:t>
            </w:r>
          </w:p>
        </w:tc>
        <w:tc>
          <w:tcPr>
            <w:tcW w:w="1362" w:type="dxa"/>
            <w:hideMark/>
          </w:tcPr>
          <w:p w14:paraId="2A984F6E"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C00000"/>
                <w:sz w:val="20"/>
                <w:szCs w:val="20"/>
                <w:lang w:val="en-US"/>
              </w:rPr>
            </w:pPr>
            <w:r w:rsidRPr="004B064D">
              <w:rPr>
                <w:rFonts w:asciiTheme="majorHAnsi" w:hAnsiTheme="majorHAnsi" w:cstheme="majorHAnsi"/>
                <w:b/>
                <w:bCs/>
                <w:color w:val="C00000"/>
                <w:sz w:val="20"/>
                <w:szCs w:val="20"/>
                <w:lang w:val="en-US"/>
              </w:rPr>
              <w:t>Very Satisfactory</w:t>
            </w:r>
          </w:p>
          <w:p w14:paraId="302BF3D2"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C00000"/>
                <w:sz w:val="20"/>
                <w:szCs w:val="20"/>
                <w:lang w:val="en-US"/>
              </w:rPr>
            </w:pPr>
            <w:r w:rsidRPr="004B064D">
              <w:rPr>
                <w:rFonts w:asciiTheme="majorHAnsi" w:hAnsiTheme="majorHAnsi" w:cstheme="majorHAnsi"/>
                <w:b/>
                <w:bCs/>
                <w:color w:val="000000"/>
                <w:sz w:val="20"/>
                <w:szCs w:val="20"/>
                <w:lang w:val="en-US"/>
              </w:rPr>
              <w:t>%</w:t>
            </w:r>
          </w:p>
        </w:tc>
        <w:tc>
          <w:tcPr>
            <w:tcW w:w="1361" w:type="dxa"/>
            <w:hideMark/>
          </w:tcPr>
          <w:p w14:paraId="2135965C"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C00000"/>
                <w:sz w:val="20"/>
                <w:szCs w:val="20"/>
                <w:lang w:val="en-US"/>
              </w:rPr>
            </w:pPr>
            <w:r w:rsidRPr="004B064D">
              <w:rPr>
                <w:rFonts w:asciiTheme="majorHAnsi" w:hAnsiTheme="majorHAnsi" w:cstheme="majorHAnsi"/>
                <w:b/>
                <w:bCs/>
                <w:color w:val="C00000"/>
                <w:sz w:val="20"/>
                <w:szCs w:val="20"/>
                <w:lang w:val="en-US"/>
              </w:rPr>
              <w:t>Satisfactory</w:t>
            </w:r>
          </w:p>
          <w:p w14:paraId="1FD5FD73"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C00000"/>
                <w:sz w:val="20"/>
                <w:szCs w:val="20"/>
                <w:lang w:val="en-US"/>
              </w:rPr>
            </w:pPr>
            <w:r w:rsidRPr="004B064D">
              <w:rPr>
                <w:rFonts w:asciiTheme="majorHAnsi" w:hAnsiTheme="majorHAnsi" w:cstheme="majorHAnsi"/>
                <w:b/>
                <w:bCs/>
                <w:color w:val="000000"/>
                <w:sz w:val="20"/>
                <w:szCs w:val="20"/>
                <w:lang w:val="en-US"/>
              </w:rPr>
              <w:t>%</w:t>
            </w:r>
          </w:p>
        </w:tc>
        <w:tc>
          <w:tcPr>
            <w:tcW w:w="1634" w:type="dxa"/>
            <w:hideMark/>
          </w:tcPr>
          <w:p w14:paraId="6F68D6D4"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C00000"/>
                <w:sz w:val="20"/>
                <w:szCs w:val="20"/>
                <w:lang w:val="en-US"/>
              </w:rPr>
            </w:pPr>
            <w:r w:rsidRPr="004B064D">
              <w:rPr>
                <w:rFonts w:asciiTheme="majorHAnsi" w:hAnsiTheme="majorHAnsi" w:cstheme="majorHAnsi"/>
                <w:b/>
                <w:bCs/>
                <w:color w:val="C00000"/>
                <w:sz w:val="20"/>
                <w:szCs w:val="20"/>
                <w:lang w:val="en-US"/>
              </w:rPr>
              <w:t>Unsatisfactory</w:t>
            </w:r>
          </w:p>
          <w:p w14:paraId="240669BF"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C00000"/>
                <w:sz w:val="20"/>
                <w:szCs w:val="20"/>
                <w:lang w:val="en-US"/>
              </w:rPr>
            </w:pPr>
            <w:r w:rsidRPr="004B064D">
              <w:rPr>
                <w:rFonts w:asciiTheme="majorHAnsi" w:hAnsiTheme="majorHAnsi" w:cstheme="majorHAnsi"/>
                <w:b/>
                <w:bCs/>
                <w:color w:val="000000"/>
                <w:sz w:val="20"/>
                <w:szCs w:val="20"/>
                <w:lang w:val="en-US"/>
              </w:rPr>
              <w:t>%</w:t>
            </w:r>
          </w:p>
        </w:tc>
        <w:tc>
          <w:tcPr>
            <w:tcW w:w="1089" w:type="dxa"/>
            <w:hideMark/>
          </w:tcPr>
          <w:p w14:paraId="25137910"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C00000"/>
                <w:sz w:val="20"/>
                <w:szCs w:val="20"/>
                <w:lang w:val="en-US"/>
              </w:rPr>
            </w:pPr>
            <w:r w:rsidRPr="004B064D">
              <w:rPr>
                <w:rFonts w:asciiTheme="majorHAnsi" w:hAnsiTheme="majorHAnsi" w:cstheme="majorHAnsi"/>
                <w:b/>
                <w:bCs/>
                <w:color w:val="C00000"/>
                <w:sz w:val="20"/>
                <w:szCs w:val="20"/>
                <w:lang w:val="en-US"/>
              </w:rPr>
              <w:t>Poor</w:t>
            </w:r>
          </w:p>
          <w:p w14:paraId="771828E2"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C00000"/>
                <w:sz w:val="20"/>
                <w:szCs w:val="20"/>
                <w:lang w:val="en-US"/>
              </w:rPr>
            </w:pPr>
            <w:r w:rsidRPr="004B064D">
              <w:rPr>
                <w:rFonts w:asciiTheme="majorHAnsi" w:hAnsiTheme="majorHAnsi" w:cstheme="majorHAnsi"/>
                <w:b/>
                <w:bCs/>
                <w:color w:val="000000"/>
                <w:sz w:val="20"/>
                <w:szCs w:val="20"/>
                <w:lang w:val="en-US"/>
              </w:rPr>
              <w:t>%</w:t>
            </w:r>
          </w:p>
        </w:tc>
        <w:tc>
          <w:tcPr>
            <w:tcW w:w="1226" w:type="dxa"/>
            <w:hideMark/>
          </w:tcPr>
          <w:p w14:paraId="74E570A4"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C00000"/>
                <w:sz w:val="20"/>
                <w:szCs w:val="20"/>
                <w:lang w:val="en-US"/>
              </w:rPr>
            </w:pPr>
            <w:r w:rsidRPr="004B064D">
              <w:rPr>
                <w:rFonts w:asciiTheme="majorHAnsi" w:hAnsiTheme="majorHAnsi" w:cstheme="majorHAnsi"/>
                <w:b/>
                <w:bCs/>
                <w:color w:val="C00000"/>
                <w:sz w:val="20"/>
                <w:szCs w:val="20"/>
                <w:lang w:val="en-US"/>
              </w:rPr>
              <w:t>No Answer</w:t>
            </w:r>
          </w:p>
          <w:p w14:paraId="211F3E3D"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C00000"/>
                <w:sz w:val="20"/>
                <w:szCs w:val="20"/>
                <w:lang w:val="en-US"/>
              </w:rPr>
            </w:pPr>
            <w:r w:rsidRPr="004B064D">
              <w:rPr>
                <w:rFonts w:asciiTheme="majorHAnsi" w:hAnsiTheme="majorHAnsi" w:cstheme="majorHAnsi"/>
                <w:b/>
                <w:bCs/>
                <w:color w:val="000000"/>
                <w:sz w:val="20"/>
                <w:szCs w:val="20"/>
                <w:lang w:val="en-US"/>
              </w:rPr>
              <w:t>%</w:t>
            </w:r>
          </w:p>
        </w:tc>
      </w:tr>
      <w:tr w:rsidR="008D0CAD" w:rsidRPr="00E00C4B" w14:paraId="5E9FB20B" w14:textId="77777777" w:rsidTr="0048024E">
        <w:trPr>
          <w:trHeight w:val="283"/>
        </w:trPr>
        <w:tc>
          <w:tcPr>
            <w:tcW w:w="1113" w:type="dxa"/>
            <w:hideMark/>
          </w:tcPr>
          <w:p w14:paraId="064BB0DF"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KRA 1</w:t>
            </w:r>
          </w:p>
        </w:tc>
        <w:tc>
          <w:tcPr>
            <w:tcW w:w="1361" w:type="dxa"/>
            <w:hideMark/>
          </w:tcPr>
          <w:p w14:paraId="20CD0965"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29%</w:t>
            </w:r>
          </w:p>
        </w:tc>
        <w:tc>
          <w:tcPr>
            <w:tcW w:w="1362" w:type="dxa"/>
            <w:noWrap/>
            <w:hideMark/>
          </w:tcPr>
          <w:p w14:paraId="74EE2BE0"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41%</w:t>
            </w:r>
          </w:p>
        </w:tc>
        <w:tc>
          <w:tcPr>
            <w:tcW w:w="1361" w:type="dxa"/>
            <w:noWrap/>
            <w:hideMark/>
          </w:tcPr>
          <w:p w14:paraId="70161573"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24%</w:t>
            </w:r>
          </w:p>
        </w:tc>
        <w:tc>
          <w:tcPr>
            <w:tcW w:w="1634" w:type="dxa"/>
            <w:noWrap/>
            <w:hideMark/>
          </w:tcPr>
          <w:p w14:paraId="1A41DE55"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6%</w:t>
            </w:r>
          </w:p>
        </w:tc>
        <w:tc>
          <w:tcPr>
            <w:tcW w:w="1089" w:type="dxa"/>
            <w:noWrap/>
            <w:hideMark/>
          </w:tcPr>
          <w:p w14:paraId="6BFB189A"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p>
        </w:tc>
        <w:tc>
          <w:tcPr>
            <w:tcW w:w="1226" w:type="dxa"/>
            <w:noWrap/>
            <w:hideMark/>
          </w:tcPr>
          <w:p w14:paraId="1AEBAEDA"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p>
        </w:tc>
      </w:tr>
      <w:tr w:rsidR="008D0CAD" w:rsidRPr="00E00C4B" w14:paraId="265541C8" w14:textId="77777777" w:rsidTr="0048024E">
        <w:trPr>
          <w:trHeight w:val="233"/>
        </w:trPr>
        <w:tc>
          <w:tcPr>
            <w:tcW w:w="1113" w:type="dxa"/>
            <w:noWrap/>
            <w:hideMark/>
          </w:tcPr>
          <w:p w14:paraId="2F7E2976"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KRA 2</w:t>
            </w:r>
          </w:p>
        </w:tc>
        <w:tc>
          <w:tcPr>
            <w:tcW w:w="1361" w:type="dxa"/>
            <w:noWrap/>
            <w:hideMark/>
          </w:tcPr>
          <w:p w14:paraId="16096910"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12%</w:t>
            </w:r>
          </w:p>
        </w:tc>
        <w:tc>
          <w:tcPr>
            <w:tcW w:w="1362" w:type="dxa"/>
            <w:noWrap/>
            <w:hideMark/>
          </w:tcPr>
          <w:p w14:paraId="02105273"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65%</w:t>
            </w:r>
          </w:p>
        </w:tc>
        <w:tc>
          <w:tcPr>
            <w:tcW w:w="1361" w:type="dxa"/>
            <w:noWrap/>
            <w:hideMark/>
          </w:tcPr>
          <w:p w14:paraId="4737ABC4"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24%</w:t>
            </w:r>
          </w:p>
        </w:tc>
        <w:tc>
          <w:tcPr>
            <w:tcW w:w="1634" w:type="dxa"/>
            <w:noWrap/>
            <w:hideMark/>
          </w:tcPr>
          <w:p w14:paraId="3DC55B91"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p>
        </w:tc>
        <w:tc>
          <w:tcPr>
            <w:tcW w:w="1089" w:type="dxa"/>
            <w:noWrap/>
            <w:hideMark/>
          </w:tcPr>
          <w:p w14:paraId="5756A097"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p>
        </w:tc>
        <w:tc>
          <w:tcPr>
            <w:tcW w:w="1226" w:type="dxa"/>
            <w:noWrap/>
            <w:hideMark/>
          </w:tcPr>
          <w:p w14:paraId="315BB5AB"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p>
        </w:tc>
      </w:tr>
      <w:tr w:rsidR="008D0CAD" w:rsidRPr="00E00C4B" w14:paraId="5ACF2308" w14:textId="77777777" w:rsidTr="0048024E">
        <w:trPr>
          <w:trHeight w:val="173"/>
        </w:trPr>
        <w:tc>
          <w:tcPr>
            <w:tcW w:w="1113" w:type="dxa"/>
            <w:noWrap/>
            <w:hideMark/>
          </w:tcPr>
          <w:p w14:paraId="2FC95546"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KRA 3</w:t>
            </w:r>
          </w:p>
        </w:tc>
        <w:tc>
          <w:tcPr>
            <w:tcW w:w="1361" w:type="dxa"/>
            <w:noWrap/>
            <w:hideMark/>
          </w:tcPr>
          <w:p w14:paraId="59D91A12"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41%</w:t>
            </w:r>
          </w:p>
        </w:tc>
        <w:tc>
          <w:tcPr>
            <w:tcW w:w="1362" w:type="dxa"/>
            <w:noWrap/>
            <w:hideMark/>
          </w:tcPr>
          <w:p w14:paraId="78CA14DA"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41%</w:t>
            </w:r>
          </w:p>
        </w:tc>
        <w:tc>
          <w:tcPr>
            <w:tcW w:w="1361" w:type="dxa"/>
            <w:noWrap/>
            <w:hideMark/>
          </w:tcPr>
          <w:p w14:paraId="7B8EFA1C"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18%</w:t>
            </w:r>
          </w:p>
        </w:tc>
        <w:tc>
          <w:tcPr>
            <w:tcW w:w="1634" w:type="dxa"/>
            <w:noWrap/>
            <w:hideMark/>
          </w:tcPr>
          <w:p w14:paraId="371DFB62"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p>
        </w:tc>
        <w:tc>
          <w:tcPr>
            <w:tcW w:w="1089" w:type="dxa"/>
            <w:noWrap/>
            <w:hideMark/>
          </w:tcPr>
          <w:p w14:paraId="1441B825"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p>
        </w:tc>
        <w:tc>
          <w:tcPr>
            <w:tcW w:w="1226" w:type="dxa"/>
            <w:noWrap/>
            <w:hideMark/>
          </w:tcPr>
          <w:p w14:paraId="3842193E"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p>
        </w:tc>
      </w:tr>
      <w:tr w:rsidR="008D0CAD" w:rsidRPr="00E00C4B" w14:paraId="3AF8B008" w14:textId="77777777" w:rsidTr="0048024E">
        <w:trPr>
          <w:trHeight w:val="253"/>
        </w:trPr>
        <w:tc>
          <w:tcPr>
            <w:tcW w:w="1113" w:type="dxa"/>
            <w:noWrap/>
            <w:hideMark/>
          </w:tcPr>
          <w:p w14:paraId="577FDCFF"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KRA 4</w:t>
            </w:r>
          </w:p>
        </w:tc>
        <w:tc>
          <w:tcPr>
            <w:tcW w:w="1361" w:type="dxa"/>
            <w:noWrap/>
            <w:hideMark/>
          </w:tcPr>
          <w:p w14:paraId="5F4DFC79"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53%</w:t>
            </w:r>
          </w:p>
        </w:tc>
        <w:tc>
          <w:tcPr>
            <w:tcW w:w="1362" w:type="dxa"/>
            <w:noWrap/>
            <w:hideMark/>
          </w:tcPr>
          <w:p w14:paraId="4DDBA5FE"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29%</w:t>
            </w:r>
          </w:p>
        </w:tc>
        <w:tc>
          <w:tcPr>
            <w:tcW w:w="1361" w:type="dxa"/>
            <w:noWrap/>
            <w:hideMark/>
          </w:tcPr>
          <w:p w14:paraId="7E7BDAA9"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12%</w:t>
            </w:r>
          </w:p>
        </w:tc>
        <w:tc>
          <w:tcPr>
            <w:tcW w:w="1634" w:type="dxa"/>
            <w:noWrap/>
            <w:hideMark/>
          </w:tcPr>
          <w:p w14:paraId="708079FB"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p>
        </w:tc>
        <w:tc>
          <w:tcPr>
            <w:tcW w:w="1089" w:type="dxa"/>
            <w:noWrap/>
            <w:hideMark/>
          </w:tcPr>
          <w:p w14:paraId="0BD4844E"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p>
        </w:tc>
        <w:tc>
          <w:tcPr>
            <w:tcW w:w="1226" w:type="dxa"/>
            <w:noWrap/>
            <w:hideMark/>
          </w:tcPr>
          <w:p w14:paraId="72E44A06"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18%</w:t>
            </w:r>
          </w:p>
        </w:tc>
      </w:tr>
      <w:tr w:rsidR="008D0CAD" w:rsidRPr="00E00C4B" w14:paraId="2EA19D6C" w14:textId="77777777" w:rsidTr="0048024E">
        <w:trPr>
          <w:trHeight w:val="204"/>
        </w:trPr>
        <w:tc>
          <w:tcPr>
            <w:tcW w:w="1113" w:type="dxa"/>
            <w:noWrap/>
            <w:hideMark/>
          </w:tcPr>
          <w:p w14:paraId="7185F374"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KRA 5</w:t>
            </w:r>
          </w:p>
        </w:tc>
        <w:tc>
          <w:tcPr>
            <w:tcW w:w="1361" w:type="dxa"/>
            <w:noWrap/>
            <w:hideMark/>
          </w:tcPr>
          <w:p w14:paraId="3AD98D18"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41%</w:t>
            </w:r>
          </w:p>
        </w:tc>
        <w:tc>
          <w:tcPr>
            <w:tcW w:w="1362" w:type="dxa"/>
            <w:noWrap/>
            <w:hideMark/>
          </w:tcPr>
          <w:p w14:paraId="4706B78C"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41%</w:t>
            </w:r>
          </w:p>
        </w:tc>
        <w:tc>
          <w:tcPr>
            <w:tcW w:w="1361" w:type="dxa"/>
            <w:noWrap/>
            <w:hideMark/>
          </w:tcPr>
          <w:p w14:paraId="67BC49ED"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18%</w:t>
            </w:r>
          </w:p>
        </w:tc>
        <w:tc>
          <w:tcPr>
            <w:tcW w:w="1634" w:type="dxa"/>
            <w:noWrap/>
            <w:hideMark/>
          </w:tcPr>
          <w:p w14:paraId="3D6D01A8"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p>
        </w:tc>
        <w:tc>
          <w:tcPr>
            <w:tcW w:w="1089" w:type="dxa"/>
            <w:noWrap/>
            <w:hideMark/>
          </w:tcPr>
          <w:p w14:paraId="19E56DD7"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p>
        </w:tc>
        <w:tc>
          <w:tcPr>
            <w:tcW w:w="1226" w:type="dxa"/>
            <w:noWrap/>
            <w:hideMark/>
          </w:tcPr>
          <w:p w14:paraId="11B3827D"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p>
        </w:tc>
      </w:tr>
      <w:tr w:rsidR="008D0CAD" w:rsidRPr="00E00C4B" w14:paraId="4C9B2C1E" w14:textId="77777777" w:rsidTr="0048024E">
        <w:trPr>
          <w:trHeight w:val="203"/>
        </w:trPr>
        <w:tc>
          <w:tcPr>
            <w:tcW w:w="1113" w:type="dxa"/>
            <w:noWrap/>
            <w:hideMark/>
          </w:tcPr>
          <w:p w14:paraId="092111ED"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KRA 6</w:t>
            </w:r>
          </w:p>
        </w:tc>
        <w:tc>
          <w:tcPr>
            <w:tcW w:w="1361" w:type="dxa"/>
            <w:noWrap/>
            <w:hideMark/>
          </w:tcPr>
          <w:p w14:paraId="54B974D5"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18%</w:t>
            </w:r>
          </w:p>
        </w:tc>
        <w:tc>
          <w:tcPr>
            <w:tcW w:w="1362" w:type="dxa"/>
            <w:noWrap/>
            <w:hideMark/>
          </w:tcPr>
          <w:p w14:paraId="69C3F102"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41%</w:t>
            </w:r>
          </w:p>
        </w:tc>
        <w:tc>
          <w:tcPr>
            <w:tcW w:w="1361" w:type="dxa"/>
            <w:noWrap/>
            <w:hideMark/>
          </w:tcPr>
          <w:p w14:paraId="1D01CD91"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24%</w:t>
            </w:r>
          </w:p>
        </w:tc>
        <w:tc>
          <w:tcPr>
            <w:tcW w:w="1634" w:type="dxa"/>
            <w:noWrap/>
            <w:hideMark/>
          </w:tcPr>
          <w:p w14:paraId="69380678"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p>
        </w:tc>
        <w:tc>
          <w:tcPr>
            <w:tcW w:w="1089" w:type="dxa"/>
            <w:noWrap/>
            <w:hideMark/>
          </w:tcPr>
          <w:p w14:paraId="255D1EC9"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p>
        </w:tc>
        <w:tc>
          <w:tcPr>
            <w:tcW w:w="1226" w:type="dxa"/>
            <w:noWrap/>
            <w:hideMark/>
          </w:tcPr>
          <w:p w14:paraId="0072BBCC"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18%</w:t>
            </w:r>
          </w:p>
        </w:tc>
      </w:tr>
      <w:tr w:rsidR="008D0CAD" w:rsidRPr="00E00C4B" w14:paraId="499F415A" w14:textId="77777777" w:rsidTr="0048024E">
        <w:trPr>
          <w:trHeight w:val="234"/>
        </w:trPr>
        <w:tc>
          <w:tcPr>
            <w:tcW w:w="1113" w:type="dxa"/>
            <w:noWrap/>
            <w:hideMark/>
          </w:tcPr>
          <w:p w14:paraId="77F85EC7"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KRA 7</w:t>
            </w:r>
          </w:p>
        </w:tc>
        <w:tc>
          <w:tcPr>
            <w:tcW w:w="1361" w:type="dxa"/>
            <w:noWrap/>
            <w:hideMark/>
          </w:tcPr>
          <w:p w14:paraId="0E58E278"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24%</w:t>
            </w:r>
          </w:p>
        </w:tc>
        <w:tc>
          <w:tcPr>
            <w:tcW w:w="1362" w:type="dxa"/>
            <w:noWrap/>
            <w:hideMark/>
          </w:tcPr>
          <w:p w14:paraId="02F4D7E9"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47%</w:t>
            </w:r>
          </w:p>
        </w:tc>
        <w:tc>
          <w:tcPr>
            <w:tcW w:w="1361" w:type="dxa"/>
            <w:noWrap/>
            <w:hideMark/>
          </w:tcPr>
          <w:p w14:paraId="060BAF9C"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18%</w:t>
            </w:r>
          </w:p>
        </w:tc>
        <w:tc>
          <w:tcPr>
            <w:tcW w:w="1634" w:type="dxa"/>
            <w:noWrap/>
            <w:hideMark/>
          </w:tcPr>
          <w:p w14:paraId="095C9C5D"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p>
        </w:tc>
        <w:tc>
          <w:tcPr>
            <w:tcW w:w="1089" w:type="dxa"/>
            <w:noWrap/>
            <w:hideMark/>
          </w:tcPr>
          <w:p w14:paraId="40E75818"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p>
        </w:tc>
        <w:tc>
          <w:tcPr>
            <w:tcW w:w="1226" w:type="dxa"/>
            <w:noWrap/>
            <w:hideMark/>
          </w:tcPr>
          <w:p w14:paraId="062B63C5"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12%</w:t>
            </w:r>
          </w:p>
        </w:tc>
      </w:tr>
      <w:tr w:rsidR="008D0CAD" w:rsidRPr="00E00C4B" w14:paraId="10579EB8" w14:textId="77777777" w:rsidTr="0048024E">
        <w:trPr>
          <w:trHeight w:val="213"/>
        </w:trPr>
        <w:tc>
          <w:tcPr>
            <w:tcW w:w="1113" w:type="dxa"/>
            <w:noWrap/>
            <w:hideMark/>
          </w:tcPr>
          <w:p w14:paraId="7D9AE9CA"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KRA 8</w:t>
            </w:r>
          </w:p>
        </w:tc>
        <w:tc>
          <w:tcPr>
            <w:tcW w:w="1361" w:type="dxa"/>
            <w:noWrap/>
            <w:hideMark/>
          </w:tcPr>
          <w:p w14:paraId="3B07F141"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30%</w:t>
            </w:r>
          </w:p>
        </w:tc>
        <w:tc>
          <w:tcPr>
            <w:tcW w:w="1362" w:type="dxa"/>
            <w:noWrap/>
            <w:hideMark/>
          </w:tcPr>
          <w:p w14:paraId="3ABF22A8"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35%</w:t>
            </w:r>
          </w:p>
        </w:tc>
        <w:tc>
          <w:tcPr>
            <w:tcW w:w="1361" w:type="dxa"/>
            <w:noWrap/>
            <w:hideMark/>
          </w:tcPr>
          <w:p w14:paraId="51A14AEA"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18%</w:t>
            </w:r>
          </w:p>
        </w:tc>
        <w:tc>
          <w:tcPr>
            <w:tcW w:w="1634" w:type="dxa"/>
            <w:noWrap/>
            <w:hideMark/>
          </w:tcPr>
          <w:p w14:paraId="33C3E294"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6%</w:t>
            </w:r>
          </w:p>
        </w:tc>
        <w:tc>
          <w:tcPr>
            <w:tcW w:w="1089" w:type="dxa"/>
            <w:noWrap/>
            <w:hideMark/>
          </w:tcPr>
          <w:p w14:paraId="7CD80CFF"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p>
        </w:tc>
        <w:tc>
          <w:tcPr>
            <w:tcW w:w="1226" w:type="dxa"/>
            <w:noWrap/>
            <w:hideMark/>
          </w:tcPr>
          <w:p w14:paraId="07778C8D"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12%</w:t>
            </w:r>
          </w:p>
        </w:tc>
      </w:tr>
      <w:tr w:rsidR="008D0CAD" w:rsidRPr="00E00C4B" w14:paraId="766B7D84" w14:textId="77777777" w:rsidTr="0048024E">
        <w:trPr>
          <w:trHeight w:val="173"/>
        </w:trPr>
        <w:tc>
          <w:tcPr>
            <w:tcW w:w="1113" w:type="dxa"/>
            <w:noWrap/>
            <w:hideMark/>
          </w:tcPr>
          <w:p w14:paraId="0C70B3BE"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KRA 9</w:t>
            </w:r>
          </w:p>
        </w:tc>
        <w:tc>
          <w:tcPr>
            <w:tcW w:w="1361" w:type="dxa"/>
            <w:noWrap/>
            <w:hideMark/>
          </w:tcPr>
          <w:p w14:paraId="5AAC2AA8"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30%</w:t>
            </w:r>
          </w:p>
        </w:tc>
        <w:tc>
          <w:tcPr>
            <w:tcW w:w="1362" w:type="dxa"/>
            <w:noWrap/>
            <w:hideMark/>
          </w:tcPr>
          <w:p w14:paraId="19ED566F"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23%</w:t>
            </w:r>
          </w:p>
        </w:tc>
        <w:tc>
          <w:tcPr>
            <w:tcW w:w="1361" w:type="dxa"/>
            <w:noWrap/>
            <w:hideMark/>
          </w:tcPr>
          <w:p w14:paraId="4119AD47"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24%</w:t>
            </w:r>
          </w:p>
        </w:tc>
        <w:tc>
          <w:tcPr>
            <w:tcW w:w="1634" w:type="dxa"/>
            <w:noWrap/>
            <w:hideMark/>
          </w:tcPr>
          <w:p w14:paraId="1119452D"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12%</w:t>
            </w:r>
          </w:p>
        </w:tc>
        <w:tc>
          <w:tcPr>
            <w:tcW w:w="1089" w:type="dxa"/>
            <w:noWrap/>
            <w:hideMark/>
          </w:tcPr>
          <w:p w14:paraId="117F94A9"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6%</w:t>
            </w:r>
          </w:p>
        </w:tc>
        <w:tc>
          <w:tcPr>
            <w:tcW w:w="1226" w:type="dxa"/>
            <w:noWrap/>
            <w:hideMark/>
          </w:tcPr>
          <w:p w14:paraId="6676CB8B"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12%</w:t>
            </w:r>
          </w:p>
        </w:tc>
      </w:tr>
    </w:tbl>
    <w:p w14:paraId="14BB31FC" w14:textId="77777777" w:rsidR="008D0CAD" w:rsidRPr="00E00C4B" w:rsidRDefault="008D0CAD" w:rsidP="00796BFA">
      <w:pPr>
        <w:spacing w:before="100" w:beforeAutospacing="1" w:after="100" w:afterAutospacing="1" w:line="360" w:lineRule="auto"/>
        <w:rPr>
          <w:rFonts w:asciiTheme="majorHAnsi" w:hAnsiTheme="majorHAnsi" w:cstheme="majorHAnsi"/>
          <w:lang w:val="en-US"/>
        </w:rPr>
      </w:pPr>
    </w:p>
    <w:p w14:paraId="6C793BEE" w14:textId="77777777" w:rsidR="008D0CAD" w:rsidRPr="00E00C4B" w:rsidRDefault="008D0CAD" w:rsidP="00796BFA">
      <w:pPr>
        <w:pStyle w:val="Heading3"/>
        <w:spacing w:before="100" w:beforeAutospacing="1" w:after="100" w:afterAutospacing="1" w:line="360" w:lineRule="auto"/>
        <w:rPr>
          <w:lang w:val="en-US"/>
        </w:rPr>
      </w:pPr>
      <w:bookmarkStart w:id="455" w:name="_Toc10533491"/>
      <w:bookmarkStart w:id="456" w:name="_Toc10534145"/>
      <w:bookmarkStart w:id="457" w:name="_Toc10542183"/>
      <w:bookmarkStart w:id="458" w:name="_Toc14083004"/>
      <w:bookmarkStart w:id="459" w:name="_Toc39938414"/>
      <w:bookmarkStart w:id="460" w:name="_Toc69820518"/>
      <w:r w:rsidRPr="00E00C4B">
        <w:rPr>
          <w:lang w:val="en-US"/>
        </w:rPr>
        <w:t>Math</w:t>
      </w:r>
      <w:bookmarkEnd w:id="455"/>
      <w:bookmarkEnd w:id="456"/>
      <w:bookmarkEnd w:id="457"/>
      <w:bookmarkEnd w:id="458"/>
      <w:bookmarkEnd w:id="459"/>
      <w:bookmarkEnd w:id="460"/>
    </w:p>
    <w:p w14:paraId="01FCF9D3" w14:textId="75F548C0" w:rsidR="008D0CAD" w:rsidRPr="00E00C4B" w:rsidRDefault="008D0CAD" w:rsidP="00796BFA">
      <w:pPr>
        <w:spacing w:before="100" w:beforeAutospacing="1" w:after="100" w:afterAutospacing="1" w:line="360" w:lineRule="auto"/>
        <w:ind w:right="-52"/>
        <w:rPr>
          <w:rFonts w:asciiTheme="majorHAnsi" w:hAnsiTheme="majorHAnsi" w:cstheme="majorHAnsi"/>
          <w:lang w:val="en-US"/>
        </w:rPr>
      </w:pPr>
      <w:r w:rsidRPr="00E00C4B">
        <w:rPr>
          <w:rFonts w:asciiTheme="majorHAnsi" w:hAnsiTheme="majorHAnsi" w:cstheme="majorHAnsi"/>
          <w:lang w:val="en-US"/>
        </w:rPr>
        <w:t xml:space="preserve">There are 22 Teachers rated for teaching Mathematics (Table 13). The teachers performed best in KRA 5 with </w:t>
      </w:r>
      <w:r w:rsidRPr="00E00C4B">
        <w:rPr>
          <w:rFonts w:asciiTheme="majorHAnsi" w:hAnsiTheme="majorHAnsi" w:cstheme="majorHAnsi"/>
          <w:color w:val="000000"/>
          <w:lang w:val="en-US"/>
        </w:rPr>
        <w:t>59.09% who obtained Outstanding rating and no one got a rating lower than Satisfactory. KRA s 8 and 9 does not have failing rates but there is relatively high number of COTs with no answer, at 22.73% and 18.18%, respectively. In six KRAs (1, 2, 3, 4,6, and 7), unsatisfactory rating for 1-2 teachers was recorded. This might indicate that teachers need more training on teaching strategies in Math. Compared to teacher performance in Science teaching, there is an indication that more trainings in teaching Mathematics is needed.</w:t>
      </w:r>
      <w:r w:rsidRPr="00E00C4B">
        <w:rPr>
          <w:rFonts w:asciiTheme="majorHAnsi" w:hAnsiTheme="majorHAnsi" w:cstheme="majorHAnsi"/>
          <w:lang w:val="en-US"/>
        </w:rPr>
        <w:t xml:space="preserve"> </w:t>
      </w:r>
    </w:p>
    <w:p w14:paraId="6108B78B" w14:textId="77777777" w:rsidR="008D0CAD" w:rsidRPr="00E00C4B" w:rsidRDefault="008D0CAD" w:rsidP="00796BFA">
      <w:pPr>
        <w:spacing w:before="100" w:beforeAutospacing="1" w:after="100" w:afterAutospacing="1" w:line="360" w:lineRule="auto"/>
        <w:ind w:left="227" w:right="-52"/>
        <w:rPr>
          <w:rFonts w:asciiTheme="majorHAnsi" w:hAnsiTheme="majorHAnsi" w:cstheme="majorHAnsi"/>
          <w:color w:val="000000"/>
          <w:lang w:val="en-US"/>
        </w:rPr>
      </w:pPr>
      <w:r w:rsidRPr="00E00C4B">
        <w:rPr>
          <w:rFonts w:asciiTheme="majorHAnsi" w:hAnsiTheme="majorHAnsi" w:cstheme="majorHAnsi"/>
          <w:lang w:val="en-US"/>
        </w:rPr>
        <w:t xml:space="preserve">Summary of COT Rating of Teachers observed in Mathematics Class </w:t>
      </w:r>
    </w:p>
    <w:tbl>
      <w:tblPr>
        <w:tblStyle w:val="TableGrid18"/>
        <w:tblW w:w="5000" w:type="pct"/>
        <w:tblLayout w:type="fixed"/>
        <w:tblLook w:val="04A0" w:firstRow="1" w:lastRow="0" w:firstColumn="1" w:lastColumn="0" w:noHBand="0" w:noVBand="1"/>
      </w:tblPr>
      <w:tblGrid>
        <w:gridCol w:w="928"/>
        <w:gridCol w:w="1554"/>
        <w:gridCol w:w="1555"/>
        <w:gridCol w:w="1553"/>
        <w:gridCol w:w="1865"/>
        <w:gridCol w:w="1174"/>
        <w:gridCol w:w="1251"/>
      </w:tblGrid>
      <w:tr w:rsidR="008D0CAD" w:rsidRPr="004B064D" w14:paraId="343B6FF8" w14:textId="77777777" w:rsidTr="00F4751F">
        <w:trPr>
          <w:trHeight w:val="1385"/>
          <w:tblHeader/>
        </w:trPr>
        <w:tc>
          <w:tcPr>
            <w:tcW w:w="469" w:type="pct"/>
            <w:noWrap/>
            <w:hideMark/>
          </w:tcPr>
          <w:p w14:paraId="26762990"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000000"/>
                <w:sz w:val="20"/>
                <w:szCs w:val="20"/>
                <w:lang w:val="en-US"/>
              </w:rPr>
            </w:pPr>
            <w:r w:rsidRPr="004B064D">
              <w:rPr>
                <w:rFonts w:asciiTheme="majorHAnsi" w:hAnsiTheme="majorHAnsi" w:cstheme="majorHAnsi"/>
                <w:b/>
                <w:bCs/>
                <w:color w:val="000000"/>
                <w:sz w:val="20"/>
                <w:szCs w:val="20"/>
                <w:lang w:val="en-US"/>
              </w:rPr>
              <w:t>n= 22</w:t>
            </w:r>
          </w:p>
        </w:tc>
        <w:tc>
          <w:tcPr>
            <w:tcW w:w="786" w:type="pct"/>
            <w:hideMark/>
          </w:tcPr>
          <w:p w14:paraId="1E255088"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C00000"/>
                <w:sz w:val="20"/>
                <w:szCs w:val="20"/>
                <w:lang w:val="en-US"/>
              </w:rPr>
            </w:pPr>
            <w:r w:rsidRPr="004B064D">
              <w:rPr>
                <w:rFonts w:asciiTheme="majorHAnsi" w:hAnsiTheme="majorHAnsi" w:cstheme="majorHAnsi"/>
                <w:b/>
                <w:bCs/>
                <w:color w:val="C00000"/>
                <w:sz w:val="20"/>
                <w:szCs w:val="20"/>
                <w:lang w:val="en-US"/>
              </w:rPr>
              <w:t>Outstanding</w:t>
            </w:r>
          </w:p>
          <w:p w14:paraId="188F355E"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C00000"/>
                <w:sz w:val="20"/>
                <w:szCs w:val="20"/>
                <w:lang w:val="en-US"/>
              </w:rPr>
            </w:pPr>
            <w:r w:rsidRPr="004B064D">
              <w:rPr>
                <w:rFonts w:asciiTheme="majorHAnsi" w:hAnsiTheme="majorHAnsi" w:cstheme="majorHAnsi"/>
                <w:b/>
                <w:bCs/>
                <w:color w:val="000000"/>
                <w:sz w:val="20"/>
                <w:szCs w:val="20"/>
                <w:lang w:val="en-US"/>
              </w:rPr>
              <w:t>%</w:t>
            </w:r>
          </w:p>
        </w:tc>
        <w:tc>
          <w:tcPr>
            <w:tcW w:w="787" w:type="pct"/>
            <w:hideMark/>
          </w:tcPr>
          <w:p w14:paraId="48FF2752"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C00000"/>
                <w:sz w:val="20"/>
                <w:szCs w:val="20"/>
                <w:lang w:val="en-US"/>
              </w:rPr>
            </w:pPr>
            <w:r w:rsidRPr="004B064D">
              <w:rPr>
                <w:rFonts w:asciiTheme="majorHAnsi" w:hAnsiTheme="majorHAnsi" w:cstheme="majorHAnsi"/>
                <w:b/>
                <w:bCs/>
                <w:color w:val="C00000"/>
                <w:sz w:val="20"/>
                <w:szCs w:val="20"/>
                <w:lang w:val="en-US"/>
              </w:rPr>
              <w:t>Very Satisfactory</w:t>
            </w:r>
          </w:p>
          <w:p w14:paraId="7F945C43"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C00000"/>
                <w:sz w:val="20"/>
                <w:szCs w:val="20"/>
                <w:lang w:val="en-US"/>
              </w:rPr>
            </w:pPr>
            <w:r w:rsidRPr="004B064D">
              <w:rPr>
                <w:rFonts w:asciiTheme="majorHAnsi" w:hAnsiTheme="majorHAnsi" w:cstheme="majorHAnsi"/>
                <w:b/>
                <w:bCs/>
                <w:color w:val="000000"/>
                <w:sz w:val="20"/>
                <w:szCs w:val="20"/>
                <w:lang w:val="en-US"/>
              </w:rPr>
              <w:t>%</w:t>
            </w:r>
          </w:p>
        </w:tc>
        <w:tc>
          <w:tcPr>
            <w:tcW w:w="786" w:type="pct"/>
            <w:hideMark/>
          </w:tcPr>
          <w:p w14:paraId="79A4709F"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C00000"/>
                <w:sz w:val="20"/>
                <w:szCs w:val="20"/>
                <w:lang w:val="en-US"/>
              </w:rPr>
            </w:pPr>
            <w:r w:rsidRPr="004B064D">
              <w:rPr>
                <w:rFonts w:asciiTheme="majorHAnsi" w:hAnsiTheme="majorHAnsi" w:cstheme="majorHAnsi"/>
                <w:b/>
                <w:bCs/>
                <w:color w:val="C00000"/>
                <w:sz w:val="20"/>
                <w:szCs w:val="20"/>
                <w:lang w:val="en-US"/>
              </w:rPr>
              <w:t>Satisfactory</w:t>
            </w:r>
          </w:p>
          <w:p w14:paraId="34816E63"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C00000"/>
                <w:sz w:val="20"/>
                <w:szCs w:val="20"/>
                <w:lang w:val="en-US"/>
              </w:rPr>
            </w:pPr>
            <w:r w:rsidRPr="004B064D">
              <w:rPr>
                <w:rFonts w:asciiTheme="majorHAnsi" w:hAnsiTheme="majorHAnsi" w:cstheme="majorHAnsi"/>
                <w:b/>
                <w:bCs/>
                <w:color w:val="000000"/>
                <w:sz w:val="20"/>
                <w:szCs w:val="20"/>
                <w:lang w:val="en-US"/>
              </w:rPr>
              <w:t>%</w:t>
            </w:r>
          </w:p>
        </w:tc>
        <w:tc>
          <w:tcPr>
            <w:tcW w:w="944" w:type="pct"/>
            <w:hideMark/>
          </w:tcPr>
          <w:p w14:paraId="647491B9"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C00000"/>
                <w:sz w:val="20"/>
                <w:szCs w:val="20"/>
                <w:lang w:val="en-US"/>
              </w:rPr>
            </w:pPr>
            <w:r w:rsidRPr="004B064D">
              <w:rPr>
                <w:rFonts w:asciiTheme="majorHAnsi" w:hAnsiTheme="majorHAnsi" w:cstheme="majorHAnsi"/>
                <w:b/>
                <w:bCs/>
                <w:color w:val="C00000"/>
                <w:sz w:val="20"/>
                <w:szCs w:val="20"/>
                <w:lang w:val="en-US"/>
              </w:rPr>
              <w:t>Unsatisfactory</w:t>
            </w:r>
          </w:p>
          <w:p w14:paraId="6707442A"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C00000"/>
                <w:sz w:val="20"/>
                <w:szCs w:val="20"/>
                <w:lang w:val="en-US"/>
              </w:rPr>
            </w:pPr>
            <w:r w:rsidRPr="004B064D">
              <w:rPr>
                <w:rFonts w:asciiTheme="majorHAnsi" w:hAnsiTheme="majorHAnsi" w:cstheme="majorHAnsi"/>
                <w:b/>
                <w:bCs/>
                <w:color w:val="000000"/>
                <w:sz w:val="20"/>
                <w:szCs w:val="20"/>
                <w:lang w:val="en-US"/>
              </w:rPr>
              <w:t>%</w:t>
            </w:r>
          </w:p>
        </w:tc>
        <w:tc>
          <w:tcPr>
            <w:tcW w:w="594" w:type="pct"/>
            <w:hideMark/>
          </w:tcPr>
          <w:p w14:paraId="1CCEF6EC"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C00000"/>
                <w:sz w:val="20"/>
                <w:szCs w:val="20"/>
                <w:lang w:val="en-US"/>
              </w:rPr>
            </w:pPr>
            <w:r w:rsidRPr="004B064D">
              <w:rPr>
                <w:rFonts w:asciiTheme="majorHAnsi" w:hAnsiTheme="majorHAnsi" w:cstheme="majorHAnsi"/>
                <w:b/>
                <w:bCs/>
                <w:color w:val="C00000"/>
                <w:sz w:val="20"/>
                <w:szCs w:val="20"/>
                <w:lang w:val="en-US"/>
              </w:rPr>
              <w:t>Poor</w:t>
            </w:r>
          </w:p>
          <w:p w14:paraId="4AE37248"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C00000"/>
                <w:sz w:val="20"/>
                <w:szCs w:val="20"/>
                <w:lang w:val="en-US"/>
              </w:rPr>
            </w:pPr>
            <w:r w:rsidRPr="004B064D">
              <w:rPr>
                <w:rFonts w:asciiTheme="majorHAnsi" w:hAnsiTheme="majorHAnsi" w:cstheme="majorHAnsi"/>
                <w:b/>
                <w:bCs/>
                <w:color w:val="000000"/>
                <w:sz w:val="20"/>
                <w:szCs w:val="20"/>
                <w:lang w:val="en-US"/>
              </w:rPr>
              <w:t>%</w:t>
            </w:r>
          </w:p>
        </w:tc>
        <w:tc>
          <w:tcPr>
            <w:tcW w:w="633" w:type="pct"/>
            <w:hideMark/>
          </w:tcPr>
          <w:p w14:paraId="12A416FD"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C00000"/>
                <w:sz w:val="20"/>
                <w:szCs w:val="20"/>
                <w:lang w:val="en-US"/>
              </w:rPr>
            </w:pPr>
            <w:r w:rsidRPr="004B064D">
              <w:rPr>
                <w:rFonts w:asciiTheme="majorHAnsi" w:hAnsiTheme="majorHAnsi" w:cstheme="majorHAnsi"/>
                <w:b/>
                <w:bCs/>
                <w:color w:val="C00000"/>
                <w:sz w:val="20"/>
                <w:szCs w:val="20"/>
                <w:lang w:val="en-US"/>
              </w:rPr>
              <w:t>No Answer</w:t>
            </w:r>
          </w:p>
          <w:p w14:paraId="3C12B1CA"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C00000"/>
                <w:sz w:val="20"/>
                <w:szCs w:val="20"/>
                <w:lang w:val="en-US"/>
              </w:rPr>
            </w:pPr>
            <w:r w:rsidRPr="004B064D">
              <w:rPr>
                <w:rFonts w:asciiTheme="majorHAnsi" w:hAnsiTheme="majorHAnsi" w:cstheme="majorHAnsi"/>
                <w:b/>
                <w:bCs/>
                <w:color w:val="000000"/>
                <w:sz w:val="20"/>
                <w:szCs w:val="20"/>
                <w:lang w:val="en-US"/>
              </w:rPr>
              <w:t>%</w:t>
            </w:r>
          </w:p>
        </w:tc>
      </w:tr>
      <w:tr w:rsidR="008D0CAD" w:rsidRPr="00E00C4B" w14:paraId="33AFCE2A" w14:textId="77777777" w:rsidTr="0048024E">
        <w:trPr>
          <w:trHeight w:val="197"/>
        </w:trPr>
        <w:tc>
          <w:tcPr>
            <w:tcW w:w="469" w:type="pct"/>
            <w:hideMark/>
          </w:tcPr>
          <w:p w14:paraId="674351E9"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KRA 1</w:t>
            </w:r>
          </w:p>
        </w:tc>
        <w:tc>
          <w:tcPr>
            <w:tcW w:w="786" w:type="pct"/>
            <w:noWrap/>
            <w:hideMark/>
          </w:tcPr>
          <w:p w14:paraId="1CAA492A"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36%</w:t>
            </w:r>
          </w:p>
        </w:tc>
        <w:tc>
          <w:tcPr>
            <w:tcW w:w="787" w:type="pct"/>
            <w:noWrap/>
            <w:hideMark/>
          </w:tcPr>
          <w:p w14:paraId="4BC58ADA"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36%</w:t>
            </w:r>
          </w:p>
        </w:tc>
        <w:tc>
          <w:tcPr>
            <w:tcW w:w="786" w:type="pct"/>
            <w:noWrap/>
            <w:hideMark/>
          </w:tcPr>
          <w:p w14:paraId="746CA8AE"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21%</w:t>
            </w:r>
          </w:p>
        </w:tc>
        <w:tc>
          <w:tcPr>
            <w:tcW w:w="944" w:type="pct"/>
            <w:noWrap/>
            <w:hideMark/>
          </w:tcPr>
          <w:p w14:paraId="0790131A"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5%</w:t>
            </w:r>
          </w:p>
        </w:tc>
        <w:tc>
          <w:tcPr>
            <w:tcW w:w="594" w:type="pct"/>
            <w:noWrap/>
            <w:hideMark/>
          </w:tcPr>
          <w:p w14:paraId="3D397189"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w:t>
            </w:r>
          </w:p>
        </w:tc>
        <w:tc>
          <w:tcPr>
            <w:tcW w:w="633" w:type="pct"/>
            <w:noWrap/>
            <w:hideMark/>
          </w:tcPr>
          <w:p w14:paraId="5FC56B3C"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p>
        </w:tc>
      </w:tr>
      <w:tr w:rsidR="008D0CAD" w:rsidRPr="00E00C4B" w14:paraId="17A95F5E" w14:textId="77777777" w:rsidTr="0048024E">
        <w:trPr>
          <w:trHeight w:val="60"/>
        </w:trPr>
        <w:tc>
          <w:tcPr>
            <w:tcW w:w="469" w:type="pct"/>
            <w:noWrap/>
            <w:hideMark/>
          </w:tcPr>
          <w:p w14:paraId="7A84F446"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KRA 2</w:t>
            </w:r>
          </w:p>
        </w:tc>
        <w:tc>
          <w:tcPr>
            <w:tcW w:w="786" w:type="pct"/>
            <w:noWrap/>
            <w:hideMark/>
          </w:tcPr>
          <w:p w14:paraId="599C2B85"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32%</w:t>
            </w:r>
          </w:p>
        </w:tc>
        <w:tc>
          <w:tcPr>
            <w:tcW w:w="787" w:type="pct"/>
            <w:noWrap/>
            <w:hideMark/>
          </w:tcPr>
          <w:p w14:paraId="573E8487"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27%</w:t>
            </w:r>
          </w:p>
        </w:tc>
        <w:tc>
          <w:tcPr>
            <w:tcW w:w="786" w:type="pct"/>
            <w:noWrap/>
            <w:hideMark/>
          </w:tcPr>
          <w:p w14:paraId="146F0883"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32%</w:t>
            </w:r>
          </w:p>
        </w:tc>
        <w:tc>
          <w:tcPr>
            <w:tcW w:w="944" w:type="pct"/>
            <w:noWrap/>
            <w:hideMark/>
          </w:tcPr>
          <w:p w14:paraId="02A6386D"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5%</w:t>
            </w:r>
          </w:p>
        </w:tc>
        <w:tc>
          <w:tcPr>
            <w:tcW w:w="594" w:type="pct"/>
            <w:noWrap/>
            <w:hideMark/>
          </w:tcPr>
          <w:p w14:paraId="3DCF4EDE"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w:t>
            </w:r>
          </w:p>
        </w:tc>
        <w:tc>
          <w:tcPr>
            <w:tcW w:w="633" w:type="pct"/>
            <w:noWrap/>
            <w:hideMark/>
          </w:tcPr>
          <w:p w14:paraId="55116700"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5%</w:t>
            </w:r>
          </w:p>
        </w:tc>
      </w:tr>
      <w:tr w:rsidR="008D0CAD" w:rsidRPr="00E00C4B" w14:paraId="5A573B03" w14:textId="77777777" w:rsidTr="0048024E">
        <w:trPr>
          <w:trHeight w:val="60"/>
        </w:trPr>
        <w:tc>
          <w:tcPr>
            <w:tcW w:w="469" w:type="pct"/>
            <w:noWrap/>
            <w:hideMark/>
          </w:tcPr>
          <w:p w14:paraId="57BC4FFF"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KRA 3</w:t>
            </w:r>
          </w:p>
        </w:tc>
        <w:tc>
          <w:tcPr>
            <w:tcW w:w="786" w:type="pct"/>
            <w:noWrap/>
            <w:hideMark/>
          </w:tcPr>
          <w:p w14:paraId="6E55C1FA"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14%</w:t>
            </w:r>
          </w:p>
        </w:tc>
        <w:tc>
          <w:tcPr>
            <w:tcW w:w="787" w:type="pct"/>
            <w:noWrap/>
            <w:hideMark/>
          </w:tcPr>
          <w:p w14:paraId="6AFF7394"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55%</w:t>
            </w:r>
          </w:p>
        </w:tc>
        <w:tc>
          <w:tcPr>
            <w:tcW w:w="786" w:type="pct"/>
            <w:noWrap/>
            <w:hideMark/>
          </w:tcPr>
          <w:p w14:paraId="6501D3FF"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14%</w:t>
            </w:r>
          </w:p>
        </w:tc>
        <w:tc>
          <w:tcPr>
            <w:tcW w:w="944" w:type="pct"/>
            <w:noWrap/>
            <w:hideMark/>
          </w:tcPr>
          <w:p w14:paraId="122ED8BF"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9%</w:t>
            </w:r>
          </w:p>
        </w:tc>
        <w:tc>
          <w:tcPr>
            <w:tcW w:w="594" w:type="pct"/>
            <w:noWrap/>
            <w:hideMark/>
          </w:tcPr>
          <w:p w14:paraId="2A3DDB93"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w:t>
            </w:r>
          </w:p>
        </w:tc>
        <w:tc>
          <w:tcPr>
            <w:tcW w:w="633" w:type="pct"/>
            <w:noWrap/>
            <w:hideMark/>
          </w:tcPr>
          <w:p w14:paraId="221D551F"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5%</w:t>
            </w:r>
          </w:p>
        </w:tc>
      </w:tr>
      <w:tr w:rsidR="008D0CAD" w:rsidRPr="00E00C4B" w14:paraId="6B7DCED9" w14:textId="77777777" w:rsidTr="0048024E">
        <w:trPr>
          <w:trHeight w:val="380"/>
        </w:trPr>
        <w:tc>
          <w:tcPr>
            <w:tcW w:w="469" w:type="pct"/>
            <w:noWrap/>
            <w:hideMark/>
          </w:tcPr>
          <w:p w14:paraId="5F7FB722"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KRA 4</w:t>
            </w:r>
          </w:p>
        </w:tc>
        <w:tc>
          <w:tcPr>
            <w:tcW w:w="786" w:type="pct"/>
            <w:noWrap/>
            <w:hideMark/>
          </w:tcPr>
          <w:p w14:paraId="41A17369"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36%</w:t>
            </w:r>
          </w:p>
        </w:tc>
        <w:tc>
          <w:tcPr>
            <w:tcW w:w="787" w:type="pct"/>
            <w:noWrap/>
            <w:hideMark/>
          </w:tcPr>
          <w:p w14:paraId="69D557BD"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36%</w:t>
            </w:r>
          </w:p>
        </w:tc>
        <w:tc>
          <w:tcPr>
            <w:tcW w:w="786" w:type="pct"/>
            <w:noWrap/>
            <w:hideMark/>
          </w:tcPr>
          <w:p w14:paraId="3893CA46"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14%</w:t>
            </w:r>
          </w:p>
        </w:tc>
        <w:tc>
          <w:tcPr>
            <w:tcW w:w="944" w:type="pct"/>
            <w:noWrap/>
            <w:hideMark/>
          </w:tcPr>
          <w:p w14:paraId="18C3A664"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5%</w:t>
            </w:r>
          </w:p>
        </w:tc>
        <w:tc>
          <w:tcPr>
            <w:tcW w:w="594" w:type="pct"/>
            <w:noWrap/>
            <w:hideMark/>
          </w:tcPr>
          <w:p w14:paraId="24D2FE55"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w:t>
            </w:r>
          </w:p>
        </w:tc>
        <w:tc>
          <w:tcPr>
            <w:tcW w:w="633" w:type="pct"/>
            <w:noWrap/>
            <w:hideMark/>
          </w:tcPr>
          <w:p w14:paraId="4D73B89A"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9%</w:t>
            </w:r>
          </w:p>
        </w:tc>
      </w:tr>
      <w:tr w:rsidR="008D0CAD" w:rsidRPr="00E00C4B" w14:paraId="435695E6" w14:textId="77777777" w:rsidTr="0048024E">
        <w:trPr>
          <w:trHeight w:val="460"/>
        </w:trPr>
        <w:tc>
          <w:tcPr>
            <w:tcW w:w="469" w:type="pct"/>
            <w:noWrap/>
            <w:hideMark/>
          </w:tcPr>
          <w:p w14:paraId="5475520B"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KRA 5</w:t>
            </w:r>
          </w:p>
        </w:tc>
        <w:tc>
          <w:tcPr>
            <w:tcW w:w="786" w:type="pct"/>
            <w:noWrap/>
            <w:hideMark/>
          </w:tcPr>
          <w:p w14:paraId="33D94989"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59%</w:t>
            </w:r>
          </w:p>
        </w:tc>
        <w:tc>
          <w:tcPr>
            <w:tcW w:w="787" w:type="pct"/>
            <w:noWrap/>
            <w:hideMark/>
          </w:tcPr>
          <w:p w14:paraId="31E6E8EF"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32%</w:t>
            </w:r>
          </w:p>
        </w:tc>
        <w:tc>
          <w:tcPr>
            <w:tcW w:w="786" w:type="pct"/>
            <w:noWrap/>
            <w:hideMark/>
          </w:tcPr>
          <w:p w14:paraId="0282DC57"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9%</w:t>
            </w:r>
          </w:p>
        </w:tc>
        <w:tc>
          <w:tcPr>
            <w:tcW w:w="944" w:type="pct"/>
            <w:noWrap/>
            <w:hideMark/>
          </w:tcPr>
          <w:p w14:paraId="714B9BF7"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w:t>
            </w:r>
          </w:p>
        </w:tc>
        <w:tc>
          <w:tcPr>
            <w:tcW w:w="594" w:type="pct"/>
            <w:noWrap/>
            <w:hideMark/>
          </w:tcPr>
          <w:p w14:paraId="7CAB52EF"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w:t>
            </w:r>
          </w:p>
        </w:tc>
        <w:tc>
          <w:tcPr>
            <w:tcW w:w="633" w:type="pct"/>
            <w:noWrap/>
            <w:hideMark/>
          </w:tcPr>
          <w:p w14:paraId="53998380"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p>
        </w:tc>
      </w:tr>
      <w:tr w:rsidR="008D0CAD" w:rsidRPr="00E00C4B" w14:paraId="7A10412B" w14:textId="77777777" w:rsidTr="0048024E">
        <w:trPr>
          <w:trHeight w:val="380"/>
        </w:trPr>
        <w:tc>
          <w:tcPr>
            <w:tcW w:w="469" w:type="pct"/>
            <w:noWrap/>
            <w:hideMark/>
          </w:tcPr>
          <w:p w14:paraId="6BC16E92"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KRA 6</w:t>
            </w:r>
          </w:p>
        </w:tc>
        <w:tc>
          <w:tcPr>
            <w:tcW w:w="786" w:type="pct"/>
            <w:noWrap/>
            <w:hideMark/>
          </w:tcPr>
          <w:p w14:paraId="76BBC4F5"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18%</w:t>
            </w:r>
          </w:p>
        </w:tc>
        <w:tc>
          <w:tcPr>
            <w:tcW w:w="787" w:type="pct"/>
            <w:noWrap/>
            <w:hideMark/>
          </w:tcPr>
          <w:p w14:paraId="1C7FD6D4"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36%</w:t>
            </w:r>
          </w:p>
        </w:tc>
        <w:tc>
          <w:tcPr>
            <w:tcW w:w="786" w:type="pct"/>
            <w:noWrap/>
            <w:hideMark/>
          </w:tcPr>
          <w:p w14:paraId="6F61452D"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14%</w:t>
            </w:r>
          </w:p>
        </w:tc>
        <w:tc>
          <w:tcPr>
            <w:tcW w:w="944" w:type="pct"/>
            <w:noWrap/>
            <w:hideMark/>
          </w:tcPr>
          <w:p w14:paraId="01A7B81A"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9%</w:t>
            </w:r>
          </w:p>
        </w:tc>
        <w:tc>
          <w:tcPr>
            <w:tcW w:w="594" w:type="pct"/>
            <w:noWrap/>
            <w:hideMark/>
          </w:tcPr>
          <w:p w14:paraId="1A4E6E87"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w:t>
            </w:r>
          </w:p>
        </w:tc>
        <w:tc>
          <w:tcPr>
            <w:tcW w:w="633" w:type="pct"/>
            <w:noWrap/>
            <w:hideMark/>
          </w:tcPr>
          <w:p w14:paraId="4DF2E38C"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23%</w:t>
            </w:r>
          </w:p>
        </w:tc>
      </w:tr>
      <w:tr w:rsidR="008D0CAD" w:rsidRPr="00E00C4B" w14:paraId="76F01FDD" w14:textId="77777777" w:rsidTr="0048024E">
        <w:trPr>
          <w:trHeight w:val="460"/>
        </w:trPr>
        <w:tc>
          <w:tcPr>
            <w:tcW w:w="469" w:type="pct"/>
            <w:noWrap/>
            <w:hideMark/>
          </w:tcPr>
          <w:p w14:paraId="5CA105E8"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KRA 7</w:t>
            </w:r>
          </w:p>
        </w:tc>
        <w:tc>
          <w:tcPr>
            <w:tcW w:w="786" w:type="pct"/>
            <w:noWrap/>
            <w:hideMark/>
          </w:tcPr>
          <w:p w14:paraId="286C75B7"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23%</w:t>
            </w:r>
          </w:p>
        </w:tc>
        <w:tc>
          <w:tcPr>
            <w:tcW w:w="787" w:type="pct"/>
            <w:noWrap/>
            <w:hideMark/>
          </w:tcPr>
          <w:p w14:paraId="63ECBE8D"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45%</w:t>
            </w:r>
          </w:p>
        </w:tc>
        <w:tc>
          <w:tcPr>
            <w:tcW w:w="786" w:type="pct"/>
            <w:noWrap/>
            <w:hideMark/>
          </w:tcPr>
          <w:p w14:paraId="0C571598"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23%</w:t>
            </w:r>
          </w:p>
        </w:tc>
        <w:tc>
          <w:tcPr>
            <w:tcW w:w="944" w:type="pct"/>
            <w:noWrap/>
            <w:hideMark/>
          </w:tcPr>
          <w:p w14:paraId="03E4310E"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5%</w:t>
            </w:r>
          </w:p>
        </w:tc>
        <w:tc>
          <w:tcPr>
            <w:tcW w:w="594" w:type="pct"/>
            <w:noWrap/>
            <w:hideMark/>
          </w:tcPr>
          <w:p w14:paraId="643A887A"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w:t>
            </w:r>
          </w:p>
        </w:tc>
        <w:tc>
          <w:tcPr>
            <w:tcW w:w="633" w:type="pct"/>
            <w:noWrap/>
            <w:hideMark/>
          </w:tcPr>
          <w:p w14:paraId="34929879"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5%</w:t>
            </w:r>
          </w:p>
        </w:tc>
      </w:tr>
      <w:tr w:rsidR="008D0CAD" w:rsidRPr="00E00C4B" w14:paraId="02E15E4D" w14:textId="77777777" w:rsidTr="0048024E">
        <w:trPr>
          <w:trHeight w:val="60"/>
        </w:trPr>
        <w:tc>
          <w:tcPr>
            <w:tcW w:w="469" w:type="pct"/>
            <w:noWrap/>
            <w:hideMark/>
          </w:tcPr>
          <w:p w14:paraId="75034D2E"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KRA 8</w:t>
            </w:r>
          </w:p>
        </w:tc>
        <w:tc>
          <w:tcPr>
            <w:tcW w:w="786" w:type="pct"/>
            <w:noWrap/>
            <w:hideMark/>
          </w:tcPr>
          <w:p w14:paraId="1AB4CD22"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27%</w:t>
            </w:r>
          </w:p>
        </w:tc>
        <w:tc>
          <w:tcPr>
            <w:tcW w:w="787" w:type="pct"/>
            <w:noWrap/>
            <w:hideMark/>
          </w:tcPr>
          <w:p w14:paraId="252E48BA"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27%</w:t>
            </w:r>
          </w:p>
        </w:tc>
        <w:tc>
          <w:tcPr>
            <w:tcW w:w="786" w:type="pct"/>
            <w:noWrap/>
            <w:hideMark/>
          </w:tcPr>
          <w:p w14:paraId="7BA8C3F6"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23%</w:t>
            </w:r>
          </w:p>
        </w:tc>
        <w:tc>
          <w:tcPr>
            <w:tcW w:w="944" w:type="pct"/>
            <w:noWrap/>
            <w:hideMark/>
          </w:tcPr>
          <w:p w14:paraId="14729DA5"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w:t>
            </w:r>
          </w:p>
        </w:tc>
        <w:tc>
          <w:tcPr>
            <w:tcW w:w="594" w:type="pct"/>
            <w:noWrap/>
            <w:hideMark/>
          </w:tcPr>
          <w:p w14:paraId="0C167E5D"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w:t>
            </w:r>
          </w:p>
        </w:tc>
        <w:tc>
          <w:tcPr>
            <w:tcW w:w="633" w:type="pct"/>
            <w:noWrap/>
            <w:hideMark/>
          </w:tcPr>
          <w:p w14:paraId="55FA6AD5"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23%</w:t>
            </w:r>
          </w:p>
        </w:tc>
      </w:tr>
      <w:tr w:rsidR="008D0CAD" w:rsidRPr="00E00C4B" w14:paraId="7EAE84A6" w14:textId="77777777" w:rsidTr="0048024E">
        <w:trPr>
          <w:trHeight w:val="60"/>
        </w:trPr>
        <w:tc>
          <w:tcPr>
            <w:tcW w:w="469" w:type="pct"/>
            <w:noWrap/>
            <w:hideMark/>
          </w:tcPr>
          <w:p w14:paraId="1AEB5930"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KRA 9</w:t>
            </w:r>
          </w:p>
        </w:tc>
        <w:tc>
          <w:tcPr>
            <w:tcW w:w="786" w:type="pct"/>
            <w:noWrap/>
            <w:hideMark/>
          </w:tcPr>
          <w:p w14:paraId="51C9362B"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27%</w:t>
            </w:r>
          </w:p>
        </w:tc>
        <w:tc>
          <w:tcPr>
            <w:tcW w:w="787" w:type="pct"/>
            <w:noWrap/>
            <w:hideMark/>
          </w:tcPr>
          <w:p w14:paraId="2F2FF526"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32%</w:t>
            </w:r>
          </w:p>
        </w:tc>
        <w:tc>
          <w:tcPr>
            <w:tcW w:w="786" w:type="pct"/>
            <w:noWrap/>
            <w:hideMark/>
          </w:tcPr>
          <w:p w14:paraId="5DDC915D"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23%</w:t>
            </w:r>
          </w:p>
        </w:tc>
        <w:tc>
          <w:tcPr>
            <w:tcW w:w="944" w:type="pct"/>
            <w:noWrap/>
            <w:hideMark/>
          </w:tcPr>
          <w:p w14:paraId="71C17F77"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w:t>
            </w:r>
          </w:p>
        </w:tc>
        <w:tc>
          <w:tcPr>
            <w:tcW w:w="594" w:type="pct"/>
            <w:noWrap/>
            <w:hideMark/>
          </w:tcPr>
          <w:p w14:paraId="2743DA8A"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w:t>
            </w:r>
          </w:p>
        </w:tc>
        <w:tc>
          <w:tcPr>
            <w:tcW w:w="633" w:type="pct"/>
            <w:noWrap/>
            <w:hideMark/>
          </w:tcPr>
          <w:p w14:paraId="71239F98"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18%</w:t>
            </w:r>
          </w:p>
        </w:tc>
      </w:tr>
    </w:tbl>
    <w:p w14:paraId="607CDDE7" w14:textId="77777777" w:rsidR="008D0CAD" w:rsidRPr="00E00C4B" w:rsidRDefault="008D0CAD" w:rsidP="00796BFA">
      <w:pPr>
        <w:pStyle w:val="Heading3"/>
        <w:spacing w:before="100" w:beforeAutospacing="1" w:after="100" w:afterAutospacing="1" w:line="360" w:lineRule="auto"/>
        <w:rPr>
          <w:lang w:val="en-US"/>
        </w:rPr>
      </w:pPr>
      <w:bookmarkStart w:id="461" w:name="_Toc10533492"/>
      <w:bookmarkStart w:id="462" w:name="_Toc10534146"/>
      <w:bookmarkStart w:id="463" w:name="_Toc10542184"/>
      <w:bookmarkStart w:id="464" w:name="_Toc14083005"/>
      <w:bookmarkStart w:id="465" w:name="_Toc39938415"/>
      <w:bookmarkStart w:id="466" w:name="_Toc69820519"/>
      <w:r w:rsidRPr="00E00C4B">
        <w:rPr>
          <w:lang w:val="en-US"/>
        </w:rPr>
        <w:t>English</w:t>
      </w:r>
      <w:bookmarkEnd w:id="461"/>
      <w:bookmarkEnd w:id="462"/>
      <w:bookmarkEnd w:id="463"/>
      <w:bookmarkEnd w:id="464"/>
      <w:bookmarkEnd w:id="465"/>
      <w:bookmarkEnd w:id="466"/>
    </w:p>
    <w:p w14:paraId="608307C0" w14:textId="73831271" w:rsidR="008D0CAD" w:rsidRPr="00E00C4B" w:rsidRDefault="008D0CAD" w:rsidP="00796BFA">
      <w:pPr>
        <w:spacing w:before="100" w:beforeAutospacing="1" w:after="100" w:afterAutospacing="1" w:line="360" w:lineRule="auto"/>
        <w:rPr>
          <w:rFonts w:asciiTheme="majorHAnsi" w:hAnsiTheme="majorHAnsi" w:cstheme="majorHAnsi"/>
          <w:lang w:val="en-US"/>
        </w:rPr>
      </w:pPr>
      <w:r w:rsidRPr="00E00C4B">
        <w:rPr>
          <w:rFonts w:asciiTheme="majorHAnsi" w:hAnsiTheme="majorHAnsi" w:cstheme="majorHAnsi"/>
          <w:lang w:val="en-US"/>
        </w:rPr>
        <w:t>There are 20 observations covering English. The best performance is in KRA 7 where 60% of the ratings given is Outstanding, 30% are Very Satisfactory, and no failing rate. Unsatisfactory and Poor rating was observed in KRAs 1,2, and 6. In most KRAs, the higher percentage of the rates fall under Very Satisfactory.</w:t>
      </w:r>
    </w:p>
    <w:p w14:paraId="704C9E04" w14:textId="77777777" w:rsidR="008D0CAD" w:rsidRPr="00E00C4B" w:rsidRDefault="008D0CAD" w:rsidP="00796BFA">
      <w:pPr>
        <w:pageBreakBefore/>
        <w:spacing w:before="100" w:beforeAutospacing="1" w:after="100" w:afterAutospacing="1" w:line="360" w:lineRule="auto"/>
        <w:rPr>
          <w:rFonts w:asciiTheme="majorHAnsi" w:hAnsiTheme="majorHAnsi" w:cstheme="majorHAnsi"/>
          <w:sz w:val="20"/>
          <w:szCs w:val="20"/>
          <w:lang w:val="en-US"/>
        </w:rPr>
      </w:pPr>
      <w:r w:rsidRPr="00E00C4B">
        <w:rPr>
          <w:rFonts w:asciiTheme="majorHAnsi" w:hAnsiTheme="majorHAnsi" w:cstheme="majorHAnsi"/>
          <w:sz w:val="20"/>
          <w:szCs w:val="20"/>
          <w:lang w:val="en-US"/>
        </w:rPr>
        <w:t xml:space="preserve">Summary of COT Rating of Teachers observed in English Class </w:t>
      </w:r>
    </w:p>
    <w:tbl>
      <w:tblPr>
        <w:tblStyle w:val="TableGrid18"/>
        <w:tblpPr w:leftFromText="180" w:rightFromText="180" w:vertAnchor="text" w:horzAnchor="page" w:tblpX="1370" w:tblpY="-2"/>
        <w:tblW w:w="5110" w:type="pct"/>
        <w:tblLayout w:type="fixed"/>
        <w:tblLook w:val="04A0" w:firstRow="1" w:lastRow="0" w:firstColumn="1" w:lastColumn="0" w:noHBand="0" w:noVBand="1"/>
      </w:tblPr>
      <w:tblGrid>
        <w:gridCol w:w="1325"/>
        <w:gridCol w:w="1781"/>
        <w:gridCol w:w="1553"/>
        <w:gridCol w:w="1555"/>
        <w:gridCol w:w="1862"/>
        <w:gridCol w:w="933"/>
        <w:gridCol w:w="1088"/>
      </w:tblGrid>
      <w:tr w:rsidR="008D0CAD" w:rsidRPr="004B064D" w14:paraId="73ECBFB7" w14:textId="77777777" w:rsidTr="00F4751F">
        <w:trPr>
          <w:trHeight w:val="1348"/>
          <w:tblHeader/>
        </w:trPr>
        <w:tc>
          <w:tcPr>
            <w:tcW w:w="656" w:type="pct"/>
            <w:noWrap/>
            <w:hideMark/>
          </w:tcPr>
          <w:p w14:paraId="4656E056"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000000"/>
                <w:sz w:val="20"/>
                <w:szCs w:val="20"/>
                <w:lang w:val="en-US"/>
              </w:rPr>
            </w:pPr>
            <w:r w:rsidRPr="004B064D">
              <w:rPr>
                <w:rFonts w:asciiTheme="majorHAnsi" w:hAnsiTheme="majorHAnsi" w:cstheme="majorHAnsi"/>
                <w:b/>
                <w:bCs/>
                <w:color w:val="000000"/>
                <w:sz w:val="20"/>
                <w:szCs w:val="20"/>
                <w:lang w:val="en-US"/>
              </w:rPr>
              <w:t>n=20</w:t>
            </w:r>
          </w:p>
        </w:tc>
        <w:tc>
          <w:tcPr>
            <w:tcW w:w="882" w:type="pct"/>
            <w:hideMark/>
          </w:tcPr>
          <w:p w14:paraId="0DE917D7"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C00000"/>
                <w:sz w:val="20"/>
                <w:szCs w:val="20"/>
                <w:lang w:val="en-US"/>
              </w:rPr>
            </w:pPr>
            <w:r w:rsidRPr="004B064D">
              <w:rPr>
                <w:rFonts w:asciiTheme="majorHAnsi" w:hAnsiTheme="majorHAnsi" w:cstheme="majorHAnsi"/>
                <w:b/>
                <w:bCs/>
                <w:color w:val="C00000"/>
                <w:sz w:val="20"/>
                <w:szCs w:val="20"/>
                <w:lang w:val="en-US"/>
              </w:rPr>
              <w:t>Outstanding</w:t>
            </w:r>
          </w:p>
          <w:p w14:paraId="4244495B"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C00000"/>
                <w:sz w:val="20"/>
                <w:szCs w:val="20"/>
                <w:lang w:val="en-US"/>
              </w:rPr>
            </w:pPr>
            <w:r w:rsidRPr="004B064D">
              <w:rPr>
                <w:rFonts w:asciiTheme="majorHAnsi" w:hAnsiTheme="majorHAnsi" w:cstheme="majorHAnsi"/>
                <w:b/>
                <w:bCs/>
                <w:color w:val="000000"/>
                <w:sz w:val="20"/>
                <w:szCs w:val="20"/>
                <w:lang w:val="en-US"/>
              </w:rPr>
              <w:t>%</w:t>
            </w:r>
          </w:p>
        </w:tc>
        <w:tc>
          <w:tcPr>
            <w:tcW w:w="769" w:type="pct"/>
          </w:tcPr>
          <w:p w14:paraId="47E446D1"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C00000"/>
                <w:sz w:val="20"/>
                <w:szCs w:val="20"/>
                <w:lang w:val="en-US"/>
              </w:rPr>
            </w:pPr>
            <w:r w:rsidRPr="004B064D">
              <w:rPr>
                <w:rFonts w:asciiTheme="majorHAnsi" w:hAnsiTheme="majorHAnsi" w:cstheme="majorHAnsi"/>
                <w:b/>
                <w:bCs/>
                <w:color w:val="C00000"/>
                <w:sz w:val="20"/>
                <w:szCs w:val="20"/>
                <w:lang w:val="en-US"/>
              </w:rPr>
              <w:t>Very Satisfactory</w:t>
            </w:r>
          </w:p>
          <w:p w14:paraId="1B7D9C04"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C00000"/>
                <w:sz w:val="20"/>
                <w:szCs w:val="20"/>
                <w:lang w:val="en-US"/>
              </w:rPr>
            </w:pPr>
            <w:r w:rsidRPr="004B064D">
              <w:rPr>
                <w:rFonts w:asciiTheme="majorHAnsi" w:hAnsiTheme="majorHAnsi" w:cstheme="majorHAnsi"/>
                <w:b/>
                <w:bCs/>
                <w:color w:val="000000"/>
                <w:sz w:val="20"/>
                <w:szCs w:val="20"/>
                <w:lang w:val="en-US"/>
              </w:rPr>
              <w:t>%</w:t>
            </w:r>
          </w:p>
        </w:tc>
        <w:tc>
          <w:tcPr>
            <w:tcW w:w="770" w:type="pct"/>
            <w:hideMark/>
          </w:tcPr>
          <w:p w14:paraId="3CD701FF"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C00000"/>
                <w:sz w:val="20"/>
                <w:szCs w:val="20"/>
                <w:lang w:val="en-US"/>
              </w:rPr>
            </w:pPr>
            <w:r w:rsidRPr="004B064D">
              <w:rPr>
                <w:rFonts w:asciiTheme="majorHAnsi" w:hAnsiTheme="majorHAnsi" w:cstheme="majorHAnsi"/>
                <w:b/>
                <w:bCs/>
                <w:color w:val="C00000"/>
                <w:sz w:val="20"/>
                <w:szCs w:val="20"/>
                <w:lang w:val="en-US"/>
              </w:rPr>
              <w:t>Satisfactory</w:t>
            </w:r>
          </w:p>
          <w:p w14:paraId="1F74647D"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C00000"/>
                <w:sz w:val="20"/>
                <w:szCs w:val="20"/>
                <w:lang w:val="en-US"/>
              </w:rPr>
            </w:pPr>
            <w:r w:rsidRPr="004B064D">
              <w:rPr>
                <w:rFonts w:asciiTheme="majorHAnsi" w:hAnsiTheme="majorHAnsi" w:cstheme="majorHAnsi"/>
                <w:b/>
                <w:bCs/>
                <w:color w:val="000000"/>
                <w:sz w:val="20"/>
                <w:szCs w:val="20"/>
                <w:lang w:val="en-US"/>
              </w:rPr>
              <w:t>%</w:t>
            </w:r>
          </w:p>
        </w:tc>
        <w:tc>
          <w:tcPr>
            <w:tcW w:w="922" w:type="pct"/>
            <w:hideMark/>
          </w:tcPr>
          <w:p w14:paraId="4F3FC283"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C00000"/>
                <w:sz w:val="20"/>
                <w:szCs w:val="20"/>
                <w:lang w:val="en-US"/>
              </w:rPr>
            </w:pPr>
            <w:r w:rsidRPr="004B064D">
              <w:rPr>
                <w:rFonts w:asciiTheme="majorHAnsi" w:hAnsiTheme="majorHAnsi" w:cstheme="majorHAnsi"/>
                <w:b/>
                <w:bCs/>
                <w:color w:val="C00000"/>
                <w:sz w:val="20"/>
                <w:szCs w:val="20"/>
                <w:lang w:val="en-US"/>
              </w:rPr>
              <w:t>Unsatisfactory</w:t>
            </w:r>
          </w:p>
          <w:p w14:paraId="5C15F0C8"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C00000"/>
                <w:sz w:val="20"/>
                <w:szCs w:val="20"/>
                <w:lang w:val="en-US"/>
              </w:rPr>
            </w:pPr>
            <w:r w:rsidRPr="004B064D">
              <w:rPr>
                <w:rFonts w:asciiTheme="majorHAnsi" w:hAnsiTheme="majorHAnsi" w:cstheme="majorHAnsi"/>
                <w:b/>
                <w:bCs/>
                <w:color w:val="000000"/>
                <w:sz w:val="20"/>
                <w:szCs w:val="20"/>
                <w:lang w:val="en-US"/>
              </w:rPr>
              <w:t>%</w:t>
            </w:r>
          </w:p>
        </w:tc>
        <w:tc>
          <w:tcPr>
            <w:tcW w:w="462" w:type="pct"/>
            <w:hideMark/>
          </w:tcPr>
          <w:p w14:paraId="50C316A6"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C00000"/>
                <w:sz w:val="20"/>
                <w:szCs w:val="20"/>
                <w:lang w:val="en-US"/>
              </w:rPr>
            </w:pPr>
            <w:r w:rsidRPr="004B064D">
              <w:rPr>
                <w:rFonts w:asciiTheme="majorHAnsi" w:hAnsiTheme="majorHAnsi" w:cstheme="majorHAnsi"/>
                <w:b/>
                <w:bCs/>
                <w:color w:val="C00000"/>
                <w:sz w:val="20"/>
                <w:szCs w:val="20"/>
                <w:lang w:val="en-US"/>
              </w:rPr>
              <w:t>Poor</w:t>
            </w:r>
          </w:p>
          <w:p w14:paraId="6748D105"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C00000"/>
                <w:sz w:val="20"/>
                <w:szCs w:val="20"/>
                <w:lang w:val="en-US"/>
              </w:rPr>
            </w:pPr>
            <w:r w:rsidRPr="004B064D">
              <w:rPr>
                <w:rFonts w:asciiTheme="majorHAnsi" w:hAnsiTheme="majorHAnsi" w:cstheme="majorHAnsi"/>
                <w:b/>
                <w:bCs/>
                <w:color w:val="000000"/>
                <w:sz w:val="20"/>
                <w:szCs w:val="20"/>
                <w:lang w:val="en-US"/>
              </w:rPr>
              <w:t>%</w:t>
            </w:r>
          </w:p>
        </w:tc>
        <w:tc>
          <w:tcPr>
            <w:tcW w:w="539" w:type="pct"/>
            <w:hideMark/>
          </w:tcPr>
          <w:p w14:paraId="6F878A2D"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C00000"/>
                <w:sz w:val="20"/>
                <w:szCs w:val="20"/>
                <w:lang w:val="en-US"/>
              </w:rPr>
            </w:pPr>
            <w:r w:rsidRPr="004B064D">
              <w:rPr>
                <w:rFonts w:asciiTheme="majorHAnsi" w:hAnsiTheme="majorHAnsi" w:cstheme="majorHAnsi"/>
                <w:b/>
                <w:bCs/>
                <w:color w:val="C00000"/>
                <w:sz w:val="20"/>
                <w:szCs w:val="20"/>
                <w:lang w:val="en-US"/>
              </w:rPr>
              <w:t>No Answer</w:t>
            </w:r>
          </w:p>
          <w:p w14:paraId="3DCCC6A0"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C00000"/>
                <w:sz w:val="20"/>
                <w:szCs w:val="20"/>
                <w:lang w:val="en-US"/>
              </w:rPr>
            </w:pPr>
            <w:r w:rsidRPr="004B064D">
              <w:rPr>
                <w:rFonts w:asciiTheme="majorHAnsi" w:hAnsiTheme="majorHAnsi" w:cstheme="majorHAnsi"/>
                <w:b/>
                <w:bCs/>
                <w:color w:val="000000"/>
                <w:sz w:val="20"/>
                <w:szCs w:val="20"/>
                <w:lang w:val="en-US"/>
              </w:rPr>
              <w:t>%</w:t>
            </w:r>
          </w:p>
        </w:tc>
      </w:tr>
      <w:tr w:rsidR="008D0CAD" w:rsidRPr="00E00C4B" w14:paraId="16953AD5" w14:textId="77777777" w:rsidTr="0048024E">
        <w:trPr>
          <w:trHeight w:val="395"/>
        </w:trPr>
        <w:tc>
          <w:tcPr>
            <w:tcW w:w="656" w:type="pct"/>
            <w:hideMark/>
          </w:tcPr>
          <w:p w14:paraId="5C83B648"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KRA 1</w:t>
            </w:r>
          </w:p>
        </w:tc>
        <w:tc>
          <w:tcPr>
            <w:tcW w:w="882" w:type="pct"/>
            <w:noWrap/>
            <w:hideMark/>
          </w:tcPr>
          <w:p w14:paraId="43F4CA16"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35%</w:t>
            </w:r>
          </w:p>
        </w:tc>
        <w:tc>
          <w:tcPr>
            <w:tcW w:w="769" w:type="pct"/>
            <w:noWrap/>
            <w:hideMark/>
          </w:tcPr>
          <w:p w14:paraId="20F99758"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45%</w:t>
            </w:r>
          </w:p>
        </w:tc>
        <w:tc>
          <w:tcPr>
            <w:tcW w:w="770" w:type="pct"/>
          </w:tcPr>
          <w:p w14:paraId="222FCD48"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15%</w:t>
            </w:r>
          </w:p>
        </w:tc>
        <w:tc>
          <w:tcPr>
            <w:tcW w:w="922" w:type="pct"/>
            <w:noWrap/>
            <w:hideMark/>
          </w:tcPr>
          <w:p w14:paraId="1EE3137B"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p>
        </w:tc>
        <w:tc>
          <w:tcPr>
            <w:tcW w:w="462" w:type="pct"/>
            <w:noWrap/>
            <w:hideMark/>
          </w:tcPr>
          <w:p w14:paraId="086F24BD"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5%</w:t>
            </w:r>
          </w:p>
        </w:tc>
        <w:tc>
          <w:tcPr>
            <w:tcW w:w="539" w:type="pct"/>
            <w:noWrap/>
            <w:hideMark/>
          </w:tcPr>
          <w:p w14:paraId="2AE10BFA"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p>
        </w:tc>
      </w:tr>
      <w:tr w:rsidR="008D0CAD" w:rsidRPr="00E00C4B" w14:paraId="2006CD3A" w14:textId="77777777" w:rsidTr="0048024E">
        <w:trPr>
          <w:trHeight w:val="353"/>
        </w:trPr>
        <w:tc>
          <w:tcPr>
            <w:tcW w:w="656" w:type="pct"/>
            <w:noWrap/>
            <w:hideMark/>
          </w:tcPr>
          <w:p w14:paraId="75FEBC04"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KRA 2</w:t>
            </w:r>
          </w:p>
        </w:tc>
        <w:tc>
          <w:tcPr>
            <w:tcW w:w="882" w:type="pct"/>
            <w:noWrap/>
            <w:hideMark/>
          </w:tcPr>
          <w:p w14:paraId="487FDFF6"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35%</w:t>
            </w:r>
          </w:p>
        </w:tc>
        <w:tc>
          <w:tcPr>
            <w:tcW w:w="769" w:type="pct"/>
            <w:noWrap/>
            <w:hideMark/>
          </w:tcPr>
          <w:p w14:paraId="6CBFB99B"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45%</w:t>
            </w:r>
          </w:p>
        </w:tc>
        <w:tc>
          <w:tcPr>
            <w:tcW w:w="770" w:type="pct"/>
          </w:tcPr>
          <w:p w14:paraId="124055F7"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5%</w:t>
            </w:r>
          </w:p>
        </w:tc>
        <w:tc>
          <w:tcPr>
            <w:tcW w:w="922" w:type="pct"/>
            <w:noWrap/>
            <w:hideMark/>
          </w:tcPr>
          <w:p w14:paraId="492E9283"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5%</w:t>
            </w:r>
          </w:p>
        </w:tc>
        <w:tc>
          <w:tcPr>
            <w:tcW w:w="462" w:type="pct"/>
            <w:noWrap/>
            <w:hideMark/>
          </w:tcPr>
          <w:p w14:paraId="1AB784C2"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p>
        </w:tc>
        <w:tc>
          <w:tcPr>
            <w:tcW w:w="539" w:type="pct"/>
            <w:noWrap/>
            <w:hideMark/>
          </w:tcPr>
          <w:p w14:paraId="0D6CBFCD"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10%</w:t>
            </w:r>
          </w:p>
        </w:tc>
      </w:tr>
      <w:tr w:rsidR="008D0CAD" w:rsidRPr="00E00C4B" w14:paraId="00124DFA" w14:textId="77777777" w:rsidTr="0048024E">
        <w:trPr>
          <w:trHeight w:val="273"/>
        </w:trPr>
        <w:tc>
          <w:tcPr>
            <w:tcW w:w="656" w:type="pct"/>
            <w:noWrap/>
            <w:hideMark/>
          </w:tcPr>
          <w:p w14:paraId="3FFBF4ED"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KRA 3</w:t>
            </w:r>
          </w:p>
        </w:tc>
        <w:tc>
          <w:tcPr>
            <w:tcW w:w="882" w:type="pct"/>
            <w:noWrap/>
            <w:hideMark/>
          </w:tcPr>
          <w:p w14:paraId="3FEFED2F"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45%</w:t>
            </w:r>
          </w:p>
        </w:tc>
        <w:tc>
          <w:tcPr>
            <w:tcW w:w="769" w:type="pct"/>
            <w:noWrap/>
            <w:hideMark/>
          </w:tcPr>
          <w:p w14:paraId="726AE9AE"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30%</w:t>
            </w:r>
          </w:p>
        </w:tc>
        <w:tc>
          <w:tcPr>
            <w:tcW w:w="770" w:type="pct"/>
          </w:tcPr>
          <w:p w14:paraId="0A93AE9A"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25%</w:t>
            </w:r>
          </w:p>
        </w:tc>
        <w:tc>
          <w:tcPr>
            <w:tcW w:w="922" w:type="pct"/>
            <w:noWrap/>
            <w:hideMark/>
          </w:tcPr>
          <w:p w14:paraId="5E9DFD1F"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p>
        </w:tc>
        <w:tc>
          <w:tcPr>
            <w:tcW w:w="462" w:type="pct"/>
            <w:noWrap/>
            <w:hideMark/>
          </w:tcPr>
          <w:p w14:paraId="6E046A6C"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p>
        </w:tc>
        <w:tc>
          <w:tcPr>
            <w:tcW w:w="539" w:type="pct"/>
            <w:noWrap/>
            <w:hideMark/>
          </w:tcPr>
          <w:p w14:paraId="3A739B1C"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p>
        </w:tc>
      </w:tr>
      <w:tr w:rsidR="008D0CAD" w:rsidRPr="00E00C4B" w14:paraId="60FAE976" w14:textId="77777777" w:rsidTr="0048024E">
        <w:trPr>
          <w:trHeight w:val="405"/>
        </w:trPr>
        <w:tc>
          <w:tcPr>
            <w:tcW w:w="656" w:type="pct"/>
            <w:noWrap/>
            <w:hideMark/>
          </w:tcPr>
          <w:p w14:paraId="59462A43"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KRA 4</w:t>
            </w:r>
          </w:p>
        </w:tc>
        <w:tc>
          <w:tcPr>
            <w:tcW w:w="882" w:type="pct"/>
            <w:noWrap/>
            <w:hideMark/>
          </w:tcPr>
          <w:p w14:paraId="73D04041"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35%</w:t>
            </w:r>
          </w:p>
        </w:tc>
        <w:tc>
          <w:tcPr>
            <w:tcW w:w="769" w:type="pct"/>
            <w:noWrap/>
            <w:hideMark/>
          </w:tcPr>
          <w:p w14:paraId="173DE504"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35%</w:t>
            </w:r>
          </w:p>
        </w:tc>
        <w:tc>
          <w:tcPr>
            <w:tcW w:w="770" w:type="pct"/>
          </w:tcPr>
          <w:p w14:paraId="3C879768"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30%</w:t>
            </w:r>
          </w:p>
        </w:tc>
        <w:tc>
          <w:tcPr>
            <w:tcW w:w="922" w:type="pct"/>
            <w:noWrap/>
            <w:hideMark/>
          </w:tcPr>
          <w:p w14:paraId="38C8392A"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p>
        </w:tc>
        <w:tc>
          <w:tcPr>
            <w:tcW w:w="462" w:type="pct"/>
            <w:noWrap/>
            <w:hideMark/>
          </w:tcPr>
          <w:p w14:paraId="7445C590"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p>
        </w:tc>
        <w:tc>
          <w:tcPr>
            <w:tcW w:w="539" w:type="pct"/>
            <w:noWrap/>
            <w:hideMark/>
          </w:tcPr>
          <w:p w14:paraId="33B92631"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p>
        </w:tc>
      </w:tr>
      <w:tr w:rsidR="008D0CAD" w:rsidRPr="00E00C4B" w14:paraId="44323668" w14:textId="77777777" w:rsidTr="0048024E">
        <w:trPr>
          <w:trHeight w:val="283"/>
        </w:trPr>
        <w:tc>
          <w:tcPr>
            <w:tcW w:w="656" w:type="pct"/>
            <w:noWrap/>
            <w:hideMark/>
          </w:tcPr>
          <w:p w14:paraId="14DB2E89"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KRA 5</w:t>
            </w:r>
          </w:p>
        </w:tc>
        <w:tc>
          <w:tcPr>
            <w:tcW w:w="882" w:type="pct"/>
            <w:noWrap/>
            <w:hideMark/>
          </w:tcPr>
          <w:p w14:paraId="3794E901"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40%</w:t>
            </w:r>
          </w:p>
        </w:tc>
        <w:tc>
          <w:tcPr>
            <w:tcW w:w="769" w:type="pct"/>
            <w:noWrap/>
            <w:hideMark/>
          </w:tcPr>
          <w:p w14:paraId="66BB9DC8"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35%</w:t>
            </w:r>
          </w:p>
        </w:tc>
        <w:tc>
          <w:tcPr>
            <w:tcW w:w="770" w:type="pct"/>
          </w:tcPr>
          <w:p w14:paraId="46A0FA5E"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25%</w:t>
            </w:r>
          </w:p>
        </w:tc>
        <w:tc>
          <w:tcPr>
            <w:tcW w:w="922" w:type="pct"/>
            <w:noWrap/>
            <w:hideMark/>
          </w:tcPr>
          <w:p w14:paraId="28B1B387"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p>
        </w:tc>
        <w:tc>
          <w:tcPr>
            <w:tcW w:w="462" w:type="pct"/>
            <w:noWrap/>
            <w:hideMark/>
          </w:tcPr>
          <w:p w14:paraId="4441118B"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p>
        </w:tc>
        <w:tc>
          <w:tcPr>
            <w:tcW w:w="539" w:type="pct"/>
            <w:noWrap/>
            <w:hideMark/>
          </w:tcPr>
          <w:p w14:paraId="0F4AD0A0"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p>
        </w:tc>
      </w:tr>
      <w:tr w:rsidR="008D0CAD" w:rsidRPr="00E00C4B" w14:paraId="7FDE1976" w14:textId="77777777" w:rsidTr="0048024E">
        <w:trPr>
          <w:trHeight w:val="274"/>
        </w:trPr>
        <w:tc>
          <w:tcPr>
            <w:tcW w:w="656" w:type="pct"/>
            <w:noWrap/>
            <w:hideMark/>
          </w:tcPr>
          <w:p w14:paraId="555E1B08"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KRA 6</w:t>
            </w:r>
          </w:p>
        </w:tc>
        <w:tc>
          <w:tcPr>
            <w:tcW w:w="882" w:type="pct"/>
            <w:noWrap/>
            <w:hideMark/>
          </w:tcPr>
          <w:p w14:paraId="163FE749"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15%</w:t>
            </w:r>
          </w:p>
        </w:tc>
        <w:tc>
          <w:tcPr>
            <w:tcW w:w="769" w:type="pct"/>
            <w:noWrap/>
            <w:hideMark/>
          </w:tcPr>
          <w:p w14:paraId="2C98AC25"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35%</w:t>
            </w:r>
          </w:p>
        </w:tc>
        <w:tc>
          <w:tcPr>
            <w:tcW w:w="770" w:type="pct"/>
          </w:tcPr>
          <w:p w14:paraId="7810CBFF"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15%</w:t>
            </w:r>
          </w:p>
        </w:tc>
        <w:tc>
          <w:tcPr>
            <w:tcW w:w="922" w:type="pct"/>
            <w:noWrap/>
            <w:hideMark/>
          </w:tcPr>
          <w:p w14:paraId="376EFD8F"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10%</w:t>
            </w:r>
          </w:p>
        </w:tc>
        <w:tc>
          <w:tcPr>
            <w:tcW w:w="462" w:type="pct"/>
            <w:noWrap/>
            <w:hideMark/>
          </w:tcPr>
          <w:p w14:paraId="38021D9B"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p>
        </w:tc>
        <w:tc>
          <w:tcPr>
            <w:tcW w:w="539" w:type="pct"/>
            <w:noWrap/>
            <w:hideMark/>
          </w:tcPr>
          <w:p w14:paraId="4436A82A"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25%</w:t>
            </w:r>
          </w:p>
        </w:tc>
      </w:tr>
      <w:tr w:rsidR="008D0CAD" w:rsidRPr="00E00C4B" w14:paraId="14700A1E" w14:textId="77777777" w:rsidTr="0048024E">
        <w:trPr>
          <w:trHeight w:val="268"/>
        </w:trPr>
        <w:tc>
          <w:tcPr>
            <w:tcW w:w="656" w:type="pct"/>
            <w:noWrap/>
            <w:hideMark/>
          </w:tcPr>
          <w:p w14:paraId="0683CBA4"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KRA 7</w:t>
            </w:r>
          </w:p>
        </w:tc>
        <w:tc>
          <w:tcPr>
            <w:tcW w:w="882" w:type="pct"/>
            <w:noWrap/>
            <w:hideMark/>
          </w:tcPr>
          <w:p w14:paraId="09280B27"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60%</w:t>
            </w:r>
          </w:p>
        </w:tc>
        <w:tc>
          <w:tcPr>
            <w:tcW w:w="769" w:type="pct"/>
            <w:noWrap/>
            <w:hideMark/>
          </w:tcPr>
          <w:p w14:paraId="60408FF6"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30%</w:t>
            </w:r>
          </w:p>
        </w:tc>
        <w:tc>
          <w:tcPr>
            <w:tcW w:w="770" w:type="pct"/>
          </w:tcPr>
          <w:p w14:paraId="27DFC46F"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p>
        </w:tc>
        <w:tc>
          <w:tcPr>
            <w:tcW w:w="922" w:type="pct"/>
            <w:noWrap/>
            <w:hideMark/>
          </w:tcPr>
          <w:p w14:paraId="4E7F97A9"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p>
        </w:tc>
        <w:tc>
          <w:tcPr>
            <w:tcW w:w="462" w:type="pct"/>
            <w:noWrap/>
            <w:hideMark/>
          </w:tcPr>
          <w:p w14:paraId="0FEA1739"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p>
        </w:tc>
        <w:tc>
          <w:tcPr>
            <w:tcW w:w="539" w:type="pct"/>
            <w:noWrap/>
            <w:hideMark/>
          </w:tcPr>
          <w:p w14:paraId="22899D9B"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10%</w:t>
            </w:r>
          </w:p>
        </w:tc>
      </w:tr>
      <w:tr w:rsidR="008D0CAD" w:rsidRPr="00E00C4B" w14:paraId="712F28AC" w14:textId="77777777" w:rsidTr="0048024E">
        <w:trPr>
          <w:trHeight w:val="271"/>
        </w:trPr>
        <w:tc>
          <w:tcPr>
            <w:tcW w:w="656" w:type="pct"/>
            <w:noWrap/>
            <w:hideMark/>
          </w:tcPr>
          <w:p w14:paraId="2940ED54"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KRA 8</w:t>
            </w:r>
          </w:p>
        </w:tc>
        <w:tc>
          <w:tcPr>
            <w:tcW w:w="882" w:type="pct"/>
            <w:noWrap/>
            <w:hideMark/>
          </w:tcPr>
          <w:p w14:paraId="3ADD6D7B"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15%</w:t>
            </w:r>
          </w:p>
        </w:tc>
        <w:tc>
          <w:tcPr>
            <w:tcW w:w="769" w:type="pct"/>
            <w:noWrap/>
            <w:hideMark/>
          </w:tcPr>
          <w:p w14:paraId="5BBDE9D7"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55%</w:t>
            </w:r>
          </w:p>
        </w:tc>
        <w:tc>
          <w:tcPr>
            <w:tcW w:w="770" w:type="pct"/>
          </w:tcPr>
          <w:p w14:paraId="1FC0B500"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10%</w:t>
            </w:r>
          </w:p>
        </w:tc>
        <w:tc>
          <w:tcPr>
            <w:tcW w:w="922" w:type="pct"/>
            <w:noWrap/>
            <w:hideMark/>
          </w:tcPr>
          <w:p w14:paraId="3EEC76F3"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p>
        </w:tc>
        <w:tc>
          <w:tcPr>
            <w:tcW w:w="462" w:type="pct"/>
            <w:noWrap/>
            <w:hideMark/>
          </w:tcPr>
          <w:p w14:paraId="109C19BA"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p>
        </w:tc>
        <w:tc>
          <w:tcPr>
            <w:tcW w:w="539" w:type="pct"/>
            <w:noWrap/>
            <w:hideMark/>
          </w:tcPr>
          <w:p w14:paraId="4F93B90E"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20%</w:t>
            </w:r>
          </w:p>
        </w:tc>
      </w:tr>
      <w:tr w:rsidR="008D0CAD" w:rsidRPr="00E00C4B" w14:paraId="6E6BB265" w14:textId="77777777" w:rsidTr="0048024E">
        <w:trPr>
          <w:trHeight w:val="418"/>
        </w:trPr>
        <w:tc>
          <w:tcPr>
            <w:tcW w:w="656" w:type="pct"/>
            <w:noWrap/>
            <w:hideMark/>
          </w:tcPr>
          <w:p w14:paraId="39383F7A"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KRA 9</w:t>
            </w:r>
          </w:p>
        </w:tc>
        <w:tc>
          <w:tcPr>
            <w:tcW w:w="882" w:type="pct"/>
            <w:noWrap/>
            <w:hideMark/>
          </w:tcPr>
          <w:p w14:paraId="3DE801DD"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20%</w:t>
            </w:r>
          </w:p>
        </w:tc>
        <w:tc>
          <w:tcPr>
            <w:tcW w:w="769" w:type="pct"/>
            <w:noWrap/>
            <w:hideMark/>
          </w:tcPr>
          <w:p w14:paraId="089C4D43"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40%</w:t>
            </w:r>
          </w:p>
        </w:tc>
        <w:tc>
          <w:tcPr>
            <w:tcW w:w="770" w:type="pct"/>
          </w:tcPr>
          <w:p w14:paraId="6F4CABE0"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15%</w:t>
            </w:r>
          </w:p>
        </w:tc>
        <w:tc>
          <w:tcPr>
            <w:tcW w:w="922" w:type="pct"/>
            <w:noWrap/>
            <w:hideMark/>
          </w:tcPr>
          <w:p w14:paraId="6B6A947A"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p>
        </w:tc>
        <w:tc>
          <w:tcPr>
            <w:tcW w:w="462" w:type="pct"/>
            <w:noWrap/>
            <w:hideMark/>
          </w:tcPr>
          <w:p w14:paraId="72CEFFEF"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p>
        </w:tc>
        <w:tc>
          <w:tcPr>
            <w:tcW w:w="539" w:type="pct"/>
            <w:noWrap/>
            <w:hideMark/>
          </w:tcPr>
          <w:p w14:paraId="0A3D5828"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25%</w:t>
            </w:r>
          </w:p>
        </w:tc>
      </w:tr>
    </w:tbl>
    <w:p w14:paraId="252CD65A" w14:textId="558578C0" w:rsidR="008D0CAD" w:rsidRPr="00E00C4B" w:rsidRDefault="008D0CAD" w:rsidP="00796BFA">
      <w:pPr>
        <w:pStyle w:val="Heading3"/>
        <w:spacing w:before="100" w:beforeAutospacing="1" w:after="100" w:afterAutospacing="1" w:line="360" w:lineRule="auto"/>
        <w:rPr>
          <w:lang w:val="en-US"/>
        </w:rPr>
      </w:pPr>
      <w:bookmarkStart w:id="467" w:name="_Toc10533493"/>
      <w:bookmarkStart w:id="468" w:name="_Toc10534147"/>
      <w:bookmarkStart w:id="469" w:name="_Toc10542185"/>
      <w:bookmarkStart w:id="470" w:name="_Toc14083006"/>
      <w:bookmarkStart w:id="471" w:name="_Toc39938416"/>
      <w:bookmarkStart w:id="472" w:name="_Toc69820520"/>
      <w:r w:rsidRPr="00E00C4B">
        <w:rPr>
          <w:lang w:val="en-US"/>
        </w:rPr>
        <w:t>Filipino</w:t>
      </w:r>
      <w:bookmarkEnd w:id="467"/>
      <w:bookmarkEnd w:id="468"/>
      <w:bookmarkEnd w:id="469"/>
      <w:bookmarkEnd w:id="470"/>
      <w:bookmarkEnd w:id="471"/>
      <w:bookmarkEnd w:id="472"/>
    </w:p>
    <w:p w14:paraId="4427F417" w14:textId="77777777" w:rsidR="008D0CAD" w:rsidRPr="00E00C4B" w:rsidRDefault="008D0CAD" w:rsidP="00796BFA">
      <w:pPr>
        <w:spacing w:before="100" w:beforeAutospacing="1" w:after="100" w:afterAutospacing="1" w:line="360" w:lineRule="auto"/>
        <w:rPr>
          <w:rFonts w:asciiTheme="majorHAnsi" w:hAnsiTheme="majorHAnsi" w:cstheme="majorHAnsi"/>
          <w:lang w:val="en-US"/>
        </w:rPr>
      </w:pPr>
      <w:r w:rsidRPr="00E00C4B">
        <w:rPr>
          <w:rFonts w:asciiTheme="majorHAnsi" w:hAnsiTheme="majorHAnsi" w:cstheme="majorHAnsi"/>
          <w:lang w:val="en-US"/>
        </w:rPr>
        <w:t xml:space="preserve">Ten teachers were observed for Filipino teaching. Most of the teachers achieved a rating of Outstanding and Very Satisfactory. There are five outliers though. One rated poor in KRA 1 and 5 rated Unsatisfactory in other KRAs. There is also high rate of COTs with no rating in some KRAs. </w:t>
      </w:r>
    </w:p>
    <w:p w14:paraId="4BCBF570" w14:textId="77777777" w:rsidR="008D0CAD" w:rsidRPr="00E00C4B" w:rsidRDefault="008D0CAD" w:rsidP="00796BFA">
      <w:pPr>
        <w:spacing w:before="100" w:beforeAutospacing="1" w:after="100" w:afterAutospacing="1" w:line="360" w:lineRule="auto"/>
        <w:rPr>
          <w:rFonts w:asciiTheme="majorHAnsi" w:hAnsiTheme="majorHAnsi" w:cstheme="majorHAnsi"/>
          <w:lang w:val="en-US"/>
        </w:rPr>
      </w:pPr>
      <w:r w:rsidRPr="00E00C4B">
        <w:rPr>
          <w:rFonts w:asciiTheme="majorHAnsi" w:hAnsiTheme="majorHAnsi" w:cstheme="majorHAnsi"/>
          <w:lang w:val="en-US"/>
        </w:rPr>
        <w:t>Table 15. Summary of COT Rating of Teachers observed in Filipino Class</w:t>
      </w:r>
    </w:p>
    <w:tbl>
      <w:tblPr>
        <w:tblStyle w:val="TableGrid18"/>
        <w:tblW w:w="9493" w:type="dxa"/>
        <w:tblLayout w:type="fixed"/>
        <w:tblLook w:val="04A0" w:firstRow="1" w:lastRow="0" w:firstColumn="1" w:lastColumn="0" w:noHBand="0" w:noVBand="1"/>
      </w:tblPr>
      <w:tblGrid>
        <w:gridCol w:w="988"/>
        <w:gridCol w:w="1559"/>
        <w:gridCol w:w="1701"/>
        <w:gridCol w:w="1701"/>
        <w:gridCol w:w="1843"/>
        <w:gridCol w:w="708"/>
        <w:gridCol w:w="993"/>
      </w:tblGrid>
      <w:tr w:rsidR="008D0CAD" w:rsidRPr="004B064D" w14:paraId="3F45D125" w14:textId="77777777" w:rsidTr="00F4751F">
        <w:trPr>
          <w:trHeight w:val="1064"/>
          <w:tblHeader/>
        </w:trPr>
        <w:tc>
          <w:tcPr>
            <w:tcW w:w="988" w:type="dxa"/>
            <w:noWrap/>
            <w:hideMark/>
          </w:tcPr>
          <w:p w14:paraId="6A93B6C8"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000000"/>
                <w:sz w:val="20"/>
                <w:szCs w:val="20"/>
                <w:lang w:val="en-US"/>
              </w:rPr>
            </w:pPr>
            <w:r w:rsidRPr="004B064D">
              <w:rPr>
                <w:rFonts w:asciiTheme="majorHAnsi" w:hAnsiTheme="majorHAnsi" w:cstheme="majorHAnsi"/>
                <w:b/>
                <w:bCs/>
                <w:color w:val="000000"/>
                <w:sz w:val="20"/>
                <w:szCs w:val="20"/>
                <w:lang w:val="en-US"/>
              </w:rPr>
              <w:t>n=10</w:t>
            </w:r>
          </w:p>
        </w:tc>
        <w:tc>
          <w:tcPr>
            <w:tcW w:w="1559" w:type="dxa"/>
            <w:hideMark/>
          </w:tcPr>
          <w:p w14:paraId="3FD8027A"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C00000"/>
                <w:sz w:val="20"/>
                <w:szCs w:val="20"/>
                <w:lang w:val="en-US"/>
              </w:rPr>
            </w:pPr>
            <w:r w:rsidRPr="004B064D">
              <w:rPr>
                <w:rFonts w:asciiTheme="majorHAnsi" w:hAnsiTheme="majorHAnsi" w:cstheme="majorHAnsi"/>
                <w:b/>
                <w:bCs/>
                <w:color w:val="C00000"/>
                <w:sz w:val="20"/>
                <w:szCs w:val="20"/>
                <w:lang w:val="en-US"/>
              </w:rPr>
              <w:t>Outstanding</w:t>
            </w:r>
          </w:p>
          <w:p w14:paraId="5CE3EAC5"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C00000"/>
                <w:sz w:val="20"/>
                <w:szCs w:val="20"/>
                <w:lang w:val="en-US"/>
              </w:rPr>
            </w:pPr>
            <w:r w:rsidRPr="004B064D">
              <w:rPr>
                <w:rFonts w:asciiTheme="majorHAnsi" w:hAnsiTheme="majorHAnsi" w:cstheme="majorHAnsi"/>
                <w:b/>
                <w:bCs/>
                <w:color w:val="000000"/>
                <w:sz w:val="20"/>
                <w:szCs w:val="20"/>
                <w:lang w:val="en-US"/>
              </w:rPr>
              <w:t>%</w:t>
            </w:r>
          </w:p>
        </w:tc>
        <w:tc>
          <w:tcPr>
            <w:tcW w:w="1701" w:type="dxa"/>
            <w:hideMark/>
          </w:tcPr>
          <w:p w14:paraId="2EB26959"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C00000"/>
                <w:sz w:val="20"/>
                <w:szCs w:val="20"/>
                <w:lang w:val="en-US"/>
              </w:rPr>
            </w:pPr>
            <w:r w:rsidRPr="004B064D">
              <w:rPr>
                <w:rFonts w:asciiTheme="majorHAnsi" w:hAnsiTheme="majorHAnsi" w:cstheme="majorHAnsi"/>
                <w:b/>
                <w:bCs/>
                <w:color w:val="C00000"/>
                <w:sz w:val="20"/>
                <w:szCs w:val="20"/>
                <w:lang w:val="en-US"/>
              </w:rPr>
              <w:t>Very Satisfactory</w:t>
            </w:r>
          </w:p>
          <w:p w14:paraId="0D8056BF"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C00000"/>
                <w:sz w:val="20"/>
                <w:szCs w:val="20"/>
                <w:lang w:val="en-US"/>
              </w:rPr>
            </w:pPr>
            <w:r w:rsidRPr="004B064D">
              <w:rPr>
                <w:rFonts w:asciiTheme="majorHAnsi" w:hAnsiTheme="majorHAnsi" w:cstheme="majorHAnsi"/>
                <w:b/>
                <w:bCs/>
                <w:color w:val="000000"/>
                <w:sz w:val="20"/>
                <w:szCs w:val="20"/>
                <w:lang w:val="en-US"/>
              </w:rPr>
              <w:t>%</w:t>
            </w:r>
          </w:p>
        </w:tc>
        <w:tc>
          <w:tcPr>
            <w:tcW w:w="1701" w:type="dxa"/>
          </w:tcPr>
          <w:p w14:paraId="0F8CA7F2"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C00000"/>
                <w:sz w:val="20"/>
                <w:szCs w:val="20"/>
                <w:lang w:val="en-US"/>
              </w:rPr>
            </w:pPr>
            <w:r w:rsidRPr="004B064D">
              <w:rPr>
                <w:rFonts w:asciiTheme="majorHAnsi" w:hAnsiTheme="majorHAnsi" w:cstheme="majorHAnsi"/>
                <w:b/>
                <w:bCs/>
                <w:color w:val="C00000"/>
                <w:sz w:val="20"/>
                <w:szCs w:val="20"/>
                <w:lang w:val="en-US"/>
              </w:rPr>
              <w:t>Satisfactory</w:t>
            </w:r>
          </w:p>
          <w:p w14:paraId="22139820"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C00000"/>
                <w:sz w:val="20"/>
                <w:szCs w:val="20"/>
                <w:lang w:val="en-US"/>
              </w:rPr>
            </w:pPr>
            <w:r w:rsidRPr="004B064D">
              <w:rPr>
                <w:rFonts w:asciiTheme="majorHAnsi" w:hAnsiTheme="majorHAnsi" w:cstheme="majorHAnsi"/>
                <w:b/>
                <w:bCs/>
                <w:color w:val="000000"/>
                <w:sz w:val="20"/>
                <w:szCs w:val="20"/>
                <w:lang w:val="en-US"/>
              </w:rPr>
              <w:t>%</w:t>
            </w:r>
          </w:p>
        </w:tc>
        <w:tc>
          <w:tcPr>
            <w:tcW w:w="1843" w:type="dxa"/>
            <w:hideMark/>
          </w:tcPr>
          <w:p w14:paraId="64BFD9B7"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C00000"/>
                <w:sz w:val="20"/>
                <w:szCs w:val="20"/>
                <w:lang w:val="en-US"/>
              </w:rPr>
            </w:pPr>
            <w:r w:rsidRPr="004B064D">
              <w:rPr>
                <w:rFonts w:asciiTheme="majorHAnsi" w:hAnsiTheme="majorHAnsi" w:cstheme="majorHAnsi"/>
                <w:b/>
                <w:bCs/>
                <w:color w:val="C00000"/>
                <w:sz w:val="20"/>
                <w:szCs w:val="20"/>
                <w:lang w:val="en-US"/>
              </w:rPr>
              <w:t>Unsatisfactory</w:t>
            </w:r>
          </w:p>
          <w:p w14:paraId="2F10365F"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C00000"/>
                <w:sz w:val="20"/>
                <w:szCs w:val="20"/>
                <w:lang w:val="en-US"/>
              </w:rPr>
            </w:pPr>
            <w:r w:rsidRPr="004B064D">
              <w:rPr>
                <w:rFonts w:asciiTheme="majorHAnsi" w:hAnsiTheme="majorHAnsi" w:cstheme="majorHAnsi"/>
                <w:b/>
                <w:bCs/>
                <w:color w:val="000000"/>
                <w:sz w:val="20"/>
                <w:szCs w:val="20"/>
                <w:lang w:val="en-US"/>
              </w:rPr>
              <w:t>%</w:t>
            </w:r>
          </w:p>
        </w:tc>
        <w:tc>
          <w:tcPr>
            <w:tcW w:w="708" w:type="dxa"/>
            <w:hideMark/>
          </w:tcPr>
          <w:p w14:paraId="1C029BC7"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C00000"/>
                <w:sz w:val="20"/>
                <w:szCs w:val="20"/>
                <w:lang w:val="en-US"/>
              </w:rPr>
            </w:pPr>
            <w:r w:rsidRPr="004B064D">
              <w:rPr>
                <w:rFonts w:asciiTheme="majorHAnsi" w:hAnsiTheme="majorHAnsi" w:cstheme="majorHAnsi"/>
                <w:b/>
                <w:bCs/>
                <w:color w:val="C00000"/>
                <w:sz w:val="20"/>
                <w:szCs w:val="20"/>
                <w:lang w:val="en-US"/>
              </w:rPr>
              <w:t>Poor</w:t>
            </w:r>
          </w:p>
          <w:p w14:paraId="2B1EDCCA"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C00000"/>
                <w:sz w:val="20"/>
                <w:szCs w:val="20"/>
                <w:lang w:val="en-US"/>
              </w:rPr>
            </w:pPr>
            <w:r w:rsidRPr="004B064D">
              <w:rPr>
                <w:rFonts w:asciiTheme="majorHAnsi" w:hAnsiTheme="majorHAnsi" w:cstheme="majorHAnsi"/>
                <w:b/>
                <w:bCs/>
                <w:color w:val="000000"/>
                <w:sz w:val="20"/>
                <w:szCs w:val="20"/>
                <w:lang w:val="en-US"/>
              </w:rPr>
              <w:t>%</w:t>
            </w:r>
          </w:p>
        </w:tc>
        <w:tc>
          <w:tcPr>
            <w:tcW w:w="993" w:type="dxa"/>
            <w:hideMark/>
          </w:tcPr>
          <w:p w14:paraId="5A08ED66"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C00000"/>
                <w:sz w:val="20"/>
                <w:szCs w:val="20"/>
                <w:lang w:val="en-US"/>
              </w:rPr>
            </w:pPr>
            <w:r w:rsidRPr="004B064D">
              <w:rPr>
                <w:rFonts w:asciiTheme="majorHAnsi" w:hAnsiTheme="majorHAnsi" w:cstheme="majorHAnsi"/>
                <w:b/>
                <w:bCs/>
                <w:color w:val="C00000"/>
                <w:sz w:val="20"/>
                <w:szCs w:val="20"/>
                <w:lang w:val="en-US"/>
              </w:rPr>
              <w:t>No Answer</w:t>
            </w:r>
          </w:p>
          <w:p w14:paraId="23884EDA"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C00000"/>
                <w:sz w:val="20"/>
                <w:szCs w:val="20"/>
                <w:lang w:val="en-US"/>
              </w:rPr>
            </w:pPr>
            <w:r w:rsidRPr="004B064D">
              <w:rPr>
                <w:rFonts w:asciiTheme="majorHAnsi" w:hAnsiTheme="majorHAnsi" w:cstheme="majorHAnsi"/>
                <w:b/>
                <w:bCs/>
                <w:color w:val="000000"/>
                <w:sz w:val="20"/>
                <w:szCs w:val="20"/>
                <w:lang w:val="en-US"/>
              </w:rPr>
              <w:t>%</w:t>
            </w:r>
          </w:p>
        </w:tc>
      </w:tr>
      <w:tr w:rsidR="008D0CAD" w:rsidRPr="00E00C4B" w14:paraId="1F69EE2E" w14:textId="77777777" w:rsidTr="0048024E">
        <w:trPr>
          <w:trHeight w:val="287"/>
        </w:trPr>
        <w:tc>
          <w:tcPr>
            <w:tcW w:w="988" w:type="dxa"/>
            <w:hideMark/>
          </w:tcPr>
          <w:p w14:paraId="74754B02"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KRA 1</w:t>
            </w:r>
          </w:p>
        </w:tc>
        <w:tc>
          <w:tcPr>
            <w:tcW w:w="1559" w:type="dxa"/>
            <w:noWrap/>
            <w:hideMark/>
          </w:tcPr>
          <w:p w14:paraId="52CB925F"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40%</w:t>
            </w:r>
          </w:p>
        </w:tc>
        <w:tc>
          <w:tcPr>
            <w:tcW w:w="1701" w:type="dxa"/>
            <w:noWrap/>
          </w:tcPr>
          <w:p w14:paraId="66BB3015"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30%</w:t>
            </w:r>
          </w:p>
        </w:tc>
        <w:tc>
          <w:tcPr>
            <w:tcW w:w="1701" w:type="dxa"/>
          </w:tcPr>
          <w:p w14:paraId="36309336"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20%</w:t>
            </w:r>
          </w:p>
        </w:tc>
        <w:tc>
          <w:tcPr>
            <w:tcW w:w="1843" w:type="dxa"/>
            <w:noWrap/>
            <w:hideMark/>
          </w:tcPr>
          <w:p w14:paraId="008C4295"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 </w:t>
            </w:r>
          </w:p>
        </w:tc>
        <w:tc>
          <w:tcPr>
            <w:tcW w:w="708" w:type="dxa"/>
            <w:noWrap/>
            <w:hideMark/>
          </w:tcPr>
          <w:p w14:paraId="1FE2F7F1"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10%</w:t>
            </w:r>
          </w:p>
        </w:tc>
        <w:tc>
          <w:tcPr>
            <w:tcW w:w="993" w:type="dxa"/>
            <w:noWrap/>
            <w:hideMark/>
          </w:tcPr>
          <w:p w14:paraId="614E99AA"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 </w:t>
            </w:r>
          </w:p>
        </w:tc>
      </w:tr>
      <w:tr w:rsidR="008D0CAD" w:rsidRPr="00E00C4B" w14:paraId="21992E20" w14:textId="77777777" w:rsidTr="0048024E">
        <w:trPr>
          <w:trHeight w:val="277"/>
        </w:trPr>
        <w:tc>
          <w:tcPr>
            <w:tcW w:w="988" w:type="dxa"/>
            <w:noWrap/>
            <w:hideMark/>
          </w:tcPr>
          <w:p w14:paraId="3DE32D95"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KRA 2</w:t>
            </w:r>
          </w:p>
        </w:tc>
        <w:tc>
          <w:tcPr>
            <w:tcW w:w="1559" w:type="dxa"/>
            <w:noWrap/>
            <w:hideMark/>
          </w:tcPr>
          <w:p w14:paraId="4F5882EC"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40%</w:t>
            </w:r>
          </w:p>
        </w:tc>
        <w:tc>
          <w:tcPr>
            <w:tcW w:w="1701" w:type="dxa"/>
            <w:noWrap/>
          </w:tcPr>
          <w:p w14:paraId="11A370C1"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40%</w:t>
            </w:r>
          </w:p>
        </w:tc>
        <w:tc>
          <w:tcPr>
            <w:tcW w:w="1701" w:type="dxa"/>
          </w:tcPr>
          <w:p w14:paraId="4629477F"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20%</w:t>
            </w:r>
          </w:p>
        </w:tc>
        <w:tc>
          <w:tcPr>
            <w:tcW w:w="1843" w:type="dxa"/>
            <w:noWrap/>
            <w:hideMark/>
          </w:tcPr>
          <w:p w14:paraId="38A8B37F"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 </w:t>
            </w:r>
          </w:p>
        </w:tc>
        <w:tc>
          <w:tcPr>
            <w:tcW w:w="708" w:type="dxa"/>
            <w:noWrap/>
            <w:hideMark/>
          </w:tcPr>
          <w:p w14:paraId="3AFAD93E"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 </w:t>
            </w:r>
          </w:p>
        </w:tc>
        <w:tc>
          <w:tcPr>
            <w:tcW w:w="993" w:type="dxa"/>
            <w:noWrap/>
            <w:hideMark/>
          </w:tcPr>
          <w:p w14:paraId="446CEBA7"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 </w:t>
            </w:r>
          </w:p>
        </w:tc>
      </w:tr>
      <w:tr w:rsidR="008D0CAD" w:rsidRPr="00E00C4B" w14:paraId="1B032417" w14:textId="77777777" w:rsidTr="0048024E">
        <w:trPr>
          <w:trHeight w:val="267"/>
        </w:trPr>
        <w:tc>
          <w:tcPr>
            <w:tcW w:w="988" w:type="dxa"/>
            <w:noWrap/>
            <w:hideMark/>
          </w:tcPr>
          <w:p w14:paraId="0C8B4DE8"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KRA 3</w:t>
            </w:r>
          </w:p>
        </w:tc>
        <w:tc>
          <w:tcPr>
            <w:tcW w:w="1559" w:type="dxa"/>
            <w:noWrap/>
            <w:hideMark/>
          </w:tcPr>
          <w:p w14:paraId="57386D4F"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10%</w:t>
            </w:r>
          </w:p>
        </w:tc>
        <w:tc>
          <w:tcPr>
            <w:tcW w:w="1701" w:type="dxa"/>
            <w:noWrap/>
          </w:tcPr>
          <w:p w14:paraId="2AC65A19"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40%</w:t>
            </w:r>
          </w:p>
        </w:tc>
        <w:tc>
          <w:tcPr>
            <w:tcW w:w="1701" w:type="dxa"/>
          </w:tcPr>
          <w:p w14:paraId="167B483A"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40%</w:t>
            </w:r>
          </w:p>
        </w:tc>
        <w:tc>
          <w:tcPr>
            <w:tcW w:w="1843" w:type="dxa"/>
            <w:noWrap/>
            <w:hideMark/>
          </w:tcPr>
          <w:p w14:paraId="128E9611"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10%</w:t>
            </w:r>
          </w:p>
        </w:tc>
        <w:tc>
          <w:tcPr>
            <w:tcW w:w="708" w:type="dxa"/>
            <w:noWrap/>
            <w:hideMark/>
          </w:tcPr>
          <w:p w14:paraId="031FB81C"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 </w:t>
            </w:r>
          </w:p>
        </w:tc>
        <w:tc>
          <w:tcPr>
            <w:tcW w:w="993" w:type="dxa"/>
            <w:noWrap/>
            <w:hideMark/>
          </w:tcPr>
          <w:p w14:paraId="72E6CAE8"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 </w:t>
            </w:r>
          </w:p>
        </w:tc>
      </w:tr>
      <w:tr w:rsidR="008D0CAD" w:rsidRPr="00E00C4B" w14:paraId="70CA3E45" w14:textId="77777777" w:rsidTr="0048024E">
        <w:trPr>
          <w:trHeight w:val="271"/>
        </w:trPr>
        <w:tc>
          <w:tcPr>
            <w:tcW w:w="988" w:type="dxa"/>
            <w:noWrap/>
            <w:hideMark/>
          </w:tcPr>
          <w:p w14:paraId="628C4FDC"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KRA 4</w:t>
            </w:r>
          </w:p>
        </w:tc>
        <w:tc>
          <w:tcPr>
            <w:tcW w:w="1559" w:type="dxa"/>
            <w:noWrap/>
            <w:hideMark/>
          </w:tcPr>
          <w:p w14:paraId="3BE08C08"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40%</w:t>
            </w:r>
          </w:p>
        </w:tc>
        <w:tc>
          <w:tcPr>
            <w:tcW w:w="1701" w:type="dxa"/>
            <w:noWrap/>
          </w:tcPr>
          <w:p w14:paraId="3068D1F8"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30%</w:t>
            </w:r>
          </w:p>
        </w:tc>
        <w:tc>
          <w:tcPr>
            <w:tcW w:w="1701" w:type="dxa"/>
          </w:tcPr>
          <w:p w14:paraId="404BE060"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30%</w:t>
            </w:r>
          </w:p>
        </w:tc>
        <w:tc>
          <w:tcPr>
            <w:tcW w:w="1843" w:type="dxa"/>
            <w:noWrap/>
            <w:hideMark/>
          </w:tcPr>
          <w:p w14:paraId="39EB8F14"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 </w:t>
            </w:r>
          </w:p>
        </w:tc>
        <w:tc>
          <w:tcPr>
            <w:tcW w:w="708" w:type="dxa"/>
            <w:noWrap/>
            <w:hideMark/>
          </w:tcPr>
          <w:p w14:paraId="1CDCC1B1"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 </w:t>
            </w:r>
          </w:p>
        </w:tc>
        <w:tc>
          <w:tcPr>
            <w:tcW w:w="993" w:type="dxa"/>
            <w:noWrap/>
            <w:hideMark/>
          </w:tcPr>
          <w:p w14:paraId="5BFF6B75"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 </w:t>
            </w:r>
          </w:p>
        </w:tc>
      </w:tr>
      <w:tr w:rsidR="008D0CAD" w:rsidRPr="00E00C4B" w14:paraId="1768DD3D" w14:textId="77777777" w:rsidTr="0048024E">
        <w:trPr>
          <w:trHeight w:val="275"/>
        </w:trPr>
        <w:tc>
          <w:tcPr>
            <w:tcW w:w="988" w:type="dxa"/>
            <w:noWrap/>
            <w:hideMark/>
          </w:tcPr>
          <w:p w14:paraId="19C3C3F2"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KRA 5</w:t>
            </w:r>
          </w:p>
        </w:tc>
        <w:tc>
          <w:tcPr>
            <w:tcW w:w="1559" w:type="dxa"/>
            <w:noWrap/>
            <w:hideMark/>
          </w:tcPr>
          <w:p w14:paraId="0640DD87"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40%</w:t>
            </w:r>
          </w:p>
        </w:tc>
        <w:tc>
          <w:tcPr>
            <w:tcW w:w="1701" w:type="dxa"/>
            <w:noWrap/>
          </w:tcPr>
          <w:p w14:paraId="017F49E1"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40%</w:t>
            </w:r>
          </w:p>
        </w:tc>
        <w:tc>
          <w:tcPr>
            <w:tcW w:w="1701" w:type="dxa"/>
          </w:tcPr>
          <w:p w14:paraId="0B41FB4F"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20%</w:t>
            </w:r>
          </w:p>
        </w:tc>
        <w:tc>
          <w:tcPr>
            <w:tcW w:w="1843" w:type="dxa"/>
            <w:noWrap/>
            <w:hideMark/>
          </w:tcPr>
          <w:p w14:paraId="7D52AC83"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 </w:t>
            </w:r>
          </w:p>
        </w:tc>
        <w:tc>
          <w:tcPr>
            <w:tcW w:w="708" w:type="dxa"/>
            <w:noWrap/>
            <w:hideMark/>
          </w:tcPr>
          <w:p w14:paraId="67B10660"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 </w:t>
            </w:r>
          </w:p>
        </w:tc>
        <w:tc>
          <w:tcPr>
            <w:tcW w:w="993" w:type="dxa"/>
            <w:noWrap/>
            <w:hideMark/>
          </w:tcPr>
          <w:p w14:paraId="0D4E7EF3"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 </w:t>
            </w:r>
          </w:p>
        </w:tc>
      </w:tr>
      <w:tr w:rsidR="008D0CAD" w:rsidRPr="00E00C4B" w14:paraId="6CB3C077" w14:textId="77777777" w:rsidTr="0048024E">
        <w:trPr>
          <w:trHeight w:val="279"/>
        </w:trPr>
        <w:tc>
          <w:tcPr>
            <w:tcW w:w="988" w:type="dxa"/>
            <w:noWrap/>
            <w:hideMark/>
          </w:tcPr>
          <w:p w14:paraId="2CFC200A"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KRA 6</w:t>
            </w:r>
          </w:p>
        </w:tc>
        <w:tc>
          <w:tcPr>
            <w:tcW w:w="1559" w:type="dxa"/>
            <w:noWrap/>
            <w:hideMark/>
          </w:tcPr>
          <w:p w14:paraId="5F65DFEB"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30%</w:t>
            </w:r>
          </w:p>
        </w:tc>
        <w:tc>
          <w:tcPr>
            <w:tcW w:w="1701" w:type="dxa"/>
            <w:noWrap/>
          </w:tcPr>
          <w:p w14:paraId="624C34BA"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50%</w:t>
            </w:r>
          </w:p>
        </w:tc>
        <w:tc>
          <w:tcPr>
            <w:tcW w:w="1701" w:type="dxa"/>
          </w:tcPr>
          <w:p w14:paraId="208FB52A"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20%</w:t>
            </w:r>
          </w:p>
        </w:tc>
        <w:tc>
          <w:tcPr>
            <w:tcW w:w="1843" w:type="dxa"/>
            <w:noWrap/>
            <w:hideMark/>
          </w:tcPr>
          <w:p w14:paraId="4425CDD2"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 </w:t>
            </w:r>
          </w:p>
        </w:tc>
        <w:tc>
          <w:tcPr>
            <w:tcW w:w="708" w:type="dxa"/>
            <w:noWrap/>
            <w:hideMark/>
          </w:tcPr>
          <w:p w14:paraId="7955C8A7"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 </w:t>
            </w:r>
          </w:p>
        </w:tc>
        <w:tc>
          <w:tcPr>
            <w:tcW w:w="993" w:type="dxa"/>
            <w:noWrap/>
            <w:hideMark/>
          </w:tcPr>
          <w:p w14:paraId="6AFFA6ED"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 </w:t>
            </w:r>
          </w:p>
        </w:tc>
      </w:tr>
      <w:tr w:rsidR="008D0CAD" w:rsidRPr="00E00C4B" w14:paraId="141EC80C" w14:textId="77777777" w:rsidTr="0048024E">
        <w:trPr>
          <w:trHeight w:val="270"/>
        </w:trPr>
        <w:tc>
          <w:tcPr>
            <w:tcW w:w="988" w:type="dxa"/>
            <w:noWrap/>
            <w:hideMark/>
          </w:tcPr>
          <w:p w14:paraId="46EB8480"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KRA 7</w:t>
            </w:r>
          </w:p>
        </w:tc>
        <w:tc>
          <w:tcPr>
            <w:tcW w:w="1559" w:type="dxa"/>
            <w:noWrap/>
            <w:hideMark/>
          </w:tcPr>
          <w:p w14:paraId="5446F24C"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50%</w:t>
            </w:r>
          </w:p>
        </w:tc>
        <w:tc>
          <w:tcPr>
            <w:tcW w:w="1701" w:type="dxa"/>
            <w:noWrap/>
          </w:tcPr>
          <w:p w14:paraId="40CA389B"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30%</w:t>
            </w:r>
          </w:p>
        </w:tc>
        <w:tc>
          <w:tcPr>
            <w:tcW w:w="1701" w:type="dxa"/>
          </w:tcPr>
          <w:p w14:paraId="28EA7AD6"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 </w:t>
            </w:r>
          </w:p>
        </w:tc>
        <w:tc>
          <w:tcPr>
            <w:tcW w:w="1843" w:type="dxa"/>
            <w:noWrap/>
            <w:hideMark/>
          </w:tcPr>
          <w:p w14:paraId="46772621"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20%</w:t>
            </w:r>
          </w:p>
        </w:tc>
        <w:tc>
          <w:tcPr>
            <w:tcW w:w="708" w:type="dxa"/>
            <w:noWrap/>
            <w:hideMark/>
          </w:tcPr>
          <w:p w14:paraId="63FE9747"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 </w:t>
            </w:r>
          </w:p>
        </w:tc>
        <w:tc>
          <w:tcPr>
            <w:tcW w:w="993" w:type="dxa"/>
            <w:noWrap/>
            <w:hideMark/>
          </w:tcPr>
          <w:p w14:paraId="38FE7016"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 </w:t>
            </w:r>
          </w:p>
        </w:tc>
      </w:tr>
      <w:tr w:rsidR="008D0CAD" w:rsidRPr="00E00C4B" w14:paraId="018ECF3C" w14:textId="77777777" w:rsidTr="0048024E">
        <w:trPr>
          <w:trHeight w:val="273"/>
        </w:trPr>
        <w:tc>
          <w:tcPr>
            <w:tcW w:w="988" w:type="dxa"/>
            <w:noWrap/>
            <w:hideMark/>
          </w:tcPr>
          <w:p w14:paraId="7BED35D8"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KRA 8</w:t>
            </w:r>
          </w:p>
        </w:tc>
        <w:tc>
          <w:tcPr>
            <w:tcW w:w="1559" w:type="dxa"/>
            <w:noWrap/>
            <w:hideMark/>
          </w:tcPr>
          <w:p w14:paraId="5637963B"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50%</w:t>
            </w:r>
          </w:p>
        </w:tc>
        <w:tc>
          <w:tcPr>
            <w:tcW w:w="1701" w:type="dxa"/>
            <w:noWrap/>
          </w:tcPr>
          <w:p w14:paraId="2D8B2B87"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20%</w:t>
            </w:r>
          </w:p>
        </w:tc>
        <w:tc>
          <w:tcPr>
            <w:tcW w:w="1701" w:type="dxa"/>
          </w:tcPr>
          <w:p w14:paraId="4F11A891"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10%</w:t>
            </w:r>
          </w:p>
        </w:tc>
        <w:tc>
          <w:tcPr>
            <w:tcW w:w="1843" w:type="dxa"/>
            <w:noWrap/>
            <w:hideMark/>
          </w:tcPr>
          <w:p w14:paraId="737CAA4C"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20%</w:t>
            </w:r>
          </w:p>
        </w:tc>
        <w:tc>
          <w:tcPr>
            <w:tcW w:w="708" w:type="dxa"/>
            <w:noWrap/>
            <w:hideMark/>
          </w:tcPr>
          <w:p w14:paraId="109E2DD5"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 </w:t>
            </w:r>
          </w:p>
        </w:tc>
        <w:tc>
          <w:tcPr>
            <w:tcW w:w="993" w:type="dxa"/>
            <w:noWrap/>
            <w:hideMark/>
          </w:tcPr>
          <w:p w14:paraId="1F51008C"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 </w:t>
            </w:r>
          </w:p>
        </w:tc>
      </w:tr>
      <w:tr w:rsidR="008D0CAD" w:rsidRPr="00E00C4B" w14:paraId="5E33E650" w14:textId="77777777" w:rsidTr="0048024E">
        <w:trPr>
          <w:trHeight w:val="277"/>
        </w:trPr>
        <w:tc>
          <w:tcPr>
            <w:tcW w:w="988" w:type="dxa"/>
            <w:noWrap/>
            <w:hideMark/>
          </w:tcPr>
          <w:p w14:paraId="5EB0D223"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KRA 9</w:t>
            </w:r>
          </w:p>
        </w:tc>
        <w:tc>
          <w:tcPr>
            <w:tcW w:w="1559" w:type="dxa"/>
            <w:noWrap/>
            <w:hideMark/>
          </w:tcPr>
          <w:p w14:paraId="407A8266"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40%</w:t>
            </w:r>
          </w:p>
        </w:tc>
        <w:tc>
          <w:tcPr>
            <w:tcW w:w="1701" w:type="dxa"/>
            <w:noWrap/>
          </w:tcPr>
          <w:p w14:paraId="36E967C2"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50%</w:t>
            </w:r>
          </w:p>
        </w:tc>
        <w:tc>
          <w:tcPr>
            <w:tcW w:w="1701" w:type="dxa"/>
          </w:tcPr>
          <w:p w14:paraId="333E5C1D"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10%</w:t>
            </w:r>
          </w:p>
        </w:tc>
        <w:tc>
          <w:tcPr>
            <w:tcW w:w="1843" w:type="dxa"/>
            <w:noWrap/>
            <w:hideMark/>
          </w:tcPr>
          <w:p w14:paraId="7A6087D1"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 </w:t>
            </w:r>
          </w:p>
        </w:tc>
        <w:tc>
          <w:tcPr>
            <w:tcW w:w="708" w:type="dxa"/>
            <w:noWrap/>
            <w:hideMark/>
          </w:tcPr>
          <w:p w14:paraId="64476179"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 </w:t>
            </w:r>
          </w:p>
        </w:tc>
        <w:tc>
          <w:tcPr>
            <w:tcW w:w="993" w:type="dxa"/>
            <w:noWrap/>
            <w:hideMark/>
          </w:tcPr>
          <w:p w14:paraId="2173453D"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 </w:t>
            </w:r>
          </w:p>
        </w:tc>
      </w:tr>
    </w:tbl>
    <w:p w14:paraId="056CB93F" w14:textId="56A78DDC" w:rsidR="008D0CAD" w:rsidRPr="00E00C4B" w:rsidRDefault="008D0CAD" w:rsidP="00796BFA">
      <w:pPr>
        <w:spacing w:before="100" w:beforeAutospacing="1" w:after="100" w:afterAutospacing="1" w:line="360" w:lineRule="auto"/>
        <w:rPr>
          <w:rFonts w:asciiTheme="majorHAnsi" w:hAnsiTheme="majorHAnsi" w:cstheme="majorHAnsi"/>
          <w:color w:val="000000" w:themeColor="text1"/>
          <w:lang w:val="en-US"/>
        </w:rPr>
      </w:pPr>
      <w:r w:rsidRPr="00E00C4B">
        <w:rPr>
          <w:rFonts w:asciiTheme="majorHAnsi" w:hAnsiTheme="majorHAnsi" w:cstheme="majorHAnsi"/>
          <w:b/>
          <w:color w:val="000000" w:themeColor="text1"/>
          <w:lang w:val="en-US"/>
        </w:rPr>
        <w:t>Findings</w:t>
      </w:r>
      <w:r w:rsidRPr="00E00C4B">
        <w:rPr>
          <w:rFonts w:asciiTheme="majorHAnsi" w:hAnsiTheme="majorHAnsi" w:cstheme="majorHAnsi"/>
          <w:color w:val="000000" w:themeColor="text1"/>
          <w:lang w:val="en-US"/>
        </w:rPr>
        <w:t>. Teachers in Math, Science, English and Filipino were rated mostly Excellent and very satisfactory.</w:t>
      </w:r>
      <w:r w:rsidR="00D434EB">
        <w:rPr>
          <w:rFonts w:asciiTheme="majorHAnsi" w:hAnsiTheme="majorHAnsi" w:cstheme="majorHAnsi"/>
          <w:color w:val="000000" w:themeColor="text1"/>
          <w:lang w:val="en-US"/>
        </w:rPr>
        <w:t xml:space="preserve"> </w:t>
      </w:r>
      <w:r w:rsidRPr="00E00C4B">
        <w:rPr>
          <w:rFonts w:asciiTheme="majorHAnsi" w:hAnsiTheme="majorHAnsi" w:cstheme="majorHAnsi"/>
          <w:color w:val="000000" w:themeColor="text1"/>
          <w:lang w:val="en-US"/>
        </w:rPr>
        <w:t>While there were ratings of satisfactory, very few had unsatisfactory or poor ratings.</w:t>
      </w:r>
    </w:p>
    <w:p w14:paraId="370B6880"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themeColor="text1"/>
          <w:lang w:val="en-US"/>
        </w:rPr>
      </w:pPr>
      <w:r w:rsidRPr="00E00C4B">
        <w:rPr>
          <w:rFonts w:asciiTheme="majorHAnsi" w:hAnsiTheme="majorHAnsi" w:cstheme="majorHAnsi"/>
          <w:b/>
          <w:color w:val="000000" w:themeColor="text1"/>
          <w:lang w:val="en-US"/>
        </w:rPr>
        <w:t>Conclusion</w:t>
      </w:r>
      <w:r w:rsidRPr="00E00C4B">
        <w:rPr>
          <w:rFonts w:asciiTheme="majorHAnsi" w:hAnsiTheme="majorHAnsi" w:cstheme="majorHAnsi"/>
          <w:color w:val="000000" w:themeColor="text1"/>
          <w:lang w:val="en-US"/>
        </w:rPr>
        <w:t>. Teachers across the four subjects were rated very high in the COT KRAs.</w:t>
      </w:r>
    </w:p>
    <w:p w14:paraId="6FA9EDCE" w14:textId="77777777" w:rsidR="008D0CAD" w:rsidRPr="00E00C4B" w:rsidRDefault="008D0CAD" w:rsidP="00796BFA">
      <w:pPr>
        <w:spacing w:before="100" w:beforeAutospacing="1" w:after="100" w:afterAutospacing="1" w:line="360" w:lineRule="auto"/>
        <w:rPr>
          <w:rFonts w:asciiTheme="majorHAnsi" w:hAnsiTheme="majorHAnsi" w:cstheme="majorHAnsi"/>
          <w:b/>
          <w:color w:val="4472C4" w:themeColor="accent1"/>
          <w:lang w:val="en-US"/>
        </w:rPr>
      </w:pPr>
      <w:r w:rsidRPr="00E00C4B">
        <w:rPr>
          <w:rFonts w:asciiTheme="majorHAnsi" w:hAnsiTheme="majorHAnsi" w:cstheme="majorHAnsi"/>
          <w:b/>
          <w:lang w:val="en-US"/>
        </w:rPr>
        <w:t xml:space="preserve">Validation of COT Rating with TEACH Tool </w:t>
      </w:r>
    </w:p>
    <w:p w14:paraId="6514EB60" w14:textId="371CD0C8" w:rsidR="008D0CAD" w:rsidRPr="00E00C4B" w:rsidRDefault="008D0CAD" w:rsidP="00796BFA">
      <w:pPr>
        <w:spacing w:before="100" w:beforeAutospacing="1" w:after="100" w:afterAutospacing="1" w:line="360" w:lineRule="auto"/>
        <w:rPr>
          <w:rFonts w:asciiTheme="majorHAnsi" w:hAnsiTheme="majorHAnsi" w:cstheme="majorHAnsi"/>
          <w:color w:val="000000" w:themeColor="text1"/>
          <w:lang w:val="en-US"/>
        </w:rPr>
      </w:pPr>
      <w:r w:rsidRPr="00E00C4B">
        <w:rPr>
          <w:rFonts w:asciiTheme="majorHAnsi" w:hAnsiTheme="majorHAnsi" w:cstheme="majorHAnsi"/>
          <w:color w:val="000000" w:themeColor="text1"/>
          <w:lang w:val="en-US"/>
        </w:rPr>
        <w:t>COT is a DepEd tool and only DepEd personnel can use the tool for assessment.</w:t>
      </w:r>
      <w:r w:rsidR="00D434EB">
        <w:rPr>
          <w:rFonts w:asciiTheme="majorHAnsi" w:hAnsiTheme="majorHAnsi" w:cstheme="majorHAnsi"/>
          <w:color w:val="000000" w:themeColor="text1"/>
          <w:lang w:val="en-US"/>
        </w:rPr>
        <w:t xml:space="preserve"> </w:t>
      </w:r>
      <w:r w:rsidRPr="00E00C4B">
        <w:rPr>
          <w:rFonts w:asciiTheme="majorHAnsi" w:hAnsiTheme="majorHAnsi" w:cstheme="majorHAnsi"/>
          <w:color w:val="000000" w:themeColor="text1"/>
          <w:lang w:val="en-US"/>
        </w:rPr>
        <w:t>Using the TEACH tool provided a third-party assessment that is objective and based on a strict protocol.</w:t>
      </w:r>
      <w:r w:rsidR="00D434EB">
        <w:rPr>
          <w:rFonts w:asciiTheme="majorHAnsi" w:hAnsiTheme="majorHAnsi" w:cstheme="majorHAnsi"/>
          <w:color w:val="000000" w:themeColor="text1"/>
          <w:lang w:val="en-US"/>
        </w:rPr>
        <w:t xml:space="preserve"> </w:t>
      </w:r>
      <w:r w:rsidRPr="00E00C4B">
        <w:rPr>
          <w:rFonts w:asciiTheme="majorHAnsi" w:hAnsiTheme="majorHAnsi" w:cstheme="majorHAnsi"/>
          <w:color w:val="000000" w:themeColor="text1"/>
          <w:lang w:val="en-US"/>
        </w:rPr>
        <w:t>The intent of the research is not to assess which is the better tool but to validate if the results of the COT would match the result of the TEACH tool.</w:t>
      </w:r>
    </w:p>
    <w:p w14:paraId="6E969F4F" w14:textId="678250A9" w:rsidR="008D0CAD" w:rsidRPr="00E00C4B" w:rsidRDefault="008D0CAD" w:rsidP="00796BFA">
      <w:pPr>
        <w:spacing w:before="100" w:beforeAutospacing="1" w:after="100" w:afterAutospacing="1" w:line="360" w:lineRule="auto"/>
        <w:rPr>
          <w:rFonts w:asciiTheme="majorHAnsi" w:hAnsiTheme="majorHAnsi" w:cstheme="majorHAnsi"/>
          <w:color w:val="000000"/>
          <w:lang w:val="en-US"/>
        </w:rPr>
      </w:pPr>
      <w:r w:rsidRPr="00E00C4B">
        <w:rPr>
          <w:rFonts w:asciiTheme="majorHAnsi" w:hAnsiTheme="majorHAnsi" w:cstheme="majorHAnsi"/>
          <w:color w:val="000000"/>
          <w:lang w:val="en-US"/>
        </w:rPr>
        <w:t>All COT KRAs are represented in TEACH. Looking at the description of the KRAs in comparison to the TEACH Tool, behaviors described in KRAs 4, 7, 8, and 9 fall under the element Learning Facilitation (LF).</w:t>
      </w:r>
      <w:r w:rsidR="00D434EB">
        <w:rPr>
          <w:rFonts w:asciiTheme="majorHAnsi" w:hAnsiTheme="majorHAnsi" w:cstheme="majorHAnsi"/>
          <w:color w:val="000000"/>
          <w:lang w:val="en-US"/>
        </w:rPr>
        <w:t xml:space="preserve"> </w:t>
      </w:r>
      <w:r w:rsidRPr="00E00C4B">
        <w:rPr>
          <w:rFonts w:asciiTheme="majorHAnsi" w:hAnsiTheme="majorHAnsi" w:cstheme="majorHAnsi"/>
          <w:color w:val="000000"/>
          <w:lang w:val="en-US"/>
        </w:rPr>
        <w:t xml:space="preserve">The criteria in KRA 9 can be observed in two TEACH elements – Learning Facilitation and Checks for Understanding. </w:t>
      </w:r>
    </w:p>
    <w:p w14:paraId="236A86F2" w14:textId="77777777" w:rsidR="008D0CAD" w:rsidRPr="00E00C4B" w:rsidRDefault="008D0CAD" w:rsidP="00796BFA">
      <w:pPr>
        <w:spacing w:before="100" w:beforeAutospacing="1" w:after="100" w:afterAutospacing="1" w:line="360" w:lineRule="auto"/>
        <w:rPr>
          <w:rFonts w:asciiTheme="majorHAnsi" w:hAnsiTheme="majorHAnsi" w:cstheme="majorHAnsi"/>
          <w:b/>
          <w:color w:val="000000"/>
          <w:lang w:val="en-US"/>
        </w:rPr>
      </w:pPr>
      <w:r w:rsidRPr="00E00C4B">
        <w:rPr>
          <w:rFonts w:asciiTheme="majorHAnsi" w:hAnsiTheme="majorHAnsi" w:cstheme="majorHAnsi"/>
          <w:color w:val="000000"/>
          <w:lang w:val="en-US"/>
        </w:rPr>
        <w:t xml:space="preserve">On the other hand, the </w:t>
      </w:r>
      <w:r w:rsidRPr="00E00C4B">
        <w:rPr>
          <w:rFonts w:asciiTheme="majorHAnsi" w:hAnsiTheme="majorHAnsi" w:cstheme="majorHAnsi"/>
          <w:b/>
          <w:color w:val="000000"/>
          <w:lang w:val="en-US"/>
        </w:rPr>
        <w:t>TEACH tool does not look at curriculum content and the lessons alignment with the curriculum (KRA 1).</w:t>
      </w:r>
      <w:r w:rsidRPr="00E00C4B">
        <w:rPr>
          <w:rFonts w:asciiTheme="majorHAnsi" w:hAnsiTheme="majorHAnsi" w:cstheme="majorHAnsi"/>
          <w:color w:val="000000"/>
          <w:lang w:val="en-US"/>
        </w:rPr>
        <w:t xml:space="preserve"> </w:t>
      </w:r>
      <w:r w:rsidRPr="00E00C4B">
        <w:rPr>
          <w:rFonts w:asciiTheme="majorHAnsi" w:hAnsiTheme="majorHAnsi" w:cstheme="majorHAnsi"/>
          <w:b/>
          <w:color w:val="000000"/>
          <w:lang w:val="en-US"/>
        </w:rPr>
        <w:t xml:space="preserve">As indicated in the TEACH Manual, the tool highlights the crucial role of teaching </w:t>
      </w:r>
      <w:r w:rsidRPr="00E00C4B">
        <w:rPr>
          <w:rFonts w:asciiTheme="majorHAnsi" w:hAnsiTheme="majorHAnsi" w:cstheme="majorHAnsi"/>
          <w:b/>
          <w:color w:val="000000" w:themeColor="text1"/>
          <w:lang w:val="en-US"/>
        </w:rPr>
        <w:t xml:space="preserve">practices in student learning outcomes. </w:t>
      </w:r>
    </w:p>
    <w:p w14:paraId="48C7C575"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lang w:val="en-US"/>
        </w:rPr>
      </w:pPr>
      <w:r w:rsidRPr="00E00C4B">
        <w:rPr>
          <w:rFonts w:asciiTheme="majorHAnsi" w:hAnsiTheme="majorHAnsi" w:cstheme="majorHAnsi"/>
          <w:color w:val="000000"/>
          <w:lang w:val="en-US"/>
        </w:rPr>
        <w:t xml:space="preserve">There are three elements in TEACH that are not specifically described in any of the COT KRAs. These are </w:t>
      </w:r>
      <w:r w:rsidRPr="00E00C4B">
        <w:rPr>
          <w:rFonts w:asciiTheme="majorHAnsi" w:hAnsiTheme="majorHAnsi" w:cstheme="majorHAnsi"/>
          <w:b/>
          <w:color w:val="000000"/>
          <w:lang w:val="en-US"/>
        </w:rPr>
        <w:t>Autonomy,</w:t>
      </w:r>
      <w:r w:rsidRPr="00E00C4B">
        <w:rPr>
          <w:rFonts w:asciiTheme="majorHAnsi" w:hAnsiTheme="majorHAnsi" w:cstheme="majorHAnsi"/>
          <w:color w:val="000000"/>
          <w:lang w:val="en-US"/>
        </w:rPr>
        <w:t xml:space="preserve"> </w:t>
      </w:r>
      <w:r w:rsidRPr="00E00C4B">
        <w:rPr>
          <w:rFonts w:asciiTheme="majorHAnsi" w:hAnsiTheme="majorHAnsi" w:cstheme="majorHAnsi"/>
          <w:b/>
          <w:color w:val="000000"/>
          <w:lang w:val="en-US"/>
        </w:rPr>
        <w:t>Feedback and Perseverance</w:t>
      </w:r>
      <w:r w:rsidRPr="00E00C4B">
        <w:rPr>
          <w:rFonts w:asciiTheme="majorHAnsi" w:hAnsiTheme="majorHAnsi" w:cstheme="majorHAnsi"/>
          <w:color w:val="000000"/>
          <w:lang w:val="en-US"/>
        </w:rPr>
        <w:t xml:space="preserve"> which falls under instruction and socio-emotional skills, respectively. </w:t>
      </w:r>
    </w:p>
    <w:p w14:paraId="32EF07A6"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lang w:val="en-US"/>
        </w:rPr>
      </w:pPr>
      <w:r w:rsidRPr="00E00C4B">
        <w:rPr>
          <w:rFonts w:asciiTheme="majorHAnsi" w:hAnsiTheme="majorHAnsi" w:cstheme="majorHAnsi"/>
          <w:color w:val="000000"/>
          <w:lang w:val="en-US"/>
        </w:rPr>
        <w:t>Comparison of COT and TEACH parameters</w:t>
      </w:r>
    </w:p>
    <w:tbl>
      <w:tblPr>
        <w:tblStyle w:val="TableGrid18"/>
        <w:tblW w:w="0" w:type="auto"/>
        <w:tblLook w:val="04A0" w:firstRow="1" w:lastRow="0" w:firstColumn="1" w:lastColumn="0" w:noHBand="0" w:noVBand="1"/>
      </w:tblPr>
      <w:tblGrid>
        <w:gridCol w:w="4505"/>
        <w:gridCol w:w="4505"/>
      </w:tblGrid>
      <w:tr w:rsidR="008D0CAD" w:rsidRPr="004B064D" w14:paraId="3245A345" w14:textId="77777777" w:rsidTr="004B064D">
        <w:trPr>
          <w:tblHeader/>
        </w:trPr>
        <w:tc>
          <w:tcPr>
            <w:tcW w:w="4505" w:type="dxa"/>
          </w:tcPr>
          <w:p w14:paraId="17054599"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000000"/>
                <w:sz w:val="20"/>
                <w:szCs w:val="20"/>
                <w:lang w:val="en-US"/>
              </w:rPr>
            </w:pPr>
            <w:r w:rsidRPr="004B064D">
              <w:rPr>
                <w:rFonts w:asciiTheme="majorHAnsi" w:hAnsiTheme="majorHAnsi" w:cstheme="majorHAnsi"/>
                <w:b/>
                <w:bCs/>
                <w:color w:val="000000"/>
                <w:sz w:val="20"/>
                <w:szCs w:val="20"/>
                <w:lang w:val="en-US"/>
              </w:rPr>
              <w:t>COT</w:t>
            </w:r>
          </w:p>
        </w:tc>
        <w:tc>
          <w:tcPr>
            <w:tcW w:w="4505" w:type="dxa"/>
          </w:tcPr>
          <w:p w14:paraId="404BAD56"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000000"/>
                <w:sz w:val="20"/>
                <w:szCs w:val="20"/>
                <w:lang w:val="en-US"/>
              </w:rPr>
            </w:pPr>
            <w:r w:rsidRPr="004B064D">
              <w:rPr>
                <w:rFonts w:asciiTheme="majorHAnsi" w:hAnsiTheme="majorHAnsi" w:cstheme="majorHAnsi"/>
                <w:b/>
                <w:bCs/>
                <w:color w:val="000000"/>
                <w:sz w:val="20"/>
                <w:szCs w:val="20"/>
                <w:lang w:val="en-US"/>
              </w:rPr>
              <w:t>TEACH ELEMENTS</w:t>
            </w:r>
          </w:p>
        </w:tc>
      </w:tr>
      <w:tr w:rsidR="008D0CAD" w:rsidRPr="00E00C4B" w14:paraId="228FB5B3" w14:textId="77777777" w:rsidTr="0048024E">
        <w:tc>
          <w:tcPr>
            <w:tcW w:w="4505" w:type="dxa"/>
          </w:tcPr>
          <w:p w14:paraId="34955E8A" w14:textId="0D5D5297" w:rsidR="008D0CAD" w:rsidRPr="00E00C4B" w:rsidRDefault="008D0CAD" w:rsidP="00796BFA">
            <w:pPr>
              <w:spacing w:before="100" w:beforeAutospacing="1" w:after="100" w:afterAutospacing="1" w:line="360" w:lineRule="auto"/>
              <w:ind w:left="709" w:hanging="709"/>
              <w:rPr>
                <w:rFonts w:asciiTheme="majorHAnsi" w:hAnsiTheme="majorHAnsi" w:cstheme="majorHAnsi"/>
                <w:color w:val="000000"/>
                <w:sz w:val="20"/>
                <w:szCs w:val="20"/>
                <w:lang w:val="en-US"/>
              </w:rPr>
            </w:pPr>
            <w:r w:rsidRPr="00E00C4B">
              <w:rPr>
                <w:rFonts w:asciiTheme="majorHAnsi" w:hAnsiTheme="majorHAnsi" w:cstheme="majorHAnsi"/>
                <w:b/>
                <w:color w:val="000000"/>
                <w:sz w:val="20"/>
                <w:szCs w:val="20"/>
                <w:lang w:val="en-US"/>
              </w:rPr>
              <w:t>KRA 1.</w:t>
            </w:r>
            <w:r w:rsidR="00D434EB">
              <w:rPr>
                <w:rFonts w:asciiTheme="majorHAnsi" w:hAnsiTheme="majorHAnsi" w:cstheme="majorHAnsi"/>
                <w:color w:val="000000"/>
                <w:sz w:val="20"/>
                <w:szCs w:val="20"/>
                <w:lang w:val="en-US"/>
              </w:rPr>
              <w:t xml:space="preserve"> </w:t>
            </w:r>
            <w:r w:rsidRPr="00E00C4B">
              <w:rPr>
                <w:rFonts w:asciiTheme="majorHAnsi" w:hAnsiTheme="majorHAnsi" w:cstheme="majorHAnsi"/>
                <w:color w:val="000000"/>
                <w:sz w:val="20"/>
                <w:szCs w:val="20"/>
                <w:lang w:val="en-US"/>
              </w:rPr>
              <w:t>Applies knowledge of content within and across curriculum</w:t>
            </w:r>
          </w:p>
        </w:tc>
        <w:tc>
          <w:tcPr>
            <w:tcW w:w="4505" w:type="dxa"/>
          </w:tcPr>
          <w:p w14:paraId="6158B11E"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p>
        </w:tc>
      </w:tr>
      <w:tr w:rsidR="008D0CAD" w:rsidRPr="00E00C4B" w14:paraId="71BCDBA1" w14:textId="77777777" w:rsidTr="0048024E">
        <w:tc>
          <w:tcPr>
            <w:tcW w:w="4505" w:type="dxa"/>
          </w:tcPr>
          <w:p w14:paraId="7E3A59C8" w14:textId="5036339C" w:rsidR="008D0CAD" w:rsidRPr="00E00C4B" w:rsidRDefault="008D0CAD" w:rsidP="00796BFA">
            <w:pPr>
              <w:spacing w:before="100" w:beforeAutospacing="1" w:after="100" w:afterAutospacing="1" w:line="360" w:lineRule="auto"/>
              <w:ind w:left="736" w:hanging="709"/>
              <w:rPr>
                <w:rFonts w:asciiTheme="majorHAnsi" w:hAnsiTheme="majorHAnsi" w:cstheme="majorHAnsi"/>
                <w:color w:val="000000"/>
                <w:sz w:val="20"/>
                <w:szCs w:val="20"/>
                <w:lang w:val="en-US"/>
              </w:rPr>
            </w:pPr>
            <w:r w:rsidRPr="00E00C4B">
              <w:rPr>
                <w:rFonts w:asciiTheme="majorHAnsi" w:hAnsiTheme="majorHAnsi" w:cstheme="majorHAnsi"/>
                <w:b/>
                <w:color w:val="000000"/>
                <w:sz w:val="20"/>
                <w:szCs w:val="20"/>
                <w:lang w:val="en-US"/>
              </w:rPr>
              <w:t>KRA 2.</w:t>
            </w:r>
            <w:r w:rsidR="00D434EB">
              <w:rPr>
                <w:rFonts w:asciiTheme="majorHAnsi" w:hAnsiTheme="majorHAnsi" w:cstheme="majorHAnsi"/>
                <w:color w:val="000000"/>
                <w:sz w:val="20"/>
                <w:szCs w:val="20"/>
                <w:lang w:val="en-US"/>
              </w:rPr>
              <w:t xml:space="preserve"> </w:t>
            </w:r>
            <w:r w:rsidRPr="00E00C4B">
              <w:rPr>
                <w:rFonts w:asciiTheme="majorHAnsi" w:hAnsiTheme="majorHAnsi" w:cstheme="majorHAnsi"/>
                <w:color w:val="000000"/>
                <w:sz w:val="20"/>
                <w:szCs w:val="20"/>
                <w:lang w:val="en-US"/>
              </w:rPr>
              <w:t>Uses a range of teaching strategies that enhance learner achievement in literacy and numeracy skill</w:t>
            </w:r>
          </w:p>
        </w:tc>
        <w:tc>
          <w:tcPr>
            <w:tcW w:w="4505" w:type="dxa"/>
          </w:tcPr>
          <w:p w14:paraId="1F9351FB" w14:textId="77777777" w:rsidR="008D0CAD" w:rsidRPr="00E00C4B" w:rsidRDefault="008D0CAD" w:rsidP="00796BFA">
            <w:pPr>
              <w:spacing w:before="100" w:beforeAutospacing="1" w:after="100" w:afterAutospacing="1" w:line="360" w:lineRule="auto"/>
              <w:rPr>
                <w:rFonts w:asciiTheme="majorHAnsi" w:hAnsiTheme="majorHAnsi" w:cstheme="majorHAnsi"/>
                <w:b/>
                <w:color w:val="000000"/>
                <w:sz w:val="20"/>
                <w:szCs w:val="20"/>
                <w:lang w:val="en-US"/>
              </w:rPr>
            </w:pPr>
            <w:r w:rsidRPr="00E00C4B">
              <w:rPr>
                <w:rFonts w:asciiTheme="majorHAnsi" w:hAnsiTheme="majorHAnsi" w:cstheme="majorHAnsi"/>
                <w:color w:val="000000"/>
                <w:sz w:val="20"/>
                <w:szCs w:val="20"/>
                <w:lang w:val="en-US"/>
              </w:rPr>
              <w:t>Supportive Learning Environment (SLE)</w:t>
            </w:r>
          </w:p>
        </w:tc>
      </w:tr>
      <w:tr w:rsidR="008D0CAD" w:rsidRPr="00E00C4B" w14:paraId="053A5BED" w14:textId="77777777" w:rsidTr="0048024E">
        <w:tc>
          <w:tcPr>
            <w:tcW w:w="4505" w:type="dxa"/>
          </w:tcPr>
          <w:p w14:paraId="75429A55" w14:textId="4A66CFD2" w:rsidR="008D0CAD" w:rsidRPr="00E00C4B" w:rsidRDefault="008D0CAD" w:rsidP="00796BFA">
            <w:pPr>
              <w:spacing w:before="100" w:beforeAutospacing="1" w:after="100" w:afterAutospacing="1" w:line="360" w:lineRule="auto"/>
              <w:ind w:left="765" w:hanging="737"/>
              <w:rPr>
                <w:rFonts w:asciiTheme="majorHAnsi" w:hAnsiTheme="majorHAnsi" w:cstheme="majorHAnsi"/>
                <w:color w:val="000000"/>
                <w:sz w:val="20"/>
                <w:szCs w:val="20"/>
                <w:lang w:val="en-US"/>
              </w:rPr>
            </w:pPr>
            <w:r w:rsidRPr="00E00C4B">
              <w:rPr>
                <w:rFonts w:asciiTheme="majorHAnsi" w:hAnsiTheme="majorHAnsi" w:cstheme="majorHAnsi"/>
                <w:b/>
                <w:color w:val="000000"/>
                <w:sz w:val="20"/>
                <w:szCs w:val="20"/>
                <w:lang w:val="en-US"/>
              </w:rPr>
              <w:t>KRA 3.</w:t>
            </w:r>
            <w:r w:rsidR="00D434EB">
              <w:rPr>
                <w:rFonts w:asciiTheme="majorHAnsi" w:hAnsiTheme="majorHAnsi" w:cstheme="majorHAnsi"/>
                <w:color w:val="000000"/>
                <w:sz w:val="20"/>
                <w:szCs w:val="20"/>
                <w:lang w:val="en-US"/>
              </w:rPr>
              <w:t xml:space="preserve"> </w:t>
            </w:r>
            <w:r w:rsidRPr="00E00C4B">
              <w:rPr>
                <w:rFonts w:asciiTheme="majorHAnsi" w:hAnsiTheme="majorHAnsi" w:cstheme="majorHAnsi"/>
                <w:color w:val="000000"/>
                <w:sz w:val="20"/>
                <w:szCs w:val="20"/>
                <w:lang w:val="en-US"/>
              </w:rPr>
              <w:t xml:space="preserve"> Applies a range of teaching strategies to develop critical thinking</w:t>
            </w:r>
          </w:p>
        </w:tc>
        <w:tc>
          <w:tcPr>
            <w:tcW w:w="4505" w:type="dxa"/>
          </w:tcPr>
          <w:p w14:paraId="1727AFFC"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Critical Thinking (CT)</w:t>
            </w:r>
          </w:p>
          <w:p w14:paraId="689708D2"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p>
        </w:tc>
      </w:tr>
      <w:tr w:rsidR="008D0CAD" w:rsidRPr="00E00C4B" w14:paraId="325E71B2" w14:textId="77777777" w:rsidTr="0048024E">
        <w:tc>
          <w:tcPr>
            <w:tcW w:w="4505" w:type="dxa"/>
          </w:tcPr>
          <w:p w14:paraId="2AE53B56" w14:textId="53A634D8" w:rsidR="008D0CAD" w:rsidRPr="00E00C4B" w:rsidRDefault="008D0CAD" w:rsidP="00796BFA">
            <w:pPr>
              <w:spacing w:before="100" w:beforeAutospacing="1" w:after="100" w:afterAutospacing="1" w:line="360" w:lineRule="auto"/>
              <w:ind w:left="737" w:hanging="737"/>
              <w:rPr>
                <w:rFonts w:asciiTheme="majorHAnsi" w:hAnsiTheme="majorHAnsi" w:cstheme="majorHAnsi"/>
                <w:color w:val="000000"/>
                <w:sz w:val="20"/>
                <w:szCs w:val="20"/>
                <w:lang w:val="en-US"/>
              </w:rPr>
            </w:pPr>
            <w:r w:rsidRPr="00E00C4B">
              <w:rPr>
                <w:rFonts w:asciiTheme="majorHAnsi" w:hAnsiTheme="majorHAnsi" w:cstheme="majorHAnsi"/>
                <w:b/>
                <w:color w:val="000000"/>
                <w:sz w:val="20"/>
                <w:szCs w:val="20"/>
                <w:lang w:val="en-US"/>
              </w:rPr>
              <w:t>KRA 4.</w:t>
            </w:r>
            <w:r w:rsidR="00D434EB">
              <w:rPr>
                <w:rFonts w:asciiTheme="majorHAnsi" w:hAnsiTheme="majorHAnsi" w:cstheme="majorHAnsi"/>
                <w:color w:val="000000"/>
                <w:sz w:val="20"/>
                <w:szCs w:val="20"/>
                <w:lang w:val="en-US"/>
              </w:rPr>
              <w:t xml:space="preserve">  </w:t>
            </w:r>
            <w:r w:rsidRPr="00E00C4B">
              <w:rPr>
                <w:rFonts w:asciiTheme="majorHAnsi" w:hAnsiTheme="majorHAnsi" w:cstheme="majorHAnsi"/>
                <w:color w:val="000000"/>
                <w:sz w:val="20"/>
                <w:szCs w:val="20"/>
                <w:lang w:val="en-US"/>
              </w:rPr>
              <w:t>Manages classroom structure to engage learners, individually or in groups, in meaningful exploration, discovery and hands-on activities within a range of physical learning environments</w:t>
            </w:r>
          </w:p>
        </w:tc>
        <w:tc>
          <w:tcPr>
            <w:tcW w:w="4505" w:type="dxa"/>
          </w:tcPr>
          <w:p w14:paraId="37221A79"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Learning Facilitation (LF)</w:t>
            </w:r>
          </w:p>
        </w:tc>
      </w:tr>
      <w:tr w:rsidR="008D0CAD" w:rsidRPr="00E00C4B" w14:paraId="52710B34" w14:textId="77777777" w:rsidTr="0048024E">
        <w:tc>
          <w:tcPr>
            <w:tcW w:w="4505" w:type="dxa"/>
          </w:tcPr>
          <w:p w14:paraId="6C3C760E" w14:textId="61F4AF20" w:rsidR="008D0CAD" w:rsidRPr="00E00C4B" w:rsidRDefault="008D0CAD" w:rsidP="00796BFA">
            <w:pPr>
              <w:spacing w:before="100" w:beforeAutospacing="1" w:after="100" w:afterAutospacing="1" w:line="360" w:lineRule="auto"/>
              <w:ind w:left="737" w:hanging="737"/>
              <w:rPr>
                <w:rFonts w:asciiTheme="majorHAnsi" w:hAnsiTheme="majorHAnsi" w:cstheme="majorHAnsi"/>
                <w:color w:val="000000"/>
                <w:sz w:val="20"/>
                <w:szCs w:val="20"/>
                <w:lang w:val="en-US"/>
              </w:rPr>
            </w:pPr>
            <w:r w:rsidRPr="00E00C4B">
              <w:rPr>
                <w:rFonts w:asciiTheme="majorHAnsi" w:hAnsiTheme="majorHAnsi" w:cstheme="majorHAnsi"/>
                <w:b/>
                <w:color w:val="000000"/>
                <w:sz w:val="20"/>
                <w:szCs w:val="20"/>
                <w:lang w:val="en-US"/>
              </w:rPr>
              <w:t>KRA 5.</w:t>
            </w:r>
            <w:r w:rsidR="00D434EB">
              <w:rPr>
                <w:rFonts w:asciiTheme="majorHAnsi" w:hAnsiTheme="majorHAnsi" w:cstheme="majorHAnsi"/>
                <w:color w:val="000000"/>
                <w:sz w:val="20"/>
                <w:szCs w:val="20"/>
                <w:lang w:val="en-US"/>
              </w:rPr>
              <w:t xml:space="preserve">  </w:t>
            </w:r>
            <w:r w:rsidRPr="00E00C4B">
              <w:rPr>
                <w:rFonts w:asciiTheme="majorHAnsi" w:hAnsiTheme="majorHAnsi" w:cstheme="majorHAnsi"/>
                <w:color w:val="000000"/>
                <w:sz w:val="20"/>
                <w:szCs w:val="20"/>
                <w:lang w:val="en-US"/>
              </w:rPr>
              <w:t>Manages learner behavior constructively by applying positive and non-violent discipline to ensure learning-focused environments</w:t>
            </w:r>
          </w:p>
        </w:tc>
        <w:tc>
          <w:tcPr>
            <w:tcW w:w="4505" w:type="dxa"/>
          </w:tcPr>
          <w:p w14:paraId="6689E05C"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Positive Behavioral Expectations (PBE)</w:t>
            </w:r>
          </w:p>
        </w:tc>
      </w:tr>
      <w:tr w:rsidR="008D0CAD" w:rsidRPr="00E00C4B" w14:paraId="6EC0D966" w14:textId="77777777" w:rsidTr="0048024E">
        <w:tc>
          <w:tcPr>
            <w:tcW w:w="4505" w:type="dxa"/>
          </w:tcPr>
          <w:p w14:paraId="55C7A54D" w14:textId="54351D57" w:rsidR="008D0CAD" w:rsidRPr="00E00C4B" w:rsidRDefault="008D0CAD" w:rsidP="00796BFA">
            <w:pPr>
              <w:numPr>
                <w:ilvl w:val="0"/>
                <w:numId w:val="154"/>
              </w:numPr>
              <w:spacing w:before="100" w:beforeAutospacing="1" w:after="100" w:afterAutospacing="1" w:line="360" w:lineRule="auto"/>
              <w:ind w:left="0"/>
              <w:contextualSpacing/>
              <w:rPr>
                <w:rFonts w:asciiTheme="majorHAnsi" w:hAnsiTheme="majorHAnsi" w:cstheme="majorHAnsi"/>
                <w:snapToGrid w:val="0"/>
                <w:color w:val="000000"/>
                <w:sz w:val="20"/>
                <w:szCs w:val="20"/>
                <w:lang w:val="en-US"/>
              </w:rPr>
            </w:pPr>
            <w:r w:rsidRPr="00E00C4B">
              <w:rPr>
                <w:rFonts w:asciiTheme="majorHAnsi" w:hAnsiTheme="majorHAnsi" w:cstheme="majorHAnsi"/>
                <w:b/>
                <w:snapToGrid w:val="0"/>
                <w:color w:val="000000"/>
                <w:sz w:val="20"/>
                <w:szCs w:val="20"/>
                <w:lang w:val="en-US"/>
              </w:rPr>
              <w:t>KRA 6.</w:t>
            </w:r>
            <w:r w:rsidRPr="00E00C4B">
              <w:rPr>
                <w:rFonts w:asciiTheme="majorHAnsi" w:hAnsiTheme="majorHAnsi" w:cstheme="majorHAnsi"/>
                <w:snapToGrid w:val="0"/>
                <w:color w:val="000000"/>
                <w:sz w:val="20"/>
                <w:szCs w:val="20"/>
                <w:lang w:val="en-US"/>
              </w:rPr>
              <w:t xml:space="preserve"> Uses differentiated, developmentally appropriate learning experiences to address learners</w:t>
            </w:r>
            <w:r w:rsidR="001E2886" w:rsidRPr="00E00C4B">
              <w:rPr>
                <w:rFonts w:asciiTheme="majorHAnsi" w:hAnsiTheme="majorHAnsi" w:cstheme="majorHAnsi"/>
                <w:snapToGrid w:val="0"/>
                <w:color w:val="000000"/>
                <w:sz w:val="20"/>
                <w:szCs w:val="20"/>
                <w:lang w:val="en-US"/>
              </w:rPr>
              <w:t>’ gender</w:t>
            </w:r>
            <w:r w:rsidRPr="00E00C4B">
              <w:rPr>
                <w:rFonts w:asciiTheme="majorHAnsi" w:hAnsiTheme="majorHAnsi" w:cstheme="majorHAnsi"/>
                <w:snapToGrid w:val="0"/>
                <w:color w:val="000000"/>
                <w:sz w:val="20"/>
                <w:szCs w:val="20"/>
                <w:lang w:val="en-US"/>
              </w:rPr>
              <w:t>, needs, strengths, interests and experiences</w:t>
            </w:r>
          </w:p>
        </w:tc>
        <w:tc>
          <w:tcPr>
            <w:tcW w:w="4505" w:type="dxa"/>
          </w:tcPr>
          <w:p w14:paraId="671D6BE3"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Supportive Learning Environment (SLE)</w:t>
            </w:r>
          </w:p>
        </w:tc>
      </w:tr>
      <w:tr w:rsidR="008D0CAD" w:rsidRPr="00E00C4B" w14:paraId="17EC3A1C" w14:textId="77777777" w:rsidTr="0048024E">
        <w:tc>
          <w:tcPr>
            <w:tcW w:w="4505" w:type="dxa"/>
          </w:tcPr>
          <w:p w14:paraId="77611A82" w14:textId="77777777" w:rsidR="008D0CAD" w:rsidRPr="00E00C4B" w:rsidRDefault="008D0CAD" w:rsidP="00796BFA">
            <w:pPr>
              <w:numPr>
                <w:ilvl w:val="0"/>
                <w:numId w:val="154"/>
              </w:numPr>
              <w:spacing w:before="100" w:beforeAutospacing="1" w:after="100" w:afterAutospacing="1" w:line="360" w:lineRule="auto"/>
              <w:ind w:left="0"/>
              <w:contextualSpacing/>
              <w:rPr>
                <w:rFonts w:asciiTheme="majorHAnsi" w:hAnsiTheme="majorHAnsi" w:cstheme="majorHAnsi"/>
                <w:snapToGrid w:val="0"/>
                <w:color w:val="000000"/>
                <w:sz w:val="20"/>
                <w:szCs w:val="20"/>
                <w:lang w:val="en-US"/>
              </w:rPr>
            </w:pPr>
            <w:r w:rsidRPr="00E00C4B">
              <w:rPr>
                <w:rFonts w:asciiTheme="majorHAnsi" w:hAnsiTheme="majorHAnsi" w:cstheme="majorHAnsi"/>
                <w:b/>
                <w:snapToGrid w:val="0"/>
                <w:color w:val="000000"/>
                <w:sz w:val="20"/>
                <w:szCs w:val="20"/>
                <w:lang w:val="en-US"/>
              </w:rPr>
              <w:t>KRA 7.</w:t>
            </w:r>
            <w:r w:rsidRPr="00E00C4B">
              <w:rPr>
                <w:rFonts w:asciiTheme="majorHAnsi" w:hAnsiTheme="majorHAnsi" w:cstheme="majorHAnsi"/>
                <w:snapToGrid w:val="0"/>
                <w:color w:val="000000"/>
                <w:sz w:val="20"/>
                <w:szCs w:val="20"/>
                <w:lang w:val="en-US"/>
              </w:rPr>
              <w:t xml:space="preserve"> Plans, manages and implements developmentally sequenced teaching and learning processes to meet curriculum requirements and varied teaching contexts</w:t>
            </w:r>
          </w:p>
        </w:tc>
        <w:tc>
          <w:tcPr>
            <w:tcW w:w="4505" w:type="dxa"/>
          </w:tcPr>
          <w:p w14:paraId="6342E230"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Learning Facilitation (LF)</w:t>
            </w:r>
          </w:p>
        </w:tc>
      </w:tr>
      <w:tr w:rsidR="008D0CAD" w:rsidRPr="00E00C4B" w14:paraId="6D4D865A" w14:textId="77777777" w:rsidTr="0048024E">
        <w:tc>
          <w:tcPr>
            <w:tcW w:w="4505" w:type="dxa"/>
          </w:tcPr>
          <w:p w14:paraId="5C7E0283" w14:textId="77777777" w:rsidR="008D0CAD" w:rsidRPr="00E00C4B" w:rsidRDefault="008D0CAD" w:rsidP="00796BFA">
            <w:pPr>
              <w:numPr>
                <w:ilvl w:val="0"/>
                <w:numId w:val="154"/>
              </w:numPr>
              <w:spacing w:before="100" w:beforeAutospacing="1" w:after="100" w:afterAutospacing="1" w:line="360" w:lineRule="auto"/>
              <w:ind w:left="0"/>
              <w:contextualSpacing/>
              <w:rPr>
                <w:rFonts w:asciiTheme="majorHAnsi" w:hAnsiTheme="majorHAnsi" w:cstheme="majorHAnsi"/>
                <w:snapToGrid w:val="0"/>
                <w:color w:val="000000"/>
                <w:sz w:val="20"/>
                <w:szCs w:val="20"/>
                <w:lang w:val="en-US"/>
              </w:rPr>
            </w:pPr>
            <w:r w:rsidRPr="00E00C4B">
              <w:rPr>
                <w:rFonts w:asciiTheme="majorHAnsi" w:hAnsiTheme="majorHAnsi" w:cstheme="majorHAnsi"/>
                <w:b/>
                <w:snapToGrid w:val="0"/>
                <w:color w:val="000000"/>
                <w:sz w:val="20"/>
                <w:szCs w:val="20"/>
                <w:lang w:val="en-US"/>
              </w:rPr>
              <w:t>KRA 8.</w:t>
            </w:r>
            <w:r w:rsidRPr="00E00C4B">
              <w:rPr>
                <w:rFonts w:asciiTheme="majorHAnsi" w:hAnsiTheme="majorHAnsi" w:cstheme="majorHAnsi"/>
                <w:snapToGrid w:val="0"/>
                <w:color w:val="000000"/>
                <w:sz w:val="20"/>
                <w:szCs w:val="20"/>
                <w:lang w:val="en-US"/>
              </w:rPr>
              <w:t xml:space="preserve"> Selects, develops, organises, and uses appropriate teaching and learning resources, including ICT, to address learning goals</w:t>
            </w:r>
          </w:p>
        </w:tc>
        <w:tc>
          <w:tcPr>
            <w:tcW w:w="4505" w:type="dxa"/>
          </w:tcPr>
          <w:p w14:paraId="69333A39"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Learning Facilitation (LF)</w:t>
            </w:r>
          </w:p>
        </w:tc>
      </w:tr>
      <w:tr w:rsidR="008D0CAD" w:rsidRPr="00E00C4B" w14:paraId="3FDEFA27" w14:textId="77777777" w:rsidTr="0048024E">
        <w:tc>
          <w:tcPr>
            <w:tcW w:w="4505" w:type="dxa"/>
          </w:tcPr>
          <w:p w14:paraId="52282F3E" w14:textId="77777777" w:rsidR="008D0CAD" w:rsidRPr="00E00C4B" w:rsidRDefault="008D0CAD" w:rsidP="00796BFA">
            <w:pPr>
              <w:numPr>
                <w:ilvl w:val="0"/>
                <w:numId w:val="154"/>
              </w:numPr>
              <w:spacing w:before="100" w:beforeAutospacing="1" w:after="100" w:afterAutospacing="1" w:line="360" w:lineRule="auto"/>
              <w:ind w:left="0"/>
              <w:contextualSpacing/>
              <w:rPr>
                <w:rFonts w:asciiTheme="majorHAnsi" w:hAnsiTheme="majorHAnsi" w:cstheme="majorHAnsi"/>
                <w:snapToGrid w:val="0"/>
                <w:color w:val="000000"/>
                <w:sz w:val="20"/>
                <w:szCs w:val="20"/>
                <w:lang w:val="en-US"/>
              </w:rPr>
            </w:pPr>
            <w:r w:rsidRPr="00E00C4B">
              <w:rPr>
                <w:rFonts w:asciiTheme="majorHAnsi" w:hAnsiTheme="majorHAnsi" w:cstheme="majorHAnsi"/>
                <w:b/>
                <w:snapToGrid w:val="0"/>
                <w:color w:val="000000"/>
                <w:sz w:val="20"/>
                <w:szCs w:val="20"/>
                <w:lang w:val="en-US"/>
              </w:rPr>
              <w:t>KRA 9.</w:t>
            </w:r>
            <w:r w:rsidRPr="00E00C4B">
              <w:rPr>
                <w:rFonts w:asciiTheme="majorHAnsi" w:hAnsiTheme="majorHAnsi" w:cstheme="majorHAnsi"/>
                <w:snapToGrid w:val="0"/>
                <w:color w:val="000000"/>
                <w:sz w:val="20"/>
                <w:szCs w:val="20"/>
                <w:lang w:val="en-US"/>
              </w:rPr>
              <w:t xml:space="preserve"> Designs, selects, organises, and uses diagnostic, formative and summative assessment strategies consistent with curriculum requirements</w:t>
            </w:r>
          </w:p>
        </w:tc>
        <w:tc>
          <w:tcPr>
            <w:tcW w:w="4505" w:type="dxa"/>
          </w:tcPr>
          <w:p w14:paraId="6AA943CC"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Learning Facilitation (LF)</w:t>
            </w:r>
          </w:p>
          <w:p w14:paraId="7A9AE6FC"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Checks for Understanding (CFU)</w:t>
            </w:r>
          </w:p>
          <w:p w14:paraId="239C57BF"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p>
        </w:tc>
      </w:tr>
      <w:tr w:rsidR="008D0CAD" w:rsidRPr="00E00C4B" w14:paraId="4566EA2C" w14:textId="77777777" w:rsidTr="0048024E">
        <w:tc>
          <w:tcPr>
            <w:tcW w:w="4505" w:type="dxa"/>
          </w:tcPr>
          <w:p w14:paraId="682F73BF"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p>
        </w:tc>
        <w:tc>
          <w:tcPr>
            <w:tcW w:w="4505" w:type="dxa"/>
          </w:tcPr>
          <w:p w14:paraId="7F784E75"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Feedback (FB)</w:t>
            </w:r>
          </w:p>
        </w:tc>
      </w:tr>
      <w:tr w:rsidR="008D0CAD" w:rsidRPr="00E00C4B" w14:paraId="12F7EC29" w14:textId="77777777" w:rsidTr="0048024E">
        <w:tc>
          <w:tcPr>
            <w:tcW w:w="4505" w:type="dxa"/>
          </w:tcPr>
          <w:p w14:paraId="183263A4"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p>
        </w:tc>
        <w:tc>
          <w:tcPr>
            <w:tcW w:w="4505" w:type="dxa"/>
          </w:tcPr>
          <w:p w14:paraId="60255342"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Autonomy (AU)</w:t>
            </w:r>
          </w:p>
        </w:tc>
      </w:tr>
      <w:tr w:rsidR="008D0CAD" w:rsidRPr="00E00C4B" w14:paraId="0741AF8F" w14:textId="77777777" w:rsidTr="0048024E">
        <w:tc>
          <w:tcPr>
            <w:tcW w:w="4505" w:type="dxa"/>
          </w:tcPr>
          <w:p w14:paraId="4C2BAAEC"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p>
        </w:tc>
        <w:tc>
          <w:tcPr>
            <w:tcW w:w="4505" w:type="dxa"/>
          </w:tcPr>
          <w:p w14:paraId="42490B42"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Perseverance (PE)</w:t>
            </w:r>
          </w:p>
        </w:tc>
      </w:tr>
    </w:tbl>
    <w:p w14:paraId="4717E353"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lang w:val="en-US"/>
        </w:rPr>
      </w:pPr>
      <w:r w:rsidRPr="00E00C4B">
        <w:rPr>
          <w:rFonts w:asciiTheme="majorHAnsi" w:hAnsiTheme="majorHAnsi" w:cstheme="majorHAnsi"/>
          <w:color w:val="000000"/>
          <w:lang w:val="en-US"/>
        </w:rPr>
        <w:t xml:space="preserve">In terms of reliability, it was observed that COT observation tool also has rubrics for rating. </w:t>
      </w:r>
    </w:p>
    <w:p w14:paraId="7A78BFCA" w14:textId="77777777" w:rsidR="008D0CAD" w:rsidRPr="00E00C4B" w:rsidRDefault="008D0CAD" w:rsidP="00796BFA">
      <w:pPr>
        <w:spacing w:before="100" w:beforeAutospacing="1" w:after="100" w:afterAutospacing="1" w:line="360" w:lineRule="auto"/>
        <w:rPr>
          <w:rFonts w:asciiTheme="majorHAnsi" w:hAnsiTheme="majorHAnsi" w:cstheme="majorHAnsi"/>
          <w:b/>
          <w:lang w:val="en-US"/>
        </w:rPr>
      </w:pPr>
      <w:bookmarkStart w:id="473" w:name="_Toc10533484"/>
      <w:bookmarkStart w:id="474" w:name="_Toc10534138"/>
      <w:bookmarkStart w:id="475" w:name="_Toc10542176"/>
      <w:r w:rsidRPr="00E00C4B">
        <w:rPr>
          <w:rFonts w:asciiTheme="majorHAnsi" w:hAnsiTheme="majorHAnsi" w:cstheme="majorHAnsi"/>
          <w:b/>
          <w:lang w:val="en-US"/>
        </w:rPr>
        <w:t>Comparison of Results (Priority 1)</w:t>
      </w:r>
      <w:bookmarkEnd w:id="473"/>
      <w:bookmarkEnd w:id="474"/>
      <w:bookmarkEnd w:id="475"/>
    </w:p>
    <w:p w14:paraId="343AFC34"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themeColor="text1"/>
          <w:lang w:val="en-US"/>
        </w:rPr>
      </w:pPr>
      <w:r w:rsidRPr="00E00C4B">
        <w:rPr>
          <w:rFonts w:asciiTheme="majorHAnsi" w:hAnsiTheme="majorHAnsi" w:cstheme="majorHAnsi"/>
          <w:color w:val="000000" w:themeColor="text1"/>
          <w:lang w:val="en-US"/>
        </w:rPr>
        <w:t xml:space="preserve">To compare the result of the COT and TEACH tools, seven teachers were observed and simultaneously rated using both tools. The COT observation was done following the COT protocol and the TEACH was conducted by the QED ADII-trained observer. </w:t>
      </w:r>
    </w:p>
    <w:p w14:paraId="55EA2D0F" w14:textId="02EF3A6B" w:rsidR="008D0CAD" w:rsidRPr="00E00C4B" w:rsidRDefault="008D0CAD" w:rsidP="00796BFA">
      <w:pPr>
        <w:spacing w:before="100" w:beforeAutospacing="1" w:after="100" w:afterAutospacing="1" w:line="360" w:lineRule="auto"/>
        <w:rPr>
          <w:rFonts w:asciiTheme="majorHAnsi" w:hAnsiTheme="majorHAnsi" w:cstheme="majorHAnsi"/>
          <w:color w:val="000000" w:themeColor="text1"/>
          <w:lang w:val="en-US"/>
        </w:rPr>
      </w:pPr>
      <w:r w:rsidRPr="00E00C4B">
        <w:rPr>
          <w:rFonts w:asciiTheme="majorHAnsi" w:hAnsiTheme="majorHAnsi" w:cstheme="majorHAnsi"/>
          <w:color w:val="000000" w:themeColor="text1"/>
          <w:lang w:val="en-US"/>
        </w:rPr>
        <w:t>The COT scores were converted to the RPMS 5-point scale and compared to the TEACH element scores.</w:t>
      </w:r>
      <w:r w:rsidR="00D434EB">
        <w:rPr>
          <w:rFonts w:asciiTheme="majorHAnsi" w:hAnsiTheme="majorHAnsi" w:cstheme="majorHAnsi"/>
          <w:color w:val="000000" w:themeColor="text1"/>
          <w:lang w:val="en-US"/>
        </w:rPr>
        <w:t xml:space="preserve"> </w:t>
      </w:r>
      <w:r w:rsidRPr="00E00C4B">
        <w:rPr>
          <w:rFonts w:asciiTheme="majorHAnsi" w:hAnsiTheme="majorHAnsi" w:cstheme="majorHAnsi"/>
          <w:color w:val="000000" w:themeColor="text1"/>
          <w:lang w:val="en-US"/>
        </w:rPr>
        <w:t>Presented below are the comparison of teacher rating in the different COT KRAs with similar TEACH elements. It should be noted that the TEACH score has a margin of error of 1 point thus, the 1-point deviation between the COT and TEACH score is still acceptable.</w:t>
      </w:r>
    </w:p>
    <w:p w14:paraId="13CF6DF2" w14:textId="67477E77" w:rsidR="008D0CAD" w:rsidRPr="00E00C4B" w:rsidRDefault="008D0CAD" w:rsidP="00796BFA">
      <w:pPr>
        <w:spacing w:before="100" w:beforeAutospacing="1" w:after="100" w:afterAutospacing="1" w:line="360" w:lineRule="auto"/>
        <w:rPr>
          <w:rFonts w:asciiTheme="majorHAnsi" w:hAnsiTheme="majorHAnsi" w:cstheme="majorHAnsi"/>
          <w:color w:val="000000" w:themeColor="text1"/>
          <w:lang w:val="en-US"/>
        </w:rPr>
      </w:pPr>
      <w:r w:rsidRPr="00E00C4B">
        <w:rPr>
          <w:rFonts w:asciiTheme="majorHAnsi" w:hAnsiTheme="majorHAnsi" w:cstheme="majorHAnsi"/>
          <w:color w:val="000000" w:themeColor="text1"/>
          <w:lang w:val="en-US"/>
        </w:rPr>
        <w:t>In Figure 1, the score in the five KRAs were similar with the score in LF.</w:t>
      </w:r>
      <w:r w:rsidR="00D434EB">
        <w:rPr>
          <w:rFonts w:asciiTheme="majorHAnsi" w:hAnsiTheme="majorHAnsi" w:cstheme="majorHAnsi"/>
          <w:color w:val="000000" w:themeColor="text1"/>
          <w:lang w:val="en-US"/>
        </w:rPr>
        <w:t xml:space="preserve"> </w:t>
      </w:r>
      <w:r w:rsidRPr="00E00C4B">
        <w:rPr>
          <w:rFonts w:asciiTheme="majorHAnsi" w:hAnsiTheme="majorHAnsi" w:cstheme="majorHAnsi"/>
          <w:color w:val="000000" w:themeColor="text1"/>
          <w:lang w:val="en-US"/>
        </w:rPr>
        <w:t>It can be concluded that the rating for Learning Facilitation approximated the COT scores for KRAs 4,7,8, and 9. Likewise, this is also an indication that the four KRAs are closely related to one another. In fact, in the TEACH tool, the KRAs are the specific behaviors observed under LF.</w:t>
      </w:r>
      <w:r w:rsidR="00D434EB">
        <w:rPr>
          <w:rFonts w:asciiTheme="majorHAnsi" w:hAnsiTheme="majorHAnsi" w:cstheme="majorHAnsi"/>
          <w:color w:val="000000" w:themeColor="text1"/>
          <w:lang w:val="en-US"/>
        </w:rPr>
        <w:t xml:space="preserve"> </w:t>
      </w:r>
      <w:r w:rsidRPr="00E00C4B">
        <w:rPr>
          <w:rFonts w:asciiTheme="majorHAnsi" w:hAnsiTheme="majorHAnsi" w:cstheme="majorHAnsi"/>
          <w:color w:val="000000" w:themeColor="text1"/>
          <w:lang w:val="en-US"/>
        </w:rPr>
        <w:t>Only for teachers E and F were there two-point deviations for KRAs 7 and 8.</w:t>
      </w:r>
    </w:p>
    <w:p w14:paraId="17B99A0F" w14:textId="3CCB8A33" w:rsidR="008D0CAD" w:rsidRPr="00E00C4B" w:rsidRDefault="008D0CAD" w:rsidP="00796BFA">
      <w:pPr>
        <w:spacing w:before="100" w:beforeAutospacing="1" w:after="100" w:afterAutospacing="1" w:line="360" w:lineRule="auto"/>
        <w:rPr>
          <w:rFonts w:asciiTheme="majorHAnsi" w:hAnsiTheme="majorHAnsi" w:cstheme="majorHAnsi"/>
          <w:color w:val="000000" w:themeColor="text1"/>
          <w:lang w:val="en-US"/>
        </w:rPr>
      </w:pPr>
      <w:r w:rsidRPr="00E00C4B">
        <w:rPr>
          <w:rFonts w:asciiTheme="majorHAnsi" w:hAnsiTheme="majorHAnsi" w:cstheme="majorHAnsi"/>
          <w:color w:val="000000"/>
          <w:lang w:val="en-US"/>
        </w:rPr>
        <w:t>The scores for KRAs 2 and 6 are mostly similar to the score for Supportive Learning Environment with an exception for Teacher G where there is a deviation of two points (Fig.2).</w:t>
      </w:r>
      <w:r w:rsidR="00D434EB">
        <w:rPr>
          <w:rFonts w:asciiTheme="majorHAnsi" w:hAnsiTheme="majorHAnsi" w:cstheme="majorHAnsi"/>
          <w:color w:val="000000"/>
          <w:lang w:val="en-US"/>
        </w:rPr>
        <w:t xml:space="preserve"> </w:t>
      </w:r>
      <w:r w:rsidRPr="00E00C4B">
        <w:rPr>
          <w:rFonts w:asciiTheme="majorHAnsi" w:hAnsiTheme="majorHAnsi" w:cstheme="majorHAnsi"/>
          <w:color w:val="000000"/>
          <w:lang w:val="en-US"/>
        </w:rPr>
        <w:t xml:space="preserve">This observation is also true for KRA5 vs PBE (Fig 3). </w:t>
      </w:r>
    </w:p>
    <w:p w14:paraId="4657ED51"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themeColor="text1"/>
          <w:lang w:val="en-US"/>
        </w:rPr>
      </w:pPr>
      <w:r w:rsidRPr="00E00C4B">
        <w:rPr>
          <w:rFonts w:asciiTheme="majorHAnsi" w:hAnsiTheme="majorHAnsi" w:cstheme="majorHAnsi"/>
          <w:color w:val="000000"/>
          <w:lang w:val="en-US"/>
        </w:rPr>
        <w:t xml:space="preserve">For KRA 4 and CT, the rating is similar for only three teachers (fig. 4). In the case of two teachers, the rating deviates by 3 points. For KRA 9 and CFU, the COT scores of four teachers are higher by two points compared to their score for CFU. </w:t>
      </w:r>
    </w:p>
    <w:p w14:paraId="217B97B6" w14:textId="77777777" w:rsidR="008D0CAD" w:rsidRPr="00E00C4B" w:rsidRDefault="008D0CAD" w:rsidP="00796BFA">
      <w:pPr>
        <w:spacing w:before="100" w:beforeAutospacing="1" w:after="100" w:afterAutospacing="1" w:line="360" w:lineRule="auto"/>
        <w:ind w:left="720"/>
        <w:rPr>
          <w:rFonts w:asciiTheme="majorHAnsi" w:hAnsiTheme="majorHAnsi" w:cstheme="majorHAnsi"/>
          <w:color w:val="000000" w:themeColor="text1"/>
          <w:lang w:val="en-US"/>
        </w:rPr>
      </w:pPr>
      <w:r w:rsidRPr="00E00C4B">
        <w:rPr>
          <w:rFonts w:asciiTheme="majorHAnsi" w:hAnsiTheme="majorHAnsi" w:cstheme="majorHAnsi"/>
          <w:noProof/>
          <w:lang w:val="en-AU" w:eastAsia="en-AU"/>
        </w:rPr>
        <w:drawing>
          <wp:inline distT="0" distB="0" distL="0" distR="0" wp14:anchorId="29B49C73" wp14:editId="10E2A898">
            <wp:extent cx="4572000" cy="2743200"/>
            <wp:effectExtent l="0" t="0" r="12700" b="12700"/>
            <wp:docPr id="47" name="Chart 47" descr="Bar Chart of KRAs 4, 7, 8 and 9 against learning facilitation">
              <a:extLst xmlns:a="http://schemas.openxmlformats.org/drawingml/2006/main">
                <a:ext uri="{FF2B5EF4-FFF2-40B4-BE49-F238E27FC236}">
                  <a16:creationId xmlns:a16="http://schemas.microsoft.com/office/drawing/2014/main" id="{FA692444-5803-8A47-B942-558A5EFD4F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1D77F2F1" w14:textId="77777777" w:rsidR="008D0CAD" w:rsidRPr="00E00C4B" w:rsidRDefault="008D0CAD" w:rsidP="00796BFA">
      <w:pPr>
        <w:spacing w:before="100" w:beforeAutospacing="1" w:after="100" w:afterAutospacing="1" w:line="360" w:lineRule="auto"/>
        <w:ind w:left="720"/>
        <w:rPr>
          <w:rFonts w:asciiTheme="majorHAnsi" w:hAnsiTheme="majorHAnsi" w:cstheme="majorHAnsi"/>
          <w:color w:val="000000"/>
          <w:lang w:val="en-US"/>
        </w:rPr>
      </w:pPr>
      <w:r w:rsidRPr="00E00C4B">
        <w:rPr>
          <w:rFonts w:asciiTheme="majorHAnsi" w:hAnsiTheme="majorHAnsi" w:cstheme="majorHAnsi"/>
          <w:noProof/>
          <w:lang w:val="en-AU" w:eastAsia="en-AU"/>
        </w:rPr>
        <w:drawing>
          <wp:inline distT="0" distB="0" distL="0" distR="0" wp14:anchorId="626A8743" wp14:editId="2BD41073">
            <wp:extent cx="4227968" cy="2154555"/>
            <wp:effectExtent l="0" t="0" r="13970" b="4445"/>
            <wp:docPr id="53" name="Chart 53" descr="Bar chart of KRAs 2 and 6 against supportive learning environment">
              <a:extLst xmlns:a="http://schemas.openxmlformats.org/drawingml/2006/main">
                <a:ext uri="{FF2B5EF4-FFF2-40B4-BE49-F238E27FC236}">
                  <a16:creationId xmlns:a16="http://schemas.microsoft.com/office/drawing/2014/main" id="{811D4896-4E80-7F4E-938D-2249957D50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1DAFC884"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lang w:val="en-US"/>
        </w:rPr>
      </w:pPr>
      <w:r w:rsidRPr="00E00C4B">
        <w:rPr>
          <w:rFonts w:asciiTheme="majorHAnsi" w:hAnsiTheme="majorHAnsi" w:cstheme="majorHAnsi"/>
          <w:color w:val="000000"/>
          <w:lang w:val="en-US"/>
        </w:rPr>
        <w:tab/>
      </w:r>
      <w:r w:rsidRPr="00E00C4B">
        <w:rPr>
          <w:rFonts w:asciiTheme="majorHAnsi" w:hAnsiTheme="majorHAnsi" w:cstheme="majorHAnsi"/>
          <w:noProof/>
          <w:lang w:val="en-AU" w:eastAsia="en-AU"/>
        </w:rPr>
        <w:drawing>
          <wp:inline distT="0" distB="0" distL="0" distR="0" wp14:anchorId="0187CFF7" wp14:editId="5241F572">
            <wp:extent cx="4016550" cy="2257809"/>
            <wp:effectExtent l="0" t="0" r="9525" b="15875"/>
            <wp:docPr id="55" name="Chart 55" descr="Bar chart of KRA 5 against PBE">
              <a:extLst xmlns:a="http://schemas.openxmlformats.org/drawingml/2006/main">
                <a:ext uri="{FF2B5EF4-FFF2-40B4-BE49-F238E27FC236}">
                  <a16:creationId xmlns:a16="http://schemas.microsoft.com/office/drawing/2014/main" id="{A0CCEAE0-ED9A-2648-AD10-4B2F978C89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7BAC35EF" w14:textId="77777777" w:rsidR="008D0CAD" w:rsidRPr="00E00C4B" w:rsidRDefault="008D0CAD" w:rsidP="00796BFA">
      <w:pPr>
        <w:spacing w:before="100" w:beforeAutospacing="1" w:after="100" w:afterAutospacing="1" w:line="360" w:lineRule="auto"/>
        <w:ind w:left="720"/>
        <w:rPr>
          <w:rFonts w:asciiTheme="majorHAnsi" w:hAnsiTheme="majorHAnsi" w:cstheme="majorHAnsi"/>
          <w:color w:val="000000"/>
          <w:lang w:val="en-US"/>
        </w:rPr>
      </w:pPr>
      <w:r w:rsidRPr="00E00C4B">
        <w:rPr>
          <w:rFonts w:asciiTheme="majorHAnsi" w:hAnsiTheme="majorHAnsi" w:cstheme="majorHAnsi"/>
          <w:noProof/>
          <w:lang w:val="en-AU" w:eastAsia="en-AU"/>
        </w:rPr>
        <w:drawing>
          <wp:inline distT="0" distB="0" distL="0" distR="0" wp14:anchorId="4771F187" wp14:editId="794BA88C">
            <wp:extent cx="3911097" cy="2073244"/>
            <wp:effectExtent l="0" t="0" r="13335" b="10160"/>
            <wp:docPr id="58" name="Chart 58" descr="Bar chart of KRA 3 against CT">
              <a:extLst xmlns:a="http://schemas.openxmlformats.org/drawingml/2006/main">
                <a:ext uri="{FF2B5EF4-FFF2-40B4-BE49-F238E27FC236}">
                  <a16:creationId xmlns:a16="http://schemas.microsoft.com/office/drawing/2014/main" id="{1D8BB197-2458-C740-AB2A-015B69762B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189E04B1" w14:textId="77777777" w:rsidR="008D0CAD" w:rsidRPr="00E00C4B" w:rsidRDefault="008D0CAD" w:rsidP="00796BFA">
      <w:pPr>
        <w:spacing w:before="100" w:beforeAutospacing="1" w:after="100" w:afterAutospacing="1" w:line="360" w:lineRule="auto"/>
        <w:ind w:left="720"/>
        <w:rPr>
          <w:rFonts w:asciiTheme="majorHAnsi" w:hAnsiTheme="majorHAnsi" w:cstheme="majorHAnsi"/>
          <w:color w:val="000000"/>
          <w:lang w:val="en-US"/>
        </w:rPr>
      </w:pPr>
    </w:p>
    <w:p w14:paraId="0126BF50"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lang w:val="en-US"/>
        </w:rPr>
      </w:pPr>
    </w:p>
    <w:p w14:paraId="46861EB4" w14:textId="77777777" w:rsidR="008D0CAD" w:rsidRPr="00E00C4B" w:rsidRDefault="008D0CAD" w:rsidP="00796BFA">
      <w:pPr>
        <w:spacing w:before="100" w:beforeAutospacing="1" w:after="100" w:afterAutospacing="1" w:line="360" w:lineRule="auto"/>
        <w:ind w:left="720"/>
        <w:rPr>
          <w:rFonts w:asciiTheme="majorHAnsi" w:hAnsiTheme="majorHAnsi" w:cstheme="majorHAnsi"/>
          <w:color w:val="000000"/>
          <w:lang w:val="en-US"/>
        </w:rPr>
      </w:pPr>
      <w:r w:rsidRPr="00E00C4B">
        <w:rPr>
          <w:rFonts w:asciiTheme="majorHAnsi" w:hAnsiTheme="majorHAnsi" w:cstheme="majorHAnsi"/>
          <w:noProof/>
          <w:lang w:val="en-AU" w:eastAsia="en-AU"/>
        </w:rPr>
        <w:drawing>
          <wp:inline distT="0" distB="0" distL="0" distR="0" wp14:anchorId="668E0143" wp14:editId="70D351A9">
            <wp:extent cx="4016375" cy="2227152"/>
            <wp:effectExtent l="0" t="0" r="9525" b="8255"/>
            <wp:docPr id="59" name="Chart 59" descr="Bar chart of KRA9 against CFU">
              <a:extLst xmlns:a="http://schemas.openxmlformats.org/drawingml/2006/main">
                <a:ext uri="{FF2B5EF4-FFF2-40B4-BE49-F238E27FC236}">
                  <a16:creationId xmlns:a16="http://schemas.microsoft.com/office/drawing/2014/main" id="{D8F8D9CE-B20D-DD44-A2E1-0B4052A1A3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26787366" w14:textId="77777777" w:rsidR="008D0CAD" w:rsidRPr="00E00C4B" w:rsidRDefault="008D0CAD" w:rsidP="00796BFA">
      <w:pPr>
        <w:spacing w:before="100" w:beforeAutospacing="1" w:after="100" w:afterAutospacing="1" w:line="360" w:lineRule="auto"/>
        <w:rPr>
          <w:rFonts w:asciiTheme="majorHAnsi" w:hAnsiTheme="majorHAnsi" w:cstheme="majorHAnsi"/>
          <w:color w:val="4472C4" w:themeColor="accent1"/>
          <w:lang w:val="en-US"/>
        </w:rPr>
      </w:pPr>
      <w:r w:rsidRPr="00E00C4B">
        <w:rPr>
          <w:rFonts w:asciiTheme="majorHAnsi" w:hAnsiTheme="majorHAnsi" w:cstheme="majorHAnsi"/>
          <w:color w:val="4472C4" w:themeColor="accent1"/>
          <w:lang w:val="en-US"/>
        </w:rPr>
        <w:t>Findings</w:t>
      </w:r>
    </w:p>
    <w:p w14:paraId="75EFE7B8"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lang w:val="en-US"/>
        </w:rPr>
      </w:pPr>
      <w:r w:rsidRPr="00E00C4B">
        <w:rPr>
          <w:rFonts w:asciiTheme="majorHAnsi" w:hAnsiTheme="majorHAnsi" w:cstheme="majorHAnsi"/>
          <w:color w:val="000000"/>
          <w:lang w:val="en-US"/>
        </w:rPr>
        <w:t xml:space="preserve">Based on the data of the seven teachers, six out of the nine KRAs corresponds to the scores of the respective TEACH elements. Disparity of scores is evident for KRA 5 with Critical Thinking and for KRA 9 with Checks for Understanding. This disparity may be due to the general description of the KRAs that can subsume the specific behaviors under the TEACH elements. </w:t>
      </w:r>
    </w:p>
    <w:p w14:paraId="0F996B9E"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lang w:val="en-US"/>
        </w:rPr>
      </w:pPr>
      <w:r w:rsidRPr="00E00C4B">
        <w:rPr>
          <w:rFonts w:asciiTheme="majorHAnsi" w:hAnsiTheme="majorHAnsi" w:cstheme="majorHAnsi"/>
          <w:color w:val="000000"/>
          <w:lang w:val="en-US"/>
        </w:rPr>
        <w:t>Given the very small sampling size, these results cannot be generalised. It is recommended that a wider study be conducted. The comparison should also be done using the KRA objectives versus the specific behaviors per TEACH element to capture a better fit of the different parameters.</w:t>
      </w:r>
    </w:p>
    <w:p w14:paraId="0BC243EC" w14:textId="77777777" w:rsidR="008D0CAD" w:rsidRPr="00E00C4B" w:rsidRDefault="008D0CAD" w:rsidP="00796BFA">
      <w:pPr>
        <w:spacing w:before="100" w:beforeAutospacing="1" w:after="100" w:afterAutospacing="1" w:line="360" w:lineRule="auto"/>
        <w:rPr>
          <w:rFonts w:asciiTheme="majorHAnsi" w:hAnsiTheme="majorHAnsi" w:cstheme="majorHAnsi"/>
          <w:color w:val="4472C4" w:themeColor="accent1"/>
          <w:lang w:val="en-US"/>
        </w:rPr>
      </w:pPr>
      <w:r w:rsidRPr="00E00C4B">
        <w:rPr>
          <w:rFonts w:asciiTheme="majorHAnsi" w:hAnsiTheme="majorHAnsi" w:cstheme="majorHAnsi"/>
          <w:color w:val="4472C4" w:themeColor="accent1"/>
          <w:lang w:val="en-US"/>
        </w:rPr>
        <w:t>Conclusion</w:t>
      </w:r>
    </w:p>
    <w:p w14:paraId="36B47F10" w14:textId="7300672C" w:rsidR="008D0CAD" w:rsidRDefault="008D0CAD" w:rsidP="00796BFA">
      <w:pPr>
        <w:spacing w:before="100" w:beforeAutospacing="1" w:after="100" w:afterAutospacing="1" w:line="360" w:lineRule="auto"/>
        <w:rPr>
          <w:rFonts w:asciiTheme="majorHAnsi" w:hAnsiTheme="majorHAnsi" w:cstheme="majorHAnsi"/>
          <w:color w:val="000000"/>
          <w:lang w:val="en-US"/>
        </w:rPr>
      </w:pPr>
      <w:r w:rsidRPr="00E00C4B">
        <w:rPr>
          <w:rFonts w:asciiTheme="majorHAnsi" w:hAnsiTheme="majorHAnsi" w:cstheme="majorHAnsi"/>
          <w:color w:val="000000"/>
          <w:lang w:val="en-US"/>
        </w:rPr>
        <w:t>Based on the TEACH tool validation, the COT assessment of the teachers was found to be consistent with the results of TEACH.</w:t>
      </w:r>
      <w:r w:rsidR="00D434EB">
        <w:rPr>
          <w:rFonts w:asciiTheme="majorHAnsi" w:hAnsiTheme="majorHAnsi" w:cstheme="majorHAnsi"/>
          <w:color w:val="000000"/>
          <w:lang w:val="en-US"/>
        </w:rPr>
        <w:t xml:space="preserve"> </w:t>
      </w:r>
      <w:r w:rsidRPr="00E00C4B">
        <w:rPr>
          <w:rFonts w:asciiTheme="majorHAnsi" w:hAnsiTheme="majorHAnsi" w:cstheme="majorHAnsi"/>
          <w:color w:val="000000"/>
          <w:lang w:val="en-US"/>
        </w:rPr>
        <w:t>COT provided an accurate assessment of teacher performance based on the seven simultaneous assessment of teachers using COT and TEACH.</w:t>
      </w:r>
      <w:r w:rsidR="00D434EB">
        <w:rPr>
          <w:rFonts w:asciiTheme="majorHAnsi" w:hAnsiTheme="majorHAnsi" w:cstheme="majorHAnsi"/>
          <w:color w:val="000000"/>
          <w:lang w:val="en-US"/>
        </w:rPr>
        <w:t xml:space="preserve"> </w:t>
      </w:r>
      <w:r w:rsidRPr="00E00C4B">
        <w:rPr>
          <w:rFonts w:asciiTheme="majorHAnsi" w:hAnsiTheme="majorHAnsi" w:cstheme="majorHAnsi"/>
          <w:color w:val="000000"/>
          <w:lang w:val="en-US"/>
        </w:rPr>
        <w:t>Due to the small number of simultaneous assessments, it is recommended that further studies be done using both tools.</w:t>
      </w:r>
    </w:p>
    <w:p w14:paraId="7C078446" w14:textId="77777777" w:rsidR="00E541E8" w:rsidRDefault="00E541E8" w:rsidP="00796BFA">
      <w:pPr>
        <w:pStyle w:val="Heading2"/>
        <w:numPr>
          <w:ilvl w:val="0"/>
          <w:numId w:val="0"/>
        </w:numPr>
        <w:spacing w:before="100" w:beforeAutospacing="1" w:after="100" w:afterAutospacing="1" w:line="360" w:lineRule="auto"/>
        <w:ind w:left="1288" w:hanging="720"/>
        <w:sectPr w:rsidR="00E541E8" w:rsidSect="009C64E9">
          <w:pgSz w:w="11906" w:h="16838"/>
          <w:pgMar w:top="1440" w:right="1008" w:bottom="1440" w:left="1008" w:header="720" w:footer="720" w:gutter="0"/>
          <w:cols w:space="720"/>
          <w:docGrid w:linePitch="360"/>
        </w:sectPr>
      </w:pPr>
      <w:bookmarkStart w:id="476" w:name="_Toc39938417"/>
      <w:bookmarkStart w:id="477" w:name="_Toc69820521"/>
    </w:p>
    <w:p w14:paraId="0B559513" w14:textId="56E3CB9F" w:rsidR="008D0CAD" w:rsidRPr="00796BFA" w:rsidRDefault="008D0CAD" w:rsidP="00796BFA">
      <w:pPr>
        <w:pStyle w:val="Heading2"/>
        <w:numPr>
          <w:ilvl w:val="0"/>
          <w:numId w:val="0"/>
        </w:numPr>
        <w:spacing w:before="100" w:beforeAutospacing="1" w:after="100" w:afterAutospacing="1" w:line="360" w:lineRule="auto"/>
        <w:ind w:left="1288" w:hanging="720"/>
      </w:pPr>
      <w:r w:rsidRPr="00E00C4B">
        <w:t>Annex V. Selected Education Key Performance Indicators</w:t>
      </w:r>
      <w:bookmarkEnd w:id="476"/>
      <w:bookmarkEnd w:id="477"/>
    </w:p>
    <w:p w14:paraId="6D44B578" w14:textId="7182EE21" w:rsidR="008D0CAD" w:rsidRPr="00E00C4B" w:rsidRDefault="008D0CAD" w:rsidP="00796BFA">
      <w:pPr>
        <w:pStyle w:val="Heading3"/>
        <w:spacing w:before="100" w:beforeAutospacing="1" w:after="100" w:afterAutospacing="1" w:line="360" w:lineRule="auto"/>
        <w:rPr>
          <w:lang w:val="en-US"/>
        </w:rPr>
      </w:pPr>
      <w:bookmarkStart w:id="478" w:name="_Toc39938418"/>
      <w:bookmarkStart w:id="479" w:name="_Toc69820522"/>
      <w:r w:rsidRPr="00E00C4B">
        <w:rPr>
          <w:lang w:val="en-US"/>
        </w:rPr>
        <w:t>Annex V-1. DID Analysis on Change in Enrollment</w:t>
      </w:r>
      <w:bookmarkEnd w:id="478"/>
      <w:bookmarkEnd w:id="479"/>
      <w:r w:rsidR="00D434EB">
        <w:rPr>
          <w:lang w:val="en-US"/>
        </w:rPr>
        <w:t xml:space="preserve"> </w:t>
      </w:r>
    </w:p>
    <w:p w14:paraId="7FF2A5F0" w14:textId="46F65E9A" w:rsidR="008D0CAD" w:rsidRPr="00E00C4B" w:rsidRDefault="008D0CAD" w:rsidP="00796BFA">
      <w:pPr>
        <w:spacing w:before="100" w:beforeAutospacing="1" w:after="100" w:afterAutospacing="1" w:line="360" w:lineRule="auto"/>
        <w:rPr>
          <w:rFonts w:asciiTheme="majorHAnsi" w:hAnsiTheme="majorHAnsi" w:cstheme="majorHAnsi"/>
          <w:sz w:val="22"/>
          <w:szCs w:val="22"/>
          <w:lang w:val="en-US"/>
        </w:rPr>
      </w:pPr>
      <w:r w:rsidRPr="00E00C4B">
        <w:rPr>
          <w:rFonts w:asciiTheme="majorHAnsi" w:hAnsiTheme="majorHAnsi" w:cstheme="majorHAnsi"/>
          <w:iCs/>
          <w:sz w:val="22"/>
          <w:szCs w:val="22"/>
          <w:lang w:val="en-US"/>
        </w:rPr>
        <w:t>In assessing the average change in enrollment, different timelines were taken into consideration with the outcome that the average change in enrollment counted through time.</w:t>
      </w:r>
      <w:r w:rsidR="00D434EB">
        <w:rPr>
          <w:rFonts w:asciiTheme="majorHAnsi" w:hAnsiTheme="majorHAnsi" w:cstheme="majorHAnsi"/>
          <w:iCs/>
          <w:sz w:val="22"/>
          <w:szCs w:val="22"/>
          <w:lang w:val="en-US"/>
        </w:rPr>
        <w:t xml:space="preserve"> </w:t>
      </w:r>
      <w:r w:rsidRPr="00E00C4B">
        <w:rPr>
          <w:rFonts w:asciiTheme="majorHAnsi" w:hAnsiTheme="majorHAnsi" w:cstheme="majorHAnsi"/>
          <w:iCs/>
          <w:sz w:val="22"/>
          <w:szCs w:val="22"/>
          <w:lang w:val="en-US"/>
        </w:rPr>
        <w:t>These were:</w:t>
      </w:r>
    </w:p>
    <w:p w14:paraId="1AD4F761" w14:textId="77777777" w:rsidR="008D0CAD" w:rsidRPr="00E00C4B" w:rsidRDefault="008D0CAD" w:rsidP="00796BFA">
      <w:pPr>
        <w:numPr>
          <w:ilvl w:val="0"/>
          <w:numId w:val="152"/>
        </w:numPr>
        <w:spacing w:before="100" w:beforeAutospacing="1" w:after="100" w:afterAutospacing="1" w:line="360" w:lineRule="auto"/>
        <w:rPr>
          <w:rFonts w:asciiTheme="majorHAnsi" w:hAnsiTheme="majorHAnsi" w:cstheme="majorHAnsi"/>
          <w:iCs/>
          <w:sz w:val="22"/>
          <w:szCs w:val="22"/>
          <w:lang w:val="en-US"/>
        </w:rPr>
      </w:pPr>
      <w:r w:rsidRPr="00E00C4B">
        <w:rPr>
          <w:rFonts w:asciiTheme="majorHAnsi" w:hAnsiTheme="majorHAnsi" w:cstheme="majorHAnsi"/>
          <w:iCs/>
          <w:sz w:val="22"/>
          <w:szCs w:val="22"/>
          <w:lang w:val="en-US"/>
        </w:rPr>
        <w:t>For the baseline of Grade 5, the enrollment count of Grade 5 in SY2016-17 was compared to the enrollment count of Grade 4 in SY2015-16;</w:t>
      </w:r>
    </w:p>
    <w:p w14:paraId="7722FC35" w14:textId="77777777" w:rsidR="008D0CAD" w:rsidRPr="00E00C4B" w:rsidRDefault="008D0CAD" w:rsidP="00796BFA">
      <w:pPr>
        <w:numPr>
          <w:ilvl w:val="0"/>
          <w:numId w:val="152"/>
        </w:numPr>
        <w:spacing w:before="100" w:beforeAutospacing="1" w:after="100" w:afterAutospacing="1" w:line="360" w:lineRule="auto"/>
        <w:rPr>
          <w:rFonts w:asciiTheme="majorHAnsi" w:hAnsiTheme="majorHAnsi" w:cstheme="majorHAnsi"/>
          <w:iCs/>
          <w:sz w:val="22"/>
          <w:szCs w:val="22"/>
          <w:lang w:val="en-US"/>
        </w:rPr>
      </w:pPr>
      <w:r w:rsidRPr="00E00C4B">
        <w:rPr>
          <w:rFonts w:asciiTheme="majorHAnsi" w:hAnsiTheme="majorHAnsi" w:cstheme="majorHAnsi"/>
          <w:iCs/>
          <w:sz w:val="22"/>
          <w:szCs w:val="22"/>
          <w:lang w:val="en-US"/>
        </w:rPr>
        <w:t>For the end-line of Grade 5, the enrollment count of Grade 5 in SY2017-18 was compared to the enrollment count of Grade 4 in SY2016-17;</w:t>
      </w:r>
    </w:p>
    <w:p w14:paraId="14327165" w14:textId="77777777" w:rsidR="008D0CAD" w:rsidRPr="00E00C4B" w:rsidRDefault="008D0CAD" w:rsidP="00796BFA">
      <w:pPr>
        <w:numPr>
          <w:ilvl w:val="0"/>
          <w:numId w:val="152"/>
        </w:numPr>
        <w:spacing w:before="100" w:beforeAutospacing="1" w:after="100" w:afterAutospacing="1" w:line="360" w:lineRule="auto"/>
        <w:rPr>
          <w:rFonts w:asciiTheme="majorHAnsi" w:hAnsiTheme="majorHAnsi" w:cstheme="majorHAnsi"/>
          <w:iCs/>
          <w:sz w:val="22"/>
          <w:szCs w:val="22"/>
          <w:lang w:val="en-US"/>
        </w:rPr>
      </w:pPr>
      <w:r w:rsidRPr="00E00C4B">
        <w:rPr>
          <w:rFonts w:asciiTheme="majorHAnsi" w:hAnsiTheme="majorHAnsi" w:cstheme="majorHAnsi"/>
          <w:iCs/>
          <w:sz w:val="22"/>
          <w:szCs w:val="22"/>
          <w:lang w:val="en-US"/>
        </w:rPr>
        <w:t>For the baseline of Grade 6, the enrollment count of Grade 6 in SY2016-17 was compared to the enrollment count of Grade 5 in SY2015-16; and</w:t>
      </w:r>
    </w:p>
    <w:p w14:paraId="6E34F825" w14:textId="77777777" w:rsidR="008D0CAD" w:rsidRPr="00E00C4B" w:rsidRDefault="008D0CAD" w:rsidP="00796BFA">
      <w:pPr>
        <w:numPr>
          <w:ilvl w:val="0"/>
          <w:numId w:val="152"/>
        </w:numPr>
        <w:spacing w:before="100" w:beforeAutospacing="1" w:after="100" w:afterAutospacing="1" w:line="360" w:lineRule="auto"/>
        <w:rPr>
          <w:rFonts w:asciiTheme="majorHAnsi" w:hAnsiTheme="majorHAnsi" w:cstheme="majorHAnsi"/>
          <w:iCs/>
          <w:sz w:val="22"/>
          <w:szCs w:val="22"/>
          <w:lang w:val="en-US"/>
        </w:rPr>
      </w:pPr>
      <w:r w:rsidRPr="00E00C4B">
        <w:rPr>
          <w:rFonts w:asciiTheme="majorHAnsi" w:hAnsiTheme="majorHAnsi" w:cstheme="majorHAnsi"/>
          <w:iCs/>
          <w:sz w:val="22"/>
          <w:szCs w:val="22"/>
          <w:lang w:val="en-US"/>
        </w:rPr>
        <w:t>For the end-line of Grade 6, the enrollment count of Grade 6 in SY2017-18 was compared to the enrollment count of Grade 5 in SY2016-17.</w:t>
      </w:r>
    </w:p>
    <w:p w14:paraId="01209616" w14:textId="06957637" w:rsidR="008D0CAD" w:rsidRPr="00E00C4B" w:rsidRDefault="008D0CAD" w:rsidP="00796BFA">
      <w:pPr>
        <w:spacing w:before="100" w:beforeAutospacing="1" w:after="100" w:afterAutospacing="1" w:line="360" w:lineRule="auto"/>
        <w:rPr>
          <w:rFonts w:asciiTheme="majorHAnsi" w:hAnsiTheme="majorHAnsi" w:cstheme="majorHAnsi"/>
          <w:iCs/>
          <w:sz w:val="22"/>
          <w:szCs w:val="22"/>
          <w:lang w:val="en-US"/>
        </w:rPr>
      </w:pPr>
      <w:r w:rsidRPr="00E00C4B">
        <w:rPr>
          <w:rFonts w:asciiTheme="majorHAnsi" w:hAnsiTheme="majorHAnsi" w:cstheme="majorHAnsi"/>
          <w:iCs/>
          <w:sz w:val="22"/>
          <w:szCs w:val="22"/>
          <w:lang w:val="en-US"/>
        </w:rPr>
        <w:t>The assumption in making this calculation was that the students in the current grade level will continue on to the next grade level.</w:t>
      </w:r>
      <w:r w:rsidR="00D434EB">
        <w:rPr>
          <w:rFonts w:asciiTheme="majorHAnsi" w:hAnsiTheme="majorHAnsi" w:cstheme="majorHAnsi"/>
          <w:iCs/>
          <w:sz w:val="22"/>
          <w:szCs w:val="22"/>
          <w:lang w:val="en-US"/>
        </w:rPr>
        <w:t xml:space="preserve"> </w:t>
      </w:r>
      <w:r w:rsidRPr="00E00C4B">
        <w:rPr>
          <w:rFonts w:asciiTheme="majorHAnsi" w:hAnsiTheme="majorHAnsi" w:cstheme="majorHAnsi"/>
          <w:iCs/>
          <w:sz w:val="22"/>
          <w:szCs w:val="22"/>
          <w:lang w:val="en-US"/>
        </w:rPr>
        <w:t xml:space="preserve">In the results, a positive DID implied positive effects of the Program, indicating that higher increases in the change of enrollment count was observed in the </w:t>
      </w:r>
      <w:r w:rsidRPr="00E00C4B">
        <w:rPr>
          <w:rFonts w:asciiTheme="majorHAnsi" w:hAnsiTheme="majorHAnsi" w:cstheme="majorHAnsi"/>
          <w:sz w:val="22"/>
          <w:szCs w:val="22"/>
          <w:lang w:val="en-US"/>
        </w:rPr>
        <w:t xml:space="preserve">direct recipient schools from baseline to end-line </w:t>
      </w:r>
      <w:r w:rsidRPr="00E00C4B">
        <w:rPr>
          <w:rFonts w:asciiTheme="majorHAnsi" w:hAnsiTheme="majorHAnsi" w:cstheme="majorHAnsi"/>
          <w:iCs/>
          <w:sz w:val="22"/>
          <w:szCs w:val="22"/>
          <w:lang w:val="en-US"/>
        </w:rPr>
        <w:t xml:space="preserve">relative to the </w:t>
      </w:r>
      <w:r w:rsidRPr="00E00C4B">
        <w:rPr>
          <w:rFonts w:asciiTheme="majorHAnsi" w:hAnsiTheme="majorHAnsi" w:cstheme="majorHAnsi"/>
          <w:sz w:val="22"/>
          <w:szCs w:val="22"/>
          <w:lang w:val="en-US"/>
        </w:rPr>
        <w:t>indirect recipient schools.</w:t>
      </w:r>
      <w:r w:rsidR="00D434EB">
        <w:rPr>
          <w:rFonts w:asciiTheme="majorHAnsi" w:hAnsiTheme="majorHAnsi" w:cstheme="majorHAnsi"/>
          <w:sz w:val="22"/>
          <w:szCs w:val="22"/>
          <w:lang w:val="en-US"/>
        </w:rPr>
        <w:t xml:space="preserve"> </w:t>
      </w:r>
      <w:r w:rsidRPr="00E00C4B">
        <w:rPr>
          <w:rFonts w:asciiTheme="majorHAnsi" w:hAnsiTheme="majorHAnsi" w:cstheme="majorHAnsi"/>
          <w:sz w:val="22"/>
          <w:szCs w:val="22"/>
          <w:lang w:val="en-US"/>
        </w:rPr>
        <w:t>In calculating change in enrolment, the dataset from the 25 sample schools were used because the larger data set did not include enrolment rate at the school level.</w:t>
      </w:r>
    </w:p>
    <w:p w14:paraId="5A2A7A2B" w14:textId="1CF1766B" w:rsidR="008D0CAD" w:rsidRPr="00E00C4B" w:rsidRDefault="008D0CAD" w:rsidP="00796BFA">
      <w:pPr>
        <w:spacing w:before="100" w:beforeAutospacing="1" w:after="100" w:afterAutospacing="1" w:line="360" w:lineRule="auto"/>
        <w:rPr>
          <w:rFonts w:asciiTheme="majorHAnsi" w:hAnsiTheme="majorHAnsi" w:cstheme="majorHAnsi"/>
          <w:sz w:val="22"/>
          <w:szCs w:val="22"/>
          <w:lang w:val="en-US"/>
        </w:rPr>
      </w:pPr>
      <w:r w:rsidRPr="00E00C4B">
        <w:rPr>
          <w:rFonts w:asciiTheme="majorHAnsi" w:hAnsiTheme="majorHAnsi" w:cstheme="majorHAnsi"/>
          <w:sz w:val="22"/>
          <w:szCs w:val="22"/>
          <w:lang w:val="en-US"/>
        </w:rPr>
        <w:t>F</w:t>
      </w:r>
      <w:r w:rsidRPr="00E00C4B">
        <w:rPr>
          <w:rFonts w:asciiTheme="majorHAnsi" w:hAnsiTheme="majorHAnsi" w:cstheme="majorHAnsi"/>
          <w:b/>
          <w:sz w:val="22"/>
          <w:szCs w:val="22"/>
          <w:lang w:val="en-US"/>
        </w:rPr>
        <w:t>or Grade 5 male students</w:t>
      </w:r>
      <w:r w:rsidRPr="00E00C4B">
        <w:rPr>
          <w:rFonts w:asciiTheme="majorHAnsi" w:hAnsiTheme="majorHAnsi" w:cstheme="majorHAnsi"/>
          <w:sz w:val="22"/>
          <w:szCs w:val="22"/>
          <w:lang w:val="en-US"/>
        </w:rPr>
        <w:t>, data showed that the change in enrollment for boys decreased for the direct recipient schools while it increased for the indirect recipient schools for the same period (Figure 45).</w:t>
      </w:r>
      <w:r w:rsidR="00D434EB">
        <w:rPr>
          <w:rFonts w:asciiTheme="majorHAnsi" w:hAnsiTheme="majorHAnsi" w:cstheme="majorHAnsi"/>
          <w:sz w:val="22"/>
          <w:szCs w:val="22"/>
          <w:lang w:val="en-US"/>
        </w:rPr>
        <w:t xml:space="preserve"> </w:t>
      </w:r>
      <w:r w:rsidRPr="00E00C4B">
        <w:rPr>
          <w:rFonts w:asciiTheme="majorHAnsi" w:hAnsiTheme="majorHAnsi" w:cstheme="majorHAnsi"/>
          <w:sz w:val="22"/>
          <w:szCs w:val="22"/>
          <w:lang w:val="en-US"/>
        </w:rPr>
        <w:t xml:space="preserve">Thus, the </w:t>
      </w:r>
      <w:r w:rsidRPr="00E00C4B">
        <w:rPr>
          <w:rFonts w:asciiTheme="majorHAnsi" w:hAnsiTheme="majorHAnsi" w:cstheme="majorHAnsi"/>
          <w:iCs/>
          <w:sz w:val="22"/>
          <w:szCs w:val="22"/>
          <w:lang w:val="en-US"/>
        </w:rPr>
        <w:t xml:space="preserve">DID value was negative for boys (-6.58), indicating that there was a </w:t>
      </w:r>
      <w:r w:rsidRPr="00E00C4B">
        <w:rPr>
          <w:rFonts w:asciiTheme="majorHAnsi" w:hAnsiTheme="majorHAnsi" w:cstheme="majorHAnsi"/>
          <w:sz w:val="22"/>
          <w:szCs w:val="22"/>
          <w:lang w:val="en-US"/>
        </w:rPr>
        <w:t>higher increase in the change of enrollment count in the indirect recipient schools relative to direct recipient schools.</w:t>
      </w:r>
      <w:r w:rsidR="00D434EB">
        <w:rPr>
          <w:rFonts w:asciiTheme="majorHAnsi" w:hAnsiTheme="majorHAnsi" w:cstheme="majorHAnsi"/>
          <w:sz w:val="22"/>
          <w:szCs w:val="22"/>
          <w:lang w:val="en-US"/>
        </w:rPr>
        <w:t xml:space="preserve"> </w:t>
      </w:r>
      <w:r w:rsidRPr="00E00C4B">
        <w:rPr>
          <w:rFonts w:asciiTheme="majorHAnsi" w:hAnsiTheme="majorHAnsi" w:cstheme="majorHAnsi"/>
          <w:sz w:val="22"/>
          <w:szCs w:val="22"/>
          <w:lang w:val="en-US"/>
        </w:rPr>
        <w:t>In other words, the data showed no program effects on increasing the enrollment for boys.</w:t>
      </w:r>
    </w:p>
    <w:p w14:paraId="2A9DBBF5" w14:textId="76589D7E" w:rsidR="008D0CAD" w:rsidRPr="00E00C4B" w:rsidRDefault="008D0CAD" w:rsidP="00796BFA">
      <w:pPr>
        <w:spacing w:before="100" w:beforeAutospacing="1" w:after="100" w:afterAutospacing="1" w:line="360" w:lineRule="auto"/>
        <w:rPr>
          <w:rFonts w:asciiTheme="majorHAnsi" w:hAnsiTheme="majorHAnsi" w:cstheme="majorHAnsi"/>
          <w:sz w:val="22"/>
          <w:szCs w:val="22"/>
          <w:lang w:val="en-US"/>
        </w:rPr>
      </w:pPr>
      <w:r w:rsidRPr="00E00C4B">
        <w:rPr>
          <w:rFonts w:asciiTheme="majorHAnsi" w:hAnsiTheme="majorHAnsi" w:cstheme="majorHAnsi"/>
          <w:sz w:val="22"/>
          <w:szCs w:val="22"/>
          <w:lang w:val="en-US"/>
        </w:rPr>
        <w:t xml:space="preserve">For </w:t>
      </w:r>
      <w:r w:rsidRPr="00E00C4B">
        <w:rPr>
          <w:rFonts w:asciiTheme="majorHAnsi" w:hAnsiTheme="majorHAnsi" w:cstheme="majorHAnsi"/>
          <w:b/>
          <w:sz w:val="22"/>
          <w:szCs w:val="22"/>
          <w:lang w:val="en-US"/>
        </w:rPr>
        <w:t>Grade 5 female students</w:t>
      </w:r>
      <w:r w:rsidRPr="00E00C4B">
        <w:rPr>
          <w:rFonts w:asciiTheme="majorHAnsi" w:hAnsiTheme="majorHAnsi" w:cstheme="majorHAnsi"/>
          <w:sz w:val="22"/>
          <w:szCs w:val="22"/>
          <w:lang w:val="en-US"/>
        </w:rPr>
        <w:t>, data showed that the change in enrollment increased for the direct recipient schools and the indirect recipient schools for the same period.</w:t>
      </w:r>
      <w:r w:rsidR="00D434EB">
        <w:rPr>
          <w:rFonts w:asciiTheme="majorHAnsi" w:hAnsiTheme="majorHAnsi" w:cstheme="majorHAnsi"/>
          <w:sz w:val="22"/>
          <w:szCs w:val="22"/>
          <w:lang w:val="en-US"/>
        </w:rPr>
        <w:t xml:space="preserve"> </w:t>
      </w:r>
      <w:r w:rsidRPr="00E00C4B">
        <w:rPr>
          <w:rFonts w:asciiTheme="majorHAnsi" w:hAnsiTheme="majorHAnsi" w:cstheme="majorHAnsi"/>
          <w:sz w:val="22"/>
          <w:szCs w:val="22"/>
          <w:lang w:val="en-US"/>
        </w:rPr>
        <w:t xml:space="preserve">However, their increase in the direct recipient schools was higher. The </w:t>
      </w:r>
      <w:r w:rsidRPr="00E00C4B">
        <w:rPr>
          <w:rFonts w:asciiTheme="majorHAnsi" w:hAnsiTheme="majorHAnsi" w:cstheme="majorHAnsi"/>
          <w:iCs/>
          <w:sz w:val="22"/>
          <w:szCs w:val="22"/>
          <w:lang w:val="en-US"/>
        </w:rPr>
        <w:t xml:space="preserve">DID value was positive for girls (1.47), </w:t>
      </w:r>
      <w:r w:rsidRPr="00E00C4B">
        <w:rPr>
          <w:rFonts w:asciiTheme="majorHAnsi" w:hAnsiTheme="majorHAnsi" w:cstheme="majorHAnsi"/>
          <w:sz w:val="22"/>
          <w:szCs w:val="22"/>
          <w:lang w:val="en-US"/>
        </w:rPr>
        <w:t>which indicated that the Program had positive effects for increasing enrolment among girls in direct recipient schools.</w:t>
      </w:r>
    </w:p>
    <w:p w14:paraId="0040805F" w14:textId="57D655AF" w:rsidR="008D0CAD" w:rsidRPr="00E00C4B" w:rsidRDefault="008D0CAD" w:rsidP="00796BFA">
      <w:pPr>
        <w:pageBreakBefore/>
        <w:spacing w:before="100" w:beforeAutospacing="1" w:after="100" w:afterAutospacing="1" w:line="360" w:lineRule="auto"/>
        <w:rPr>
          <w:rFonts w:asciiTheme="majorHAnsi" w:hAnsiTheme="majorHAnsi" w:cstheme="majorHAnsi"/>
          <w:b/>
          <w:iCs/>
          <w:color w:val="44546A" w:themeColor="text2"/>
          <w:lang w:val="en-US"/>
        </w:rPr>
      </w:pPr>
      <w:bookmarkStart w:id="480" w:name="_Toc11511259"/>
      <w:bookmarkStart w:id="481" w:name="_Toc15142759"/>
      <w:r w:rsidRPr="00E00C4B">
        <w:rPr>
          <w:rFonts w:asciiTheme="majorHAnsi" w:hAnsiTheme="majorHAnsi" w:cstheme="majorHAnsi"/>
          <w:b/>
          <w:iCs/>
          <w:color w:val="44546A" w:themeColor="text2"/>
          <w:lang w:val="en-US"/>
        </w:rPr>
        <w:t xml:space="preserve">Figure </w:t>
      </w:r>
      <w:r w:rsidR="001E2886" w:rsidRPr="00E00C4B">
        <w:rPr>
          <w:rFonts w:asciiTheme="majorHAnsi" w:hAnsiTheme="majorHAnsi" w:cstheme="majorHAnsi"/>
          <w:b/>
          <w:iCs/>
          <w:color w:val="44546A" w:themeColor="text2"/>
          <w:lang w:val="en-US"/>
        </w:rPr>
        <w:t>1. Change</w:t>
      </w:r>
      <w:r w:rsidRPr="00E00C4B">
        <w:rPr>
          <w:rFonts w:asciiTheme="majorHAnsi" w:hAnsiTheme="majorHAnsi" w:cstheme="majorHAnsi"/>
          <w:b/>
          <w:iCs/>
          <w:color w:val="44546A" w:themeColor="text2"/>
          <w:lang w:val="en-US"/>
        </w:rPr>
        <w:t xml:space="preserve"> in Enrolment of Grade 5 Students</w:t>
      </w:r>
      <w:bookmarkEnd w:id="480"/>
      <w:bookmarkEnd w:id="481"/>
    </w:p>
    <w:p w14:paraId="44F04AB4" w14:textId="0186A2EC" w:rsidR="008D0CAD" w:rsidRPr="00E00C4B" w:rsidRDefault="008D0CAD" w:rsidP="00796BFA">
      <w:pPr>
        <w:spacing w:before="100" w:beforeAutospacing="1" w:after="100" w:afterAutospacing="1" w:line="360" w:lineRule="auto"/>
        <w:rPr>
          <w:lang w:val="en-US"/>
        </w:rPr>
      </w:pPr>
      <w:r w:rsidRPr="00E00C4B">
        <w:rPr>
          <w:noProof/>
          <w:lang w:val="en-AU" w:eastAsia="en-AU"/>
        </w:rPr>
        <w:drawing>
          <wp:inline distT="0" distB="0" distL="0" distR="0" wp14:anchorId="75F0B6EE" wp14:editId="2EA6B017">
            <wp:extent cx="5730961" cy="2117324"/>
            <wp:effectExtent l="0" t="0" r="0" b="3810"/>
            <wp:docPr id="61" name="Picture 61" descr="Line graph of change in enrolment of grade 5 students from 2016 to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Line graph of change in enrolment of grade 5 students from 2016 to 2018"/>
                    <pic:cNvPicPr/>
                  </pic:nvPicPr>
                  <pic:blipFill rotWithShape="1">
                    <a:blip r:embed="rId85" cstate="print">
                      <a:extLst>
                        <a:ext uri="{28A0092B-C50C-407E-A947-70E740481C1C}">
                          <a14:useLocalDpi xmlns:a14="http://schemas.microsoft.com/office/drawing/2010/main" val="0"/>
                        </a:ext>
                      </a:extLst>
                    </a:blip>
                    <a:srcRect t="8734" b="32151"/>
                    <a:stretch/>
                  </pic:blipFill>
                  <pic:spPr bwMode="auto">
                    <a:xfrm>
                      <a:off x="0" y="0"/>
                      <a:ext cx="5731510" cy="2117527"/>
                    </a:xfrm>
                    <a:prstGeom prst="rect">
                      <a:avLst/>
                    </a:prstGeom>
                    <a:ln>
                      <a:noFill/>
                    </a:ln>
                    <a:extLst>
                      <a:ext uri="{53640926-AAD7-44D8-BBD7-CCE9431645EC}">
                        <a14:shadowObscured xmlns:a14="http://schemas.microsoft.com/office/drawing/2010/main"/>
                      </a:ext>
                    </a:extLst>
                  </pic:spPr>
                </pic:pic>
              </a:graphicData>
            </a:graphic>
          </wp:inline>
        </w:drawing>
      </w:r>
    </w:p>
    <w:p w14:paraId="516EBAA0" w14:textId="409ED493" w:rsidR="008D0CAD" w:rsidRPr="00E00C4B" w:rsidRDefault="008D0CAD" w:rsidP="00796BFA">
      <w:pPr>
        <w:spacing w:before="100" w:beforeAutospacing="1" w:after="100" w:afterAutospacing="1" w:line="360" w:lineRule="auto"/>
        <w:rPr>
          <w:rFonts w:asciiTheme="majorHAnsi" w:hAnsiTheme="majorHAnsi" w:cstheme="majorHAnsi"/>
          <w:sz w:val="22"/>
          <w:szCs w:val="22"/>
          <w:lang w:val="en-US"/>
        </w:rPr>
      </w:pPr>
      <w:r w:rsidRPr="00E00C4B">
        <w:rPr>
          <w:rFonts w:asciiTheme="majorHAnsi" w:hAnsiTheme="majorHAnsi" w:cstheme="majorHAnsi"/>
          <w:b/>
          <w:sz w:val="22"/>
          <w:szCs w:val="22"/>
          <w:lang w:val="en-US"/>
        </w:rPr>
        <w:t>For Grade 6 students</w:t>
      </w:r>
      <w:r w:rsidRPr="00E00C4B">
        <w:rPr>
          <w:rFonts w:asciiTheme="majorHAnsi" w:hAnsiTheme="majorHAnsi" w:cstheme="majorHAnsi"/>
          <w:sz w:val="22"/>
          <w:szCs w:val="22"/>
          <w:lang w:val="en-US"/>
        </w:rPr>
        <w:t>, data showed that the change in enrollment for boys in direct recipient schools was negative for both periods (baseline to end-line) in a decreasing trend (Figure 46).</w:t>
      </w:r>
      <w:r w:rsidR="00D434EB">
        <w:rPr>
          <w:rFonts w:asciiTheme="majorHAnsi" w:hAnsiTheme="majorHAnsi" w:cstheme="majorHAnsi"/>
          <w:sz w:val="22"/>
          <w:szCs w:val="22"/>
          <w:lang w:val="en-US"/>
        </w:rPr>
        <w:t xml:space="preserve"> </w:t>
      </w:r>
      <w:r w:rsidRPr="00E00C4B">
        <w:rPr>
          <w:rFonts w:asciiTheme="majorHAnsi" w:hAnsiTheme="majorHAnsi" w:cstheme="majorHAnsi"/>
          <w:sz w:val="22"/>
          <w:szCs w:val="22"/>
          <w:lang w:val="en-US"/>
        </w:rPr>
        <w:t>Although, the change in enrollment for boys in the indirect recipient schools was also negative, but it followed an increasing trend. Thus, the DID value was negative for boys (-5.18), indicating a lack of positive effect of the Program on boys’ enrollment.</w:t>
      </w:r>
    </w:p>
    <w:p w14:paraId="1FFA60CC" w14:textId="284DD12A" w:rsidR="008D0CAD" w:rsidRPr="00E00C4B" w:rsidRDefault="008D0CAD" w:rsidP="00796BFA">
      <w:pPr>
        <w:spacing w:before="100" w:beforeAutospacing="1" w:after="100" w:afterAutospacing="1" w:line="360" w:lineRule="auto"/>
        <w:rPr>
          <w:rFonts w:asciiTheme="majorHAnsi" w:hAnsiTheme="majorHAnsi" w:cstheme="majorHAnsi"/>
          <w:sz w:val="22"/>
          <w:szCs w:val="22"/>
          <w:lang w:val="en-US"/>
        </w:rPr>
      </w:pPr>
      <w:r w:rsidRPr="00E00C4B">
        <w:rPr>
          <w:rFonts w:asciiTheme="majorHAnsi" w:hAnsiTheme="majorHAnsi" w:cstheme="majorHAnsi"/>
          <w:sz w:val="22"/>
          <w:szCs w:val="22"/>
          <w:lang w:val="en-US"/>
        </w:rPr>
        <w:t>In the case of Grade 6 female students, the DID value was also negative (-2.58).</w:t>
      </w:r>
      <w:r w:rsidR="00D434EB">
        <w:rPr>
          <w:rFonts w:asciiTheme="majorHAnsi" w:hAnsiTheme="majorHAnsi" w:cstheme="majorHAnsi"/>
          <w:sz w:val="22"/>
          <w:szCs w:val="22"/>
          <w:lang w:val="en-US"/>
        </w:rPr>
        <w:t xml:space="preserve"> </w:t>
      </w:r>
      <w:r w:rsidRPr="00E00C4B">
        <w:rPr>
          <w:rFonts w:asciiTheme="majorHAnsi" w:hAnsiTheme="majorHAnsi" w:cstheme="majorHAnsi"/>
          <w:sz w:val="22"/>
          <w:szCs w:val="22"/>
          <w:lang w:val="en-US"/>
        </w:rPr>
        <w:t>However, the change in enrollment for girls were positive only in the end-line, meaning that the change in enrollment for girls was higher in the direct recipient schools.</w:t>
      </w:r>
    </w:p>
    <w:p w14:paraId="63602F53" w14:textId="36E4DFE5" w:rsidR="008D0CAD" w:rsidRPr="00E00C4B" w:rsidRDefault="008D0CAD" w:rsidP="00796BFA">
      <w:pPr>
        <w:spacing w:before="100" w:beforeAutospacing="1" w:after="100" w:afterAutospacing="1" w:line="360" w:lineRule="auto"/>
        <w:rPr>
          <w:rFonts w:asciiTheme="majorHAnsi" w:hAnsiTheme="majorHAnsi" w:cstheme="majorHAnsi"/>
          <w:b/>
          <w:iCs/>
          <w:color w:val="44546A" w:themeColor="text2"/>
          <w:lang w:val="en-US"/>
        </w:rPr>
      </w:pPr>
      <w:bookmarkStart w:id="482" w:name="_Toc11511260"/>
      <w:bookmarkStart w:id="483" w:name="_Toc15142760"/>
      <w:r w:rsidRPr="00E00C4B">
        <w:rPr>
          <w:rFonts w:asciiTheme="majorHAnsi" w:hAnsiTheme="majorHAnsi" w:cstheme="majorHAnsi"/>
          <w:b/>
          <w:iCs/>
          <w:color w:val="44546A" w:themeColor="text2"/>
          <w:lang w:val="en-US"/>
        </w:rPr>
        <w:t xml:space="preserve">Figure </w:t>
      </w:r>
      <w:r w:rsidR="001E2886" w:rsidRPr="00E00C4B">
        <w:rPr>
          <w:rFonts w:asciiTheme="majorHAnsi" w:hAnsiTheme="majorHAnsi" w:cstheme="majorHAnsi"/>
          <w:b/>
          <w:iCs/>
          <w:color w:val="44546A" w:themeColor="text2"/>
          <w:lang w:val="en-US"/>
        </w:rPr>
        <w:t>2. Change</w:t>
      </w:r>
      <w:r w:rsidRPr="00E00C4B">
        <w:rPr>
          <w:rFonts w:asciiTheme="majorHAnsi" w:hAnsiTheme="majorHAnsi" w:cstheme="majorHAnsi"/>
          <w:b/>
          <w:iCs/>
          <w:color w:val="44546A" w:themeColor="text2"/>
          <w:lang w:val="en-US"/>
        </w:rPr>
        <w:t xml:space="preserve"> in Enrolment of Grade 6 Students</w:t>
      </w:r>
      <w:bookmarkEnd w:id="482"/>
      <w:bookmarkEnd w:id="483"/>
    </w:p>
    <w:p w14:paraId="50BD936F" w14:textId="57BF4D30" w:rsidR="008D0CAD" w:rsidRPr="00E00C4B" w:rsidRDefault="008D0CAD" w:rsidP="00796BFA">
      <w:pPr>
        <w:spacing w:before="100" w:beforeAutospacing="1" w:after="100" w:afterAutospacing="1" w:line="360" w:lineRule="auto"/>
        <w:rPr>
          <w:rFonts w:asciiTheme="majorHAnsi" w:hAnsiTheme="majorHAnsi" w:cstheme="majorHAnsi"/>
          <w:lang w:val="en-US"/>
        </w:rPr>
      </w:pPr>
      <w:r w:rsidRPr="00E00C4B">
        <w:rPr>
          <w:noProof/>
          <w:lang w:val="en-AU" w:eastAsia="en-AU"/>
        </w:rPr>
        <w:drawing>
          <wp:inline distT="0" distB="0" distL="0" distR="0" wp14:anchorId="4BBE1DEC" wp14:editId="578ED015">
            <wp:extent cx="5730958" cy="2165450"/>
            <wp:effectExtent l="0" t="0" r="0" b="6350"/>
            <wp:docPr id="63" name="Picture 63" descr="Line graph of change in enrolment of grade 6 students from 2016 to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Line graph of change in enrolment of grade 6 students from 2016 to 2018"/>
                    <pic:cNvPicPr/>
                  </pic:nvPicPr>
                  <pic:blipFill rotWithShape="1">
                    <a:blip r:embed="rId86" cstate="print">
                      <a:extLst>
                        <a:ext uri="{28A0092B-C50C-407E-A947-70E740481C1C}">
                          <a14:useLocalDpi xmlns:a14="http://schemas.microsoft.com/office/drawing/2010/main" val="0"/>
                        </a:ext>
                      </a:extLst>
                    </a:blip>
                    <a:srcRect t="7390" b="32151"/>
                    <a:stretch/>
                  </pic:blipFill>
                  <pic:spPr bwMode="auto">
                    <a:xfrm>
                      <a:off x="0" y="0"/>
                      <a:ext cx="5731510" cy="2165659"/>
                    </a:xfrm>
                    <a:prstGeom prst="rect">
                      <a:avLst/>
                    </a:prstGeom>
                    <a:ln>
                      <a:noFill/>
                    </a:ln>
                    <a:extLst>
                      <a:ext uri="{53640926-AAD7-44D8-BBD7-CCE9431645EC}">
                        <a14:shadowObscured xmlns:a14="http://schemas.microsoft.com/office/drawing/2010/main"/>
                      </a:ext>
                    </a:extLst>
                  </pic:spPr>
                </pic:pic>
              </a:graphicData>
            </a:graphic>
          </wp:inline>
        </w:drawing>
      </w:r>
    </w:p>
    <w:p w14:paraId="13CDE1F8" w14:textId="4C5DEFDB" w:rsidR="008D0CAD" w:rsidRPr="00E00C4B" w:rsidRDefault="008D0CAD" w:rsidP="00796BFA">
      <w:pPr>
        <w:spacing w:before="100" w:beforeAutospacing="1" w:after="100" w:afterAutospacing="1" w:line="360" w:lineRule="auto"/>
        <w:rPr>
          <w:rFonts w:asciiTheme="majorHAnsi" w:hAnsiTheme="majorHAnsi" w:cstheme="majorHAnsi"/>
          <w:sz w:val="22"/>
          <w:szCs w:val="22"/>
          <w:lang w:val="en-US"/>
        </w:rPr>
      </w:pPr>
      <w:r w:rsidRPr="00E00C4B">
        <w:rPr>
          <w:rFonts w:asciiTheme="majorHAnsi" w:hAnsiTheme="majorHAnsi" w:cstheme="majorHAnsi"/>
          <w:sz w:val="22"/>
          <w:szCs w:val="22"/>
          <w:lang w:val="en-US"/>
        </w:rPr>
        <w:t>In sum, the findings were interpreted as follows:</w:t>
      </w:r>
      <w:r w:rsidR="00D434EB">
        <w:rPr>
          <w:rFonts w:asciiTheme="majorHAnsi" w:hAnsiTheme="majorHAnsi" w:cstheme="majorHAnsi"/>
          <w:sz w:val="22"/>
          <w:szCs w:val="22"/>
          <w:lang w:val="en-US"/>
        </w:rPr>
        <w:t xml:space="preserve"> </w:t>
      </w:r>
    </w:p>
    <w:p w14:paraId="5C6295FF" w14:textId="77777777" w:rsidR="008D0CAD" w:rsidRPr="00E00C4B" w:rsidRDefault="008D0CAD" w:rsidP="00796BFA">
      <w:pPr>
        <w:numPr>
          <w:ilvl w:val="0"/>
          <w:numId w:val="153"/>
        </w:numPr>
        <w:spacing w:before="100" w:beforeAutospacing="1" w:after="100" w:afterAutospacing="1" w:line="360" w:lineRule="auto"/>
        <w:rPr>
          <w:rFonts w:asciiTheme="majorHAnsi" w:hAnsiTheme="majorHAnsi" w:cstheme="majorHAnsi"/>
          <w:sz w:val="22"/>
          <w:szCs w:val="22"/>
          <w:lang w:val="en-US"/>
        </w:rPr>
      </w:pPr>
      <w:r w:rsidRPr="00E00C4B">
        <w:rPr>
          <w:rFonts w:asciiTheme="majorHAnsi" w:hAnsiTheme="majorHAnsi" w:cstheme="majorHAnsi"/>
          <w:sz w:val="22"/>
          <w:szCs w:val="22"/>
          <w:lang w:val="en-US"/>
        </w:rPr>
        <w:t>Among the direct recipient schools, average change of enrollment for males decreased from baseline to end-line</w:t>
      </w:r>
    </w:p>
    <w:p w14:paraId="4D214C99" w14:textId="77777777" w:rsidR="008D0CAD" w:rsidRPr="00E00C4B" w:rsidRDefault="008D0CAD" w:rsidP="00796BFA">
      <w:pPr>
        <w:numPr>
          <w:ilvl w:val="0"/>
          <w:numId w:val="153"/>
        </w:numPr>
        <w:spacing w:before="100" w:beforeAutospacing="1" w:after="100" w:afterAutospacing="1" w:line="360" w:lineRule="auto"/>
        <w:rPr>
          <w:rFonts w:asciiTheme="majorHAnsi" w:hAnsiTheme="majorHAnsi" w:cstheme="majorHAnsi"/>
          <w:sz w:val="22"/>
          <w:szCs w:val="22"/>
          <w:lang w:val="en-US"/>
        </w:rPr>
      </w:pPr>
      <w:r w:rsidRPr="00E00C4B">
        <w:rPr>
          <w:rFonts w:asciiTheme="majorHAnsi" w:hAnsiTheme="majorHAnsi" w:cstheme="majorHAnsi"/>
          <w:sz w:val="22"/>
          <w:szCs w:val="22"/>
          <w:lang w:val="en-US"/>
        </w:rPr>
        <w:t>In contrast, among the direct recipient schools, average change of enrollment for girls increased from baseline to end-line</w:t>
      </w:r>
    </w:p>
    <w:p w14:paraId="1184782E" w14:textId="77777777" w:rsidR="008D0CAD" w:rsidRPr="00E00C4B" w:rsidRDefault="008D0CAD" w:rsidP="00796BFA">
      <w:pPr>
        <w:numPr>
          <w:ilvl w:val="0"/>
          <w:numId w:val="153"/>
        </w:numPr>
        <w:spacing w:before="100" w:beforeAutospacing="1" w:after="100" w:afterAutospacing="1" w:line="360" w:lineRule="auto"/>
        <w:rPr>
          <w:rFonts w:asciiTheme="majorHAnsi" w:hAnsiTheme="majorHAnsi" w:cstheme="majorHAnsi"/>
          <w:sz w:val="22"/>
          <w:szCs w:val="22"/>
          <w:lang w:val="en-US"/>
        </w:rPr>
      </w:pPr>
      <w:r w:rsidRPr="00E00C4B">
        <w:rPr>
          <w:rFonts w:asciiTheme="majorHAnsi" w:hAnsiTheme="majorHAnsi" w:cstheme="majorHAnsi"/>
          <w:sz w:val="22"/>
          <w:szCs w:val="22"/>
          <w:lang w:val="en-US"/>
        </w:rPr>
        <w:t>Indirect recipient schools, on average, experienced improvements in the change of enrollment regardless of sex of students</w:t>
      </w:r>
    </w:p>
    <w:p w14:paraId="6FF1EC62" w14:textId="61010C5E" w:rsidR="008D0CAD" w:rsidRPr="00796BFA" w:rsidRDefault="008D0CAD" w:rsidP="00796BFA">
      <w:pPr>
        <w:spacing w:before="100" w:beforeAutospacing="1" w:after="100" w:afterAutospacing="1" w:line="360" w:lineRule="auto"/>
        <w:rPr>
          <w:rFonts w:asciiTheme="majorHAnsi" w:hAnsiTheme="majorHAnsi" w:cstheme="majorHAnsi"/>
          <w:sz w:val="22"/>
          <w:szCs w:val="22"/>
          <w:lang w:val="en-US"/>
        </w:rPr>
      </w:pPr>
      <w:r w:rsidRPr="00E00C4B">
        <w:rPr>
          <w:rFonts w:asciiTheme="majorHAnsi" w:hAnsiTheme="majorHAnsi" w:cstheme="majorHAnsi"/>
          <w:sz w:val="22"/>
          <w:szCs w:val="22"/>
          <w:lang w:val="en-US"/>
        </w:rPr>
        <w:t>This suggests that the program interventions may require more time to take effect before it can improve enrollment among direct recipient schools.</w:t>
      </w:r>
    </w:p>
    <w:p w14:paraId="20F2F729" w14:textId="66FF2FCC" w:rsidR="008D0CAD" w:rsidRPr="00796BFA" w:rsidRDefault="008D0CAD" w:rsidP="00796BFA">
      <w:pPr>
        <w:pStyle w:val="Heading3"/>
        <w:pageBreakBefore/>
        <w:spacing w:before="100" w:beforeAutospacing="1" w:after="100" w:afterAutospacing="1" w:line="360" w:lineRule="auto"/>
        <w:rPr>
          <w:lang w:val="en-US"/>
        </w:rPr>
      </w:pPr>
      <w:bookmarkStart w:id="484" w:name="_Toc39938419"/>
      <w:bookmarkStart w:id="485" w:name="_Toc69820523"/>
      <w:r w:rsidRPr="00E00C4B">
        <w:rPr>
          <w:lang w:val="en-US"/>
        </w:rPr>
        <w:t>Annex V-2. DID Analysis on Attendance Rate</w:t>
      </w:r>
      <w:bookmarkEnd w:id="484"/>
      <w:bookmarkEnd w:id="485"/>
    </w:p>
    <w:p w14:paraId="240094F2" w14:textId="77777777" w:rsidR="008D0CAD" w:rsidRPr="00E00C4B" w:rsidRDefault="008D0CAD" w:rsidP="00796BFA">
      <w:pPr>
        <w:spacing w:before="100" w:beforeAutospacing="1" w:after="100" w:afterAutospacing="1" w:line="360" w:lineRule="auto"/>
        <w:rPr>
          <w:rFonts w:asciiTheme="majorHAnsi" w:hAnsiTheme="majorHAnsi" w:cstheme="majorHAnsi"/>
          <w:iCs/>
          <w:sz w:val="22"/>
          <w:szCs w:val="22"/>
          <w:lang w:val="en-US"/>
        </w:rPr>
      </w:pPr>
      <w:r w:rsidRPr="00E00C4B">
        <w:rPr>
          <w:rFonts w:asciiTheme="majorHAnsi" w:hAnsiTheme="majorHAnsi" w:cstheme="majorHAnsi"/>
          <w:iCs/>
          <w:sz w:val="22"/>
          <w:szCs w:val="22"/>
          <w:lang w:val="en-US"/>
        </w:rPr>
        <w:t xml:space="preserve">For student participation, </w:t>
      </w:r>
      <w:r w:rsidRPr="00E00C4B">
        <w:rPr>
          <w:rFonts w:asciiTheme="majorHAnsi" w:hAnsiTheme="majorHAnsi" w:cstheme="majorHAnsi"/>
          <w:sz w:val="22"/>
          <w:szCs w:val="22"/>
          <w:lang w:val="en-US"/>
        </w:rPr>
        <w:t>the outcome defined is the average attendance rate of students by grade level. A positive DID value implied positive effects of the BEST Program, because a positive value meant that the increase in attendance rate in the direct recipient schools was higher relative to indirect recipient schools.</w:t>
      </w:r>
    </w:p>
    <w:p w14:paraId="455ED278" w14:textId="4AC775DB" w:rsidR="008D0CAD" w:rsidRPr="00E00C4B" w:rsidRDefault="008D0CAD" w:rsidP="00796BFA">
      <w:pPr>
        <w:spacing w:before="100" w:beforeAutospacing="1" w:after="100" w:afterAutospacing="1" w:line="360" w:lineRule="auto"/>
        <w:rPr>
          <w:rFonts w:asciiTheme="majorHAnsi" w:hAnsiTheme="majorHAnsi" w:cstheme="majorHAnsi"/>
          <w:sz w:val="22"/>
          <w:szCs w:val="22"/>
          <w:lang w:val="en-US"/>
        </w:rPr>
      </w:pPr>
      <w:r w:rsidRPr="00E00C4B">
        <w:rPr>
          <w:rFonts w:asciiTheme="majorHAnsi" w:hAnsiTheme="majorHAnsi" w:cstheme="majorHAnsi"/>
          <w:sz w:val="22"/>
          <w:szCs w:val="22"/>
          <w:lang w:val="en-US"/>
        </w:rPr>
        <w:t>For Grade 4 students, data showed that the average attendance rate among students in indirect recipient schools was higher than in direct recipient schools for the five school years under review (Figure 1).</w:t>
      </w:r>
      <w:r w:rsidR="00D434EB">
        <w:rPr>
          <w:rFonts w:asciiTheme="majorHAnsi" w:hAnsiTheme="majorHAnsi" w:cstheme="majorHAnsi"/>
          <w:sz w:val="22"/>
          <w:szCs w:val="22"/>
          <w:lang w:val="en-US"/>
        </w:rPr>
        <w:t xml:space="preserve"> </w:t>
      </w:r>
      <w:r w:rsidRPr="00E00C4B">
        <w:rPr>
          <w:rFonts w:asciiTheme="majorHAnsi" w:hAnsiTheme="majorHAnsi" w:cstheme="majorHAnsi"/>
          <w:sz w:val="22"/>
          <w:szCs w:val="22"/>
          <w:lang w:val="en-US"/>
        </w:rPr>
        <w:t>However, the DID was positive (0.17) albeit at a low end because the decrease in attendance rate among students in indirect recipient schools was significantly higher than that of the direct recipient schools.</w:t>
      </w:r>
    </w:p>
    <w:p w14:paraId="61BD152A" w14:textId="61012F78" w:rsidR="008D0CAD" w:rsidRPr="00E00C4B" w:rsidRDefault="008D0CAD" w:rsidP="00796BFA">
      <w:pPr>
        <w:spacing w:before="100" w:beforeAutospacing="1" w:after="100" w:afterAutospacing="1" w:line="360" w:lineRule="auto"/>
        <w:rPr>
          <w:rFonts w:asciiTheme="majorHAnsi" w:hAnsiTheme="majorHAnsi" w:cstheme="majorHAnsi"/>
          <w:sz w:val="22"/>
          <w:szCs w:val="22"/>
          <w:lang w:val="en-US"/>
        </w:rPr>
      </w:pPr>
      <w:r w:rsidRPr="00E00C4B">
        <w:rPr>
          <w:rFonts w:asciiTheme="majorHAnsi" w:hAnsiTheme="majorHAnsi" w:cstheme="majorHAnsi"/>
          <w:sz w:val="22"/>
          <w:szCs w:val="22"/>
          <w:lang w:val="en-US"/>
        </w:rPr>
        <w:t>In the case of</w:t>
      </w:r>
      <w:r w:rsidRPr="00E00C4B">
        <w:rPr>
          <w:rFonts w:asciiTheme="majorHAnsi" w:hAnsiTheme="majorHAnsi" w:cstheme="majorHAnsi"/>
          <w:b/>
          <w:sz w:val="22"/>
          <w:szCs w:val="22"/>
          <w:lang w:val="en-US"/>
        </w:rPr>
        <w:t xml:space="preserve"> Grade 5 students</w:t>
      </w:r>
      <w:r w:rsidRPr="00E00C4B">
        <w:rPr>
          <w:rFonts w:asciiTheme="majorHAnsi" w:hAnsiTheme="majorHAnsi" w:cstheme="majorHAnsi"/>
          <w:sz w:val="22"/>
          <w:szCs w:val="22"/>
          <w:lang w:val="en-US"/>
        </w:rPr>
        <w:t>, data showed that the average attendance rate among students in indirect recipient schools was higher than in direct recipient schools except in the SY2017-2018 (Figure 2).</w:t>
      </w:r>
      <w:r w:rsidR="00D434EB">
        <w:rPr>
          <w:rFonts w:asciiTheme="majorHAnsi" w:hAnsiTheme="majorHAnsi" w:cstheme="majorHAnsi"/>
          <w:sz w:val="22"/>
          <w:szCs w:val="22"/>
          <w:lang w:val="en-US"/>
        </w:rPr>
        <w:t xml:space="preserve"> </w:t>
      </w:r>
      <w:r w:rsidRPr="00E00C4B">
        <w:rPr>
          <w:rFonts w:asciiTheme="majorHAnsi" w:hAnsiTheme="majorHAnsi" w:cstheme="majorHAnsi"/>
          <w:sz w:val="22"/>
          <w:szCs w:val="22"/>
          <w:lang w:val="en-US"/>
        </w:rPr>
        <w:t>However, the DID was positive at 1.15 percentage, indicating that the increase in attendance rate among students in direct recipient schools was significantly higher than in the indirect recipient schools.</w:t>
      </w:r>
    </w:p>
    <w:p w14:paraId="4EA98301" w14:textId="66D99EDE" w:rsidR="008D0CAD" w:rsidRPr="00796BFA" w:rsidRDefault="008D0CAD" w:rsidP="00796BFA">
      <w:pPr>
        <w:spacing w:before="100" w:beforeAutospacing="1" w:after="100" w:afterAutospacing="1" w:line="360" w:lineRule="auto"/>
        <w:rPr>
          <w:rFonts w:asciiTheme="majorHAnsi" w:hAnsiTheme="majorHAnsi" w:cstheme="majorHAnsi"/>
          <w:sz w:val="22"/>
          <w:szCs w:val="22"/>
          <w:lang w:val="en-US"/>
        </w:rPr>
      </w:pPr>
      <w:r w:rsidRPr="00E00C4B">
        <w:rPr>
          <w:rFonts w:asciiTheme="majorHAnsi" w:hAnsiTheme="majorHAnsi" w:cstheme="majorHAnsi"/>
          <w:sz w:val="22"/>
          <w:szCs w:val="22"/>
          <w:lang w:val="en-US"/>
        </w:rPr>
        <w:t>Similar to the trend of Grade 4, the average attendance rate among</w:t>
      </w:r>
      <w:r w:rsidRPr="00E00C4B">
        <w:rPr>
          <w:rFonts w:asciiTheme="majorHAnsi" w:hAnsiTheme="majorHAnsi" w:cstheme="majorHAnsi"/>
          <w:b/>
          <w:sz w:val="22"/>
          <w:szCs w:val="22"/>
          <w:lang w:val="en-US"/>
        </w:rPr>
        <w:t xml:space="preserve"> Grade 6 students </w:t>
      </w:r>
      <w:r w:rsidRPr="00E00C4B">
        <w:rPr>
          <w:rFonts w:asciiTheme="majorHAnsi" w:hAnsiTheme="majorHAnsi" w:cstheme="majorHAnsi"/>
          <w:sz w:val="22"/>
          <w:szCs w:val="22"/>
          <w:lang w:val="en-US"/>
        </w:rPr>
        <w:t>in indirect recipient schools was higher than in direct recipient schools (Figure 3). However, the DID value was significantly higher than Grades 4 and 5 at 2.4 percentage, indicating a higher increase in attendance rate among students in direct recipient schools as well as positive effects of the Program.</w:t>
      </w:r>
    </w:p>
    <w:p w14:paraId="04AD5FC5" w14:textId="55C6FD8C" w:rsidR="008D0CAD" w:rsidRPr="00796BFA" w:rsidRDefault="008D0CAD" w:rsidP="00796BFA">
      <w:pPr>
        <w:spacing w:before="100" w:beforeAutospacing="1" w:after="100" w:afterAutospacing="1" w:line="360" w:lineRule="auto"/>
        <w:ind w:hanging="11"/>
        <w:rPr>
          <w:rFonts w:asciiTheme="majorHAnsi" w:hAnsiTheme="majorHAnsi" w:cstheme="majorHAnsi"/>
          <w:bCs/>
          <w:i/>
          <w:color w:val="44546A" w:themeColor="text2"/>
          <w:sz w:val="22"/>
          <w:szCs w:val="22"/>
          <w:lang w:val="en-US"/>
        </w:rPr>
      </w:pPr>
      <w:bookmarkStart w:id="486" w:name="_Toc11511256"/>
      <w:bookmarkStart w:id="487" w:name="_Toc15142756"/>
      <w:bookmarkStart w:id="488" w:name="_Toc71616557"/>
      <w:r w:rsidRPr="001E2886">
        <w:rPr>
          <w:rFonts w:asciiTheme="majorHAnsi" w:hAnsiTheme="majorHAnsi" w:cstheme="majorHAnsi"/>
          <w:bCs/>
          <w:i/>
          <w:color w:val="44546A" w:themeColor="text2"/>
          <w:sz w:val="22"/>
          <w:szCs w:val="22"/>
          <w:lang w:val="en-US"/>
        </w:rPr>
        <w:t xml:space="preserve">Figure </w:t>
      </w:r>
      <w:r w:rsidRPr="001E2886">
        <w:rPr>
          <w:rFonts w:asciiTheme="majorHAnsi" w:hAnsiTheme="majorHAnsi" w:cstheme="majorHAnsi"/>
          <w:bCs/>
          <w:i/>
          <w:color w:val="44546A" w:themeColor="text2"/>
          <w:sz w:val="22"/>
          <w:szCs w:val="22"/>
          <w:lang w:val="en-US"/>
        </w:rPr>
        <w:fldChar w:fldCharType="begin"/>
      </w:r>
      <w:r w:rsidRPr="001E2886">
        <w:rPr>
          <w:rFonts w:asciiTheme="majorHAnsi" w:hAnsiTheme="majorHAnsi" w:cstheme="majorHAnsi"/>
          <w:bCs/>
          <w:i/>
          <w:color w:val="44546A" w:themeColor="text2"/>
          <w:sz w:val="22"/>
          <w:szCs w:val="22"/>
          <w:lang w:val="en-US"/>
        </w:rPr>
        <w:instrText xml:space="preserve"> SEQ Figure \* ARABIC </w:instrText>
      </w:r>
      <w:r w:rsidRPr="001E2886">
        <w:rPr>
          <w:rFonts w:asciiTheme="majorHAnsi" w:hAnsiTheme="majorHAnsi" w:cstheme="majorHAnsi"/>
          <w:bCs/>
          <w:i/>
          <w:color w:val="44546A" w:themeColor="text2"/>
          <w:sz w:val="22"/>
          <w:szCs w:val="22"/>
          <w:lang w:val="en-US"/>
        </w:rPr>
        <w:fldChar w:fldCharType="separate"/>
      </w:r>
      <w:r w:rsidR="00D6133D">
        <w:rPr>
          <w:rFonts w:asciiTheme="majorHAnsi" w:hAnsiTheme="majorHAnsi" w:cstheme="majorHAnsi"/>
          <w:bCs/>
          <w:i/>
          <w:noProof/>
          <w:color w:val="44546A" w:themeColor="text2"/>
          <w:sz w:val="22"/>
          <w:szCs w:val="22"/>
          <w:lang w:val="en-US"/>
        </w:rPr>
        <w:t>30</w:t>
      </w:r>
      <w:r w:rsidRPr="001E2886">
        <w:rPr>
          <w:rFonts w:asciiTheme="majorHAnsi" w:hAnsiTheme="majorHAnsi" w:cstheme="majorHAnsi"/>
          <w:bCs/>
          <w:i/>
          <w:color w:val="44546A" w:themeColor="text2"/>
          <w:sz w:val="22"/>
          <w:szCs w:val="22"/>
          <w:lang w:val="en-US"/>
        </w:rPr>
        <w:fldChar w:fldCharType="end"/>
      </w:r>
      <w:r w:rsidRPr="001E2886">
        <w:rPr>
          <w:rFonts w:asciiTheme="majorHAnsi" w:hAnsiTheme="majorHAnsi" w:cstheme="majorHAnsi"/>
          <w:bCs/>
          <w:i/>
          <w:color w:val="44546A" w:themeColor="text2"/>
          <w:sz w:val="22"/>
          <w:szCs w:val="22"/>
          <w:lang w:val="en-US"/>
        </w:rPr>
        <w:t>.Attendance Rate of Grade 4 Students</w:t>
      </w:r>
      <w:bookmarkEnd w:id="486"/>
      <w:bookmarkEnd w:id="487"/>
      <w:bookmarkEnd w:id="488"/>
    </w:p>
    <w:p w14:paraId="0A3FC496" w14:textId="77777777" w:rsidR="008D0CAD" w:rsidRPr="00E00C4B" w:rsidRDefault="008D0CAD" w:rsidP="00796BFA">
      <w:pPr>
        <w:spacing w:before="100" w:beforeAutospacing="1" w:after="100" w:afterAutospacing="1" w:line="360" w:lineRule="auto"/>
        <w:rPr>
          <w:lang w:val="en-US"/>
        </w:rPr>
      </w:pPr>
      <w:r w:rsidRPr="00E00C4B">
        <w:rPr>
          <w:noProof/>
          <w:lang w:val="en-AU" w:eastAsia="en-AU"/>
        </w:rPr>
        <w:drawing>
          <wp:inline distT="0" distB="0" distL="0" distR="0" wp14:anchorId="1CD19E4E" wp14:editId="0EE063B0">
            <wp:extent cx="5730958" cy="2197534"/>
            <wp:effectExtent l="0" t="0" r="0" b="0"/>
            <wp:docPr id="64" name="Picture 64" descr="Line graph of attendance rate of Grade 4 Students. (i) Lowest in 2015-2016, increasing in 2016-2017 and plateauing at 2017-2018. (ii) decreasing rate from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Line graph of attendance rate of Grade 4 Students. (i) Lowest in 2015-2016, increasing in 2016-2017 and plateauing at 2017-2018. (ii) decreasing rate from baseline."/>
                    <pic:cNvPicPr/>
                  </pic:nvPicPr>
                  <pic:blipFill rotWithShape="1">
                    <a:blip r:embed="rId87" cstate="print">
                      <a:extLst>
                        <a:ext uri="{28A0092B-C50C-407E-A947-70E740481C1C}">
                          <a14:useLocalDpi xmlns:a14="http://schemas.microsoft.com/office/drawing/2010/main" val="0"/>
                        </a:ext>
                      </a:extLst>
                    </a:blip>
                    <a:srcRect t="6495" b="32150"/>
                    <a:stretch/>
                  </pic:blipFill>
                  <pic:spPr bwMode="auto">
                    <a:xfrm>
                      <a:off x="0" y="0"/>
                      <a:ext cx="5731510" cy="2197746"/>
                    </a:xfrm>
                    <a:prstGeom prst="rect">
                      <a:avLst/>
                    </a:prstGeom>
                    <a:ln>
                      <a:noFill/>
                    </a:ln>
                    <a:extLst>
                      <a:ext uri="{53640926-AAD7-44D8-BBD7-CCE9431645EC}">
                        <a14:shadowObscured xmlns:a14="http://schemas.microsoft.com/office/drawing/2010/main"/>
                      </a:ext>
                    </a:extLst>
                  </pic:spPr>
                </pic:pic>
              </a:graphicData>
            </a:graphic>
          </wp:inline>
        </w:drawing>
      </w:r>
    </w:p>
    <w:p w14:paraId="4B6574ED" w14:textId="77777777" w:rsidR="008D0CAD" w:rsidRPr="00E00C4B" w:rsidRDefault="008D0CAD" w:rsidP="00796BFA">
      <w:pPr>
        <w:tabs>
          <w:tab w:val="left" w:pos="4125"/>
        </w:tabs>
        <w:spacing w:before="100" w:beforeAutospacing="1" w:after="100" w:afterAutospacing="1" w:line="360" w:lineRule="auto"/>
        <w:rPr>
          <w:lang w:val="en-US"/>
        </w:rPr>
      </w:pPr>
      <w:r w:rsidRPr="00E00C4B">
        <w:rPr>
          <w:lang w:val="en-US"/>
        </w:rPr>
        <w:tab/>
      </w:r>
    </w:p>
    <w:p w14:paraId="0E43780D" w14:textId="77777777" w:rsidR="008D0CAD" w:rsidRPr="00E00C4B" w:rsidRDefault="008D0CAD" w:rsidP="00796BFA">
      <w:pPr>
        <w:tabs>
          <w:tab w:val="left" w:pos="4125"/>
        </w:tabs>
        <w:spacing w:before="100" w:beforeAutospacing="1" w:after="100" w:afterAutospacing="1" w:line="360" w:lineRule="auto"/>
        <w:rPr>
          <w:lang w:val="en-US"/>
        </w:rPr>
      </w:pPr>
    </w:p>
    <w:p w14:paraId="4D6136EE" w14:textId="0DDB8284" w:rsidR="008D0CAD" w:rsidRPr="001E2886" w:rsidRDefault="008D0CAD" w:rsidP="00796BFA">
      <w:pPr>
        <w:spacing w:before="100" w:beforeAutospacing="1" w:after="100" w:afterAutospacing="1" w:line="360" w:lineRule="auto"/>
        <w:rPr>
          <w:rFonts w:asciiTheme="majorHAnsi" w:hAnsiTheme="majorHAnsi" w:cstheme="majorHAnsi"/>
          <w:bCs/>
          <w:i/>
          <w:color w:val="44546A" w:themeColor="text2"/>
          <w:sz w:val="22"/>
          <w:szCs w:val="22"/>
          <w:lang w:val="en-US"/>
        </w:rPr>
      </w:pPr>
      <w:bookmarkStart w:id="489" w:name="_Toc11511257"/>
      <w:bookmarkStart w:id="490" w:name="_Toc15142757"/>
      <w:bookmarkStart w:id="491" w:name="_Toc71616558"/>
      <w:r w:rsidRPr="001E2886">
        <w:rPr>
          <w:rFonts w:asciiTheme="majorHAnsi" w:hAnsiTheme="majorHAnsi" w:cstheme="majorHAnsi"/>
          <w:bCs/>
          <w:i/>
          <w:color w:val="44546A" w:themeColor="text2"/>
          <w:sz w:val="22"/>
          <w:szCs w:val="22"/>
          <w:lang w:val="en-US"/>
        </w:rPr>
        <w:t xml:space="preserve">Figure </w:t>
      </w:r>
      <w:r w:rsidRPr="001E2886">
        <w:rPr>
          <w:rFonts w:asciiTheme="majorHAnsi" w:hAnsiTheme="majorHAnsi" w:cstheme="majorHAnsi"/>
          <w:bCs/>
          <w:i/>
          <w:color w:val="44546A" w:themeColor="text2"/>
          <w:sz w:val="22"/>
          <w:szCs w:val="22"/>
          <w:lang w:val="en-US"/>
        </w:rPr>
        <w:fldChar w:fldCharType="begin"/>
      </w:r>
      <w:r w:rsidRPr="001E2886">
        <w:rPr>
          <w:rFonts w:asciiTheme="majorHAnsi" w:hAnsiTheme="majorHAnsi" w:cstheme="majorHAnsi"/>
          <w:bCs/>
          <w:i/>
          <w:color w:val="44546A" w:themeColor="text2"/>
          <w:sz w:val="22"/>
          <w:szCs w:val="22"/>
          <w:lang w:val="en-US"/>
        </w:rPr>
        <w:instrText xml:space="preserve"> SEQ Figure \* ARABIC </w:instrText>
      </w:r>
      <w:r w:rsidRPr="001E2886">
        <w:rPr>
          <w:rFonts w:asciiTheme="majorHAnsi" w:hAnsiTheme="majorHAnsi" w:cstheme="majorHAnsi"/>
          <w:bCs/>
          <w:i/>
          <w:color w:val="44546A" w:themeColor="text2"/>
          <w:sz w:val="22"/>
          <w:szCs w:val="22"/>
          <w:lang w:val="en-US"/>
        </w:rPr>
        <w:fldChar w:fldCharType="separate"/>
      </w:r>
      <w:r w:rsidR="00D6133D">
        <w:rPr>
          <w:rFonts w:asciiTheme="majorHAnsi" w:hAnsiTheme="majorHAnsi" w:cstheme="majorHAnsi"/>
          <w:bCs/>
          <w:i/>
          <w:noProof/>
          <w:color w:val="44546A" w:themeColor="text2"/>
          <w:sz w:val="22"/>
          <w:szCs w:val="22"/>
          <w:lang w:val="en-US"/>
        </w:rPr>
        <w:t>31</w:t>
      </w:r>
      <w:r w:rsidRPr="001E2886">
        <w:rPr>
          <w:rFonts w:asciiTheme="majorHAnsi" w:hAnsiTheme="majorHAnsi" w:cstheme="majorHAnsi"/>
          <w:bCs/>
          <w:i/>
          <w:color w:val="44546A" w:themeColor="text2"/>
          <w:sz w:val="22"/>
          <w:szCs w:val="22"/>
          <w:lang w:val="en-US"/>
        </w:rPr>
        <w:fldChar w:fldCharType="end"/>
      </w:r>
      <w:r w:rsidRPr="001E2886">
        <w:rPr>
          <w:rFonts w:asciiTheme="majorHAnsi" w:hAnsiTheme="majorHAnsi" w:cstheme="majorHAnsi"/>
          <w:bCs/>
          <w:i/>
          <w:color w:val="44546A" w:themeColor="text2"/>
          <w:sz w:val="22"/>
          <w:szCs w:val="22"/>
          <w:lang w:val="en-US"/>
        </w:rPr>
        <w:t>.Attendance Rate of Grade 5 Students</w:t>
      </w:r>
      <w:bookmarkEnd w:id="489"/>
      <w:bookmarkEnd w:id="490"/>
      <w:bookmarkEnd w:id="491"/>
    </w:p>
    <w:p w14:paraId="0078EA87" w14:textId="20CBD617" w:rsidR="008D0CAD" w:rsidRPr="00E00C4B" w:rsidRDefault="008D0CAD" w:rsidP="00796BFA">
      <w:pPr>
        <w:spacing w:before="100" w:beforeAutospacing="1" w:after="100" w:afterAutospacing="1" w:line="360" w:lineRule="auto"/>
        <w:rPr>
          <w:lang w:val="en-US"/>
        </w:rPr>
      </w:pPr>
      <w:r w:rsidRPr="00E00C4B">
        <w:rPr>
          <w:noProof/>
          <w:lang w:val="en-AU" w:eastAsia="en-AU"/>
        </w:rPr>
        <w:drawing>
          <wp:inline distT="0" distB="0" distL="0" distR="0" wp14:anchorId="5A47B071" wp14:editId="5C76EDE4">
            <wp:extent cx="5731353" cy="2157597"/>
            <wp:effectExtent l="0" t="0" r="0" b="1905"/>
            <wp:docPr id="66" name="Picture 66" descr="Line graph of attendance rate of grade 5 students from 2013 to 2018. Steady growth with drop in 2016-2017 and sharp increase in 2017-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Line graph of attendance rate of grade 5 students from 2013 to 2018. Steady growth with drop in 2016-2017 and sharp increase in 2017-2018."/>
                    <pic:cNvPicPr/>
                  </pic:nvPicPr>
                  <pic:blipFill rotWithShape="1">
                    <a:blip r:embed="rId88" cstate="print">
                      <a:extLst>
                        <a:ext uri="{28A0092B-C50C-407E-A947-70E740481C1C}">
                          <a14:useLocalDpi xmlns:a14="http://schemas.microsoft.com/office/drawing/2010/main" val="0"/>
                        </a:ext>
                      </a:extLst>
                    </a:blip>
                    <a:srcRect t="7166" b="32599"/>
                    <a:stretch/>
                  </pic:blipFill>
                  <pic:spPr bwMode="auto">
                    <a:xfrm>
                      <a:off x="0" y="0"/>
                      <a:ext cx="5731510" cy="2157656"/>
                    </a:xfrm>
                    <a:prstGeom prst="rect">
                      <a:avLst/>
                    </a:prstGeom>
                    <a:ln>
                      <a:noFill/>
                    </a:ln>
                    <a:extLst>
                      <a:ext uri="{53640926-AAD7-44D8-BBD7-CCE9431645EC}">
                        <a14:shadowObscured xmlns:a14="http://schemas.microsoft.com/office/drawing/2010/main"/>
                      </a:ext>
                    </a:extLst>
                  </pic:spPr>
                </pic:pic>
              </a:graphicData>
            </a:graphic>
          </wp:inline>
        </w:drawing>
      </w:r>
    </w:p>
    <w:p w14:paraId="39C9E6EE" w14:textId="4C0729BC" w:rsidR="008D0CAD" w:rsidRPr="001E2886" w:rsidRDefault="008D0CAD" w:rsidP="00796BFA">
      <w:pPr>
        <w:spacing w:before="100" w:beforeAutospacing="1" w:after="100" w:afterAutospacing="1" w:line="360" w:lineRule="auto"/>
        <w:ind w:hanging="11"/>
        <w:rPr>
          <w:rFonts w:asciiTheme="majorHAnsi" w:hAnsiTheme="majorHAnsi" w:cstheme="majorHAnsi"/>
          <w:bCs/>
          <w:i/>
          <w:color w:val="44546A" w:themeColor="text2"/>
          <w:sz w:val="22"/>
          <w:szCs w:val="22"/>
          <w:lang w:val="en-US"/>
        </w:rPr>
      </w:pPr>
      <w:bookmarkStart w:id="492" w:name="_Toc11511258"/>
      <w:bookmarkStart w:id="493" w:name="_Toc15142758"/>
      <w:bookmarkStart w:id="494" w:name="_Toc71616559"/>
      <w:r w:rsidRPr="001E2886">
        <w:rPr>
          <w:rFonts w:asciiTheme="majorHAnsi" w:hAnsiTheme="majorHAnsi" w:cstheme="majorHAnsi"/>
          <w:bCs/>
          <w:i/>
          <w:color w:val="44546A" w:themeColor="text2"/>
          <w:sz w:val="22"/>
          <w:szCs w:val="22"/>
          <w:lang w:val="en-US"/>
        </w:rPr>
        <w:t xml:space="preserve">Figure </w:t>
      </w:r>
      <w:r w:rsidRPr="001E2886">
        <w:rPr>
          <w:rFonts w:asciiTheme="majorHAnsi" w:hAnsiTheme="majorHAnsi" w:cstheme="majorHAnsi"/>
          <w:bCs/>
          <w:i/>
          <w:color w:val="44546A" w:themeColor="text2"/>
          <w:sz w:val="22"/>
          <w:szCs w:val="22"/>
          <w:lang w:val="en-US"/>
        </w:rPr>
        <w:fldChar w:fldCharType="begin"/>
      </w:r>
      <w:r w:rsidRPr="001E2886">
        <w:rPr>
          <w:rFonts w:asciiTheme="majorHAnsi" w:hAnsiTheme="majorHAnsi" w:cstheme="majorHAnsi"/>
          <w:bCs/>
          <w:i/>
          <w:color w:val="44546A" w:themeColor="text2"/>
          <w:sz w:val="22"/>
          <w:szCs w:val="22"/>
          <w:lang w:val="en-US"/>
        </w:rPr>
        <w:instrText xml:space="preserve"> SEQ Figure \* ARABIC </w:instrText>
      </w:r>
      <w:r w:rsidRPr="001E2886">
        <w:rPr>
          <w:rFonts w:asciiTheme="majorHAnsi" w:hAnsiTheme="majorHAnsi" w:cstheme="majorHAnsi"/>
          <w:bCs/>
          <w:i/>
          <w:color w:val="44546A" w:themeColor="text2"/>
          <w:sz w:val="22"/>
          <w:szCs w:val="22"/>
          <w:lang w:val="en-US"/>
        </w:rPr>
        <w:fldChar w:fldCharType="separate"/>
      </w:r>
      <w:r w:rsidR="00D6133D">
        <w:rPr>
          <w:rFonts w:asciiTheme="majorHAnsi" w:hAnsiTheme="majorHAnsi" w:cstheme="majorHAnsi"/>
          <w:bCs/>
          <w:i/>
          <w:noProof/>
          <w:color w:val="44546A" w:themeColor="text2"/>
          <w:sz w:val="22"/>
          <w:szCs w:val="22"/>
          <w:lang w:val="en-US"/>
        </w:rPr>
        <w:t>32</w:t>
      </w:r>
      <w:r w:rsidRPr="001E2886">
        <w:rPr>
          <w:rFonts w:asciiTheme="majorHAnsi" w:hAnsiTheme="majorHAnsi" w:cstheme="majorHAnsi"/>
          <w:bCs/>
          <w:i/>
          <w:color w:val="44546A" w:themeColor="text2"/>
          <w:sz w:val="22"/>
          <w:szCs w:val="22"/>
          <w:lang w:val="en-US"/>
        </w:rPr>
        <w:fldChar w:fldCharType="end"/>
      </w:r>
      <w:r w:rsidRPr="001E2886">
        <w:rPr>
          <w:rFonts w:asciiTheme="majorHAnsi" w:hAnsiTheme="majorHAnsi" w:cstheme="majorHAnsi"/>
          <w:bCs/>
          <w:i/>
          <w:color w:val="44546A" w:themeColor="text2"/>
          <w:sz w:val="22"/>
          <w:szCs w:val="22"/>
          <w:lang w:val="en-US"/>
        </w:rPr>
        <w:t>.Attendance Rate of Grade 6 Students</w:t>
      </w:r>
      <w:bookmarkEnd w:id="492"/>
      <w:bookmarkEnd w:id="493"/>
      <w:bookmarkEnd w:id="494"/>
    </w:p>
    <w:p w14:paraId="70C0C851" w14:textId="46E104BA" w:rsidR="008D0CAD" w:rsidRPr="00796BFA" w:rsidRDefault="008D0CAD" w:rsidP="00796BFA">
      <w:pPr>
        <w:spacing w:before="100" w:beforeAutospacing="1" w:after="100" w:afterAutospacing="1" w:line="360" w:lineRule="auto"/>
        <w:rPr>
          <w:lang w:val="en-US"/>
        </w:rPr>
      </w:pPr>
      <w:r w:rsidRPr="00E00C4B">
        <w:rPr>
          <w:noProof/>
          <w:lang w:val="en-AU" w:eastAsia="en-AU"/>
        </w:rPr>
        <w:drawing>
          <wp:inline distT="0" distB="0" distL="0" distR="0" wp14:anchorId="038A4ABB" wp14:editId="59750E75">
            <wp:extent cx="5731351" cy="2157596"/>
            <wp:effectExtent l="0" t="0" r="0" b="1905"/>
            <wp:docPr id="67" name="Picture 67" descr="Line graph of attendance rate of grade 6 students from 2013 to 2018. Highest point in 2016-2017, dropping in 2017-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Line graph of attendance rate of grade 6 students from 2013 to 2018. Highest point in 2016-2017, dropping in 2017-2018."/>
                    <pic:cNvPicPr/>
                  </pic:nvPicPr>
                  <pic:blipFill rotWithShape="1">
                    <a:blip r:embed="rId89" cstate="print">
                      <a:extLst>
                        <a:ext uri="{28A0092B-C50C-407E-A947-70E740481C1C}">
                          <a14:useLocalDpi xmlns:a14="http://schemas.microsoft.com/office/drawing/2010/main" val="0"/>
                        </a:ext>
                      </a:extLst>
                    </a:blip>
                    <a:srcRect t="7166" b="32599"/>
                    <a:stretch/>
                  </pic:blipFill>
                  <pic:spPr bwMode="auto">
                    <a:xfrm>
                      <a:off x="0" y="0"/>
                      <a:ext cx="5731510" cy="2157656"/>
                    </a:xfrm>
                    <a:prstGeom prst="rect">
                      <a:avLst/>
                    </a:prstGeom>
                    <a:ln>
                      <a:noFill/>
                    </a:ln>
                    <a:extLst>
                      <a:ext uri="{53640926-AAD7-44D8-BBD7-CCE9431645EC}">
                        <a14:shadowObscured xmlns:a14="http://schemas.microsoft.com/office/drawing/2010/main"/>
                      </a:ext>
                    </a:extLst>
                  </pic:spPr>
                </pic:pic>
              </a:graphicData>
            </a:graphic>
          </wp:inline>
        </w:drawing>
      </w:r>
    </w:p>
    <w:p w14:paraId="2ED1C722" w14:textId="77777777" w:rsidR="008D0CAD" w:rsidRPr="00E00C4B" w:rsidRDefault="008D0CAD" w:rsidP="00796BFA">
      <w:pPr>
        <w:spacing w:before="100" w:beforeAutospacing="1" w:after="100" w:afterAutospacing="1" w:line="360" w:lineRule="auto"/>
        <w:rPr>
          <w:rFonts w:asciiTheme="majorHAnsi" w:hAnsiTheme="majorHAnsi" w:cstheme="majorHAnsi"/>
          <w:sz w:val="22"/>
          <w:szCs w:val="22"/>
          <w:lang w:val="en-US"/>
        </w:rPr>
      </w:pPr>
      <w:r w:rsidRPr="00E00C4B">
        <w:rPr>
          <w:rFonts w:asciiTheme="majorHAnsi" w:hAnsiTheme="majorHAnsi" w:cstheme="majorHAnsi"/>
          <w:sz w:val="22"/>
          <w:szCs w:val="22"/>
          <w:lang w:val="en-US"/>
        </w:rPr>
        <w:t>In summary, the observations revealed that:</w:t>
      </w:r>
    </w:p>
    <w:p w14:paraId="40D138FF" w14:textId="0586F16E" w:rsidR="008D0CAD" w:rsidRPr="00E00C4B" w:rsidRDefault="008D0CAD" w:rsidP="00796BFA">
      <w:pPr>
        <w:numPr>
          <w:ilvl w:val="0"/>
          <w:numId w:val="151"/>
        </w:numPr>
        <w:spacing w:before="100" w:beforeAutospacing="1" w:after="100" w:afterAutospacing="1" w:line="360" w:lineRule="auto"/>
        <w:rPr>
          <w:rFonts w:asciiTheme="majorHAnsi" w:hAnsiTheme="majorHAnsi" w:cstheme="majorHAnsi"/>
          <w:sz w:val="22"/>
          <w:szCs w:val="22"/>
          <w:lang w:val="en-US"/>
        </w:rPr>
      </w:pPr>
      <w:r w:rsidRPr="00E00C4B">
        <w:rPr>
          <w:rFonts w:asciiTheme="majorHAnsi" w:hAnsiTheme="majorHAnsi" w:cstheme="majorHAnsi"/>
          <w:sz w:val="22"/>
          <w:szCs w:val="22"/>
          <w:lang w:val="en-US"/>
        </w:rPr>
        <w:t>Grade 6 students’ attendance rate decreased from baseline to end-line.</w:t>
      </w:r>
      <w:r w:rsidR="00D434EB">
        <w:rPr>
          <w:rFonts w:asciiTheme="majorHAnsi" w:hAnsiTheme="majorHAnsi" w:cstheme="majorHAnsi"/>
          <w:sz w:val="22"/>
          <w:szCs w:val="22"/>
          <w:lang w:val="en-US"/>
        </w:rPr>
        <w:t xml:space="preserve"> </w:t>
      </w:r>
      <w:r w:rsidRPr="00E00C4B">
        <w:rPr>
          <w:rFonts w:asciiTheme="majorHAnsi" w:hAnsiTheme="majorHAnsi" w:cstheme="majorHAnsi"/>
          <w:sz w:val="22"/>
          <w:szCs w:val="22"/>
          <w:lang w:val="en-US"/>
        </w:rPr>
        <w:t>However, the decrease was faster in indirect recipient schools than in direct recipient schools;</w:t>
      </w:r>
    </w:p>
    <w:p w14:paraId="358459B7" w14:textId="77777777" w:rsidR="008D0CAD" w:rsidRPr="00E00C4B" w:rsidRDefault="008D0CAD" w:rsidP="00796BFA">
      <w:pPr>
        <w:numPr>
          <w:ilvl w:val="0"/>
          <w:numId w:val="151"/>
        </w:numPr>
        <w:spacing w:before="100" w:beforeAutospacing="1" w:after="100" w:afterAutospacing="1" w:line="360" w:lineRule="auto"/>
        <w:rPr>
          <w:rFonts w:asciiTheme="majorHAnsi" w:hAnsiTheme="majorHAnsi" w:cstheme="majorHAnsi"/>
          <w:sz w:val="22"/>
          <w:szCs w:val="22"/>
          <w:lang w:val="en-US"/>
        </w:rPr>
      </w:pPr>
      <w:r w:rsidRPr="00E00C4B">
        <w:rPr>
          <w:rFonts w:asciiTheme="majorHAnsi" w:hAnsiTheme="majorHAnsi" w:cstheme="majorHAnsi"/>
          <w:sz w:val="22"/>
          <w:szCs w:val="22"/>
          <w:lang w:val="en-US"/>
        </w:rPr>
        <w:t>All the DIDs had positive values, implying that the increase of average attendance rates of direct recipient schools was higher than that of indirect recipient schools; and</w:t>
      </w:r>
    </w:p>
    <w:p w14:paraId="31729B78" w14:textId="77777777" w:rsidR="008D0CAD" w:rsidRPr="00E00C4B" w:rsidRDefault="008D0CAD" w:rsidP="00796BFA">
      <w:pPr>
        <w:numPr>
          <w:ilvl w:val="0"/>
          <w:numId w:val="151"/>
        </w:numPr>
        <w:spacing w:before="100" w:beforeAutospacing="1" w:after="100" w:afterAutospacing="1" w:line="360" w:lineRule="auto"/>
        <w:rPr>
          <w:rFonts w:asciiTheme="majorHAnsi" w:hAnsiTheme="majorHAnsi" w:cstheme="majorHAnsi"/>
          <w:sz w:val="22"/>
          <w:szCs w:val="22"/>
          <w:lang w:val="en-US"/>
        </w:rPr>
      </w:pPr>
      <w:r w:rsidRPr="00E00C4B">
        <w:rPr>
          <w:rFonts w:asciiTheme="majorHAnsi" w:hAnsiTheme="majorHAnsi" w:cstheme="majorHAnsi"/>
          <w:sz w:val="22"/>
          <w:szCs w:val="22"/>
          <w:lang w:val="en-US"/>
        </w:rPr>
        <w:t>Similar to the results of the analysis in grades by subject, it appeared that the BEST Program may have benefitted the Grade 6 students more than the other grade levels.</w:t>
      </w:r>
    </w:p>
    <w:p w14:paraId="14C32A35" w14:textId="77777777" w:rsidR="008D0CAD" w:rsidRPr="00E00C4B" w:rsidRDefault="008D0CAD" w:rsidP="00796BFA">
      <w:pPr>
        <w:spacing w:before="100" w:beforeAutospacing="1" w:after="100" w:afterAutospacing="1" w:line="360" w:lineRule="auto"/>
        <w:ind w:left="1080" w:hanging="990"/>
        <w:rPr>
          <w:rFonts w:asciiTheme="majorHAnsi" w:hAnsiTheme="majorHAnsi" w:cstheme="majorHAnsi"/>
          <w:i/>
          <w:iCs/>
          <w:color w:val="000000" w:themeColor="text1"/>
          <w:sz w:val="20"/>
          <w:szCs w:val="20"/>
          <w:lang w:val="en-US"/>
        </w:rPr>
      </w:pPr>
    </w:p>
    <w:p w14:paraId="39F0F49C" w14:textId="417F1B47" w:rsidR="008D0CAD" w:rsidRPr="00E00C4B" w:rsidRDefault="008D0CAD" w:rsidP="00796BFA">
      <w:pPr>
        <w:pStyle w:val="Heading3"/>
        <w:spacing w:before="100" w:beforeAutospacing="1" w:after="100" w:afterAutospacing="1" w:line="360" w:lineRule="auto"/>
        <w:rPr>
          <w:lang w:val="en-US"/>
        </w:rPr>
      </w:pPr>
      <w:bookmarkStart w:id="495" w:name="_Toc39938420"/>
      <w:bookmarkStart w:id="496" w:name="_Toc69820524"/>
      <w:r w:rsidRPr="00E00C4B">
        <w:rPr>
          <w:lang w:val="en-US"/>
        </w:rPr>
        <w:t>Annex V-3. Philippine Education Key Performance Indicators (KPIs)</w:t>
      </w:r>
      <w:bookmarkEnd w:id="495"/>
      <w:bookmarkEnd w:id="496"/>
    </w:p>
    <w:p w14:paraId="6BE4C961" w14:textId="77777777" w:rsidR="008D0CAD" w:rsidRPr="00E00C4B" w:rsidRDefault="008D0CAD" w:rsidP="00796BFA">
      <w:pPr>
        <w:pStyle w:val="Heading4"/>
        <w:spacing w:before="100" w:beforeAutospacing="1" w:after="100" w:afterAutospacing="1" w:line="360" w:lineRule="auto"/>
        <w:rPr>
          <w:lang w:val="en-US"/>
        </w:rPr>
      </w:pPr>
      <w:bookmarkStart w:id="497" w:name="_Toc16524066"/>
      <w:bookmarkStart w:id="498" w:name="_Toc39938421"/>
      <w:bookmarkStart w:id="499" w:name="_Toc69820525"/>
      <w:r>
        <w:rPr>
          <w:lang w:val="en-US"/>
        </w:rPr>
        <w:t>I</w:t>
      </w:r>
      <w:r w:rsidRPr="00E00C4B">
        <w:rPr>
          <w:lang w:val="en-US"/>
        </w:rPr>
        <w:t>ntroduction</w:t>
      </w:r>
      <w:bookmarkEnd w:id="497"/>
      <w:bookmarkEnd w:id="498"/>
      <w:bookmarkEnd w:id="499"/>
    </w:p>
    <w:p w14:paraId="430E7DBB" w14:textId="77777777" w:rsidR="008D0CAD" w:rsidRPr="00E00C4B" w:rsidRDefault="008D0CAD" w:rsidP="00796BFA">
      <w:pPr>
        <w:pStyle w:val="Heading4"/>
        <w:spacing w:before="100" w:beforeAutospacing="1" w:after="100" w:afterAutospacing="1" w:line="360" w:lineRule="auto"/>
        <w:rPr>
          <w:lang w:val="en-US"/>
        </w:rPr>
      </w:pPr>
      <w:bookmarkStart w:id="500" w:name="_Toc16524067"/>
      <w:r w:rsidRPr="00E00C4B">
        <w:rPr>
          <w:lang w:val="en-US"/>
        </w:rPr>
        <w:t>BEST Regions and EOPE Study Divisions</w:t>
      </w:r>
      <w:bookmarkEnd w:id="500"/>
    </w:p>
    <w:p w14:paraId="1DFA5391" w14:textId="5DF4EE2D" w:rsidR="008D0CAD" w:rsidRPr="00E00C4B" w:rsidRDefault="008D0CAD" w:rsidP="00796BFA">
      <w:pPr>
        <w:spacing w:before="100" w:beforeAutospacing="1" w:after="100" w:afterAutospacing="1" w:line="360" w:lineRule="auto"/>
        <w:rPr>
          <w:rFonts w:asciiTheme="majorHAnsi" w:hAnsiTheme="majorHAnsi" w:cstheme="majorHAnsi"/>
          <w:sz w:val="22"/>
          <w:szCs w:val="22"/>
          <w:lang w:val="en-US"/>
        </w:rPr>
      </w:pPr>
      <w:r w:rsidRPr="00E00C4B">
        <w:rPr>
          <w:rFonts w:asciiTheme="majorHAnsi" w:hAnsiTheme="majorHAnsi" w:cstheme="majorHAnsi"/>
          <w:sz w:val="22"/>
          <w:szCs w:val="22"/>
          <w:lang w:val="en-US"/>
        </w:rPr>
        <w:t>The EOPE Study focused on assessing the effects of the BEST Program interventions on elementary schools</w:t>
      </w:r>
      <w:r w:rsidRPr="00E00C4B">
        <w:rPr>
          <w:rFonts w:asciiTheme="majorHAnsi" w:hAnsiTheme="majorHAnsi" w:cstheme="majorHAnsi"/>
          <w:sz w:val="22"/>
          <w:szCs w:val="22"/>
          <w:vertAlign w:val="superscript"/>
          <w:lang w:val="en-US"/>
        </w:rPr>
        <w:footnoteReference w:id="142"/>
      </w:r>
      <w:r w:rsidRPr="00E00C4B">
        <w:rPr>
          <w:rFonts w:asciiTheme="majorHAnsi" w:hAnsiTheme="majorHAnsi" w:cstheme="majorHAnsi"/>
          <w:sz w:val="22"/>
          <w:szCs w:val="22"/>
          <w:lang w:val="en-US"/>
        </w:rPr>
        <w:t xml:space="preserve"> in the 14 selected Divisions within the six BEST supported regions. Thus, data obtained largely concentrated on the performance of these regions and Divisions. However, data at national level and of other regions may be presented only to provide a better context of how the</w:t>
      </w:r>
      <w:r w:rsidR="00121470">
        <w:rPr>
          <w:rFonts w:asciiTheme="majorHAnsi" w:hAnsiTheme="majorHAnsi" w:cstheme="majorHAnsi"/>
          <w:sz w:val="22"/>
          <w:szCs w:val="22"/>
          <w:lang w:val="en-US"/>
        </w:rPr>
        <w:t>se</w:t>
      </w:r>
      <w:r w:rsidRPr="00E00C4B">
        <w:rPr>
          <w:rFonts w:asciiTheme="majorHAnsi" w:hAnsiTheme="majorHAnsi" w:cstheme="majorHAnsi"/>
          <w:sz w:val="22"/>
          <w:szCs w:val="22"/>
          <w:lang w:val="en-US"/>
        </w:rPr>
        <w:t xml:space="preserve"> regions have performed in the last five years or from SY2013-2014, which was the start of the BEST Program implementation (i.e., the baseline year) to SY2017-2018, which was end of BEST Program implementation</w:t>
      </w:r>
      <w:r w:rsidRPr="00E00C4B">
        <w:rPr>
          <w:rFonts w:asciiTheme="majorHAnsi" w:hAnsiTheme="majorHAnsi" w:cstheme="majorHAnsi"/>
          <w:sz w:val="22"/>
          <w:szCs w:val="22"/>
          <w:vertAlign w:val="superscript"/>
          <w:lang w:val="en-US"/>
        </w:rPr>
        <w:footnoteReference w:id="143"/>
      </w:r>
      <w:r w:rsidRPr="00E00C4B">
        <w:rPr>
          <w:rFonts w:asciiTheme="majorHAnsi" w:hAnsiTheme="majorHAnsi" w:cstheme="majorHAnsi"/>
          <w:sz w:val="22"/>
          <w:szCs w:val="22"/>
          <w:lang w:val="en-US"/>
        </w:rPr>
        <w:t xml:space="preserve"> (i.e., the endline year). The focus regions and divisions are:</w:t>
      </w:r>
    </w:p>
    <w:tbl>
      <w:tblPr>
        <w:tblStyle w:val="TableGrid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0"/>
        <w:gridCol w:w="4940"/>
      </w:tblGrid>
      <w:tr w:rsidR="008D0CAD" w:rsidRPr="00E00C4B" w14:paraId="0A780CC6" w14:textId="77777777" w:rsidTr="009C64E9">
        <w:tc>
          <w:tcPr>
            <w:tcW w:w="4940" w:type="dxa"/>
          </w:tcPr>
          <w:p w14:paraId="276492FB" w14:textId="77777777" w:rsidR="008D0CAD" w:rsidRPr="00E00C4B" w:rsidRDefault="008D0CAD" w:rsidP="00796BFA">
            <w:pPr>
              <w:numPr>
                <w:ilvl w:val="0"/>
                <w:numId w:val="156"/>
              </w:numPr>
              <w:spacing w:before="100" w:beforeAutospacing="1" w:after="100" w:afterAutospacing="1" w:line="360" w:lineRule="auto"/>
              <w:contextualSpacing/>
              <w:rPr>
                <w:rFonts w:asciiTheme="majorHAnsi" w:eastAsiaTheme="minorHAnsi" w:hAnsiTheme="majorHAnsi" w:cstheme="majorHAnsi"/>
                <w:lang w:val="en-US"/>
              </w:rPr>
            </w:pPr>
            <w:r w:rsidRPr="00E00C4B">
              <w:rPr>
                <w:rFonts w:asciiTheme="majorHAnsi" w:hAnsiTheme="majorHAnsi" w:cstheme="majorHAnsi"/>
                <w:lang w:val="en-US"/>
              </w:rPr>
              <w:t>Region V - Bicol Region</w:t>
            </w:r>
          </w:p>
          <w:p w14:paraId="58676E97" w14:textId="77777777" w:rsidR="008D0CAD" w:rsidRPr="00E00C4B" w:rsidRDefault="008D0CAD" w:rsidP="00796BFA">
            <w:pPr>
              <w:numPr>
                <w:ilvl w:val="1"/>
                <w:numId w:val="156"/>
              </w:numPr>
              <w:spacing w:before="100" w:beforeAutospacing="1" w:after="100" w:afterAutospacing="1" w:line="360" w:lineRule="auto"/>
              <w:contextualSpacing/>
              <w:rPr>
                <w:rFonts w:asciiTheme="majorHAnsi" w:hAnsiTheme="majorHAnsi" w:cstheme="majorHAnsi"/>
                <w:lang w:val="en-US"/>
              </w:rPr>
            </w:pPr>
            <w:r w:rsidRPr="00E00C4B">
              <w:rPr>
                <w:rFonts w:asciiTheme="majorHAnsi" w:hAnsiTheme="majorHAnsi" w:cstheme="majorHAnsi"/>
                <w:lang w:val="en-US"/>
              </w:rPr>
              <w:t>Camarines Sur</w:t>
            </w:r>
          </w:p>
          <w:p w14:paraId="130A74AB" w14:textId="77777777" w:rsidR="008D0CAD" w:rsidRPr="00E00C4B" w:rsidRDefault="008D0CAD" w:rsidP="00796BFA">
            <w:pPr>
              <w:numPr>
                <w:ilvl w:val="1"/>
                <w:numId w:val="156"/>
              </w:numPr>
              <w:spacing w:before="100" w:beforeAutospacing="1" w:after="100" w:afterAutospacing="1" w:line="360" w:lineRule="auto"/>
              <w:contextualSpacing/>
              <w:rPr>
                <w:rFonts w:asciiTheme="majorHAnsi" w:eastAsiaTheme="minorHAnsi" w:hAnsiTheme="majorHAnsi" w:cstheme="majorHAnsi"/>
                <w:lang w:val="en-US"/>
              </w:rPr>
            </w:pPr>
            <w:r w:rsidRPr="00E00C4B">
              <w:rPr>
                <w:rFonts w:asciiTheme="majorHAnsi" w:hAnsiTheme="majorHAnsi" w:cstheme="majorHAnsi"/>
                <w:lang w:val="en-US"/>
              </w:rPr>
              <w:t>Sorsogon</w:t>
            </w:r>
          </w:p>
          <w:p w14:paraId="132A877C" w14:textId="77777777" w:rsidR="008D0CAD" w:rsidRPr="00E00C4B" w:rsidRDefault="008D0CAD" w:rsidP="00796BFA">
            <w:pPr>
              <w:numPr>
                <w:ilvl w:val="0"/>
                <w:numId w:val="156"/>
              </w:numPr>
              <w:spacing w:before="100" w:beforeAutospacing="1" w:after="100" w:afterAutospacing="1" w:line="360" w:lineRule="auto"/>
              <w:contextualSpacing/>
              <w:rPr>
                <w:rFonts w:asciiTheme="majorHAnsi" w:eastAsiaTheme="minorHAnsi" w:hAnsiTheme="majorHAnsi" w:cstheme="majorHAnsi"/>
                <w:lang w:val="en-US"/>
              </w:rPr>
            </w:pPr>
            <w:r w:rsidRPr="00E00C4B">
              <w:rPr>
                <w:rFonts w:asciiTheme="majorHAnsi" w:hAnsiTheme="majorHAnsi" w:cstheme="majorHAnsi"/>
                <w:lang w:val="en-US"/>
              </w:rPr>
              <w:t>Region VI - Western Visayas</w:t>
            </w:r>
          </w:p>
          <w:p w14:paraId="619C5ED6" w14:textId="77777777" w:rsidR="008D0CAD" w:rsidRPr="00E00C4B" w:rsidRDefault="008D0CAD" w:rsidP="00796BFA">
            <w:pPr>
              <w:numPr>
                <w:ilvl w:val="1"/>
                <w:numId w:val="156"/>
              </w:numPr>
              <w:spacing w:before="100" w:beforeAutospacing="1" w:after="100" w:afterAutospacing="1" w:line="360" w:lineRule="auto"/>
              <w:contextualSpacing/>
              <w:rPr>
                <w:rFonts w:asciiTheme="majorHAnsi" w:hAnsiTheme="majorHAnsi" w:cstheme="majorHAnsi"/>
                <w:lang w:val="en-US"/>
              </w:rPr>
            </w:pPr>
            <w:r w:rsidRPr="00E00C4B">
              <w:rPr>
                <w:rFonts w:asciiTheme="majorHAnsi" w:hAnsiTheme="majorHAnsi" w:cstheme="majorHAnsi"/>
                <w:lang w:val="en-US"/>
              </w:rPr>
              <w:t xml:space="preserve">Antique </w:t>
            </w:r>
          </w:p>
          <w:p w14:paraId="46EF19D3" w14:textId="77777777" w:rsidR="008D0CAD" w:rsidRPr="00E00C4B" w:rsidRDefault="008D0CAD" w:rsidP="00796BFA">
            <w:pPr>
              <w:numPr>
                <w:ilvl w:val="1"/>
                <w:numId w:val="156"/>
              </w:numPr>
              <w:spacing w:before="100" w:beforeAutospacing="1" w:after="100" w:afterAutospacing="1" w:line="360" w:lineRule="auto"/>
              <w:contextualSpacing/>
              <w:rPr>
                <w:rFonts w:asciiTheme="majorHAnsi" w:hAnsiTheme="majorHAnsi" w:cstheme="majorHAnsi"/>
                <w:lang w:val="en-US"/>
              </w:rPr>
            </w:pPr>
            <w:r w:rsidRPr="00E00C4B">
              <w:rPr>
                <w:rFonts w:asciiTheme="majorHAnsi" w:hAnsiTheme="majorHAnsi" w:cstheme="majorHAnsi"/>
                <w:lang w:val="en-US"/>
              </w:rPr>
              <w:t>Iloilo</w:t>
            </w:r>
          </w:p>
          <w:p w14:paraId="5DBE8493" w14:textId="77777777" w:rsidR="008D0CAD" w:rsidRPr="00E00C4B" w:rsidRDefault="008D0CAD" w:rsidP="00796BFA">
            <w:pPr>
              <w:numPr>
                <w:ilvl w:val="0"/>
                <w:numId w:val="156"/>
              </w:numPr>
              <w:spacing w:before="100" w:beforeAutospacing="1" w:after="100" w:afterAutospacing="1" w:line="360" w:lineRule="auto"/>
              <w:contextualSpacing/>
              <w:rPr>
                <w:rFonts w:asciiTheme="majorHAnsi" w:hAnsiTheme="majorHAnsi" w:cstheme="majorHAnsi"/>
                <w:lang w:val="en-US"/>
              </w:rPr>
            </w:pPr>
            <w:r w:rsidRPr="00E00C4B">
              <w:rPr>
                <w:rFonts w:asciiTheme="majorHAnsi" w:hAnsiTheme="majorHAnsi" w:cstheme="majorHAnsi"/>
                <w:lang w:val="en-US"/>
              </w:rPr>
              <w:t xml:space="preserve">Region VII - Central Visayas </w:t>
            </w:r>
          </w:p>
          <w:p w14:paraId="70F0DBD5" w14:textId="77777777" w:rsidR="008D0CAD" w:rsidRPr="00E00C4B" w:rsidRDefault="008D0CAD" w:rsidP="00796BFA">
            <w:pPr>
              <w:numPr>
                <w:ilvl w:val="1"/>
                <w:numId w:val="156"/>
              </w:numPr>
              <w:spacing w:before="100" w:beforeAutospacing="1" w:after="100" w:afterAutospacing="1" w:line="360" w:lineRule="auto"/>
              <w:contextualSpacing/>
              <w:rPr>
                <w:rFonts w:asciiTheme="majorHAnsi" w:hAnsiTheme="majorHAnsi" w:cstheme="majorHAnsi"/>
                <w:lang w:val="en-US"/>
              </w:rPr>
            </w:pPr>
            <w:r w:rsidRPr="00E00C4B">
              <w:rPr>
                <w:rFonts w:asciiTheme="majorHAnsi" w:hAnsiTheme="majorHAnsi" w:cstheme="majorHAnsi"/>
                <w:lang w:val="en-US"/>
              </w:rPr>
              <w:t>Bohol</w:t>
            </w:r>
          </w:p>
          <w:p w14:paraId="632E71D0" w14:textId="77777777" w:rsidR="008D0CAD" w:rsidRPr="00E00C4B" w:rsidRDefault="008D0CAD" w:rsidP="00796BFA">
            <w:pPr>
              <w:numPr>
                <w:ilvl w:val="1"/>
                <w:numId w:val="156"/>
              </w:numPr>
              <w:spacing w:before="100" w:beforeAutospacing="1" w:after="100" w:afterAutospacing="1" w:line="360" w:lineRule="auto"/>
              <w:contextualSpacing/>
              <w:rPr>
                <w:rFonts w:asciiTheme="majorHAnsi" w:hAnsiTheme="majorHAnsi" w:cstheme="majorHAnsi"/>
                <w:lang w:val="en-US"/>
              </w:rPr>
            </w:pPr>
            <w:r w:rsidRPr="00E00C4B">
              <w:rPr>
                <w:rFonts w:asciiTheme="majorHAnsi" w:hAnsiTheme="majorHAnsi" w:cstheme="majorHAnsi"/>
                <w:lang w:val="en-US"/>
              </w:rPr>
              <w:t>Cebu</w:t>
            </w:r>
          </w:p>
          <w:p w14:paraId="07D12716" w14:textId="77777777" w:rsidR="008D0CAD" w:rsidRPr="00E00C4B" w:rsidRDefault="008D0CAD" w:rsidP="00796BFA">
            <w:pPr>
              <w:numPr>
                <w:ilvl w:val="0"/>
                <w:numId w:val="156"/>
              </w:numPr>
              <w:spacing w:before="100" w:beforeAutospacing="1" w:after="100" w:afterAutospacing="1" w:line="360" w:lineRule="auto"/>
              <w:contextualSpacing/>
              <w:rPr>
                <w:rFonts w:asciiTheme="majorHAnsi" w:hAnsiTheme="majorHAnsi" w:cstheme="majorHAnsi"/>
                <w:lang w:val="en-US"/>
              </w:rPr>
            </w:pPr>
            <w:r w:rsidRPr="00E00C4B">
              <w:rPr>
                <w:rFonts w:asciiTheme="majorHAnsi" w:hAnsiTheme="majorHAnsi" w:cstheme="majorHAnsi"/>
                <w:lang w:val="en-US"/>
              </w:rPr>
              <w:t>Region VIII - Eastern Visayas</w:t>
            </w:r>
          </w:p>
          <w:p w14:paraId="7DD52764" w14:textId="77777777" w:rsidR="008D0CAD" w:rsidRPr="00E00C4B" w:rsidRDefault="008D0CAD" w:rsidP="00796BFA">
            <w:pPr>
              <w:numPr>
                <w:ilvl w:val="1"/>
                <w:numId w:val="156"/>
              </w:numPr>
              <w:spacing w:before="100" w:beforeAutospacing="1" w:after="100" w:afterAutospacing="1" w:line="360" w:lineRule="auto"/>
              <w:contextualSpacing/>
              <w:rPr>
                <w:rFonts w:asciiTheme="majorHAnsi" w:eastAsiaTheme="minorHAnsi" w:hAnsiTheme="majorHAnsi" w:cstheme="majorHAnsi"/>
                <w:lang w:val="en-US"/>
              </w:rPr>
            </w:pPr>
            <w:r w:rsidRPr="00E00C4B">
              <w:rPr>
                <w:rFonts w:asciiTheme="majorHAnsi" w:hAnsiTheme="majorHAnsi" w:cstheme="majorHAnsi"/>
                <w:lang w:val="en-US"/>
              </w:rPr>
              <w:t>Eastern Samar</w:t>
            </w:r>
          </w:p>
          <w:p w14:paraId="60CE87A6" w14:textId="5013221F" w:rsidR="008D0CAD" w:rsidRPr="00796BFA" w:rsidRDefault="008D0CAD" w:rsidP="00796BFA">
            <w:pPr>
              <w:numPr>
                <w:ilvl w:val="1"/>
                <w:numId w:val="156"/>
              </w:numPr>
              <w:spacing w:before="100" w:beforeAutospacing="1" w:after="100" w:afterAutospacing="1" w:line="360" w:lineRule="auto"/>
              <w:contextualSpacing/>
              <w:rPr>
                <w:rFonts w:asciiTheme="majorHAnsi" w:eastAsiaTheme="minorHAnsi" w:hAnsiTheme="majorHAnsi" w:cstheme="majorHAnsi"/>
                <w:lang w:val="en-US"/>
              </w:rPr>
            </w:pPr>
            <w:r w:rsidRPr="00E00C4B">
              <w:rPr>
                <w:rFonts w:asciiTheme="majorHAnsi" w:hAnsiTheme="majorHAnsi" w:cstheme="majorHAnsi"/>
                <w:lang w:val="en-US"/>
              </w:rPr>
              <w:t>Leyte</w:t>
            </w:r>
          </w:p>
        </w:tc>
        <w:tc>
          <w:tcPr>
            <w:tcW w:w="4940" w:type="dxa"/>
          </w:tcPr>
          <w:p w14:paraId="6E36D793" w14:textId="77777777" w:rsidR="008D0CAD" w:rsidRPr="00E00C4B" w:rsidRDefault="008D0CAD" w:rsidP="00796BFA">
            <w:pPr>
              <w:numPr>
                <w:ilvl w:val="0"/>
                <w:numId w:val="156"/>
              </w:numPr>
              <w:spacing w:before="100" w:beforeAutospacing="1" w:after="100" w:afterAutospacing="1" w:line="360" w:lineRule="auto"/>
              <w:contextualSpacing/>
              <w:rPr>
                <w:rFonts w:asciiTheme="majorHAnsi" w:hAnsiTheme="majorHAnsi" w:cstheme="majorHAnsi"/>
                <w:lang w:val="en-US"/>
              </w:rPr>
            </w:pPr>
            <w:r w:rsidRPr="00E00C4B">
              <w:rPr>
                <w:rFonts w:asciiTheme="majorHAnsi" w:hAnsiTheme="majorHAnsi" w:cstheme="majorHAnsi"/>
                <w:lang w:val="en-US"/>
              </w:rPr>
              <w:t>Region X - Northern Mindanao</w:t>
            </w:r>
          </w:p>
          <w:p w14:paraId="48F90E4D" w14:textId="77777777" w:rsidR="008D0CAD" w:rsidRPr="00E00C4B" w:rsidRDefault="008D0CAD" w:rsidP="00796BFA">
            <w:pPr>
              <w:numPr>
                <w:ilvl w:val="1"/>
                <w:numId w:val="156"/>
              </w:numPr>
              <w:spacing w:before="100" w:beforeAutospacing="1" w:after="100" w:afterAutospacing="1" w:line="360" w:lineRule="auto"/>
              <w:contextualSpacing/>
              <w:rPr>
                <w:rFonts w:asciiTheme="majorHAnsi" w:eastAsiaTheme="minorHAnsi" w:hAnsiTheme="majorHAnsi" w:cstheme="majorHAnsi"/>
                <w:lang w:val="en-US"/>
              </w:rPr>
            </w:pPr>
            <w:r w:rsidRPr="00E00C4B">
              <w:rPr>
                <w:rFonts w:asciiTheme="majorHAnsi" w:hAnsiTheme="majorHAnsi" w:cstheme="majorHAnsi"/>
                <w:lang w:val="en-US"/>
              </w:rPr>
              <w:t>Cagayan de Oro City</w:t>
            </w:r>
          </w:p>
          <w:p w14:paraId="15A66908" w14:textId="77777777" w:rsidR="008D0CAD" w:rsidRPr="00E00C4B" w:rsidRDefault="008D0CAD" w:rsidP="00796BFA">
            <w:pPr>
              <w:numPr>
                <w:ilvl w:val="1"/>
                <w:numId w:val="156"/>
              </w:numPr>
              <w:spacing w:before="100" w:beforeAutospacing="1" w:after="100" w:afterAutospacing="1" w:line="360" w:lineRule="auto"/>
              <w:contextualSpacing/>
              <w:rPr>
                <w:rFonts w:asciiTheme="majorHAnsi" w:eastAsiaTheme="minorHAnsi" w:hAnsiTheme="majorHAnsi" w:cstheme="majorHAnsi"/>
                <w:lang w:val="en-US"/>
              </w:rPr>
            </w:pPr>
            <w:r w:rsidRPr="00E00C4B">
              <w:rPr>
                <w:rFonts w:asciiTheme="majorHAnsi" w:hAnsiTheme="majorHAnsi" w:cstheme="majorHAnsi"/>
                <w:lang w:val="en-US"/>
              </w:rPr>
              <w:t>Misamis Oriental</w:t>
            </w:r>
          </w:p>
          <w:p w14:paraId="2C180F34" w14:textId="77777777" w:rsidR="008D0CAD" w:rsidRPr="00E00C4B" w:rsidRDefault="008D0CAD" w:rsidP="00796BFA">
            <w:pPr>
              <w:numPr>
                <w:ilvl w:val="0"/>
                <w:numId w:val="156"/>
              </w:numPr>
              <w:spacing w:before="100" w:beforeAutospacing="1" w:after="100" w:afterAutospacing="1" w:line="360" w:lineRule="auto"/>
              <w:contextualSpacing/>
              <w:rPr>
                <w:rFonts w:asciiTheme="majorHAnsi" w:eastAsiaTheme="minorHAnsi" w:hAnsiTheme="majorHAnsi" w:cstheme="majorHAnsi"/>
                <w:lang w:val="en-US"/>
              </w:rPr>
            </w:pPr>
            <w:r w:rsidRPr="00E00C4B">
              <w:rPr>
                <w:rFonts w:asciiTheme="majorHAnsi" w:hAnsiTheme="majorHAnsi" w:cstheme="majorHAnsi"/>
                <w:lang w:val="en-US"/>
              </w:rPr>
              <w:t>NCR - National Capital Region</w:t>
            </w:r>
          </w:p>
          <w:p w14:paraId="320C19AE" w14:textId="77777777" w:rsidR="008D0CAD" w:rsidRPr="00E00C4B" w:rsidRDefault="008D0CAD" w:rsidP="00796BFA">
            <w:pPr>
              <w:numPr>
                <w:ilvl w:val="1"/>
                <w:numId w:val="156"/>
              </w:numPr>
              <w:spacing w:before="100" w:beforeAutospacing="1" w:after="100" w:afterAutospacing="1" w:line="360" w:lineRule="auto"/>
              <w:contextualSpacing/>
              <w:rPr>
                <w:rFonts w:asciiTheme="majorHAnsi" w:hAnsiTheme="majorHAnsi" w:cstheme="majorHAnsi"/>
                <w:lang w:val="en-US"/>
              </w:rPr>
            </w:pPr>
            <w:r w:rsidRPr="00E00C4B">
              <w:rPr>
                <w:rFonts w:asciiTheme="majorHAnsi" w:hAnsiTheme="majorHAnsi" w:cstheme="majorHAnsi"/>
                <w:lang w:val="en-US"/>
              </w:rPr>
              <w:t>Las Pinas City</w:t>
            </w:r>
          </w:p>
          <w:p w14:paraId="1541EF3F" w14:textId="77777777" w:rsidR="008D0CAD" w:rsidRPr="00E00C4B" w:rsidRDefault="008D0CAD" w:rsidP="00796BFA">
            <w:pPr>
              <w:numPr>
                <w:ilvl w:val="1"/>
                <w:numId w:val="156"/>
              </w:numPr>
              <w:spacing w:before="100" w:beforeAutospacing="1" w:after="100" w:afterAutospacing="1" w:line="360" w:lineRule="auto"/>
              <w:contextualSpacing/>
              <w:rPr>
                <w:rFonts w:asciiTheme="majorHAnsi" w:eastAsiaTheme="minorHAnsi" w:hAnsiTheme="majorHAnsi" w:cstheme="majorHAnsi"/>
                <w:lang w:val="en-US"/>
              </w:rPr>
            </w:pPr>
            <w:r w:rsidRPr="00E00C4B">
              <w:rPr>
                <w:rFonts w:asciiTheme="majorHAnsi" w:hAnsiTheme="majorHAnsi" w:cstheme="majorHAnsi"/>
                <w:lang w:val="en-US"/>
              </w:rPr>
              <w:t>Manila</w:t>
            </w:r>
          </w:p>
          <w:p w14:paraId="1D83FEDC" w14:textId="77777777" w:rsidR="008D0CAD" w:rsidRPr="00E00C4B" w:rsidRDefault="008D0CAD" w:rsidP="00796BFA">
            <w:pPr>
              <w:numPr>
                <w:ilvl w:val="1"/>
                <w:numId w:val="156"/>
              </w:numPr>
              <w:spacing w:before="100" w:beforeAutospacing="1" w:after="100" w:afterAutospacing="1" w:line="360" w:lineRule="auto"/>
              <w:contextualSpacing/>
              <w:rPr>
                <w:rFonts w:asciiTheme="majorHAnsi" w:eastAsiaTheme="minorHAnsi" w:hAnsiTheme="majorHAnsi" w:cstheme="majorHAnsi"/>
                <w:lang w:val="en-US"/>
              </w:rPr>
            </w:pPr>
            <w:r w:rsidRPr="00E00C4B">
              <w:rPr>
                <w:rFonts w:asciiTheme="majorHAnsi" w:hAnsiTheme="majorHAnsi" w:cstheme="majorHAnsi"/>
                <w:lang w:val="en-US"/>
              </w:rPr>
              <w:t>Paranaque</w:t>
            </w:r>
          </w:p>
          <w:p w14:paraId="6BD4EF86" w14:textId="77777777" w:rsidR="008D0CAD" w:rsidRPr="00E00C4B" w:rsidRDefault="008D0CAD" w:rsidP="00796BFA">
            <w:pPr>
              <w:numPr>
                <w:ilvl w:val="1"/>
                <w:numId w:val="156"/>
              </w:numPr>
              <w:spacing w:before="100" w:beforeAutospacing="1" w:after="100" w:afterAutospacing="1" w:line="360" w:lineRule="auto"/>
              <w:contextualSpacing/>
              <w:rPr>
                <w:rFonts w:asciiTheme="majorHAnsi" w:eastAsiaTheme="minorHAnsi" w:hAnsiTheme="majorHAnsi" w:cstheme="majorHAnsi"/>
                <w:lang w:val="en-US"/>
              </w:rPr>
            </w:pPr>
            <w:r w:rsidRPr="00E00C4B">
              <w:rPr>
                <w:rFonts w:asciiTheme="majorHAnsi" w:hAnsiTheme="majorHAnsi" w:cstheme="majorHAnsi"/>
                <w:lang w:val="en-US"/>
              </w:rPr>
              <w:t>Quezon City</w:t>
            </w:r>
          </w:p>
          <w:p w14:paraId="62F5CAF5" w14:textId="77777777" w:rsidR="008D0CAD" w:rsidRPr="00E00C4B" w:rsidRDefault="008D0CAD" w:rsidP="00796BFA">
            <w:pPr>
              <w:spacing w:before="100" w:beforeAutospacing="1" w:after="100" w:afterAutospacing="1" w:line="360" w:lineRule="auto"/>
              <w:rPr>
                <w:rFonts w:asciiTheme="majorHAnsi" w:hAnsiTheme="majorHAnsi" w:cstheme="majorHAnsi"/>
                <w:lang w:val="en-US"/>
              </w:rPr>
            </w:pPr>
          </w:p>
        </w:tc>
      </w:tr>
    </w:tbl>
    <w:p w14:paraId="0E9ECEA4" w14:textId="0910D6B5" w:rsidR="008D0CAD" w:rsidRPr="00796BFA" w:rsidRDefault="008D0CAD" w:rsidP="00796BFA">
      <w:pPr>
        <w:pStyle w:val="Heading4"/>
        <w:spacing w:before="100" w:beforeAutospacing="1" w:after="100" w:afterAutospacing="1" w:line="360" w:lineRule="auto"/>
        <w:rPr>
          <w:lang w:val="en-US"/>
        </w:rPr>
      </w:pPr>
      <w:bookmarkStart w:id="501" w:name="_Toc16524068"/>
      <w:r w:rsidRPr="00E00C4B">
        <w:rPr>
          <w:lang w:val="en-US"/>
        </w:rPr>
        <w:t>School-Age Population</w:t>
      </w:r>
      <w:bookmarkEnd w:id="501"/>
    </w:p>
    <w:p w14:paraId="2D27AC36" w14:textId="2AA9161A" w:rsidR="008D0CAD" w:rsidRPr="00796BFA" w:rsidRDefault="008D0CAD" w:rsidP="00796BFA">
      <w:pPr>
        <w:spacing w:before="100" w:beforeAutospacing="1" w:after="100" w:afterAutospacing="1" w:line="360" w:lineRule="auto"/>
        <w:rPr>
          <w:rFonts w:asciiTheme="majorHAnsi" w:hAnsiTheme="majorHAnsi" w:cstheme="majorHAnsi"/>
          <w:lang w:val="en-US"/>
        </w:rPr>
      </w:pPr>
      <w:r w:rsidRPr="00E00C4B">
        <w:rPr>
          <w:rFonts w:asciiTheme="majorHAnsi" w:hAnsiTheme="majorHAnsi" w:cstheme="majorHAnsi"/>
          <w:lang w:val="en-US"/>
        </w:rPr>
        <w:t>In 2019, UNESCO estimates that there are around 34 million Filipinos who should be in school (Figure 1). Of this total, 39 percent should be in primary school; 25 percent in secondary school; and 30</w:t>
      </w:r>
      <w:r w:rsidR="00D434EB">
        <w:rPr>
          <w:rFonts w:asciiTheme="majorHAnsi" w:hAnsiTheme="majorHAnsi" w:cstheme="majorHAnsi"/>
          <w:lang w:val="en-US"/>
        </w:rPr>
        <w:t xml:space="preserve"> </w:t>
      </w:r>
      <w:r w:rsidR="00796BFA">
        <w:rPr>
          <w:rFonts w:asciiTheme="majorHAnsi" w:hAnsiTheme="majorHAnsi" w:cstheme="majorHAnsi"/>
          <w:lang w:val="en-US"/>
        </w:rPr>
        <w:t>p</w:t>
      </w:r>
      <w:r w:rsidRPr="00E00C4B">
        <w:rPr>
          <w:rFonts w:asciiTheme="majorHAnsi" w:hAnsiTheme="majorHAnsi" w:cstheme="majorHAnsi"/>
          <w:lang w:val="en-US"/>
        </w:rPr>
        <w:t>ercent in tertiary school. This shows DepEd’s clients comprise more than 18M Filipinos (64%) in 2019.</w:t>
      </w:r>
      <w:bookmarkStart w:id="502" w:name="_Toc16524113"/>
      <w:r w:rsidR="00D434EB">
        <w:rPr>
          <w:rFonts w:asciiTheme="majorHAnsi" w:hAnsiTheme="majorHAnsi" w:cstheme="majorHAnsi"/>
          <w:lang w:val="en-US"/>
        </w:rPr>
        <w:t xml:space="preserve"> </w:t>
      </w:r>
    </w:p>
    <w:p w14:paraId="660653D4" w14:textId="215F867F" w:rsidR="008D0CAD" w:rsidRPr="001E2886" w:rsidRDefault="008D0CAD" w:rsidP="00796BFA">
      <w:pPr>
        <w:spacing w:before="100" w:beforeAutospacing="1" w:after="100" w:afterAutospacing="1" w:line="360" w:lineRule="auto"/>
        <w:rPr>
          <w:rFonts w:asciiTheme="majorHAnsi" w:eastAsiaTheme="minorHAnsi" w:hAnsiTheme="majorHAnsi" w:cstheme="majorHAnsi"/>
          <w:i/>
          <w:iCs/>
          <w:color w:val="44546A" w:themeColor="text2"/>
          <w:sz w:val="22"/>
          <w:szCs w:val="22"/>
          <w:lang w:val="en-US"/>
        </w:rPr>
      </w:pPr>
      <w:bookmarkStart w:id="503" w:name="_Toc71616560"/>
      <w:r w:rsidRPr="001E2886">
        <w:rPr>
          <w:rFonts w:asciiTheme="majorHAnsi" w:eastAsiaTheme="minorHAnsi" w:hAnsiTheme="majorHAnsi" w:cstheme="majorHAnsi"/>
          <w:i/>
          <w:iCs/>
          <w:color w:val="44546A" w:themeColor="text2"/>
          <w:sz w:val="22"/>
          <w:szCs w:val="22"/>
          <w:lang w:val="en-US"/>
        </w:rPr>
        <w:t xml:space="preserve">Figure </w:t>
      </w:r>
      <w:r w:rsidRPr="001E2886">
        <w:rPr>
          <w:rFonts w:asciiTheme="majorHAnsi" w:eastAsiaTheme="minorHAnsi" w:hAnsiTheme="majorHAnsi" w:cstheme="majorHAnsi"/>
          <w:i/>
          <w:iCs/>
          <w:color w:val="44546A" w:themeColor="text2"/>
          <w:sz w:val="22"/>
          <w:szCs w:val="22"/>
          <w:lang w:val="en-US"/>
        </w:rPr>
        <w:fldChar w:fldCharType="begin"/>
      </w:r>
      <w:r w:rsidRPr="001E2886">
        <w:rPr>
          <w:rFonts w:asciiTheme="majorHAnsi" w:eastAsiaTheme="minorHAnsi" w:hAnsiTheme="majorHAnsi" w:cstheme="majorHAnsi"/>
          <w:i/>
          <w:iCs/>
          <w:color w:val="44546A" w:themeColor="text2"/>
          <w:sz w:val="22"/>
          <w:szCs w:val="22"/>
          <w:lang w:val="en-US"/>
        </w:rPr>
        <w:instrText xml:space="preserve"> SEQ Figure \* ARABIC </w:instrText>
      </w:r>
      <w:r w:rsidRPr="001E2886">
        <w:rPr>
          <w:rFonts w:asciiTheme="majorHAnsi" w:eastAsiaTheme="minorHAnsi" w:hAnsiTheme="majorHAnsi" w:cstheme="majorHAnsi"/>
          <w:i/>
          <w:iCs/>
          <w:color w:val="44546A" w:themeColor="text2"/>
          <w:sz w:val="22"/>
          <w:szCs w:val="22"/>
          <w:lang w:val="en-US"/>
        </w:rPr>
        <w:fldChar w:fldCharType="separate"/>
      </w:r>
      <w:r w:rsidR="00D6133D">
        <w:rPr>
          <w:rFonts w:asciiTheme="majorHAnsi" w:eastAsiaTheme="minorHAnsi" w:hAnsiTheme="majorHAnsi" w:cstheme="majorHAnsi"/>
          <w:i/>
          <w:iCs/>
          <w:noProof/>
          <w:color w:val="44546A" w:themeColor="text2"/>
          <w:sz w:val="22"/>
          <w:szCs w:val="22"/>
          <w:lang w:val="en-US"/>
        </w:rPr>
        <w:t>33</w:t>
      </w:r>
      <w:r w:rsidRPr="001E2886">
        <w:rPr>
          <w:rFonts w:asciiTheme="majorHAnsi" w:eastAsiaTheme="minorHAnsi" w:hAnsiTheme="majorHAnsi" w:cstheme="majorHAnsi"/>
          <w:i/>
          <w:iCs/>
          <w:color w:val="44546A" w:themeColor="text2"/>
          <w:sz w:val="22"/>
          <w:szCs w:val="22"/>
          <w:lang w:val="en-US"/>
        </w:rPr>
        <w:fldChar w:fldCharType="end"/>
      </w:r>
      <w:r w:rsidRPr="001E2886">
        <w:rPr>
          <w:rFonts w:asciiTheme="majorHAnsi" w:eastAsiaTheme="minorHAnsi" w:hAnsiTheme="majorHAnsi" w:cstheme="majorHAnsi"/>
          <w:i/>
          <w:iCs/>
          <w:color w:val="44546A" w:themeColor="text2"/>
          <w:sz w:val="22"/>
          <w:szCs w:val="22"/>
          <w:lang w:val="en-US"/>
        </w:rPr>
        <w:t>.</w:t>
      </w:r>
      <w:r w:rsidRPr="001E2886">
        <w:rPr>
          <w:rFonts w:asciiTheme="majorHAnsi" w:eastAsiaTheme="minorEastAsia" w:hAnsiTheme="majorHAnsi" w:cstheme="majorHAnsi"/>
          <w:i/>
          <w:iCs/>
          <w:color w:val="44546A" w:themeColor="text2"/>
          <w:kern w:val="24"/>
          <w:sz w:val="22"/>
          <w:szCs w:val="22"/>
          <w:lang w:val="en-US"/>
        </w:rPr>
        <w:t xml:space="preserve"> </w:t>
      </w:r>
      <w:r w:rsidRPr="001E2886">
        <w:rPr>
          <w:rFonts w:asciiTheme="majorHAnsi" w:eastAsiaTheme="minorHAnsi" w:hAnsiTheme="majorHAnsi" w:cstheme="majorHAnsi"/>
          <w:i/>
          <w:iCs/>
          <w:color w:val="44546A" w:themeColor="text2"/>
          <w:sz w:val="22"/>
          <w:szCs w:val="22"/>
          <w:lang w:val="en-US"/>
        </w:rPr>
        <w:t>School-Age population by education level</w:t>
      </w:r>
      <w:bookmarkEnd w:id="502"/>
      <w:bookmarkEnd w:id="503"/>
    </w:p>
    <w:p w14:paraId="1BCADF68" w14:textId="77777777" w:rsidR="008D0CAD" w:rsidRPr="00E00C4B" w:rsidRDefault="008D0CAD" w:rsidP="00796BFA">
      <w:pPr>
        <w:spacing w:before="100" w:beforeAutospacing="1" w:after="100" w:afterAutospacing="1" w:line="360" w:lineRule="auto"/>
        <w:rPr>
          <w:rFonts w:asciiTheme="majorHAnsi" w:hAnsiTheme="majorHAnsi" w:cstheme="majorHAnsi"/>
          <w:b/>
          <w:bCs/>
          <w:sz w:val="20"/>
          <w:szCs w:val="20"/>
          <w:lang w:val="en-US"/>
        </w:rPr>
      </w:pPr>
      <w:r w:rsidRPr="00E00C4B">
        <w:rPr>
          <w:rFonts w:asciiTheme="majorHAnsi" w:hAnsiTheme="majorHAnsi" w:cstheme="majorHAnsi"/>
          <w:noProof/>
          <w:sz w:val="20"/>
          <w:szCs w:val="20"/>
          <w:lang w:val="en-AU" w:eastAsia="en-AU"/>
        </w:rPr>
        <w:drawing>
          <wp:inline distT="0" distB="0" distL="0" distR="0" wp14:anchorId="1C40298D" wp14:editId="1E968A8D">
            <wp:extent cx="3927675" cy="2189747"/>
            <wp:effectExtent l="0" t="0" r="9525" b="7620"/>
            <wp:docPr id="68" name="Chart 68" descr="Pie chart of school age population by education level. Largest, primary level students. ">
              <a:extLst xmlns:a="http://schemas.openxmlformats.org/drawingml/2006/main">
                <a:ext uri="{FF2B5EF4-FFF2-40B4-BE49-F238E27FC236}">
                  <a16:creationId xmlns:a16="http://schemas.microsoft.com/office/drawing/2014/main" id="{05949452-1356-4380-B1F4-7CAED305A6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07DE0606" w14:textId="3E47AD25" w:rsidR="008D0CAD" w:rsidRPr="00796BFA" w:rsidRDefault="008D0CAD" w:rsidP="00796BFA">
      <w:pPr>
        <w:spacing w:before="100" w:beforeAutospacing="1" w:after="100" w:afterAutospacing="1" w:line="360" w:lineRule="auto"/>
        <w:ind w:hanging="45"/>
        <w:rPr>
          <w:rFonts w:asciiTheme="majorHAnsi" w:hAnsiTheme="majorHAnsi" w:cstheme="majorHAnsi"/>
          <w:bCs/>
          <w:i/>
          <w:iCs/>
          <w:sz w:val="20"/>
          <w:szCs w:val="20"/>
          <w:lang w:val="en-US"/>
        </w:rPr>
      </w:pPr>
      <w:r w:rsidRPr="00E00C4B">
        <w:rPr>
          <w:rFonts w:asciiTheme="majorHAnsi" w:hAnsiTheme="majorHAnsi" w:cstheme="majorHAnsi"/>
          <w:bCs/>
          <w:i/>
          <w:iCs/>
          <w:sz w:val="20"/>
          <w:szCs w:val="20"/>
          <w:lang w:val="en-US"/>
        </w:rPr>
        <w:t>Source: UNESCO (2019)</w:t>
      </w:r>
    </w:p>
    <w:p w14:paraId="077313DA" w14:textId="5ECA36B6" w:rsidR="008D0CAD" w:rsidRPr="00796BFA" w:rsidRDefault="008D0CAD" w:rsidP="00796BFA">
      <w:pPr>
        <w:pStyle w:val="Heading4"/>
        <w:spacing w:before="100" w:beforeAutospacing="1" w:after="100" w:afterAutospacing="1" w:line="360" w:lineRule="auto"/>
        <w:rPr>
          <w:lang w:val="en-US"/>
        </w:rPr>
      </w:pPr>
      <w:bookmarkStart w:id="504" w:name="_Toc16524069"/>
      <w:r w:rsidRPr="00E00C4B">
        <w:rPr>
          <w:lang w:val="en-US"/>
        </w:rPr>
        <w:t>Elementary Schools</w:t>
      </w:r>
      <w:bookmarkEnd w:id="504"/>
    </w:p>
    <w:p w14:paraId="64CD3F60" w14:textId="2FDBA722" w:rsidR="008D0CAD" w:rsidRPr="00E00C4B" w:rsidRDefault="008D0CAD" w:rsidP="00796BFA">
      <w:pPr>
        <w:spacing w:before="100" w:beforeAutospacing="1" w:after="100" w:afterAutospacing="1" w:line="360" w:lineRule="auto"/>
        <w:rPr>
          <w:rFonts w:asciiTheme="majorHAnsi" w:hAnsiTheme="majorHAnsi" w:cstheme="majorHAnsi"/>
          <w:lang w:val="en-US"/>
        </w:rPr>
      </w:pPr>
      <w:r w:rsidRPr="00E00C4B">
        <w:rPr>
          <w:rFonts w:asciiTheme="majorHAnsi" w:hAnsiTheme="majorHAnsi" w:cstheme="majorHAnsi"/>
          <w:lang w:val="en-US"/>
        </w:rPr>
        <w:t xml:space="preserve">There were an estimated </w:t>
      </w:r>
      <w:r w:rsidRPr="00E00C4B">
        <w:rPr>
          <w:rFonts w:asciiTheme="majorHAnsi" w:hAnsiTheme="majorHAnsi" w:cstheme="majorHAnsi"/>
          <w:color w:val="000000"/>
          <w:lang w:val="en-US"/>
        </w:rPr>
        <w:t xml:space="preserve">46,603 </w:t>
      </w:r>
      <w:r w:rsidRPr="00E00C4B">
        <w:rPr>
          <w:rFonts w:asciiTheme="majorHAnsi" w:hAnsiTheme="majorHAnsi" w:cstheme="majorHAnsi"/>
          <w:lang w:val="en-US"/>
        </w:rPr>
        <w:t>schools in SY2013-2014: kindergarten and elementary schools comprise 83 percent while the remaining 17 percent were comprised of secondary schools (Figure 2).</w:t>
      </w:r>
      <w:r w:rsidR="00D434EB">
        <w:rPr>
          <w:rFonts w:asciiTheme="majorHAnsi" w:hAnsiTheme="majorHAnsi" w:cstheme="majorHAnsi"/>
          <w:lang w:val="en-US"/>
        </w:rPr>
        <w:t xml:space="preserve"> </w:t>
      </w:r>
      <w:r w:rsidRPr="00E00C4B">
        <w:rPr>
          <w:rFonts w:asciiTheme="majorHAnsi" w:hAnsiTheme="majorHAnsi" w:cstheme="majorHAnsi"/>
          <w:lang w:val="en-US"/>
        </w:rPr>
        <w:t>This composition remained nearly unchanged in the last five years.</w:t>
      </w:r>
    </w:p>
    <w:p w14:paraId="31053405" w14:textId="7DE659F8" w:rsidR="008D0CAD" w:rsidRPr="001E2886" w:rsidRDefault="008D0CAD" w:rsidP="00796BFA">
      <w:pPr>
        <w:spacing w:before="100" w:beforeAutospacing="1" w:after="100" w:afterAutospacing="1" w:line="360" w:lineRule="auto"/>
        <w:rPr>
          <w:rFonts w:asciiTheme="majorHAnsi" w:eastAsiaTheme="minorHAnsi" w:hAnsiTheme="majorHAnsi" w:cstheme="majorHAnsi"/>
          <w:i/>
          <w:iCs/>
          <w:color w:val="44546A" w:themeColor="text2"/>
          <w:sz w:val="22"/>
          <w:szCs w:val="22"/>
          <w:lang w:val="en-US"/>
        </w:rPr>
      </w:pPr>
      <w:bookmarkStart w:id="505" w:name="_Toc16524114"/>
      <w:bookmarkStart w:id="506" w:name="_Toc71616561"/>
      <w:r w:rsidRPr="001E2886">
        <w:rPr>
          <w:rFonts w:asciiTheme="majorHAnsi" w:eastAsiaTheme="minorHAnsi" w:hAnsiTheme="majorHAnsi" w:cstheme="majorHAnsi"/>
          <w:i/>
          <w:iCs/>
          <w:color w:val="44546A" w:themeColor="text2"/>
          <w:sz w:val="22"/>
          <w:szCs w:val="22"/>
          <w:lang w:val="en-US"/>
        </w:rPr>
        <w:t xml:space="preserve">Figure </w:t>
      </w:r>
      <w:r w:rsidRPr="001E2886">
        <w:rPr>
          <w:rFonts w:asciiTheme="majorHAnsi" w:eastAsiaTheme="minorHAnsi" w:hAnsiTheme="majorHAnsi" w:cstheme="majorHAnsi"/>
          <w:i/>
          <w:iCs/>
          <w:color w:val="44546A" w:themeColor="text2"/>
          <w:sz w:val="22"/>
          <w:szCs w:val="22"/>
          <w:lang w:val="en-US"/>
        </w:rPr>
        <w:fldChar w:fldCharType="begin"/>
      </w:r>
      <w:r w:rsidRPr="001E2886">
        <w:rPr>
          <w:rFonts w:asciiTheme="majorHAnsi" w:eastAsiaTheme="minorHAnsi" w:hAnsiTheme="majorHAnsi" w:cstheme="majorHAnsi"/>
          <w:i/>
          <w:iCs/>
          <w:color w:val="44546A" w:themeColor="text2"/>
          <w:sz w:val="22"/>
          <w:szCs w:val="22"/>
          <w:lang w:val="en-US"/>
        </w:rPr>
        <w:instrText xml:space="preserve"> SEQ Figure \* ARABIC </w:instrText>
      </w:r>
      <w:r w:rsidRPr="001E2886">
        <w:rPr>
          <w:rFonts w:asciiTheme="majorHAnsi" w:eastAsiaTheme="minorHAnsi" w:hAnsiTheme="majorHAnsi" w:cstheme="majorHAnsi"/>
          <w:i/>
          <w:iCs/>
          <w:color w:val="44546A" w:themeColor="text2"/>
          <w:sz w:val="22"/>
          <w:szCs w:val="22"/>
          <w:lang w:val="en-US"/>
        </w:rPr>
        <w:fldChar w:fldCharType="separate"/>
      </w:r>
      <w:r w:rsidR="00D6133D">
        <w:rPr>
          <w:rFonts w:asciiTheme="majorHAnsi" w:eastAsiaTheme="minorHAnsi" w:hAnsiTheme="majorHAnsi" w:cstheme="majorHAnsi"/>
          <w:i/>
          <w:iCs/>
          <w:noProof/>
          <w:color w:val="44546A" w:themeColor="text2"/>
          <w:sz w:val="22"/>
          <w:szCs w:val="22"/>
          <w:lang w:val="en-US"/>
        </w:rPr>
        <w:t>34</w:t>
      </w:r>
      <w:r w:rsidRPr="001E2886">
        <w:rPr>
          <w:rFonts w:asciiTheme="majorHAnsi" w:eastAsiaTheme="minorHAnsi" w:hAnsiTheme="majorHAnsi" w:cstheme="majorHAnsi"/>
          <w:i/>
          <w:iCs/>
          <w:color w:val="44546A" w:themeColor="text2"/>
          <w:sz w:val="22"/>
          <w:szCs w:val="22"/>
          <w:lang w:val="en-US"/>
        </w:rPr>
        <w:fldChar w:fldCharType="end"/>
      </w:r>
      <w:r w:rsidRPr="001E2886">
        <w:rPr>
          <w:rFonts w:asciiTheme="majorHAnsi" w:eastAsiaTheme="minorHAnsi" w:hAnsiTheme="majorHAnsi" w:cstheme="majorHAnsi"/>
          <w:i/>
          <w:iCs/>
          <w:color w:val="44546A" w:themeColor="text2"/>
          <w:sz w:val="22"/>
          <w:szCs w:val="22"/>
          <w:lang w:val="en-US"/>
        </w:rPr>
        <w:t>.</w:t>
      </w:r>
      <w:r w:rsidRPr="001E2886">
        <w:rPr>
          <w:rFonts w:asciiTheme="majorHAnsi" w:eastAsiaTheme="minorEastAsia" w:hAnsiTheme="majorHAnsi" w:cstheme="majorHAnsi"/>
          <w:i/>
          <w:iCs/>
          <w:color w:val="44546A" w:themeColor="text2"/>
          <w:kern w:val="24"/>
          <w:sz w:val="14"/>
          <w:szCs w:val="14"/>
          <w:lang w:val="en-US"/>
        </w:rPr>
        <w:t xml:space="preserve"> </w:t>
      </w:r>
      <w:r w:rsidRPr="001E2886">
        <w:rPr>
          <w:rFonts w:asciiTheme="majorHAnsi" w:eastAsiaTheme="minorHAnsi" w:hAnsiTheme="majorHAnsi" w:cstheme="majorHAnsi"/>
          <w:i/>
          <w:iCs/>
          <w:color w:val="44546A" w:themeColor="text2"/>
          <w:sz w:val="22"/>
          <w:szCs w:val="22"/>
          <w:lang w:val="en-US"/>
        </w:rPr>
        <w:t>Distribution of Schools by Level, 2013-2017</w:t>
      </w:r>
      <w:bookmarkEnd w:id="505"/>
      <w:bookmarkEnd w:id="506"/>
    </w:p>
    <w:p w14:paraId="2FA97E1B" w14:textId="77777777" w:rsidR="008D0CAD" w:rsidRPr="00E00C4B" w:rsidRDefault="008D0CAD" w:rsidP="00796BFA">
      <w:pPr>
        <w:spacing w:before="100" w:beforeAutospacing="1" w:after="100" w:afterAutospacing="1" w:line="360" w:lineRule="auto"/>
        <w:rPr>
          <w:lang w:val="en-US"/>
        </w:rPr>
      </w:pPr>
      <w:r w:rsidRPr="00E00C4B">
        <w:rPr>
          <w:noProof/>
          <w:lang w:val="en-AU" w:eastAsia="en-AU"/>
        </w:rPr>
        <w:drawing>
          <wp:inline distT="0" distB="0" distL="0" distR="0" wp14:anchorId="1F77DABC" wp14:editId="186FB1B6">
            <wp:extent cx="4379495" cy="2157663"/>
            <wp:effectExtent l="0" t="0" r="15240" b="14605"/>
            <wp:docPr id="69" name="Chart 69" descr="Bar chart of distribution of schools by level from 2013 to 2017. Elementary at around 40,000; secondary at around 10,000.">
              <a:extLst xmlns:a="http://schemas.openxmlformats.org/drawingml/2006/main">
                <a:ext uri="{FF2B5EF4-FFF2-40B4-BE49-F238E27FC236}">
                  <a16:creationId xmlns:a16="http://schemas.microsoft.com/office/drawing/2014/main" id="{3DA20F6F-1C89-6149-828F-40F35AB415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01ABB921" w14:textId="0EA1CEE5" w:rsidR="008D0CAD" w:rsidRPr="00796BFA" w:rsidRDefault="008D0CAD" w:rsidP="00796BFA">
      <w:pPr>
        <w:spacing w:before="100" w:beforeAutospacing="1" w:after="100" w:afterAutospacing="1" w:line="360" w:lineRule="auto"/>
        <w:rPr>
          <w:rFonts w:asciiTheme="majorHAnsi" w:hAnsiTheme="majorHAnsi" w:cstheme="majorHAnsi"/>
          <w:bCs/>
          <w:i/>
          <w:iCs/>
          <w:sz w:val="20"/>
          <w:szCs w:val="20"/>
          <w:lang w:val="en-US"/>
        </w:rPr>
      </w:pPr>
      <w:r w:rsidRPr="00E00C4B">
        <w:rPr>
          <w:rFonts w:asciiTheme="majorHAnsi" w:hAnsiTheme="majorHAnsi" w:cstheme="majorHAnsi"/>
          <w:bCs/>
          <w:i/>
          <w:iCs/>
          <w:sz w:val="20"/>
          <w:szCs w:val="20"/>
          <w:lang w:val="en-US"/>
        </w:rPr>
        <w:t>Source: DepEd EBEIS, 2019</w:t>
      </w:r>
    </w:p>
    <w:p w14:paraId="4D6D5E29" w14:textId="14AA6DF3" w:rsidR="008D0CAD" w:rsidRPr="00796BFA" w:rsidRDefault="008D0CAD" w:rsidP="00796BFA">
      <w:pPr>
        <w:spacing w:before="100" w:beforeAutospacing="1" w:after="100" w:afterAutospacing="1" w:line="360" w:lineRule="auto"/>
        <w:rPr>
          <w:rFonts w:asciiTheme="majorHAnsi" w:hAnsiTheme="majorHAnsi" w:cstheme="majorHAnsi"/>
          <w:lang w:val="en-US"/>
        </w:rPr>
      </w:pPr>
      <w:r w:rsidRPr="00E00C4B">
        <w:rPr>
          <w:rFonts w:asciiTheme="majorHAnsi" w:hAnsiTheme="majorHAnsi" w:cstheme="majorHAnsi"/>
          <w:lang w:val="en-US"/>
        </w:rPr>
        <w:t>The number of basic education schools did slightly increase over a period of five years.</w:t>
      </w:r>
      <w:r w:rsidR="00D434EB">
        <w:rPr>
          <w:rFonts w:asciiTheme="majorHAnsi" w:hAnsiTheme="majorHAnsi" w:cstheme="majorHAnsi"/>
          <w:lang w:val="en-US"/>
        </w:rPr>
        <w:t xml:space="preserve"> </w:t>
      </w:r>
      <w:r w:rsidRPr="00E00C4B">
        <w:rPr>
          <w:rFonts w:asciiTheme="majorHAnsi" w:hAnsiTheme="majorHAnsi" w:cstheme="majorHAnsi"/>
          <w:lang w:val="en-US"/>
        </w:rPr>
        <w:t>In 2013 (which was the baseline year of the BEST Program), 83 percent (38,689) of the total 46,603 schools were elementary schools (Table 1).</w:t>
      </w:r>
      <w:r w:rsidR="00D434EB">
        <w:rPr>
          <w:rFonts w:asciiTheme="majorHAnsi" w:hAnsiTheme="majorHAnsi" w:cstheme="majorHAnsi"/>
          <w:lang w:val="en-US"/>
        </w:rPr>
        <w:t xml:space="preserve"> </w:t>
      </w:r>
      <w:r w:rsidRPr="00E00C4B">
        <w:rPr>
          <w:rFonts w:asciiTheme="majorHAnsi" w:hAnsiTheme="majorHAnsi" w:cstheme="majorHAnsi"/>
          <w:lang w:val="en-US"/>
        </w:rPr>
        <w:t>By 2017 (which was the data available), the number of schools increased to a total of 47,664 and 82 percent of these (38,913) were elementary schools.</w:t>
      </w:r>
      <w:r w:rsidR="00D434EB">
        <w:rPr>
          <w:rFonts w:asciiTheme="majorHAnsi" w:hAnsiTheme="majorHAnsi" w:cstheme="majorHAnsi"/>
          <w:lang w:val="en-US"/>
        </w:rPr>
        <w:t xml:space="preserve"> </w:t>
      </w:r>
      <w:r w:rsidRPr="00E00C4B">
        <w:rPr>
          <w:rFonts w:asciiTheme="majorHAnsi" w:hAnsiTheme="majorHAnsi" w:cstheme="majorHAnsi"/>
          <w:lang w:val="en-US"/>
        </w:rPr>
        <w:t>However, it should be noted that 79 percent of the increase in the number of schools from 2013 to 2017 (which was 1,061) were secondary schools.</w:t>
      </w:r>
      <w:r w:rsidR="00D434EB">
        <w:rPr>
          <w:rFonts w:asciiTheme="majorHAnsi" w:hAnsiTheme="majorHAnsi" w:cstheme="majorHAnsi"/>
          <w:lang w:val="en-US"/>
        </w:rPr>
        <w:t xml:space="preserve"> </w:t>
      </w:r>
      <w:r w:rsidRPr="00E00C4B">
        <w:rPr>
          <w:rFonts w:asciiTheme="majorHAnsi" w:hAnsiTheme="majorHAnsi" w:cstheme="majorHAnsi"/>
          <w:lang w:val="en-US"/>
        </w:rPr>
        <w:t>This is one of the effects of the shift to the K to 12 curriculum.</w:t>
      </w:r>
      <w:bookmarkStart w:id="507" w:name="_Toc16524183"/>
    </w:p>
    <w:p w14:paraId="77C21C1D" w14:textId="21B15AAB" w:rsidR="008D0CAD" w:rsidRPr="001E2886" w:rsidRDefault="008D0CAD" w:rsidP="00796BFA">
      <w:pPr>
        <w:spacing w:before="100" w:beforeAutospacing="1" w:after="100" w:afterAutospacing="1" w:line="360" w:lineRule="auto"/>
        <w:rPr>
          <w:rFonts w:asciiTheme="majorHAnsi" w:eastAsiaTheme="minorHAnsi" w:hAnsiTheme="majorHAnsi" w:cstheme="majorHAnsi"/>
          <w:i/>
          <w:iCs/>
          <w:color w:val="44546A" w:themeColor="text2"/>
          <w:sz w:val="22"/>
          <w:szCs w:val="22"/>
          <w:lang w:val="en-US"/>
        </w:rPr>
      </w:pPr>
      <w:bookmarkStart w:id="508" w:name="_Toc71616646"/>
      <w:r w:rsidRPr="001E2886">
        <w:rPr>
          <w:rFonts w:asciiTheme="majorHAnsi" w:eastAsiaTheme="minorHAnsi" w:hAnsiTheme="majorHAnsi" w:cstheme="majorHAnsi"/>
          <w:i/>
          <w:iCs/>
          <w:color w:val="44546A" w:themeColor="text2"/>
          <w:sz w:val="22"/>
          <w:szCs w:val="22"/>
          <w:lang w:val="en-US"/>
        </w:rPr>
        <w:t xml:space="preserve">Table </w:t>
      </w:r>
      <w:r w:rsidRPr="001E2886">
        <w:rPr>
          <w:rFonts w:asciiTheme="majorHAnsi" w:eastAsiaTheme="minorHAnsi" w:hAnsiTheme="majorHAnsi" w:cstheme="majorHAnsi"/>
          <w:i/>
          <w:iCs/>
          <w:color w:val="44546A" w:themeColor="text2"/>
          <w:sz w:val="22"/>
          <w:szCs w:val="22"/>
          <w:lang w:val="en-US"/>
        </w:rPr>
        <w:fldChar w:fldCharType="begin"/>
      </w:r>
      <w:r w:rsidRPr="001E2886">
        <w:rPr>
          <w:rFonts w:asciiTheme="majorHAnsi" w:eastAsiaTheme="minorHAnsi" w:hAnsiTheme="majorHAnsi" w:cstheme="majorHAnsi"/>
          <w:i/>
          <w:iCs/>
          <w:color w:val="44546A" w:themeColor="text2"/>
          <w:sz w:val="22"/>
          <w:szCs w:val="22"/>
          <w:lang w:val="en-US"/>
        </w:rPr>
        <w:instrText xml:space="preserve"> SEQ Table \* ARABIC </w:instrText>
      </w:r>
      <w:r w:rsidRPr="001E2886">
        <w:rPr>
          <w:rFonts w:asciiTheme="majorHAnsi" w:eastAsiaTheme="minorHAnsi" w:hAnsiTheme="majorHAnsi" w:cstheme="majorHAnsi"/>
          <w:i/>
          <w:iCs/>
          <w:color w:val="44546A" w:themeColor="text2"/>
          <w:sz w:val="22"/>
          <w:szCs w:val="22"/>
          <w:lang w:val="en-US"/>
        </w:rPr>
        <w:fldChar w:fldCharType="separate"/>
      </w:r>
      <w:r w:rsidR="00D6133D">
        <w:rPr>
          <w:rFonts w:asciiTheme="majorHAnsi" w:eastAsiaTheme="minorHAnsi" w:hAnsiTheme="majorHAnsi" w:cstheme="majorHAnsi"/>
          <w:i/>
          <w:iCs/>
          <w:noProof/>
          <w:color w:val="44546A" w:themeColor="text2"/>
          <w:sz w:val="22"/>
          <w:szCs w:val="22"/>
          <w:lang w:val="en-US"/>
        </w:rPr>
        <w:t>55</w:t>
      </w:r>
      <w:r w:rsidRPr="001E2886">
        <w:rPr>
          <w:rFonts w:asciiTheme="majorHAnsi" w:eastAsiaTheme="minorHAnsi" w:hAnsiTheme="majorHAnsi" w:cstheme="majorHAnsi"/>
          <w:i/>
          <w:iCs/>
          <w:color w:val="44546A" w:themeColor="text2"/>
          <w:sz w:val="22"/>
          <w:szCs w:val="22"/>
          <w:lang w:val="en-US"/>
        </w:rPr>
        <w:fldChar w:fldCharType="end"/>
      </w:r>
      <w:r w:rsidRPr="001E2886">
        <w:rPr>
          <w:rFonts w:asciiTheme="majorHAnsi" w:eastAsiaTheme="minorHAnsi" w:hAnsiTheme="majorHAnsi" w:cstheme="majorHAnsi"/>
          <w:i/>
          <w:iCs/>
          <w:color w:val="44546A" w:themeColor="text2"/>
          <w:sz w:val="22"/>
          <w:szCs w:val="22"/>
          <w:lang w:val="en-US"/>
        </w:rPr>
        <w:t>. Distribution of Public Schools by Level, 2010-2017</w:t>
      </w:r>
      <w:bookmarkEnd w:id="507"/>
      <w:bookmarkEnd w:id="508"/>
    </w:p>
    <w:tbl>
      <w:tblPr>
        <w:tblStyle w:val="TableGrid18"/>
        <w:tblW w:w="7127" w:type="dxa"/>
        <w:tblLook w:val="04A0" w:firstRow="1" w:lastRow="0" w:firstColumn="1" w:lastColumn="0" w:noHBand="0" w:noVBand="1"/>
      </w:tblPr>
      <w:tblGrid>
        <w:gridCol w:w="1323"/>
        <w:gridCol w:w="1130"/>
        <w:gridCol w:w="1207"/>
        <w:gridCol w:w="1130"/>
        <w:gridCol w:w="1207"/>
        <w:gridCol w:w="1130"/>
      </w:tblGrid>
      <w:tr w:rsidR="008D0CAD" w:rsidRPr="00E00C4B" w14:paraId="03BC74E2" w14:textId="77777777" w:rsidTr="00F4751F">
        <w:trPr>
          <w:trHeight w:val="256"/>
          <w:tblHeader/>
        </w:trPr>
        <w:tc>
          <w:tcPr>
            <w:tcW w:w="1323" w:type="dxa"/>
            <w:noWrap/>
            <w:hideMark/>
          </w:tcPr>
          <w:p w14:paraId="6CBD80D7"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 </w:t>
            </w:r>
          </w:p>
        </w:tc>
        <w:tc>
          <w:tcPr>
            <w:tcW w:w="1130" w:type="dxa"/>
            <w:noWrap/>
            <w:hideMark/>
          </w:tcPr>
          <w:p w14:paraId="3D049F22" w14:textId="77777777" w:rsidR="008D0CAD" w:rsidRPr="00E00C4B" w:rsidRDefault="008D0CAD" w:rsidP="00796BFA">
            <w:pPr>
              <w:spacing w:before="100" w:beforeAutospacing="1" w:after="100" w:afterAutospacing="1" w:line="360" w:lineRule="auto"/>
              <w:rPr>
                <w:rFonts w:asciiTheme="majorHAnsi" w:hAnsiTheme="majorHAnsi" w:cstheme="majorHAnsi"/>
                <w:b/>
                <w:bCs/>
                <w:color w:val="000000"/>
                <w:sz w:val="20"/>
                <w:szCs w:val="20"/>
                <w:lang w:val="en-US"/>
              </w:rPr>
            </w:pPr>
            <w:r w:rsidRPr="00E00C4B">
              <w:rPr>
                <w:rFonts w:asciiTheme="majorHAnsi" w:hAnsiTheme="majorHAnsi" w:cstheme="majorHAnsi"/>
                <w:b/>
                <w:bCs/>
                <w:color w:val="000000"/>
                <w:sz w:val="20"/>
                <w:szCs w:val="20"/>
                <w:lang w:val="en-US"/>
              </w:rPr>
              <w:t>2013</w:t>
            </w:r>
          </w:p>
        </w:tc>
        <w:tc>
          <w:tcPr>
            <w:tcW w:w="1207" w:type="dxa"/>
            <w:noWrap/>
            <w:hideMark/>
          </w:tcPr>
          <w:p w14:paraId="7559ABE6" w14:textId="77777777" w:rsidR="008D0CAD" w:rsidRPr="00E00C4B" w:rsidRDefault="008D0CAD" w:rsidP="00796BFA">
            <w:pPr>
              <w:spacing w:before="100" w:beforeAutospacing="1" w:after="100" w:afterAutospacing="1" w:line="360" w:lineRule="auto"/>
              <w:rPr>
                <w:rFonts w:asciiTheme="majorHAnsi" w:hAnsiTheme="majorHAnsi" w:cstheme="majorHAnsi"/>
                <w:b/>
                <w:bCs/>
                <w:color w:val="000000"/>
                <w:sz w:val="20"/>
                <w:szCs w:val="20"/>
                <w:lang w:val="en-US"/>
              </w:rPr>
            </w:pPr>
            <w:r w:rsidRPr="00E00C4B">
              <w:rPr>
                <w:rFonts w:asciiTheme="majorHAnsi" w:hAnsiTheme="majorHAnsi" w:cstheme="majorHAnsi"/>
                <w:b/>
                <w:bCs/>
                <w:color w:val="000000"/>
                <w:sz w:val="20"/>
                <w:szCs w:val="20"/>
                <w:lang w:val="en-US"/>
              </w:rPr>
              <w:t>2014</w:t>
            </w:r>
          </w:p>
        </w:tc>
        <w:tc>
          <w:tcPr>
            <w:tcW w:w="1130" w:type="dxa"/>
            <w:noWrap/>
            <w:hideMark/>
          </w:tcPr>
          <w:p w14:paraId="0C247A83" w14:textId="77777777" w:rsidR="008D0CAD" w:rsidRPr="00E00C4B" w:rsidRDefault="008D0CAD" w:rsidP="00796BFA">
            <w:pPr>
              <w:spacing w:before="100" w:beforeAutospacing="1" w:after="100" w:afterAutospacing="1" w:line="360" w:lineRule="auto"/>
              <w:rPr>
                <w:rFonts w:asciiTheme="majorHAnsi" w:hAnsiTheme="majorHAnsi" w:cstheme="majorHAnsi"/>
                <w:b/>
                <w:bCs/>
                <w:color w:val="000000"/>
                <w:sz w:val="20"/>
                <w:szCs w:val="20"/>
                <w:lang w:val="en-US"/>
              </w:rPr>
            </w:pPr>
            <w:r w:rsidRPr="00E00C4B">
              <w:rPr>
                <w:rFonts w:asciiTheme="majorHAnsi" w:hAnsiTheme="majorHAnsi" w:cstheme="majorHAnsi"/>
                <w:b/>
                <w:bCs/>
                <w:color w:val="000000"/>
                <w:sz w:val="20"/>
                <w:szCs w:val="20"/>
                <w:lang w:val="en-US"/>
              </w:rPr>
              <w:t>2015</w:t>
            </w:r>
          </w:p>
        </w:tc>
        <w:tc>
          <w:tcPr>
            <w:tcW w:w="1207" w:type="dxa"/>
            <w:noWrap/>
            <w:hideMark/>
          </w:tcPr>
          <w:p w14:paraId="6E7CB30D" w14:textId="77777777" w:rsidR="008D0CAD" w:rsidRPr="00E00C4B" w:rsidRDefault="008D0CAD" w:rsidP="00796BFA">
            <w:pPr>
              <w:spacing w:before="100" w:beforeAutospacing="1" w:after="100" w:afterAutospacing="1" w:line="360" w:lineRule="auto"/>
              <w:rPr>
                <w:rFonts w:asciiTheme="majorHAnsi" w:hAnsiTheme="majorHAnsi" w:cstheme="majorHAnsi"/>
                <w:b/>
                <w:bCs/>
                <w:color w:val="000000"/>
                <w:sz w:val="20"/>
                <w:szCs w:val="20"/>
                <w:lang w:val="en-US"/>
              </w:rPr>
            </w:pPr>
            <w:r w:rsidRPr="00E00C4B">
              <w:rPr>
                <w:rFonts w:asciiTheme="majorHAnsi" w:hAnsiTheme="majorHAnsi" w:cstheme="majorHAnsi"/>
                <w:b/>
                <w:bCs/>
                <w:color w:val="000000"/>
                <w:sz w:val="20"/>
                <w:szCs w:val="20"/>
                <w:lang w:val="en-US"/>
              </w:rPr>
              <w:t>2016</w:t>
            </w:r>
          </w:p>
        </w:tc>
        <w:tc>
          <w:tcPr>
            <w:tcW w:w="1130" w:type="dxa"/>
            <w:noWrap/>
            <w:hideMark/>
          </w:tcPr>
          <w:p w14:paraId="40EDF428" w14:textId="77777777" w:rsidR="008D0CAD" w:rsidRPr="00E00C4B" w:rsidRDefault="008D0CAD" w:rsidP="00796BFA">
            <w:pPr>
              <w:spacing w:before="100" w:beforeAutospacing="1" w:after="100" w:afterAutospacing="1" w:line="360" w:lineRule="auto"/>
              <w:rPr>
                <w:rFonts w:asciiTheme="majorHAnsi" w:hAnsiTheme="majorHAnsi" w:cstheme="majorHAnsi"/>
                <w:b/>
                <w:bCs/>
                <w:color w:val="000000"/>
                <w:sz w:val="20"/>
                <w:szCs w:val="20"/>
                <w:lang w:val="en-US"/>
              </w:rPr>
            </w:pPr>
            <w:r w:rsidRPr="00E00C4B">
              <w:rPr>
                <w:rFonts w:asciiTheme="majorHAnsi" w:hAnsiTheme="majorHAnsi" w:cstheme="majorHAnsi"/>
                <w:b/>
                <w:bCs/>
                <w:color w:val="000000"/>
                <w:sz w:val="20"/>
                <w:szCs w:val="20"/>
                <w:lang w:val="en-US"/>
              </w:rPr>
              <w:t>2017</w:t>
            </w:r>
          </w:p>
        </w:tc>
      </w:tr>
      <w:tr w:rsidR="008D0CAD" w:rsidRPr="00E00C4B" w14:paraId="71154D75" w14:textId="77777777" w:rsidTr="00A33371">
        <w:trPr>
          <w:trHeight w:val="256"/>
        </w:trPr>
        <w:tc>
          <w:tcPr>
            <w:tcW w:w="1323" w:type="dxa"/>
            <w:noWrap/>
            <w:hideMark/>
          </w:tcPr>
          <w:p w14:paraId="6FDCA71D"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Total</w:t>
            </w:r>
          </w:p>
        </w:tc>
        <w:tc>
          <w:tcPr>
            <w:tcW w:w="1130" w:type="dxa"/>
            <w:noWrap/>
            <w:hideMark/>
          </w:tcPr>
          <w:p w14:paraId="7F03F965"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46,603</w:t>
            </w:r>
          </w:p>
        </w:tc>
        <w:tc>
          <w:tcPr>
            <w:tcW w:w="1207" w:type="dxa"/>
            <w:noWrap/>
            <w:hideMark/>
          </w:tcPr>
          <w:p w14:paraId="56838D41"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46,624</w:t>
            </w:r>
          </w:p>
        </w:tc>
        <w:tc>
          <w:tcPr>
            <w:tcW w:w="1130" w:type="dxa"/>
            <w:noWrap/>
            <w:hideMark/>
          </w:tcPr>
          <w:p w14:paraId="0FCED04E"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46,752</w:t>
            </w:r>
          </w:p>
        </w:tc>
        <w:tc>
          <w:tcPr>
            <w:tcW w:w="1207" w:type="dxa"/>
            <w:noWrap/>
            <w:hideMark/>
          </w:tcPr>
          <w:p w14:paraId="0C1A0413"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47,088</w:t>
            </w:r>
          </w:p>
        </w:tc>
        <w:tc>
          <w:tcPr>
            <w:tcW w:w="1130" w:type="dxa"/>
            <w:noWrap/>
            <w:hideMark/>
          </w:tcPr>
          <w:p w14:paraId="5D1B082B"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47,664</w:t>
            </w:r>
          </w:p>
        </w:tc>
      </w:tr>
      <w:tr w:rsidR="008D0CAD" w:rsidRPr="00E00C4B" w14:paraId="5334774F" w14:textId="77777777" w:rsidTr="00A33371">
        <w:trPr>
          <w:trHeight w:val="256"/>
        </w:trPr>
        <w:tc>
          <w:tcPr>
            <w:tcW w:w="1323" w:type="dxa"/>
            <w:noWrap/>
            <w:hideMark/>
          </w:tcPr>
          <w:p w14:paraId="59497AA9"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Elementary</w:t>
            </w:r>
          </w:p>
        </w:tc>
        <w:tc>
          <w:tcPr>
            <w:tcW w:w="1130" w:type="dxa"/>
            <w:noWrap/>
            <w:hideMark/>
          </w:tcPr>
          <w:p w14:paraId="72F39AA8"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38,689</w:t>
            </w:r>
          </w:p>
        </w:tc>
        <w:tc>
          <w:tcPr>
            <w:tcW w:w="1207" w:type="dxa"/>
            <w:noWrap/>
            <w:hideMark/>
          </w:tcPr>
          <w:p w14:paraId="06810324"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38,648</w:t>
            </w:r>
          </w:p>
        </w:tc>
        <w:tc>
          <w:tcPr>
            <w:tcW w:w="1130" w:type="dxa"/>
            <w:noWrap/>
            <w:hideMark/>
          </w:tcPr>
          <w:p w14:paraId="1E6222F8"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38,666</w:t>
            </w:r>
          </w:p>
        </w:tc>
        <w:tc>
          <w:tcPr>
            <w:tcW w:w="1207" w:type="dxa"/>
            <w:noWrap/>
            <w:hideMark/>
          </w:tcPr>
          <w:p w14:paraId="35E441FC"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38,803</w:t>
            </w:r>
          </w:p>
        </w:tc>
        <w:tc>
          <w:tcPr>
            <w:tcW w:w="1130" w:type="dxa"/>
            <w:noWrap/>
            <w:hideMark/>
          </w:tcPr>
          <w:p w14:paraId="10C43BBD"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38,913</w:t>
            </w:r>
          </w:p>
        </w:tc>
      </w:tr>
      <w:tr w:rsidR="008D0CAD" w:rsidRPr="00E00C4B" w14:paraId="0FAE4977" w14:textId="77777777" w:rsidTr="00A33371">
        <w:trPr>
          <w:trHeight w:val="256"/>
        </w:trPr>
        <w:tc>
          <w:tcPr>
            <w:tcW w:w="1323" w:type="dxa"/>
            <w:noWrap/>
            <w:hideMark/>
          </w:tcPr>
          <w:p w14:paraId="1ED1EDA3"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Secondary</w:t>
            </w:r>
          </w:p>
        </w:tc>
        <w:tc>
          <w:tcPr>
            <w:tcW w:w="1130" w:type="dxa"/>
            <w:noWrap/>
            <w:hideMark/>
          </w:tcPr>
          <w:p w14:paraId="76965B2E"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7,914</w:t>
            </w:r>
          </w:p>
        </w:tc>
        <w:tc>
          <w:tcPr>
            <w:tcW w:w="1207" w:type="dxa"/>
            <w:noWrap/>
            <w:hideMark/>
          </w:tcPr>
          <w:p w14:paraId="0134F32B"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7,976</w:t>
            </w:r>
          </w:p>
        </w:tc>
        <w:tc>
          <w:tcPr>
            <w:tcW w:w="1130" w:type="dxa"/>
            <w:noWrap/>
            <w:hideMark/>
          </w:tcPr>
          <w:p w14:paraId="67616B0C"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8,086</w:t>
            </w:r>
          </w:p>
        </w:tc>
        <w:tc>
          <w:tcPr>
            <w:tcW w:w="1207" w:type="dxa"/>
            <w:noWrap/>
            <w:hideMark/>
          </w:tcPr>
          <w:p w14:paraId="1F548E91"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8,285</w:t>
            </w:r>
          </w:p>
        </w:tc>
        <w:tc>
          <w:tcPr>
            <w:tcW w:w="1130" w:type="dxa"/>
            <w:noWrap/>
            <w:hideMark/>
          </w:tcPr>
          <w:p w14:paraId="09EE2280"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8,751</w:t>
            </w:r>
          </w:p>
        </w:tc>
      </w:tr>
      <w:tr w:rsidR="008D0CAD" w:rsidRPr="00E00C4B" w14:paraId="35C2D526" w14:textId="77777777" w:rsidTr="00A33371">
        <w:trPr>
          <w:trHeight w:val="256"/>
        </w:trPr>
        <w:tc>
          <w:tcPr>
            <w:tcW w:w="1323" w:type="dxa"/>
            <w:noWrap/>
            <w:hideMark/>
          </w:tcPr>
          <w:p w14:paraId="2C452037"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Elementary</w:t>
            </w:r>
          </w:p>
        </w:tc>
        <w:tc>
          <w:tcPr>
            <w:tcW w:w="1130" w:type="dxa"/>
            <w:noWrap/>
            <w:hideMark/>
          </w:tcPr>
          <w:p w14:paraId="72F1AA7B"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83%</w:t>
            </w:r>
          </w:p>
        </w:tc>
        <w:tc>
          <w:tcPr>
            <w:tcW w:w="1207" w:type="dxa"/>
            <w:noWrap/>
            <w:hideMark/>
          </w:tcPr>
          <w:p w14:paraId="3C261BFB"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83%</w:t>
            </w:r>
          </w:p>
        </w:tc>
        <w:tc>
          <w:tcPr>
            <w:tcW w:w="1130" w:type="dxa"/>
            <w:noWrap/>
            <w:hideMark/>
          </w:tcPr>
          <w:p w14:paraId="1D0C4A39"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83%</w:t>
            </w:r>
          </w:p>
        </w:tc>
        <w:tc>
          <w:tcPr>
            <w:tcW w:w="1207" w:type="dxa"/>
            <w:noWrap/>
            <w:hideMark/>
          </w:tcPr>
          <w:p w14:paraId="7B881E9B"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82%</w:t>
            </w:r>
          </w:p>
        </w:tc>
        <w:tc>
          <w:tcPr>
            <w:tcW w:w="1130" w:type="dxa"/>
            <w:noWrap/>
            <w:hideMark/>
          </w:tcPr>
          <w:p w14:paraId="300B1F77"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82%</w:t>
            </w:r>
          </w:p>
        </w:tc>
      </w:tr>
      <w:tr w:rsidR="008D0CAD" w:rsidRPr="00E00C4B" w14:paraId="28FEDA91" w14:textId="77777777" w:rsidTr="00A33371">
        <w:trPr>
          <w:trHeight w:val="273"/>
        </w:trPr>
        <w:tc>
          <w:tcPr>
            <w:tcW w:w="1323" w:type="dxa"/>
            <w:noWrap/>
            <w:hideMark/>
          </w:tcPr>
          <w:p w14:paraId="0E77E022"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Secondary</w:t>
            </w:r>
          </w:p>
        </w:tc>
        <w:tc>
          <w:tcPr>
            <w:tcW w:w="1130" w:type="dxa"/>
            <w:noWrap/>
            <w:hideMark/>
          </w:tcPr>
          <w:p w14:paraId="27DE3D36"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17%</w:t>
            </w:r>
          </w:p>
        </w:tc>
        <w:tc>
          <w:tcPr>
            <w:tcW w:w="1207" w:type="dxa"/>
            <w:noWrap/>
            <w:hideMark/>
          </w:tcPr>
          <w:p w14:paraId="13DF17B0"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17%</w:t>
            </w:r>
          </w:p>
        </w:tc>
        <w:tc>
          <w:tcPr>
            <w:tcW w:w="1130" w:type="dxa"/>
            <w:noWrap/>
            <w:hideMark/>
          </w:tcPr>
          <w:p w14:paraId="709C70F5"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17%</w:t>
            </w:r>
          </w:p>
        </w:tc>
        <w:tc>
          <w:tcPr>
            <w:tcW w:w="1207" w:type="dxa"/>
            <w:noWrap/>
            <w:hideMark/>
          </w:tcPr>
          <w:p w14:paraId="3CA665C8"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18%</w:t>
            </w:r>
          </w:p>
        </w:tc>
        <w:tc>
          <w:tcPr>
            <w:tcW w:w="1130" w:type="dxa"/>
            <w:noWrap/>
            <w:hideMark/>
          </w:tcPr>
          <w:p w14:paraId="569B9062"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18%</w:t>
            </w:r>
          </w:p>
        </w:tc>
      </w:tr>
    </w:tbl>
    <w:p w14:paraId="12E4E7F6" w14:textId="19050E88" w:rsidR="008D0CAD" w:rsidRPr="00796BFA" w:rsidRDefault="008D0CAD" w:rsidP="00796BFA">
      <w:pPr>
        <w:spacing w:before="100" w:beforeAutospacing="1" w:after="100" w:afterAutospacing="1" w:line="360" w:lineRule="auto"/>
        <w:rPr>
          <w:rFonts w:asciiTheme="majorHAnsi" w:hAnsiTheme="majorHAnsi" w:cstheme="majorHAnsi"/>
          <w:bCs/>
          <w:i/>
          <w:iCs/>
          <w:sz w:val="20"/>
          <w:szCs w:val="20"/>
          <w:lang w:val="en-US"/>
        </w:rPr>
      </w:pPr>
      <w:r w:rsidRPr="00E00C4B">
        <w:rPr>
          <w:rFonts w:asciiTheme="majorHAnsi" w:hAnsiTheme="majorHAnsi" w:cstheme="majorHAnsi"/>
          <w:bCs/>
          <w:i/>
          <w:iCs/>
          <w:sz w:val="20"/>
          <w:szCs w:val="20"/>
          <w:lang w:val="en-US"/>
        </w:rPr>
        <w:t>Source: DepEd EBEIS, 2019</w:t>
      </w:r>
    </w:p>
    <w:p w14:paraId="72A375D9" w14:textId="77777777" w:rsidR="008D0CAD" w:rsidRPr="00E00C4B" w:rsidRDefault="008D0CAD" w:rsidP="00796BFA">
      <w:pPr>
        <w:spacing w:before="100" w:beforeAutospacing="1" w:after="100" w:afterAutospacing="1" w:line="360" w:lineRule="auto"/>
        <w:rPr>
          <w:rFonts w:asciiTheme="majorHAnsi" w:hAnsiTheme="majorHAnsi" w:cstheme="majorHAnsi"/>
          <w:lang w:val="en-US"/>
        </w:rPr>
      </w:pPr>
      <w:r w:rsidRPr="00E00C4B">
        <w:rPr>
          <w:rFonts w:asciiTheme="majorHAnsi" w:hAnsiTheme="majorHAnsi" w:cstheme="majorHAnsi"/>
          <w:lang w:val="en-US"/>
        </w:rPr>
        <w:t xml:space="preserve">Moreover, forty percent (18,418) of the 46,603 basic education schools in 2013 were located in BEST-supported regions (Figure 3). These regions were: Region V, Region VI, Region VII, Region VIII, Region X and NCR. This total slightly increased to 19,244 in 2017 but the percent share remained the same. </w:t>
      </w:r>
    </w:p>
    <w:p w14:paraId="6FE9D84D" w14:textId="0C76CD7C" w:rsidR="008D0CAD" w:rsidRPr="00796BFA" w:rsidRDefault="008D0CAD" w:rsidP="00796BFA">
      <w:pPr>
        <w:spacing w:before="100" w:beforeAutospacing="1" w:after="100" w:afterAutospacing="1" w:line="360" w:lineRule="auto"/>
        <w:rPr>
          <w:rFonts w:asciiTheme="majorHAnsi" w:hAnsiTheme="majorHAnsi" w:cstheme="majorHAnsi"/>
          <w:lang w:val="en-US"/>
        </w:rPr>
      </w:pPr>
      <w:r w:rsidRPr="00E00C4B">
        <w:rPr>
          <w:rFonts w:asciiTheme="majorHAnsi" w:hAnsiTheme="majorHAnsi" w:cstheme="majorHAnsi"/>
          <w:lang w:val="en-US"/>
        </w:rPr>
        <w:t>As shown in Figure 4, in 2017, the highest concentration of basic education schools was recorded in Regions VIII (9% or 4,190) and VI (9% or 4,080) followed by Regions V (8% or 3,840) and VI</w:t>
      </w:r>
      <w:r w:rsidR="00121470">
        <w:rPr>
          <w:rFonts w:asciiTheme="majorHAnsi" w:hAnsiTheme="majorHAnsi" w:cstheme="majorHAnsi"/>
          <w:lang w:val="en-US"/>
        </w:rPr>
        <w:t>I</w:t>
      </w:r>
      <w:r w:rsidRPr="00E00C4B">
        <w:rPr>
          <w:rFonts w:asciiTheme="majorHAnsi" w:hAnsiTheme="majorHAnsi" w:cstheme="majorHAnsi"/>
          <w:lang w:val="en-US"/>
        </w:rPr>
        <w:t xml:space="preserve"> (8% or 3,805).</w:t>
      </w:r>
      <w:r w:rsidR="00D434EB">
        <w:rPr>
          <w:rFonts w:asciiTheme="majorHAnsi" w:hAnsiTheme="majorHAnsi" w:cstheme="majorHAnsi"/>
          <w:lang w:val="en-US"/>
        </w:rPr>
        <w:t xml:space="preserve"> </w:t>
      </w:r>
      <w:r w:rsidRPr="00E00C4B">
        <w:rPr>
          <w:rFonts w:asciiTheme="majorHAnsi" w:hAnsiTheme="majorHAnsi" w:cstheme="majorHAnsi"/>
          <w:lang w:val="en-US"/>
        </w:rPr>
        <w:t xml:space="preserve"> These are all BEST-supported regions. The least number of schools was in NCR (2% or 816) although it should be noted that almost all public schools in NCR are large to very large schools.</w:t>
      </w:r>
    </w:p>
    <w:p w14:paraId="791BF3EF" w14:textId="28A1E4AE" w:rsidR="008D0CAD" w:rsidRPr="001E2886" w:rsidRDefault="008D0CAD" w:rsidP="00796BFA">
      <w:pPr>
        <w:pageBreakBefore/>
        <w:spacing w:before="100" w:beforeAutospacing="1" w:after="100" w:afterAutospacing="1" w:line="360" w:lineRule="auto"/>
        <w:rPr>
          <w:rFonts w:asciiTheme="majorHAnsi" w:eastAsiaTheme="minorHAnsi" w:hAnsiTheme="majorHAnsi" w:cstheme="majorHAnsi"/>
          <w:i/>
          <w:iCs/>
          <w:color w:val="44546A" w:themeColor="text2"/>
          <w:sz w:val="22"/>
          <w:szCs w:val="22"/>
          <w:lang w:val="en-US"/>
        </w:rPr>
      </w:pPr>
      <w:bookmarkStart w:id="509" w:name="_Toc16524115"/>
      <w:bookmarkStart w:id="510" w:name="_Toc71616562"/>
      <w:r w:rsidRPr="001E2886">
        <w:rPr>
          <w:rFonts w:asciiTheme="majorHAnsi" w:eastAsiaTheme="minorHAnsi" w:hAnsiTheme="majorHAnsi" w:cstheme="majorHAnsi"/>
          <w:i/>
          <w:iCs/>
          <w:color w:val="44546A" w:themeColor="text2"/>
          <w:sz w:val="22"/>
          <w:szCs w:val="22"/>
          <w:lang w:val="en-US"/>
        </w:rPr>
        <w:t xml:space="preserve">Figure </w:t>
      </w:r>
      <w:r w:rsidRPr="001E2886">
        <w:rPr>
          <w:rFonts w:asciiTheme="majorHAnsi" w:eastAsiaTheme="minorHAnsi" w:hAnsiTheme="majorHAnsi" w:cstheme="majorHAnsi"/>
          <w:i/>
          <w:iCs/>
          <w:color w:val="44546A" w:themeColor="text2"/>
          <w:sz w:val="22"/>
          <w:szCs w:val="22"/>
          <w:lang w:val="en-US"/>
        </w:rPr>
        <w:fldChar w:fldCharType="begin"/>
      </w:r>
      <w:r w:rsidRPr="001E2886">
        <w:rPr>
          <w:rFonts w:asciiTheme="majorHAnsi" w:eastAsiaTheme="minorHAnsi" w:hAnsiTheme="majorHAnsi" w:cstheme="majorHAnsi"/>
          <w:i/>
          <w:iCs/>
          <w:color w:val="44546A" w:themeColor="text2"/>
          <w:sz w:val="22"/>
          <w:szCs w:val="22"/>
          <w:lang w:val="en-US"/>
        </w:rPr>
        <w:instrText xml:space="preserve"> SEQ Figure \* ARABIC </w:instrText>
      </w:r>
      <w:r w:rsidRPr="001E2886">
        <w:rPr>
          <w:rFonts w:asciiTheme="majorHAnsi" w:eastAsiaTheme="minorHAnsi" w:hAnsiTheme="majorHAnsi" w:cstheme="majorHAnsi"/>
          <w:i/>
          <w:iCs/>
          <w:color w:val="44546A" w:themeColor="text2"/>
          <w:sz w:val="22"/>
          <w:szCs w:val="22"/>
          <w:lang w:val="en-US"/>
        </w:rPr>
        <w:fldChar w:fldCharType="separate"/>
      </w:r>
      <w:r w:rsidR="00D6133D">
        <w:rPr>
          <w:rFonts w:asciiTheme="majorHAnsi" w:eastAsiaTheme="minorHAnsi" w:hAnsiTheme="majorHAnsi" w:cstheme="majorHAnsi"/>
          <w:i/>
          <w:iCs/>
          <w:noProof/>
          <w:color w:val="44546A" w:themeColor="text2"/>
          <w:sz w:val="22"/>
          <w:szCs w:val="22"/>
          <w:lang w:val="en-US"/>
        </w:rPr>
        <w:t>35</w:t>
      </w:r>
      <w:r w:rsidRPr="001E2886">
        <w:rPr>
          <w:rFonts w:asciiTheme="majorHAnsi" w:eastAsiaTheme="minorHAnsi" w:hAnsiTheme="majorHAnsi" w:cstheme="majorHAnsi"/>
          <w:i/>
          <w:iCs/>
          <w:color w:val="44546A" w:themeColor="text2"/>
          <w:sz w:val="22"/>
          <w:szCs w:val="22"/>
          <w:lang w:val="en-US"/>
        </w:rPr>
        <w:fldChar w:fldCharType="end"/>
      </w:r>
      <w:r w:rsidRPr="001E2886">
        <w:rPr>
          <w:rFonts w:asciiTheme="majorHAnsi" w:eastAsiaTheme="minorHAnsi" w:hAnsiTheme="majorHAnsi" w:cstheme="majorHAnsi"/>
          <w:i/>
          <w:iCs/>
          <w:color w:val="44546A" w:themeColor="text2"/>
          <w:sz w:val="22"/>
          <w:szCs w:val="22"/>
          <w:lang w:val="en-US"/>
        </w:rPr>
        <w:t>.</w:t>
      </w:r>
      <w:r w:rsidRPr="001E2886">
        <w:rPr>
          <w:rFonts w:asciiTheme="majorHAnsi" w:eastAsiaTheme="minorEastAsia" w:hAnsiTheme="majorHAnsi" w:cstheme="majorHAnsi"/>
          <w:i/>
          <w:iCs/>
          <w:color w:val="44546A" w:themeColor="text2"/>
          <w:kern w:val="24"/>
          <w:sz w:val="14"/>
          <w:szCs w:val="14"/>
          <w:lang w:val="en-US"/>
        </w:rPr>
        <w:t xml:space="preserve"> </w:t>
      </w:r>
      <w:r w:rsidRPr="001E2886">
        <w:rPr>
          <w:rFonts w:asciiTheme="majorHAnsi" w:eastAsiaTheme="minorHAnsi" w:hAnsiTheme="majorHAnsi" w:cstheme="majorHAnsi"/>
          <w:i/>
          <w:iCs/>
          <w:color w:val="44546A" w:themeColor="text2"/>
          <w:sz w:val="22"/>
          <w:szCs w:val="22"/>
          <w:lang w:val="en-US"/>
        </w:rPr>
        <w:t>Total Number of Public Schools by Type and by Program Participation</w:t>
      </w:r>
      <w:bookmarkEnd w:id="509"/>
      <w:bookmarkEnd w:id="510"/>
    </w:p>
    <w:p w14:paraId="406A22AB" w14:textId="77777777" w:rsidR="008D0CAD" w:rsidRPr="00E00C4B" w:rsidRDefault="008D0CAD" w:rsidP="00796BFA">
      <w:pPr>
        <w:spacing w:before="100" w:beforeAutospacing="1" w:after="100" w:afterAutospacing="1" w:line="360" w:lineRule="auto"/>
        <w:rPr>
          <w:rFonts w:asciiTheme="majorHAnsi" w:hAnsiTheme="majorHAnsi" w:cstheme="majorHAnsi"/>
          <w:bCs/>
          <w:iCs/>
          <w:sz w:val="22"/>
          <w:szCs w:val="22"/>
          <w:lang w:val="en-US"/>
        </w:rPr>
      </w:pPr>
      <w:r w:rsidRPr="00E00C4B">
        <w:rPr>
          <w:noProof/>
          <w:lang w:val="en-AU" w:eastAsia="en-AU"/>
        </w:rPr>
        <w:drawing>
          <wp:inline distT="0" distB="0" distL="0" distR="0" wp14:anchorId="66093279" wp14:editId="0BA90147">
            <wp:extent cx="5281295" cy="2422358"/>
            <wp:effectExtent l="0" t="0" r="14605" b="16510"/>
            <wp:docPr id="70" name="Chart 70" descr="Bar chart of total number of public schools by type and by program participation. Non-Best Schools participation higher than BEST schools.">
              <a:extLst xmlns:a="http://schemas.openxmlformats.org/drawingml/2006/main">
                <a:ext uri="{FF2B5EF4-FFF2-40B4-BE49-F238E27FC236}">
                  <a16:creationId xmlns:a16="http://schemas.microsoft.com/office/drawing/2014/main" id="{0FB753FE-FF95-3348-9581-EAEC2B50D1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1F89B65D" w14:textId="2038B521" w:rsidR="008D0CAD" w:rsidRPr="00796BFA" w:rsidRDefault="008D0CAD" w:rsidP="00796BFA">
      <w:pPr>
        <w:spacing w:before="100" w:beforeAutospacing="1" w:after="100" w:afterAutospacing="1" w:line="360" w:lineRule="auto"/>
        <w:ind w:hanging="11"/>
        <w:rPr>
          <w:rFonts w:asciiTheme="majorHAnsi" w:hAnsiTheme="majorHAnsi" w:cstheme="majorHAnsi"/>
          <w:bCs/>
          <w:i/>
          <w:iCs/>
          <w:sz w:val="20"/>
          <w:szCs w:val="20"/>
          <w:lang w:val="en-US"/>
        </w:rPr>
      </w:pPr>
      <w:r w:rsidRPr="00E00C4B">
        <w:rPr>
          <w:rFonts w:asciiTheme="majorHAnsi" w:hAnsiTheme="majorHAnsi" w:cstheme="majorHAnsi"/>
          <w:bCs/>
          <w:i/>
          <w:iCs/>
          <w:sz w:val="20"/>
          <w:szCs w:val="20"/>
          <w:lang w:val="en-US"/>
        </w:rPr>
        <w:t xml:space="preserve"> Source: DepEd EBEIS, 2019</w:t>
      </w:r>
      <w:bookmarkStart w:id="511" w:name="_Toc16524116"/>
    </w:p>
    <w:p w14:paraId="0125C217" w14:textId="1443580C" w:rsidR="008D0CAD" w:rsidRPr="001E2886" w:rsidRDefault="008D0CAD" w:rsidP="00796BFA">
      <w:pPr>
        <w:spacing w:before="100" w:beforeAutospacing="1" w:after="100" w:afterAutospacing="1" w:line="360" w:lineRule="auto"/>
        <w:rPr>
          <w:rFonts w:asciiTheme="majorHAnsi" w:eastAsiaTheme="minorHAnsi" w:hAnsiTheme="majorHAnsi" w:cstheme="majorHAnsi"/>
          <w:i/>
          <w:iCs/>
          <w:color w:val="44546A" w:themeColor="text2"/>
          <w:sz w:val="22"/>
          <w:szCs w:val="22"/>
          <w:lang w:val="en-US"/>
        </w:rPr>
      </w:pPr>
      <w:bookmarkStart w:id="512" w:name="_Toc71616563"/>
      <w:r w:rsidRPr="001E2886">
        <w:rPr>
          <w:rFonts w:asciiTheme="majorHAnsi" w:eastAsiaTheme="minorHAnsi" w:hAnsiTheme="majorHAnsi" w:cstheme="majorHAnsi"/>
          <w:i/>
          <w:iCs/>
          <w:color w:val="44546A" w:themeColor="text2"/>
          <w:sz w:val="22"/>
          <w:szCs w:val="22"/>
          <w:lang w:val="en-US"/>
        </w:rPr>
        <w:t xml:space="preserve">Figure </w:t>
      </w:r>
      <w:r w:rsidRPr="001E2886">
        <w:rPr>
          <w:rFonts w:asciiTheme="majorHAnsi" w:eastAsiaTheme="minorHAnsi" w:hAnsiTheme="majorHAnsi" w:cstheme="majorHAnsi"/>
          <w:i/>
          <w:iCs/>
          <w:color w:val="44546A" w:themeColor="text2"/>
          <w:sz w:val="22"/>
          <w:szCs w:val="22"/>
          <w:lang w:val="en-US"/>
        </w:rPr>
        <w:fldChar w:fldCharType="begin"/>
      </w:r>
      <w:r w:rsidRPr="001E2886">
        <w:rPr>
          <w:rFonts w:asciiTheme="majorHAnsi" w:eastAsiaTheme="minorHAnsi" w:hAnsiTheme="majorHAnsi" w:cstheme="majorHAnsi"/>
          <w:i/>
          <w:iCs/>
          <w:color w:val="44546A" w:themeColor="text2"/>
          <w:sz w:val="22"/>
          <w:szCs w:val="22"/>
          <w:lang w:val="en-US"/>
        </w:rPr>
        <w:instrText xml:space="preserve"> SEQ Figure \* ARABIC </w:instrText>
      </w:r>
      <w:r w:rsidRPr="001E2886">
        <w:rPr>
          <w:rFonts w:asciiTheme="majorHAnsi" w:eastAsiaTheme="minorHAnsi" w:hAnsiTheme="majorHAnsi" w:cstheme="majorHAnsi"/>
          <w:i/>
          <w:iCs/>
          <w:color w:val="44546A" w:themeColor="text2"/>
          <w:sz w:val="22"/>
          <w:szCs w:val="22"/>
          <w:lang w:val="en-US"/>
        </w:rPr>
        <w:fldChar w:fldCharType="separate"/>
      </w:r>
      <w:r w:rsidR="00D6133D">
        <w:rPr>
          <w:rFonts w:asciiTheme="majorHAnsi" w:eastAsiaTheme="minorHAnsi" w:hAnsiTheme="majorHAnsi" w:cstheme="majorHAnsi"/>
          <w:i/>
          <w:iCs/>
          <w:noProof/>
          <w:color w:val="44546A" w:themeColor="text2"/>
          <w:sz w:val="22"/>
          <w:szCs w:val="22"/>
          <w:lang w:val="en-US"/>
        </w:rPr>
        <w:t>36</w:t>
      </w:r>
      <w:r w:rsidRPr="001E2886">
        <w:rPr>
          <w:rFonts w:asciiTheme="majorHAnsi" w:eastAsiaTheme="minorHAnsi" w:hAnsiTheme="majorHAnsi" w:cstheme="majorHAnsi"/>
          <w:i/>
          <w:iCs/>
          <w:color w:val="44546A" w:themeColor="text2"/>
          <w:sz w:val="22"/>
          <w:szCs w:val="22"/>
          <w:lang w:val="en-US"/>
        </w:rPr>
        <w:fldChar w:fldCharType="end"/>
      </w:r>
      <w:r w:rsidRPr="001E2886">
        <w:rPr>
          <w:rFonts w:asciiTheme="majorHAnsi" w:eastAsiaTheme="minorHAnsi" w:hAnsiTheme="majorHAnsi" w:cstheme="majorHAnsi"/>
          <w:i/>
          <w:iCs/>
          <w:color w:val="44546A" w:themeColor="text2"/>
          <w:sz w:val="22"/>
          <w:szCs w:val="22"/>
          <w:lang w:val="en-US"/>
        </w:rPr>
        <w:t>.</w:t>
      </w:r>
      <w:r w:rsidRPr="001E2886">
        <w:rPr>
          <w:rFonts w:asciiTheme="majorHAnsi" w:eastAsiaTheme="minorEastAsia" w:hAnsiTheme="majorHAnsi" w:cstheme="majorHAnsi"/>
          <w:i/>
          <w:iCs/>
          <w:color w:val="595959"/>
          <w:kern w:val="24"/>
          <w:sz w:val="14"/>
          <w:szCs w:val="14"/>
          <w:lang w:val="en-US"/>
          <w14:textFill>
            <w14:solidFill>
              <w14:srgbClr w14:val="595959">
                <w14:lumMod w14:val="65000"/>
                <w14:lumOff w14:val="35000"/>
              </w14:srgbClr>
            </w14:solidFill>
          </w14:textFill>
        </w:rPr>
        <w:t xml:space="preserve"> </w:t>
      </w:r>
      <w:r w:rsidRPr="001E2886">
        <w:rPr>
          <w:rFonts w:asciiTheme="majorHAnsi" w:eastAsiaTheme="minorHAnsi" w:hAnsiTheme="majorHAnsi" w:cstheme="majorHAnsi"/>
          <w:i/>
          <w:iCs/>
          <w:color w:val="44546A" w:themeColor="text2"/>
          <w:sz w:val="22"/>
          <w:szCs w:val="22"/>
          <w:lang w:val="en-US"/>
        </w:rPr>
        <w:t>Distribution of Public Schools by Level and by Region, 2017</w:t>
      </w:r>
      <w:bookmarkEnd w:id="511"/>
      <w:bookmarkEnd w:id="512"/>
    </w:p>
    <w:p w14:paraId="2093A318" w14:textId="77777777" w:rsidR="008D0CAD" w:rsidRPr="00E00C4B" w:rsidRDefault="008D0CAD" w:rsidP="00796BFA">
      <w:pPr>
        <w:spacing w:before="100" w:beforeAutospacing="1" w:after="100" w:afterAutospacing="1" w:line="360" w:lineRule="auto"/>
        <w:rPr>
          <w:rFonts w:asciiTheme="majorHAnsi" w:hAnsiTheme="majorHAnsi" w:cstheme="majorHAnsi"/>
          <w:bCs/>
          <w:iCs/>
          <w:sz w:val="22"/>
          <w:szCs w:val="22"/>
          <w:lang w:val="en-US"/>
        </w:rPr>
      </w:pPr>
      <w:r w:rsidRPr="00E00C4B">
        <w:rPr>
          <w:noProof/>
          <w:lang w:val="en-AU" w:eastAsia="en-AU"/>
        </w:rPr>
        <w:drawing>
          <wp:inline distT="0" distB="0" distL="0" distR="0" wp14:anchorId="45ED3C78" wp14:editId="623B13F2">
            <wp:extent cx="5345430" cy="2582779"/>
            <wp:effectExtent l="0" t="0" r="13970" b="8255"/>
            <wp:docPr id="72" name="Chart 72" descr="Bar chart on distribution of public schools by level and region in 2017. Highest Secondary level in Region VII; Highest elementary level at Region VIII.">
              <a:extLst xmlns:a="http://schemas.openxmlformats.org/drawingml/2006/main">
                <a:ext uri="{FF2B5EF4-FFF2-40B4-BE49-F238E27FC236}">
                  <a16:creationId xmlns:a16="http://schemas.microsoft.com/office/drawing/2014/main" id="{42FF7476-483B-8349-B474-577F0A9F67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0C9F55DC" w14:textId="3A897FA4" w:rsidR="008D0CAD" w:rsidRPr="00796BFA" w:rsidRDefault="008D0CAD" w:rsidP="00796BFA">
      <w:pPr>
        <w:spacing w:before="100" w:beforeAutospacing="1" w:after="100" w:afterAutospacing="1" w:line="360" w:lineRule="auto"/>
        <w:rPr>
          <w:rFonts w:asciiTheme="majorHAnsi" w:hAnsiTheme="majorHAnsi" w:cstheme="majorHAnsi"/>
          <w:bCs/>
          <w:i/>
          <w:iCs/>
          <w:sz w:val="20"/>
          <w:szCs w:val="20"/>
          <w:lang w:val="en-US"/>
        </w:rPr>
      </w:pPr>
      <w:r w:rsidRPr="00E00C4B">
        <w:rPr>
          <w:rFonts w:asciiTheme="majorHAnsi" w:hAnsiTheme="majorHAnsi" w:cstheme="majorHAnsi"/>
          <w:bCs/>
          <w:i/>
          <w:iCs/>
          <w:sz w:val="20"/>
          <w:szCs w:val="20"/>
          <w:lang w:val="en-US"/>
        </w:rPr>
        <w:t>Source: DepEd EBEIS, 2019</w:t>
      </w:r>
    </w:p>
    <w:p w14:paraId="3AD5955C" w14:textId="47F28973" w:rsidR="008D0CAD" w:rsidRPr="00796BFA" w:rsidRDefault="008D0CAD" w:rsidP="00796BFA">
      <w:pPr>
        <w:pStyle w:val="Heading4"/>
        <w:spacing w:before="100" w:beforeAutospacing="1" w:after="100" w:afterAutospacing="1" w:line="360" w:lineRule="auto"/>
        <w:rPr>
          <w:lang w:val="en-US"/>
        </w:rPr>
      </w:pPr>
      <w:bookmarkStart w:id="513" w:name="_Toc16524070"/>
      <w:r w:rsidRPr="00E00C4B">
        <w:rPr>
          <w:lang w:val="en-US"/>
        </w:rPr>
        <w:t>SPED Schools</w:t>
      </w:r>
      <w:bookmarkEnd w:id="513"/>
    </w:p>
    <w:p w14:paraId="753B7DE7" w14:textId="49AC67F6" w:rsidR="008D0CAD" w:rsidRPr="00E00C4B" w:rsidRDefault="008D0CAD" w:rsidP="00796BFA">
      <w:pPr>
        <w:spacing w:before="100" w:beforeAutospacing="1" w:after="100" w:afterAutospacing="1" w:line="360" w:lineRule="auto"/>
        <w:rPr>
          <w:rFonts w:asciiTheme="majorHAnsi" w:hAnsiTheme="majorHAnsi" w:cstheme="majorHAnsi"/>
          <w:lang w:val="en-US"/>
        </w:rPr>
      </w:pPr>
      <w:r w:rsidRPr="00E00C4B">
        <w:rPr>
          <w:rFonts w:asciiTheme="majorHAnsi" w:hAnsiTheme="majorHAnsi" w:cstheme="majorHAnsi"/>
          <w:lang w:val="en-US"/>
        </w:rPr>
        <w:t>There were an estimated of 404 SPED schools in the BEST supported regions distributed as follows: 57 percent were located in NCR; 18 percent were located in Central Visayas; and the remaining were in the other four regions (Figure 5).</w:t>
      </w:r>
      <w:r w:rsidR="00D434EB">
        <w:rPr>
          <w:rFonts w:asciiTheme="majorHAnsi" w:hAnsiTheme="majorHAnsi" w:cstheme="majorHAnsi"/>
          <w:lang w:val="en-US"/>
        </w:rPr>
        <w:t xml:space="preserve"> </w:t>
      </w:r>
      <w:r w:rsidRPr="00E00C4B">
        <w:rPr>
          <w:rFonts w:asciiTheme="majorHAnsi" w:hAnsiTheme="majorHAnsi" w:cstheme="majorHAnsi"/>
          <w:lang w:val="en-US"/>
        </w:rPr>
        <w:t xml:space="preserve"> Of this total, 53 percent were public elementary schools, 15 percent were public high schools and 32 percent were private schools (Table 2).</w:t>
      </w:r>
      <w:r w:rsidR="00D434EB">
        <w:rPr>
          <w:rFonts w:asciiTheme="majorHAnsi" w:hAnsiTheme="majorHAnsi" w:cstheme="majorHAnsi"/>
          <w:lang w:val="en-US"/>
        </w:rPr>
        <w:t xml:space="preserve"> </w:t>
      </w:r>
      <w:r w:rsidRPr="00E00C4B">
        <w:rPr>
          <w:rFonts w:asciiTheme="majorHAnsi" w:hAnsiTheme="majorHAnsi" w:cstheme="majorHAnsi"/>
          <w:lang w:val="en-US"/>
        </w:rPr>
        <w:t>It should be highlighted that there were no SPED schools in the Divisions of Eastern Samar and Cagayan de Oro City while the Divisions of Antique and Misamis Oriental only had 1 and 4 SPED schools respectively.</w:t>
      </w:r>
    </w:p>
    <w:p w14:paraId="065A052D" w14:textId="47631BCC" w:rsidR="008D0CAD" w:rsidRPr="001E2886" w:rsidRDefault="008D0CAD" w:rsidP="00796BFA">
      <w:pPr>
        <w:spacing w:before="100" w:beforeAutospacing="1" w:after="100" w:afterAutospacing="1" w:line="360" w:lineRule="auto"/>
        <w:rPr>
          <w:rFonts w:asciiTheme="majorHAnsi" w:eastAsiaTheme="minorHAnsi" w:hAnsiTheme="majorHAnsi" w:cstheme="majorHAnsi"/>
          <w:i/>
          <w:iCs/>
          <w:color w:val="44546A" w:themeColor="text2"/>
          <w:sz w:val="22"/>
          <w:szCs w:val="22"/>
          <w:lang w:val="en-US"/>
        </w:rPr>
      </w:pPr>
      <w:bookmarkStart w:id="514" w:name="_Toc16524117"/>
      <w:bookmarkStart w:id="515" w:name="_Toc71616564"/>
      <w:r w:rsidRPr="001E2886">
        <w:rPr>
          <w:rFonts w:asciiTheme="majorHAnsi" w:eastAsiaTheme="minorHAnsi" w:hAnsiTheme="majorHAnsi" w:cstheme="majorHAnsi"/>
          <w:i/>
          <w:iCs/>
          <w:color w:val="44546A" w:themeColor="text2"/>
          <w:sz w:val="22"/>
          <w:szCs w:val="22"/>
          <w:lang w:val="en-US"/>
        </w:rPr>
        <w:t xml:space="preserve">Figure </w:t>
      </w:r>
      <w:r w:rsidRPr="001E2886">
        <w:rPr>
          <w:rFonts w:asciiTheme="majorHAnsi" w:eastAsiaTheme="minorHAnsi" w:hAnsiTheme="majorHAnsi" w:cstheme="majorHAnsi"/>
          <w:i/>
          <w:iCs/>
          <w:color w:val="44546A" w:themeColor="text2"/>
          <w:sz w:val="22"/>
          <w:szCs w:val="22"/>
          <w:lang w:val="en-US"/>
        </w:rPr>
        <w:fldChar w:fldCharType="begin"/>
      </w:r>
      <w:r w:rsidRPr="001E2886">
        <w:rPr>
          <w:rFonts w:asciiTheme="majorHAnsi" w:eastAsiaTheme="minorHAnsi" w:hAnsiTheme="majorHAnsi" w:cstheme="majorHAnsi"/>
          <w:i/>
          <w:iCs/>
          <w:color w:val="44546A" w:themeColor="text2"/>
          <w:sz w:val="22"/>
          <w:szCs w:val="22"/>
          <w:lang w:val="en-US"/>
        </w:rPr>
        <w:instrText xml:space="preserve"> SEQ Figure \* ARABIC </w:instrText>
      </w:r>
      <w:r w:rsidRPr="001E2886">
        <w:rPr>
          <w:rFonts w:asciiTheme="majorHAnsi" w:eastAsiaTheme="minorHAnsi" w:hAnsiTheme="majorHAnsi" w:cstheme="majorHAnsi"/>
          <w:i/>
          <w:iCs/>
          <w:color w:val="44546A" w:themeColor="text2"/>
          <w:sz w:val="22"/>
          <w:szCs w:val="22"/>
          <w:lang w:val="en-US"/>
        </w:rPr>
        <w:fldChar w:fldCharType="separate"/>
      </w:r>
      <w:r w:rsidR="00D6133D">
        <w:rPr>
          <w:rFonts w:asciiTheme="majorHAnsi" w:eastAsiaTheme="minorHAnsi" w:hAnsiTheme="majorHAnsi" w:cstheme="majorHAnsi"/>
          <w:i/>
          <w:iCs/>
          <w:noProof/>
          <w:color w:val="44546A" w:themeColor="text2"/>
          <w:sz w:val="22"/>
          <w:szCs w:val="22"/>
          <w:lang w:val="en-US"/>
        </w:rPr>
        <w:t>37</w:t>
      </w:r>
      <w:r w:rsidRPr="001E2886">
        <w:rPr>
          <w:rFonts w:asciiTheme="majorHAnsi" w:eastAsiaTheme="minorHAnsi" w:hAnsiTheme="majorHAnsi" w:cstheme="majorHAnsi"/>
          <w:i/>
          <w:iCs/>
          <w:color w:val="44546A" w:themeColor="text2"/>
          <w:sz w:val="22"/>
          <w:szCs w:val="22"/>
          <w:lang w:val="en-US"/>
        </w:rPr>
        <w:fldChar w:fldCharType="end"/>
      </w:r>
      <w:r w:rsidRPr="001E2886">
        <w:rPr>
          <w:rFonts w:asciiTheme="majorHAnsi" w:eastAsiaTheme="minorHAnsi" w:hAnsiTheme="majorHAnsi" w:cstheme="majorHAnsi"/>
          <w:i/>
          <w:iCs/>
          <w:color w:val="44546A" w:themeColor="text2"/>
          <w:sz w:val="22"/>
          <w:szCs w:val="22"/>
          <w:lang w:val="en-US"/>
        </w:rPr>
        <w:t>.</w:t>
      </w:r>
      <w:r w:rsidRPr="001E2886">
        <w:rPr>
          <w:rFonts w:asciiTheme="majorHAnsi" w:eastAsiaTheme="minorEastAsia" w:hAnsiTheme="majorHAnsi" w:cstheme="majorHAnsi"/>
          <w:i/>
          <w:iCs/>
          <w:color w:val="595959"/>
          <w:kern w:val="24"/>
          <w:sz w:val="14"/>
          <w:szCs w:val="14"/>
          <w:lang w:val="en-US"/>
          <w14:textFill>
            <w14:solidFill>
              <w14:srgbClr w14:val="595959">
                <w14:lumMod w14:val="65000"/>
                <w14:lumOff w14:val="35000"/>
              </w14:srgbClr>
            </w14:solidFill>
          </w14:textFill>
        </w:rPr>
        <w:t xml:space="preserve"> </w:t>
      </w:r>
      <w:r w:rsidRPr="001E2886">
        <w:rPr>
          <w:rFonts w:asciiTheme="majorHAnsi" w:eastAsiaTheme="minorHAnsi" w:hAnsiTheme="majorHAnsi" w:cstheme="majorHAnsi"/>
          <w:i/>
          <w:iCs/>
          <w:color w:val="44546A" w:themeColor="text2"/>
          <w:sz w:val="22"/>
          <w:szCs w:val="22"/>
          <w:lang w:val="en-US"/>
        </w:rPr>
        <w:t>Distribution of SPED Schools in BEST supported regions</w:t>
      </w:r>
      <w:bookmarkEnd w:id="514"/>
      <w:bookmarkEnd w:id="515"/>
    </w:p>
    <w:p w14:paraId="4685455F" w14:textId="77777777" w:rsidR="00A33371" w:rsidRDefault="008D0CAD" w:rsidP="00796BFA">
      <w:pPr>
        <w:spacing w:before="100" w:beforeAutospacing="1" w:after="100" w:afterAutospacing="1" w:line="360" w:lineRule="auto"/>
        <w:rPr>
          <w:rFonts w:asciiTheme="majorHAnsi" w:hAnsiTheme="majorHAnsi" w:cstheme="majorHAnsi"/>
          <w:b/>
          <w:bCs/>
          <w:sz w:val="20"/>
          <w:szCs w:val="20"/>
          <w:lang w:val="en-US"/>
        </w:rPr>
      </w:pPr>
      <w:r w:rsidRPr="00E00C4B">
        <w:rPr>
          <w:noProof/>
          <w:lang w:val="en-AU" w:eastAsia="en-AU"/>
        </w:rPr>
        <w:drawing>
          <wp:inline distT="0" distB="0" distL="0" distR="0" wp14:anchorId="584E3EB4" wp14:editId="1F3378E9">
            <wp:extent cx="4564681" cy="2366210"/>
            <wp:effectExtent l="0" t="0" r="7620" b="8890"/>
            <wp:docPr id="74" name="Chart 74" descr="Pie chart on the distribution of SPEd Schools in BEST regions. National Capital region at 57%.">
              <a:extLst xmlns:a="http://schemas.openxmlformats.org/drawingml/2006/main">
                <a:ext uri="{FF2B5EF4-FFF2-40B4-BE49-F238E27FC236}">
                  <a16:creationId xmlns:a16="http://schemas.microsoft.com/office/drawing/2014/main" id="{692A8A4E-F210-0244-ADCD-873795A55A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233F2176" w14:textId="5CE74454" w:rsidR="008D0CAD" w:rsidRPr="00E00C4B" w:rsidRDefault="008D0CAD" w:rsidP="00796BFA">
      <w:pPr>
        <w:spacing w:before="100" w:beforeAutospacing="1" w:after="100" w:afterAutospacing="1" w:line="360" w:lineRule="auto"/>
        <w:rPr>
          <w:rFonts w:asciiTheme="majorHAnsi" w:hAnsiTheme="majorHAnsi" w:cstheme="majorHAnsi"/>
          <w:b/>
          <w:bCs/>
          <w:sz w:val="20"/>
          <w:szCs w:val="20"/>
          <w:lang w:val="en-US"/>
        </w:rPr>
      </w:pPr>
      <w:r w:rsidRPr="00E00C4B">
        <w:rPr>
          <w:rFonts w:asciiTheme="majorHAnsi" w:hAnsiTheme="majorHAnsi" w:cstheme="majorHAnsi"/>
          <w:bCs/>
          <w:i/>
          <w:iCs/>
          <w:sz w:val="20"/>
          <w:szCs w:val="20"/>
          <w:lang w:val="en-US"/>
        </w:rPr>
        <w:t xml:space="preserve"> Source: DepEd website, 2019</w:t>
      </w:r>
      <w:bookmarkStart w:id="516" w:name="_Toc16524184"/>
    </w:p>
    <w:p w14:paraId="47F38089" w14:textId="69ACC3D5" w:rsidR="008D0CAD" w:rsidRPr="001E2886" w:rsidRDefault="00D434EB" w:rsidP="00796BFA">
      <w:pPr>
        <w:spacing w:before="100" w:beforeAutospacing="1" w:after="100" w:afterAutospacing="1" w:line="360" w:lineRule="auto"/>
        <w:rPr>
          <w:rFonts w:asciiTheme="majorHAnsi" w:eastAsiaTheme="minorHAnsi" w:hAnsiTheme="majorHAnsi" w:cstheme="majorHAnsi"/>
          <w:i/>
          <w:iCs/>
          <w:color w:val="44546A" w:themeColor="text2"/>
          <w:sz w:val="22"/>
          <w:szCs w:val="22"/>
          <w:lang w:val="en-US"/>
        </w:rPr>
      </w:pPr>
      <w:r>
        <w:rPr>
          <w:rFonts w:asciiTheme="majorHAnsi" w:eastAsiaTheme="minorHAnsi" w:hAnsiTheme="majorHAnsi" w:cstheme="majorHAnsi"/>
          <w:i/>
          <w:iCs/>
          <w:color w:val="44546A" w:themeColor="text2"/>
          <w:sz w:val="22"/>
          <w:szCs w:val="22"/>
          <w:lang w:val="en-US"/>
        </w:rPr>
        <w:t xml:space="preserve">   </w:t>
      </w:r>
      <w:bookmarkStart w:id="517" w:name="_Toc71616647"/>
      <w:r>
        <w:rPr>
          <w:rFonts w:asciiTheme="majorHAnsi" w:eastAsiaTheme="minorHAnsi" w:hAnsiTheme="majorHAnsi" w:cstheme="majorHAnsi"/>
          <w:i/>
          <w:iCs/>
          <w:color w:val="44546A" w:themeColor="text2"/>
          <w:sz w:val="22"/>
          <w:szCs w:val="22"/>
          <w:lang w:val="en-US"/>
        </w:rPr>
        <w:t xml:space="preserve"> </w:t>
      </w:r>
      <w:r w:rsidR="008D0CAD" w:rsidRPr="001E2886">
        <w:rPr>
          <w:rFonts w:asciiTheme="majorHAnsi" w:eastAsiaTheme="minorHAnsi" w:hAnsiTheme="majorHAnsi" w:cstheme="majorHAnsi"/>
          <w:i/>
          <w:iCs/>
          <w:color w:val="44546A" w:themeColor="text2"/>
          <w:sz w:val="22"/>
          <w:szCs w:val="22"/>
          <w:lang w:val="en-US"/>
        </w:rPr>
        <w:t xml:space="preserve">Table </w:t>
      </w:r>
      <w:r w:rsidR="008D0CAD" w:rsidRPr="001E2886">
        <w:rPr>
          <w:rFonts w:asciiTheme="majorHAnsi" w:eastAsiaTheme="minorHAnsi" w:hAnsiTheme="majorHAnsi" w:cstheme="majorHAnsi"/>
          <w:i/>
          <w:iCs/>
          <w:color w:val="44546A" w:themeColor="text2"/>
          <w:sz w:val="22"/>
          <w:szCs w:val="22"/>
          <w:lang w:val="en-US"/>
        </w:rPr>
        <w:fldChar w:fldCharType="begin"/>
      </w:r>
      <w:r w:rsidR="008D0CAD" w:rsidRPr="001E2886">
        <w:rPr>
          <w:rFonts w:asciiTheme="majorHAnsi" w:eastAsiaTheme="minorHAnsi" w:hAnsiTheme="majorHAnsi" w:cstheme="majorHAnsi"/>
          <w:i/>
          <w:iCs/>
          <w:color w:val="44546A" w:themeColor="text2"/>
          <w:sz w:val="22"/>
          <w:szCs w:val="22"/>
          <w:lang w:val="en-US"/>
        </w:rPr>
        <w:instrText xml:space="preserve"> SEQ Table \* ARABIC </w:instrText>
      </w:r>
      <w:r w:rsidR="008D0CAD" w:rsidRPr="001E2886">
        <w:rPr>
          <w:rFonts w:asciiTheme="majorHAnsi" w:eastAsiaTheme="minorHAnsi" w:hAnsiTheme="majorHAnsi" w:cstheme="majorHAnsi"/>
          <w:i/>
          <w:iCs/>
          <w:color w:val="44546A" w:themeColor="text2"/>
          <w:sz w:val="22"/>
          <w:szCs w:val="22"/>
          <w:lang w:val="en-US"/>
        </w:rPr>
        <w:fldChar w:fldCharType="separate"/>
      </w:r>
      <w:r w:rsidR="00D6133D">
        <w:rPr>
          <w:rFonts w:asciiTheme="majorHAnsi" w:eastAsiaTheme="minorHAnsi" w:hAnsiTheme="majorHAnsi" w:cstheme="majorHAnsi"/>
          <w:i/>
          <w:iCs/>
          <w:noProof/>
          <w:color w:val="44546A" w:themeColor="text2"/>
          <w:sz w:val="22"/>
          <w:szCs w:val="22"/>
          <w:lang w:val="en-US"/>
        </w:rPr>
        <w:t>56</w:t>
      </w:r>
      <w:r w:rsidR="008D0CAD" w:rsidRPr="001E2886">
        <w:rPr>
          <w:rFonts w:asciiTheme="majorHAnsi" w:eastAsiaTheme="minorHAnsi" w:hAnsiTheme="majorHAnsi" w:cstheme="majorHAnsi"/>
          <w:i/>
          <w:iCs/>
          <w:color w:val="44546A" w:themeColor="text2"/>
          <w:sz w:val="22"/>
          <w:szCs w:val="22"/>
          <w:lang w:val="en-US"/>
        </w:rPr>
        <w:fldChar w:fldCharType="end"/>
      </w:r>
      <w:r w:rsidR="008D0CAD" w:rsidRPr="001E2886">
        <w:rPr>
          <w:rFonts w:asciiTheme="majorHAnsi" w:eastAsiaTheme="minorHAnsi" w:hAnsiTheme="majorHAnsi" w:cstheme="majorHAnsi"/>
          <w:i/>
          <w:iCs/>
          <w:color w:val="44546A" w:themeColor="text2"/>
          <w:sz w:val="22"/>
          <w:szCs w:val="22"/>
          <w:lang w:val="en-US"/>
        </w:rPr>
        <w:t>. Distribution of SPED Schools in BEST-supported Regions</w:t>
      </w:r>
      <w:bookmarkEnd w:id="516"/>
      <w:bookmarkEnd w:id="517"/>
    </w:p>
    <w:tbl>
      <w:tblPr>
        <w:tblStyle w:val="TableGrid18"/>
        <w:tblW w:w="7301" w:type="dxa"/>
        <w:tblLook w:val="04A0" w:firstRow="1" w:lastRow="0" w:firstColumn="1" w:lastColumn="0" w:noHBand="0" w:noVBand="1"/>
      </w:tblPr>
      <w:tblGrid>
        <w:gridCol w:w="2494"/>
        <w:gridCol w:w="1204"/>
        <w:gridCol w:w="1201"/>
        <w:gridCol w:w="1201"/>
        <w:gridCol w:w="1201"/>
      </w:tblGrid>
      <w:tr w:rsidR="008D0CAD" w:rsidRPr="00E00C4B" w14:paraId="15AF5C44" w14:textId="77777777" w:rsidTr="004B064D">
        <w:trPr>
          <w:trHeight w:val="298"/>
          <w:tblHeader/>
        </w:trPr>
        <w:tc>
          <w:tcPr>
            <w:tcW w:w="2494" w:type="dxa"/>
            <w:noWrap/>
            <w:hideMark/>
          </w:tcPr>
          <w:p w14:paraId="6396EB59"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 Region/Division</w:t>
            </w:r>
          </w:p>
        </w:tc>
        <w:tc>
          <w:tcPr>
            <w:tcW w:w="1204" w:type="dxa"/>
            <w:hideMark/>
          </w:tcPr>
          <w:p w14:paraId="2FCF9E88" w14:textId="77777777" w:rsidR="008D0CAD" w:rsidRPr="00E00C4B" w:rsidRDefault="008D0CAD" w:rsidP="00796BFA">
            <w:pPr>
              <w:spacing w:before="100" w:beforeAutospacing="1" w:after="100" w:afterAutospacing="1" w:line="360" w:lineRule="auto"/>
              <w:rPr>
                <w:rFonts w:asciiTheme="majorHAnsi" w:hAnsiTheme="majorHAnsi" w:cstheme="majorHAnsi"/>
                <w:b/>
                <w:bCs/>
                <w:color w:val="000000"/>
                <w:sz w:val="20"/>
                <w:szCs w:val="20"/>
                <w:lang w:val="en-US"/>
              </w:rPr>
            </w:pPr>
            <w:r w:rsidRPr="00E00C4B">
              <w:rPr>
                <w:rFonts w:asciiTheme="majorHAnsi" w:hAnsiTheme="majorHAnsi" w:cstheme="majorHAnsi"/>
                <w:b/>
                <w:bCs/>
                <w:color w:val="000000"/>
                <w:sz w:val="20"/>
                <w:szCs w:val="20"/>
                <w:lang w:val="en-US"/>
              </w:rPr>
              <w:t>Public ES</w:t>
            </w:r>
          </w:p>
        </w:tc>
        <w:tc>
          <w:tcPr>
            <w:tcW w:w="1201" w:type="dxa"/>
            <w:hideMark/>
          </w:tcPr>
          <w:p w14:paraId="4B01A225" w14:textId="77777777" w:rsidR="008D0CAD" w:rsidRPr="00E00C4B" w:rsidRDefault="008D0CAD" w:rsidP="00796BFA">
            <w:pPr>
              <w:spacing w:before="100" w:beforeAutospacing="1" w:after="100" w:afterAutospacing="1" w:line="360" w:lineRule="auto"/>
              <w:rPr>
                <w:rFonts w:asciiTheme="majorHAnsi" w:hAnsiTheme="majorHAnsi" w:cstheme="majorHAnsi"/>
                <w:b/>
                <w:bCs/>
                <w:color w:val="000000"/>
                <w:sz w:val="20"/>
                <w:szCs w:val="20"/>
                <w:lang w:val="en-US"/>
              </w:rPr>
            </w:pPr>
            <w:r w:rsidRPr="00E00C4B">
              <w:rPr>
                <w:rFonts w:asciiTheme="majorHAnsi" w:hAnsiTheme="majorHAnsi" w:cstheme="majorHAnsi"/>
                <w:b/>
                <w:bCs/>
                <w:color w:val="000000"/>
                <w:sz w:val="20"/>
                <w:szCs w:val="20"/>
                <w:lang w:val="en-US"/>
              </w:rPr>
              <w:t>Public HS</w:t>
            </w:r>
          </w:p>
        </w:tc>
        <w:tc>
          <w:tcPr>
            <w:tcW w:w="1201" w:type="dxa"/>
            <w:hideMark/>
          </w:tcPr>
          <w:p w14:paraId="18B63E02" w14:textId="77777777" w:rsidR="008D0CAD" w:rsidRPr="00E00C4B" w:rsidRDefault="008D0CAD" w:rsidP="00796BFA">
            <w:pPr>
              <w:spacing w:before="100" w:beforeAutospacing="1" w:after="100" w:afterAutospacing="1" w:line="360" w:lineRule="auto"/>
              <w:rPr>
                <w:rFonts w:asciiTheme="majorHAnsi" w:hAnsiTheme="majorHAnsi" w:cstheme="majorHAnsi"/>
                <w:b/>
                <w:bCs/>
                <w:color w:val="000000"/>
                <w:sz w:val="20"/>
                <w:szCs w:val="20"/>
                <w:lang w:val="en-US"/>
              </w:rPr>
            </w:pPr>
            <w:r w:rsidRPr="00E00C4B">
              <w:rPr>
                <w:rFonts w:asciiTheme="majorHAnsi" w:hAnsiTheme="majorHAnsi" w:cstheme="majorHAnsi"/>
                <w:b/>
                <w:bCs/>
                <w:color w:val="000000"/>
                <w:sz w:val="20"/>
                <w:szCs w:val="20"/>
                <w:lang w:val="en-US"/>
              </w:rPr>
              <w:t xml:space="preserve">Private </w:t>
            </w:r>
          </w:p>
        </w:tc>
        <w:tc>
          <w:tcPr>
            <w:tcW w:w="1201" w:type="dxa"/>
            <w:hideMark/>
          </w:tcPr>
          <w:p w14:paraId="2275A107" w14:textId="77777777" w:rsidR="008D0CAD" w:rsidRPr="00E00C4B" w:rsidRDefault="008D0CAD" w:rsidP="00796BFA">
            <w:pPr>
              <w:spacing w:before="100" w:beforeAutospacing="1" w:after="100" w:afterAutospacing="1" w:line="360" w:lineRule="auto"/>
              <w:rPr>
                <w:rFonts w:asciiTheme="majorHAnsi" w:hAnsiTheme="majorHAnsi" w:cstheme="majorHAnsi"/>
                <w:b/>
                <w:bCs/>
                <w:color w:val="000000"/>
                <w:sz w:val="20"/>
                <w:szCs w:val="20"/>
                <w:lang w:val="en-US"/>
              </w:rPr>
            </w:pPr>
            <w:r w:rsidRPr="00E00C4B">
              <w:rPr>
                <w:rFonts w:asciiTheme="majorHAnsi" w:hAnsiTheme="majorHAnsi" w:cstheme="majorHAnsi"/>
                <w:b/>
                <w:bCs/>
                <w:color w:val="000000"/>
                <w:sz w:val="20"/>
                <w:szCs w:val="20"/>
                <w:lang w:val="en-US"/>
              </w:rPr>
              <w:t>Total</w:t>
            </w:r>
          </w:p>
        </w:tc>
      </w:tr>
      <w:tr w:rsidR="008D0CAD" w:rsidRPr="00E00C4B" w14:paraId="46307808" w14:textId="77777777" w:rsidTr="00A33371">
        <w:trPr>
          <w:trHeight w:val="280"/>
        </w:trPr>
        <w:tc>
          <w:tcPr>
            <w:tcW w:w="2494" w:type="dxa"/>
            <w:noWrap/>
            <w:hideMark/>
          </w:tcPr>
          <w:p w14:paraId="03736490"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Region V</w:t>
            </w:r>
          </w:p>
        </w:tc>
        <w:tc>
          <w:tcPr>
            <w:tcW w:w="1204" w:type="dxa"/>
            <w:noWrap/>
            <w:hideMark/>
          </w:tcPr>
          <w:p w14:paraId="7CE5A334"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15</w:t>
            </w:r>
          </w:p>
        </w:tc>
        <w:tc>
          <w:tcPr>
            <w:tcW w:w="1201" w:type="dxa"/>
            <w:noWrap/>
            <w:hideMark/>
          </w:tcPr>
          <w:p w14:paraId="10B2F941"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9</w:t>
            </w:r>
          </w:p>
        </w:tc>
        <w:tc>
          <w:tcPr>
            <w:tcW w:w="1201" w:type="dxa"/>
            <w:noWrap/>
            <w:hideMark/>
          </w:tcPr>
          <w:p w14:paraId="3D10F3BA"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4</w:t>
            </w:r>
          </w:p>
        </w:tc>
        <w:tc>
          <w:tcPr>
            <w:tcW w:w="1201" w:type="dxa"/>
            <w:noWrap/>
            <w:hideMark/>
          </w:tcPr>
          <w:p w14:paraId="4E62FA7D"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28</w:t>
            </w:r>
          </w:p>
        </w:tc>
      </w:tr>
      <w:tr w:rsidR="008D0CAD" w:rsidRPr="00E00C4B" w14:paraId="30D95719" w14:textId="77777777" w:rsidTr="00A33371">
        <w:trPr>
          <w:trHeight w:val="280"/>
        </w:trPr>
        <w:tc>
          <w:tcPr>
            <w:tcW w:w="2494" w:type="dxa"/>
            <w:noWrap/>
            <w:hideMark/>
          </w:tcPr>
          <w:p w14:paraId="4C79B6F4"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Camarines Sur</w:t>
            </w:r>
          </w:p>
        </w:tc>
        <w:tc>
          <w:tcPr>
            <w:tcW w:w="1204" w:type="dxa"/>
            <w:noWrap/>
            <w:hideMark/>
          </w:tcPr>
          <w:p w14:paraId="746C85A1"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4</w:t>
            </w:r>
          </w:p>
        </w:tc>
        <w:tc>
          <w:tcPr>
            <w:tcW w:w="1201" w:type="dxa"/>
            <w:noWrap/>
            <w:hideMark/>
          </w:tcPr>
          <w:p w14:paraId="024F6D46"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2</w:t>
            </w:r>
          </w:p>
        </w:tc>
        <w:tc>
          <w:tcPr>
            <w:tcW w:w="1201" w:type="dxa"/>
            <w:noWrap/>
            <w:hideMark/>
          </w:tcPr>
          <w:p w14:paraId="3C1FCC9A"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1</w:t>
            </w:r>
          </w:p>
        </w:tc>
        <w:tc>
          <w:tcPr>
            <w:tcW w:w="1201" w:type="dxa"/>
            <w:noWrap/>
            <w:hideMark/>
          </w:tcPr>
          <w:p w14:paraId="2AF9164D"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7</w:t>
            </w:r>
          </w:p>
        </w:tc>
      </w:tr>
      <w:tr w:rsidR="008D0CAD" w:rsidRPr="00E00C4B" w14:paraId="60FF3F78" w14:textId="77777777" w:rsidTr="00A33371">
        <w:trPr>
          <w:trHeight w:val="280"/>
        </w:trPr>
        <w:tc>
          <w:tcPr>
            <w:tcW w:w="2494" w:type="dxa"/>
            <w:noWrap/>
            <w:hideMark/>
          </w:tcPr>
          <w:p w14:paraId="1CEF2CBB"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Sorsogon</w:t>
            </w:r>
          </w:p>
        </w:tc>
        <w:tc>
          <w:tcPr>
            <w:tcW w:w="1204" w:type="dxa"/>
            <w:noWrap/>
            <w:hideMark/>
          </w:tcPr>
          <w:p w14:paraId="1E93C2D3"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3</w:t>
            </w:r>
          </w:p>
        </w:tc>
        <w:tc>
          <w:tcPr>
            <w:tcW w:w="1201" w:type="dxa"/>
            <w:noWrap/>
            <w:hideMark/>
          </w:tcPr>
          <w:p w14:paraId="25A5D7AB"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5</w:t>
            </w:r>
          </w:p>
        </w:tc>
        <w:tc>
          <w:tcPr>
            <w:tcW w:w="1201" w:type="dxa"/>
            <w:noWrap/>
            <w:hideMark/>
          </w:tcPr>
          <w:p w14:paraId="664F8BBE"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0</w:t>
            </w:r>
          </w:p>
        </w:tc>
        <w:tc>
          <w:tcPr>
            <w:tcW w:w="1201" w:type="dxa"/>
            <w:noWrap/>
            <w:hideMark/>
          </w:tcPr>
          <w:p w14:paraId="14B0E2F3"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8</w:t>
            </w:r>
          </w:p>
        </w:tc>
      </w:tr>
      <w:tr w:rsidR="008D0CAD" w:rsidRPr="00E00C4B" w14:paraId="4AB059BE" w14:textId="77777777" w:rsidTr="00A33371">
        <w:trPr>
          <w:trHeight w:val="280"/>
        </w:trPr>
        <w:tc>
          <w:tcPr>
            <w:tcW w:w="2494" w:type="dxa"/>
            <w:noWrap/>
            <w:hideMark/>
          </w:tcPr>
          <w:p w14:paraId="3B32CB77"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Region VI</w:t>
            </w:r>
          </w:p>
        </w:tc>
        <w:tc>
          <w:tcPr>
            <w:tcW w:w="1204" w:type="dxa"/>
            <w:noWrap/>
            <w:hideMark/>
          </w:tcPr>
          <w:p w14:paraId="26B46B26"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28</w:t>
            </w:r>
          </w:p>
        </w:tc>
        <w:tc>
          <w:tcPr>
            <w:tcW w:w="1201" w:type="dxa"/>
            <w:noWrap/>
            <w:hideMark/>
          </w:tcPr>
          <w:p w14:paraId="727F5F40"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2</w:t>
            </w:r>
          </w:p>
        </w:tc>
        <w:tc>
          <w:tcPr>
            <w:tcW w:w="1201" w:type="dxa"/>
            <w:noWrap/>
            <w:hideMark/>
          </w:tcPr>
          <w:p w14:paraId="1B762146"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3</w:t>
            </w:r>
          </w:p>
        </w:tc>
        <w:tc>
          <w:tcPr>
            <w:tcW w:w="1201" w:type="dxa"/>
            <w:noWrap/>
            <w:hideMark/>
          </w:tcPr>
          <w:p w14:paraId="1DE73A32"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33</w:t>
            </w:r>
          </w:p>
        </w:tc>
      </w:tr>
      <w:tr w:rsidR="008D0CAD" w:rsidRPr="00E00C4B" w14:paraId="571C50D3" w14:textId="77777777" w:rsidTr="00A33371">
        <w:trPr>
          <w:trHeight w:val="280"/>
        </w:trPr>
        <w:tc>
          <w:tcPr>
            <w:tcW w:w="2494" w:type="dxa"/>
            <w:noWrap/>
            <w:hideMark/>
          </w:tcPr>
          <w:p w14:paraId="6A6FB619"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Antique</w:t>
            </w:r>
          </w:p>
        </w:tc>
        <w:tc>
          <w:tcPr>
            <w:tcW w:w="1204" w:type="dxa"/>
            <w:noWrap/>
            <w:hideMark/>
          </w:tcPr>
          <w:p w14:paraId="5AA9C262"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1</w:t>
            </w:r>
          </w:p>
        </w:tc>
        <w:tc>
          <w:tcPr>
            <w:tcW w:w="1201" w:type="dxa"/>
            <w:noWrap/>
            <w:hideMark/>
          </w:tcPr>
          <w:p w14:paraId="3D93199F"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0</w:t>
            </w:r>
          </w:p>
        </w:tc>
        <w:tc>
          <w:tcPr>
            <w:tcW w:w="1201" w:type="dxa"/>
            <w:noWrap/>
            <w:hideMark/>
          </w:tcPr>
          <w:p w14:paraId="4F4AB171"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0</w:t>
            </w:r>
          </w:p>
        </w:tc>
        <w:tc>
          <w:tcPr>
            <w:tcW w:w="1201" w:type="dxa"/>
            <w:noWrap/>
            <w:hideMark/>
          </w:tcPr>
          <w:p w14:paraId="7F861D3B"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1</w:t>
            </w:r>
          </w:p>
        </w:tc>
      </w:tr>
      <w:tr w:rsidR="008D0CAD" w:rsidRPr="00E00C4B" w14:paraId="694A27FA" w14:textId="77777777" w:rsidTr="00A33371">
        <w:trPr>
          <w:trHeight w:val="280"/>
        </w:trPr>
        <w:tc>
          <w:tcPr>
            <w:tcW w:w="2494" w:type="dxa"/>
            <w:noWrap/>
            <w:hideMark/>
          </w:tcPr>
          <w:p w14:paraId="74559A2C"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Iloilo</w:t>
            </w:r>
          </w:p>
        </w:tc>
        <w:tc>
          <w:tcPr>
            <w:tcW w:w="1204" w:type="dxa"/>
            <w:noWrap/>
            <w:hideMark/>
          </w:tcPr>
          <w:p w14:paraId="13087CED"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12</w:t>
            </w:r>
          </w:p>
        </w:tc>
        <w:tc>
          <w:tcPr>
            <w:tcW w:w="1201" w:type="dxa"/>
            <w:noWrap/>
            <w:hideMark/>
          </w:tcPr>
          <w:p w14:paraId="47AD5C26"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0</w:t>
            </w:r>
          </w:p>
        </w:tc>
        <w:tc>
          <w:tcPr>
            <w:tcW w:w="1201" w:type="dxa"/>
            <w:noWrap/>
            <w:hideMark/>
          </w:tcPr>
          <w:p w14:paraId="60B505A7"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2</w:t>
            </w:r>
          </w:p>
        </w:tc>
        <w:tc>
          <w:tcPr>
            <w:tcW w:w="1201" w:type="dxa"/>
            <w:noWrap/>
            <w:hideMark/>
          </w:tcPr>
          <w:p w14:paraId="1BA6CE6F"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14</w:t>
            </w:r>
          </w:p>
        </w:tc>
      </w:tr>
      <w:tr w:rsidR="008D0CAD" w:rsidRPr="00E00C4B" w14:paraId="3E4D0147" w14:textId="77777777" w:rsidTr="00A33371">
        <w:trPr>
          <w:trHeight w:val="280"/>
        </w:trPr>
        <w:tc>
          <w:tcPr>
            <w:tcW w:w="2494" w:type="dxa"/>
            <w:noWrap/>
            <w:hideMark/>
          </w:tcPr>
          <w:p w14:paraId="5CEC8FBD"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Region VII</w:t>
            </w:r>
          </w:p>
        </w:tc>
        <w:tc>
          <w:tcPr>
            <w:tcW w:w="1204" w:type="dxa"/>
            <w:noWrap/>
            <w:hideMark/>
          </w:tcPr>
          <w:p w14:paraId="7A533167"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44</w:t>
            </w:r>
          </w:p>
        </w:tc>
        <w:tc>
          <w:tcPr>
            <w:tcW w:w="1201" w:type="dxa"/>
            <w:noWrap/>
            <w:hideMark/>
          </w:tcPr>
          <w:p w14:paraId="649B4443"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20</w:t>
            </w:r>
          </w:p>
        </w:tc>
        <w:tc>
          <w:tcPr>
            <w:tcW w:w="1201" w:type="dxa"/>
            <w:noWrap/>
            <w:hideMark/>
          </w:tcPr>
          <w:p w14:paraId="3396A451"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8</w:t>
            </w:r>
          </w:p>
        </w:tc>
        <w:tc>
          <w:tcPr>
            <w:tcW w:w="1201" w:type="dxa"/>
            <w:noWrap/>
            <w:hideMark/>
          </w:tcPr>
          <w:p w14:paraId="352A996F"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72</w:t>
            </w:r>
          </w:p>
        </w:tc>
      </w:tr>
      <w:tr w:rsidR="008D0CAD" w:rsidRPr="00E00C4B" w14:paraId="54EEB49A" w14:textId="77777777" w:rsidTr="00A33371">
        <w:trPr>
          <w:trHeight w:val="280"/>
        </w:trPr>
        <w:tc>
          <w:tcPr>
            <w:tcW w:w="2494" w:type="dxa"/>
            <w:noWrap/>
            <w:hideMark/>
          </w:tcPr>
          <w:p w14:paraId="2B36E559"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Bohol</w:t>
            </w:r>
          </w:p>
        </w:tc>
        <w:tc>
          <w:tcPr>
            <w:tcW w:w="1204" w:type="dxa"/>
            <w:noWrap/>
            <w:hideMark/>
          </w:tcPr>
          <w:p w14:paraId="74095807"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5</w:t>
            </w:r>
          </w:p>
        </w:tc>
        <w:tc>
          <w:tcPr>
            <w:tcW w:w="1201" w:type="dxa"/>
            <w:noWrap/>
            <w:hideMark/>
          </w:tcPr>
          <w:p w14:paraId="2582F670"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2</w:t>
            </w:r>
          </w:p>
        </w:tc>
        <w:tc>
          <w:tcPr>
            <w:tcW w:w="1201" w:type="dxa"/>
            <w:noWrap/>
            <w:hideMark/>
          </w:tcPr>
          <w:p w14:paraId="2C34DDC3"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2</w:t>
            </w:r>
          </w:p>
        </w:tc>
        <w:tc>
          <w:tcPr>
            <w:tcW w:w="1201" w:type="dxa"/>
            <w:noWrap/>
            <w:hideMark/>
          </w:tcPr>
          <w:p w14:paraId="032C48BA"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9</w:t>
            </w:r>
          </w:p>
        </w:tc>
      </w:tr>
      <w:tr w:rsidR="008D0CAD" w:rsidRPr="00E00C4B" w14:paraId="4642C56A" w14:textId="77777777" w:rsidTr="00A33371">
        <w:trPr>
          <w:trHeight w:val="280"/>
        </w:trPr>
        <w:tc>
          <w:tcPr>
            <w:tcW w:w="2494" w:type="dxa"/>
            <w:noWrap/>
            <w:hideMark/>
          </w:tcPr>
          <w:p w14:paraId="64935827"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Cebu</w:t>
            </w:r>
          </w:p>
        </w:tc>
        <w:tc>
          <w:tcPr>
            <w:tcW w:w="1204" w:type="dxa"/>
            <w:noWrap/>
            <w:hideMark/>
          </w:tcPr>
          <w:p w14:paraId="03A9C9B5"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23</w:t>
            </w:r>
          </w:p>
        </w:tc>
        <w:tc>
          <w:tcPr>
            <w:tcW w:w="1201" w:type="dxa"/>
            <w:noWrap/>
            <w:hideMark/>
          </w:tcPr>
          <w:p w14:paraId="23ABC9B2"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13</w:t>
            </w:r>
          </w:p>
        </w:tc>
        <w:tc>
          <w:tcPr>
            <w:tcW w:w="1201" w:type="dxa"/>
            <w:noWrap/>
            <w:hideMark/>
          </w:tcPr>
          <w:p w14:paraId="10657A33"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5</w:t>
            </w:r>
          </w:p>
        </w:tc>
        <w:tc>
          <w:tcPr>
            <w:tcW w:w="1201" w:type="dxa"/>
            <w:noWrap/>
            <w:hideMark/>
          </w:tcPr>
          <w:p w14:paraId="200DA369"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41</w:t>
            </w:r>
          </w:p>
        </w:tc>
      </w:tr>
      <w:tr w:rsidR="008D0CAD" w:rsidRPr="00E00C4B" w14:paraId="0EA1FD55" w14:textId="77777777" w:rsidTr="00A33371">
        <w:trPr>
          <w:trHeight w:val="280"/>
        </w:trPr>
        <w:tc>
          <w:tcPr>
            <w:tcW w:w="2494" w:type="dxa"/>
            <w:noWrap/>
            <w:hideMark/>
          </w:tcPr>
          <w:p w14:paraId="0A9C5E49"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Eastern Visayas</w:t>
            </w:r>
          </w:p>
        </w:tc>
        <w:tc>
          <w:tcPr>
            <w:tcW w:w="1204" w:type="dxa"/>
            <w:noWrap/>
            <w:hideMark/>
          </w:tcPr>
          <w:p w14:paraId="2BD9C3C7"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15</w:t>
            </w:r>
          </w:p>
        </w:tc>
        <w:tc>
          <w:tcPr>
            <w:tcW w:w="1201" w:type="dxa"/>
            <w:noWrap/>
            <w:hideMark/>
          </w:tcPr>
          <w:p w14:paraId="5C38780B"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4</w:t>
            </w:r>
          </w:p>
        </w:tc>
        <w:tc>
          <w:tcPr>
            <w:tcW w:w="1201" w:type="dxa"/>
            <w:noWrap/>
            <w:hideMark/>
          </w:tcPr>
          <w:p w14:paraId="7D621429"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1</w:t>
            </w:r>
          </w:p>
        </w:tc>
        <w:tc>
          <w:tcPr>
            <w:tcW w:w="1201" w:type="dxa"/>
            <w:noWrap/>
            <w:hideMark/>
          </w:tcPr>
          <w:p w14:paraId="36AC64C0"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20</w:t>
            </w:r>
          </w:p>
        </w:tc>
      </w:tr>
      <w:tr w:rsidR="008D0CAD" w:rsidRPr="00E00C4B" w14:paraId="14D7665A" w14:textId="77777777" w:rsidTr="00A33371">
        <w:trPr>
          <w:trHeight w:val="280"/>
        </w:trPr>
        <w:tc>
          <w:tcPr>
            <w:tcW w:w="2494" w:type="dxa"/>
            <w:noWrap/>
            <w:hideMark/>
          </w:tcPr>
          <w:p w14:paraId="778068B6"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Eastern Samar</w:t>
            </w:r>
          </w:p>
        </w:tc>
        <w:tc>
          <w:tcPr>
            <w:tcW w:w="1204" w:type="dxa"/>
            <w:noWrap/>
            <w:hideMark/>
          </w:tcPr>
          <w:p w14:paraId="143E0F39"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 </w:t>
            </w:r>
          </w:p>
        </w:tc>
        <w:tc>
          <w:tcPr>
            <w:tcW w:w="1201" w:type="dxa"/>
            <w:noWrap/>
            <w:hideMark/>
          </w:tcPr>
          <w:p w14:paraId="2BDAAFFC"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 </w:t>
            </w:r>
          </w:p>
        </w:tc>
        <w:tc>
          <w:tcPr>
            <w:tcW w:w="1201" w:type="dxa"/>
            <w:noWrap/>
            <w:hideMark/>
          </w:tcPr>
          <w:p w14:paraId="7F9E2BD0"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 </w:t>
            </w:r>
          </w:p>
        </w:tc>
        <w:tc>
          <w:tcPr>
            <w:tcW w:w="1201" w:type="dxa"/>
            <w:noWrap/>
            <w:hideMark/>
          </w:tcPr>
          <w:p w14:paraId="7203BF86"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0</w:t>
            </w:r>
          </w:p>
        </w:tc>
      </w:tr>
      <w:tr w:rsidR="008D0CAD" w:rsidRPr="00E00C4B" w14:paraId="6E1DFC14" w14:textId="77777777" w:rsidTr="00A33371">
        <w:trPr>
          <w:trHeight w:val="280"/>
        </w:trPr>
        <w:tc>
          <w:tcPr>
            <w:tcW w:w="2494" w:type="dxa"/>
            <w:noWrap/>
            <w:hideMark/>
          </w:tcPr>
          <w:p w14:paraId="267E491D"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Leyte</w:t>
            </w:r>
          </w:p>
        </w:tc>
        <w:tc>
          <w:tcPr>
            <w:tcW w:w="1204" w:type="dxa"/>
            <w:noWrap/>
            <w:hideMark/>
          </w:tcPr>
          <w:p w14:paraId="55C79CC6"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5</w:t>
            </w:r>
          </w:p>
        </w:tc>
        <w:tc>
          <w:tcPr>
            <w:tcW w:w="1201" w:type="dxa"/>
            <w:noWrap/>
            <w:hideMark/>
          </w:tcPr>
          <w:p w14:paraId="65D63D75"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2</w:t>
            </w:r>
          </w:p>
        </w:tc>
        <w:tc>
          <w:tcPr>
            <w:tcW w:w="1201" w:type="dxa"/>
            <w:noWrap/>
            <w:hideMark/>
          </w:tcPr>
          <w:p w14:paraId="67009010"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1</w:t>
            </w:r>
          </w:p>
        </w:tc>
        <w:tc>
          <w:tcPr>
            <w:tcW w:w="1201" w:type="dxa"/>
            <w:noWrap/>
            <w:hideMark/>
          </w:tcPr>
          <w:p w14:paraId="1BA3987F"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8</w:t>
            </w:r>
          </w:p>
        </w:tc>
      </w:tr>
      <w:tr w:rsidR="008D0CAD" w:rsidRPr="00E00C4B" w14:paraId="4A0CEB45" w14:textId="77777777" w:rsidTr="00A33371">
        <w:trPr>
          <w:trHeight w:val="280"/>
        </w:trPr>
        <w:tc>
          <w:tcPr>
            <w:tcW w:w="2494" w:type="dxa"/>
            <w:noWrap/>
            <w:hideMark/>
          </w:tcPr>
          <w:p w14:paraId="0F5C7119"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Region X</w:t>
            </w:r>
          </w:p>
        </w:tc>
        <w:tc>
          <w:tcPr>
            <w:tcW w:w="1204" w:type="dxa"/>
            <w:noWrap/>
            <w:hideMark/>
          </w:tcPr>
          <w:p w14:paraId="686B79DC"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15</w:t>
            </w:r>
          </w:p>
        </w:tc>
        <w:tc>
          <w:tcPr>
            <w:tcW w:w="1201" w:type="dxa"/>
            <w:noWrap/>
            <w:hideMark/>
          </w:tcPr>
          <w:p w14:paraId="7E2EEC72"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1</w:t>
            </w:r>
          </w:p>
        </w:tc>
        <w:tc>
          <w:tcPr>
            <w:tcW w:w="1201" w:type="dxa"/>
            <w:noWrap/>
            <w:hideMark/>
          </w:tcPr>
          <w:p w14:paraId="6931D775"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3</w:t>
            </w:r>
          </w:p>
        </w:tc>
        <w:tc>
          <w:tcPr>
            <w:tcW w:w="1201" w:type="dxa"/>
            <w:noWrap/>
            <w:hideMark/>
          </w:tcPr>
          <w:p w14:paraId="3823A20F"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19</w:t>
            </w:r>
          </w:p>
        </w:tc>
      </w:tr>
      <w:tr w:rsidR="008D0CAD" w:rsidRPr="00E00C4B" w14:paraId="5F213A59" w14:textId="77777777" w:rsidTr="00A33371">
        <w:trPr>
          <w:trHeight w:val="280"/>
        </w:trPr>
        <w:tc>
          <w:tcPr>
            <w:tcW w:w="2494" w:type="dxa"/>
            <w:noWrap/>
            <w:hideMark/>
          </w:tcPr>
          <w:p w14:paraId="6CAA9D64"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 xml:space="preserve">Cagayan de Oro City </w:t>
            </w:r>
          </w:p>
        </w:tc>
        <w:tc>
          <w:tcPr>
            <w:tcW w:w="1204" w:type="dxa"/>
            <w:noWrap/>
            <w:hideMark/>
          </w:tcPr>
          <w:p w14:paraId="6864F1AC"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 </w:t>
            </w:r>
          </w:p>
        </w:tc>
        <w:tc>
          <w:tcPr>
            <w:tcW w:w="1201" w:type="dxa"/>
            <w:noWrap/>
            <w:hideMark/>
          </w:tcPr>
          <w:p w14:paraId="03984681"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 </w:t>
            </w:r>
          </w:p>
        </w:tc>
        <w:tc>
          <w:tcPr>
            <w:tcW w:w="1201" w:type="dxa"/>
            <w:noWrap/>
            <w:hideMark/>
          </w:tcPr>
          <w:p w14:paraId="03D56F60"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 </w:t>
            </w:r>
          </w:p>
        </w:tc>
        <w:tc>
          <w:tcPr>
            <w:tcW w:w="1201" w:type="dxa"/>
            <w:noWrap/>
            <w:hideMark/>
          </w:tcPr>
          <w:p w14:paraId="2E1E654E"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0</w:t>
            </w:r>
          </w:p>
        </w:tc>
      </w:tr>
      <w:tr w:rsidR="008D0CAD" w:rsidRPr="00E00C4B" w14:paraId="46A31DF1" w14:textId="77777777" w:rsidTr="00A33371">
        <w:trPr>
          <w:trHeight w:val="280"/>
        </w:trPr>
        <w:tc>
          <w:tcPr>
            <w:tcW w:w="2494" w:type="dxa"/>
            <w:noWrap/>
            <w:hideMark/>
          </w:tcPr>
          <w:p w14:paraId="18C86072"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Misamis Oriental</w:t>
            </w:r>
          </w:p>
        </w:tc>
        <w:tc>
          <w:tcPr>
            <w:tcW w:w="1204" w:type="dxa"/>
            <w:noWrap/>
            <w:hideMark/>
          </w:tcPr>
          <w:p w14:paraId="5A28AF68"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4</w:t>
            </w:r>
          </w:p>
        </w:tc>
        <w:tc>
          <w:tcPr>
            <w:tcW w:w="1201" w:type="dxa"/>
            <w:noWrap/>
            <w:hideMark/>
          </w:tcPr>
          <w:p w14:paraId="65DE193F"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0</w:t>
            </w:r>
          </w:p>
        </w:tc>
        <w:tc>
          <w:tcPr>
            <w:tcW w:w="1201" w:type="dxa"/>
            <w:noWrap/>
            <w:hideMark/>
          </w:tcPr>
          <w:p w14:paraId="147B7861"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0</w:t>
            </w:r>
          </w:p>
        </w:tc>
        <w:tc>
          <w:tcPr>
            <w:tcW w:w="1201" w:type="dxa"/>
            <w:noWrap/>
            <w:hideMark/>
          </w:tcPr>
          <w:p w14:paraId="5FC5E9B1"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4</w:t>
            </w:r>
          </w:p>
        </w:tc>
      </w:tr>
      <w:tr w:rsidR="008D0CAD" w:rsidRPr="00E00C4B" w14:paraId="05743BE4" w14:textId="77777777" w:rsidTr="00A33371">
        <w:trPr>
          <w:trHeight w:val="280"/>
        </w:trPr>
        <w:tc>
          <w:tcPr>
            <w:tcW w:w="2494" w:type="dxa"/>
            <w:noWrap/>
            <w:hideMark/>
          </w:tcPr>
          <w:p w14:paraId="7AC07CF1"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NCR</w:t>
            </w:r>
          </w:p>
        </w:tc>
        <w:tc>
          <w:tcPr>
            <w:tcW w:w="1204" w:type="dxa"/>
            <w:noWrap/>
            <w:hideMark/>
          </w:tcPr>
          <w:p w14:paraId="458613F3" w14:textId="77777777" w:rsidR="008D0CAD" w:rsidRPr="00E00C4B" w:rsidRDefault="008D0CAD" w:rsidP="00796BFA">
            <w:pPr>
              <w:spacing w:before="100" w:beforeAutospacing="1" w:after="100" w:afterAutospacing="1" w:line="360" w:lineRule="auto"/>
              <w:rPr>
                <w:rFonts w:asciiTheme="majorHAnsi" w:hAnsiTheme="majorHAnsi" w:cstheme="majorHAnsi"/>
                <w:b/>
                <w:bCs/>
                <w:color w:val="000000"/>
                <w:sz w:val="20"/>
                <w:szCs w:val="20"/>
                <w:lang w:val="en-US"/>
              </w:rPr>
            </w:pPr>
            <w:r w:rsidRPr="00E00C4B">
              <w:rPr>
                <w:rFonts w:asciiTheme="majorHAnsi" w:hAnsiTheme="majorHAnsi" w:cstheme="majorHAnsi"/>
                <w:b/>
                <w:bCs/>
                <w:color w:val="000000"/>
                <w:sz w:val="20"/>
                <w:szCs w:val="20"/>
                <w:lang w:val="en-US"/>
              </w:rPr>
              <w:t>96</w:t>
            </w:r>
          </w:p>
        </w:tc>
        <w:tc>
          <w:tcPr>
            <w:tcW w:w="1201" w:type="dxa"/>
            <w:noWrap/>
            <w:hideMark/>
          </w:tcPr>
          <w:p w14:paraId="43B8286B" w14:textId="77777777" w:rsidR="008D0CAD" w:rsidRPr="00E00C4B" w:rsidRDefault="008D0CAD" w:rsidP="00796BFA">
            <w:pPr>
              <w:spacing w:before="100" w:beforeAutospacing="1" w:after="100" w:afterAutospacing="1" w:line="360" w:lineRule="auto"/>
              <w:rPr>
                <w:rFonts w:asciiTheme="majorHAnsi" w:hAnsiTheme="majorHAnsi" w:cstheme="majorHAnsi"/>
                <w:b/>
                <w:bCs/>
                <w:color w:val="000000"/>
                <w:sz w:val="20"/>
                <w:szCs w:val="20"/>
                <w:lang w:val="en-US"/>
              </w:rPr>
            </w:pPr>
            <w:r w:rsidRPr="00E00C4B">
              <w:rPr>
                <w:rFonts w:asciiTheme="majorHAnsi" w:hAnsiTheme="majorHAnsi" w:cstheme="majorHAnsi"/>
                <w:b/>
                <w:bCs/>
                <w:color w:val="000000"/>
                <w:sz w:val="20"/>
                <w:szCs w:val="20"/>
                <w:lang w:val="en-US"/>
              </w:rPr>
              <w:t>25</w:t>
            </w:r>
          </w:p>
        </w:tc>
        <w:tc>
          <w:tcPr>
            <w:tcW w:w="1201" w:type="dxa"/>
            <w:noWrap/>
            <w:hideMark/>
          </w:tcPr>
          <w:p w14:paraId="0AF3743B" w14:textId="77777777" w:rsidR="008D0CAD" w:rsidRPr="00E00C4B" w:rsidRDefault="008D0CAD" w:rsidP="00796BFA">
            <w:pPr>
              <w:spacing w:before="100" w:beforeAutospacing="1" w:after="100" w:afterAutospacing="1" w:line="360" w:lineRule="auto"/>
              <w:rPr>
                <w:rFonts w:asciiTheme="majorHAnsi" w:hAnsiTheme="majorHAnsi" w:cstheme="majorHAnsi"/>
                <w:b/>
                <w:bCs/>
                <w:color w:val="000000"/>
                <w:sz w:val="20"/>
                <w:szCs w:val="20"/>
                <w:lang w:val="en-US"/>
              </w:rPr>
            </w:pPr>
            <w:r w:rsidRPr="00E00C4B">
              <w:rPr>
                <w:rFonts w:asciiTheme="majorHAnsi" w:hAnsiTheme="majorHAnsi" w:cstheme="majorHAnsi"/>
                <w:b/>
                <w:bCs/>
                <w:color w:val="000000"/>
                <w:sz w:val="20"/>
                <w:szCs w:val="20"/>
                <w:lang w:val="en-US"/>
              </w:rPr>
              <w:t>111</w:t>
            </w:r>
          </w:p>
        </w:tc>
        <w:tc>
          <w:tcPr>
            <w:tcW w:w="1201" w:type="dxa"/>
            <w:noWrap/>
            <w:hideMark/>
          </w:tcPr>
          <w:p w14:paraId="38BEA95E"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232</w:t>
            </w:r>
          </w:p>
        </w:tc>
      </w:tr>
      <w:tr w:rsidR="008D0CAD" w:rsidRPr="00E00C4B" w14:paraId="6C867135" w14:textId="77777777" w:rsidTr="00A33371">
        <w:trPr>
          <w:trHeight w:val="280"/>
        </w:trPr>
        <w:tc>
          <w:tcPr>
            <w:tcW w:w="2494" w:type="dxa"/>
            <w:noWrap/>
            <w:hideMark/>
          </w:tcPr>
          <w:p w14:paraId="572A4AE8"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Las Piñas City</w:t>
            </w:r>
          </w:p>
        </w:tc>
        <w:tc>
          <w:tcPr>
            <w:tcW w:w="1204" w:type="dxa"/>
            <w:noWrap/>
            <w:hideMark/>
          </w:tcPr>
          <w:p w14:paraId="0C887F26"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2</w:t>
            </w:r>
          </w:p>
        </w:tc>
        <w:tc>
          <w:tcPr>
            <w:tcW w:w="1201" w:type="dxa"/>
            <w:noWrap/>
            <w:hideMark/>
          </w:tcPr>
          <w:p w14:paraId="6B82989D"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1</w:t>
            </w:r>
          </w:p>
        </w:tc>
        <w:tc>
          <w:tcPr>
            <w:tcW w:w="1201" w:type="dxa"/>
            <w:noWrap/>
            <w:hideMark/>
          </w:tcPr>
          <w:p w14:paraId="0C25A7A3"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17</w:t>
            </w:r>
          </w:p>
        </w:tc>
        <w:tc>
          <w:tcPr>
            <w:tcW w:w="1201" w:type="dxa"/>
            <w:noWrap/>
            <w:hideMark/>
          </w:tcPr>
          <w:p w14:paraId="1B9CE192"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20</w:t>
            </w:r>
          </w:p>
        </w:tc>
      </w:tr>
      <w:tr w:rsidR="008D0CAD" w:rsidRPr="00E00C4B" w14:paraId="59F6E71E" w14:textId="77777777" w:rsidTr="00A33371">
        <w:trPr>
          <w:trHeight w:val="280"/>
        </w:trPr>
        <w:tc>
          <w:tcPr>
            <w:tcW w:w="2494" w:type="dxa"/>
            <w:noWrap/>
            <w:hideMark/>
          </w:tcPr>
          <w:p w14:paraId="7CB1EFEB"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Manila</w:t>
            </w:r>
          </w:p>
        </w:tc>
        <w:tc>
          <w:tcPr>
            <w:tcW w:w="1204" w:type="dxa"/>
            <w:noWrap/>
            <w:hideMark/>
          </w:tcPr>
          <w:p w14:paraId="514DF957"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14</w:t>
            </w:r>
          </w:p>
        </w:tc>
        <w:tc>
          <w:tcPr>
            <w:tcW w:w="1201" w:type="dxa"/>
            <w:noWrap/>
            <w:hideMark/>
          </w:tcPr>
          <w:p w14:paraId="376358E5"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3</w:t>
            </w:r>
          </w:p>
        </w:tc>
        <w:tc>
          <w:tcPr>
            <w:tcW w:w="1201" w:type="dxa"/>
            <w:noWrap/>
            <w:hideMark/>
          </w:tcPr>
          <w:p w14:paraId="79561E4F"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6</w:t>
            </w:r>
          </w:p>
        </w:tc>
        <w:tc>
          <w:tcPr>
            <w:tcW w:w="1201" w:type="dxa"/>
            <w:noWrap/>
            <w:hideMark/>
          </w:tcPr>
          <w:p w14:paraId="77D5A3B9"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23</w:t>
            </w:r>
          </w:p>
        </w:tc>
      </w:tr>
      <w:tr w:rsidR="008D0CAD" w:rsidRPr="00E00C4B" w14:paraId="5BCA6266" w14:textId="77777777" w:rsidTr="00A33371">
        <w:trPr>
          <w:trHeight w:val="280"/>
        </w:trPr>
        <w:tc>
          <w:tcPr>
            <w:tcW w:w="2494" w:type="dxa"/>
            <w:noWrap/>
            <w:hideMark/>
          </w:tcPr>
          <w:p w14:paraId="700D4DED"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Paranaque City</w:t>
            </w:r>
          </w:p>
        </w:tc>
        <w:tc>
          <w:tcPr>
            <w:tcW w:w="1204" w:type="dxa"/>
            <w:noWrap/>
            <w:hideMark/>
          </w:tcPr>
          <w:p w14:paraId="497369BE"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11</w:t>
            </w:r>
          </w:p>
        </w:tc>
        <w:tc>
          <w:tcPr>
            <w:tcW w:w="1201" w:type="dxa"/>
            <w:noWrap/>
            <w:hideMark/>
          </w:tcPr>
          <w:p w14:paraId="6BAC868C"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1</w:t>
            </w:r>
          </w:p>
        </w:tc>
        <w:tc>
          <w:tcPr>
            <w:tcW w:w="1201" w:type="dxa"/>
            <w:noWrap/>
            <w:hideMark/>
          </w:tcPr>
          <w:p w14:paraId="54B2919C"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10</w:t>
            </w:r>
          </w:p>
        </w:tc>
        <w:tc>
          <w:tcPr>
            <w:tcW w:w="1201" w:type="dxa"/>
            <w:noWrap/>
            <w:hideMark/>
          </w:tcPr>
          <w:p w14:paraId="6188E51D"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22</w:t>
            </w:r>
          </w:p>
        </w:tc>
      </w:tr>
      <w:tr w:rsidR="008D0CAD" w:rsidRPr="00E00C4B" w14:paraId="742CBA5A" w14:textId="77777777" w:rsidTr="00A33371">
        <w:trPr>
          <w:trHeight w:val="280"/>
        </w:trPr>
        <w:tc>
          <w:tcPr>
            <w:tcW w:w="2494" w:type="dxa"/>
            <w:noWrap/>
            <w:hideMark/>
          </w:tcPr>
          <w:p w14:paraId="7E2DCD39"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Quezon City</w:t>
            </w:r>
          </w:p>
        </w:tc>
        <w:tc>
          <w:tcPr>
            <w:tcW w:w="1204" w:type="dxa"/>
            <w:noWrap/>
            <w:hideMark/>
          </w:tcPr>
          <w:p w14:paraId="3E2712AC"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25</w:t>
            </w:r>
          </w:p>
        </w:tc>
        <w:tc>
          <w:tcPr>
            <w:tcW w:w="1201" w:type="dxa"/>
            <w:noWrap/>
            <w:hideMark/>
          </w:tcPr>
          <w:p w14:paraId="7C0419D6"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7</w:t>
            </w:r>
          </w:p>
        </w:tc>
        <w:tc>
          <w:tcPr>
            <w:tcW w:w="1201" w:type="dxa"/>
            <w:noWrap/>
            <w:hideMark/>
          </w:tcPr>
          <w:p w14:paraId="44602047"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36</w:t>
            </w:r>
          </w:p>
        </w:tc>
        <w:tc>
          <w:tcPr>
            <w:tcW w:w="1201" w:type="dxa"/>
            <w:noWrap/>
            <w:hideMark/>
          </w:tcPr>
          <w:p w14:paraId="36C30F3F"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68</w:t>
            </w:r>
          </w:p>
        </w:tc>
      </w:tr>
      <w:tr w:rsidR="008D0CAD" w:rsidRPr="00E00C4B" w14:paraId="0F421009" w14:textId="77777777" w:rsidTr="00A33371">
        <w:trPr>
          <w:trHeight w:val="280"/>
        </w:trPr>
        <w:tc>
          <w:tcPr>
            <w:tcW w:w="2494" w:type="dxa"/>
            <w:noWrap/>
            <w:hideMark/>
          </w:tcPr>
          <w:p w14:paraId="72F6000F"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 xml:space="preserve">Total </w:t>
            </w:r>
          </w:p>
        </w:tc>
        <w:tc>
          <w:tcPr>
            <w:tcW w:w="1204" w:type="dxa"/>
            <w:noWrap/>
            <w:hideMark/>
          </w:tcPr>
          <w:p w14:paraId="626D38E8"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213</w:t>
            </w:r>
          </w:p>
        </w:tc>
        <w:tc>
          <w:tcPr>
            <w:tcW w:w="1201" w:type="dxa"/>
            <w:noWrap/>
            <w:hideMark/>
          </w:tcPr>
          <w:p w14:paraId="132D070F"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61</w:t>
            </w:r>
          </w:p>
        </w:tc>
        <w:tc>
          <w:tcPr>
            <w:tcW w:w="1201" w:type="dxa"/>
            <w:noWrap/>
            <w:hideMark/>
          </w:tcPr>
          <w:p w14:paraId="417477B5"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130</w:t>
            </w:r>
          </w:p>
        </w:tc>
        <w:tc>
          <w:tcPr>
            <w:tcW w:w="1201" w:type="dxa"/>
            <w:noWrap/>
            <w:hideMark/>
          </w:tcPr>
          <w:p w14:paraId="2C212981"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sz w:val="20"/>
                <w:szCs w:val="20"/>
                <w:lang w:val="en-US"/>
              </w:rPr>
            </w:pPr>
            <w:r w:rsidRPr="00E00C4B">
              <w:rPr>
                <w:rFonts w:asciiTheme="majorHAnsi" w:hAnsiTheme="majorHAnsi" w:cstheme="majorHAnsi"/>
                <w:color w:val="000000"/>
                <w:sz w:val="20"/>
                <w:szCs w:val="20"/>
                <w:lang w:val="en-US"/>
              </w:rPr>
              <w:t>404</w:t>
            </w:r>
          </w:p>
        </w:tc>
      </w:tr>
    </w:tbl>
    <w:p w14:paraId="16EA9793" w14:textId="2F353956" w:rsidR="008D0CAD" w:rsidRPr="00796BFA" w:rsidRDefault="008D0CAD" w:rsidP="00796BFA">
      <w:pPr>
        <w:pStyle w:val="Heading4"/>
        <w:spacing w:before="100" w:beforeAutospacing="1" w:after="100" w:afterAutospacing="1" w:line="360" w:lineRule="auto"/>
        <w:rPr>
          <w:lang w:val="en-US"/>
        </w:rPr>
      </w:pPr>
      <w:bookmarkStart w:id="518" w:name="_Toc16524071"/>
      <w:r w:rsidRPr="00E00C4B">
        <w:rPr>
          <w:lang w:val="en-US"/>
        </w:rPr>
        <w:t>Basic Education Teachers</w:t>
      </w:r>
      <w:bookmarkEnd w:id="518"/>
      <w:r w:rsidRPr="00E00C4B">
        <w:rPr>
          <w:lang w:val="en-US"/>
        </w:rPr>
        <w:t xml:space="preserve"> </w:t>
      </w:r>
    </w:p>
    <w:p w14:paraId="40C5943B" w14:textId="18621B14" w:rsidR="008D0CAD" w:rsidRPr="00E00C4B" w:rsidRDefault="008D0CAD" w:rsidP="00796BFA">
      <w:pPr>
        <w:spacing w:before="100" w:beforeAutospacing="1" w:after="100" w:afterAutospacing="1" w:line="360" w:lineRule="auto"/>
        <w:rPr>
          <w:rFonts w:asciiTheme="majorHAnsi" w:hAnsiTheme="majorHAnsi" w:cstheme="majorHAnsi"/>
          <w:lang w:val="en-US"/>
        </w:rPr>
      </w:pPr>
      <w:r w:rsidRPr="00E00C4B">
        <w:rPr>
          <w:rFonts w:asciiTheme="majorHAnsi" w:hAnsiTheme="majorHAnsi" w:cstheme="majorHAnsi"/>
          <w:lang w:val="en-US"/>
        </w:rPr>
        <w:t>DepEd records revealed that a total of 753,424 public school teachers were serving the Department of Education in SY2017-2018 (Figure 6).</w:t>
      </w:r>
      <w:r w:rsidR="00D434EB">
        <w:rPr>
          <w:rFonts w:asciiTheme="majorHAnsi" w:hAnsiTheme="majorHAnsi" w:cstheme="majorHAnsi"/>
          <w:lang w:val="en-US"/>
        </w:rPr>
        <w:t xml:space="preserve"> </w:t>
      </w:r>
      <w:r w:rsidRPr="00E00C4B">
        <w:rPr>
          <w:rFonts w:asciiTheme="majorHAnsi" w:hAnsiTheme="majorHAnsi" w:cstheme="majorHAnsi"/>
          <w:lang w:val="en-US"/>
        </w:rPr>
        <w:t xml:space="preserve">Of these, majority or 454,759 (62%) were teaching at the elementary level while the rest were teaching in secondary </w:t>
      </w:r>
      <w:r w:rsidR="00121470">
        <w:rPr>
          <w:rFonts w:asciiTheme="majorHAnsi" w:hAnsiTheme="majorHAnsi" w:cstheme="majorHAnsi"/>
          <w:lang w:val="en-US"/>
        </w:rPr>
        <w:t>level</w:t>
      </w:r>
      <w:r w:rsidRPr="00E00C4B">
        <w:rPr>
          <w:rFonts w:asciiTheme="majorHAnsi" w:hAnsiTheme="majorHAnsi" w:cstheme="majorHAnsi"/>
          <w:lang w:val="en-US"/>
        </w:rPr>
        <w:t>s.</w:t>
      </w:r>
      <w:r w:rsidR="00D434EB">
        <w:rPr>
          <w:rFonts w:asciiTheme="majorHAnsi" w:hAnsiTheme="majorHAnsi" w:cstheme="majorHAnsi"/>
          <w:lang w:val="en-US"/>
        </w:rPr>
        <w:t xml:space="preserve"> </w:t>
      </w:r>
      <w:r w:rsidRPr="00E00C4B">
        <w:rPr>
          <w:rFonts w:asciiTheme="majorHAnsi" w:hAnsiTheme="majorHAnsi" w:cstheme="majorHAnsi"/>
          <w:lang w:val="en-US"/>
        </w:rPr>
        <w:t>Of this total number of teachers, less than one percent or 3,355 (0.46%) were Special Education (SPED) teachers distributed as follows: 3,011 (0.66%) teaching at the elementary levels while 344 (0.12%) were teaching at the secondary levels.</w:t>
      </w:r>
    </w:p>
    <w:p w14:paraId="76D46D41" w14:textId="64F311B9" w:rsidR="008D0CAD" w:rsidRPr="00E00C4B" w:rsidRDefault="008D0CAD" w:rsidP="00796BFA">
      <w:pPr>
        <w:spacing w:before="100" w:beforeAutospacing="1" w:after="100" w:afterAutospacing="1" w:line="360" w:lineRule="auto"/>
        <w:rPr>
          <w:rFonts w:asciiTheme="majorHAnsi" w:hAnsiTheme="majorHAnsi" w:cstheme="majorHAnsi"/>
          <w:lang w:val="en-US"/>
        </w:rPr>
      </w:pPr>
      <w:r w:rsidRPr="00E00C4B">
        <w:rPr>
          <w:rFonts w:asciiTheme="majorHAnsi" w:hAnsiTheme="majorHAnsi" w:cstheme="majorHAnsi"/>
          <w:lang w:val="en-US"/>
        </w:rPr>
        <w:t>The total number of teachers steadily increased over a five-year period from 547,254 in 2013 to a total of735,674 in 2017, increasing by an average of 37,384 annually (Figure 7).</w:t>
      </w:r>
      <w:r w:rsidR="00D434EB">
        <w:rPr>
          <w:rFonts w:asciiTheme="majorHAnsi" w:hAnsiTheme="majorHAnsi" w:cstheme="majorHAnsi"/>
          <w:lang w:val="en-US"/>
        </w:rPr>
        <w:t xml:space="preserve"> </w:t>
      </w:r>
      <w:r w:rsidRPr="00E00C4B">
        <w:rPr>
          <w:rFonts w:asciiTheme="majorHAnsi" w:hAnsiTheme="majorHAnsi" w:cstheme="majorHAnsi"/>
          <w:lang w:val="en-US"/>
        </w:rPr>
        <w:t>However, this masked leap in number of teachers from 2013 to 2014 when 90,304 were added into the ranks of public-school teachers.</w:t>
      </w:r>
      <w:r w:rsidR="00D434EB">
        <w:rPr>
          <w:rFonts w:asciiTheme="majorHAnsi" w:hAnsiTheme="majorHAnsi" w:cstheme="majorHAnsi"/>
          <w:lang w:val="en-US"/>
        </w:rPr>
        <w:t xml:space="preserve"> </w:t>
      </w:r>
      <w:r w:rsidRPr="00E00C4B">
        <w:rPr>
          <w:rFonts w:asciiTheme="majorHAnsi" w:hAnsiTheme="majorHAnsi" w:cstheme="majorHAnsi"/>
          <w:lang w:val="en-US"/>
        </w:rPr>
        <w:t>This was followed in by an additional jump of 61,798 teachers from 2016 to 2017.</w:t>
      </w:r>
      <w:r w:rsidR="00D434EB">
        <w:rPr>
          <w:rFonts w:asciiTheme="majorHAnsi" w:hAnsiTheme="majorHAnsi" w:cstheme="majorHAnsi"/>
          <w:lang w:val="en-US"/>
        </w:rPr>
        <w:t xml:space="preserve"> </w:t>
      </w:r>
      <w:r w:rsidRPr="00E00C4B">
        <w:rPr>
          <w:rFonts w:asciiTheme="majorHAnsi" w:hAnsiTheme="majorHAnsi" w:cstheme="majorHAnsi"/>
          <w:lang w:val="en-US"/>
        </w:rPr>
        <w:t>Overall, there were a total of 188,420 teachers added from 2013 to 2017 and 65 percent of these (111,174) were secondary teachers.</w:t>
      </w:r>
    </w:p>
    <w:p w14:paraId="33C19025" w14:textId="69198372" w:rsidR="008D0CAD" w:rsidRPr="00E00C4B" w:rsidRDefault="008D0CAD" w:rsidP="00796BFA">
      <w:pPr>
        <w:spacing w:before="100" w:beforeAutospacing="1" w:after="100" w:afterAutospacing="1" w:line="360" w:lineRule="auto"/>
        <w:rPr>
          <w:rFonts w:asciiTheme="majorHAnsi" w:hAnsiTheme="majorHAnsi" w:cstheme="majorHAnsi"/>
          <w:color w:val="000000"/>
          <w:lang w:val="en-US"/>
        </w:rPr>
      </w:pPr>
      <w:r w:rsidRPr="00E00C4B">
        <w:rPr>
          <w:rFonts w:asciiTheme="majorHAnsi" w:hAnsiTheme="majorHAnsi" w:cstheme="majorHAnsi"/>
          <w:color w:val="000000"/>
          <w:lang w:val="en-US"/>
        </w:rPr>
        <w:t>Furthermore, in SY2017-2018, data showed that the top three Regions with the highest number of teachers in elementary were Regions IV-A (14%), III (12%) and VI (11%).</w:t>
      </w:r>
      <w:r w:rsidR="00D434EB">
        <w:rPr>
          <w:rFonts w:asciiTheme="majorHAnsi" w:hAnsiTheme="majorHAnsi" w:cstheme="majorHAnsi"/>
          <w:color w:val="000000"/>
          <w:lang w:val="en-US"/>
        </w:rPr>
        <w:t xml:space="preserve"> </w:t>
      </w:r>
      <w:r w:rsidRPr="00E00C4B">
        <w:rPr>
          <w:rFonts w:asciiTheme="majorHAnsi" w:hAnsiTheme="majorHAnsi" w:cstheme="majorHAnsi"/>
          <w:color w:val="000000"/>
          <w:lang w:val="en-US"/>
        </w:rPr>
        <w:t>On the other hand, the top Regions with the highest number of teachers in secondary education were Regions IV-A (12%), III (11%) and NCR (11%).</w:t>
      </w:r>
      <w:r w:rsidR="00D434EB">
        <w:rPr>
          <w:rFonts w:asciiTheme="majorHAnsi" w:hAnsiTheme="majorHAnsi" w:cstheme="majorHAnsi"/>
          <w:color w:val="000000"/>
          <w:lang w:val="en-US"/>
        </w:rPr>
        <w:t xml:space="preserve"> </w:t>
      </w:r>
      <w:r w:rsidRPr="00E00C4B">
        <w:rPr>
          <w:rFonts w:asciiTheme="majorHAnsi" w:hAnsiTheme="majorHAnsi" w:cstheme="majorHAnsi"/>
          <w:color w:val="000000"/>
          <w:lang w:val="en-US"/>
        </w:rPr>
        <w:t xml:space="preserve"> </w:t>
      </w:r>
    </w:p>
    <w:p w14:paraId="23C39C42" w14:textId="2E416BEF" w:rsidR="008D0CAD" w:rsidRPr="001E2886" w:rsidRDefault="008D0CAD" w:rsidP="00796BFA">
      <w:pPr>
        <w:pageBreakBefore/>
        <w:spacing w:before="100" w:beforeAutospacing="1" w:after="100" w:afterAutospacing="1" w:line="360" w:lineRule="auto"/>
        <w:ind w:hanging="34"/>
        <w:rPr>
          <w:rFonts w:asciiTheme="majorHAnsi" w:eastAsiaTheme="minorHAnsi" w:hAnsiTheme="majorHAnsi" w:cstheme="majorHAnsi"/>
          <w:i/>
          <w:iCs/>
          <w:color w:val="44546A" w:themeColor="text2"/>
          <w:sz w:val="22"/>
          <w:szCs w:val="22"/>
          <w:lang w:val="en-US"/>
        </w:rPr>
      </w:pPr>
      <w:bookmarkStart w:id="519" w:name="_Toc16524118"/>
      <w:bookmarkStart w:id="520" w:name="_Toc71616565"/>
      <w:r w:rsidRPr="001E2886">
        <w:rPr>
          <w:rFonts w:asciiTheme="majorHAnsi" w:eastAsiaTheme="minorHAnsi" w:hAnsiTheme="majorHAnsi" w:cstheme="majorHAnsi"/>
          <w:i/>
          <w:iCs/>
          <w:color w:val="44546A" w:themeColor="text2"/>
          <w:sz w:val="22"/>
          <w:szCs w:val="22"/>
          <w:lang w:val="en-US"/>
        </w:rPr>
        <w:t xml:space="preserve">Figure </w:t>
      </w:r>
      <w:r w:rsidRPr="001E2886">
        <w:rPr>
          <w:rFonts w:asciiTheme="majorHAnsi" w:eastAsiaTheme="minorHAnsi" w:hAnsiTheme="majorHAnsi" w:cstheme="majorHAnsi"/>
          <w:i/>
          <w:iCs/>
          <w:color w:val="44546A" w:themeColor="text2"/>
          <w:sz w:val="22"/>
          <w:szCs w:val="22"/>
          <w:lang w:val="en-US"/>
        </w:rPr>
        <w:fldChar w:fldCharType="begin"/>
      </w:r>
      <w:r w:rsidRPr="001E2886">
        <w:rPr>
          <w:rFonts w:asciiTheme="majorHAnsi" w:eastAsiaTheme="minorHAnsi" w:hAnsiTheme="majorHAnsi" w:cstheme="majorHAnsi"/>
          <w:i/>
          <w:iCs/>
          <w:color w:val="44546A" w:themeColor="text2"/>
          <w:sz w:val="22"/>
          <w:szCs w:val="22"/>
          <w:lang w:val="en-US"/>
        </w:rPr>
        <w:instrText xml:space="preserve"> SEQ Figure \* ARABIC </w:instrText>
      </w:r>
      <w:r w:rsidRPr="001E2886">
        <w:rPr>
          <w:rFonts w:asciiTheme="majorHAnsi" w:eastAsiaTheme="minorHAnsi" w:hAnsiTheme="majorHAnsi" w:cstheme="majorHAnsi"/>
          <w:i/>
          <w:iCs/>
          <w:color w:val="44546A" w:themeColor="text2"/>
          <w:sz w:val="22"/>
          <w:szCs w:val="22"/>
          <w:lang w:val="en-US"/>
        </w:rPr>
        <w:fldChar w:fldCharType="separate"/>
      </w:r>
      <w:r w:rsidR="00D6133D">
        <w:rPr>
          <w:rFonts w:asciiTheme="majorHAnsi" w:eastAsiaTheme="minorHAnsi" w:hAnsiTheme="majorHAnsi" w:cstheme="majorHAnsi"/>
          <w:i/>
          <w:iCs/>
          <w:noProof/>
          <w:color w:val="44546A" w:themeColor="text2"/>
          <w:sz w:val="22"/>
          <w:szCs w:val="22"/>
          <w:lang w:val="en-US"/>
        </w:rPr>
        <w:t>38</w:t>
      </w:r>
      <w:r w:rsidRPr="001E2886">
        <w:rPr>
          <w:rFonts w:asciiTheme="majorHAnsi" w:eastAsiaTheme="minorHAnsi" w:hAnsiTheme="majorHAnsi" w:cstheme="majorHAnsi"/>
          <w:i/>
          <w:iCs/>
          <w:color w:val="44546A" w:themeColor="text2"/>
          <w:sz w:val="22"/>
          <w:szCs w:val="22"/>
          <w:lang w:val="en-US"/>
        </w:rPr>
        <w:fldChar w:fldCharType="end"/>
      </w:r>
      <w:r w:rsidRPr="001E2886">
        <w:rPr>
          <w:rFonts w:asciiTheme="majorHAnsi" w:eastAsiaTheme="minorHAnsi" w:hAnsiTheme="majorHAnsi" w:cstheme="majorHAnsi"/>
          <w:i/>
          <w:iCs/>
          <w:color w:val="44546A" w:themeColor="text2"/>
          <w:sz w:val="22"/>
          <w:szCs w:val="22"/>
          <w:lang w:val="en-US"/>
        </w:rPr>
        <w:t>.</w:t>
      </w:r>
      <w:r w:rsidRPr="001E2886">
        <w:rPr>
          <w:rFonts w:asciiTheme="majorHAnsi" w:eastAsiaTheme="minorEastAsia" w:hAnsiTheme="majorHAnsi" w:cstheme="majorHAnsi"/>
          <w:i/>
          <w:iCs/>
          <w:color w:val="44546A" w:themeColor="text2"/>
          <w:kern w:val="24"/>
          <w:sz w:val="19"/>
          <w:szCs w:val="19"/>
          <w:lang w:val="en-US"/>
        </w:rPr>
        <w:t xml:space="preserve"> </w:t>
      </w:r>
      <w:r w:rsidRPr="001E2886">
        <w:rPr>
          <w:rFonts w:asciiTheme="majorHAnsi" w:eastAsiaTheme="minorHAnsi" w:hAnsiTheme="majorHAnsi" w:cstheme="majorHAnsi"/>
          <w:i/>
          <w:iCs/>
          <w:color w:val="44546A" w:themeColor="text2"/>
          <w:sz w:val="22"/>
          <w:szCs w:val="22"/>
          <w:lang w:val="en-US"/>
        </w:rPr>
        <w:t>Distribution of teachers by level and by type, SY2017-18</w:t>
      </w:r>
      <w:bookmarkEnd w:id="519"/>
      <w:bookmarkEnd w:id="520"/>
      <w:r w:rsidRPr="001E2886">
        <w:rPr>
          <w:rFonts w:asciiTheme="majorHAnsi" w:eastAsiaTheme="minorHAnsi" w:hAnsiTheme="majorHAnsi" w:cstheme="majorHAnsi"/>
          <w:i/>
          <w:iCs/>
          <w:color w:val="44546A" w:themeColor="text2"/>
          <w:sz w:val="22"/>
          <w:szCs w:val="22"/>
          <w:lang w:val="en-US"/>
        </w:rPr>
        <w:t xml:space="preserve"> </w:t>
      </w:r>
    </w:p>
    <w:p w14:paraId="224E4806" w14:textId="77777777" w:rsidR="008D0CAD" w:rsidRPr="00E00C4B" w:rsidRDefault="008D0CAD" w:rsidP="00796BFA">
      <w:pPr>
        <w:spacing w:before="100" w:beforeAutospacing="1" w:after="100" w:afterAutospacing="1" w:line="360" w:lineRule="auto"/>
        <w:rPr>
          <w:lang w:val="en-US"/>
        </w:rPr>
      </w:pPr>
      <w:r w:rsidRPr="00E00C4B">
        <w:rPr>
          <w:noProof/>
          <w:lang w:val="en-AU" w:eastAsia="en-AU"/>
        </w:rPr>
        <w:drawing>
          <wp:inline distT="0" distB="0" distL="0" distR="0" wp14:anchorId="3F3BE546" wp14:editId="4C4FB1D8">
            <wp:extent cx="4391660" cy="2414337"/>
            <wp:effectExtent l="0" t="0" r="15240" b="11430"/>
            <wp:docPr id="76" name="Chart 76" descr="Bar chart on distribution of teachers by level and by type, for school year 2017-2018.  Highest, elementary teachers; same trend for both regular and SPED teachers.">
              <a:extLst xmlns:a="http://schemas.openxmlformats.org/drawingml/2006/main">
                <a:ext uri="{FF2B5EF4-FFF2-40B4-BE49-F238E27FC236}">
                  <a16:creationId xmlns:a16="http://schemas.microsoft.com/office/drawing/2014/main" id="{696C5C35-E969-1540-BF69-847EEA50D5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6B676248" w14:textId="79296056" w:rsidR="008D0CAD" w:rsidRPr="00796BFA" w:rsidRDefault="008D0CAD" w:rsidP="00796BFA">
      <w:pPr>
        <w:spacing w:before="100" w:beforeAutospacing="1" w:after="100" w:afterAutospacing="1" w:line="360" w:lineRule="auto"/>
        <w:rPr>
          <w:rFonts w:asciiTheme="majorHAnsi" w:hAnsiTheme="majorHAnsi" w:cstheme="majorHAnsi"/>
          <w:bCs/>
          <w:i/>
          <w:iCs/>
          <w:sz w:val="20"/>
          <w:szCs w:val="20"/>
          <w:lang w:val="en-US"/>
        </w:rPr>
      </w:pPr>
      <w:r w:rsidRPr="00E00C4B">
        <w:rPr>
          <w:rFonts w:asciiTheme="majorHAnsi" w:hAnsiTheme="majorHAnsi" w:cstheme="majorHAnsi"/>
          <w:bCs/>
          <w:i/>
          <w:iCs/>
          <w:sz w:val="20"/>
          <w:szCs w:val="20"/>
          <w:lang w:val="en-US"/>
        </w:rPr>
        <w:t>Source of basic data: EBEIS (Retrieved April 2019)</w:t>
      </w:r>
    </w:p>
    <w:p w14:paraId="7832493B" w14:textId="000F47B1" w:rsidR="008D0CAD" w:rsidRPr="001E2886" w:rsidRDefault="00D434EB" w:rsidP="00796BFA">
      <w:pPr>
        <w:spacing w:before="100" w:beforeAutospacing="1" w:after="100" w:afterAutospacing="1" w:line="360" w:lineRule="auto"/>
        <w:ind w:hanging="33"/>
        <w:rPr>
          <w:rFonts w:asciiTheme="majorHAnsi" w:eastAsiaTheme="minorHAnsi" w:hAnsiTheme="majorHAnsi" w:cstheme="majorHAnsi"/>
          <w:i/>
          <w:iCs/>
          <w:color w:val="44546A" w:themeColor="text2"/>
          <w:sz w:val="22"/>
          <w:szCs w:val="22"/>
          <w:lang w:val="en-US"/>
        </w:rPr>
      </w:pPr>
      <w:r>
        <w:rPr>
          <w:rFonts w:asciiTheme="majorHAnsi" w:eastAsiaTheme="minorHAnsi" w:hAnsiTheme="majorHAnsi" w:cstheme="majorHAnsi"/>
          <w:i/>
          <w:iCs/>
          <w:color w:val="44546A" w:themeColor="text2"/>
          <w:sz w:val="22"/>
          <w:szCs w:val="22"/>
          <w:lang w:val="en-US"/>
        </w:rPr>
        <w:t xml:space="preserve"> </w:t>
      </w:r>
      <w:bookmarkStart w:id="521" w:name="_Toc16524119"/>
      <w:bookmarkStart w:id="522" w:name="_Toc71616566"/>
      <w:r>
        <w:rPr>
          <w:rFonts w:asciiTheme="majorHAnsi" w:eastAsiaTheme="minorHAnsi" w:hAnsiTheme="majorHAnsi" w:cstheme="majorHAnsi"/>
          <w:i/>
          <w:iCs/>
          <w:color w:val="44546A" w:themeColor="text2"/>
          <w:sz w:val="22"/>
          <w:szCs w:val="22"/>
          <w:lang w:val="en-US"/>
        </w:rPr>
        <w:t xml:space="preserve"> </w:t>
      </w:r>
      <w:r w:rsidR="008D0CAD" w:rsidRPr="001E2886">
        <w:rPr>
          <w:rFonts w:asciiTheme="majorHAnsi" w:eastAsiaTheme="minorHAnsi" w:hAnsiTheme="majorHAnsi" w:cstheme="majorHAnsi"/>
          <w:i/>
          <w:iCs/>
          <w:color w:val="44546A" w:themeColor="text2"/>
          <w:sz w:val="22"/>
          <w:szCs w:val="22"/>
          <w:lang w:val="en-US"/>
        </w:rPr>
        <w:t xml:space="preserve">Figure </w:t>
      </w:r>
      <w:r w:rsidR="008D0CAD" w:rsidRPr="001E2886">
        <w:rPr>
          <w:rFonts w:asciiTheme="majorHAnsi" w:eastAsiaTheme="minorHAnsi" w:hAnsiTheme="majorHAnsi" w:cstheme="majorHAnsi"/>
          <w:i/>
          <w:iCs/>
          <w:color w:val="44546A" w:themeColor="text2"/>
          <w:sz w:val="22"/>
          <w:szCs w:val="22"/>
          <w:lang w:val="en-US"/>
        </w:rPr>
        <w:fldChar w:fldCharType="begin"/>
      </w:r>
      <w:r w:rsidR="008D0CAD" w:rsidRPr="001E2886">
        <w:rPr>
          <w:rFonts w:asciiTheme="majorHAnsi" w:eastAsiaTheme="minorHAnsi" w:hAnsiTheme="majorHAnsi" w:cstheme="majorHAnsi"/>
          <w:i/>
          <w:iCs/>
          <w:color w:val="44546A" w:themeColor="text2"/>
          <w:sz w:val="22"/>
          <w:szCs w:val="22"/>
          <w:lang w:val="en-US"/>
        </w:rPr>
        <w:instrText xml:space="preserve"> SEQ Figure \* ARABIC </w:instrText>
      </w:r>
      <w:r w:rsidR="008D0CAD" w:rsidRPr="001E2886">
        <w:rPr>
          <w:rFonts w:asciiTheme="majorHAnsi" w:eastAsiaTheme="minorHAnsi" w:hAnsiTheme="majorHAnsi" w:cstheme="majorHAnsi"/>
          <w:i/>
          <w:iCs/>
          <w:color w:val="44546A" w:themeColor="text2"/>
          <w:sz w:val="22"/>
          <w:szCs w:val="22"/>
          <w:lang w:val="en-US"/>
        </w:rPr>
        <w:fldChar w:fldCharType="separate"/>
      </w:r>
      <w:r w:rsidR="00D6133D">
        <w:rPr>
          <w:rFonts w:asciiTheme="majorHAnsi" w:eastAsiaTheme="minorHAnsi" w:hAnsiTheme="majorHAnsi" w:cstheme="majorHAnsi"/>
          <w:i/>
          <w:iCs/>
          <w:noProof/>
          <w:color w:val="44546A" w:themeColor="text2"/>
          <w:sz w:val="22"/>
          <w:szCs w:val="22"/>
          <w:lang w:val="en-US"/>
        </w:rPr>
        <w:t>39</w:t>
      </w:r>
      <w:r w:rsidR="008D0CAD" w:rsidRPr="001E2886">
        <w:rPr>
          <w:rFonts w:asciiTheme="majorHAnsi" w:eastAsiaTheme="minorHAnsi" w:hAnsiTheme="majorHAnsi" w:cstheme="majorHAnsi"/>
          <w:i/>
          <w:iCs/>
          <w:color w:val="44546A" w:themeColor="text2"/>
          <w:sz w:val="22"/>
          <w:szCs w:val="22"/>
          <w:lang w:val="en-US"/>
        </w:rPr>
        <w:fldChar w:fldCharType="end"/>
      </w:r>
      <w:r w:rsidR="008D0CAD" w:rsidRPr="001E2886">
        <w:rPr>
          <w:rFonts w:asciiTheme="majorHAnsi" w:eastAsiaTheme="minorHAnsi" w:hAnsiTheme="majorHAnsi" w:cstheme="majorHAnsi"/>
          <w:i/>
          <w:iCs/>
          <w:color w:val="44546A" w:themeColor="text2"/>
          <w:sz w:val="22"/>
          <w:szCs w:val="22"/>
          <w:lang w:val="en-US"/>
        </w:rPr>
        <w:t>.</w:t>
      </w:r>
      <w:r w:rsidR="008D0CAD" w:rsidRPr="001E2886">
        <w:rPr>
          <w:rFonts w:asciiTheme="majorHAnsi" w:eastAsiaTheme="minorEastAsia" w:hAnsiTheme="majorHAnsi" w:cstheme="majorHAnsi"/>
          <w:i/>
          <w:iCs/>
          <w:color w:val="44546A" w:themeColor="text2"/>
          <w:kern w:val="24"/>
          <w:sz w:val="19"/>
          <w:szCs w:val="19"/>
          <w:lang w:val="en-US"/>
        </w:rPr>
        <w:t xml:space="preserve"> </w:t>
      </w:r>
      <w:r w:rsidR="008D0CAD" w:rsidRPr="001E2886">
        <w:rPr>
          <w:rFonts w:asciiTheme="majorHAnsi" w:eastAsiaTheme="minorHAnsi" w:hAnsiTheme="majorHAnsi" w:cstheme="majorHAnsi"/>
          <w:i/>
          <w:iCs/>
          <w:color w:val="44546A" w:themeColor="text2"/>
          <w:sz w:val="22"/>
          <w:szCs w:val="22"/>
          <w:lang w:val="en-US"/>
        </w:rPr>
        <w:t>Trend in number of teachers, 2013 - 2017</w:t>
      </w:r>
      <w:bookmarkEnd w:id="521"/>
      <w:bookmarkEnd w:id="522"/>
      <w:r w:rsidR="008D0CAD" w:rsidRPr="001E2886">
        <w:rPr>
          <w:rFonts w:asciiTheme="majorHAnsi" w:eastAsiaTheme="minorHAnsi" w:hAnsiTheme="majorHAnsi" w:cstheme="majorHAnsi"/>
          <w:i/>
          <w:iCs/>
          <w:color w:val="44546A" w:themeColor="text2"/>
          <w:sz w:val="22"/>
          <w:szCs w:val="22"/>
          <w:lang w:val="en-US"/>
        </w:rPr>
        <w:t xml:space="preserve"> </w:t>
      </w:r>
    </w:p>
    <w:p w14:paraId="3C305DFC" w14:textId="77777777" w:rsidR="00A33371" w:rsidRDefault="008D0CAD" w:rsidP="00796BFA">
      <w:pPr>
        <w:spacing w:before="100" w:beforeAutospacing="1" w:after="100" w:afterAutospacing="1" w:line="360" w:lineRule="auto"/>
        <w:rPr>
          <w:lang w:val="en-US"/>
        </w:rPr>
      </w:pPr>
      <w:r w:rsidRPr="00E00C4B">
        <w:rPr>
          <w:noProof/>
          <w:lang w:val="en-AU" w:eastAsia="en-AU"/>
        </w:rPr>
        <w:drawing>
          <wp:inline distT="0" distB="0" distL="0" distR="0" wp14:anchorId="24AA38B0" wp14:editId="0F0357C9">
            <wp:extent cx="4395604" cy="2646947"/>
            <wp:effectExtent l="0" t="0" r="11430" b="7620"/>
            <wp:docPr id="90" name="Chart 90" descr="Line graph on the trend in number of teachers, from 2013 to 2017. Almost same number (400,000) for elementary school teachers from 2013-2017; about 200,000 for secondary school teachers, but increasing trend.">
              <a:extLst xmlns:a="http://schemas.openxmlformats.org/drawingml/2006/main">
                <a:ext uri="{FF2B5EF4-FFF2-40B4-BE49-F238E27FC236}">
                  <a16:creationId xmlns:a16="http://schemas.microsoft.com/office/drawing/2014/main" id="{A2C15E6F-D2FA-D749-A902-57098AF2E1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59C4F1C1" w14:textId="4361C10C" w:rsidR="008D0CAD" w:rsidRPr="00E00C4B" w:rsidRDefault="008D0CAD" w:rsidP="00796BFA">
      <w:pPr>
        <w:spacing w:before="100" w:beforeAutospacing="1" w:after="100" w:afterAutospacing="1" w:line="360" w:lineRule="auto"/>
        <w:rPr>
          <w:lang w:val="en-US"/>
        </w:rPr>
      </w:pPr>
      <w:r w:rsidRPr="00E00C4B">
        <w:rPr>
          <w:rFonts w:asciiTheme="majorHAnsi" w:hAnsiTheme="majorHAnsi" w:cstheme="majorHAnsi"/>
          <w:bCs/>
          <w:i/>
          <w:iCs/>
          <w:sz w:val="20"/>
          <w:szCs w:val="20"/>
          <w:lang w:val="en-US"/>
        </w:rPr>
        <w:t>Source of basic data: EBEIS (Retrieved April 2019)</w:t>
      </w:r>
    </w:p>
    <w:p w14:paraId="737B7052" w14:textId="06B582DE" w:rsidR="008D0CAD" w:rsidRDefault="008D0CAD" w:rsidP="00796BFA">
      <w:pPr>
        <w:spacing w:before="100" w:beforeAutospacing="1" w:after="100" w:afterAutospacing="1" w:line="360" w:lineRule="auto"/>
        <w:rPr>
          <w:rFonts w:asciiTheme="majorHAnsi" w:hAnsiTheme="majorHAnsi" w:cstheme="majorHAnsi"/>
          <w:color w:val="000000"/>
          <w:lang w:val="en-US"/>
        </w:rPr>
      </w:pPr>
      <w:r w:rsidRPr="00E00C4B">
        <w:rPr>
          <w:rFonts w:asciiTheme="majorHAnsi" w:hAnsiTheme="majorHAnsi" w:cstheme="majorHAnsi"/>
          <w:color w:val="000000"/>
          <w:lang w:val="en-US"/>
        </w:rPr>
        <w:t>Within the period SY2013-2017, the overall number of teachers in elementary schools increased from</w:t>
      </w:r>
      <w:r w:rsidR="001949D1">
        <w:rPr>
          <w:rFonts w:asciiTheme="majorHAnsi" w:hAnsiTheme="majorHAnsi" w:cstheme="majorHAnsi"/>
          <w:color w:val="000000"/>
          <w:lang w:val="en-US"/>
        </w:rPr>
        <w:t xml:space="preserve"> </w:t>
      </w:r>
      <w:r w:rsidR="001949D1" w:rsidRPr="00E00C4B">
        <w:rPr>
          <w:rFonts w:asciiTheme="majorHAnsi" w:hAnsiTheme="majorHAnsi" w:cstheme="majorHAnsi"/>
          <w:color w:val="000000"/>
          <w:lang w:val="en-US"/>
        </w:rPr>
        <w:t xml:space="preserve">375,716 </w:t>
      </w:r>
      <w:r w:rsidR="001949D1">
        <w:rPr>
          <w:rFonts w:asciiTheme="majorHAnsi" w:hAnsiTheme="majorHAnsi" w:cstheme="majorHAnsi"/>
          <w:color w:val="000000"/>
          <w:lang w:val="en-US"/>
        </w:rPr>
        <w:t>to</w:t>
      </w:r>
      <w:r w:rsidRPr="00E00C4B">
        <w:rPr>
          <w:rFonts w:asciiTheme="majorHAnsi" w:hAnsiTheme="majorHAnsi" w:cstheme="majorHAnsi"/>
          <w:color w:val="000000"/>
          <w:lang w:val="en-US"/>
        </w:rPr>
        <w:t xml:space="preserve"> 451,748 or an increase of 76,032.</w:t>
      </w:r>
      <w:r w:rsidR="00D434EB">
        <w:rPr>
          <w:rFonts w:asciiTheme="majorHAnsi" w:hAnsiTheme="majorHAnsi" w:cstheme="majorHAnsi"/>
          <w:color w:val="000000"/>
          <w:lang w:val="en-US"/>
        </w:rPr>
        <w:t xml:space="preserve"> </w:t>
      </w:r>
      <w:r w:rsidRPr="00E00C4B">
        <w:rPr>
          <w:rFonts w:asciiTheme="majorHAnsi" w:hAnsiTheme="majorHAnsi" w:cstheme="majorHAnsi"/>
          <w:color w:val="000000"/>
          <w:lang w:val="en-US"/>
        </w:rPr>
        <w:t>The highest increase was recorded in Region IV-A, which showed a 14 percent increase (10,379) (Figure 8). It was followed by Region VII and Region III, which increased by 7,500 and 7,293 elementary teachers during the same period under review.</w:t>
      </w:r>
      <w:r w:rsidR="00D434EB">
        <w:rPr>
          <w:rFonts w:asciiTheme="majorHAnsi" w:hAnsiTheme="majorHAnsi" w:cstheme="majorHAnsi"/>
          <w:color w:val="000000"/>
          <w:lang w:val="en-US"/>
        </w:rPr>
        <w:t xml:space="preserve"> </w:t>
      </w:r>
      <w:r w:rsidRPr="00E00C4B">
        <w:rPr>
          <w:rFonts w:asciiTheme="majorHAnsi" w:hAnsiTheme="majorHAnsi" w:cstheme="majorHAnsi"/>
          <w:color w:val="000000"/>
          <w:lang w:val="en-US"/>
        </w:rPr>
        <w:t>The least number of increases was in ARMM, which only added 38 elementary teachers from 2013 to 2017.</w:t>
      </w:r>
      <w:r w:rsidR="00D434EB">
        <w:rPr>
          <w:rFonts w:asciiTheme="majorHAnsi" w:hAnsiTheme="majorHAnsi" w:cstheme="majorHAnsi"/>
          <w:color w:val="000000"/>
          <w:lang w:val="en-US"/>
        </w:rPr>
        <w:t xml:space="preserve"> </w:t>
      </w:r>
      <w:r w:rsidRPr="00E00C4B">
        <w:rPr>
          <w:rFonts w:asciiTheme="majorHAnsi" w:hAnsiTheme="majorHAnsi" w:cstheme="majorHAnsi"/>
          <w:color w:val="000000"/>
          <w:lang w:val="en-US"/>
        </w:rPr>
        <w:t>The second lowest increase was in CAR which added 1,574 elementary teachers from 2013 to 2017 during the same period.</w:t>
      </w:r>
    </w:p>
    <w:p w14:paraId="107A04A1" w14:textId="5C0913AD" w:rsidR="008D0CAD" w:rsidRPr="001E2886" w:rsidRDefault="008D0CAD" w:rsidP="00796BFA">
      <w:pPr>
        <w:spacing w:before="100" w:beforeAutospacing="1" w:after="100" w:afterAutospacing="1" w:line="360" w:lineRule="auto"/>
        <w:rPr>
          <w:rFonts w:asciiTheme="majorHAnsi" w:eastAsiaTheme="minorHAnsi" w:hAnsiTheme="majorHAnsi" w:cstheme="majorHAnsi"/>
          <w:i/>
          <w:iCs/>
          <w:color w:val="44546A" w:themeColor="text2"/>
          <w:sz w:val="22"/>
          <w:szCs w:val="22"/>
          <w:lang w:val="en-US"/>
        </w:rPr>
      </w:pPr>
      <w:bookmarkStart w:id="523" w:name="_Toc16524120"/>
      <w:bookmarkStart w:id="524" w:name="_Toc71616567"/>
      <w:r w:rsidRPr="001E2886">
        <w:rPr>
          <w:rFonts w:asciiTheme="majorHAnsi" w:eastAsiaTheme="minorHAnsi" w:hAnsiTheme="majorHAnsi" w:cstheme="majorHAnsi"/>
          <w:i/>
          <w:iCs/>
          <w:color w:val="44546A" w:themeColor="text2"/>
          <w:sz w:val="22"/>
          <w:szCs w:val="22"/>
          <w:lang w:val="en-US"/>
        </w:rPr>
        <w:t xml:space="preserve">Figure </w:t>
      </w:r>
      <w:r w:rsidRPr="001E2886">
        <w:rPr>
          <w:rFonts w:asciiTheme="majorHAnsi" w:eastAsiaTheme="minorHAnsi" w:hAnsiTheme="majorHAnsi" w:cstheme="majorHAnsi"/>
          <w:i/>
          <w:iCs/>
          <w:color w:val="44546A" w:themeColor="text2"/>
          <w:sz w:val="22"/>
          <w:szCs w:val="22"/>
          <w:lang w:val="en-US"/>
        </w:rPr>
        <w:fldChar w:fldCharType="begin"/>
      </w:r>
      <w:r w:rsidRPr="001E2886">
        <w:rPr>
          <w:rFonts w:asciiTheme="majorHAnsi" w:eastAsiaTheme="minorHAnsi" w:hAnsiTheme="majorHAnsi" w:cstheme="majorHAnsi"/>
          <w:i/>
          <w:iCs/>
          <w:color w:val="44546A" w:themeColor="text2"/>
          <w:sz w:val="22"/>
          <w:szCs w:val="22"/>
          <w:lang w:val="en-US"/>
        </w:rPr>
        <w:instrText xml:space="preserve"> SEQ Figure \* ARABIC </w:instrText>
      </w:r>
      <w:r w:rsidRPr="001E2886">
        <w:rPr>
          <w:rFonts w:asciiTheme="majorHAnsi" w:eastAsiaTheme="minorHAnsi" w:hAnsiTheme="majorHAnsi" w:cstheme="majorHAnsi"/>
          <w:i/>
          <w:iCs/>
          <w:color w:val="44546A" w:themeColor="text2"/>
          <w:sz w:val="22"/>
          <w:szCs w:val="22"/>
          <w:lang w:val="en-US"/>
        </w:rPr>
        <w:fldChar w:fldCharType="separate"/>
      </w:r>
      <w:r w:rsidR="00D6133D">
        <w:rPr>
          <w:rFonts w:asciiTheme="majorHAnsi" w:eastAsiaTheme="minorHAnsi" w:hAnsiTheme="majorHAnsi" w:cstheme="majorHAnsi"/>
          <w:i/>
          <w:iCs/>
          <w:noProof/>
          <w:color w:val="44546A" w:themeColor="text2"/>
          <w:sz w:val="22"/>
          <w:szCs w:val="22"/>
          <w:lang w:val="en-US"/>
        </w:rPr>
        <w:t>40</w:t>
      </w:r>
      <w:r w:rsidRPr="001E2886">
        <w:rPr>
          <w:rFonts w:asciiTheme="majorHAnsi" w:eastAsiaTheme="minorHAnsi" w:hAnsiTheme="majorHAnsi" w:cstheme="majorHAnsi"/>
          <w:i/>
          <w:iCs/>
          <w:color w:val="44546A" w:themeColor="text2"/>
          <w:sz w:val="22"/>
          <w:szCs w:val="22"/>
          <w:lang w:val="en-US"/>
        </w:rPr>
        <w:fldChar w:fldCharType="end"/>
      </w:r>
      <w:r w:rsidRPr="001E2886">
        <w:rPr>
          <w:rFonts w:asciiTheme="majorHAnsi" w:eastAsiaTheme="minorHAnsi" w:hAnsiTheme="majorHAnsi" w:cstheme="majorHAnsi"/>
          <w:i/>
          <w:iCs/>
          <w:color w:val="44546A" w:themeColor="text2"/>
          <w:sz w:val="22"/>
          <w:szCs w:val="22"/>
          <w:lang w:val="en-US"/>
        </w:rPr>
        <w:t>.</w:t>
      </w:r>
      <w:r w:rsidRPr="001E2886">
        <w:rPr>
          <w:rFonts w:asciiTheme="majorHAnsi" w:eastAsiaTheme="minorEastAsia" w:hAnsiTheme="majorHAnsi" w:cstheme="majorHAnsi"/>
          <w:i/>
          <w:iCs/>
          <w:color w:val="44546A" w:themeColor="text2"/>
          <w:kern w:val="24"/>
          <w:sz w:val="19"/>
          <w:szCs w:val="19"/>
          <w:lang w:val="en-US"/>
        </w:rPr>
        <w:t xml:space="preserve"> </w:t>
      </w:r>
      <w:r w:rsidRPr="001E2886">
        <w:rPr>
          <w:rFonts w:asciiTheme="majorHAnsi" w:eastAsiaTheme="minorHAnsi" w:hAnsiTheme="majorHAnsi" w:cstheme="majorHAnsi"/>
          <w:i/>
          <w:iCs/>
          <w:color w:val="44546A" w:themeColor="text2"/>
          <w:sz w:val="22"/>
          <w:szCs w:val="22"/>
          <w:lang w:val="en-US"/>
        </w:rPr>
        <w:t>Increase in number of regular and SPED elementary teachers, 2013 - 2017</w:t>
      </w:r>
      <w:bookmarkEnd w:id="523"/>
      <w:bookmarkEnd w:id="524"/>
      <w:r w:rsidRPr="001E2886">
        <w:rPr>
          <w:rFonts w:asciiTheme="majorHAnsi" w:eastAsiaTheme="minorHAnsi" w:hAnsiTheme="majorHAnsi" w:cstheme="majorHAnsi"/>
          <w:i/>
          <w:iCs/>
          <w:color w:val="44546A" w:themeColor="text2"/>
          <w:sz w:val="22"/>
          <w:szCs w:val="22"/>
          <w:lang w:val="en-US"/>
        </w:rPr>
        <w:t xml:space="preserve"> </w:t>
      </w:r>
    </w:p>
    <w:p w14:paraId="34104D5C" w14:textId="77777777" w:rsidR="008D0CAD" w:rsidRPr="00E00C4B" w:rsidRDefault="008D0CAD" w:rsidP="00796BFA">
      <w:pPr>
        <w:spacing w:before="100" w:beforeAutospacing="1" w:after="100" w:afterAutospacing="1" w:line="360" w:lineRule="auto"/>
        <w:rPr>
          <w:lang w:val="en-US"/>
        </w:rPr>
      </w:pPr>
      <w:r w:rsidRPr="00E00C4B">
        <w:rPr>
          <w:noProof/>
          <w:lang w:val="en-AU" w:eastAsia="en-AU"/>
        </w:rPr>
        <w:drawing>
          <wp:inline distT="0" distB="0" distL="0" distR="0" wp14:anchorId="022A12AB" wp14:editId="50523F49">
            <wp:extent cx="6365240" cy="2582779"/>
            <wp:effectExtent l="0" t="0" r="10160" b="8255"/>
            <wp:docPr id="91" name="Chart 91" descr="Bar graph on the increase in number of regular and SPEd elementary teachers, 2013 to 2017. Highest increase, Region IV-A for regular teachers; highest increase in CAR for SPED teachers.">
              <a:extLst xmlns:a="http://schemas.openxmlformats.org/drawingml/2006/main">
                <a:ext uri="{FF2B5EF4-FFF2-40B4-BE49-F238E27FC236}">
                  <a16:creationId xmlns:a16="http://schemas.microsoft.com/office/drawing/2014/main" id="{89D373AF-D455-2A46-A355-F58693B59E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43D530EF" w14:textId="1837C24D" w:rsidR="008D0CAD" w:rsidRPr="00796BFA" w:rsidRDefault="008D0CAD" w:rsidP="00796BFA">
      <w:pPr>
        <w:spacing w:before="100" w:beforeAutospacing="1" w:after="100" w:afterAutospacing="1" w:line="360" w:lineRule="auto"/>
        <w:rPr>
          <w:rFonts w:asciiTheme="majorHAnsi" w:hAnsiTheme="majorHAnsi" w:cstheme="majorHAnsi"/>
          <w:bCs/>
          <w:i/>
          <w:iCs/>
          <w:sz w:val="20"/>
          <w:szCs w:val="20"/>
          <w:lang w:val="en-US"/>
        </w:rPr>
      </w:pPr>
      <w:r w:rsidRPr="00E00C4B">
        <w:rPr>
          <w:rFonts w:asciiTheme="majorHAnsi" w:hAnsiTheme="majorHAnsi" w:cstheme="majorHAnsi"/>
          <w:bCs/>
          <w:i/>
          <w:iCs/>
          <w:sz w:val="20"/>
          <w:szCs w:val="20"/>
          <w:lang w:val="en-US"/>
        </w:rPr>
        <w:t>Source of basic data: EBEIS (Retrieved April 2019)</w:t>
      </w:r>
    </w:p>
    <w:p w14:paraId="64C32A19" w14:textId="7C6A45C1" w:rsidR="008D0CAD" w:rsidRPr="00E00C4B" w:rsidRDefault="008D0CAD" w:rsidP="00796BFA">
      <w:pPr>
        <w:spacing w:before="100" w:beforeAutospacing="1" w:after="100" w:afterAutospacing="1" w:line="360" w:lineRule="auto"/>
        <w:rPr>
          <w:rFonts w:asciiTheme="majorHAnsi" w:hAnsiTheme="majorHAnsi" w:cstheme="majorHAnsi"/>
          <w:color w:val="000000"/>
          <w:lang w:val="en-US"/>
        </w:rPr>
      </w:pPr>
      <w:r w:rsidRPr="00E00C4B">
        <w:rPr>
          <w:rFonts w:asciiTheme="majorHAnsi" w:hAnsiTheme="majorHAnsi" w:cstheme="majorHAnsi"/>
          <w:color w:val="000000"/>
          <w:lang w:val="en-US"/>
        </w:rPr>
        <w:t>Forty-one percent (31,504) of the total increase in elementary teachers were recorded in BEST supported regions (Table 3).</w:t>
      </w:r>
      <w:r w:rsidR="00D434EB">
        <w:rPr>
          <w:rFonts w:asciiTheme="majorHAnsi" w:hAnsiTheme="majorHAnsi" w:cstheme="majorHAnsi"/>
          <w:color w:val="000000"/>
          <w:lang w:val="en-US"/>
        </w:rPr>
        <w:t xml:space="preserve"> </w:t>
      </w:r>
      <w:r w:rsidRPr="00E00C4B">
        <w:rPr>
          <w:rFonts w:asciiTheme="majorHAnsi" w:hAnsiTheme="majorHAnsi" w:cstheme="majorHAnsi"/>
          <w:color w:val="000000"/>
          <w:lang w:val="en-US"/>
        </w:rPr>
        <w:t xml:space="preserve">The increasing trend in number of elementary </w:t>
      </w:r>
      <w:r w:rsidR="008B2040">
        <w:rPr>
          <w:rFonts w:asciiTheme="majorHAnsi" w:hAnsiTheme="majorHAnsi" w:cstheme="majorHAnsi"/>
          <w:color w:val="000000"/>
          <w:lang w:val="en-US"/>
        </w:rPr>
        <w:t xml:space="preserve">teachers </w:t>
      </w:r>
      <w:r w:rsidRPr="00E00C4B">
        <w:rPr>
          <w:rFonts w:asciiTheme="majorHAnsi" w:hAnsiTheme="majorHAnsi" w:cstheme="majorHAnsi"/>
          <w:color w:val="000000"/>
          <w:lang w:val="en-US"/>
        </w:rPr>
        <w:t>was paralleled by a similar increase in the number of SPED teachers.</w:t>
      </w:r>
      <w:r w:rsidR="00D434EB">
        <w:rPr>
          <w:rFonts w:asciiTheme="majorHAnsi" w:hAnsiTheme="majorHAnsi" w:cstheme="majorHAnsi"/>
          <w:color w:val="000000"/>
          <w:lang w:val="en-US"/>
        </w:rPr>
        <w:t xml:space="preserve"> </w:t>
      </w:r>
      <w:r w:rsidRPr="00E00C4B">
        <w:rPr>
          <w:rFonts w:asciiTheme="majorHAnsi" w:hAnsiTheme="majorHAnsi" w:cstheme="majorHAnsi"/>
          <w:color w:val="000000"/>
          <w:lang w:val="en-US"/>
        </w:rPr>
        <w:t>During the same period, the number of SPED teachers increased from 1,797 to 3,011.</w:t>
      </w:r>
      <w:r w:rsidR="00D434EB">
        <w:rPr>
          <w:rFonts w:asciiTheme="majorHAnsi" w:hAnsiTheme="majorHAnsi" w:cstheme="majorHAnsi"/>
          <w:color w:val="000000"/>
          <w:lang w:val="en-US"/>
        </w:rPr>
        <w:t xml:space="preserve"> </w:t>
      </w:r>
      <w:r w:rsidRPr="00E00C4B">
        <w:rPr>
          <w:rFonts w:asciiTheme="majorHAnsi" w:hAnsiTheme="majorHAnsi" w:cstheme="majorHAnsi"/>
          <w:color w:val="000000"/>
          <w:lang w:val="en-US"/>
        </w:rPr>
        <w:t>The highest number of increase occurred in NCR, which added 242 SPED teachers from 2013 to 2017.</w:t>
      </w:r>
      <w:r w:rsidR="00D434EB">
        <w:rPr>
          <w:rFonts w:asciiTheme="majorHAnsi" w:hAnsiTheme="majorHAnsi" w:cstheme="majorHAnsi"/>
          <w:color w:val="000000"/>
          <w:lang w:val="en-US"/>
        </w:rPr>
        <w:t xml:space="preserve"> </w:t>
      </w:r>
      <w:r w:rsidRPr="00E00C4B">
        <w:rPr>
          <w:rFonts w:asciiTheme="majorHAnsi" w:hAnsiTheme="majorHAnsi" w:cstheme="majorHAnsi"/>
          <w:color w:val="000000"/>
          <w:lang w:val="en-US"/>
        </w:rPr>
        <w:t>It was followed by Regions IV-A and III, which added 188 and 107 SPED teachers respectively during the same period. However, 47 percent of the 3,011 additional SPED teachers was in BEST-supported regions.</w:t>
      </w:r>
      <w:r w:rsidR="00D434EB">
        <w:rPr>
          <w:rFonts w:asciiTheme="majorHAnsi" w:hAnsiTheme="majorHAnsi" w:cstheme="majorHAnsi"/>
          <w:color w:val="000000"/>
          <w:lang w:val="en-US"/>
        </w:rPr>
        <w:t xml:space="preserve"> </w:t>
      </w:r>
    </w:p>
    <w:p w14:paraId="2E32E2CA" w14:textId="33E06492" w:rsidR="008D0CAD" w:rsidRPr="001E2886" w:rsidRDefault="008D0CAD" w:rsidP="00796BFA">
      <w:pPr>
        <w:spacing w:before="100" w:beforeAutospacing="1" w:after="100" w:afterAutospacing="1" w:line="360" w:lineRule="auto"/>
        <w:ind w:firstLine="45"/>
        <w:rPr>
          <w:rFonts w:asciiTheme="majorHAnsi" w:eastAsiaTheme="minorHAnsi" w:hAnsiTheme="majorHAnsi" w:cstheme="majorHAnsi"/>
          <w:i/>
          <w:iCs/>
          <w:color w:val="44546A" w:themeColor="text2"/>
          <w:sz w:val="22"/>
          <w:szCs w:val="22"/>
          <w:lang w:val="en-US"/>
        </w:rPr>
      </w:pPr>
      <w:bookmarkStart w:id="525" w:name="_Toc16524185"/>
      <w:bookmarkStart w:id="526" w:name="_Toc71616648"/>
      <w:r w:rsidRPr="001E2886">
        <w:rPr>
          <w:rFonts w:asciiTheme="majorHAnsi" w:eastAsiaTheme="minorHAnsi" w:hAnsiTheme="majorHAnsi" w:cstheme="majorHAnsi"/>
          <w:i/>
          <w:iCs/>
          <w:color w:val="44546A" w:themeColor="text2"/>
          <w:sz w:val="22"/>
          <w:szCs w:val="22"/>
          <w:lang w:val="en-US"/>
        </w:rPr>
        <w:t xml:space="preserve">Table </w:t>
      </w:r>
      <w:r w:rsidRPr="001E2886">
        <w:rPr>
          <w:rFonts w:asciiTheme="majorHAnsi" w:eastAsiaTheme="minorHAnsi" w:hAnsiTheme="majorHAnsi" w:cstheme="majorHAnsi"/>
          <w:i/>
          <w:iCs/>
          <w:color w:val="44546A" w:themeColor="text2"/>
          <w:sz w:val="22"/>
          <w:szCs w:val="22"/>
          <w:lang w:val="en-US"/>
        </w:rPr>
        <w:fldChar w:fldCharType="begin"/>
      </w:r>
      <w:r w:rsidRPr="001E2886">
        <w:rPr>
          <w:rFonts w:asciiTheme="majorHAnsi" w:eastAsiaTheme="minorHAnsi" w:hAnsiTheme="majorHAnsi" w:cstheme="majorHAnsi"/>
          <w:i/>
          <w:iCs/>
          <w:color w:val="44546A" w:themeColor="text2"/>
          <w:sz w:val="22"/>
          <w:szCs w:val="22"/>
          <w:lang w:val="en-US"/>
        </w:rPr>
        <w:instrText xml:space="preserve"> SEQ Table \* ARABIC </w:instrText>
      </w:r>
      <w:r w:rsidRPr="001E2886">
        <w:rPr>
          <w:rFonts w:asciiTheme="majorHAnsi" w:eastAsiaTheme="minorHAnsi" w:hAnsiTheme="majorHAnsi" w:cstheme="majorHAnsi"/>
          <w:i/>
          <w:iCs/>
          <w:color w:val="44546A" w:themeColor="text2"/>
          <w:sz w:val="22"/>
          <w:szCs w:val="22"/>
          <w:lang w:val="en-US"/>
        </w:rPr>
        <w:fldChar w:fldCharType="separate"/>
      </w:r>
      <w:r w:rsidR="00D6133D">
        <w:rPr>
          <w:rFonts w:asciiTheme="majorHAnsi" w:eastAsiaTheme="minorHAnsi" w:hAnsiTheme="majorHAnsi" w:cstheme="majorHAnsi"/>
          <w:i/>
          <w:iCs/>
          <w:noProof/>
          <w:color w:val="44546A" w:themeColor="text2"/>
          <w:sz w:val="22"/>
          <w:szCs w:val="22"/>
          <w:lang w:val="en-US"/>
        </w:rPr>
        <w:t>57</w:t>
      </w:r>
      <w:r w:rsidRPr="001E2886">
        <w:rPr>
          <w:rFonts w:asciiTheme="majorHAnsi" w:eastAsiaTheme="minorHAnsi" w:hAnsiTheme="majorHAnsi" w:cstheme="majorHAnsi"/>
          <w:i/>
          <w:iCs/>
          <w:color w:val="44546A" w:themeColor="text2"/>
          <w:sz w:val="22"/>
          <w:szCs w:val="22"/>
          <w:lang w:val="en-US"/>
        </w:rPr>
        <w:fldChar w:fldCharType="end"/>
      </w:r>
      <w:r w:rsidRPr="001E2886">
        <w:rPr>
          <w:rFonts w:asciiTheme="majorHAnsi" w:eastAsiaTheme="minorHAnsi" w:hAnsiTheme="majorHAnsi" w:cstheme="majorHAnsi"/>
          <w:i/>
          <w:iCs/>
          <w:color w:val="44546A" w:themeColor="text2"/>
          <w:sz w:val="22"/>
          <w:szCs w:val="22"/>
          <w:lang w:val="en-US"/>
        </w:rPr>
        <w:t>. Increases in Number of Elementary Teachers in BEST-supported Regions</w:t>
      </w:r>
      <w:bookmarkEnd w:id="525"/>
      <w:bookmarkEnd w:id="526"/>
    </w:p>
    <w:tbl>
      <w:tblPr>
        <w:tblStyle w:val="TableGrid11"/>
        <w:tblW w:w="7181" w:type="dxa"/>
        <w:tblLook w:val="04A0" w:firstRow="1" w:lastRow="0" w:firstColumn="1" w:lastColumn="0" w:noHBand="0" w:noVBand="1"/>
      </w:tblPr>
      <w:tblGrid>
        <w:gridCol w:w="3128"/>
        <w:gridCol w:w="2316"/>
        <w:gridCol w:w="1737"/>
      </w:tblGrid>
      <w:tr w:rsidR="008D0CAD" w:rsidRPr="004B064D" w14:paraId="796C12DA" w14:textId="77777777" w:rsidTr="004B064D">
        <w:trPr>
          <w:trHeight w:val="315"/>
          <w:tblHeader/>
        </w:trPr>
        <w:tc>
          <w:tcPr>
            <w:tcW w:w="3128" w:type="dxa"/>
            <w:noWrap/>
            <w:hideMark/>
          </w:tcPr>
          <w:p w14:paraId="713333D3"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000000"/>
              </w:rPr>
            </w:pPr>
            <w:r w:rsidRPr="004B064D">
              <w:rPr>
                <w:rFonts w:asciiTheme="majorHAnsi" w:hAnsiTheme="majorHAnsi" w:cstheme="majorHAnsi"/>
                <w:b/>
                <w:bCs/>
                <w:color w:val="000000"/>
              </w:rPr>
              <w:t> </w:t>
            </w:r>
          </w:p>
        </w:tc>
        <w:tc>
          <w:tcPr>
            <w:tcW w:w="2316" w:type="dxa"/>
            <w:noWrap/>
            <w:hideMark/>
          </w:tcPr>
          <w:p w14:paraId="54581AB0"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000000"/>
              </w:rPr>
            </w:pPr>
            <w:r w:rsidRPr="004B064D">
              <w:rPr>
                <w:rFonts w:asciiTheme="majorHAnsi" w:hAnsiTheme="majorHAnsi" w:cstheme="majorHAnsi"/>
                <w:b/>
                <w:bCs/>
                <w:color w:val="000000"/>
              </w:rPr>
              <w:t>Regular</w:t>
            </w:r>
          </w:p>
        </w:tc>
        <w:tc>
          <w:tcPr>
            <w:tcW w:w="1737" w:type="dxa"/>
            <w:noWrap/>
            <w:hideMark/>
          </w:tcPr>
          <w:p w14:paraId="5304C7A6"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000000"/>
              </w:rPr>
            </w:pPr>
            <w:r w:rsidRPr="004B064D">
              <w:rPr>
                <w:rFonts w:asciiTheme="majorHAnsi" w:hAnsiTheme="majorHAnsi" w:cstheme="majorHAnsi"/>
                <w:b/>
                <w:bCs/>
                <w:color w:val="000000"/>
              </w:rPr>
              <w:t>SPED</w:t>
            </w:r>
          </w:p>
        </w:tc>
      </w:tr>
      <w:tr w:rsidR="008D0CAD" w:rsidRPr="00E00C4B" w14:paraId="11F6C353" w14:textId="77777777" w:rsidTr="004351FE">
        <w:trPr>
          <w:trHeight w:val="315"/>
        </w:trPr>
        <w:tc>
          <w:tcPr>
            <w:tcW w:w="3128" w:type="dxa"/>
            <w:noWrap/>
          </w:tcPr>
          <w:p w14:paraId="421C3672"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rPr>
            </w:pPr>
            <w:r w:rsidRPr="00E00C4B">
              <w:rPr>
                <w:rFonts w:asciiTheme="majorHAnsi" w:hAnsiTheme="majorHAnsi" w:cstheme="majorHAnsi"/>
                <w:color w:val="000000"/>
              </w:rPr>
              <w:t>Overall total</w:t>
            </w:r>
          </w:p>
        </w:tc>
        <w:tc>
          <w:tcPr>
            <w:tcW w:w="2316" w:type="dxa"/>
            <w:noWrap/>
          </w:tcPr>
          <w:p w14:paraId="4F6199FE"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rPr>
            </w:pPr>
            <w:r w:rsidRPr="00E00C4B">
              <w:rPr>
                <w:rFonts w:asciiTheme="majorHAnsi" w:hAnsiTheme="majorHAnsi" w:cstheme="majorHAnsi"/>
                <w:color w:val="000000"/>
              </w:rPr>
              <w:t>76,032</w:t>
            </w:r>
          </w:p>
        </w:tc>
        <w:tc>
          <w:tcPr>
            <w:tcW w:w="1737" w:type="dxa"/>
            <w:noWrap/>
          </w:tcPr>
          <w:p w14:paraId="6E5D724C"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rPr>
            </w:pPr>
            <w:r w:rsidRPr="00E00C4B">
              <w:rPr>
                <w:rFonts w:asciiTheme="majorHAnsi" w:hAnsiTheme="majorHAnsi" w:cstheme="majorHAnsi"/>
                <w:color w:val="000000"/>
              </w:rPr>
              <w:t>1,214</w:t>
            </w:r>
          </w:p>
        </w:tc>
      </w:tr>
      <w:tr w:rsidR="008D0CAD" w:rsidRPr="00E00C4B" w14:paraId="1CF78E22" w14:textId="77777777" w:rsidTr="004351FE">
        <w:trPr>
          <w:trHeight w:val="315"/>
        </w:trPr>
        <w:tc>
          <w:tcPr>
            <w:tcW w:w="3128" w:type="dxa"/>
            <w:noWrap/>
            <w:hideMark/>
          </w:tcPr>
          <w:p w14:paraId="42B0086A"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rPr>
            </w:pPr>
            <w:r w:rsidRPr="00E00C4B">
              <w:rPr>
                <w:rFonts w:asciiTheme="majorHAnsi" w:hAnsiTheme="majorHAnsi" w:cstheme="majorHAnsi"/>
                <w:color w:val="000000"/>
              </w:rPr>
              <w:t>Region V</w:t>
            </w:r>
          </w:p>
        </w:tc>
        <w:tc>
          <w:tcPr>
            <w:tcW w:w="2316" w:type="dxa"/>
            <w:noWrap/>
            <w:hideMark/>
          </w:tcPr>
          <w:p w14:paraId="763FAC5C"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rPr>
            </w:pPr>
            <w:r w:rsidRPr="00E00C4B">
              <w:rPr>
                <w:rFonts w:asciiTheme="majorHAnsi" w:hAnsiTheme="majorHAnsi" w:cstheme="majorHAnsi"/>
                <w:color w:val="000000"/>
              </w:rPr>
              <w:t>5,733</w:t>
            </w:r>
          </w:p>
        </w:tc>
        <w:tc>
          <w:tcPr>
            <w:tcW w:w="1737" w:type="dxa"/>
            <w:noWrap/>
            <w:hideMark/>
          </w:tcPr>
          <w:p w14:paraId="03C44E2C"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rPr>
            </w:pPr>
            <w:r w:rsidRPr="00E00C4B">
              <w:rPr>
                <w:rFonts w:asciiTheme="majorHAnsi" w:hAnsiTheme="majorHAnsi" w:cstheme="majorHAnsi"/>
                <w:color w:val="000000"/>
              </w:rPr>
              <w:t>50</w:t>
            </w:r>
          </w:p>
        </w:tc>
      </w:tr>
      <w:tr w:rsidR="008D0CAD" w:rsidRPr="00E00C4B" w14:paraId="341C8CD5" w14:textId="77777777" w:rsidTr="004351FE">
        <w:trPr>
          <w:trHeight w:val="315"/>
        </w:trPr>
        <w:tc>
          <w:tcPr>
            <w:tcW w:w="3128" w:type="dxa"/>
            <w:noWrap/>
            <w:hideMark/>
          </w:tcPr>
          <w:p w14:paraId="60145EE7"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rPr>
            </w:pPr>
            <w:r w:rsidRPr="00E00C4B">
              <w:rPr>
                <w:rFonts w:asciiTheme="majorHAnsi" w:hAnsiTheme="majorHAnsi" w:cstheme="majorHAnsi"/>
                <w:color w:val="000000"/>
              </w:rPr>
              <w:t>Region VI</w:t>
            </w:r>
          </w:p>
        </w:tc>
        <w:tc>
          <w:tcPr>
            <w:tcW w:w="2316" w:type="dxa"/>
            <w:noWrap/>
            <w:hideMark/>
          </w:tcPr>
          <w:p w14:paraId="0889B8BC"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rPr>
            </w:pPr>
            <w:r w:rsidRPr="00E00C4B">
              <w:rPr>
                <w:rFonts w:asciiTheme="majorHAnsi" w:hAnsiTheme="majorHAnsi" w:cstheme="majorHAnsi"/>
                <w:color w:val="000000"/>
              </w:rPr>
              <w:t>4,643</w:t>
            </w:r>
          </w:p>
        </w:tc>
        <w:tc>
          <w:tcPr>
            <w:tcW w:w="1737" w:type="dxa"/>
            <w:noWrap/>
            <w:hideMark/>
          </w:tcPr>
          <w:p w14:paraId="2680BE98"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rPr>
            </w:pPr>
            <w:r w:rsidRPr="00E00C4B">
              <w:rPr>
                <w:rFonts w:asciiTheme="majorHAnsi" w:hAnsiTheme="majorHAnsi" w:cstheme="majorHAnsi"/>
                <w:color w:val="000000"/>
              </w:rPr>
              <w:t>91</w:t>
            </w:r>
          </w:p>
        </w:tc>
      </w:tr>
      <w:tr w:rsidR="008D0CAD" w:rsidRPr="00E00C4B" w14:paraId="746947CB" w14:textId="77777777" w:rsidTr="004351FE">
        <w:trPr>
          <w:trHeight w:val="315"/>
        </w:trPr>
        <w:tc>
          <w:tcPr>
            <w:tcW w:w="3128" w:type="dxa"/>
            <w:noWrap/>
            <w:hideMark/>
          </w:tcPr>
          <w:p w14:paraId="4653A963"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rPr>
            </w:pPr>
            <w:r w:rsidRPr="00E00C4B">
              <w:rPr>
                <w:rFonts w:asciiTheme="majorHAnsi" w:hAnsiTheme="majorHAnsi" w:cstheme="majorHAnsi"/>
                <w:color w:val="000000"/>
              </w:rPr>
              <w:t>Region VII</w:t>
            </w:r>
          </w:p>
        </w:tc>
        <w:tc>
          <w:tcPr>
            <w:tcW w:w="2316" w:type="dxa"/>
            <w:noWrap/>
            <w:hideMark/>
          </w:tcPr>
          <w:p w14:paraId="129604EC"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rPr>
            </w:pPr>
            <w:r w:rsidRPr="00E00C4B">
              <w:rPr>
                <w:rFonts w:asciiTheme="majorHAnsi" w:hAnsiTheme="majorHAnsi" w:cstheme="majorHAnsi"/>
                <w:color w:val="000000"/>
              </w:rPr>
              <w:t>7,500</w:t>
            </w:r>
          </w:p>
        </w:tc>
        <w:tc>
          <w:tcPr>
            <w:tcW w:w="1737" w:type="dxa"/>
            <w:noWrap/>
            <w:hideMark/>
          </w:tcPr>
          <w:p w14:paraId="20478FED"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rPr>
            </w:pPr>
            <w:r w:rsidRPr="00E00C4B">
              <w:rPr>
                <w:rFonts w:asciiTheme="majorHAnsi" w:hAnsiTheme="majorHAnsi" w:cstheme="majorHAnsi"/>
                <w:color w:val="000000"/>
              </w:rPr>
              <w:t>100</w:t>
            </w:r>
          </w:p>
        </w:tc>
      </w:tr>
      <w:tr w:rsidR="008D0CAD" w:rsidRPr="00E00C4B" w14:paraId="77394F9E" w14:textId="77777777" w:rsidTr="004351FE">
        <w:trPr>
          <w:trHeight w:val="315"/>
        </w:trPr>
        <w:tc>
          <w:tcPr>
            <w:tcW w:w="3128" w:type="dxa"/>
            <w:noWrap/>
            <w:hideMark/>
          </w:tcPr>
          <w:p w14:paraId="05F428A4"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rPr>
            </w:pPr>
            <w:r w:rsidRPr="00E00C4B">
              <w:rPr>
                <w:rFonts w:asciiTheme="majorHAnsi" w:hAnsiTheme="majorHAnsi" w:cstheme="majorHAnsi"/>
                <w:color w:val="000000"/>
              </w:rPr>
              <w:t>Region VIII</w:t>
            </w:r>
          </w:p>
        </w:tc>
        <w:tc>
          <w:tcPr>
            <w:tcW w:w="2316" w:type="dxa"/>
            <w:noWrap/>
            <w:hideMark/>
          </w:tcPr>
          <w:p w14:paraId="02C7D2A8"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rPr>
            </w:pPr>
            <w:r w:rsidRPr="00E00C4B">
              <w:rPr>
                <w:rFonts w:asciiTheme="majorHAnsi" w:hAnsiTheme="majorHAnsi" w:cstheme="majorHAnsi"/>
                <w:color w:val="000000"/>
              </w:rPr>
              <w:t>5,432</w:t>
            </w:r>
          </w:p>
        </w:tc>
        <w:tc>
          <w:tcPr>
            <w:tcW w:w="1737" w:type="dxa"/>
            <w:noWrap/>
            <w:hideMark/>
          </w:tcPr>
          <w:p w14:paraId="46E9178D"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rPr>
            </w:pPr>
            <w:r w:rsidRPr="00E00C4B">
              <w:rPr>
                <w:rFonts w:asciiTheme="majorHAnsi" w:hAnsiTheme="majorHAnsi" w:cstheme="majorHAnsi"/>
                <w:color w:val="000000"/>
              </w:rPr>
              <w:t>45</w:t>
            </w:r>
          </w:p>
        </w:tc>
      </w:tr>
      <w:tr w:rsidR="008D0CAD" w:rsidRPr="00E00C4B" w14:paraId="7A892009" w14:textId="77777777" w:rsidTr="004351FE">
        <w:trPr>
          <w:trHeight w:val="315"/>
        </w:trPr>
        <w:tc>
          <w:tcPr>
            <w:tcW w:w="3128" w:type="dxa"/>
            <w:noWrap/>
            <w:hideMark/>
          </w:tcPr>
          <w:p w14:paraId="6CB0579B"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rPr>
            </w:pPr>
            <w:r w:rsidRPr="00E00C4B">
              <w:rPr>
                <w:rFonts w:asciiTheme="majorHAnsi" w:hAnsiTheme="majorHAnsi" w:cstheme="majorHAnsi"/>
                <w:color w:val="000000"/>
              </w:rPr>
              <w:t>Region X</w:t>
            </w:r>
          </w:p>
        </w:tc>
        <w:tc>
          <w:tcPr>
            <w:tcW w:w="2316" w:type="dxa"/>
            <w:noWrap/>
            <w:hideMark/>
          </w:tcPr>
          <w:p w14:paraId="441DD536"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rPr>
            </w:pPr>
            <w:r w:rsidRPr="00E00C4B">
              <w:rPr>
                <w:rFonts w:asciiTheme="majorHAnsi" w:hAnsiTheme="majorHAnsi" w:cstheme="majorHAnsi"/>
                <w:color w:val="000000"/>
              </w:rPr>
              <w:t>4,450</w:t>
            </w:r>
          </w:p>
        </w:tc>
        <w:tc>
          <w:tcPr>
            <w:tcW w:w="1737" w:type="dxa"/>
            <w:noWrap/>
            <w:hideMark/>
          </w:tcPr>
          <w:p w14:paraId="478954DB"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rPr>
            </w:pPr>
            <w:r w:rsidRPr="00E00C4B">
              <w:rPr>
                <w:rFonts w:asciiTheme="majorHAnsi" w:hAnsiTheme="majorHAnsi" w:cstheme="majorHAnsi"/>
                <w:color w:val="000000"/>
              </w:rPr>
              <w:t>48</w:t>
            </w:r>
          </w:p>
        </w:tc>
      </w:tr>
      <w:tr w:rsidR="008D0CAD" w:rsidRPr="00E00C4B" w14:paraId="2BA2DE17" w14:textId="77777777" w:rsidTr="004351FE">
        <w:trPr>
          <w:trHeight w:val="315"/>
        </w:trPr>
        <w:tc>
          <w:tcPr>
            <w:tcW w:w="3128" w:type="dxa"/>
            <w:noWrap/>
            <w:hideMark/>
          </w:tcPr>
          <w:p w14:paraId="799EE83C"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rPr>
            </w:pPr>
            <w:r w:rsidRPr="00E00C4B">
              <w:rPr>
                <w:rFonts w:asciiTheme="majorHAnsi" w:hAnsiTheme="majorHAnsi" w:cstheme="majorHAnsi"/>
                <w:color w:val="000000"/>
              </w:rPr>
              <w:t>Region X</w:t>
            </w:r>
          </w:p>
        </w:tc>
        <w:tc>
          <w:tcPr>
            <w:tcW w:w="2316" w:type="dxa"/>
            <w:noWrap/>
            <w:hideMark/>
          </w:tcPr>
          <w:p w14:paraId="60404672"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rPr>
            </w:pPr>
            <w:r w:rsidRPr="00E00C4B">
              <w:rPr>
                <w:rFonts w:asciiTheme="majorHAnsi" w:hAnsiTheme="majorHAnsi" w:cstheme="majorHAnsi"/>
                <w:color w:val="000000"/>
              </w:rPr>
              <w:t>3,746</w:t>
            </w:r>
          </w:p>
        </w:tc>
        <w:tc>
          <w:tcPr>
            <w:tcW w:w="1737" w:type="dxa"/>
            <w:noWrap/>
            <w:hideMark/>
          </w:tcPr>
          <w:p w14:paraId="1CDB7EF9"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rPr>
            </w:pPr>
            <w:r w:rsidRPr="00E00C4B">
              <w:rPr>
                <w:rFonts w:asciiTheme="majorHAnsi" w:hAnsiTheme="majorHAnsi" w:cstheme="majorHAnsi"/>
                <w:color w:val="000000"/>
              </w:rPr>
              <w:t>242</w:t>
            </w:r>
          </w:p>
        </w:tc>
      </w:tr>
      <w:tr w:rsidR="008D0CAD" w:rsidRPr="00E00C4B" w14:paraId="53DCA227" w14:textId="77777777" w:rsidTr="004351FE">
        <w:trPr>
          <w:trHeight w:val="251"/>
        </w:trPr>
        <w:tc>
          <w:tcPr>
            <w:tcW w:w="3128" w:type="dxa"/>
            <w:noWrap/>
            <w:hideMark/>
          </w:tcPr>
          <w:p w14:paraId="222EE4B6"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rPr>
            </w:pPr>
            <w:r w:rsidRPr="00E00C4B">
              <w:rPr>
                <w:rFonts w:asciiTheme="majorHAnsi" w:hAnsiTheme="majorHAnsi" w:cstheme="majorHAnsi"/>
                <w:color w:val="000000"/>
              </w:rPr>
              <w:t>Total BEST Regions</w:t>
            </w:r>
          </w:p>
        </w:tc>
        <w:tc>
          <w:tcPr>
            <w:tcW w:w="2316" w:type="dxa"/>
            <w:noWrap/>
            <w:hideMark/>
          </w:tcPr>
          <w:p w14:paraId="7C08D11C"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rPr>
            </w:pPr>
            <w:r w:rsidRPr="00E00C4B">
              <w:rPr>
                <w:rFonts w:asciiTheme="majorHAnsi" w:hAnsiTheme="majorHAnsi" w:cstheme="majorHAnsi"/>
                <w:color w:val="000000"/>
              </w:rPr>
              <w:t>31,504</w:t>
            </w:r>
          </w:p>
        </w:tc>
        <w:tc>
          <w:tcPr>
            <w:tcW w:w="1737" w:type="dxa"/>
            <w:noWrap/>
            <w:hideMark/>
          </w:tcPr>
          <w:p w14:paraId="794B2BCF"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rPr>
            </w:pPr>
            <w:r w:rsidRPr="00E00C4B">
              <w:rPr>
                <w:rFonts w:asciiTheme="majorHAnsi" w:hAnsiTheme="majorHAnsi" w:cstheme="majorHAnsi"/>
                <w:color w:val="000000"/>
              </w:rPr>
              <w:t>576</w:t>
            </w:r>
          </w:p>
        </w:tc>
      </w:tr>
      <w:tr w:rsidR="008D0CAD" w:rsidRPr="00E00C4B" w14:paraId="026F0AED" w14:textId="77777777" w:rsidTr="004351FE">
        <w:trPr>
          <w:trHeight w:val="251"/>
        </w:trPr>
        <w:tc>
          <w:tcPr>
            <w:tcW w:w="3128" w:type="dxa"/>
            <w:noWrap/>
            <w:hideMark/>
          </w:tcPr>
          <w:p w14:paraId="5245990B"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rPr>
            </w:pPr>
            <w:r w:rsidRPr="00E00C4B">
              <w:rPr>
                <w:rFonts w:asciiTheme="majorHAnsi" w:hAnsiTheme="majorHAnsi" w:cstheme="majorHAnsi"/>
                <w:color w:val="000000"/>
              </w:rPr>
              <w:t>%</w:t>
            </w:r>
          </w:p>
        </w:tc>
        <w:tc>
          <w:tcPr>
            <w:tcW w:w="2316" w:type="dxa"/>
            <w:noWrap/>
            <w:hideMark/>
          </w:tcPr>
          <w:p w14:paraId="530D23E5"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rPr>
            </w:pPr>
            <w:r w:rsidRPr="00E00C4B">
              <w:rPr>
                <w:rFonts w:asciiTheme="majorHAnsi" w:hAnsiTheme="majorHAnsi" w:cstheme="majorHAnsi"/>
                <w:color w:val="000000"/>
              </w:rPr>
              <w:t>41%</w:t>
            </w:r>
          </w:p>
        </w:tc>
        <w:tc>
          <w:tcPr>
            <w:tcW w:w="1737" w:type="dxa"/>
            <w:noWrap/>
            <w:hideMark/>
          </w:tcPr>
          <w:p w14:paraId="3A26ED6C"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rPr>
            </w:pPr>
            <w:r w:rsidRPr="00E00C4B">
              <w:rPr>
                <w:rFonts w:asciiTheme="majorHAnsi" w:hAnsiTheme="majorHAnsi" w:cstheme="majorHAnsi"/>
                <w:color w:val="000000"/>
              </w:rPr>
              <w:t>47%</w:t>
            </w:r>
          </w:p>
        </w:tc>
      </w:tr>
    </w:tbl>
    <w:p w14:paraId="7902CC88" w14:textId="77777777" w:rsidR="008D0CAD" w:rsidRPr="00E00C4B" w:rsidRDefault="008D0CAD" w:rsidP="00796BFA">
      <w:pPr>
        <w:spacing w:before="100" w:beforeAutospacing="1" w:after="100" w:afterAutospacing="1" w:line="360" w:lineRule="auto"/>
        <w:rPr>
          <w:rFonts w:asciiTheme="majorHAnsi" w:hAnsiTheme="majorHAnsi" w:cstheme="majorHAnsi"/>
          <w:lang w:val="en-US"/>
        </w:rPr>
      </w:pPr>
    </w:p>
    <w:p w14:paraId="7B6D8493" w14:textId="77777777" w:rsidR="008D0CAD" w:rsidRPr="00E00C4B" w:rsidRDefault="008D0CAD" w:rsidP="00796BFA">
      <w:pPr>
        <w:keepNext/>
        <w:keepLines/>
        <w:numPr>
          <w:ilvl w:val="0"/>
          <w:numId w:val="155"/>
        </w:numPr>
        <w:spacing w:before="100" w:beforeAutospacing="1" w:after="100" w:afterAutospacing="1" w:line="360" w:lineRule="auto"/>
        <w:outlineLvl w:val="0"/>
        <w:rPr>
          <w:rFonts w:asciiTheme="majorHAnsi" w:eastAsiaTheme="majorEastAsia" w:hAnsiTheme="majorHAnsi" w:cstheme="majorBidi"/>
          <w:color w:val="2F5496" w:themeColor="accent1" w:themeShade="BF"/>
          <w:sz w:val="32"/>
          <w:szCs w:val="32"/>
          <w:lang w:val="en-US"/>
        </w:rPr>
        <w:sectPr w:rsidR="008D0CAD" w:rsidRPr="00E00C4B" w:rsidSect="009C64E9">
          <w:pgSz w:w="11906" w:h="16838"/>
          <w:pgMar w:top="1440" w:right="1008" w:bottom="1440" w:left="1008" w:header="720" w:footer="720" w:gutter="0"/>
          <w:cols w:space="720"/>
          <w:docGrid w:linePitch="360"/>
        </w:sectPr>
      </w:pPr>
    </w:p>
    <w:p w14:paraId="33840665" w14:textId="77777777" w:rsidR="008D0CAD" w:rsidRPr="00E00C4B" w:rsidRDefault="008D0CAD" w:rsidP="00796BFA">
      <w:pPr>
        <w:pStyle w:val="Heading4"/>
        <w:spacing w:before="100" w:beforeAutospacing="1" w:after="100" w:afterAutospacing="1" w:line="360" w:lineRule="auto"/>
        <w:rPr>
          <w:lang w:val="en-US"/>
        </w:rPr>
      </w:pPr>
      <w:bookmarkStart w:id="527" w:name="_Toc16524072"/>
      <w:bookmarkStart w:id="528" w:name="_Toc39938422"/>
      <w:bookmarkStart w:id="529" w:name="_Toc69820526"/>
      <w:r w:rsidRPr="00E00C4B">
        <w:rPr>
          <w:lang w:val="en-US"/>
        </w:rPr>
        <w:t>Access Indicators</w:t>
      </w:r>
      <w:r w:rsidRPr="00E00C4B">
        <w:rPr>
          <w:vertAlign w:val="superscript"/>
          <w:lang w:val="en-US"/>
        </w:rPr>
        <w:footnoteReference w:id="144"/>
      </w:r>
      <w:bookmarkEnd w:id="527"/>
      <w:bookmarkEnd w:id="528"/>
      <w:bookmarkEnd w:id="529"/>
    </w:p>
    <w:p w14:paraId="0079F8B4" w14:textId="5D089002" w:rsidR="008D0CAD" w:rsidRPr="001E2886" w:rsidRDefault="008D0CAD" w:rsidP="00796BFA">
      <w:pPr>
        <w:pStyle w:val="Heading5"/>
        <w:numPr>
          <w:ilvl w:val="0"/>
          <w:numId w:val="0"/>
        </w:numPr>
        <w:spacing w:before="100" w:beforeAutospacing="1" w:after="100" w:afterAutospacing="1" w:line="360" w:lineRule="auto"/>
        <w:ind w:left="1222" w:hanging="1080"/>
      </w:pPr>
      <w:bookmarkStart w:id="530" w:name="_Toc16524073"/>
      <w:r w:rsidRPr="00E00C4B">
        <w:t>Enro</w:t>
      </w:r>
      <w:r w:rsidR="001D5D36">
        <w:t>l</w:t>
      </w:r>
      <w:r w:rsidRPr="00E00C4B">
        <w:t>ment</w:t>
      </w:r>
      <w:bookmarkEnd w:id="530"/>
    </w:p>
    <w:p w14:paraId="6246C4DD" w14:textId="67655EC5" w:rsidR="008D0CAD" w:rsidRPr="00E00C4B" w:rsidRDefault="008D0CAD" w:rsidP="00796BFA">
      <w:pPr>
        <w:autoSpaceDE w:val="0"/>
        <w:autoSpaceDN w:val="0"/>
        <w:adjustRightInd w:val="0"/>
        <w:spacing w:before="100" w:beforeAutospacing="1" w:after="100" w:afterAutospacing="1" w:line="360" w:lineRule="auto"/>
        <w:rPr>
          <w:rFonts w:asciiTheme="majorHAnsi" w:hAnsiTheme="majorHAnsi" w:cstheme="majorHAnsi"/>
          <w:lang w:val="en-US"/>
        </w:rPr>
      </w:pPr>
      <w:r w:rsidRPr="00E00C4B">
        <w:rPr>
          <w:rFonts w:asciiTheme="majorHAnsi" w:hAnsiTheme="majorHAnsi" w:cstheme="majorHAnsi"/>
          <w:lang w:val="en-US"/>
        </w:rPr>
        <w:t xml:space="preserve">Enrollment is defined as the </w:t>
      </w:r>
      <w:r w:rsidRPr="00E00C4B">
        <w:rPr>
          <w:rFonts w:asciiTheme="majorHAnsi" w:hAnsiTheme="majorHAnsi" w:cstheme="majorHAnsi"/>
          <w:color w:val="000000"/>
          <w:lang w:val="en-US"/>
        </w:rPr>
        <w:t>total number of pupils/students who register/enlist in a given school year.</w:t>
      </w:r>
      <w:r w:rsidR="00D434EB">
        <w:rPr>
          <w:rFonts w:asciiTheme="majorHAnsi" w:hAnsiTheme="majorHAnsi" w:cstheme="majorHAnsi"/>
          <w:lang w:val="en-US"/>
        </w:rPr>
        <w:t xml:space="preserve"> </w:t>
      </w:r>
      <w:r w:rsidRPr="00E00C4B">
        <w:rPr>
          <w:rFonts w:asciiTheme="majorHAnsi" w:hAnsiTheme="majorHAnsi" w:cstheme="majorHAnsi"/>
          <w:lang w:val="en-US"/>
        </w:rPr>
        <w:t xml:space="preserve">Overall enrolment in basic education increased from </w:t>
      </w:r>
      <w:r w:rsidRPr="00E00C4B">
        <w:rPr>
          <w:rFonts w:ascii="Calibri Light" w:hAnsi="Calibri Light" w:cs="Calibri Light"/>
          <w:color w:val="000000"/>
          <w:lang w:val="en-US"/>
        </w:rPr>
        <w:t xml:space="preserve">20,474,410 students </w:t>
      </w:r>
      <w:r w:rsidRPr="00E00C4B">
        <w:rPr>
          <w:rFonts w:asciiTheme="majorHAnsi" w:hAnsiTheme="majorHAnsi" w:cstheme="majorHAnsi"/>
          <w:lang w:val="en-US"/>
        </w:rPr>
        <w:t xml:space="preserve">in SY2011-2012 to </w:t>
      </w:r>
      <w:r w:rsidRPr="00E00C4B">
        <w:rPr>
          <w:rFonts w:ascii="Calibri Light" w:hAnsi="Calibri Light" w:cs="Calibri Light"/>
          <w:color w:val="000000"/>
          <w:lang w:val="en-US"/>
        </w:rPr>
        <w:t xml:space="preserve">22,096,820 students in </w:t>
      </w:r>
      <w:r w:rsidRPr="00E00C4B">
        <w:rPr>
          <w:rFonts w:asciiTheme="majorHAnsi" w:hAnsiTheme="majorHAnsi" w:cstheme="majorHAnsi"/>
          <w:lang w:val="en-US"/>
        </w:rPr>
        <w:t>SY2017-2018, with the composition of both male and female learners remaining constant at 51 percent and 49 percent respectively from baseline and endline (Table 4).</w:t>
      </w:r>
      <w:r w:rsidR="00D434EB">
        <w:rPr>
          <w:rFonts w:asciiTheme="majorHAnsi" w:hAnsiTheme="majorHAnsi" w:cstheme="majorHAnsi"/>
          <w:lang w:val="en-US"/>
        </w:rPr>
        <w:t xml:space="preserve"> </w:t>
      </w:r>
      <w:r w:rsidRPr="00E00C4B">
        <w:rPr>
          <w:rFonts w:asciiTheme="majorHAnsi" w:hAnsiTheme="majorHAnsi" w:cstheme="majorHAnsi"/>
          <w:lang w:val="en-US"/>
        </w:rPr>
        <w:t>The increase was primarily attributed to the increase in secondary enrollment which increased from 20 percent of total to 32 percent (Figure 9). In contrast, enrollment in elementary declined from 80 percent of overall to 68 percent of total during the same period.</w:t>
      </w:r>
    </w:p>
    <w:p w14:paraId="4FFB4A52" w14:textId="7CDA3806" w:rsidR="008D0CAD" w:rsidRPr="00E00C4B" w:rsidRDefault="008D0CAD" w:rsidP="00796BFA">
      <w:pPr>
        <w:spacing w:before="100" w:beforeAutospacing="1" w:after="100" w:afterAutospacing="1" w:line="360" w:lineRule="auto"/>
        <w:rPr>
          <w:rFonts w:asciiTheme="majorHAnsi" w:eastAsiaTheme="minorHAnsi" w:hAnsiTheme="majorHAnsi" w:cstheme="majorHAnsi"/>
          <w:i/>
          <w:iCs/>
          <w:color w:val="44546A" w:themeColor="text2"/>
          <w:sz w:val="22"/>
          <w:szCs w:val="22"/>
          <w:lang w:val="en-US"/>
        </w:rPr>
      </w:pPr>
      <w:bookmarkStart w:id="531" w:name="_Toc16524186"/>
      <w:bookmarkStart w:id="532" w:name="_Toc71616649"/>
      <w:r w:rsidRPr="00E00C4B">
        <w:rPr>
          <w:rFonts w:asciiTheme="majorHAnsi" w:eastAsiaTheme="minorHAnsi" w:hAnsiTheme="majorHAnsi" w:cstheme="majorHAnsi"/>
          <w:i/>
          <w:iCs/>
          <w:color w:val="44546A" w:themeColor="text2"/>
          <w:sz w:val="22"/>
          <w:szCs w:val="22"/>
          <w:lang w:val="en-US"/>
        </w:rPr>
        <w:t xml:space="preserve">Table </w:t>
      </w:r>
      <w:r w:rsidRPr="00E00C4B">
        <w:rPr>
          <w:rFonts w:asciiTheme="majorHAnsi" w:eastAsiaTheme="minorHAnsi" w:hAnsiTheme="majorHAnsi" w:cstheme="majorHAnsi"/>
          <w:i/>
          <w:iCs/>
          <w:color w:val="44546A" w:themeColor="text2"/>
          <w:sz w:val="22"/>
          <w:szCs w:val="22"/>
          <w:lang w:val="en-US"/>
        </w:rPr>
        <w:fldChar w:fldCharType="begin"/>
      </w:r>
      <w:r w:rsidRPr="00E00C4B">
        <w:rPr>
          <w:rFonts w:asciiTheme="majorHAnsi" w:eastAsiaTheme="minorHAnsi" w:hAnsiTheme="majorHAnsi" w:cstheme="majorHAnsi"/>
          <w:i/>
          <w:iCs/>
          <w:color w:val="44546A" w:themeColor="text2"/>
          <w:sz w:val="22"/>
          <w:szCs w:val="22"/>
          <w:lang w:val="en-US"/>
        </w:rPr>
        <w:instrText xml:space="preserve"> SEQ Table \* ARABIC </w:instrText>
      </w:r>
      <w:r w:rsidRPr="00E00C4B">
        <w:rPr>
          <w:rFonts w:asciiTheme="majorHAnsi" w:eastAsiaTheme="minorHAnsi" w:hAnsiTheme="majorHAnsi" w:cstheme="majorHAnsi"/>
          <w:i/>
          <w:iCs/>
          <w:color w:val="44546A" w:themeColor="text2"/>
          <w:sz w:val="22"/>
          <w:szCs w:val="22"/>
          <w:lang w:val="en-US"/>
        </w:rPr>
        <w:fldChar w:fldCharType="separate"/>
      </w:r>
      <w:r w:rsidR="00D6133D">
        <w:rPr>
          <w:rFonts w:asciiTheme="majorHAnsi" w:eastAsiaTheme="minorHAnsi" w:hAnsiTheme="majorHAnsi" w:cstheme="majorHAnsi"/>
          <w:i/>
          <w:iCs/>
          <w:noProof/>
          <w:color w:val="44546A" w:themeColor="text2"/>
          <w:sz w:val="22"/>
          <w:szCs w:val="22"/>
          <w:lang w:val="en-US"/>
        </w:rPr>
        <w:t>58</w:t>
      </w:r>
      <w:r w:rsidRPr="00E00C4B">
        <w:rPr>
          <w:rFonts w:asciiTheme="majorHAnsi" w:eastAsiaTheme="minorHAnsi" w:hAnsiTheme="majorHAnsi" w:cstheme="majorHAnsi"/>
          <w:i/>
          <w:iCs/>
          <w:color w:val="44546A" w:themeColor="text2"/>
          <w:sz w:val="22"/>
          <w:szCs w:val="22"/>
          <w:lang w:val="en-US"/>
        </w:rPr>
        <w:fldChar w:fldCharType="end"/>
      </w:r>
      <w:r w:rsidRPr="00E00C4B">
        <w:rPr>
          <w:rFonts w:asciiTheme="majorHAnsi" w:eastAsiaTheme="minorHAnsi" w:hAnsiTheme="majorHAnsi" w:cstheme="majorHAnsi"/>
          <w:i/>
          <w:iCs/>
          <w:color w:val="44546A" w:themeColor="text2"/>
          <w:sz w:val="22"/>
          <w:szCs w:val="22"/>
          <w:lang w:val="en-US"/>
        </w:rPr>
        <w:t xml:space="preserve">. </w:t>
      </w:r>
      <w:r w:rsidRPr="00E00C4B">
        <w:rPr>
          <w:rFonts w:asciiTheme="majorHAnsi" w:eastAsiaTheme="minorHAnsi" w:hAnsiTheme="majorHAnsi" w:cstheme="majorHAnsi"/>
          <w:bCs/>
          <w:i/>
          <w:iCs/>
          <w:color w:val="44546A" w:themeColor="text2"/>
          <w:sz w:val="22"/>
          <w:szCs w:val="22"/>
          <w:lang w:val="en-US"/>
        </w:rPr>
        <w:t>Overall Enrolment, SY 2011-12 to 2017-18</w:t>
      </w:r>
      <w:bookmarkEnd w:id="531"/>
      <w:bookmarkEnd w:id="532"/>
    </w:p>
    <w:tbl>
      <w:tblPr>
        <w:tblStyle w:val="TableGrid11"/>
        <w:tblW w:w="10258" w:type="dxa"/>
        <w:tblLook w:val="04A0" w:firstRow="1" w:lastRow="0" w:firstColumn="1" w:lastColumn="0" w:noHBand="0" w:noVBand="1"/>
      </w:tblPr>
      <w:tblGrid>
        <w:gridCol w:w="1967"/>
        <w:gridCol w:w="1184"/>
        <w:gridCol w:w="1184"/>
        <w:gridCol w:w="1184"/>
        <w:gridCol w:w="1184"/>
        <w:gridCol w:w="1184"/>
        <w:gridCol w:w="1184"/>
        <w:gridCol w:w="1187"/>
      </w:tblGrid>
      <w:tr w:rsidR="008D0CAD" w:rsidRPr="00E00C4B" w14:paraId="3A6764C3" w14:textId="77777777" w:rsidTr="00F4751F">
        <w:trPr>
          <w:trHeight w:val="291"/>
          <w:tblHeader/>
        </w:trPr>
        <w:tc>
          <w:tcPr>
            <w:tcW w:w="1967" w:type="dxa"/>
            <w:tcBorders>
              <w:bottom w:val="nil"/>
            </w:tcBorders>
            <w:hideMark/>
          </w:tcPr>
          <w:p w14:paraId="76F60D6B" w14:textId="77777777" w:rsidR="008D0CAD" w:rsidRPr="004351FE" w:rsidRDefault="008D0CAD" w:rsidP="00796BFA">
            <w:pPr>
              <w:spacing w:before="100" w:beforeAutospacing="1" w:after="100" w:afterAutospacing="1" w:line="360" w:lineRule="auto"/>
              <w:rPr>
                <w:rFonts w:asciiTheme="majorHAnsi" w:hAnsiTheme="majorHAnsi" w:cstheme="majorHAnsi"/>
                <w:sz w:val="20"/>
                <w:szCs w:val="20"/>
              </w:rPr>
            </w:pPr>
          </w:p>
        </w:tc>
        <w:tc>
          <w:tcPr>
            <w:tcW w:w="1184" w:type="dxa"/>
            <w:tcBorders>
              <w:right w:val="nil"/>
            </w:tcBorders>
          </w:tcPr>
          <w:p w14:paraId="586DC345" w14:textId="0963C79B" w:rsidR="008D0CAD" w:rsidRPr="00DF3652" w:rsidRDefault="008F1358" w:rsidP="00796BFA">
            <w:pPr>
              <w:spacing w:before="100" w:beforeAutospacing="1" w:after="100" w:afterAutospacing="1" w:line="360" w:lineRule="auto"/>
              <w:rPr>
                <w:rFonts w:asciiTheme="majorHAnsi" w:hAnsiTheme="majorHAnsi" w:cstheme="majorHAnsi"/>
                <w:color w:val="000000"/>
                <w:sz w:val="20"/>
                <w:szCs w:val="20"/>
              </w:rPr>
            </w:pPr>
            <w:r w:rsidRPr="00DF3652">
              <w:rPr>
                <w:rFonts w:asciiTheme="majorHAnsi" w:hAnsiTheme="majorHAnsi" w:cstheme="majorHAnsi"/>
                <w:color w:val="000000"/>
                <w:sz w:val="20"/>
                <w:szCs w:val="20"/>
              </w:rPr>
              <w:t>School Year</w:t>
            </w:r>
          </w:p>
        </w:tc>
        <w:tc>
          <w:tcPr>
            <w:tcW w:w="1184" w:type="dxa"/>
            <w:tcBorders>
              <w:left w:val="nil"/>
              <w:right w:val="nil"/>
            </w:tcBorders>
          </w:tcPr>
          <w:p w14:paraId="05E92295" w14:textId="2D260F9F" w:rsidR="008D0CAD" w:rsidRPr="00DF3652" w:rsidRDefault="008D0CAD" w:rsidP="00796BFA">
            <w:pPr>
              <w:spacing w:before="100" w:beforeAutospacing="1" w:after="100" w:afterAutospacing="1" w:line="360" w:lineRule="auto"/>
              <w:rPr>
                <w:rFonts w:asciiTheme="majorHAnsi" w:hAnsiTheme="majorHAnsi" w:cstheme="majorHAnsi"/>
                <w:color w:val="000000"/>
                <w:sz w:val="20"/>
                <w:szCs w:val="20"/>
              </w:rPr>
            </w:pPr>
          </w:p>
        </w:tc>
        <w:tc>
          <w:tcPr>
            <w:tcW w:w="1184" w:type="dxa"/>
            <w:tcBorders>
              <w:left w:val="nil"/>
              <w:right w:val="nil"/>
            </w:tcBorders>
          </w:tcPr>
          <w:p w14:paraId="5BE072E9" w14:textId="3FDA1A0C" w:rsidR="008D0CAD" w:rsidRPr="00E00C4B" w:rsidRDefault="008D0CAD" w:rsidP="00796BFA">
            <w:pPr>
              <w:spacing w:before="100" w:beforeAutospacing="1" w:after="100" w:afterAutospacing="1" w:line="360" w:lineRule="auto"/>
              <w:rPr>
                <w:rFonts w:asciiTheme="majorHAnsi" w:hAnsiTheme="majorHAnsi" w:cstheme="majorHAnsi"/>
                <w:b/>
                <w:bCs/>
                <w:color w:val="000000"/>
                <w:sz w:val="20"/>
                <w:szCs w:val="20"/>
              </w:rPr>
            </w:pPr>
          </w:p>
        </w:tc>
        <w:tc>
          <w:tcPr>
            <w:tcW w:w="1184" w:type="dxa"/>
            <w:tcBorders>
              <w:left w:val="nil"/>
              <w:right w:val="nil"/>
            </w:tcBorders>
          </w:tcPr>
          <w:p w14:paraId="4CA54B1B" w14:textId="2F648F4C" w:rsidR="008D0CAD" w:rsidRPr="00E00C4B" w:rsidRDefault="008D0CAD" w:rsidP="00796BFA">
            <w:pPr>
              <w:spacing w:before="100" w:beforeAutospacing="1" w:after="100" w:afterAutospacing="1" w:line="360" w:lineRule="auto"/>
              <w:rPr>
                <w:rFonts w:asciiTheme="majorHAnsi" w:hAnsiTheme="majorHAnsi" w:cstheme="majorHAnsi"/>
                <w:b/>
                <w:bCs/>
                <w:color w:val="000000"/>
                <w:sz w:val="20"/>
                <w:szCs w:val="20"/>
              </w:rPr>
            </w:pPr>
          </w:p>
        </w:tc>
        <w:tc>
          <w:tcPr>
            <w:tcW w:w="1184" w:type="dxa"/>
            <w:tcBorders>
              <w:left w:val="nil"/>
              <w:right w:val="nil"/>
            </w:tcBorders>
          </w:tcPr>
          <w:p w14:paraId="7C3F2B50" w14:textId="014AD89C" w:rsidR="008D0CAD" w:rsidRPr="00E00C4B" w:rsidRDefault="008D0CAD" w:rsidP="00796BFA">
            <w:pPr>
              <w:spacing w:before="100" w:beforeAutospacing="1" w:after="100" w:afterAutospacing="1" w:line="360" w:lineRule="auto"/>
              <w:rPr>
                <w:rFonts w:asciiTheme="majorHAnsi" w:hAnsiTheme="majorHAnsi" w:cstheme="majorHAnsi"/>
                <w:b/>
                <w:bCs/>
                <w:color w:val="000000"/>
                <w:sz w:val="20"/>
                <w:szCs w:val="20"/>
              </w:rPr>
            </w:pPr>
          </w:p>
        </w:tc>
        <w:tc>
          <w:tcPr>
            <w:tcW w:w="1184" w:type="dxa"/>
            <w:tcBorders>
              <w:left w:val="nil"/>
              <w:right w:val="nil"/>
            </w:tcBorders>
          </w:tcPr>
          <w:p w14:paraId="1E6D9A78" w14:textId="6F1B319A" w:rsidR="008D0CAD" w:rsidRPr="00E00C4B" w:rsidRDefault="008D0CAD" w:rsidP="00796BFA">
            <w:pPr>
              <w:spacing w:before="100" w:beforeAutospacing="1" w:after="100" w:afterAutospacing="1" w:line="360" w:lineRule="auto"/>
              <w:rPr>
                <w:rFonts w:asciiTheme="majorHAnsi" w:hAnsiTheme="majorHAnsi" w:cstheme="majorHAnsi"/>
                <w:b/>
                <w:bCs/>
                <w:color w:val="000000"/>
                <w:sz w:val="20"/>
                <w:szCs w:val="20"/>
              </w:rPr>
            </w:pPr>
          </w:p>
        </w:tc>
        <w:tc>
          <w:tcPr>
            <w:tcW w:w="1187" w:type="dxa"/>
            <w:tcBorders>
              <w:left w:val="nil"/>
            </w:tcBorders>
          </w:tcPr>
          <w:p w14:paraId="6DCBB18D" w14:textId="52F07DE9" w:rsidR="008D0CAD" w:rsidRPr="00E00C4B" w:rsidRDefault="008D0CAD" w:rsidP="00796BFA">
            <w:pPr>
              <w:spacing w:before="100" w:beforeAutospacing="1" w:after="100" w:afterAutospacing="1" w:line="360" w:lineRule="auto"/>
              <w:rPr>
                <w:rFonts w:asciiTheme="majorHAnsi" w:hAnsiTheme="majorHAnsi" w:cstheme="majorHAnsi"/>
                <w:b/>
                <w:bCs/>
                <w:color w:val="000000"/>
                <w:sz w:val="20"/>
                <w:szCs w:val="20"/>
              </w:rPr>
            </w:pPr>
          </w:p>
        </w:tc>
      </w:tr>
      <w:tr w:rsidR="008F1358" w:rsidRPr="00E00C4B" w14:paraId="24B38175" w14:textId="77777777" w:rsidTr="00F4751F">
        <w:trPr>
          <w:trHeight w:val="291"/>
          <w:tblHeader/>
        </w:trPr>
        <w:tc>
          <w:tcPr>
            <w:tcW w:w="1967" w:type="dxa"/>
            <w:tcBorders>
              <w:top w:val="nil"/>
            </w:tcBorders>
          </w:tcPr>
          <w:p w14:paraId="55265285" w14:textId="122FE853" w:rsidR="008F1358" w:rsidRPr="004351FE" w:rsidRDefault="008F1358" w:rsidP="008F1358">
            <w:pPr>
              <w:spacing w:before="100" w:beforeAutospacing="1" w:after="100" w:afterAutospacing="1" w:line="360" w:lineRule="auto"/>
              <w:rPr>
                <w:rFonts w:asciiTheme="majorHAnsi" w:hAnsiTheme="majorHAnsi" w:cstheme="majorHAnsi"/>
                <w:sz w:val="20"/>
                <w:szCs w:val="20"/>
              </w:rPr>
            </w:pPr>
            <w:r w:rsidRPr="004351FE">
              <w:rPr>
                <w:rFonts w:asciiTheme="majorHAnsi" w:hAnsiTheme="majorHAnsi" w:cstheme="majorHAnsi"/>
                <w:sz w:val="20"/>
                <w:szCs w:val="20"/>
              </w:rPr>
              <w:t>Enrolment</w:t>
            </w:r>
          </w:p>
        </w:tc>
        <w:tc>
          <w:tcPr>
            <w:tcW w:w="1184" w:type="dxa"/>
          </w:tcPr>
          <w:p w14:paraId="3A38899D" w14:textId="527A3689" w:rsidR="008F1358" w:rsidRPr="00E00C4B" w:rsidRDefault="008F1358" w:rsidP="008F1358">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b/>
                <w:bCs/>
                <w:color w:val="000000"/>
                <w:sz w:val="20"/>
                <w:szCs w:val="20"/>
              </w:rPr>
              <w:t>2011-12</w:t>
            </w:r>
          </w:p>
        </w:tc>
        <w:tc>
          <w:tcPr>
            <w:tcW w:w="1184" w:type="dxa"/>
          </w:tcPr>
          <w:p w14:paraId="260428F3" w14:textId="358B06BA" w:rsidR="008F1358" w:rsidRPr="00E00C4B" w:rsidRDefault="008F1358" w:rsidP="008F1358">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b/>
                <w:bCs/>
                <w:color w:val="000000"/>
                <w:sz w:val="20"/>
                <w:szCs w:val="20"/>
              </w:rPr>
              <w:t>2012-13</w:t>
            </w:r>
          </w:p>
        </w:tc>
        <w:tc>
          <w:tcPr>
            <w:tcW w:w="1184" w:type="dxa"/>
          </w:tcPr>
          <w:p w14:paraId="08A3AEC0" w14:textId="318DE90F" w:rsidR="008F1358" w:rsidRPr="00E00C4B" w:rsidRDefault="008F1358" w:rsidP="008F1358">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b/>
                <w:bCs/>
                <w:color w:val="000000"/>
                <w:sz w:val="20"/>
                <w:szCs w:val="20"/>
              </w:rPr>
              <w:t>2013-14</w:t>
            </w:r>
          </w:p>
        </w:tc>
        <w:tc>
          <w:tcPr>
            <w:tcW w:w="1184" w:type="dxa"/>
          </w:tcPr>
          <w:p w14:paraId="0A739F45" w14:textId="2C32B5F9" w:rsidR="008F1358" w:rsidRPr="00E00C4B" w:rsidRDefault="008F1358" w:rsidP="008F1358">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b/>
                <w:bCs/>
                <w:color w:val="000000"/>
                <w:sz w:val="20"/>
                <w:szCs w:val="20"/>
              </w:rPr>
              <w:t>2014-15</w:t>
            </w:r>
          </w:p>
        </w:tc>
        <w:tc>
          <w:tcPr>
            <w:tcW w:w="1184" w:type="dxa"/>
          </w:tcPr>
          <w:p w14:paraId="10B1D14B" w14:textId="307BDCE9" w:rsidR="008F1358" w:rsidRPr="00E00C4B" w:rsidRDefault="008F1358" w:rsidP="008F1358">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b/>
                <w:bCs/>
                <w:color w:val="000000"/>
                <w:sz w:val="20"/>
                <w:szCs w:val="20"/>
              </w:rPr>
              <w:t>2015-16</w:t>
            </w:r>
          </w:p>
        </w:tc>
        <w:tc>
          <w:tcPr>
            <w:tcW w:w="1184" w:type="dxa"/>
          </w:tcPr>
          <w:p w14:paraId="10B6D8B4" w14:textId="1AD6AD1D" w:rsidR="008F1358" w:rsidRPr="00E00C4B" w:rsidRDefault="008F1358" w:rsidP="008F1358">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b/>
                <w:bCs/>
                <w:color w:val="000000"/>
                <w:sz w:val="20"/>
                <w:szCs w:val="20"/>
              </w:rPr>
              <w:t>2016-17</w:t>
            </w:r>
          </w:p>
        </w:tc>
        <w:tc>
          <w:tcPr>
            <w:tcW w:w="1187" w:type="dxa"/>
          </w:tcPr>
          <w:p w14:paraId="51A43C8B" w14:textId="38BBFC8A" w:rsidR="008F1358" w:rsidRPr="00E00C4B" w:rsidRDefault="008F1358" w:rsidP="008F1358">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b/>
                <w:bCs/>
                <w:color w:val="000000"/>
                <w:sz w:val="20"/>
                <w:szCs w:val="20"/>
              </w:rPr>
              <w:t>2017-18</w:t>
            </w:r>
          </w:p>
        </w:tc>
      </w:tr>
      <w:tr w:rsidR="008F1358" w:rsidRPr="00E00C4B" w14:paraId="4BAE0568" w14:textId="77777777" w:rsidTr="004351FE">
        <w:trPr>
          <w:trHeight w:val="291"/>
        </w:trPr>
        <w:tc>
          <w:tcPr>
            <w:tcW w:w="1967" w:type="dxa"/>
            <w:hideMark/>
          </w:tcPr>
          <w:p w14:paraId="2B914E1B" w14:textId="77777777" w:rsidR="008F1358" w:rsidRPr="004351FE" w:rsidRDefault="008F1358" w:rsidP="008F1358">
            <w:pPr>
              <w:spacing w:before="100" w:beforeAutospacing="1" w:after="100" w:afterAutospacing="1" w:line="360" w:lineRule="auto"/>
              <w:rPr>
                <w:rFonts w:asciiTheme="majorHAnsi" w:hAnsiTheme="majorHAnsi" w:cstheme="majorHAnsi"/>
                <w:sz w:val="20"/>
                <w:szCs w:val="20"/>
              </w:rPr>
            </w:pPr>
            <w:r w:rsidRPr="004351FE">
              <w:rPr>
                <w:rFonts w:asciiTheme="majorHAnsi" w:hAnsiTheme="majorHAnsi" w:cstheme="majorHAnsi"/>
                <w:sz w:val="20"/>
                <w:szCs w:val="20"/>
              </w:rPr>
              <w:t xml:space="preserve">Overall </w:t>
            </w:r>
          </w:p>
        </w:tc>
        <w:tc>
          <w:tcPr>
            <w:tcW w:w="1184" w:type="dxa"/>
            <w:hideMark/>
          </w:tcPr>
          <w:p w14:paraId="006E1D4E" w14:textId="77777777" w:rsidR="008F1358" w:rsidRPr="00E00C4B" w:rsidRDefault="008F1358" w:rsidP="008F1358">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color w:val="000000"/>
                <w:sz w:val="20"/>
                <w:szCs w:val="20"/>
              </w:rPr>
              <w:t>20,474,410</w:t>
            </w:r>
          </w:p>
        </w:tc>
        <w:tc>
          <w:tcPr>
            <w:tcW w:w="1184" w:type="dxa"/>
            <w:hideMark/>
          </w:tcPr>
          <w:p w14:paraId="1B66F55B" w14:textId="77777777" w:rsidR="008F1358" w:rsidRPr="00E00C4B" w:rsidRDefault="008F1358" w:rsidP="008F1358">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color w:val="000000"/>
                <w:sz w:val="20"/>
                <w:szCs w:val="20"/>
              </w:rPr>
              <w:t>20,019,025</w:t>
            </w:r>
          </w:p>
        </w:tc>
        <w:tc>
          <w:tcPr>
            <w:tcW w:w="1184" w:type="dxa"/>
            <w:hideMark/>
          </w:tcPr>
          <w:p w14:paraId="57DF6A7E" w14:textId="77777777" w:rsidR="008F1358" w:rsidRPr="00E00C4B" w:rsidRDefault="008F1358" w:rsidP="008F1358">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color w:val="000000"/>
                <w:sz w:val="20"/>
                <w:szCs w:val="20"/>
              </w:rPr>
              <w:t>20,921,931</w:t>
            </w:r>
          </w:p>
        </w:tc>
        <w:tc>
          <w:tcPr>
            <w:tcW w:w="1184" w:type="dxa"/>
            <w:hideMark/>
          </w:tcPr>
          <w:p w14:paraId="31053F3A" w14:textId="77777777" w:rsidR="008F1358" w:rsidRPr="00E00C4B" w:rsidRDefault="008F1358" w:rsidP="008F1358">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color w:val="000000"/>
                <w:sz w:val="20"/>
                <w:szCs w:val="20"/>
              </w:rPr>
              <w:t>21,042,250</w:t>
            </w:r>
          </w:p>
        </w:tc>
        <w:tc>
          <w:tcPr>
            <w:tcW w:w="1184" w:type="dxa"/>
            <w:hideMark/>
          </w:tcPr>
          <w:p w14:paraId="31574EF7" w14:textId="77777777" w:rsidR="008F1358" w:rsidRPr="00E00C4B" w:rsidRDefault="008F1358" w:rsidP="008F1358">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color w:val="000000"/>
                <w:sz w:val="20"/>
                <w:szCs w:val="20"/>
              </w:rPr>
              <w:t>20,907,407</w:t>
            </w:r>
          </w:p>
        </w:tc>
        <w:tc>
          <w:tcPr>
            <w:tcW w:w="1184" w:type="dxa"/>
            <w:hideMark/>
          </w:tcPr>
          <w:p w14:paraId="7D7D2AB9" w14:textId="77777777" w:rsidR="008F1358" w:rsidRPr="00E00C4B" w:rsidRDefault="008F1358" w:rsidP="008F1358">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color w:val="000000"/>
                <w:sz w:val="20"/>
                <w:szCs w:val="20"/>
              </w:rPr>
              <w:t>20,668,208</w:t>
            </w:r>
          </w:p>
        </w:tc>
        <w:tc>
          <w:tcPr>
            <w:tcW w:w="1187" w:type="dxa"/>
            <w:hideMark/>
          </w:tcPr>
          <w:p w14:paraId="45DD08F9" w14:textId="77777777" w:rsidR="008F1358" w:rsidRPr="00E00C4B" w:rsidRDefault="008F1358" w:rsidP="008F1358">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color w:val="000000"/>
                <w:sz w:val="20"/>
                <w:szCs w:val="20"/>
              </w:rPr>
              <w:t>22,096,820</w:t>
            </w:r>
          </w:p>
        </w:tc>
      </w:tr>
      <w:tr w:rsidR="008F1358" w:rsidRPr="00E00C4B" w14:paraId="4EA5C22B" w14:textId="77777777" w:rsidTr="004351FE">
        <w:trPr>
          <w:trHeight w:val="291"/>
        </w:trPr>
        <w:tc>
          <w:tcPr>
            <w:tcW w:w="1967" w:type="dxa"/>
            <w:hideMark/>
          </w:tcPr>
          <w:p w14:paraId="6E125586" w14:textId="77777777" w:rsidR="008F1358" w:rsidRPr="004351FE" w:rsidRDefault="008F1358" w:rsidP="008F1358">
            <w:pPr>
              <w:spacing w:before="100" w:beforeAutospacing="1" w:after="100" w:afterAutospacing="1" w:line="360" w:lineRule="auto"/>
              <w:ind w:firstLineChars="100" w:firstLine="200"/>
              <w:rPr>
                <w:rFonts w:asciiTheme="majorHAnsi" w:hAnsiTheme="majorHAnsi" w:cstheme="majorHAnsi"/>
                <w:sz w:val="20"/>
                <w:szCs w:val="20"/>
              </w:rPr>
            </w:pPr>
            <w:r w:rsidRPr="004351FE">
              <w:rPr>
                <w:rFonts w:asciiTheme="majorHAnsi" w:hAnsiTheme="majorHAnsi" w:cstheme="majorHAnsi"/>
                <w:sz w:val="20"/>
                <w:szCs w:val="20"/>
              </w:rPr>
              <w:t xml:space="preserve">Overall-Male </w:t>
            </w:r>
          </w:p>
        </w:tc>
        <w:tc>
          <w:tcPr>
            <w:tcW w:w="1184" w:type="dxa"/>
            <w:hideMark/>
          </w:tcPr>
          <w:p w14:paraId="5067E15A" w14:textId="77777777" w:rsidR="008F1358" w:rsidRPr="00E00C4B" w:rsidRDefault="008F1358" w:rsidP="008F1358">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color w:val="000000"/>
                <w:sz w:val="20"/>
                <w:szCs w:val="20"/>
              </w:rPr>
              <w:t>10,477,395</w:t>
            </w:r>
          </w:p>
        </w:tc>
        <w:tc>
          <w:tcPr>
            <w:tcW w:w="1184" w:type="dxa"/>
            <w:hideMark/>
          </w:tcPr>
          <w:p w14:paraId="3C3D1449" w14:textId="77777777" w:rsidR="008F1358" w:rsidRPr="00E00C4B" w:rsidRDefault="008F1358" w:rsidP="008F1358">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color w:val="000000"/>
                <w:sz w:val="20"/>
                <w:szCs w:val="20"/>
              </w:rPr>
              <w:t>10,332,301</w:t>
            </w:r>
          </w:p>
        </w:tc>
        <w:tc>
          <w:tcPr>
            <w:tcW w:w="1184" w:type="dxa"/>
            <w:hideMark/>
          </w:tcPr>
          <w:p w14:paraId="0E3FFF27" w14:textId="77777777" w:rsidR="008F1358" w:rsidRPr="00E00C4B" w:rsidRDefault="008F1358" w:rsidP="008F1358">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color w:val="000000"/>
                <w:sz w:val="20"/>
                <w:szCs w:val="20"/>
              </w:rPr>
              <w:t>10,731,907</w:t>
            </w:r>
          </w:p>
        </w:tc>
        <w:tc>
          <w:tcPr>
            <w:tcW w:w="1184" w:type="dxa"/>
            <w:hideMark/>
          </w:tcPr>
          <w:p w14:paraId="482C2B59" w14:textId="77777777" w:rsidR="008F1358" w:rsidRPr="00E00C4B" w:rsidRDefault="008F1358" w:rsidP="008F1358">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color w:val="000000"/>
                <w:sz w:val="20"/>
                <w:szCs w:val="20"/>
              </w:rPr>
              <w:t>10,825,558</w:t>
            </w:r>
          </w:p>
        </w:tc>
        <w:tc>
          <w:tcPr>
            <w:tcW w:w="1184" w:type="dxa"/>
            <w:hideMark/>
          </w:tcPr>
          <w:p w14:paraId="6187C74D" w14:textId="77777777" w:rsidR="008F1358" w:rsidRPr="00E00C4B" w:rsidRDefault="008F1358" w:rsidP="008F1358">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color w:val="000000"/>
                <w:sz w:val="20"/>
                <w:szCs w:val="20"/>
              </w:rPr>
              <w:t>10,734,310</w:t>
            </w:r>
          </w:p>
        </w:tc>
        <w:tc>
          <w:tcPr>
            <w:tcW w:w="1184" w:type="dxa"/>
            <w:hideMark/>
          </w:tcPr>
          <w:p w14:paraId="30F5CA3D" w14:textId="77777777" w:rsidR="008F1358" w:rsidRPr="00E00C4B" w:rsidRDefault="008F1358" w:rsidP="008F1358">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color w:val="000000"/>
                <w:sz w:val="20"/>
                <w:szCs w:val="20"/>
              </w:rPr>
              <w:t>10,610,373</w:t>
            </w:r>
          </w:p>
        </w:tc>
        <w:tc>
          <w:tcPr>
            <w:tcW w:w="1187" w:type="dxa"/>
            <w:hideMark/>
          </w:tcPr>
          <w:p w14:paraId="605C43E6" w14:textId="77777777" w:rsidR="008F1358" w:rsidRPr="00E00C4B" w:rsidRDefault="008F1358" w:rsidP="008F1358">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color w:val="000000"/>
                <w:sz w:val="20"/>
                <w:szCs w:val="20"/>
              </w:rPr>
              <w:t>11,297,031</w:t>
            </w:r>
          </w:p>
        </w:tc>
      </w:tr>
      <w:tr w:rsidR="008F1358" w:rsidRPr="00E00C4B" w14:paraId="256F4989" w14:textId="77777777" w:rsidTr="004351FE">
        <w:trPr>
          <w:trHeight w:val="291"/>
        </w:trPr>
        <w:tc>
          <w:tcPr>
            <w:tcW w:w="1967" w:type="dxa"/>
            <w:hideMark/>
          </w:tcPr>
          <w:p w14:paraId="4816CFE0" w14:textId="77777777" w:rsidR="008F1358" w:rsidRPr="004351FE" w:rsidRDefault="008F1358" w:rsidP="008F1358">
            <w:pPr>
              <w:spacing w:before="100" w:beforeAutospacing="1" w:after="100" w:afterAutospacing="1" w:line="360" w:lineRule="auto"/>
              <w:ind w:firstLineChars="100" w:firstLine="200"/>
              <w:rPr>
                <w:rFonts w:asciiTheme="majorHAnsi" w:hAnsiTheme="majorHAnsi" w:cstheme="majorHAnsi"/>
                <w:sz w:val="20"/>
                <w:szCs w:val="20"/>
              </w:rPr>
            </w:pPr>
            <w:r w:rsidRPr="004351FE">
              <w:rPr>
                <w:rFonts w:asciiTheme="majorHAnsi" w:hAnsiTheme="majorHAnsi" w:cstheme="majorHAnsi"/>
                <w:sz w:val="20"/>
                <w:szCs w:val="20"/>
              </w:rPr>
              <w:t>Overall-Female</w:t>
            </w:r>
          </w:p>
        </w:tc>
        <w:tc>
          <w:tcPr>
            <w:tcW w:w="1184" w:type="dxa"/>
            <w:hideMark/>
          </w:tcPr>
          <w:p w14:paraId="2E319F90" w14:textId="77777777" w:rsidR="008F1358" w:rsidRPr="00E00C4B" w:rsidRDefault="008F1358" w:rsidP="008F1358">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color w:val="000000"/>
                <w:sz w:val="20"/>
                <w:szCs w:val="20"/>
              </w:rPr>
              <w:t>9,997,015</w:t>
            </w:r>
          </w:p>
        </w:tc>
        <w:tc>
          <w:tcPr>
            <w:tcW w:w="1184" w:type="dxa"/>
            <w:hideMark/>
          </w:tcPr>
          <w:p w14:paraId="40C33353" w14:textId="77777777" w:rsidR="008F1358" w:rsidRPr="00E00C4B" w:rsidRDefault="008F1358" w:rsidP="008F1358">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color w:val="000000"/>
                <w:sz w:val="20"/>
                <w:szCs w:val="20"/>
              </w:rPr>
              <w:t>9,686,724</w:t>
            </w:r>
          </w:p>
        </w:tc>
        <w:tc>
          <w:tcPr>
            <w:tcW w:w="1184" w:type="dxa"/>
            <w:hideMark/>
          </w:tcPr>
          <w:p w14:paraId="1B94D318" w14:textId="77777777" w:rsidR="008F1358" w:rsidRPr="00E00C4B" w:rsidRDefault="008F1358" w:rsidP="008F1358">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color w:val="000000"/>
                <w:sz w:val="20"/>
                <w:szCs w:val="20"/>
              </w:rPr>
              <w:t>10,190,024</w:t>
            </w:r>
          </w:p>
        </w:tc>
        <w:tc>
          <w:tcPr>
            <w:tcW w:w="1184" w:type="dxa"/>
            <w:hideMark/>
          </w:tcPr>
          <w:p w14:paraId="3772EE53" w14:textId="77777777" w:rsidR="008F1358" w:rsidRPr="00E00C4B" w:rsidRDefault="008F1358" w:rsidP="008F1358">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color w:val="000000"/>
                <w:sz w:val="20"/>
                <w:szCs w:val="20"/>
              </w:rPr>
              <w:t>10,216,692</w:t>
            </w:r>
          </w:p>
        </w:tc>
        <w:tc>
          <w:tcPr>
            <w:tcW w:w="1184" w:type="dxa"/>
            <w:hideMark/>
          </w:tcPr>
          <w:p w14:paraId="4F2DBF3E" w14:textId="77777777" w:rsidR="008F1358" w:rsidRPr="00E00C4B" w:rsidRDefault="008F1358" w:rsidP="008F1358">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color w:val="000000"/>
                <w:sz w:val="20"/>
                <w:szCs w:val="20"/>
              </w:rPr>
              <w:t>10,173,097</w:t>
            </w:r>
          </w:p>
        </w:tc>
        <w:tc>
          <w:tcPr>
            <w:tcW w:w="1184" w:type="dxa"/>
            <w:hideMark/>
          </w:tcPr>
          <w:p w14:paraId="290E863E" w14:textId="77777777" w:rsidR="008F1358" w:rsidRPr="00E00C4B" w:rsidRDefault="008F1358" w:rsidP="008F1358">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color w:val="000000"/>
                <w:sz w:val="20"/>
                <w:szCs w:val="20"/>
              </w:rPr>
              <w:t>10,057,835</w:t>
            </w:r>
          </w:p>
        </w:tc>
        <w:tc>
          <w:tcPr>
            <w:tcW w:w="1187" w:type="dxa"/>
            <w:hideMark/>
          </w:tcPr>
          <w:p w14:paraId="2D40AE66" w14:textId="77777777" w:rsidR="008F1358" w:rsidRPr="00E00C4B" w:rsidRDefault="008F1358" w:rsidP="008F1358">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color w:val="000000"/>
                <w:sz w:val="20"/>
                <w:szCs w:val="20"/>
              </w:rPr>
              <w:t>10,799,789</w:t>
            </w:r>
          </w:p>
        </w:tc>
      </w:tr>
      <w:tr w:rsidR="008F1358" w:rsidRPr="00E00C4B" w14:paraId="24E0114F" w14:textId="77777777" w:rsidTr="004351FE">
        <w:trPr>
          <w:trHeight w:val="291"/>
        </w:trPr>
        <w:tc>
          <w:tcPr>
            <w:tcW w:w="1967" w:type="dxa"/>
            <w:hideMark/>
          </w:tcPr>
          <w:p w14:paraId="3964D560" w14:textId="77777777" w:rsidR="008F1358" w:rsidRPr="004351FE" w:rsidRDefault="008F1358" w:rsidP="008F1358">
            <w:pPr>
              <w:spacing w:before="100" w:beforeAutospacing="1" w:after="100" w:afterAutospacing="1" w:line="360" w:lineRule="auto"/>
              <w:rPr>
                <w:rFonts w:asciiTheme="majorHAnsi" w:hAnsiTheme="majorHAnsi" w:cstheme="majorHAnsi"/>
                <w:sz w:val="20"/>
                <w:szCs w:val="20"/>
              </w:rPr>
            </w:pPr>
            <w:r w:rsidRPr="004351FE">
              <w:rPr>
                <w:rFonts w:asciiTheme="majorHAnsi" w:hAnsiTheme="majorHAnsi" w:cstheme="majorHAnsi"/>
                <w:sz w:val="20"/>
                <w:szCs w:val="20"/>
              </w:rPr>
              <w:t xml:space="preserve">Elementary </w:t>
            </w:r>
          </w:p>
        </w:tc>
        <w:tc>
          <w:tcPr>
            <w:tcW w:w="1184" w:type="dxa"/>
            <w:hideMark/>
          </w:tcPr>
          <w:p w14:paraId="6C5A9E16" w14:textId="77777777" w:rsidR="008F1358" w:rsidRPr="00E00C4B" w:rsidRDefault="008F1358" w:rsidP="008F1358">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color w:val="000000"/>
                <w:sz w:val="20"/>
                <w:szCs w:val="20"/>
              </w:rPr>
              <w:t>14,898,142</w:t>
            </w:r>
          </w:p>
        </w:tc>
        <w:tc>
          <w:tcPr>
            <w:tcW w:w="1184" w:type="dxa"/>
            <w:hideMark/>
          </w:tcPr>
          <w:p w14:paraId="6B6FA681" w14:textId="77777777" w:rsidR="008F1358" w:rsidRPr="00E00C4B" w:rsidRDefault="008F1358" w:rsidP="008F1358">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color w:val="000000"/>
                <w:sz w:val="20"/>
                <w:szCs w:val="20"/>
              </w:rPr>
              <w:t>15,032,981</w:t>
            </w:r>
          </w:p>
        </w:tc>
        <w:tc>
          <w:tcPr>
            <w:tcW w:w="1184" w:type="dxa"/>
            <w:hideMark/>
          </w:tcPr>
          <w:p w14:paraId="35538E16" w14:textId="77777777" w:rsidR="008F1358" w:rsidRPr="00E00C4B" w:rsidRDefault="008F1358" w:rsidP="008F1358">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color w:val="000000"/>
                <w:sz w:val="20"/>
                <w:szCs w:val="20"/>
              </w:rPr>
              <w:t>15,148,399</w:t>
            </w:r>
          </w:p>
        </w:tc>
        <w:tc>
          <w:tcPr>
            <w:tcW w:w="1184" w:type="dxa"/>
            <w:hideMark/>
          </w:tcPr>
          <w:p w14:paraId="617EB922" w14:textId="77777777" w:rsidR="008F1358" w:rsidRPr="00E00C4B" w:rsidRDefault="008F1358" w:rsidP="008F1358">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color w:val="000000"/>
                <w:sz w:val="20"/>
                <w:szCs w:val="20"/>
              </w:rPr>
              <w:t>15,114,208</w:t>
            </w:r>
          </w:p>
        </w:tc>
        <w:tc>
          <w:tcPr>
            <w:tcW w:w="1184" w:type="dxa"/>
            <w:hideMark/>
          </w:tcPr>
          <w:p w14:paraId="559130B5" w14:textId="77777777" w:rsidR="008F1358" w:rsidRPr="00E00C4B" w:rsidRDefault="008F1358" w:rsidP="008F1358">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color w:val="000000"/>
                <w:sz w:val="20"/>
                <w:szCs w:val="20"/>
              </w:rPr>
              <w:t>14,894,646</w:t>
            </w:r>
          </w:p>
        </w:tc>
        <w:tc>
          <w:tcPr>
            <w:tcW w:w="1184" w:type="dxa"/>
            <w:hideMark/>
          </w:tcPr>
          <w:p w14:paraId="3E06640C" w14:textId="77777777" w:rsidR="008F1358" w:rsidRPr="00E00C4B" w:rsidRDefault="008F1358" w:rsidP="008F1358">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color w:val="000000"/>
                <w:sz w:val="20"/>
                <w:szCs w:val="20"/>
              </w:rPr>
              <w:t>14,488,231</w:t>
            </w:r>
          </w:p>
        </w:tc>
        <w:tc>
          <w:tcPr>
            <w:tcW w:w="1187" w:type="dxa"/>
            <w:hideMark/>
          </w:tcPr>
          <w:p w14:paraId="16390777" w14:textId="77777777" w:rsidR="008F1358" w:rsidRPr="00E00C4B" w:rsidRDefault="008F1358" w:rsidP="008F1358">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color w:val="000000"/>
                <w:sz w:val="20"/>
                <w:szCs w:val="20"/>
              </w:rPr>
              <w:t>14,289,445</w:t>
            </w:r>
          </w:p>
        </w:tc>
      </w:tr>
      <w:tr w:rsidR="008F1358" w:rsidRPr="00E00C4B" w14:paraId="33EC9415" w14:textId="77777777" w:rsidTr="004351FE">
        <w:trPr>
          <w:trHeight w:val="291"/>
        </w:trPr>
        <w:tc>
          <w:tcPr>
            <w:tcW w:w="1967" w:type="dxa"/>
            <w:hideMark/>
          </w:tcPr>
          <w:p w14:paraId="4304DC90" w14:textId="77777777" w:rsidR="008F1358" w:rsidRPr="004351FE" w:rsidRDefault="008F1358" w:rsidP="008F1358">
            <w:pPr>
              <w:spacing w:before="100" w:beforeAutospacing="1" w:after="100" w:afterAutospacing="1" w:line="360" w:lineRule="auto"/>
              <w:ind w:firstLineChars="100" w:firstLine="200"/>
              <w:rPr>
                <w:rFonts w:asciiTheme="majorHAnsi" w:hAnsiTheme="majorHAnsi" w:cstheme="majorHAnsi"/>
                <w:sz w:val="20"/>
                <w:szCs w:val="20"/>
              </w:rPr>
            </w:pPr>
            <w:r w:rsidRPr="004351FE">
              <w:rPr>
                <w:rFonts w:asciiTheme="majorHAnsi" w:hAnsiTheme="majorHAnsi" w:cstheme="majorHAnsi"/>
                <w:sz w:val="20"/>
                <w:szCs w:val="20"/>
              </w:rPr>
              <w:t xml:space="preserve">Male </w:t>
            </w:r>
          </w:p>
        </w:tc>
        <w:tc>
          <w:tcPr>
            <w:tcW w:w="1184" w:type="dxa"/>
            <w:hideMark/>
          </w:tcPr>
          <w:p w14:paraId="2C8E6A7D" w14:textId="77777777" w:rsidR="008F1358" w:rsidRPr="00E00C4B" w:rsidRDefault="008F1358" w:rsidP="008F1358">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color w:val="000000"/>
                <w:sz w:val="20"/>
                <w:szCs w:val="20"/>
              </w:rPr>
              <w:t>7,716,961</w:t>
            </w:r>
          </w:p>
        </w:tc>
        <w:tc>
          <w:tcPr>
            <w:tcW w:w="1184" w:type="dxa"/>
            <w:hideMark/>
          </w:tcPr>
          <w:p w14:paraId="6E97FFA5" w14:textId="77777777" w:rsidR="008F1358" w:rsidRPr="00E00C4B" w:rsidRDefault="008F1358" w:rsidP="008F1358">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color w:val="000000"/>
                <w:sz w:val="20"/>
                <w:szCs w:val="20"/>
              </w:rPr>
              <w:t>7,852,509</w:t>
            </w:r>
          </w:p>
        </w:tc>
        <w:tc>
          <w:tcPr>
            <w:tcW w:w="1184" w:type="dxa"/>
            <w:hideMark/>
          </w:tcPr>
          <w:p w14:paraId="58374CA9" w14:textId="77777777" w:rsidR="008F1358" w:rsidRPr="00E00C4B" w:rsidRDefault="008F1358" w:rsidP="008F1358">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color w:val="000000"/>
                <w:sz w:val="20"/>
                <w:szCs w:val="20"/>
              </w:rPr>
              <w:t>7,883,126</w:t>
            </w:r>
          </w:p>
        </w:tc>
        <w:tc>
          <w:tcPr>
            <w:tcW w:w="1184" w:type="dxa"/>
            <w:hideMark/>
          </w:tcPr>
          <w:p w14:paraId="5C84C2A3" w14:textId="77777777" w:rsidR="008F1358" w:rsidRPr="00E00C4B" w:rsidRDefault="008F1358" w:rsidP="008F1358">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color w:val="000000"/>
                <w:sz w:val="20"/>
                <w:szCs w:val="20"/>
              </w:rPr>
              <w:t>7,885,583</w:t>
            </w:r>
          </w:p>
        </w:tc>
        <w:tc>
          <w:tcPr>
            <w:tcW w:w="1184" w:type="dxa"/>
            <w:hideMark/>
          </w:tcPr>
          <w:p w14:paraId="6C2BDFD9" w14:textId="77777777" w:rsidR="008F1358" w:rsidRPr="00E00C4B" w:rsidRDefault="008F1358" w:rsidP="008F1358">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color w:val="000000"/>
                <w:sz w:val="20"/>
                <w:szCs w:val="20"/>
              </w:rPr>
              <w:t>7,764,982</w:t>
            </w:r>
          </w:p>
        </w:tc>
        <w:tc>
          <w:tcPr>
            <w:tcW w:w="1184" w:type="dxa"/>
            <w:hideMark/>
          </w:tcPr>
          <w:p w14:paraId="6A37729A" w14:textId="77777777" w:rsidR="008F1358" w:rsidRPr="00E00C4B" w:rsidRDefault="008F1358" w:rsidP="008F1358">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color w:val="000000"/>
                <w:sz w:val="20"/>
                <w:szCs w:val="20"/>
              </w:rPr>
              <w:t>7,557,023</w:t>
            </w:r>
          </w:p>
        </w:tc>
        <w:tc>
          <w:tcPr>
            <w:tcW w:w="1187" w:type="dxa"/>
            <w:hideMark/>
          </w:tcPr>
          <w:p w14:paraId="6C347800" w14:textId="77777777" w:rsidR="008F1358" w:rsidRPr="00E00C4B" w:rsidRDefault="008F1358" w:rsidP="008F1358">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color w:val="000000"/>
                <w:sz w:val="20"/>
                <w:szCs w:val="20"/>
              </w:rPr>
              <w:t>7,446,253</w:t>
            </w:r>
          </w:p>
        </w:tc>
      </w:tr>
      <w:tr w:rsidR="008F1358" w:rsidRPr="00E00C4B" w14:paraId="140697EC" w14:textId="77777777" w:rsidTr="004351FE">
        <w:trPr>
          <w:trHeight w:val="291"/>
        </w:trPr>
        <w:tc>
          <w:tcPr>
            <w:tcW w:w="1967" w:type="dxa"/>
            <w:hideMark/>
          </w:tcPr>
          <w:p w14:paraId="15F9BBAE" w14:textId="77777777" w:rsidR="008F1358" w:rsidRPr="004351FE" w:rsidRDefault="008F1358" w:rsidP="008F1358">
            <w:pPr>
              <w:spacing w:before="100" w:beforeAutospacing="1" w:after="100" w:afterAutospacing="1" w:line="360" w:lineRule="auto"/>
              <w:ind w:firstLineChars="100" w:firstLine="200"/>
              <w:rPr>
                <w:rFonts w:asciiTheme="majorHAnsi" w:hAnsiTheme="majorHAnsi" w:cstheme="majorHAnsi"/>
                <w:sz w:val="20"/>
                <w:szCs w:val="20"/>
              </w:rPr>
            </w:pPr>
            <w:r w:rsidRPr="004351FE">
              <w:rPr>
                <w:rFonts w:asciiTheme="majorHAnsi" w:hAnsiTheme="majorHAnsi" w:cstheme="majorHAnsi"/>
                <w:sz w:val="20"/>
                <w:szCs w:val="20"/>
              </w:rPr>
              <w:t>Female</w:t>
            </w:r>
          </w:p>
        </w:tc>
        <w:tc>
          <w:tcPr>
            <w:tcW w:w="1184" w:type="dxa"/>
            <w:hideMark/>
          </w:tcPr>
          <w:p w14:paraId="28A1B1B8" w14:textId="77777777" w:rsidR="008F1358" w:rsidRPr="00E00C4B" w:rsidRDefault="008F1358" w:rsidP="008F1358">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color w:val="000000"/>
                <w:sz w:val="20"/>
                <w:szCs w:val="20"/>
              </w:rPr>
              <w:t>7,181,181</w:t>
            </w:r>
          </w:p>
        </w:tc>
        <w:tc>
          <w:tcPr>
            <w:tcW w:w="1184" w:type="dxa"/>
            <w:hideMark/>
          </w:tcPr>
          <w:p w14:paraId="5E2B9976" w14:textId="77777777" w:rsidR="008F1358" w:rsidRPr="00E00C4B" w:rsidRDefault="008F1358" w:rsidP="008F1358">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color w:val="000000"/>
                <w:sz w:val="20"/>
                <w:szCs w:val="20"/>
              </w:rPr>
              <w:t>7,180,472</w:t>
            </w:r>
          </w:p>
        </w:tc>
        <w:tc>
          <w:tcPr>
            <w:tcW w:w="1184" w:type="dxa"/>
            <w:hideMark/>
          </w:tcPr>
          <w:p w14:paraId="49AB37DB" w14:textId="77777777" w:rsidR="008F1358" w:rsidRPr="00E00C4B" w:rsidRDefault="008F1358" w:rsidP="008F1358">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color w:val="000000"/>
                <w:sz w:val="20"/>
                <w:szCs w:val="20"/>
              </w:rPr>
              <w:t>7,265,273</w:t>
            </w:r>
          </w:p>
        </w:tc>
        <w:tc>
          <w:tcPr>
            <w:tcW w:w="1184" w:type="dxa"/>
            <w:hideMark/>
          </w:tcPr>
          <w:p w14:paraId="488AAD4A" w14:textId="77777777" w:rsidR="008F1358" w:rsidRPr="00E00C4B" w:rsidRDefault="008F1358" w:rsidP="008F1358">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color w:val="000000"/>
                <w:sz w:val="20"/>
                <w:szCs w:val="20"/>
              </w:rPr>
              <w:t>7,228,625</w:t>
            </w:r>
          </w:p>
        </w:tc>
        <w:tc>
          <w:tcPr>
            <w:tcW w:w="1184" w:type="dxa"/>
            <w:hideMark/>
          </w:tcPr>
          <w:p w14:paraId="0B26DCD5" w14:textId="77777777" w:rsidR="008F1358" w:rsidRPr="00E00C4B" w:rsidRDefault="008F1358" w:rsidP="008F1358">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color w:val="000000"/>
                <w:sz w:val="20"/>
                <w:szCs w:val="20"/>
              </w:rPr>
              <w:t>7,129,664</w:t>
            </w:r>
          </w:p>
        </w:tc>
        <w:tc>
          <w:tcPr>
            <w:tcW w:w="1184" w:type="dxa"/>
            <w:hideMark/>
          </w:tcPr>
          <w:p w14:paraId="6CF28EE6" w14:textId="77777777" w:rsidR="008F1358" w:rsidRPr="00E00C4B" w:rsidRDefault="008F1358" w:rsidP="008F1358">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color w:val="000000"/>
                <w:sz w:val="20"/>
                <w:szCs w:val="20"/>
              </w:rPr>
              <w:t>6,931,208</w:t>
            </w:r>
          </w:p>
        </w:tc>
        <w:tc>
          <w:tcPr>
            <w:tcW w:w="1187" w:type="dxa"/>
            <w:hideMark/>
          </w:tcPr>
          <w:p w14:paraId="3060FE40" w14:textId="77777777" w:rsidR="008F1358" w:rsidRPr="00E00C4B" w:rsidRDefault="008F1358" w:rsidP="008F1358">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color w:val="000000"/>
                <w:sz w:val="20"/>
                <w:szCs w:val="20"/>
              </w:rPr>
              <w:t>6,843,192</w:t>
            </w:r>
          </w:p>
        </w:tc>
      </w:tr>
      <w:tr w:rsidR="008F1358" w:rsidRPr="00E00C4B" w14:paraId="700B276E" w14:textId="77777777" w:rsidTr="004351FE">
        <w:trPr>
          <w:trHeight w:val="291"/>
        </w:trPr>
        <w:tc>
          <w:tcPr>
            <w:tcW w:w="1967" w:type="dxa"/>
            <w:hideMark/>
          </w:tcPr>
          <w:p w14:paraId="5BFEF4D3" w14:textId="77777777" w:rsidR="008F1358" w:rsidRPr="004351FE" w:rsidRDefault="008F1358" w:rsidP="008F1358">
            <w:pPr>
              <w:spacing w:before="100" w:beforeAutospacing="1" w:after="100" w:afterAutospacing="1" w:line="360" w:lineRule="auto"/>
              <w:rPr>
                <w:rFonts w:asciiTheme="majorHAnsi" w:hAnsiTheme="majorHAnsi" w:cstheme="majorHAnsi"/>
                <w:sz w:val="20"/>
                <w:szCs w:val="20"/>
              </w:rPr>
            </w:pPr>
            <w:r w:rsidRPr="004351FE">
              <w:rPr>
                <w:rFonts w:asciiTheme="majorHAnsi" w:hAnsiTheme="majorHAnsi" w:cstheme="majorHAnsi"/>
                <w:sz w:val="20"/>
                <w:szCs w:val="20"/>
              </w:rPr>
              <w:t xml:space="preserve">Secondary </w:t>
            </w:r>
          </w:p>
        </w:tc>
        <w:tc>
          <w:tcPr>
            <w:tcW w:w="1184" w:type="dxa"/>
            <w:hideMark/>
          </w:tcPr>
          <w:p w14:paraId="5F03366A" w14:textId="77777777" w:rsidR="008F1358" w:rsidRPr="00E00C4B" w:rsidRDefault="008F1358" w:rsidP="008F1358">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color w:val="000000"/>
                <w:sz w:val="20"/>
                <w:szCs w:val="20"/>
              </w:rPr>
              <w:t>5,576,268</w:t>
            </w:r>
          </w:p>
        </w:tc>
        <w:tc>
          <w:tcPr>
            <w:tcW w:w="1184" w:type="dxa"/>
            <w:hideMark/>
          </w:tcPr>
          <w:p w14:paraId="194B72B4" w14:textId="77777777" w:rsidR="008F1358" w:rsidRPr="00E00C4B" w:rsidRDefault="008F1358" w:rsidP="008F1358">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color w:val="000000"/>
                <w:sz w:val="20"/>
                <w:szCs w:val="20"/>
              </w:rPr>
              <w:t>4,986,044</w:t>
            </w:r>
          </w:p>
        </w:tc>
        <w:tc>
          <w:tcPr>
            <w:tcW w:w="1184" w:type="dxa"/>
            <w:hideMark/>
          </w:tcPr>
          <w:p w14:paraId="7E7C0FF8" w14:textId="77777777" w:rsidR="008F1358" w:rsidRPr="00E00C4B" w:rsidRDefault="008F1358" w:rsidP="008F1358">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color w:val="000000"/>
                <w:sz w:val="20"/>
                <w:szCs w:val="20"/>
              </w:rPr>
              <w:t>5,773,532</w:t>
            </w:r>
          </w:p>
        </w:tc>
        <w:tc>
          <w:tcPr>
            <w:tcW w:w="1184" w:type="dxa"/>
            <w:hideMark/>
          </w:tcPr>
          <w:p w14:paraId="787DA037" w14:textId="77777777" w:rsidR="008F1358" w:rsidRPr="00E00C4B" w:rsidRDefault="008F1358" w:rsidP="008F1358">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color w:val="000000"/>
                <w:sz w:val="20"/>
                <w:szCs w:val="20"/>
              </w:rPr>
              <w:t>5,928,042</w:t>
            </w:r>
          </w:p>
        </w:tc>
        <w:tc>
          <w:tcPr>
            <w:tcW w:w="1184" w:type="dxa"/>
            <w:hideMark/>
          </w:tcPr>
          <w:p w14:paraId="06785964" w14:textId="77777777" w:rsidR="008F1358" w:rsidRPr="00E00C4B" w:rsidRDefault="008F1358" w:rsidP="008F1358">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color w:val="000000"/>
                <w:sz w:val="20"/>
                <w:szCs w:val="20"/>
              </w:rPr>
              <w:t>6,012,761</w:t>
            </w:r>
          </w:p>
        </w:tc>
        <w:tc>
          <w:tcPr>
            <w:tcW w:w="1184" w:type="dxa"/>
            <w:hideMark/>
          </w:tcPr>
          <w:p w14:paraId="520A0B19" w14:textId="77777777" w:rsidR="008F1358" w:rsidRPr="00E00C4B" w:rsidRDefault="008F1358" w:rsidP="008F1358">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color w:val="000000"/>
                <w:sz w:val="20"/>
                <w:szCs w:val="20"/>
              </w:rPr>
              <w:t>6,179,977</w:t>
            </w:r>
          </w:p>
        </w:tc>
        <w:tc>
          <w:tcPr>
            <w:tcW w:w="1187" w:type="dxa"/>
            <w:hideMark/>
          </w:tcPr>
          <w:p w14:paraId="665899A4" w14:textId="77777777" w:rsidR="008F1358" w:rsidRPr="00E00C4B" w:rsidRDefault="008F1358" w:rsidP="008F1358">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color w:val="000000"/>
                <w:sz w:val="20"/>
                <w:szCs w:val="20"/>
              </w:rPr>
              <w:t>7,807,375</w:t>
            </w:r>
          </w:p>
        </w:tc>
      </w:tr>
      <w:tr w:rsidR="008F1358" w:rsidRPr="00E00C4B" w14:paraId="65420CAA" w14:textId="77777777" w:rsidTr="004351FE">
        <w:trPr>
          <w:trHeight w:val="291"/>
        </w:trPr>
        <w:tc>
          <w:tcPr>
            <w:tcW w:w="1967" w:type="dxa"/>
            <w:hideMark/>
          </w:tcPr>
          <w:p w14:paraId="76F494A7" w14:textId="77777777" w:rsidR="008F1358" w:rsidRPr="004351FE" w:rsidRDefault="008F1358" w:rsidP="008F1358">
            <w:pPr>
              <w:spacing w:before="100" w:beforeAutospacing="1" w:after="100" w:afterAutospacing="1" w:line="360" w:lineRule="auto"/>
              <w:ind w:firstLineChars="100" w:firstLine="200"/>
              <w:rPr>
                <w:rFonts w:asciiTheme="majorHAnsi" w:hAnsiTheme="majorHAnsi" w:cstheme="majorHAnsi"/>
                <w:sz w:val="20"/>
                <w:szCs w:val="20"/>
              </w:rPr>
            </w:pPr>
            <w:r w:rsidRPr="004351FE">
              <w:rPr>
                <w:rFonts w:asciiTheme="majorHAnsi" w:hAnsiTheme="majorHAnsi" w:cstheme="majorHAnsi"/>
                <w:sz w:val="20"/>
                <w:szCs w:val="20"/>
              </w:rPr>
              <w:t xml:space="preserve">Male </w:t>
            </w:r>
          </w:p>
        </w:tc>
        <w:tc>
          <w:tcPr>
            <w:tcW w:w="1184" w:type="dxa"/>
            <w:hideMark/>
          </w:tcPr>
          <w:p w14:paraId="1FF7C7E0" w14:textId="77777777" w:rsidR="008F1358" w:rsidRPr="00E00C4B" w:rsidRDefault="008F1358" w:rsidP="008F1358">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color w:val="000000"/>
                <w:sz w:val="20"/>
                <w:szCs w:val="20"/>
              </w:rPr>
              <w:t>2,760,434</w:t>
            </w:r>
          </w:p>
        </w:tc>
        <w:tc>
          <w:tcPr>
            <w:tcW w:w="1184" w:type="dxa"/>
            <w:hideMark/>
          </w:tcPr>
          <w:p w14:paraId="7FBBA3EE" w14:textId="77777777" w:rsidR="008F1358" w:rsidRPr="00E00C4B" w:rsidRDefault="008F1358" w:rsidP="008F1358">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color w:val="000000"/>
                <w:sz w:val="20"/>
                <w:szCs w:val="20"/>
              </w:rPr>
              <w:t>2,479,792</w:t>
            </w:r>
          </w:p>
        </w:tc>
        <w:tc>
          <w:tcPr>
            <w:tcW w:w="1184" w:type="dxa"/>
            <w:hideMark/>
          </w:tcPr>
          <w:p w14:paraId="5C8CCD35" w14:textId="77777777" w:rsidR="008F1358" w:rsidRPr="00E00C4B" w:rsidRDefault="008F1358" w:rsidP="008F1358">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color w:val="000000"/>
                <w:sz w:val="20"/>
                <w:szCs w:val="20"/>
              </w:rPr>
              <w:t>2,848,781</w:t>
            </w:r>
          </w:p>
        </w:tc>
        <w:tc>
          <w:tcPr>
            <w:tcW w:w="1184" w:type="dxa"/>
            <w:hideMark/>
          </w:tcPr>
          <w:p w14:paraId="20A94BE3" w14:textId="77777777" w:rsidR="008F1358" w:rsidRPr="00E00C4B" w:rsidRDefault="008F1358" w:rsidP="008F1358">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color w:val="000000"/>
                <w:sz w:val="20"/>
                <w:szCs w:val="20"/>
              </w:rPr>
              <w:t>2,939,975</w:t>
            </w:r>
          </w:p>
        </w:tc>
        <w:tc>
          <w:tcPr>
            <w:tcW w:w="1184" w:type="dxa"/>
            <w:hideMark/>
          </w:tcPr>
          <w:p w14:paraId="19D110F1" w14:textId="77777777" w:rsidR="008F1358" w:rsidRPr="00E00C4B" w:rsidRDefault="008F1358" w:rsidP="008F1358">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color w:val="000000"/>
                <w:sz w:val="20"/>
                <w:szCs w:val="20"/>
              </w:rPr>
              <w:t>2,969,328</w:t>
            </w:r>
          </w:p>
        </w:tc>
        <w:tc>
          <w:tcPr>
            <w:tcW w:w="1184" w:type="dxa"/>
            <w:hideMark/>
          </w:tcPr>
          <w:p w14:paraId="0483C05A" w14:textId="77777777" w:rsidR="008F1358" w:rsidRPr="00E00C4B" w:rsidRDefault="008F1358" w:rsidP="008F1358">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color w:val="000000"/>
                <w:sz w:val="20"/>
                <w:szCs w:val="20"/>
              </w:rPr>
              <w:t>3,053,350</w:t>
            </w:r>
          </w:p>
        </w:tc>
        <w:tc>
          <w:tcPr>
            <w:tcW w:w="1187" w:type="dxa"/>
            <w:hideMark/>
          </w:tcPr>
          <w:p w14:paraId="4D76E528" w14:textId="77777777" w:rsidR="008F1358" w:rsidRPr="00E00C4B" w:rsidRDefault="008F1358" w:rsidP="008F1358">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color w:val="000000"/>
                <w:sz w:val="20"/>
                <w:szCs w:val="20"/>
              </w:rPr>
              <w:t>3,850,778</w:t>
            </w:r>
          </w:p>
        </w:tc>
      </w:tr>
      <w:tr w:rsidR="008F1358" w:rsidRPr="00E00C4B" w14:paraId="140974FC" w14:textId="77777777" w:rsidTr="004351FE">
        <w:trPr>
          <w:trHeight w:val="291"/>
        </w:trPr>
        <w:tc>
          <w:tcPr>
            <w:tcW w:w="1967" w:type="dxa"/>
            <w:hideMark/>
          </w:tcPr>
          <w:p w14:paraId="31ECCD7F" w14:textId="77777777" w:rsidR="008F1358" w:rsidRPr="004351FE" w:rsidRDefault="008F1358" w:rsidP="008F1358">
            <w:pPr>
              <w:spacing w:before="100" w:beforeAutospacing="1" w:after="100" w:afterAutospacing="1" w:line="360" w:lineRule="auto"/>
              <w:ind w:firstLineChars="100" w:firstLine="200"/>
              <w:rPr>
                <w:rFonts w:asciiTheme="majorHAnsi" w:hAnsiTheme="majorHAnsi" w:cstheme="majorHAnsi"/>
                <w:sz w:val="20"/>
                <w:szCs w:val="20"/>
              </w:rPr>
            </w:pPr>
            <w:r w:rsidRPr="004351FE">
              <w:rPr>
                <w:rFonts w:asciiTheme="majorHAnsi" w:hAnsiTheme="majorHAnsi" w:cstheme="majorHAnsi"/>
                <w:sz w:val="20"/>
                <w:szCs w:val="20"/>
              </w:rPr>
              <w:t>Female</w:t>
            </w:r>
          </w:p>
        </w:tc>
        <w:tc>
          <w:tcPr>
            <w:tcW w:w="1184" w:type="dxa"/>
            <w:hideMark/>
          </w:tcPr>
          <w:p w14:paraId="64943EA7" w14:textId="77777777" w:rsidR="008F1358" w:rsidRPr="00E00C4B" w:rsidRDefault="008F1358" w:rsidP="008F1358">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color w:val="000000"/>
                <w:sz w:val="20"/>
                <w:szCs w:val="20"/>
              </w:rPr>
              <w:t>2,815,834</w:t>
            </w:r>
          </w:p>
        </w:tc>
        <w:tc>
          <w:tcPr>
            <w:tcW w:w="1184" w:type="dxa"/>
            <w:hideMark/>
          </w:tcPr>
          <w:p w14:paraId="26346B61" w14:textId="77777777" w:rsidR="008F1358" w:rsidRPr="00E00C4B" w:rsidRDefault="008F1358" w:rsidP="008F1358">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color w:val="000000"/>
                <w:sz w:val="20"/>
                <w:szCs w:val="20"/>
              </w:rPr>
              <w:t>2,506,252</w:t>
            </w:r>
          </w:p>
        </w:tc>
        <w:tc>
          <w:tcPr>
            <w:tcW w:w="1184" w:type="dxa"/>
            <w:hideMark/>
          </w:tcPr>
          <w:p w14:paraId="4408327E" w14:textId="77777777" w:rsidR="008F1358" w:rsidRPr="00E00C4B" w:rsidRDefault="008F1358" w:rsidP="008F1358">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color w:val="000000"/>
                <w:sz w:val="20"/>
                <w:szCs w:val="20"/>
              </w:rPr>
              <w:t>2,924,751</w:t>
            </w:r>
          </w:p>
        </w:tc>
        <w:tc>
          <w:tcPr>
            <w:tcW w:w="1184" w:type="dxa"/>
            <w:hideMark/>
          </w:tcPr>
          <w:p w14:paraId="0985E5D7" w14:textId="77777777" w:rsidR="008F1358" w:rsidRPr="00E00C4B" w:rsidRDefault="008F1358" w:rsidP="008F1358">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color w:val="000000"/>
                <w:sz w:val="20"/>
                <w:szCs w:val="20"/>
              </w:rPr>
              <w:t>2,988,067</w:t>
            </w:r>
          </w:p>
        </w:tc>
        <w:tc>
          <w:tcPr>
            <w:tcW w:w="1184" w:type="dxa"/>
            <w:hideMark/>
          </w:tcPr>
          <w:p w14:paraId="70CF2951" w14:textId="77777777" w:rsidR="008F1358" w:rsidRPr="00E00C4B" w:rsidRDefault="008F1358" w:rsidP="008F1358">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color w:val="000000"/>
                <w:sz w:val="20"/>
                <w:szCs w:val="20"/>
              </w:rPr>
              <w:t>3,043,433</w:t>
            </w:r>
          </w:p>
        </w:tc>
        <w:tc>
          <w:tcPr>
            <w:tcW w:w="1184" w:type="dxa"/>
            <w:hideMark/>
          </w:tcPr>
          <w:p w14:paraId="5670FBD0" w14:textId="77777777" w:rsidR="008F1358" w:rsidRPr="00E00C4B" w:rsidRDefault="008F1358" w:rsidP="008F1358">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color w:val="000000"/>
                <w:sz w:val="20"/>
                <w:szCs w:val="20"/>
              </w:rPr>
              <w:t>3,126,627</w:t>
            </w:r>
          </w:p>
        </w:tc>
        <w:tc>
          <w:tcPr>
            <w:tcW w:w="1187" w:type="dxa"/>
            <w:hideMark/>
          </w:tcPr>
          <w:p w14:paraId="47795046" w14:textId="77777777" w:rsidR="008F1358" w:rsidRPr="00E00C4B" w:rsidRDefault="008F1358" w:rsidP="008F1358">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color w:val="000000"/>
                <w:sz w:val="20"/>
                <w:szCs w:val="20"/>
              </w:rPr>
              <w:t>3,956,597</w:t>
            </w:r>
          </w:p>
        </w:tc>
      </w:tr>
    </w:tbl>
    <w:p w14:paraId="3C45450B" w14:textId="2E25CEC1" w:rsidR="008D0CAD" w:rsidRPr="00796BFA" w:rsidRDefault="008D0CAD" w:rsidP="00796BFA">
      <w:pPr>
        <w:spacing w:before="100" w:beforeAutospacing="1" w:after="100" w:afterAutospacing="1" w:line="360" w:lineRule="auto"/>
        <w:rPr>
          <w:rFonts w:asciiTheme="majorHAnsi" w:hAnsiTheme="majorHAnsi" w:cstheme="majorHAnsi"/>
          <w:bCs/>
          <w:i/>
          <w:iCs/>
          <w:sz w:val="20"/>
          <w:szCs w:val="20"/>
          <w:lang w:val="en-US"/>
        </w:rPr>
      </w:pPr>
      <w:r w:rsidRPr="00E00C4B">
        <w:rPr>
          <w:rFonts w:asciiTheme="majorHAnsi" w:hAnsiTheme="majorHAnsi" w:cstheme="majorHAnsi"/>
          <w:bCs/>
          <w:i/>
          <w:iCs/>
          <w:sz w:val="20"/>
          <w:szCs w:val="20"/>
          <w:lang w:val="en-US"/>
        </w:rPr>
        <w:t>Source: EBEIS (Retrieved April 2019)</w:t>
      </w:r>
    </w:p>
    <w:p w14:paraId="48767D0E" w14:textId="7BF73A89" w:rsidR="008D0CAD" w:rsidRPr="001E2886" w:rsidRDefault="008D0CAD" w:rsidP="00796BFA">
      <w:pPr>
        <w:pageBreakBefore/>
        <w:spacing w:before="100" w:beforeAutospacing="1" w:after="100" w:afterAutospacing="1" w:line="360" w:lineRule="auto"/>
        <w:rPr>
          <w:rFonts w:asciiTheme="majorHAnsi" w:eastAsiaTheme="minorHAnsi" w:hAnsiTheme="majorHAnsi" w:cstheme="majorHAnsi"/>
          <w:i/>
          <w:iCs/>
          <w:color w:val="44546A" w:themeColor="text2"/>
          <w:sz w:val="22"/>
          <w:szCs w:val="22"/>
          <w:lang w:val="en-US"/>
        </w:rPr>
      </w:pPr>
      <w:bookmarkStart w:id="533" w:name="_Toc16524121"/>
      <w:bookmarkStart w:id="534" w:name="_Toc71616568"/>
      <w:r w:rsidRPr="001E2886">
        <w:rPr>
          <w:rFonts w:asciiTheme="majorHAnsi" w:eastAsiaTheme="minorHAnsi" w:hAnsiTheme="majorHAnsi" w:cstheme="majorHAnsi"/>
          <w:i/>
          <w:iCs/>
          <w:color w:val="44546A" w:themeColor="text2"/>
          <w:sz w:val="22"/>
          <w:szCs w:val="22"/>
          <w:lang w:val="en-US"/>
        </w:rPr>
        <w:t xml:space="preserve">Figure </w:t>
      </w:r>
      <w:r w:rsidRPr="001E2886">
        <w:rPr>
          <w:rFonts w:asciiTheme="majorHAnsi" w:eastAsiaTheme="minorHAnsi" w:hAnsiTheme="majorHAnsi" w:cstheme="majorHAnsi"/>
          <w:i/>
          <w:iCs/>
          <w:color w:val="44546A" w:themeColor="text2"/>
          <w:sz w:val="22"/>
          <w:szCs w:val="22"/>
          <w:lang w:val="en-US"/>
        </w:rPr>
        <w:fldChar w:fldCharType="begin"/>
      </w:r>
      <w:r w:rsidRPr="001E2886">
        <w:rPr>
          <w:rFonts w:asciiTheme="majorHAnsi" w:eastAsiaTheme="minorHAnsi" w:hAnsiTheme="majorHAnsi" w:cstheme="majorHAnsi"/>
          <w:i/>
          <w:iCs/>
          <w:color w:val="44546A" w:themeColor="text2"/>
          <w:sz w:val="22"/>
          <w:szCs w:val="22"/>
          <w:lang w:val="en-US"/>
        </w:rPr>
        <w:instrText xml:space="preserve"> SEQ Figure \* ARABIC </w:instrText>
      </w:r>
      <w:r w:rsidRPr="001E2886">
        <w:rPr>
          <w:rFonts w:asciiTheme="majorHAnsi" w:eastAsiaTheme="minorHAnsi" w:hAnsiTheme="majorHAnsi" w:cstheme="majorHAnsi"/>
          <w:i/>
          <w:iCs/>
          <w:color w:val="44546A" w:themeColor="text2"/>
          <w:sz w:val="22"/>
          <w:szCs w:val="22"/>
          <w:lang w:val="en-US"/>
        </w:rPr>
        <w:fldChar w:fldCharType="separate"/>
      </w:r>
      <w:r w:rsidR="00D6133D">
        <w:rPr>
          <w:rFonts w:asciiTheme="majorHAnsi" w:eastAsiaTheme="minorHAnsi" w:hAnsiTheme="majorHAnsi" w:cstheme="majorHAnsi"/>
          <w:i/>
          <w:iCs/>
          <w:noProof/>
          <w:color w:val="44546A" w:themeColor="text2"/>
          <w:sz w:val="22"/>
          <w:szCs w:val="22"/>
          <w:lang w:val="en-US"/>
        </w:rPr>
        <w:t>41</w:t>
      </w:r>
      <w:r w:rsidRPr="001E2886">
        <w:rPr>
          <w:rFonts w:asciiTheme="majorHAnsi" w:eastAsiaTheme="minorHAnsi" w:hAnsiTheme="majorHAnsi" w:cstheme="majorHAnsi"/>
          <w:i/>
          <w:iCs/>
          <w:color w:val="44546A" w:themeColor="text2"/>
          <w:sz w:val="22"/>
          <w:szCs w:val="22"/>
          <w:lang w:val="en-US"/>
        </w:rPr>
        <w:fldChar w:fldCharType="end"/>
      </w:r>
      <w:r w:rsidRPr="001E2886">
        <w:rPr>
          <w:rFonts w:asciiTheme="majorHAnsi" w:eastAsiaTheme="minorHAnsi" w:hAnsiTheme="majorHAnsi" w:cstheme="majorHAnsi"/>
          <w:i/>
          <w:iCs/>
          <w:color w:val="44546A" w:themeColor="text2"/>
          <w:sz w:val="22"/>
          <w:szCs w:val="22"/>
          <w:lang w:val="en-US"/>
        </w:rPr>
        <w:t>. Overall Enrolment Trends, 2011 – 2018</w:t>
      </w:r>
      <w:bookmarkEnd w:id="533"/>
      <w:bookmarkEnd w:id="534"/>
    </w:p>
    <w:p w14:paraId="04A8558F" w14:textId="77777777" w:rsidR="008D0CAD" w:rsidRPr="00E00C4B" w:rsidRDefault="008D0CAD" w:rsidP="00796BFA">
      <w:pPr>
        <w:spacing w:before="100" w:beforeAutospacing="1" w:after="100" w:afterAutospacing="1" w:line="360" w:lineRule="auto"/>
        <w:rPr>
          <w:lang w:val="en-US"/>
        </w:rPr>
      </w:pPr>
      <w:r w:rsidRPr="00E00C4B">
        <w:rPr>
          <w:noProof/>
          <w:lang w:val="en-AU" w:eastAsia="en-AU"/>
        </w:rPr>
        <w:drawing>
          <wp:inline distT="0" distB="0" distL="0" distR="0" wp14:anchorId="562A657C" wp14:editId="7CE16F78">
            <wp:extent cx="6218989" cy="2245894"/>
            <wp:effectExtent l="0" t="0" r="17145" b="15240"/>
            <wp:docPr id="92" name="Chart 92" descr="Line chart of overall enrolment trends by gender and levels (elementary and secondary); More males than females; more secondary than elementary from 2011-2018.&#10;">
              <a:extLst xmlns:a="http://schemas.openxmlformats.org/drawingml/2006/main">
                <a:ext uri="{FF2B5EF4-FFF2-40B4-BE49-F238E27FC236}">
                  <a16:creationId xmlns:a16="http://schemas.microsoft.com/office/drawing/2014/main" id="{BA9AF337-D0A7-9B4F-8B31-35272B2395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63548A3F" w14:textId="2067663F" w:rsidR="008D0CAD" w:rsidRPr="00796BFA" w:rsidRDefault="008D0CAD" w:rsidP="00796BFA">
      <w:pPr>
        <w:spacing w:before="100" w:beforeAutospacing="1" w:after="100" w:afterAutospacing="1" w:line="360" w:lineRule="auto"/>
        <w:rPr>
          <w:rFonts w:asciiTheme="majorHAnsi" w:hAnsiTheme="majorHAnsi" w:cstheme="majorHAnsi"/>
          <w:bCs/>
          <w:i/>
          <w:iCs/>
          <w:sz w:val="20"/>
          <w:szCs w:val="20"/>
          <w:lang w:val="en-US"/>
        </w:rPr>
      </w:pPr>
      <w:r w:rsidRPr="00E00C4B">
        <w:rPr>
          <w:rFonts w:asciiTheme="majorHAnsi" w:hAnsiTheme="majorHAnsi" w:cstheme="majorHAnsi"/>
          <w:bCs/>
          <w:i/>
          <w:iCs/>
          <w:sz w:val="20"/>
          <w:szCs w:val="20"/>
          <w:lang w:val="en-US"/>
        </w:rPr>
        <w:t>Source of basic data: EBEIS (Retrieved April 2019)</w:t>
      </w:r>
    </w:p>
    <w:p w14:paraId="3D488DFF" w14:textId="3B2FC015" w:rsidR="008D0CAD" w:rsidRPr="00E00C4B" w:rsidRDefault="008D0CAD" w:rsidP="00796BFA">
      <w:pPr>
        <w:autoSpaceDE w:val="0"/>
        <w:autoSpaceDN w:val="0"/>
        <w:adjustRightInd w:val="0"/>
        <w:spacing w:before="100" w:beforeAutospacing="1" w:after="100" w:afterAutospacing="1" w:line="360" w:lineRule="auto"/>
        <w:rPr>
          <w:rFonts w:asciiTheme="majorHAnsi" w:hAnsiTheme="majorHAnsi" w:cstheme="majorHAnsi"/>
          <w:color w:val="000000" w:themeColor="text1"/>
          <w:lang w:val="en-US"/>
        </w:rPr>
      </w:pPr>
      <w:r w:rsidRPr="00E00C4B">
        <w:rPr>
          <w:rFonts w:asciiTheme="majorHAnsi" w:hAnsiTheme="majorHAnsi" w:cstheme="majorHAnsi"/>
          <w:b/>
          <w:color w:val="000000" w:themeColor="text1"/>
          <w:lang w:val="en-US"/>
        </w:rPr>
        <w:t>Enrollment by Region.</w:t>
      </w:r>
      <w:r w:rsidR="00D434EB">
        <w:rPr>
          <w:rFonts w:asciiTheme="majorHAnsi" w:hAnsiTheme="majorHAnsi" w:cstheme="majorHAnsi"/>
          <w:color w:val="000000" w:themeColor="text1"/>
          <w:lang w:val="en-US"/>
        </w:rPr>
        <w:t xml:space="preserve"> </w:t>
      </w:r>
      <w:r w:rsidRPr="00E00C4B">
        <w:rPr>
          <w:rFonts w:asciiTheme="majorHAnsi" w:hAnsiTheme="majorHAnsi" w:cstheme="majorHAnsi"/>
          <w:color w:val="000000" w:themeColor="text1"/>
          <w:lang w:val="en-US"/>
        </w:rPr>
        <w:t xml:space="preserve">As indicated above, in SY2017-2018, overall enrolment was pegged at </w:t>
      </w:r>
      <w:r w:rsidRPr="00E00C4B">
        <w:rPr>
          <w:rFonts w:asciiTheme="majorHAnsi" w:hAnsiTheme="majorHAnsi" w:cstheme="majorHAnsi"/>
          <w:color w:val="000000"/>
          <w:lang w:val="en-US"/>
        </w:rPr>
        <w:t>22,096,820 students, with 10,799,789 girls.</w:t>
      </w:r>
      <w:r w:rsidR="00D434EB">
        <w:rPr>
          <w:rFonts w:asciiTheme="majorHAnsi" w:hAnsiTheme="majorHAnsi" w:cstheme="majorHAnsi"/>
          <w:color w:val="000000"/>
          <w:lang w:val="en-US"/>
        </w:rPr>
        <w:t xml:space="preserve"> </w:t>
      </w:r>
      <w:r w:rsidRPr="00E00C4B">
        <w:rPr>
          <w:rFonts w:asciiTheme="majorHAnsi" w:hAnsiTheme="majorHAnsi" w:cstheme="majorHAnsi"/>
          <w:color w:val="000000"/>
          <w:lang w:val="en-US"/>
        </w:rPr>
        <w:t xml:space="preserve">The </w:t>
      </w:r>
      <w:r w:rsidRPr="00E00C4B">
        <w:rPr>
          <w:rFonts w:asciiTheme="majorHAnsi" w:hAnsiTheme="majorHAnsi" w:cstheme="majorHAnsi"/>
          <w:color w:val="000000" w:themeColor="text1"/>
          <w:lang w:val="en-US"/>
        </w:rPr>
        <w:t>highest concentrations of enrollees were in Regions IV-A (13%) and III (10%) (Figure 10).</w:t>
      </w:r>
      <w:r w:rsidR="00D434EB">
        <w:rPr>
          <w:rFonts w:asciiTheme="majorHAnsi" w:hAnsiTheme="majorHAnsi" w:cstheme="majorHAnsi"/>
          <w:color w:val="000000" w:themeColor="text1"/>
          <w:lang w:val="en-US"/>
        </w:rPr>
        <w:t xml:space="preserve"> </w:t>
      </w:r>
      <w:r w:rsidRPr="00E00C4B">
        <w:rPr>
          <w:rFonts w:asciiTheme="majorHAnsi" w:hAnsiTheme="majorHAnsi" w:cstheme="majorHAnsi"/>
          <w:color w:val="000000" w:themeColor="text1"/>
          <w:lang w:val="en-US"/>
        </w:rPr>
        <w:t>The least number of enrollees in basic education were in the Regions of CAR (2%), CARAGA (3%), ARMM (3%) and Region II (3%).</w:t>
      </w:r>
      <w:r w:rsidR="00D434EB">
        <w:rPr>
          <w:rFonts w:asciiTheme="majorHAnsi" w:hAnsiTheme="majorHAnsi" w:cstheme="majorHAnsi"/>
          <w:color w:val="000000" w:themeColor="text1"/>
          <w:lang w:val="en-US"/>
        </w:rPr>
        <w:t xml:space="preserve">  </w:t>
      </w:r>
      <w:r w:rsidRPr="00E00C4B">
        <w:rPr>
          <w:rFonts w:asciiTheme="majorHAnsi" w:hAnsiTheme="majorHAnsi" w:cstheme="majorHAnsi"/>
          <w:color w:val="000000" w:themeColor="text1"/>
          <w:lang w:val="en-US"/>
        </w:rPr>
        <w:t>The BEST Regions were in the middle as follows: Region V (7%); Region VI (8%); Region VII (8%); Region VIII (5%); Region X (5%); Region NCR (9%);</w:t>
      </w:r>
    </w:p>
    <w:p w14:paraId="237C33D3" w14:textId="31E8C16B" w:rsidR="008D0CAD" w:rsidRPr="001E2886" w:rsidRDefault="00D434EB" w:rsidP="00796BFA">
      <w:pPr>
        <w:spacing w:before="100" w:beforeAutospacing="1" w:after="100" w:afterAutospacing="1" w:line="360" w:lineRule="auto"/>
        <w:rPr>
          <w:rFonts w:asciiTheme="majorHAnsi" w:eastAsiaTheme="minorHAnsi" w:hAnsiTheme="majorHAnsi" w:cstheme="majorHAnsi"/>
          <w:i/>
          <w:iCs/>
          <w:color w:val="44546A" w:themeColor="text2"/>
          <w:sz w:val="22"/>
          <w:szCs w:val="22"/>
          <w:lang w:val="en-US"/>
        </w:rPr>
      </w:pPr>
      <w:bookmarkStart w:id="535" w:name="_Toc16524122"/>
      <w:bookmarkStart w:id="536" w:name="_Toc71616569"/>
      <w:r>
        <w:rPr>
          <w:rFonts w:asciiTheme="majorHAnsi" w:eastAsiaTheme="minorHAnsi" w:hAnsiTheme="majorHAnsi" w:cstheme="majorHAnsi"/>
          <w:i/>
          <w:iCs/>
          <w:color w:val="44546A" w:themeColor="text2"/>
          <w:sz w:val="22"/>
          <w:szCs w:val="22"/>
          <w:lang w:val="en-US"/>
        </w:rPr>
        <w:t xml:space="preserve"> </w:t>
      </w:r>
      <w:r w:rsidR="008D0CAD" w:rsidRPr="001E2886">
        <w:rPr>
          <w:rFonts w:asciiTheme="majorHAnsi" w:eastAsiaTheme="minorHAnsi" w:hAnsiTheme="majorHAnsi" w:cstheme="majorHAnsi"/>
          <w:i/>
          <w:iCs/>
          <w:color w:val="44546A" w:themeColor="text2"/>
          <w:sz w:val="22"/>
          <w:szCs w:val="22"/>
          <w:lang w:val="en-US"/>
        </w:rPr>
        <w:t xml:space="preserve">Figure </w:t>
      </w:r>
      <w:r w:rsidR="008D0CAD" w:rsidRPr="001E2886">
        <w:rPr>
          <w:rFonts w:asciiTheme="majorHAnsi" w:eastAsiaTheme="minorHAnsi" w:hAnsiTheme="majorHAnsi" w:cstheme="majorHAnsi"/>
          <w:i/>
          <w:iCs/>
          <w:color w:val="44546A" w:themeColor="text2"/>
          <w:sz w:val="22"/>
          <w:szCs w:val="22"/>
          <w:lang w:val="en-US"/>
        </w:rPr>
        <w:fldChar w:fldCharType="begin"/>
      </w:r>
      <w:r w:rsidR="008D0CAD" w:rsidRPr="001E2886">
        <w:rPr>
          <w:rFonts w:asciiTheme="majorHAnsi" w:eastAsiaTheme="minorHAnsi" w:hAnsiTheme="majorHAnsi" w:cstheme="majorHAnsi"/>
          <w:i/>
          <w:iCs/>
          <w:color w:val="44546A" w:themeColor="text2"/>
          <w:sz w:val="22"/>
          <w:szCs w:val="22"/>
          <w:lang w:val="en-US"/>
        </w:rPr>
        <w:instrText xml:space="preserve"> SEQ Figure \* ARABIC </w:instrText>
      </w:r>
      <w:r w:rsidR="008D0CAD" w:rsidRPr="001E2886">
        <w:rPr>
          <w:rFonts w:asciiTheme="majorHAnsi" w:eastAsiaTheme="minorHAnsi" w:hAnsiTheme="majorHAnsi" w:cstheme="majorHAnsi"/>
          <w:i/>
          <w:iCs/>
          <w:color w:val="44546A" w:themeColor="text2"/>
          <w:sz w:val="22"/>
          <w:szCs w:val="22"/>
          <w:lang w:val="en-US"/>
        </w:rPr>
        <w:fldChar w:fldCharType="separate"/>
      </w:r>
      <w:r w:rsidR="00D6133D">
        <w:rPr>
          <w:rFonts w:asciiTheme="majorHAnsi" w:eastAsiaTheme="minorHAnsi" w:hAnsiTheme="majorHAnsi" w:cstheme="majorHAnsi"/>
          <w:i/>
          <w:iCs/>
          <w:noProof/>
          <w:color w:val="44546A" w:themeColor="text2"/>
          <w:sz w:val="22"/>
          <w:szCs w:val="22"/>
          <w:lang w:val="en-US"/>
        </w:rPr>
        <w:t>42</w:t>
      </w:r>
      <w:r w:rsidR="008D0CAD" w:rsidRPr="001E2886">
        <w:rPr>
          <w:rFonts w:asciiTheme="majorHAnsi" w:eastAsiaTheme="minorHAnsi" w:hAnsiTheme="majorHAnsi" w:cstheme="majorHAnsi"/>
          <w:i/>
          <w:iCs/>
          <w:color w:val="44546A" w:themeColor="text2"/>
          <w:sz w:val="22"/>
          <w:szCs w:val="22"/>
          <w:lang w:val="en-US"/>
        </w:rPr>
        <w:fldChar w:fldCharType="end"/>
      </w:r>
      <w:r w:rsidR="008D0CAD" w:rsidRPr="001E2886">
        <w:rPr>
          <w:rFonts w:asciiTheme="majorHAnsi" w:eastAsiaTheme="minorHAnsi" w:hAnsiTheme="majorHAnsi" w:cstheme="majorHAnsi"/>
          <w:i/>
          <w:iCs/>
          <w:color w:val="44546A" w:themeColor="text2"/>
          <w:sz w:val="22"/>
          <w:szCs w:val="22"/>
          <w:lang w:val="en-US"/>
        </w:rPr>
        <w:t>. Distribution of Enrollees, SY2017- 2018</w:t>
      </w:r>
      <w:bookmarkEnd w:id="535"/>
      <w:bookmarkEnd w:id="536"/>
    </w:p>
    <w:p w14:paraId="6EDCE45D" w14:textId="77777777" w:rsidR="008D0CAD" w:rsidRPr="00E00C4B" w:rsidRDefault="008D0CAD" w:rsidP="00796BFA">
      <w:pPr>
        <w:autoSpaceDE w:val="0"/>
        <w:autoSpaceDN w:val="0"/>
        <w:adjustRightInd w:val="0"/>
        <w:spacing w:before="100" w:beforeAutospacing="1" w:after="100" w:afterAutospacing="1" w:line="360" w:lineRule="auto"/>
        <w:rPr>
          <w:rFonts w:asciiTheme="majorHAnsi" w:hAnsiTheme="majorHAnsi" w:cstheme="majorHAnsi"/>
          <w:bCs/>
          <w:i/>
          <w:iCs/>
          <w:sz w:val="20"/>
          <w:szCs w:val="20"/>
          <w:lang w:val="en-US"/>
        </w:rPr>
      </w:pPr>
      <w:r w:rsidRPr="00E00C4B">
        <w:rPr>
          <w:noProof/>
          <w:lang w:val="en-AU" w:eastAsia="en-AU"/>
        </w:rPr>
        <w:drawing>
          <wp:inline distT="0" distB="0" distL="0" distR="0" wp14:anchorId="6E01C20F" wp14:editId="24B848C5">
            <wp:extent cx="6223133" cy="2077452"/>
            <wp:effectExtent l="0" t="0" r="12700" b="18415"/>
            <wp:docPr id="93" name="Chart 93" descr="Bar chart on distribution of enrolees for school year 2017-2018 across Philippine regions. Highest in Region IV-A at about 3,000,000.">
              <a:extLst xmlns:a="http://schemas.openxmlformats.org/drawingml/2006/main">
                <a:ext uri="{FF2B5EF4-FFF2-40B4-BE49-F238E27FC236}">
                  <a16:creationId xmlns:a16="http://schemas.microsoft.com/office/drawing/2014/main" id="{BC32ADB9-FDD0-BB40-8621-B782B8D0AC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2B31C543" w14:textId="4DCA04FA" w:rsidR="008D0CAD" w:rsidRPr="00E00C4B" w:rsidRDefault="00D434EB" w:rsidP="00796BFA">
      <w:pPr>
        <w:autoSpaceDE w:val="0"/>
        <w:autoSpaceDN w:val="0"/>
        <w:adjustRightInd w:val="0"/>
        <w:spacing w:before="100" w:beforeAutospacing="1" w:after="100" w:afterAutospacing="1" w:line="360" w:lineRule="auto"/>
        <w:rPr>
          <w:rFonts w:asciiTheme="majorHAnsi" w:hAnsiTheme="majorHAnsi" w:cstheme="majorHAnsi"/>
          <w:color w:val="C00000"/>
          <w:lang w:val="en-US"/>
        </w:rPr>
      </w:pPr>
      <w:r>
        <w:rPr>
          <w:rFonts w:asciiTheme="majorHAnsi" w:hAnsiTheme="majorHAnsi" w:cstheme="majorHAnsi"/>
          <w:bCs/>
          <w:i/>
          <w:iCs/>
          <w:sz w:val="20"/>
          <w:szCs w:val="20"/>
          <w:lang w:val="en-US"/>
        </w:rPr>
        <w:t xml:space="preserve"> </w:t>
      </w:r>
      <w:r w:rsidR="008D0CAD" w:rsidRPr="00E00C4B">
        <w:rPr>
          <w:rFonts w:asciiTheme="majorHAnsi" w:hAnsiTheme="majorHAnsi" w:cstheme="majorHAnsi"/>
          <w:bCs/>
          <w:i/>
          <w:iCs/>
          <w:sz w:val="20"/>
          <w:szCs w:val="20"/>
          <w:lang w:val="en-US"/>
        </w:rPr>
        <w:t>Source of basic data: EBEIS (Retrieved April 2019)</w:t>
      </w:r>
    </w:p>
    <w:p w14:paraId="2F697063" w14:textId="77777777" w:rsidR="008D0CAD" w:rsidRPr="00E00C4B" w:rsidRDefault="008D0CAD" w:rsidP="00796BFA">
      <w:pPr>
        <w:autoSpaceDE w:val="0"/>
        <w:autoSpaceDN w:val="0"/>
        <w:adjustRightInd w:val="0"/>
        <w:spacing w:before="100" w:beforeAutospacing="1" w:after="100" w:afterAutospacing="1" w:line="360" w:lineRule="auto"/>
        <w:rPr>
          <w:rFonts w:asciiTheme="majorHAnsi" w:hAnsiTheme="majorHAnsi" w:cstheme="majorHAnsi"/>
          <w:b/>
          <w:color w:val="000000" w:themeColor="text1"/>
          <w:lang w:val="en-US"/>
        </w:rPr>
      </w:pPr>
    </w:p>
    <w:p w14:paraId="7B093FA8" w14:textId="28C19A5D" w:rsidR="008D0CAD" w:rsidRPr="00E00C4B" w:rsidRDefault="008D0CAD" w:rsidP="00796BFA">
      <w:pPr>
        <w:autoSpaceDE w:val="0"/>
        <w:autoSpaceDN w:val="0"/>
        <w:adjustRightInd w:val="0"/>
        <w:spacing w:before="100" w:beforeAutospacing="1" w:after="100" w:afterAutospacing="1" w:line="360" w:lineRule="auto"/>
        <w:rPr>
          <w:rFonts w:asciiTheme="majorHAnsi" w:hAnsiTheme="majorHAnsi" w:cstheme="majorHAnsi"/>
          <w:color w:val="000000" w:themeColor="text1"/>
          <w:lang w:val="en-US"/>
        </w:rPr>
      </w:pPr>
      <w:r w:rsidRPr="00E00C4B">
        <w:rPr>
          <w:rFonts w:asciiTheme="majorHAnsi" w:hAnsiTheme="majorHAnsi" w:cstheme="majorHAnsi"/>
          <w:b/>
          <w:color w:val="000000" w:themeColor="text1"/>
          <w:lang w:val="en-US"/>
        </w:rPr>
        <w:t>Change in Enrollment by Region.</w:t>
      </w:r>
      <w:r w:rsidR="00D434EB">
        <w:rPr>
          <w:rFonts w:asciiTheme="majorHAnsi" w:hAnsiTheme="majorHAnsi" w:cstheme="majorHAnsi"/>
          <w:color w:val="000000" w:themeColor="text1"/>
          <w:lang w:val="en-US"/>
        </w:rPr>
        <w:t xml:space="preserve"> </w:t>
      </w:r>
      <w:r w:rsidRPr="00E00C4B">
        <w:rPr>
          <w:rFonts w:asciiTheme="majorHAnsi" w:hAnsiTheme="majorHAnsi" w:cstheme="majorHAnsi"/>
          <w:color w:val="000000" w:themeColor="text1"/>
          <w:lang w:val="en-US"/>
        </w:rPr>
        <w:t xml:space="preserve">Using SY2017-2018 as endline and SY 2013-2014 as baseline, overall change in enrolment </w:t>
      </w:r>
      <w:r w:rsidRPr="00E00C4B">
        <w:rPr>
          <w:rFonts w:asciiTheme="majorHAnsi" w:hAnsiTheme="majorHAnsi" w:cstheme="majorHAnsi"/>
          <w:color w:val="000000"/>
          <w:lang w:val="en-US"/>
        </w:rPr>
        <w:t xml:space="preserve">(Endline-Baseline) </w:t>
      </w:r>
      <w:r w:rsidRPr="00E00C4B">
        <w:rPr>
          <w:rFonts w:asciiTheme="majorHAnsi" w:hAnsiTheme="majorHAnsi" w:cstheme="majorHAnsi"/>
          <w:color w:val="000000" w:themeColor="text1"/>
          <w:lang w:val="en-US"/>
        </w:rPr>
        <w:t>was pegged at 1,174,889 (Figure 11).</w:t>
      </w:r>
      <w:r w:rsidR="00D434EB">
        <w:rPr>
          <w:rFonts w:asciiTheme="majorHAnsi" w:hAnsiTheme="majorHAnsi" w:cstheme="majorHAnsi"/>
          <w:color w:val="000000" w:themeColor="text1"/>
          <w:lang w:val="en-US"/>
        </w:rPr>
        <w:t xml:space="preserve"> </w:t>
      </w:r>
    </w:p>
    <w:p w14:paraId="2CDC0AFD" w14:textId="194A8ABB" w:rsidR="008D0CAD" w:rsidRPr="001E2886" w:rsidRDefault="008D0CAD" w:rsidP="00796BFA">
      <w:pPr>
        <w:spacing w:before="100" w:beforeAutospacing="1" w:after="100" w:afterAutospacing="1" w:line="360" w:lineRule="auto"/>
        <w:rPr>
          <w:rFonts w:asciiTheme="majorHAnsi" w:eastAsiaTheme="minorHAnsi" w:hAnsiTheme="majorHAnsi" w:cstheme="majorHAnsi"/>
          <w:i/>
          <w:iCs/>
          <w:color w:val="44546A" w:themeColor="text2"/>
          <w:sz w:val="22"/>
          <w:szCs w:val="22"/>
          <w:lang w:val="en-US"/>
        </w:rPr>
      </w:pPr>
      <w:bookmarkStart w:id="537" w:name="_Toc16524123"/>
      <w:bookmarkStart w:id="538" w:name="_Toc71616570"/>
      <w:r w:rsidRPr="001E2886">
        <w:rPr>
          <w:rFonts w:asciiTheme="majorHAnsi" w:eastAsiaTheme="minorHAnsi" w:hAnsiTheme="majorHAnsi" w:cstheme="majorHAnsi"/>
          <w:i/>
          <w:iCs/>
          <w:color w:val="44546A" w:themeColor="text2"/>
          <w:sz w:val="22"/>
          <w:szCs w:val="22"/>
          <w:lang w:val="en-US"/>
        </w:rPr>
        <w:t xml:space="preserve">Figure </w:t>
      </w:r>
      <w:r w:rsidRPr="001E2886">
        <w:rPr>
          <w:rFonts w:asciiTheme="majorHAnsi" w:eastAsiaTheme="minorHAnsi" w:hAnsiTheme="majorHAnsi" w:cstheme="majorHAnsi"/>
          <w:i/>
          <w:iCs/>
          <w:color w:val="44546A" w:themeColor="text2"/>
          <w:sz w:val="22"/>
          <w:szCs w:val="22"/>
          <w:lang w:val="en-US"/>
        </w:rPr>
        <w:fldChar w:fldCharType="begin"/>
      </w:r>
      <w:r w:rsidRPr="001E2886">
        <w:rPr>
          <w:rFonts w:asciiTheme="majorHAnsi" w:eastAsiaTheme="minorHAnsi" w:hAnsiTheme="majorHAnsi" w:cstheme="majorHAnsi"/>
          <w:i/>
          <w:iCs/>
          <w:color w:val="44546A" w:themeColor="text2"/>
          <w:sz w:val="22"/>
          <w:szCs w:val="22"/>
          <w:lang w:val="en-US"/>
        </w:rPr>
        <w:instrText xml:space="preserve"> SEQ Figure \* ARABIC </w:instrText>
      </w:r>
      <w:r w:rsidRPr="001E2886">
        <w:rPr>
          <w:rFonts w:asciiTheme="majorHAnsi" w:eastAsiaTheme="minorHAnsi" w:hAnsiTheme="majorHAnsi" w:cstheme="majorHAnsi"/>
          <w:i/>
          <w:iCs/>
          <w:color w:val="44546A" w:themeColor="text2"/>
          <w:sz w:val="22"/>
          <w:szCs w:val="22"/>
          <w:lang w:val="en-US"/>
        </w:rPr>
        <w:fldChar w:fldCharType="separate"/>
      </w:r>
      <w:r w:rsidR="00D6133D">
        <w:rPr>
          <w:rFonts w:asciiTheme="majorHAnsi" w:eastAsiaTheme="minorHAnsi" w:hAnsiTheme="majorHAnsi" w:cstheme="majorHAnsi"/>
          <w:i/>
          <w:iCs/>
          <w:noProof/>
          <w:color w:val="44546A" w:themeColor="text2"/>
          <w:sz w:val="22"/>
          <w:szCs w:val="22"/>
          <w:lang w:val="en-US"/>
        </w:rPr>
        <w:t>43</w:t>
      </w:r>
      <w:r w:rsidRPr="001E2886">
        <w:rPr>
          <w:rFonts w:asciiTheme="majorHAnsi" w:eastAsiaTheme="minorHAnsi" w:hAnsiTheme="majorHAnsi" w:cstheme="majorHAnsi"/>
          <w:i/>
          <w:iCs/>
          <w:color w:val="44546A" w:themeColor="text2"/>
          <w:sz w:val="22"/>
          <w:szCs w:val="22"/>
          <w:lang w:val="en-US"/>
        </w:rPr>
        <w:fldChar w:fldCharType="end"/>
      </w:r>
      <w:r w:rsidRPr="001E2886">
        <w:rPr>
          <w:rFonts w:asciiTheme="majorHAnsi" w:eastAsiaTheme="minorHAnsi" w:hAnsiTheme="majorHAnsi" w:cstheme="majorHAnsi"/>
          <w:i/>
          <w:iCs/>
          <w:color w:val="44546A" w:themeColor="text2"/>
          <w:sz w:val="22"/>
          <w:szCs w:val="22"/>
          <w:lang w:val="en-US"/>
        </w:rPr>
        <w:t>. Change in Number of Enrollees</w:t>
      </w:r>
      <w:r w:rsidRPr="001E2886">
        <w:rPr>
          <w:rFonts w:asciiTheme="majorHAnsi" w:eastAsiaTheme="minorHAnsi" w:hAnsiTheme="majorHAnsi" w:cstheme="majorHAnsi"/>
          <w:i/>
          <w:iCs/>
          <w:color w:val="44546A" w:themeColor="text2"/>
          <w:sz w:val="22"/>
          <w:szCs w:val="22"/>
          <w:vertAlign w:val="superscript"/>
          <w:lang w:val="en-US"/>
        </w:rPr>
        <w:footnoteReference w:id="145"/>
      </w:r>
      <w:bookmarkEnd w:id="537"/>
      <w:bookmarkEnd w:id="538"/>
    </w:p>
    <w:p w14:paraId="109E689A" w14:textId="77777777" w:rsidR="008D0CAD" w:rsidRPr="00E00C4B" w:rsidRDefault="008D0CAD" w:rsidP="00796BFA">
      <w:pPr>
        <w:autoSpaceDE w:val="0"/>
        <w:autoSpaceDN w:val="0"/>
        <w:adjustRightInd w:val="0"/>
        <w:spacing w:before="100" w:beforeAutospacing="1" w:after="100" w:afterAutospacing="1" w:line="360" w:lineRule="auto"/>
        <w:rPr>
          <w:rFonts w:asciiTheme="majorHAnsi" w:hAnsiTheme="majorHAnsi" w:cstheme="majorHAnsi"/>
          <w:color w:val="C00000"/>
          <w:lang w:val="en-US"/>
        </w:rPr>
      </w:pPr>
      <w:r w:rsidRPr="00E00C4B">
        <w:rPr>
          <w:noProof/>
          <w:lang w:val="en-AU" w:eastAsia="en-AU"/>
        </w:rPr>
        <w:drawing>
          <wp:inline distT="0" distB="0" distL="0" distR="0" wp14:anchorId="1932950C" wp14:editId="56E73FD0">
            <wp:extent cx="6207994" cy="2189747"/>
            <wp:effectExtent l="0" t="0" r="15240" b="7620"/>
            <wp:docPr id="94" name="Chart 94" descr="Bar chart on change in number of enrolees for 2019 across Philippine regions. Highest Change for secondary is in Region IV A; Highest change for elementary are in regions V, ARMM, NCR.">
              <a:extLst xmlns:a="http://schemas.openxmlformats.org/drawingml/2006/main">
                <a:ext uri="{FF2B5EF4-FFF2-40B4-BE49-F238E27FC236}">
                  <a16:creationId xmlns:a16="http://schemas.microsoft.com/office/drawing/2014/main" id="{FAC01492-7783-B44D-B6E5-33D6D2025D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5C04E878" w14:textId="39CA3C8E" w:rsidR="008D0CAD" w:rsidRPr="00796BFA" w:rsidRDefault="008D0CAD" w:rsidP="00796BFA">
      <w:pPr>
        <w:spacing w:before="100" w:beforeAutospacing="1" w:after="100" w:afterAutospacing="1" w:line="360" w:lineRule="auto"/>
        <w:rPr>
          <w:rFonts w:asciiTheme="majorHAnsi" w:hAnsiTheme="majorHAnsi" w:cstheme="majorHAnsi"/>
          <w:bCs/>
          <w:i/>
          <w:iCs/>
          <w:sz w:val="20"/>
          <w:szCs w:val="20"/>
          <w:lang w:val="en-US"/>
        </w:rPr>
      </w:pPr>
      <w:r w:rsidRPr="00E00C4B">
        <w:rPr>
          <w:rFonts w:asciiTheme="majorHAnsi" w:hAnsiTheme="majorHAnsi" w:cstheme="majorHAnsi"/>
          <w:bCs/>
          <w:i/>
          <w:iCs/>
          <w:sz w:val="20"/>
          <w:szCs w:val="20"/>
          <w:lang w:val="en-US"/>
        </w:rPr>
        <w:t>Source of basic data: EBEIS (Retrieved April 2019)</w:t>
      </w:r>
    </w:p>
    <w:p w14:paraId="4357200E" w14:textId="292971FB" w:rsidR="008D0CAD" w:rsidRPr="00E00C4B" w:rsidRDefault="008D0CAD" w:rsidP="00796BFA">
      <w:pPr>
        <w:autoSpaceDE w:val="0"/>
        <w:autoSpaceDN w:val="0"/>
        <w:adjustRightInd w:val="0"/>
        <w:spacing w:before="100" w:beforeAutospacing="1" w:after="100" w:afterAutospacing="1" w:line="360" w:lineRule="auto"/>
        <w:rPr>
          <w:rFonts w:asciiTheme="majorHAnsi" w:hAnsiTheme="majorHAnsi" w:cstheme="majorHAnsi"/>
          <w:color w:val="000000" w:themeColor="text1"/>
          <w:lang w:val="en-US"/>
        </w:rPr>
      </w:pPr>
      <w:r w:rsidRPr="00E00C4B">
        <w:rPr>
          <w:rFonts w:asciiTheme="majorHAnsi" w:hAnsiTheme="majorHAnsi" w:cstheme="majorHAnsi"/>
          <w:color w:val="000000" w:themeColor="text1"/>
          <w:lang w:val="en-US"/>
        </w:rPr>
        <w:t xml:space="preserve">Elementary enrolment declined by </w:t>
      </w:r>
      <w:r w:rsidRPr="00E00C4B">
        <w:rPr>
          <w:rFonts w:asciiTheme="majorHAnsi" w:hAnsiTheme="majorHAnsi" w:cstheme="majorHAnsi"/>
          <w:lang w:val="en-US"/>
        </w:rPr>
        <w:t>56,004 overall during this period while secondary enrolment increased by 2,033,843.</w:t>
      </w:r>
      <w:r w:rsidR="00D434EB">
        <w:rPr>
          <w:rFonts w:asciiTheme="majorHAnsi" w:hAnsiTheme="majorHAnsi" w:cstheme="majorHAnsi"/>
          <w:color w:val="000000"/>
          <w:lang w:val="en-US"/>
        </w:rPr>
        <w:t xml:space="preserve"> </w:t>
      </w:r>
      <w:r w:rsidRPr="00E00C4B">
        <w:rPr>
          <w:rFonts w:asciiTheme="majorHAnsi" w:hAnsiTheme="majorHAnsi" w:cstheme="majorHAnsi"/>
          <w:color w:val="000000" w:themeColor="text1"/>
          <w:lang w:val="en-US"/>
        </w:rPr>
        <w:t>The highest increases in enrolment for Secondary were in Regions IV-A (250, 151 students), VI (197,452 students) and V (192,752 students).</w:t>
      </w:r>
      <w:r w:rsidR="00D434EB">
        <w:rPr>
          <w:rFonts w:asciiTheme="majorHAnsi" w:hAnsiTheme="majorHAnsi" w:cstheme="majorHAnsi"/>
          <w:color w:val="000000" w:themeColor="text1"/>
          <w:lang w:val="en-US"/>
        </w:rPr>
        <w:t xml:space="preserve"> </w:t>
      </w:r>
      <w:r w:rsidRPr="00E00C4B">
        <w:rPr>
          <w:rFonts w:asciiTheme="majorHAnsi" w:hAnsiTheme="majorHAnsi" w:cstheme="majorHAnsi"/>
          <w:color w:val="000000" w:themeColor="text1"/>
          <w:lang w:val="en-US"/>
        </w:rPr>
        <w:t xml:space="preserve"> The largest decline in elementary enrolment were in Regions V (-120,598 students), ARMM (</w:t>
      </w:r>
      <w:r w:rsidRPr="00E00C4B">
        <w:rPr>
          <w:rFonts w:asciiTheme="majorHAnsi" w:hAnsiTheme="majorHAnsi" w:cstheme="majorHAnsi"/>
          <w:color w:val="000000"/>
          <w:lang w:val="en-US"/>
        </w:rPr>
        <w:t xml:space="preserve">-114,222 </w:t>
      </w:r>
      <w:r w:rsidRPr="00E00C4B">
        <w:rPr>
          <w:rFonts w:asciiTheme="majorHAnsi" w:hAnsiTheme="majorHAnsi" w:cstheme="majorHAnsi"/>
          <w:color w:val="000000" w:themeColor="text1"/>
          <w:lang w:val="en-US"/>
        </w:rPr>
        <w:t>students</w:t>
      </w:r>
      <w:r w:rsidRPr="00E00C4B">
        <w:rPr>
          <w:rFonts w:asciiTheme="majorHAnsi" w:hAnsiTheme="majorHAnsi" w:cstheme="majorHAnsi"/>
          <w:color w:val="000000"/>
          <w:lang w:val="en-US"/>
        </w:rPr>
        <w:t xml:space="preserve">) </w:t>
      </w:r>
      <w:r w:rsidRPr="00E00C4B">
        <w:rPr>
          <w:rFonts w:asciiTheme="majorHAnsi" w:hAnsiTheme="majorHAnsi" w:cstheme="majorHAnsi"/>
          <w:color w:val="000000" w:themeColor="text1"/>
          <w:lang w:val="en-US"/>
        </w:rPr>
        <w:t>and NCR (</w:t>
      </w:r>
      <w:r w:rsidRPr="00E00C4B">
        <w:rPr>
          <w:rFonts w:asciiTheme="majorHAnsi" w:hAnsiTheme="majorHAnsi" w:cstheme="majorHAnsi"/>
          <w:color w:val="000000"/>
          <w:lang w:val="en-US"/>
        </w:rPr>
        <w:t xml:space="preserve">-109,616 </w:t>
      </w:r>
      <w:r w:rsidRPr="00E00C4B">
        <w:rPr>
          <w:rFonts w:asciiTheme="majorHAnsi" w:hAnsiTheme="majorHAnsi" w:cstheme="majorHAnsi"/>
          <w:color w:val="000000" w:themeColor="text1"/>
          <w:lang w:val="en-US"/>
        </w:rPr>
        <w:t>students).</w:t>
      </w:r>
    </w:p>
    <w:p w14:paraId="00759879" w14:textId="36068466" w:rsidR="008D0CAD" w:rsidRPr="00E00C4B" w:rsidRDefault="008D0CAD" w:rsidP="00796BFA">
      <w:pPr>
        <w:autoSpaceDE w:val="0"/>
        <w:autoSpaceDN w:val="0"/>
        <w:adjustRightInd w:val="0"/>
        <w:spacing w:before="100" w:beforeAutospacing="1" w:after="100" w:afterAutospacing="1" w:line="360" w:lineRule="auto"/>
        <w:rPr>
          <w:rFonts w:asciiTheme="majorHAnsi" w:hAnsiTheme="majorHAnsi" w:cstheme="majorHAnsi"/>
          <w:color w:val="000000" w:themeColor="text1"/>
          <w:lang w:val="en-US"/>
        </w:rPr>
      </w:pPr>
      <w:r w:rsidRPr="00E00C4B">
        <w:rPr>
          <w:rFonts w:asciiTheme="majorHAnsi" w:hAnsiTheme="majorHAnsi" w:cstheme="majorHAnsi"/>
          <w:b/>
          <w:color w:val="000000" w:themeColor="text1"/>
          <w:lang w:val="en-US"/>
        </w:rPr>
        <w:t>Enrolment by BEST and Non-BEST supported regions</w:t>
      </w:r>
      <w:r w:rsidRPr="00E00C4B">
        <w:rPr>
          <w:rFonts w:asciiTheme="majorHAnsi" w:hAnsiTheme="majorHAnsi" w:cstheme="majorHAnsi"/>
          <w:color w:val="000000" w:themeColor="text1"/>
          <w:lang w:val="en-US"/>
        </w:rPr>
        <w:t>.</w:t>
      </w:r>
      <w:r w:rsidR="00D434EB">
        <w:rPr>
          <w:rFonts w:asciiTheme="majorHAnsi" w:hAnsiTheme="majorHAnsi" w:cstheme="majorHAnsi"/>
          <w:color w:val="000000" w:themeColor="text1"/>
          <w:lang w:val="en-US"/>
        </w:rPr>
        <w:t xml:space="preserve"> </w:t>
      </w:r>
      <w:r w:rsidRPr="00E00C4B">
        <w:rPr>
          <w:rFonts w:asciiTheme="majorHAnsi" w:hAnsiTheme="majorHAnsi" w:cstheme="majorHAnsi"/>
          <w:color w:val="000000" w:themeColor="text1"/>
          <w:lang w:val="en-US"/>
        </w:rPr>
        <w:t>In SY2013-2014, 43 percent of enrollees (20,921,931 students) were recorded in BEST supported regions, and 72 percent of this were in the elementary level and only 28 percent in secondary (Figure 12). By SY2017-2018, enrollment in BEST supported regions declined slightly to 42 percent of enrollees but the change in composition was more apparent: 65 percent were in elementary level and 35 percent in secondary.</w:t>
      </w:r>
    </w:p>
    <w:p w14:paraId="1FCB7DDE" w14:textId="33120B35" w:rsidR="008D0CAD" w:rsidRPr="001E2886" w:rsidRDefault="008D0CAD" w:rsidP="00796BFA">
      <w:pPr>
        <w:spacing w:before="100" w:beforeAutospacing="1" w:after="100" w:afterAutospacing="1" w:line="360" w:lineRule="auto"/>
        <w:rPr>
          <w:rFonts w:asciiTheme="majorHAnsi" w:eastAsiaTheme="minorHAnsi" w:hAnsiTheme="majorHAnsi" w:cstheme="majorHAnsi"/>
          <w:i/>
          <w:iCs/>
          <w:color w:val="44546A" w:themeColor="text2"/>
          <w:sz w:val="22"/>
          <w:szCs w:val="22"/>
          <w:lang w:val="en-US"/>
        </w:rPr>
      </w:pPr>
      <w:r w:rsidRPr="00E00C4B">
        <w:rPr>
          <w:rFonts w:ascii="Calibri" w:hAnsi="Calibri" w:cs="Calibri"/>
          <w:color w:val="000000"/>
          <w:sz w:val="22"/>
          <w:szCs w:val="22"/>
          <w:lang w:val="en-US"/>
        </w:rPr>
        <w:t xml:space="preserve"> </w:t>
      </w:r>
      <w:r w:rsidRPr="001E2886">
        <w:rPr>
          <w:rFonts w:asciiTheme="majorHAnsi" w:eastAsiaTheme="minorHAnsi" w:hAnsiTheme="majorHAnsi" w:cstheme="majorHAnsi"/>
          <w:i/>
          <w:iCs/>
          <w:color w:val="44546A" w:themeColor="text2"/>
          <w:sz w:val="22"/>
          <w:szCs w:val="22"/>
          <w:lang w:val="en-US"/>
        </w:rPr>
        <w:t xml:space="preserve"> </w:t>
      </w:r>
      <w:bookmarkStart w:id="539" w:name="_Toc16524124"/>
      <w:bookmarkStart w:id="540" w:name="_Toc71616571"/>
      <w:r w:rsidRPr="001E2886">
        <w:rPr>
          <w:rFonts w:asciiTheme="majorHAnsi" w:eastAsiaTheme="minorHAnsi" w:hAnsiTheme="majorHAnsi" w:cstheme="majorHAnsi"/>
          <w:i/>
          <w:iCs/>
          <w:color w:val="44546A" w:themeColor="text2"/>
          <w:sz w:val="22"/>
          <w:szCs w:val="22"/>
          <w:lang w:val="en-US"/>
        </w:rPr>
        <w:t xml:space="preserve">Figure </w:t>
      </w:r>
      <w:r w:rsidRPr="001E2886">
        <w:rPr>
          <w:rFonts w:asciiTheme="majorHAnsi" w:eastAsiaTheme="minorHAnsi" w:hAnsiTheme="majorHAnsi" w:cstheme="majorHAnsi"/>
          <w:i/>
          <w:iCs/>
          <w:color w:val="44546A" w:themeColor="text2"/>
          <w:sz w:val="22"/>
          <w:szCs w:val="22"/>
          <w:lang w:val="en-US"/>
        </w:rPr>
        <w:fldChar w:fldCharType="begin"/>
      </w:r>
      <w:r w:rsidRPr="001E2886">
        <w:rPr>
          <w:rFonts w:asciiTheme="majorHAnsi" w:eastAsiaTheme="minorHAnsi" w:hAnsiTheme="majorHAnsi" w:cstheme="majorHAnsi"/>
          <w:i/>
          <w:iCs/>
          <w:color w:val="44546A" w:themeColor="text2"/>
          <w:sz w:val="22"/>
          <w:szCs w:val="22"/>
          <w:lang w:val="en-US"/>
        </w:rPr>
        <w:instrText xml:space="preserve"> SEQ Figure \* ARABIC </w:instrText>
      </w:r>
      <w:r w:rsidRPr="001E2886">
        <w:rPr>
          <w:rFonts w:asciiTheme="majorHAnsi" w:eastAsiaTheme="minorHAnsi" w:hAnsiTheme="majorHAnsi" w:cstheme="majorHAnsi"/>
          <w:i/>
          <w:iCs/>
          <w:color w:val="44546A" w:themeColor="text2"/>
          <w:sz w:val="22"/>
          <w:szCs w:val="22"/>
          <w:lang w:val="en-US"/>
        </w:rPr>
        <w:fldChar w:fldCharType="separate"/>
      </w:r>
      <w:r w:rsidR="00D6133D">
        <w:rPr>
          <w:rFonts w:asciiTheme="majorHAnsi" w:eastAsiaTheme="minorHAnsi" w:hAnsiTheme="majorHAnsi" w:cstheme="majorHAnsi"/>
          <w:i/>
          <w:iCs/>
          <w:noProof/>
          <w:color w:val="44546A" w:themeColor="text2"/>
          <w:sz w:val="22"/>
          <w:szCs w:val="22"/>
          <w:lang w:val="en-US"/>
        </w:rPr>
        <w:t>44</w:t>
      </w:r>
      <w:r w:rsidRPr="001E2886">
        <w:rPr>
          <w:rFonts w:asciiTheme="majorHAnsi" w:eastAsiaTheme="minorHAnsi" w:hAnsiTheme="majorHAnsi" w:cstheme="majorHAnsi"/>
          <w:i/>
          <w:iCs/>
          <w:color w:val="44546A" w:themeColor="text2"/>
          <w:sz w:val="22"/>
          <w:szCs w:val="22"/>
          <w:lang w:val="en-US"/>
        </w:rPr>
        <w:fldChar w:fldCharType="end"/>
      </w:r>
      <w:r w:rsidRPr="001E2886">
        <w:rPr>
          <w:rFonts w:asciiTheme="majorHAnsi" w:eastAsiaTheme="minorHAnsi" w:hAnsiTheme="majorHAnsi" w:cstheme="majorHAnsi"/>
          <w:i/>
          <w:iCs/>
          <w:color w:val="44546A" w:themeColor="text2"/>
          <w:sz w:val="22"/>
          <w:szCs w:val="22"/>
          <w:lang w:val="en-US"/>
        </w:rPr>
        <w:t>. Distribution of Enrollees by BEST and Non-BEST supported Regions</w:t>
      </w:r>
      <w:bookmarkEnd w:id="539"/>
      <w:bookmarkEnd w:id="540"/>
    </w:p>
    <w:p w14:paraId="5CA87CB2" w14:textId="77777777" w:rsidR="008D0CAD" w:rsidRPr="00E00C4B" w:rsidRDefault="008D0CAD" w:rsidP="00796BFA">
      <w:pPr>
        <w:autoSpaceDE w:val="0"/>
        <w:autoSpaceDN w:val="0"/>
        <w:adjustRightInd w:val="0"/>
        <w:spacing w:before="100" w:beforeAutospacing="1" w:after="100" w:afterAutospacing="1" w:line="360" w:lineRule="auto"/>
        <w:rPr>
          <w:rFonts w:asciiTheme="majorHAnsi" w:hAnsiTheme="majorHAnsi" w:cstheme="majorHAnsi"/>
          <w:color w:val="000000" w:themeColor="text1"/>
          <w:lang w:val="en-US"/>
        </w:rPr>
      </w:pPr>
      <w:r w:rsidRPr="00E00C4B">
        <w:rPr>
          <w:noProof/>
          <w:lang w:val="en-AU" w:eastAsia="en-AU"/>
        </w:rPr>
        <w:drawing>
          <wp:inline distT="0" distB="0" distL="0" distR="0" wp14:anchorId="61D2259C" wp14:editId="63275C04">
            <wp:extent cx="6126714" cy="2454442"/>
            <wp:effectExtent l="0" t="0" r="7620" b="9525"/>
            <wp:docPr id="99" name="Chart 99" descr="Bar graph on distribution of enrolees by BEST and non-BEST supported regions. Higher numbers for non-BEST regions compared to BEST regions.">
              <a:extLst xmlns:a="http://schemas.openxmlformats.org/drawingml/2006/main">
                <a:ext uri="{FF2B5EF4-FFF2-40B4-BE49-F238E27FC236}">
                  <a16:creationId xmlns:a16="http://schemas.microsoft.com/office/drawing/2014/main" id="{A91BC8E9-64F7-2843-A8CB-64791630E3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01D5A6C4" w14:textId="1E81D9DF" w:rsidR="008D0CAD" w:rsidRPr="00796BFA" w:rsidRDefault="008D0CAD" w:rsidP="00796BFA">
      <w:pPr>
        <w:spacing w:before="100" w:beforeAutospacing="1" w:after="100" w:afterAutospacing="1" w:line="360" w:lineRule="auto"/>
        <w:rPr>
          <w:rFonts w:asciiTheme="majorHAnsi" w:hAnsiTheme="majorHAnsi" w:cstheme="majorHAnsi"/>
          <w:bCs/>
          <w:i/>
          <w:iCs/>
          <w:sz w:val="20"/>
          <w:szCs w:val="20"/>
          <w:lang w:val="en-US"/>
        </w:rPr>
      </w:pPr>
      <w:r w:rsidRPr="00E00C4B">
        <w:rPr>
          <w:rFonts w:asciiTheme="majorHAnsi" w:hAnsiTheme="majorHAnsi" w:cstheme="majorHAnsi"/>
          <w:bCs/>
          <w:i/>
          <w:iCs/>
          <w:sz w:val="20"/>
          <w:szCs w:val="20"/>
          <w:lang w:val="en-US"/>
        </w:rPr>
        <w:t>Source of basic data: EBEIS (Retrieved April 2019)</w:t>
      </w:r>
    </w:p>
    <w:p w14:paraId="7C6B6BD7" w14:textId="0FA8B672" w:rsidR="008D0CAD" w:rsidRPr="00E00C4B" w:rsidRDefault="008D0CAD" w:rsidP="00796BFA">
      <w:pPr>
        <w:autoSpaceDE w:val="0"/>
        <w:autoSpaceDN w:val="0"/>
        <w:adjustRightInd w:val="0"/>
        <w:spacing w:before="100" w:beforeAutospacing="1" w:after="100" w:afterAutospacing="1" w:line="360" w:lineRule="auto"/>
        <w:rPr>
          <w:rFonts w:asciiTheme="majorHAnsi" w:hAnsiTheme="majorHAnsi" w:cstheme="majorHAnsi"/>
          <w:color w:val="000000" w:themeColor="text1"/>
          <w:lang w:val="en-US"/>
        </w:rPr>
      </w:pPr>
      <w:r w:rsidRPr="00E00C4B">
        <w:rPr>
          <w:rFonts w:asciiTheme="majorHAnsi" w:hAnsiTheme="majorHAnsi" w:cstheme="majorHAnsi"/>
          <w:b/>
          <w:color w:val="000000" w:themeColor="text1"/>
          <w:lang w:val="en-US"/>
        </w:rPr>
        <w:t>Enrolment by Divisions in BEST supported regions</w:t>
      </w:r>
      <w:r w:rsidRPr="00E00C4B">
        <w:rPr>
          <w:rFonts w:asciiTheme="majorHAnsi" w:hAnsiTheme="majorHAnsi" w:cstheme="majorHAnsi"/>
          <w:color w:val="000000" w:themeColor="text1"/>
          <w:lang w:val="en-US"/>
        </w:rPr>
        <w:t>.</w:t>
      </w:r>
      <w:r w:rsidR="00D434EB">
        <w:rPr>
          <w:rFonts w:asciiTheme="majorHAnsi" w:hAnsiTheme="majorHAnsi" w:cstheme="majorHAnsi"/>
          <w:color w:val="000000" w:themeColor="text1"/>
          <w:lang w:val="en-US"/>
        </w:rPr>
        <w:t xml:space="preserve"> </w:t>
      </w:r>
      <w:r w:rsidRPr="00E00C4B">
        <w:rPr>
          <w:rFonts w:asciiTheme="majorHAnsi" w:hAnsiTheme="majorHAnsi" w:cstheme="majorHAnsi"/>
          <w:color w:val="000000" w:themeColor="text1"/>
          <w:lang w:val="en-US"/>
        </w:rPr>
        <w:t>There were six Regions and 14 Divisions included in the BEST EOPE Study.</w:t>
      </w:r>
      <w:r w:rsidR="00D434EB">
        <w:rPr>
          <w:rFonts w:asciiTheme="majorHAnsi" w:hAnsiTheme="majorHAnsi" w:cstheme="majorHAnsi"/>
          <w:color w:val="000000" w:themeColor="text1"/>
          <w:lang w:val="en-US"/>
        </w:rPr>
        <w:t xml:space="preserve"> </w:t>
      </w:r>
      <w:r w:rsidRPr="00E00C4B">
        <w:rPr>
          <w:rFonts w:asciiTheme="majorHAnsi" w:hAnsiTheme="majorHAnsi" w:cstheme="majorHAnsi"/>
          <w:color w:val="000000" w:themeColor="text1"/>
          <w:lang w:val="en-US"/>
        </w:rPr>
        <w:t>In SY2013-2014 (baseline of the BEST Program), there were a total of 15,111,655 students (from Kindergarten to Secondary including learners with exceptionalities).</w:t>
      </w:r>
      <w:r w:rsidR="00D434EB">
        <w:rPr>
          <w:rFonts w:asciiTheme="majorHAnsi" w:hAnsiTheme="majorHAnsi" w:cstheme="majorHAnsi"/>
          <w:color w:val="000000" w:themeColor="text1"/>
          <w:lang w:val="en-US"/>
        </w:rPr>
        <w:t xml:space="preserve"> </w:t>
      </w:r>
      <w:r w:rsidRPr="00E00C4B">
        <w:rPr>
          <w:rFonts w:asciiTheme="majorHAnsi" w:hAnsiTheme="majorHAnsi" w:cstheme="majorHAnsi"/>
          <w:color w:val="000000" w:themeColor="text1"/>
          <w:lang w:val="en-US"/>
        </w:rPr>
        <w:t xml:space="preserve"> Of this total, the distribution by BEST regions were as follows: 8 percent were in Region V; 8 percent were in Region VI; 8 percent were in Region VII; 6 percent were in Region VIII; 5 percent were in Region X; and 10 percent were in NCR.</w:t>
      </w:r>
    </w:p>
    <w:p w14:paraId="4015119E" w14:textId="04408D9C" w:rsidR="008D0CAD" w:rsidRPr="00E00C4B" w:rsidRDefault="008D0CAD" w:rsidP="00796BFA">
      <w:pPr>
        <w:autoSpaceDE w:val="0"/>
        <w:autoSpaceDN w:val="0"/>
        <w:adjustRightInd w:val="0"/>
        <w:spacing w:before="100" w:beforeAutospacing="1" w:after="100" w:afterAutospacing="1" w:line="360" w:lineRule="auto"/>
        <w:rPr>
          <w:rFonts w:asciiTheme="majorHAnsi" w:hAnsiTheme="majorHAnsi" w:cstheme="majorHAnsi"/>
          <w:color w:val="000000" w:themeColor="text1"/>
          <w:lang w:val="en-US"/>
        </w:rPr>
      </w:pPr>
      <w:r w:rsidRPr="00E00C4B">
        <w:rPr>
          <w:rFonts w:asciiTheme="majorHAnsi" w:hAnsiTheme="majorHAnsi" w:cstheme="majorHAnsi"/>
          <w:color w:val="000000" w:themeColor="text1"/>
          <w:lang w:val="en-US"/>
        </w:rPr>
        <w:t>By SY2017-2018, the overall number of enrollees declined to 14,289,445 students (from Kindergarten to Secondary including learners with exceptionalities).</w:t>
      </w:r>
      <w:r w:rsidR="00D434EB">
        <w:rPr>
          <w:rFonts w:asciiTheme="majorHAnsi" w:hAnsiTheme="majorHAnsi" w:cstheme="majorHAnsi"/>
          <w:color w:val="000000" w:themeColor="text1"/>
          <w:lang w:val="en-US"/>
        </w:rPr>
        <w:t xml:space="preserve"> </w:t>
      </w:r>
      <w:r w:rsidRPr="00E00C4B">
        <w:rPr>
          <w:rFonts w:asciiTheme="majorHAnsi" w:hAnsiTheme="majorHAnsi" w:cstheme="majorHAnsi"/>
          <w:color w:val="000000" w:themeColor="text1"/>
          <w:lang w:val="en-US"/>
        </w:rPr>
        <w:t xml:space="preserve"> Of this total, the share of three BEST regions also declined namely: 7 percent were in Region V; 5 percent were in Region VIII; and 9 percent were in NCR.</w:t>
      </w:r>
      <w:r w:rsidR="00D434EB">
        <w:rPr>
          <w:rFonts w:asciiTheme="majorHAnsi" w:hAnsiTheme="majorHAnsi" w:cstheme="majorHAnsi"/>
          <w:color w:val="000000" w:themeColor="text1"/>
          <w:lang w:val="en-US"/>
        </w:rPr>
        <w:t xml:space="preserve"> </w:t>
      </w:r>
      <w:r w:rsidRPr="00E00C4B">
        <w:rPr>
          <w:rFonts w:asciiTheme="majorHAnsi" w:hAnsiTheme="majorHAnsi" w:cstheme="majorHAnsi"/>
          <w:color w:val="000000" w:themeColor="text1"/>
          <w:lang w:val="en-US"/>
        </w:rPr>
        <w:t>The other three regions remained the same.</w:t>
      </w:r>
    </w:p>
    <w:p w14:paraId="718C1024" w14:textId="2D4FF16B" w:rsidR="008D0CAD" w:rsidRPr="00E00C4B" w:rsidRDefault="008D0CAD" w:rsidP="00796BFA">
      <w:pPr>
        <w:spacing w:before="100" w:beforeAutospacing="1" w:after="100" w:afterAutospacing="1" w:line="360" w:lineRule="auto"/>
        <w:rPr>
          <w:rFonts w:asciiTheme="majorHAnsi" w:eastAsiaTheme="minorHAnsi" w:hAnsiTheme="majorHAnsi" w:cstheme="majorHAnsi"/>
          <w:i/>
          <w:iCs/>
          <w:color w:val="44546A" w:themeColor="text2"/>
          <w:sz w:val="22"/>
          <w:szCs w:val="22"/>
          <w:lang w:val="en-US"/>
        </w:rPr>
      </w:pPr>
      <w:bookmarkStart w:id="541" w:name="_Toc16524125"/>
      <w:bookmarkStart w:id="542" w:name="_Toc71616572"/>
      <w:r w:rsidRPr="00E00C4B">
        <w:rPr>
          <w:rFonts w:asciiTheme="majorHAnsi" w:eastAsiaTheme="minorHAnsi" w:hAnsiTheme="majorHAnsi" w:cstheme="majorHAnsi"/>
          <w:i/>
          <w:iCs/>
          <w:color w:val="44546A" w:themeColor="text2"/>
          <w:sz w:val="22"/>
          <w:szCs w:val="22"/>
          <w:lang w:val="en-US"/>
        </w:rPr>
        <w:t xml:space="preserve">Figure </w:t>
      </w:r>
      <w:r w:rsidRPr="00E00C4B">
        <w:rPr>
          <w:rFonts w:asciiTheme="majorHAnsi" w:eastAsiaTheme="minorHAnsi" w:hAnsiTheme="majorHAnsi" w:cstheme="majorHAnsi"/>
          <w:i/>
          <w:iCs/>
          <w:color w:val="44546A" w:themeColor="text2"/>
          <w:sz w:val="22"/>
          <w:szCs w:val="22"/>
          <w:lang w:val="en-US"/>
        </w:rPr>
        <w:fldChar w:fldCharType="begin"/>
      </w:r>
      <w:r w:rsidRPr="00E00C4B">
        <w:rPr>
          <w:rFonts w:asciiTheme="majorHAnsi" w:eastAsiaTheme="minorHAnsi" w:hAnsiTheme="majorHAnsi" w:cstheme="majorHAnsi"/>
          <w:i/>
          <w:iCs/>
          <w:color w:val="44546A" w:themeColor="text2"/>
          <w:sz w:val="22"/>
          <w:szCs w:val="22"/>
          <w:lang w:val="en-US"/>
        </w:rPr>
        <w:instrText xml:space="preserve"> SEQ Figure \* ARABIC </w:instrText>
      </w:r>
      <w:r w:rsidRPr="00E00C4B">
        <w:rPr>
          <w:rFonts w:asciiTheme="majorHAnsi" w:eastAsiaTheme="minorHAnsi" w:hAnsiTheme="majorHAnsi" w:cstheme="majorHAnsi"/>
          <w:i/>
          <w:iCs/>
          <w:color w:val="44546A" w:themeColor="text2"/>
          <w:sz w:val="22"/>
          <w:szCs w:val="22"/>
          <w:lang w:val="en-US"/>
        </w:rPr>
        <w:fldChar w:fldCharType="separate"/>
      </w:r>
      <w:r w:rsidR="00D6133D">
        <w:rPr>
          <w:rFonts w:asciiTheme="majorHAnsi" w:eastAsiaTheme="minorHAnsi" w:hAnsiTheme="majorHAnsi" w:cstheme="majorHAnsi"/>
          <w:i/>
          <w:iCs/>
          <w:noProof/>
          <w:color w:val="44546A" w:themeColor="text2"/>
          <w:sz w:val="22"/>
          <w:szCs w:val="22"/>
          <w:lang w:val="en-US"/>
        </w:rPr>
        <w:t>45</w:t>
      </w:r>
      <w:r w:rsidRPr="00E00C4B">
        <w:rPr>
          <w:rFonts w:asciiTheme="majorHAnsi" w:eastAsiaTheme="minorHAnsi" w:hAnsiTheme="majorHAnsi" w:cstheme="majorHAnsi"/>
          <w:i/>
          <w:iCs/>
          <w:color w:val="44546A" w:themeColor="text2"/>
          <w:sz w:val="22"/>
          <w:szCs w:val="22"/>
          <w:lang w:val="en-US"/>
        </w:rPr>
        <w:fldChar w:fldCharType="end"/>
      </w:r>
      <w:r w:rsidRPr="00E00C4B">
        <w:rPr>
          <w:rFonts w:asciiTheme="majorHAnsi" w:eastAsiaTheme="minorHAnsi" w:hAnsiTheme="majorHAnsi" w:cstheme="majorHAnsi"/>
          <w:i/>
          <w:iCs/>
          <w:color w:val="44546A" w:themeColor="text2"/>
          <w:sz w:val="22"/>
          <w:szCs w:val="22"/>
          <w:lang w:val="en-US"/>
        </w:rPr>
        <w:t>. Distribution of Enrollees by Divisions in EOPE Study</w:t>
      </w:r>
      <w:bookmarkEnd w:id="541"/>
      <w:bookmarkEnd w:id="542"/>
    </w:p>
    <w:p w14:paraId="25541703" w14:textId="77777777" w:rsidR="008D0CAD" w:rsidRPr="00E00C4B" w:rsidRDefault="008D0CAD" w:rsidP="00796BFA">
      <w:pPr>
        <w:autoSpaceDE w:val="0"/>
        <w:autoSpaceDN w:val="0"/>
        <w:adjustRightInd w:val="0"/>
        <w:spacing w:before="100" w:beforeAutospacing="1" w:after="100" w:afterAutospacing="1" w:line="360" w:lineRule="auto"/>
        <w:rPr>
          <w:rFonts w:asciiTheme="majorHAnsi" w:hAnsiTheme="majorHAnsi" w:cstheme="majorHAnsi"/>
          <w:lang w:val="en-US"/>
        </w:rPr>
      </w:pPr>
      <w:r w:rsidRPr="00E00C4B">
        <w:rPr>
          <w:noProof/>
          <w:lang w:val="en-AU" w:eastAsia="en-AU"/>
        </w:rPr>
        <w:drawing>
          <wp:inline distT="0" distB="0" distL="0" distR="0" wp14:anchorId="6AE43C55" wp14:editId="1A7534EF">
            <wp:extent cx="6424863" cy="2438400"/>
            <wp:effectExtent l="0" t="0" r="14605" b="12700"/>
            <wp:docPr id="100" name="Chart 100" descr="Bar graph of distribution of enrolees by divisions engaged for the BEST EOPE Study. Highest for NCR, followed by Region VI, Region VII, and Region V ">
              <a:extLst xmlns:a="http://schemas.openxmlformats.org/drawingml/2006/main">
                <a:ext uri="{FF2B5EF4-FFF2-40B4-BE49-F238E27FC236}">
                  <a16:creationId xmlns:a16="http://schemas.microsoft.com/office/drawing/2014/main" id="{E4E890B5-E5B1-454E-BECC-EE134B2285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71E44E72" w14:textId="76900205" w:rsidR="008D0CAD" w:rsidRPr="00796BFA" w:rsidRDefault="008D0CAD" w:rsidP="00796BFA">
      <w:pPr>
        <w:spacing w:before="100" w:beforeAutospacing="1" w:after="100" w:afterAutospacing="1" w:line="360" w:lineRule="auto"/>
        <w:rPr>
          <w:rFonts w:asciiTheme="majorHAnsi" w:hAnsiTheme="majorHAnsi" w:cstheme="majorHAnsi"/>
          <w:bCs/>
          <w:i/>
          <w:iCs/>
          <w:sz w:val="20"/>
          <w:szCs w:val="20"/>
          <w:lang w:val="en-US"/>
        </w:rPr>
      </w:pPr>
      <w:r w:rsidRPr="00E00C4B">
        <w:rPr>
          <w:rFonts w:asciiTheme="majorHAnsi" w:hAnsiTheme="majorHAnsi" w:cstheme="majorHAnsi"/>
          <w:bCs/>
          <w:i/>
          <w:iCs/>
          <w:sz w:val="20"/>
          <w:szCs w:val="20"/>
          <w:lang w:val="en-US"/>
        </w:rPr>
        <w:t>Source of basic data: EBEIS (Retrieved April 2019)</w:t>
      </w:r>
    </w:p>
    <w:p w14:paraId="5EA25DFA" w14:textId="2B4D3293" w:rsidR="008D0CAD" w:rsidRPr="00E00C4B" w:rsidRDefault="008D0CAD" w:rsidP="00796BFA">
      <w:pPr>
        <w:autoSpaceDE w:val="0"/>
        <w:autoSpaceDN w:val="0"/>
        <w:adjustRightInd w:val="0"/>
        <w:spacing w:before="100" w:beforeAutospacing="1" w:after="100" w:afterAutospacing="1" w:line="360" w:lineRule="auto"/>
        <w:rPr>
          <w:rFonts w:asciiTheme="majorHAnsi" w:hAnsiTheme="majorHAnsi" w:cstheme="majorHAnsi"/>
          <w:color w:val="000000" w:themeColor="text1"/>
          <w:lang w:val="en-US"/>
        </w:rPr>
      </w:pPr>
      <w:r w:rsidRPr="00E00C4B">
        <w:rPr>
          <w:rFonts w:asciiTheme="majorHAnsi" w:hAnsiTheme="majorHAnsi" w:cstheme="majorHAnsi"/>
          <w:color w:val="000000" w:themeColor="text1"/>
          <w:lang w:val="en-US"/>
        </w:rPr>
        <w:t>By SY2017-2018, the overall number of enrollees declined to 14,289,445 students (from Kindergarten to Secondary including learners with exceptionalities).</w:t>
      </w:r>
      <w:r w:rsidR="00D434EB">
        <w:rPr>
          <w:rFonts w:asciiTheme="majorHAnsi" w:hAnsiTheme="majorHAnsi" w:cstheme="majorHAnsi"/>
          <w:color w:val="000000" w:themeColor="text1"/>
          <w:lang w:val="en-US"/>
        </w:rPr>
        <w:t xml:space="preserve"> </w:t>
      </w:r>
      <w:r w:rsidRPr="00E00C4B">
        <w:rPr>
          <w:rFonts w:asciiTheme="majorHAnsi" w:hAnsiTheme="majorHAnsi" w:cstheme="majorHAnsi"/>
          <w:color w:val="000000" w:themeColor="text1"/>
          <w:lang w:val="en-US"/>
        </w:rPr>
        <w:t xml:space="preserve"> Of this total, the share of three BEST regions also declined namely: 7 percent were in Region V; 5 percent were in Region VIII; and 9 percent were in NCR.</w:t>
      </w:r>
      <w:r w:rsidR="00D434EB">
        <w:rPr>
          <w:rFonts w:asciiTheme="majorHAnsi" w:hAnsiTheme="majorHAnsi" w:cstheme="majorHAnsi"/>
          <w:color w:val="000000" w:themeColor="text1"/>
          <w:lang w:val="en-US"/>
        </w:rPr>
        <w:t xml:space="preserve"> </w:t>
      </w:r>
      <w:r w:rsidRPr="00E00C4B">
        <w:rPr>
          <w:rFonts w:asciiTheme="majorHAnsi" w:hAnsiTheme="majorHAnsi" w:cstheme="majorHAnsi"/>
          <w:color w:val="000000" w:themeColor="text1"/>
          <w:lang w:val="en-US"/>
        </w:rPr>
        <w:t>The other three regions remained the same.</w:t>
      </w:r>
    </w:p>
    <w:p w14:paraId="15FC35AF" w14:textId="4B99FFA1" w:rsidR="008D0CAD" w:rsidRPr="00E00C4B" w:rsidRDefault="008D0CAD" w:rsidP="00796BFA">
      <w:pPr>
        <w:autoSpaceDE w:val="0"/>
        <w:autoSpaceDN w:val="0"/>
        <w:adjustRightInd w:val="0"/>
        <w:spacing w:before="100" w:beforeAutospacing="1" w:after="100" w:afterAutospacing="1" w:line="360" w:lineRule="auto"/>
        <w:rPr>
          <w:rFonts w:asciiTheme="majorHAnsi" w:hAnsiTheme="majorHAnsi" w:cstheme="majorHAnsi"/>
          <w:color w:val="000000" w:themeColor="text1"/>
          <w:lang w:val="en-US"/>
        </w:rPr>
      </w:pPr>
      <w:r w:rsidRPr="00E00C4B">
        <w:rPr>
          <w:rFonts w:asciiTheme="majorHAnsi" w:hAnsiTheme="majorHAnsi" w:cstheme="majorHAnsi"/>
          <w:color w:val="000000" w:themeColor="text1"/>
          <w:lang w:val="en-US"/>
        </w:rPr>
        <w:t>Of the 14 Divisions included in the EOPE Study, only the Division of Cagayan de Oro City did not experience a decline of enrolment from baseline to endline.</w:t>
      </w:r>
      <w:r w:rsidR="00D434EB">
        <w:rPr>
          <w:rFonts w:asciiTheme="majorHAnsi" w:hAnsiTheme="majorHAnsi" w:cstheme="majorHAnsi"/>
          <w:color w:val="000000" w:themeColor="text1"/>
          <w:lang w:val="en-US"/>
        </w:rPr>
        <w:t xml:space="preserve"> </w:t>
      </w:r>
      <w:r w:rsidRPr="00E00C4B">
        <w:rPr>
          <w:rFonts w:asciiTheme="majorHAnsi" w:hAnsiTheme="majorHAnsi" w:cstheme="majorHAnsi"/>
          <w:color w:val="000000" w:themeColor="text1"/>
          <w:lang w:val="en-US"/>
        </w:rPr>
        <w:t>The Division of Camarines Sur experience the highest decline in enrolment during the same period followed by the Divisions of Quezon City, Bohol and Manila. In all Divisions, male enrollees declined higher than females.</w:t>
      </w:r>
    </w:p>
    <w:p w14:paraId="07A449B4" w14:textId="79EB9887" w:rsidR="008D0CAD" w:rsidRPr="00E00C4B" w:rsidRDefault="008D0CAD" w:rsidP="00796BFA">
      <w:pPr>
        <w:spacing w:before="100" w:beforeAutospacing="1" w:after="100" w:afterAutospacing="1" w:line="360" w:lineRule="auto"/>
        <w:rPr>
          <w:rFonts w:asciiTheme="majorHAnsi" w:eastAsiaTheme="minorHAnsi" w:hAnsiTheme="majorHAnsi" w:cstheme="majorHAnsi"/>
          <w:i/>
          <w:iCs/>
          <w:color w:val="44546A" w:themeColor="text2"/>
          <w:sz w:val="22"/>
          <w:szCs w:val="22"/>
          <w:lang w:val="en-US"/>
        </w:rPr>
      </w:pPr>
      <w:bookmarkStart w:id="543" w:name="_Toc16524187"/>
      <w:bookmarkStart w:id="544" w:name="_Toc71616650"/>
      <w:r w:rsidRPr="00E00C4B">
        <w:rPr>
          <w:rFonts w:asciiTheme="majorHAnsi" w:eastAsiaTheme="minorHAnsi" w:hAnsiTheme="majorHAnsi" w:cstheme="majorHAnsi"/>
          <w:i/>
          <w:iCs/>
          <w:color w:val="44546A" w:themeColor="text2"/>
          <w:sz w:val="22"/>
          <w:szCs w:val="22"/>
          <w:lang w:val="en-US"/>
        </w:rPr>
        <w:t xml:space="preserve">Table </w:t>
      </w:r>
      <w:r w:rsidRPr="00E00C4B">
        <w:rPr>
          <w:rFonts w:asciiTheme="majorHAnsi" w:eastAsiaTheme="minorHAnsi" w:hAnsiTheme="majorHAnsi" w:cstheme="majorHAnsi"/>
          <w:i/>
          <w:iCs/>
          <w:color w:val="44546A" w:themeColor="text2"/>
          <w:sz w:val="22"/>
          <w:szCs w:val="22"/>
          <w:lang w:val="en-US"/>
        </w:rPr>
        <w:fldChar w:fldCharType="begin"/>
      </w:r>
      <w:r w:rsidRPr="00E00C4B">
        <w:rPr>
          <w:rFonts w:asciiTheme="majorHAnsi" w:eastAsiaTheme="minorHAnsi" w:hAnsiTheme="majorHAnsi" w:cstheme="majorHAnsi"/>
          <w:i/>
          <w:iCs/>
          <w:color w:val="44546A" w:themeColor="text2"/>
          <w:sz w:val="22"/>
          <w:szCs w:val="22"/>
          <w:lang w:val="en-US"/>
        </w:rPr>
        <w:instrText xml:space="preserve"> SEQ Table \* ARABIC </w:instrText>
      </w:r>
      <w:r w:rsidRPr="00E00C4B">
        <w:rPr>
          <w:rFonts w:asciiTheme="majorHAnsi" w:eastAsiaTheme="minorHAnsi" w:hAnsiTheme="majorHAnsi" w:cstheme="majorHAnsi"/>
          <w:i/>
          <w:iCs/>
          <w:color w:val="44546A" w:themeColor="text2"/>
          <w:sz w:val="22"/>
          <w:szCs w:val="22"/>
          <w:lang w:val="en-US"/>
        </w:rPr>
        <w:fldChar w:fldCharType="separate"/>
      </w:r>
      <w:r w:rsidR="00D6133D">
        <w:rPr>
          <w:rFonts w:asciiTheme="majorHAnsi" w:eastAsiaTheme="minorHAnsi" w:hAnsiTheme="majorHAnsi" w:cstheme="majorHAnsi"/>
          <w:i/>
          <w:iCs/>
          <w:noProof/>
          <w:color w:val="44546A" w:themeColor="text2"/>
          <w:sz w:val="22"/>
          <w:szCs w:val="22"/>
          <w:lang w:val="en-US"/>
        </w:rPr>
        <w:t>59</w:t>
      </w:r>
      <w:r w:rsidRPr="00E00C4B">
        <w:rPr>
          <w:rFonts w:asciiTheme="majorHAnsi" w:eastAsiaTheme="minorHAnsi" w:hAnsiTheme="majorHAnsi" w:cstheme="majorHAnsi"/>
          <w:i/>
          <w:iCs/>
          <w:color w:val="44546A" w:themeColor="text2"/>
          <w:sz w:val="22"/>
          <w:szCs w:val="22"/>
          <w:lang w:val="en-US"/>
        </w:rPr>
        <w:fldChar w:fldCharType="end"/>
      </w:r>
      <w:r w:rsidRPr="00E00C4B">
        <w:rPr>
          <w:rFonts w:asciiTheme="majorHAnsi" w:eastAsiaTheme="minorHAnsi" w:hAnsiTheme="majorHAnsi" w:cstheme="majorHAnsi"/>
          <w:i/>
          <w:iCs/>
          <w:color w:val="44546A" w:themeColor="text2"/>
          <w:sz w:val="22"/>
          <w:szCs w:val="22"/>
          <w:lang w:val="en-US"/>
        </w:rPr>
        <w:t xml:space="preserve">. </w:t>
      </w:r>
      <w:r w:rsidRPr="00E00C4B">
        <w:rPr>
          <w:rFonts w:asciiTheme="majorHAnsi" w:eastAsiaTheme="minorHAnsi" w:hAnsiTheme="majorHAnsi" w:cstheme="majorHAnsi"/>
          <w:bCs/>
          <w:i/>
          <w:iCs/>
          <w:color w:val="44546A" w:themeColor="text2"/>
          <w:sz w:val="22"/>
          <w:szCs w:val="22"/>
          <w:lang w:val="en-US"/>
        </w:rPr>
        <w:t>Change in Enrollment in BEST Regions/Divisions, (SY2017-18 - SY 2013-14)</w:t>
      </w:r>
      <w:bookmarkEnd w:id="543"/>
      <w:bookmarkEnd w:id="544"/>
    </w:p>
    <w:tbl>
      <w:tblPr>
        <w:tblStyle w:val="TableGrid11"/>
        <w:tblW w:w="7295" w:type="dxa"/>
        <w:tblLook w:val="04A0" w:firstRow="1" w:lastRow="0" w:firstColumn="1" w:lastColumn="0" w:noHBand="0" w:noVBand="1"/>
      </w:tblPr>
      <w:tblGrid>
        <w:gridCol w:w="2705"/>
        <w:gridCol w:w="1530"/>
        <w:gridCol w:w="1530"/>
        <w:gridCol w:w="1530"/>
      </w:tblGrid>
      <w:tr w:rsidR="008D0CAD" w:rsidRPr="004B064D" w14:paraId="77689383" w14:textId="77777777" w:rsidTr="00F4751F">
        <w:trPr>
          <w:trHeight w:val="245"/>
          <w:tblHeader/>
        </w:trPr>
        <w:tc>
          <w:tcPr>
            <w:tcW w:w="2705" w:type="dxa"/>
            <w:noWrap/>
            <w:hideMark/>
          </w:tcPr>
          <w:p w14:paraId="44AC2AAC" w14:textId="77777777" w:rsidR="008D0CAD" w:rsidRPr="004B064D" w:rsidRDefault="008D0CAD" w:rsidP="00796BFA">
            <w:pPr>
              <w:spacing w:before="100" w:beforeAutospacing="1" w:after="100" w:afterAutospacing="1" w:line="360" w:lineRule="auto"/>
              <w:rPr>
                <w:rFonts w:asciiTheme="majorHAnsi" w:hAnsiTheme="majorHAnsi" w:cstheme="majorHAnsi"/>
                <w:b/>
                <w:bCs/>
                <w:sz w:val="20"/>
                <w:szCs w:val="20"/>
              </w:rPr>
            </w:pPr>
          </w:p>
        </w:tc>
        <w:tc>
          <w:tcPr>
            <w:tcW w:w="1530" w:type="dxa"/>
          </w:tcPr>
          <w:p w14:paraId="1BEDEFBD" w14:textId="6DF08F3D" w:rsidR="008D0CAD" w:rsidRPr="004B064D" w:rsidRDefault="00D434EB" w:rsidP="00796BFA">
            <w:pPr>
              <w:spacing w:before="100" w:beforeAutospacing="1" w:after="100" w:afterAutospacing="1" w:line="360" w:lineRule="auto"/>
              <w:rPr>
                <w:rFonts w:asciiTheme="majorHAnsi" w:hAnsiTheme="majorHAnsi" w:cstheme="majorHAnsi"/>
                <w:b/>
                <w:bCs/>
                <w:color w:val="000000"/>
                <w:sz w:val="20"/>
                <w:szCs w:val="20"/>
              </w:rPr>
            </w:pPr>
            <w:r w:rsidRPr="004B064D">
              <w:rPr>
                <w:rFonts w:asciiTheme="majorHAnsi" w:hAnsiTheme="majorHAnsi" w:cstheme="majorHAnsi"/>
                <w:b/>
                <w:bCs/>
                <w:sz w:val="20"/>
                <w:szCs w:val="20"/>
              </w:rPr>
              <w:t xml:space="preserve"> </w:t>
            </w:r>
            <w:r w:rsidR="008D0CAD" w:rsidRPr="004B064D">
              <w:rPr>
                <w:rFonts w:asciiTheme="majorHAnsi" w:hAnsiTheme="majorHAnsi" w:cstheme="majorHAnsi"/>
                <w:b/>
                <w:bCs/>
                <w:sz w:val="20"/>
                <w:szCs w:val="20"/>
              </w:rPr>
              <w:t xml:space="preserve"> Male</w:t>
            </w:r>
          </w:p>
        </w:tc>
        <w:tc>
          <w:tcPr>
            <w:tcW w:w="1530" w:type="dxa"/>
            <w:noWrap/>
            <w:hideMark/>
          </w:tcPr>
          <w:p w14:paraId="1212E4AE" w14:textId="40B40980" w:rsidR="008D0CAD" w:rsidRPr="004B064D" w:rsidRDefault="00D434EB" w:rsidP="00796BFA">
            <w:pPr>
              <w:spacing w:before="100" w:beforeAutospacing="1" w:after="100" w:afterAutospacing="1" w:line="360" w:lineRule="auto"/>
              <w:rPr>
                <w:rFonts w:asciiTheme="majorHAnsi" w:hAnsiTheme="majorHAnsi" w:cstheme="majorHAnsi"/>
                <w:b/>
                <w:bCs/>
                <w:color w:val="000000"/>
                <w:sz w:val="20"/>
                <w:szCs w:val="20"/>
              </w:rPr>
            </w:pPr>
            <w:r w:rsidRPr="004B064D">
              <w:rPr>
                <w:rFonts w:asciiTheme="majorHAnsi" w:hAnsiTheme="majorHAnsi" w:cstheme="majorHAnsi"/>
                <w:b/>
                <w:bCs/>
                <w:sz w:val="20"/>
                <w:szCs w:val="20"/>
              </w:rPr>
              <w:t xml:space="preserve"> </w:t>
            </w:r>
            <w:r w:rsidR="008D0CAD" w:rsidRPr="004B064D">
              <w:rPr>
                <w:rFonts w:asciiTheme="majorHAnsi" w:hAnsiTheme="majorHAnsi" w:cstheme="majorHAnsi"/>
                <w:b/>
                <w:bCs/>
                <w:sz w:val="20"/>
                <w:szCs w:val="20"/>
              </w:rPr>
              <w:t xml:space="preserve"> Female</w:t>
            </w:r>
          </w:p>
        </w:tc>
        <w:tc>
          <w:tcPr>
            <w:tcW w:w="1530" w:type="dxa"/>
            <w:noWrap/>
            <w:hideMark/>
          </w:tcPr>
          <w:p w14:paraId="79DB9178"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000000"/>
                <w:sz w:val="20"/>
                <w:szCs w:val="20"/>
              </w:rPr>
            </w:pPr>
            <w:r w:rsidRPr="004B064D">
              <w:rPr>
                <w:rFonts w:asciiTheme="majorHAnsi" w:hAnsiTheme="majorHAnsi" w:cstheme="majorHAnsi"/>
                <w:b/>
                <w:bCs/>
                <w:sz w:val="20"/>
                <w:szCs w:val="20"/>
              </w:rPr>
              <w:t>Total</w:t>
            </w:r>
          </w:p>
        </w:tc>
      </w:tr>
      <w:tr w:rsidR="008D0CAD" w:rsidRPr="00E00C4B" w14:paraId="07CE502E" w14:textId="77777777" w:rsidTr="00F4751F">
        <w:trPr>
          <w:trHeight w:val="212"/>
        </w:trPr>
        <w:tc>
          <w:tcPr>
            <w:tcW w:w="2705" w:type="dxa"/>
            <w:noWrap/>
            <w:hideMark/>
          </w:tcPr>
          <w:p w14:paraId="01F01097" w14:textId="77777777" w:rsidR="008D0CAD" w:rsidRPr="004B064D" w:rsidRDefault="008D0CAD" w:rsidP="00796BFA">
            <w:pPr>
              <w:spacing w:before="100" w:beforeAutospacing="1" w:after="100" w:afterAutospacing="1" w:line="360" w:lineRule="auto"/>
              <w:rPr>
                <w:rFonts w:asciiTheme="majorHAnsi" w:hAnsiTheme="majorHAnsi" w:cstheme="majorHAnsi"/>
                <w:b/>
                <w:bCs/>
                <w:sz w:val="20"/>
                <w:szCs w:val="20"/>
              </w:rPr>
            </w:pPr>
            <w:r w:rsidRPr="004B064D">
              <w:rPr>
                <w:rFonts w:asciiTheme="majorHAnsi" w:hAnsiTheme="majorHAnsi" w:cstheme="majorHAnsi"/>
                <w:b/>
                <w:bCs/>
                <w:sz w:val="20"/>
                <w:szCs w:val="20"/>
              </w:rPr>
              <w:t>Region V</w:t>
            </w:r>
          </w:p>
        </w:tc>
        <w:tc>
          <w:tcPr>
            <w:tcW w:w="1530" w:type="dxa"/>
          </w:tcPr>
          <w:p w14:paraId="71B9180A" w14:textId="77777777" w:rsidR="008D0CAD" w:rsidRPr="00E00C4B" w:rsidRDefault="008D0CAD" w:rsidP="00796BFA">
            <w:pPr>
              <w:spacing w:before="100" w:beforeAutospacing="1" w:after="100" w:afterAutospacing="1" w:line="360" w:lineRule="auto"/>
              <w:rPr>
                <w:rFonts w:asciiTheme="majorHAnsi" w:hAnsiTheme="majorHAnsi" w:cstheme="majorHAnsi"/>
                <w:color w:val="663300"/>
                <w:sz w:val="20"/>
                <w:szCs w:val="20"/>
              </w:rPr>
            </w:pPr>
            <w:r w:rsidRPr="00E00C4B">
              <w:rPr>
                <w:rFonts w:asciiTheme="majorHAnsi" w:hAnsiTheme="majorHAnsi" w:cstheme="majorHAnsi"/>
                <w:color w:val="663300"/>
                <w:sz w:val="20"/>
                <w:szCs w:val="20"/>
              </w:rPr>
              <w:t>-61,369</w:t>
            </w:r>
          </w:p>
        </w:tc>
        <w:tc>
          <w:tcPr>
            <w:tcW w:w="1530" w:type="dxa"/>
            <w:noWrap/>
            <w:hideMark/>
          </w:tcPr>
          <w:p w14:paraId="64DC37C3" w14:textId="77777777" w:rsidR="008D0CAD" w:rsidRPr="00E00C4B" w:rsidRDefault="008D0CAD" w:rsidP="00796BFA">
            <w:pPr>
              <w:spacing w:before="100" w:beforeAutospacing="1" w:after="100" w:afterAutospacing="1" w:line="360" w:lineRule="auto"/>
              <w:rPr>
                <w:rFonts w:asciiTheme="majorHAnsi" w:hAnsiTheme="majorHAnsi" w:cstheme="majorHAnsi"/>
                <w:color w:val="663300"/>
                <w:sz w:val="20"/>
                <w:szCs w:val="20"/>
              </w:rPr>
            </w:pPr>
            <w:r w:rsidRPr="00E00C4B">
              <w:rPr>
                <w:rFonts w:asciiTheme="majorHAnsi" w:hAnsiTheme="majorHAnsi" w:cstheme="majorHAnsi"/>
                <w:color w:val="663300"/>
                <w:sz w:val="20"/>
                <w:szCs w:val="20"/>
              </w:rPr>
              <w:t>-57,464</w:t>
            </w:r>
          </w:p>
        </w:tc>
        <w:tc>
          <w:tcPr>
            <w:tcW w:w="1530" w:type="dxa"/>
            <w:noWrap/>
            <w:hideMark/>
          </w:tcPr>
          <w:p w14:paraId="6F54159E" w14:textId="77777777" w:rsidR="008D0CAD" w:rsidRPr="00E00C4B" w:rsidRDefault="008D0CAD" w:rsidP="00796BFA">
            <w:pPr>
              <w:spacing w:before="100" w:beforeAutospacing="1" w:after="100" w:afterAutospacing="1" w:line="360" w:lineRule="auto"/>
              <w:rPr>
                <w:rFonts w:asciiTheme="majorHAnsi" w:hAnsiTheme="majorHAnsi" w:cstheme="majorHAnsi"/>
                <w:color w:val="663300"/>
                <w:sz w:val="20"/>
                <w:szCs w:val="20"/>
              </w:rPr>
            </w:pPr>
            <w:r w:rsidRPr="00E00C4B">
              <w:rPr>
                <w:rFonts w:asciiTheme="majorHAnsi" w:hAnsiTheme="majorHAnsi" w:cstheme="majorHAnsi"/>
                <w:color w:val="663300"/>
                <w:sz w:val="20"/>
                <w:szCs w:val="20"/>
              </w:rPr>
              <w:t>-118,833</w:t>
            </w:r>
          </w:p>
        </w:tc>
      </w:tr>
      <w:tr w:rsidR="008D0CAD" w:rsidRPr="00E00C4B" w14:paraId="10262E8F" w14:textId="77777777" w:rsidTr="00F4751F">
        <w:trPr>
          <w:trHeight w:val="212"/>
        </w:trPr>
        <w:tc>
          <w:tcPr>
            <w:tcW w:w="2705" w:type="dxa"/>
            <w:noWrap/>
            <w:hideMark/>
          </w:tcPr>
          <w:p w14:paraId="10E698E8" w14:textId="77777777" w:rsidR="008D0CAD" w:rsidRPr="00E00C4B" w:rsidRDefault="008D0CAD" w:rsidP="00796BFA">
            <w:pPr>
              <w:numPr>
                <w:ilvl w:val="0"/>
                <w:numId w:val="157"/>
              </w:numPr>
              <w:spacing w:before="100" w:beforeAutospacing="1" w:after="100" w:afterAutospacing="1" w:line="360" w:lineRule="auto"/>
              <w:contextualSpacing/>
              <w:rPr>
                <w:rFonts w:asciiTheme="majorHAnsi" w:eastAsiaTheme="minorHAnsi" w:hAnsiTheme="majorHAnsi" w:cstheme="majorHAnsi"/>
                <w:sz w:val="20"/>
                <w:szCs w:val="20"/>
              </w:rPr>
            </w:pPr>
            <w:r w:rsidRPr="00E00C4B">
              <w:rPr>
                <w:rFonts w:asciiTheme="majorHAnsi" w:eastAsiaTheme="minorHAnsi" w:hAnsiTheme="majorHAnsi" w:cstheme="majorHAnsi"/>
                <w:sz w:val="20"/>
                <w:szCs w:val="20"/>
              </w:rPr>
              <w:t>Camarines Sur</w:t>
            </w:r>
          </w:p>
        </w:tc>
        <w:tc>
          <w:tcPr>
            <w:tcW w:w="1530" w:type="dxa"/>
          </w:tcPr>
          <w:p w14:paraId="7984A57D" w14:textId="77777777" w:rsidR="008D0CAD" w:rsidRPr="00E00C4B" w:rsidRDefault="008D0CAD" w:rsidP="00796BFA">
            <w:pPr>
              <w:spacing w:before="100" w:beforeAutospacing="1" w:after="100" w:afterAutospacing="1" w:line="360" w:lineRule="auto"/>
              <w:rPr>
                <w:rFonts w:asciiTheme="majorHAnsi" w:hAnsiTheme="majorHAnsi" w:cstheme="majorHAnsi"/>
                <w:color w:val="663300"/>
                <w:sz w:val="20"/>
                <w:szCs w:val="20"/>
              </w:rPr>
            </w:pPr>
            <w:r w:rsidRPr="00E00C4B">
              <w:rPr>
                <w:rFonts w:asciiTheme="majorHAnsi" w:hAnsiTheme="majorHAnsi" w:cstheme="majorHAnsi"/>
                <w:color w:val="663300"/>
                <w:sz w:val="20"/>
                <w:szCs w:val="20"/>
              </w:rPr>
              <w:t>-18,134</w:t>
            </w:r>
          </w:p>
        </w:tc>
        <w:tc>
          <w:tcPr>
            <w:tcW w:w="1530" w:type="dxa"/>
            <w:noWrap/>
            <w:hideMark/>
          </w:tcPr>
          <w:p w14:paraId="70CDA8DD" w14:textId="77777777" w:rsidR="008D0CAD" w:rsidRPr="00E00C4B" w:rsidRDefault="008D0CAD" w:rsidP="00796BFA">
            <w:pPr>
              <w:spacing w:before="100" w:beforeAutospacing="1" w:after="100" w:afterAutospacing="1" w:line="360" w:lineRule="auto"/>
              <w:rPr>
                <w:rFonts w:asciiTheme="majorHAnsi" w:hAnsiTheme="majorHAnsi" w:cstheme="majorHAnsi"/>
                <w:color w:val="663300"/>
                <w:sz w:val="20"/>
                <w:szCs w:val="20"/>
              </w:rPr>
            </w:pPr>
            <w:r w:rsidRPr="00E00C4B">
              <w:rPr>
                <w:rFonts w:asciiTheme="majorHAnsi" w:hAnsiTheme="majorHAnsi" w:cstheme="majorHAnsi"/>
                <w:color w:val="663300"/>
                <w:sz w:val="20"/>
                <w:szCs w:val="20"/>
              </w:rPr>
              <w:t>-16,981</w:t>
            </w:r>
          </w:p>
        </w:tc>
        <w:tc>
          <w:tcPr>
            <w:tcW w:w="1530" w:type="dxa"/>
            <w:noWrap/>
            <w:hideMark/>
          </w:tcPr>
          <w:p w14:paraId="1CD41B40" w14:textId="77777777" w:rsidR="008D0CAD" w:rsidRPr="00E00C4B" w:rsidRDefault="008D0CAD" w:rsidP="00796BFA">
            <w:pPr>
              <w:spacing w:before="100" w:beforeAutospacing="1" w:after="100" w:afterAutospacing="1" w:line="360" w:lineRule="auto"/>
              <w:rPr>
                <w:rFonts w:asciiTheme="majorHAnsi" w:hAnsiTheme="majorHAnsi" w:cstheme="majorHAnsi"/>
                <w:color w:val="663300"/>
                <w:sz w:val="20"/>
                <w:szCs w:val="20"/>
              </w:rPr>
            </w:pPr>
            <w:r w:rsidRPr="00E00C4B">
              <w:rPr>
                <w:rFonts w:asciiTheme="majorHAnsi" w:hAnsiTheme="majorHAnsi" w:cstheme="majorHAnsi"/>
                <w:color w:val="663300"/>
                <w:sz w:val="20"/>
                <w:szCs w:val="20"/>
              </w:rPr>
              <w:t>-35,115</w:t>
            </w:r>
          </w:p>
        </w:tc>
      </w:tr>
      <w:tr w:rsidR="008D0CAD" w:rsidRPr="00E00C4B" w14:paraId="20FF0645" w14:textId="77777777" w:rsidTr="00F4751F">
        <w:trPr>
          <w:trHeight w:val="212"/>
        </w:trPr>
        <w:tc>
          <w:tcPr>
            <w:tcW w:w="2705" w:type="dxa"/>
            <w:noWrap/>
            <w:hideMark/>
          </w:tcPr>
          <w:p w14:paraId="23D4E24B" w14:textId="77777777" w:rsidR="008D0CAD" w:rsidRPr="00E00C4B" w:rsidRDefault="008D0CAD" w:rsidP="00796BFA">
            <w:pPr>
              <w:numPr>
                <w:ilvl w:val="0"/>
                <w:numId w:val="157"/>
              </w:numPr>
              <w:spacing w:before="100" w:beforeAutospacing="1" w:after="100" w:afterAutospacing="1" w:line="360" w:lineRule="auto"/>
              <w:contextualSpacing/>
              <w:rPr>
                <w:rFonts w:asciiTheme="majorHAnsi" w:eastAsiaTheme="minorHAnsi" w:hAnsiTheme="majorHAnsi" w:cstheme="majorHAnsi"/>
                <w:sz w:val="20"/>
                <w:szCs w:val="20"/>
              </w:rPr>
            </w:pPr>
            <w:r w:rsidRPr="00E00C4B">
              <w:rPr>
                <w:rFonts w:asciiTheme="majorHAnsi" w:eastAsiaTheme="minorHAnsi" w:hAnsiTheme="majorHAnsi" w:cstheme="majorHAnsi"/>
                <w:sz w:val="20"/>
                <w:szCs w:val="20"/>
              </w:rPr>
              <w:t>Sorsogon</w:t>
            </w:r>
          </w:p>
        </w:tc>
        <w:tc>
          <w:tcPr>
            <w:tcW w:w="1530" w:type="dxa"/>
          </w:tcPr>
          <w:p w14:paraId="38FA0F85" w14:textId="77777777" w:rsidR="008D0CAD" w:rsidRPr="00E00C4B" w:rsidRDefault="008D0CAD" w:rsidP="00796BFA">
            <w:pPr>
              <w:spacing w:before="100" w:beforeAutospacing="1" w:after="100" w:afterAutospacing="1" w:line="360" w:lineRule="auto"/>
              <w:rPr>
                <w:rFonts w:asciiTheme="majorHAnsi" w:hAnsiTheme="majorHAnsi" w:cstheme="majorHAnsi"/>
                <w:color w:val="663300"/>
                <w:sz w:val="20"/>
                <w:szCs w:val="20"/>
              </w:rPr>
            </w:pPr>
            <w:r w:rsidRPr="00E00C4B">
              <w:rPr>
                <w:rFonts w:asciiTheme="majorHAnsi" w:hAnsiTheme="majorHAnsi" w:cstheme="majorHAnsi"/>
                <w:color w:val="663300"/>
                <w:sz w:val="20"/>
                <w:szCs w:val="20"/>
              </w:rPr>
              <w:t>-8,621</w:t>
            </w:r>
          </w:p>
        </w:tc>
        <w:tc>
          <w:tcPr>
            <w:tcW w:w="1530" w:type="dxa"/>
            <w:noWrap/>
            <w:hideMark/>
          </w:tcPr>
          <w:p w14:paraId="6C32249A" w14:textId="77777777" w:rsidR="008D0CAD" w:rsidRPr="00E00C4B" w:rsidRDefault="008D0CAD" w:rsidP="00796BFA">
            <w:pPr>
              <w:spacing w:before="100" w:beforeAutospacing="1" w:after="100" w:afterAutospacing="1" w:line="360" w:lineRule="auto"/>
              <w:rPr>
                <w:rFonts w:asciiTheme="majorHAnsi" w:hAnsiTheme="majorHAnsi" w:cstheme="majorHAnsi"/>
                <w:color w:val="663300"/>
                <w:sz w:val="20"/>
                <w:szCs w:val="20"/>
              </w:rPr>
            </w:pPr>
            <w:r w:rsidRPr="00E00C4B">
              <w:rPr>
                <w:rFonts w:asciiTheme="majorHAnsi" w:hAnsiTheme="majorHAnsi" w:cstheme="majorHAnsi"/>
                <w:color w:val="663300"/>
                <w:sz w:val="20"/>
                <w:szCs w:val="20"/>
              </w:rPr>
              <w:t>-7,940</w:t>
            </w:r>
          </w:p>
        </w:tc>
        <w:tc>
          <w:tcPr>
            <w:tcW w:w="1530" w:type="dxa"/>
            <w:noWrap/>
            <w:hideMark/>
          </w:tcPr>
          <w:p w14:paraId="5AB30621" w14:textId="77777777" w:rsidR="008D0CAD" w:rsidRPr="00E00C4B" w:rsidRDefault="008D0CAD" w:rsidP="00796BFA">
            <w:pPr>
              <w:spacing w:before="100" w:beforeAutospacing="1" w:after="100" w:afterAutospacing="1" w:line="360" w:lineRule="auto"/>
              <w:rPr>
                <w:rFonts w:asciiTheme="majorHAnsi" w:hAnsiTheme="majorHAnsi" w:cstheme="majorHAnsi"/>
                <w:color w:val="663300"/>
                <w:sz w:val="20"/>
                <w:szCs w:val="20"/>
              </w:rPr>
            </w:pPr>
            <w:r w:rsidRPr="00E00C4B">
              <w:rPr>
                <w:rFonts w:asciiTheme="majorHAnsi" w:hAnsiTheme="majorHAnsi" w:cstheme="majorHAnsi"/>
                <w:color w:val="663300"/>
                <w:sz w:val="20"/>
                <w:szCs w:val="20"/>
              </w:rPr>
              <w:t>-16,561</w:t>
            </w:r>
          </w:p>
        </w:tc>
      </w:tr>
      <w:tr w:rsidR="008D0CAD" w:rsidRPr="00E00C4B" w14:paraId="2B8EBAA2" w14:textId="77777777" w:rsidTr="00F4751F">
        <w:trPr>
          <w:trHeight w:val="212"/>
        </w:trPr>
        <w:tc>
          <w:tcPr>
            <w:tcW w:w="2705" w:type="dxa"/>
            <w:noWrap/>
            <w:hideMark/>
          </w:tcPr>
          <w:p w14:paraId="72A03637" w14:textId="77777777" w:rsidR="008D0CAD" w:rsidRPr="00E00C4B" w:rsidRDefault="008D0CAD" w:rsidP="00796BFA">
            <w:pPr>
              <w:spacing w:before="100" w:beforeAutospacing="1" w:after="100" w:afterAutospacing="1" w:line="360" w:lineRule="auto"/>
              <w:rPr>
                <w:rFonts w:asciiTheme="majorHAnsi" w:hAnsiTheme="majorHAnsi" w:cstheme="majorHAnsi"/>
                <w:sz w:val="20"/>
                <w:szCs w:val="20"/>
              </w:rPr>
            </w:pPr>
            <w:r w:rsidRPr="00E00C4B">
              <w:rPr>
                <w:rFonts w:asciiTheme="majorHAnsi" w:hAnsiTheme="majorHAnsi" w:cstheme="majorHAnsi"/>
                <w:sz w:val="20"/>
                <w:szCs w:val="20"/>
              </w:rPr>
              <w:t>Region VI</w:t>
            </w:r>
          </w:p>
        </w:tc>
        <w:tc>
          <w:tcPr>
            <w:tcW w:w="1530" w:type="dxa"/>
          </w:tcPr>
          <w:p w14:paraId="074CE22E" w14:textId="77777777" w:rsidR="008D0CAD" w:rsidRPr="00E00C4B" w:rsidRDefault="008D0CAD" w:rsidP="00796BFA">
            <w:pPr>
              <w:spacing w:before="100" w:beforeAutospacing="1" w:after="100" w:afterAutospacing="1" w:line="360" w:lineRule="auto"/>
              <w:rPr>
                <w:rFonts w:asciiTheme="majorHAnsi" w:hAnsiTheme="majorHAnsi" w:cstheme="majorHAnsi"/>
                <w:color w:val="663300"/>
                <w:sz w:val="20"/>
                <w:szCs w:val="20"/>
              </w:rPr>
            </w:pPr>
            <w:r w:rsidRPr="00E00C4B">
              <w:rPr>
                <w:rFonts w:asciiTheme="majorHAnsi" w:hAnsiTheme="majorHAnsi" w:cstheme="majorHAnsi"/>
                <w:color w:val="663300"/>
                <w:sz w:val="20"/>
                <w:szCs w:val="20"/>
              </w:rPr>
              <w:t>-43,554</w:t>
            </w:r>
          </w:p>
        </w:tc>
        <w:tc>
          <w:tcPr>
            <w:tcW w:w="1530" w:type="dxa"/>
            <w:noWrap/>
            <w:hideMark/>
          </w:tcPr>
          <w:p w14:paraId="2B8DBE7A" w14:textId="77777777" w:rsidR="008D0CAD" w:rsidRPr="00E00C4B" w:rsidRDefault="008D0CAD" w:rsidP="00796BFA">
            <w:pPr>
              <w:spacing w:before="100" w:beforeAutospacing="1" w:after="100" w:afterAutospacing="1" w:line="360" w:lineRule="auto"/>
              <w:rPr>
                <w:rFonts w:asciiTheme="majorHAnsi" w:hAnsiTheme="majorHAnsi" w:cstheme="majorHAnsi"/>
                <w:color w:val="663300"/>
                <w:sz w:val="20"/>
                <w:szCs w:val="20"/>
              </w:rPr>
            </w:pPr>
            <w:r w:rsidRPr="00E00C4B">
              <w:rPr>
                <w:rFonts w:asciiTheme="majorHAnsi" w:hAnsiTheme="majorHAnsi" w:cstheme="majorHAnsi"/>
                <w:color w:val="663300"/>
                <w:sz w:val="20"/>
                <w:szCs w:val="20"/>
              </w:rPr>
              <w:t>-38,288</w:t>
            </w:r>
          </w:p>
        </w:tc>
        <w:tc>
          <w:tcPr>
            <w:tcW w:w="1530" w:type="dxa"/>
            <w:noWrap/>
            <w:hideMark/>
          </w:tcPr>
          <w:p w14:paraId="77D117E6" w14:textId="77777777" w:rsidR="008D0CAD" w:rsidRPr="00E00C4B" w:rsidRDefault="008D0CAD" w:rsidP="00796BFA">
            <w:pPr>
              <w:spacing w:before="100" w:beforeAutospacing="1" w:after="100" w:afterAutospacing="1" w:line="360" w:lineRule="auto"/>
              <w:rPr>
                <w:rFonts w:asciiTheme="majorHAnsi" w:hAnsiTheme="majorHAnsi" w:cstheme="majorHAnsi"/>
                <w:color w:val="663300"/>
                <w:sz w:val="20"/>
                <w:szCs w:val="20"/>
              </w:rPr>
            </w:pPr>
            <w:r w:rsidRPr="00E00C4B">
              <w:rPr>
                <w:rFonts w:asciiTheme="majorHAnsi" w:hAnsiTheme="majorHAnsi" w:cstheme="majorHAnsi"/>
                <w:color w:val="663300"/>
                <w:sz w:val="20"/>
                <w:szCs w:val="20"/>
              </w:rPr>
              <w:t>-81,842</w:t>
            </w:r>
          </w:p>
        </w:tc>
      </w:tr>
      <w:tr w:rsidR="008D0CAD" w:rsidRPr="00E00C4B" w14:paraId="0B383A1B" w14:textId="77777777" w:rsidTr="00F4751F">
        <w:trPr>
          <w:trHeight w:val="212"/>
        </w:trPr>
        <w:tc>
          <w:tcPr>
            <w:tcW w:w="2705" w:type="dxa"/>
            <w:noWrap/>
            <w:hideMark/>
          </w:tcPr>
          <w:p w14:paraId="1D9A97DE" w14:textId="77777777" w:rsidR="008D0CAD" w:rsidRPr="00E00C4B" w:rsidRDefault="008D0CAD" w:rsidP="00796BFA">
            <w:pPr>
              <w:numPr>
                <w:ilvl w:val="0"/>
                <w:numId w:val="157"/>
              </w:numPr>
              <w:spacing w:before="100" w:beforeAutospacing="1" w:after="100" w:afterAutospacing="1" w:line="360" w:lineRule="auto"/>
              <w:contextualSpacing/>
              <w:rPr>
                <w:rFonts w:asciiTheme="majorHAnsi" w:eastAsiaTheme="minorHAnsi" w:hAnsiTheme="majorHAnsi" w:cstheme="majorHAnsi"/>
                <w:sz w:val="20"/>
                <w:szCs w:val="20"/>
              </w:rPr>
            </w:pPr>
            <w:r w:rsidRPr="00E00C4B">
              <w:rPr>
                <w:rFonts w:asciiTheme="majorHAnsi" w:eastAsiaTheme="minorHAnsi" w:hAnsiTheme="majorHAnsi" w:cstheme="majorHAnsi"/>
                <w:sz w:val="20"/>
                <w:szCs w:val="20"/>
              </w:rPr>
              <w:t>Antique</w:t>
            </w:r>
          </w:p>
        </w:tc>
        <w:tc>
          <w:tcPr>
            <w:tcW w:w="1530" w:type="dxa"/>
          </w:tcPr>
          <w:p w14:paraId="4EC0F045" w14:textId="77777777" w:rsidR="008D0CAD" w:rsidRPr="00E00C4B" w:rsidRDefault="008D0CAD" w:rsidP="00796BFA">
            <w:pPr>
              <w:spacing w:before="100" w:beforeAutospacing="1" w:after="100" w:afterAutospacing="1" w:line="360" w:lineRule="auto"/>
              <w:rPr>
                <w:rFonts w:asciiTheme="majorHAnsi" w:hAnsiTheme="majorHAnsi" w:cstheme="majorHAnsi"/>
                <w:color w:val="663300"/>
                <w:sz w:val="20"/>
                <w:szCs w:val="20"/>
              </w:rPr>
            </w:pPr>
            <w:r w:rsidRPr="00E00C4B">
              <w:rPr>
                <w:rFonts w:asciiTheme="majorHAnsi" w:hAnsiTheme="majorHAnsi" w:cstheme="majorHAnsi"/>
                <w:color w:val="663300"/>
                <w:sz w:val="20"/>
                <w:szCs w:val="20"/>
              </w:rPr>
              <w:t>-5,989</w:t>
            </w:r>
          </w:p>
        </w:tc>
        <w:tc>
          <w:tcPr>
            <w:tcW w:w="1530" w:type="dxa"/>
            <w:noWrap/>
            <w:hideMark/>
          </w:tcPr>
          <w:p w14:paraId="5ACE71FD" w14:textId="77777777" w:rsidR="008D0CAD" w:rsidRPr="00E00C4B" w:rsidRDefault="008D0CAD" w:rsidP="00796BFA">
            <w:pPr>
              <w:spacing w:before="100" w:beforeAutospacing="1" w:after="100" w:afterAutospacing="1" w:line="360" w:lineRule="auto"/>
              <w:rPr>
                <w:rFonts w:asciiTheme="majorHAnsi" w:hAnsiTheme="majorHAnsi" w:cstheme="majorHAnsi"/>
                <w:color w:val="663300"/>
                <w:sz w:val="20"/>
                <w:szCs w:val="20"/>
              </w:rPr>
            </w:pPr>
            <w:r w:rsidRPr="00E00C4B">
              <w:rPr>
                <w:rFonts w:asciiTheme="majorHAnsi" w:hAnsiTheme="majorHAnsi" w:cstheme="majorHAnsi"/>
                <w:color w:val="663300"/>
                <w:sz w:val="20"/>
                <w:szCs w:val="20"/>
              </w:rPr>
              <w:t>-5,127</w:t>
            </w:r>
          </w:p>
        </w:tc>
        <w:tc>
          <w:tcPr>
            <w:tcW w:w="1530" w:type="dxa"/>
            <w:noWrap/>
            <w:hideMark/>
          </w:tcPr>
          <w:p w14:paraId="3CF7D878" w14:textId="77777777" w:rsidR="008D0CAD" w:rsidRPr="00E00C4B" w:rsidRDefault="008D0CAD" w:rsidP="00796BFA">
            <w:pPr>
              <w:spacing w:before="100" w:beforeAutospacing="1" w:after="100" w:afterAutospacing="1" w:line="360" w:lineRule="auto"/>
              <w:rPr>
                <w:rFonts w:asciiTheme="majorHAnsi" w:hAnsiTheme="majorHAnsi" w:cstheme="majorHAnsi"/>
                <w:color w:val="663300"/>
                <w:sz w:val="20"/>
                <w:szCs w:val="20"/>
              </w:rPr>
            </w:pPr>
            <w:r w:rsidRPr="00E00C4B">
              <w:rPr>
                <w:rFonts w:asciiTheme="majorHAnsi" w:hAnsiTheme="majorHAnsi" w:cstheme="majorHAnsi"/>
                <w:color w:val="663300"/>
                <w:sz w:val="20"/>
                <w:szCs w:val="20"/>
              </w:rPr>
              <w:t>-11,116</w:t>
            </w:r>
          </w:p>
        </w:tc>
      </w:tr>
      <w:tr w:rsidR="008D0CAD" w:rsidRPr="00E00C4B" w14:paraId="72BBBAE7" w14:textId="77777777" w:rsidTr="00F4751F">
        <w:trPr>
          <w:trHeight w:val="212"/>
        </w:trPr>
        <w:tc>
          <w:tcPr>
            <w:tcW w:w="2705" w:type="dxa"/>
            <w:noWrap/>
            <w:hideMark/>
          </w:tcPr>
          <w:p w14:paraId="0719CE5E" w14:textId="77777777" w:rsidR="008D0CAD" w:rsidRPr="00E00C4B" w:rsidRDefault="008D0CAD" w:rsidP="00796BFA">
            <w:pPr>
              <w:numPr>
                <w:ilvl w:val="0"/>
                <w:numId w:val="157"/>
              </w:numPr>
              <w:spacing w:before="100" w:beforeAutospacing="1" w:after="100" w:afterAutospacing="1" w:line="360" w:lineRule="auto"/>
              <w:contextualSpacing/>
              <w:rPr>
                <w:rFonts w:asciiTheme="majorHAnsi" w:eastAsiaTheme="minorHAnsi" w:hAnsiTheme="majorHAnsi" w:cstheme="majorHAnsi"/>
                <w:sz w:val="20"/>
                <w:szCs w:val="20"/>
              </w:rPr>
            </w:pPr>
            <w:r w:rsidRPr="00E00C4B">
              <w:rPr>
                <w:rFonts w:asciiTheme="majorHAnsi" w:eastAsiaTheme="minorHAnsi" w:hAnsiTheme="majorHAnsi" w:cstheme="majorHAnsi"/>
                <w:sz w:val="20"/>
                <w:szCs w:val="20"/>
              </w:rPr>
              <w:t>Iloilo</w:t>
            </w:r>
          </w:p>
        </w:tc>
        <w:tc>
          <w:tcPr>
            <w:tcW w:w="1530" w:type="dxa"/>
          </w:tcPr>
          <w:p w14:paraId="040E943D" w14:textId="77777777" w:rsidR="008D0CAD" w:rsidRPr="00E00C4B" w:rsidRDefault="008D0CAD" w:rsidP="00796BFA">
            <w:pPr>
              <w:spacing w:before="100" w:beforeAutospacing="1" w:after="100" w:afterAutospacing="1" w:line="360" w:lineRule="auto"/>
              <w:rPr>
                <w:rFonts w:asciiTheme="majorHAnsi" w:hAnsiTheme="majorHAnsi" w:cstheme="majorHAnsi"/>
                <w:color w:val="663300"/>
                <w:sz w:val="20"/>
                <w:szCs w:val="20"/>
              </w:rPr>
            </w:pPr>
            <w:r w:rsidRPr="00E00C4B">
              <w:rPr>
                <w:rFonts w:asciiTheme="majorHAnsi" w:hAnsiTheme="majorHAnsi" w:cstheme="majorHAnsi"/>
                <w:color w:val="663300"/>
                <w:sz w:val="20"/>
                <w:szCs w:val="20"/>
              </w:rPr>
              <w:t>-9,095</w:t>
            </w:r>
          </w:p>
        </w:tc>
        <w:tc>
          <w:tcPr>
            <w:tcW w:w="1530" w:type="dxa"/>
            <w:noWrap/>
            <w:hideMark/>
          </w:tcPr>
          <w:p w14:paraId="3E59A274" w14:textId="77777777" w:rsidR="008D0CAD" w:rsidRPr="00E00C4B" w:rsidRDefault="008D0CAD" w:rsidP="00796BFA">
            <w:pPr>
              <w:spacing w:before="100" w:beforeAutospacing="1" w:after="100" w:afterAutospacing="1" w:line="360" w:lineRule="auto"/>
              <w:rPr>
                <w:rFonts w:asciiTheme="majorHAnsi" w:hAnsiTheme="majorHAnsi" w:cstheme="majorHAnsi"/>
                <w:color w:val="663300"/>
                <w:sz w:val="20"/>
                <w:szCs w:val="20"/>
              </w:rPr>
            </w:pPr>
            <w:r w:rsidRPr="00E00C4B">
              <w:rPr>
                <w:rFonts w:asciiTheme="majorHAnsi" w:hAnsiTheme="majorHAnsi" w:cstheme="majorHAnsi"/>
                <w:color w:val="663300"/>
                <w:sz w:val="20"/>
                <w:szCs w:val="20"/>
              </w:rPr>
              <w:t>-7,821</w:t>
            </w:r>
          </w:p>
        </w:tc>
        <w:tc>
          <w:tcPr>
            <w:tcW w:w="1530" w:type="dxa"/>
            <w:noWrap/>
            <w:hideMark/>
          </w:tcPr>
          <w:p w14:paraId="0FBA221F" w14:textId="77777777" w:rsidR="008D0CAD" w:rsidRPr="00E00C4B" w:rsidRDefault="008D0CAD" w:rsidP="00796BFA">
            <w:pPr>
              <w:spacing w:before="100" w:beforeAutospacing="1" w:after="100" w:afterAutospacing="1" w:line="360" w:lineRule="auto"/>
              <w:rPr>
                <w:rFonts w:asciiTheme="majorHAnsi" w:hAnsiTheme="majorHAnsi" w:cstheme="majorHAnsi"/>
                <w:color w:val="663300"/>
                <w:sz w:val="20"/>
                <w:szCs w:val="20"/>
              </w:rPr>
            </w:pPr>
            <w:r w:rsidRPr="00E00C4B">
              <w:rPr>
                <w:rFonts w:asciiTheme="majorHAnsi" w:hAnsiTheme="majorHAnsi" w:cstheme="majorHAnsi"/>
                <w:color w:val="663300"/>
                <w:sz w:val="20"/>
                <w:szCs w:val="20"/>
              </w:rPr>
              <w:t>-16,916</w:t>
            </w:r>
          </w:p>
        </w:tc>
      </w:tr>
      <w:tr w:rsidR="008D0CAD" w:rsidRPr="00E00C4B" w14:paraId="3CB5C6B9" w14:textId="77777777" w:rsidTr="00F4751F">
        <w:trPr>
          <w:trHeight w:val="212"/>
        </w:trPr>
        <w:tc>
          <w:tcPr>
            <w:tcW w:w="2705" w:type="dxa"/>
            <w:noWrap/>
            <w:hideMark/>
          </w:tcPr>
          <w:p w14:paraId="26FE203D" w14:textId="77777777" w:rsidR="008D0CAD" w:rsidRPr="00E00C4B" w:rsidRDefault="008D0CAD" w:rsidP="00796BFA">
            <w:pPr>
              <w:spacing w:before="100" w:beforeAutospacing="1" w:after="100" w:afterAutospacing="1" w:line="360" w:lineRule="auto"/>
              <w:rPr>
                <w:rFonts w:asciiTheme="majorHAnsi" w:hAnsiTheme="majorHAnsi" w:cstheme="majorHAnsi"/>
                <w:sz w:val="20"/>
                <w:szCs w:val="20"/>
              </w:rPr>
            </w:pPr>
            <w:r w:rsidRPr="00E00C4B">
              <w:rPr>
                <w:rFonts w:asciiTheme="majorHAnsi" w:hAnsiTheme="majorHAnsi" w:cstheme="majorHAnsi"/>
                <w:sz w:val="20"/>
                <w:szCs w:val="20"/>
              </w:rPr>
              <w:t>Region VII</w:t>
            </w:r>
          </w:p>
        </w:tc>
        <w:tc>
          <w:tcPr>
            <w:tcW w:w="1530" w:type="dxa"/>
          </w:tcPr>
          <w:p w14:paraId="7E27826C" w14:textId="77777777" w:rsidR="008D0CAD" w:rsidRPr="00E00C4B" w:rsidRDefault="008D0CAD" w:rsidP="00796BFA">
            <w:pPr>
              <w:spacing w:before="100" w:beforeAutospacing="1" w:after="100" w:afterAutospacing="1" w:line="360" w:lineRule="auto"/>
              <w:rPr>
                <w:rFonts w:asciiTheme="majorHAnsi" w:hAnsiTheme="majorHAnsi" w:cstheme="majorHAnsi"/>
                <w:color w:val="663300"/>
                <w:sz w:val="20"/>
                <w:szCs w:val="20"/>
              </w:rPr>
            </w:pPr>
            <w:r w:rsidRPr="00E00C4B">
              <w:rPr>
                <w:rFonts w:asciiTheme="majorHAnsi" w:hAnsiTheme="majorHAnsi" w:cstheme="majorHAnsi"/>
                <w:color w:val="663300"/>
                <w:sz w:val="20"/>
                <w:szCs w:val="20"/>
              </w:rPr>
              <w:t>-39,765</w:t>
            </w:r>
          </w:p>
        </w:tc>
        <w:tc>
          <w:tcPr>
            <w:tcW w:w="1530" w:type="dxa"/>
            <w:noWrap/>
            <w:hideMark/>
          </w:tcPr>
          <w:p w14:paraId="4CC36743" w14:textId="77777777" w:rsidR="008D0CAD" w:rsidRPr="00E00C4B" w:rsidRDefault="008D0CAD" w:rsidP="00796BFA">
            <w:pPr>
              <w:spacing w:before="100" w:beforeAutospacing="1" w:after="100" w:afterAutospacing="1" w:line="360" w:lineRule="auto"/>
              <w:rPr>
                <w:rFonts w:asciiTheme="majorHAnsi" w:hAnsiTheme="majorHAnsi" w:cstheme="majorHAnsi"/>
                <w:color w:val="663300"/>
                <w:sz w:val="20"/>
                <w:szCs w:val="20"/>
              </w:rPr>
            </w:pPr>
            <w:r w:rsidRPr="00E00C4B">
              <w:rPr>
                <w:rFonts w:asciiTheme="majorHAnsi" w:hAnsiTheme="majorHAnsi" w:cstheme="majorHAnsi"/>
                <w:color w:val="663300"/>
                <w:sz w:val="20"/>
                <w:szCs w:val="20"/>
              </w:rPr>
              <w:t>-34,381</w:t>
            </w:r>
          </w:p>
        </w:tc>
        <w:tc>
          <w:tcPr>
            <w:tcW w:w="1530" w:type="dxa"/>
            <w:noWrap/>
            <w:hideMark/>
          </w:tcPr>
          <w:p w14:paraId="7F5D6342" w14:textId="77777777" w:rsidR="008D0CAD" w:rsidRPr="00E00C4B" w:rsidRDefault="008D0CAD" w:rsidP="00796BFA">
            <w:pPr>
              <w:spacing w:before="100" w:beforeAutospacing="1" w:after="100" w:afterAutospacing="1" w:line="360" w:lineRule="auto"/>
              <w:rPr>
                <w:rFonts w:asciiTheme="majorHAnsi" w:hAnsiTheme="majorHAnsi" w:cstheme="majorHAnsi"/>
                <w:color w:val="663300"/>
                <w:sz w:val="20"/>
                <w:szCs w:val="20"/>
              </w:rPr>
            </w:pPr>
            <w:r w:rsidRPr="00E00C4B">
              <w:rPr>
                <w:rFonts w:asciiTheme="majorHAnsi" w:hAnsiTheme="majorHAnsi" w:cstheme="majorHAnsi"/>
                <w:color w:val="663300"/>
                <w:sz w:val="20"/>
                <w:szCs w:val="20"/>
              </w:rPr>
              <w:t>-74,146</w:t>
            </w:r>
          </w:p>
        </w:tc>
      </w:tr>
      <w:tr w:rsidR="008D0CAD" w:rsidRPr="00E00C4B" w14:paraId="1E25FBDF" w14:textId="77777777" w:rsidTr="00F4751F">
        <w:trPr>
          <w:trHeight w:val="212"/>
        </w:trPr>
        <w:tc>
          <w:tcPr>
            <w:tcW w:w="2705" w:type="dxa"/>
            <w:noWrap/>
            <w:hideMark/>
          </w:tcPr>
          <w:p w14:paraId="249588D7" w14:textId="77777777" w:rsidR="008D0CAD" w:rsidRPr="00E00C4B" w:rsidRDefault="008D0CAD" w:rsidP="00796BFA">
            <w:pPr>
              <w:numPr>
                <w:ilvl w:val="0"/>
                <w:numId w:val="157"/>
              </w:numPr>
              <w:spacing w:before="100" w:beforeAutospacing="1" w:after="100" w:afterAutospacing="1" w:line="360" w:lineRule="auto"/>
              <w:contextualSpacing/>
              <w:rPr>
                <w:rFonts w:asciiTheme="majorHAnsi" w:eastAsiaTheme="minorHAnsi" w:hAnsiTheme="majorHAnsi" w:cstheme="majorHAnsi"/>
                <w:sz w:val="20"/>
                <w:szCs w:val="20"/>
              </w:rPr>
            </w:pPr>
            <w:r w:rsidRPr="00E00C4B">
              <w:rPr>
                <w:rFonts w:asciiTheme="majorHAnsi" w:eastAsiaTheme="minorHAnsi" w:hAnsiTheme="majorHAnsi" w:cstheme="majorHAnsi"/>
                <w:sz w:val="20"/>
                <w:szCs w:val="20"/>
              </w:rPr>
              <w:t>Bohol</w:t>
            </w:r>
          </w:p>
        </w:tc>
        <w:tc>
          <w:tcPr>
            <w:tcW w:w="1530" w:type="dxa"/>
          </w:tcPr>
          <w:p w14:paraId="17AF6D96" w14:textId="77777777" w:rsidR="008D0CAD" w:rsidRPr="00E00C4B" w:rsidRDefault="008D0CAD" w:rsidP="00796BFA">
            <w:pPr>
              <w:spacing w:before="100" w:beforeAutospacing="1" w:after="100" w:afterAutospacing="1" w:line="360" w:lineRule="auto"/>
              <w:rPr>
                <w:rFonts w:asciiTheme="majorHAnsi" w:hAnsiTheme="majorHAnsi" w:cstheme="majorHAnsi"/>
                <w:color w:val="663300"/>
                <w:sz w:val="20"/>
                <w:szCs w:val="20"/>
              </w:rPr>
            </w:pPr>
            <w:r w:rsidRPr="00E00C4B">
              <w:rPr>
                <w:rFonts w:asciiTheme="majorHAnsi" w:hAnsiTheme="majorHAnsi" w:cstheme="majorHAnsi"/>
                <w:color w:val="663300"/>
                <w:sz w:val="20"/>
                <w:szCs w:val="20"/>
              </w:rPr>
              <w:t>-12,435</w:t>
            </w:r>
          </w:p>
        </w:tc>
        <w:tc>
          <w:tcPr>
            <w:tcW w:w="1530" w:type="dxa"/>
            <w:noWrap/>
            <w:hideMark/>
          </w:tcPr>
          <w:p w14:paraId="400BBFED" w14:textId="77777777" w:rsidR="008D0CAD" w:rsidRPr="00E00C4B" w:rsidRDefault="008D0CAD" w:rsidP="00796BFA">
            <w:pPr>
              <w:spacing w:before="100" w:beforeAutospacing="1" w:after="100" w:afterAutospacing="1" w:line="360" w:lineRule="auto"/>
              <w:rPr>
                <w:rFonts w:asciiTheme="majorHAnsi" w:hAnsiTheme="majorHAnsi" w:cstheme="majorHAnsi"/>
                <w:color w:val="663300"/>
                <w:sz w:val="20"/>
                <w:szCs w:val="20"/>
              </w:rPr>
            </w:pPr>
            <w:r w:rsidRPr="00E00C4B">
              <w:rPr>
                <w:rFonts w:asciiTheme="majorHAnsi" w:hAnsiTheme="majorHAnsi" w:cstheme="majorHAnsi"/>
                <w:color w:val="663300"/>
                <w:sz w:val="20"/>
                <w:szCs w:val="20"/>
              </w:rPr>
              <w:t>-10,032</w:t>
            </w:r>
          </w:p>
        </w:tc>
        <w:tc>
          <w:tcPr>
            <w:tcW w:w="1530" w:type="dxa"/>
            <w:noWrap/>
            <w:hideMark/>
          </w:tcPr>
          <w:p w14:paraId="1DCEB5ED" w14:textId="77777777" w:rsidR="008D0CAD" w:rsidRPr="00E00C4B" w:rsidRDefault="008D0CAD" w:rsidP="00796BFA">
            <w:pPr>
              <w:spacing w:before="100" w:beforeAutospacing="1" w:after="100" w:afterAutospacing="1" w:line="360" w:lineRule="auto"/>
              <w:rPr>
                <w:rFonts w:asciiTheme="majorHAnsi" w:hAnsiTheme="majorHAnsi" w:cstheme="majorHAnsi"/>
                <w:color w:val="663300"/>
                <w:sz w:val="20"/>
                <w:szCs w:val="20"/>
              </w:rPr>
            </w:pPr>
            <w:r w:rsidRPr="00E00C4B">
              <w:rPr>
                <w:rFonts w:asciiTheme="majorHAnsi" w:hAnsiTheme="majorHAnsi" w:cstheme="majorHAnsi"/>
                <w:color w:val="663300"/>
                <w:sz w:val="20"/>
                <w:szCs w:val="20"/>
              </w:rPr>
              <w:t>-22,467</w:t>
            </w:r>
          </w:p>
        </w:tc>
      </w:tr>
      <w:tr w:rsidR="008D0CAD" w:rsidRPr="00E00C4B" w14:paraId="618C890D" w14:textId="77777777" w:rsidTr="00F4751F">
        <w:trPr>
          <w:trHeight w:val="212"/>
        </w:trPr>
        <w:tc>
          <w:tcPr>
            <w:tcW w:w="2705" w:type="dxa"/>
            <w:noWrap/>
            <w:hideMark/>
          </w:tcPr>
          <w:p w14:paraId="323C6B63" w14:textId="77777777" w:rsidR="008D0CAD" w:rsidRPr="00E00C4B" w:rsidRDefault="008D0CAD" w:rsidP="00796BFA">
            <w:pPr>
              <w:numPr>
                <w:ilvl w:val="0"/>
                <w:numId w:val="157"/>
              </w:numPr>
              <w:spacing w:before="100" w:beforeAutospacing="1" w:after="100" w:afterAutospacing="1" w:line="360" w:lineRule="auto"/>
              <w:contextualSpacing/>
              <w:rPr>
                <w:rFonts w:asciiTheme="majorHAnsi" w:eastAsiaTheme="minorHAnsi" w:hAnsiTheme="majorHAnsi" w:cstheme="majorHAnsi"/>
                <w:sz w:val="20"/>
                <w:szCs w:val="20"/>
              </w:rPr>
            </w:pPr>
            <w:r w:rsidRPr="00E00C4B">
              <w:rPr>
                <w:rFonts w:asciiTheme="majorHAnsi" w:eastAsiaTheme="minorHAnsi" w:hAnsiTheme="majorHAnsi" w:cstheme="majorHAnsi"/>
                <w:sz w:val="20"/>
                <w:szCs w:val="20"/>
              </w:rPr>
              <w:t>Cebu</w:t>
            </w:r>
          </w:p>
        </w:tc>
        <w:tc>
          <w:tcPr>
            <w:tcW w:w="1530" w:type="dxa"/>
          </w:tcPr>
          <w:p w14:paraId="52F0727B" w14:textId="77777777" w:rsidR="008D0CAD" w:rsidRPr="00E00C4B" w:rsidRDefault="008D0CAD" w:rsidP="00796BFA">
            <w:pPr>
              <w:spacing w:before="100" w:beforeAutospacing="1" w:after="100" w:afterAutospacing="1" w:line="360" w:lineRule="auto"/>
              <w:rPr>
                <w:rFonts w:asciiTheme="majorHAnsi" w:hAnsiTheme="majorHAnsi" w:cstheme="majorHAnsi"/>
                <w:color w:val="663300"/>
                <w:sz w:val="20"/>
                <w:szCs w:val="20"/>
              </w:rPr>
            </w:pPr>
            <w:r w:rsidRPr="00E00C4B">
              <w:rPr>
                <w:rFonts w:asciiTheme="majorHAnsi" w:hAnsiTheme="majorHAnsi" w:cstheme="majorHAnsi"/>
                <w:color w:val="663300"/>
                <w:sz w:val="20"/>
                <w:szCs w:val="20"/>
              </w:rPr>
              <w:t>-8,826</w:t>
            </w:r>
          </w:p>
        </w:tc>
        <w:tc>
          <w:tcPr>
            <w:tcW w:w="1530" w:type="dxa"/>
            <w:noWrap/>
            <w:hideMark/>
          </w:tcPr>
          <w:p w14:paraId="6D64B764" w14:textId="77777777" w:rsidR="008D0CAD" w:rsidRPr="00E00C4B" w:rsidRDefault="008D0CAD" w:rsidP="00796BFA">
            <w:pPr>
              <w:spacing w:before="100" w:beforeAutospacing="1" w:after="100" w:afterAutospacing="1" w:line="360" w:lineRule="auto"/>
              <w:rPr>
                <w:rFonts w:asciiTheme="majorHAnsi" w:hAnsiTheme="majorHAnsi" w:cstheme="majorHAnsi"/>
                <w:color w:val="663300"/>
                <w:sz w:val="20"/>
                <w:szCs w:val="20"/>
              </w:rPr>
            </w:pPr>
            <w:r w:rsidRPr="00E00C4B">
              <w:rPr>
                <w:rFonts w:asciiTheme="majorHAnsi" w:hAnsiTheme="majorHAnsi" w:cstheme="majorHAnsi"/>
                <w:color w:val="663300"/>
                <w:sz w:val="20"/>
                <w:szCs w:val="20"/>
              </w:rPr>
              <w:t>-7,759</w:t>
            </w:r>
          </w:p>
        </w:tc>
        <w:tc>
          <w:tcPr>
            <w:tcW w:w="1530" w:type="dxa"/>
            <w:noWrap/>
            <w:hideMark/>
          </w:tcPr>
          <w:p w14:paraId="4BDC67F2" w14:textId="77777777" w:rsidR="008D0CAD" w:rsidRPr="00E00C4B" w:rsidRDefault="008D0CAD" w:rsidP="00796BFA">
            <w:pPr>
              <w:spacing w:before="100" w:beforeAutospacing="1" w:after="100" w:afterAutospacing="1" w:line="360" w:lineRule="auto"/>
              <w:rPr>
                <w:rFonts w:asciiTheme="majorHAnsi" w:hAnsiTheme="majorHAnsi" w:cstheme="majorHAnsi"/>
                <w:b/>
                <w:color w:val="663300"/>
                <w:sz w:val="20"/>
                <w:szCs w:val="20"/>
              </w:rPr>
            </w:pPr>
            <w:r w:rsidRPr="00E00C4B">
              <w:rPr>
                <w:rFonts w:asciiTheme="majorHAnsi" w:hAnsiTheme="majorHAnsi" w:cstheme="majorHAnsi"/>
                <w:color w:val="663300"/>
                <w:sz w:val="20"/>
                <w:szCs w:val="20"/>
              </w:rPr>
              <w:t>-16,585</w:t>
            </w:r>
          </w:p>
        </w:tc>
      </w:tr>
      <w:tr w:rsidR="008D0CAD" w:rsidRPr="00E00C4B" w14:paraId="76AB574E" w14:textId="77777777" w:rsidTr="00F4751F">
        <w:trPr>
          <w:trHeight w:val="212"/>
        </w:trPr>
        <w:tc>
          <w:tcPr>
            <w:tcW w:w="2705" w:type="dxa"/>
            <w:noWrap/>
            <w:hideMark/>
          </w:tcPr>
          <w:p w14:paraId="6772A544" w14:textId="77777777" w:rsidR="008D0CAD" w:rsidRPr="00E00C4B" w:rsidRDefault="008D0CAD" w:rsidP="00796BFA">
            <w:pPr>
              <w:spacing w:before="100" w:beforeAutospacing="1" w:after="100" w:afterAutospacing="1" w:line="360" w:lineRule="auto"/>
              <w:rPr>
                <w:rFonts w:asciiTheme="majorHAnsi" w:hAnsiTheme="majorHAnsi" w:cstheme="majorHAnsi"/>
                <w:sz w:val="20"/>
                <w:szCs w:val="20"/>
              </w:rPr>
            </w:pPr>
            <w:r w:rsidRPr="00E00C4B">
              <w:rPr>
                <w:rFonts w:asciiTheme="majorHAnsi" w:hAnsiTheme="majorHAnsi" w:cstheme="majorHAnsi"/>
                <w:sz w:val="20"/>
                <w:szCs w:val="20"/>
              </w:rPr>
              <w:t>Eastern Visayas</w:t>
            </w:r>
          </w:p>
        </w:tc>
        <w:tc>
          <w:tcPr>
            <w:tcW w:w="1530" w:type="dxa"/>
          </w:tcPr>
          <w:p w14:paraId="343B10F9" w14:textId="77777777" w:rsidR="008D0CAD" w:rsidRPr="00E00C4B" w:rsidRDefault="008D0CAD" w:rsidP="00796BFA">
            <w:pPr>
              <w:spacing w:before="100" w:beforeAutospacing="1" w:after="100" w:afterAutospacing="1" w:line="360" w:lineRule="auto"/>
              <w:rPr>
                <w:rFonts w:asciiTheme="majorHAnsi" w:hAnsiTheme="majorHAnsi" w:cstheme="majorHAnsi"/>
                <w:color w:val="663300"/>
                <w:sz w:val="20"/>
                <w:szCs w:val="20"/>
              </w:rPr>
            </w:pPr>
            <w:r w:rsidRPr="00E00C4B">
              <w:rPr>
                <w:rFonts w:asciiTheme="majorHAnsi" w:hAnsiTheme="majorHAnsi" w:cstheme="majorHAnsi"/>
                <w:color w:val="663300"/>
                <w:sz w:val="20"/>
                <w:szCs w:val="20"/>
              </w:rPr>
              <w:t>-38,886</w:t>
            </w:r>
          </w:p>
        </w:tc>
        <w:tc>
          <w:tcPr>
            <w:tcW w:w="1530" w:type="dxa"/>
            <w:noWrap/>
            <w:hideMark/>
          </w:tcPr>
          <w:p w14:paraId="5906F02E" w14:textId="77777777" w:rsidR="008D0CAD" w:rsidRPr="00E00C4B" w:rsidRDefault="008D0CAD" w:rsidP="00796BFA">
            <w:pPr>
              <w:spacing w:before="100" w:beforeAutospacing="1" w:after="100" w:afterAutospacing="1" w:line="360" w:lineRule="auto"/>
              <w:rPr>
                <w:rFonts w:asciiTheme="majorHAnsi" w:hAnsiTheme="majorHAnsi" w:cstheme="majorHAnsi"/>
                <w:color w:val="663300"/>
                <w:sz w:val="20"/>
                <w:szCs w:val="20"/>
              </w:rPr>
            </w:pPr>
            <w:r w:rsidRPr="00E00C4B">
              <w:rPr>
                <w:rFonts w:asciiTheme="majorHAnsi" w:hAnsiTheme="majorHAnsi" w:cstheme="majorHAnsi"/>
                <w:color w:val="663300"/>
                <w:sz w:val="20"/>
                <w:szCs w:val="20"/>
              </w:rPr>
              <w:t>-35,827</w:t>
            </w:r>
          </w:p>
        </w:tc>
        <w:tc>
          <w:tcPr>
            <w:tcW w:w="1530" w:type="dxa"/>
            <w:noWrap/>
            <w:hideMark/>
          </w:tcPr>
          <w:p w14:paraId="7A38F8BD" w14:textId="77777777" w:rsidR="008D0CAD" w:rsidRPr="00E00C4B" w:rsidRDefault="008D0CAD" w:rsidP="00796BFA">
            <w:pPr>
              <w:spacing w:before="100" w:beforeAutospacing="1" w:after="100" w:afterAutospacing="1" w:line="360" w:lineRule="auto"/>
              <w:rPr>
                <w:rFonts w:asciiTheme="majorHAnsi" w:hAnsiTheme="majorHAnsi" w:cstheme="majorHAnsi"/>
                <w:color w:val="663300"/>
                <w:sz w:val="20"/>
                <w:szCs w:val="20"/>
              </w:rPr>
            </w:pPr>
            <w:r w:rsidRPr="00E00C4B">
              <w:rPr>
                <w:rFonts w:asciiTheme="majorHAnsi" w:hAnsiTheme="majorHAnsi" w:cstheme="majorHAnsi"/>
                <w:color w:val="663300"/>
                <w:sz w:val="20"/>
                <w:szCs w:val="20"/>
              </w:rPr>
              <w:t>-74,713</w:t>
            </w:r>
          </w:p>
        </w:tc>
      </w:tr>
      <w:tr w:rsidR="008D0CAD" w:rsidRPr="00E00C4B" w14:paraId="1C09F7F8" w14:textId="77777777" w:rsidTr="00F4751F">
        <w:trPr>
          <w:trHeight w:val="212"/>
        </w:trPr>
        <w:tc>
          <w:tcPr>
            <w:tcW w:w="2705" w:type="dxa"/>
            <w:noWrap/>
            <w:hideMark/>
          </w:tcPr>
          <w:p w14:paraId="264133DD" w14:textId="77777777" w:rsidR="008D0CAD" w:rsidRPr="00E00C4B" w:rsidRDefault="008D0CAD" w:rsidP="00796BFA">
            <w:pPr>
              <w:numPr>
                <w:ilvl w:val="0"/>
                <w:numId w:val="157"/>
              </w:numPr>
              <w:spacing w:before="100" w:beforeAutospacing="1" w:after="100" w:afterAutospacing="1" w:line="360" w:lineRule="auto"/>
              <w:contextualSpacing/>
              <w:rPr>
                <w:rFonts w:asciiTheme="majorHAnsi" w:eastAsiaTheme="minorHAnsi" w:hAnsiTheme="majorHAnsi" w:cstheme="majorHAnsi"/>
                <w:sz w:val="20"/>
                <w:szCs w:val="20"/>
              </w:rPr>
            </w:pPr>
            <w:r w:rsidRPr="00E00C4B">
              <w:rPr>
                <w:rFonts w:asciiTheme="majorHAnsi" w:eastAsiaTheme="minorHAnsi" w:hAnsiTheme="majorHAnsi" w:cstheme="majorHAnsi"/>
                <w:sz w:val="20"/>
                <w:szCs w:val="20"/>
              </w:rPr>
              <w:t>Eastern Samar</w:t>
            </w:r>
          </w:p>
        </w:tc>
        <w:tc>
          <w:tcPr>
            <w:tcW w:w="1530" w:type="dxa"/>
          </w:tcPr>
          <w:p w14:paraId="2E6F67BF" w14:textId="77777777" w:rsidR="008D0CAD" w:rsidRPr="00E00C4B" w:rsidRDefault="008D0CAD" w:rsidP="00796BFA">
            <w:pPr>
              <w:spacing w:before="100" w:beforeAutospacing="1" w:after="100" w:afterAutospacing="1" w:line="360" w:lineRule="auto"/>
              <w:rPr>
                <w:rFonts w:asciiTheme="majorHAnsi" w:hAnsiTheme="majorHAnsi" w:cstheme="majorHAnsi"/>
                <w:color w:val="663300"/>
                <w:sz w:val="20"/>
                <w:szCs w:val="20"/>
              </w:rPr>
            </w:pPr>
            <w:r w:rsidRPr="00E00C4B">
              <w:rPr>
                <w:rFonts w:asciiTheme="majorHAnsi" w:hAnsiTheme="majorHAnsi" w:cstheme="majorHAnsi"/>
                <w:color w:val="663300"/>
                <w:sz w:val="20"/>
                <w:szCs w:val="20"/>
              </w:rPr>
              <w:t>-5,511</w:t>
            </w:r>
          </w:p>
        </w:tc>
        <w:tc>
          <w:tcPr>
            <w:tcW w:w="1530" w:type="dxa"/>
            <w:noWrap/>
            <w:hideMark/>
          </w:tcPr>
          <w:p w14:paraId="02EBE8A7" w14:textId="77777777" w:rsidR="008D0CAD" w:rsidRPr="00E00C4B" w:rsidRDefault="008D0CAD" w:rsidP="00796BFA">
            <w:pPr>
              <w:spacing w:before="100" w:beforeAutospacing="1" w:after="100" w:afterAutospacing="1" w:line="360" w:lineRule="auto"/>
              <w:rPr>
                <w:rFonts w:asciiTheme="majorHAnsi" w:hAnsiTheme="majorHAnsi" w:cstheme="majorHAnsi"/>
                <w:color w:val="663300"/>
                <w:sz w:val="20"/>
                <w:szCs w:val="20"/>
              </w:rPr>
            </w:pPr>
            <w:r w:rsidRPr="00E00C4B">
              <w:rPr>
                <w:rFonts w:asciiTheme="majorHAnsi" w:hAnsiTheme="majorHAnsi" w:cstheme="majorHAnsi"/>
                <w:color w:val="663300"/>
                <w:sz w:val="20"/>
                <w:szCs w:val="20"/>
              </w:rPr>
              <w:t>-4,541</w:t>
            </w:r>
          </w:p>
        </w:tc>
        <w:tc>
          <w:tcPr>
            <w:tcW w:w="1530" w:type="dxa"/>
            <w:noWrap/>
            <w:hideMark/>
          </w:tcPr>
          <w:p w14:paraId="2F48EF1D" w14:textId="77777777" w:rsidR="008D0CAD" w:rsidRPr="00E00C4B" w:rsidRDefault="008D0CAD" w:rsidP="00796BFA">
            <w:pPr>
              <w:spacing w:before="100" w:beforeAutospacing="1" w:after="100" w:afterAutospacing="1" w:line="360" w:lineRule="auto"/>
              <w:rPr>
                <w:rFonts w:asciiTheme="majorHAnsi" w:hAnsiTheme="majorHAnsi" w:cstheme="majorHAnsi"/>
                <w:b/>
                <w:color w:val="663300"/>
                <w:sz w:val="20"/>
                <w:szCs w:val="20"/>
              </w:rPr>
            </w:pPr>
            <w:r w:rsidRPr="00E00C4B">
              <w:rPr>
                <w:rFonts w:asciiTheme="majorHAnsi" w:hAnsiTheme="majorHAnsi" w:cstheme="majorHAnsi"/>
                <w:color w:val="663300"/>
                <w:sz w:val="20"/>
                <w:szCs w:val="20"/>
              </w:rPr>
              <w:t>-10,052</w:t>
            </w:r>
          </w:p>
        </w:tc>
      </w:tr>
      <w:tr w:rsidR="008D0CAD" w:rsidRPr="00E00C4B" w14:paraId="0936ECE9" w14:textId="77777777" w:rsidTr="00F4751F">
        <w:trPr>
          <w:trHeight w:val="212"/>
        </w:trPr>
        <w:tc>
          <w:tcPr>
            <w:tcW w:w="2705" w:type="dxa"/>
            <w:noWrap/>
            <w:hideMark/>
          </w:tcPr>
          <w:p w14:paraId="457A93B3" w14:textId="77777777" w:rsidR="008D0CAD" w:rsidRPr="00E00C4B" w:rsidRDefault="008D0CAD" w:rsidP="00796BFA">
            <w:pPr>
              <w:numPr>
                <w:ilvl w:val="0"/>
                <w:numId w:val="157"/>
              </w:numPr>
              <w:spacing w:before="100" w:beforeAutospacing="1" w:after="100" w:afterAutospacing="1" w:line="360" w:lineRule="auto"/>
              <w:contextualSpacing/>
              <w:rPr>
                <w:rFonts w:asciiTheme="majorHAnsi" w:eastAsiaTheme="minorHAnsi" w:hAnsiTheme="majorHAnsi" w:cstheme="majorHAnsi"/>
                <w:sz w:val="20"/>
                <w:szCs w:val="20"/>
              </w:rPr>
            </w:pPr>
            <w:r w:rsidRPr="00E00C4B">
              <w:rPr>
                <w:rFonts w:asciiTheme="majorHAnsi" w:eastAsiaTheme="minorHAnsi" w:hAnsiTheme="majorHAnsi" w:cstheme="majorHAnsi"/>
                <w:sz w:val="20"/>
                <w:szCs w:val="20"/>
              </w:rPr>
              <w:t>Leyte</w:t>
            </w:r>
          </w:p>
        </w:tc>
        <w:tc>
          <w:tcPr>
            <w:tcW w:w="1530" w:type="dxa"/>
          </w:tcPr>
          <w:p w14:paraId="0A81131F" w14:textId="77777777" w:rsidR="008D0CAD" w:rsidRPr="00E00C4B" w:rsidRDefault="008D0CAD" w:rsidP="00796BFA">
            <w:pPr>
              <w:spacing w:before="100" w:beforeAutospacing="1" w:after="100" w:afterAutospacing="1" w:line="360" w:lineRule="auto"/>
              <w:rPr>
                <w:rFonts w:asciiTheme="majorHAnsi" w:hAnsiTheme="majorHAnsi" w:cstheme="majorHAnsi"/>
                <w:color w:val="663300"/>
                <w:sz w:val="20"/>
                <w:szCs w:val="20"/>
              </w:rPr>
            </w:pPr>
            <w:r w:rsidRPr="00E00C4B">
              <w:rPr>
                <w:rFonts w:asciiTheme="majorHAnsi" w:hAnsiTheme="majorHAnsi" w:cstheme="majorHAnsi"/>
                <w:color w:val="663300"/>
                <w:sz w:val="20"/>
                <w:szCs w:val="20"/>
              </w:rPr>
              <w:t>-8,392</w:t>
            </w:r>
          </w:p>
        </w:tc>
        <w:tc>
          <w:tcPr>
            <w:tcW w:w="1530" w:type="dxa"/>
            <w:noWrap/>
            <w:hideMark/>
          </w:tcPr>
          <w:p w14:paraId="14C73E9E" w14:textId="77777777" w:rsidR="008D0CAD" w:rsidRPr="00E00C4B" w:rsidRDefault="008D0CAD" w:rsidP="00796BFA">
            <w:pPr>
              <w:spacing w:before="100" w:beforeAutospacing="1" w:after="100" w:afterAutospacing="1" w:line="360" w:lineRule="auto"/>
              <w:rPr>
                <w:rFonts w:asciiTheme="majorHAnsi" w:hAnsiTheme="majorHAnsi" w:cstheme="majorHAnsi"/>
                <w:color w:val="663300"/>
                <w:sz w:val="20"/>
                <w:szCs w:val="20"/>
              </w:rPr>
            </w:pPr>
            <w:r w:rsidRPr="00E00C4B">
              <w:rPr>
                <w:rFonts w:asciiTheme="majorHAnsi" w:hAnsiTheme="majorHAnsi" w:cstheme="majorHAnsi"/>
                <w:color w:val="663300"/>
                <w:sz w:val="20"/>
                <w:szCs w:val="20"/>
              </w:rPr>
              <w:t>-7,229</w:t>
            </w:r>
          </w:p>
        </w:tc>
        <w:tc>
          <w:tcPr>
            <w:tcW w:w="1530" w:type="dxa"/>
            <w:noWrap/>
            <w:hideMark/>
          </w:tcPr>
          <w:p w14:paraId="3AB9E946" w14:textId="77777777" w:rsidR="008D0CAD" w:rsidRPr="00E00C4B" w:rsidRDefault="008D0CAD" w:rsidP="00796BFA">
            <w:pPr>
              <w:spacing w:before="100" w:beforeAutospacing="1" w:after="100" w:afterAutospacing="1" w:line="360" w:lineRule="auto"/>
              <w:rPr>
                <w:rFonts w:asciiTheme="majorHAnsi" w:hAnsiTheme="majorHAnsi" w:cstheme="majorHAnsi"/>
                <w:b/>
                <w:color w:val="663300"/>
                <w:sz w:val="20"/>
                <w:szCs w:val="20"/>
              </w:rPr>
            </w:pPr>
            <w:r w:rsidRPr="00E00C4B">
              <w:rPr>
                <w:rFonts w:asciiTheme="majorHAnsi" w:hAnsiTheme="majorHAnsi" w:cstheme="majorHAnsi"/>
                <w:color w:val="663300"/>
                <w:sz w:val="20"/>
                <w:szCs w:val="20"/>
              </w:rPr>
              <w:t>-15,621</w:t>
            </w:r>
          </w:p>
        </w:tc>
      </w:tr>
      <w:tr w:rsidR="008D0CAD" w:rsidRPr="00E00C4B" w14:paraId="488B7902" w14:textId="77777777" w:rsidTr="00F4751F">
        <w:trPr>
          <w:trHeight w:val="212"/>
        </w:trPr>
        <w:tc>
          <w:tcPr>
            <w:tcW w:w="2705" w:type="dxa"/>
            <w:noWrap/>
            <w:hideMark/>
          </w:tcPr>
          <w:p w14:paraId="1B2B6F41" w14:textId="77777777" w:rsidR="008D0CAD" w:rsidRPr="00E00C4B" w:rsidRDefault="008D0CAD" w:rsidP="00796BFA">
            <w:pPr>
              <w:spacing w:before="100" w:beforeAutospacing="1" w:after="100" w:afterAutospacing="1" w:line="360" w:lineRule="auto"/>
              <w:rPr>
                <w:rFonts w:asciiTheme="majorHAnsi" w:hAnsiTheme="majorHAnsi" w:cstheme="majorHAnsi"/>
                <w:sz w:val="20"/>
                <w:szCs w:val="20"/>
              </w:rPr>
            </w:pPr>
            <w:r w:rsidRPr="00E00C4B">
              <w:rPr>
                <w:rFonts w:asciiTheme="majorHAnsi" w:hAnsiTheme="majorHAnsi" w:cstheme="majorHAnsi"/>
                <w:sz w:val="20"/>
                <w:szCs w:val="20"/>
              </w:rPr>
              <w:t>Region X</w:t>
            </w:r>
          </w:p>
        </w:tc>
        <w:tc>
          <w:tcPr>
            <w:tcW w:w="1530" w:type="dxa"/>
          </w:tcPr>
          <w:p w14:paraId="6C57C476" w14:textId="77777777" w:rsidR="008D0CAD" w:rsidRPr="00E00C4B" w:rsidRDefault="008D0CAD" w:rsidP="00796BFA">
            <w:pPr>
              <w:spacing w:before="100" w:beforeAutospacing="1" w:after="100" w:afterAutospacing="1" w:line="360" w:lineRule="auto"/>
              <w:rPr>
                <w:rFonts w:asciiTheme="majorHAnsi" w:hAnsiTheme="majorHAnsi" w:cstheme="majorHAnsi"/>
                <w:color w:val="663300"/>
                <w:sz w:val="20"/>
                <w:szCs w:val="20"/>
              </w:rPr>
            </w:pPr>
            <w:r w:rsidRPr="00E00C4B">
              <w:rPr>
                <w:rFonts w:asciiTheme="majorHAnsi" w:hAnsiTheme="majorHAnsi" w:cstheme="majorHAnsi"/>
                <w:color w:val="663300"/>
                <w:sz w:val="20"/>
                <w:szCs w:val="20"/>
              </w:rPr>
              <w:t>-7,914</w:t>
            </w:r>
          </w:p>
        </w:tc>
        <w:tc>
          <w:tcPr>
            <w:tcW w:w="1530" w:type="dxa"/>
            <w:noWrap/>
            <w:hideMark/>
          </w:tcPr>
          <w:p w14:paraId="7E18D761" w14:textId="77777777" w:rsidR="008D0CAD" w:rsidRPr="00E00C4B" w:rsidRDefault="008D0CAD" w:rsidP="00796BFA">
            <w:pPr>
              <w:spacing w:before="100" w:beforeAutospacing="1" w:after="100" w:afterAutospacing="1" w:line="360" w:lineRule="auto"/>
              <w:rPr>
                <w:rFonts w:asciiTheme="majorHAnsi" w:hAnsiTheme="majorHAnsi" w:cstheme="majorHAnsi"/>
                <w:color w:val="663300"/>
                <w:sz w:val="20"/>
                <w:szCs w:val="20"/>
              </w:rPr>
            </w:pPr>
            <w:r w:rsidRPr="00E00C4B">
              <w:rPr>
                <w:rFonts w:asciiTheme="majorHAnsi" w:hAnsiTheme="majorHAnsi" w:cstheme="majorHAnsi"/>
                <w:color w:val="663300"/>
                <w:sz w:val="20"/>
                <w:szCs w:val="20"/>
              </w:rPr>
              <w:t>-8,603</w:t>
            </w:r>
          </w:p>
        </w:tc>
        <w:tc>
          <w:tcPr>
            <w:tcW w:w="1530" w:type="dxa"/>
            <w:noWrap/>
            <w:hideMark/>
          </w:tcPr>
          <w:p w14:paraId="1A0B8F77" w14:textId="77777777" w:rsidR="008D0CAD" w:rsidRPr="00E00C4B" w:rsidRDefault="008D0CAD" w:rsidP="00796BFA">
            <w:pPr>
              <w:spacing w:before="100" w:beforeAutospacing="1" w:after="100" w:afterAutospacing="1" w:line="360" w:lineRule="auto"/>
              <w:rPr>
                <w:rFonts w:asciiTheme="majorHAnsi" w:hAnsiTheme="majorHAnsi" w:cstheme="majorHAnsi"/>
                <w:color w:val="663300"/>
                <w:sz w:val="20"/>
                <w:szCs w:val="20"/>
              </w:rPr>
            </w:pPr>
            <w:r w:rsidRPr="00E00C4B">
              <w:rPr>
                <w:rFonts w:asciiTheme="majorHAnsi" w:hAnsiTheme="majorHAnsi" w:cstheme="majorHAnsi"/>
                <w:color w:val="663300"/>
                <w:sz w:val="20"/>
                <w:szCs w:val="20"/>
              </w:rPr>
              <w:t>-16,517</w:t>
            </w:r>
          </w:p>
        </w:tc>
      </w:tr>
      <w:tr w:rsidR="008D0CAD" w:rsidRPr="00E00C4B" w14:paraId="50FAFEF0" w14:textId="77777777" w:rsidTr="00F4751F">
        <w:trPr>
          <w:trHeight w:val="212"/>
        </w:trPr>
        <w:tc>
          <w:tcPr>
            <w:tcW w:w="2705" w:type="dxa"/>
            <w:noWrap/>
            <w:hideMark/>
          </w:tcPr>
          <w:p w14:paraId="29AE2515" w14:textId="77777777" w:rsidR="008D0CAD" w:rsidRPr="00E00C4B" w:rsidRDefault="008D0CAD" w:rsidP="00796BFA">
            <w:pPr>
              <w:numPr>
                <w:ilvl w:val="0"/>
                <w:numId w:val="157"/>
              </w:numPr>
              <w:spacing w:before="100" w:beforeAutospacing="1" w:after="100" w:afterAutospacing="1" w:line="360" w:lineRule="auto"/>
              <w:contextualSpacing/>
              <w:rPr>
                <w:rFonts w:asciiTheme="majorHAnsi" w:eastAsiaTheme="minorHAnsi" w:hAnsiTheme="majorHAnsi" w:cstheme="majorHAnsi"/>
                <w:sz w:val="20"/>
                <w:szCs w:val="20"/>
              </w:rPr>
            </w:pPr>
            <w:r w:rsidRPr="00E00C4B">
              <w:rPr>
                <w:rFonts w:asciiTheme="majorHAnsi" w:eastAsiaTheme="minorHAnsi" w:hAnsiTheme="majorHAnsi" w:cstheme="majorHAnsi"/>
                <w:sz w:val="20"/>
                <w:szCs w:val="20"/>
              </w:rPr>
              <w:t xml:space="preserve">Cagayan de Oro City </w:t>
            </w:r>
          </w:p>
        </w:tc>
        <w:tc>
          <w:tcPr>
            <w:tcW w:w="1530" w:type="dxa"/>
          </w:tcPr>
          <w:p w14:paraId="18D16AED" w14:textId="77777777" w:rsidR="008D0CAD" w:rsidRPr="00E00C4B" w:rsidRDefault="008D0CAD" w:rsidP="00796BFA">
            <w:pPr>
              <w:spacing w:before="100" w:beforeAutospacing="1" w:after="100" w:afterAutospacing="1" w:line="360" w:lineRule="auto"/>
              <w:rPr>
                <w:rFonts w:asciiTheme="majorHAnsi" w:hAnsiTheme="majorHAnsi" w:cstheme="majorHAnsi"/>
                <w:color w:val="663300"/>
                <w:sz w:val="20"/>
                <w:szCs w:val="20"/>
              </w:rPr>
            </w:pPr>
            <w:r w:rsidRPr="00E00C4B">
              <w:rPr>
                <w:rFonts w:asciiTheme="majorHAnsi" w:hAnsiTheme="majorHAnsi" w:cstheme="majorHAnsi"/>
                <w:color w:val="663300"/>
                <w:sz w:val="20"/>
                <w:szCs w:val="20"/>
              </w:rPr>
              <w:t>74</w:t>
            </w:r>
          </w:p>
        </w:tc>
        <w:tc>
          <w:tcPr>
            <w:tcW w:w="1530" w:type="dxa"/>
            <w:noWrap/>
            <w:hideMark/>
          </w:tcPr>
          <w:p w14:paraId="34FFC6D6" w14:textId="77777777" w:rsidR="008D0CAD" w:rsidRPr="00E00C4B" w:rsidRDefault="008D0CAD" w:rsidP="00796BFA">
            <w:pPr>
              <w:spacing w:before="100" w:beforeAutospacing="1" w:after="100" w:afterAutospacing="1" w:line="360" w:lineRule="auto"/>
              <w:rPr>
                <w:rFonts w:asciiTheme="majorHAnsi" w:hAnsiTheme="majorHAnsi" w:cstheme="majorHAnsi"/>
                <w:color w:val="663300"/>
                <w:sz w:val="20"/>
                <w:szCs w:val="20"/>
              </w:rPr>
            </w:pPr>
            <w:r w:rsidRPr="00E00C4B">
              <w:rPr>
                <w:rFonts w:asciiTheme="majorHAnsi" w:hAnsiTheme="majorHAnsi" w:cstheme="majorHAnsi"/>
                <w:color w:val="663300"/>
                <w:sz w:val="20"/>
                <w:szCs w:val="20"/>
              </w:rPr>
              <w:t>154</w:t>
            </w:r>
          </w:p>
        </w:tc>
        <w:tc>
          <w:tcPr>
            <w:tcW w:w="1530" w:type="dxa"/>
            <w:noWrap/>
            <w:hideMark/>
          </w:tcPr>
          <w:p w14:paraId="537BD72F" w14:textId="77777777" w:rsidR="008D0CAD" w:rsidRPr="00E00C4B" w:rsidRDefault="008D0CAD" w:rsidP="00796BFA">
            <w:pPr>
              <w:spacing w:before="100" w:beforeAutospacing="1" w:after="100" w:afterAutospacing="1" w:line="360" w:lineRule="auto"/>
              <w:rPr>
                <w:rFonts w:asciiTheme="majorHAnsi" w:hAnsiTheme="majorHAnsi" w:cstheme="majorHAnsi"/>
                <w:color w:val="663300"/>
                <w:sz w:val="20"/>
                <w:szCs w:val="20"/>
              </w:rPr>
            </w:pPr>
            <w:r w:rsidRPr="00E00C4B">
              <w:rPr>
                <w:rFonts w:asciiTheme="majorHAnsi" w:hAnsiTheme="majorHAnsi" w:cstheme="majorHAnsi"/>
                <w:color w:val="663300"/>
                <w:sz w:val="20"/>
                <w:szCs w:val="20"/>
              </w:rPr>
              <w:t>228</w:t>
            </w:r>
          </w:p>
        </w:tc>
      </w:tr>
      <w:tr w:rsidR="008D0CAD" w:rsidRPr="00E00C4B" w14:paraId="578552DA" w14:textId="77777777" w:rsidTr="00F4751F">
        <w:trPr>
          <w:trHeight w:val="212"/>
        </w:trPr>
        <w:tc>
          <w:tcPr>
            <w:tcW w:w="2705" w:type="dxa"/>
            <w:noWrap/>
            <w:hideMark/>
          </w:tcPr>
          <w:p w14:paraId="4813275C" w14:textId="77777777" w:rsidR="008D0CAD" w:rsidRPr="00E00C4B" w:rsidRDefault="008D0CAD" w:rsidP="00796BFA">
            <w:pPr>
              <w:numPr>
                <w:ilvl w:val="0"/>
                <w:numId w:val="157"/>
              </w:numPr>
              <w:spacing w:before="100" w:beforeAutospacing="1" w:after="100" w:afterAutospacing="1" w:line="360" w:lineRule="auto"/>
              <w:contextualSpacing/>
              <w:rPr>
                <w:rFonts w:asciiTheme="majorHAnsi" w:eastAsiaTheme="minorHAnsi" w:hAnsiTheme="majorHAnsi" w:cstheme="majorHAnsi"/>
                <w:sz w:val="20"/>
                <w:szCs w:val="20"/>
              </w:rPr>
            </w:pPr>
            <w:r w:rsidRPr="00E00C4B">
              <w:rPr>
                <w:rFonts w:asciiTheme="majorHAnsi" w:eastAsiaTheme="minorHAnsi" w:hAnsiTheme="majorHAnsi" w:cstheme="majorHAnsi"/>
                <w:sz w:val="20"/>
                <w:szCs w:val="20"/>
              </w:rPr>
              <w:t>Misamis Oriental</w:t>
            </w:r>
          </w:p>
        </w:tc>
        <w:tc>
          <w:tcPr>
            <w:tcW w:w="1530" w:type="dxa"/>
          </w:tcPr>
          <w:p w14:paraId="21D9DD06" w14:textId="77777777" w:rsidR="008D0CAD" w:rsidRPr="00E00C4B" w:rsidRDefault="008D0CAD" w:rsidP="00796BFA">
            <w:pPr>
              <w:spacing w:before="100" w:beforeAutospacing="1" w:after="100" w:afterAutospacing="1" w:line="360" w:lineRule="auto"/>
              <w:rPr>
                <w:rFonts w:asciiTheme="majorHAnsi" w:hAnsiTheme="majorHAnsi" w:cstheme="majorHAnsi"/>
                <w:color w:val="663300"/>
                <w:sz w:val="20"/>
                <w:szCs w:val="20"/>
              </w:rPr>
            </w:pPr>
            <w:r w:rsidRPr="00E00C4B">
              <w:rPr>
                <w:rFonts w:asciiTheme="majorHAnsi" w:hAnsiTheme="majorHAnsi" w:cstheme="majorHAnsi"/>
                <w:color w:val="663300"/>
                <w:sz w:val="20"/>
                <w:szCs w:val="20"/>
              </w:rPr>
              <w:t>-1,567</w:t>
            </w:r>
          </w:p>
        </w:tc>
        <w:tc>
          <w:tcPr>
            <w:tcW w:w="1530" w:type="dxa"/>
            <w:noWrap/>
            <w:hideMark/>
          </w:tcPr>
          <w:p w14:paraId="3E00F889" w14:textId="77777777" w:rsidR="008D0CAD" w:rsidRPr="00E00C4B" w:rsidRDefault="008D0CAD" w:rsidP="00796BFA">
            <w:pPr>
              <w:spacing w:before="100" w:beforeAutospacing="1" w:after="100" w:afterAutospacing="1" w:line="360" w:lineRule="auto"/>
              <w:rPr>
                <w:rFonts w:asciiTheme="majorHAnsi" w:hAnsiTheme="majorHAnsi" w:cstheme="majorHAnsi"/>
                <w:color w:val="663300"/>
                <w:sz w:val="20"/>
                <w:szCs w:val="20"/>
              </w:rPr>
            </w:pPr>
            <w:r w:rsidRPr="00E00C4B">
              <w:rPr>
                <w:rFonts w:asciiTheme="majorHAnsi" w:hAnsiTheme="majorHAnsi" w:cstheme="majorHAnsi"/>
                <w:color w:val="663300"/>
                <w:sz w:val="20"/>
                <w:szCs w:val="20"/>
              </w:rPr>
              <w:t>-1,573</w:t>
            </w:r>
          </w:p>
        </w:tc>
        <w:tc>
          <w:tcPr>
            <w:tcW w:w="1530" w:type="dxa"/>
            <w:noWrap/>
            <w:hideMark/>
          </w:tcPr>
          <w:p w14:paraId="464B72F1" w14:textId="77777777" w:rsidR="008D0CAD" w:rsidRPr="00E00C4B" w:rsidRDefault="008D0CAD" w:rsidP="00796BFA">
            <w:pPr>
              <w:spacing w:before="100" w:beforeAutospacing="1" w:after="100" w:afterAutospacing="1" w:line="360" w:lineRule="auto"/>
              <w:rPr>
                <w:rFonts w:asciiTheme="majorHAnsi" w:hAnsiTheme="majorHAnsi" w:cstheme="majorHAnsi"/>
                <w:color w:val="663300"/>
                <w:sz w:val="20"/>
                <w:szCs w:val="20"/>
              </w:rPr>
            </w:pPr>
            <w:r w:rsidRPr="00E00C4B">
              <w:rPr>
                <w:rFonts w:asciiTheme="majorHAnsi" w:hAnsiTheme="majorHAnsi" w:cstheme="majorHAnsi"/>
                <w:color w:val="663300"/>
                <w:sz w:val="20"/>
                <w:szCs w:val="20"/>
              </w:rPr>
              <w:t>-3,140</w:t>
            </w:r>
          </w:p>
        </w:tc>
      </w:tr>
      <w:tr w:rsidR="008D0CAD" w:rsidRPr="00E00C4B" w14:paraId="0FD5DABD" w14:textId="77777777" w:rsidTr="00F4751F">
        <w:trPr>
          <w:trHeight w:val="212"/>
        </w:trPr>
        <w:tc>
          <w:tcPr>
            <w:tcW w:w="2705" w:type="dxa"/>
            <w:noWrap/>
            <w:hideMark/>
          </w:tcPr>
          <w:p w14:paraId="30C86417" w14:textId="77777777" w:rsidR="008D0CAD" w:rsidRPr="00E00C4B" w:rsidRDefault="008D0CAD" w:rsidP="00796BFA">
            <w:pPr>
              <w:spacing w:before="100" w:beforeAutospacing="1" w:after="100" w:afterAutospacing="1" w:line="360" w:lineRule="auto"/>
              <w:rPr>
                <w:rFonts w:asciiTheme="majorHAnsi" w:hAnsiTheme="majorHAnsi" w:cstheme="majorHAnsi"/>
                <w:sz w:val="20"/>
                <w:szCs w:val="20"/>
              </w:rPr>
            </w:pPr>
            <w:r w:rsidRPr="00E00C4B">
              <w:rPr>
                <w:rFonts w:asciiTheme="majorHAnsi" w:hAnsiTheme="majorHAnsi" w:cstheme="majorHAnsi"/>
                <w:sz w:val="20"/>
                <w:szCs w:val="20"/>
              </w:rPr>
              <w:t>NCR</w:t>
            </w:r>
          </w:p>
        </w:tc>
        <w:tc>
          <w:tcPr>
            <w:tcW w:w="1530" w:type="dxa"/>
          </w:tcPr>
          <w:p w14:paraId="12B4999B" w14:textId="77777777" w:rsidR="008D0CAD" w:rsidRPr="00E00C4B" w:rsidRDefault="008D0CAD" w:rsidP="00796BFA">
            <w:pPr>
              <w:spacing w:before="100" w:beforeAutospacing="1" w:after="100" w:afterAutospacing="1" w:line="360" w:lineRule="auto"/>
              <w:rPr>
                <w:rFonts w:asciiTheme="majorHAnsi" w:hAnsiTheme="majorHAnsi" w:cstheme="majorHAnsi"/>
                <w:color w:val="663300"/>
                <w:sz w:val="20"/>
                <w:szCs w:val="20"/>
              </w:rPr>
            </w:pPr>
            <w:r w:rsidRPr="00E00C4B">
              <w:rPr>
                <w:rFonts w:asciiTheme="majorHAnsi" w:hAnsiTheme="majorHAnsi" w:cstheme="majorHAnsi"/>
                <w:color w:val="663300"/>
                <w:sz w:val="20"/>
                <w:szCs w:val="20"/>
              </w:rPr>
              <w:t>-52,794</w:t>
            </w:r>
          </w:p>
        </w:tc>
        <w:tc>
          <w:tcPr>
            <w:tcW w:w="1530" w:type="dxa"/>
            <w:noWrap/>
            <w:hideMark/>
          </w:tcPr>
          <w:p w14:paraId="35757B38" w14:textId="77777777" w:rsidR="008D0CAD" w:rsidRPr="00E00C4B" w:rsidRDefault="008D0CAD" w:rsidP="00796BFA">
            <w:pPr>
              <w:spacing w:before="100" w:beforeAutospacing="1" w:after="100" w:afterAutospacing="1" w:line="360" w:lineRule="auto"/>
              <w:rPr>
                <w:rFonts w:asciiTheme="majorHAnsi" w:hAnsiTheme="majorHAnsi" w:cstheme="majorHAnsi"/>
                <w:color w:val="663300"/>
                <w:sz w:val="20"/>
                <w:szCs w:val="20"/>
              </w:rPr>
            </w:pPr>
            <w:r w:rsidRPr="00E00C4B">
              <w:rPr>
                <w:rFonts w:asciiTheme="majorHAnsi" w:hAnsiTheme="majorHAnsi" w:cstheme="majorHAnsi"/>
                <w:color w:val="663300"/>
                <w:sz w:val="20"/>
                <w:szCs w:val="20"/>
              </w:rPr>
              <w:t>-49,162</w:t>
            </w:r>
          </w:p>
        </w:tc>
        <w:tc>
          <w:tcPr>
            <w:tcW w:w="1530" w:type="dxa"/>
            <w:noWrap/>
            <w:hideMark/>
          </w:tcPr>
          <w:p w14:paraId="7704D7C0" w14:textId="77777777" w:rsidR="008D0CAD" w:rsidRPr="00E00C4B" w:rsidRDefault="008D0CAD" w:rsidP="00796BFA">
            <w:pPr>
              <w:spacing w:before="100" w:beforeAutospacing="1" w:after="100" w:afterAutospacing="1" w:line="360" w:lineRule="auto"/>
              <w:rPr>
                <w:rFonts w:asciiTheme="majorHAnsi" w:hAnsiTheme="majorHAnsi" w:cstheme="majorHAnsi"/>
                <w:color w:val="663300"/>
                <w:sz w:val="20"/>
                <w:szCs w:val="20"/>
              </w:rPr>
            </w:pPr>
            <w:r w:rsidRPr="00E00C4B">
              <w:rPr>
                <w:rFonts w:asciiTheme="majorHAnsi" w:hAnsiTheme="majorHAnsi" w:cstheme="majorHAnsi"/>
                <w:color w:val="663300"/>
                <w:sz w:val="20"/>
                <w:szCs w:val="20"/>
              </w:rPr>
              <w:t>-101,956</w:t>
            </w:r>
          </w:p>
        </w:tc>
      </w:tr>
      <w:tr w:rsidR="008D0CAD" w:rsidRPr="00E00C4B" w14:paraId="7840B5A8" w14:textId="77777777" w:rsidTr="00F4751F">
        <w:trPr>
          <w:trHeight w:val="212"/>
        </w:trPr>
        <w:tc>
          <w:tcPr>
            <w:tcW w:w="2705" w:type="dxa"/>
            <w:noWrap/>
            <w:hideMark/>
          </w:tcPr>
          <w:p w14:paraId="1A352D0D" w14:textId="77777777" w:rsidR="008D0CAD" w:rsidRPr="00E00C4B" w:rsidRDefault="008D0CAD" w:rsidP="00796BFA">
            <w:pPr>
              <w:numPr>
                <w:ilvl w:val="0"/>
                <w:numId w:val="157"/>
              </w:numPr>
              <w:spacing w:before="100" w:beforeAutospacing="1" w:after="100" w:afterAutospacing="1" w:line="360" w:lineRule="auto"/>
              <w:contextualSpacing/>
              <w:rPr>
                <w:rFonts w:asciiTheme="majorHAnsi" w:eastAsiaTheme="minorHAnsi" w:hAnsiTheme="majorHAnsi" w:cstheme="majorHAnsi"/>
                <w:sz w:val="20"/>
                <w:szCs w:val="20"/>
              </w:rPr>
            </w:pPr>
            <w:r w:rsidRPr="00E00C4B">
              <w:rPr>
                <w:rFonts w:asciiTheme="majorHAnsi" w:eastAsiaTheme="minorHAnsi" w:hAnsiTheme="majorHAnsi" w:cstheme="majorHAnsi"/>
                <w:sz w:val="20"/>
                <w:szCs w:val="20"/>
              </w:rPr>
              <w:t>Las Piñas City</w:t>
            </w:r>
          </w:p>
        </w:tc>
        <w:tc>
          <w:tcPr>
            <w:tcW w:w="1530" w:type="dxa"/>
          </w:tcPr>
          <w:p w14:paraId="050DFB88" w14:textId="77777777" w:rsidR="008D0CAD" w:rsidRPr="00E00C4B" w:rsidRDefault="008D0CAD" w:rsidP="00796BFA">
            <w:pPr>
              <w:spacing w:before="100" w:beforeAutospacing="1" w:after="100" w:afterAutospacing="1" w:line="360" w:lineRule="auto"/>
              <w:rPr>
                <w:rFonts w:asciiTheme="majorHAnsi" w:hAnsiTheme="majorHAnsi" w:cstheme="majorHAnsi"/>
                <w:color w:val="663300"/>
                <w:sz w:val="20"/>
                <w:szCs w:val="20"/>
              </w:rPr>
            </w:pPr>
            <w:r w:rsidRPr="00E00C4B">
              <w:rPr>
                <w:rFonts w:asciiTheme="majorHAnsi" w:hAnsiTheme="majorHAnsi" w:cstheme="majorHAnsi"/>
                <w:color w:val="663300"/>
                <w:sz w:val="20"/>
                <w:szCs w:val="20"/>
              </w:rPr>
              <w:t>-3,414</w:t>
            </w:r>
          </w:p>
        </w:tc>
        <w:tc>
          <w:tcPr>
            <w:tcW w:w="1530" w:type="dxa"/>
            <w:noWrap/>
            <w:hideMark/>
          </w:tcPr>
          <w:p w14:paraId="04773F8A" w14:textId="77777777" w:rsidR="008D0CAD" w:rsidRPr="00E00C4B" w:rsidRDefault="008D0CAD" w:rsidP="00796BFA">
            <w:pPr>
              <w:spacing w:before="100" w:beforeAutospacing="1" w:after="100" w:afterAutospacing="1" w:line="360" w:lineRule="auto"/>
              <w:rPr>
                <w:rFonts w:asciiTheme="majorHAnsi" w:hAnsiTheme="majorHAnsi" w:cstheme="majorHAnsi"/>
                <w:color w:val="663300"/>
                <w:sz w:val="20"/>
                <w:szCs w:val="20"/>
              </w:rPr>
            </w:pPr>
            <w:r w:rsidRPr="00E00C4B">
              <w:rPr>
                <w:rFonts w:asciiTheme="majorHAnsi" w:hAnsiTheme="majorHAnsi" w:cstheme="majorHAnsi"/>
                <w:color w:val="663300"/>
                <w:sz w:val="20"/>
                <w:szCs w:val="20"/>
              </w:rPr>
              <w:t>-2,993</w:t>
            </w:r>
          </w:p>
        </w:tc>
        <w:tc>
          <w:tcPr>
            <w:tcW w:w="1530" w:type="dxa"/>
            <w:noWrap/>
            <w:hideMark/>
          </w:tcPr>
          <w:p w14:paraId="6DCD4E46" w14:textId="77777777" w:rsidR="008D0CAD" w:rsidRPr="00E00C4B" w:rsidRDefault="008D0CAD" w:rsidP="00796BFA">
            <w:pPr>
              <w:spacing w:before="100" w:beforeAutospacing="1" w:after="100" w:afterAutospacing="1" w:line="360" w:lineRule="auto"/>
              <w:rPr>
                <w:rFonts w:asciiTheme="majorHAnsi" w:hAnsiTheme="majorHAnsi" w:cstheme="majorHAnsi"/>
                <w:color w:val="663300"/>
                <w:sz w:val="20"/>
                <w:szCs w:val="20"/>
              </w:rPr>
            </w:pPr>
            <w:r w:rsidRPr="00E00C4B">
              <w:rPr>
                <w:rFonts w:asciiTheme="majorHAnsi" w:hAnsiTheme="majorHAnsi" w:cstheme="majorHAnsi"/>
                <w:color w:val="663300"/>
                <w:sz w:val="20"/>
                <w:szCs w:val="20"/>
              </w:rPr>
              <w:t>-6,407</w:t>
            </w:r>
          </w:p>
        </w:tc>
      </w:tr>
      <w:tr w:rsidR="008D0CAD" w:rsidRPr="00E00C4B" w14:paraId="310B76FA" w14:textId="77777777" w:rsidTr="00F4751F">
        <w:trPr>
          <w:trHeight w:val="212"/>
        </w:trPr>
        <w:tc>
          <w:tcPr>
            <w:tcW w:w="2705" w:type="dxa"/>
            <w:noWrap/>
            <w:hideMark/>
          </w:tcPr>
          <w:p w14:paraId="6585F354" w14:textId="77777777" w:rsidR="008D0CAD" w:rsidRPr="00E00C4B" w:rsidRDefault="008D0CAD" w:rsidP="00796BFA">
            <w:pPr>
              <w:numPr>
                <w:ilvl w:val="0"/>
                <w:numId w:val="157"/>
              </w:numPr>
              <w:spacing w:before="100" w:beforeAutospacing="1" w:after="100" w:afterAutospacing="1" w:line="360" w:lineRule="auto"/>
              <w:contextualSpacing/>
              <w:rPr>
                <w:rFonts w:asciiTheme="majorHAnsi" w:eastAsiaTheme="minorHAnsi" w:hAnsiTheme="majorHAnsi" w:cstheme="majorHAnsi"/>
                <w:sz w:val="20"/>
                <w:szCs w:val="20"/>
              </w:rPr>
            </w:pPr>
            <w:r w:rsidRPr="00E00C4B">
              <w:rPr>
                <w:rFonts w:asciiTheme="majorHAnsi" w:eastAsiaTheme="minorHAnsi" w:hAnsiTheme="majorHAnsi" w:cstheme="majorHAnsi"/>
                <w:sz w:val="20"/>
                <w:szCs w:val="20"/>
              </w:rPr>
              <w:t>Manila</w:t>
            </w:r>
          </w:p>
        </w:tc>
        <w:tc>
          <w:tcPr>
            <w:tcW w:w="1530" w:type="dxa"/>
          </w:tcPr>
          <w:p w14:paraId="5ED4BCBF" w14:textId="77777777" w:rsidR="008D0CAD" w:rsidRPr="00E00C4B" w:rsidRDefault="008D0CAD" w:rsidP="00796BFA">
            <w:pPr>
              <w:spacing w:before="100" w:beforeAutospacing="1" w:after="100" w:afterAutospacing="1" w:line="360" w:lineRule="auto"/>
              <w:rPr>
                <w:rFonts w:asciiTheme="majorHAnsi" w:hAnsiTheme="majorHAnsi" w:cstheme="majorHAnsi"/>
                <w:color w:val="663300"/>
                <w:sz w:val="20"/>
                <w:szCs w:val="20"/>
              </w:rPr>
            </w:pPr>
            <w:r w:rsidRPr="00E00C4B">
              <w:rPr>
                <w:rFonts w:asciiTheme="majorHAnsi" w:hAnsiTheme="majorHAnsi" w:cstheme="majorHAnsi"/>
                <w:color w:val="663300"/>
                <w:sz w:val="20"/>
                <w:szCs w:val="20"/>
              </w:rPr>
              <w:t>-10,985</w:t>
            </w:r>
          </w:p>
        </w:tc>
        <w:tc>
          <w:tcPr>
            <w:tcW w:w="1530" w:type="dxa"/>
            <w:noWrap/>
            <w:hideMark/>
          </w:tcPr>
          <w:p w14:paraId="2259E66C" w14:textId="77777777" w:rsidR="008D0CAD" w:rsidRPr="00E00C4B" w:rsidRDefault="008D0CAD" w:rsidP="00796BFA">
            <w:pPr>
              <w:spacing w:before="100" w:beforeAutospacing="1" w:after="100" w:afterAutospacing="1" w:line="360" w:lineRule="auto"/>
              <w:rPr>
                <w:rFonts w:asciiTheme="majorHAnsi" w:hAnsiTheme="majorHAnsi" w:cstheme="majorHAnsi"/>
                <w:color w:val="663300"/>
                <w:sz w:val="20"/>
                <w:szCs w:val="20"/>
              </w:rPr>
            </w:pPr>
            <w:r w:rsidRPr="00E00C4B">
              <w:rPr>
                <w:rFonts w:asciiTheme="majorHAnsi" w:hAnsiTheme="majorHAnsi" w:cstheme="majorHAnsi"/>
                <w:color w:val="663300"/>
                <w:sz w:val="20"/>
                <w:szCs w:val="20"/>
              </w:rPr>
              <w:t>-10,174</w:t>
            </w:r>
          </w:p>
        </w:tc>
        <w:tc>
          <w:tcPr>
            <w:tcW w:w="1530" w:type="dxa"/>
            <w:noWrap/>
            <w:hideMark/>
          </w:tcPr>
          <w:p w14:paraId="6DE97A73" w14:textId="77777777" w:rsidR="008D0CAD" w:rsidRPr="00E00C4B" w:rsidRDefault="008D0CAD" w:rsidP="00796BFA">
            <w:pPr>
              <w:spacing w:before="100" w:beforeAutospacing="1" w:after="100" w:afterAutospacing="1" w:line="360" w:lineRule="auto"/>
              <w:rPr>
                <w:rFonts w:asciiTheme="majorHAnsi" w:hAnsiTheme="majorHAnsi" w:cstheme="majorHAnsi"/>
                <w:b/>
                <w:color w:val="663300"/>
                <w:sz w:val="20"/>
                <w:szCs w:val="20"/>
              </w:rPr>
            </w:pPr>
            <w:r w:rsidRPr="00E00C4B">
              <w:rPr>
                <w:rFonts w:asciiTheme="majorHAnsi" w:hAnsiTheme="majorHAnsi" w:cstheme="majorHAnsi"/>
                <w:color w:val="663300"/>
                <w:sz w:val="20"/>
                <w:szCs w:val="20"/>
              </w:rPr>
              <w:t>-21,159</w:t>
            </w:r>
          </w:p>
        </w:tc>
      </w:tr>
      <w:tr w:rsidR="008D0CAD" w:rsidRPr="00E00C4B" w14:paraId="2A4D5DF9" w14:textId="77777777" w:rsidTr="00F4751F">
        <w:trPr>
          <w:trHeight w:val="212"/>
        </w:trPr>
        <w:tc>
          <w:tcPr>
            <w:tcW w:w="2705" w:type="dxa"/>
            <w:noWrap/>
            <w:hideMark/>
          </w:tcPr>
          <w:p w14:paraId="1FE02F90" w14:textId="77777777" w:rsidR="008D0CAD" w:rsidRPr="00E00C4B" w:rsidRDefault="008D0CAD" w:rsidP="00796BFA">
            <w:pPr>
              <w:numPr>
                <w:ilvl w:val="0"/>
                <w:numId w:val="157"/>
              </w:numPr>
              <w:spacing w:before="100" w:beforeAutospacing="1" w:after="100" w:afterAutospacing="1" w:line="360" w:lineRule="auto"/>
              <w:contextualSpacing/>
              <w:rPr>
                <w:rFonts w:asciiTheme="majorHAnsi" w:eastAsiaTheme="minorHAnsi" w:hAnsiTheme="majorHAnsi" w:cstheme="majorHAnsi"/>
                <w:sz w:val="20"/>
                <w:szCs w:val="20"/>
              </w:rPr>
            </w:pPr>
            <w:r w:rsidRPr="00E00C4B">
              <w:rPr>
                <w:rFonts w:asciiTheme="majorHAnsi" w:eastAsiaTheme="minorHAnsi" w:hAnsiTheme="majorHAnsi" w:cstheme="majorHAnsi"/>
                <w:sz w:val="20"/>
                <w:szCs w:val="20"/>
              </w:rPr>
              <w:t>Paranaque City</w:t>
            </w:r>
          </w:p>
        </w:tc>
        <w:tc>
          <w:tcPr>
            <w:tcW w:w="1530" w:type="dxa"/>
          </w:tcPr>
          <w:p w14:paraId="768D5983" w14:textId="77777777" w:rsidR="008D0CAD" w:rsidRPr="00E00C4B" w:rsidRDefault="008D0CAD" w:rsidP="00796BFA">
            <w:pPr>
              <w:spacing w:before="100" w:beforeAutospacing="1" w:after="100" w:afterAutospacing="1" w:line="360" w:lineRule="auto"/>
              <w:rPr>
                <w:rFonts w:asciiTheme="majorHAnsi" w:hAnsiTheme="majorHAnsi" w:cstheme="majorHAnsi"/>
                <w:color w:val="663300"/>
                <w:sz w:val="20"/>
                <w:szCs w:val="20"/>
              </w:rPr>
            </w:pPr>
            <w:r w:rsidRPr="00E00C4B">
              <w:rPr>
                <w:rFonts w:asciiTheme="majorHAnsi" w:hAnsiTheme="majorHAnsi" w:cstheme="majorHAnsi"/>
                <w:color w:val="663300"/>
                <w:sz w:val="20"/>
                <w:szCs w:val="20"/>
              </w:rPr>
              <w:t>-1,725</w:t>
            </w:r>
          </w:p>
        </w:tc>
        <w:tc>
          <w:tcPr>
            <w:tcW w:w="1530" w:type="dxa"/>
            <w:noWrap/>
            <w:hideMark/>
          </w:tcPr>
          <w:p w14:paraId="27AFEB41" w14:textId="77777777" w:rsidR="008D0CAD" w:rsidRPr="00E00C4B" w:rsidRDefault="008D0CAD" w:rsidP="00796BFA">
            <w:pPr>
              <w:spacing w:before="100" w:beforeAutospacing="1" w:after="100" w:afterAutospacing="1" w:line="360" w:lineRule="auto"/>
              <w:rPr>
                <w:rFonts w:asciiTheme="majorHAnsi" w:hAnsiTheme="majorHAnsi" w:cstheme="majorHAnsi"/>
                <w:color w:val="663300"/>
                <w:sz w:val="20"/>
                <w:szCs w:val="20"/>
              </w:rPr>
            </w:pPr>
            <w:r w:rsidRPr="00E00C4B">
              <w:rPr>
                <w:rFonts w:asciiTheme="majorHAnsi" w:hAnsiTheme="majorHAnsi" w:cstheme="majorHAnsi"/>
                <w:color w:val="663300"/>
                <w:sz w:val="20"/>
                <w:szCs w:val="20"/>
              </w:rPr>
              <w:t>-1,877</w:t>
            </w:r>
          </w:p>
        </w:tc>
        <w:tc>
          <w:tcPr>
            <w:tcW w:w="1530" w:type="dxa"/>
            <w:noWrap/>
            <w:hideMark/>
          </w:tcPr>
          <w:p w14:paraId="22E0EF69" w14:textId="77777777" w:rsidR="008D0CAD" w:rsidRPr="00E00C4B" w:rsidRDefault="008D0CAD" w:rsidP="00796BFA">
            <w:pPr>
              <w:spacing w:before="100" w:beforeAutospacing="1" w:after="100" w:afterAutospacing="1" w:line="360" w:lineRule="auto"/>
              <w:rPr>
                <w:rFonts w:asciiTheme="majorHAnsi" w:hAnsiTheme="majorHAnsi" w:cstheme="majorHAnsi"/>
                <w:color w:val="663300"/>
                <w:sz w:val="20"/>
                <w:szCs w:val="20"/>
              </w:rPr>
            </w:pPr>
            <w:r w:rsidRPr="00E00C4B">
              <w:rPr>
                <w:rFonts w:asciiTheme="majorHAnsi" w:hAnsiTheme="majorHAnsi" w:cstheme="majorHAnsi"/>
                <w:color w:val="663300"/>
                <w:sz w:val="20"/>
                <w:szCs w:val="20"/>
              </w:rPr>
              <w:t>-3,602</w:t>
            </w:r>
          </w:p>
        </w:tc>
      </w:tr>
      <w:tr w:rsidR="008D0CAD" w:rsidRPr="00E00C4B" w14:paraId="013B9ED7" w14:textId="77777777" w:rsidTr="00F4751F">
        <w:trPr>
          <w:trHeight w:val="212"/>
        </w:trPr>
        <w:tc>
          <w:tcPr>
            <w:tcW w:w="2705" w:type="dxa"/>
            <w:noWrap/>
            <w:hideMark/>
          </w:tcPr>
          <w:p w14:paraId="751AD03A" w14:textId="77777777" w:rsidR="008D0CAD" w:rsidRPr="00E00C4B" w:rsidRDefault="008D0CAD" w:rsidP="00796BFA">
            <w:pPr>
              <w:numPr>
                <w:ilvl w:val="0"/>
                <w:numId w:val="157"/>
              </w:numPr>
              <w:spacing w:before="100" w:beforeAutospacing="1" w:after="100" w:afterAutospacing="1" w:line="360" w:lineRule="auto"/>
              <w:contextualSpacing/>
              <w:rPr>
                <w:rFonts w:asciiTheme="majorHAnsi" w:eastAsiaTheme="minorHAnsi" w:hAnsiTheme="majorHAnsi" w:cstheme="majorHAnsi"/>
                <w:sz w:val="20"/>
                <w:szCs w:val="20"/>
              </w:rPr>
            </w:pPr>
            <w:r w:rsidRPr="00E00C4B">
              <w:rPr>
                <w:rFonts w:asciiTheme="majorHAnsi" w:eastAsiaTheme="minorHAnsi" w:hAnsiTheme="majorHAnsi" w:cstheme="majorHAnsi"/>
                <w:sz w:val="20"/>
                <w:szCs w:val="20"/>
              </w:rPr>
              <w:t>Quezon City</w:t>
            </w:r>
          </w:p>
        </w:tc>
        <w:tc>
          <w:tcPr>
            <w:tcW w:w="1530" w:type="dxa"/>
          </w:tcPr>
          <w:p w14:paraId="20B338CF" w14:textId="77777777" w:rsidR="008D0CAD" w:rsidRPr="00E00C4B" w:rsidRDefault="008D0CAD" w:rsidP="00796BFA">
            <w:pPr>
              <w:spacing w:before="100" w:beforeAutospacing="1" w:after="100" w:afterAutospacing="1" w:line="360" w:lineRule="auto"/>
              <w:rPr>
                <w:rFonts w:asciiTheme="majorHAnsi" w:hAnsiTheme="majorHAnsi" w:cstheme="majorHAnsi"/>
                <w:color w:val="663300"/>
                <w:sz w:val="20"/>
                <w:szCs w:val="20"/>
              </w:rPr>
            </w:pPr>
            <w:r w:rsidRPr="00E00C4B">
              <w:rPr>
                <w:rFonts w:asciiTheme="majorHAnsi" w:hAnsiTheme="majorHAnsi" w:cstheme="majorHAnsi"/>
                <w:color w:val="663300"/>
                <w:sz w:val="20"/>
                <w:szCs w:val="20"/>
              </w:rPr>
              <w:t>-13,526</w:t>
            </w:r>
          </w:p>
        </w:tc>
        <w:tc>
          <w:tcPr>
            <w:tcW w:w="1530" w:type="dxa"/>
            <w:noWrap/>
            <w:hideMark/>
          </w:tcPr>
          <w:p w14:paraId="16971ADE" w14:textId="77777777" w:rsidR="008D0CAD" w:rsidRPr="00E00C4B" w:rsidRDefault="008D0CAD" w:rsidP="00796BFA">
            <w:pPr>
              <w:spacing w:before="100" w:beforeAutospacing="1" w:after="100" w:afterAutospacing="1" w:line="360" w:lineRule="auto"/>
              <w:rPr>
                <w:rFonts w:asciiTheme="majorHAnsi" w:hAnsiTheme="majorHAnsi" w:cstheme="majorHAnsi"/>
                <w:color w:val="663300"/>
                <w:sz w:val="20"/>
                <w:szCs w:val="20"/>
              </w:rPr>
            </w:pPr>
            <w:r w:rsidRPr="00E00C4B">
              <w:rPr>
                <w:rFonts w:asciiTheme="majorHAnsi" w:hAnsiTheme="majorHAnsi" w:cstheme="majorHAnsi"/>
                <w:color w:val="663300"/>
                <w:sz w:val="20"/>
                <w:szCs w:val="20"/>
              </w:rPr>
              <w:t>-12,995</w:t>
            </w:r>
          </w:p>
        </w:tc>
        <w:tc>
          <w:tcPr>
            <w:tcW w:w="1530" w:type="dxa"/>
            <w:noWrap/>
            <w:hideMark/>
          </w:tcPr>
          <w:p w14:paraId="3DEE7CEE" w14:textId="77777777" w:rsidR="008D0CAD" w:rsidRPr="00E00C4B" w:rsidRDefault="008D0CAD" w:rsidP="00796BFA">
            <w:pPr>
              <w:spacing w:before="100" w:beforeAutospacing="1" w:after="100" w:afterAutospacing="1" w:line="360" w:lineRule="auto"/>
              <w:rPr>
                <w:rFonts w:asciiTheme="majorHAnsi" w:hAnsiTheme="majorHAnsi" w:cstheme="majorHAnsi"/>
                <w:b/>
                <w:color w:val="663300"/>
                <w:sz w:val="20"/>
                <w:szCs w:val="20"/>
              </w:rPr>
            </w:pPr>
            <w:r w:rsidRPr="00E00C4B">
              <w:rPr>
                <w:rFonts w:asciiTheme="majorHAnsi" w:hAnsiTheme="majorHAnsi" w:cstheme="majorHAnsi"/>
                <w:color w:val="663300"/>
                <w:sz w:val="20"/>
                <w:szCs w:val="20"/>
              </w:rPr>
              <w:t>-26,521</w:t>
            </w:r>
          </w:p>
        </w:tc>
      </w:tr>
      <w:tr w:rsidR="008D0CAD" w:rsidRPr="00E00C4B" w14:paraId="26632C7E" w14:textId="77777777" w:rsidTr="00F4751F">
        <w:trPr>
          <w:trHeight w:val="212"/>
        </w:trPr>
        <w:tc>
          <w:tcPr>
            <w:tcW w:w="2705" w:type="dxa"/>
            <w:noWrap/>
          </w:tcPr>
          <w:p w14:paraId="6749528E" w14:textId="77777777" w:rsidR="008D0CAD" w:rsidRPr="00E00C4B" w:rsidRDefault="008D0CAD" w:rsidP="00796BFA">
            <w:pPr>
              <w:spacing w:before="100" w:beforeAutospacing="1" w:after="100" w:afterAutospacing="1" w:line="360" w:lineRule="auto"/>
              <w:rPr>
                <w:rFonts w:asciiTheme="majorHAnsi" w:hAnsiTheme="majorHAnsi" w:cstheme="majorHAnsi"/>
                <w:sz w:val="20"/>
                <w:szCs w:val="20"/>
              </w:rPr>
            </w:pPr>
            <w:r w:rsidRPr="00E00C4B">
              <w:rPr>
                <w:rFonts w:asciiTheme="majorHAnsi" w:hAnsiTheme="majorHAnsi" w:cstheme="majorHAnsi"/>
                <w:sz w:val="20"/>
                <w:szCs w:val="20"/>
              </w:rPr>
              <w:t>Overall Total</w:t>
            </w:r>
          </w:p>
        </w:tc>
        <w:tc>
          <w:tcPr>
            <w:tcW w:w="1530" w:type="dxa"/>
          </w:tcPr>
          <w:p w14:paraId="02F0F120" w14:textId="77777777" w:rsidR="008D0CAD" w:rsidRPr="00E00C4B" w:rsidRDefault="008D0CAD" w:rsidP="00796BFA">
            <w:pPr>
              <w:spacing w:before="100" w:beforeAutospacing="1" w:after="100" w:afterAutospacing="1" w:line="360" w:lineRule="auto"/>
              <w:rPr>
                <w:rFonts w:asciiTheme="majorHAnsi" w:hAnsiTheme="majorHAnsi" w:cstheme="majorHAnsi"/>
                <w:color w:val="663300"/>
                <w:sz w:val="20"/>
                <w:szCs w:val="20"/>
              </w:rPr>
            </w:pPr>
            <w:r w:rsidRPr="00E00C4B">
              <w:rPr>
                <w:rFonts w:ascii="Arial Narrow" w:hAnsi="Arial Narrow" w:cs="Calibri"/>
                <w:color w:val="663300"/>
                <w:sz w:val="20"/>
                <w:szCs w:val="20"/>
              </w:rPr>
              <w:t>-414,796</w:t>
            </w:r>
          </w:p>
        </w:tc>
        <w:tc>
          <w:tcPr>
            <w:tcW w:w="1530" w:type="dxa"/>
            <w:noWrap/>
          </w:tcPr>
          <w:p w14:paraId="705F07E7" w14:textId="77777777" w:rsidR="008D0CAD" w:rsidRPr="00E00C4B" w:rsidRDefault="008D0CAD" w:rsidP="00796BFA">
            <w:pPr>
              <w:spacing w:before="100" w:beforeAutospacing="1" w:after="100" w:afterAutospacing="1" w:line="360" w:lineRule="auto"/>
              <w:rPr>
                <w:rFonts w:asciiTheme="majorHAnsi" w:hAnsiTheme="majorHAnsi" w:cstheme="majorHAnsi"/>
                <w:color w:val="663300"/>
                <w:sz w:val="20"/>
                <w:szCs w:val="20"/>
              </w:rPr>
            </w:pPr>
            <w:r w:rsidRPr="00E00C4B">
              <w:rPr>
                <w:rFonts w:ascii="Arial Narrow" w:hAnsi="Arial Narrow" w:cs="Calibri"/>
                <w:color w:val="663300"/>
                <w:sz w:val="20"/>
                <w:szCs w:val="20"/>
              </w:rPr>
              <w:t>-407,414</w:t>
            </w:r>
          </w:p>
        </w:tc>
        <w:tc>
          <w:tcPr>
            <w:tcW w:w="1530" w:type="dxa"/>
            <w:noWrap/>
          </w:tcPr>
          <w:p w14:paraId="08BF1A5E" w14:textId="77777777" w:rsidR="008D0CAD" w:rsidRPr="00E00C4B" w:rsidRDefault="008D0CAD" w:rsidP="00796BFA">
            <w:pPr>
              <w:spacing w:before="100" w:beforeAutospacing="1" w:after="100" w:afterAutospacing="1" w:line="360" w:lineRule="auto"/>
              <w:rPr>
                <w:rFonts w:asciiTheme="majorHAnsi" w:hAnsiTheme="majorHAnsi" w:cstheme="majorHAnsi"/>
                <w:color w:val="663300"/>
                <w:sz w:val="20"/>
                <w:szCs w:val="20"/>
              </w:rPr>
            </w:pPr>
            <w:r w:rsidRPr="00E00C4B">
              <w:rPr>
                <w:rFonts w:ascii="Arial Narrow" w:hAnsi="Arial Narrow" w:cs="Calibri"/>
                <w:color w:val="663300"/>
                <w:sz w:val="20"/>
                <w:szCs w:val="20"/>
              </w:rPr>
              <w:t>-822,210</w:t>
            </w:r>
          </w:p>
        </w:tc>
      </w:tr>
    </w:tbl>
    <w:p w14:paraId="275B1CC5" w14:textId="0DAA7AFF" w:rsidR="008D0CAD" w:rsidRPr="00796BFA" w:rsidRDefault="008D0CAD" w:rsidP="00796BFA">
      <w:pPr>
        <w:pStyle w:val="Heading5"/>
        <w:numPr>
          <w:ilvl w:val="0"/>
          <w:numId w:val="0"/>
        </w:numPr>
        <w:spacing w:before="100" w:beforeAutospacing="1" w:after="100" w:afterAutospacing="1" w:line="360" w:lineRule="auto"/>
        <w:ind w:left="1222" w:hanging="1080"/>
      </w:pPr>
      <w:bookmarkStart w:id="545" w:name="_Toc16524074"/>
      <w:r w:rsidRPr="00E00C4B">
        <w:t>Gross Enrolment Rate (GER)</w:t>
      </w:r>
      <w:bookmarkEnd w:id="545"/>
    </w:p>
    <w:p w14:paraId="6D6B6BC9" w14:textId="77777777" w:rsidR="008D0CAD" w:rsidRPr="00E00C4B" w:rsidRDefault="008D0CAD" w:rsidP="00796BFA">
      <w:pPr>
        <w:autoSpaceDE w:val="0"/>
        <w:autoSpaceDN w:val="0"/>
        <w:adjustRightInd w:val="0"/>
        <w:spacing w:before="100" w:beforeAutospacing="1" w:after="100" w:afterAutospacing="1" w:line="360" w:lineRule="auto"/>
        <w:rPr>
          <w:rFonts w:asciiTheme="majorHAnsi" w:hAnsiTheme="majorHAnsi" w:cstheme="majorHAnsi"/>
          <w:lang w:val="en-US"/>
        </w:rPr>
      </w:pPr>
      <w:r w:rsidRPr="00E00C4B">
        <w:rPr>
          <w:rFonts w:asciiTheme="majorHAnsi" w:hAnsiTheme="majorHAnsi" w:cstheme="majorHAnsi"/>
          <w:b/>
          <w:lang w:val="en-US"/>
        </w:rPr>
        <w:t>Gross Enrolment Rate (GER)</w:t>
      </w:r>
      <w:r w:rsidRPr="00E00C4B">
        <w:rPr>
          <w:rFonts w:asciiTheme="majorHAnsi" w:hAnsiTheme="majorHAnsi" w:cstheme="majorHAnsi"/>
          <w:lang w:val="en-US"/>
        </w:rPr>
        <w:t xml:space="preserve"> measures the total enrolment in a given level of education, regardless of age, as a percentage of the population who according to national regulations should be enrolled at this level. This indicator is used to show the general level of participation in elementary and secondary education. It is used in place of the Net Enrolment Ratio (NER) when data on enrolment by single year of age is not available.</w:t>
      </w:r>
    </w:p>
    <w:p w14:paraId="67B63BAB" w14:textId="55DD5488" w:rsidR="008D0CAD" w:rsidRPr="00E00C4B" w:rsidRDefault="008D0CAD" w:rsidP="00796BFA">
      <w:pPr>
        <w:autoSpaceDE w:val="0"/>
        <w:autoSpaceDN w:val="0"/>
        <w:adjustRightInd w:val="0"/>
        <w:spacing w:before="100" w:beforeAutospacing="1" w:after="100" w:afterAutospacing="1" w:line="360" w:lineRule="auto"/>
        <w:rPr>
          <w:rFonts w:asciiTheme="majorHAnsi" w:hAnsiTheme="majorHAnsi" w:cstheme="majorHAnsi"/>
          <w:lang w:val="en-US"/>
        </w:rPr>
      </w:pPr>
      <w:r w:rsidRPr="00E00C4B">
        <w:rPr>
          <w:rFonts w:asciiTheme="majorHAnsi" w:hAnsiTheme="majorHAnsi" w:cstheme="majorHAnsi"/>
          <w:b/>
          <w:lang w:val="en-US"/>
        </w:rPr>
        <w:t>Overall GER.</w:t>
      </w:r>
      <w:r w:rsidRPr="00E00C4B">
        <w:rPr>
          <w:rFonts w:asciiTheme="majorHAnsi" w:hAnsiTheme="majorHAnsi" w:cstheme="majorHAnsi"/>
          <w:lang w:val="en-US"/>
        </w:rPr>
        <w:t xml:space="preserve"> In SY2017-2018, gross enrollment rate was petted at 11,046,836 students, with 51.1 percent (5,645,660) males and 48.9 percent (5,401,176) females (</w:t>
      </w:r>
      <w:r w:rsidRPr="00E00C4B">
        <w:rPr>
          <w:rFonts w:asciiTheme="majorHAnsi" w:hAnsiTheme="majorHAnsi" w:cstheme="majorHAnsi"/>
          <w:color w:val="C00000"/>
          <w:lang w:val="en-US"/>
        </w:rPr>
        <w:t>Figure 14</w:t>
      </w:r>
      <w:r w:rsidRPr="00E00C4B">
        <w:rPr>
          <w:rFonts w:asciiTheme="majorHAnsi" w:hAnsiTheme="majorHAnsi" w:cstheme="majorHAnsi"/>
          <w:lang w:val="en-US"/>
        </w:rPr>
        <w:t>). From SY2013-2014 (baseline of BEST Program) to endline, GER showed slight fluctuations in overall total but the trend was generally flat.</w:t>
      </w:r>
      <w:r w:rsidR="00D434EB">
        <w:rPr>
          <w:rFonts w:asciiTheme="majorHAnsi" w:hAnsiTheme="majorHAnsi" w:cstheme="majorHAnsi"/>
          <w:lang w:val="en-US"/>
        </w:rPr>
        <w:t xml:space="preserve"> </w:t>
      </w:r>
      <w:r w:rsidRPr="00E00C4B">
        <w:rPr>
          <w:rFonts w:asciiTheme="majorHAnsi" w:hAnsiTheme="majorHAnsi" w:cstheme="majorHAnsi"/>
          <w:lang w:val="en-US"/>
        </w:rPr>
        <w:t xml:space="preserve"> </w:t>
      </w:r>
    </w:p>
    <w:p w14:paraId="551BFF10" w14:textId="2700C7DD" w:rsidR="008D0CAD" w:rsidRPr="00E00C4B" w:rsidRDefault="00D434EB" w:rsidP="00796BFA">
      <w:pPr>
        <w:pageBreakBefore/>
        <w:spacing w:before="100" w:beforeAutospacing="1" w:after="100" w:afterAutospacing="1" w:line="360" w:lineRule="auto"/>
        <w:rPr>
          <w:rFonts w:asciiTheme="majorHAnsi" w:eastAsiaTheme="minorHAnsi" w:hAnsiTheme="majorHAnsi" w:cstheme="majorHAnsi"/>
          <w:i/>
          <w:iCs/>
          <w:color w:val="44546A" w:themeColor="text2"/>
          <w:sz w:val="22"/>
          <w:szCs w:val="22"/>
          <w:lang w:val="en-US"/>
        </w:rPr>
      </w:pPr>
      <w:r>
        <w:rPr>
          <w:rFonts w:asciiTheme="majorHAnsi" w:eastAsiaTheme="minorHAnsi" w:hAnsiTheme="majorHAnsi" w:cstheme="majorHAnsi"/>
          <w:i/>
          <w:iCs/>
          <w:color w:val="44546A" w:themeColor="text2"/>
          <w:sz w:val="22"/>
          <w:szCs w:val="22"/>
          <w:lang w:val="en-US"/>
        </w:rPr>
        <w:t xml:space="preserve"> </w:t>
      </w:r>
      <w:r w:rsidR="008D0CAD" w:rsidRPr="00E00C4B">
        <w:rPr>
          <w:rFonts w:asciiTheme="majorHAnsi" w:eastAsiaTheme="minorHAnsi" w:hAnsiTheme="majorHAnsi" w:cstheme="majorHAnsi"/>
          <w:i/>
          <w:iCs/>
          <w:color w:val="44546A" w:themeColor="text2"/>
          <w:sz w:val="22"/>
          <w:szCs w:val="22"/>
          <w:lang w:val="en-US"/>
        </w:rPr>
        <w:t xml:space="preserve"> </w:t>
      </w:r>
      <w:bookmarkStart w:id="546" w:name="_Toc16524126"/>
      <w:bookmarkStart w:id="547" w:name="_Toc71616573"/>
      <w:r w:rsidR="008D0CAD" w:rsidRPr="00E00C4B">
        <w:rPr>
          <w:rFonts w:asciiTheme="majorHAnsi" w:eastAsiaTheme="minorHAnsi" w:hAnsiTheme="majorHAnsi" w:cstheme="majorHAnsi"/>
          <w:i/>
          <w:iCs/>
          <w:color w:val="44546A" w:themeColor="text2"/>
          <w:sz w:val="22"/>
          <w:szCs w:val="22"/>
          <w:lang w:val="en-US"/>
        </w:rPr>
        <w:t xml:space="preserve">Figure </w:t>
      </w:r>
      <w:r w:rsidR="008D0CAD" w:rsidRPr="00E00C4B">
        <w:rPr>
          <w:rFonts w:asciiTheme="majorHAnsi" w:eastAsiaTheme="minorHAnsi" w:hAnsiTheme="majorHAnsi" w:cstheme="majorHAnsi"/>
          <w:i/>
          <w:iCs/>
          <w:color w:val="44546A" w:themeColor="text2"/>
          <w:sz w:val="22"/>
          <w:szCs w:val="22"/>
          <w:lang w:val="en-US"/>
        </w:rPr>
        <w:fldChar w:fldCharType="begin"/>
      </w:r>
      <w:r w:rsidR="008D0CAD" w:rsidRPr="00E00C4B">
        <w:rPr>
          <w:rFonts w:asciiTheme="majorHAnsi" w:eastAsiaTheme="minorHAnsi" w:hAnsiTheme="majorHAnsi" w:cstheme="majorHAnsi"/>
          <w:i/>
          <w:iCs/>
          <w:color w:val="44546A" w:themeColor="text2"/>
          <w:sz w:val="22"/>
          <w:szCs w:val="22"/>
          <w:lang w:val="en-US"/>
        </w:rPr>
        <w:instrText xml:space="preserve"> SEQ Figure \* ARABIC </w:instrText>
      </w:r>
      <w:r w:rsidR="008D0CAD" w:rsidRPr="00E00C4B">
        <w:rPr>
          <w:rFonts w:asciiTheme="majorHAnsi" w:eastAsiaTheme="minorHAnsi" w:hAnsiTheme="majorHAnsi" w:cstheme="majorHAnsi"/>
          <w:i/>
          <w:iCs/>
          <w:color w:val="44546A" w:themeColor="text2"/>
          <w:sz w:val="22"/>
          <w:szCs w:val="22"/>
          <w:lang w:val="en-US"/>
        </w:rPr>
        <w:fldChar w:fldCharType="separate"/>
      </w:r>
      <w:r w:rsidR="00D6133D">
        <w:rPr>
          <w:rFonts w:asciiTheme="majorHAnsi" w:eastAsiaTheme="minorHAnsi" w:hAnsiTheme="majorHAnsi" w:cstheme="majorHAnsi"/>
          <w:i/>
          <w:iCs/>
          <w:noProof/>
          <w:color w:val="44546A" w:themeColor="text2"/>
          <w:sz w:val="22"/>
          <w:szCs w:val="22"/>
          <w:lang w:val="en-US"/>
        </w:rPr>
        <w:t>46</w:t>
      </w:r>
      <w:r w:rsidR="008D0CAD" w:rsidRPr="00E00C4B">
        <w:rPr>
          <w:rFonts w:asciiTheme="majorHAnsi" w:eastAsiaTheme="minorHAnsi" w:hAnsiTheme="majorHAnsi" w:cstheme="majorHAnsi"/>
          <w:i/>
          <w:iCs/>
          <w:color w:val="44546A" w:themeColor="text2"/>
          <w:sz w:val="22"/>
          <w:szCs w:val="22"/>
          <w:lang w:val="en-US"/>
        </w:rPr>
        <w:fldChar w:fldCharType="end"/>
      </w:r>
      <w:r w:rsidR="008D0CAD" w:rsidRPr="00E00C4B">
        <w:rPr>
          <w:rFonts w:asciiTheme="majorHAnsi" w:eastAsiaTheme="minorHAnsi" w:hAnsiTheme="majorHAnsi" w:cstheme="majorHAnsi"/>
          <w:i/>
          <w:iCs/>
          <w:color w:val="44546A" w:themeColor="text2"/>
          <w:sz w:val="22"/>
          <w:szCs w:val="22"/>
          <w:lang w:val="en-US"/>
        </w:rPr>
        <w:t>. Elementary Gross Enrolment Ratio by Sex, SY2011-2012 to SY2017-2018</w:t>
      </w:r>
      <w:bookmarkEnd w:id="546"/>
      <w:bookmarkEnd w:id="547"/>
    </w:p>
    <w:p w14:paraId="2E14F0E4" w14:textId="77777777" w:rsidR="008D0CAD" w:rsidRPr="00E00C4B" w:rsidRDefault="008D0CAD" w:rsidP="00796BFA">
      <w:pPr>
        <w:spacing w:before="100" w:beforeAutospacing="1" w:after="100" w:afterAutospacing="1" w:line="360" w:lineRule="auto"/>
        <w:rPr>
          <w:lang w:val="en-US"/>
        </w:rPr>
      </w:pPr>
      <w:r w:rsidRPr="00E00C4B">
        <w:rPr>
          <w:noProof/>
          <w:lang w:val="en-AU" w:eastAsia="en-AU"/>
        </w:rPr>
        <w:drawing>
          <wp:inline distT="0" distB="0" distL="0" distR="0" wp14:anchorId="725391DC" wp14:editId="61E797F0">
            <wp:extent cx="4746258" cy="2839452"/>
            <wp:effectExtent l="0" t="0" r="16510" b="18415"/>
            <wp:docPr id="101" name="Chart 101" descr="Line chart of elementary gross enrolment ratio by sex, for school years 2011-2012 to 2017-2018. Higher males than females.">
              <a:extLst xmlns:a="http://schemas.openxmlformats.org/drawingml/2006/main">
                <a:ext uri="{FF2B5EF4-FFF2-40B4-BE49-F238E27FC236}">
                  <a16:creationId xmlns:a16="http://schemas.microsoft.com/office/drawing/2014/main" id="{BE8076AC-7197-F44B-9CF2-200AEFB3AC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256B6439" w14:textId="773EC9C3" w:rsidR="008D0CAD" w:rsidRPr="00796BFA" w:rsidRDefault="00D434EB" w:rsidP="00796BFA">
      <w:pPr>
        <w:spacing w:before="100" w:beforeAutospacing="1" w:after="100" w:afterAutospacing="1" w:line="360" w:lineRule="auto"/>
        <w:rPr>
          <w:rFonts w:asciiTheme="majorHAnsi" w:hAnsiTheme="majorHAnsi" w:cstheme="majorHAnsi"/>
          <w:bCs/>
          <w:i/>
          <w:iCs/>
          <w:sz w:val="20"/>
          <w:szCs w:val="20"/>
          <w:lang w:val="en-US"/>
        </w:rPr>
      </w:pPr>
      <w:r>
        <w:rPr>
          <w:rFonts w:asciiTheme="majorHAnsi" w:hAnsiTheme="majorHAnsi" w:cstheme="majorHAnsi"/>
          <w:bCs/>
          <w:i/>
          <w:iCs/>
          <w:sz w:val="20"/>
          <w:szCs w:val="20"/>
          <w:lang w:val="en-US"/>
        </w:rPr>
        <w:t xml:space="preserve">  </w:t>
      </w:r>
      <w:r w:rsidR="008D0CAD" w:rsidRPr="00E00C4B">
        <w:rPr>
          <w:rFonts w:asciiTheme="majorHAnsi" w:hAnsiTheme="majorHAnsi" w:cstheme="majorHAnsi"/>
          <w:bCs/>
          <w:i/>
          <w:iCs/>
          <w:sz w:val="20"/>
          <w:szCs w:val="20"/>
          <w:lang w:val="en-US"/>
        </w:rPr>
        <w:t>Source of basic data: EBEIS (Retrieved April 2019)</w:t>
      </w:r>
    </w:p>
    <w:p w14:paraId="23F0A777" w14:textId="2E8389A4" w:rsidR="008D0CAD" w:rsidRPr="00E00C4B" w:rsidRDefault="008D0CAD" w:rsidP="00796BFA">
      <w:pPr>
        <w:autoSpaceDE w:val="0"/>
        <w:autoSpaceDN w:val="0"/>
        <w:adjustRightInd w:val="0"/>
        <w:spacing w:before="100" w:beforeAutospacing="1" w:after="100" w:afterAutospacing="1" w:line="360" w:lineRule="auto"/>
        <w:rPr>
          <w:rFonts w:asciiTheme="majorHAnsi" w:hAnsiTheme="majorHAnsi" w:cstheme="majorHAnsi"/>
          <w:color w:val="000000" w:themeColor="text1"/>
          <w:lang w:val="en-US"/>
        </w:rPr>
      </w:pPr>
      <w:r w:rsidRPr="00E00C4B">
        <w:rPr>
          <w:rFonts w:asciiTheme="majorHAnsi" w:hAnsiTheme="majorHAnsi" w:cstheme="majorHAnsi"/>
          <w:b/>
          <w:color w:val="000000" w:themeColor="text1"/>
          <w:lang w:val="en-US"/>
        </w:rPr>
        <w:t>GER by Region.</w:t>
      </w:r>
      <w:r w:rsidRPr="00E00C4B">
        <w:rPr>
          <w:rFonts w:asciiTheme="majorHAnsi" w:hAnsiTheme="majorHAnsi" w:cstheme="majorHAnsi"/>
          <w:color w:val="000000" w:themeColor="text1"/>
          <w:lang w:val="en-US"/>
        </w:rPr>
        <w:t xml:space="preserve"> In SY2017-2018, the top three regions with the highest GER were Regions IV-A (13%), III (11%) and NCR (9%) (Figure 15). Together, these regions had 3,628,421 students (Table 6).</w:t>
      </w:r>
      <w:r w:rsidR="00D434EB">
        <w:rPr>
          <w:rFonts w:asciiTheme="majorHAnsi" w:hAnsiTheme="majorHAnsi" w:cstheme="majorHAnsi"/>
          <w:color w:val="000000" w:themeColor="text1"/>
          <w:lang w:val="en-US"/>
        </w:rPr>
        <w:t xml:space="preserve"> </w:t>
      </w:r>
      <w:r w:rsidRPr="00E00C4B">
        <w:rPr>
          <w:rFonts w:asciiTheme="majorHAnsi" w:hAnsiTheme="majorHAnsi" w:cstheme="majorHAnsi"/>
          <w:color w:val="000000" w:themeColor="text1"/>
          <w:lang w:val="en-US"/>
        </w:rPr>
        <w:t>The share of male to female students was consistent at 51 percent to 49 percent. The lowest GERs were in Regions ARMM (2%) and Caraga (3%).</w:t>
      </w:r>
      <w:r w:rsidR="00D434EB">
        <w:rPr>
          <w:rFonts w:asciiTheme="majorHAnsi" w:hAnsiTheme="majorHAnsi" w:cstheme="majorHAnsi"/>
          <w:color w:val="000000" w:themeColor="text1"/>
          <w:lang w:val="en-US"/>
        </w:rPr>
        <w:t xml:space="preserve"> </w:t>
      </w:r>
      <w:r w:rsidRPr="00E00C4B">
        <w:rPr>
          <w:rFonts w:asciiTheme="majorHAnsi" w:hAnsiTheme="majorHAnsi" w:cstheme="majorHAnsi"/>
          <w:color w:val="000000" w:themeColor="text1"/>
          <w:lang w:val="en-US"/>
        </w:rPr>
        <w:t>These two regions only had 748,316 students combined.</w:t>
      </w:r>
    </w:p>
    <w:p w14:paraId="1687AAB4" w14:textId="07443472" w:rsidR="004351FE" w:rsidRPr="00796BFA" w:rsidRDefault="008D0CAD" w:rsidP="00796BFA">
      <w:pPr>
        <w:autoSpaceDE w:val="0"/>
        <w:autoSpaceDN w:val="0"/>
        <w:adjustRightInd w:val="0"/>
        <w:spacing w:before="100" w:beforeAutospacing="1" w:after="100" w:afterAutospacing="1" w:line="360" w:lineRule="auto"/>
        <w:rPr>
          <w:rFonts w:asciiTheme="majorHAnsi" w:hAnsiTheme="majorHAnsi" w:cstheme="majorHAnsi"/>
          <w:color w:val="000000" w:themeColor="text1"/>
          <w:lang w:val="en-US"/>
        </w:rPr>
      </w:pPr>
      <w:r w:rsidRPr="00E00C4B">
        <w:rPr>
          <w:rFonts w:asciiTheme="majorHAnsi" w:hAnsiTheme="majorHAnsi" w:cstheme="majorHAnsi"/>
          <w:color w:val="000000" w:themeColor="text1"/>
          <w:lang w:val="en-US"/>
        </w:rPr>
        <w:t>Combined, all six BEST supported regions comprised 42 percent of all students while Non-BEST regions totaled 58 percent (Figure 16).</w:t>
      </w:r>
      <w:r w:rsidR="00D434EB">
        <w:rPr>
          <w:rFonts w:asciiTheme="majorHAnsi" w:eastAsiaTheme="minorHAnsi" w:hAnsiTheme="majorHAnsi" w:cstheme="majorHAnsi"/>
          <w:i/>
          <w:iCs/>
          <w:color w:val="44546A" w:themeColor="text2"/>
          <w:sz w:val="22"/>
          <w:szCs w:val="22"/>
          <w:lang w:val="en-US"/>
        </w:rPr>
        <w:t xml:space="preserve"> </w:t>
      </w:r>
      <w:r w:rsidRPr="00E00C4B">
        <w:rPr>
          <w:rFonts w:asciiTheme="majorHAnsi" w:eastAsiaTheme="minorHAnsi" w:hAnsiTheme="majorHAnsi" w:cstheme="majorHAnsi"/>
          <w:i/>
          <w:iCs/>
          <w:color w:val="44546A" w:themeColor="text2"/>
          <w:sz w:val="22"/>
          <w:szCs w:val="22"/>
          <w:lang w:val="en-US"/>
        </w:rPr>
        <w:t xml:space="preserve"> </w:t>
      </w:r>
      <w:bookmarkStart w:id="548" w:name="_Toc16524127"/>
    </w:p>
    <w:p w14:paraId="6DAC827F" w14:textId="13A728F4" w:rsidR="008D0CAD" w:rsidRPr="00E00C4B" w:rsidRDefault="008D0CAD" w:rsidP="00796BFA">
      <w:pPr>
        <w:pageBreakBefore/>
        <w:spacing w:before="100" w:beforeAutospacing="1" w:after="100" w:afterAutospacing="1" w:line="360" w:lineRule="auto"/>
        <w:ind w:hanging="11"/>
        <w:rPr>
          <w:rFonts w:asciiTheme="majorHAnsi" w:eastAsiaTheme="minorHAnsi" w:hAnsiTheme="majorHAnsi" w:cstheme="majorHAnsi"/>
          <w:i/>
          <w:iCs/>
          <w:color w:val="44546A" w:themeColor="text2"/>
          <w:sz w:val="22"/>
          <w:szCs w:val="22"/>
          <w:lang w:val="en-US"/>
        </w:rPr>
      </w:pPr>
      <w:bookmarkStart w:id="549" w:name="_Toc71616574"/>
      <w:r w:rsidRPr="00E00C4B">
        <w:rPr>
          <w:rFonts w:asciiTheme="majorHAnsi" w:eastAsiaTheme="minorHAnsi" w:hAnsiTheme="majorHAnsi" w:cstheme="majorHAnsi"/>
          <w:i/>
          <w:iCs/>
          <w:color w:val="44546A" w:themeColor="text2"/>
          <w:sz w:val="22"/>
          <w:szCs w:val="22"/>
          <w:lang w:val="en-US"/>
        </w:rPr>
        <w:t xml:space="preserve">Figure </w:t>
      </w:r>
      <w:r w:rsidRPr="00E00C4B">
        <w:rPr>
          <w:rFonts w:asciiTheme="majorHAnsi" w:eastAsiaTheme="minorHAnsi" w:hAnsiTheme="majorHAnsi" w:cstheme="majorHAnsi"/>
          <w:i/>
          <w:iCs/>
          <w:color w:val="44546A" w:themeColor="text2"/>
          <w:sz w:val="22"/>
          <w:szCs w:val="22"/>
          <w:lang w:val="en-US"/>
        </w:rPr>
        <w:fldChar w:fldCharType="begin"/>
      </w:r>
      <w:r w:rsidRPr="00E00C4B">
        <w:rPr>
          <w:rFonts w:asciiTheme="majorHAnsi" w:eastAsiaTheme="minorHAnsi" w:hAnsiTheme="majorHAnsi" w:cstheme="majorHAnsi"/>
          <w:i/>
          <w:iCs/>
          <w:color w:val="44546A" w:themeColor="text2"/>
          <w:sz w:val="22"/>
          <w:szCs w:val="22"/>
          <w:lang w:val="en-US"/>
        </w:rPr>
        <w:instrText xml:space="preserve"> SEQ Figure \* ARABIC </w:instrText>
      </w:r>
      <w:r w:rsidRPr="00E00C4B">
        <w:rPr>
          <w:rFonts w:asciiTheme="majorHAnsi" w:eastAsiaTheme="minorHAnsi" w:hAnsiTheme="majorHAnsi" w:cstheme="majorHAnsi"/>
          <w:i/>
          <w:iCs/>
          <w:color w:val="44546A" w:themeColor="text2"/>
          <w:sz w:val="22"/>
          <w:szCs w:val="22"/>
          <w:lang w:val="en-US"/>
        </w:rPr>
        <w:fldChar w:fldCharType="separate"/>
      </w:r>
      <w:r w:rsidR="00D6133D">
        <w:rPr>
          <w:rFonts w:asciiTheme="majorHAnsi" w:eastAsiaTheme="minorHAnsi" w:hAnsiTheme="majorHAnsi" w:cstheme="majorHAnsi"/>
          <w:i/>
          <w:iCs/>
          <w:noProof/>
          <w:color w:val="44546A" w:themeColor="text2"/>
          <w:sz w:val="22"/>
          <w:szCs w:val="22"/>
          <w:lang w:val="en-US"/>
        </w:rPr>
        <w:t>47</w:t>
      </w:r>
      <w:r w:rsidRPr="00E00C4B">
        <w:rPr>
          <w:rFonts w:asciiTheme="majorHAnsi" w:eastAsiaTheme="minorHAnsi" w:hAnsiTheme="majorHAnsi" w:cstheme="majorHAnsi"/>
          <w:i/>
          <w:iCs/>
          <w:color w:val="44546A" w:themeColor="text2"/>
          <w:sz w:val="22"/>
          <w:szCs w:val="22"/>
          <w:lang w:val="en-US"/>
        </w:rPr>
        <w:fldChar w:fldCharType="end"/>
      </w:r>
      <w:r w:rsidRPr="00E00C4B">
        <w:rPr>
          <w:rFonts w:asciiTheme="majorHAnsi" w:eastAsiaTheme="minorHAnsi" w:hAnsiTheme="majorHAnsi" w:cstheme="majorHAnsi"/>
          <w:i/>
          <w:iCs/>
          <w:color w:val="44546A" w:themeColor="text2"/>
          <w:sz w:val="22"/>
          <w:szCs w:val="22"/>
          <w:lang w:val="en-US"/>
        </w:rPr>
        <w:t>. Elementary Gross Enrolment Ratio by Region, SY2017-2018</w:t>
      </w:r>
      <w:bookmarkEnd w:id="548"/>
      <w:bookmarkEnd w:id="549"/>
    </w:p>
    <w:p w14:paraId="0E172A71" w14:textId="77777777" w:rsidR="008D0CAD" w:rsidRPr="00E00C4B" w:rsidRDefault="008D0CAD" w:rsidP="00796BFA">
      <w:pPr>
        <w:autoSpaceDE w:val="0"/>
        <w:autoSpaceDN w:val="0"/>
        <w:adjustRightInd w:val="0"/>
        <w:spacing w:before="100" w:beforeAutospacing="1" w:after="100" w:afterAutospacing="1" w:line="360" w:lineRule="auto"/>
        <w:rPr>
          <w:rFonts w:asciiTheme="majorHAnsi" w:hAnsiTheme="majorHAnsi" w:cstheme="majorHAnsi"/>
          <w:color w:val="C00000"/>
          <w:lang w:val="en-US"/>
        </w:rPr>
      </w:pPr>
      <w:r w:rsidRPr="00E00C4B">
        <w:rPr>
          <w:noProof/>
          <w:lang w:val="en-AU" w:eastAsia="en-AU"/>
        </w:rPr>
        <w:drawing>
          <wp:inline distT="0" distB="0" distL="0" distR="0" wp14:anchorId="709DC132" wp14:editId="5667DA23">
            <wp:extent cx="5215990" cy="2735179"/>
            <wp:effectExtent l="0" t="0" r="16510" b="8255"/>
            <wp:docPr id="102" name="Chart 102" descr="Bar graph of elementary gross enrolment ratio by region, for school year 2017-2018. Highest for Region IV-A, followed by Region III, then NCR. ">
              <a:extLst xmlns:a="http://schemas.openxmlformats.org/drawingml/2006/main">
                <a:ext uri="{FF2B5EF4-FFF2-40B4-BE49-F238E27FC236}">
                  <a16:creationId xmlns:a16="http://schemas.microsoft.com/office/drawing/2014/main" id="{6A367F51-0C51-4B49-8915-E8FB3B30A6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5A3CEB0F" w14:textId="39DB4CEF" w:rsidR="008D0CAD" w:rsidRPr="00796BFA" w:rsidRDefault="00D434EB" w:rsidP="00796BFA">
      <w:pPr>
        <w:spacing w:before="100" w:beforeAutospacing="1" w:after="100" w:afterAutospacing="1" w:line="360" w:lineRule="auto"/>
        <w:ind w:left="1440"/>
        <w:rPr>
          <w:rFonts w:asciiTheme="majorHAnsi" w:hAnsiTheme="majorHAnsi" w:cstheme="majorHAnsi"/>
          <w:bCs/>
          <w:i/>
          <w:iCs/>
          <w:sz w:val="20"/>
          <w:szCs w:val="20"/>
          <w:lang w:val="en-US"/>
        </w:rPr>
      </w:pPr>
      <w:r>
        <w:rPr>
          <w:rFonts w:asciiTheme="majorHAnsi" w:hAnsiTheme="majorHAnsi" w:cstheme="majorHAnsi"/>
          <w:bCs/>
          <w:i/>
          <w:iCs/>
          <w:sz w:val="20"/>
          <w:szCs w:val="20"/>
          <w:lang w:val="en-US"/>
        </w:rPr>
        <w:t xml:space="preserve">  </w:t>
      </w:r>
      <w:r w:rsidR="008D0CAD" w:rsidRPr="00E00C4B">
        <w:rPr>
          <w:rFonts w:asciiTheme="majorHAnsi" w:hAnsiTheme="majorHAnsi" w:cstheme="majorHAnsi"/>
          <w:bCs/>
          <w:i/>
          <w:iCs/>
          <w:sz w:val="20"/>
          <w:szCs w:val="20"/>
          <w:lang w:val="en-US"/>
        </w:rPr>
        <w:t>Source of basic data: EBEIS (Retrieved April 2019)</w:t>
      </w:r>
    </w:p>
    <w:p w14:paraId="6E128E9D" w14:textId="1D409415" w:rsidR="008D0CAD" w:rsidRPr="00E00C4B" w:rsidRDefault="008D0CAD" w:rsidP="00796BFA">
      <w:pPr>
        <w:spacing w:before="100" w:beforeAutospacing="1" w:after="100" w:afterAutospacing="1" w:line="360" w:lineRule="auto"/>
        <w:rPr>
          <w:rFonts w:asciiTheme="majorHAnsi" w:eastAsiaTheme="minorHAnsi" w:hAnsiTheme="majorHAnsi" w:cstheme="majorHAnsi"/>
          <w:i/>
          <w:iCs/>
          <w:color w:val="44546A" w:themeColor="text2"/>
          <w:sz w:val="22"/>
          <w:szCs w:val="22"/>
          <w:lang w:val="en-US"/>
        </w:rPr>
      </w:pPr>
      <w:bookmarkStart w:id="550" w:name="_Toc16524188"/>
      <w:bookmarkStart w:id="551" w:name="_Toc71616651"/>
      <w:r w:rsidRPr="00E00C4B">
        <w:rPr>
          <w:rFonts w:asciiTheme="majorHAnsi" w:eastAsiaTheme="minorHAnsi" w:hAnsiTheme="majorHAnsi" w:cstheme="majorHAnsi"/>
          <w:i/>
          <w:iCs/>
          <w:color w:val="44546A" w:themeColor="text2"/>
          <w:sz w:val="22"/>
          <w:szCs w:val="22"/>
          <w:lang w:val="en-US"/>
        </w:rPr>
        <w:t xml:space="preserve">Table </w:t>
      </w:r>
      <w:r w:rsidRPr="00E00C4B">
        <w:rPr>
          <w:rFonts w:asciiTheme="majorHAnsi" w:eastAsiaTheme="minorHAnsi" w:hAnsiTheme="majorHAnsi" w:cstheme="majorHAnsi"/>
          <w:i/>
          <w:iCs/>
          <w:color w:val="44546A" w:themeColor="text2"/>
          <w:sz w:val="22"/>
          <w:szCs w:val="22"/>
          <w:lang w:val="en-US"/>
        </w:rPr>
        <w:fldChar w:fldCharType="begin"/>
      </w:r>
      <w:r w:rsidRPr="00E00C4B">
        <w:rPr>
          <w:rFonts w:asciiTheme="majorHAnsi" w:eastAsiaTheme="minorHAnsi" w:hAnsiTheme="majorHAnsi" w:cstheme="majorHAnsi"/>
          <w:i/>
          <w:iCs/>
          <w:color w:val="44546A" w:themeColor="text2"/>
          <w:sz w:val="22"/>
          <w:szCs w:val="22"/>
          <w:lang w:val="en-US"/>
        </w:rPr>
        <w:instrText xml:space="preserve"> SEQ Table \* ARABIC </w:instrText>
      </w:r>
      <w:r w:rsidRPr="00E00C4B">
        <w:rPr>
          <w:rFonts w:asciiTheme="majorHAnsi" w:eastAsiaTheme="minorHAnsi" w:hAnsiTheme="majorHAnsi" w:cstheme="majorHAnsi"/>
          <w:i/>
          <w:iCs/>
          <w:color w:val="44546A" w:themeColor="text2"/>
          <w:sz w:val="22"/>
          <w:szCs w:val="22"/>
          <w:lang w:val="en-US"/>
        </w:rPr>
        <w:fldChar w:fldCharType="separate"/>
      </w:r>
      <w:r w:rsidR="00D6133D">
        <w:rPr>
          <w:rFonts w:asciiTheme="majorHAnsi" w:eastAsiaTheme="minorHAnsi" w:hAnsiTheme="majorHAnsi" w:cstheme="majorHAnsi"/>
          <w:i/>
          <w:iCs/>
          <w:noProof/>
          <w:color w:val="44546A" w:themeColor="text2"/>
          <w:sz w:val="22"/>
          <w:szCs w:val="22"/>
          <w:lang w:val="en-US"/>
        </w:rPr>
        <w:t>60</w:t>
      </w:r>
      <w:r w:rsidRPr="00E00C4B">
        <w:rPr>
          <w:rFonts w:asciiTheme="majorHAnsi" w:eastAsiaTheme="minorHAnsi" w:hAnsiTheme="majorHAnsi" w:cstheme="majorHAnsi"/>
          <w:i/>
          <w:iCs/>
          <w:color w:val="44546A" w:themeColor="text2"/>
          <w:sz w:val="22"/>
          <w:szCs w:val="22"/>
          <w:lang w:val="en-US"/>
        </w:rPr>
        <w:fldChar w:fldCharType="end"/>
      </w:r>
      <w:r w:rsidRPr="00E00C4B">
        <w:rPr>
          <w:rFonts w:asciiTheme="majorHAnsi" w:eastAsiaTheme="minorHAnsi" w:hAnsiTheme="majorHAnsi" w:cstheme="majorHAnsi"/>
          <w:i/>
          <w:iCs/>
          <w:color w:val="44546A" w:themeColor="text2"/>
          <w:sz w:val="22"/>
          <w:szCs w:val="22"/>
          <w:lang w:val="en-US"/>
        </w:rPr>
        <w:t xml:space="preserve">. </w:t>
      </w:r>
      <w:r w:rsidRPr="00E00C4B">
        <w:rPr>
          <w:rFonts w:asciiTheme="majorHAnsi" w:eastAsiaTheme="minorHAnsi" w:hAnsiTheme="majorHAnsi" w:cstheme="majorHAnsi"/>
          <w:bCs/>
          <w:i/>
          <w:iCs/>
          <w:color w:val="44546A" w:themeColor="text2"/>
          <w:sz w:val="22"/>
          <w:szCs w:val="22"/>
          <w:lang w:val="en-US"/>
        </w:rPr>
        <w:t>Gross Enrollment by Regions, SY2011-2012 to SY2017-2018</w:t>
      </w:r>
      <w:bookmarkEnd w:id="550"/>
      <w:bookmarkEnd w:id="551"/>
    </w:p>
    <w:tbl>
      <w:tblPr>
        <w:tblStyle w:val="TableGrid11"/>
        <w:tblW w:w="10149" w:type="dxa"/>
        <w:tblLook w:val="04A0" w:firstRow="1" w:lastRow="0" w:firstColumn="1" w:lastColumn="0" w:noHBand="0" w:noVBand="1"/>
      </w:tblPr>
      <w:tblGrid>
        <w:gridCol w:w="2680"/>
        <w:gridCol w:w="1067"/>
        <w:gridCol w:w="1067"/>
        <w:gridCol w:w="1067"/>
        <w:gridCol w:w="1067"/>
        <w:gridCol w:w="1067"/>
        <w:gridCol w:w="1067"/>
        <w:gridCol w:w="1067"/>
      </w:tblGrid>
      <w:tr w:rsidR="008D0CAD" w:rsidRPr="00E00C4B" w14:paraId="0FE58C5F" w14:textId="77777777" w:rsidTr="00F4751F">
        <w:trPr>
          <w:trHeight w:val="250"/>
          <w:tblHeader/>
        </w:trPr>
        <w:tc>
          <w:tcPr>
            <w:tcW w:w="2680" w:type="dxa"/>
            <w:noWrap/>
            <w:hideMark/>
          </w:tcPr>
          <w:p w14:paraId="58F61A04" w14:textId="77777777" w:rsidR="008D0CAD" w:rsidRPr="00E00C4B" w:rsidRDefault="008D0CAD" w:rsidP="00796BFA">
            <w:pPr>
              <w:spacing w:before="100" w:beforeAutospacing="1" w:after="100" w:afterAutospacing="1" w:line="360" w:lineRule="auto"/>
              <w:rPr>
                <w:rFonts w:ascii="Arial" w:hAnsi="Arial" w:cs="Arial"/>
                <w:b/>
                <w:sz w:val="20"/>
                <w:szCs w:val="20"/>
                <w:lang w:val="en-US"/>
              </w:rPr>
            </w:pPr>
            <w:r w:rsidRPr="00E00C4B">
              <w:rPr>
                <w:rFonts w:ascii="Arial" w:hAnsi="Arial" w:cs="Arial"/>
                <w:b/>
                <w:sz w:val="20"/>
                <w:szCs w:val="20"/>
                <w:lang w:val="en-US"/>
              </w:rPr>
              <w:t> </w:t>
            </w:r>
          </w:p>
        </w:tc>
        <w:tc>
          <w:tcPr>
            <w:tcW w:w="1067" w:type="dxa"/>
            <w:noWrap/>
            <w:hideMark/>
          </w:tcPr>
          <w:p w14:paraId="7450E464" w14:textId="77777777" w:rsidR="008D0CAD" w:rsidRPr="00E00C4B" w:rsidRDefault="008D0CAD" w:rsidP="00796BFA">
            <w:pPr>
              <w:spacing w:before="100" w:beforeAutospacing="1" w:after="100" w:afterAutospacing="1" w:line="360" w:lineRule="auto"/>
              <w:rPr>
                <w:rFonts w:ascii="Calibri Light" w:hAnsi="Calibri Light" w:cs="Calibri Light"/>
                <w:b/>
                <w:color w:val="000000"/>
                <w:sz w:val="16"/>
                <w:szCs w:val="16"/>
                <w:lang w:val="en-US"/>
              </w:rPr>
            </w:pPr>
            <w:r w:rsidRPr="00E00C4B">
              <w:rPr>
                <w:rFonts w:ascii="Calibri Light" w:hAnsi="Calibri Light" w:cs="Calibri Light"/>
                <w:b/>
                <w:color w:val="000000"/>
                <w:sz w:val="16"/>
                <w:szCs w:val="16"/>
                <w:lang w:val="en-US"/>
              </w:rPr>
              <w:t>SY2011 - 2012</w:t>
            </w:r>
          </w:p>
        </w:tc>
        <w:tc>
          <w:tcPr>
            <w:tcW w:w="1067" w:type="dxa"/>
            <w:noWrap/>
            <w:hideMark/>
          </w:tcPr>
          <w:p w14:paraId="5E56C178" w14:textId="77777777" w:rsidR="008D0CAD" w:rsidRPr="00E00C4B" w:rsidRDefault="008D0CAD" w:rsidP="00796BFA">
            <w:pPr>
              <w:spacing w:before="100" w:beforeAutospacing="1" w:after="100" w:afterAutospacing="1" w:line="360" w:lineRule="auto"/>
              <w:rPr>
                <w:rFonts w:ascii="Calibri Light" w:hAnsi="Calibri Light" w:cs="Calibri Light"/>
                <w:b/>
                <w:color w:val="000000"/>
                <w:sz w:val="16"/>
                <w:szCs w:val="16"/>
                <w:lang w:val="en-US"/>
              </w:rPr>
            </w:pPr>
            <w:r w:rsidRPr="00E00C4B">
              <w:rPr>
                <w:rFonts w:ascii="Calibri Light" w:hAnsi="Calibri Light" w:cs="Calibri Light"/>
                <w:b/>
                <w:color w:val="000000"/>
                <w:sz w:val="16"/>
                <w:szCs w:val="16"/>
                <w:lang w:val="en-US"/>
              </w:rPr>
              <w:t>SY2012 - 2013</w:t>
            </w:r>
          </w:p>
        </w:tc>
        <w:tc>
          <w:tcPr>
            <w:tcW w:w="1067" w:type="dxa"/>
            <w:noWrap/>
            <w:hideMark/>
          </w:tcPr>
          <w:p w14:paraId="4148FD39" w14:textId="77777777" w:rsidR="008D0CAD" w:rsidRPr="00E00C4B" w:rsidRDefault="008D0CAD" w:rsidP="00796BFA">
            <w:pPr>
              <w:spacing w:before="100" w:beforeAutospacing="1" w:after="100" w:afterAutospacing="1" w:line="360" w:lineRule="auto"/>
              <w:rPr>
                <w:rFonts w:ascii="Calibri Light" w:hAnsi="Calibri Light" w:cs="Calibri Light"/>
                <w:b/>
                <w:color w:val="000000"/>
                <w:sz w:val="16"/>
                <w:szCs w:val="16"/>
                <w:lang w:val="en-US"/>
              </w:rPr>
            </w:pPr>
            <w:r w:rsidRPr="00E00C4B">
              <w:rPr>
                <w:rFonts w:ascii="Calibri Light" w:hAnsi="Calibri Light" w:cs="Calibri Light"/>
                <w:b/>
                <w:color w:val="000000"/>
                <w:sz w:val="16"/>
                <w:szCs w:val="16"/>
                <w:lang w:val="en-US"/>
              </w:rPr>
              <w:t>SY2013 - 2014</w:t>
            </w:r>
          </w:p>
        </w:tc>
        <w:tc>
          <w:tcPr>
            <w:tcW w:w="1067" w:type="dxa"/>
            <w:noWrap/>
            <w:hideMark/>
          </w:tcPr>
          <w:p w14:paraId="28274B60" w14:textId="77777777" w:rsidR="008D0CAD" w:rsidRPr="00E00C4B" w:rsidRDefault="008D0CAD" w:rsidP="00796BFA">
            <w:pPr>
              <w:spacing w:before="100" w:beforeAutospacing="1" w:after="100" w:afterAutospacing="1" w:line="360" w:lineRule="auto"/>
              <w:rPr>
                <w:rFonts w:ascii="Calibri Light" w:hAnsi="Calibri Light" w:cs="Calibri Light"/>
                <w:b/>
                <w:color w:val="000000"/>
                <w:sz w:val="16"/>
                <w:szCs w:val="16"/>
                <w:lang w:val="en-US"/>
              </w:rPr>
            </w:pPr>
            <w:r w:rsidRPr="00E00C4B">
              <w:rPr>
                <w:rFonts w:ascii="Calibri Light" w:hAnsi="Calibri Light" w:cs="Calibri Light"/>
                <w:b/>
                <w:color w:val="000000"/>
                <w:sz w:val="16"/>
                <w:szCs w:val="16"/>
                <w:lang w:val="en-US"/>
              </w:rPr>
              <w:t>SY2014 - 2015</w:t>
            </w:r>
          </w:p>
        </w:tc>
        <w:tc>
          <w:tcPr>
            <w:tcW w:w="1067" w:type="dxa"/>
            <w:noWrap/>
            <w:hideMark/>
          </w:tcPr>
          <w:p w14:paraId="06836949" w14:textId="77777777" w:rsidR="008D0CAD" w:rsidRPr="00E00C4B" w:rsidRDefault="008D0CAD" w:rsidP="00796BFA">
            <w:pPr>
              <w:spacing w:before="100" w:beforeAutospacing="1" w:after="100" w:afterAutospacing="1" w:line="360" w:lineRule="auto"/>
              <w:rPr>
                <w:rFonts w:ascii="Calibri Light" w:hAnsi="Calibri Light" w:cs="Calibri Light"/>
                <w:b/>
                <w:color w:val="000000"/>
                <w:sz w:val="16"/>
                <w:szCs w:val="16"/>
                <w:lang w:val="en-US"/>
              </w:rPr>
            </w:pPr>
            <w:r w:rsidRPr="00E00C4B">
              <w:rPr>
                <w:rFonts w:ascii="Calibri Light" w:hAnsi="Calibri Light" w:cs="Calibri Light"/>
                <w:b/>
                <w:color w:val="000000"/>
                <w:sz w:val="16"/>
                <w:szCs w:val="16"/>
                <w:lang w:val="en-US"/>
              </w:rPr>
              <w:t>SY2015 - 2016</w:t>
            </w:r>
          </w:p>
        </w:tc>
        <w:tc>
          <w:tcPr>
            <w:tcW w:w="1067" w:type="dxa"/>
            <w:noWrap/>
            <w:hideMark/>
          </w:tcPr>
          <w:p w14:paraId="7A6ACCF7" w14:textId="77777777" w:rsidR="008D0CAD" w:rsidRPr="00E00C4B" w:rsidRDefault="008D0CAD" w:rsidP="00796BFA">
            <w:pPr>
              <w:spacing w:before="100" w:beforeAutospacing="1" w:after="100" w:afterAutospacing="1" w:line="360" w:lineRule="auto"/>
              <w:rPr>
                <w:rFonts w:ascii="Calibri Light" w:hAnsi="Calibri Light" w:cs="Calibri Light"/>
                <w:b/>
                <w:color w:val="000000"/>
                <w:sz w:val="16"/>
                <w:szCs w:val="16"/>
                <w:lang w:val="en-US"/>
              </w:rPr>
            </w:pPr>
            <w:r w:rsidRPr="00E00C4B">
              <w:rPr>
                <w:rFonts w:ascii="Calibri Light" w:hAnsi="Calibri Light" w:cs="Calibri Light"/>
                <w:b/>
                <w:color w:val="000000"/>
                <w:sz w:val="16"/>
                <w:szCs w:val="16"/>
                <w:lang w:val="en-US"/>
              </w:rPr>
              <w:t>SY2016 - 2017</w:t>
            </w:r>
          </w:p>
        </w:tc>
        <w:tc>
          <w:tcPr>
            <w:tcW w:w="1067" w:type="dxa"/>
            <w:noWrap/>
            <w:hideMark/>
          </w:tcPr>
          <w:p w14:paraId="6E460974" w14:textId="77777777" w:rsidR="008D0CAD" w:rsidRPr="00E00C4B" w:rsidRDefault="008D0CAD" w:rsidP="00796BFA">
            <w:pPr>
              <w:spacing w:before="100" w:beforeAutospacing="1" w:after="100" w:afterAutospacing="1" w:line="360" w:lineRule="auto"/>
              <w:rPr>
                <w:rFonts w:ascii="Calibri Light" w:hAnsi="Calibri Light" w:cs="Calibri Light"/>
                <w:b/>
                <w:color w:val="000000"/>
                <w:sz w:val="16"/>
                <w:szCs w:val="16"/>
                <w:lang w:val="en-US"/>
              </w:rPr>
            </w:pPr>
            <w:r w:rsidRPr="00E00C4B">
              <w:rPr>
                <w:rFonts w:ascii="Calibri Light" w:hAnsi="Calibri Light" w:cs="Calibri Light"/>
                <w:b/>
                <w:color w:val="000000"/>
                <w:sz w:val="16"/>
                <w:szCs w:val="16"/>
                <w:lang w:val="en-US"/>
              </w:rPr>
              <w:t>SY2017 - 2018</w:t>
            </w:r>
          </w:p>
        </w:tc>
      </w:tr>
      <w:tr w:rsidR="008D0CAD" w:rsidRPr="00E00C4B" w14:paraId="38D4259B" w14:textId="77777777" w:rsidTr="004351FE">
        <w:trPr>
          <w:trHeight w:val="250"/>
        </w:trPr>
        <w:tc>
          <w:tcPr>
            <w:tcW w:w="2680" w:type="dxa"/>
            <w:hideMark/>
          </w:tcPr>
          <w:p w14:paraId="7446DB45" w14:textId="77777777" w:rsidR="008D0CAD" w:rsidRPr="00E00C4B" w:rsidRDefault="008D0CAD" w:rsidP="00796BFA">
            <w:pPr>
              <w:spacing w:before="100" w:beforeAutospacing="1" w:after="100" w:afterAutospacing="1" w:line="360" w:lineRule="auto"/>
              <w:rPr>
                <w:rFonts w:ascii="Calibri Light" w:hAnsi="Calibri Light" w:cs="Calibri Light"/>
                <w:color w:val="000000"/>
                <w:sz w:val="16"/>
                <w:szCs w:val="16"/>
                <w:lang w:val="en-US"/>
              </w:rPr>
            </w:pPr>
            <w:r w:rsidRPr="00E00C4B">
              <w:rPr>
                <w:rFonts w:ascii="Calibri Light" w:hAnsi="Calibri Light" w:cs="Calibri Light"/>
                <w:color w:val="000000"/>
                <w:sz w:val="16"/>
                <w:szCs w:val="16"/>
                <w:lang w:val="en-US"/>
              </w:rPr>
              <w:t>Philippines</w:t>
            </w:r>
          </w:p>
        </w:tc>
        <w:tc>
          <w:tcPr>
            <w:tcW w:w="1067" w:type="dxa"/>
            <w:hideMark/>
          </w:tcPr>
          <w:p w14:paraId="5D56E033" w14:textId="77777777" w:rsidR="008D0CAD" w:rsidRPr="00E00C4B" w:rsidRDefault="008D0CAD" w:rsidP="00796BFA">
            <w:pPr>
              <w:spacing w:before="100" w:beforeAutospacing="1" w:after="100" w:afterAutospacing="1" w:line="360" w:lineRule="auto"/>
              <w:rPr>
                <w:rFonts w:ascii="Calibri Light" w:hAnsi="Calibri Light" w:cs="Calibri Light"/>
                <w:color w:val="000000"/>
                <w:sz w:val="16"/>
                <w:szCs w:val="16"/>
                <w:lang w:val="en-US"/>
              </w:rPr>
            </w:pPr>
            <w:r w:rsidRPr="00E00C4B">
              <w:rPr>
                <w:rFonts w:ascii="Calibri Light" w:hAnsi="Calibri Light" w:cs="Calibri Light"/>
                <w:color w:val="000000"/>
                <w:sz w:val="16"/>
                <w:szCs w:val="16"/>
                <w:lang w:val="en-US"/>
              </w:rPr>
              <w:t>11,114,685</w:t>
            </w:r>
          </w:p>
        </w:tc>
        <w:tc>
          <w:tcPr>
            <w:tcW w:w="1067" w:type="dxa"/>
            <w:hideMark/>
          </w:tcPr>
          <w:p w14:paraId="68E3E15C" w14:textId="77777777" w:rsidR="008D0CAD" w:rsidRPr="00E00C4B" w:rsidRDefault="008D0CAD" w:rsidP="00796BFA">
            <w:pPr>
              <w:spacing w:before="100" w:beforeAutospacing="1" w:after="100" w:afterAutospacing="1" w:line="360" w:lineRule="auto"/>
              <w:rPr>
                <w:rFonts w:ascii="Calibri Light" w:hAnsi="Calibri Light" w:cs="Calibri Light"/>
                <w:color w:val="000000"/>
                <w:sz w:val="16"/>
                <w:szCs w:val="16"/>
                <w:lang w:val="en-US"/>
              </w:rPr>
            </w:pPr>
            <w:r w:rsidRPr="00E00C4B">
              <w:rPr>
                <w:rFonts w:ascii="Calibri Light" w:hAnsi="Calibri Light" w:cs="Calibri Light"/>
                <w:color w:val="000000"/>
                <w:sz w:val="16"/>
                <w:szCs w:val="16"/>
                <w:lang w:val="en-US"/>
              </w:rPr>
              <w:t>11,046,415</w:t>
            </w:r>
          </w:p>
        </w:tc>
        <w:tc>
          <w:tcPr>
            <w:tcW w:w="1067" w:type="dxa"/>
            <w:hideMark/>
          </w:tcPr>
          <w:p w14:paraId="094988A7" w14:textId="77777777" w:rsidR="008D0CAD" w:rsidRPr="00E00C4B" w:rsidRDefault="008D0CAD" w:rsidP="00796BFA">
            <w:pPr>
              <w:spacing w:before="100" w:beforeAutospacing="1" w:after="100" w:afterAutospacing="1" w:line="360" w:lineRule="auto"/>
              <w:rPr>
                <w:rFonts w:ascii="Calibri Light" w:hAnsi="Calibri Light" w:cs="Calibri Light"/>
                <w:color w:val="000000"/>
                <w:sz w:val="16"/>
                <w:szCs w:val="16"/>
                <w:lang w:val="en-US"/>
              </w:rPr>
            </w:pPr>
            <w:r w:rsidRPr="00E00C4B">
              <w:rPr>
                <w:rFonts w:ascii="Calibri Light" w:hAnsi="Calibri Light" w:cs="Calibri Light"/>
                <w:color w:val="000000"/>
                <w:sz w:val="16"/>
                <w:szCs w:val="16"/>
                <w:lang w:val="en-US"/>
              </w:rPr>
              <w:t>11,114,063</w:t>
            </w:r>
          </w:p>
        </w:tc>
        <w:tc>
          <w:tcPr>
            <w:tcW w:w="1067" w:type="dxa"/>
            <w:hideMark/>
          </w:tcPr>
          <w:p w14:paraId="650C164E" w14:textId="77777777" w:rsidR="008D0CAD" w:rsidRPr="00E00C4B" w:rsidRDefault="008D0CAD" w:rsidP="00796BFA">
            <w:pPr>
              <w:spacing w:before="100" w:beforeAutospacing="1" w:after="100" w:afterAutospacing="1" w:line="360" w:lineRule="auto"/>
              <w:rPr>
                <w:rFonts w:ascii="Calibri Light" w:hAnsi="Calibri Light" w:cs="Calibri Light"/>
                <w:color w:val="000000"/>
                <w:sz w:val="16"/>
                <w:szCs w:val="16"/>
                <w:lang w:val="en-US"/>
              </w:rPr>
            </w:pPr>
            <w:r w:rsidRPr="00E00C4B">
              <w:rPr>
                <w:rFonts w:ascii="Calibri Light" w:hAnsi="Calibri Light" w:cs="Calibri Light"/>
                <w:color w:val="000000"/>
                <w:sz w:val="16"/>
                <w:szCs w:val="16"/>
                <w:lang w:val="en-US"/>
              </w:rPr>
              <w:t>11,179,698</w:t>
            </w:r>
          </w:p>
        </w:tc>
        <w:tc>
          <w:tcPr>
            <w:tcW w:w="1067" w:type="dxa"/>
            <w:hideMark/>
          </w:tcPr>
          <w:p w14:paraId="1BC08B8D" w14:textId="77777777" w:rsidR="008D0CAD" w:rsidRPr="00E00C4B" w:rsidRDefault="008D0CAD" w:rsidP="00796BFA">
            <w:pPr>
              <w:spacing w:before="100" w:beforeAutospacing="1" w:after="100" w:afterAutospacing="1" w:line="360" w:lineRule="auto"/>
              <w:rPr>
                <w:rFonts w:ascii="Calibri Light" w:hAnsi="Calibri Light" w:cs="Calibri Light"/>
                <w:color w:val="000000"/>
                <w:sz w:val="16"/>
                <w:szCs w:val="16"/>
                <w:lang w:val="en-US"/>
              </w:rPr>
            </w:pPr>
            <w:r w:rsidRPr="00E00C4B">
              <w:rPr>
                <w:rFonts w:ascii="Calibri Light" w:hAnsi="Calibri Light" w:cs="Calibri Light"/>
                <w:color w:val="000000"/>
                <w:sz w:val="16"/>
                <w:szCs w:val="16"/>
                <w:lang w:val="en-US"/>
              </w:rPr>
              <w:t>11,199,013</w:t>
            </w:r>
          </w:p>
        </w:tc>
        <w:tc>
          <w:tcPr>
            <w:tcW w:w="1067" w:type="dxa"/>
            <w:hideMark/>
          </w:tcPr>
          <w:p w14:paraId="44B65233" w14:textId="77777777" w:rsidR="008D0CAD" w:rsidRPr="00E00C4B" w:rsidRDefault="008D0CAD" w:rsidP="00796BFA">
            <w:pPr>
              <w:spacing w:before="100" w:beforeAutospacing="1" w:after="100" w:afterAutospacing="1" w:line="360" w:lineRule="auto"/>
              <w:rPr>
                <w:rFonts w:ascii="Calibri Light" w:hAnsi="Calibri Light" w:cs="Calibri Light"/>
                <w:color w:val="000000"/>
                <w:sz w:val="16"/>
                <w:szCs w:val="16"/>
                <w:lang w:val="en-US"/>
              </w:rPr>
            </w:pPr>
            <w:r w:rsidRPr="00E00C4B">
              <w:rPr>
                <w:rFonts w:ascii="Calibri Light" w:hAnsi="Calibri Light" w:cs="Calibri Light"/>
                <w:color w:val="000000"/>
                <w:sz w:val="16"/>
                <w:szCs w:val="16"/>
                <w:lang w:val="en-US"/>
              </w:rPr>
              <w:t>10,880,156</w:t>
            </w:r>
          </w:p>
        </w:tc>
        <w:tc>
          <w:tcPr>
            <w:tcW w:w="1067" w:type="dxa"/>
            <w:hideMark/>
          </w:tcPr>
          <w:p w14:paraId="217C4E4A" w14:textId="77777777" w:rsidR="008D0CAD" w:rsidRPr="00E00C4B" w:rsidRDefault="008D0CAD" w:rsidP="00796BFA">
            <w:pPr>
              <w:spacing w:before="100" w:beforeAutospacing="1" w:after="100" w:afterAutospacing="1" w:line="360" w:lineRule="auto"/>
              <w:rPr>
                <w:rFonts w:ascii="Calibri Light" w:hAnsi="Calibri Light" w:cs="Calibri Light"/>
                <w:color w:val="000000"/>
                <w:sz w:val="16"/>
                <w:szCs w:val="16"/>
                <w:lang w:val="en-US"/>
              </w:rPr>
            </w:pPr>
            <w:r w:rsidRPr="00E00C4B">
              <w:rPr>
                <w:rFonts w:ascii="Calibri Light" w:hAnsi="Calibri Light" w:cs="Calibri Light"/>
                <w:color w:val="000000"/>
                <w:sz w:val="16"/>
                <w:szCs w:val="16"/>
                <w:lang w:val="en-US"/>
              </w:rPr>
              <w:t>11,046,836</w:t>
            </w:r>
          </w:p>
        </w:tc>
      </w:tr>
      <w:tr w:rsidR="008D0CAD" w:rsidRPr="00E00C4B" w14:paraId="53F6AAE0" w14:textId="77777777" w:rsidTr="004351FE">
        <w:trPr>
          <w:trHeight w:val="250"/>
        </w:trPr>
        <w:tc>
          <w:tcPr>
            <w:tcW w:w="2680" w:type="dxa"/>
            <w:noWrap/>
            <w:hideMark/>
          </w:tcPr>
          <w:p w14:paraId="3DB3720B"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Region I - Ilocos Region</w:t>
            </w:r>
          </w:p>
        </w:tc>
        <w:tc>
          <w:tcPr>
            <w:tcW w:w="1067" w:type="dxa"/>
            <w:noWrap/>
            <w:hideMark/>
          </w:tcPr>
          <w:p w14:paraId="282AD575"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555,175</w:t>
            </w:r>
          </w:p>
        </w:tc>
        <w:tc>
          <w:tcPr>
            <w:tcW w:w="1067" w:type="dxa"/>
            <w:noWrap/>
            <w:hideMark/>
          </w:tcPr>
          <w:p w14:paraId="0E4BAB98"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553,529</w:t>
            </w:r>
          </w:p>
        </w:tc>
        <w:tc>
          <w:tcPr>
            <w:tcW w:w="1067" w:type="dxa"/>
            <w:noWrap/>
            <w:hideMark/>
          </w:tcPr>
          <w:p w14:paraId="0802A1A4"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557,350</w:t>
            </w:r>
          </w:p>
        </w:tc>
        <w:tc>
          <w:tcPr>
            <w:tcW w:w="1067" w:type="dxa"/>
            <w:noWrap/>
            <w:hideMark/>
          </w:tcPr>
          <w:p w14:paraId="67FFC5A0"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563,942</w:t>
            </w:r>
          </w:p>
        </w:tc>
        <w:tc>
          <w:tcPr>
            <w:tcW w:w="1067" w:type="dxa"/>
            <w:noWrap/>
            <w:hideMark/>
          </w:tcPr>
          <w:p w14:paraId="5A4D7C0A"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562,206</w:t>
            </w:r>
          </w:p>
        </w:tc>
        <w:tc>
          <w:tcPr>
            <w:tcW w:w="1067" w:type="dxa"/>
            <w:noWrap/>
            <w:hideMark/>
          </w:tcPr>
          <w:p w14:paraId="699C8191"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554,157</w:t>
            </w:r>
          </w:p>
        </w:tc>
        <w:tc>
          <w:tcPr>
            <w:tcW w:w="1067" w:type="dxa"/>
            <w:noWrap/>
            <w:hideMark/>
          </w:tcPr>
          <w:p w14:paraId="34239422"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546,048</w:t>
            </w:r>
          </w:p>
        </w:tc>
      </w:tr>
      <w:tr w:rsidR="008D0CAD" w:rsidRPr="00E00C4B" w14:paraId="6849D6C2" w14:textId="77777777" w:rsidTr="004351FE">
        <w:trPr>
          <w:trHeight w:val="250"/>
        </w:trPr>
        <w:tc>
          <w:tcPr>
            <w:tcW w:w="2680" w:type="dxa"/>
            <w:noWrap/>
            <w:hideMark/>
          </w:tcPr>
          <w:p w14:paraId="39063B00"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Region II - Cagayan Valley</w:t>
            </w:r>
          </w:p>
        </w:tc>
        <w:tc>
          <w:tcPr>
            <w:tcW w:w="1067" w:type="dxa"/>
            <w:noWrap/>
            <w:hideMark/>
          </w:tcPr>
          <w:p w14:paraId="3F1250DB"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374,053</w:t>
            </w:r>
          </w:p>
        </w:tc>
        <w:tc>
          <w:tcPr>
            <w:tcW w:w="1067" w:type="dxa"/>
            <w:noWrap/>
            <w:hideMark/>
          </w:tcPr>
          <w:p w14:paraId="3CB4C3F1"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378,994</w:t>
            </w:r>
          </w:p>
        </w:tc>
        <w:tc>
          <w:tcPr>
            <w:tcW w:w="1067" w:type="dxa"/>
            <w:noWrap/>
            <w:hideMark/>
          </w:tcPr>
          <w:p w14:paraId="7DCDBAFB"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386,047</w:t>
            </w:r>
          </w:p>
        </w:tc>
        <w:tc>
          <w:tcPr>
            <w:tcW w:w="1067" w:type="dxa"/>
            <w:noWrap/>
            <w:hideMark/>
          </w:tcPr>
          <w:p w14:paraId="588B257F"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390,359</w:t>
            </w:r>
          </w:p>
        </w:tc>
        <w:tc>
          <w:tcPr>
            <w:tcW w:w="1067" w:type="dxa"/>
            <w:noWrap/>
            <w:hideMark/>
          </w:tcPr>
          <w:p w14:paraId="6D2A4BC8"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395,850</w:t>
            </w:r>
          </w:p>
        </w:tc>
        <w:tc>
          <w:tcPr>
            <w:tcW w:w="1067" w:type="dxa"/>
            <w:noWrap/>
            <w:hideMark/>
          </w:tcPr>
          <w:p w14:paraId="0AAA1EE9"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392,968</w:t>
            </w:r>
          </w:p>
        </w:tc>
        <w:tc>
          <w:tcPr>
            <w:tcW w:w="1067" w:type="dxa"/>
            <w:noWrap/>
            <w:hideMark/>
          </w:tcPr>
          <w:p w14:paraId="3B708FCF"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392,913</w:t>
            </w:r>
          </w:p>
        </w:tc>
      </w:tr>
      <w:tr w:rsidR="008D0CAD" w:rsidRPr="00E00C4B" w14:paraId="1726D440" w14:textId="77777777" w:rsidTr="004351FE">
        <w:trPr>
          <w:trHeight w:val="250"/>
        </w:trPr>
        <w:tc>
          <w:tcPr>
            <w:tcW w:w="2680" w:type="dxa"/>
            <w:noWrap/>
            <w:hideMark/>
          </w:tcPr>
          <w:p w14:paraId="73C0B327"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Region III - Central Luzon</w:t>
            </w:r>
          </w:p>
        </w:tc>
        <w:tc>
          <w:tcPr>
            <w:tcW w:w="1067" w:type="dxa"/>
            <w:noWrap/>
            <w:hideMark/>
          </w:tcPr>
          <w:p w14:paraId="42A5E7D6"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1,144,712</w:t>
            </w:r>
          </w:p>
        </w:tc>
        <w:tc>
          <w:tcPr>
            <w:tcW w:w="1067" w:type="dxa"/>
            <w:noWrap/>
            <w:hideMark/>
          </w:tcPr>
          <w:p w14:paraId="71BBE291"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1,143,417</w:t>
            </w:r>
          </w:p>
        </w:tc>
        <w:tc>
          <w:tcPr>
            <w:tcW w:w="1067" w:type="dxa"/>
            <w:noWrap/>
            <w:hideMark/>
          </w:tcPr>
          <w:p w14:paraId="4FEFCF1C"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1,162,683</w:t>
            </w:r>
          </w:p>
        </w:tc>
        <w:tc>
          <w:tcPr>
            <w:tcW w:w="1067" w:type="dxa"/>
            <w:noWrap/>
            <w:hideMark/>
          </w:tcPr>
          <w:p w14:paraId="3DE93785"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1,179,641</w:t>
            </w:r>
          </w:p>
        </w:tc>
        <w:tc>
          <w:tcPr>
            <w:tcW w:w="1067" w:type="dxa"/>
            <w:noWrap/>
            <w:hideMark/>
          </w:tcPr>
          <w:p w14:paraId="3703B4B2"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1,187,431</w:t>
            </w:r>
          </w:p>
        </w:tc>
        <w:tc>
          <w:tcPr>
            <w:tcW w:w="1067" w:type="dxa"/>
            <w:noWrap/>
            <w:hideMark/>
          </w:tcPr>
          <w:p w14:paraId="2437E02A"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1,158,840</w:t>
            </w:r>
          </w:p>
        </w:tc>
        <w:tc>
          <w:tcPr>
            <w:tcW w:w="1067" w:type="dxa"/>
            <w:noWrap/>
            <w:hideMark/>
          </w:tcPr>
          <w:p w14:paraId="0E9F7A63"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1,171,784</w:t>
            </w:r>
          </w:p>
        </w:tc>
      </w:tr>
      <w:tr w:rsidR="008D0CAD" w:rsidRPr="00E00C4B" w14:paraId="4E29859E" w14:textId="77777777" w:rsidTr="004351FE">
        <w:trPr>
          <w:trHeight w:val="250"/>
        </w:trPr>
        <w:tc>
          <w:tcPr>
            <w:tcW w:w="2680" w:type="dxa"/>
            <w:noWrap/>
            <w:hideMark/>
          </w:tcPr>
          <w:p w14:paraId="47A95C23"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Region IV-A - CALABARZON</w:t>
            </w:r>
          </w:p>
        </w:tc>
        <w:tc>
          <w:tcPr>
            <w:tcW w:w="1067" w:type="dxa"/>
            <w:noWrap/>
            <w:hideMark/>
          </w:tcPr>
          <w:p w14:paraId="47409018"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1,342,246</w:t>
            </w:r>
          </w:p>
        </w:tc>
        <w:tc>
          <w:tcPr>
            <w:tcW w:w="1067" w:type="dxa"/>
            <w:noWrap/>
            <w:hideMark/>
          </w:tcPr>
          <w:p w14:paraId="12E4B958"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1,363,581</w:t>
            </w:r>
          </w:p>
        </w:tc>
        <w:tc>
          <w:tcPr>
            <w:tcW w:w="1067" w:type="dxa"/>
            <w:noWrap/>
            <w:hideMark/>
          </w:tcPr>
          <w:p w14:paraId="6BA72987"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1,368,281</w:t>
            </w:r>
          </w:p>
        </w:tc>
        <w:tc>
          <w:tcPr>
            <w:tcW w:w="1067" w:type="dxa"/>
            <w:noWrap/>
            <w:hideMark/>
          </w:tcPr>
          <w:p w14:paraId="06F1019A"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1,421,732</w:t>
            </w:r>
          </w:p>
        </w:tc>
        <w:tc>
          <w:tcPr>
            <w:tcW w:w="1067" w:type="dxa"/>
            <w:noWrap/>
            <w:hideMark/>
          </w:tcPr>
          <w:p w14:paraId="66D7379A"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1,443,137</w:t>
            </w:r>
          </w:p>
        </w:tc>
        <w:tc>
          <w:tcPr>
            <w:tcW w:w="1067" w:type="dxa"/>
            <w:noWrap/>
            <w:hideMark/>
          </w:tcPr>
          <w:p w14:paraId="697CF3CC"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1,434,302</w:t>
            </w:r>
          </w:p>
        </w:tc>
        <w:tc>
          <w:tcPr>
            <w:tcW w:w="1067" w:type="dxa"/>
            <w:noWrap/>
            <w:hideMark/>
          </w:tcPr>
          <w:p w14:paraId="79A1C5AD"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1,438,067</w:t>
            </w:r>
          </w:p>
        </w:tc>
      </w:tr>
      <w:tr w:rsidR="008D0CAD" w:rsidRPr="00E00C4B" w14:paraId="7A4224E8" w14:textId="77777777" w:rsidTr="004351FE">
        <w:trPr>
          <w:trHeight w:val="250"/>
        </w:trPr>
        <w:tc>
          <w:tcPr>
            <w:tcW w:w="2680" w:type="dxa"/>
            <w:noWrap/>
            <w:hideMark/>
          </w:tcPr>
          <w:p w14:paraId="29F7DD56"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Region IV-B - MIMAROPA</w:t>
            </w:r>
          </w:p>
        </w:tc>
        <w:tc>
          <w:tcPr>
            <w:tcW w:w="1067" w:type="dxa"/>
            <w:noWrap/>
            <w:hideMark/>
          </w:tcPr>
          <w:p w14:paraId="24F2E50A"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392,010</w:t>
            </w:r>
          </w:p>
        </w:tc>
        <w:tc>
          <w:tcPr>
            <w:tcW w:w="1067" w:type="dxa"/>
            <w:noWrap/>
            <w:hideMark/>
          </w:tcPr>
          <w:p w14:paraId="15497E56"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389,230</w:t>
            </w:r>
          </w:p>
        </w:tc>
        <w:tc>
          <w:tcPr>
            <w:tcW w:w="1067" w:type="dxa"/>
            <w:noWrap/>
            <w:hideMark/>
          </w:tcPr>
          <w:p w14:paraId="3F806A94"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388,460</w:t>
            </w:r>
          </w:p>
        </w:tc>
        <w:tc>
          <w:tcPr>
            <w:tcW w:w="1067" w:type="dxa"/>
            <w:noWrap/>
            <w:hideMark/>
          </w:tcPr>
          <w:p w14:paraId="3C859897"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390,215</w:t>
            </w:r>
          </w:p>
        </w:tc>
        <w:tc>
          <w:tcPr>
            <w:tcW w:w="1067" w:type="dxa"/>
            <w:noWrap/>
            <w:hideMark/>
          </w:tcPr>
          <w:p w14:paraId="6C3BB71D"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393,414</w:t>
            </w:r>
          </w:p>
        </w:tc>
        <w:tc>
          <w:tcPr>
            <w:tcW w:w="1067" w:type="dxa"/>
            <w:noWrap/>
            <w:hideMark/>
          </w:tcPr>
          <w:p w14:paraId="49ECC0B5"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342,888</w:t>
            </w:r>
          </w:p>
        </w:tc>
        <w:tc>
          <w:tcPr>
            <w:tcW w:w="1067" w:type="dxa"/>
            <w:noWrap/>
            <w:hideMark/>
          </w:tcPr>
          <w:p w14:paraId="1AA9AC42"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391,713</w:t>
            </w:r>
          </w:p>
        </w:tc>
      </w:tr>
      <w:tr w:rsidR="008D0CAD" w:rsidRPr="00E00C4B" w14:paraId="4B077C03" w14:textId="77777777" w:rsidTr="004351FE">
        <w:trPr>
          <w:trHeight w:val="250"/>
        </w:trPr>
        <w:tc>
          <w:tcPr>
            <w:tcW w:w="2680" w:type="dxa"/>
            <w:noWrap/>
            <w:hideMark/>
          </w:tcPr>
          <w:p w14:paraId="568EDCAE"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Region V - Bicol Region</w:t>
            </w:r>
          </w:p>
        </w:tc>
        <w:tc>
          <w:tcPr>
            <w:tcW w:w="1067" w:type="dxa"/>
            <w:noWrap/>
            <w:hideMark/>
          </w:tcPr>
          <w:p w14:paraId="41B4D78D"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811,673</w:t>
            </w:r>
          </w:p>
        </w:tc>
        <w:tc>
          <w:tcPr>
            <w:tcW w:w="1067" w:type="dxa"/>
            <w:noWrap/>
            <w:hideMark/>
          </w:tcPr>
          <w:p w14:paraId="51BE1BFB"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806,796</w:t>
            </w:r>
          </w:p>
        </w:tc>
        <w:tc>
          <w:tcPr>
            <w:tcW w:w="1067" w:type="dxa"/>
            <w:noWrap/>
            <w:hideMark/>
          </w:tcPr>
          <w:p w14:paraId="05444B46"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807,851</w:t>
            </w:r>
          </w:p>
        </w:tc>
        <w:tc>
          <w:tcPr>
            <w:tcW w:w="1067" w:type="dxa"/>
            <w:noWrap/>
            <w:hideMark/>
          </w:tcPr>
          <w:p w14:paraId="28085CCD"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803,617</w:t>
            </w:r>
          </w:p>
        </w:tc>
        <w:tc>
          <w:tcPr>
            <w:tcW w:w="1067" w:type="dxa"/>
            <w:noWrap/>
            <w:hideMark/>
          </w:tcPr>
          <w:p w14:paraId="63DCE9EE"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789,243</w:t>
            </w:r>
          </w:p>
        </w:tc>
        <w:tc>
          <w:tcPr>
            <w:tcW w:w="1067" w:type="dxa"/>
            <w:noWrap/>
            <w:hideMark/>
          </w:tcPr>
          <w:p w14:paraId="2D0737EA"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766,227</w:t>
            </w:r>
          </w:p>
        </w:tc>
        <w:tc>
          <w:tcPr>
            <w:tcW w:w="1067" w:type="dxa"/>
            <w:noWrap/>
            <w:hideMark/>
          </w:tcPr>
          <w:p w14:paraId="08F8C76E"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771,356</w:t>
            </w:r>
          </w:p>
        </w:tc>
      </w:tr>
      <w:tr w:rsidR="008D0CAD" w:rsidRPr="00E00C4B" w14:paraId="32C533DC" w14:textId="77777777" w:rsidTr="004351FE">
        <w:trPr>
          <w:trHeight w:val="250"/>
        </w:trPr>
        <w:tc>
          <w:tcPr>
            <w:tcW w:w="2680" w:type="dxa"/>
            <w:noWrap/>
            <w:hideMark/>
          </w:tcPr>
          <w:p w14:paraId="792D49A4"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Region VI - Western Visayas</w:t>
            </w:r>
          </w:p>
        </w:tc>
        <w:tc>
          <w:tcPr>
            <w:tcW w:w="1067" w:type="dxa"/>
            <w:noWrap/>
            <w:hideMark/>
          </w:tcPr>
          <w:p w14:paraId="596F0E84"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838,081</w:t>
            </w:r>
          </w:p>
        </w:tc>
        <w:tc>
          <w:tcPr>
            <w:tcW w:w="1067" w:type="dxa"/>
            <w:noWrap/>
            <w:hideMark/>
          </w:tcPr>
          <w:p w14:paraId="148CB433"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843,694</w:t>
            </w:r>
          </w:p>
        </w:tc>
        <w:tc>
          <w:tcPr>
            <w:tcW w:w="1067" w:type="dxa"/>
            <w:noWrap/>
            <w:hideMark/>
          </w:tcPr>
          <w:p w14:paraId="74E9BE9F"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858,341</w:t>
            </w:r>
          </w:p>
        </w:tc>
        <w:tc>
          <w:tcPr>
            <w:tcW w:w="1067" w:type="dxa"/>
            <w:noWrap/>
            <w:hideMark/>
          </w:tcPr>
          <w:p w14:paraId="4642DF82"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867,868</w:t>
            </w:r>
          </w:p>
        </w:tc>
        <w:tc>
          <w:tcPr>
            <w:tcW w:w="1067" w:type="dxa"/>
            <w:noWrap/>
            <w:hideMark/>
          </w:tcPr>
          <w:p w14:paraId="0E8560E9"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874,593</w:t>
            </w:r>
          </w:p>
        </w:tc>
        <w:tc>
          <w:tcPr>
            <w:tcW w:w="1067" w:type="dxa"/>
            <w:noWrap/>
            <w:hideMark/>
          </w:tcPr>
          <w:p w14:paraId="2DE38697"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501,711</w:t>
            </w:r>
          </w:p>
        </w:tc>
        <w:tc>
          <w:tcPr>
            <w:tcW w:w="1067" w:type="dxa"/>
            <w:noWrap/>
            <w:hideMark/>
          </w:tcPr>
          <w:p w14:paraId="0CAF0E53"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862,879</w:t>
            </w:r>
          </w:p>
        </w:tc>
      </w:tr>
      <w:tr w:rsidR="008D0CAD" w:rsidRPr="00E00C4B" w14:paraId="3F001234" w14:textId="77777777" w:rsidTr="004351FE">
        <w:trPr>
          <w:trHeight w:val="250"/>
        </w:trPr>
        <w:tc>
          <w:tcPr>
            <w:tcW w:w="2680" w:type="dxa"/>
            <w:noWrap/>
            <w:hideMark/>
          </w:tcPr>
          <w:p w14:paraId="5263511E"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Region VII - Central Visayas</w:t>
            </w:r>
          </w:p>
        </w:tc>
        <w:tc>
          <w:tcPr>
            <w:tcW w:w="1067" w:type="dxa"/>
            <w:noWrap/>
            <w:hideMark/>
          </w:tcPr>
          <w:p w14:paraId="472BCFB4"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830,620</w:t>
            </w:r>
          </w:p>
        </w:tc>
        <w:tc>
          <w:tcPr>
            <w:tcW w:w="1067" w:type="dxa"/>
            <w:noWrap/>
            <w:hideMark/>
          </w:tcPr>
          <w:p w14:paraId="76CC0421"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843,004</w:t>
            </w:r>
          </w:p>
        </w:tc>
        <w:tc>
          <w:tcPr>
            <w:tcW w:w="1067" w:type="dxa"/>
            <w:noWrap/>
            <w:hideMark/>
          </w:tcPr>
          <w:p w14:paraId="0BC75ABB"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856,851</w:t>
            </w:r>
          </w:p>
        </w:tc>
        <w:tc>
          <w:tcPr>
            <w:tcW w:w="1067" w:type="dxa"/>
            <w:noWrap/>
            <w:hideMark/>
          </w:tcPr>
          <w:p w14:paraId="79F06B68"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867,864</w:t>
            </w:r>
          </w:p>
        </w:tc>
        <w:tc>
          <w:tcPr>
            <w:tcW w:w="1067" w:type="dxa"/>
            <w:noWrap/>
            <w:hideMark/>
          </w:tcPr>
          <w:p w14:paraId="17556CD2"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874,823</w:t>
            </w:r>
          </w:p>
        </w:tc>
        <w:tc>
          <w:tcPr>
            <w:tcW w:w="1067" w:type="dxa"/>
            <w:noWrap/>
            <w:hideMark/>
          </w:tcPr>
          <w:p w14:paraId="433C6777"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677,526</w:t>
            </w:r>
          </w:p>
        </w:tc>
        <w:tc>
          <w:tcPr>
            <w:tcW w:w="1067" w:type="dxa"/>
            <w:noWrap/>
            <w:hideMark/>
          </w:tcPr>
          <w:p w14:paraId="7F5A1C64"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850,522</w:t>
            </w:r>
          </w:p>
        </w:tc>
      </w:tr>
      <w:tr w:rsidR="008D0CAD" w:rsidRPr="00E00C4B" w14:paraId="44BEBFF6" w14:textId="77777777" w:rsidTr="004351FE">
        <w:trPr>
          <w:trHeight w:val="250"/>
        </w:trPr>
        <w:tc>
          <w:tcPr>
            <w:tcW w:w="2680" w:type="dxa"/>
            <w:noWrap/>
            <w:hideMark/>
          </w:tcPr>
          <w:p w14:paraId="00C721B2"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Region VIII - Eastern Visayas</w:t>
            </w:r>
          </w:p>
        </w:tc>
        <w:tc>
          <w:tcPr>
            <w:tcW w:w="1067" w:type="dxa"/>
            <w:noWrap/>
            <w:hideMark/>
          </w:tcPr>
          <w:p w14:paraId="7264641B"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578,114</w:t>
            </w:r>
          </w:p>
        </w:tc>
        <w:tc>
          <w:tcPr>
            <w:tcW w:w="1067" w:type="dxa"/>
            <w:noWrap/>
            <w:hideMark/>
          </w:tcPr>
          <w:p w14:paraId="106153BA"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574,065</w:t>
            </w:r>
          </w:p>
        </w:tc>
        <w:tc>
          <w:tcPr>
            <w:tcW w:w="1067" w:type="dxa"/>
            <w:noWrap/>
            <w:hideMark/>
          </w:tcPr>
          <w:p w14:paraId="00D5C597"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570,277</w:t>
            </w:r>
          </w:p>
        </w:tc>
        <w:tc>
          <w:tcPr>
            <w:tcW w:w="1067" w:type="dxa"/>
            <w:noWrap/>
            <w:hideMark/>
          </w:tcPr>
          <w:p w14:paraId="2409DC1E"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571,770</w:t>
            </w:r>
          </w:p>
        </w:tc>
        <w:tc>
          <w:tcPr>
            <w:tcW w:w="1067" w:type="dxa"/>
            <w:noWrap/>
            <w:hideMark/>
          </w:tcPr>
          <w:p w14:paraId="294E2F76"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564,911</w:t>
            </w:r>
          </w:p>
        </w:tc>
        <w:tc>
          <w:tcPr>
            <w:tcW w:w="1067" w:type="dxa"/>
            <w:noWrap/>
            <w:hideMark/>
          </w:tcPr>
          <w:p w14:paraId="377F8890"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551,404</w:t>
            </w:r>
          </w:p>
        </w:tc>
        <w:tc>
          <w:tcPr>
            <w:tcW w:w="1067" w:type="dxa"/>
            <w:noWrap/>
            <w:hideMark/>
          </w:tcPr>
          <w:p w14:paraId="32A6D178"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555,942</w:t>
            </w:r>
          </w:p>
        </w:tc>
      </w:tr>
      <w:tr w:rsidR="008D0CAD" w:rsidRPr="00E00C4B" w14:paraId="4867B10F" w14:textId="77777777" w:rsidTr="004351FE">
        <w:trPr>
          <w:trHeight w:val="250"/>
        </w:trPr>
        <w:tc>
          <w:tcPr>
            <w:tcW w:w="2680" w:type="dxa"/>
            <w:noWrap/>
            <w:hideMark/>
          </w:tcPr>
          <w:p w14:paraId="64D71243"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Region IX - Zamboanga Peninsula</w:t>
            </w:r>
          </w:p>
        </w:tc>
        <w:tc>
          <w:tcPr>
            <w:tcW w:w="1067" w:type="dxa"/>
            <w:noWrap/>
            <w:hideMark/>
          </w:tcPr>
          <w:p w14:paraId="29E482A3"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467,266</w:t>
            </w:r>
          </w:p>
        </w:tc>
        <w:tc>
          <w:tcPr>
            <w:tcW w:w="1067" w:type="dxa"/>
            <w:noWrap/>
            <w:hideMark/>
          </w:tcPr>
          <w:p w14:paraId="3E746914"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460,081</w:t>
            </w:r>
          </w:p>
        </w:tc>
        <w:tc>
          <w:tcPr>
            <w:tcW w:w="1067" w:type="dxa"/>
            <w:noWrap/>
            <w:hideMark/>
          </w:tcPr>
          <w:p w14:paraId="12EFF125"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447,526</w:t>
            </w:r>
          </w:p>
        </w:tc>
        <w:tc>
          <w:tcPr>
            <w:tcW w:w="1067" w:type="dxa"/>
            <w:noWrap/>
            <w:hideMark/>
          </w:tcPr>
          <w:p w14:paraId="1A02D9DB"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463,369</w:t>
            </w:r>
          </w:p>
        </w:tc>
        <w:tc>
          <w:tcPr>
            <w:tcW w:w="1067" w:type="dxa"/>
            <w:noWrap/>
            <w:hideMark/>
          </w:tcPr>
          <w:p w14:paraId="7A6C6FFC"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460,582</w:t>
            </w:r>
          </w:p>
        </w:tc>
        <w:tc>
          <w:tcPr>
            <w:tcW w:w="1067" w:type="dxa"/>
            <w:noWrap/>
            <w:hideMark/>
          </w:tcPr>
          <w:p w14:paraId="2D11170D"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453,971</w:t>
            </w:r>
          </w:p>
        </w:tc>
        <w:tc>
          <w:tcPr>
            <w:tcW w:w="1067" w:type="dxa"/>
            <w:noWrap/>
            <w:hideMark/>
          </w:tcPr>
          <w:p w14:paraId="03AE14FC"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450,456</w:t>
            </w:r>
          </w:p>
        </w:tc>
      </w:tr>
      <w:tr w:rsidR="008D0CAD" w:rsidRPr="00E00C4B" w14:paraId="21958ACF" w14:textId="77777777" w:rsidTr="004351FE">
        <w:trPr>
          <w:trHeight w:val="250"/>
        </w:trPr>
        <w:tc>
          <w:tcPr>
            <w:tcW w:w="2680" w:type="dxa"/>
            <w:noWrap/>
            <w:hideMark/>
          </w:tcPr>
          <w:p w14:paraId="4D00580D"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Region X - Northern Mindanao</w:t>
            </w:r>
          </w:p>
        </w:tc>
        <w:tc>
          <w:tcPr>
            <w:tcW w:w="1067" w:type="dxa"/>
            <w:noWrap/>
            <w:hideMark/>
          </w:tcPr>
          <w:p w14:paraId="213ECF21"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538,838</w:t>
            </w:r>
          </w:p>
        </w:tc>
        <w:tc>
          <w:tcPr>
            <w:tcW w:w="1067" w:type="dxa"/>
            <w:noWrap/>
            <w:hideMark/>
          </w:tcPr>
          <w:p w14:paraId="019CE7C1"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538,261</w:t>
            </w:r>
          </w:p>
        </w:tc>
        <w:tc>
          <w:tcPr>
            <w:tcW w:w="1067" w:type="dxa"/>
            <w:noWrap/>
            <w:hideMark/>
          </w:tcPr>
          <w:p w14:paraId="7B738484"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542,902</w:t>
            </w:r>
          </w:p>
        </w:tc>
        <w:tc>
          <w:tcPr>
            <w:tcW w:w="1067" w:type="dxa"/>
            <w:noWrap/>
            <w:hideMark/>
          </w:tcPr>
          <w:p w14:paraId="19AFBF02"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546,850</w:t>
            </w:r>
          </w:p>
        </w:tc>
        <w:tc>
          <w:tcPr>
            <w:tcW w:w="1067" w:type="dxa"/>
            <w:noWrap/>
            <w:hideMark/>
          </w:tcPr>
          <w:p w14:paraId="063F62E8"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554,661</w:t>
            </w:r>
          </w:p>
        </w:tc>
        <w:tc>
          <w:tcPr>
            <w:tcW w:w="1067" w:type="dxa"/>
            <w:noWrap/>
            <w:hideMark/>
          </w:tcPr>
          <w:p w14:paraId="48C21414"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560,609</w:t>
            </w:r>
          </w:p>
        </w:tc>
        <w:tc>
          <w:tcPr>
            <w:tcW w:w="1067" w:type="dxa"/>
            <w:noWrap/>
            <w:hideMark/>
          </w:tcPr>
          <w:p w14:paraId="58892D23"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559,706</w:t>
            </w:r>
          </w:p>
        </w:tc>
      </w:tr>
      <w:tr w:rsidR="008D0CAD" w:rsidRPr="00E00C4B" w14:paraId="1375F5AF" w14:textId="77777777" w:rsidTr="004351FE">
        <w:trPr>
          <w:trHeight w:val="250"/>
        </w:trPr>
        <w:tc>
          <w:tcPr>
            <w:tcW w:w="2680" w:type="dxa"/>
            <w:noWrap/>
            <w:hideMark/>
          </w:tcPr>
          <w:p w14:paraId="00FADAAE"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Region XI - Davao Region</w:t>
            </w:r>
          </w:p>
        </w:tc>
        <w:tc>
          <w:tcPr>
            <w:tcW w:w="1067" w:type="dxa"/>
            <w:noWrap/>
            <w:hideMark/>
          </w:tcPr>
          <w:p w14:paraId="32A3F085"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554,780</w:t>
            </w:r>
          </w:p>
        </w:tc>
        <w:tc>
          <w:tcPr>
            <w:tcW w:w="1067" w:type="dxa"/>
            <w:noWrap/>
            <w:hideMark/>
          </w:tcPr>
          <w:p w14:paraId="564EF7B5"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548,336</w:t>
            </w:r>
          </w:p>
        </w:tc>
        <w:tc>
          <w:tcPr>
            <w:tcW w:w="1067" w:type="dxa"/>
            <w:noWrap/>
            <w:hideMark/>
          </w:tcPr>
          <w:p w14:paraId="2E81B47B"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562,254</w:t>
            </w:r>
          </w:p>
        </w:tc>
        <w:tc>
          <w:tcPr>
            <w:tcW w:w="1067" w:type="dxa"/>
            <w:noWrap/>
            <w:hideMark/>
          </w:tcPr>
          <w:p w14:paraId="40F5AD0C"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561,402</w:t>
            </w:r>
          </w:p>
        </w:tc>
        <w:tc>
          <w:tcPr>
            <w:tcW w:w="1067" w:type="dxa"/>
            <w:noWrap/>
            <w:hideMark/>
          </w:tcPr>
          <w:p w14:paraId="2BFC8173"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573,337</w:t>
            </w:r>
          </w:p>
        </w:tc>
        <w:tc>
          <w:tcPr>
            <w:tcW w:w="1067" w:type="dxa"/>
            <w:noWrap/>
            <w:hideMark/>
          </w:tcPr>
          <w:p w14:paraId="10FED553"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575,019</w:t>
            </w:r>
          </w:p>
        </w:tc>
        <w:tc>
          <w:tcPr>
            <w:tcW w:w="1067" w:type="dxa"/>
            <w:noWrap/>
            <w:hideMark/>
          </w:tcPr>
          <w:p w14:paraId="1B4A7BA4"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568,888</w:t>
            </w:r>
          </w:p>
        </w:tc>
      </w:tr>
      <w:tr w:rsidR="008D0CAD" w:rsidRPr="00E00C4B" w14:paraId="43EB29B9" w14:textId="77777777" w:rsidTr="004351FE">
        <w:trPr>
          <w:trHeight w:val="250"/>
        </w:trPr>
        <w:tc>
          <w:tcPr>
            <w:tcW w:w="2680" w:type="dxa"/>
            <w:noWrap/>
            <w:hideMark/>
          </w:tcPr>
          <w:p w14:paraId="2F5EE968"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Region XII - Soccsksargen</w:t>
            </w:r>
          </w:p>
        </w:tc>
        <w:tc>
          <w:tcPr>
            <w:tcW w:w="1067" w:type="dxa"/>
            <w:noWrap/>
            <w:hideMark/>
          </w:tcPr>
          <w:p w14:paraId="672D0269"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505,307</w:t>
            </w:r>
          </w:p>
        </w:tc>
        <w:tc>
          <w:tcPr>
            <w:tcW w:w="1067" w:type="dxa"/>
            <w:noWrap/>
            <w:hideMark/>
          </w:tcPr>
          <w:p w14:paraId="44C268DC"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503,561</w:t>
            </w:r>
          </w:p>
        </w:tc>
        <w:tc>
          <w:tcPr>
            <w:tcW w:w="1067" w:type="dxa"/>
            <w:noWrap/>
            <w:hideMark/>
          </w:tcPr>
          <w:p w14:paraId="713D9D48"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509,063</w:t>
            </w:r>
          </w:p>
        </w:tc>
        <w:tc>
          <w:tcPr>
            <w:tcW w:w="1067" w:type="dxa"/>
            <w:noWrap/>
            <w:hideMark/>
          </w:tcPr>
          <w:p w14:paraId="63C7B96E"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526,887</w:t>
            </w:r>
          </w:p>
        </w:tc>
        <w:tc>
          <w:tcPr>
            <w:tcW w:w="1067" w:type="dxa"/>
            <w:noWrap/>
            <w:hideMark/>
          </w:tcPr>
          <w:p w14:paraId="0021AEEB"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535,678</w:t>
            </w:r>
          </w:p>
        </w:tc>
        <w:tc>
          <w:tcPr>
            <w:tcW w:w="1067" w:type="dxa"/>
            <w:noWrap/>
            <w:hideMark/>
          </w:tcPr>
          <w:p w14:paraId="27402DD0"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538,168</w:t>
            </w:r>
          </w:p>
        </w:tc>
        <w:tc>
          <w:tcPr>
            <w:tcW w:w="1067" w:type="dxa"/>
            <w:noWrap/>
            <w:hideMark/>
          </w:tcPr>
          <w:p w14:paraId="642A4021"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538,242</w:t>
            </w:r>
          </w:p>
        </w:tc>
      </w:tr>
      <w:tr w:rsidR="008D0CAD" w:rsidRPr="00E00C4B" w14:paraId="5F98ACE1" w14:textId="77777777" w:rsidTr="004351FE">
        <w:trPr>
          <w:trHeight w:val="250"/>
        </w:trPr>
        <w:tc>
          <w:tcPr>
            <w:tcW w:w="2680" w:type="dxa"/>
            <w:noWrap/>
            <w:hideMark/>
          </w:tcPr>
          <w:p w14:paraId="2FAC8216"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CARAGA - CARAGA</w:t>
            </w:r>
          </w:p>
        </w:tc>
        <w:tc>
          <w:tcPr>
            <w:tcW w:w="1067" w:type="dxa"/>
            <w:noWrap/>
            <w:hideMark/>
          </w:tcPr>
          <w:p w14:paraId="080764B5"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326,138</w:t>
            </w:r>
          </w:p>
        </w:tc>
        <w:tc>
          <w:tcPr>
            <w:tcW w:w="1067" w:type="dxa"/>
            <w:noWrap/>
            <w:hideMark/>
          </w:tcPr>
          <w:p w14:paraId="1EAF17A6"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326,110</w:t>
            </w:r>
          </w:p>
        </w:tc>
        <w:tc>
          <w:tcPr>
            <w:tcW w:w="1067" w:type="dxa"/>
            <w:noWrap/>
            <w:hideMark/>
          </w:tcPr>
          <w:p w14:paraId="3E2AEF01"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331,586</w:t>
            </w:r>
          </w:p>
        </w:tc>
        <w:tc>
          <w:tcPr>
            <w:tcW w:w="1067" w:type="dxa"/>
            <w:noWrap/>
            <w:hideMark/>
          </w:tcPr>
          <w:p w14:paraId="101FDFF2"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336,852</w:t>
            </w:r>
          </w:p>
        </w:tc>
        <w:tc>
          <w:tcPr>
            <w:tcW w:w="1067" w:type="dxa"/>
            <w:noWrap/>
            <w:hideMark/>
          </w:tcPr>
          <w:p w14:paraId="31DEED94"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340,096</w:t>
            </w:r>
          </w:p>
        </w:tc>
        <w:tc>
          <w:tcPr>
            <w:tcW w:w="1067" w:type="dxa"/>
            <w:noWrap/>
            <w:hideMark/>
          </w:tcPr>
          <w:p w14:paraId="504D161D"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331,008</w:t>
            </w:r>
          </w:p>
        </w:tc>
        <w:tc>
          <w:tcPr>
            <w:tcW w:w="1067" w:type="dxa"/>
            <w:noWrap/>
            <w:hideMark/>
          </w:tcPr>
          <w:p w14:paraId="38563E16"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340,853</w:t>
            </w:r>
          </w:p>
        </w:tc>
      </w:tr>
      <w:tr w:rsidR="008D0CAD" w:rsidRPr="00E00C4B" w14:paraId="1A532957" w14:textId="77777777" w:rsidTr="004351FE">
        <w:trPr>
          <w:trHeight w:val="250"/>
        </w:trPr>
        <w:tc>
          <w:tcPr>
            <w:tcW w:w="2680" w:type="dxa"/>
            <w:noWrap/>
            <w:hideMark/>
          </w:tcPr>
          <w:p w14:paraId="7F2D1A3D"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ARMM - Autonomous Region in Muslim Mindanao</w:t>
            </w:r>
          </w:p>
        </w:tc>
        <w:tc>
          <w:tcPr>
            <w:tcW w:w="1067" w:type="dxa"/>
            <w:noWrap/>
            <w:hideMark/>
          </w:tcPr>
          <w:p w14:paraId="00548296"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590,609</w:t>
            </w:r>
          </w:p>
        </w:tc>
        <w:tc>
          <w:tcPr>
            <w:tcW w:w="1067" w:type="dxa"/>
            <w:noWrap/>
            <w:hideMark/>
          </w:tcPr>
          <w:p w14:paraId="452261AD"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520,951</w:t>
            </w:r>
          </w:p>
        </w:tc>
        <w:tc>
          <w:tcPr>
            <w:tcW w:w="1067" w:type="dxa"/>
            <w:noWrap/>
            <w:hideMark/>
          </w:tcPr>
          <w:p w14:paraId="5309F1A1"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498,702</w:t>
            </w:r>
          </w:p>
        </w:tc>
        <w:tc>
          <w:tcPr>
            <w:tcW w:w="1067" w:type="dxa"/>
            <w:noWrap/>
            <w:hideMark/>
          </w:tcPr>
          <w:p w14:paraId="3F87962A"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434,325</w:t>
            </w:r>
          </w:p>
        </w:tc>
        <w:tc>
          <w:tcPr>
            <w:tcW w:w="1067" w:type="dxa"/>
            <w:noWrap/>
            <w:hideMark/>
          </w:tcPr>
          <w:p w14:paraId="4F989995"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409,566</w:t>
            </w:r>
          </w:p>
        </w:tc>
        <w:tc>
          <w:tcPr>
            <w:tcW w:w="1067" w:type="dxa"/>
            <w:noWrap/>
            <w:hideMark/>
          </w:tcPr>
          <w:p w14:paraId="2C48B82E"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414,828</w:t>
            </w:r>
          </w:p>
        </w:tc>
        <w:tc>
          <w:tcPr>
            <w:tcW w:w="1067" w:type="dxa"/>
            <w:noWrap/>
            <w:hideMark/>
          </w:tcPr>
          <w:p w14:paraId="7CCE8863"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407,463</w:t>
            </w:r>
          </w:p>
        </w:tc>
      </w:tr>
      <w:tr w:rsidR="008D0CAD" w:rsidRPr="00E00C4B" w14:paraId="2809DF3C" w14:textId="77777777" w:rsidTr="004351FE">
        <w:trPr>
          <w:trHeight w:val="250"/>
        </w:trPr>
        <w:tc>
          <w:tcPr>
            <w:tcW w:w="2680" w:type="dxa"/>
            <w:noWrap/>
            <w:hideMark/>
          </w:tcPr>
          <w:p w14:paraId="0365AD53"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CAR - Cordillera Administrative Region</w:t>
            </w:r>
          </w:p>
        </w:tc>
        <w:tc>
          <w:tcPr>
            <w:tcW w:w="1067" w:type="dxa"/>
            <w:noWrap/>
            <w:hideMark/>
          </w:tcPr>
          <w:p w14:paraId="6EB6FDE6"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184,441</w:t>
            </w:r>
          </w:p>
        </w:tc>
        <w:tc>
          <w:tcPr>
            <w:tcW w:w="1067" w:type="dxa"/>
            <w:noWrap/>
            <w:hideMark/>
          </w:tcPr>
          <w:p w14:paraId="7D375BF5"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183,052</w:t>
            </w:r>
          </w:p>
        </w:tc>
        <w:tc>
          <w:tcPr>
            <w:tcW w:w="1067" w:type="dxa"/>
            <w:noWrap/>
            <w:hideMark/>
          </w:tcPr>
          <w:p w14:paraId="4FCFCC80"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184,453</w:t>
            </w:r>
          </w:p>
        </w:tc>
        <w:tc>
          <w:tcPr>
            <w:tcW w:w="1067" w:type="dxa"/>
            <w:noWrap/>
            <w:hideMark/>
          </w:tcPr>
          <w:p w14:paraId="71E52622"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185,423</w:t>
            </w:r>
          </w:p>
        </w:tc>
        <w:tc>
          <w:tcPr>
            <w:tcW w:w="1067" w:type="dxa"/>
            <w:noWrap/>
            <w:hideMark/>
          </w:tcPr>
          <w:p w14:paraId="7EF4EC2C"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185,065</w:t>
            </w:r>
          </w:p>
        </w:tc>
        <w:tc>
          <w:tcPr>
            <w:tcW w:w="1067" w:type="dxa"/>
            <w:noWrap/>
            <w:hideMark/>
          </w:tcPr>
          <w:p w14:paraId="15153DB6"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180,341</w:t>
            </w:r>
          </w:p>
        </w:tc>
        <w:tc>
          <w:tcPr>
            <w:tcW w:w="1067" w:type="dxa"/>
            <w:noWrap/>
            <w:hideMark/>
          </w:tcPr>
          <w:p w14:paraId="6AED2DFB"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181,434</w:t>
            </w:r>
          </w:p>
        </w:tc>
      </w:tr>
      <w:tr w:rsidR="008D0CAD" w:rsidRPr="00E00C4B" w14:paraId="793367B5" w14:textId="77777777" w:rsidTr="004351FE">
        <w:trPr>
          <w:trHeight w:val="250"/>
        </w:trPr>
        <w:tc>
          <w:tcPr>
            <w:tcW w:w="2680" w:type="dxa"/>
            <w:noWrap/>
            <w:hideMark/>
          </w:tcPr>
          <w:p w14:paraId="1DC5CDC0"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NCR - National Capital Region</w:t>
            </w:r>
          </w:p>
        </w:tc>
        <w:tc>
          <w:tcPr>
            <w:tcW w:w="1067" w:type="dxa"/>
            <w:noWrap/>
            <w:hideMark/>
          </w:tcPr>
          <w:p w14:paraId="48730721"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1,080,622</w:t>
            </w:r>
          </w:p>
        </w:tc>
        <w:tc>
          <w:tcPr>
            <w:tcW w:w="1067" w:type="dxa"/>
            <w:noWrap/>
            <w:hideMark/>
          </w:tcPr>
          <w:p w14:paraId="7FE568A8"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1,069,753</w:t>
            </w:r>
          </w:p>
        </w:tc>
        <w:tc>
          <w:tcPr>
            <w:tcW w:w="1067" w:type="dxa"/>
            <w:noWrap/>
            <w:hideMark/>
          </w:tcPr>
          <w:p w14:paraId="1EECF5E9"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1,081,436</w:t>
            </w:r>
          </w:p>
        </w:tc>
        <w:tc>
          <w:tcPr>
            <w:tcW w:w="1067" w:type="dxa"/>
            <w:noWrap/>
            <w:hideMark/>
          </w:tcPr>
          <w:p w14:paraId="03A2AF4F"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1,067,582</w:t>
            </w:r>
          </w:p>
        </w:tc>
        <w:tc>
          <w:tcPr>
            <w:tcW w:w="1067" w:type="dxa"/>
            <w:noWrap/>
            <w:hideMark/>
          </w:tcPr>
          <w:p w14:paraId="132C1E01"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1,054,420</w:t>
            </w:r>
          </w:p>
        </w:tc>
        <w:tc>
          <w:tcPr>
            <w:tcW w:w="1067" w:type="dxa"/>
            <w:noWrap/>
            <w:hideMark/>
          </w:tcPr>
          <w:p w14:paraId="1E87B799"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927,376</w:t>
            </w:r>
          </w:p>
        </w:tc>
        <w:tc>
          <w:tcPr>
            <w:tcW w:w="1067" w:type="dxa"/>
            <w:noWrap/>
            <w:hideMark/>
          </w:tcPr>
          <w:p w14:paraId="579B3B01" w14:textId="77777777" w:rsidR="008D0CAD" w:rsidRPr="00E00C4B" w:rsidRDefault="008D0CAD" w:rsidP="00796BFA">
            <w:pPr>
              <w:spacing w:before="100" w:beforeAutospacing="1" w:after="100" w:afterAutospacing="1" w:line="360" w:lineRule="auto"/>
              <w:rPr>
                <w:rFonts w:ascii="Calibri Light" w:hAnsi="Calibri Light" w:cs="Calibri Light"/>
                <w:sz w:val="16"/>
                <w:szCs w:val="16"/>
                <w:lang w:val="en-US"/>
              </w:rPr>
            </w:pPr>
            <w:r w:rsidRPr="00E00C4B">
              <w:rPr>
                <w:rFonts w:ascii="Calibri Light" w:hAnsi="Calibri Light" w:cs="Calibri Light"/>
                <w:sz w:val="16"/>
                <w:szCs w:val="16"/>
                <w:lang w:val="en-US"/>
              </w:rPr>
              <w:t>1,018,570</w:t>
            </w:r>
          </w:p>
        </w:tc>
      </w:tr>
    </w:tbl>
    <w:p w14:paraId="441E7C7F" w14:textId="77777777" w:rsidR="008D0CAD" w:rsidRPr="00E00C4B" w:rsidRDefault="008D0CAD" w:rsidP="00796BFA">
      <w:pPr>
        <w:spacing w:before="100" w:beforeAutospacing="1" w:after="100" w:afterAutospacing="1" w:line="360" w:lineRule="auto"/>
        <w:rPr>
          <w:rFonts w:asciiTheme="majorHAnsi" w:hAnsiTheme="majorHAnsi" w:cstheme="majorHAnsi"/>
          <w:bCs/>
          <w:i/>
          <w:iCs/>
          <w:sz w:val="20"/>
          <w:szCs w:val="20"/>
          <w:lang w:val="en-US"/>
        </w:rPr>
      </w:pPr>
      <w:r w:rsidRPr="00E00C4B">
        <w:rPr>
          <w:rFonts w:asciiTheme="majorHAnsi" w:hAnsiTheme="majorHAnsi" w:cstheme="majorHAnsi"/>
          <w:bCs/>
          <w:i/>
          <w:iCs/>
          <w:sz w:val="20"/>
          <w:szCs w:val="20"/>
          <w:lang w:val="en-US"/>
        </w:rPr>
        <w:t xml:space="preserve"> Source: EBEIS (Retrieved April 2019)</w:t>
      </w:r>
    </w:p>
    <w:p w14:paraId="3CC7BB1D" w14:textId="6FD418B2" w:rsidR="008D0CAD" w:rsidRPr="00E00C4B" w:rsidRDefault="008D0CAD" w:rsidP="00796BFA">
      <w:pPr>
        <w:spacing w:before="100" w:beforeAutospacing="1" w:after="100" w:afterAutospacing="1" w:line="360" w:lineRule="auto"/>
        <w:rPr>
          <w:rFonts w:asciiTheme="majorHAnsi" w:eastAsiaTheme="minorHAnsi" w:hAnsiTheme="majorHAnsi" w:cstheme="majorHAnsi"/>
          <w:i/>
          <w:iCs/>
          <w:color w:val="44546A" w:themeColor="text2"/>
          <w:sz w:val="22"/>
          <w:szCs w:val="22"/>
          <w:lang w:val="en-US"/>
        </w:rPr>
      </w:pPr>
      <w:bookmarkStart w:id="552" w:name="_Toc16524128"/>
      <w:bookmarkStart w:id="553" w:name="_Toc71616575"/>
      <w:r w:rsidRPr="00E00C4B">
        <w:rPr>
          <w:rFonts w:asciiTheme="majorHAnsi" w:eastAsiaTheme="minorHAnsi" w:hAnsiTheme="majorHAnsi" w:cstheme="majorHAnsi"/>
          <w:i/>
          <w:iCs/>
          <w:color w:val="44546A" w:themeColor="text2"/>
          <w:sz w:val="22"/>
          <w:szCs w:val="22"/>
          <w:lang w:val="en-US"/>
        </w:rPr>
        <w:t xml:space="preserve">Figure </w:t>
      </w:r>
      <w:r w:rsidRPr="00E00C4B">
        <w:rPr>
          <w:rFonts w:asciiTheme="majorHAnsi" w:eastAsiaTheme="minorHAnsi" w:hAnsiTheme="majorHAnsi" w:cstheme="majorHAnsi"/>
          <w:i/>
          <w:iCs/>
          <w:color w:val="44546A" w:themeColor="text2"/>
          <w:sz w:val="22"/>
          <w:szCs w:val="22"/>
          <w:lang w:val="en-US"/>
        </w:rPr>
        <w:fldChar w:fldCharType="begin"/>
      </w:r>
      <w:r w:rsidRPr="00E00C4B">
        <w:rPr>
          <w:rFonts w:asciiTheme="majorHAnsi" w:eastAsiaTheme="minorHAnsi" w:hAnsiTheme="majorHAnsi" w:cstheme="majorHAnsi"/>
          <w:i/>
          <w:iCs/>
          <w:color w:val="44546A" w:themeColor="text2"/>
          <w:sz w:val="22"/>
          <w:szCs w:val="22"/>
          <w:lang w:val="en-US"/>
        </w:rPr>
        <w:instrText xml:space="preserve"> SEQ Figure \* ARABIC </w:instrText>
      </w:r>
      <w:r w:rsidRPr="00E00C4B">
        <w:rPr>
          <w:rFonts w:asciiTheme="majorHAnsi" w:eastAsiaTheme="minorHAnsi" w:hAnsiTheme="majorHAnsi" w:cstheme="majorHAnsi"/>
          <w:i/>
          <w:iCs/>
          <w:color w:val="44546A" w:themeColor="text2"/>
          <w:sz w:val="22"/>
          <w:szCs w:val="22"/>
          <w:lang w:val="en-US"/>
        </w:rPr>
        <w:fldChar w:fldCharType="separate"/>
      </w:r>
      <w:r w:rsidR="00D6133D">
        <w:rPr>
          <w:rFonts w:asciiTheme="majorHAnsi" w:eastAsiaTheme="minorHAnsi" w:hAnsiTheme="majorHAnsi" w:cstheme="majorHAnsi"/>
          <w:i/>
          <w:iCs/>
          <w:noProof/>
          <w:color w:val="44546A" w:themeColor="text2"/>
          <w:sz w:val="22"/>
          <w:szCs w:val="22"/>
          <w:lang w:val="en-US"/>
        </w:rPr>
        <w:t>48</w:t>
      </w:r>
      <w:r w:rsidRPr="00E00C4B">
        <w:rPr>
          <w:rFonts w:asciiTheme="majorHAnsi" w:eastAsiaTheme="minorHAnsi" w:hAnsiTheme="majorHAnsi" w:cstheme="majorHAnsi"/>
          <w:i/>
          <w:iCs/>
          <w:color w:val="44546A" w:themeColor="text2"/>
          <w:sz w:val="22"/>
          <w:szCs w:val="22"/>
          <w:lang w:val="en-US"/>
        </w:rPr>
        <w:fldChar w:fldCharType="end"/>
      </w:r>
      <w:r w:rsidRPr="00E00C4B">
        <w:rPr>
          <w:rFonts w:asciiTheme="majorHAnsi" w:eastAsiaTheme="minorHAnsi" w:hAnsiTheme="majorHAnsi" w:cstheme="majorHAnsi"/>
          <w:i/>
          <w:iCs/>
          <w:color w:val="44546A" w:themeColor="text2"/>
          <w:sz w:val="22"/>
          <w:szCs w:val="22"/>
          <w:lang w:val="en-US"/>
        </w:rPr>
        <w:t>. Elementary Gross Enrolment Ratio by BEST/Non-BEST Regions</w:t>
      </w:r>
      <w:bookmarkEnd w:id="552"/>
      <w:r w:rsidR="004351FE">
        <w:rPr>
          <w:rFonts w:asciiTheme="majorHAnsi" w:eastAsiaTheme="minorHAnsi" w:hAnsiTheme="majorHAnsi" w:cstheme="majorHAnsi"/>
          <w:i/>
          <w:iCs/>
          <w:color w:val="44546A" w:themeColor="text2"/>
          <w:sz w:val="22"/>
          <w:szCs w:val="22"/>
          <w:lang w:val="en-US"/>
        </w:rPr>
        <w:t xml:space="preserve"> </w:t>
      </w:r>
      <w:r w:rsidRPr="00E00C4B">
        <w:rPr>
          <w:rFonts w:asciiTheme="majorHAnsi" w:eastAsiaTheme="minorHAnsi" w:hAnsiTheme="majorHAnsi" w:cstheme="majorHAnsi"/>
          <w:i/>
          <w:iCs/>
          <w:color w:val="44546A" w:themeColor="text2"/>
          <w:sz w:val="22"/>
          <w:szCs w:val="22"/>
          <w:lang w:val="en-US"/>
        </w:rPr>
        <w:t>SY2011-2012 to SY2017-2018</w:t>
      </w:r>
      <w:bookmarkEnd w:id="553"/>
    </w:p>
    <w:p w14:paraId="55621E14" w14:textId="77777777" w:rsidR="008D0CAD" w:rsidRPr="00E00C4B" w:rsidRDefault="008D0CAD" w:rsidP="00796BFA">
      <w:pPr>
        <w:autoSpaceDE w:val="0"/>
        <w:autoSpaceDN w:val="0"/>
        <w:adjustRightInd w:val="0"/>
        <w:spacing w:before="100" w:beforeAutospacing="1" w:after="100" w:afterAutospacing="1" w:line="360" w:lineRule="auto"/>
        <w:rPr>
          <w:rFonts w:asciiTheme="majorHAnsi" w:hAnsiTheme="majorHAnsi" w:cstheme="majorHAnsi"/>
          <w:lang w:val="en-US"/>
        </w:rPr>
      </w:pPr>
      <w:r w:rsidRPr="00E00C4B">
        <w:rPr>
          <w:noProof/>
          <w:lang w:val="en-AU" w:eastAsia="en-AU"/>
        </w:rPr>
        <w:drawing>
          <wp:inline distT="0" distB="0" distL="0" distR="0" wp14:anchorId="5E2FDBC1" wp14:editId="10CB52A7">
            <wp:extent cx="4804076" cy="2703095"/>
            <wp:effectExtent l="0" t="0" r="9525" b="15240"/>
            <wp:docPr id="103" name="Chart 103" descr="Line chart on elementary gross enrolment ratio by BEST and non-BEST regions for school year 2011-2012 to 2017-2018. Higher in Non-BEST Regions.">
              <a:extLst xmlns:a="http://schemas.openxmlformats.org/drawingml/2006/main">
                <a:ext uri="{FF2B5EF4-FFF2-40B4-BE49-F238E27FC236}">
                  <a16:creationId xmlns:a16="http://schemas.microsoft.com/office/drawing/2014/main" id="{DCEF005D-BD04-134B-A404-0244B2CA46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3028B73D" w14:textId="3D213C04" w:rsidR="008D0CAD" w:rsidRPr="00E00C4B" w:rsidRDefault="00D434EB" w:rsidP="00796BFA">
      <w:pPr>
        <w:spacing w:before="100" w:beforeAutospacing="1" w:after="100" w:afterAutospacing="1" w:line="360" w:lineRule="auto"/>
        <w:ind w:left="2160"/>
        <w:rPr>
          <w:rFonts w:asciiTheme="majorHAnsi" w:hAnsiTheme="majorHAnsi" w:cstheme="majorHAnsi"/>
          <w:bCs/>
          <w:i/>
          <w:iCs/>
          <w:sz w:val="20"/>
          <w:szCs w:val="20"/>
          <w:lang w:val="en-US"/>
        </w:rPr>
      </w:pPr>
      <w:r>
        <w:rPr>
          <w:rFonts w:asciiTheme="majorHAnsi" w:hAnsiTheme="majorHAnsi" w:cstheme="majorHAnsi"/>
          <w:bCs/>
          <w:i/>
          <w:iCs/>
          <w:sz w:val="20"/>
          <w:szCs w:val="20"/>
          <w:lang w:val="en-US"/>
        </w:rPr>
        <w:t xml:space="preserve">  </w:t>
      </w:r>
      <w:r w:rsidR="008D0CAD" w:rsidRPr="00E00C4B">
        <w:rPr>
          <w:rFonts w:asciiTheme="majorHAnsi" w:hAnsiTheme="majorHAnsi" w:cstheme="majorHAnsi"/>
          <w:bCs/>
          <w:i/>
          <w:iCs/>
          <w:sz w:val="20"/>
          <w:szCs w:val="20"/>
          <w:lang w:val="en-US"/>
        </w:rPr>
        <w:t>Source of basic data: EBEIS (Retrieved April 2019)</w:t>
      </w:r>
    </w:p>
    <w:p w14:paraId="093A29D7" w14:textId="2C72DC7D" w:rsidR="008D0CAD" w:rsidRPr="00796BFA" w:rsidRDefault="008D0CAD" w:rsidP="00796BFA">
      <w:pPr>
        <w:pStyle w:val="Heading5"/>
        <w:numPr>
          <w:ilvl w:val="0"/>
          <w:numId w:val="0"/>
        </w:numPr>
        <w:spacing w:before="100" w:beforeAutospacing="1" w:after="100" w:afterAutospacing="1" w:line="360" w:lineRule="auto"/>
        <w:ind w:left="1222" w:hanging="1080"/>
      </w:pPr>
      <w:bookmarkStart w:id="554" w:name="_Toc16524075"/>
      <w:r w:rsidRPr="00E00C4B">
        <w:t>Net Enrolment Rate (NER)</w:t>
      </w:r>
      <w:bookmarkEnd w:id="554"/>
    </w:p>
    <w:p w14:paraId="1763DB00" w14:textId="3F08448A" w:rsidR="008D0CAD" w:rsidRPr="00E00C4B" w:rsidRDefault="008D0CAD" w:rsidP="00796BFA">
      <w:pPr>
        <w:spacing w:before="100" w:beforeAutospacing="1" w:after="100" w:afterAutospacing="1" w:line="360" w:lineRule="auto"/>
        <w:rPr>
          <w:rFonts w:asciiTheme="majorHAnsi" w:hAnsiTheme="majorHAnsi" w:cstheme="majorHAnsi"/>
          <w:lang w:val="en-US"/>
        </w:rPr>
      </w:pPr>
      <w:r w:rsidRPr="00E00C4B">
        <w:rPr>
          <w:rFonts w:asciiTheme="majorHAnsi" w:hAnsiTheme="majorHAnsi" w:cstheme="majorHAnsi"/>
          <w:b/>
          <w:lang w:val="en-US"/>
        </w:rPr>
        <w:t>Net Enrolment Rate (NER)</w:t>
      </w:r>
      <w:r w:rsidRPr="00E00C4B">
        <w:rPr>
          <w:rFonts w:asciiTheme="majorHAnsi" w:hAnsiTheme="majorHAnsi" w:cstheme="majorHAnsi"/>
          <w:lang w:val="en-US"/>
        </w:rPr>
        <w:t xml:space="preserve"> is the ratio of the enrolment for the age group corresponding to the official school age in the elementary/secondary level to the population of the same age group in a given year. It is also known as Participation Rate.</w:t>
      </w:r>
      <w:r w:rsidR="00D434EB">
        <w:rPr>
          <w:rFonts w:asciiTheme="majorHAnsi" w:hAnsiTheme="majorHAnsi" w:cstheme="majorHAnsi"/>
          <w:lang w:val="en-US"/>
        </w:rPr>
        <w:t xml:space="preserve"> </w:t>
      </w:r>
      <w:r w:rsidRPr="00E00C4B">
        <w:rPr>
          <w:rFonts w:asciiTheme="majorHAnsi" w:hAnsiTheme="majorHAnsi" w:cstheme="majorHAnsi"/>
          <w:lang w:val="en-US"/>
        </w:rPr>
        <w:t xml:space="preserve">In the Philippines, this measure is calculated separately for elementary and secondary levels. </w:t>
      </w:r>
    </w:p>
    <w:p w14:paraId="6CD543D2" w14:textId="4E620BC2" w:rsidR="008D0CAD" w:rsidRDefault="008D0CAD" w:rsidP="00796BFA">
      <w:pPr>
        <w:spacing w:before="100" w:beforeAutospacing="1" w:after="100" w:afterAutospacing="1" w:line="360" w:lineRule="auto"/>
        <w:rPr>
          <w:rFonts w:asciiTheme="majorHAnsi" w:hAnsiTheme="majorHAnsi" w:cstheme="majorHAnsi"/>
          <w:lang w:val="en-US"/>
        </w:rPr>
      </w:pPr>
      <w:r w:rsidRPr="00E00C4B">
        <w:rPr>
          <w:rFonts w:asciiTheme="majorHAnsi" w:hAnsiTheme="majorHAnsi" w:cstheme="majorHAnsi"/>
          <w:lang w:val="en-US"/>
        </w:rPr>
        <w:t>The elementary NET showed a declining trend from SY2013-2014 to SY2015-2016 (from 93.8% to 91.05%) before rebounding in SY2016-2017 (96.15%) (Figure 17).</w:t>
      </w:r>
      <w:r w:rsidR="00D434EB">
        <w:rPr>
          <w:rFonts w:asciiTheme="majorHAnsi" w:hAnsiTheme="majorHAnsi" w:cstheme="majorHAnsi"/>
          <w:lang w:val="en-US"/>
        </w:rPr>
        <w:t xml:space="preserve"> </w:t>
      </w:r>
      <w:r w:rsidRPr="00E00C4B">
        <w:rPr>
          <w:rFonts w:asciiTheme="majorHAnsi" w:hAnsiTheme="majorHAnsi" w:cstheme="majorHAnsi"/>
          <w:lang w:val="en-US"/>
        </w:rPr>
        <w:t>However, in SY2017-2018, NER once again declined to 94.19%, indicating that around 5% of school-age children (ages 6 – 11) were not in school.</w:t>
      </w:r>
      <w:r w:rsidR="00D434EB">
        <w:rPr>
          <w:rFonts w:asciiTheme="majorHAnsi" w:hAnsiTheme="majorHAnsi" w:cstheme="majorHAnsi"/>
          <w:lang w:val="en-US"/>
        </w:rPr>
        <w:t xml:space="preserve"> </w:t>
      </w:r>
      <w:r w:rsidRPr="00E00C4B">
        <w:rPr>
          <w:rFonts w:asciiTheme="majorHAnsi" w:hAnsiTheme="majorHAnsi" w:cstheme="majorHAnsi"/>
          <w:lang w:val="en-US"/>
        </w:rPr>
        <w:t>Trends for male and female students generally followed the national trend during the first three years under review.</w:t>
      </w:r>
      <w:r w:rsidR="00D434EB">
        <w:rPr>
          <w:rFonts w:asciiTheme="majorHAnsi" w:hAnsiTheme="majorHAnsi" w:cstheme="majorHAnsi"/>
          <w:lang w:val="en-US"/>
        </w:rPr>
        <w:t xml:space="preserve"> </w:t>
      </w:r>
      <w:r w:rsidRPr="00E00C4B">
        <w:rPr>
          <w:rFonts w:asciiTheme="majorHAnsi" w:hAnsiTheme="majorHAnsi" w:cstheme="majorHAnsi"/>
          <w:lang w:val="en-US"/>
        </w:rPr>
        <w:t>The NER of female students were higher than males during these years (Table 6 and 7).</w:t>
      </w:r>
      <w:r w:rsidR="00D434EB">
        <w:rPr>
          <w:rFonts w:asciiTheme="majorHAnsi" w:hAnsiTheme="majorHAnsi" w:cstheme="majorHAnsi"/>
          <w:lang w:val="en-US"/>
        </w:rPr>
        <w:t xml:space="preserve"> </w:t>
      </w:r>
      <w:r w:rsidRPr="00E00C4B">
        <w:rPr>
          <w:rFonts w:asciiTheme="majorHAnsi" w:hAnsiTheme="majorHAnsi" w:cstheme="majorHAnsi"/>
          <w:lang w:val="en-US"/>
        </w:rPr>
        <w:t>However, in SY2016-2017, the NERs of both males and females were almost at par with each other.</w:t>
      </w:r>
    </w:p>
    <w:p w14:paraId="57B76F92" w14:textId="54B1B161" w:rsidR="008D0CAD" w:rsidRPr="00E00C4B" w:rsidRDefault="008D0CAD" w:rsidP="00796BFA">
      <w:pPr>
        <w:spacing w:before="100" w:beforeAutospacing="1" w:after="100" w:afterAutospacing="1" w:line="360" w:lineRule="auto"/>
        <w:rPr>
          <w:rFonts w:asciiTheme="majorHAnsi" w:eastAsiaTheme="minorHAnsi" w:hAnsiTheme="majorHAnsi" w:cstheme="majorHAnsi"/>
          <w:i/>
          <w:iCs/>
          <w:color w:val="44546A" w:themeColor="text2"/>
          <w:sz w:val="22"/>
          <w:szCs w:val="22"/>
          <w:lang w:val="en-US"/>
        </w:rPr>
      </w:pPr>
      <w:bookmarkStart w:id="555" w:name="_Toc16524129"/>
      <w:bookmarkStart w:id="556" w:name="_Toc71616576"/>
      <w:r w:rsidRPr="00E00C4B">
        <w:rPr>
          <w:rFonts w:asciiTheme="majorHAnsi" w:eastAsiaTheme="minorHAnsi" w:hAnsiTheme="majorHAnsi" w:cstheme="majorHAnsi"/>
          <w:i/>
          <w:iCs/>
          <w:color w:val="44546A" w:themeColor="text2"/>
          <w:sz w:val="22"/>
          <w:szCs w:val="22"/>
          <w:lang w:val="en-US"/>
        </w:rPr>
        <w:t xml:space="preserve">Figure </w:t>
      </w:r>
      <w:r w:rsidRPr="00E00C4B">
        <w:rPr>
          <w:rFonts w:asciiTheme="majorHAnsi" w:eastAsiaTheme="minorHAnsi" w:hAnsiTheme="majorHAnsi" w:cstheme="majorHAnsi"/>
          <w:i/>
          <w:iCs/>
          <w:color w:val="44546A" w:themeColor="text2"/>
          <w:sz w:val="22"/>
          <w:szCs w:val="22"/>
          <w:lang w:val="en-US"/>
        </w:rPr>
        <w:fldChar w:fldCharType="begin"/>
      </w:r>
      <w:r w:rsidRPr="00E00C4B">
        <w:rPr>
          <w:rFonts w:asciiTheme="majorHAnsi" w:eastAsiaTheme="minorHAnsi" w:hAnsiTheme="majorHAnsi" w:cstheme="majorHAnsi"/>
          <w:i/>
          <w:iCs/>
          <w:color w:val="44546A" w:themeColor="text2"/>
          <w:sz w:val="22"/>
          <w:szCs w:val="22"/>
          <w:lang w:val="en-US"/>
        </w:rPr>
        <w:instrText xml:space="preserve"> SEQ Figure \* ARABIC </w:instrText>
      </w:r>
      <w:r w:rsidRPr="00E00C4B">
        <w:rPr>
          <w:rFonts w:asciiTheme="majorHAnsi" w:eastAsiaTheme="minorHAnsi" w:hAnsiTheme="majorHAnsi" w:cstheme="majorHAnsi"/>
          <w:i/>
          <w:iCs/>
          <w:color w:val="44546A" w:themeColor="text2"/>
          <w:sz w:val="22"/>
          <w:szCs w:val="22"/>
          <w:lang w:val="en-US"/>
        </w:rPr>
        <w:fldChar w:fldCharType="separate"/>
      </w:r>
      <w:r w:rsidR="00D6133D">
        <w:rPr>
          <w:rFonts w:asciiTheme="majorHAnsi" w:eastAsiaTheme="minorHAnsi" w:hAnsiTheme="majorHAnsi" w:cstheme="majorHAnsi"/>
          <w:i/>
          <w:iCs/>
          <w:noProof/>
          <w:color w:val="44546A" w:themeColor="text2"/>
          <w:sz w:val="22"/>
          <w:szCs w:val="22"/>
          <w:lang w:val="en-US"/>
        </w:rPr>
        <w:t>49</w:t>
      </w:r>
      <w:r w:rsidRPr="00E00C4B">
        <w:rPr>
          <w:rFonts w:asciiTheme="majorHAnsi" w:eastAsiaTheme="minorHAnsi" w:hAnsiTheme="majorHAnsi" w:cstheme="majorHAnsi"/>
          <w:i/>
          <w:iCs/>
          <w:color w:val="44546A" w:themeColor="text2"/>
          <w:sz w:val="22"/>
          <w:szCs w:val="22"/>
          <w:lang w:val="en-US"/>
        </w:rPr>
        <w:fldChar w:fldCharType="end"/>
      </w:r>
      <w:r w:rsidRPr="00E00C4B">
        <w:rPr>
          <w:rFonts w:asciiTheme="majorHAnsi" w:eastAsiaTheme="minorHAnsi" w:hAnsiTheme="majorHAnsi" w:cstheme="majorHAnsi"/>
          <w:i/>
          <w:iCs/>
          <w:color w:val="44546A" w:themeColor="text2"/>
          <w:sz w:val="22"/>
          <w:szCs w:val="22"/>
          <w:lang w:val="en-US"/>
        </w:rPr>
        <w:t>. Elementary Net Enrolment Ratio</w:t>
      </w:r>
      <w:bookmarkEnd w:id="555"/>
      <w:bookmarkEnd w:id="556"/>
    </w:p>
    <w:p w14:paraId="334025C8" w14:textId="77777777" w:rsidR="008D0CAD" w:rsidRPr="00E00C4B" w:rsidRDefault="008D0CAD" w:rsidP="00796BFA">
      <w:pPr>
        <w:spacing w:before="100" w:beforeAutospacing="1" w:after="100" w:afterAutospacing="1" w:line="360" w:lineRule="auto"/>
        <w:rPr>
          <w:rFonts w:asciiTheme="majorHAnsi" w:hAnsiTheme="majorHAnsi" w:cstheme="majorHAnsi"/>
          <w:lang w:val="en-US"/>
        </w:rPr>
      </w:pPr>
      <w:r w:rsidRPr="00E00C4B">
        <w:rPr>
          <w:noProof/>
          <w:lang w:val="en-AU" w:eastAsia="en-AU"/>
        </w:rPr>
        <w:drawing>
          <wp:inline distT="0" distB="0" distL="0" distR="0" wp14:anchorId="5BC0D096" wp14:editId="277A7AC3">
            <wp:extent cx="5134743" cy="2454443"/>
            <wp:effectExtent l="0" t="0" r="8890" b="9525"/>
            <wp:docPr id="104" name="Chart 104" descr="Line chart on elementary net enrolment ratio by gender. Higher for females than males; Ratio dipped in 2015-2016, peaked at 2016-2017, and declining 2017-2018.">
              <a:extLst xmlns:a="http://schemas.openxmlformats.org/drawingml/2006/main">
                <a:ext uri="{FF2B5EF4-FFF2-40B4-BE49-F238E27FC236}">
                  <a16:creationId xmlns:a16="http://schemas.microsoft.com/office/drawing/2014/main" id="{F1EC16C3-7339-604A-82F0-CA44ACAEE1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06FB82A9" w14:textId="4D8160CE" w:rsidR="008D0CAD" w:rsidRPr="00796BFA" w:rsidRDefault="008D0CAD" w:rsidP="00796BFA">
      <w:pPr>
        <w:spacing w:before="100" w:beforeAutospacing="1" w:after="100" w:afterAutospacing="1" w:line="360" w:lineRule="auto"/>
        <w:rPr>
          <w:rFonts w:asciiTheme="majorHAnsi" w:hAnsiTheme="majorHAnsi" w:cstheme="majorHAnsi"/>
          <w:bCs/>
          <w:i/>
          <w:iCs/>
          <w:sz w:val="20"/>
          <w:szCs w:val="20"/>
          <w:lang w:val="en-US"/>
        </w:rPr>
      </w:pPr>
      <w:r w:rsidRPr="00E00C4B">
        <w:rPr>
          <w:rFonts w:asciiTheme="majorHAnsi" w:hAnsiTheme="majorHAnsi" w:cstheme="majorHAnsi"/>
          <w:bCs/>
          <w:i/>
          <w:iCs/>
          <w:sz w:val="20"/>
          <w:szCs w:val="20"/>
          <w:lang w:val="en-US"/>
        </w:rPr>
        <w:t xml:space="preserve"> Source of basic data: EBEIS (Retrieved April 2019)</w:t>
      </w:r>
    </w:p>
    <w:p w14:paraId="79D039AD" w14:textId="4B04303F" w:rsidR="008D0CAD" w:rsidRPr="00E00C4B" w:rsidRDefault="008D0CAD" w:rsidP="00796BFA">
      <w:pPr>
        <w:spacing w:before="100" w:beforeAutospacing="1" w:after="100" w:afterAutospacing="1" w:line="360" w:lineRule="auto"/>
        <w:rPr>
          <w:rFonts w:asciiTheme="majorHAnsi" w:eastAsiaTheme="minorHAnsi" w:hAnsiTheme="majorHAnsi" w:cstheme="majorHAnsi"/>
          <w:i/>
          <w:iCs/>
          <w:color w:val="44546A" w:themeColor="text2"/>
          <w:sz w:val="22"/>
          <w:szCs w:val="22"/>
          <w:lang w:val="en-US"/>
        </w:rPr>
      </w:pPr>
      <w:bookmarkStart w:id="557" w:name="_Toc16524189"/>
      <w:bookmarkStart w:id="558" w:name="_Toc71616652"/>
      <w:r w:rsidRPr="00E00C4B">
        <w:rPr>
          <w:rFonts w:asciiTheme="majorHAnsi" w:eastAsiaTheme="minorHAnsi" w:hAnsiTheme="majorHAnsi" w:cstheme="majorHAnsi"/>
          <w:i/>
          <w:iCs/>
          <w:color w:val="44546A" w:themeColor="text2"/>
          <w:sz w:val="22"/>
          <w:szCs w:val="22"/>
          <w:lang w:val="en-US"/>
        </w:rPr>
        <w:t xml:space="preserve">Table </w:t>
      </w:r>
      <w:r w:rsidRPr="00E00C4B">
        <w:rPr>
          <w:rFonts w:asciiTheme="majorHAnsi" w:eastAsiaTheme="minorHAnsi" w:hAnsiTheme="majorHAnsi" w:cstheme="majorHAnsi"/>
          <w:i/>
          <w:iCs/>
          <w:color w:val="44546A" w:themeColor="text2"/>
          <w:sz w:val="22"/>
          <w:szCs w:val="22"/>
          <w:lang w:val="en-US"/>
        </w:rPr>
        <w:fldChar w:fldCharType="begin"/>
      </w:r>
      <w:r w:rsidRPr="00E00C4B">
        <w:rPr>
          <w:rFonts w:asciiTheme="majorHAnsi" w:eastAsiaTheme="minorHAnsi" w:hAnsiTheme="majorHAnsi" w:cstheme="majorHAnsi"/>
          <w:i/>
          <w:iCs/>
          <w:color w:val="44546A" w:themeColor="text2"/>
          <w:sz w:val="22"/>
          <w:szCs w:val="22"/>
          <w:lang w:val="en-US"/>
        </w:rPr>
        <w:instrText xml:space="preserve"> SEQ Table \* ARABIC </w:instrText>
      </w:r>
      <w:r w:rsidRPr="00E00C4B">
        <w:rPr>
          <w:rFonts w:asciiTheme="majorHAnsi" w:eastAsiaTheme="minorHAnsi" w:hAnsiTheme="majorHAnsi" w:cstheme="majorHAnsi"/>
          <w:i/>
          <w:iCs/>
          <w:color w:val="44546A" w:themeColor="text2"/>
          <w:sz w:val="22"/>
          <w:szCs w:val="22"/>
          <w:lang w:val="en-US"/>
        </w:rPr>
        <w:fldChar w:fldCharType="separate"/>
      </w:r>
      <w:r w:rsidR="00D6133D">
        <w:rPr>
          <w:rFonts w:asciiTheme="majorHAnsi" w:eastAsiaTheme="minorHAnsi" w:hAnsiTheme="majorHAnsi" w:cstheme="majorHAnsi"/>
          <w:i/>
          <w:iCs/>
          <w:noProof/>
          <w:color w:val="44546A" w:themeColor="text2"/>
          <w:sz w:val="22"/>
          <w:szCs w:val="22"/>
          <w:lang w:val="en-US"/>
        </w:rPr>
        <w:t>61</w:t>
      </w:r>
      <w:r w:rsidRPr="00E00C4B">
        <w:rPr>
          <w:rFonts w:asciiTheme="majorHAnsi" w:eastAsiaTheme="minorHAnsi" w:hAnsiTheme="majorHAnsi" w:cstheme="majorHAnsi"/>
          <w:i/>
          <w:iCs/>
          <w:color w:val="44546A" w:themeColor="text2"/>
          <w:sz w:val="22"/>
          <w:szCs w:val="22"/>
          <w:lang w:val="en-US"/>
        </w:rPr>
        <w:fldChar w:fldCharType="end"/>
      </w:r>
      <w:r w:rsidRPr="00E00C4B">
        <w:rPr>
          <w:rFonts w:asciiTheme="majorHAnsi" w:eastAsiaTheme="minorHAnsi" w:hAnsiTheme="majorHAnsi" w:cstheme="majorHAnsi"/>
          <w:i/>
          <w:iCs/>
          <w:color w:val="44546A" w:themeColor="text2"/>
          <w:sz w:val="22"/>
          <w:szCs w:val="22"/>
          <w:lang w:val="en-US"/>
        </w:rPr>
        <w:t xml:space="preserve">. </w:t>
      </w:r>
      <w:r w:rsidRPr="00E00C4B">
        <w:rPr>
          <w:rFonts w:asciiTheme="majorHAnsi" w:eastAsiaTheme="minorHAnsi" w:hAnsiTheme="majorHAnsi" w:cstheme="majorHAnsi"/>
          <w:bCs/>
          <w:i/>
          <w:iCs/>
          <w:color w:val="44546A" w:themeColor="text2"/>
          <w:sz w:val="22"/>
          <w:szCs w:val="22"/>
          <w:lang w:val="en-US"/>
        </w:rPr>
        <w:t>Elementary Net Enrolment Rate, Male Students, SY 2013-2014 to SY2017-2018</w:t>
      </w:r>
      <w:bookmarkEnd w:id="557"/>
      <w:bookmarkEnd w:id="558"/>
    </w:p>
    <w:tbl>
      <w:tblPr>
        <w:tblStyle w:val="TableGrid11"/>
        <w:tblW w:w="9909" w:type="dxa"/>
        <w:tblLook w:val="04A0" w:firstRow="1" w:lastRow="0" w:firstColumn="1" w:lastColumn="0" w:noHBand="0" w:noVBand="1"/>
      </w:tblPr>
      <w:tblGrid>
        <w:gridCol w:w="2039"/>
        <w:gridCol w:w="1574"/>
        <w:gridCol w:w="1574"/>
        <w:gridCol w:w="1574"/>
        <w:gridCol w:w="1574"/>
        <w:gridCol w:w="1574"/>
      </w:tblGrid>
      <w:tr w:rsidR="008D0CAD" w:rsidRPr="004B064D" w14:paraId="2D75FDE5" w14:textId="77777777" w:rsidTr="00F4751F">
        <w:trPr>
          <w:trHeight w:val="211"/>
          <w:tblHeader/>
        </w:trPr>
        <w:tc>
          <w:tcPr>
            <w:tcW w:w="2039" w:type="dxa"/>
            <w:noWrap/>
            <w:hideMark/>
          </w:tcPr>
          <w:p w14:paraId="44418919"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000000" w:themeColor="text1"/>
                <w:sz w:val="16"/>
                <w:szCs w:val="16"/>
              </w:rPr>
            </w:pPr>
            <w:r w:rsidRPr="004B064D">
              <w:rPr>
                <w:rFonts w:asciiTheme="majorHAnsi" w:hAnsiTheme="majorHAnsi" w:cstheme="majorHAnsi"/>
                <w:b/>
                <w:bCs/>
                <w:color w:val="000000" w:themeColor="text1"/>
                <w:sz w:val="16"/>
                <w:szCs w:val="16"/>
              </w:rPr>
              <w:t> </w:t>
            </w:r>
          </w:p>
        </w:tc>
        <w:tc>
          <w:tcPr>
            <w:tcW w:w="1574" w:type="dxa"/>
            <w:noWrap/>
            <w:hideMark/>
          </w:tcPr>
          <w:p w14:paraId="2135699D"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000000" w:themeColor="text1"/>
                <w:sz w:val="16"/>
                <w:szCs w:val="16"/>
              </w:rPr>
            </w:pPr>
            <w:r w:rsidRPr="004B064D">
              <w:rPr>
                <w:rFonts w:asciiTheme="majorHAnsi" w:hAnsiTheme="majorHAnsi" w:cstheme="majorHAnsi"/>
                <w:b/>
                <w:bCs/>
                <w:color w:val="000000" w:themeColor="text1"/>
                <w:sz w:val="16"/>
                <w:szCs w:val="16"/>
              </w:rPr>
              <w:t>SY 2013-2014</w:t>
            </w:r>
          </w:p>
        </w:tc>
        <w:tc>
          <w:tcPr>
            <w:tcW w:w="1574" w:type="dxa"/>
            <w:noWrap/>
            <w:hideMark/>
          </w:tcPr>
          <w:p w14:paraId="1921643C"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000000" w:themeColor="text1"/>
                <w:sz w:val="16"/>
                <w:szCs w:val="16"/>
              </w:rPr>
            </w:pPr>
            <w:r w:rsidRPr="004B064D">
              <w:rPr>
                <w:rFonts w:asciiTheme="majorHAnsi" w:hAnsiTheme="majorHAnsi" w:cstheme="majorHAnsi"/>
                <w:b/>
                <w:bCs/>
                <w:color w:val="000000" w:themeColor="text1"/>
                <w:sz w:val="16"/>
                <w:szCs w:val="16"/>
              </w:rPr>
              <w:t>SY 2014-2015</w:t>
            </w:r>
          </w:p>
        </w:tc>
        <w:tc>
          <w:tcPr>
            <w:tcW w:w="1574" w:type="dxa"/>
            <w:noWrap/>
            <w:hideMark/>
          </w:tcPr>
          <w:p w14:paraId="310F0E1E"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000000" w:themeColor="text1"/>
                <w:sz w:val="16"/>
                <w:szCs w:val="16"/>
              </w:rPr>
            </w:pPr>
            <w:r w:rsidRPr="004B064D">
              <w:rPr>
                <w:rFonts w:asciiTheme="majorHAnsi" w:hAnsiTheme="majorHAnsi" w:cstheme="majorHAnsi"/>
                <w:b/>
                <w:bCs/>
                <w:color w:val="000000" w:themeColor="text1"/>
                <w:sz w:val="16"/>
                <w:szCs w:val="16"/>
              </w:rPr>
              <w:t>SY 2015-2016</w:t>
            </w:r>
          </w:p>
        </w:tc>
        <w:tc>
          <w:tcPr>
            <w:tcW w:w="1574" w:type="dxa"/>
            <w:noWrap/>
            <w:hideMark/>
          </w:tcPr>
          <w:p w14:paraId="299D50D8"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000000" w:themeColor="text1"/>
                <w:sz w:val="16"/>
                <w:szCs w:val="16"/>
              </w:rPr>
            </w:pPr>
            <w:r w:rsidRPr="004B064D">
              <w:rPr>
                <w:rFonts w:asciiTheme="majorHAnsi" w:hAnsiTheme="majorHAnsi" w:cstheme="majorHAnsi"/>
                <w:b/>
                <w:bCs/>
                <w:color w:val="000000" w:themeColor="text1"/>
                <w:sz w:val="16"/>
                <w:szCs w:val="16"/>
              </w:rPr>
              <w:t>SY 2016-2017</w:t>
            </w:r>
          </w:p>
        </w:tc>
        <w:tc>
          <w:tcPr>
            <w:tcW w:w="1574" w:type="dxa"/>
            <w:noWrap/>
            <w:hideMark/>
          </w:tcPr>
          <w:p w14:paraId="13332DF0"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000000" w:themeColor="text1"/>
                <w:sz w:val="16"/>
                <w:szCs w:val="16"/>
              </w:rPr>
            </w:pPr>
            <w:r w:rsidRPr="004B064D">
              <w:rPr>
                <w:rFonts w:asciiTheme="majorHAnsi" w:hAnsiTheme="majorHAnsi" w:cstheme="majorHAnsi"/>
                <w:b/>
                <w:bCs/>
                <w:color w:val="000000" w:themeColor="text1"/>
                <w:sz w:val="16"/>
                <w:szCs w:val="16"/>
              </w:rPr>
              <w:t>SY 2017-2018</w:t>
            </w:r>
          </w:p>
        </w:tc>
      </w:tr>
      <w:tr w:rsidR="008D0CAD" w:rsidRPr="00E00C4B" w14:paraId="5798A0FF" w14:textId="77777777" w:rsidTr="00536AA2">
        <w:trPr>
          <w:trHeight w:val="211"/>
        </w:trPr>
        <w:tc>
          <w:tcPr>
            <w:tcW w:w="2039" w:type="dxa"/>
            <w:noWrap/>
            <w:hideMark/>
          </w:tcPr>
          <w:p w14:paraId="229A0C64"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themeColor="text1"/>
                <w:sz w:val="16"/>
                <w:szCs w:val="16"/>
              </w:rPr>
            </w:pPr>
            <w:r w:rsidRPr="00E00C4B">
              <w:rPr>
                <w:rFonts w:asciiTheme="majorHAnsi" w:hAnsiTheme="majorHAnsi" w:cstheme="majorHAnsi"/>
                <w:color w:val="000000" w:themeColor="text1"/>
                <w:sz w:val="16"/>
                <w:szCs w:val="16"/>
              </w:rPr>
              <w:t xml:space="preserve">Region I </w:t>
            </w:r>
          </w:p>
        </w:tc>
        <w:tc>
          <w:tcPr>
            <w:tcW w:w="1574" w:type="dxa"/>
            <w:noWrap/>
            <w:hideMark/>
          </w:tcPr>
          <w:p w14:paraId="0ADA15C6"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96.62%</w:t>
            </w:r>
          </w:p>
        </w:tc>
        <w:tc>
          <w:tcPr>
            <w:tcW w:w="1574" w:type="dxa"/>
            <w:noWrap/>
            <w:hideMark/>
          </w:tcPr>
          <w:p w14:paraId="6B81FE4E"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95.17%</w:t>
            </w:r>
          </w:p>
        </w:tc>
        <w:tc>
          <w:tcPr>
            <w:tcW w:w="1574" w:type="dxa"/>
            <w:noWrap/>
            <w:hideMark/>
          </w:tcPr>
          <w:p w14:paraId="7505EB12"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95.17%</w:t>
            </w:r>
          </w:p>
        </w:tc>
        <w:tc>
          <w:tcPr>
            <w:tcW w:w="1574" w:type="dxa"/>
            <w:noWrap/>
            <w:hideMark/>
          </w:tcPr>
          <w:p w14:paraId="7F1811BD"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95.50%</w:t>
            </w:r>
          </w:p>
        </w:tc>
        <w:tc>
          <w:tcPr>
            <w:tcW w:w="1574" w:type="dxa"/>
            <w:noWrap/>
            <w:hideMark/>
          </w:tcPr>
          <w:p w14:paraId="596D77C5"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93.13%</w:t>
            </w:r>
          </w:p>
        </w:tc>
      </w:tr>
      <w:tr w:rsidR="008D0CAD" w:rsidRPr="00E00C4B" w14:paraId="4A7E612B" w14:textId="77777777" w:rsidTr="00536AA2">
        <w:trPr>
          <w:trHeight w:val="211"/>
        </w:trPr>
        <w:tc>
          <w:tcPr>
            <w:tcW w:w="2039" w:type="dxa"/>
            <w:noWrap/>
            <w:hideMark/>
          </w:tcPr>
          <w:p w14:paraId="15654E13"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themeColor="text1"/>
                <w:sz w:val="16"/>
                <w:szCs w:val="16"/>
              </w:rPr>
            </w:pPr>
            <w:r w:rsidRPr="00E00C4B">
              <w:rPr>
                <w:rFonts w:asciiTheme="majorHAnsi" w:hAnsiTheme="majorHAnsi" w:cstheme="majorHAnsi"/>
                <w:color w:val="000000" w:themeColor="text1"/>
                <w:sz w:val="16"/>
                <w:szCs w:val="16"/>
              </w:rPr>
              <w:t xml:space="preserve">Region II </w:t>
            </w:r>
          </w:p>
        </w:tc>
        <w:tc>
          <w:tcPr>
            <w:tcW w:w="1574" w:type="dxa"/>
            <w:noWrap/>
            <w:hideMark/>
          </w:tcPr>
          <w:p w14:paraId="6A70F6E8"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95.91%</w:t>
            </w:r>
          </w:p>
        </w:tc>
        <w:tc>
          <w:tcPr>
            <w:tcW w:w="1574" w:type="dxa"/>
            <w:noWrap/>
            <w:hideMark/>
          </w:tcPr>
          <w:p w14:paraId="0ABD117A"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95.49%</w:t>
            </w:r>
          </w:p>
        </w:tc>
        <w:tc>
          <w:tcPr>
            <w:tcW w:w="1574" w:type="dxa"/>
            <w:noWrap/>
            <w:hideMark/>
          </w:tcPr>
          <w:p w14:paraId="12543E14"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95.49%</w:t>
            </w:r>
          </w:p>
        </w:tc>
        <w:tc>
          <w:tcPr>
            <w:tcW w:w="1574" w:type="dxa"/>
            <w:noWrap/>
            <w:hideMark/>
          </w:tcPr>
          <w:p w14:paraId="44DE470D"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100.68%</w:t>
            </w:r>
          </w:p>
        </w:tc>
        <w:tc>
          <w:tcPr>
            <w:tcW w:w="1574" w:type="dxa"/>
            <w:noWrap/>
            <w:hideMark/>
          </w:tcPr>
          <w:p w14:paraId="1E58A9FF"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98.73%</w:t>
            </w:r>
          </w:p>
        </w:tc>
      </w:tr>
      <w:tr w:rsidR="008D0CAD" w:rsidRPr="00E00C4B" w14:paraId="5E866731" w14:textId="77777777" w:rsidTr="00536AA2">
        <w:trPr>
          <w:trHeight w:val="211"/>
        </w:trPr>
        <w:tc>
          <w:tcPr>
            <w:tcW w:w="2039" w:type="dxa"/>
            <w:noWrap/>
            <w:hideMark/>
          </w:tcPr>
          <w:p w14:paraId="6D629E09"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themeColor="text1"/>
                <w:sz w:val="16"/>
                <w:szCs w:val="16"/>
              </w:rPr>
            </w:pPr>
            <w:r w:rsidRPr="00E00C4B">
              <w:rPr>
                <w:rFonts w:asciiTheme="majorHAnsi" w:hAnsiTheme="majorHAnsi" w:cstheme="majorHAnsi"/>
                <w:color w:val="000000" w:themeColor="text1"/>
                <w:sz w:val="16"/>
                <w:szCs w:val="16"/>
              </w:rPr>
              <w:t xml:space="preserve">Region III </w:t>
            </w:r>
          </w:p>
        </w:tc>
        <w:tc>
          <w:tcPr>
            <w:tcW w:w="1574" w:type="dxa"/>
            <w:noWrap/>
            <w:hideMark/>
          </w:tcPr>
          <w:p w14:paraId="7B55C34A"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95.64%</w:t>
            </w:r>
          </w:p>
        </w:tc>
        <w:tc>
          <w:tcPr>
            <w:tcW w:w="1574" w:type="dxa"/>
            <w:noWrap/>
            <w:hideMark/>
          </w:tcPr>
          <w:p w14:paraId="2431F02F"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93.00%</w:t>
            </w:r>
          </w:p>
        </w:tc>
        <w:tc>
          <w:tcPr>
            <w:tcW w:w="1574" w:type="dxa"/>
            <w:noWrap/>
            <w:hideMark/>
          </w:tcPr>
          <w:p w14:paraId="2AD8101F"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93.00%</w:t>
            </w:r>
          </w:p>
        </w:tc>
        <w:tc>
          <w:tcPr>
            <w:tcW w:w="1574" w:type="dxa"/>
            <w:noWrap/>
            <w:hideMark/>
          </w:tcPr>
          <w:p w14:paraId="3DEF2EF5"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98.62%</w:t>
            </w:r>
          </w:p>
        </w:tc>
        <w:tc>
          <w:tcPr>
            <w:tcW w:w="1574" w:type="dxa"/>
            <w:noWrap/>
            <w:hideMark/>
          </w:tcPr>
          <w:p w14:paraId="1BE9419A"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97.95%</w:t>
            </w:r>
          </w:p>
        </w:tc>
      </w:tr>
      <w:tr w:rsidR="008D0CAD" w:rsidRPr="00E00C4B" w14:paraId="6F37BC6B" w14:textId="77777777" w:rsidTr="00536AA2">
        <w:trPr>
          <w:trHeight w:val="211"/>
        </w:trPr>
        <w:tc>
          <w:tcPr>
            <w:tcW w:w="2039" w:type="dxa"/>
            <w:noWrap/>
            <w:hideMark/>
          </w:tcPr>
          <w:p w14:paraId="6531B01F"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themeColor="text1"/>
                <w:sz w:val="16"/>
                <w:szCs w:val="16"/>
              </w:rPr>
            </w:pPr>
            <w:r w:rsidRPr="00E00C4B">
              <w:rPr>
                <w:rFonts w:asciiTheme="majorHAnsi" w:hAnsiTheme="majorHAnsi" w:cstheme="majorHAnsi"/>
                <w:color w:val="000000" w:themeColor="text1"/>
                <w:sz w:val="16"/>
                <w:szCs w:val="16"/>
              </w:rPr>
              <w:t>Region IV-A</w:t>
            </w:r>
          </w:p>
        </w:tc>
        <w:tc>
          <w:tcPr>
            <w:tcW w:w="1574" w:type="dxa"/>
            <w:noWrap/>
            <w:hideMark/>
          </w:tcPr>
          <w:p w14:paraId="3E3E6FA0"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91.66%</w:t>
            </w:r>
          </w:p>
        </w:tc>
        <w:tc>
          <w:tcPr>
            <w:tcW w:w="1574" w:type="dxa"/>
            <w:noWrap/>
            <w:hideMark/>
          </w:tcPr>
          <w:p w14:paraId="7C4D2935"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89.12%</w:t>
            </w:r>
          </w:p>
        </w:tc>
        <w:tc>
          <w:tcPr>
            <w:tcW w:w="1574" w:type="dxa"/>
            <w:noWrap/>
            <w:hideMark/>
          </w:tcPr>
          <w:p w14:paraId="3732DF86"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89.12%</w:t>
            </w:r>
          </w:p>
        </w:tc>
        <w:tc>
          <w:tcPr>
            <w:tcW w:w="1574" w:type="dxa"/>
            <w:noWrap/>
            <w:hideMark/>
          </w:tcPr>
          <w:p w14:paraId="35B5E887"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96.94%</w:t>
            </w:r>
          </w:p>
        </w:tc>
        <w:tc>
          <w:tcPr>
            <w:tcW w:w="1574" w:type="dxa"/>
            <w:noWrap/>
            <w:hideMark/>
          </w:tcPr>
          <w:p w14:paraId="1EA65C82"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96.04%</w:t>
            </w:r>
          </w:p>
        </w:tc>
      </w:tr>
      <w:tr w:rsidR="008D0CAD" w:rsidRPr="00E00C4B" w14:paraId="486418FA" w14:textId="77777777" w:rsidTr="00536AA2">
        <w:trPr>
          <w:trHeight w:val="211"/>
        </w:trPr>
        <w:tc>
          <w:tcPr>
            <w:tcW w:w="2039" w:type="dxa"/>
            <w:noWrap/>
            <w:hideMark/>
          </w:tcPr>
          <w:p w14:paraId="484442DE"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themeColor="text1"/>
                <w:sz w:val="16"/>
                <w:szCs w:val="16"/>
              </w:rPr>
            </w:pPr>
            <w:r w:rsidRPr="00E00C4B">
              <w:rPr>
                <w:rFonts w:asciiTheme="majorHAnsi" w:hAnsiTheme="majorHAnsi" w:cstheme="majorHAnsi"/>
                <w:color w:val="000000" w:themeColor="text1"/>
                <w:sz w:val="16"/>
                <w:szCs w:val="16"/>
              </w:rPr>
              <w:t xml:space="preserve">Region IV-B </w:t>
            </w:r>
          </w:p>
        </w:tc>
        <w:tc>
          <w:tcPr>
            <w:tcW w:w="1574" w:type="dxa"/>
            <w:noWrap/>
            <w:hideMark/>
          </w:tcPr>
          <w:p w14:paraId="7DC60AFF"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93.23%</w:t>
            </w:r>
          </w:p>
        </w:tc>
        <w:tc>
          <w:tcPr>
            <w:tcW w:w="1574" w:type="dxa"/>
            <w:noWrap/>
            <w:hideMark/>
          </w:tcPr>
          <w:p w14:paraId="31A0DC5D"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91.67%</w:t>
            </w:r>
          </w:p>
        </w:tc>
        <w:tc>
          <w:tcPr>
            <w:tcW w:w="1574" w:type="dxa"/>
            <w:noWrap/>
            <w:hideMark/>
          </w:tcPr>
          <w:p w14:paraId="03329BDA"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91.67%</w:t>
            </w:r>
          </w:p>
        </w:tc>
        <w:tc>
          <w:tcPr>
            <w:tcW w:w="1574" w:type="dxa"/>
            <w:noWrap/>
            <w:hideMark/>
          </w:tcPr>
          <w:p w14:paraId="4791B949"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95.07%</w:t>
            </w:r>
          </w:p>
        </w:tc>
        <w:tc>
          <w:tcPr>
            <w:tcW w:w="1574" w:type="dxa"/>
            <w:noWrap/>
            <w:hideMark/>
          </w:tcPr>
          <w:p w14:paraId="3C7DFD1D"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92.24%</w:t>
            </w:r>
          </w:p>
        </w:tc>
      </w:tr>
      <w:tr w:rsidR="008D0CAD" w:rsidRPr="00E00C4B" w14:paraId="5CA36EBD" w14:textId="77777777" w:rsidTr="00536AA2">
        <w:trPr>
          <w:trHeight w:val="211"/>
        </w:trPr>
        <w:tc>
          <w:tcPr>
            <w:tcW w:w="2039" w:type="dxa"/>
            <w:noWrap/>
            <w:hideMark/>
          </w:tcPr>
          <w:p w14:paraId="431F07AF"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themeColor="text1"/>
                <w:sz w:val="16"/>
                <w:szCs w:val="16"/>
              </w:rPr>
            </w:pPr>
            <w:r w:rsidRPr="00E00C4B">
              <w:rPr>
                <w:rFonts w:asciiTheme="majorHAnsi" w:hAnsiTheme="majorHAnsi" w:cstheme="majorHAnsi"/>
                <w:color w:val="000000" w:themeColor="text1"/>
                <w:sz w:val="16"/>
                <w:szCs w:val="16"/>
              </w:rPr>
              <w:t xml:space="preserve">Region V </w:t>
            </w:r>
          </w:p>
        </w:tc>
        <w:tc>
          <w:tcPr>
            <w:tcW w:w="1574" w:type="dxa"/>
            <w:noWrap/>
            <w:hideMark/>
          </w:tcPr>
          <w:p w14:paraId="1876AEC0"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95.25%</w:t>
            </w:r>
          </w:p>
        </w:tc>
        <w:tc>
          <w:tcPr>
            <w:tcW w:w="1574" w:type="dxa"/>
            <w:noWrap/>
            <w:hideMark/>
          </w:tcPr>
          <w:p w14:paraId="1C1ABDFD"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90.75%</w:t>
            </w:r>
          </w:p>
        </w:tc>
        <w:tc>
          <w:tcPr>
            <w:tcW w:w="1574" w:type="dxa"/>
            <w:noWrap/>
            <w:hideMark/>
          </w:tcPr>
          <w:p w14:paraId="48F75C44"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90.75%</w:t>
            </w:r>
          </w:p>
        </w:tc>
        <w:tc>
          <w:tcPr>
            <w:tcW w:w="1574" w:type="dxa"/>
            <w:noWrap/>
            <w:hideMark/>
          </w:tcPr>
          <w:p w14:paraId="549B6FDF"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96.38%</w:t>
            </w:r>
          </w:p>
        </w:tc>
        <w:tc>
          <w:tcPr>
            <w:tcW w:w="1574" w:type="dxa"/>
            <w:noWrap/>
            <w:hideMark/>
          </w:tcPr>
          <w:p w14:paraId="6A1FAFAD"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94.13%</w:t>
            </w:r>
          </w:p>
        </w:tc>
      </w:tr>
      <w:tr w:rsidR="008D0CAD" w:rsidRPr="00E00C4B" w14:paraId="4838A83C" w14:textId="77777777" w:rsidTr="00536AA2">
        <w:trPr>
          <w:trHeight w:val="211"/>
        </w:trPr>
        <w:tc>
          <w:tcPr>
            <w:tcW w:w="2039" w:type="dxa"/>
            <w:noWrap/>
            <w:hideMark/>
          </w:tcPr>
          <w:p w14:paraId="04DC4246"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themeColor="text1"/>
                <w:sz w:val="16"/>
                <w:szCs w:val="16"/>
              </w:rPr>
            </w:pPr>
            <w:r w:rsidRPr="00E00C4B">
              <w:rPr>
                <w:rFonts w:asciiTheme="majorHAnsi" w:hAnsiTheme="majorHAnsi" w:cstheme="majorHAnsi"/>
                <w:color w:val="000000" w:themeColor="text1"/>
                <w:sz w:val="16"/>
                <w:szCs w:val="16"/>
              </w:rPr>
              <w:t xml:space="preserve">Region VI </w:t>
            </w:r>
          </w:p>
        </w:tc>
        <w:tc>
          <w:tcPr>
            <w:tcW w:w="1574" w:type="dxa"/>
            <w:noWrap/>
            <w:hideMark/>
          </w:tcPr>
          <w:p w14:paraId="10E72357"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95.34%</w:t>
            </w:r>
          </w:p>
        </w:tc>
        <w:tc>
          <w:tcPr>
            <w:tcW w:w="1574" w:type="dxa"/>
            <w:noWrap/>
            <w:hideMark/>
          </w:tcPr>
          <w:p w14:paraId="0E438505"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95.18%</w:t>
            </w:r>
          </w:p>
        </w:tc>
        <w:tc>
          <w:tcPr>
            <w:tcW w:w="1574" w:type="dxa"/>
            <w:noWrap/>
            <w:hideMark/>
          </w:tcPr>
          <w:p w14:paraId="4F52BE13"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95.18%</w:t>
            </w:r>
          </w:p>
        </w:tc>
        <w:tc>
          <w:tcPr>
            <w:tcW w:w="1574" w:type="dxa"/>
            <w:noWrap/>
            <w:hideMark/>
          </w:tcPr>
          <w:p w14:paraId="3452ADA7"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99.72%</w:t>
            </w:r>
          </w:p>
        </w:tc>
        <w:tc>
          <w:tcPr>
            <w:tcW w:w="1574" w:type="dxa"/>
            <w:noWrap/>
            <w:hideMark/>
          </w:tcPr>
          <w:p w14:paraId="62DCB5D5"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97.64%</w:t>
            </w:r>
          </w:p>
        </w:tc>
      </w:tr>
      <w:tr w:rsidR="008D0CAD" w:rsidRPr="00E00C4B" w14:paraId="6B82EF4D" w14:textId="77777777" w:rsidTr="00536AA2">
        <w:trPr>
          <w:trHeight w:val="211"/>
        </w:trPr>
        <w:tc>
          <w:tcPr>
            <w:tcW w:w="2039" w:type="dxa"/>
            <w:noWrap/>
            <w:hideMark/>
          </w:tcPr>
          <w:p w14:paraId="409AE94D"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themeColor="text1"/>
                <w:sz w:val="16"/>
                <w:szCs w:val="16"/>
              </w:rPr>
            </w:pPr>
            <w:r w:rsidRPr="00E00C4B">
              <w:rPr>
                <w:rFonts w:asciiTheme="majorHAnsi" w:hAnsiTheme="majorHAnsi" w:cstheme="majorHAnsi"/>
                <w:color w:val="000000" w:themeColor="text1"/>
                <w:sz w:val="16"/>
                <w:szCs w:val="16"/>
              </w:rPr>
              <w:t xml:space="preserve">Region VII </w:t>
            </w:r>
          </w:p>
        </w:tc>
        <w:tc>
          <w:tcPr>
            <w:tcW w:w="1574" w:type="dxa"/>
            <w:noWrap/>
            <w:hideMark/>
          </w:tcPr>
          <w:p w14:paraId="11F51135"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96.64%</w:t>
            </w:r>
          </w:p>
        </w:tc>
        <w:tc>
          <w:tcPr>
            <w:tcW w:w="1574" w:type="dxa"/>
            <w:noWrap/>
            <w:hideMark/>
          </w:tcPr>
          <w:p w14:paraId="01A1D6C1"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95.26%</w:t>
            </w:r>
          </w:p>
        </w:tc>
        <w:tc>
          <w:tcPr>
            <w:tcW w:w="1574" w:type="dxa"/>
            <w:noWrap/>
            <w:hideMark/>
          </w:tcPr>
          <w:p w14:paraId="38B85BF1"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95.26%</w:t>
            </w:r>
          </w:p>
        </w:tc>
        <w:tc>
          <w:tcPr>
            <w:tcW w:w="1574" w:type="dxa"/>
            <w:noWrap/>
            <w:hideMark/>
          </w:tcPr>
          <w:p w14:paraId="13ABFE60"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101.69%</w:t>
            </w:r>
          </w:p>
        </w:tc>
        <w:tc>
          <w:tcPr>
            <w:tcW w:w="1574" w:type="dxa"/>
            <w:noWrap/>
            <w:hideMark/>
          </w:tcPr>
          <w:p w14:paraId="484A754D"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98.47%</w:t>
            </w:r>
          </w:p>
        </w:tc>
      </w:tr>
      <w:tr w:rsidR="008D0CAD" w:rsidRPr="00E00C4B" w14:paraId="6C40D9FE" w14:textId="77777777" w:rsidTr="00536AA2">
        <w:trPr>
          <w:trHeight w:val="211"/>
        </w:trPr>
        <w:tc>
          <w:tcPr>
            <w:tcW w:w="2039" w:type="dxa"/>
            <w:noWrap/>
            <w:hideMark/>
          </w:tcPr>
          <w:p w14:paraId="19233F22"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themeColor="text1"/>
                <w:sz w:val="16"/>
                <w:szCs w:val="16"/>
              </w:rPr>
            </w:pPr>
            <w:r w:rsidRPr="00E00C4B">
              <w:rPr>
                <w:rFonts w:asciiTheme="majorHAnsi" w:hAnsiTheme="majorHAnsi" w:cstheme="majorHAnsi"/>
                <w:color w:val="000000" w:themeColor="text1"/>
                <w:sz w:val="16"/>
                <w:szCs w:val="16"/>
              </w:rPr>
              <w:t xml:space="preserve">Region VIII </w:t>
            </w:r>
          </w:p>
        </w:tc>
        <w:tc>
          <w:tcPr>
            <w:tcW w:w="1574" w:type="dxa"/>
            <w:noWrap/>
            <w:hideMark/>
          </w:tcPr>
          <w:p w14:paraId="7839AD07"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92.22%</w:t>
            </w:r>
          </w:p>
        </w:tc>
        <w:tc>
          <w:tcPr>
            <w:tcW w:w="1574" w:type="dxa"/>
            <w:noWrap/>
            <w:hideMark/>
          </w:tcPr>
          <w:p w14:paraId="57AFCFCA"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89.03%</w:t>
            </w:r>
          </w:p>
        </w:tc>
        <w:tc>
          <w:tcPr>
            <w:tcW w:w="1574" w:type="dxa"/>
            <w:noWrap/>
            <w:hideMark/>
          </w:tcPr>
          <w:p w14:paraId="0EC3681B"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89.03%</w:t>
            </w:r>
          </w:p>
        </w:tc>
        <w:tc>
          <w:tcPr>
            <w:tcW w:w="1574" w:type="dxa"/>
            <w:noWrap/>
            <w:hideMark/>
          </w:tcPr>
          <w:p w14:paraId="797D809D"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94.19%</w:t>
            </w:r>
          </w:p>
        </w:tc>
        <w:tc>
          <w:tcPr>
            <w:tcW w:w="1574" w:type="dxa"/>
            <w:noWrap/>
            <w:hideMark/>
          </w:tcPr>
          <w:p w14:paraId="5EBBF8B3"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92.76%</w:t>
            </w:r>
          </w:p>
        </w:tc>
      </w:tr>
      <w:tr w:rsidR="008D0CAD" w:rsidRPr="00E00C4B" w14:paraId="644551EE" w14:textId="77777777" w:rsidTr="00536AA2">
        <w:trPr>
          <w:trHeight w:val="211"/>
        </w:trPr>
        <w:tc>
          <w:tcPr>
            <w:tcW w:w="2039" w:type="dxa"/>
            <w:noWrap/>
            <w:hideMark/>
          </w:tcPr>
          <w:p w14:paraId="0EF7E5DB"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themeColor="text1"/>
                <w:sz w:val="16"/>
                <w:szCs w:val="16"/>
              </w:rPr>
            </w:pPr>
            <w:r w:rsidRPr="00E00C4B">
              <w:rPr>
                <w:rFonts w:asciiTheme="majorHAnsi" w:hAnsiTheme="majorHAnsi" w:cstheme="majorHAnsi"/>
                <w:color w:val="000000" w:themeColor="text1"/>
                <w:sz w:val="16"/>
                <w:szCs w:val="16"/>
              </w:rPr>
              <w:t xml:space="preserve">Region IX </w:t>
            </w:r>
          </w:p>
        </w:tc>
        <w:tc>
          <w:tcPr>
            <w:tcW w:w="1574" w:type="dxa"/>
            <w:noWrap/>
            <w:hideMark/>
          </w:tcPr>
          <w:p w14:paraId="5739AA58"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89.75%</w:t>
            </w:r>
          </w:p>
        </w:tc>
        <w:tc>
          <w:tcPr>
            <w:tcW w:w="1574" w:type="dxa"/>
            <w:noWrap/>
            <w:hideMark/>
          </w:tcPr>
          <w:p w14:paraId="5A48DD1D"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89.57%</w:t>
            </w:r>
          </w:p>
        </w:tc>
        <w:tc>
          <w:tcPr>
            <w:tcW w:w="1574" w:type="dxa"/>
            <w:noWrap/>
            <w:hideMark/>
          </w:tcPr>
          <w:p w14:paraId="385797FF"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89.57%</w:t>
            </w:r>
          </w:p>
        </w:tc>
        <w:tc>
          <w:tcPr>
            <w:tcW w:w="1574" w:type="dxa"/>
            <w:noWrap/>
            <w:hideMark/>
          </w:tcPr>
          <w:p w14:paraId="136EF226"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91.56%</w:t>
            </w:r>
          </w:p>
        </w:tc>
        <w:tc>
          <w:tcPr>
            <w:tcW w:w="1574" w:type="dxa"/>
            <w:noWrap/>
            <w:hideMark/>
          </w:tcPr>
          <w:p w14:paraId="224C4D7C"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90.21%</w:t>
            </w:r>
          </w:p>
        </w:tc>
      </w:tr>
      <w:tr w:rsidR="008D0CAD" w:rsidRPr="00E00C4B" w14:paraId="65B1F1DE" w14:textId="77777777" w:rsidTr="00536AA2">
        <w:trPr>
          <w:trHeight w:val="211"/>
        </w:trPr>
        <w:tc>
          <w:tcPr>
            <w:tcW w:w="2039" w:type="dxa"/>
            <w:noWrap/>
            <w:hideMark/>
          </w:tcPr>
          <w:p w14:paraId="52650707"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themeColor="text1"/>
                <w:sz w:val="16"/>
                <w:szCs w:val="16"/>
              </w:rPr>
            </w:pPr>
            <w:r w:rsidRPr="00E00C4B">
              <w:rPr>
                <w:rFonts w:asciiTheme="majorHAnsi" w:hAnsiTheme="majorHAnsi" w:cstheme="majorHAnsi"/>
                <w:color w:val="000000" w:themeColor="text1"/>
                <w:sz w:val="16"/>
                <w:szCs w:val="16"/>
              </w:rPr>
              <w:t>Region X</w:t>
            </w:r>
          </w:p>
        </w:tc>
        <w:tc>
          <w:tcPr>
            <w:tcW w:w="1574" w:type="dxa"/>
            <w:noWrap/>
            <w:hideMark/>
          </w:tcPr>
          <w:p w14:paraId="08CB8325"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90.56%</w:t>
            </w:r>
          </w:p>
        </w:tc>
        <w:tc>
          <w:tcPr>
            <w:tcW w:w="1574" w:type="dxa"/>
            <w:noWrap/>
            <w:hideMark/>
          </w:tcPr>
          <w:p w14:paraId="0272CFA1"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89.22%</w:t>
            </w:r>
          </w:p>
        </w:tc>
        <w:tc>
          <w:tcPr>
            <w:tcW w:w="1574" w:type="dxa"/>
            <w:noWrap/>
            <w:hideMark/>
          </w:tcPr>
          <w:p w14:paraId="0993F4E9"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89.22%</w:t>
            </w:r>
          </w:p>
        </w:tc>
        <w:tc>
          <w:tcPr>
            <w:tcW w:w="1574" w:type="dxa"/>
            <w:noWrap/>
            <w:hideMark/>
          </w:tcPr>
          <w:p w14:paraId="0C274293"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97.58%</w:t>
            </w:r>
          </w:p>
        </w:tc>
        <w:tc>
          <w:tcPr>
            <w:tcW w:w="1574" w:type="dxa"/>
            <w:noWrap/>
            <w:hideMark/>
          </w:tcPr>
          <w:p w14:paraId="5931C726"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97.15%</w:t>
            </w:r>
          </w:p>
        </w:tc>
      </w:tr>
      <w:tr w:rsidR="008D0CAD" w:rsidRPr="00E00C4B" w14:paraId="03A73744" w14:textId="77777777" w:rsidTr="00536AA2">
        <w:trPr>
          <w:trHeight w:val="211"/>
        </w:trPr>
        <w:tc>
          <w:tcPr>
            <w:tcW w:w="2039" w:type="dxa"/>
            <w:noWrap/>
            <w:hideMark/>
          </w:tcPr>
          <w:p w14:paraId="7698CEA0"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themeColor="text1"/>
                <w:sz w:val="16"/>
                <w:szCs w:val="16"/>
              </w:rPr>
            </w:pPr>
            <w:r w:rsidRPr="00E00C4B">
              <w:rPr>
                <w:rFonts w:asciiTheme="majorHAnsi" w:hAnsiTheme="majorHAnsi" w:cstheme="majorHAnsi"/>
                <w:color w:val="000000" w:themeColor="text1"/>
                <w:sz w:val="16"/>
                <w:szCs w:val="16"/>
              </w:rPr>
              <w:t xml:space="preserve">Region XI </w:t>
            </w:r>
          </w:p>
        </w:tc>
        <w:tc>
          <w:tcPr>
            <w:tcW w:w="1574" w:type="dxa"/>
            <w:noWrap/>
            <w:hideMark/>
          </w:tcPr>
          <w:p w14:paraId="5F3BCF6D"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97.30%</w:t>
            </w:r>
          </w:p>
        </w:tc>
        <w:tc>
          <w:tcPr>
            <w:tcW w:w="1574" w:type="dxa"/>
            <w:noWrap/>
            <w:hideMark/>
          </w:tcPr>
          <w:p w14:paraId="149179D1"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95.74%</w:t>
            </w:r>
          </w:p>
        </w:tc>
        <w:tc>
          <w:tcPr>
            <w:tcW w:w="1574" w:type="dxa"/>
            <w:noWrap/>
            <w:hideMark/>
          </w:tcPr>
          <w:p w14:paraId="2BFB0C03"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95.74%</w:t>
            </w:r>
          </w:p>
        </w:tc>
        <w:tc>
          <w:tcPr>
            <w:tcW w:w="1574" w:type="dxa"/>
            <w:noWrap/>
            <w:hideMark/>
          </w:tcPr>
          <w:p w14:paraId="590894B2"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99.92%</w:t>
            </w:r>
          </w:p>
        </w:tc>
        <w:tc>
          <w:tcPr>
            <w:tcW w:w="1574" w:type="dxa"/>
            <w:noWrap/>
            <w:hideMark/>
          </w:tcPr>
          <w:p w14:paraId="393D670D"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96.59%</w:t>
            </w:r>
          </w:p>
        </w:tc>
      </w:tr>
      <w:tr w:rsidR="008D0CAD" w:rsidRPr="00E00C4B" w14:paraId="6C8E8F87" w14:textId="77777777" w:rsidTr="00536AA2">
        <w:trPr>
          <w:trHeight w:val="211"/>
        </w:trPr>
        <w:tc>
          <w:tcPr>
            <w:tcW w:w="2039" w:type="dxa"/>
            <w:noWrap/>
            <w:hideMark/>
          </w:tcPr>
          <w:p w14:paraId="40FFE180"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themeColor="text1"/>
                <w:sz w:val="16"/>
                <w:szCs w:val="16"/>
              </w:rPr>
            </w:pPr>
            <w:r w:rsidRPr="00E00C4B">
              <w:rPr>
                <w:rFonts w:asciiTheme="majorHAnsi" w:hAnsiTheme="majorHAnsi" w:cstheme="majorHAnsi"/>
                <w:color w:val="000000" w:themeColor="text1"/>
                <w:sz w:val="16"/>
                <w:szCs w:val="16"/>
              </w:rPr>
              <w:t xml:space="preserve">Region XII </w:t>
            </w:r>
          </w:p>
        </w:tc>
        <w:tc>
          <w:tcPr>
            <w:tcW w:w="1574" w:type="dxa"/>
            <w:noWrap/>
            <w:hideMark/>
          </w:tcPr>
          <w:p w14:paraId="337AD560"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85.93%</w:t>
            </w:r>
          </w:p>
        </w:tc>
        <w:tc>
          <w:tcPr>
            <w:tcW w:w="1574" w:type="dxa"/>
            <w:noWrap/>
            <w:hideMark/>
          </w:tcPr>
          <w:p w14:paraId="0A58909B"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86.72%</w:t>
            </w:r>
          </w:p>
        </w:tc>
        <w:tc>
          <w:tcPr>
            <w:tcW w:w="1574" w:type="dxa"/>
            <w:noWrap/>
            <w:hideMark/>
          </w:tcPr>
          <w:p w14:paraId="02B03DCA"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86.72%</w:t>
            </w:r>
          </w:p>
        </w:tc>
        <w:tc>
          <w:tcPr>
            <w:tcW w:w="1574" w:type="dxa"/>
            <w:noWrap/>
            <w:hideMark/>
          </w:tcPr>
          <w:p w14:paraId="3E3F19B1"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93.07%</w:t>
            </w:r>
          </w:p>
        </w:tc>
        <w:tc>
          <w:tcPr>
            <w:tcW w:w="1574" w:type="dxa"/>
            <w:noWrap/>
            <w:hideMark/>
          </w:tcPr>
          <w:p w14:paraId="15C974B2"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91.44%</w:t>
            </w:r>
          </w:p>
        </w:tc>
      </w:tr>
      <w:tr w:rsidR="008D0CAD" w:rsidRPr="00E00C4B" w14:paraId="3483528F" w14:textId="77777777" w:rsidTr="00536AA2">
        <w:trPr>
          <w:trHeight w:val="211"/>
        </w:trPr>
        <w:tc>
          <w:tcPr>
            <w:tcW w:w="2039" w:type="dxa"/>
            <w:noWrap/>
            <w:hideMark/>
          </w:tcPr>
          <w:p w14:paraId="34251718"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themeColor="text1"/>
                <w:sz w:val="16"/>
                <w:szCs w:val="16"/>
              </w:rPr>
            </w:pPr>
            <w:r w:rsidRPr="00E00C4B">
              <w:rPr>
                <w:rFonts w:asciiTheme="majorHAnsi" w:hAnsiTheme="majorHAnsi" w:cstheme="majorHAnsi"/>
                <w:color w:val="000000" w:themeColor="text1"/>
                <w:sz w:val="16"/>
                <w:szCs w:val="16"/>
              </w:rPr>
              <w:t>CARAGA Region</w:t>
            </w:r>
          </w:p>
        </w:tc>
        <w:tc>
          <w:tcPr>
            <w:tcW w:w="1574" w:type="dxa"/>
            <w:noWrap/>
            <w:hideMark/>
          </w:tcPr>
          <w:p w14:paraId="0DF3C0AC"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93.81%</w:t>
            </w:r>
          </w:p>
        </w:tc>
        <w:tc>
          <w:tcPr>
            <w:tcW w:w="1574" w:type="dxa"/>
            <w:noWrap/>
            <w:hideMark/>
          </w:tcPr>
          <w:p w14:paraId="5B334EDD"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93.79%</w:t>
            </w:r>
          </w:p>
        </w:tc>
        <w:tc>
          <w:tcPr>
            <w:tcW w:w="1574" w:type="dxa"/>
            <w:noWrap/>
            <w:hideMark/>
          </w:tcPr>
          <w:p w14:paraId="5A655FF5"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93.79%</w:t>
            </w:r>
          </w:p>
        </w:tc>
        <w:tc>
          <w:tcPr>
            <w:tcW w:w="1574" w:type="dxa"/>
            <w:noWrap/>
            <w:hideMark/>
          </w:tcPr>
          <w:p w14:paraId="7E1F1484"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99.00%</w:t>
            </w:r>
          </w:p>
        </w:tc>
        <w:tc>
          <w:tcPr>
            <w:tcW w:w="1574" w:type="dxa"/>
            <w:noWrap/>
            <w:hideMark/>
          </w:tcPr>
          <w:p w14:paraId="0962F5FB"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96.69%</w:t>
            </w:r>
          </w:p>
        </w:tc>
      </w:tr>
      <w:tr w:rsidR="008D0CAD" w:rsidRPr="00E00C4B" w14:paraId="19252259" w14:textId="77777777" w:rsidTr="00536AA2">
        <w:trPr>
          <w:trHeight w:val="211"/>
        </w:trPr>
        <w:tc>
          <w:tcPr>
            <w:tcW w:w="2039" w:type="dxa"/>
            <w:noWrap/>
            <w:hideMark/>
          </w:tcPr>
          <w:p w14:paraId="2D031084"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themeColor="text1"/>
                <w:sz w:val="16"/>
                <w:szCs w:val="16"/>
              </w:rPr>
            </w:pPr>
            <w:r w:rsidRPr="00E00C4B">
              <w:rPr>
                <w:rFonts w:asciiTheme="majorHAnsi" w:hAnsiTheme="majorHAnsi" w:cstheme="majorHAnsi"/>
                <w:color w:val="000000" w:themeColor="text1"/>
                <w:sz w:val="16"/>
                <w:szCs w:val="16"/>
              </w:rPr>
              <w:t xml:space="preserve">ARMM </w:t>
            </w:r>
          </w:p>
        </w:tc>
        <w:tc>
          <w:tcPr>
            <w:tcW w:w="1574" w:type="dxa"/>
            <w:noWrap/>
            <w:hideMark/>
          </w:tcPr>
          <w:p w14:paraId="699D6640"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83.54%</w:t>
            </w:r>
          </w:p>
        </w:tc>
        <w:tc>
          <w:tcPr>
            <w:tcW w:w="1574" w:type="dxa"/>
            <w:noWrap/>
            <w:hideMark/>
          </w:tcPr>
          <w:p w14:paraId="56689E55"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66.31%</w:t>
            </w:r>
          </w:p>
        </w:tc>
        <w:tc>
          <w:tcPr>
            <w:tcW w:w="1574" w:type="dxa"/>
            <w:noWrap/>
            <w:hideMark/>
          </w:tcPr>
          <w:p w14:paraId="068F111A"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66.31%</w:t>
            </w:r>
          </w:p>
        </w:tc>
        <w:tc>
          <w:tcPr>
            <w:tcW w:w="1574" w:type="dxa"/>
            <w:noWrap/>
            <w:hideMark/>
          </w:tcPr>
          <w:p w14:paraId="398FCD57"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73.86%</w:t>
            </w:r>
          </w:p>
        </w:tc>
        <w:tc>
          <w:tcPr>
            <w:tcW w:w="1574" w:type="dxa"/>
            <w:noWrap/>
            <w:hideMark/>
          </w:tcPr>
          <w:p w14:paraId="5CC5539A"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69.51%</w:t>
            </w:r>
          </w:p>
        </w:tc>
      </w:tr>
      <w:tr w:rsidR="008D0CAD" w:rsidRPr="00E00C4B" w14:paraId="02FA2BFB" w14:textId="77777777" w:rsidTr="00536AA2">
        <w:trPr>
          <w:trHeight w:val="211"/>
        </w:trPr>
        <w:tc>
          <w:tcPr>
            <w:tcW w:w="2039" w:type="dxa"/>
            <w:noWrap/>
            <w:hideMark/>
          </w:tcPr>
          <w:p w14:paraId="40A37D49"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themeColor="text1"/>
                <w:sz w:val="16"/>
                <w:szCs w:val="16"/>
              </w:rPr>
            </w:pPr>
            <w:r w:rsidRPr="00E00C4B">
              <w:rPr>
                <w:rFonts w:asciiTheme="majorHAnsi" w:hAnsiTheme="majorHAnsi" w:cstheme="majorHAnsi"/>
                <w:color w:val="000000" w:themeColor="text1"/>
                <w:sz w:val="16"/>
                <w:szCs w:val="16"/>
              </w:rPr>
              <w:t xml:space="preserve">CAR </w:t>
            </w:r>
          </w:p>
        </w:tc>
        <w:tc>
          <w:tcPr>
            <w:tcW w:w="1574" w:type="dxa"/>
            <w:noWrap/>
            <w:hideMark/>
          </w:tcPr>
          <w:p w14:paraId="5B0A21E6"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95.09%</w:t>
            </w:r>
          </w:p>
        </w:tc>
        <w:tc>
          <w:tcPr>
            <w:tcW w:w="1574" w:type="dxa"/>
            <w:noWrap/>
            <w:hideMark/>
          </w:tcPr>
          <w:p w14:paraId="2EC3603A"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91.36%</w:t>
            </w:r>
          </w:p>
        </w:tc>
        <w:tc>
          <w:tcPr>
            <w:tcW w:w="1574" w:type="dxa"/>
            <w:noWrap/>
            <w:hideMark/>
          </w:tcPr>
          <w:p w14:paraId="184F6B96"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91.36%</w:t>
            </w:r>
          </w:p>
        </w:tc>
        <w:tc>
          <w:tcPr>
            <w:tcW w:w="1574" w:type="dxa"/>
            <w:noWrap/>
            <w:hideMark/>
          </w:tcPr>
          <w:p w14:paraId="39DF1D27"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97.94%</w:t>
            </w:r>
          </w:p>
        </w:tc>
        <w:tc>
          <w:tcPr>
            <w:tcW w:w="1574" w:type="dxa"/>
            <w:noWrap/>
            <w:hideMark/>
          </w:tcPr>
          <w:p w14:paraId="3F6E3BD5"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95.13%</w:t>
            </w:r>
          </w:p>
        </w:tc>
      </w:tr>
      <w:tr w:rsidR="008D0CAD" w:rsidRPr="00E00C4B" w14:paraId="14B9B6BE" w14:textId="77777777" w:rsidTr="00536AA2">
        <w:trPr>
          <w:trHeight w:val="211"/>
        </w:trPr>
        <w:tc>
          <w:tcPr>
            <w:tcW w:w="2039" w:type="dxa"/>
            <w:noWrap/>
            <w:hideMark/>
          </w:tcPr>
          <w:p w14:paraId="5275E83E"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themeColor="text1"/>
                <w:sz w:val="16"/>
                <w:szCs w:val="16"/>
              </w:rPr>
            </w:pPr>
            <w:r w:rsidRPr="00E00C4B">
              <w:rPr>
                <w:rFonts w:asciiTheme="majorHAnsi" w:hAnsiTheme="majorHAnsi" w:cstheme="majorHAnsi"/>
                <w:color w:val="000000" w:themeColor="text1"/>
                <w:sz w:val="16"/>
                <w:szCs w:val="16"/>
              </w:rPr>
              <w:t>NCR</w:t>
            </w:r>
          </w:p>
        </w:tc>
        <w:tc>
          <w:tcPr>
            <w:tcW w:w="1574" w:type="dxa"/>
            <w:noWrap/>
            <w:hideMark/>
          </w:tcPr>
          <w:p w14:paraId="105B64E0"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91.31%</w:t>
            </w:r>
          </w:p>
        </w:tc>
        <w:tc>
          <w:tcPr>
            <w:tcW w:w="1574" w:type="dxa"/>
            <w:noWrap/>
            <w:hideMark/>
          </w:tcPr>
          <w:p w14:paraId="1D39A165"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86.49%</w:t>
            </w:r>
          </w:p>
        </w:tc>
        <w:tc>
          <w:tcPr>
            <w:tcW w:w="1574" w:type="dxa"/>
            <w:noWrap/>
            <w:hideMark/>
          </w:tcPr>
          <w:p w14:paraId="46F16620"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86.49%</w:t>
            </w:r>
          </w:p>
        </w:tc>
        <w:tc>
          <w:tcPr>
            <w:tcW w:w="1574" w:type="dxa"/>
            <w:noWrap/>
            <w:hideMark/>
          </w:tcPr>
          <w:p w14:paraId="35E7A993"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95.30%</w:t>
            </w:r>
          </w:p>
        </w:tc>
        <w:tc>
          <w:tcPr>
            <w:tcW w:w="1574" w:type="dxa"/>
            <w:noWrap/>
            <w:hideMark/>
          </w:tcPr>
          <w:p w14:paraId="13613EFA"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92.20%</w:t>
            </w:r>
          </w:p>
        </w:tc>
      </w:tr>
      <w:tr w:rsidR="008D0CAD" w:rsidRPr="00E00C4B" w14:paraId="63D72F06" w14:textId="77777777" w:rsidTr="00536AA2">
        <w:trPr>
          <w:trHeight w:val="211"/>
        </w:trPr>
        <w:tc>
          <w:tcPr>
            <w:tcW w:w="2039" w:type="dxa"/>
            <w:noWrap/>
            <w:hideMark/>
          </w:tcPr>
          <w:p w14:paraId="33A45A29"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themeColor="text1"/>
                <w:sz w:val="16"/>
                <w:szCs w:val="16"/>
              </w:rPr>
            </w:pPr>
            <w:r w:rsidRPr="00E00C4B">
              <w:rPr>
                <w:rFonts w:asciiTheme="majorHAnsi" w:hAnsiTheme="majorHAnsi" w:cstheme="majorHAnsi"/>
                <w:color w:val="000000" w:themeColor="text1"/>
                <w:sz w:val="16"/>
                <w:szCs w:val="16"/>
              </w:rPr>
              <w:t>Philippines</w:t>
            </w:r>
          </w:p>
        </w:tc>
        <w:tc>
          <w:tcPr>
            <w:tcW w:w="1574" w:type="dxa"/>
            <w:noWrap/>
            <w:hideMark/>
          </w:tcPr>
          <w:p w14:paraId="4323A725" w14:textId="77777777" w:rsidR="008D0CAD" w:rsidRPr="00E00C4B" w:rsidRDefault="008D0CAD" w:rsidP="00796BFA">
            <w:pPr>
              <w:spacing w:before="100" w:beforeAutospacing="1" w:after="100" w:afterAutospacing="1" w:line="360" w:lineRule="auto"/>
              <w:rPr>
                <w:rFonts w:asciiTheme="majorHAnsi" w:hAnsiTheme="majorHAnsi" w:cstheme="majorHAnsi"/>
                <w:b/>
                <w:sz w:val="16"/>
                <w:szCs w:val="16"/>
              </w:rPr>
            </w:pPr>
            <w:r w:rsidRPr="00E00C4B">
              <w:rPr>
                <w:rFonts w:asciiTheme="majorHAnsi" w:hAnsiTheme="majorHAnsi" w:cstheme="majorHAnsi"/>
                <w:b/>
                <w:sz w:val="16"/>
                <w:szCs w:val="16"/>
              </w:rPr>
              <w:t>93.00%</w:t>
            </w:r>
          </w:p>
        </w:tc>
        <w:tc>
          <w:tcPr>
            <w:tcW w:w="1574" w:type="dxa"/>
            <w:noWrap/>
            <w:hideMark/>
          </w:tcPr>
          <w:p w14:paraId="49CFFE86" w14:textId="77777777" w:rsidR="008D0CAD" w:rsidRPr="00E00C4B" w:rsidRDefault="008D0CAD" w:rsidP="00796BFA">
            <w:pPr>
              <w:spacing w:before="100" w:beforeAutospacing="1" w:after="100" w:afterAutospacing="1" w:line="360" w:lineRule="auto"/>
              <w:rPr>
                <w:rFonts w:asciiTheme="majorHAnsi" w:hAnsiTheme="majorHAnsi" w:cstheme="majorHAnsi"/>
                <w:b/>
                <w:sz w:val="16"/>
                <w:szCs w:val="16"/>
              </w:rPr>
            </w:pPr>
            <w:r w:rsidRPr="00E00C4B">
              <w:rPr>
                <w:rFonts w:asciiTheme="majorHAnsi" w:hAnsiTheme="majorHAnsi" w:cstheme="majorHAnsi"/>
                <w:b/>
                <w:sz w:val="16"/>
                <w:szCs w:val="16"/>
              </w:rPr>
              <w:t>90.20%</w:t>
            </w:r>
          </w:p>
        </w:tc>
        <w:tc>
          <w:tcPr>
            <w:tcW w:w="1574" w:type="dxa"/>
            <w:noWrap/>
            <w:hideMark/>
          </w:tcPr>
          <w:p w14:paraId="4B642A7A" w14:textId="77777777" w:rsidR="008D0CAD" w:rsidRPr="00E00C4B" w:rsidRDefault="008D0CAD" w:rsidP="00796BFA">
            <w:pPr>
              <w:spacing w:before="100" w:beforeAutospacing="1" w:after="100" w:afterAutospacing="1" w:line="360" w:lineRule="auto"/>
              <w:rPr>
                <w:rFonts w:asciiTheme="majorHAnsi" w:hAnsiTheme="majorHAnsi" w:cstheme="majorHAnsi"/>
                <w:b/>
                <w:sz w:val="16"/>
                <w:szCs w:val="16"/>
              </w:rPr>
            </w:pPr>
            <w:r w:rsidRPr="00E00C4B">
              <w:rPr>
                <w:rFonts w:asciiTheme="majorHAnsi" w:hAnsiTheme="majorHAnsi" w:cstheme="majorHAnsi"/>
                <w:b/>
                <w:sz w:val="16"/>
                <w:szCs w:val="16"/>
              </w:rPr>
              <w:t>90.20%</w:t>
            </w:r>
          </w:p>
        </w:tc>
        <w:tc>
          <w:tcPr>
            <w:tcW w:w="1574" w:type="dxa"/>
            <w:noWrap/>
            <w:hideMark/>
          </w:tcPr>
          <w:p w14:paraId="5CBE7551" w14:textId="77777777" w:rsidR="008D0CAD" w:rsidRPr="00E00C4B" w:rsidRDefault="008D0CAD" w:rsidP="00796BFA">
            <w:pPr>
              <w:spacing w:before="100" w:beforeAutospacing="1" w:after="100" w:afterAutospacing="1" w:line="360" w:lineRule="auto"/>
              <w:rPr>
                <w:rFonts w:asciiTheme="majorHAnsi" w:hAnsiTheme="majorHAnsi" w:cstheme="majorHAnsi"/>
                <w:b/>
                <w:sz w:val="16"/>
                <w:szCs w:val="16"/>
              </w:rPr>
            </w:pPr>
            <w:r w:rsidRPr="00E00C4B">
              <w:rPr>
                <w:rFonts w:asciiTheme="majorHAnsi" w:hAnsiTheme="majorHAnsi" w:cstheme="majorHAnsi"/>
                <w:b/>
                <w:sz w:val="16"/>
                <w:szCs w:val="16"/>
              </w:rPr>
              <w:t>96.17%</w:t>
            </w:r>
          </w:p>
        </w:tc>
        <w:tc>
          <w:tcPr>
            <w:tcW w:w="1574" w:type="dxa"/>
            <w:noWrap/>
            <w:hideMark/>
          </w:tcPr>
          <w:p w14:paraId="11A78CF4" w14:textId="77777777" w:rsidR="008D0CAD" w:rsidRPr="00E00C4B" w:rsidRDefault="008D0CAD" w:rsidP="00796BFA">
            <w:pPr>
              <w:spacing w:before="100" w:beforeAutospacing="1" w:after="100" w:afterAutospacing="1" w:line="360" w:lineRule="auto"/>
              <w:rPr>
                <w:rFonts w:asciiTheme="majorHAnsi" w:hAnsiTheme="majorHAnsi" w:cstheme="majorHAnsi"/>
                <w:b/>
                <w:sz w:val="16"/>
                <w:szCs w:val="16"/>
              </w:rPr>
            </w:pPr>
            <w:r w:rsidRPr="00E00C4B">
              <w:rPr>
                <w:rFonts w:asciiTheme="majorHAnsi" w:hAnsiTheme="majorHAnsi" w:cstheme="majorHAnsi"/>
                <w:b/>
                <w:sz w:val="16"/>
                <w:szCs w:val="16"/>
              </w:rPr>
              <w:t>94.12%</w:t>
            </w:r>
          </w:p>
        </w:tc>
      </w:tr>
    </w:tbl>
    <w:p w14:paraId="5133F6D5" w14:textId="77777777" w:rsidR="008D0CAD" w:rsidRPr="00E00C4B" w:rsidRDefault="008D0CAD" w:rsidP="00796BFA">
      <w:pPr>
        <w:spacing w:before="100" w:beforeAutospacing="1" w:after="100" w:afterAutospacing="1" w:line="360" w:lineRule="auto"/>
        <w:rPr>
          <w:rFonts w:asciiTheme="majorHAnsi" w:hAnsiTheme="majorHAnsi" w:cstheme="majorHAnsi"/>
          <w:bCs/>
          <w:i/>
          <w:iCs/>
          <w:sz w:val="20"/>
          <w:szCs w:val="20"/>
          <w:lang w:val="en-US"/>
        </w:rPr>
      </w:pPr>
      <w:r w:rsidRPr="00E00C4B">
        <w:rPr>
          <w:rFonts w:asciiTheme="majorHAnsi" w:hAnsiTheme="majorHAnsi" w:cstheme="majorHAnsi"/>
          <w:bCs/>
          <w:i/>
          <w:iCs/>
          <w:sz w:val="20"/>
          <w:szCs w:val="20"/>
          <w:lang w:val="en-US"/>
        </w:rPr>
        <w:t>Source: EBEIS (Retrieved April 2019)</w:t>
      </w:r>
    </w:p>
    <w:p w14:paraId="4B84A489" w14:textId="3785EE3E" w:rsidR="008D0CAD" w:rsidRPr="00E00C4B" w:rsidRDefault="008D0CAD" w:rsidP="00796BFA">
      <w:pPr>
        <w:spacing w:before="100" w:beforeAutospacing="1" w:after="100" w:afterAutospacing="1" w:line="360" w:lineRule="auto"/>
        <w:rPr>
          <w:rFonts w:asciiTheme="majorHAnsi" w:eastAsiaTheme="minorHAnsi" w:hAnsiTheme="majorHAnsi" w:cstheme="majorHAnsi"/>
          <w:i/>
          <w:iCs/>
          <w:color w:val="44546A" w:themeColor="text2"/>
          <w:sz w:val="22"/>
          <w:szCs w:val="22"/>
          <w:lang w:val="en-US"/>
        </w:rPr>
      </w:pPr>
      <w:bookmarkStart w:id="559" w:name="_Toc16524190"/>
      <w:bookmarkStart w:id="560" w:name="_Toc71616653"/>
      <w:r w:rsidRPr="00E00C4B">
        <w:rPr>
          <w:rFonts w:asciiTheme="majorHAnsi" w:eastAsiaTheme="minorHAnsi" w:hAnsiTheme="majorHAnsi" w:cstheme="majorHAnsi"/>
          <w:i/>
          <w:iCs/>
          <w:color w:val="44546A" w:themeColor="text2"/>
          <w:sz w:val="22"/>
          <w:szCs w:val="22"/>
          <w:lang w:val="en-US"/>
        </w:rPr>
        <w:t xml:space="preserve">Table </w:t>
      </w:r>
      <w:r w:rsidRPr="00E00C4B">
        <w:rPr>
          <w:rFonts w:asciiTheme="majorHAnsi" w:eastAsiaTheme="minorHAnsi" w:hAnsiTheme="majorHAnsi" w:cstheme="majorHAnsi"/>
          <w:i/>
          <w:iCs/>
          <w:color w:val="44546A" w:themeColor="text2"/>
          <w:sz w:val="22"/>
          <w:szCs w:val="22"/>
          <w:lang w:val="en-US"/>
        </w:rPr>
        <w:fldChar w:fldCharType="begin"/>
      </w:r>
      <w:r w:rsidRPr="00E00C4B">
        <w:rPr>
          <w:rFonts w:asciiTheme="majorHAnsi" w:eastAsiaTheme="minorHAnsi" w:hAnsiTheme="majorHAnsi" w:cstheme="majorHAnsi"/>
          <w:i/>
          <w:iCs/>
          <w:color w:val="44546A" w:themeColor="text2"/>
          <w:sz w:val="22"/>
          <w:szCs w:val="22"/>
          <w:lang w:val="en-US"/>
        </w:rPr>
        <w:instrText xml:space="preserve"> SEQ Table \* ARABIC </w:instrText>
      </w:r>
      <w:r w:rsidRPr="00E00C4B">
        <w:rPr>
          <w:rFonts w:asciiTheme="majorHAnsi" w:eastAsiaTheme="minorHAnsi" w:hAnsiTheme="majorHAnsi" w:cstheme="majorHAnsi"/>
          <w:i/>
          <w:iCs/>
          <w:color w:val="44546A" w:themeColor="text2"/>
          <w:sz w:val="22"/>
          <w:szCs w:val="22"/>
          <w:lang w:val="en-US"/>
        </w:rPr>
        <w:fldChar w:fldCharType="separate"/>
      </w:r>
      <w:r w:rsidR="00D6133D">
        <w:rPr>
          <w:rFonts w:asciiTheme="majorHAnsi" w:eastAsiaTheme="minorHAnsi" w:hAnsiTheme="majorHAnsi" w:cstheme="majorHAnsi"/>
          <w:i/>
          <w:iCs/>
          <w:noProof/>
          <w:color w:val="44546A" w:themeColor="text2"/>
          <w:sz w:val="22"/>
          <w:szCs w:val="22"/>
          <w:lang w:val="en-US"/>
        </w:rPr>
        <w:t>62</w:t>
      </w:r>
      <w:r w:rsidRPr="00E00C4B">
        <w:rPr>
          <w:rFonts w:asciiTheme="majorHAnsi" w:eastAsiaTheme="minorHAnsi" w:hAnsiTheme="majorHAnsi" w:cstheme="majorHAnsi"/>
          <w:i/>
          <w:iCs/>
          <w:color w:val="44546A" w:themeColor="text2"/>
          <w:sz w:val="22"/>
          <w:szCs w:val="22"/>
          <w:lang w:val="en-US"/>
        </w:rPr>
        <w:fldChar w:fldCharType="end"/>
      </w:r>
      <w:r w:rsidRPr="00E00C4B">
        <w:rPr>
          <w:rFonts w:asciiTheme="majorHAnsi" w:eastAsiaTheme="minorHAnsi" w:hAnsiTheme="majorHAnsi" w:cstheme="majorHAnsi"/>
          <w:i/>
          <w:iCs/>
          <w:color w:val="44546A" w:themeColor="text2"/>
          <w:sz w:val="22"/>
          <w:szCs w:val="22"/>
          <w:lang w:val="en-US"/>
        </w:rPr>
        <w:t xml:space="preserve">. </w:t>
      </w:r>
      <w:r w:rsidRPr="00E00C4B">
        <w:rPr>
          <w:rFonts w:asciiTheme="majorHAnsi" w:eastAsiaTheme="minorHAnsi" w:hAnsiTheme="majorHAnsi" w:cstheme="majorHAnsi"/>
          <w:bCs/>
          <w:i/>
          <w:iCs/>
          <w:color w:val="44546A" w:themeColor="text2"/>
          <w:sz w:val="22"/>
          <w:szCs w:val="22"/>
          <w:lang w:val="en-US"/>
        </w:rPr>
        <w:t>Elementary Net Enrolment Rate, Female Students, SY 2013-2014 to SY2017-2018</w:t>
      </w:r>
      <w:bookmarkEnd w:id="559"/>
      <w:bookmarkEnd w:id="560"/>
    </w:p>
    <w:tbl>
      <w:tblPr>
        <w:tblStyle w:val="TableGrid11"/>
        <w:tblW w:w="9896" w:type="dxa"/>
        <w:tblLook w:val="04A0" w:firstRow="1" w:lastRow="0" w:firstColumn="1" w:lastColumn="0" w:noHBand="0" w:noVBand="1"/>
      </w:tblPr>
      <w:tblGrid>
        <w:gridCol w:w="2036"/>
        <w:gridCol w:w="1572"/>
        <w:gridCol w:w="1572"/>
        <w:gridCol w:w="1572"/>
        <w:gridCol w:w="1572"/>
        <w:gridCol w:w="1572"/>
      </w:tblGrid>
      <w:tr w:rsidR="008D0CAD" w:rsidRPr="004B064D" w14:paraId="44B83E6B" w14:textId="77777777" w:rsidTr="004B064D">
        <w:trPr>
          <w:trHeight w:val="245"/>
          <w:tblHeader/>
        </w:trPr>
        <w:tc>
          <w:tcPr>
            <w:tcW w:w="2036" w:type="dxa"/>
            <w:noWrap/>
            <w:hideMark/>
          </w:tcPr>
          <w:p w14:paraId="3AA9039F"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000000" w:themeColor="text1"/>
                <w:sz w:val="16"/>
                <w:szCs w:val="16"/>
              </w:rPr>
            </w:pPr>
          </w:p>
        </w:tc>
        <w:tc>
          <w:tcPr>
            <w:tcW w:w="1572" w:type="dxa"/>
            <w:noWrap/>
            <w:hideMark/>
          </w:tcPr>
          <w:p w14:paraId="00FCBB2A"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000000" w:themeColor="text1"/>
                <w:sz w:val="16"/>
                <w:szCs w:val="16"/>
              </w:rPr>
            </w:pPr>
            <w:r w:rsidRPr="004B064D">
              <w:rPr>
                <w:rFonts w:asciiTheme="majorHAnsi" w:hAnsiTheme="majorHAnsi" w:cstheme="majorHAnsi"/>
                <w:b/>
                <w:bCs/>
                <w:color w:val="000000" w:themeColor="text1"/>
                <w:sz w:val="16"/>
                <w:szCs w:val="16"/>
              </w:rPr>
              <w:t>SY 2013-2014</w:t>
            </w:r>
          </w:p>
        </w:tc>
        <w:tc>
          <w:tcPr>
            <w:tcW w:w="1572" w:type="dxa"/>
            <w:noWrap/>
            <w:hideMark/>
          </w:tcPr>
          <w:p w14:paraId="7AA4E9E9"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000000" w:themeColor="text1"/>
                <w:sz w:val="16"/>
                <w:szCs w:val="16"/>
              </w:rPr>
            </w:pPr>
            <w:r w:rsidRPr="004B064D">
              <w:rPr>
                <w:rFonts w:asciiTheme="majorHAnsi" w:hAnsiTheme="majorHAnsi" w:cstheme="majorHAnsi"/>
                <w:b/>
                <w:bCs/>
                <w:color w:val="000000" w:themeColor="text1"/>
                <w:sz w:val="16"/>
                <w:szCs w:val="16"/>
              </w:rPr>
              <w:t>SY 2014-2015</w:t>
            </w:r>
          </w:p>
        </w:tc>
        <w:tc>
          <w:tcPr>
            <w:tcW w:w="1572" w:type="dxa"/>
            <w:noWrap/>
            <w:hideMark/>
          </w:tcPr>
          <w:p w14:paraId="23AE7D91"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000000" w:themeColor="text1"/>
                <w:sz w:val="16"/>
                <w:szCs w:val="16"/>
              </w:rPr>
            </w:pPr>
            <w:r w:rsidRPr="004B064D">
              <w:rPr>
                <w:rFonts w:asciiTheme="majorHAnsi" w:hAnsiTheme="majorHAnsi" w:cstheme="majorHAnsi"/>
                <w:b/>
                <w:bCs/>
                <w:color w:val="000000" w:themeColor="text1"/>
                <w:sz w:val="16"/>
                <w:szCs w:val="16"/>
              </w:rPr>
              <w:t>SY 2015-2016</w:t>
            </w:r>
          </w:p>
        </w:tc>
        <w:tc>
          <w:tcPr>
            <w:tcW w:w="1572" w:type="dxa"/>
            <w:noWrap/>
            <w:hideMark/>
          </w:tcPr>
          <w:p w14:paraId="7813F4AC"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000000" w:themeColor="text1"/>
                <w:sz w:val="16"/>
                <w:szCs w:val="16"/>
              </w:rPr>
            </w:pPr>
            <w:r w:rsidRPr="004B064D">
              <w:rPr>
                <w:rFonts w:asciiTheme="majorHAnsi" w:hAnsiTheme="majorHAnsi" w:cstheme="majorHAnsi"/>
                <w:b/>
                <w:bCs/>
                <w:color w:val="000000" w:themeColor="text1"/>
                <w:sz w:val="16"/>
                <w:szCs w:val="16"/>
              </w:rPr>
              <w:t>SY 2016-2017</w:t>
            </w:r>
          </w:p>
        </w:tc>
        <w:tc>
          <w:tcPr>
            <w:tcW w:w="1572" w:type="dxa"/>
            <w:noWrap/>
            <w:hideMark/>
          </w:tcPr>
          <w:p w14:paraId="309E51E3"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000000" w:themeColor="text1"/>
                <w:sz w:val="16"/>
                <w:szCs w:val="16"/>
              </w:rPr>
            </w:pPr>
            <w:r w:rsidRPr="004B064D">
              <w:rPr>
                <w:rFonts w:asciiTheme="majorHAnsi" w:hAnsiTheme="majorHAnsi" w:cstheme="majorHAnsi"/>
                <w:b/>
                <w:bCs/>
                <w:color w:val="000000" w:themeColor="text1"/>
                <w:sz w:val="16"/>
                <w:szCs w:val="16"/>
              </w:rPr>
              <w:t>SY 2017-2018</w:t>
            </w:r>
          </w:p>
        </w:tc>
      </w:tr>
      <w:tr w:rsidR="008D0CAD" w:rsidRPr="00E00C4B" w14:paraId="1CB0659B" w14:textId="77777777" w:rsidTr="00536AA2">
        <w:trPr>
          <w:trHeight w:val="245"/>
        </w:trPr>
        <w:tc>
          <w:tcPr>
            <w:tcW w:w="2036" w:type="dxa"/>
            <w:noWrap/>
            <w:hideMark/>
          </w:tcPr>
          <w:p w14:paraId="6B3F5740"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 xml:space="preserve">Region I </w:t>
            </w:r>
          </w:p>
        </w:tc>
        <w:tc>
          <w:tcPr>
            <w:tcW w:w="1572" w:type="dxa"/>
            <w:noWrap/>
            <w:hideMark/>
          </w:tcPr>
          <w:p w14:paraId="78031DEB"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97.02%</w:t>
            </w:r>
          </w:p>
        </w:tc>
        <w:tc>
          <w:tcPr>
            <w:tcW w:w="1572" w:type="dxa"/>
            <w:noWrap/>
            <w:hideMark/>
          </w:tcPr>
          <w:p w14:paraId="2A9FC153"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96.92%</w:t>
            </w:r>
          </w:p>
        </w:tc>
        <w:tc>
          <w:tcPr>
            <w:tcW w:w="1572" w:type="dxa"/>
            <w:noWrap/>
            <w:hideMark/>
          </w:tcPr>
          <w:p w14:paraId="4DC857DB"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95.62%</w:t>
            </w:r>
          </w:p>
        </w:tc>
        <w:tc>
          <w:tcPr>
            <w:tcW w:w="1572" w:type="dxa"/>
            <w:noWrap/>
            <w:hideMark/>
          </w:tcPr>
          <w:p w14:paraId="19DF4A12"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94.14%</w:t>
            </w:r>
          </w:p>
        </w:tc>
        <w:tc>
          <w:tcPr>
            <w:tcW w:w="1572" w:type="dxa"/>
            <w:noWrap/>
            <w:hideMark/>
          </w:tcPr>
          <w:p w14:paraId="26296264"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91.83%</w:t>
            </w:r>
          </w:p>
        </w:tc>
      </w:tr>
      <w:tr w:rsidR="008D0CAD" w:rsidRPr="00E00C4B" w14:paraId="47E467C7" w14:textId="77777777" w:rsidTr="00536AA2">
        <w:trPr>
          <w:trHeight w:val="245"/>
        </w:trPr>
        <w:tc>
          <w:tcPr>
            <w:tcW w:w="2036" w:type="dxa"/>
            <w:noWrap/>
            <w:hideMark/>
          </w:tcPr>
          <w:p w14:paraId="3636A587"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 xml:space="preserve">Region II </w:t>
            </w:r>
          </w:p>
        </w:tc>
        <w:tc>
          <w:tcPr>
            <w:tcW w:w="1572" w:type="dxa"/>
            <w:noWrap/>
            <w:hideMark/>
          </w:tcPr>
          <w:p w14:paraId="69790B0D"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97.12%</w:t>
            </w:r>
          </w:p>
        </w:tc>
        <w:tc>
          <w:tcPr>
            <w:tcW w:w="1572" w:type="dxa"/>
            <w:noWrap/>
            <w:hideMark/>
          </w:tcPr>
          <w:p w14:paraId="63A9D7D9"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97.18%</w:t>
            </w:r>
          </w:p>
        </w:tc>
        <w:tc>
          <w:tcPr>
            <w:tcW w:w="1572" w:type="dxa"/>
            <w:noWrap/>
            <w:hideMark/>
          </w:tcPr>
          <w:p w14:paraId="05CA8FC7"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97.19%</w:t>
            </w:r>
          </w:p>
        </w:tc>
        <w:tc>
          <w:tcPr>
            <w:tcW w:w="1572" w:type="dxa"/>
            <w:noWrap/>
            <w:hideMark/>
          </w:tcPr>
          <w:p w14:paraId="46FA8701"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99.82%</w:t>
            </w:r>
          </w:p>
        </w:tc>
        <w:tc>
          <w:tcPr>
            <w:tcW w:w="1572" w:type="dxa"/>
            <w:noWrap/>
            <w:hideMark/>
          </w:tcPr>
          <w:p w14:paraId="141A16AB"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98.15%</w:t>
            </w:r>
          </w:p>
        </w:tc>
      </w:tr>
      <w:tr w:rsidR="008D0CAD" w:rsidRPr="00E00C4B" w14:paraId="4C790732" w14:textId="77777777" w:rsidTr="00536AA2">
        <w:trPr>
          <w:trHeight w:val="245"/>
        </w:trPr>
        <w:tc>
          <w:tcPr>
            <w:tcW w:w="2036" w:type="dxa"/>
            <w:noWrap/>
            <w:hideMark/>
          </w:tcPr>
          <w:p w14:paraId="206E05FA"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 xml:space="preserve">Region III </w:t>
            </w:r>
          </w:p>
        </w:tc>
        <w:tc>
          <w:tcPr>
            <w:tcW w:w="1572" w:type="dxa"/>
            <w:noWrap/>
            <w:hideMark/>
          </w:tcPr>
          <w:p w14:paraId="37E802A4"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96.85%</w:t>
            </w:r>
          </w:p>
        </w:tc>
        <w:tc>
          <w:tcPr>
            <w:tcW w:w="1572" w:type="dxa"/>
            <w:noWrap/>
            <w:hideMark/>
          </w:tcPr>
          <w:p w14:paraId="5ABA179B"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96.44%</w:t>
            </w:r>
          </w:p>
        </w:tc>
        <w:tc>
          <w:tcPr>
            <w:tcW w:w="1572" w:type="dxa"/>
            <w:noWrap/>
            <w:hideMark/>
          </w:tcPr>
          <w:p w14:paraId="302880D5"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94.77%</w:t>
            </w:r>
          </w:p>
        </w:tc>
        <w:tc>
          <w:tcPr>
            <w:tcW w:w="1572" w:type="dxa"/>
            <w:noWrap/>
            <w:hideMark/>
          </w:tcPr>
          <w:p w14:paraId="1CE337F5"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98.44%</w:t>
            </w:r>
          </w:p>
        </w:tc>
        <w:tc>
          <w:tcPr>
            <w:tcW w:w="1572" w:type="dxa"/>
            <w:noWrap/>
            <w:hideMark/>
          </w:tcPr>
          <w:p w14:paraId="53E67DE8"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97.87%</w:t>
            </w:r>
          </w:p>
        </w:tc>
      </w:tr>
      <w:tr w:rsidR="008D0CAD" w:rsidRPr="00E00C4B" w14:paraId="4AA000DF" w14:textId="77777777" w:rsidTr="00536AA2">
        <w:trPr>
          <w:trHeight w:val="245"/>
        </w:trPr>
        <w:tc>
          <w:tcPr>
            <w:tcW w:w="2036" w:type="dxa"/>
            <w:noWrap/>
            <w:hideMark/>
          </w:tcPr>
          <w:p w14:paraId="5A15E1CE"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Region IV-A</w:t>
            </w:r>
          </w:p>
        </w:tc>
        <w:tc>
          <w:tcPr>
            <w:tcW w:w="1572" w:type="dxa"/>
            <w:noWrap/>
            <w:hideMark/>
          </w:tcPr>
          <w:p w14:paraId="1484711B"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93.33%</w:t>
            </w:r>
          </w:p>
        </w:tc>
        <w:tc>
          <w:tcPr>
            <w:tcW w:w="1572" w:type="dxa"/>
            <w:noWrap/>
            <w:hideMark/>
          </w:tcPr>
          <w:p w14:paraId="37F3E769"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92.78%</w:t>
            </w:r>
          </w:p>
        </w:tc>
        <w:tc>
          <w:tcPr>
            <w:tcW w:w="1572" w:type="dxa"/>
            <w:noWrap/>
            <w:hideMark/>
          </w:tcPr>
          <w:p w14:paraId="23016F61"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90.83%</w:t>
            </w:r>
          </w:p>
        </w:tc>
        <w:tc>
          <w:tcPr>
            <w:tcW w:w="1572" w:type="dxa"/>
            <w:noWrap/>
            <w:hideMark/>
          </w:tcPr>
          <w:p w14:paraId="091A939D"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97.46%</w:t>
            </w:r>
          </w:p>
        </w:tc>
        <w:tc>
          <w:tcPr>
            <w:tcW w:w="1572" w:type="dxa"/>
            <w:noWrap/>
            <w:hideMark/>
          </w:tcPr>
          <w:p w14:paraId="5B9DAA6D"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96.59%</w:t>
            </w:r>
          </w:p>
        </w:tc>
      </w:tr>
      <w:tr w:rsidR="008D0CAD" w:rsidRPr="00E00C4B" w14:paraId="69CE891F" w14:textId="77777777" w:rsidTr="00536AA2">
        <w:trPr>
          <w:trHeight w:val="245"/>
        </w:trPr>
        <w:tc>
          <w:tcPr>
            <w:tcW w:w="2036" w:type="dxa"/>
            <w:noWrap/>
            <w:hideMark/>
          </w:tcPr>
          <w:p w14:paraId="774E4CB7"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 xml:space="preserve">Region IV-B </w:t>
            </w:r>
          </w:p>
        </w:tc>
        <w:tc>
          <w:tcPr>
            <w:tcW w:w="1572" w:type="dxa"/>
            <w:noWrap/>
            <w:hideMark/>
          </w:tcPr>
          <w:p w14:paraId="11E2034B"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93.83%</w:t>
            </w:r>
          </w:p>
        </w:tc>
        <w:tc>
          <w:tcPr>
            <w:tcW w:w="1572" w:type="dxa"/>
            <w:noWrap/>
            <w:hideMark/>
          </w:tcPr>
          <w:p w14:paraId="26A4FCA2"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92.78%</w:t>
            </w:r>
          </w:p>
        </w:tc>
        <w:tc>
          <w:tcPr>
            <w:tcW w:w="1572" w:type="dxa"/>
            <w:noWrap/>
            <w:hideMark/>
          </w:tcPr>
          <w:p w14:paraId="227CA905"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92.85%</w:t>
            </w:r>
          </w:p>
        </w:tc>
        <w:tc>
          <w:tcPr>
            <w:tcW w:w="1572" w:type="dxa"/>
            <w:noWrap/>
            <w:hideMark/>
          </w:tcPr>
          <w:p w14:paraId="236CFA50"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94.88%</w:t>
            </w:r>
          </w:p>
        </w:tc>
        <w:tc>
          <w:tcPr>
            <w:tcW w:w="1572" w:type="dxa"/>
            <w:noWrap/>
            <w:hideMark/>
          </w:tcPr>
          <w:p w14:paraId="26CB8C35"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92.44%</w:t>
            </w:r>
          </w:p>
        </w:tc>
      </w:tr>
      <w:tr w:rsidR="008D0CAD" w:rsidRPr="00E00C4B" w14:paraId="68FBD8DF" w14:textId="77777777" w:rsidTr="00536AA2">
        <w:trPr>
          <w:trHeight w:val="245"/>
        </w:trPr>
        <w:tc>
          <w:tcPr>
            <w:tcW w:w="2036" w:type="dxa"/>
            <w:noWrap/>
            <w:hideMark/>
          </w:tcPr>
          <w:p w14:paraId="336F491F"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 xml:space="preserve">Region V </w:t>
            </w:r>
          </w:p>
        </w:tc>
        <w:tc>
          <w:tcPr>
            <w:tcW w:w="1572" w:type="dxa"/>
            <w:noWrap/>
            <w:hideMark/>
          </w:tcPr>
          <w:p w14:paraId="4F550274"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95.76%</w:t>
            </w:r>
          </w:p>
        </w:tc>
        <w:tc>
          <w:tcPr>
            <w:tcW w:w="1572" w:type="dxa"/>
            <w:noWrap/>
            <w:hideMark/>
          </w:tcPr>
          <w:p w14:paraId="0B4BEDF7"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94.49%</w:t>
            </w:r>
          </w:p>
        </w:tc>
        <w:tc>
          <w:tcPr>
            <w:tcW w:w="1572" w:type="dxa"/>
            <w:noWrap/>
            <w:hideMark/>
          </w:tcPr>
          <w:p w14:paraId="7AF4DDB1"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91.45%</w:t>
            </w:r>
          </w:p>
        </w:tc>
        <w:tc>
          <w:tcPr>
            <w:tcW w:w="1572" w:type="dxa"/>
            <w:noWrap/>
            <w:hideMark/>
          </w:tcPr>
          <w:p w14:paraId="1EE9BBA6"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95.12%</w:t>
            </w:r>
          </w:p>
        </w:tc>
        <w:tc>
          <w:tcPr>
            <w:tcW w:w="1572" w:type="dxa"/>
            <w:noWrap/>
            <w:hideMark/>
          </w:tcPr>
          <w:p w14:paraId="07D09BF6"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92.96%</w:t>
            </w:r>
          </w:p>
        </w:tc>
      </w:tr>
      <w:tr w:rsidR="008D0CAD" w:rsidRPr="00E00C4B" w14:paraId="6FFE4025" w14:textId="77777777" w:rsidTr="00536AA2">
        <w:trPr>
          <w:trHeight w:val="245"/>
        </w:trPr>
        <w:tc>
          <w:tcPr>
            <w:tcW w:w="2036" w:type="dxa"/>
            <w:noWrap/>
            <w:hideMark/>
          </w:tcPr>
          <w:p w14:paraId="20BBDF2C"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 xml:space="preserve">Region VI </w:t>
            </w:r>
          </w:p>
        </w:tc>
        <w:tc>
          <w:tcPr>
            <w:tcW w:w="1572" w:type="dxa"/>
            <w:noWrap/>
            <w:hideMark/>
          </w:tcPr>
          <w:p w14:paraId="626D4DA2"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96.36%</w:t>
            </w:r>
          </w:p>
        </w:tc>
        <w:tc>
          <w:tcPr>
            <w:tcW w:w="1572" w:type="dxa"/>
            <w:noWrap/>
            <w:hideMark/>
          </w:tcPr>
          <w:p w14:paraId="164837F7"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96.12%</w:t>
            </w:r>
          </w:p>
        </w:tc>
        <w:tc>
          <w:tcPr>
            <w:tcW w:w="1572" w:type="dxa"/>
            <w:noWrap/>
            <w:hideMark/>
          </w:tcPr>
          <w:p w14:paraId="6B97B8B9"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95.70%</w:t>
            </w:r>
          </w:p>
        </w:tc>
        <w:tc>
          <w:tcPr>
            <w:tcW w:w="1572" w:type="dxa"/>
            <w:noWrap/>
            <w:hideMark/>
          </w:tcPr>
          <w:p w14:paraId="369681AD"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98.42%</w:t>
            </w:r>
          </w:p>
        </w:tc>
        <w:tc>
          <w:tcPr>
            <w:tcW w:w="1572" w:type="dxa"/>
            <w:noWrap/>
            <w:hideMark/>
          </w:tcPr>
          <w:p w14:paraId="46F9960D"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96.66%</w:t>
            </w:r>
          </w:p>
        </w:tc>
      </w:tr>
      <w:tr w:rsidR="008D0CAD" w:rsidRPr="00E00C4B" w14:paraId="61B219D0" w14:textId="77777777" w:rsidTr="00536AA2">
        <w:trPr>
          <w:trHeight w:val="245"/>
        </w:trPr>
        <w:tc>
          <w:tcPr>
            <w:tcW w:w="2036" w:type="dxa"/>
            <w:noWrap/>
            <w:hideMark/>
          </w:tcPr>
          <w:p w14:paraId="07EFB9F7"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 xml:space="preserve">Region VII </w:t>
            </w:r>
          </w:p>
        </w:tc>
        <w:tc>
          <w:tcPr>
            <w:tcW w:w="1572" w:type="dxa"/>
            <w:noWrap/>
            <w:hideMark/>
          </w:tcPr>
          <w:p w14:paraId="12BDE936"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98.12%</w:t>
            </w:r>
          </w:p>
        </w:tc>
        <w:tc>
          <w:tcPr>
            <w:tcW w:w="1572" w:type="dxa"/>
            <w:noWrap/>
            <w:hideMark/>
          </w:tcPr>
          <w:p w14:paraId="1AA8841A"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97.59%</w:t>
            </w:r>
          </w:p>
        </w:tc>
        <w:tc>
          <w:tcPr>
            <w:tcW w:w="1572" w:type="dxa"/>
            <w:noWrap/>
            <w:hideMark/>
          </w:tcPr>
          <w:p w14:paraId="4DE097DC"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96.84%</w:t>
            </w:r>
          </w:p>
        </w:tc>
        <w:tc>
          <w:tcPr>
            <w:tcW w:w="1572" w:type="dxa"/>
            <w:noWrap/>
            <w:hideMark/>
          </w:tcPr>
          <w:p w14:paraId="3C2EB886"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101.41%</w:t>
            </w:r>
          </w:p>
        </w:tc>
        <w:tc>
          <w:tcPr>
            <w:tcW w:w="1572" w:type="dxa"/>
            <w:noWrap/>
            <w:hideMark/>
          </w:tcPr>
          <w:p w14:paraId="6769D235"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98.35%</w:t>
            </w:r>
          </w:p>
        </w:tc>
      </w:tr>
      <w:tr w:rsidR="008D0CAD" w:rsidRPr="00E00C4B" w14:paraId="2EE9DE88" w14:textId="77777777" w:rsidTr="00536AA2">
        <w:trPr>
          <w:trHeight w:val="245"/>
        </w:trPr>
        <w:tc>
          <w:tcPr>
            <w:tcW w:w="2036" w:type="dxa"/>
            <w:noWrap/>
            <w:hideMark/>
          </w:tcPr>
          <w:p w14:paraId="0895233F"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 xml:space="preserve">Region VIII </w:t>
            </w:r>
          </w:p>
        </w:tc>
        <w:tc>
          <w:tcPr>
            <w:tcW w:w="1572" w:type="dxa"/>
            <w:noWrap/>
            <w:hideMark/>
          </w:tcPr>
          <w:p w14:paraId="5C75E3D4"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93.01%</w:t>
            </w:r>
          </w:p>
        </w:tc>
        <w:tc>
          <w:tcPr>
            <w:tcW w:w="1572" w:type="dxa"/>
            <w:noWrap/>
            <w:hideMark/>
          </w:tcPr>
          <w:p w14:paraId="31B221D8"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92.12%</w:t>
            </w:r>
          </w:p>
        </w:tc>
        <w:tc>
          <w:tcPr>
            <w:tcW w:w="1572" w:type="dxa"/>
            <w:noWrap/>
            <w:hideMark/>
          </w:tcPr>
          <w:p w14:paraId="19C92F8A"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90.15%</w:t>
            </w:r>
          </w:p>
        </w:tc>
        <w:tc>
          <w:tcPr>
            <w:tcW w:w="1572" w:type="dxa"/>
            <w:noWrap/>
            <w:hideMark/>
          </w:tcPr>
          <w:p w14:paraId="56319354"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93.79%</w:t>
            </w:r>
          </w:p>
        </w:tc>
        <w:tc>
          <w:tcPr>
            <w:tcW w:w="1572" w:type="dxa"/>
            <w:noWrap/>
            <w:hideMark/>
          </w:tcPr>
          <w:p w14:paraId="46EDE152"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92.50%</w:t>
            </w:r>
          </w:p>
        </w:tc>
      </w:tr>
      <w:tr w:rsidR="008D0CAD" w:rsidRPr="00E00C4B" w14:paraId="433A5FC4" w14:textId="77777777" w:rsidTr="00536AA2">
        <w:trPr>
          <w:trHeight w:val="245"/>
        </w:trPr>
        <w:tc>
          <w:tcPr>
            <w:tcW w:w="2036" w:type="dxa"/>
            <w:noWrap/>
            <w:hideMark/>
          </w:tcPr>
          <w:p w14:paraId="5D0AD5C8"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 xml:space="preserve">Region IX </w:t>
            </w:r>
          </w:p>
        </w:tc>
        <w:tc>
          <w:tcPr>
            <w:tcW w:w="1572" w:type="dxa"/>
            <w:noWrap/>
            <w:hideMark/>
          </w:tcPr>
          <w:p w14:paraId="03B83359"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91.30%</w:t>
            </w:r>
          </w:p>
        </w:tc>
        <w:tc>
          <w:tcPr>
            <w:tcW w:w="1572" w:type="dxa"/>
            <w:noWrap/>
            <w:hideMark/>
          </w:tcPr>
          <w:p w14:paraId="4C96A111"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92.78%</w:t>
            </w:r>
          </w:p>
        </w:tc>
        <w:tc>
          <w:tcPr>
            <w:tcW w:w="1572" w:type="dxa"/>
            <w:noWrap/>
            <w:hideMark/>
          </w:tcPr>
          <w:p w14:paraId="49ADEACF"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90.94%</w:t>
            </w:r>
          </w:p>
        </w:tc>
        <w:tc>
          <w:tcPr>
            <w:tcW w:w="1572" w:type="dxa"/>
            <w:noWrap/>
            <w:hideMark/>
          </w:tcPr>
          <w:p w14:paraId="3015D4AD"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90.91%</w:t>
            </w:r>
          </w:p>
        </w:tc>
        <w:tc>
          <w:tcPr>
            <w:tcW w:w="1572" w:type="dxa"/>
            <w:noWrap/>
            <w:hideMark/>
          </w:tcPr>
          <w:p w14:paraId="508CC3A5"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90.40%</w:t>
            </w:r>
          </w:p>
        </w:tc>
      </w:tr>
      <w:tr w:rsidR="008D0CAD" w:rsidRPr="00E00C4B" w14:paraId="6B7DC71F" w14:textId="77777777" w:rsidTr="00536AA2">
        <w:trPr>
          <w:trHeight w:val="245"/>
        </w:trPr>
        <w:tc>
          <w:tcPr>
            <w:tcW w:w="2036" w:type="dxa"/>
            <w:noWrap/>
            <w:hideMark/>
          </w:tcPr>
          <w:p w14:paraId="3178BF57"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Region X</w:t>
            </w:r>
          </w:p>
        </w:tc>
        <w:tc>
          <w:tcPr>
            <w:tcW w:w="1572" w:type="dxa"/>
            <w:noWrap/>
            <w:hideMark/>
          </w:tcPr>
          <w:p w14:paraId="00513DFB"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91.46%</w:t>
            </w:r>
          </w:p>
        </w:tc>
        <w:tc>
          <w:tcPr>
            <w:tcW w:w="1572" w:type="dxa"/>
            <w:noWrap/>
            <w:hideMark/>
          </w:tcPr>
          <w:p w14:paraId="47C383B3"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90.70%</w:t>
            </w:r>
          </w:p>
        </w:tc>
        <w:tc>
          <w:tcPr>
            <w:tcW w:w="1572" w:type="dxa"/>
            <w:noWrap/>
            <w:hideMark/>
          </w:tcPr>
          <w:p w14:paraId="32A048BD"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90.16%</w:t>
            </w:r>
          </w:p>
        </w:tc>
        <w:tc>
          <w:tcPr>
            <w:tcW w:w="1572" w:type="dxa"/>
            <w:noWrap/>
            <w:hideMark/>
          </w:tcPr>
          <w:p w14:paraId="4A13534D"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95.52%</w:t>
            </w:r>
          </w:p>
        </w:tc>
        <w:tc>
          <w:tcPr>
            <w:tcW w:w="1572" w:type="dxa"/>
            <w:noWrap/>
            <w:hideMark/>
          </w:tcPr>
          <w:p w14:paraId="626F863D"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95.68%</w:t>
            </w:r>
          </w:p>
        </w:tc>
      </w:tr>
      <w:tr w:rsidR="008D0CAD" w:rsidRPr="00E00C4B" w14:paraId="177DCFA6" w14:textId="77777777" w:rsidTr="00536AA2">
        <w:trPr>
          <w:trHeight w:val="245"/>
        </w:trPr>
        <w:tc>
          <w:tcPr>
            <w:tcW w:w="2036" w:type="dxa"/>
            <w:noWrap/>
            <w:hideMark/>
          </w:tcPr>
          <w:p w14:paraId="534CDEDB"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 xml:space="preserve">Region XI </w:t>
            </w:r>
          </w:p>
        </w:tc>
        <w:tc>
          <w:tcPr>
            <w:tcW w:w="1572" w:type="dxa"/>
            <w:noWrap/>
            <w:hideMark/>
          </w:tcPr>
          <w:p w14:paraId="470E554B"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98.43%</w:t>
            </w:r>
          </w:p>
        </w:tc>
        <w:tc>
          <w:tcPr>
            <w:tcW w:w="1572" w:type="dxa"/>
            <w:noWrap/>
            <w:hideMark/>
          </w:tcPr>
          <w:p w14:paraId="0BEB0101"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96.98%</w:t>
            </w:r>
          </w:p>
        </w:tc>
        <w:tc>
          <w:tcPr>
            <w:tcW w:w="1572" w:type="dxa"/>
            <w:noWrap/>
            <w:hideMark/>
          </w:tcPr>
          <w:p w14:paraId="51924646"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97.62%</w:t>
            </w:r>
          </w:p>
        </w:tc>
        <w:tc>
          <w:tcPr>
            <w:tcW w:w="1572" w:type="dxa"/>
            <w:noWrap/>
            <w:hideMark/>
          </w:tcPr>
          <w:p w14:paraId="739ECD22"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100.20%</w:t>
            </w:r>
          </w:p>
        </w:tc>
        <w:tc>
          <w:tcPr>
            <w:tcW w:w="1572" w:type="dxa"/>
            <w:noWrap/>
            <w:hideMark/>
          </w:tcPr>
          <w:p w14:paraId="2E308C29"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97.19%</w:t>
            </w:r>
          </w:p>
        </w:tc>
      </w:tr>
      <w:tr w:rsidR="008D0CAD" w:rsidRPr="00E00C4B" w14:paraId="32B8E9F3" w14:textId="77777777" w:rsidTr="00536AA2">
        <w:trPr>
          <w:trHeight w:val="245"/>
        </w:trPr>
        <w:tc>
          <w:tcPr>
            <w:tcW w:w="2036" w:type="dxa"/>
            <w:noWrap/>
            <w:hideMark/>
          </w:tcPr>
          <w:p w14:paraId="5093C31C"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 xml:space="preserve">Region XII </w:t>
            </w:r>
          </w:p>
        </w:tc>
        <w:tc>
          <w:tcPr>
            <w:tcW w:w="1572" w:type="dxa"/>
            <w:noWrap/>
            <w:hideMark/>
          </w:tcPr>
          <w:p w14:paraId="4FB0DEAA"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88.47%</w:t>
            </w:r>
          </w:p>
        </w:tc>
        <w:tc>
          <w:tcPr>
            <w:tcW w:w="1572" w:type="dxa"/>
            <w:noWrap/>
            <w:hideMark/>
          </w:tcPr>
          <w:p w14:paraId="4F5B0343"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89.48%</w:t>
            </w:r>
          </w:p>
        </w:tc>
        <w:tc>
          <w:tcPr>
            <w:tcW w:w="1572" w:type="dxa"/>
            <w:noWrap/>
            <w:hideMark/>
          </w:tcPr>
          <w:p w14:paraId="71990391"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88.78%</w:t>
            </w:r>
          </w:p>
        </w:tc>
        <w:tc>
          <w:tcPr>
            <w:tcW w:w="1572" w:type="dxa"/>
            <w:noWrap/>
            <w:hideMark/>
          </w:tcPr>
          <w:p w14:paraId="162AD6E7"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93.53%</w:t>
            </w:r>
          </w:p>
        </w:tc>
        <w:tc>
          <w:tcPr>
            <w:tcW w:w="1572" w:type="dxa"/>
            <w:noWrap/>
            <w:hideMark/>
          </w:tcPr>
          <w:p w14:paraId="04830DE6"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92.30%</w:t>
            </w:r>
          </w:p>
        </w:tc>
      </w:tr>
      <w:tr w:rsidR="008D0CAD" w:rsidRPr="00E00C4B" w14:paraId="0A9C0745" w14:textId="77777777" w:rsidTr="00536AA2">
        <w:trPr>
          <w:trHeight w:val="245"/>
        </w:trPr>
        <w:tc>
          <w:tcPr>
            <w:tcW w:w="2036" w:type="dxa"/>
            <w:noWrap/>
            <w:hideMark/>
          </w:tcPr>
          <w:p w14:paraId="7AF3EE5C"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CARAGA Region</w:t>
            </w:r>
          </w:p>
        </w:tc>
        <w:tc>
          <w:tcPr>
            <w:tcW w:w="1572" w:type="dxa"/>
            <w:noWrap/>
            <w:hideMark/>
          </w:tcPr>
          <w:p w14:paraId="7B0C2C84"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94.85%</w:t>
            </w:r>
          </w:p>
        </w:tc>
        <w:tc>
          <w:tcPr>
            <w:tcW w:w="1572" w:type="dxa"/>
            <w:noWrap/>
            <w:hideMark/>
          </w:tcPr>
          <w:p w14:paraId="1D14AFC7"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95.11%</w:t>
            </w:r>
          </w:p>
        </w:tc>
        <w:tc>
          <w:tcPr>
            <w:tcW w:w="1572" w:type="dxa"/>
            <w:noWrap/>
            <w:hideMark/>
          </w:tcPr>
          <w:p w14:paraId="3DA82775"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94.83%</w:t>
            </w:r>
          </w:p>
        </w:tc>
        <w:tc>
          <w:tcPr>
            <w:tcW w:w="1572" w:type="dxa"/>
            <w:noWrap/>
            <w:hideMark/>
          </w:tcPr>
          <w:p w14:paraId="76FE75E3"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96.65%</w:t>
            </w:r>
          </w:p>
        </w:tc>
        <w:tc>
          <w:tcPr>
            <w:tcW w:w="1572" w:type="dxa"/>
            <w:noWrap/>
            <w:hideMark/>
          </w:tcPr>
          <w:p w14:paraId="1AFD831F"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95.07%</w:t>
            </w:r>
          </w:p>
        </w:tc>
      </w:tr>
      <w:tr w:rsidR="008D0CAD" w:rsidRPr="00E00C4B" w14:paraId="0C7044D8" w14:textId="77777777" w:rsidTr="00536AA2">
        <w:trPr>
          <w:trHeight w:val="245"/>
        </w:trPr>
        <w:tc>
          <w:tcPr>
            <w:tcW w:w="2036" w:type="dxa"/>
            <w:noWrap/>
            <w:hideMark/>
          </w:tcPr>
          <w:p w14:paraId="1ECF8EBA"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 xml:space="preserve">ARMM </w:t>
            </w:r>
          </w:p>
        </w:tc>
        <w:tc>
          <w:tcPr>
            <w:tcW w:w="1572" w:type="dxa"/>
            <w:noWrap/>
            <w:hideMark/>
          </w:tcPr>
          <w:p w14:paraId="1BA332F0"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91.98%</w:t>
            </w:r>
          </w:p>
        </w:tc>
        <w:tc>
          <w:tcPr>
            <w:tcW w:w="1572" w:type="dxa"/>
            <w:noWrap/>
            <w:hideMark/>
          </w:tcPr>
          <w:p w14:paraId="5EE5F1F5"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79.24%</w:t>
            </w:r>
          </w:p>
        </w:tc>
        <w:tc>
          <w:tcPr>
            <w:tcW w:w="1572" w:type="dxa"/>
            <w:noWrap/>
            <w:hideMark/>
          </w:tcPr>
          <w:p w14:paraId="36803CDD"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73.02%</w:t>
            </w:r>
          </w:p>
        </w:tc>
        <w:tc>
          <w:tcPr>
            <w:tcW w:w="1572" w:type="dxa"/>
            <w:noWrap/>
            <w:hideMark/>
          </w:tcPr>
          <w:p w14:paraId="70ABC399"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80.79%</w:t>
            </w:r>
          </w:p>
        </w:tc>
        <w:tc>
          <w:tcPr>
            <w:tcW w:w="1572" w:type="dxa"/>
            <w:noWrap/>
            <w:hideMark/>
          </w:tcPr>
          <w:p w14:paraId="087BB235"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75.82%</w:t>
            </w:r>
          </w:p>
        </w:tc>
      </w:tr>
      <w:tr w:rsidR="008D0CAD" w:rsidRPr="00E00C4B" w14:paraId="23DD2DE6" w14:textId="77777777" w:rsidTr="00536AA2">
        <w:trPr>
          <w:trHeight w:val="245"/>
        </w:trPr>
        <w:tc>
          <w:tcPr>
            <w:tcW w:w="2036" w:type="dxa"/>
            <w:noWrap/>
            <w:hideMark/>
          </w:tcPr>
          <w:p w14:paraId="4A0DBEAD"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 xml:space="preserve">CAR </w:t>
            </w:r>
          </w:p>
        </w:tc>
        <w:tc>
          <w:tcPr>
            <w:tcW w:w="1572" w:type="dxa"/>
            <w:noWrap/>
            <w:hideMark/>
          </w:tcPr>
          <w:p w14:paraId="0C58D322"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95.97%</w:t>
            </w:r>
          </w:p>
        </w:tc>
        <w:tc>
          <w:tcPr>
            <w:tcW w:w="1572" w:type="dxa"/>
            <w:noWrap/>
            <w:hideMark/>
          </w:tcPr>
          <w:p w14:paraId="46A8827D"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95.29%</w:t>
            </w:r>
          </w:p>
        </w:tc>
        <w:tc>
          <w:tcPr>
            <w:tcW w:w="1572" w:type="dxa"/>
            <w:noWrap/>
            <w:hideMark/>
          </w:tcPr>
          <w:p w14:paraId="49A2C5A8"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93.05%</w:t>
            </w:r>
          </w:p>
        </w:tc>
        <w:tc>
          <w:tcPr>
            <w:tcW w:w="1572" w:type="dxa"/>
            <w:noWrap/>
            <w:hideMark/>
          </w:tcPr>
          <w:p w14:paraId="0485AC7B"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96.51%</w:t>
            </w:r>
          </w:p>
        </w:tc>
        <w:tc>
          <w:tcPr>
            <w:tcW w:w="1572" w:type="dxa"/>
            <w:noWrap/>
            <w:hideMark/>
          </w:tcPr>
          <w:p w14:paraId="1736941F"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93.59%</w:t>
            </w:r>
          </w:p>
        </w:tc>
      </w:tr>
      <w:tr w:rsidR="008D0CAD" w:rsidRPr="00E00C4B" w14:paraId="5CBC19E8" w14:textId="77777777" w:rsidTr="00536AA2">
        <w:trPr>
          <w:trHeight w:val="245"/>
        </w:trPr>
        <w:tc>
          <w:tcPr>
            <w:tcW w:w="2036" w:type="dxa"/>
            <w:noWrap/>
            <w:hideMark/>
          </w:tcPr>
          <w:p w14:paraId="773692B7"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NCR</w:t>
            </w:r>
          </w:p>
        </w:tc>
        <w:tc>
          <w:tcPr>
            <w:tcW w:w="1572" w:type="dxa"/>
            <w:noWrap/>
            <w:hideMark/>
          </w:tcPr>
          <w:p w14:paraId="03A75F3C"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93.86%</w:t>
            </w:r>
          </w:p>
        </w:tc>
        <w:tc>
          <w:tcPr>
            <w:tcW w:w="1572" w:type="dxa"/>
            <w:noWrap/>
            <w:hideMark/>
          </w:tcPr>
          <w:p w14:paraId="46FD31E0"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91.15%</w:t>
            </w:r>
          </w:p>
        </w:tc>
        <w:tc>
          <w:tcPr>
            <w:tcW w:w="1572" w:type="dxa"/>
            <w:noWrap/>
            <w:hideMark/>
          </w:tcPr>
          <w:p w14:paraId="7A6F373D"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89.90%</w:t>
            </w:r>
          </w:p>
        </w:tc>
        <w:tc>
          <w:tcPr>
            <w:tcW w:w="1572" w:type="dxa"/>
            <w:noWrap/>
            <w:hideMark/>
          </w:tcPr>
          <w:p w14:paraId="17A70956"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96.58%</w:t>
            </w:r>
          </w:p>
        </w:tc>
        <w:tc>
          <w:tcPr>
            <w:tcW w:w="1572" w:type="dxa"/>
            <w:noWrap/>
            <w:hideMark/>
          </w:tcPr>
          <w:p w14:paraId="7E1DEA8D"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93.50%</w:t>
            </w:r>
          </w:p>
        </w:tc>
      </w:tr>
      <w:tr w:rsidR="008D0CAD" w:rsidRPr="00E00C4B" w14:paraId="7306EF1C" w14:textId="77777777" w:rsidTr="00536AA2">
        <w:trPr>
          <w:trHeight w:val="245"/>
        </w:trPr>
        <w:tc>
          <w:tcPr>
            <w:tcW w:w="2036" w:type="dxa"/>
            <w:noWrap/>
            <w:hideMark/>
          </w:tcPr>
          <w:p w14:paraId="373ACEB2"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Philippines</w:t>
            </w:r>
          </w:p>
        </w:tc>
        <w:tc>
          <w:tcPr>
            <w:tcW w:w="1572" w:type="dxa"/>
            <w:noWrap/>
            <w:hideMark/>
          </w:tcPr>
          <w:p w14:paraId="66184E57" w14:textId="77777777" w:rsidR="008D0CAD" w:rsidRPr="00E00C4B" w:rsidRDefault="008D0CAD" w:rsidP="00796BFA">
            <w:pPr>
              <w:spacing w:before="100" w:beforeAutospacing="1" w:after="100" w:afterAutospacing="1" w:line="360" w:lineRule="auto"/>
              <w:rPr>
                <w:rFonts w:asciiTheme="majorHAnsi" w:hAnsiTheme="majorHAnsi" w:cstheme="majorHAnsi"/>
                <w:b/>
                <w:sz w:val="16"/>
                <w:szCs w:val="16"/>
              </w:rPr>
            </w:pPr>
            <w:r w:rsidRPr="00E00C4B">
              <w:rPr>
                <w:rFonts w:asciiTheme="majorHAnsi" w:hAnsiTheme="majorHAnsi" w:cstheme="majorHAnsi"/>
                <w:b/>
                <w:sz w:val="16"/>
                <w:szCs w:val="16"/>
              </w:rPr>
              <w:t>94.65%</w:t>
            </w:r>
          </w:p>
        </w:tc>
        <w:tc>
          <w:tcPr>
            <w:tcW w:w="1572" w:type="dxa"/>
            <w:noWrap/>
            <w:hideMark/>
          </w:tcPr>
          <w:p w14:paraId="4D824AFA" w14:textId="77777777" w:rsidR="008D0CAD" w:rsidRPr="00E00C4B" w:rsidRDefault="008D0CAD" w:rsidP="00796BFA">
            <w:pPr>
              <w:spacing w:before="100" w:beforeAutospacing="1" w:after="100" w:afterAutospacing="1" w:line="360" w:lineRule="auto"/>
              <w:rPr>
                <w:rFonts w:asciiTheme="majorHAnsi" w:hAnsiTheme="majorHAnsi" w:cstheme="majorHAnsi"/>
                <w:b/>
                <w:sz w:val="16"/>
                <w:szCs w:val="16"/>
              </w:rPr>
            </w:pPr>
            <w:r w:rsidRPr="00E00C4B">
              <w:rPr>
                <w:rFonts w:asciiTheme="majorHAnsi" w:hAnsiTheme="majorHAnsi" w:cstheme="majorHAnsi"/>
                <w:b/>
                <w:sz w:val="16"/>
                <w:szCs w:val="16"/>
              </w:rPr>
              <w:t>93.42%</w:t>
            </w:r>
          </w:p>
        </w:tc>
        <w:tc>
          <w:tcPr>
            <w:tcW w:w="1572" w:type="dxa"/>
            <w:noWrap/>
            <w:hideMark/>
          </w:tcPr>
          <w:p w14:paraId="1A833DD4" w14:textId="77777777" w:rsidR="008D0CAD" w:rsidRPr="00E00C4B" w:rsidRDefault="008D0CAD" w:rsidP="00796BFA">
            <w:pPr>
              <w:spacing w:before="100" w:beforeAutospacing="1" w:after="100" w:afterAutospacing="1" w:line="360" w:lineRule="auto"/>
              <w:rPr>
                <w:rFonts w:asciiTheme="majorHAnsi" w:hAnsiTheme="majorHAnsi" w:cstheme="majorHAnsi"/>
                <w:b/>
                <w:sz w:val="16"/>
                <w:szCs w:val="16"/>
              </w:rPr>
            </w:pPr>
            <w:r w:rsidRPr="00E00C4B">
              <w:rPr>
                <w:rFonts w:asciiTheme="majorHAnsi" w:hAnsiTheme="majorHAnsi" w:cstheme="majorHAnsi"/>
                <w:b/>
                <w:sz w:val="16"/>
                <w:szCs w:val="16"/>
              </w:rPr>
              <w:t>91.96%</w:t>
            </w:r>
          </w:p>
        </w:tc>
        <w:tc>
          <w:tcPr>
            <w:tcW w:w="1572" w:type="dxa"/>
            <w:noWrap/>
            <w:hideMark/>
          </w:tcPr>
          <w:p w14:paraId="37E79BCC" w14:textId="77777777" w:rsidR="008D0CAD" w:rsidRPr="00E00C4B" w:rsidRDefault="008D0CAD" w:rsidP="00796BFA">
            <w:pPr>
              <w:spacing w:before="100" w:beforeAutospacing="1" w:after="100" w:afterAutospacing="1" w:line="360" w:lineRule="auto"/>
              <w:rPr>
                <w:rFonts w:asciiTheme="majorHAnsi" w:hAnsiTheme="majorHAnsi" w:cstheme="majorHAnsi"/>
                <w:b/>
                <w:sz w:val="16"/>
                <w:szCs w:val="16"/>
              </w:rPr>
            </w:pPr>
            <w:r w:rsidRPr="00E00C4B">
              <w:rPr>
                <w:rFonts w:asciiTheme="majorHAnsi" w:hAnsiTheme="majorHAnsi" w:cstheme="majorHAnsi"/>
                <w:b/>
                <w:sz w:val="16"/>
                <w:szCs w:val="16"/>
              </w:rPr>
              <w:t>96.12%</w:t>
            </w:r>
          </w:p>
        </w:tc>
        <w:tc>
          <w:tcPr>
            <w:tcW w:w="1572" w:type="dxa"/>
            <w:noWrap/>
            <w:hideMark/>
          </w:tcPr>
          <w:p w14:paraId="4B50BA46" w14:textId="77777777" w:rsidR="008D0CAD" w:rsidRPr="00E00C4B" w:rsidRDefault="008D0CAD" w:rsidP="00796BFA">
            <w:pPr>
              <w:spacing w:before="100" w:beforeAutospacing="1" w:after="100" w:afterAutospacing="1" w:line="360" w:lineRule="auto"/>
              <w:rPr>
                <w:rFonts w:asciiTheme="majorHAnsi" w:hAnsiTheme="majorHAnsi" w:cstheme="majorHAnsi"/>
                <w:b/>
                <w:sz w:val="16"/>
                <w:szCs w:val="16"/>
              </w:rPr>
            </w:pPr>
            <w:r w:rsidRPr="00E00C4B">
              <w:rPr>
                <w:rFonts w:asciiTheme="majorHAnsi" w:hAnsiTheme="majorHAnsi" w:cstheme="majorHAnsi"/>
                <w:b/>
                <w:sz w:val="16"/>
                <w:szCs w:val="16"/>
              </w:rPr>
              <w:t>94.27%</w:t>
            </w:r>
          </w:p>
        </w:tc>
      </w:tr>
    </w:tbl>
    <w:p w14:paraId="3D68E886" w14:textId="776B9DEB" w:rsidR="008D0CAD" w:rsidRPr="00796BFA" w:rsidRDefault="008D0CAD" w:rsidP="00796BFA">
      <w:pPr>
        <w:spacing w:before="100" w:beforeAutospacing="1" w:after="100" w:afterAutospacing="1" w:line="360" w:lineRule="auto"/>
        <w:rPr>
          <w:rFonts w:asciiTheme="majorHAnsi" w:hAnsiTheme="majorHAnsi" w:cstheme="majorHAnsi"/>
          <w:bCs/>
          <w:i/>
          <w:iCs/>
          <w:sz w:val="20"/>
          <w:szCs w:val="20"/>
          <w:lang w:val="en-US"/>
        </w:rPr>
      </w:pPr>
      <w:r w:rsidRPr="00E00C4B">
        <w:rPr>
          <w:rFonts w:asciiTheme="majorHAnsi" w:hAnsiTheme="majorHAnsi" w:cstheme="majorHAnsi"/>
          <w:bCs/>
          <w:i/>
          <w:iCs/>
          <w:sz w:val="20"/>
          <w:szCs w:val="20"/>
          <w:lang w:val="en-US"/>
        </w:rPr>
        <w:t>Source: EBEIS (Retrieved April 2019)</w:t>
      </w:r>
    </w:p>
    <w:p w14:paraId="7CAD21D6" w14:textId="46FA541B" w:rsidR="008D0CAD" w:rsidRPr="00E00C4B" w:rsidRDefault="008D0CAD" w:rsidP="00796BFA">
      <w:pPr>
        <w:spacing w:before="100" w:beforeAutospacing="1" w:after="100" w:afterAutospacing="1" w:line="360" w:lineRule="auto"/>
        <w:rPr>
          <w:rFonts w:asciiTheme="majorHAnsi" w:hAnsiTheme="majorHAnsi" w:cstheme="majorHAnsi"/>
          <w:lang w:val="en-US"/>
        </w:rPr>
      </w:pPr>
      <w:r w:rsidRPr="00E00C4B">
        <w:rPr>
          <w:rFonts w:asciiTheme="majorHAnsi" w:hAnsiTheme="majorHAnsi" w:cstheme="majorHAnsi"/>
          <w:b/>
          <w:lang w:val="en-US"/>
        </w:rPr>
        <w:t>NER by Regions.</w:t>
      </w:r>
      <w:r w:rsidRPr="00E00C4B">
        <w:rPr>
          <w:rFonts w:asciiTheme="majorHAnsi" w:hAnsiTheme="majorHAnsi" w:cstheme="majorHAnsi"/>
          <w:lang w:val="en-US"/>
        </w:rPr>
        <w:t xml:space="preserve"> In terms of Regional Performance, data from SY2013-2014 to SY2017-2018 showed that seven regions remained above the national NER.</w:t>
      </w:r>
      <w:r w:rsidR="00D434EB">
        <w:rPr>
          <w:rFonts w:asciiTheme="majorHAnsi" w:hAnsiTheme="majorHAnsi" w:cstheme="majorHAnsi"/>
          <w:lang w:val="en-US"/>
        </w:rPr>
        <w:t xml:space="preserve"> </w:t>
      </w:r>
      <w:r w:rsidRPr="00E00C4B">
        <w:rPr>
          <w:rFonts w:asciiTheme="majorHAnsi" w:hAnsiTheme="majorHAnsi" w:cstheme="majorHAnsi"/>
          <w:lang w:val="en-US"/>
        </w:rPr>
        <w:t>These are Regions II, III, VI, VII, XI, Caraga and CAR (Table 9).</w:t>
      </w:r>
      <w:r w:rsidR="00D434EB">
        <w:rPr>
          <w:rFonts w:asciiTheme="majorHAnsi" w:hAnsiTheme="majorHAnsi" w:cstheme="majorHAnsi"/>
          <w:lang w:val="en-US"/>
        </w:rPr>
        <w:t xml:space="preserve"> </w:t>
      </w:r>
      <w:r w:rsidRPr="00E00C4B">
        <w:rPr>
          <w:rFonts w:asciiTheme="majorHAnsi" w:hAnsiTheme="majorHAnsi" w:cstheme="majorHAnsi"/>
          <w:lang w:val="en-US"/>
        </w:rPr>
        <w:t>Five regions were consistently below the national NER during the same period.</w:t>
      </w:r>
      <w:r w:rsidR="00D434EB">
        <w:rPr>
          <w:rFonts w:asciiTheme="majorHAnsi" w:hAnsiTheme="majorHAnsi" w:cstheme="majorHAnsi"/>
          <w:lang w:val="en-US"/>
        </w:rPr>
        <w:t xml:space="preserve"> </w:t>
      </w:r>
      <w:r w:rsidRPr="00E00C4B">
        <w:rPr>
          <w:rFonts w:asciiTheme="majorHAnsi" w:hAnsiTheme="majorHAnsi" w:cstheme="majorHAnsi"/>
          <w:lang w:val="en-US"/>
        </w:rPr>
        <w:t>These were Regions VII, IX, XII, ARMM and NCR.</w:t>
      </w:r>
      <w:r w:rsidR="00D434EB">
        <w:rPr>
          <w:rFonts w:asciiTheme="majorHAnsi" w:hAnsiTheme="majorHAnsi" w:cstheme="majorHAnsi"/>
          <w:lang w:val="en-US"/>
        </w:rPr>
        <w:t xml:space="preserve"> </w:t>
      </w:r>
    </w:p>
    <w:p w14:paraId="18F801AF" w14:textId="490583B0" w:rsidR="008D0CAD" w:rsidRPr="00E00C4B" w:rsidRDefault="008D0CAD" w:rsidP="00796BFA">
      <w:pPr>
        <w:spacing w:before="100" w:beforeAutospacing="1" w:after="100" w:afterAutospacing="1" w:line="360" w:lineRule="auto"/>
        <w:rPr>
          <w:rFonts w:asciiTheme="majorHAnsi" w:eastAsiaTheme="minorHAnsi" w:hAnsiTheme="majorHAnsi" w:cstheme="majorHAnsi"/>
          <w:i/>
          <w:iCs/>
          <w:color w:val="44546A" w:themeColor="text2"/>
          <w:sz w:val="22"/>
          <w:szCs w:val="22"/>
          <w:lang w:val="en-US"/>
        </w:rPr>
      </w:pPr>
      <w:bookmarkStart w:id="561" w:name="_Toc16524191"/>
      <w:bookmarkStart w:id="562" w:name="_Toc71616654"/>
      <w:r w:rsidRPr="00E00C4B">
        <w:rPr>
          <w:rFonts w:asciiTheme="majorHAnsi" w:eastAsiaTheme="minorHAnsi" w:hAnsiTheme="majorHAnsi" w:cstheme="majorHAnsi"/>
          <w:i/>
          <w:iCs/>
          <w:color w:val="44546A" w:themeColor="text2"/>
          <w:sz w:val="22"/>
          <w:szCs w:val="22"/>
          <w:lang w:val="en-US"/>
        </w:rPr>
        <w:t xml:space="preserve">Table </w:t>
      </w:r>
      <w:r w:rsidRPr="00E00C4B">
        <w:rPr>
          <w:rFonts w:asciiTheme="majorHAnsi" w:eastAsiaTheme="minorHAnsi" w:hAnsiTheme="majorHAnsi" w:cstheme="majorHAnsi"/>
          <w:i/>
          <w:iCs/>
          <w:color w:val="44546A" w:themeColor="text2"/>
          <w:sz w:val="22"/>
          <w:szCs w:val="22"/>
          <w:lang w:val="en-US"/>
        </w:rPr>
        <w:fldChar w:fldCharType="begin"/>
      </w:r>
      <w:r w:rsidRPr="00E00C4B">
        <w:rPr>
          <w:rFonts w:asciiTheme="majorHAnsi" w:eastAsiaTheme="minorHAnsi" w:hAnsiTheme="majorHAnsi" w:cstheme="majorHAnsi"/>
          <w:i/>
          <w:iCs/>
          <w:color w:val="44546A" w:themeColor="text2"/>
          <w:sz w:val="22"/>
          <w:szCs w:val="22"/>
          <w:lang w:val="en-US"/>
        </w:rPr>
        <w:instrText xml:space="preserve"> SEQ Table \* ARABIC </w:instrText>
      </w:r>
      <w:r w:rsidRPr="00E00C4B">
        <w:rPr>
          <w:rFonts w:asciiTheme="majorHAnsi" w:eastAsiaTheme="minorHAnsi" w:hAnsiTheme="majorHAnsi" w:cstheme="majorHAnsi"/>
          <w:i/>
          <w:iCs/>
          <w:color w:val="44546A" w:themeColor="text2"/>
          <w:sz w:val="22"/>
          <w:szCs w:val="22"/>
          <w:lang w:val="en-US"/>
        </w:rPr>
        <w:fldChar w:fldCharType="separate"/>
      </w:r>
      <w:r w:rsidR="00D6133D">
        <w:rPr>
          <w:rFonts w:asciiTheme="majorHAnsi" w:eastAsiaTheme="minorHAnsi" w:hAnsiTheme="majorHAnsi" w:cstheme="majorHAnsi"/>
          <w:i/>
          <w:iCs/>
          <w:noProof/>
          <w:color w:val="44546A" w:themeColor="text2"/>
          <w:sz w:val="22"/>
          <w:szCs w:val="22"/>
          <w:lang w:val="en-US"/>
        </w:rPr>
        <w:t>63</w:t>
      </w:r>
      <w:r w:rsidRPr="00E00C4B">
        <w:rPr>
          <w:rFonts w:asciiTheme="majorHAnsi" w:eastAsiaTheme="minorHAnsi" w:hAnsiTheme="majorHAnsi" w:cstheme="majorHAnsi"/>
          <w:i/>
          <w:iCs/>
          <w:color w:val="44546A" w:themeColor="text2"/>
          <w:sz w:val="22"/>
          <w:szCs w:val="22"/>
          <w:lang w:val="en-US"/>
        </w:rPr>
        <w:fldChar w:fldCharType="end"/>
      </w:r>
      <w:r w:rsidRPr="00E00C4B">
        <w:rPr>
          <w:rFonts w:asciiTheme="majorHAnsi" w:eastAsiaTheme="minorHAnsi" w:hAnsiTheme="majorHAnsi" w:cstheme="majorHAnsi"/>
          <w:i/>
          <w:iCs/>
          <w:color w:val="44546A" w:themeColor="text2"/>
          <w:sz w:val="22"/>
          <w:szCs w:val="22"/>
          <w:lang w:val="en-US"/>
        </w:rPr>
        <w:t xml:space="preserve">. </w:t>
      </w:r>
      <w:r w:rsidRPr="00E00C4B">
        <w:rPr>
          <w:rFonts w:asciiTheme="majorHAnsi" w:eastAsiaTheme="minorHAnsi" w:hAnsiTheme="majorHAnsi" w:cstheme="majorHAnsi"/>
          <w:bCs/>
          <w:i/>
          <w:iCs/>
          <w:color w:val="44546A" w:themeColor="text2"/>
          <w:sz w:val="22"/>
          <w:szCs w:val="22"/>
          <w:lang w:val="en-US"/>
        </w:rPr>
        <w:t>Elementary Net Enrolment Rate by Region, SY 2013-2014 to SY2017-2018</w:t>
      </w:r>
      <w:bookmarkEnd w:id="561"/>
      <w:bookmarkEnd w:id="562"/>
    </w:p>
    <w:tbl>
      <w:tblPr>
        <w:tblStyle w:val="TableGrid11"/>
        <w:tblW w:w="10009" w:type="dxa"/>
        <w:tblLook w:val="04A0" w:firstRow="1" w:lastRow="0" w:firstColumn="1" w:lastColumn="0" w:noHBand="0" w:noVBand="1"/>
      </w:tblPr>
      <w:tblGrid>
        <w:gridCol w:w="2059"/>
        <w:gridCol w:w="1590"/>
        <w:gridCol w:w="1590"/>
        <w:gridCol w:w="1590"/>
        <w:gridCol w:w="1590"/>
        <w:gridCol w:w="1590"/>
      </w:tblGrid>
      <w:tr w:rsidR="008D0CAD" w:rsidRPr="004B064D" w14:paraId="4B7AB4EA" w14:textId="77777777" w:rsidTr="004B064D">
        <w:trPr>
          <w:trHeight w:val="251"/>
          <w:tblHeader/>
        </w:trPr>
        <w:tc>
          <w:tcPr>
            <w:tcW w:w="2059" w:type="dxa"/>
            <w:noWrap/>
            <w:hideMark/>
          </w:tcPr>
          <w:p w14:paraId="7D65629F"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000000" w:themeColor="text1"/>
                <w:sz w:val="16"/>
                <w:szCs w:val="16"/>
              </w:rPr>
            </w:pPr>
            <w:r w:rsidRPr="004B064D">
              <w:rPr>
                <w:rFonts w:asciiTheme="majorHAnsi" w:hAnsiTheme="majorHAnsi" w:cstheme="majorHAnsi"/>
                <w:b/>
                <w:bCs/>
                <w:color w:val="000000" w:themeColor="text1"/>
                <w:sz w:val="16"/>
                <w:szCs w:val="16"/>
              </w:rPr>
              <w:t> </w:t>
            </w:r>
          </w:p>
        </w:tc>
        <w:tc>
          <w:tcPr>
            <w:tcW w:w="1590" w:type="dxa"/>
            <w:noWrap/>
            <w:hideMark/>
          </w:tcPr>
          <w:p w14:paraId="35857BFA"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000000" w:themeColor="text1"/>
                <w:sz w:val="16"/>
                <w:szCs w:val="16"/>
              </w:rPr>
            </w:pPr>
            <w:r w:rsidRPr="004B064D">
              <w:rPr>
                <w:rFonts w:asciiTheme="majorHAnsi" w:hAnsiTheme="majorHAnsi" w:cstheme="majorHAnsi"/>
                <w:b/>
                <w:bCs/>
                <w:color w:val="000000" w:themeColor="text1"/>
                <w:sz w:val="16"/>
                <w:szCs w:val="16"/>
              </w:rPr>
              <w:t>SY 2013-2014</w:t>
            </w:r>
          </w:p>
        </w:tc>
        <w:tc>
          <w:tcPr>
            <w:tcW w:w="1590" w:type="dxa"/>
            <w:noWrap/>
            <w:hideMark/>
          </w:tcPr>
          <w:p w14:paraId="5CF1F65E"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000000" w:themeColor="text1"/>
                <w:sz w:val="16"/>
                <w:szCs w:val="16"/>
              </w:rPr>
            </w:pPr>
            <w:r w:rsidRPr="004B064D">
              <w:rPr>
                <w:rFonts w:asciiTheme="majorHAnsi" w:hAnsiTheme="majorHAnsi" w:cstheme="majorHAnsi"/>
                <w:b/>
                <w:bCs/>
                <w:color w:val="000000" w:themeColor="text1"/>
                <w:sz w:val="16"/>
                <w:szCs w:val="16"/>
              </w:rPr>
              <w:t>SY 2014-2015</w:t>
            </w:r>
          </w:p>
        </w:tc>
        <w:tc>
          <w:tcPr>
            <w:tcW w:w="1590" w:type="dxa"/>
            <w:noWrap/>
            <w:hideMark/>
          </w:tcPr>
          <w:p w14:paraId="4985581A"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000000" w:themeColor="text1"/>
                <w:sz w:val="16"/>
                <w:szCs w:val="16"/>
              </w:rPr>
            </w:pPr>
            <w:r w:rsidRPr="004B064D">
              <w:rPr>
                <w:rFonts w:asciiTheme="majorHAnsi" w:hAnsiTheme="majorHAnsi" w:cstheme="majorHAnsi"/>
                <w:b/>
                <w:bCs/>
                <w:color w:val="000000" w:themeColor="text1"/>
                <w:sz w:val="16"/>
                <w:szCs w:val="16"/>
              </w:rPr>
              <w:t>SY 2015-2016</w:t>
            </w:r>
          </w:p>
        </w:tc>
        <w:tc>
          <w:tcPr>
            <w:tcW w:w="1590" w:type="dxa"/>
            <w:noWrap/>
            <w:hideMark/>
          </w:tcPr>
          <w:p w14:paraId="1B91C320"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000000" w:themeColor="text1"/>
                <w:sz w:val="16"/>
                <w:szCs w:val="16"/>
              </w:rPr>
            </w:pPr>
            <w:r w:rsidRPr="004B064D">
              <w:rPr>
                <w:rFonts w:asciiTheme="majorHAnsi" w:hAnsiTheme="majorHAnsi" w:cstheme="majorHAnsi"/>
                <w:b/>
                <w:bCs/>
                <w:color w:val="000000" w:themeColor="text1"/>
                <w:sz w:val="16"/>
                <w:szCs w:val="16"/>
              </w:rPr>
              <w:t>SY 2016-2017</w:t>
            </w:r>
          </w:p>
        </w:tc>
        <w:tc>
          <w:tcPr>
            <w:tcW w:w="1590" w:type="dxa"/>
            <w:noWrap/>
            <w:hideMark/>
          </w:tcPr>
          <w:p w14:paraId="41F768C2" w14:textId="77777777" w:rsidR="008D0CAD" w:rsidRPr="004B064D" w:rsidRDefault="008D0CAD" w:rsidP="00796BFA">
            <w:pPr>
              <w:spacing w:before="100" w:beforeAutospacing="1" w:after="100" w:afterAutospacing="1" w:line="360" w:lineRule="auto"/>
              <w:rPr>
                <w:rFonts w:asciiTheme="majorHAnsi" w:hAnsiTheme="majorHAnsi" w:cstheme="majorHAnsi"/>
                <w:b/>
                <w:bCs/>
                <w:color w:val="000000" w:themeColor="text1"/>
                <w:sz w:val="16"/>
                <w:szCs w:val="16"/>
              </w:rPr>
            </w:pPr>
            <w:r w:rsidRPr="004B064D">
              <w:rPr>
                <w:rFonts w:asciiTheme="majorHAnsi" w:hAnsiTheme="majorHAnsi" w:cstheme="majorHAnsi"/>
                <w:b/>
                <w:bCs/>
                <w:color w:val="000000" w:themeColor="text1"/>
                <w:sz w:val="16"/>
                <w:szCs w:val="16"/>
              </w:rPr>
              <w:t>SY 2017-2018</w:t>
            </w:r>
          </w:p>
        </w:tc>
      </w:tr>
      <w:tr w:rsidR="008D0CAD" w:rsidRPr="00E00C4B" w14:paraId="62A35E6F" w14:textId="77777777" w:rsidTr="00536AA2">
        <w:trPr>
          <w:trHeight w:val="251"/>
        </w:trPr>
        <w:tc>
          <w:tcPr>
            <w:tcW w:w="2059" w:type="dxa"/>
            <w:noWrap/>
            <w:hideMark/>
          </w:tcPr>
          <w:p w14:paraId="3D7B5810"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themeColor="text1"/>
                <w:sz w:val="16"/>
                <w:szCs w:val="16"/>
              </w:rPr>
            </w:pPr>
            <w:r w:rsidRPr="00E00C4B">
              <w:rPr>
                <w:rFonts w:asciiTheme="majorHAnsi" w:hAnsiTheme="majorHAnsi" w:cstheme="majorHAnsi"/>
                <w:color w:val="000000" w:themeColor="text1"/>
                <w:sz w:val="16"/>
                <w:szCs w:val="16"/>
              </w:rPr>
              <w:t xml:space="preserve">Region I </w:t>
            </w:r>
          </w:p>
        </w:tc>
        <w:tc>
          <w:tcPr>
            <w:tcW w:w="1590" w:type="dxa"/>
            <w:noWrap/>
            <w:hideMark/>
          </w:tcPr>
          <w:p w14:paraId="3FEE3C99"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96.81%</w:t>
            </w:r>
          </w:p>
        </w:tc>
        <w:tc>
          <w:tcPr>
            <w:tcW w:w="1590" w:type="dxa"/>
            <w:noWrap/>
            <w:hideMark/>
          </w:tcPr>
          <w:p w14:paraId="31978ACE"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96.84%</w:t>
            </w:r>
          </w:p>
        </w:tc>
        <w:tc>
          <w:tcPr>
            <w:tcW w:w="1590" w:type="dxa"/>
            <w:noWrap/>
            <w:hideMark/>
          </w:tcPr>
          <w:p w14:paraId="1DB4D6C8"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95.39%</w:t>
            </w:r>
          </w:p>
        </w:tc>
        <w:tc>
          <w:tcPr>
            <w:tcW w:w="1590" w:type="dxa"/>
            <w:noWrap/>
            <w:hideMark/>
          </w:tcPr>
          <w:p w14:paraId="3DA0773F" w14:textId="77777777" w:rsidR="008D0CAD" w:rsidRPr="00E00C4B" w:rsidRDefault="008D0CAD" w:rsidP="00796BFA">
            <w:pPr>
              <w:spacing w:before="100" w:beforeAutospacing="1" w:after="100" w:afterAutospacing="1" w:line="360" w:lineRule="auto"/>
              <w:rPr>
                <w:rFonts w:asciiTheme="majorHAnsi" w:hAnsiTheme="majorHAnsi" w:cstheme="majorHAnsi"/>
                <w:b/>
                <w:sz w:val="16"/>
                <w:szCs w:val="16"/>
              </w:rPr>
            </w:pPr>
            <w:r w:rsidRPr="00E00C4B">
              <w:rPr>
                <w:rFonts w:asciiTheme="majorHAnsi" w:hAnsiTheme="majorHAnsi" w:cstheme="majorHAnsi"/>
                <w:b/>
                <w:sz w:val="16"/>
                <w:szCs w:val="16"/>
              </w:rPr>
              <w:t>94.84%</w:t>
            </w:r>
          </w:p>
        </w:tc>
        <w:tc>
          <w:tcPr>
            <w:tcW w:w="1590" w:type="dxa"/>
            <w:noWrap/>
            <w:hideMark/>
          </w:tcPr>
          <w:p w14:paraId="500B7564" w14:textId="77777777" w:rsidR="008D0CAD" w:rsidRPr="00E00C4B" w:rsidRDefault="008D0CAD" w:rsidP="00796BFA">
            <w:pPr>
              <w:spacing w:before="100" w:beforeAutospacing="1" w:after="100" w:afterAutospacing="1" w:line="360" w:lineRule="auto"/>
              <w:rPr>
                <w:rFonts w:asciiTheme="majorHAnsi" w:hAnsiTheme="majorHAnsi" w:cstheme="majorHAnsi"/>
                <w:b/>
                <w:sz w:val="16"/>
                <w:szCs w:val="16"/>
              </w:rPr>
            </w:pPr>
            <w:r w:rsidRPr="00E00C4B">
              <w:rPr>
                <w:rFonts w:asciiTheme="majorHAnsi" w:hAnsiTheme="majorHAnsi" w:cstheme="majorHAnsi"/>
                <w:b/>
                <w:sz w:val="16"/>
                <w:szCs w:val="16"/>
              </w:rPr>
              <w:t>92.50%</w:t>
            </w:r>
          </w:p>
        </w:tc>
      </w:tr>
      <w:tr w:rsidR="008D0CAD" w:rsidRPr="00E00C4B" w14:paraId="42AD1E79" w14:textId="77777777" w:rsidTr="00536AA2">
        <w:trPr>
          <w:trHeight w:val="251"/>
        </w:trPr>
        <w:tc>
          <w:tcPr>
            <w:tcW w:w="2059" w:type="dxa"/>
            <w:noWrap/>
            <w:hideMark/>
          </w:tcPr>
          <w:p w14:paraId="306AB1C0"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themeColor="text1"/>
                <w:sz w:val="16"/>
                <w:szCs w:val="16"/>
              </w:rPr>
            </w:pPr>
            <w:r w:rsidRPr="00E00C4B">
              <w:rPr>
                <w:rFonts w:asciiTheme="majorHAnsi" w:hAnsiTheme="majorHAnsi" w:cstheme="majorHAnsi"/>
                <w:color w:val="000000" w:themeColor="text1"/>
                <w:sz w:val="16"/>
                <w:szCs w:val="16"/>
              </w:rPr>
              <w:t xml:space="preserve">Region II </w:t>
            </w:r>
          </w:p>
        </w:tc>
        <w:tc>
          <w:tcPr>
            <w:tcW w:w="1590" w:type="dxa"/>
            <w:noWrap/>
            <w:hideMark/>
          </w:tcPr>
          <w:p w14:paraId="0831DC09"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96.49%</w:t>
            </w:r>
          </w:p>
        </w:tc>
        <w:tc>
          <w:tcPr>
            <w:tcW w:w="1590" w:type="dxa"/>
            <w:noWrap/>
            <w:hideMark/>
          </w:tcPr>
          <w:p w14:paraId="7BD2EB1B"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96.32%</w:t>
            </w:r>
          </w:p>
        </w:tc>
        <w:tc>
          <w:tcPr>
            <w:tcW w:w="1590" w:type="dxa"/>
            <w:noWrap/>
            <w:hideMark/>
          </w:tcPr>
          <w:p w14:paraId="65926098"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96.31%</w:t>
            </w:r>
          </w:p>
        </w:tc>
        <w:tc>
          <w:tcPr>
            <w:tcW w:w="1590" w:type="dxa"/>
            <w:noWrap/>
            <w:hideMark/>
          </w:tcPr>
          <w:p w14:paraId="3B9095BD"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100.26%</w:t>
            </w:r>
          </w:p>
        </w:tc>
        <w:tc>
          <w:tcPr>
            <w:tcW w:w="1590" w:type="dxa"/>
            <w:noWrap/>
            <w:hideMark/>
          </w:tcPr>
          <w:p w14:paraId="34CD4A6E"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98.45%</w:t>
            </w:r>
          </w:p>
        </w:tc>
      </w:tr>
      <w:tr w:rsidR="008D0CAD" w:rsidRPr="00E00C4B" w14:paraId="672BB436" w14:textId="77777777" w:rsidTr="00536AA2">
        <w:trPr>
          <w:trHeight w:val="251"/>
        </w:trPr>
        <w:tc>
          <w:tcPr>
            <w:tcW w:w="2059" w:type="dxa"/>
            <w:noWrap/>
            <w:hideMark/>
          </w:tcPr>
          <w:p w14:paraId="0676F0DC"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themeColor="text1"/>
                <w:sz w:val="16"/>
                <w:szCs w:val="16"/>
              </w:rPr>
            </w:pPr>
            <w:r w:rsidRPr="00E00C4B">
              <w:rPr>
                <w:rFonts w:asciiTheme="majorHAnsi" w:hAnsiTheme="majorHAnsi" w:cstheme="majorHAnsi"/>
                <w:color w:val="000000" w:themeColor="text1"/>
                <w:sz w:val="16"/>
                <w:szCs w:val="16"/>
              </w:rPr>
              <w:t xml:space="preserve">Region III </w:t>
            </w:r>
          </w:p>
        </w:tc>
        <w:tc>
          <w:tcPr>
            <w:tcW w:w="1590" w:type="dxa"/>
            <w:noWrap/>
            <w:hideMark/>
          </w:tcPr>
          <w:p w14:paraId="1C02E6CA"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96.22%</w:t>
            </w:r>
          </w:p>
        </w:tc>
        <w:tc>
          <w:tcPr>
            <w:tcW w:w="1590" w:type="dxa"/>
            <w:noWrap/>
            <w:hideMark/>
          </w:tcPr>
          <w:p w14:paraId="365C9612"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95.64%</w:t>
            </w:r>
          </w:p>
        </w:tc>
        <w:tc>
          <w:tcPr>
            <w:tcW w:w="1590" w:type="dxa"/>
            <w:noWrap/>
            <w:hideMark/>
          </w:tcPr>
          <w:p w14:paraId="18F5FD58"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93.85%</w:t>
            </w:r>
          </w:p>
        </w:tc>
        <w:tc>
          <w:tcPr>
            <w:tcW w:w="1590" w:type="dxa"/>
            <w:noWrap/>
            <w:hideMark/>
          </w:tcPr>
          <w:p w14:paraId="3004D36A"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98.53%</w:t>
            </w:r>
          </w:p>
        </w:tc>
        <w:tc>
          <w:tcPr>
            <w:tcW w:w="1590" w:type="dxa"/>
            <w:noWrap/>
            <w:hideMark/>
          </w:tcPr>
          <w:p w14:paraId="442F570F"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97.91%</w:t>
            </w:r>
          </w:p>
        </w:tc>
      </w:tr>
      <w:tr w:rsidR="008D0CAD" w:rsidRPr="00E00C4B" w14:paraId="0119208F" w14:textId="77777777" w:rsidTr="00536AA2">
        <w:trPr>
          <w:trHeight w:val="251"/>
        </w:trPr>
        <w:tc>
          <w:tcPr>
            <w:tcW w:w="2059" w:type="dxa"/>
            <w:noWrap/>
            <w:hideMark/>
          </w:tcPr>
          <w:p w14:paraId="12AD6CB0"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themeColor="text1"/>
                <w:sz w:val="16"/>
                <w:szCs w:val="16"/>
              </w:rPr>
            </w:pPr>
            <w:r w:rsidRPr="00E00C4B">
              <w:rPr>
                <w:rFonts w:asciiTheme="majorHAnsi" w:hAnsiTheme="majorHAnsi" w:cstheme="majorHAnsi"/>
                <w:color w:val="000000" w:themeColor="text1"/>
                <w:sz w:val="16"/>
                <w:szCs w:val="16"/>
              </w:rPr>
              <w:t>Region IV-A</w:t>
            </w:r>
          </w:p>
        </w:tc>
        <w:tc>
          <w:tcPr>
            <w:tcW w:w="1590" w:type="dxa"/>
            <w:noWrap/>
            <w:hideMark/>
          </w:tcPr>
          <w:p w14:paraId="222F5316" w14:textId="77777777" w:rsidR="008D0CAD" w:rsidRPr="00E00C4B" w:rsidRDefault="008D0CAD" w:rsidP="00796BFA">
            <w:pPr>
              <w:spacing w:before="100" w:beforeAutospacing="1" w:after="100" w:afterAutospacing="1" w:line="360" w:lineRule="auto"/>
              <w:rPr>
                <w:rFonts w:asciiTheme="majorHAnsi" w:hAnsiTheme="majorHAnsi" w:cstheme="majorHAnsi"/>
                <w:b/>
                <w:sz w:val="16"/>
                <w:szCs w:val="16"/>
              </w:rPr>
            </w:pPr>
            <w:r w:rsidRPr="00E00C4B">
              <w:rPr>
                <w:rFonts w:asciiTheme="majorHAnsi" w:hAnsiTheme="majorHAnsi" w:cstheme="majorHAnsi"/>
                <w:b/>
                <w:sz w:val="16"/>
                <w:szCs w:val="16"/>
              </w:rPr>
              <w:t>92.47%</w:t>
            </w:r>
          </w:p>
        </w:tc>
        <w:tc>
          <w:tcPr>
            <w:tcW w:w="1590" w:type="dxa"/>
            <w:noWrap/>
            <w:hideMark/>
          </w:tcPr>
          <w:p w14:paraId="0C9340D9" w14:textId="77777777" w:rsidR="008D0CAD" w:rsidRPr="00E00C4B" w:rsidRDefault="008D0CAD" w:rsidP="00796BFA">
            <w:pPr>
              <w:spacing w:before="100" w:beforeAutospacing="1" w:after="100" w:afterAutospacing="1" w:line="360" w:lineRule="auto"/>
              <w:rPr>
                <w:rFonts w:asciiTheme="majorHAnsi" w:hAnsiTheme="majorHAnsi" w:cstheme="majorHAnsi"/>
                <w:b/>
                <w:sz w:val="16"/>
                <w:szCs w:val="16"/>
              </w:rPr>
            </w:pPr>
            <w:r w:rsidRPr="00E00C4B">
              <w:rPr>
                <w:rFonts w:asciiTheme="majorHAnsi" w:hAnsiTheme="majorHAnsi" w:cstheme="majorHAnsi"/>
                <w:b/>
                <w:sz w:val="16"/>
                <w:szCs w:val="16"/>
              </w:rPr>
              <w:t>92.03%</w:t>
            </w:r>
          </w:p>
        </w:tc>
        <w:tc>
          <w:tcPr>
            <w:tcW w:w="1590" w:type="dxa"/>
            <w:noWrap/>
            <w:hideMark/>
          </w:tcPr>
          <w:p w14:paraId="082B6DBF" w14:textId="77777777" w:rsidR="008D0CAD" w:rsidRPr="00E00C4B" w:rsidRDefault="008D0CAD" w:rsidP="00796BFA">
            <w:pPr>
              <w:spacing w:before="100" w:beforeAutospacing="1" w:after="100" w:afterAutospacing="1" w:line="360" w:lineRule="auto"/>
              <w:rPr>
                <w:rFonts w:asciiTheme="majorHAnsi" w:hAnsiTheme="majorHAnsi" w:cstheme="majorHAnsi"/>
                <w:b/>
                <w:sz w:val="16"/>
                <w:szCs w:val="16"/>
              </w:rPr>
            </w:pPr>
            <w:r w:rsidRPr="00E00C4B">
              <w:rPr>
                <w:rFonts w:asciiTheme="majorHAnsi" w:hAnsiTheme="majorHAnsi" w:cstheme="majorHAnsi"/>
                <w:b/>
                <w:sz w:val="16"/>
                <w:szCs w:val="16"/>
              </w:rPr>
              <w:t>89.94%</w:t>
            </w:r>
          </w:p>
        </w:tc>
        <w:tc>
          <w:tcPr>
            <w:tcW w:w="1590" w:type="dxa"/>
            <w:noWrap/>
            <w:hideMark/>
          </w:tcPr>
          <w:p w14:paraId="051DF29C"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97.20%</w:t>
            </w:r>
          </w:p>
        </w:tc>
        <w:tc>
          <w:tcPr>
            <w:tcW w:w="1590" w:type="dxa"/>
            <w:noWrap/>
            <w:hideMark/>
          </w:tcPr>
          <w:p w14:paraId="68F10351"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96.31%</w:t>
            </w:r>
          </w:p>
        </w:tc>
      </w:tr>
      <w:tr w:rsidR="008D0CAD" w:rsidRPr="00E00C4B" w14:paraId="406B51D4" w14:textId="77777777" w:rsidTr="00536AA2">
        <w:trPr>
          <w:trHeight w:val="251"/>
        </w:trPr>
        <w:tc>
          <w:tcPr>
            <w:tcW w:w="2059" w:type="dxa"/>
            <w:noWrap/>
            <w:hideMark/>
          </w:tcPr>
          <w:p w14:paraId="3C02B12B"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themeColor="text1"/>
                <w:sz w:val="16"/>
                <w:szCs w:val="16"/>
              </w:rPr>
            </w:pPr>
            <w:r w:rsidRPr="00E00C4B">
              <w:rPr>
                <w:rFonts w:asciiTheme="majorHAnsi" w:hAnsiTheme="majorHAnsi" w:cstheme="majorHAnsi"/>
                <w:color w:val="000000" w:themeColor="text1"/>
                <w:sz w:val="16"/>
                <w:szCs w:val="16"/>
              </w:rPr>
              <w:t xml:space="preserve">Region IV-B </w:t>
            </w:r>
          </w:p>
        </w:tc>
        <w:tc>
          <w:tcPr>
            <w:tcW w:w="1590" w:type="dxa"/>
            <w:noWrap/>
            <w:hideMark/>
          </w:tcPr>
          <w:p w14:paraId="4E538055" w14:textId="77777777" w:rsidR="008D0CAD" w:rsidRPr="00E00C4B" w:rsidRDefault="008D0CAD" w:rsidP="00796BFA">
            <w:pPr>
              <w:spacing w:before="100" w:beforeAutospacing="1" w:after="100" w:afterAutospacing="1" w:line="360" w:lineRule="auto"/>
              <w:rPr>
                <w:rFonts w:asciiTheme="majorHAnsi" w:hAnsiTheme="majorHAnsi" w:cstheme="majorHAnsi"/>
                <w:b/>
                <w:sz w:val="16"/>
                <w:szCs w:val="16"/>
              </w:rPr>
            </w:pPr>
            <w:r w:rsidRPr="00E00C4B">
              <w:rPr>
                <w:rFonts w:asciiTheme="majorHAnsi" w:hAnsiTheme="majorHAnsi" w:cstheme="majorHAnsi"/>
                <w:b/>
                <w:sz w:val="16"/>
                <w:szCs w:val="16"/>
              </w:rPr>
              <w:t>93.52%</w:t>
            </w:r>
          </w:p>
        </w:tc>
        <w:tc>
          <w:tcPr>
            <w:tcW w:w="1590" w:type="dxa"/>
            <w:noWrap/>
            <w:hideMark/>
          </w:tcPr>
          <w:p w14:paraId="746F2DA5" w14:textId="77777777" w:rsidR="008D0CAD" w:rsidRPr="00E00C4B" w:rsidRDefault="008D0CAD" w:rsidP="00796BFA">
            <w:pPr>
              <w:spacing w:before="100" w:beforeAutospacing="1" w:after="100" w:afterAutospacing="1" w:line="360" w:lineRule="auto"/>
              <w:rPr>
                <w:rFonts w:asciiTheme="majorHAnsi" w:hAnsiTheme="majorHAnsi" w:cstheme="majorHAnsi"/>
                <w:b/>
                <w:sz w:val="16"/>
                <w:szCs w:val="16"/>
              </w:rPr>
            </w:pPr>
            <w:r w:rsidRPr="00E00C4B">
              <w:rPr>
                <w:rFonts w:asciiTheme="majorHAnsi" w:hAnsiTheme="majorHAnsi" w:cstheme="majorHAnsi"/>
                <w:b/>
                <w:sz w:val="16"/>
                <w:szCs w:val="16"/>
              </w:rPr>
              <w:t>92.33%</w:t>
            </w:r>
          </w:p>
        </w:tc>
        <w:tc>
          <w:tcPr>
            <w:tcW w:w="1590" w:type="dxa"/>
            <w:noWrap/>
            <w:hideMark/>
          </w:tcPr>
          <w:p w14:paraId="6836FAF1"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92.25%</w:t>
            </w:r>
          </w:p>
        </w:tc>
        <w:tc>
          <w:tcPr>
            <w:tcW w:w="1590" w:type="dxa"/>
            <w:noWrap/>
            <w:hideMark/>
          </w:tcPr>
          <w:p w14:paraId="2045CDE3" w14:textId="77777777" w:rsidR="008D0CAD" w:rsidRPr="00E00C4B" w:rsidRDefault="008D0CAD" w:rsidP="00796BFA">
            <w:pPr>
              <w:spacing w:before="100" w:beforeAutospacing="1" w:after="100" w:afterAutospacing="1" w:line="360" w:lineRule="auto"/>
              <w:rPr>
                <w:rFonts w:asciiTheme="majorHAnsi" w:hAnsiTheme="majorHAnsi" w:cstheme="majorHAnsi"/>
                <w:b/>
                <w:sz w:val="16"/>
                <w:szCs w:val="16"/>
              </w:rPr>
            </w:pPr>
            <w:r w:rsidRPr="00E00C4B">
              <w:rPr>
                <w:rFonts w:asciiTheme="majorHAnsi" w:hAnsiTheme="majorHAnsi" w:cstheme="majorHAnsi"/>
                <w:b/>
                <w:sz w:val="16"/>
                <w:szCs w:val="16"/>
              </w:rPr>
              <w:t>94.98%</w:t>
            </w:r>
          </w:p>
        </w:tc>
        <w:tc>
          <w:tcPr>
            <w:tcW w:w="1590" w:type="dxa"/>
            <w:noWrap/>
            <w:hideMark/>
          </w:tcPr>
          <w:p w14:paraId="30F84B3E" w14:textId="77777777" w:rsidR="008D0CAD" w:rsidRPr="00E00C4B" w:rsidRDefault="008D0CAD" w:rsidP="00796BFA">
            <w:pPr>
              <w:spacing w:before="100" w:beforeAutospacing="1" w:after="100" w:afterAutospacing="1" w:line="360" w:lineRule="auto"/>
              <w:rPr>
                <w:rFonts w:asciiTheme="majorHAnsi" w:hAnsiTheme="majorHAnsi" w:cstheme="majorHAnsi"/>
                <w:b/>
                <w:sz w:val="16"/>
                <w:szCs w:val="16"/>
              </w:rPr>
            </w:pPr>
            <w:r w:rsidRPr="00E00C4B">
              <w:rPr>
                <w:rFonts w:asciiTheme="majorHAnsi" w:hAnsiTheme="majorHAnsi" w:cstheme="majorHAnsi"/>
                <w:b/>
                <w:sz w:val="16"/>
                <w:szCs w:val="16"/>
              </w:rPr>
              <w:t>92.33%</w:t>
            </w:r>
          </w:p>
        </w:tc>
      </w:tr>
      <w:tr w:rsidR="008D0CAD" w:rsidRPr="00E00C4B" w14:paraId="4435CE66" w14:textId="77777777" w:rsidTr="00536AA2">
        <w:trPr>
          <w:trHeight w:val="251"/>
        </w:trPr>
        <w:tc>
          <w:tcPr>
            <w:tcW w:w="2059" w:type="dxa"/>
            <w:noWrap/>
            <w:hideMark/>
          </w:tcPr>
          <w:p w14:paraId="702F16B7"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themeColor="text1"/>
                <w:sz w:val="16"/>
                <w:szCs w:val="16"/>
              </w:rPr>
            </w:pPr>
            <w:r w:rsidRPr="00E00C4B">
              <w:rPr>
                <w:rFonts w:asciiTheme="majorHAnsi" w:hAnsiTheme="majorHAnsi" w:cstheme="majorHAnsi"/>
                <w:color w:val="000000" w:themeColor="text1"/>
                <w:sz w:val="16"/>
                <w:szCs w:val="16"/>
              </w:rPr>
              <w:t xml:space="preserve">Region V </w:t>
            </w:r>
          </w:p>
        </w:tc>
        <w:tc>
          <w:tcPr>
            <w:tcW w:w="1590" w:type="dxa"/>
            <w:noWrap/>
            <w:hideMark/>
          </w:tcPr>
          <w:p w14:paraId="59876F7A"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95.50%</w:t>
            </w:r>
          </w:p>
        </w:tc>
        <w:tc>
          <w:tcPr>
            <w:tcW w:w="1590" w:type="dxa"/>
            <w:noWrap/>
            <w:hideMark/>
          </w:tcPr>
          <w:p w14:paraId="3BCC850B"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94.02%</w:t>
            </w:r>
          </w:p>
        </w:tc>
        <w:tc>
          <w:tcPr>
            <w:tcW w:w="1590" w:type="dxa"/>
            <w:noWrap/>
            <w:hideMark/>
          </w:tcPr>
          <w:p w14:paraId="3018DC27"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91.09%</w:t>
            </w:r>
          </w:p>
        </w:tc>
        <w:tc>
          <w:tcPr>
            <w:tcW w:w="1590" w:type="dxa"/>
            <w:noWrap/>
            <w:hideMark/>
          </w:tcPr>
          <w:p w14:paraId="44C27FE3" w14:textId="77777777" w:rsidR="008D0CAD" w:rsidRPr="00E00C4B" w:rsidRDefault="008D0CAD" w:rsidP="00796BFA">
            <w:pPr>
              <w:spacing w:before="100" w:beforeAutospacing="1" w:after="100" w:afterAutospacing="1" w:line="360" w:lineRule="auto"/>
              <w:rPr>
                <w:rFonts w:asciiTheme="majorHAnsi" w:hAnsiTheme="majorHAnsi" w:cstheme="majorHAnsi"/>
                <w:b/>
                <w:sz w:val="16"/>
                <w:szCs w:val="16"/>
              </w:rPr>
            </w:pPr>
            <w:r w:rsidRPr="00E00C4B">
              <w:rPr>
                <w:rFonts w:asciiTheme="majorHAnsi" w:hAnsiTheme="majorHAnsi" w:cstheme="majorHAnsi"/>
                <w:b/>
                <w:sz w:val="16"/>
                <w:szCs w:val="16"/>
              </w:rPr>
              <w:t>95.77%</w:t>
            </w:r>
          </w:p>
        </w:tc>
        <w:tc>
          <w:tcPr>
            <w:tcW w:w="1590" w:type="dxa"/>
            <w:noWrap/>
            <w:hideMark/>
          </w:tcPr>
          <w:p w14:paraId="74B0F862" w14:textId="77777777" w:rsidR="008D0CAD" w:rsidRPr="00E00C4B" w:rsidRDefault="008D0CAD" w:rsidP="00796BFA">
            <w:pPr>
              <w:spacing w:before="100" w:beforeAutospacing="1" w:after="100" w:afterAutospacing="1" w:line="360" w:lineRule="auto"/>
              <w:rPr>
                <w:rFonts w:asciiTheme="majorHAnsi" w:hAnsiTheme="majorHAnsi" w:cstheme="majorHAnsi"/>
                <w:b/>
                <w:sz w:val="16"/>
                <w:szCs w:val="16"/>
              </w:rPr>
            </w:pPr>
            <w:r w:rsidRPr="00E00C4B">
              <w:rPr>
                <w:rFonts w:asciiTheme="majorHAnsi" w:hAnsiTheme="majorHAnsi" w:cstheme="majorHAnsi"/>
                <w:b/>
                <w:sz w:val="16"/>
                <w:szCs w:val="16"/>
              </w:rPr>
              <w:t>93.56%</w:t>
            </w:r>
          </w:p>
        </w:tc>
      </w:tr>
      <w:tr w:rsidR="008D0CAD" w:rsidRPr="00E00C4B" w14:paraId="387D3490" w14:textId="77777777" w:rsidTr="00536AA2">
        <w:trPr>
          <w:trHeight w:val="251"/>
        </w:trPr>
        <w:tc>
          <w:tcPr>
            <w:tcW w:w="2059" w:type="dxa"/>
            <w:noWrap/>
            <w:hideMark/>
          </w:tcPr>
          <w:p w14:paraId="5F3BF033"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themeColor="text1"/>
                <w:sz w:val="16"/>
                <w:szCs w:val="16"/>
              </w:rPr>
            </w:pPr>
            <w:r w:rsidRPr="00E00C4B">
              <w:rPr>
                <w:rFonts w:asciiTheme="majorHAnsi" w:hAnsiTheme="majorHAnsi" w:cstheme="majorHAnsi"/>
                <w:color w:val="000000" w:themeColor="text1"/>
                <w:sz w:val="16"/>
                <w:szCs w:val="16"/>
              </w:rPr>
              <w:t xml:space="preserve">Region VI </w:t>
            </w:r>
          </w:p>
        </w:tc>
        <w:tc>
          <w:tcPr>
            <w:tcW w:w="1590" w:type="dxa"/>
            <w:noWrap/>
            <w:hideMark/>
          </w:tcPr>
          <w:p w14:paraId="197AC9DE"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95.83%</w:t>
            </w:r>
          </w:p>
        </w:tc>
        <w:tc>
          <w:tcPr>
            <w:tcW w:w="1590" w:type="dxa"/>
            <w:noWrap/>
            <w:hideMark/>
          </w:tcPr>
          <w:p w14:paraId="169F0E5C"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95.79%</w:t>
            </w:r>
          </w:p>
        </w:tc>
        <w:tc>
          <w:tcPr>
            <w:tcW w:w="1590" w:type="dxa"/>
            <w:noWrap/>
            <w:hideMark/>
          </w:tcPr>
          <w:p w14:paraId="6EF6A88D"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95.43%</w:t>
            </w:r>
          </w:p>
        </w:tc>
        <w:tc>
          <w:tcPr>
            <w:tcW w:w="1590" w:type="dxa"/>
            <w:noWrap/>
            <w:hideMark/>
          </w:tcPr>
          <w:p w14:paraId="07AD0DDB"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99.09%</w:t>
            </w:r>
          </w:p>
        </w:tc>
        <w:tc>
          <w:tcPr>
            <w:tcW w:w="1590" w:type="dxa"/>
            <w:noWrap/>
            <w:hideMark/>
          </w:tcPr>
          <w:p w14:paraId="14F93BF0"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97.16%</w:t>
            </w:r>
          </w:p>
        </w:tc>
      </w:tr>
      <w:tr w:rsidR="008D0CAD" w:rsidRPr="00E00C4B" w14:paraId="45A71187" w14:textId="77777777" w:rsidTr="00536AA2">
        <w:trPr>
          <w:trHeight w:val="251"/>
        </w:trPr>
        <w:tc>
          <w:tcPr>
            <w:tcW w:w="2059" w:type="dxa"/>
            <w:noWrap/>
            <w:hideMark/>
          </w:tcPr>
          <w:p w14:paraId="36565201"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themeColor="text1"/>
                <w:sz w:val="16"/>
                <w:szCs w:val="16"/>
              </w:rPr>
            </w:pPr>
            <w:r w:rsidRPr="00E00C4B">
              <w:rPr>
                <w:rFonts w:asciiTheme="majorHAnsi" w:hAnsiTheme="majorHAnsi" w:cstheme="majorHAnsi"/>
                <w:color w:val="000000" w:themeColor="text1"/>
                <w:sz w:val="16"/>
                <w:szCs w:val="16"/>
              </w:rPr>
              <w:t xml:space="preserve">Region VII </w:t>
            </w:r>
          </w:p>
        </w:tc>
        <w:tc>
          <w:tcPr>
            <w:tcW w:w="1590" w:type="dxa"/>
            <w:noWrap/>
            <w:hideMark/>
          </w:tcPr>
          <w:p w14:paraId="2894B41A"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97.36%</w:t>
            </w:r>
          </w:p>
        </w:tc>
        <w:tc>
          <w:tcPr>
            <w:tcW w:w="1590" w:type="dxa"/>
            <w:noWrap/>
            <w:hideMark/>
          </w:tcPr>
          <w:p w14:paraId="6BCE04B6"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96.75%</w:t>
            </w:r>
          </w:p>
        </w:tc>
        <w:tc>
          <w:tcPr>
            <w:tcW w:w="1590" w:type="dxa"/>
            <w:noWrap/>
            <w:hideMark/>
          </w:tcPr>
          <w:p w14:paraId="5997ADF5"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96.02%</w:t>
            </w:r>
          </w:p>
        </w:tc>
        <w:tc>
          <w:tcPr>
            <w:tcW w:w="1590" w:type="dxa"/>
            <w:noWrap/>
            <w:hideMark/>
          </w:tcPr>
          <w:p w14:paraId="2AF962F3"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101.55%</w:t>
            </w:r>
          </w:p>
        </w:tc>
        <w:tc>
          <w:tcPr>
            <w:tcW w:w="1590" w:type="dxa"/>
            <w:noWrap/>
            <w:hideMark/>
          </w:tcPr>
          <w:p w14:paraId="3C55E10A"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98.41%</w:t>
            </w:r>
          </w:p>
        </w:tc>
      </w:tr>
      <w:tr w:rsidR="008D0CAD" w:rsidRPr="00E00C4B" w14:paraId="6409C768" w14:textId="77777777" w:rsidTr="00536AA2">
        <w:trPr>
          <w:trHeight w:val="251"/>
        </w:trPr>
        <w:tc>
          <w:tcPr>
            <w:tcW w:w="2059" w:type="dxa"/>
            <w:noWrap/>
            <w:hideMark/>
          </w:tcPr>
          <w:p w14:paraId="35583A2A"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themeColor="text1"/>
                <w:sz w:val="16"/>
                <w:szCs w:val="16"/>
              </w:rPr>
            </w:pPr>
            <w:r w:rsidRPr="00E00C4B">
              <w:rPr>
                <w:rFonts w:asciiTheme="majorHAnsi" w:hAnsiTheme="majorHAnsi" w:cstheme="majorHAnsi"/>
                <w:color w:val="000000" w:themeColor="text1"/>
                <w:sz w:val="16"/>
                <w:szCs w:val="16"/>
              </w:rPr>
              <w:t xml:space="preserve">Region VIII </w:t>
            </w:r>
          </w:p>
        </w:tc>
        <w:tc>
          <w:tcPr>
            <w:tcW w:w="1590" w:type="dxa"/>
            <w:noWrap/>
            <w:hideMark/>
          </w:tcPr>
          <w:p w14:paraId="14BC3A19" w14:textId="77777777" w:rsidR="008D0CAD" w:rsidRPr="00E00C4B" w:rsidRDefault="008D0CAD" w:rsidP="00796BFA">
            <w:pPr>
              <w:spacing w:before="100" w:beforeAutospacing="1" w:after="100" w:afterAutospacing="1" w:line="360" w:lineRule="auto"/>
              <w:rPr>
                <w:rFonts w:asciiTheme="majorHAnsi" w:hAnsiTheme="majorHAnsi" w:cstheme="majorHAnsi"/>
                <w:b/>
                <w:sz w:val="16"/>
                <w:szCs w:val="16"/>
              </w:rPr>
            </w:pPr>
            <w:r w:rsidRPr="00E00C4B">
              <w:rPr>
                <w:rFonts w:asciiTheme="majorHAnsi" w:hAnsiTheme="majorHAnsi" w:cstheme="majorHAnsi"/>
                <w:b/>
                <w:sz w:val="16"/>
                <w:szCs w:val="16"/>
              </w:rPr>
              <w:t>92.61%</w:t>
            </w:r>
          </w:p>
        </w:tc>
        <w:tc>
          <w:tcPr>
            <w:tcW w:w="1590" w:type="dxa"/>
            <w:noWrap/>
            <w:hideMark/>
          </w:tcPr>
          <w:p w14:paraId="140D8695" w14:textId="77777777" w:rsidR="008D0CAD" w:rsidRPr="00E00C4B" w:rsidRDefault="008D0CAD" w:rsidP="00796BFA">
            <w:pPr>
              <w:spacing w:before="100" w:beforeAutospacing="1" w:after="100" w:afterAutospacing="1" w:line="360" w:lineRule="auto"/>
              <w:rPr>
                <w:rFonts w:asciiTheme="majorHAnsi" w:hAnsiTheme="majorHAnsi" w:cstheme="majorHAnsi"/>
                <w:b/>
                <w:sz w:val="16"/>
                <w:szCs w:val="16"/>
              </w:rPr>
            </w:pPr>
            <w:r w:rsidRPr="00E00C4B">
              <w:rPr>
                <w:rFonts w:asciiTheme="majorHAnsi" w:hAnsiTheme="majorHAnsi" w:cstheme="majorHAnsi"/>
                <w:b/>
                <w:sz w:val="16"/>
                <w:szCs w:val="16"/>
              </w:rPr>
              <w:t>91.68%</w:t>
            </w:r>
          </w:p>
        </w:tc>
        <w:tc>
          <w:tcPr>
            <w:tcW w:w="1590" w:type="dxa"/>
            <w:noWrap/>
            <w:hideMark/>
          </w:tcPr>
          <w:p w14:paraId="65F0D021" w14:textId="77777777" w:rsidR="008D0CAD" w:rsidRPr="00E00C4B" w:rsidRDefault="008D0CAD" w:rsidP="00796BFA">
            <w:pPr>
              <w:spacing w:before="100" w:beforeAutospacing="1" w:after="100" w:afterAutospacing="1" w:line="360" w:lineRule="auto"/>
              <w:rPr>
                <w:rFonts w:asciiTheme="majorHAnsi" w:hAnsiTheme="majorHAnsi" w:cstheme="majorHAnsi"/>
                <w:b/>
                <w:sz w:val="16"/>
                <w:szCs w:val="16"/>
              </w:rPr>
            </w:pPr>
            <w:r w:rsidRPr="00E00C4B">
              <w:rPr>
                <w:rFonts w:asciiTheme="majorHAnsi" w:hAnsiTheme="majorHAnsi" w:cstheme="majorHAnsi"/>
                <w:b/>
                <w:sz w:val="16"/>
                <w:szCs w:val="16"/>
              </w:rPr>
              <w:t>89.57%</w:t>
            </w:r>
          </w:p>
        </w:tc>
        <w:tc>
          <w:tcPr>
            <w:tcW w:w="1590" w:type="dxa"/>
            <w:noWrap/>
            <w:hideMark/>
          </w:tcPr>
          <w:p w14:paraId="626D5F33" w14:textId="77777777" w:rsidR="008D0CAD" w:rsidRPr="00E00C4B" w:rsidRDefault="008D0CAD" w:rsidP="00796BFA">
            <w:pPr>
              <w:spacing w:before="100" w:beforeAutospacing="1" w:after="100" w:afterAutospacing="1" w:line="360" w:lineRule="auto"/>
              <w:rPr>
                <w:rFonts w:asciiTheme="majorHAnsi" w:hAnsiTheme="majorHAnsi" w:cstheme="majorHAnsi"/>
                <w:b/>
                <w:sz w:val="16"/>
                <w:szCs w:val="16"/>
              </w:rPr>
            </w:pPr>
            <w:r w:rsidRPr="00E00C4B">
              <w:rPr>
                <w:rFonts w:asciiTheme="majorHAnsi" w:hAnsiTheme="majorHAnsi" w:cstheme="majorHAnsi"/>
                <w:b/>
                <w:sz w:val="16"/>
                <w:szCs w:val="16"/>
              </w:rPr>
              <w:t>94.00%</w:t>
            </w:r>
          </w:p>
        </w:tc>
        <w:tc>
          <w:tcPr>
            <w:tcW w:w="1590" w:type="dxa"/>
            <w:noWrap/>
            <w:hideMark/>
          </w:tcPr>
          <w:p w14:paraId="18E9FFDF" w14:textId="77777777" w:rsidR="008D0CAD" w:rsidRPr="00E00C4B" w:rsidRDefault="008D0CAD" w:rsidP="00796BFA">
            <w:pPr>
              <w:spacing w:before="100" w:beforeAutospacing="1" w:after="100" w:afterAutospacing="1" w:line="360" w:lineRule="auto"/>
              <w:rPr>
                <w:rFonts w:asciiTheme="majorHAnsi" w:hAnsiTheme="majorHAnsi" w:cstheme="majorHAnsi"/>
                <w:b/>
                <w:sz w:val="16"/>
                <w:szCs w:val="16"/>
              </w:rPr>
            </w:pPr>
            <w:r w:rsidRPr="00E00C4B">
              <w:rPr>
                <w:rFonts w:asciiTheme="majorHAnsi" w:hAnsiTheme="majorHAnsi" w:cstheme="majorHAnsi"/>
                <w:b/>
                <w:sz w:val="16"/>
                <w:szCs w:val="16"/>
              </w:rPr>
              <w:t>92.64%</w:t>
            </w:r>
          </w:p>
        </w:tc>
      </w:tr>
      <w:tr w:rsidR="008D0CAD" w:rsidRPr="00E00C4B" w14:paraId="7ECBDC74" w14:textId="77777777" w:rsidTr="00536AA2">
        <w:trPr>
          <w:trHeight w:val="251"/>
        </w:trPr>
        <w:tc>
          <w:tcPr>
            <w:tcW w:w="2059" w:type="dxa"/>
            <w:noWrap/>
            <w:hideMark/>
          </w:tcPr>
          <w:p w14:paraId="6633BFDD"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themeColor="text1"/>
                <w:sz w:val="16"/>
                <w:szCs w:val="16"/>
              </w:rPr>
            </w:pPr>
            <w:r w:rsidRPr="00E00C4B">
              <w:rPr>
                <w:rFonts w:asciiTheme="majorHAnsi" w:hAnsiTheme="majorHAnsi" w:cstheme="majorHAnsi"/>
                <w:color w:val="000000" w:themeColor="text1"/>
                <w:sz w:val="16"/>
                <w:szCs w:val="16"/>
              </w:rPr>
              <w:t xml:space="preserve">Region IX </w:t>
            </w:r>
          </w:p>
        </w:tc>
        <w:tc>
          <w:tcPr>
            <w:tcW w:w="1590" w:type="dxa"/>
            <w:noWrap/>
            <w:hideMark/>
          </w:tcPr>
          <w:p w14:paraId="6A546E61" w14:textId="77777777" w:rsidR="008D0CAD" w:rsidRPr="00E00C4B" w:rsidRDefault="008D0CAD" w:rsidP="00796BFA">
            <w:pPr>
              <w:spacing w:before="100" w:beforeAutospacing="1" w:after="100" w:afterAutospacing="1" w:line="360" w:lineRule="auto"/>
              <w:rPr>
                <w:rFonts w:asciiTheme="majorHAnsi" w:hAnsiTheme="majorHAnsi" w:cstheme="majorHAnsi"/>
                <w:b/>
                <w:sz w:val="16"/>
                <w:szCs w:val="16"/>
              </w:rPr>
            </w:pPr>
            <w:r w:rsidRPr="00E00C4B">
              <w:rPr>
                <w:rFonts w:asciiTheme="majorHAnsi" w:hAnsiTheme="majorHAnsi" w:cstheme="majorHAnsi"/>
                <w:b/>
                <w:sz w:val="16"/>
                <w:szCs w:val="16"/>
              </w:rPr>
              <w:t>90.50%</w:t>
            </w:r>
          </w:p>
        </w:tc>
        <w:tc>
          <w:tcPr>
            <w:tcW w:w="1590" w:type="dxa"/>
            <w:noWrap/>
            <w:hideMark/>
          </w:tcPr>
          <w:p w14:paraId="441B6B0F" w14:textId="77777777" w:rsidR="008D0CAD" w:rsidRPr="00E00C4B" w:rsidRDefault="008D0CAD" w:rsidP="00796BFA">
            <w:pPr>
              <w:spacing w:before="100" w:beforeAutospacing="1" w:after="100" w:afterAutospacing="1" w:line="360" w:lineRule="auto"/>
              <w:rPr>
                <w:rFonts w:asciiTheme="majorHAnsi" w:hAnsiTheme="majorHAnsi" w:cstheme="majorHAnsi"/>
                <w:b/>
                <w:sz w:val="16"/>
                <w:szCs w:val="16"/>
              </w:rPr>
            </w:pPr>
            <w:r w:rsidRPr="00E00C4B">
              <w:rPr>
                <w:rFonts w:asciiTheme="majorHAnsi" w:hAnsiTheme="majorHAnsi" w:cstheme="majorHAnsi"/>
                <w:b/>
                <w:sz w:val="16"/>
                <w:szCs w:val="16"/>
              </w:rPr>
              <w:t>92.15%</w:t>
            </w:r>
          </w:p>
        </w:tc>
        <w:tc>
          <w:tcPr>
            <w:tcW w:w="1590" w:type="dxa"/>
            <w:noWrap/>
            <w:hideMark/>
          </w:tcPr>
          <w:p w14:paraId="6AE706E6" w14:textId="77777777" w:rsidR="008D0CAD" w:rsidRPr="00E00C4B" w:rsidRDefault="008D0CAD" w:rsidP="00796BFA">
            <w:pPr>
              <w:spacing w:before="100" w:beforeAutospacing="1" w:after="100" w:afterAutospacing="1" w:line="360" w:lineRule="auto"/>
              <w:rPr>
                <w:rFonts w:asciiTheme="majorHAnsi" w:hAnsiTheme="majorHAnsi" w:cstheme="majorHAnsi"/>
                <w:b/>
                <w:sz w:val="16"/>
                <w:szCs w:val="16"/>
              </w:rPr>
            </w:pPr>
            <w:r w:rsidRPr="00E00C4B">
              <w:rPr>
                <w:rFonts w:asciiTheme="majorHAnsi" w:hAnsiTheme="majorHAnsi" w:cstheme="majorHAnsi"/>
                <w:b/>
                <w:sz w:val="16"/>
                <w:szCs w:val="16"/>
              </w:rPr>
              <w:t>90.23%</w:t>
            </w:r>
          </w:p>
        </w:tc>
        <w:tc>
          <w:tcPr>
            <w:tcW w:w="1590" w:type="dxa"/>
            <w:noWrap/>
            <w:hideMark/>
          </w:tcPr>
          <w:p w14:paraId="3C008756"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91.24%</w:t>
            </w:r>
          </w:p>
        </w:tc>
        <w:tc>
          <w:tcPr>
            <w:tcW w:w="1590" w:type="dxa"/>
            <w:noWrap/>
            <w:hideMark/>
          </w:tcPr>
          <w:p w14:paraId="7B54C9BA"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90.30%</w:t>
            </w:r>
          </w:p>
        </w:tc>
      </w:tr>
      <w:tr w:rsidR="008D0CAD" w:rsidRPr="00E00C4B" w14:paraId="087E2B76" w14:textId="77777777" w:rsidTr="00536AA2">
        <w:trPr>
          <w:trHeight w:val="251"/>
        </w:trPr>
        <w:tc>
          <w:tcPr>
            <w:tcW w:w="2059" w:type="dxa"/>
            <w:noWrap/>
            <w:hideMark/>
          </w:tcPr>
          <w:p w14:paraId="6DD53FF4"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themeColor="text1"/>
                <w:sz w:val="16"/>
                <w:szCs w:val="16"/>
              </w:rPr>
            </w:pPr>
            <w:r w:rsidRPr="00E00C4B">
              <w:rPr>
                <w:rFonts w:asciiTheme="majorHAnsi" w:hAnsiTheme="majorHAnsi" w:cstheme="majorHAnsi"/>
                <w:color w:val="000000" w:themeColor="text1"/>
                <w:sz w:val="16"/>
                <w:szCs w:val="16"/>
              </w:rPr>
              <w:t>Region X</w:t>
            </w:r>
          </w:p>
        </w:tc>
        <w:tc>
          <w:tcPr>
            <w:tcW w:w="1590" w:type="dxa"/>
            <w:noWrap/>
            <w:hideMark/>
          </w:tcPr>
          <w:p w14:paraId="2903708C" w14:textId="77777777" w:rsidR="008D0CAD" w:rsidRPr="00E00C4B" w:rsidRDefault="008D0CAD" w:rsidP="00796BFA">
            <w:pPr>
              <w:spacing w:before="100" w:beforeAutospacing="1" w:after="100" w:afterAutospacing="1" w:line="360" w:lineRule="auto"/>
              <w:rPr>
                <w:rFonts w:asciiTheme="majorHAnsi" w:hAnsiTheme="majorHAnsi" w:cstheme="majorHAnsi"/>
                <w:b/>
                <w:sz w:val="16"/>
                <w:szCs w:val="16"/>
              </w:rPr>
            </w:pPr>
            <w:r w:rsidRPr="00E00C4B">
              <w:rPr>
                <w:rFonts w:asciiTheme="majorHAnsi" w:hAnsiTheme="majorHAnsi" w:cstheme="majorHAnsi"/>
                <w:b/>
                <w:sz w:val="16"/>
                <w:szCs w:val="16"/>
              </w:rPr>
              <w:t>91.00%</w:t>
            </w:r>
          </w:p>
        </w:tc>
        <w:tc>
          <w:tcPr>
            <w:tcW w:w="1590" w:type="dxa"/>
            <w:noWrap/>
            <w:hideMark/>
          </w:tcPr>
          <w:p w14:paraId="04017CE9" w14:textId="77777777" w:rsidR="008D0CAD" w:rsidRPr="00E00C4B" w:rsidRDefault="008D0CAD" w:rsidP="00796BFA">
            <w:pPr>
              <w:spacing w:before="100" w:beforeAutospacing="1" w:after="100" w:afterAutospacing="1" w:line="360" w:lineRule="auto"/>
              <w:rPr>
                <w:rFonts w:asciiTheme="majorHAnsi" w:hAnsiTheme="majorHAnsi" w:cstheme="majorHAnsi"/>
                <w:b/>
                <w:sz w:val="16"/>
                <w:szCs w:val="16"/>
              </w:rPr>
            </w:pPr>
            <w:r w:rsidRPr="00E00C4B">
              <w:rPr>
                <w:rFonts w:asciiTheme="majorHAnsi" w:hAnsiTheme="majorHAnsi" w:cstheme="majorHAnsi"/>
                <w:b/>
                <w:sz w:val="16"/>
                <w:szCs w:val="16"/>
              </w:rPr>
              <w:t>90.25%</w:t>
            </w:r>
          </w:p>
        </w:tc>
        <w:tc>
          <w:tcPr>
            <w:tcW w:w="1590" w:type="dxa"/>
            <w:noWrap/>
            <w:hideMark/>
          </w:tcPr>
          <w:p w14:paraId="4821A626" w14:textId="77777777" w:rsidR="008D0CAD" w:rsidRPr="00E00C4B" w:rsidRDefault="008D0CAD" w:rsidP="00796BFA">
            <w:pPr>
              <w:spacing w:before="100" w:beforeAutospacing="1" w:after="100" w:afterAutospacing="1" w:line="360" w:lineRule="auto"/>
              <w:rPr>
                <w:rFonts w:asciiTheme="majorHAnsi" w:hAnsiTheme="majorHAnsi" w:cstheme="majorHAnsi"/>
                <w:b/>
                <w:sz w:val="16"/>
                <w:szCs w:val="16"/>
              </w:rPr>
            </w:pPr>
            <w:r w:rsidRPr="00E00C4B">
              <w:rPr>
                <w:rFonts w:asciiTheme="majorHAnsi" w:hAnsiTheme="majorHAnsi" w:cstheme="majorHAnsi"/>
                <w:b/>
                <w:sz w:val="16"/>
                <w:szCs w:val="16"/>
              </w:rPr>
              <w:t>89.68%</w:t>
            </w:r>
          </w:p>
        </w:tc>
        <w:tc>
          <w:tcPr>
            <w:tcW w:w="1590" w:type="dxa"/>
            <w:noWrap/>
            <w:hideMark/>
          </w:tcPr>
          <w:p w14:paraId="4DEFDFCA"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96.57%</w:t>
            </w:r>
          </w:p>
        </w:tc>
        <w:tc>
          <w:tcPr>
            <w:tcW w:w="1590" w:type="dxa"/>
            <w:noWrap/>
            <w:hideMark/>
          </w:tcPr>
          <w:p w14:paraId="06691603"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96.43%</w:t>
            </w:r>
          </w:p>
        </w:tc>
      </w:tr>
      <w:tr w:rsidR="008D0CAD" w:rsidRPr="00E00C4B" w14:paraId="7B54E8BE" w14:textId="77777777" w:rsidTr="00536AA2">
        <w:trPr>
          <w:trHeight w:val="251"/>
        </w:trPr>
        <w:tc>
          <w:tcPr>
            <w:tcW w:w="2059" w:type="dxa"/>
            <w:noWrap/>
            <w:hideMark/>
          </w:tcPr>
          <w:p w14:paraId="6B561473"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themeColor="text1"/>
                <w:sz w:val="16"/>
                <w:szCs w:val="16"/>
              </w:rPr>
            </w:pPr>
            <w:r w:rsidRPr="00E00C4B">
              <w:rPr>
                <w:rFonts w:asciiTheme="majorHAnsi" w:hAnsiTheme="majorHAnsi" w:cstheme="majorHAnsi"/>
                <w:color w:val="000000" w:themeColor="text1"/>
                <w:sz w:val="16"/>
                <w:szCs w:val="16"/>
              </w:rPr>
              <w:t xml:space="preserve">Region XI </w:t>
            </w:r>
          </w:p>
        </w:tc>
        <w:tc>
          <w:tcPr>
            <w:tcW w:w="1590" w:type="dxa"/>
            <w:noWrap/>
            <w:hideMark/>
          </w:tcPr>
          <w:p w14:paraId="605B5DA9"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97.85%</w:t>
            </w:r>
          </w:p>
        </w:tc>
        <w:tc>
          <w:tcPr>
            <w:tcW w:w="1590" w:type="dxa"/>
            <w:noWrap/>
            <w:hideMark/>
          </w:tcPr>
          <w:p w14:paraId="2C250D2A"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96.09%</w:t>
            </w:r>
          </w:p>
        </w:tc>
        <w:tc>
          <w:tcPr>
            <w:tcW w:w="1590" w:type="dxa"/>
            <w:noWrap/>
            <w:hideMark/>
          </w:tcPr>
          <w:p w14:paraId="2476C5E6"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96.65%</w:t>
            </w:r>
          </w:p>
        </w:tc>
        <w:tc>
          <w:tcPr>
            <w:tcW w:w="1590" w:type="dxa"/>
            <w:noWrap/>
            <w:hideMark/>
          </w:tcPr>
          <w:p w14:paraId="7B92C086"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100.06%</w:t>
            </w:r>
          </w:p>
        </w:tc>
        <w:tc>
          <w:tcPr>
            <w:tcW w:w="1590" w:type="dxa"/>
            <w:noWrap/>
            <w:hideMark/>
          </w:tcPr>
          <w:p w14:paraId="47F0C8D2"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96.88%</w:t>
            </w:r>
          </w:p>
        </w:tc>
      </w:tr>
      <w:tr w:rsidR="008D0CAD" w:rsidRPr="00E00C4B" w14:paraId="1530B0C5" w14:textId="77777777" w:rsidTr="00536AA2">
        <w:trPr>
          <w:trHeight w:val="251"/>
        </w:trPr>
        <w:tc>
          <w:tcPr>
            <w:tcW w:w="2059" w:type="dxa"/>
            <w:noWrap/>
            <w:hideMark/>
          </w:tcPr>
          <w:p w14:paraId="0371B3AB"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themeColor="text1"/>
                <w:sz w:val="16"/>
                <w:szCs w:val="16"/>
              </w:rPr>
            </w:pPr>
            <w:r w:rsidRPr="00E00C4B">
              <w:rPr>
                <w:rFonts w:asciiTheme="majorHAnsi" w:hAnsiTheme="majorHAnsi" w:cstheme="majorHAnsi"/>
                <w:color w:val="000000" w:themeColor="text1"/>
                <w:sz w:val="16"/>
                <w:szCs w:val="16"/>
              </w:rPr>
              <w:t xml:space="preserve">Region XII </w:t>
            </w:r>
          </w:p>
        </w:tc>
        <w:tc>
          <w:tcPr>
            <w:tcW w:w="1590" w:type="dxa"/>
            <w:noWrap/>
            <w:hideMark/>
          </w:tcPr>
          <w:p w14:paraId="3C06574D" w14:textId="77777777" w:rsidR="008D0CAD" w:rsidRPr="00E00C4B" w:rsidRDefault="008D0CAD" w:rsidP="00796BFA">
            <w:pPr>
              <w:spacing w:before="100" w:beforeAutospacing="1" w:after="100" w:afterAutospacing="1" w:line="360" w:lineRule="auto"/>
              <w:rPr>
                <w:rFonts w:asciiTheme="majorHAnsi" w:hAnsiTheme="majorHAnsi" w:cstheme="majorHAnsi"/>
                <w:b/>
                <w:color w:val="000000" w:themeColor="text1"/>
                <w:sz w:val="16"/>
                <w:szCs w:val="16"/>
              </w:rPr>
            </w:pPr>
            <w:r w:rsidRPr="00E00C4B">
              <w:rPr>
                <w:rFonts w:asciiTheme="majorHAnsi" w:hAnsiTheme="majorHAnsi" w:cstheme="majorHAnsi"/>
                <w:b/>
                <w:color w:val="000000" w:themeColor="text1"/>
                <w:sz w:val="16"/>
                <w:szCs w:val="16"/>
              </w:rPr>
              <w:t>87.16%</w:t>
            </w:r>
          </w:p>
        </w:tc>
        <w:tc>
          <w:tcPr>
            <w:tcW w:w="1590" w:type="dxa"/>
            <w:noWrap/>
            <w:hideMark/>
          </w:tcPr>
          <w:p w14:paraId="5A4FF6F1" w14:textId="77777777" w:rsidR="008D0CAD" w:rsidRPr="00E00C4B" w:rsidRDefault="008D0CAD" w:rsidP="00796BFA">
            <w:pPr>
              <w:spacing w:before="100" w:beforeAutospacing="1" w:after="100" w:afterAutospacing="1" w:line="360" w:lineRule="auto"/>
              <w:rPr>
                <w:rFonts w:asciiTheme="majorHAnsi" w:hAnsiTheme="majorHAnsi" w:cstheme="majorHAnsi"/>
                <w:b/>
                <w:color w:val="000000" w:themeColor="text1"/>
                <w:sz w:val="16"/>
                <w:szCs w:val="16"/>
              </w:rPr>
            </w:pPr>
            <w:r w:rsidRPr="00E00C4B">
              <w:rPr>
                <w:rFonts w:asciiTheme="majorHAnsi" w:hAnsiTheme="majorHAnsi" w:cstheme="majorHAnsi"/>
                <w:b/>
                <w:color w:val="000000" w:themeColor="text1"/>
                <w:sz w:val="16"/>
                <w:szCs w:val="16"/>
              </w:rPr>
              <w:t>88.22%</w:t>
            </w:r>
          </w:p>
        </w:tc>
        <w:tc>
          <w:tcPr>
            <w:tcW w:w="1590" w:type="dxa"/>
            <w:noWrap/>
            <w:hideMark/>
          </w:tcPr>
          <w:p w14:paraId="48C170D0" w14:textId="77777777" w:rsidR="008D0CAD" w:rsidRPr="00E00C4B" w:rsidRDefault="008D0CAD" w:rsidP="00796BFA">
            <w:pPr>
              <w:spacing w:before="100" w:beforeAutospacing="1" w:after="100" w:afterAutospacing="1" w:line="360" w:lineRule="auto"/>
              <w:rPr>
                <w:rFonts w:asciiTheme="majorHAnsi" w:hAnsiTheme="majorHAnsi" w:cstheme="majorHAnsi"/>
                <w:b/>
                <w:color w:val="000000" w:themeColor="text1"/>
                <w:sz w:val="16"/>
                <w:szCs w:val="16"/>
              </w:rPr>
            </w:pPr>
            <w:r w:rsidRPr="00E00C4B">
              <w:rPr>
                <w:rFonts w:asciiTheme="majorHAnsi" w:hAnsiTheme="majorHAnsi" w:cstheme="majorHAnsi"/>
                <w:b/>
                <w:color w:val="000000" w:themeColor="text1"/>
                <w:sz w:val="16"/>
                <w:szCs w:val="16"/>
              </w:rPr>
              <w:t>87.72%</w:t>
            </w:r>
          </w:p>
        </w:tc>
        <w:tc>
          <w:tcPr>
            <w:tcW w:w="1590" w:type="dxa"/>
            <w:noWrap/>
            <w:hideMark/>
          </w:tcPr>
          <w:p w14:paraId="4011BFAB" w14:textId="77777777" w:rsidR="008D0CAD" w:rsidRPr="00E00C4B" w:rsidRDefault="008D0CAD" w:rsidP="00796BFA">
            <w:pPr>
              <w:spacing w:before="100" w:beforeAutospacing="1" w:after="100" w:afterAutospacing="1" w:line="360" w:lineRule="auto"/>
              <w:rPr>
                <w:rFonts w:asciiTheme="majorHAnsi" w:hAnsiTheme="majorHAnsi" w:cstheme="majorHAnsi"/>
                <w:b/>
                <w:color w:val="000000" w:themeColor="text1"/>
                <w:sz w:val="16"/>
                <w:szCs w:val="16"/>
              </w:rPr>
            </w:pPr>
            <w:r w:rsidRPr="00E00C4B">
              <w:rPr>
                <w:rFonts w:asciiTheme="majorHAnsi" w:hAnsiTheme="majorHAnsi" w:cstheme="majorHAnsi"/>
                <w:b/>
                <w:color w:val="000000" w:themeColor="text1"/>
                <w:sz w:val="16"/>
                <w:szCs w:val="16"/>
              </w:rPr>
              <w:t>93.30%</w:t>
            </w:r>
          </w:p>
        </w:tc>
        <w:tc>
          <w:tcPr>
            <w:tcW w:w="1590" w:type="dxa"/>
            <w:noWrap/>
            <w:hideMark/>
          </w:tcPr>
          <w:p w14:paraId="03F2D060" w14:textId="77777777" w:rsidR="008D0CAD" w:rsidRPr="00E00C4B" w:rsidRDefault="008D0CAD" w:rsidP="00796BFA">
            <w:pPr>
              <w:spacing w:before="100" w:beforeAutospacing="1" w:after="100" w:afterAutospacing="1" w:line="360" w:lineRule="auto"/>
              <w:rPr>
                <w:rFonts w:asciiTheme="majorHAnsi" w:hAnsiTheme="majorHAnsi" w:cstheme="majorHAnsi"/>
                <w:b/>
                <w:color w:val="000000" w:themeColor="text1"/>
                <w:sz w:val="16"/>
                <w:szCs w:val="16"/>
              </w:rPr>
            </w:pPr>
            <w:r w:rsidRPr="00E00C4B">
              <w:rPr>
                <w:rFonts w:asciiTheme="majorHAnsi" w:hAnsiTheme="majorHAnsi" w:cstheme="majorHAnsi"/>
                <w:b/>
                <w:color w:val="000000" w:themeColor="text1"/>
                <w:sz w:val="16"/>
                <w:szCs w:val="16"/>
              </w:rPr>
              <w:t>91.86%</w:t>
            </w:r>
          </w:p>
        </w:tc>
      </w:tr>
      <w:tr w:rsidR="008D0CAD" w:rsidRPr="00E00C4B" w14:paraId="72C688A3" w14:textId="77777777" w:rsidTr="00536AA2">
        <w:trPr>
          <w:trHeight w:val="251"/>
        </w:trPr>
        <w:tc>
          <w:tcPr>
            <w:tcW w:w="2059" w:type="dxa"/>
            <w:noWrap/>
            <w:hideMark/>
          </w:tcPr>
          <w:p w14:paraId="07FA2A65"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themeColor="text1"/>
                <w:sz w:val="16"/>
                <w:szCs w:val="16"/>
              </w:rPr>
            </w:pPr>
            <w:r w:rsidRPr="00E00C4B">
              <w:rPr>
                <w:rFonts w:asciiTheme="majorHAnsi" w:hAnsiTheme="majorHAnsi" w:cstheme="majorHAnsi"/>
                <w:color w:val="000000" w:themeColor="text1"/>
                <w:sz w:val="16"/>
                <w:szCs w:val="16"/>
              </w:rPr>
              <w:t>CARAGA Region</w:t>
            </w:r>
          </w:p>
        </w:tc>
        <w:tc>
          <w:tcPr>
            <w:tcW w:w="1590" w:type="dxa"/>
            <w:noWrap/>
            <w:hideMark/>
          </w:tcPr>
          <w:p w14:paraId="23391A58"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94.32%</w:t>
            </w:r>
          </w:p>
        </w:tc>
        <w:tc>
          <w:tcPr>
            <w:tcW w:w="1590" w:type="dxa"/>
            <w:noWrap/>
            <w:hideMark/>
          </w:tcPr>
          <w:p w14:paraId="60B4578A"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94.54%</w:t>
            </w:r>
          </w:p>
        </w:tc>
        <w:tc>
          <w:tcPr>
            <w:tcW w:w="1590" w:type="dxa"/>
            <w:noWrap/>
            <w:hideMark/>
          </w:tcPr>
          <w:p w14:paraId="018F4478"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94.29%</w:t>
            </w:r>
          </w:p>
        </w:tc>
        <w:tc>
          <w:tcPr>
            <w:tcW w:w="1590" w:type="dxa"/>
            <w:noWrap/>
            <w:hideMark/>
          </w:tcPr>
          <w:p w14:paraId="70426251"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97.85%</w:t>
            </w:r>
          </w:p>
        </w:tc>
        <w:tc>
          <w:tcPr>
            <w:tcW w:w="1590" w:type="dxa"/>
            <w:noWrap/>
            <w:hideMark/>
          </w:tcPr>
          <w:p w14:paraId="3DC2BC81"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95.89%</w:t>
            </w:r>
          </w:p>
        </w:tc>
      </w:tr>
      <w:tr w:rsidR="008D0CAD" w:rsidRPr="00E00C4B" w14:paraId="3B796DDF" w14:textId="77777777" w:rsidTr="00536AA2">
        <w:trPr>
          <w:trHeight w:val="251"/>
        </w:trPr>
        <w:tc>
          <w:tcPr>
            <w:tcW w:w="2059" w:type="dxa"/>
            <w:noWrap/>
            <w:hideMark/>
          </w:tcPr>
          <w:p w14:paraId="4574C502"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themeColor="text1"/>
                <w:sz w:val="16"/>
                <w:szCs w:val="16"/>
              </w:rPr>
            </w:pPr>
            <w:r w:rsidRPr="00E00C4B">
              <w:rPr>
                <w:rFonts w:asciiTheme="majorHAnsi" w:hAnsiTheme="majorHAnsi" w:cstheme="majorHAnsi"/>
                <w:color w:val="000000" w:themeColor="text1"/>
                <w:sz w:val="16"/>
                <w:szCs w:val="16"/>
              </w:rPr>
              <w:t xml:space="preserve">ARMM </w:t>
            </w:r>
          </w:p>
        </w:tc>
        <w:tc>
          <w:tcPr>
            <w:tcW w:w="1590" w:type="dxa"/>
            <w:noWrap/>
            <w:hideMark/>
          </w:tcPr>
          <w:p w14:paraId="2BB6B7DE" w14:textId="77777777" w:rsidR="008D0CAD" w:rsidRPr="00E00C4B" w:rsidRDefault="008D0CAD" w:rsidP="00796BFA">
            <w:pPr>
              <w:spacing w:before="100" w:beforeAutospacing="1" w:after="100" w:afterAutospacing="1" w:line="360" w:lineRule="auto"/>
              <w:rPr>
                <w:rFonts w:asciiTheme="majorHAnsi" w:hAnsiTheme="majorHAnsi" w:cstheme="majorHAnsi"/>
                <w:b/>
                <w:sz w:val="16"/>
                <w:szCs w:val="16"/>
              </w:rPr>
            </w:pPr>
            <w:r w:rsidRPr="00E00C4B">
              <w:rPr>
                <w:rFonts w:asciiTheme="majorHAnsi" w:hAnsiTheme="majorHAnsi" w:cstheme="majorHAnsi"/>
                <w:b/>
                <w:sz w:val="16"/>
                <w:szCs w:val="16"/>
              </w:rPr>
              <w:t>87.73%</w:t>
            </w:r>
          </w:p>
        </w:tc>
        <w:tc>
          <w:tcPr>
            <w:tcW w:w="1590" w:type="dxa"/>
            <w:noWrap/>
            <w:hideMark/>
          </w:tcPr>
          <w:p w14:paraId="1BB886D5" w14:textId="77777777" w:rsidR="008D0CAD" w:rsidRPr="00E00C4B" w:rsidRDefault="008D0CAD" w:rsidP="00796BFA">
            <w:pPr>
              <w:spacing w:before="100" w:beforeAutospacing="1" w:after="100" w:afterAutospacing="1" w:line="360" w:lineRule="auto"/>
              <w:rPr>
                <w:rFonts w:asciiTheme="majorHAnsi" w:hAnsiTheme="majorHAnsi" w:cstheme="majorHAnsi"/>
                <w:b/>
                <w:sz w:val="16"/>
                <w:szCs w:val="16"/>
              </w:rPr>
            </w:pPr>
            <w:r w:rsidRPr="00E00C4B">
              <w:rPr>
                <w:rFonts w:asciiTheme="majorHAnsi" w:hAnsiTheme="majorHAnsi" w:cstheme="majorHAnsi"/>
                <w:b/>
                <w:sz w:val="16"/>
                <w:szCs w:val="16"/>
              </w:rPr>
              <w:t>75.64%</w:t>
            </w:r>
          </w:p>
        </w:tc>
        <w:tc>
          <w:tcPr>
            <w:tcW w:w="1590" w:type="dxa"/>
            <w:noWrap/>
            <w:hideMark/>
          </w:tcPr>
          <w:p w14:paraId="1119624A" w14:textId="77777777" w:rsidR="008D0CAD" w:rsidRPr="00E00C4B" w:rsidRDefault="008D0CAD" w:rsidP="00796BFA">
            <w:pPr>
              <w:spacing w:before="100" w:beforeAutospacing="1" w:after="100" w:afterAutospacing="1" w:line="360" w:lineRule="auto"/>
              <w:rPr>
                <w:rFonts w:asciiTheme="majorHAnsi" w:hAnsiTheme="majorHAnsi" w:cstheme="majorHAnsi"/>
                <w:b/>
                <w:sz w:val="16"/>
                <w:szCs w:val="16"/>
              </w:rPr>
            </w:pPr>
            <w:r w:rsidRPr="00E00C4B">
              <w:rPr>
                <w:rFonts w:asciiTheme="majorHAnsi" w:hAnsiTheme="majorHAnsi" w:cstheme="majorHAnsi"/>
                <w:b/>
                <w:sz w:val="16"/>
                <w:szCs w:val="16"/>
              </w:rPr>
              <w:t>69.64%</w:t>
            </w:r>
          </w:p>
        </w:tc>
        <w:tc>
          <w:tcPr>
            <w:tcW w:w="1590" w:type="dxa"/>
            <w:noWrap/>
            <w:hideMark/>
          </w:tcPr>
          <w:p w14:paraId="15DC5A3F" w14:textId="77777777" w:rsidR="008D0CAD" w:rsidRPr="00E00C4B" w:rsidRDefault="008D0CAD" w:rsidP="00796BFA">
            <w:pPr>
              <w:spacing w:before="100" w:beforeAutospacing="1" w:after="100" w:afterAutospacing="1" w:line="360" w:lineRule="auto"/>
              <w:rPr>
                <w:rFonts w:asciiTheme="majorHAnsi" w:hAnsiTheme="majorHAnsi" w:cstheme="majorHAnsi"/>
                <w:b/>
                <w:sz w:val="16"/>
                <w:szCs w:val="16"/>
              </w:rPr>
            </w:pPr>
            <w:r w:rsidRPr="00E00C4B">
              <w:rPr>
                <w:rFonts w:asciiTheme="majorHAnsi" w:hAnsiTheme="majorHAnsi" w:cstheme="majorHAnsi"/>
                <w:b/>
                <w:sz w:val="16"/>
                <w:szCs w:val="16"/>
              </w:rPr>
              <w:t>77.29%</w:t>
            </w:r>
          </w:p>
        </w:tc>
        <w:tc>
          <w:tcPr>
            <w:tcW w:w="1590" w:type="dxa"/>
            <w:noWrap/>
            <w:hideMark/>
          </w:tcPr>
          <w:p w14:paraId="417EE08E" w14:textId="77777777" w:rsidR="008D0CAD" w:rsidRPr="00E00C4B" w:rsidRDefault="008D0CAD" w:rsidP="00796BFA">
            <w:pPr>
              <w:spacing w:before="100" w:beforeAutospacing="1" w:after="100" w:afterAutospacing="1" w:line="360" w:lineRule="auto"/>
              <w:rPr>
                <w:rFonts w:asciiTheme="majorHAnsi" w:hAnsiTheme="majorHAnsi" w:cstheme="majorHAnsi"/>
                <w:b/>
                <w:sz w:val="16"/>
                <w:szCs w:val="16"/>
              </w:rPr>
            </w:pPr>
            <w:r w:rsidRPr="00E00C4B">
              <w:rPr>
                <w:rFonts w:asciiTheme="majorHAnsi" w:hAnsiTheme="majorHAnsi" w:cstheme="majorHAnsi"/>
                <w:b/>
                <w:sz w:val="16"/>
                <w:szCs w:val="16"/>
              </w:rPr>
              <w:t>72.63%</w:t>
            </w:r>
          </w:p>
        </w:tc>
      </w:tr>
      <w:tr w:rsidR="008D0CAD" w:rsidRPr="00E00C4B" w14:paraId="132F6C60" w14:textId="77777777" w:rsidTr="00536AA2">
        <w:trPr>
          <w:trHeight w:val="251"/>
        </w:trPr>
        <w:tc>
          <w:tcPr>
            <w:tcW w:w="2059" w:type="dxa"/>
            <w:noWrap/>
            <w:hideMark/>
          </w:tcPr>
          <w:p w14:paraId="3C78C606"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themeColor="text1"/>
                <w:sz w:val="16"/>
                <w:szCs w:val="16"/>
              </w:rPr>
            </w:pPr>
            <w:r w:rsidRPr="00E00C4B">
              <w:rPr>
                <w:rFonts w:asciiTheme="majorHAnsi" w:hAnsiTheme="majorHAnsi" w:cstheme="majorHAnsi"/>
                <w:color w:val="000000" w:themeColor="text1"/>
                <w:sz w:val="16"/>
                <w:szCs w:val="16"/>
              </w:rPr>
              <w:t xml:space="preserve">CAR </w:t>
            </w:r>
          </w:p>
        </w:tc>
        <w:tc>
          <w:tcPr>
            <w:tcW w:w="1590" w:type="dxa"/>
            <w:noWrap/>
            <w:hideMark/>
          </w:tcPr>
          <w:p w14:paraId="0051AEFF"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95.51%</w:t>
            </w:r>
          </w:p>
        </w:tc>
        <w:tc>
          <w:tcPr>
            <w:tcW w:w="1590" w:type="dxa"/>
            <w:noWrap/>
            <w:hideMark/>
          </w:tcPr>
          <w:p w14:paraId="58B325CE"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94.53%</w:t>
            </w:r>
          </w:p>
        </w:tc>
        <w:tc>
          <w:tcPr>
            <w:tcW w:w="1590" w:type="dxa"/>
            <w:noWrap/>
            <w:hideMark/>
          </w:tcPr>
          <w:p w14:paraId="6BBE4061"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92.18%</w:t>
            </w:r>
          </w:p>
        </w:tc>
        <w:tc>
          <w:tcPr>
            <w:tcW w:w="1590" w:type="dxa"/>
            <w:noWrap/>
            <w:hideMark/>
          </w:tcPr>
          <w:p w14:paraId="7CB8AAB7"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97.24%</w:t>
            </w:r>
          </w:p>
        </w:tc>
        <w:tc>
          <w:tcPr>
            <w:tcW w:w="1590" w:type="dxa"/>
            <w:noWrap/>
            <w:hideMark/>
          </w:tcPr>
          <w:p w14:paraId="537A3AD2" w14:textId="77777777" w:rsidR="008D0CAD" w:rsidRPr="00E00C4B" w:rsidRDefault="008D0CAD" w:rsidP="00796BFA">
            <w:pPr>
              <w:spacing w:before="100" w:beforeAutospacing="1" w:after="100" w:afterAutospacing="1" w:line="360" w:lineRule="auto"/>
              <w:rPr>
                <w:rFonts w:asciiTheme="majorHAnsi" w:hAnsiTheme="majorHAnsi" w:cstheme="majorHAnsi"/>
                <w:sz w:val="16"/>
                <w:szCs w:val="16"/>
              </w:rPr>
            </w:pPr>
            <w:r w:rsidRPr="00E00C4B">
              <w:rPr>
                <w:rFonts w:asciiTheme="majorHAnsi" w:hAnsiTheme="majorHAnsi" w:cstheme="majorHAnsi"/>
                <w:sz w:val="16"/>
                <w:szCs w:val="16"/>
              </w:rPr>
              <w:t>94.37%</w:t>
            </w:r>
          </w:p>
        </w:tc>
      </w:tr>
      <w:tr w:rsidR="008D0CAD" w:rsidRPr="00E00C4B" w14:paraId="26F5E0BB" w14:textId="77777777" w:rsidTr="00536AA2">
        <w:trPr>
          <w:trHeight w:val="251"/>
        </w:trPr>
        <w:tc>
          <w:tcPr>
            <w:tcW w:w="2059" w:type="dxa"/>
            <w:noWrap/>
            <w:hideMark/>
          </w:tcPr>
          <w:p w14:paraId="1D5D4970"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themeColor="text1"/>
                <w:sz w:val="16"/>
                <w:szCs w:val="16"/>
              </w:rPr>
            </w:pPr>
            <w:r w:rsidRPr="00E00C4B">
              <w:rPr>
                <w:rFonts w:asciiTheme="majorHAnsi" w:hAnsiTheme="majorHAnsi" w:cstheme="majorHAnsi"/>
                <w:color w:val="000000" w:themeColor="text1"/>
                <w:sz w:val="16"/>
                <w:szCs w:val="16"/>
              </w:rPr>
              <w:t>NCR</w:t>
            </w:r>
          </w:p>
        </w:tc>
        <w:tc>
          <w:tcPr>
            <w:tcW w:w="1590" w:type="dxa"/>
            <w:noWrap/>
            <w:hideMark/>
          </w:tcPr>
          <w:p w14:paraId="1ED707C2" w14:textId="77777777" w:rsidR="008D0CAD" w:rsidRPr="00E00C4B" w:rsidRDefault="008D0CAD" w:rsidP="00796BFA">
            <w:pPr>
              <w:spacing w:before="100" w:beforeAutospacing="1" w:after="100" w:afterAutospacing="1" w:line="360" w:lineRule="auto"/>
              <w:rPr>
                <w:rFonts w:asciiTheme="majorHAnsi" w:hAnsiTheme="majorHAnsi" w:cstheme="majorHAnsi"/>
                <w:b/>
                <w:sz w:val="16"/>
                <w:szCs w:val="16"/>
              </w:rPr>
            </w:pPr>
            <w:r w:rsidRPr="00E00C4B">
              <w:rPr>
                <w:rFonts w:asciiTheme="majorHAnsi" w:hAnsiTheme="majorHAnsi" w:cstheme="majorHAnsi"/>
                <w:b/>
                <w:sz w:val="16"/>
                <w:szCs w:val="16"/>
              </w:rPr>
              <w:t>92.54%</w:t>
            </w:r>
          </w:p>
        </w:tc>
        <w:tc>
          <w:tcPr>
            <w:tcW w:w="1590" w:type="dxa"/>
            <w:noWrap/>
            <w:hideMark/>
          </w:tcPr>
          <w:p w14:paraId="3A516E8D" w14:textId="77777777" w:rsidR="008D0CAD" w:rsidRPr="00E00C4B" w:rsidRDefault="008D0CAD" w:rsidP="00796BFA">
            <w:pPr>
              <w:spacing w:before="100" w:beforeAutospacing="1" w:after="100" w:afterAutospacing="1" w:line="360" w:lineRule="auto"/>
              <w:rPr>
                <w:rFonts w:asciiTheme="majorHAnsi" w:hAnsiTheme="majorHAnsi" w:cstheme="majorHAnsi"/>
                <w:b/>
                <w:sz w:val="16"/>
                <w:szCs w:val="16"/>
              </w:rPr>
            </w:pPr>
            <w:r w:rsidRPr="00E00C4B">
              <w:rPr>
                <w:rFonts w:asciiTheme="majorHAnsi" w:hAnsiTheme="majorHAnsi" w:cstheme="majorHAnsi"/>
                <w:b/>
                <w:sz w:val="16"/>
                <w:szCs w:val="16"/>
              </w:rPr>
              <w:t>89.67%</w:t>
            </w:r>
          </w:p>
        </w:tc>
        <w:tc>
          <w:tcPr>
            <w:tcW w:w="1590" w:type="dxa"/>
            <w:noWrap/>
            <w:hideMark/>
          </w:tcPr>
          <w:p w14:paraId="610ADF3A" w14:textId="77777777" w:rsidR="008D0CAD" w:rsidRPr="00E00C4B" w:rsidRDefault="008D0CAD" w:rsidP="00796BFA">
            <w:pPr>
              <w:spacing w:before="100" w:beforeAutospacing="1" w:after="100" w:afterAutospacing="1" w:line="360" w:lineRule="auto"/>
              <w:rPr>
                <w:rFonts w:asciiTheme="majorHAnsi" w:hAnsiTheme="majorHAnsi" w:cstheme="majorHAnsi"/>
                <w:b/>
                <w:sz w:val="16"/>
                <w:szCs w:val="16"/>
              </w:rPr>
            </w:pPr>
            <w:r w:rsidRPr="00E00C4B">
              <w:rPr>
                <w:rFonts w:asciiTheme="majorHAnsi" w:hAnsiTheme="majorHAnsi" w:cstheme="majorHAnsi"/>
                <w:b/>
                <w:sz w:val="16"/>
                <w:szCs w:val="16"/>
              </w:rPr>
              <w:t>88.13%</w:t>
            </w:r>
          </w:p>
        </w:tc>
        <w:tc>
          <w:tcPr>
            <w:tcW w:w="1590" w:type="dxa"/>
            <w:noWrap/>
            <w:hideMark/>
          </w:tcPr>
          <w:p w14:paraId="7922A343" w14:textId="77777777" w:rsidR="008D0CAD" w:rsidRPr="00E00C4B" w:rsidRDefault="008D0CAD" w:rsidP="00796BFA">
            <w:pPr>
              <w:spacing w:before="100" w:beforeAutospacing="1" w:after="100" w:afterAutospacing="1" w:line="360" w:lineRule="auto"/>
              <w:rPr>
                <w:rFonts w:asciiTheme="majorHAnsi" w:hAnsiTheme="majorHAnsi" w:cstheme="majorHAnsi"/>
                <w:b/>
                <w:sz w:val="16"/>
                <w:szCs w:val="16"/>
              </w:rPr>
            </w:pPr>
            <w:r w:rsidRPr="00E00C4B">
              <w:rPr>
                <w:rFonts w:asciiTheme="majorHAnsi" w:hAnsiTheme="majorHAnsi" w:cstheme="majorHAnsi"/>
                <w:b/>
                <w:sz w:val="16"/>
                <w:szCs w:val="16"/>
              </w:rPr>
              <w:t>95.92%</w:t>
            </w:r>
          </w:p>
        </w:tc>
        <w:tc>
          <w:tcPr>
            <w:tcW w:w="1590" w:type="dxa"/>
            <w:noWrap/>
            <w:hideMark/>
          </w:tcPr>
          <w:p w14:paraId="40DE3075" w14:textId="77777777" w:rsidR="008D0CAD" w:rsidRPr="00E00C4B" w:rsidRDefault="008D0CAD" w:rsidP="00796BFA">
            <w:pPr>
              <w:spacing w:before="100" w:beforeAutospacing="1" w:after="100" w:afterAutospacing="1" w:line="360" w:lineRule="auto"/>
              <w:rPr>
                <w:rFonts w:asciiTheme="majorHAnsi" w:hAnsiTheme="majorHAnsi" w:cstheme="majorHAnsi"/>
                <w:b/>
                <w:sz w:val="16"/>
                <w:szCs w:val="16"/>
              </w:rPr>
            </w:pPr>
            <w:r w:rsidRPr="00E00C4B">
              <w:rPr>
                <w:rFonts w:asciiTheme="majorHAnsi" w:hAnsiTheme="majorHAnsi" w:cstheme="majorHAnsi"/>
                <w:b/>
                <w:sz w:val="16"/>
                <w:szCs w:val="16"/>
              </w:rPr>
              <w:t>92.83%</w:t>
            </w:r>
          </w:p>
        </w:tc>
      </w:tr>
      <w:tr w:rsidR="008D0CAD" w:rsidRPr="00E00C4B" w14:paraId="77C547DB" w14:textId="77777777" w:rsidTr="00536AA2">
        <w:trPr>
          <w:trHeight w:val="251"/>
        </w:trPr>
        <w:tc>
          <w:tcPr>
            <w:tcW w:w="2059" w:type="dxa"/>
            <w:noWrap/>
            <w:hideMark/>
          </w:tcPr>
          <w:p w14:paraId="41BB32CF" w14:textId="77777777" w:rsidR="008D0CAD" w:rsidRPr="00E00C4B" w:rsidRDefault="008D0CAD" w:rsidP="00796BFA">
            <w:pPr>
              <w:spacing w:before="100" w:beforeAutospacing="1" w:after="100" w:afterAutospacing="1" w:line="360" w:lineRule="auto"/>
              <w:rPr>
                <w:rFonts w:asciiTheme="majorHAnsi" w:hAnsiTheme="majorHAnsi" w:cstheme="majorHAnsi"/>
                <w:color w:val="000000" w:themeColor="text1"/>
                <w:sz w:val="16"/>
                <w:szCs w:val="16"/>
              </w:rPr>
            </w:pPr>
            <w:r w:rsidRPr="00E00C4B">
              <w:rPr>
                <w:rFonts w:asciiTheme="majorHAnsi" w:hAnsiTheme="majorHAnsi" w:cstheme="majorHAnsi"/>
                <w:color w:val="000000" w:themeColor="text1"/>
                <w:sz w:val="16"/>
                <w:szCs w:val="16"/>
              </w:rPr>
              <w:t>Philippines</w:t>
            </w:r>
          </w:p>
        </w:tc>
        <w:tc>
          <w:tcPr>
            <w:tcW w:w="1590" w:type="dxa"/>
            <w:noWrap/>
            <w:hideMark/>
          </w:tcPr>
          <w:p w14:paraId="459916FA" w14:textId="77777777" w:rsidR="008D0CAD" w:rsidRPr="00E00C4B" w:rsidRDefault="008D0CAD" w:rsidP="00796BFA">
            <w:pPr>
              <w:spacing w:before="100" w:beforeAutospacing="1" w:after="100" w:afterAutospacing="1" w:line="360" w:lineRule="auto"/>
              <w:rPr>
                <w:rFonts w:asciiTheme="majorHAnsi" w:hAnsiTheme="majorHAnsi" w:cstheme="majorHAnsi"/>
                <w:b/>
                <w:sz w:val="16"/>
                <w:szCs w:val="16"/>
              </w:rPr>
            </w:pPr>
            <w:r w:rsidRPr="00E00C4B">
              <w:rPr>
                <w:rFonts w:asciiTheme="majorHAnsi" w:hAnsiTheme="majorHAnsi" w:cstheme="majorHAnsi"/>
                <w:b/>
                <w:sz w:val="16"/>
                <w:szCs w:val="16"/>
              </w:rPr>
              <w:t>93.80%</w:t>
            </w:r>
          </w:p>
        </w:tc>
        <w:tc>
          <w:tcPr>
            <w:tcW w:w="1590" w:type="dxa"/>
            <w:noWrap/>
            <w:hideMark/>
          </w:tcPr>
          <w:p w14:paraId="1D133E41" w14:textId="77777777" w:rsidR="008D0CAD" w:rsidRPr="00E00C4B" w:rsidRDefault="008D0CAD" w:rsidP="00796BFA">
            <w:pPr>
              <w:spacing w:before="100" w:beforeAutospacing="1" w:after="100" w:afterAutospacing="1" w:line="360" w:lineRule="auto"/>
              <w:rPr>
                <w:rFonts w:asciiTheme="majorHAnsi" w:hAnsiTheme="majorHAnsi" w:cstheme="majorHAnsi"/>
                <w:b/>
                <w:sz w:val="16"/>
                <w:szCs w:val="16"/>
              </w:rPr>
            </w:pPr>
            <w:r w:rsidRPr="00E00C4B">
              <w:rPr>
                <w:rFonts w:asciiTheme="majorHAnsi" w:hAnsiTheme="majorHAnsi" w:cstheme="majorHAnsi"/>
                <w:b/>
                <w:sz w:val="16"/>
                <w:szCs w:val="16"/>
              </w:rPr>
              <w:t>92.57%</w:t>
            </w:r>
          </w:p>
        </w:tc>
        <w:tc>
          <w:tcPr>
            <w:tcW w:w="1590" w:type="dxa"/>
            <w:noWrap/>
            <w:hideMark/>
          </w:tcPr>
          <w:p w14:paraId="0647F765" w14:textId="77777777" w:rsidR="008D0CAD" w:rsidRPr="00E00C4B" w:rsidRDefault="008D0CAD" w:rsidP="00796BFA">
            <w:pPr>
              <w:spacing w:before="100" w:beforeAutospacing="1" w:after="100" w:afterAutospacing="1" w:line="360" w:lineRule="auto"/>
              <w:rPr>
                <w:rFonts w:asciiTheme="majorHAnsi" w:hAnsiTheme="majorHAnsi" w:cstheme="majorHAnsi"/>
                <w:b/>
                <w:sz w:val="16"/>
                <w:szCs w:val="16"/>
              </w:rPr>
            </w:pPr>
            <w:r w:rsidRPr="00E00C4B">
              <w:rPr>
                <w:rFonts w:asciiTheme="majorHAnsi" w:hAnsiTheme="majorHAnsi" w:cstheme="majorHAnsi"/>
                <w:b/>
                <w:sz w:val="16"/>
                <w:szCs w:val="16"/>
              </w:rPr>
              <w:t>91.05%</w:t>
            </w:r>
          </w:p>
        </w:tc>
        <w:tc>
          <w:tcPr>
            <w:tcW w:w="1590" w:type="dxa"/>
            <w:noWrap/>
            <w:hideMark/>
          </w:tcPr>
          <w:p w14:paraId="11EA7E83" w14:textId="77777777" w:rsidR="008D0CAD" w:rsidRPr="00E00C4B" w:rsidRDefault="008D0CAD" w:rsidP="00796BFA">
            <w:pPr>
              <w:spacing w:before="100" w:beforeAutospacing="1" w:after="100" w:afterAutospacing="1" w:line="360" w:lineRule="auto"/>
              <w:rPr>
                <w:rFonts w:asciiTheme="majorHAnsi" w:hAnsiTheme="majorHAnsi" w:cstheme="majorHAnsi"/>
                <w:b/>
                <w:sz w:val="16"/>
                <w:szCs w:val="16"/>
              </w:rPr>
            </w:pPr>
            <w:r w:rsidRPr="00E00C4B">
              <w:rPr>
                <w:rFonts w:asciiTheme="majorHAnsi" w:hAnsiTheme="majorHAnsi" w:cstheme="majorHAnsi"/>
                <w:b/>
                <w:sz w:val="16"/>
                <w:szCs w:val="16"/>
              </w:rPr>
              <w:t>96.15%</w:t>
            </w:r>
          </w:p>
        </w:tc>
        <w:tc>
          <w:tcPr>
            <w:tcW w:w="1590" w:type="dxa"/>
            <w:noWrap/>
            <w:hideMark/>
          </w:tcPr>
          <w:p w14:paraId="6C04307E" w14:textId="77777777" w:rsidR="008D0CAD" w:rsidRPr="00E00C4B" w:rsidRDefault="008D0CAD" w:rsidP="00796BFA">
            <w:pPr>
              <w:spacing w:before="100" w:beforeAutospacing="1" w:after="100" w:afterAutospacing="1" w:line="360" w:lineRule="auto"/>
              <w:rPr>
                <w:rFonts w:asciiTheme="majorHAnsi" w:hAnsiTheme="majorHAnsi" w:cstheme="majorHAnsi"/>
                <w:b/>
                <w:sz w:val="16"/>
                <w:szCs w:val="16"/>
              </w:rPr>
            </w:pPr>
            <w:r w:rsidRPr="00E00C4B">
              <w:rPr>
                <w:rFonts w:asciiTheme="majorHAnsi" w:hAnsiTheme="majorHAnsi" w:cstheme="majorHAnsi"/>
                <w:b/>
                <w:sz w:val="16"/>
                <w:szCs w:val="16"/>
              </w:rPr>
              <w:t>94.19%</w:t>
            </w:r>
          </w:p>
        </w:tc>
      </w:tr>
    </w:tbl>
    <w:p w14:paraId="71ABA4FF" w14:textId="76962D77" w:rsidR="008D0CAD" w:rsidRPr="00796BFA" w:rsidRDefault="008D0CAD" w:rsidP="00796BFA">
      <w:pPr>
        <w:spacing w:before="100" w:beforeAutospacing="1" w:after="100" w:afterAutospacing="1" w:line="360" w:lineRule="auto"/>
        <w:rPr>
          <w:rFonts w:asciiTheme="majorHAnsi" w:hAnsiTheme="majorHAnsi" w:cstheme="majorHAnsi"/>
          <w:bCs/>
          <w:i/>
          <w:iCs/>
          <w:sz w:val="20"/>
          <w:szCs w:val="20"/>
          <w:lang w:val="en-US"/>
        </w:rPr>
      </w:pPr>
      <w:r w:rsidRPr="00E00C4B">
        <w:rPr>
          <w:rFonts w:asciiTheme="majorHAnsi" w:hAnsiTheme="majorHAnsi" w:cstheme="majorHAnsi"/>
          <w:bCs/>
          <w:i/>
          <w:iCs/>
          <w:sz w:val="20"/>
          <w:szCs w:val="20"/>
          <w:lang w:val="en-US"/>
        </w:rPr>
        <w:t>Source: EBEIS (Retrieved April 2019)</w:t>
      </w:r>
    </w:p>
    <w:p w14:paraId="60E5B9FA" w14:textId="77777777" w:rsidR="008D0CAD" w:rsidRPr="00E00C4B" w:rsidRDefault="008D0CAD" w:rsidP="00796BFA">
      <w:pPr>
        <w:spacing w:before="100" w:beforeAutospacing="1" w:after="100" w:afterAutospacing="1" w:line="360" w:lineRule="auto"/>
        <w:rPr>
          <w:rFonts w:asciiTheme="majorHAnsi" w:hAnsiTheme="majorHAnsi" w:cstheme="majorHAnsi"/>
          <w:lang w:val="en-US"/>
        </w:rPr>
      </w:pPr>
      <w:r w:rsidRPr="00E00C4B">
        <w:rPr>
          <w:rFonts w:asciiTheme="majorHAnsi" w:hAnsiTheme="majorHAnsi" w:cstheme="majorHAnsi"/>
          <w:lang w:val="en-US"/>
        </w:rPr>
        <w:t>Moreover, in SY2017-2018, the top three regions with the highest NER were posted by Regions II (98.45%), VII (98.41%) and III (97.91%). The lowest NERs were posted by ARMM (72.63%) and IX (90.30%).</w:t>
      </w:r>
    </w:p>
    <w:p w14:paraId="681CA906" w14:textId="29AE6D47" w:rsidR="008D0CAD" w:rsidRPr="00E00C4B" w:rsidRDefault="008D0CAD" w:rsidP="00796BFA">
      <w:pPr>
        <w:spacing w:before="100" w:beforeAutospacing="1" w:after="100" w:afterAutospacing="1" w:line="360" w:lineRule="auto"/>
        <w:rPr>
          <w:rFonts w:asciiTheme="majorHAnsi" w:hAnsiTheme="majorHAnsi" w:cstheme="majorHAnsi"/>
          <w:lang w:val="en-US"/>
        </w:rPr>
      </w:pPr>
      <w:r w:rsidRPr="00E00C4B">
        <w:rPr>
          <w:rFonts w:asciiTheme="majorHAnsi" w:hAnsiTheme="majorHAnsi" w:cstheme="majorHAnsi"/>
          <w:lang w:val="en-US"/>
        </w:rPr>
        <w:t>Compared to the national NER, two regions (Regions VI and VII) were consistently above the national NER for five years (Table 10).</w:t>
      </w:r>
      <w:r w:rsidR="00D434EB">
        <w:rPr>
          <w:rFonts w:asciiTheme="majorHAnsi" w:hAnsiTheme="majorHAnsi" w:cstheme="majorHAnsi"/>
          <w:lang w:val="en-US"/>
        </w:rPr>
        <w:t xml:space="preserve"> </w:t>
      </w:r>
      <w:r w:rsidRPr="00E00C4B">
        <w:rPr>
          <w:rFonts w:asciiTheme="majorHAnsi" w:hAnsiTheme="majorHAnsi" w:cstheme="majorHAnsi"/>
          <w:lang w:val="en-US"/>
        </w:rPr>
        <w:t>On the other hand, Region V posted ratios above the national ratio for the first three years but fell below starting SY2016-2017.</w:t>
      </w:r>
      <w:r w:rsidR="00D434EB">
        <w:rPr>
          <w:rFonts w:asciiTheme="majorHAnsi" w:hAnsiTheme="majorHAnsi" w:cstheme="majorHAnsi"/>
          <w:lang w:val="en-US"/>
        </w:rPr>
        <w:t xml:space="preserve"> </w:t>
      </w:r>
      <w:r w:rsidRPr="00E00C4B">
        <w:rPr>
          <w:rFonts w:asciiTheme="majorHAnsi" w:hAnsiTheme="majorHAnsi" w:cstheme="majorHAnsi"/>
          <w:lang w:val="en-US"/>
        </w:rPr>
        <w:t>In contrast, Region X, which posted ratios below the national rate for the first three years under review, recovered and climbed higher than the national rate starting SY2016-2017.</w:t>
      </w:r>
    </w:p>
    <w:tbl>
      <w:tblPr>
        <w:tblStyle w:val="TableGrid11"/>
        <w:tblpPr w:leftFromText="180" w:rightFromText="180" w:vertAnchor="text" w:horzAnchor="margin" w:tblpXSpec="center" w:tblpY="371"/>
        <w:tblW w:w="10211" w:type="dxa"/>
        <w:tblLook w:val="04A0" w:firstRow="1" w:lastRow="0" w:firstColumn="1" w:lastColumn="0" w:noHBand="0" w:noVBand="1"/>
      </w:tblPr>
      <w:tblGrid>
        <w:gridCol w:w="3149"/>
        <w:gridCol w:w="1412"/>
        <w:gridCol w:w="1412"/>
        <w:gridCol w:w="1412"/>
        <w:gridCol w:w="1412"/>
        <w:gridCol w:w="1414"/>
      </w:tblGrid>
      <w:tr w:rsidR="00C803AA" w:rsidRPr="00E00C4B" w14:paraId="079EAED8" w14:textId="77777777" w:rsidTr="00F4751F">
        <w:trPr>
          <w:trHeight w:val="246"/>
          <w:tblHeader/>
        </w:trPr>
        <w:tc>
          <w:tcPr>
            <w:tcW w:w="3149" w:type="dxa"/>
            <w:noWrap/>
            <w:hideMark/>
          </w:tcPr>
          <w:p w14:paraId="4FFFD5E7" w14:textId="77777777" w:rsidR="00C803AA" w:rsidRPr="004B064D" w:rsidRDefault="00C803AA" w:rsidP="00C803AA">
            <w:pPr>
              <w:spacing w:before="100" w:beforeAutospacing="1" w:after="100" w:afterAutospacing="1" w:line="360" w:lineRule="auto"/>
              <w:rPr>
                <w:rFonts w:asciiTheme="majorHAnsi" w:hAnsiTheme="majorHAnsi" w:cstheme="majorHAnsi"/>
                <w:b/>
                <w:bCs/>
                <w:sz w:val="20"/>
                <w:szCs w:val="20"/>
              </w:rPr>
            </w:pPr>
            <w:bookmarkStart w:id="563" w:name="_Toc16524192"/>
            <w:bookmarkStart w:id="564" w:name="_Toc71616655"/>
            <w:r w:rsidRPr="004B064D">
              <w:rPr>
                <w:rFonts w:asciiTheme="majorHAnsi" w:hAnsiTheme="majorHAnsi" w:cstheme="majorHAnsi"/>
                <w:b/>
                <w:bCs/>
                <w:sz w:val="20"/>
                <w:szCs w:val="20"/>
              </w:rPr>
              <w:t>Region</w:t>
            </w:r>
          </w:p>
        </w:tc>
        <w:tc>
          <w:tcPr>
            <w:tcW w:w="1412" w:type="dxa"/>
            <w:noWrap/>
            <w:hideMark/>
          </w:tcPr>
          <w:p w14:paraId="24BDEECA" w14:textId="23A31403" w:rsidR="00C803AA" w:rsidRPr="004B064D" w:rsidRDefault="00D434EB" w:rsidP="00C803AA">
            <w:pPr>
              <w:spacing w:before="100" w:beforeAutospacing="1" w:after="100" w:afterAutospacing="1" w:line="360" w:lineRule="auto"/>
              <w:rPr>
                <w:rFonts w:asciiTheme="majorHAnsi" w:hAnsiTheme="majorHAnsi" w:cstheme="majorHAnsi"/>
                <w:b/>
                <w:bCs/>
                <w:sz w:val="20"/>
                <w:szCs w:val="20"/>
              </w:rPr>
            </w:pPr>
            <w:r w:rsidRPr="004B064D">
              <w:rPr>
                <w:rFonts w:asciiTheme="majorHAnsi" w:hAnsiTheme="majorHAnsi" w:cstheme="majorHAnsi"/>
                <w:b/>
                <w:bCs/>
                <w:sz w:val="20"/>
                <w:szCs w:val="20"/>
              </w:rPr>
              <w:t xml:space="preserve"> </w:t>
            </w:r>
            <w:r w:rsidR="00C803AA" w:rsidRPr="004B064D">
              <w:rPr>
                <w:rFonts w:asciiTheme="majorHAnsi" w:hAnsiTheme="majorHAnsi" w:cstheme="majorHAnsi"/>
                <w:b/>
                <w:bCs/>
                <w:sz w:val="20"/>
                <w:szCs w:val="20"/>
              </w:rPr>
              <w:t xml:space="preserve"> SY2013-2014</w:t>
            </w:r>
          </w:p>
        </w:tc>
        <w:tc>
          <w:tcPr>
            <w:tcW w:w="1412" w:type="dxa"/>
            <w:noWrap/>
            <w:hideMark/>
          </w:tcPr>
          <w:p w14:paraId="257E7621" w14:textId="77777777" w:rsidR="00C803AA" w:rsidRPr="004B064D" w:rsidRDefault="00C803AA" w:rsidP="00C803AA">
            <w:pPr>
              <w:spacing w:before="100" w:beforeAutospacing="1" w:after="100" w:afterAutospacing="1" w:line="360" w:lineRule="auto"/>
              <w:rPr>
                <w:rFonts w:asciiTheme="majorHAnsi" w:hAnsiTheme="majorHAnsi" w:cstheme="majorHAnsi"/>
                <w:b/>
                <w:bCs/>
                <w:sz w:val="20"/>
                <w:szCs w:val="20"/>
              </w:rPr>
            </w:pPr>
            <w:r w:rsidRPr="004B064D">
              <w:rPr>
                <w:rFonts w:asciiTheme="majorHAnsi" w:hAnsiTheme="majorHAnsi" w:cstheme="majorHAnsi"/>
                <w:b/>
                <w:bCs/>
                <w:sz w:val="20"/>
                <w:szCs w:val="20"/>
              </w:rPr>
              <w:t>SY2014-2015</w:t>
            </w:r>
          </w:p>
        </w:tc>
        <w:tc>
          <w:tcPr>
            <w:tcW w:w="1412" w:type="dxa"/>
            <w:noWrap/>
            <w:hideMark/>
          </w:tcPr>
          <w:p w14:paraId="7F86930C" w14:textId="77777777" w:rsidR="00C803AA" w:rsidRPr="004B064D" w:rsidRDefault="00C803AA" w:rsidP="00C803AA">
            <w:pPr>
              <w:spacing w:before="100" w:beforeAutospacing="1" w:after="100" w:afterAutospacing="1" w:line="360" w:lineRule="auto"/>
              <w:rPr>
                <w:rFonts w:asciiTheme="majorHAnsi" w:hAnsiTheme="majorHAnsi" w:cstheme="majorHAnsi"/>
                <w:b/>
                <w:bCs/>
                <w:sz w:val="20"/>
                <w:szCs w:val="20"/>
              </w:rPr>
            </w:pPr>
            <w:r w:rsidRPr="004B064D">
              <w:rPr>
                <w:rFonts w:asciiTheme="majorHAnsi" w:hAnsiTheme="majorHAnsi" w:cstheme="majorHAnsi"/>
                <w:b/>
                <w:bCs/>
                <w:sz w:val="20"/>
                <w:szCs w:val="20"/>
              </w:rPr>
              <w:t>SY2015-2016</w:t>
            </w:r>
          </w:p>
        </w:tc>
        <w:tc>
          <w:tcPr>
            <w:tcW w:w="1412" w:type="dxa"/>
            <w:noWrap/>
            <w:hideMark/>
          </w:tcPr>
          <w:p w14:paraId="68C42300" w14:textId="42437B0D" w:rsidR="00C803AA" w:rsidRPr="004B064D" w:rsidRDefault="00D434EB" w:rsidP="00C803AA">
            <w:pPr>
              <w:spacing w:before="100" w:beforeAutospacing="1" w:after="100" w:afterAutospacing="1" w:line="360" w:lineRule="auto"/>
              <w:rPr>
                <w:rFonts w:asciiTheme="majorHAnsi" w:hAnsiTheme="majorHAnsi" w:cstheme="majorHAnsi"/>
                <w:b/>
                <w:bCs/>
                <w:sz w:val="20"/>
                <w:szCs w:val="20"/>
              </w:rPr>
            </w:pPr>
            <w:r w:rsidRPr="004B064D">
              <w:rPr>
                <w:rFonts w:asciiTheme="majorHAnsi" w:hAnsiTheme="majorHAnsi" w:cstheme="majorHAnsi"/>
                <w:b/>
                <w:bCs/>
                <w:sz w:val="20"/>
                <w:szCs w:val="20"/>
              </w:rPr>
              <w:t xml:space="preserve"> </w:t>
            </w:r>
            <w:r w:rsidR="00C803AA" w:rsidRPr="004B064D">
              <w:rPr>
                <w:rFonts w:asciiTheme="majorHAnsi" w:hAnsiTheme="majorHAnsi" w:cstheme="majorHAnsi"/>
                <w:b/>
                <w:bCs/>
                <w:sz w:val="20"/>
                <w:szCs w:val="20"/>
              </w:rPr>
              <w:t xml:space="preserve"> SY2016-2017</w:t>
            </w:r>
          </w:p>
        </w:tc>
        <w:tc>
          <w:tcPr>
            <w:tcW w:w="1414" w:type="dxa"/>
            <w:noWrap/>
            <w:hideMark/>
          </w:tcPr>
          <w:p w14:paraId="477FA9B7" w14:textId="31D471E6" w:rsidR="00C803AA" w:rsidRPr="004B064D" w:rsidRDefault="00D434EB" w:rsidP="00C803AA">
            <w:pPr>
              <w:spacing w:before="100" w:beforeAutospacing="1" w:after="100" w:afterAutospacing="1" w:line="360" w:lineRule="auto"/>
              <w:rPr>
                <w:rFonts w:asciiTheme="majorHAnsi" w:hAnsiTheme="majorHAnsi" w:cstheme="majorHAnsi"/>
                <w:b/>
                <w:bCs/>
                <w:sz w:val="20"/>
                <w:szCs w:val="20"/>
              </w:rPr>
            </w:pPr>
            <w:r w:rsidRPr="004B064D">
              <w:rPr>
                <w:rFonts w:asciiTheme="majorHAnsi" w:hAnsiTheme="majorHAnsi" w:cstheme="majorHAnsi"/>
                <w:b/>
                <w:bCs/>
                <w:sz w:val="20"/>
                <w:szCs w:val="20"/>
              </w:rPr>
              <w:t xml:space="preserve"> </w:t>
            </w:r>
            <w:r w:rsidR="00C803AA" w:rsidRPr="004B064D">
              <w:rPr>
                <w:rFonts w:asciiTheme="majorHAnsi" w:hAnsiTheme="majorHAnsi" w:cstheme="majorHAnsi"/>
                <w:b/>
                <w:bCs/>
                <w:sz w:val="20"/>
                <w:szCs w:val="20"/>
              </w:rPr>
              <w:t xml:space="preserve"> SY2017-2018</w:t>
            </w:r>
          </w:p>
        </w:tc>
      </w:tr>
      <w:tr w:rsidR="00C803AA" w:rsidRPr="00E00C4B" w14:paraId="03B34886" w14:textId="77777777" w:rsidTr="00C803AA">
        <w:trPr>
          <w:trHeight w:val="246"/>
        </w:trPr>
        <w:tc>
          <w:tcPr>
            <w:tcW w:w="3149" w:type="dxa"/>
            <w:noWrap/>
          </w:tcPr>
          <w:p w14:paraId="6DA65461" w14:textId="77777777" w:rsidR="00C803AA" w:rsidRPr="00E00C4B" w:rsidRDefault="00C803AA" w:rsidP="00C803AA">
            <w:pPr>
              <w:spacing w:before="100" w:beforeAutospacing="1" w:after="100" w:afterAutospacing="1" w:line="360" w:lineRule="auto"/>
              <w:rPr>
                <w:rFonts w:asciiTheme="majorHAnsi" w:hAnsiTheme="majorHAnsi" w:cstheme="majorHAnsi"/>
                <w:sz w:val="20"/>
                <w:szCs w:val="20"/>
              </w:rPr>
            </w:pPr>
            <w:r w:rsidRPr="00E00C4B">
              <w:rPr>
                <w:rFonts w:asciiTheme="majorHAnsi" w:hAnsiTheme="majorHAnsi" w:cstheme="majorHAnsi"/>
                <w:sz w:val="20"/>
                <w:szCs w:val="20"/>
              </w:rPr>
              <w:t xml:space="preserve">Philippines </w:t>
            </w:r>
          </w:p>
        </w:tc>
        <w:tc>
          <w:tcPr>
            <w:tcW w:w="1412" w:type="dxa"/>
          </w:tcPr>
          <w:p w14:paraId="21000B1F" w14:textId="77777777" w:rsidR="00C803AA" w:rsidRPr="00E00C4B" w:rsidRDefault="00C803AA" w:rsidP="00C803AA">
            <w:pPr>
              <w:spacing w:before="100" w:beforeAutospacing="1" w:after="100" w:afterAutospacing="1" w:line="360" w:lineRule="auto"/>
              <w:rPr>
                <w:rFonts w:asciiTheme="majorHAnsi" w:hAnsiTheme="majorHAnsi" w:cstheme="majorHAnsi"/>
                <w:b/>
                <w:color w:val="000000"/>
                <w:sz w:val="20"/>
                <w:szCs w:val="20"/>
              </w:rPr>
            </w:pPr>
            <w:r w:rsidRPr="00E00C4B">
              <w:rPr>
                <w:rFonts w:asciiTheme="majorHAnsi" w:hAnsiTheme="majorHAnsi" w:cstheme="majorHAnsi"/>
                <w:b/>
              </w:rPr>
              <w:t>93.80%</w:t>
            </w:r>
          </w:p>
        </w:tc>
        <w:tc>
          <w:tcPr>
            <w:tcW w:w="1412" w:type="dxa"/>
          </w:tcPr>
          <w:p w14:paraId="19B75DBC" w14:textId="77777777" w:rsidR="00C803AA" w:rsidRPr="00E00C4B" w:rsidRDefault="00C803AA" w:rsidP="00C803AA">
            <w:pPr>
              <w:spacing w:before="100" w:beforeAutospacing="1" w:after="100" w:afterAutospacing="1" w:line="360" w:lineRule="auto"/>
              <w:rPr>
                <w:rFonts w:asciiTheme="majorHAnsi" w:hAnsiTheme="majorHAnsi" w:cstheme="majorHAnsi"/>
                <w:b/>
                <w:color w:val="000000"/>
                <w:sz w:val="20"/>
                <w:szCs w:val="20"/>
              </w:rPr>
            </w:pPr>
            <w:r w:rsidRPr="00E00C4B">
              <w:rPr>
                <w:rFonts w:asciiTheme="majorHAnsi" w:hAnsiTheme="majorHAnsi" w:cstheme="majorHAnsi"/>
                <w:b/>
              </w:rPr>
              <w:t>92.57%</w:t>
            </w:r>
          </w:p>
        </w:tc>
        <w:tc>
          <w:tcPr>
            <w:tcW w:w="1412" w:type="dxa"/>
          </w:tcPr>
          <w:p w14:paraId="2A93B4FD" w14:textId="77777777" w:rsidR="00C803AA" w:rsidRPr="00E00C4B" w:rsidRDefault="00C803AA" w:rsidP="00C803AA">
            <w:pPr>
              <w:spacing w:before="100" w:beforeAutospacing="1" w:after="100" w:afterAutospacing="1" w:line="360" w:lineRule="auto"/>
              <w:rPr>
                <w:rFonts w:asciiTheme="majorHAnsi" w:hAnsiTheme="majorHAnsi" w:cstheme="majorHAnsi"/>
                <w:b/>
                <w:color w:val="000000"/>
                <w:sz w:val="20"/>
                <w:szCs w:val="20"/>
              </w:rPr>
            </w:pPr>
            <w:r w:rsidRPr="00E00C4B">
              <w:rPr>
                <w:rFonts w:asciiTheme="majorHAnsi" w:hAnsiTheme="majorHAnsi" w:cstheme="majorHAnsi"/>
                <w:b/>
              </w:rPr>
              <w:t>91.05%</w:t>
            </w:r>
          </w:p>
        </w:tc>
        <w:tc>
          <w:tcPr>
            <w:tcW w:w="1412" w:type="dxa"/>
          </w:tcPr>
          <w:p w14:paraId="7F931085" w14:textId="77777777" w:rsidR="00C803AA" w:rsidRPr="00E00C4B" w:rsidRDefault="00C803AA" w:rsidP="00C803AA">
            <w:pPr>
              <w:spacing w:before="100" w:beforeAutospacing="1" w:after="100" w:afterAutospacing="1" w:line="360" w:lineRule="auto"/>
              <w:rPr>
                <w:rFonts w:asciiTheme="majorHAnsi" w:hAnsiTheme="majorHAnsi" w:cstheme="majorHAnsi"/>
                <w:b/>
                <w:color w:val="000000"/>
                <w:sz w:val="20"/>
                <w:szCs w:val="20"/>
              </w:rPr>
            </w:pPr>
            <w:r w:rsidRPr="00E00C4B">
              <w:rPr>
                <w:rFonts w:asciiTheme="majorHAnsi" w:hAnsiTheme="majorHAnsi" w:cstheme="majorHAnsi"/>
                <w:b/>
              </w:rPr>
              <w:t>96.15%</w:t>
            </w:r>
          </w:p>
        </w:tc>
        <w:tc>
          <w:tcPr>
            <w:tcW w:w="1414" w:type="dxa"/>
          </w:tcPr>
          <w:p w14:paraId="47EDAA83" w14:textId="77777777" w:rsidR="00C803AA" w:rsidRPr="00E00C4B" w:rsidRDefault="00C803AA" w:rsidP="00C803AA">
            <w:pPr>
              <w:spacing w:before="100" w:beforeAutospacing="1" w:after="100" w:afterAutospacing="1" w:line="360" w:lineRule="auto"/>
              <w:rPr>
                <w:rFonts w:asciiTheme="majorHAnsi" w:hAnsiTheme="majorHAnsi" w:cstheme="majorHAnsi"/>
                <w:b/>
                <w:color w:val="000000"/>
                <w:sz w:val="20"/>
                <w:szCs w:val="20"/>
              </w:rPr>
            </w:pPr>
            <w:r w:rsidRPr="00E00C4B">
              <w:rPr>
                <w:rFonts w:asciiTheme="majorHAnsi" w:hAnsiTheme="majorHAnsi" w:cstheme="majorHAnsi"/>
                <w:b/>
              </w:rPr>
              <w:t>94.19%</w:t>
            </w:r>
          </w:p>
        </w:tc>
      </w:tr>
      <w:tr w:rsidR="00C803AA" w:rsidRPr="00E00C4B" w14:paraId="31A92220" w14:textId="77777777" w:rsidTr="00C803AA">
        <w:trPr>
          <w:trHeight w:val="246"/>
        </w:trPr>
        <w:tc>
          <w:tcPr>
            <w:tcW w:w="3149" w:type="dxa"/>
            <w:noWrap/>
            <w:hideMark/>
          </w:tcPr>
          <w:p w14:paraId="0FF1E37F" w14:textId="77777777" w:rsidR="00C803AA" w:rsidRPr="00E00C4B" w:rsidRDefault="00C803AA" w:rsidP="00C803AA">
            <w:pPr>
              <w:spacing w:before="100" w:beforeAutospacing="1" w:after="100" w:afterAutospacing="1" w:line="360" w:lineRule="auto"/>
              <w:rPr>
                <w:rFonts w:asciiTheme="majorHAnsi" w:hAnsiTheme="majorHAnsi" w:cstheme="majorHAnsi"/>
                <w:sz w:val="20"/>
                <w:szCs w:val="20"/>
              </w:rPr>
            </w:pPr>
            <w:r w:rsidRPr="00E00C4B">
              <w:rPr>
                <w:rFonts w:asciiTheme="majorHAnsi" w:hAnsiTheme="majorHAnsi" w:cstheme="majorHAnsi"/>
                <w:sz w:val="20"/>
                <w:szCs w:val="20"/>
              </w:rPr>
              <w:t>NCR</w:t>
            </w:r>
          </w:p>
        </w:tc>
        <w:tc>
          <w:tcPr>
            <w:tcW w:w="1412" w:type="dxa"/>
            <w:hideMark/>
          </w:tcPr>
          <w:p w14:paraId="4DB1360F" w14:textId="77777777" w:rsidR="00C803AA" w:rsidRPr="00E00C4B" w:rsidRDefault="00C803AA" w:rsidP="00C803AA">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rPr>
              <w:t>92.54%</w:t>
            </w:r>
          </w:p>
        </w:tc>
        <w:tc>
          <w:tcPr>
            <w:tcW w:w="1412" w:type="dxa"/>
            <w:hideMark/>
          </w:tcPr>
          <w:p w14:paraId="2273BCC3" w14:textId="77777777" w:rsidR="00C803AA" w:rsidRPr="00E00C4B" w:rsidRDefault="00C803AA" w:rsidP="00C803AA">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rPr>
              <w:t>89.67%</w:t>
            </w:r>
          </w:p>
        </w:tc>
        <w:tc>
          <w:tcPr>
            <w:tcW w:w="1412" w:type="dxa"/>
            <w:hideMark/>
          </w:tcPr>
          <w:p w14:paraId="4D1D3A1D" w14:textId="77777777" w:rsidR="00C803AA" w:rsidRPr="00E00C4B" w:rsidRDefault="00C803AA" w:rsidP="00C803AA">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rPr>
              <w:t>88.13%</w:t>
            </w:r>
          </w:p>
        </w:tc>
        <w:tc>
          <w:tcPr>
            <w:tcW w:w="1412" w:type="dxa"/>
            <w:hideMark/>
          </w:tcPr>
          <w:p w14:paraId="754B49FE" w14:textId="77777777" w:rsidR="00C803AA" w:rsidRPr="00E00C4B" w:rsidRDefault="00C803AA" w:rsidP="00C803AA">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rPr>
              <w:t>95.92%</w:t>
            </w:r>
          </w:p>
        </w:tc>
        <w:tc>
          <w:tcPr>
            <w:tcW w:w="1414" w:type="dxa"/>
            <w:hideMark/>
          </w:tcPr>
          <w:p w14:paraId="64627ED8" w14:textId="77777777" w:rsidR="00C803AA" w:rsidRPr="00E00C4B" w:rsidRDefault="00C803AA" w:rsidP="00C803AA">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rPr>
              <w:t>92.83%</w:t>
            </w:r>
          </w:p>
        </w:tc>
      </w:tr>
      <w:tr w:rsidR="00C803AA" w:rsidRPr="00E00C4B" w14:paraId="090C4C22" w14:textId="77777777" w:rsidTr="00C803AA">
        <w:trPr>
          <w:trHeight w:val="246"/>
        </w:trPr>
        <w:tc>
          <w:tcPr>
            <w:tcW w:w="3149" w:type="dxa"/>
            <w:noWrap/>
            <w:hideMark/>
          </w:tcPr>
          <w:p w14:paraId="408EF08E" w14:textId="77777777" w:rsidR="00C803AA" w:rsidRPr="00E00C4B" w:rsidRDefault="00C803AA" w:rsidP="00C803AA">
            <w:pPr>
              <w:spacing w:before="100" w:beforeAutospacing="1" w:after="100" w:afterAutospacing="1" w:line="360" w:lineRule="auto"/>
              <w:rPr>
                <w:rFonts w:asciiTheme="majorHAnsi" w:hAnsiTheme="majorHAnsi" w:cstheme="majorHAnsi"/>
                <w:sz w:val="20"/>
                <w:szCs w:val="20"/>
              </w:rPr>
            </w:pPr>
            <w:r w:rsidRPr="00E00C4B">
              <w:rPr>
                <w:rFonts w:asciiTheme="majorHAnsi" w:hAnsiTheme="majorHAnsi" w:cstheme="majorHAnsi"/>
                <w:sz w:val="20"/>
                <w:szCs w:val="20"/>
              </w:rPr>
              <w:t>Region V</w:t>
            </w:r>
          </w:p>
        </w:tc>
        <w:tc>
          <w:tcPr>
            <w:tcW w:w="1412" w:type="dxa"/>
            <w:hideMark/>
          </w:tcPr>
          <w:p w14:paraId="46AF43A3" w14:textId="77777777" w:rsidR="00C803AA" w:rsidRPr="00E00C4B" w:rsidRDefault="00C803AA" w:rsidP="00C803AA">
            <w:pPr>
              <w:spacing w:before="100" w:beforeAutospacing="1" w:after="100" w:afterAutospacing="1" w:line="360" w:lineRule="auto"/>
              <w:rPr>
                <w:rFonts w:asciiTheme="majorHAnsi" w:hAnsiTheme="majorHAnsi" w:cstheme="majorHAnsi"/>
                <w:b/>
                <w:color w:val="000000"/>
                <w:sz w:val="20"/>
                <w:szCs w:val="20"/>
              </w:rPr>
            </w:pPr>
            <w:r w:rsidRPr="00E00C4B">
              <w:rPr>
                <w:rFonts w:asciiTheme="majorHAnsi" w:hAnsiTheme="majorHAnsi" w:cstheme="majorHAnsi"/>
                <w:b/>
              </w:rPr>
              <w:t>95.50%</w:t>
            </w:r>
          </w:p>
        </w:tc>
        <w:tc>
          <w:tcPr>
            <w:tcW w:w="1412" w:type="dxa"/>
            <w:hideMark/>
          </w:tcPr>
          <w:p w14:paraId="4CC2AC11" w14:textId="77777777" w:rsidR="00C803AA" w:rsidRPr="00E00C4B" w:rsidRDefault="00C803AA" w:rsidP="00C803AA">
            <w:pPr>
              <w:spacing w:before="100" w:beforeAutospacing="1" w:after="100" w:afterAutospacing="1" w:line="360" w:lineRule="auto"/>
              <w:rPr>
                <w:rFonts w:asciiTheme="majorHAnsi" w:hAnsiTheme="majorHAnsi" w:cstheme="majorHAnsi"/>
                <w:b/>
                <w:color w:val="000000"/>
                <w:sz w:val="20"/>
                <w:szCs w:val="20"/>
              </w:rPr>
            </w:pPr>
            <w:r w:rsidRPr="00E00C4B">
              <w:rPr>
                <w:rFonts w:asciiTheme="majorHAnsi" w:hAnsiTheme="majorHAnsi" w:cstheme="majorHAnsi"/>
                <w:b/>
              </w:rPr>
              <w:t>94.02%</w:t>
            </w:r>
          </w:p>
        </w:tc>
        <w:tc>
          <w:tcPr>
            <w:tcW w:w="1412" w:type="dxa"/>
            <w:hideMark/>
          </w:tcPr>
          <w:p w14:paraId="634FD892" w14:textId="77777777" w:rsidR="00C803AA" w:rsidRPr="00E00C4B" w:rsidRDefault="00C803AA" w:rsidP="00C803AA">
            <w:pPr>
              <w:spacing w:before="100" w:beforeAutospacing="1" w:after="100" w:afterAutospacing="1" w:line="360" w:lineRule="auto"/>
              <w:rPr>
                <w:rFonts w:asciiTheme="majorHAnsi" w:hAnsiTheme="majorHAnsi" w:cstheme="majorHAnsi"/>
                <w:b/>
                <w:color w:val="000000"/>
                <w:sz w:val="20"/>
                <w:szCs w:val="20"/>
              </w:rPr>
            </w:pPr>
            <w:r w:rsidRPr="00E00C4B">
              <w:rPr>
                <w:rFonts w:asciiTheme="majorHAnsi" w:hAnsiTheme="majorHAnsi" w:cstheme="majorHAnsi"/>
                <w:b/>
              </w:rPr>
              <w:t>91.09%</w:t>
            </w:r>
          </w:p>
        </w:tc>
        <w:tc>
          <w:tcPr>
            <w:tcW w:w="1412" w:type="dxa"/>
            <w:hideMark/>
          </w:tcPr>
          <w:p w14:paraId="0934556C" w14:textId="77777777" w:rsidR="00C803AA" w:rsidRPr="00E00C4B" w:rsidRDefault="00C803AA" w:rsidP="00C803AA">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rPr>
              <w:t>95.77%</w:t>
            </w:r>
          </w:p>
        </w:tc>
        <w:tc>
          <w:tcPr>
            <w:tcW w:w="1414" w:type="dxa"/>
            <w:hideMark/>
          </w:tcPr>
          <w:p w14:paraId="37BDD7CB" w14:textId="77777777" w:rsidR="00C803AA" w:rsidRPr="00E00C4B" w:rsidRDefault="00C803AA" w:rsidP="00C803AA">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rPr>
              <w:t>93.56%</w:t>
            </w:r>
          </w:p>
        </w:tc>
      </w:tr>
      <w:tr w:rsidR="00C803AA" w:rsidRPr="00E00C4B" w14:paraId="32574BE8" w14:textId="77777777" w:rsidTr="00C803AA">
        <w:trPr>
          <w:trHeight w:val="246"/>
        </w:trPr>
        <w:tc>
          <w:tcPr>
            <w:tcW w:w="3149" w:type="dxa"/>
            <w:noWrap/>
            <w:hideMark/>
          </w:tcPr>
          <w:p w14:paraId="37D16F79" w14:textId="77777777" w:rsidR="00C803AA" w:rsidRPr="00E00C4B" w:rsidRDefault="00C803AA" w:rsidP="00C803AA">
            <w:pPr>
              <w:spacing w:before="100" w:beforeAutospacing="1" w:after="100" w:afterAutospacing="1" w:line="360" w:lineRule="auto"/>
              <w:rPr>
                <w:rFonts w:asciiTheme="majorHAnsi" w:hAnsiTheme="majorHAnsi" w:cstheme="majorHAnsi"/>
                <w:sz w:val="20"/>
                <w:szCs w:val="20"/>
              </w:rPr>
            </w:pPr>
            <w:r w:rsidRPr="00E00C4B">
              <w:rPr>
                <w:rFonts w:asciiTheme="majorHAnsi" w:hAnsiTheme="majorHAnsi" w:cstheme="majorHAnsi"/>
                <w:sz w:val="20"/>
                <w:szCs w:val="20"/>
              </w:rPr>
              <w:t>Region VI</w:t>
            </w:r>
          </w:p>
        </w:tc>
        <w:tc>
          <w:tcPr>
            <w:tcW w:w="1412" w:type="dxa"/>
            <w:hideMark/>
          </w:tcPr>
          <w:p w14:paraId="78AE347E" w14:textId="77777777" w:rsidR="00C803AA" w:rsidRPr="00E00C4B" w:rsidRDefault="00C803AA" w:rsidP="00C803AA">
            <w:pPr>
              <w:spacing w:before="100" w:beforeAutospacing="1" w:after="100" w:afterAutospacing="1" w:line="360" w:lineRule="auto"/>
              <w:rPr>
                <w:rFonts w:asciiTheme="majorHAnsi" w:hAnsiTheme="majorHAnsi" w:cstheme="majorHAnsi"/>
                <w:b/>
                <w:color w:val="000000"/>
                <w:sz w:val="20"/>
                <w:szCs w:val="20"/>
              </w:rPr>
            </w:pPr>
            <w:r w:rsidRPr="00E00C4B">
              <w:rPr>
                <w:rFonts w:asciiTheme="majorHAnsi" w:hAnsiTheme="majorHAnsi" w:cstheme="majorHAnsi"/>
                <w:b/>
              </w:rPr>
              <w:t>95.83%</w:t>
            </w:r>
          </w:p>
        </w:tc>
        <w:tc>
          <w:tcPr>
            <w:tcW w:w="1412" w:type="dxa"/>
            <w:hideMark/>
          </w:tcPr>
          <w:p w14:paraId="4E20C72D" w14:textId="77777777" w:rsidR="00C803AA" w:rsidRPr="00E00C4B" w:rsidRDefault="00C803AA" w:rsidP="00C803AA">
            <w:pPr>
              <w:spacing w:before="100" w:beforeAutospacing="1" w:after="100" w:afterAutospacing="1" w:line="360" w:lineRule="auto"/>
              <w:rPr>
                <w:rFonts w:asciiTheme="majorHAnsi" w:hAnsiTheme="majorHAnsi" w:cstheme="majorHAnsi"/>
                <w:b/>
                <w:color w:val="000000"/>
                <w:sz w:val="20"/>
                <w:szCs w:val="20"/>
              </w:rPr>
            </w:pPr>
            <w:r w:rsidRPr="00E00C4B">
              <w:rPr>
                <w:rFonts w:asciiTheme="majorHAnsi" w:hAnsiTheme="majorHAnsi" w:cstheme="majorHAnsi"/>
                <w:b/>
              </w:rPr>
              <w:t>95.79%</w:t>
            </w:r>
          </w:p>
        </w:tc>
        <w:tc>
          <w:tcPr>
            <w:tcW w:w="1412" w:type="dxa"/>
            <w:hideMark/>
          </w:tcPr>
          <w:p w14:paraId="5A85D77F" w14:textId="77777777" w:rsidR="00C803AA" w:rsidRPr="00E00C4B" w:rsidRDefault="00C803AA" w:rsidP="00C803AA">
            <w:pPr>
              <w:spacing w:before="100" w:beforeAutospacing="1" w:after="100" w:afterAutospacing="1" w:line="360" w:lineRule="auto"/>
              <w:rPr>
                <w:rFonts w:asciiTheme="majorHAnsi" w:hAnsiTheme="majorHAnsi" w:cstheme="majorHAnsi"/>
                <w:b/>
                <w:color w:val="000000"/>
                <w:sz w:val="20"/>
                <w:szCs w:val="20"/>
              </w:rPr>
            </w:pPr>
            <w:r w:rsidRPr="00E00C4B">
              <w:rPr>
                <w:rFonts w:asciiTheme="majorHAnsi" w:hAnsiTheme="majorHAnsi" w:cstheme="majorHAnsi"/>
                <w:b/>
              </w:rPr>
              <w:t>95.43%</w:t>
            </w:r>
          </w:p>
        </w:tc>
        <w:tc>
          <w:tcPr>
            <w:tcW w:w="1412" w:type="dxa"/>
            <w:hideMark/>
          </w:tcPr>
          <w:p w14:paraId="5BA90E48" w14:textId="77777777" w:rsidR="00C803AA" w:rsidRPr="00E00C4B" w:rsidRDefault="00C803AA" w:rsidP="00C803AA">
            <w:pPr>
              <w:spacing w:before="100" w:beforeAutospacing="1" w:after="100" w:afterAutospacing="1" w:line="360" w:lineRule="auto"/>
              <w:rPr>
                <w:rFonts w:asciiTheme="majorHAnsi" w:hAnsiTheme="majorHAnsi" w:cstheme="majorHAnsi"/>
                <w:b/>
                <w:color w:val="000000"/>
                <w:sz w:val="20"/>
                <w:szCs w:val="20"/>
              </w:rPr>
            </w:pPr>
            <w:r w:rsidRPr="00E00C4B">
              <w:rPr>
                <w:rFonts w:asciiTheme="majorHAnsi" w:hAnsiTheme="majorHAnsi" w:cstheme="majorHAnsi"/>
                <w:b/>
              </w:rPr>
              <w:t>99.09%</w:t>
            </w:r>
          </w:p>
        </w:tc>
        <w:tc>
          <w:tcPr>
            <w:tcW w:w="1414" w:type="dxa"/>
            <w:hideMark/>
          </w:tcPr>
          <w:p w14:paraId="7F95D69D" w14:textId="77777777" w:rsidR="00C803AA" w:rsidRPr="00E00C4B" w:rsidRDefault="00C803AA" w:rsidP="00C803AA">
            <w:pPr>
              <w:spacing w:before="100" w:beforeAutospacing="1" w:after="100" w:afterAutospacing="1" w:line="360" w:lineRule="auto"/>
              <w:rPr>
                <w:rFonts w:asciiTheme="majorHAnsi" w:hAnsiTheme="majorHAnsi" w:cstheme="majorHAnsi"/>
                <w:b/>
                <w:color w:val="000000"/>
                <w:sz w:val="20"/>
                <w:szCs w:val="20"/>
              </w:rPr>
            </w:pPr>
            <w:r w:rsidRPr="00E00C4B">
              <w:rPr>
                <w:rFonts w:asciiTheme="majorHAnsi" w:hAnsiTheme="majorHAnsi" w:cstheme="majorHAnsi"/>
                <w:b/>
              </w:rPr>
              <w:t>97.16%</w:t>
            </w:r>
          </w:p>
        </w:tc>
      </w:tr>
      <w:tr w:rsidR="00C803AA" w:rsidRPr="00E00C4B" w14:paraId="68B61CC4" w14:textId="77777777" w:rsidTr="00C803AA">
        <w:trPr>
          <w:trHeight w:val="246"/>
        </w:trPr>
        <w:tc>
          <w:tcPr>
            <w:tcW w:w="3149" w:type="dxa"/>
            <w:noWrap/>
            <w:hideMark/>
          </w:tcPr>
          <w:p w14:paraId="5A07DB52" w14:textId="77777777" w:rsidR="00C803AA" w:rsidRPr="00E00C4B" w:rsidRDefault="00C803AA" w:rsidP="00C803AA">
            <w:pPr>
              <w:spacing w:before="100" w:beforeAutospacing="1" w:after="100" w:afterAutospacing="1" w:line="360" w:lineRule="auto"/>
              <w:rPr>
                <w:rFonts w:asciiTheme="majorHAnsi" w:hAnsiTheme="majorHAnsi" w:cstheme="majorHAnsi"/>
                <w:sz w:val="20"/>
                <w:szCs w:val="20"/>
              </w:rPr>
            </w:pPr>
            <w:r w:rsidRPr="00E00C4B">
              <w:rPr>
                <w:rFonts w:asciiTheme="majorHAnsi" w:hAnsiTheme="majorHAnsi" w:cstheme="majorHAnsi"/>
                <w:sz w:val="20"/>
                <w:szCs w:val="20"/>
              </w:rPr>
              <w:t>Region VII</w:t>
            </w:r>
          </w:p>
        </w:tc>
        <w:tc>
          <w:tcPr>
            <w:tcW w:w="1412" w:type="dxa"/>
            <w:hideMark/>
          </w:tcPr>
          <w:p w14:paraId="7A75C309" w14:textId="77777777" w:rsidR="00C803AA" w:rsidRPr="00E00C4B" w:rsidRDefault="00C803AA" w:rsidP="00C803AA">
            <w:pPr>
              <w:spacing w:before="100" w:beforeAutospacing="1" w:after="100" w:afterAutospacing="1" w:line="360" w:lineRule="auto"/>
              <w:rPr>
                <w:rFonts w:asciiTheme="majorHAnsi" w:hAnsiTheme="majorHAnsi" w:cstheme="majorHAnsi"/>
                <w:b/>
                <w:color w:val="000000"/>
                <w:sz w:val="20"/>
                <w:szCs w:val="20"/>
              </w:rPr>
            </w:pPr>
            <w:r w:rsidRPr="00E00C4B">
              <w:rPr>
                <w:rFonts w:asciiTheme="majorHAnsi" w:hAnsiTheme="majorHAnsi" w:cstheme="majorHAnsi"/>
                <w:b/>
              </w:rPr>
              <w:t>97.36%</w:t>
            </w:r>
          </w:p>
        </w:tc>
        <w:tc>
          <w:tcPr>
            <w:tcW w:w="1412" w:type="dxa"/>
            <w:hideMark/>
          </w:tcPr>
          <w:p w14:paraId="12C81FD7" w14:textId="77777777" w:rsidR="00C803AA" w:rsidRPr="00E00C4B" w:rsidRDefault="00C803AA" w:rsidP="00C803AA">
            <w:pPr>
              <w:spacing w:before="100" w:beforeAutospacing="1" w:after="100" w:afterAutospacing="1" w:line="360" w:lineRule="auto"/>
              <w:rPr>
                <w:rFonts w:asciiTheme="majorHAnsi" w:hAnsiTheme="majorHAnsi" w:cstheme="majorHAnsi"/>
                <w:b/>
                <w:color w:val="000000"/>
                <w:sz w:val="20"/>
                <w:szCs w:val="20"/>
              </w:rPr>
            </w:pPr>
            <w:r w:rsidRPr="00E00C4B">
              <w:rPr>
                <w:rFonts w:asciiTheme="majorHAnsi" w:hAnsiTheme="majorHAnsi" w:cstheme="majorHAnsi"/>
                <w:b/>
              </w:rPr>
              <w:t>96.75%</w:t>
            </w:r>
          </w:p>
        </w:tc>
        <w:tc>
          <w:tcPr>
            <w:tcW w:w="1412" w:type="dxa"/>
            <w:hideMark/>
          </w:tcPr>
          <w:p w14:paraId="227A406B" w14:textId="77777777" w:rsidR="00C803AA" w:rsidRPr="00E00C4B" w:rsidRDefault="00C803AA" w:rsidP="00C803AA">
            <w:pPr>
              <w:spacing w:before="100" w:beforeAutospacing="1" w:after="100" w:afterAutospacing="1" w:line="360" w:lineRule="auto"/>
              <w:rPr>
                <w:rFonts w:asciiTheme="majorHAnsi" w:hAnsiTheme="majorHAnsi" w:cstheme="majorHAnsi"/>
                <w:b/>
                <w:color w:val="000000"/>
                <w:sz w:val="20"/>
                <w:szCs w:val="20"/>
              </w:rPr>
            </w:pPr>
            <w:r w:rsidRPr="00E00C4B">
              <w:rPr>
                <w:rFonts w:asciiTheme="majorHAnsi" w:hAnsiTheme="majorHAnsi" w:cstheme="majorHAnsi"/>
                <w:b/>
              </w:rPr>
              <w:t>96.02%</w:t>
            </w:r>
          </w:p>
        </w:tc>
        <w:tc>
          <w:tcPr>
            <w:tcW w:w="1412" w:type="dxa"/>
            <w:hideMark/>
          </w:tcPr>
          <w:p w14:paraId="4705FD05" w14:textId="77777777" w:rsidR="00C803AA" w:rsidRPr="00E00C4B" w:rsidRDefault="00C803AA" w:rsidP="00C803AA">
            <w:pPr>
              <w:spacing w:before="100" w:beforeAutospacing="1" w:after="100" w:afterAutospacing="1" w:line="360" w:lineRule="auto"/>
              <w:rPr>
                <w:rFonts w:asciiTheme="majorHAnsi" w:hAnsiTheme="majorHAnsi" w:cstheme="majorHAnsi"/>
                <w:b/>
                <w:color w:val="000000"/>
                <w:sz w:val="20"/>
                <w:szCs w:val="20"/>
              </w:rPr>
            </w:pPr>
            <w:r w:rsidRPr="00E00C4B">
              <w:rPr>
                <w:rFonts w:asciiTheme="majorHAnsi" w:hAnsiTheme="majorHAnsi" w:cstheme="majorHAnsi"/>
                <w:b/>
              </w:rPr>
              <w:t>101.55%</w:t>
            </w:r>
          </w:p>
        </w:tc>
        <w:tc>
          <w:tcPr>
            <w:tcW w:w="1414" w:type="dxa"/>
            <w:hideMark/>
          </w:tcPr>
          <w:p w14:paraId="4BC892D7" w14:textId="77777777" w:rsidR="00C803AA" w:rsidRPr="00E00C4B" w:rsidRDefault="00C803AA" w:rsidP="00C803AA">
            <w:pPr>
              <w:spacing w:before="100" w:beforeAutospacing="1" w:after="100" w:afterAutospacing="1" w:line="360" w:lineRule="auto"/>
              <w:rPr>
                <w:rFonts w:asciiTheme="majorHAnsi" w:hAnsiTheme="majorHAnsi" w:cstheme="majorHAnsi"/>
                <w:b/>
                <w:color w:val="000000"/>
                <w:sz w:val="20"/>
                <w:szCs w:val="20"/>
              </w:rPr>
            </w:pPr>
            <w:r w:rsidRPr="00E00C4B">
              <w:rPr>
                <w:rFonts w:asciiTheme="majorHAnsi" w:hAnsiTheme="majorHAnsi" w:cstheme="majorHAnsi"/>
                <w:b/>
              </w:rPr>
              <w:t>98.41%</w:t>
            </w:r>
          </w:p>
        </w:tc>
      </w:tr>
      <w:tr w:rsidR="00C803AA" w:rsidRPr="00E00C4B" w14:paraId="182C946A" w14:textId="77777777" w:rsidTr="00C803AA">
        <w:trPr>
          <w:trHeight w:val="246"/>
        </w:trPr>
        <w:tc>
          <w:tcPr>
            <w:tcW w:w="3149" w:type="dxa"/>
            <w:noWrap/>
            <w:hideMark/>
          </w:tcPr>
          <w:p w14:paraId="2D7A832A" w14:textId="77777777" w:rsidR="00C803AA" w:rsidRPr="00E00C4B" w:rsidRDefault="00C803AA" w:rsidP="00C803AA">
            <w:pPr>
              <w:spacing w:before="100" w:beforeAutospacing="1" w:after="100" w:afterAutospacing="1" w:line="360" w:lineRule="auto"/>
              <w:rPr>
                <w:rFonts w:asciiTheme="majorHAnsi" w:hAnsiTheme="majorHAnsi" w:cstheme="majorHAnsi"/>
                <w:sz w:val="20"/>
                <w:szCs w:val="20"/>
              </w:rPr>
            </w:pPr>
            <w:r w:rsidRPr="00E00C4B">
              <w:rPr>
                <w:rFonts w:asciiTheme="majorHAnsi" w:hAnsiTheme="majorHAnsi" w:cstheme="majorHAnsi"/>
                <w:sz w:val="20"/>
                <w:szCs w:val="20"/>
              </w:rPr>
              <w:t>Region VIII</w:t>
            </w:r>
          </w:p>
        </w:tc>
        <w:tc>
          <w:tcPr>
            <w:tcW w:w="1412" w:type="dxa"/>
            <w:hideMark/>
          </w:tcPr>
          <w:p w14:paraId="5006B4AE" w14:textId="77777777" w:rsidR="00C803AA" w:rsidRPr="00E00C4B" w:rsidRDefault="00C803AA" w:rsidP="00C803AA">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rPr>
              <w:t>92.61%</w:t>
            </w:r>
          </w:p>
        </w:tc>
        <w:tc>
          <w:tcPr>
            <w:tcW w:w="1412" w:type="dxa"/>
            <w:hideMark/>
          </w:tcPr>
          <w:p w14:paraId="2C4E498F" w14:textId="77777777" w:rsidR="00C803AA" w:rsidRPr="00E00C4B" w:rsidRDefault="00C803AA" w:rsidP="00C803AA">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rPr>
              <w:t>91.68%</w:t>
            </w:r>
          </w:p>
        </w:tc>
        <w:tc>
          <w:tcPr>
            <w:tcW w:w="1412" w:type="dxa"/>
            <w:hideMark/>
          </w:tcPr>
          <w:p w14:paraId="5268BE54" w14:textId="77777777" w:rsidR="00C803AA" w:rsidRPr="00E00C4B" w:rsidRDefault="00C803AA" w:rsidP="00C803AA">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rPr>
              <w:t>89.57%</w:t>
            </w:r>
          </w:p>
        </w:tc>
        <w:tc>
          <w:tcPr>
            <w:tcW w:w="1412" w:type="dxa"/>
            <w:hideMark/>
          </w:tcPr>
          <w:p w14:paraId="175A6C04" w14:textId="77777777" w:rsidR="00C803AA" w:rsidRPr="00E00C4B" w:rsidRDefault="00C803AA" w:rsidP="00C803AA">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rPr>
              <w:t>94.00%</w:t>
            </w:r>
          </w:p>
        </w:tc>
        <w:tc>
          <w:tcPr>
            <w:tcW w:w="1414" w:type="dxa"/>
            <w:hideMark/>
          </w:tcPr>
          <w:p w14:paraId="02EEA495" w14:textId="77777777" w:rsidR="00C803AA" w:rsidRPr="00E00C4B" w:rsidRDefault="00C803AA" w:rsidP="00C803AA">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rPr>
              <w:t>92.64%</w:t>
            </w:r>
          </w:p>
        </w:tc>
      </w:tr>
      <w:tr w:rsidR="00C803AA" w:rsidRPr="00E00C4B" w14:paraId="5B627D22" w14:textId="77777777" w:rsidTr="00C803AA">
        <w:trPr>
          <w:trHeight w:val="232"/>
        </w:trPr>
        <w:tc>
          <w:tcPr>
            <w:tcW w:w="3149" w:type="dxa"/>
            <w:noWrap/>
            <w:hideMark/>
          </w:tcPr>
          <w:p w14:paraId="01466767" w14:textId="77777777" w:rsidR="00C803AA" w:rsidRPr="00E00C4B" w:rsidRDefault="00C803AA" w:rsidP="00C803AA">
            <w:pPr>
              <w:spacing w:before="100" w:beforeAutospacing="1" w:after="100" w:afterAutospacing="1" w:line="360" w:lineRule="auto"/>
              <w:rPr>
                <w:rFonts w:asciiTheme="majorHAnsi" w:hAnsiTheme="majorHAnsi" w:cstheme="majorHAnsi"/>
                <w:sz w:val="20"/>
                <w:szCs w:val="20"/>
              </w:rPr>
            </w:pPr>
            <w:r w:rsidRPr="00E00C4B">
              <w:rPr>
                <w:rFonts w:asciiTheme="majorHAnsi" w:hAnsiTheme="majorHAnsi" w:cstheme="majorHAnsi"/>
                <w:sz w:val="20"/>
                <w:szCs w:val="20"/>
              </w:rPr>
              <w:t>Region X</w:t>
            </w:r>
          </w:p>
        </w:tc>
        <w:tc>
          <w:tcPr>
            <w:tcW w:w="1412" w:type="dxa"/>
            <w:hideMark/>
          </w:tcPr>
          <w:p w14:paraId="04F98A14" w14:textId="77777777" w:rsidR="00C803AA" w:rsidRPr="00E00C4B" w:rsidRDefault="00C803AA" w:rsidP="00C803AA">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rPr>
              <w:t>91.00%</w:t>
            </w:r>
          </w:p>
        </w:tc>
        <w:tc>
          <w:tcPr>
            <w:tcW w:w="1412" w:type="dxa"/>
            <w:hideMark/>
          </w:tcPr>
          <w:p w14:paraId="7432C275" w14:textId="77777777" w:rsidR="00C803AA" w:rsidRPr="00E00C4B" w:rsidRDefault="00C803AA" w:rsidP="00C803AA">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rPr>
              <w:t>90.25%</w:t>
            </w:r>
          </w:p>
        </w:tc>
        <w:tc>
          <w:tcPr>
            <w:tcW w:w="1412" w:type="dxa"/>
            <w:hideMark/>
          </w:tcPr>
          <w:p w14:paraId="5A5AF9BF" w14:textId="77777777" w:rsidR="00C803AA" w:rsidRPr="00E00C4B" w:rsidRDefault="00C803AA" w:rsidP="00C803AA">
            <w:pPr>
              <w:spacing w:before="100" w:beforeAutospacing="1" w:after="100" w:afterAutospacing="1" w:line="360" w:lineRule="auto"/>
              <w:rPr>
                <w:rFonts w:asciiTheme="majorHAnsi" w:hAnsiTheme="majorHAnsi" w:cstheme="majorHAnsi"/>
                <w:color w:val="000000"/>
                <w:sz w:val="20"/>
                <w:szCs w:val="20"/>
              </w:rPr>
            </w:pPr>
            <w:r w:rsidRPr="00E00C4B">
              <w:rPr>
                <w:rFonts w:asciiTheme="majorHAnsi" w:hAnsiTheme="majorHAnsi" w:cstheme="majorHAnsi"/>
              </w:rPr>
              <w:t>89.68%</w:t>
            </w:r>
          </w:p>
        </w:tc>
        <w:tc>
          <w:tcPr>
            <w:tcW w:w="1412" w:type="dxa"/>
            <w:hideMark/>
          </w:tcPr>
          <w:p w14:paraId="6F2BFCE9" w14:textId="77777777" w:rsidR="00C803AA" w:rsidRPr="00E00C4B" w:rsidRDefault="00C803AA" w:rsidP="00C803AA">
            <w:pPr>
              <w:spacing w:before="100" w:beforeAutospacing="1" w:after="100" w:afterAutospacing="1" w:line="360" w:lineRule="auto"/>
              <w:rPr>
                <w:rFonts w:asciiTheme="majorHAnsi" w:hAnsiTheme="majorHAnsi" w:cstheme="majorHAnsi"/>
                <w:b/>
                <w:color w:val="000000"/>
                <w:sz w:val="20"/>
                <w:szCs w:val="20"/>
              </w:rPr>
            </w:pPr>
            <w:r w:rsidRPr="00E00C4B">
              <w:rPr>
                <w:rFonts w:asciiTheme="majorHAnsi" w:hAnsiTheme="majorHAnsi" w:cstheme="majorHAnsi"/>
                <w:b/>
              </w:rPr>
              <w:t>96.57%</w:t>
            </w:r>
          </w:p>
        </w:tc>
        <w:tc>
          <w:tcPr>
            <w:tcW w:w="1414" w:type="dxa"/>
            <w:hideMark/>
          </w:tcPr>
          <w:p w14:paraId="05925F66" w14:textId="77777777" w:rsidR="00C803AA" w:rsidRPr="00E00C4B" w:rsidRDefault="00C803AA" w:rsidP="00C803AA">
            <w:pPr>
              <w:spacing w:before="100" w:beforeAutospacing="1" w:after="100" w:afterAutospacing="1" w:line="360" w:lineRule="auto"/>
              <w:rPr>
                <w:rFonts w:asciiTheme="majorHAnsi" w:hAnsiTheme="majorHAnsi" w:cstheme="majorHAnsi"/>
                <w:b/>
                <w:color w:val="000000"/>
                <w:sz w:val="20"/>
                <w:szCs w:val="20"/>
              </w:rPr>
            </w:pPr>
            <w:r w:rsidRPr="00E00C4B">
              <w:rPr>
                <w:rFonts w:asciiTheme="majorHAnsi" w:hAnsiTheme="majorHAnsi" w:cstheme="majorHAnsi"/>
                <w:b/>
              </w:rPr>
              <w:t>96.43%</w:t>
            </w:r>
          </w:p>
        </w:tc>
      </w:tr>
    </w:tbl>
    <w:p w14:paraId="0E44AEA8" w14:textId="116A65AE" w:rsidR="008D0CAD" w:rsidRPr="00E00C4B" w:rsidRDefault="008D0CAD" w:rsidP="00796BFA">
      <w:pPr>
        <w:spacing w:before="100" w:beforeAutospacing="1" w:after="100" w:afterAutospacing="1" w:line="360" w:lineRule="auto"/>
        <w:rPr>
          <w:rFonts w:asciiTheme="majorHAnsi" w:eastAsiaTheme="minorHAnsi" w:hAnsiTheme="majorHAnsi" w:cstheme="majorHAnsi"/>
          <w:i/>
          <w:iCs/>
          <w:color w:val="44546A" w:themeColor="text2"/>
          <w:sz w:val="22"/>
          <w:szCs w:val="22"/>
          <w:lang w:val="en-US"/>
        </w:rPr>
      </w:pPr>
      <w:r w:rsidRPr="00E00C4B">
        <w:rPr>
          <w:rFonts w:asciiTheme="majorHAnsi" w:eastAsiaTheme="minorHAnsi" w:hAnsiTheme="majorHAnsi" w:cstheme="majorHAnsi"/>
          <w:i/>
          <w:iCs/>
          <w:color w:val="44546A" w:themeColor="text2"/>
          <w:sz w:val="22"/>
          <w:szCs w:val="22"/>
          <w:lang w:val="en-US"/>
        </w:rPr>
        <w:t xml:space="preserve">Table </w:t>
      </w:r>
      <w:r w:rsidRPr="00E00C4B">
        <w:rPr>
          <w:rFonts w:asciiTheme="majorHAnsi" w:eastAsiaTheme="minorHAnsi" w:hAnsiTheme="majorHAnsi" w:cstheme="majorHAnsi"/>
          <w:i/>
          <w:iCs/>
          <w:color w:val="44546A" w:themeColor="text2"/>
          <w:sz w:val="22"/>
          <w:szCs w:val="22"/>
          <w:lang w:val="en-US"/>
        </w:rPr>
        <w:fldChar w:fldCharType="begin"/>
      </w:r>
      <w:r w:rsidRPr="00E00C4B">
        <w:rPr>
          <w:rFonts w:asciiTheme="majorHAnsi" w:eastAsiaTheme="minorHAnsi" w:hAnsiTheme="majorHAnsi" w:cstheme="majorHAnsi"/>
          <w:i/>
          <w:iCs/>
          <w:color w:val="44546A" w:themeColor="text2"/>
          <w:sz w:val="22"/>
          <w:szCs w:val="22"/>
          <w:lang w:val="en-US"/>
        </w:rPr>
        <w:instrText xml:space="preserve"> SEQ Table \* ARABIC </w:instrText>
      </w:r>
      <w:r w:rsidRPr="00E00C4B">
        <w:rPr>
          <w:rFonts w:asciiTheme="majorHAnsi" w:eastAsiaTheme="minorHAnsi" w:hAnsiTheme="majorHAnsi" w:cstheme="majorHAnsi"/>
          <w:i/>
          <w:iCs/>
          <w:color w:val="44546A" w:themeColor="text2"/>
          <w:sz w:val="22"/>
          <w:szCs w:val="22"/>
          <w:lang w:val="en-US"/>
        </w:rPr>
        <w:fldChar w:fldCharType="separate"/>
      </w:r>
      <w:r w:rsidR="00D6133D">
        <w:rPr>
          <w:rFonts w:asciiTheme="majorHAnsi" w:eastAsiaTheme="minorHAnsi" w:hAnsiTheme="majorHAnsi" w:cstheme="majorHAnsi"/>
          <w:i/>
          <w:iCs/>
          <w:noProof/>
          <w:color w:val="44546A" w:themeColor="text2"/>
          <w:sz w:val="22"/>
          <w:szCs w:val="22"/>
          <w:lang w:val="en-US"/>
        </w:rPr>
        <w:t>64</w:t>
      </w:r>
      <w:r w:rsidRPr="00E00C4B">
        <w:rPr>
          <w:rFonts w:asciiTheme="majorHAnsi" w:eastAsiaTheme="minorHAnsi" w:hAnsiTheme="majorHAnsi" w:cstheme="majorHAnsi"/>
          <w:i/>
          <w:iCs/>
          <w:color w:val="44546A" w:themeColor="text2"/>
          <w:sz w:val="22"/>
          <w:szCs w:val="22"/>
          <w:lang w:val="en-US"/>
        </w:rPr>
        <w:fldChar w:fldCharType="end"/>
      </w:r>
      <w:r w:rsidRPr="00E00C4B">
        <w:rPr>
          <w:rFonts w:asciiTheme="majorHAnsi" w:eastAsiaTheme="minorHAnsi" w:hAnsiTheme="majorHAnsi" w:cstheme="majorHAnsi"/>
          <w:i/>
          <w:iCs/>
          <w:color w:val="44546A" w:themeColor="text2"/>
          <w:sz w:val="22"/>
          <w:szCs w:val="22"/>
          <w:lang w:val="en-US"/>
        </w:rPr>
        <w:t xml:space="preserve">. </w:t>
      </w:r>
      <w:r w:rsidRPr="00E00C4B">
        <w:rPr>
          <w:rFonts w:asciiTheme="majorHAnsi" w:eastAsiaTheme="minorHAnsi" w:hAnsiTheme="majorHAnsi" w:cstheme="majorHAnsi"/>
          <w:bCs/>
          <w:i/>
          <w:iCs/>
          <w:color w:val="44546A" w:themeColor="text2"/>
          <w:sz w:val="22"/>
          <w:szCs w:val="22"/>
          <w:lang w:val="en-US"/>
        </w:rPr>
        <w:t>Elementary Net Enrollment Ratio in BEST supported Regions</w:t>
      </w:r>
      <w:bookmarkEnd w:id="563"/>
      <w:bookmarkEnd w:id="564"/>
    </w:p>
    <w:p w14:paraId="7F56D3DA" w14:textId="534126FE" w:rsidR="008D0CAD" w:rsidRPr="00E00C4B" w:rsidRDefault="00C803AA" w:rsidP="00796BFA">
      <w:pPr>
        <w:spacing w:before="100" w:beforeAutospacing="1" w:after="100" w:afterAutospacing="1" w:line="360" w:lineRule="auto"/>
        <w:rPr>
          <w:rFonts w:asciiTheme="majorHAnsi" w:hAnsiTheme="majorHAnsi" w:cstheme="majorHAnsi"/>
          <w:b/>
          <w:bCs/>
          <w:sz w:val="20"/>
          <w:szCs w:val="20"/>
          <w:lang w:val="en-US"/>
        </w:rPr>
      </w:pPr>
      <w:r>
        <w:rPr>
          <w:rFonts w:asciiTheme="majorHAnsi" w:hAnsiTheme="majorHAnsi" w:cstheme="majorHAnsi"/>
          <w:i/>
          <w:iCs/>
          <w:color w:val="000000" w:themeColor="text1"/>
          <w:sz w:val="20"/>
          <w:szCs w:val="20"/>
        </w:rPr>
        <w:t>S</w:t>
      </w:r>
      <w:r w:rsidR="00B30D83" w:rsidRPr="00E00C4B">
        <w:rPr>
          <w:rFonts w:asciiTheme="majorHAnsi" w:hAnsiTheme="majorHAnsi" w:cstheme="majorHAnsi"/>
          <w:i/>
          <w:iCs/>
          <w:color w:val="000000" w:themeColor="text1"/>
          <w:sz w:val="20"/>
          <w:szCs w:val="20"/>
        </w:rPr>
        <w:t>ource: EBEIS (Retrieved April 2019)</w:t>
      </w:r>
    </w:p>
    <w:p w14:paraId="40B7EAE1" w14:textId="77777777" w:rsidR="008D0CAD" w:rsidRPr="00E00C4B" w:rsidRDefault="008D0CAD" w:rsidP="00796BFA">
      <w:pPr>
        <w:spacing w:before="100" w:beforeAutospacing="1" w:after="100" w:afterAutospacing="1" w:line="360" w:lineRule="auto"/>
        <w:rPr>
          <w:rFonts w:asciiTheme="majorHAnsi" w:hAnsiTheme="majorHAnsi" w:cstheme="majorHAnsi"/>
          <w:lang w:val="en-US"/>
        </w:rPr>
      </w:pPr>
      <w:r w:rsidRPr="00E00C4B">
        <w:rPr>
          <w:rFonts w:asciiTheme="majorHAnsi" w:hAnsiTheme="majorHAnsi" w:cstheme="majorHAnsi"/>
          <w:b/>
          <w:lang w:val="en-US"/>
        </w:rPr>
        <w:t>Changes in NER by Divisions.</w:t>
      </w:r>
      <w:r w:rsidRPr="00E00C4B">
        <w:rPr>
          <w:rFonts w:asciiTheme="majorHAnsi" w:hAnsiTheme="majorHAnsi" w:cstheme="majorHAnsi"/>
          <w:lang w:val="en-US"/>
        </w:rPr>
        <w:t xml:space="preserve"> Moreover, in SY2017-2018, the top three regions with the highest NER were posted by Regions II (98.45%), VII (98.41%) and III (97.91%). The lowest NERs were posted by ARMM (72.63%) and IX (90.30%).</w:t>
      </w:r>
    </w:p>
    <w:p w14:paraId="6ABA8736" w14:textId="1A81DF45" w:rsidR="008D0CAD" w:rsidRPr="00E00C4B" w:rsidRDefault="008D0CAD" w:rsidP="00796BFA">
      <w:pPr>
        <w:spacing w:before="100" w:beforeAutospacing="1" w:after="100" w:afterAutospacing="1" w:line="360" w:lineRule="auto"/>
        <w:rPr>
          <w:rFonts w:asciiTheme="majorHAnsi" w:hAnsiTheme="majorHAnsi" w:cstheme="majorHAnsi"/>
          <w:lang w:val="en-US"/>
        </w:rPr>
      </w:pPr>
      <w:r w:rsidRPr="00E00C4B">
        <w:rPr>
          <w:rFonts w:asciiTheme="majorHAnsi" w:hAnsiTheme="majorHAnsi" w:cstheme="majorHAnsi"/>
          <w:lang w:val="en-US"/>
        </w:rPr>
        <w:t>In SY2013-2014 (baseline year), the overall Elementary NER was pegged at 93.80 percent. The NER for female students was recorded at 94.65% while NER for male students was 93 percent (Figure 18).</w:t>
      </w:r>
      <w:r w:rsidR="00D434EB">
        <w:rPr>
          <w:rFonts w:asciiTheme="majorHAnsi" w:hAnsiTheme="majorHAnsi" w:cstheme="majorHAnsi"/>
          <w:lang w:val="en-US"/>
        </w:rPr>
        <w:t xml:space="preserve"> </w:t>
      </w:r>
      <w:r w:rsidRPr="00E00C4B">
        <w:rPr>
          <w:rFonts w:asciiTheme="majorHAnsi" w:hAnsiTheme="majorHAnsi" w:cstheme="majorHAnsi"/>
          <w:lang w:val="en-US"/>
        </w:rPr>
        <w:t>Seven divisions fell below the national rate namely: Camarines Sur (93.27%); Antique (92.21%); Bohol (93.42%); Misamis Oriental (92.92%); Manila (88.07%); Parañaque City (91.47%); and Quezon (90.49%).</w:t>
      </w:r>
    </w:p>
    <w:p w14:paraId="10E21BC8" w14:textId="522F2B06" w:rsidR="008D0CAD" w:rsidRPr="00E00C4B" w:rsidRDefault="008D0CAD" w:rsidP="00796BFA">
      <w:pPr>
        <w:spacing w:before="100" w:beforeAutospacing="1" w:after="100" w:afterAutospacing="1" w:line="360" w:lineRule="auto"/>
        <w:rPr>
          <w:rFonts w:asciiTheme="majorHAnsi" w:hAnsiTheme="majorHAnsi" w:cstheme="majorHAnsi"/>
          <w:b/>
          <w:bCs/>
          <w:sz w:val="20"/>
          <w:szCs w:val="20"/>
          <w:lang w:val="en-US"/>
        </w:rPr>
      </w:pPr>
      <w:r w:rsidRPr="00E00C4B">
        <w:rPr>
          <w:rFonts w:asciiTheme="majorHAnsi" w:hAnsiTheme="majorHAnsi" w:cstheme="majorHAnsi"/>
          <w:lang w:val="en-US"/>
        </w:rPr>
        <w:t>By SY2017-2018 (endline year), the overall Elementary NER increased to 94.19 percent.</w:t>
      </w:r>
      <w:r w:rsidR="00D434EB">
        <w:rPr>
          <w:rFonts w:asciiTheme="majorHAnsi" w:hAnsiTheme="majorHAnsi" w:cstheme="majorHAnsi"/>
          <w:lang w:val="en-US"/>
        </w:rPr>
        <w:t xml:space="preserve"> </w:t>
      </w:r>
      <w:r w:rsidRPr="00E00C4B">
        <w:rPr>
          <w:rFonts w:asciiTheme="majorHAnsi" w:hAnsiTheme="majorHAnsi" w:cstheme="majorHAnsi"/>
          <w:lang w:val="en-US"/>
        </w:rPr>
        <w:t>More importantly, the gender gap in NER was significantly reduced as NER for males significantly increased to 94.12 percent while that of females was pegged at 94.27 percent (Figure 19).</w:t>
      </w:r>
      <w:r w:rsidR="00D434EB">
        <w:rPr>
          <w:rFonts w:asciiTheme="majorHAnsi" w:hAnsiTheme="majorHAnsi" w:cstheme="majorHAnsi"/>
          <w:lang w:val="en-US"/>
        </w:rPr>
        <w:t xml:space="preserve"> </w:t>
      </w:r>
      <w:r w:rsidRPr="00E00C4B">
        <w:rPr>
          <w:rFonts w:asciiTheme="majorHAnsi" w:hAnsiTheme="majorHAnsi" w:cstheme="majorHAnsi"/>
          <w:lang w:val="en-US"/>
        </w:rPr>
        <w:t>Again, seven Divisions fell below the national rate, but the composition differed.</w:t>
      </w:r>
      <w:r w:rsidR="00D434EB">
        <w:rPr>
          <w:rFonts w:asciiTheme="majorHAnsi" w:hAnsiTheme="majorHAnsi" w:cstheme="majorHAnsi"/>
          <w:lang w:val="en-US"/>
        </w:rPr>
        <w:t xml:space="preserve"> </w:t>
      </w:r>
      <w:r w:rsidRPr="00E00C4B">
        <w:rPr>
          <w:rFonts w:asciiTheme="majorHAnsi" w:hAnsiTheme="majorHAnsi" w:cstheme="majorHAnsi"/>
          <w:lang w:val="en-US"/>
        </w:rPr>
        <w:t>These Divisions were: Camarines Sur (91.13%); Sorsogon (89.82%); Antique (89.65%); Bohol (86.97%); Eastern Samar (92.71%); Manila (91.89%); and</w:t>
      </w:r>
      <w:r w:rsidRPr="00E00C4B">
        <w:rPr>
          <w:rFonts w:asciiTheme="majorHAnsi" w:hAnsiTheme="majorHAnsi" w:cstheme="majorHAnsi"/>
          <w:color w:val="000000"/>
          <w:lang w:val="en-US"/>
        </w:rPr>
        <w:t xml:space="preserve"> Quezon City (</w:t>
      </w:r>
      <w:r w:rsidRPr="00E00C4B">
        <w:rPr>
          <w:rFonts w:asciiTheme="majorHAnsi" w:hAnsiTheme="majorHAnsi" w:cstheme="majorHAnsi"/>
          <w:lang w:val="en-US"/>
        </w:rPr>
        <w:t>86.78%).</w:t>
      </w:r>
    </w:p>
    <w:p w14:paraId="4D50701E" w14:textId="77777777" w:rsidR="008D0CAD" w:rsidRPr="00E00C4B" w:rsidRDefault="008D0CAD" w:rsidP="00796BFA">
      <w:pPr>
        <w:pStyle w:val="Heading5"/>
        <w:numPr>
          <w:ilvl w:val="0"/>
          <w:numId w:val="0"/>
        </w:numPr>
        <w:spacing w:before="100" w:beforeAutospacing="1" w:after="100" w:afterAutospacing="1" w:line="360" w:lineRule="auto"/>
        <w:ind w:left="1222" w:hanging="1080"/>
      </w:pPr>
      <w:bookmarkStart w:id="565" w:name="_Toc16524076"/>
      <w:r w:rsidRPr="00E00C4B">
        <w:t>Completion Rate</w:t>
      </w:r>
      <w:bookmarkEnd w:id="565"/>
    </w:p>
    <w:p w14:paraId="21EA0C09" w14:textId="77777777" w:rsidR="008D0CAD" w:rsidRPr="00E00C4B" w:rsidRDefault="008D0CAD" w:rsidP="00796BFA">
      <w:pPr>
        <w:spacing w:before="100" w:beforeAutospacing="1" w:after="100" w:afterAutospacing="1" w:line="360" w:lineRule="auto"/>
        <w:rPr>
          <w:rFonts w:asciiTheme="majorHAnsi" w:hAnsiTheme="majorHAnsi" w:cstheme="majorHAnsi"/>
          <w:lang w:val="en-US"/>
        </w:rPr>
      </w:pPr>
      <w:r w:rsidRPr="00E00C4B">
        <w:rPr>
          <w:rFonts w:asciiTheme="majorHAnsi" w:hAnsiTheme="majorHAnsi" w:cstheme="majorHAnsi"/>
          <w:lang w:val="en-US"/>
        </w:rPr>
        <w:t xml:space="preserve">Completion Rate is defined as the percentage of first grade/year entrants in a level of education who complete/finish the level in accordance with the required number of years of study. </w:t>
      </w:r>
    </w:p>
    <w:p w14:paraId="2ADC86A5" w14:textId="77777777" w:rsidR="008D0CAD" w:rsidRDefault="008D0CAD" w:rsidP="00796BFA">
      <w:pPr>
        <w:spacing w:before="100" w:beforeAutospacing="1" w:after="100" w:afterAutospacing="1" w:line="360" w:lineRule="auto"/>
        <w:rPr>
          <w:rFonts w:asciiTheme="majorHAnsi" w:hAnsiTheme="majorHAnsi" w:cstheme="majorHAnsi"/>
          <w:lang w:val="en-US"/>
        </w:rPr>
        <w:sectPr w:rsidR="008D0CAD" w:rsidSect="009C64E9">
          <w:headerReference w:type="default" r:id="rId107"/>
          <w:footerReference w:type="even" r:id="rId108"/>
          <w:footerReference w:type="default" r:id="rId109"/>
          <w:footerReference w:type="first" r:id="rId110"/>
          <w:pgSz w:w="11900" w:h="16840"/>
          <w:pgMar w:top="1440" w:right="1440" w:bottom="1440" w:left="1440" w:header="720" w:footer="720" w:gutter="0"/>
          <w:cols w:space="720"/>
          <w:docGrid w:linePitch="360"/>
        </w:sectPr>
      </w:pPr>
      <w:r w:rsidRPr="00E00C4B">
        <w:rPr>
          <w:rFonts w:asciiTheme="majorHAnsi" w:hAnsiTheme="majorHAnsi" w:cstheme="majorHAnsi"/>
          <w:lang w:val="en-US"/>
        </w:rPr>
        <w:t xml:space="preserve">A comparative review of the data revealed marked growth in elementary completion rates, with a median total elementary completion rate of almost 84% for the aforementioned periods (Table 11). </w:t>
      </w:r>
    </w:p>
    <w:p w14:paraId="69262575" w14:textId="7DDF12A3" w:rsidR="008D0CAD" w:rsidRPr="00AC648E" w:rsidRDefault="008D0CAD" w:rsidP="00796BFA">
      <w:pPr>
        <w:spacing w:before="100" w:beforeAutospacing="1" w:after="100" w:afterAutospacing="1" w:line="360" w:lineRule="auto"/>
        <w:rPr>
          <w:rFonts w:asciiTheme="majorHAnsi" w:eastAsiaTheme="minorHAnsi" w:hAnsiTheme="majorHAnsi" w:cstheme="majorHAnsi"/>
          <w:b/>
          <w:bCs/>
          <w:i/>
          <w:iCs/>
          <w:color w:val="44546A" w:themeColor="text2"/>
          <w:sz w:val="22"/>
          <w:szCs w:val="22"/>
          <w:lang w:val="en-US"/>
        </w:rPr>
      </w:pPr>
      <w:bookmarkStart w:id="566" w:name="_Toc16524130"/>
      <w:bookmarkStart w:id="567" w:name="_Toc71616577"/>
      <w:r w:rsidRPr="00AC648E">
        <w:rPr>
          <w:rFonts w:asciiTheme="majorHAnsi" w:eastAsiaTheme="minorHAnsi" w:hAnsiTheme="majorHAnsi" w:cstheme="majorHAnsi"/>
          <w:i/>
          <w:iCs/>
          <w:color w:val="44546A" w:themeColor="text2"/>
          <w:sz w:val="22"/>
          <w:szCs w:val="22"/>
          <w:lang w:val="en-US"/>
        </w:rPr>
        <w:t xml:space="preserve">Figure </w:t>
      </w:r>
      <w:r w:rsidRPr="00AC648E">
        <w:rPr>
          <w:rFonts w:asciiTheme="majorHAnsi" w:eastAsiaTheme="minorHAnsi" w:hAnsiTheme="majorHAnsi" w:cstheme="majorHAnsi"/>
          <w:i/>
          <w:iCs/>
          <w:color w:val="44546A" w:themeColor="text2"/>
          <w:sz w:val="22"/>
          <w:szCs w:val="22"/>
          <w:lang w:val="en-US"/>
        </w:rPr>
        <w:fldChar w:fldCharType="begin"/>
      </w:r>
      <w:r w:rsidRPr="00AC648E">
        <w:rPr>
          <w:rFonts w:asciiTheme="majorHAnsi" w:eastAsiaTheme="minorHAnsi" w:hAnsiTheme="majorHAnsi" w:cstheme="majorHAnsi"/>
          <w:i/>
          <w:iCs/>
          <w:color w:val="44546A" w:themeColor="text2"/>
          <w:sz w:val="22"/>
          <w:szCs w:val="22"/>
          <w:lang w:val="en-US"/>
        </w:rPr>
        <w:instrText xml:space="preserve"> SEQ Figure \* ARABIC </w:instrText>
      </w:r>
      <w:r w:rsidRPr="00AC648E">
        <w:rPr>
          <w:rFonts w:asciiTheme="majorHAnsi" w:eastAsiaTheme="minorHAnsi" w:hAnsiTheme="majorHAnsi" w:cstheme="majorHAnsi"/>
          <w:i/>
          <w:iCs/>
          <w:color w:val="44546A" w:themeColor="text2"/>
          <w:sz w:val="22"/>
          <w:szCs w:val="22"/>
          <w:lang w:val="en-US"/>
        </w:rPr>
        <w:fldChar w:fldCharType="separate"/>
      </w:r>
      <w:r w:rsidR="00D6133D">
        <w:rPr>
          <w:rFonts w:asciiTheme="majorHAnsi" w:eastAsiaTheme="minorHAnsi" w:hAnsiTheme="majorHAnsi" w:cstheme="majorHAnsi"/>
          <w:i/>
          <w:iCs/>
          <w:noProof/>
          <w:color w:val="44546A" w:themeColor="text2"/>
          <w:sz w:val="22"/>
          <w:szCs w:val="22"/>
          <w:lang w:val="en-US"/>
        </w:rPr>
        <w:t>50</w:t>
      </w:r>
      <w:r w:rsidRPr="00AC648E">
        <w:rPr>
          <w:rFonts w:asciiTheme="majorHAnsi" w:eastAsiaTheme="minorHAnsi" w:hAnsiTheme="majorHAnsi" w:cstheme="majorHAnsi"/>
          <w:i/>
          <w:iCs/>
          <w:color w:val="44546A" w:themeColor="text2"/>
          <w:sz w:val="22"/>
          <w:szCs w:val="22"/>
          <w:lang w:val="en-US"/>
        </w:rPr>
        <w:fldChar w:fldCharType="end"/>
      </w:r>
      <w:r w:rsidRPr="00AC648E">
        <w:rPr>
          <w:rFonts w:asciiTheme="majorHAnsi" w:eastAsiaTheme="minorHAnsi" w:hAnsiTheme="majorHAnsi" w:cstheme="majorHAnsi"/>
          <w:i/>
          <w:iCs/>
          <w:color w:val="44546A" w:themeColor="text2"/>
          <w:sz w:val="22"/>
          <w:szCs w:val="22"/>
          <w:lang w:val="en-US"/>
        </w:rPr>
        <w:t>. Overall Net Enrolment Rate by EOPE Study Regions and Divisions and by Sex, (%), SY2013-2014 (Baseline)</w:t>
      </w:r>
      <w:bookmarkEnd w:id="566"/>
      <w:bookmarkEnd w:id="567"/>
    </w:p>
    <w:p w14:paraId="7777D836" w14:textId="77777777" w:rsidR="008D0CAD" w:rsidRPr="0061305F" w:rsidRDefault="008D0CAD" w:rsidP="00796BFA">
      <w:pPr>
        <w:spacing w:before="100" w:beforeAutospacing="1" w:after="100" w:afterAutospacing="1" w:line="360" w:lineRule="auto"/>
        <w:rPr>
          <w:lang w:val="en-US"/>
        </w:rPr>
      </w:pPr>
      <w:r w:rsidRPr="0061305F">
        <w:rPr>
          <w:noProof/>
          <w:lang w:val="en-AU" w:eastAsia="en-AU"/>
        </w:rPr>
        <w:drawing>
          <wp:inline distT="0" distB="0" distL="0" distR="0" wp14:anchorId="4909E62C" wp14:editId="0599D97B">
            <wp:extent cx="7579895" cy="2464596"/>
            <wp:effectExtent l="0" t="0" r="2540" b="0"/>
            <wp:docPr id="107" name="Picture 107" descr="Bar graph of overall net enrolment rate by EOPE Study Regions and Divisions and by Sex, for school year 2013-2014. Higher for females than males. Highest figures from Cagayan de Oro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Bar graph of overall net enrolment rate by EOPE Study Regions and Divisions and by Sex, for school year 2013-2014. Higher for females than males. Highest figures from Cagayan de Oro City."/>
                    <pic:cNvPicPr/>
                  </pic:nvPicPr>
                  <pic:blipFill rotWithShape="1">
                    <a:blip r:embed="rId111" cstate="print">
                      <a:extLst>
                        <a:ext uri="{28A0092B-C50C-407E-A947-70E740481C1C}">
                          <a14:useLocalDpi xmlns:a14="http://schemas.microsoft.com/office/drawing/2010/main" val="0"/>
                        </a:ext>
                      </a:extLst>
                    </a:blip>
                    <a:srcRect l="1991" t="7619" r="3356" b="38073"/>
                    <a:stretch/>
                  </pic:blipFill>
                  <pic:spPr bwMode="auto">
                    <a:xfrm>
                      <a:off x="0" y="0"/>
                      <a:ext cx="7656316" cy="2489444"/>
                    </a:xfrm>
                    <a:prstGeom prst="rect">
                      <a:avLst/>
                    </a:prstGeom>
                    <a:ln>
                      <a:noFill/>
                    </a:ln>
                    <a:extLst>
                      <a:ext uri="{53640926-AAD7-44D8-BBD7-CCE9431645EC}">
                        <a14:shadowObscured xmlns:a14="http://schemas.microsoft.com/office/drawing/2010/main"/>
                      </a:ext>
                    </a:extLst>
                  </pic:spPr>
                </pic:pic>
              </a:graphicData>
            </a:graphic>
          </wp:inline>
        </w:drawing>
      </w:r>
    </w:p>
    <w:p w14:paraId="4BAE803C" w14:textId="77777777" w:rsidR="008D0CAD" w:rsidRPr="0061305F" w:rsidRDefault="008D0CAD" w:rsidP="00796BFA">
      <w:pPr>
        <w:spacing w:before="100" w:beforeAutospacing="1" w:after="100" w:afterAutospacing="1" w:line="360" w:lineRule="auto"/>
        <w:rPr>
          <w:rFonts w:asciiTheme="majorHAnsi" w:eastAsiaTheme="minorHAnsi" w:hAnsiTheme="majorHAnsi" w:cstheme="majorHAnsi"/>
          <w:i/>
          <w:iCs/>
          <w:color w:val="44546A" w:themeColor="text2"/>
          <w:lang w:val="en-US"/>
        </w:rPr>
      </w:pPr>
    </w:p>
    <w:p w14:paraId="007A57F1" w14:textId="435E65BA" w:rsidR="008D0CAD" w:rsidRPr="00AC648E" w:rsidRDefault="008D0CAD" w:rsidP="00385784">
      <w:pPr>
        <w:pageBreakBefore/>
        <w:spacing w:before="100" w:beforeAutospacing="1" w:after="100" w:afterAutospacing="1" w:line="360" w:lineRule="auto"/>
        <w:rPr>
          <w:rFonts w:asciiTheme="majorHAnsi" w:eastAsiaTheme="minorHAnsi" w:hAnsiTheme="majorHAnsi" w:cstheme="majorHAnsi"/>
          <w:b/>
          <w:bCs/>
          <w:i/>
          <w:iCs/>
          <w:color w:val="44546A" w:themeColor="text2"/>
          <w:sz w:val="22"/>
          <w:szCs w:val="22"/>
          <w:lang w:val="en-US"/>
        </w:rPr>
      </w:pPr>
      <w:bookmarkStart w:id="568" w:name="_Toc16524131"/>
      <w:bookmarkStart w:id="569" w:name="_Toc71616578"/>
      <w:r w:rsidRPr="00AC648E">
        <w:rPr>
          <w:rFonts w:asciiTheme="majorHAnsi" w:eastAsiaTheme="minorHAnsi" w:hAnsiTheme="majorHAnsi" w:cstheme="majorHAnsi"/>
          <w:i/>
          <w:iCs/>
          <w:color w:val="44546A" w:themeColor="text2"/>
          <w:sz w:val="22"/>
          <w:szCs w:val="22"/>
          <w:lang w:val="en-US"/>
        </w:rPr>
        <w:t xml:space="preserve">Figure </w:t>
      </w:r>
      <w:r w:rsidRPr="00AC648E">
        <w:rPr>
          <w:rFonts w:asciiTheme="majorHAnsi" w:eastAsiaTheme="minorHAnsi" w:hAnsiTheme="majorHAnsi" w:cstheme="majorHAnsi"/>
          <w:i/>
          <w:iCs/>
          <w:color w:val="44546A" w:themeColor="text2"/>
          <w:sz w:val="22"/>
          <w:szCs w:val="22"/>
          <w:lang w:val="en-US"/>
        </w:rPr>
        <w:fldChar w:fldCharType="begin"/>
      </w:r>
      <w:r w:rsidRPr="00AC648E">
        <w:rPr>
          <w:rFonts w:asciiTheme="majorHAnsi" w:eastAsiaTheme="minorHAnsi" w:hAnsiTheme="majorHAnsi" w:cstheme="majorHAnsi"/>
          <w:i/>
          <w:iCs/>
          <w:color w:val="44546A" w:themeColor="text2"/>
          <w:sz w:val="22"/>
          <w:szCs w:val="22"/>
          <w:lang w:val="en-US"/>
        </w:rPr>
        <w:instrText xml:space="preserve"> SEQ Figure \* ARABIC </w:instrText>
      </w:r>
      <w:r w:rsidRPr="00AC648E">
        <w:rPr>
          <w:rFonts w:asciiTheme="majorHAnsi" w:eastAsiaTheme="minorHAnsi" w:hAnsiTheme="majorHAnsi" w:cstheme="majorHAnsi"/>
          <w:i/>
          <w:iCs/>
          <w:color w:val="44546A" w:themeColor="text2"/>
          <w:sz w:val="22"/>
          <w:szCs w:val="22"/>
          <w:lang w:val="en-US"/>
        </w:rPr>
        <w:fldChar w:fldCharType="separate"/>
      </w:r>
      <w:r w:rsidR="00D6133D">
        <w:rPr>
          <w:rFonts w:asciiTheme="majorHAnsi" w:eastAsiaTheme="minorHAnsi" w:hAnsiTheme="majorHAnsi" w:cstheme="majorHAnsi"/>
          <w:i/>
          <w:iCs/>
          <w:noProof/>
          <w:color w:val="44546A" w:themeColor="text2"/>
          <w:sz w:val="22"/>
          <w:szCs w:val="22"/>
          <w:lang w:val="en-US"/>
        </w:rPr>
        <w:t>51</w:t>
      </w:r>
      <w:r w:rsidRPr="00AC648E">
        <w:rPr>
          <w:rFonts w:asciiTheme="majorHAnsi" w:eastAsiaTheme="minorHAnsi" w:hAnsiTheme="majorHAnsi" w:cstheme="majorHAnsi"/>
          <w:i/>
          <w:iCs/>
          <w:color w:val="44546A" w:themeColor="text2"/>
          <w:sz w:val="22"/>
          <w:szCs w:val="22"/>
          <w:lang w:val="en-US"/>
        </w:rPr>
        <w:fldChar w:fldCharType="end"/>
      </w:r>
      <w:r w:rsidRPr="00AC648E">
        <w:rPr>
          <w:rFonts w:asciiTheme="majorHAnsi" w:eastAsiaTheme="minorHAnsi" w:hAnsiTheme="majorHAnsi" w:cstheme="majorHAnsi"/>
          <w:i/>
          <w:iCs/>
          <w:color w:val="44546A" w:themeColor="text2"/>
          <w:sz w:val="22"/>
          <w:szCs w:val="22"/>
          <w:lang w:val="en-US"/>
        </w:rPr>
        <w:t>. Overall Net Enrolment Rate Overall by Divisions under EOPE Study and by Sex, (%), SY2017-2018 (Endline)</w:t>
      </w:r>
      <w:bookmarkEnd w:id="568"/>
      <w:bookmarkEnd w:id="569"/>
    </w:p>
    <w:p w14:paraId="708C595E" w14:textId="77777777" w:rsidR="008D0CAD" w:rsidRPr="0061305F" w:rsidRDefault="008D0CAD" w:rsidP="00796BFA">
      <w:pPr>
        <w:spacing w:before="100" w:beforeAutospacing="1" w:after="100" w:afterAutospacing="1" w:line="360" w:lineRule="auto"/>
        <w:rPr>
          <w:lang w:val="en-US"/>
        </w:rPr>
      </w:pPr>
      <w:r w:rsidRPr="0061305F">
        <w:rPr>
          <w:noProof/>
          <w:lang w:val="en-AU" w:eastAsia="en-AU"/>
        </w:rPr>
        <w:drawing>
          <wp:inline distT="0" distB="0" distL="0" distR="0" wp14:anchorId="15905396" wp14:editId="072A5069">
            <wp:extent cx="8325853" cy="2836853"/>
            <wp:effectExtent l="0" t="0" r="5715" b="0"/>
            <wp:docPr id="108" name="Picture 108" descr="Bar graph of overall net enrolment rate by Divisions under the EOPE Study and by Sex, for school year 2017-2018. Higher for Females than Males; Highest results from Cagayan de Oro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Bar graph of overall net enrolment rate by Divisions under the EOPE Study and by Sex, for school year 2017-2018. Higher for Females than Males; Highest results from Cagayan de Oro City."/>
                    <pic:cNvPicPr/>
                  </pic:nvPicPr>
                  <pic:blipFill rotWithShape="1">
                    <a:blip r:embed="rId112" cstate="print">
                      <a:extLst>
                        <a:ext uri="{28A0092B-C50C-407E-A947-70E740481C1C}">
                          <a14:useLocalDpi xmlns:a14="http://schemas.microsoft.com/office/drawing/2010/main" val="0"/>
                        </a:ext>
                      </a:extLst>
                    </a:blip>
                    <a:srcRect l="1299" t="6927" r="4496" b="37792"/>
                    <a:stretch/>
                  </pic:blipFill>
                  <pic:spPr bwMode="auto">
                    <a:xfrm>
                      <a:off x="0" y="0"/>
                      <a:ext cx="8364072" cy="2849875"/>
                    </a:xfrm>
                    <a:prstGeom prst="rect">
                      <a:avLst/>
                    </a:prstGeom>
                    <a:ln>
                      <a:noFill/>
                    </a:ln>
                    <a:extLst>
                      <a:ext uri="{53640926-AAD7-44D8-BBD7-CCE9431645EC}">
                        <a14:shadowObscured xmlns:a14="http://schemas.microsoft.com/office/drawing/2010/main"/>
                      </a:ext>
                    </a:extLst>
                  </pic:spPr>
                </pic:pic>
              </a:graphicData>
            </a:graphic>
          </wp:inline>
        </w:drawing>
      </w:r>
    </w:p>
    <w:p w14:paraId="534D5A6B" w14:textId="77777777" w:rsidR="008D0CAD" w:rsidRDefault="008D0CAD" w:rsidP="00796BFA">
      <w:pPr>
        <w:spacing w:before="100" w:beforeAutospacing="1" w:after="100" w:afterAutospacing="1" w:line="360" w:lineRule="auto"/>
        <w:rPr>
          <w:lang w:val="en-US"/>
        </w:rPr>
        <w:sectPr w:rsidR="008D0CAD" w:rsidSect="009C64E9">
          <w:pgSz w:w="15840" w:h="12240" w:orient="landscape"/>
          <w:pgMar w:top="720" w:right="720" w:bottom="720" w:left="720" w:header="720" w:footer="720" w:gutter="0"/>
          <w:cols w:space="720"/>
          <w:docGrid w:linePitch="360"/>
        </w:sectPr>
      </w:pPr>
    </w:p>
    <w:p w14:paraId="59929635" w14:textId="7D507459" w:rsidR="008D0CAD" w:rsidRPr="00931ED4" w:rsidRDefault="008D0CAD" w:rsidP="00796BFA">
      <w:pPr>
        <w:spacing w:before="100" w:beforeAutospacing="1" w:after="100" w:afterAutospacing="1" w:line="360" w:lineRule="auto"/>
        <w:rPr>
          <w:rFonts w:asciiTheme="majorHAnsi" w:eastAsiaTheme="minorHAnsi" w:hAnsiTheme="majorHAnsi" w:cstheme="majorHAnsi"/>
          <w:i/>
          <w:iCs/>
          <w:color w:val="44546A" w:themeColor="text2"/>
          <w:sz w:val="22"/>
          <w:szCs w:val="22"/>
          <w:lang w:val="en-US"/>
        </w:rPr>
      </w:pPr>
      <w:bookmarkStart w:id="570" w:name="_Toc16524193"/>
      <w:bookmarkStart w:id="571" w:name="_Toc71616656"/>
      <w:r w:rsidRPr="00931ED4">
        <w:rPr>
          <w:rFonts w:asciiTheme="majorHAnsi" w:eastAsiaTheme="minorHAnsi" w:hAnsiTheme="majorHAnsi" w:cstheme="majorHAnsi"/>
          <w:i/>
          <w:iCs/>
          <w:color w:val="44546A" w:themeColor="text2"/>
          <w:sz w:val="22"/>
          <w:szCs w:val="22"/>
          <w:lang w:val="en-US"/>
        </w:rPr>
        <w:t xml:space="preserve">Table </w:t>
      </w:r>
      <w:r w:rsidRPr="00931ED4">
        <w:rPr>
          <w:rFonts w:asciiTheme="majorHAnsi" w:eastAsiaTheme="minorHAnsi" w:hAnsiTheme="majorHAnsi" w:cstheme="majorHAnsi"/>
          <w:i/>
          <w:iCs/>
          <w:color w:val="44546A" w:themeColor="text2"/>
          <w:sz w:val="22"/>
          <w:szCs w:val="22"/>
          <w:lang w:val="en-US"/>
        </w:rPr>
        <w:fldChar w:fldCharType="begin"/>
      </w:r>
      <w:r w:rsidRPr="00931ED4">
        <w:rPr>
          <w:rFonts w:asciiTheme="majorHAnsi" w:eastAsiaTheme="minorHAnsi" w:hAnsiTheme="majorHAnsi" w:cstheme="majorHAnsi"/>
          <w:i/>
          <w:iCs/>
          <w:color w:val="44546A" w:themeColor="text2"/>
          <w:sz w:val="22"/>
          <w:szCs w:val="22"/>
          <w:lang w:val="en-US"/>
        </w:rPr>
        <w:instrText xml:space="preserve"> SEQ Table \* ARABIC </w:instrText>
      </w:r>
      <w:r w:rsidRPr="00931ED4">
        <w:rPr>
          <w:rFonts w:asciiTheme="majorHAnsi" w:eastAsiaTheme="minorHAnsi" w:hAnsiTheme="majorHAnsi" w:cstheme="majorHAnsi"/>
          <w:i/>
          <w:iCs/>
          <w:color w:val="44546A" w:themeColor="text2"/>
          <w:sz w:val="22"/>
          <w:szCs w:val="22"/>
          <w:lang w:val="en-US"/>
        </w:rPr>
        <w:fldChar w:fldCharType="separate"/>
      </w:r>
      <w:r w:rsidR="00D6133D">
        <w:rPr>
          <w:rFonts w:asciiTheme="majorHAnsi" w:eastAsiaTheme="minorHAnsi" w:hAnsiTheme="majorHAnsi" w:cstheme="majorHAnsi"/>
          <w:i/>
          <w:iCs/>
          <w:noProof/>
          <w:color w:val="44546A" w:themeColor="text2"/>
          <w:sz w:val="22"/>
          <w:szCs w:val="22"/>
          <w:lang w:val="en-US"/>
        </w:rPr>
        <w:t>65</w:t>
      </w:r>
      <w:r w:rsidRPr="00931ED4">
        <w:rPr>
          <w:rFonts w:asciiTheme="majorHAnsi" w:eastAsiaTheme="minorHAnsi" w:hAnsiTheme="majorHAnsi" w:cstheme="majorHAnsi"/>
          <w:i/>
          <w:iCs/>
          <w:color w:val="44546A" w:themeColor="text2"/>
          <w:sz w:val="22"/>
          <w:szCs w:val="22"/>
          <w:lang w:val="en-US"/>
        </w:rPr>
        <w:fldChar w:fldCharType="end"/>
      </w:r>
      <w:r w:rsidRPr="00931ED4">
        <w:rPr>
          <w:rFonts w:asciiTheme="majorHAnsi" w:eastAsiaTheme="minorHAnsi" w:hAnsiTheme="majorHAnsi" w:cstheme="majorHAnsi"/>
          <w:i/>
          <w:iCs/>
          <w:color w:val="44546A" w:themeColor="text2"/>
          <w:sz w:val="22"/>
          <w:szCs w:val="22"/>
          <w:lang w:val="en-US"/>
        </w:rPr>
        <w:t xml:space="preserve">. </w:t>
      </w:r>
      <w:r w:rsidRPr="00931ED4">
        <w:rPr>
          <w:rFonts w:asciiTheme="majorHAnsi" w:eastAsiaTheme="minorHAnsi" w:hAnsiTheme="majorHAnsi" w:cstheme="majorHAnsi"/>
          <w:bCs/>
          <w:i/>
          <w:iCs/>
          <w:color w:val="44546A" w:themeColor="text2"/>
          <w:sz w:val="22"/>
          <w:szCs w:val="22"/>
          <w:lang w:val="en-US"/>
        </w:rPr>
        <w:t>Elementary Completion Rate in BEST Regions, SY 2011-12 to 2017-18</w:t>
      </w:r>
      <w:bookmarkEnd w:id="570"/>
      <w:bookmarkEnd w:id="571"/>
    </w:p>
    <w:tbl>
      <w:tblPr>
        <w:tblStyle w:val="TableGrid11"/>
        <w:tblW w:w="8860" w:type="dxa"/>
        <w:tblLook w:val="04A0" w:firstRow="1" w:lastRow="0" w:firstColumn="1" w:lastColumn="0" w:noHBand="0" w:noVBand="1"/>
      </w:tblPr>
      <w:tblGrid>
        <w:gridCol w:w="2140"/>
        <w:gridCol w:w="960"/>
        <w:gridCol w:w="960"/>
        <w:gridCol w:w="960"/>
        <w:gridCol w:w="960"/>
        <w:gridCol w:w="960"/>
        <w:gridCol w:w="960"/>
        <w:gridCol w:w="960"/>
      </w:tblGrid>
      <w:tr w:rsidR="008D0CAD" w:rsidRPr="004B064D" w14:paraId="35E0411E" w14:textId="77777777" w:rsidTr="00F4751F">
        <w:trPr>
          <w:trHeight w:val="270"/>
          <w:tblHeader/>
        </w:trPr>
        <w:tc>
          <w:tcPr>
            <w:tcW w:w="2140" w:type="dxa"/>
            <w:noWrap/>
            <w:hideMark/>
          </w:tcPr>
          <w:p w14:paraId="67995933" w14:textId="77777777" w:rsidR="008D0CAD" w:rsidRPr="004B064D" w:rsidRDefault="008D0CAD" w:rsidP="00796BFA">
            <w:pPr>
              <w:spacing w:before="100" w:beforeAutospacing="1" w:after="100" w:afterAutospacing="1" w:line="360" w:lineRule="auto"/>
              <w:rPr>
                <w:rFonts w:asciiTheme="majorHAnsi" w:hAnsiTheme="majorHAnsi" w:cstheme="majorHAnsi"/>
                <w:b/>
                <w:bCs/>
                <w:sz w:val="20"/>
                <w:szCs w:val="20"/>
              </w:rPr>
            </w:pPr>
            <w:r w:rsidRPr="004B064D">
              <w:rPr>
                <w:rFonts w:asciiTheme="majorHAnsi" w:hAnsiTheme="majorHAnsi" w:cstheme="majorHAnsi"/>
                <w:b/>
                <w:bCs/>
                <w:sz w:val="20"/>
                <w:szCs w:val="20"/>
              </w:rPr>
              <w:t>Region</w:t>
            </w:r>
          </w:p>
        </w:tc>
        <w:tc>
          <w:tcPr>
            <w:tcW w:w="960" w:type="dxa"/>
            <w:noWrap/>
            <w:hideMark/>
          </w:tcPr>
          <w:p w14:paraId="00FFF397" w14:textId="77777777" w:rsidR="008D0CAD" w:rsidRPr="004B064D" w:rsidRDefault="008D0CAD" w:rsidP="00796BFA">
            <w:pPr>
              <w:spacing w:before="100" w:beforeAutospacing="1" w:after="100" w:afterAutospacing="1" w:line="360" w:lineRule="auto"/>
              <w:rPr>
                <w:rFonts w:asciiTheme="majorHAnsi" w:hAnsiTheme="majorHAnsi" w:cstheme="majorHAnsi"/>
                <w:b/>
                <w:bCs/>
                <w:sz w:val="20"/>
                <w:szCs w:val="20"/>
              </w:rPr>
            </w:pPr>
            <w:r w:rsidRPr="004B064D">
              <w:rPr>
                <w:rFonts w:asciiTheme="majorHAnsi" w:hAnsiTheme="majorHAnsi" w:cstheme="majorHAnsi"/>
                <w:b/>
                <w:bCs/>
                <w:sz w:val="20"/>
                <w:szCs w:val="20"/>
              </w:rPr>
              <w:t>2011-12</w:t>
            </w:r>
          </w:p>
        </w:tc>
        <w:tc>
          <w:tcPr>
            <w:tcW w:w="960" w:type="dxa"/>
            <w:noWrap/>
            <w:hideMark/>
          </w:tcPr>
          <w:p w14:paraId="76309735" w14:textId="77777777" w:rsidR="008D0CAD" w:rsidRPr="004B064D" w:rsidRDefault="008D0CAD" w:rsidP="00796BFA">
            <w:pPr>
              <w:spacing w:before="100" w:beforeAutospacing="1" w:after="100" w:afterAutospacing="1" w:line="360" w:lineRule="auto"/>
              <w:rPr>
                <w:rFonts w:asciiTheme="majorHAnsi" w:hAnsiTheme="majorHAnsi" w:cstheme="majorHAnsi"/>
                <w:b/>
                <w:bCs/>
                <w:sz w:val="20"/>
                <w:szCs w:val="20"/>
              </w:rPr>
            </w:pPr>
            <w:r w:rsidRPr="004B064D">
              <w:rPr>
                <w:rFonts w:asciiTheme="majorHAnsi" w:hAnsiTheme="majorHAnsi" w:cstheme="majorHAnsi"/>
                <w:b/>
                <w:bCs/>
                <w:sz w:val="20"/>
                <w:szCs w:val="20"/>
              </w:rPr>
              <w:t>2012-13</w:t>
            </w:r>
          </w:p>
        </w:tc>
        <w:tc>
          <w:tcPr>
            <w:tcW w:w="960" w:type="dxa"/>
            <w:noWrap/>
            <w:hideMark/>
          </w:tcPr>
          <w:p w14:paraId="4125C4AA" w14:textId="77777777" w:rsidR="008D0CAD" w:rsidRPr="004B064D" w:rsidRDefault="008D0CAD" w:rsidP="00796BFA">
            <w:pPr>
              <w:spacing w:before="100" w:beforeAutospacing="1" w:after="100" w:afterAutospacing="1" w:line="360" w:lineRule="auto"/>
              <w:rPr>
                <w:rFonts w:asciiTheme="majorHAnsi" w:hAnsiTheme="majorHAnsi" w:cstheme="majorHAnsi"/>
                <w:b/>
                <w:bCs/>
                <w:sz w:val="20"/>
                <w:szCs w:val="20"/>
              </w:rPr>
            </w:pPr>
            <w:r w:rsidRPr="004B064D">
              <w:rPr>
                <w:rFonts w:asciiTheme="majorHAnsi" w:hAnsiTheme="majorHAnsi" w:cstheme="majorHAnsi"/>
                <w:b/>
                <w:bCs/>
                <w:sz w:val="20"/>
                <w:szCs w:val="20"/>
              </w:rPr>
              <w:t>2013-14</w:t>
            </w:r>
          </w:p>
        </w:tc>
        <w:tc>
          <w:tcPr>
            <w:tcW w:w="960" w:type="dxa"/>
            <w:noWrap/>
            <w:hideMark/>
          </w:tcPr>
          <w:p w14:paraId="60F68F3D" w14:textId="77777777" w:rsidR="008D0CAD" w:rsidRPr="004B064D" w:rsidRDefault="008D0CAD" w:rsidP="00796BFA">
            <w:pPr>
              <w:spacing w:before="100" w:beforeAutospacing="1" w:after="100" w:afterAutospacing="1" w:line="360" w:lineRule="auto"/>
              <w:rPr>
                <w:rFonts w:asciiTheme="majorHAnsi" w:hAnsiTheme="majorHAnsi" w:cstheme="majorHAnsi"/>
                <w:b/>
                <w:bCs/>
                <w:sz w:val="20"/>
                <w:szCs w:val="20"/>
              </w:rPr>
            </w:pPr>
            <w:r w:rsidRPr="004B064D">
              <w:rPr>
                <w:rFonts w:asciiTheme="majorHAnsi" w:hAnsiTheme="majorHAnsi" w:cstheme="majorHAnsi"/>
                <w:b/>
                <w:bCs/>
                <w:sz w:val="20"/>
                <w:szCs w:val="20"/>
              </w:rPr>
              <w:t>2014-15</w:t>
            </w:r>
          </w:p>
        </w:tc>
        <w:tc>
          <w:tcPr>
            <w:tcW w:w="960" w:type="dxa"/>
            <w:noWrap/>
            <w:hideMark/>
          </w:tcPr>
          <w:p w14:paraId="6DE1FD0F" w14:textId="77777777" w:rsidR="008D0CAD" w:rsidRPr="004B064D" w:rsidRDefault="008D0CAD" w:rsidP="00796BFA">
            <w:pPr>
              <w:spacing w:before="100" w:beforeAutospacing="1" w:after="100" w:afterAutospacing="1" w:line="360" w:lineRule="auto"/>
              <w:rPr>
                <w:rFonts w:asciiTheme="majorHAnsi" w:hAnsiTheme="majorHAnsi" w:cstheme="majorHAnsi"/>
                <w:b/>
                <w:bCs/>
                <w:sz w:val="20"/>
                <w:szCs w:val="20"/>
              </w:rPr>
            </w:pPr>
            <w:r w:rsidRPr="004B064D">
              <w:rPr>
                <w:rFonts w:asciiTheme="majorHAnsi" w:hAnsiTheme="majorHAnsi" w:cstheme="majorHAnsi"/>
                <w:b/>
                <w:bCs/>
                <w:sz w:val="20"/>
                <w:szCs w:val="20"/>
              </w:rPr>
              <w:t>2015-16</w:t>
            </w:r>
          </w:p>
        </w:tc>
        <w:tc>
          <w:tcPr>
            <w:tcW w:w="960" w:type="dxa"/>
            <w:noWrap/>
            <w:hideMark/>
          </w:tcPr>
          <w:p w14:paraId="11B629DB" w14:textId="77777777" w:rsidR="008D0CAD" w:rsidRPr="004B064D" w:rsidRDefault="008D0CAD" w:rsidP="00796BFA">
            <w:pPr>
              <w:spacing w:before="100" w:beforeAutospacing="1" w:after="100" w:afterAutospacing="1" w:line="360" w:lineRule="auto"/>
              <w:rPr>
                <w:rFonts w:asciiTheme="majorHAnsi" w:hAnsiTheme="majorHAnsi" w:cstheme="majorHAnsi"/>
                <w:b/>
                <w:bCs/>
                <w:sz w:val="20"/>
                <w:szCs w:val="20"/>
              </w:rPr>
            </w:pPr>
            <w:r w:rsidRPr="004B064D">
              <w:rPr>
                <w:rFonts w:asciiTheme="majorHAnsi" w:hAnsiTheme="majorHAnsi" w:cstheme="majorHAnsi"/>
                <w:b/>
                <w:bCs/>
                <w:sz w:val="20"/>
                <w:szCs w:val="20"/>
              </w:rPr>
              <w:t>2016-17</w:t>
            </w:r>
          </w:p>
        </w:tc>
        <w:tc>
          <w:tcPr>
            <w:tcW w:w="960" w:type="dxa"/>
            <w:noWrap/>
            <w:hideMark/>
          </w:tcPr>
          <w:p w14:paraId="14705E59" w14:textId="77777777" w:rsidR="008D0CAD" w:rsidRPr="004B064D" w:rsidRDefault="008D0CAD" w:rsidP="00796BFA">
            <w:pPr>
              <w:spacing w:before="100" w:beforeAutospacing="1" w:after="100" w:afterAutospacing="1" w:line="360" w:lineRule="auto"/>
              <w:rPr>
                <w:rFonts w:asciiTheme="majorHAnsi" w:hAnsiTheme="majorHAnsi" w:cstheme="majorHAnsi"/>
                <w:b/>
                <w:bCs/>
                <w:sz w:val="20"/>
                <w:szCs w:val="20"/>
              </w:rPr>
            </w:pPr>
            <w:r w:rsidRPr="004B064D">
              <w:rPr>
                <w:rFonts w:asciiTheme="majorHAnsi" w:hAnsiTheme="majorHAnsi" w:cstheme="majorHAnsi"/>
                <w:b/>
                <w:bCs/>
                <w:sz w:val="20"/>
                <w:szCs w:val="20"/>
              </w:rPr>
              <w:t>2017-18</w:t>
            </w:r>
          </w:p>
        </w:tc>
      </w:tr>
      <w:tr w:rsidR="008D0CAD" w:rsidRPr="00931ED4" w14:paraId="7475F670" w14:textId="77777777" w:rsidTr="00536AA2">
        <w:trPr>
          <w:trHeight w:val="270"/>
        </w:trPr>
        <w:tc>
          <w:tcPr>
            <w:tcW w:w="2140" w:type="dxa"/>
            <w:noWrap/>
            <w:hideMark/>
          </w:tcPr>
          <w:p w14:paraId="772EEBFE" w14:textId="77777777" w:rsidR="008D0CAD" w:rsidRPr="00931ED4" w:rsidRDefault="008D0CAD" w:rsidP="00796BFA">
            <w:pPr>
              <w:spacing w:before="100" w:beforeAutospacing="1" w:after="100" w:afterAutospacing="1" w:line="360" w:lineRule="auto"/>
              <w:rPr>
                <w:rFonts w:asciiTheme="majorHAnsi" w:hAnsiTheme="majorHAnsi" w:cstheme="majorHAnsi"/>
                <w:sz w:val="20"/>
                <w:szCs w:val="20"/>
              </w:rPr>
            </w:pPr>
            <w:r w:rsidRPr="00931ED4">
              <w:rPr>
                <w:rFonts w:asciiTheme="majorHAnsi" w:hAnsiTheme="majorHAnsi" w:cstheme="majorHAnsi"/>
                <w:sz w:val="20"/>
                <w:szCs w:val="20"/>
              </w:rPr>
              <w:t>NCR</w:t>
            </w:r>
          </w:p>
        </w:tc>
        <w:tc>
          <w:tcPr>
            <w:tcW w:w="960" w:type="dxa"/>
            <w:hideMark/>
          </w:tcPr>
          <w:p w14:paraId="5E207625"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78.35%</w:t>
            </w:r>
          </w:p>
        </w:tc>
        <w:tc>
          <w:tcPr>
            <w:tcW w:w="960" w:type="dxa"/>
            <w:hideMark/>
          </w:tcPr>
          <w:p w14:paraId="1E61417C"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77.02%</w:t>
            </w:r>
          </w:p>
        </w:tc>
        <w:tc>
          <w:tcPr>
            <w:tcW w:w="960" w:type="dxa"/>
            <w:hideMark/>
          </w:tcPr>
          <w:p w14:paraId="1419F5EF"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82.44%</w:t>
            </w:r>
          </w:p>
        </w:tc>
        <w:tc>
          <w:tcPr>
            <w:tcW w:w="960" w:type="dxa"/>
            <w:hideMark/>
          </w:tcPr>
          <w:p w14:paraId="42FC9B08"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72.41%</w:t>
            </w:r>
          </w:p>
        </w:tc>
        <w:tc>
          <w:tcPr>
            <w:tcW w:w="960" w:type="dxa"/>
            <w:hideMark/>
          </w:tcPr>
          <w:p w14:paraId="6FD44723"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84.14%</w:t>
            </w:r>
          </w:p>
        </w:tc>
        <w:tc>
          <w:tcPr>
            <w:tcW w:w="960" w:type="dxa"/>
            <w:hideMark/>
          </w:tcPr>
          <w:p w14:paraId="3DBA03A0"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92.42%</w:t>
            </w:r>
          </w:p>
        </w:tc>
        <w:tc>
          <w:tcPr>
            <w:tcW w:w="960" w:type="dxa"/>
            <w:hideMark/>
          </w:tcPr>
          <w:p w14:paraId="2429D8FC"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95.89%</w:t>
            </w:r>
          </w:p>
        </w:tc>
      </w:tr>
      <w:tr w:rsidR="008D0CAD" w:rsidRPr="00931ED4" w14:paraId="5DEC5DA7" w14:textId="77777777" w:rsidTr="00536AA2">
        <w:trPr>
          <w:trHeight w:val="270"/>
        </w:trPr>
        <w:tc>
          <w:tcPr>
            <w:tcW w:w="2140" w:type="dxa"/>
            <w:noWrap/>
            <w:hideMark/>
          </w:tcPr>
          <w:p w14:paraId="6C7C1E0C" w14:textId="77777777" w:rsidR="008D0CAD" w:rsidRPr="00931ED4" w:rsidRDefault="008D0CAD" w:rsidP="00796BFA">
            <w:pPr>
              <w:spacing w:before="100" w:beforeAutospacing="1" w:after="100" w:afterAutospacing="1" w:line="360" w:lineRule="auto"/>
              <w:rPr>
                <w:rFonts w:asciiTheme="majorHAnsi" w:hAnsiTheme="majorHAnsi" w:cstheme="majorHAnsi"/>
                <w:sz w:val="20"/>
                <w:szCs w:val="20"/>
              </w:rPr>
            </w:pPr>
            <w:r w:rsidRPr="00931ED4">
              <w:rPr>
                <w:rFonts w:asciiTheme="majorHAnsi" w:hAnsiTheme="majorHAnsi" w:cstheme="majorHAnsi"/>
                <w:sz w:val="20"/>
                <w:szCs w:val="20"/>
              </w:rPr>
              <w:t>Region V</w:t>
            </w:r>
          </w:p>
        </w:tc>
        <w:tc>
          <w:tcPr>
            <w:tcW w:w="960" w:type="dxa"/>
            <w:hideMark/>
          </w:tcPr>
          <w:p w14:paraId="709999D5"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74.73%</w:t>
            </w:r>
          </w:p>
        </w:tc>
        <w:tc>
          <w:tcPr>
            <w:tcW w:w="960" w:type="dxa"/>
            <w:hideMark/>
          </w:tcPr>
          <w:p w14:paraId="4FAF7ABC"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76.33%</w:t>
            </w:r>
          </w:p>
        </w:tc>
        <w:tc>
          <w:tcPr>
            <w:tcW w:w="960" w:type="dxa"/>
            <w:hideMark/>
          </w:tcPr>
          <w:p w14:paraId="1A046FF7"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85.42%</w:t>
            </w:r>
          </w:p>
        </w:tc>
        <w:tc>
          <w:tcPr>
            <w:tcW w:w="960" w:type="dxa"/>
            <w:hideMark/>
          </w:tcPr>
          <w:p w14:paraId="37481F43"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85.21%</w:t>
            </w:r>
          </w:p>
        </w:tc>
        <w:tc>
          <w:tcPr>
            <w:tcW w:w="960" w:type="dxa"/>
            <w:hideMark/>
          </w:tcPr>
          <w:p w14:paraId="64E42095"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87.46%</w:t>
            </w:r>
          </w:p>
        </w:tc>
        <w:tc>
          <w:tcPr>
            <w:tcW w:w="960" w:type="dxa"/>
            <w:hideMark/>
          </w:tcPr>
          <w:p w14:paraId="1EC2ECC4"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94.46%</w:t>
            </w:r>
          </w:p>
        </w:tc>
        <w:tc>
          <w:tcPr>
            <w:tcW w:w="960" w:type="dxa"/>
            <w:hideMark/>
          </w:tcPr>
          <w:p w14:paraId="3701DF9D"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94.02%</w:t>
            </w:r>
          </w:p>
        </w:tc>
      </w:tr>
      <w:tr w:rsidR="008D0CAD" w:rsidRPr="00931ED4" w14:paraId="5834CD97" w14:textId="77777777" w:rsidTr="00536AA2">
        <w:trPr>
          <w:trHeight w:val="270"/>
        </w:trPr>
        <w:tc>
          <w:tcPr>
            <w:tcW w:w="2140" w:type="dxa"/>
            <w:noWrap/>
            <w:hideMark/>
          </w:tcPr>
          <w:p w14:paraId="4FD1C4C8" w14:textId="77777777" w:rsidR="008D0CAD" w:rsidRPr="00931ED4" w:rsidRDefault="008D0CAD" w:rsidP="00796BFA">
            <w:pPr>
              <w:spacing w:before="100" w:beforeAutospacing="1" w:after="100" w:afterAutospacing="1" w:line="360" w:lineRule="auto"/>
              <w:rPr>
                <w:rFonts w:asciiTheme="majorHAnsi" w:hAnsiTheme="majorHAnsi" w:cstheme="majorHAnsi"/>
                <w:sz w:val="20"/>
                <w:szCs w:val="20"/>
              </w:rPr>
            </w:pPr>
            <w:r w:rsidRPr="00931ED4">
              <w:rPr>
                <w:rFonts w:asciiTheme="majorHAnsi" w:hAnsiTheme="majorHAnsi" w:cstheme="majorHAnsi"/>
                <w:sz w:val="20"/>
                <w:szCs w:val="20"/>
              </w:rPr>
              <w:t>Region VI</w:t>
            </w:r>
          </w:p>
        </w:tc>
        <w:tc>
          <w:tcPr>
            <w:tcW w:w="960" w:type="dxa"/>
            <w:hideMark/>
          </w:tcPr>
          <w:p w14:paraId="3D7702D3"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73.59%</w:t>
            </w:r>
          </w:p>
        </w:tc>
        <w:tc>
          <w:tcPr>
            <w:tcW w:w="960" w:type="dxa"/>
            <w:hideMark/>
          </w:tcPr>
          <w:p w14:paraId="19B42E26"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76.57%</w:t>
            </w:r>
          </w:p>
        </w:tc>
        <w:tc>
          <w:tcPr>
            <w:tcW w:w="960" w:type="dxa"/>
            <w:hideMark/>
          </w:tcPr>
          <w:p w14:paraId="305B24F3"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85.34%</w:t>
            </w:r>
          </w:p>
        </w:tc>
        <w:tc>
          <w:tcPr>
            <w:tcW w:w="960" w:type="dxa"/>
            <w:hideMark/>
          </w:tcPr>
          <w:p w14:paraId="33A53A25"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89.79%</w:t>
            </w:r>
          </w:p>
        </w:tc>
        <w:tc>
          <w:tcPr>
            <w:tcW w:w="960" w:type="dxa"/>
            <w:hideMark/>
          </w:tcPr>
          <w:p w14:paraId="64B47C4C"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90.47%</w:t>
            </w:r>
          </w:p>
        </w:tc>
        <w:tc>
          <w:tcPr>
            <w:tcW w:w="960" w:type="dxa"/>
            <w:hideMark/>
          </w:tcPr>
          <w:p w14:paraId="7B116E29"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96.67%</w:t>
            </w:r>
          </w:p>
        </w:tc>
        <w:tc>
          <w:tcPr>
            <w:tcW w:w="960" w:type="dxa"/>
            <w:hideMark/>
          </w:tcPr>
          <w:p w14:paraId="66BC1314"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97.50%</w:t>
            </w:r>
          </w:p>
        </w:tc>
      </w:tr>
      <w:tr w:rsidR="008D0CAD" w:rsidRPr="00931ED4" w14:paraId="6465B23C" w14:textId="77777777" w:rsidTr="00536AA2">
        <w:trPr>
          <w:trHeight w:val="270"/>
        </w:trPr>
        <w:tc>
          <w:tcPr>
            <w:tcW w:w="2140" w:type="dxa"/>
            <w:noWrap/>
            <w:hideMark/>
          </w:tcPr>
          <w:p w14:paraId="7CC00633" w14:textId="77777777" w:rsidR="008D0CAD" w:rsidRPr="00931ED4" w:rsidRDefault="008D0CAD" w:rsidP="00796BFA">
            <w:pPr>
              <w:spacing w:before="100" w:beforeAutospacing="1" w:after="100" w:afterAutospacing="1" w:line="360" w:lineRule="auto"/>
              <w:rPr>
                <w:rFonts w:asciiTheme="majorHAnsi" w:hAnsiTheme="majorHAnsi" w:cstheme="majorHAnsi"/>
                <w:sz w:val="20"/>
                <w:szCs w:val="20"/>
              </w:rPr>
            </w:pPr>
            <w:r w:rsidRPr="00931ED4">
              <w:rPr>
                <w:rFonts w:asciiTheme="majorHAnsi" w:hAnsiTheme="majorHAnsi" w:cstheme="majorHAnsi"/>
                <w:sz w:val="20"/>
                <w:szCs w:val="20"/>
              </w:rPr>
              <w:t>Region VII</w:t>
            </w:r>
          </w:p>
        </w:tc>
        <w:tc>
          <w:tcPr>
            <w:tcW w:w="960" w:type="dxa"/>
            <w:hideMark/>
          </w:tcPr>
          <w:p w14:paraId="6DBAC564"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79.50%</w:t>
            </w:r>
          </w:p>
        </w:tc>
        <w:tc>
          <w:tcPr>
            <w:tcW w:w="960" w:type="dxa"/>
            <w:hideMark/>
          </w:tcPr>
          <w:p w14:paraId="313378B4"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79.69%</w:t>
            </w:r>
          </w:p>
        </w:tc>
        <w:tc>
          <w:tcPr>
            <w:tcW w:w="960" w:type="dxa"/>
            <w:hideMark/>
          </w:tcPr>
          <w:p w14:paraId="1EAA501C"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85.33%</w:t>
            </w:r>
          </w:p>
        </w:tc>
        <w:tc>
          <w:tcPr>
            <w:tcW w:w="960" w:type="dxa"/>
            <w:hideMark/>
          </w:tcPr>
          <w:p w14:paraId="06CFF6ED"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86.80%</w:t>
            </w:r>
          </w:p>
        </w:tc>
        <w:tc>
          <w:tcPr>
            <w:tcW w:w="960" w:type="dxa"/>
            <w:hideMark/>
          </w:tcPr>
          <w:p w14:paraId="734090C6"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88.56%</w:t>
            </w:r>
          </w:p>
        </w:tc>
        <w:tc>
          <w:tcPr>
            <w:tcW w:w="960" w:type="dxa"/>
            <w:hideMark/>
          </w:tcPr>
          <w:p w14:paraId="0EFF025B"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95.96%</w:t>
            </w:r>
          </w:p>
        </w:tc>
        <w:tc>
          <w:tcPr>
            <w:tcW w:w="960" w:type="dxa"/>
            <w:hideMark/>
          </w:tcPr>
          <w:p w14:paraId="680A0B70"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96.22%</w:t>
            </w:r>
          </w:p>
        </w:tc>
      </w:tr>
      <w:tr w:rsidR="008D0CAD" w:rsidRPr="00931ED4" w14:paraId="6D2A799C" w14:textId="77777777" w:rsidTr="00536AA2">
        <w:trPr>
          <w:trHeight w:val="270"/>
        </w:trPr>
        <w:tc>
          <w:tcPr>
            <w:tcW w:w="2140" w:type="dxa"/>
            <w:noWrap/>
            <w:hideMark/>
          </w:tcPr>
          <w:p w14:paraId="2C738CE0" w14:textId="77777777" w:rsidR="008D0CAD" w:rsidRPr="00931ED4" w:rsidRDefault="008D0CAD" w:rsidP="00796BFA">
            <w:pPr>
              <w:spacing w:before="100" w:beforeAutospacing="1" w:after="100" w:afterAutospacing="1" w:line="360" w:lineRule="auto"/>
              <w:rPr>
                <w:rFonts w:asciiTheme="majorHAnsi" w:hAnsiTheme="majorHAnsi" w:cstheme="majorHAnsi"/>
                <w:sz w:val="20"/>
                <w:szCs w:val="20"/>
              </w:rPr>
            </w:pPr>
            <w:r w:rsidRPr="00931ED4">
              <w:rPr>
                <w:rFonts w:asciiTheme="majorHAnsi" w:hAnsiTheme="majorHAnsi" w:cstheme="majorHAnsi"/>
                <w:sz w:val="20"/>
                <w:szCs w:val="20"/>
              </w:rPr>
              <w:t>Region VIII</w:t>
            </w:r>
          </w:p>
        </w:tc>
        <w:tc>
          <w:tcPr>
            <w:tcW w:w="960" w:type="dxa"/>
            <w:hideMark/>
          </w:tcPr>
          <w:p w14:paraId="67F0487C"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65.59%</w:t>
            </w:r>
          </w:p>
        </w:tc>
        <w:tc>
          <w:tcPr>
            <w:tcW w:w="960" w:type="dxa"/>
            <w:hideMark/>
          </w:tcPr>
          <w:p w14:paraId="0819B875"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73.48%</w:t>
            </w:r>
          </w:p>
        </w:tc>
        <w:tc>
          <w:tcPr>
            <w:tcW w:w="960" w:type="dxa"/>
            <w:hideMark/>
          </w:tcPr>
          <w:p w14:paraId="5DC61A32"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80.63%</w:t>
            </w:r>
          </w:p>
        </w:tc>
        <w:tc>
          <w:tcPr>
            <w:tcW w:w="960" w:type="dxa"/>
            <w:hideMark/>
          </w:tcPr>
          <w:p w14:paraId="13E7EB20"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85.76%</w:t>
            </w:r>
          </w:p>
        </w:tc>
        <w:tc>
          <w:tcPr>
            <w:tcW w:w="960" w:type="dxa"/>
            <w:hideMark/>
          </w:tcPr>
          <w:p w14:paraId="4333E0E0"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89.28%</w:t>
            </w:r>
          </w:p>
        </w:tc>
        <w:tc>
          <w:tcPr>
            <w:tcW w:w="960" w:type="dxa"/>
            <w:hideMark/>
          </w:tcPr>
          <w:p w14:paraId="3846B855"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94.26%</w:t>
            </w:r>
          </w:p>
        </w:tc>
        <w:tc>
          <w:tcPr>
            <w:tcW w:w="960" w:type="dxa"/>
            <w:hideMark/>
          </w:tcPr>
          <w:p w14:paraId="0C1A6F3F"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96.32%</w:t>
            </w:r>
          </w:p>
        </w:tc>
      </w:tr>
      <w:tr w:rsidR="008D0CAD" w:rsidRPr="00931ED4" w14:paraId="423ACB59" w14:textId="77777777" w:rsidTr="00536AA2">
        <w:trPr>
          <w:trHeight w:val="255"/>
        </w:trPr>
        <w:tc>
          <w:tcPr>
            <w:tcW w:w="2140" w:type="dxa"/>
            <w:noWrap/>
            <w:hideMark/>
          </w:tcPr>
          <w:p w14:paraId="11883895" w14:textId="77777777" w:rsidR="008D0CAD" w:rsidRPr="00931ED4" w:rsidRDefault="008D0CAD" w:rsidP="00796BFA">
            <w:pPr>
              <w:spacing w:before="100" w:beforeAutospacing="1" w:after="100" w:afterAutospacing="1" w:line="360" w:lineRule="auto"/>
              <w:rPr>
                <w:rFonts w:asciiTheme="majorHAnsi" w:hAnsiTheme="majorHAnsi" w:cstheme="majorHAnsi"/>
                <w:sz w:val="20"/>
                <w:szCs w:val="20"/>
              </w:rPr>
            </w:pPr>
            <w:r w:rsidRPr="00931ED4">
              <w:rPr>
                <w:rFonts w:asciiTheme="majorHAnsi" w:hAnsiTheme="majorHAnsi" w:cstheme="majorHAnsi"/>
                <w:sz w:val="20"/>
                <w:szCs w:val="20"/>
              </w:rPr>
              <w:t>Region X</w:t>
            </w:r>
          </w:p>
        </w:tc>
        <w:tc>
          <w:tcPr>
            <w:tcW w:w="960" w:type="dxa"/>
            <w:hideMark/>
          </w:tcPr>
          <w:p w14:paraId="31EF569D"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62.70%</w:t>
            </w:r>
          </w:p>
        </w:tc>
        <w:tc>
          <w:tcPr>
            <w:tcW w:w="960" w:type="dxa"/>
            <w:hideMark/>
          </w:tcPr>
          <w:p w14:paraId="45DA9E80"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61.69%</w:t>
            </w:r>
          </w:p>
        </w:tc>
        <w:tc>
          <w:tcPr>
            <w:tcW w:w="960" w:type="dxa"/>
            <w:hideMark/>
          </w:tcPr>
          <w:p w14:paraId="6EFF69B1"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73.38%</w:t>
            </w:r>
          </w:p>
        </w:tc>
        <w:tc>
          <w:tcPr>
            <w:tcW w:w="960" w:type="dxa"/>
            <w:hideMark/>
          </w:tcPr>
          <w:p w14:paraId="5786994B"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80.98%</w:t>
            </w:r>
          </w:p>
        </w:tc>
        <w:tc>
          <w:tcPr>
            <w:tcW w:w="960" w:type="dxa"/>
            <w:hideMark/>
          </w:tcPr>
          <w:p w14:paraId="61B3C4F6"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85.11%</w:t>
            </w:r>
          </w:p>
        </w:tc>
        <w:tc>
          <w:tcPr>
            <w:tcW w:w="960" w:type="dxa"/>
            <w:hideMark/>
          </w:tcPr>
          <w:p w14:paraId="4897EEBA"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90.47%</w:t>
            </w:r>
          </w:p>
        </w:tc>
        <w:tc>
          <w:tcPr>
            <w:tcW w:w="960" w:type="dxa"/>
            <w:hideMark/>
          </w:tcPr>
          <w:p w14:paraId="07AE3BDA"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98.24%</w:t>
            </w:r>
          </w:p>
        </w:tc>
      </w:tr>
    </w:tbl>
    <w:p w14:paraId="7F71D12D" w14:textId="4C72A2B5" w:rsidR="00BB3189" w:rsidRDefault="00BB3189" w:rsidP="00796BFA">
      <w:pPr>
        <w:spacing w:before="100" w:beforeAutospacing="1" w:after="100" w:afterAutospacing="1" w:line="360" w:lineRule="auto"/>
        <w:rPr>
          <w:rFonts w:asciiTheme="majorHAnsi" w:hAnsiTheme="majorHAnsi" w:cstheme="majorHAnsi"/>
          <w:lang w:val="en-US"/>
        </w:rPr>
      </w:pPr>
      <w:r w:rsidRPr="00931ED4">
        <w:rPr>
          <w:rFonts w:asciiTheme="majorHAnsi" w:hAnsiTheme="majorHAnsi" w:cstheme="majorHAnsi"/>
          <w:i/>
          <w:iCs/>
          <w:sz w:val="20"/>
          <w:szCs w:val="20"/>
        </w:rPr>
        <w:t>Source: EBEIS (Retrieved April 2019)</w:t>
      </w:r>
    </w:p>
    <w:p w14:paraId="391C57AE" w14:textId="76FA67EC" w:rsidR="008D0CAD" w:rsidRPr="00931ED4" w:rsidRDefault="008D0CAD" w:rsidP="00796BFA">
      <w:pPr>
        <w:spacing w:before="100" w:beforeAutospacing="1" w:after="100" w:afterAutospacing="1" w:line="360" w:lineRule="auto"/>
        <w:rPr>
          <w:rFonts w:asciiTheme="majorHAnsi" w:hAnsiTheme="majorHAnsi" w:cstheme="majorHAnsi"/>
          <w:lang w:val="en-US"/>
        </w:rPr>
      </w:pPr>
      <w:r w:rsidRPr="00931ED4">
        <w:rPr>
          <w:rFonts w:asciiTheme="majorHAnsi" w:hAnsiTheme="majorHAnsi" w:cstheme="majorHAnsi"/>
          <w:lang w:val="en-US"/>
        </w:rPr>
        <w:t>Increase is noticeable with only 68.76% for SY2011-2012 rising to 95.35% in SY2017-2018, with learners completing elementary school levels (Figure 20). More female learners completed elementary school, with the an almost universal completion rate of 97.79% as compared to the 93.06% completion rate for males in SY 2017-2018.</w:t>
      </w:r>
    </w:p>
    <w:p w14:paraId="0F5C9325" w14:textId="419FD1D5" w:rsidR="008D0CAD" w:rsidRPr="00931ED4" w:rsidRDefault="00D434EB" w:rsidP="00796BFA">
      <w:pPr>
        <w:spacing w:before="100" w:beforeAutospacing="1" w:after="100" w:afterAutospacing="1" w:line="360" w:lineRule="auto"/>
        <w:ind w:hanging="33"/>
        <w:rPr>
          <w:rFonts w:asciiTheme="majorHAnsi" w:eastAsiaTheme="minorHAnsi" w:hAnsiTheme="majorHAnsi" w:cstheme="majorHAnsi"/>
          <w:b/>
          <w:bCs/>
          <w:i/>
          <w:iCs/>
          <w:color w:val="44546A" w:themeColor="text2"/>
          <w:sz w:val="22"/>
          <w:szCs w:val="22"/>
          <w:lang w:val="en-US"/>
        </w:rPr>
      </w:pPr>
      <w:r>
        <w:rPr>
          <w:rFonts w:asciiTheme="majorHAnsi" w:eastAsiaTheme="minorHAnsi" w:hAnsiTheme="majorHAnsi" w:cstheme="majorHAnsi"/>
          <w:i/>
          <w:iCs/>
          <w:color w:val="44546A" w:themeColor="text2"/>
          <w:sz w:val="22"/>
          <w:szCs w:val="22"/>
          <w:lang w:val="en-US"/>
        </w:rPr>
        <w:t xml:space="preserve"> </w:t>
      </w:r>
      <w:r w:rsidR="008D0CAD" w:rsidRPr="00931ED4">
        <w:rPr>
          <w:rFonts w:asciiTheme="majorHAnsi" w:eastAsiaTheme="minorHAnsi" w:hAnsiTheme="majorHAnsi" w:cstheme="majorHAnsi"/>
          <w:i/>
          <w:iCs/>
          <w:color w:val="44546A" w:themeColor="text2"/>
          <w:sz w:val="22"/>
          <w:szCs w:val="22"/>
          <w:lang w:val="en-US"/>
        </w:rPr>
        <w:t xml:space="preserve"> </w:t>
      </w:r>
      <w:bookmarkStart w:id="572" w:name="_Toc16524132"/>
      <w:bookmarkStart w:id="573" w:name="_Toc71616579"/>
      <w:r w:rsidR="008D0CAD" w:rsidRPr="00931ED4">
        <w:rPr>
          <w:rFonts w:asciiTheme="majorHAnsi" w:eastAsiaTheme="minorHAnsi" w:hAnsiTheme="majorHAnsi" w:cstheme="majorHAnsi"/>
          <w:i/>
          <w:iCs/>
          <w:color w:val="44546A" w:themeColor="text2"/>
          <w:sz w:val="22"/>
          <w:szCs w:val="22"/>
          <w:lang w:val="en-US"/>
        </w:rPr>
        <w:t xml:space="preserve">Figure </w:t>
      </w:r>
      <w:r w:rsidR="008D0CAD" w:rsidRPr="00931ED4">
        <w:rPr>
          <w:rFonts w:asciiTheme="majorHAnsi" w:eastAsiaTheme="minorHAnsi" w:hAnsiTheme="majorHAnsi" w:cstheme="majorHAnsi"/>
          <w:i/>
          <w:iCs/>
          <w:color w:val="44546A" w:themeColor="text2"/>
          <w:sz w:val="22"/>
          <w:szCs w:val="22"/>
          <w:lang w:val="en-US"/>
        </w:rPr>
        <w:fldChar w:fldCharType="begin"/>
      </w:r>
      <w:r w:rsidR="008D0CAD" w:rsidRPr="00931ED4">
        <w:rPr>
          <w:rFonts w:asciiTheme="majorHAnsi" w:eastAsiaTheme="minorHAnsi" w:hAnsiTheme="majorHAnsi" w:cstheme="majorHAnsi"/>
          <w:i/>
          <w:iCs/>
          <w:color w:val="44546A" w:themeColor="text2"/>
          <w:sz w:val="22"/>
          <w:szCs w:val="22"/>
          <w:lang w:val="en-US"/>
        </w:rPr>
        <w:instrText xml:space="preserve"> SEQ Figure \* ARABIC </w:instrText>
      </w:r>
      <w:r w:rsidR="008D0CAD" w:rsidRPr="00931ED4">
        <w:rPr>
          <w:rFonts w:asciiTheme="majorHAnsi" w:eastAsiaTheme="minorHAnsi" w:hAnsiTheme="majorHAnsi" w:cstheme="majorHAnsi"/>
          <w:i/>
          <w:iCs/>
          <w:color w:val="44546A" w:themeColor="text2"/>
          <w:sz w:val="22"/>
          <w:szCs w:val="22"/>
          <w:lang w:val="en-US"/>
        </w:rPr>
        <w:fldChar w:fldCharType="separate"/>
      </w:r>
      <w:r w:rsidR="00D6133D">
        <w:rPr>
          <w:rFonts w:asciiTheme="majorHAnsi" w:eastAsiaTheme="minorHAnsi" w:hAnsiTheme="majorHAnsi" w:cstheme="majorHAnsi"/>
          <w:i/>
          <w:iCs/>
          <w:noProof/>
          <w:color w:val="44546A" w:themeColor="text2"/>
          <w:sz w:val="22"/>
          <w:szCs w:val="22"/>
          <w:lang w:val="en-US"/>
        </w:rPr>
        <w:t>52</w:t>
      </w:r>
      <w:r w:rsidR="008D0CAD" w:rsidRPr="00931ED4">
        <w:rPr>
          <w:rFonts w:asciiTheme="majorHAnsi" w:eastAsiaTheme="minorHAnsi" w:hAnsiTheme="majorHAnsi" w:cstheme="majorHAnsi"/>
          <w:i/>
          <w:iCs/>
          <w:color w:val="44546A" w:themeColor="text2"/>
          <w:sz w:val="22"/>
          <w:szCs w:val="22"/>
          <w:lang w:val="en-US"/>
        </w:rPr>
        <w:fldChar w:fldCharType="end"/>
      </w:r>
      <w:r w:rsidR="008D0CAD" w:rsidRPr="00931ED4">
        <w:rPr>
          <w:rFonts w:asciiTheme="majorHAnsi" w:eastAsiaTheme="minorHAnsi" w:hAnsiTheme="majorHAnsi" w:cstheme="majorHAnsi"/>
          <w:i/>
          <w:iCs/>
          <w:color w:val="44546A" w:themeColor="text2"/>
          <w:sz w:val="22"/>
          <w:szCs w:val="22"/>
          <w:lang w:val="en-US"/>
        </w:rPr>
        <w:t>.Completion Rate - Elementary</w:t>
      </w:r>
      <w:bookmarkEnd w:id="572"/>
      <w:bookmarkEnd w:id="573"/>
    </w:p>
    <w:p w14:paraId="6D859940" w14:textId="77777777" w:rsidR="008D0CAD" w:rsidRPr="00931ED4" w:rsidRDefault="008D0CAD" w:rsidP="00796BFA">
      <w:pPr>
        <w:spacing w:before="100" w:beforeAutospacing="1" w:after="100" w:afterAutospacing="1" w:line="360" w:lineRule="auto"/>
        <w:rPr>
          <w:rFonts w:asciiTheme="majorHAnsi" w:hAnsiTheme="majorHAnsi" w:cstheme="majorHAnsi"/>
          <w:b/>
          <w:bCs/>
          <w:sz w:val="20"/>
          <w:szCs w:val="20"/>
          <w:lang w:val="en-US"/>
        </w:rPr>
      </w:pPr>
      <w:r w:rsidRPr="00931ED4">
        <w:rPr>
          <w:rFonts w:asciiTheme="majorHAnsi" w:hAnsiTheme="majorHAnsi" w:cstheme="majorHAnsi"/>
          <w:noProof/>
          <w:sz w:val="20"/>
          <w:szCs w:val="20"/>
          <w:lang w:val="en-AU" w:eastAsia="en-AU"/>
        </w:rPr>
        <w:drawing>
          <wp:inline distT="0" distB="0" distL="0" distR="0" wp14:anchorId="196A7252" wp14:editId="607FB456">
            <wp:extent cx="4523874" cy="2294021"/>
            <wp:effectExtent l="0" t="0" r="10160" b="17780"/>
            <wp:docPr id="109" name="Chart 109" descr="Line chart of completion rate for elementary by gender for school years 2011 to 2018. Increasing trend; Higher for females than males.">
              <a:extLst xmlns:a="http://schemas.openxmlformats.org/drawingml/2006/main">
                <a:ext uri="{FF2B5EF4-FFF2-40B4-BE49-F238E27FC236}">
                  <a16:creationId xmlns:a16="http://schemas.microsoft.com/office/drawing/2014/main" id="{6367816C-1907-4598-ACA3-546FE05FB9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39552FE6" w14:textId="42A6D84F" w:rsidR="008D0CAD" w:rsidRPr="00931ED4" w:rsidRDefault="00D434EB" w:rsidP="00796BFA">
      <w:pPr>
        <w:spacing w:before="100" w:beforeAutospacing="1" w:after="100" w:afterAutospacing="1" w:line="360" w:lineRule="auto"/>
        <w:ind w:left="1080" w:firstLine="1080"/>
        <w:rPr>
          <w:rFonts w:asciiTheme="majorHAnsi" w:hAnsiTheme="majorHAnsi" w:cstheme="majorHAnsi"/>
          <w:bCs/>
          <w:i/>
          <w:iCs/>
          <w:sz w:val="20"/>
          <w:szCs w:val="20"/>
          <w:lang w:val="en-US"/>
        </w:rPr>
      </w:pPr>
      <w:r>
        <w:rPr>
          <w:rFonts w:asciiTheme="majorHAnsi" w:hAnsiTheme="majorHAnsi" w:cstheme="majorHAnsi"/>
          <w:bCs/>
          <w:i/>
          <w:iCs/>
          <w:sz w:val="20"/>
          <w:szCs w:val="20"/>
          <w:lang w:val="en-US"/>
        </w:rPr>
        <w:t xml:space="preserve">        </w:t>
      </w:r>
      <w:r w:rsidR="008D0CAD" w:rsidRPr="00931ED4">
        <w:rPr>
          <w:rFonts w:asciiTheme="majorHAnsi" w:hAnsiTheme="majorHAnsi" w:cstheme="majorHAnsi"/>
          <w:bCs/>
          <w:i/>
          <w:iCs/>
          <w:sz w:val="20"/>
          <w:szCs w:val="20"/>
          <w:lang w:val="en-US"/>
        </w:rPr>
        <w:t xml:space="preserve"> Source: EBEIS (Retrieved April 2019)</w:t>
      </w:r>
    </w:p>
    <w:p w14:paraId="7ABBFECA" w14:textId="77777777" w:rsidR="008D0CAD" w:rsidRPr="00931ED4" w:rsidRDefault="008D0CAD" w:rsidP="00796BFA">
      <w:pPr>
        <w:spacing w:before="100" w:beforeAutospacing="1" w:after="100" w:afterAutospacing="1" w:line="360" w:lineRule="auto"/>
        <w:rPr>
          <w:rFonts w:asciiTheme="majorHAnsi" w:hAnsiTheme="majorHAnsi" w:cstheme="majorHAnsi"/>
          <w:lang w:val="en-US"/>
        </w:rPr>
      </w:pPr>
      <w:r w:rsidRPr="00931ED4">
        <w:rPr>
          <w:rFonts w:asciiTheme="majorHAnsi" w:hAnsiTheme="majorHAnsi" w:cstheme="majorHAnsi"/>
          <w:lang w:val="en-US"/>
        </w:rPr>
        <w:t>With the exception of SY2017-2018, where Region V performing below the national average of 95.35%, all BEST regions are generally above the national average in terms of elementary completion rates (Table 12). Comparing with non-BEST regions, with the exception of ARMM, BEST regions may be considered as good as the other regions.</w:t>
      </w:r>
    </w:p>
    <w:p w14:paraId="192A8D16" w14:textId="4E49FA04" w:rsidR="008D0CAD" w:rsidRPr="00931ED4" w:rsidRDefault="008D0CAD" w:rsidP="00796BFA">
      <w:pPr>
        <w:spacing w:before="100" w:beforeAutospacing="1" w:after="100" w:afterAutospacing="1" w:line="360" w:lineRule="auto"/>
        <w:ind w:hanging="11"/>
        <w:rPr>
          <w:rFonts w:asciiTheme="majorHAnsi" w:eastAsiaTheme="minorHAnsi" w:hAnsiTheme="majorHAnsi" w:cstheme="majorHAnsi"/>
          <w:i/>
          <w:iCs/>
          <w:color w:val="44546A" w:themeColor="text2"/>
          <w:sz w:val="22"/>
          <w:szCs w:val="22"/>
          <w:lang w:val="en-US"/>
        </w:rPr>
      </w:pPr>
      <w:bookmarkStart w:id="574" w:name="_Toc16524194"/>
      <w:bookmarkStart w:id="575" w:name="_Toc71616657"/>
      <w:r w:rsidRPr="00931ED4">
        <w:rPr>
          <w:rFonts w:asciiTheme="majorHAnsi" w:eastAsiaTheme="minorHAnsi" w:hAnsiTheme="majorHAnsi" w:cstheme="majorHAnsi"/>
          <w:i/>
          <w:iCs/>
          <w:color w:val="44546A" w:themeColor="text2"/>
          <w:sz w:val="22"/>
          <w:szCs w:val="22"/>
          <w:lang w:val="en-US"/>
        </w:rPr>
        <w:t xml:space="preserve">Table </w:t>
      </w:r>
      <w:r w:rsidRPr="00931ED4">
        <w:rPr>
          <w:rFonts w:asciiTheme="majorHAnsi" w:eastAsiaTheme="minorHAnsi" w:hAnsiTheme="majorHAnsi" w:cstheme="majorHAnsi"/>
          <w:i/>
          <w:iCs/>
          <w:color w:val="44546A" w:themeColor="text2"/>
          <w:sz w:val="22"/>
          <w:szCs w:val="22"/>
          <w:lang w:val="en-US"/>
        </w:rPr>
        <w:fldChar w:fldCharType="begin"/>
      </w:r>
      <w:r w:rsidRPr="00931ED4">
        <w:rPr>
          <w:rFonts w:asciiTheme="majorHAnsi" w:eastAsiaTheme="minorHAnsi" w:hAnsiTheme="majorHAnsi" w:cstheme="majorHAnsi"/>
          <w:i/>
          <w:iCs/>
          <w:color w:val="44546A" w:themeColor="text2"/>
          <w:sz w:val="22"/>
          <w:szCs w:val="22"/>
          <w:lang w:val="en-US"/>
        </w:rPr>
        <w:instrText xml:space="preserve"> SEQ Table \* ARABIC </w:instrText>
      </w:r>
      <w:r w:rsidRPr="00931ED4">
        <w:rPr>
          <w:rFonts w:asciiTheme="majorHAnsi" w:eastAsiaTheme="minorHAnsi" w:hAnsiTheme="majorHAnsi" w:cstheme="majorHAnsi"/>
          <w:i/>
          <w:iCs/>
          <w:color w:val="44546A" w:themeColor="text2"/>
          <w:sz w:val="22"/>
          <w:szCs w:val="22"/>
          <w:lang w:val="en-US"/>
        </w:rPr>
        <w:fldChar w:fldCharType="separate"/>
      </w:r>
      <w:r w:rsidR="00D6133D">
        <w:rPr>
          <w:rFonts w:asciiTheme="majorHAnsi" w:eastAsiaTheme="minorHAnsi" w:hAnsiTheme="majorHAnsi" w:cstheme="majorHAnsi"/>
          <w:i/>
          <w:iCs/>
          <w:noProof/>
          <w:color w:val="44546A" w:themeColor="text2"/>
          <w:sz w:val="22"/>
          <w:szCs w:val="22"/>
          <w:lang w:val="en-US"/>
        </w:rPr>
        <w:t>66</w:t>
      </w:r>
      <w:r w:rsidRPr="00931ED4">
        <w:rPr>
          <w:rFonts w:asciiTheme="majorHAnsi" w:eastAsiaTheme="minorHAnsi" w:hAnsiTheme="majorHAnsi" w:cstheme="majorHAnsi"/>
          <w:i/>
          <w:iCs/>
          <w:color w:val="44546A" w:themeColor="text2"/>
          <w:sz w:val="22"/>
          <w:szCs w:val="22"/>
          <w:lang w:val="en-US"/>
        </w:rPr>
        <w:fldChar w:fldCharType="end"/>
      </w:r>
      <w:r w:rsidRPr="00931ED4">
        <w:rPr>
          <w:rFonts w:asciiTheme="majorHAnsi" w:eastAsiaTheme="minorHAnsi" w:hAnsiTheme="majorHAnsi" w:cstheme="majorHAnsi"/>
          <w:i/>
          <w:iCs/>
          <w:color w:val="44546A" w:themeColor="text2"/>
          <w:sz w:val="22"/>
          <w:szCs w:val="22"/>
          <w:lang w:val="en-US"/>
        </w:rPr>
        <w:t xml:space="preserve">. </w:t>
      </w:r>
      <w:r w:rsidRPr="00931ED4">
        <w:rPr>
          <w:rFonts w:asciiTheme="majorHAnsi" w:eastAsiaTheme="minorHAnsi" w:hAnsiTheme="majorHAnsi" w:cstheme="majorHAnsi"/>
          <w:bCs/>
          <w:i/>
          <w:iCs/>
          <w:color w:val="44546A" w:themeColor="text2"/>
          <w:sz w:val="22"/>
          <w:szCs w:val="22"/>
          <w:lang w:val="en-US"/>
        </w:rPr>
        <w:t>Secondary Completion Rate in BEST Regions, SY 2011-12 to 2017-18</w:t>
      </w:r>
      <w:bookmarkEnd w:id="574"/>
      <w:bookmarkEnd w:id="575"/>
    </w:p>
    <w:tbl>
      <w:tblPr>
        <w:tblStyle w:val="TableGrid11"/>
        <w:tblW w:w="8860" w:type="dxa"/>
        <w:tblLook w:val="04A0" w:firstRow="1" w:lastRow="0" w:firstColumn="1" w:lastColumn="0" w:noHBand="0" w:noVBand="1"/>
      </w:tblPr>
      <w:tblGrid>
        <w:gridCol w:w="2140"/>
        <w:gridCol w:w="960"/>
        <w:gridCol w:w="960"/>
        <w:gridCol w:w="960"/>
        <w:gridCol w:w="960"/>
        <w:gridCol w:w="960"/>
        <w:gridCol w:w="960"/>
        <w:gridCol w:w="960"/>
      </w:tblGrid>
      <w:tr w:rsidR="008D0CAD" w:rsidRPr="004B064D" w14:paraId="36406C3A" w14:textId="77777777" w:rsidTr="00F4751F">
        <w:trPr>
          <w:trHeight w:val="270"/>
          <w:tblHeader/>
        </w:trPr>
        <w:tc>
          <w:tcPr>
            <w:tcW w:w="2140" w:type="dxa"/>
            <w:noWrap/>
            <w:hideMark/>
          </w:tcPr>
          <w:p w14:paraId="107348A8" w14:textId="77777777" w:rsidR="008D0CAD" w:rsidRPr="004B064D" w:rsidRDefault="008D0CAD" w:rsidP="00796BFA">
            <w:pPr>
              <w:spacing w:before="100" w:beforeAutospacing="1" w:after="100" w:afterAutospacing="1" w:line="360" w:lineRule="auto"/>
              <w:rPr>
                <w:rFonts w:asciiTheme="majorHAnsi" w:hAnsiTheme="majorHAnsi" w:cstheme="majorHAnsi"/>
                <w:b/>
                <w:bCs/>
                <w:sz w:val="20"/>
                <w:szCs w:val="20"/>
              </w:rPr>
            </w:pPr>
            <w:r w:rsidRPr="004B064D">
              <w:rPr>
                <w:rFonts w:asciiTheme="majorHAnsi" w:hAnsiTheme="majorHAnsi" w:cstheme="majorHAnsi"/>
                <w:b/>
                <w:bCs/>
                <w:sz w:val="20"/>
                <w:szCs w:val="20"/>
              </w:rPr>
              <w:t>Region</w:t>
            </w:r>
          </w:p>
        </w:tc>
        <w:tc>
          <w:tcPr>
            <w:tcW w:w="960" w:type="dxa"/>
            <w:noWrap/>
            <w:hideMark/>
          </w:tcPr>
          <w:p w14:paraId="31B70955" w14:textId="77777777" w:rsidR="008D0CAD" w:rsidRPr="004B064D" w:rsidRDefault="008D0CAD" w:rsidP="00796BFA">
            <w:pPr>
              <w:spacing w:before="100" w:beforeAutospacing="1" w:after="100" w:afterAutospacing="1" w:line="360" w:lineRule="auto"/>
              <w:rPr>
                <w:rFonts w:asciiTheme="majorHAnsi" w:hAnsiTheme="majorHAnsi" w:cstheme="majorHAnsi"/>
                <w:b/>
                <w:bCs/>
                <w:sz w:val="20"/>
                <w:szCs w:val="20"/>
              </w:rPr>
            </w:pPr>
            <w:r w:rsidRPr="004B064D">
              <w:rPr>
                <w:rFonts w:asciiTheme="majorHAnsi" w:hAnsiTheme="majorHAnsi" w:cstheme="majorHAnsi"/>
                <w:b/>
                <w:bCs/>
                <w:sz w:val="20"/>
                <w:szCs w:val="20"/>
              </w:rPr>
              <w:t>2011-12</w:t>
            </w:r>
          </w:p>
        </w:tc>
        <w:tc>
          <w:tcPr>
            <w:tcW w:w="960" w:type="dxa"/>
            <w:noWrap/>
            <w:hideMark/>
          </w:tcPr>
          <w:p w14:paraId="55EDD37A" w14:textId="77777777" w:rsidR="008D0CAD" w:rsidRPr="004B064D" w:rsidRDefault="008D0CAD" w:rsidP="00796BFA">
            <w:pPr>
              <w:spacing w:before="100" w:beforeAutospacing="1" w:after="100" w:afterAutospacing="1" w:line="360" w:lineRule="auto"/>
              <w:rPr>
                <w:rFonts w:asciiTheme="majorHAnsi" w:hAnsiTheme="majorHAnsi" w:cstheme="majorHAnsi"/>
                <w:b/>
                <w:bCs/>
                <w:sz w:val="20"/>
                <w:szCs w:val="20"/>
              </w:rPr>
            </w:pPr>
            <w:r w:rsidRPr="004B064D">
              <w:rPr>
                <w:rFonts w:asciiTheme="majorHAnsi" w:hAnsiTheme="majorHAnsi" w:cstheme="majorHAnsi"/>
                <w:b/>
                <w:bCs/>
                <w:sz w:val="20"/>
                <w:szCs w:val="20"/>
              </w:rPr>
              <w:t>2012-13</w:t>
            </w:r>
          </w:p>
        </w:tc>
        <w:tc>
          <w:tcPr>
            <w:tcW w:w="960" w:type="dxa"/>
            <w:noWrap/>
            <w:hideMark/>
          </w:tcPr>
          <w:p w14:paraId="1FD6C1BE" w14:textId="77777777" w:rsidR="008D0CAD" w:rsidRPr="004B064D" w:rsidRDefault="008D0CAD" w:rsidP="00796BFA">
            <w:pPr>
              <w:spacing w:before="100" w:beforeAutospacing="1" w:after="100" w:afterAutospacing="1" w:line="360" w:lineRule="auto"/>
              <w:rPr>
                <w:rFonts w:asciiTheme="majorHAnsi" w:hAnsiTheme="majorHAnsi" w:cstheme="majorHAnsi"/>
                <w:b/>
                <w:bCs/>
                <w:sz w:val="20"/>
                <w:szCs w:val="20"/>
              </w:rPr>
            </w:pPr>
            <w:r w:rsidRPr="004B064D">
              <w:rPr>
                <w:rFonts w:asciiTheme="majorHAnsi" w:hAnsiTheme="majorHAnsi" w:cstheme="majorHAnsi"/>
                <w:b/>
                <w:bCs/>
                <w:sz w:val="20"/>
                <w:szCs w:val="20"/>
              </w:rPr>
              <w:t>2013-14</w:t>
            </w:r>
          </w:p>
        </w:tc>
        <w:tc>
          <w:tcPr>
            <w:tcW w:w="960" w:type="dxa"/>
            <w:noWrap/>
            <w:hideMark/>
          </w:tcPr>
          <w:p w14:paraId="0CD36860" w14:textId="77777777" w:rsidR="008D0CAD" w:rsidRPr="004B064D" w:rsidRDefault="008D0CAD" w:rsidP="00796BFA">
            <w:pPr>
              <w:spacing w:before="100" w:beforeAutospacing="1" w:after="100" w:afterAutospacing="1" w:line="360" w:lineRule="auto"/>
              <w:rPr>
                <w:rFonts w:asciiTheme="majorHAnsi" w:hAnsiTheme="majorHAnsi" w:cstheme="majorHAnsi"/>
                <w:b/>
                <w:bCs/>
                <w:sz w:val="20"/>
                <w:szCs w:val="20"/>
              </w:rPr>
            </w:pPr>
            <w:r w:rsidRPr="004B064D">
              <w:rPr>
                <w:rFonts w:asciiTheme="majorHAnsi" w:hAnsiTheme="majorHAnsi" w:cstheme="majorHAnsi"/>
                <w:b/>
                <w:bCs/>
                <w:sz w:val="20"/>
                <w:szCs w:val="20"/>
              </w:rPr>
              <w:t>2014-15</w:t>
            </w:r>
          </w:p>
        </w:tc>
        <w:tc>
          <w:tcPr>
            <w:tcW w:w="960" w:type="dxa"/>
            <w:noWrap/>
            <w:hideMark/>
          </w:tcPr>
          <w:p w14:paraId="2557CFE4" w14:textId="77777777" w:rsidR="008D0CAD" w:rsidRPr="004B064D" w:rsidRDefault="008D0CAD" w:rsidP="00796BFA">
            <w:pPr>
              <w:spacing w:before="100" w:beforeAutospacing="1" w:after="100" w:afterAutospacing="1" w:line="360" w:lineRule="auto"/>
              <w:rPr>
                <w:rFonts w:asciiTheme="majorHAnsi" w:hAnsiTheme="majorHAnsi" w:cstheme="majorHAnsi"/>
                <w:b/>
                <w:bCs/>
                <w:sz w:val="20"/>
                <w:szCs w:val="20"/>
              </w:rPr>
            </w:pPr>
            <w:r w:rsidRPr="004B064D">
              <w:rPr>
                <w:rFonts w:asciiTheme="majorHAnsi" w:hAnsiTheme="majorHAnsi" w:cstheme="majorHAnsi"/>
                <w:b/>
                <w:bCs/>
                <w:sz w:val="20"/>
                <w:szCs w:val="20"/>
              </w:rPr>
              <w:t>2015-16</w:t>
            </w:r>
          </w:p>
        </w:tc>
        <w:tc>
          <w:tcPr>
            <w:tcW w:w="960" w:type="dxa"/>
            <w:noWrap/>
            <w:hideMark/>
          </w:tcPr>
          <w:p w14:paraId="34CF2D54" w14:textId="77777777" w:rsidR="008D0CAD" w:rsidRPr="004B064D" w:rsidRDefault="008D0CAD" w:rsidP="00796BFA">
            <w:pPr>
              <w:spacing w:before="100" w:beforeAutospacing="1" w:after="100" w:afterAutospacing="1" w:line="360" w:lineRule="auto"/>
              <w:rPr>
                <w:rFonts w:asciiTheme="majorHAnsi" w:hAnsiTheme="majorHAnsi" w:cstheme="majorHAnsi"/>
                <w:b/>
                <w:bCs/>
                <w:sz w:val="20"/>
                <w:szCs w:val="20"/>
              </w:rPr>
            </w:pPr>
            <w:r w:rsidRPr="004B064D">
              <w:rPr>
                <w:rFonts w:asciiTheme="majorHAnsi" w:hAnsiTheme="majorHAnsi" w:cstheme="majorHAnsi"/>
                <w:b/>
                <w:bCs/>
                <w:sz w:val="20"/>
                <w:szCs w:val="20"/>
              </w:rPr>
              <w:t>2016-17</w:t>
            </w:r>
          </w:p>
        </w:tc>
        <w:tc>
          <w:tcPr>
            <w:tcW w:w="960" w:type="dxa"/>
            <w:noWrap/>
            <w:hideMark/>
          </w:tcPr>
          <w:p w14:paraId="0B0ABEA5" w14:textId="77777777" w:rsidR="008D0CAD" w:rsidRPr="004B064D" w:rsidRDefault="008D0CAD" w:rsidP="00796BFA">
            <w:pPr>
              <w:spacing w:before="100" w:beforeAutospacing="1" w:after="100" w:afterAutospacing="1" w:line="360" w:lineRule="auto"/>
              <w:rPr>
                <w:rFonts w:asciiTheme="majorHAnsi" w:hAnsiTheme="majorHAnsi" w:cstheme="majorHAnsi"/>
                <w:b/>
                <w:bCs/>
                <w:sz w:val="20"/>
                <w:szCs w:val="20"/>
              </w:rPr>
            </w:pPr>
            <w:r w:rsidRPr="004B064D">
              <w:rPr>
                <w:rFonts w:asciiTheme="majorHAnsi" w:hAnsiTheme="majorHAnsi" w:cstheme="majorHAnsi"/>
                <w:b/>
                <w:bCs/>
                <w:sz w:val="20"/>
                <w:szCs w:val="20"/>
              </w:rPr>
              <w:t>2017-18</w:t>
            </w:r>
          </w:p>
        </w:tc>
      </w:tr>
      <w:tr w:rsidR="008D0CAD" w:rsidRPr="00931ED4" w14:paraId="568A8A48" w14:textId="77777777" w:rsidTr="00536AA2">
        <w:trPr>
          <w:trHeight w:val="270"/>
        </w:trPr>
        <w:tc>
          <w:tcPr>
            <w:tcW w:w="2140" w:type="dxa"/>
            <w:noWrap/>
            <w:hideMark/>
          </w:tcPr>
          <w:p w14:paraId="6084ADF5" w14:textId="77777777" w:rsidR="008D0CAD" w:rsidRPr="00931ED4" w:rsidRDefault="008D0CAD" w:rsidP="00796BFA">
            <w:pPr>
              <w:spacing w:before="100" w:beforeAutospacing="1" w:after="100" w:afterAutospacing="1" w:line="360" w:lineRule="auto"/>
              <w:rPr>
                <w:rFonts w:asciiTheme="majorHAnsi" w:hAnsiTheme="majorHAnsi" w:cstheme="majorHAnsi"/>
                <w:sz w:val="20"/>
                <w:szCs w:val="20"/>
              </w:rPr>
            </w:pPr>
            <w:r w:rsidRPr="00931ED4">
              <w:rPr>
                <w:rFonts w:asciiTheme="majorHAnsi" w:hAnsiTheme="majorHAnsi" w:cstheme="majorHAnsi"/>
                <w:sz w:val="20"/>
                <w:szCs w:val="20"/>
              </w:rPr>
              <w:t>NCR</w:t>
            </w:r>
          </w:p>
        </w:tc>
        <w:tc>
          <w:tcPr>
            <w:tcW w:w="960" w:type="dxa"/>
            <w:hideMark/>
          </w:tcPr>
          <w:p w14:paraId="5D127561"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72.03%</w:t>
            </w:r>
          </w:p>
        </w:tc>
        <w:tc>
          <w:tcPr>
            <w:tcW w:w="960" w:type="dxa"/>
            <w:hideMark/>
          </w:tcPr>
          <w:p w14:paraId="282E013A"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72.76%</w:t>
            </w:r>
          </w:p>
        </w:tc>
        <w:tc>
          <w:tcPr>
            <w:tcW w:w="960" w:type="dxa"/>
            <w:hideMark/>
          </w:tcPr>
          <w:p w14:paraId="07F1D2A2"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76.52%</w:t>
            </w:r>
          </w:p>
        </w:tc>
        <w:tc>
          <w:tcPr>
            <w:tcW w:w="960" w:type="dxa"/>
            <w:hideMark/>
          </w:tcPr>
          <w:p w14:paraId="632A4C0B"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75.45%</w:t>
            </w:r>
          </w:p>
        </w:tc>
        <w:tc>
          <w:tcPr>
            <w:tcW w:w="960" w:type="dxa"/>
            <w:hideMark/>
          </w:tcPr>
          <w:p w14:paraId="68B42EDD"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75.73%</w:t>
            </w:r>
          </w:p>
        </w:tc>
        <w:tc>
          <w:tcPr>
            <w:tcW w:w="960" w:type="dxa"/>
            <w:hideMark/>
          </w:tcPr>
          <w:p w14:paraId="6376D190"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83.02%</w:t>
            </w:r>
          </w:p>
        </w:tc>
        <w:tc>
          <w:tcPr>
            <w:tcW w:w="960" w:type="dxa"/>
            <w:hideMark/>
          </w:tcPr>
          <w:p w14:paraId="60527620"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89.62%</w:t>
            </w:r>
          </w:p>
        </w:tc>
      </w:tr>
      <w:tr w:rsidR="008D0CAD" w:rsidRPr="00931ED4" w14:paraId="2EBFF95E" w14:textId="77777777" w:rsidTr="00536AA2">
        <w:trPr>
          <w:trHeight w:val="270"/>
        </w:trPr>
        <w:tc>
          <w:tcPr>
            <w:tcW w:w="2140" w:type="dxa"/>
            <w:noWrap/>
            <w:hideMark/>
          </w:tcPr>
          <w:p w14:paraId="1BE7D223" w14:textId="77777777" w:rsidR="008D0CAD" w:rsidRPr="00931ED4" w:rsidRDefault="008D0CAD" w:rsidP="00796BFA">
            <w:pPr>
              <w:spacing w:before="100" w:beforeAutospacing="1" w:after="100" w:afterAutospacing="1" w:line="360" w:lineRule="auto"/>
              <w:rPr>
                <w:rFonts w:asciiTheme="majorHAnsi" w:hAnsiTheme="majorHAnsi" w:cstheme="majorHAnsi"/>
                <w:sz w:val="20"/>
                <w:szCs w:val="20"/>
              </w:rPr>
            </w:pPr>
            <w:r w:rsidRPr="00931ED4">
              <w:rPr>
                <w:rFonts w:asciiTheme="majorHAnsi" w:hAnsiTheme="majorHAnsi" w:cstheme="majorHAnsi"/>
                <w:sz w:val="20"/>
                <w:szCs w:val="20"/>
              </w:rPr>
              <w:t>Region V</w:t>
            </w:r>
          </w:p>
        </w:tc>
        <w:tc>
          <w:tcPr>
            <w:tcW w:w="960" w:type="dxa"/>
            <w:hideMark/>
          </w:tcPr>
          <w:p w14:paraId="2775445C"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69.69%</w:t>
            </w:r>
          </w:p>
        </w:tc>
        <w:tc>
          <w:tcPr>
            <w:tcW w:w="960" w:type="dxa"/>
            <w:hideMark/>
          </w:tcPr>
          <w:p w14:paraId="58CC4760"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70.15%</w:t>
            </w:r>
          </w:p>
        </w:tc>
        <w:tc>
          <w:tcPr>
            <w:tcW w:w="960" w:type="dxa"/>
            <w:hideMark/>
          </w:tcPr>
          <w:p w14:paraId="2FDB126E"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74.90%</w:t>
            </w:r>
          </w:p>
        </w:tc>
        <w:tc>
          <w:tcPr>
            <w:tcW w:w="960" w:type="dxa"/>
            <w:hideMark/>
          </w:tcPr>
          <w:p w14:paraId="025ED6AA"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78.60%</w:t>
            </w:r>
          </w:p>
        </w:tc>
        <w:tc>
          <w:tcPr>
            <w:tcW w:w="960" w:type="dxa"/>
            <w:hideMark/>
          </w:tcPr>
          <w:p w14:paraId="0B5DDCED"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75.68%</w:t>
            </w:r>
          </w:p>
        </w:tc>
        <w:tc>
          <w:tcPr>
            <w:tcW w:w="960" w:type="dxa"/>
            <w:hideMark/>
          </w:tcPr>
          <w:p w14:paraId="2AF1272D"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76.60%</w:t>
            </w:r>
          </w:p>
        </w:tc>
        <w:tc>
          <w:tcPr>
            <w:tcW w:w="960" w:type="dxa"/>
            <w:hideMark/>
          </w:tcPr>
          <w:p w14:paraId="0078A0DD"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81.93%</w:t>
            </w:r>
          </w:p>
        </w:tc>
      </w:tr>
      <w:tr w:rsidR="008D0CAD" w:rsidRPr="00931ED4" w14:paraId="5392CAC9" w14:textId="77777777" w:rsidTr="00536AA2">
        <w:trPr>
          <w:trHeight w:val="270"/>
        </w:trPr>
        <w:tc>
          <w:tcPr>
            <w:tcW w:w="2140" w:type="dxa"/>
            <w:noWrap/>
            <w:hideMark/>
          </w:tcPr>
          <w:p w14:paraId="15CE5A64" w14:textId="77777777" w:rsidR="008D0CAD" w:rsidRPr="00931ED4" w:rsidRDefault="008D0CAD" w:rsidP="00796BFA">
            <w:pPr>
              <w:spacing w:before="100" w:beforeAutospacing="1" w:after="100" w:afterAutospacing="1" w:line="360" w:lineRule="auto"/>
              <w:rPr>
                <w:rFonts w:asciiTheme="majorHAnsi" w:hAnsiTheme="majorHAnsi" w:cstheme="majorHAnsi"/>
                <w:sz w:val="20"/>
                <w:szCs w:val="20"/>
              </w:rPr>
            </w:pPr>
            <w:r w:rsidRPr="00931ED4">
              <w:rPr>
                <w:rFonts w:asciiTheme="majorHAnsi" w:hAnsiTheme="majorHAnsi" w:cstheme="majorHAnsi"/>
                <w:sz w:val="20"/>
                <w:szCs w:val="20"/>
              </w:rPr>
              <w:t>Region VI</w:t>
            </w:r>
          </w:p>
        </w:tc>
        <w:tc>
          <w:tcPr>
            <w:tcW w:w="960" w:type="dxa"/>
            <w:hideMark/>
          </w:tcPr>
          <w:p w14:paraId="286E5D63"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73.43%</w:t>
            </w:r>
          </w:p>
        </w:tc>
        <w:tc>
          <w:tcPr>
            <w:tcW w:w="960" w:type="dxa"/>
            <w:hideMark/>
          </w:tcPr>
          <w:p w14:paraId="2D015524"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73.45%</w:t>
            </w:r>
          </w:p>
        </w:tc>
        <w:tc>
          <w:tcPr>
            <w:tcW w:w="960" w:type="dxa"/>
            <w:hideMark/>
          </w:tcPr>
          <w:p w14:paraId="272C0612"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76.98%</w:t>
            </w:r>
          </w:p>
        </w:tc>
        <w:tc>
          <w:tcPr>
            <w:tcW w:w="960" w:type="dxa"/>
            <w:hideMark/>
          </w:tcPr>
          <w:p w14:paraId="5EF198A9"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84.05%</w:t>
            </w:r>
          </w:p>
        </w:tc>
        <w:tc>
          <w:tcPr>
            <w:tcW w:w="960" w:type="dxa"/>
            <w:hideMark/>
          </w:tcPr>
          <w:p w14:paraId="757A671B"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78.20%</w:t>
            </w:r>
          </w:p>
        </w:tc>
        <w:tc>
          <w:tcPr>
            <w:tcW w:w="960" w:type="dxa"/>
            <w:hideMark/>
          </w:tcPr>
          <w:p w14:paraId="73D25D3C"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83.46%</w:t>
            </w:r>
          </w:p>
        </w:tc>
        <w:tc>
          <w:tcPr>
            <w:tcW w:w="960" w:type="dxa"/>
            <w:hideMark/>
          </w:tcPr>
          <w:p w14:paraId="684FAC53"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85.19%</w:t>
            </w:r>
          </w:p>
        </w:tc>
      </w:tr>
      <w:tr w:rsidR="008D0CAD" w:rsidRPr="00931ED4" w14:paraId="27B4F034" w14:textId="77777777" w:rsidTr="00536AA2">
        <w:trPr>
          <w:trHeight w:val="270"/>
        </w:trPr>
        <w:tc>
          <w:tcPr>
            <w:tcW w:w="2140" w:type="dxa"/>
            <w:noWrap/>
            <w:hideMark/>
          </w:tcPr>
          <w:p w14:paraId="417A6AAB" w14:textId="77777777" w:rsidR="008D0CAD" w:rsidRPr="00931ED4" w:rsidRDefault="008D0CAD" w:rsidP="00796BFA">
            <w:pPr>
              <w:spacing w:before="100" w:beforeAutospacing="1" w:after="100" w:afterAutospacing="1" w:line="360" w:lineRule="auto"/>
              <w:rPr>
                <w:rFonts w:asciiTheme="majorHAnsi" w:hAnsiTheme="majorHAnsi" w:cstheme="majorHAnsi"/>
                <w:sz w:val="20"/>
                <w:szCs w:val="20"/>
              </w:rPr>
            </w:pPr>
            <w:r w:rsidRPr="00931ED4">
              <w:rPr>
                <w:rFonts w:asciiTheme="majorHAnsi" w:hAnsiTheme="majorHAnsi" w:cstheme="majorHAnsi"/>
                <w:sz w:val="20"/>
                <w:szCs w:val="20"/>
              </w:rPr>
              <w:t>Region VII</w:t>
            </w:r>
          </w:p>
        </w:tc>
        <w:tc>
          <w:tcPr>
            <w:tcW w:w="960" w:type="dxa"/>
            <w:hideMark/>
          </w:tcPr>
          <w:p w14:paraId="105B004F"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71.18%</w:t>
            </w:r>
          </w:p>
        </w:tc>
        <w:tc>
          <w:tcPr>
            <w:tcW w:w="960" w:type="dxa"/>
            <w:hideMark/>
          </w:tcPr>
          <w:p w14:paraId="0E27968B"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73.57%</w:t>
            </w:r>
          </w:p>
        </w:tc>
        <w:tc>
          <w:tcPr>
            <w:tcW w:w="960" w:type="dxa"/>
            <w:hideMark/>
          </w:tcPr>
          <w:p w14:paraId="1FC6FCAF"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75.14%</w:t>
            </w:r>
          </w:p>
        </w:tc>
        <w:tc>
          <w:tcPr>
            <w:tcW w:w="960" w:type="dxa"/>
            <w:hideMark/>
          </w:tcPr>
          <w:p w14:paraId="2FD8832B"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80.10%</w:t>
            </w:r>
          </w:p>
        </w:tc>
        <w:tc>
          <w:tcPr>
            <w:tcW w:w="960" w:type="dxa"/>
            <w:hideMark/>
          </w:tcPr>
          <w:p w14:paraId="202CC7F0"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77.34%</w:t>
            </w:r>
          </w:p>
        </w:tc>
        <w:tc>
          <w:tcPr>
            <w:tcW w:w="960" w:type="dxa"/>
            <w:hideMark/>
          </w:tcPr>
          <w:p w14:paraId="70FF0851"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81.15%</w:t>
            </w:r>
          </w:p>
        </w:tc>
        <w:tc>
          <w:tcPr>
            <w:tcW w:w="960" w:type="dxa"/>
            <w:hideMark/>
          </w:tcPr>
          <w:p w14:paraId="02EF0C3B"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83.27%</w:t>
            </w:r>
          </w:p>
        </w:tc>
      </w:tr>
      <w:tr w:rsidR="008D0CAD" w:rsidRPr="00931ED4" w14:paraId="5BE026FE" w14:textId="77777777" w:rsidTr="00536AA2">
        <w:trPr>
          <w:trHeight w:val="270"/>
        </w:trPr>
        <w:tc>
          <w:tcPr>
            <w:tcW w:w="2140" w:type="dxa"/>
            <w:noWrap/>
            <w:hideMark/>
          </w:tcPr>
          <w:p w14:paraId="636FBA48" w14:textId="77777777" w:rsidR="008D0CAD" w:rsidRPr="00931ED4" w:rsidRDefault="008D0CAD" w:rsidP="00796BFA">
            <w:pPr>
              <w:spacing w:before="100" w:beforeAutospacing="1" w:after="100" w:afterAutospacing="1" w:line="360" w:lineRule="auto"/>
              <w:rPr>
                <w:rFonts w:asciiTheme="majorHAnsi" w:hAnsiTheme="majorHAnsi" w:cstheme="majorHAnsi"/>
                <w:sz w:val="20"/>
                <w:szCs w:val="20"/>
              </w:rPr>
            </w:pPr>
            <w:r w:rsidRPr="00931ED4">
              <w:rPr>
                <w:rFonts w:asciiTheme="majorHAnsi" w:hAnsiTheme="majorHAnsi" w:cstheme="majorHAnsi"/>
                <w:sz w:val="20"/>
                <w:szCs w:val="20"/>
              </w:rPr>
              <w:t>Region VIII</w:t>
            </w:r>
          </w:p>
        </w:tc>
        <w:tc>
          <w:tcPr>
            <w:tcW w:w="960" w:type="dxa"/>
            <w:hideMark/>
          </w:tcPr>
          <w:p w14:paraId="504A4043"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65.93%</w:t>
            </w:r>
          </w:p>
        </w:tc>
        <w:tc>
          <w:tcPr>
            <w:tcW w:w="960" w:type="dxa"/>
            <w:hideMark/>
          </w:tcPr>
          <w:p w14:paraId="4B901797"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68.96%</w:t>
            </w:r>
          </w:p>
        </w:tc>
        <w:tc>
          <w:tcPr>
            <w:tcW w:w="960" w:type="dxa"/>
            <w:hideMark/>
          </w:tcPr>
          <w:p w14:paraId="71E5E01B"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72.91%</w:t>
            </w:r>
          </w:p>
        </w:tc>
        <w:tc>
          <w:tcPr>
            <w:tcW w:w="960" w:type="dxa"/>
            <w:hideMark/>
          </w:tcPr>
          <w:p w14:paraId="1AD36D5D"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73.00%</w:t>
            </w:r>
          </w:p>
        </w:tc>
        <w:tc>
          <w:tcPr>
            <w:tcW w:w="960" w:type="dxa"/>
            <w:hideMark/>
          </w:tcPr>
          <w:p w14:paraId="3C173E82"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74.95%</w:t>
            </w:r>
          </w:p>
        </w:tc>
        <w:tc>
          <w:tcPr>
            <w:tcW w:w="960" w:type="dxa"/>
            <w:hideMark/>
          </w:tcPr>
          <w:p w14:paraId="62C5E421"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75.28%</w:t>
            </w:r>
          </w:p>
        </w:tc>
        <w:tc>
          <w:tcPr>
            <w:tcW w:w="960" w:type="dxa"/>
            <w:hideMark/>
          </w:tcPr>
          <w:p w14:paraId="5CCDBD33"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79.07%</w:t>
            </w:r>
          </w:p>
        </w:tc>
      </w:tr>
      <w:tr w:rsidR="008D0CAD" w:rsidRPr="00931ED4" w14:paraId="14305F33" w14:textId="77777777" w:rsidTr="00536AA2">
        <w:trPr>
          <w:trHeight w:val="255"/>
        </w:trPr>
        <w:tc>
          <w:tcPr>
            <w:tcW w:w="2140" w:type="dxa"/>
            <w:noWrap/>
            <w:hideMark/>
          </w:tcPr>
          <w:p w14:paraId="4144B378" w14:textId="77777777" w:rsidR="008D0CAD" w:rsidRPr="00931ED4" w:rsidRDefault="008D0CAD" w:rsidP="00796BFA">
            <w:pPr>
              <w:spacing w:before="100" w:beforeAutospacing="1" w:after="100" w:afterAutospacing="1" w:line="360" w:lineRule="auto"/>
              <w:rPr>
                <w:rFonts w:asciiTheme="majorHAnsi" w:hAnsiTheme="majorHAnsi" w:cstheme="majorHAnsi"/>
                <w:sz w:val="20"/>
                <w:szCs w:val="20"/>
              </w:rPr>
            </w:pPr>
            <w:r w:rsidRPr="00931ED4">
              <w:rPr>
                <w:rFonts w:asciiTheme="majorHAnsi" w:hAnsiTheme="majorHAnsi" w:cstheme="majorHAnsi"/>
                <w:sz w:val="20"/>
                <w:szCs w:val="20"/>
              </w:rPr>
              <w:t>Region X</w:t>
            </w:r>
          </w:p>
        </w:tc>
        <w:tc>
          <w:tcPr>
            <w:tcW w:w="960" w:type="dxa"/>
            <w:hideMark/>
          </w:tcPr>
          <w:p w14:paraId="03A5CA3B"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62.81%</w:t>
            </w:r>
          </w:p>
        </w:tc>
        <w:tc>
          <w:tcPr>
            <w:tcW w:w="960" w:type="dxa"/>
            <w:hideMark/>
          </w:tcPr>
          <w:p w14:paraId="0A4BDF6D"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65.66%</w:t>
            </w:r>
          </w:p>
        </w:tc>
        <w:tc>
          <w:tcPr>
            <w:tcW w:w="960" w:type="dxa"/>
            <w:hideMark/>
          </w:tcPr>
          <w:p w14:paraId="1BC70F99"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71.48%</w:t>
            </w:r>
          </w:p>
        </w:tc>
        <w:tc>
          <w:tcPr>
            <w:tcW w:w="960" w:type="dxa"/>
            <w:hideMark/>
          </w:tcPr>
          <w:p w14:paraId="3EAE207F"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79.07%</w:t>
            </w:r>
          </w:p>
        </w:tc>
        <w:tc>
          <w:tcPr>
            <w:tcW w:w="960" w:type="dxa"/>
            <w:hideMark/>
          </w:tcPr>
          <w:p w14:paraId="39217FA7"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74.23%</w:t>
            </w:r>
          </w:p>
        </w:tc>
        <w:tc>
          <w:tcPr>
            <w:tcW w:w="960" w:type="dxa"/>
            <w:hideMark/>
          </w:tcPr>
          <w:p w14:paraId="552B0980"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80.04%</w:t>
            </w:r>
          </w:p>
        </w:tc>
        <w:tc>
          <w:tcPr>
            <w:tcW w:w="960" w:type="dxa"/>
            <w:hideMark/>
          </w:tcPr>
          <w:p w14:paraId="6F18598D"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86.48%</w:t>
            </w:r>
          </w:p>
        </w:tc>
      </w:tr>
    </w:tbl>
    <w:p w14:paraId="5DDEE2EB" w14:textId="4AB43D44" w:rsidR="00DF3AC3" w:rsidRDefault="00DF3AC3" w:rsidP="00796BFA">
      <w:pPr>
        <w:spacing w:before="100" w:beforeAutospacing="1" w:after="100" w:afterAutospacing="1" w:line="360" w:lineRule="auto"/>
        <w:rPr>
          <w:rFonts w:asciiTheme="majorHAnsi" w:hAnsiTheme="majorHAnsi" w:cstheme="majorHAnsi"/>
          <w:lang w:val="en-US"/>
        </w:rPr>
      </w:pPr>
      <w:r w:rsidRPr="00931ED4">
        <w:rPr>
          <w:rFonts w:asciiTheme="majorHAnsi" w:hAnsiTheme="majorHAnsi" w:cstheme="majorHAnsi"/>
          <w:i/>
          <w:iCs/>
          <w:sz w:val="20"/>
          <w:szCs w:val="20"/>
        </w:rPr>
        <w:t>Source: EBEIS (Retrieved April 2019)</w:t>
      </w:r>
    </w:p>
    <w:p w14:paraId="54325C80" w14:textId="4E27E75A" w:rsidR="008D0CAD" w:rsidRPr="00931ED4" w:rsidRDefault="008D0CAD" w:rsidP="00796BFA">
      <w:pPr>
        <w:spacing w:before="100" w:beforeAutospacing="1" w:after="100" w:afterAutospacing="1" w:line="360" w:lineRule="auto"/>
        <w:rPr>
          <w:rFonts w:asciiTheme="majorHAnsi" w:hAnsiTheme="majorHAnsi" w:cstheme="majorHAnsi"/>
          <w:lang w:val="en-US"/>
        </w:rPr>
      </w:pPr>
      <w:r w:rsidRPr="00931ED4">
        <w:rPr>
          <w:rFonts w:asciiTheme="majorHAnsi" w:hAnsiTheme="majorHAnsi" w:cstheme="majorHAnsi"/>
          <w:lang w:val="en-US"/>
        </w:rPr>
        <w:t>Steady increase in secondary completion rates is evident from 70.55% in SY 2011-2012 to 84.46% in SY 2017-2018, indicating a less than 15% increase in six years (Figure 21). Still, female learners finishing high school</w:t>
      </w:r>
      <w:r w:rsidR="008B2040">
        <w:rPr>
          <w:rFonts w:asciiTheme="majorHAnsi" w:hAnsiTheme="majorHAnsi" w:cstheme="majorHAnsi"/>
          <w:lang w:val="en-US"/>
        </w:rPr>
        <w:t xml:space="preserve"> are less than males</w:t>
      </w:r>
      <w:r w:rsidRPr="00931ED4">
        <w:rPr>
          <w:rFonts w:asciiTheme="majorHAnsi" w:hAnsiTheme="majorHAnsi" w:cstheme="majorHAnsi"/>
          <w:lang w:val="en-US"/>
        </w:rPr>
        <w:t xml:space="preserve">, with the lowest completion rate set at 77.18% in SY 2012-2013 and highest at 96.09% in the most recent school year; comparing these data to male learners, </w:t>
      </w:r>
      <w:r w:rsidR="008B2040">
        <w:rPr>
          <w:rFonts w:asciiTheme="majorHAnsi" w:hAnsiTheme="majorHAnsi" w:cstheme="majorHAnsi"/>
          <w:lang w:val="en-US"/>
        </w:rPr>
        <w:t xml:space="preserve">the </w:t>
      </w:r>
      <w:r w:rsidRPr="00931ED4">
        <w:rPr>
          <w:rFonts w:asciiTheme="majorHAnsi" w:hAnsiTheme="majorHAnsi" w:cstheme="majorHAnsi"/>
          <w:lang w:val="en-US"/>
        </w:rPr>
        <w:t xml:space="preserve">lowest posted is at 64.06% in SY 2010-2011, while highest is 80.06% in SY 2017-2018. </w:t>
      </w:r>
    </w:p>
    <w:p w14:paraId="2B13764A" w14:textId="77777777" w:rsidR="008D0CAD" w:rsidRPr="00931ED4" w:rsidRDefault="008D0CAD" w:rsidP="00796BFA">
      <w:pPr>
        <w:spacing w:before="100" w:beforeAutospacing="1" w:after="100" w:afterAutospacing="1" w:line="360" w:lineRule="auto"/>
        <w:rPr>
          <w:rFonts w:asciiTheme="majorHAnsi" w:hAnsiTheme="majorHAnsi" w:cstheme="majorHAnsi"/>
          <w:b/>
          <w:bCs/>
          <w:lang w:val="en-US"/>
        </w:rPr>
      </w:pPr>
      <w:r w:rsidRPr="00931ED4">
        <w:rPr>
          <w:rFonts w:asciiTheme="majorHAnsi" w:hAnsiTheme="majorHAnsi" w:cstheme="majorHAnsi"/>
          <w:lang w:val="en-US"/>
        </w:rPr>
        <w:t>For completion rates at the secondary level, a marked tendency some BEST regions to be below the established national completion rate. For the two most recent school year data, three of three of the BEST regions are below the national rates. While for SY 2015-2016, only Region VI is above the national rate of 78.12%.</w:t>
      </w:r>
    </w:p>
    <w:p w14:paraId="24ADBBEB" w14:textId="15C5320F" w:rsidR="008D0CAD" w:rsidRPr="00931ED4" w:rsidRDefault="00D434EB" w:rsidP="00385784">
      <w:pPr>
        <w:pageBreakBefore/>
        <w:spacing w:before="100" w:beforeAutospacing="1" w:after="100" w:afterAutospacing="1" w:line="360" w:lineRule="auto"/>
        <w:ind w:hanging="34"/>
        <w:rPr>
          <w:rFonts w:asciiTheme="majorHAnsi" w:eastAsiaTheme="minorHAnsi" w:hAnsiTheme="majorHAnsi" w:cstheme="majorHAnsi"/>
          <w:b/>
          <w:bCs/>
          <w:i/>
          <w:iCs/>
          <w:color w:val="44546A" w:themeColor="text2"/>
          <w:sz w:val="22"/>
          <w:szCs w:val="22"/>
          <w:lang w:val="en-US"/>
        </w:rPr>
      </w:pPr>
      <w:bookmarkStart w:id="576" w:name="_Toc16524133"/>
      <w:bookmarkStart w:id="577" w:name="_Toc71616580"/>
      <w:r>
        <w:rPr>
          <w:rFonts w:asciiTheme="majorHAnsi" w:eastAsiaTheme="minorHAnsi" w:hAnsiTheme="majorHAnsi" w:cstheme="majorHAnsi"/>
          <w:i/>
          <w:iCs/>
          <w:color w:val="44546A" w:themeColor="text2"/>
          <w:sz w:val="22"/>
          <w:szCs w:val="22"/>
          <w:lang w:val="en-US"/>
        </w:rPr>
        <w:t xml:space="preserve"> </w:t>
      </w:r>
      <w:r w:rsidR="008D0CAD" w:rsidRPr="00931ED4">
        <w:rPr>
          <w:rFonts w:asciiTheme="majorHAnsi" w:eastAsiaTheme="minorHAnsi" w:hAnsiTheme="majorHAnsi" w:cstheme="majorHAnsi"/>
          <w:i/>
          <w:iCs/>
          <w:color w:val="44546A" w:themeColor="text2"/>
          <w:sz w:val="22"/>
          <w:szCs w:val="22"/>
          <w:lang w:val="en-US"/>
        </w:rPr>
        <w:t xml:space="preserve">Figure </w:t>
      </w:r>
      <w:r w:rsidR="008D0CAD" w:rsidRPr="00931ED4">
        <w:rPr>
          <w:rFonts w:asciiTheme="majorHAnsi" w:eastAsiaTheme="minorHAnsi" w:hAnsiTheme="majorHAnsi" w:cstheme="majorHAnsi"/>
          <w:i/>
          <w:iCs/>
          <w:color w:val="44546A" w:themeColor="text2"/>
          <w:sz w:val="22"/>
          <w:szCs w:val="22"/>
          <w:lang w:val="en-US"/>
        </w:rPr>
        <w:fldChar w:fldCharType="begin"/>
      </w:r>
      <w:r w:rsidR="008D0CAD" w:rsidRPr="00931ED4">
        <w:rPr>
          <w:rFonts w:asciiTheme="majorHAnsi" w:eastAsiaTheme="minorHAnsi" w:hAnsiTheme="majorHAnsi" w:cstheme="majorHAnsi"/>
          <w:i/>
          <w:iCs/>
          <w:color w:val="44546A" w:themeColor="text2"/>
          <w:sz w:val="22"/>
          <w:szCs w:val="22"/>
          <w:lang w:val="en-US"/>
        </w:rPr>
        <w:instrText xml:space="preserve"> SEQ Figure \* ARABIC </w:instrText>
      </w:r>
      <w:r w:rsidR="008D0CAD" w:rsidRPr="00931ED4">
        <w:rPr>
          <w:rFonts w:asciiTheme="majorHAnsi" w:eastAsiaTheme="minorHAnsi" w:hAnsiTheme="majorHAnsi" w:cstheme="majorHAnsi"/>
          <w:i/>
          <w:iCs/>
          <w:color w:val="44546A" w:themeColor="text2"/>
          <w:sz w:val="22"/>
          <w:szCs w:val="22"/>
          <w:lang w:val="en-US"/>
        </w:rPr>
        <w:fldChar w:fldCharType="separate"/>
      </w:r>
      <w:r w:rsidR="00D6133D">
        <w:rPr>
          <w:rFonts w:asciiTheme="majorHAnsi" w:eastAsiaTheme="minorHAnsi" w:hAnsiTheme="majorHAnsi" w:cstheme="majorHAnsi"/>
          <w:i/>
          <w:iCs/>
          <w:noProof/>
          <w:color w:val="44546A" w:themeColor="text2"/>
          <w:sz w:val="22"/>
          <w:szCs w:val="22"/>
          <w:lang w:val="en-US"/>
        </w:rPr>
        <w:t>53</w:t>
      </w:r>
      <w:r w:rsidR="008D0CAD" w:rsidRPr="00931ED4">
        <w:rPr>
          <w:rFonts w:asciiTheme="majorHAnsi" w:eastAsiaTheme="minorHAnsi" w:hAnsiTheme="majorHAnsi" w:cstheme="majorHAnsi"/>
          <w:i/>
          <w:iCs/>
          <w:color w:val="44546A" w:themeColor="text2"/>
          <w:sz w:val="22"/>
          <w:szCs w:val="22"/>
          <w:lang w:val="en-US"/>
        </w:rPr>
        <w:fldChar w:fldCharType="end"/>
      </w:r>
      <w:r w:rsidR="008D0CAD" w:rsidRPr="00931ED4">
        <w:rPr>
          <w:rFonts w:asciiTheme="majorHAnsi" w:eastAsiaTheme="minorHAnsi" w:hAnsiTheme="majorHAnsi" w:cstheme="majorHAnsi"/>
          <w:i/>
          <w:iCs/>
          <w:color w:val="44546A" w:themeColor="text2"/>
          <w:sz w:val="22"/>
          <w:szCs w:val="22"/>
          <w:lang w:val="en-US"/>
        </w:rPr>
        <w:t>.Completion Rate - Secondary</w:t>
      </w:r>
      <w:bookmarkEnd w:id="576"/>
      <w:bookmarkEnd w:id="577"/>
    </w:p>
    <w:p w14:paraId="2DE79E93" w14:textId="5A0A41BB" w:rsidR="008D0CAD" w:rsidRPr="00385784" w:rsidRDefault="008D0CAD" w:rsidP="00385784">
      <w:pPr>
        <w:spacing w:before="100" w:beforeAutospacing="1" w:after="100" w:afterAutospacing="1" w:line="360" w:lineRule="auto"/>
        <w:rPr>
          <w:rFonts w:asciiTheme="majorHAnsi" w:hAnsiTheme="majorHAnsi" w:cstheme="majorHAnsi"/>
          <w:b/>
          <w:bCs/>
          <w:sz w:val="20"/>
          <w:szCs w:val="20"/>
          <w:lang w:val="en-US"/>
        </w:rPr>
      </w:pPr>
      <w:r w:rsidRPr="00931ED4">
        <w:rPr>
          <w:rFonts w:asciiTheme="majorHAnsi" w:hAnsiTheme="majorHAnsi" w:cstheme="majorHAnsi"/>
          <w:noProof/>
          <w:sz w:val="20"/>
          <w:szCs w:val="20"/>
          <w:lang w:val="en-AU" w:eastAsia="en-AU"/>
        </w:rPr>
        <w:drawing>
          <wp:inline distT="0" distB="0" distL="0" distR="0" wp14:anchorId="40683988" wp14:editId="188D9D52">
            <wp:extent cx="4564118" cy="2475186"/>
            <wp:effectExtent l="0" t="0" r="8255" b="14605"/>
            <wp:docPr id="110" name="Chart 110" descr="Line chart of completion rate for secondary by gender for school years 2011 to 2018. Increasing trend from 2011-2018, Higher for females than males.">
              <a:extLst xmlns:a="http://schemas.openxmlformats.org/drawingml/2006/main">
                <a:ext uri="{FF2B5EF4-FFF2-40B4-BE49-F238E27FC236}">
                  <a16:creationId xmlns:a16="http://schemas.microsoft.com/office/drawing/2014/main" id="{3CA92AD4-2EE7-4BF5-8EBE-F1800A68F5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r w:rsidR="00D434EB">
        <w:rPr>
          <w:rFonts w:asciiTheme="majorHAnsi" w:hAnsiTheme="majorHAnsi" w:cstheme="majorHAnsi"/>
          <w:bCs/>
          <w:i/>
          <w:iCs/>
          <w:sz w:val="20"/>
          <w:szCs w:val="20"/>
          <w:lang w:val="en-US"/>
        </w:rPr>
        <w:t xml:space="preserve">    </w:t>
      </w:r>
      <w:r w:rsidRPr="00931ED4">
        <w:rPr>
          <w:rFonts w:asciiTheme="majorHAnsi" w:hAnsiTheme="majorHAnsi" w:cstheme="majorHAnsi"/>
          <w:bCs/>
          <w:i/>
          <w:iCs/>
          <w:sz w:val="20"/>
          <w:szCs w:val="20"/>
          <w:lang w:val="en-US"/>
        </w:rPr>
        <w:tab/>
      </w:r>
    </w:p>
    <w:p w14:paraId="29BB2A52" w14:textId="5688767A" w:rsidR="008D0CAD" w:rsidRPr="00931ED4" w:rsidRDefault="00D434EB" w:rsidP="00796BFA">
      <w:pPr>
        <w:spacing w:before="100" w:beforeAutospacing="1" w:after="100" w:afterAutospacing="1" w:line="360" w:lineRule="auto"/>
        <w:ind w:hanging="33"/>
        <w:rPr>
          <w:rFonts w:asciiTheme="majorHAnsi" w:hAnsiTheme="majorHAnsi" w:cstheme="majorHAnsi"/>
          <w:bCs/>
          <w:i/>
          <w:iCs/>
          <w:sz w:val="20"/>
          <w:szCs w:val="20"/>
          <w:lang w:val="en-US"/>
        </w:rPr>
      </w:pPr>
      <w:r>
        <w:rPr>
          <w:rFonts w:asciiTheme="majorHAnsi" w:hAnsiTheme="majorHAnsi" w:cstheme="majorHAnsi"/>
          <w:bCs/>
          <w:i/>
          <w:iCs/>
          <w:sz w:val="20"/>
          <w:szCs w:val="20"/>
          <w:lang w:val="en-US"/>
        </w:rPr>
        <w:t xml:space="preserve"> </w:t>
      </w:r>
      <w:r w:rsidR="008D0CAD" w:rsidRPr="00931ED4">
        <w:rPr>
          <w:rFonts w:asciiTheme="majorHAnsi" w:hAnsiTheme="majorHAnsi" w:cstheme="majorHAnsi"/>
          <w:bCs/>
          <w:i/>
          <w:iCs/>
          <w:sz w:val="20"/>
          <w:szCs w:val="20"/>
          <w:lang w:val="en-US"/>
        </w:rPr>
        <w:t>Source: EBEIS (Retrieved April 2019)</w:t>
      </w:r>
    </w:p>
    <w:p w14:paraId="748E98C1" w14:textId="6BE34B59" w:rsidR="008D0CAD" w:rsidRPr="00931ED4" w:rsidRDefault="008D0CAD" w:rsidP="00796BFA">
      <w:pPr>
        <w:spacing w:before="100" w:beforeAutospacing="1" w:after="100" w:afterAutospacing="1" w:line="360" w:lineRule="auto"/>
        <w:rPr>
          <w:rFonts w:asciiTheme="majorHAnsi" w:hAnsiTheme="majorHAnsi" w:cstheme="majorHAnsi"/>
          <w:b/>
          <w:bCs/>
          <w:lang w:val="en-US"/>
        </w:rPr>
      </w:pPr>
      <w:r w:rsidRPr="00931ED4">
        <w:rPr>
          <w:rFonts w:asciiTheme="majorHAnsi" w:hAnsiTheme="majorHAnsi" w:cstheme="majorHAnsi"/>
          <w:b/>
          <w:bCs/>
          <w:lang w:val="en-US"/>
        </w:rPr>
        <w:t xml:space="preserve">Completion Rates by Divisions. </w:t>
      </w:r>
      <w:r w:rsidRPr="00931ED4">
        <w:rPr>
          <w:rFonts w:asciiTheme="majorHAnsi" w:hAnsiTheme="majorHAnsi" w:cstheme="majorHAnsi"/>
          <w:sz w:val="22"/>
          <w:szCs w:val="22"/>
          <w:lang w:val="en-US"/>
        </w:rPr>
        <w:t xml:space="preserve">In SY2013-2014 (baseline year), the national completion rates were pegged at 78 percent with female learners posting higher rate at 81 percent compared to male learners at 74 percent </w:t>
      </w:r>
      <w:r w:rsidRPr="00931ED4">
        <w:rPr>
          <w:rFonts w:asciiTheme="majorHAnsi" w:hAnsiTheme="majorHAnsi" w:cstheme="majorHAnsi"/>
          <w:lang w:val="en-US"/>
        </w:rPr>
        <w:t>(Figure 22)</w:t>
      </w:r>
      <w:r w:rsidRPr="00931ED4">
        <w:rPr>
          <w:rFonts w:asciiTheme="majorHAnsi" w:hAnsiTheme="majorHAnsi" w:cstheme="majorHAnsi"/>
          <w:sz w:val="22"/>
          <w:szCs w:val="22"/>
          <w:lang w:val="en-US"/>
        </w:rPr>
        <w:t>.</w:t>
      </w:r>
      <w:r w:rsidR="00D434EB">
        <w:rPr>
          <w:rFonts w:asciiTheme="majorHAnsi" w:hAnsiTheme="majorHAnsi" w:cstheme="majorHAnsi"/>
          <w:sz w:val="22"/>
          <w:szCs w:val="22"/>
          <w:lang w:val="en-US"/>
        </w:rPr>
        <w:t xml:space="preserve"> </w:t>
      </w:r>
      <w:r w:rsidRPr="00931ED4">
        <w:rPr>
          <w:rFonts w:asciiTheme="majorHAnsi" w:hAnsiTheme="majorHAnsi" w:cstheme="majorHAnsi"/>
          <w:sz w:val="22"/>
          <w:szCs w:val="22"/>
          <w:lang w:val="en-US"/>
        </w:rPr>
        <w:t xml:space="preserve"> </w:t>
      </w:r>
      <w:r w:rsidRPr="00931ED4">
        <w:rPr>
          <w:rFonts w:asciiTheme="majorHAnsi" w:hAnsiTheme="majorHAnsi" w:cstheme="majorHAnsi"/>
          <w:lang w:val="en-US"/>
        </w:rPr>
        <w:t>Of the 14 Divisions included in the Study, Misamis Oriental posted the lowest completion rate (52.39%) seconded by Eastern Samar (69.81%), which were both below the national rate.</w:t>
      </w:r>
      <w:r w:rsidR="00D434EB">
        <w:rPr>
          <w:rFonts w:asciiTheme="majorHAnsi" w:hAnsiTheme="majorHAnsi" w:cstheme="majorHAnsi"/>
          <w:lang w:val="en-US"/>
        </w:rPr>
        <w:t xml:space="preserve"> </w:t>
      </w:r>
      <w:r w:rsidRPr="00931ED4">
        <w:rPr>
          <w:rFonts w:asciiTheme="majorHAnsi" w:hAnsiTheme="majorHAnsi" w:cstheme="majorHAnsi"/>
          <w:lang w:val="en-US"/>
        </w:rPr>
        <w:t>The highest rate was posted by Bohol with 85.60%.</w:t>
      </w:r>
      <w:r w:rsidR="00D434EB">
        <w:rPr>
          <w:rFonts w:asciiTheme="majorHAnsi" w:hAnsiTheme="majorHAnsi" w:cstheme="majorHAnsi"/>
          <w:lang w:val="en-US"/>
        </w:rPr>
        <w:t xml:space="preserve"> </w:t>
      </w:r>
      <w:r w:rsidRPr="00931ED4">
        <w:rPr>
          <w:rFonts w:asciiTheme="majorHAnsi" w:hAnsiTheme="majorHAnsi" w:cstheme="majorHAnsi"/>
          <w:lang w:val="en-US"/>
        </w:rPr>
        <w:t>Moreover, in addition to Misamis Oriental and Eastern Samar, three other Divisions fell below the national rate namely: Cagayan de Oro City (68.82%); Las Piñas City (70.30%); and Manila (72.50%).</w:t>
      </w:r>
    </w:p>
    <w:p w14:paraId="1D87218C" w14:textId="085EEC2C" w:rsidR="008D0CAD" w:rsidRPr="00931ED4" w:rsidRDefault="008D0CAD" w:rsidP="00796BFA">
      <w:pPr>
        <w:spacing w:before="100" w:beforeAutospacing="1" w:after="100" w:afterAutospacing="1" w:line="360" w:lineRule="auto"/>
        <w:rPr>
          <w:rFonts w:asciiTheme="majorHAnsi" w:hAnsiTheme="majorHAnsi" w:cstheme="majorHAnsi"/>
          <w:lang w:val="en-US"/>
        </w:rPr>
      </w:pPr>
      <w:r w:rsidRPr="00931ED4">
        <w:rPr>
          <w:rFonts w:asciiTheme="majorHAnsi" w:hAnsiTheme="majorHAnsi" w:cstheme="majorHAnsi"/>
          <w:lang w:val="en-US"/>
        </w:rPr>
        <w:t>By SY2017-2018 (endline year), the national completion rates jumped to 92.41 percent (Figure 23).</w:t>
      </w:r>
      <w:r w:rsidR="00D434EB">
        <w:rPr>
          <w:rFonts w:asciiTheme="majorHAnsi" w:hAnsiTheme="majorHAnsi" w:cstheme="majorHAnsi"/>
          <w:lang w:val="en-US"/>
        </w:rPr>
        <w:t xml:space="preserve"> </w:t>
      </w:r>
      <w:r w:rsidRPr="00931ED4">
        <w:rPr>
          <w:rFonts w:asciiTheme="majorHAnsi" w:hAnsiTheme="majorHAnsi" w:cstheme="majorHAnsi"/>
          <w:lang w:val="en-US"/>
        </w:rPr>
        <w:t>Female students were still higher at 95% but male learners were not far behind at 90 percent.</w:t>
      </w:r>
      <w:r w:rsidR="00D434EB">
        <w:rPr>
          <w:rFonts w:asciiTheme="majorHAnsi" w:hAnsiTheme="majorHAnsi" w:cstheme="majorHAnsi"/>
          <w:lang w:val="en-US"/>
        </w:rPr>
        <w:t xml:space="preserve"> </w:t>
      </w:r>
      <w:r w:rsidRPr="00931ED4">
        <w:rPr>
          <w:rFonts w:asciiTheme="majorHAnsi" w:hAnsiTheme="majorHAnsi" w:cstheme="majorHAnsi"/>
          <w:lang w:val="en-US"/>
        </w:rPr>
        <w:t>During this year, the highest completion rates were posted by Quezon City (100%), Cagayan de Oro City (97.36%), Bohol (96.87%) and Paranaque City (96.86%). The lowest completion rate was posted by Misamis Oriental (91.06%), which made Region X host to both a success story (Cagayan de Oro City) and a challenging story.</w:t>
      </w:r>
    </w:p>
    <w:p w14:paraId="641EAE08" w14:textId="3C970A9C" w:rsidR="008D0CAD" w:rsidRDefault="008D0CAD" w:rsidP="00796BFA">
      <w:pPr>
        <w:spacing w:before="100" w:beforeAutospacing="1" w:after="100" w:afterAutospacing="1" w:line="360" w:lineRule="auto"/>
        <w:rPr>
          <w:rFonts w:asciiTheme="majorHAnsi" w:hAnsiTheme="majorHAnsi" w:cstheme="majorHAnsi"/>
          <w:bCs/>
          <w:lang w:val="en-US"/>
        </w:rPr>
      </w:pPr>
      <w:r w:rsidRPr="00931ED4">
        <w:rPr>
          <w:rFonts w:asciiTheme="majorHAnsi" w:hAnsiTheme="majorHAnsi" w:cstheme="majorHAnsi"/>
          <w:bCs/>
          <w:lang w:val="en-US"/>
        </w:rPr>
        <w:t>In terms of success stories in completion rates, the Divisions of Manila and Parañaque City in the National Capital Region were the most significant (Figure 24).</w:t>
      </w:r>
      <w:r w:rsidR="00D434EB">
        <w:rPr>
          <w:rFonts w:asciiTheme="majorHAnsi" w:hAnsiTheme="majorHAnsi" w:cstheme="majorHAnsi"/>
          <w:bCs/>
          <w:lang w:val="en-US"/>
        </w:rPr>
        <w:t xml:space="preserve"> </w:t>
      </w:r>
    </w:p>
    <w:p w14:paraId="08074F43" w14:textId="77777777" w:rsidR="008D0CAD" w:rsidRDefault="008D0CAD" w:rsidP="00796BFA">
      <w:pPr>
        <w:spacing w:before="100" w:beforeAutospacing="1" w:after="100" w:afterAutospacing="1" w:line="360" w:lineRule="auto"/>
        <w:rPr>
          <w:rFonts w:asciiTheme="majorHAnsi" w:hAnsiTheme="majorHAnsi" w:cstheme="majorHAnsi"/>
          <w:bCs/>
          <w:lang w:val="en-US"/>
        </w:rPr>
        <w:sectPr w:rsidR="008D0CAD" w:rsidSect="009C64E9">
          <w:pgSz w:w="12240" w:h="15840"/>
          <w:pgMar w:top="1440" w:right="1440" w:bottom="1440" w:left="1440" w:header="720" w:footer="720" w:gutter="0"/>
          <w:cols w:space="720"/>
          <w:docGrid w:linePitch="360"/>
        </w:sectPr>
      </w:pPr>
    </w:p>
    <w:p w14:paraId="1B787577" w14:textId="7DFF3CCE" w:rsidR="008D0CAD" w:rsidRPr="00931ED4" w:rsidRDefault="008D0CAD" w:rsidP="00796BFA">
      <w:pPr>
        <w:spacing w:before="100" w:beforeAutospacing="1" w:after="100" w:afterAutospacing="1" w:line="360" w:lineRule="auto"/>
        <w:rPr>
          <w:rFonts w:asciiTheme="majorHAnsi" w:eastAsiaTheme="minorHAnsi" w:hAnsiTheme="majorHAnsi" w:cstheme="majorHAnsi"/>
          <w:b/>
          <w:bCs/>
          <w:i/>
          <w:iCs/>
          <w:color w:val="44546A" w:themeColor="text2"/>
          <w:sz w:val="22"/>
          <w:szCs w:val="22"/>
          <w:lang w:val="en-US"/>
        </w:rPr>
      </w:pPr>
      <w:bookmarkStart w:id="578" w:name="_Toc16524134"/>
      <w:bookmarkStart w:id="579" w:name="_Toc71616581"/>
      <w:r w:rsidRPr="00931ED4">
        <w:rPr>
          <w:rFonts w:asciiTheme="majorHAnsi" w:eastAsiaTheme="minorHAnsi" w:hAnsiTheme="majorHAnsi" w:cstheme="majorHAnsi"/>
          <w:i/>
          <w:iCs/>
          <w:color w:val="44546A" w:themeColor="text2"/>
          <w:sz w:val="22"/>
          <w:szCs w:val="22"/>
          <w:lang w:val="en-US"/>
        </w:rPr>
        <w:t xml:space="preserve">Figure </w:t>
      </w:r>
      <w:r w:rsidRPr="00931ED4">
        <w:rPr>
          <w:rFonts w:asciiTheme="majorHAnsi" w:eastAsiaTheme="minorHAnsi" w:hAnsiTheme="majorHAnsi" w:cstheme="majorHAnsi"/>
          <w:i/>
          <w:iCs/>
          <w:color w:val="44546A" w:themeColor="text2"/>
          <w:sz w:val="22"/>
          <w:szCs w:val="22"/>
          <w:lang w:val="en-US"/>
        </w:rPr>
        <w:fldChar w:fldCharType="begin"/>
      </w:r>
      <w:r w:rsidRPr="00931ED4">
        <w:rPr>
          <w:rFonts w:asciiTheme="majorHAnsi" w:eastAsiaTheme="minorHAnsi" w:hAnsiTheme="majorHAnsi" w:cstheme="majorHAnsi"/>
          <w:i/>
          <w:iCs/>
          <w:color w:val="44546A" w:themeColor="text2"/>
          <w:sz w:val="22"/>
          <w:szCs w:val="22"/>
          <w:lang w:val="en-US"/>
        </w:rPr>
        <w:instrText xml:space="preserve"> SEQ Figure \* ARABIC </w:instrText>
      </w:r>
      <w:r w:rsidRPr="00931ED4">
        <w:rPr>
          <w:rFonts w:asciiTheme="majorHAnsi" w:eastAsiaTheme="minorHAnsi" w:hAnsiTheme="majorHAnsi" w:cstheme="majorHAnsi"/>
          <w:i/>
          <w:iCs/>
          <w:color w:val="44546A" w:themeColor="text2"/>
          <w:sz w:val="22"/>
          <w:szCs w:val="22"/>
          <w:lang w:val="en-US"/>
        </w:rPr>
        <w:fldChar w:fldCharType="separate"/>
      </w:r>
      <w:r w:rsidR="00D6133D">
        <w:rPr>
          <w:rFonts w:asciiTheme="majorHAnsi" w:eastAsiaTheme="minorHAnsi" w:hAnsiTheme="majorHAnsi" w:cstheme="majorHAnsi"/>
          <w:i/>
          <w:iCs/>
          <w:noProof/>
          <w:color w:val="44546A" w:themeColor="text2"/>
          <w:sz w:val="22"/>
          <w:szCs w:val="22"/>
          <w:lang w:val="en-US"/>
        </w:rPr>
        <w:t>54</w:t>
      </w:r>
      <w:r w:rsidRPr="00931ED4">
        <w:rPr>
          <w:rFonts w:asciiTheme="majorHAnsi" w:eastAsiaTheme="minorHAnsi" w:hAnsiTheme="majorHAnsi" w:cstheme="majorHAnsi"/>
          <w:i/>
          <w:iCs/>
          <w:color w:val="44546A" w:themeColor="text2"/>
          <w:sz w:val="22"/>
          <w:szCs w:val="22"/>
          <w:lang w:val="en-US"/>
        </w:rPr>
        <w:fldChar w:fldCharType="end"/>
      </w:r>
      <w:r w:rsidRPr="00931ED4">
        <w:rPr>
          <w:rFonts w:asciiTheme="majorHAnsi" w:eastAsiaTheme="minorHAnsi" w:hAnsiTheme="majorHAnsi" w:cstheme="majorHAnsi"/>
          <w:i/>
          <w:iCs/>
          <w:color w:val="44546A" w:themeColor="text2"/>
          <w:sz w:val="22"/>
          <w:szCs w:val="22"/>
          <w:lang w:val="en-US"/>
        </w:rPr>
        <w:t>.Completion Rate by Divisions under EOPE Study (%), SY2013-2014 (Baseline)</w:t>
      </w:r>
      <w:bookmarkEnd w:id="578"/>
      <w:bookmarkEnd w:id="579"/>
    </w:p>
    <w:p w14:paraId="773F0B94" w14:textId="77777777" w:rsidR="008D0CAD" w:rsidRPr="00931ED4" w:rsidRDefault="008D0CAD" w:rsidP="00796BFA">
      <w:pPr>
        <w:spacing w:before="100" w:beforeAutospacing="1" w:after="100" w:afterAutospacing="1" w:line="360" w:lineRule="auto"/>
        <w:rPr>
          <w:lang w:val="en-US"/>
        </w:rPr>
      </w:pPr>
      <w:r w:rsidRPr="00931ED4">
        <w:rPr>
          <w:noProof/>
          <w:lang w:val="en-AU" w:eastAsia="en-AU"/>
        </w:rPr>
        <w:drawing>
          <wp:inline distT="0" distB="0" distL="0" distR="0" wp14:anchorId="7052ECDE" wp14:editId="5C3D0118">
            <wp:extent cx="7315200" cy="2618961"/>
            <wp:effectExtent l="0" t="0" r="0" b="0"/>
            <wp:docPr id="111" name="Picture 111" descr="Bar graph of completion rate by divisions under the EOPE Study for school year 2013-2014. Female, 81%, Mal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Bar graph of completion rate by divisions under the EOPE Study for school year 2013-2014. Female, 81%, Male, 74%."/>
                    <pic:cNvPicPr/>
                  </pic:nvPicPr>
                  <pic:blipFill rotWithShape="1">
                    <a:blip r:embed="rId115" cstate="print">
                      <a:extLst>
                        <a:ext uri="{28A0092B-C50C-407E-A947-70E740481C1C}">
                          <a14:useLocalDpi xmlns:a14="http://schemas.microsoft.com/office/drawing/2010/main" val="0"/>
                        </a:ext>
                      </a:extLst>
                    </a:blip>
                    <a:srcRect l="2484" t="11226" b="32914"/>
                    <a:stretch/>
                  </pic:blipFill>
                  <pic:spPr bwMode="auto">
                    <a:xfrm>
                      <a:off x="0" y="0"/>
                      <a:ext cx="7357665" cy="2634164"/>
                    </a:xfrm>
                    <a:prstGeom prst="rect">
                      <a:avLst/>
                    </a:prstGeom>
                    <a:ln>
                      <a:noFill/>
                    </a:ln>
                    <a:extLst>
                      <a:ext uri="{53640926-AAD7-44D8-BBD7-CCE9431645EC}">
                        <a14:shadowObscured xmlns:a14="http://schemas.microsoft.com/office/drawing/2010/main"/>
                      </a:ext>
                    </a:extLst>
                  </pic:spPr>
                </pic:pic>
              </a:graphicData>
            </a:graphic>
          </wp:inline>
        </w:drawing>
      </w:r>
    </w:p>
    <w:p w14:paraId="0C692455" w14:textId="1711821D" w:rsidR="008D0CAD" w:rsidRPr="00AC648E" w:rsidRDefault="008D0CAD" w:rsidP="00385784">
      <w:pPr>
        <w:pageBreakBefore/>
        <w:suppressLineNumbers/>
        <w:spacing w:before="100" w:beforeAutospacing="1" w:after="100" w:afterAutospacing="1" w:line="360" w:lineRule="auto"/>
        <w:rPr>
          <w:rFonts w:asciiTheme="majorHAnsi" w:hAnsiTheme="majorHAnsi" w:cstheme="majorHAnsi"/>
          <w:i/>
          <w:color w:val="44546A" w:themeColor="text2"/>
          <w:sz w:val="22"/>
          <w:szCs w:val="22"/>
          <w:lang w:val="en-US"/>
        </w:rPr>
      </w:pPr>
      <w:bookmarkStart w:id="580" w:name="_Toc16524135"/>
      <w:bookmarkStart w:id="581" w:name="_Toc71616582"/>
      <w:r w:rsidRPr="00AC648E">
        <w:rPr>
          <w:rFonts w:asciiTheme="majorHAnsi" w:hAnsiTheme="majorHAnsi" w:cstheme="majorHAnsi"/>
          <w:i/>
          <w:color w:val="44546A" w:themeColor="text2"/>
          <w:sz w:val="22"/>
          <w:szCs w:val="22"/>
          <w:lang w:val="en-US"/>
        </w:rPr>
        <w:t xml:space="preserve">Figure </w:t>
      </w:r>
      <w:r w:rsidRPr="00AC648E">
        <w:rPr>
          <w:rFonts w:asciiTheme="majorHAnsi" w:hAnsiTheme="majorHAnsi" w:cstheme="majorHAnsi"/>
          <w:i/>
          <w:color w:val="44546A" w:themeColor="text2"/>
          <w:sz w:val="22"/>
          <w:szCs w:val="22"/>
          <w:lang w:val="en-US"/>
        </w:rPr>
        <w:fldChar w:fldCharType="begin"/>
      </w:r>
      <w:r w:rsidRPr="00AC648E">
        <w:rPr>
          <w:rFonts w:asciiTheme="majorHAnsi" w:hAnsiTheme="majorHAnsi" w:cstheme="majorHAnsi"/>
          <w:i/>
          <w:color w:val="44546A" w:themeColor="text2"/>
          <w:sz w:val="22"/>
          <w:szCs w:val="22"/>
          <w:lang w:val="en-US"/>
        </w:rPr>
        <w:instrText xml:space="preserve"> SEQ Figure \* ARABIC </w:instrText>
      </w:r>
      <w:r w:rsidRPr="00AC648E">
        <w:rPr>
          <w:rFonts w:asciiTheme="majorHAnsi" w:hAnsiTheme="majorHAnsi" w:cstheme="majorHAnsi"/>
          <w:i/>
          <w:color w:val="44546A" w:themeColor="text2"/>
          <w:sz w:val="22"/>
          <w:szCs w:val="22"/>
          <w:lang w:val="en-US"/>
        </w:rPr>
        <w:fldChar w:fldCharType="separate"/>
      </w:r>
      <w:r w:rsidR="00D6133D">
        <w:rPr>
          <w:rFonts w:asciiTheme="majorHAnsi" w:hAnsiTheme="majorHAnsi" w:cstheme="majorHAnsi"/>
          <w:i/>
          <w:noProof/>
          <w:color w:val="44546A" w:themeColor="text2"/>
          <w:sz w:val="22"/>
          <w:szCs w:val="22"/>
          <w:lang w:val="en-US"/>
        </w:rPr>
        <w:t>55</w:t>
      </w:r>
      <w:r w:rsidRPr="00AC648E">
        <w:rPr>
          <w:rFonts w:asciiTheme="majorHAnsi" w:hAnsiTheme="majorHAnsi" w:cstheme="majorHAnsi"/>
          <w:i/>
          <w:color w:val="44546A" w:themeColor="text2"/>
          <w:sz w:val="22"/>
          <w:szCs w:val="22"/>
          <w:lang w:val="en-US"/>
        </w:rPr>
        <w:fldChar w:fldCharType="end"/>
      </w:r>
      <w:r w:rsidRPr="00AC648E">
        <w:rPr>
          <w:rFonts w:asciiTheme="majorHAnsi" w:hAnsiTheme="majorHAnsi" w:cstheme="majorHAnsi"/>
          <w:i/>
          <w:color w:val="44546A" w:themeColor="text2"/>
          <w:sz w:val="22"/>
          <w:szCs w:val="22"/>
          <w:lang w:val="en-US"/>
        </w:rPr>
        <w:t>.Completion Rate by Divisions under EOPE Study (%), SY2017-2018 (Endline)</w:t>
      </w:r>
      <w:bookmarkEnd w:id="580"/>
      <w:bookmarkEnd w:id="581"/>
    </w:p>
    <w:p w14:paraId="38A38913" w14:textId="77777777" w:rsidR="008D0CAD" w:rsidRPr="00931ED4" w:rsidRDefault="008D0CAD" w:rsidP="00796BFA">
      <w:pPr>
        <w:spacing w:before="100" w:beforeAutospacing="1" w:after="100" w:afterAutospacing="1" w:line="360" w:lineRule="auto"/>
        <w:rPr>
          <w:lang w:val="en-US"/>
        </w:rPr>
      </w:pPr>
      <w:r w:rsidRPr="00931ED4">
        <w:rPr>
          <w:noProof/>
          <w:lang w:val="en-AU" w:eastAsia="en-AU"/>
        </w:rPr>
        <w:drawing>
          <wp:inline distT="0" distB="0" distL="0" distR="0" wp14:anchorId="5232AD91" wp14:editId="3922DA50">
            <wp:extent cx="7992486" cy="2829735"/>
            <wp:effectExtent l="0" t="0" r="0" b="2540"/>
            <wp:docPr id="112" name="Picture 112" descr="Bar graph of completion rate by divisions under the EOPE Study, for school year 2017-2018. Female, 95%; Male, 9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Bar graph of completion rate by divisions under the EOPE Study, for school year 2017-2018. Female, 95%; Male, 90% "/>
                    <pic:cNvPicPr/>
                  </pic:nvPicPr>
                  <pic:blipFill rotWithShape="1">
                    <a:blip r:embed="rId116" cstate="print">
                      <a:extLst>
                        <a:ext uri="{28A0092B-C50C-407E-A947-70E740481C1C}">
                          <a14:useLocalDpi xmlns:a14="http://schemas.microsoft.com/office/drawing/2010/main" val="0"/>
                        </a:ext>
                      </a:extLst>
                    </a:blip>
                    <a:srcRect l="2101" t="7503" b="37039"/>
                    <a:stretch/>
                  </pic:blipFill>
                  <pic:spPr bwMode="auto">
                    <a:xfrm>
                      <a:off x="0" y="0"/>
                      <a:ext cx="8025118" cy="2841288"/>
                    </a:xfrm>
                    <a:prstGeom prst="rect">
                      <a:avLst/>
                    </a:prstGeom>
                    <a:ln>
                      <a:noFill/>
                    </a:ln>
                    <a:extLst>
                      <a:ext uri="{53640926-AAD7-44D8-BBD7-CCE9431645EC}">
                        <a14:shadowObscured xmlns:a14="http://schemas.microsoft.com/office/drawing/2010/main"/>
                      </a:ext>
                    </a:extLst>
                  </pic:spPr>
                </pic:pic>
              </a:graphicData>
            </a:graphic>
          </wp:inline>
        </w:drawing>
      </w:r>
    </w:p>
    <w:p w14:paraId="74CE8094" w14:textId="77777777" w:rsidR="008D0CAD" w:rsidRPr="0061305F" w:rsidRDefault="008D0CAD" w:rsidP="00796BFA">
      <w:pPr>
        <w:spacing w:before="100" w:beforeAutospacing="1" w:after="100" w:afterAutospacing="1" w:line="360" w:lineRule="auto"/>
        <w:rPr>
          <w:lang w:val="en-US"/>
        </w:rPr>
        <w:sectPr w:rsidR="008D0CAD" w:rsidRPr="0061305F" w:rsidSect="009C64E9">
          <w:pgSz w:w="15840" w:h="12240" w:orient="landscape"/>
          <w:pgMar w:top="720" w:right="720" w:bottom="720" w:left="720" w:header="720" w:footer="720" w:gutter="0"/>
          <w:cols w:space="720"/>
          <w:docGrid w:linePitch="360"/>
        </w:sectPr>
      </w:pPr>
    </w:p>
    <w:p w14:paraId="0A88FA3E" w14:textId="24825FF7" w:rsidR="008D0CAD" w:rsidRPr="00AC648E" w:rsidRDefault="008D0CAD" w:rsidP="00796BFA">
      <w:pPr>
        <w:spacing w:before="100" w:beforeAutospacing="1" w:after="100" w:afterAutospacing="1" w:line="360" w:lineRule="auto"/>
        <w:rPr>
          <w:rFonts w:asciiTheme="majorHAnsi" w:hAnsiTheme="majorHAnsi" w:cstheme="majorHAnsi"/>
          <w:i/>
          <w:iCs/>
          <w:color w:val="44546A" w:themeColor="text2"/>
          <w:sz w:val="22"/>
          <w:szCs w:val="22"/>
          <w:lang w:val="en-US"/>
        </w:rPr>
      </w:pPr>
      <w:bookmarkStart w:id="582" w:name="_Toc16524136"/>
      <w:bookmarkStart w:id="583" w:name="_Toc71616583"/>
      <w:r w:rsidRPr="00AC648E">
        <w:rPr>
          <w:rFonts w:asciiTheme="majorHAnsi" w:hAnsiTheme="majorHAnsi" w:cstheme="majorHAnsi"/>
          <w:i/>
          <w:iCs/>
          <w:color w:val="44546A" w:themeColor="text2"/>
          <w:sz w:val="22"/>
          <w:szCs w:val="22"/>
          <w:lang w:val="en-US"/>
        </w:rPr>
        <w:t xml:space="preserve">Figure </w:t>
      </w:r>
      <w:r w:rsidRPr="00AC648E">
        <w:rPr>
          <w:rFonts w:asciiTheme="majorHAnsi" w:hAnsiTheme="majorHAnsi" w:cstheme="majorHAnsi"/>
          <w:i/>
          <w:iCs/>
          <w:color w:val="44546A" w:themeColor="text2"/>
          <w:sz w:val="22"/>
          <w:szCs w:val="22"/>
          <w:lang w:val="en-US"/>
        </w:rPr>
        <w:fldChar w:fldCharType="begin"/>
      </w:r>
      <w:r w:rsidRPr="00AC648E">
        <w:rPr>
          <w:rFonts w:asciiTheme="majorHAnsi" w:hAnsiTheme="majorHAnsi" w:cstheme="majorHAnsi"/>
          <w:i/>
          <w:iCs/>
          <w:color w:val="44546A" w:themeColor="text2"/>
          <w:sz w:val="22"/>
          <w:szCs w:val="22"/>
          <w:lang w:val="en-US"/>
        </w:rPr>
        <w:instrText xml:space="preserve"> SEQ Figure \* ARABIC </w:instrText>
      </w:r>
      <w:r w:rsidRPr="00AC648E">
        <w:rPr>
          <w:rFonts w:asciiTheme="majorHAnsi" w:hAnsiTheme="majorHAnsi" w:cstheme="majorHAnsi"/>
          <w:i/>
          <w:iCs/>
          <w:color w:val="44546A" w:themeColor="text2"/>
          <w:sz w:val="22"/>
          <w:szCs w:val="22"/>
          <w:lang w:val="en-US"/>
        </w:rPr>
        <w:fldChar w:fldCharType="separate"/>
      </w:r>
      <w:r w:rsidR="00D6133D">
        <w:rPr>
          <w:rFonts w:asciiTheme="majorHAnsi" w:hAnsiTheme="majorHAnsi" w:cstheme="majorHAnsi"/>
          <w:i/>
          <w:iCs/>
          <w:noProof/>
          <w:color w:val="44546A" w:themeColor="text2"/>
          <w:sz w:val="22"/>
          <w:szCs w:val="22"/>
          <w:lang w:val="en-US"/>
        </w:rPr>
        <w:t>56</w:t>
      </w:r>
      <w:r w:rsidRPr="00AC648E">
        <w:rPr>
          <w:rFonts w:asciiTheme="majorHAnsi" w:hAnsiTheme="majorHAnsi" w:cstheme="majorHAnsi"/>
          <w:i/>
          <w:iCs/>
          <w:color w:val="44546A" w:themeColor="text2"/>
          <w:sz w:val="22"/>
          <w:szCs w:val="22"/>
          <w:lang w:val="en-US"/>
        </w:rPr>
        <w:fldChar w:fldCharType="end"/>
      </w:r>
      <w:r w:rsidRPr="00AC648E">
        <w:rPr>
          <w:rFonts w:asciiTheme="majorHAnsi" w:hAnsiTheme="majorHAnsi" w:cstheme="majorHAnsi"/>
          <w:i/>
          <w:iCs/>
          <w:color w:val="44546A" w:themeColor="text2"/>
          <w:sz w:val="22"/>
          <w:szCs w:val="22"/>
          <w:lang w:val="en-US"/>
        </w:rPr>
        <w:t>. Change in Completion Rate by Divisions under EOPE Study (%), (Endline-Baseline)</w:t>
      </w:r>
      <w:bookmarkEnd w:id="582"/>
      <w:bookmarkEnd w:id="583"/>
    </w:p>
    <w:p w14:paraId="3D76C87E" w14:textId="66582941" w:rsidR="008D0CAD" w:rsidRDefault="008D0CAD" w:rsidP="00796BFA">
      <w:pPr>
        <w:spacing w:before="100" w:beforeAutospacing="1" w:after="100" w:afterAutospacing="1" w:line="360" w:lineRule="auto"/>
        <w:rPr>
          <w:lang w:val="en-US"/>
        </w:rPr>
      </w:pPr>
      <w:r w:rsidRPr="00931ED4">
        <w:rPr>
          <w:noProof/>
          <w:lang w:val="en-AU" w:eastAsia="en-AU"/>
        </w:rPr>
        <w:drawing>
          <wp:inline distT="0" distB="0" distL="0" distR="0" wp14:anchorId="22642D83" wp14:editId="2FD5C80D">
            <wp:extent cx="8659864" cy="3191510"/>
            <wp:effectExtent l="0" t="0" r="1905" b="0"/>
            <wp:docPr id="113" name="Picture 113" descr="Bar chart of change in completion rate by divisions under EOPE Study. Male, 16%; Femal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Bar chart of change in completion rate by divisions under EOPE Study. Male, 16%; Female, 13%."/>
                    <pic:cNvPicPr/>
                  </pic:nvPicPr>
                  <pic:blipFill rotWithShape="1">
                    <a:blip r:embed="rId117" cstate="print">
                      <a:extLst>
                        <a:ext uri="{28A0092B-C50C-407E-A947-70E740481C1C}">
                          <a14:useLocalDpi xmlns:a14="http://schemas.microsoft.com/office/drawing/2010/main" val="0"/>
                        </a:ext>
                      </a:extLst>
                    </a:blip>
                    <a:srcRect l="2292" t="5807" b="36579"/>
                    <a:stretch/>
                  </pic:blipFill>
                  <pic:spPr bwMode="auto">
                    <a:xfrm>
                      <a:off x="0" y="0"/>
                      <a:ext cx="8661365" cy="3192063"/>
                    </a:xfrm>
                    <a:prstGeom prst="rect">
                      <a:avLst/>
                    </a:prstGeom>
                    <a:ln>
                      <a:noFill/>
                    </a:ln>
                    <a:extLst>
                      <a:ext uri="{53640926-AAD7-44D8-BBD7-CCE9431645EC}">
                        <a14:shadowObscured xmlns:a14="http://schemas.microsoft.com/office/drawing/2010/main"/>
                      </a:ext>
                    </a:extLst>
                  </pic:spPr>
                </pic:pic>
              </a:graphicData>
            </a:graphic>
          </wp:inline>
        </w:drawing>
      </w:r>
    </w:p>
    <w:p w14:paraId="0D0938D6" w14:textId="77777777" w:rsidR="008D0CAD" w:rsidRDefault="008D0CAD" w:rsidP="00796BFA">
      <w:pPr>
        <w:spacing w:before="100" w:beforeAutospacing="1" w:after="100" w:afterAutospacing="1" w:line="360" w:lineRule="auto"/>
        <w:rPr>
          <w:lang w:val="en-US"/>
        </w:rPr>
        <w:sectPr w:rsidR="008D0CAD" w:rsidSect="009C64E9">
          <w:pgSz w:w="15840" w:h="12240" w:orient="landscape"/>
          <w:pgMar w:top="720" w:right="720" w:bottom="720" w:left="720" w:header="720" w:footer="720" w:gutter="0"/>
          <w:cols w:space="720"/>
          <w:docGrid w:linePitch="360"/>
        </w:sectPr>
      </w:pPr>
    </w:p>
    <w:p w14:paraId="24A814A2" w14:textId="77777777" w:rsidR="008D0CAD" w:rsidRPr="00931ED4" w:rsidRDefault="008D0CAD" w:rsidP="00796BFA">
      <w:pPr>
        <w:spacing w:before="100" w:beforeAutospacing="1" w:after="100" w:afterAutospacing="1" w:line="360" w:lineRule="auto"/>
        <w:rPr>
          <w:rFonts w:asciiTheme="majorHAnsi" w:hAnsiTheme="majorHAnsi" w:cstheme="majorHAnsi"/>
          <w:lang w:val="en-US"/>
        </w:rPr>
      </w:pPr>
      <w:r w:rsidRPr="00931ED4">
        <w:rPr>
          <w:rFonts w:asciiTheme="majorHAnsi" w:hAnsiTheme="majorHAnsi" w:cstheme="majorHAnsi"/>
          <w:bCs/>
          <w:lang w:val="en-US"/>
        </w:rPr>
        <w:t xml:space="preserve">The Completion Rate of the Division of Manila increased by a leap 47.55 percent (47.07% for females and 46.8% for males) from </w:t>
      </w:r>
      <w:r w:rsidRPr="00931ED4">
        <w:rPr>
          <w:rFonts w:asciiTheme="majorHAnsi" w:hAnsiTheme="majorHAnsi" w:cstheme="majorHAnsi"/>
          <w:lang w:val="en-US"/>
        </w:rPr>
        <w:t xml:space="preserve">SY2013-2014 to SY2017-2018 followed by a 22.38 percent jump in completion rate for the Division of </w:t>
      </w:r>
      <w:r w:rsidRPr="00931ED4">
        <w:rPr>
          <w:rFonts w:asciiTheme="majorHAnsi" w:hAnsiTheme="majorHAnsi" w:cstheme="majorHAnsi"/>
          <w:bCs/>
          <w:lang w:val="en-US"/>
        </w:rPr>
        <w:t>Parañaque City during the same period (19.50% for females and 24.19% for males).</w:t>
      </w:r>
    </w:p>
    <w:p w14:paraId="5F2C551B" w14:textId="77777777" w:rsidR="008D0CAD" w:rsidRPr="00931ED4" w:rsidRDefault="008D0CAD" w:rsidP="00796BFA">
      <w:pPr>
        <w:pStyle w:val="Heading5"/>
        <w:numPr>
          <w:ilvl w:val="0"/>
          <w:numId w:val="0"/>
        </w:numPr>
        <w:spacing w:before="100" w:beforeAutospacing="1" w:after="100" w:afterAutospacing="1" w:line="360" w:lineRule="auto"/>
        <w:ind w:left="1222" w:hanging="1080"/>
      </w:pPr>
      <w:bookmarkStart w:id="584" w:name="_Toc16524077"/>
      <w:r w:rsidRPr="00931ED4">
        <w:t>Retention Rate</w:t>
      </w:r>
      <w:bookmarkEnd w:id="584"/>
    </w:p>
    <w:p w14:paraId="42C9C6DF" w14:textId="77777777" w:rsidR="008D0CAD" w:rsidRPr="00931ED4" w:rsidRDefault="008D0CAD" w:rsidP="00796BFA">
      <w:pPr>
        <w:spacing w:before="100" w:beforeAutospacing="1" w:after="100" w:afterAutospacing="1" w:line="360" w:lineRule="auto"/>
        <w:rPr>
          <w:rFonts w:asciiTheme="majorHAnsi" w:hAnsiTheme="majorHAnsi" w:cstheme="majorHAnsi"/>
          <w:lang w:val="en-US"/>
        </w:rPr>
      </w:pPr>
      <w:r w:rsidRPr="00931ED4">
        <w:rPr>
          <w:rFonts w:asciiTheme="majorHAnsi" w:hAnsiTheme="majorHAnsi" w:cstheme="majorHAnsi"/>
          <w:lang w:val="en-US"/>
        </w:rPr>
        <w:t xml:space="preserve">Retention Rate (RR) is the percentage of enrollees in the elementary/secondary level in a given school year who continue to be in school the following year. </w:t>
      </w:r>
    </w:p>
    <w:p w14:paraId="51DF3F96" w14:textId="77777777" w:rsidR="008D0CAD" w:rsidRPr="00931ED4" w:rsidRDefault="008D0CAD" w:rsidP="00796BFA">
      <w:pPr>
        <w:spacing w:before="100" w:beforeAutospacing="1" w:after="100" w:afterAutospacing="1" w:line="360" w:lineRule="auto"/>
        <w:rPr>
          <w:rFonts w:asciiTheme="majorHAnsi" w:hAnsiTheme="majorHAnsi" w:cstheme="majorHAnsi"/>
          <w:lang w:val="en-US"/>
        </w:rPr>
      </w:pPr>
      <w:r w:rsidRPr="00931ED4">
        <w:rPr>
          <w:rFonts w:asciiTheme="majorHAnsi" w:hAnsiTheme="majorHAnsi" w:cstheme="majorHAnsi"/>
          <w:lang w:val="en-US"/>
        </w:rPr>
        <w:t xml:space="preserve">Elementary retention rates increased from SY2010-2011 to SY2017-2018 (Table 12). SY 2010-2011 depicted a total elementary retention rate of 92.35%, with a total elementary retention rate of 98.09% for SY 2017-2018 (Figure 25). Female learners are staying at school, with the lowest retention rate set at 93.81% in SY 2012-2013 and highest at 98.67% in the most recent school year; comparing these data to male learners, lowest posted is at 90.87% in SY 2010-2011, while highest is 97.57% in SY 2017-2018. </w:t>
      </w:r>
    </w:p>
    <w:p w14:paraId="7C9750E1" w14:textId="77777777" w:rsidR="008D0CAD" w:rsidRPr="00931ED4" w:rsidRDefault="008D0CAD" w:rsidP="00796BFA">
      <w:pPr>
        <w:spacing w:before="100" w:beforeAutospacing="1" w:after="100" w:afterAutospacing="1" w:line="360" w:lineRule="auto"/>
        <w:rPr>
          <w:rFonts w:asciiTheme="majorHAnsi" w:hAnsiTheme="majorHAnsi" w:cstheme="majorHAnsi"/>
          <w:lang w:val="en-US"/>
        </w:rPr>
      </w:pPr>
      <w:r w:rsidRPr="00931ED4">
        <w:rPr>
          <w:rFonts w:asciiTheme="majorHAnsi" w:hAnsiTheme="majorHAnsi" w:cstheme="majorHAnsi"/>
          <w:lang w:val="en-US"/>
        </w:rPr>
        <w:t xml:space="preserve">BEST Regions are generally comparable to other regions in terms of elementary retention rate. </w:t>
      </w:r>
    </w:p>
    <w:p w14:paraId="5406BD73" w14:textId="26E3DBCB" w:rsidR="008D0CAD" w:rsidRPr="00AC648E" w:rsidRDefault="008D0CAD" w:rsidP="00796BFA">
      <w:pPr>
        <w:spacing w:before="100" w:beforeAutospacing="1" w:after="100" w:afterAutospacing="1" w:line="360" w:lineRule="auto"/>
        <w:ind w:hanging="11"/>
        <w:rPr>
          <w:rFonts w:asciiTheme="majorHAnsi" w:eastAsiaTheme="minorHAnsi" w:hAnsiTheme="majorHAnsi" w:cstheme="majorHAnsi"/>
          <w:i/>
          <w:iCs/>
          <w:color w:val="44546A" w:themeColor="text2"/>
          <w:sz w:val="22"/>
          <w:szCs w:val="22"/>
          <w:lang w:val="en-US"/>
        </w:rPr>
      </w:pPr>
      <w:bookmarkStart w:id="585" w:name="_Toc16524195"/>
      <w:bookmarkStart w:id="586" w:name="_Toc71616658"/>
      <w:r w:rsidRPr="00AC648E">
        <w:rPr>
          <w:rFonts w:asciiTheme="majorHAnsi" w:eastAsiaTheme="minorHAnsi" w:hAnsiTheme="majorHAnsi" w:cstheme="majorHAnsi"/>
          <w:i/>
          <w:iCs/>
          <w:color w:val="44546A" w:themeColor="text2"/>
          <w:sz w:val="22"/>
          <w:szCs w:val="22"/>
          <w:lang w:val="en-US"/>
        </w:rPr>
        <w:t xml:space="preserve">Table </w:t>
      </w:r>
      <w:r w:rsidRPr="00AC648E">
        <w:rPr>
          <w:rFonts w:asciiTheme="majorHAnsi" w:eastAsiaTheme="minorHAnsi" w:hAnsiTheme="majorHAnsi" w:cstheme="majorHAnsi"/>
          <w:i/>
          <w:iCs/>
          <w:color w:val="44546A" w:themeColor="text2"/>
          <w:sz w:val="22"/>
          <w:szCs w:val="22"/>
          <w:lang w:val="en-US"/>
        </w:rPr>
        <w:fldChar w:fldCharType="begin"/>
      </w:r>
      <w:r w:rsidRPr="00AC648E">
        <w:rPr>
          <w:rFonts w:asciiTheme="majorHAnsi" w:eastAsiaTheme="minorHAnsi" w:hAnsiTheme="majorHAnsi" w:cstheme="majorHAnsi"/>
          <w:i/>
          <w:iCs/>
          <w:color w:val="44546A" w:themeColor="text2"/>
          <w:sz w:val="22"/>
          <w:szCs w:val="22"/>
          <w:lang w:val="en-US"/>
        </w:rPr>
        <w:instrText xml:space="preserve"> SEQ Table \* ARABIC </w:instrText>
      </w:r>
      <w:r w:rsidRPr="00AC648E">
        <w:rPr>
          <w:rFonts w:asciiTheme="majorHAnsi" w:eastAsiaTheme="minorHAnsi" w:hAnsiTheme="majorHAnsi" w:cstheme="majorHAnsi"/>
          <w:i/>
          <w:iCs/>
          <w:color w:val="44546A" w:themeColor="text2"/>
          <w:sz w:val="22"/>
          <w:szCs w:val="22"/>
          <w:lang w:val="en-US"/>
        </w:rPr>
        <w:fldChar w:fldCharType="separate"/>
      </w:r>
      <w:r w:rsidR="00D6133D">
        <w:rPr>
          <w:rFonts w:asciiTheme="majorHAnsi" w:eastAsiaTheme="minorHAnsi" w:hAnsiTheme="majorHAnsi" w:cstheme="majorHAnsi"/>
          <w:i/>
          <w:iCs/>
          <w:noProof/>
          <w:color w:val="44546A" w:themeColor="text2"/>
          <w:sz w:val="22"/>
          <w:szCs w:val="22"/>
          <w:lang w:val="en-US"/>
        </w:rPr>
        <w:t>67</w:t>
      </w:r>
      <w:r w:rsidRPr="00AC648E">
        <w:rPr>
          <w:rFonts w:asciiTheme="majorHAnsi" w:eastAsiaTheme="minorHAnsi" w:hAnsiTheme="majorHAnsi" w:cstheme="majorHAnsi"/>
          <w:i/>
          <w:iCs/>
          <w:color w:val="44546A" w:themeColor="text2"/>
          <w:sz w:val="22"/>
          <w:szCs w:val="22"/>
          <w:lang w:val="en-US"/>
        </w:rPr>
        <w:fldChar w:fldCharType="end"/>
      </w:r>
      <w:r w:rsidRPr="00AC648E">
        <w:rPr>
          <w:rFonts w:asciiTheme="majorHAnsi" w:eastAsiaTheme="minorHAnsi" w:hAnsiTheme="majorHAnsi" w:cstheme="majorHAnsi"/>
          <w:i/>
          <w:iCs/>
          <w:color w:val="44546A" w:themeColor="text2"/>
          <w:sz w:val="22"/>
          <w:szCs w:val="22"/>
          <w:lang w:val="en-US"/>
        </w:rPr>
        <w:t>. Elementary Retention Rate in BEST Regions, SY 2011-12 to 2017-18</w:t>
      </w:r>
      <w:bookmarkEnd w:id="585"/>
      <w:bookmarkEnd w:id="586"/>
    </w:p>
    <w:tbl>
      <w:tblPr>
        <w:tblStyle w:val="TableGrid11"/>
        <w:tblW w:w="8860" w:type="dxa"/>
        <w:tblLook w:val="04A0" w:firstRow="1" w:lastRow="0" w:firstColumn="1" w:lastColumn="0" w:noHBand="0" w:noVBand="1"/>
      </w:tblPr>
      <w:tblGrid>
        <w:gridCol w:w="2140"/>
        <w:gridCol w:w="960"/>
        <w:gridCol w:w="960"/>
        <w:gridCol w:w="960"/>
        <w:gridCol w:w="960"/>
        <w:gridCol w:w="960"/>
        <w:gridCol w:w="960"/>
        <w:gridCol w:w="960"/>
      </w:tblGrid>
      <w:tr w:rsidR="008D0CAD" w:rsidRPr="004B064D" w14:paraId="6D692097" w14:textId="77777777" w:rsidTr="004B064D">
        <w:trPr>
          <w:trHeight w:val="270"/>
          <w:tblHeader/>
        </w:trPr>
        <w:tc>
          <w:tcPr>
            <w:tcW w:w="2140" w:type="dxa"/>
            <w:noWrap/>
            <w:hideMark/>
          </w:tcPr>
          <w:p w14:paraId="219ECC68" w14:textId="77777777" w:rsidR="008D0CAD" w:rsidRPr="004B064D" w:rsidRDefault="008D0CAD" w:rsidP="00796BFA">
            <w:pPr>
              <w:spacing w:before="100" w:beforeAutospacing="1" w:after="100" w:afterAutospacing="1" w:line="360" w:lineRule="auto"/>
              <w:rPr>
                <w:rFonts w:asciiTheme="majorHAnsi" w:hAnsiTheme="majorHAnsi" w:cstheme="majorHAnsi"/>
                <w:b/>
                <w:bCs/>
                <w:sz w:val="20"/>
                <w:szCs w:val="20"/>
              </w:rPr>
            </w:pPr>
            <w:r w:rsidRPr="004B064D">
              <w:rPr>
                <w:rFonts w:asciiTheme="majorHAnsi" w:hAnsiTheme="majorHAnsi" w:cstheme="majorHAnsi"/>
                <w:b/>
                <w:bCs/>
                <w:sz w:val="20"/>
                <w:szCs w:val="20"/>
              </w:rPr>
              <w:t>Region</w:t>
            </w:r>
          </w:p>
        </w:tc>
        <w:tc>
          <w:tcPr>
            <w:tcW w:w="960" w:type="dxa"/>
            <w:noWrap/>
            <w:hideMark/>
          </w:tcPr>
          <w:p w14:paraId="64146D46" w14:textId="77777777" w:rsidR="008D0CAD" w:rsidRPr="004B064D" w:rsidRDefault="008D0CAD" w:rsidP="00796BFA">
            <w:pPr>
              <w:spacing w:before="100" w:beforeAutospacing="1" w:after="100" w:afterAutospacing="1" w:line="360" w:lineRule="auto"/>
              <w:rPr>
                <w:rFonts w:asciiTheme="majorHAnsi" w:hAnsiTheme="majorHAnsi" w:cstheme="majorHAnsi"/>
                <w:b/>
                <w:bCs/>
                <w:sz w:val="20"/>
                <w:szCs w:val="20"/>
              </w:rPr>
            </w:pPr>
            <w:r w:rsidRPr="004B064D">
              <w:rPr>
                <w:rFonts w:asciiTheme="majorHAnsi" w:hAnsiTheme="majorHAnsi" w:cstheme="majorHAnsi"/>
                <w:b/>
                <w:bCs/>
                <w:sz w:val="20"/>
                <w:szCs w:val="20"/>
              </w:rPr>
              <w:t>2011-12</w:t>
            </w:r>
          </w:p>
        </w:tc>
        <w:tc>
          <w:tcPr>
            <w:tcW w:w="960" w:type="dxa"/>
            <w:noWrap/>
            <w:hideMark/>
          </w:tcPr>
          <w:p w14:paraId="7EB0F8CF" w14:textId="77777777" w:rsidR="008D0CAD" w:rsidRPr="004B064D" w:rsidRDefault="008D0CAD" w:rsidP="00796BFA">
            <w:pPr>
              <w:spacing w:before="100" w:beforeAutospacing="1" w:after="100" w:afterAutospacing="1" w:line="360" w:lineRule="auto"/>
              <w:rPr>
                <w:rFonts w:asciiTheme="majorHAnsi" w:hAnsiTheme="majorHAnsi" w:cstheme="majorHAnsi"/>
                <w:b/>
                <w:bCs/>
                <w:sz w:val="20"/>
                <w:szCs w:val="20"/>
              </w:rPr>
            </w:pPr>
            <w:r w:rsidRPr="004B064D">
              <w:rPr>
                <w:rFonts w:asciiTheme="majorHAnsi" w:hAnsiTheme="majorHAnsi" w:cstheme="majorHAnsi"/>
                <w:b/>
                <w:bCs/>
                <w:sz w:val="20"/>
                <w:szCs w:val="20"/>
              </w:rPr>
              <w:t>2012-13</w:t>
            </w:r>
          </w:p>
        </w:tc>
        <w:tc>
          <w:tcPr>
            <w:tcW w:w="960" w:type="dxa"/>
            <w:noWrap/>
            <w:hideMark/>
          </w:tcPr>
          <w:p w14:paraId="664609FE" w14:textId="77777777" w:rsidR="008D0CAD" w:rsidRPr="004B064D" w:rsidRDefault="008D0CAD" w:rsidP="00796BFA">
            <w:pPr>
              <w:spacing w:before="100" w:beforeAutospacing="1" w:after="100" w:afterAutospacing="1" w:line="360" w:lineRule="auto"/>
              <w:rPr>
                <w:rFonts w:asciiTheme="majorHAnsi" w:hAnsiTheme="majorHAnsi" w:cstheme="majorHAnsi"/>
                <w:b/>
                <w:bCs/>
                <w:sz w:val="20"/>
                <w:szCs w:val="20"/>
              </w:rPr>
            </w:pPr>
            <w:r w:rsidRPr="004B064D">
              <w:rPr>
                <w:rFonts w:asciiTheme="majorHAnsi" w:hAnsiTheme="majorHAnsi" w:cstheme="majorHAnsi"/>
                <w:b/>
                <w:bCs/>
                <w:sz w:val="20"/>
                <w:szCs w:val="20"/>
              </w:rPr>
              <w:t>2013-14</w:t>
            </w:r>
          </w:p>
        </w:tc>
        <w:tc>
          <w:tcPr>
            <w:tcW w:w="960" w:type="dxa"/>
            <w:noWrap/>
            <w:hideMark/>
          </w:tcPr>
          <w:p w14:paraId="27FA4B96" w14:textId="77777777" w:rsidR="008D0CAD" w:rsidRPr="004B064D" w:rsidRDefault="008D0CAD" w:rsidP="00796BFA">
            <w:pPr>
              <w:spacing w:before="100" w:beforeAutospacing="1" w:after="100" w:afterAutospacing="1" w:line="360" w:lineRule="auto"/>
              <w:rPr>
                <w:rFonts w:asciiTheme="majorHAnsi" w:hAnsiTheme="majorHAnsi" w:cstheme="majorHAnsi"/>
                <w:b/>
                <w:bCs/>
                <w:sz w:val="20"/>
                <w:szCs w:val="20"/>
              </w:rPr>
            </w:pPr>
            <w:r w:rsidRPr="004B064D">
              <w:rPr>
                <w:rFonts w:asciiTheme="majorHAnsi" w:hAnsiTheme="majorHAnsi" w:cstheme="majorHAnsi"/>
                <w:b/>
                <w:bCs/>
                <w:sz w:val="20"/>
                <w:szCs w:val="20"/>
              </w:rPr>
              <w:t>2014-15</w:t>
            </w:r>
          </w:p>
        </w:tc>
        <w:tc>
          <w:tcPr>
            <w:tcW w:w="960" w:type="dxa"/>
            <w:noWrap/>
            <w:hideMark/>
          </w:tcPr>
          <w:p w14:paraId="48328C10" w14:textId="77777777" w:rsidR="008D0CAD" w:rsidRPr="004B064D" w:rsidRDefault="008D0CAD" w:rsidP="00796BFA">
            <w:pPr>
              <w:spacing w:before="100" w:beforeAutospacing="1" w:after="100" w:afterAutospacing="1" w:line="360" w:lineRule="auto"/>
              <w:rPr>
                <w:rFonts w:asciiTheme="majorHAnsi" w:hAnsiTheme="majorHAnsi" w:cstheme="majorHAnsi"/>
                <w:b/>
                <w:bCs/>
                <w:sz w:val="20"/>
                <w:szCs w:val="20"/>
              </w:rPr>
            </w:pPr>
            <w:r w:rsidRPr="004B064D">
              <w:rPr>
                <w:rFonts w:asciiTheme="majorHAnsi" w:hAnsiTheme="majorHAnsi" w:cstheme="majorHAnsi"/>
                <w:b/>
                <w:bCs/>
                <w:sz w:val="20"/>
                <w:szCs w:val="20"/>
              </w:rPr>
              <w:t>2015-16</w:t>
            </w:r>
          </w:p>
        </w:tc>
        <w:tc>
          <w:tcPr>
            <w:tcW w:w="960" w:type="dxa"/>
            <w:noWrap/>
            <w:hideMark/>
          </w:tcPr>
          <w:p w14:paraId="56342218" w14:textId="77777777" w:rsidR="008D0CAD" w:rsidRPr="004B064D" w:rsidRDefault="008D0CAD" w:rsidP="00796BFA">
            <w:pPr>
              <w:spacing w:before="100" w:beforeAutospacing="1" w:after="100" w:afterAutospacing="1" w:line="360" w:lineRule="auto"/>
              <w:rPr>
                <w:rFonts w:asciiTheme="majorHAnsi" w:hAnsiTheme="majorHAnsi" w:cstheme="majorHAnsi"/>
                <w:b/>
                <w:bCs/>
                <w:sz w:val="20"/>
                <w:szCs w:val="20"/>
              </w:rPr>
            </w:pPr>
            <w:r w:rsidRPr="004B064D">
              <w:rPr>
                <w:rFonts w:asciiTheme="majorHAnsi" w:hAnsiTheme="majorHAnsi" w:cstheme="majorHAnsi"/>
                <w:b/>
                <w:bCs/>
                <w:sz w:val="20"/>
                <w:szCs w:val="20"/>
              </w:rPr>
              <w:t>2016-17</w:t>
            </w:r>
          </w:p>
        </w:tc>
        <w:tc>
          <w:tcPr>
            <w:tcW w:w="960" w:type="dxa"/>
            <w:noWrap/>
            <w:hideMark/>
          </w:tcPr>
          <w:p w14:paraId="290CDC38" w14:textId="77777777" w:rsidR="008D0CAD" w:rsidRPr="004B064D" w:rsidRDefault="008D0CAD" w:rsidP="00796BFA">
            <w:pPr>
              <w:spacing w:before="100" w:beforeAutospacing="1" w:after="100" w:afterAutospacing="1" w:line="360" w:lineRule="auto"/>
              <w:rPr>
                <w:rFonts w:asciiTheme="majorHAnsi" w:hAnsiTheme="majorHAnsi" w:cstheme="majorHAnsi"/>
                <w:b/>
                <w:bCs/>
                <w:sz w:val="20"/>
                <w:szCs w:val="20"/>
              </w:rPr>
            </w:pPr>
            <w:r w:rsidRPr="004B064D">
              <w:rPr>
                <w:rFonts w:asciiTheme="majorHAnsi" w:hAnsiTheme="majorHAnsi" w:cstheme="majorHAnsi"/>
                <w:b/>
                <w:bCs/>
                <w:sz w:val="20"/>
                <w:szCs w:val="20"/>
              </w:rPr>
              <w:t>2017-18</w:t>
            </w:r>
          </w:p>
        </w:tc>
      </w:tr>
      <w:tr w:rsidR="008D0CAD" w:rsidRPr="00931ED4" w14:paraId="26586183" w14:textId="77777777" w:rsidTr="008041F1">
        <w:trPr>
          <w:trHeight w:val="270"/>
        </w:trPr>
        <w:tc>
          <w:tcPr>
            <w:tcW w:w="2140" w:type="dxa"/>
            <w:noWrap/>
            <w:hideMark/>
          </w:tcPr>
          <w:p w14:paraId="75142F4C" w14:textId="77777777" w:rsidR="008D0CAD" w:rsidRPr="00931ED4" w:rsidRDefault="008D0CAD" w:rsidP="00796BFA">
            <w:pPr>
              <w:spacing w:before="100" w:beforeAutospacing="1" w:after="100" w:afterAutospacing="1" w:line="360" w:lineRule="auto"/>
              <w:rPr>
                <w:rFonts w:asciiTheme="majorHAnsi" w:hAnsiTheme="majorHAnsi" w:cstheme="majorHAnsi"/>
                <w:sz w:val="20"/>
                <w:szCs w:val="20"/>
              </w:rPr>
            </w:pPr>
            <w:r w:rsidRPr="00931ED4">
              <w:rPr>
                <w:rFonts w:asciiTheme="majorHAnsi" w:hAnsiTheme="majorHAnsi" w:cstheme="majorHAnsi"/>
                <w:sz w:val="20"/>
                <w:szCs w:val="20"/>
              </w:rPr>
              <w:t>NCR</w:t>
            </w:r>
          </w:p>
        </w:tc>
        <w:tc>
          <w:tcPr>
            <w:tcW w:w="960" w:type="dxa"/>
            <w:hideMark/>
          </w:tcPr>
          <w:p w14:paraId="22676CEC"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94.95%</w:t>
            </w:r>
          </w:p>
        </w:tc>
        <w:tc>
          <w:tcPr>
            <w:tcW w:w="960" w:type="dxa"/>
            <w:hideMark/>
          </w:tcPr>
          <w:p w14:paraId="74CA6C61"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94.55%</w:t>
            </w:r>
          </w:p>
        </w:tc>
        <w:tc>
          <w:tcPr>
            <w:tcW w:w="960" w:type="dxa"/>
            <w:hideMark/>
          </w:tcPr>
          <w:p w14:paraId="14ACAC7E"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91.52%</w:t>
            </w:r>
          </w:p>
        </w:tc>
        <w:tc>
          <w:tcPr>
            <w:tcW w:w="960" w:type="dxa"/>
            <w:hideMark/>
          </w:tcPr>
          <w:p w14:paraId="3F621CF0"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97.18%</w:t>
            </w:r>
          </w:p>
        </w:tc>
        <w:tc>
          <w:tcPr>
            <w:tcW w:w="960" w:type="dxa"/>
            <w:hideMark/>
          </w:tcPr>
          <w:p w14:paraId="31FD01C0"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96.61%</w:t>
            </w:r>
          </w:p>
        </w:tc>
        <w:tc>
          <w:tcPr>
            <w:tcW w:w="960" w:type="dxa"/>
            <w:hideMark/>
          </w:tcPr>
          <w:p w14:paraId="5238DF11"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97.92%</w:t>
            </w:r>
          </w:p>
        </w:tc>
        <w:tc>
          <w:tcPr>
            <w:tcW w:w="960" w:type="dxa"/>
            <w:hideMark/>
          </w:tcPr>
          <w:p w14:paraId="6AD2717B"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97.81%</w:t>
            </w:r>
          </w:p>
        </w:tc>
      </w:tr>
      <w:tr w:rsidR="008D0CAD" w:rsidRPr="00931ED4" w14:paraId="7927106C" w14:textId="77777777" w:rsidTr="008041F1">
        <w:trPr>
          <w:trHeight w:val="270"/>
        </w:trPr>
        <w:tc>
          <w:tcPr>
            <w:tcW w:w="2140" w:type="dxa"/>
            <w:noWrap/>
            <w:hideMark/>
          </w:tcPr>
          <w:p w14:paraId="27A1B2BC" w14:textId="77777777" w:rsidR="008D0CAD" w:rsidRPr="00931ED4" w:rsidRDefault="008D0CAD" w:rsidP="00796BFA">
            <w:pPr>
              <w:spacing w:before="100" w:beforeAutospacing="1" w:after="100" w:afterAutospacing="1" w:line="360" w:lineRule="auto"/>
              <w:rPr>
                <w:rFonts w:asciiTheme="majorHAnsi" w:hAnsiTheme="majorHAnsi" w:cstheme="majorHAnsi"/>
                <w:sz w:val="20"/>
                <w:szCs w:val="20"/>
              </w:rPr>
            </w:pPr>
            <w:r w:rsidRPr="00931ED4">
              <w:rPr>
                <w:rFonts w:asciiTheme="majorHAnsi" w:hAnsiTheme="majorHAnsi" w:cstheme="majorHAnsi"/>
                <w:sz w:val="20"/>
                <w:szCs w:val="20"/>
              </w:rPr>
              <w:t>Region V</w:t>
            </w:r>
          </w:p>
        </w:tc>
        <w:tc>
          <w:tcPr>
            <w:tcW w:w="960" w:type="dxa"/>
            <w:hideMark/>
          </w:tcPr>
          <w:p w14:paraId="0152AF77"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91.91%</w:t>
            </w:r>
          </w:p>
        </w:tc>
        <w:tc>
          <w:tcPr>
            <w:tcW w:w="960" w:type="dxa"/>
            <w:hideMark/>
          </w:tcPr>
          <w:p w14:paraId="5C22218D"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92.70%</w:t>
            </w:r>
          </w:p>
        </w:tc>
        <w:tc>
          <w:tcPr>
            <w:tcW w:w="960" w:type="dxa"/>
            <w:hideMark/>
          </w:tcPr>
          <w:p w14:paraId="246DF657"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93.36%</w:t>
            </w:r>
          </w:p>
        </w:tc>
        <w:tc>
          <w:tcPr>
            <w:tcW w:w="960" w:type="dxa"/>
            <w:hideMark/>
          </w:tcPr>
          <w:p w14:paraId="29903DED"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96.88%</w:t>
            </w:r>
          </w:p>
        </w:tc>
        <w:tc>
          <w:tcPr>
            <w:tcW w:w="960" w:type="dxa"/>
            <w:hideMark/>
          </w:tcPr>
          <w:p w14:paraId="1DA46A2B"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97.31%</w:t>
            </w:r>
          </w:p>
        </w:tc>
        <w:tc>
          <w:tcPr>
            <w:tcW w:w="960" w:type="dxa"/>
            <w:hideMark/>
          </w:tcPr>
          <w:p w14:paraId="4789A885"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97.90%</w:t>
            </w:r>
          </w:p>
        </w:tc>
        <w:tc>
          <w:tcPr>
            <w:tcW w:w="960" w:type="dxa"/>
            <w:hideMark/>
          </w:tcPr>
          <w:p w14:paraId="0712D94D"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97.69%</w:t>
            </w:r>
          </w:p>
        </w:tc>
      </w:tr>
      <w:tr w:rsidR="008D0CAD" w:rsidRPr="00931ED4" w14:paraId="4ED99249" w14:textId="77777777" w:rsidTr="008041F1">
        <w:trPr>
          <w:trHeight w:val="270"/>
        </w:trPr>
        <w:tc>
          <w:tcPr>
            <w:tcW w:w="2140" w:type="dxa"/>
            <w:noWrap/>
            <w:hideMark/>
          </w:tcPr>
          <w:p w14:paraId="6AADFAF0" w14:textId="77777777" w:rsidR="008D0CAD" w:rsidRPr="00931ED4" w:rsidRDefault="008D0CAD" w:rsidP="00796BFA">
            <w:pPr>
              <w:spacing w:before="100" w:beforeAutospacing="1" w:after="100" w:afterAutospacing="1" w:line="360" w:lineRule="auto"/>
              <w:rPr>
                <w:rFonts w:asciiTheme="majorHAnsi" w:hAnsiTheme="majorHAnsi" w:cstheme="majorHAnsi"/>
                <w:sz w:val="20"/>
                <w:szCs w:val="20"/>
              </w:rPr>
            </w:pPr>
            <w:r w:rsidRPr="00931ED4">
              <w:rPr>
                <w:rFonts w:asciiTheme="majorHAnsi" w:hAnsiTheme="majorHAnsi" w:cstheme="majorHAnsi"/>
                <w:sz w:val="20"/>
                <w:szCs w:val="20"/>
              </w:rPr>
              <w:t>Region VI</w:t>
            </w:r>
          </w:p>
        </w:tc>
        <w:tc>
          <w:tcPr>
            <w:tcW w:w="960" w:type="dxa"/>
            <w:hideMark/>
          </w:tcPr>
          <w:p w14:paraId="2F80C532"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92.25%</w:t>
            </w:r>
          </w:p>
        </w:tc>
        <w:tc>
          <w:tcPr>
            <w:tcW w:w="960" w:type="dxa"/>
            <w:hideMark/>
          </w:tcPr>
          <w:p w14:paraId="7A19DA3D"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93.34%</w:t>
            </w:r>
          </w:p>
        </w:tc>
        <w:tc>
          <w:tcPr>
            <w:tcW w:w="960" w:type="dxa"/>
            <w:hideMark/>
          </w:tcPr>
          <w:p w14:paraId="4CD65683"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98.18%</w:t>
            </w:r>
          </w:p>
        </w:tc>
        <w:tc>
          <w:tcPr>
            <w:tcW w:w="960" w:type="dxa"/>
            <w:hideMark/>
          </w:tcPr>
          <w:p w14:paraId="55C1BF46"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97.92%</w:t>
            </w:r>
          </w:p>
        </w:tc>
        <w:tc>
          <w:tcPr>
            <w:tcW w:w="960" w:type="dxa"/>
            <w:hideMark/>
          </w:tcPr>
          <w:p w14:paraId="04D3B88D"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98.03%</w:t>
            </w:r>
          </w:p>
        </w:tc>
        <w:tc>
          <w:tcPr>
            <w:tcW w:w="960" w:type="dxa"/>
            <w:hideMark/>
          </w:tcPr>
          <w:p w14:paraId="495B9DB6"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55.57%</w:t>
            </w:r>
          </w:p>
        </w:tc>
        <w:tc>
          <w:tcPr>
            <w:tcW w:w="960" w:type="dxa"/>
            <w:hideMark/>
          </w:tcPr>
          <w:p w14:paraId="5ABE3A90"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174.83%</w:t>
            </w:r>
          </w:p>
        </w:tc>
      </w:tr>
      <w:tr w:rsidR="008D0CAD" w:rsidRPr="00931ED4" w14:paraId="16E9E095" w14:textId="77777777" w:rsidTr="008041F1">
        <w:trPr>
          <w:trHeight w:val="270"/>
        </w:trPr>
        <w:tc>
          <w:tcPr>
            <w:tcW w:w="2140" w:type="dxa"/>
            <w:noWrap/>
            <w:hideMark/>
          </w:tcPr>
          <w:p w14:paraId="0BCDCA8C" w14:textId="77777777" w:rsidR="008D0CAD" w:rsidRPr="00931ED4" w:rsidRDefault="008D0CAD" w:rsidP="00796BFA">
            <w:pPr>
              <w:spacing w:before="100" w:beforeAutospacing="1" w:after="100" w:afterAutospacing="1" w:line="360" w:lineRule="auto"/>
              <w:rPr>
                <w:rFonts w:asciiTheme="majorHAnsi" w:hAnsiTheme="majorHAnsi" w:cstheme="majorHAnsi"/>
                <w:sz w:val="20"/>
                <w:szCs w:val="20"/>
              </w:rPr>
            </w:pPr>
            <w:r w:rsidRPr="00931ED4">
              <w:rPr>
                <w:rFonts w:asciiTheme="majorHAnsi" w:hAnsiTheme="majorHAnsi" w:cstheme="majorHAnsi"/>
                <w:sz w:val="20"/>
                <w:szCs w:val="20"/>
              </w:rPr>
              <w:t>Region VII</w:t>
            </w:r>
          </w:p>
        </w:tc>
        <w:tc>
          <w:tcPr>
            <w:tcW w:w="960" w:type="dxa"/>
            <w:hideMark/>
          </w:tcPr>
          <w:p w14:paraId="70E01008"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93.44%</w:t>
            </w:r>
          </w:p>
        </w:tc>
        <w:tc>
          <w:tcPr>
            <w:tcW w:w="960" w:type="dxa"/>
            <w:hideMark/>
          </w:tcPr>
          <w:p w14:paraId="5ED4056E"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93.07%</w:t>
            </w:r>
          </w:p>
        </w:tc>
        <w:tc>
          <w:tcPr>
            <w:tcW w:w="960" w:type="dxa"/>
            <w:hideMark/>
          </w:tcPr>
          <w:p w14:paraId="06E136FD"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98.41%</w:t>
            </w:r>
          </w:p>
        </w:tc>
        <w:tc>
          <w:tcPr>
            <w:tcW w:w="960" w:type="dxa"/>
            <w:hideMark/>
          </w:tcPr>
          <w:p w14:paraId="09073C37"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97.37%</w:t>
            </w:r>
          </w:p>
        </w:tc>
        <w:tc>
          <w:tcPr>
            <w:tcW w:w="960" w:type="dxa"/>
            <w:hideMark/>
          </w:tcPr>
          <w:p w14:paraId="759DB536"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97.57%</w:t>
            </w:r>
          </w:p>
        </w:tc>
        <w:tc>
          <w:tcPr>
            <w:tcW w:w="960" w:type="dxa"/>
            <w:hideMark/>
          </w:tcPr>
          <w:p w14:paraId="3E3DD167"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79.47%</w:t>
            </w:r>
          </w:p>
        </w:tc>
        <w:tc>
          <w:tcPr>
            <w:tcW w:w="960" w:type="dxa"/>
            <w:hideMark/>
          </w:tcPr>
          <w:p w14:paraId="64972EC3"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120.86%</w:t>
            </w:r>
          </w:p>
        </w:tc>
      </w:tr>
      <w:tr w:rsidR="008D0CAD" w:rsidRPr="00931ED4" w14:paraId="04B0B034" w14:textId="77777777" w:rsidTr="008041F1">
        <w:trPr>
          <w:trHeight w:val="270"/>
        </w:trPr>
        <w:tc>
          <w:tcPr>
            <w:tcW w:w="2140" w:type="dxa"/>
            <w:noWrap/>
            <w:hideMark/>
          </w:tcPr>
          <w:p w14:paraId="255983A1" w14:textId="77777777" w:rsidR="008D0CAD" w:rsidRPr="00931ED4" w:rsidRDefault="008D0CAD" w:rsidP="00796BFA">
            <w:pPr>
              <w:spacing w:before="100" w:beforeAutospacing="1" w:after="100" w:afterAutospacing="1" w:line="360" w:lineRule="auto"/>
              <w:rPr>
                <w:rFonts w:asciiTheme="majorHAnsi" w:hAnsiTheme="majorHAnsi" w:cstheme="majorHAnsi"/>
                <w:sz w:val="20"/>
                <w:szCs w:val="20"/>
              </w:rPr>
            </w:pPr>
            <w:r w:rsidRPr="00931ED4">
              <w:rPr>
                <w:rFonts w:asciiTheme="majorHAnsi" w:hAnsiTheme="majorHAnsi" w:cstheme="majorHAnsi"/>
                <w:sz w:val="20"/>
                <w:szCs w:val="20"/>
              </w:rPr>
              <w:t>Region VIII</w:t>
            </w:r>
          </w:p>
        </w:tc>
        <w:tc>
          <w:tcPr>
            <w:tcW w:w="960" w:type="dxa"/>
            <w:hideMark/>
          </w:tcPr>
          <w:p w14:paraId="761B869C"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91.15%</w:t>
            </w:r>
          </w:p>
        </w:tc>
        <w:tc>
          <w:tcPr>
            <w:tcW w:w="960" w:type="dxa"/>
            <w:hideMark/>
          </w:tcPr>
          <w:p w14:paraId="190807AF"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89.22%</w:t>
            </w:r>
          </w:p>
        </w:tc>
        <w:tc>
          <w:tcPr>
            <w:tcW w:w="960" w:type="dxa"/>
            <w:hideMark/>
          </w:tcPr>
          <w:p w14:paraId="641B8589"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98.35%</w:t>
            </w:r>
          </w:p>
        </w:tc>
        <w:tc>
          <w:tcPr>
            <w:tcW w:w="960" w:type="dxa"/>
            <w:hideMark/>
          </w:tcPr>
          <w:p w14:paraId="0EDEC51F"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97.22%</w:t>
            </w:r>
          </w:p>
        </w:tc>
        <w:tc>
          <w:tcPr>
            <w:tcW w:w="960" w:type="dxa"/>
            <w:hideMark/>
          </w:tcPr>
          <w:p w14:paraId="133CDC67"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97.74%</w:t>
            </w:r>
          </w:p>
        </w:tc>
        <w:tc>
          <w:tcPr>
            <w:tcW w:w="960" w:type="dxa"/>
            <w:hideMark/>
          </w:tcPr>
          <w:p w14:paraId="20E0205B"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98.27%</w:t>
            </w:r>
          </w:p>
        </w:tc>
        <w:tc>
          <w:tcPr>
            <w:tcW w:w="960" w:type="dxa"/>
            <w:hideMark/>
          </w:tcPr>
          <w:p w14:paraId="5145FABB"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98.21%</w:t>
            </w:r>
          </w:p>
        </w:tc>
      </w:tr>
      <w:tr w:rsidR="008D0CAD" w:rsidRPr="00931ED4" w14:paraId="01954672" w14:textId="77777777" w:rsidTr="008041F1">
        <w:trPr>
          <w:trHeight w:val="255"/>
        </w:trPr>
        <w:tc>
          <w:tcPr>
            <w:tcW w:w="2140" w:type="dxa"/>
            <w:noWrap/>
            <w:hideMark/>
          </w:tcPr>
          <w:p w14:paraId="09646D52" w14:textId="77777777" w:rsidR="008D0CAD" w:rsidRPr="00931ED4" w:rsidRDefault="008D0CAD" w:rsidP="00796BFA">
            <w:pPr>
              <w:spacing w:before="100" w:beforeAutospacing="1" w:after="100" w:afterAutospacing="1" w:line="360" w:lineRule="auto"/>
              <w:rPr>
                <w:rFonts w:asciiTheme="majorHAnsi" w:hAnsiTheme="majorHAnsi" w:cstheme="majorHAnsi"/>
                <w:sz w:val="20"/>
                <w:szCs w:val="20"/>
              </w:rPr>
            </w:pPr>
            <w:r w:rsidRPr="00931ED4">
              <w:rPr>
                <w:rFonts w:asciiTheme="majorHAnsi" w:hAnsiTheme="majorHAnsi" w:cstheme="majorHAnsi"/>
                <w:sz w:val="20"/>
                <w:szCs w:val="20"/>
              </w:rPr>
              <w:t>Region X</w:t>
            </w:r>
          </w:p>
        </w:tc>
        <w:tc>
          <w:tcPr>
            <w:tcW w:w="960" w:type="dxa"/>
            <w:hideMark/>
          </w:tcPr>
          <w:p w14:paraId="6CC29FA1"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89.55%</w:t>
            </w:r>
          </w:p>
        </w:tc>
        <w:tc>
          <w:tcPr>
            <w:tcW w:w="960" w:type="dxa"/>
            <w:hideMark/>
          </w:tcPr>
          <w:p w14:paraId="0172D037"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92.70%</w:t>
            </w:r>
          </w:p>
        </w:tc>
        <w:tc>
          <w:tcPr>
            <w:tcW w:w="960" w:type="dxa"/>
            <w:hideMark/>
          </w:tcPr>
          <w:p w14:paraId="2CAA70AC"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88.08%</w:t>
            </w:r>
          </w:p>
        </w:tc>
        <w:tc>
          <w:tcPr>
            <w:tcW w:w="960" w:type="dxa"/>
            <w:hideMark/>
          </w:tcPr>
          <w:p w14:paraId="21B15426"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95.71%</w:t>
            </w:r>
          </w:p>
        </w:tc>
        <w:tc>
          <w:tcPr>
            <w:tcW w:w="960" w:type="dxa"/>
            <w:hideMark/>
          </w:tcPr>
          <w:p w14:paraId="2AF5F6BB"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96.73%</w:t>
            </w:r>
          </w:p>
        </w:tc>
        <w:tc>
          <w:tcPr>
            <w:tcW w:w="960" w:type="dxa"/>
            <w:hideMark/>
          </w:tcPr>
          <w:p w14:paraId="3907399D"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97.36%</w:t>
            </w:r>
          </w:p>
        </w:tc>
        <w:tc>
          <w:tcPr>
            <w:tcW w:w="960" w:type="dxa"/>
            <w:hideMark/>
          </w:tcPr>
          <w:p w14:paraId="653A1DC7"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97.81%</w:t>
            </w:r>
          </w:p>
        </w:tc>
      </w:tr>
    </w:tbl>
    <w:p w14:paraId="4C7C3F91" w14:textId="1440E860" w:rsidR="008D0CAD" w:rsidRPr="00931ED4" w:rsidRDefault="00B21595" w:rsidP="00796BFA">
      <w:pPr>
        <w:spacing w:before="100" w:beforeAutospacing="1" w:after="100" w:afterAutospacing="1" w:line="360" w:lineRule="auto"/>
        <w:rPr>
          <w:rFonts w:asciiTheme="majorHAnsi" w:hAnsiTheme="majorHAnsi" w:cstheme="majorHAnsi"/>
          <w:sz w:val="20"/>
          <w:szCs w:val="20"/>
          <w:lang w:val="en-US"/>
        </w:rPr>
      </w:pPr>
      <w:r w:rsidRPr="00931ED4">
        <w:rPr>
          <w:rFonts w:asciiTheme="majorHAnsi" w:hAnsiTheme="majorHAnsi" w:cstheme="majorHAnsi"/>
          <w:i/>
          <w:iCs/>
          <w:sz w:val="20"/>
          <w:szCs w:val="20"/>
        </w:rPr>
        <w:t>Source: EBEIS (Retrieved April 2019)</w:t>
      </w:r>
    </w:p>
    <w:p w14:paraId="559F7FE8" w14:textId="77777777" w:rsidR="008D0CAD" w:rsidRPr="00931ED4" w:rsidRDefault="008D0CAD" w:rsidP="00796BFA">
      <w:pPr>
        <w:spacing w:before="100" w:beforeAutospacing="1" w:after="100" w:afterAutospacing="1" w:line="360" w:lineRule="auto"/>
        <w:rPr>
          <w:rFonts w:asciiTheme="majorHAnsi" w:hAnsiTheme="majorHAnsi" w:cstheme="majorHAnsi"/>
          <w:sz w:val="20"/>
          <w:szCs w:val="20"/>
          <w:lang w:val="en-US"/>
        </w:rPr>
      </w:pPr>
    </w:p>
    <w:p w14:paraId="62FAC623" w14:textId="02EC9544" w:rsidR="008D0CAD" w:rsidRPr="00931ED4" w:rsidRDefault="00D434EB" w:rsidP="00796BFA">
      <w:pPr>
        <w:spacing w:before="100" w:beforeAutospacing="1" w:after="100" w:afterAutospacing="1" w:line="360" w:lineRule="auto"/>
        <w:ind w:hanging="33"/>
        <w:rPr>
          <w:rFonts w:asciiTheme="majorHAnsi" w:eastAsiaTheme="minorHAnsi" w:hAnsiTheme="majorHAnsi" w:cstheme="majorHAnsi"/>
          <w:b/>
          <w:bCs/>
          <w:i/>
          <w:iCs/>
          <w:color w:val="44546A" w:themeColor="text2"/>
          <w:sz w:val="22"/>
          <w:szCs w:val="22"/>
          <w:lang w:val="en-US"/>
        </w:rPr>
      </w:pPr>
      <w:r>
        <w:rPr>
          <w:rFonts w:asciiTheme="majorHAnsi" w:eastAsiaTheme="minorHAnsi" w:hAnsiTheme="majorHAnsi" w:cstheme="majorHAnsi"/>
          <w:i/>
          <w:iCs/>
          <w:color w:val="44546A" w:themeColor="text2"/>
          <w:sz w:val="22"/>
          <w:szCs w:val="22"/>
          <w:lang w:val="en-US"/>
        </w:rPr>
        <w:t xml:space="preserve"> </w:t>
      </w:r>
      <w:bookmarkStart w:id="587" w:name="_Toc16524137"/>
      <w:bookmarkStart w:id="588" w:name="_Toc71616584"/>
      <w:r>
        <w:rPr>
          <w:rFonts w:asciiTheme="majorHAnsi" w:eastAsiaTheme="minorHAnsi" w:hAnsiTheme="majorHAnsi" w:cstheme="majorHAnsi"/>
          <w:i/>
          <w:iCs/>
          <w:color w:val="44546A" w:themeColor="text2"/>
          <w:sz w:val="22"/>
          <w:szCs w:val="22"/>
          <w:lang w:val="en-US"/>
        </w:rPr>
        <w:t xml:space="preserve"> </w:t>
      </w:r>
      <w:r w:rsidR="008D0CAD" w:rsidRPr="00931ED4">
        <w:rPr>
          <w:rFonts w:asciiTheme="majorHAnsi" w:eastAsiaTheme="minorHAnsi" w:hAnsiTheme="majorHAnsi" w:cstheme="majorHAnsi"/>
          <w:i/>
          <w:iCs/>
          <w:color w:val="44546A" w:themeColor="text2"/>
          <w:sz w:val="22"/>
          <w:szCs w:val="22"/>
          <w:lang w:val="en-US"/>
        </w:rPr>
        <w:t xml:space="preserve">Figure </w:t>
      </w:r>
      <w:r w:rsidR="008D0CAD" w:rsidRPr="00931ED4">
        <w:rPr>
          <w:rFonts w:asciiTheme="majorHAnsi" w:eastAsiaTheme="minorHAnsi" w:hAnsiTheme="majorHAnsi" w:cstheme="majorHAnsi"/>
          <w:i/>
          <w:iCs/>
          <w:color w:val="44546A" w:themeColor="text2"/>
          <w:sz w:val="22"/>
          <w:szCs w:val="22"/>
          <w:lang w:val="en-US"/>
        </w:rPr>
        <w:fldChar w:fldCharType="begin"/>
      </w:r>
      <w:r w:rsidR="008D0CAD" w:rsidRPr="00931ED4">
        <w:rPr>
          <w:rFonts w:asciiTheme="majorHAnsi" w:eastAsiaTheme="minorHAnsi" w:hAnsiTheme="majorHAnsi" w:cstheme="majorHAnsi"/>
          <w:i/>
          <w:iCs/>
          <w:color w:val="44546A" w:themeColor="text2"/>
          <w:sz w:val="22"/>
          <w:szCs w:val="22"/>
          <w:lang w:val="en-US"/>
        </w:rPr>
        <w:instrText xml:space="preserve"> SEQ Figure \* ARABIC </w:instrText>
      </w:r>
      <w:r w:rsidR="008D0CAD" w:rsidRPr="00931ED4">
        <w:rPr>
          <w:rFonts w:asciiTheme="majorHAnsi" w:eastAsiaTheme="minorHAnsi" w:hAnsiTheme="majorHAnsi" w:cstheme="majorHAnsi"/>
          <w:i/>
          <w:iCs/>
          <w:color w:val="44546A" w:themeColor="text2"/>
          <w:sz w:val="22"/>
          <w:szCs w:val="22"/>
          <w:lang w:val="en-US"/>
        </w:rPr>
        <w:fldChar w:fldCharType="separate"/>
      </w:r>
      <w:r w:rsidR="00D6133D">
        <w:rPr>
          <w:rFonts w:asciiTheme="majorHAnsi" w:eastAsiaTheme="minorHAnsi" w:hAnsiTheme="majorHAnsi" w:cstheme="majorHAnsi"/>
          <w:i/>
          <w:iCs/>
          <w:noProof/>
          <w:color w:val="44546A" w:themeColor="text2"/>
          <w:sz w:val="22"/>
          <w:szCs w:val="22"/>
          <w:lang w:val="en-US"/>
        </w:rPr>
        <w:t>57</w:t>
      </w:r>
      <w:r w:rsidR="008D0CAD" w:rsidRPr="00931ED4">
        <w:rPr>
          <w:rFonts w:asciiTheme="majorHAnsi" w:eastAsiaTheme="minorHAnsi" w:hAnsiTheme="majorHAnsi" w:cstheme="majorHAnsi"/>
          <w:i/>
          <w:iCs/>
          <w:color w:val="44546A" w:themeColor="text2"/>
          <w:sz w:val="22"/>
          <w:szCs w:val="22"/>
          <w:lang w:val="en-US"/>
        </w:rPr>
        <w:fldChar w:fldCharType="end"/>
      </w:r>
      <w:r w:rsidR="008D0CAD" w:rsidRPr="00931ED4">
        <w:rPr>
          <w:rFonts w:asciiTheme="majorHAnsi" w:eastAsiaTheme="minorHAnsi" w:hAnsiTheme="majorHAnsi" w:cstheme="majorHAnsi"/>
          <w:i/>
          <w:iCs/>
          <w:color w:val="44546A" w:themeColor="text2"/>
          <w:sz w:val="22"/>
          <w:szCs w:val="22"/>
          <w:lang w:val="en-US"/>
        </w:rPr>
        <w:t>.</w:t>
      </w:r>
      <w:r>
        <w:rPr>
          <w:rFonts w:asciiTheme="majorHAnsi" w:eastAsiaTheme="minorHAnsi" w:hAnsiTheme="majorHAnsi" w:cstheme="majorHAnsi"/>
          <w:i/>
          <w:iCs/>
          <w:color w:val="44546A" w:themeColor="text2"/>
          <w:sz w:val="22"/>
          <w:szCs w:val="22"/>
          <w:lang w:val="en-US"/>
        </w:rPr>
        <w:t xml:space="preserve"> </w:t>
      </w:r>
      <w:r w:rsidR="008D0CAD" w:rsidRPr="00931ED4">
        <w:rPr>
          <w:rFonts w:asciiTheme="majorHAnsi" w:eastAsiaTheme="minorHAnsi" w:hAnsiTheme="majorHAnsi" w:cstheme="majorHAnsi"/>
          <w:i/>
          <w:iCs/>
          <w:color w:val="44546A" w:themeColor="text2"/>
          <w:sz w:val="22"/>
          <w:szCs w:val="22"/>
          <w:lang w:val="en-US"/>
        </w:rPr>
        <w:t>Retention Rate - Elementary</w:t>
      </w:r>
      <w:bookmarkEnd w:id="587"/>
      <w:bookmarkEnd w:id="588"/>
    </w:p>
    <w:p w14:paraId="49902B45" w14:textId="77777777" w:rsidR="008D0CAD" w:rsidRPr="00931ED4" w:rsidRDefault="008D0CAD" w:rsidP="00796BFA">
      <w:pPr>
        <w:spacing w:before="100" w:beforeAutospacing="1" w:after="100" w:afterAutospacing="1" w:line="360" w:lineRule="auto"/>
        <w:rPr>
          <w:rFonts w:asciiTheme="majorHAnsi" w:hAnsiTheme="majorHAnsi" w:cstheme="majorHAnsi"/>
          <w:sz w:val="20"/>
          <w:szCs w:val="20"/>
          <w:lang w:val="en-US"/>
        </w:rPr>
      </w:pPr>
      <w:r w:rsidRPr="00931ED4">
        <w:rPr>
          <w:rFonts w:asciiTheme="majorHAnsi" w:hAnsiTheme="majorHAnsi" w:cstheme="majorHAnsi"/>
          <w:noProof/>
          <w:sz w:val="20"/>
          <w:szCs w:val="20"/>
          <w:lang w:val="en-AU" w:eastAsia="en-AU"/>
        </w:rPr>
        <w:drawing>
          <wp:inline distT="0" distB="0" distL="0" distR="0" wp14:anchorId="4C38493E" wp14:editId="3A931486">
            <wp:extent cx="3923264" cy="2261937"/>
            <wp:effectExtent l="0" t="0" r="13970" b="11430"/>
            <wp:docPr id="114" name="Chart 114" descr="Line graph of retention rate for elementary by gender, from school year 2010 to 2018. Increasing tren; Higher for females than males.">
              <a:extLst xmlns:a="http://schemas.openxmlformats.org/drawingml/2006/main">
                <a:ext uri="{FF2B5EF4-FFF2-40B4-BE49-F238E27FC236}">
                  <a16:creationId xmlns:a16="http://schemas.microsoft.com/office/drawing/2014/main" id="{5205FD8B-01DF-4CDA-9D54-F10788B0AA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3AD8C7E4" w14:textId="0F1B1E94" w:rsidR="008D0CAD" w:rsidRPr="00931ED4" w:rsidRDefault="00D434EB" w:rsidP="00796BFA">
      <w:pPr>
        <w:spacing w:before="100" w:beforeAutospacing="1" w:after="100" w:afterAutospacing="1" w:line="360" w:lineRule="auto"/>
        <w:ind w:firstLine="43"/>
        <w:rPr>
          <w:rFonts w:asciiTheme="majorHAnsi" w:hAnsiTheme="majorHAnsi" w:cstheme="majorHAnsi"/>
          <w:bCs/>
          <w:i/>
          <w:iCs/>
          <w:sz w:val="20"/>
          <w:szCs w:val="20"/>
          <w:lang w:val="en-US"/>
        </w:rPr>
      </w:pPr>
      <w:r>
        <w:rPr>
          <w:rFonts w:asciiTheme="majorHAnsi" w:hAnsiTheme="majorHAnsi" w:cstheme="majorHAnsi"/>
          <w:bCs/>
          <w:i/>
          <w:iCs/>
          <w:sz w:val="20"/>
          <w:szCs w:val="20"/>
          <w:lang w:val="en-US"/>
        </w:rPr>
        <w:t xml:space="preserve"> </w:t>
      </w:r>
      <w:r w:rsidR="008D0CAD" w:rsidRPr="00931ED4">
        <w:rPr>
          <w:rFonts w:asciiTheme="majorHAnsi" w:hAnsiTheme="majorHAnsi" w:cstheme="majorHAnsi"/>
          <w:bCs/>
          <w:i/>
          <w:iCs/>
          <w:sz w:val="20"/>
          <w:szCs w:val="20"/>
          <w:lang w:val="en-US"/>
        </w:rPr>
        <w:t xml:space="preserve"> Source: EBEIS (Retrieved April 2019)</w:t>
      </w:r>
    </w:p>
    <w:p w14:paraId="297936CB" w14:textId="69A21FB8" w:rsidR="008D0CAD" w:rsidRPr="00931ED4" w:rsidRDefault="008D0CAD" w:rsidP="00796BFA">
      <w:pPr>
        <w:autoSpaceDE w:val="0"/>
        <w:autoSpaceDN w:val="0"/>
        <w:adjustRightInd w:val="0"/>
        <w:spacing w:before="100" w:beforeAutospacing="1" w:after="100" w:afterAutospacing="1" w:line="360" w:lineRule="auto"/>
        <w:rPr>
          <w:rFonts w:asciiTheme="majorHAnsi" w:hAnsiTheme="majorHAnsi" w:cstheme="majorHAnsi"/>
          <w:lang w:val="en-US"/>
        </w:rPr>
      </w:pPr>
      <w:r w:rsidRPr="00931ED4">
        <w:rPr>
          <w:rFonts w:asciiTheme="majorHAnsi" w:hAnsiTheme="majorHAnsi" w:cstheme="majorHAnsi"/>
          <w:lang w:val="en-US"/>
        </w:rPr>
        <w:t>Secondary retention rates increased from SY2010-2011 to SY2017-2018 like the trend for elementary retention rates (Table 14).</w:t>
      </w:r>
      <w:r w:rsidR="00D434EB">
        <w:rPr>
          <w:rFonts w:asciiTheme="majorHAnsi" w:hAnsiTheme="majorHAnsi" w:cstheme="majorHAnsi"/>
          <w:lang w:val="en-US"/>
        </w:rPr>
        <w:t xml:space="preserve"> </w:t>
      </w:r>
      <w:r w:rsidRPr="00931ED4">
        <w:rPr>
          <w:rFonts w:asciiTheme="majorHAnsi" w:hAnsiTheme="majorHAnsi" w:cstheme="majorHAnsi"/>
          <w:lang w:val="en-US"/>
        </w:rPr>
        <w:t>On one hand, highest recorded retention rate is 94.29% for SY 2017-2018</w:t>
      </w:r>
      <w:r w:rsidR="00D434EB">
        <w:rPr>
          <w:rFonts w:asciiTheme="majorHAnsi" w:hAnsiTheme="majorHAnsi" w:cstheme="majorHAnsi"/>
          <w:lang w:val="en-US"/>
        </w:rPr>
        <w:t xml:space="preserve"> </w:t>
      </w:r>
      <w:r w:rsidRPr="00931ED4">
        <w:rPr>
          <w:rFonts w:asciiTheme="majorHAnsi" w:hAnsiTheme="majorHAnsi" w:cstheme="majorHAnsi"/>
          <w:lang w:val="en-US"/>
        </w:rPr>
        <w:t xml:space="preserve"> with male learners’ rate at 92.50% and female school leaver rate at 96.09%. </w:t>
      </w:r>
    </w:p>
    <w:p w14:paraId="2A37CFBB" w14:textId="77777777" w:rsidR="008D0CAD" w:rsidRPr="00931ED4" w:rsidRDefault="008D0CAD" w:rsidP="00796BFA">
      <w:pPr>
        <w:autoSpaceDE w:val="0"/>
        <w:autoSpaceDN w:val="0"/>
        <w:adjustRightInd w:val="0"/>
        <w:spacing w:before="100" w:beforeAutospacing="1" w:after="100" w:afterAutospacing="1" w:line="360" w:lineRule="auto"/>
        <w:rPr>
          <w:rFonts w:asciiTheme="majorHAnsi" w:hAnsiTheme="majorHAnsi" w:cstheme="majorHAnsi"/>
          <w:lang w:val="en-US"/>
        </w:rPr>
      </w:pPr>
      <w:r w:rsidRPr="00931ED4">
        <w:rPr>
          <w:rFonts w:asciiTheme="majorHAnsi" w:hAnsiTheme="majorHAnsi" w:cstheme="majorHAnsi"/>
          <w:lang w:val="en-US"/>
        </w:rPr>
        <w:t>On the other hand, SY2010-2011 posted the lowest retention rates for secondary leaners at 90.33%, with 87.68% and 93.01% for male and female learners respectively (Figure 26). Furthermore, evidently, there are more female learners who stay in school as compared to male learners exceeding established total rates.</w:t>
      </w:r>
    </w:p>
    <w:p w14:paraId="3A290570" w14:textId="77777777" w:rsidR="008D0CAD" w:rsidRPr="00931ED4" w:rsidRDefault="008D0CAD" w:rsidP="00796BFA">
      <w:pPr>
        <w:spacing w:before="100" w:beforeAutospacing="1" w:after="100" w:afterAutospacing="1" w:line="360" w:lineRule="auto"/>
        <w:rPr>
          <w:rFonts w:asciiTheme="majorHAnsi" w:hAnsiTheme="majorHAnsi" w:cstheme="majorHAnsi"/>
          <w:lang w:val="en-US"/>
        </w:rPr>
      </w:pPr>
      <w:r w:rsidRPr="00931ED4">
        <w:rPr>
          <w:rFonts w:asciiTheme="majorHAnsi" w:hAnsiTheme="majorHAnsi" w:cstheme="majorHAnsi"/>
          <w:lang w:val="en-US"/>
        </w:rPr>
        <w:t>Similar to the elementary school retention rates, BEST regions are still comparable in terms of secondary retention rate-based data from SY 2011-2012 to SY 2017-2018.</w:t>
      </w:r>
    </w:p>
    <w:p w14:paraId="05B4D7CD" w14:textId="4FE675DE" w:rsidR="008D0CAD" w:rsidRPr="00AC648E" w:rsidRDefault="008D0CAD" w:rsidP="00385784">
      <w:pPr>
        <w:pageBreakBefore/>
        <w:spacing w:before="100" w:beforeAutospacing="1" w:after="100" w:afterAutospacing="1" w:line="360" w:lineRule="auto"/>
        <w:ind w:hanging="11"/>
        <w:rPr>
          <w:rFonts w:asciiTheme="majorHAnsi" w:eastAsiaTheme="minorHAnsi" w:hAnsiTheme="majorHAnsi" w:cstheme="majorHAnsi"/>
          <w:i/>
          <w:iCs/>
          <w:color w:val="44546A" w:themeColor="text2"/>
          <w:sz w:val="22"/>
          <w:szCs w:val="22"/>
          <w:lang w:val="en-US"/>
        </w:rPr>
      </w:pPr>
      <w:bookmarkStart w:id="589" w:name="_Toc16524196"/>
      <w:bookmarkStart w:id="590" w:name="_Toc71616659"/>
      <w:r w:rsidRPr="00AC648E">
        <w:rPr>
          <w:rFonts w:asciiTheme="majorHAnsi" w:eastAsiaTheme="minorHAnsi" w:hAnsiTheme="majorHAnsi" w:cstheme="majorHAnsi"/>
          <w:i/>
          <w:iCs/>
          <w:color w:val="44546A" w:themeColor="text2"/>
          <w:sz w:val="22"/>
          <w:szCs w:val="22"/>
          <w:lang w:val="en-US"/>
        </w:rPr>
        <w:t xml:space="preserve">Table </w:t>
      </w:r>
      <w:r w:rsidRPr="00AC648E">
        <w:rPr>
          <w:rFonts w:asciiTheme="majorHAnsi" w:eastAsiaTheme="minorHAnsi" w:hAnsiTheme="majorHAnsi" w:cstheme="majorHAnsi"/>
          <w:i/>
          <w:iCs/>
          <w:color w:val="44546A" w:themeColor="text2"/>
          <w:sz w:val="22"/>
          <w:szCs w:val="22"/>
          <w:lang w:val="en-US"/>
        </w:rPr>
        <w:fldChar w:fldCharType="begin"/>
      </w:r>
      <w:r w:rsidRPr="00AC648E">
        <w:rPr>
          <w:rFonts w:asciiTheme="majorHAnsi" w:eastAsiaTheme="minorHAnsi" w:hAnsiTheme="majorHAnsi" w:cstheme="majorHAnsi"/>
          <w:i/>
          <w:iCs/>
          <w:color w:val="44546A" w:themeColor="text2"/>
          <w:sz w:val="22"/>
          <w:szCs w:val="22"/>
          <w:lang w:val="en-US"/>
        </w:rPr>
        <w:instrText xml:space="preserve"> SEQ Table \* ARABIC </w:instrText>
      </w:r>
      <w:r w:rsidRPr="00AC648E">
        <w:rPr>
          <w:rFonts w:asciiTheme="majorHAnsi" w:eastAsiaTheme="minorHAnsi" w:hAnsiTheme="majorHAnsi" w:cstheme="majorHAnsi"/>
          <w:i/>
          <w:iCs/>
          <w:color w:val="44546A" w:themeColor="text2"/>
          <w:sz w:val="22"/>
          <w:szCs w:val="22"/>
          <w:lang w:val="en-US"/>
        </w:rPr>
        <w:fldChar w:fldCharType="separate"/>
      </w:r>
      <w:r w:rsidR="00D6133D">
        <w:rPr>
          <w:rFonts w:asciiTheme="majorHAnsi" w:eastAsiaTheme="minorHAnsi" w:hAnsiTheme="majorHAnsi" w:cstheme="majorHAnsi"/>
          <w:i/>
          <w:iCs/>
          <w:noProof/>
          <w:color w:val="44546A" w:themeColor="text2"/>
          <w:sz w:val="22"/>
          <w:szCs w:val="22"/>
          <w:lang w:val="en-US"/>
        </w:rPr>
        <w:t>68</w:t>
      </w:r>
      <w:r w:rsidRPr="00AC648E">
        <w:rPr>
          <w:rFonts w:asciiTheme="majorHAnsi" w:eastAsiaTheme="minorHAnsi" w:hAnsiTheme="majorHAnsi" w:cstheme="majorHAnsi"/>
          <w:i/>
          <w:iCs/>
          <w:color w:val="44546A" w:themeColor="text2"/>
          <w:sz w:val="22"/>
          <w:szCs w:val="22"/>
          <w:lang w:val="en-US"/>
        </w:rPr>
        <w:fldChar w:fldCharType="end"/>
      </w:r>
      <w:r w:rsidRPr="00AC648E">
        <w:rPr>
          <w:rFonts w:asciiTheme="majorHAnsi" w:eastAsiaTheme="minorHAnsi" w:hAnsiTheme="majorHAnsi" w:cstheme="majorHAnsi"/>
          <w:i/>
          <w:iCs/>
          <w:color w:val="44546A" w:themeColor="text2"/>
          <w:sz w:val="22"/>
          <w:szCs w:val="22"/>
          <w:lang w:val="en-US"/>
        </w:rPr>
        <w:t xml:space="preserve">. </w:t>
      </w:r>
      <w:r w:rsidRPr="00AC648E">
        <w:rPr>
          <w:rFonts w:asciiTheme="majorHAnsi" w:eastAsiaTheme="minorHAnsi" w:hAnsiTheme="majorHAnsi" w:cstheme="majorHAnsi"/>
          <w:bCs/>
          <w:i/>
          <w:iCs/>
          <w:color w:val="44546A" w:themeColor="text2"/>
          <w:sz w:val="22"/>
          <w:szCs w:val="22"/>
          <w:lang w:val="en-US"/>
        </w:rPr>
        <w:t>Secondary Retention Rate in BEST Regions, SY 2011-12 to 2017-18</w:t>
      </w:r>
      <w:bookmarkEnd w:id="589"/>
      <w:bookmarkEnd w:id="590"/>
    </w:p>
    <w:tbl>
      <w:tblPr>
        <w:tblStyle w:val="TableGrid11"/>
        <w:tblW w:w="8860" w:type="dxa"/>
        <w:tblLook w:val="04A0" w:firstRow="1" w:lastRow="0" w:firstColumn="1" w:lastColumn="0" w:noHBand="0" w:noVBand="1"/>
      </w:tblPr>
      <w:tblGrid>
        <w:gridCol w:w="2140"/>
        <w:gridCol w:w="960"/>
        <w:gridCol w:w="960"/>
        <w:gridCol w:w="960"/>
        <w:gridCol w:w="960"/>
        <w:gridCol w:w="960"/>
        <w:gridCol w:w="960"/>
        <w:gridCol w:w="960"/>
      </w:tblGrid>
      <w:tr w:rsidR="008D0CAD" w:rsidRPr="004B064D" w14:paraId="423FD17F" w14:textId="77777777" w:rsidTr="00F4751F">
        <w:trPr>
          <w:trHeight w:val="270"/>
          <w:tblHeader/>
        </w:trPr>
        <w:tc>
          <w:tcPr>
            <w:tcW w:w="2140" w:type="dxa"/>
            <w:noWrap/>
            <w:hideMark/>
          </w:tcPr>
          <w:p w14:paraId="05C78561" w14:textId="77777777" w:rsidR="008D0CAD" w:rsidRPr="004B064D" w:rsidRDefault="008D0CAD" w:rsidP="00796BFA">
            <w:pPr>
              <w:spacing w:before="100" w:beforeAutospacing="1" w:after="100" w:afterAutospacing="1" w:line="360" w:lineRule="auto"/>
              <w:rPr>
                <w:rFonts w:asciiTheme="majorHAnsi" w:hAnsiTheme="majorHAnsi" w:cstheme="majorHAnsi"/>
                <w:b/>
                <w:bCs/>
                <w:sz w:val="20"/>
                <w:szCs w:val="20"/>
              </w:rPr>
            </w:pPr>
            <w:r w:rsidRPr="004B064D">
              <w:rPr>
                <w:rFonts w:asciiTheme="majorHAnsi" w:hAnsiTheme="majorHAnsi" w:cstheme="majorHAnsi"/>
                <w:b/>
                <w:bCs/>
                <w:sz w:val="20"/>
                <w:szCs w:val="20"/>
              </w:rPr>
              <w:t>Region</w:t>
            </w:r>
          </w:p>
        </w:tc>
        <w:tc>
          <w:tcPr>
            <w:tcW w:w="960" w:type="dxa"/>
            <w:noWrap/>
            <w:hideMark/>
          </w:tcPr>
          <w:p w14:paraId="52548CAA" w14:textId="77777777" w:rsidR="008D0CAD" w:rsidRPr="004B064D" w:rsidRDefault="008D0CAD" w:rsidP="00796BFA">
            <w:pPr>
              <w:spacing w:before="100" w:beforeAutospacing="1" w:after="100" w:afterAutospacing="1" w:line="360" w:lineRule="auto"/>
              <w:rPr>
                <w:rFonts w:asciiTheme="majorHAnsi" w:hAnsiTheme="majorHAnsi" w:cstheme="majorHAnsi"/>
                <w:b/>
                <w:bCs/>
                <w:sz w:val="20"/>
                <w:szCs w:val="20"/>
              </w:rPr>
            </w:pPr>
            <w:r w:rsidRPr="004B064D">
              <w:rPr>
                <w:rFonts w:asciiTheme="majorHAnsi" w:hAnsiTheme="majorHAnsi" w:cstheme="majorHAnsi"/>
                <w:b/>
                <w:bCs/>
                <w:sz w:val="20"/>
                <w:szCs w:val="20"/>
              </w:rPr>
              <w:t>2011-12</w:t>
            </w:r>
          </w:p>
        </w:tc>
        <w:tc>
          <w:tcPr>
            <w:tcW w:w="960" w:type="dxa"/>
            <w:noWrap/>
            <w:hideMark/>
          </w:tcPr>
          <w:p w14:paraId="10A538F7" w14:textId="77777777" w:rsidR="008D0CAD" w:rsidRPr="004B064D" w:rsidRDefault="008D0CAD" w:rsidP="00796BFA">
            <w:pPr>
              <w:spacing w:before="100" w:beforeAutospacing="1" w:after="100" w:afterAutospacing="1" w:line="360" w:lineRule="auto"/>
              <w:rPr>
                <w:rFonts w:asciiTheme="majorHAnsi" w:hAnsiTheme="majorHAnsi" w:cstheme="majorHAnsi"/>
                <w:b/>
                <w:bCs/>
                <w:sz w:val="20"/>
                <w:szCs w:val="20"/>
              </w:rPr>
            </w:pPr>
            <w:r w:rsidRPr="004B064D">
              <w:rPr>
                <w:rFonts w:asciiTheme="majorHAnsi" w:hAnsiTheme="majorHAnsi" w:cstheme="majorHAnsi"/>
                <w:b/>
                <w:bCs/>
                <w:sz w:val="20"/>
                <w:szCs w:val="20"/>
              </w:rPr>
              <w:t>2012-13</w:t>
            </w:r>
          </w:p>
        </w:tc>
        <w:tc>
          <w:tcPr>
            <w:tcW w:w="960" w:type="dxa"/>
            <w:noWrap/>
            <w:hideMark/>
          </w:tcPr>
          <w:p w14:paraId="2D872217" w14:textId="77777777" w:rsidR="008D0CAD" w:rsidRPr="004B064D" w:rsidRDefault="008D0CAD" w:rsidP="00796BFA">
            <w:pPr>
              <w:spacing w:before="100" w:beforeAutospacing="1" w:after="100" w:afterAutospacing="1" w:line="360" w:lineRule="auto"/>
              <w:rPr>
                <w:rFonts w:asciiTheme="majorHAnsi" w:hAnsiTheme="majorHAnsi" w:cstheme="majorHAnsi"/>
                <w:b/>
                <w:bCs/>
                <w:sz w:val="20"/>
                <w:szCs w:val="20"/>
              </w:rPr>
            </w:pPr>
            <w:r w:rsidRPr="004B064D">
              <w:rPr>
                <w:rFonts w:asciiTheme="majorHAnsi" w:hAnsiTheme="majorHAnsi" w:cstheme="majorHAnsi"/>
                <w:b/>
                <w:bCs/>
                <w:sz w:val="20"/>
                <w:szCs w:val="20"/>
              </w:rPr>
              <w:t>2013-14</w:t>
            </w:r>
          </w:p>
        </w:tc>
        <w:tc>
          <w:tcPr>
            <w:tcW w:w="960" w:type="dxa"/>
            <w:noWrap/>
            <w:hideMark/>
          </w:tcPr>
          <w:p w14:paraId="34339556" w14:textId="77777777" w:rsidR="008D0CAD" w:rsidRPr="004B064D" w:rsidRDefault="008D0CAD" w:rsidP="00796BFA">
            <w:pPr>
              <w:spacing w:before="100" w:beforeAutospacing="1" w:after="100" w:afterAutospacing="1" w:line="360" w:lineRule="auto"/>
              <w:rPr>
                <w:rFonts w:asciiTheme="majorHAnsi" w:hAnsiTheme="majorHAnsi" w:cstheme="majorHAnsi"/>
                <w:b/>
                <w:bCs/>
                <w:sz w:val="20"/>
                <w:szCs w:val="20"/>
              </w:rPr>
            </w:pPr>
            <w:r w:rsidRPr="004B064D">
              <w:rPr>
                <w:rFonts w:asciiTheme="majorHAnsi" w:hAnsiTheme="majorHAnsi" w:cstheme="majorHAnsi"/>
                <w:b/>
                <w:bCs/>
                <w:sz w:val="20"/>
                <w:szCs w:val="20"/>
              </w:rPr>
              <w:t>2014-15</w:t>
            </w:r>
          </w:p>
        </w:tc>
        <w:tc>
          <w:tcPr>
            <w:tcW w:w="960" w:type="dxa"/>
            <w:noWrap/>
            <w:hideMark/>
          </w:tcPr>
          <w:p w14:paraId="39F4DAEF" w14:textId="77777777" w:rsidR="008D0CAD" w:rsidRPr="004B064D" w:rsidRDefault="008D0CAD" w:rsidP="00796BFA">
            <w:pPr>
              <w:spacing w:before="100" w:beforeAutospacing="1" w:after="100" w:afterAutospacing="1" w:line="360" w:lineRule="auto"/>
              <w:rPr>
                <w:rFonts w:asciiTheme="majorHAnsi" w:hAnsiTheme="majorHAnsi" w:cstheme="majorHAnsi"/>
                <w:b/>
                <w:bCs/>
                <w:sz w:val="20"/>
                <w:szCs w:val="20"/>
              </w:rPr>
            </w:pPr>
            <w:r w:rsidRPr="004B064D">
              <w:rPr>
                <w:rFonts w:asciiTheme="majorHAnsi" w:hAnsiTheme="majorHAnsi" w:cstheme="majorHAnsi"/>
                <w:b/>
                <w:bCs/>
                <w:sz w:val="20"/>
                <w:szCs w:val="20"/>
              </w:rPr>
              <w:t>2015-16</w:t>
            </w:r>
          </w:p>
        </w:tc>
        <w:tc>
          <w:tcPr>
            <w:tcW w:w="960" w:type="dxa"/>
            <w:noWrap/>
            <w:hideMark/>
          </w:tcPr>
          <w:p w14:paraId="017FE2BD" w14:textId="77777777" w:rsidR="008D0CAD" w:rsidRPr="004B064D" w:rsidRDefault="008D0CAD" w:rsidP="00796BFA">
            <w:pPr>
              <w:spacing w:before="100" w:beforeAutospacing="1" w:after="100" w:afterAutospacing="1" w:line="360" w:lineRule="auto"/>
              <w:rPr>
                <w:rFonts w:asciiTheme="majorHAnsi" w:hAnsiTheme="majorHAnsi" w:cstheme="majorHAnsi"/>
                <w:b/>
                <w:bCs/>
                <w:sz w:val="20"/>
                <w:szCs w:val="20"/>
              </w:rPr>
            </w:pPr>
            <w:r w:rsidRPr="004B064D">
              <w:rPr>
                <w:rFonts w:asciiTheme="majorHAnsi" w:hAnsiTheme="majorHAnsi" w:cstheme="majorHAnsi"/>
                <w:b/>
                <w:bCs/>
                <w:sz w:val="20"/>
                <w:szCs w:val="20"/>
              </w:rPr>
              <w:t>2016-17</w:t>
            </w:r>
          </w:p>
        </w:tc>
        <w:tc>
          <w:tcPr>
            <w:tcW w:w="960" w:type="dxa"/>
            <w:noWrap/>
            <w:hideMark/>
          </w:tcPr>
          <w:p w14:paraId="222A0CF5" w14:textId="77777777" w:rsidR="008D0CAD" w:rsidRPr="004B064D" w:rsidRDefault="008D0CAD" w:rsidP="00796BFA">
            <w:pPr>
              <w:spacing w:before="100" w:beforeAutospacing="1" w:after="100" w:afterAutospacing="1" w:line="360" w:lineRule="auto"/>
              <w:rPr>
                <w:rFonts w:asciiTheme="majorHAnsi" w:hAnsiTheme="majorHAnsi" w:cstheme="majorHAnsi"/>
                <w:b/>
                <w:bCs/>
                <w:sz w:val="20"/>
                <w:szCs w:val="20"/>
              </w:rPr>
            </w:pPr>
            <w:r w:rsidRPr="004B064D">
              <w:rPr>
                <w:rFonts w:asciiTheme="majorHAnsi" w:hAnsiTheme="majorHAnsi" w:cstheme="majorHAnsi"/>
                <w:b/>
                <w:bCs/>
                <w:sz w:val="20"/>
                <w:szCs w:val="20"/>
              </w:rPr>
              <w:t>2017-18</w:t>
            </w:r>
          </w:p>
        </w:tc>
      </w:tr>
      <w:tr w:rsidR="008D0CAD" w:rsidRPr="00931ED4" w14:paraId="44165133" w14:textId="77777777" w:rsidTr="008041F1">
        <w:trPr>
          <w:trHeight w:val="270"/>
        </w:trPr>
        <w:tc>
          <w:tcPr>
            <w:tcW w:w="2140" w:type="dxa"/>
            <w:noWrap/>
            <w:hideMark/>
          </w:tcPr>
          <w:p w14:paraId="2554C6D9" w14:textId="77777777" w:rsidR="008D0CAD" w:rsidRPr="00931ED4" w:rsidRDefault="008D0CAD" w:rsidP="00796BFA">
            <w:pPr>
              <w:spacing w:before="100" w:beforeAutospacing="1" w:after="100" w:afterAutospacing="1" w:line="360" w:lineRule="auto"/>
              <w:rPr>
                <w:rFonts w:asciiTheme="majorHAnsi" w:hAnsiTheme="majorHAnsi" w:cstheme="majorHAnsi"/>
                <w:sz w:val="20"/>
                <w:szCs w:val="20"/>
              </w:rPr>
            </w:pPr>
            <w:r w:rsidRPr="00931ED4">
              <w:rPr>
                <w:rFonts w:asciiTheme="majorHAnsi" w:hAnsiTheme="majorHAnsi" w:cstheme="majorHAnsi"/>
                <w:sz w:val="20"/>
                <w:szCs w:val="20"/>
              </w:rPr>
              <w:t>NCR</w:t>
            </w:r>
          </w:p>
        </w:tc>
        <w:tc>
          <w:tcPr>
            <w:tcW w:w="960" w:type="dxa"/>
            <w:hideMark/>
          </w:tcPr>
          <w:p w14:paraId="405D3C90"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90.78%</w:t>
            </w:r>
          </w:p>
        </w:tc>
        <w:tc>
          <w:tcPr>
            <w:tcW w:w="960" w:type="dxa"/>
            <w:hideMark/>
          </w:tcPr>
          <w:p w14:paraId="53E92FF6"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91.22%</w:t>
            </w:r>
          </w:p>
        </w:tc>
        <w:tc>
          <w:tcPr>
            <w:tcW w:w="960" w:type="dxa"/>
            <w:hideMark/>
          </w:tcPr>
          <w:p w14:paraId="33E1CD6E"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92.64%</w:t>
            </w:r>
          </w:p>
        </w:tc>
        <w:tc>
          <w:tcPr>
            <w:tcW w:w="960" w:type="dxa"/>
            <w:hideMark/>
          </w:tcPr>
          <w:p w14:paraId="7892BF5D"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92.33%</w:t>
            </w:r>
          </w:p>
        </w:tc>
        <w:tc>
          <w:tcPr>
            <w:tcW w:w="960" w:type="dxa"/>
            <w:hideMark/>
          </w:tcPr>
          <w:p w14:paraId="30C43AC9"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92.02%</w:t>
            </w:r>
          </w:p>
        </w:tc>
        <w:tc>
          <w:tcPr>
            <w:tcW w:w="960" w:type="dxa"/>
            <w:hideMark/>
          </w:tcPr>
          <w:p w14:paraId="73100F5A"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93.20%</w:t>
            </w:r>
          </w:p>
        </w:tc>
        <w:tc>
          <w:tcPr>
            <w:tcW w:w="960" w:type="dxa"/>
            <w:hideMark/>
          </w:tcPr>
          <w:p w14:paraId="4A29E3D5"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94.09%</w:t>
            </w:r>
          </w:p>
        </w:tc>
      </w:tr>
      <w:tr w:rsidR="008D0CAD" w:rsidRPr="00931ED4" w14:paraId="118AA136" w14:textId="77777777" w:rsidTr="008041F1">
        <w:trPr>
          <w:trHeight w:val="270"/>
        </w:trPr>
        <w:tc>
          <w:tcPr>
            <w:tcW w:w="2140" w:type="dxa"/>
            <w:noWrap/>
            <w:hideMark/>
          </w:tcPr>
          <w:p w14:paraId="2735DDCE" w14:textId="77777777" w:rsidR="008D0CAD" w:rsidRPr="00931ED4" w:rsidRDefault="008D0CAD" w:rsidP="00796BFA">
            <w:pPr>
              <w:spacing w:before="100" w:beforeAutospacing="1" w:after="100" w:afterAutospacing="1" w:line="360" w:lineRule="auto"/>
              <w:rPr>
                <w:rFonts w:asciiTheme="majorHAnsi" w:hAnsiTheme="majorHAnsi" w:cstheme="majorHAnsi"/>
                <w:sz w:val="20"/>
                <w:szCs w:val="20"/>
              </w:rPr>
            </w:pPr>
            <w:r w:rsidRPr="00931ED4">
              <w:rPr>
                <w:rFonts w:asciiTheme="majorHAnsi" w:hAnsiTheme="majorHAnsi" w:cstheme="majorHAnsi"/>
                <w:sz w:val="20"/>
                <w:szCs w:val="20"/>
              </w:rPr>
              <w:t>Region V</w:t>
            </w:r>
          </w:p>
        </w:tc>
        <w:tc>
          <w:tcPr>
            <w:tcW w:w="960" w:type="dxa"/>
            <w:hideMark/>
          </w:tcPr>
          <w:p w14:paraId="588AFE3A"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89.18%</w:t>
            </w:r>
          </w:p>
        </w:tc>
        <w:tc>
          <w:tcPr>
            <w:tcW w:w="960" w:type="dxa"/>
            <w:hideMark/>
          </w:tcPr>
          <w:p w14:paraId="6747E177"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89.37%</w:t>
            </w:r>
          </w:p>
        </w:tc>
        <w:tc>
          <w:tcPr>
            <w:tcW w:w="960" w:type="dxa"/>
            <w:hideMark/>
          </w:tcPr>
          <w:p w14:paraId="4BA18FBC"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91.30%</w:t>
            </w:r>
          </w:p>
        </w:tc>
        <w:tc>
          <w:tcPr>
            <w:tcW w:w="960" w:type="dxa"/>
            <w:hideMark/>
          </w:tcPr>
          <w:p w14:paraId="101402A8"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91.97%</w:t>
            </w:r>
          </w:p>
        </w:tc>
        <w:tc>
          <w:tcPr>
            <w:tcW w:w="960" w:type="dxa"/>
            <w:hideMark/>
          </w:tcPr>
          <w:p w14:paraId="6AB694F6"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91.63%</w:t>
            </w:r>
          </w:p>
        </w:tc>
        <w:tc>
          <w:tcPr>
            <w:tcW w:w="960" w:type="dxa"/>
            <w:hideMark/>
          </w:tcPr>
          <w:p w14:paraId="797D8877"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95.13%</w:t>
            </w:r>
          </w:p>
        </w:tc>
        <w:tc>
          <w:tcPr>
            <w:tcW w:w="960" w:type="dxa"/>
            <w:hideMark/>
          </w:tcPr>
          <w:p w14:paraId="5FE93B09"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93.62%</w:t>
            </w:r>
          </w:p>
        </w:tc>
      </w:tr>
      <w:tr w:rsidR="008D0CAD" w:rsidRPr="00931ED4" w14:paraId="28F686A5" w14:textId="77777777" w:rsidTr="008041F1">
        <w:trPr>
          <w:trHeight w:val="270"/>
        </w:trPr>
        <w:tc>
          <w:tcPr>
            <w:tcW w:w="2140" w:type="dxa"/>
            <w:noWrap/>
            <w:hideMark/>
          </w:tcPr>
          <w:p w14:paraId="0E575F66" w14:textId="77777777" w:rsidR="008D0CAD" w:rsidRPr="00931ED4" w:rsidRDefault="008D0CAD" w:rsidP="00796BFA">
            <w:pPr>
              <w:spacing w:before="100" w:beforeAutospacing="1" w:after="100" w:afterAutospacing="1" w:line="360" w:lineRule="auto"/>
              <w:rPr>
                <w:rFonts w:asciiTheme="majorHAnsi" w:hAnsiTheme="majorHAnsi" w:cstheme="majorHAnsi"/>
                <w:sz w:val="20"/>
                <w:szCs w:val="20"/>
              </w:rPr>
            </w:pPr>
            <w:r w:rsidRPr="00931ED4">
              <w:rPr>
                <w:rFonts w:asciiTheme="majorHAnsi" w:hAnsiTheme="majorHAnsi" w:cstheme="majorHAnsi"/>
                <w:sz w:val="20"/>
                <w:szCs w:val="20"/>
              </w:rPr>
              <w:t>Region VI</w:t>
            </w:r>
          </w:p>
        </w:tc>
        <w:tc>
          <w:tcPr>
            <w:tcW w:w="960" w:type="dxa"/>
            <w:hideMark/>
          </w:tcPr>
          <w:p w14:paraId="48F38A2C"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90.68%</w:t>
            </w:r>
          </w:p>
        </w:tc>
        <w:tc>
          <w:tcPr>
            <w:tcW w:w="960" w:type="dxa"/>
            <w:hideMark/>
          </w:tcPr>
          <w:p w14:paraId="420883B7"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90.68%</w:t>
            </w:r>
          </w:p>
        </w:tc>
        <w:tc>
          <w:tcPr>
            <w:tcW w:w="960" w:type="dxa"/>
            <w:hideMark/>
          </w:tcPr>
          <w:p w14:paraId="5BB1D321"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92.30%</w:t>
            </w:r>
          </w:p>
        </w:tc>
        <w:tc>
          <w:tcPr>
            <w:tcW w:w="960" w:type="dxa"/>
            <w:hideMark/>
          </w:tcPr>
          <w:p w14:paraId="4FFD760C"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94.18%</w:t>
            </w:r>
          </w:p>
        </w:tc>
        <w:tc>
          <w:tcPr>
            <w:tcW w:w="960" w:type="dxa"/>
            <w:hideMark/>
          </w:tcPr>
          <w:p w14:paraId="49A69B20"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92.76%</w:t>
            </w:r>
          </w:p>
        </w:tc>
        <w:tc>
          <w:tcPr>
            <w:tcW w:w="960" w:type="dxa"/>
            <w:hideMark/>
          </w:tcPr>
          <w:p w14:paraId="179A02A1"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92.15%</w:t>
            </w:r>
          </w:p>
        </w:tc>
        <w:tc>
          <w:tcPr>
            <w:tcW w:w="960" w:type="dxa"/>
            <w:hideMark/>
          </w:tcPr>
          <w:p w14:paraId="0A639277"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155.99%</w:t>
            </w:r>
          </w:p>
        </w:tc>
      </w:tr>
      <w:tr w:rsidR="008D0CAD" w:rsidRPr="00931ED4" w14:paraId="2CA412B3" w14:textId="77777777" w:rsidTr="008041F1">
        <w:trPr>
          <w:trHeight w:val="270"/>
        </w:trPr>
        <w:tc>
          <w:tcPr>
            <w:tcW w:w="2140" w:type="dxa"/>
            <w:noWrap/>
            <w:hideMark/>
          </w:tcPr>
          <w:p w14:paraId="14983040" w14:textId="77777777" w:rsidR="008D0CAD" w:rsidRPr="00931ED4" w:rsidRDefault="008D0CAD" w:rsidP="00796BFA">
            <w:pPr>
              <w:spacing w:before="100" w:beforeAutospacing="1" w:after="100" w:afterAutospacing="1" w:line="360" w:lineRule="auto"/>
              <w:rPr>
                <w:rFonts w:asciiTheme="majorHAnsi" w:hAnsiTheme="majorHAnsi" w:cstheme="majorHAnsi"/>
                <w:sz w:val="20"/>
                <w:szCs w:val="20"/>
              </w:rPr>
            </w:pPr>
            <w:r w:rsidRPr="00931ED4">
              <w:rPr>
                <w:rFonts w:asciiTheme="majorHAnsi" w:hAnsiTheme="majorHAnsi" w:cstheme="majorHAnsi"/>
                <w:sz w:val="20"/>
                <w:szCs w:val="20"/>
              </w:rPr>
              <w:t>Region VII</w:t>
            </w:r>
          </w:p>
        </w:tc>
        <w:tc>
          <w:tcPr>
            <w:tcW w:w="960" w:type="dxa"/>
            <w:hideMark/>
          </w:tcPr>
          <w:p w14:paraId="2D7FC598"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88.91%</w:t>
            </w:r>
          </w:p>
        </w:tc>
        <w:tc>
          <w:tcPr>
            <w:tcW w:w="960" w:type="dxa"/>
            <w:hideMark/>
          </w:tcPr>
          <w:p w14:paraId="19CC107E"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90.17%</w:t>
            </w:r>
          </w:p>
        </w:tc>
        <w:tc>
          <w:tcPr>
            <w:tcW w:w="960" w:type="dxa"/>
            <w:hideMark/>
          </w:tcPr>
          <w:p w14:paraId="44A1750F"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90.93%</w:t>
            </w:r>
          </w:p>
        </w:tc>
        <w:tc>
          <w:tcPr>
            <w:tcW w:w="960" w:type="dxa"/>
            <w:hideMark/>
          </w:tcPr>
          <w:p w14:paraId="01149EA3"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92.36%</w:t>
            </w:r>
          </w:p>
        </w:tc>
        <w:tc>
          <w:tcPr>
            <w:tcW w:w="960" w:type="dxa"/>
            <w:hideMark/>
          </w:tcPr>
          <w:p w14:paraId="0F16930F"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92.13%</w:t>
            </w:r>
          </w:p>
        </w:tc>
        <w:tc>
          <w:tcPr>
            <w:tcW w:w="960" w:type="dxa"/>
            <w:hideMark/>
          </w:tcPr>
          <w:p w14:paraId="701450A2"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56.72%</w:t>
            </w:r>
          </w:p>
        </w:tc>
        <w:tc>
          <w:tcPr>
            <w:tcW w:w="960" w:type="dxa"/>
            <w:hideMark/>
          </w:tcPr>
          <w:p w14:paraId="5666464E"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115.01%</w:t>
            </w:r>
          </w:p>
        </w:tc>
      </w:tr>
      <w:tr w:rsidR="008D0CAD" w:rsidRPr="00931ED4" w14:paraId="4CF580C2" w14:textId="77777777" w:rsidTr="008041F1">
        <w:trPr>
          <w:trHeight w:val="270"/>
        </w:trPr>
        <w:tc>
          <w:tcPr>
            <w:tcW w:w="2140" w:type="dxa"/>
            <w:noWrap/>
            <w:hideMark/>
          </w:tcPr>
          <w:p w14:paraId="2D6E3A3D" w14:textId="77777777" w:rsidR="008D0CAD" w:rsidRPr="00931ED4" w:rsidRDefault="008D0CAD" w:rsidP="00796BFA">
            <w:pPr>
              <w:spacing w:before="100" w:beforeAutospacing="1" w:after="100" w:afterAutospacing="1" w:line="360" w:lineRule="auto"/>
              <w:rPr>
                <w:rFonts w:asciiTheme="majorHAnsi" w:hAnsiTheme="majorHAnsi" w:cstheme="majorHAnsi"/>
                <w:sz w:val="20"/>
                <w:szCs w:val="20"/>
              </w:rPr>
            </w:pPr>
            <w:r w:rsidRPr="00931ED4">
              <w:rPr>
                <w:rFonts w:asciiTheme="majorHAnsi" w:hAnsiTheme="majorHAnsi" w:cstheme="majorHAnsi"/>
                <w:sz w:val="20"/>
                <w:szCs w:val="20"/>
              </w:rPr>
              <w:t>Region VIII</w:t>
            </w:r>
          </w:p>
        </w:tc>
        <w:tc>
          <w:tcPr>
            <w:tcW w:w="960" w:type="dxa"/>
            <w:hideMark/>
          </w:tcPr>
          <w:p w14:paraId="78BD0E7F"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87.38%</w:t>
            </w:r>
          </w:p>
        </w:tc>
        <w:tc>
          <w:tcPr>
            <w:tcW w:w="960" w:type="dxa"/>
            <w:hideMark/>
          </w:tcPr>
          <w:p w14:paraId="07E22443"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88.67%</w:t>
            </w:r>
          </w:p>
        </w:tc>
        <w:tc>
          <w:tcPr>
            <w:tcW w:w="960" w:type="dxa"/>
            <w:hideMark/>
          </w:tcPr>
          <w:p w14:paraId="0995D737"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90.29%</w:t>
            </w:r>
          </w:p>
        </w:tc>
        <w:tc>
          <w:tcPr>
            <w:tcW w:w="960" w:type="dxa"/>
            <w:hideMark/>
          </w:tcPr>
          <w:p w14:paraId="546E0749"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89.66%</w:t>
            </w:r>
          </w:p>
        </w:tc>
        <w:tc>
          <w:tcPr>
            <w:tcW w:w="960" w:type="dxa"/>
            <w:hideMark/>
          </w:tcPr>
          <w:p w14:paraId="1C1A5F1A"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91.47%</w:t>
            </w:r>
          </w:p>
        </w:tc>
        <w:tc>
          <w:tcPr>
            <w:tcW w:w="960" w:type="dxa"/>
            <w:hideMark/>
          </w:tcPr>
          <w:p w14:paraId="3ABF2B48"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76.19%</w:t>
            </w:r>
          </w:p>
        </w:tc>
        <w:tc>
          <w:tcPr>
            <w:tcW w:w="960" w:type="dxa"/>
            <w:hideMark/>
          </w:tcPr>
          <w:p w14:paraId="52EC43E5"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92.07%</w:t>
            </w:r>
          </w:p>
        </w:tc>
      </w:tr>
      <w:tr w:rsidR="008D0CAD" w:rsidRPr="00931ED4" w14:paraId="55B1D28E" w14:textId="77777777" w:rsidTr="008041F1">
        <w:trPr>
          <w:trHeight w:val="255"/>
        </w:trPr>
        <w:tc>
          <w:tcPr>
            <w:tcW w:w="2140" w:type="dxa"/>
            <w:noWrap/>
            <w:hideMark/>
          </w:tcPr>
          <w:p w14:paraId="015960C8" w14:textId="77777777" w:rsidR="008D0CAD" w:rsidRPr="00931ED4" w:rsidRDefault="008D0CAD" w:rsidP="00796BFA">
            <w:pPr>
              <w:spacing w:before="100" w:beforeAutospacing="1" w:after="100" w:afterAutospacing="1" w:line="360" w:lineRule="auto"/>
              <w:rPr>
                <w:rFonts w:asciiTheme="majorHAnsi" w:hAnsiTheme="majorHAnsi" w:cstheme="majorHAnsi"/>
                <w:sz w:val="20"/>
                <w:szCs w:val="20"/>
              </w:rPr>
            </w:pPr>
            <w:r w:rsidRPr="00931ED4">
              <w:rPr>
                <w:rFonts w:asciiTheme="majorHAnsi" w:hAnsiTheme="majorHAnsi" w:cstheme="majorHAnsi"/>
                <w:sz w:val="20"/>
                <w:szCs w:val="20"/>
              </w:rPr>
              <w:t>Region X</w:t>
            </w:r>
          </w:p>
        </w:tc>
        <w:tc>
          <w:tcPr>
            <w:tcW w:w="960" w:type="dxa"/>
            <w:hideMark/>
          </w:tcPr>
          <w:p w14:paraId="5CE28503"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86.66%</w:t>
            </w:r>
          </w:p>
        </w:tc>
        <w:tc>
          <w:tcPr>
            <w:tcW w:w="960" w:type="dxa"/>
            <w:hideMark/>
          </w:tcPr>
          <w:p w14:paraId="7915B24F"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87.64%</w:t>
            </w:r>
          </w:p>
        </w:tc>
        <w:tc>
          <w:tcPr>
            <w:tcW w:w="960" w:type="dxa"/>
            <w:hideMark/>
          </w:tcPr>
          <w:p w14:paraId="50666D6B"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90.05%</w:t>
            </w:r>
          </w:p>
        </w:tc>
        <w:tc>
          <w:tcPr>
            <w:tcW w:w="960" w:type="dxa"/>
            <w:hideMark/>
          </w:tcPr>
          <w:p w14:paraId="0480914B"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92.14%</w:t>
            </w:r>
          </w:p>
        </w:tc>
        <w:tc>
          <w:tcPr>
            <w:tcW w:w="960" w:type="dxa"/>
            <w:hideMark/>
          </w:tcPr>
          <w:p w14:paraId="5352A18B"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90.82%</w:t>
            </w:r>
          </w:p>
        </w:tc>
        <w:tc>
          <w:tcPr>
            <w:tcW w:w="960" w:type="dxa"/>
            <w:hideMark/>
          </w:tcPr>
          <w:p w14:paraId="240C2D49"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91.64%</w:t>
            </w:r>
          </w:p>
        </w:tc>
        <w:tc>
          <w:tcPr>
            <w:tcW w:w="960" w:type="dxa"/>
            <w:hideMark/>
          </w:tcPr>
          <w:p w14:paraId="0232108E"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92.28%</w:t>
            </w:r>
          </w:p>
        </w:tc>
      </w:tr>
    </w:tbl>
    <w:p w14:paraId="33248CAC" w14:textId="78909F21" w:rsidR="00065EB8" w:rsidRDefault="00065EB8" w:rsidP="00796BFA">
      <w:pPr>
        <w:spacing w:before="100" w:beforeAutospacing="1" w:after="100" w:afterAutospacing="1" w:line="360" w:lineRule="auto"/>
        <w:ind w:hanging="33"/>
        <w:rPr>
          <w:rFonts w:asciiTheme="majorHAnsi" w:eastAsiaTheme="minorHAnsi" w:hAnsiTheme="majorHAnsi" w:cstheme="majorHAnsi"/>
          <w:i/>
          <w:iCs/>
          <w:color w:val="44546A" w:themeColor="text2"/>
          <w:sz w:val="22"/>
          <w:szCs w:val="22"/>
          <w:lang w:val="en-US"/>
        </w:rPr>
      </w:pPr>
      <w:r w:rsidRPr="00931ED4">
        <w:rPr>
          <w:rFonts w:asciiTheme="majorHAnsi" w:hAnsiTheme="majorHAnsi" w:cstheme="majorHAnsi"/>
          <w:i/>
          <w:iCs/>
          <w:sz w:val="20"/>
          <w:szCs w:val="20"/>
        </w:rPr>
        <w:t>Source: EBEIS (Retrieved April 2019)</w:t>
      </w:r>
      <w:r w:rsidR="00D434EB">
        <w:rPr>
          <w:rFonts w:asciiTheme="majorHAnsi" w:eastAsiaTheme="minorHAnsi" w:hAnsiTheme="majorHAnsi" w:cstheme="majorHAnsi"/>
          <w:i/>
          <w:iCs/>
          <w:color w:val="44546A" w:themeColor="text2"/>
          <w:sz w:val="22"/>
          <w:szCs w:val="22"/>
          <w:lang w:val="en-US"/>
        </w:rPr>
        <w:t xml:space="preserve"> </w:t>
      </w:r>
      <w:bookmarkStart w:id="591" w:name="_Toc16524138"/>
      <w:bookmarkStart w:id="592" w:name="_Toc71616585"/>
      <w:r w:rsidR="00D434EB">
        <w:rPr>
          <w:rFonts w:asciiTheme="majorHAnsi" w:eastAsiaTheme="minorHAnsi" w:hAnsiTheme="majorHAnsi" w:cstheme="majorHAnsi"/>
          <w:i/>
          <w:iCs/>
          <w:color w:val="44546A" w:themeColor="text2"/>
          <w:sz w:val="22"/>
          <w:szCs w:val="22"/>
          <w:lang w:val="en-US"/>
        </w:rPr>
        <w:t xml:space="preserve"> </w:t>
      </w:r>
    </w:p>
    <w:p w14:paraId="156B03B7" w14:textId="4F8B6EC0" w:rsidR="008D0CAD" w:rsidRPr="00931ED4" w:rsidRDefault="008D0CAD" w:rsidP="00796BFA">
      <w:pPr>
        <w:spacing w:before="100" w:beforeAutospacing="1" w:after="100" w:afterAutospacing="1" w:line="360" w:lineRule="auto"/>
        <w:ind w:hanging="33"/>
        <w:rPr>
          <w:rFonts w:asciiTheme="majorHAnsi" w:eastAsiaTheme="minorHAnsi" w:hAnsiTheme="majorHAnsi" w:cstheme="majorHAnsi"/>
          <w:b/>
          <w:bCs/>
          <w:i/>
          <w:iCs/>
          <w:color w:val="44546A" w:themeColor="text2"/>
          <w:sz w:val="22"/>
          <w:szCs w:val="22"/>
          <w:lang w:val="en-US"/>
        </w:rPr>
      </w:pPr>
      <w:r w:rsidRPr="00931ED4">
        <w:rPr>
          <w:rFonts w:asciiTheme="majorHAnsi" w:eastAsiaTheme="minorHAnsi" w:hAnsiTheme="majorHAnsi" w:cstheme="majorHAnsi"/>
          <w:i/>
          <w:iCs/>
          <w:color w:val="44546A" w:themeColor="text2"/>
          <w:sz w:val="22"/>
          <w:szCs w:val="22"/>
          <w:lang w:val="en-US"/>
        </w:rPr>
        <w:t xml:space="preserve">Figure </w:t>
      </w:r>
      <w:r w:rsidRPr="00931ED4">
        <w:rPr>
          <w:rFonts w:asciiTheme="majorHAnsi" w:eastAsiaTheme="minorHAnsi" w:hAnsiTheme="majorHAnsi" w:cstheme="majorHAnsi"/>
          <w:i/>
          <w:iCs/>
          <w:color w:val="44546A" w:themeColor="text2"/>
          <w:sz w:val="22"/>
          <w:szCs w:val="22"/>
          <w:lang w:val="en-US"/>
        </w:rPr>
        <w:fldChar w:fldCharType="begin"/>
      </w:r>
      <w:r w:rsidRPr="00931ED4">
        <w:rPr>
          <w:rFonts w:asciiTheme="majorHAnsi" w:eastAsiaTheme="minorHAnsi" w:hAnsiTheme="majorHAnsi" w:cstheme="majorHAnsi"/>
          <w:i/>
          <w:iCs/>
          <w:color w:val="44546A" w:themeColor="text2"/>
          <w:sz w:val="22"/>
          <w:szCs w:val="22"/>
          <w:lang w:val="en-US"/>
        </w:rPr>
        <w:instrText xml:space="preserve"> SEQ Figure \* ARABIC </w:instrText>
      </w:r>
      <w:r w:rsidRPr="00931ED4">
        <w:rPr>
          <w:rFonts w:asciiTheme="majorHAnsi" w:eastAsiaTheme="minorHAnsi" w:hAnsiTheme="majorHAnsi" w:cstheme="majorHAnsi"/>
          <w:i/>
          <w:iCs/>
          <w:color w:val="44546A" w:themeColor="text2"/>
          <w:sz w:val="22"/>
          <w:szCs w:val="22"/>
          <w:lang w:val="en-US"/>
        </w:rPr>
        <w:fldChar w:fldCharType="separate"/>
      </w:r>
      <w:r w:rsidR="00D6133D">
        <w:rPr>
          <w:rFonts w:asciiTheme="majorHAnsi" w:eastAsiaTheme="minorHAnsi" w:hAnsiTheme="majorHAnsi" w:cstheme="majorHAnsi"/>
          <w:i/>
          <w:iCs/>
          <w:noProof/>
          <w:color w:val="44546A" w:themeColor="text2"/>
          <w:sz w:val="22"/>
          <w:szCs w:val="22"/>
          <w:lang w:val="en-US"/>
        </w:rPr>
        <w:t>58</w:t>
      </w:r>
      <w:r w:rsidRPr="00931ED4">
        <w:rPr>
          <w:rFonts w:asciiTheme="majorHAnsi" w:eastAsiaTheme="minorHAnsi" w:hAnsiTheme="majorHAnsi" w:cstheme="majorHAnsi"/>
          <w:i/>
          <w:iCs/>
          <w:color w:val="44546A" w:themeColor="text2"/>
          <w:sz w:val="22"/>
          <w:szCs w:val="22"/>
          <w:lang w:val="en-US"/>
        </w:rPr>
        <w:fldChar w:fldCharType="end"/>
      </w:r>
      <w:r w:rsidRPr="00931ED4">
        <w:rPr>
          <w:rFonts w:asciiTheme="majorHAnsi" w:eastAsiaTheme="minorHAnsi" w:hAnsiTheme="majorHAnsi" w:cstheme="majorHAnsi"/>
          <w:i/>
          <w:iCs/>
          <w:color w:val="44546A" w:themeColor="text2"/>
          <w:sz w:val="22"/>
          <w:szCs w:val="22"/>
          <w:lang w:val="en-US"/>
        </w:rPr>
        <w:t>. Retention Rate - Secondary</w:t>
      </w:r>
      <w:bookmarkEnd w:id="591"/>
      <w:bookmarkEnd w:id="592"/>
    </w:p>
    <w:p w14:paraId="457A3289" w14:textId="77777777" w:rsidR="008D0CAD" w:rsidRPr="00931ED4" w:rsidRDefault="008D0CAD" w:rsidP="00796BFA">
      <w:pPr>
        <w:spacing w:before="100" w:beforeAutospacing="1" w:after="100" w:afterAutospacing="1" w:line="360" w:lineRule="auto"/>
        <w:rPr>
          <w:rFonts w:asciiTheme="majorHAnsi" w:hAnsiTheme="majorHAnsi" w:cstheme="majorHAnsi"/>
          <w:b/>
          <w:bCs/>
          <w:sz w:val="20"/>
          <w:szCs w:val="20"/>
          <w:lang w:val="en-US"/>
        </w:rPr>
      </w:pPr>
      <w:r w:rsidRPr="00931ED4">
        <w:rPr>
          <w:rFonts w:asciiTheme="majorHAnsi" w:hAnsiTheme="majorHAnsi" w:cstheme="majorHAnsi"/>
          <w:noProof/>
          <w:sz w:val="20"/>
          <w:szCs w:val="20"/>
          <w:lang w:val="en-AU" w:eastAsia="en-AU"/>
        </w:rPr>
        <w:drawing>
          <wp:inline distT="0" distB="0" distL="0" distR="0" wp14:anchorId="199C9A90" wp14:editId="2F9CE57B">
            <wp:extent cx="4511466" cy="2720715"/>
            <wp:effectExtent l="0" t="0" r="10160" b="10160"/>
            <wp:docPr id="115" name="Chart 115" descr="Line graph of retention rate for secondary by gender, from school year 2010 to 2018.  Increasing rate; Higher for females than males.">
              <a:extLst xmlns:a="http://schemas.openxmlformats.org/drawingml/2006/main">
                <a:ext uri="{FF2B5EF4-FFF2-40B4-BE49-F238E27FC236}">
                  <a16:creationId xmlns:a16="http://schemas.microsoft.com/office/drawing/2014/main" id="{A390B690-7209-423D-ACD7-F265DD10DF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7BF18E4D" w14:textId="77777777" w:rsidR="008D0CAD" w:rsidRPr="00931ED4" w:rsidRDefault="008D0CAD" w:rsidP="00796BFA">
      <w:pPr>
        <w:spacing w:before="100" w:beforeAutospacing="1" w:after="100" w:afterAutospacing="1" w:line="360" w:lineRule="auto"/>
        <w:ind w:left="1440" w:firstLine="720"/>
        <w:rPr>
          <w:rFonts w:asciiTheme="majorHAnsi" w:hAnsiTheme="majorHAnsi" w:cstheme="majorHAnsi"/>
          <w:bCs/>
          <w:sz w:val="20"/>
          <w:szCs w:val="20"/>
          <w:lang w:val="en-US"/>
        </w:rPr>
      </w:pPr>
      <w:r w:rsidRPr="00931ED4">
        <w:rPr>
          <w:rFonts w:asciiTheme="majorHAnsi" w:hAnsiTheme="majorHAnsi" w:cstheme="majorHAnsi"/>
          <w:bCs/>
          <w:i/>
          <w:iCs/>
          <w:sz w:val="20"/>
          <w:szCs w:val="20"/>
          <w:lang w:val="en-US"/>
        </w:rPr>
        <w:t>Source: EBEIS (Retrieved April 2019)</w:t>
      </w:r>
    </w:p>
    <w:p w14:paraId="21C9375B" w14:textId="77777777" w:rsidR="008D0CAD" w:rsidRPr="00931ED4" w:rsidRDefault="008D0CAD" w:rsidP="00796BFA">
      <w:pPr>
        <w:pStyle w:val="Heading5"/>
        <w:numPr>
          <w:ilvl w:val="0"/>
          <w:numId w:val="0"/>
        </w:numPr>
        <w:spacing w:before="100" w:beforeAutospacing="1" w:after="100" w:afterAutospacing="1" w:line="360" w:lineRule="auto"/>
        <w:ind w:left="1222" w:hanging="1080"/>
      </w:pPr>
      <w:bookmarkStart w:id="593" w:name="_Toc16524078"/>
      <w:r w:rsidRPr="00931ED4">
        <w:t>Dropout Rate or School Leavers</w:t>
      </w:r>
      <w:bookmarkEnd w:id="593"/>
    </w:p>
    <w:p w14:paraId="3F5D6EFB" w14:textId="77777777" w:rsidR="008D0CAD" w:rsidRPr="00931ED4" w:rsidRDefault="008D0CAD" w:rsidP="00796BFA">
      <w:pPr>
        <w:spacing w:before="100" w:beforeAutospacing="1" w:after="100" w:afterAutospacing="1" w:line="360" w:lineRule="auto"/>
        <w:rPr>
          <w:rFonts w:asciiTheme="majorHAnsi" w:hAnsiTheme="majorHAnsi" w:cstheme="majorHAnsi"/>
          <w:lang w:val="en-US"/>
        </w:rPr>
      </w:pPr>
      <w:r w:rsidRPr="00931ED4">
        <w:rPr>
          <w:rFonts w:asciiTheme="majorHAnsi" w:hAnsiTheme="majorHAnsi" w:cstheme="majorHAnsi"/>
          <w:lang w:val="en-US"/>
        </w:rPr>
        <w:t>Dropouts are defined as pupils/students who leave school during the year for any reason as well as those who complete the previous grade/year level but fail to enroll in the next grade/year level the following school year.</w:t>
      </w:r>
    </w:p>
    <w:p w14:paraId="7E77739D" w14:textId="77777777" w:rsidR="008D0CAD" w:rsidRPr="00931ED4" w:rsidRDefault="008D0CAD" w:rsidP="00796BFA">
      <w:pPr>
        <w:spacing w:before="100" w:beforeAutospacing="1" w:after="100" w:afterAutospacing="1" w:line="360" w:lineRule="auto"/>
        <w:rPr>
          <w:rFonts w:asciiTheme="majorHAnsi" w:hAnsiTheme="majorHAnsi" w:cstheme="majorHAnsi"/>
          <w:lang w:val="en-US"/>
        </w:rPr>
      </w:pPr>
      <w:r w:rsidRPr="00931ED4">
        <w:rPr>
          <w:rFonts w:asciiTheme="majorHAnsi" w:hAnsiTheme="majorHAnsi" w:cstheme="majorHAnsi"/>
          <w:lang w:val="en-US"/>
        </w:rPr>
        <w:t>Dropout rate, on the other hand, is the percentage of pupils/students who leave school during the year for any reason as well as those who complete the previous grade/year level but fail to enroll in the next grade/year level the following school year to the total number of pupils/students enrolled during the previous school year.</w:t>
      </w:r>
    </w:p>
    <w:p w14:paraId="479B4579" w14:textId="36C61F36" w:rsidR="008D0CAD" w:rsidRPr="00931ED4" w:rsidRDefault="008D0CAD" w:rsidP="00796BFA">
      <w:pPr>
        <w:spacing w:before="100" w:beforeAutospacing="1" w:after="100" w:afterAutospacing="1" w:line="360" w:lineRule="auto"/>
        <w:rPr>
          <w:rFonts w:asciiTheme="majorHAnsi" w:hAnsiTheme="majorHAnsi" w:cstheme="majorHAnsi"/>
          <w:lang w:val="en-US"/>
        </w:rPr>
      </w:pPr>
      <w:r w:rsidRPr="00931ED4">
        <w:rPr>
          <w:rFonts w:asciiTheme="majorHAnsi" w:hAnsiTheme="majorHAnsi" w:cstheme="majorHAnsi"/>
          <w:lang w:val="en-US"/>
        </w:rPr>
        <w:t>It is worth noting that the elementary school leaver rate or proportion of learners who complete the grade level but fail to enroll in the next grade level had significantly declined from SY2013-2014 to SY2017-2018 (Figure 27). On one hand, the highest posted school leaver rate for elementary was 4.85 percent with male learners’ school leaver rate at 5.59% and female school leaver rate at 4.04%. By SY2017-2018, overall school leaver rate was posted at 1.56%, with 2.01% and 1.06% for male and female learners respectively.</w:t>
      </w:r>
      <w:r w:rsidR="00D434EB">
        <w:rPr>
          <w:rFonts w:asciiTheme="majorHAnsi" w:hAnsiTheme="majorHAnsi" w:cstheme="majorHAnsi"/>
          <w:lang w:val="en-US"/>
        </w:rPr>
        <w:t xml:space="preserve"> </w:t>
      </w:r>
    </w:p>
    <w:p w14:paraId="2AC4FB1D" w14:textId="03D0BE8B" w:rsidR="008D0CAD" w:rsidRPr="00931ED4" w:rsidRDefault="008D0CAD" w:rsidP="00796BFA">
      <w:pPr>
        <w:spacing w:before="100" w:beforeAutospacing="1" w:after="100" w:afterAutospacing="1" w:line="360" w:lineRule="auto"/>
        <w:rPr>
          <w:rFonts w:asciiTheme="majorHAnsi" w:eastAsiaTheme="minorHAnsi" w:hAnsiTheme="majorHAnsi" w:cstheme="majorHAnsi"/>
          <w:b/>
          <w:bCs/>
          <w:i/>
          <w:iCs/>
          <w:color w:val="44546A" w:themeColor="text2"/>
          <w:sz w:val="22"/>
          <w:szCs w:val="22"/>
          <w:lang w:val="en-US"/>
        </w:rPr>
      </w:pPr>
      <w:bookmarkStart w:id="594" w:name="_Toc16524139"/>
      <w:bookmarkStart w:id="595" w:name="_Toc71616586"/>
      <w:r w:rsidRPr="00931ED4">
        <w:rPr>
          <w:rFonts w:asciiTheme="majorHAnsi" w:eastAsiaTheme="minorHAnsi" w:hAnsiTheme="majorHAnsi" w:cstheme="majorHAnsi"/>
          <w:i/>
          <w:iCs/>
          <w:color w:val="44546A" w:themeColor="text2"/>
          <w:sz w:val="22"/>
          <w:szCs w:val="22"/>
          <w:lang w:val="en-US"/>
        </w:rPr>
        <w:t xml:space="preserve">Figure </w:t>
      </w:r>
      <w:r w:rsidRPr="00931ED4">
        <w:rPr>
          <w:rFonts w:asciiTheme="majorHAnsi" w:eastAsiaTheme="minorHAnsi" w:hAnsiTheme="majorHAnsi" w:cstheme="majorHAnsi"/>
          <w:i/>
          <w:iCs/>
          <w:color w:val="44546A" w:themeColor="text2"/>
          <w:sz w:val="22"/>
          <w:szCs w:val="22"/>
          <w:lang w:val="en-US"/>
        </w:rPr>
        <w:fldChar w:fldCharType="begin"/>
      </w:r>
      <w:r w:rsidRPr="00931ED4">
        <w:rPr>
          <w:rFonts w:asciiTheme="majorHAnsi" w:eastAsiaTheme="minorHAnsi" w:hAnsiTheme="majorHAnsi" w:cstheme="majorHAnsi"/>
          <w:i/>
          <w:iCs/>
          <w:color w:val="44546A" w:themeColor="text2"/>
          <w:sz w:val="22"/>
          <w:szCs w:val="22"/>
          <w:lang w:val="en-US"/>
        </w:rPr>
        <w:instrText xml:space="preserve"> SEQ Figure \* ARABIC </w:instrText>
      </w:r>
      <w:r w:rsidRPr="00931ED4">
        <w:rPr>
          <w:rFonts w:asciiTheme="majorHAnsi" w:eastAsiaTheme="minorHAnsi" w:hAnsiTheme="majorHAnsi" w:cstheme="majorHAnsi"/>
          <w:i/>
          <w:iCs/>
          <w:color w:val="44546A" w:themeColor="text2"/>
          <w:sz w:val="22"/>
          <w:szCs w:val="22"/>
          <w:lang w:val="en-US"/>
        </w:rPr>
        <w:fldChar w:fldCharType="separate"/>
      </w:r>
      <w:r w:rsidR="00D6133D">
        <w:rPr>
          <w:rFonts w:asciiTheme="majorHAnsi" w:eastAsiaTheme="minorHAnsi" w:hAnsiTheme="majorHAnsi" w:cstheme="majorHAnsi"/>
          <w:i/>
          <w:iCs/>
          <w:noProof/>
          <w:color w:val="44546A" w:themeColor="text2"/>
          <w:sz w:val="22"/>
          <w:szCs w:val="22"/>
          <w:lang w:val="en-US"/>
        </w:rPr>
        <w:t>59</w:t>
      </w:r>
      <w:r w:rsidRPr="00931ED4">
        <w:rPr>
          <w:rFonts w:asciiTheme="majorHAnsi" w:eastAsiaTheme="minorHAnsi" w:hAnsiTheme="majorHAnsi" w:cstheme="majorHAnsi"/>
          <w:i/>
          <w:iCs/>
          <w:color w:val="44546A" w:themeColor="text2"/>
          <w:sz w:val="22"/>
          <w:szCs w:val="22"/>
          <w:lang w:val="en-US"/>
        </w:rPr>
        <w:fldChar w:fldCharType="end"/>
      </w:r>
      <w:r w:rsidRPr="00931ED4">
        <w:rPr>
          <w:rFonts w:asciiTheme="majorHAnsi" w:eastAsiaTheme="minorHAnsi" w:hAnsiTheme="majorHAnsi" w:cstheme="majorHAnsi"/>
          <w:i/>
          <w:iCs/>
          <w:color w:val="44546A" w:themeColor="text2"/>
          <w:sz w:val="22"/>
          <w:szCs w:val="22"/>
          <w:lang w:val="en-US"/>
        </w:rPr>
        <w:t>. Elementary School Leaver Rates</w:t>
      </w:r>
      <w:bookmarkEnd w:id="594"/>
      <w:bookmarkEnd w:id="595"/>
    </w:p>
    <w:p w14:paraId="61E25E4D" w14:textId="77777777" w:rsidR="008D0CAD" w:rsidRPr="00931ED4" w:rsidRDefault="008D0CAD" w:rsidP="00796BFA">
      <w:pPr>
        <w:spacing w:before="100" w:beforeAutospacing="1" w:after="100" w:afterAutospacing="1" w:line="360" w:lineRule="auto"/>
        <w:rPr>
          <w:rFonts w:asciiTheme="majorHAnsi" w:hAnsiTheme="majorHAnsi" w:cstheme="majorHAnsi"/>
          <w:lang w:val="en-US"/>
        </w:rPr>
      </w:pPr>
      <w:r w:rsidRPr="00931ED4">
        <w:rPr>
          <w:noProof/>
          <w:lang w:val="en-AU" w:eastAsia="en-AU"/>
        </w:rPr>
        <w:drawing>
          <wp:inline distT="0" distB="0" distL="0" distR="0" wp14:anchorId="2D6B0513" wp14:editId="1734D3C1">
            <wp:extent cx="5166180" cy="2686958"/>
            <wp:effectExtent l="0" t="0" r="15875" b="18415"/>
            <wp:docPr id="116" name="Chart 116" descr="Line graph of elementary school leaver rates by gender from school year 2013 to 2018. Decreasing trend; higher for males than females.">
              <a:extLst xmlns:a="http://schemas.openxmlformats.org/drawingml/2006/main">
                <a:ext uri="{FF2B5EF4-FFF2-40B4-BE49-F238E27FC236}">
                  <a16:creationId xmlns:a16="http://schemas.microsoft.com/office/drawing/2014/main" id="{25369C8F-9A67-7E45-B95C-C31D299E06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444896D9" w14:textId="77777777" w:rsidR="008D0CAD" w:rsidRPr="00931ED4" w:rsidRDefault="008D0CAD" w:rsidP="00796BFA">
      <w:pPr>
        <w:spacing w:before="100" w:beforeAutospacing="1" w:after="100" w:afterAutospacing="1" w:line="360" w:lineRule="auto"/>
        <w:ind w:hanging="11"/>
        <w:rPr>
          <w:rFonts w:asciiTheme="majorHAnsi" w:hAnsiTheme="majorHAnsi" w:cstheme="majorHAnsi"/>
          <w:bCs/>
          <w:sz w:val="20"/>
          <w:szCs w:val="20"/>
          <w:lang w:val="en-US"/>
        </w:rPr>
      </w:pPr>
      <w:r w:rsidRPr="00931ED4">
        <w:rPr>
          <w:rFonts w:asciiTheme="majorHAnsi" w:hAnsiTheme="majorHAnsi" w:cstheme="majorHAnsi"/>
          <w:bCs/>
          <w:i/>
          <w:iCs/>
          <w:sz w:val="20"/>
          <w:szCs w:val="20"/>
          <w:lang w:val="en-US"/>
        </w:rPr>
        <w:t>Source: EBEIS (Retrieved April 2019)</w:t>
      </w:r>
    </w:p>
    <w:p w14:paraId="56934A29" w14:textId="09CE8581" w:rsidR="008D0CAD" w:rsidRPr="00931ED4" w:rsidRDefault="008D0CAD" w:rsidP="00796BFA">
      <w:pPr>
        <w:spacing w:before="100" w:beforeAutospacing="1" w:after="100" w:afterAutospacing="1" w:line="360" w:lineRule="auto"/>
        <w:rPr>
          <w:rFonts w:asciiTheme="majorHAnsi" w:hAnsiTheme="majorHAnsi" w:cstheme="majorHAnsi"/>
          <w:lang w:val="en-US"/>
        </w:rPr>
      </w:pPr>
      <w:r w:rsidRPr="00931ED4">
        <w:rPr>
          <w:rFonts w:asciiTheme="majorHAnsi" w:hAnsiTheme="majorHAnsi" w:cstheme="majorHAnsi"/>
          <w:lang w:val="en-US"/>
        </w:rPr>
        <w:t xml:space="preserve">Gradual decline in secondary school leaver rates </w:t>
      </w:r>
      <w:r w:rsidR="009C2893">
        <w:rPr>
          <w:rFonts w:asciiTheme="majorHAnsi" w:hAnsiTheme="majorHAnsi" w:cstheme="majorHAnsi"/>
          <w:lang w:val="en-US"/>
        </w:rPr>
        <w:t>is</w:t>
      </w:r>
      <w:r w:rsidRPr="00931ED4">
        <w:rPr>
          <w:rFonts w:asciiTheme="majorHAnsi" w:hAnsiTheme="majorHAnsi" w:cstheme="majorHAnsi"/>
          <w:lang w:val="en-US"/>
        </w:rPr>
        <w:t xml:space="preserve"> observed from SY2010-2011 to SY2017-2018 (Table 15). SY 2011-2012 displayed the highest school leaver rate of 9.29% with 11.79% and 6.74% for male and female learners respectively. Similar to the elementary school experience, the most recent school year garnered the lowest school leaver rate of 5.19%, with 6.85% and 3.49% for male and female learners respectively. Likewise, male school leaver rates are relatively higher than female school leaver rates and even compared to national totals.</w:t>
      </w:r>
    </w:p>
    <w:p w14:paraId="6B90EFF1" w14:textId="77777777" w:rsidR="008D0CAD" w:rsidRPr="00931ED4" w:rsidRDefault="008D0CAD" w:rsidP="00796BFA">
      <w:pPr>
        <w:spacing w:before="100" w:beforeAutospacing="1" w:after="100" w:afterAutospacing="1" w:line="360" w:lineRule="auto"/>
        <w:rPr>
          <w:rFonts w:asciiTheme="majorHAnsi" w:hAnsiTheme="majorHAnsi" w:cstheme="majorHAnsi"/>
          <w:lang w:val="en-US"/>
        </w:rPr>
      </w:pPr>
      <w:r w:rsidRPr="00931ED4">
        <w:rPr>
          <w:rFonts w:asciiTheme="majorHAnsi" w:hAnsiTheme="majorHAnsi" w:cstheme="majorHAnsi"/>
          <w:lang w:val="en-US"/>
        </w:rPr>
        <w:t>Performance data reveal that, in terms of school leaver rates at the secondary level, there is no pronounced differences between BEST and non-BEST regions. In addition, differences per school year do not translate into perceptible trend in terms of comparison with the national rate.</w:t>
      </w:r>
      <w:r w:rsidRPr="00931ED4">
        <w:rPr>
          <w:rFonts w:asciiTheme="majorHAnsi" w:hAnsiTheme="majorHAnsi" w:cstheme="majorHAnsi"/>
          <w:b/>
          <w:bCs/>
          <w:lang w:val="en-US"/>
        </w:rPr>
        <w:t xml:space="preserve"> </w:t>
      </w:r>
    </w:p>
    <w:p w14:paraId="3251E3B7" w14:textId="4B38636D" w:rsidR="008D0CAD" w:rsidRPr="00931ED4" w:rsidRDefault="008D0CAD" w:rsidP="00796BFA">
      <w:pPr>
        <w:spacing w:before="100" w:beforeAutospacing="1" w:after="100" w:afterAutospacing="1" w:line="360" w:lineRule="auto"/>
        <w:ind w:hanging="22"/>
        <w:rPr>
          <w:rFonts w:asciiTheme="majorHAnsi" w:eastAsiaTheme="minorHAnsi" w:hAnsiTheme="majorHAnsi" w:cstheme="majorHAnsi"/>
          <w:b/>
          <w:bCs/>
          <w:i/>
          <w:iCs/>
          <w:color w:val="44546A" w:themeColor="text2"/>
          <w:sz w:val="22"/>
          <w:szCs w:val="22"/>
          <w:lang w:val="en-US"/>
        </w:rPr>
      </w:pPr>
      <w:r w:rsidRPr="00931ED4">
        <w:rPr>
          <w:rFonts w:asciiTheme="majorHAnsi" w:eastAsiaTheme="minorHAnsi" w:hAnsiTheme="majorHAnsi" w:cstheme="majorHAnsi"/>
          <w:i/>
          <w:iCs/>
          <w:color w:val="44546A" w:themeColor="text2"/>
          <w:sz w:val="22"/>
          <w:szCs w:val="22"/>
          <w:lang w:val="en-US"/>
        </w:rPr>
        <w:t xml:space="preserve"> </w:t>
      </w:r>
      <w:bookmarkStart w:id="596" w:name="_Toc16524140"/>
      <w:bookmarkStart w:id="597" w:name="_Toc71616587"/>
      <w:r w:rsidRPr="00931ED4">
        <w:rPr>
          <w:rFonts w:asciiTheme="majorHAnsi" w:eastAsiaTheme="minorHAnsi" w:hAnsiTheme="majorHAnsi" w:cstheme="majorHAnsi"/>
          <w:i/>
          <w:iCs/>
          <w:color w:val="44546A" w:themeColor="text2"/>
          <w:sz w:val="22"/>
          <w:szCs w:val="22"/>
          <w:lang w:val="en-US"/>
        </w:rPr>
        <w:t xml:space="preserve">Figure </w:t>
      </w:r>
      <w:r w:rsidRPr="00931ED4">
        <w:rPr>
          <w:rFonts w:asciiTheme="majorHAnsi" w:eastAsiaTheme="minorHAnsi" w:hAnsiTheme="majorHAnsi" w:cstheme="majorHAnsi"/>
          <w:i/>
          <w:iCs/>
          <w:color w:val="44546A" w:themeColor="text2"/>
          <w:sz w:val="22"/>
          <w:szCs w:val="22"/>
          <w:lang w:val="en-US"/>
        </w:rPr>
        <w:fldChar w:fldCharType="begin"/>
      </w:r>
      <w:r w:rsidRPr="00931ED4">
        <w:rPr>
          <w:rFonts w:asciiTheme="majorHAnsi" w:eastAsiaTheme="minorHAnsi" w:hAnsiTheme="majorHAnsi" w:cstheme="majorHAnsi"/>
          <w:i/>
          <w:iCs/>
          <w:color w:val="44546A" w:themeColor="text2"/>
          <w:sz w:val="22"/>
          <w:szCs w:val="22"/>
          <w:lang w:val="en-US"/>
        </w:rPr>
        <w:instrText xml:space="preserve"> SEQ Figure \* ARABIC </w:instrText>
      </w:r>
      <w:r w:rsidRPr="00931ED4">
        <w:rPr>
          <w:rFonts w:asciiTheme="majorHAnsi" w:eastAsiaTheme="minorHAnsi" w:hAnsiTheme="majorHAnsi" w:cstheme="majorHAnsi"/>
          <w:i/>
          <w:iCs/>
          <w:color w:val="44546A" w:themeColor="text2"/>
          <w:sz w:val="22"/>
          <w:szCs w:val="22"/>
          <w:lang w:val="en-US"/>
        </w:rPr>
        <w:fldChar w:fldCharType="separate"/>
      </w:r>
      <w:r w:rsidR="00D6133D">
        <w:rPr>
          <w:rFonts w:asciiTheme="majorHAnsi" w:eastAsiaTheme="minorHAnsi" w:hAnsiTheme="majorHAnsi" w:cstheme="majorHAnsi"/>
          <w:i/>
          <w:iCs/>
          <w:noProof/>
          <w:color w:val="44546A" w:themeColor="text2"/>
          <w:sz w:val="22"/>
          <w:szCs w:val="22"/>
          <w:lang w:val="en-US"/>
        </w:rPr>
        <w:t>60</w:t>
      </w:r>
      <w:r w:rsidRPr="00931ED4">
        <w:rPr>
          <w:rFonts w:asciiTheme="majorHAnsi" w:eastAsiaTheme="minorHAnsi" w:hAnsiTheme="majorHAnsi" w:cstheme="majorHAnsi"/>
          <w:i/>
          <w:iCs/>
          <w:color w:val="44546A" w:themeColor="text2"/>
          <w:sz w:val="22"/>
          <w:szCs w:val="22"/>
          <w:lang w:val="en-US"/>
        </w:rPr>
        <w:fldChar w:fldCharType="end"/>
      </w:r>
      <w:r w:rsidRPr="00931ED4">
        <w:rPr>
          <w:rFonts w:asciiTheme="majorHAnsi" w:eastAsiaTheme="minorHAnsi" w:hAnsiTheme="majorHAnsi" w:cstheme="majorHAnsi"/>
          <w:i/>
          <w:iCs/>
          <w:color w:val="44546A" w:themeColor="text2"/>
          <w:sz w:val="22"/>
          <w:szCs w:val="22"/>
          <w:lang w:val="en-US"/>
        </w:rPr>
        <w:t>. Dropout/School Leaver Rate - Secondary</w:t>
      </w:r>
      <w:bookmarkEnd w:id="596"/>
      <w:bookmarkEnd w:id="597"/>
    </w:p>
    <w:p w14:paraId="0A99C45E" w14:textId="77777777" w:rsidR="008D0CAD" w:rsidRPr="00931ED4" w:rsidRDefault="008D0CAD" w:rsidP="00796BFA">
      <w:pPr>
        <w:autoSpaceDE w:val="0"/>
        <w:autoSpaceDN w:val="0"/>
        <w:adjustRightInd w:val="0"/>
        <w:spacing w:before="100" w:beforeAutospacing="1" w:after="100" w:afterAutospacing="1" w:line="360" w:lineRule="auto"/>
        <w:rPr>
          <w:rFonts w:asciiTheme="majorHAnsi" w:hAnsiTheme="majorHAnsi" w:cstheme="majorHAnsi"/>
          <w:sz w:val="20"/>
          <w:szCs w:val="20"/>
          <w:lang w:val="en-US"/>
        </w:rPr>
      </w:pPr>
      <w:r w:rsidRPr="00931ED4">
        <w:rPr>
          <w:rFonts w:asciiTheme="majorHAnsi" w:hAnsiTheme="majorHAnsi" w:cstheme="majorHAnsi"/>
          <w:noProof/>
          <w:sz w:val="20"/>
          <w:szCs w:val="20"/>
          <w:lang w:val="en-AU" w:eastAsia="en-AU"/>
        </w:rPr>
        <w:drawing>
          <wp:inline distT="0" distB="0" distL="0" distR="0" wp14:anchorId="2655177F" wp14:editId="51126F3C">
            <wp:extent cx="4493172" cy="2380593"/>
            <wp:effectExtent l="0" t="0" r="15875" b="7620"/>
            <wp:docPr id="117" name="Chart 117" descr="Line graph of secondary school leaver rates by gender from school year 2010 to 2018. Decreasing trend, Higher for males than females.">
              <a:extLst xmlns:a="http://schemas.openxmlformats.org/drawingml/2006/main">
                <a:ext uri="{FF2B5EF4-FFF2-40B4-BE49-F238E27FC236}">
                  <a16:creationId xmlns:a16="http://schemas.microsoft.com/office/drawing/2014/main" id="{61174BD1-B612-4FFE-A0EA-C20A399B96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480EF84E" w14:textId="79B1CA2D" w:rsidR="008D0CAD" w:rsidRPr="00931ED4" w:rsidRDefault="00D434EB" w:rsidP="00796BFA">
      <w:pPr>
        <w:spacing w:before="100" w:beforeAutospacing="1" w:after="100" w:afterAutospacing="1" w:line="360" w:lineRule="auto"/>
        <w:ind w:left="1080" w:firstLine="1080"/>
        <w:rPr>
          <w:rFonts w:asciiTheme="majorHAnsi" w:hAnsiTheme="majorHAnsi" w:cstheme="majorHAnsi"/>
          <w:bCs/>
          <w:i/>
          <w:iCs/>
          <w:sz w:val="20"/>
          <w:szCs w:val="20"/>
          <w:lang w:val="en-US"/>
        </w:rPr>
      </w:pPr>
      <w:r>
        <w:rPr>
          <w:rFonts w:asciiTheme="majorHAnsi" w:hAnsiTheme="majorHAnsi" w:cstheme="majorHAnsi"/>
          <w:bCs/>
          <w:i/>
          <w:iCs/>
          <w:sz w:val="20"/>
          <w:szCs w:val="20"/>
          <w:lang w:val="en-US"/>
        </w:rPr>
        <w:t xml:space="preserve">          </w:t>
      </w:r>
      <w:r w:rsidR="008D0CAD" w:rsidRPr="00931ED4">
        <w:rPr>
          <w:rFonts w:asciiTheme="majorHAnsi" w:hAnsiTheme="majorHAnsi" w:cstheme="majorHAnsi"/>
          <w:bCs/>
          <w:i/>
          <w:iCs/>
          <w:sz w:val="20"/>
          <w:szCs w:val="20"/>
          <w:lang w:val="en-US"/>
        </w:rPr>
        <w:t xml:space="preserve"> Source: EBEIS (Retrieved April 2019)</w:t>
      </w:r>
    </w:p>
    <w:p w14:paraId="1552F155" w14:textId="52E45631" w:rsidR="008D0CAD" w:rsidRPr="00931ED4" w:rsidRDefault="008D0CAD" w:rsidP="00796BFA">
      <w:pPr>
        <w:spacing w:before="100" w:beforeAutospacing="1" w:after="100" w:afterAutospacing="1" w:line="360" w:lineRule="auto"/>
        <w:rPr>
          <w:rFonts w:asciiTheme="majorHAnsi" w:hAnsiTheme="majorHAnsi" w:cstheme="majorHAnsi"/>
          <w:lang w:val="en-US"/>
        </w:rPr>
      </w:pPr>
      <w:r w:rsidRPr="00931ED4">
        <w:rPr>
          <w:rFonts w:asciiTheme="majorHAnsi" w:hAnsiTheme="majorHAnsi" w:cstheme="majorHAnsi"/>
          <w:b/>
          <w:lang w:val="en-US"/>
        </w:rPr>
        <w:t>School Leaver Rates by Region.</w:t>
      </w:r>
      <w:r w:rsidRPr="00931ED4">
        <w:rPr>
          <w:rFonts w:asciiTheme="majorHAnsi" w:hAnsiTheme="majorHAnsi" w:cstheme="majorHAnsi"/>
          <w:lang w:val="en-US"/>
        </w:rPr>
        <w:t xml:space="preserve"> In SY2013-2014, with an overall elementary school leaver rate  pegged at 4.85 percent, eleven regions posted SLRs below the national SLR lead by Region I (1.92%) (Table 15).</w:t>
      </w:r>
      <w:r w:rsidR="00D434EB">
        <w:rPr>
          <w:rFonts w:asciiTheme="majorHAnsi" w:hAnsiTheme="majorHAnsi" w:cstheme="majorHAnsi"/>
          <w:lang w:val="en-US"/>
        </w:rPr>
        <w:t xml:space="preserve"> </w:t>
      </w:r>
      <w:r w:rsidRPr="00931ED4">
        <w:rPr>
          <w:rFonts w:asciiTheme="majorHAnsi" w:hAnsiTheme="majorHAnsi" w:cstheme="majorHAnsi"/>
          <w:lang w:val="en-US"/>
        </w:rPr>
        <w:t>On the other hand, six regions posted much higher SLRs with ARMM posting a high 14.04 percent followed by Region IX at 9.25 percent.</w:t>
      </w:r>
    </w:p>
    <w:p w14:paraId="2A010E97" w14:textId="606A3EF0" w:rsidR="008D0CAD" w:rsidRPr="00931ED4" w:rsidRDefault="008D0CAD" w:rsidP="00796BFA">
      <w:pPr>
        <w:spacing w:before="100" w:beforeAutospacing="1" w:after="100" w:afterAutospacing="1" w:line="360" w:lineRule="auto"/>
        <w:rPr>
          <w:rFonts w:asciiTheme="majorHAnsi" w:hAnsiTheme="majorHAnsi" w:cstheme="majorHAnsi"/>
          <w:lang w:val="en-US"/>
        </w:rPr>
      </w:pPr>
      <w:r w:rsidRPr="00931ED4">
        <w:rPr>
          <w:rFonts w:asciiTheme="majorHAnsi" w:hAnsiTheme="majorHAnsi" w:cstheme="majorHAnsi"/>
          <w:lang w:val="en-US"/>
        </w:rPr>
        <w:t>Region I was consistently the top performing region in terms of lowest SLRs from SY2013-2014 to SY2017-2018, despite being overtaken by the performance of Region IV-A and Region III in the last two years.</w:t>
      </w:r>
      <w:r w:rsidR="00D434EB">
        <w:rPr>
          <w:rFonts w:asciiTheme="majorHAnsi" w:hAnsiTheme="majorHAnsi" w:cstheme="majorHAnsi"/>
          <w:lang w:val="en-US"/>
        </w:rPr>
        <w:t xml:space="preserve"> </w:t>
      </w:r>
    </w:p>
    <w:p w14:paraId="6CCFCB2C" w14:textId="2695FBD6" w:rsidR="008D0CAD" w:rsidRPr="00931ED4" w:rsidRDefault="008D0CAD" w:rsidP="00796BFA">
      <w:pPr>
        <w:spacing w:before="100" w:beforeAutospacing="1" w:after="100" w:afterAutospacing="1" w:line="360" w:lineRule="auto"/>
        <w:rPr>
          <w:rFonts w:asciiTheme="majorHAnsi" w:eastAsiaTheme="minorHAnsi" w:hAnsiTheme="majorHAnsi" w:cstheme="majorHAnsi"/>
          <w:i/>
          <w:iCs/>
          <w:color w:val="44546A" w:themeColor="text2"/>
          <w:sz w:val="22"/>
          <w:szCs w:val="22"/>
          <w:lang w:val="en-US"/>
        </w:rPr>
      </w:pPr>
      <w:bookmarkStart w:id="598" w:name="_Toc16524197"/>
      <w:bookmarkStart w:id="599" w:name="_Toc71616660"/>
      <w:r w:rsidRPr="00931ED4">
        <w:rPr>
          <w:rFonts w:asciiTheme="majorHAnsi" w:eastAsiaTheme="minorHAnsi" w:hAnsiTheme="majorHAnsi" w:cstheme="majorHAnsi"/>
          <w:i/>
          <w:iCs/>
          <w:color w:val="44546A" w:themeColor="text2"/>
          <w:sz w:val="22"/>
          <w:szCs w:val="22"/>
          <w:lang w:val="en-US"/>
        </w:rPr>
        <w:t xml:space="preserve">Table </w:t>
      </w:r>
      <w:r w:rsidRPr="00931ED4">
        <w:rPr>
          <w:rFonts w:asciiTheme="majorHAnsi" w:eastAsiaTheme="minorHAnsi" w:hAnsiTheme="majorHAnsi" w:cstheme="majorHAnsi"/>
          <w:i/>
          <w:iCs/>
          <w:color w:val="44546A" w:themeColor="text2"/>
          <w:sz w:val="22"/>
          <w:szCs w:val="22"/>
          <w:lang w:val="en-US"/>
        </w:rPr>
        <w:fldChar w:fldCharType="begin"/>
      </w:r>
      <w:r w:rsidRPr="00931ED4">
        <w:rPr>
          <w:rFonts w:asciiTheme="majorHAnsi" w:eastAsiaTheme="minorHAnsi" w:hAnsiTheme="majorHAnsi" w:cstheme="majorHAnsi"/>
          <w:i/>
          <w:iCs/>
          <w:color w:val="44546A" w:themeColor="text2"/>
          <w:sz w:val="22"/>
          <w:szCs w:val="22"/>
          <w:lang w:val="en-US"/>
        </w:rPr>
        <w:instrText xml:space="preserve"> SEQ Table \* ARABIC </w:instrText>
      </w:r>
      <w:r w:rsidRPr="00931ED4">
        <w:rPr>
          <w:rFonts w:asciiTheme="majorHAnsi" w:eastAsiaTheme="minorHAnsi" w:hAnsiTheme="majorHAnsi" w:cstheme="majorHAnsi"/>
          <w:i/>
          <w:iCs/>
          <w:color w:val="44546A" w:themeColor="text2"/>
          <w:sz w:val="22"/>
          <w:szCs w:val="22"/>
          <w:lang w:val="en-US"/>
        </w:rPr>
        <w:fldChar w:fldCharType="separate"/>
      </w:r>
      <w:r w:rsidR="00D6133D">
        <w:rPr>
          <w:rFonts w:asciiTheme="majorHAnsi" w:eastAsiaTheme="minorHAnsi" w:hAnsiTheme="majorHAnsi" w:cstheme="majorHAnsi"/>
          <w:i/>
          <w:iCs/>
          <w:noProof/>
          <w:color w:val="44546A" w:themeColor="text2"/>
          <w:sz w:val="22"/>
          <w:szCs w:val="22"/>
          <w:lang w:val="en-US"/>
        </w:rPr>
        <w:t>69</w:t>
      </w:r>
      <w:r w:rsidRPr="00931ED4">
        <w:rPr>
          <w:rFonts w:asciiTheme="majorHAnsi" w:eastAsiaTheme="minorHAnsi" w:hAnsiTheme="majorHAnsi" w:cstheme="majorHAnsi"/>
          <w:i/>
          <w:iCs/>
          <w:color w:val="44546A" w:themeColor="text2"/>
          <w:sz w:val="22"/>
          <w:szCs w:val="22"/>
          <w:lang w:val="en-US"/>
        </w:rPr>
        <w:fldChar w:fldCharType="end"/>
      </w:r>
      <w:r w:rsidRPr="00931ED4">
        <w:rPr>
          <w:rFonts w:asciiTheme="majorHAnsi" w:eastAsiaTheme="minorHAnsi" w:hAnsiTheme="majorHAnsi" w:cstheme="majorHAnsi"/>
          <w:i/>
          <w:iCs/>
          <w:color w:val="44546A" w:themeColor="text2"/>
          <w:sz w:val="22"/>
          <w:szCs w:val="22"/>
          <w:lang w:val="en-US"/>
        </w:rPr>
        <w:t xml:space="preserve">. </w:t>
      </w:r>
      <w:r w:rsidRPr="00931ED4">
        <w:rPr>
          <w:rFonts w:asciiTheme="majorHAnsi" w:eastAsiaTheme="minorHAnsi" w:hAnsiTheme="majorHAnsi" w:cstheme="majorHAnsi"/>
          <w:bCs/>
          <w:i/>
          <w:iCs/>
          <w:color w:val="44546A" w:themeColor="text2"/>
          <w:sz w:val="22"/>
          <w:szCs w:val="22"/>
          <w:lang w:val="en-US"/>
        </w:rPr>
        <w:t>Elementary School Leaver Rate by Regions, SY 2013-2014 to SY2017-2018</w:t>
      </w:r>
      <w:bookmarkEnd w:id="598"/>
      <w:bookmarkEnd w:id="599"/>
    </w:p>
    <w:tbl>
      <w:tblPr>
        <w:tblStyle w:val="TableGrid11"/>
        <w:tblW w:w="9360" w:type="dxa"/>
        <w:tblLook w:val="04A0" w:firstRow="1" w:lastRow="0" w:firstColumn="1" w:lastColumn="0" w:noHBand="0" w:noVBand="1"/>
      </w:tblPr>
      <w:tblGrid>
        <w:gridCol w:w="3340"/>
        <w:gridCol w:w="1122"/>
        <w:gridCol w:w="1122"/>
        <w:gridCol w:w="1122"/>
        <w:gridCol w:w="1532"/>
        <w:gridCol w:w="1122"/>
      </w:tblGrid>
      <w:tr w:rsidR="008D0CAD" w:rsidRPr="00931ED4" w14:paraId="401824A3" w14:textId="77777777" w:rsidTr="00F4751F">
        <w:trPr>
          <w:trHeight w:val="220"/>
          <w:tblHeader/>
        </w:trPr>
        <w:tc>
          <w:tcPr>
            <w:tcW w:w="3340" w:type="dxa"/>
            <w:noWrap/>
            <w:hideMark/>
          </w:tcPr>
          <w:p w14:paraId="7AB25503" w14:textId="77777777" w:rsidR="008D0CAD" w:rsidRPr="00931ED4" w:rsidRDefault="008D0CAD" w:rsidP="00796BFA">
            <w:pPr>
              <w:spacing w:before="100" w:beforeAutospacing="1" w:after="100" w:afterAutospacing="1" w:line="360" w:lineRule="auto"/>
              <w:rPr>
                <w:rFonts w:ascii="Arial" w:hAnsi="Arial" w:cs="Arial"/>
                <w:b/>
                <w:bCs/>
                <w:sz w:val="16"/>
                <w:szCs w:val="16"/>
                <w:lang w:val="en-US"/>
              </w:rPr>
            </w:pPr>
            <w:r w:rsidRPr="00931ED4">
              <w:rPr>
                <w:rFonts w:ascii="Arial" w:hAnsi="Arial" w:cs="Arial"/>
                <w:b/>
                <w:bCs/>
                <w:sz w:val="16"/>
                <w:szCs w:val="16"/>
                <w:lang w:val="en-US"/>
              </w:rPr>
              <w:t>Region</w:t>
            </w:r>
          </w:p>
        </w:tc>
        <w:tc>
          <w:tcPr>
            <w:tcW w:w="1122" w:type="dxa"/>
            <w:noWrap/>
            <w:hideMark/>
          </w:tcPr>
          <w:p w14:paraId="26744203" w14:textId="77777777" w:rsidR="008D0CAD" w:rsidRPr="00931ED4" w:rsidRDefault="008D0CAD" w:rsidP="00796BFA">
            <w:pPr>
              <w:spacing w:before="100" w:beforeAutospacing="1" w:after="100" w:afterAutospacing="1" w:line="360" w:lineRule="auto"/>
              <w:rPr>
                <w:rFonts w:ascii="Arial" w:hAnsi="Arial" w:cs="Arial"/>
                <w:b/>
                <w:bCs/>
                <w:sz w:val="16"/>
                <w:szCs w:val="16"/>
                <w:lang w:val="en-US"/>
              </w:rPr>
            </w:pPr>
            <w:r w:rsidRPr="00931ED4">
              <w:rPr>
                <w:rFonts w:ascii="Arial" w:hAnsi="Arial" w:cs="Arial"/>
                <w:b/>
                <w:bCs/>
                <w:sz w:val="16"/>
                <w:szCs w:val="16"/>
                <w:lang w:val="en-US"/>
              </w:rPr>
              <w:t>SY 2013-2014</w:t>
            </w:r>
          </w:p>
        </w:tc>
        <w:tc>
          <w:tcPr>
            <w:tcW w:w="1122" w:type="dxa"/>
            <w:noWrap/>
            <w:hideMark/>
          </w:tcPr>
          <w:p w14:paraId="5515328C" w14:textId="77777777" w:rsidR="008D0CAD" w:rsidRPr="00931ED4" w:rsidRDefault="008D0CAD" w:rsidP="00796BFA">
            <w:pPr>
              <w:spacing w:before="100" w:beforeAutospacing="1" w:after="100" w:afterAutospacing="1" w:line="360" w:lineRule="auto"/>
              <w:rPr>
                <w:rFonts w:ascii="Arial" w:hAnsi="Arial" w:cs="Arial"/>
                <w:b/>
                <w:bCs/>
                <w:sz w:val="16"/>
                <w:szCs w:val="16"/>
                <w:lang w:val="en-US"/>
              </w:rPr>
            </w:pPr>
            <w:r w:rsidRPr="00931ED4">
              <w:rPr>
                <w:rFonts w:ascii="Arial" w:hAnsi="Arial" w:cs="Arial"/>
                <w:b/>
                <w:bCs/>
                <w:sz w:val="16"/>
                <w:szCs w:val="16"/>
                <w:lang w:val="en-US"/>
              </w:rPr>
              <w:t>SY 2014 - 2015</w:t>
            </w:r>
          </w:p>
        </w:tc>
        <w:tc>
          <w:tcPr>
            <w:tcW w:w="1122" w:type="dxa"/>
            <w:noWrap/>
            <w:hideMark/>
          </w:tcPr>
          <w:p w14:paraId="29410D50" w14:textId="77777777" w:rsidR="008D0CAD" w:rsidRPr="00931ED4" w:rsidRDefault="008D0CAD" w:rsidP="00796BFA">
            <w:pPr>
              <w:spacing w:before="100" w:beforeAutospacing="1" w:after="100" w:afterAutospacing="1" w:line="360" w:lineRule="auto"/>
              <w:rPr>
                <w:rFonts w:ascii="Arial" w:hAnsi="Arial" w:cs="Arial"/>
                <w:b/>
                <w:bCs/>
                <w:sz w:val="16"/>
                <w:szCs w:val="16"/>
                <w:lang w:val="en-US"/>
              </w:rPr>
            </w:pPr>
            <w:r w:rsidRPr="00931ED4">
              <w:rPr>
                <w:rFonts w:ascii="Arial" w:hAnsi="Arial" w:cs="Arial"/>
                <w:b/>
                <w:bCs/>
                <w:sz w:val="16"/>
                <w:szCs w:val="16"/>
                <w:lang w:val="en-US"/>
              </w:rPr>
              <w:t>SY 2015 - 2016</w:t>
            </w:r>
          </w:p>
        </w:tc>
        <w:tc>
          <w:tcPr>
            <w:tcW w:w="1532" w:type="dxa"/>
            <w:noWrap/>
            <w:hideMark/>
          </w:tcPr>
          <w:p w14:paraId="3FA8717B" w14:textId="77777777" w:rsidR="008D0CAD" w:rsidRPr="00931ED4" w:rsidRDefault="008D0CAD" w:rsidP="00796BFA">
            <w:pPr>
              <w:spacing w:before="100" w:beforeAutospacing="1" w:after="100" w:afterAutospacing="1" w:line="360" w:lineRule="auto"/>
              <w:rPr>
                <w:rFonts w:ascii="Arial" w:hAnsi="Arial" w:cs="Arial"/>
                <w:b/>
                <w:bCs/>
                <w:sz w:val="16"/>
                <w:szCs w:val="16"/>
                <w:lang w:val="en-US"/>
              </w:rPr>
            </w:pPr>
            <w:r w:rsidRPr="00931ED4">
              <w:rPr>
                <w:rFonts w:ascii="Arial" w:hAnsi="Arial" w:cs="Arial"/>
                <w:b/>
                <w:bCs/>
                <w:sz w:val="16"/>
                <w:szCs w:val="16"/>
                <w:lang w:val="en-US"/>
              </w:rPr>
              <w:t>SY 2016-2017</w:t>
            </w:r>
          </w:p>
        </w:tc>
        <w:tc>
          <w:tcPr>
            <w:tcW w:w="1122" w:type="dxa"/>
            <w:noWrap/>
            <w:hideMark/>
          </w:tcPr>
          <w:p w14:paraId="3C165719" w14:textId="77777777" w:rsidR="008D0CAD" w:rsidRPr="00931ED4" w:rsidRDefault="008D0CAD" w:rsidP="00796BFA">
            <w:pPr>
              <w:spacing w:before="100" w:beforeAutospacing="1" w:after="100" w:afterAutospacing="1" w:line="360" w:lineRule="auto"/>
              <w:rPr>
                <w:rFonts w:ascii="Arial" w:hAnsi="Arial" w:cs="Arial"/>
                <w:b/>
                <w:bCs/>
                <w:sz w:val="16"/>
                <w:szCs w:val="16"/>
                <w:lang w:val="en-US"/>
              </w:rPr>
            </w:pPr>
            <w:r w:rsidRPr="00931ED4">
              <w:rPr>
                <w:rFonts w:ascii="Arial" w:hAnsi="Arial" w:cs="Arial"/>
                <w:b/>
                <w:bCs/>
                <w:sz w:val="16"/>
                <w:szCs w:val="16"/>
                <w:lang w:val="en-US"/>
              </w:rPr>
              <w:t>SY 2017 - 2018</w:t>
            </w:r>
          </w:p>
        </w:tc>
      </w:tr>
      <w:tr w:rsidR="008D0CAD" w:rsidRPr="00931ED4" w14:paraId="40E799C6" w14:textId="77777777" w:rsidTr="008041F1">
        <w:trPr>
          <w:trHeight w:val="220"/>
        </w:trPr>
        <w:tc>
          <w:tcPr>
            <w:tcW w:w="3340" w:type="dxa"/>
            <w:noWrap/>
            <w:hideMark/>
          </w:tcPr>
          <w:p w14:paraId="794250C9"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Region I - Ilocos Region</w:t>
            </w:r>
          </w:p>
        </w:tc>
        <w:tc>
          <w:tcPr>
            <w:tcW w:w="1122" w:type="dxa"/>
            <w:noWrap/>
            <w:hideMark/>
          </w:tcPr>
          <w:p w14:paraId="00222B7B"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1.92%</w:t>
            </w:r>
          </w:p>
        </w:tc>
        <w:tc>
          <w:tcPr>
            <w:tcW w:w="1122" w:type="dxa"/>
            <w:noWrap/>
            <w:hideMark/>
          </w:tcPr>
          <w:p w14:paraId="39EAB5EC"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1.13%</w:t>
            </w:r>
          </w:p>
        </w:tc>
        <w:tc>
          <w:tcPr>
            <w:tcW w:w="1122" w:type="dxa"/>
            <w:noWrap/>
            <w:hideMark/>
          </w:tcPr>
          <w:p w14:paraId="7C51E6F7"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1.13%</w:t>
            </w:r>
          </w:p>
        </w:tc>
        <w:tc>
          <w:tcPr>
            <w:tcW w:w="1532" w:type="dxa"/>
            <w:noWrap/>
            <w:hideMark/>
          </w:tcPr>
          <w:p w14:paraId="6D167DD9"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0.63%</w:t>
            </w:r>
          </w:p>
        </w:tc>
        <w:tc>
          <w:tcPr>
            <w:tcW w:w="1122" w:type="dxa"/>
            <w:noWrap/>
            <w:hideMark/>
          </w:tcPr>
          <w:p w14:paraId="12E6F23C"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0.76%</w:t>
            </w:r>
          </w:p>
        </w:tc>
      </w:tr>
      <w:tr w:rsidR="008D0CAD" w:rsidRPr="00931ED4" w14:paraId="21A101B0" w14:textId="77777777" w:rsidTr="008041F1">
        <w:trPr>
          <w:trHeight w:val="220"/>
        </w:trPr>
        <w:tc>
          <w:tcPr>
            <w:tcW w:w="3340" w:type="dxa"/>
            <w:noWrap/>
            <w:hideMark/>
          </w:tcPr>
          <w:p w14:paraId="100320B1"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Region II - Cagayan Valley</w:t>
            </w:r>
          </w:p>
        </w:tc>
        <w:tc>
          <w:tcPr>
            <w:tcW w:w="1122" w:type="dxa"/>
            <w:noWrap/>
            <w:hideMark/>
          </w:tcPr>
          <w:p w14:paraId="6309DF05"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2.42%</w:t>
            </w:r>
          </w:p>
        </w:tc>
        <w:tc>
          <w:tcPr>
            <w:tcW w:w="1122" w:type="dxa"/>
            <w:noWrap/>
            <w:hideMark/>
          </w:tcPr>
          <w:p w14:paraId="0CBDAFEA"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2.61%</w:t>
            </w:r>
          </w:p>
        </w:tc>
        <w:tc>
          <w:tcPr>
            <w:tcW w:w="1122" w:type="dxa"/>
            <w:noWrap/>
            <w:hideMark/>
          </w:tcPr>
          <w:p w14:paraId="64126977"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1.74%</w:t>
            </w:r>
          </w:p>
        </w:tc>
        <w:tc>
          <w:tcPr>
            <w:tcW w:w="1532" w:type="dxa"/>
            <w:noWrap/>
            <w:hideMark/>
          </w:tcPr>
          <w:p w14:paraId="3164E2AF"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1.10%</w:t>
            </w:r>
          </w:p>
        </w:tc>
        <w:tc>
          <w:tcPr>
            <w:tcW w:w="1122" w:type="dxa"/>
            <w:noWrap/>
            <w:hideMark/>
          </w:tcPr>
          <w:p w14:paraId="06590EFF"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1.23%</w:t>
            </w:r>
          </w:p>
        </w:tc>
      </w:tr>
      <w:tr w:rsidR="008D0CAD" w:rsidRPr="00931ED4" w14:paraId="26F7522C" w14:textId="77777777" w:rsidTr="008041F1">
        <w:trPr>
          <w:trHeight w:val="220"/>
        </w:trPr>
        <w:tc>
          <w:tcPr>
            <w:tcW w:w="3340" w:type="dxa"/>
            <w:noWrap/>
            <w:hideMark/>
          </w:tcPr>
          <w:p w14:paraId="38CA877E"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Region III - Central Luzon</w:t>
            </w:r>
          </w:p>
        </w:tc>
        <w:tc>
          <w:tcPr>
            <w:tcW w:w="1122" w:type="dxa"/>
            <w:noWrap/>
            <w:hideMark/>
          </w:tcPr>
          <w:p w14:paraId="4CBCBC59"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1.90%</w:t>
            </w:r>
          </w:p>
        </w:tc>
        <w:tc>
          <w:tcPr>
            <w:tcW w:w="1122" w:type="dxa"/>
            <w:noWrap/>
            <w:hideMark/>
          </w:tcPr>
          <w:p w14:paraId="7F92786C"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2.28%</w:t>
            </w:r>
          </w:p>
        </w:tc>
        <w:tc>
          <w:tcPr>
            <w:tcW w:w="1122" w:type="dxa"/>
            <w:noWrap/>
            <w:hideMark/>
          </w:tcPr>
          <w:p w14:paraId="3122BC20"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1.45%</w:t>
            </w:r>
          </w:p>
        </w:tc>
        <w:tc>
          <w:tcPr>
            <w:tcW w:w="1532" w:type="dxa"/>
            <w:noWrap/>
            <w:hideMark/>
          </w:tcPr>
          <w:p w14:paraId="1C97D8E4"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0.32%</w:t>
            </w:r>
          </w:p>
        </w:tc>
        <w:tc>
          <w:tcPr>
            <w:tcW w:w="1122" w:type="dxa"/>
            <w:noWrap/>
            <w:hideMark/>
          </w:tcPr>
          <w:p w14:paraId="08685E53"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0.67%</w:t>
            </w:r>
          </w:p>
        </w:tc>
      </w:tr>
      <w:tr w:rsidR="008D0CAD" w:rsidRPr="00931ED4" w14:paraId="459D72DE" w14:textId="77777777" w:rsidTr="008041F1">
        <w:trPr>
          <w:trHeight w:val="220"/>
        </w:trPr>
        <w:tc>
          <w:tcPr>
            <w:tcW w:w="3340" w:type="dxa"/>
            <w:noWrap/>
            <w:hideMark/>
          </w:tcPr>
          <w:p w14:paraId="7918286A"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Region IV-A - CALABARZON</w:t>
            </w:r>
          </w:p>
        </w:tc>
        <w:tc>
          <w:tcPr>
            <w:tcW w:w="1122" w:type="dxa"/>
            <w:noWrap/>
            <w:hideMark/>
          </w:tcPr>
          <w:p w14:paraId="2ED360D2"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6.03%</w:t>
            </w:r>
          </w:p>
        </w:tc>
        <w:tc>
          <w:tcPr>
            <w:tcW w:w="1122" w:type="dxa"/>
            <w:noWrap/>
            <w:hideMark/>
          </w:tcPr>
          <w:p w14:paraId="7E362AEE"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1.55%</w:t>
            </w:r>
          </w:p>
        </w:tc>
        <w:tc>
          <w:tcPr>
            <w:tcW w:w="1122" w:type="dxa"/>
            <w:noWrap/>
            <w:hideMark/>
          </w:tcPr>
          <w:p w14:paraId="7F19FA12"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1.76%</w:t>
            </w:r>
          </w:p>
        </w:tc>
        <w:tc>
          <w:tcPr>
            <w:tcW w:w="1532" w:type="dxa"/>
            <w:noWrap/>
            <w:hideMark/>
          </w:tcPr>
          <w:p w14:paraId="229B906F"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0.08%</w:t>
            </w:r>
          </w:p>
        </w:tc>
        <w:tc>
          <w:tcPr>
            <w:tcW w:w="1122" w:type="dxa"/>
            <w:noWrap/>
            <w:hideMark/>
          </w:tcPr>
          <w:p w14:paraId="4500AA98"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0.26%</w:t>
            </w:r>
          </w:p>
        </w:tc>
      </w:tr>
      <w:tr w:rsidR="008D0CAD" w:rsidRPr="00931ED4" w14:paraId="6DD67569" w14:textId="77777777" w:rsidTr="008041F1">
        <w:trPr>
          <w:trHeight w:val="220"/>
        </w:trPr>
        <w:tc>
          <w:tcPr>
            <w:tcW w:w="3340" w:type="dxa"/>
            <w:noWrap/>
            <w:hideMark/>
          </w:tcPr>
          <w:p w14:paraId="444C8CD5"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Region IV-B - MIMAROPA</w:t>
            </w:r>
          </w:p>
        </w:tc>
        <w:tc>
          <w:tcPr>
            <w:tcW w:w="1122" w:type="dxa"/>
            <w:noWrap/>
            <w:hideMark/>
          </w:tcPr>
          <w:p w14:paraId="47C3AD95"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4.73%</w:t>
            </w:r>
          </w:p>
        </w:tc>
        <w:tc>
          <w:tcPr>
            <w:tcW w:w="1122" w:type="dxa"/>
            <w:noWrap/>
            <w:hideMark/>
          </w:tcPr>
          <w:p w14:paraId="38E6FDAD"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2.78%</w:t>
            </w:r>
          </w:p>
        </w:tc>
        <w:tc>
          <w:tcPr>
            <w:tcW w:w="1122" w:type="dxa"/>
            <w:noWrap/>
            <w:hideMark/>
          </w:tcPr>
          <w:p w14:paraId="109EB9CE"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1.66%</w:t>
            </w:r>
          </w:p>
        </w:tc>
        <w:tc>
          <w:tcPr>
            <w:tcW w:w="1532" w:type="dxa"/>
            <w:noWrap/>
            <w:hideMark/>
          </w:tcPr>
          <w:p w14:paraId="344AD327"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1.86%</w:t>
            </w:r>
          </w:p>
        </w:tc>
        <w:tc>
          <w:tcPr>
            <w:tcW w:w="1122" w:type="dxa"/>
            <w:noWrap/>
            <w:hideMark/>
          </w:tcPr>
          <w:p w14:paraId="3593454D"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1.74%</w:t>
            </w:r>
          </w:p>
        </w:tc>
      </w:tr>
      <w:tr w:rsidR="008D0CAD" w:rsidRPr="00931ED4" w14:paraId="2BDDDFAB" w14:textId="77777777" w:rsidTr="008041F1">
        <w:trPr>
          <w:trHeight w:val="220"/>
        </w:trPr>
        <w:tc>
          <w:tcPr>
            <w:tcW w:w="3340" w:type="dxa"/>
            <w:noWrap/>
            <w:hideMark/>
          </w:tcPr>
          <w:p w14:paraId="57632033"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Region V - Bicol Region</w:t>
            </w:r>
          </w:p>
        </w:tc>
        <w:tc>
          <w:tcPr>
            <w:tcW w:w="1122" w:type="dxa"/>
            <w:noWrap/>
            <w:hideMark/>
          </w:tcPr>
          <w:p w14:paraId="10D72377"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3.19%</w:t>
            </w:r>
          </w:p>
        </w:tc>
        <w:tc>
          <w:tcPr>
            <w:tcW w:w="1122" w:type="dxa"/>
            <w:noWrap/>
            <w:hideMark/>
          </w:tcPr>
          <w:p w14:paraId="28784507"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2.72%</w:t>
            </w:r>
          </w:p>
        </w:tc>
        <w:tc>
          <w:tcPr>
            <w:tcW w:w="1122" w:type="dxa"/>
            <w:noWrap/>
            <w:hideMark/>
          </w:tcPr>
          <w:p w14:paraId="28FCEB3F"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2.54%</w:t>
            </w:r>
          </w:p>
        </w:tc>
        <w:tc>
          <w:tcPr>
            <w:tcW w:w="1532" w:type="dxa"/>
            <w:noWrap/>
            <w:hideMark/>
          </w:tcPr>
          <w:p w14:paraId="09D9913A"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1.40%</w:t>
            </w:r>
          </w:p>
        </w:tc>
        <w:tc>
          <w:tcPr>
            <w:tcW w:w="1122" w:type="dxa"/>
            <w:noWrap/>
            <w:hideMark/>
          </w:tcPr>
          <w:p w14:paraId="7AA52087"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1.62%</w:t>
            </w:r>
          </w:p>
        </w:tc>
      </w:tr>
      <w:tr w:rsidR="008D0CAD" w:rsidRPr="00931ED4" w14:paraId="7053A415" w14:textId="77777777" w:rsidTr="008041F1">
        <w:trPr>
          <w:trHeight w:val="220"/>
        </w:trPr>
        <w:tc>
          <w:tcPr>
            <w:tcW w:w="3340" w:type="dxa"/>
            <w:noWrap/>
            <w:hideMark/>
          </w:tcPr>
          <w:p w14:paraId="79DA6A13"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Region VI - Western Visayas</w:t>
            </w:r>
          </w:p>
        </w:tc>
        <w:tc>
          <w:tcPr>
            <w:tcW w:w="1122" w:type="dxa"/>
            <w:noWrap/>
            <w:hideMark/>
          </w:tcPr>
          <w:p w14:paraId="4B245BA1"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2.91%</w:t>
            </w:r>
          </w:p>
        </w:tc>
        <w:tc>
          <w:tcPr>
            <w:tcW w:w="1122" w:type="dxa"/>
            <w:noWrap/>
            <w:hideMark/>
          </w:tcPr>
          <w:p w14:paraId="4CDC0BB9"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1.97%</w:t>
            </w:r>
          </w:p>
        </w:tc>
        <w:tc>
          <w:tcPr>
            <w:tcW w:w="1122" w:type="dxa"/>
            <w:noWrap/>
            <w:hideMark/>
          </w:tcPr>
          <w:p w14:paraId="30BAA90D"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1.76%</w:t>
            </w:r>
          </w:p>
        </w:tc>
        <w:tc>
          <w:tcPr>
            <w:tcW w:w="1532" w:type="dxa"/>
            <w:noWrap/>
            <w:hideMark/>
          </w:tcPr>
          <w:p w14:paraId="03F42055"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1.19%</w:t>
            </w:r>
          </w:p>
        </w:tc>
        <w:tc>
          <w:tcPr>
            <w:tcW w:w="1122" w:type="dxa"/>
            <w:noWrap/>
            <w:hideMark/>
          </w:tcPr>
          <w:p w14:paraId="478910BB"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1.25%</w:t>
            </w:r>
          </w:p>
        </w:tc>
      </w:tr>
      <w:tr w:rsidR="008D0CAD" w:rsidRPr="00931ED4" w14:paraId="504AD888" w14:textId="77777777" w:rsidTr="008041F1">
        <w:trPr>
          <w:trHeight w:val="220"/>
        </w:trPr>
        <w:tc>
          <w:tcPr>
            <w:tcW w:w="3340" w:type="dxa"/>
            <w:noWrap/>
            <w:hideMark/>
          </w:tcPr>
          <w:p w14:paraId="53CAA4C7"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Region VII - Central Visayas</w:t>
            </w:r>
          </w:p>
        </w:tc>
        <w:tc>
          <w:tcPr>
            <w:tcW w:w="1122" w:type="dxa"/>
            <w:noWrap/>
            <w:hideMark/>
          </w:tcPr>
          <w:p w14:paraId="2020368B"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2.88%</w:t>
            </w:r>
          </w:p>
        </w:tc>
        <w:tc>
          <w:tcPr>
            <w:tcW w:w="1122" w:type="dxa"/>
            <w:noWrap/>
            <w:hideMark/>
          </w:tcPr>
          <w:p w14:paraId="0ED93A95"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2.68%</w:t>
            </w:r>
          </w:p>
        </w:tc>
        <w:tc>
          <w:tcPr>
            <w:tcW w:w="1122" w:type="dxa"/>
            <w:noWrap/>
            <w:hideMark/>
          </w:tcPr>
          <w:p w14:paraId="3EA90F91"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1.85%</w:t>
            </w:r>
          </w:p>
        </w:tc>
        <w:tc>
          <w:tcPr>
            <w:tcW w:w="1532" w:type="dxa"/>
            <w:noWrap/>
            <w:hideMark/>
          </w:tcPr>
          <w:p w14:paraId="76C6F24F"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1.22%</w:t>
            </w:r>
          </w:p>
        </w:tc>
        <w:tc>
          <w:tcPr>
            <w:tcW w:w="1122" w:type="dxa"/>
            <w:noWrap/>
            <w:hideMark/>
          </w:tcPr>
          <w:p w14:paraId="494AA939"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1.52%</w:t>
            </w:r>
          </w:p>
        </w:tc>
      </w:tr>
      <w:tr w:rsidR="008D0CAD" w:rsidRPr="00931ED4" w14:paraId="5A840282" w14:textId="77777777" w:rsidTr="008041F1">
        <w:trPr>
          <w:trHeight w:val="220"/>
        </w:trPr>
        <w:tc>
          <w:tcPr>
            <w:tcW w:w="3340" w:type="dxa"/>
            <w:noWrap/>
            <w:hideMark/>
          </w:tcPr>
          <w:p w14:paraId="6261B7AA"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Region VIII - Eastern Visayas</w:t>
            </w:r>
          </w:p>
        </w:tc>
        <w:tc>
          <w:tcPr>
            <w:tcW w:w="1122" w:type="dxa"/>
            <w:noWrap/>
            <w:hideMark/>
          </w:tcPr>
          <w:p w14:paraId="59CFE1ED"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4.00%</w:t>
            </w:r>
          </w:p>
        </w:tc>
        <w:tc>
          <w:tcPr>
            <w:tcW w:w="1122" w:type="dxa"/>
            <w:noWrap/>
            <w:hideMark/>
          </w:tcPr>
          <w:p w14:paraId="171B33E4"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2.76%</w:t>
            </w:r>
          </w:p>
        </w:tc>
        <w:tc>
          <w:tcPr>
            <w:tcW w:w="1122" w:type="dxa"/>
            <w:noWrap/>
            <w:hideMark/>
          </w:tcPr>
          <w:p w14:paraId="09A26FCC"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2.01%</w:t>
            </w:r>
          </w:p>
        </w:tc>
        <w:tc>
          <w:tcPr>
            <w:tcW w:w="1532" w:type="dxa"/>
            <w:noWrap/>
            <w:hideMark/>
          </w:tcPr>
          <w:p w14:paraId="37A7A0E7"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1.35%</w:t>
            </w:r>
          </w:p>
        </w:tc>
        <w:tc>
          <w:tcPr>
            <w:tcW w:w="1122" w:type="dxa"/>
            <w:noWrap/>
            <w:hideMark/>
          </w:tcPr>
          <w:p w14:paraId="34D495CF"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1.46%</w:t>
            </w:r>
          </w:p>
        </w:tc>
      </w:tr>
      <w:tr w:rsidR="008D0CAD" w:rsidRPr="00931ED4" w14:paraId="4ECF6EA2" w14:textId="77777777" w:rsidTr="008041F1">
        <w:trPr>
          <w:trHeight w:val="220"/>
        </w:trPr>
        <w:tc>
          <w:tcPr>
            <w:tcW w:w="3340" w:type="dxa"/>
            <w:noWrap/>
            <w:hideMark/>
          </w:tcPr>
          <w:p w14:paraId="15612D0A"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Region IX - Zamboanga Peninsula</w:t>
            </w:r>
          </w:p>
        </w:tc>
        <w:tc>
          <w:tcPr>
            <w:tcW w:w="1122" w:type="dxa"/>
            <w:noWrap/>
            <w:hideMark/>
          </w:tcPr>
          <w:p w14:paraId="4C099D1E"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9.25%</w:t>
            </w:r>
          </w:p>
        </w:tc>
        <w:tc>
          <w:tcPr>
            <w:tcW w:w="1122" w:type="dxa"/>
            <w:noWrap/>
            <w:hideMark/>
          </w:tcPr>
          <w:p w14:paraId="27DD627D"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1.22%</w:t>
            </w:r>
          </w:p>
        </w:tc>
        <w:tc>
          <w:tcPr>
            <w:tcW w:w="1122" w:type="dxa"/>
            <w:noWrap/>
            <w:hideMark/>
          </w:tcPr>
          <w:p w14:paraId="73182009"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3.73%</w:t>
            </w:r>
          </w:p>
        </w:tc>
        <w:tc>
          <w:tcPr>
            <w:tcW w:w="1532" w:type="dxa"/>
            <w:noWrap/>
            <w:hideMark/>
          </w:tcPr>
          <w:p w14:paraId="7F91F62C"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2.98%</w:t>
            </w:r>
          </w:p>
        </w:tc>
        <w:tc>
          <w:tcPr>
            <w:tcW w:w="1122" w:type="dxa"/>
            <w:noWrap/>
            <w:hideMark/>
          </w:tcPr>
          <w:p w14:paraId="1D9DEE66"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2.41%</w:t>
            </w:r>
          </w:p>
        </w:tc>
      </w:tr>
      <w:tr w:rsidR="008D0CAD" w:rsidRPr="00931ED4" w14:paraId="22232A4E" w14:textId="77777777" w:rsidTr="008041F1">
        <w:trPr>
          <w:trHeight w:val="220"/>
        </w:trPr>
        <w:tc>
          <w:tcPr>
            <w:tcW w:w="3340" w:type="dxa"/>
            <w:noWrap/>
            <w:hideMark/>
          </w:tcPr>
          <w:p w14:paraId="06D423CF"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Region X - Northern Mindanao</w:t>
            </w:r>
          </w:p>
        </w:tc>
        <w:tc>
          <w:tcPr>
            <w:tcW w:w="1122" w:type="dxa"/>
            <w:noWrap/>
            <w:hideMark/>
          </w:tcPr>
          <w:p w14:paraId="136E5F58"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6.15%</w:t>
            </w:r>
          </w:p>
        </w:tc>
        <w:tc>
          <w:tcPr>
            <w:tcW w:w="1122" w:type="dxa"/>
            <w:noWrap/>
            <w:hideMark/>
          </w:tcPr>
          <w:p w14:paraId="0C4C6DB7"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3.62%</w:t>
            </w:r>
          </w:p>
        </w:tc>
        <w:tc>
          <w:tcPr>
            <w:tcW w:w="1122" w:type="dxa"/>
            <w:noWrap/>
            <w:hideMark/>
          </w:tcPr>
          <w:p w14:paraId="6B19C88A"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3.00%</w:t>
            </w:r>
          </w:p>
        </w:tc>
        <w:tc>
          <w:tcPr>
            <w:tcW w:w="1532" w:type="dxa"/>
            <w:noWrap/>
            <w:hideMark/>
          </w:tcPr>
          <w:p w14:paraId="572F45C6"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1.76%</w:t>
            </w:r>
          </w:p>
        </w:tc>
        <w:tc>
          <w:tcPr>
            <w:tcW w:w="1122" w:type="dxa"/>
            <w:noWrap/>
            <w:hideMark/>
          </w:tcPr>
          <w:p w14:paraId="4B94AFA5"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1.77%</w:t>
            </w:r>
          </w:p>
        </w:tc>
      </w:tr>
      <w:tr w:rsidR="008D0CAD" w:rsidRPr="00931ED4" w14:paraId="33AAD333" w14:textId="77777777" w:rsidTr="008041F1">
        <w:trPr>
          <w:trHeight w:val="220"/>
        </w:trPr>
        <w:tc>
          <w:tcPr>
            <w:tcW w:w="3340" w:type="dxa"/>
            <w:noWrap/>
            <w:hideMark/>
          </w:tcPr>
          <w:p w14:paraId="3A1AB240"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Region XI - Davao Region</w:t>
            </w:r>
          </w:p>
        </w:tc>
        <w:tc>
          <w:tcPr>
            <w:tcW w:w="1122" w:type="dxa"/>
            <w:noWrap/>
            <w:hideMark/>
          </w:tcPr>
          <w:p w14:paraId="2D3518C5"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5.28%</w:t>
            </w:r>
          </w:p>
        </w:tc>
        <w:tc>
          <w:tcPr>
            <w:tcW w:w="1122" w:type="dxa"/>
            <w:noWrap/>
            <w:hideMark/>
          </w:tcPr>
          <w:p w14:paraId="6903F709"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3.48%</w:t>
            </w:r>
          </w:p>
        </w:tc>
        <w:tc>
          <w:tcPr>
            <w:tcW w:w="1122" w:type="dxa"/>
            <w:noWrap/>
            <w:hideMark/>
          </w:tcPr>
          <w:p w14:paraId="5828FA52"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1.90%</w:t>
            </w:r>
          </w:p>
        </w:tc>
        <w:tc>
          <w:tcPr>
            <w:tcW w:w="1532" w:type="dxa"/>
            <w:noWrap/>
            <w:hideMark/>
          </w:tcPr>
          <w:p w14:paraId="371804C4"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1.74%</w:t>
            </w:r>
          </w:p>
        </w:tc>
        <w:tc>
          <w:tcPr>
            <w:tcW w:w="1122" w:type="dxa"/>
            <w:noWrap/>
            <w:hideMark/>
          </w:tcPr>
          <w:p w14:paraId="2F7B990A"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1.70%</w:t>
            </w:r>
          </w:p>
        </w:tc>
      </w:tr>
      <w:tr w:rsidR="008D0CAD" w:rsidRPr="00931ED4" w14:paraId="28099E37" w14:textId="77777777" w:rsidTr="008041F1">
        <w:trPr>
          <w:trHeight w:val="220"/>
        </w:trPr>
        <w:tc>
          <w:tcPr>
            <w:tcW w:w="3340" w:type="dxa"/>
            <w:noWrap/>
            <w:hideMark/>
          </w:tcPr>
          <w:p w14:paraId="3B7518B4"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Region XII - Soccsksargen</w:t>
            </w:r>
          </w:p>
        </w:tc>
        <w:tc>
          <w:tcPr>
            <w:tcW w:w="1122" w:type="dxa"/>
            <w:noWrap/>
            <w:hideMark/>
          </w:tcPr>
          <w:p w14:paraId="16418EAE"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5.82%</w:t>
            </w:r>
          </w:p>
        </w:tc>
        <w:tc>
          <w:tcPr>
            <w:tcW w:w="1122" w:type="dxa"/>
            <w:noWrap/>
            <w:hideMark/>
          </w:tcPr>
          <w:p w14:paraId="6C0B6227"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1.14%</w:t>
            </w:r>
          </w:p>
        </w:tc>
        <w:tc>
          <w:tcPr>
            <w:tcW w:w="1122" w:type="dxa"/>
            <w:noWrap/>
            <w:hideMark/>
          </w:tcPr>
          <w:p w14:paraId="0BC1742C"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3.15%</w:t>
            </w:r>
          </w:p>
        </w:tc>
        <w:tc>
          <w:tcPr>
            <w:tcW w:w="1532" w:type="dxa"/>
            <w:noWrap/>
            <w:hideMark/>
          </w:tcPr>
          <w:p w14:paraId="17927528"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2.95%</w:t>
            </w:r>
          </w:p>
        </w:tc>
        <w:tc>
          <w:tcPr>
            <w:tcW w:w="1122" w:type="dxa"/>
            <w:noWrap/>
            <w:hideMark/>
          </w:tcPr>
          <w:p w14:paraId="68A549B5"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1.64%</w:t>
            </w:r>
          </w:p>
        </w:tc>
      </w:tr>
      <w:tr w:rsidR="008D0CAD" w:rsidRPr="00931ED4" w14:paraId="65816F97" w14:textId="77777777" w:rsidTr="008041F1">
        <w:trPr>
          <w:trHeight w:val="220"/>
        </w:trPr>
        <w:tc>
          <w:tcPr>
            <w:tcW w:w="3340" w:type="dxa"/>
            <w:noWrap/>
            <w:hideMark/>
          </w:tcPr>
          <w:p w14:paraId="14076851"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CARAGA - CARAGA</w:t>
            </w:r>
          </w:p>
        </w:tc>
        <w:tc>
          <w:tcPr>
            <w:tcW w:w="1122" w:type="dxa"/>
            <w:noWrap/>
            <w:hideMark/>
          </w:tcPr>
          <w:p w14:paraId="7B39B813"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4.07%</w:t>
            </w:r>
          </w:p>
        </w:tc>
        <w:tc>
          <w:tcPr>
            <w:tcW w:w="1122" w:type="dxa"/>
            <w:noWrap/>
            <w:hideMark/>
          </w:tcPr>
          <w:p w14:paraId="7057AA22"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2.28%</w:t>
            </w:r>
          </w:p>
        </w:tc>
        <w:tc>
          <w:tcPr>
            <w:tcW w:w="1122" w:type="dxa"/>
            <w:noWrap/>
            <w:hideMark/>
          </w:tcPr>
          <w:p w14:paraId="6E26D6A8"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2.84%</w:t>
            </w:r>
          </w:p>
        </w:tc>
        <w:tc>
          <w:tcPr>
            <w:tcW w:w="1532" w:type="dxa"/>
            <w:noWrap/>
            <w:hideMark/>
          </w:tcPr>
          <w:p w14:paraId="6305D20E"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1.75%</w:t>
            </w:r>
          </w:p>
        </w:tc>
        <w:tc>
          <w:tcPr>
            <w:tcW w:w="1122" w:type="dxa"/>
            <w:noWrap/>
            <w:hideMark/>
          </w:tcPr>
          <w:p w14:paraId="715859FF"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1.89%</w:t>
            </w:r>
          </w:p>
        </w:tc>
      </w:tr>
      <w:tr w:rsidR="008D0CAD" w:rsidRPr="00931ED4" w14:paraId="6E4EB736" w14:textId="77777777" w:rsidTr="008041F1">
        <w:trPr>
          <w:trHeight w:val="220"/>
        </w:trPr>
        <w:tc>
          <w:tcPr>
            <w:tcW w:w="3340" w:type="dxa"/>
            <w:noWrap/>
            <w:hideMark/>
          </w:tcPr>
          <w:p w14:paraId="31A2D9AF"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ARMM - Autonomous Region in Muslim Mindanao</w:t>
            </w:r>
          </w:p>
        </w:tc>
        <w:tc>
          <w:tcPr>
            <w:tcW w:w="1122" w:type="dxa"/>
            <w:noWrap/>
            <w:hideMark/>
          </w:tcPr>
          <w:p w14:paraId="4F85E2A5"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14.04%</w:t>
            </w:r>
          </w:p>
        </w:tc>
        <w:tc>
          <w:tcPr>
            <w:tcW w:w="1122" w:type="dxa"/>
            <w:noWrap/>
            <w:hideMark/>
          </w:tcPr>
          <w:p w14:paraId="5E54A623"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19.02%</w:t>
            </w:r>
          </w:p>
        </w:tc>
        <w:tc>
          <w:tcPr>
            <w:tcW w:w="1122" w:type="dxa"/>
            <w:noWrap/>
            <w:hideMark/>
          </w:tcPr>
          <w:p w14:paraId="70767084"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17.17%</w:t>
            </w:r>
          </w:p>
        </w:tc>
        <w:tc>
          <w:tcPr>
            <w:tcW w:w="1532" w:type="dxa"/>
            <w:noWrap/>
            <w:hideMark/>
          </w:tcPr>
          <w:p w14:paraId="0AC77610"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7.57%</w:t>
            </w:r>
          </w:p>
        </w:tc>
        <w:tc>
          <w:tcPr>
            <w:tcW w:w="1122" w:type="dxa"/>
            <w:noWrap/>
            <w:hideMark/>
          </w:tcPr>
          <w:p w14:paraId="2108EBE7"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11.47%</w:t>
            </w:r>
          </w:p>
        </w:tc>
      </w:tr>
      <w:tr w:rsidR="008D0CAD" w:rsidRPr="00931ED4" w14:paraId="054C8B9B" w14:textId="77777777" w:rsidTr="008041F1">
        <w:trPr>
          <w:trHeight w:val="220"/>
        </w:trPr>
        <w:tc>
          <w:tcPr>
            <w:tcW w:w="3340" w:type="dxa"/>
            <w:noWrap/>
            <w:hideMark/>
          </w:tcPr>
          <w:p w14:paraId="5CD77898"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CAR - Cordillera Administrative Region</w:t>
            </w:r>
          </w:p>
        </w:tc>
        <w:tc>
          <w:tcPr>
            <w:tcW w:w="1122" w:type="dxa"/>
            <w:noWrap/>
            <w:hideMark/>
          </w:tcPr>
          <w:p w14:paraId="513A414D"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3.75%</w:t>
            </w:r>
          </w:p>
        </w:tc>
        <w:tc>
          <w:tcPr>
            <w:tcW w:w="1122" w:type="dxa"/>
            <w:noWrap/>
            <w:hideMark/>
          </w:tcPr>
          <w:p w14:paraId="42E7F7E5"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2.84%</w:t>
            </w:r>
          </w:p>
        </w:tc>
        <w:tc>
          <w:tcPr>
            <w:tcW w:w="1122" w:type="dxa"/>
            <w:noWrap/>
            <w:hideMark/>
          </w:tcPr>
          <w:p w14:paraId="581DEC9F"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1.90%</w:t>
            </w:r>
          </w:p>
        </w:tc>
        <w:tc>
          <w:tcPr>
            <w:tcW w:w="1532" w:type="dxa"/>
            <w:noWrap/>
            <w:hideMark/>
          </w:tcPr>
          <w:p w14:paraId="0F0B8733"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1.35%</w:t>
            </w:r>
          </w:p>
        </w:tc>
        <w:tc>
          <w:tcPr>
            <w:tcW w:w="1122" w:type="dxa"/>
            <w:noWrap/>
            <w:hideMark/>
          </w:tcPr>
          <w:p w14:paraId="484E7789"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1.65%</w:t>
            </w:r>
          </w:p>
        </w:tc>
      </w:tr>
      <w:tr w:rsidR="008D0CAD" w:rsidRPr="00931ED4" w14:paraId="28A6D4A9" w14:textId="77777777" w:rsidTr="008041F1">
        <w:trPr>
          <w:trHeight w:val="220"/>
        </w:trPr>
        <w:tc>
          <w:tcPr>
            <w:tcW w:w="3340" w:type="dxa"/>
            <w:noWrap/>
            <w:hideMark/>
          </w:tcPr>
          <w:p w14:paraId="64945BB3"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NCR - National Capital Region</w:t>
            </w:r>
          </w:p>
        </w:tc>
        <w:tc>
          <w:tcPr>
            <w:tcW w:w="1122" w:type="dxa"/>
            <w:noWrap/>
            <w:hideMark/>
          </w:tcPr>
          <w:p w14:paraId="2A8ECA2E"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4.36%</w:t>
            </w:r>
          </w:p>
        </w:tc>
        <w:tc>
          <w:tcPr>
            <w:tcW w:w="1122" w:type="dxa"/>
            <w:noWrap/>
            <w:hideMark/>
          </w:tcPr>
          <w:p w14:paraId="42EF0C9F"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4.25%</w:t>
            </w:r>
          </w:p>
        </w:tc>
        <w:tc>
          <w:tcPr>
            <w:tcW w:w="1122" w:type="dxa"/>
            <w:noWrap/>
            <w:hideMark/>
          </w:tcPr>
          <w:p w14:paraId="67C3F54B"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2.05%</w:t>
            </w:r>
          </w:p>
        </w:tc>
        <w:tc>
          <w:tcPr>
            <w:tcW w:w="1532" w:type="dxa"/>
            <w:noWrap/>
            <w:hideMark/>
          </w:tcPr>
          <w:p w14:paraId="63A62DAA"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2.82%</w:t>
            </w:r>
          </w:p>
        </w:tc>
        <w:tc>
          <w:tcPr>
            <w:tcW w:w="1122" w:type="dxa"/>
            <w:noWrap/>
            <w:hideMark/>
          </w:tcPr>
          <w:p w14:paraId="7932B06A"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0.90%</w:t>
            </w:r>
          </w:p>
        </w:tc>
      </w:tr>
      <w:tr w:rsidR="008D0CAD" w:rsidRPr="00931ED4" w14:paraId="22DEC446" w14:textId="77777777" w:rsidTr="008041F1">
        <w:trPr>
          <w:trHeight w:val="220"/>
        </w:trPr>
        <w:tc>
          <w:tcPr>
            <w:tcW w:w="3340" w:type="dxa"/>
            <w:noWrap/>
            <w:hideMark/>
          </w:tcPr>
          <w:p w14:paraId="23391E81" w14:textId="77777777" w:rsidR="008D0CAD" w:rsidRPr="00931ED4" w:rsidRDefault="008D0CAD" w:rsidP="00796BFA">
            <w:pPr>
              <w:spacing w:before="100" w:beforeAutospacing="1" w:after="100" w:afterAutospacing="1" w:line="360" w:lineRule="auto"/>
              <w:rPr>
                <w:rFonts w:ascii="Arial" w:hAnsi="Arial" w:cs="Arial"/>
                <w:b/>
                <w:bCs/>
                <w:sz w:val="16"/>
                <w:szCs w:val="16"/>
                <w:lang w:val="en-US"/>
              </w:rPr>
            </w:pPr>
            <w:r w:rsidRPr="00931ED4">
              <w:rPr>
                <w:rFonts w:ascii="Arial" w:hAnsi="Arial" w:cs="Arial"/>
                <w:b/>
                <w:bCs/>
                <w:sz w:val="16"/>
                <w:szCs w:val="16"/>
                <w:lang w:val="en-US"/>
              </w:rPr>
              <w:t>Philippines</w:t>
            </w:r>
          </w:p>
        </w:tc>
        <w:tc>
          <w:tcPr>
            <w:tcW w:w="1122" w:type="dxa"/>
            <w:noWrap/>
            <w:hideMark/>
          </w:tcPr>
          <w:p w14:paraId="6153FCCC" w14:textId="77777777" w:rsidR="008D0CAD" w:rsidRPr="00931ED4" w:rsidRDefault="008D0CAD" w:rsidP="00796BFA">
            <w:pPr>
              <w:spacing w:before="100" w:beforeAutospacing="1" w:after="100" w:afterAutospacing="1" w:line="360" w:lineRule="auto"/>
              <w:rPr>
                <w:rFonts w:ascii="Arial" w:hAnsi="Arial" w:cs="Arial"/>
                <w:b/>
                <w:bCs/>
                <w:sz w:val="16"/>
                <w:szCs w:val="16"/>
                <w:lang w:val="en-US"/>
              </w:rPr>
            </w:pPr>
            <w:r w:rsidRPr="00931ED4">
              <w:rPr>
                <w:rFonts w:ascii="Arial" w:hAnsi="Arial" w:cs="Arial"/>
                <w:b/>
                <w:bCs/>
                <w:sz w:val="16"/>
                <w:szCs w:val="16"/>
                <w:lang w:val="en-US"/>
              </w:rPr>
              <w:t>4.85%</w:t>
            </w:r>
          </w:p>
        </w:tc>
        <w:tc>
          <w:tcPr>
            <w:tcW w:w="1122" w:type="dxa"/>
            <w:noWrap/>
            <w:hideMark/>
          </w:tcPr>
          <w:p w14:paraId="6E161851" w14:textId="77777777" w:rsidR="008D0CAD" w:rsidRPr="00931ED4" w:rsidRDefault="008D0CAD" w:rsidP="00796BFA">
            <w:pPr>
              <w:spacing w:before="100" w:beforeAutospacing="1" w:after="100" w:afterAutospacing="1" w:line="360" w:lineRule="auto"/>
              <w:rPr>
                <w:rFonts w:ascii="Arial" w:hAnsi="Arial" w:cs="Arial"/>
                <w:b/>
                <w:bCs/>
                <w:sz w:val="16"/>
                <w:szCs w:val="16"/>
                <w:lang w:val="en-US"/>
              </w:rPr>
            </w:pPr>
            <w:r w:rsidRPr="00931ED4">
              <w:rPr>
                <w:rFonts w:ascii="Arial" w:hAnsi="Arial" w:cs="Arial"/>
                <w:b/>
                <w:bCs/>
                <w:sz w:val="16"/>
                <w:szCs w:val="16"/>
                <w:lang w:val="en-US"/>
              </w:rPr>
              <w:t>3.26%</w:t>
            </w:r>
          </w:p>
        </w:tc>
        <w:tc>
          <w:tcPr>
            <w:tcW w:w="1122" w:type="dxa"/>
            <w:noWrap/>
            <w:hideMark/>
          </w:tcPr>
          <w:p w14:paraId="60AFBF14" w14:textId="77777777" w:rsidR="008D0CAD" w:rsidRPr="00931ED4" w:rsidRDefault="008D0CAD" w:rsidP="00796BFA">
            <w:pPr>
              <w:spacing w:before="100" w:beforeAutospacing="1" w:after="100" w:afterAutospacing="1" w:line="360" w:lineRule="auto"/>
              <w:rPr>
                <w:rFonts w:ascii="Arial" w:hAnsi="Arial" w:cs="Arial"/>
                <w:b/>
                <w:bCs/>
                <w:sz w:val="16"/>
                <w:szCs w:val="16"/>
                <w:lang w:val="en-US"/>
              </w:rPr>
            </w:pPr>
            <w:r w:rsidRPr="00931ED4">
              <w:rPr>
                <w:rFonts w:ascii="Arial" w:hAnsi="Arial" w:cs="Arial"/>
                <w:b/>
                <w:bCs/>
                <w:sz w:val="16"/>
                <w:szCs w:val="16"/>
                <w:lang w:val="en-US"/>
              </w:rPr>
              <w:t>2.69%</w:t>
            </w:r>
          </w:p>
        </w:tc>
        <w:tc>
          <w:tcPr>
            <w:tcW w:w="1532" w:type="dxa"/>
            <w:noWrap/>
            <w:hideMark/>
          </w:tcPr>
          <w:p w14:paraId="51425295" w14:textId="77777777" w:rsidR="008D0CAD" w:rsidRPr="00931ED4" w:rsidRDefault="008D0CAD" w:rsidP="00796BFA">
            <w:pPr>
              <w:spacing w:before="100" w:beforeAutospacing="1" w:after="100" w:afterAutospacing="1" w:line="360" w:lineRule="auto"/>
              <w:rPr>
                <w:rFonts w:ascii="Arial" w:hAnsi="Arial" w:cs="Arial"/>
                <w:b/>
                <w:bCs/>
                <w:sz w:val="16"/>
                <w:szCs w:val="16"/>
                <w:lang w:val="en-US"/>
              </w:rPr>
            </w:pPr>
            <w:r w:rsidRPr="00931ED4">
              <w:rPr>
                <w:rFonts w:ascii="Arial" w:hAnsi="Arial" w:cs="Arial"/>
                <w:b/>
                <w:bCs/>
                <w:sz w:val="16"/>
                <w:szCs w:val="16"/>
                <w:lang w:val="en-US"/>
              </w:rPr>
              <w:t>2.00%</w:t>
            </w:r>
          </w:p>
        </w:tc>
        <w:tc>
          <w:tcPr>
            <w:tcW w:w="1122" w:type="dxa"/>
            <w:noWrap/>
            <w:hideMark/>
          </w:tcPr>
          <w:p w14:paraId="786702AE" w14:textId="77777777" w:rsidR="008D0CAD" w:rsidRPr="00931ED4" w:rsidRDefault="008D0CAD" w:rsidP="00796BFA">
            <w:pPr>
              <w:spacing w:before="100" w:beforeAutospacing="1" w:after="100" w:afterAutospacing="1" w:line="360" w:lineRule="auto"/>
              <w:rPr>
                <w:rFonts w:ascii="Arial" w:hAnsi="Arial" w:cs="Arial"/>
                <w:b/>
                <w:bCs/>
                <w:sz w:val="16"/>
                <w:szCs w:val="16"/>
                <w:lang w:val="en-US"/>
              </w:rPr>
            </w:pPr>
            <w:r w:rsidRPr="00931ED4">
              <w:rPr>
                <w:rFonts w:ascii="Arial" w:hAnsi="Arial" w:cs="Arial"/>
                <w:b/>
                <w:bCs/>
                <w:sz w:val="16"/>
                <w:szCs w:val="16"/>
                <w:lang w:val="en-US"/>
              </w:rPr>
              <w:t>1.56%</w:t>
            </w:r>
          </w:p>
        </w:tc>
      </w:tr>
    </w:tbl>
    <w:p w14:paraId="571C7D08" w14:textId="77777777" w:rsidR="008D0CAD" w:rsidRPr="00931ED4" w:rsidRDefault="008D0CAD" w:rsidP="00796BFA">
      <w:pPr>
        <w:spacing w:before="100" w:beforeAutospacing="1" w:after="100" w:afterAutospacing="1" w:line="360" w:lineRule="auto"/>
        <w:rPr>
          <w:rFonts w:asciiTheme="majorHAnsi" w:hAnsiTheme="majorHAnsi" w:cstheme="majorHAnsi"/>
          <w:bCs/>
          <w:i/>
          <w:iCs/>
          <w:sz w:val="20"/>
          <w:szCs w:val="20"/>
          <w:lang w:val="en-US"/>
        </w:rPr>
      </w:pPr>
      <w:r w:rsidRPr="00931ED4">
        <w:rPr>
          <w:rFonts w:asciiTheme="majorHAnsi" w:hAnsiTheme="majorHAnsi" w:cstheme="majorHAnsi"/>
          <w:bCs/>
          <w:i/>
          <w:iCs/>
          <w:sz w:val="20"/>
          <w:szCs w:val="20"/>
          <w:lang w:val="en-US"/>
        </w:rPr>
        <w:t>Source: EBEIS (Retrieved April 2019)</w:t>
      </w:r>
    </w:p>
    <w:p w14:paraId="7AF5804F" w14:textId="408A2035" w:rsidR="008D0CAD" w:rsidRPr="00931ED4" w:rsidRDefault="008D0CAD" w:rsidP="00796BFA">
      <w:pPr>
        <w:spacing w:before="100" w:beforeAutospacing="1" w:after="100" w:afterAutospacing="1" w:line="360" w:lineRule="auto"/>
        <w:rPr>
          <w:rFonts w:asciiTheme="majorHAnsi" w:hAnsiTheme="majorHAnsi" w:cstheme="majorHAnsi"/>
          <w:lang w:val="en-US"/>
        </w:rPr>
      </w:pPr>
      <w:r w:rsidRPr="00931ED4">
        <w:rPr>
          <w:rFonts w:asciiTheme="majorHAnsi" w:hAnsiTheme="majorHAnsi" w:cstheme="majorHAnsi"/>
          <w:lang w:val="en-US"/>
        </w:rPr>
        <w:t>By SY2017-2018, with the overall elementary school leaver rate dropping to 1.56 percent, only ten regions were able to post SLRs lower than the national rate (Figure 27).</w:t>
      </w:r>
      <w:r w:rsidR="00D434EB">
        <w:rPr>
          <w:rFonts w:asciiTheme="majorHAnsi" w:hAnsiTheme="majorHAnsi" w:cstheme="majorHAnsi"/>
          <w:lang w:val="en-US"/>
        </w:rPr>
        <w:t xml:space="preserve"> </w:t>
      </w:r>
      <w:r w:rsidRPr="00931ED4">
        <w:rPr>
          <w:rFonts w:asciiTheme="majorHAnsi" w:hAnsiTheme="majorHAnsi" w:cstheme="majorHAnsi"/>
          <w:lang w:val="en-US"/>
        </w:rPr>
        <w:t xml:space="preserve">The best SLR was posted by Regions IV-A (0.26%), </w:t>
      </w:r>
      <w:r w:rsidR="009C2893">
        <w:rPr>
          <w:rFonts w:asciiTheme="majorHAnsi" w:hAnsiTheme="majorHAnsi" w:cstheme="majorHAnsi"/>
          <w:lang w:val="en-US"/>
        </w:rPr>
        <w:t xml:space="preserve">Region </w:t>
      </w:r>
      <w:r w:rsidRPr="00931ED4">
        <w:rPr>
          <w:rFonts w:asciiTheme="majorHAnsi" w:hAnsiTheme="majorHAnsi" w:cstheme="majorHAnsi"/>
          <w:lang w:val="en-US"/>
        </w:rPr>
        <w:t>III (0.67%) and Region I (0.76%).</w:t>
      </w:r>
      <w:r w:rsidR="00D434EB">
        <w:rPr>
          <w:rFonts w:asciiTheme="majorHAnsi" w:hAnsiTheme="majorHAnsi" w:cstheme="majorHAnsi"/>
          <w:lang w:val="en-US"/>
        </w:rPr>
        <w:t xml:space="preserve"> </w:t>
      </w:r>
      <w:r w:rsidRPr="00931ED4">
        <w:rPr>
          <w:rFonts w:asciiTheme="majorHAnsi" w:hAnsiTheme="majorHAnsi" w:cstheme="majorHAnsi"/>
          <w:lang w:val="en-US"/>
        </w:rPr>
        <w:t>The highest SLR remained ARMM (11.47%).</w:t>
      </w:r>
    </w:p>
    <w:p w14:paraId="37483FD3" w14:textId="38DBE38E" w:rsidR="008D0CAD" w:rsidRPr="00931ED4" w:rsidRDefault="008D0CAD" w:rsidP="00796BFA">
      <w:pPr>
        <w:spacing w:before="100" w:beforeAutospacing="1" w:after="100" w:afterAutospacing="1" w:line="360" w:lineRule="auto"/>
        <w:rPr>
          <w:rFonts w:asciiTheme="majorHAnsi" w:hAnsiTheme="majorHAnsi" w:cstheme="majorHAnsi"/>
          <w:lang w:val="en-US"/>
        </w:rPr>
      </w:pPr>
      <w:r w:rsidRPr="00931ED4">
        <w:rPr>
          <w:rFonts w:asciiTheme="majorHAnsi" w:hAnsiTheme="majorHAnsi" w:cstheme="majorHAnsi"/>
          <w:lang w:val="en-US"/>
        </w:rPr>
        <w:t>However, in terms of overall accomplishments in the last five years, Region IX achieved the highest reduction in SLR from baseline to endline with a 6.83 percent decline (Figure 28).</w:t>
      </w:r>
      <w:r w:rsidR="00D434EB">
        <w:rPr>
          <w:rFonts w:asciiTheme="majorHAnsi" w:hAnsiTheme="majorHAnsi" w:cstheme="majorHAnsi"/>
          <w:lang w:val="en-US"/>
        </w:rPr>
        <w:t xml:space="preserve"> </w:t>
      </w:r>
      <w:r w:rsidRPr="00931ED4">
        <w:rPr>
          <w:rFonts w:asciiTheme="majorHAnsi" w:hAnsiTheme="majorHAnsi" w:cstheme="majorHAnsi"/>
          <w:lang w:val="en-US"/>
        </w:rPr>
        <w:t>Region IV-A, Region X and Region XII likewise showed noteworthy performance reducing their SLRs by 5.77 percent, 4.38 percent and 4.18 percent respectively during the same period under review.</w:t>
      </w:r>
    </w:p>
    <w:p w14:paraId="69C5557F" w14:textId="6096D468" w:rsidR="008D0CAD" w:rsidRPr="00931ED4" w:rsidRDefault="008D0CAD" w:rsidP="00796BFA">
      <w:pPr>
        <w:spacing w:before="100" w:beforeAutospacing="1" w:after="100" w:afterAutospacing="1" w:line="360" w:lineRule="auto"/>
        <w:rPr>
          <w:rFonts w:asciiTheme="majorHAnsi" w:hAnsiTheme="majorHAnsi" w:cstheme="majorHAnsi"/>
          <w:lang w:val="en-US"/>
        </w:rPr>
      </w:pPr>
      <w:r w:rsidRPr="00931ED4">
        <w:rPr>
          <w:rFonts w:asciiTheme="majorHAnsi" w:hAnsiTheme="majorHAnsi" w:cstheme="majorHAnsi"/>
          <w:lang w:val="en-US"/>
        </w:rPr>
        <w:t>Overall reduction of SLRs equally affected male and female learners.</w:t>
      </w:r>
      <w:r w:rsidR="00D434EB">
        <w:rPr>
          <w:rFonts w:asciiTheme="majorHAnsi" w:hAnsiTheme="majorHAnsi" w:cstheme="majorHAnsi"/>
          <w:lang w:val="en-US"/>
        </w:rPr>
        <w:t xml:space="preserve"> </w:t>
      </w:r>
      <w:r w:rsidRPr="00931ED4">
        <w:rPr>
          <w:rFonts w:asciiTheme="majorHAnsi" w:hAnsiTheme="majorHAnsi" w:cstheme="majorHAnsi"/>
          <w:lang w:val="en-US"/>
        </w:rPr>
        <w:t>SLRs for male learners declined from 5.59 percent in SY2013-2014 to 2.01 percent in SY2017-2018 or a reduction of 3.58 percent.</w:t>
      </w:r>
      <w:r w:rsidR="00D434EB">
        <w:rPr>
          <w:rFonts w:asciiTheme="majorHAnsi" w:hAnsiTheme="majorHAnsi" w:cstheme="majorHAnsi"/>
          <w:lang w:val="en-US"/>
        </w:rPr>
        <w:t xml:space="preserve"> </w:t>
      </w:r>
      <w:r w:rsidRPr="00931ED4">
        <w:rPr>
          <w:rFonts w:asciiTheme="majorHAnsi" w:hAnsiTheme="majorHAnsi" w:cstheme="majorHAnsi"/>
          <w:lang w:val="en-US"/>
        </w:rPr>
        <w:t>On the other hand, SLRs for female learners declined by 2.97 percent (from 4.04% to 1.06% during the same period).</w:t>
      </w:r>
    </w:p>
    <w:p w14:paraId="526DCCCA" w14:textId="09AFAEC4" w:rsidR="008D0CAD" w:rsidRPr="00931ED4" w:rsidRDefault="008D0CAD" w:rsidP="00796BFA">
      <w:pPr>
        <w:spacing w:before="100" w:beforeAutospacing="1" w:after="100" w:afterAutospacing="1" w:line="360" w:lineRule="auto"/>
        <w:rPr>
          <w:rFonts w:asciiTheme="majorHAnsi" w:hAnsiTheme="majorHAnsi" w:cstheme="majorHAnsi"/>
          <w:lang w:val="en-US"/>
        </w:rPr>
      </w:pPr>
      <w:r w:rsidRPr="00931ED4">
        <w:rPr>
          <w:rFonts w:asciiTheme="majorHAnsi" w:hAnsiTheme="majorHAnsi" w:cstheme="majorHAnsi"/>
          <w:lang w:val="en-US"/>
        </w:rPr>
        <w:t>In terms of performance of BEST supported regions in SLR, the trend showed that all regions improved over the period of Program implementation (Table 16).</w:t>
      </w:r>
      <w:r w:rsidR="00D434EB">
        <w:rPr>
          <w:rFonts w:asciiTheme="majorHAnsi" w:hAnsiTheme="majorHAnsi" w:cstheme="majorHAnsi"/>
          <w:lang w:val="en-US"/>
        </w:rPr>
        <w:t xml:space="preserve"> </w:t>
      </w:r>
      <w:r w:rsidRPr="00931ED4">
        <w:rPr>
          <w:rFonts w:asciiTheme="majorHAnsi" w:hAnsiTheme="majorHAnsi" w:cstheme="majorHAnsi"/>
          <w:lang w:val="en-US"/>
        </w:rPr>
        <w:t>For instance, Region X posted SLRs below the national rate from SY2013-2014 to SY2016-2017 but significantly improved by SY2017-2018.</w:t>
      </w:r>
      <w:r w:rsidR="00D434EB">
        <w:rPr>
          <w:rFonts w:asciiTheme="majorHAnsi" w:hAnsiTheme="majorHAnsi" w:cstheme="majorHAnsi"/>
          <w:lang w:val="en-US"/>
        </w:rPr>
        <w:t xml:space="preserve"> </w:t>
      </w:r>
      <w:r w:rsidRPr="00931ED4">
        <w:rPr>
          <w:rFonts w:asciiTheme="majorHAnsi" w:hAnsiTheme="majorHAnsi" w:cstheme="majorHAnsi"/>
          <w:lang w:val="en-US"/>
        </w:rPr>
        <w:t>NCR also had two years when its SLR was below national rate but eventually improved.</w:t>
      </w:r>
    </w:p>
    <w:p w14:paraId="5956518D" w14:textId="3E3B2E63" w:rsidR="008D0CAD" w:rsidRPr="00931ED4" w:rsidRDefault="008D0CAD" w:rsidP="00796BFA">
      <w:pPr>
        <w:spacing w:before="100" w:beforeAutospacing="1" w:after="100" w:afterAutospacing="1" w:line="360" w:lineRule="auto"/>
        <w:rPr>
          <w:rFonts w:asciiTheme="majorHAnsi" w:eastAsiaTheme="minorHAnsi" w:hAnsiTheme="majorHAnsi" w:cstheme="majorHAnsi"/>
          <w:i/>
          <w:iCs/>
          <w:color w:val="44546A" w:themeColor="text2"/>
          <w:sz w:val="22"/>
          <w:szCs w:val="22"/>
          <w:lang w:val="en-US"/>
        </w:rPr>
      </w:pPr>
      <w:bookmarkStart w:id="600" w:name="_Toc16524198"/>
      <w:bookmarkStart w:id="601" w:name="_Toc71616661"/>
      <w:r w:rsidRPr="00931ED4">
        <w:rPr>
          <w:rFonts w:asciiTheme="majorHAnsi" w:eastAsiaTheme="minorHAnsi" w:hAnsiTheme="majorHAnsi" w:cstheme="majorHAnsi"/>
          <w:i/>
          <w:iCs/>
          <w:color w:val="44546A" w:themeColor="text2"/>
          <w:sz w:val="22"/>
          <w:szCs w:val="22"/>
          <w:lang w:val="en-US"/>
        </w:rPr>
        <w:t xml:space="preserve">Table </w:t>
      </w:r>
      <w:r w:rsidRPr="00931ED4">
        <w:rPr>
          <w:rFonts w:asciiTheme="majorHAnsi" w:eastAsiaTheme="minorHAnsi" w:hAnsiTheme="majorHAnsi" w:cstheme="majorHAnsi"/>
          <w:i/>
          <w:iCs/>
          <w:color w:val="44546A" w:themeColor="text2"/>
          <w:sz w:val="22"/>
          <w:szCs w:val="22"/>
          <w:lang w:val="en-US"/>
        </w:rPr>
        <w:fldChar w:fldCharType="begin"/>
      </w:r>
      <w:r w:rsidRPr="00931ED4">
        <w:rPr>
          <w:rFonts w:asciiTheme="majorHAnsi" w:eastAsiaTheme="minorHAnsi" w:hAnsiTheme="majorHAnsi" w:cstheme="majorHAnsi"/>
          <w:i/>
          <w:iCs/>
          <w:color w:val="44546A" w:themeColor="text2"/>
          <w:sz w:val="22"/>
          <w:szCs w:val="22"/>
          <w:lang w:val="en-US"/>
        </w:rPr>
        <w:instrText xml:space="preserve"> SEQ Table \* ARABIC </w:instrText>
      </w:r>
      <w:r w:rsidRPr="00931ED4">
        <w:rPr>
          <w:rFonts w:asciiTheme="majorHAnsi" w:eastAsiaTheme="minorHAnsi" w:hAnsiTheme="majorHAnsi" w:cstheme="majorHAnsi"/>
          <w:i/>
          <w:iCs/>
          <w:color w:val="44546A" w:themeColor="text2"/>
          <w:sz w:val="22"/>
          <w:szCs w:val="22"/>
          <w:lang w:val="en-US"/>
        </w:rPr>
        <w:fldChar w:fldCharType="separate"/>
      </w:r>
      <w:r w:rsidR="00D6133D">
        <w:rPr>
          <w:rFonts w:asciiTheme="majorHAnsi" w:eastAsiaTheme="minorHAnsi" w:hAnsiTheme="majorHAnsi" w:cstheme="majorHAnsi"/>
          <w:i/>
          <w:iCs/>
          <w:noProof/>
          <w:color w:val="44546A" w:themeColor="text2"/>
          <w:sz w:val="22"/>
          <w:szCs w:val="22"/>
          <w:lang w:val="en-US"/>
        </w:rPr>
        <w:t>70</w:t>
      </w:r>
      <w:r w:rsidRPr="00931ED4">
        <w:rPr>
          <w:rFonts w:asciiTheme="majorHAnsi" w:eastAsiaTheme="minorHAnsi" w:hAnsiTheme="majorHAnsi" w:cstheme="majorHAnsi"/>
          <w:i/>
          <w:iCs/>
          <w:color w:val="44546A" w:themeColor="text2"/>
          <w:sz w:val="22"/>
          <w:szCs w:val="22"/>
          <w:lang w:val="en-US"/>
        </w:rPr>
        <w:fldChar w:fldCharType="end"/>
      </w:r>
      <w:r w:rsidRPr="00931ED4">
        <w:rPr>
          <w:rFonts w:asciiTheme="majorHAnsi" w:eastAsiaTheme="minorHAnsi" w:hAnsiTheme="majorHAnsi" w:cstheme="majorHAnsi"/>
          <w:i/>
          <w:iCs/>
          <w:color w:val="44546A" w:themeColor="text2"/>
          <w:sz w:val="22"/>
          <w:szCs w:val="22"/>
          <w:lang w:val="en-US"/>
        </w:rPr>
        <w:t xml:space="preserve">. </w:t>
      </w:r>
      <w:r w:rsidRPr="00931ED4">
        <w:rPr>
          <w:rFonts w:asciiTheme="majorHAnsi" w:eastAsiaTheme="minorHAnsi" w:hAnsiTheme="majorHAnsi" w:cstheme="majorHAnsi"/>
          <w:bCs/>
          <w:i/>
          <w:iCs/>
          <w:color w:val="44546A" w:themeColor="text2"/>
          <w:sz w:val="22"/>
          <w:szCs w:val="22"/>
          <w:lang w:val="en-US"/>
        </w:rPr>
        <w:t>Elementary School Leaver Rate in BEST Regions, SY2013-2014 to SY2017-18</w:t>
      </w:r>
      <w:bookmarkEnd w:id="600"/>
      <w:bookmarkEnd w:id="601"/>
    </w:p>
    <w:tbl>
      <w:tblPr>
        <w:tblStyle w:val="TableGrid11"/>
        <w:tblW w:w="9306" w:type="dxa"/>
        <w:tblLook w:val="04A0" w:firstRow="1" w:lastRow="0" w:firstColumn="1" w:lastColumn="0" w:noHBand="0" w:noVBand="1"/>
      </w:tblPr>
      <w:tblGrid>
        <w:gridCol w:w="2871"/>
        <w:gridCol w:w="1287"/>
        <w:gridCol w:w="1287"/>
        <w:gridCol w:w="1287"/>
        <w:gridCol w:w="1287"/>
        <w:gridCol w:w="1287"/>
      </w:tblGrid>
      <w:tr w:rsidR="008D0CAD" w:rsidRPr="004B064D" w14:paraId="6808EB2A" w14:textId="77777777" w:rsidTr="00F4751F">
        <w:trPr>
          <w:trHeight w:val="267"/>
          <w:tblHeader/>
        </w:trPr>
        <w:tc>
          <w:tcPr>
            <w:tcW w:w="2871" w:type="dxa"/>
            <w:noWrap/>
            <w:hideMark/>
          </w:tcPr>
          <w:p w14:paraId="5F8364D7" w14:textId="77777777" w:rsidR="008D0CAD" w:rsidRPr="004B064D" w:rsidRDefault="008D0CAD" w:rsidP="00796BFA">
            <w:pPr>
              <w:spacing w:before="100" w:beforeAutospacing="1" w:after="100" w:afterAutospacing="1" w:line="360" w:lineRule="auto"/>
              <w:rPr>
                <w:rFonts w:asciiTheme="majorHAnsi" w:hAnsiTheme="majorHAnsi" w:cstheme="majorHAnsi"/>
                <w:b/>
                <w:bCs/>
                <w:sz w:val="20"/>
                <w:szCs w:val="20"/>
              </w:rPr>
            </w:pPr>
            <w:r w:rsidRPr="004B064D">
              <w:rPr>
                <w:rFonts w:asciiTheme="majorHAnsi" w:hAnsiTheme="majorHAnsi" w:cstheme="majorHAnsi"/>
                <w:b/>
                <w:bCs/>
                <w:sz w:val="20"/>
                <w:szCs w:val="20"/>
              </w:rPr>
              <w:t>Region</w:t>
            </w:r>
          </w:p>
        </w:tc>
        <w:tc>
          <w:tcPr>
            <w:tcW w:w="1287" w:type="dxa"/>
            <w:noWrap/>
            <w:hideMark/>
          </w:tcPr>
          <w:p w14:paraId="4EC0650B" w14:textId="77777777" w:rsidR="008D0CAD" w:rsidRPr="004B064D" w:rsidRDefault="008D0CAD" w:rsidP="00796BFA">
            <w:pPr>
              <w:spacing w:before="100" w:beforeAutospacing="1" w:after="100" w:afterAutospacing="1" w:line="360" w:lineRule="auto"/>
              <w:rPr>
                <w:rFonts w:asciiTheme="majorHAnsi" w:hAnsiTheme="majorHAnsi" w:cstheme="majorHAnsi"/>
                <w:b/>
                <w:bCs/>
                <w:sz w:val="20"/>
                <w:szCs w:val="20"/>
              </w:rPr>
            </w:pPr>
            <w:r w:rsidRPr="004B064D">
              <w:rPr>
                <w:rFonts w:asciiTheme="majorHAnsi" w:hAnsiTheme="majorHAnsi" w:cstheme="majorHAnsi"/>
                <w:b/>
                <w:bCs/>
                <w:sz w:val="20"/>
                <w:szCs w:val="20"/>
              </w:rPr>
              <w:t>2013-14</w:t>
            </w:r>
          </w:p>
        </w:tc>
        <w:tc>
          <w:tcPr>
            <w:tcW w:w="1287" w:type="dxa"/>
            <w:noWrap/>
            <w:hideMark/>
          </w:tcPr>
          <w:p w14:paraId="45F14823" w14:textId="77777777" w:rsidR="008D0CAD" w:rsidRPr="004B064D" w:rsidRDefault="008D0CAD" w:rsidP="00796BFA">
            <w:pPr>
              <w:spacing w:before="100" w:beforeAutospacing="1" w:after="100" w:afterAutospacing="1" w:line="360" w:lineRule="auto"/>
              <w:rPr>
                <w:rFonts w:asciiTheme="majorHAnsi" w:hAnsiTheme="majorHAnsi" w:cstheme="majorHAnsi"/>
                <w:b/>
                <w:bCs/>
                <w:sz w:val="20"/>
                <w:szCs w:val="20"/>
              </w:rPr>
            </w:pPr>
            <w:r w:rsidRPr="004B064D">
              <w:rPr>
                <w:rFonts w:asciiTheme="majorHAnsi" w:hAnsiTheme="majorHAnsi" w:cstheme="majorHAnsi"/>
                <w:b/>
                <w:bCs/>
                <w:sz w:val="20"/>
                <w:szCs w:val="20"/>
              </w:rPr>
              <w:t>2014-15</w:t>
            </w:r>
          </w:p>
        </w:tc>
        <w:tc>
          <w:tcPr>
            <w:tcW w:w="1287" w:type="dxa"/>
            <w:noWrap/>
            <w:hideMark/>
          </w:tcPr>
          <w:p w14:paraId="54694B31" w14:textId="77777777" w:rsidR="008D0CAD" w:rsidRPr="004B064D" w:rsidRDefault="008D0CAD" w:rsidP="00796BFA">
            <w:pPr>
              <w:spacing w:before="100" w:beforeAutospacing="1" w:after="100" w:afterAutospacing="1" w:line="360" w:lineRule="auto"/>
              <w:rPr>
                <w:rFonts w:asciiTheme="majorHAnsi" w:hAnsiTheme="majorHAnsi" w:cstheme="majorHAnsi"/>
                <w:b/>
                <w:bCs/>
                <w:sz w:val="20"/>
                <w:szCs w:val="20"/>
              </w:rPr>
            </w:pPr>
            <w:r w:rsidRPr="004B064D">
              <w:rPr>
                <w:rFonts w:asciiTheme="majorHAnsi" w:hAnsiTheme="majorHAnsi" w:cstheme="majorHAnsi"/>
                <w:b/>
                <w:bCs/>
                <w:sz w:val="20"/>
                <w:szCs w:val="20"/>
              </w:rPr>
              <w:t>2015-16</w:t>
            </w:r>
          </w:p>
        </w:tc>
        <w:tc>
          <w:tcPr>
            <w:tcW w:w="1287" w:type="dxa"/>
            <w:noWrap/>
            <w:hideMark/>
          </w:tcPr>
          <w:p w14:paraId="667686E4" w14:textId="77777777" w:rsidR="008D0CAD" w:rsidRPr="004B064D" w:rsidRDefault="008D0CAD" w:rsidP="00796BFA">
            <w:pPr>
              <w:spacing w:before="100" w:beforeAutospacing="1" w:after="100" w:afterAutospacing="1" w:line="360" w:lineRule="auto"/>
              <w:rPr>
                <w:rFonts w:asciiTheme="majorHAnsi" w:hAnsiTheme="majorHAnsi" w:cstheme="majorHAnsi"/>
                <w:b/>
                <w:bCs/>
                <w:sz w:val="20"/>
                <w:szCs w:val="20"/>
              </w:rPr>
            </w:pPr>
            <w:r w:rsidRPr="004B064D">
              <w:rPr>
                <w:rFonts w:asciiTheme="majorHAnsi" w:hAnsiTheme="majorHAnsi" w:cstheme="majorHAnsi"/>
                <w:b/>
                <w:bCs/>
                <w:sz w:val="20"/>
                <w:szCs w:val="20"/>
              </w:rPr>
              <w:t>2016-17</w:t>
            </w:r>
          </w:p>
        </w:tc>
        <w:tc>
          <w:tcPr>
            <w:tcW w:w="1287" w:type="dxa"/>
            <w:noWrap/>
            <w:hideMark/>
          </w:tcPr>
          <w:p w14:paraId="6C21CED6" w14:textId="77777777" w:rsidR="008D0CAD" w:rsidRPr="004B064D" w:rsidRDefault="008D0CAD" w:rsidP="00796BFA">
            <w:pPr>
              <w:spacing w:before="100" w:beforeAutospacing="1" w:after="100" w:afterAutospacing="1" w:line="360" w:lineRule="auto"/>
              <w:rPr>
                <w:rFonts w:asciiTheme="majorHAnsi" w:hAnsiTheme="majorHAnsi" w:cstheme="majorHAnsi"/>
                <w:b/>
                <w:bCs/>
                <w:sz w:val="20"/>
                <w:szCs w:val="20"/>
              </w:rPr>
            </w:pPr>
            <w:r w:rsidRPr="004B064D">
              <w:rPr>
                <w:rFonts w:asciiTheme="majorHAnsi" w:hAnsiTheme="majorHAnsi" w:cstheme="majorHAnsi"/>
                <w:b/>
                <w:bCs/>
                <w:sz w:val="20"/>
                <w:szCs w:val="20"/>
              </w:rPr>
              <w:t>2017-18</w:t>
            </w:r>
          </w:p>
        </w:tc>
      </w:tr>
      <w:tr w:rsidR="008D0CAD" w:rsidRPr="00931ED4" w14:paraId="6F0D4E21" w14:textId="77777777" w:rsidTr="008041F1">
        <w:trPr>
          <w:trHeight w:val="267"/>
        </w:trPr>
        <w:tc>
          <w:tcPr>
            <w:tcW w:w="2871" w:type="dxa"/>
            <w:noWrap/>
          </w:tcPr>
          <w:p w14:paraId="39329B2D" w14:textId="77777777" w:rsidR="008D0CAD" w:rsidRPr="00931ED4" w:rsidRDefault="008D0CAD" w:rsidP="00796BFA">
            <w:pPr>
              <w:spacing w:before="100" w:beforeAutospacing="1" w:after="100" w:afterAutospacing="1" w:line="360" w:lineRule="auto"/>
              <w:rPr>
                <w:rFonts w:asciiTheme="majorHAnsi" w:hAnsiTheme="majorHAnsi" w:cstheme="majorHAnsi"/>
                <w:sz w:val="20"/>
                <w:szCs w:val="20"/>
              </w:rPr>
            </w:pPr>
            <w:r w:rsidRPr="00931ED4">
              <w:rPr>
                <w:rFonts w:asciiTheme="majorHAnsi" w:hAnsiTheme="majorHAnsi" w:cstheme="majorHAnsi"/>
                <w:sz w:val="20"/>
                <w:szCs w:val="20"/>
              </w:rPr>
              <w:t>Philippines</w:t>
            </w:r>
          </w:p>
        </w:tc>
        <w:tc>
          <w:tcPr>
            <w:tcW w:w="1287" w:type="dxa"/>
          </w:tcPr>
          <w:p w14:paraId="6577DCEB" w14:textId="77777777" w:rsidR="008D0CAD" w:rsidRPr="00931ED4" w:rsidRDefault="008D0CAD" w:rsidP="00796BFA">
            <w:pPr>
              <w:spacing w:before="100" w:beforeAutospacing="1" w:after="100" w:afterAutospacing="1" w:line="360" w:lineRule="auto"/>
              <w:rPr>
                <w:rFonts w:asciiTheme="majorHAnsi" w:hAnsiTheme="majorHAnsi" w:cstheme="majorHAnsi"/>
                <w:b/>
                <w:color w:val="000000"/>
                <w:sz w:val="20"/>
                <w:szCs w:val="20"/>
              </w:rPr>
            </w:pPr>
            <w:r w:rsidRPr="00931ED4">
              <w:rPr>
                <w:rFonts w:asciiTheme="majorHAnsi" w:hAnsiTheme="majorHAnsi" w:cstheme="majorHAnsi"/>
                <w:b/>
                <w:bCs/>
                <w:sz w:val="20"/>
                <w:szCs w:val="20"/>
              </w:rPr>
              <w:t>4.85%</w:t>
            </w:r>
          </w:p>
        </w:tc>
        <w:tc>
          <w:tcPr>
            <w:tcW w:w="1287" w:type="dxa"/>
          </w:tcPr>
          <w:p w14:paraId="42631FD4" w14:textId="77777777" w:rsidR="008D0CAD" w:rsidRPr="00931ED4" w:rsidRDefault="008D0CAD" w:rsidP="00796BFA">
            <w:pPr>
              <w:spacing w:before="100" w:beforeAutospacing="1" w:after="100" w:afterAutospacing="1" w:line="360" w:lineRule="auto"/>
              <w:rPr>
                <w:rFonts w:asciiTheme="majorHAnsi" w:hAnsiTheme="majorHAnsi" w:cstheme="majorHAnsi"/>
                <w:b/>
                <w:color w:val="000000"/>
                <w:sz w:val="20"/>
                <w:szCs w:val="20"/>
              </w:rPr>
            </w:pPr>
            <w:r w:rsidRPr="00931ED4">
              <w:rPr>
                <w:rFonts w:asciiTheme="majorHAnsi" w:hAnsiTheme="majorHAnsi" w:cstheme="majorHAnsi"/>
                <w:b/>
                <w:bCs/>
                <w:sz w:val="20"/>
                <w:szCs w:val="20"/>
              </w:rPr>
              <w:t>3.26%</w:t>
            </w:r>
          </w:p>
        </w:tc>
        <w:tc>
          <w:tcPr>
            <w:tcW w:w="1287" w:type="dxa"/>
          </w:tcPr>
          <w:p w14:paraId="6FC8D68A" w14:textId="77777777" w:rsidR="008D0CAD" w:rsidRPr="00931ED4" w:rsidRDefault="008D0CAD" w:rsidP="00796BFA">
            <w:pPr>
              <w:spacing w:before="100" w:beforeAutospacing="1" w:after="100" w:afterAutospacing="1" w:line="360" w:lineRule="auto"/>
              <w:rPr>
                <w:rFonts w:asciiTheme="majorHAnsi" w:hAnsiTheme="majorHAnsi" w:cstheme="majorHAnsi"/>
                <w:b/>
                <w:color w:val="000000"/>
                <w:sz w:val="20"/>
                <w:szCs w:val="20"/>
              </w:rPr>
            </w:pPr>
            <w:r w:rsidRPr="00931ED4">
              <w:rPr>
                <w:rFonts w:asciiTheme="majorHAnsi" w:hAnsiTheme="majorHAnsi" w:cstheme="majorHAnsi"/>
                <w:b/>
                <w:bCs/>
                <w:sz w:val="20"/>
                <w:szCs w:val="20"/>
              </w:rPr>
              <w:t>2.69%</w:t>
            </w:r>
          </w:p>
        </w:tc>
        <w:tc>
          <w:tcPr>
            <w:tcW w:w="1287" w:type="dxa"/>
          </w:tcPr>
          <w:p w14:paraId="06DB53C3" w14:textId="77777777" w:rsidR="008D0CAD" w:rsidRPr="00931ED4" w:rsidRDefault="008D0CAD" w:rsidP="00796BFA">
            <w:pPr>
              <w:spacing w:before="100" w:beforeAutospacing="1" w:after="100" w:afterAutospacing="1" w:line="360" w:lineRule="auto"/>
              <w:rPr>
                <w:rFonts w:asciiTheme="majorHAnsi" w:hAnsiTheme="majorHAnsi" w:cstheme="majorHAnsi"/>
                <w:b/>
                <w:color w:val="000000"/>
                <w:sz w:val="20"/>
                <w:szCs w:val="20"/>
              </w:rPr>
            </w:pPr>
            <w:r w:rsidRPr="00931ED4">
              <w:rPr>
                <w:rFonts w:asciiTheme="majorHAnsi" w:hAnsiTheme="majorHAnsi" w:cstheme="majorHAnsi"/>
                <w:b/>
                <w:bCs/>
                <w:sz w:val="20"/>
                <w:szCs w:val="20"/>
              </w:rPr>
              <w:t>2.00%</w:t>
            </w:r>
          </w:p>
        </w:tc>
        <w:tc>
          <w:tcPr>
            <w:tcW w:w="1287" w:type="dxa"/>
          </w:tcPr>
          <w:p w14:paraId="27291B69" w14:textId="77777777" w:rsidR="008D0CAD" w:rsidRPr="00931ED4" w:rsidRDefault="008D0CAD" w:rsidP="00796BFA">
            <w:pPr>
              <w:spacing w:before="100" w:beforeAutospacing="1" w:after="100" w:afterAutospacing="1" w:line="360" w:lineRule="auto"/>
              <w:rPr>
                <w:rFonts w:asciiTheme="majorHAnsi" w:hAnsiTheme="majorHAnsi" w:cstheme="majorHAnsi"/>
                <w:b/>
                <w:color w:val="000000"/>
                <w:sz w:val="20"/>
                <w:szCs w:val="20"/>
              </w:rPr>
            </w:pPr>
            <w:r w:rsidRPr="00931ED4">
              <w:rPr>
                <w:rFonts w:asciiTheme="majorHAnsi" w:hAnsiTheme="majorHAnsi" w:cstheme="majorHAnsi"/>
                <w:b/>
                <w:bCs/>
                <w:sz w:val="20"/>
                <w:szCs w:val="20"/>
              </w:rPr>
              <w:t>1.56%</w:t>
            </w:r>
          </w:p>
        </w:tc>
      </w:tr>
      <w:tr w:rsidR="008D0CAD" w:rsidRPr="00931ED4" w14:paraId="53902EAD" w14:textId="77777777" w:rsidTr="008041F1">
        <w:trPr>
          <w:trHeight w:val="267"/>
        </w:trPr>
        <w:tc>
          <w:tcPr>
            <w:tcW w:w="2871" w:type="dxa"/>
            <w:noWrap/>
            <w:hideMark/>
          </w:tcPr>
          <w:p w14:paraId="6C7B30A9" w14:textId="77777777" w:rsidR="008D0CAD" w:rsidRPr="00931ED4" w:rsidRDefault="008D0CAD" w:rsidP="00796BFA">
            <w:pPr>
              <w:spacing w:before="100" w:beforeAutospacing="1" w:after="100" w:afterAutospacing="1" w:line="360" w:lineRule="auto"/>
              <w:rPr>
                <w:rFonts w:asciiTheme="majorHAnsi" w:hAnsiTheme="majorHAnsi" w:cstheme="majorHAnsi"/>
                <w:sz w:val="20"/>
                <w:szCs w:val="20"/>
              </w:rPr>
            </w:pPr>
            <w:r w:rsidRPr="00931ED4">
              <w:rPr>
                <w:rFonts w:asciiTheme="majorHAnsi" w:hAnsiTheme="majorHAnsi" w:cstheme="majorHAnsi"/>
                <w:sz w:val="20"/>
                <w:szCs w:val="20"/>
              </w:rPr>
              <w:t>NCR</w:t>
            </w:r>
          </w:p>
        </w:tc>
        <w:tc>
          <w:tcPr>
            <w:tcW w:w="1287" w:type="dxa"/>
            <w:hideMark/>
          </w:tcPr>
          <w:p w14:paraId="4D06BA28"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3.89%</w:t>
            </w:r>
          </w:p>
        </w:tc>
        <w:tc>
          <w:tcPr>
            <w:tcW w:w="1287" w:type="dxa"/>
            <w:hideMark/>
          </w:tcPr>
          <w:p w14:paraId="162066A0" w14:textId="77777777" w:rsidR="008D0CAD" w:rsidRPr="00931ED4" w:rsidRDefault="008D0CAD" w:rsidP="00796BFA">
            <w:pPr>
              <w:spacing w:before="100" w:beforeAutospacing="1" w:after="100" w:afterAutospacing="1" w:line="360" w:lineRule="auto"/>
              <w:rPr>
                <w:rFonts w:asciiTheme="majorHAnsi" w:hAnsiTheme="majorHAnsi" w:cstheme="majorHAnsi"/>
                <w:b/>
                <w:color w:val="000000"/>
                <w:sz w:val="20"/>
                <w:szCs w:val="20"/>
              </w:rPr>
            </w:pPr>
            <w:r w:rsidRPr="00931ED4">
              <w:rPr>
                <w:rFonts w:asciiTheme="majorHAnsi" w:hAnsiTheme="majorHAnsi" w:cstheme="majorHAnsi"/>
                <w:b/>
                <w:color w:val="000000"/>
                <w:sz w:val="20"/>
                <w:szCs w:val="20"/>
              </w:rPr>
              <w:t>4.56%</w:t>
            </w:r>
          </w:p>
        </w:tc>
        <w:tc>
          <w:tcPr>
            <w:tcW w:w="1287" w:type="dxa"/>
            <w:hideMark/>
          </w:tcPr>
          <w:p w14:paraId="740DD6A6" w14:textId="77777777" w:rsidR="008D0CAD" w:rsidRPr="00931ED4" w:rsidRDefault="008D0CAD" w:rsidP="00796BFA">
            <w:pPr>
              <w:spacing w:before="100" w:beforeAutospacing="1" w:after="100" w:afterAutospacing="1" w:line="360" w:lineRule="auto"/>
              <w:rPr>
                <w:rFonts w:asciiTheme="majorHAnsi" w:hAnsiTheme="majorHAnsi" w:cstheme="majorHAnsi"/>
                <w:b/>
                <w:color w:val="000000"/>
                <w:sz w:val="20"/>
                <w:szCs w:val="20"/>
              </w:rPr>
            </w:pPr>
            <w:r w:rsidRPr="00931ED4">
              <w:rPr>
                <w:rFonts w:asciiTheme="majorHAnsi" w:hAnsiTheme="majorHAnsi" w:cstheme="majorHAnsi"/>
                <w:b/>
                <w:color w:val="000000"/>
                <w:sz w:val="20"/>
                <w:szCs w:val="20"/>
              </w:rPr>
              <w:t>3.19%</w:t>
            </w:r>
          </w:p>
        </w:tc>
        <w:tc>
          <w:tcPr>
            <w:tcW w:w="1287" w:type="dxa"/>
            <w:hideMark/>
          </w:tcPr>
          <w:p w14:paraId="51F085EE"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1.68%</w:t>
            </w:r>
          </w:p>
        </w:tc>
        <w:tc>
          <w:tcPr>
            <w:tcW w:w="1287" w:type="dxa"/>
            <w:hideMark/>
          </w:tcPr>
          <w:p w14:paraId="134EDD65"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0.69%</w:t>
            </w:r>
          </w:p>
        </w:tc>
      </w:tr>
      <w:tr w:rsidR="008D0CAD" w:rsidRPr="00931ED4" w14:paraId="351AA7CC" w14:textId="77777777" w:rsidTr="008041F1">
        <w:trPr>
          <w:trHeight w:val="267"/>
        </w:trPr>
        <w:tc>
          <w:tcPr>
            <w:tcW w:w="2871" w:type="dxa"/>
            <w:noWrap/>
            <w:hideMark/>
          </w:tcPr>
          <w:p w14:paraId="5D5B8B85" w14:textId="77777777" w:rsidR="008D0CAD" w:rsidRPr="00931ED4" w:rsidRDefault="008D0CAD" w:rsidP="00796BFA">
            <w:pPr>
              <w:spacing w:before="100" w:beforeAutospacing="1" w:after="100" w:afterAutospacing="1" w:line="360" w:lineRule="auto"/>
              <w:rPr>
                <w:rFonts w:asciiTheme="majorHAnsi" w:hAnsiTheme="majorHAnsi" w:cstheme="majorHAnsi"/>
                <w:sz w:val="20"/>
                <w:szCs w:val="20"/>
              </w:rPr>
            </w:pPr>
            <w:r w:rsidRPr="00931ED4">
              <w:rPr>
                <w:rFonts w:asciiTheme="majorHAnsi" w:hAnsiTheme="majorHAnsi" w:cstheme="majorHAnsi"/>
                <w:sz w:val="20"/>
                <w:szCs w:val="20"/>
              </w:rPr>
              <w:t>Region V</w:t>
            </w:r>
          </w:p>
        </w:tc>
        <w:tc>
          <w:tcPr>
            <w:tcW w:w="1287" w:type="dxa"/>
            <w:hideMark/>
          </w:tcPr>
          <w:p w14:paraId="1C046401"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3.08%</w:t>
            </w:r>
          </w:p>
        </w:tc>
        <w:tc>
          <w:tcPr>
            <w:tcW w:w="1287" w:type="dxa"/>
            <w:hideMark/>
          </w:tcPr>
          <w:p w14:paraId="6F7D4969"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2.92%</w:t>
            </w:r>
          </w:p>
        </w:tc>
        <w:tc>
          <w:tcPr>
            <w:tcW w:w="1287" w:type="dxa"/>
            <w:hideMark/>
          </w:tcPr>
          <w:p w14:paraId="34763330"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2.43%</w:t>
            </w:r>
          </w:p>
        </w:tc>
        <w:tc>
          <w:tcPr>
            <w:tcW w:w="1287" w:type="dxa"/>
            <w:hideMark/>
          </w:tcPr>
          <w:p w14:paraId="35967D99"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1.44%</w:t>
            </w:r>
          </w:p>
        </w:tc>
        <w:tc>
          <w:tcPr>
            <w:tcW w:w="1287" w:type="dxa"/>
            <w:hideMark/>
          </w:tcPr>
          <w:p w14:paraId="695D2328"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1.50%</w:t>
            </w:r>
          </w:p>
        </w:tc>
      </w:tr>
      <w:tr w:rsidR="008D0CAD" w:rsidRPr="00931ED4" w14:paraId="5218E005" w14:textId="77777777" w:rsidTr="008041F1">
        <w:trPr>
          <w:trHeight w:val="267"/>
        </w:trPr>
        <w:tc>
          <w:tcPr>
            <w:tcW w:w="2871" w:type="dxa"/>
            <w:noWrap/>
            <w:hideMark/>
          </w:tcPr>
          <w:p w14:paraId="5AA41706" w14:textId="77777777" w:rsidR="008D0CAD" w:rsidRPr="00931ED4" w:rsidRDefault="008D0CAD" w:rsidP="00796BFA">
            <w:pPr>
              <w:spacing w:before="100" w:beforeAutospacing="1" w:after="100" w:afterAutospacing="1" w:line="360" w:lineRule="auto"/>
              <w:rPr>
                <w:rFonts w:asciiTheme="majorHAnsi" w:hAnsiTheme="majorHAnsi" w:cstheme="majorHAnsi"/>
                <w:sz w:val="20"/>
                <w:szCs w:val="20"/>
              </w:rPr>
            </w:pPr>
            <w:r w:rsidRPr="00931ED4">
              <w:rPr>
                <w:rFonts w:asciiTheme="majorHAnsi" w:hAnsiTheme="majorHAnsi" w:cstheme="majorHAnsi"/>
                <w:sz w:val="20"/>
                <w:szCs w:val="20"/>
              </w:rPr>
              <w:t>Region VI</w:t>
            </w:r>
          </w:p>
        </w:tc>
        <w:tc>
          <w:tcPr>
            <w:tcW w:w="1287" w:type="dxa"/>
            <w:hideMark/>
          </w:tcPr>
          <w:p w14:paraId="641419D1"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2.97%</w:t>
            </w:r>
          </w:p>
        </w:tc>
        <w:tc>
          <w:tcPr>
            <w:tcW w:w="1287" w:type="dxa"/>
            <w:hideMark/>
          </w:tcPr>
          <w:p w14:paraId="722F628E"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1.97%</w:t>
            </w:r>
          </w:p>
        </w:tc>
        <w:tc>
          <w:tcPr>
            <w:tcW w:w="1287" w:type="dxa"/>
            <w:hideMark/>
          </w:tcPr>
          <w:p w14:paraId="1EE4D68D"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1.81%</w:t>
            </w:r>
          </w:p>
        </w:tc>
        <w:tc>
          <w:tcPr>
            <w:tcW w:w="1287" w:type="dxa"/>
            <w:hideMark/>
          </w:tcPr>
          <w:p w14:paraId="4C07A787"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0.83%</w:t>
            </w:r>
          </w:p>
        </w:tc>
        <w:tc>
          <w:tcPr>
            <w:tcW w:w="1287" w:type="dxa"/>
            <w:hideMark/>
          </w:tcPr>
          <w:p w14:paraId="5CB2CABF"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0.41%</w:t>
            </w:r>
          </w:p>
        </w:tc>
      </w:tr>
      <w:tr w:rsidR="008D0CAD" w:rsidRPr="00931ED4" w14:paraId="6C8C4A51" w14:textId="77777777" w:rsidTr="008041F1">
        <w:trPr>
          <w:trHeight w:val="267"/>
        </w:trPr>
        <w:tc>
          <w:tcPr>
            <w:tcW w:w="2871" w:type="dxa"/>
            <w:noWrap/>
            <w:hideMark/>
          </w:tcPr>
          <w:p w14:paraId="1F570978" w14:textId="77777777" w:rsidR="008D0CAD" w:rsidRPr="00931ED4" w:rsidRDefault="008D0CAD" w:rsidP="00796BFA">
            <w:pPr>
              <w:spacing w:before="100" w:beforeAutospacing="1" w:after="100" w:afterAutospacing="1" w:line="360" w:lineRule="auto"/>
              <w:rPr>
                <w:rFonts w:asciiTheme="majorHAnsi" w:hAnsiTheme="majorHAnsi" w:cstheme="majorHAnsi"/>
                <w:sz w:val="20"/>
                <w:szCs w:val="20"/>
              </w:rPr>
            </w:pPr>
            <w:r w:rsidRPr="00931ED4">
              <w:rPr>
                <w:rFonts w:asciiTheme="majorHAnsi" w:hAnsiTheme="majorHAnsi" w:cstheme="majorHAnsi"/>
                <w:sz w:val="20"/>
                <w:szCs w:val="20"/>
              </w:rPr>
              <w:t>Region VII</w:t>
            </w:r>
          </w:p>
        </w:tc>
        <w:tc>
          <w:tcPr>
            <w:tcW w:w="1287" w:type="dxa"/>
            <w:hideMark/>
          </w:tcPr>
          <w:p w14:paraId="6912F86A"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2.97%</w:t>
            </w:r>
          </w:p>
        </w:tc>
        <w:tc>
          <w:tcPr>
            <w:tcW w:w="1287" w:type="dxa"/>
            <w:hideMark/>
          </w:tcPr>
          <w:p w14:paraId="17D0E0B6"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2.47%</w:t>
            </w:r>
          </w:p>
        </w:tc>
        <w:tc>
          <w:tcPr>
            <w:tcW w:w="1287" w:type="dxa"/>
            <w:hideMark/>
          </w:tcPr>
          <w:p w14:paraId="434976AA"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2.17%</w:t>
            </w:r>
          </w:p>
        </w:tc>
        <w:tc>
          <w:tcPr>
            <w:tcW w:w="1287" w:type="dxa"/>
            <w:hideMark/>
          </w:tcPr>
          <w:p w14:paraId="745A3BB6"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1.03%</w:t>
            </w:r>
          </w:p>
        </w:tc>
        <w:tc>
          <w:tcPr>
            <w:tcW w:w="1287" w:type="dxa"/>
            <w:hideMark/>
          </w:tcPr>
          <w:p w14:paraId="44B19ACC"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0.63%</w:t>
            </w:r>
          </w:p>
        </w:tc>
      </w:tr>
      <w:tr w:rsidR="008D0CAD" w:rsidRPr="00931ED4" w14:paraId="24E6E57D" w14:textId="77777777" w:rsidTr="008041F1">
        <w:trPr>
          <w:trHeight w:val="267"/>
        </w:trPr>
        <w:tc>
          <w:tcPr>
            <w:tcW w:w="2871" w:type="dxa"/>
            <w:noWrap/>
            <w:hideMark/>
          </w:tcPr>
          <w:p w14:paraId="5D0BE6D5" w14:textId="77777777" w:rsidR="008D0CAD" w:rsidRPr="00931ED4" w:rsidRDefault="008D0CAD" w:rsidP="00796BFA">
            <w:pPr>
              <w:spacing w:before="100" w:beforeAutospacing="1" w:after="100" w:afterAutospacing="1" w:line="360" w:lineRule="auto"/>
              <w:rPr>
                <w:rFonts w:asciiTheme="majorHAnsi" w:hAnsiTheme="majorHAnsi" w:cstheme="majorHAnsi"/>
                <w:sz w:val="20"/>
                <w:szCs w:val="20"/>
              </w:rPr>
            </w:pPr>
            <w:r w:rsidRPr="00931ED4">
              <w:rPr>
                <w:rFonts w:asciiTheme="majorHAnsi" w:hAnsiTheme="majorHAnsi" w:cstheme="majorHAnsi"/>
                <w:sz w:val="20"/>
                <w:szCs w:val="20"/>
              </w:rPr>
              <w:t>Region VIII</w:t>
            </w:r>
          </w:p>
        </w:tc>
        <w:tc>
          <w:tcPr>
            <w:tcW w:w="1287" w:type="dxa"/>
            <w:hideMark/>
          </w:tcPr>
          <w:p w14:paraId="2CA35851"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4.06%</w:t>
            </w:r>
          </w:p>
        </w:tc>
        <w:tc>
          <w:tcPr>
            <w:tcW w:w="1287" w:type="dxa"/>
            <w:hideMark/>
          </w:tcPr>
          <w:p w14:paraId="117FD439"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2.67%</w:t>
            </w:r>
          </w:p>
        </w:tc>
        <w:tc>
          <w:tcPr>
            <w:tcW w:w="1287" w:type="dxa"/>
            <w:hideMark/>
          </w:tcPr>
          <w:p w14:paraId="6FFD5C68"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2.03%</w:t>
            </w:r>
          </w:p>
        </w:tc>
        <w:tc>
          <w:tcPr>
            <w:tcW w:w="1287" w:type="dxa"/>
            <w:hideMark/>
          </w:tcPr>
          <w:p w14:paraId="65CEE97B"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1.36%</w:t>
            </w:r>
          </w:p>
        </w:tc>
        <w:tc>
          <w:tcPr>
            <w:tcW w:w="1287" w:type="dxa"/>
            <w:hideMark/>
          </w:tcPr>
          <w:p w14:paraId="4DDFFC82"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0.61%</w:t>
            </w:r>
          </w:p>
        </w:tc>
      </w:tr>
      <w:tr w:rsidR="008D0CAD" w:rsidRPr="00931ED4" w14:paraId="2007573B" w14:textId="77777777" w:rsidTr="008041F1">
        <w:trPr>
          <w:trHeight w:val="252"/>
        </w:trPr>
        <w:tc>
          <w:tcPr>
            <w:tcW w:w="2871" w:type="dxa"/>
            <w:noWrap/>
            <w:hideMark/>
          </w:tcPr>
          <w:p w14:paraId="48FEB338" w14:textId="77777777" w:rsidR="008D0CAD" w:rsidRPr="00931ED4" w:rsidRDefault="008D0CAD" w:rsidP="00796BFA">
            <w:pPr>
              <w:spacing w:before="100" w:beforeAutospacing="1" w:after="100" w:afterAutospacing="1" w:line="360" w:lineRule="auto"/>
              <w:rPr>
                <w:rFonts w:asciiTheme="majorHAnsi" w:hAnsiTheme="majorHAnsi" w:cstheme="majorHAnsi"/>
                <w:sz w:val="20"/>
                <w:szCs w:val="20"/>
              </w:rPr>
            </w:pPr>
            <w:r w:rsidRPr="00931ED4">
              <w:rPr>
                <w:rFonts w:asciiTheme="majorHAnsi" w:hAnsiTheme="majorHAnsi" w:cstheme="majorHAnsi"/>
                <w:sz w:val="20"/>
                <w:szCs w:val="20"/>
              </w:rPr>
              <w:t>Region X</w:t>
            </w:r>
          </w:p>
        </w:tc>
        <w:tc>
          <w:tcPr>
            <w:tcW w:w="1287" w:type="dxa"/>
            <w:hideMark/>
          </w:tcPr>
          <w:p w14:paraId="6E2E37C5" w14:textId="77777777" w:rsidR="008D0CAD" w:rsidRPr="00931ED4" w:rsidRDefault="008D0CAD" w:rsidP="00796BFA">
            <w:pPr>
              <w:spacing w:before="100" w:beforeAutospacing="1" w:after="100" w:afterAutospacing="1" w:line="360" w:lineRule="auto"/>
              <w:rPr>
                <w:rFonts w:asciiTheme="majorHAnsi" w:hAnsiTheme="majorHAnsi" w:cstheme="majorHAnsi"/>
                <w:b/>
                <w:color w:val="000000"/>
                <w:sz w:val="20"/>
                <w:szCs w:val="20"/>
              </w:rPr>
            </w:pPr>
            <w:r w:rsidRPr="00931ED4">
              <w:rPr>
                <w:rFonts w:asciiTheme="majorHAnsi" w:hAnsiTheme="majorHAnsi" w:cstheme="majorHAnsi"/>
                <w:b/>
                <w:color w:val="000000"/>
                <w:sz w:val="20"/>
                <w:szCs w:val="20"/>
              </w:rPr>
              <w:t>5.80%</w:t>
            </w:r>
          </w:p>
        </w:tc>
        <w:tc>
          <w:tcPr>
            <w:tcW w:w="1287" w:type="dxa"/>
            <w:hideMark/>
          </w:tcPr>
          <w:p w14:paraId="7E1E64E4" w14:textId="77777777" w:rsidR="008D0CAD" w:rsidRPr="00931ED4" w:rsidRDefault="008D0CAD" w:rsidP="00796BFA">
            <w:pPr>
              <w:spacing w:before="100" w:beforeAutospacing="1" w:after="100" w:afterAutospacing="1" w:line="360" w:lineRule="auto"/>
              <w:rPr>
                <w:rFonts w:asciiTheme="majorHAnsi" w:hAnsiTheme="majorHAnsi" w:cstheme="majorHAnsi"/>
                <w:b/>
                <w:color w:val="000000"/>
                <w:sz w:val="20"/>
                <w:szCs w:val="20"/>
              </w:rPr>
            </w:pPr>
            <w:r w:rsidRPr="00931ED4">
              <w:rPr>
                <w:rFonts w:asciiTheme="majorHAnsi" w:hAnsiTheme="majorHAnsi" w:cstheme="majorHAnsi"/>
                <w:b/>
                <w:color w:val="000000"/>
                <w:sz w:val="20"/>
                <w:szCs w:val="20"/>
              </w:rPr>
              <w:t>3.93%</w:t>
            </w:r>
          </w:p>
        </w:tc>
        <w:tc>
          <w:tcPr>
            <w:tcW w:w="1287" w:type="dxa"/>
            <w:hideMark/>
          </w:tcPr>
          <w:p w14:paraId="6F11876B"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b/>
                <w:color w:val="000000"/>
                <w:sz w:val="20"/>
                <w:szCs w:val="20"/>
              </w:rPr>
              <w:t>2.99</w:t>
            </w:r>
            <w:r w:rsidRPr="00931ED4">
              <w:rPr>
                <w:rFonts w:asciiTheme="majorHAnsi" w:hAnsiTheme="majorHAnsi" w:cstheme="majorHAnsi"/>
                <w:color w:val="000000"/>
                <w:sz w:val="20"/>
                <w:szCs w:val="20"/>
              </w:rPr>
              <w:t>%</w:t>
            </w:r>
          </w:p>
        </w:tc>
        <w:tc>
          <w:tcPr>
            <w:tcW w:w="1287" w:type="dxa"/>
            <w:hideMark/>
          </w:tcPr>
          <w:p w14:paraId="0E85192C" w14:textId="77777777" w:rsidR="008D0CAD" w:rsidRPr="00931ED4" w:rsidRDefault="008D0CAD" w:rsidP="00796BFA">
            <w:pPr>
              <w:spacing w:before="100" w:beforeAutospacing="1" w:after="100" w:afterAutospacing="1" w:line="360" w:lineRule="auto"/>
              <w:rPr>
                <w:rFonts w:asciiTheme="majorHAnsi" w:hAnsiTheme="majorHAnsi" w:cstheme="majorHAnsi"/>
                <w:b/>
                <w:color w:val="000000"/>
                <w:sz w:val="20"/>
                <w:szCs w:val="20"/>
              </w:rPr>
            </w:pPr>
            <w:r w:rsidRPr="00931ED4">
              <w:rPr>
                <w:rFonts w:asciiTheme="majorHAnsi" w:hAnsiTheme="majorHAnsi" w:cstheme="majorHAnsi"/>
                <w:b/>
                <w:color w:val="000000"/>
                <w:sz w:val="20"/>
                <w:szCs w:val="20"/>
              </w:rPr>
              <w:t>2.07%</w:t>
            </w:r>
          </w:p>
        </w:tc>
        <w:tc>
          <w:tcPr>
            <w:tcW w:w="1287" w:type="dxa"/>
            <w:hideMark/>
          </w:tcPr>
          <w:p w14:paraId="232365DB" w14:textId="77777777" w:rsidR="008D0CAD" w:rsidRPr="00931ED4" w:rsidRDefault="008D0CAD" w:rsidP="00796BFA">
            <w:pPr>
              <w:spacing w:before="100" w:beforeAutospacing="1" w:after="100" w:afterAutospacing="1" w:line="360" w:lineRule="auto"/>
              <w:rPr>
                <w:rFonts w:asciiTheme="majorHAnsi" w:hAnsiTheme="majorHAnsi" w:cstheme="majorHAnsi"/>
                <w:color w:val="000000"/>
                <w:sz w:val="20"/>
                <w:szCs w:val="20"/>
              </w:rPr>
            </w:pPr>
            <w:r w:rsidRPr="00931ED4">
              <w:rPr>
                <w:rFonts w:asciiTheme="majorHAnsi" w:hAnsiTheme="majorHAnsi" w:cstheme="majorHAnsi"/>
                <w:color w:val="000000"/>
                <w:sz w:val="20"/>
                <w:szCs w:val="20"/>
              </w:rPr>
              <w:t>0.29%</w:t>
            </w:r>
          </w:p>
        </w:tc>
      </w:tr>
    </w:tbl>
    <w:p w14:paraId="54AA2FA6" w14:textId="77777777" w:rsidR="008D0CAD" w:rsidRPr="00931ED4" w:rsidRDefault="008D0CAD" w:rsidP="00796BFA">
      <w:pPr>
        <w:spacing w:before="100" w:beforeAutospacing="1" w:after="100" w:afterAutospacing="1" w:line="360" w:lineRule="auto"/>
        <w:rPr>
          <w:rFonts w:asciiTheme="majorHAnsi" w:hAnsiTheme="majorHAnsi" w:cstheme="majorHAnsi"/>
          <w:bCs/>
          <w:sz w:val="20"/>
          <w:szCs w:val="20"/>
          <w:lang w:val="en-US"/>
        </w:rPr>
      </w:pPr>
      <w:r w:rsidRPr="00931ED4">
        <w:rPr>
          <w:rFonts w:asciiTheme="majorHAnsi" w:hAnsiTheme="majorHAnsi" w:cstheme="majorHAnsi"/>
          <w:bCs/>
          <w:i/>
          <w:iCs/>
          <w:sz w:val="20"/>
          <w:szCs w:val="20"/>
          <w:lang w:val="en-US"/>
        </w:rPr>
        <w:t>Source: EBEIS (Retrieved April 2019)</w:t>
      </w:r>
    </w:p>
    <w:p w14:paraId="43021B9A" w14:textId="14AFEA3B" w:rsidR="008D0CAD" w:rsidRPr="00931ED4" w:rsidRDefault="008D0CAD" w:rsidP="00796BFA">
      <w:pPr>
        <w:spacing w:before="100" w:beforeAutospacing="1" w:after="100" w:afterAutospacing="1" w:line="360" w:lineRule="auto"/>
        <w:rPr>
          <w:rFonts w:asciiTheme="majorHAnsi" w:hAnsiTheme="majorHAnsi" w:cstheme="majorHAnsi"/>
          <w:lang w:val="en-US"/>
        </w:rPr>
      </w:pPr>
      <w:r w:rsidRPr="00931ED4">
        <w:rPr>
          <w:rFonts w:asciiTheme="majorHAnsi" w:hAnsiTheme="majorHAnsi" w:cstheme="majorHAnsi"/>
          <w:b/>
          <w:lang w:val="en-US"/>
        </w:rPr>
        <w:t>School Leaver Rates by Divisions</w:t>
      </w:r>
      <w:r w:rsidRPr="00931ED4">
        <w:rPr>
          <w:rFonts w:asciiTheme="majorHAnsi" w:hAnsiTheme="majorHAnsi" w:cstheme="majorHAnsi"/>
          <w:lang w:val="en-US"/>
        </w:rPr>
        <w:t>. Performance of Divisions in SLR also showed improvements over the period of Program implementation (Table 16).</w:t>
      </w:r>
      <w:r w:rsidR="00D434EB">
        <w:rPr>
          <w:rFonts w:asciiTheme="majorHAnsi" w:hAnsiTheme="majorHAnsi" w:cstheme="majorHAnsi"/>
          <w:lang w:val="en-US"/>
        </w:rPr>
        <w:t xml:space="preserve"> </w:t>
      </w:r>
    </w:p>
    <w:p w14:paraId="42E9BB83" w14:textId="3BB9947A" w:rsidR="008D0CAD" w:rsidRPr="00931ED4" w:rsidRDefault="008D0CAD" w:rsidP="00796BFA">
      <w:pPr>
        <w:spacing w:before="100" w:beforeAutospacing="1" w:after="100" w:afterAutospacing="1" w:line="360" w:lineRule="auto"/>
        <w:rPr>
          <w:rFonts w:asciiTheme="majorHAnsi" w:hAnsiTheme="majorHAnsi" w:cstheme="majorHAnsi"/>
          <w:lang w:val="en-US"/>
        </w:rPr>
      </w:pPr>
      <w:r w:rsidRPr="00931ED4">
        <w:rPr>
          <w:rFonts w:asciiTheme="majorHAnsi" w:hAnsiTheme="majorHAnsi" w:cstheme="majorHAnsi"/>
          <w:lang w:val="en-US"/>
        </w:rPr>
        <w:t xml:space="preserve">In </w:t>
      </w:r>
      <w:r w:rsidRPr="00931ED4">
        <w:rPr>
          <w:rFonts w:asciiTheme="majorHAnsi" w:hAnsiTheme="majorHAnsi" w:cstheme="majorHAnsi"/>
          <w:bCs/>
          <w:lang w:val="en-US"/>
        </w:rPr>
        <w:t xml:space="preserve">SY2013-2014, only two Divisions were below the national SLR rate of 4.85 percent namely: Manila (13.38%); and </w:t>
      </w:r>
      <w:r w:rsidRPr="00931ED4">
        <w:rPr>
          <w:rFonts w:asciiTheme="majorHAnsi" w:hAnsiTheme="majorHAnsi" w:cstheme="majorHAnsi"/>
          <w:lang w:val="en-US"/>
        </w:rPr>
        <w:t>Paranaque City (5.55%) (Figure 29).</w:t>
      </w:r>
      <w:r w:rsidR="00D434EB">
        <w:rPr>
          <w:rFonts w:asciiTheme="majorHAnsi" w:hAnsiTheme="majorHAnsi" w:cstheme="majorHAnsi"/>
          <w:lang w:val="en-US"/>
        </w:rPr>
        <w:t xml:space="preserve"> </w:t>
      </w:r>
      <w:r w:rsidRPr="00931ED4">
        <w:rPr>
          <w:rFonts w:asciiTheme="majorHAnsi" w:hAnsiTheme="majorHAnsi" w:cstheme="majorHAnsi"/>
          <w:lang w:val="en-US"/>
        </w:rPr>
        <w:t>The</w:t>
      </w:r>
      <w:r w:rsidR="009C2893">
        <w:rPr>
          <w:rFonts w:asciiTheme="majorHAnsi" w:hAnsiTheme="majorHAnsi" w:cstheme="majorHAnsi"/>
          <w:lang w:val="en-US"/>
        </w:rPr>
        <w:t>Divisions</w:t>
      </w:r>
      <w:r w:rsidRPr="00931ED4">
        <w:rPr>
          <w:rFonts w:asciiTheme="majorHAnsi" w:hAnsiTheme="majorHAnsi" w:cstheme="majorHAnsi"/>
          <w:lang w:val="en-US"/>
        </w:rPr>
        <w:t xml:space="preserve"> with the best SLR posted during this school year was Las Piñas City (1.41%), Bohol (1.44%) and Iloilo (2.20%).</w:t>
      </w:r>
      <w:r w:rsidR="00D434EB">
        <w:rPr>
          <w:rFonts w:asciiTheme="majorHAnsi" w:hAnsiTheme="majorHAnsi" w:cstheme="majorHAnsi"/>
          <w:lang w:val="en-US"/>
        </w:rPr>
        <w:t xml:space="preserve"> </w:t>
      </w:r>
    </w:p>
    <w:p w14:paraId="1BCB5EE4" w14:textId="6E3BFFFD" w:rsidR="008D0CAD" w:rsidRPr="00931ED4" w:rsidRDefault="008D0CAD" w:rsidP="00796BFA">
      <w:pPr>
        <w:spacing w:before="100" w:beforeAutospacing="1" w:after="100" w:afterAutospacing="1" w:line="360" w:lineRule="auto"/>
        <w:rPr>
          <w:rFonts w:asciiTheme="majorHAnsi" w:hAnsiTheme="majorHAnsi" w:cstheme="majorHAnsi"/>
          <w:lang w:val="en-US"/>
        </w:rPr>
      </w:pPr>
      <w:r w:rsidRPr="00931ED4">
        <w:rPr>
          <w:rFonts w:asciiTheme="majorHAnsi" w:hAnsiTheme="majorHAnsi" w:cstheme="majorHAnsi"/>
          <w:lang w:val="en-US"/>
        </w:rPr>
        <w:t xml:space="preserve">By </w:t>
      </w:r>
      <w:r w:rsidRPr="00931ED4">
        <w:rPr>
          <w:rFonts w:asciiTheme="majorHAnsi" w:hAnsiTheme="majorHAnsi" w:cstheme="majorHAnsi"/>
          <w:bCs/>
          <w:lang w:val="en-US"/>
        </w:rPr>
        <w:t xml:space="preserve">SY2017-2018, the two Divisions below the national SLR rate of 1.56 percent were: Camarines Sur (1.82%); and </w:t>
      </w:r>
      <w:r w:rsidRPr="00931ED4">
        <w:rPr>
          <w:rFonts w:asciiTheme="majorHAnsi" w:hAnsiTheme="majorHAnsi" w:cstheme="majorHAnsi"/>
          <w:lang w:val="en-US"/>
        </w:rPr>
        <w:t>Misamis Oriental (1.64%) (Figure 30).</w:t>
      </w:r>
      <w:r w:rsidR="00D434EB">
        <w:rPr>
          <w:rFonts w:asciiTheme="majorHAnsi" w:hAnsiTheme="majorHAnsi" w:cstheme="majorHAnsi"/>
          <w:lang w:val="en-US"/>
        </w:rPr>
        <w:t xml:space="preserve"> </w:t>
      </w:r>
      <w:r w:rsidRPr="00931ED4">
        <w:rPr>
          <w:rFonts w:asciiTheme="majorHAnsi" w:hAnsiTheme="majorHAnsi" w:cstheme="majorHAnsi"/>
          <w:lang w:val="en-US"/>
        </w:rPr>
        <w:t>The best SLRs were posted by Quezon City (0%), Cagayan de Oro City (0.44%), and Paranaque City (0.52%).</w:t>
      </w:r>
    </w:p>
    <w:p w14:paraId="2F63C07D" w14:textId="255F7B36" w:rsidR="006418C1" w:rsidRDefault="008D0CAD" w:rsidP="00796BFA">
      <w:pPr>
        <w:spacing w:before="100" w:beforeAutospacing="1" w:after="100" w:afterAutospacing="1" w:line="360" w:lineRule="auto"/>
        <w:rPr>
          <w:rFonts w:asciiTheme="majorHAnsi" w:hAnsiTheme="majorHAnsi" w:cstheme="majorHAnsi"/>
          <w:lang w:val="en-US"/>
        </w:rPr>
      </w:pPr>
      <w:r w:rsidRPr="00931ED4">
        <w:rPr>
          <w:rFonts w:asciiTheme="majorHAnsi" w:hAnsiTheme="majorHAnsi" w:cstheme="majorHAnsi"/>
          <w:lang w:val="en-US"/>
        </w:rPr>
        <w:t xml:space="preserve">In terms of best practice, three Divisions from the National Capital Region showed the highest reductions in SLRs from baseline to endline namely: </w:t>
      </w:r>
      <w:r w:rsidRPr="00931ED4">
        <w:rPr>
          <w:rFonts w:asciiTheme="majorHAnsi" w:hAnsiTheme="majorHAnsi" w:cstheme="majorHAnsi"/>
          <w:bCs/>
          <w:lang w:val="en-US"/>
        </w:rPr>
        <w:t>Manila (12.52%), Paranaque City (5.03%), and Quezon City (3.12%) (Figure 31).</w:t>
      </w:r>
      <w:r w:rsidR="00D434EB">
        <w:rPr>
          <w:rFonts w:asciiTheme="majorHAnsi" w:hAnsiTheme="majorHAnsi" w:cstheme="majorHAnsi"/>
          <w:bCs/>
          <w:lang w:val="en-US"/>
        </w:rPr>
        <w:t xml:space="preserve"> </w:t>
      </w:r>
      <w:r w:rsidRPr="00931ED4">
        <w:rPr>
          <w:rFonts w:asciiTheme="majorHAnsi" w:hAnsiTheme="majorHAnsi" w:cstheme="majorHAnsi"/>
          <w:bCs/>
          <w:lang w:val="en-US"/>
        </w:rPr>
        <w:t>In contrast, Las Pinas City experienced an increase in SLR during the same period. The least reduction in SLR was posted by Bohol (0.66%).</w:t>
      </w:r>
      <w:bookmarkStart w:id="602" w:name="_Toc16524199"/>
      <w:bookmarkStart w:id="603" w:name="_Toc71616662"/>
      <w:r w:rsidR="00D434EB">
        <w:rPr>
          <w:rFonts w:asciiTheme="majorHAnsi" w:hAnsiTheme="majorHAnsi" w:cstheme="majorHAnsi"/>
          <w:bCs/>
          <w:lang w:val="en-US"/>
        </w:rPr>
        <w:t xml:space="preserve"> </w:t>
      </w:r>
    </w:p>
    <w:p w14:paraId="0DD4A015" w14:textId="34A4BFED" w:rsidR="008D0CAD" w:rsidRPr="006418C1" w:rsidRDefault="008D0CAD" w:rsidP="00796BFA">
      <w:pPr>
        <w:spacing w:before="100" w:beforeAutospacing="1" w:after="100" w:afterAutospacing="1" w:line="360" w:lineRule="auto"/>
        <w:rPr>
          <w:rFonts w:asciiTheme="majorHAnsi" w:hAnsiTheme="majorHAnsi" w:cstheme="majorHAnsi"/>
          <w:lang w:val="en-US"/>
        </w:rPr>
      </w:pPr>
      <w:r w:rsidRPr="00931ED4">
        <w:rPr>
          <w:rFonts w:asciiTheme="majorHAnsi" w:eastAsiaTheme="minorHAnsi" w:hAnsiTheme="majorHAnsi" w:cstheme="majorHAnsi"/>
          <w:i/>
          <w:iCs/>
          <w:color w:val="44546A" w:themeColor="text2"/>
          <w:sz w:val="22"/>
          <w:szCs w:val="22"/>
          <w:lang w:val="en-US"/>
        </w:rPr>
        <w:t xml:space="preserve">Table </w:t>
      </w:r>
      <w:r w:rsidRPr="00931ED4">
        <w:rPr>
          <w:rFonts w:asciiTheme="majorHAnsi" w:eastAsiaTheme="minorHAnsi" w:hAnsiTheme="majorHAnsi" w:cstheme="majorHAnsi"/>
          <w:i/>
          <w:iCs/>
          <w:color w:val="44546A" w:themeColor="text2"/>
          <w:sz w:val="22"/>
          <w:szCs w:val="22"/>
          <w:lang w:val="en-US"/>
        </w:rPr>
        <w:fldChar w:fldCharType="begin"/>
      </w:r>
      <w:r w:rsidRPr="00931ED4">
        <w:rPr>
          <w:rFonts w:asciiTheme="majorHAnsi" w:eastAsiaTheme="minorHAnsi" w:hAnsiTheme="majorHAnsi" w:cstheme="majorHAnsi"/>
          <w:i/>
          <w:iCs/>
          <w:color w:val="44546A" w:themeColor="text2"/>
          <w:sz w:val="22"/>
          <w:szCs w:val="22"/>
          <w:lang w:val="en-US"/>
        </w:rPr>
        <w:instrText xml:space="preserve"> SEQ Table \* ARABIC </w:instrText>
      </w:r>
      <w:r w:rsidRPr="00931ED4">
        <w:rPr>
          <w:rFonts w:asciiTheme="majorHAnsi" w:eastAsiaTheme="minorHAnsi" w:hAnsiTheme="majorHAnsi" w:cstheme="majorHAnsi"/>
          <w:i/>
          <w:iCs/>
          <w:color w:val="44546A" w:themeColor="text2"/>
          <w:sz w:val="22"/>
          <w:szCs w:val="22"/>
          <w:lang w:val="en-US"/>
        </w:rPr>
        <w:fldChar w:fldCharType="separate"/>
      </w:r>
      <w:r w:rsidR="00D6133D">
        <w:rPr>
          <w:rFonts w:asciiTheme="majorHAnsi" w:eastAsiaTheme="minorHAnsi" w:hAnsiTheme="majorHAnsi" w:cstheme="majorHAnsi"/>
          <w:i/>
          <w:iCs/>
          <w:noProof/>
          <w:color w:val="44546A" w:themeColor="text2"/>
          <w:sz w:val="22"/>
          <w:szCs w:val="22"/>
          <w:lang w:val="en-US"/>
        </w:rPr>
        <w:t>71</w:t>
      </w:r>
      <w:r w:rsidRPr="00931ED4">
        <w:rPr>
          <w:rFonts w:asciiTheme="majorHAnsi" w:eastAsiaTheme="minorHAnsi" w:hAnsiTheme="majorHAnsi" w:cstheme="majorHAnsi"/>
          <w:i/>
          <w:iCs/>
          <w:color w:val="44546A" w:themeColor="text2"/>
          <w:sz w:val="22"/>
          <w:szCs w:val="22"/>
          <w:lang w:val="en-US"/>
        </w:rPr>
        <w:fldChar w:fldCharType="end"/>
      </w:r>
      <w:r w:rsidRPr="00931ED4">
        <w:rPr>
          <w:rFonts w:asciiTheme="majorHAnsi" w:eastAsiaTheme="minorHAnsi" w:hAnsiTheme="majorHAnsi" w:cstheme="majorHAnsi"/>
          <w:i/>
          <w:iCs/>
          <w:color w:val="44546A" w:themeColor="text2"/>
          <w:sz w:val="22"/>
          <w:szCs w:val="22"/>
          <w:lang w:val="en-US"/>
        </w:rPr>
        <w:t xml:space="preserve">. </w:t>
      </w:r>
      <w:r w:rsidRPr="00931ED4">
        <w:rPr>
          <w:rFonts w:asciiTheme="majorHAnsi" w:eastAsiaTheme="minorHAnsi" w:hAnsiTheme="majorHAnsi" w:cstheme="majorHAnsi"/>
          <w:bCs/>
          <w:i/>
          <w:iCs/>
          <w:color w:val="44546A" w:themeColor="text2"/>
          <w:sz w:val="22"/>
          <w:szCs w:val="22"/>
          <w:lang w:val="en-US"/>
        </w:rPr>
        <w:t>Elementary School Leaver Rate by Divisions, SY2013-2014 to SY2017-18</w:t>
      </w:r>
      <w:bookmarkEnd w:id="602"/>
      <w:bookmarkEnd w:id="603"/>
    </w:p>
    <w:tbl>
      <w:tblPr>
        <w:tblStyle w:val="TableGrid11"/>
        <w:tblW w:w="9420" w:type="dxa"/>
        <w:tblLook w:val="04A0" w:firstRow="1" w:lastRow="0" w:firstColumn="1" w:lastColumn="0" w:noHBand="0" w:noVBand="1"/>
      </w:tblPr>
      <w:tblGrid>
        <w:gridCol w:w="2604"/>
        <w:gridCol w:w="1446"/>
        <w:gridCol w:w="1350"/>
        <w:gridCol w:w="1260"/>
        <w:gridCol w:w="1490"/>
        <w:gridCol w:w="1270"/>
      </w:tblGrid>
      <w:tr w:rsidR="008D0CAD" w:rsidRPr="00931ED4" w14:paraId="77DC1963" w14:textId="77777777" w:rsidTr="00F4751F">
        <w:trPr>
          <w:trHeight w:val="216"/>
          <w:tblHeader/>
        </w:trPr>
        <w:tc>
          <w:tcPr>
            <w:tcW w:w="2604" w:type="dxa"/>
            <w:noWrap/>
            <w:hideMark/>
          </w:tcPr>
          <w:p w14:paraId="310E0086"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 </w:t>
            </w:r>
          </w:p>
        </w:tc>
        <w:tc>
          <w:tcPr>
            <w:tcW w:w="1446" w:type="dxa"/>
            <w:noWrap/>
            <w:hideMark/>
          </w:tcPr>
          <w:p w14:paraId="0136E5AE" w14:textId="77777777" w:rsidR="008D0CAD" w:rsidRPr="00931ED4" w:rsidRDefault="008D0CAD" w:rsidP="00796BFA">
            <w:pPr>
              <w:spacing w:before="100" w:beforeAutospacing="1" w:after="100" w:afterAutospacing="1" w:line="360" w:lineRule="auto"/>
              <w:rPr>
                <w:rFonts w:ascii="Arial" w:hAnsi="Arial" w:cs="Arial"/>
                <w:b/>
                <w:bCs/>
                <w:sz w:val="16"/>
                <w:szCs w:val="16"/>
                <w:lang w:val="en-US"/>
              </w:rPr>
            </w:pPr>
            <w:r w:rsidRPr="00931ED4">
              <w:rPr>
                <w:rFonts w:ascii="Arial" w:hAnsi="Arial" w:cs="Arial"/>
                <w:b/>
                <w:bCs/>
                <w:sz w:val="16"/>
                <w:szCs w:val="16"/>
                <w:lang w:val="en-US"/>
              </w:rPr>
              <w:t>SY 2013-2014</w:t>
            </w:r>
          </w:p>
        </w:tc>
        <w:tc>
          <w:tcPr>
            <w:tcW w:w="1350" w:type="dxa"/>
            <w:noWrap/>
            <w:hideMark/>
          </w:tcPr>
          <w:p w14:paraId="32160540" w14:textId="77777777" w:rsidR="008D0CAD" w:rsidRPr="00931ED4" w:rsidRDefault="008D0CAD" w:rsidP="00796BFA">
            <w:pPr>
              <w:spacing w:before="100" w:beforeAutospacing="1" w:after="100" w:afterAutospacing="1" w:line="360" w:lineRule="auto"/>
              <w:rPr>
                <w:rFonts w:ascii="Arial" w:hAnsi="Arial" w:cs="Arial"/>
                <w:b/>
                <w:bCs/>
                <w:sz w:val="16"/>
                <w:szCs w:val="16"/>
                <w:lang w:val="en-US"/>
              </w:rPr>
            </w:pPr>
            <w:r w:rsidRPr="00931ED4">
              <w:rPr>
                <w:rFonts w:ascii="Arial" w:hAnsi="Arial" w:cs="Arial"/>
                <w:b/>
                <w:bCs/>
                <w:sz w:val="16"/>
                <w:szCs w:val="16"/>
                <w:lang w:val="en-US"/>
              </w:rPr>
              <w:t>SY 2014-2015</w:t>
            </w:r>
          </w:p>
        </w:tc>
        <w:tc>
          <w:tcPr>
            <w:tcW w:w="1260" w:type="dxa"/>
            <w:noWrap/>
            <w:hideMark/>
          </w:tcPr>
          <w:p w14:paraId="11D43535" w14:textId="77777777" w:rsidR="008D0CAD" w:rsidRPr="00931ED4" w:rsidRDefault="008D0CAD" w:rsidP="00796BFA">
            <w:pPr>
              <w:spacing w:before="100" w:beforeAutospacing="1" w:after="100" w:afterAutospacing="1" w:line="360" w:lineRule="auto"/>
              <w:rPr>
                <w:rFonts w:ascii="Arial" w:hAnsi="Arial" w:cs="Arial"/>
                <w:b/>
                <w:bCs/>
                <w:sz w:val="16"/>
                <w:szCs w:val="16"/>
                <w:lang w:val="en-US"/>
              </w:rPr>
            </w:pPr>
            <w:r w:rsidRPr="00931ED4">
              <w:rPr>
                <w:rFonts w:ascii="Arial" w:hAnsi="Arial" w:cs="Arial"/>
                <w:b/>
                <w:bCs/>
                <w:sz w:val="16"/>
                <w:szCs w:val="16"/>
                <w:lang w:val="en-US"/>
              </w:rPr>
              <w:t>SY 2015-2016</w:t>
            </w:r>
          </w:p>
        </w:tc>
        <w:tc>
          <w:tcPr>
            <w:tcW w:w="1490" w:type="dxa"/>
            <w:noWrap/>
            <w:hideMark/>
          </w:tcPr>
          <w:p w14:paraId="1509DFC7" w14:textId="77777777" w:rsidR="008D0CAD" w:rsidRPr="00931ED4" w:rsidRDefault="008D0CAD" w:rsidP="00796BFA">
            <w:pPr>
              <w:spacing w:before="100" w:beforeAutospacing="1" w:after="100" w:afterAutospacing="1" w:line="360" w:lineRule="auto"/>
              <w:rPr>
                <w:rFonts w:ascii="Arial" w:hAnsi="Arial" w:cs="Arial"/>
                <w:b/>
                <w:bCs/>
                <w:sz w:val="16"/>
                <w:szCs w:val="16"/>
                <w:lang w:val="en-US"/>
              </w:rPr>
            </w:pPr>
            <w:r w:rsidRPr="00931ED4">
              <w:rPr>
                <w:rFonts w:ascii="Arial" w:hAnsi="Arial" w:cs="Arial"/>
                <w:b/>
                <w:bCs/>
                <w:sz w:val="16"/>
                <w:szCs w:val="16"/>
                <w:lang w:val="en-US"/>
              </w:rPr>
              <w:t>SY 2016-2017</w:t>
            </w:r>
          </w:p>
        </w:tc>
        <w:tc>
          <w:tcPr>
            <w:tcW w:w="1270" w:type="dxa"/>
            <w:noWrap/>
            <w:hideMark/>
          </w:tcPr>
          <w:p w14:paraId="36DA82E3" w14:textId="77777777" w:rsidR="008D0CAD" w:rsidRPr="00931ED4" w:rsidRDefault="008D0CAD" w:rsidP="00796BFA">
            <w:pPr>
              <w:spacing w:before="100" w:beforeAutospacing="1" w:after="100" w:afterAutospacing="1" w:line="360" w:lineRule="auto"/>
              <w:rPr>
                <w:rFonts w:ascii="Arial" w:hAnsi="Arial" w:cs="Arial"/>
                <w:b/>
                <w:bCs/>
                <w:sz w:val="16"/>
                <w:szCs w:val="16"/>
                <w:lang w:val="en-US"/>
              </w:rPr>
            </w:pPr>
            <w:r w:rsidRPr="00931ED4">
              <w:rPr>
                <w:rFonts w:ascii="Arial" w:hAnsi="Arial" w:cs="Arial"/>
                <w:b/>
                <w:bCs/>
                <w:sz w:val="16"/>
                <w:szCs w:val="16"/>
                <w:lang w:val="en-US"/>
              </w:rPr>
              <w:t>SY 2017-2018</w:t>
            </w:r>
          </w:p>
        </w:tc>
      </w:tr>
      <w:tr w:rsidR="008D0CAD" w:rsidRPr="00931ED4" w14:paraId="1323AEEE" w14:textId="77777777" w:rsidTr="008041F1">
        <w:trPr>
          <w:trHeight w:val="216"/>
        </w:trPr>
        <w:tc>
          <w:tcPr>
            <w:tcW w:w="2604" w:type="dxa"/>
            <w:noWrap/>
            <w:hideMark/>
          </w:tcPr>
          <w:p w14:paraId="51C6E818"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Region V - Bicol Region</w:t>
            </w:r>
          </w:p>
        </w:tc>
        <w:tc>
          <w:tcPr>
            <w:tcW w:w="1446" w:type="dxa"/>
            <w:noWrap/>
            <w:hideMark/>
          </w:tcPr>
          <w:p w14:paraId="56C2C7BE"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3.19%</w:t>
            </w:r>
          </w:p>
        </w:tc>
        <w:tc>
          <w:tcPr>
            <w:tcW w:w="1350" w:type="dxa"/>
            <w:noWrap/>
            <w:hideMark/>
          </w:tcPr>
          <w:p w14:paraId="0975BADD"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0.00%</w:t>
            </w:r>
          </w:p>
        </w:tc>
        <w:tc>
          <w:tcPr>
            <w:tcW w:w="1260" w:type="dxa"/>
            <w:noWrap/>
            <w:hideMark/>
          </w:tcPr>
          <w:p w14:paraId="048E66E9"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2.54%</w:t>
            </w:r>
          </w:p>
        </w:tc>
        <w:tc>
          <w:tcPr>
            <w:tcW w:w="1490" w:type="dxa"/>
            <w:noWrap/>
            <w:hideMark/>
          </w:tcPr>
          <w:p w14:paraId="660EBC14"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1.40%</w:t>
            </w:r>
          </w:p>
        </w:tc>
        <w:tc>
          <w:tcPr>
            <w:tcW w:w="1270" w:type="dxa"/>
            <w:noWrap/>
            <w:hideMark/>
          </w:tcPr>
          <w:p w14:paraId="5E523763"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1.62%</w:t>
            </w:r>
          </w:p>
        </w:tc>
      </w:tr>
      <w:tr w:rsidR="008D0CAD" w:rsidRPr="00931ED4" w14:paraId="72F0E912" w14:textId="77777777" w:rsidTr="008041F1">
        <w:trPr>
          <w:trHeight w:val="216"/>
        </w:trPr>
        <w:tc>
          <w:tcPr>
            <w:tcW w:w="2604" w:type="dxa"/>
            <w:noWrap/>
            <w:hideMark/>
          </w:tcPr>
          <w:p w14:paraId="5AFA8B65"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Camarines Sur</w:t>
            </w:r>
          </w:p>
        </w:tc>
        <w:tc>
          <w:tcPr>
            <w:tcW w:w="1446" w:type="dxa"/>
            <w:noWrap/>
            <w:hideMark/>
          </w:tcPr>
          <w:p w14:paraId="58C27E9A"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3.19%</w:t>
            </w:r>
          </w:p>
        </w:tc>
        <w:tc>
          <w:tcPr>
            <w:tcW w:w="1350" w:type="dxa"/>
            <w:noWrap/>
            <w:hideMark/>
          </w:tcPr>
          <w:p w14:paraId="387FBCC7"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1.89%</w:t>
            </w:r>
          </w:p>
        </w:tc>
        <w:tc>
          <w:tcPr>
            <w:tcW w:w="1260" w:type="dxa"/>
            <w:noWrap/>
            <w:hideMark/>
          </w:tcPr>
          <w:p w14:paraId="1779E82D" w14:textId="77777777" w:rsidR="008D0CAD" w:rsidRPr="00931ED4" w:rsidRDefault="008D0CAD" w:rsidP="00796BFA">
            <w:pPr>
              <w:spacing w:before="100" w:beforeAutospacing="1" w:after="100" w:afterAutospacing="1" w:line="360" w:lineRule="auto"/>
              <w:rPr>
                <w:rFonts w:ascii="Arial" w:hAnsi="Arial" w:cs="Arial"/>
                <w:b/>
                <w:sz w:val="16"/>
                <w:szCs w:val="16"/>
                <w:lang w:val="en-US"/>
              </w:rPr>
            </w:pPr>
            <w:r w:rsidRPr="00931ED4">
              <w:rPr>
                <w:rFonts w:ascii="Arial" w:hAnsi="Arial" w:cs="Arial"/>
                <w:b/>
                <w:sz w:val="16"/>
                <w:szCs w:val="16"/>
                <w:lang w:val="en-US"/>
              </w:rPr>
              <w:t>3.57%</w:t>
            </w:r>
          </w:p>
        </w:tc>
        <w:tc>
          <w:tcPr>
            <w:tcW w:w="1490" w:type="dxa"/>
            <w:noWrap/>
            <w:hideMark/>
          </w:tcPr>
          <w:p w14:paraId="3ACCBD92"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0.81%</w:t>
            </w:r>
          </w:p>
        </w:tc>
        <w:tc>
          <w:tcPr>
            <w:tcW w:w="1270" w:type="dxa"/>
            <w:noWrap/>
            <w:hideMark/>
          </w:tcPr>
          <w:p w14:paraId="5B915EDB" w14:textId="77777777" w:rsidR="008D0CAD" w:rsidRPr="00931ED4" w:rsidRDefault="008D0CAD" w:rsidP="00796BFA">
            <w:pPr>
              <w:spacing w:before="100" w:beforeAutospacing="1" w:after="100" w:afterAutospacing="1" w:line="360" w:lineRule="auto"/>
              <w:rPr>
                <w:rFonts w:ascii="Arial" w:hAnsi="Arial" w:cs="Arial"/>
                <w:b/>
                <w:sz w:val="16"/>
                <w:szCs w:val="16"/>
                <w:lang w:val="en-US"/>
              </w:rPr>
            </w:pPr>
            <w:r w:rsidRPr="00931ED4">
              <w:rPr>
                <w:rFonts w:ascii="Arial" w:hAnsi="Arial" w:cs="Arial"/>
                <w:b/>
                <w:sz w:val="16"/>
                <w:szCs w:val="16"/>
                <w:lang w:val="en-US"/>
              </w:rPr>
              <w:t>1.82%</w:t>
            </w:r>
          </w:p>
        </w:tc>
      </w:tr>
      <w:tr w:rsidR="008D0CAD" w:rsidRPr="00931ED4" w14:paraId="5975CE49" w14:textId="77777777" w:rsidTr="008041F1">
        <w:trPr>
          <w:trHeight w:val="216"/>
        </w:trPr>
        <w:tc>
          <w:tcPr>
            <w:tcW w:w="2604" w:type="dxa"/>
            <w:noWrap/>
            <w:hideMark/>
          </w:tcPr>
          <w:p w14:paraId="1F2A5EDD"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Sorsogon</w:t>
            </w:r>
          </w:p>
        </w:tc>
        <w:tc>
          <w:tcPr>
            <w:tcW w:w="1446" w:type="dxa"/>
            <w:noWrap/>
            <w:hideMark/>
          </w:tcPr>
          <w:p w14:paraId="3785F98F"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2.79%</w:t>
            </w:r>
          </w:p>
        </w:tc>
        <w:tc>
          <w:tcPr>
            <w:tcW w:w="1350" w:type="dxa"/>
            <w:noWrap/>
            <w:hideMark/>
          </w:tcPr>
          <w:p w14:paraId="29C3C269"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2.96%</w:t>
            </w:r>
          </w:p>
        </w:tc>
        <w:tc>
          <w:tcPr>
            <w:tcW w:w="1260" w:type="dxa"/>
            <w:noWrap/>
            <w:hideMark/>
          </w:tcPr>
          <w:p w14:paraId="5605F95B"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2.29%</w:t>
            </w:r>
          </w:p>
        </w:tc>
        <w:tc>
          <w:tcPr>
            <w:tcW w:w="1490" w:type="dxa"/>
            <w:noWrap/>
            <w:hideMark/>
          </w:tcPr>
          <w:p w14:paraId="3E3BEF47"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1.52%</w:t>
            </w:r>
          </w:p>
        </w:tc>
        <w:tc>
          <w:tcPr>
            <w:tcW w:w="1270" w:type="dxa"/>
            <w:noWrap/>
            <w:hideMark/>
          </w:tcPr>
          <w:p w14:paraId="1C573AC1"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1.43%</w:t>
            </w:r>
          </w:p>
        </w:tc>
      </w:tr>
      <w:tr w:rsidR="008D0CAD" w:rsidRPr="00931ED4" w14:paraId="25E5E146" w14:textId="77777777" w:rsidTr="008041F1">
        <w:trPr>
          <w:trHeight w:val="216"/>
        </w:trPr>
        <w:tc>
          <w:tcPr>
            <w:tcW w:w="2604" w:type="dxa"/>
            <w:noWrap/>
            <w:hideMark/>
          </w:tcPr>
          <w:p w14:paraId="1777AE00"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Region VI - Western Visayas</w:t>
            </w:r>
          </w:p>
        </w:tc>
        <w:tc>
          <w:tcPr>
            <w:tcW w:w="1446" w:type="dxa"/>
            <w:noWrap/>
            <w:hideMark/>
          </w:tcPr>
          <w:p w14:paraId="655AE38E"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2.91%</w:t>
            </w:r>
          </w:p>
        </w:tc>
        <w:tc>
          <w:tcPr>
            <w:tcW w:w="1350" w:type="dxa"/>
            <w:noWrap/>
            <w:hideMark/>
          </w:tcPr>
          <w:p w14:paraId="6AD8A935"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0.00%</w:t>
            </w:r>
          </w:p>
        </w:tc>
        <w:tc>
          <w:tcPr>
            <w:tcW w:w="1260" w:type="dxa"/>
            <w:noWrap/>
            <w:hideMark/>
          </w:tcPr>
          <w:p w14:paraId="14E0424E"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1.76%</w:t>
            </w:r>
          </w:p>
        </w:tc>
        <w:tc>
          <w:tcPr>
            <w:tcW w:w="1490" w:type="dxa"/>
            <w:noWrap/>
            <w:hideMark/>
          </w:tcPr>
          <w:p w14:paraId="7A5C5B1C"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1.19%</w:t>
            </w:r>
          </w:p>
        </w:tc>
        <w:tc>
          <w:tcPr>
            <w:tcW w:w="1270" w:type="dxa"/>
            <w:noWrap/>
            <w:hideMark/>
          </w:tcPr>
          <w:p w14:paraId="44204AE4"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1.25%</w:t>
            </w:r>
          </w:p>
        </w:tc>
      </w:tr>
      <w:tr w:rsidR="008D0CAD" w:rsidRPr="00931ED4" w14:paraId="0AB31358" w14:textId="77777777" w:rsidTr="008041F1">
        <w:trPr>
          <w:trHeight w:val="216"/>
        </w:trPr>
        <w:tc>
          <w:tcPr>
            <w:tcW w:w="2604" w:type="dxa"/>
            <w:noWrap/>
            <w:hideMark/>
          </w:tcPr>
          <w:p w14:paraId="7F00091A"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Antique</w:t>
            </w:r>
          </w:p>
        </w:tc>
        <w:tc>
          <w:tcPr>
            <w:tcW w:w="1446" w:type="dxa"/>
            <w:noWrap/>
            <w:hideMark/>
          </w:tcPr>
          <w:p w14:paraId="3F6A2002"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2.99%</w:t>
            </w:r>
          </w:p>
        </w:tc>
        <w:tc>
          <w:tcPr>
            <w:tcW w:w="1350" w:type="dxa"/>
            <w:noWrap/>
            <w:hideMark/>
          </w:tcPr>
          <w:p w14:paraId="655AC66A"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2.46%</w:t>
            </w:r>
          </w:p>
        </w:tc>
        <w:tc>
          <w:tcPr>
            <w:tcW w:w="1260" w:type="dxa"/>
            <w:noWrap/>
            <w:hideMark/>
          </w:tcPr>
          <w:p w14:paraId="667ABA9B"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2.00%</w:t>
            </w:r>
          </w:p>
        </w:tc>
        <w:tc>
          <w:tcPr>
            <w:tcW w:w="1490" w:type="dxa"/>
            <w:noWrap/>
            <w:hideMark/>
          </w:tcPr>
          <w:p w14:paraId="0D55ADF2"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0.49%</w:t>
            </w:r>
          </w:p>
        </w:tc>
        <w:tc>
          <w:tcPr>
            <w:tcW w:w="1270" w:type="dxa"/>
            <w:noWrap/>
            <w:hideMark/>
          </w:tcPr>
          <w:p w14:paraId="2AFEC407"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0.73%</w:t>
            </w:r>
          </w:p>
        </w:tc>
      </w:tr>
      <w:tr w:rsidR="008D0CAD" w:rsidRPr="00931ED4" w14:paraId="530416AC" w14:textId="77777777" w:rsidTr="008041F1">
        <w:trPr>
          <w:trHeight w:val="216"/>
        </w:trPr>
        <w:tc>
          <w:tcPr>
            <w:tcW w:w="2604" w:type="dxa"/>
            <w:noWrap/>
            <w:hideMark/>
          </w:tcPr>
          <w:p w14:paraId="12F9BF6F"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Iloilo</w:t>
            </w:r>
          </w:p>
        </w:tc>
        <w:tc>
          <w:tcPr>
            <w:tcW w:w="1446" w:type="dxa"/>
            <w:noWrap/>
            <w:hideMark/>
          </w:tcPr>
          <w:p w14:paraId="1231BC1A"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2.20%</w:t>
            </w:r>
          </w:p>
        </w:tc>
        <w:tc>
          <w:tcPr>
            <w:tcW w:w="1350" w:type="dxa"/>
            <w:noWrap/>
            <w:hideMark/>
          </w:tcPr>
          <w:p w14:paraId="1909DC75"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1.00%</w:t>
            </w:r>
          </w:p>
        </w:tc>
        <w:tc>
          <w:tcPr>
            <w:tcW w:w="1260" w:type="dxa"/>
            <w:noWrap/>
            <w:hideMark/>
          </w:tcPr>
          <w:p w14:paraId="2A5B3206"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1.00%</w:t>
            </w:r>
          </w:p>
        </w:tc>
        <w:tc>
          <w:tcPr>
            <w:tcW w:w="1490" w:type="dxa"/>
            <w:noWrap/>
            <w:hideMark/>
          </w:tcPr>
          <w:p w14:paraId="079AC888"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0.62%</w:t>
            </w:r>
          </w:p>
        </w:tc>
        <w:tc>
          <w:tcPr>
            <w:tcW w:w="1270" w:type="dxa"/>
            <w:noWrap/>
            <w:hideMark/>
          </w:tcPr>
          <w:p w14:paraId="580BAD4C"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0.88%</w:t>
            </w:r>
          </w:p>
        </w:tc>
      </w:tr>
      <w:tr w:rsidR="008D0CAD" w:rsidRPr="00931ED4" w14:paraId="71E5687A" w14:textId="77777777" w:rsidTr="008041F1">
        <w:trPr>
          <w:trHeight w:val="216"/>
        </w:trPr>
        <w:tc>
          <w:tcPr>
            <w:tcW w:w="2604" w:type="dxa"/>
            <w:noWrap/>
            <w:hideMark/>
          </w:tcPr>
          <w:p w14:paraId="5EE6AB0F"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Region VII - Central Visayas</w:t>
            </w:r>
          </w:p>
        </w:tc>
        <w:tc>
          <w:tcPr>
            <w:tcW w:w="1446" w:type="dxa"/>
            <w:noWrap/>
            <w:hideMark/>
          </w:tcPr>
          <w:p w14:paraId="523D51D7"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2.88%</w:t>
            </w:r>
          </w:p>
        </w:tc>
        <w:tc>
          <w:tcPr>
            <w:tcW w:w="1350" w:type="dxa"/>
            <w:noWrap/>
            <w:hideMark/>
          </w:tcPr>
          <w:p w14:paraId="15797475"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0.00%</w:t>
            </w:r>
          </w:p>
        </w:tc>
        <w:tc>
          <w:tcPr>
            <w:tcW w:w="1260" w:type="dxa"/>
            <w:noWrap/>
            <w:hideMark/>
          </w:tcPr>
          <w:p w14:paraId="6F756DB0"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1.85%</w:t>
            </w:r>
          </w:p>
        </w:tc>
        <w:tc>
          <w:tcPr>
            <w:tcW w:w="1490" w:type="dxa"/>
            <w:noWrap/>
            <w:hideMark/>
          </w:tcPr>
          <w:p w14:paraId="06FDFA31"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1.22%</w:t>
            </w:r>
          </w:p>
        </w:tc>
        <w:tc>
          <w:tcPr>
            <w:tcW w:w="1270" w:type="dxa"/>
            <w:noWrap/>
            <w:hideMark/>
          </w:tcPr>
          <w:p w14:paraId="5873EA03"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1.52%</w:t>
            </w:r>
          </w:p>
        </w:tc>
      </w:tr>
      <w:tr w:rsidR="008D0CAD" w:rsidRPr="00931ED4" w14:paraId="54FB5305" w14:textId="77777777" w:rsidTr="008041F1">
        <w:trPr>
          <w:trHeight w:val="216"/>
        </w:trPr>
        <w:tc>
          <w:tcPr>
            <w:tcW w:w="2604" w:type="dxa"/>
            <w:noWrap/>
            <w:hideMark/>
          </w:tcPr>
          <w:p w14:paraId="08E60609"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Bohol</w:t>
            </w:r>
          </w:p>
        </w:tc>
        <w:tc>
          <w:tcPr>
            <w:tcW w:w="1446" w:type="dxa"/>
            <w:noWrap/>
            <w:hideMark/>
          </w:tcPr>
          <w:p w14:paraId="7B824887"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1.44%</w:t>
            </w:r>
          </w:p>
        </w:tc>
        <w:tc>
          <w:tcPr>
            <w:tcW w:w="1350" w:type="dxa"/>
            <w:noWrap/>
            <w:hideMark/>
          </w:tcPr>
          <w:p w14:paraId="50256B43"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2.05%</w:t>
            </w:r>
          </w:p>
        </w:tc>
        <w:tc>
          <w:tcPr>
            <w:tcW w:w="1260" w:type="dxa"/>
            <w:noWrap/>
            <w:hideMark/>
          </w:tcPr>
          <w:p w14:paraId="4690CBDF"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0.97%</w:t>
            </w:r>
          </w:p>
        </w:tc>
        <w:tc>
          <w:tcPr>
            <w:tcW w:w="1490" w:type="dxa"/>
            <w:noWrap/>
            <w:hideMark/>
          </w:tcPr>
          <w:p w14:paraId="3BE9FE62"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0.31%</w:t>
            </w:r>
          </w:p>
        </w:tc>
        <w:tc>
          <w:tcPr>
            <w:tcW w:w="1270" w:type="dxa"/>
            <w:noWrap/>
            <w:hideMark/>
          </w:tcPr>
          <w:p w14:paraId="1AD0BD4F"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0.78%</w:t>
            </w:r>
          </w:p>
        </w:tc>
      </w:tr>
      <w:tr w:rsidR="008D0CAD" w:rsidRPr="00931ED4" w14:paraId="434ECFCA" w14:textId="77777777" w:rsidTr="008041F1">
        <w:trPr>
          <w:trHeight w:val="216"/>
        </w:trPr>
        <w:tc>
          <w:tcPr>
            <w:tcW w:w="2604" w:type="dxa"/>
            <w:noWrap/>
            <w:hideMark/>
          </w:tcPr>
          <w:p w14:paraId="48ACC00E"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Cebu</w:t>
            </w:r>
          </w:p>
        </w:tc>
        <w:tc>
          <w:tcPr>
            <w:tcW w:w="1446" w:type="dxa"/>
            <w:noWrap/>
            <w:hideMark/>
          </w:tcPr>
          <w:p w14:paraId="2650BFBD"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2.60%</w:t>
            </w:r>
          </w:p>
        </w:tc>
        <w:tc>
          <w:tcPr>
            <w:tcW w:w="1350" w:type="dxa"/>
            <w:noWrap/>
            <w:hideMark/>
          </w:tcPr>
          <w:p w14:paraId="02D889A9" w14:textId="77777777" w:rsidR="008D0CAD" w:rsidRPr="00931ED4" w:rsidRDefault="008D0CAD" w:rsidP="00796BFA">
            <w:pPr>
              <w:spacing w:before="100" w:beforeAutospacing="1" w:after="100" w:afterAutospacing="1" w:line="360" w:lineRule="auto"/>
              <w:rPr>
                <w:rFonts w:ascii="Arial" w:hAnsi="Arial" w:cs="Arial"/>
                <w:b/>
                <w:sz w:val="16"/>
                <w:szCs w:val="16"/>
                <w:lang w:val="en-US"/>
              </w:rPr>
            </w:pPr>
            <w:r w:rsidRPr="00931ED4">
              <w:rPr>
                <w:rFonts w:ascii="Arial" w:hAnsi="Arial" w:cs="Arial"/>
                <w:b/>
                <w:sz w:val="16"/>
                <w:szCs w:val="16"/>
                <w:lang w:val="en-US"/>
              </w:rPr>
              <w:t>3.83%</w:t>
            </w:r>
          </w:p>
        </w:tc>
        <w:tc>
          <w:tcPr>
            <w:tcW w:w="1260" w:type="dxa"/>
            <w:noWrap/>
            <w:hideMark/>
          </w:tcPr>
          <w:p w14:paraId="4825BD42"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2.50%</w:t>
            </w:r>
          </w:p>
        </w:tc>
        <w:tc>
          <w:tcPr>
            <w:tcW w:w="1490" w:type="dxa"/>
            <w:noWrap/>
            <w:hideMark/>
          </w:tcPr>
          <w:p w14:paraId="6ADA74E7"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0.26%</w:t>
            </w:r>
          </w:p>
        </w:tc>
        <w:tc>
          <w:tcPr>
            <w:tcW w:w="1270" w:type="dxa"/>
            <w:noWrap/>
            <w:hideMark/>
          </w:tcPr>
          <w:p w14:paraId="59C3B049"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1.14%</w:t>
            </w:r>
          </w:p>
        </w:tc>
      </w:tr>
      <w:tr w:rsidR="008D0CAD" w:rsidRPr="00931ED4" w14:paraId="706B0AF5" w14:textId="77777777" w:rsidTr="008041F1">
        <w:trPr>
          <w:trHeight w:val="216"/>
        </w:trPr>
        <w:tc>
          <w:tcPr>
            <w:tcW w:w="2604" w:type="dxa"/>
            <w:noWrap/>
            <w:hideMark/>
          </w:tcPr>
          <w:p w14:paraId="4186481B"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Region VIII - Eastern Visayas</w:t>
            </w:r>
          </w:p>
        </w:tc>
        <w:tc>
          <w:tcPr>
            <w:tcW w:w="1446" w:type="dxa"/>
            <w:noWrap/>
            <w:hideMark/>
          </w:tcPr>
          <w:p w14:paraId="578917D6"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4.00%</w:t>
            </w:r>
          </w:p>
        </w:tc>
        <w:tc>
          <w:tcPr>
            <w:tcW w:w="1350" w:type="dxa"/>
            <w:noWrap/>
            <w:hideMark/>
          </w:tcPr>
          <w:p w14:paraId="41645963"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0.00%</w:t>
            </w:r>
          </w:p>
        </w:tc>
        <w:tc>
          <w:tcPr>
            <w:tcW w:w="1260" w:type="dxa"/>
            <w:noWrap/>
            <w:hideMark/>
          </w:tcPr>
          <w:p w14:paraId="41C61357"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2.01%</w:t>
            </w:r>
          </w:p>
        </w:tc>
        <w:tc>
          <w:tcPr>
            <w:tcW w:w="1490" w:type="dxa"/>
            <w:noWrap/>
            <w:hideMark/>
          </w:tcPr>
          <w:p w14:paraId="66E0CB6B"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1.35%</w:t>
            </w:r>
          </w:p>
        </w:tc>
        <w:tc>
          <w:tcPr>
            <w:tcW w:w="1270" w:type="dxa"/>
            <w:noWrap/>
            <w:hideMark/>
          </w:tcPr>
          <w:p w14:paraId="58E8A767"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1.46%</w:t>
            </w:r>
          </w:p>
        </w:tc>
      </w:tr>
      <w:tr w:rsidR="008D0CAD" w:rsidRPr="00931ED4" w14:paraId="670A8380" w14:textId="77777777" w:rsidTr="008041F1">
        <w:trPr>
          <w:trHeight w:val="216"/>
        </w:trPr>
        <w:tc>
          <w:tcPr>
            <w:tcW w:w="2604" w:type="dxa"/>
            <w:noWrap/>
            <w:hideMark/>
          </w:tcPr>
          <w:p w14:paraId="55905276"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Eastern Samar</w:t>
            </w:r>
          </w:p>
        </w:tc>
        <w:tc>
          <w:tcPr>
            <w:tcW w:w="1446" w:type="dxa"/>
            <w:noWrap/>
            <w:hideMark/>
          </w:tcPr>
          <w:p w14:paraId="1CB863A4"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2.62%</w:t>
            </w:r>
          </w:p>
        </w:tc>
        <w:tc>
          <w:tcPr>
            <w:tcW w:w="1350" w:type="dxa"/>
            <w:noWrap/>
            <w:hideMark/>
          </w:tcPr>
          <w:p w14:paraId="68D35E32" w14:textId="77777777" w:rsidR="008D0CAD" w:rsidRPr="00931ED4" w:rsidRDefault="008D0CAD" w:rsidP="00796BFA">
            <w:pPr>
              <w:spacing w:before="100" w:beforeAutospacing="1" w:after="100" w:afterAutospacing="1" w:line="360" w:lineRule="auto"/>
              <w:rPr>
                <w:rFonts w:ascii="Arial" w:hAnsi="Arial" w:cs="Arial"/>
                <w:b/>
                <w:sz w:val="16"/>
                <w:szCs w:val="16"/>
                <w:lang w:val="en-US"/>
              </w:rPr>
            </w:pPr>
            <w:r w:rsidRPr="00931ED4">
              <w:rPr>
                <w:rFonts w:ascii="Arial" w:hAnsi="Arial" w:cs="Arial"/>
                <w:b/>
                <w:sz w:val="16"/>
                <w:szCs w:val="16"/>
                <w:lang w:val="en-US"/>
              </w:rPr>
              <w:t>3.73%</w:t>
            </w:r>
          </w:p>
        </w:tc>
        <w:tc>
          <w:tcPr>
            <w:tcW w:w="1260" w:type="dxa"/>
            <w:noWrap/>
            <w:hideMark/>
          </w:tcPr>
          <w:p w14:paraId="0FD19948"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0.85%</w:t>
            </w:r>
          </w:p>
        </w:tc>
        <w:tc>
          <w:tcPr>
            <w:tcW w:w="1490" w:type="dxa"/>
            <w:noWrap/>
            <w:hideMark/>
          </w:tcPr>
          <w:p w14:paraId="76F20EF5"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1.37%</w:t>
            </w:r>
          </w:p>
        </w:tc>
        <w:tc>
          <w:tcPr>
            <w:tcW w:w="1270" w:type="dxa"/>
            <w:noWrap/>
            <w:hideMark/>
          </w:tcPr>
          <w:p w14:paraId="3F34C8DC"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1.20%</w:t>
            </w:r>
          </w:p>
        </w:tc>
      </w:tr>
      <w:tr w:rsidR="008D0CAD" w:rsidRPr="00931ED4" w14:paraId="43D5277B" w14:textId="77777777" w:rsidTr="008041F1">
        <w:trPr>
          <w:trHeight w:val="216"/>
        </w:trPr>
        <w:tc>
          <w:tcPr>
            <w:tcW w:w="2604" w:type="dxa"/>
            <w:noWrap/>
            <w:hideMark/>
          </w:tcPr>
          <w:p w14:paraId="1963AEB4"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Leyte</w:t>
            </w:r>
          </w:p>
        </w:tc>
        <w:tc>
          <w:tcPr>
            <w:tcW w:w="1446" w:type="dxa"/>
            <w:noWrap/>
            <w:hideMark/>
          </w:tcPr>
          <w:p w14:paraId="2031E3C5"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2.95%</w:t>
            </w:r>
          </w:p>
        </w:tc>
        <w:tc>
          <w:tcPr>
            <w:tcW w:w="1350" w:type="dxa"/>
            <w:noWrap/>
            <w:hideMark/>
          </w:tcPr>
          <w:p w14:paraId="34FBAEC5" w14:textId="77777777" w:rsidR="008D0CAD" w:rsidRPr="00931ED4" w:rsidRDefault="008D0CAD" w:rsidP="00796BFA">
            <w:pPr>
              <w:spacing w:before="100" w:beforeAutospacing="1" w:after="100" w:afterAutospacing="1" w:line="360" w:lineRule="auto"/>
              <w:rPr>
                <w:rFonts w:ascii="Arial" w:hAnsi="Arial" w:cs="Arial"/>
                <w:b/>
                <w:sz w:val="16"/>
                <w:szCs w:val="16"/>
                <w:lang w:val="en-US"/>
              </w:rPr>
            </w:pPr>
            <w:r w:rsidRPr="00931ED4">
              <w:rPr>
                <w:rFonts w:ascii="Arial" w:hAnsi="Arial" w:cs="Arial"/>
                <w:b/>
                <w:sz w:val="16"/>
                <w:szCs w:val="16"/>
                <w:lang w:val="en-US"/>
              </w:rPr>
              <w:t>3.88%</w:t>
            </w:r>
          </w:p>
        </w:tc>
        <w:tc>
          <w:tcPr>
            <w:tcW w:w="1260" w:type="dxa"/>
            <w:noWrap/>
            <w:hideMark/>
          </w:tcPr>
          <w:p w14:paraId="366C89DE"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1.81%</w:t>
            </w:r>
          </w:p>
        </w:tc>
        <w:tc>
          <w:tcPr>
            <w:tcW w:w="1490" w:type="dxa"/>
            <w:noWrap/>
            <w:hideMark/>
          </w:tcPr>
          <w:p w14:paraId="7CF1DC5E"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1.44%</w:t>
            </w:r>
          </w:p>
        </w:tc>
        <w:tc>
          <w:tcPr>
            <w:tcW w:w="1270" w:type="dxa"/>
            <w:noWrap/>
            <w:hideMark/>
          </w:tcPr>
          <w:p w14:paraId="659FF05E"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1.40%</w:t>
            </w:r>
          </w:p>
        </w:tc>
      </w:tr>
      <w:tr w:rsidR="008D0CAD" w:rsidRPr="00931ED4" w14:paraId="04EA6C8D" w14:textId="77777777" w:rsidTr="008041F1">
        <w:trPr>
          <w:trHeight w:val="216"/>
        </w:trPr>
        <w:tc>
          <w:tcPr>
            <w:tcW w:w="2604" w:type="dxa"/>
            <w:noWrap/>
            <w:hideMark/>
          </w:tcPr>
          <w:p w14:paraId="635871A6"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Region X - Northern Mindanao</w:t>
            </w:r>
          </w:p>
        </w:tc>
        <w:tc>
          <w:tcPr>
            <w:tcW w:w="1446" w:type="dxa"/>
            <w:noWrap/>
            <w:hideMark/>
          </w:tcPr>
          <w:p w14:paraId="530CD095"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6.15%</w:t>
            </w:r>
          </w:p>
        </w:tc>
        <w:tc>
          <w:tcPr>
            <w:tcW w:w="1350" w:type="dxa"/>
            <w:noWrap/>
            <w:hideMark/>
          </w:tcPr>
          <w:p w14:paraId="2DAAD7D2"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0.00%</w:t>
            </w:r>
          </w:p>
        </w:tc>
        <w:tc>
          <w:tcPr>
            <w:tcW w:w="1260" w:type="dxa"/>
            <w:noWrap/>
            <w:hideMark/>
          </w:tcPr>
          <w:p w14:paraId="0E265827"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3.00%</w:t>
            </w:r>
          </w:p>
        </w:tc>
        <w:tc>
          <w:tcPr>
            <w:tcW w:w="1490" w:type="dxa"/>
            <w:noWrap/>
            <w:hideMark/>
          </w:tcPr>
          <w:p w14:paraId="701080DE"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1.76%</w:t>
            </w:r>
          </w:p>
        </w:tc>
        <w:tc>
          <w:tcPr>
            <w:tcW w:w="1270" w:type="dxa"/>
            <w:noWrap/>
            <w:hideMark/>
          </w:tcPr>
          <w:p w14:paraId="442CC766"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1.77%</w:t>
            </w:r>
          </w:p>
        </w:tc>
      </w:tr>
      <w:tr w:rsidR="008D0CAD" w:rsidRPr="00931ED4" w14:paraId="781353FA" w14:textId="77777777" w:rsidTr="008041F1">
        <w:trPr>
          <w:trHeight w:val="216"/>
        </w:trPr>
        <w:tc>
          <w:tcPr>
            <w:tcW w:w="2604" w:type="dxa"/>
            <w:noWrap/>
            <w:hideMark/>
          </w:tcPr>
          <w:p w14:paraId="3052FE31"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Cagayan de Oro City</w:t>
            </w:r>
          </w:p>
        </w:tc>
        <w:tc>
          <w:tcPr>
            <w:tcW w:w="1446" w:type="dxa"/>
            <w:noWrap/>
            <w:hideMark/>
          </w:tcPr>
          <w:p w14:paraId="7AEE74A4"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2.69%</w:t>
            </w:r>
          </w:p>
        </w:tc>
        <w:tc>
          <w:tcPr>
            <w:tcW w:w="1350" w:type="dxa"/>
            <w:noWrap/>
            <w:hideMark/>
          </w:tcPr>
          <w:p w14:paraId="28FDA56D"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3.18%</w:t>
            </w:r>
          </w:p>
        </w:tc>
        <w:tc>
          <w:tcPr>
            <w:tcW w:w="1260" w:type="dxa"/>
            <w:noWrap/>
            <w:hideMark/>
          </w:tcPr>
          <w:p w14:paraId="25C0052A"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1.89%</w:t>
            </w:r>
          </w:p>
        </w:tc>
        <w:tc>
          <w:tcPr>
            <w:tcW w:w="1490" w:type="dxa"/>
            <w:noWrap/>
            <w:hideMark/>
          </w:tcPr>
          <w:p w14:paraId="5292E96F"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0.76%</w:t>
            </w:r>
          </w:p>
        </w:tc>
        <w:tc>
          <w:tcPr>
            <w:tcW w:w="1270" w:type="dxa"/>
            <w:noWrap/>
            <w:hideMark/>
          </w:tcPr>
          <w:p w14:paraId="6912249C"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0.44%</w:t>
            </w:r>
          </w:p>
        </w:tc>
      </w:tr>
      <w:tr w:rsidR="008D0CAD" w:rsidRPr="00931ED4" w14:paraId="1BB73DEE" w14:textId="77777777" w:rsidTr="008041F1">
        <w:trPr>
          <w:trHeight w:val="216"/>
        </w:trPr>
        <w:tc>
          <w:tcPr>
            <w:tcW w:w="2604" w:type="dxa"/>
            <w:noWrap/>
            <w:hideMark/>
          </w:tcPr>
          <w:p w14:paraId="18899FD3"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Misamis Oriental</w:t>
            </w:r>
          </w:p>
        </w:tc>
        <w:tc>
          <w:tcPr>
            <w:tcW w:w="1446" w:type="dxa"/>
            <w:noWrap/>
            <w:hideMark/>
          </w:tcPr>
          <w:p w14:paraId="72C51AD2"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3.58%</w:t>
            </w:r>
          </w:p>
        </w:tc>
        <w:tc>
          <w:tcPr>
            <w:tcW w:w="1350" w:type="dxa"/>
            <w:noWrap/>
            <w:hideMark/>
          </w:tcPr>
          <w:p w14:paraId="0EA2DAD6"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2.41%</w:t>
            </w:r>
          </w:p>
        </w:tc>
        <w:tc>
          <w:tcPr>
            <w:tcW w:w="1260" w:type="dxa"/>
            <w:noWrap/>
            <w:hideMark/>
          </w:tcPr>
          <w:p w14:paraId="18B1F0A1"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1.87%</w:t>
            </w:r>
          </w:p>
        </w:tc>
        <w:tc>
          <w:tcPr>
            <w:tcW w:w="1490" w:type="dxa"/>
            <w:noWrap/>
            <w:hideMark/>
          </w:tcPr>
          <w:p w14:paraId="7D68FC65"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0.64%</w:t>
            </w:r>
          </w:p>
        </w:tc>
        <w:tc>
          <w:tcPr>
            <w:tcW w:w="1270" w:type="dxa"/>
            <w:noWrap/>
            <w:hideMark/>
          </w:tcPr>
          <w:p w14:paraId="3FA79977" w14:textId="77777777" w:rsidR="008D0CAD" w:rsidRPr="00931ED4" w:rsidRDefault="008D0CAD" w:rsidP="00796BFA">
            <w:pPr>
              <w:spacing w:before="100" w:beforeAutospacing="1" w:after="100" w:afterAutospacing="1" w:line="360" w:lineRule="auto"/>
              <w:rPr>
                <w:rFonts w:ascii="Arial" w:hAnsi="Arial" w:cs="Arial"/>
                <w:b/>
                <w:sz w:val="16"/>
                <w:szCs w:val="16"/>
                <w:lang w:val="en-US"/>
              </w:rPr>
            </w:pPr>
            <w:r w:rsidRPr="00931ED4">
              <w:rPr>
                <w:rFonts w:ascii="Arial" w:hAnsi="Arial" w:cs="Arial"/>
                <w:b/>
                <w:sz w:val="16"/>
                <w:szCs w:val="16"/>
                <w:lang w:val="en-US"/>
              </w:rPr>
              <w:t>1.64%</w:t>
            </w:r>
          </w:p>
        </w:tc>
      </w:tr>
      <w:tr w:rsidR="008D0CAD" w:rsidRPr="00931ED4" w14:paraId="7C3B5713" w14:textId="77777777" w:rsidTr="008041F1">
        <w:trPr>
          <w:trHeight w:val="216"/>
        </w:trPr>
        <w:tc>
          <w:tcPr>
            <w:tcW w:w="2604" w:type="dxa"/>
            <w:noWrap/>
            <w:hideMark/>
          </w:tcPr>
          <w:p w14:paraId="5FCF82D0"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NCR - National Capital Region</w:t>
            </w:r>
          </w:p>
        </w:tc>
        <w:tc>
          <w:tcPr>
            <w:tcW w:w="1446" w:type="dxa"/>
            <w:noWrap/>
            <w:hideMark/>
          </w:tcPr>
          <w:p w14:paraId="36DA5DF9"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4.36%</w:t>
            </w:r>
          </w:p>
        </w:tc>
        <w:tc>
          <w:tcPr>
            <w:tcW w:w="1350" w:type="dxa"/>
            <w:noWrap/>
            <w:hideMark/>
          </w:tcPr>
          <w:p w14:paraId="7253EF52"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4.25%</w:t>
            </w:r>
          </w:p>
        </w:tc>
        <w:tc>
          <w:tcPr>
            <w:tcW w:w="1260" w:type="dxa"/>
            <w:noWrap/>
            <w:hideMark/>
          </w:tcPr>
          <w:p w14:paraId="19112323"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2.05%</w:t>
            </w:r>
          </w:p>
        </w:tc>
        <w:tc>
          <w:tcPr>
            <w:tcW w:w="1490" w:type="dxa"/>
            <w:noWrap/>
            <w:hideMark/>
          </w:tcPr>
          <w:p w14:paraId="417DC36A"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2.82%</w:t>
            </w:r>
          </w:p>
        </w:tc>
        <w:tc>
          <w:tcPr>
            <w:tcW w:w="1270" w:type="dxa"/>
            <w:noWrap/>
            <w:hideMark/>
          </w:tcPr>
          <w:p w14:paraId="10BEA136"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0.90%</w:t>
            </w:r>
          </w:p>
        </w:tc>
      </w:tr>
      <w:tr w:rsidR="008D0CAD" w:rsidRPr="00931ED4" w14:paraId="6F181DCE" w14:textId="77777777" w:rsidTr="008041F1">
        <w:trPr>
          <w:trHeight w:val="216"/>
        </w:trPr>
        <w:tc>
          <w:tcPr>
            <w:tcW w:w="2604" w:type="dxa"/>
            <w:noWrap/>
            <w:hideMark/>
          </w:tcPr>
          <w:p w14:paraId="0B887887"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Las Piñas City</w:t>
            </w:r>
          </w:p>
        </w:tc>
        <w:tc>
          <w:tcPr>
            <w:tcW w:w="1446" w:type="dxa"/>
            <w:noWrap/>
            <w:hideMark/>
          </w:tcPr>
          <w:p w14:paraId="0D849A01"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1.41%</w:t>
            </w:r>
          </w:p>
        </w:tc>
        <w:tc>
          <w:tcPr>
            <w:tcW w:w="1350" w:type="dxa"/>
            <w:noWrap/>
            <w:hideMark/>
          </w:tcPr>
          <w:p w14:paraId="3314CC5D" w14:textId="77777777" w:rsidR="008D0CAD" w:rsidRPr="00931ED4" w:rsidRDefault="008D0CAD" w:rsidP="00796BFA">
            <w:pPr>
              <w:spacing w:before="100" w:beforeAutospacing="1" w:after="100" w:afterAutospacing="1" w:line="360" w:lineRule="auto"/>
              <w:rPr>
                <w:rFonts w:ascii="Arial" w:hAnsi="Arial" w:cs="Arial"/>
                <w:b/>
                <w:sz w:val="16"/>
                <w:szCs w:val="16"/>
                <w:lang w:val="en-US"/>
              </w:rPr>
            </w:pPr>
            <w:r w:rsidRPr="00931ED4">
              <w:rPr>
                <w:rFonts w:ascii="Arial" w:hAnsi="Arial" w:cs="Arial"/>
                <w:b/>
                <w:sz w:val="16"/>
                <w:szCs w:val="16"/>
                <w:lang w:val="en-US"/>
              </w:rPr>
              <w:t>16.13%</w:t>
            </w:r>
          </w:p>
        </w:tc>
        <w:tc>
          <w:tcPr>
            <w:tcW w:w="1260" w:type="dxa"/>
            <w:noWrap/>
            <w:hideMark/>
          </w:tcPr>
          <w:p w14:paraId="3FF0E7DF"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0.46%</w:t>
            </w:r>
          </w:p>
        </w:tc>
        <w:tc>
          <w:tcPr>
            <w:tcW w:w="1490" w:type="dxa"/>
            <w:noWrap/>
            <w:hideMark/>
          </w:tcPr>
          <w:p w14:paraId="17FC38EB"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0.06%</w:t>
            </w:r>
          </w:p>
        </w:tc>
        <w:tc>
          <w:tcPr>
            <w:tcW w:w="1270" w:type="dxa"/>
            <w:noWrap/>
            <w:hideMark/>
          </w:tcPr>
          <w:p w14:paraId="42206038"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1.43%</w:t>
            </w:r>
          </w:p>
        </w:tc>
      </w:tr>
      <w:tr w:rsidR="008D0CAD" w:rsidRPr="00931ED4" w14:paraId="57D30AA0" w14:textId="77777777" w:rsidTr="008041F1">
        <w:trPr>
          <w:trHeight w:val="216"/>
        </w:trPr>
        <w:tc>
          <w:tcPr>
            <w:tcW w:w="2604" w:type="dxa"/>
            <w:noWrap/>
            <w:hideMark/>
          </w:tcPr>
          <w:p w14:paraId="0B3C6365"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Manila</w:t>
            </w:r>
          </w:p>
        </w:tc>
        <w:tc>
          <w:tcPr>
            <w:tcW w:w="1446" w:type="dxa"/>
            <w:noWrap/>
            <w:hideMark/>
          </w:tcPr>
          <w:p w14:paraId="26BDE166" w14:textId="77777777" w:rsidR="008D0CAD" w:rsidRPr="00931ED4" w:rsidRDefault="008D0CAD" w:rsidP="00796BFA">
            <w:pPr>
              <w:spacing w:before="100" w:beforeAutospacing="1" w:after="100" w:afterAutospacing="1" w:line="360" w:lineRule="auto"/>
              <w:rPr>
                <w:rFonts w:ascii="Arial" w:hAnsi="Arial" w:cs="Arial"/>
                <w:b/>
                <w:sz w:val="16"/>
                <w:szCs w:val="16"/>
                <w:lang w:val="en-US"/>
              </w:rPr>
            </w:pPr>
            <w:r w:rsidRPr="00931ED4">
              <w:rPr>
                <w:rFonts w:ascii="Arial" w:hAnsi="Arial" w:cs="Arial"/>
                <w:b/>
                <w:sz w:val="16"/>
                <w:szCs w:val="16"/>
                <w:lang w:val="en-US"/>
              </w:rPr>
              <w:t>13.38%</w:t>
            </w:r>
          </w:p>
        </w:tc>
        <w:tc>
          <w:tcPr>
            <w:tcW w:w="1350" w:type="dxa"/>
            <w:noWrap/>
            <w:hideMark/>
          </w:tcPr>
          <w:p w14:paraId="5D7CD960" w14:textId="77777777" w:rsidR="008D0CAD" w:rsidRPr="00931ED4" w:rsidRDefault="008D0CAD" w:rsidP="00796BFA">
            <w:pPr>
              <w:spacing w:before="100" w:beforeAutospacing="1" w:after="100" w:afterAutospacing="1" w:line="360" w:lineRule="auto"/>
              <w:rPr>
                <w:rFonts w:ascii="Arial" w:hAnsi="Arial" w:cs="Arial"/>
                <w:b/>
                <w:sz w:val="16"/>
                <w:szCs w:val="16"/>
                <w:lang w:val="en-US"/>
              </w:rPr>
            </w:pPr>
            <w:r w:rsidRPr="00931ED4">
              <w:rPr>
                <w:rFonts w:ascii="Arial" w:hAnsi="Arial" w:cs="Arial"/>
                <w:b/>
                <w:sz w:val="16"/>
                <w:szCs w:val="16"/>
                <w:lang w:val="en-US"/>
              </w:rPr>
              <w:t>9.18%</w:t>
            </w:r>
          </w:p>
        </w:tc>
        <w:tc>
          <w:tcPr>
            <w:tcW w:w="1260" w:type="dxa"/>
            <w:noWrap/>
            <w:hideMark/>
          </w:tcPr>
          <w:p w14:paraId="19AC111E" w14:textId="77777777" w:rsidR="008D0CAD" w:rsidRPr="00931ED4" w:rsidRDefault="008D0CAD" w:rsidP="00796BFA">
            <w:pPr>
              <w:spacing w:before="100" w:beforeAutospacing="1" w:after="100" w:afterAutospacing="1" w:line="360" w:lineRule="auto"/>
              <w:rPr>
                <w:rFonts w:ascii="Arial" w:hAnsi="Arial" w:cs="Arial"/>
                <w:b/>
                <w:sz w:val="16"/>
                <w:szCs w:val="16"/>
                <w:lang w:val="en-US"/>
              </w:rPr>
            </w:pPr>
            <w:r w:rsidRPr="00931ED4">
              <w:rPr>
                <w:rFonts w:ascii="Arial" w:hAnsi="Arial" w:cs="Arial"/>
                <w:b/>
                <w:sz w:val="16"/>
                <w:szCs w:val="16"/>
                <w:lang w:val="en-US"/>
              </w:rPr>
              <w:t>2.90%</w:t>
            </w:r>
          </w:p>
        </w:tc>
        <w:tc>
          <w:tcPr>
            <w:tcW w:w="1490" w:type="dxa"/>
            <w:noWrap/>
            <w:hideMark/>
          </w:tcPr>
          <w:p w14:paraId="79196C2F" w14:textId="77777777" w:rsidR="008D0CAD" w:rsidRPr="00931ED4" w:rsidRDefault="008D0CAD" w:rsidP="00796BFA">
            <w:pPr>
              <w:spacing w:before="100" w:beforeAutospacing="1" w:after="100" w:afterAutospacing="1" w:line="360" w:lineRule="auto"/>
              <w:rPr>
                <w:rFonts w:ascii="Arial" w:hAnsi="Arial" w:cs="Arial"/>
                <w:b/>
                <w:sz w:val="16"/>
                <w:szCs w:val="16"/>
                <w:lang w:val="en-US"/>
              </w:rPr>
            </w:pPr>
            <w:r w:rsidRPr="00931ED4">
              <w:rPr>
                <w:rFonts w:ascii="Arial" w:hAnsi="Arial" w:cs="Arial"/>
                <w:b/>
                <w:sz w:val="16"/>
                <w:szCs w:val="16"/>
                <w:lang w:val="en-US"/>
              </w:rPr>
              <w:t>8.93%</w:t>
            </w:r>
          </w:p>
        </w:tc>
        <w:tc>
          <w:tcPr>
            <w:tcW w:w="1270" w:type="dxa"/>
            <w:noWrap/>
            <w:hideMark/>
          </w:tcPr>
          <w:p w14:paraId="5F58416E"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0.86%</w:t>
            </w:r>
          </w:p>
        </w:tc>
      </w:tr>
      <w:tr w:rsidR="008D0CAD" w:rsidRPr="00931ED4" w14:paraId="202428C5" w14:textId="77777777" w:rsidTr="008041F1">
        <w:trPr>
          <w:trHeight w:val="216"/>
        </w:trPr>
        <w:tc>
          <w:tcPr>
            <w:tcW w:w="2604" w:type="dxa"/>
            <w:noWrap/>
            <w:hideMark/>
          </w:tcPr>
          <w:p w14:paraId="564B8B05"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Paranaque City</w:t>
            </w:r>
          </w:p>
        </w:tc>
        <w:tc>
          <w:tcPr>
            <w:tcW w:w="1446" w:type="dxa"/>
            <w:noWrap/>
            <w:hideMark/>
          </w:tcPr>
          <w:p w14:paraId="2B211210" w14:textId="77777777" w:rsidR="008D0CAD" w:rsidRPr="00931ED4" w:rsidRDefault="008D0CAD" w:rsidP="00796BFA">
            <w:pPr>
              <w:spacing w:before="100" w:beforeAutospacing="1" w:after="100" w:afterAutospacing="1" w:line="360" w:lineRule="auto"/>
              <w:rPr>
                <w:rFonts w:ascii="Arial" w:hAnsi="Arial" w:cs="Arial"/>
                <w:b/>
                <w:sz w:val="16"/>
                <w:szCs w:val="16"/>
                <w:lang w:val="en-US"/>
              </w:rPr>
            </w:pPr>
            <w:r w:rsidRPr="00931ED4">
              <w:rPr>
                <w:rFonts w:ascii="Arial" w:hAnsi="Arial" w:cs="Arial"/>
                <w:b/>
                <w:sz w:val="16"/>
                <w:szCs w:val="16"/>
                <w:lang w:val="en-US"/>
              </w:rPr>
              <w:t>5.55%</w:t>
            </w:r>
          </w:p>
        </w:tc>
        <w:tc>
          <w:tcPr>
            <w:tcW w:w="1350" w:type="dxa"/>
            <w:noWrap/>
            <w:hideMark/>
          </w:tcPr>
          <w:p w14:paraId="2EBEC216"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2.79%</w:t>
            </w:r>
          </w:p>
        </w:tc>
        <w:tc>
          <w:tcPr>
            <w:tcW w:w="1260" w:type="dxa"/>
            <w:noWrap/>
            <w:hideMark/>
          </w:tcPr>
          <w:p w14:paraId="67288A66" w14:textId="77777777" w:rsidR="008D0CAD" w:rsidRPr="00931ED4" w:rsidRDefault="008D0CAD" w:rsidP="00796BFA">
            <w:pPr>
              <w:spacing w:before="100" w:beforeAutospacing="1" w:after="100" w:afterAutospacing="1" w:line="360" w:lineRule="auto"/>
              <w:rPr>
                <w:rFonts w:ascii="Arial" w:hAnsi="Arial" w:cs="Arial"/>
                <w:b/>
                <w:sz w:val="16"/>
                <w:szCs w:val="16"/>
                <w:lang w:val="en-US"/>
              </w:rPr>
            </w:pPr>
            <w:r w:rsidRPr="00931ED4">
              <w:rPr>
                <w:rFonts w:ascii="Arial" w:hAnsi="Arial" w:cs="Arial"/>
                <w:b/>
                <w:sz w:val="16"/>
                <w:szCs w:val="16"/>
                <w:lang w:val="en-US"/>
              </w:rPr>
              <w:t>11.26%</w:t>
            </w:r>
          </w:p>
        </w:tc>
        <w:tc>
          <w:tcPr>
            <w:tcW w:w="1490" w:type="dxa"/>
            <w:noWrap/>
            <w:hideMark/>
          </w:tcPr>
          <w:p w14:paraId="1952650A"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0.06%</w:t>
            </w:r>
          </w:p>
        </w:tc>
        <w:tc>
          <w:tcPr>
            <w:tcW w:w="1270" w:type="dxa"/>
            <w:noWrap/>
            <w:hideMark/>
          </w:tcPr>
          <w:p w14:paraId="08FAFF63"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0.52%</w:t>
            </w:r>
          </w:p>
        </w:tc>
      </w:tr>
      <w:tr w:rsidR="008D0CAD" w:rsidRPr="00931ED4" w14:paraId="1A1E9872" w14:textId="77777777" w:rsidTr="008041F1">
        <w:trPr>
          <w:trHeight w:val="216"/>
        </w:trPr>
        <w:tc>
          <w:tcPr>
            <w:tcW w:w="2604" w:type="dxa"/>
            <w:noWrap/>
            <w:hideMark/>
          </w:tcPr>
          <w:p w14:paraId="263CE310"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Quezon City</w:t>
            </w:r>
          </w:p>
        </w:tc>
        <w:tc>
          <w:tcPr>
            <w:tcW w:w="1446" w:type="dxa"/>
            <w:noWrap/>
            <w:hideMark/>
          </w:tcPr>
          <w:p w14:paraId="08DF99F5"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3.12%</w:t>
            </w:r>
          </w:p>
        </w:tc>
        <w:tc>
          <w:tcPr>
            <w:tcW w:w="1350" w:type="dxa"/>
            <w:noWrap/>
            <w:hideMark/>
          </w:tcPr>
          <w:p w14:paraId="052207E0" w14:textId="77777777" w:rsidR="008D0CAD" w:rsidRPr="00931ED4" w:rsidRDefault="008D0CAD" w:rsidP="00796BFA">
            <w:pPr>
              <w:spacing w:before="100" w:beforeAutospacing="1" w:after="100" w:afterAutospacing="1" w:line="360" w:lineRule="auto"/>
              <w:rPr>
                <w:rFonts w:ascii="Arial" w:hAnsi="Arial" w:cs="Arial"/>
                <w:b/>
                <w:sz w:val="16"/>
                <w:szCs w:val="16"/>
                <w:lang w:val="en-US"/>
              </w:rPr>
            </w:pPr>
            <w:r w:rsidRPr="00931ED4">
              <w:rPr>
                <w:rFonts w:ascii="Arial" w:hAnsi="Arial" w:cs="Arial"/>
                <w:b/>
                <w:sz w:val="16"/>
                <w:szCs w:val="16"/>
                <w:lang w:val="en-US"/>
              </w:rPr>
              <w:t>4.08%</w:t>
            </w:r>
          </w:p>
        </w:tc>
        <w:tc>
          <w:tcPr>
            <w:tcW w:w="1260" w:type="dxa"/>
            <w:noWrap/>
            <w:hideMark/>
          </w:tcPr>
          <w:p w14:paraId="0594D4E0" w14:textId="77777777" w:rsidR="008D0CAD" w:rsidRPr="00931ED4" w:rsidRDefault="008D0CAD" w:rsidP="00796BFA">
            <w:pPr>
              <w:spacing w:before="100" w:beforeAutospacing="1" w:after="100" w:afterAutospacing="1" w:line="360" w:lineRule="auto"/>
              <w:rPr>
                <w:rFonts w:ascii="Arial" w:hAnsi="Arial" w:cs="Arial"/>
                <w:b/>
                <w:sz w:val="16"/>
                <w:szCs w:val="16"/>
                <w:lang w:val="en-US"/>
              </w:rPr>
            </w:pPr>
            <w:r w:rsidRPr="00931ED4">
              <w:rPr>
                <w:rFonts w:ascii="Arial" w:hAnsi="Arial" w:cs="Arial"/>
                <w:b/>
                <w:sz w:val="16"/>
                <w:szCs w:val="16"/>
                <w:lang w:val="en-US"/>
              </w:rPr>
              <w:t>3.10%</w:t>
            </w:r>
          </w:p>
        </w:tc>
        <w:tc>
          <w:tcPr>
            <w:tcW w:w="1490" w:type="dxa"/>
            <w:noWrap/>
            <w:hideMark/>
          </w:tcPr>
          <w:p w14:paraId="39B74734" w14:textId="77777777" w:rsidR="008D0CAD" w:rsidRPr="00931ED4" w:rsidRDefault="008D0CAD" w:rsidP="00796BFA">
            <w:pPr>
              <w:spacing w:before="100" w:beforeAutospacing="1" w:after="100" w:afterAutospacing="1" w:line="360" w:lineRule="auto"/>
              <w:rPr>
                <w:rFonts w:ascii="Arial" w:hAnsi="Arial" w:cs="Arial"/>
                <w:b/>
                <w:sz w:val="16"/>
                <w:szCs w:val="16"/>
                <w:lang w:val="en-US"/>
              </w:rPr>
            </w:pPr>
            <w:r w:rsidRPr="00931ED4">
              <w:rPr>
                <w:rFonts w:ascii="Arial" w:hAnsi="Arial" w:cs="Arial"/>
                <w:b/>
                <w:sz w:val="16"/>
                <w:szCs w:val="16"/>
                <w:lang w:val="en-US"/>
              </w:rPr>
              <w:t>6.11%</w:t>
            </w:r>
          </w:p>
        </w:tc>
        <w:tc>
          <w:tcPr>
            <w:tcW w:w="1270" w:type="dxa"/>
            <w:noWrap/>
            <w:hideMark/>
          </w:tcPr>
          <w:p w14:paraId="473367B6" w14:textId="77777777" w:rsidR="008D0CAD" w:rsidRPr="00931ED4" w:rsidRDefault="008D0CAD" w:rsidP="00796BFA">
            <w:pPr>
              <w:spacing w:before="100" w:beforeAutospacing="1" w:after="100" w:afterAutospacing="1" w:line="360" w:lineRule="auto"/>
              <w:rPr>
                <w:rFonts w:ascii="Arial" w:hAnsi="Arial" w:cs="Arial"/>
                <w:sz w:val="16"/>
                <w:szCs w:val="16"/>
                <w:lang w:val="en-US"/>
              </w:rPr>
            </w:pPr>
            <w:r w:rsidRPr="00931ED4">
              <w:rPr>
                <w:rFonts w:ascii="Arial" w:hAnsi="Arial" w:cs="Arial"/>
                <w:sz w:val="16"/>
                <w:szCs w:val="16"/>
                <w:lang w:val="en-US"/>
              </w:rPr>
              <w:t>0.00%</w:t>
            </w:r>
          </w:p>
        </w:tc>
      </w:tr>
      <w:tr w:rsidR="008D0CAD" w:rsidRPr="00931ED4" w14:paraId="69D8C4A9" w14:textId="77777777" w:rsidTr="008041F1">
        <w:trPr>
          <w:trHeight w:val="216"/>
        </w:trPr>
        <w:tc>
          <w:tcPr>
            <w:tcW w:w="2604" w:type="dxa"/>
            <w:noWrap/>
            <w:hideMark/>
          </w:tcPr>
          <w:p w14:paraId="22CB1366" w14:textId="77777777" w:rsidR="008D0CAD" w:rsidRPr="00931ED4" w:rsidRDefault="008D0CAD" w:rsidP="00796BFA">
            <w:pPr>
              <w:spacing w:before="100" w:beforeAutospacing="1" w:after="100" w:afterAutospacing="1" w:line="360" w:lineRule="auto"/>
              <w:rPr>
                <w:rFonts w:ascii="Arial" w:hAnsi="Arial" w:cs="Arial"/>
                <w:b/>
                <w:bCs/>
                <w:sz w:val="16"/>
                <w:szCs w:val="16"/>
                <w:lang w:val="en-US"/>
              </w:rPr>
            </w:pPr>
            <w:r w:rsidRPr="00931ED4">
              <w:rPr>
                <w:rFonts w:ascii="Arial" w:hAnsi="Arial" w:cs="Arial"/>
                <w:b/>
                <w:bCs/>
                <w:sz w:val="16"/>
                <w:szCs w:val="16"/>
                <w:lang w:val="en-US"/>
              </w:rPr>
              <w:t>Philippines</w:t>
            </w:r>
          </w:p>
        </w:tc>
        <w:tc>
          <w:tcPr>
            <w:tcW w:w="1446" w:type="dxa"/>
            <w:noWrap/>
            <w:hideMark/>
          </w:tcPr>
          <w:p w14:paraId="63B3FC8E" w14:textId="77777777" w:rsidR="008D0CAD" w:rsidRPr="00931ED4" w:rsidRDefault="008D0CAD" w:rsidP="00796BFA">
            <w:pPr>
              <w:spacing w:before="100" w:beforeAutospacing="1" w:after="100" w:afterAutospacing="1" w:line="360" w:lineRule="auto"/>
              <w:rPr>
                <w:rFonts w:ascii="Arial" w:hAnsi="Arial" w:cs="Arial"/>
                <w:b/>
                <w:bCs/>
                <w:sz w:val="16"/>
                <w:szCs w:val="16"/>
                <w:lang w:val="en-US"/>
              </w:rPr>
            </w:pPr>
            <w:r w:rsidRPr="00931ED4">
              <w:rPr>
                <w:rFonts w:ascii="Arial" w:hAnsi="Arial" w:cs="Arial"/>
                <w:b/>
                <w:bCs/>
                <w:sz w:val="16"/>
                <w:szCs w:val="16"/>
                <w:lang w:val="en-US"/>
              </w:rPr>
              <w:t>4.85%</w:t>
            </w:r>
          </w:p>
        </w:tc>
        <w:tc>
          <w:tcPr>
            <w:tcW w:w="1350" w:type="dxa"/>
            <w:noWrap/>
            <w:hideMark/>
          </w:tcPr>
          <w:p w14:paraId="0AECBEE3" w14:textId="77777777" w:rsidR="008D0CAD" w:rsidRPr="00931ED4" w:rsidRDefault="008D0CAD" w:rsidP="00796BFA">
            <w:pPr>
              <w:spacing w:before="100" w:beforeAutospacing="1" w:after="100" w:afterAutospacing="1" w:line="360" w:lineRule="auto"/>
              <w:rPr>
                <w:rFonts w:ascii="Arial" w:hAnsi="Arial" w:cs="Arial"/>
                <w:b/>
                <w:bCs/>
                <w:sz w:val="16"/>
                <w:szCs w:val="16"/>
                <w:lang w:val="en-US"/>
              </w:rPr>
            </w:pPr>
            <w:r w:rsidRPr="00931ED4">
              <w:rPr>
                <w:rFonts w:ascii="Arial" w:hAnsi="Arial" w:cs="Arial"/>
                <w:b/>
                <w:bCs/>
                <w:sz w:val="16"/>
                <w:szCs w:val="16"/>
                <w:lang w:val="en-US"/>
              </w:rPr>
              <w:t>3.26%</w:t>
            </w:r>
          </w:p>
        </w:tc>
        <w:tc>
          <w:tcPr>
            <w:tcW w:w="1260" w:type="dxa"/>
            <w:noWrap/>
            <w:hideMark/>
          </w:tcPr>
          <w:p w14:paraId="3763C223" w14:textId="77777777" w:rsidR="008D0CAD" w:rsidRPr="00931ED4" w:rsidRDefault="008D0CAD" w:rsidP="00796BFA">
            <w:pPr>
              <w:spacing w:before="100" w:beforeAutospacing="1" w:after="100" w:afterAutospacing="1" w:line="360" w:lineRule="auto"/>
              <w:rPr>
                <w:rFonts w:ascii="Arial" w:hAnsi="Arial" w:cs="Arial"/>
                <w:b/>
                <w:bCs/>
                <w:sz w:val="16"/>
                <w:szCs w:val="16"/>
                <w:lang w:val="en-US"/>
              </w:rPr>
            </w:pPr>
            <w:r w:rsidRPr="00931ED4">
              <w:rPr>
                <w:rFonts w:ascii="Arial" w:hAnsi="Arial" w:cs="Arial"/>
                <w:b/>
                <w:bCs/>
                <w:sz w:val="16"/>
                <w:szCs w:val="16"/>
                <w:lang w:val="en-US"/>
              </w:rPr>
              <w:t>2.69%</w:t>
            </w:r>
          </w:p>
        </w:tc>
        <w:tc>
          <w:tcPr>
            <w:tcW w:w="1490" w:type="dxa"/>
            <w:noWrap/>
            <w:hideMark/>
          </w:tcPr>
          <w:p w14:paraId="091B90FC" w14:textId="77777777" w:rsidR="008D0CAD" w:rsidRPr="00931ED4" w:rsidRDefault="008D0CAD" w:rsidP="00796BFA">
            <w:pPr>
              <w:spacing w:before="100" w:beforeAutospacing="1" w:after="100" w:afterAutospacing="1" w:line="360" w:lineRule="auto"/>
              <w:rPr>
                <w:rFonts w:ascii="Arial" w:hAnsi="Arial" w:cs="Arial"/>
                <w:b/>
                <w:bCs/>
                <w:sz w:val="16"/>
                <w:szCs w:val="16"/>
                <w:lang w:val="en-US"/>
              </w:rPr>
            </w:pPr>
            <w:r w:rsidRPr="00931ED4">
              <w:rPr>
                <w:rFonts w:ascii="Arial" w:hAnsi="Arial" w:cs="Arial"/>
                <w:b/>
                <w:bCs/>
                <w:sz w:val="16"/>
                <w:szCs w:val="16"/>
                <w:lang w:val="en-US"/>
              </w:rPr>
              <w:t>2.00%</w:t>
            </w:r>
          </w:p>
        </w:tc>
        <w:tc>
          <w:tcPr>
            <w:tcW w:w="1270" w:type="dxa"/>
            <w:noWrap/>
            <w:hideMark/>
          </w:tcPr>
          <w:p w14:paraId="0195C5FA" w14:textId="77777777" w:rsidR="008D0CAD" w:rsidRPr="00931ED4" w:rsidRDefault="008D0CAD" w:rsidP="00796BFA">
            <w:pPr>
              <w:spacing w:before="100" w:beforeAutospacing="1" w:after="100" w:afterAutospacing="1" w:line="360" w:lineRule="auto"/>
              <w:rPr>
                <w:rFonts w:ascii="Arial" w:hAnsi="Arial" w:cs="Arial"/>
                <w:b/>
                <w:bCs/>
                <w:sz w:val="16"/>
                <w:szCs w:val="16"/>
                <w:lang w:val="en-US"/>
              </w:rPr>
            </w:pPr>
            <w:r w:rsidRPr="00931ED4">
              <w:rPr>
                <w:rFonts w:ascii="Arial" w:hAnsi="Arial" w:cs="Arial"/>
                <w:b/>
                <w:bCs/>
                <w:sz w:val="16"/>
                <w:szCs w:val="16"/>
                <w:lang w:val="en-US"/>
              </w:rPr>
              <w:t>1.56%</w:t>
            </w:r>
          </w:p>
        </w:tc>
      </w:tr>
    </w:tbl>
    <w:p w14:paraId="475B39A5" w14:textId="77777777" w:rsidR="008D0CAD" w:rsidRDefault="008D0CAD" w:rsidP="00796BFA">
      <w:pPr>
        <w:spacing w:before="100" w:beforeAutospacing="1" w:after="100" w:afterAutospacing="1" w:line="360" w:lineRule="auto"/>
        <w:rPr>
          <w:lang w:val="en-US"/>
        </w:rPr>
      </w:pPr>
    </w:p>
    <w:p w14:paraId="40555E0C" w14:textId="77777777" w:rsidR="008D0CAD" w:rsidRDefault="008D0CAD" w:rsidP="00796BFA">
      <w:pPr>
        <w:spacing w:before="100" w:beforeAutospacing="1" w:after="100" w:afterAutospacing="1" w:line="360" w:lineRule="auto"/>
        <w:rPr>
          <w:lang w:val="en-US"/>
        </w:rPr>
        <w:sectPr w:rsidR="008D0CAD" w:rsidSect="009C64E9">
          <w:pgSz w:w="12240" w:h="15840"/>
          <w:pgMar w:top="1440" w:right="1440" w:bottom="1440" w:left="1440" w:header="720" w:footer="720" w:gutter="0"/>
          <w:cols w:space="720"/>
          <w:docGrid w:linePitch="360"/>
        </w:sectPr>
      </w:pPr>
    </w:p>
    <w:p w14:paraId="2605CA1A" w14:textId="5F1DEE2C" w:rsidR="008D0CAD" w:rsidRPr="004E147E" w:rsidRDefault="008D0CAD" w:rsidP="00796BFA">
      <w:pPr>
        <w:spacing w:before="100" w:beforeAutospacing="1" w:after="100" w:afterAutospacing="1" w:line="360" w:lineRule="auto"/>
        <w:rPr>
          <w:rFonts w:asciiTheme="majorHAnsi" w:eastAsiaTheme="minorHAnsi" w:hAnsiTheme="majorHAnsi" w:cstheme="majorHAnsi"/>
          <w:b/>
          <w:bCs/>
          <w:i/>
          <w:iCs/>
          <w:color w:val="44546A" w:themeColor="text2"/>
          <w:sz w:val="22"/>
          <w:szCs w:val="22"/>
          <w:lang w:val="en-US"/>
        </w:rPr>
      </w:pPr>
      <w:bookmarkStart w:id="604" w:name="_Toc16524141"/>
      <w:bookmarkStart w:id="605" w:name="_Toc71616588"/>
      <w:r w:rsidRPr="004E147E">
        <w:rPr>
          <w:rFonts w:asciiTheme="majorHAnsi" w:eastAsiaTheme="minorHAnsi" w:hAnsiTheme="majorHAnsi" w:cstheme="majorHAnsi"/>
          <w:i/>
          <w:iCs/>
          <w:color w:val="44546A" w:themeColor="text2"/>
          <w:sz w:val="22"/>
          <w:szCs w:val="22"/>
          <w:lang w:val="en-US"/>
        </w:rPr>
        <w:t xml:space="preserve">Figure </w:t>
      </w:r>
      <w:r w:rsidRPr="004E147E">
        <w:rPr>
          <w:rFonts w:asciiTheme="majorHAnsi" w:eastAsiaTheme="minorHAnsi" w:hAnsiTheme="majorHAnsi" w:cstheme="majorHAnsi"/>
          <w:i/>
          <w:iCs/>
          <w:color w:val="44546A" w:themeColor="text2"/>
          <w:sz w:val="22"/>
          <w:szCs w:val="22"/>
          <w:lang w:val="en-US"/>
        </w:rPr>
        <w:fldChar w:fldCharType="begin"/>
      </w:r>
      <w:r w:rsidRPr="004E147E">
        <w:rPr>
          <w:rFonts w:asciiTheme="majorHAnsi" w:eastAsiaTheme="minorHAnsi" w:hAnsiTheme="majorHAnsi" w:cstheme="majorHAnsi"/>
          <w:i/>
          <w:iCs/>
          <w:color w:val="44546A" w:themeColor="text2"/>
          <w:sz w:val="22"/>
          <w:szCs w:val="22"/>
          <w:lang w:val="en-US"/>
        </w:rPr>
        <w:instrText xml:space="preserve"> SEQ Figure \* ARABIC </w:instrText>
      </w:r>
      <w:r w:rsidRPr="004E147E">
        <w:rPr>
          <w:rFonts w:asciiTheme="majorHAnsi" w:eastAsiaTheme="minorHAnsi" w:hAnsiTheme="majorHAnsi" w:cstheme="majorHAnsi"/>
          <w:i/>
          <w:iCs/>
          <w:color w:val="44546A" w:themeColor="text2"/>
          <w:sz w:val="22"/>
          <w:szCs w:val="22"/>
          <w:lang w:val="en-US"/>
        </w:rPr>
        <w:fldChar w:fldCharType="separate"/>
      </w:r>
      <w:r w:rsidR="00D6133D">
        <w:rPr>
          <w:rFonts w:asciiTheme="majorHAnsi" w:eastAsiaTheme="minorHAnsi" w:hAnsiTheme="majorHAnsi" w:cstheme="majorHAnsi"/>
          <w:i/>
          <w:iCs/>
          <w:noProof/>
          <w:color w:val="44546A" w:themeColor="text2"/>
          <w:sz w:val="22"/>
          <w:szCs w:val="22"/>
          <w:lang w:val="en-US"/>
        </w:rPr>
        <w:t>61</w:t>
      </w:r>
      <w:r w:rsidRPr="004E147E">
        <w:rPr>
          <w:rFonts w:asciiTheme="majorHAnsi" w:eastAsiaTheme="minorHAnsi" w:hAnsiTheme="majorHAnsi" w:cstheme="majorHAnsi"/>
          <w:i/>
          <w:iCs/>
          <w:color w:val="44546A" w:themeColor="text2"/>
          <w:sz w:val="22"/>
          <w:szCs w:val="22"/>
          <w:lang w:val="en-US"/>
        </w:rPr>
        <w:fldChar w:fldCharType="end"/>
      </w:r>
      <w:r w:rsidRPr="004E147E">
        <w:rPr>
          <w:rFonts w:asciiTheme="majorHAnsi" w:eastAsiaTheme="minorHAnsi" w:hAnsiTheme="majorHAnsi" w:cstheme="majorHAnsi"/>
          <w:i/>
          <w:iCs/>
          <w:color w:val="44546A" w:themeColor="text2"/>
          <w:sz w:val="22"/>
          <w:szCs w:val="22"/>
          <w:lang w:val="en-US"/>
        </w:rPr>
        <w:t>. School Leaver Rate by Divisions under EOPE Study (%), SY2013-2014 (Baseline)</w:t>
      </w:r>
      <w:bookmarkEnd w:id="604"/>
      <w:bookmarkEnd w:id="605"/>
    </w:p>
    <w:p w14:paraId="472715D2" w14:textId="77777777" w:rsidR="008D0CAD" w:rsidRPr="004E147E" w:rsidRDefault="008D0CAD" w:rsidP="00796BFA">
      <w:pPr>
        <w:spacing w:before="100" w:beforeAutospacing="1" w:after="100" w:afterAutospacing="1" w:line="360" w:lineRule="auto"/>
        <w:rPr>
          <w:lang w:val="en-US"/>
        </w:rPr>
      </w:pPr>
      <w:r w:rsidRPr="004E147E">
        <w:rPr>
          <w:noProof/>
          <w:lang w:val="en-AU" w:eastAsia="en-AU"/>
        </w:rPr>
        <w:drawing>
          <wp:inline distT="0" distB="0" distL="0" distR="0" wp14:anchorId="431FA9B4" wp14:editId="19D09D39">
            <wp:extent cx="8403021" cy="2905519"/>
            <wp:effectExtent l="0" t="0" r="4445" b="3175"/>
            <wp:docPr id="118" name="Picture 118" descr="Bar graph on school leaver rate by divisions under EOPE study for school year 2013-2014. Higher for males than fe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Bar graph on school leaver rate by divisions under EOPE study for school year 2013-2014. Higher for males than females."/>
                    <pic:cNvPicPr/>
                  </pic:nvPicPr>
                  <pic:blipFill rotWithShape="1">
                    <a:blip r:embed="rId122" cstate="print">
                      <a:extLst>
                        <a:ext uri="{28A0092B-C50C-407E-A947-70E740481C1C}">
                          <a14:useLocalDpi xmlns:a14="http://schemas.microsoft.com/office/drawing/2010/main" val="0"/>
                        </a:ext>
                      </a:extLst>
                    </a:blip>
                    <a:srcRect l="1905" t="7652" b="38078"/>
                    <a:stretch/>
                  </pic:blipFill>
                  <pic:spPr bwMode="auto">
                    <a:xfrm>
                      <a:off x="0" y="0"/>
                      <a:ext cx="8441691" cy="2918890"/>
                    </a:xfrm>
                    <a:prstGeom prst="rect">
                      <a:avLst/>
                    </a:prstGeom>
                    <a:ln>
                      <a:noFill/>
                    </a:ln>
                    <a:extLst>
                      <a:ext uri="{53640926-AAD7-44D8-BBD7-CCE9431645EC}">
                        <a14:shadowObscured xmlns:a14="http://schemas.microsoft.com/office/drawing/2010/main"/>
                      </a:ext>
                    </a:extLst>
                  </pic:spPr>
                </pic:pic>
              </a:graphicData>
            </a:graphic>
          </wp:inline>
        </w:drawing>
      </w:r>
    </w:p>
    <w:p w14:paraId="417CF2FA" w14:textId="0076F1FE" w:rsidR="008D0CAD" w:rsidRPr="004E147E" w:rsidRDefault="008D0CAD" w:rsidP="00796BFA">
      <w:pPr>
        <w:spacing w:before="100" w:beforeAutospacing="1" w:after="100" w:afterAutospacing="1" w:line="360" w:lineRule="auto"/>
        <w:rPr>
          <w:lang w:val="en-US"/>
        </w:rPr>
      </w:pPr>
      <w:bookmarkStart w:id="606" w:name="_Toc16524142"/>
      <w:bookmarkStart w:id="607" w:name="_Toc71616589"/>
      <w:r w:rsidRPr="004E147E">
        <w:rPr>
          <w:rFonts w:asciiTheme="majorHAnsi" w:eastAsiaTheme="minorHAnsi" w:hAnsiTheme="majorHAnsi" w:cstheme="majorHAnsi"/>
          <w:i/>
          <w:iCs/>
          <w:color w:val="44546A" w:themeColor="text2"/>
          <w:sz w:val="22"/>
          <w:szCs w:val="22"/>
          <w:lang w:val="en-US"/>
        </w:rPr>
        <w:t xml:space="preserve">Figure </w:t>
      </w:r>
      <w:r w:rsidRPr="004E147E">
        <w:rPr>
          <w:rFonts w:asciiTheme="majorHAnsi" w:eastAsiaTheme="minorHAnsi" w:hAnsiTheme="majorHAnsi" w:cstheme="majorHAnsi"/>
          <w:i/>
          <w:iCs/>
          <w:color w:val="44546A" w:themeColor="text2"/>
          <w:sz w:val="22"/>
          <w:szCs w:val="22"/>
          <w:lang w:val="en-US"/>
        </w:rPr>
        <w:fldChar w:fldCharType="begin"/>
      </w:r>
      <w:r w:rsidRPr="004E147E">
        <w:rPr>
          <w:rFonts w:asciiTheme="majorHAnsi" w:eastAsiaTheme="minorHAnsi" w:hAnsiTheme="majorHAnsi" w:cstheme="majorHAnsi"/>
          <w:i/>
          <w:iCs/>
          <w:color w:val="44546A" w:themeColor="text2"/>
          <w:sz w:val="22"/>
          <w:szCs w:val="22"/>
          <w:lang w:val="en-US"/>
        </w:rPr>
        <w:instrText xml:space="preserve"> SEQ Figure \* ARABIC </w:instrText>
      </w:r>
      <w:r w:rsidRPr="004E147E">
        <w:rPr>
          <w:rFonts w:asciiTheme="majorHAnsi" w:eastAsiaTheme="minorHAnsi" w:hAnsiTheme="majorHAnsi" w:cstheme="majorHAnsi"/>
          <w:i/>
          <w:iCs/>
          <w:color w:val="44546A" w:themeColor="text2"/>
          <w:sz w:val="22"/>
          <w:szCs w:val="22"/>
          <w:lang w:val="en-US"/>
        </w:rPr>
        <w:fldChar w:fldCharType="separate"/>
      </w:r>
      <w:r w:rsidR="00D6133D">
        <w:rPr>
          <w:rFonts w:asciiTheme="majorHAnsi" w:eastAsiaTheme="minorHAnsi" w:hAnsiTheme="majorHAnsi" w:cstheme="majorHAnsi"/>
          <w:i/>
          <w:iCs/>
          <w:noProof/>
          <w:color w:val="44546A" w:themeColor="text2"/>
          <w:sz w:val="22"/>
          <w:szCs w:val="22"/>
          <w:lang w:val="en-US"/>
        </w:rPr>
        <w:t>62</w:t>
      </w:r>
      <w:r w:rsidRPr="004E147E">
        <w:rPr>
          <w:rFonts w:asciiTheme="majorHAnsi" w:eastAsiaTheme="minorHAnsi" w:hAnsiTheme="majorHAnsi" w:cstheme="majorHAnsi"/>
          <w:i/>
          <w:iCs/>
          <w:color w:val="44546A" w:themeColor="text2"/>
          <w:sz w:val="22"/>
          <w:szCs w:val="22"/>
          <w:lang w:val="en-US"/>
        </w:rPr>
        <w:fldChar w:fldCharType="end"/>
      </w:r>
      <w:r w:rsidRPr="004E147E">
        <w:rPr>
          <w:rFonts w:asciiTheme="majorHAnsi" w:eastAsiaTheme="minorHAnsi" w:hAnsiTheme="majorHAnsi" w:cstheme="majorHAnsi"/>
          <w:i/>
          <w:iCs/>
          <w:color w:val="44546A" w:themeColor="text2"/>
          <w:sz w:val="22"/>
          <w:szCs w:val="22"/>
          <w:lang w:val="en-US"/>
        </w:rPr>
        <w:t>. School Leaver Rate by Divisions under EOPE Study (%), SY2017-2018 (Endline)</w:t>
      </w:r>
      <w:bookmarkEnd w:id="606"/>
      <w:r w:rsidRPr="004E147E">
        <w:rPr>
          <w:noProof/>
          <w:lang w:val="en-AU" w:eastAsia="en-AU"/>
        </w:rPr>
        <w:drawing>
          <wp:inline distT="0" distB="0" distL="0" distR="0" wp14:anchorId="0A3B5B3C" wp14:editId="4467689A">
            <wp:extent cx="8276897" cy="2810429"/>
            <wp:effectExtent l="0" t="0" r="3810" b="0"/>
            <wp:docPr id="119" name="Picture 119" descr="Bar graph of school leaver rate by divisions under the EOPE Study, for school year 2017-2018. Higher for Males than fe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Bar graph of school leaver rate by divisions under the EOPE Study, for school year 2017-2018. Higher for Males than females."/>
                    <pic:cNvPicPr/>
                  </pic:nvPicPr>
                  <pic:blipFill rotWithShape="1">
                    <a:blip r:embed="rId123" cstate="print">
                      <a:extLst>
                        <a:ext uri="{28A0092B-C50C-407E-A947-70E740481C1C}">
                          <a14:useLocalDpi xmlns:a14="http://schemas.microsoft.com/office/drawing/2010/main" val="0"/>
                        </a:ext>
                      </a:extLst>
                    </a:blip>
                    <a:srcRect l="1818" t="7619" b="39040"/>
                    <a:stretch/>
                  </pic:blipFill>
                  <pic:spPr bwMode="auto">
                    <a:xfrm>
                      <a:off x="0" y="0"/>
                      <a:ext cx="8303358" cy="2819414"/>
                    </a:xfrm>
                    <a:prstGeom prst="rect">
                      <a:avLst/>
                    </a:prstGeom>
                    <a:ln>
                      <a:noFill/>
                    </a:ln>
                    <a:extLst>
                      <a:ext uri="{53640926-AAD7-44D8-BBD7-CCE9431645EC}">
                        <a14:shadowObscured xmlns:a14="http://schemas.microsoft.com/office/drawing/2010/main"/>
                      </a:ext>
                    </a:extLst>
                  </pic:spPr>
                </pic:pic>
              </a:graphicData>
            </a:graphic>
          </wp:inline>
        </w:drawing>
      </w:r>
      <w:bookmarkEnd w:id="607"/>
    </w:p>
    <w:p w14:paraId="252A22EB" w14:textId="1A8EDC2C" w:rsidR="008D0CAD" w:rsidRPr="00AC648E" w:rsidRDefault="008D0CAD" w:rsidP="00385784">
      <w:pPr>
        <w:pageBreakBefore/>
        <w:spacing w:before="100" w:beforeAutospacing="1" w:after="100" w:afterAutospacing="1" w:line="360" w:lineRule="auto"/>
        <w:rPr>
          <w:rFonts w:asciiTheme="majorHAnsi" w:eastAsiaTheme="minorHAnsi" w:hAnsiTheme="majorHAnsi" w:cstheme="majorHAnsi"/>
          <w:i/>
          <w:iCs/>
          <w:color w:val="44546A" w:themeColor="text2"/>
          <w:sz w:val="22"/>
          <w:szCs w:val="22"/>
          <w:lang w:val="en-US"/>
        </w:rPr>
      </w:pPr>
      <w:bookmarkStart w:id="608" w:name="_Toc16524143"/>
      <w:bookmarkStart w:id="609" w:name="_Toc71616590"/>
      <w:r w:rsidRPr="00AC648E">
        <w:rPr>
          <w:rFonts w:asciiTheme="majorHAnsi" w:eastAsiaTheme="minorHAnsi" w:hAnsiTheme="majorHAnsi" w:cstheme="majorHAnsi"/>
          <w:i/>
          <w:iCs/>
          <w:color w:val="44546A" w:themeColor="text2"/>
          <w:sz w:val="22"/>
          <w:szCs w:val="22"/>
          <w:lang w:val="en-US"/>
        </w:rPr>
        <w:t xml:space="preserve">Figure </w:t>
      </w:r>
      <w:r w:rsidRPr="00AC648E">
        <w:rPr>
          <w:rFonts w:asciiTheme="majorHAnsi" w:eastAsiaTheme="minorHAnsi" w:hAnsiTheme="majorHAnsi" w:cstheme="majorHAnsi"/>
          <w:i/>
          <w:iCs/>
          <w:color w:val="44546A" w:themeColor="text2"/>
          <w:sz w:val="22"/>
          <w:szCs w:val="22"/>
          <w:lang w:val="en-US"/>
        </w:rPr>
        <w:fldChar w:fldCharType="begin"/>
      </w:r>
      <w:r w:rsidRPr="00AC648E">
        <w:rPr>
          <w:rFonts w:asciiTheme="majorHAnsi" w:eastAsiaTheme="minorHAnsi" w:hAnsiTheme="majorHAnsi" w:cstheme="majorHAnsi"/>
          <w:i/>
          <w:iCs/>
          <w:color w:val="44546A" w:themeColor="text2"/>
          <w:sz w:val="22"/>
          <w:szCs w:val="22"/>
          <w:lang w:val="en-US"/>
        </w:rPr>
        <w:instrText xml:space="preserve"> SEQ Figure \* ARABIC </w:instrText>
      </w:r>
      <w:r w:rsidRPr="00AC648E">
        <w:rPr>
          <w:rFonts w:asciiTheme="majorHAnsi" w:eastAsiaTheme="minorHAnsi" w:hAnsiTheme="majorHAnsi" w:cstheme="majorHAnsi"/>
          <w:i/>
          <w:iCs/>
          <w:color w:val="44546A" w:themeColor="text2"/>
          <w:sz w:val="22"/>
          <w:szCs w:val="22"/>
          <w:lang w:val="en-US"/>
        </w:rPr>
        <w:fldChar w:fldCharType="separate"/>
      </w:r>
      <w:r w:rsidR="00D6133D">
        <w:rPr>
          <w:rFonts w:asciiTheme="majorHAnsi" w:eastAsiaTheme="minorHAnsi" w:hAnsiTheme="majorHAnsi" w:cstheme="majorHAnsi"/>
          <w:i/>
          <w:iCs/>
          <w:noProof/>
          <w:color w:val="44546A" w:themeColor="text2"/>
          <w:sz w:val="22"/>
          <w:szCs w:val="22"/>
          <w:lang w:val="en-US"/>
        </w:rPr>
        <w:t>63</w:t>
      </w:r>
      <w:r w:rsidRPr="00AC648E">
        <w:rPr>
          <w:rFonts w:asciiTheme="majorHAnsi" w:eastAsiaTheme="minorHAnsi" w:hAnsiTheme="majorHAnsi" w:cstheme="majorHAnsi"/>
          <w:i/>
          <w:iCs/>
          <w:color w:val="44546A" w:themeColor="text2"/>
          <w:sz w:val="22"/>
          <w:szCs w:val="22"/>
          <w:lang w:val="en-US"/>
        </w:rPr>
        <w:fldChar w:fldCharType="end"/>
      </w:r>
      <w:r w:rsidRPr="00AC648E">
        <w:rPr>
          <w:rFonts w:asciiTheme="majorHAnsi" w:eastAsiaTheme="minorHAnsi" w:hAnsiTheme="majorHAnsi" w:cstheme="majorHAnsi"/>
          <w:i/>
          <w:iCs/>
          <w:color w:val="44546A" w:themeColor="text2"/>
          <w:sz w:val="22"/>
          <w:szCs w:val="22"/>
          <w:lang w:val="en-US"/>
        </w:rPr>
        <w:t>. Change in School Leaver Rate by Divisions under EOPE Study (%), (Endline-Baseline)</w:t>
      </w:r>
      <w:bookmarkEnd w:id="608"/>
      <w:bookmarkEnd w:id="609"/>
    </w:p>
    <w:p w14:paraId="5C8A44C5" w14:textId="3ABB04F4" w:rsidR="008D0CAD" w:rsidRPr="004E147E" w:rsidRDefault="007F7F02" w:rsidP="00796BFA">
      <w:pPr>
        <w:spacing w:before="100" w:beforeAutospacing="1" w:after="100" w:afterAutospacing="1" w:line="360" w:lineRule="auto"/>
        <w:rPr>
          <w:lang w:val="en-US"/>
        </w:rPr>
      </w:pPr>
      <w:r w:rsidRPr="007F7F02">
        <w:rPr>
          <w:noProof/>
          <w:lang w:val="en-US"/>
        </w:rPr>
        <w:drawing>
          <wp:inline distT="0" distB="0" distL="0" distR="0" wp14:anchorId="1F5F1DCB" wp14:editId="7BD2FD4E">
            <wp:extent cx="8830907" cy="3429479"/>
            <wp:effectExtent l="0" t="0" r="0" b="0"/>
            <wp:docPr id="12" name="Picture 12" descr="Change in school leaver rate by divisions under EOPE study. Higher for males at -3.58% than females at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nge in school leaver rate by divisions under EOPE study. Higher for males at -3.58% than females at -2.97%"/>
                    <pic:cNvPicPr/>
                  </pic:nvPicPr>
                  <pic:blipFill>
                    <a:blip r:embed="rId124"/>
                    <a:stretch>
                      <a:fillRect/>
                    </a:stretch>
                  </pic:blipFill>
                  <pic:spPr>
                    <a:xfrm>
                      <a:off x="0" y="0"/>
                      <a:ext cx="8830907" cy="3429479"/>
                    </a:xfrm>
                    <a:prstGeom prst="rect">
                      <a:avLst/>
                    </a:prstGeom>
                  </pic:spPr>
                </pic:pic>
              </a:graphicData>
            </a:graphic>
          </wp:inline>
        </w:drawing>
      </w:r>
    </w:p>
    <w:p w14:paraId="27E8FB7E" w14:textId="77777777" w:rsidR="008D0CAD" w:rsidRDefault="008D0CAD" w:rsidP="00796BFA">
      <w:pPr>
        <w:spacing w:before="100" w:beforeAutospacing="1" w:after="100" w:afterAutospacing="1" w:line="360" w:lineRule="auto"/>
        <w:rPr>
          <w:lang w:val="en-US"/>
        </w:rPr>
      </w:pPr>
    </w:p>
    <w:p w14:paraId="3004CAFE" w14:textId="77777777" w:rsidR="008D0CAD" w:rsidRDefault="008D0CAD" w:rsidP="00796BFA">
      <w:pPr>
        <w:spacing w:before="100" w:beforeAutospacing="1" w:after="100" w:afterAutospacing="1" w:line="360" w:lineRule="auto"/>
        <w:rPr>
          <w:lang w:val="en-US"/>
        </w:rPr>
        <w:sectPr w:rsidR="008D0CAD" w:rsidSect="009C64E9">
          <w:pgSz w:w="15840" w:h="12240" w:orient="landscape"/>
          <w:pgMar w:top="720" w:right="720" w:bottom="720" w:left="720" w:header="720" w:footer="720" w:gutter="0"/>
          <w:cols w:space="720"/>
          <w:docGrid w:linePitch="360"/>
        </w:sectPr>
      </w:pPr>
    </w:p>
    <w:p w14:paraId="42EC5148" w14:textId="77777777" w:rsidR="008D0CAD" w:rsidRPr="004E147E" w:rsidRDefault="008D0CAD" w:rsidP="00796BFA">
      <w:pPr>
        <w:pStyle w:val="Heading5"/>
        <w:numPr>
          <w:ilvl w:val="0"/>
          <w:numId w:val="0"/>
        </w:numPr>
        <w:spacing w:before="100" w:beforeAutospacing="1" w:after="100" w:afterAutospacing="1" w:line="360" w:lineRule="auto"/>
        <w:ind w:left="1222" w:hanging="1080"/>
      </w:pPr>
      <w:bookmarkStart w:id="610" w:name="_Toc16524079"/>
      <w:bookmarkStart w:id="611" w:name="_Toc39938423"/>
      <w:bookmarkStart w:id="612" w:name="_Toc69820527"/>
      <w:r w:rsidRPr="004E147E">
        <w:t>Learners with Exceptionalities</w:t>
      </w:r>
      <w:r w:rsidRPr="004E147E">
        <w:rPr>
          <w:vertAlign w:val="superscript"/>
        </w:rPr>
        <w:footnoteReference w:id="146"/>
      </w:r>
      <w:bookmarkEnd w:id="610"/>
      <w:bookmarkEnd w:id="611"/>
      <w:bookmarkEnd w:id="612"/>
    </w:p>
    <w:p w14:paraId="7EF71D48" w14:textId="3F61A598" w:rsidR="008D0CAD" w:rsidRPr="004E147E" w:rsidRDefault="008D0CAD" w:rsidP="00796BFA">
      <w:pPr>
        <w:spacing w:before="100" w:beforeAutospacing="1" w:after="100" w:afterAutospacing="1" w:line="360" w:lineRule="auto"/>
        <w:rPr>
          <w:rFonts w:asciiTheme="majorHAnsi" w:hAnsiTheme="majorHAnsi" w:cstheme="majorHAnsi"/>
          <w:lang w:val="en-US"/>
        </w:rPr>
      </w:pPr>
      <w:r w:rsidRPr="004E147E">
        <w:rPr>
          <w:rFonts w:asciiTheme="majorHAnsi" w:hAnsiTheme="majorHAnsi" w:cstheme="majorHAnsi"/>
          <w:lang w:val="en-US"/>
        </w:rPr>
        <w:t>Just as the number of children enrolled in basic education increased over the last five years, there was also a significant increase in the number of learners with exceptionalities (Figure 18).</w:t>
      </w:r>
      <w:r w:rsidR="00D434EB">
        <w:rPr>
          <w:rFonts w:asciiTheme="majorHAnsi" w:hAnsiTheme="majorHAnsi" w:cstheme="majorHAnsi"/>
          <w:lang w:val="en-US"/>
        </w:rPr>
        <w:t xml:space="preserve"> </w:t>
      </w:r>
      <w:r w:rsidRPr="004E147E">
        <w:rPr>
          <w:rFonts w:asciiTheme="majorHAnsi" w:hAnsiTheme="majorHAnsi" w:cstheme="majorHAnsi"/>
          <w:lang w:val="en-US"/>
        </w:rPr>
        <w:t>In SY2014-2015, there were a total of 36,660 learners with exceptionalities recorded in the DepEd database (Table 13)</w:t>
      </w:r>
      <w:r w:rsidRPr="004E147E">
        <w:rPr>
          <w:rFonts w:asciiTheme="majorHAnsi" w:hAnsiTheme="majorHAnsi" w:cstheme="majorHAnsi"/>
          <w:vertAlign w:val="superscript"/>
          <w:lang w:val="en-US"/>
        </w:rPr>
        <w:footnoteReference w:id="147"/>
      </w:r>
      <w:r w:rsidRPr="004E147E">
        <w:rPr>
          <w:rFonts w:asciiTheme="majorHAnsi" w:hAnsiTheme="majorHAnsi" w:cstheme="majorHAnsi"/>
          <w:lang w:val="en-US"/>
        </w:rPr>
        <w:t>.</w:t>
      </w:r>
      <w:r w:rsidR="00D434EB">
        <w:rPr>
          <w:rFonts w:asciiTheme="majorHAnsi" w:hAnsiTheme="majorHAnsi" w:cstheme="majorHAnsi"/>
          <w:lang w:val="en-US"/>
        </w:rPr>
        <w:t xml:space="preserve"> </w:t>
      </w:r>
      <w:r w:rsidRPr="004E147E">
        <w:rPr>
          <w:rFonts w:asciiTheme="majorHAnsi" w:hAnsiTheme="majorHAnsi" w:cstheme="majorHAnsi"/>
          <w:lang w:val="en-US"/>
        </w:rPr>
        <w:t>About two for every five learners (39%) were girls.</w:t>
      </w:r>
      <w:r w:rsidR="00D434EB">
        <w:rPr>
          <w:rFonts w:asciiTheme="majorHAnsi" w:hAnsiTheme="majorHAnsi" w:cstheme="majorHAnsi"/>
          <w:lang w:val="en-US"/>
        </w:rPr>
        <w:t xml:space="preserve"> </w:t>
      </w:r>
      <w:r w:rsidRPr="004E147E">
        <w:rPr>
          <w:rFonts w:asciiTheme="majorHAnsi" w:hAnsiTheme="majorHAnsi" w:cstheme="majorHAnsi"/>
          <w:lang w:val="en-US"/>
        </w:rPr>
        <w:t>Sixteen percent of this total were learners in Region IV-A, 9 percent in Region III and 8 percent in Region VII.</w:t>
      </w:r>
    </w:p>
    <w:p w14:paraId="692B4319" w14:textId="5981EB41" w:rsidR="008D0CAD" w:rsidRPr="004E147E" w:rsidRDefault="008D0CAD" w:rsidP="00796BFA">
      <w:pPr>
        <w:spacing w:before="100" w:beforeAutospacing="1" w:after="100" w:afterAutospacing="1" w:line="360" w:lineRule="auto"/>
        <w:rPr>
          <w:rFonts w:asciiTheme="majorHAnsi" w:hAnsiTheme="majorHAnsi" w:cstheme="majorHAnsi"/>
          <w:lang w:val="en-US"/>
        </w:rPr>
      </w:pPr>
      <w:r w:rsidRPr="004E147E">
        <w:rPr>
          <w:rFonts w:asciiTheme="majorHAnsi" w:hAnsiTheme="majorHAnsi" w:cstheme="majorHAnsi"/>
          <w:lang w:val="en-US"/>
        </w:rPr>
        <w:t>By SY2018-2019, the total learners with exceptionalities increased by more than 50 percent to 54,647.</w:t>
      </w:r>
      <w:r w:rsidR="00D434EB">
        <w:rPr>
          <w:rFonts w:asciiTheme="majorHAnsi" w:hAnsiTheme="majorHAnsi" w:cstheme="majorHAnsi"/>
          <w:lang w:val="en-US"/>
        </w:rPr>
        <w:t xml:space="preserve"> </w:t>
      </w:r>
      <w:r w:rsidRPr="004E147E">
        <w:rPr>
          <w:rFonts w:asciiTheme="majorHAnsi" w:hAnsiTheme="majorHAnsi" w:cstheme="majorHAnsi"/>
          <w:lang w:val="en-US"/>
        </w:rPr>
        <w:t xml:space="preserve">This meant that an additional 16,319 learners with exceptionalities entered the school system. These largely came from Region IV-A (18% or 2,927), Region III (17% or 2,853) and Region VI (12% or 2,004). </w:t>
      </w:r>
      <w:r w:rsidR="00624291">
        <w:rPr>
          <w:rFonts w:asciiTheme="majorHAnsi" w:hAnsiTheme="majorHAnsi" w:cstheme="majorHAnsi"/>
          <w:lang w:val="en-US"/>
        </w:rPr>
        <w:t>A</w:t>
      </w:r>
      <w:r w:rsidRPr="004E147E">
        <w:rPr>
          <w:rFonts w:asciiTheme="majorHAnsi" w:hAnsiTheme="majorHAnsi" w:cstheme="majorHAnsi"/>
          <w:lang w:val="en-US"/>
        </w:rPr>
        <w:t>bout two for every five learners (38%) were girls.</w:t>
      </w:r>
      <w:r w:rsidR="00D434EB">
        <w:rPr>
          <w:rFonts w:asciiTheme="majorHAnsi" w:hAnsiTheme="majorHAnsi" w:cstheme="majorHAnsi"/>
          <w:lang w:val="en-US"/>
        </w:rPr>
        <w:t xml:space="preserve"> </w:t>
      </w:r>
    </w:p>
    <w:p w14:paraId="3BB9FE4F" w14:textId="169C9D99" w:rsidR="008D0CAD" w:rsidRPr="004E147E" w:rsidRDefault="008D0CAD" w:rsidP="00796BFA">
      <w:pPr>
        <w:spacing w:before="100" w:beforeAutospacing="1" w:after="100" w:afterAutospacing="1" w:line="360" w:lineRule="auto"/>
        <w:rPr>
          <w:rFonts w:asciiTheme="majorHAnsi" w:hAnsiTheme="majorHAnsi" w:cstheme="majorHAnsi"/>
          <w:lang w:val="en-US"/>
        </w:rPr>
      </w:pPr>
      <w:r w:rsidRPr="004E147E">
        <w:rPr>
          <w:rFonts w:asciiTheme="majorHAnsi" w:hAnsiTheme="majorHAnsi" w:cstheme="majorHAnsi"/>
          <w:lang w:val="en-US"/>
        </w:rPr>
        <w:t>The top two regions with the highest concentration of learners with exceptionalities remained the same: 16 percent in Region IV-A and 11 percent in Region III.</w:t>
      </w:r>
      <w:r w:rsidR="00D434EB">
        <w:rPr>
          <w:rFonts w:asciiTheme="majorHAnsi" w:hAnsiTheme="majorHAnsi" w:cstheme="majorHAnsi"/>
          <w:lang w:val="en-US"/>
        </w:rPr>
        <w:t xml:space="preserve"> </w:t>
      </w:r>
      <w:r w:rsidRPr="004E147E">
        <w:rPr>
          <w:rFonts w:asciiTheme="majorHAnsi" w:hAnsiTheme="majorHAnsi" w:cstheme="majorHAnsi"/>
          <w:lang w:val="en-US"/>
        </w:rPr>
        <w:t>However, Region VI overtook Region VII with the third highest concentration of learners with exceptionalities with 9 Percent compared to 7 percent.</w:t>
      </w:r>
    </w:p>
    <w:p w14:paraId="695DE993" w14:textId="5409A8A1" w:rsidR="008D0CAD" w:rsidRPr="004E147E" w:rsidRDefault="008D0CAD" w:rsidP="00796BFA">
      <w:pPr>
        <w:spacing w:before="100" w:beforeAutospacing="1" w:after="100" w:afterAutospacing="1" w:line="360" w:lineRule="auto"/>
        <w:rPr>
          <w:rFonts w:asciiTheme="majorHAnsi" w:hAnsiTheme="majorHAnsi" w:cstheme="majorHAnsi"/>
          <w:lang w:val="en-US"/>
        </w:rPr>
      </w:pPr>
      <w:r w:rsidRPr="004E147E">
        <w:rPr>
          <w:rFonts w:asciiTheme="majorHAnsi" w:hAnsiTheme="majorHAnsi" w:cstheme="majorHAnsi"/>
          <w:lang w:val="en-US"/>
        </w:rPr>
        <w:t xml:space="preserve">It is noteworthy to mention that </w:t>
      </w:r>
      <w:r w:rsidR="00624291">
        <w:rPr>
          <w:rFonts w:asciiTheme="majorHAnsi" w:hAnsiTheme="majorHAnsi" w:cstheme="majorHAnsi"/>
          <w:lang w:val="en-US"/>
        </w:rPr>
        <w:t xml:space="preserve">the </w:t>
      </w:r>
      <w:r w:rsidRPr="004E147E">
        <w:rPr>
          <w:rFonts w:asciiTheme="majorHAnsi" w:hAnsiTheme="majorHAnsi" w:cstheme="majorHAnsi"/>
          <w:lang w:val="en-US"/>
        </w:rPr>
        <w:t>data revealed there w</w:t>
      </w:r>
      <w:r w:rsidR="00624291">
        <w:rPr>
          <w:rFonts w:asciiTheme="majorHAnsi" w:hAnsiTheme="majorHAnsi" w:cstheme="majorHAnsi"/>
          <w:lang w:val="en-US"/>
        </w:rPr>
        <w:t>ere</w:t>
      </w:r>
      <w:r w:rsidRPr="004E147E">
        <w:rPr>
          <w:rFonts w:asciiTheme="majorHAnsi" w:hAnsiTheme="majorHAnsi" w:cstheme="majorHAnsi"/>
          <w:lang w:val="en-US"/>
        </w:rPr>
        <w:t xml:space="preserve"> twice as many boys with exceptionalities than girls.</w:t>
      </w:r>
    </w:p>
    <w:p w14:paraId="0CFF7225" w14:textId="55D1BEB9" w:rsidR="008D0CAD" w:rsidRPr="00AC648E" w:rsidRDefault="008D0CAD" w:rsidP="00385784">
      <w:pPr>
        <w:pageBreakBefore/>
        <w:spacing w:before="100" w:beforeAutospacing="1" w:after="100" w:afterAutospacing="1" w:line="360" w:lineRule="auto"/>
        <w:rPr>
          <w:rFonts w:asciiTheme="majorHAnsi" w:eastAsiaTheme="minorHAnsi" w:hAnsiTheme="majorHAnsi" w:cstheme="majorHAnsi"/>
          <w:b/>
          <w:bCs/>
          <w:i/>
          <w:iCs/>
          <w:color w:val="44546A" w:themeColor="text2"/>
          <w:sz w:val="22"/>
          <w:szCs w:val="22"/>
          <w:lang w:val="en-US"/>
        </w:rPr>
      </w:pPr>
      <w:r w:rsidRPr="00AC648E">
        <w:rPr>
          <w:rFonts w:asciiTheme="majorHAnsi" w:eastAsiaTheme="minorHAnsi" w:hAnsiTheme="majorHAnsi" w:cstheme="majorHAnsi"/>
          <w:i/>
          <w:iCs/>
          <w:color w:val="44546A" w:themeColor="text2"/>
          <w:sz w:val="22"/>
          <w:szCs w:val="22"/>
          <w:lang w:val="en-US"/>
        </w:rPr>
        <w:t xml:space="preserve"> </w:t>
      </w:r>
      <w:bookmarkStart w:id="613" w:name="_Toc16524144"/>
      <w:bookmarkStart w:id="614" w:name="_Toc71616591"/>
      <w:r w:rsidRPr="00AC648E">
        <w:rPr>
          <w:rFonts w:asciiTheme="majorHAnsi" w:eastAsiaTheme="minorHAnsi" w:hAnsiTheme="majorHAnsi" w:cstheme="majorHAnsi"/>
          <w:i/>
          <w:iCs/>
          <w:color w:val="44546A" w:themeColor="text2"/>
          <w:sz w:val="22"/>
          <w:szCs w:val="22"/>
          <w:lang w:val="en-US"/>
        </w:rPr>
        <w:t xml:space="preserve">Figure </w:t>
      </w:r>
      <w:r w:rsidRPr="00AC648E">
        <w:rPr>
          <w:rFonts w:asciiTheme="majorHAnsi" w:eastAsiaTheme="minorHAnsi" w:hAnsiTheme="majorHAnsi" w:cstheme="majorHAnsi"/>
          <w:i/>
          <w:iCs/>
          <w:color w:val="44546A" w:themeColor="text2"/>
          <w:sz w:val="22"/>
          <w:szCs w:val="22"/>
          <w:lang w:val="en-US"/>
        </w:rPr>
        <w:fldChar w:fldCharType="begin"/>
      </w:r>
      <w:r w:rsidRPr="00AC648E">
        <w:rPr>
          <w:rFonts w:asciiTheme="majorHAnsi" w:eastAsiaTheme="minorHAnsi" w:hAnsiTheme="majorHAnsi" w:cstheme="majorHAnsi"/>
          <w:i/>
          <w:iCs/>
          <w:color w:val="44546A" w:themeColor="text2"/>
          <w:sz w:val="22"/>
          <w:szCs w:val="22"/>
          <w:lang w:val="en-US"/>
        </w:rPr>
        <w:instrText xml:space="preserve"> SEQ Figure \* ARABIC </w:instrText>
      </w:r>
      <w:r w:rsidRPr="00AC648E">
        <w:rPr>
          <w:rFonts w:asciiTheme="majorHAnsi" w:eastAsiaTheme="minorHAnsi" w:hAnsiTheme="majorHAnsi" w:cstheme="majorHAnsi"/>
          <w:i/>
          <w:iCs/>
          <w:color w:val="44546A" w:themeColor="text2"/>
          <w:sz w:val="22"/>
          <w:szCs w:val="22"/>
          <w:lang w:val="en-US"/>
        </w:rPr>
        <w:fldChar w:fldCharType="separate"/>
      </w:r>
      <w:r w:rsidR="00D6133D">
        <w:rPr>
          <w:rFonts w:asciiTheme="majorHAnsi" w:eastAsiaTheme="minorHAnsi" w:hAnsiTheme="majorHAnsi" w:cstheme="majorHAnsi"/>
          <w:i/>
          <w:iCs/>
          <w:noProof/>
          <w:color w:val="44546A" w:themeColor="text2"/>
          <w:sz w:val="22"/>
          <w:szCs w:val="22"/>
          <w:lang w:val="en-US"/>
        </w:rPr>
        <w:t>64</w:t>
      </w:r>
      <w:r w:rsidRPr="00AC648E">
        <w:rPr>
          <w:rFonts w:asciiTheme="majorHAnsi" w:eastAsiaTheme="minorHAnsi" w:hAnsiTheme="majorHAnsi" w:cstheme="majorHAnsi"/>
          <w:i/>
          <w:iCs/>
          <w:color w:val="44546A" w:themeColor="text2"/>
          <w:sz w:val="22"/>
          <w:szCs w:val="22"/>
          <w:lang w:val="en-US"/>
        </w:rPr>
        <w:fldChar w:fldCharType="end"/>
      </w:r>
      <w:r w:rsidRPr="00AC648E">
        <w:rPr>
          <w:rFonts w:asciiTheme="majorHAnsi" w:eastAsiaTheme="minorHAnsi" w:hAnsiTheme="majorHAnsi" w:cstheme="majorHAnsi"/>
          <w:i/>
          <w:iCs/>
          <w:color w:val="44546A" w:themeColor="text2"/>
          <w:sz w:val="22"/>
          <w:szCs w:val="22"/>
          <w:lang w:val="en-US"/>
        </w:rPr>
        <w:t>. Change in Number of Learners with Exceptionalities, SY2014-2015 to SY2018-2019</w:t>
      </w:r>
      <w:bookmarkEnd w:id="613"/>
      <w:bookmarkEnd w:id="614"/>
    </w:p>
    <w:p w14:paraId="3ECAA938" w14:textId="1C048312" w:rsidR="008D0CAD" w:rsidRPr="004E147E" w:rsidRDefault="009F4094" w:rsidP="00796BFA">
      <w:pPr>
        <w:spacing w:before="100" w:beforeAutospacing="1" w:after="100" w:afterAutospacing="1" w:line="360" w:lineRule="auto"/>
        <w:rPr>
          <w:rFonts w:asciiTheme="majorHAnsi" w:hAnsiTheme="majorHAnsi" w:cstheme="majorHAnsi"/>
          <w:lang w:val="en-US"/>
        </w:rPr>
      </w:pPr>
      <w:r w:rsidRPr="009F4094">
        <w:rPr>
          <w:rFonts w:asciiTheme="majorHAnsi" w:hAnsiTheme="majorHAnsi" w:cstheme="majorHAnsi"/>
          <w:noProof/>
          <w:lang w:val="en-US"/>
        </w:rPr>
        <w:drawing>
          <wp:inline distT="0" distB="0" distL="0" distR="0" wp14:anchorId="5E55A403" wp14:editId="108EF57A">
            <wp:extent cx="6161652" cy="3438939"/>
            <wp:effectExtent l="0" t="0" r="0" b="9525"/>
            <wp:docPr id="18" name="Picture 18" descr="Change in number of learners with exceptionalities for SY 2014-2015 - SY 2018-2019. Highest for both males and females in Region III, followed by Region IVA; Higher for males than females for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nge in number of learners with exceptionalities for SY 2014-2015 - SY 2018-2019. Highest for both males and females in Region III, followed by Region IVA; Higher for males than females for all."/>
                    <pic:cNvPicPr/>
                  </pic:nvPicPr>
                  <pic:blipFill>
                    <a:blip r:embed="rId125"/>
                    <a:stretch>
                      <a:fillRect/>
                    </a:stretch>
                  </pic:blipFill>
                  <pic:spPr>
                    <a:xfrm>
                      <a:off x="0" y="0"/>
                      <a:ext cx="6169583" cy="3443366"/>
                    </a:xfrm>
                    <a:prstGeom prst="rect">
                      <a:avLst/>
                    </a:prstGeom>
                  </pic:spPr>
                </pic:pic>
              </a:graphicData>
            </a:graphic>
          </wp:inline>
        </w:drawing>
      </w:r>
    </w:p>
    <w:p w14:paraId="7FCA9086" w14:textId="1D698CAC" w:rsidR="008D0CAD" w:rsidRDefault="008D0CAD" w:rsidP="00796BFA">
      <w:pPr>
        <w:spacing w:before="100" w:beforeAutospacing="1" w:after="100" w:afterAutospacing="1" w:line="360" w:lineRule="auto"/>
        <w:rPr>
          <w:rFonts w:asciiTheme="majorHAnsi" w:hAnsiTheme="majorHAnsi" w:cstheme="majorHAnsi"/>
          <w:bCs/>
          <w:i/>
          <w:iCs/>
          <w:sz w:val="20"/>
          <w:szCs w:val="20"/>
          <w:lang w:val="en-US"/>
        </w:rPr>
        <w:sectPr w:rsidR="008D0CAD" w:rsidSect="009C64E9">
          <w:pgSz w:w="12240" w:h="15840"/>
          <w:pgMar w:top="1440" w:right="1440" w:bottom="1440" w:left="1440" w:header="720" w:footer="720" w:gutter="0"/>
          <w:cols w:space="720"/>
          <w:docGrid w:linePitch="360"/>
        </w:sectPr>
      </w:pPr>
    </w:p>
    <w:p w14:paraId="191753F3" w14:textId="73139D51" w:rsidR="008D0CAD" w:rsidRPr="00AC648E" w:rsidRDefault="008D0CAD" w:rsidP="00796BFA">
      <w:pPr>
        <w:spacing w:before="100" w:beforeAutospacing="1" w:after="100" w:afterAutospacing="1" w:line="360" w:lineRule="auto"/>
        <w:rPr>
          <w:rFonts w:asciiTheme="majorHAnsi" w:eastAsiaTheme="minorHAnsi" w:hAnsiTheme="majorHAnsi" w:cstheme="majorHAnsi"/>
          <w:i/>
          <w:iCs/>
          <w:color w:val="44546A" w:themeColor="text2"/>
          <w:sz w:val="22"/>
          <w:szCs w:val="22"/>
          <w:lang w:val="en-US"/>
        </w:rPr>
      </w:pPr>
      <w:bookmarkStart w:id="615" w:name="_Toc16524200"/>
      <w:bookmarkStart w:id="616" w:name="_Toc71616663"/>
      <w:r w:rsidRPr="00AC648E">
        <w:rPr>
          <w:rFonts w:asciiTheme="majorHAnsi" w:eastAsiaTheme="minorHAnsi" w:hAnsiTheme="majorHAnsi" w:cstheme="majorHAnsi"/>
          <w:i/>
          <w:iCs/>
          <w:color w:val="44546A" w:themeColor="text2"/>
          <w:sz w:val="22"/>
          <w:szCs w:val="22"/>
          <w:lang w:val="en-US"/>
        </w:rPr>
        <w:t xml:space="preserve">Table </w:t>
      </w:r>
      <w:r w:rsidRPr="00AC648E">
        <w:rPr>
          <w:rFonts w:asciiTheme="majorHAnsi" w:eastAsiaTheme="minorHAnsi" w:hAnsiTheme="majorHAnsi" w:cstheme="majorHAnsi"/>
          <w:i/>
          <w:iCs/>
          <w:color w:val="44546A" w:themeColor="text2"/>
          <w:sz w:val="22"/>
          <w:szCs w:val="22"/>
          <w:lang w:val="en-US"/>
        </w:rPr>
        <w:fldChar w:fldCharType="begin"/>
      </w:r>
      <w:r w:rsidRPr="00AC648E">
        <w:rPr>
          <w:rFonts w:asciiTheme="majorHAnsi" w:eastAsiaTheme="minorHAnsi" w:hAnsiTheme="majorHAnsi" w:cstheme="majorHAnsi"/>
          <w:i/>
          <w:iCs/>
          <w:color w:val="44546A" w:themeColor="text2"/>
          <w:sz w:val="22"/>
          <w:szCs w:val="22"/>
          <w:lang w:val="en-US"/>
        </w:rPr>
        <w:instrText xml:space="preserve"> SEQ Table \* ARABIC </w:instrText>
      </w:r>
      <w:r w:rsidRPr="00AC648E">
        <w:rPr>
          <w:rFonts w:asciiTheme="majorHAnsi" w:eastAsiaTheme="minorHAnsi" w:hAnsiTheme="majorHAnsi" w:cstheme="majorHAnsi"/>
          <w:i/>
          <w:iCs/>
          <w:color w:val="44546A" w:themeColor="text2"/>
          <w:sz w:val="22"/>
          <w:szCs w:val="22"/>
          <w:lang w:val="en-US"/>
        </w:rPr>
        <w:fldChar w:fldCharType="separate"/>
      </w:r>
      <w:r w:rsidR="00D6133D">
        <w:rPr>
          <w:rFonts w:asciiTheme="majorHAnsi" w:eastAsiaTheme="minorHAnsi" w:hAnsiTheme="majorHAnsi" w:cstheme="majorHAnsi"/>
          <w:i/>
          <w:iCs/>
          <w:noProof/>
          <w:color w:val="44546A" w:themeColor="text2"/>
          <w:sz w:val="22"/>
          <w:szCs w:val="22"/>
          <w:lang w:val="en-US"/>
        </w:rPr>
        <w:t>72</w:t>
      </w:r>
      <w:r w:rsidRPr="00AC648E">
        <w:rPr>
          <w:rFonts w:asciiTheme="majorHAnsi" w:eastAsiaTheme="minorHAnsi" w:hAnsiTheme="majorHAnsi" w:cstheme="majorHAnsi"/>
          <w:i/>
          <w:iCs/>
          <w:color w:val="44546A" w:themeColor="text2"/>
          <w:sz w:val="22"/>
          <w:szCs w:val="22"/>
          <w:lang w:val="en-US"/>
        </w:rPr>
        <w:fldChar w:fldCharType="end"/>
      </w:r>
      <w:r w:rsidRPr="00AC648E">
        <w:rPr>
          <w:rFonts w:asciiTheme="majorHAnsi" w:eastAsiaTheme="minorHAnsi" w:hAnsiTheme="majorHAnsi" w:cstheme="majorHAnsi"/>
          <w:i/>
          <w:iCs/>
          <w:color w:val="44546A" w:themeColor="text2"/>
          <w:sz w:val="22"/>
          <w:szCs w:val="22"/>
          <w:lang w:val="en-US"/>
        </w:rPr>
        <w:t xml:space="preserve">. </w:t>
      </w:r>
      <w:r w:rsidRPr="00AC648E">
        <w:rPr>
          <w:rFonts w:asciiTheme="majorHAnsi" w:eastAsiaTheme="minorHAnsi" w:hAnsiTheme="majorHAnsi" w:cstheme="majorHAnsi"/>
          <w:bCs/>
          <w:i/>
          <w:iCs/>
          <w:color w:val="44546A" w:themeColor="text2"/>
          <w:sz w:val="22"/>
          <w:szCs w:val="22"/>
          <w:lang w:val="en-US"/>
        </w:rPr>
        <w:t>Learners with Exceptionalities, SY2014-2015 to SY2018-2019</w:t>
      </w:r>
      <w:bookmarkEnd w:id="615"/>
      <w:bookmarkEnd w:id="616"/>
    </w:p>
    <w:tbl>
      <w:tblPr>
        <w:tblStyle w:val="TableGrid11"/>
        <w:tblW w:w="13160" w:type="dxa"/>
        <w:tblLook w:val="04A0" w:firstRow="1" w:lastRow="0" w:firstColumn="1" w:lastColumn="0" w:noHBand="0" w:noVBand="1"/>
      </w:tblPr>
      <w:tblGrid>
        <w:gridCol w:w="491"/>
        <w:gridCol w:w="2727"/>
        <w:gridCol w:w="1313"/>
        <w:gridCol w:w="1096"/>
        <w:gridCol w:w="1205"/>
        <w:gridCol w:w="1204"/>
        <w:gridCol w:w="1303"/>
        <w:gridCol w:w="1307"/>
        <w:gridCol w:w="1257"/>
        <w:gridCol w:w="1257"/>
      </w:tblGrid>
      <w:tr w:rsidR="00196BE8" w:rsidRPr="004E147E" w14:paraId="34C6427E" w14:textId="77777777" w:rsidTr="00F4751F">
        <w:trPr>
          <w:trHeight w:val="265"/>
          <w:tblHeader/>
        </w:trPr>
        <w:tc>
          <w:tcPr>
            <w:tcW w:w="491" w:type="dxa"/>
            <w:noWrap/>
            <w:hideMark/>
          </w:tcPr>
          <w:p w14:paraId="0462AE81" w14:textId="77777777" w:rsidR="00196BE8" w:rsidRPr="004E147E" w:rsidRDefault="00196BE8" w:rsidP="005805AC">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 </w:t>
            </w:r>
          </w:p>
        </w:tc>
        <w:tc>
          <w:tcPr>
            <w:tcW w:w="2727" w:type="dxa"/>
            <w:noWrap/>
            <w:hideMark/>
          </w:tcPr>
          <w:p w14:paraId="58CD4AA0" w14:textId="77777777" w:rsidR="00196BE8" w:rsidRPr="004E147E" w:rsidRDefault="00196BE8" w:rsidP="005805AC">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 </w:t>
            </w:r>
          </w:p>
        </w:tc>
        <w:tc>
          <w:tcPr>
            <w:tcW w:w="1313" w:type="dxa"/>
            <w:tcBorders>
              <w:right w:val="nil"/>
            </w:tcBorders>
          </w:tcPr>
          <w:p w14:paraId="56B4CC11" w14:textId="01AFF50D" w:rsidR="00196BE8" w:rsidRPr="004E147E" w:rsidRDefault="00196BE8" w:rsidP="005805AC">
            <w:pPr>
              <w:spacing w:before="100" w:beforeAutospacing="1" w:after="100" w:afterAutospacing="1" w:line="360" w:lineRule="auto"/>
              <w:rPr>
                <w:rFonts w:asciiTheme="majorHAnsi" w:hAnsiTheme="majorHAnsi" w:cstheme="majorHAnsi"/>
                <w:b/>
                <w:bCs/>
                <w:color w:val="0000FF"/>
                <w:sz w:val="20"/>
                <w:szCs w:val="20"/>
                <w:lang w:val="en-US"/>
              </w:rPr>
            </w:pPr>
            <w:r w:rsidRPr="004E147E">
              <w:rPr>
                <w:rFonts w:asciiTheme="majorHAnsi" w:hAnsiTheme="majorHAnsi" w:cstheme="majorHAnsi"/>
                <w:b/>
                <w:sz w:val="20"/>
                <w:szCs w:val="20"/>
                <w:lang w:val="en-US"/>
              </w:rPr>
              <w:t>SY2014-2015</w:t>
            </w:r>
          </w:p>
        </w:tc>
        <w:tc>
          <w:tcPr>
            <w:tcW w:w="1096" w:type="dxa"/>
            <w:tcBorders>
              <w:left w:val="nil"/>
              <w:right w:val="nil"/>
            </w:tcBorders>
          </w:tcPr>
          <w:p w14:paraId="71059040" w14:textId="392A597D" w:rsidR="00196BE8" w:rsidRPr="004E147E" w:rsidRDefault="00196BE8" w:rsidP="005805AC">
            <w:pPr>
              <w:spacing w:before="100" w:beforeAutospacing="1" w:after="100" w:afterAutospacing="1" w:line="360" w:lineRule="auto"/>
              <w:rPr>
                <w:rFonts w:asciiTheme="majorHAnsi" w:hAnsiTheme="majorHAnsi" w:cstheme="majorHAnsi"/>
                <w:b/>
                <w:bCs/>
                <w:color w:val="0000FF"/>
                <w:sz w:val="20"/>
                <w:szCs w:val="20"/>
                <w:lang w:val="en-US"/>
              </w:rPr>
            </w:pPr>
          </w:p>
        </w:tc>
        <w:tc>
          <w:tcPr>
            <w:tcW w:w="1205" w:type="dxa"/>
            <w:tcBorders>
              <w:left w:val="nil"/>
              <w:right w:val="nil"/>
            </w:tcBorders>
          </w:tcPr>
          <w:p w14:paraId="7D7BCC8D" w14:textId="30E45B36" w:rsidR="00196BE8" w:rsidRPr="004E147E" w:rsidRDefault="00196BE8" w:rsidP="005805AC">
            <w:pPr>
              <w:spacing w:before="100" w:beforeAutospacing="1" w:after="100" w:afterAutospacing="1" w:line="360" w:lineRule="auto"/>
              <w:rPr>
                <w:rFonts w:asciiTheme="majorHAnsi" w:hAnsiTheme="majorHAnsi" w:cstheme="majorHAnsi"/>
                <w:b/>
                <w:bCs/>
                <w:color w:val="0000FF"/>
                <w:sz w:val="20"/>
                <w:szCs w:val="20"/>
                <w:lang w:val="en-US"/>
              </w:rPr>
            </w:pPr>
          </w:p>
        </w:tc>
        <w:tc>
          <w:tcPr>
            <w:tcW w:w="1204" w:type="dxa"/>
            <w:tcBorders>
              <w:left w:val="nil"/>
              <w:right w:val="single" w:sz="4" w:space="0" w:color="auto"/>
            </w:tcBorders>
          </w:tcPr>
          <w:p w14:paraId="11632D3E" w14:textId="043CF089" w:rsidR="00196BE8" w:rsidRPr="004E147E" w:rsidRDefault="00196BE8" w:rsidP="005805AC">
            <w:pPr>
              <w:spacing w:before="100" w:beforeAutospacing="1" w:after="100" w:afterAutospacing="1" w:line="360" w:lineRule="auto"/>
              <w:rPr>
                <w:rFonts w:asciiTheme="majorHAnsi" w:hAnsiTheme="majorHAnsi" w:cstheme="majorHAnsi"/>
                <w:b/>
                <w:bCs/>
                <w:color w:val="0000FF"/>
                <w:sz w:val="20"/>
                <w:szCs w:val="20"/>
                <w:lang w:val="en-US"/>
              </w:rPr>
            </w:pPr>
          </w:p>
        </w:tc>
        <w:tc>
          <w:tcPr>
            <w:tcW w:w="1303" w:type="dxa"/>
            <w:tcBorders>
              <w:left w:val="single" w:sz="4" w:space="0" w:color="auto"/>
              <w:right w:val="nil"/>
            </w:tcBorders>
          </w:tcPr>
          <w:p w14:paraId="24CB6C48" w14:textId="71071E82" w:rsidR="00196BE8" w:rsidRPr="004E147E" w:rsidRDefault="00196BE8" w:rsidP="005805AC">
            <w:pPr>
              <w:spacing w:before="100" w:beforeAutospacing="1" w:after="100" w:afterAutospacing="1" w:line="360" w:lineRule="auto"/>
              <w:rPr>
                <w:rFonts w:asciiTheme="majorHAnsi" w:hAnsiTheme="majorHAnsi" w:cstheme="majorHAnsi"/>
                <w:b/>
                <w:bCs/>
                <w:color w:val="0000FF"/>
                <w:sz w:val="20"/>
                <w:szCs w:val="20"/>
                <w:lang w:val="en-US"/>
              </w:rPr>
            </w:pPr>
            <w:r w:rsidRPr="004E147E">
              <w:rPr>
                <w:rFonts w:asciiTheme="majorHAnsi" w:hAnsiTheme="majorHAnsi" w:cstheme="majorHAnsi"/>
                <w:b/>
                <w:sz w:val="20"/>
                <w:szCs w:val="20"/>
                <w:lang w:val="en-US"/>
              </w:rPr>
              <w:t>SY2018-2019</w:t>
            </w:r>
          </w:p>
        </w:tc>
        <w:tc>
          <w:tcPr>
            <w:tcW w:w="1307" w:type="dxa"/>
            <w:tcBorders>
              <w:left w:val="nil"/>
              <w:right w:val="nil"/>
            </w:tcBorders>
          </w:tcPr>
          <w:p w14:paraId="2B05C7F2" w14:textId="3DF15418" w:rsidR="00196BE8" w:rsidRPr="004E147E" w:rsidRDefault="00196BE8" w:rsidP="005805AC">
            <w:pPr>
              <w:spacing w:before="100" w:beforeAutospacing="1" w:after="100" w:afterAutospacing="1" w:line="360" w:lineRule="auto"/>
              <w:rPr>
                <w:rFonts w:asciiTheme="majorHAnsi" w:hAnsiTheme="majorHAnsi" w:cstheme="majorHAnsi"/>
                <w:b/>
                <w:bCs/>
                <w:color w:val="0000FF"/>
                <w:sz w:val="20"/>
                <w:szCs w:val="20"/>
                <w:lang w:val="en-US"/>
              </w:rPr>
            </w:pPr>
          </w:p>
        </w:tc>
        <w:tc>
          <w:tcPr>
            <w:tcW w:w="1257" w:type="dxa"/>
            <w:tcBorders>
              <w:left w:val="nil"/>
              <w:right w:val="nil"/>
            </w:tcBorders>
          </w:tcPr>
          <w:p w14:paraId="17D454D3" w14:textId="56E22D51" w:rsidR="00196BE8" w:rsidRPr="004E147E" w:rsidRDefault="00196BE8" w:rsidP="005805AC">
            <w:pPr>
              <w:spacing w:before="100" w:beforeAutospacing="1" w:after="100" w:afterAutospacing="1" w:line="360" w:lineRule="auto"/>
              <w:rPr>
                <w:rFonts w:asciiTheme="majorHAnsi" w:hAnsiTheme="majorHAnsi" w:cstheme="majorHAnsi"/>
                <w:b/>
                <w:bCs/>
                <w:color w:val="0000FF"/>
                <w:sz w:val="20"/>
                <w:szCs w:val="20"/>
                <w:lang w:val="en-US"/>
              </w:rPr>
            </w:pPr>
          </w:p>
        </w:tc>
        <w:tc>
          <w:tcPr>
            <w:tcW w:w="1257" w:type="dxa"/>
            <w:tcBorders>
              <w:left w:val="nil"/>
            </w:tcBorders>
          </w:tcPr>
          <w:p w14:paraId="47C6E830" w14:textId="558E8070" w:rsidR="00196BE8" w:rsidRPr="004E147E" w:rsidRDefault="00196BE8" w:rsidP="005805AC">
            <w:pPr>
              <w:spacing w:before="100" w:beforeAutospacing="1" w:after="100" w:afterAutospacing="1" w:line="360" w:lineRule="auto"/>
              <w:rPr>
                <w:rFonts w:asciiTheme="majorHAnsi" w:hAnsiTheme="majorHAnsi" w:cstheme="majorHAnsi"/>
                <w:b/>
                <w:bCs/>
                <w:color w:val="0000FF"/>
                <w:sz w:val="20"/>
                <w:szCs w:val="20"/>
                <w:lang w:val="en-US"/>
              </w:rPr>
            </w:pPr>
          </w:p>
        </w:tc>
      </w:tr>
      <w:tr w:rsidR="008D0CAD" w:rsidRPr="004E147E" w14:paraId="191C5F56" w14:textId="77777777" w:rsidTr="00F4751F">
        <w:trPr>
          <w:trHeight w:val="265"/>
          <w:tblHeader/>
        </w:trPr>
        <w:tc>
          <w:tcPr>
            <w:tcW w:w="491" w:type="dxa"/>
            <w:noWrap/>
            <w:hideMark/>
          </w:tcPr>
          <w:p w14:paraId="42922264"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 </w:t>
            </w:r>
          </w:p>
        </w:tc>
        <w:tc>
          <w:tcPr>
            <w:tcW w:w="2727" w:type="dxa"/>
            <w:noWrap/>
            <w:hideMark/>
          </w:tcPr>
          <w:p w14:paraId="7B3E2958"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 </w:t>
            </w:r>
          </w:p>
        </w:tc>
        <w:tc>
          <w:tcPr>
            <w:tcW w:w="1313" w:type="dxa"/>
          </w:tcPr>
          <w:p w14:paraId="1AC51F10" w14:textId="77777777" w:rsidR="008D0CAD" w:rsidRPr="004E147E" w:rsidRDefault="008D0CAD" w:rsidP="00796BFA">
            <w:pPr>
              <w:spacing w:before="100" w:beforeAutospacing="1" w:after="100" w:afterAutospacing="1" w:line="360" w:lineRule="auto"/>
              <w:rPr>
                <w:rFonts w:asciiTheme="majorHAnsi" w:hAnsiTheme="majorHAnsi" w:cstheme="majorHAnsi"/>
                <w:b/>
                <w:bCs/>
                <w:color w:val="0000FF"/>
                <w:sz w:val="20"/>
                <w:szCs w:val="20"/>
                <w:lang w:val="en-US"/>
              </w:rPr>
            </w:pPr>
            <w:r w:rsidRPr="004E147E">
              <w:rPr>
                <w:rFonts w:asciiTheme="majorHAnsi" w:hAnsiTheme="majorHAnsi" w:cstheme="majorHAnsi"/>
                <w:b/>
                <w:bCs/>
                <w:color w:val="0000FF"/>
                <w:sz w:val="20"/>
                <w:szCs w:val="20"/>
                <w:lang w:val="en-US"/>
              </w:rPr>
              <w:t>Male</w:t>
            </w:r>
          </w:p>
        </w:tc>
        <w:tc>
          <w:tcPr>
            <w:tcW w:w="1096" w:type="dxa"/>
          </w:tcPr>
          <w:p w14:paraId="174579AA" w14:textId="77777777" w:rsidR="008D0CAD" w:rsidRPr="004E147E" w:rsidRDefault="008D0CAD" w:rsidP="00796BFA">
            <w:pPr>
              <w:spacing w:before="100" w:beforeAutospacing="1" w:after="100" w:afterAutospacing="1" w:line="360" w:lineRule="auto"/>
              <w:rPr>
                <w:rFonts w:asciiTheme="majorHAnsi" w:hAnsiTheme="majorHAnsi" w:cstheme="majorHAnsi"/>
                <w:b/>
                <w:bCs/>
                <w:color w:val="0000FF"/>
                <w:sz w:val="20"/>
                <w:szCs w:val="20"/>
                <w:lang w:val="en-US"/>
              </w:rPr>
            </w:pPr>
            <w:r w:rsidRPr="004E147E">
              <w:rPr>
                <w:rFonts w:asciiTheme="majorHAnsi" w:hAnsiTheme="majorHAnsi" w:cstheme="majorHAnsi"/>
                <w:b/>
                <w:bCs/>
                <w:color w:val="0000FF"/>
                <w:sz w:val="20"/>
                <w:szCs w:val="20"/>
                <w:lang w:val="en-US"/>
              </w:rPr>
              <w:t>Female</w:t>
            </w:r>
          </w:p>
        </w:tc>
        <w:tc>
          <w:tcPr>
            <w:tcW w:w="1205" w:type="dxa"/>
          </w:tcPr>
          <w:p w14:paraId="5F5921DB" w14:textId="77777777" w:rsidR="008D0CAD" w:rsidRPr="004E147E" w:rsidRDefault="008D0CAD" w:rsidP="00796BFA">
            <w:pPr>
              <w:spacing w:before="100" w:beforeAutospacing="1" w:after="100" w:afterAutospacing="1" w:line="360" w:lineRule="auto"/>
              <w:rPr>
                <w:rFonts w:asciiTheme="majorHAnsi" w:hAnsiTheme="majorHAnsi" w:cstheme="majorHAnsi"/>
                <w:b/>
                <w:bCs/>
                <w:color w:val="0000FF"/>
                <w:sz w:val="20"/>
                <w:szCs w:val="20"/>
                <w:lang w:val="en-US"/>
              </w:rPr>
            </w:pPr>
            <w:r w:rsidRPr="004E147E">
              <w:rPr>
                <w:rFonts w:asciiTheme="majorHAnsi" w:hAnsiTheme="majorHAnsi" w:cstheme="majorHAnsi"/>
                <w:b/>
                <w:bCs/>
                <w:color w:val="0000FF"/>
                <w:sz w:val="20"/>
                <w:szCs w:val="20"/>
                <w:lang w:val="en-US"/>
              </w:rPr>
              <w:t>Total</w:t>
            </w:r>
          </w:p>
        </w:tc>
        <w:tc>
          <w:tcPr>
            <w:tcW w:w="1204" w:type="dxa"/>
          </w:tcPr>
          <w:p w14:paraId="7974CA1D" w14:textId="77777777" w:rsidR="008D0CAD" w:rsidRPr="004E147E" w:rsidRDefault="008D0CAD" w:rsidP="00796BFA">
            <w:pPr>
              <w:spacing w:before="100" w:beforeAutospacing="1" w:after="100" w:afterAutospacing="1" w:line="360" w:lineRule="auto"/>
              <w:rPr>
                <w:rFonts w:asciiTheme="majorHAnsi" w:hAnsiTheme="majorHAnsi" w:cstheme="majorHAnsi"/>
                <w:b/>
                <w:bCs/>
                <w:color w:val="0000FF"/>
                <w:sz w:val="20"/>
                <w:szCs w:val="20"/>
                <w:lang w:val="en-US"/>
              </w:rPr>
            </w:pPr>
            <w:r w:rsidRPr="004E147E">
              <w:rPr>
                <w:rFonts w:asciiTheme="majorHAnsi" w:hAnsiTheme="majorHAnsi" w:cstheme="majorHAnsi"/>
                <w:b/>
                <w:bCs/>
                <w:color w:val="0000FF"/>
                <w:sz w:val="20"/>
                <w:szCs w:val="20"/>
                <w:lang w:val="en-US"/>
              </w:rPr>
              <w:t>%</w:t>
            </w:r>
          </w:p>
        </w:tc>
        <w:tc>
          <w:tcPr>
            <w:tcW w:w="1303" w:type="dxa"/>
          </w:tcPr>
          <w:p w14:paraId="107AA888" w14:textId="77777777" w:rsidR="008D0CAD" w:rsidRPr="004E147E" w:rsidRDefault="008D0CAD" w:rsidP="00796BFA">
            <w:pPr>
              <w:spacing w:before="100" w:beforeAutospacing="1" w:after="100" w:afterAutospacing="1" w:line="360" w:lineRule="auto"/>
              <w:rPr>
                <w:rFonts w:asciiTheme="majorHAnsi" w:hAnsiTheme="majorHAnsi" w:cstheme="majorHAnsi"/>
                <w:b/>
                <w:bCs/>
                <w:color w:val="0000FF"/>
                <w:sz w:val="20"/>
                <w:szCs w:val="20"/>
                <w:lang w:val="en-US"/>
              </w:rPr>
            </w:pPr>
            <w:r w:rsidRPr="004E147E">
              <w:rPr>
                <w:rFonts w:asciiTheme="majorHAnsi" w:hAnsiTheme="majorHAnsi" w:cstheme="majorHAnsi"/>
                <w:b/>
                <w:bCs/>
                <w:color w:val="0000FF"/>
                <w:sz w:val="20"/>
                <w:szCs w:val="20"/>
                <w:lang w:val="en-US"/>
              </w:rPr>
              <w:t>Male</w:t>
            </w:r>
          </w:p>
        </w:tc>
        <w:tc>
          <w:tcPr>
            <w:tcW w:w="1307" w:type="dxa"/>
            <w:hideMark/>
          </w:tcPr>
          <w:p w14:paraId="4CA035C2" w14:textId="77777777" w:rsidR="008D0CAD" w:rsidRPr="004E147E" w:rsidRDefault="008D0CAD" w:rsidP="00796BFA">
            <w:pPr>
              <w:spacing w:before="100" w:beforeAutospacing="1" w:after="100" w:afterAutospacing="1" w:line="360" w:lineRule="auto"/>
              <w:rPr>
                <w:rFonts w:asciiTheme="majorHAnsi" w:hAnsiTheme="majorHAnsi" w:cstheme="majorHAnsi"/>
                <w:b/>
                <w:bCs/>
                <w:color w:val="0000FF"/>
                <w:sz w:val="20"/>
                <w:szCs w:val="20"/>
                <w:lang w:val="en-US"/>
              </w:rPr>
            </w:pPr>
            <w:r w:rsidRPr="004E147E">
              <w:rPr>
                <w:rFonts w:asciiTheme="majorHAnsi" w:hAnsiTheme="majorHAnsi" w:cstheme="majorHAnsi"/>
                <w:b/>
                <w:bCs/>
                <w:color w:val="0000FF"/>
                <w:sz w:val="20"/>
                <w:szCs w:val="20"/>
                <w:lang w:val="en-US"/>
              </w:rPr>
              <w:t>Female</w:t>
            </w:r>
          </w:p>
        </w:tc>
        <w:tc>
          <w:tcPr>
            <w:tcW w:w="1257" w:type="dxa"/>
            <w:hideMark/>
          </w:tcPr>
          <w:p w14:paraId="393B30D7" w14:textId="77777777" w:rsidR="008D0CAD" w:rsidRPr="004E147E" w:rsidRDefault="008D0CAD" w:rsidP="00796BFA">
            <w:pPr>
              <w:spacing w:before="100" w:beforeAutospacing="1" w:after="100" w:afterAutospacing="1" w:line="360" w:lineRule="auto"/>
              <w:rPr>
                <w:rFonts w:asciiTheme="majorHAnsi" w:hAnsiTheme="majorHAnsi" w:cstheme="majorHAnsi"/>
                <w:b/>
                <w:bCs/>
                <w:color w:val="0000FF"/>
                <w:sz w:val="20"/>
                <w:szCs w:val="20"/>
                <w:lang w:val="en-US"/>
              </w:rPr>
            </w:pPr>
            <w:r w:rsidRPr="004E147E">
              <w:rPr>
                <w:rFonts w:asciiTheme="majorHAnsi" w:hAnsiTheme="majorHAnsi" w:cstheme="majorHAnsi"/>
                <w:b/>
                <w:bCs/>
                <w:color w:val="0000FF"/>
                <w:sz w:val="20"/>
                <w:szCs w:val="20"/>
                <w:lang w:val="en-US"/>
              </w:rPr>
              <w:t>Total</w:t>
            </w:r>
          </w:p>
        </w:tc>
        <w:tc>
          <w:tcPr>
            <w:tcW w:w="1257" w:type="dxa"/>
            <w:hideMark/>
          </w:tcPr>
          <w:p w14:paraId="2ECD6805" w14:textId="77777777" w:rsidR="008D0CAD" w:rsidRPr="004E147E" w:rsidRDefault="008D0CAD" w:rsidP="00796BFA">
            <w:pPr>
              <w:spacing w:before="100" w:beforeAutospacing="1" w:after="100" w:afterAutospacing="1" w:line="360" w:lineRule="auto"/>
              <w:rPr>
                <w:rFonts w:asciiTheme="majorHAnsi" w:hAnsiTheme="majorHAnsi" w:cstheme="majorHAnsi"/>
                <w:b/>
                <w:bCs/>
                <w:color w:val="0000FF"/>
                <w:sz w:val="20"/>
                <w:szCs w:val="20"/>
                <w:lang w:val="en-US"/>
              </w:rPr>
            </w:pPr>
            <w:r w:rsidRPr="004E147E">
              <w:rPr>
                <w:rFonts w:asciiTheme="majorHAnsi" w:hAnsiTheme="majorHAnsi" w:cstheme="majorHAnsi"/>
                <w:b/>
                <w:bCs/>
                <w:color w:val="0000FF"/>
                <w:sz w:val="20"/>
                <w:szCs w:val="20"/>
                <w:lang w:val="en-US"/>
              </w:rPr>
              <w:t>%</w:t>
            </w:r>
          </w:p>
        </w:tc>
      </w:tr>
      <w:tr w:rsidR="008D0CAD" w:rsidRPr="004E147E" w14:paraId="34989BB4" w14:textId="77777777" w:rsidTr="00196BE8">
        <w:trPr>
          <w:trHeight w:val="246"/>
        </w:trPr>
        <w:tc>
          <w:tcPr>
            <w:tcW w:w="491" w:type="dxa"/>
            <w:noWrap/>
            <w:hideMark/>
          </w:tcPr>
          <w:p w14:paraId="70821FB6"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 </w:t>
            </w:r>
          </w:p>
        </w:tc>
        <w:tc>
          <w:tcPr>
            <w:tcW w:w="2727" w:type="dxa"/>
            <w:noWrap/>
            <w:hideMark/>
          </w:tcPr>
          <w:p w14:paraId="4B076F2B"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Total, Philippines</w:t>
            </w:r>
          </w:p>
        </w:tc>
        <w:tc>
          <w:tcPr>
            <w:tcW w:w="1313" w:type="dxa"/>
          </w:tcPr>
          <w:p w14:paraId="7740ADBE"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22,255</w:t>
            </w:r>
          </w:p>
        </w:tc>
        <w:tc>
          <w:tcPr>
            <w:tcW w:w="1096" w:type="dxa"/>
          </w:tcPr>
          <w:p w14:paraId="07564C29"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14,405</w:t>
            </w:r>
          </w:p>
        </w:tc>
        <w:tc>
          <w:tcPr>
            <w:tcW w:w="1205" w:type="dxa"/>
          </w:tcPr>
          <w:p w14:paraId="14B4775F"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36,660</w:t>
            </w:r>
          </w:p>
        </w:tc>
        <w:tc>
          <w:tcPr>
            <w:tcW w:w="1204" w:type="dxa"/>
          </w:tcPr>
          <w:p w14:paraId="6A542D02"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100%</w:t>
            </w:r>
          </w:p>
        </w:tc>
        <w:tc>
          <w:tcPr>
            <w:tcW w:w="1303" w:type="dxa"/>
          </w:tcPr>
          <w:p w14:paraId="3A4F9A17"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33,934</w:t>
            </w:r>
          </w:p>
        </w:tc>
        <w:tc>
          <w:tcPr>
            <w:tcW w:w="1307" w:type="dxa"/>
            <w:noWrap/>
            <w:hideMark/>
          </w:tcPr>
          <w:p w14:paraId="1AD74192"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20,713</w:t>
            </w:r>
          </w:p>
        </w:tc>
        <w:tc>
          <w:tcPr>
            <w:tcW w:w="1257" w:type="dxa"/>
            <w:noWrap/>
            <w:hideMark/>
          </w:tcPr>
          <w:p w14:paraId="4EFB3004"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54,647</w:t>
            </w:r>
          </w:p>
        </w:tc>
        <w:tc>
          <w:tcPr>
            <w:tcW w:w="1257" w:type="dxa"/>
            <w:noWrap/>
            <w:hideMark/>
          </w:tcPr>
          <w:p w14:paraId="156DE937"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100%</w:t>
            </w:r>
          </w:p>
        </w:tc>
      </w:tr>
      <w:tr w:rsidR="008D0CAD" w:rsidRPr="004E147E" w14:paraId="1472A758" w14:textId="77777777" w:rsidTr="00196BE8">
        <w:trPr>
          <w:trHeight w:val="246"/>
        </w:trPr>
        <w:tc>
          <w:tcPr>
            <w:tcW w:w="491" w:type="dxa"/>
            <w:noWrap/>
            <w:hideMark/>
          </w:tcPr>
          <w:p w14:paraId="5D9A0F1F"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 </w:t>
            </w:r>
          </w:p>
        </w:tc>
        <w:tc>
          <w:tcPr>
            <w:tcW w:w="2727" w:type="dxa"/>
            <w:noWrap/>
            <w:hideMark/>
          </w:tcPr>
          <w:p w14:paraId="7A430415"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 </w:t>
            </w:r>
          </w:p>
        </w:tc>
        <w:tc>
          <w:tcPr>
            <w:tcW w:w="1313" w:type="dxa"/>
          </w:tcPr>
          <w:p w14:paraId="78008213"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 </w:t>
            </w:r>
          </w:p>
        </w:tc>
        <w:tc>
          <w:tcPr>
            <w:tcW w:w="1096" w:type="dxa"/>
          </w:tcPr>
          <w:p w14:paraId="468B1B32"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 </w:t>
            </w:r>
          </w:p>
        </w:tc>
        <w:tc>
          <w:tcPr>
            <w:tcW w:w="1205" w:type="dxa"/>
          </w:tcPr>
          <w:p w14:paraId="619F3696"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 </w:t>
            </w:r>
          </w:p>
        </w:tc>
        <w:tc>
          <w:tcPr>
            <w:tcW w:w="1204" w:type="dxa"/>
          </w:tcPr>
          <w:p w14:paraId="33FE0823"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p>
        </w:tc>
        <w:tc>
          <w:tcPr>
            <w:tcW w:w="1303" w:type="dxa"/>
          </w:tcPr>
          <w:p w14:paraId="338AF2EB"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 </w:t>
            </w:r>
          </w:p>
        </w:tc>
        <w:tc>
          <w:tcPr>
            <w:tcW w:w="1307" w:type="dxa"/>
            <w:noWrap/>
            <w:hideMark/>
          </w:tcPr>
          <w:p w14:paraId="7495F0CB"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 </w:t>
            </w:r>
          </w:p>
        </w:tc>
        <w:tc>
          <w:tcPr>
            <w:tcW w:w="1257" w:type="dxa"/>
            <w:noWrap/>
            <w:hideMark/>
          </w:tcPr>
          <w:p w14:paraId="37438A44"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 </w:t>
            </w:r>
          </w:p>
        </w:tc>
        <w:tc>
          <w:tcPr>
            <w:tcW w:w="1257" w:type="dxa"/>
            <w:noWrap/>
            <w:hideMark/>
          </w:tcPr>
          <w:p w14:paraId="351C298C"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 </w:t>
            </w:r>
          </w:p>
        </w:tc>
      </w:tr>
      <w:tr w:rsidR="008D0CAD" w:rsidRPr="004E147E" w14:paraId="2BB0AAA4" w14:textId="77777777" w:rsidTr="00196BE8">
        <w:trPr>
          <w:trHeight w:val="246"/>
        </w:trPr>
        <w:tc>
          <w:tcPr>
            <w:tcW w:w="491" w:type="dxa"/>
            <w:noWrap/>
            <w:hideMark/>
          </w:tcPr>
          <w:p w14:paraId="0D8A9963"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1</w:t>
            </w:r>
          </w:p>
        </w:tc>
        <w:tc>
          <w:tcPr>
            <w:tcW w:w="2727" w:type="dxa"/>
            <w:noWrap/>
            <w:hideMark/>
          </w:tcPr>
          <w:p w14:paraId="192B2A35"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I - Ilocos Region</w:t>
            </w:r>
          </w:p>
        </w:tc>
        <w:tc>
          <w:tcPr>
            <w:tcW w:w="1313" w:type="dxa"/>
          </w:tcPr>
          <w:p w14:paraId="27FEF26C"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934</w:t>
            </w:r>
          </w:p>
        </w:tc>
        <w:tc>
          <w:tcPr>
            <w:tcW w:w="1096" w:type="dxa"/>
          </w:tcPr>
          <w:p w14:paraId="7AA6D16D"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605</w:t>
            </w:r>
          </w:p>
        </w:tc>
        <w:tc>
          <w:tcPr>
            <w:tcW w:w="1205" w:type="dxa"/>
          </w:tcPr>
          <w:p w14:paraId="6CBD4BA4"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1,539</w:t>
            </w:r>
          </w:p>
        </w:tc>
        <w:tc>
          <w:tcPr>
            <w:tcW w:w="1204" w:type="dxa"/>
          </w:tcPr>
          <w:p w14:paraId="350BB4F6"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4%</w:t>
            </w:r>
          </w:p>
        </w:tc>
        <w:tc>
          <w:tcPr>
            <w:tcW w:w="1303" w:type="dxa"/>
          </w:tcPr>
          <w:p w14:paraId="1D2A07E1"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1,601</w:t>
            </w:r>
          </w:p>
        </w:tc>
        <w:tc>
          <w:tcPr>
            <w:tcW w:w="1307" w:type="dxa"/>
            <w:noWrap/>
            <w:hideMark/>
          </w:tcPr>
          <w:p w14:paraId="707CF34A"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1,022</w:t>
            </w:r>
          </w:p>
        </w:tc>
        <w:tc>
          <w:tcPr>
            <w:tcW w:w="1257" w:type="dxa"/>
            <w:noWrap/>
            <w:hideMark/>
          </w:tcPr>
          <w:p w14:paraId="048E52B3"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2,623</w:t>
            </w:r>
          </w:p>
        </w:tc>
        <w:tc>
          <w:tcPr>
            <w:tcW w:w="1257" w:type="dxa"/>
            <w:noWrap/>
            <w:hideMark/>
          </w:tcPr>
          <w:p w14:paraId="63075765"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5%</w:t>
            </w:r>
          </w:p>
        </w:tc>
      </w:tr>
      <w:tr w:rsidR="008D0CAD" w:rsidRPr="004E147E" w14:paraId="6F0B11E8" w14:textId="77777777" w:rsidTr="00196BE8">
        <w:trPr>
          <w:trHeight w:val="246"/>
        </w:trPr>
        <w:tc>
          <w:tcPr>
            <w:tcW w:w="491" w:type="dxa"/>
            <w:noWrap/>
            <w:hideMark/>
          </w:tcPr>
          <w:p w14:paraId="338F0D1A"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2</w:t>
            </w:r>
          </w:p>
        </w:tc>
        <w:tc>
          <w:tcPr>
            <w:tcW w:w="2727" w:type="dxa"/>
            <w:noWrap/>
            <w:hideMark/>
          </w:tcPr>
          <w:p w14:paraId="11F668C7"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II - Cagayan Valley</w:t>
            </w:r>
          </w:p>
        </w:tc>
        <w:tc>
          <w:tcPr>
            <w:tcW w:w="1313" w:type="dxa"/>
          </w:tcPr>
          <w:p w14:paraId="351E54F6"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650</w:t>
            </w:r>
          </w:p>
        </w:tc>
        <w:tc>
          <w:tcPr>
            <w:tcW w:w="1096" w:type="dxa"/>
          </w:tcPr>
          <w:p w14:paraId="67AE43D2"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449</w:t>
            </w:r>
          </w:p>
        </w:tc>
        <w:tc>
          <w:tcPr>
            <w:tcW w:w="1205" w:type="dxa"/>
          </w:tcPr>
          <w:p w14:paraId="236CC30E"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1,099</w:t>
            </w:r>
          </w:p>
        </w:tc>
        <w:tc>
          <w:tcPr>
            <w:tcW w:w="1204" w:type="dxa"/>
          </w:tcPr>
          <w:p w14:paraId="1E83BBEA"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3%</w:t>
            </w:r>
          </w:p>
        </w:tc>
        <w:tc>
          <w:tcPr>
            <w:tcW w:w="1303" w:type="dxa"/>
          </w:tcPr>
          <w:p w14:paraId="3ECCD2F4"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856</w:t>
            </w:r>
          </w:p>
        </w:tc>
        <w:tc>
          <w:tcPr>
            <w:tcW w:w="1307" w:type="dxa"/>
            <w:noWrap/>
            <w:hideMark/>
          </w:tcPr>
          <w:p w14:paraId="52C5B767"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571</w:t>
            </w:r>
          </w:p>
        </w:tc>
        <w:tc>
          <w:tcPr>
            <w:tcW w:w="1257" w:type="dxa"/>
            <w:noWrap/>
            <w:hideMark/>
          </w:tcPr>
          <w:p w14:paraId="0619BF51"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1,427</w:t>
            </w:r>
          </w:p>
        </w:tc>
        <w:tc>
          <w:tcPr>
            <w:tcW w:w="1257" w:type="dxa"/>
            <w:noWrap/>
            <w:hideMark/>
          </w:tcPr>
          <w:p w14:paraId="24CD3230"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3%</w:t>
            </w:r>
          </w:p>
        </w:tc>
      </w:tr>
      <w:tr w:rsidR="008D0CAD" w:rsidRPr="004E147E" w14:paraId="346550CA" w14:textId="77777777" w:rsidTr="00196BE8">
        <w:trPr>
          <w:trHeight w:val="246"/>
        </w:trPr>
        <w:tc>
          <w:tcPr>
            <w:tcW w:w="491" w:type="dxa"/>
            <w:noWrap/>
            <w:hideMark/>
          </w:tcPr>
          <w:p w14:paraId="16BAF382"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3</w:t>
            </w:r>
          </w:p>
        </w:tc>
        <w:tc>
          <w:tcPr>
            <w:tcW w:w="2727" w:type="dxa"/>
            <w:noWrap/>
            <w:hideMark/>
          </w:tcPr>
          <w:p w14:paraId="1D1C9061"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III - Central Luzon</w:t>
            </w:r>
          </w:p>
        </w:tc>
        <w:tc>
          <w:tcPr>
            <w:tcW w:w="1313" w:type="dxa"/>
          </w:tcPr>
          <w:p w14:paraId="6BDB9E05"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1,984</w:t>
            </w:r>
          </w:p>
        </w:tc>
        <w:tc>
          <w:tcPr>
            <w:tcW w:w="1096" w:type="dxa"/>
          </w:tcPr>
          <w:p w14:paraId="634A1C47"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1,345</w:t>
            </w:r>
          </w:p>
        </w:tc>
        <w:tc>
          <w:tcPr>
            <w:tcW w:w="1205" w:type="dxa"/>
          </w:tcPr>
          <w:p w14:paraId="2D2BB061"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3,329</w:t>
            </w:r>
          </w:p>
        </w:tc>
        <w:tc>
          <w:tcPr>
            <w:tcW w:w="1204" w:type="dxa"/>
          </w:tcPr>
          <w:p w14:paraId="001A31E3"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9%</w:t>
            </w:r>
          </w:p>
        </w:tc>
        <w:tc>
          <w:tcPr>
            <w:tcW w:w="1303" w:type="dxa"/>
          </w:tcPr>
          <w:p w14:paraId="07F8913C"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3,806</w:t>
            </w:r>
          </w:p>
        </w:tc>
        <w:tc>
          <w:tcPr>
            <w:tcW w:w="1307" w:type="dxa"/>
            <w:noWrap/>
            <w:hideMark/>
          </w:tcPr>
          <w:p w14:paraId="65E84E03"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2,376</w:t>
            </w:r>
          </w:p>
        </w:tc>
        <w:tc>
          <w:tcPr>
            <w:tcW w:w="1257" w:type="dxa"/>
            <w:noWrap/>
            <w:hideMark/>
          </w:tcPr>
          <w:p w14:paraId="1C05BF8B"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6,182</w:t>
            </w:r>
          </w:p>
        </w:tc>
        <w:tc>
          <w:tcPr>
            <w:tcW w:w="1257" w:type="dxa"/>
            <w:noWrap/>
            <w:hideMark/>
          </w:tcPr>
          <w:p w14:paraId="239208B8"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11%</w:t>
            </w:r>
          </w:p>
        </w:tc>
      </w:tr>
      <w:tr w:rsidR="008D0CAD" w:rsidRPr="004E147E" w14:paraId="00CA9926" w14:textId="77777777" w:rsidTr="00196BE8">
        <w:trPr>
          <w:trHeight w:val="246"/>
        </w:trPr>
        <w:tc>
          <w:tcPr>
            <w:tcW w:w="491" w:type="dxa"/>
            <w:noWrap/>
            <w:hideMark/>
          </w:tcPr>
          <w:p w14:paraId="2DD915F9"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4</w:t>
            </w:r>
          </w:p>
        </w:tc>
        <w:tc>
          <w:tcPr>
            <w:tcW w:w="2727" w:type="dxa"/>
            <w:noWrap/>
            <w:hideMark/>
          </w:tcPr>
          <w:p w14:paraId="7C2CBAF5"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IV-A (CALABARZON)</w:t>
            </w:r>
          </w:p>
        </w:tc>
        <w:tc>
          <w:tcPr>
            <w:tcW w:w="1313" w:type="dxa"/>
          </w:tcPr>
          <w:p w14:paraId="5B0D5079"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3,560</w:t>
            </w:r>
          </w:p>
        </w:tc>
        <w:tc>
          <w:tcPr>
            <w:tcW w:w="1096" w:type="dxa"/>
          </w:tcPr>
          <w:p w14:paraId="28D51B62"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2,294</w:t>
            </w:r>
          </w:p>
        </w:tc>
        <w:tc>
          <w:tcPr>
            <w:tcW w:w="1205" w:type="dxa"/>
          </w:tcPr>
          <w:p w14:paraId="128847E2"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5,854</w:t>
            </w:r>
          </w:p>
        </w:tc>
        <w:tc>
          <w:tcPr>
            <w:tcW w:w="1204" w:type="dxa"/>
          </w:tcPr>
          <w:p w14:paraId="113A754F"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16%</w:t>
            </w:r>
          </w:p>
        </w:tc>
        <w:tc>
          <w:tcPr>
            <w:tcW w:w="1303" w:type="dxa"/>
          </w:tcPr>
          <w:p w14:paraId="0AB300C3"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5,491</w:t>
            </w:r>
          </w:p>
        </w:tc>
        <w:tc>
          <w:tcPr>
            <w:tcW w:w="1307" w:type="dxa"/>
            <w:noWrap/>
            <w:hideMark/>
          </w:tcPr>
          <w:p w14:paraId="10310100"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3,290</w:t>
            </w:r>
          </w:p>
        </w:tc>
        <w:tc>
          <w:tcPr>
            <w:tcW w:w="1257" w:type="dxa"/>
            <w:noWrap/>
            <w:hideMark/>
          </w:tcPr>
          <w:p w14:paraId="43000D67"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8,781</w:t>
            </w:r>
          </w:p>
        </w:tc>
        <w:tc>
          <w:tcPr>
            <w:tcW w:w="1257" w:type="dxa"/>
            <w:noWrap/>
            <w:hideMark/>
          </w:tcPr>
          <w:p w14:paraId="740F0F4B"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16%</w:t>
            </w:r>
          </w:p>
        </w:tc>
      </w:tr>
      <w:tr w:rsidR="008D0CAD" w:rsidRPr="004E147E" w14:paraId="5584602A" w14:textId="77777777" w:rsidTr="00196BE8">
        <w:trPr>
          <w:trHeight w:val="246"/>
        </w:trPr>
        <w:tc>
          <w:tcPr>
            <w:tcW w:w="491" w:type="dxa"/>
            <w:noWrap/>
            <w:hideMark/>
          </w:tcPr>
          <w:p w14:paraId="776205AB"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5</w:t>
            </w:r>
          </w:p>
        </w:tc>
        <w:tc>
          <w:tcPr>
            <w:tcW w:w="2727" w:type="dxa"/>
            <w:noWrap/>
            <w:hideMark/>
          </w:tcPr>
          <w:p w14:paraId="06805A2D"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IV-B (MIMAROPA)</w:t>
            </w:r>
          </w:p>
        </w:tc>
        <w:tc>
          <w:tcPr>
            <w:tcW w:w="1313" w:type="dxa"/>
          </w:tcPr>
          <w:p w14:paraId="05102254"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614</w:t>
            </w:r>
          </w:p>
        </w:tc>
        <w:tc>
          <w:tcPr>
            <w:tcW w:w="1096" w:type="dxa"/>
          </w:tcPr>
          <w:p w14:paraId="5701A9E9"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409</w:t>
            </w:r>
          </w:p>
        </w:tc>
        <w:tc>
          <w:tcPr>
            <w:tcW w:w="1205" w:type="dxa"/>
          </w:tcPr>
          <w:p w14:paraId="75E02EBA"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1,023</w:t>
            </w:r>
          </w:p>
        </w:tc>
        <w:tc>
          <w:tcPr>
            <w:tcW w:w="1204" w:type="dxa"/>
          </w:tcPr>
          <w:p w14:paraId="346D82AB"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3%</w:t>
            </w:r>
          </w:p>
        </w:tc>
        <w:tc>
          <w:tcPr>
            <w:tcW w:w="1303" w:type="dxa"/>
          </w:tcPr>
          <w:p w14:paraId="683A9F94"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903</w:t>
            </w:r>
          </w:p>
        </w:tc>
        <w:tc>
          <w:tcPr>
            <w:tcW w:w="1307" w:type="dxa"/>
            <w:noWrap/>
            <w:hideMark/>
          </w:tcPr>
          <w:p w14:paraId="2C08D938"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600</w:t>
            </w:r>
          </w:p>
        </w:tc>
        <w:tc>
          <w:tcPr>
            <w:tcW w:w="1257" w:type="dxa"/>
            <w:noWrap/>
            <w:hideMark/>
          </w:tcPr>
          <w:p w14:paraId="6A81F4C2"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1,503</w:t>
            </w:r>
          </w:p>
        </w:tc>
        <w:tc>
          <w:tcPr>
            <w:tcW w:w="1257" w:type="dxa"/>
            <w:noWrap/>
            <w:hideMark/>
          </w:tcPr>
          <w:p w14:paraId="1697B841"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3%</w:t>
            </w:r>
          </w:p>
        </w:tc>
      </w:tr>
      <w:tr w:rsidR="008D0CAD" w:rsidRPr="004E147E" w14:paraId="2FD20435" w14:textId="77777777" w:rsidTr="00196BE8">
        <w:trPr>
          <w:trHeight w:val="246"/>
        </w:trPr>
        <w:tc>
          <w:tcPr>
            <w:tcW w:w="491" w:type="dxa"/>
            <w:noWrap/>
            <w:hideMark/>
          </w:tcPr>
          <w:p w14:paraId="526A2132"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6</w:t>
            </w:r>
          </w:p>
        </w:tc>
        <w:tc>
          <w:tcPr>
            <w:tcW w:w="2727" w:type="dxa"/>
            <w:noWrap/>
            <w:hideMark/>
          </w:tcPr>
          <w:p w14:paraId="4C885142"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V - Bicol Region</w:t>
            </w:r>
          </w:p>
        </w:tc>
        <w:tc>
          <w:tcPr>
            <w:tcW w:w="1313" w:type="dxa"/>
          </w:tcPr>
          <w:p w14:paraId="24A21F81"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1,003</w:t>
            </w:r>
          </w:p>
        </w:tc>
        <w:tc>
          <w:tcPr>
            <w:tcW w:w="1096" w:type="dxa"/>
          </w:tcPr>
          <w:p w14:paraId="7A9F591F"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681</w:t>
            </w:r>
          </w:p>
        </w:tc>
        <w:tc>
          <w:tcPr>
            <w:tcW w:w="1205" w:type="dxa"/>
          </w:tcPr>
          <w:p w14:paraId="4E2B027B"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1,684</w:t>
            </w:r>
          </w:p>
        </w:tc>
        <w:tc>
          <w:tcPr>
            <w:tcW w:w="1204" w:type="dxa"/>
          </w:tcPr>
          <w:p w14:paraId="630B0B36"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5%</w:t>
            </w:r>
          </w:p>
        </w:tc>
        <w:tc>
          <w:tcPr>
            <w:tcW w:w="1303" w:type="dxa"/>
          </w:tcPr>
          <w:p w14:paraId="39BA115A"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1,393</w:t>
            </w:r>
          </w:p>
        </w:tc>
        <w:tc>
          <w:tcPr>
            <w:tcW w:w="1307" w:type="dxa"/>
            <w:noWrap/>
            <w:hideMark/>
          </w:tcPr>
          <w:p w14:paraId="32387167"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947</w:t>
            </w:r>
          </w:p>
        </w:tc>
        <w:tc>
          <w:tcPr>
            <w:tcW w:w="1257" w:type="dxa"/>
            <w:noWrap/>
            <w:hideMark/>
          </w:tcPr>
          <w:p w14:paraId="3A634FBD"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2,340</w:t>
            </w:r>
          </w:p>
        </w:tc>
        <w:tc>
          <w:tcPr>
            <w:tcW w:w="1257" w:type="dxa"/>
            <w:noWrap/>
            <w:hideMark/>
          </w:tcPr>
          <w:p w14:paraId="0EF6DEE7"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4%</w:t>
            </w:r>
          </w:p>
        </w:tc>
      </w:tr>
      <w:tr w:rsidR="008D0CAD" w:rsidRPr="004E147E" w14:paraId="28F3D534" w14:textId="77777777" w:rsidTr="00196BE8">
        <w:trPr>
          <w:trHeight w:val="246"/>
        </w:trPr>
        <w:tc>
          <w:tcPr>
            <w:tcW w:w="491" w:type="dxa"/>
            <w:noWrap/>
            <w:hideMark/>
          </w:tcPr>
          <w:p w14:paraId="26F83940"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7</w:t>
            </w:r>
          </w:p>
        </w:tc>
        <w:tc>
          <w:tcPr>
            <w:tcW w:w="2727" w:type="dxa"/>
            <w:noWrap/>
            <w:hideMark/>
          </w:tcPr>
          <w:p w14:paraId="1BB9177B"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VI - Western Visayas</w:t>
            </w:r>
          </w:p>
        </w:tc>
        <w:tc>
          <w:tcPr>
            <w:tcW w:w="1313" w:type="dxa"/>
          </w:tcPr>
          <w:p w14:paraId="26C68B3F"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1,569</w:t>
            </w:r>
          </w:p>
        </w:tc>
        <w:tc>
          <w:tcPr>
            <w:tcW w:w="1096" w:type="dxa"/>
          </w:tcPr>
          <w:p w14:paraId="29D8C741"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1,154</w:t>
            </w:r>
          </w:p>
        </w:tc>
        <w:tc>
          <w:tcPr>
            <w:tcW w:w="1205" w:type="dxa"/>
          </w:tcPr>
          <w:p w14:paraId="7C60DA82"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2,723</w:t>
            </w:r>
          </w:p>
        </w:tc>
        <w:tc>
          <w:tcPr>
            <w:tcW w:w="1204" w:type="dxa"/>
          </w:tcPr>
          <w:p w14:paraId="2AAB9B86"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7%</w:t>
            </w:r>
          </w:p>
        </w:tc>
        <w:tc>
          <w:tcPr>
            <w:tcW w:w="1303" w:type="dxa"/>
          </w:tcPr>
          <w:p w14:paraId="147A258B"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2,784</w:t>
            </w:r>
          </w:p>
        </w:tc>
        <w:tc>
          <w:tcPr>
            <w:tcW w:w="1307" w:type="dxa"/>
            <w:noWrap/>
            <w:hideMark/>
          </w:tcPr>
          <w:p w14:paraId="2CFF1260"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1,943</w:t>
            </w:r>
          </w:p>
        </w:tc>
        <w:tc>
          <w:tcPr>
            <w:tcW w:w="1257" w:type="dxa"/>
            <w:noWrap/>
            <w:hideMark/>
          </w:tcPr>
          <w:p w14:paraId="5070AE49"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4,727</w:t>
            </w:r>
          </w:p>
        </w:tc>
        <w:tc>
          <w:tcPr>
            <w:tcW w:w="1257" w:type="dxa"/>
            <w:noWrap/>
            <w:hideMark/>
          </w:tcPr>
          <w:p w14:paraId="0DDB1651"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9%</w:t>
            </w:r>
          </w:p>
        </w:tc>
      </w:tr>
      <w:tr w:rsidR="008D0CAD" w:rsidRPr="004E147E" w14:paraId="13390E5E" w14:textId="77777777" w:rsidTr="00196BE8">
        <w:trPr>
          <w:trHeight w:val="246"/>
        </w:trPr>
        <w:tc>
          <w:tcPr>
            <w:tcW w:w="491" w:type="dxa"/>
            <w:noWrap/>
            <w:hideMark/>
          </w:tcPr>
          <w:p w14:paraId="2D46F313"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8</w:t>
            </w:r>
          </w:p>
        </w:tc>
        <w:tc>
          <w:tcPr>
            <w:tcW w:w="2727" w:type="dxa"/>
            <w:noWrap/>
            <w:hideMark/>
          </w:tcPr>
          <w:p w14:paraId="15E7E8CF"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VII - Central Visayas</w:t>
            </w:r>
          </w:p>
        </w:tc>
        <w:tc>
          <w:tcPr>
            <w:tcW w:w="1313" w:type="dxa"/>
          </w:tcPr>
          <w:p w14:paraId="7CDB1CEB"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1,759</w:t>
            </w:r>
          </w:p>
        </w:tc>
        <w:tc>
          <w:tcPr>
            <w:tcW w:w="1096" w:type="dxa"/>
          </w:tcPr>
          <w:p w14:paraId="7CF16DC3"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1,143</w:t>
            </w:r>
          </w:p>
        </w:tc>
        <w:tc>
          <w:tcPr>
            <w:tcW w:w="1205" w:type="dxa"/>
          </w:tcPr>
          <w:p w14:paraId="550CBE8F"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2,902</w:t>
            </w:r>
          </w:p>
        </w:tc>
        <w:tc>
          <w:tcPr>
            <w:tcW w:w="1204" w:type="dxa"/>
          </w:tcPr>
          <w:p w14:paraId="64F7635E"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8%</w:t>
            </w:r>
          </w:p>
        </w:tc>
        <w:tc>
          <w:tcPr>
            <w:tcW w:w="1303" w:type="dxa"/>
          </w:tcPr>
          <w:p w14:paraId="01ABEAD0"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2,342</w:t>
            </w:r>
          </w:p>
        </w:tc>
        <w:tc>
          <w:tcPr>
            <w:tcW w:w="1307" w:type="dxa"/>
            <w:noWrap/>
            <w:hideMark/>
          </w:tcPr>
          <w:p w14:paraId="3B5BE2FD"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1,498</w:t>
            </w:r>
          </w:p>
        </w:tc>
        <w:tc>
          <w:tcPr>
            <w:tcW w:w="1257" w:type="dxa"/>
            <w:noWrap/>
            <w:hideMark/>
          </w:tcPr>
          <w:p w14:paraId="4F1FCAF2"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3,840</w:t>
            </w:r>
          </w:p>
        </w:tc>
        <w:tc>
          <w:tcPr>
            <w:tcW w:w="1257" w:type="dxa"/>
            <w:noWrap/>
            <w:hideMark/>
          </w:tcPr>
          <w:p w14:paraId="11B977E4"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7%</w:t>
            </w:r>
          </w:p>
        </w:tc>
      </w:tr>
      <w:tr w:rsidR="008D0CAD" w:rsidRPr="004E147E" w14:paraId="22FB4576" w14:textId="77777777" w:rsidTr="00196BE8">
        <w:trPr>
          <w:trHeight w:val="246"/>
        </w:trPr>
        <w:tc>
          <w:tcPr>
            <w:tcW w:w="491" w:type="dxa"/>
            <w:noWrap/>
            <w:hideMark/>
          </w:tcPr>
          <w:p w14:paraId="0EE8E9E5"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9</w:t>
            </w:r>
          </w:p>
        </w:tc>
        <w:tc>
          <w:tcPr>
            <w:tcW w:w="2727" w:type="dxa"/>
            <w:noWrap/>
            <w:hideMark/>
          </w:tcPr>
          <w:p w14:paraId="18619D15"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VIII - Eastern Visayas</w:t>
            </w:r>
          </w:p>
        </w:tc>
        <w:tc>
          <w:tcPr>
            <w:tcW w:w="1313" w:type="dxa"/>
          </w:tcPr>
          <w:p w14:paraId="73D3EC84"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564</w:t>
            </w:r>
          </w:p>
        </w:tc>
        <w:tc>
          <w:tcPr>
            <w:tcW w:w="1096" w:type="dxa"/>
          </w:tcPr>
          <w:p w14:paraId="24258582"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374</w:t>
            </w:r>
          </w:p>
        </w:tc>
        <w:tc>
          <w:tcPr>
            <w:tcW w:w="1205" w:type="dxa"/>
          </w:tcPr>
          <w:p w14:paraId="4E7F81F3"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938</w:t>
            </w:r>
          </w:p>
        </w:tc>
        <w:tc>
          <w:tcPr>
            <w:tcW w:w="1204" w:type="dxa"/>
          </w:tcPr>
          <w:p w14:paraId="0CA92A30"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3%</w:t>
            </w:r>
          </w:p>
        </w:tc>
        <w:tc>
          <w:tcPr>
            <w:tcW w:w="1303" w:type="dxa"/>
          </w:tcPr>
          <w:p w14:paraId="50C41DEC"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921</w:t>
            </w:r>
          </w:p>
        </w:tc>
        <w:tc>
          <w:tcPr>
            <w:tcW w:w="1307" w:type="dxa"/>
            <w:noWrap/>
            <w:hideMark/>
          </w:tcPr>
          <w:p w14:paraId="0EBCC034"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561</w:t>
            </w:r>
          </w:p>
        </w:tc>
        <w:tc>
          <w:tcPr>
            <w:tcW w:w="1257" w:type="dxa"/>
            <w:noWrap/>
            <w:hideMark/>
          </w:tcPr>
          <w:p w14:paraId="7A2639B8"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1,482</w:t>
            </w:r>
          </w:p>
        </w:tc>
        <w:tc>
          <w:tcPr>
            <w:tcW w:w="1257" w:type="dxa"/>
            <w:noWrap/>
            <w:hideMark/>
          </w:tcPr>
          <w:p w14:paraId="278135D7"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3%</w:t>
            </w:r>
          </w:p>
        </w:tc>
      </w:tr>
      <w:tr w:rsidR="008D0CAD" w:rsidRPr="004E147E" w14:paraId="4C463909" w14:textId="77777777" w:rsidTr="00196BE8">
        <w:trPr>
          <w:trHeight w:val="246"/>
        </w:trPr>
        <w:tc>
          <w:tcPr>
            <w:tcW w:w="491" w:type="dxa"/>
            <w:noWrap/>
            <w:hideMark/>
          </w:tcPr>
          <w:p w14:paraId="1CA476DE"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10</w:t>
            </w:r>
          </w:p>
        </w:tc>
        <w:tc>
          <w:tcPr>
            <w:tcW w:w="2727" w:type="dxa"/>
            <w:noWrap/>
            <w:hideMark/>
          </w:tcPr>
          <w:p w14:paraId="6C70E28F"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IX - Zamboanga Peninsula</w:t>
            </w:r>
          </w:p>
        </w:tc>
        <w:tc>
          <w:tcPr>
            <w:tcW w:w="1313" w:type="dxa"/>
          </w:tcPr>
          <w:p w14:paraId="41B085D4"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830</w:t>
            </w:r>
          </w:p>
        </w:tc>
        <w:tc>
          <w:tcPr>
            <w:tcW w:w="1096" w:type="dxa"/>
          </w:tcPr>
          <w:p w14:paraId="2C0AF5DA"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556</w:t>
            </w:r>
          </w:p>
        </w:tc>
        <w:tc>
          <w:tcPr>
            <w:tcW w:w="1205" w:type="dxa"/>
          </w:tcPr>
          <w:p w14:paraId="3B866BE3"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1,386</w:t>
            </w:r>
          </w:p>
        </w:tc>
        <w:tc>
          <w:tcPr>
            <w:tcW w:w="1204" w:type="dxa"/>
          </w:tcPr>
          <w:p w14:paraId="2EE5A614"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4%</w:t>
            </w:r>
          </w:p>
        </w:tc>
        <w:tc>
          <w:tcPr>
            <w:tcW w:w="1303" w:type="dxa"/>
          </w:tcPr>
          <w:p w14:paraId="3B211319"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1,645</w:t>
            </w:r>
          </w:p>
        </w:tc>
        <w:tc>
          <w:tcPr>
            <w:tcW w:w="1307" w:type="dxa"/>
            <w:noWrap/>
            <w:hideMark/>
          </w:tcPr>
          <w:p w14:paraId="7EE68B02"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1,067</w:t>
            </w:r>
          </w:p>
        </w:tc>
        <w:tc>
          <w:tcPr>
            <w:tcW w:w="1257" w:type="dxa"/>
            <w:noWrap/>
            <w:hideMark/>
          </w:tcPr>
          <w:p w14:paraId="6D6FBF43"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2,712</w:t>
            </w:r>
          </w:p>
        </w:tc>
        <w:tc>
          <w:tcPr>
            <w:tcW w:w="1257" w:type="dxa"/>
            <w:noWrap/>
            <w:hideMark/>
          </w:tcPr>
          <w:p w14:paraId="73097123"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5%</w:t>
            </w:r>
          </w:p>
        </w:tc>
      </w:tr>
      <w:tr w:rsidR="008D0CAD" w:rsidRPr="004E147E" w14:paraId="0105DA86" w14:textId="77777777" w:rsidTr="00196BE8">
        <w:trPr>
          <w:trHeight w:val="246"/>
        </w:trPr>
        <w:tc>
          <w:tcPr>
            <w:tcW w:w="491" w:type="dxa"/>
            <w:noWrap/>
            <w:hideMark/>
          </w:tcPr>
          <w:p w14:paraId="3D06E8B5"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11</w:t>
            </w:r>
          </w:p>
        </w:tc>
        <w:tc>
          <w:tcPr>
            <w:tcW w:w="2727" w:type="dxa"/>
            <w:noWrap/>
            <w:hideMark/>
          </w:tcPr>
          <w:p w14:paraId="4D1A4ACF"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X - Northern Mindanao</w:t>
            </w:r>
          </w:p>
        </w:tc>
        <w:tc>
          <w:tcPr>
            <w:tcW w:w="1313" w:type="dxa"/>
          </w:tcPr>
          <w:p w14:paraId="04B4C5FD"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1,014</w:t>
            </w:r>
          </w:p>
        </w:tc>
        <w:tc>
          <w:tcPr>
            <w:tcW w:w="1096" w:type="dxa"/>
          </w:tcPr>
          <w:p w14:paraId="261C25C5"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704</w:t>
            </w:r>
          </w:p>
        </w:tc>
        <w:tc>
          <w:tcPr>
            <w:tcW w:w="1205" w:type="dxa"/>
          </w:tcPr>
          <w:p w14:paraId="20E1CC83"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1,718</w:t>
            </w:r>
          </w:p>
        </w:tc>
        <w:tc>
          <w:tcPr>
            <w:tcW w:w="1204" w:type="dxa"/>
          </w:tcPr>
          <w:p w14:paraId="116F7E2E"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5%</w:t>
            </w:r>
          </w:p>
        </w:tc>
        <w:tc>
          <w:tcPr>
            <w:tcW w:w="1303" w:type="dxa"/>
          </w:tcPr>
          <w:p w14:paraId="7D487436"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1,662</w:t>
            </w:r>
          </w:p>
        </w:tc>
        <w:tc>
          <w:tcPr>
            <w:tcW w:w="1307" w:type="dxa"/>
            <w:noWrap/>
            <w:hideMark/>
          </w:tcPr>
          <w:p w14:paraId="5F9F4316"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987</w:t>
            </w:r>
          </w:p>
        </w:tc>
        <w:tc>
          <w:tcPr>
            <w:tcW w:w="1257" w:type="dxa"/>
            <w:noWrap/>
            <w:hideMark/>
          </w:tcPr>
          <w:p w14:paraId="7BDD8C6A"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2,649</w:t>
            </w:r>
          </w:p>
        </w:tc>
        <w:tc>
          <w:tcPr>
            <w:tcW w:w="1257" w:type="dxa"/>
            <w:noWrap/>
            <w:hideMark/>
          </w:tcPr>
          <w:p w14:paraId="7D60AE26"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5%</w:t>
            </w:r>
          </w:p>
        </w:tc>
      </w:tr>
      <w:tr w:rsidR="008D0CAD" w:rsidRPr="004E147E" w14:paraId="3F5FE49B" w14:textId="77777777" w:rsidTr="00196BE8">
        <w:trPr>
          <w:trHeight w:val="246"/>
        </w:trPr>
        <w:tc>
          <w:tcPr>
            <w:tcW w:w="491" w:type="dxa"/>
            <w:noWrap/>
            <w:hideMark/>
          </w:tcPr>
          <w:p w14:paraId="589CFDC0"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12</w:t>
            </w:r>
          </w:p>
        </w:tc>
        <w:tc>
          <w:tcPr>
            <w:tcW w:w="2727" w:type="dxa"/>
            <w:noWrap/>
            <w:hideMark/>
          </w:tcPr>
          <w:p w14:paraId="19BF9C00"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XI - Davao Region</w:t>
            </w:r>
          </w:p>
        </w:tc>
        <w:tc>
          <w:tcPr>
            <w:tcW w:w="1313" w:type="dxa"/>
          </w:tcPr>
          <w:p w14:paraId="66D0647E"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1,496</w:t>
            </w:r>
          </w:p>
        </w:tc>
        <w:tc>
          <w:tcPr>
            <w:tcW w:w="1096" w:type="dxa"/>
          </w:tcPr>
          <w:p w14:paraId="63AC3453"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909</w:t>
            </w:r>
          </w:p>
        </w:tc>
        <w:tc>
          <w:tcPr>
            <w:tcW w:w="1205" w:type="dxa"/>
          </w:tcPr>
          <w:p w14:paraId="60604C56"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2,405</w:t>
            </w:r>
          </w:p>
        </w:tc>
        <w:tc>
          <w:tcPr>
            <w:tcW w:w="1204" w:type="dxa"/>
          </w:tcPr>
          <w:p w14:paraId="695D6691"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7%</w:t>
            </w:r>
          </w:p>
        </w:tc>
        <w:tc>
          <w:tcPr>
            <w:tcW w:w="1303" w:type="dxa"/>
          </w:tcPr>
          <w:p w14:paraId="3F34B506"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2,234</w:t>
            </w:r>
          </w:p>
        </w:tc>
        <w:tc>
          <w:tcPr>
            <w:tcW w:w="1307" w:type="dxa"/>
            <w:noWrap/>
            <w:hideMark/>
          </w:tcPr>
          <w:p w14:paraId="641173AE"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1,252</w:t>
            </w:r>
          </w:p>
        </w:tc>
        <w:tc>
          <w:tcPr>
            <w:tcW w:w="1257" w:type="dxa"/>
            <w:noWrap/>
            <w:hideMark/>
          </w:tcPr>
          <w:p w14:paraId="0C8FC583"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3,486</w:t>
            </w:r>
          </w:p>
        </w:tc>
        <w:tc>
          <w:tcPr>
            <w:tcW w:w="1257" w:type="dxa"/>
            <w:noWrap/>
            <w:hideMark/>
          </w:tcPr>
          <w:p w14:paraId="0298EA44"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6%</w:t>
            </w:r>
          </w:p>
        </w:tc>
      </w:tr>
      <w:tr w:rsidR="008D0CAD" w:rsidRPr="004E147E" w14:paraId="209405F4" w14:textId="77777777" w:rsidTr="00196BE8">
        <w:trPr>
          <w:trHeight w:val="246"/>
        </w:trPr>
        <w:tc>
          <w:tcPr>
            <w:tcW w:w="491" w:type="dxa"/>
            <w:noWrap/>
            <w:hideMark/>
          </w:tcPr>
          <w:p w14:paraId="5CD1E719"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13</w:t>
            </w:r>
          </w:p>
        </w:tc>
        <w:tc>
          <w:tcPr>
            <w:tcW w:w="2727" w:type="dxa"/>
            <w:noWrap/>
            <w:hideMark/>
          </w:tcPr>
          <w:p w14:paraId="7B9BA449"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XII - SOCCSKSARGEN</w:t>
            </w:r>
          </w:p>
        </w:tc>
        <w:tc>
          <w:tcPr>
            <w:tcW w:w="1313" w:type="dxa"/>
          </w:tcPr>
          <w:p w14:paraId="1CFA8E8A"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530</w:t>
            </w:r>
          </w:p>
        </w:tc>
        <w:tc>
          <w:tcPr>
            <w:tcW w:w="1096" w:type="dxa"/>
          </w:tcPr>
          <w:p w14:paraId="533B0E16"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365</w:t>
            </w:r>
          </w:p>
        </w:tc>
        <w:tc>
          <w:tcPr>
            <w:tcW w:w="1205" w:type="dxa"/>
          </w:tcPr>
          <w:p w14:paraId="1B98468C"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895</w:t>
            </w:r>
          </w:p>
        </w:tc>
        <w:tc>
          <w:tcPr>
            <w:tcW w:w="1204" w:type="dxa"/>
          </w:tcPr>
          <w:p w14:paraId="3BD7398F"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2%</w:t>
            </w:r>
          </w:p>
        </w:tc>
        <w:tc>
          <w:tcPr>
            <w:tcW w:w="1303" w:type="dxa"/>
          </w:tcPr>
          <w:p w14:paraId="4AC7EE7A"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866</w:t>
            </w:r>
          </w:p>
        </w:tc>
        <w:tc>
          <w:tcPr>
            <w:tcW w:w="1307" w:type="dxa"/>
            <w:noWrap/>
            <w:hideMark/>
          </w:tcPr>
          <w:p w14:paraId="73149BC1"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557</w:t>
            </w:r>
          </w:p>
        </w:tc>
        <w:tc>
          <w:tcPr>
            <w:tcW w:w="1257" w:type="dxa"/>
            <w:noWrap/>
            <w:hideMark/>
          </w:tcPr>
          <w:p w14:paraId="78A8285B"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1,423</w:t>
            </w:r>
          </w:p>
        </w:tc>
        <w:tc>
          <w:tcPr>
            <w:tcW w:w="1257" w:type="dxa"/>
            <w:noWrap/>
            <w:hideMark/>
          </w:tcPr>
          <w:p w14:paraId="662124F7"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3%</w:t>
            </w:r>
          </w:p>
        </w:tc>
      </w:tr>
      <w:tr w:rsidR="008D0CAD" w:rsidRPr="004E147E" w14:paraId="5AAE18AC" w14:textId="77777777" w:rsidTr="00196BE8">
        <w:trPr>
          <w:trHeight w:val="246"/>
        </w:trPr>
        <w:tc>
          <w:tcPr>
            <w:tcW w:w="491" w:type="dxa"/>
            <w:noWrap/>
            <w:hideMark/>
          </w:tcPr>
          <w:p w14:paraId="69B51C88"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14</w:t>
            </w:r>
          </w:p>
        </w:tc>
        <w:tc>
          <w:tcPr>
            <w:tcW w:w="2727" w:type="dxa"/>
            <w:noWrap/>
            <w:hideMark/>
          </w:tcPr>
          <w:p w14:paraId="641484C4"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CARAGA</w:t>
            </w:r>
          </w:p>
        </w:tc>
        <w:tc>
          <w:tcPr>
            <w:tcW w:w="1313" w:type="dxa"/>
          </w:tcPr>
          <w:p w14:paraId="02363A9C"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699</w:t>
            </w:r>
          </w:p>
        </w:tc>
        <w:tc>
          <w:tcPr>
            <w:tcW w:w="1096" w:type="dxa"/>
          </w:tcPr>
          <w:p w14:paraId="75731942"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484</w:t>
            </w:r>
          </w:p>
        </w:tc>
        <w:tc>
          <w:tcPr>
            <w:tcW w:w="1205" w:type="dxa"/>
          </w:tcPr>
          <w:p w14:paraId="5B9CE7B9"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1,183</w:t>
            </w:r>
          </w:p>
        </w:tc>
        <w:tc>
          <w:tcPr>
            <w:tcW w:w="1204" w:type="dxa"/>
          </w:tcPr>
          <w:p w14:paraId="2D728098"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3%</w:t>
            </w:r>
          </w:p>
        </w:tc>
        <w:tc>
          <w:tcPr>
            <w:tcW w:w="1303" w:type="dxa"/>
          </w:tcPr>
          <w:p w14:paraId="1CBC1FA3"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915</w:t>
            </w:r>
          </w:p>
        </w:tc>
        <w:tc>
          <w:tcPr>
            <w:tcW w:w="1307" w:type="dxa"/>
            <w:noWrap/>
            <w:hideMark/>
          </w:tcPr>
          <w:p w14:paraId="78167093"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628</w:t>
            </w:r>
          </w:p>
        </w:tc>
        <w:tc>
          <w:tcPr>
            <w:tcW w:w="1257" w:type="dxa"/>
            <w:noWrap/>
            <w:hideMark/>
          </w:tcPr>
          <w:p w14:paraId="0FE9B8BB"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1,543</w:t>
            </w:r>
          </w:p>
        </w:tc>
        <w:tc>
          <w:tcPr>
            <w:tcW w:w="1257" w:type="dxa"/>
            <w:noWrap/>
            <w:hideMark/>
          </w:tcPr>
          <w:p w14:paraId="1460A532"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3%</w:t>
            </w:r>
          </w:p>
        </w:tc>
      </w:tr>
      <w:tr w:rsidR="008D0CAD" w:rsidRPr="004E147E" w14:paraId="53F941DB" w14:textId="77777777" w:rsidTr="00196BE8">
        <w:trPr>
          <w:trHeight w:val="246"/>
        </w:trPr>
        <w:tc>
          <w:tcPr>
            <w:tcW w:w="491" w:type="dxa"/>
            <w:noWrap/>
            <w:hideMark/>
          </w:tcPr>
          <w:p w14:paraId="63F57073"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15</w:t>
            </w:r>
          </w:p>
        </w:tc>
        <w:tc>
          <w:tcPr>
            <w:tcW w:w="2727" w:type="dxa"/>
            <w:noWrap/>
            <w:hideMark/>
          </w:tcPr>
          <w:p w14:paraId="59E7D02E"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 xml:space="preserve">ARMM </w:t>
            </w:r>
          </w:p>
        </w:tc>
        <w:tc>
          <w:tcPr>
            <w:tcW w:w="1313" w:type="dxa"/>
          </w:tcPr>
          <w:p w14:paraId="2D2A5DD6"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46</w:t>
            </w:r>
          </w:p>
        </w:tc>
        <w:tc>
          <w:tcPr>
            <w:tcW w:w="1096" w:type="dxa"/>
          </w:tcPr>
          <w:p w14:paraId="4D5EAE83"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17</w:t>
            </w:r>
          </w:p>
        </w:tc>
        <w:tc>
          <w:tcPr>
            <w:tcW w:w="1205" w:type="dxa"/>
          </w:tcPr>
          <w:p w14:paraId="4459B447"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63</w:t>
            </w:r>
          </w:p>
        </w:tc>
        <w:tc>
          <w:tcPr>
            <w:tcW w:w="1204" w:type="dxa"/>
          </w:tcPr>
          <w:p w14:paraId="4065D5B8"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0%</w:t>
            </w:r>
          </w:p>
        </w:tc>
        <w:tc>
          <w:tcPr>
            <w:tcW w:w="1303" w:type="dxa"/>
          </w:tcPr>
          <w:p w14:paraId="1DC4CA17"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131</w:t>
            </w:r>
          </w:p>
        </w:tc>
        <w:tc>
          <w:tcPr>
            <w:tcW w:w="1307" w:type="dxa"/>
            <w:noWrap/>
            <w:hideMark/>
          </w:tcPr>
          <w:p w14:paraId="21898A75"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113</w:t>
            </w:r>
          </w:p>
        </w:tc>
        <w:tc>
          <w:tcPr>
            <w:tcW w:w="1257" w:type="dxa"/>
            <w:noWrap/>
            <w:hideMark/>
          </w:tcPr>
          <w:p w14:paraId="34916386"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244</w:t>
            </w:r>
          </w:p>
        </w:tc>
        <w:tc>
          <w:tcPr>
            <w:tcW w:w="1257" w:type="dxa"/>
            <w:noWrap/>
            <w:hideMark/>
          </w:tcPr>
          <w:p w14:paraId="48A3EE49"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0%</w:t>
            </w:r>
          </w:p>
        </w:tc>
      </w:tr>
      <w:tr w:rsidR="008D0CAD" w:rsidRPr="004E147E" w14:paraId="25D2D8D5" w14:textId="77777777" w:rsidTr="00196BE8">
        <w:trPr>
          <w:trHeight w:val="246"/>
        </w:trPr>
        <w:tc>
          <w:tcPr>
            <w:tcW w:w="491" w:type="dxa"/>
            <w:noWrap/>
            <w:hideMark/>
          </w:tcPr>
          <w:p w14:paraId="1C605882"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16</w:t>
            </w:r>
          </w:p>
        </w:tc>
        <w:tc>
          <w:tcPr>
            <w:tcW w:w="2727" w:type="dxa"/>
            <w:noWrap/>
            <w:hideMark/>
          </w:tcPr>
          <w:p w14:paraId="373046EC"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CAR</w:t>
            </w:r>
          </w:p>
        </w:tc>
        <w:tc>
          <w:tcPr>
            <w:tcW w:w="1313" w:type="dxa"/>
          </w:tcPr>
          <w:p w14:paraId="521DA174"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324</w:t>
            </w:r>
          </w:p>
        </w:tc>
        <w:tc>
          <w:tcPr>
            <w:tcW w:w="1096" w:type="dxa"/>
          </w:tcPr>
          <w:p w14:paraId="55C7B130"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186</w:t>
            </w:r>
          </w:p>
        </w:tc>
        <w:tc>
          <w:tcPr>
            <w:tcW w:w="1205" w:type="dxa"/>
          </w:tcPr>
          <w:p w14:paraId="68E5544E"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510</w:t>
            </w:r>
          </w:p>
        </w:tc>
        <w:tc>
          <w:tcPr>
            <w:tcW w:w="1204" w:type="dxa"/>
          </w:tcPr>
          <w:p w14:paraId="40E01452"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1%</w:t>
            </w:r>
          </w:p>
        </w:tc>
        <w:tc>
          <w:tcPr>
            <w:tcW w:w="1303" w:type="dxa"/>
          </w:tcPr>
          <w:p w14:paraId="6F785B6A"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405</w:t>
            </w:r>
          </w:p>
        </w:tc>
        <w:tc>
          <w:tcPr>
            <w:tcW w:w="1307" w:type="dxa"/>
            <w:noWrap/>
            <w:hideMark/>
          </w:tcPr>
          <w:p w14:paraId="7757D23D"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203</w:t>
            </w:r>
          </w:p>
        </w:tc>
        <w:tc>
          <w:tcPr>
            <w:tcW w:w="1257" w:type="dxa"/>
            <w:noWrap/>
            <w:hideMark/>
          </w:tcPr>
          <w:p w14:paraId="7F295B2D"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608</w:t>
            </w:r>
          </w:p>
        </w:tc>
        <w:tc>
          <w:tcPr>
            <w:tcW w:w="1257" w:type="dxa"/>
            <w:noWrap/>
            <w:hideMark/>
          </w:tcPr>
          <w:p w14:paraId="709BD8A3" w14:textId="77777777" w:rsidR="008D0CAD" w:rsidRPr="004E147E" w:rsidRDefault="008D0CAD" w:rsidP="00796BFA">
            <w:pPr>
              <w:spacing w:before="100" w:beforeAutospacing="1" w:after="100" w:afterAutospacing="1" w:line="360" w:lineRule="auto"/>
              <w:rPr>
                <w:rFonts w:asciiTheme="majorHAnsi" w:hAnsiTheme="majorHAnsi" w:cstheme="majorHAnsi"/>
                <w:sz w:val="20"/>
                <w:szCs w:val="20"/>
                <w:lang w:val="en-US"/>
              </w:rPr>
            </w:pPr>
            <w:r w:rsidRPr="004E147E">
              <w:rPr>
                <w:rFonts w:asciiTheme="majorHAnsi" w:hAnsiTheme="majorHAnsi" w:cstheme="majorHAnsi"/>
                <w:sz w:val="20"/>
                <w:szCs w:val="20"/>
                <w:lang w:val="en-US"/>
              </w:rPr>
              <w:t>1%</w:t>
            </w:r>
          </w:p>
        </w:tc>
      </w:tr>
    </w:tbl>
    <w:p w14:paraId="24D52159" w14:textId="77777777" w:rsidR="008D0CAD" w:rsidRPr="004E147E" w:rsidRDefault="008D0CAD" w:rsidP="002320B3">
      <w:pPr>
        <w:spacing w:after="160" w:line="259" w:lineRule="auto"/>
        <w:rPr>
          <w:rFonts w:asciiTheme="majorHAnsi" w:hAnsiTheme="majorHAnsi" w:cstheme="majorHAnsi"/>
          <w:color w:val="000000" w:themeColor="text1"/>
          <w:sz w:val="20"/>
          <w:szCs w:val="20"/>
          <w:lang w:val="en-US"/>
        </w:rPr>
        <w:sectPr w:rsidR="008D0CAD" w:rsidRPr="004E147E" w:rsidSect="009C64E9">
          <w:pgSz w:w="16838" w:h="11906" w:orient="landscape" w:code="9"/>
          <w:pgMar w:top="1080" w:right="1440" w:bottom="1080" w:left="1440" w:header="708" w:footer="708" w:gutter="0"/>
          <w:cols w:space="708"/>
          <w:docGrid w:linePitch="360"/>
        </w:sectPr>
      </w:pPr>
      <w:r w:rsidRPr="004E147E">
        <w:rPr>
          <w:rFonts w:asciiTheme="majorHAnsi" w:hAnsiTheme="majorHAnsi" w:cstheme="majorHAnsi"/>
          <w:i/>
          <w:iCs/>
          <w:color w:val="000000" w:themeColor="text1"/>
          <w:sz w:val="20"/>
          <w:szCs w:val="20"/>
          <w:lang w:val="en-US"/>
        </w:rPr>
        <w:br w:type="page"/>
      </w:r>
    </w:p>
    <w:p w14:paraId="1F6D0F21" w14:textId="77777777" w:rsidR="008D0CAD" w:rsidRPr="004E147E" w:rsidRDefault="008D0CAD" w:rsidP="00385784">
      <w:pPr>
        <w:pStyle w:val="Heading2"/>
        <w:numPr>
          <w:ilvl w:val="0"/>
          <w:numId w:val="0"/>
        </w:numPr>
        <w:spacing w:before="100" w:beforeAutospacing="1" w:after="100" w:afterAutospacing="1" w:line="360" w:lineRule="auto"/>
        <w:ind w:left="1288" w:hanging="720"/>
      </w:pPr>
      <w:bookmarkStart w:id="617" w:name="_Toc39938424"/>
      <w:bookmarkStart w:id="618" w:name="_Toc69820528"/>
      <w:r w:rsidRPr="004E147E">
        <w:t>Annex W. Rating Scale for Relevance, Effectiveness, Efficiency and Sustainability</w:t>
      </w:r>
      <w:bookmarkEnd w:id="617"/>
      <w:bookmarkEnd w:id="618"/>
    </w:p>
    <w:p w14:paraId="35EA1684" w14:textId="77777777" w:rsidR="008D0CAD" w:rsidRPr="004E147E" w:rsidRDefault="008D0CAD" w:rsidP="00385784">
      <w:pPr>
        <w:spacing w:before="100" w:beforeAutospacing="1" w:after="100" w:afterAutospacing="1" w:line="360" w:lineRule="auto"/>
        <w:rPr>
          <w:rFonts w:asciiTheme="majorHAnsi" w:hAnsiTheme="majorHAnsi" w:cstheme="majorHAnsi"/>
          <w:lang w:val="en-US"/>
        </w:rPr>
      </w:pPr>
      <w:r w:rsidRPr="004E147E">
        <w:rPr>
          <w:rFonts w:asciiTheme="majorHAnsi" w:hAnsiTheme="majorHAnsi" w:cstheme="majorHAnsi"/>
          <w:lang w:val="en-US"/>
        </w:rPr>
        <w:t>In the Inception Report, the EOPE Study Team provided a set of rubrics (a 4-point rating scale) intended to be applied in assessing the 10 BEST Program interventions. The scale was not applied to the Program as a whole because there were other Program interventions that were not included in the EOPE and thus not assessed by the Team.</w:t>
      </w:r>
      <w:r w:rsidRPr="004E147E">
        <w:rPr>
          <w:rFonts w:asciiTheme="majorHAnsi" w:hAnsiTheme="majorHAnsi" w:cstheme="majorHAnsi"/>
          <w:vertAlign w:val="superscript"/>
          <w:lang w:val="en-US"/>
        </w:rPr>
        <w:footnoteReference w:id="148"/>
      </w:r>
    </w:p>
    <w:p w14:paraId="706EA243" w14:textId="1156B261" w:rsidR="008D0CAD" w:rsidRPr="004E147E" w:rsidRDefault="008D0CAD" w:rsidP="00385784">
      <w:pPr>
        <w:spacing w:before="100" w:beforeAutospacing="1" w:after="100" w:afterAutospacing="1" w:line="360" w:lineRule="auto"/>
        <w:rPr>
          <w:rFonts w:asciiTheme="majorHAnsi" w:hAnsiTheme="majorHAnsi" w:cstheme="majorHAnsi"/>
          <w:lang w:val="en-US"/>
        </w:rPr>
      </w:pPr>
      <w:r w:rsidRPr="004E147E">
        <w:rPr>
          <w:rFonts w:asciiTheme="majorHAnsi" w:hAnsiTheme="majorHAnsi" w:cstheme="majorHAnsi"/>
          <w:lang w:val="en-US"/>
        </w:rPr>
        <w:t>This scale, shown in Table 1, was aligned with the Study’s Evaluation Framework (refer to Annex D).</w:t>
      </w:r>
      <w:r w:rsidR="00D434EB">
        <w:rPr>
          <w:rFonts w:asciiTheme="majorHAnsi" w:hAnsiTheme="majorHAnsi" w:cstheme="majorHAnsi"/>
          <w:lang w:val="en-US"/>
        </w:rPr>
        <w:t xml:space="preserve"> </w:t>
      </w:r>
      <w:r w:rsidRPr="004E147E">
        <w:rPr>
          <w:rFonts w:asciiTheme="majorHAnsi" w:hAnsiTheme="majorHAnsi" w:cstheme="majorHAnsi"/>
          <w:lang w:val="en-US"/>
        </w:rPr>
        <w:t>For instance, Relevance corresponded to Context, Efficiency to Inputs, and Effectiveness to Process and Products.</w:t>
      </w:r>
    </w:p>
    <w:p w14:paraId="5F53DC26" w14:textId="77777777" w:rsidR="008D0CAD" w:rsidRPr="004E147E" w:rsidRDefault="008D0CAD" w:rsidP="00385784">
      <w:pPr>
        <w:spacing w:before="100" w:beforeAutospacing="1" w:after="100" w:afterAutospacing="1" w:line="360" w:lineRule="auto"/>
        <w:rPr>
          <w:rFonts w:asciiTheme="majorHAnsi" w:hAnsiTheme="majorHAnsi" w:cstheme="majorHAnsi"/>
          <w:b/>
          <w:lang w:val="en-US"/>
        </w:rPr>
      </w:pPr>
      <w:r w:rsidRPr="004E147E">
        <w:rPr>
          <w:rFonts w:asciiTheme="majorHAnsi" w:hAnsiTheme="majorHAnsi" w:cstheme="majorHAnsi"/>
          <w:b/>
          <w:lang w:val="en-US"/>
        </w:rPr>
        <w:t>Table 1. Rating Scale for Relevance, Effectiveness, Efficiency and Sustainability (REES)</w:t>
      </w:r>
    </w:p>
    <w:tbl>
      <w:tblPr>
        <w:tblStyle w:val="TableGrid11"/>
        <w:tblW w:w="14153" w:type="dxa"/>
        <w:tblLook w:val="04A0" w:firstRow="1" w:lastRow="0" w:firstColumn="1" w:lastColumn="0" w:noHBand="0" w:noVBand="1"/>
      </w:tblPr>
      <w:tblGrid>
        <w:gridCol w:w="1632"/>
        <w:gridCol w:w="3150"/>
        <w:gridCol w:w="3293"/>
        <w:gridCol w:w="3039"/>
        <w:gridCol w:w="3039"/>
      </w:tblGrid>
      <w:tr w:rsidR="008D0CAD" w:rsidRPr="004E147E" w14:paraId="143E7B6E" w14:textId="77777777" w:rsidTr="00671CFD">
        <w:trPr>
          <w:trHeight w:val="149"/>
          <w:tblHeader/>
        </w:trPr>
        <w:tc>
          <w:tcPr>
            <w:tcW w:w="1632" w:type="dxa"/>
            <w:hideMark/>
          </w:tcPr>
          <w:p w14:paraId="2F3188BB" w14:textId="77777777" w:rsidR="008D0CAD" w:rsidRPr="004E147E" w:rsidRDefault="008D0CAD" w:rsidP="00385784">
            <w:pPr>
              <w:spacing w:before="100" w:beforeAutospacing="1" w:after="100" w:afterAutospacing="1" w:line="360" w:lineRule="auto"/>
              <w:rPr>
                <w:rFonts w:asciiTheme="majorHAnsi" w:hAnsiTheme="majorHAnsi" w:cstheme="majorHAnsi"/>
                <w:color w:val="000000"/>
                <w:sz w:val="20"/>
                <w:szCs w:val="20"/>
                <w:lang w:val="en-US"/>
              </w:rPr>
            </w:pPr>
            <w:r w:rsidRPr="004E147E">
              <w:rPr>
                <w:rFonts w:asciiTheme="majorHAnsi" w:hAnsiTheme="majorHAnsi" w:cstheme="majorHAnsi"/>
                <w:color w:val="000000"/>
                <w:sz w:val="20"/>
                <w:szCs w:val="20"/>
                <w:lang w:val="en-US"/>
              </w:rPr>
              <w:t> </w:t>
            </w:r>
          </w:p>
        </w:tc>
        <w:tc>
          <w:tcPr>
            <w:tcW w:w="3150" w:type="dxa"/>
            <w:hideMark/>
          </w:tcPr>
          <w:p w14:paraId="1A572921" w14:textId="77777777" w:rsidR="008D0CAD" w:rsidRPr="004E147E" w:rsidRDefault="008D0CAD" w:rsidP="00385784">
            <w:pPr>
              <w:spacing w:before="100" w:beforeAutospacing="1" w:after="100" w:afterAutospacing="1" w:line="360" w:lineRule="auto"/>
              <w:rPr>
                <w:rFonts w:asciiTheme="majorHAnsi" w:hAnsiTheme="majorHAnsi" w:cstheme="majorHAnsi"/>
                <w:b/>
                <w:bCs/>
                <w:color w:val="000000"/>
                <w:sz w:val="20"/>
                <w:szCs w:val="20"/>
                <w:lang w:val="en-US"/>
              </w:rPr>
            </w:pPr>
            <w:r w:rsidRPr="004E147E">
              <w:rPr>
                <w:rFonts w:asciiTheme="majorHAnsi" w:hAnsiTheme="majorHAnsi" w:cstheme="majorHAnsi"/>
                <w:b/>
                <w:bCs/>
                <w:color w:val="000000"/>
                <w:sz w:val="20"/>
                <w:szCs w:val="20"/>
                <w:lang w:val="en-US"/>
              </w:rPr>
              <w:t>1</w:t>
            </w:r>
          </w:p>
        </w:tc>
        <w:tc>
          <w:tcPr>
            <w:tcW w:w="3293" w:type="dxa"/>
            <w:hideMark/>
          </w:tcPr>
          <w:p w14:paraId="1CD19D80" w14:textId="77777777" w:rsidR="008D0CAD" w:rsidRPr="004E147E" w:rsidRDefault="008D0CAD" w:rsidP="00385784">
            <w:pPr>
              <w:spacing w:before="100" w:beforeAutospacing="1" w:after="100" w:afterAutospacing="1" w:line="360" w:lineRule="auto"/>
              <w:rPr>
                <w:rFonts w:asciiTheme="majorHAnsi" w:hAnsiTheme="majorHAnsi" w:cstheme="majorHAnsi"/>
                <w:b/>
                <w:bCs/>
                <w:color w:val="000000"/>
                <w:sz w:val="20"/>
                <w:szCs w:val="20"/>
                <w:lang w:val="en-US"/>
              </w:rPr>
            </w:pPr>
            <w:r w:rsidRPr="004E147E">
              <w:rPr>
                <w:rFonts w:asciiTheme="majorHAnsi" w:hAnsiTheme="majorHAnsi" w:cstheme="majorHAnsi"/>
                <w:b/>
                <w:bCs/>
                <w:color w:val="000000"/>
                <w:sz w:val="20"/>
                <w:szCs w:val="20"/>
                <w:lang w:val="en-US"/>
              </w:rPr>
              <w:t>2</w:t>
            </w:r>
          </w:p>
        </w:tc>
        <w:tc>
          <w:tcPr>
            <w:tcW w:w="3039" w:type="dxa"/>
            <w:hideMark/>
          </w:tcPr>
          <w:p w14:paraId="3093E80E" w14:textId="77777777" w:rsidR="008D0CAD" w:rsidRPr="004E147E" w:rsidRDefault="008D0CAD" w:rsidP="00385784">
            <w:pPr>
              <w:spacing w:before="100" w:beforeAutospacing="1" w:after="100" w:afterAutospacing="1" w:line="360" w:lineRule="auto"/>
              <w:rPr>
                <w:rFonts w:asciiTheme="majorHAnsi" w:hAnsiTheme="majorHAnsi" w:cstheme="majorHAnsi"/>
                <w:b/>
                <w:bCs/>
                <w:color w:val="000000"/>
                <w:sz w:val="20"/>
                <w:szCs w:val="20"/>
                <w:lang w:val="en-US"/>
              </w:rPr>
            </w:pPr>
            <w:r w:rsidRPr="004E147E">
              <w:rPr>
                <w:rFonts w:asciiTheme="majorHAnsi" w:hAnsiTheme="majorHAnsi" w:cstheme="majorHAnsi"/>
                <w:b/>
                <w:bCs/>
                <w:color w:val="000000"/>
                <w:sz w:val="20"/>
                <w:szCs w:val="20"/>
                <w:lang w:val="en-US"/>
              </w:rPr>
              <w:t>3</w:t>
            </w:r>
          </w:p>
        </w:tc>
        <w:tc>
          <w:tcPr>
            <w:tcW w:w="3039" w:type="dxa"/>
            <w:hideMark/>
          </w:tcPr>
          <w:p w14:paraId="353A2F89" w14:textId="77777777" w:rsidR="008D0CAD" w:rsidRPr="004E147E" w:rsidRDefault="008D0CAD" w:rsidP="00385784">
            <w:pPr>
              <w:spacing w:before="100" w:beforeAutospacing="1" w:after="100" w:afterAutospacing="1" w:line="360" w:lineRule="auto"/>
              <w:rPr>
                <w:rFonts w:asciiTheme="majorHAnsi" w:hAnsiTheme="majorHAnsi" w:cstheme="majorHAnsi"/>
                <w:b/>
                <w:bCs/>
                <w:color w:val="000000"/>
                <w:sz w:val="20"/>
                <w:szCs w:val="20"/>
                <w:lang w:val="en-US"/>
              </w:rPr>
            </w:pPr>
            <w:r w:rsidRPr="004E147E">
              <w:rPr>
                <w:rFonts w:asciiTheme="majorHAnsi" w:hAnsiTheme="majorHAnsi" w:cstheme="majorHAnsi"/>
                <w:b/>
                <w:bCs/>
                <w:color w:val="000000"/>
                <w:sz w:val="20"/>
                <w:szCs w:val="20"/>
                <w:lang w:val="en-US"/>
              </w:rPr>
              <w:t>4</w:t>
            </w:r>
          </w:p>
        </w:tc>
      </w:tr>
      <w:tr w:rsidR="008D0CAD" w:rsidRPr="004E147E" w14:paraId="0A17798A" w14:textId="77777777" w:rsidTr="00671CFD">
        <w:trPr>
          <w:trHeight w:val="511"/>
          <w:tblHeader/>
        </w:trPr>
        <w:tc>
          <w:tcPr>
            <w:tcW w:w="1632" w:type="dxa"/>
            <w:hideMark/>
          </w:tcPr>
          <w:p w14:paraId="3C11EA93" w14:textId="77777777" w:rsidR="008D0CAD" w:rsidRPr="004E147E" w:rsidRDefault="008D0CAD" w:rsidP="00385784">
            <w:pPr>
              <w:spacing w:before="100" w:beforeAutospacing="1" w:after="100" w:afterAutospacing="1" w:line="360" w:lineRule="auto"/>
              <w:rPr>
                <w:rFonts w:asciiTheme="majorHAnsi" w:hAnsiTheme="majorHAnsi" w:cstheme="majorHAnsi"/>
                <w:b/>
                <w:bCs/>
                <w:color w:val="000000"/>
                <w:sz w:val="20"/>
                <w:szCs w:val="20"/>
                <w:lang w:val="en-US"/>
              </w:rPr>
            </w:pPr>
            <w:r w:rsidRPr="004E147E">
              <w:rPr>
                <w:rFonts w:asciiTheme="majorHAnsi" w:hAnsiTheme="majorHAnsi" w:cstheme="majorHAnsi"/>
                <w:b/>
                <w:bCs/>
                <w:color w:val="000000"/>
                <w:sz w:val="20"/>
                <w:szCs w:val="20"/>
                <w:lang w:val="en-US"/>
              </w:rPr>
              <w:t>RELEVANCE of Program Interventions</w:t>
            </w:r>
          </w:p>
        </w:tc>
        <w:tc>
          <w:tcPr>
            <w:tcW w:w="3150" w:type="dxa"/>
            <w:hideMark/>
          </w:tcPr>
          <w:p w14:paraId="1660EB69" w14:textId="77777777" w:rsidR="008D0CAD" w:rsidRPr="004E147E" w:rsidRDefault="008D0CAD" w:rsidP="00385784">
            <w:pPr>
              <w:spacing w:before="100" w:beforeAutospacing="1" w:after="100" w:afterAutospacing="1" w:line="360" w:lineRule="auto"/>
              <w:rPr>
                <w:rFonts w:asciiTheme="majorHAnsi" w:hAnsiTheme="majorHAnsi" w:cstheme="majorHAnsi"/>
                <w:b/>
                <w:bCs/>
                <w:color w:val="000000"/>
                <w:sz w:val="20"/>
                <w:szCs w:val="20"/>
                <w:lang w:val="en-US"/>
              </w:rPr>
            </w:pPr>
            <w:r w:rsidRPr="004E147E">
              <w:rPr>
                <w:rFonts w:asciiTheme="majorHAnsi" w:hAnsiTheme="majorHAnsi" w:cstheme="majorHAnsi"/>
                <w:b/>
                <w:bCs/>
                <w:color w:val="000000"/>
                <w:sz w:val="20"/>
                <w:szCs w:val="20"/>
                <w:lang w:val="en-US"/>
              </w:rPr>
              <w:t>Irrelevant</w:t>
            </w:r>
          </w:p>
        </w:tc>
        <w:tc>
          <w:tcPr>
            <w:tcW w:w="3293" w:type="dxa"/>
            <w:hideMark/>
          </w:tcPr>
          <w:p w14:paraId="1F33E51A" w14:textId="77777777" w:rsidR="008D0CAD" w:rsidRPr="004E147E" w:rsidRDefault="008D0CAD" w:rsidP="00385784">
            <w:pPr>
              <w:spacing w:before="100" w:beforeAutospacing="1" w:after="100" w:afterAutospacing="1" w:line="360" w:lineRule="auto"/>
              <w:rPr>
                <w:rFonts w:asciiTheme="majorHAnsi" w:hAnsiTheme="majorHAnsi" w:cstheme="majorHAnsi"/>
                <w:b/>
                <w:bCs/>
                <w:color w:val="000000"/>
                <w:sz w:val="20"/>
                <w:szCs w:val="20"/>
                <w:lang w:val="en-US"/>
              </w:rPr>
            </w:pPr>
            <w:r w:rsidRPr="004E147E">
              <w:rPr>
                <w:rFonts w:asciiTheme="majorHAnsi" w:hAnsiTheme="majorHAnsi" w:cstheme="majorHAnsi"/>
                <w:b/>
                <w:bCs/>
                <w:color w:val="000000"/>
                <w:sz w:val="20"/>
                <w:szCs w:val="20"/>
                <w:lang w:val="en-US"/>
              </w:rPr>
              <w:t>Less than relevant</w:t>
            </w:r>
          </w:p>
        </w:tc>
        <w:tc>
          <w:tcPr>
            <w:tcW w:w="3039" w:type="dxa"/>
            <w:hideMark/>
          </w:tcPr>
          <w:p w14:paraId="24E8D4A3" w14:textId="77777777" w:rsidR="008D0CAD" w:rsidRPr="004E147E" w:rsidRDefault="008D0CAD" w:rsidP="00385784">
            <w:pPr>
              <w:spacing w:before="100" w:beforeAutospacing="1" w:after="100" w:afterAutospacing="1" w:line="360" w:lineRule="auto"/>
              <w:rPr>
                <w:rFonts w:asciiTheme="majorHAnsi" w:hAnsiTheme="majorHAnsi" w:cstheme="majorHAnsi"/>
                <w:b/>
                <w:bCs/>
                <w:color w:val="000000"/>
                <w:sz w:val="20"/>
                <w:szCs w:val="20"/>
                <w:lang w:val="en-US"/>
              </w:rPr>
            </w:pPr>
            <w:r w:rsidRPr="004E147E">
              <w:rPr>
                <w:rFonts w:asciiTheme="majorHAnsi" w:hAnsiTheme="majorHAnsi" w:cstheme="majorHAnsi"/>
                <w:b/>
                <w:bCs/>
                <w:color w:val="000000"/>
                <w:sz w:val="20"/>
                <w:szCs w:val="20"/>
                <w:lang w:val="en-US"/>
              </w:rPr>
              <w:t>Relevant</w:t>
            </w:r>
          </w:p>
        </w:tc>
        <w:tc>
          <w:tcPr>
            <w:tcW w:w="3039" w:type="dxa"/>
            <w:hideMark/>
          </w:tcPr>
          <w:p w14:paraId="133241EA" w14:textId="77777777" w:rsidR="008D0CAD" w:rsidRPr="004E147E" w:rsidRDefault="008D0CAD" w:rsidP="00385784">
            <w:pPr>
              <w:spacing w:before="100" w:beforeAutospacing="1" w:after="100" w:afterAutospacing="1" w:line="360" w:lineRule="auto"/>
              <w:rPr>
                <w:rFonts w:asciiTheme="majorHAnsi" w:hAnsiTheme="majorHAnsi" w:cstheme="majorHAnsi"/>
                <w:b/>
                <w:bCs/>
                <w:color w:val="000000"/>
                <w:sz w:val="20"/>
                <w:szCs w:val="20"/>
                <w:lang w:val="en-US"/>
              </w:rPr>
            </w:pPr>
            <w:r w:rsidRPr="004E147E">
              <w:rPr>
                <w:rFonts w:asciiTheme="majorHAnsi" w:hAnsiTheme="majorHAnsi" w:cstheme="majorHAnsi"/>
                <w:b/>
                <w:bCs/>
                <w:color w:val="000000"/>
                <w:sz w:val="20"/>
                <w:szCs w:val="20"/>
                <w:lang w:val="en-US"/>
              </w:rPr>
              <w:t>Highly relevant</w:t>
            </w:r>
          </w:p>
        </w:tc>
      </w:tr>
      <w:tr w:rsidR="008D0CAD" w:rsidRPr="004E147E" w14:paraId="610568CE" w14:textId="77777777" w:rsidTr="008041F1">
        <w:trPr>
          <w:trHeight w:val="2364"/>
        </w:trPr>
        <w:tc>
          <w:tcPr>
            <w:tcW w:w="1632" w:type="dxa"/>
            <w:hideMark/>
          </w:tcPr>
          <w:p w14:paraId="419E5A35" w14:textId="77777777" w:rsidR="008D0CAD" w:rsidRPr="004E147E" w:rsidRDefault="008D0CAD" w:rsidP="00385784">
            <w:pPr>
              <w:spacing w:before="100" w:beforeAutospacing="1" w:after="100" w:afterAutospacing="1" w:line="360" w:lineRule="auto"/>
              <w:rPr>
                <w:rFonts w:asciiTheme="majorHAnsi" w:hAnsiTheme="majorHAnsi" w:cstheme="majorHAnsi"/>
                <w:color w:val="000000"/>
                <w:sz w:val="20"/>
                <w:szCs w:val="20"/>
                <w:lang w:val="en-US"/>
              </w:rPr>
            </w:pPr>
            <w:r w:rsidRPr="004E147E">
              <w:rPr>
                <w:rFonts w:asciiTheme="majorHAnsi" w:hAnsiTheme="majorHAnsi" w:cstheme="majorHAnsi"/>
                <w:color w:val="000000"/>
                <w:sz w:val="20"/>
                <w:szCs w:val="20"/>
                <w:lang w:val="en-US"/>
              </w:rPr>
              <w:t> </w:t>
            </w:r>
          </w:p>
        </w:tc>
        <w:tc>
          <w:tcPr>
            <w:tcW w:w="3150" w:type="dxa"/>
            <w:hideMark/>
          </w:tcPr>
          <w:p w14:paraId="72F76A22" w14:textId="77777777" w:rsidR="008D0CAD" w:rsidRPr="004E147E" w:rsidRDefault="008D0CAD" w:rsidP="00385784">
            <w:pPr>
              <w:spacing w:before="100" w:beforeAutospacing="1" w:after="100" w:afterAutospacing="1" w:line="360" w:lineRule="auto"/>
              <w:rPr>
                <w:rFonts w:asciiTheme="majorHAnsi" w:hAnsiTheme="majorHAnsi" w:cstheme="majorHAnsi"/>
                <w:color w:val="000000"/>
                <w:sz w:val="20"/>
                <w:szCs w:val="20"/>
                <w:lang w:val="en-US"/>
              </w:rPr>
            </w:pPr>
            <w:r w:rsidRPr="004E147E">
              <w:rPr>
                <w:rFonts w:asciiTheme="majorHAnsi" w:hAnsiTheme="majorHAnsi" w:cstheme="majorHAnsi"/>
                <w:color w:val="000000"/>
                <w:sz w:val="20"/>
                <w:szCs w:val="20"/>
                <w:lang w:val="en-US"/>
              </w:rPr>
              <w:t xml:space="preserve">Intended program outcomes were not in line with country development priorities and needs or with corresponding Australian Aid country and corporate strategies. </w:t>
            </w:r>
          </w:p>
          <w:p w14:paraId="18AF941D" w14:textId="77777777" w:rsidR="008D0CAD" w:rsidRPr="004E147E" w:rsidRDefault="008D0CAD" w:rsidP="00385784">
            <w:pPr>
              <w:spacing w:before="100" w:beforeAutospacing="1" w:after="100" w:afterAutospacing="1" w:line="360" w:lineRule="auto"/>
              <w:rPr>
                <w:rFonts w:asciiTheme="majorHAnsi" w:hAnsiTheme="majorHAnsi" w:cstheme="majorHAnsi"/>
                <w:color w:val="000000"/>
                <w:sz w:val="20"/>
                <w:szCs w:val="20"/>
                <w:lang w:val="en-US"/>
              </w:rPr>
            </w:pPr>
          </w:p>
          <w:p w14:paraId="22D1D675" w14:textId="77777777" w:rsidR="008D0CAD" w:rsidRPr="004E147E" w:rsidRDefault="008D0CAD" w:rsidP="00385784">
            <w:pPr>
              <w:spacing w:before="100" w:beforeAutospacing="1" w:after="100" w:afterAutospacing="1" w:line="360" w:lineRule="auto"/>
              <w:rPr>
                <w:rFonts w:asciiTheme="majorHAnsi" w:hAnsiTheme="majorHAnsi" w:cstheme="majorHAnsi"/>
                <w:color w:val="000000"/>
                <w:sz w:val="20"/>
                <w:szCs w:val="20"/>
                <w:lang w:val="en-US"/>
              </w:rPr>
            </w:pPr>
            <w:r w:rsidRPr="004E147E">
              <w:rPr>
                <w:rFonts w:asciiTheme="majorHAnsi" w:hAnsiTheme="majorHAnsi" w:cstheme="majorHAnsi"/>
                <w:color w:val="000000"/>
                <w:sz w:val="20"/>
                <w:szCs w:val="20"/>
                <w:lang w:val="en-US"/>
              </w:rPr>
              <w:t>The program design was not technically sound or feasible, which greatly impeded or prevented the attainment of envisaged project outputs and outcomes.</w:t>
            </w:r>
          </w:p>
        </w:tc>
        <w:tc>
          <w:tcPr>
            <w:tcW w:w="3293" w:type="dxa"/>
            <w:hideMark/>
          </w:tcPr>
          <w:p w14:paraId="671D09A3" w14:textId="77777777" w:rsidR="008D0CAD" w:rsidRPr="004E147E" w:rsidRDefault="008D0CAD" w:rsidP="00385784">
            <w:pPr>
              <w:spacing w:before="100" w:beforeAutospacing="1" w:after="100" w:afterAutospacing="1" w:line="360" w:lineRule="auto"/>
              <w:rPr>
                <w:rFonts w:asciiTheme="majorHAnsi" w:hAnsiTheme="majorHAnsi" w:cstheme="majorHAnsi"/>
                <w:color w:val="000000"/>
                <w:sz w:val="20"/>
                <w:szCs w:val="20"/>
                <w:lang w:val="en-US"/>
              </w:rPr>
            </w:pPr>
            <w:r w:rsidRPr="004E147E">
              <w:rPr>
                <w:rFonts w:asciiTheme="majorHAnsi" w:hAnsiTheme="majorHAnsi" w:cstheme="majorHAnsi"/>
                <w:color w:val="000000"/>
                <w:sz w:val="20"/>
                <w:szCs w:val="20"/>
                <w:lang w:val="en-US"/>
              </w:rPr>
              <w:t xml:space="preserve">The intended program outcomes were not or were no longer aligned with country development priorities or they were not or were no longer relevant to Australian Aid country and corporate strategies. </w:t>
            </w:r>
          </w:p>
          <w:p w14:paraId="6007A8D3" w14:textId="77777777" w:rsidR="008D0CAD" w:rsidRPr="004E147E" w:rsidRDefault="008D0CAD" w:rsidP="00385784">
            <w:pPr>
              <w:spacing w:before="100" w:beforeAutospacing="1" w:after="100" w:afterAutospacing="1" w:line="360" w:lineRule="auto"/>
              <w:rPr>
                <w:rFonts w:asciiTheme="majorHAnsi" w:hAnsiTheme="majorHAnsi" w:cstheme="majorHAnsi"/>
                <w:color w:val="000000"/>
                <w:sz w:val="20"/>
                <w:szCs w:val="20"/>
                <w:lang w:val="en-US"/>
              </w:rPr>
            </w:pPr>
          </w:p>
          <w:p w14:paraId="20E49519" w14:textId="77777777" w:rsidR="008D0CAD" w:rsidRPr="004E147E" w:rsidRDefault="008D0CAD" w:rsidP="00385784">
            <w:pPr>
              <w:spacing w:before="100" w:beforeAutospacing="1" w:after="100" w:afterAutospacing="1" w:line="360" w:lineRule="auto"/>
              <w:rPr>
                <w:rFonts w:asciiTheme="majorHAnsi" w:hAnsiTheme="majorHAnsi" w:cstheme="majorHAnsi"/>
                <w:color w:val="000000"/>
                <w:sz w:val="20"/>
                <w:szCs w:val="20"/>
                <w:lang w:val="en-US"/>
              </w:rPr>
            </w:pPr>
            <w:r w:rsidRPr="004E147E">
              <w:rPr>
                <w:rFonts w:asciiTheme="majorHAnsi" w:hAnsiTheme="majorHAnsi" w:cstheme="majorHAnsi"/>
                <w:color w:val="000000"/>
                <w:sz w:val="20"/>
                <w:szCs w:val="20"/>
                <w:lang w:val="en-US"/>
              </w:rPr>
              <w:t>Alternatively, the program design had significant deficiencies that could have been foreseen and that were not addressed quickly enough and, therefore, seriously affected the delivery of targeted outputs and intended outcomes.</w:t>
            </w:r>
          </w:p>
          <w:p w14:paraId="7C38AFE1" w14:textId="77777777" w:rsidR="008D0CAD" w:rsidRPr="004E147E" w:rsidRDefault="008D0CAD" w:rsidP="00385784">
            <w:pPr>
              <w:spacing w:before="100" w:beforeAutospacing="1" w:after="100" w:afterAutospacing="1" w:line="360" w:lineRule="auto"/>
              <w:rPr>
                <w:rFonts w:asciiTheme="majorHAnsi" w:hAnsiTheme="majorHAnsi" w:cstheme="majorHAnsi"/>
                <w:color w:val="000000"/>
                <w:sz w:val="20"/>
                <w:szCs w:val="20"/>
                <w:lang w:val="en-US"/>
              </w:rPr>
            </w:pPr>
          </w:p>
          <w:p w14:paraId="25C035BD" w14:textId="77777777" w:rsidR="008D0CAD" w:rsidRPr="004E147E" w:rsidRDefault="008D0CAD" w:rsidP="00385784">
            <w:pPr>
              <w:spacing w:before="100" w:beforeAutospacing="1" w:after="100" w:afterAutospacing="1" w:line="360" w:lineRule="auto"/>
              <w:rPr>
                <w:rFonts w:asciiTheme="majorHAnsi" w:hAnsiTheme="majorHAnsi" w:cstheme="majorHAnsi"/>
                <w:color w:val="000000"/>
                <w:sz w:val="20"/>
                <w:szCs w:val="20"/>
                <w:lang w:val="en-US"/>
              </w:rPr>
            </w:pPr>
          </w:p>
        </w:tc>
        <w:tc>
          <w:tcPr>
            <w:tcW w:w="3039" w:type="dxa"/>
            <w:hideMark/>
          </w:tcPr>
          <w:p w14:paraId="59DA55D2" w14:textId="77777777" w:rsidR="008D0CAD" w:rsidRPr="004E147E" w:rsidRDefault="008D0CAD" w:rsidP="00385784">
            <w:pPr>
              <w:spacing w:before="100" w:beforeAutospacing="1" w:after="100" w:afterAutospacing="1" w:line="360" w:lineRule="auto"/>
              <w:rPr>
                <w:rFonts w:asciiTheme="majorHAnsi" w:hAnsiTheme="majorHAnsi" w:cstheme="majorHAnsi"/>
                <w:color w:val="000000"/>
                <w:sz w:val="20"/>
                <w:szCs w:val="20"/>
                <w:lang w:val="en-US"/>
              </w:rPr>
            </w:pPr>
            <w:r w:rsidRPr="004E147E">
              <w:rPr>
                <w:rFonts w:asciiTheme="majorHAnsi" w:hAnsiTheme="majorHAnsi" w:cstheme="majorHAnsi"/>
                <w:color w:val="000000"/>
                <w:sz w:val="20"/>
                <w:szCs w:val="20"/>
                <w:lang w:val="en-US"/>
              </w:rPr>
              <w:t xml:space="preserve">Intended program outcomes were largely aligned with country development priorities and pertinent to Australian Aid country and corporate strategies. </w:t>
            </w:r>
          </w:p>
          <w:p w14:paraId="281B420A" w14:textId="77777777" w:rsidR="008D0CAD" w:rsidRPr="004E147E" w:rsidRDefault="008D0CAD" w:rsidP="00385784">
            <w:pPr>
              <w:spacing w:before="100" w:beforeAutospacing="1" w:after="100" w:afterAutospacing="1" w:line="360" w:lineRule="auto"/>
              <w:rPr>
                <w:rFonts w:asciiTheme="majorHAnsi" w:hAnsiTheme="majorHAnsi" w:cstheme="majorHAnsi"/>
                <w:color w:val="000000"/>
                <w:sz w:val="20"/>
                <w:szCs w:val="20"/>
                <w:lang w:val="en-US"/>
              </w:rPr>
            </w:pPr>
          </w:p>
          <w:p w14:paraId="38C150ED" w14:textId="11971031" w:rsidR="008D0CAD" w:rsidRPr="004E147E" w:rsidRDefault="008D0CAD" w:rsidP="00385784">
            <w:pPr>
              <w:spacing w:before="100" w:beforeAutospacing="1" w:after="100" w:afterAutospacing="1" w:line="360" w:lineRule="auto"/>
              <w:rPr>
                <w:rFonts w:asciiTheme="majorHAnsi" w:hAnsiTheme="majorHAnsi" w:cstheme="majorHAnsi"/>
                <w:color w:val="000000"/>
                <w:sz w:val="20"/>
                <w:szCs w:val="20"/>
                <w:lang w:val="en-US"/>
              </w:rPr>
            </w:pPr>
            <w:r w:rsidRPr="004E147E">
              <w:rPr>
                <w:rFonts w:asciiTheme="majorHAnsi" w:hAnsiTheme="majorHAnsi" w:cstheme="majorHAnsi"/>
                <w:color w:val="000000"/>
                <w:sz w:val="20"/>
                <w:szCs w:val="20"/>
                <w:lang w:val="en-US"/>
              </w:rPr>
              <w:t xml:space="preserve">The program design was appropriate to help achieve the outcomes. The program results framework was sound, and program design deficiencies, if not significant, were addressed </w:t>
            </w:r>
            <w:r w:rsidR="00624291">
              <w:rPr>
                <w:rFonts w:asciiTheme="majorHAnsi" w:hAnsiTheme="majorHAnsi" w:cstheme="majorHAnsi"/>
                <w:color w:val="000000"/>
                <w:sz w:val="20"/>
                <w:szCs w:val="20"/>
                <w:lang w:val="en-US"/>
              </w:rPr>
              <w:t>o</w:t>
            </w:r>
            <w:r w:rsidRPr="004E147E">
              <w:rPr>
                <w:rFonts w:asciiTheme="majorHAnsi" w:hAnsiTheme="majorHAnsi" w:cstheme="majorHAnsi"/>
                <w:color w:val="000000"/>
                <w:sz w:val="20"/>
                <w:szCs w:val="20"/>
                <w:lang w:val="en-US"/>
              </w:rPr>
              <w:t>n time during implementation.</w:t>
            </w:r>
          </w:p>
        </w:tc>
        <w:tc>
          <w:tcPr>
            <w:tcW w:w="3039" w:type="dxa"/>
            <w:hideMark/>
          </w:tcPr>
          <w:p w14:paraId="6B4A5F06" w14:textId="77777777" w:rsidR="008D0CAD" w:rsidRPr="004E147E" w:rsidRDefault="008D0CAD" w:rsidP="00385784">
            <w:pPr>
              <w:spacing w:before="100" w:beforeAutospacing="1" w:after="100" w:afterAutospacing="1" w:line="360" w:lineRule="auto"/>
              <w:rPr>
                <w:rFonts w:asciiTheme="majorHAnsi" w:hAnsiTheme="majorHAnsi" w:cstheme="majorHAnsi"/>
                <w:color w:val="000000"/>
                <w:sz w:val="20"/>
                <w:szCs w:val="20"/>
                <w:lang w:val="en-US"/>
              </w:rPr>
            </w:pPr>
            <w:r w:rsidRPr="004E147E">
              <w:rPr>
                <w:rFonts w:asciiTheme="majorHAnsi" w:hAnsiTheme="majorHAnsi" w:cstheme="majorHAnsi"/>
                <w:color w:val="000000"/>
                <w:sz w:val="20"/>
                <w:szCs w:val="20"/>
                <w:lang w:val="en-US"/>
              </w:rPr>
              <w:t xml:space="preserve">Intended program outcomes were fully aligned with country development priorities and funder’s country and corporate strategies. The program results framework was sound, and the project design had no deficiencies. </w:t>
            </w:r>
          </w:p>
          <w:p w14:paraId="1F2C5B99" w14:textId="77777777" w:rsidR="008D0CAD" w:rsidRPr="004E147E" w:rsidRDefault="008D0CAD" w:rsidP="00385784">
            <w:pPr>
              <w:spacing w:before="100" w:beforeAutospacing="1" w:after="100" w:afterAutospacing="1" w:line="360" w:lineRule="auto"/>
              <w:rPr>
                <w:rFonts w:asciiTheme="majorHAnsi" w:hAnsiTheme="majorHAnsi" w:cstheme="majorHAnsi"/>
                <w:color w:val="000000"/>
                <w:sz w:val="20"/>
                <w:szCs w:val="20"/>
                <w:lang w:val="en-US"/>
              </w:rPr>
            </w:pPr>
          </w:p>
          <w:p w14:paraId="03C2BE26" w14:textId="4605E4C4" w:rsidR="008D0CAD" w:rsidRPr="004E147E" w:rsidRDefault="008D0CAD" w:rsidP="00385784">
            <w:pPr>
              <w:spacing w:before="100" w:beforeAutospacing="1" w:after="100" w:afterAutospacing="1" w:line="360" w:lineRule="auto"/>
              <w:rPr>
                <w:rFonts w:asciiTheme="majorHAnsi" w:hAnsiTheme="majorHAnsi" w:cstheme="majorHAnsi"/>
                <w:color w:val="000000"/>
                <w:sz w:val="20"/>
                <w:szCs w:val="20"/>
                <w:lang w:val="en-US"/>
              </w:rPr>
            </w:pPr>
            <w:r w:rsidRPr="004E147E">
              <w:rPr>
                <w:rFonts w:asciiTheme="majorHAnsi" w:hAnsiTheme="majorHAnsi" w:cstheme="majorHAnsi"/>
                <w:color w:val="000000"/>
                <w:sz w:val="20"/>
                <w:szCs w:val="20"/>
                <w:lang w:val="en-US"/>
              </w:rPr>
              <w:t>In addition, the program design had innovative features, significant demonstration value for other projects, or transformative effects.</w:t>
            </w:r>
            <w:r w:rsidR="00D434EB">
              <w:rPr>
                <w:rFonts w:asciiTheme="majorHAnsi" w:hAnsiTheme="majorHAnsi" w:cstheme="majorHAnsi"/>
                <w:color w:val="000000"/>
                <w:sz w:val="20"/>
                <w:szCs w:val="20"/>
                <w:lang w:val="en-US"/>
              </w:rPr>
              <w:t xml:space="preserve"> </w:t>
            </w:r>
            <w:r w:rsidRPr="004E147E">
              <w:rPr>
                <w:rFonts w:asciiTheme="majorHAnsi" w:hAnsiTheme="majorHAnsi" w:cstheme="majorHAnsi"/>
                <w:color w:val="000000"/>
                <w:sz w:val="20"/>
                <w:szCs w:val="20"/>
                <w:lang w:val="en-US"/>
              </w:rPr>
              <w:t xml:space="preserve"> </w:t>
            </w:r>
          </w:p>
        </w:tc>
      </w:tr>
      <w:tr w:rsidR="008D0CAD" w:rsidRPr="004E147E" w14:paraId="7A7AC7B8" w14:textId="77777777" w:rsidTr="008041F1">
        <w:trPr>
          <w:trHeight w:val="139"/>
        </w:trPr>
        <w:tc>
          <w:tcPr>
            <w:tcW w:w="1632" w:type="dxa"/>
            <w:hideMark/>
          </w:tcPr>
          <w:p w14:paraId="27929F19" w14:textId="77777777" w:rsidR="008D0CAD" w:rsidRPr="004E147E" w:rsidRDefault="008D0CAD" w:rsidP="00385784">
            <w:pPr>
              <w:spacing w:before="100" w:beforeAutospacing="1" w:after="100" w:afterAutospacing="1" w:line="360" w:lineRule="auto"/>
              <w:rPr>
                <w:rFonts w:asciiTheme="majorHAnsi" w:hAnsiTheme="majorHAnsi" w:cstheme="majorHAnsi"/>
                <w:b/>
                <w:bCs/>
                <w:color w:val="000000"/>
                <w:sz w:val="20"/>
                <w:szCs w:val="20"/>
                <w:lang w:val="en-US"/>
              </w:rPr>
            </w:pPr>
            <w:r w:rsidRPr="004E147E">
              <w:rPr>
                <w:rFonts w:asciiTheme="majorHAnsi" w:hAnsiTheme="majorHAnsi" w:cstheme="majorHAnsi"/>
                <w:b/>
                <w:bCs/>
                <w:color w:val="000000"/>
                <w:sz w:val="20"/>
                <w:szCs w:val="20"/>
                <w:lang w:val="en-US"/>
              </w:rPr>
              <w:t>Contributions to Outcomes</w:t>
            </w:r>
          </w:p>
          <w:p w14:paraId="3EEE4A03" w14:textId="77777777" w:rsidR="008D0CAD" w:rsidRPr="004E147E" w:rsidRDefault="008D0CAD" w:rsidP="00385784">
            <w:pPr>
              <w:spacing w:before="100" w:beforeAutospacing="1" w:after="100" w:afterAutospacing="1" w:line="360" w:lineRule="auto"/>
              <w:rPr>
                <w:rFonts w:asciiTheme="majorHAnsi" w:hAnsiTheme="majorHAnsi" w:cstheme="majorHAnsi"/>
                <w:b/>
                <w:bCs/>
                <w:color w:val="000000"/>
                <w:sz w:val="20"/>
                <w:szCs w:val="20"/>
                <w:lang w:val="en-US"/>
              </w:rPr>
            </w:pPr>
            <w:r w:rsidRPr="004E147E">
              <w:rPr>
                <w:rFonts w:asciiTheme="majorHAnsi" w:hAnsiTheme="majorHAnsi" w:cstheme="majorHAnsi"/>
                <w:b/>
                <w:bCs/>
                <w:color w:val="000000"/>
                <w:sz w:val="20"/>
                <w:szCs w:val="20"/>
                <w:lang w:val="en-US"/>
              </w:rPr>
              <w:t>EFFECTIVENESS</w:t>
            </w:r>
          </w:p>
        </w:tc>
        <w:tc>
          <w:tcPr>
            <w:tcW w:w="3150" w:type="dxa"/>
            <w:hideMark/>
          </w:tcPr>
          <w:p w14:paraId="569A3D50" w14:textId="77777777" w:rsidR="008D0CAD" w:rsidRPr="004E147E" w:rsidRDefault="008D0CAD" w:rsidP="00385784">
            <w:pPr>
              <w:spacing w:before="100" w:beforeAutospacing="1" w:after="100" w:afterAutospacing="1" w:line="360" w:lineRule="auto"/>
              <w:rPr>
                <w:rFonts w:asciiTheme="majorHAnsi" w:hAnsiTheme="majorHAnsi" w:cstheme="majorHAnsi"/>
                <w:b/>
                <w:bCs/>
                <w:color w:val="000000"/>
                <w:sz w:val="20"/>
                <w:szCs w:val="20"/>
                <w:lang w:val="en-US"/>
              </w:rPr>
            </w:pPr>
            <w:r w:rsidRPr="004E147E">
              <w:rPr>
                <w:rFonts w:asciiTheme="majorHAnsi" w:hAnsiTheme="majorHAnsi" w:cstheme="majorHAnsi"/>
                <w:b/>
                <w:bCs/>
                <w:color w:val="000000"/>
                <w:sz w:val="20"/>
                <w:szCs w:val="20"/>
                <w:lang w:val="en-US"/>
              </w:rPr>
              <w:t>Insignificant</w:t>
            </w:r>
          </w:p>
        </w:tc>
        <w:tc>
          <w:tcPr>
            <w:tcW w:w="3293" w:type="dxa"/>
            <w:hideMark/>
          </w:tcPr>
          <w:p w14:paraId="762F194D" w14:textId="77777777" w:rsidR="008D0CAD" w:rsidRPr="004E147E" w:rsidRDefault="008D0CAD" w:rsidP="00385784">
            <w:pPr>
              <w:spacing w:before="100" w:beforeAutospacing="1" w:after="100" w:afterAutospacing="1" w:line="360" w:lineRule="auto"/>
              <w:rPr>
                <w:rFonts w:asciiTheme="majorHAnsi" w:hAnsiTheme="majorHAnsi" w:cstheme="majorHAnsi"/>
                <w:b/>
                <w:bCs/>
                <w:color w:val="000000"/>
                <w:sz w:val="20"/>
                <w:szCs w:val="20"/>
                <w:lang w:val="en-US"/>
              </w:rPr>
            </w:pPr>
            <w:r w:rsidRPr="004E147E">
              <w:rPr>
                <w:rFonts w:asciiTheme="majorHAnsi" w:hAnsiTheme="majorHAnsi" w:cstheme="majorHAnsi"/>
                <w:b/>
                <w:bCs/>
                <w:color w:val="000000"/>
                <w:sz w:val="20"/>
                <w:szCs w:val="20"/>
                <w:lang w:val="en-US"/>
              </w:rPr>
              <w:t>Considerable</w:t>
            </w:r>
          </w:p>
        </w:tc>
        <w:tc>
          <w:tcPr>
            <w:tcW w:w="3039" w:type="dxa"/>
            <w:hideMark/>
          </w:tcPr>
          <w:p w14:paraId="07EA86C1" w14:textId="77777777" w:rsidR="008D0CAD" w:rsidRPr="004E147E" w:rsidRDefault="008D0CAD" w:rsidP="00385784">
            <w:pPr>
              <w:spacing w:before="100" w:beforeAutospacing="1" w:after="100" w:afterAutospacing="1" w:line="360" w:lineRule="auto"/>
              <w:rPr>
                <w:rFonts w:asciiTheme="majorHAnsi" w:hAnsiTheme="majorHAnsi" w:cstheme="majorHAnsi"/>
                <w:b/>
                <w:bCs/>
                <w:color w:val="000000"/>
                <w:sz w:val="20"/>
                <w:szCs w:val="20"/>
                <w:lang w:val="en-US"/>
              </w:rPr>
            </w:pPr>
            <w:r w:rsidRPr="004E147E">
              <w:rPr>
                <w:rFonts w:asciiTheme="majorHAnsi" w:hAnsiTheme="majorHAnsi" w:cstheme="majorHAnsi"/>
                <w:b/>
                <w:bCs/>
                <w:color w:val="000000"/>
                <w:sz w:val="20"/>
                <w:szCs w:val="20"/>
                <w:lang w:val="en-US"/>
              </w:rPr>
              <w:t>Significant</w:t>
            </w:r>
          </w:p>
        </w:tc>
        <w:tc>
          <w:tcPr>
            <w:tcW w:w="3039" w:type="dxa"/>
            <w:hideMark/>
          </w:tcPr>
          <w:p w14:paraId="4B403D41" w14:textId="77777777" w:rsidR="008D0CAD" w:rsidRPr="004E147E" w:rsidRDefault="008D0CAD" w:rsidP="00385784">
            <w:pPr>
              <w:spacing w:before="100" w:beforeAutospacing="1" w:after="100" w:afterAutospacing="1" w:line="360" w:lineRule="auto"/>
              <w:rPr>
                <w:rFonts w:asciiTheme="majorHAnsi" w:hAnsiTheme="majorHAnsi" w:cstheme="majorHAnsi"/>
                <w:b/>
                <w:bCs/>
                <w:color w:val="000000"/>
                <w:sz w:val="20"/>
                <w:szCs w:val="20"/>
                <w:lang w:val="en-US"/>
              </w:rPr>
            </w:pPr>
            <w:r w:rsidRPr="004E147E">
              <w:rPr>
                <w:rFonts w:asciiTheme="majorHAnsi" w:hAnsiTheme="majorHAnsi" w:cstheme="majorHAnsi"/>
                <w:b/>
                <w:bCs/>
                <w:color w:val="000000"/>
                <w:sz w:val="20"/>
                <w:szCs w:val="20"/>
                <w:lang w:val="en-US"/>
              </w:rPr>
              <w:t>Highly Significant</w:t>
            </w:r>
          </w:p>
        </w:tc>
      </w:tr>
      <w:tr w:rsidR="00E67573" w:rsidRPr="004E147E" w14:paraId="731DAC99" w14:textId="77777777" w:rsidTr="008041F1">
        <w:trPr>
          <w:trHeight w:val="139"/>
        </w:trPr>
        <w:tc>
          <w:tcPr>
            <w:tcW w:w="1632" w:type="dxa"/>
          </w:tcPr>
          <w:p w14:paraId="59172D1D" w14:textId="77777777" w:rsidR="00E67573" w:rsidRPr="004E147E" w:rsidRDefault="00E67573" w:rsidP="00E67573">
            <w:pPr>
              <w:spacing w:before="100" w:beforeAutospacing="1" w:after="100" w:afterAutospacing="1" w:line="360" w:lineRule="auto"/>
              <w:rPr>
                <w:rFonts w:asciiTheme="majorHAnsi" w:hAnsiTheme="majorHAnsi" w:cstheme="majorHAnsi"/>
                <w:b/>
                <w:bCs/>
                <w:color w:val="000000"/>
                <w:sz w:val="20"/>
                <w:szCs w:val="20"/>
                <w:lang w:val="en-US"/>
              </w:rPr>
            </w:pPr>
          </w:p>
        </w:tc>
        <w:tc>
          <w:tcPr>
            <w:tcW w:w="3150" w:type="dxa"/>
          </w:tcPr>
          <w:p w14:paraId="692A9915" w14:textId="7C8B6B8E" w:rsidR="00E67573" w:rsidRPr="004E147E" w:rsidRDefault="00E67573" w:rsidP="00E67573">
            <w:pPr>
              <w:spacing w:before="100" w:beforeAutospacing="1" w:after="100" w:afterAutospacing="1" w:line="360" w:lineRule="auto"/>
              <w:rPr>
                <w:rFonts w:asciiTheme="majorHAnsi" w:hAnsiTheme="majorHAnsi" w:cstheme="majorHAnsi"/>
                <w:b/>
                <w:bCs/>
                <w:color w:val="000000"/>
                <w:sz w:val="20"/>
                <w:szCs w:val="20"/>
                <w:lang w:val="en-US"/>
              </w:rPr>
            </w:pPr>
            <w:r w:rsidRPr="004E147E">
              <w:rPr>
                <w:rFonts w:asciiTheme="majorHAnsi" w:hAnsiTheme="majorHAnsi" w:cstheme="majorHAnsi"/>
                <w:color w:val="000000"/>
                <w:sz w:val="20"/>
                <w:szCs w:val="20"/>
                <w:lang w:val="en-US"/>
              </w:rPr>
              <w:t xml:space="preserve">Majority of the planned program outputs and/or outcomes (more than 80%) did not materialise. </w:t>
            </w:r>
          </w:p>
        </w:tc>
        <w:tc>
          <w:tcPr>
            <w:tcW w:w="3293" w:type="dxa"/>
          </w:tcPr>
          <w:p w14:paraId="0BAA2EA9" w14:textId="77777777" w:rsidR="00E67573" w:rsidRPr="004E147E" w:rsidRDefault="00E67573" w:rsidP="00E67573">
            <w:pPr>
              <w:spacing w:before="100" w:beforeAutospacing="1" w:after="100" w:afterAutospacing="1" w:line="360" w:lineRule="auto"/>
              <w:rPr>
                <w:rFonts w:asciiTheme="majorHAnsi" w:hAnsiTheme="majorHAnsi" w:cstheme="majorHAnsi"/>
                <w:color w:val="000000"/>
                <w:sz w:val="20"/>
                <w:szCs w:val="20"/>
                <w:lang w:val="en-US"/>
              </w:rPr>
            </w:pPr>
            <w:r w:rsidRPr="004E147E">
              <w:rPr>
                <w:rFonts w:asciiTheme="majorHAnsi" w:hAnsiTheme="majorHAnsi" w:cstheme="majorHAnsi"/>
                <w:color w:val="000000"/>
                <w:sz w:val="20"/>
                <w:szCs w:val="20"/>
                <w:lang w:val="en-US"/>
              </w:rPr>
              <w:t xml:space="preserve">There are major shortcomings in meeting program outcomes and outputs, and achievement was between 40% and 80% (considering changes in scope). Serious issues with safeguards can also be a reason for a less than effective rating for the project. </w:t>
            </w:r>
          </w:p>
          <w:p w14:paraId="1ACCB77A" w14:textId="77777777" w:rsidR="00E67573" w:rsidRPr="004E147E" w:rsidRDefault="00E67573" w:rsidP="00E67573">
            <w:pPr>
              <w:spacing w:before="100" w:beforeAutospacing="1" w:after="100" w:afterAutospacing="1" w:line="360" w:lineRule="auto"/>
              <w:rPr>
                <w:rFonts w:asciiTheme="majorHAnsi" w:hAnsiTheme="majorHAnsi" w:cstheme="majorHAnsi"/>
                <w:color w:val="000000"/>
                <w:sz w:val="20"/>
                <w:szCs w:val="20"/>
                <w:lang w:val="en-US"/>
              </w:rPr>
            </w:pPr>
          </w:p>
          <w:p w14:paraId="223FBBE2" w14:textId="77777777" w:rsidR="00E67573" w:rsidRPr="004E147E" w:rsidRDefault="00E67573" w:rsidP="00E67573">
            <w:pPr>
              <w:spacing w:before="100" w:beforeAutospacing="1" w:after="100" w:afterAutospacing="1" w:line="360" w:lineRule="auto"/>
              <w:rPr>
                <w:rFonts w:asciiTheme="majorHAnsi" w:hAnsiTheme="majorHAnsi" w:cstheme="majorHAnsi"/>
                <w:b/>
                <w:bCs/>
                <w:color w:val="000000"/>
                <w:sz w:val="20"/>
                <w:szCs w:val="20"/>
                <w:lang w:val="en-US"/>
              </w:rPr>
            </w:pPr>
          </w:p>
        </w:tc>
        <w:tc>
          <w:tcPr>
            <w:tcW w:w="3039" w:type="dxa"/>
          </w:tcPr>
          <w:p w14:paraId="02178D3F" w14:textId="3AA791FF" w:rsidR="00E67573" w:rsidRPr="004E147E" w:rsidRDefault="00E67573" w:rsidP="00E67573">
            <w:pPr>
              <w:spacing w:before="100" w:beforeAutospacing="1" w:after="100" w:afterAutospacing="1" w:line="360" w:lineRule="auto"/>
              <w:rPr>
                <w:rFonts w:asciiTheme="majorHAnsi" w:hAnsiTheme="majorHAnsi" w:cstheme="majorHAnsi"/>
                <w:b/>
                <w:bCs/>
                <w:color w:val="000000"/>
                <w:sz w:val="20"/>
                <w:szCs w:val="20"/>
                <w:lang w:val="en-US"/>
              </w:rPr>
            </w:pPr>
            <w:r w:rsidRPr="004E147E">
              <w:rPr>
                <w:rFonts w:asciiTheme="majorHAnsi" w:hAnsiTheme="majorHAnsi" w:cstheme="majorHAnsi"/>
                <w:color w:val="000000"/>
                <w:sz w:val="20"/>
                <w:szCs w:val="20"/>
                <w:lang w:val="en-US"/>
              </w:rPr>
              <w:t xml:space="preserve">Program outcomes and outputs were substantially achieved (about 80% or more of the targets were fully met or, on average, about 80% or more of each target was met). </w:t>
            </w:r>
          </w:p>
        </w:tc>
        <w:tc>
          <w:tcPr>
            <w:tcW w:w="3039" w:type="dxa"/>
          </w:tcPr>
          <w:p w14:paraId="5C924994" w14:textId="4998B2D6" w:rsidR="00E67573" w:rsidRPr="004E147E" w:rsidRDefault="00E67573" w:rsidP="00E67573">
            <w:pPr>
              <w:spacing w:before="100" w:beforeAutospacing="1" w:after="100" w:afterAutospacing="1" w:line="360" w:lineRule="auto"/>
              <w:rPr>
                <w:rFonts w:asciiTheme="majorHAnsi" w:hAnsiTheme="majorHAnsi" w:cstheme="majorHAnsi"/>
                <w:b/>
                <w:bCs/>
                <w:color w:val="000000"/>
                <w:sz w:val="20"/>
                <w:szCs w:val="20"/>
                <w:lang w:val="en-US"/>
              </w:rPr>
            </w:pPr>
            <w:r w:rsidRPr="004E147E">
              <w:rPr>
                <w:rFonts w:asciiTheme="majorHAnsi" w:hAnsiTheme="majorHAnsi" w:cstheme="majorHAnsi"/>
                <w:color w:val="000000"/>
                <w:sz w:val="20"/>
                <w:szCs w:val="20"/>
                <w:lang w:val="en-US"/>
              </w:rPr>
              <w:t>Program outcome and output targets were met and some or all were exceeded. There were no issues on the design or implementation of safeguard plans or gender action plans, if any.</w:t>
            </w:r>
          </w:p>
        </w:tc>
      </w:tr>
      <w:tr w:rsidR="00E67573" w:rsidRPr="004E147E" w14:paraId="2149D357" w14:textId="77777777" w:rsidTr="008041F1">
        <w:trPr>
          <w:trHeight w:val="312"/>
        </w:trPr>
        <w:tc>
          <w:tcPr>
            <w:tcW w:w="1632" w:type="dxa"/>
            <w:hideMark/>
          </w:tcPr>
          <w:p w14:paraId="77F073BF" w14:textId="77777777" w:rsidR="00E67573" w:rsidRPr="004E147E" w:rsidRDefault="00E67573" w:rsidP="00E67573">
            <w:pPr>
              <w:spacing w:before="100" w:beforeAutospacing="1" w:after="100" w:afterAutospacing="1" w:line="360" w:lineRule="auto"/>
              <w:rPr>
                <w:rFonts w:asciiTheme="majorHAnsi" w:hAnsiTheme="majorHAnsi" w:cstheme="majorHAnsi"/>
                <w:b/>
                <w:bCs/>
                <w:color w:val="000000"/>
                <w:sz w:val="20"/>
                <w:szCs w:val="20"/>
                <w:lang w:val="en-US"/>
              </w:rPr>
            </w:pPr>
            <w:r w:rsidRPr="004E147E">
              <w:rPr>
                <w:rFonts w:asciiTheme="majorHAnsi" w:hAnsiTheme="majorHAnsi" w:cstheme="majorHAnsi"/>
                <w:b/>
                <w:bCs/>
                <w:color w:val="000000"/>
                <w:sz w:val="20"/>
                <w:szCs w:val="20"/>
                <w:lang w:val="en-US"/>
              </w:rPr>
              <w:t>EFFICIENCY</w:t>
            </w:r>
          </w:p>
        </w:tc>
        <w:tc>
          <w:tcPr>
            <w:tcW w:w="3150" w:type="dxa"/>
            <w:hideMark/>
          </w:tcPr>
          <w:p w14:paraId="5E956EE8" w14:textId="77777777" w:rsidR="00E67573" w:rsidRPr="004E147E" w:rsidRDefault="00E67573" w:rsidP="00E67573">
            <w:pPr>
              <w:spacing w:before="100" w:beforeAutospacing="1" w:after="100" w:afterAutospacing="1" w:line="360" w:lineRule="auto"/>
              <w:rPr>
                <w:rFonts w:asciiTheme="majorHAnsi" w:hAnsiTheme="majorHAnsi" w:cstheme="majorHAnsi"/>
                <w:b/>
                <w:bCs/>
                <w:color w:val="000000"/>
                <w:sz w:val="20"/>
                <w:szCs w:val="20"/>
                <w:lang w:val="en-US"/>
              </w:rPr>
            </w:pPr>
            <w:r w:rsidRPr="004E147E">
              <w:rPr>
                <w:rFonts w:asciiTheme="majorHAnsi" w:hAnsiTheme="majorHAnsi" w:cstheme="majorHAnsi"/>
                <w:b/>
                <w:bCs/>
                <w:color w:val="000000"/>
                <w:sz w:val="20"/>
                <w:szCs w:val="20"/>
                <w:lang w:val="en-US"/>
              </w:rPr>
              <w:t>Inefficient</w:t>
            </w:r>
          </w:p>
        </w:tc>
        <w:tc>
          <w:tcPr>
            <w:tcW w:w="3293" w:type="dxa"/>
            <w:hideMark/>
          </w:tcPr>
          <w:p w14:paraId="25CC9253" w14:textId="77777777" w:rsidR="00E67573" w:rsidRPr="004E147E" w:rsidRDefault="00E67573" w:rsidP="00E67573">
            <w:pPr>
              <w:spacing w:before="100" w:beforeAutospacing="1" w:after="100" w:afterAutospacing="1" w:line="360" w:lineRule="auto"/>
              <w:rPr>
                <w:rFonts w:asciiTheme="majorHAnsi" w:hAnsiTheme="majorHAnsi" w:cstheme="majorHAnsi"/>
                <w:b/>
                <w:bCs/>
                <w:color w:val="000000"/>
                <w:sz w:val="20"/>
                <w:szCs w:val="20"/>
                <w:lang w:val="en-US"/>
              </w:rPr>
            </w:pPr>
            <w:r w:rsidRPr="004E147E">
              <w:rPr>
                <w:rFonts w:asciiTheme="majorHAnsi" w:hAnsiTheme="majorHAnsi" w:cstheme="majorHAnsi"/>
                <w:b/>
                <w:bCs/>
                <w:color w:val="000000"/>
                <w:sz w:val="20"/>
                <w:szCs w:val="20"/>
                <w:lang w:val="en-US"/>
              </w:rPr>
              <w:t>Less than efficient</w:t>
            </w:r>
          </w:p>
        </w:tc>
        <w:tc>
          <w:tcPr>
            <w:tcW w:w="3039" w:type="dxa"/>
            <w:hideMark/>
          </w:tcPr>
          <w:p w14:paraId="34163E0A" w14:textId="77777777" w:rsidR="00E67573" w:rsidRPr="004E147E" w:rsidRDefault="00E67573" w:rsidP="00E67573">
            <w:pPr>
              <w:spacing w:before="100" w:beforeAutospacing="1" w:after="100" w:afterAutospacing="1" w:line="360" w:lineRule="auto"/>
              <w:rPr>
                <w:rFonts w:asciiTheme="majorHAnsi" w:hAnsiTheme="majorHAnsi" w:cstheme="majorHAnsi"/>
                <w:b/>
                <w:bCs/>
                <w:color w:val="000000"/>
                <w:sz w:val="20"/>
                <w:szCs w:val="20"/>
                <w:lang w:val="en-US"/>
              </w:rPr>
            </w:pPr>
            <w:r w:rsidRPr="004E147E">
              <w:rPr>
                <w:rFonts w:asciiTheme="majorHAnsi" w:hAnsiTheme="majorHAnsi" w:cstheme="majorHAnsi"/>
                <w:b/>
                <w:bCs/>
                <w:color w:val="000000"/>
                <w:sz w:val="20"/>
                <w:szCs w:val="20"/>
                <w:lang w:val="en-US"/>
              </w:rPr>
              <w:t>Efficient</w:t>
            </w:r>
          </w:p>
        </w:tc>
        <w:tc>
          <w:tcPr>
            <w:tcW w:w="3039" w:type="dxa"/>
            <w:hideMark/>
          </w:tcPr>
          <w:p w14:paraId="5456CED6" w14:textId="77777777" w:rsidR="00E67573" w:rsidRPr="004E147E" w:rsidRDefault="00E67573" w:rsidP="00E67573">
            <w:pPr>
              <w:spacing w:before="100" w:beforeAutospacing="1" w:after="100" w:afterAutospacing="1" w:line="360" w:lineRule="auto"/>
              <w:rPr>
                <w:rFonts w:asciiTheme="majorHAnsi" w:hAnsiTheme="majorHAnsi" w:cstheme="majorHAnsi"/>
                <w:b/>
                <w:bCs/>
                <w:color w:val="000000"/>
                <w:sz w:val="20"/>
                <w:szCs w:val="20"/>
                <w:lang w:val="en-US"/>
              </w:rPr>
            </w:pPr>
            <w:r w:rsidRPr="004E147E">
              <w:rPr>
                <w:rFonts w:asciiTheme="majorHAnsi" w:hAnsiTheme="majorHAnsi" w:cstheme="majorHAnsi"/>
                <w:b/>
                <w:bCs/>
                <w:color w:val="000000"/>
                <w:sz w:val="20"/>
                <w:szCs w:val="20"/>
                <w:lang w:val="en-US"/>
              </w:rPr>
              <w:t>Highly Efficient</w:t>
            </w:r>
          </w:p>
        </w:tc>
      </w:tr>
      <w:tr w:rsidR="003E5F44" w:rsidRPr="004E147E" w14:paraId="228ED1B3" w14:textId="77777777" w:rsidTr="008041F1">
        <w:trPr>
          <w:trHeight w:val="312"/>
        </w:trPr>
        <w:tc>
          <w:tcPr>
            <w:tcW w:w="1632" w:type="dxa"/>
          </w:tcPr>
          <w:p w14:paraId="172821CC" w14:textId="77777777" w:rsidR="003E5F44" w:rsidRPr="004E147E" w:rsidRDefault="003E5F44" w:rsidP="00E67573">
            <w:pPr>
              <w:spacing w:before="100" w:beforeAutospacing="1" w:after="100" w:afterAutospacing="1" w:line="360" w:lineRule="auto"/>
              <w:rPr>
                <w:rFonts w:asciiTheme="majorHAnsi" w:hAnsiTheme="majorHAnsi" w:cstheme="majorHAnsi"/>
                <w:b/>
                <w:bCs/>
                <w:color w:val="000000"/>
                <w:sz w:val="20"/>
                <w:szCs w:val="20"/>
                <w:lang w:val="en-US"/>
              </w:rPr>
            </w:pPr>
          </w:p>
        </w:tc>
        <w:tc>
          <w:tcPr>
            <w:tcW w:w="3150" w:type="dxa"/>
          </w:tcPr>
          <w:p w14:paraId="1EDE873B" w14:textId="77777777" w:rsidR="003E5F44" w:rsidRDefault="003E5F44" w:rsidP="00E67573">
            <w:pPr>
              <w:spacing w:before="100" w:beforeAutospacing="1" w:after="100" w:afterAutospacing="1" w:line="360" w:lineRule="auto"/>
              <w:rPr>
                <w:rFonts w:asciiTheme="majorHAnsi" w:hAnsiTheme="majorHAnsi" w:cstheme="majorHAnsi"/>
                <w:color w:val="000000"/>
                <w:sz w:val="20"/>
                <w:szCs w:val="20"/>
                <w:lang w:val="en-US"/>
              </w:rPr>
            </w:pPr>
            <w:r w:rsidRPr="004E147E">
              <w:rPr>
                <w:rFonts w:asciiTheme="majorHAnsi" w:hAnsiTheme="majorHAnsi" w:cstheme="majorHAnsi"/>
                <w:color w:val="000000"/>
                <w:sz w:val="20"/>
                <w:szCs w:val="20"/>
                <w:lang w:val="en-US"/>
              </w:rPr>
              <w:t>Unit costs were well above sector or industry standards (where credible data are available)</w:t>
            </w:r>
          </w:p>
          <w:p w14:paraId="59F6B561" w14:textId="77777777" w:rsidR="003E5F44" w:rsidRPr="004E147E" w:rsidRDefault="003E5F44" w:rsidP="003E5F44">
            <w:pPr>
              <w:spacing w:before="100" w:beforeAutospacing="1" w:after="100" w:afterAutospacing="1" w:line="360" w:lineRule="auto"/>
              <w:rPr>
                <w:rFonts w:asciiTheme="majorHAnsi" w:hAnsiTheme="majorHAnsi" w:cstheme="majorHAnsi"/>
                <w:color w:val="000000"/>
                <w:sz w:val="20"/>
                <w:szCs w:val="20"/>
                <w:lang w:val="en-US"/>
              </w:rPr>
            </w:pPr>
            <w:r w:rsidRPr="004E147E">
              <w:rPr>
                <w:rFonts w:asciiTheme="majorHAnsi" w:hAnsiTheme="majorHAnsi" w:cstheme="majorHAnsi"/>
                <w:color w:val="000000"/>
                <w:sz w:val="20"/>
                <w:szCs w:val="20"/>
                <w:lang w:val="en-US"/>
              </w:rPr>
              <w:t xml:space="preserve">Cost overruns or delays are deemed to have reduced the economic benefits of the project to significantly below the opportunity cost </w:t>
            </w:r>
          </w:p>
          <w:p w14:paraId="79A559CF" w14:textId="51074492" w:rsidR="003E5F44" w:rsidRPr="004E147E" w:rsidRDefault="003E5F44" w:rsidP="00E67573">
            <w:pPr>
              <w:spacing w:before="100" w:beforeAutospacing="1" w:after="100" w:afterAutospacing="1" w:line="360" w:lineRule="auto"/>
              <w:rPr>
                <w:rFonts w:asciiTheme="majorHAnsi" w:hAnsiTheme="majorHAnsi" w:cstheme="majorHAnsi"/>
                <w:b/>
                <w:bCs/>
                <w:color w:val="000000"/>
                <w:sz w:val="20"/>
                <w:szCs w:val="20"/>
                <w:lang w:val="en-US"/>
              </w:rPr>
            </w:pPr>
          </w:p>
        </w:tc>
        <w:tc>
          <w:tcPr>
            <w:tcW w:w="3293" w:type="dxa"/>
          </w:tcPr>
          <w:p w14:paraId="57735E12" w14:textId="5679FFE5" w:rsidR="003E5F44" w:rsidRPr="004E147E" w:rsidRDefault="003E5F44" w:rsidP="00E67573">
            <w:pPr>
              <w:spacing w:before="100" w:beforeAutospacing="1" w:after="100" w:afterAutospacing="1" w:line="360" w:lineRule="auto"/>
              <w:rPr>
                <w:rFonts w:asciiTheme="majorHAnsi" w:hAnsiTheme="majorHAnsi" w:cstheme="majorHAnsi"/>
                <w:b/>
                <w:bCs/>
                <w:color w:val="000000"/>
                <w:sz w:val="20"/>
                <w:szCs w:val="20"/>
                <w:lang w:val="en-US"/>
              </w:rPr>
            </w:pPr>
            <w:r w:rsidRPr="004E147E">
              <w:rPr>
                <w:rFonts w:asciiTheme="majorHAnsi" w:hAnsiTheme="majorHAnsi" w:cstheme="majorHAnsi"/>
                <w:color w:val="000000"/>
                <w:sz w:val="20"/>
                <w:szCs w:val="20"/>
                <w:lang w:val="en-US"/>
              </w:rPr>
              <w:t>Unit costs were above sector or industry standards (where credible data are available)</w:t>
            </w:r>
          </w:p>
        </w:tc>
        <w:tc>
          <w:tcPr>
            <w:tcW w:w="3039" w:type="dxa"/>
          </w:tcPr>
          <w:p w14:paraId="7FECCCC0" w14:textId="11DF9E6B" w:rsidR="003E5F44" w:rsidRPr="004E147E" w:rsidRDefault="003E5F44" w:rsidP="00E67573">
            <w:pPr>
              <w:spacing w:before="100" w:beforeAutospacing="1" w:after="100" w:afterAutospacing="1" w:line="360" w:lineRule="auto"/>
              <w:rPr>
                <w:rFonts w:asciiTheme="majorHAnsi" w:hAnsiTheme="majorHAnsi" w:cstheme="majorHAnsi"/>
                <w:b/>
                <w:bCs/>
                <w:color w:val="000000"/>
                <w:sz w:val="20"/>
                <w:szCs w:val="20"/>
                <w:lang w:val="en-US"/>
              </w:rPr>
            </w:pPr>
            <w:r w:rsidRPr="004E147E">
              <w:rPr>
                <w:rFonts w:asciiTheme="majorHAnsi" w:hAnsiTheme="majorHAnsi" w:cstheme="majorHAnsi"/>
                <w:color w:val="000000"/>
                <w:sz w:val="20"/>
                <w:szCs w:val="20"/>
                <w:lang w:val="en-US"/>
              </w:rPr>
              <w:t>Unit costs meet sector or industry standards (where credible data are available)</w:t>
            </w:r>
          </w:p>
        </w:tc>
        <w:tc>
          <w:tcPr>
            <w:tcW w:w="3039" w:type="dxa"/>
          </w:tcPr>
          <w:p w14:paraId="5E05A70C" w14:textId="77777777" w:rsidR="003E5F44" w:rsidRPr="004E147E" w:rsidRDefault="003E5F44" w:rsidP="003E5F44">
            <w:pPr>
              <w:spacing w:before="100" w:beforeAutospacing="1" w:after="100" w:afterAutospacing="1" w:line="360" w:lineRule="auto"/>
              <w:rPr>
                <w:rFonts w:asciiTheme="majorHAnsi" w:hAnsiTheme="majorHAnsi" w:cstheme="majorHAnsi"/>
                <w:color w:val="000000"/>
                <w:sz w:val="20"/>
                <w:szCs w:val="20"/>
                <w:lang w:val="en-US"/>
              </w:rPr>
            </w:pPr>
            <w:r w:rsidRPr="004E147E">
              <w:rPr>
                <w:rFonts w:asciiTheme="majorHAnsi" w:hAnsiTheme="majorHAnsi" w:cstheme="majorHAnsi"/>
                <w:color w:val="000000"/>
                <w:sz w:val="20"/>
                <w:szCs w:val="20"/>
                <w:lang w:val="en-US"/>
              </w:rPr>
              <w:t>Unit costs were lower than sector or industry standards (where credible data are available)</w:t>
            </w:r>
          </w:p>
          <w:p w14:paraId="3A77D763" w14:textId="77777777" w:rsidR="003E5F44" w:rsidRPr="004E147E" w:rsidRDefault="003E5F44" w:rsidP="00E67573">
            <w:pPr>
              <w:spacing w:before="100" w:beforeAutospacing="1" w:after="100" w:afterAutospacing="1" w:line="360" w:lineRule="auto"/>
              <w:rPr>
                <w:rFonts w:asciiTheme="majorHAnsi" w:hAnsiTheme="majorHAnsi" w:cstheme="majorHAnsi"/>
                <w:b/>
                <w:bCs/>
                <w:color w:val="000000"/>
                <w:sz w:val="20"/>
                <w:szCs w:val="20"/>
                <w:lang w:val="en-US"/>
              </w:rPr>
            </w:pPr>
          </w:p>
        </w:tc>
      </w:tr>
      <w:tr w:rsidR="00E67573" w:rsidRPr="004E147E" w14:paraId="633FD159" w14:textId="77777777" w:rsidTr="008041F1">
        <w:trPr>
          <w:trHeight w:val="898"/>
        </w:trPr>
        <w:tc>
          <w:tcPr>
            <w:tcW w:w="1632" w:type="dxa"/>
            <w:hideMark/>
          </w:tcPr>
          <w:p w14:paraId="7E90F937" w14:textId="77777777" w:rsidR="00E67573" w:rsidRPr="004E147E" w:rsidRDefault="00E67573" w:rsidP="00E67573">
            <w:pPr>
              <w:spacing w:before="100" w:beforeAutospacing="1" w:after="100" w:afterAutospacing="1" w:line="360" w:lineRule="auto"/>
              <w:rPr>
                <w:rFonts w:asciiTheme="majorHAnsi" w:hAnsiTheme="majorHAnsi" w:cstheme="majorHAnsi"/>
                <w:b/>
                <w:bCs/>
                <w:color w:val="000000"/>
                <w:sz w:val="20"/>
                <w:szCs w:val="20"/>
                <w:lang w:val="en-US"/>
              </w:rPr>
            </w:pPr>
          </w:p>
        </w:tc>
        <w:tc>
          <w:tcPr>
            <w:tcW w:w="3150" w:type="dxa"/>
            <w:hideMark/>
          </w:tcPr>
          <w:p w14:paraId="1AB59F1B" w14:textId="77777777" w:rsidR="00E67573" w:rsidRPr="004E147E" w:rsidRDefault="00E67573" w:rsidP="00E67573">
            <w:pPr>
              <w:spacing w:before="100" w:beforeAutospacing="1" w:after="100" w:afterAutospacing="1" w:line="360" w:lineRule="auto"/>
              <w:rPr>
                <w:rFonts w:asciiTheme="majorHAnsi" w:hAnsiTheme="majorHAnsi" w:cstheme="majorHAnsi"/>
                <w:color w:val="000000"/>
                <w:sz w:val="20"/>
                <w:szCs w:val="20"/>
                <w:lang w:val="en-US"/>
              </w:rPr>
            </w:pPr>
            <w:r w:rsidRPr="004E147E">
              <w:rPr>
                <w:rFonts w:asciiTheme="majorHAnsi" w:hAnsiTheme="majorHAnsi" w:cstheme="majorHAnsi"/>
                <w:color w:val="000000"/>
                <w:sz w:val="20"/>
                <w:szCs w:val="20"/>
                <w:lang w:val="en-US"/>
              </w:rPr>
              <w:t xml:space="preserve">Cost overruns or delays are deemed to have reduced the economic benefits of the project to significantly below the opportunity cost </w:t>
            </w:r>
          </w:p>
          <w:p w14:paraId="44A5867B" w14:textId="77777777" w:rsidR="00E67573" w:rsidRPr="004E147E" w:rsidRDefault="00E67573" w:rsidP="00E67573">
            <w:pPr>
              <w:spacing w:before="100" w:beforeAutospacing="1" w:after="100" w:afterAutospacing="1" w:line="360" w:lineRule="auto"/>
              <w:rPr>
                <w:rFonts w:asciiTheme="majorHAnsi" w:hAnsiTheme="majorHAnsi" w:cstheme="majorHAnsi"/>
                <w:color w:val="000000"/>
                <w:sz w:val="20"/>
                <w:szCs w:val="20"/>
                <w:lang w:val="en-US"/>
              </w:rPr>
            </w:pPr>
          </w:p>
          <w:p w14:paraId="1D24F4F4" w14:textId="77777777" w:rsidR="00E67573" w:rsidRPr="004E147E" w:rsidRDefault="00E67573" w:rsidP="00E67573">
            <w:pPr>
              <w:spacing w:before="100" w:beforeAutospacing="1" w:after="100" w:afterAutospacing="1" w:line="360" w:lineRule="auto"/>
              <w:rPr>
                <w:rFonts w:asciiTheme="majorHAnsi" w:hAnsiTheme="majorHAnsi" w:cstheme="majorHAnsi"/>
                <w:color w:val="000000"/>
                <w:sz w:val="20"/>
                <w:szCs w:val="20"/>
                <w:lang w:val="en-US"/>
              </w:rPr>
            </w:pPr>
          </w:p>
        </w:tc>
        <w:tc>
          <w:tcPr>
            <w:tcW w:w="3293" w:type="dxa"/>
            <w:hideMark/>
          </w:tcPr>
          <w:p w14:paraId="2DD5E712" w14:textId="77777777" w:rsidR="00E67573" w:rsidRPr="004E147E" w:rsidRDefault="00E67573" w:rsidP="00E67573">
            <w:pPr>
              <w:spacing w:before="100" w:beforeAutospacing="1" w:after="100" w:afterAutospacing="1" w:line="360" w:lineRule="auto"/>
              <w:rPr>
                <w:rFonts w:asciiTheme="majorHAnsi" w:hAnsiTheme="majorHAnsi" w:cstheme="majorHAnsi"/>
                <w:color w:val="000000"/>
                <w:sz w:val="20"/>
                <w:szCs w:val="20"/>
                <w:lang w:val="en-US"/>
              </w:rPr>
            </w:pPr>
            <w:r w:rsidRPr="004E147E">
              <w:rPr>
                <w:rFonts w:asciiTheme="majorHAnsi" w:hAnsiTheme="majorHAnsi" w:cstheme="majorHAnsi"/>
                <w:color w:val="000000"/>
                <w:sz w:val="20"/>
                <w:szCs w:val="20"/>
                <w:lang w:val="en-US"/>
              </w:rPr>
              <w:t xml:space="preserve">Cost overruns or delays are deemed to have reduced the economic benefits of the project to below the opportunity cost </w:t>
            </w:r>
          </w:p>
        </w:tc>
        <w:tc>
          <w:tcPr>
            <w:tcW w:w="3039" w:type="dxa"/>
            <w:hideMark/>
          </w:tcPr>
          <w:p w14:paraId="020E5A63" w14:textId="77777777" w:rsidR="00E67573" w:rsidRPr="004E147E" w:rsidRDefault="00E67573" w:rsidP="00E67573">
            <w:pPr>
              <w:spacing w:before="100" w:beforeAutospacing="1" w:after="100" w:afterAutospacing="1" w:line="360" w:lineRule="auto"/>
              <w:rPr>
                <w:rFonts w:asciiTheme="majorHAnsi" w:hAnsiTheme="majorHAnsi" w:cstheme="majorHAnsi"/>
                <w:color w:val="000000"/>
                <w:sz w:val="20"/>
                <w:szCs w:val="20"/>
                <w:lang w:val="en-US"/>
              </w:rPr>
            </w:pPr>
            <w:r w:rsidRPr="004E147E">
              <w:rPr>
                <w:rFonts w:asciiTheme="majorHAnsi" w:hAnsiTheme="majorHAnsi" w:cstheme="majorHAnsi"/>
                <w:color w:val="000000"/>
                <w:sz w:val="20"/>
                <w:szCs w:val="20"/>
                <w:lang w:val="en-US"/>
              </w:rPr>
              <w:t xml:space="preserve">Intended outcomes were achieved within the planned costs or implementation period </w:t>
            </w:r>
          </w:p>
        </w:tc>
        <w:tc>
          <w:tcPr>
            <w:tcW w:w="3039" w:type="dxa"/>
            <w:hideMark/>
          </w:tcPr>
          <w:p w14:paraId="7BAE27F5" w14:textId="77777777" w:rsidR="00E67573" w:rsidRPr="004E147E" w:rsidRDefault="00E67573" w:rsidP="00E67573">
            <w:pPr>
              <w:spacing w:before="100" w:beforeAutospacing="1" w:after="100" w:afterAutospacing="1" w:line="360" w:lineRule="auto"/>
              <w:rPr>
                <w:rFonts w:asciiTheme="majorHAnsi" w:hAnsiTheme="majorHAnsi" w:cstheme="majorHAnsi"/>
                <w:color w:val="000000"/>
                <w:sz w:val="20"/>
                <w:szCs w:val="20"/>
                <w:lang w:val="en-US"/>
              </w:rPr>
            </w:pPr>
            <w:r w:rsidRPr="004E147E">
              <w:rPr>
                <w:rFonts w:asciiTheme="majorHAnsi" w:hAnsiTheme="majorHAnsi" w:cstheme="majorHAnsi"/>
                <w:color w:val="000000"/>
                <w:sz w:val="20"/>
                <w:szCs w:val="20"/>
                <w:lang w:val="en-US"/>
              </w:rPr>
              <w:t xml:space="preserve">Alternatively, intended outcomes were achieved or exceeded with significantly lower costs or within a shorter period than planned </w:t>
            </w:r>
          </w:p>
        </w:tc>
      </w:tr>
      <w:tr w:rsidR="00E67573" w:rsidRPr="004E147E" w14:paraId="742FCBD9" w14:textId="77777777" w:rsidTr="008041F1">
        <w:trPr>
          <w:trHeight w:val="312"/>
        </w:trPr>
        <w:tc>
          <w:tcPr>
            <w:tcW w:w="1632" w:type="dxa"/>
            <w:hideMark/>
          </w:tcPr>
          <w:p w14:paraId="224F311B" w14:textId="77777777" w:rsidR="00E67573" w:rsidRPr="004E147E" w:rsidRDefault="00E67573" w:rsidP="00E67573">
            <w:pPr>
              <w:spacing w:before="100" w:beforeAutospacing="1" w:after="100" w:afterAutospacing="1" w:line="360" w:lineRule="auto"/>
              <w:rPr>
                <w:rFonts w:asciiTheme="majorHAnsi" w:hAnsiTheme="majorHAnsi" w:cstheme="majorHAnsi"/>
                <w:b/>
                <w:bCs/>
                <w:color w:val="000000"/>
                <w:sz w:val="20"/>
                <w:szCs w:val="20"/>
                <w:lang w:val="en-US"/>
              </w:rPr>
            </w:pPr>
            <w:r w:rsidRPr="004E147E">
              <w:rPr>
                <w:rFonts w:asciiTheme="majorHAnsi" w:hAnsiTheme="majorHAnsi" w:cstheme="majorHAnsi"/>
                <w:b/>
                <w:bCs/>
                <w:color w:val="000000"/>
                <w:sz w:val="20"/>
                <w:szCs w:val="20"/>
                <w:lang w:val="en-US"/>
              </w:rPr>
              <w:t>SUSTAINABILITY of Program Gains</w:t>
            </w:r>
          </w:p>
        </w:tc>
        <w:tc>
          <w:tcPr>
            <w:tcW w:w="3150" w:type="dxa"/>
            <w:hideMark/>
          </w:tcPr>
          <w:p w14:paraId="531B9041" w14:textId="77777777" w:rsidR="00E67573" w:rsidRPr="004E147E" w:rsidRDefault="00E67573" w:rsidP="00E67573">
            <w:pPr>
              <w:spacing w:before="100" w:beforeAutospacing="1" w:after="100" w:afterAutospacing="1" w:line="360" w:lineRule="auto"/>
              <w:rPr>
                <w:rFonts w:asciiTheme="majorHAnsi" w:hAnsiTheme="majorHAnsi" w:cstheme="majorHAnsi"/>
                <w:b/>
                <w:bCs/>
                <w:color w:val="000000"/>
                <w:sz w:val="20"/>
                <w:szCs w:val="20"/>
                <w:lang w:val="en-US"/>
              </w:rPr>
            </w:pPr>
            <w:r w:rsidRPr="004E147E">
              <w:rPr>
                <w:rFonts w:asciiTheme="majorHAnsi" w:hAnsiTheme="majorHAnsi" w:cstheme="majorHAnsi"/>
                <w:b/>
                <w:bCs/>
                <w:color w:val="000000"/>
                <w:sz w:val="20"/>
                <w:szCs w:val="20"/>
                <w:lang w:val="en-US"/>
              </w:rPr>
              <w:t>Unlikely sustainable</w:t>
            </w:r>
          </w:p>
        </w:tc>
        <w:tc>
          <w:tcPr>
            <w:tcW w:w="3293" w:type="dxa"/>
            <w:hideMark/>
          </w:tcPr>
          <w:p w14:paraId="6379F756" w14:textId="77777777" w:rsidR="00E67573" w:rsidRPr="004E147E" w:rsidRDefault="00E67573" w:rsidP="00E67573">
            <w:pPr>
              <w:spacing w:before="100" w:beforeAutospacing="1" w:after="100" w:afterAutospacing="1" w:line="360" w:lineRule="auto"/>
              <w:rPr>
                <w:rFonts w:asciiTheme="majorHAnsi" w:hAnsiTheme="majorHAnsi" w:cstheme="majorHAnsi"/>
                <w:b/>
                <w:bCs/>
                <w:color w:val="000000"/>
                <w:sz w:val="20"/>
                <w:szCs w:val="20"/>
                <w:lang w:val="en-US"/>
              </w:rPr>
            </w:pPr>
            <w:r w:rsidRPr="004E147E">
              <w:rPr>
                <w:rFonts w:asciiTheme="majorHAnsi" w:hAnsiTheme="majorHAnsi" w:cstheme="majorHAnsi"/>
                <w:b/>
                <w:color w:val="000000" w:themeColor="text1"/>
                <w:sz w:val="20"/>
                <w:szCs w:val="20"/>
                <w:lang w:val="en-US"/>
              </w:rPr>
              <w:t xml:space="preserve">Moderate </w:t>
            </w:r>
            <w:r w:rsidRPr="004E147E">
              <w:rPr>
                <w:rFonts w:asciiTheme="majorHAnsi" w:hAnsiTheme="majorHAnsi" w:cstheme="majorHAnsi"/>
                <w:b/>
                <w:bCs/>
                <w:color w:val="000000"/>
                <w:sz w:val="20"/>
                <w:szCs w:val="20"/>
                <w:lang w:val="en-US"/>
              </w:rPr>
              <w:t>likelihood</w:t>
            </w:r>
          </w:p>
        </w:tc>
        <w:tc>
          <w:tcPr>
            <w:tcW w:w="3039" w:type="dxa"/>
            <w:hideMark/>
          </w:tcPr>
          <w:p w14:paraId="59128365" w14:textId="77777777" w:rsidR="00E67573" w:rsidRPr="004E147E" w:rsidRDefault="00E67573" w:rsidP="00E67573">
            <w:pPr>
              <w:spacing w:before="100" w:beforeAutospacing="1" w:after="100" w:afterAutospacing="1" w:line="360" w:lineRule="auto"/>
              <w:rPr>
                <w:rFonts w:asciiTheme="majorHAnsi" w:hAnsiTheme="majorHAnsi" w:cstheme="majorHAnsi"/>
                <w:b/>
                <w:bCs/>
                <w:color w:val="000000"/>
                <w:sz w:val="20"/>
                <w:szCs w:val="20"/>
                <w:lang w:val="en-US"/>
              </w:rPr>
            </w:pPr>
            <w:r w:rsidRPr="004E147E">
              <w:rPr>
                <w:rFonts w:asciiTheme="majorHAnsi" w:hAnsiTheme="majorHAnsi" w:cstheme="majorHAnsi"/>
                <w:b/>
                <w:bCs/>
                <w:color w:val="000000"/>
                <w:sz w:val="20"/>
                <w:szCs w:val="20"/>
                <w:lang w:val="en-US"/>
              </w:rPr>
              <w:t>High likelihood</w:t>
            </w:r>
          </w:p>
        </w:tc>
        <w:tc>
          <w:tcPr>
            <w:tcW w:w="3039" w:type="dxa"/>
            <w:hideMark/>
          </w:tcPr>
          <w:p w14:paraId="36479BC6" w14:textId="77777777" w:rsidR="00E67573" w:rsidRPr="004E147E" w:rsidRDefault="00E67573" w:rsidP="00E67573">
            <w:pPr>
              <w:spacing w:before="100" w:beforeAutospacing="1" w:after="100" w:afterAutospacing="1" w:line="360" w:lineRule="auto"/>
              <w:rPr>
                <w:rFonts w:asciiTheme="majorHAnsi" w:hAnsiTheme="majorHAnsi" w:cstheme="majorHAnsi"/>
                <w:b/>
                <w:bCs/>
                <w:color w:val="000000"/>
                <w:sz w:val="20"/>
                <w:szCs w:val="20"/>
                <w:lang w:val="en-US"/>
              </w:rPr>
            </w:pPr>
            <w:r w:rsidRPr="004E147E">
              <w:rPr>
                <w:rFonts w:asciiTheme="majorHAnsi" w:hAnsiTheme="majorHAnsi" w:cstheme="majorHAnsi"/>
                <w:b/>
                <w:bCs/>
                <w:color w:val="000000"/>
                <w:sz w:val="20"/>
                <w:szCs w:val="20"/>
                <w:lang w:val="en-US"/>
              </w:rPr>
              <w:t xml:space="preserve">Very high likelihood </w:t>
            </w:r>
          </w:p>
        </w:tc>
      </w:tr>
      <w:tr w:rsidR="00C023C6" w:rsidRPr="004E147E" w14:paraId="317B3CD0" w14:textId="77777777" w:rsidTr="008041F1">
        <w:trPr>
          <w:trHeight w:val="508"/>
        </w:trPr>
        <w:tc>
          <w:tcPr>
            <w:tcW w:w="1632" w:type="dxa"/>
          </w:tcPr>
          <w:p w14:paraId="3ACAE2DB" w14:textId="77777777" w:rsidR="00C023C6" w:rsidRPr="004E147E" w:rsidRDefault="00C023C6" w:rsidP="00E67573">
            <w:pPr>
              <w:spacing w:before="100" w:beforeAutospacing="1" w:after="100" w:afterAutospacing="1" w:line="360" w:lineRule="auto"/>
              <w:rPr>
                <w:rFonts w:asciiTheme="majorHAnsi" w:hAnsiTheme="majorHAnsi" w:cstheme="majorHAnsi"/>
                <w:b/>
                <w:bCs/>
                <w:color w:val="000000"/>
                <w:sz w:val="20"/>
                <w:szCs w:val="20"/>
                <w:lang w:val="en-US"/>
              </w:rPr>
            </w:pPr>
          </w:p>
        </w:tc>
        <w:tc>
          <w:tcPr>
            <w:tcW w:w="3150" w:type="dxa"/>
          </w:tcPr>
          <w:p w14:paraId="146DB957" w14:textId="77777777" w:rsidR="00C023C6" w:rsidRPr="004E147E" w:rsidRDefault="00C023C6" w:rsidP="00E67573">
            <w:pPr>
              <w:spacing w:before="100" w:beforeAutospacing="1" w:after="100" w:afterAutospacing="1" w:line="360" w:lineRule="auto"/>
              <w:rPr>
                <w:rFonts w:asciiTheme="majorHAnsi" w:hAnsiTheme="majorHAnsi" w:cstheme="majorHAnsi"/>
                <w:color w:val="000000"/>
                <w:sz w:val="20"/>
                <w:szCs w:val="20"/>
                <w:lang w:val="en-US"/>
              </w:rPr>
            </w:pPr>
          </w:p>
        </w:tc>
        <w:tc>
          <w:tcPr>
            <w:tcW w:w="3293" w:type="dxa"/>
          </w:tcPr>
          <w:p w14:paraId="506BF78D" w14:textId="77777777" w:rsidR="00C023C6" w:rsidRPr="004E147E" w:rsidRDefault="00C023C6" w:rsidP="00E67573">
            <w:pPr>
              <w:spacing w:before="100" w:beforeAutospacing="1" w:after="100" w:afterAutospacing="1" w:line="360" w:lineRule="auto"/>
              <w:rPr>
                <w:rFonts w:asciiTheme="majorHAnsi" w:hAnsiTheme="majorHAnsi" w:cstheme="majorHAnsi"/>
                <w:color w:val="000000"/>
                <w:sz w:val="20"/>
                <w:szCs w:val="20"/>
                <w:lang w:val="en-US"/>
              </w:rPr>
            </w:pPr>
          </w:p>
        </w:tc>
        <w:tc>
          <w:tcPr>
            <w:tcW w:w="3039" w:type="dxa"/>
          </w:tcPr>
          <w:p w14:paraId="5904B7DC" w14:textId="77777777" w:rsidR="00C023C6" w:rsidRPr="004E147E" w:rsidRDefault="00C023C6" w:rsidP="00E67573">
            <w:pPr>
              <w:spacing w:before="100" w:beforeAutospacing="1" w:after="100" w:afterAutospacing="1" w:line="360" w:lineRule="auto"/>
              <w:rPr>
                <w:rFonts w:asciiTheme="majorHAnsi" w:hAnsiTheme="majorHAnsi" w:cstheme="majorHAnsi"/>
                <w:color w:val="000000"/>
                <w:sz w:val="20"/>
                <w:szCs w:val="20"/>
                <w:lang w:val="en-US"/>
              </w:rPr>
            </w:pPr>
          </w:p>
        </w:tc>
        <w:tc>
          <w:tcPr>
            <w:tcW w:w="3039" w:type="dxa"/>
          </w:tcPr>
          <w:p w14:paraId="250E5262" w14:textId="77777777" w:rsidR="00C023C6" w:rsidRPr="004E147E" w:rsidRDefault="00C023C6" w:rsidP="00E67573">
            <w:pPr>
              <w:spacing w:before="100" w:beforeAutospacing="1" w:after="100" w:afterAutospacing="1" w:line="360" w:lineRule="auto"/>
              <w:rPr>
                <w:rFonts w:asciiTheme="majorHAnsi" w:hAnsiTheme="majorHAnsi" w:cstheme="majorHAnsi"/>
                <w:color w:val="000000"/>
                <w:sz w:val="20"/>
                <w:szCs w:val="20"/>
                <w:lang w:val="en-US"/>
              </w:rPr>
            </w:pPr>
          </w:p>
        </w:tc>
      </w:tr>
      <w:tr w:rsidR="00C023C6" w:rsidRPr="004E147E" w14:paraId="53607BD8" w14:textId="77777777" w:rsidTr="008041F1">
        <w:trPr>
          <w:trHeight w:val="508"/>
        </w:trPr>
        <w:tc>
          <w:tcPr>
            <w:tcW w:w="1632" w:type="dxa"/>
          </w:tcPr>
          <w:p w14:paraId="25674D48" w14:textId="77777777" w:rsidR="00C023C6" w:rsidRPr="004E147E" w:rsidRDefault="00C023C6" w:rsidP="00E67573">
            <w:pPr>
              <w:spacing w:before="100" w:beforeAutospacing="1" w:after="100" w:afterAutospacing="1" w:line="360" w:lineRule="auto"/>
              <w:rPr>
                <w:rFonts w:asciiTheme="majorHAnsi" w:hAnsiTheme="majorHAnsi" w:cstheme="majorHAnsi"/>
                <w:b/>
                <w:bCs/>
                <w:color w:val="000000"/>
                <w:sz w:val="20"/>
                <w:szCs w:val="20"/>
                <w:lang w:val="en-US"/>
              </w:rPr>
            </w:pPr>
          </w:p>
        </w:tc>
        <w:tc>
          <w:tcPr>
            <w:tcW w:w="3150" w:type="dxa"/>
          </w:tcPr>
          <w:p w14:paraId="070C7CB4" w14:textId="6B260F83" w:rsidR="00C023C6" w:rsidRPr="004E147E" w:rsidRDefault="00C023C6" w:rsidP="00E67573">
            <w:pPr>
              <w:spacing w:before="100" w:beforeAutospacing="1" w:after="100" w:afterAutospacing="1" w:line="360" w:lineRule="auto"/>
              <w:rPr>
                <w:rFonts w:asciiTheme="majorHAnsi" w:hAnsiTheme="majorHAnsi" w:cstheme="majorHAnsi"/>
                <w:color w:val="000000"/>
                <w:sz w:val="20"/>
                <w:szCs w:val="20"/>
                <w:lang w:val="en-US"/>
              </w:rPr>
            </w:pPr>
            <w:r w:rsidRPr="004E147E">
              <w:rPr>
                <w:rFonts w:asciiTheme="majorHAnsi" w:hAnsiTheme="majorHAnsi" w:cstheme="majorHAnsi"/>
                <w:color w:val="000000"/>
                <w:sz w:val="20"/>
                <w:szCs w:val="20"/>
                <w:lang w:val="en-US"/>
              </w:rPr>
              <w:t>Negative program effects have been identified with no mitigating measures in place.</w:t>
            </w:r>
            <w:r w:rsidR="00D434EB">
              <w:rPr>
                <w:rFonts w:asciiTheme="majorHAnsi" w:hAnsiTheme="majorHAnsi" w:cstheme="majorHAnsi"/>
                <w:color w:val="000000"/>
                <w:sz w:val="20"/>
                <w:szCs w:val="20"/>
                <w:lang w:val="en-US"/>
              </w:rPr>
              <w:t xml:space="preserve"> </w:t>
            </w:r>
          </w:p>
        </w:tc>
        <w:tc>
          <w:tcPr>
            <w:tcW w:w="3293" w:type="dxa"/>
          </w:tcPr>
          <w:p w14:paraId="55986E22" w14:textId="77777777" w:rsidR="00C023C6" w:rsidRDefault="00C023C6" w:rsidP="00E67573">
            <w:pPr>
              <w:spacing w:before="100" w:beforeAutospacing="1" w:after="100" w:afterAutospacing="1" w:line="360" w:lineRule="auto"/>
              <w:rPr>
                <w:rFonts w:asciiTheme="majorHAnsi" w:hAnsiTheme="majorHAnsi" w:cstheme="majorHAnsi"/>
                <w:color w:val="000000"/>
                <w:sz w:val="20"/>
                <w:szCs w:val="20"/>
                <w:lang w:val="en-US"/>
              </w:rPr>
            </w:pPr>
            <w:r w:rsidRPr="004E147E">
              <w:rPr>
                <w:rFonts w:asciiTheme="majorHAnsi" w:hAnsiTheme="majorHAnsi" w:cstheme="majorHAnsi"/>
                <w:color w:val="000000"/>
                <w:sz w:val="20"/>
                <w:szCs w:val="20"/>
                <w:lang w:val="en-US"/>
              </w:rPr>
              <w:t>Positive effects are below expectations.</w:t>
            </w:r>
          </w:p>
          <w:p w14:paraId="0518CC0D" w14:textId="53C5EA10" w:rsidR="00C023C6" w:rsidRPr="004E147E" w:rsidRDefault="00C023C6" w:rsidP="00E67573">
            <w:pPr>
              <w:spacing w:before="100" w:beforeAutospacing="1" w:after="100" w:afterAutospacing="1" w:line="360" w:lineRule="auto"/>
              <w:rPr>
                <w:rFonts w:asciiTheme="majorHAnsi" w:hAnsiTheme="majorHAnsi" w:cstheme="majorHAnsi"/>
                <w:color w:val="000000"/>
                <w:sz w:val="20"/>
                <w:szCs w:val="20"/>
                <w:lang w:val="en-US"/>
              </w:rPr>
            </w:pPr>
            <w:r w:rsidRPr="004E147E">
              <w:rPr>
                <w:rFonts w:asciiTheme="majorHAnsi" w:hAnsiTheme="majorHAnsi" w:cstheme="majorHAnsi"/>
                <w:color w:val="000000"/>
                <w:sz w:val="20"/>
                <w:szCs w:val="20"/>
                <w:lang w:val="en-US"/>
              </w:rPr>
              <w:t>Results are uneven across governance levels and continuing results are not fully supported by necessary policies, systems, people and infrastructure.</w:t>
            </w:r>
          </w:p>
        </w:tc>
        <w:tc>
          <w:tcPr>
            <w:tcW w:w="3039" w:type="dxa"/>
          </w:tcPr>
          <w:p w14:paraId="1A8D4CB1" w14:textId="77777777" w:rsidR="00C023C6" w:rsidRDefault="00C023C6" w:rsidP="00E67573">
            <w:pPr>
              <w:spacing w:before="100" w:beforeAutospacing="1" w:after="100" w:afterAutospacing="1" w:line="360" w:lineRule="auto"/>
              <w:rPr>
                <w:rFonts w:asciiTheme="majorHAnsi" w:hAnsiTheme="majorHAnsi" w:cstheme="majorHAnsi"/>
                <w:color w:val="000000"/>
                <w:sz w:val="20"/>
                <w:szCs w:val="20"/>
                <w:lang w:val="en-US"/>
              </w:rPr>
            </w:pPr>
            <w:r w:rsidRPr="004E147E">
              <w:rPr>
                <w:rFonts w:asciiTheme="majorHAnsi" w:hAnsiTheme="majorHAnsi" w:cstheme="majorHAnsi"/>
                <w:color w:val="000000"/>
                <w:sz w:val="20"/>
                <w:szCs w:val="20"/>
                <w:lang w:val="en-US"/>
              </w:rPr>
              <w:t>Positive</w:t>
            </w:r>
            <w:r w:rsidRPr="004E147E">
              <w:rPr>
                <w:rFonts w:asciiTheme="majorHAnsi" w:hAnsiTheme="majorHAnsi" w:cstheme="majorHAnsi"/>
                <w:b/>
                <w:bCs/>
                <w:color w:val="000000"/>
                <w:sz w:val="20"/>
                <w:szCs w:val="20"/>
                <w:lang w:val="en-US"/>
              </w:rPr>
              <w:t xml:space="preserve"> </w:t>
            </w:r>
            <w:r w:rsidRPr="004E147E">
              <w:rPr>
                <w:rFonts w:asciiTheme="majorHAnsi" w:hAnsiTheme="majorHAnsi" w:cstheme="majorHAnsi"/>
                <w:color w:val="000000"/>
                <w:sz w:val="20"/>
                <w:szCs w:val="20"/>
                <w:lang w:val="en-US"/>
              </w:rPr>
              <w:t>program effects meet expectations.</w:t>
            </w:r>
          </w:p>
          <w:p w14:paraId="2358CD37" w14:textId="39C3EAFB" w:rsidR="00C023C6" w:rsidRPr="004E147E" w:rsidRDefault="00C023C6" w:rsidP="00E67573">
            <w:pPr>
              <w:spacing w:before="100" w:beforeAutospacing="1" w:after="100" w:afterAutospacing="1" w:line="360" w:lineRule="auto"/>
              <w:rPr>
                <w:rFonts w:asciiTheme="majorHAnsi" w:hAnsiTheme="majorHAnsi" w:cstheme="majorHAnsi"/>
                <w:color w:val="000000"/>
                <w:sz w:val="20"/>
                <w:szCs w:val="20"/>
                <w:lang w:val="en-US"/>
              </w:rPr>
            </w:pPr>
            <w:r w:rsidRPr="004E147E">
              <w:rPr>
                <w:rFonts w:asciiTheme="majorHAnsi" w:hAnsiTheme="majorHAnsi" w:cstheme="majorHAnsi"/>
                <w:color w:val="000000"/>
                <w:sz w:val="20"/>
                <w:szCs w:val="20"/>
                <w:lang w:val="en-US"/>
              </w:rPr>
              <w:t>Substantial demonstration of persistence of results across all governance levels and continuing results are supported by necessary policies, systems, people and infrastructure.</w:t>
            </w:r>
          </w:p>
        </w:tc>
        <w:tc>
          <w:tcPr>
            <w:tcW w:w="3039" w:type="dxa"/>
          </w:tcPr>
          <w:p w14:paraId="2C66FC97" w14:textId="77777777" w:rsidR="00C023C6" w:rsidRDefault="00C023C6" w:rsidP="00E67573">
            <w:pPr>
              <w:spacing w:before="100" w:beforeAutospacing="1" w:after="100" w:afterAutospacing="1" w:line="360" w:lineRule="auto"/>
              <w:rPr>
                <w:rFonts w:asciiTheme="majorHAnsi" w:hAnsiTheme="majorHAnsi" w:cstheme="majorHAnsi"/>
                <w:color w:val="000000"/>
                <w:sz w:val="20"/>
                <w:szCs w:val="20"/>
                <w:lang w:val="en-US"/>
              </w:rPr>
            </w:pPr>
            <w:r w:rsidRPr="004E147E">
              <w:rPr>
                <w:rFonts w:asciiTheme="majorHAnsi" w:hAnsiTheme="majorHAnsi" w:cstheme="majorHAnsi"/>
                <w:color w:val="000000"/>
                <w:sz w:val="20"/>
                <w:szCs w:val="20"/>
                <w:lang w:val="en-US"/>
              </w:rPr>
              <w:t>Positive</w:t>
            </w:r>
            <w:r w:rsidRPr="004E147E">
              <w:rPr>
                <w:rFonts w:asciiTheme="majorHAnsi" w:hAnsiTheme="majorHAnsi" w:cstheme="majorHAnsi"/>
                <w:b/>
                <w:bCs/>
                <w:color w:val="000000"/>
                <w:sz w:val="20"/>
                <w:szCs w:val="20"/>
                <w:lang w:val="en-US"/>
              </w:rPr>
              <w:t xml:space="preserve"> </w:t>
            </w:r>
            <w:r w:rsidRPr="004E147E">
              <w:rPr>
                <w:rFonts w:asciiTheme="majorHAnsi" w:hAnsiTheme="majorHAnsi" w:cstheme="majorHAnsi"/>
                <w:color w:val="000000"/>
                <w:sz w:val="20"/>
                <w:szCs w:val="20"/>
                <w:lang w:val="en-US"/>
              </w:rPr>
              <w:t>program effects meet expectations.</w:t>
            </w:r>
          </w:p>
          <w:p w14:paraId="20C57D31" w14:textId="05F4F8C3" w:rsidR="00C023C6" w:rsidRPr="004E147E" w:rsidRDefault="00C023C6" w:rsidP="00E67573">
            <w:pPr>
              <w:spacing w:before="100" w:beforeAutospacing="1" w:after="100" w:afterAutospacing="1" w:line="360" w:lineRule="auto"/>
              <w:rPr>
                <w:rFonts w:asciiTheme="majorHAnsi" w:hAnsiTheme="majorHAnsi" w:cstheme="majorHAnsi"/>
                <w:color w:val="000000"/>
                <w:sz w:val="20"/>
                <w:szCs w:val="20"/>
                <w:lang w:val="en-US"/>
              </w:rPr>
            </w:pPr>
            <w:r w:rsidRPr="004E147E">
              <w:rPr>
                <w:rFonts w:asciiTheme="majorHAnsi" w:hAnsiTheme="majorHAnsi" w:cstheme="majorHAnsi"/>
                <w:color w:val="000000"/>
                <w:sz w:val="20"/>
                <w:szCs w:val="20"/>
                <w:lang w:val="en-US"/>
              </w:rPr>
              <w:t>Demonstrated persistence of results across all governance levels and continuing results are supported by necessary policies, systems, people and infrastructure.</w:t>
            </w:r>
          </w:p>
        </w:tc>
      </w:tr>
    </w:tbl>
    <w:p w14:paraId="1346C32C" w14:textId="77777777" w:rsidR="008D0CAD" w:rsidRDefault="008D0CAD" w:rsidP="00385784">
      <w:pPr>
        <w:spacing w:before="100" w:beforeAutospacing="1" w:after="100" w:afterAutospacing="1" w:line="360" w:lineRule="auto"/>
        <w:rPr>
          <w:rFonts w:asciiTheme="majorHAnsi" w:hAnsiTheme="majorHAnsi" w:cstheme="majorHAnsi"/>
          <w:lang w:val="en-US"/>
        </w:rPr>
        <w:sectPr w:rsidR="008D0CAD" w:rsidSect="009C64E9">
          <w:pgSz w:w="15840" w:h="12240" w:orient="landscape"/>
          <w:pgMar w:top="720" w:right="720" w:bottom="720" w:left="720" w:header="720" w:footer="720" w:gutter="0"/>
          <w:cols w:space="720"/>
          <w:docGrid w:linePitch="360"/>
        </w:sectPr>
      </w:pPr>
    </w:p>
    <w:p w14:paraId="1CBA1BF2" w14:textId="77777777" w:rsidR="008D0CAD" w:rsidRPr="004E147E" w:rsidRDefault="008D0CAD" w:rsidP="00385784">
      <w:pPr>
        <w:pStyle w:val="Heading2"/>
        <w:numPr>
          <w:ilvl w:val="0"/>
          <w:numId w:val="0"/>
        </w:numPr>
        <w:spacing w:before="100" w:beforeAutospacing="1" w:after="100" w:afterAutospacing="1" w:line="360" w:lineRule="auto"/>
        <w:ind w:left="1288" w:hanging="720"/>
      </w:pPr>
      <w:bookmarkStart w:id="619" w:name="_Toc39938425"/>
      <w:bookmarkStart w:id="620" w:name="_Toc69820529"/>
      <w:r w:rsidRPr="004E147E">
        <w:t>Annex X. References</w:t>
      </w:r>
      <w:bookmarkEnd w:id="619"/>
      <w:bookmarkEnd w:id="620"/>
    </w:p>
    <w:p w14:paraId="2ACEC5CB" w14:textId="77777777" w:rsidR="008D0CAD" w:rsidRPr="004E147E" w:rsidRDefault="008D0CAD" w:rsidP="00385784">
      <w:pPr>
        <w:spacing w:before="100" w:beforeAutospacing="1" w:after="100" w:afterAutospacing="1" w:line="360" w:lineRule="auto"/>
        <w:ind w:left="720" w:hanging="720"/>
        <w:rPr>
          <w:rFonts w:asciiTheme="majorHAnsi" w:hAnsiTheme="majorHAnsi" w:cstheme="majorHAnsi"/>
          <w:b/>
          <w:sz w:val="22"/>
          <w:szCs w:val="22"/>
          <w:lang w:val="en-US"/>
        </w:rPr>
      </w:pPr>
      <w:r w:rsidRPr="004E147E">
        <w:rPr>
          <w:rFonts w:asciiTheme="majorHAnsi" w:hAnsiTheme="majorHAnsi" w:cstheme="majorHAnsi"/>
          <w:b/>
          <w:sz w:val="22"/>
          <w:szCs w:val="22"/>
          <w:lang w:val="en-US"/>
        </w:rPr>
        <w:t>Annual Reports (APs)</w:t>
      </w:r>
    </w:p>
    <w:p w14:paraId="5986BD09" w14:textId="379E8FFA" w:rsidR="008D0CAD" w:rsidRPr="004E147E" w:rsidRDefault="008D0CAD" w:rsidP="00385784">
      <w:pPr>
        <w:spacing w:before="100" w:beforeAutospacing="1" w:after="100" w:afterAutospacing="1" w:line="360" w:lineRule="auto"/>
        <w:ind w:left="720" w:hanging="720"/>
        <w:rPr>
          <w:rFonts w:asciiTheme="majorHAnsi" w:hAnsiTheme="majorHAnsi" w:cstheme="majorHAnsi"/>
          <w:sz w:val="22"/>
          <w:szCs w:val="22"/>
          <w:lang w:val="en-GB"/>
        </w:rPr>
      </w:pPr>
      <w:r w:rsidRPr="004E147E">
        <w:rPr>
          <w:rFonts w:asciiTheme="majorHAnsi" w:hAnsiTheme="majorHAnsi" w:cstheme="majorHAnsi"/>
          <w:sz w:val="22"/>
          <w:szCs w:val="22"/>
          <w:lang w:val="en-US"/>
        </w:rPr>
        <w:t>Cardno Emerging Markets</w:t>
      </w:r>
      <w:r w:rsidRPr="004E147E">
        <w:rPr>
          <w:rFonts w:asciiTheme="majorHAnsi" w:hAnsiTheme="majorHAnsi" w:cstheme="majorHAnsi"/>
          <w:sz w:val="22"/>
          <w:szCs w:val="22"/>
          <w:lang w:val="en-GB"/>
        </w:rPr>
        <w:t>. (2014).</w:t>
      </w:r>
      <w:r w:rsidR="00D434EB">
        <w:rPr>
          <w:rFonts w:asciiTheme="majorHAnsi" w:hAnsiTheme="majorHAnsi" w:cstheme="majorHAnsi"/>
          <w:sz w:val="22"/>
          <w:szCs w:val="22"/>
          <w:lang w:val="en-GB"/>
        </w:rPr>
        <w:t xml:space="preserve"> </w:t>
      </w:r>
      <w:r w:rsidRPr="004E147E">
        <w:rPr>
          <w:rFonts w:asciiTheme="majorHAnsi" w:hAnsiTheme="majorHAnsi" w:cstheme="majorHAnsi"/>
          <w:i/>
          <w:sz w:val="22"/>
          <w:szCs w:val="22"/>
          <w:lang w:val="en-GB"/>
        </w:rPr>
        <w:t>Basic Education Sector Transformation (BEST) Program:</w:t>
      </w:r>
      <w:r w:rsidR="00D434EB">
        <w:rPr>
          <w:rFonts w:asciiTheme="majorHAnsi" w:hAnsiTheme="majorHAnsi" w:cstheme="majorHAnsi"/>
          <w:i/>
          <w:sz w:val="22"/>
          <w:szCs w:val="22"/>
          <w:lang w:val="en-GB"/>
        </w:rPr>
        <w:t xml:space="preserve"> </w:t>
      </w:r>
      <w:r w:rsidRPr="004E147E">
        <w:rPr>
          <w:rFonts w:asciiTheme="majorHAnsi" w:hAnsiTheme="majorHAnsi" w:cstheme="majorHAnsi"/>
          <w:i/>
          <w:sz w:val="22"/>
          <w:szCs w:val="22"/>
          <w:lang w:val="en-GB"/>
        </w:rPr>
        <w:t>First Annual Plan</w:t>
      </w:r>
      <w:r w:rsidRPr="004E147E">
        <w:rPr>
          <w:rFonts w:asciiTheme="majorHAnsi" w:hAnsiTheme="majorHAnsi" w:cstheme="majorHAnsi"/>
          <w:sz w:val="22"/>
          <w:szCs w:val="22"/>
          <w:lang w:val="en-GB"/>
        </w:rPr>
        <w:t>. Pasig City: Cardno Emerging Markets.</w:t>
      </w:r>
    </w:p>
    <w:p w14:paraId="210ED644" w14:textId="61868EBE" w:rsidR="008D0CAD" w:rsidRPr="004E147E" w:rsidRDefault="008D0CAD" w:rsidP="00385784">
      <w:pPr>
        <w:spacing w:before="100" w:beforeAutospacing="1" w:after="100" w:afterAutospacing="1" w:line="360" w:lineRule="auto"/>
        <w:ind w:left="720" w:hanging="720"/>
        <w:rPr>
          <w:rFonts w:asciiTheme="majorHAnsi" w:hAnsiTheme="majorHAnsi" w:cstheme="majorHAnsi"/>
          <w:sz w:val="22"/>
          <w:szCs w:val="22"/>
          <w:lang w:val="en-GB"/>
        </w:rPr>
      </w:pPr>
      <w:r w:rsidRPr="004E147E">
        <w:rPr>
          <w:rFonts w:asciiTheme="majorHAnsi" w:hAnsiTheme="majorHAnsi" w:cstheme="majorHAnsi"/>
          <w:sz w:val="22"/>
          <w:szCs w:val="22"/>
          <w:lang w:val="en-US"/>
        </w:rPr>
        <w:t>Cardno Emerging Markets</w:t>
      </w:r>
      <w:r w:rsidRPr="004E147E">
        <w:rPr>
          <w:rFonts w:asciiTheme="majorHAnsi" w:hAnsiTheme="majorHAnsi" w:cstheme="majorHAnsi"/>
          <w:sz w:val="22"/>
          <w:szCs w:val="22"/>
          <w:lang w:val="en-GB"/>
        </w:rPr>
        <w:t>. (2015).</w:t>
      </w:r>
      <w:r w:rsidR="00D434EB">
        <w:rPr>
          <w:rFonts w:asciiTheme="majorHAnsi" w:hAnsiTheme="majorHAnsi" w:cstheme="majorHAnsi"/>
          <w:sz w:val="22"/>
          <w:szCs w:val="22"/>
          <w:lang w:val="en-GB"/>
        </w:rPr>
        <w:t xml:space="preserve"> </w:t>
      </w:r>
      <w:r w:rsidRPr="004E147E">
        <w:rPr>
          <w:rFonts w:asciiTheme="majorHAnsi" w:hAnsiTheme="majorHAnsi" w:cstheme="majorHAnsi"/>
          <w:i/>
          <w:sz w:val="22"/>
          <w:szCs w:val="22"/>
          <w:lang w:val="en-GB"/>
        </w:rPr>
        <w:t>Basic Education Sector Transformation (BEST) Program:</w:t>
      </w:r>
      <w:r w:rsidR="00D434EB">
        <w:rPr>
          <w:rFonts w:asciiTheme="majorHAnsi" w:hAnsiTheme="majorHAnsi" w:cstheme="majorHAnsi"/>
          <w:i/>
          <w:sz w:val="22"/>
          <w:szCs w:val="22"/>
          <w:lang w:val="en-GB"/>
        </w:rPr>
        <w:t xml:space="preserve"> </w:t>
      </w:r>
      <w:r w:rsidRPr="004E147E">
        <w:rPr>
          <w:rFonts w:asciiTheme="majorHAnsi" w:hAnsiTheme="majorHAnsi" w:cstheme="majorHAnsi"/>
          <w:i/>
          <w:sz w:val="22"/>
          <w:szCs w:val="22"/>
          <w:lang w:val="en-GB"/>
        </w:rPr>
        <w:t>Second Annual Plan</w:t>
      </w:r>
      <w:r w:rsidRPr="004E147E">
        <w:rPr>
          <w:rFonts w:asciiTheme="majorHAnsi" w:hAnsiTheme="majorHAnsi" w:cstheme="majorHAnsi"/>
          <w:sz w:val="22"/>
          <w:szCs w:val="22"/>
          <w:lang w:val="en-GB"/>
        </w:rPr>
        <w:t>. Pasig City: Cardno Emerging Markets.</w:t>
      </w:r>
    </w:p>
    <w:p w14:paraId="513EB9EE" w14:textId="021F0C4F" w:rsidR="008D0CAD" w:rsidRPr="004E147E" w:rsidRDefault="008D0CAD" w:rsidP="00385784">
      <w:pPr>
        <w:spacing w:before="100" w:beforeAutospacing="1" w:after="100" w:afterAutospacing="1" w:line="360" w:lineRule="auto"/>
        <w:ind w:left="720" w:hanging="720"/>
        <w:rPr>
          <w:rFonts w:asciiTheme="majorHAnsi" w:hAnsiTheme="majorHAnsi" w:cstheme="majorHAnsi"/>
          <w:sz w:val="22"/>
          <w:szCs w:val="22"/>
          <w:lang w:val="en-GB"/>
        </w:rPr>
      </w:pPr>
      <w:r w:rsidRPr="004E147E">
        <w:rPr>
          <w:rFonts w:asciiTheme="majorHAnsi" w:hAnsiTheme="majorHAnsi" w:cstheme="majorHAnsi"/>
          <w:sz w:val="22"/>
          <w:szCs w:val="22"/>
          <w:lang w:val="en-US"/>
        </w:rPr>
        <w:t>Cardno Emerging Markets</w:t>
      </w:r>
      <w:r w:rsidRPr="004E147E">
        <w:rPr>
          <w:rFonts w:asciiTheme="majorHAnsi" w:hAnsiTheme="majorHAnsi" w:cstheme="majorHAnsi"/>
          <w:sz w:val="22"/>
          <w:szCs w:val="22"/>
          <w:lang w:val="en-GB"/>
        </w:rPr>
        <w:t xml:space="preserve">. (2016). </w:t>
      </w:r>
      <w:r w:rsidRPr="004E147E">
        <w:rPr>
          <w:rFonts w:asciiTheme="majorHAnsi" w:hAnsiTheme="majorHAnsi" w:cstheme="majorHAnsi"/>
          <w:i/>
          <w:sz w:val="22"/>
          <w:szCs w:val="22"/>
          <w:lang w:val="en-GB"/>
        </w:rPr>
        <w:t>Basic Education Sector Transformation (BEST) Program:</w:t>
      </w:r>
      <w:r w:rsidR="00D434EB">
        <w:rPr>
          <w:rFonts w:asciiTheme="majorHAnsi" w:hAnsiTheme="majorHAnsi" w:cstheme="majorHAnsi"/>
          <w:i/>
          <w:sz w:val="22"/>
          <w:szCs w:val="22"/>
          <w:lang w:val="en-GB"/>
        </w:rPr>
        <w:t xml:space="preserve"> </w:t>
      </w:r>
      <w:r w:rsidRPr="004E147E">
        <w:rPr>
          <w:rFonts w:asciiTheme="majorHAnsi" w:hAnsiTheme="majorHAnsi" w:cstheme="majorHAnsi"/>
          <w:i/>
          <w:sz w:val="22"/>
          <w:szCs w:val="22"/>
          <w:lang w:val="en-GB"/>
        </w:rPr>
        <w:t>Third Annual Plan</w:t>
      </w:r>
      <w:r w:rsidRPr="004E147E">
        <w:rPr>
          <w:rFonts w:asciiTheme="majorHAnsi" w:hAnsiTheme="majorHAnsi" w:cstheme="majorHAnsi"/>
          <w:sz w:val="22"/>
          <w:szCs w:val="22"/>
          <w:lang w:val="en-GB"/>
        </w:rPr>
        <w:t>. Pasig City: Cardno Emerging Markets</w:t>
      </w:r>
    </w:p>
    <w:p w14:paraId="6E6FC762" w14:textId="7C27DAC8" w:rsidR="008D0CAD" w:rsidRPr="004E147E" w:rsidRDefault="008D0CAD" w:rsidP="00385784">
      <w:pPr>
        <w:spacing w:before="100" w:beforeAutospacing="1" w:after="100" w:afterAutospacing="1" w:line="360" w:lineRule="auto"/>
        <w:ind w:left="720" w:hanging="720"/>
        <w:rPr>
          <w:rFonts w:asciiTheme="majorHAnsi" w:hAnsiTheme="majorHAnsi" w:cstheme="majorHAnsi"/>
          <w:sz w:val="22"/>
          <w:szCs w:val="22"/>
          <w:lang w:val="en-GB"/>
        </w:rPr>
      </w:pPr>
      <w:r w:rsidRPr="004E147E">
        <w:rPr>
          <w:rFonts w:asciiTheme="majorHAnsi" w:hAnsiTheme="majorHAnsi" w:cstheme="majorHAnsi"/>
          <w:sz w:val="22"/>
          <w:szCs w:val="22"/>
          <w:lang w:val="en-US"/>
        </w:rPr>
        <w:t>Cardno Emerging Markets</w:t>
      </w:r>
      <w:r w:rsidRPr="004E147E">
        <w:rPr>
          <w:rFonts w:asciiTheme="majorHAnsi" w:hAnsiTheme="majorHAnsi" w:cstheme="majorHAnsi"/>
          <w:sz w:val="22"/>
          <w:szCs w:val="22"/>
          <w:lang w:val="en-GB"/>
        </w:rPr>
        <w:t xml:space="preserve">. (2017). </w:t>
      </w:r>
      <w:r w:rsidRPr="004E147E">
        <w:rPr>
          <w:rFonts w:asciiTheme="majorHAnsi" w:hAnsiTheme="majorHAnsi" w:cstheme="majorHAnsi"/>
          <w:i/>
          <w:sz w:val="22"/>
          <w:szCs w:val="22"/>
          <w:lang w:val="en-GB"/>
        </w:rPr>
        <w:t>Basic Education Sector Transformation (BEST) Program:</w:t>
      </w:r>
      <w:r w:rsidR="00D434EB">
        <w:rPr>
          <w:rFonts w:asciiTheme="majorHAnsi" w:hAnsiTheme="majorHAnsi" w:cstheme="majorHAnsi"/>
          <w:i/>
          <w:sz w:val="22"/>
          <w:szCs w:val="22"/>
          <w:lang w:val="en-GB"/>
        </w:rPr>
        <w:t xml:space="preserve"> </w:t>
      </w:r>
      <w:r w:rsidRPr="004E147E">
        <w:rPr>
          <w:rFonts w:asciiTheme="majorHAnsi" w:hAnsiTheme="majorHAnsi" w:cstheme="majorHAnsi"/>
          <w:i/>
          <w:sz w:val="22"/>
          <w:szCs w:val="22"/>
          <w:lang w:val="en-GB"/>
        </w:rPr>
        <w:t>Fourth Annual Plan</w:t>
      </w:r>
      <w:r w:rsidRPr="004E147E">
        <w:rPr>
          <w:rFonts w:asciiTheme="majorHAnsi" w:hAnsiTheme="majorHAnsi" w:cstheme="majorHAnsi"/>
          <w:sz w:val="22"/>
          <w:szCs w:val="22"/>
          <w:lang w:val="en-GB"/>
        </w:rPr>
        <w:t>. Pasig City: Cardno Emerging Markets</w:t>
      </w:r>
    </w:p>
    <w:p w14:paraId="5140F855" w14:textId="200131AF" w:rsidR="008D0CAD" w:rsidRPr="004E147E" w:rsidRDefault="008D0CAD" w:rsidP="00385784">
      <w:pPr>
        <w:spacing w:before="100" w:beforeAutospacing="1" w:after="100" w:afterAutospacing="1" w:line="360" w:lineRule="auto"/>
        <w:ind w:left="720" w:hanging="720"/>
        <w:rPr>
          <w:rFonts w:asciiTheme="majorHAnsi" w:hAnsiTheme="majorHAnsi" w:cstheme="majorHAnsi"/>
          <w:sz w:val="22"/>
          <w:szCs w:val="22"/>
          <w:lang w:val="en-GB"/>
        </w:rPr>
      </w:pPr>
      <w:r w:rsidRPr="004E147E">
        <w:rPr>
          <w:rFonts w:asciiTheme="majorHAnsi" w:hAnsiTheme="majorHAnsi" w:cstheme="majorHAnsi"/>
          <w:sz w:val="22"/>
          <w:szCs w:val="22"/>
          <w:lang w:val="en-US"/>
        </w:rPr>
        <w:t>Cardno Emerging Markets</w:t>
      </w:r>
      <w:r w:rsidRPr="004E147E">
        <w:rPr>
          <w:rFonts w:asciiTheme="majorHAnsi" w:hAnsiTheme="majorHAnsi" w:cstheme="majorHAnsi"/>
          <w:sz w:val="22"/>
          <w:szCs w:val="22"/>
          <w:lang w:val="en-GB"/>
        </w:rPr>
        <w:t xml:space="preserve">. (2018). </w:t>
      </w:r>
      <w:r w:rsidRPr="004E147E">
        <w:rPr>
          <w:rFonts w:asciiTheme="majorHAnsi" w:hAnsiTheme="majorHAnsi" w:cstheme="majorHAnsi"/>
          <w:i/>
          <w:sz w:val="22"/>
          <w:szCs w:val="22"/>
          <w:lang w:val="en-GB"/>
        </w:rPr>
        <w:t>Basic Education Sector Transformation (BEST) Program:</w:t>
      </w:r>
      <w:r w:rsidR="00D434EB">
        <w:rPr>
          <w:rFonts w:asciiTheme="majorHAnsi" w:hAnsiTheme="majorHAnsi" w:cstheme="majorHAnsi"/>
          <w:i/>
          <w:sz w:val="22"/>
          <w:szCs w:val="22"/>
          <w:lang w:val="en-GB"/>
        </w:rPr>
        <w:t xml:space="preserve"> </w:t>
      </w:r>
      <w:r w:rsidRPr="004E147E">
        <w:rPr>
          <w:rFonts w:asciiTheme="majorHAnsi" w:hAnsiTheme="majorHAnsi" w:cstheme="majorHAnsi"/>
          <w:i/>
          <w:sz w:val="22"/>
          <w:szCs w:val="22"/>
          <w:lang w:val="en-GB"/>
        </w:rPr>
        <w:t>Fifth Annual Plan</w:t>
      </w:r>
      <w:r w:rsidRPr="004E147E">
        <w:rPr>
          <w:rFonts w:asciiTheme="majorHAnsi" w:hAnsiTheme="majorHAnsi" w:cstheme="majorHAnsi"/>
          <w:sz w:val="22"/>
          <w:szCs w:val="22"/>
          <w:lang w:val="en-GB"/>
        </w:rPr>
        <w:t>. Pasig City: Cardno Emerging Markets</w:t>
      </w:r>
    </w:p>
    <w:p w14:paraId="09A7A7F8" w14:textId="42FB182C" w:rsidR="008D0CAD" w:rsidRPr="004E147E" w:rsidRDefault="008D0CAD" w:rsidP="00385784">
      <w:pPr>
        <w:spacing w:before="100" w:beforeAutospacing="1" w:after="100" w:afterAutospacing="1" w:line="360" w:lineRule="auto"/>
        <w:rPr>
          <w:rFonts w:asciiTheme="majorHAnsi" w:hAnsiTheme="majorHAnsi" w:cstheme="majorHAnsi"/>
          <w:b/>
          <w:sz w:val="22"/>
          <w:szCs w:val="22"/>
          <w:lang w:val="en-GB"/>
        </w:rPr>
      </w:pPr>
      <w:r w:rsidRPr="004E147E">
        <w:rPr>
          <w:rFonts w:asciiTheme="majorHAnsi" w:hAnsiTheme="majorHAnsi" w:cstheme="majorHAnsi"/>
          <w:sz w:val="22"/>
          <w:szCs w:val="22"/>
          <w:lang w:val="en-GB"/>
        </w:rPr>
        <w:t xml:space="preserve"> </w:t>
      </w:r>
      <w:r w:rsidRPr="004E147E">
        <w:rPr>
          <w:rFonts w:asciiTheme="majorHAnsi" w:hAnsiTheme="majorHAnsi" w:cstheme="majorHAnsi"/>
          <w:b/>
          <w:sz w:val="22"/>
          <w:szCs w:val="22"/>
          <w:lang w:val="en-GB"/>
        </w:rPr>
        <w:t>Six Monthly Progress Reports (SMPRs)</w:t>
      </w:r>
    </w:p>
    <w:p w14:paraId="7FE38EB6" w14:textId="5BDADAAC" w:rsidR="008D0CAD" w:rsidRPr="004E147E" w:rsidRDefault="008D0CAD" w:rsidP="00385784">
      <w:pPr>
        <w:spacing w:before="100" w:beforeAutospacing="1" w:after="100" w:afterAutospacing="1" w:line="360" w:lineRule="auto"/>
        <w:ind w:left="720" w:hanging="720"/>
        <w:rPr>
          <w:rFonts w:asciiTheme="majorHAnsi" w:hAnsiTheme="majorHAnsi" w:cstheme="majorHAnsi"/>
          <w:sz w:val="22"/>
          <w:szCs w:val="22"/>
          <w:lang w:val="en-GB"/>
        </w:rPr>
      </w:pPr>
      <w:r w:rsidRPr="004E147E">
        <w:rPr>
          <w:rFonts w:asciiTheme="majorHAnsi" w:hAnsiTheme="majorHAnsi" w:cstheme="majorHAnsi"/>
          <w:sz w:val="22"/>
          <w:szCs w:val="22"/>
          <w:lang w:val="en-US"/>
        </w:rPr>
        <w:t>Cardno Emerging Markets</w:t>
      </w:r>
      <w:r w:rsidRPr="004E147E">
        <w:rPr>
          <w:rFonts w:asciiTheme="majorHAnsi" w:hAnsiTheme="majorHAnsi" w:cstheme="majorHAnsi"/>
          <w:sz w:val="22"/>
          <w:szCs w:val="22"/>
          <w:lang w:val="en-GB"/>
        </w:rPr>
        <w:t>. (2015a).</w:t>
      </w:r>
      <w:r w:rsidR="00D434EB">
        <w:rPr>
          <w:rFonts w:asciiTheme="majorHAnsi" w:hAnsiTheme="majorHAnsi" w:cstheme="majorHAnsi"/>
          <w:sz w:val="22"/>
          <w:szCs w:val="22"/>
          <w:lang w:val="en-GB"/>
        </w:rPr>
        <w:t xml:space="preserve"> </w:t>
      </w:r>
      <w:r w:rsidRPr="004E147E">
        <w:rPr>
          <w:rFonts w:asciiTheme="majorHAnsi" w:hAnsiTheme="majorHAnsi" w:cstheme="majorHAnsi"/>
          <w:i/>
          <w:sz w:val="22"/>
          <w:szCs w:val="22"/>
          <w:lang w:val="en-GB"/>
        </w:rPr>
        <w:t>Basic Education Sector Transformation (BEST) Program:</w:t>
      </w:r>
      <w:r w:rsidR="00D434EB">
        <w:rPr>
          <w:rFonts w:asciiTheme="majorHAnsi" w:hAnsiTheme="majorHAnsi" w:cstheme="majorHAnsi"/>
          <w:i/>
          <w:sz w:val="22"/>
          <w:szCs w:val="22"/>
          <w:lang w:val="en-GB"/>
        </w:rPr>
        <w:t xml:space="preserve"> </w:t>
      </w:r>
      <w:r w:rsidRPr="004E147E">
        <w:rPr>
          <w:rFonts w:asciiTheme="majorHAnsi" w:hAnsiTheme="majorHAnsi" w:cstheme="majorHAnsi"/>
          <w:i/>
          <w:sz w:val="22"/>
          <w:szCs w:val="22"/>
          <w:lang w:val="en-GB"/>
        </w:rPr>
        <w:t>Six Monthly Progress Report 1</w:t>
      </w:r>
      <w:r w:rsidRPr="004E147E">
        <w:rPr>
          <w:rFonts w:asciiTheme="majorHAnsi" w:hAnsiTheme="majorHAnsi" w:cstheme="majorHAnsi"/>
          <w:sz w:val="22"/>
          <w:szCs w:val="22"/>
          <w:lang w:val="en-GB"/>
        </w:rPr>
        <w:t>.</w:t>
      </w:r>
      <w:r w:rsidR="00D434EB">
        <w:rPr>
          <w:rFonts w:asciiTheme="majorHAnsi" w:hAnsiTheme="majorHAnsi" w:cstheme="majorHAnsi"/>
          <w:sz w:val="22"/>
          <w:szCs w:val="22"/>
          <w:lang w:val="en-GB"/>
        </w:rPr>
        <w:t xml:space="preserve"> </w:t>
      </w:r>
      <w:r w:rsidRPr="004E147E">
        <w:rPr>
          <w:rFonts w:asciiTheme="majorHAnsi" w:hAnsiTheme="majorHAnsi" w:cstheme="majorHAnsi"/>
          <w:sz w:val="22"/>
          <w:szCs w:val="22"/>
          <w:lang w:val="en-GB"/>
        </w:rPr>
        <w:t>Pasig City: Cardno Emerging Markets.</w:t>
      </w:r>
    </w:p>
    <w:p w14:paraId="57E6D01B" w14:textId="2E77C50C" w:rsidR="008D0CAD" w:rsidRPr="004E147E" w:rsidRDefault="008D0CAD" w:rsidP="00385784">
      <w:pPr>
        <w:spacing w:before="100" w:beforeAutospacing="1" w:after="100" w:afterAutospacing="1" w:line="360" w:lineRule="auto"/>
        <w:ind w:left="720" w:hanging="720"/>
        <w:rPr>
          <w:rFonts w:asciiTheme="majorHAnsi" w:hAnsiTheme="majorHAnsi" w:cstheme="majorHAnsi"/>
          <w:sz w:val="22"/>
          <w:szCs w:val="22"/>
          <w:lang w:val="en-GB"/>
        </w:rPr>
      </w:pPr>
      <w:r w:rsidRPr="004E147E">
        <w:rPr>
          <w:rFonts w:asciiTheme="majorHAnsi" w:hAnsiTheme="majorHAnsi" w:cstheme="majorHAnsi"/>
          <w:sz w:val="22"/>
          <w:szCs w:val="22"/>
          <w:lang w:val="en-US"/>
        </w:rPr>
        <w:t>Cardno Emerging Markets</w:t>
      </w:r>
      <w:r w:rsidRPr="004E147E">
        <w:rPr>
          <w:rFonts w:asciiTheme="majorHAnsi" w:hAnsiTheme="majorHAnsi" w:cstheme="majorHAnsi"/>
          <w:sz w:val="22"/>
          <w:szCs w:val="22"/>
          <w:lang w:val="en-GB"/>
        </w:rPr>
        <w:t>. (2015b).</w:t>
      </w:r>
      <w:r w:rsidR="00D434EB">
        <w:rPr>
          <w:rFonts w:asciiTheme="majorHAnsi" w:hAnsiTheme="majorHAnsi" w:cstheme="majorHAnsi"/>
          <w:sz w:val="22"/>
          <w:szCs w:val="22"/>
          <w:lang w:val="en-GB"/>
        </w:rPr>
        <w:t xml:space="preserve"> </w:t>
      </w:r>
      <w:r w:rsidRPr="004E147E">
        <w:rPr>
          <w:rFonts w:asciiTheme="majorHAnsi" w:hAnsiTheme="majorHAnsi" w:cstheme="majorHAnsi"/>
          <w:i/>
          <w:sz w:val="22"/>
          <w:szCs w:val="22"/>
          <w:lang w:val="en-GB"/>
        </w:rPr>
        <w:t>Basic Education Sector Transformation (BEST) Program:</w:t>
      </w:r>
      <w:r w:rsidR="00D434EB">
        <w:rPr>
          <w:rFonts w:asciiTheme="majorHAnsi" w:hAnsiTheme="majorHAnsi" w:cstheme="majorHAnsi"/>
          <w:i/>
          <w:sz w:val="22"/>
          <w:szCs w:val="22"/>
          <w:lang w:val="en-GB"/>
        </w:rPr>
        <w:t xml:space="preserve"> </w:t>
      </w:r>
      <w:r w:rsidRPr="004E147E">
        <w:rPr>
          <w:rFonts w:asciiTheme="majorHAnsi" w:hAnsiTheme="majorHAnsi" w:cstheme="majorHAnsi"/>
          <w:i/>
          <w:sz w:val="22"/>
          <w:szCs w:val="22"/>
          <w:lang w:val="en-GB"/>
        </w:rPr>
        <w:t>Six Monthly Progress Report 2</w:t>
      </w:r>
      <w:r w:rsidRPr="004E147E">
        <w:rPr>
          <w:rFonts w:asciiTheme="majorHAnsi" w:hAnsiTheme="majorHAnsi" w:cstheme="majorHAnsi"/>
          <w:sz w:val="22"/>
          <w:szCs w:val="22"/>
          <w:lang w:val="en-GB"/>
        </w:rPr>
        <w:t>.</w:t>
      </w:r>
      <w:r w:rsidR="00D434EB">
        <w:rPr>
          <w:rFonts w:asciiTheme="majorHAnsi" w:hAnsiTheme="majorHAnsi" w:cstheme="majorHAnsi"/>
          <w:sz w:val="22"/>
          <w:szCs w:val="22"/>
          <w:lang w:val="en-GB"/>
        </w:rPr>
        <w:t xml:space="preserve"> </w:t>
      </w:r>
      <w:r w:rsidRPr="004E147E">
        <w:rPr>
          <w:rFonts w:asciiTheme="majorHAnsi" w:hAnsiTheme="majorHAnsi" w:cstheme="majorHAnsi"/>
          <w:sz w:val="22"/>
          <w:szCs w:val="22"/>
          <w:lang w:val="en-GB"/>
        </w:rPr>
        <w:t>Pasig City: Cardno Emerging Markets.</w:t>
      </w:r>
    </w:p>
    <w:p w14:paraId="4CCA7C8A" w14:textId="0AC95B4C" w:rsidR="008D0CAD" w:rsidRPr="004E147E" w:rsidRDefault="008D0CAD" w:rsidP="00385784">
      <w:pPr>
        <w:spacing w:before="100" w:beforeAutospacing="1" w:after="100" w:afterAutospacing="1" w:line="360" w:lineRule="auto"/>
        <w:ind w:left="720" w:hanging="720"/>
        <w:rPr>
          <w:rFonts w:asciiTheme="majorHAnsi" w:hAnsiTheme="majorHAnsi" w:cstheme="majorHAnsi"/>
          <w:sz w:val="22"/>
          <w:szCs w:val="22"/>
          <w:lang w:val="en-GB"/>
        </w:rPr>
      </w:pPr>
      <w:r w:rsidRPr="004E147E">
        <w:rPr>
          <w:rFonts w:asciiTheme="majorHAnsi" w:hAnsiTheme="majorHAnsi" w:cstheme="majorHAnsi"/>
          <w:sz w:val="22"/>
          <w:szCs w:val="22"/>
          <w:lang w:val="en-US"/>
        </w:rPr>
        <w:t>Cardno Emerging Markets</w:t>
      </w:r>
      <w:r w:rsidRPr="004E147E">
        <w:rPr>
          <w:rFonts w:asciiTheme="majorHAnsi" w:hAnsiTheme="majorHAnsi" w:cstheme="majorHAnsi"/>
          <w:sz w:val="22"/>
          <w:szCs w:val="22"/>
          <w:lang w:val="en-GB"/>
        </w:rPr>
        <w:t>. (2016a).</w:t>
      </w:r>
      <w:r w:rsidR="00D434EB">
        <w:rPr>
          <w:rFonts w:asciiTheme="majorHAnsi" w:hAnsiTheme="majorHAnsi" w:cstheme="majorHAnsi"/>
          <w:sz w:val="22"/>
          <w:szCs w:val="22"/>
          <w:lang w:val="en-GB"/>
        </w:rPr>
        <w:t xml:space="preserve"> </w:t>
      </w:r>
      <w:r w:rsidRPr="004E147E">
        <w:rPr>
          <w:rFonts w:asciiTheme="majorHAnsi" w:hAnsiTheme="majorHAnsi" w:cstheme="majorHAnsi"/>
          <w:i/>
          <w:sz w:val="22"/>
          <w:szCs w:val="22"/>
          <w:lang w:val="en-GB"/>
        </w:rPr>
        <w:t>Basic Education Sector Transformation (BEST) Program:</w:t>
      </w:r>
      <w:r w:rsidR="00D434EB">
        <w:rPr>
          <w:rFonts w:asciiTheme="majorHAnsi" w:hAnsiTheme="majorHAnsi" w:cstheme="majorHAnsi"/>
          <w:i/>
          <w:sz w:val="22"/>
          <w:szCs w:val="22"/>
          <w:lang w:val="en-GB"/>
        </w:rPr>
        <w:t xml:space="preserve"> </w:t>
      </w:r>
      <w:r w:rsidRPr="004E147E">
        <w:rPr>
          <w:rFonts w:asciiTheme="majorHAnsi" w:hAnsiTheme="majorHAnsi" w:cstheme="majorHAnsi"/>
          <w:i/>
          <w:sz w:val="22"/>
          <w:szCs w:val="22"/>
          <w:lang w:val="en-GB"/>
        </w:rPr>
        <w:t>Six Monthly Progress Report 3</w:t>
      </w:r>
      <w:r w:rsidRPr="004E147E">
        <w:rPr>
          <w:rFonts w:asciiTheme="majorHAnsi" w:hAnsiTheme="majorHAnsi" w:cstheme="majorHAnsi"/>
          <w:sz w:val="22"/>
          <w:szCs w:val="22"/>
          <w:lang w:val="en-GB"/>
        </w:rPr>
        <w:t>.</w:t>
      </w:r>
      <w:r w:rsidR="00D434EB">
        <w:rPr>
          <w:rFonts w:asciiTheme="majorHAnsi" w:hAnsiTheme="majorHAnsi" w:cstheme="majorHAnsi"/>
          <w:sz w:val="22"/>
          <w:szCs w:val="22"/>
          <w:lang w:val="en-GB"/>
        </w:rPr>
        <w:t xml:space="preserve"> </w:t>
      </w:r>
      <w:r w:rsidRPr="004E147E">
        <w:rPr>
          <w:rFonts w:asciiTheme="majorHAnsi" w:hAnsiTheme="majorHAnsi" w:cstheme="majorHAnsi"/>
          <w:sz w:val="22"/>
          <w:szCs w:val="22"/>
          <w:lang w:val="en-GB"/>
        </w:rPr>
        <w:t>Pasig City: Cardno Emerging Markets.</w:t>
      </w:r>
    </w:p>
    <w:p w14:paraId="0F18A715" w14:textId="60BC9AD7" w:rsidR="008D0CAD" w:rsidRPr="004E147E" w:rsidRDefault="008D0CAD" w:rsidP="00385784">
      <w:pPr>
        <w:spacing w:before="100" w:beforeAutospacing="1" w:after="100" w:afterAutospacing="1" w:line="360" w:lineRule="auto"/>
        <w:ind w:left="720" w:hanging="720"/>
        <w:rPr>
          <w:rFonts w:asciiTheme="majorHAnsi" w:hAnsiTheme="majorHAnsi" w:cstheme="majorHAnsi"/>
          <w:sz w:val="22"/>
          <w:szCs w:val="22"/>
          <w:lang w:val="en-GB"/>
        </w:rPr>
      </w:pPr>
      <w:r w:rsidRPr="004E147E">
        <w:rPr>
          <w:rFonts w:asciiTheme="majorHAnsi" w:hAnsiTheme="majorHAnsi" w:cstheme="majorHAnsi"/>
          <w:sz w:val="22"/>
          <w:szCs w:val="22"/>
          <w:lang w:val="en-US"/>
        </w:rPr>
        <w:t>Cardno Emerging Markets</w:t>
      </w:r>
      <w:r w:rsidRPr="004E147E">
        <w:rPr>
          <w:rFonts w:asciiTheme="majorHAnsi" w:hAnsiTheme="majorHAnsi" w:cstheme="majorHAnsi"/>
          <w:sz w:val="22"/>
          <w:szCs w:val="22"/>
          <w:lang w:val="en-GB"/>
        </w:rPr>
        <w:t>. (2016b).</w:t>
      </w:r>
      <w:r w:rsidR="00D434EB">
        <w:rPr>
          <w:rFonts w:asciiTheme="majorHAnsi" w:hAnsiTheme="majorHAnsi" w:cstheme="majorHAnsi"/>
          <w:sz w:val="22"/>
          <w:szCs w:val="22"/>
          <w:lang w:val="en-GB"/>
        </w:rPr>
        <w:t xml:space="preserve"> </w:t>
      </w:r>
      <w:r w:rsidRPr="004E147E">
        <w:rPr>
          <w:rFonts w:asciiTheme="majorHAnsi" w:hAnsiTheme="majorHAnsi" w:cstheme="majorHAnsi"/>
          <w:i/>
          <w:sz w:val="22"/>
          <w:szCs w:val="22"/>
          <w:lang w:val="en-GB"/>
        </w:rPr>
        <w:t>Basic Education Sector Transformation (BEST) Program:</w:t>
      </w:r>
      <w:r w:rsidR="00D434EB">
        <w:rPr>
          <w:rFonts w:asciiTheme="majorHAnsi" w:hAnsiTheme="majorHAnsi" w:cstheme="majorHAnsi"/>
          <w:i/>
          <w:sz w:val="22"/>
          <w:szCs w:val="22"/>
          <w:lang w:val="en-GB"/>
        </w:rPr>
        <w:t xml:space="preserve"> </w:t>
      </w:r>
      <w:r w:rsidRPr="004E147E">
        <w:rPr>
          <w:rFonts w:asciiTheme="majorHAnsi" w:hAnsiTheme="majorHAnsi" w:cstheme="majorHAnsi"/>
          <w:i/>
          <w:sz w:val="22"/>
          <w:szCs w:val="22"/>
          <w:lang w:val="en-GB"/>
        </w:rPr>
        <w:t>Six Monthly Progress Report 4</w:t>
      </w:r>
      <w:r w:rsidRPr="004E147E">
        <w:rPr>
          <w:rFonts w:asciiTheme="majorHAnsi" w:hAnsiTheme="majorHAnsi" w:cstheme="majorHAnsi"/>
          <w:sz w:val="22"/>
          <w:szCs w:val="22"/>
          <w:lang w:val="en-GB"/>
        </w:rPr>
        <w:t>.</w:t>
      </w:r>
      <w:r w:rsidR="00D434EB">
        <w:rPr>
          <w:rFonts w:asciiTheme="majorHAnsi" w:hAnsiTheme="majorHAnsi" w:cstheme="majorHAnsi"/>
          <w:sz w:val="22"/>
          <w:szCs w:val="22"/>
          <w:lang w:val="en-GB"/>
        </w:rPr>
        <w:t xml:space="preserve"> </w:t>
      </w:r>
      <w:r w:rsidRPr="004E147E">
        <w:rPr>
          <w:rFonts w:asciiTheme="majorHAnsi" w:hAnsiTheme="majorHAnsi" w:cstheme="majorHAnsi"/>
          <w:sz w:val="22"/>
          <w:szCs w:val="22"/>
          <w:lang w:val="en-GB"/>
        </w:rPr>
        <w:t>Pasig City: Cardno Emerging Markets.</w:t>
      </w:r>
    </w:p>
    <w:p w14:paraId="3FCE8827" w14:textId="7117F645" w:rsidR="008D0CAD" w:rsidRPr="004E147E" w:rsidRDefault="008D0CAD" w:rsidP="00385784">
      <w:pPr>
        <w:spacing w:before="100" w:beforeAutospacing="1" w:after="100" w:afterAutospacing="1" w:line="360" w:lineRule="auto"/>
        <w:ind w:left="720" w:hanging="720"/>
        <w:rPr>
          <w:rFonts w:asciiTheme="majorHAnsi" w:hAnsiTheme="majorHAnsi" w:cstheme="majorHAnsi"/>
          <w:sz w:val="22"/>
          <w:szCs w:val="22"/>
          <w:lang w:val="en-GB"/>
        </w:rPr>
      </w:pPr>
      <w:r w:rsidRPr="004E147E">
        <w:rPr>
          <w:rFonts w:asciiTheme="majorHAnsi" w:hAnsiTheme="majorHAnsi" w:cstheme="majorHAnsi"/>
          <w:sz w:val="22"/>
          <w:szCs w:val="22"/>
          <w:lang w:val="en-US"/>
        </w:rPr>
        <w:t>Cardno Emerging Markets</w:t>
      </w:r>
      <w:r w:rsidRPr="004E147E">
        <w:rPr>
          <w:rFonts w:asciiTheme="majorHAnsi" w:hAnsiTheme="majorHAnsi" w:cstheme="majorHAnsi"/>
          <w:sz w:val="22"/>
          <w:szCs w:val="22"/>
          <w:lang w:val="en-GB"/>
        </w:rPr>
        <w:t>. (2017a).</w:t>
      </w:r>
      <w:r w:rsidR="00D434EB">
        <w:rPr>
          <w:rFonts w:asciiTheme="majorHAnsi" w:hAnsiTheme="majorHAnsi" w:cstheme="majorHAnsi"/>
          <w:sz w:val="22"/>
          <w:szCs w:val="22"/>
          <w:lang w:val="en-GB"/>
        </w:rPr>
        <w:t xml:space="preserve"> </w:t>
      </w:r>
      <w:r w:rsidRPr="004E147E">
        <w:rPr>
          <w:rFonts w:asciiTheme="majorHAnsi" w:hAnsiTheme="majorHAnsi" w:cstheme="majorHAnsi"/>
          <w:i/>
          <w:sz w:val="22"/>
          <w:szCs w:val="22"/>
          <w:lang w:val="en-GB"/>
        </w:rPr>
        <w:t>Basic Education Sector Transformation (BEST) Program:</w:t>
      </w:r>
      <w:r w:rsidR="00D434EB">
        <w:rPr>
          <w:rFonts w:asciiTheme="majorHAnsi" w:hAnsiTheme="majorHAnsi" w:cstheme="majorHAnsi"/>
          <w:i/>
          <w:sz w:val="22"/>
          <w:szCs w:val="22"/>
          <w:lang w:val="en-GB"/>
        </w:rPr>
        <w:t xml:space="preserve"> </w:t>
      </w:r>
      <w:r w:rsidRPr="004E147E">
        <w:rPr>
          <w:rFonts w:asciiTheme="majorHAnsi" w:hAnsiTheme="majorHAnsi" w:cstheme="majorHAnsi"/>
          <w:i/>
          <w:sz w:val="22"/>
          <w:szCs w:val="22"/>
          <w:lang w:val="en-GB"/>
        </w:rPr>
        <w:t>Six Monthly Progress Report 5</w:t>
      </w:r>
      <w:r w:rsidRPr="004E147E">
        <w:rPr>
          <w:rFonts w:asciiTheme="majorHAnsi" w:hAnsiTheme="majorHAnsi" w:cstheme="majorHAnsi"/>
          <w:sz w:val="22"/>
          <w:szCs w:val="22"/>
          <w:lang w:val="en-GB"/>
        </w:rPr>
        <w:t>.</w:t>
      </w:r>
      <w:r w:rsidR="00D434EB">
        <w:rPr>
          <w:rFonts w:asciiTheme="majorHAnsi" w:hAnsiTheme="majorHAnsi" w:cstheme="majorHAnsi"/>
          <w:sz w:val="22"/>
          <w:szCs w:val="22"/>
          <w:lang w:val="en-GB"/>
        </w:rPr>
        <w:t xml:space="preserve"> </w:t>
      </w:r>
      <w:r w:rsidRPr="004E147E">
        <w:rPr>
          <w:rFonts w:asciiTheme="majorHAnsi" w:hAnsiTheme="majorHAnsi" w:cstheme="majorHAnsi"/>
          <w:sz w:val="22"/>
          <w:szCs w:val="22"/>
          <w:lang w:val="en-GB"/>
        </w:rPr>
        <w:t>Pasig City: Cardno Emerging Markets.</w:t>
      </w:r>
    </w:p>
    <w:p w14:paraId="714A0A7F" w14:textId="4A7BD3D4" w:rsidR="008D0CAD" w:rsidRPr="004E147E" w:rsidRDefault="008D0CAD" w:rsidP="00385784">
      <w:pPr>
        <w:spacing w:before="100" w:beforeAutospacing="1" w:after="100" w:afterAutospacing="1" w:line="360" w:lineRule="auto"/>
        <w:ind w:left="720" w:hanging="720"/>
        <w:rPr>
          <w:rFonts w:asciiTheme="majorHAnsi" w:hAnsiTheme="majorHAnsi" w:cstheme="majorHAnsi"/>
          <w:sz w:val="22"/>
          <w:szCs w:val="22"/>
          <w:lang w:val="en-GB"/>
        </w:rPr>
      </w:pPr>
      <w:r w:rsidRPr="004E147E">
        <w:rPr>
          <w:rFonts w:asciiTheme="majorHAnsi" w:hAnsiTheme="majorHAnsi" w:cstheme="majorHAnsi"/>
          <w:sz w:val="22"/>
          <w:szCs w:val="22"/>
          <w:lang w:val="en-US"/>
        </w:rPr>
        <w:t>Cardno Emerging Markets</w:t>
      </w:r>
      <w:r w:rsidRPr="004E147E">
        <w:rPr>
          <w:rFonts w:asciiTheme="majorHAnsi" w:hAnsiTheme="majorHAnsi" w:cstheme="majorHAnsi"/>
          <w:sz w:val="22"/>
          <w:szCs w:val="22"/>
          <w:lang w:val="en-GB"/>
        </w:rPr>
        <w:t>. (2017b).</w:t>
      </w:r>
      <w:r w:rsidR="00D434EB">
        <w:rPr>
          <w:rFonts w:asciiTheme="majorHAnsi" w:hAnsiTheme="majorHAnsi" w:cstheme="majorHAnsi"/>
          <w:sz w:val="22"/>
          <w:szCs w:val="22"/>
          <w:lang w:val="en-GB"/>
        </w:rPr>
        <w:t xml:space="preserve"> </w:t>
      </w:r>
      <w:r w:rsidRPr="004E147E">
        <w:rPr>
          <w:rFonts w:asciiTheme="majorHAnsi" w:hAnsiTheme="majorHAnsi" w:cstheme="majorHAnsi"/>
          <w:i/>
          <w:sz w:val="22"/>
          <w:szCs w:val="22"/>
          <w:lang w:val="en-GB"/>
        </w:rPr>
        <w:t>Basic Education Sector Transformation (BEST) Program:</w:t>
      </w:r>
      <w:r w:rsidR="00D434EB">
        <w:rPr>
          <w:rFonts w:asciiTheme="majorHAnsi" w:hAnsiTheme="majorHAnsi" w:cstheme="majorHAnsi"/>
          <w:i/>
          <w:sz w:val="22"/>
          <w:szCs w:val="22"/>
          <w:lang w:val="en-GB"/>
        </w:rPr>
        <w:t xml:space="preserve"> </w:t>
      </w:r>
      <w:r w:rsidRPr="004E147E">
        <w:rPr>
          <w:rFonts w:asciiTheme="majorHAnsi" w:hAnsiTheme="majorHAnsi" w:cstheme="majorHAnsi"/>
          <w:i/>
          <w:sz w:val="22"/>
          <w:szCs w:val="22"/>
          <w:lang w:val="en-GB"/>
        </w:rPr>
        <w:t>Six Monthly Progress Report 6</w:t>
      </w:r>
      <w:r w:rsidRPr="004E147E">
        <w:rPr>
          <w:rFonts w:asciiTheme="majorHAnsi" w:hAnsiTheme="majorHAnsi" w:cstheme="majorHAnsi"/>
          <w:sz w:val="22"/>
          <w:szCs w:val="22"/>
          <w:lang w:val="en-GB"/>
        </w:rPr>
        <w:t>.</w:t>
      </w:r>
      <w:r w:rsidR="00D434EB">
        <w:rPr>
          <w:rFonts w:asciiTheme="majorHAnsi" w:hAnsiTheme="majorHAnsi" w:cstheme="majorHAnsi"/>
          <w:sz w:val="22"/>
          <w:szCs w:val="22"/>
          <w:lang w:val="en-GB"/>
        </w:rPr>
        <w:t xml:space="preserve"> </w:t>
      </w:r>
      <w:r w:rsidRPr="004E147E">
        <w:rPr>
          <w:rFonts w:asciiTheme="majorHAnsi" w:hAnsiTheme="majorHAnsi" w:cstheme="majorHAnsi"/>
          <w:sz w:val="22"/>
          <w:szCs w:val="22"/>
          <w:lang w:val="en-GB"/>
        </w:rPr>
        <w:t>Pasig City: Cardno Emerging Markets.</w:t>
      </w:r>
    </w:p>
    <w:p w14:paraId="40818B2B" w14:textId="17CAE652" w:rsidR="008D0CAD" w:rsidRPr="004E147E" w:rsidRDefault="008D0CAD" w:rsidP="00385784">
      <w:pPr>
        <w:spacing w:before="100" w:beforeAutospacing="1" w:after="100" w:afterAutospacing="1" w:line="360" w:lineRule="auto"/>
        <w:ind w:left="720" w:hanging="720"/>
        <w:rPr>
          <w:rFonts w:asciiTheme="majorHAnsi" w:hAnsiTheme="majorHAnsi" w:cstheme="majorHAnsi"/>
          <w:sz w:val="22"/>
          <w:szCs w:val="22"/>
          <w:lang w:val="en-GB"/>
        </w:rPr>
      </w:pPr>
      <w:r w:rsidRPr="004E147E">
        <w:rPr>
          <w:rFonts w:asciiTheme="majorHAnsi" w:hAnsiTheme="majorHAnsi" w:cstheme="majorHAnsi"/>
          <w:sz w:val="22"/>
          <w:szCs w:val="22"/>
          <w:lang w:val="en-US"/>
        </w:rPr>
        <w:t>Cardno Emerging Markets</w:t>
      </w:r>
      <w:r w:rsidRPr="004E147E">
        <w:rPr>
          <w:rFonts w:asciiTheme="majorHAnsi" w:hAnsiTheme="majorHAnsi" w:cstheme="majorHAnsi"/>
          <w:sz w:val="22"/>
          <w:szCs w:val="22"/>
          <w:lang w:val="en-GB"/>
        </w:rPr>
        <w:t>. (2018a).</w:t>
      </w:r>
      <w:r w:rsidR="00D434EB">
        <w:rPr>
          <w:rFonts w:asciiTheme="majorHAnsi" w:hAnsiTheme="majorHAnsi" w:cstheme="majorHAnsi"/>
          <w:sz w:val="22"/>
          <w:szCs w:val="22"/>
          <w:lang w:val="en-GB"/>
        </w:rPr>
        <w:t xml:space="preserve"> </w:t>
      </w:r>
      <w:r w:rsidRPr="004E147E">
        <w:rPr>
          <w:rFonts w:asciiTheme="majorHAnsi" w:hAnsiTheme="majorHAnsi" w:cstheme="majorHAnsi"/>
          <w:i/>
          <w:sz w:val="22"/>
          <w:szCs w:val="22"/>
          <w:lang w:val="en-GB"/>
        </w:rPr>
        <w:t>Basic Education Sector Transformation (BEST) Program:</w:t>
      </w:r>
      <w:r w:rsidR="00D434EB">
        <w:rPr>
          <w:rFonts w:asciiTheme="majorHAnsi" w:hAnsiTheme="majorHAnsi" w:cstheme="majorHAnsi"/>
          <w:i/>
          <w:sz w:val="22"/>
          <w:szCs w:val="22"/>
          <w:lang w:val="en-GB"/>
        </w:rPr>
        <w:t xml:space="preserve"> </w:t>
      </w:r>
      <w:r w:rsidRPr="004E147E">
        <w:rPr>
          <w:rFonts w:asciiTheme="majorHAnsi" w:hAnsiTheme="majorHAnsi" w:cstheme="majorHAnsi"/>
          <w:i/>
          <w:sz w:val="22"/>
          <w:szCs w:val="22"/>
          <w:lang w:val="en-GB"/>
        </w:rPr>
        <w:t>Six Monthly Progress Report 7</w:t>
      </w:r>
      <w:r w:rsidRPr="004E147E">
        <w:rPr>
          <w:rFonts w:asciiTheme="majorHAnsi" w:hAnsiTheme="majorHAnsi" w:cstheme="majorHAnsi"/>
          <w:sz w:val="22"/>
          <w:szCs w:val="22"/>
          <w:lang w:val="en-GB"/>
        </w:rPr>
        <w:t>.</w:t>
      </w:r>
      <w:r w:rsidR="00D434EB">
        <w:rPr>
          <w:rFonts w:asciiTheme="majorHAnsi" w:hAnsiTheme="majorHAnsi" w:cstheme="majorHAnsi"/>
          <w:sz w:val="22"/>
          <w:szCs w:val="22"/>
          <w:lang w:val="en-GB"/>
        </w:rPr>
        <w:t xml:space="preserve"> </w:t>
      </w:r>
      <w:r w:rsidRPr="004E147E">
        <w:rPr>
          <w:rFonts w:asciiTheme="majorHAnsi" w:hAnsiTheme="majorHAnsi" w:cstheme="majorHAnsi"/>
          <w:sz w:val="22"/>
          <w:szCs w:val="22"/>
          <w:lang w:val="en-GB"/>
        </w:rPr>
        <w:t>Pasig City: Cardno Emerging Markets.</w:t>
      </w:r>
    </w:p>
    <w:p w14:paraId="44C4D327" w14:textId="0D120D9D" w:rsidR="008D0CAD" w:rsidRPr="004E147E" w:rsidRDefault="008D0CAD" w:rsidP="00385784">
      <w:pPr>
        <w:spacing w:before="100" w:beforeAutospacing="1" w:after="100" w:afterAutospacing="1" w:line="360" w:lineRule="auto"/>
        <w:ind w:left="720" w:hanging="720"/>
        <w:rPr>
          <w:rFonts w:asciiTheme="majorHAnsi" w:hAnsiTheme="majorHAnsi" w:cstheme="majorHAnsi"/>
          <w:sz w:val="22"/>
          <w:szCs w:val="22"/>
          <w:lang w:val="en-GB"/>
        </w:rPr>
      </w:pPr>
      <w:r w:rsidRPr="004E147E">
        <w:rPr>
          <w:rFonts w:asciiTheme="majorHAnsi" w:hAnsiTheme="majorHAnsi" w:cstheme="majorHAnsi"/>
          <w:sz w:val="22"/>
          <w:szCs w:val="22"/>
          <w:lang w:val="en-US"/>
        </w:rPr>
        <w:t>Cardno Emerging Markets</w:t>
      </w:r>
      <w:r w:rsidRPr="004E147E">
        <w:rPr>
          <w:rFonts w:asciiTheme="majorHAnsi" w:hAnsiTheme="majorHAnsi" w:cstheme="majorHAnsi"/>
          <w:sz w:val="22"/>
          <w:szCs w:val="22"/>
          <w:lang w:val="en-GB"/>
        </w:rPr>
        <w:t>. (2018b).</w:t>
      </w:r>
      <w:r w:rsidR="00D434EB">
        <w:rPr>
          <w:rFonts w:asciiTheme="majorHAnsi" w:hAnsiTheme="majorHAnsi" w:cstheme="majorHAnsi"/>
          <w:sz w:val="22"/>
          <w:szCs w:val="22"/>
          <w:lang w:val="en-GB"/>
        </w:rPr>
        <w:t xml:space="preserve"> </w:t>
      </w:r>
      <w:r w:rsidRPr="004E147E">
        <w:rPr>
          <w:rFonts w:asciiTheme="majorHAnsi" w:hAnsiTheme="majorHAnsi" w:cstheme="majorHAnsi"/>
          <w:i/>
          <w:sz w:val="22"/>
          <w:szCs w:val="22"/>
          <w:lang w:val="en-GB"/>
        </w:rPr>
        <w:t>Basic Education Sector Transformation (BEST) Program:</w:t>
      </w:r>
      <w:r w:rsidR="00D434EB">
        <w:rPr>
          <w:rFonts w:asciiTheme="majorHAnsi" w:hAnsiTheme="majorHAnsi" w:cstheme="majorHAnsi"/>
          <w:i/>
          <w:sz w:val="22"/>
          <w:szCs w:val="22"/>
          <w:lang w:val="en-GB"/>
        </w:rPr>
        <w:t xml:space="preserve"> </w:t>
      </w:r>
      <w:r w:rsidRPr="004E147E">
        <w:rPr>
          <w:rFonts w:asciiTheme="majorHAnsi" w:hAnsiTheme="majorHAnsi" w:cstheme="majorHAnsi"/>
          <w:i/>
          <w:sz w:val="22"/>
          <w:szCs w:val="22"/>
          <w:lang w:val="en-GB"/>
        </w:rPr>
        <w:t>Six Monthly Progress Report 8</w:t>
      </w:r>
      <w:r w:rsidRPr="004E147E">
        <w:rPr>
          <w:rFonts w:asciiTheme="majorHAnsi" w:hAnsiTheme="majorHAnsi" w:cstheme="majorHAnsi"/>
          <w:sz w:val="22"/>
          <w:szCs w:val="22"/>
          <w:lang w:val="en-GB"/>
        </w:rPr>
        <w:t>.</w:t>
      </w:r>
      <w:r w:rsidR="00D434EB">
        <w:rPr>
          <w:rFonts w:asciiTheme="majorHAnsi" w:hAnsiTheme="majorHAnsi" w:cstheme="majorHAnsi"/>
          <w:sz w:val="22"/>
          <w:szCs w:val="22"/>
          <w:lang w:val="en-GB"/>
        </w:rPr>
        <w:t xml:space="preserve"> </w:t>
      </w:r>
      <w:r w:rsidRPr="004E147E">
        <w:rPr>
          <w:rFonts w:asciiTheme="majorHAnsi" w:hAnsiTheme="majorHAnsi" w:cstheme="majorHAnsi"/>
          <w:sz w:val="22"/>
          <w:szCs w:val="22"/>
          <w:lang w:val="en-GB"/>
        </w:rPr>
        <w:t>Pasig City: Cardno Emerging Markets.</w:t>
      </w:r>
    </w:p>
    <w:p w14:paraId="4DE55389" w14:textId="2D5B1E69" w:rsidR="008D0CAD" w:rsidRPr="004E147E" w:rsidRDefault="008D0CAD" w:rsidP="00385784">
      <w:pPr>
        <w:spacing w:before="100" w:beforeAutospacing="1" w:after="100" w:afterAutospacing="1" w:line="360" w:lineRule="auto"/>
        <w:ind w:left="720" w:hanging="720"/>
        <w:rPr>
          <w:rFonts w:asciiTheme="majorHAnsi" w:hAnsiTheme="majorHAnsi" w:cstheme="majorHAnsi"/>
          <w:sz w:val="22"/>
          <w:szCs w:val="22"/>
          <w:lang w:val="en-GB"/>
        </w:rPr>
      </w:pPr>
      <w:r w:rsidRPr="004E147E">
        <w:rPr>
          <w:rFonts w:asciiTheme="majorHAnsi" w:hAnsiTheme="majorHAnsi" w:cstheme="majorHAnsi"/>
          <w:sz w:val="22"/>
          <w:szCs w:val="22"/>
          <w:lang w:val="en-US"/>
        </w:rPr>
        <w:t>Cardno Emerging Markets</w:t>
      </w:r>
      <w:r w:rsidRPr="004E147E">
        <w:rPr>
          <w:rFonts w:asciiTheme="majorHAnsi" w:hAnsiTheme="majorHAnsi" w:cstheme="majorHAnsi"/>
          <w:sz w:val="22"/>
          <w:szCs w:val="22"/>
          <w:lang w:val="en-GB"/>
        </w:rPr>
        <w:t>. (2019a).</w:t>
      </w:r>
      <w:r w:rsidR="00D434EB">
        <w:rPr>
          <w:rFonts w:asciiTheme="majorHAnsi" w:hAnsiTheme="majorHAnsi" w:cstheme="majorHAnsi"/>
          <w:sz w:val="22"/>
          <w:szCs w:val="22"/>
          <w:lang w:val="en-GB"/>
        </w:rPr>
        <w:t xml:space="preserve"> </w:t>
      </w:r>
      <w:r w:rsidRPr="004E147E">
        <w:rPr>
          <w:rFonts w:asciiTheme="majorHAnsi" w:hAnsiTheme="majorHAnsi" w:cstheme="majorHAnsi"/>
          <w:i/>
          <w:sz w:val="22"/>
          <w:szCs w:val="22"/>
          <w:lang w:val="en-GB"/>
        </w:rPr>
        <w:t>Basic Education Sector Transformation (BEST) Program:</w:t>
      </w:r>
      <w:r w:rsidR="00D434EB">
        <w:rPr>
          <w:rFonts w:asciiTheme="majorHAnsi" w:hAnsiTheme="majorHAnsi" w:cstheme="majorHAnsi"/>
          <w:i/>
          <w:sz w:val="22"/>
          <w:szCs w:val="22"/>
          <w:lang w:val="en-GB"/>
        </w:rPr>
        <w:t xml:space="preserve"> </w:t>
      </w:r>
      <w:r w:rsidRPr="004E147E">
        <w:rPr>
          <w:rFonts w:asciiTheme="majorHAnsi" w:hAnsiTheme="majorHAnsi" w:cstheme="majorHAnsi"/>
          <w:i/>
          <w:sz w:val="22"/>
          <w:szCs w:val="22"/>
          <w:lang w:val="en-GB"/>
        </w:rPr>
        <w:t>Six Monthly Progress Report 9</w:t>
      </w:r>
      <w:r w:rsidRPr="004E147E">
        <w:rPr>
          <w:rFonts w:asciiTheme="majorHAnsi" w:hAnsiTheme="majorHAnsi" w:cstheme="majorHAnsi"/>
          <w:sz w:val="22"/>
          <w:szCs w:val="22"/>
          <w:lang w:val="en-GB"/>
        </w:rPr>
        <w:t>.</w:t>
      </w:r>
      <w:r w:rsidR="00D434EB">
        <w:rPr>
          <w:rFonts w:asciiTheme="majorHAnsi" w:hAnsiTheme="majorHAnsi" w:cstheme="majorHAnsi"/>
          <w:sz w:val="22"/>
          <w:szCs w:val="22"/>
          <w:lang w:val="en-GB"/>
        </w:rPr>
        <w:t xml:space="preserve"> </w:t>
      </w:r>
      <w:r w:rsidRPr="004E147E">
        <w:rPr>
          <w:rFonts w:asciiTheme="majorHAnsi" w:hAnsiTheme="majorHAnsi" w:cstheme="majorHAnsi"/>
          <w:sz w:val="22"/>
          <w:szCs w:val="22"/>
          <w:lang w:val="en-GB"/>
        </w:rPr>
        <w:t>Pasig City: Cardno Emerging Markets.</w:t>
      </w:r>
    </w:p>
    <w:p w14:paraId="71C29CD6" w14:textId="79209009" w:rsidR="008D0CAD" w:rsidRPr="004E147E" w:rsidRDefault="008D0CAD" w:rsidP="00385784">
      <w:pPr>
        <w:spacing w:before="100" w:beforeAutospacing="1" w:after="100" w:afterAutospacing="1" w:line="360" w:lineRule="auto"/>
        <w:ind w:left="720" w:hanging="720"/>
        <w:rPr>
          <w:rFonts w:asciiTheme="majorHAnsi" w:hAnsiTheme="majorHAnsi" w:cstheme="majorHAnsi"/>
          <w:sz w:val="22"/>
          <w:szCs w:val="22"/>
          <w:lang w:val="en-GB"/>
        </w:rPr>
      </w:pPr>
      <w:r w:rsidRPr="004E147E">
        <w:rPr>
          <w:rFonts w:asciiTheme="majorHAnsi" w:hAnsiTheme="majorHAnsi" w:cstheme="majorHAnsi"/>
          <w:sz w:val="22"/>
          <w:szCs w:val="22"/>
          <w:lang w:val="en-US"/>
        </w:rPr>
        <w:t>Cardno Emerging Markets</w:t>
      </w:r>
      <w:r w:rsidRPr="004E147E">
        <w:rPr>
          <w:rFonts w:asciiTheme="majorHAnsi" w:hAnsiTheme="majorHAnsi" w:cstheme="majorHAnsi"/>
          <w:sz w:val="22"/>
          <w:szCs w:val="22"/>
          <w:lang w:val="en-GB"/>
        </w:rPr>
        <w:t>. (2019b).</w:t>
      </w:r>
      <w:r w:rsidR="00D434EB">
        <w:rPr>
          <w:rFonts w:asciiTheme="majorHAnsi" w:hAnsiTheme="majorHAnsi" w:cstheme="majorHAnsi"/>
          <w:sz w:val="22"/>
          <w:szCs w:val="22"/>
          <w:lang w:val="en-GB"/>
        </w:rPr>
        <w:t xml:space="preserve"> </w:t>
      </w:r>
      <w:r w:rsidRPr="004E147E">
        <w:rPr>
          <w:rFonts w:asciiTheme="majorHAnsi" w:hAnsiTheme="majorHAnsi" w:cstheme="majorHAnsi"/>
          <w:i/>
          <w:sz w:val="22"/>
          <w:szCs w:val="22"/>
          <w:lang w:val="en-GB"/>
        </w:rPr>
        <w:t>Basic Education Sector Transformation (BEST) Program:</w:t>
      </w:r>
      <w:r w:rsidR="00D434EB">
        <w:rPr>
          <w:rFonts w:asciiTheme="majorHAnsi" w:hAnsiTheme="majorHAnsi" w:cstheme="majorHAnsi"/>
          <w:i/>
          <w:sz w:val="22"/>
          <w:szCs w:val="22"/>
          <w:lang w:val="en-GB"/>
        </w:rPr>
        <w:t xml:space="preserve"> </w:t>
      </w:r>
      <w:r w:rsidRPr="004E147E">
        <w:rPr>
          <w:rFonts w:asciiTheme="majorHAnsi" w:hAnsiTheme="majorHAnsi" w:cstheme="majorHAnsi"/>
          <w:i/>
          <w:sz w:val="22"/>
          <w:szCs w:val="22"/>
          <w:lang w:val="en-GB"/>
        </w:rPr>
        <w:t>Stocktake Report</w:t>
      </w:r>
      <w:r w:rsidRPr="004E147E">
        <w:rPr>
          <w:rFonts w:asciiTheme="majorHAnsi" w:hAnsiTheme="majorHAnsi" w:cstheme="majorHAnsi"/>
          <w:sz w:val="22"/>
          <w:szCs w:val="22"/>
          <w:lang w:val="en-GB"/>
        </w:rPr>
        <w:t>.</w:t>
      </w:r>
      <w:r w:rsidR="00D434EB">
        <w:rPr>
          <w:rFonts w:asciiTheme="majorHAnsi" w:hAnsiTheme="majorHAnsi" w:cstheme="majorHAnsi"/>
          <w:sz w:val="22"/>
          <w:szCs w:val="22"/>
          <w:lang w:val="en-GB"/>
        </w:rPr>
        <w:t xml:space="preserve"> </w:t>
      </w:r>
      <w:r w:rsidRPr="004E147E">
        <w:rPr>
          <w:rFonts w:asciiTheme="majorHAnsi" w:hAnsiTheme="majorHAnsi" w:cstheme="majorHAnsi"/>
          <w:sz w:val="22"/>
          <w:szCs w:val="22"/>
          <w:lang w:val="en-GB"/>
        </w:rPr>
        <w:t>Pasig City: Cardno Emerging Markets.</w:t>
      </w:r>
    </w:p>
    <w:p w14:paraId="0D14A9D7" w14:textId="77777777" w:rsidR="008D0CAD" w:rsidRPr="004E147E" w:rsidRDefault="008D0CAD" w:rsidP="00385784">
      <w:pPr>
        <w:spacing w:before="100" w:beforeAutospacing="1" w:after="100" w:afterAutospacing="1" w:line="360" w:lineRule="auto"/>
        <w:rPr>
          <w:rFonts w:asciiTheme="majorHAnsi" w:hAnsiTheme="majorHAnsi" w:cstheme="majorHAnsi"/>
          <w:b/>
          <w:sz w:val="22"/>
          <w:szCs w:val="22"/>
          <w:lang w:val="en-GB"/>
        </w:rPr>
      </w:pPr>
      <w:r w:rsidRPr="004E147E">
        <w:rPr>
          <w:rFonts w:asciiTheme="majorHAnsi" w:hAnsiTheme="majorHAnsi" w:cstheme="majorHAnsi"/>
          <w:b/>
          <w:sz w:val="22"/>
          <w:szCs w:val="22"/>
          <w:lang w:val="en-US"/>
        </w:rPr>
        <w:t>PBSP Reports</w:t>
      </w:r>
    </w:p>
    <w:p w14:paraId="6CC45D64" w14:textId="77777777" w:rsidR="008D0CAD" w:rsidRPr="004E147E" w:rsidRDefault="008D0CAD" w:rsidP="00385784">
      <w:pPr>
        <w:spacing w:before="100" w:beforeAutospacing="1" w:after="100" w:afterAutospacing="1" w:line="360" w:lineRule="auto"/>
        <w:rPr>
          <w:rFonts w:asciiTheme="majorHAnsi" w:hAnsiTheme="majorHAnsi" w:cstheme="majorHAnsi"/>
          <w:sz w:val="22"/>
          <w:szCs w:val="22"/>
          <w:lang w:val="en-US"/>
        </w:rPr>
      </w:pPr>
      <w:r w:rsidRPr="004E147E">
        <w:rPr>
          <w:rFonts w:asciiTheme="majorHAnsi" w:hAnsiTheme="majorHAnsi" w:cstheme="majorHAnsi"/>
          <w:sz w:val="22"/>
          <w:szCs w:val="22"/>
          <w:lang w:val="en-US"/>
        </w:rPr>
        <w:t>PBSP, Year 1 Report August 2013 – June 2014</w:t>
      </w:r>
    </w:p>
    <w:p w14:paraId="443FBFB0" w14:textId="77777777" w:rsidR="008D0CAD" w:rsidRPr="004E147E" w:rsidRDefault="008D0CAD" w:rsidP="00385784">
      <w:pPr>
        <w:spacing w:before="100" w:beforeAutospacing="1" w:after="100" w:afterAutospacing="1" w:line="360" w:lineRule="auto"/>
        <w:rPr>
          <w:rFonts w:asciiTheme="majorHAnsi" w:hAnsiTheme="majorHAnsi" w:cstheme="majorHAnsi"/>
          <w:sz w:val="22"/>
          <w:szCs w:val="22"/>
          <w:lang w:val="en-US"/>
        </w:rPr>
      </w:pPr>
      <w:r w:rsidRPr="004E147E">
        <w:rPr>
          <w:rFonts w:asciiTheme="majorHAnsi" w:hAnsiTheme="majorHAnsi" w:cstheme="majorHAnsi"/>
          <w:sz w:val="22"/>
          <w:szCs w:val="22"/>
          <w:lang w:val="en-US"/>
        </w:rPr>
        <w:t>PBSP, Report, July – December 2015</w:t>
      </w:r>
    </w:p>
    <w:p w14:paraId="5CA98E3D" w14:textId="77777777" w:rsidR="008D0CAD" w:rsidRPr="004E147E" w:rsidRDefault="008D0CAD" w:rsidP="00385784">
      <w:pPr>
        <w:spacing w:before="100" w:beforeAutospacing="1" w:after="100" w:afterAutospacing="1" w:line="360" w:lineRule="auto"/>
        <w:rPr>
          <w:rFonts w:asciiTheme="majorHAnsi" w:hAnsiTheme="majorHAnsi" w:cstheme="majorHAnsi"/>
          <w:sz w:val="22"/>
          <w:szCs w:val="22"/>
          <w:lang w:val="en-US"/>
        </w:rPr>
      </w:pPr>
      <w:r w:rsidRPr="004E147E">
        <w:rPr>
          <w:rFonts w:asciiTheme="majorHAnsi" w:hAnsiTheme="majorHAnsi" w:cstheme="majorHAnsi"/>
          <w:sz w:val="22"/>
          <w:szCs w:val="22"/>
          <w:lang w:val="en-US"/>
        </w:rPr>
        <w:t>PBSP, SMPR July – December 14 020215 v5 for BEST</w:t>
      </w:r>
    </w:p>
    <w:p w14:paraId="6FC2A90D" w14:textId="77777777" w:rsidR="008D0CAD" w:rsidRPr="004E147E" w:rsidRDefault="008D0CAD" w:rsidP="00385784">
      <w:pPr>
        <w:spacing w:before="100" w:beforeAutospacing="1" w:after="100" w:afterAutospacing="1" w:line="360" w:lineRule="auto"/>
        <w:rPr>
          <w:rFonts w:asciiTheme="majorHAnsi" w:hAnsiTheme="majorHAnsi" w:cstheme="majorHAnsi"/>
          <w:sz w:val="22"/>
          <w:szCs w:val="22"/>
          <w:lang w:val="en-US"/>
        </w:rPr>
      </w:pPr>
      <w:r w:rsidRPr="004E147E">
        <w:rPr>
          <w:rFonts w:asciiTheme="majorHAnsi" w:hAnsiTheme="majorHAnsi" w:cstheme="majorHAnsi"/>
          <w:sz w:val="22"/>
          <w:szCs w:val="22"/>
          <w:lang w:val="en-US"/>
        </w:rPr>
        <w:t>PBSP, report January - April 2016 042516</w:t>
      </w:r>
    </w:p>
    <w:p w14:paraId="19DC5155" w14:textId="77777777" w:rsidR="008D0CAD" w:rsidRPr="004E147E" w:rsidRDefault="008D0CAD" w:rsidP="00385784">
      <w:pPr>
        <w:spacing w:before="100" w:beforeAutospacing="1" w:after="100" w:afterAutospacing="1" w:line="360" w:lineRule="auto"/>
        <w:rPr>
          <w:rFonts w:asciiTheme="majorHAnsi" w:hAnsiTheme="majorHAnsi" w:cstheme="majorHAnsi"/>
          <w:sz w:val="22"/>
          <w:szCs w:val="22"/>
          <w:lang w:val="en-US"/>
        </w:rPr>
      </w:pPr>
      <w:r w:rsidRPr="004E147E">
        <w:rPr>
          <w:rFonts w:asciiTheme="majorHAnsi" w:hAnsiTheme="majorHAnsi" w:cstheme="majorHAnsi"/>
          <w:sz w:val="22"/>
          <w:szCs w:val="22"/>
          <w:lang w:val="en-US"/>
        </w:rPr>
        <w:t>PBSP, SMPR 061317</w:t>
      </w:r>
    </w:p>
    <w:p w14:paraId="3428FC3A" w14:textId="77777777" w:rsidR="008D0CAD" w:rsidRPr="004E147E" w:rsidRDefault="008D0CAD" w:rsidP="00385784">
      <w:pPr>
        <w:spacing w:before="100" w:beforeAutospacing="1" w:after="100" w:afterAutospacing="1" w:line="360" w:lineRule="auto"/>
        <w:rPr>
          <w:rFonts w:asciiTheme="majorHAnsi" w:hAnsiTheme="majorHAnsi" w:cstheme="majorHAnsi"/>
          <w:sz w:val="22"/>
          <w:szCs w:val="22"/>
          <w:lang w:val="en-US"/>
        </w:rPr>
      </w:pPr>
      <w:r w:rsidRPr="004E147E">
        <w:rPr>
          <w:rFonts w:asciiTheme="majorHAnsi" w:hAnsiTheme="majorHAnsi" w:cstheme="majorHAnsi"/>
          <w:sz w:val="22"/>
          <w:szCs w:val="22"/>
          <w:lang w:val="en-US"/>
        </w:rPr>
        <w:t>PBSP, Report for BEST 120717</w:t>
      </w:r>
    </w:p>
    <w:p w14:paraId="23610873" w14:textId="77777777" w:rsidR="008D0CAD" w:rsidRDefault="008D0CAD" w:rsidP="00385784">
      <w:pPr>
        <w:spacing w:before="100" w:beforeAutospacing="1" w:after="100" w:afterAutospacing="1" w:line="360" w:lineRule="auto"/>
        <w:rPr>
          <w:rFonts w:asciiTheme="majorHAnsi" w:hAnsiTheme="majorHAnsi" w:cstheme="majorHAnsi"/>
          <w:sz w:val="22"/>
          <w:szCs w:val="22"/>
          <w:lang w:val="en-US"/>
        </w:rPr>
      </w:pPr>
      <w:r w:rsidRPr="004E147E">
        <w:rPr>
          <w:rFonts w:asciiTheme="majorHAnsi" w:hAnsiTheme="majorHAnsi" w:cstheme="majorHAnsi"/>
          <w:sz w:val="22"/>
          <w:szCs w:val="22"/>
          <w:lang w:val="en-US"/>
        </w:rPr>
        <w:t>PBSP, Inputs to July – December 2018 SMPR</w:t>
      </w:r>
    </w:p>
    <w:p w14:paraId="327B3F05" w14:textId="77777777" w:rsidR="008D0CAD" w:rsidRDefault="008D0CAD" w:rsidP="00385784">
      <w:pPr>
        <w:spacing w:before="100" w:beforeAutospacing="1" w:after="100" w:afterAutospacing="1" w:line="360" w:lineRule="auto"/>
        <w:rPr>
          <w:rFonts w:asciiTheme="majorHAnsi" w:hAnsiTheme="majorHAnsi" w:cstheme="majorHAnsi"/>
          <w:sz w:val="22"/>
          <w:szCs w:val="22"/>
          <w:lang w:val="en-US"/>
        </w:rPr>
      </w:pPr>
      <w:r w:rsidRPr="004E147E">
        <w:rPr>
          <w:rFonts w:asciiTheme="majorHAnsi" w:hAnsiTheme="majorHAnsi" w:cstheme="majorHAnsi"/>
          <w:sz w:val="22"/>
          <w:szCs w:val="22"/>
          <w:lang w:val="en-US"/>
        </w:rPr>
        <w:t>DepEd, Public-Private Partnership for School Infrastructure Project (PSIP I and II) - Phase I and II Report of Administrative Services - Education Facilities Division, May 2019</w:t>
      </w:r>
    </w:p>
    <w:p w14:paraId="4B53B730" w14:textId="6C6E7E18" w:rsidR="008D0CAD" w:rsidRPr="004E147E" w:rsidRDefault="008D0CAD" w:rsidP="00385784">
      <w:pPr>
        <w:spacing w:before="100" w:beforeAutospacing="1" w:after="100" w:afterAutospacing="1" w:line="360" w:lineRule="auto"/>
        <w:rPr>
          <w:rFonts w:asciiTheme="majorHAnsi" w:hAnsiTheme="majorHAnsi" w:cstheme="majorHAnsi"/>
          <w:sz w:val="22"/>
          <w:szCs w:val="22"/>
          <w:lang w:val="en-GB"/>
        </w:rPr>
      </w:pPr>
      <w:r w:rsidRPr="004E147E">
        <w:rPr>
          <w:rFonts w:asciiTheme="majorHAnsi" w:hAnsiTheme="majorHAnsi" w:cstheme="majorHAnsi"/>
          <w:sz w:val="22"/>
          <w:szCs w:val="22"/>
          <w:lang w:val="en-US"/>
        </w:rPr>
        <w:t>DepEd Basic Educational Facilities Fund Report of Administrative Services - Education Facilities Division, May 2019</w:t>
      </w:r>
    </w:p>
    <w:p w14:paraId="65A7975C" w14:textId="77777777" w:rsidR="008D0CAD" w:rsidRPr="004E147E" w:rsidRDefault="008D0CAD" w:rsidP="00385784">
      <w:pPr>
        <w:spacing w:before="100" w:beforeAutospacing="1" w:after="100" w:afterAutospacing="1" w:line="360" w:lineRule="auto"/>
        <w:ind w:left="720" w:hanging="720"/>
        <w:rPr>
          <w:rFonts w:asciiTheme="majorHAnsi" w:hAnsiTheme="majorHAnsi" w:cstheme="majorHAnsi"/>
          <w:sz w:val="22"/>
          <w:szCs w:val="22"/>
          <w:lang w:val="en-GB"/>
        </w:rPr>
      </w:pPr>
      <w:bookmarkStart w:id="621" w:name="_Hlk10322290"/>
      <w:r w:rsidRPr="004E147E">
        <w:rPr>
          <w:rFonts w:asciiTheme="majorHAnsi" w:hAnsiTheme="majorHAnsi" w:cstheme="majorHAnsi"/>
          <w:sz w:val="22"/>
          <w:szCs w:val="22"/>
          <w:lang w:val="en-GB"/>
        </w:rPr>
        <w:t xml:space="preserve">Asian Development Bank (ADB). (2016). </w:t>
      </w:r>
      <w:r w:rsidRPr="004E147E">
        <w:rPr>
          <w:rFonts w:asciiTheme="majorHAnsi" w:hAnsiTheme="majorHAnsi" w:cstheme="majorHAnsi"/>
          <w:i/>
          <w:sz w:val="22"/>
          <w:szCs w:val="22"/>
          <w:lang w:val="en-GB"/>
        </w:rPr>
        <w:t>Project Brief: Senior High School Support Program</w:t>
      </w:r>
      <w:r w:rsidRPr="004E147E">
        <w:rPr>
          <w:rFonts w:asciiTheme="majorHAnsi" w:hAnsiTheme="majorHAnsi" w:cstheme="majorHAnsi"/>
          <w:sz w:val="22"/>
          <w:szCs w:val="22"/>
          <w:lang w:val="en-GB"/>
        </w:rPr>
        <w:t>. Mandaluyong City: ADB.</w:t>
      </w:r>
    </w:p>
    <w:bookmarkEnd w:id="621"/>
    <w:p w14:paraId="696685FA" w14:textId="77777777" w:rsidR="008D0CAD" w:rsidRPr="004E147E" w:rsidRDefault="008D0CAD" w:rsidP="00385784">
      <w:pPr>
        <w:spacing w:before="100" w:beforeAutospacing="1" w:after="100" w:afterAutospacing="1" w:line="360" w:lineRule="auto"/>
        <w:ind w:left="720" w:hanging="720"/>
        <w:rPr>
          <w:rFonts w:asciiTheme="majorHAnsi" w:hAnsiTheme="majorHAnsi" w:cstheme="majorHAnsi"/>
          <w:sz w:val="22"/>
          <w:szCs w:val="22"/>
          <w:lang w:val="en-GB"/>
        </w:rPr>
      </w:pPr>
      <w:r w:rsidRPr="004E147E">
        <w:rPr>
          <w:rFonts w:asciiTheme="majorHAnsi" w:hAnsiTheme="majorHAnsi" w:cstheme="majorHAnsi"/>
          <w:sz w:val="22"/>
          <w:szCs w:val="22"/>
          <w:lang w:val="en-GB"/>
        </w:rPr>
        <w:t>De Guzman, A. (2002). School-Based Management in Philippine Basic and Higher Education Sectors: Rationale, Practices and Policy Directions. Manila: UST.</w:t>
      </w:r>
    </w:p>
    <w:p w14:paraId="1D2EB4B2" w14:textId="71429E3B" w:rsidR="008D0CAD" w:rsidRPr="004E147E" w:rsidRDefault="008D0CAD" w:rsidP="00385784">
      <w:pPr>
        <w:spacing w:before="100" w:beforeAutospacing="1" w:after="100" w:afterAutospacing="1" w:line="360" w:lineRule="auto"/>
        <w:ind w:left="720" w:hanging="720"/>
        <w:rPr>
          <w:rFonts w:asciiTheme="majorHAnsi" w:hAnsiTheme="majorHAnsi" w:cstheme="majorHAnsi"/>
          <w:sz w:val="22"/>
          <w:szCs w:val="22"/>
          <w:lang w:val="en-GB"/>
        </w:rPr>
      </w:pPr>
      <w:r w:rsidRPr="004E147E">
        <w:rPr>
          <w:rFonts w:asciiTheme="majorHAnsi" w:hAnsiTheme="majorHAnsi" w:cstheme="majorHAnsi"/>
          <w:sz w:val="22"/>
          <w:szCs w:val="22"/>
          <w:lang w:val="en-GB"/>
        </w:rPr>
        <w:t>_______________.</w:t>
      </w:r>
      <w:r w:rsidR="00D434EB">
        <w:rPr>
          <w:rFonts w:asciiTheme="majorHAnsi" w:hAnsiTheme="majorHAnsi" w:cstheme="majorHAnsi"/>
          <w:sz w:val="22"/>
          <w:szCs w:val="22"/>
          <w:lang w:val="en-GB"/>
        </w:rPr>
        <w:t xml:space="preserve"> </w:t>
      </w:r>
      <w:r w:rsidRPr="004E147E">
        <w:rPr>
          <w:rFonts w:asciiTheme="majorHAnsi" w:hAnsiTheme="majorHAnsi" w:cstheme="majorHAnsi"/>
          <w:sz w:val="22"/>
          <w:szCs w:val="22"/>
          <w:lang w:val="en-GB"/>
        </w:rPr>
        <w:t>(2006). Reforms in Philippine Basic Education Viewed from Key Elements of Successful School-Based Management (SBM) Schools, Educational Research for Policy and Practice, Vol. 5 (1): 55-71.</w:t>
      </w:r>
    </w:p>
    <w:p w14:paraId="23D6C138" w14:textId="23BD2C1B" w:rsidR="008D0CAD" w:rsidRPr="004E147E" w:rsidRDefault="008D0CAD" w:rsidP="00385784">
      <w:pPr>
        <w:spacing w:before="100" w:beforeAutospacing="1" w:after="100" w:afterAutospacing="1" w:line="360" w:lineRule="auto"/>
        <w:ind w:left="720" w:hanging="720"/>
        <w:rPr>
          <w:rFonts w:asciiTheme="majorHAnsi" w:hAnsiTheme="majorHAnsi" w:cstheme="majorHAnsi"/>
          <w:sz w:val="22"/>
          <w:szCs w:val="22"/>
          <w:lang w:val="en-GB"/>
        </w:rPr>
      </w:pPr>
      <w:r w:rsidRPr="004E147E">
        <w:rPr>
          <w:rFonts w:asciiTheme="majorHAnsi" w:hAnsiTheme="majorHAnsi" w:cstheme="majorHAnsi"/>
          <w:sz w:val="22"/>
          <w:szCs w:val="22"/>
          <w:lang w:val="en-GB"/>
        </w:rPr>
        <w:t>Department of Education (DepEd). (2006). Operations manual on school-based management and its support systems.</w:t>
      </w:r>
      <w:r w:rsidR="00D434EB">
        <w:rPr>
          <w:rFonts w:asciiTheme="majorHAnsi" w:hAnsiTheme="majorHAnsi" w:cstheme="majorHAnsi"/>
          <w:sz w:val="22"/>
          <w:szCs w:val="22"/>
          <w:lang w:val="en-GB"/>
        </w:rPr>
        <w:t xml:space="preserve"> </w:t>
      </w:r>
      <w:r w:rsidRPr="004E147E">
        <w:rPr>
          <w:rFonts w:asciiTheme="majorHAnsi" w:hAnsiTheme="majorHAnsi" w:cstheme="majorHAnsi"/>
          <w:sz w:val="22"/>
          <w:szCs w:val="22"/>
          <w:lang w:val="en-GB"/>
        </w:rPr>
        <w:t>January 2006. Pasig City: Department of Education.</w:t>
      </w:r>
    </w:p>
    <w:p w14:paraId="00BF4FCC" w14:textId="7B2E5E4E" w:rsidR="008D0CAD" w:rsidRPr="004E147E" w:rsidRDefault="008D0CAD" w:rsidP="00385784">
      <w:pPr>
        <w:spacing w:before="100" w:beforeAutospacing="1" w:after="100" w:afterAutospacing="1" w:line="360" w:lineRule="auto"/>
        <w:ind w:left="720" w:hanging="720"/>
        <w:rPr>
          <w:rFonts w:asciiTheme="majorHAnsi" w:hAnsiTheme="majorHAnsi" w:cstheme="majorHAnsi"/>
          <w:sz w:val="22"/>
          <w:szCs w:val="22"/>
          <w:lang w:val="en-GB"/>
        </w:rPr>
      </w:pPr>
      <w:r w:rsidRPr="004E147E">
        <w:rPr>
          <w:rFonts w:asciiTheme="majorHAnsi" w:hAnsiTheme="majorHAnsi" w:cstheme="majorHAnsi"/>
          <w:sz w:val="22"/>
          <w:szCs w:val="22"/>
          <w:lang w:val="en-GB"/>
        </w:rPr>
        <w:t>_______________. (2016).</w:t>
      </w:r>
      <w:r w:rsidR="00D434EB">
        <w:rPr>
          <w:rFonts w:asciiTheme="majorHAnsi" w:hAnsiTheme="majorHAnsi" w:cstheme="majorHAnsi"/>
          <w:sz w:val="22"/>
          <w:szCs w:val="22"/>
          <w:lang w:val="en-GB"/>
        </w:rPr>
        <w:t xml:space="preserve"> </w:t>
      </w:r>
      <w:r w:rsidRPr="004E147E">
        <w:rPr>
          <w:rFonts w:asciiTheme="majorHAnsi" w:hAnsiTheme="majorHAnsi" w:cstheme="majorHAnsi"/>
          <w:sz w:val="22"/>
          <w:szCs w:val="22"/>
          <w:lang w:val="en-US"/>
        </w:rPr>
        <w:t xml:space="preserve">Senior High School Support Program: Audited Project Financial Statements- Submitted to the Asian Development Bank (January-December 2015) </w:t>
      </w:r>
      <w:r w:rsidRPr="004E147E">
        <w:rPr>
          <w:rFonts w:asciiTheme="majorHAnsi" w:hAnsiTheme="majorHAnsi" w:cstheme="majorHAnsi"/>
          <w:sz w:val="22"/>
          <w:szCs w:val="22"/>
          <w:lang w:val="en-GB"/>
        </w:rPr>
        <w:t>Pasig City: DepEd.</w:t>
      </w:r>
    </w:p>
    <w:p w14:paraId="4664FF67" w14:textId="33C7A9B5" w:rsidR="008D0CAD" w:rsidRPr="004E147E" w:rsidRDefault="008D0CAD" w:rsidP="00385784">
      <w:pPr>
        <w:spacing w:before="100" w:beforeAutospacing="1" w:after="100" w:afterAutospacing="1" w:line="360" w:lineRule="auto"/>
        <w:ind w:left="720" w:hanging="720"/>
        <w:rPr>
          <w:rFonts w:asciiTheme="majorHAnsi" w:hAnsiTheme="majorHAnsi" w:cstheme="majorHAnsi"/>
          <w:sz w:val="22"/>
          <w:szCs w:val="22"/>
          <w:lang w:val="en-GB"/>
        </w:rPr>
      </w:pPr>
      <w:r w:rsidRPr="004E147E">
        <w:rPr>
          <w:rFonts w:asciiTheme="majorHAnsi" w:hAnsiTheme="majorHAnsi" w:cstheme="majorHAnsi"/>
          <w:sz w:val="22"/>
          <w:szCs w:val="22"/>
          <w:lang w:val="en-GB"/>
        </w:rPr>
        <w:t>_______________. (2017a).</w:t>
      </w:r>
      <w:r w:rsidR="00D434EB">
        <w:rPr>
          <w:rFonts w:asciiTheme="majorHAnsi" w:hAnsiTheme="majorHAnsi" w:cstheme="majorHAnsi"/>
          <w:sz w:val="22"/>
          <w:szCs w:val="22"/>
          <w:lang w:val="en-GB"/>
        </w:rPr>
        <w:t xml:space="preserve"> </w:t>
      </w:r>
      <w:r w:rsidRPr="004E147E">
        <w:rPr>
          <w:rFonts w:asciiTheme="majorHAnsi" w:hAnsiTheme="majorHAnsi" w:cstheme="majorHAnsi"/>
          <w:i/>
          <w:sz w:val="22"/>
          <w:szCs w:val="22"/>
          <w:lang w:val="en-GB"/>
        </w:rPr>
        <w:t>Enhanced Basic Education Information System (EBEIS) User Guide</w:t>
      </w:r>
      <w:r w:rsidRPr="004E147E">
        <w:rPr>
          <w:rFonts w:asciiTheme="majorHAnsi" w:hAnsiTheme="majorHAnsi" w:cstheme="majorHAnsi"/>
          <w:sz w:val="22"/>
          <w:szCs w:val="22"/>
          <w:lang w:val="en-GB"/>
        </w:rPr>
        <w:t>. Pasig City: Dep Ed.</w:t>
      </w:r>
    </w:p>
    <w:p w14:paraId="2BA6F866" w14:textId="0AC685D2" w:rsidR="008D0CAD" w:rsidRPr="004E147E" w:rsidRDefault="008D0CAD" w:rsidP="00385784">
      <w:pPr>
        <w:spacing w:before="100" w:beforeAutospacing="1" w:after="100" w:afterAutospacing="1" w:line="360" w:lineRule="auto"/>
        <w:ind w:left="720" w:hanging="720"/>
        <w:rPr>
          <w:rFonts w:asciiTheme="majorHAnsi" w:hAnsiTheme="majorHAnsi" w:cstheme="majorHAnsi"/>
          <w:sz w:val="22"/>
          <w:szCs w:val="22"/>
          <w:lang w:val="en-GB"/>
        </w:rPr>
      </w:pPr>
      <w:r w:rsidRPr="004E147E">
        <w:rPr>
          <w:rFonts w:asciiTheme="majorHAnsi" w:hAnsiTheme="majorHAnsi" w:cstheme="majorHAnsi"/>
          <w:sz w:val="22"/>
          <w:szCs w:val="22"/>
          <w:lang w:val="en-GB"/>
        </w:rPr>
        <w:t>_______________. (2017b).</w:t>
      </w:r>
      <w:r w:rsidR="00D434EB">
        <w:rPr>
          <w:rFonts w:asciiTheme="majorHAnsi" w:hAnsiTheme="majorHAnsi" w:cstheme="majorHAnsi"/>
          <w:sz w:val="22"/>
          <w:szCs w:val="22"/>
          <w:lang w:val="en-GB"/>
        </w:rPr>
        <w:t xml:space="preserve"> </w:t>
      </w:r>
      <w:r w:rsidRPr="004E147E">
        <w:rPr>
          <w:rFonts w:asciiTheme="majorHAnsi" w:hAnsiTheme="majorHAnsi" w:cstheme="majorHAnsi"/>
          <w:sz w:val="22"/>
          <w:szCs w:val="22"/>
          <w:lang w:val="en-GB"/>
        </w:rPr>
        <w:t xml:space="preserve">Department of Education (DepEd). (2017). </w:t>
      </w:r>
      <w:r w:rsidRPr="004E147E">
        <w:rPr>
          <w:rFonts w:asciiTheme="majorHAnsi" w:hAnsiTheme="majorHAnsi" w:cstheme="majorHAnsi"/>
          <w:sz w:val="22"/>
          <w:szCs w:val="22"/>
          <w:lang w:val="en-US"/>
        </w:rPr>
        <w:t xml:space="preserve">Senior High School Support Program: Audited Project Financial Statements- Submitted to the Asian Development Bank (January-December 2016) </w:t>
      </w:r>
      <w:r w:rsidRPr="004E147E">
        <w:rPr>
          <w:rFonts w:asciiTheme="majorHAnsi" w:hAnsiTheme="majorHAnsi" w:cstheme="majorHAnsi"/>
          <w:sz w:val="22"/>
          <w:szCs w:val="22"/>
          <w:lang w:val="en-GB"/>
        </w:rPr>
        <w:t>Pasig City: DepEd.</w:t>
      </w:r>
    </w:p>
    <w:p w14:paraId="3F942829" w14:textId="0E8F5CC2" w:rsidR="008D0CAD" w:rsidRPr="004E147E" w:rsidRDefault="008D0CAD" w:rsidP="00385784">
      <w:pPr>
        <w:spacing w:before="100" w:beforeAutospacing="1" w:after="100" w:afterAutospacing="1" w:line="360" w:lineRule="auto"/>
        <w:ind w:left="720" w:hanging="720"/>
        <w:rPr>
          <w:rFonts w:asciiTheme="majorHAnsi" w:hAnsiTheme="majorHAnsi" w:cstheme="majorHAnsi"/>
          <w:sz w:val="22"/>
          <w:szCs w:val="22"/>
          <w:lang w:val="en-GB"/>
        </w:rPr>
      </w:pPr>
      <w:r w:rsidRPr="004E147E">
        <w:rPr>
          <w:rFonts w:asciiTheme="majorHAnsi" w:hAnsiTheme="majorHAnsi" w:cstheme="majorHAnsi"/>
          <w:sz w:val="22"/>
          <w:szCs w:val="22"/>
          <w:lang w:val="en-GB"/>
        </w:rPr>
        <w:t>_______________. (2017c).</w:t>
      </w:r>
      <w:r w:rsidR="00D434EB">
        <w:rPr>
          <w:rFonts w:asciiTheme="majorHAnsi" w:hAnsiTheme="majorHAnsi" w:cstheme="majorHAnsi"/>
          <w:sz w:val="22"/>
          <w:szCs w:val="22"/>
          <w:lang w:val="en-GB"/>
        </w:rPr>
        <w:t xml:space="preserve"> </w:t>
      </w:r>
      <w:r w:rsidRPr="004E147E">
        <w:rPr>
          <w:rFonts w:asciiTheme="majorHAnsi" w:hAnsiTheme="majorHAnsi" w:cstheme="majorHAnsi"/>
          <w:i/>
          <w:sz w:val="22"/>
          <w:szCs w:val="22"/>
          <w:lang w:val="en-GB"/>
        </w:rPr>
        <w:t>Unified Information System (UIS) User Accounts Management System User’s Manual.</w:t>
      </w:r>
      <w:r w:rsidR="00D434EB">
        <w:rPr>
          <w:rFonts w:asciiTheme="majorHAnsi" w:hAnsiTheme="majorHAnsi" w:cstheme="majorHAnsi"/>
          <w:i/>
          <w:sz w:val="22"/>
          <w:szCs w:val="22"/>
          <w:lang w:val="en-GB"/>
        </w:rPr>
        <w:t xml:space="preserve"> </w:t>
      </w:r>
      <w:r w:rsidRPr="004E147E">
        <w:rPr>
          <w:rFonts w:asciiTheme="majorHAnsi" w:hAnsiTheme="majorHAnsi" w:cstheme="majorHAnsi"/>
          <w:sz w:val="22"/>
          <w:szCs w:val="22"/>
          <w:lang w:val="en-GB"/>
        </w:rPr>
        <w:t>Pasig City: Dep Ed.</w:t>
      </w:r>
    </w:p>
    <w:p w14:paraId="31D59532" w14:textId="2CE6407D" w:rsidR="008D0CAD" w:rsidRPr="004E147E" w:rsidRDefault="008D0CAD" w:rsidP="00385784">
      <w:pPr>
        <w:spacing w:before="100" w:beforeAutospacing="1" w:after="100" w:afterAutospacing="1" w:line="360" w:lineRule="auto"/>
        <w:ind w:left="720" w:hanging="720"/>
        <w:rPr>
          <w:rFonts w:asciiTheme="majorHAnsi" w:hAnsiTheme="majorHAnsi" w:cstheme="majorHAnsi"/>
          <w:sz w:val="22"/>
          <w:szCs w:val="22"/>
          <w:lang w:val="en-GB"/>
        </w:rPr>
      </w:pPr>
      <w:r w:rsidRPr="004E147E">
        <w:rPr>
          <w:rFonts w:asciiTheme="majorHAnsi" w:hAnsiTheme="majorHAnsi" w:cstheme="majorHAnsi"/>
          <w:sz w:val="22"/>
          <w:szCs w:val="22"/>
          <w:lang w:val="en-GB"/>
        </w:rPr>
        <w:t>_______________.</w:t>
      </w:r>
      <w:r w:rsidR="00D434EB">
        <w:rPr>
          <w:rFonts w:asciiTheme="majorHAnsi" w:hAnsiTheme="majorHAnsi" w:cstheme="majorHAnsi"/>
          <w:sz w:val="22"/>
          <w:szCs w:val="22"/>
          <w:lang w:val="en-GB"/>
        </w:rPr>
        <w:t xml:space="preserve"> </w:t>
      </w:r>
      <w:r w:rsidRPr="004E147E">
        <w:rPr>
          <w:rFonts w:asciiTheme="majorHAnsi" w:hAnsiTheme="majorHAnsi" w:cstheme="majorHAnsi"/>
          <w:sz w:val="22"/>
          <w:szCs w:val="22"/>
          <w:lang w:val="en-GB"/>
        </w:rPr>
        <w:t xml:space="preserve">(2018). </w:t>
      </w:r>
      <w:r w:rsidRPr="004E147E">
        <w:rPr>
          <w:rFonts w:asciiTheme="majorHAnsi" w:hAnsiTheme="majorHAnsi" w:cstheme="majorHAnsi"/>
          <w:sz w:val="22"/>
          <w:szCs w:val="22"/>
          <w:lang w:val="en-US"/>
        </w:rPr>
        <w:t xml:space="preserve">Senior High School Support Program: Audited Project Financial Statements - Submitted to the Asian Development Bank (January-December 2017). </w:t>
      </w:r>
      <w:r w:rsidRPr="004E147E">
        <w:rPr>
          <w:rFonts w:asciiTheme="majorHAnsi" w:hAnsiTheme="majorHAnsi" w:cstheme="majorHAnsi"/>
          <w:sz w:val="22"/>
          <w:szCs w:val="22"/>
          <w:lang w:val="en-GB"/>
        </w:rPr>
        <w:t>Pasig City: DepEd.</w:t>
      </w:r>
    </w:p>
    <w:p w14:paraId="69C97302" w14:textId="77777777" w:rsidR="008D0CAD" w:rsidRPr="004E147E" w:rsidRDefault="008D0CAD" w:rsidP="00385784">
      <w:pPr>
        <w:spacing w:before="100" w:beforeAutospacing="1" w:after="100" w:afterAutospacing="1" w:line="360" w:lineRule="auto"/>
        <w:ind w:left="720" w:hanging="720"/>
        <w:rPr>
          <w:rFonts w:asciiTheme="majorHAnsi" w:hAnsiTheme="majorHAnsi" w:cstheme="majorHAnsi"/>
          <w:sz w:val="22"/>
          <w:szCs w:val="22"/>
          <w:lang w:val="en-GB"/>
        </w:rPr>
      </w:pPr>
      <w:r w:rsidRPr="004E147E">
        <w:rPr>
          <w:rFonts w:asciiTheme="majorHAnsi" w:hAnsiTheme="majorHAnsi" w:cstheme="majorHAnsi"/>
          <w:sz w:val="22"/>
          <w:szCs w:val="22"/>
          <w:lang w:val="en-GB"/>
        </w:rPr>
        <w:t xml:space="preserve">Department of Education (DepEd) and SEAMEO-INNOTECH. (2012a). </w:t>
      </w:r>
      <w:r w:rsidRPr="004E147E">
        <w:rPr>
          <w:rFonts w:asciiTheme="majorHAnsi" w:hAnsiTheme="majorHAnsi" w:cstheme="majorHAnsi"/>
          <w:i/>
          <w:sz w:val="22"/>
          <w:szCs w:val="22"/>
          <w:lang w:val="en-GB"/>
        </w:rPr>
        <w:t xml:space="preserve">Kto12 in Southeast Asia: Regional Comparison of the Structure, Content, Organisation and Adequacy of Basic Education. </w:t>
      </w:r>
      <w:r w:rsidRPr="004E147E">
        <w:rPr>
          <w:rFonts w:asciiTheme="majorHAnsi" w:hAnsiTheme="majorHAnsi" w:cstheme="majorHAnsi"/>
          <w:sz w:val="22"/>
          <w:szCs w:val="22"/>
          <w:lang w:val="en-GB"/>
        </w:rPr>
        <w:t>Quezon City: SEAMEO-INNOTECH.</w:t>
      </w:r>
    </w:p>
    <w:p w14:paraId="704DF761" w14:textId="77777777" w:rsidR="008D0CAD" w:rsidRPr="004E147E" w:rsidRDefault="008D0CAD" w:rsidP="00385784">
      <w:pPr>
        <w:spacing w:before="100" w:beforeAutospacing="1" w:after="100" w:afterAutospacing="1" w:line="360" w:lineRule="auto"/>
        <w:ind w:left="720" w:hanging="720"/>
        <w:rPr>
          <w:rFonts w:asciiTheme="majorHAnsi" w:hAnsiTheme="majorHAnsi" w:cstheme="majorHAnsi"/>
          <w:sz w:val="22"/>
          <w:szCs w:val="22"/>
          <w:lang w:val="en-GB"/>
        </w:rPr>
      </w:pPr>
      <w:r w:rsidRPr="004E147E">
        <w:rPr>
          <w:rFonts w:asciiTheme="majorHAnsi" w:hAnsiTheme="majorHAnsi" w:cstheme="majorHAnsi"/>
          <w:sz w:val="22"/>
          <w:szCs w:val="22"/>
          <w:lang w:val="en-GB"/>
        </w:rPr>
        <w:t xml:space="preserve">_______________. (2012b). </w:t>
      </w:r>
      <w:r w:rsidRPr="004E147E">
        <w:rPr>
          <w:rFonts w:asciiTheme="majorHAnsi" w:hAnsiTheme="majorHAnsi" w:cstheme="majorHAnsi"/>
          <w:i/>
          <w:sz w:val="22"/>
          <w:szCs w:val="22"/>
          <w:lang w:val="en-GB"/>
        </w:rPr>
        <w:t xml:space="preserve">Kto12 Toolkit: Reference Guide for Teacher Educators, School Administrators and Teachers. </w:t>
      </w:r>
      <w:r w:rsidRPr="004E147E">
        <w:rPr>
          <w:rFonts w:asciiTheme="majorHAnsi" w:hAnsiTheme="majorHAnsi" w:cstheme="majorHAnsi"/>
          <w:sz w:val="22"/>
          <w:szCs w:val="22"/>
          <w:lang w:val="en-GB"/>
        </w:rPr>
        <w:t>Quezon City: SEAMEO-INNOTECH.</w:t>
      </w:r>
    </w:p>
    <w:p w14:paraId="7A183467" w14:textId="77777777" w:rsidR="008D0CAD" w:rsidRPr="004E147E" w:rsidRDefault="008D0CAD" w:rsidP="00385784">
      <w:pPr>
        <w:spacing w:before="100" w:beforeAutospacing="1" w:after="100" w:afterAutospacing="1" w:line="360" w:lineRule="auto"/>
        <w:ind w:left="720" w:hanging="720"/>
        <w:rPr>
          <w:rFonts w:asciiTheme="majorHAnsi" w:hAnsiTheme="majorHAnsi" w:cstheme="majorHAnsi"/>
          <w:sz w:val="22"/>
          <w:szCs w:val="22"/>
          <w:lang w:val="en-GB"/>
        </w:rPr>
      </w:pPr>
      <w:r w:rsidRPr="004E147E">
        <w:rPr>
          <w:rFonts w:asciiTheme="majorHAnsi" w:hAnsiTheme="majorHAnsi" w:cstheme="majorHAnsi"/>
          <w:sz w:val="22"/>
          <w:szCs w:val="22"/>
          <w:lang w:val="en-GB"/>
        </w:rPr>
        <w:t xml:space="preserve">Department of Education (DepEd). (2015). </w:t>
      </w:r>
      <w:r w:rsidRPr="004E147E">
        <w:rPr>
          <w:rFonts w:asciiTheme="majorHAnsi" w:hAnsiTheme="majorHAnsi" w:cstheme="majorHAnsi"/>
          <w:i/>
          <w:sz w:val="22"/>
          <w:szCs w:val="22"/>
          <w:lang w:val="en-US"/>
        </w:rPr>
        <w:t>Enhanced School Improvement Plan Guidebook</w:t>
      </w:r>
      <w:r w:rsidRPr="004E147E">
        <w:rPr>
          <w:rFonts w:asciiTheme="majorHAnsi" w:hAnsiTheme="majorHAnsi" w:cstheme="majorHAnsi"/>
          <w:sz w:val="22"/>
          <w:szCs w:val="22"/>
          <w:lang w:val="en-US"/>
        </w:rPr>
        <w:t xml:space="preserve">. </w:t>
      </w:r>
      <w:r w:rsidRPr="004E147E">
        <w:rPr>
          <w:rFonts w:asciiTheme="majorHAnsi" w:hAnsiTheme="majorHAnsi" w:cstheme="majorHAnsi"/>
          <w:sz w:val="22"/>
          <w:szCs w:val="22"/>
          <w:lang w:val="en-GB"/>
        </w:rPr>
        <w:t>Pasig City: DepEd.</w:t>
      </w:r>
    </w:p>
    <w:p w14:paraId="0D9F507A" w14:textId="77777777" w:rsidR="008D0CAD" w:rsidRPr="004E147E" w:rsidRDefault="008D0CAD" w:rsidP="00385784">
      <w:pPr>
        <w:spacing w:before="100" w:beforeAutospacing="1" w:after="100" w:afterAutospacing="1" w:line="360" w:lineRule="auto"/>
        <w:ind w:left="720" w:hanging="720"/>
        <w:rPr>
          <w:rFonts w:asciiTheme="majorHAnsi" w:hAnsiTheme="majorHAnsi" w:cstheme="majorHAnsi"/>
          <w:iCs/>
          <w:sz w:val="22"/>
          <w:szCs w:val="22"/>
          <w:lang w:val="en-GB"/>
        </w:rPr>
      </w:pPr>
      <w:r w:rsidRPr="004E147E">
        <w:rPr>
          <w:rFonts w:asciiTheme="majorHAnsi" w:hAnsiTheme="majorHAnsi" w:cstheme="majorHAnsi"/>
          <w:sz w:val="22"/>
          <w:szCs w:val="22"/>
          <w:lang w:val="en-GB"/>
        </w:rPr>
        <w:t xml:space="preserve">Department of Foreign Affairs and Trade (DFAT). (2018). </w:t>
      </w:r>
      <w:r w:rsidRPr="004E147E">
        <w:rPr>
          <w:rFonts w:asciiTheme="majorHAnsi" w:hAnsiTheme="majorHAnsi" w:cstheme="majorHAnsi"/>
          <w:i/>
          <w:sz w:val="22"/>
          <w:szCs w:val="22"/>
          <w:lang w:val="en-GB"/>
        </w:rPr>
        <w:t xml:space="preserve">Independent Progress Review: Basic Education Sector Transformation. </w:t>
      </w:r>
      <w:r w:rsidRPr="004E147E">
        <w:rPr>
          <w:rFonts w:asciiTheme="majorHAnsi" w:hAnsiTheme="majorHAnsi" w:cstheme="majorHAnsi"/>
          <w:iCs/>
          <w:sz w:val="22"/>
          <w:szCs w:val="22"/>
          <w:lang w:val="en-GB"/>
        </w:rPr>
        <w:t>Manila: DFAT.</w:t>
      </w:r>
    </w:p>
    <w:p w14:paraId="33DF11F1" w14:textId="77777777" w:rsidR="008D0CAD" w:rsidRPr="004E147E" w:rsidRDefault="008D0CAD" w:rsidP="00385784">
      <w:pPr>
        <w:spacing w:before="100" w:beforeAutospacing="1" w:after="100" w:afterAutospacing="1" w:line="360" w:lineRule="auto"/>
        <w:ind w:left="720" w:hanging="720"/>
        <w:rPr>
          <w:rFonts w:asciiTheme="majorHAnsi" w:hAnsiTheme="majorHAnsi" w:cstheme="majorHAnsi"/>
          <w:sz w:val="22"/>
          <w:szCs w:val="22"/>
          <w:lang w:val="en-GB"/>
        </w:rPr>
      </w:pPr>
      <w:r w:rsidRPr="004E147E">
        <w:rPr>
          <w:rFonts w:asciiTheme="majorHAnsi" w:hAnsiTheme="majorHAnsi" w:cstheme="majorHAnsi"/>
          <w:sz w:val="22"/>
          <w:szCs w:val="22"/>
          <w:lang w:val="en-GB"/>
        </w:rPr>
        <w:t xml:space="preserve">_______________. </w:t>
      </w:r>
      <w:r w:rsidRPr="004E147E">
        <w:rPr>
          <w:rFonts w:asciiTheme="majorHAnsi" w:hAnsiTheme="majorHAnsi" w:cstheme="majorHAnsi"/>
          <w:i/>
          <w:sz w:val="22"/>
          <w:szCs w:val="22"/>
          <w:lang w:val="en-GB"/>
        </w:rPr>
        <w:t xml:space="preserve">Program. </w:t>
      </w:r>
      <w:r w:rsidRPr="004E147E">
        <w:rPr>
          <w:rFonts w:asciiTheme="majorHAnsi" w:hAnsiTheme="majorHAnsi" w:cstheme="majorHAnsi"/>
          <w:sz w:val="22"/>
          <w:szCs w:val="22"/>
          <w:lang w:val="en-GB"/>
        </w:rPr>
        <w:t xml:space="preserve">(2012). </w:t>
      </w:r>
      <w:r w:rsidRPr="004E147E">
        <w:rPr>
          <w:rFonts w:asciiTheme="majorHAnsi" w:hAnsiTheme="majorHAnsi" w:cstheme="majorHAnsi"/>
          <w:i/>
          <w:sz w:val="22"/>
          <w:szCs w:val="22"/>
          <w:lang w:val="en-GB"/>
        </w:rPr>
        <w:t>Basic Education Transformation Program</w:t>
      </w:r>
      <w:r w:rsidRPr="004E147E">
        <w:rPr>
          <w:rFonts w:asciiTheme="majorHAnsi" w:hAnsiTheme="majorHAnsi" w:cstheme="majorHAnsi"/>
          <w:sz w:val="22"/>
          <w:szCs w:val="22"/>
          <w:lang w:val="en-GB"/>
        </w:rPr>
        <w:t xml:space="preserve">: </w:t>
      </w:r>
      <w:r w:rsidRPr="004E147E">
        <w:rPr>
          <w:rFonts w:asciiTheme="majorHAnsi" w:hAnsiTheme="majorHAnsi" w:cstheme="majorHAnsi"/>
          <w:i/>
          <w:sz w:val="22"/>
          <w:szCs w:val="22"/>
          <w:lang w:val="en-GB"/>
        </w:rPr>
        <w:t>Program Design Document</w:t>
      </w:r>
      <w:r w:rsidRPr="004E147E">
        <w:rPr>
          <w:rFonts w:asciiTheme="majorHAnsi" w:hAnsiTheme="majorHAnsi" w:cstheme="majorHAnsi"/>
          <w:sz w:val="22"/>
          <w:szCs w:val="22"/>
          <w:lang w:val="en-GB"/>
        </w:rPr>
        <w:t>. Manila: DFAT.</w:t>
      </w:r>
    </w:p>
    <w:p w14:paraId="0FC0182E" w14:textId="23DB283E" w:rsidR="008D0CAD" w:rsidRPr="004E147E" w:rsidRDefault="008D0CAD" w:rsidP="00385784">
      <w:pPr>
        <w:spacing w:before="100" w:beforeAutospacing="1" w:after="100" w:afterAutospacing="1" w:line="360" w:lineRule="auto"/>
        <w:ind w:left="720" w:hanging="720"/>
        <w:rPr>
          <w:rFonts w:asciiTheme="majorHAnsi" w:hAnsiTheme="majorHAnsi" w:cstheme="majorHAnsi"/>
          <w:sz w:val="22"/>
          <w:szCs w:val="22"/>
          <w:lang w:val="en-GB"/>
        </w:rPr>
      </w:pPr>
      <w:r w:rsidRPr="004E147E">
        <w:rPr>
          <w:rFonts w:asciiTheme="majorHAnsi" w:hAnsiTheme="majorHAnsi" w:cstheme="majorHAnsi"/>
          <w:sz w:val="22"/>
          <w:szCs w:val="22"/>
          <w:lang w:val="en-GB"/>
        </w:rPr>
        <w:t>Grauwe, A.</w:t>
      </w:r>
      <w:r w:rsidR="00D434EB">
        <w:rPr>
          <w:rFonts w:asciiTheme="majorHAnsi" w:hAnsiTheme="majorHAnsi" w:cstheme="majorHAnsi"/>
          <w:sz w:val="22"/>
          <w:szCs w:val="22"/>
          <w:lang w:val="en-GB"/>
        </w:rPr>
        <w:t xml:space="preserve"> </w:t>
      </w:r>
      <w:r w:rsidRPr="004E147E">
        <w:rPr>
          <w:rFonts w:asciiTheme="majorHAnsi" w:hAnsiTheme="majorHAnsi" w:cstheme="majorHAnsi"/>
          <w:sz w:val="22"/>
          <w:szCs w:val="22"/>
          <w:lang w:val="en-GB"/>
        </w:rPr>
        <w:t>(2005).</w:t>
      </w:r>
      <w:r w:rsidR="00D434EB">
        <w:rPr>
          <w:rFonts w:asciiTheme="majorHAnsi" w:hAnsiTheme="majorHAnsi" w:cstheme="majorHAnsi"/>
          <w:sz w:val="22"/>
          <w:szCs w:val="22"/>
          <w:lang w:val="en-GB"/>
        </w:rPr>
        <w:t xml:space="preserve"> </w:t>
      </w:r>
      <w:r w:rsidRPr="004E147E">
        <w:rPr>
          <w:rFonts w:asciiTheme="majorHAnsi" w:hAnsiTheme="majorHAnsi" w:cstheme="majorHAnsi"/>
          <w:sz w:val="22"/>
          <w:szCs w:val="22"/>
          <w:lang w:val="en-GB"/>
        </w:rPr>
        <w:t xml:space="preserve">“Improving the Quality of Education through School-Based Management: Learning from International Experience. </w:t>
      </w:r>
      <w:r w:rsidRPr="004E147E">
        <w:rPr>
          <w:rFonts w:asciiTheme="majorHAnsi" w:hAnsiTheme="majorHAnsi" w:cstheme="majorHAnsi"/>
          <w:i/>
          <w:sz w:val="22"/>
          <w:szCs w:val="22"/>
          <w:lang w:val="en-GB"/>
        </w:rPr>
        <w:t>Review of Education,</w:t>
      </w:r>
      <w:r w:rsidRPr="004E147E">
        <w:rPr>
          <w:rFonts w:asciiTheme="majorHAnsi" w:hAnsiTheme="majorHAnsi" w:cstheme="majorHAnsi"/>
          <w:sz w:val="22"/>
          <w:szCs w:val="22"/>
          <w:lang w:val="en-GB"/>
        </w:rPr>
        <w:t xml:space="preserve"> 51 (10): 269-287.</w:t>
      </w:r>
    </w:p>
    <w:p w14:paraId="576C5714" w14:textId="77777777" w:rsidR="008D0CAD" w:rsidRPr="004E147E" w:rsidRDefault="008D0CAD" w:rsidP="00385784">
      <w:pPr>
        <w:spacing w:before="100" w:beforeAutospacing="1" w:after="100" w:afterAutospacing="1" w:line="360" w:lineRule="auto"/>
        <w:ind w:left="720" w:hanging="720"/>
        <w:rPr>
          <w:rFonts w:asciiTheme="majorHAnsi" w:hAnsiTheme="majorHAnsi" w:cstheme="majorHAnsi"/>
          <w:sz w:val="22"/>
          <w:szCs w:val="22"/>
          <w:lang w:val="en-GB"/>
        </w:rPr>
      </w:pPr>
      <w:r w:rsidRPr="004E147E">
        <w:rPr>
          <w:rFonts w:asciiTheme="majorHAnsi" w:hAnsiTheme="majorHAnsi" w:cstheme="majorHAnsi"/>
          <w:sz w:val="22"/>
          <w:szCs w:val="22"/>
          <w:lang w:val="en-GB"/>
        </w:rPr>
        <w:t xml:space="preserve">Khattri, N. et. al. The Effects of School-Based Management in the Philippines: An Initial Assessment. </w:t>
      </w:r>
    </w:p>
    <w:p w14:paraId="72558735" w14:textId="77777777" w:rsidR="008D0CAD" w:rsidRPr="004E147E" w:rsidRDefault="008D0CAD" w:rsidP="00385784">
      <w:pPr>
        <w:spacing w:before="100" w:beforeAutospacing="1" w:after="100" w:afterAutospacing="1" w:line="360" w:lineRule="auto"/>
        <w:ind w:left="720" w:hanging="720"/>
        <w:rPr>
          <w:rFonts w:asciiTheme="majorHAnsi" w:hAnsiTheme="majorHAnsi" w:cstheme="majorHAnsi"/>
          <w:sz w:val="22"/>
          <w:szCs w:val="22"/>
          <w:lang w:val="en-GB"/>
        </w:rPr>
      </w:pPr>
      <w:r w:rsidRPr="004E147E">
        <w:rPr>
          <w:rFonts w:asciiTheme="majorHAnsi" w:hAnsiTheme="majorHAnsi" w:cstheme="majorHAnsi"/>
          <w:sz w:val="22"/>
          <w:szCs w:val="22"/>
          <w:lang w:val="en-GB"/>
        </w:rPr>
        <w:t xml:space="preserve">Sarvi, J., Munger F., and H. Pillay. (2015). </w:t>
      </w:r>
      <w:r w:rsidRPr="004E147E">
        <w:rPr>
          <w:rFonts w:asciiTheme="majorHAnsi" w:hAnsiTheme="majorHAnsi" w:cstheme="majorHAnsi"/>
          <w:i/>
          <w:sz w:val="22"/>
          <w:szCs w:val="22"/>
          <w:lang w:val="en-GB"/>
        </w:rPr>
        <w:t>Transitions to K-12 Education Systems: Experiences form Five Case Countries</w:t>
      </w:r>
      <w:r w:rsidRPr="004E147E">
        <w:rPr>
          <w:rFonts w:asciiTheme="majorHAnsi" w:hAnsiTheme="majorHAnsi" w:cstheme="majorHAnsi"/>
          <w:sz w:val="22"/>
          <w:szCs w:val="22"/>
          <w:lang w:val="en-GB"/>
        </w:rPr>
        <w:t>. Mandaluyong City: Asian Development Bank.</w:t>
      </w:r>
    </w:p>
    <w:p w14:paraId="56310080" w14:textId="77777777" w:rsidR="008D0CAD" w:rsidRPr="004E147E" w:rsidRDefault="008D0CAD" w:rsidP="00385784">
      <w:pPr>
        <w:spacing w:before="100" w:beforeAutospacing="1" w:after="100" w:afterAutospacing="1" w:line="360" w:lineRule="auto"/>
        <w:ind w:left="720" w:hanging="720"/>
        <w:rPr>
          <w:rFonts w:asciiTheme="majorHAnsi" w:hAnsiTheme="majorHAnsi" w:cstheme="majorHAnsi"/>
          <w:sz w:val="22"/>
          <w:szCs w:val="22"/>
          <w:lang w:val="en-GB"/>
        </w:rPr>
      </w:pPr>
      <w:r w:rsidRPr="004E147E">
        <w:rPr>
          <w:rFonts w:asciiTheme="majorHAnsi" w:hAnsiTheme="majorHAnsi" w:cstheme="majorHAnsi"/>
          <w:sz w:val="22"/>
          <w:szCs w:val="22"/>
          <w:lang w:val="en-GB"/>
        </w:rPr>
        <w:t xml:space="preserve">United Nations Children’s Fund (UNICEF). (2009). </w:t>
      </w:r>
      <w:r w:rsidRPr="004E147E">
        <w:rPr>
          <w:rFonts w:asciiTheme="majorHAnsi" w:hAnsiTheme="majorHAnsi" w:cstheme="majorHAnsi"/>
          <w:i/>
          <w:sz w:val="22"/>
          <w:szCs w:val="22"/>
          <w:lang w:val="en-GB"/>
        </w:rPr>
        <w:t>State of the World’s Children Report</w:t>
      </w:r>
      <w:r w:rsidRPr="004E147E">
        <w:rPr>
          <w:rFonts w:asciiTheme="majorHAnsi" w:hAnsiTheme="majorHAnsi" w:cstheme="majorHAnsi"/>
          <w:sz w:val="22"/>
          <w:szCs w:val="22"/>
          <w:lang w:val="en-GB"/>
        </w:rPr>
        <w:t>. New York: UNICEF.</w:t>
      </w:r>
    </w:p>
    <w:p w14:paraId="30ED1F45" w14:textId="29A39CB4" w:rsidR="008D0CAD" w:rsidRPr="004E147E" w:rsidRDefault="008D0CAD" w:rsidP="00385784">
      <w:pPr>
        <w:spacing w:before="100" w:beforeAutospacing="1" w:after="100" w:afterAutospacing="1" w:line="360" w:lineRule="auto"/>
        <w:rPr>
          <w:lang w:val="en-US"/>
        </w:rPr>
      </w:pPr>
      <w:r w:rsidRPr="004E147E">
        <w:rPr>
          <w:rFonts w:asciiTheme="majorHAnsi" w:hAnsiTheme="majorHAnsi" w:cstheme="majorHAnsi"/>
          <w:sz w:val="22"/>
          <w:szCs w:val="22"/>
          <w:lang w:val="en-GB"/>
        </w:rPr>
        <w:t>Yap, I. and Adorio, M. (2008). “School-Based Management: Promoting Special Education Programs in Local Schools”.</w:t>
      </w:r>
      <w:r w:rsidR="00D434EB">
        <w:rPr>
          <w:rFonts w:asciiTheme="majorHAnsi" w:hAnsiTheme="majorHAnsi" w:cstheme="majorHAnsi"/>
          <w:sz w:val="22"/>
          <w:szCs w:val="22"/>
          <w:lang w:val="en-GB"/>
        </w:rPr>
        <w:t xml:space="preserve"> </w:t>
      </w:r>
      <w:r w:rsidRPr="004E147E">
        <w:rPr>
          <w:rFonts w:asciiTheme="majorHAnsi" w:hAnsiTheme="majorHAnsi" w:cstheme="majorHAnsi"/>
          <w:i/>
          <w:sz w:val="22"/>
          <w:szCs w:val="22"/>
          <w:lang w:val="en-GB"/>
        </w:rPr>
        <w:t>Education Quarterly</w:t>
      </w:r>
      <w:r w:rsidRPr="004E147E">
        <w:rPr>
          <w:rFonts w:asciiTheme="majorHAnsi" w:hAnsiTheme="majorHAnsi" w:cstheme="majorHAnsi"/>
          <w:sz w:val="22"/>
          <w:szCs w:val="22"/>
          <w:lang w:val="en-GB"/>
        </w:rPr>
        <w:t>, 66 (1): 50-70.</w:t>
      </w:r>
    </w:p>
    <w:p w14:paraId="5E3F3B58" w14:textId="77777777" w:rsidR="008D0CAD" w:rsidRDefault="008D0CAD" w:rsidP="00385784">
      <w:pPr>
        <w:spacing w:before="100" w:beforeAutospacing="1" w:after="100" w:afterAutospacing="1" w:line="360" w:lineRule="auto"/>
        <w:rPr>
          <w:lang w:val="en-US"/>
        </w:rPr>
      </w:pPr>
    </w:p>
    <w:p w14:paraId="3AD48DCA" w14:textId="77777777" w:rsidR="008D0CAD" w:rsidRDefault="008D0CAD" w:rsidP="002320B3">
      <w:pPr>
        <w:rPr>
          <w:lang w:val="en-US"/>
        </w:rPr>
        <w:sectPr w:rsidR="008D0CAD" w:rsidSect="009C64E9">
          <w:pgSz w:w="12240" w:h="15840"/>
          <w:pgMar w:top="1440" w:right="1440" w:bottom="1440" w:left="1440" w:header="720" w:footer="720" w:gutter="0"/>
          <w:cols w:space="720"/>
          <w:docGrid w:linePitch="360"/>
        </w:sectPr>
      </w:pPr>
    </w:p>
    <w:p w14:paraId="2E4D0BCA" w14:textId="04BF787D" w:rsidR="008D0CAD" w:rsidRPr="004E147E" w:rsidRDefault="008D0CAD" w:rsidP="00385784">
      <w:pPr>
        <w:pStyle w:val="Heading2"/>
        <w:numPr>
          <w:ilvl w:val="0"/>
          <w:numId w:val="0"/>
        </w:numPr>
        <w:spacing w:before="100" w:beforeAutospacing="1" w:after="100" w:afterAutospacing="1" w:line="360" w:lineRule="auto"/>
        <w:ind w:left="1288" w:hanging="720"/>
      </w:pPr>
      <w:bookmarkStart w:id="622" w:name="_Toc39938426"/>
      <w:bookmarkStart w:id="623" w:name="_Toc69820530"/>
      <w:r w:rsidRPr="004E147E">
        <w:t>Annex Y.</w:t>
      </w:r>
      <w:r w:rsidR="00D434EB">
        <w:t xml:space="preserve"> </w:t>
      </w:r>
      <w:r w:rsidRPr="004E147E">
        <w:t>Perception of PSHs and Teachers on BEST Program-supported DepEd Policies</w:t>
      </w:r>
      <w:bookmarkEnd w:id="622"/>
      <w:bookmarkEnd w:id="623"/>
    </w:p>
    <w:p w14:paraId="5CCA086B" w14:textId="2C2EA9DF" w:rsidR="008D0CAD" w:rsidRPr="004E147E" w:rsidRDefault="008D0CAD" w:rsidP="00385784">
      <w:pPr>
        <w:pStyle w:val="Heading3"/>
        <w:spacing w:before="100" w:beforeAutospacing="1" w:after="100" w:afterAutospacing="1" w:line="360" w:lineRule="auto"/>
        <w:rPr>
          <w:lang w:val="en-US"/>
        </w:rPr>
      </w:pPr>
      <w:bookmarkStart w:id="624" w:name="_Toc39938427"/>
      <w:bookmarkStart w:id="625" w:name="_Toc69820531"/>
      <w:r w:rsidRPr="004E147E">
        <w:rPr>
          <w:lang w:val="en-US"/>
        </w:rPr>
        <w:t>Figure Y-1.</w:t>
      </w:r>
      <w:r w:rsidR="00D434EB">
        <w:rPr>
          <w:lang w:val="en-US"/>
        </w:rPr>
        <w:t xml:space="preserve"> </w:t>
      </w:r>
      <w:r w:rsidRPr="004E147E">
        <w:rPr>
          <w:lang w:val="en-US"/>
        </w:rPr>
        <w:t>Perceptions of PSHs on Knowledge and Usefulness of Program-supported Policies, 2019</w:t>
      </w:r>
      <w:bookmarkEnd w:id="624"/>
      <w:bookmarkEnd w:id="625"/>
    </w:p>
    <w:p w14:paraId="4DB1C803" w14:textId="77777777" w:rsidR="008D0CAD" w:rsidRPr="004E147E" w:rsidRDefault="008D0CAD" w:rsidP="00385784">
      <w:pPr>
        <w:spacing w:before="100" w:beforeAutospacing="1" w:after="100" w:afterAutospacing="1" w:line="360" w:lineRule="auto"/>
        <w:rPr>
          <w:rFonts w:asciiTheme="majorHAnsi" w:hAnsiTheme="majorHAnsi" w:cstheme="majorHAnsi"/>
          <w:lang w:val="en-US"/>
        </w:rPr>
      </w:pPr>
      <w:r w:rsidRPr="004E147E">
        <w:rPr>
          <w:rFonts w:asciiTheme="majorHAnsi" w:hAnsiTheme="majorHAnsi" w:cstheme="majorHAnsi"/>
          <w:noProof/>
          <w:lang w:val="en-AU" w:eastAsia="en-AU"/>
        </w:rPr>
        <w:drawing>
          <wp:inline distT="0" distB="0" distL="0" distR="0" wp14:anchorId="63068CC7" wp14:editId="09DC2AC3">
            <wp:extent cx="7239000" cy="4285867"/>
            <wp:effectExtent l="0" t="0" r="0" b="635"/>
            <wp:docPr id="122" name="Picture 122" descr="Scatter chart of perceptions of Principals and School Heads on Knowledge and Usefulness of BEST-supported policies for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Scatter chart of perceptions of Principals and School Heads on Knowledge and Usefulness of BEST-supported policies for 2019"/>
                    <pic:cNvPicPr/>
                  </pic:nvPicPr>
                  <pic:blipFill rotWithShape="1">
                    <a:blip r:embed="rId126" cstate="print">
                      <a:extLst>
                        <a:ext uri="{28A0092B-C50C-407E-A947-70E740481C1C}">
                          <a14:useLocalDpi xmlns:a14="http://schemas.microsoft.com/office/drawing/2010/main" val="0"/>
                        </a:ext>
                      </a:extLst>
                    </a:blip>
                    <a:srcRect l="20903" t="24976" r="13337" b="12732"/>
                    <a:stretch/>
                  </pic:blipFill>
                  <pic:spPr bwMode="auto">
                    <a:xfrm>
                      <a:off x="0" y="0"/>
                      <a:ext cx="7290279" cy="4316227"/>
                    </a:xfrm>
                    <a:prstGeom prst="rect">
                      <a:avLst/>
                    </a:prstGeom>
                    <a:ln>
                      <a:noFill/>
                    </a:ln>
                    <a:extLst>
                      <a:ext uri="{53640926-AAD7-44D8-BBD7-CCE9431645EC}">
                        <a14:shadowObscured xmlns:a14="http://schemas.microsoft.com/office/drawing/2010/main"/>
                      </a:ext>
                    </a:extLst>
                  </pic:spPr>
                </pic:pic>
              </a:graphicData>
            </a:graphic>
          </wp:inline>
        </w:drawing>
      </w:r>
    </w:p>
    <w:p w14:paraId="3852FE72" w14:textId="77777777" w:rsidR="008D0CAD" w:rsidRPr="004E147E" w:rsidRDefault="008D0CAD" w:rsidP="00385784">
      <w:pPr>
        <w:spacing w:before="100" w:beforeAutospacing="1" w:after="100" w:afterAutospacing="1" w:line="360" w:lineRule="auto"/>
        <w:rPr>
          <w:rFonts w:asciiTheme="majorHAnsi" w:hAnsiTheme="majorHAnsi" w:cstheme="majorHAnsi"/>
          <w:i/>
          <w:iCs/>
          <w:sz w:val="20"/>
          <w:szCs w:val="20"/>
          <w:lang w:val="en-US"/>
        </w:rPr>
      </w:pPr>
      <w:r w:rsidRPr="004E147E">
        <w:rPr>
          <w:rFonts w:asciiTheme="majorHAnsi" w:hAnsiTheme="majorHAnsi" w:cstheme="majorHAnsi"/>
          <w:i/>
          <w:iCs/>
          <w:sz w:val="20"/>
          <w:szCs w:val="20"/>
          <w:lang w:val="en-US"/>
        </w:rPr>
        <w:t>Sourcefile: HERITAGE 201906015 Self Assessment Tools v5</w:t>
      </w:r>
    </w:p>
    <w:p w14:paraId="664B19DA" w14:textId="77777777" w:rsidR="008D0CAD" w:rsidRPr="004E147E" w:rsidRDefault="008D0CAD" w:rsidP="00385784">
      <w:pPr>
        <w:pStyle w:val="Heading3"/>
        <w:spacing w:before="100" w:beforeAutospacing="1" w:after="100" w:afterAutospacing="1" w:line="360" w:lineRule="auto"/>
        <w:rPr>
          <w:lang w:val="en-US"/>
        </w:rPr>
      </w:pPr>
      <w:bookmarkStart w:id="626" w:name="_Toc39938428"/>
      <w:bookmarkStart w:id="627" w:name="_Toc69820532"/>
      <w:r w:rsidRPr="004E147E">
        <w:rPr>
          <w:lang w:val="en-US"/>
        </w:rPr>
        <w:t>Figure Y-2. Perceptions of PSHs on Knowledge and Usefulness of Program-supported Policies, 2020</w:t>
      </w:r>
      <w:bookmarkEnd w:id="626"/>
      <w:bookmarkEnd w:id="627"/>
    </w:p>
    <w:p w14:paraId="4086AE75" w14:textId="60280365" w:rsidR="008D0CAD" w:rsidRPr="004E147E" w:rsidRDefault="008D0CAD" w:rsidP="00385784">
      <w:pPr>
        <w:spacing w:before="100" w:beforeAutospacing="1" w:after="100" w:afterAutospacing="1" w:line="360" w:lineRule="auto"/>
        <w:rPr>
          <w:rFonts w:asciiTheme="majorHAnsi" w:hAnsiTheme="majorHAnsi" w:cstheme="majorHAnsi"/>
          <w:i/>
          <w:iCs/>
          <w:sz w:val="20"/>
          <w:szCs w:val="20"/>
          <w:lang w:val="en-US"/>
        </w:rPr>
      </w:pPr>
      <w:r w:rsidRPr="004E147E">
        <w:rPr>
          <w:rFonts w:asciiTheme="majorHAnsi" w:hAnsiTheme="majorHAnsi" w:cstheme="majorHAnsi"/>
          <w:noProof/>
          <w:lang w:val="en-AU" w:eastAsia="en-AU"/>
        </w:rPr>
        <w:drawing>
          <wp:inline distT="0" distB="0" distL="0" distR="0" wp14:anchorId="5ABC7973" wp14:editId="0B8C20CC">
            <wp:extent cx="7943353" cy="4913647"/>
            <wp:effectExtent l="0" t="0" r="0" b="1270"/>
            <wp:docPr id="123" name="Picture 123" descr="Scatter chart of perceptions of Principals and School Heads on Knowledge and Usefulness of BEST-supported policies for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Scatter chart of perceptions of Principals and School Heads on Knowledge and Usefulness of BEST-supported policies for 2020"/>
                    <pic:cNvPicPr/>
                  </pic:nvPicPr>
                  <pic:blipFill rotWithShape="1">
                    <a:blip r:embed="rId127" cstate="print">
                      <a:extLst>
                        <a:ext uri="{28A0092B-C50C-407E-A947-70E740481C1C}">
                          <a14:useLocalDpi xmlns:a14="http://schemas.microsoft.com/office/drawing/2010/main" val="0"/>
                        </a:ext>
                      </a:extLst>
                    </a:blip>
                    <a:srcRect l="24132" t="25265" r="10465" b="10006"/>
                    <a:stretch/>
                  </pic:blipFill>
                  <pic:spPr bwMode="auto">
                    <a:xfrm>
                      <a:off x="0" y="0"/>
                      <a:ext cx="7965912" cy="4927602"/>
                    </a:xfrm>
                    <a:prstGeom prst="rect">
                      <a:avLst/>
                    </a:prstGeom>
                    <a:ln>
                      <a:noFill/>
                    </a:ln>
                    <a:extLst>
                      <a:ext uri="{53640926-AAD7-44D8-BBD7-CCE9431645EC}">
                        <a14:shadowObscured xmlns:a14="http://schemas.microsoft.com/office/drawing/2010/main"/>
                      </a:ext>
                    </a:extLst>
                  </pic:spPr>
                </pic:pic>
              </a:graphicData>
            </a:graphic>
          </wp:inline>
        </w:drawing>
      </w:r>
      <w:r w:rsidRPr="004E147E">
        <w:rPr>
          <w:rFonts w:asciiTheme="majorHAnsi" w:hAnsiTheme="majorHAnsi" w:cstheme="majorHAnsi"/>
          <w:i/>
          <w:iCs/>
          <w:sz w:val="20"/>
          <w:szCs w:val="20"/>
          <w:lang w:val="en-US"/>
        </w:rPr>
        <w:t>Sourcefile: 20200330 SAT ENCODED RESULTS PSHs</w:t>
      </w:r>
    </w:p>
    <w:p w14:paraId="641A8029" w14:textId="77777777" w:rsidR="008D0CAD" w:rsidRDefault="008D0CAD" w:rsidP="00385784">
      <w:pPr>
        <w:spacing w:before="100" w:beforeAutospacing="1" w:after="100" w:afterAutospacing="1" w:line="360" w:lineRule="auto"/>
        <w:rPr>
          <w:lang w:val="en-US"/>
        </w:rPr>
        <w:sectPr w:rsidR="008D0CAD" w:rsidSect="009C64E9">
          <w:pgSz w:w="15840" w:h="12240" w:orient="landscape"/>
          <w:pgMar w:top="720" w:right="720" w:bottom="720" w:left="720" w:header="720" w:footer="720" w:gutter="0"/>
          <w:cols w:space="720"/>
          <w:docGrid w:linePitch="360"/>
        </w:sectPr>
      </w:pPr>
    </w:p>
    <w:tbl>
      <w:tblPr>
        <w:tblStyle w:val="TableGrid11"/>
        <w:tblW w:w="9226" w:type="dxa"/>
        <w:tblLook w:val="04A0" w:firstRow="1" w:lastRow="0" w:firstColumn="1" w:lastColumn="0" w:noHBand="0" w:noVBand="1"/>
      </w:tblPr>
      <w:tblGrid>
        <w:gridCol w:w="9226"/>
      </w:tblGrid>
      <w:tr w:rsidR="008D0CAD" w:rsidRPr="004E147E" w14:paraId="4B204744" w14:textId="77777777" w:rsidTr="00F4751F">
        <w:trPr>
          <w:trHeight w:val="561"/>
          <w:tblHeader/>
        </w:trPr>
        <w:tc>
          <w:tcPr>
            <w:tcW w:w="9226" w:type="dxa"/>
            <w:hideMark/>
          </w:tcPr>
          <w:p w14:paraId="4FBE1B0B" w14:textId="77777777" w:rsidR="008D0CAD" w:rsidRPr="004E147E" w:rsidRDefault="008D0CAD" w:rsidP="00385784">
            <w:pPr>
              <w:spacing w:before="100" w:beforeAutospacing="1" w:after="100" w:afterAutospacing="1" w:line="360" w:lineRule="auto"/>
              <w:rPr>
                <w:rFonts w:ascii="Calibri Light" w:hAnsi="Calibri Light" w:cs="Calibri Light"/>
                <w:b/>
                <w:bCs/>
                <w:color w:val="000000"/>
                <w:sz w:val="20"/>
                <w:szCs w:val="20"/>
              </w:rPr>
            </w:pPr>
            <w:r w:rsidRPr="004E147E">
              <w:rPr>
                <w:rFonts w:ascii="Calibri Light" w:hAnsi="Calibri Light" w:cs="Calibri Light"/>
                <w:b/>
                <w:bCs/>
                <w:color w:val="000000"/>
                <w:sz w:val="20"/>
                <w:szCs w:val="20"/>
              </w:rPr>
              <w:t> </w:t>
            </w:r>
            <w:r w:rsidR="00192E74">
              <w:rPr>
                <w:rFonts w:ascii="Calibri Light" w:hAnsi="Calibri Light" w:cs="Calibri Light"/>
                <w:b/>
                <w:bCs/>
                <w:color w:val="000000"/>
                <w:sz w:val="20"/>
                <w:szCs w:val="20"/>
              </w:rPr>
              <w:t>Departmental Orders</w:t>
            </w:r>
          </w:p>
        </w:tc>
      </w:tr>
      <w:tr w:rsidR="008D0CAD" w:rsidRPr="004E147E" w14:paraId="2A48A9F1" w14:textId="77777777" w:rsidTr="00192E74">
        <w:trPr>
          <w:trHeight w:val="743"/>
        </w:trPr>
        <w:tc>
          <w:tcPr>
            <w:tcW w:w="9226" w:type="dxa"/>
            <w:hideMark/>
          </w:tcPr>
          <w:p w14:paraId="305AE67A" w14:textId="77777777" w:rsidR="008D0CAD" w:rsidRPr="004E147E" w:rsidRDefault="008D0CAD" w:rsidP="00385784">
            <w:pPr>
              <w:widowControl w:val="0"/>
              <w:numPr>
                <w:ilvl w:val="0"/>
                <w:numId w:val="138"/>
              </w:numPr>
              <w:spacing w:before="100" w:beforeAutospacing="1" w:after="100" w:afterAutospacing="1" w:line="360" w:lineRule="auto"/>
              <w:rPr>
                <w:rFonts w:ascii="Calibri Light" w:hAnsi="Calibri Light" w:cs="Calibri Light"/>
                <w:snapToGrid w:val="0"/>
                <w:color w:val="000000"/>
                <w:sz w:val="20"/>
                <w:szCs w:val="20"/>
              </w:rPr>
            </w:pPr>
            <w:r w:rsidRPr="004E147E">
              <w:rPr>
                <w:rFonts w:ascii="Calibri Light" w:hAnsi="Calibri Light" w:cs="Calibri Light"/>
                <w:snapToGrid w:val="0"/>
                <w:color w:val="000000"/>
                <w:sz w:val="20"/>
                <w:szCs w:val="20"/>
              </w:rPr>
              <w:t>DO No. 35, s. 2016 on “The Learning Action Cell as a K to 12 Basic Education Program School-Based Continuing professional Development Strategy for the Improvement of Teaching and Learning”</w:t>
            </w:r>
          </w:p>
        </w:tc>
      </w:tr>
      <w:tr w:rsidR="008D0CAD" w:rsidRPr="004E147E" w14:paraId="2DB7CD24" w14:textId="77777777" w:rsidTr="00192E74">
        <w:trPr>
          <w:trHeight w:val="743"/>
        </w:trPr>
        <w:tc>
          <w:tcPr>
            <w:tcW w:w="9226" w:type="dxa"/>
            <w:hideMark/>
          </w:tcPr>
          <w:p w14:paraId="40AC514D" w14:textId="77777777" w:rsidR="008D0CAD" w:rsidRPr="004E147E" w:rsidRDefault="008D0CAD" w:rsidP="00385784">
            <w:pPr>
              <w:widowControl w:val="0"/>
              <w:numPr>
                <w:ilvl w:val="0"/>
                <w:numId w:val="138"/>
              </w:numPr>
              <w:spacing w:before="100" w:beforeAutospacing="1" w:after="100" w:afterAutospacing="1" w:line="360" w:lineRule="auto"/>
              <w:rPr>
                <w:rFonts w:ascii="Calibri Light" w:hAnsi="Calibri Light" w:cs="Calibri Light"/>
                <w:snapToGrid w:val="0"/>
                <w:color w:val="000000"/>
                <w:sz w:val="20"/>
                <w:szCs w:val="20"/>
              </w:rPr>
            </w:pPr>
            <w:r w:rsidRPr="004E147E">
              <w:rPr>
                <w:rFonts w:ascii="Calibri Light" w:hAnsi="Calibri Light" w:cs="Calibri Light"/>
                <w:snapToGrid w:val="0"/>
                <w:color w:val="000000"/>
                <w:sz w:val="20"/>
                <w:szCs w:val="20"/>
              </w:rPr>
              <w:t>DO No. 55, s. 2015 on the “Utilisation of Language Mapping Data for Mother Tongue-Based Multilingual Education (MTB-MLE) Program Implementation”</w:t>
            </w:r>
          </w:p>
        </w:tc>
      </w:tr>
      <w:tr w:rsidR="008D0CAD" w:rsidRPr="004E147E" w14:paraId="3006CB8C" w14:textId="77777777" w:rsidTr="00192E74">
        <w:trPr>
          <w:trHeight w:val="495"/>
        </w:trPr>
        <w:tc>
          <w:tcPr>
            <w:tcW w:w="9226" w:type="dxa"/>
            <w:hideMark/>
          </w:tcPr>
          <w:p w14:paraId="7F45B391" w14:textId="77777777" w:rsidR="008D0CAD" w:rsidRPr="004E147E" w:rsidRDefault="008D0CAD" w:rsidP="00385784">
            <w:pPr>
              <w:widowControl w:val="0"/>
              <w:numPr>
                <w:ilvl w:val="0"/>
                <w:numId w:val="138"/>
              </w:numPr>
              <w:spacing w:before="100" w:beforeAutospacing="1" w:after="100" w:afterAutospacing="1" w:line="360" w:lineRule="auto"/>
              <w:rPr>
                <w:rFonts w:ascii="Calibri Light" w:hAnsi="Calibri Light" w:cs="Calibri Light"/>
                <w:b/>
                <w:bCs/>
                <w:snapToGrid w:val="0"/>
                <w:color w:val="000000"/>
                <w:sz w:val="20"/>
                <w:szCs w:val="20"/>
              </w:rPr>
            </w:pPr>
            <w:r w:rsidRPr="004E147E">
              <w:rPr>
                <w:rFonts w:ascii="Calibri Light" w:hAnsi="Calibri Light" w:cs="Calibri Light"/>
                <w:b/>
                <w:bCs/>
                <w:snapToGrid w:val="0"/>
                <w:color w:val="000000"/>
                <w:sz w:val="20"/>
                <w:szCs w:val="20"/>
              </w:rPr>
              <w:t>DO No. 39, s. 2016 on the “Adoption of the Basic Education Research Agenda”</w:t>
            </w:r>
          </w:p>
        </w:tc>
      </w:tr>
      <w:tr w:rsidR="008D0CAD" w:rsidRPr="004E147E" w14:paraId="25A03F6E" w14:textId="77777777" w:rsidTr="00192E74">
        <w:trPr>
          <w:trHeight w:val="495"/>
        </w:trPr>
        <w:tc>
          <w:tcPr>
            <w:tcW w:w="9226" w:type="dxa"/>
            <w:hideMark/>
          </w:tcPr>
          <w:p w14:paraId="0FBB75BB" w14:textId="77777777" w:rsidR="008D0CAD" w:rsidRPr="004E147E" w:rsidRDefault="008D0CAD" w:rsidP="00385784">
            <w:pPr>
              <w:widowControl w:val="0"/>
              <w:numPr>
                <w:ilvl w:val="0"/>
                <w:numId w:val="138"/>
              </w:numPr>
              <w:spacing w:before="100" w:beforeAutospacing="1" w:after="100" w:afterAutospacing="1" w:line="360" w:lineRule="auto"/>
              <w:rPr>
                <w:rFonts w:ascii="Calibri Light" w:hAnsi="Calibri Light" w:cs="Calibri Light"/>
                <w:snapToGrid w:val="0"/>
                <w:color w:val="000000"/>
                <w:sz w:val="20"/>
                <w:szCs w:val="20"/>
              </w:rPr>
            </w:pPr>
            <w:r w:rsidRPr="004E147E">
              <w:rPr>
                <w:rFonts w:ascii="Calibri Light" w:hAnsi="Calibri Light" w:cs="Calibri Light"/>
                <w:snapToGrid w:val="0"/>
                <w:color w:val="000000"/>
                <w:sz w:val="20"/>
                <w:szCs w:val="20"/>
              </w:rPr>
              <w:t>DO No. 42, s. 2017 on the “National Adoption and Implementation of the Philippine Professional Standards for Teachers”</w:t>
            </w:r>
          </w:p>
        </w:tc>
      </w:tr>
      <w:tr w:rsidR="008D0CAD" w:rsidRPr="004E147E" w14:paraId="2986A4FE" w14:textId="77777777" w:rsidTr="00192E74">
        <w:trPr>
          <w:trHeight w:val="743"/>
        </w:trPr>
        <w:tc>
          <w:tcPr>
            <w:tcW w:w="9226" w:type="dxa"/>
            <w:hideMark/>
          </w:tcPr>
          <w:p w14:paraId="0FAE3728" w14:textId="77777777" w:rsidR="008D0CAD" w:rsidRPr="004E147E" w:rsidRDefault="008D0CAD" w:rsidP="00385784">
            <w:pPr>
              <w:widowControl w:val="0"/>
              <w:numPr>
                <w:ilvl w:val="0"/>
                <w:numId w:val="138"/>
              </w:numPr>
              <w:spacing w:before="100" w:beforeAutospacing="1" w:after="100" w:afterAutospacing="1" w:line="360" w:lineRule="auto"/>
              <w:rPr>
                <w:rFonts w:ascii="Calibri Light" w:hAnsi="Calibri Light" w:cs="Calibri Light"/>
                <w:snapToGrid w:val="0"/>
                <w:color w:val="000000"/>
                <w:sz w:val="20"/>
                <w:szCs w:val="20"/>
              </w:rPr>
            </w:pPr>
            <w:r w:rsidRPr="004E147E">
              <w:rPr>
                <w:rFonts w:ascii="Calibri Light" w:hAnsi="Calibri Light" w:cs="Calibri Light"/>
                <w:snapToGrid w:val="0"/>
                <w:color w:val="000000"/>
                <w:sz w:val="20"/>
                <w:szCs w:val="20"/>
              </w:rPr>
              <w:t xml:space="preserve">DO No. 2, s. 2015 </w:t>
            </w:r>
            <w:r w:rsidRPr="004E147E">
              <w:rPr>
                <w:rFonts w:ascii="Calibri Light" w:hAnsi="Calibri Light" w:cs="Calibri Light"/>
                <w:i/>
                <w:iCs/>
                <w:snapToGrid w:val="0"/>
                <w:color w:val="000000"/>
                <w:sz w:val="20"/>
                <w:szCs w:val="20"/>
              </w:rPr>
              <w:t>“</w:t>
            </w:r>
            <w:r w:rsidRPr="004E147E">
              <w:rPr>
                <w:rFonts w:ascii="Calibri Light" w:hAnsi="Calibri Light" w:cs="Calibri Light"/>
                <w:snapToGrid w:val="0"/>
                <w:color w:val="000000"/>
                <w:sz w:val="20"/>
                <w:szCs w:val="20"/>
              </w:rPr>
              <w:t>Guidelines on the Establishment and Implementation of the Results-Based Performance Management System (RPMS) in the Department of Education</w:t>
            </w:r>
            <w:r w:rsidRPr="004E147E">
              <w:rPr>
                <w:rFonts w:ascii="Calibri Light" w:hAnsi="Calibri Light" w:cs="Calibri Light"/>
                <w:i/>
                <w:iCs/>
                <w:snapToGrid w:val="0"/>
                <w:color w:val="000000"/>
                <w:sz w:val="20"/>
                <w:szCs w:val="20"/>
              </w:rPr>
              <w:t>”</w:t>
            </w:r>
          </w:p>
        </w:tc>
      </w:tr>
      <w:tr w:rsidR="008D0CAD" w:rsidRPr="004E147E" w14:paraId="655C9B24" w14:textId="77777777" w:rsidTr="00192E74">
        <w:trPr>
          <w:trHeight w:val="495"/>
        </w:trPr>
        <w:tc>
          <w:tcPr>
            <w:tcW w:w="9226" w:type="dxa"/>
            <w:hideMark/>
          </w:tcPr>
          <w:p w14:paraId="2D74653D" w14:textId="77777777" w:rsidR="008D0CAD" w:rsidRPr="004E147E" w:rsidRDefault="008D0CAD" w:rsidP="00385784">
            <w:pPr>
              <w:widowControl w:val="0"/>
              <w:numPr>
                <w:ilvl w:val="0"/>
                <w:numId w:val="138"/>
              </w:numPr>
              <w:spacing w:before="100" w:beforeAutospacing="1" w:after="100" w:afterAutospacing="1" w:line="360" w:lineRule="auto"/>
              <w:rPr>
                <w:rFonts w:ascii="Calibri Light" w:hAnsi="Calibri Light" w:cs="Calibri Light"/>
                <w:snapToGrid w:val="0"/>
                <w:color w:val="000000"/>
                <w:sz w:val="20"/>
                <w:szCs w:val="20"/>
              </w:rPr>
            </w:pPr>
            <w:r w:rsidRPr="004E147E">
              <w:rPr>
                <w:rFonts w:ascii="Calibri Light" w:hAnsi="Calibri Light" w:cs="Calibri Light"/>
                <w:snapToGrid w:val="0"/>
                <w:color w:val="000000"/>
                <w:sz w:val="20"/>
                <w:szCs w:val="20"/>
              </w:rPr>
              <w:t>DO No. 8 S. 2015 on the “Policy Guidelines on Classroom Assessment for the K to 12 Basic Education Program”</w:t>
            </w:r>
          </w:p>
        </w:tc>
      </w:tr>
      <w:tr w:rsidR="008D0CAD" w:rsidRPr="004E147E" w14:paraId="42E956D9" w14:textId="77777777" w:rsidTr="00192E74">
        <w:trPr>
          <w:trHeight w:val="743"/>
        </w:trPr>
        <w:tc>
          <w:tcPr>
            <w:tcW w:w="9226" w:type="dxa"/>
            <w:hideMark/>
          </w:tcPr>
          <w:p w14:paraId="2CB8A6F2" w14:textId="77777777" w:rsidR="008D0CAD" w:rsidRPr="004E147E" w:rsidRDefault="008D0CAD" w:rsidP="00385784">
            <w:pPr>
              <w:widowControl w:val="0"/>
              <w:numPr>
                <w:ilvl w:val="0"/>
                <w:numId w:val="138"/>
              </w:numPr>
              <w:spacing w:before="100" w:beforeAutospacing="1" w:after="100" w:afterAutospacing="1" w:line="360" w:lineRule="auto"/>
              <w:rPr>
                <w:rFonts w:ascii="Calibri Light" w:hAnsi="Calibri Light" w:cs="Calibri Light"/>
                <w:snapToGrid w:val="0"/>
                <w:color w:val="000000"/>
                <w:sz w:val="20"/>
                <w:szCs w:val="20"/>
              </w:rPr>
            </w:pPr>
            <w:r w:rsidRPr="004E147E">
              <w:rPr>
                <w:rFonts w:ascii="Calibri Light" w:hAnsi="Calibri Light" w:cs="Calibri Light"/>
                <w:snapToGrid w:val="0"/>
                <w:color w:val="000000"/>
                <w:sz w:val="20"/>
                <w:szCs w:val="20"/>
              </w:rPr>
              <w:t>DO No. 55, s. 2016 on the “Policy Guidelines on the National Assessment of Student Learning for the K to 12 Basic Education Program”</w:t>
            </w:r>
          </w:p>
        </w:tc>
      </w:tr>
      <w:tr w:rsidR="008D0CAD" w:rsidRPr="004E147E" w14:paraId="2EE93CEA" w14:textId="77777777" w:rsidTr="00192E74">
        <w:trPr>
          <w:trHeight w:val="495"/>
        </w:trPr>
        <w:tc>
          <w:tcPr>
            <w:tcW w:w="9226" w:type="dxa"/>
            <w:hideMark/>
          </w:tcPr>
          <w:p w14:paraId="0CB5A0DF" w14:textId="77777777" w:rsidR="008D0CAD" w:rsidRPr="004E147E" w:rsidRDefault="008D0CAD" w:rsidP="00385784">
            <w:pPr>
              <w:widowControl w:val="0"/>
              <w:numPr>
                <w:ilvl w:val="0"/>
                <w:numId w:val="138"/>
              </w:numPr>
              <w:spacing w:before="100" w:beforeAutospacing="1" w:after="100" w:afterAutospacing="1" w:line="360" w:lineRule="auto"/>
              <w:rPr>
                <w:rFonts w:ascii="Calibri Light" w:hAnsi="Calibri Light" w:cs="Calibri Light"/>
                <w:snapToGrid w:val="0"/>
                <w:color w:val="000000"/>
                <w:sz w:val="20"/>
                <w:szCs w:val="20"/>
              </w:rPr>
            </w:pPr>
            <w:r w:rsidRPr="004E147E">
              <w:rPr>
                <w:rFonts w:ascii="Calibri Light" w:hAnsi="Calibri Light" w:cs="Calibri Light"/>
                <w:snapToGrid w:val="0"/>
                <w:color w:val="000000"/>
                <w:sz w:val="20"/>
                <w:szCs w:val="20"/>
              </w:rPr>
              <w:t>DO No. 29, s. 2017 on the “Policy Guidelines on System Assessment in the K to 12 Basic Education Program”</w:t>
            </w:r>
          </w:p>
        </w:tc>
      </w:tr>
      <w:tr w:rsidR="008D0CAD" w:rsidRPr="004E147E" w14:paraId="62953650" w14:textId="77777777" w:rsidTr="00192E74">
        <w:trPr>
          <w:trHeight w:val="264"/>
        </w:trPr>
        <w:tc>
          <w:tcPr>
            <w:tcW w:w="9226" w:type="dxa"/>
            <w:hideMark/>
          </w:tcPr>
          <w:p w14:paraId="44D2B5CC" w14:textId="77777777" w:rsidR="008D0CAD" w:rsidRPr="004E147E" w:rsidRDefault="008D0CAD" w:rsidP="00385784">
            <w:pPr>
              <w:widowControl w:val="0"/>
              <w:numPr>
                <w:ilvl w:val="0"/>
                <w:numId w:val="138"/>
              </w:numPr>
              <w:spacing w:before="100" w:beforeAutospacing="1" w:after="100" w:afterAutospacing="1" w:line="360" w:lineRule="auto"/>
              <w:rPr>
                <w:rFonts w:ascii="Calibri Light" w:hAnsi="Calibri Light" w:cs="Calibri Light"/>
                <w:snapToGrid w:val="0"/>
                <w:color w:val="000000"/>
                <w:sz w:val="20"/>
                <w:szCs w:val="20"/>
              </w:rPr>
            </w:pPr>
            <w:r w:rsidRPr="004E147E">
              <w:rPr>
                <w:rFonts w:ascii="Calibri Light" w:hAnsi="Calibri Light" w:cs="Calibri Light"/>
                <w:snapToGrid w:val="0"/>
                <w:color w:val="000000"/>
                <w:sz w:val="20"/>
                <w:szCs w:val="20"/>
              </w:rPr>
              <w:t>DO No. 43, s. 2017 on the “Teacher Induction Program Policy”</w:t>
            </w:r>
          </w:p>
        </w:tc>
      </w:tr>
      <w:tr w:rsidR="008D0CAD" w:rsidRPr="004E147E" w14:paraId="7FD2F2FF" w14:textId="77777777" w:rsidTr="00192E74">
        <w:trPr>
          <w:trHeight w:val="495"/>
        </w:trPr>
        <w:tc>
          <w:tcPr>
            <w:tcW w:w="9226" w:type="dxa"/>
            <w:hideMark/>
          </w:tcPr>
          <w:p w14:paraId="115187C9" w14:textId="77777777" w:rsidR="008D0CAD" w:rsidRPr="004E147E" w:rsidRDefault="008D0CAD" w:rsidP="00385784">
            <w:pPr>
              <w:widowControl w:val="0"/>
              <w:numPr>
                <w:ilvl w:val="0"/>
                <w:numId w:val="138"/>
              </w:numPr>
              <w:spacing w:before="100" w:beforeAutospacing="1" w:after="100" w:afterAutospacing="1" w:line="360" w:lineRule="auto"/>
              <w:rPr>
                <w:rFonts w:ascii="Calibri Light" w:hAnsi="Calibri Light" w:cs="Calibri Light"/>
                <w:b/>
                <w:bCs/>
                <w:snapToGrid w:val="0"/>
                <w:color w:val="000000"/>
                <w:sz w:val="20"/>
                <w:szCs w:val="20"/>
              </w:rPr>
            </w:pPr>
            <w:r w:rsidRPr="004E147E">
              <w:rPr>
                <w:rFonts w:ascii="Calibri Light" w:hAnsi="Calibri Light" w:cs="Calibri Light"/>
                <w:b/>
                <w:bCs/>
                <w:snapToGrid w:val="0"/>
                <w:color w:val="000000"/>
                <w:sz w:val="20"/>
                <w:szCs w:val="20"/>
              </w:rPr>
              <w:t>DO 44, s. 2015 on the “Guidelines on the Enhanced School Improvement Planning (SIP) Process and the School Report Card (SRC)”</w:t>
            </w:r>
          </w:p>
        </w:tc>
      </w:tr>
      <w:tr w:rsidR="008D0CAD" w:rsidRPr="004E147E" w14:paraId="3D9CEF49" w14:textId="77777777" w:rsidTr="00192E74">
        <w:trPr>
          <w:trHeight w:val="495"/>
        </w:trPr>
        <w:tc>
          <w:tcPr>
            <w:tcW w:w="9226" w:type="dxa"/>
            <w:hideMark/>
          </w:tcPr>
          <w:p w14:paraId="5AC11DB1" w14:textId="77777777" w:rsidR="008D0CAD" w:rsidRPr="004E147E" w:rsidRDefault="008D0CAD" w:rsidP="00385784">
            <w:pPr>
              <w:widowControl w:val="0"/>
              <w:numPr>
                <w:ilvl w:val="0"/>
                <w:numId w:val="138"/>
              </w:numPr>
              <w:spacing w:before="100" w:beforeAutospacing="1" w:after="100" w:afterAutospacing="1" w:line="360" w:lineRule="auto"/>
              <w:rPr>
                <w:rFonts w:ascii="Calibri Light" w:hAnsi="Calibri Light" w:cs="Calibri Light"/>
                <w:snapToGrid w:val="0"/>
                <w:color w:val="000000"/>
                <w:sz w:val="20"/>
                <w:szCs w:val="20"/>
              </w:rPr>
            </w:pPr>
            <w:r w:rsidRPr="004E147E">
              <w:rPr>
                <w:rFonts w:ascii="Calibri Light" w:hAnsi="Calibri Light" w:cs="Calibri Light"/>
                <w:snapToGrid w:val="0"/>
                <w:color w:val="000000"/>
                <w:sz w:val="20"/>
                <w:szCs w:val="20"/>
              </w:rPr>
              <w:t>DEPED Order No. 32 s. 2017 on Gender-Responsive Basic Education Policy</w:t>
            </w:r>
          </w:p>
        </w:tc>
      </w:tr>
      <w:tr w:rsidR="008D0CAD" w:rsidRPr="004E147E" w14:paraId="0691192D" w14:textId="77777777" w:rsidTr="00192E74">
        <w:trPr>
          <w:trHeight w:val="495"/>
        </w:trPr>
        <w:tc>
          <w:tcPr>
            <w:tcW w:w="9226" w:type="dxa"/>
            <w:hideMark/>
          </w:tcPr>
          <w:p w14:paraId="48949125" w14:textId="77777777" w:rsidR="008D0CAD" w:rsidRPr="004E147E" w:rsidRDefault="008D0CAD" w:rsidP="00385784">
            <w:pPr>
              <w:widowControl w:val="0"/>
              <w:numPr>
                <w:ilvl w:val="0"/>
                <w:numId w:val="138"/>
              </w:numPr>
              <w:spacing w:before="100" w:beforeAutospacing="1" w:after="100" w:afterAutospacing="1" w:line="360" w:lineRule="auto"/>
              <w:rPr>
                <w:rFonts w:ascii="Calibri Light" w:hAnsi="Calibri Light" w:cs="Calibri Light"/>
                <w:snapToGrid w:val="0"/>
                <w:color w:val="000000"/>
                <w:sz w:val="20"/>
                <w:szCs w:val="20"/>
              </w:rPr>
            </w:pPr>
            <w:r w:rsidRPr="004E147E">
              <w:rPr>
                <w:rFonts w:ascii="Calibri Light" w:hAnsi="Calibri Light" w:cs="Calibri Light"/>
                <w:snapToGrid w:val="0"/>
                <w:color w:val="000000"/>
                <w:sz w:val="20"/>
                <w:szCs w:val="20"/>
              </w:rPr>
              <w:t>DO No. 41, s. 2017 on the “Policy Guidelines on Madrasah Education in the K to 12 Basic Education Program”</w:t>
            </w:r>
          </w:p>
        </w:tc>
      </w:tr>
      <w:tr w:rsidR="008D0CAD" w:rsidRPr="004E147E" w14:paraId="45411D59" w14:textId="77777777" w:rsidTr="00192E74">
        <w:trPr>
          <w:trHeight w:val="495"/>
        </w:trPr>
        <w:tc>
          <w:tcPr>
            <w:tcW w:w="9226" w:type="dxa"/>
            <w:hideMark/>
          </w:tcPr>
          <w:p w14:paraId="077F99EF" w14:textId="7A17128E" w:rsidR="008D0CAD" w:rsidRPr="004E147E" w:rsidRDefault="008D0CAD" w:rsidP="00385784">
            <w:pPr>
              <w:widowControl w:val="0"/>
              <w:numPr>
                <w:ilvl w:val="0"/>
                <w:numId w:val="138"/>
              </w:numPr>
              <w:spacing w:before="100" w:beforeAutospacing="1" w:after="100" w:afterAutospacing="1" w:line="360" w:lineRule="auto"/>
              <w:rPr>
                <w:rFonts w:ascii="Calibri Light" w:hAnsi="Calibri Light" w:cs="Calibri Light"/>
                <w:snapToGrid w:val="0"/>
                <w:color w:val="000000"/>
                <w:sz w:val="20"/>
                <w:szCs w:val="20"/>
              </w:rPr>
            </w:pPr>
            <w:r w:rsidRPr="004E147E">
              <w:rPr>
                <w:rFonts w:ascii="Calibri Light" w:hAnsi="Calibri Light" w:cs="Calibri Light"/>
                <w:snapToGrid w:val="0"/>
                <w:color w:val="000000"/>
                <w:sz w:val="20"/>
                <w:szCs w:val="20"/>
              </w:rPr>
              <w:t>13.</w:t>
            </w:r>
            <w:r w:rsidR="00D434EB">
              <w:rPr>
                <w:snapToGrid w:val="0"/>
                <w:color w:val="000000"/>
                <w:sz w:val="14"/>
                <w:szCs w:val="14"/>
              </w:rPr>
              <w:t xml:space="preserve"> </w:t>
            </w:r>
            <w:r w:rsidRPr="004E147E">
              <w:rPr>
                <w:snapToGrid w:val="0"/>
                <w:color w:val="000000"/>
                <w:sz w:val="14"/>
                <w:szCs w:val="14"/>
              </w:rPr>
              <w:t xml:space="preserve"> </w:t>
            </w:r>
            <w:r w:rsidRPr="004E147E">
              <w:rPr>
                <w:rFonts w:ascii="Calibri Light" w:hAnsi="Calibri Light" w:cs="Calibri Light"/>
                <w:snapToGrid w:val="0"/>
                <w:color w:val="000000"/>
                <w:sz w:val="20"/>
                <w:szCs w:val="20"/>
              </w:rPr>
              <w:t>DO No. 32, s. 2015 on “Adopting the Indigenous Peoples Education Curriculum Framework”</w:t>
            </w:r>
          </w:p>
        </w:tc>
      </w:tr>
    </w:tbl>
    <w:p w14:paraId="666E493F" w14:textId="77777777" w:rsidR="008D0CAD" w:rsidRPr="004E147E" w:rsidRDefault="008D0CAD" w:rsidP="002320B3">
      <w:pPr>
        <w:rPr>
          <w:lang w:val="en-US"/>
        </w:rPr>
        <w:sectPr w:rsidR="008D0CAD" w:rsidRPr="004E147E" w:rsidSect="009C64E9">
          <w:pgSz w:w="11906" w:h="16838" w:code="9"/>
          <w:pgMar w:top="1440" w:right="1440" w:bottom="1440" w:left="1440" w:header="708" w:footer="708" w:gutter="0"/>
          <w:cols w:space="708"/>
          <w:docGrid w:linePitch="360"/>
        </w:sectPr>
      </w:pPr>
    </w:p>
    <w:p w14:paraId="2FFCF57E" w14:textId="77777777" w:rsidR="008D0CAD" w:rsidRPr="004E147E" w:rsidRDefault="008D0CAD" w:rsidP="00385784">
      <w:pPr>
        <w:pStyle w:val="Heading2"/>
        <w:numPr>
          <w:ilvl w:val="0"/>
          <w:numId w:val="0"/>
        </w:numPr>
        <w:spacing w:before="100" w:beforeAutospacing="1" w:after="100" w:afterAutospacing="1" w:line="360" w:lineRule="auto"/>
        <w:ind w:left="1288" w:hanging="720"/>
      </w:pPr>
      <w:bookmarkStart w:id="628" w:name="_Toc39938429"/>
      <w:bookmarkStart w:id="629" w:name="_Toc69820533"/>
      <w:r w:rsidRPr="004E147E">
        <w:t>Annex Z. Composition of Evaluation Team</w:t>
      </w:r>
      <w:bookmarkEnd w:id="628"/>
      <w:bookmarkEnd w:id="629"/>
    </w:p>
    <w:p w14:paraId="34F2806E" w14:textId="77777777" w:rsidR="008D0CAD" w:rsidRPr="004E147E" w:rsidRDefault="008D0CAD" w:rsidP="00385784">
      <w:pPr>
        <w:spacing w:before="100" w:beforeAutospacing="1" w:after="100" w:afterAutospacing="1" w:line="360" w:lineRule="auto"/>
        <w:rPr>
          <w:rFonts w:asciiTheme="majorHAnsi" w:hAnsiTheme="majorHAnsi" w:cstheme="majorHAnsi"/>
          <w:b/>
          <w:lang w:val="en-US"/>
        </w:rPr>
      </w:pPr>
      <w:r w:rsidRPr="004E147E">
        <w:rPr>
          <w:rFonts w:asciiTheme="majorHAnsi" w:hAnsiTheme="majorHAnsi" w:cstheme="majorHAnsi"/>
          <w:b/>
          <w:lang w:val="en-US"/>
        </w:rPr>
        <w:t>Core Team</w:t>
      </w:r>
    </w:p>
    <w:p w14:paraId="5635BD86" w14:textId="77777777" w:rsidR="008D0CAD" w:rsidRPr="004E147E" w:rsidRDefault="008D0CAD" w:rsidP="00385784">
      <w:pPr>
        <w:spacing w:before="100" w:beforeAutospacing="1" w:after="100" w:afterAutospacing="1" w:line="360" w:lineRule="auto"/>
        <w:rPr>
          <w:rFonts w:asciiTheme="majorHAnsi" w:hAnsiTheme="majorHAnsi" w:cstheme="majorHAnsi"/>
          <w:lang w:val="en-US"/>
        </w:rPr>
      </w:pPr>
      <w:r w:rsidRPr="004E147E">
        <w:rPr>
          <w:rFonts w:asciiTheme="majorHAnsi" w:hAnsiTheme="majorHAnsi" w:cstheme="majorHAnsi"/>
          <w:lang w:val="en-US"/>
        </w:rPr>
        <w:t>Lead Consultant</w:t>
      </w:r>
      <w:r w:rsidRPr="004E147E">
        <w:rPr>
          <w:rFonts w:asciiTheme="majorHAnsi" w:hAnsiTheme="majorHAnsi" w:cstheme="majorHAnsi"/>
          <w:lang w:val="en-US"/>
        </w:rPr>
        <w:tab/>
      </w:r>
      <w:r w:rsidRPr="004E147E">
        <w:rPr>
          <w:rFonts w:asciiTheme="majorHAnsi" w:hAnsiTheme="majorHAnsi" w:cstheme="majorHAnsi"/>
          <w:lang w:val="en-US"/>
        </w:rPr>
        <w:tab/>
        <w:t>Juan Miguel M. Luz</w:t>
      </w:r>
    </w:p>
    <w:p w14:paraId="66B4950B" w14:textId="77777777" w:rsidR="008D0CAD" w:rsidRPr="004E147E" w:rsidRDefault="008D0CAD" w:rsidP="00385784">
      <w:pPr>
        <w:spacing w:before="100" w:beforeAutospacing="1" w:after="100" w:afterAutospacing="1" w:line="360" w:lineRule="auto"/>
        <w:rPr>
          <w:rFonts w:asciiTheme="majorHAnsi" w:hAnsiTheme="majorHAnsi" w:cstheme="majorHAnsi"/>
          <w:lang w:val="en-US"/>
        </w:rPr>
      </w:pPr>
      <w:r w:rsidRPr="004E147E">
        <w:rPr>
          <w:rFonts w:asciiTheme="majorHAnsi" w:hAnsiTheme="majorHAnsi" w:cstheme="majorHAnsi"/>
          <w:lang w:val="en-US"/>
        </w:rPr>
        <w:t>Associate Consultant</w:t>
      </w:r>
      <w:r w:rsidRPr="004E147E">
        <w:rPr>
          <w:rFonts w:asciiTheme="majorHAnsi" w:hAnsiTheme="majorHAnsi" w:cstheme="majorHAnsi"/>
          <w:lang w:val="en-US"/>
        </w:rPr>
        <w:tab/>
      </w:r>
      <w:r w:rsidRPr="004E147E">
        <w:rPr>
          <w:rFonts w:asciiTheme="majorHAnsi" w:hAnsiTheme="majorHAnsi" w:cstheme="majorHAnsi"/>
          <w:lang w:val="en-US"/>
        </w:rPr>
        <w:tab/>
        <w:t>Brenda B. Furagganan</w:t>
      </w:r>
    </w:p>
    <w:p w14:paraId="38C6BF42" w14:textId="77777777" w:rsidR="008D0CAD" w:rsidRPr="004E147E" w:rsidRDefault="008D0CAD" w:rsidP="00385784">
      <w:pPr>
        <w:spacing w:before="100" w:beforeAutospacing="1" w:after="100" w:afterAutospacing="1" w:line="360" w:lineRule="auto"/>
        <w:rPr>
          <w:rFonts w:asciiTheme="majorHAnsi" w:hAnsiTheme="majorHAnsi" w:cstheme="majorHAnsi"/>
          <w:lang w:val="en-US"/>
        </w:rPr>
      </w:pPr>
      <w:r w:rsidRPr="004E147E">
        <w:rPr>
          <w:rFonts w:asciiTheme="majorHAnsi" w:hAnsiTheme="majorHAnsi" w:cstheme="majorHAnsi"/>
          <w:lang w:val="en-US"/>
        </w:rPr>
        <w:t>Associate Consultant</w:t>
      </w:r>
      <w:r w:rsidRPr="004E147E">
        <w:rPr>
          <w:rFonts w:asciiTheme="majorHAnsi" w:hAnsiTheme="majorHAnsi" w:cstheme="majorHAnsi"/>
          <w:lang w:val="en-US"/>
        </w:rPr>
        <w:tab/>
      </w:r>
      <w:r w:rsidRPr="004E147E">
        <w:rPr>
          <w:rFonts w:asciiTheme="majorHAnsi" w:hAnsiTheme="majorHAnsi" w:cstheme="majorHAnsi"/>
          <w:lang w:val="en-US"/>
        </w:rPr>
        <w:tab/>
        <w:t>Ma. Christine F. Reyes</w:t>
      </w:r>
    </w:p>
    <w:p w14:paraId="3BA40EE9" w14:textId="77777777" w:rsidR="008D0CAD" w:rsidRPr="004E147E" w:rsidRDefault="008D0CAD" w:rsidP="00385784">
      <w:pPr>
        <w:spacing w:before="100" w:beforeAutospacing="1" w:after="100" w:afterAutospacing="1" w:line="360" w:lineRule="auto"/>
        <w:rPr>
          <w:rFonts w:asciiTheme="majorHAnsi" w:hAnsiTheme="majorHAnsi" w:cstheme="majorHAnsi"/>
          <w:lang w:val="en-US"/>
        </w:rPr>
      </w:pPr>
      <w:r w:rsidRPr="004E147E">
        <w:rPr>
          <w:rFonts w:asciiTheme="majorHAnsi" w:hAnsiTheme="majorHAnsi" w:cstheme="majorHAnsi"/>
          <w:lang w:val="en-US"/>
        </w:rPr>
        <w:t>Statistician</w:t>
      </w:r>
      <w:r w:rsidRPr="004E147E">
        <w:rPr>
          <w:rFonts w:asciiTheme="majorHAnsi" w:hAnsiTheme="majorHAnsi" w:cstheme="majorHAnsi"/>
          <w:lang w:val="en-US"/>
        </w:rPr>
        <w:tab/>
      </w:r>
      <w:r w:rsidRPr="004E147E">
        <w:rPr>
          <w:rFonts w:asciiTheme="majorHAnsi" w:hAnsiTheme="majorHAnsi" w:cstheme="majorHAnsi"/>
          <w:lang w:val="en-US"/>
        </w:rPr>
        <w:tab/>
      </w:r>
      <w:r w:rsidRPr="004E147E">
        <w:rPr>
          <w:rFonts w:asciiTheme="majorHAnsi" w:hAnsiTheme="majorHAnsi" w:cstheme="majorHAnsi"/>
          <w:lang w:val="en-US"/>
        </w:rPr>
        <w:tab/>
        <w:t>Manuel Leonard F. Albis</w:t>
      </w:r>
    </w:p>
    <w:p w14:paraId="1FDCC282" w14:textId="77777777" w:rsidR="008D0CAD" w:rsidRPr="004E147E" w:rsidRDefault="008D0CAD" w:rsidP="00385784">
      <w:pPr>
        <w:spacing w:before="100" w:beforeAutospacing="1" w:after="100" w:afterAutospacing="1" w:line="360" w:lineRule="auto"/>
        <w:rPr>
          <w:rFonts w:asciiTheme="majorHAnsi" w:hAnsiTheme="majorHAnsi" w:cstheme="majorHAnsi"/>
          <w:lang w:val="en-US"/>
        </w:rPr>
      </w:pPr>
      <w:r w:rsidRPr="004E147E">
        <w:rPr>
          <w:rFonts w:asciiTheme="majorHAnsi" w:hAnsiTheme="majorHAnsi" w:cstheme="majorHAnsi"/>
          <w:lang w:val="en-US"/>
        </w:rPr>
        <w:t>Research Specialist</w:t>
      </w:r>
      <w:r w:rsidRPr="004E147E">
        <w:rPr>
          <w:rFonts w:asciiTheme="majorHAnsi" w:hAnsiTheme="majorHAnsi" w:cstheme="majorHAnsi"/>
          <w:lang w:val="en-US"/>
        </w:rPr>
        <w:tab/>
      </w:r>
      <w:r w:rsidRPr="004E147E">
        <w:rPr>
          <w:rFonts w:asciiTheme="majorHAnsi" w:hAnsiTheme="majorHAnsi" w:cstheme="majorHAnsi"/>
          <w:lang w:val="en-US"/>
        </w:rPr>
        <w:tab/>
        <w:t>Donn David P. Ramos</w:t>
      </w:r>
    </w:p>
    <w:p w14:paraId="7E094738" w14:textId="77777777" w:rsidR="008D0CAD" w:rsidRPr="004E147E" w:rsidRDefault="008D0CAD" w:rsidP="00385784">
      <w:pPr>
        <w:spacing w:before="100" w:beforeAutospacing="1" w:after="100" w:afterAutospacing="1" w:line="360" w:lineRule="auto"/>
        <w:rPr>
          <w:rFonts w:asciiTheme="majorHAnsi" w:hAnsiTheme="majorHAnsi" w:cstheme="majorHAnsi"/>
          <w:b/>
          <w:lang w:val="en-US"/>
        </w:rPr>
      </w:pPr>
      <w:r w:rsidRPr="004E147E">
        <w:rPr>
          <w:rFonts w:asciiTheme="majorHAnsi" w:hAnsiTheme="majorHAnsi" w:cstheme="majorHAnsi"/>
          <w:b/>
          <w:lang w:val="en-US"/>
        </w:rPr>
        <w:t>Regional Team</w:t>
      </w:r>
    </w:p>
    <w:p w14:paraId="44FE1F36" w14:textId="77777777" w:rsidR="008D0CAD" w:rsidRPr="004E147E" w:rsidRDefault="008D0CAD" w:rsidP="00385784">
      <w:pPr>
        <w:spacing w:before="100" w:beforeAutospacing="1" w:after="100" w:afterAutospacing="1" w:line="360" w:lineRule="auto"/>
        <w:rPr>
          <w:rFonts w:asciiTheme="majorHAnsi" w:hAnsiTheme="majorHAnsi" w:cstheme="majorHAnsi"/>
          <w:lang w:val="en-US"/>
        </w:rPr>
      </w:pPr>
      <w:r w:rsidRPr="004E147E">
        <w:rPr>
          <w:rFonts w:asciiTheme="majorHAnsi" w:hAnsiTheme="majorHAnsi" w:cstheme="majorHAnsi"/>
          <w:lang w:val="en-US"/>
        </w:rPr>
        <w:t>Team Lead, NCR</w:t>
      </w:r>
      <w:r w:rsidRPr="004E147E">
        <w:rPr>
          <w:rFonts w:asciiTheme="majorHAnsi" w:hAnsiTheme="majorHAnsi" w:cstheme="majorHAnsi"/>
          <w:lang w:val="en-US"/>
        </w:rPr>
        <w:tab/>
      </w:r>
      <w:r w:rsidRPr="004E147E">
        <w:rPr>
          <w:rFonts w:asciiTheme="majorHAnsi" w:hAnsiTheme="majorHAnsi" w:cstheme="majorHAnsi"/>
          <w:lang w:val="en-US"/>
        </w:rPr>
        <w:tab/>
        <w:t>Joe-Ann Marie C. Abelinde</w:t>
      </w:r>
    </w:p>
    <w:p w14:paraId="64003BCC" w14:textId="77777777" w:rsidR="008D0CAD" w:rsidRPr="004E147E" w:rsidRDefault="008D0CAD" w:rsidP="00385784">
      <w:pPr>
        <w:spacing w:before="100" w:beforeAutospacing="1" w:after="100" w:afterAutospacing="1" w:line="360" w:lineRule="auto"/>
        <w:rPr>
          <w:rFonts w:asciiTheme="majorHAnsi" w:hAnsiTheme="majorHAnsi" w:cstheme="majorHAnsi"/>
          <w:lang w:val="en-US"/>
        </w:rPr>
      </w:pPr>
      <w:r w:rsidRPr="004E147E">
        <w:rPr>
          <w:rFonts w:asciiTheme="majorHAnsi" w:hAnsiTheme="majorHAnsi" w:cstheme="majorHAnsi"/>
          <w:lang w:val="en-US"/>
        </w:rPr>
        <w:t>Assistant Team Lead</w:t>
      </w:r>
      <w:r w:rsidRPr="004E147E">
        <w:rPr>
          <w:rFonts w:asciiTheme="majorHAnsi" w:hAnsiTheme="majorHAnsi" w:cstheme="majorHAnsi"/>
          <w:lang w:val="en-US"/>
        </w:rPr>
        <w:tab/>
      </w:r>
      <w:r w:rsidRPr="004E147E">
        <w:rPr>
          <w:rFonts w:asciiTheme="majorHAnsi" w:hAnsiTheme="majorHAnsi" w:cstheme="majorHAnsi"/>
          <w:lang w:val="en-US"/>
        </w:rPr>
        <w:tab/>
        <w:t>Joel Abelinde</w:t>
      </w:r>
    </w:p>
    <w:p w14:paraId="7802F180" w14:textId="77777777" w:rsidR="008D0CAD" w:rsidRPr="004E147E" w:rsidRDefault="008D0CAD" w:rsidP="00385784">
      <w:pPr>
        <w:spacing w:before="100" w:beforeAutospacing="1" w:after="100" w:afterAutospacing="1" w:line="360" w:lineRule="auto"/>
        <w:rPr>
          <w:rFonts w:asciiTheme="majorHAnsi" w:hAnsiTheme="majorHAnsi" w:cstheme="majorHAnsi"/>
          <w:lang w:val="en-US"/>
        </w:rPr>
      </w:pPr>
      <w:r w:rsidRPr="004E147E">
        <w:rPr>
          <w:rFonts w:asciiTheme="majorHAnsi" w:hAnsiTheme="majorHAnsi" w:cstheme="majorHAnsi"/>
          <w:lang w:val="en-US"/>
        </w:rPr>
        <w:t>Team Lead, Region 5</w:t>
      </w:r>
      <w:r w:rsidRPr="004E147E">
        <w:rPr>
          <w:rFonts w:asciiTheme="majorHAnsi" w:hAnsiTheme="majorHAnsi" w:cstheme="majorHAnsi"/>
          <w:lang w:val="en-US"/>
        </w:rPr>
        <w:tab/>
      </w:r>
      <w:r w:rsidRPr="004E147E">
        <w:rPr>
          <w:rFonts w:asciiTheme="majorHAnsi" w:hAnsiTheme="majorHAnsi" w:cstheme="majorHAnsi"/>
          <w:lang w:val="en-US"/>
        </w:rPr>
        <w:tab/>
        <w:t>Caroline M. Ubalde</w:t>
      </w:r>
    </w:p>
    <w:p w14:paraId="23F7A706" w14:textId="77777777" w:rsidR="008D0CAD" w:rsidRPr="004E147E" w:rsidRDefault="008D0CAD" w:rsidP="00385784">
      <w:pPr>
        <w:spacing w:before="100" w:beforeAutospacing="1" w:after="100" w:afterAutospacing="1" w:line="360" w:lineRule="auto"/>
        <w:rPr>
          <w:rFonts w:asciiTheme="majorHAnsi" w:hAnsiTheme="majorHAnsi" w:cstheme="majorHAnsi"/>
          <w:lang w:val="en-US"/>
        </w:rPr>
      </w:pPr>
      <w:r w:rsidRPr="004E147E">
        <w:rPr>
          <w:rFonts w:asciiTheme="majorHAnsi" w:hAnsiTheme="majorHAnsi" w:cstheme="majorHAnsi"/>
          <w:lang w:val="en-US"/>
        </w:rPr>
        <w:t>Team Lead, Region 6</w:t>
      </w:r>
      <w:r w:rsidRPr="004E147E">
        <w:rPr>
          <w:rFonts w:asciiTheme="majorHAnsi" w:hAnsiTheme="majorHAnsi" w:cstheme="majorHAnsi"/>
          <w:lang w:val="en-US"/>
        </w:rPr>
        <w:tab/>
      </w:r>
      <w:r w:rsidRPr="004E147E">
        <w:rPr>
          <w:rFonts w:asciiTheme="majorHAnsi" w:hAnsiTheme="majorHAnsi" w:cstheme="majorHAnsi"/>
          <w:lang w:val="en-US"/>
        </w:rPr>
        <w:tab/>
        <w:t>Goldelino Chan</w:t>
      </w:r>
    </w:p>
    <w:p w14:paraId="6ECF5DD4" w14:textId="77777777" w:rsidR="008D0CAD" w:rsidRPr="004E147E" w:rsidRDefault="008D0CAD" w:rsidP="00385784">
      <w:pPr>
        <w:spacing w:before="100" w:beforeAutospacing="1" w:after="100" w:afterAutospacing="1" w:line="360" w:lineRule="auto"/>
        <w:rPr>
          <w:rFonts w:asciiTheme="majorHAnsi" w:hAnsiTheme="majorHAnsi" w:cstheme="majorHAnsi"/>
          <w:lang w:val="en-US"/>
        </w:rPr>
      </w:pPr>
      <w:r w:rsidRPr="004E147E">
        <w:rPr>
          <w:rFonts w:asciiTheme="majorHAnsi" w:hAnsiTheme="majorHAnsi" w:cstheme="majorHAnsi"/>
          <w:lang w:val="en-US"/>
        </w:rPr>
        <w:t>Team Lead, Region 7</w:t>
      </w:r>
      <w:r w:rsidRPr="004E147E">
        <w:rPr>
          <w:rFonts w:asciiTheme="majorHAnsi" w:hAnsiTheme="majorHAnsi" w:cstheme="majorHAnsi"/>
          <w:lang w:val="en-US"/>
        </w:rPr>
        <w:tab/>
      </w:r>
      <w:r w:rsidRPr="004E147E">
        <w:rPr>
          <w:rFonts w:asciiTheme="majorHAnsi" w:hAnsiTheme="majorHAnsi" w:cstheme="majorHAnsi"/>
          <w:lang w:val="en-US"/>
        </w:rPr>
        <w:tab/>
        <w:t>Cristopher G. Lomboy</w:t>
      </w:r>
    </w:p>
    <w:p w14:paraId="244F8740" w14:textId="77777777" w:rsidR="008D0CAD" w:rsidRPr="004E147E" w:rsidRDefault="008D0CAD" w:rsidP="00385784">
      <w:pPr>
        <w:spacing w:before="100" w:beforeAutospacing="1" w:after="100" w:afterAutospacing="1" w:line="360" w:lineRule="auto"/>
        <w:rPr>
          <w:rFonts w:asciiTheme="majorHAnsi" w:hAnsiTheme="majorHAnsi" w:cstheme="majorHAnsi"/>
          <w:lang w:val="en-US"/>
        </w:rPr>
      </w:pPr>
      <w:r w:rsidRPr="004E147E">
        <w:rPr>
          <w:rFonts w:asciiTheme="majorHAnsi" w:hAnsiTheme="majorHAnsi" w:cstheme="majorHAnsi"/>
          <w:lang w:val="en-US"/>
        </w:rPr>
        <w:t>Team Lead, Region 8</w:t>
      </w:r>
      <w:r w:rsidRPr="004E147E">
        <w:rPr>
          <w:rFonts w:asciiTheme="majorHAnsi" w:hAnsiTheme="majorHAnsi" w:cstheme="majorHAnsi"/>
          <w:lang w:val="en-US"/>
        </w:rPr>
        <w:tab/>
      </w:r>
      <w:r w:rsidRPr="004E147E">
        <w:rPr>
          <w:rFonts w:asciiTheme="majorHAnsi" w:hAnsiTheme="majorHAnsi" w:cstheme="majorHAnsi"/>
          <w:lang w:val="en-US"/>
        </w:rPr>
        <w:tab/>
        <w:t>Mario Ian N. Mosquisa</w:t>
      </w:r>
    </w:p>
    <w:p w14:paraId="3883D6C1" w14:textId="622FBBC2" w:rsidR="008D0CAD" w:rsidRDefault="008D0CAD" w:rsidP="00385784">
      <w:pPr>
        <w:spacing w:before="100" w:beforeAutospacing="1" w:after="100" w:afterAutospacing="1" w:line="360" w:lineRule="auto"/>
        <w:rPr>
          <w:lang w:val="en-US"/>
        </w:rPr>
      </w:pPr>
      <w:r w:rsidRPr="004E147E">
        <w:rPr>
          <w:rFonts w:asciiTheme="majorHAnsi" w:hAnsiTheme="majorHAnsi" w:cstheme="majorHAnsi"/>
          <w:lang w:val="en-US"/>
        </w:rPr>
        <w:t>Team Lead, Region 10</w:t>
      </w:r>
      <w:r w:rsidRPr="004E147E">
        <w:rPr>
          <w:rFonts w:asciiTheme="majorHAnsi" w:hAnsiTheme="majorHAnsi" w:cstheme="majorHAnsi"/>
          <w:lang w:val="en-US"/>
        </w:rPr>
        <w:tab/>
      </w:r>
      <w:r w:rsidRPr="004E147E">
        <w:rPr>
          <w:rFonts w:asciiTheme="majorHAnsi" w:hAnsiTheme="majorHAnsi" w:cstheme="majorHAnsi"/>
          <w:lang w:val="en-US"/>
        </w:rPr>
        <w:tab/>
        <w:t>Tito Revereal</w:t>
      </w:r>
    </w:p>
    <w:sectPr w:rsidR="008D0CAD">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BE2599" w14:textId="77777777" w:rsidR="00B33BA9" w:rsidRDefault="00B33BA9" w:rsidP="008D0CAD">
      <w:r>
        <w:separator/>
      </w:r>
    </w:p>
  </w:endnote>
  <w:endnote w:type="continuationSeparator" w:id="0">
    <w:p w14:paraId="4F16E3D3" w14:textId="77777777" w:rsidR="00B33BA9" w:rsidRDefault="00B33BA9" w:rsidP="008D0C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Garamond">
    <w:panose1 w:val="02020404030301010803"/>
    <w:charset w:val="00"/>
    <w:family w:val="roman"/>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MS Mincho"/>
    <w:panose1 w:val="02020609040205080304"/>
    <w:charset w:val="80"/>
    <w:family w:val="modern"/>
    <w:pitch w:val="fixed"/>
    <w:sig w:usb0="E00002FF" w:usb1="6AC7FDFB" w:usb2="08000012" w:usb3="00000000" w:csb0="0002009F" w:csb1="00000000"/>
  </w:font>
  <w:font w:name="Gabriel Sans Cond Normal">
    <w:altName w:val="Calibri"/>
    <w:charset w:val="00"/>
    <w:family w:val="auto"/>
    <w:pitch w:val="variable"/>
    <w:sig w:usb0="800000AF" w:usb1="4000004A" w:usb2="00000000" w:usb3="00000000" w:csb0="00000001" w:csb1="00000000"/>
  </w:font>
  <w:font w:name="Yu Mincho">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Headings)">
    <w:charset w:val="00"/>
    <w:family w:val="roman"/>
    <w:pitch w:val="default"/>
  </w:font>
  <w:font w:name="Apple Chancery">
    <w:altName w:val="Apple Chancery"/>
    <w:charset w:val="B1"/>
    <w:family w:val="script"/>
    <w:pitch w:val="variable"/>
    <w:sig w:usb0="80000067" w:usb1="00000003" w:usb2="00000000" w:usb3="00000000" w:csb0="000001F3"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66605579"/>
      <w:docPartObj>
        <w:docPartGallery w:val="Page Numbers (Bottom of Page)"/>
        <w:docPartUnique/>
      </w:docPartObj>
    </w:sdtPr>
    <w:sdtEndPr>
      <w:rPr>
        <w:rStyle w:val="PageNumber"/>
      </w:rPr>
    </w:sdtEndPr>
    <w:sdtContent>
      <w:p w14:paraId="3A93FE3D" w14:textId="77777777" w:rsidR="00B33BA9" w:rsidRDefault="00B33BA9" w:rsidP="009C64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8D4AD1" w14:textId="77777777" w:rsidR="00B33BA9" w:rsidRDefault="00B33BA9" w:rsidP="009C64E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Theme="majorHAnsi" w:hAnsiTheme="majorHAnsi" w:cstheme="majorHAnsi"/>
      </w:rPr>
      <w:id w:val="-472909705"/>
      <w:docPartObj>
        <w:docPartGallery w:val="Page Numbers (Bottom of Page)"/>
        <w:docPartUnique/>
      </w:docPartObj>
    </w:sdtPr>
    <w:sdtEndPr>
      <w:rPr>
        <w:rStyle w:val="PageNumber"/>
      </w:rPr>
    </w:sdtEndPr>
    <w:sdtContent>
      <w:p w14:paraId="28FA94ED" w14:textId="77777777" w:rsidR="00B33BA9" w:rsidRPr="00B24DCA" w:rsidRDefault="00B33BA9" w:rsidP="009C64E9">
        <w:pPr>
          <w:pStyle w:val="Footer"/>
          <w:framePr w:wrap="none" w:vAnchor="text" w:hAnchor="margin" w:xAlign="right" w:y="1"/>
          <w:rPr>
            <w:rStyle w:val="PageNumber"/>
            <w:rFonts w:asciiTheme="majorHAnsi" w:hAnsiTheme="majorHAnsi" w:cstheme="majorHAnsi"/>
          </w:rPr>
        </w:pPr>
        <w:r w:rsidRPr="00B24DCA">
          <w:rPr>
            <w:rStyle w:val="PageNumber"/>
            <w:rFonts w:asciiTheme="majorHAnsi" w:hAnsiTheme="majorHAnsi" w:cstheme="majorHAnsi"/>
          </w:rPr>
          <w:fldChar w:fldCharType="begin"/>
        </w:r>
        <w:r w:rsidRPr="00B24DCA">
          <w:rPr>
            <w:rStyle w:val="PageNumber"/>
            <w:rFonts w:asciiTheme="majorHAnsi" w:hAnsiTheme="majorHAnsi" w:cstheme="majorHAnsi"/>
          </w:rPr>
          <w:instrText xml:space="preserve"> PAGE </w:instrText>
        </w:r>
        <w:r w:rsidRPr="00B24DCA">
          <w:rPr>
            <w:rStyle w:val="PageNumber"/>
            <w:rFonts w:asciiTheme="majorHAnsi" w:hAnsiTheme="majorHAnsi" w:cstheme="majorHAnsi"/>
          </w:rPr>
          <w:fldChar w:fldCharType="separate"/>
        </w:r>
        <w:r>
          <w:rPr>
            <w:rStyle w:val="PageNumber"/>
            <w:rFonts w:asciiTheme="majorHAnsi" w:hAnsiTheme="majorHAnsi" w:cstheme="majorHAnsi"/>
            <w:noProof/>
          </w:rPr>
          <w:t>23</w:t>
        </w:r>
        <w:r w:rsidRPr="00B24DCA">
          <w:rPr>
            <w:rStyle w:val="PageNumber"/>
            <w:rFonts w:asciiTheme="majorHAnsi" w:hAnsiTheme="majorHAnsi" w:cstheme="majorHAnsi"/>
          </w:rPr>
          <w:fldChar w:fldCharType="end"/>
        </w:r>
      </w:p>
    </w:sdtContent>
  </w:sdt>
  <w:p w14:paraId="3030120E" w14:textId="77777777" w:rsidR="00B33BA9" w:rsidRDefault="00B33BA9" w:rsidP="009C64E9">
    <w:pPr>
      <w:ind w:right="360"/>
    </w:pPr>
    <w:r>
      <w:c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6403751"/>
      <w:docPartObj>
        <w:docPartGallery w:val="Page Numbers (Bottom of Page)"/>
        <w:docPartUnique/>
      </w:docPartObj>
    </w:sdtPr>
    <w:sdtEndPr>
      <w:rPr>
        <w:rStyle w:val="PageNumber"/>
      </w:rPr>
    </w:sdtEndPr>
    <w:sdtContent>
      <w:p w14:paraId="709A37EF" w14:textId="77777777" w:rsidR="00B33BA9" w:rsidRDefault="00B33BA9" w:rsidP="009C64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760D265" w14:textId="77777777" w:rsidR="00B33BA9" w:rsidRDefault="00B33BA9" w:rsidP="009C64E9">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Theme="majorHAnsi" w:hAnsiTheme="majorHAnsi" w:cstheme="majorHAnsi"/>
      </w:rPr>
      <w:id w:val="364804400"/>
      <w:docPartObj>
        <w:docPartGallery w:val="Page Numbers (Bottom of Page)"/>
        <w:docPartUnique/>
      </w:docPartObj>
    </w:sdtPr>
    <w:sdtEndPr>
      <w:rPr>
        <w:rStyle w:val="PageNumber"/>
      </w:rPr>
    </w:sdtEndPr>
    <w:sdtContent>
      <w:p w14:paraId="71101213" w14:textId="77777777" w:rsidR="00B33BA9" w:rsidRPr="00EA45A9" w:rsidRDefault="00B33BA9" w:rsidP="009C64E9">
        <w:pPr>
          <w:pStyle w:val="Footer"/>
          <w:framePr w:wrap="none" w:vAnchor="text" w:hAnchor="margin" w:xAlign="right" w:y="1"/>
          <w:rPr>
            <w:rStyle w:val="PageNumber"/>
            <w:rFonts w:asciiTheme="majorHAnsi" w:hAnsiTheme="majorHAnsi" w:cstheme="majorHAnsi"/>
          </w:rPr>
        </w:pPr>
        <w:r w:rsidRPr="00EA45A9">
          <w:rPr>
            <w:rStyle w:val="PageNumber"/>
            <w:rFonts w:asciiTheme="majorHAnsi" w:hAnsiTheme="majorHAnsi" w:cstheme="majorHAnsi"/>
          </w:rPr>
          <w:fldChar w:fldCharType="begin"/>
        </w:r>
        <w:r w:rsidRPr="0070546B">
          <w:rPr>
            <w:rStyle w:val="PageNumber"/>
            <w:rFonts w:asciiTheme="majorHAnsi" w:hAnsiTheme="majorHAnsi" w:cstheme="majorHAnsi"/>
          </w:rPr>
          <w:instrText xml:space="preserve"> PAGE </w:instrText>
        </w:r>
        <w:r w:rsidRPr="00EA45A9">
          <w:rPr>
            <w:rStyle w:val="PageNumber"/>
            <w:rFonts w:asciiTheme="majorHAnsi" w:hAnsiTheme="majorHAnsi" w:cstheme="majorHAnsi"/>
          </w:rPr>
          <w:fldChar w:fldCharType="separate"/>
        </w:r>
        <w:r>
          <w:rPr>
            <w:rStyle w:val="PageNumber"/>
            <w:rFonts w:asciiTheme="majorHAnsi" w:hAnsiTheme="majorHAnsi" w:cstheme="majorHAnsi"/>
            <w:noProof/>
          </w:rPr>
          <w:t>135</w:t>
        </w:r>
        <w:r w:rsidRPr="00EA45A9">
          <w:rPr>
            <w:rStyle w:val="PageNumber"/>
            <w:rFonts w:asciiTheme="majorHAnsi" w:hAnsiTheme="majorHAnsi" w:cstheme="majorHAnsi"/>
          </w:rPr>
          <w:fldChar w:fldCharType="end"/>
        </w:r>
      </w:p>
    </w:sdtContent>
  </w:sdt>
  <w:p w14:paraId="109250FA" w14:textId="77777777" w:rsidR="00B33BA9" w:rsidRDefault="00B33BA9" w:rsidP="009C64E9">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65111058"/>
      <w:docPartObj>
        <w:docPartGallery w:val="Page Numbers (Bottom of Page)"/>
        <w:docPartUnique/>
      </w:docPartObj>
    </w:sdtPr>
    <w:sdtEndPr>
      <w:rPr>
        <w:rStyle w:val="PageNumber"/>
      </w:rPr>
    </w:sdtEndPr>
    <w:sdtContent>
      <w:p w14:paraId="5A5B6941" w14:textId="77777777" w:rsidR="00B33BA9" w:rsidRDefault="00B33BA9" w:rsidP="009C64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FE1D3E7" w14:textId="77777777" w:rsidR="00B33BA9" w:rsidRDefault="00B33BA9" w:rsidP="009C64E9">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Theme="majorHAnsi" w:hAnsiTheme="majorHAnsi" w:cstheme="majorHAnsi"/>
      </w:rPr>
      <w:id w:val="-1735231489"/>
      <w:docPartObj>
        <w:docPartGallery w:val="Page Numbers (Bottom of Page)"/>
        <w:docPartUnique/>
      </w:docPartObj>
    </w:sdtPr>
    <w:sdtEndPr>
      <w:rPr>
        <w:rStyle w:val="PageNumber"/>
      </w:rPr>
    </w:sdtEndPr>
    <w:sdtContent>
      <w:p w14:paraId="18D69FCF" w14:textId="77777777" w:rsidR="00B33BA9" w:rsidRPr="00426955" w:rsidRDefault="00B33BA9" w:rsidP="009C64E9">
        <w:pPr>
          <w:pStyle w:val="Footer"/>
          <w:framePr w:wrap="none" w:vAnchor="text" w:hAnchor="margin" w:xAlign="right" w:y="1"/>
          <w:rPr>
            <w:rStyle w:val="PageNumber"/>
            <w:rFonts w:asciiTheme="majorHAnsi" w:hAnsiTheme="majorHAnsi" w:cstheme="majorHAnsi"/>
          </w:rPr>
        </w:pPr>
        <w:r w:rsidRPr="00426955">
          <w:rPr>
            <w:rStyle w:val="PageNumber"/>
            <w:rFonts w:asciiTheme="majorHAnsi" w:hAnsiTheme="majorHAnsi" w:cstheme="majorHAnsi"/>
          </w:rPr>
          <w:fldChar w:fldCharType="begin"/>
        </w:r>
        <w:r w:rsidRPr="00426955">
          <w:rPr>
            <w:rStyle w:val="PageNumber"/>
            <w:rFonts w:asciiTheme="majorHAnsi" w:hAnsiTheme="majorHAnsi" w:cstheme="majorHAnsi"/>
          </w:rPr>
          <w:instrText xml:space="preserve"> PAGE </w:instrText>
        </w:r>
        <w:r w:rsidRPr="00426955">
          <w:rPr>
            <w:rStyle w:val="PageNumber"/>
            <w:rFonts w:asciiTheme="majorHAnsi" w:hAnsiTheme="majorHAnsi" w:cstheme="majorHAnsi"/>
          </w:rPr>
          <w:fldChar w:fldCharType="separate"/>
        </w:r>
        <w:r>
          <w:rPr>
            <w:rStyle w:val="PageNumber"/>
            <w:rFonts w:asciiTheme="majorHAnsi" w:hAnsiTheme="majorHAnsi" w:cstheme="majorHAnsi"/>
            <w:noProof/>
          </w:rPr>
          <w:t>328</w:t>
        </w:r>
        <w:r w:rsidRPr="00426955">
          <w:rPr>
            <w:rStyle w:val="PageNumber"/>
            <w:rFonts w:asciiTheme="majorHAnsi" w:hAnsiTheme="majorHAnsi" w:cstheme="majorHAnsi"/>
          </w:rPr>
          <w:fldChar w:fldCharType="end"/>
        </w:r>
      </w:p>
    </w:sdtContent>
  </w:sdt>
  <w:p w14:paraId="7CBD7933" w14:textId="77777777" w:rsidR="00B33BA9" w:rsidRDefault="00B33BA9" w:rsidP="009C64E9">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72591449"/>
      <w:docPartObj>
        <w:docPartGallery w:val="Page Numbers (Bottom of Page)"/>
        <w:docPartUnique/>
      </w:docPartObj>
    </w:sdtPr>
    <w:sdtEndPr>
      <w:rPr>
        <w:rStyle w:val="PageNumber"/>
      </w:rPr>
    </w:sdtEndPr>
    <w:sdtContent>
      <w:p w14:paraId="23CD17EF" w14:textId="77777777" w:rsidR="00B33BA9" w:rsidRDefault="00B33BA9" w:rsidP="009C64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E1BF542" w14:textId="77777777" w:rsidR="00B33BA9" w:rsidRDefault="00B33BA9" w:rsidP="009C64E9">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56362419"/>
      <w:docPartObj>
        <w:docPartGallery w:val="Page Numbers (Bottom of Page)"/>
        <w:docPartUnique/>
      </w:docPartObj>
    </w:sdtPr>
    <w:sdtEndPr>
      <w:rPr>
        <w:rStyle w:val="PageNumber"/>
      </w:rPr>
    </w:sdtEndPr>
    <w:sdtContent>
      <w:p w14:paraId="4F9CEB4B" w14:textId="77777777" w:rsidR="00B33BA9" w:rsidRDefault="00B33BA9" w:rsidP="009C64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362</w:t>
        </w:r>
        <w:r>
          <w:rPr>
            <w:rStyle w:val="PageNumber"/>
          </w:rPr>
          <w:fldChar w:fldCharType="end"/>
        </w:r>
      </w:p>
    </w:sdtContent>
  </w:sdt>
  <w:p w14:paraId="51FB8B84" w14:textId="77777777" w:rsidR="00B33BA9" w:rsidRDefault="00B33BA9" w:rsidP="009C64E9">
    <w:pPr>
      <w:pStyle w:val="Footer"/>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42558570"/>
      <w:docPartObj>
        <w:docPartGallery w:val="Page Numbers (Bottom of Page)"/>
        <w:docPartUnique/>
      </w:docPartObj>
    </w:sdtPr>
    <w:sdtEndPr>
      <w:rPr>
        <w:rStyle w:val="PageNumber"/>
      </w:rPr>
    </w:sdtEndPr>
    <w:sdtContent>
      <w:p w14:paraId="1586CEE1" w14:textId="77777777" w:rsidR="00B33BA9" w:rsidRDefault="00B33BA9" w:rsidP="009C64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FBB5405" w14:textId="77777777" w:rsidR="00B33BA9" w:rsidRDefault="00B33BA9" w:rsidP="009C64E9">
    <w:pPr>
      <w:pStyle w:val="Footer"/>
      <w:ind w:right="360"/>
      <w:jc w:val="right"/>
    </w:pPr>
    <w:r>
      <w:t xml:space="preserve">Annex -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BDF7E2" w14:textId="77777777" w:rsidR="00B33BA9" w:rsidRDefault="00B33BA9" w:rsidP="008D0CAD">
      <w:r>
        <w:separator/>
      </w:r>
    </w:p>
  </w:footnote>
  <w:footnote w:type="continuationSeparator" w:id="0">
    <w:p w14:paraId="6EE88AE9" w14:textId="77777777" w:rsidR="00B33BA9" w:rsidRDefault="00B33BA9" w:rsidP="008D0CAD">
      <w:r>
        <w:continuationSeparator/>
      </w:r>
    </w:p>
  </w:footnote>
  <w:footnote w:id="1">
    <w:p w14:paraId="1D46DED5" w14:textId="77777777" w:rsidR="00B33BA9" w:rsidRPr="00D162AA" w:rsidRDefault="00B33BA9" w:rsidP="008D0CAD">
      <w:pPr>
        <w:pStyle w:val="FootnoteText"/>
        <w:rPr>
          <w:rFonts w:asciiTheme="majorHAnsi" w:hAnsiTheme="majorHAnsi" w:cstheme="majorHAnsi"/>
          <w:lang w:val="en-US"/>
        </w:rPr>
      </w:pPr>
      <w:r w:rsidRPr="00D162AA">
        <w:rPr>
          <w:rStyle w:val="FootnoteReference"/>
          <w:rFonts w:asciiTheme="majorHAnsi" w:eastAsia="Arial Unicode MS" w:hAnsiTheme="majorHAnsi" w:cstheme="majorHAnsi"/>
        </w:rPr>
        <w:footnoteRef/>
      </w:r>
      <w:r w:rsidRPr="00D162AA">
        <w:rPr>
          <w:rFonts w:asciiTheme="majorHAnsi" w:hAnsiTheme="majorHAnsi" w:cstheme="majorHAnsi"/>
        </w:rPr>
        <w:t xml:space="preserve"> </w:t>
      </w:r>
      <w:r w:rsidRPr="00D162AA">
        <w:rPr>
          <w:rFonts w:asciiTheme="majorHAnsi" w:hAnsiTheme="majorHAnsi" w:cstheme="majorHAnsi"/>
          <w:lang w:val="en-US"/>
        </w:rPr>
        <w:t>EOPE Study</w:t>
      </w:r>
      <w:r>
        <w:rPr>
          <w:rFonts w:asciiTheme="majorHAnsi" w:hAnsiTheme="majorHAnsi" w:cstheme="majorHAnsi"/>
          <w:lang w:val="en-US"/>
        </w:rPr>
        <w:t xml:space="preserve"> refers collectively to the 2019 EOPE Study and the 2020 Follow-Up Study</w:t>
      </w:r>
    </w:p>
  </w:footnote>
  <w:footnote w:id="2">
    <w:p w14:paraId="42DF42E8" w14:textId="77777777" w:rsidR="00B33BA9" w:rsidRPr="0069283F" w:rsidRDefault="00B33BA9" w:rsidP="008D0CAD">
      <w:pPr>
        <w:pStyle w:val="FootnoteText"/>
        <w:rPr>
          <w:rFonts w:asciiTheme="majorHAnsi" w:hAnsiTheme="majorHAnsi" w:cstheme="majorHAnsi"/>
          <w:color w:val="000000" w:themeColor="text1"/>
          <w:lang w:val="en-US"/>
        </w:rPr>
      </w:pPr>
      <w:r w:rsidRPr="0069283F">
        <w:rPr>
          <w:rStyle w:val="FootnoteReference"/>
          <w:rFonts w:asciiTheme="majorHAnsi" w:eastAsia="Arial Unicode MS" w:hAnsiTheme="majorHAnsi" w:cstheme="majorHAnsi"/>
          <w:color w:val="000000" w:themeColor="text1"/>
        </w:rPr>
        <w:footnoteRef/>
      </w:r>
      <w:r w:rsidRPr="0069283F">
        <w:rPr>
          <w:rFonts w:asciiTheme="majorHAnsi" w:hAnsiTheme="majorHAnsi" w:cstheme="majorHAnsi"/>
          <w:color w:val="000000" w:themeColor="text1"/>
        </w:rPr>
        <w:t xml:space="preserve"> </w:t>
      </w:r>
      <w:r w:rsidRPr="0069283F">
        <w:rPr>
          <w:rFonts w:asciiTheme="majorHAnsi" w:hAnsiTheme="majorHAnsi" w:cstheme="majorHAnsi"/>
          <w:color w:val="000000" w:themeColor="text1"/>
          <w:lang w:val="en-US"/>
        </w:rPr>
        <w:t>Refer also to Section 3.6</w:t>
      </w:r>
    </w:p>
  </w:footnote>
  <w:footnote w:id="3">
    <w:p w14:paraId="0A169A99" w14:textId="77777777" w:rsidR="00B33BA9" w:rsidRPr="006C05C8" w:rsidRDefault="00B33BA9" w:rsidP="008D0CAD">
      <w:pPr>
        <w:pStyle w:val="FootnoteText"/>
        <w:rPr>
          <w:lang w:val="en-US"/>
        </w:rPr>
      </w:pPr>
      <w:r>
        <w:rPr>
          <w:rStyle w:val="FootnoteReference"/>
          <w:rFonts w:eastAsia="Arial Unicode MS"/>
        </w:rPr>
        <w:footnoteRef/>
      </w:r>
      <w:r>
        <w:t xml:space="preserve"> </w:t>
      </w:r>
      <w:r>
        <w:rPr>
          <w:rFonts w:asciiTheme="majorHAnsi" w:hAnsiTheme="majorHAnsi" w:cstheme="majorHAnsi"/>
          <w:iCs/>
          <w:color w:val="000000"/>
        </w:rPr>
        <w:t>Which is an indicator of Student Mastery</w:t>
      </w:r>
    </w:p>
  </w:footnote>
  <w:footnote w:id="4">
    <w:p w14:paraId="20358AAB" w14:textId="77777777" w:rsidR="00B33BA9" w:rsidRPr="006C05C8" w:rsidRDefault="00B33BA9" w:rsidP="008D0CAD">
      <w:pPr>
        <w:pStyle w:val="FootnoteText"/>
        <w:rPr>
          <w:lang w:val="en-US"/>
        </w:rPr>
      </w:pPr>
      <w:r>
        <w:rPr>
          <w:rStyle w:val="FootnoteReference"/>
          <w:rFonts w:eastAsia="Arial Unicode MS"/>
        </w:rPr>
        <w:footnoteRef/>
      </w:r>
      <w:r>
        <w:t xml:space="preserve"> </w:t>
      </w:r>
      <w:r>
        <w:rPr>
          <w:rFonts w:asciiTheme="majorHAnsi" w:hAnsiTheme="majorHAnsi" w:cstheme="majorHAnsi"/>
          <w:iCs/>
          <w:color w:val="000000"/>
        </w:rPr>
        <w:t>School-level Interventions only started in 2018</w:t>
      </w:r>
    </w:p>
  </w:footnote>
  <w:footnote w:id="5">
    <w:p w14:paraId="4115869B" w14:textId="77777777" w:rsidR="00B33BA9" w:rsidRPr="002320B3" w:rsidRDefault="00B33BA9" w:rsidP="008D0CAD">
      <w:pPr>
        <w:pStyle w:val="FootnoteText"/>
        <w:rPr>
          <w:rFonts w:asciiTheme="majorHAnsi" w:hAnsiTheme="majorHAnsi" w:cstheme="majorHAnsi"/>
          <w:lang w:val="en-US"/>
        </w:rPr>
      </w:pPr>
      <w:r w:rsidRPr="002320B3">
        <w:rPr>
          <w:rStyle w:val="FootnoteReference"/>
          <w:rFonts w:asciiTheme="majorHAnsi" w:eastAsia="Arial Unicode MS" w:hAnsiTheme="majorHAnsi" w:cstheme="majorHAnsi"/>
        </w:rPr>
        <w:footnoteRef/>
      </w:r>
      <w:r w:rsidRPr="002320B3">
        <w:rPr>
          <w:rFonts w:asciiTheme="majorHAnsi" w:hAnsiTheme="majorHAnsi" w:cstheme="majorHAnsi"/>
        </w:rPr>
        <w:t xml:space="preserve"> </w:t>
      </w:r>
      <w:r w:rsidRPr="002320B3">
        <w:rPr>
          <w:rFonts w:asciiTheme="majorHAnsi" w:hAnsiTheme="majorHAnsi" w:cstheme="majorHAnsi"/>
          <w:lang w:val="en-US"/>
        </w:rPr>
        <w:t>Source: Program Design Document</w:t>
      </w:r>
    </w:p>
  </w:footnote>
  <w:footnote w:id="6">
    <w:p w14:paraId="71D9C2E5" w14:textId="6B5A3B99" w:rsidR="00B33BA9" w:rsidRPr="004054A9" w:rsidRDefault="00B33BA9" w:rsidP="008D0CAD">
      <w:pPr>
        <w:pStyle w:val="FootnoteText"/>
        <w:rPr>
          <w:rFonts w:asciiTheme="majorHAnsi" w:hAnsiTheme="majorHAnsi" w:cstheme="majorHAnsi"/>
          <w:color w:val="000000" w:themeColor="text1"/>
        </w:rPr>
      </w:pPr>
      <w:r w:rsidRPr="00BF4ED8">
        <w:rPr>
          <w:rStyle w:val="FootnoteReference"/>
          <w:rFonts w:asciiTheme="majorHAnsi" w:eastAsia="Arial Unicode MS" w:hAnsiTheme="majorHAnsi" w:cstheme="majorHAnsi"/>
        </w:rPr>
        <w:footnoteRef/>
      </w:r>
      <w:r>
        <w:rPr>
          <w:rFonts w:asciiTheme="majorHAnsi" w:hAnsiTheme="majorHAnsi" w:cstheme="majorHAnsi"/>
        </w:rPr>
        <w:t xml:space="preserve"> </w:t>
      </w:r>
      <w:r w:rsidRPr="00BF4ED8">
        <w:rPr>
          <w:rFonts w:asciiTheme="majorHAnsi" w:hAnsiTheme="majorHAnsi" w:cstheme="majorHAnsi"/>
        </w:rPr>
        <w:t xml:space="preserve">The </w:t>
      </w:r>
      <w:r>
        <w:rPr>
          <w:rFonts w:asciiTheme="majorHAnsi" w:hAnsiTheme="majorHAnsi" w:cstheme="majorHAnsi"/>
        </w:rPr>
        <w:t>number one political campaign promise of</w:t>
      </w:r>
      <w:r w:rsidRPr="00BF4ED8">
        <w:rPr>
          <w:rFonts w:asciiTheme="majorHAnsi" w:hAnsiTheme="majorHAnsi" w:cstheme="majorHAnsi"/>
        </w:rPr>
        <w:t xml:space="preserve"> </w:t>
      </w:r>
      <w:r>
        <w:rPr>
          <w:rFonts w:asciiTheme="majorHAnsi" w:hAnsiTheme="majorHAnsi" w:cstheme="majorHAnsi"/>
        </w:rPr>
        <w:t>the former President articulated</w:t>
      </w:r>
      <w:r w:rsidRPr="00BF4ED8">
        <w:rPr>
          <w:rFonts w:asciiTheme="majorHAnsi" w:hAnsiTheme="majorHAnsi" w:cstheme="majorHAnsi"/>
        </w:rPr>
        <w:t xml:space="preserve"> in his 10-Point education </w:t>
      </w:r>
      <w:r w:rsidRPr="004054A9">
        <w:rPr>
          <w:rFonts w:asciiTheme="majorHAnsi" w:hAnsiTheme="majorHAnsi" w:cstheme="majorHAnsi"/>
          <w:color w:val="000000" w:themeColor="text1"/>
        </w:rPr>
        <w:t>agenda during the presidential campaign (February – May 2010).</w:t>
      </w:r>
    </w:p>
  </w:footnote>
  <w:footnote w:id="7">
    <w:p w14:paraId="4A16BC2F" w14:textId="7FAD3A64" w:rsidR="00B33BA9" w:rsidRPr="004054A9" w:rsidRDefault="00B33BA9" w:rsidP="008D0CAD">
      <w:pPr>
        <w:pStyle w:val="FootnoteText"/>
        <w:rPr>
          <w:rFonts w:asciiTheme="majorHAnsi" w:hAnsiTheme="majorHAnsi" w:cstheme="majorHAnsi"/>
          <w:color w:val="000000" w:themeColor="text1"/>
        </w:rPr>
      </w:pPr>
      <w:r w:rsidRPr="004054A9">
        <w:rPr>
          <w:rStyle w:val="FootnoteReference"/>
          <w:rFonts w:asciiTheme="majorHAnsi" w:eastAsia="Arial Unicode MS" w:hAnsiTheme="majorHAnsi" w:cstheme="majorHAnsi"/>
          <w:color w:val="000000" w:themeColor="text1"/>
        </w:rPr>
        <w:footnoteRef/>
      </w:r>
      <w:r>
        <w:rPr>
          <w:rFonts w:asciiTheme="majorHAnsi" w:hAnsiTheme="majorHAnsi" w:cstheme="majorHAnsi"/>
          <w:color w:val="000000" w:themeColor="text1"/>
        </w:rPr>
        <w:t xml:space="preserve"> </w:t>
      </w:r>
      <w:r w:rsidRPr="004054A9">
        <w:rPr>
          <w:rFonts w:asciiTheme="majorHAnsi" w:hAnsiTheme="majorHAnsi" w:cstheme="majorHAnsi"/>
          <w:color w:val="000000" w:themeColor="text1"/>
        </w:rPr>
        <w:t xml:space="preserve">Interview with former Secretary </w:t>
      </w:r>
      <w:r>
        <w:rPr>
          <w:rFonts w:asciiTheme="majorHAnsi" w:hAnsiTheme="majorHAnsi" w:cstheme="majorHAnsi"/>
          <w:color w:val="000000" w:themeColor="text1"/>
        </w:rPr>
        <w:t xml:space="preserve">A. </w:t>
      </w:r>
      <w:r w:rsidRPr="004054A9">
        <w:rPr>
          <w:rFonts w:asciiTheme="majorHAnsi" w:hAnsiTheme="majorHAnsi" w:cstheme="majorHAnsi"/>
          <w:color w:val="000000" w:themeColor="text1"/>
        </w:rPr>
        <w:t>Luistro, May 2, 2019, Manila.</w:t>
      </w:r>
    </w:p>
  </w:footnote>
  <w:footnote w:id="8">
    <w:p w14:paraId="653E2D9D" w14:textId="33A5F80E" w:rsidR="00B33BA9" w:rsidRPr="004054A9" w:rsidRDefault="00B33BA9" w:rsidP="008D0CAD">
      <w:pPr>
        <w:pStyle w:val="FootnoteText"/>
        <w:rPr>
          <w:rFonts w:asciiTheme="majorHAnsi" w:hAnsiTheme="majorHAnsi" w:cstheme="majorHAnsi"/>
          <w:color w:val="000000" w:themeColor="text1"/>
        </w:rPr>
      </w:pPr>
      <w:r w:rsidRPr="004054A9">
        <w:rPr>
          <w:rStyle w:val="FootnoteReference"/>
          <w:rFonts w:asciiTheme="majorHAnsi" w:eastAsia="Arial Unicode MS" w:hAnsiTheme="majorHAnsi" w:cstheme="majorHAnsi"/>
          <w:color w:val="000000" w:themeColor="text1"/>
        </w:rPr>
        <w:footnoteRef/>
      </w:r>
      <w:r>
        <w:rPr>
          <w:rFonts w:asciiTheme="majorHAnsi" w:hAnsiTheme="majorHAnsi" w:cstheme="majorHAnsi"/>
          <w:color w:val="000000" w:themeColor="text1"/>
        </w:rPr>
        <w:t xml:space="preserve"> </w:t>
      </w:r>
      <w:r w:rsidRPr="004054A9">
        <w:rPr>
          <w:rFonts w:asciiTheme="majorHAnsi" w:hAnsiTheme="majorHAnsi" w:cstheme="majorHAnsi"/>
          <w:color w:val="000000" w:themeColor="text1"/>
        </w:rPr>
        <w:t>Ibid.</w:t>
      </w:r>
    </w:p>
  </w:footnote>
  <w:footnote w:id="9">
    <w:p w14:paraId="1D68D85F" w14:textId="40E72654" w:rsidR="00B33BA9" w:rsidRPr="00BF4ED8" w:rsidRDefault="00B33BA9" w:rsidP="008D0CAD">
      <w:pPr>
        <w:pStyle w:val="FootnoteText"/>
        <w:rPr>
          <w:rFonts w:asciiTheme="majorHAnsi" w:hAnsiTheme="majorHAnsi" w:cstheme="majorHAnsi"/>
        </w:rPr>
      </w:pPr>
      <w:r w:rsidRPr="00BF4ED8">
        <w:rPr>
          <w:rStyle w:val="FootnoteReference"/>
          <w:rFonts w:asciiTheme="majorHAnsi" w:eastAsia="Arial Unicode MS" w:hAnsiTheme="majorHAnsi" w:cstheme="majorHAnsi"/>
        </w:rPr>
        <w:footnoteRef/>
      </w:r>
      <w:r>
        <w:rPr>
          <w:rFonts w:asciiTheme="majorHAnsi" w:hAnsiTheme="majorHAnsi" w:cstheme="majorHAnsi"/>
        </w:rPr>
        <w:t xml:space="preserve"> According to former DepEd Sec. Luistro, </w:t>
      </w:r>
      <w:r w:rsidRPr="00BF4ED8">
        <w:rPr>
          <w:rFonts w:asciiTheme="majorHAnsi" w:hAnsiTheme="majorHAnsi" w:cstheme="majorHAnsi"/>
        </w:rPr>
        <w:t>“</w:t>
      </w:r>
      <w:r w:rsidRPr="00BF4ED8">
        <w:rPr>
          <w:rFonts w:asciiTheme="majorHAnsi" w:hAnsiTheme="majorHAnsi" w:cstheme="majorHAnsi"/>
          <w:i/>
        </w:rPr>
        <w:t xml:space="preserve">What was not in the </w:t>
      </w:r>
      <w:r>
        <w:rPr>
          <w:rFonts w:asciiTheme="majorHAnsi" w:hAnsiTheme="majorHAnsi" w:cstheme="majorHAnsi"/>
          <w:i/>
        </w:rPr>
        <w:t>DepEd</w:t>
      </w:r>
      <w:r w:rsidRPr="00BF4ED8">
        <w:rPr>
          <w:rFonts w:asciiTheme="majorHAnsi" w:hAnsiTheme="majorHAnsi" w:cstheme="majorHAnsi"/>
          <w:i/>
        </w:rPr>
        <w:t xml:space="preserve"> budget or was not </w:t>
      </w:r>
      <w:r>
        <w:rPr>
          <w:rFonts w:asciiTheme="majorHAnsi" w:hAnsiTheme="majorHAnsi" w:cstheme="majorHAnsi"/>
          <w:i/>
        </w:rPr>
        <w:t>DepEd</w:t>
      </w:r>
      <w:r w:rsidRPr="00BF4ED8">
        <w:rPr>
          <w:rFonts w:asciiTheme="majorHAnsi" w:hAnsiTheme="majorHAnsi" w:cstheme="majorHAnsi"/>
          <w:i/>
        </w:rPr>
        <w:t xml:space="preserve"> expertise, BEST helped with funding.</w:t>
      </w:r>
      <w:r>
        <w:rPr>
          <w:rFonts w:asciiTheme="majorHAnsi" w:hAnsiTheme="majorHAnsi" w:cstheme="majorHAnsi"/>
          <w:i/>
        </w:rPr>
        <w:t xml:space="preserve"> </w:t>
      </w:r>
      <w:r w:rsidRPr="00BF4ED8">
        <w:rPr>
          <w:rFonts w:asciiTheme="majorHAnsi" w:hAnsiTheme="majorHAnsi" w:cstheme="majorHAnsi"/>
          <w:i/>
        </w:rPr>
        <w:t>BEST funds allowed regional directors and superintendents to go beyond regular monitoring to visit hard-to-reach areas</w:t>
      </w:r>
      <w:r>
        <w:rPr>
          <w:rFonts w:asciiTheme="majorHAnsi" w:hAnsiTheme="majorHAnsi" w:cstheme="majorHAnsi"/>
        </w:rPr>
        <w:t>”</w:t>
      </w:r>
    </w:p>
  </w:footnote>
  <w:footnote w:id="10">
    <w:p w14:paraId="5A418369" w14:textId="39B584A3" w:rsidR="00B33BA9" w:rsidRPr="00CB2567" w:rsidRDefault="00B33BA9" w:rsidP="008D0CAD">
      <w:pPr>
        <w:pStyle w:val="FootnoteText"/>
        <w:jc w:val="both"/>
        <w:rPr>
          <w:rFonts w:asciiTheme="majorHAnsi" w:hAnsiTheme="majorHAnsi" w:cstheme="majorHAnsi"/>
        </w:rPr>
      </w:pPr>
      <w:r w:rsidRPr="00CB2567">
        <w:rPr>
          <w:rStyle w:val="FootnoteReference"/>
          <w:rFonts w:asciiTheme="majorHAnsi" w:eastAsia="Arial Unicode MS" w:hAnsiTheme="majorHAnsi" w:cstheme="majorHAnsi"/>
        </w:rPr>
        <w:footnoteRef/>
      </w:r>
      <w:r>
        <w:rPr>
          <w:rFonts w:asciiTheme="majorHAnsi" w:hAnsiTheme="majorHAnsi" w:cstheme="majorHAnsi"/>
        </w:rPr>
        <w:t xml:space="preserve"> </w:t>
      </w:r>
      <w:r w:rsidRPr="00CB2567">
        <w:rPr>
          <w:rFonts w:asciiTheme="majorHAnsi" w:hAnsiTheme="majorHAnsi" w:cstheme="majorHAnsi"/>
        </w:rPr>
        <w:t xml:space="preserve">In the assessment study undertaken in the BEST-identified </w:t>
      </w:r>
      <w:r>
        <w:rPr>
          <w:rFonts w:asciiTheme="majorHAnsi" w:hAnsiTheme="majorHAnsi" w:cstheme="majorHAnsi"/>
        </w:rPr>
        <w:t>D</w:t>
      </w:r>
      <w:r w:rsidRPr="00CB2567">
        <w:rPr>
          <w:rFonts w:asciiTheme="majorHAnsi" w:hAnsiTheme="majorHAnsi" w:cstheme="majorHAnsi"/>
        </w:rPr>
        <w:t>ivision</w:t>
      </w:r>
      <w:r>
        <w:rPr>
          <w:rFonts w:asciiTheme="majorHAnsi" w:hAnsiTheme="majorHAnsi" w:cstheme="majorHAnsi"/>
        </w:rPr>
        <w:t xml:space="preserve"> Office</w:t>
      </w:r>
      <w:r w:rsidRPr="00CB2567">
        <w:rPr>
          <w:rFonts w:asciiTheme="majorHAnsi" w:hAnsiTheme="majorHAnsi" w:cstheme="majorHAnsi"/>
        </w:rPr>
        <w:t>s, when assessors met teachers to ask about specific BEST interventions, many teachers were not aware of these as BEST interventions.</w:t>
      </w:r>
      <w:r>
        <w:rPr>
          <w:rFonts w:asciiTheme="majorHAnsi" w:hAnsiTheme="majorHAnsi" w:cstheme="majorHAnsi"/>
        </w:rPr>
        <w:t xml:space="preserve"> </w:t>
      </w:r>
      <w:r w:rsidRPr="00CB2567">
        <w:rPr>
          <w:rFonts w:asciiTheme="majorHAnsi" w:hAnsiTheme="majorHAnsi" w:cstheme="majorHAnsi"/>
        </w:rPr>
        <w:t xml:space="preserve">As far as they were concerned, the interventions were </w:t>
      </w:r>
      <w:r>
        <w:rPr>
          <w:rFonts w:asciiTheme="majorHAnsi" w:hAnsiTheme="majorHAnsi" w:cstheme="majorHAnsi"/>
        </w:rPr>
        <w:t>DepEd</w:t>
      </w:r>
      <w:r w:rsidRPr="00CB2567">
        <w:rPr>
          <w:rFonts w:asciiTheme="majorHAnsi" w:hAnsiTheme="majorHAnsi" w:cstheme="majorHAnsi"/>
        </w:rPr>
        <w:t xml:space="preserve"> programs.</w:t>
      </w:r>
      <w:r>
        <w:rPr>
          <w:rFonts w:asciiTheme="majorHAnsi" w:hAnsiTheme="majorHAnsi" w:cstheme="majorHAnsi"/>
        </w:rPr>
        <w:t xml:space="preserve"> </w:t>
      </w:r>
      <w:r w:rsidRPr="00CB2567">
        <w:rPr>
          <w:rFonts w:asciiTheme="majorHAnsi" w:hAnsiTheme="majorHAnsi" w:cstheme="majorHAnsi"/>
        </w:rPr>
        <w:t xml:space="preserve">BEST managers in the BEST program office (not organic staff of </w:t>
      </w:r>
      <w:r>
        <w:rPr>
          <w:rFonts w:asciiTheme="majorHAnsi" w:hAnsiTheme="majorHAnsi" w:cstheme="majorHAnsi"/>
        </w:rPr>
        <w:t>DepEd</w:t>
      </w:r>
      <w:r w:rsidRPr="00CB2567">
        <w:rPr>
          <w:rFonts w:asciiTheme="majorHAnsi" w:hAnsiTheme="majorHAnsi" w:cstheme="majorHAnsi"/>
        </w:rPr>
        <w:t xml:space="preserve">) acknowledged this and stated that this was </w:t>
      </w:r>
      <w:r>
        <w:rPr>
          <w:rFonts w:asciiTheme="majorHAnsi" w:hAnsiTheme="majorHAnsi" w:cstheme="majorHAnsi"/>
        </w:rPr>
        <w:t xml:space="preserve">done </w:t>
      </w:r>
      <w:r w:rsidRPr="00CB2567">
        <w:rPr>
          <w:rFonts w:asciiTheme="majorHAnsi" w:hAnsiTheme="majorHAnsi" w:cstheme="majorHAnsi"/>
        </w:rPr>
        <w:t>by design.</w:t>
      </w:r>
    </w:p>
  </w:footnote>
  <w:footnote w:id="11">
    <w:p w14:paraId="1E5B3740" w14:textId="77777777" w:rsidR="00B33BA9" w:rsidRPr="004E77E0" w:rsidRDefault="00B33BA9" w:rsidP="008D0CAD">
      <w:pPr>
        <w:pStyle w:val="FootnoteText"/>
        <w:rPr>
          <w:rFonts w:asciiTheme="majorHAnsi" w:hAnsiTheme="majorHAnsi" w:cstheme="majorHAnsi"/>
        </w:rPr>
      </w:pPr>
      <w:r w:rsidRPr="004E77E0">
        <w:rPr>
          <w:rStyle w:val="FootnoteReference"/>
          <w:rFonts w:asciiTheme="majorHAnsi" w:eastAsia="Arial Unicode MS" w:hAnsiTheme="majorHAnsi" w:cstheme="majorHAnsi"/>
        </w:rPr>
        <w:footnoteRef/>
      </w:r>
      <w:r w:rsidRPr="004E77E0">
        <w:rPr>
          <w:rFonts w:asciiTheme="majorHAnsi" w:hAnsiTheme="majorHAnsi" w:cstheme="majorHAnsi"/>
        </w:rPr>
        <w:t xml:space="preserve"> Primary refers to training directly funded by the Program while secondary refers to training conducted by the participants trained by the graduates of BEST-funded training programs</w:t>
      </w:r>
    </w:p>
  </w:footnote>
  <w:footnote w:id="12">
    <w:p w14:paraId="2C635F81" w14:textId="77777777" w:rsidR="00B33BA9" w:rsidRPr="00DC71CC" w:rsidRDefault="00B33BA9" w:rsidP="008D0CAD">
      <w:pPr>
        <w:pStyle w:val="FootnoteText"/>
        <w:jc w:val="both"/>
        <w:rPr>
          <w:rFonts w:asciiTheme="majorHAnsi" w:hAnsiTheme="majorHAnsi" w:cstheme="majorHAnsi"/>
        </w:rPr>
      </w:pPr>
      <w:r w:rsidRPr="00DC71CC">
        <w:rPr>
          <w:rStyle w:val="FootnoteReference"/>
          <w:rFonts w:asciiTheme="majorHAnsi" w:eastAsia="Arial Unicode MS" w:hAnsiTheme="majorHAnsi" w:cstheme="majorHAnsi"/>
        </w:rPr>
        <w:footnoteRef/>
      </w:r>
      <w:r w:rsidRPr="00DC71CC">
        <w:rPr>
          <w:rFonts w:asciiTheme="majorHAnsi" w:hAnsiTheme="majorHAnsi" w:cstheme="majorHAnsi"/>
        </w:rPr>
        <w:t xml:space="preserve"> The Field Research Coordinator visited each school individually, sometimes more than three times.</w:t>
      </w:r>
    </w:p>
  </w:footnote>
  <w:footnote w:id="13">
    <w:p w14:paraId="7B5395C0" w14:textId="77777777" w:rsidR="00B33BA9" w:rsidRPr="00DC71CC" w:rsidRDefault="00B33BA9" w:rsidP="008D0CAD">
      <w:pPr>
        <w:pStyle w:val="FootnoteText"/>
        <w:jc w:val="both"/>
        <w:rPr>
          <w:rFonts w:asciiTheme="majorHAnsi" w:hAnsiTheme="majorHAnsi" w:cstheme="majorHAnsi"/>
        </w:rPr>
      </w:pPr>
      <w:r w:rsidRPr="00DC71CC">
        <w:rPr>
          <w:rStyle w:val="FootnoteReference"/>
          <w:rFonts w:asciiTheme="majorHAnsi" w:eastAsia="Arial Unicode MS" w:hAnsiTheme="majorHAnsi" w:cstheme="majorHAnsi"/>
        </w:rPr>
        <w:footnoteRef/>
      </w:r>
      <w:r w:rsidRPr="00DC71CC">
        <w:rPr>
          <w:rFonts w:asciiTheme="majorHAnsi" w:hAnsiTheme="majorHAnsi" w:cstheme="majorHAnsi"/>
        </w:rPr>
        <w:t xml:space="preserve"> Complete secondary data referred to complete average grades segregated by: sex (male and female); year level (Grade 4, 5 and 6); and by school year (SY2013-2014 to SY2017-2018)</w:t>
      </w:r>
    </w:p>
  </w:footnote>
  <w:footnote w:id="14">
    <w:p w14:paraId="50A4E84D" w14:textId="77777777" w:rsidR="00B33BA9" w:rsidRPr="00DC71CC" w:rsidRDefault="00B33BA9" w:rsidP="008D0CAD">
      <w:pPr>
        <w:pStyle w:val="FootnoteText"/>
        <w:jc w:val="both"/>
        <w:rPr>
          <w:rFonts w:asciiTheme="majorHAnsi" w:hAnsiTheme="majorHAnsi" w:cstheme="majorHAnsi"/>
        </w:rPr>
      </w:pPr>
      <w:r w:rsidRPr="00DC71CC">
        <w:rPr>
          <w:rStyle w:val="FootnoteReference"/>
          <w:rFonts w:asciiTheme="majorHAnsi" w:eastAsia="Arial Unicode MS" w:hAnsiTheme="majorHAnsi" w:cstheme="majorHAnsi"/>
        </w:rPr>
        <w:footnoteRef/>
      </w:r>
      <w:r w:rsidRPr="00DC71CC">
        <w:rPr>
          <w:rFonts w:asciiTheme="majorHAnsi" w:hAnsiTheme="majorHAnsi" w:cstheme="majorHAnsi"/>
        </w:rPr>
        <w:t xml:space="preserve"> Incomplete secondary data referred to data that had missing years, for example, no average grades for SY 2014-2015</w:t>
      </w:r>
    </w:p>
  </w:footnote>
  <w:footnote w:id="15">
    <w:p w14:paraId="6170AE0F" w14:textId="77777777" w:rsidR="00B33BA9" w:rsidRPr="00DC71CC" w:rsidRDefault="00B33BA9" w:rsidP="008D0CAD">
      <w:pPr>
        <w:pStyle w:val="FootnoteText"/>
        <w:jc w:val="both"/>
        <w:rPr>
          <w:rFonts w:asciiTheme="majorHAnsi" w:hAnsiTheme="majorHAnsi" w:cstheme="majorHAnsi"/>
        </w:rPr>
      </w:pPr>
      <w:r w:rsidRPr="00DC71CC">
        <w:rPr>
          <w:rStyle w:val="FootnoteReference"/>
          <w:rFonts w:asciiTheme="majorHAnsi" w:eastAsia="Arial Unicode MS" w:hAnsiTheme="majorHAnsi" w:cstheme="majorHAnsi"/>
        </w:rPr>
        <w:footnoteRef/>
      </w:r>
      <w:r w:rsidRPr="00DC71CC">
        <w:rPr>
          <w:rFonts w:asciiTheme="majorHAnsi" w:hAnsiTheme="majorHAnsi" w:cstheme="majorHAnsi"/>
        </w:rPr>
        <w:t xml:space="preserve"> The EOPE Study Team is supposed to undertake 80 classroom observations to cover all the direct recipient schools in the study sample. However, in the interest of efficiency, the list of schools to be observed was cross-checked with the list of Innovations for Poverty Action (IPA), which was the organization conducting the Teacher Professional Development Baseline Study commissioned by BEST. Eleven schools overlapped in both lists and it was agreed that IPA will conduct the classroom observations of these schools but the results were shared to QED-ADII to contribute to the analysis of all the sample schools.</w:t>
      </w:r>
    </w:p>
  </w:footnote>
  <w:footnote w:id="16">
    <w:p w14:paraId="3AD2585B" w14:textId="77777777" w:rsidR="00B33BA9" w:rsidRPr="00DC71CC" w:rsidRDefault="00B33BA9" w:rsidP="008D0CAD">
      <w:pPr>
        <w:pStyle w:val="FootnoteText"/>
        <w:rPr>
          <w:rFonts w:asciiTheme="majorHAnsi" w:hAnsiTheme="majorHAnsi" w:cstheme="majorHAnsi"/>
        </w:rPr>
      </w:pPr>
      <w:r w:rsidRPr="00DC71CC">
        <w:rPr>
          <w:rStyle w:val="FootnoteReference"/>
          <w:rFonts w:asciiTheme="majorHAnsi" w:eastAsia="Arial Unicode MS" w:hAnsiTheme="majorHAnsi" w:cstheme="majorHAnsi"/>
        </w:rPr>
        <w:footnoteRef/>
      </w:r>
      <w:r w:rsidRPr="00DC71CC">
        <w:rPr>
          <w:rFonts w:asciiTheme="majorHAnsi" w:hAnsiTheme="majorHAnsi" w:cstheme="majorHAnsi"/>
        </w:rPr>
        <w:t xml:space="preserve"> EOPE Study interview with the BEST Program Executive Sponsor, Usec. N.A. Malaluan.</w:t>
      </w:r>
    </w:p>
  </w:footnote>
  <w:footnote w:id="17">
    <w:p w14:paraId="32946BE8" w14:textId="77777777" w:rsidR="00B33BA9" w:rsidRPr="00DC71CC" w:rsidRDefault="00B33BA9" w:rsidP="008D0CAD">
      <w:pPr>
        <w:pStyle w:val="FootnoteText"/>
        <w:rPr>
          <w:rFonts w:asciiTheme="majorHAnsi" w:hAnsiTheme="majorHAnsi" w:cstheme="majorHAnsi"/>
        </w:rPr>
      </w:pPr>
      <w:r w:rsidRPr="00DC71CC">
        <w:rPr>
          <w:rStyle w:val="FootnoteReference"/>
          <w:rFonts w:asciiTheme="majorHAnsi" w:eastAsia="Arial Unicode MS" w:hAnsiTheme="majorHAnsi" w:cstheme="majorHAnsi"/>
        </w:rPr>
        <w:footnoteRef/>
      </w:r>
      <w:r w:rsidRPr="00DC71CC">
        <w:rPr>
          <w:rFonts w:asciiTheme="majorHAnsi" w:hAnsiTheme="majorHAnsi" w:cstheme="majorHAnsi"/>
        </w:rPr>
        <w:t xml:space="preserve"> Interview with the respondents from NEAP</w:t>
      </w:r>
    </w:p>
  </w:footnote>
  <w:footnote w:id="18">
    <w:p w14:paraId="02FC7CC0" w14:textId="77777777" w:rsidR="00B33BA9" w:rsidRPr="00751A28" w:rsidRDefault="00B33BA9" w:rsidP="008D0CAD">
      <w:pPr>
        <w:pStyle w:val="FootnoteText"/>
        <w:rPr>
          <w:rFonts w:asciiTheme="majorHAnsi" w:hAnsiTheme="majorHAnsi" w:cstheme="majorHAnsi"/>
          <w:lang w:val="en-US"/>
        </w:rPr>
      </w:pPr>
      <w:r w:rsidRPr="00751A28">
        <w:rPr>
          <w:rStyle w:val="FootnoteReference"/>
          <w:rFonts w:asciiTheme="majorHAnsi" w:eastAsia="Arial Unicode MS" w:hAnsiTheme="majorHAnsi" w:cstheme="majorHAnsi"/>
        </w:rPr>
        <w:footnoteRef/>
      </w:r>
      <w:r w:rsidRPr="00751A28">
        <w:rPr>
          <w:rFonts w:asciiTheme="majorHAnsi" w:hAnsiTheme="majorHAnsi" w:cstheme="majorHAnsi"/>
        </w:rPr>
        <w:t xml:space="preserve"> </w:t>
      </w:r>
      <w:r>
        <w:rPr>
          <w:rFonts w:asciiTheme="majorHAnsi" w:hAnsiTheme="majorHAnsi" w:cstheme="majorHAnsi"/>
        </w:rPr>
        <w:t>DepEd</w:t>
      </w:r>
      <w:r w:rsidRPr="00751A28">
        <w:rPr>
          <w:rFonts w:asciiTheme="majorHAnsi" w:hAnsiTheme="majorHAnsi" w:cstheme="majorHAnsi"/>
        </w:rPr>
        <w:t>-Administrative Service</w:t>
      </w:r>
      <w:r w:rsidRPr="00751A28">
        <w:rPr>
          <w:rFonts w:asciiTheme="majorHAnsi" w:hAnsiTheme="majorHAnsi" w:cstheme="majorHAnsi"/>
          <w:lang w:val="en-US"/>
        </w:rPr>
        <w:t>-EFD</w:t>
      </w:r>
    </w:p>
  </w:footnote>
  <w:footnote w:id="19">
    <w:p w14:paraId="2B4A8095" w14:textId="77777777" w:rsidR="00B33BA9" w:rsidRPr="00A73631" w:rsidRDefault="00B33BA9" w:rsidP="008D0CAD">
      <w:pPr>
        <w:pStyle w:val="FootnoteText"/>
        <w:rPr>
          <w:rFonts w:asciiTheme="majorHAnsi" w:hAnsiTheme="majorHAnsi" w:cstheme="majorHAnsi"/>
        </w:rPr>
      </w:pPr>
      <w:r w:rsidRPr="00A73631">
        <w:rPr>
          <w:rStyle w:val="FootnoteReference"/>
          <w:rFonts w:asciiTheme="majorHAnsi" w:eastAsia="Arial Unicode MS" w:hAnsiTheme="majorHAnsi" w:cstheme="majorHAnsi"/>
        </w:rPr>
        <w:footnoteRef/>
      </w:r>
      <w:r w:rsidRPr="00A73631">
        <w:rPr>
          <w:rFonts w:asciiTheme="majorHAnsi" w:hAnsiTheme="majorHAnsi" w:cstheme="majorHAnsi"/>
        </w:rPr>
        <w:t xml:space="preserve"> Using the pooled DID method, the Study computed the DID values per grade level and per subject. A positive DID value indicated positive effects of the BEST Program on the students’ average grades, meaning that there was a higher increase in average grades in </w:t>
      </w:r>
      <w:r w:rsidRPr="00A73631">
        <w:rPr>
          <w:rFonts w:asciiTheme="majorHAnsi" w:hAnsiTheme="majorHAnsi" w:cstheme="majorHAnsi"/>
          <w:lang w:val="en-GB"/>
        </w:rPr>
        <w:t xml:space="preserve">the </w:t>
      </w:r>
      <w:r w:rsidRPr="00A73631">
        <w:rPr>
          <w:rFonts w:asciiTheme="majorHAnsi" w:hAnsiTheme="majorHAnsi" w:cstheme="majorHAnsi"/>
        </w:rPr>
        <w:t xml:space="preserve">direct recipient schools compared to that of the </w:t>
      </w:r>
      <w:r w:rsidRPr="00A73631">
        <w:rPr>
          <w:rFonts w:asciiTheme="majorHAnsi" w:hAnsiTheme="majorHAnsi" w:cstheme="majorHAnsi"/>
          <w:lang w:val="en-GB"/>
        </w:rPr>
        <w:t>in</w:t>
      </w:r>
      <w:r w:rsidRPr="00A73631">
        <w:rPr>
          <w:rFonts w:asciiTheme="majorHAnsi" w:hAnsiTheme="majorHAnsi" w:cstheme="majorHAnsi"/>
        </w:rPr>
        <w:t>direct recipient schools.</w:t>
      </w:r>
    </w:p>
  </w:footnote>
  <w:footnote w:id="20">
    <w:p w14:paraId="64339BC3" w14:textId="77777777" w:rsidR="00B33BA9" w:rsidRPr="00B07D16" w:rsidRDefault="00B33BA9" w:rsidP="008D0CAD">
      <w:pPr>
        <w:pStyle w:val="FootnoteText"/>
        <w:jc w:val="both"/>
        <w:rPr>
          <w:rFonts w:asciiTheme="majorHAnsi" w:hAnsiTheme="majorHAnsi" w:cstheme="majorHAnsi"/>
          <w:lang w:val="en-US"/>
        </w:rPr>
      </w:pPr>
      <w:r w:rsidRPr="00A73631">
        <w:rPr>
          <w:rStyle w:val="FootnoteReference"/>
          <w:rFonts w:asciiTheme="majorHAnsi" w:eastAsia="Arial Unicode MS" w:hAnsiTheme="majorHAnsi" w:cstheme="majorHAnsi"/>
        </w:rPr>
        <w:footnoteRef/>
      </w:r>
      <w:r w:rsidRPr="00A73631">
        <w:rPr>
          <w:rFonts w:asciiTheme="majorHAnsi" w:hAnsiTheme="majorHAnsi" w:cstheme="majorHAnsi"/>
        </w:rPr>
        <w:t xml:space="preserve"> </w:t>
      </w:r>
      <w:r>
        <w:rPr>
          <w:rFonts w:asciiTheme="majorHAnsi" w:hAnsiTheme="majorHAnsi" w:cstheme="majorHAnsi"/>
        </w:rPr>
        <w:t xml:space="preserve">Direct </w:t>
      </w:r>
      <w:r w:rsidRPr="00A73631">
        <w:rPr>
          <w:rFonts w:asciiTheme="majorHAnsi" w:hAnsiTheme="majorHAnsi" w:cstheme="majorHAnsi"/>
          <w:lang w:val="en-US"/>
        </w:rPr>
        <w:t>Recipient Schools (</w:t>
      </w:r>
      <w:r>
        <w:rPr>
          <w:rFonts w:asciiTheme="majorHAnsi" w:hAnsiTheme="majorHAnsi" w:cstheme="majorHAnsi"/>
          <w:lang w:val="en-US"/>
        </w:rPr>
        <w:t>D</w:t>
      </w:r>
      <w:r w:rsidRPr="00A73631">
        <w:rPr>
          <w:rFonts w:asciiTheme="majorHAnsi" w:hAnsiTheme="majorHAnsi" w:cstheme="majorHAnsi"/>
          <w:lang w:val="en-US"/>
        </w:rPr>
        <w:t>RS)</w:t>
      </w:r>
      <w:r>
        <w:rPr>
          <w:rFonts w:asciiTheme="majorHAnsi" w:hAnsiTheme="majorHAnsi" w:cstheme="majorHAnsi"/>
          <w:lang w:val="en-US"/>
        </w:rPr>
        <w:t xml:space="preserve"> refer to elementary schools located within the six BEST Program-supported </w:t>
      </w:r>
      <w:r w:rsidRPr="00B07D16">
        <w:rPr>
          <w:rFonts w:asciiTheme="majorHAnsi" w:hAnsiTheme="majorHAnsi" w:cstheme="majorHAnsi"/>
          <w:lang w:val="en-US"/>
        </w:rPr>
        <w:t>regions which directly received assistance from the Program (also referred to as the treatment group) while Indirect Recipient Schools (I</w:t>
      </w:r>
      <w:r w:rsidRPr="00487AFA">
        <w:rPr>
          <w:rFonts w:asciiTheme="majorHAnsi" w:hAnsiTheme="majorHAnsi" w:cstheme="majorHAnsi"/>
          <w:lang w:val="en-US"/>
        </w:rPr>
        <w:t>RS)</w:t>
      </w:r>
      <w:r w:rsidRPr="001C1C92">
        <w:rPr>
          <w:rFonts w:asciiTheme="majorHAnsi" w:hAnsiTheme="majorHAnsi" w:cstheme="majorHAnsi"/>
          <w:lang w:val="en-US"/>
        </w:rPr>
        <w:t xml:space="preserve"> refer to elementary schools located within the same area but </w:t>
      </w:r>
      <w:r w:rsidRPr="00B07D16">
        <w:rPr>
          <w:rFonts w:asciiTheme="majorHAnsi" w:hAnsiTheme="majorHAnsi" w:cstheme="majorHAnsi"/>
          <w:lang w:val="en-US"/>
        </w:rPr>
        <w:t>did not directly receive interventions (also referred to as the comparison group).</w:t>
      </w:r>
    </w:p>
  </w:footnote>
  <w:footnote w:id="21">
    <w:p w14:paraId="2AEB6B32" w14:textId="77777777" w:rsidR="00B33BA9" w:rsidRPr="00941FBA" w:rsidRDefault="00B33BA9" w:rsidP="008D0CAD">
      <w:pPr>
        <w:pStyle w:val="FootnoteText"/>
        <w:rPr>
          <w:rFonts w:asciiTheme="majorHAnsi" w:hAnsiTheme="majorHAnsi" w:cstheme="majorHAnsi"/>
          <w:lang w:val="en-US"/>
        </w:rPr>
      </w:pPr>
      <w:r w:rsidRPr="00941FBA">
        <w:rPr>
          <w:rStyle w:val="FootnoteReference"/>
          <w:rFonts w:asciiTheme="majorHAnsi" w:eastAsia="Arial Unicode MS" w:hAnsiTheme="majorHAnsi" w:cstheme="majorHAnsi"/>
        </w:rPr>
        <w:footnoteRef/>
      </w:r>
      <w:r w:rsidRPr="00941FBA">
        <w:rPr>
          <w:rFonts w:asciiTheme="majorHAnsi" w:hAnsiTheme="majorHAnsi" w:cstheme="majorHAnsi"/>
        </w:rPr>
        <w:t xml:space="preserve"> </w:t>
      </w:r>
      <w:r w:rsidRPr="00941FBA">
        <w:rPr>
          <w:rFonts w:asciiTheme="majorHAnsi" w:hAnsiTheme="majorHAnsi" w:cstheme="majorHAnsi"/>
          <w:bCs/>
          <w:color w:val="000000" w:themeColor="text1"/>
        </w:rPr>
        <w:t>8 schools from NCR, 1 each from Regions 5 and 6 and 3 each from Regions 7 and 10</w:t>
      </w:r>
    </w:p>
  </w:footnote>
  <w:footnote w:id="22">
    <w:p w14:paraId="247C3176" w14:textId="77777777" w:rsidR="00B33BA9" w:rsidRPr="00FF5517" w:rsidRDefault="00B33BA9" w:rsidP="008D0CAD">
      <w:pPr>
        <w:pStyle w:val="FootnoteText"/>
        <w:rPr>
          <w:lang w:val="en-US"/>
        </w:rPr>
      </w:pPr>
      <w:r>
        <w:rPr>
          <w:rStyle w:val="FootnoteReference"/>
          <w:rFonts w:eastAsia="Arial Unicode MS"/>
        </w:rPr>
        <w:footnoteRef/>
      </w:r>
      <w:r>
        <w:t xml:space="preserve"> </w:t>
      </w:r>
      <w:r>
        <w:rPr>
          <w:rFonts w:asciiTheme="majorHAnsi" w:hAnsiTheme="majorHAnsi" w:cstheme="majorHAnsi"/>
        </w:rPr>
        <w:t>BEST Program, 2012, p. 46</w:t>
      </w:r>
    </w:p>
  </w:footnote>
  <w:footnote w:id="23">
    <w:p w14:paraId="4B823C9B" w14:textId="77777777" w:rsidR="00B33BA9" w:rsidRPr="00D14E3A" w:rsidRDefault="00B33BA9" w:rsidP="008D0CAD">
      <w:pPr>
        <w:pStyle w:val="FootnoteText"/>
        <w:rPr>
          <w:rFonts w:asciiTheme="majorHAnsi" w:hAnsiTheme="majorHAnsi" w:cstheme="majorHAnsi"/>
          <w:lang w:val="en-US"/>
        </w:rPr>
      </w:pPr>
      <w:r w:rsidRPr="00D14E3A">
        <w:rPr>
          <w:rStyle w:val="FootnoteReference"/>
          <w:rFonts w:asciiTheme="majorHAnsi" w:eastAsia="Arial Unicode MS" w:hAnsiTheme="majorHAnsi" w:cstheme="majorHAnsi"/>
        </w:rPr>
        <w:footnoteRef/>
      </w:r>
      <w:r w:rsidRPr="00D14E3A">
        <w:rPr>
          <w:rFonts w:asciiTheme="majorHAnsi" w:hAnsiTheme="majorHAnsi" w:cstheme="majorHAnsi"/>
        </w:rPr>
        <w:t xml:space="preserve"> </w:t>
      </w:r>
      <w:r w:rsidRPr="00D14E3A">
        <w:rPr>
          <w:rFonts w:asciiTheme="majorHAnsi" w:hAnsiTheme="majorHAnsi" w:cstheme="majorHAnsi"/>
          <w:lang w:val="en-US"/>
        </w:rPr>
        <w:t>Refer also to Annex A: BEST Program’s Theory of Change</w:t>
      </w:r>
    </w:p>
  </w:footnote>
  <w:footnote w:id="24">
    <w:p w14:paraId="5E5BDDC0" w14:textId="77777777" w:rsidR="00B33BA9" w:rsidRPr="00684E94" w:rsidRDefault="00B33BA9" w:rsidP="008D0CAD">
      <w:pPr>
        <w:pStyle w:val="FootnoteText"/>
        <w:rPr>
          <w:rFonts w:asciiTheme="majorHAnsi" w:hAnsiTheme="majorHAnsi" w:cstheme="majorHAnsi"/>
        </w:rPr>
      </w:pPr>
      <w:r w:rsidRPr="00684E94">
        <w:rPr>
          <w:rStyle w:val="FootnoteReference"/>
          <w:rFonts w:asciiTheme="majorHAnsi" w:eastAsia="Arial Unicode MS" w:hAnsiTheme="majorHAnsi" w:cstheme="majorHAnsi"/>
        </w:rPr>
        <w:footnoteRef/>
      </w:r>
      <w:r w:rsidRPr="00684E94">
        <w:rPr>
          <w:rFonts w:asciiTheme="majorHAnsi" w:hAnsiTheme="majorHAnsi" w:cstheme="majorHAnsi"/>
        </w:rPr>
        <w:t xml:space="preserve"> Annex 2 - Stocktake Analysis of SMPR 8</w:t>
      </w:r>
    </w:p>
  </w:footnote>
  <w:footnote w:id="25">
    <w:p w14:paraId="0556E79E" w14:textId="77777777" w:rsidR="00B33BA9" w:rsidRPr="00530418" w:rsidRDefault="00B33BA9" w:rsidP="008D0CAD">
      <w:pPr>
        <w:pStyle w:val="FootnoteText"/>
        <w:rPr>
          <w:rFonts w:asciiTheme="majorHAnsi" w:hAnsiTheme="majorHAnsi" w:cstheme="majorHAnsi"/>
          <w:lang w:val="en-US"/>
        </w:rPr>
      </w:pPr>
      <w:r w:rsidRPr="00530418">
        <w:rPr>
          <w:rStyle w:val="FootnoteReference"/>
          <w:rFonts w:asciiTheme="majorHAnsi" w:eastAsia="Arial Unicode MS" w:hAnsiTheme="majorHAnsi" w:cstheme="majorHAnsi"/>
        </w:rPr>
        <w:footnoteRef/>
      </w:r>
      <w:r w:rsidRPr="00530418">
        <w:rPr>
          <w:rFonts w:asciiTheme="majorHAnsi" w:hAnsiTheme="majorHAnsi" w:cstheme="majorHAnsi"/>
        </w:rPr>
        <w:t xml:space="preserve"> </w:t>
      </w:r>
      <w:r w:rsidRPr="00530418">
        <w:rPr>
          <w:rFonts w:asciiTheme="majorHAnsi" w:hAnsiTheme="majorHAnsi" w:cstheme="majorHAnsi"/>
          <w:lang w:val="en-US"/>
        </w:rPr>
        <w:t>Interview with BEST Consultant</w:t>
      </w:r>
    </w:p>
  </w:footnote>
  <w:footnote w:id="26">
    <w:p w14:paraId="72005C35" w14:textId="77777777" w:rsidR="00B33BA9" w:rsidRPr="00FC3155" w:rsidRDefault="00B33BA9" w:rsidP="008D0CAD">
      <w:pPr>
        <w:pStyle w:val="FootnoteText"/>
        <w:rPr>
          <w:rFonts w:asciiTheme="majorHAnsi" w:hAnsiTheme="majorHAnsi" w:cstheme="majorHAnsi"/>
          <w:lang w:val="en-US"/>
        </w:rPr>
      </w:pPr>
      <w:r w:rsidRPr="00FC3155">
        <w:rPr>
          <w:rStyle w:val="FootnoteReference"/>
          <w:rFonts w:asciiTheme="majorHAnsi" w:eastAsia="Arial Unicode MS" w:hAnsiTheme="majorHAnsi" w:cstheme="majorHAnsi"/>
        </w:rPr>
        <w:footnoteRef/>
      </w:r>
      <w:r w:rsidRPr="00FC3155">
        <w:rPr>
          <w:rFonts w:asciiTheme="majorHAnsi" w:hAnsiTheme="majorHAnsi" w:cstheme="majorHAnsi"/>
        </w:rPr>
        <w:t xml:space="preserve"> </w:t>
      </w:r>
      <w:r w:rsidRPr="00FC3155">
        <w:rPr>
          <w:rFonts w:asciiTheme="majorHAnsi" w:hAnsiTheme="majorHAnsi" w:cstheme="majorHAnsi"/>
          <w:lang w:val="en-US"/>
        </w:rPr>
        <w:t>Based on 2012 data</w:t>
      </w:r>
    </w:p>
  </w:footnote>
  <w:footnote w:id="27">
    <w:p w14:paraId="12DE45DB" w14:textId="77777777" w:rsidR="00B33BA9" w:rsidRPr="00C47147" w:rsidRDefault="00B33BA9" w:rsidP="008D0CAD">
      <w:pPr>
        <w:pStyle w:val="FootnoteText"/>
        <w:rPr>
          <w:rFonts w:asciiTheme="majorHAnsi" w:hAnsiTheme="majorHAnsi" w:cstheme="majorHAnsi"/>
          <w:lang w:val="en-US"/>
        </w:rPr>
      </w:pPr>
      <w:r w:rsidRPr="00C47147">
        <w:rPr>
          <w:rStyle w:val="FootnoteReference"/>
          <w:rFonts w:asciiTheme="majorHAnsi" w:eastAsia="Arial Unicode MS" w:hAnsiTheme="majorHAnsi" w:cstheme="majorHAnsi"/>
        </w:rPr>
        <w:footnoteRef/>
      </w:r>
      <w:r w:rsidRPr="00C47147">
        <w:rPr>
          <w:rFonts w:asciiTheme="majorHAnsi" w:hAnsiTheme="majorHAnsi" w:cstheme="majorHAnsi"/>
        </w:rPr>
        <w:t xml:space="preserve"> </w:t>
      </w:r>
      <w:r w:rsidRPr="00C47147">
        <w:rPr>
          <w:rFonts w:asciiTheme="majorHAnsi" w:hAnsiTheme="majorHAnsi" w:cstheme="majorHAnsi"/>
          <w:lang w:val="en-US"/>
        </w:rPr>
        <w:t xml:space="preserve">It was </w:t>
      </w:r>
      <w:r>
        <w:rPr>
          <w:rFonts w:asciiTheme="majorHAnsi" w:hAnsiTheme="majorHAnsi" w:cstheme="majorHAnsi"/>
          <w:lang w:val="en-US"/>
        </w:rPr>
        <w:t>reported that PBEd would assist these scholars to re-take the LET. However, the results of these were no longer obtained by the study.</w:t>
      </w:r>
      <w:r w:rsidRPr="00C47147">
        <w:rPr>
          <w:rFonts w:asciiTheme="majorHAnsi" w:hAnsiTheme="majorHAnsi" w:cstheme="majorHAnsi"/>
          <w:lang w:val="en-US"/>
        </w:rPr>
        <w:t xml:space="preserve"> </w:t>
      </w:r>
    </w:p>
  </w:footnote>
  <w:footnote w:id="28">
    <w:p w14:paraId="742AABE9" w14:textId="77777777" w:rsidR="00B33BA9" w:rsidRPr="00CC0C83" w:rsidRDefault="00B33BA9" w:rsidP="008D0CAD">
      <w:pPr>
        <w:pStyle w:val="FootnoteText"/>
        <w:rPr>
          <w:rFonts w:asciiTheme="majorHAnsi" w:hAnsiTheme="majorHAnsi" w:cstheme="majorHAnsi"/>
          <w:lang w:val="en-US"/>
        </w:rPr>
      </w:pPr>
      <w:r w:rsidRPr="00CC0C83">
        <w:rPr>
          <w:rStyle w:val="FootnoteReference"/>
          <w:rFonts w:asciiTheme="majorHAnsi" w:eastAsia="Arial Unicode MS" w:hAnsiTheme="majorHAnsi" w:cstheme="majorHAnsi"/>
        </w:rPr>
        <w:footnoteRef/>
      </w:r>
      <w:r w:rsidRPr="00CC0C83">
        <w:rPr>
          <w:rFonts w:asciiTheme="majorHAnsi" w:hAnsiTheme="majorHAnsi" w:cstheme="majorHAnsi"/>
        </w:rPr>
        <w:t xml:space="preserve"> </w:t>
      </w:r>
      <w:r w:rsidRPr="00CC0C83">
        <w:rPr>
          <w:rFonts w:asciiTheme="majorHAnsi" w:hAnsiTheme="majorHAnsi" w:cstheme="majorHAnsi"/>
          <w:lang w:val="en-US"/>
        </w:rPr>
        <w:t>Beginning teachers were described as those who have been teaching in basic education in the public sector for one to five years.</w:t>
      </w:r>
    </w:p>
  </w:footnote>
  <w:footnote w:id="29">
    <w:p w14:paraId="2412032E" w14:textId="77777777" w:rsidR="00B33BA9" w:rsidRPr="00471E45" w:rsidRDefault="00B33BA9" w:rsidP="008D0CAD">
      <w:pPr>
        <w:pStyle w:val="FootnoteText"/>
        <w:rPr>
          <w:rFonts w:asciiTheme="majorHAnsi" w:hAnsiTheme="majorHAnsi" w:cstheme="majorHAnsi"/>
          <w:lang w:val="en-US"/>
        </w:rPr>
      </w:pPr>
      <w:r w:rsidRPr="00471E45">
        <w:rPr>
          <w:rStyle w:val="FootnoteReference"/>
          <w:rFonts w:asciiTheme="majorHAnsi" w:eastAsia="Arial Unicode MS" w:hAnsiTheme="majorHAnsi" w:cstheme="majorHAnsi"/>
        </w:rPr>
        <w:footnoteRef/>
      </w:r>
      <w:r w:rsidRPr="00471E45">
        <w:rPr>
          <w:rFonts w:asciiTheme="majorHAnsi" w:hAnsiTheme="majorHAnsi" w:cstheme="majorHAnsi"/>
        </w:rPr>
        <w:t xml:space="preserve"> 2019 </w:t>
      </w:r>
      <w:r w:rsidRPr="00471E45">
        <w:rPr>
          <w:rFonts w:asciiTheme="majorHAnsi" w:hAnsiTheme="majorHAnsi" w:cstheme="majorHAnsi"/>
          <w:color w:val="000000" w:themeColor="text1"/>
        </w:rPr>
        <w:t>Survey of Teachers</w:t>
      </w:r>
    </w:p>
  </w:footnote>
  <w:footnote w:id="30">
    <w:p w14:paraId="6210C729" w14:textId="77777777" w:rsidR="00B33BA9" w:rsidRPr="00CC0C83" w:rsidRDefault="00B33BA9" w:rsidP="008D0CAD">
      <w:pPr>
        <w:pStyle w:val="FootnoteText"/>
        <w:rPr>
          <w:rFonts w:asciiTheme="majorHAnsi" w:hAnsiTheme="majorHAnsi" w:cstheme="majorHAnsi"/>
          <w:lang w:val="en-US"/>
        </w:rPr>
      </w:pPr>
      <w:r w:rsidRPr="00CC0C83">
        <w:rPr>
          <w:rStyle w:val="FootnoteReference"/>
          <w:rFonts w:asciiTheme="majorHAnsi" w:eastAsia="Arial Unicode MS" w:hAnsiTheme="majorHAnsi" w:cstheme="majorHAnsi"/>
        </w:rPr>
        <w:footnoteRef/>
      </w:r>
      <w:r w:rsidRPr="00CC0C83">
        <w:rPr>
          <w:rFonts w:asciiTheme="majorHAnsi" w:hAnsiTheme="majorHAnsi" w:cstheme="majorHAnsi"/>
        </w:rPr>
        <w:t xml:space="preserve"> </w:t>
      </w:r>
      <w:r w:rsidRPr="00CC0C83">
        <w:rPr>
          <w:rFonts w:asciiTheme="majorHAnsi" w:hAnsiTheme="majorHAnsi" w:cstheme="majorHAnsi"/>
          <w:color w:val="000000" w:themeColor="text1"/>
        </w:rPr>
        <w:t xml:space="preserve">For the respondents in the Main Study, only teachers in BEST Program-supported schools were included. Responses of teachers from “Non-BEST” schools were excluded. Source: </w:t>
      </w:r>
      <w:r w:rsidRPr="00CC0C83">
        <w:rPr>
          <w:rFonts w:asciiTheme="majorHAnsi" w:hAnsiTheme="majorHAnsi" w:cstheme="majorHAnsi"/>
          <w:color w:val="000000" w:themeColor="text1"/>
          <w:lang w:val="en-GB"/>
        </w:rPr>
        <w:t>2019 and 2020 KAU Surveys</w:t>
      </w:r>
    </w:p>
  </w:footnote>
  <w:footnote w:id="31">
    <w:p w14:paraId="38B56CBA" w14:textId="77777777" w:rsidR="00B33BA9" w:rsidRPr="00D51F02" w:rsidRDefault="00B33BA9" w:rsidP="008D0CAD">
      <w:pPr>
        <w:pStyle w:val="FootnoteText"/>
        <w:rPr>
          <w:rFonts w:asciiTheme="majorHAnsi" w:hAnsiTheme="majorHAnsi" w:cstheme="majorHAnsi"/>
          <w:lang w:val="en-US"/>
        </w:rPr>
      </w:pPr>
      <w:r w:rsidRPr="00D51F02">
        <w:rPr>
          <w:rStyle w:val="FootnoteReference"/>
          <w:rFonts w:asciiTheme="majorHAnsi" w:eastAsia="Arial Unicode MS" w:hAnsiTheme="majorHAnsi" w:cstheme="majorHAnsi"/>
        </w:rPr>
        <w:footnoteRef/>
      </w:r>
      <w:r w:rsidRPr="00D51F02">
        <w:rPr>
          <w:rFonts w:asciiTheme="majorHAnsi" w:hAnsiTheme="majorHAnsi" w:cstheme="majorHAnsi"/>
        </w:rPr>
        <w:t xml:space="preserve"> </w:t>
      </w:r>
      <w:r w:rsidRPr="00D51F02">
        <w:rPr>
          <w:rFonts w:asciiTheme="majorHAnsi" w:hAnsiTheme="majorHAnsi" w:cstheme="majorHAnsi"/>
          <w:lang w:val="en-US"/>
        </w:rPr>
        <w:t>2020 Survey of Teachers</w:t>
      </w:r>
    </w:p>
  </w:footnote>
  <w:footnote w:id="32">
    <w:p w14:paraId="2318E693" w14:textId="77777777" w:rsidR="00B33BA9" w:rsidRDefault="00B33BA9" w:rsidP="008D0CAD">
      <w:pPr>
        <w:pStyle w:val="FootnoteText"/>
        <w:jc w:val="both"/>
      </w:pPr>
      <w:r>
        <w:rPr>
          <w:rStyle w:val="FootnoteReference"/>
          <w:rFonts w:eastAsia="Arial Unicode MS"/>
        </w:rPr>
        <w:footnoteRef/>
      </w:r>
      <w:r>
        <w:t xml:space="preserve"> </w:t>
      </w:r>
      <w:r>
        <w:rPr>
          <w:rFonts w:asciiTheme="majorHAnsi" w:hAnsiTheme="majorHAnsi" w:cstheme="majorHAnsi"/>
          <w:color w:val="000000"/>
        </w:rPr>
        <w:t>GEDSI-related</w:t>
      </w:r>
      <w:r w:rsidRPr="00343815">
        <w:rPr>
          <w:rFonts w:asciiTheme="majorHAnsi" w:hAnsiTheme="majorHAnsi" w:cstheme="majorHAnsi"/>
          <w:color w:val="000000"/>
        </w:rPr>
        <w:t xml:space="preserve"> training programs conducted </w:t>
      </w:r>
      <w:r>
        <w:rPr>
          <w:rFonts w:asciiTheme="majorHAnsi" w:hAnsiTheme="majorHAnsi" w:cstheme="majorHAnsi"/>
          <w:color w:val="000000"/>
        </w:rPr>
        <w:t>with</w:t>
      </w:r>
      <w:r w:rsidRPr="00343815">
        <w:rPr>
          <w:rFonts w:asciiTheme="majorHAnsi" w:hAnsiTheme="majorHAnsi" w:cstheme="majorHAnsi"/>
          <w:color w:val="000000"/>
        </w:rPr>
        <w:t xml:space="preserve"> BEST </w:t>
      </w:r>
      <w:r>
        <w:rPr>
          <w:rFonts w:asciiTheme="majorHAnsi" w:hAnsiTheme="majorHAnsi" w:cstheme="majorHAnsi"/>
          <w:color w:val="000000"/>
        </w:rPr>
        <w:t xml:space="preserve">Program </w:t>
      </w:r>
      <w:r w:rsidRPr="00343815">
        <w:rPr>
          <w:rFonts w:asciiTheme="majorHAnsi" w:hAnsiTheme="majorHAnsi" w:cstheme="majorHAnsi"/>
          <w:color w:val="000000"/>
        </w:rPr>
        <w:t xml:space="preserve">support </w:t>
      </w:r>
      <w:r>
        <w:rPr>
          <w:rFonts w:asciiTheme="majorHAnsi" w:hAnsiTheme="majorHAnsi" w:cstheme="majorHAnsi"/>
          <w:color w:val="000000"/>
        </w:rPr>
        <w:t>comprised of</w:t>
      </w:r>
      <w:r w:rsidRPr="00343815">
        <w:rPr>
          <w:rFonts w:asciiTheme="majorHAnsi" w:hAnsiTheme="majorHAnsi" w:cstheme="majorHAnsi"/>
          <w:color w:val="000000"/>
        </w:rPr>
        <w:t>:</w:t>
      </w:r>
      <w:r>
        <w:rPr>
          <w:rFonts w:asciiTheme="majorHAnsi" w:hAnsiTheme="majorHAnsi" w:cstheme="majorHAnsi"/>
          <w:color w:val="000000"/>
        </w:rPr>
        <w:t xml:space="preserve"> </w:t>
      </w:r>
      <w:r w:rsidRPr="00443DAB">
        <w:rPr>
          <w:rFonts w:asciiTheme="majorHAnsi" w:hAnsiTheme="majorHAnsi" w:cstheme="majorHAnsi"/>
          <w:color w:val="000000"/>
        </w:rPr>
        <w:t>Braille Production Workshop for all regions;</w:t>
      </w:r>
      <w:r>
        <w:rPr>
          <w:rFonts w:asciiTheme="majorHAnsi" w:hAnsiTheme="majorHAnsi" w:cstheme="majorHAnsi"/>
          <w:color w:val="000000"/>
        </w:rPr>
        <w:t xml:space="preserve"> </w:t>
      </w:r>
      <w:r w:rsidRPr="00443DAB">
        <w:rPr>
          <w:rFonts w:asciiTheme="majorHAnsi" w:hAnsiTheme="majorHAnsi" w:cstheme="majorHAnsi"/>
          <w:color w:val="000000"/>
        </w:rPr>
        <w:t xml:space="preserve">Workshop </w:t>
      </w:r>
      <w:r>
        <w:rPr>
          <w:rFonts w:asciiTheme="majorHAnsi" w:hAnsiTheme="majorHAnsi" w:cstheme="majorHAnsi"/>
          <w:color w:val="000000"/>
        </w:rPr>
        <w:t>to</w:t>
      </w:r>
      <w:r w:rsidRPr="00443DAB">
        <w:rPr>
          <w:rFonts w:asciiTheme="majorHAnsi" w:hAnsiTheme="majorHAnsi" w:cstheme="majorHAnsi"/>
          <w:color w:val="000000"/>
        </w:rPr>
        <w:t xml:space="preserve"> craft and finalize Quality Assurance process (Low Vision)</w:t>
      </w:r>
      <w:r>
        <w:rPr>
          <w:rFonts w:asciiTheme="majorHAnsi" w:hAnsiTheme="majorHAnsi" w:cstheme="majorHAnsi"/>
          <w:color w:val="000000"/>
        </w:rPr>
        <w:t xml:space="preserve">; </w:t>
      </w:r>
      <w:r w:rsidRPr="00443DAB">
        <w:rPr>
          <w:rFonts w:asciiTheme="majorHAnsi" w:hAnsiTheme="majorHAnsi" w:cstheme="majorHAnsi"/>
          <w:color w:val="000000"/>
        </w:rPr>
        <w:t>Capacity Building for Inclusive Education Advocates in Region V</w:t>
      </w:r>
      <w:r>
        <w:rPr>
          <w:rFonts w:asciiTheme="majorHAnsi" w:hAnsiTheme="majorHAnsi" w:cstheme="majorHAnsi"/>
          <w:color w:val="000000"/>
        </w:rPr>
        <w:t xml:space="preserve">; </w:t>
      </w:r>
      <w:r w:rsidRPr="00443DAB">
        <w:rPr>
          <w:rFonts w:asciiTheme="majorHAnsi" w:hAnsiTheme="majorHAnsi" w:cstheme="majorHAnsi"/>
          <w:color w:val="000000"/>
        </w:rPr>
        <w:t>Training on SPED Learning Resource Development</w:t>
      </w:r>
      <w:r>
        <w:rPr>
          <w:rFonts w:asciiTheme="majorHAnsi" w:hAnsiTheme="majorHAnsi" w:cstheme="majorHAnsi"/>
          <w:color w:val="000000"/>
        </w:rPr>
        <w:t>; two</w:t>
      </w:r>
      <w:r w:rsidRPr="00443DAB">
        <w:rPr>
          <w:rFonts w:asciiTheme="majorHAnsi" w:hAnsiTheme="majorHAnsi" w:cstheme="majorHAnsi"/>
          <w:color w:val="000000"/>
        </w:rPr>
        <w:t xml:space="preserve"> Batches of Training on the LAC Toolkit and GEDSI Awareness for </w:t>
      </w:r>
      <w:r>
        <w:rPr>
          <w:rFonts w:asciiTheme="majorHAnsi" w:hAnsiTheme="majorHAnsi" w:cstheme="majorHAnsi"/>
          <w:color w:val="000000"/>
        </w:rPr>
        <w:t>all six BEST Regions; two</w:t>
      </w:r>
      <w:r w:rsidRPr="00443DAB">
        <w:rPr>
          <w:rFonts w:asciiTheme="majorHAnsi" w:hAnsiTheme="majorHAnsi" w:cstheme="majorHAnsi"/>
          <w:color w:val="000000"/>
        </w:rPr>
        <w:t xml:space="preserve"> Batches of Training on IE, GAD, and Storytelling</w:t>
      </w:r>
      <w:r>
        <w:rPr>
          <w:rFonts w:asciiTheme="majorHAnsi" w:hAnsiTheme="majorHAnsi" w:cstheme="majorHAnsi"/>
          <w:color w:val="000000"/>
        </w:rPr>
        <w:t xml:space="preserve">; </w:t>
      </w:r>
      <w:r w:rsidRPr="00443DAB">
        <w:rPr>
          <w:rFonts w:asciiTheme="majorHAnsi" w:hAnsiTheme="majorHAnsi" w:cstheme="majorHAnsi"/>
          <w:color w:val="000000"/>
        </w:rPr>
        <w:t>Training on Inclusive Education Values series - Baybay City Division (R8)</w:t>
      </w:r>
      <w:r>
        <w:rPr>
          <w:rFonts w:asciiTheme="majorHAnsi" w:hAnsiTheme="majorHAnsi" w:cstheme="majorHAnsi"/>
          <w:color w:val="000000"/>
        </w:rPr>
        <w:t xml:space="preserve">; and </w:t>
      </w:r>
      <w:r w:rsidRPr="00443DAB">
        <w:rPr>
          <w:rFonts w:asciiTheme="majorHAnsi" w:hAnsiTheme="majorHAnsi" w:cstheme="majorHAnsi"/>
          <w:color w:val="000000"/>
        </w:rPr>
        <w:t>In-service Training (INSET) on Inclusive Education and Disability for Divisions of Baybay &amp; Biliran</w:t>
      </w:r>
      <w:r>
        <w:rPr>
          <w:rFonts w:asciiTheme="majorHAnsi" w:hAnsiTheme="majorHAnsi" w:cstheme="majorHAnsi"/>
          <w:color w:val="000000"/>
        </w:rPr>
        <w:t>.</w:t>
      </w:r>
    </w:p>
  </w:footnote>
  <w:footnote w:id="33">
    <w:p w14:paraId="0D52686D" w14:textId="77777777" w:rsidR="00B33BA9" w:rsidRPr="000039BB" w:rsidRDefault="00B33BA9" w:rsidP="008D0CAD">
      <w:pPr>
        <w:pStyle w:val="FootnoteText"/>
        <w:rPr>
          <w:lang w:val="en-US"/>
        </w:rPr>
      </w:pPr>
      <w:r>
        <w:rPr>
          <w:rStyle w:val="FootnoteReference"/>
          <w:rFonts w:eastAsia="Arial Unicode MS"/>
        </w:rPr>
        <w:footnoteRef/>
      </w:r>
      <w:r>
        <w:t xml:space="preserve"> </w:t>
      </w:r>
      <w:r>
        <w:rPr>
          <w:rFonts w:asciiTheme="majorHAnsi" w:hAnsiTheme="majorHAnsi" w:cstheme="majorHAnsi"/>
          <w:color w:val="000000"/>
        </w:rPr>
        <w:t>2019 Survey</w:t>
      </w:r>
      <w:r w:rsidRPr="000039BB">
        <w:rPr>
          <w:rFonts w:asciiTheme="majorHAnsi" w:hAnsiTheme="majorHAnsi" w:cstheme="majorHAnsi"/>
          <w:lang w:val="en-US"/>
        </w:rPr>
        <w:t xml:space="preserve"> </w:t>
      </w:r>
      <w:r w:rsidRPr="00A56FB5">
        <w:rPr>
          <w:rFonts w:asciiTheme="majorHAnsi" w:hAnsiTheme="majorHAnsi" w:cstheme="majorHAnsi"/>
          <w:lang w:val="en-US"/>
        </w:rPr>
        <w:t xml:space="preserve">of </w:t>
      </w:r>
      <w:r>
        <w:rPr>
          <w:rFonts w:asciiTheme="majorHAnsi" w:hAnsiTheme="majorHAnsi" w:cstheme="majorHAnsi"/>
          <w:lang w:val="en-US"/>
        </w:rPr>
        <w:t>Principals</w:t>
      </w:r>
      <w:r w:rsidRPr="00A56FB5">
        <w:rPr>
          <w:rFonts w:asciiTheme="majorHAnsi" w:hAnsiTheme="majorHAnsi" w:cstheme="majorHAnsi"/>
          <w:lang w:val="en-US"/>
        </w:rPr>
        <w:t xml:space="preserve"> and Teachers</w:t>
      </w:r>
    </w:p>
  </w:footnote>
  <w:footnote w:id="34">
    <w:p w14:paraId="2D7CDAF7" w14:textId="77777777" w:rsidR="00B33BA9" w:rsidRPr="00DD6E21" w:rsidRDefault="00B33BA9" w:rsidP="008D0CAD">
      <w:pPr>
        <w:pStyle w:val="FootnoteText"/>
        <w:rPr>
          <w:rFonts w:asciiTheme="majorHAnsi" w:hAnsiTheme="majorHAnsi" w:cstheme="majorHAnsi"/>
        </w:rPr>
      </w:pPr>
      <w:r w:rsidRPr="00DD6E21">
        <w:rPr>
          <w:rStyle w:val="FootnoteReference"/>
          <w:rFonts w:asciiTheme="majorHAnsi" w:eastAsia="Arial Unicode MS" w:hAnsiTheme="majorHAnsi" w:cstheme="majorHAnsi"/>
        </w:rPr>
        <w:footnoteRef/>
      </w:r>
      <w:r w:rsidRPr="00DD6E21">
        <w:rPr>
          <w:rFonts w:asciiTheme="majorHAnsi" w:hAnsiTheme="majorHAnsi" w:cstheme="majorHAnsi"/>
        </w:rPr>
        <w:t xml:space="preserve"> </w:t>
      </w:r>
      <w:hyperlink r:id="rId1" w:history="1">
        <w:r w:rsidRPr="00DD6E21">
          <w:rPr>
            <w:rStyle w:val="Hyperlink"/>
            <w:rFonts w:asciiTheme="majorHAnsi" w:eastAsiaTheme="majorEastAsia" w:hAnsiTheme="majorHAnsi" w:cstheme="majorHAnsi"/>
          </w:rPr>
          <w:t>https://www.DepEd.gov.ph/2018/10/03/rpms-ppst-helping-teachers-improve-delivery-of-quality-basic-education/</w:t>
        </w:r>
      </w:hyperlink>
      <w:r w:rsidRPr="00DD6E21">
        <w:rPr>
          <w:rFonts w:asciiTheme="majorHAnsi" w:hAnsiTheme="majorHAnsi" w:cstheme="majorHAnsi"/>
        </w:rPr>
        <w:t xml:space="preserve"> </w:t>
      </w:r>
    </w:p>
  </w:footnote>
  <w:footnote w:id="35">
    <w:p w14:paraId="29E90681" w14:textId="77777777" w:rsidR="00B33BA9" w:rsidRPr="006B6BBF" w:rsidRDefault="00B33BA9" w:rsidP="008D0CAD">
      <w:pPr>
        <w:pStyle w:val="FootnoteText"/>
        <w:jc w:val="both"/>
        <w:rPr>
          <w:rFonts w:asciiTheme="majorHAnsi" w:hAnsiTheme="majorHAnsi" w:cstheme="majorHAnsi"/>
        </w:rPr>
      </w:pPr>
      <w:r w:rsidRPr="006B6BBF">
        <w:rPr>
          <w:rStyle w:val="FootnoteReference"/>
          <w:rFonts w:asciiTheme="majorHAnsi" w:eastAsia="Arial Unicode MS" w:hAnsiTheme="majorHAnsi" w:cstheme="majorHAnsi"/>
        </w:rPr>
        <w:footnoteRef/>
      </w:r>
      <w:r w:rsidRPr="006B6BBF">
        <w:rPr>
          <w:rFonts w:asciiTheme="majorHAnsi" w:hAnsiTheme="majorHAnsi" w:cstheme="majorHAnsi"/>
        </w:rPr>
        <w:t xml:space="preserve"> </w:t>
      </w:r>
      <w:r w:rsidRPr="006B6BBF">
        <w:rPr>
          <w:rFonts w:asciiTheme="majorHAnsi" w:eastAsia="Garamond" w:hAnsiTheme="majorHAnsi" w:cstheme="majorHAnsi"/>
        </w:rPr>
        <w:t>School-level assessments/perspectives were derived from FGDs with Principals and Teachers from BEST-supported schools and those not supported by the BEST Program (comparison schools) as well as from two surveys (KAUQ Survey and Survey on BEST Program interventions) administered to principals/school heads and teachers.</w:t>
      </w:r>
    </w:p>
  </w:footnote>
  <w:footnote w:id="36">
    <w:p w14:paraId="6BAB555B" w14:textId="77777777" w:rsidR="00B33BA9" w:rsidRPr="006B6BBF" w:rsidRDefault="00B33BA9" w:rsidP="008D0CAD">
      <w:pPr>
        <w:pStyle w:val="FootnoteText"/>
        <w:jc w:val="both"/>
        <w:rPr>
          <w:rFonts w:asciiTheme="majorHAnsi" w:hAnsiTheme="majorHAnsi" w:cstheme="majorHAnsi"/>
        </w:rPr>
      </w:pPr>
      <w:r w:rsidRPr="006B6BBF">
        <w:rPr>
          <w:rStyle w:val="FootnoteReference"/>
          <w:rFonts w:asciiTheme="majorHAnsi" w:eastAsia="Arial Unicode MS" w:hAnsiTheme="majorHAnsi" w:cstheme="majorHAnsi"/>
        </w:rPr>
        <w:footnoteRef/>
      </w:r>
      <w:r w:rsidRPr="006B6BBF">
        <w:rPr>
          <w:rFonts w:asciiTheme="majorHAnsi" w:hAnsiTheme="majorHAnsi" w:cstheme="majorHAnsi"/>
        </w:rPr>
        <w:t xml:space="preserve"> </w:t>
      </w:r>
      <w:r w:rsidRPr="006B6BBF">
        <w:rPr>
          <w:rFonts w:asciiTheme="majorHAnsi" w:hAnsiTheme="majorHAnsi" w:cstheme="majorHAnsi"/>
          <w:color w:val="0A0A0A"/>
          <w:shd w:val="clear" w:color="auto" w:fill="FFFFFF"/>
        </w:rPr>
        <w:t>RPMS is a systemic mechanism to manage, monitor and measure performance, and identify human resource and organizational development needs to enable continuous work improvement and individual growth. It is being implemented in consonance with the Civil Service Commission (CSC) Memorandum Circular No. 6, s. 2012</w:t>
      </w:r>
    </w:p>
  </w:footnote>
  <w:footnote w:id="37">
    <w:p w14:paraId="26F683BD" w14:textId="4CA3CAB3" w:rsidR="00B33BA9" w:rsidRPr="009F2A5B" w:rsidRDefault="00B33BA9" w:rsidP="008D0CAD">
      <w:pPr>
        <w:jc w:val="both"/>
        <w:rPr>
          <w:rFonts w:asciiTheme="majorHAnsi" w:hAnsiTheme="majorHAnsi" w:cstheme="majorHAnsi"/>
          <w:color w:val="000000"/>
          <w:sz w:val="20"/>
          <w:szCs w:val="20"/>
        </w:rPr>
      </w:pPr>
      <w:r w:rsidRPr="00D42E6D">
        <w:rPr>
          <w:rStyle w:val="FootnoteReference"/>
          <w:rFonts w:asciiTheme="majorHAnsi" w:eastAsia="Arial Unicode MS" w:hAnsiTheme="majorHAnsi" w:cstheme="majorHAnsi"/>
        </w:rPr>
        <w:footnoteRef/>
      </w:r>
      <w:r w:rsidRPr="00D42E6D">
        <w:rPr>
          <w:rFonts w:asciiTheme="majorHAnsi" w:hAnsiTheme="majorHAnsi" w:cstheme="majorHAnsi"/>
          <w:sz w:val="20"/>
          <w:szCs w:val="20"/>
        </w:rPr>
        <w:t xml:space="preserve"> </w:t>
      </w:r>
      <w:r w:rsidRPr="009F2A5B">
        <w:rPr>
          <w:rFonts w:asciiTheme="majorHAnsi" w:hAnsiTheme="majorHAnsi" w:cstheme="majorHAnsi"/>
          <w:color w:val="000000"/>
          <w:sz w:val="20"/>
          <w:szCs w:val="20"/>
        </w:rPr>
        <w:t>KRA 1.</w:t>
      </w:r>
      <w:r>
        <w:rPr>
          <w:rFonts w:asciiTheme="majorHAnsi" w:hAnsiTheme="majorHAnsi" w:cstheme="majorHAnsi"/>
          <w:color w:val="000000"/>
          <w:sz w:val="20"/>
          <w:szCs w:val="20"/>
        </w:rPr>
        <w:t xml:space="preserve"> </w:t>
      </w:r>
      <w:r w:rsidRPr="009F2A5B">
        <w:rPr>
          <w:rFonts w:asciiTheme="majorHAnsi" w:hAnsiTheme="majorHAnsi" w:cstheme="majorHAnsi"/>
          <w:color w:val="000000"/>
          <w:sz w:val="20"/>
          <w:szCs w:val="20"/>
        </w:rPr>
        <w:t>Applies knowledge of content within and across curriculum; KRA 2. Uses a range of teaching strategies that enhance learner achievement in literacy and numeracy skill; KRA 3.</w:t>
      </w:r>
      <w:r>
        <w:rPr>
          <w:rFonts w:asciiTheme="majorHAnsi" w:hAnsiTheme="majorHAnsi" w:cstheme="majorHAnsi"/>
          <w:color w:val="000000"/>
          <w:sz w:val="20"/>
          <w:szCs w:val="20"/>
        </w:rPr>
        <w:t xml:space="preserve"> </w:t>
      </w:r>
      <w:r w:rsidRPr="009F2A5B">
        <w:rPr>
          <w:rFonts w:asciiTheme="majorHAnsi" w:hAnsiTheme="majorHAnsi" w:cstheme="majorHAnsi"/>
          <w:color w:val="000000"/>
          <w:sz w:val="20"/>
          <w:szCs w:val="20"/>
        </w:rPr>
        <w:t xml:space="preserve"> Applies a range of teaching strategies to develop critical thinking; KRA 4. Manages classroom structure to engage learners, individually or in groups, in meaningful exploration, discovery and hands-on activities within a range of physical learning environments; KRA 5. Manages learner behavior constructively by applying positive and non-violent discipline to ensure learning-focused environments; KRA 6. Uses differentiated, developmentally appropriate learning experiences to address learners' gender, needs, strengths, interests and experiences; KRA 7.</w:t>
      </w:r>
      <w:r>
        <w:rPr>
          <w:rFonts w:asciiTheme="majorHAnsi" w:hAnsiTheme="majorHAnsi" w:cstheme="majorHAnsi"/>
          <w:color w:val="000000"/>
          <w:sz w:val="20"/>
          <w:szCs w:val="20"/>
        </w:rPr>
        <w:t xml:space="preserve"> </w:t>
      </w:r>
      <w:r w:rsidRPr="009F2A5B">
        <w:rPr>
          <w:rFonts w:asciiTheme="majorHAnsi" w:hAnsiTheme="majorHAnsi" w:cstheme="majorHAnsi"/>
          <w:color w:val="000000"/>
          <w:sz w:val="20"/>
          <w:szCs w:val="20"/>
        </w:rPr>
        <w:t>Plans, manages and implements developmentally sequenced teaching and learning processes to meet curriculum requirements and varied teaching contexts; KRA 8. Selects, develops, organizes, and uses appropriate teaching and learning resources, including ICT, to address learning goals; and KRA 9. Designs, selects, organizes, and uses diagnostic, formative and summative assessment strategies consistent with curriculum requirements.</w:t>
      </w:r>
    </w:p>
    <w:p w14:paraId="5A28B0EA" w14:textId="77777777" w:rsidR="00B33BA9" w:rsidRDefault="00B33BA9" w:rsidP="008D0CAD">
      <w:pPr>
        <w:pStyle w:val="FootnoteText"/>
      </w:pPr>
    </w:p>
  </w:footnote>
  <w:footnote w:id="38">
    <w:p w14:paraId="6617F73E" w14:textId="42A41130" w:rsidR="00B33BA9" w:rsidRPr="009355DF" w:rsidRDefault="00B33BA9" w:rsidP="008D0CAD">
      <w:pPr>
        <w:pStyle w:val="FootnoteText"/>
        <w:rPr>
          <w:rFonts w:asciiTheme="majorHAnsi" w:hAnsiTheme="majorHAnsi" w:cstheme="majorHAnsi"/>
        </w:rPr>
      </w:pPr>
      <w:r w:rsidRPr="009355DF">
        <w:rPr>
          <w:rStyle w:val="FootnoteReference"/>
          <w:rFonts w:asciiTheme="majorHAnsi" w:eastAsia="Arial Unicode MS" w:hAnsiTheme="majorHAnsi" w:cstheme="majorHAnsi"/>
        </w:rPr>
        <w:footnoteRef/>
      </w:r>
      <w:r w:rsidRPr="009355DF">
        <w:rPr>
          <w:rFonts w:asciiTheme="majorHAnsi" w:hAnsiTheme="majorHAnsi" w:cstheme="majorHAnsi"/>
        </w:rPr>
        <w:t xml:space="preserve"> This finding is based the results of classroom observations of </w:t>
      </w:r>
      <w:r w:rsidRPr="009355DF">
        <w:rPr>
          <w:rFonts w:asciiTheme="majorHAnsi" w:hAnsiTheme="majorHAnsi" w:cstheme="majorHAnsi"/>
          <w:bCs/>
          <w:color w:val="000000" w:themeColor="text1"/>
        </w:rPr>
        <w:t>seven teachers simultaneously observed by Principals/School Heads using the COT and by QED ADII using the TEACH Tool.</w:t>
      </w:r>
      <w:r>
        <w:rPr>
          <w:rFonts w:asciiTheme="majorHAnsi" w:hAnsiTheme="majorHAnsi" w:cstheme="majorHAnsi"/>
          <w:bCs/>
          <w:color w:val="000000" w:themeColor="text1"/>
        </w:rPr>
        <w:t xml:space="preserve"> </w:t>
      </w:r>
      <w:r w:rsidRPr="009355DF">
        <w:rPr>
          <w:rFonts w:asciiTheme="majorHAnsi" w:hAnsiTheme="majorHAnsi" w:cstheme="majorHAnsi"/>
          <w:bCs/>
          <w:color w:val="000000" w:themeColor="text1"/>
        </w:rPr>
        <w:t>The QED ADII Study Team was only able to observe 7 actual classroom observations using the COT because at the time of the data gathering, most of the classroom observations were already done as school year was ending (March).</w:t>
      </w:r>
    </w:p>
  </w:footnote>
  <w:footnote w:id="39">
    <w:p w14:paraId="4074F77D" w14:textId="0FC6F1CB" w:rsidR="00B33BA9" w:rsidRPr="009355DF" w:rsidRDefault="00B33BA9" w:rsidP="008D0CAD">
      <w:pPr>
        <w:pStyle w:val="FootnoteText"/>
        <w:rPr>
          <w:rFonts w:asciiTheme="majorHAnsi" w:hAnsiTheme="majorHAnsi" w:cstheme="majorHAnsi"/>
        </w:rPr>
      </w:pPr>
      <w:r w:rsidRPr="009355DF">
        <w:rPr>
          <w:rStyle w:val="FootnoteReference"/>
          <w:rFonts w:asciiTheme="majorHAnsi" w:eastAsia="Arial Unicode MS" w:hAnsiTheme="majorHAnsi" w:cstheme="majorHAnsi"/>
        </w:rPr>
        <w:footnoteRef/>
      </w:r>
      <w:r w:rsidRPr="009355DF">
        <w:rPr>
          <w:rFonts w:asciiTheme="majorHAnsi" w:hAnsiTheme="majorHAnsi" w:cstheme="majorHAnsi"/>
        </w:rPr>
        <w:t xml:space="preserve"> These findings were based on the 69 Classroom Observation Tools (COTs) collected by the EOPE Study Team</w:t>
      </w:r>
      <w:r>
        <w:rPr>
          <w:rFonts w:asciiTheme="majorHAnsi" w:hAnsiTheme="majorHAnsi" w:cstheme="majorHAnsi"/>
        </w:rPr>
        <w:t xml:space="preserve"> from 41 BEST supported schools. These COTs were conducted during various quarters of the school year and some involved similar teachers. The comparative analysis was intended simply to assess the suitability of the tool in measuring teacher performance.</w:t>
      </w:r>
    </w:p>
  </w:footnote>
  <w:footnote w:id="40">
    <w:p w14:paraId="62475AD0" w14:textId="77777777" w:rsidR="00B33BA9" w:rsidRPr="006F014C" w:rsidRDefault="00B33BA9" w:rsidP="008D0CAD">
      <w:pPr>
        <w:rPr>
          <w:rFonts w:asciiTheme="majorHAnsi" w:hAnsiTheme="majorHAnsi" w:cstheme="majorHAnsi"/>
          <w:sz w:val="20"/>
          <w:szCs w:val="20"/>
        </w:rPr>
      </w:pPr>
      <w:r w:rsidRPr="009355DF">
        <w:rPr>
          <w:rStyle w:val="FootnoteReference"/>
          <w:rFonts w:asciiTheme="majorHAnsi" w:eastAsia="Arial Unicode MS" w:hAnsiTheme="majorHAnsi" w:cstheme="majorHAnsi"/>
        </w:rPr>
        <w:footnoteRef/>
      </w:r>
      <w:r w:rsidRPr="009355DF">
        <w:rPr>
          <w:rFonts w:asciiTheme="majorHAnsi" w:hAnsiTheme="majorHAnsi" w:cstheme="majorHAnsi"/>
          <w:sz w:val="20"/>
          <w:szCs w:val="20"/>
        </w:rPr>
        <w:t xml:space="preserve"> Teacher Professional Development (TPD) Support Baseline Study Final Report, IPA, May 2019, p. 74</w:t>
      </w:r>
    </w:p>
  </w:footnote>
  <w:footnote w:id="41">
    <w:p w14:paraId="6673C6AF" w14:textId="77777777" w:rsidR="00B33BA9" w:rsidRPr="00D208AF" w:rsidRDefault="00B33BA9" w:rsidP="008D0CAD">
      <w:pPr>
        <w:pStyle w:val="FootnoteText"/>
        <w:rPr>
          <w:rFonts w:asciiTheme="majorHAnsi" w:hAnsiTheme="majorHAnsi" w:cstheme="majorHAnsi"/>
          <w:color w:val="000000" w:themeColor="text1"/>
          <w:lang w:val="en-US"/>
        </w:rPr>
      </w:pPr>
      <w:r w:rsidRPr="00D208AF">
        <w:rPr>
          <w:rStyle w:val="FootnoteReference"/>
          <w:rFonts w:asciiTheme="majorHAnsi" w:eastAsia="Arial Unicode MS" w:hAnsiTheme="majorHAnsi" w:cstheme="majorHAnsi"/>
          <w:color w:val="000000" w:themeColor="text1"/>
        </w:rPr>
        <w:footnoteRef/>
      </w:r>
      <w:r w:rsidRPr="00D208AF">
        <w:rPr>
          <w:rFonts w:asciiTheme="majorHAnsi" w:hAnsiTheme="majorHAnsi" w:cstheme="majorHAnsi"/>
          <w:color w:val="000000" w:themeColor="text1"/>
        </w:rPr>
        <w:t xml:space="preserve"> </w:t>
      </w:r>
      <w:r w:rsidRPr="00D208AF">
        <w:rPr>
          <w:rFonts w:asciiTheme="majorHAnsi" w:hAnsiTheme="majorHAnsi" w:cstheme="majorHAnsi"/>
          <w:color w:val="000000" w:themeColor="text1"/>
          <w:lang w:val="en-US"/>
        </w:rPr>
        <w:t xml:space="preserve">The list of competencies was intended to provide answer EOPE Study research questions. </w:t>
      </w:r>
    </w:p>
  </w:footnote>
  <w:footnote w:id="42">
    <w:p w14:paraId="029A21B6" w14:textId="77777777" w:rsidR="00B33BA9" w:rsidRPr="00306B60" w:rsidRDefault="00B33BA9" w:rsidP="008D0CAD">
      <w:pPr>
        <w:pStyle w:val="FootnoteText"/>
        <w:rPr>
          <w:rFonts w:asciiTheme="majorHAnsi" w:hAnsiTheme="majorHAnsi" w:cstheme="majorHAnsi"/>
          <w:lang w:val="en-US"/>
        </w:rPr>
      </w:pPr>
      <w:r w:rsidRPr="00306B60">
        <w:rPr>
          <w:rStyle w:val="FootnoteReference"/>
          <w:rFonts w:asciiTheme="majorHAnsi" w:eastAsia="Arial Unicode MS" w:hAnsiTheme="majorHAnsi" w:cstheme="majorHAnsi"/>
        </w:rPr>
        <w:footnoteRef/>
      </w:r>
      <w:r w:rsidRPr="00306B60">
        <w:rPr>
          <w:rFonts w:asciiTheme="majorHAnsi" w:hAnsiTheme="majorHAnsi" w:cstheme="majorHAnsi"/>
        </w:rPr>
        <w:t xml:space="preserve"> 2019 </w:t>
      </w:r>
      <w:r w:rsidRPr="00306B60">
        <w:rPr>
          <w:rFonts w:asciiTheme="majorHAnsi" w:hAnsiTheme="majorHAnsi" w:cstheme="majorHAnsi"/>
          <w:lang w:val="en-US"/>
        </w:rPr>
        <w:t xml:space="preserve">Survey of </w:t>
      </w:r>
      <w:r>
        <w:rPr>
          <w:rFonts w:asciiTheme="majorHAnsi" w:hAnsiTheme="majorHAnsi" w:cstheme="majorHAnsi"/>
          <w:lang w:val="en-US"/>
        </w:rPr>
        <w:t>Principals</w:t>
      </w:r>
    </w:p>
  </w:footnote>
  <w:footnote w:id="43">
    <w:p w14:paraId="6E0BF970" w14:textId="77777777" w:rsidR="00B33BA9" w:rsidRPr="00306B60" w:rsidRDefault="00B33BA9" w:rsidP="008D0CAD">
      <w:pPr>
        <w:pStyle w:val="FootnoteText"/>
        <w:rPr>
          <w:rFonts w:asciiTheme="majorHAnsi" w:hAnsiTheme="majorHAnsi" w:cstheme="majorHAnsi"/>
          <w:lang w:val="en-US"/>
        </w:rPr>
      </w:pPr>
      <w:r w:rsidRPr="00306B60">
        <w:rPr>
          <w:rStyle w:val="FootnoteReference"/>
          <w:rFonts w:asciiTheme="majorHAnsi" w:eastAsia="Arial Unicode MS" w:hAnsiTheme="majorHAnsi" w:cstheme="majorHAnsi"/>
        </w:rPr>
        <w:footnoteRef/>
      </w:r>
      <w:r w:rsidRPr="00306B60">
        <w:rPr>
          <w:rFonts w:asciiTheme="majorHAnsi" w:hAnsiTheme="majorHAnsi" w:cstheme="majorHAnsi"/>
        </w:rPr>
        <w:t xml:space="preserve"> </w:t>
      </w:r>
      <w:r w:rsidRPr="00306B60">
        <w:rPr>
          <w:rFonts w:asciiTheme="majorHAnsi" w:hAnsiTheme="majorHAnsi" w:cstheme="majorHAnsi"/>
          <w:lang w:val="en-US"/>
        </w:rPr>
        <w:t xml:space="preserve">Only </w:t>
      </w:r>
      <w:r>
        <w:rPr>
          <w:rFonts w:asciiTheme="majorHAnsi" w:hAnsiTheme="majorHAnsi" w:cstheme="majorHAnsi"/>
          <w:lang w:val="en-US"/>
        </w:rPr>
        <w:t>Principals</w:t>
      </w:r>
      <w:r w:rsidRPr="00306B60">
        <w:rPr>
          <w:rFonts w:asciiTheme="majorHAnsi" w:hAnsiTheme="majorHAnsi" w:cstheme="majorHAnsi"/>
          <w:lang w:val="en-US"/>
        </w:rPr>
        <w:t xml:space="preserve"> from BEST Program supported schools</w:t>
      </w:r>
    </w:p>
  </w:footnote>
  <w:footnote w:id="44">
    <w:p w14:paraId="5C6D31FA" w14:textId="77777777" w:rsidR="00B33BA9" w:rsidRPr="00306B60" w:rsidRDefault="00B33BA9" w:rsidP="008D0CAD">
      <w:pPr>
        <w:pStyle w:val="FootnoteText"/>
        <w:rPr>
          <w:rFonts w:asciiTheme="majorHAnsi" w:hAnsiTheme="majorHAnsi" w:cstheme="majorHAnsi"/>
          <w:lang w:val="en-US"/>
        </w:rPr>
      </w:pPr>
      <w:r w:rsidRPr="00306B60">
        <w:rPr>
          <w:rStyle w:val="FootnoteReference"/>
          <w:rFonts w:asciiTheme="majorHAnsi" w:eastAsia="Arial Unicode MS" w:hAnsiTheme="majorHAnsi" w:cstheme="majorHAnsi"/>
        </w:rPr>
        <w:footnoteRef/>
      </w:r>
      <w:r w:rsidRPr="00306B60">
        <w:rPr>
          <w:rFonts w:asciiTheme="majorHAnsi" w:hAnsiTheme="majorHAnsi" w:cstheme="majorHAnsi"/>
        </w:rPr>
        <w:t xml:space="preserve"> </w:t>
      </w:r>
      <w:r w:rsidRPr="00306B60">
        <w:rPr>
          <w:rFonts w:asciiTheme="majorHAnsi" w:eastAsiaTheme="minorHAnsi" w:hAnsiTheme="majorHAnsi" w:cstheme="majorHAnsi"/>
        </w:rPr>
        <w:t>2019 KAU Survey</w:t>
      </w:r>
    </w:p>
  </w:footnote>
  <w:footnote w:id="45">
    <w:p w14:paraId="35210C71" w14:textId="5E36AC38" w:rsidR="00B33BA9" w:rsidRPr="00621A53" w:rsidRDefault="00B33BA9" w:rsidP="004B064D">
      <w:pPr>
        <w:rPr>
          <w:lang w:val="en-US"/>
        </w:rPr>
      </w:pPr>
      <w:r w:rsidRPr="00306B60">
        <w:rPr>
          <w:rStyle w:val="FootnoteReference"/>
          <w:rFonts w:asciiTheme="majorHAnsi" w:eastAsia="Arial Unicode MS" w:hAnsiTheme="majorHAnsi" w:cstheme="majorHAnsi"/>
        </w:rPr>
        <w:footnoteRef/>
      </w:r>
      <w:r w:rsidRPr="00306B60">
        <w:rPr>
          <w:rFonts w:asciiTheme="majorHAnsi" w:hAnsiTheme="majorHAnsi" w:cstheme="majorHAnsi"/>
          <w:sz w:val="20"/>
          <w:szCs w:val="20"/>
        </w:rPr>
        <w:t xml:space="preserve"> </w:t>
      </w:r>
      <w:r w:rsidRPr="00306B60">
        <w:rPr>
          <w:rFonts w:asciiTheme="majorHAnsi" w:eastAsiaTheme="minorHAnsi" w:hAnsiTheme="majorHAnsi" w:cstheme="majorHAnsi"/>
          <w:sz w:val="20"/>
          <w:szCs w:val="20"/>
        </w:rPr>
        <w:t xml:space="preserve">2020 Survey of </w:t>
      </w:r>
      <w:r>
        <w:rPr>
          <w:rFonts w:asciiTheme="majorHAnsi" w:eastAsiaTheme="minorHAnsi" w:hAnsiTheme="majorHAnsi" w:cstheme="majorHAnsi"/>
          <w:sz w:val="20"/>
          <w:szCs w:val="20"/>
        </w:rPr>
        <w:t>Principals</w:t>
      </w:r>
    </w:p>
  </w:footnote>
  <w:footnote w:id="46">
    <w:p w14:paraId="4FE72723" w14:textId="77777777" w:rsidR="00B33BA9" w:rsidRPr="00C44B5F" w:rsidRDefault="00B33BA9" w:rsidP="008D0CAD">
      <w:pPr>
        <w:pStyle w:val="FootnoteText"/>
        <w:rPr>
          <w:rFonts w:asciiTheme="majorHAnsi" w:hAnsiTheme="majorHAnsi" w:cstheme="majorHAnsi"/>
          <w:lang w:val="en-US"/>
        </w:rPr>
      </w:pPr>
      <w:r w:rsidRPr="00C44B5F">
        <w:rPr>
          <w:rStyle w:val="FootnoteReference"/>
          <w:rFonts w:asciiTheme="majorHAnsi" w:eastAsia="Arial Unicode MS" w:hAnsiTheme="majorHAnsi" w:cstheme="majorHAnsi"/>
        </w:rPr>
        <w:footnoteRef/>
      </w:r>
      <w:r w:rsidRPr="00C44B5F">
        <w:rPr>
          <w:rFonts w:asciiTheme="majorHAnsi" w:hAnsiTheme="majorHAnsi" w:cstheme="majorHAnsi"/>
        </w:rPr>
        <w:t xml:space="preserve"> </w:t>
      </w:r>
      <w:r w:rsidRPr="00C44B5F">
        <w:rPr>
          <w:rFonts w:asciiTheme="majorHAnsi" w:hAnsiTheme="majorHAnsi" w:cstheme="majorHAnsi"/>
          <w:lang w:val="en-US"/>
        </w:rPr>
        <w:t>2020 Survey of Teachers</w:t>
      </w:r>
    </w:p>
  </w:footnote>
  <w:footnote w:id="47">
    <w:p w14:paraId="71D54C9E" w14:textId="77777777" w:rsidR="00B33BA9" w:rsidRPr="00CD7EBC" w:rsidRDefault="00B33BA9" w:rsidP="008D0CAD">
      <w:pPr>
        <w:pStyle w:val="FootnoteText"/>
        <w:rPr>
          <w:rFonts w:asciiTheme="majorHAnsi" w:hAnsiTheme="majorHAnsi" w:cstheme="majorHAnsi"/>
        </w:rPr>
      </w:pPr>
      <w:r w:rsidRPr="00CD7EBC">
        <w:rPr>
          <w:rStyle w:val="FootnoteReference"/>
          <w:rFonts w:asciiTheme="majorHAnsi" w:eastAsia="Arial Unicode MS" w:hAnsiTheme="majorHAnsi" w:cstheme="majorHAnsi"/>
        </w:rPr>
        <w:footnoteRef/>
      </w:r>
      <w:r w:rsidRPr="00CD7EBC">
        <w:rPr>
          <w:rFonts w:asciiTheme="majorHAnsi" w:hAnsiTheme="majorHAnsi" w:cstheme="majorHAnsi"/>
        </w:rPr>
        <w:t xml:space="preserve"> </w:t>
      </w:r>
      <w:r w:rsidRPr="00CD7EBC">
        <w:rPr>
          <w:rFonts w:asciiTheme="majorHAnsi" w:hAnsiTheme="majorHAnsi" w:cstheme="majorHAnsi"/>
          <w:iCs/>
        </w:rPr>
        <w:t>The assumption in making this calculation was that the students in the current grade level would continue on to the next grade level.</w:t>
      </w:r>
    </w:p>
  </w:footnote>
  <w:footnote w:id="48">
    <w:p w14:paraId="1EE9409D" w14:textId="77777777" w:rsidR="00B33BA9" w:rsidRPr="00CD7EBC" w:rsidRDefault="00B33BA9" w:rsidP="008D0CAD">
      <w:pPr>
        <w:jc w:val="both"/>
        <w:rPr>
          <w:rFonts w:asciiTheme="majorHAnsi" w:hAnsiTheme="majorHAnsi" w:cstheme="majorHAnsi"/>
          <w:iCs/>
          <w:sz w:val="20"/>
          <w:szCs w:val="20"/>
        </w:rPr>
      </w:pPr>
      <w:r w:rsidRPr="00CD7EBC">
        <w:rPr>
          <w:rStyle w:val="FootnoteReference"/>
          <w:rFonts w:asciiTheme="majorHAnsi" w:eastAsia="Arial Unicode MS" w:hAnsiTheme="majorHAnsi" w:cstheme="majorHAnsi"/>
        </w:rPr>
        <w:footnoteRef/>
      </w:r>
      <w:r w:rsidRPr="00CD7EBC">
        <w:rPr>
          <w:rFonts w:asciiTheme="majorHAnsi" w:hAnsiTheme="majorHAnsi" w:cstheme="majorHAnsi"/>
          <w:sz w:val="20"/>
          <w:szCs w:val="20"/>
        </w:rPr>
        <w:t xml:space="preserve"> </w:t>
      </w:r>
      <w:r w:rsidRPr="00CD7EBC">
        <w:rPr>
          <w:rFonts w:asciiTheme="majorHAnsi" w:hAnsiTheme="majorHAnsi" w:cstheme="majorHAnsi"/>
          <w:iCs/>
          <w:sz w:val="20"/>
          <w:szCs w:val="20"/>
        </w:rPr>
        <w:t>For the baseline of Grade 5, the enrollment count of Grade 5 in SY2016-17 is compared to the enrollment count of Grade 4 in SY2015-16; For the endline of Grade 5, the enrollment count of Grade 5 in SY2017-18 is compared to the enrollment count of Grade 4 in SY2016-17; For the baseline of Grade 6, the enrollment count of Grade 6 in SY2016-17 is compared to the enrollment count of Grade 5 in SY2015-16; and For the endline of Grade 6, the enrollment count of Grade 6 in SY2017-18 is compared to the enrollment count of Grade 5 in SY2016-17.</w:t>
      </w:r>
    </w:p>
  </w:footnote>
  <w:footnote w:id="49">
    <w:p w14:paraId="75607A35" w14:textId="77777777" w:rsidR="00B33BA9" w:rsidRDefault="00B33BA9" w:rsidP="008D0CAD">
      <w:pPr>
        <w:pStyle w:val="FootnoteText"/>
      </w:pPr>
      <w:r>
        <w:rPr>
          <w:rStyle w:val="FootnoteReference"/>
          <w:rFonts w:eastAsia="Arial Unicode MS"/>
        </w:rPr>
        <w:footnoteRef/>
      </w:r>
      <w:r>
        <w:t xml:space="preserve"> </w:t>
      </w:r>
      <w:r w:rsidRPr="00BB277E">
        <w:rPr>
          <w:rFonts w:asciiTheme="majorHAnsi" w:hAnsiTheme="majorHAnsi" w:cstheme="majorHAnsi"/>
        </w:rPr>
        <w:t>Dropout rate</w:t>
      </w:r>
      <w:r>
        <w:rPr>
          <w:rFonts w:asciiTheme="majorHAnsi" w:hAnsiTheme="majorHAnsi" w:cstheme="majorHAnsi"/>
        </w:rPr>
        <w:t xml:space="preserve"> or School leaver rate </w:t>
      </w:r>
      <w:r w:rsidRPr="00BB277E">
        <w:rPr>
          <w:rFonts w:asciiTheme="majorHAnsi" w:hAnsiTheme="majorHAnsi" w:cstheme="majorHAnsi"/>
        </w:rPr>
        <w:t xml:space="preserve">is </w:t>
      </w:r>
      <w:r>
        <w:rPr>
          <w:rFonts w:asciiTheme="majorHAnsi" w:hAnsiTheme="majorHAnsi" w:cstheme="majorHAnsi"/>
        </w:rPr>
        <w:t xml:space="preserve">defined as </w:t>
      </w:r>
      <w:r w:rsidRPr="00BB277E">
        <w:rPr>
          <w:rFonts w:asciiTheme="majorHAnsi" w:hAnsiTheme="majorHAnsi" w:cstheme="majorHAnsi"/>
        </w:rPr>
        <w:t xml:space="preserve">the </w:t>
      </w:r>
      <w:r>
        <w:rPr>
          <w:rFonts w:asciiTheme="majorHAnsi" w:hAnsiTheme="majorHAnsi" w:cstheme="majorHAnsi"/>
        </w:rPr>
        <w:t>percentage</w:t>
      </w:r>
      <w:r w:rsidRPr="00BB277E">
        <w:rPr>
          <w:rFonts w:asciiTheme="majorHAnsi" w:hAnsiTheme="majorHAnsi" w:cstheme="majorHAnsi"/>
        </w:rPr>
        <w:t xml:space="preserve"> of pupils/students who leave school during the year for any reason as well as those who complete the previous grade/year level but fail to enroll in the next grade/year level the following school year to the total number of pupils/students enrolled during the previous school year</w:t>
      </w:r>
      <w:r>
        <w:rPr>
          <w:rFonts w:asciiTheme="majorHAnsi" w:hAnsiTheme="majorHAnsi" w:cstheme="majorHAnsi"/>
        </w:rPr>
        <w:t>. Source: PSA</w:t>
      </w:r>
    </w:p>
  </w:footnote>
  <w:footnote w:id="50">
    <w:p w14:paraId="113D45C8" w14:textId="77777777" w:rsidR="00B33BA9" w:rsidRDefault="00B33BA9" w:rsidP="008D0CAD">
      <w:pPr>
        <w:pStyle w:val="FootnoteText"/>
      </w:pPr>
      <w:r>
        <w:rPr>
          <w:rStyle w:val="FootnoteReference"/>
          <w:rFonts w:eastAsia="Arial Unicode MS"/>
        </w:rPr>
        <w:footnoteRef/>
      </w:r>
      <w:r>
        <w:t xml:space="preserve"> </w:t>
      </w:r>
      <w:r w:rsidRPr="00141A69">
        <w:rPr>
          <w:rFonts w:asciiTheme="majorHAnsi" w:hAnsiTheme="majorHAnsi" w:cstheme="majorHAnsi"/>
          <w:color w:val="000000" w:themeColor="text1"/>
        </w:rPr>
        <w:t xml:space="preserve">The </w:t>
      </w:r>
      <w:r>
        <w:rPr>
          <w:rFonts w:asciiTheme="majorHAnsi" w:hAnsiTheme="majorHAnsi" w:cstheme="majorHAnsi"/>
        </w:rPr>
        <w:t>Classroom Construction component of the BEST Program was implemented in partnership with the Philippine Business for Social Program (PBSP)</w:t>
      </w:r>
    </w:p>
  </w:footnote>
  <w:footnote w:id="51">
    <w:p w14:paraId="76AACD50" w14:textId="77777777" w:rsidR="00B33BA9" w:rsidRDefault="00B33BA9" w:rsidP="008D0CAD">
      <w:pPr>
        <w:pStyle w:val="FootnoteText"/>
      </w:pPr>
      <w:r>
        <w:rPr>
          <w:rStyle w:val="FootnoteReference"/>
          <w:rFonts w:eastAsia="Arial Unicode MS"/>
        </w:rPr>
        <w:footnoteRef/>
      </w:r>
      <w:r>
        <w:t xml:space="preserve"> </w:t>
      </w:r>
      <w:r>
        <w:rPr>
          <w:rFonts w:asciiTheme="majorHAnsi" w:hAnsiTheme="majorHAnsi" w:cstheme="majorHAnsi"/>
          <w:bCs/>
          <w:color w:val="000000" w:themeColor="text1"/>
        </w:rPr>
        <w:t>PBSP Tracking March 2019</w:t>
      </w:r>
    </w:p>
  </w:footnote>
  <w:footnote w:id="52">
    <w:p w14:paraId="11937718" w14:textId="77777777" w:rsidR="00B33BA9" w:rsidRDefault="00B33BA9" w:rsidP="008D0CAD">
      <w:pPr>
        <w:pStyle w:val="FootnoteText"/>
      </w:pPr>
      <w:r>
        <w:rPr>
          <w:rStyle w:val="FootnoteReference"/>
          <w:rFonts w:eastAsia="Arial Unicode MS"/>
        </w:rPr>
        <w:footnoteRef/>
      </w:r>
      <w:r>
        <w:t xml:space="preserve"> </w:t>
      </w:r>
      <w:r w:rsidRPr="005B475F">
        <w:rPr>
          <w:rFonts w:asciiTheme="majorHAnsi" w:hAnsiTheme="majorHAnsi" w:cstheme="majorHAnsi"/>
          <w:color w:val="000000" w:themeColor="text1"/>
        </w:rPr>
        <w:t>AS-EFD, 2019</w:t>
      </w:r>
    </w:p>
  </w:footnote>
  <w:footnote w:id="53">
    <w:p w14:paraId="614C7F1A" w14:textId="77777777" w:rsidR="00B33BA9" w:rsidRPr="008138AE" w:rsidRDefault="00B33BA9" w:rsidP="008D0CAD">
      <w:pPr>
        <w:pStyle w:val="FootnoteText"/>
        <w:rPr>
          <w:rFonts w:asciiTheme="majorHAnsi" w:hAnsiTheme="majorHAnsi" w:cstheme="majorHAnsi"/>
        </w:rPr>
      </w:pPr>
      <w:r w:rsidRPr="008138AE">
        <w:rPr>
          <w:rStyle w:val="FootnoteReference"/>
          <w:rFonts w:asciiTheme="majorHAnsi" w:eastAsia="Arial Unicode MS" w:hAnsiTheme="majorHAnsi" w:cstheme="majorHAnsi"/>
        </w:rPr>
        <w:footnoteRef/>
      </w:r>
      <w:r w:rsidRPr="008138AE">
        <w:rPr>
          <w:rFonts w:asciiTheme="majorHAnsi" w:hAnsiTheme="majorHAnsi" w:cstheme="majorHAnsi"/>
        </w:rPr>
        <w:t xml:space="preserve"> From the interview with PBSP</w:t>
      </w:r>
    </w:p>
  </w:footnote>
  <w:footnote w:id="54">
    <w:p w14:paraId="4EB4E8CD" w14:textId="77777777" w:rsidR="00B33BA9" w:rsidRDefault="00B33BA9" w:rsidP="008D0CAD">
      <w:pPr>
        <w:pStyle w:val="FootnoteText"/>
      </w:pPr>
      <w:r>
        <w:rPr>
          <w:rStyle w:val="FootnoteReference"/>
          <w:rFonts w:eastAsia="Arial Unicode MS"/>
        </w:rPr>
        <w:footnoteRef/>
      </w:r>
      <w:r>
        <w:t xml:space="preserve"> </w:t>
      </w:r>
      <w:r>
        <w:rPr>
          <w:rFonts w:asciiTheme="majorHAnsi" w:hAnsiTheme="majorHAnsi" w:cstheme="majorHAnsi"/>
          <w:color w:val="000000"/>
        </w:rPr>
        <w:t xml:space="preserve">However, the EOPE Team </w:t>
      </w:r>
      <w:r w:rsidRPr="008138AE">
        <w:rPr>
          <w:rFonts w:asciiTheme="majorHAnsi" w:hAnsiTheme="majorHAnsi" w:cstheme="majorHAnsi"/>
          <w:color w:val="000000"/>
        </w:rPr>
        <w:t xml:space="preserve">was not able to </w:t>
      </w:r>
      <w:r>
        <w:rPr>
          <w:rFonts w:asciiTheme="majorHAnsi" w:hAnsiTheme="majorHAnsi" w:cstheme="majorHAnsi"/>
          <w:color w:val="000000"/>
        </w:rPr>
        <w:t>obtain</w:t>
      </w:r>
      <w:r w:rsidRPr="008138AE">
        <w:rPr>
          <w:rFonts w:asciiTheme="majorHAnsi" w:hAnsiTheme="majorHAnsi" w:cstheme="majorHAnsi"/>
          <w:color w:val="000000"/>
        </w:rPr>
        <w:t xml:space="preserve"> a copy of th</w:t>
      </w:r>
      <w:r>
        <w:rPr>
          <w:rFonts w:asciiTheme="majorHAnsi" w:hAnsiTheme="majorHAnsi" w:cstheme="majorHAnsi"/>
          <w:color w:val="000000"/>
        </w:rPr>
        <w:t>e criteria</w:t>
      </w:r>
      <w:r w:rsidRPr="008138AE">
        <w:rPr>
          <w:rFonts w:asciiTheme="majorHAnsi" w:hAnsiTheme="majorHAnsi" w:cstheme="majorHAnsi"/>
          <w:color w:val="000000"/>
        </w:rPr>
        <w:t>.</w:t>
      </w:r>
    </w:p>
  </w:footnote>
  <w:footnote w:id="55">
    <w:p w14:paraId="0D53F0F2" w14:textId="77777777" w:rsidR="00B33BA9" w:rsidRPr="00141A69" w:rsidRDefault="00B33BA9" w:rsidP="008D0CAD">
      <w:pPr>
        <w:pStyle w:val="FootnoteText"/>
        <w:rPr>
          <w:rFonts w:asciiTheme="majorHAnsi" w:hAnsiTheme="majorHAnsi" w:cstheme="majorHAnsi"/>
        </w:rPr>
      </w:pPr>
      <w:r w:rsidRPr="00141A69">
        <w:rPr>
          <w:rStyle w:val="FootnoteReference"/>
          <w:rFonts w:asciiTheme="majorHAnsi" w:eastAsia="Arial Unicode MS" w:hAnsiTheme="majorHAnsi" w:cstheme="majorHAnsi"/>
        </w:rPr>
        <w:footnoteRef/>
      </w:r>
      <w:r w:rsidRPr="00141A69">
        <w:rPr>
          <w:rFonts w:asciiTheme="majorHAnsi" w:hAnsiTheme="majorHAnsi" w:cstheme="majorHAnsi"/>
        </w:rPr>
        <w:t xml:space="preserve"> Interview with </w:t>
      </w:r>
      <w:r>
        <w:rPr>
          <w:rFonts w:asciiTheme="majorHAnsi" w:hAnsiTheme="majorHAnsi" w:cstheme="majorHAnsi"/>
        </w:rPr>
        <w:t>DEPED</w:t>
      </w:r>
      <w:r w:rsidRPr="00141A69">
        <w:rPr>
          <w:rFonts w:asciiTheme="majorHAnsi" w:hAnsiTheme="majorHAnsi" w:cstheme="majorHAnsi"/>
        </w:rPr>
        <w:t xml:space="preserve"> Administration Services</w:t>
      </w:r>
    </w:p>
  </w:footnote>
  <w:footnote w:id="56">
    <w:p w14:paraId="684F19AD" w14:textId="77777777" w:rsidR="00B33BA9" w:rsidRPr="00141A69" w:rsidRDefault="00B33BA9" w:rsidP="008D0CAD">
      <w:pPr>
        <w:pStyle w:val="FootnoteText"/>
        <w:rPr>
          <w:rFonts w:asciiTheme="majorHAnsi" w:hAnsiTheme="majorHAnsi" w:cstheme="majorHAnsi"/>
        </w:rPr>
      </w:pPr>
      <w:r w:rsidRPr="00141A69">
        <w:rPr>
          <w:rStyle w:val="FootnoteReference"/>
          <w:rFonts w:asciiTheme="majorHAnsi" w:eastAsia="Arial Unicode MS" w:hAnsiTheme="majorHAnsi" w:cstheme="majorHAnsi"/>
        </w:rPr>
        <w:footnoteRef/>
      </w:r>
      <w:r w:rsidRPr="00141A69">
        <w:rPr>
          <w:rFonts w:asciiTheme="majorHAnsi" w:hAnsiTheme="majorHAnsi" w:cstheme="majorHAnsi"/>
        </w:rPr>
        <w:t xml:space="preserve"> </w:t>
      </w:r>
      <w:r>
        <w:rPr>
          <w:rFonts w:asciiTheme="majorHAnsi" w:hAnsiTheme="majorHAnsi" w:cstheme="majorHAnsi"/>
        </w:rPr>
        <w:t>Classroom construction started implementation earlier than the BEST Program; fr</w:t>
      </w:r>
      <w:r w:rsidRPr="008138AE">
        <w:rPr>
          <w:rFonts w:asciiTheme="majorHAnsi" w:hAnsiTheme="majorHAnsi" w:cstheme="majorHAnsi"/>
        </w:rPr>
        <w:t>om the interview with PBSP</w:t>
      </w:r>
    </w:p>
  </w:footnote>
  <w:footnote w:id="57">
    <w:p w14:paraId="3D98F0AB" w14:textId="77777777" w:rsidR="00B33BA9" w:rsidRPr="00CA5F08" w:rsidRDefault="00B33BA9" w:rsidP="008D0CAD">
      <w:pPr>
        <w:pStyle w:val="FootnoteText"/>
        <w:rPr>
          <w:rFonts w:asciiTheme="majorHAnsi" w:hAnsiTheme="majorHAnsi" w:cstheme="majorHAnsi"/>
        </w:rPr>
      </w:pPr>
      <w:r w:rsidRPr="00CA5F08">
        <w:rPr>
          <w:rStyle w:val="FootnoteReference"/>
          <w:rFonts w:asciiTheme="majorHAnsi" w:eastAsia="Arial Unicode MS" w:hAnsiTheme="majorHAnsi" w:cstheme="majorHAnsi"/>
        </w:rPr>
        <w:footnoteRef/>
      </w:r>
      <w:r w:rsidRPr="00CA5F08">
        <w:rPr>
          <w:rFonts w:asciiTheme="majorHAnsi" w:hAnsiTheme="majorHAnsi" w:cstheme="majorHAnsi"/>
        </w:rPr>
        <w:t xml:space="preserve"> Although currently proprietary issues on the design prevented them from sharing it.</w:t>
      </w:r>
    </w:p>
  </w:footnote>
  <w:footnote w:id="58">
    <w:p w14:paraId="2F559C66" w14:textId="77777777" w:rsidR="00B33BA9" w:rsidRPr="000C14E7" w:rsidRDefault="00B33BA9" w:rsidP="008D0CAD">
      <w:pPr>
        <w:pStyle w:val="FootnoteText"/>
        <w:rPr>
          <w:rFonts w:asciiTheme="majorHAnsi" w:hAnsiTheme="majorHAnsi" w:cstheme="majorHAnsi"/>
          <w:lang w:val="en-US"/>
        </w:rPr>
      </w:pPr>
      <w:r w:rsidRPr="000C14E7">
        <w:rPr>
          <w:rStyle w:val="FootnoteReference"/>
          <w:rFonts w:asciiTheme="majorHAnsi" w:eastAsia="Arial Unicode MS" w:hAnsiTheme="majorHAnsi" w:cstheme="majorHAnsi"/>
        </w:rPr>
        <w:footnoteRef/>
      </w:r>
      <w:r w:rsidRPr="000C14E7">
        <w:rPr>
          <w:rFonts w:asciiTheme="majorHAnsi" w:hAnsiTheme="majorHAnsi" w:cstheme="majorHAnsi"/>
        </w:rPr>
        <w:t xml:space="preserve"> </w:t>
      </w:r>
      <w:r w:rsidRPr="000C14E7">
        <w:rPr>
          <w:rFonts w:asciiTheme="majorHAnsi" w:hAnsiTheme="majorHAnsi" w:cstheme="majorHAnsi"/>
          <w:lang w:val="en-US"/>
        </w:rPr>
        <w:t xml:space="preserve">2019 Survey of </w:t>
      </w:r>
      <w:r>
        <w:rPr>
          <w:rFonts w:asciiTheme="majorHAnsi" w:hAnsiTheme="majorHAnsi" w:cstheme="majorHAnsi"/>
          <w:lang w:val="en-US"/>
        </w:rPr>
        <w:t>Principals</w:t>
      </w:r>
    </w:p>
  </w:footnote>
  <w:footnote w:id="59">
    <w:p w14:paraId="025DCB73" w14:textId="77777777" w:rsidR="00B33BA9" w:rsidRPr="00A97552" w:rsidRDefault="00B33BA9" w:rsidP="008D0CAD">
      <w:pPr>
        <w:pStyle w:val="FootnoteText"/>
        <w:rPr>
          <w:rFonts w:asciiTheme="majorHAnsi" w:hAnsiTheme="majorHAnsi" w:cstheme="majorHAnsi"/>
        </w:rPr>
      </w:pPr>
      <w:r w:rsidRPr="00A97552">
        <w:rPr>
          <w:rStyle w:val="FootnoteReference"/>
          <w:rFonts w:asciiTheme="majorHAnsi" w:eastAsia="Arial Unicode MS" w:hAnsiTheme="majorHAnsi" w:cstheme="majorHAnsi"/>
        </w:rPr>
        <w:footnoteRef/>
      </w:r>
      <w:r w:rsidRPr="00A97552">
        <w:rPr>
          <w:rFonts w:asciiTheme="majorHAnsi" w:hAnsiTheme="majorHAnsi" w:cstheme="majorHAnsi"/>
        </w:rPr>
        <w:t xml:space="preserve"> These are PPMES, SBM, UISS and OD</w:t>
      </w:r>
    </w:p>
  </w:footnote>
  <w:footnote w:id="60">
    <w:p w14:paraId="6352BECF" w14:textId="77777777" w:rsidR="00B33BA9" w:rsidRPr="0053377A" w:rsidRDefault="00B33BA9" w:rsidP="008D0CAD">
      <w:pPr>
        <w:pStyle w:val="FootnoteText"/>
        <w:rPr>
          <w:rFonts w:asciiTheme="majorHAnsi" w:hAnsiTheme="majorHAnsi" w:cstheme="majorHAnsi"/>
        </w:rPr>
      </w:pPr>
      <w:r w:rsidRPr="0053377A">
        <w:rPr>
          <w:rStyle w:val="FootnoteReference"/>
          <w:rFonts w:asciiTheme="majorHAnsi" w:eastAsia="Arial Unicode MS" w:hAnsiTheme="majorHAnsi" w:cstheme="majorHAnsi"/>
        </w:rPr>
        <w:footnoteRef/>
      </w:r>
      <w:r w:rsidRPr="0053377A">
        <w:rPr>
          <w:rFonts w:asciiTheme="majorHAnsi" w:hAnsiTheme="majorHAnsi" w:cstheme="majorHAnsi"/>
        </w:rPr>
        <w:t xml:space="preserve"> Taken from 3A Concept Note on PDME</w:t>
      </w:r>
    </w:p>
  </w:footnote>
  <w:footnote w:id="61">
    <w:p w14:paraId="786F08B4" w14:textId="77777777" w:rsidR="00B33BA9" w:rsidRPr="0053377A" w:rsidRDefault="00B33BA9" w:rsidP="008D0CAD">
      <w:pPr>
        <w:pStyle w:val="FootnoteText"/>
        <w:rPr>
          <w:rFonts w:asciiTheme="majorHAnsi" w:hAnsiTheme="majorHAnsi" w:cstheme="majorHAnsi"/>
          <w:lang w:val="en-US"/>
        </w:rPr>
      </w:pPr>
      <w:r w:rsidRPr="0053377A">
        <w:rPr>
          <w:rStyle w:val="FootnoteReference"/>
          <w:rFonts w:asciiTheme="majorHAnsi" w:eastAsia="Arial Unicode MS" w:hAnsiTheme="majorHAnsi" w:cstheme="majorHAnsi"/>
        </w:rPr>
        <w:footnoteRef/>
      </w:r>
      <w:r w:rsidRPr="0053377A">
        <w:rPr>
          <w:rFonts w:asciiTheme="majorHAnsi" w:hAnsiTheme="majorHAnsi" w:cstheme="majorHAnsi"/>
        </w:rPr>
        <w:t xml:space="preserve"> </w:t>
      </w:r>
      <w:r w:rsidRPr="0053377A">
        <w:rPr>
          <w:rFonts w:asciiTheme="majorHAnsi" w:hAnsiTheme="majorHAnsi" w:cstheme="majorHAnsi"/>
          <w:lang w:val="en-US"/>
        </w:rPr>
        <w:t xml:space="preserve">From the 2019 KAU Survey </w:t>
      </w:r>
    </w:p>
  </w:footnote>
  <w:footnote w:id="62">
    <w:p w14:paraId="56ADDBBF" w14:textId="77777777" w:rsidR="00B33BA9" w:rsidRPr="0053377A" w:rsidRDefault="00B33BA9" w:rsidP="008D0CAD">
      <w:pPr>
        <w:pStyle w:val="FootnoteText"/>
        <w:rPr>
          <w:rFonts w:asciiTheme="majorHAnsi" w:hAnsiTheme="majorHAnsi" w:cstheme="majorHAnsi"/>
          <w:lang w:val="en-US"/>
        </w:rPr>
      </w:pPr>
      <w:r w:rsidRPr="0053377A">
        <w:rPr>
          <w:rStyle w:val="FootnoteReference"/>
          <w:rFonts w:asciiTheme="majorHAnsi" w:eastAsia="Arial Unicode MS" w:hAnsiTheme="majorHAnsi" w:cstheme="majorHAnsi"/>
        </w:rPr>
        <w:footnoteRef/>
      </w:r>
      <w:r w:rsidRPr="0053377A">
        <w:rPr>
          <w:rFonts w:asciiTheme="majorHAnsi" w:hAnsiTheme="majorHAnsi" w:cstheme="majorHAnsi"/>
        </w:rPr>
        <w:t xml:space="preserve"> </w:t>
      </w:r>
      <w:r w:rsidRPr="0053377A">
        <w:rPr>
          <w:rFonts w:asciiTheme="majorHAnsi" w:hAnsiTheme="majorHAnsi" w:cstheme="majorHAnsi"/>
          <w:lang w:val="en-US"/>
        </w:rPr>
        <w:t>From the 2020 KAU Survey</w:t>
      </w:r>
    </w:p>
  </w:footnote>
  <w:footnote w:id="63">
    <w:p w14:paraId="66D4200D" w14:textId="7279D860" w:rsidR="00B33BA9" w:rsidRPr="004F1C82" w:rsidRDefault="00B33BA9" w:rsidP="008D0CAD">
      <w:pPr>
        <w:pStyle w:val="FootnoteText"/>
        <w:rPr>
          <w:lang w:val="en-US"/>
        </w:rPr>
      </w:pPr>
      <w:r>
        <w:rPr>
          <w:rStyle w:val="FootnoteReference"/>
          <w:rFonts w:eastAsia="Arial Unicode MS"/>
        </w:rPr>
        <w:footnoteRef/>
      </w:r>
      <w:r>
        <w:t xml:space="preserve"> </w:t>
      </w:r>
      <w:r>
        <w:rPr>
          <w:rFonts w:asciiTheme="majorHAnsi" w:hAnsiTheme="majorHAnsi" w:cstheme="majorHAnsi"/>
          <w:color w:val="000000" w:themeColor="text1"/>
          <w:sz w:val="22"/>
          <w:szCs w:val="22"/>
        </w:rPr>
        <w:t>As per</w:t>
      </w:r>
      <w:r w:rsidRPr="00664CD0">
        <w:rPr>
          <w:rFonts w:asciiTheme="majorHAnsi" w:hAnsiTheme="majorHAnsi" w:cstheme="majorHAnsi"/>
          <w:color w:val="000000" w:themeColor="text1"/>
          <w:sz w:val="22"/>
          <w:szCs w:val="22"/>
        </w:rPr>
        <w:t xml:space="preserve"> exchange with Director Roger Masapol (December 18-20, 2020), the BEMEF was drafted as a policy towards the end of BEST. It was submitted for approval as a DO but as of December 2020 had yet to be signed by the Secretary.</w:t>
      </w:r>
      <w:r>
        <w:rPr>
          <w:rFonts w:asciiTheme="majorHAnsi" w:hAnsiTheme="majorHAnsi" w:cstheme="majorHAnsi"/>
          <w:color w:val="000000" w:themeColor="text1"/>
          <w:sz w:val="22"/>
          <w:szCs w:val="22"/>
        </w:rPr>
        <w:t xml:space="preserve"> </w:t>
      </w:r>
      <w:r w:rsidRPr="00664CD0">
        <w:rPr>
          <w:rFonts w:asciiTheme="majorHAnsi" w:hAnsiTheme="majorHAnsi" w:cstheme="majorHAnsi"/>
          <w:color w:val="000000" w:themeColor="text1"/>
          <w:sz w:val="22"/>
          <w:szCs w:val="22"/>
        </w:rPr>
        <w:t>Thus, at the time of the finalization of the BEST EOPE report, this was still a draft policy.</w:t>
      </w:r>
    </w:p>
  </w:footnote>
  <w:footnote w:id="64">
    <w:p w14:paraId="72DE819D" w14:textId="77777777" w:rsidR="00B33BA9" w:rsidRPr="002522CF" w:rsidRDefault="00B33BA9" w:rsidP="008D0CAD">
      <w:pPr>
        <w:pStyle w:val="FootnoteText"/>
        <w:rPr>
          <w:lang w:val="en-US"/>
        </w:rPr>
      </w:pPr>
      <w:r>
        <w:rPr>
          <w:rStyle w:val="FootnoteReference"/>
          <w:rFonts w:eastAsia="Arial Unicode MS"/>
        </w:rPr>
        <w:footnoteRef/>
      </w:r>
      <w:r>
        <w:t xml:space="preserve"> </w:t>
      </w:r>
      <w:r w:rsidRPr="00B1446C">
        <w:rPr>
          <w:rFonts w:asciiTheme="majorHAnsi" w:hAnsiTheme="majorHAnsi" w:cstheme="majorHAnsi"/>
          <w:lang w:val="en-US"/>
        </w:rPr>
        <w:t xml:space="preserve">From </w:t>
      </w:r>
      <w:r>
        <w:rPr>
          <w:rFonts w:asciiTheme="majorHAnsi" w:hAnsiTheme="majorHAnsi" w:cstheme="majorHAnsi"/>
          <w:lang w:val="en-US"/>
        </w:rPr>
        <w:t xml:space="preserve">the 2019 </w:t>
      </w:r>
      <w:r w:rsidRPr="00B1446C">
        <w:rPr>
          <w:rFonts w:asciiTheme="majorHAnsi" w:hAnsiTheme="majorHAnsi" w:cstheme="majorHAnsi"/>
          <w:lang w:val="en-US"/>
        </w:rPr>
        <w:t>KAU Survey</w:t>
      </w:r>
    </w:p>
  </w:footnote>
  <w:footnote w:id="65">
    <w:p w14:paraId="5D1F5DA4" w14:textId="77777777" w:rsidR="00B33BA9" w:rsidRPr="00440E13" w:rsidRDefault="00B33BA9" w:rsidP="008D0CAD">
      <w:pPr>
        <w:pStyle w:val="FootnoteText"/>
        <w:rPr>
          <w:lang w:val="en-US"/>
        </w:rPr>
      </w:pPr>
      <w:r>
        <w:rPr>
          <w:rStyle w:val="FootnoteReference"/>
          <w:rFonts w:eastAsia="Arial Unicode MS"/>
        </w:rPr>
        <w:footnoteRef/>
      </w:r>
      <w:r>
        <w:t xml:space="preserve"> </w:t>
      </w:r>
      <w:r w:rsidRPr="00482292">
        <w:rPr>
          <w:rFonts w:asciiTheme="majorHAnsi" w:hAnsiTheme="majorHAnsi" w:cstheme="majorHAnsi"/>
          <w:sz w:val="22"/>
          <w:szCs w:val="22"/>
        </w:rPr>
        <w:t>STRIVE</w:t>
      </w:r>
      <w:r>
        <w:rPr>
          <w:rFonts w:asciiTheme="majorHAnsi" w:hAnsiTheme="majorHAnsi" w:cstheme="majorHAnsi"/>
          <w:sz w:val="22"/>
          <w:szCs w:val="22"/>
        </w:rPr>
        <w:t xml:space="preserve"> </w:t>
      </w:r>
      <w:r w:rsidRPr="00482292">
        <w:rPr>
          <w:rFonts w:asciiTheme="majorHAnsi" w:hAnsiTheme="majorHAnsi" w:cstheme="majorHAnsi"/>
          <w:sz w:val="22"/>
          <w:szCs w:val="22"/>
        </w:rPr>
        <w:t xml:space="preserve">was designed as a vanguard initiative which aimed to develop and test support systems for SBM, Human Resources Development (HRD) specifically In-Service Education and Training, and the equitable provision of Learning Resource Materials (LRM). </w:t>
      </w:r>
      <w:r>
        <w:rPr>
          <w:rFonts w:asciiTheme="majorHAnsi" w:hAnsiTheme="majorHAnsi" w:cstheme="majorHAnsi"/>
          <w:sz w:val="22"/>
          <w:szCs w:val="22"/>
        </w:rPr>
        <w:t>It</w:t>
      </w:r>
      <w:r w:rsidRPr="00482292">
        <w:rPr>
          <w:rFonts w:asciiTheme="majorHAnsi" w:hAnsiTheme="majorHAnsi" w:cstheme="majorHAnsi"/>
          <w:sz w:val="22"/>
          <w:szCs w:val="22"/>
        </w:rPr>
        <w:t xml:space="preserve"> was envisioned to be one of the strategic avenues to support the successful implementation of BESRA. While activities were delivered mainly in the three Visayas regions (VI, VII and VIII), outputs</w:t>
      </w:r>
      <w:r>
        <w:rPr>
          <w:rFonts w:asciiTheme="majorHAnsi" w:hAnsiTheme="majorHAnsi" w:cstheme="majorHAnsi"/>
          <w:sz w:val="22"/>
          <w:szCs w:val="22"/>
        </w:rPr>
        <w:t>.</w:t>
      </w:r>
    </w:p>
  </w:footnote>
  <w:footnote w:id="66">
    <w:p w14:paraId="1758554A" w14:textId="77777777" w:rsidR="00B33BA9" w:rsidRPr="00C3551F" w:rsidRDefault="00B33BA9" w:rsidP="008D0CAD">
      <w:pPr>
        <w:pStyle w:val="FootnoteText"/>
        <w:rPr>
          <w:rFonts w:asciiTheme="majorHAnsi" w:hAnsiTheme="majorHAnsi" w:cstheme="majorHAnsi"/>
          <w:lang w:val="en-US"/>
        </w:rPr>
      </w:pPr>
      <w:r w:rsidRPr="00C3551F">
        <w:rPr>
          <w:rStyle w:val="FootnoteReference"/>
          <w:rFonts w:asciiTheme="majorHAnsi" w:eastAsia="Arial Unicode MS" w:hAnsiTheme="majorHAnsi" w:cstheme="majorHAnsi"/>
        </w:rPr>
        <w:footnoteRef/>
      </w:r>
      <w:r w:rsidRPr="00C3551F">
        <w:rPr>
          <w:rFonts w:asciiTheme="majorHAnsi" w:hAnsiTheme="majorHAnsi" w:cstheme="majorHAnsi"/>
        </w:rPr>
        <w:t xml:space="preserve"> </w:t>
      </w:r>
      <w:r w:rsidRPr="00C3551F">
        <w:rPr>
          <w:rFonts w:asciiTheme="majorHAnsi" w:hAnsiTheme="majorHAnsi" w:cstheme="majorHAnsi"/>
          <w:color w:val="000000"/>
        </w:rPr>
        <w:t>2019 KAU Survey</w:t>
      </w:r>
    </w:p>
  </w:footnote>
  <w:footnote w:id="67">
    <w:p w14:paraId="32CCC343" w14:textId="77777777" w:rsidR="00B33BA9" w:rsidRPr="00C3551F" w:rsidRDefault="00B33BA9" w:rsidP="008D0CAD">
      <w:pPr>
        <w:pStyle w:val="FootnoteText"/>
        <w:rPr>
          <w:rFonts w:asciiTheme="majorHAnsi" w:hAnsiTheme="majorHAnsi" w:cstheme="majorHAnsi"/>
          <w:lang w:val="en-US"/>
        </w:rPr>
      </w:pPr>
      <w:r w:rsidRPr="00C3551F">
        <w:rPr>
          <w:rStyle w:val="FootnoteReference"/>
          <w:rFonts w:asciiTheme="majorHAnsi" w:eastAsia="Arial Unicode MS" w:hAnsiTheme="majorHAnsi" w:cstheme="majorHAnsi"/>
        </w:rPr>
        <w:footnoteRef/>
      </w:r>
      <w:r w:rsidRPr="00C3551F">
        <w:rPr>
          <w:rFonts w:asciiTheme="majorHAnsi" w:hAnsiTheme="majorHAnsi" w:cstheme="majorHAnsi"/>
        </w:rPr>
        <w:t xml:space="preserve"> </w:t>
      </w:r>
      <w:r w:rsidRPr="00C3551F">
        <w:rPr>
          <w:rFonts w:asciiTheme="majorHAnsi" w:hAnsiTheme="majorHAnsi" w:cstheme="majorHAnsi"/>
          <w:lang w:val="en-US"/>
        </w:rPr>
        <w:t>202</w:t>
      </w:r>
      <w:r>
        <w:rPr>
          <w:rFonts w:asciiTheme="majorHAnsi" w:hAnsiTheme="majorHAnsi" w:cstheme="majorHAnsi"/>
          <w:lang w:val="en-US"/>
        </w:rPr>
        <w:t>0</w:t>
      </w:r>
      <w:r w:rsidRPr="00C3551F">
        <w:rPr>
          <w:rFonts w:asciiTheme="majorHAnsi" w:hAnsiTheme="majorHAnsi" w:cstheme="majorHAnsi"/>
          <w:lang w:val="en-US"/>
        </w:rPr>
        <w:t xml:space="preserve"> KAU Survey</w:t>
      </w:r>
    </w:p>
  </w:footnote>
  <w:footnote w:id="68">
    <w:p w14:paraId="746BB0D6" w14:textId="77777777" w:rsidR="00B33BA9" w:rsidRPr="00C3551F" w:rsidRDefault="00B33BA9" w:rsidP="008D0CAD">
      <w:pPr>
        <w:pStyle w:val="FootnoteText"/>
        <w:rPr>
          <w:rFonts w:asciiTheme="majorHAnsi" w:hAnsiTheme="majorHAnsi" w:cstheme="majorHAnsi"/>
        </w:rPr>
      </w:pPr>
      <w:r w:rsidRPr="00C3551F">
        <w:rPr>
          <w:rStyle w:val="FootnoteReference"/>
          <w:rFonts w:asciiTheme="majorHAnsi" w:eastAsia="Arial Unicode MS" w:hAnsiTheme="majorHAnsi" w:cstheme="majorHAnsi"/>
        </w:rPr>
        <w:footnoteRef/>
      </w:r>
      <w:r w:rsidRPr="00C3551F">
        <w:rPr>
          <w:rFonts w:asciiTheme="majorHAnsi" w:hAnsiTheme="majorHAnsi" w:cstheme="majorHAnsi"/>
        </w:rPr>
        <w:t xml:space="preserve"> </w:t>
      </w:r>
      <w:r w:rsidRPr="00C3551F">
        <w:rPr>
          <w:rFonts w:asciiTheme="majorHAnsi" w:hAnsiTheme="majorHAnsi" w:cstheme="majorHAnsi"/>
          <w:color w:val="000000" w:themeColor="text1"/>
        </w:rPr>
        <w:t>The number of training programs under PPMES topped all the capacity building programs. L&amp;D came in second.</w:t>
      </w:r>
    </w:p>
  </w:footnote>
  <w:footnote w:id="69">
    <w:p w14:paraId="626BF73A" w14:textId="77777777" w:rsidR="00B33BA9" w:rsidRPr="00956CB0" w:rsidRDefault="00B33BA9" w:rsidP="008D0CAD">
      <w:pPr>
        <w:pStyle w:val="FootnoteText"/>
        <w:rPr>
          <w:rFonts w:asciiTheme="majorHAnsi" w:hAnsiTheme="majorHAnsi" w:cstheme="majorHAnsi"/>
        </w:rPr>
      </w:pPr>
      <w:r w:rsidRPr="00956CB0">
        <w:rPr>
          <w:rStyle w:val="FootnoteReference"/>
          <w:rFonts w:asciiTheme="majorHAnsi" w:eastAsia="Arial Unicode MS" w:hAnsiTheme="majorHAnsi" w:cstheme="majorHAnsi"/>
        </w:rPr>
        <w:footnoteRef/>
      </w:r>
      <w:r w:rsidRPr="00956CB0">
        <w:rPr>
          <w:rFonts w:asciiTheme="majorHAnsi" w:hAnsiTheme="majorHAnsi" w:cstheme="majorHAnsi"/>
        </w:rPr>
        <w:t xml:space="preserve"> “Guidelines on the Enhanced School Improvement Planning (SIP) Process and the School Report Card (SRC)”</w:t>
      </w:r>
    </w:p>
  </w:footnote>
  <w:footnote w:id="70">
    <w:p w14:paraId="62F86514" w14:textId="77777777" w:rsidR="00B33BA9" w:rsidRPr="00956CB0" w:rsidRDefault="00B33BA9" w:rsidP="008D0CAD">
      <w:pPr>
        <w:pStyle w:val="FootnoteText"/>
        <w:rPr>
          <w:rFonts w:asciiTheme="majorHAnsi" w:hAnsiTheme="majorHAnsi" w:cstheme="majorHAnsi"/>
          <w:lang w:val="en-US"/>
        </w:rPr>
      </w:pPr>
      <w:r w:rsidRPr="00956CB0">
        <w:rPr>
          <w:rStyle w:val="FootnoteReference"/>
          <w:rFonts w:asciiTheme="majorHAnsi" w:eastAsia="Arial Unicode MS" w:hAnsiTheme="majorHAnsi" w:cstheme="majorHAnsi"/>
        </w:rPr>
        <w:footnoteRef/>
      </w:r>
      <w:r w:rsidRPr="00956CB0">
        <w:rPr>
          <w:rFonts w:asciiTheme="majorHAnsi" w:hAnsiTheme="majorHAnsi" w:cstheme="majorHAnsi"/>
        </w:rPr>
        <w:t xml:space="preserve"> The </w:t>
      </w:r>
      <w:r>
        <w:rPr>
          <w:rFonts w:asciiTheme="majorHAnsi" w:hAnsiTheme="majorHAnsi" w:cstheme="majorHAnsi"/>
        </w:rPr>
        <w:t xml:space="preserve">EOPE </w:t>
      </w:r>
      <w:r w:rsidRPr="00956CB0">
        <w:rPr>
          <w:rFonts w:asciiTheme="majorHAnsi" w:hAnsiTheme="majorHAnsi" w:cstheme="majorHAnsi"/>
        </w:rPr>
        <w:t xml:space="preserve">Study Team was informed </w:t>
      </w:r>
      <w:r>
        <w:rPr>
          <w:rFonts w:asciiTheme="majorHAnsi" w:hAnsiTheme="majorHAnsi" w:cstheme="majorHAnsi"/>
        </w:rPr>
        <w:t xml:space="preserve">that </w:t>
      </w:r>
      <w:r w:rsidRPr="00956CB0">
        <w:rPr>
          <w:rFonts w:asciiTheme="majorHAnsi" w:hAnsiTheme="majorHAnsi" w:cstheme="majorHAnsi"/>
        </w:rPr>
        <w:t xml:space="preserve">a </w:t>
      </w:r>
      <w:r>
        <w:rPr>
          <w:rFonts w:asciiTheme="majorHAnsi" w:hAnsiTheme="majorHAnsi" w:cstheme="majorHAnsi"/>
        </w:rPr>
        <w:t>DepEd</w:t>
      </w:r>
      <w:r w:rsidRPr="00956CB0">
        <w:rPr>
          <w:rFonts w:asciiTheme="majorHAnsi" w:hAnsiTheme="majorHAnsi" w:cstheme="majorHAnsi"/>
        </w:rPr>
        <w:t xml:space="preserve"> M&amp;E system</w:t>
      </w:r>
      <w:r>
        <w:rPr>
          <w:rFonts w:asciiTheme="majorHAnsi" w:hAnsiTheme="majorHAnsi" w:cstheme="majorHAnsi"/>
        </w:rPr>
        <w:t xml:space="preserve"> that links PPMES and SBM</w:t>
      </w:r>
      <w:r w:rsidRPr="00956CB0">
        <w:rPr>
          <w:rFonts w:asciiTheme="majorHAnsi" w:hAnsiTheme="majorHAnsi" w:cstheme="majorHAnsi"/>
        </w:rPr>
        <w:t xml:space="preserve"> is </w:t>
      </w:r>
      <w:r>
        <w:rPr>
          <w:rFonts w:asciiTheme="majorHAnsi" w:hAnsiTheme="majorHAnsi" w:cstheme="majorHAnsi"/>
        </w:rPr>
        <w:t xml:space="preserve">still </w:t>
      </w:r>
      <w:r w:rsidRPr="00956CB0">
        <w:rPr>
          <w:rFonts w:asciiTheme="majorHAnsi" w:hAnsiTheme="majorHAnsi" w:cstheme="majorHAnsi"/>
        </w:rPr>
        <w:t xml:space="preserve">under development at the time of </w:t>
      </w:r>
      <w:r>
        <w:rPr>
          <w:rFonts w:asciiTheme="majorHAnsi" w:hAnsiTheme="majorHAnsi" w:cstheme="majorHAnsi"/>
        </w:rPr>
        <w:t xml:space="preserve">the </w:t>
      </w:r>
      <w:r w:rsidRPr="00956CB0">
        <w:rPr>
          <w:rFonts w:asciiTheme="majorHAnsi" w:hAnsiTheme="majorHAnsi" w:cstheme="majorHAnsi"/>
        </w:rPr>
        <w:t xml:space="preserve">writing </w:t>
      </w:r>
      <w:r>
        <w:rPr>
          <w:rFonts w:asciiTheme="majorHAnsi" w:hAnsiTheme="majorHAnsi" w:cstheme="majorHAnsi"/>
        </w:rPr>
        <w:t xml:space="preserve">of this </w:t>
      </w:r>
      <w:r w:rsidRPr="00956CB0">
        <w:rPr>
          <w:rFonts w:asciiTheme="majorHAnsi" w:hAnsiTheme="majorHAnsi" w:cstheme="majorHAnsi"/>
        </w:rPr>
        <w:t>report.</w:t>
      </w:r>
    </w:p>
  </w:footnote>
  <w:footnote w:id="71">
    <w:p w14:paraId="6E4A9784" w14:textId="77777777" w:rsidR="00B33BA9" w:rsidRPr="00956CB0" w:rsidRDefault="00B33BA9" w:rsidP="008D0CAD">
      <w:pPr>
        <w:pStyle w:val="FootnoteText"/>
        <w:rPr>
          <w:rFonts w:asciiTheme="majorHAnsi" w:hAnsiTheme="majorHAnsi" w:cstheme="majorHAnsi"/>
        </w:rPr>
      </w:pPr>
      <w:r w:rsidRPr="00956CB0">
        <w:rPr>
          <w:rStyle w:val="FootnoteReference"/>
          <w:rFonts w:asciiTheme="majorHAnsi" w:eastAsia="Arial Unicode MS" w:hAnsiTheme="majorHAnsi" w:cstheme="majorHAnsi"/>
        </w:rPr>
        <w:footnoteRef/>
      </w:r>
      <w:r w:rsidRPr="00956CB0">
        <w:rPr>
          <w:rFonts w:asciiTheme="majorHAnsi" w:hAnsiTheme="majorHAnsi" w:cstheme="majorHAnsi"/>
        </w:rPr>
        <w:t xml:space="preserve"> </w:t>
      </w:r>
      <w:r>
        <w:rPr>
          <w:rFonts w:asciiTheme="majorHAnsi" w:hAnsiTheme="majorHAnsi" w:cstheme="majorHAnsi"/>
          <w:color w:val="000000" w:themeColor="text1"/>
        </w:rPr>
        <w:t>DO</w:t>
      </w:r>
      <w:r w:rsidRPr="00956CB0">
        <w:rPr>
          <w:rFonts w:asciiTheme="majorHAnsi" w:hAnsiTheme="majorHAnsi" w:cstheme="majorHAnsi"/>
          <w:color w:val="000000" w:themeColor="text1"/>
        </w:rPr>
        <w:t xml:space="preserve"> No. </w:t>
      </w:r>
      <w:r w:rsidRPr="00956CB0">
        <w:rPr>
          <w:rFonts w:asciiTheme="majorHAnsi" w:hAnsiTheme="majorHAnsi" w:cstheme="majorHAnsi"/>
        </w:rPr>
        <w:t>44, s. 2015.</w:t>
      </w:r>
    </w:p>
  </w:footnote>
  <w:footnote w:id="72">
    <w:p w14:paraId="3EA38855" w14:textId="476EDAA1" w:rsidR="00B33BA9" w:rsidRPr="004F1C82" w:rsidRDefault="00B33BA9" w:rsidP="008D0CAD">
      <w:pPr>
        <w:pStyle w:val="FootnoteText"/>
        <w:rPr>
          <w:lang w:val="en-US"/>
        </w:rPr>
      </w:pPr>
      <w:r>
        <w:rPr>
          <w:rStyle w:val="FootnoteReference"/>
          <w:rFonts w:eastAsia="Arial Unicode MS"/>
        </w:rPr>
        <w:footnoteRef/>
      </w:r>
      <w:r>
        <w:t xml:space="preserve"> </w:t>
      </w:r>
      <w:r w:rsidRPr="003A1C79">
        <w:rPr>
          <w:rFonts w:asciiTheme="majorHAnsi" w:hAnsiTheme="majorHAnsi" w:cstheme="majorHAnsi"/>
          <w:color w:val="000000" w:themeColor="text1"/>
          <w:sz w:val="22"/>
          <w:szCs w:val="22"/>
        </w:rPr>
        <w:t>As per exchange with Director Roger Masapol (December 18-20, 2020), these policies were drafted during the BEST program period but were only finalized after the closing of the BEST Program.</w:t>
      </w:r>
      <w:r>
        <w:rPr>
          <w:rFonts w:asciiTheme="majorHAnsi" w:hAnsiTheme="majorHAnsi" w:cstheme="majorHAnsi"/>
          <w:color w:val="000000" w:themeColor="text1"/>
          <w:sz w:val="22"/>
          <w:szCs w:val="22"/>
        </w:rPr>
        <w:t xml:space="preserve"> </w:t>
      </w:r>
      <w:r w:rsidRPr="003A1C79">
        <w:rPr>
          <w:rFonts w:asciiTheme="majorHAnsi" w:hAnsiTheme="majorHAnsi" w:cstheme="majorHAnsi"/>
          <w:color w:val="000000" w:themeColor="text1"/>
          <w:sz w:val="22"/>
          <w:szCs w:val="22"/>
        </w:rPr>
        <w:t>The draft policies and frameworks were submitted for final approval and signature of the Secretary of Education but as of the December 2020 was still unsigned (and thus, not yet department policy).</w:t>
      </w:r>
    </w:p>
  </w:footnote>
  <w:footnote w:id="73">
    <w:p w14:paraId="22B1F594" w14:textId="77777777" w:rsidR="00B33BA9" w:rsidRPr="00F03B85" w:rsidRDefault="00B33BA9" w:rsidP="008D0CAD">
      <w:pPr>
        <w:pStyle w:val="FootnoteText"/>
        <w:rPr>
          <w:rFonts w:asciiTheme="majorHAnsi" w:hAnsiTheme="majorHAnsi" w:cstheme="majorHAnsi"/>
          <w:lang w:val="en-US"/>
        </w:rPr>
      </w:pPr>
      <w:r w:rsidRPr="00F03B85">
        <w:rPr>
          <w:rStyle w:val="FootnoteReference"/>
          <w:rFonts w:asciiTheme="majorHAnsi" w:eastAsia="Arial Unicode MS" w:hAnsiTheme="majorHAnsi" w:cstheme="majorHAnsi"/>
        </w:rPr>
        <w:footnoteRef/>
      </w:r>
      <w:r w:rsidRPr="00F03B85">
        <w:rPr>
          <w:rFonts w:asciiTheme="majorHAnsi" w:hAnsiTheme="majorHAnsi" w:cstheme="majorHAnsi"/>
        </w:rPr>
        <w:t xml:space="preserve"> 2019 </w:t>
      </w:r>
      <w:r w:rsidRPr="00F03B85">
        <w:rPr>
          <w:rFonts w:asciiTheme="majorHAnsi" w:hAnsiTheme="majorHAnsi" w:cstheme="majorHAnsi"/>
          <w:lang w:val="en-US"/>
        </w:rPr>
        <w:t>Survey</w:t>
      </w:r>
      <w:r>
        <w:rPr>
          <w:rFonts w:asciiTheme="majorHAnsi" w:hAnsiTheme="majorHAnsi" w:cstheme="majorHAnsi"/>
          <w:lang w:val="en-US"/>
        </w:rPr>
        <w:t xml:space="preserve"> of Principals</w:t>
      </w:r>
    </w:p>
  </w:footnote>
  <w:footnote w:id="74">
    <w:p w14:paraId="2026FA4C" w14:textId="77777777" w:rsidR="00B33BA9" w:rsidRPr="00F03B85" w:rsidRDefault="00B33BA9" w:rsidP="008D0CAD">
      <w:pPr>
        <w:pStyle w:val="FootnoteText"/>
        <w:rPr>
          <w:rFonts w:asciiTheme="majorHAnsi" w:hAnsiTheme="majorHAnsi" w:cstheme="majorHAnsi"/>
          <w:lang w:val="en-US"/>
        </w:rPr>
      </w:pPr>
      <w:r w:rsidRPr="00F03B85">
        <w:rPr>
          <w:rStyle w:val="FootnoteReference"/>
          <w:rFonts w:asciiTheme="majorHAnsi" w:eastAsia="Arial Unicode MS" w:hAnsiTheme="majorHAnsi" w:cstheme="majorHAnsi"/>
        </w:rPr>
        <w:footnoteRef/>
      </w:r>
      <w:r w:rsidRPr="00F03B85">
        <w:rPr>
          <w:rFonts w:asciiTheme="majorHAnsi" w:hAnsiTheme="majorHAnsi" w:cstheme="majorHAnsi"/>
        </w:rPr>
        <w:t xml:space="preserve"> </w:t>
      </w:r>
      <w:r w:rsidRPr="00F03B85">
        <w:rPr>
          <w:rFonts w:asciiTheme="majorHAnsi" w:hAnsiTheme="majorHAnsi" w:cstheme="majorHAnsi"/>
          <w:lang w:val="en-US"/>
        </w:rPr>
        <w:t>2019 KAU Survey</w:t>
      </w:r>
    </w:p>
  </w:footnote>
  <w:footnote w:id="75">
    <w:p w14:paraId="125CECAF" w14:textId="77777777" w:rsidR="00B33BA9" w:rsidRPr="00F03B85" w:rsidRDefault="00B33BA9" w:rsidP="008D0CAD">
      <w:pPr>
        <w:pStyle w:val="FootnoteText"/>
        <w:rPr>
          <w:rFonts w:asciiTheme="majorHAnsi" w:hAnsiTheme="majorHAnsi" w:cstheme="majorHAnsi"/>
          <w:lang w:val="en-US"/>
        </w:rPr>
      </w:pPr>
      <w:r w:rsidRPr="00F03B85">
        <w:rPr>
          <w:rStyle w:val="FootnoteReference"/>
          <w:rFonts w:asciiTheme="majorHAnsi" w:eastAsia="Arial Unicode MS" w:hAnsiTheme="majorHAnsi" w:cstheme="majorHAnsi"/>
        </w:rPr>
        <w:footnoteRef/>
      </w:r>
      <w:r w:rsidRPr="00F03B85">
        <w:rPr>
          <w:rFonts w:asciiTheme="majorHAnsi" w:hAnsiTheme="majorHAnsi" w:cstheme="majorHAnsi"/>
        </w:rPr>
        <w:t xml:space="preserve"> </w:t>
      </w:r>
      <w:r w:rsidRPr="00F03B85">
        <w:rPr>
          <w:rFonts w:asciiTheme="majorHAnsi" w:hAnsiTheme="majorHAnsi" w:cstheme="majorHAnsi"/>
          <w:lang w:val="en-US"/>
        </w:rPr>
        <w:t>20</w:t>
      </w:r>
      <w:r>
        <w:rPr>
          <w:rFonts w:asciiTheme="majorHAnsi" w:hAnsiTheme="majorHAnsi" w:cstheme="majorHAnsi"/>
          <w:lang w:val="en-US"/>
        </w:rPr>
        <w:t>20</w:t>
      </w:r>
      <w:r w:rsidRPr="00F03B85">
        <w:rPr>
          <w:rFonts w:asciiTheme="majorHAnsi" w:hAnsiTheme="majorHAnsi" w:cstheme="majorHAnsi"/>
          <w:lang w:val="en-US"/>
        </w:rPr>
        <w:t xml:space="preserve"> KAU Survey</w:t>
      </w:r>
    </w:p>
  </w:footnote>
  <w:footnote w:id="76">
    <w:p w14:paraId="11F0BC76" w14:textId="77777777" w:rsidR="00B33BA9" w:rsidRPr="00DD68D7" w:rsidRDefault="00B33BA9" w:rsidP="008D0CAD">
      <w:pPr>
        <w:pStyle w:val="FootnoteText"/>
        <w:rPr>
          <w:rFonts w:asciiTheme="majorHAnsi" w:hAnsiTheme="majorHAnsi" w:cstheme="majorHAnsi"/>
        </w:rPr>
      </w:pPr>
      <w:r w:rsidRPr="00DD68D7">
        <w:rPr>
          <w:rStyle w:val="FootnoteReference"/>
          <w:rFonts w:asciiTheme="majorHAnsi" w:eastAsia="Arial Unicode MS" w:hAnsiTheme="majorHAnsi" w:cstheme="majorHAnsi"/>
        </w:rPr>
        <w:footnoteRef/>
      </w:r>
      <w:r w:rsidRPr="00DD68D7">
        <w:rPr>
          <w:rFonts w:asciiTheme="majorHAnsi" w:hAnsiTheme="majorHAnsi" w:cstheme="majorHAnsi"/>
        </w:rPr>
        <w:t xml:space="preserve"> In the Philippines, local development plans are prepared every three years to coincide with the terms of locally elected officials.</w:t>
      </w:r>
    </w:p>
  </w:footnote>
  <w:footnote w:id="77">
    <w:p w14:paraId="5B7AA7E6" w14:textId="77777777" w:rsidR="00B33BA9" w:rsidRPr="00487AFA" w:rsidRDefault="00B33BA9" w:rsidP="008D0CAD">
      <w:pPr>
        <w:pStyle w:val="FootnoteText"/>
        <w:rPr>
          <w:lang w:val="en-US"/>
        </w:rPr>
      </w:pPr>
      <w:r>
        <w:rPr>
          <w:rStyle w:val="FootnoteReference"/>
          <w:rFonts w:eastAsia="Arial Unicode MS"/>
        </w:rPr>
        <w:footnoteRef/>
      </w:r>
      <w:r>
        <w:t xml:space="preserve"> </w:t>
      </w:r>
      <w:r>
        <w:rPr>
          <w:rFonts w:asciiTheme="majorHAnsi" w:hAnsiTheme="majorHAnsi" w:cstheme="majorHAnsi"/>
          <w:color w:val="000000" w:themeColor="text1"/>
        </w:rPr>
        <w:t xml:space="preserve">Total Principals was </w:t>
      </w:r>
      <w:r w:rsidRPr="004C2442">
        <w:rPr>
          <w:rFonts w:asciiTheme="majorHAnsi" w:hAnsiTheme="majorHAnsi" w:cstheme="majorHAnsi"/>
          <w:color w:val="000000" w:themeColor="text1"/>
        </w:rPr>
        <w:t>39</w:t>
      </w:r>
    </w:p>
  </w:footnote>
  <w:footnote w:id="78">
    <w:p w14:paraId="0B8802C4" w14:textId="77777777" w:rsidR="00B33BA9" w:rsidRPr="004A657A" w:rsidRDefault="00B33BA9" w:rsidP="008D0CAD">
      <w:pPr>
        <w:pStyle w:val="FootnoteText"/>
        <w:rPr>
          <w:rFonts w:asciiTheme="majorHAnsi" w:hAnsiTheme="majorHAnsi" w:cstheme="majorHAnsi"/>
        </w:rPr>
      </w:pPr>
      <w:r w:rsidRPr="004A657A">
        <w:rPr>
          <w:rStyle w:val="FootnoteReference"/>
          <w:rFonts w:asciiTheme="majorHAnsi" w:eastAsia="Arial Unicode MS" w:hAnsiTheme="majorHAnsi" w:cstheme="majorHAnsi"/>
        </w:rPr>
        <w:footnoteRef/>
      </w:r>
      <w:r w:rsidRPr="004A657A">
        <w:rPr>
          <w:rFonts w:asciiTheme="majorHAnsi" w:hAnsiTheme="majorHAnsi" w:cstheme="majorHAnsi"/>
        </w:rPr>
        <w:t xml:space="preserve"> </w:t>
      </w:r>
      <w:r w:rsidRPr="004A657A">
        <w:rPr>
          <w:rFonts w:asciiTheme="majorHAnsi" w:hAnsiTheme="majorHAnsi" w:cstheme="majorHAnsi"/>
          <w:color w:val="000000"/>
        </w:rPr>
        <w:t>BEST SMPR 9</w:t>
      </w:r>
    </w:p>
  </w:footnote>
  <w:footnote w:id="79">
    <w:p w14:paraId="7BDED55E" w14:textId="77777777" w:rsidR="00B33BA9" w:rsidRPr="004A657A" w:rsidRDefault="00B33BA9" w:rsidP="008D0CAD">
      <w:pPr>
        <w:pStyle w:val="FootnoteText"/>
        <w:rPr>
          <w:rFonts w:asciiTheme="majorHAnsi" w:hAnsiTheme="majorHAnsi" w:cstheme="majorHAnsi"/>
          <w:lang w:val="en-US"/>
        </w:rPr>
      </w:pPr>
      <w:r w:rsidRPr="004A657A">
        <w:rPr>
          <w:rStyle w:val="FootnoteReference"/>
          <w:rFonts w:asciiTheme="majorHAnsi" w:eastAsia="Arial Unicode MS" w:hAnsiTheme="majorHAnsi" w:cstheme="majorHAnsi"/>
        </w:rPr>
        <w:footnoteRef/>
      </w:r>
      <w:r w:rsidRPr="004A657A">
        <w:rPr>
          <w:rFonts w:asciiTheme="majorHAnsi" w:hAnsiTheme="majorHAnsi" w:cstheme="majorHAnsi"/>
        </w:rPr>
        <w:t xml:space="preserve"> </w:t>
      </w:r>
      <w:r w:rsidRPr="004A657A">
        <w:rPr>
          <w:rFonts w:asciiTheme="majorHAnsi" w:hAnsiTheme="majorHAnsi" w:cstheme="majorHAnsi"/>
          <w:lang w:val="en-US"/>
        </w:rPr>
        <w:t>Completion Report of BEST Program GAD Adviser/Consultant</w:t>
      </w:r>
    </w:p>
  </w:footnote>
  <w:footnote w:id="80">
    <w:p w14:paraId="2EAC71E2" w14:textId="77777777" w:rsidR="00B33BA9" w:rsidRPr="004A657A" w:rsidRDefault="00B33BA9" w:rsidP="008D0CAD">
      <w:pPr>
        <w:pStyle w:val="FootnoteText"/>
        <w:rPr>
          <w:rFonts w:asciiTheme="majorHAnsi" w:hAnsiTheme="majorHAnsi" w:cstheme="majorHAnsi"/>
          <w:lang w:val="en-US"/>
        </w:rPr>
      </w:pPr>
      <w:r w:rsidRPr="004A657A">
        <w:rPr>
          <w:rStyle w:val="FootnoteReference"/>
          <w:rFonts w:asciiTheme="majorHAnsi" w:eastAsia="Arial Unicode MS" w:hAnsiTheme="majorHAnsi" w:cstheme="majorHAnsi"/>
        </w:rPr>
        <w:footnoteRef/>
      </w:r>
      <w:r w:rsidRPr="004A657A">
        <w:rPr>
          <w:rFonts w:asciiTheme="majorHAnsi" w:hAnsiTheme="majorHAnsi" w:cstheme="majorHAnsi"/>
        </w:rPr>
        <w:t xml:space="preserve"> Some of these systems were the Enhanced Basic Education Information System (EBEIS), the Learner Information System (LIS), the Learning Resources (LR) Portal and the Program Management Information System (PMIS).</w:t>
      </w:r>
    </w:p>
  </w:footnote>
  <w:footnote w:id="81">
    <w:p w14:paraId="2899B2F6" w14:textId="77777777" w:rsidR="00B33BA9" w:rsidRPr="00F54CC4" w:rsidRDefault="00B33BA9" w:rsidP="008D0CAD">
      <w:pPr>
        <w:pStyle w:val="FootnoteText"/>
        <w:rPr>
          <w:rFonts w:asciiTheme="majorHAnsi" w:hAnsiTheme="majorHAnsi" w:cstheme="majorHAnsi"/>
          <w:lang w:val="en-US"/>
        </w:rPr>
      </w:pPr>
      <w:r w:rsidRPr="004A657A">
        <w:rPr>
          <w:rStyle w:val="FootnoteReference"/>
          <w:rFonts w:asciiTheme="majorHAnsi" w:eastAsia="Arial Unicode MS" w:hAnsiTheme="majorHAnsi" w:cstheme="majorHAnsi"/>
        </w:rPr>
        <w:footnoteRef/>
      </w:r>
      <w:r w:rsidRPr="004A657A">
        <w:rPr>
          <w:rFonts w:asciiTheme="majorHAnsi" w:hAnsiTheme="majorHAnsi" w:cstheme="majorHAnsi"/>
        </w:rPr>
        <w:t xml:space="preserve"> </w:t>
      </w:r>
      <w:r w:rsidRPr="004A657A">
        <w:rPr>
          <w:rFonts w:asciiTheme="majorHAnsi" w:hAnsiTheme="majorHAnsi" w:cstheme="majorHAnsi"/>
          <w:lang w:val="en-US"/>
        </w:rPr>
        <w:t>KII with former Undersecretary handling the BEST Program.</w:t>
      </w:r>
    </w:p>
  </w:footnote>
  <w:footnote w:id="82">
    <w:p w14:paraId="2B734243" w14:textId="02C620CB" w:rsidR="00B33BA9" w:rsidRPr="00C02379" w:rsidRDefault="00B33BA9" w:rsidP="008D0CAD">
      <w:pPr>
        <w:pStyle w:val="FootnoteText"/>
        <w:rPr>
          <w:rFonts w:asciiTheme="majorHAnsi" w:hAnsiTheme="majorHAnsi" w:cstheme="majorHAnsi"/>
          <w:color w:val="000000" w:themeColor="text1"/>
          <w:lang w:val="en-US"/>
        </w:rPr>
      </w:pPr>
      <w:r w:rsidRPr="008D25AB">
        <w:rPr>
          <w:rStyle w:val="FootnoteReference"/>
          <w:rFonts w:asciiTheme="majorHAnsi" w:eastAsia="Arial Unicode MS" w:hAnsiTheme="majorHAnsi" w:cstheme="majorHAnsi"/>
        </w:rPr>
        <w:footnoteRef/>
      </w:r>
      <w:r w:rsidRPr="008D25AB">
        <w:rPr>
          <w:rFonts w:asciiTheme="majorHAnsi" w:hAnsiTheme="majorHAnsi" w:cstheme="majorHAnsi"/>
        </w:rPr>
        <w:t xml:space="preserve"> </w:t>
      </w:r>
      <w:r w:rsidRPr="00C02379">
        <w:rPr>
          <w:rFonts w:asciiTheme="majorHAnsi" w:hAnsiTheme="majorHAnsi" w:cstheme="majorHAnsi"/>
          <w:color w:val="000000" w:themeColor="text1"/>
          <w:lang w:val="en-US"/>
        </w:rPr>
        <w:t>Although actual data was available for only three years, there was clear evidence of the use of EBEIS from the KIIs and FGDs.</w:t>
      </w:r>
      <w:r>
        <w:rPr>
          <w:rFonts w:asciiTheme="majorHAnsi" w:hAnsiTheme="majorHAnsi" w:cstheme="majorHAnsi"/>
          <w:color w:val="000000" w:themeColor="text1"/>
          <w:lang w:val="en-US"/>
        </w:rPr>
        <w:t xml:space="preserve"> </w:t>
      </w:r>
      <w:r w:rsidRPr="00C02379">
        <w:rPr>
          <w:rFonts w:asciiTheme="majorHAnsi" w:hAnsiTheme="majorHAnsi" w:cstheme="majorHAnsi"/>
          <w:color w:val="000000" w:themeColor="text1"/>
          <w:lang w:val="en-US"/>
        </w:rPr>
        <w:t>Thus, it is prudent to assume that the sustained use of the EBEIS would continue over the years.</w:t>
      </w:r>
    </w:p>
  </w:footnote>
  <w:footnote w:id="83">
    <w:p w14:paraId="7FC1D555" w14:textId="3277ABAB" w:rsidR="00B33BA9" w:rsidRPr="00F5255D" w:rsidRDefault="00B33BA9" w:rsidP="008D0CAD">
      <w:pPr>
        <w:pStyle w:val="ListParagraph"/>
        <w:ind w:left="0"/>
        <w:contextualSpacing w:val="0"/>
        <w:jc w:val="both"/>
        <w:rPr>
          <w:rFonts w:asciiTheme="majorHAnsi" w:hAnsiTheme="majorHAnsi" w:cstheme="majorHAnsi"/>
          <w:color w:val="FF0000"/>
          <w:sz w:val="20"/>
          <w:szCs w:val="20"/>
        </w:rPr>
      </w:pPr>
      <w:r w:rsidRPr="00C52D2F">
        <w:rPr>
          <w:rStyle w:val="FootnoteReference"/>
          <w:rFonts w:asciiTheme="majorHAnsi" w:eastAsia="Arial Unicode MS" w:hAnsiTheme="majorHAnsi" w:cstheme="majorHAnsi"/>
        </w:rPr>
        <w:footnoteRef/>
      </w:r>
      <w:r w:rsidRPr="00C52D2F">
        <w:rPr>
          <w:rFonts w:asciiTheme="majorHAnsi" w:hAnsiTheme="majorHAnsi" w:cstheme="majorHAnsi"/>
          <w:sz w:val="20"/>
          <w:szCs w:val="20"/>
        </w:rPr>
        <w:t xml:space="preserve"> </w:t>
      </w:r>
      <w:r w:rsidRPr="00C52D2F">
        <w:rPr>
          <w:rFonts w:asciiTheme="majorHAnsi" w:hAnsiTheme="majorHAnsi" w:cstheme="majorHAnsi"/>
          <w:bCs/>
          <w:sz w:val="20"/>
          <w:szCs w:val="20"/>
        </w:rPr>
        <w:t>Executive Order 366 s. 2004 referred to as the</w:t>
      </w:r>
      <w:r w:rsidRPr="00C52D2F">
        <w:rPr>
          <w:rFonts w:asciiTheme="majorHAnsi" w:hAnsiTheme="majorHAnsi" w:cstheme="majorHAnsi"/>
          <w:b/>
          <w:bCs/>
          <w:color w:val="FF0000"/>
          <w:sz w:val="20"/>
          <w:szCs w:val="20"/>
        </w:rPr>
        <w:t xml:space="preserve"> </w:t>
      </w:r>
      <w:r w:rsidRPr="00C52D2F">
        <w:rPr>
          <w:rFonts w:asciiTheme="majorHAnsi" w:hAnsiTheme="majorHAnsi" w:cstheme="majorHAnsi"/>
          <w:sz w:val="20"/>
          <w:szCs w:val="20"/>
        </w:rPr>
        <w:t>Rationalization Plan require</w:t>
      </w:r>
      <w:r>
        <w:rPr>
          <w:rFonts w:asciiTheme="majorHAnsi" w:hAnsiTheme="majorHAnsi" w:cstheme="majorHAnsi"/>
          <w:sz w:val="20"/>
          <w:szCs w:val="20"/>
        </w:rPr>
        <w:t>d</w:t>
      </w:r>
      <w:r w:rsidRPr="00C52D2F">
        <w:rPr>
          <w:rFonts w:asciiTheme="majorHAnsi" w:hAnsiTheme="majorHAnsi" w:cstheme="majorHAnsi"/>
          <w:sz w:val="20"/>
          <w:szCs w:val="20"/>
        </w:rPr>
        <w:t xml:space="preserve"> government offices to have a strategic review of their organizations to ensure better delivery of services by minimizing or eliminating overlaps and duplication of functions (EO 366 Rationalization Plan Primer).</w:t>
      </w:r>
      <w:r>
        <w:rPr>
          <w:rFonts w:asciiTheme="majorHAnsi" w:hAnsiTheme="majorHAnsi" w:cstheme="majorHAnsi"/>
          <w:sz w:val="20"/>
          <w:szCs w:val="20"/>
        </w:rPr>
        <w:t xml:space="preserve"> DepEd</w:t>
      </w:r>
      <w:r w:rsidRPr="00C52D2F">
        <w:rPr>
          <w:rFonts w:asciiTheme="majorHAnsi" w:hAnsiTheme="majorHAnsi" w:cstheme="majorHAnsi"/>
          <w:sz w:val="20"/>
          <w:szCs w:val="20"/>
        </w:rPr>
        <w:t xml:space="preserve">’s RatPlan </w:t>
      </w:r>
      <w:r>
        <w:rPr>
          <w:rFonts w:asciiTheme="majorHAnsi" w:hAnsiTheme="majorHAnsi" w:cstheme="majorHAnsi"/>
          <w:sz w:val="20"/>
          <w:szCs w:val="20"/>
        </w:rPr>
        <w:t>process</w:t>
      </w:r>
      <w:r w:rsidRPr="00C52D2F">
        <w:rPr>
          <w:rFonts w:asciiTheme="majorHAnsi" w:hAnsiTheme="majorHAnsi" w:cstheme="majorHAnsi"/>
          <w:sz w:val="20"/>
          <w:szCs w:val="20"/>
        </w:rPr>
        <w:t xml:space="preserve"> started in 2011 pushed by the imperative to align and strengthen the entire bureaucracy in preparation for the implementation of the K to 12 curriculum and its other strategic priorities. The OD employed the framework of the ‘</w:t>
      </w:r>
      <w:r w:rsidRPr="00C52D2F">
        <w:rPr>
          <w:rFonts w:asciiTheme="majorHAnsi" w:hAnsiTheme="majorHAnsi" w:cstheme="majorHAnsi"/>
          <w:i/>
          <w:sz w:val="20"/>
          <w:szCs w:val="20"/>
        </w:rPr>
        <w:t xml:space="preserve">large systems organization transformation approach’, </w:t>
      </w:r>
      <w:r w:rsidRPr="00C52D2F">
        <w:rPr>
          <w:rFonts w:asciiTheme="majorHAnsi" w:hAnsiTheme="majorHAnsi" w:cstheme="majorHAnsi"/>
          <w:sz w:val="20"/>
          <w:szCs w:val="20"/>
        </w:rPr>
        <w:t>which promote</w:t>
      </w:r>
      <w:r>
        <w:rPr>
          <w:rFonts w:asciiTheme="majorHAnsi" w:hAnsiTheme="majorHAnsi" w:cstheme="majorHAnsi"/>
          <w:sz w:val="20"/>
          <w:szCs w:val="20"/>
        </w:rPr>
        <w:t>d</w:t>
      </w:r>
      <w:r w:rsidRPr="00C52D2F">
        <w:rPr>
          <w:rFonts w:asciiTheme="majorHAnsi" w:hAnsiTheme="majorHAnsi" w:cstheme="majorHAnsi"/>
          <w:sz w:val="20"/>
          <w:szCs w:val="20"/>
        </w:rPr>
        <w:t xml:space="preserve"> widespread structural and systems changes pursued simultaneously and coherently but implemented in </w:t>
      </w:r>
      <w:r>
        <w:rPr>
          <w:rFonts w:asciiTheme="majorHAnsi" w:hAnsiTheme="majorHAnsi" w:cstheme="majorHAnsi"/>
          <w:sz w:val="20"/>
          <w:szCs w:val="20"/>
        </w:rPr>
        <w:t xml:space="preserve">a </w:t>
      </w:r>
      <w:r w:rsidRPr="00C52D2F">
        <w:rPr>
          <w:rFonts w:asciiTheme="majorHAnsi" w:hAnsiTheme="majorHAnsi" w:cstheme="majorHAnsi"/>
          <w:sz w:val="20"/>
          <w:szCs w:val="20"/>
        </w:rPr>
        <w:t>synchronized manner.</w:t>
      </w:r>
      <w:r>
        <w:rPr>
          <w:rFonts w:asciiTheme="majorHAnsi" w:hAnsiTheme="majorHAnsi" w:cstheme="majorHAnsi"/>
          <w:color w:val="FF0000"/>
          <w:sz w:val="20"/>
          <w:szCs w:val="20"/>
        </w:rPr>
        <w:t xml:space="preserve"> </w:t>
      </w:r>
    </w:p>
  </w:footnote>
  <w:footnote w:id="84">
    <w:p w14:paraId="4A222BA5" w14:textId="77777777" w:rsidR="00B33BA9" w:rsidRPr="007544FB" w:rsidRDefault="00B33BA9" w:rsidP="008D0CAD">
      <w:pPr>
        <w:pStyle w:val="FootnoteText"/>
        <w:rPr>
          <w:rFonts w:asciiTheme="majorHAnsi" w:hAnsiTheme="majorHAnsi" w:cstheme="majorHAnsi"/>
        </w:rPr>
      </w:pPr>
      <w:r w:rsidRPr="007544FB">
        <w:rPr>
          <w:rStyle w:val="FootnoteReference"/>
          <w:rFonts w:asciiTheme="majorHAnsi" w:eastAsia="Arial Unicode MS" w:hAnsiTheme="majorHAnsi" w:cstheme="majorHAnsi"/>
        </w:rPr>
        <w:footnoteRef/>
      </w:r>
      <w:r w:rsidRPr="007544FB">
        <w:rPr>
          <w:rFonts w:asciiTheme="majorHAnsi" w:hAnsiTheme="majorHAnsi" w:cstheme="majorHAnsi"/>
        </w:rPr>
        <w:t xml:space="preserve"> Roughly translated as “</w:t>
      </w:r>
      <w:r w:rsidRPr="007544FB">
        <w:rPr>
          <w:rFonts w:asciiTheme="majorHAnsi" w:hAnsiTheme="majorHAnsi" w:cstheme="majorHAnsi"/>
          <w:i/>
        </w:rPr>
        <w:t>In the past we were finger-pointing because [responsibilities] were not clear.”</w:t>
      </w:r>
    </w:p>
  </w:footnote>
  <w:footnote w:id="85">
    <w:p w14:paraId="1BF125E5" w14:textId="77777777" w:rsidR="00B33BA9" w:rsidRPr="00AE1E11" w:rsidRDefault="00B33BA9" w:rsidP="008D0CAD">
      <w:pPr>
        <w:pStyle w:val="FootnoteText"/>
        <w:rPr>
          <w:rFonts w:asciiTheme="majorHAnsi" w:hAnsiTheme="majorHAnsi" w:cstheme="majorHAnsi"/>
        </w:rPr>
      </w:pPr>
      <w:r w:rsidRPr="00AE1E11">
        <w:rPr>
          <w:rStyle w:val="FootnoteReference"/>
          <w:rFonts w:asciiTheme="majorHAnsi" w:eastAsia="Arial Unicode MS" w:hAnsiTheme="majorHAnsi" w:cstheme="majorHAnsi"/>
        </w:rPr>
        <w:footnoteRef/>
      </w:r>
      <w:r w:rsidRPr="00AE1E11">
        <w:rPr>
          <w:rFonts w:asciiTheme="majorHAnsi" w:hAnsiTheme="majorHAnsi" w:cstheme="majorHAnsi"/>
        </w:rPr>
        <w:t xml:space="preserve"> As a result, </w:t>
      </w:r>
      <w:r>
        <w:rPr>
          <w:rFonts w:asciiTheme="majorHAnsi" w:hAnsiTheme="majorHAnsi" w:cstheme="majorHAnsi"/>
        </w:rPr>
        <w:t xml:space="preserve">these </w:t>
      </w:r>
      <w:r w:rsidRPr="00AE1E11">
        <w:rPr>
          <w:rFonts w:asciiTheme="majorHAnsi" w:hAnsiTheme="majorHAnsi" w:cstheme="majorHAnsi"/>
        </w:rPr>
        <w:t>activities were no</w:t>
      </w:r>
      <w:r>
        <w:rPr>
          <w:rFonts w:asciiTheme="majorHAnsi" w:hAnsiTheme="majorHAnsi" w:cstheme="majorHAnsi"/>
        </w:rPr>
        <w:t xml:space="preserve">t </w:t>
      </w:r>
      <w:r w:rsidRPr="00AE1E11">
        <w:rPr>
          <w:rFonts w:asciiTheme="majorHAnsi" w:hAnsiTheme="majorHAnsi" w:cstheme="majorHAnsi"/>
        </w:rPr>
        <w:t>reported as part of OD but part of the L&amp;D intervention.</w:t>
      </w:r>
      <w:r>
        <w:rPr>
          <w:rFonts w:asciiTheme="majorHAnsi" w:hAnsiTheme="majorHAnsi" w:cstheme="majorHAnsi"/>
        </w:rPr>
        <w:t xml:space="preserve"> </w:t>
      </w:r>
    </w:p>
  </w:footnote>
  <w:footnote w:id="86">
    <w:p w14:paraId="0D478A93" w14:textId="77777777" w:rsidR="00B33BA9" w:rsidRPr="00AE1E11" w:rsidRDefault="00B33BA9" w:rsidP="008D0CAD">
      <w:pPr>
        <w:pStyle w:val="FootnoteText"/>
        <w:rPr>
          <w:rFonts w:asciiTheme="majorHAnsi" w:hAnsiTheme="majorHAnsi" w:cstheme="majorHAnsi"/>
        </w:rPr>
      </w:pPr>
      <w:r w:rsidRPr="00AE1E11">
        <w:rPr>
          <w:rStyle w:val="FootnoteReference"/>
          <w:rFonts w:asciiTheme="majorHAnsi" w:eastAsia="Arial Unicode MS" w:hAnsiTheme="majorHAnsi" w:cstheme="majorHAnsi"/>
        </w:rPr>
        <w:footnoteRef/>
      </w:r>
      <w:r w:rsidRPr="00AE1E11">
        <w:rPr>
          <w:rFonts w:asciiTheme="majorHAnsi" w:hAnsiTheme="majorHAnsi" w:cstheme="majorHAnsi"/>
        </w:rPr>
        <w:t xml:space="preserve"> Similarly, these activities were reported under L&amp;D System and PPST and not OD.</w:t>
      </w:r>
    </w:p>
  </w:footnote>
  <w:footnote w:id="87">
    <w:p w14:paraId="0C9BEEB7" w14:textId="77777777" w:rsidR="00B33BA9" w:rsidRPr="006900BD" w:rsidRDefault="00B33BA9" w:rsidP="008D0CAD">
      <w:pPr>
        <w:pStyle w:val="FootnoteText"/>
        <w:jc w:val="both"/>
        <w:rPr>
          <w:rFonts w:asciiTheme="majorHAnsi" w:hAnsiTheme="majorHAnsi" w:cstheme="majorHAnsi"/>
        </w:rPr>
      </w:pPr>
      <w:r>
        <w:rPr>
          <w:rStyle w:val="FootnoteReference"/>
          <w:rFonts w:eastAsia="Arial Unicode MS"/>
        </w:rPr>
        <w:footnoteRef/>
      </w:r>
      <w:r>
        <w:t xml:space="preserve"> </w:t>
      </w:r>
      <w:r w:rsidRPr="00EE62F8">
        <w:rPr>
          <w:rFonts w:asciiTheme="majorHAnsi" w:hAnsiTheme="majorHAnsi" w:cstheme="majorHAnsi"/>
        </w:rPr>
        <w:t>The EOPE Study could not obtain a complete list of capacity building and training programs conducted with BEST assistance</w:t>
      </w:r>
      <w:r>
        <w:rPr>
          <w:rFonts w:asciiTheme="majorHAnsi" w:hAnsiTheme="majorHAnsi" w:cstheme="majorHAnsi"/>
        </w:rPr>
        <w:t xml:space="preserve"> </w:t>
      </w:r>
      <w:r w:rsidRPr="00EE62F8">
        <w:rPr>
          <w:rFonts w:asciiTheme="majorHAnsi" w:hAnsiTheme="majorHAnsi" w:cstheme="majorHAnsi"/>
        </w:rPr>
        <w:t xml:space="preserve">for two reasons: the BEST Program relied on its counterpart operating units/personnel in </w:t>
      </w:r>
      <w:r>
        <w:rPr>
          <w:rFonts w:asciiTheme="majorHAnsi" w:hAnsiTheme="majorHAnsi" w:cstheme="majorHAnsi"/>
        </w:rPr>
        <w:t>DEPED</w:t>
      </w:r>
      <w:r w:rsidRPr="00EE62F8">
        <w:rPr>
          <w:rFonts w:asciiTheme="majorHAnsi" w:hAnsiTheme="majorHAnsi" w:cstheme="majorHAnsi"/>
        </w:rPr>
        <w:t xml:space="preserve"> to maintain a Program M&amp;E; and the BEST Program did not keep a central repository of outputs and terminal reports</w:t>
      </w:r>
      <w:r>
        <w:rPr>
          <w:rFonts w:asciiTheme="majorHAnsi" w:hAnsiTheme="majorHAnsi" w:cstheme="majorHAnsi"/>
        </w:rPr>
        <w:t xml:space="preserve"> and when the BEST Program Team was replaced wholesale, institutional memory was greatly </w:t>
      </w:r>
      <w:r w:rsidRPr="006900BD">
        <w:rPr>
          <w:rFonts w:asciiTheme="majorHAnsi" w:hAnsiTheme="majorHAnsi" w:cstheme="majorHAnsi"/>
        </w:rPr>
        <w:t>compromised.</w:t>
      </w:r>
    </w:p>
  </w:footnote>
  <w:footnote w:id="88">
    <w:p w14:paraId="552196A1" w14:textId="77777777" w:rsidR="00B33BA9" w:rsidRPr="006900BD" w:rsidRDefault="00B33BA9" w:rsidP="008D0CAD">
      <w:pPr>
        <w:pStyle w:val="FootnoteText"/>
        <w:rPr>
          <w:rFonts w:asciiTheme="majorHAnsi" w:hAnsiTheme="majorHAnsi" w:cstheme="majorHAnsi"/>
        </w:rPr>
      </w:pPr>
      <w:r w:rsidRPr="006900BD">
        <w:rPr>
          <w:rStyle w:val="FootnoteReference"/>
          <w:rFonts w:asciiTheme="majorHAnsi" w:eastAsia="Arial Unicode MS" w:hAnsiTheme="majorHAnsi" w:cstheme="majorHAnsi"/>
        </w:rPr>
        <w:footnoteRef/>
      </w:r>
      <w:r w:rsidRPr="006900BD">
        <w:rPr>
          <w:rFonts w:asciiTheme="majorHAnsi" w:hAnsiTheme="majorHAnsi" w:cstheme="majorHAnsi"/>
        </w:rPr>
        <w:t xml:space="preserve"> BEST Document on Governance and CI, not dated.</w:t>
      </w:r>
    </w:p>
  </w:footnote>
  <w:footnote w:id="89">
    <w:p w14:paraId="049C8884" w14:textId="77777777" w:rsidR="00B33BA9" w:rsidRPr="006900BD" w:rsidRDefault="00B33BA9" w:rsidP="008D0CAD">
      <w:pPr>
        <w:rPr>
          <w:rFonts w:asciiTheme="majorHAnsi" w:eastAsiaTheme="minorHAnsi" w:hAnsiTheme="majorHAnsi" w:cstheme="majorHAnsi"/>
          <w:sz w:val="20"/>
          <w:szCs w:val="20"/>
        </w:rPr>
      </w:pPr>
      <w:r w:rsidRPr="006900BD">
        <w:rPr>
          <w:rStyle w:val="FootnoteReference"/>
          <w:rFonts w:asciiTheme="majorHAnsi" w:eastAsia="Arial Unicode MS" w:hAnsiTheme="majorHAnsi" w:cstheme="majorHAnsi"/>
        </w:rPr>
        <w:footnoteRef/>
      </w:r>
      <w:r w:rsidRPr="006900BD">
        <w:rPr>
          <w:rFonts w:asciiTheme="majorHAnsi" w:hAnsiTheme="majorHAnsi" w:cstheme="majorHAnsi"/>
          <w:sz w:val="20"/>
          <w:szCs w:val="20"/>
        </w:rPr>
        <w:t xml:space="preserve"> </w:t>
      </w:r>
      <w:r w:rsidRPr="006900BD">
        <w:rPr>
          <w:rFonts w:asciiTheme="majorHAnsi" w:eastAsiaTheme="minorHAnsi" w:hAnsiTheme="majorHAnsi" w:cstheme="majorHAnsi"/>
          <w:sz w:val="20"/>
          <w:szCs w:val="20"/>
        </w:rPr>
        <w:t>Source: Survey on the BEST Program Interventions, 2019</w:t>
      </w:r>
    </w:p>
    <w:p w14:paraId="042DE442" w14:textId="77777777" w:rsidR="00B33BA9" w:rsidRPr="006900BD" w:rsidRDefault="00B33BA9" w:rsidP="008D0CAD">
      <w:pPr>
        <w:pStyle w:val="FootnoteText"/>
        <w:rPr>
          <w:lang w:val="en-US"/>
        </w:rPr>
      </w:pPr>
    </w:p>
  </w:footnote>
  <w:footnote w:id="90">
    <w:p w14:paraId="6F9A6335" w14:textId="77777777" w:rsidR="00B33BA9" w:rsidRPr="00FD64CC" w:rsidRDefault="00B33BA9" w:rsidP="008D0CAD">
      <w:pPr>
        <w:pStyle w:val="FootnoteText"/>
        <w:rPr>
          <w:rFonts w:asciiTheme="majorHAnsi" w:hAnsiTheme="majorHAnsi" w:cstheme="majorHAnsi"/>
        </w:rPr>
      </w:pPr>
      <w:r w:rsidRPr="007801D0">
        <w:rPr>
          <w:rStyle w:val="FootnoteReference"/>
          <w:rFonts w:asciiTheme="majorHAnsi" w:eastAsia="Arial Unicode MS" w:hAnsiTheme="majorHAnsi" w:cstheme="majorHAnsi"/>
        </w:rPr>
        <w:footnoteRef/>
      </w:r>
      <w:r w:rsidRPr="007801D0">
        <w:rPr>
          <w:rFonts w:asciiTheme="majorHAnsi" w:hAnsiTheme="majorHAnsi" w:cstheme="majorHAnsi"/>
        </w:rPr>
        <w:t xml:space="preserve"> </w:t>
      </w:r>
      <w:r w:rsidRPr="00FD64CC">
        <w:rPr>
          <w:rFonts w:asciiTheme="majorHAnsi" w:hAnsiTheme="majorHAnsi" w:cstheme="majorHAnsi"/>
        </w:rPr>
        <w:t>FGD with RO Respondents</w:t>
      </w:r>
    </w:p>
  </w:footnote>
  <w:footnote w:id="91">
    <w:p w14:paraId="10DCE10B" w14:textId="77777777" w:rsidR="00B33BA9" w:rsidRPr="007801D0" w:rsidRDefault="00B33BA9" w:rsidP="008D0CAD">
      <w:pPr>
        <w:pStyle w:val="FootnoteText"/>
        <w:rPr>
          <w:rFonts w:asciiTheme="majorHAnsi" w:hAnsiTheme="majorHAnsi" w:cstheme="majorHAnsi"/>
        </w:rPr>
      </w:pPr>
      <w:r w:rsidRPr="00FD64CC">
        <w:rPr>
          <w:rStyle w:val="FootnoteReference"/>
          <w:rFonts w:asciiTheme="majorHAnsi" w:eastAsia="Arial Unicode MS" w:hAnsiTheme="majorHAnsi" w:cstheme="majorHAnsi"/>
        </w:rPr>
        <w:footnoteRef/>
      </w:r>
      <w:r w:rsidRPr="00FD64CC">
        <w:rPr>
          <w:rFonts w:asciiTheme="majorHAnsi" w:hAnsiTheme="majorHAnsi" w:cstheme="majorHAnsi"/>
        </w:rPr>
        <w:t xml:space="preserve"> </w:t>
      </w:r>
      <w:r>
        <w:rPr>
          <w:rFonts w:asciiTheme="majorHAnsi" w:hAnsiTheme="majorHAnsi" w:cstheme="majorHAnsi"/>
        </w:rPr>
        <w:t>Ibid.</w:t>
      </w:r>
    </w:p>
  </w:footnote>
  <w:footnote w:id="92">
    <w:p w14:paraId="04B20EFC" w14:textId="34019102" w:rsidR="00B33BA9" w:rsidRPr="004E603D" w:rsidRDefault="00B33BA9" w:rsidP="008D0CAD">
      <w:pPr>
        <w:pStyle w:val="FootnoteText"/>
        <w:rPr>
          <w:rFonts w:asciiTheme="majorHAnsi" w:hAnsiTheme="majorHAnsi" w:cstheme="majorHAnsi"/>
        </w:rPr>
      </w:pPr>
      <w:r w:rsidRPr="004E603D">
        <w:rPr>
          <w:rStyle w:val="FootnoteReference"/>
          <w:rFonts w:asciiTheme="majorHAnsi" w:eastAsia="Arial Unicode MS" w:hAnsiTheme="majorHAnsi" w:cstheme="majorHAnsi"/>
        </w:rPr>
        <w:footnoteRef/>
      </w:r>
      <w:r>
        <w:rPr>
          <w:rFonts w:asciiTheme="majorHAnsi" w:hAnsiTheme="majorHAnsi" w:cstheme="majorHAnsi"/>
        </w:rPr>
        <w:t xml:space="preserve"> </w:t>
      </w:r>
      <w:r w:rsidRPr="004E603D">
        <w:rPr>
          <w:rFonts w:asciiTheme="majorHAnsi" w:hAnsiTheme="majorHAnsi" w:cstheme="majorHAnsi"/>
        </w:rPr>
        <w:t xml:space="preserve"> </w:t>
      </w:r>
      <w:r w:rsidRPr="00DA3502">
        <w:rPr>
          <w:rFonts w:asciiTheme="majorHAnsi" w:hAnsiTheme="majorHAnsi" w:cstheme="majorHAnsi"/>
          <w:color w:val="000000" w:themeColor="text1"/>
        </w:rPr>
        <w:t>Interview with Bro. Armin Luistro, May 2019</w:t>
      </w:r>
      <w:r w:rsidRPr="004E603D">
        <w:rPr>
          <w:rFonts w:asciiTheme="majorHAnsi" w:hAnsiTheme="majorHAnsi" w:cstheme="majorHAnsi"/>
        </w:rPr>
        <w:t>.</w:t>
      </w:r>
    </w:p>
  </w:footnote>
  <w:footnote w:id="93">
    <w:p w14:paraId="3DF57E90" w14:textId="0F9CFA5D" w:rsidR="00B33BA9" w:rsidRPr="00DA3502" w:rsidRDefault="00B33BA9" w:rsidP="008D0CAD">
      <w:pPr>
        <w:pStyle w:val="FootnoteText"/>
        <w:rPr>
          <w:rFonts w:asciiTheme="majorHAnsi" w:hAnsiTheme="majorHAnsi" w:cstheme="majorHAnsi"/>
          <w:color w:val="000000" w:themeColor="text1"/>
        </w:rPr>
      </w:pPr>
      <w:r w:rsidRPr="00DA3502">
        <w:rPr>
          <w:rStyle w:val="FootnoteReference"/>
          <w:rFonts w:asciiTheme="majorHAnsi" w:eastAsia="Arial Unicode MS" w:hAnsiTheme="majorHAnsi" w:cstheme="majorHAnsi"/>
          <w:color w:val="000000" w:themeColor="text1"/>
        </w:rPr>
        <w:footnoteRef/>
      </w:r>
      <w:r>
        <w:rPr>
          <w:rFonts w:asciiTheme="majorHAnsi" w:hAnsiTheme="majorHAnsi" w:cstheme="majorHAnsi"/>
          <w:color w:val="000000" w:themeColor="text1"/>
        </w:rPr>
        <w:t xml:space="preserve"> </w:t>
      </w:r>
      <w:r w:rsidRPr="00DA3502">
        <w:rPr>
          <w:rFonts w:asciiTheme="majorHAnsi" w:hAnsiTheme="majorHAnsi" w:cstheme="majorHAnsi"/>
          <w:color w:val="000000" w:themeColor="text1"/>
        </w:rPr>
        <w:t xml:space="preserve"> Interview with Regional Director Diosdado San Antonio, Region IV-A, June 2017.</w:t>
      </w:r>
      <w:r>
        <w:rPr>
          <w:rFonts w:asciiTheme="majorHAnsi" w:hAnsiTheme="majorHAnsi" w:cstheme="majorHAnsi"/>
          <w:color w:val="000000" w:themeColor="text1"/>
        </w:rPr>
        <w:t xml:space="preserve"> </w:t>
      </w:r>
    </w:p>
  </w:footnote>
  <w:footnote w:id="94">
    <w:p w14:paraId="0E0529D1" w14:textId="14E7FB98" w:rsidR="00B33BA9" w:rsidRPr="00DA3502" w:rsidRDefault="00B33BA9" w:rsidP="008D0CAD">
      <w:pPr>
        <w:pStyle w:val="FootnoteText"/>
        <w:rPr>
          <w:rFonts w:asciiTheme="majorHAnsi" w:hAnsiTheme="majorHAnsi" w:cstheme="majorHAnsi"/>
          <w:color w:val="000000" w:themeColor="text1"/>
        </w:rPr>
      </w:pPr>
      <w:r w:rsidRPr="00DA3502">
        <w:rPr>
          <w:rStyle w:val="FootnoteReference"/>
          <w:rFonts w:asciiTheme="majorHAnsi" w:eastAsia="Arial Unicode MS" w:hAnsiTheme="majorHAnsi" w:cstheme="majorHAnsi"/>
          <w:color w:val="000000" w:themeColor="text1"/>
        </w:rPr>
        <w:footnoteRef/>
      </w:r>
      <w:r>
        <w:rPr>
          <w:rFonts w:asciiTheme="majorHAnsi" w:hAnsiTheme="majorHAnsi" w:cstheme="majorHAnsi"/>
          <w:color w:val="000000" w:themeColor="text1"/>
        </w:rPr>
        <w:t xml:space="preserve"> </w:t>
      </w:r>
      <w:r w:rsidRPr="00DA3502">
        <w:rPr>
          <w:rFonts w:asciiTheme="majorHAnsi" w:hAnsiTheme="majorHAnsi" w:cstheme="majorHAnsi"/>
          <w:color w:val="000000" w:themeColor="text1"/>
        </w:rPr>
        <w:t xml:space="preserve"> Various interviews, May-June 2017.</w:t>
      </w:r>
      <w:r>
        <w:rPr>
          <w:rFonts w:asciiTheme="majorHAnsi" w:hAnsiTheme="majorHAnsi" w:cstheme="majorHAnsi"/>
          <w:color w:val="000000" w:themeColor="text1"/>
        </w:rPr>
        <w:t xml:space="preserve"> </w:t>
      </w:r>
    </w:p>
  </w:footnote>
  <w:footnote w:id="95">
    <w:p w14:paraId="7721DFAF" w14:textId="77777777" w:rsidR="00B33BA9" w:rsidRPr="00B17BCB" w:rsidRDefault="00B33BA9" w:rsidP="008D0CAD">
      <w:pPr>
        <w:pStyle w:val="FootnoteText"/>
        <w:rPr>
          <w:rFonts w:asciiTheme="majorHAnsi" w:hAnsiTheme="majorHAnsi" w:cstheme="majorHAnsi"/>
        </w:rPr>
      </w:pPr>
      <w:r w:rsidRPr="00B17BCB">
        <w:rPr>
          <w:rStyle w:val="FootnoteReference"/>
          <w:rFonts w:asciiTheme="majorHAnsi" w:eastAsia="Arial Unicode MS" w:hAnsiTheme="majorHAnsi" w:cstheme="majorHAnsi"/>
        </w:rPr>
        <w:footnoteRef/>
      </w:r>
      <w:r w:rsidRPr="00B17BCB">
        <w:rPr>
          <w:rFonts w:asciiTheme="majorHAnsi" w:hAnsiTheme="majorHAnsi" w:cstheme="majorHAnsi"/>
        </w:rPr>
        <w:t xml:space="preserve"> In addition, some activities indicated number of batches while others indicated number of participants</w:t>
      </w:r>
    </w:p>
  </w:footnote>
  <w:footnote w:id="96">
    <w:p w14:paraId="698F3595" w14:textId="77777777" w:rsidR="00B33BA9" w:rsidRPr="00E02D76" w:rsidRDefault="00B33BA9" w:rsidP="008D0CAD">
      <w:pPr>
        <w:pStyle w:val="FootnoteText"/>
        <w:jc w:val="both"/>
        <w:rPr>
          <w:rFonts w:asciiTheme="majorHAnsi" w:hAnsiTheme="majorHAnsi" w:cstheme="majorHAnsi"/>
        </w:rPr>
      </w:pPr>
      <w:r w:rsidRPr="00E02D76">
        <w:rPr>
          <w:rStyle w:val="FootnoteReference"/>
          <w:rFonts w:asciiTheme="majorHAnsi" w:eastAsia="Arial Unicode MS" w:hAnsiTheme="majorHAnsi" w:cstheme="majorHAnsi"/>
        </w:rPr>
        <w:footnoteRef/>
      </w:r>
      <w:r w:rsidRPr="00E02D76">
        <w:rPr>
          <w:rFonts w:asciiTheme="majorHAnsi" w:hAnsiTheme="majorHAnsi" w:cstheme="majorHAnsi"/>
        </w:rPr>
        <w:t xml:space="preserve"> It was noted that “</w:t>
      </w:r>
      <w:r w:rsidRPr="00363522">
        <w:rPr>
          <w:rFonts w:asciiTheme="majorHAnsi" w:hAnsiTheme="majorHAnsi" w:cstheme="majorHAnsi"/>
          <w:i/>
          <w:iCs/>
        </w:rPr>
        <w:t>Australian elections in 2013 led to a year-long mobilisation delay eventually commencing officially in August 2014, followed by a significant reprioritisation of the aid budget in 2014/2015 with a reduction in funding</w:t>
      </w:r>
      <w:r w:rsidRPr="00E02D76">
        <w:rPr>
          <w:rFonts w:asciiTheme="majorHAnsi" w:hAnsiTheme="majorHAnsi" w:cstheme="majorHAnsi"/>
        </w:rPr>
        <w:t>” (IPR, p.1).</w:t>
      </w:r>
    </w:p>
  </w:footnote>
  <w:footnote w:id="97">
    <w:p w14:paraId="36077C75" w14:textId="77777777" w:rsidR="00B33BA9" w:rsidRPr="00E02D76" w:rsidRDefault="00B33BA9" w:rsidP="008D0CAD">
      <w:pPr>
        <w:pStyle w:val="FootnoteText"/>
        <w:jc w:val="both"/>
        <w:rPr>
          <w:rFonts w:asciiTheme="majorHAnsi" w:hAnsiTheme="majorHAnsi" w:cstheme="majorHAnsi"/>
        </w:rPr>
      </w:pPr>
      <w:r w:rsidRPr="00E02D76">
        <w:rPr>
          <w:rStyle w:val="FootnoteReference"/>
          <w:rFonts w:asciiTheme="majorHAnsi" w:eastAsia="Arial Unicode MS" w:hAnsiTheme="majorHAnsi" w:cstheme="majorHAnsi"/>
        </w:rPr>
        <w:footnoteRef/>
      </w:r>
      <w:r w:rsidRPr="00E02D76">
        <w:rPr>
          <w:rFonts w:asciiTheme="majorHAnsi" w:hAnsiTheme="majorHAnsi" w:cstheme="majorHAnsi"/>
        </w:rPr>
        <w:t xml:space="preserve"> The first Six-Monthly Progress Report (SMPR) covered the implementation period from July 1 to December 31, 2014.</w:t>
      </w:r>
    </w:p>
  </w:footnote>
  <w:footnote w:id="98">
    <w:p w14:paraId="583E5A7C" w14:textId="77777777" w:rsidR="00B33BA9" w:rsidRPr="00E02D76" w:rsidRDefault="00B33BA9" w:rsidP="008D0CAD">
      <w:pPr>
        <w:pStyle w:val="FootnoteText"/>
        <w:jc w:val="both"/>
        <w:rPr>
          <w:rFonts w:asciiTheme="majorHAnsi" w:hAnsiTheme="majorHAnsi" w:cstheme="majorHAnsi"/>
        </w:rPr>
      </w:pPr>
      <w:r w:rsidRPr="00E02D76">
        <w:rPr>
          <w:rStyle w:val="FootnoteReference"/>
          <w:rFonts w:asciiTheme="majorHAnsi" w:eastAsia="Arial Unicode MS" w:hAnsiTheme="majorHAnsi" w:cstheme="majorHAnsi"/>
        </w:rPr>
        <w:footnoteRef/>
      </w:r>
      <w:r w:rsidRPr="00E02D76">
        <w:rPr>
          <w:rFonts w:asciiTheme="majorHAnsi" w:hAnsiTheme="majorHAnsi" w:cstheme="majorHAnsi"/>
        </w:rPr>
        <w:t xml:space="preserve"> An SMPR was the program milestone prepared by the Facilitating Contractor (FC). Other implementing partners (ACTRC, RCTQ, PBED and PBSP) contributed to it. It provided both quantitative and qualitative information on accomplishments and covered both progress and results monitoring and evaluation (M&amp;E).</w:t>
      </w:r>
    </w:p>
  </w:footnote>
  <w:footnote w:id="99">
    <w:p w14:paraId="6B2239E9" w14:textId="77777777" w:rsidR="00B33BA9" w:rsidRPr="00E02D76" w:rsidRDefault="00B33BA9" w:rsidP="008D0CAD">
      <w:pPr>
        <w:pStyle w:val="FootnoteText"/>
        <w:rPr>
          <w:rFonts w:asciiTheme="majorHAnsi" w:hAnsiTheme="majorHAnsi" w:cstheme="majorHAnsi"/>
        </w:rPr>
      </w:pPr>
      <w:r w:rsidRPr="00E02D76">
        <w:rPr>
          <w:rStyle w:val="FootnoteReference"/>
          <w:rFonts w:asciiTheme="majorHAnsi" w:eastAsia="Arial Unicode MS" w:hAnsiTheme="majorHAnsi" w:cstheme="majorHAnsi"/>
        </w:rPr>
        <w:footnoteRef/>
      </w:r>
      <w:r w:rsidRPr="00E02D76">
        <w:rPr>
          <w:rFonts w:asciiTheme="majorHAnsi" w:hAnsiTheme="majorHAnsi" w:cstheme="majorHAnsi"/>
        </w:rPr>
        <w:t xml:space="preserve"> Six Technical Working Groups were organized for Curriculum and Assessment, Teacher Development, Learning Resources, Organisational Development, Leadership and Management, Policy, Planning and M&amp;E, and UIS). The TWGs were supposed to propose activities for the formulation of the Annual Plans were developed.</w:t>
      </w:r>
    </w:p>
  </w:footnote>
  <w:footnote w:id="100">
    <w:p w14:paraId="1B148AF2" w14:textId="77777777" w:rsidR="00B33BA9" w:rsidRPr="00E02D76" w:rsidRDefault="00B33BA9" w:rsidP="008D0CAD">
      <w:pPr>
        <w:pStyle w:val="FootnoteText"/>
        <w:rPr>
          <w:rFonts w:asciiTheme="majorHAnsi" w:hAnsiTheme="majorHAnsi" w:cstheme="majorHAnsi"/>
        </w:rPr>
      </w:pPr>
      <w:r w:rsidRPr="00E02D76">
        <w:rPr>
          <w:rStyle w:val="FootnoteReference"/>
          <w:rFonts w:asciiTheme="majorHAnsi" w:eastAsia="Arial Unicode MS" w:hAnsiTheme="majorHAnsi" w:cstheme="majorHAnsi"/>
        </w:rPr>
        <w:footnoteRef/>
      </w:r>
      <w:r w:rsidRPr="00E02D76">
        <w:rPr>
          <w:rFonts w:asciiTheme="majorHAnsi" w:hAnsiTheme="majorHAnsi" w:cstheme="majorHAnsi"/>
        </w:rPr>
        <w:t xml:space="preserve"> The critical respondents from the Central Office were the current Undersecretary and BEST Executive Sponsor and the respondents from the Program Management Service.</w:t>
      </w:r>
    </w:p>
  </w:footnote>
  <w:footnote w:id="101">
    <w:p w14:paraId="7E231D95" w14:textId="1A59EDD4" w:rsidR="00B33BA9" w:rsidRPr="001B1AFA" w:rsidRDefault="00B33BA9" w:rsidP="008D0CAD">
      <w:pPr>
        <w:pStyle w:val="FootnoteText"/>
        <w:rPr>
          <w:lang w:val="en-US"/>
        </w:rPr>
      </w:pPr>
      <w:r>
        <w:rPr>
          <w:rStyle w:val="FootnoteReference"/>
          <w:rFonts w:eastAsia="Arial Unicode MS"/>
        </w:rPr>
        <w:footnoteRef/>
      </w:r>
      <w:r>
        <w:t xml:space="preserve"> </w:t>
      </w:r>
      <w:r w:rsidRPr="006B16D8">
        <w:rPr>
          <w:rFonts w:asciiTheme="majorHAnsi" w:hAnsiTheme="majorHAnsi" w:cstheme="majorHAnsi"/>
          <w:color w:val="000000" w:themeColor="text1"/>
          <w:sz w:val="22"/>
          <w:szCs w:val="22"/>
        </w:rPr>
        <w:t xml:space="preserve">As of </w:t>
      </w:r>
      <w:r>
        <w:rPr>
          <w:rFonts w:asciiTheme="majorHAnsi" w:hAnsiTheme="majorHAnsi" w:cstheme="majorHAnsi"/>
          <w:color w:val="000000" w:themeColor="text1"/>
          <w:sz w:val="22"/>
          <w:szCs w:val="22"/>
        </w:rPr>
        <w:t xml:space="preserve">December </w:t>
      </w:r>
      <w:r w:rsidRPr="006B16D8">
        <w:rPr>
          <w:rFonts w:asciiTheme="majorHAnsi" w:hAnsiTheme="majorHAnsi" w:cstheme="majorHAnsi"/>
          <w:color w:val="000000" w:themeColor="text1"/>
          <w:sz w:val="22"/>
          <w:szCs w:val="22"/>
        </w:rPr>
        <w:t>2020, the new agenda of DepEd includes the BESA (Basic Education Sector Assessment) and the drafting of a new BESP (Basic Education Sec</w:t>
      </w:r>
      <w:r>
        <w:rPr>
          <w:rFonts w:asciiTheme="majorHAnsi" w:hAnsiTheme="majorHAnsi" w:cstheme="majorHAnsi"/>
          <w:color w:val="000000" w:themeColor="text1"/>
          <w:sz w:val="22"/>
          <w:szCs w:val="22"/>
        </w:rPr>
        <w:t>t</w:t>
      </w:r>
      <w:r w:rsidRPr="006B16D8">
        <w:rPr>
          <w:rFonts w:asciiTheme="majorHAnsi" w:hAnsiTheme="majorHAnsi" w:cstheme="majorHAnsi"/>
          <w:color w:val="000000" w:themeColor="text1"/>
          <w:sz w:val="22"/>
          <w:szCs w:val="22"/>
        </w:rPr>
        <w:t>or Plan) includes a continued refinement of the Department’s M&amp;E systems.</w:t>
      </w:r>
    </w:p>
  </w:footnote>
  <w:footnote w:id="102">
    <w:p w14:paraId="2432DBC2" w14:textId="77777777" w:rsidR="00B33BA9" w:rsidRPr="00597C9B" w:rsidRDefault="00B33BA9" w:rsidP="008D0CAD">
      <w:pPr>
        <w:pStyle w:val="FootnoteText"/>
        <w:rPr>
          <w:rFonts w:asciiTheme="majorHAnsi" w:hAnsiTheme="majorHAnsi" w:cstheme="majorHAnsi"/>
        </w:rPr>
      </w:pPr>
      <w:r w:rsidRPr="00597C9B">
        <w:rPr>
          <w:rStyle w:val="FootnoteReference"/>
          <w:rFonts w:asciiTheme="majorHAnsi" w:eastAsia="Arial Unicode MS" w:hAnsiTheme="majorHAnsi" w:cstheme="majorHAnsi"/>
        </w:rPr>
        <w:footnoteRef/>
      </w:r>
      <w:r w:rsidRPr="00597C9B">
        <w:rPr>
          <w:rFonts w:asciiTheme="majorHAnsi" w:hAnsiTheme="majorHAnsi" w:cstheme="majorHAnsi"/>
        </w:rPr>
        <w:t xml:space="preserve"> At least three respondents from the Operating Units in the Central Office gave this observation.</w:t>
      </w:r>
    </w:p>
  </w:footnote>
  <w:footnote w:id="103">
    <w:p w14:paraId="4E257A6A" w14:textId="77777777" w:rsidR="00B33BA9" w:rsidRPr="00D22CA1" w:rsidRDefault="00B33BA9" w:rsidP="008D0CAD">
      <w:pPr>
        <w:pStyle w:val="FootnoteText"/>
        <w:rPr>
          <w:rFonts w:asciiTheme="majorHAnsi" w:hAnsiTheme="majorHAnsi" w:cstheme="majorHAnsi"/>
        </w:rPr>
      </w:pPr>
      <w:r w:rsidRPr="00D22CA1">
        <w:rPr>
          <w:rStyle w:val="FootnoteReference"/>
          <w:rFonts w:asciiTheme="majorHAnsi" w:eastAsia="Arial Unicode MS" w:hAnsiTheme="majorHAnsi" w:cstheme="majorHAnsi"/>
        </w:rPr>
        <w:footnoteRef/>
      </w:r>
      <w:r w:rsidRPr="00D22CA1">
        <w:rPr>
          <w:rFonts w:asciiTheme="majorHAnsi" w:hAnsiTheme="majorHAnsi" w:cstheme="majorHAnsi"/>
        </w:rPr>
        <w:t xml:space="preserve"> Refer to SMPR 1</w:t>
      </w:r>
    </w:p>
  </w:footnote>
  <w:footnote w:id="104">
    <w:p w14:paraId="0ED625A7" w14:textId="77777777" w:rsidR="00B33BA9" w:rsidRPr="0065657F" w:rsidRDefault="00B33BA9" w:rsidP="008D0CAD">
      <w:pPr>
        <w:pStyle w:val="FootnoteText"/>
        <w:rPr>
          <w:rFonts w:asciiTheme="majorHAnsi" w:hAnsiTheme="majorHAnsi" w:cstheme="majorHAnsi"/>
        </w:rPr>
      </w:pPr>
      <w:r w:rsidRPr="0065657F">
        <w:rPr>
          <w:rStyle w:val="FootnoteReference"/>
          <w:rFonts w:asciiTheme="majorHAnsi" w:eastAsia="Arial Unicode MS" w:hAnsiTheme="majorHAnsi" w:cstheme="majorHAnsi"/>
        </w:rPr>
        <w:footnoteRef/>
      </w:r>
      <w:r w:rsidRPr="0065657F">
        <w:rPr>
          <w:rFonts w:asciiTheme="majorHAnsi" w:hAnsiTheme="majorHAnsi" w:cstheme="majorHAnsi"/>
        </w:rPr>
        <w:t xml:space="preserve"> From the Key Informant Interviews with the four BEST Implementing Partners</w:t>
      </w:r>
    </w:p>
  </w:footnote>
  <w:footnote w:id="105">
    <w:p w14:paraId="486F35C9" w14:textId="77777777" w:rsidR="00B33BA9" w:rsidRPr="0065657F" w:rsidRDefault="00B33BA9" w:rsidP="008D0CAD">
      <w:pPr>
        <w:pStyle w:val="FootnoteText"/>
        <w:rPr>
          <w:rFonts w:asciiTheme="majorHAnsi" w:hAnsiTheme="majorHAnsi" w:cstheme="majorHAnsi"/>
        </w:rPr>
      </w:pPr>
      <w:r w:rsidRPr="0065657F">
        <w:rPr>
          <w:rStyle w:val="FootnoteReference"/>
          <w:rFonts w:asciiTheme="majorHAnsi" w:eastAsia="Arial Unicode MS" w:hAnsiTheme="majorHAnsi" w:cstheme="majorHAnsi"/>
        </w:rPr>
        <w:footnoteRef/>
      </w:r>
      <w:r w:rsidRPr="0065657F">
        <w:rPr>
          <w:rFonts w:asciiTheme="majorHAnsi" w:hAnsiTheme="majorHAnsi" w:cstheme="majorHAnsi"/>
        </w:rPr>
        <w:t xml:space="preserve"> These respondents included one RD, one RO personnel and two CO Chiefs</w:t>
      </w:r>
    </w:p>
  </w:footnote>
  <w:footnote w:id="106">
    <w:p w14:paraId="6D6F29BF" w14:textId="77777777" w:rsidR="00B33BA9" w:rsidRPr="0065657F" w:rsidRDefault="00B33BA9" w:rsidP="008D0CAD">
      <w:pPr>
        <w:pStyle w:val="FootnoteText"/>
        <w:rPr>
          <w:rFonts w:asciiTheme="majorHAnsi" w:hAnsiTheme="majorHAnsi" w:cstheme="majorHAnsi"/>
        </w:rPr>
      </w:pPr>
      <w:r w:rsidRPr="0065657F">
        <w:rPr>
          <w:rStyle w:val="FootnoteReference"/>
          <w:rFonts w:asciiTheme="majorHAnsi" w:eastAsia="Arial Unicode MS" w:hAnsiTheme="majorHAnsi" w:cstheme="majorHAnsi"/>
        </w:rPr>
        <w:footnoteRef/>
      </w:r>
      <w:r w:rsidRPr="0065657F">
        <w:rPr>
          <w:rFonts w:asciiTheme="majorHAnsi" w:hAnsiTheme="majorHAnsi" w:cstheme="majorHAnsi"/>
        </w:rPr>
        <w:t xml:space="preserve"> Approximately from February 2015 to June 2016, change in administration</w:t>
      </w:r>
    </w:p>
  </w:footnote>
  <w:footnote w:id="107">
    <w:p w14:paraId="5CA17A66" w14:textId="77777777" w:rsidR="00B33BA9" w:rsidRPr="006309DE" w:rsidRDefault="00B33BA9" w:rsidP="008D0CAD">
      <w:pPr>
        <w:pStyle w:val="FootnoteText"/>
        <w:rPr>
          <w:rFonts w:asciiTheme="majorHAnsi" w:hAnsiTheme="majorHAnsi" w:cstheme="majorHAnsi"/>
        </w:rPr>
      </w:pPr>
      <w:r w:rsidRPr="006309DE">
        <w:rPr>
          <w:rStyle w:val="FootnoteReference"/>
          <w:rFonts w:asciiTheme="majorHAnsi" w:eastAsia="Arial Unicode MS" w:hAnsiTheme="majorHAnsi" w:cstheme="majorHAnsi"/>
        </w:rPr>
        <w:footnoteRef/>
      </w:r>
      <w:r w:rsidRPr="006309DE">
        <w:rPr>
          <w:rFonts w:asciiTheme="majorHAnsi" w:hAnsiTheme="majorHAnsi" w:cstheme="majorHAnsi"/>
        </w:rPr>
        <w:t xml:space="preserve"> Interview with CO respondents particularly from three Operating Units.</w:t>
      </w:r>
    </w:p>
  </w:footnote>
  <w:footnote w:id="108">
    <w:p w14:paraId="39E17831" w14:textId="77777777" w:rsidR="00B33BA9" w:rsidRPr="00A407F6" w:rsidRDefault="00B33BA9" w:rsidP="008D0CAD">
      <w:pPr>
        <w:pStyle w:val="FootnoteText"/>
        <w:rPr>
          <w:rFonts w:asciiTheme="majorHAnsi" w:hAnsiTheme="majorHAnsi" w:cstheme="majorHAnsi"/>
        </w:rPr>
      </w:pPr>
      <w:r w:rsidRPr="00A407F6">
        <w:rPr>
          <w:rStyle w:val="FootnoteReference"/>
          <w:rFonts w:asciiTheme="majorHAnsi" w:eastAsia="Arial Unicode MS" w:hAnsiTheme="majorHAnsi" w:cstheme="majorHAnsi"/>
        </w:rPr>
        <w:footnoteRef/>
      </w:r>
      <w:r w:rsidRPr="00A407F6">
        <w:rPr>
          <w:rFonts w:asciiTheme="majorHAnsi" w:hAnsiTheme="majorHAnsi" w:cstheme="majorHAnsi"/>
        </w:rPr>
        <w:t xml:space="preserve"> Interview with one Central Office OU Chief</w:t>
      </w:r>
    </w:p>
  </w:footnote>
  <w:footnote w:id="109">
    <w:p w14:paraId="19CCC12D" w14:textId="77777777" w:rsidR="00B33BA9" w:rsidRPr="004D374E" w:rsidRDefault="00B33BA9" w:rsidP="008D0CAD">
      <w:pPr>
        <w:rPr>
          <w:rFonts w:asciiTheme="majorHAnsi" w:hAnsiTheme="majorHAnsi" w:cstheme="majorHAnsi"/>
          <w:sz w:val="20"/>
          <w:szCs w:val="20"/>
        </w:rPr>
      </w:pPr>
      <w:r>
        <w:rPr>
          <w:rStyle w:val="FootnoteReference"/>
          <w:rFonts w:eastAsia="Arial Unicode MS"/>
        </w:rPr>
        <w:footnoteRef/>
      </w:r>
      <w:r>
        <w:t xml:space="preserve"> </w:t>
      </w:r>
      <w:r w:rsidRPr="00B67A40">
        <w:rPr>
          <w:rFonts w:asciiTheme="majorHAnsi" w:hAnsiTheme="majorHAnsi" w:cstheme="majorHAnsi"/>
          <w:sz w:val="20"/>
          <w:szCs w:val="20"/>
        </w:rPr>
        <w:t>The Rationalization Plan referred to the implementation of Executive Order No. 366, s. 2004</w:t>
      </w:r>
      <w:r w:rsidRPr="001050F7">
        <w:rPr>
          <w:rFonts w:asciiTheme="majorHAnsi" w:hAnsiTheme="majorHAnsi" w:cstheme="majorHAnsi"/>
          <w:sz w:val="20"/>
          <w:szCs w:val="20"/>
        </w:rPr>
        <w:t xml:space="preserve"> “Directing A Strategic Review Of The Operations And Organizations Of The Executive Branch And Providing Options And Incentives For Government Employees Who May Be Affected By The Rationalization Of The Functions And Agencies Of The Executive Branch</w:t>
      </w:r>
      <w:r w:rsidRPr="004D374E">
        <w:rPr>
          <w:rFonts w:asciiTheme="majorHAnsi" w:hAnsiTheme="majorHAnsi" w:cstheme="majorHAnsi"/>
          <w:sz w:val="20"/>
          <w:szCs w:val="20"/>
        </w:rPr>
        <w:t>”</w:t>
      </w:r>
    </w:p>
  </w:footnote>
  <w:footnote w:id="110">
    <w:p w14:paraId="5F1B98DD" w14:textId="77777777" w:rsidR="00B33BA9" w:rsidRPr="0063153D" w:rsidRDefault="00B33BA9" w:rsidP="008D0CAD">
      <w:pPr>
        <w:pStyle w:val="FootnoteText"/>
        <w:rPr>
          <w:rFonts w:asciiTheme="majorHAnsi" w:hAnsiTheme="majorHAnsi" w:cstheme="majorHAnsi"/>
        </w:rPr>
      </w:pPr>
      <w:r w:rsidRPr="0063153D">
        <w:rPr>
          <w:rStyle w:val="FootnoteReference"/>
          <w:rFonts w:asciiTheme="majorHAnsi" w:eastAsia="Arial Unicode MS" w:hAnsiTheme="majorHAnsi" w:cstheme="majorHAnsi"/>
        </w:rPr>
        <w:footnoteRef/>
      </w:r>
      <w:r w:rsidRPr="0063153D">
        <w:rPr>
          <w:rFonts w:asciiTheme="majorHAnsi" w:hAnsiTheme="majorHAnsi" w:cstheme="majorHAnsi"/>
        </w:rPr>
        <w:t xml:space="preserve"> Based on interviews with CO respondents</w:t>
      </w:r>
    </w:p>
  </w:footnote>
  <w:footnote w:id="111">
    <w:p w14:paraId="40C434FF" w14:textId="77777777" w:rsidR="00B33BA9" w:rsidRPr="0065657F" w:rsidRDefault="00B33BA9" w:rsidP="008D0CAD">
      <w:pPr>
        <w:pStyle w:val="FootnoteText"/>
        <w:rPr>
          <w:rFonts w:asciiTheme="majorHAnsi" w:hAnsiTheme="majorHAnsi" w:cstheme="majorHAnsi"/>
        </w:rPr>
      </w:pPr>
      <w:r w:rsidRPr="0065657F">
        <w:rPr>
          <w:rStyle w:val="FootnoteReference"/>
          <w:rFonts w:asciiTheme="majorHAnsi" w:eastAsia="Arial Unicode MS" w:hAnsiTheme="majorHAnsi" w:cstheme="majorHAnsi"/>
        </w:rPr>
        <w:footnoteRef/>
      </w:r>
      <w:r w:rsidRPr="0065657F">
        <w:rPr>
          <w:rFonts w:asciiTheme="majorHAnsi" w:hAnsiTheme="majorHAnsi" w:cstheme="majorHAnsi"/>
        </w:rPr>
        <w:t xml:space="preserve"> </w:t>
      </w:r>
      <w:r>
        <w:rPr>
          <w:rFonts w:asciiTheme="majorHAnsi" w:hAnsiTheme="majorHAnsi" w:cstheme="majorHAnsi"/>
        </w:rPr>
        <w:t>Two r</w:t>
      </w:r>
      <w:r w:rsidRPr="0065657F">
        <w:rPr>
          <w:rFonts w:asciiTheme="majorHAnsi" w:hAnsiTheme="majorHAnsi" w:cstheme="majorHAnsi"/>
        </w:rPr>
        <w:t>espondent</w:t>
      </w:r>
      <w:r>
        <w:rPr>
          <w:rFonts w:asciiTheme="majorHAnsi" w:hAnsiTheme="majorHAnsi" w:cstheme="majorHAnsi"/>
        </w:rPr>
        <w:t>s</w:t>
      </w:r>
      <w:r w:rsidRPr="0065657F">
        <w:rPr>
          <w:rFonts w:asciiTheme="majorHAnsi" w:hAnsiTheme="majorHAnsi" w:cstheme="majorHAnsi"/>
        </w:rPr>
        <w:t xml:space="preserve"> from </w:t>
      </w:r>
      <w:r>
        <w:rPr>
          <w:rFonts w:asciiTheme="majorHAnsi" w:hAnsiTheme="majorHAnsi" w:cstheme="majorHAnsi"/>
        </w:rPr>
        <w:t>one</w:t>
      </w:r>
      <w:r w:rsidRPr="0065657F">
        <w:rPr>
          <w:rFonts w:asciiTheme="majorHAnsi" w:hAnsiTheme="majorHAnsi" w:cstheme="majorHAnsi"/>
        </w:rPr>
        <w:t xml:space="preserve"> different OU</w:t>
      </w:r>
    </w:p>
  </w:footnote>
  <w:footnote w:id="112">
    <w:p w14:paraId="4231E4E4" w14:textId="77777777" w:rsidR="00B33BA9" w:rsidRPr="00A407F6" w:rsidRDefault="00B33BA9" w:rsidP="008D0CAD">
      <w:pPr>
        <w:pStyle w:val="FootnoteText"/>
        <w:rPr>
          <w:rFonts w:asciiTheme="majorHAnsi" w:hAnsiTheme="majorHAnsi" w:cstheme="majorHAnsi"/>
        </w:rPr>
      </w:pPr>
      <w:r w:rsidRPr="00A407F6">
        <w:rPr>
          <w:rStyle w:val="FootnoteReference"/>
          <w:rFonts w:asciiTheme="majorHAnsi" w:eastAsia="Arial Unicode MS" w:hAnsiTheme="majorHAnsi" w:cstheme="majorHAnsi"/>
        </w:rPr>
        <w:footnoteRef/>
      </w:r>
      <w:r w:rsidRPr="00A407F6">
        <w:rPr>
          <w:rFonts w:asciiTheme="majorHAnsi" w:hAnsiTheme="majorHAnsi" w:cstheme="majorHAnsi"/>
        </w:rPr>
        <w:t xml:space="preserve"> </w:t>
      </w:r>
      <w:r>
        <w:rPr>
          <w:rFonts w:asciiTheme="majorHAnsi" w:hAnsiTheme="majorHAnsi" w:cstheme="majorHAnsi"/>
        </w:rPr>
        <w:t>Taken</w:t>
      </w:r>
      <w:r w:rsidRPr="00A407F6">
        <w:rPr>
          <w:rFonts w:asciiTheme="majorHAnsi" w:hAnsiTheme="majorHAnsi" w:cstheme="majorHAnsi"/>
        </w:rPr>
        <w:t xml:space="preserve"> from SMPR 2</w:t>
      </w:r>
    </w:p>
  </w:footnote>
  <w:footnote w:id="113">
    <w:p w14:paraId="0F26D8E5" w14:textId="77777777" w:rsidR="00B33BA9" w:rsidRPr="00A407F6" w:rsidRDefault="00B33BA9" w:rsidP="008D0CAD">
      <w:pPr>
        <w:pStyle w:val="FootnoteText"/>
        <w:rPr>
          <w:rFonts w:asciiTheme="majorHAnsi" w:hAnsiTheme="majorHAnsi" w:cstheme="majorHAnsi"/>
        </w:rPr>
      </w:pPr>
      <w:r w:rsidRPr="00A407F6">
        <w:rPr>
          <w:rStyle w:val="FootnoteReference"/>
          <w:rFonts w:asciiTheme="majorHAnsi" w:eastAsia="Arial Unicode MS" w:hAnsiTheme="majorHAnsi" w:cstheme="majorHAnsi"/>
        </w:rPr>
        <w:footnoteRef/>
      </w:r>
      <w:r w:rsidRPr="00A407F6">
        <w:rPr>
          <w:rFonts w:asciiTheme="majorHAnsi" w:hAnsiTheme="majorHAnsi" w:cstheme="majorHAnsi"/>
        </w:rPr>
        <w:t xml:space="preserve"> Both </w:t>
      </w:r>
      <w:r>
        <w:rPr>
          <w:rFonts w:asciiTheme="majorHAnsi" w:hAnsiTheme="majorHAnsi" w:cstheme="majorHAnsi"/>
        </w:rPr>
        <w:t>taken</w:t>
      </w:r>
      <w:r w:rsidRPr="00A407F6">
        <w:rPr>
          <w:rFonts w:asciiTheme="majorHAnsi" w:hAnsiTheme="majorHAnsi" w:cstheme="majorHAnsi"/>
        </w:rPr>
        <w:t xml:space="preserve"> from SMPR 3</w:t>
      </w:r>
    </w:p>
  </w:footnote>
  <w:footnote w:id="114">
    <w:p w14:paraId="605B8967" w14:textId="77777777" w:rsidR="00B33BA9" w:rsidRPr="0063153D" w:rsidRDefault="00B33BA9" w:rsidP="008D0CAD">
      <w:pPr>
        <w:pStyle w:val="FootnoteText"/>
        <w:rPr>
          <w:rFonts w:asciiTheme="majorHAnsi" w:hAnsiTheme="majorHAnsi" w:cstheme="majorHAnsi"/>
        </w:rPr>
      </w:pPr>
      <w:r w:rsidRPr="0063153D">
        <w:rPr>
          <w:rStyle w:val="FootnoteReference"/>
          <w:rFonts w:asciiTheme="majorHAnsi" w:eastAsia="Arial Unicode MS" w:hAnsiTheme="majorHAnsi" w:cstheme="majorHAnsi"/>
        </w:rPr>
        <w:footnoteRef/>
      </w:r>
      <w:r w:rsidRPr="0063153D">
        <w:rPr>
          <w:rFonts w:asciiTheme="majorHAnsi" w:hAnsiTheme="majorHAnsi" w:cstheme="majorHAnsi"/>
        </w:rPr>
        <w:t xml:space="preserve"> Approximately from July 2016 when leadership in </w:t>
      </w:r>
      <w:r>
        <w:rPr>
          <w:rFonts w:asciiTheme="majorHAnsi" w:hAnsiTheme="majorHAnsi" w:cstheme="majorHAnsi"/>
        </w:rPr>
        <w:t>DepEd</w:t>
      </w:r>
      <w:r w:rsidRPr="0063153D">
        <w:rPr>
          <w:rFonts w:asciiTheme="majorHAnsi" w:hAnsiTheme="majorHAnsi" w:cstheme="majorHAnsi"/>
        </w:rPr>
        <w:t xml:space="preserve"> changed to March 2018, after the IPR report was completed</w:t>
      </w:r>
    </w:p>
  </w:footnote>
  <w:footnote w:id="115">
    <w:p w14:paraId="32B327CF" w14:textId="2D7D5024" w:rsidR="00B33BA9" w:rsidRPr="004D374E" w:rsidRDefault="00B33BA9" w:rsidP="008D0CAD">
      <w:pPr>
        <w:pStyle w:val="FootnoteText"/>
        <w:rPr>
          <w:lang w:val="en-US"/>
        </w:rPr>
      </w:pPr>
      <w:r>
        <w:rPr>
          <w:rStyle w:val="FootnoteReference"/>
          <w:rFonts w:eastAsia="Arial Unicode MS"/>
        </w:rPr>
        <w:footnoteRef/>
      </w:r>
      <w:r>
        <w:t xml:space="preserve"> </w:t>
      </w:r>
      <w:r w:rsidRPr="0063153D">
        <w:rPr>
          <w:rFonts w:asciiTheme="majorHAnsi" w:hAnsiTheme="majorHAnsi" w:cstheme="majorHAnsi"/>
        </w:rPr>
        <w:t>Luz, J. M. “BEST Program: Policy Reform Risks and Challenges”, July 2017</w:t>
      </w:r>
      <w:r>
        <w:rPr>
          <w:lang w:val="en-US"/>
        </w:rPr>
        <w:t>.</w:t>
      </w:r>
    </w:p>
  </w:footnote>
  <w:footnote w:id="116">
    <w:p w14:paraId="26FA856A" w14:textId="2ECD2D7D" w:rsidR="00B33BA9" w:rsidRPr="0063153D" w:rsidRDefault="00B33BA9" w:rsidP="008D0CAD">
      <w:pPr>
        <w:pStyle w:val="FootnoteText"/>
        <w:rPr>
          <w:rFonts w:asciiTheme="majorHAnsi" w:hAnsiTheme="majorHAnsi" w:cstheme="majorHAnsi"/>
        </w:rPr>
      </w:pPr>
      <w:r w:rsidRPr="0063153D">
        <w:rPr>
          <w:rStyle w:val="FootnoteReference"/>
          <w:rFonts w:asciiTheme="majorHAnsi" w:eastAsia="Arial Unicode MS" w:hAnsiTheme="majorHAnsi" w:cstheme="majorHAnsi"/>
        </w:rPr>
        <w:footnoteRef/>
      </w:r>
      <w:r>
        <w:rPr>
          <w:rFonts w:asciiTheme="majorHAnsi" w:hAnsiTheme="majorHAnsi" w:cstheme="majorHAnsi"/>
        </w:rPr>
        <w:t xml:space="preserve"> </w:t>
      </w:r>
      <w:r w:rsidRPr="0063153D">
        <w:rPr>
          <w:rFonts w:asciiTheme="majorHAnsi" w:hAnsiTheme="majorHAnsi" w:cstheme="majorHAnsi"/>
        </w:rPr>
        <w:t>Luz, 2017.</w:t>
      </w:r>
      <w:r>
        <w:rPr>
          <w:rFonts w:asciiTheme="majorHAnsi" w:hAnsiTheme="majorHAnsi" w:cstheme="majorHAnsi"/>
        </w:rPr>
        <w:t xml:space="preserve"> </w:t>
      </w:r>
      <w:r w:rsidRPr="0063153D">
        <w:rPr>
          <w:rFonts w:asciiTheme="majorHAnsi" w:hAnsiTheme="majorHAnsi" w:cstheme="majorHAnsi"/>
        </w:rPr>
        <w:t>From an interview with Usec Catibog, May 2017.</w:t>
      </w:r>
    </w:p>
  </w:footnote>
  <w:footnote w:id="117">
    <w:p w14:paraId="73DCE808" w14:textId="1056E70F" w:rsidR="00B33BA9" w:rsidRPr="0063153D" w:rsidRDefault="00B33BA9" w:rsidP="008D0CAD">
      <w:pPr>
        <w:pStyle w:val="FootnoteText"/>
        <w:rPr>
          <w:rFonts w:asciiTheme="majorHAnsi" w:hAnsiTheme="majorHAnsi" w:cstheme="majorHAnsi"/>
        </w:rPr>
      </w:pPr>
      <w:r w:rsidRPr="0063153D">
        <w:rPr>
          <w:rStyle w:val="FootnoteReference"/>
          <w:rFonts w:asciiTheme="majorHAnsi" w:eastAsia="Arial Unicode MS" w:hAnsiTheme="majorHAnsi" w:cstheme="majorHAnsi"/>
        </w:rPr>
        <w:footnoteRef/>
      </w:r>
      <w:r>
        <w:rPr>
          <w:rFonts w:asciiTheme="majorHAnsi" w:hAnsiTheme="majorHAnsi" w:cstheme="majorHAnsi"/>
        </w:rPr>
        <w:t xml:space="preserve"> I</w:t>
      </w:r>
      <w:r w:rsidRPr="0063153D">
        <w:rPr>
          <w:rFonts w:asciiTheme="majorHAnsi" w:hAnsiTheme="majorHAnsi" w:cstheme="majorHAnsi"/>
        </w:rPr>
        <w:t>nterview with then Asec</w:t>
      </w:r>
      <w:r>
        <w:rPr>
          <w:rFonts w:asciiTheme="majorHAnsi" w:hAnsiTheme="majorHAnsi" w:cstheme="majorHAnsi"/>
        </w:rPr>
        <w:t>. N.</w:t>
      </w:r>
      <w:r w:rsidRPr="0063153D">
        <w:rPr>
          <w:rFonts w:asciiTheme="majorHAnsi" w:hAnsiTheme="majorHAnsi" w:cstheme="majorHAnsi"/>
        </w:rPr>
        <w:t xml:space="preserve"> Mal</w:t>
      </w:r>
      <w:r>
        <w:rPr>
          <w:rFonts w:asciiTheme="majorHAnsi" w:hAnsiTheme="majorHAnsi" w:cstheme="majorHAnsi"/>
        </w:rPr>
        <w:t>a</w:t>
      </w:r>
      <w:r w:rsidRPr="0063153D">
        <w:rPr>
          <w:rFonts w:asciiTheme="majorHAnsi" w:hAnsiTheme="majorHAnsi" w:cstheme="majorHAnsi"/>
        </w:rPr>
        <w:t>luan, May 2017.</w:t>
      </w:r>
    </w:p>
  </w:footnote>
  <w:footnote w:id="118">
    <w:p w14:paraId="7CBE6168" w14:textId="70EAEB56" w:rsidR="00B33BA9" w:rsidRPr="0063153D" w:rsidRDefault="00B33BA9" w:rsidP="008D0CAD">
      <w:pPr>
        <w:pStyle w:val="FootnoteText"/>
        <w:rPr>
          <w:rFonts w:asciiTheme="majorHAnsi" w:hAnsiTheme="majorHAnsi" w:cstheme="majorHAnsi"/>
        </w:rPr>
      </w:pPr>
      <w:r w:rsidRPr="0063153D">
        <w:rPr>
          <w:rStyle w:val="FootnoteReference"/>
          <w:rFonts w:asciiTheme="majorHAnsi" w:eastAsia="Arial Unicode MS" w:hAnsiTheme="majorHAnsi" w:cstheme="majorHAnsi"/>
        </w:rPr>
        <w:footnoteRef/>
      </w:r>
      <w:r>
        <w:rPr>
          <w:rFonts w:asciiTheme="majorHAnsi" w:hAnsiTheme="majorHAnsi" w:cstheme="majorHAnsi"/>
        </w:rPr>
        <w:t xml:space="preserve"> I</w:t>
      </w:r>
      <w:r w:rsidRPr="0063153D">
        <w:rPr>
          <w:rFonts w:asciiTheme="majorHAnsi" w:hAnsiTheme="majorHAnsi" w:cstheme="majorHAnsi"/>
        </w:rPr>
        <w:t>nterview with Asec</w:t>
      </w:r>
      <w:r>
        <w:rPr>
          <w:rFonts w:asciiTheme="majorHAnsi" w:hAnsiTheme="majorHAnsi" w:cstheme="majorHAnsi"/>
        </w:rPr>
        <w:t>.</w:t>
      </w:r>
      <w:r w:rsidRPr="0063153D">
        <w:rPr>
          <w:rFonts w:asciiTheme="majorHAnsi" w:hAnsiTheme="majorHAnsi" w:cstheme="majorHAnsi"/>
        </w:rPr>
        <w:t xml:space="preserve"> Revsie Escobedo, June 2017.</w:t>
      </w:r>
    </w:p>
  </w:footnote>
  <w:footnote w:id="119">
    <w:p w14:paraId="0DD30170" w14:textId="77777777" w:rsidR="00B33BA9" w:rsidRPr="004E603D" w:rsidRDefault="00B33BA9" w:rsidP="008D0CAD">
      <w:pPr>
        <w:pStyle w:val="FootnoteText"/>
        <w:rPr>
          <w:rFonts w:asciiTheme="majorHAnsi" w:hAnsiTheme="majorHAnsi" w:cstheme="majorHAnsi"/>
        </w:rPr>
      </w:pPr>
      <w:r w:rsidRPr="004E603D">
        <w:rPr>
          <w:rStyle w:val="FootnoteReference"/>
          <w:rFonts w:asciiTheme="majorHAnsi" w:eastAsia="Arial Unicode MS" w:hAnsiTheme="majorHAnsi" w:cstheme="majorHAnsi"/>
        </w:rPr>
        <w:footnoteRef/>
      </w:r>
      <w:r w:rsidRPr="004E603D">
        <w:rPr>
          <w:rFonts w:asciiTheme="majorHAnsi" w:hAnsiTheme="majorHAnsi" w:cstheme="majorHAnsi"/>
        </w:rPr>
        <w:t xml:space="preserve"> SMPR 8 or the Six-Month Progress Review No. 8 covered the period January–June 2018</w:t>
      </w:r>
    </w:p>
  </w:footnote>
  <w:footnote w:id="120">
    <w:p w14:paraId="72EAED77" w14:textId="77777777" w:rsidR="00B33BA9" w:rsidRPr="00A345A3" w:rsidRDefault="00B33BA9" w:rsidP="008D0CAD">
      <w:pPr>
        <w:pStyle w:val="FootnoteText"/>
        <w:rPr>
          <w:rFonts w:asciiTheme="majorHAnsi" w:hAnsiTheme="majorHAnsi" w:cstheme="majorHAnsi"/>
        </w:rPr>
      </w:pPr>
      <w:r>
        <w:rPr>
          <w:rStyle w:val="FootnoteReference"/>
          <w:rFonts w:eastAsiaTheme="majorEastAsia"/>
        </w:rPr>
        <w:footnoteRef/>
      </w:r>
      <w:r>
        <w:t xml:space="preserve"> </w:t>
      </w:r>
      <w:r w:rsidRPr="00A345A3">
        <w:rPr>
          <w:rFonts w:asciiTheme="majorHAnsi" w:hAnsiTheme="majorHAnsi" w:cstheme="majorHAnsi"/>
        </w:rPr>
        <w:t xml:space="preserve">The Main EOPO Study was done from February 2019- </w:t>
      </w:r>
      <w:r>
        <w:rPr>
          <w:rFonts w:asciiTheme="majorHAnsi" w:hAnsiTheme="majorHAnsi" w:cstheme="majorHAnsi"/>
        </w:rPr>
        <w:t>May</w:t>
      </w:r>
      <w:r w:rsidRPr="00A345A3">
        <w:rPr>
          <w:rFonts w:asciiTheme="majorHAnsi" w:hAnsiTheme="majorHAnsi" w:cstheme="majorHAnsi"/>
        </w:rPr>
        <w:t xml:space="preserve"> 2019 and the Follow-up report was done from </w:t>
      </w:r>
      <w:r>
        <w:rPr>
          <w:rFonts w:asciiTheme="majorHAnsi" w:hAnsiTheme="majorHAnsi" w:cstheme="majorHAnsi"/>
        </w:rPr>
        <w:t>February</w:t>
      </w:r>
      <w:r w:rsidRPr="00A345A3">
        <w:rPr>
          <w:rFonts w:asciiTheme="majorHAnsi" w:hAnsiTheme="majorHAnsi" w:cstheme="majorHAnsi"/>
        </w:rPr>
        <w:t xml:space="preserve"> 2020 to </w:t>
      </w:r>
      <w:r>
        <w:rPr>
          <w:rFonts w:asciiTheme="majorHAnsi" w:hAnsiTheme="majorHAnsi" w:cstheme="majorHAnsi"/>
        </w:rPr>
        <w:t>April</w:t>
      </w:r>
      <w:r w:rsidRPr="00A345A3">
        <w:rPr>
          <w:rFonts w:asciiTheme="majorHAnsi" w:hAnsiTheme="majorHAnsi" w:cstheme="majorHAnsi"/>
        </w:rPr>
        <w:t xml:space="preserve"> 2020.</w:t>
      </w:r>
    </w:p>
  </w:footnote>
  <w:footnote w:id="121">
    <w:p w14:paraId="39A4EEE2" w14:textId="77777777" w:rsidR="00B33BA9" w:rsidRPr="007B6836" w:rsidRDefault="00B33BA9" w:rsidP="008D0CAD">
      <w:pPr>
        <w:pStyle w:val="FootnoteText"/>
        <w:rPr>
          <w:rFonts w:asciiTheme="majorHAnsi" w:hAnsiTheme="majorHAnsi" w:cstheme="majorHAnsi"/>
          <w:lang w:val="en-US"/>
        </w:rPr>
      </w:pPr>
      <w:r w:rsidRPr="007B6836">
        <w:rPr>
          <w:rStyle w:val="FootnoteReference"/>
          <w:rFonts w:asciiTheme="majorHAnsi" w:eastAsia="Arial Unicode MS" w:hAnsiTheme="majorHAnsi" w:cstheme="majorHAnsi"/>
        </w:rPr>
        <w:footnoteRef/>
      </w:r>
      <w:r w:rsidRPr="007B6836">
        <w:rPr>
          <w:rFonts w:asciiTheme="majorHAnsi" w:hAnsiTheme="majorHAnsi" w:cstheme="majorHAnsi"/>
        </w:rPr>
        <w:t xml:space="preserve"> </w:t>
      </w:r>
      <w:r w:rsidRPr="007B6836">
        <w:rPr>
          <w:rFonts w:asciiTheme="majorHAnsi" w:hAnsiTheme="majorHAnsi" w:cstheme="majorHAnsi"/>
          <w:lang w:val="en-US"/>
        </w:rPr>
        <w:t>In 2013, PBSP classroom shortage was pegged at about 60,000. Source: Interview with PBSP’s Dr. Muncada</w:t>
      </w:r>
    </w:p>
  </w:footnote>
  <w:footnote w:id="122">
    <w:p w14:paraId="076D294C" w14:textId="77777777" w:rsidR="00B33BA9" w:rsidRPr="0073199B" w:rsidRDefault="00B33BA9" w:rsidP="008D0CAD">
      <w:pPr>
        <w:pStyle w:val="FootnoteText"/>
        <w:rPr>
          <w:rFonts w:asciiTheme="majorHAnsi" w:hAnsiTheme="majorHAnsi" w:cstheme="majorHAnsi"/>
          <w:lang w:val="en-US"/>
        </w:rPr>
      </w:pPr>
      <w:r w:rsidRPr="0073199B">
        <w:rPr>
          <w:rStyle w:val="FootnoteReference"/>
          <w:rFonts w:asciiTheme="majorHAnsi" w:eastAsia="Arial Unicode MS" w:hAnsiTheme="majorHAnsi" w:cstheme="majorHAnsi"/>
        </w:rPr>
        <w:footnoteRef/>
      </w:r>
      <w:r w:rsidRPr="0073199B">
        <w:rPr>
          <w:rFonts w:asciiTheme="majorHAnsi" w:hAnsiTheme="majorHAnsi" w:cstheme="majorHAnsi"/>
        </w:rPr>
        <w:t xml:space="preserve"> </w:t>
      </w:r>
      <w:r w:rsidRPr="0073199B">
        <w:rPr>
          <w:rFonts w:asciiTheme="majorHAnsi" w:hAnsiTheme="majorHAnsi" w:cstheme="majorHAnsi"/>
          <w:lang w:val="en-US"/>
        </w:rPr>
        <w:t>The Study Team requested for additional financial details</w:t>
      </w:r>
      <w:r>
        <w:rPr>
          <w:rFonts w:asciiTheme="majorHAnsi" w:hAnsiTheme="majorHAnsi" w:cstheme="majorHAnsi"/>
          <w:lang w:val="en-US"/>
        </w:rPr>
        <w:t xml:space="preserve"> but were not made available.</w:t>
      </w:r>
    </w:p>
  </w:footnote>
  <w:footnote w:id="123">
    <w:p w14:paraId="01D6103F" w14:textId="5CDAAD78" w:rsidR="00B33BA9" w:rsidRPr="0073199B" w:rsidRDefault="00B33BA9" w:rsidP="008D0CAD">
      <w:pPr>
        <w:pStyle w:val="FootnoteText"/>
        <w:rPr>
          <w:rFonts w:asciiTheme="majorHAnsi" w:hAnsiTheme="majorHAnsi" w:cstheme="majorHAnsi"/>
          <w:lang w:val="en-US"/>
        </w:rPr>
      </w:pPr>
      <w:r w:rsidRPr="0073199B">
        <w:rPr>
          <w:rStyle w:val="FootnoteReference"/>
          <w:rFonts w:asciiTheme="majorHAnsi" w:eastAsia="Arial Unicode MS" w:hAnsiTheme="majorHAnsi" w:cstheme="majorHAnsi"/>
        </w:rPr>
        <w:footnoteRef/>
      </w:r>
      <w:r w:rsidRPr="0073199B">
        <w:rPr>
          <w:rFonts w:asciiTheme="majorHAnsi" w:hAnsiTheme="majorHAnsi" w:cstheme="majorHAnsi"/>
        </w:rPr>
        <w:t xml:space="preserve"> </w:t>
      </w:r>
      <w:r w:rsidRPr="0073199B">
        <w:rPr>
          <w:rFonts w:asciiTheme="majorHAnsi" w:hAnsiTheme="majorHAnsi" w:cstheme="majorHAnsi"/>
          <w:lang w:val="en-US"/>
        </w:rPr>
        <w:t>Format of the reporting templates in the Annual Plans were changed and.</w:t>
      </w:r>
      <w:r>
        <w:rPr>
          <w:rFonts w:asciiTheme="majorHAnsi" w:hAnsiTheme="majorHAnsi" w:cstheme="majorHAnsi"/>
          <w:lang w:val="en-US"/>
        </w:rPr>
        <w:t xml:space="preserve"> The Work Breakdown Structure was </w:t>
      </w:r>
      <w:r w:rsidRPr="0073199B">
        <w:rPr>
          <w:rFonts w:asciiTheme="majorHAnsi" w:hAnsiTheme="majorHAnsi" w:cstheme="majorHAnsi"/>
          <w:lang w:val="en-US"/>
        </w:rPr>
        <w:t>difficult to track</w:t>
      </w:r>
      <w:r>
        <w:rPr>
          <w:rFonts w:asciiTheme="majorHAnsi" w:hAnsiTheme="majorHAnsi" w:cstheme="majorHAnsi"/>
          <w:lang w:val="en-US"/>
        </w:rPr>
        <w:t xml:space="preserve"> and there were not indicator codes, activity codes, accomplishment codes, etc.</w:t>
      </w:r>
    </w:p>
  </w:footnote>
  <w:footnote w:id="124">
    <w:p w14:paraId="0C39E6E1" w14:textId="77777777" w:rsidR="00B33BA9" w:rsidRPr="00BD30B5" w:rsidRDefault="00B33BA9" w:rsidP="008D0CAD">
      <w:pPr>
        <w:pStyle w:val="FootnoteText"/>
        <w:rPr>
          <w:rFonts w:asciiTheme="majorHAnsi" w:hAnsiTheme="majorHAnsi" w:cstheme="majorHAnsi"/>
        </w:rPr>
      </w:pPr>
      <w:r w:rsidRPr="00BD30B5">
        <w:rPr>
          <w:rStyle w:val="FootnoteReference"/>
          <w:rFonts w:eastAsiaTheme="majorEastAsia" w:cstheme="majorHAnsi"/>
        </w:rPr>
        <w:footnoteRef/>
      </w:r>
      <w:r w:rsidRPr="00BD30B5">
        <w:rPr>
          <w:rFonts w:asciiTheme="majorHAnsi" w:hAnsiTheme="majorHAnsi" w:cstheme="majorHAnsi"/>
        </w:rPr>
        <w:t xml:space="preserve"> </w:t>
      </w:r>
      <w:r>
        <w:rPr>
          <w:rFonts w:asciiTheme="majorHAnsi" w:hAnsiTheme="majorHAnsi" w:cstheme="majorHAnsi"/>
        </w:rPr>
        <w:t>“</w:t>
      </w:r>
      <w:r w:rsidRPr="00BD30B5">
        <w:rPr>
          <w:rFonts w:asciiTheme="majorHAnsi" w:hAnsiTheme="majorHAnsi" w:cstheme="majorHAnsi"/>
        </w:rPr>
        <w:t>As per order</w:t>
      </w:r>
      <w:r>
        <w:rPr>
          <w:rFonts w:asciiTheme="majorHAnsi" w:hAnsiTheme="majorHAnsi" w:cstheme="majorHAnsi"/>
        </w:rPr>
        <w:t>”</w:t>
      </w:r>
      <w:r w:rsidRPr="00BD30B5">
        <w:rPr>
          <w:rFonts w:asciiTheme="majorHAnsi" w:hAnsiTheme="majorHAnsi" w:cstheme="majorHAnsi"/>
        </w:rPr>
        <w:t xml:space="preserve"> attitudes refer to people who would only do their tasks when instructed or ordered to do so.</w:t>
      </w:r>
    </w:p>
  </w:footnote>
  <w:footnote w:id="125">
    <w:p w14:paraId="245AFCBD" w14:textId="77777777" w:rsidR="00B33BA9" w:rsidRDefault="00B33BA9" w:rsidP="008D0CAD">
      <w:pPr>
        <w:jc w:val="both"/>
        <w:rPr>
          <w:rFonts w:asciiTheme="majorHAnsi" w:hAnsiTheme="majorHAnsi" w:cstheme="majorHAnsi"/>
        </w:rPr>
      </w:pPr>
      <w:r w:rsidRPr="00F6693E">
        <w:rPr>
          <w:rFonts w:asciiTheme="majorHAnsi" w:hAnsiTheme="majorHAnsi" w:cstheme="majorHAnsi"/>
        </w:rPr>
        <w:footnoteRef/>
      </w:r>
      <w:r w:rsidRPr="00F6693E">
        <w:rPr>
          <w:rFonts w:asciiTheme="majorHAnsi" w:hAnsiTheme="majorHAnsi" w:cstheme="majorHAnsi"/>
        </w:rPr>
        <w:t xml:space="preserve"> Theory of change is a thinking tool used by AusAID to help designers map out and describe an understanding of how change occurs in a given context. It also helps to explain how selected interventions will contribute to intended outcomes (PDD, p. 33)</w:t>
      </w:r>
    </w:p>
    <w:p w14:paraId="519EB591" w14:textId="77777777" w:rsidR="00B33BA9" w:rsidRPr="00F6693E" w:rsidRDefault="00B33BA9" w:rsidP="008D0CAD">
      <w:pPr>
        <w:jc w:val="both"/>
        <w:rPr>
          <w:rFonts w:asciiTheme="majorHAnsi" w:hAnsiTheme="majorHAnsi" w:cstheme="majorHAnsi"/>
        </w:rPr>
      </w:pPr>
    </w:p>
  </w:footnote>
  <w:footnote w:id="126">
    <w:p w14:paraId="50A8613E" w14:textId="77777777" w:rsidR="00B33BA9" w:rsidRPr="0058486B" w:rsidRDefault="00B33BA9" w:rsidP="008D0CAD">
      <w:pPr>
        <w:pStyle w:val="FootnoteText"/>
        <w:rPr>
          <w:rFonts w:asciiTheme="majorHAnsi" w:hAnsiTheme="majorHAnsi" w:cstheme="majorHAnsi"/>
        </w:rPr>
      </w:pPr>
      <w:r w:rsidRPr="0058486B">
        <w:rPr>
          <w:rStyle w:val="FootnoteReference"/>
          <w:rFonts w:asciiTheme="majorHAnsi" w:eastAsia="Arial Unicode MS" w:hAnsiTheme="majorHAnsi" w:cstheme="majorHAnsi"/>
        </w:rPr>
        <w:footnoteRef/>
      </w:r>
      <w:r w:rsidRPr="0058486B">
        <w:rPr>
          <w:rFonts w:asciiTheme="majorHAnsi" w:hAnsiTheme="majorHAnsi" w:cstheme="majorHAnsi"/>
        </w:rPr>
        <w:t xml:space="preserve"> IED. 2016. Guidelines for the Evaluation of Public Sector Operations. Manila: Asian Development Bank.</w:t>
      </w:r>
    </w:p>
  </w:footnote>
  <w:footnote w:id="127">
    <w:p w14:paraId="66A75659" w14:textId="77777777" w:rsidR="00B33BA9" w:rsidRPr="00501EDC" w:rsidRDefault="00B33BA9" w:rsidP="008D0CAD">
      <w:pPr>
        <w:pStyle w:val="FootnoteText"/>
        <w:rPr>
          <w:rFonts w:asciiTheme="majorHAnsi" w:hAnsiTheme="majorHAnsi" w:cstheme="majorHAnsi"/>
        </w:rPr>
      </w:pPr>
      <w:r w:rsidRPr="00501EDC">
        <w:rPr>
          <w:rStyle w:val="FootnoteReference"/>
          <w:rFonts w:asciiTheme="majorHAnsi" w:eastAsia="Arial Unicode MS" w:hAnsiTheme="majorHAnsi" w:cstheme="majorHAnsi"/>
        </w:rPr>
        <w:footnoteRef/>
      </w:r>
      <w:r w:rsidRPr="00501EDC">
        <w:rPr>
          <w:rFonts w:asciiTheme="majorHAnsi" w:hAnsiTheme="majorHAnsi" w:cstheme="majorHAnsi"/>
        </w:rPr>
        <w:t xml:space="preserve"> This list came from the BEST Program Management Office and although it is not considered complete, it is the only available list for this evaluation purpose.</w:t>
      </w:r>
    </w:p>
  </w:footnote>
  <w:footnote w:id="128">
    <w:p w14:paraId="3CA87178" w14:textId="4C3DB8FF" w:rsidR="00B33BA9" w:rsidRDefault="00B33BA9" w:rsidP="008D0CAD">
      <w:pPr>
        <w:pStyle w:val="FootnoteText"/>
      </w:pPr>
      <w:r>
        <w:rPr>
          <w:rStyle w:val="FootnoteReference"/>
          <w:rFonts w:eastAsia="Arial Unicode MS"/>
        </w:rPr>
        <w:footnoteRef/>
      </w:r>
      <w:r>
        <w:t xml:space="preserve"> </w:t>
      </w:r>
      <w:r w:rsidRPr="00470D01">
        <w:rPr>
          <w:rFonts w:asciiTheme="majorHAnsi" w:hAnsiTheme="majorHAnsi" w:cstheme="majorHAnsi"/>
          <w:iCs/>
          <w:color w:val="000000" w:themeColor="text1"/>
        </w:rPr>
        <w:t>The TEACH tool</w:t>
      </w:r>
      <w:r w:rsidRPr="00470D01">
        <w:rPr>
          <w:rFonts w:asciiTheme="majorHAnsi" w:hAnsiTheme="majorHAnsi" w:cstheme="majorHAnsi"/>
          <w:i/>
          <w:iCs/>
          <w:color w:val="000000" w:themeColor="text1"/>
        </w:rPr>
        <w:t xml:space="preserve"> </w:t>
      </w:r>
      <w:r w:rsidRPr="00470D01">
        <w:rPr>
          <w:rFonts w:asciiTheme="majorHAnsi" w:hAnsiTheme="majorHAnsi" w:cstheme="majorHAnsi"/>
          <w:color w:val="000000" w:themeColor="text1"/>
        </w:rPr>
        <w:t>is an open-source classroom observation tool</w:t>
      </w:r>
      <w:r>
        <w:rPr>
          <w:rFonts w:asciiTheme="majorHAnsi" w:hAnsiTheme="majorHAnsi" w:cstheme="majorHAnsi"/>
          <w:color w:val="000000" w:themeColor="text1"/>
        </w:rPr>
        <w:t xml:space="preserve"> developed by the World Bank</w:t>
      </w:r>
      <w:r w:rsidRPr="00470D01">
        <w:rPr>
          <w:rFonts w:asciiTheme="majorHAnsi" w:hAnsiTheme="majorHAnsi" w:cstheme="majorHAnsi"/>
          <w:color w:val="000000" w:themeColor="text1"/>
        </w:rPr>
        <w:t xml:space="preserve"> intended </w:t>
      </w:r>
      <w:r>
        <w:rPr>
          <w:rFonts w:asciiTheme="majorHAnsi" w:hAnsiTheme="majorHAnsi" w:cstheme="majorHAnsi"/>
          <w:color w:val="000000" w:themeColor="text1"/>
        </w:rPr>
        <w:t>for assessing teacher performance in s teaching in</w:t>
      </w:r>
      <w:r w:rsidRPr="00470D01">
        <w:rPr>
          <w:rFonts w:asciiTheme="majorHAnsi" w:hAnsiTheme="majorHAnsi" w:cstheme="majorHAnsi"/>
          <w:color w:val="000000" w:themeColor="text1"/>
        </w:rPr>
        <w:t xml:space="preserve"> primary classrooms (</w:t>
      </w:r>
      <w:r>
        <w:rPr>
          <w:rFonts w:asciiTheme="majorHAnsi" w:hAnsiTheme="majorHAnsi" w:cstheme="majorHAnsi"/>
          <w:color w:val="000000" w:themeColor="text1"/>
        </w:rPr>
        <w:t>G</w:t>
      </w:r>
      <w:r w:rsidRPr="00470D01">
        <w:rPr>
          <w:rFonts w:asciiTheme="majorHAnsi" w:hAnsiTheme="majorHAnsi" w:cstheme="majorHAnsi"/>
          <w:color w:val="000000" w:themeColor="text1"/>
        </w:rPr>
        <w:t>rades 1-6)</w:t>
      </w:r>
      <w:r>
        <w:rPr>
          <w:rFonts w:asciiTheme="majorHAnsi" w:hAnsiTheme="majorHAnsi" w:cstheme="majorHAnsi"/>
          <w:color w:val="000000" w:themeColor="text1"/>
        </w:rPr>
        <w:t>. It was used to enable comparison with the COT.</w:t>
      </w:r>
    </w:p>
  </w:footnote>
  <w:footnote w:id="129">
    <w:p w14:paraId="2515D9F8" w14:textId="77777777" w:rsidR="00B33BA9" w:rsidRDefault="00B33BA9" w:rsidP="008D0CAD">
      <w:pPr>
        <w:pStyle w:val="FootnoteText"/>
      </w:pPr>
      <w:r>
        <w:rPr>
          <w:rStyle w:val="FootnoteReference"/>
          <w:rFonts w:eastAsia="Arial Unicode MS"/>
        </w:rPr>
        <w:footnoteRef/>
      </w:r>
      <w:r>
        <w:t xml:space="preserve"> </w:t>
      </w:r>
      <w:r>
        <w:rPr>
          <w:rFonts w:asciiTheme="majorHAnsi" w:hAnsiTheme="majorHAnsi" w:cstheme="majorHAnsi"/>
        </w:rPr>
        <w:t xml:space="preserve">The EOPE Team is supposed to undertake 80 classroom observations to cover all the direct recipient schools in the study sample. However, in the interest of efficiency, the list of schools to be observed was cross-checked with the list of Innovations for Poverty Action (IPA), which was the organisation conducting the Teacher Professional Development Baseline Study commissioned by BEST. Eleven schools overlapped in both lists and it was agreed that IPA will conduct the </w:t>
      </w:r>
      <w:r w:rsidRPr="00570787">
        <w:rPr>
          <w:rFonts w:asciiTheme="majorHAnsi" w:hAnsiTheme="majorHAnsi" w:cstheme="majorHAnsi"/>
        </w:rPr>
        <w:t>classroom observations</w:t>
      </w:r>
      <w:r>
        <w:rPr>
          <w:rFonts w:asciiTheme="majorHAnsi" w:hAnsiTheme="majorHAnsi" w:cstheme="majorHAnsi"/>
        </w:rPr>
        <w:t xml:space="preserve"> of these schools but the results will be shared to QED-ADII so that it would contribute to the analysis of all the sample schools.</w:t>
      </w:r>
    </w:p>
  </w:footnote>
  <w:footnote w:id="130">
    <w:p w14:paraId="5257BC9C" w14:textId="77777777" w:rsidR="00B33BA9" w:rsidRPr="00A21F21" w:rsidRDefault="00B33BA9" w:rsidP="008D0CAD">
      <w:pPr>
        <w:pStyle w:val="FootnoteText"/>
        <w:rPr>
          <w:rFonts w:asciiTheme="majorHAnsi" w:hAnsiTheme="majorHAnsi" w:cstheme="majorHAnsi"/>
          <w:sz w:val="16"/>
          <w:szCs w:val="16"/>
        </w:rPr>
      </w:pPr>
      <w:r w:rsidRPr="00A21F21">
        <w:rPr>
          <w:rStyle w:val="FootnoteReference"/>
          <w:rFonts w:asciiTheme="majorHAnsi" w:eastAsia="Arial Unicode MS" w:hAnsiTheme="majorHAnsi" w:cstheme="majorHAnsi"/>
          <w:sz w:val="16"/>
          <w:szCs w:val="16"/>
        </w:rPr>
        <w:footnoteRef/>
      </w:r>
      <w:r w:rsidRPr="00A21F21">
        <w:rPr>
          <w:rFonts w:asciiTheme="majorHAnsi" w:hAnsiTheme="majorHAnsi" w:cstheme="majorHAnsi"/>
          <w:sz w:val="16"/>
          <w:szCs w:val="16"/>
        </w:rPr>
        <w:t xml:space="preserve"> The survey tool was originally called Self-Assessment Tool but was later renamed as Knowledge-Access-Usefulness(KAU) Survey Tool so as not to confuse it with the Self-Assessment Tool under the RPMS.</w:t>
      </w:r>
    </w:p>
  </w:footnote>
  <w:footnote w:id="131">
    <w:p w14:paraId="0AEB8B63" w14:textId="76EEF7C2" w:rsidR="00B33BA9" w:rsidRPr="00A21F21" w:rsidRDefault="00B33BA9" w:rsidP="008D0CAD">
      <w:pPr>
        <w:pStyle w:val="FootnoteText"/>
        <w:rPr>
          <w:rFonts w:asciiTheme="majorHAnsi" w:hAnsiTheme="majorHAnsi" w:cstheme="majorHAnsi"/>
          <w:sz w:val="16"/>
          <w:szCs w:val="16"/>
        </w:rPr>
      </w:pPr>
      <w:r w:rsidRPr="00A21F21">
        <w:rPr>
          <w:rStyle w:val="FootnoteReference"/>
          <w:rFonts w:asciiTheme="majorHAnsi" w:eastAsia="Arial Unicode MS" w:hAnsiTheme="majorHAnsi" w:cstheme="majorHAnsi"/>
          <w:sz w:val="16"/>
          <w:szCs w:val="16"/>
        </w:rPr>
        <w:footnoteRef/>
      </w:r>
      <w:r w:rsidRPr="00A21F21">
        <w:rPr>
          <w:rFonts w:asciiTheme="majorHAnsi" w:hAnsiTheme="majorHAnsi" w:cstheme="majorHAnsi"/>
          <w:sz w:val="16"/>
          <w:szCs w:val="16"/>
        </w:rPr>
        <w:t xml:space="preserve"> This Self-Assessment Tool supplements other data collection tools for the BEST End-of-Program Evaluation Study. It is intended to get as much additional information from stakeholders as possible.</w:t>
      </w:r>
      <w:r>
        <w:rPr>
          <w:rFonts w:asciiTheme="majorHAnsi" w:hAnsiTheme="majorHAnsi" w:cstheme="majorHAnsi"/>
          <w:sz w:val="16"/>
          <w:szCs w:val="16"/>
        </w:rPr>
        <w:t xml:space="preserve"> </w:t>
      </w:r>
      <w:r w:rsidRPr="00A21F21">
        <w:rPr>
          <w:rFonts w:asciiTheme="majorHAnsi" w:hAnsiTheme="majorHAnsi" w:cstheme="majorHAnsi"/>
          <w:sz w:val="16"/>
          <w:szCs w:val="16"/>
        </w:rPr>
        <w:t>It will be administered to RDs, ARDs, Superintendents, Principals and School Heads.</w:t>
      </w:r>
    </w:p>
  </w:footnote>
  <w:footnote w:id="132">
    <w:p w14:paraId="094EF8DC" w14:textId="77777777" w:rsidR="00B33BA9" w:rsidRPr="00AB45F7" w:rsidRDefault="00B33BA9" w:rsidP="008D0CAD">
      <w:pPr>
        <w:pStyle w:val="FootnoteText"/>
        <w:rPr>
          <w:rFonts w:ascii="Candara" w:hAnsi="Candara"/>
          <w:sz w:val="16"/>
          <w:szCs w:val="16"/>
        </w:rPr>
      </w:pPr>
      <w:r w:rsidRPr="00AB45F7">
        <w:rPr>
          <w:rStyle w:val="FootnoteReference"/>
          <w:rFonts w:ascii="Candara" w:eastAsia="Arial Unicode MS" w:hAnsi="Candara"/>
          <w:sz w:val="16"/>
          <w:szCs w:val="16"/>
        </w:rPr>
        <w:footnoteRef/>
      </w:r>
      <w:r w:rsidRPr="00AB45F7">
        <w:rPr>
          <w:rFonts w:ascii="Candara" w:hAnsi="Candara"/>
          <w:sz w:val="16"/>
          <w:szCs w:val="16"/>
        </w:rPr>
        <w:t xml:space="preserve"> This Self-Assessment Tool for Teachers is part of the data collection for the BEST End-of-Program Evaluation Study. </w:t>
      </w:r>
    </w:p>
  </w:footnote>
  <w:footnote w:id="133">
    <w:p w14:paraId="35ADC3A0" w14:textId="77777777" w:rsidR="00B33BA9" w:rsidRPr="00AB45F7" w:rsidRDefault="00B33BA9" w:rsidP="008D0CAD">
      <w:pPr>
        <w:pStyle w:val="FootnoteText"/>
        <w:rPr>
          <w:rFonts w:ascii="Candara" w:hAnsi="Candara"/>
          <w:sz w:val="16"/>
          <w:szCs w:val="16"/>
        </w:rPr>
      </w:pPr>
      <w:r w:rsidRPr="00AB45F7">
        <w:rPr>
          <w:rStyle w:val="FootnoteReference"/>
          <w:rFonts w:ascii="Candara" w:eastAsia="Arial Unicode MS" w:hAnsi="Candara"/>
          <w:sz w:val="16"/>
          <w:szCs w:val="16"/>
        </w:rPr>
        <w:footnoteRef/>
      </w:r>
      <w:r w:rsidRPr="00AB45F7">
        <w:rPr>
          <w:rFonts w:ascii="Candara" w:hAnsi="Candara"/>
          <w:sz w:val="16"/>
          <w:szCs w:val="16"/>
        </w:rPr>
        <w:t xml:space="preserve"> This Self-Assessment Tool for Teachers is part of the data collection for the BEST End-of-Program Evaluation Study. </w:t>
      </w:r>
    </w:p>
  </w:footnote>
  <w:footnote w:id="134">
    <w:p w14:paraId="66369156" w14:textId="48A3C79C" w:rsidR="00B33BA9" w:rsidRDefault="00B33BA9" w:rsidP="008D0CAD">
      <w:pPr>
        <w:pStyle w:val="FootnoteText"/>
        <w:jc w:val="both"/>
        <w:rPr>
          <w:rFonts w:ascii="Candara" w:hAnsi="Candara"/>
          <w:sz w:val="16"/>
          <w:szCs w:val="16"/>
        </w:rPr>
      </w:pPr>
      <w:r w:rsidRPr="00AB45F7">
        <w:rPr>
          <w:rStyle w:val="FootnoteReference"/>
          <w:rFonts w:ascii="Candara" w:eastAsia="Arial Unicode MS" w:hAnsi="Candara"/>
          <w:sz w:val="16"/>
          <w:szCs w:val="16"/>
        </w:rPr>
        <w:footnoteRef/>
      </w:r>
      <w:r w:rsidRPr="00AB45F7">
        <w:rPr>
          <w:rFonts w:ascii="Candara" w:hAnsi="Candara"/>
          <w:sz w:val="16"/>
          <w:szCs w:val="16"/>
        </w:rPr>
        <w:t xml:space="preserve"> This Self-Assessment Tool </w:t>
      </w:r>
      <w:r>
        <w:rPr>
          <w:rFonts w:ascii="Candara" w:hAnsi="Candara"/>
          <w:sz w:val="16"/>
          <w:szCs w:val="16"/>
        </w:rPr>
        <w:t>is intended to be administered prior to the Interviews or FGD. The probing questions (i.e., How) will be prompted by their answers to the questionnaire.</w:t>
      </w:r>
    </w:p>
    <w:p w14:paraId="567283A1" w14:textId="77777777" w:rsidR="00B33BA9" w:rsidRPr="00AB45F7" w:rsidRDefault="00B33BA9" w:rsidP="008D0CAD">
      <w:pPr>
        <w:pStyle w:val="FootnoteText"/>
        <w:rPr>
          <w:rFonts w:ascii="Candara" w:hAnsi="Candara"/>
          <w:sz w:val="16"/>
          <w:szCs w:val="16"/>
        </w:rPr>
      </w:pPr>
    </w:p>
  </w:footnote>
  <w:footnote w:id="135">
    <w:p w14:paraId="0230AD34" w14:textId="43DABF17" w:rsidR="00B33BA9" w:rsidRPr="00553C22" w:rsidRDefault="00B33BA9" w:rsidP="008D0CAD">
      <w:pPr>
        <w:pStyle w:val="FootnoteText"/>
        <w:rPr>
          <w:rFonts w:asciiTheme="majorHAnsi" w:hAnsiTheme="majorHAnsi" w:cstheme="majorHAnsi"/>
          <w:sz w:val="16"/>
          <w:szCs w:val="16"/>
        </w:rPr>
      </w:pPr>
      <w:r w:rsidRPr="00553C22">
        <w:rPr>
          <w:rStyle w:val="FootnoteReference"/>
          <w:rFonts w:asciiTheme="majorHAnsi" w:eastAsia="Arial Unicode MS" w:hAnsiTheme="majorHAnsi" w:cstheme="majorHAnsi"/>
          <w:sz w:val="16"/>
          <w:szCs w:val="16"/>
        </w:rPr>
        <w:footnoteRef/>
      </w:r>
      <w:r w:rsidRPr="00553C22">
        <w:rPr>
          <w:rFonts w:asciiTheme="majorHAnsi" w:hAnsiTheme="majorHAnsi" w:cstheme="majorHAnsi"/>
          <w:sz w:val="16"/>
          <w:szCs w:val="16"/>
        </w:rPr>
        <w:t xml:space="preserve"> Prior to the start of the evaluation field data gathering, the EOPE Team had already requested that the data needed for the regression analysis be collected either from the Central Office databases or the Division Office databases.</w:t>
      </w:r>
      <w:r>
        <w:rPr>
          <w:rFonts w:asciiTheme="majorHAnsi" w:hAnsiTheme="majorHAnsi" w:cstheme="majorHAnsi"/>
          <w:sz w:val="16"/>
          <w:szCs w:val="16"/>
        </w:rPr>
        <w:t xml:space="preserve"> </w:t>
      </w:r>
      <w:r w:rsidRPr="00553C22">
        <w:rPr>
          <w:rFonts w:asciiTheme="majorHAnsi" w:hAnsiTheme="majorHAnsi" w:cstheme="majorHAnsi"/>
          <w:sz w:val="16"/>
          <w:szCs w:val="16"/>
        </w:rPr>
        <w:t>This was because the Team had anticipated that the timing of the field data gathering, which coincided with end of school year activities, would negatively affect data collection as well as delay the conduct of analysis.</w:t>
      </w:r>
      <w:r>
        <w:rPr>
          <w:rFonts w:asciiTheme="majorHAnsi" w:hAnsiTheme="majorHAnsi" w:cstheme="majorHAnsi"/>
          <w:sz w:val="16"/>
          <w:szCs w:val="16"/>
        </w:rPr>
        <w:t xml:space="preserve"> </w:t>
      </w:r>
      <w:r w:rsidRPr="00553C22">
        <w:rPr>
          <w:rFonts w:asciiTheme="majorHAnsi" w:hAnsiTheme="majorHAnsi" w:cstheme="majorHAnsi"/>
          <w:sz w:val="16"/>
          <w:szCs w:val="16"/>
        </w:rPr>
        <w:t>However, the Team was advised that collecting data from the individual schools was the only option that would answer the evaluation question and thus, the individual school data collection proceeded.</w:t>
      </w:r>
    </w:p>
  </w:footnote>
  <w:footnote w:id="136">
    <w:p w14:paraId="20716515" w14:textId="77777777" w:rsidR="00B33BA9" w:rsidRPr="00D76FFC" w:rsidRDefault="00B33BA9" w:rsidP="008D0CAD">
      <w:pPr>
        <w:pStyle w:val="FootnoteText"/>
        <w:rPr>
          <w:rFonts w:ascii="Calibri Light" w:hAnsi="Calibri Light" w:cs="Calibri Light"/>
        </w:rPr>
      </w:pPr>
      <w:r w:rsidRPr="00D76FFC">
        <w:rPr>
          <w:rStyle w:val="FootnoteReference"/>
          <w:rFonts w:ascii="Calibri Light" w:eastAsia="Arial Unicode MS" w:hAnsi="Calibri Light" w:cs="Calibri Light"/>
        </w:rPr>
        <w:footnoteRef/>
      </w:r>
      <w:r w:rsidRPr="00D76FFC">
        <w:rPr>
          <w:rFonts w:ascii="Calibri Light" w:hAnsi="Calibri Light" w:cs="Calibri Light"/>
        </w:rPr>
        <w:t xml:space="preserve"> The requirement to assess only the 10 Program interventions was indicated in the Request for Tender (RFT) document.</w:t>
      </w:r>
    </w:p>
  </w:footnote>
  <w:footnote w:id="137">
    <w:p w14:paraId="393F8B28" w14:textId="77777777" w:rsidR="00B33BA9" w:rsidRDefault="00B33BA9" w:rsidP="008D0CAD">
      <w:pPr>
        <w:pStyle w:val="FootnoteText"/>
      </w:pPr>
      <w:r>
        <w:rPr>
          <w:rStyle w:val="FootnoteReference"/>
          <w:rFonts w:eastAsia="Arial Unicode MS"/>
        </w:rPr>
        <w:footnoteRef/>
      </w:r>
      <w:r>
        <w:t xml:space="preserve"> </w:t>
      </w:r>
      <w:r w:rsidRPr="00D76FFC">
        <w:rPr>
          <w:rFonts w:ascii="Calibri Light" w:hAnsi="Calibri Light" w:cs="Calibri Light"/>
        </w:rPr>
        <w:t>The delay was due to the elections in the donor country that further resulted to the aid budget realignment and reduction of funding.</w:t>
      </w:r>
    </w:p>
  </w:footnote>
  <w:footnote w:id="138">
    <w:p w14:paraId="55CA54AC" w14:textId="39E1A35B" w:rsidR="00B33BA9" w:rsidRPr="00D76FFC" w:rsidRDefault="00B33BA9" w:rsidP="008D0CAD">
      <w:pPr>
        <w:pStyle w:val="FootnoteText"/>
        <w:rPr>
          <w:rFonts w:ascii="Calibri" w:hAnsi="Calibri"/>
        </w:rPr>
      </w:pPr>
      <w:r>
        <w:rPr>
          <w:rStyle w:val="FootnoteReference"/>
          <w:rFonts w:eastAsia="Arial Unicode MS"/>
        </w:rPr>
        <w:footnoteRef/>
      </w:r>
      <w:r>
        <w:t xml:space="preserve"> PPST expanded this to fair learning environment across gender, linguistic and socio-economic backgrounds, disabilities and special gifts and talents, and ethnic backgrounds </w:t>
      </w:r>
    </w:p>
  </w:footnote>
  <w:footnote w:id="139">
    <w:p w14:paraId="4E1F2DD7" w14:textId="77777777" w:rsidR="00B33BA9" w:rsidRPr="00A261E9" w:rsidRDefault="00B33BA9" w:rsidP="008D0CAD">
      <w:pPr>
        <w:pStyle w:val="FootnoteText"/>
        <w:rPr>
          <w:rFonts w:asciiTheme="majorHAnsi" w:hAnsiTheme="majorHAnsi" w:cstheme="majorHAnsi"/>
        </w:rPr>
      </w:pPr>
      <w:r w:rsidRPr="00A261E9">
        <w:rPr>
          <w:rStyle w:val="FootnoteReference"/>
          <w:rFonts w:asciiTheme="majorHAnsi" w:eastAsia="Arial Unicode MS" w:hAnsiTheme="majorHAnsi" w:cstheme="majorHAnsi"/>
        </w:rPr>
        <w:footnoteRef/>
      </w:r>
      <w:r w:rsidRPr="00A261E9">
        <w:rPr>
          <w:rFonts w:asciiTheme="majorHAnsi" w:hAnsiTheme="majorHAnsi" w:cstheme="majorHAnsi"/>
        </w:rPr>
        <w:t xml:space="preserve"> Complete data refers to average grades for each of the four subjects from SY2013-2014 to SY2017-2018</w:t>
      </w:r>
    </w:p>
  </w:footnote>
  <w:footnote w:id="140">
    <w:p w14:paraId="1D2E6567" w14:textId="77777777" w:rsidR="00B33BA9" w:rsidRDefault="00B33BA9" w:rsidP="008D0CAD">
      <w:pPr>
        <w:pStyle w:val="FootnoteText"/>
      </w:pPr>
      <w:r>
        <w:rPr>
          <w:rStyle w:val="FootnoteReference"/>
          <w:rFonts w:eastAsia="Arial Unicode MS"/>
        </w:rPr>
        <w:footnoteRef/>
      </w:r>
      <w:r>
        <w:t xml:space="preserve"> </w:t>
      </w:r>
      <w:r w:rsidRPr="00D65BDE">
        <w:rPr>
          <w:rFonts w:ascii="Calibri Light" w:hAnsi="Calibri Light" w:cs="Calibri Light"/>
        </w:rPr>
        <w:t xml:space="preserve">The estimated coefficients of the variables and </w:t>
      </w:r>
      <w:r>
        <w:rPr>
          <w:rFonts w:ascii="Calibri Light" w:hAnsi="Calibri Light" w:cs="Calibri Light"/>
        </w:rPr>
        <w:t>their</w:t>
      </w:r>
      <w:r w:rsidRPr="00D65BDE">
        <w:rPr>
          <w:rFonts w:ascii="Calibri Light" w:hAnsi="Calibri Light" w:cs="Calibri Light"/>
        </w:rPr>
        <w:t xml:space="preserve"> corresponding standard errors are also shown in the table. Asterisks signify the degree of significance (statistically) from weakest to the strongest and estimated effects with no asterisk imply insignificant effects.</w:t>
      </w:r>
    </w:p>
  </w:footnote>
  <w:footnote w:id="141">
    <w:p w14:paraId="17F4E129" w14:textId="0737AA69" w:rsidR="00B33BA9" w:rsidRPr="005D21F0" w:rsidRDefault="00B33BA9" w:rsidP="008D0CAD">
      <w:pPr>
        <w:pStyle w:val="FootnoteText"/>
        <w:jc w:val="both"/>
        <w:rPr>
          <w:rFonts w:asciiTheme="majorHAnsi" w:hAnsiTheme="majorHAnsi" w:cstheme="majorHAnsi"/>
        </w:rPr>
      </w:pPr>
      <w:r w:rsidRPr="005D21F0">
        <w:rPr>
          <w:rStyle w:val="FootnoteReference"/>
          <w:rFonts w:asciiTheme="majorHAnsi" w:eastAsia="Arial Unicode MS" w:hAnsiTheme="majorHAnsi" w:cstheme="majorHAnsi"/>
        </w:rPr>
        <w:footnoteRef/>
      </w:r>
      <w:r w:rsidRPr="005D21F0">
        <w:rPr>
          <w:rFonts w:asciiTheme="majorHAnsi" w:hAnsiTheme="majorHAnsi" w:cstheme="majorHAnsi"/>
        </w:rPr>
        <w:t xml:space="preserve"> </w:t>
      </w:r>
      <w:r w:rsidRPr="005D21F0">
        <w:rPr>
          <w:rFonts w:asciiTheme="majorHAnsi" w:hAnsiTheme="majorHAnsi" w:cstheme="majorHAnsi"/>
          <w:color w:val="333333"/>
        </w:rPr>
        <w:t>A</w:t>
      </w:r>
      <w:r w:rsidRPr="00D65BDE">
        <w:rPr>
          <w:rFonts w:asciiTheme="majorHAnsi" w:hAnsiTheme="majorHAnsi" w:cstheme="majorHAnsi"/>
          <w:color w:val="333333"/>
        </w:rPr>
        <w:t xml:space="preserve">n F-test in </w:t>
      </w:r>
      <w:r w:rsidRPr="005D21F0">
        <w:rPr>
          <w:rFonts w:asciiTheme="majorHAnsi" w:hAnsiTheme="majorHAnsi" w:cstheme="majorHAnsi"/>
          <w:color w:val="333333"/>
        </w:rPr>
        <w:t xml:space="preserve">a </w:t>
      </w:r>
      <w:r w:rsidRPr="00D65BDE">
        <w:rPr>
          <w:rFonts w:asciiTheme="majorHAnsi" w:hAnsiTheme="majorHAnsi" w:cstheme="majorHAnsi"/>
          <w:color w:val="333333"/>
        </w:rPr>
        <w:t>regression compares the fits of different linear models</w:t>
      </w:r>
      <w:r w:rsidRPr="005D21F0">
        <w:rPr>
          <w:rFonts w:asciiTheme="majorHAnsi" w:hAnsiTheme="majorHAnsi" w:cstheme="majorHAnsi"/>
          <w:color w:val="333333"/>
        </w:rPr>
        <w:t>. It is used to</w:t>
      </w:r>
      <w:r w:rsidRPr="00D65BDE">
        <w:rPr>
          <w:rFonts w:asciiTheme="majorHAnsi" w:hAnsiTheme="majorHAnsi" w:cstheme="majorHAnsi"/>
          <w:color w:val="333333"/>
        </w:rPr>
        <w:t xml:space="preserve"> assess</w:t>
      </w:r>
      <w:r w:rsidRPr="005D21F0">
        <w:rPr>
          <w:rFonts w:asciiTheme="majorHAnsi" w:hAnsiTheme="majorHAnsi" w:cstheme="majorHAnsi"/>
          <w:color w:val="333333"/>
        </w:rPr>
        <w:t xml:space="preserve"> </w:t>
      </w:r>
      <w:r w:rsidRPr="00D65BDE">
        <w:rPr>
          <w:rFonts w:asciiTheme="majorHAnsi" w:hAnsiTheme="majorHAnsi" w:cstheme="majorHAnsi"/>
          <w:color w:val="333333"/>
        </w:rPr>
        <w:t>multiple coefficients simultaneously.</w:t>
      </w:r>
      <w:r>
        <w:rPr>
          <w:rFonts w:asciiTheme="majorHAnsi" w:hAnsiTheme="majorHAnsi" w:cstheme="majorHAnsi"/>
          <w:color w:val="333333"/>
        </w:rPr>
        <w:t xml:space="preserve"> </w:t>
      </w:r>
      <w:r w:rsidRPr="005D21F0">
        <w:rPr>
          <w:rFonts w:asciiTheme="majorHAnsi" w:hAnsiTheme="majorHAnsi" w:cstheme="majorHAnsi"/>
          <w:color w:val="333333"/>
          <w:shd w:val="clear" w:color="auto" w:fill="FFFFFF"/>
        </w:rPr>
        <w:t>When the P value for the F-test of overall significance test is less than the significance level, it denotes significant difference between average change in grades of direct and indirect schools.</w:t>
      </w:r>
    </w:p>
  </w:footnote>
  <w:footnote w:id="142">
    <w:p w14:paraId="286E92F9" w14:textId="77777777" w:rsidR="00B33BA9" w:rsidRPr="00A379F9" w:rsidRDefault="00B33BA9" w:rsidP="008D0CAD">
      <w:pPr>
        <w:pStyle w:val="FootnoteText"/>
        <w:rPr>
          <w:rFonts w:asciiTheme="majorHAnsi" w:hAnsiTheme="majorHAnsi" w:cstheme="majorHAnsi"/>
        </w:rPr>
      </w:pPr>
      <w:r w:rsidRPr="00A379F9">
        <w:rPr>
          <w:rStyle w:val="FootnoteReference"/>
          <w:rFonts w:asciiTheme="majorHAnsi" w:eastAsia="Arial Unicode MS" w:hAnsiTheme="majorHAnsi" w:cstheme="majorHAnsi"/>
        </w:rPr>
        <w:footnoteRef/>
      </w:r>
      <w:r w:rsidRPr="00A379F9">
        <w:rPr>
          <w:rFonts w:asciiTheme="majorHAnsi" w:hAnsiTheme="majorHAnsi" w:cstheme="majorHAnsi"/>
        </w:rPr>
        <w:t xml:space="preserve"> </w:t>
      </w:r>
      <w:r>
        <w:rPr>
          <w:rFonts w:asciiTheme="majorHAnsi" w:hAnsiTheme="majorHAnsi" w:cstheme="majorHAnsi"/>
        </w:rPr>
        <w:t>T</w:t>
      </w:r>
      <w:r w:rsidRPr="00A379F9">
        <w:rPr>
          <w:rFonts w:asciiTheme="majorHAnsi" w:hAnsiTheme="majorHAnsi" w:cstheme="majorHAnsi"/>
        </w:rPr>
        <w:t>he EOPE Study</w:t>
      </w:r>
      <w:r>
        <w:rPr>
          <w:rFonts w:asciiTheme="majorHAnsi" w:hAnsiTheme="majorHAnsi" w:cstheme="majorHAnsi"/>
        </w:rPr>
        <w:t xml:space="preserve"> </w:t>
      </w:r>
      <w:r w:rsidRPr="00A379F9">
        <w:rPr>
          <w:rFonts w:asciiTheme="majorHAnsi" w:hAnsiTheme="majorHAnsi" w:cstheme="majorHAnsi"/>
        </w:rPr>
        <w:t>focus</w:t>
      </w:r>
      <w:r>
        <w:rPr>
          <w:rFonts w:asciiTheme="majorHAnsi" w:hAnsiTheme="majorHAnsi" w:cstheme="majorHAnsi"/>
        </w:rPr>
        <w:t>ed</w:t>
      </w:r>
      <w:r w:rsidRPr="00A379F9">
        <w:rPr>
          <w:rFonts w:asciiTheme="majorHAnsi" w:hAnsiTheme="majorHAnsi" w:cstheme="majorHAnsi"/>
        </w:rPr>
        <w:t xml:space="preserve"> only on elementary schools</w:t>
      </w:r>
      <w:r>
        <w:rPr>
          <w:rFonts w:asciiTheme="majorHAnsi" w:hAnsiTheme="majorHAnsi" w:cstheme="majorHAnsi"/>
        </w:rPr>
        <w:t xml:space="preserve"> as agreed with the BEST Program Team</w:t>
      </w:r>
    </w:p>
  </w:footnote>
  <w:footnote w:id="143">
    <w:p w14:paraId="35093353" w14:textId="77777777" w:rsidR="00B33BA9" w:rsidRPr="00C817D0" w:rsidRDefault="00B33BA9" w:rsidP="008D0CAD">
      <w:pPr>
        <w:pStyle w:val="FootnoteText"/>
        <w:rPr>
          <w:rFonts w:asciiTheme="majorHAnsi" w:hAnsiTheme="majorHAnsi" w:cstheme="majorHAnsi"/>
        </w:rPr>
      </w:pPr>
      <w:r w:rsidRPr="00C817D0">
        <w:rPr>
          <w:rStyle w:val="FootnoteReference"/>
          <w:rFonts w:asciiTheme="majorHAnsi" w:eastAsia="Arial Unicode MS" w:hAnsiTheme="majorHAnsi" w:cstheme="majorHAnsi"/>
        </w:rPr>
        <w:footnoteRef/>
      </w:r>
      <w:r w:rsidRPr="00C817D0">
        <w:rPr>
          <w:rFonts w:asciiTheme="majorHAnsi" w:hAnsiTheme="majorHAnsi" w:cstheme="majorHAnsi"/>
        </w:rPr>
        <w:t xml:space="preserve"> The BEST Program formally ended at the end of June 2019 but SY2017-2018 was treated as the endline year.</w:t>
      </w:r>
    </w:p>
  </w:footnote>
  <w:footnote w:id="144">
    <w:p w14:paraId="3D02BAF7" w14:textId="77777777" w:rsidR="00B33BA9" w:rsidRPr="00E717B1" w:rsidRDefault="00B33BA9" w:rsidP="008D0CAD">
      <w:pPr>
        <w:pStyle w:val="FootnoteText"/>
        <w:rPr>
          <w:rFonts w:asciiTheme="majorHAnsi" w:hAnsiTheme="majorHAnsi" w:cstheme="majorHAnsi"/>
        </w:rPr>
      </w:pPr>
      <w:r w:rsidRPr="00E717B1">
        <w:rPr>
          <w:rStyle w:val="FootnoteReference"/>
          <w:rFonts w:asciiTheme="majorHAnsi" w:eastAsia="Arial Unicode MS" w:hAnsiTheme="majorHAnsi" w:cstheme="majorHAnsi"/>
        </w:rPr>
        <w:footnoteRef/>
      </w:r>
      <w:r w:rsidRPr="00E717B1">
        <w:rPr>
          <w:rFonts w:asciiTheme="majorHAnsi" w:hAnsiTheme="majorHAnsi" w:cstheme="majorHAnsi"/>
        </w:rPr>
        <w:t xml:space="preserve"> </w:t>
      </w:r>
      <w:r>
        <w:rPr>
          <w:rFonts w:asciiTheme="majorHAnsi" w:hAnsiTheme="majorHAnsi" w:cstheme="majorHAnsi"/>
        </w:rPr>
        <w:t xml:space="preserve">Unless otherwise indicated, all </w:t>
      </w:r>
      <w:r w:rsidRPr="00E717B1">
        <w:rPr>
          <w:rFonts w:asciiTheme="majorHAnsi" w:hAnsiTheme="majorHAnsi" w:cstheme="majorHAnsi"/>
        </w:rPr>
        <w:t>definitions of indicators are taken from the Glossary of Terms of the Philippine Statistics Authority, accessed</w:t>
      </w:r>
      <w:r>
        <w:rPr>
          <w:rFonts w:asciiTheme="majorHAnsi" w:hAnsiTheme="majorHAnsi" w:cstheme="majorHAnsi"/>
        </w:rPr>
        <w:t xml:space="preserve"> on 13 July 2019</w:t>
      </w:r>
      <w:r w:rsidRPr="00E717B1">
        <w:rPr>
          <w:rFonts w:asciiTheme="majorHAnsi" w:hAnsiTheme="majorHAnsi" w:cstheme="majorHAnsi"/>
        </w:rPr>
        <w:t xml:space="preserve"> </w:t>
      </w:r>
      <w:r w:rsidRPr="00950B96">
        <w:rPr>
          <w:rFonts w:asciiTheme="majorHAnsi" w:hAnsiTheme="majorHAnsi" w:cstheme="majorHAnsi"/>
        </w:rPr>
        <w:t xml:space="preserve">from </w:t>
      </w:r>
      <w:hyperlink r:id="rId2" w:history="1">
        <w:r w:rsidRPr="00950B96">
          <w:rPr>
            <w:rStyle w:val="Hyperlink"/>
            <w:rFonts w:eastAsiaTheme="majorEastAsia" w:cstheme="majorHAnsi"/>
            <w:bCs/>
          </w:rPr>
          <w:t>http://nap.psa.gov.ph/glossary/educ.asp</w:t>
        </w:r>
      </w:hyperlink>
    </w:p>
  </w:footnote>
  <w:footnote w:id="145">
    <w:p w14:paraId="2CCB57F8" w14:textId="77777777" w:rsidR="00B33BA9" w:rsidRPr="00135A44" w:rsidRDefault="00B33BA9" w:rsidP="008D0CAD">
      <w:pPr>
        <w:pStyle w:val="FootnoteText"/>
        <w:rPr>
          <w:rFonts w:asciiTheme="majorHAnsi" w:hAnsiTheme="majorHAnsi" w:cstheme="majorHAnsi"/>
        </w:rPr>
      </w:pPr>
      <w:r w:rsidRPr="00135A44">
        <w:rPr>
          <w:rStyle w:val="FootnoteReference"/>
          <w:rFonts w:asciiTheme="majorHAnsi" w:eastAsia="Arial Unicode MS" w:hAnsiTheme="majorHAnsi" w:cstheme="majorHAnsi"/>
        </w:rPr>
        <w:footnoteRef/>
      </w:r>
      <w:r w:rsidRPr="00135A44">
        <w:rPr>
          <w:rFonts w:asciiTheme="majorHAnsi" w:hAnsiTheme="majorHAnsi" w:cstheme="majorHAnsi"/>
        </w:rPr>
        <w:t xml:space="preserve"> Calculated as number of students enrolled in SY2017- 2018 less number of students enrolled in SY2013-2014.</w:t>
      </w:r>
    </w:p>
  </w:footnote>
  <w:footnote w:id="146">
    <w:p w14:paraId="0FFA8E74" w14:textId="77777777" w:rsidR="00B33BA9" w:rsidRPr="006B3948" w:rsidRDefault="00B33BA9" w:rsidP="008D0CAD">
      <w:pPr>
        <w:pStyle w:val="FootnoteText"/>
        <w:rPr>
          <w:rFonts w:asciiTheme="majorHAnsi" w:hAnsiTheme="majorHAnsi" w:cstheme="majorHAnsi"/>
        </w:rPr>
      </w:pPr>
      <w:r w:rsidRPr="006B3948">
        <w:rPr>
          <w:rStyle w:val="FootnoteReference"/>
          <w:rFonts w:asciiTheme="majorHAnsi" w:eastAsia="Arial Unicode MS" w:hAnsiTheme="majorHAnsi" w:cstheme="majorHAnsi"/>
        </w:rPr>
        <w:footnoteRef/>
      </w:r>
      <w:r w:rsidRPr="006B3948">
        <w:rPr>
          <w:rFonts w:asciiTheme="majorHAnsi" w:hAnsiTheme="majorHAnsi" w:cstheme="majorHAnsi"/>
        </w:rPr>
        <w:t xml:space="preserve"> The term comes directly from DepEd data and did not come from the EOPE Study Team</w:t>
      </w:r>
    </w:p>
  </w:footnote>
  <w:footnote w:id="147">
    <w:p w14:paraId="1A37A4F3" w14:textId="77777777" w:rsidR="00B33BA9" w:rsidRPr="006B3948" w:rsidRDefault="00B33BA9" w:rsidP="008D0CAD">
      <w:pPr>
        <w:pStyle w:val="FootnoteText"/>
        <w:rPr>
          <w:rFonts w:asciiTheme="majorHAnsi" w:hAnsiTheme="majorHAnsi" w:cstheme="majorHAnsi"/>
        </w:rPr>
      </w:pPr>
      <w:r w:rsidRPr="006B3948">
        <w:rPr>
          <w:rStyle w:val="FootnoteReference"/>
          <w:rFonts w:asciiTheme="majorHAnsi" w:eastAsia="Arial Unicode MS" w:hAnsiTheme="majorHAnsi" w:cstheme="majorHAnsi"/>
        </w:rPr>
        <w:footnoteRef/>
      </w:r>
      <w:r w:rsidRPr="006B3948">
        <w:rPr>
          <w:rFonts w:asciiTheme="majorHAnsi" w:hAnsiTheme="majorHAnsi" w:cstheme="majorHAnsi"/>
        </w:rPr>
        <w:t xml:space="preserve"> There were no data on learners with exceptionalities recorded in the prior years.</w:t>
      </w:r>
    </w:p>
  </w:footnote>
  <w:footnote w:id="148">
    <w:p w14:paraId="63BFC994" w14:textId="77777777" w:rsidR="00B33BA9" w:rsidRPr="00AD39A4" w:rsidRDefault="00B33BA9" w:rsidP="008D0CAD">
      <w:pPr>
        <w:pStyle w:val="FootnoteText"/>
        <w:rPr>
          <w:rFonts w:asciiTheme="majorHAnsi" w:hAnsiTheme="majorHAnsi" w:cstheme="majorHAnsi"/>
        </w:rPr>
      </w:pPr>
      <w:r w:rsidRPr="00AD39A4">
        <w:rPr>
          <w:rStyle w:val="FootnoteReference"/>
          <w:rFonts w:asciiTheme="majorHAnsi" w:eastAsia="Arial Unicode MS" w:hAnsiTheme="majorHAnsi" w:cstheme="majorHAnsi"/>
        </w:rPr>
        <w:footnoteRef/>
      </w:r>
      <w:r w:rsidRPr="00AD39A4">
        <w:rPr>
          <w:rFonts w:asciiTheme="majorHAnsi" w:hAnsiTheme="majorHAnsi" w:cstheme="majorHAnsi"/>
        </w:rPr>
        <w:t xml:space="preserve"> The Study Team were not asked to look at other Program interventions undertaken by the BEST Program such as the Innovation Fund</w:t>
      </w:r>
      <w:r>
        <w:rPr>
          <w:rFonts w:asciiTheme="majorHAnsi" w:hAnsiTheme="majorHAnsi" w:cstheme="majorHAnsi"/>
        </w:rPr>
        <w:t xml:space="preserve"> and the interventions related to the Rationalisation Plan</w:t>
      </w:r>
      <w:r w:rsidRPr="00AD39A4">
        <w:rPr>
          <w:rFonts w:asciiTheme="majorHAnsi" w:hAnsiTheme="majorHAnsi" w:cstheme="majorHAns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5"/>
      <w:gridCol w:w="3005"/>
      <w:gridCol w:w="3005"/>
    </w:tblGrid>
    <w:tr w:rsidR="00B33BA9" w14:paraId="5D6DA274" w14:textId="77777777" w:rsidTr="6E546FFA">
      <w:tc>
        <w:tcPr>
          <w:tcW w:w="3005" w:type="dxa"/>
        </w:tcPr>
        <w:p w14:paraId="6EE08A8F" w14:textId="233D8022" w:rsidR="00B33BA9" w:rsidRDefault="00B33BA9" w:rsidP="6E546FFA">
          <w:pPr>
            <w:pStyle w:val="Header"/>
            <w:ind w:left="-115"/>
          </w:pPr>
        </w:p>
      </w:tc>
      <w:tc>
        <w:tcPr>
          <w:tcW w:w="3005" w:type="dxa"/>
        </w:tcPr>
        <w:p w14:paraId="53EFAE53" w14:textId="7EB86EE8" w:rsidR="00B33BA9" w:rsidRDefault="00B33BA9" w:rsidP="6E546FFA">
          <w:pPr>
            <w:pStyle w:val="Header"/>
            <w:jc w:val="center"/>
          </w:pPr>
        </w:p>
      </w:tc>
      <w:tc>
        <w:tcPr>
          <w:tcW w:w="3005" w:type="dxa"/>
        </w:tcPr>
        <w:p w14:paraId="74EE48ED" w14:textId="256EAB5B" w:rsidR="00B33BA9" w:rsidRDefault="00B33BA9" w:rsidP="6E546FFA">
          <w:pPr>
            <w:pStyle w:val="Header"/>
            <w:ind w:right="-115"/>
            <w:jc w:val="right"/>
          </w:pPr>
        </w:p>
      </w:tc>
    </w:tr>
  </w:tbl>
  <w:p w14:paraId="6C13CB1B" w14:textId="087BEF42" w:rsidR="00B33BA9" w:rsidRDefault="00B33BA9" w:rsidP="6E546FF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5"/>
      <w:gridCol w:w="3005"/>
      <w:gridCol w:w="3005"/>
    </w:tblGrid>
    <w:tr w:rsidR="00B33BA9" w14:paraId="5B18F93C" w14:textId="77777777" w:rsidTr="6E546FFA">
      <w:tc>
        <w:tcPr>
          <w:tcW w:w="3005" w:type="dxa"/>
        </w:tcPr>
        <w:p w14:paraId="66D6A8D0" w14:textId="1805614C" w:rsidR="00B33BA9" w:rsidRDefault="00B33BA9" w:rsidP="6E546FFA">
          <w:pPr>
            <w:pStyle w:val="Header"/>
            <w:ind w:left="-115"/>
          </w:pPr>
        </w:p>
      </w:tc>
      <w:tc>
        <w:tcPr>
          <w:tcW w:w="3005" w:type="dxa"/>
        </w:tcPr>
        <w:p w14:paraId="36A28537" w14:textId="7D9FBBFC" w:rsidR="00B33BA9" w:rsidRDefault="00B33BA9" w:rsidP="6E546FFA">
          <w:pPr>
            <w:pStyle w:val="Header"/>
            <w:jc w:val="center"/>
          </w:pPr>
        </w:p>
      </w:tc>
      <w:tc>
        <w:tcPr>
          <w:tcW w:w="3005" w:type="dxa"/>
        </w:tcPr>
        <w:p w14:paraId="38445F7C" w14:textId="1E3614BD" w:rsidR="00B33BA9" w:rsidRDefault="00B33BA9" w:rsidP="6E546FFA">
          <w:pPr>
            <w:pStyle w:val="Header"/>
            <w:ind w:right="-115"/>
            <w:jc w:val="right"/>
          </w:pPr>
        </w:p>
      </w:tc>
    </w:tr>
  </w:tbl>
  <w:p w14:paraId="1793E4F1" w14:textId="275D6E83" w:rsidR="00B33BA9" w:rsidRDefault="00B33BA9" w:rsidP="6E546FF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5"/>
      <w:gridCol w:w="3005"/>
      <w:gridCol w:w="3005"/>
    </w:tblGrid>
    <w:tr w:rsidR="00B33BA9" w14:paraId="39D9C178" w14:textId="77777777" w:rsidTr="6E546FFA">
      <w:tc>
        <w:tcPr>
          <w:tcW w:w="3005" w:type="dxa"/>
        </w:tcPr>
        <w:p w14:paraId="03518D40" w14:textId="0F9C0F6B" w:rsidR="00B33BA9" w:rsidRDefault="00B33BA9" w:rsidP="6E546FFA">
          <w:pPr>
            <w:pStyle w:val="Header"/>
            <w:ind w:left="-115"/>
          </w:pPr>
        </w:p>
      </w:tc>
      <w:tc>
        <w:tcPr>
          <w:tcW w:w="3005" w:type="dxa"/>
        </w:tcPr>
        <w:p w14:paraId="2B39CBED" w14:textId="558B6759" w:rsidR="00B33BA9" w:rsidRDefault="00B33BA9" w:rsidP="6E546FFA">
          <w:pPr>
            <w:pStyle w:val="Header"/>
            <w:jc w:val="center"/>
          </w:pPr>
        </w:p>
      </w:tc>
      <w:tc>
        <w:tcPr>
          <w:tcW w:w="3005" w:type="dxa"/>
        </w:tcPr>
        <w:p w14:paraId="3495D653" w14:textId="393F938C" w:rsidR="00B33BA9" w:rsidRDefault="00B33BA9" w:rsidP="6E546FFA">
          <w:pPr>
            <w:pStyle w:val="Header"/>
            <w:ind w:right="-115"/>
            <w:jc w:val="right"/>
          </w:pPr>
        </w:p>
      </w:tc>
    </w:tr>
  </w:tbl>
  <w:p w14:paraId="2B96588E" w14:textId="06FC8CF2" w:rsidR="00B33BA9" w:rsidRDefault="00B33BA9" w:rsidP="6E546FF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5"/>
      <w:gridCol w:w="3005"/>
      <w:gridCol w:w="3005"/>
    </w:tblGrid>
    <w:tr w:rsidR="00B33BA9" w14:paraId="246337AE" w14:textId="77777777" w:rsidTr="6E546FFA">
      <w:tc>
        <w:tcPr>
          <w:tcW w:w="3005" w:type="dxa"/>
        </w:tcPr>
        <w:p w14:paraId="4390EF27" w14:textId="1BDEFCF9" w:rsidR="00B33BA9" w:rsidRDefault="00B33BA9" w:rsidP="6E546FFA">
          <w:pPr>
            <w:pStyle w:val="Header"/>
            <w:ind w:left="-115"/>
          </w:pPr>
        </w:p>
      </w:tc>
      <w:tc>
        <w:tcPr>
          <w:tcW w:w="3005" w:type="dxa"/>
        </w:tcPr>
        <w:p w14:paraId="7CC8CD11" w14:textId="4DC91DBE" w:rsidR="00B33BA9" w:rsidRDefault="00B33BA9" w:rsidP="6E546FFA">
          <w:pPr>
            <w:pStyle w:val="Header"/>
            <w:jc w:val="center"/>
          </w:pPr>
        </w:p>
      </w:tc>
      <w:tc>
        <w:tcPr>
          <w:tcW w:w="3005" w:type="dxa"/>
        </w:tcPr>
        <w:p w14:paraId="3558373F" w14:textId="68DA1175" w:rsidR="00B33BA9" w:rsidRDefault="00B33BA9" w:rsidP="6E546FFA">
          <w:pPr>
            <w:pStyle w:val="Header"/>
            <w:ind w:right="-115"/>
            <w:jc w:val="right"/>
          </w:pPr>
        </w:p>
      </w:tc>
    </w:tr>
  </w:tbl>
  <w:p w14:paraId="09B42B18" w14:textId="04664CCF" w:rsidR="00B33BA9" w:rsidRDefault="00B33BA9" w:rsidP="6E546FF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5130"/>
      <w:gridCol w:w="5130"/>
      <w:gridCol w:w="5130"/>
    </w:tblGrid>
    <w:tr w:rsidR="00B33BA9" w14:paraId="325D619F" w14:textId="77777777" w:rsidTr="6E546FFA">
      <w:tc>
        <w:tcPr>
          <w:tcW w:w="5130" w:type="dxa"/>
        </w:tcPr>
        <w:p w14:paraId="466D571B" w14:textId="1F48C5D7" w:rsidR="00B33BA9" w:rsidRDefault="00B33BA9" w:rsidP="6E546FFA">
          <w:pPr>
            <w:pStyle w:val="Header"/>
            <w:ind w:left="-115"/>
          </w:pPr>
        </w:p>
      </w:tc>
      <w:tc>
        <w:tcPr>
          <w:tcW w:w="5130" w:type="dxa"/>
        </w:tcPr>
        <w:p w14:paraId="2B81EDCB" w14:textId="1A2476C2" w:rsidR="00B33BA9" w:rsidRDefault="00B33BA9" w:rsidP="6E546FFA">
          <w:pPr>
            <w:pStyle w:val="Header"/>
            <w:jc w:val="center"/>
          </w:pPr>
        </w:p>
      </w:tc>
      <w:tc>
        <w:tcPr>
          <w:tcW w:w="5130" w:type="dxa"/>
        </w:tcPr>
        <w:p w14:paraId="55E6B633" w14:textId="12921D23" w:rsidR="00B33BA9" w:rsidRDefault="00B33BA9" w:rsidP="6E546FFA">
          <w:pPr>
            <w:pStyle w:val="Header"/>
            <w:ind w:right="-115"/>
            <w:jc w:val="right"/>
          </w:pPr>
        </w:p>
      </w:tc>
    </w:tr>
  </w:tbl>
  <w:p w14:paraId="763AFFAD" w14:textId="1424A4A0" w:rsidR="00B33BA9" w:rsidRDefault="00B33BA9" w:rsidP="6E546FF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6DB17D" w14:textId="77777777" w:rsidR="00B33BA9" w:rsidRDefault="00B33BA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153969" w14:textId="77777777" w:rsidR="00B33BA9" w:rsidRDefault="00B33BA9">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871268" w14:textId="77777777" w:rsidR="00B33BA9" w:rsidRDefault="00B33BA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D7CDA6" w14:textId="77777777" w:rsidR="00B33BA9" w:rsidRDefault="00B33BA9">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744369" w14:textId="77777777" w:rsidR="00B33BA9" w:rsidRDefault="00B33BA9">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E8BA64" w14:textId="77777777" w:rsidR="00B33BA9" w:rsidRDefault="00B33B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5"/>
      <w:gridCol w:w="3005"/>
      <w:gridCol w:w="3005"/>
    </w:tblGrid>
    <w:tr w:rsidR="00B33BA9" w14:paraId="767AE310" w14:textId="77777777" w:rsidTr="6E546FFA">
      <w:tc>
        <w:tcPr>
          <w:tcW w:w="3005" w:type="dxa"/>
        </w:tcPr>
        <w:p w14:paraId="0352C807" w14:textId="46203066" w:rsidR="00B33BA9" w:rsidRDefault="00B33BA9" w:rsidP="6E546FFA">
          <w:pPr>
            <w:pStyle w:val="Header"/>
            <w:ind w:left="-115"/>
          </w:pPr>
        </w:p>
      </w:tc>
      <w:tc>
        <w:tcPr>
          <w:tcW w:w="3005" w:type="dxa"/>
        </w:tcPr>
        <w:p w14:paraId="470D4B93" w14:textId="2882424E" w:rsidR="00B33BA9" w:rsidRDefault="00B33BA9" w:rsidP="6E546FFA">
          <w:pPr>
            <w:pStyle w:val="Header"/>
            <w:jc w:val="center"/>
          </w:pPr>
        </w:p>
      </w:tc>
      <w:tc>
        <w:tcPr>
          <w:tcW w:w="3005" w:type="dxa"/>
        </w:tcPr>
        <w:p w14:paraId="0FDC464C" w14:textId="4F0B0084" w:rsidR="00B33BA9" w:rsidRDefault="00B33BA9" w:rsidP="6E546FFA">
          <w:pPr>
            <w:pStyle w:val="Header"/>
            <w:ind w:right="-115"/>
            <w:jc w:val="right"/>
          </w:pPr>
        </w:p>
      </w:tc>
    </w:tr>
  </w:tbl>
  <w:p w14:paraId="46C5BB8B" w14:textId="67EEDADA" w:rsidR="00B33BA9" w:rsidRDefault="00B33BA9" w:rsidP="6E546FFA">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E8ED4E" w14:textId="77777777" w:rsidR="00B33BA9" w:rsidRDefault="00B33BA9" w:rsidP="001A5E7B">
    <w:pPr>
      <w:rPr>
        <w:rFonts w:asciiTheme="majorHAnsi" w:hAnsiTheme="majorHAnsi" w:cstheme="majorHAnsi"/>
        <w:sz w:val="20"/>
        <w:szCs w:val="20"/>
      </w:rPr>
    </w:pPr>
    <w:r>
      <w:rPr>
        <w:noProof/>
        <w:lang w:val="en-AU" w:eastAsia="en-AU"/>
      </w:rPr>
      <w:drawing>
        <wp:inline distT="0" distB="0" distL="0" distR="0" wp14:anchorId="02110E72" wp14:editId="370B03AB">
          <wp:extent cx="1706245" cy="412115"/>
          <wp:effectExtent l="0" t="0" r="8255" b="698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l="11246" t="6388" r="12239" b="64012"/>
                  <a:stretch/>
                </pic:blipFill>
                <pic:spPr bwMode="auto">
                  <a:xfrm>
                    <a:off x="0" y="0"/>
                    <a:ext cx="1706245" cy="412115"/>
                  </a:xfrm>
                  <a:prstGeom prst="rect">
                    <a:avLst/>
                  </a:prstGeom>
                  <a:ln>
                    <a:noFill/>
                  </a:ln>
                  <a:extLst>
                    <a:ext uri="{53640926-AAD7-44D8-BBD7-CCE9431645EC}">
                      <a14:shadowObscured xmlns:a14="http://schemas.microsoft.com/office/drawing/2010/main"/>
                    </a:ext>
                  </a:extLst>
                </pic:spPr>
              </pic:pic>
            </a:graphicData>
          </a:graphic>
        </wp:inline>
      </w:drawing>
    </w:r>
  </w:p>
  <w:p w14:paraId="4B7388A6" w14:textId="39523F68" w:rsidR="00B33BA9" w:rsidRPr="00ED3ED9" w:rsidRDefault="00B33BA9" w:rsidP="001A5E7B">
    <w:pPr>
      <w:rPr>
        <w:rFonts w:asciiTheme="majorHAnsi" w:hAnsiTheme="majorHAnsi" w:cstheme="majorHAnsi"/>
        <w:sz w:val="20"/>
        <w:szCs w:val="20"/>
      </w:rPr>
    </w:pPr>
    <w:r w:rsidRPr="00ED3ED9">
      <w:rPr>
        <w:rFonts w:asciiTheme="majorHAnsi" w:hAnsiTheme="majorHAnsi" w:cstheme="majorHAnsi"/>
        <w:sz w:val="20"/>
        <w:szCs w:val="20"/>
      </w:rPr>
      <w:t>Basic Education Sector Transformation (BEST)</w:t>
    </w:r>
    <w:r>
      <w:rPr>
        <w:rFonts w:asciiTheme="majorHAnsi" w:hAnsiTheme="majorHAnsi" w:cstheme="majorHAnsi"/>
        <w:sz w:val="20"/>
        <w:szCs w:val="20"/>
      </w:rPr>
      <w:tab/>
    </w:r>
    <w:r>
      <w:rPr>
        <w:rFonts w:asciiTheme="majorHAnsi" w:hAnsiTheme="majorHAnsi" w:cstheme="majorHAnsi"/>
        <w:sz w:val="20"/>
        <w:szCs w:val="20"/>
      </w:rPr>
      <w:tab/>
    </w:r>
    <w:r>
      <w:rPr>
        <w:rFonts w:asciiTheme="majorHAnsi" w:hAnsiTheme="majorHAnsi" w:cstheme="majorHAnsi"/>
        <w:sz w:val="20"/>
        <w:szCs w:val="20"/>
      </w:rPr>
      <w:tab/>
    </w:r>
    <w:r w:rsidRPr="00ED3ED9">
      <w:rPr>
        <w:noProof/>
      </w:rPr>
      <w:t xml:space="preserve"> </w:t>
    </w:r>
  </w:p>
  <w:p w14:paraId="2A4E3088" w14:textId="77777777" w:rsidR="00B33BA9" w:rsidRPr="00ED3ED9" w:rsidRDefault="00B33BA9" w:rsidP="009C64E9">
    <w:pPr>
      <w:rPr>
        <w:rFonts w:asciiTheme="majorHAnsi" w:hAnsiTheme="majorHAnsi" w:cstheme="majorHAnsi"/>
        <w:sz w:val="20"/>
        <w:szCs w:val="20"/>
      </w:rPr>
    </w:pPr>
    <w:r w:rsidRPr="00ED3ED9">
      <w:rPr>
        <w:rFonts w:asciiTheme="majorHAnsi" w:hAnsiTheme="majorHAnsi" w:cstheme="majorHAnsi"/>
        <w:sz w:val="20"/>
        <w:szCs w:val="20"/>
      </w:rPr>
      <w:t>End-of-Program Evaluation (EOPE) Study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5"/>
      <w:gridCol w:w="3005"/>
      <w:gridCol w:w="3005"/>
    </w:tblGrid>
    <w:tr w:rsidR="00B33BA9" w14:paraId="5F879F6D" w14:textId="77777777" w:rsidTr="6E546FFA">
      <w:tc>
        <w:tcPr>
          <w:tcW w:w="3005" w:type="dxa"/>
        </w:tcPr>
        <w:p w14:paraId="3274E0C6" w14:textId="111064FA" w:rsidR="00B33BA9" w:rsidRDefault="00B33BA9" w:rsidP="6E546FFA">
          <w:pPr>
            <w:pStyle w:val="Header"/>
            <w:ind w:left="-115"/>
          </w:pPr>
        </w:p>
      </w:tc>
      <w:tc>
        <w:tcPr>
          <w:tcW w:w="3005" w:type="dxa"/>
        </w:tcPr>
        <w:p w14:paraId="55867F56" w14:textId="19D05445" w:rsidR="00B33BA9" w:rsidRDefault="00B33BA9" w:rsidP="6E546FFA">
          <w:pPr>
            <w:pStyle w:val="Header"/>
            <w:jc w:val="center"/>
          </w:pPr>
        </w:p>
      </w:tc>
      <w:tc>
        <w:tcPr>
          <w:tcW w:w="3005" w:type="dxa"/>
        </w:tcPr>
        <w:p w14:paraId="0DBFFBC1" w14:textId="433A6E75" w:rsidR="00B33BA9" w:rsidRDefault="00B33BA9" w:rsidP="6E546FFA">
          <w:pPr>
            <w:pStyle w:val="Header"/>
            <w:ind w:right="-115"/>
            <w:jc w:val="right"/>
          </w:pPr>
        </w:p>
      </w:tc>
    </w:tr>
  </w:tbl>
  <w:p w14:paraId="68AD710B" w14:textId="75755667" w:rsidR="00B33BA9" w:rsidRDefault="00B33BA9" w:rsidP="6E546FF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5"/>
      <w:gridCol w:w="3005"/>
      <w:gridCol w:w="3005"/>
    </w:tblGrid>
    <w:tr w:rsidR="00B33BA9" w14:paraId="4A788BAA" w14:textId="77777777" w:rsidTr="6E546FFA">
      <w:tc>
        <w:tcPr>
          <w:tcW w:w="3005" w:type="dxa"/>
        </w:tcPr>
        <w:p w14:paraId="24ECF80B" w14:textId="6A877208" w:rsidR="00B33BA9" w:rsidRDefault="00B33BA9" w:rsidP="6E546FFA">
          <w:pPr>
            <w:pStyle w:val="Header"/>
            <w:ind w:left="-115"/>
          </w:pPr>
        </w:p>
      </w:tc>
      <w:tc>
        <w:tcPr>
          <w:tcW w:w="3005" w:type="dxa"/>
        </w:tcPr>
        <w:p w14:paraId="171B581D" w14:textId="2503FD84" w:rsidR="00B33BA9" w:rsidRDefault="00B33BA9" w:rsidP="6E546FFA">
          <w:pPr>
            <w:pStyle w:val="Header"/>
            <w:jc w:val="center"/>
          </w:pPr>
        </w:p>
      </w:tc>
      <w:tc>
        <w:tcPr>
          <w:tcW w:w="3005" w:type="dxa"/>
        </w:tcPr>
        <w:p w14:paraId="3F1967A3" w14:textId="130E30D0" w:rsidR="00B33BA9" w:rsidRDefault="00B33BA9" w:rsidP="6E546FFA">
          <w:pPr>
            <w:pStyle w:val="Header"/>
            <w:ind w:right="-115"/>
            <w:jc w:val="right"/>
          </w:pPr>
        </w:p>
      </w:tc>
    </w:tr>
  </w:tbl>
  <w:p w14:paraId="42557903" w14:textId="658C5FF0" w:rsidR="00B33BA9" w:rsidRDefault="00B33BA9" w:rsidP="6E546FF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485"/>
      <w:gridCol w:w="3485"/>
      <w:gridCol w:w="3485"/>
    </w:tblGrid>
    <w:tr w:rsidR="00B33BA9" w14:paraId="0F9E00C8" w14:textId="77777777" w:rsidTr="6E546FFA">
      <w:tc>
        <w:tcPr>
          <w:tcW w:w="3485" w:type="dxa"/>
        </w:tcPr>
        <w:p w14:paraId="10482CAD" w14:textId="29F34972" w:rsidR="00B33BA9" w:rsidRDefault="00B33BA9" w:rsidP="6E546FFA">
          <w:pPr>
            <w:pStyle w:val="Header"/>
            <w:ind w:left="-115"/>
          </w:pPr>
        </w:p>
      </w:tc>
      <w:tc>
        <w:tcPr>
          <w:tcW w:w="3485" w:type="dxa"/>
        </w:tcPr>
        <w:p w14:paraId="7C1FEC59" w14:textId="1075A22B" w:rsidR="00B33BA9" w:rsidRDefault="00B33BA9" w:rsidP="6E546FFA">
          <w:pPr>
            <w:pStyle w:val="Header"/>
            <w:jc w:val="center"/>
          </w:pPr>
        </w:p>
      </w:tc>
      <w:tc>
        <w:tcPr>
          <w:tcW w:w="3485" w:type="dxa"/>
        </w:tcPr>
        <w:p w14:paraId="6DF54003" w14:textId="29C8EB71" w:rsidR="00B33BA9" w:rsidRDefault="00B33BA9" w:rsidP="6E546FFA">
          <w:pPr>
            <w:pStyle w:val="Header"/>
            <w:ind w:right="-115"/>
            <w:jc w:val="right"/>
          </w:pPr>
        </w:p>
      </w:tc>
    </w:tr>
  </w:tbl>
  <w:p w14:paraId="62EEF97A" w14:textId="46E29CA4" w:rsidR="00B33BA9" w:rsidRDefault="00B33BA9" w:rsidP="6E546FF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5"/>
      <w:gridCol w:w="3005"/>
      <w:gridCol w:w="3005"/>
    </w:tblGrid>
    <w:tr w:rsidR="00B33BA9" w14:paraId="53109009" w14:textId="77777777" w:rsidTr="6E546FFA">
      <w:tc>
        <w:tcPr>
          <w:tcW w:w="3005" w:type="dxa"/>
        </w:tcPr>
        <w:p w14:paraId="5FF08F3B" w14:textId="542604B1" w:rsidR="00B33BA9" w:rsidRDefault="00B33BA9" w:rsidP="6E546FFA">
          <w:pPr>
            <w:pStyle w:val="Header"/>
            <w:ind w:left="-115"/>
          </w:pPr>
        </w:p>
      </w:tc>
      <w:tc>
        <w:tcPr>
          <w:tcW w:w="3005" w:type="dxa"/>
        </w:tcPr>
        <w:p w14:paraId="1B5615CC" w14:textId="2A7B6F38" w:rsidR="00B33BA9" w:rsidRDefault="00B33BA9" w:rsidP="6E546FFA">
          <w:pPr>
            <w:pStyle w:val="Header"/>
            <w:jc w:val="center"/>
          </w:pPr>
        </w:p>
      </w:tc>
      <w:tc>
        <w:tcPr>
          <w:tcW w:w="3005" w:type="dxa"/>
        </w:tcPr>
        <w:p w14:paraId="6CB4F97E" w14:textId="4F2690B4" w:rsidR="00B33BA9" w:rsidRDefault="00B33BA9" w:rsidP="6E546FFA">
          <w:pPr>
            <w:pStyle w:val="Header"/>
            <w:ind w:right="-115"/>
            <w:jc w:val="right"/>
          </w:pPr>
        </w:p>
      </w:tc>
    </w:tr>
  </w:tbl>
  <w:p w14:paraId="15A1D407" w14:textId="6E78B045" w:rsidR="00B33BA9" w:rsidRDefault="00B33BA9" w:rsidP="6E546FF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5"/>
      <w:gridCol w:w="3005"/>
      <w:gridCol w:w="3005"/>
    </w:tblGrid>
    <w:tr w:rsidR="00B33BA9" w14:paraId="29A01607" w14:textId="77777777" w:rsidTr="6E546FFA">
      <w:tc>
        <w:tcPr>
          <w:tcW w:w="3005" w:type="dxa"/>
        </w:tcPr>
        <w:p w14:paraId="7AADD92F" w14:textId="6912BB74" w:rsidR="00B33BA9" w:rsidRDefault="00B33BA9" w:rsidP="6E546FFA">
          <w:pPr>
            <w:pStyle w:val="Header"/>
            <w:ind w:left="-115"/>
          </w:pPr>
        </w:p>
      </w:tc>
      <w:tc>
        <w:tcPr>
          <w:tcW w:w="3005" w:type="dxa"/>
        </w:tcPr>
        <w:p w14:paraId="3F5656C6" w14:textId="1DDFA230" w:rsidR="00B33BA9" w:rsidRDefault="00B33BA9" w:rsidP="6E546FFA">
          <w:pPr>
            <w:pStyle w:val="Header"/>
            <w:jc w:val="center"/>
          </w:pPr>
        </w:p>
      </w:tc>
      <w:tc>
        <w:tcPr>
          <w:tcW w:w="3005" w:type="dxa"/>
        </w:tcPr>
        <w:p w14:paraId="757F8C87" w14:textId="65AA6077" w:rsidR="00B33BA9" w:rsidRDefault="00B33BA9" w:rsidP="6E546FFA">
          <w:pPr>
            <w:pStyle w:val="Header"/>
            <w:ind w:right="-115"/>
            <w:jc w:val="right"/>
          </w:pPr>
        </w:p>
      </w:tc>
    </w:tr>
  </w:tbl>
  <w:p w14:paraId="51BEFE07" w14:textId="4A30AD58" w:rsidR="00B33BA9" w:rsidRDefault="00B33BA9" w:rsidP="6E546FF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5"/>
      <w:gridCol w:w="3005"/>
      <w:gridCol w:w="3005"/>
    </w:tblGrid>
    <w:tr w:rsidR="00B33BA9" w14:paraId="41B1E298" w14:textId="77777777" w:rsidTr="6E546FFA">
      <w:tc>
        <w:tcPr>
          <w:tcW w:w="3005" w:type="dxa"/>
        </w:tcPr>
        <w:p w14:paraId="7BC2DEFB" w14:textId="566C7DD8" w:rsidR="00B33BA9" w:rsidRDefault="00B33BA9" w:rsidP="6E546FFA">
          <w:pPr>
            <w:pStyle w:val="Header"/>
            <w:ind w:left="-115"/>
          </w:pPr>
        </w:p>
      </w:tc>
      <w:tc>
        <w:tcPr>
          <w:tcW w:w="3005" w:type="dxa"/>
        </w:tcPr>
        <w:p w14:paraId="5DF6EC20" w14:textId="77EF4A5C" w:rsidR="00B33BA9" w:rsidRDefault="00B33BA9" w:rsidP="6E546FFA">
          <w:pPr>
            <w:pStyle w:val="Header"/>
            <w:jc w:val="center"/>
          </w:pPr>
        </w:p>
      </w:tc>
      <w:tc>
        <w:tcPr>
          <w:tcW w:w="3005" w:type="dxa"/>
        </w:tcPr>
        <w:p w14:paraId="3AB7A402" w14:textId="2CD886B8" w:rsidR="00B33BA9" w:rsidRDefault="00B33BA9" w:rsidP="6E546FFA">
          <w:pPr>
            <w:pStyle w:val="Header"/>
            <w:ind w:right="-115"/>
            <w:jc w:val="right"/>
          </w:pPr>
        </w:p>
      </w:tc>
    </w:tr>
  </w:tbl>
  <w:p w14:paraId="45451F4A" w14:textId="3F470E6D" w:rsidR="00B33BA9" w:rsidRDefault="00B33BA9" w:rsidP="6E546FF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5"/>
      <w:gridCol w:w="3005"/>
      <w:gridCol w:w="3005"/>
    </w:tblGrid>
    <w:tr w:rsidR="00B33BA9" w14:paraId="24850050" w14:textId="77777777" w:rsidTr="6E546FFA">
      <w:tc>
        <w:tcPr>
          <w:tcW w:w="3005" w:type="dxa"/>
        </w:tcPr>
        <w:p w14:paraId="64EF95F9" w14:textId="0D3F779B" w:rsidR="00B33BA9" w:rsidRDefault="00B33BA9" w:rsidP="6E546FFA">
          <w:pPr>
            <w:pStyle w:val="Header"/>
            <w:ind w:left="-115"/>
          </w:pPr>
        </w:p>
      </w:tc>
      <w:tc>
        <w:tcPr>
          <w:tcW w:w="3005" w:type="dxa"/>
        </w:tcPr>
        <w:p w14:paraId="2B277FC3" w14:textId="048C82D2" w:rsidR="00B33BA9" w:rsidRDefault="00B33BA9" w:rsidP="6E546FFA">
          <w:pPr>
            <w:pStyle w:val="Header"/>
            <w:jc w:val="center"/>
          </w:pPr>
        </w:p>
      </w:tc>
      <w:tc>
        <w:tcPr>
          <w:tcW w:w="3005" w:type="dxa"/>
        </w:tcPr>
        <w:p w14:paraId="74819692" w14:textId="3BC756ED" w:rsidR="00B33BA9" w:rsidRDefault="00B33BA9" w:rsidP="6E546FFA">
          <w:pPr>
            <w:pStyle w:val="Header"/>
            <w:ind w:right="-115"/>
            <w:jc w:val="right"/>
          </w:pPr>
        </w:p>
      </w:tc>
    </w:tr>
  </w:tbl>
  <w:p w14:paraId="699B8AD9" w14:textId="6441F766" w:rsidR="00B33BA9" w:rsidRDefault="00B33BA9" w:rsidP="6E546F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55A6D"/>
    <w:multiLevelType w:val="hybridMultilevel"/>
    <w:tmpl w:val="B1E4E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A557EA"/>
    <w:multiLevelType w:val="hybridMultilevel"/>
    <w:tmpl w:val="F6F24E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2BF78D1"/>
    <w:multiLevelType w:val="hybridMultilevel"/>
    <w:tmpl w:val="72E683EC"/>
    <w:lvl w:ilvl="0" w:tplc="7CFC5AE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5209E0"/>
    <w:multiLevelType w:val="hybridMultilevel"/>
    <w:tmpl w:val="B1C088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3A21D0D"/>
    <w:multiLevelType w:val="hybridMultilevel"/>
    <w:tmpl w:val="4410AF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A74C5B"/>
    <w:multiLevelType w:val="multilevel"/>
    <w:tmpl w:val="0409001F"/>
    <w:styleLink w:val="Style2"/>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44A4CA7"/>
    <w:multiLevelType w:val="multilevel"/>
    <w:tmpl w:val="0409001F"/>
    <w:styleLink w:val="Style11"/>
    <w:lvl w:ilvl="0">
      <w:start w:val="2"/>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 w15:restartNumberingAfterBreak="0">
    <w:nsid w:val="04BA0447"/>
    <w:multiLevelType w:val="multilevel"/>
    <w:tmpl w:val="6F4C4A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0A6F9C"/>
    <w:multiLevelType w:val="hybridMultilevel"/>
    <w:tmpl w:val="20E41676"/>
    <w:lvl w:ilvl="0" w:tplc="7F7E832A">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58616CA"/>
    <w:multiLevelType w:val="hybridMultilevel"/>
    <w:tmpl w:val="062C3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C042FE"/>
    <w:multiLevelType w:val="hybridMultilevel"/>
    <w:tmpl w:val="72F0FE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5E603D4"/>
    <w:multiLevelType w:val="hybridMultilevel"/>
    <w:tmpl w:val="105634C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6064EF2"/>
    <w:multiLevelType w:val="multilevel"/>
    <w:tmpl w:val="CDF231E0"/>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3" w15:restartNumberingAfterBreak="0">
    <w:nsid w:val="07F87801"/>
    <w:multiLevelType w:val="multilevel"/>
    <w:tmpl w:val="40AEA55C"/>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4" w15:restartNumberingAfterBreak="0">
    <w:nsid w:val="08195907"/>
    <w:multiLevelType w:val="hybridMultilevel"/>
    <w:tmpl w:val="461E7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8530ED2"/>
    <w:multiLevelType w:val="multilevel"/>
    <w:tmpl w:val="5E66F6A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0876506F"/>
    <w:multiLevelType w:val="multilevel"/>
    <w:tmpl w:val="B28C1208"/>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color w:val="000000" w:themeColor="text1"/>
      </w:rPr>
    </w:lvl>
    <w:lvl w:ilvl="2">
      <w:start w:val="1"/>
      <w:numFmt w:val="decimal"/>
      <w:isLgl/>
      <w:lvlText w:val="%1.%2.%3."/>
      <w:lvlJc w:val="left"/>
      <w:pPr>
        <w:ind w:left="1440" w:hanging="720"/>
      </w:pPr>
      <w:rPr>
        <w:rFonts w:hint="default"/>
        <w:color w:val="000000" w:themeColor="text1"/>
      </w:rPr>
    </w:lvl>
    <w:lvl w:ilvl="3">
      <w:start w:val="1"/>
      <w:numFmt w:val="decimal"/>
      <w:isLgl/>
      <w:lvlText w:val="%1.%2.%3.%4."/>
      <w:lvlJc w:val="left"/>
      <w:pPr>
        <w:ind w:left="1800" w:hanging="720"/>
      </w:pPr>
      <w:rPr>
        <w:rFonts w:hint="default"/>
        <w:color w:val="000000" w:themeColor="text1"/>
      </w:rPr>
    </w:lvl>
    <w:lvl w:ilvl="4">
      <w:start w:val="1"/>
      <w:numFmt w:val="decimal"/>
      <w:isLgl/>
      <w:lvlText w:val="%1.%2.%3.%4.%5."/>
      <w:lvlJc w:val="left"/>
      <w:pPr>
        <w:ind w:left="2520" w:hanging="1080"/>
      </w:pPr>
      <w:rPr>
        <w:rFonts w:hint="default"/>
        <w:color w:val="000000" w:themeColor="text1"/>
      </w:rPr>
    </w:lvl>
    <w:lvl w:ilvl="5">
      <w:start w:val="1"/>
      <w:numFmt w:val="decimal"/>
      <w:isLgl/>
      <w:lvlText w:val="%1.%2.%3.%4.%5.%6."/>
      <w:lvlJc w:val="left"/>
      <w:pPr>
        <w:ind w:left="2880" w:hanging="1080"/>
      </w:pPr>
      <w:rPr>
        <w:rFonts w:hint="default"/>
        <w:color w:val="000000" w:themeColor="text1"/>
      </w:rPr>
    </w:lvl>
    <w:lvl w:ilvl="6">
      <w:start w:val="1"/>
      <w:numFmt w:val="decimal"/>
      <w:isLgl/>
      <w:lvlText w:val="%1.%2.%3.%4.%5.%6.%7."/>
      <w:lvlJc w:val="left"/>
      <w:pPr>
        <w:ind w:left="3240" w:hanging="1080"/>
      </w:pPr>
      <w:rPr>
        <w:rFonts w:hint="default"/>
        <w:color w:val="000000" w:themeColor="text1"/>
      </w:rPr>
    </w:lvl>
    <w:lvl w:ilvl="7">
      <w:start w:val="1"/>
      <w:numFmt w:val="decimal"/>
      <w:isLgl/>
      <w:lvlText w:val="%1.%2.%3.%4.%5.%6.%7.%8."/>
      <w:lvlJc w:val="left"/>
      <w:pPr>
        <w:ind w:left="3960" w:hanging="1440"/>
      </w:pPr>
      <w:rPr>
        <w:rFonts w:hint="default"/>
        <w:color w:val="000000" w:themeColor="text1"/>
      </w:rPr>
    </w:lvl>
    <w:lvl w:ilvl="8">
      <w:start w:val="1"/>
      <w:numFmt w:val="decimal"/>
      <w:isLgl/>
      <w:lvlText w:val="%1.%2.%3.%4.%5.%6.%7.%8.%9."/>
      <w:lvlJc w:val="left"/>
      <w:pPr>
        <w:ind w:left="4320" w:hanging="1440"/>
      </w:pPr>
      <w:rPr>
        <w:rFonts w:hint="default"/>
        <w:color w:val="000000" w:themeColor="text1"/>
      </w:rPr>
    </w:lvl>
  </w:abstractNum>
  <w:abstractNum w:abstractNumId="17" w15:restartNumberingAfterBreak="0">
    <w:nsid w:val="0BCE1EF2"/>
    <w:multiLevelType w:val="hybridMultilevel"/>
    <w:tmpl w:val="E43461BC"/>
    <w:lvl w:ilvl="0" w:tplc="7F7E832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C83350D"/>
    <w:multiLevelType w:val="hybridMultilevel"/>
    <w:tmpl w:val="EA30E442"/>
    <w:lvl w:ilvl="0" w:tplc="3409000F">
      <w:start w:val="1"/>
      <w:numFmt w:val="decimal"/>
      <w:lvlText w:val="%1."/>
      <w:lvlJc w:val="left"/>
      <w:pPr>
        <w:ind w:left="360" w:hanging="360"/>
      </w:p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19" w15:restartNumberingAfterBreak="0">
    <w:nsid w:val="0E410C1D"/>
    <w:multiLevelType w:val="multilevel"/>
    <w:tmpl w:val="1F1A745A"/>
    <w:lvl w:ilvl="0">
      <w:start w:val="1"/>
      <w:numFmt w:val="decimal"/>
      <w:lvlText w:val="%1."/>
      <w:lvlJc w:val="left"/>
      <w:pPr>
        <w:ind w:left="360" w:hanging="360"/>
      </w:pPr>
    </w:lvl>
    <w:lvl w:ilvl="1">
      <w:start w:val="1"/>
      <w:numFmt w:val="decimal"/>
      <w:isLgl/>
      <w:lvlText w:val="%1.%2."/>
      <w:lvlJc w:val="left"/>
      <w:pPr>
        <w:ind w:left="400" w:hanging="400"/>
      </w:pPr>
      <w:rPr>
        <w:rFonts w:hint="default"/>
        <w:color w:val="000000" w:themeColor="text1"/>
      </w:rPr>
    </w:lvl>
    <w:lvl w:ilvl="2">
      <w:start w:val="1"/>
      <w:numFmt w:val="decimal"/>
      <w:isLgl/>
      <w:lvlText w:val="%1.%2.%3."/>
      <w:lvlJc w:val="left"/>
      <w:pPr>
        <w:ind w:left="720" w:hanging="720"/>
      </w:pPr>
      <w:rPr>
        <w:rFonts w:hint="default"/>
        <w:color w:val="000000" w:themeColor="text1"/>
      </w:rPr>
    </w:lvl>
    <w:lvl w:ilvl="3">
      <w:start w:val="1"/>
      <w:numFmt w:val="decimal"/>
      <w:isLgl/>
      <w:lvlText w:val="%1.%2.%3.%4."/>
      <w:lvlJc w:val="left"/>
      <w:pPr>
        <w:ind w:left="720" w:hanging="720"/>
      </w:pPr>
      <w:rPr>
        <w:rFonts w:hint="default"/>
        <w:color w:val="000000" w:themeColor="text1"/>
      </w:rPr>
    </w:lvl>
    <w:lvl w:ilvl="4">
      <w:start w:val="1"/>
      <w:numFmt w:val="decimal"/>
      <w:isLgl/>
      <w:lvlText w:val="%1.%2.%3.%4.%5."/>
      <w:lvlJc w:val="left"/>
      <w:pPr>
        <w:ind w:left="1080" w:hanging="1080"/>
      </w:pPr>
      <w:rPr>
        <w:rFonts w:hint="default"/>
        <w:color w:val="000000" w:themeColor="text1"/>
      </w:rPr>
    </w:lvl>
    <w:lvl w:ilvl="5">
      <w:start w:val="1"/>
      <w:numFmt w:val="decimal"/>
      <w:isLgl/>
      <w:lvlText w:val="%1.%2.%3.%4.%5.%6."/>
      <w:lvlJc w:val="left"/>
      <w:pPr>
        <w:ind w:left="1080" w:hanging="1080"/>
      </w:pPr>
      <w:rPr>
        <w:rFonts w:hint="default"/>
        <w:color w:val="000000" w:themeColor="text1"/>
      </w:rPr>
    </w:lvl>
    <w:lvl w:ilvl="6">
      <w:start w:val="1"/>
      <w:numFmt w:val="decimal"/>
      <w:isLgl/>
      <w:lvlText w:val="%1.%2.%3.%4.%5.%6.%7."/>
      <w:lvlJc w:val="left"/>
      <w:pPr>
        <w:ind w:left="1080" w:hanging="1080"/>
      </w:pPr>
      <w:rPr>
        <w:rFonts w:hint="default"/>
        <w:color w:val="000000" w:themeColor="text1"/>
      </w:rPr>
    </w:lvl>
    <w:lvl w:ilvl="7">
      <w:start w:val="1"/>
      <w:numFmt w:val="decimal"/>
      <w:isLgl/>
      <w:lvlText w:val="%1.%2.%3.%4.%5.%6.%7.%8."/>
      <w:lvlJc w:val="left"/>
      <w:pPr>
        <w:ind w:left="1440" w:hanging="1440"/>
      </w:pPr>
      <w:rPr>
        <w:rFonts w:hint="default"/>
        <w:color w:val="000000" w:themeColor="text1"/>
      </w:rPr>
    </w:lvl>
    <w:lvl w:ilvl="8">
      <w:start w:val="1"/>
      <w:numFmt w:val="decimal"/>
      <w:isLgl/>
      <w:lvlText w:val="%1.%2.%3.%4.%5.%6.%7.%8.%9."/>
      <w:lvlJc w:val="left"/>
      <w:pPr>
        <w:ind w:left="1440" w:hanging="1440"/>
      </w:pPr>
      <w:rPr>
        <w:rFonts w:hint="default"/>
        <w:color w:val="000000" w:themeColor="text1"/>
      </w:rPr>
    </w:lvl>
  </w:abstractNum>
  <w:abstractNum w:abstractNumId="20" w15:restartNumberingAfterBreak="0">
    <w:nsid w:val="0F3D408C"/>
    <w:multiLevelType w:val="multilevel"/>
    <w:tmpl w:val="9C8C2EA6"/>
    <w:lvl w:ilvl="0">
      <w:start w:val="34"/>
      <w:numFmt w:val="decimal"/>
      <w:lvlText w:val="%1."/>
      <w:lvlJc w:val="left"/>
      <w:pPr>
        <w:ind w:left="440" w:hanging="440"/>
      </w:pPr>
      <w:rPr>
        <w:rFonts w:hint="default"/>
      </w:rPr>
    </w:lvl>
    <w:lvl w:ilvl="1">
      <w:start w:val="1"/>
      <w:numFmt w:val="decimal"/>
      <w:lvlText w:val="%1.%2."/>
      <w:lvlJc w:val="left"/>
      <w:pPr>
        <w:ind w:left="1520" w:hanging="44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1" w15:restartNumberingAfterBreak="0">
    <w:nsid w:val="112B55D9"/>
    <w:multiLevelType w:val="multilevel"/>
    <w:tmpl w:val="676E5E02"/>
    <w:lvl w:ilvl="0">
      <w:start w:val="7"/>
      <w:numFmt w:val="decimal"/>
      <w:lvlText w:val="%1."/>
      <w:lvlJc w:val="left"/>
      <w:pPr>
        <w:ind w:left="360" w:hanging="360"/>
      </w:pPr>
      <w:rPr>
        <w:rFonts w:hint="default"/>
        <w:color w:val="000000"/>
      </w:rPr>
    </w:lvl>
    <w:lvl w:ilvl="1">
      <w:start w:val="1"/>
      <w:numFmt w:val="decimal"/>
      <w:lvlText w:val="%1.%2."/>
      <w:lvlJc w:val="left"/>
      <w:pPr>
        <w:ind w:left="720" w:hanging="36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1800" w:hanging="72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2880" w:hanging="1080"/>
      </w:pPr>
      <w:rPr>
        <w:rFonts w:hint="default"/>
        <w:color w:val="000000"/>
      </w:rPr>
    </w:lvl>
    <w:lvl w:ilvl="6">
      <w:start w:val="1"/>
      <w:numFmt w:val="decimal"/>
      <w:lvlText w:val="%1.%2.%3.%4.%5.%6.%7."/>
      <w:lvlJc w:val="left"/>
      <w:pPr>
        <w:ind w:left="3240" w:hanging="1080"/>
      </w:pPr>
      <w:rPr>
        <w:rFonts w:hint="default"/>
        <w:color w:val="000000"/>
      </w:rPr>
    </w:lvl>
    <w:lvl w:ilvl="7">
      <w:start w:val="1"/>
      <w:numFmt w:val="decimal"/>
      <w:lvlText w:val="%1.%2.%3.%4.%5.%6.%7.%8."/>
      <w:lvlJc w:val="left"/>
      <w:pPr>
        <w:ind w:left="3960" w:hanging="1440"/>
      </w:pPr>
      <w:rPr>
        <w:rFonts w:hint="default"/>
        <w:color w:val="000000"/>
      </w:rPr>
    </w:lvl>
    <w:lvl w:ilvl="8">
      <w:start w:val="1"/>
      <w:numFmt w:val="decimal"/>
      <w:lvlText w:val="%1.%2.%3.%4.%5.%6.%7.%8.%9."/>
      <w:lvlJc w:val="left"/>
      <w:pPr>
        <w:ind w:left="4320" w:hanging="1440"/>
      </w:pPr>
      <w:rPr>
        <w:rFonts w:hint="default"/>
        <w:color w:val="000000"/>
      </w:rPr>
    </w:lvl>
  </w:abstractNum>
  <w:abstractNum w:abstractNumId="22" w15:restartNumberingAfterBreak="0">
    <w:nsid w:val="11BC7EBE"/>
    <w:multiLevelType w:val="hybridMultilevel"/>
    <w:tmpl w:val="62EA31F6"/>
    <w:lvl w:ilvl="0" w:tplc="98F2FD20">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12515267"/>
    <w:multiLevelType w:val="multilevel"/>
    <w:tmpl w:val="E4D69DA8"/>
    <w:lvl w:ilvl="0">
      <w:start w:val="1"/>
      <w:numFmt w:val="decimal"/>
      <w:lvlText w:val="%1."/>
      <w:lvlJc w:val="left"/>
      <w:pPr>
        <w:ind w:left="720" w:hanging="360"/>
      </w:pPr>
    </w:lvl>
    <w:lvl w:ilvl="1">
      <w:start w:val="5"/>
      <w:numFmt w:val="decimal"/>
      <w:isLgl/>
      <w:lvlText w:val="%1.%2."/>
      <w:lvlJc w:val="left"/>
      <w:pPr>
        <w:ind w:left="1750" w:hanging="720"/>
      </w:pPr>
      <w:rPr>
        <w:rFonts w:hint="default"/>
      </w:rPr>
    </w:lvl>
    <w:lvl w:ilvl="2">
      <w:start w:val="1"/>
      <w:numFmt w:val="decimal"/>
      <w:isLgl/>
      <w:lvlText w:val="%1.%2.%3."/>
      <w:lvlJc w:val="left"/>
      <w:pPr>
        <w:ind w:left="2420" w:hanging="720"/>
      </w:pPr>
      <w:rPr>
        <w:rFonts w:hint="default"/>
      </w:rPr>
    </w:lvl>
    <w:lvl w:ilvl="3">
      <w:start w:val="1"/>
      <w:numFmt w:val="decimal"/>
      <w:isLgl/>
      <w:lvlText w:val="%1.%2.%3.%4."/>
      <w:lvlJc w:val="left"/>
      <w:pPr>
        <w:ind w:left="3450" w:hanging="1080"/>
      </w:pPr>
      <w:rPr>
        <w:rFonts w:hint="default"/>
      </w:rPr>
    </w:lvl>
    <w:lvl w:ilvl="4">
      <w:start w:val="1"/>
      <w:numFmt w:val="decimal"/>
      <w:isLgl/>
      <w:lvlText w:val="%1.%2.%3.%4.%5."/>
      <w:lvlJc w:val="left"/>
      <w:pPr>
        <w:ind w:left="4120" w:hanging="1080"/>
      </w:pPr>
      <w:rPr>
        <w:rFonts w:hint="default"/>
      </w:rPr>
    </w:lvl>
    <w:lvl w:ilvl="5">
      <w:start w:val="1"/>
      <w:numFmt w:val="decimal"/>
      <w:isLgl/>
      <w:lvlText w:val="%1.%2.%3.%4.%5.%6."/>
      <w:lvlJc w:val="left"/>
      <w:pPr>
        <w:ind w:left="5150" w:hanging="1440"/>
      </w:pPr>
      <w:rPr>
        <w:rFonts w:hint="default"/>
      </w:rPr>
    </w:lvl>
    <w:lvl w:ilvl="6">
      <w:start w:val="1"/>
      <w:numFmt w:val="decimal"/>
      <w:isLgl/>
      <w:lvlText w:val="%1.%2.%3.%4.%5.%6.%7."/>
      <w:lvlJc w:val="left"/>
      <w:pPr>
        <w:ind w:left="6180" w:hanging="1800"/>
      </w:pPr>
      <w:rPr>
        <w:rFonts w:hint="default"/>
      </w:rPr>
    </w:lvl>
    <w:lvl w:ilvl="7">
      <w:start w:val="1"/>
      <w:numFmt w:val="decimal"/>
      <w:isLgl/>
      <w:lvlText w:val="%1.%2.%3.%4.%5.%6.%7.%8."/>
      <w:lvlJc w:val="left"/>
      <w:pPr>
        <w:ind w:left="6850" w:hanging="1800"/>
      </w:pPr>
      <w:rPr>
        <w:rFonts w:hint="default"/>
      </w:rPr>
    </w:lvl>
    <w:lvl w:ilvl="8">
      <w:start w:val="1"/>
      <w:numFmt w:val="decimal"/>
      <w:isLgl/>
      <w:lvlText w:val="%1.%2.%3.%4.%5.%6.%7.%8.%9."/>
      <w:lvlJc w:val="left"/>
      <w:pPr>
        <w:ind w:left="7880" w:hanging="2160"/>
      </w:pPr>
      <w:rPr>
        <w:rFonts w:hint="default"/>
      </w:rPr>
    </w:lvl>
  </w:abstractNum>
  <w:abstractNum w:abstractNumId="24" w15:restartNumberingAfterBreak="0">
    <w:nsid w:val="12F61180"/>
    <w:multiLevelType w:val="hybridMultilevel"/>
    <w:tmpl w:val="2034AD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134D11DF"/>
    <w:multiLevelType w:val="multilevel"/>
    <w:tmpl w:val="3A58A430"/>
    <w:styleLink w:val="List345"/>
    <w:lvl w:ilvl="0">
      <w:start w:val="1"/>
      <w:numFmt w:val="decimal"/>
      <w:lvlText w:val="%1."/>
      <w:lvlJc w:val="left"/>
      <w:pPr>
        <w:tabs>
          <w:tab w:val="num" w:pos="720"/>
        </w:tabs>
        <w:ind w:left="720" w:hanging="360"/>
      </w:pPr>
    </w:lvl>
    <w:lvl w:ilvl="1">
      <w:start w:val="4"/>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13E9035C"/>
    <w:multiLevelType w:val="hybridMultilevel"/>
    <w:tmpl w:val="B9EC4B90"/>
    <w:lvl w:ilvl="0" w:tplc="CC7C435E">
      <w:start w:val="15"/>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47575BB"/>
    <w:multiLevelType w:val="hybridMultilevel"/>
    <w:tmpl w:val="6F42A804"/>
    <w:lvl w:ilvl="0" w:tplc="0409000F">
      <w:start w:val="1"/>
      <w:numFmt w:val="decimal"/>
      <w:lvlText w:val="%1."/>
      <w:lvlJc w:val="left"/>
      <w:pPr>
        <w:ind w:left="360" w:hanging="360"/>
      </w:pPr>
      <w:rPr>
        <w:rFonts w:cs="Times New Roman"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15D82314"/>
    <w:multiLevelType w:val="hybridMultilevel"/>
    <w:tmpl w:val="CBC00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62076FB"/>
    <w:multiLevelType w:val="multilevel"/>
    <w:tmpl w:val="AAE21020"/>
    <w:lvl w:ilvl="0">
      <w:start w:val="37"/>
      <w:numFmt w:val="decimal"/>
      <w:lvlText w:val="%1."/>
      <w:lvlJc w:val="left"/>
      <w:pPr>
        <w:ind w:left="440" w:hanging="440"/>
      </w:pPr>
      <w:rPr>
        <w:rFonts w:hint="default"/>
        <w:color w:val="auto"/>
      </w:rPr>
    </w:lvl>
    <w:lvl w:ilvl="1">
      <w:start w:val="1"/>
      <w:numFmt w:val="decimal"/>
      <w:lvlText w:val="%1.%2."/>
      <w:lvlJc w:val="left"/>
      <w:pPr>
        <w:ind w:left="440" w:hanging="44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30" w15:restartNumberingAfterBreak="0">
    <w:nsid w:val="16AE57BB"/>
    <w:multiLevelType w:val="hybridMultilevel"/>
    <w:tmpl w:val="CF50E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6D35BBD"/>
    <w:multiLevelType w:val="multilevel"/>
    <w:tmpl w:val="3D3A2F4C"/>
    <w:lvl w:ilvl="0">
      <w:start w:val="1"/>
      <w:numFmt w:val="bullet"/>
      <w:lvlText w:val="o"/>
      <w:lvlJc w:val="left"/>
      <w:pPr>
        <w:ind w:left="720" w:hanging="360"/>
      </w:pPr>
      <w:rPr>
        <w:rFonts w:ascii="Courier New" w:hAnsi="Courier New" w:cs="Courier New"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2215"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32" w15:restartNumberingAfterBreak="0">
    <w:nsid w:val="17583BC4"/>
    <w:multiLevelType w:val="multilevel"/>
    <w:tmpl w:val="33CC8D38"/>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178E5426"/>
    <w:multiLevelType w:val="hybridMultilevel"/>
    <w:tmpl w:val="E7C8A9A2"/>
    <w:lvl w:ilvl="0" w:tplc="7F7E832A">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7DB622B"/>
    <w:multiLevelType w:val="hybridMultilevel"/>
    <w:tmpl w:val="B3266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8D443C7"/>
    <w:multiLevelType w:val="hybridMultilevel"/>
    <w:tmpl w:val="CDAE461E"/>
    <w:lvl w:ilvl="0" w:tplc="7CFC5AE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9CC6E42"/>
    <w:multiLevelType w:val="hybridMultilevel"/>
    <w:tmpl w:val="45FC55C6"/>
    <w:lvl w:ilvl="0" w:tplc="9D30BE7C">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1A2A6392"/>
    <w:multiLevelType w:val="hybridMultilevel"/>
    <w:tmpl w:val="C004DE3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1A4A478E"/>
    <w:multiLevelType w:val="hybridMultilevel"/>
    <w:tmpl w:val="343673A6"/>
    <w:lvl w:ilvl="0" w:tplc="96B897A8">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1BA36C41"/>
    <w:multiLevelType w:val="multilevel"/>
    <w:tmpl w:val="0409001F"/>
    <w:lvl w:ilvl="0">
      <w:start w:val="1"/>
      <w:numFmt w:val="decimal"/>
      <w:lvlText w:val="%1."/>
      <w:lvlJc w:val="left"/>
      <w:pPr>
        <w:ind w:left="3479"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1BCD3774"/>
    <w:multiLevelType w:val="hybridMultilevel"/>
    <w:tmpl w:val="4E904F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1C7860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1D0050AF"/>
    <w:multiLevelType w:val="multilevel"/>
    <w:tmpl w:val="F796B90A"/>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D197854"/>
    <w:multiLevelType w:val="multilevel"/>
    <w:tmpl w:val="20E8A7A6"/>
    <w:lvl w:ilvl="0">
      <w:start w:val="1"/>
      <w:numFmt w:val="lowerLetter"/>
      <w:lvlText w:val="%1."/>
      <w:lvlJc w:val="left"/>
      <w:pPr>
        <w:ind w:left="1080" w:hanging="360"/>
      </w:pPr>
      <w:rPr>
        <w:rFonts w:hint="default"/>
      </w:rPr>
    </w:lvl>
    <w:lvl w:ilvl="1">
      <w:start w:val="1"/>
      <w:numFmt w:val="decimal"/>
      <w:lvlText w:val="%1.%2."/>
      <w:lvlJc w:val="left"/>
      <w:pPr>
        <w:ind w:left="1852" w:hanging="360"/>
      </w:pPr>
      <w:rPr>
        <w:rFonts w:hint="default"/>
      </w:rPr>
    </w:lvl>
    <w:lvl w:ilvl="2">
      <w:start w:val="1"/>
      <w:numFmt w:val="decimal"/>
      <w:lvlText w:val="%1.%2.%3."/>
      <w:lvlJc w:val="left"/>
      <w:pPr>
        <w:ind w:left="2984" w:hanging="720"/>
      </w:pPr>
      <w:rPr>
        <w:rFonts w:hint="default"/>
      </w:rPr>
    </w:lvl>
    <w:lvl w:ilvl="3">
      <w:start w:val="1"/>
      <w:numFmt w:val="decimal"/>
      <w:lvlText w:val="%1.%2.%3.%4."/>
      <w:lvlJc w:val="left"/>
      <w:pPr>
        <w:ind w:left="3756" w:hanging="720"/>
      </w:pPr>
      <w:rPr>
        <w:rFonts w:hint="default"/>
      </w:rPr>
    </w:lvl>
    <w:lvl w:ilvl="4">
      <w:start w:val="1"/>
      <w:numFmt w:val="decimal"/>
      <w:lvlText w:val="%1.%2.%3.%4.%5."/>
      <w:lvlJc w:val="left"/>
      <w:pPr>
        <w:ind w:left="4888" w:hanging="1080"/>
      </w:pPr>
      <w:rPr>
        <w:rFonts w:hint="default"/>
      </w:rPr>
    </w:lvl>
    <w:lvl w:ilvl="5">
      <w:start w:val="1"/>
      <w:numFmt w:val="decimal"/>
      <w:lvlText w:val="%1.%2.%3.%4.%5.%6."/>
      <w:lvlJc w:val="left"/>
      <w:pPr>
        <w:ind w:left="5660" w:hanging="1080"/>
      </w:pPr>
      <w:rPr>
        <w:rFonts w:hint="default"/>
      </w:rPr>
    </w:lvl>
    <w:lvl w:ilvl="6">
      <w:start w:val="1"/>
      <w:numFmt w:val="decimal"/>
      <w:lvlText w:val="%1.%2.%3.%4.%5.%6.%7."/>
      <w:lvlJc w:val="left"/>
      <w:pPr>
        <w:ind w:left="6792" w:hanging="1440"/>
      </w:pPr>
      <w:rPr>
        <w:rFonts w:hint="default"/>
      </w:rPr>
    </w:lvl>
    <w:lvl w:ilvl="7">
      <w:start w:val="1"/>
      <w:numFmt w:val="decimal"/>
      <w:lvlText w:val="%1.%2.%3.%4.%5.%6.%7.%8."/>
      <w:lvlJc w:val="left"/>
      <w:pPr>
        <w:ind w:left="7564" w:hanging="1440"/>
      </w:pPr>
      <w:rPr>
        <w:rFonts w:hint="default"/>
      </w:rPr>
    </w:lvl>
    <w:lvl w:ilvl="8">
      <w:start w:val="1"/>
      <w:numFmt w:val="decimal"/>
      <w:lvlText w:val="%1.%2.%3.%4.%5.%6.%7.%8.%9."/>
      <w:lvlJc w:val="left"/>
      <w:pPr>
        <w:ind w:left="8696" w:hanging="1800"/>
      </w:pPr>
      <w:rPr>
        <w:rFonts w:hint="default"/>
      </w:rPr>
    </w:lvl>
  </w:abstractNum>
  <w:abstractNum w:abstractNumId="44" w15:restartNumberingAfterBreak="0">
    <w:nsid w:val="1D8C4D80"/>
    <w:multiLevelType w:val="hybridMultilevel"/>
    <w:tmpl w:val="E304976A"/>
    <w:lvl w:ilvl="0" w:tplc="7F7E832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E00194A"/>
    <w:multiLevelType w:val="hybridMultilevel"/>
    <w:tmpl w:val="CC8CAF20"/>
    <w:lvl w:ilvl="0" w:tplc="EBAA7708">
      <w:start w:val="1"/>
      <w:numFmt w:val="decimal"/>
      <w:lvlText w:val="%1."/>
      <w:lvlJc w:val="left"/>
      <w:pPr>
        <w:ind w:left="373" w:hanging="360"/>
      </w:pPr>
      <w:rPr>
        <w:rFonts w:hint="default"/>
        <w:sz w:val="22"/>
      </w:rPr>
    </w:lvl>
    <w:lvl w:ilvl="1" w:tplc="8B467742">
      <w:start w:val="1"/>
      <w:numFmt w:val="lowerLetter"/>
      <w:lvlText w:val="(%2)"/>
      <w:lvlJc w:val="left"/>
      <w:pPr>
        <w:ind w:left="1133" w:hanging="400"/>
      </w:pPr>
      <w:rPr>
        <w:rFonts w:hint="default"/>
      </w:rPr>
    </w:lvl>
    <w:lvl w:ilvl="2" w:tplc="0409001B" w:tentative="1">
      <w:start w:val="1"/>
      <w:numFmt w:val="lowerRoman"/>
      <w:lvlText w:val="%3."/>
      <w:lvlJc w:val="right"/>
      <w:pPr>
        <w:ind w:left="1813" w:hanging="180"/>
      </w:pPr>
    </w:lvl>
    <w:lvl w:ilvl="3" w:tplc="0409000F" w:tentative="1">
      <w:start w:val="1"/>
      <w:numFmt w:val="decimal"/>
      <w:lvlText w:val="%4."/>
      <w:lvlJc w:val="left"/>
      <w:pPr>
        <w:ind w:left="2533" w:hanging="360"/>
      </w:pPr>
    </w:lvl>
    <w:lvl w:ilvl="4" w:tplc="04090019" w:tentative="1">
      <w:start w:val="1"/>
      <w:numFmt w:val="lowerLetter"/>
      <w:lvlText w:val="%5."/>
      <w:lvlJc w:val="left"/>
      <w:pPr>
        <w:ind w:left="3253" w:hanging="360"/>
      </w:pPr>
    </w:lvl>
    <w:lvl w:ilvl="5" w:tplc="0409001B" w:tentative="1">
      <w:start w:val="1"/>
      <w:numFmt w:val="lowerRoman"/>
      <w:lvlText w:val="%6."/>
      <w:lvlJc w:val="right"/>
      <w:pPr>
        <w:ind w:left="3973" w:hanging="180"/>
      </w:pPr>
    </w:lvl>
    <w:lvl w:ilvl="6" w:tplc="0409000F" w:tentative="1">
      <w:start w:val="1"/>
      <w:numFmt w:val="decimal"/>
      <w:lvlText w:val="%7."/>
      <w:lvlJc w:val="left"/>
      <w:pPr>
        <w:ind w:left="4693" w:hanging="360"/>
      </w:pPr>
    </w:lvl>
    <w:lvl w:ilvl="7" w:tplc="04090019" w:tentative="1">
      <w:start w:val="1"/>
      <w:numFmt w:val="lowerLetter"/>
      <w:lvlText w:val="%8."/>
      <w:lvlJc w:val="left"/>
      <w:pPr>
        <w:ind w:left="5413" w:hanging="360"/>
      </w:pPr>
    </w:lvl>
    <w:lvl w:ilvl="8" w:tplc="0409001B" w:tentative="1">
      <w:start w:val="1"/>
      <w:numFmt w:val="lowerRoman"/>
      <w:lvlText w:val="%9."/>
      <w:lvlJc w:val="right"/>
      <w:pPr>
        <w:ind w:left="6133" w:hanging="180"/>
      </w:pPr>
    </w:lvl>
  </w:abstractNum>
  <w:abstractNum w:abstractNumId="46" w15:restartNumberingAfterBreak="0">
    <w:nsid w:val="1E3214A7"/>
    <w:multiLevelType w:val="multilevel"/>
    <w:tmpl w:val="EE9EB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E501A69"/>
    <w:multiLevelType w:val="hybridMultilevel"/>
    <w:tmpl w:val="EBEEC4EE"/>
    <w:lvl w:ilvl="0" w:tplc="562E8C48">
      <w:start w:val="1"/>
      <w:numFmt w:val="bullet"/>
      <w:lvlText w:val="•"/>
      <w:lvlJc w:val="left"/>
      <w:pPr>
        <w:tabs>
          <w:tab w:val="num" w:pos="720"/>
        </w:tabs>
        <w:ind w:left="720" w:hanging="360"/>
      </w:pPr>
      <w:rPr>
        <w:rFonts w:ascii="Arial" w:hAnsi="Arial" w:hint="default"/>
      </w:rPr>
    </w:lvl>
    <w:lvl w:ilvl="1" w:tplc="418CFC26">
      <w:start w:val="193"/>
      <w:numFmt w:val="bullet"/>
      <w:lvlText w:val="•"/>
      <w:lvlJc w:val="left"/>
      <w:pPr>
        <w:tabs>
          <w:tab w:val="num" w:pos="1440"/>
        </w:tabs>
        <w:ind w:left="1440" w:hanging="360"/>
      </w:pPr>
      <w:rPr>
        <w:rFonts w:ascii="Arial" w:hAnsi="Arial" w:hint="default"/>
      </w:rPr>
    </w:lvl>
    <w:lvl w:ilvl="2" w:tplc="D736C270" w:tentative="1">
      <w:start w:val="1"/>
      <w:numFmt w:val="bullet"/>
      <w:lvlText w:val="•"/>
      <w:lvlJc w:val="left"/>
      <w:pPr>
        <w:tabs>
          <w:tab w:val="num" w:pos="2160"/>
        </w:tabs>
        <w:ind w:left="2160" w:hanging="360"/>
      </w:pPr>
      <w:rPr>
        <w:rFonts w:ascii="Arial" w:hAnsi="Arial" w:hint="default"/>
      </w:rPr>
    </w:lvl>
    <w:lvl w:ilvl="3" w:tplc="E96EB6E0" w:tentative="1">
      <w:start w:val="1"/>
      <w:numFmt w:val="bullet"/>
      <w:lvlText w:val="•"/>
      <w:lvlJc w:val="left"/>
      <w:pPr>
        <w:tabs>
          <w:tab w:val="num" w:pos="2880"/>
        </w:tabs>
        <w:ind w:left="2880" w:hanging="360"/>
      </w:pPr>
      <w:rPr>
        <w:rFonts w:ascii="Arial" w:hAnsi="Arial" w:hint="default"/>
      </w:rPr>
    </w:lvl>
    <w:lvl w:ilvl="4" w:tplc="3690A660" w:tentative="1">
      <w:start w:val="1"/>
      <w:numFmt w:val="bullet"/>
      <w:lvlText w:val="•"/>
      <w:lvlJc w:val="left"/>
      <w:pPr>
        <w:tabs>
          <w:tab w:val="num" w:pos="3600"/>
        </w:tabs>
        <w:ind w:left="3600" w:hanging="360"/>
      </w:pPr>
      <w:rPr>
        <w:rFonts w:ascii="Arial" w:hAnsi="Arial" w:hint="default"/>
      </w:rPr>
    </w:lvl>
    <w:lvl w:ilvl="5" w:tplc="62C235C6" w:tentative="1">
      <w:start w:val="1"/>
      <w:numFmt w:val="bullet"/>
      <w:lvlText w:val="•"/>
      <w:lvlJc w:val="left"/>
      <w:pPr>
        <w:tabs>
          <w:tab w:val="num" w:pos="4320"/>
        </w:tabs>
        <w:ind w:left="4320" w:hanging="360"/>
      </w:pPr>
      <w:rPr>
        <w:rFonts w:ascii="Arial" w:hAnsi="Arial" w:hint="default"/>
      </w:rPr>
    </w:lvl>
    <w:lvl w:ilvl="6" w:tplc="3BB28FD0" w:tentative="1">
      <w:start w:val="1"/>
      <w:numFmt w:val="bullet"/>
      <w:lvlText w:val="•"/>
      <w:lvlJc w:val="left"/>
      <w:pPr>
        <w:tabs>
          <w:tab w:val="num" w:pos="5040"/>
        </w:tabs>
        <w:ind w:left="5040" w:hanging="360"/>
      </w:pPr>
      <w:rPr>
        <w:rFonts w:ascii="Arial" w:hAnsi="Arial" w:hint="default"/>
      </w:rPr>
    </w:lvl>
    <w:lvl w:ilvl="7" w:tplc="B48AA64E" w:tentative="1">
      <w:start w:val="1"/>
      <w:numFmt w:val="bullet"/>
      <w:lvlText w:val="•"/>
      <w:lvlJc w:val="left"/>
      <w:pPr>
        <w:tabs>
          <w:tab w:val="num" w:pos="5760"/>
        </w:tabs>
        <w:ind w:left="5760" w:hanging="360"/>
      </w:pPr>
      <w:rPr>
        <w:rFonts w:ascii="Arial" w:hAnsi="Arial" w:hint="default"/>
      </w:rPr>
    </w:lvl>
    <w:lvl w:ilvl="8" w:tplc="74461824"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1E5E29E6"/>
    <w:multiLevelType w:val="multilevel"/>
    <w:tmpl w:val="11E6E9CE"/>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FAD573C"/>
    <w:multiLevelType w:val="multilevel"/>
    <w:tmpl w:val="C0ECC9C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201A3E7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21794C2A"/>
    <w:multiLevelType w:val="hybridMultilevel"/>
    <w:tmpl w:val="3B189712"/>
    <w:lvl w:ilvl="0" w:tplc="3409000F">
      <w:start w:val="1"/>
      <w:numFmt w:val="decimal"/>
      <w:lvlText w:val="%1."/>
      <w:lvlJc w:val="left"/>
      <w:pPr>
        <w:ind w:left="360" w:hanging="360"/>
      </w:p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52" w15:restartNumberingAfterBreak="0">
    <w:nsid w:val="221364D3"/>
    <w:multiLevelType w:val="hybridMultilevel"/>
    <w:tmpl w:val="92926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2486120"/>
    <w:multiLevelType w:val="hybridMultilevel"/>
    <w:tmpl w:val="CAAEF1F8"/>
    <w:lvl w:ilvl="0" w:tplc="3409000F">
      <w:start w:val="1"/>
      <w:numFmt w:val="decimal"/>
      <w:lvlText w:val="%1."/>
      <w:lvlJc w:val="left"/>
      <w:pPr>
        <w:ind w:left="360" w:hanging="360"/>
      </w:p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54" w15:restartNumberingAfterBreak="0">
    <w:nsid w:val="2256070B"/>
    <w:multiLevelType w:val="hybridMultilevel"/>
    <w:tmpl w:val="AF3047B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5" w15:restartNumberingAfterBreak="0">
    <w:nsid w:val="238B56F3"/>
    <w:multiLevelType w:val="hybridMultilevel"/>
    <w:tmpl w:val="C5F85B1C"/>
    <w:lvl w:ilvl="0" w:tplc="A474A006">
      <w:start w:val="1"/>
      <w:numFmt w:val="decimal"/>
      <w:lvlText w:val="%1."/>
      <w:lvlJc w:val="left"/>
      <w:pPr>
        <w:ind w:left="295" w:hanging="360"/>
      </w:pPr>
      <w:rPr>
        <w:rFonts w:hint="default"/>
        <w:sz w:val="20"/>
      </w:rPr>
    </w:lvl>
    <w:lvl w:ilvl="1" w:tplc="04090019">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56" w15:restartNumberingAfterBreak="0">
    <w:nsid w:val="24B743EB"/>
    <w:multiLevelType w:val="multilevel"/>
    <w:tmpl w:val="E2CEAAE4"/>
    <w:lvl w:ilvl="0">
      <w:start w:val="1"/>
      <w:numFmt w:val="decimal"/>
      <w:lvlText w:val="%1."/>
      <w:lvlJc w:val="left"/>
      <w:pPr>
        <w:ind w:left="360" w:hanging="360"/>
      </w:pPr>
    </w:lvl>
    <w:lvl w:ilvl="1">
      <w:start w:val="1"/>
      <w:numFmt w:val="decimal"/>
      <w:lvlText w:val="%1.%2."/>
      <w:lvlJc w:val="left"/>
      <w:pPr>
        <w:ind w:left="792" w:hanging="432"/>
      </w:pPr>
      <w:rPr>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25893D01"/>
    <w:multiLevelType w:val="hybridMultilevel"/>
    <w:tmpl w:val="FD94BF32"/>
    <w:lvl w:ilvl="0" w:tplc="7CFC5AE0">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26391733"/>
    <w:multiLevelType w:val="multilevel"/>
    <w:tmpl w:val="E35C0028"/>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26897F73"/>
    <w:multiLevelType w:val="multilevel"/>
    <w:tmpl w:val="333A95BA"/>
    <w:lvl w:ilvl="0">
      <w:start w:val="4"/>
      <w:numFmt w:val="decimal"/>
      <w:lvlText w:val="%1"/>
      <w:lvlJc w:val="left"/>
      <w:pPr>
        <w:ind w:left="360" w:hanging="360"/>
      </w:pPr>
      <w:rPr>
        <w:rFonts w:hint="default"/>
      </w:rPr>
    </w:lvl>
    <w:lvl w:ilvl="1">
      <w:start w:val="1"/>
      <w:numFmt w:val="decimal"/>
      <w:lvlText w:val="%1.%2"/>
      <w:lvlJc w:val="left"/>
      <w:pPr>
        <w:ind w:left="220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15:restartNumberingAfterBreak="0">
    <w:nsid w:val="26BC410F"/>
    <w:multiLevelType w:val="hybridMultilevel"/>
    <w:tmpl w:val="6F406D1C"/>
    <w:lvl w:ilvl="0" w:tplc="D6D43AC0">
      <w:start w:val="1"/>
      <w:numFmt w:val="bullet"/>
      <w:lvlText w:val="o"/>
      <w:lvlJc w:val="left"/>
      <w:pPr>
        <w:ind w:left="360" w:hanging="360"/>
      </w:pPr>
      <w:rPr>
        <w:rFonts w:ascii="Courier New" w:hAnsi="Courier New"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27AF1679"/>
    <w:multiLevelType w:val="hybridMultilevel"/>
    <w:tmpl w:val="3F6EF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7CF7C5C"/>
    <w:multiLevelType w:val="hybridMultilevel"/>
    <w:tmpl w:val="3522C970"/>
    <w:lvl w:ilvl="0" w:tplc="7F7E832A">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27DC69F4"/>
    <w:multiLevelType w:val="hybridMultilevel"/>
    <w:tmpl w:val="125E0A6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4" w15:restartNumberingAfterBreak="0">
    <w:nsid w:val="28950724"/>
    <w:multiLevelType w:val="hybridMultilevel"/>
    <w:tmpl w:val="C9DEE0C2"/>
    <w:styleLink w:val="Style24"/>
    <w:lvl w:ilvl="0" w:tplc="499AEA9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2A6B131C"/>
    <w:multiLevelType w:val="multilevel"/>
    <w:tmpl w:val="B8DA0EDA"/>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6" w15:restartNumberingAfterBreak="0">
    <w:nsid w:val="2EB45F2D"/>
    <w:multiLevelType w:val="hybridMultilevel"/>
    <w:tmpl w:val="1C1E279C"/>
    <w:lvl w:ilvl="0" w:tplc="04090001">
      <w:start w:val="1"/>
      <w:numFmt w:val="bullet"/>
      <w:lvlText w:val=""/>
      <w:lvlJc w:val="left"/>
      <w:pPr>
        <w:ind w:left="72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67" w15:restartNumberingAfterBreak="0">
    <w:nsid w:val="2F88321A"/>
    <w:multiLevelType w:val="hybridMultilevel"/>
    <w:tmpl w:val="EC58ABC8"/>
    <w:lvl w:ilvl="0" w:tplc="8AD8E618">
      <w:start w:val="1"/>
      <w:numFmt w:val="decimal"/>
      <w:lvlText w:val="%1."/>
      <w:lvlJc w:val="left"/>
      <w:pPr>
        <w:ind w:left="360" w:hanging="360"/>
      </w:pPr>
      <w:rPr>
        <w:rFonts w:asciiTheme="majorHAnsi" w:eastAsiaTheme="minorHAnsi" w:hAnsiTheme="majorHAnsi" w:cstheme="majorHAnsi"/>
      </w:rPr>
    </w:lvl>
    <w:lvl w:ilvl="1" w:tplc="04090019">
      <w:start w:val="1"/>
      <w:numFmt w:val="lowerLetter"/>
      <w:lvlText w:val="%2."/>
      <w:lvlJc w:val="left"/>
      <w:pPr>
        <w:ind w:left="1080" w:hanging="360"/>
      </w:pPr>
    </w:lvl>
    <w:lvl w:ilvl="2" w:tplc="04090019">
      <w:start w:val="1"/>
      <w:numFmt w:val="lowerLetter"/>
      <w:lvlText w:val="%3."/>
      <w:lvlJc w:val="left"/>
      <w:pPr>
        <w:ind w:left="1980" w:hanging="36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2FC1498E"/>
    <w:multiLevelType w:val="hybridMultilevel"/>
    <w:tmpl w:val="462A0578"/>
    <w:lvl w:ilvl="0" w:tplc="7F7E832A">
      <w:start w:val="1"/>
      <w:numFmt w:val="bullet"/>
      <w:lvlText w:val="•"/>
      <w:lvlJc w:val="left"/>
      <w:pPr>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0933ED3"/>
    <w:multiLevelType w:val="multilevel"/>
    <w:tmpl w:val="5826FD68"/>
    <w:lvl w:ilvl="0">
      <w:start w:val="1"/>
      <w:numFmt w:val="decimal"/>
      <w:lvlText w:val="%1."/>
      <w:lvlJc w:val="left"/>
      <w:pPr>
        <w:ind w:left="360" w:hanging="360"/>
      </w:pPr>
    </w:lvl>
    <w:lvl w:ilvl="1">
      <w:start w:val="1"/>
      <w:numFmt w:val="decimal"/>
      <w:isLgl/>
      <w:lvlText w:val="%1.%2."/>
      <w:lvlJc w:val="left"/>
      <w:pPr>
        <w:ind w:left="400" w:hanging="4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0" w15:restartNumberingAfterBreak="0">
    <w:nsid w:val="30B263CD"/>
    <w:multiLevelType w:val="hybridMultilevel"/>
    <w:tmpl w:val="2D52023C"/>
    <w:lvl w:ilvl="0" w:tplc="052EF15E">
      <w:start w:val="15"/>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31873C4B"/>
    <w:multiLevelType w:val="hybridMultilevel"/>
    <w:tmpl w:val="C3F66A1A"/>
    <w:lvl w:ilvl="0" w:tplc="1E5C1A2E">
      <w:start w:val="18"/>
      <w:numFmt w:val="bullet"/>
      <w:lvlText w:val="-"/>
      <w:lvlJc w:val="left"/>
      <w:pPr>
        <w:ind w:left="720" w:hanging="360"/>
      </w:pPr>
      <w:rPr>
        <w:rFonts w:ascii="Calibri Light" w:eastAsia="Times New Roman" w:hAnsi="Calibri Light" w:cstheme="maj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3287319A"/>
    <w:multiLevelType w:val="multilevel"/>
    <w:tmpl w:val="0CDA44E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3" w15:restartNumberingAfterBreak="0">
    <w:nsid w:val="331C032B"/>
    <w:multiLevelType w:val="hybridMultilevel"/>
    <w:tmpl w:val="871CA66A"/>
    <w:lvl w:ilvl="0" w:tplc="7F7E832A">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334B0182"/>
    <w:multiLevelType w:val="hybridMultilevel"/>
    <w:tmpl w:val="FB663E24"/>
    <w:lvl w:ilvl="0" w:tplc="7F7E832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43D3B94"/>
    <w:multiLevelType w:val="multilevel"/>
    <w:tmpl w:val="C57249BA"/>
    <w:lvl w:ilvl="0">
      <w:start w:val="3"/>
      <w:numFmt w:val="decimal"/>
      <w:lvlText w:val="%1."/>
      <w:lvlJc w:val="left"/>
      <w:pPr>
        <w:ind w:left="360" w:hanging="360"/>
      </w:pPr>
      <w:rPr>
        <w:rFonts w:hint="default"/>
      </w:rPr>
    </w:lvl>
    <w:lvl w:ilvl="1">
      <w:start w:val="1"/>
      <w:numFmt w:val="decimal"/>
      <w:lvlText w:val="%1.%2."/>
      <w:lvlJc w:val="left"/>
      <w:pPr>
        <w:ind w:left="1132" w:hanging="360"/>
      </w:pPr>
      <w:rPr>
        <w:rFonts w:hint="default"/>
      </w:rPr>
    </w:lvl>
    <w:lvl w:ilvl="2">
      <w:start w:val="1"/>
      <w:numFmt w:val="decimal"/>
      <w:lvlText w:val="%1.%2.%3."/>
      <w:lvlJc w:val="left"/>
      <w:pPr>
        <w:ind w:left="2264" w:hanging="720"/>
      </w:pPr>
      <w:rPr>
        <w:rFonts w:hint="default"/>
      </w:rPr>
    </w:lvl>
    <w:lvl w:ilvl="3">
      <w:start w:val="1"/>
      <w:numFmt w:val="decimal"/>
      <w:lvlText w:val="%1.%2.%3.%4."/>
      <w:lvlJc w:val="left"/>
      <w:pPr>
        <w:ind w:left="3036" w:hanging="720"/>
      </w:pPr>
      <w:rPr>
        <w:rFonts w:hint="default"/>
      </w:rPr>
    </w:lvl>
    <w:lvl w:ilvl="4">
      <w:start w:val="1"/>
      <w:numFmt w:val="decimal"/>
      <w:lvlText w:val="%1.%2.%3.%4.%5."/>
      <w:lvlJc w:val="left"/>
      <w:pPr>
        <w:ind w:left="4168" w:hanging="1080"/>
      </w:pPr>
      <w:rPr>
        <w:rFonts w:hint="default"/>
      </w:rPr>
    </w:lvl>
    <w:lvl w:ilvl="5">
      <w:start w:val="1"/>
      <w:numFmt w:val="decimal"/>
      <w:lvlText w:val="%1.%2.%3.%4.%5.%6."/>
      <w:lvlJc w:val="left"/>
      <w:pPr>
        <w:ind w:left="4940" w:hanging="1080"/>
      </w:pPr>
      <w:rPr>
        <w:rFonts w:hint="default"/>
      </w:rPr>
    </w:lvl>
    <w:lvl w:ilvl="6">
      <w:start w:val="1"/>
      <w:numFmt w:val="decimal"/>
      <w:lvlText w:val="%1.%2.%3.%4.%5.%6.%7."/>
      <w:lvlJc w:val="left"/>
      <w:pPr>
        <w:ind w:left="6072" w:hanging="1440"/>
      </w:pPr>
      <w:rPr>
        <w:rFonts w:hint="default"/>
      </w:rPr>
    </w:lvl>
    <w:lvl w:ilvl="7">
      <w:start w:val="1"/>
      <w:numFmt w:val="decimal"/>
      <w:lvlText w:val="%1.%2.%3.%4.%5.%6.%7.%8."/>
      <w:lvlJc w:val="left"/>
      <w:pPr>
        <w:ind w:left="6844" w:hanging="1440"/>
      </w:pPr>
      <w:rPr>
        <w:rFonts w:hint="default"/>
      </w:rPr>
    </w:lvl>
    <w:lvl w:ilvl="8">
      <w:start w:val="1"/>
      <w:numFmt w:val="decimal"/>
      <w:lvlText w:val="%1.%2.%3.%4.%5.%6.%7.%8.%9."/>
      <w:lvlJc w:val="left"/>
      <w:pPr>
        <w:ind w:left="7976" w:hanging="1800"/>
      </w:pPr>
      <w:rPr>
        <w:rFonts w:hint="default"/>
      </w:rPr>
    </w:lvl>
  </w:abstractNum>
  <w:abstractNum w:abstractNumId="76" w15:restartNumberingAfterBreak="0">
    <w:nsid w:val="34B66F80"/>
    <w:multiLevelType w:val="multilevel"/>
    <w:tmpl w:val="C7CC89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5F3745F"/>
    <w:multiLevelType w:val="hybridMultilevel"/>
    <w:tmpl w:val="7E0C1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60A6D3A"/>
    <w:multiLevelType w:val="hybridMultilevel"/>
    <w:tmpl w:val="3C3C5140"/>
    <w:lvl w:ilvl="0" w:tplc="0C09000F">
      <w:start w:val="1"/>
      <w:numFmt w:val="decimal"/>
      <w:lvlText w:val="%1."/>
      <w:lvlJc w:val="left"/>
      <w:pPr>
        <w:ind w:left="-351" w:hanging="360"/>
      </w:pPr>
    </w:lvl>
    <w:lvl w:ilvl="1" w:tplc="0C090019" w:tentative="1">
      <w:start w:val="1"/>
      <w:numFmt w:val="lowerLetter"/>
      <w:lvlText w:val="%2."/>
      <w:lvlJc w:val="left"/>
      <w:pPr>
        <w:ind w:left="369" w:hanging="360"/>
      </w:pPr>
    </w:lvl>
    <w:lvl w:ilvl="2" w:tplc="0C09001B" w:tentative="1">
      <w:start w:val="1"/>
      <w:numFmt w:val="lowerRoman"/>
      <w:lvlText w:val="%3."/>
      <w:lvlJc w:val="right"/>
      <w:pPr>
        <w:ind w:left="1089" w:hanging="180"/>
      </w:pPr>
    </w:lvl>
    <w:lvl w:ilvl="3" w:tplc="0C09000F" w:tentative="1">
      <w:start w:val="1"/>
      <w:numFmt w:val="decimal"/>
      <w:lvlText w:val="%4."/>
      <w:lvlJc w:val="left"/>
      <w:pPr>
        <w:ind w:left="1809" w:hanging="360"/>
      </w:pPr>
    </w:lvl>
    <w:lvl w:ilvl="4" w:tplc="0C090019" w:tentative="1">
      <w:start w:val="1"/>
      <w:numFmt w:val="lowerLetter"/>
      <w:lvlText w:val="%5."/>
      <w:lvlJc w:val="left"/>
      <w:pPr>
        <w:ind w:left="2529" w:hanging="360"/>
      </w:pPr>
    </w:lvl>
    <w:lvl w:ilvl="5" w:tplc="0C09001B" w:tentative="1">
      <w:start w:val="1"/>
      <w:numFmt w:val="lowerRoman"/>
      <w:lvlText w:val="%6."/>
      <w:lvlJc w:val="right"/>
      <w:pPr>
        <w:ind w:left="3249" w:hanging="180"/>
      </w:pPr>
    </w:lvl>
    <w:lvl w:ilvl="6" w:tplc="0C09000F" w:tentative="1">
      <w:start w:val="1"/>
      <w:numFmt w:val="decimal"/>
      <w:lvlText w:val="%7."/>
      <w:lvlJc w:val="left"/>
      <w:pPr>
        <w:ind w:left="3969" w:hanging="360"/>
      </w:pPr>
    </w:lvl>
    <w:lvl w:ilvl="7" w:tplc="0C090019" w:tentative="1">
      <w:start w:val="1"/>
      <w:numFmt w:val="lowerLetter"/>
      <w:lvlText w:val="%8."/>
      <w:lvlJc w:val="left"/>
      <w:pPr>
        <w:ind w:left="4689" w:hanging="360"/>
      </w:pPr>
    </w:lvl>
    <w:lvl w:ilvl="8" w:tplc="0C09001B" w:tentative="1">
      <w:start w:val="1"/>
      <w:numFmt w:val="lowerRoman"/>
      <w:lvlText w:val="%9."/>
      <w:lvlJc w:val="right"/>
      <w:pPr>
        <w:ind w:left="5409" w:hanging="180"/>
      </w:pPr>
    </w:lvl>
  </w:abstractNum>
  <w:abstractNum w:abstractNumId="79" w15:restartNumberingAfterBreak="0">
    <w:nsid w:val="360D4DB6"/>
    <w:multiLevelType w:val="hybridMultilevel"/>
    <w:tmpl w:val="26D64316"/>
    <w:lvl w:ilvl="0" w:tplc="04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368B3686"/>
    <w:multiLevelType w:val="multilevel"/>
    <w:tmpl w:val="DD06DDE0"/>
    <w:lvl w:ilvl="0">
      <w:start w:val="16"/>
      <w:numFmt w:val="decimal"/>
      <w:lvlText w:val="%1."/>
      <w:lvlJc w:val="left"/>
      <w:pPr>
        <w:ind w:left="400" w:hanging="400"/>
      </w:pPr>
      <w:rPr>
        <w:rFonts w:hint="default"/>
        <w:color w:val="000000"/>
      </w:rPr>
    </w:lvl>
    <w:lvl w:ilvl="1">
      <w:start w:val="1"/>
      <w:numFmt w:val="decimal"/>
      <w:lvlText w:val="%1.%2."/>
      <w:lvlJc w:val="left"/>
      <w:pPr>
        <w:ind w:left="400" w:hanging="40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080" w:hanging="108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81" w15:restartNumberingAfterBreak="0">
    <w:nsid w:val="36F04359"/>
    <w:multiLevelType w:val="multilevel"/>
    <w:tmpl w:val="D6B443E0"/>
    <w:lvl w:ilvl="0">
      <w:start w:val="3"/>
      <w:numFmt w:val="decimal"/>
      <w:lvlText w:val="%1."/>
      <w:lvlJc w:val="left"/>
      <w:pPr>
        <w:ind w:left="720"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2215"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222" w:hanging="1080"/>
      </w:pPr>
      <w:rPr>
        <w:rFonts w:hint="default"/>
      </w:rPr>
    </w:lvl>
    <w:lvl w:ilvl="4">
      <w:start w:val="1"/>
      <w:numFmt w:val="decimal"/>
      <w:pStyle w:val="Heading5"/>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82" w15:restartNumberingAfterBreak="0">
    <w:nsid w:val="39EA06C0"/>
    <w:multiLevelType w:val="hybridMultilevel"/>
    <w:tmpl w:val="C51A2D34"/>
    <w:lvl w:ilvl="0" w:tplc="3409000F">
      <w:start w:val="1"/>
      <w:numFmt w:val="decimal"/>
      <w:lvlText w:val="%1."/>
      <w:lvlJc w:val="left"/>
      <w:pPr>
        <w:ind w:left="360" w:hanging="360"/>
      </w:p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83" w15:restartNumberingAfterBreak="0">
    <w:nsid w:val="3A2429AF"/>
    <w:multiLevelType w:val="hybridMultilevel"/>
    <w:tmpl w:val="CCEC2084"/>
    <w:lvl w:ilvl="0" w:tplc="D6D43AC0">
      <w:start w:val="1"/>
      <w:numFmt w:val="bullet"/>
      <w:lvlText w:val="o"/>
      <w:lvlJc w:val="left"/>
      <w:pPr>
        <w:ind w:left="360" w:hanging="360"/>
      </w:pPr>
      <w:rPr>
        <w:rFonts w:ascii="Courier New" w:hAnsi="Courier New"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3B9B763E"/>
    <w:multiLevelType w:val="hybridMultilevel"/>
    <w:tmpl w:val="D9B21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BA153D3"/>
    <w:multiLevelType w:val="hybridMultilevel"/>
    <w:tmpl w:val="1D0A72A6"/>
    <w:lvl w:ilvl="0" w:tplc="B03801E8">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BAA3170"/>
    <w:multiLevelType w:val="hybridMultilevel"/>
    <w:tmpl w:val="C40C8A00"/>
    <w:lvl w:ilvl="0" w:tplc="3409000F">
      <w:start w:val="1"/>
      <w:numFmt w:val="decimal"/>
      <w:lvlText w:val="%1."/>
      <w:lvlJc w:val="left"/>
      <w:pPr>
        <w:ind w:left="360" w:hanging="360"/>
      </w:p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87" w15:restartNumberingAfterBreak="0">
    <w:nsid w:val="3C5D6AFC"/>
    <w:multiLevelType w:val="hybridMultilevel"/>
    <w:tmpl w:val="342CDF8A"/>
    <w:lvl w:ilvl="0" w:tplc="335A8B18">
      <w:start w:val="1"/>
      <w:numFmt w:val="bullet"/>
      <w:lvlText w:val="•"/>
      <w:lvlJc w:val="left"/>
      <w:pPr>
        <w:tabs>
          <w:tab w:val="num" w:pos="720"/>
        </w:tabs>
        <w:ind w:left="720" w:hanging="360"/>
      </w:pPr>
      <w:rPr>
        <w:rFonts w:ascii="Arial" w:hAnsi="Arial" w:hint="default"/>
      </w:rPr>
    </w:lvl>
    <w:lvl w:ilvl="1" w:tplc="9D646AA6">
      <w:start w:val="161"/>
      <w:numFmt w:val="bullet"/>
      <w:lvlText w:val="•"/>
      <w:lvlJc w:val="left"/>
      <w:pPr>
        <w:tabs>
          <w:tab w:val="num" w:pos="1440"/>
        </w:tabs>
        <w:ind w:left="1440" w:hanging="360"/>
      </w:pPr>
      <w:rPr>
        <w:rFonts w:ascii="Arial" w:hAnsi="Arial" w:hint="default"/>
      </w:rPr>
    </w:lvl>
    <w:lvl w:ilvl="2" w:tplc="04D49618" w:tentative="1">
      <w:start w:val="1"/>
      <w:numFmt w:val="bullet"/>
      <w:lvlText w:val="•"/>
      <w:lvlJc w:val="left"/>
      <w:pPr>
        <w:tabs>
          <w:tab w:val="num" w:pos="2160"/>
        </w:tabs>
        <w:ind w:left="2160" w:hanging="360"/>
      </w:pPr>
      <w:rPr>
        <w:rFonts w:ascii="Arial" w:hAnsi="Arial" w:hint="default"/>
      </w:rPr>
    </w:lvl>
    <w:lvl w:ilvl="3" w:tplc="AC8E6A5A" w:tentative="1">
      <w:start w:val="1"/>
      <w:numFmt w:val="bullet"/>
      <w:lvlText w:val="•"/>
      <w:lvlJc w:val="left"/>
      <w:pPr>
        <w:tabs>
          <w:tab w:val="num" w:pos="2880"/>
        </w:tabs>
        <w:ind w:left="2880" w:hanging="360"/>
      </w:pPr>
      <w:rPr>
        <w:rFonts w:ascii="Arial" w:hAnsi="Arial" w:hint="default"/>
      </w:rPr>
    </w:lvl>
    <w:lvl w:ilvl="4" w:tplc="571067E6" w:tentative="1">
      <w:start w:val="1"/>
      <w:numFmt w:val="bullet"/>
      <w:lvlText w:val="•"/>
      <w:lvlJc w:val="left"/>
      <w:pPr>
        <w:tabs>
          <w:tab w:val="num" w:pos="3600"/>
        </w:tabs>
        <w:ind w:left="3600" w:hanging="360"/>
      </w:pPr>
      <w:rPr>
        <w:rFonts w:ascii="Arial" w:hAnsi="Arial" w:hint="default"/>
      </w:rPr>
    </w:lvl>
    <w:lvl w:ilvl="5" w:tplc="55AE470A" w:tentative="1">
      <w:start w:val="1"/>
      <w:numFmt w:val="bullet"/>
      <w:lvlText w:val="•"/>
      <w:lvlJc w:val="left"/>
      <w:pPr>
        <w:tabs>
          <w:tab w:val="num" w:pos="4320"/>
        </w:tabs>
        <w:ind w:left="4320" w:hanging="360"/>
      </w:pPr>
      <w:rPr>
        <w:rFonts w:ascii="Arial" w:hAnsi="Arial" w:hint="default"/>
      </w:rPr>
    </w:lvl>
    <w:lvl w:ilvl="6" w:tplc="A49206F6" w:tentative="1">
      <w:start w:val="1"/>
      <w:numFmt w:val="bullet"/>
      <w:lvlText w:val="•"/>
      <w:lvlJc w:val="left"/>
      <w:pPr>
        <w:tabs>
          <w:tab w:val="num" w:pos="5040"/>
        </w:tabs>
        <w:ind w:left="5040" w:hanging="360"/>
      </w:pPr>
      <w:rPr>
        <w:rFonts w:ascii="Arial" w:hAnsi="Arial" w:hint="default"/>
      </w:rPr>
    </w:lvl>
    <w:lvl w:ilvl="7" w:tplc="60AC22A0" w:tentative="1">
      <w:start w:val="1"/>
      <w:numFmt w:val="bullet"/>
      <w:lvlText w:val="•"/>
      <w:lvlJc w:val="left"/>
      <w:pPr>
        <w:tabs>
          <w:tab w:val="num" w:pos="5760"/>
        </w:tabs>
        <w:ind w:left="5760" w:hanging="360"/>
      </w:pPr>
      <w:rPr>
        <w:rFonts w:ascii="Arial" w:hAnsi="Arial" w:hint="default"/>
      </w:rPr>
    </w:lvl>
    <w:lvl w:ilvl="8" w:tplc="96A6ED6A" w:tentative="1">
      <w:start w:val="1"/>
      <w:numFmt w:val="bullet"/>
      <w:lvlText w:val="•"/>
      <w:lvlJc w:val="left"/>
      <w:pPr>
        <w:tabs>
          <w:tab w:val="num" w:pos="6480"/>
        </w:tabs>
        <w:ind w:left="6480" w:hanging="360"/>
      </w:pPr>
      <w:rPr>
        <w:rFonts w:ascii="Arial" w:hAnsi="Arial" w:hint="default"/>
      </w:rPr>
    </w:lvl>
  </w:abstractNum>
  <w:abstractNum w:abstractNumId="88" w15:restartNumberingAfterBreak="0">
    <w:nsid w:val="3CDA499B"/>
    <w:multiLevelType w:val="hybridMultilevel"/>
    <w:tmpl w:val="85686BB0"/>
    <w:lvl w:ilvl="0" w:tplc="3409000F">
      <w:start w:val="1"/>
      <w:numFmt w:val="decimal"/>
      <w:lvlText w:val="%1."/>
      <w:lvlJc w:val="left"/>
      <w:pPr>
        <w:ind w:left="360" w:hanging="360"/>
      </w:p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89" w15:restartNumberingAfterBreak="0">
    <w:nsid w:val="3DD431F3"/>
    <w:multiLevelType w:val="multilevel"/>
    <w:tmpl w:val="18D02B0A"/>
    <w:lvl w:ilvl="0">
      <w:start w:val="1"/>
      <w:numFmt w:val="decimal"/>
      <w:lvlText w:val="%1."/>
      <w:lvlJc w:val="left"/>
      <w:pPr>
        <w:ind w:left="720" w:hanging="360"/>
      </w:pPr>
      <w:rPr>
        <w:rFonts w:hint="default"/>
      </w:rPr>
    </w:lvl>
    <w:lvl w:ilvl="1">
      <w:start w:val="1"/>
      <w:numFmt w:val="decimal"/>
      <w:isLgl/>
      <w:lvlText w:val="%1.%2"/>
      <w:lvlJc w:val="left"/>
      <w:pPr>
        <w:ind w:left="1249"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667" w:hanging="720"/>
      </w:pPr>
      <w:rPr>
        <w:rFonts w:hint="default"/>
      </w:rPr>
    </w:lvl>
    <w:lvl w:ilvl="4">
      <w:start w:val="1"/>
      <w:numFmt w:val="decimal"/>
      <w:isLgl/>
      <w:lvlText w:val="%1.%2.%3.%4.%5"/>
      <w:lvlJc w:val="left"/>
      <w:pPr>
        <w:ind w:left="3196" w:hanging="720"/>
      </w:pPr>
      <w:rPr>
        <w:rFonts w:hint="default"/>
      </w:rPr>
    </w:lvl>
    <w:lvl w:ilvl="5">
      <w:start w:val="1"/>
      <w:numFmt w:val="decimal"/>
      <w:isLgl/>
      <w:lvlText w:val="%1.%2.%3.%4.%5.%6"/>
      <w:lvlJc w:val="left"/>
      <w:pPr>
        <w:ind w:left="4085" w:hanging="1080"/>
      </w:pPr>
      <w:rPr>
        <w:rFonts w:hint="default"/>
      </w:rPr>
    </w:lvl>
    <w:lvl w:ilvl="6">
      <w:start w:val="1"/>
      <w:numFmt w:val="decimal"/>
      <w:isLgl/>
      <w:lvlText w:val="%1.%2.%3.%4.%5.%6.%7"/>
      <w:lvlJc w:val="left"/>
      <w:pPr>
        <w:ind w:left="4614" w:hanging="1080"/>
      </w:pPr>
      <w:rPr>
        <w:rFonts w:hint="default"/>
      </w:rPr>
    </w:lvl>
    <w:lvl w:ilvl="7">
      <w:start w:val="1"/>
      <w:numFmt w:val="decimal"/>
      <w:isLgl/>
      <w:lvlText w:val="%1.%2.%3.%4.%5.%6.%7.%8"/>
      <w:lvlJc w:val="left"/>
      <w:pPr>
        <w:ind w:left="5503" w:hanging="1440"/>
      </w:pPr>
      <w:rPr>
        <w:rFonts w:hint="default"/>
      </w:rPr>
    </w:lvl>
    <w:lvl w:ilvl="8">
      <w:start w:val="1"/>
      <w:numFmt w:val="decimal"/>
      <w:isLgl/>
      <w:lvlText w:val="%1.%2.%3.%4.%5.%6.%7.%8.%9"/>
      <w:lvlJc w:val="left"/>
      <w:pPr>
        <w:ind w:left="6032" w:hanging="1440"/>
      </w:pPr>
      <w:rPr>
        <w:rFonts w:hint="default"/>
      </w:rPr>
    </w:lvl>
  </w:abstractNum>
  <w:abstractNum w:abstractNumId="90" w15:restartNumberingAfterBreak="0">
    <w:nsid w:val="3EA874A3"/>
    <w:multiLevelType w:val="hybridMultilevel"/>
    <w:tmpl w:val="EC58ABC8"/>
    <w:lvl w:ilvl="0" w:tplc="8AD8E618">
      <w:start w:val="1"/>
      <w:numFmt w:val="decimal"/>
      <w:lvlText w:val="%1."/>
      <w:lvlJc w:val="left"/>
      <w:pPr>
        <w:ind w:left="360" w:hanging="360"/>
      </w:pPr>
      <w:rPr>
        <w:rFonts w:asciiTheme="majorHAnsi" w:eastAsiaTheme="minorHAnsi" w:hAnsiTheme="majorHAnsi" w:cstheme="majorHAnsi"/>
      </w:rPr>
    </w:lvl>
    <w:lvl w:ilvl="1" w:tplc="04090019">
      <w:start w:val="1"/>
      <w:numFmt w:val="lowerLetter"/>
      <w:lvlText w:val="%2."/>
      <w:lvlJc w:val="left"/>
      <w:pPr>
        <w:ind w:left="1080" w:hanging="360"/>
      </w:pPr>
    </w:lvl>
    <w:lvl w:ilvl="2" w:tplc="04090019">
      <w:start w:val="1"/>
      <w:numFmt w:val="lowerLetter"/>
      <w:lvlText w:val="%3."/>
      <w:lvlJc w:val="left"/>
      <w:pPr>
        <w:ind w:left="1980" w:hanging="36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3ED47EBB"/>
    <w:multiLevelType w:val="hybridMultilevel"/>
    <w:tmpl w:val="69C046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3F0E2FB3"/>
    <w:multiLevelType w:val="multilevel"/>
    <w:tmpl w:val="9C8C2EA6"/>
    <w:lvl w:ilvl="0">
      <w:start w:val="36"/>
      <w:numFmt w:val="decimal"/>
      <w:lvlText w:val="%1."/>
      <w:lvlJc w:val="left"/>
      <w:pPr>
        <w:ind w:left="440" w:hanging="440"/>
      </w:pPr>
      <w:rPr>
        <w:rFonts w:hint="default"/>
        <w:color w:val="auto"/>
      </w:rPr>
    </w:lvl>
    <w:lvl w:ilvl="1">
      <w:start w:val="1"/>
      <w:numFmt w:val="decimal"/>
      <w:lvlText w:val="%1.%2."/>
      <w:lvlJc w:val="left"/>
      <w:pPr>
        <w:ind w:left="1520" w:hanging="440"/>
      </w:pPr>
      <w:rPr>
        <w:rFonts w:hint="default"/>
        <w:color w:val="auto"/>
      </w:rPr>
    </w:lvl>
    <w:lvl w:ilvl="2">
      <w:start w:val="1"/>
      <w:numFmt w:val="decimal"/>
      <w:lvlText w:val="%1.%2.%3."/>
      <w:lvlJc w:val="left"/>
      <w:pPr>
        <w:ind w:left="2880" w:hanging="720"/>
      </w:pPr>
      <w:rPr>
        <w:rFonts w:hint="default"/>
        <w:color w:val="auto"/>
      </w:rPr>
    </w:lvl>
    <w:lvl w:ilvl="3">
      <w:start w:val="1"/>
      <w:numFmt w:val="decimal"/>
      <w:lvlText w:val="%1.%2.%3.%4."/>
      <w:lvlJc w:val="left"/>
      <w:pPr>
        <w:ind w:left="3960" w:hanging="720"/>
      </w:pPr>
      <w:rPr>
        <w:rFonts w:hint="default"/>
        <w:color w:val="auto"/>
      </w:rPr>
    </w:lvl>
    <w:lvl w:ilvl="4">
      <w:start w:val="1"/>
      <w:numFmt w:val="decimal"/>
      <w:lvlText w:val="%1.%2.%3.%4.%5."/>
      <w:lvlJc w:val="left"/>
      <w:pPr>
        <w:ind w:left="5400" w:hanging="1080"/>
      </w:pPr>
      <w:rPr>
        <w:rFonts w:hint="default"/>
        <w:color w:val="auto"/>
      </w:rPr>
    </w:lvl>
    <w:lvl w:ilvl="5">
      <w:start w:val="1"/>
      <w:numFmt w:val="decimal"/>
      <w:lvlText w:val="%1.%2.%3.%4.%5.%6."/>
      <w:lvlJc w:val="left"/>
      <w:pPr>
        <w:ind w:left="6480" w:hanging="1080"/>
      </w:pPr>
      <w:rPr>
        <w:rFonts w:hint="default"/>
        <w:color w:val="auto"/>
      </w:rPr>
    </w:lvl>
    <w:lvl w:ilvl="6">
      <w:start w:val="1"/>
      <w:numFmt w:val="decimal"/>
      <w:lvlText w:val="%1.%2.%3.%4.%5.%6.%7."/>
      <w:lvlJc w:val="left"/>
      <w:pPr>
        <w:ind w:left="7920" w:hanging="1440"/>
      </w:pPr>
      <w:rPr>
        <w:rFonts w:hint="default"/>
        <w:color w:val="auto"/>
      </w:rPr>
    </w:lvl>
    <w:lvl w:ilvl="7">
      <w:start w:val="1"/>
      <w:numFmt w:val="decimal"/>
      <w:lvlText w:val="%1.%2.%3.%4.%5.%6.%7.%8."/>
      <w:lvlJc w:val="left"/>
      <w:pPr>
        <w:ind w:left="9000" w:hanging="1440"/>
      </w:pPr>
      <w:rPr>
        <w:rFonts w:hint="default"/>
        <w:color w:val="auto"/>
      </w:rPr>
    </w:lvl>
    <w:lvl w:ilvl="8">
      <w:start w:val="1"/>
      <w:numFmt w:val="decimal"/>
      <w:lvlText w:val="%1.%2.%3.%4.%5.%6.%7.%8.%9."/>
      <w:lvlJc w:val="left"/>
      <w:pPr>
        <w:ind w:left="10440" w:hanging="1800"/>
      </w:pPr>
      <w:rPr>
        <w:rFonts w:hint="default"/>
        <w:color w:val="auto"/>
      </w:rPr>
    </w:lvl>
  </w:abstractNum>
  <w:abstractNum w:abstractNumId="93" w15:restartNumberingAfterBreak="0">
    <w:nsid w:val="41FE7AFB"/>
    <w:multiLevelType w:val="multilevel"/>
    <w:tmpl w:val="9B5244D2"/>
    <w:lvl w:ilvl="0">
      <w:start w:val="1"/>
      <w:numFmt w:val="decimal"/>
      <w:lvlText w:val="%1."/>
      <w:lvlJc w:val="left"/>
      <w:pPr>
        <w:ind w:left="360" w:hanging="360"/>
      </w:pPr>
      <w:rPr>
        <w:rFonts w:hint="default"/>
      </w:rPr>
    </w:lvl>
    <w:lvl w:ilvl="1">
      <w:start w:val="1"/>
      <w:numFmt w:val="decimal"/>
      <w:pStyle w:val="Heading2"/>
      <w:isLgl/>
      <w:lvlText w:val="%1.%2."/>
      <w:lvlJc w:val="left"/>
      <w:pPr>
        <w:ind w:left="1288" w:hanging="72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4" w15:restartNumberingAfterBreak="0">
    <w:nsid w:val="4229696A"/>
    <w:multiLevelType w:val="hybridMultilevel"/>
    <w:tmpl w:val="C004DE3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15:restartNumberingAfterBreak="0">
    <w:nsid w:val="42C77D98"/>
    <w:multiLevelType w:val="hybridMultilevel"/>
    <w:tmpl w:val="1F1E0E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43AD7ADE"/>
    <w:multiLevelType w:val="hybridMultilevel"/>
    <w:tmpl w:val="EF8C60AE"/>
    <w:lvl w:ilvl="0" w:tplc="D6D43AC0">
      <w:start w:val="1"/>
      <w:numFmt w:val="bullet"/>
      <w:lvlText w:val="o"/>
      <w:lvlJc w:val="left"/>
      <w:pPr>
        <w:ind w:left="1080" w:hanging="360"/>
      </w:pPr>
      <w:rPr>
        <w:rFonts w:ascii="Courier New" w:hAnsi="Courier New"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15:restartNumberingAfterBreak="0">
    <w:nsid w:val="43E03431"/>
    <w:multiLevelType w:val="hybridMultilevel"/>
    <w:tmpl w:val="1950644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44861A3D"/>
    <w:multiLevelType w:val="hybridMultilevel"/>
    <w:tmpl w:val="9CF27CE8"/>
    <w:lvl w:ilvl="0" w:tplc="D6D43AC0">
      <w:start w:val="1"/>
      <w:numFmt w:val="bullet"/>
      <w:lvlText w:val="o"/>
      <w:lvlJc w:val="left"/>
      <w:pPr>
        <w:ind w:left="360" w:hanging="360"/>
      </w:pPr>
      <w:rPr>
        <w:rFonts w:ascii="Courier New" w:hAnsi="Courier New" w:hint="default"/>
        <w:sz w:val="22"/>
      </w:rPr>
    </w:lvl>
    <w:lvl w:ilvl="1" w:tplc="29FE4916" w:tentative="1">
      <w:start w:val="1"/>
      <w:numFmt w:val="bullet"/>
      <w:lvlText w:val="•"/>
      <w:lvlJc w:val="left"/>
      <w:pPr>
        <w:tabs>
          <w:tab w:val="num" w:pos="360"/>
        </w:tabs>
        <w:ind w:left="360" w:hanging="360"/>
      </w:pPr>
      <w:rPr>
        <w:rFonts w:ascii="Arial" w:hAnsi="Arial" w:hint="default"/>
      </w:rPr>
    </w:lvl>
    <w:lvl w:ilvl="2" w:tplc="59441FDA" w:tentative="1">
      <w:start w:val="1"/>
      <w:numFmt w:val="bullet"/>
      <w:lvlText w:val="•"/>
      <w:lvlJc w:val="left"/>
      <w:pPr>
        <w:tabs>
          <w:tab w:val="num" w:pos="1080"/>
        </w:tabs>
        <w:ind w:left="1080" w:hanging="360"/>
      </w:pPr>
      <w:rPr>
        <w:rFonts w:ascii="Arial" w:hAnsi="Arial" w:hint="default"/>
      </w:rPr>
    </w:lvl>
    <w:lvl w:ilvl="3" w:tplc="483CA56A" w:tentative="1">
      <w:start w:val="1"/>
      <w:numFmt w:val="bullet"/>
      <w:lvlText w:val="•"/>
      <w:lvlJc w:val="left"/>
      <w:pPr>
        <w:tabs>
          <w:tab w:val="num" w:pos="1800"/>
        </w:tabs>
        <w:ind w:left="1800" w:hanging="360"/>
      </w:pPr>
      <w:rPr>
        <w:rFonts w:ascii="Arial" w:hAnsi="Arial" w:hint="default"/>
      </w:rPr>
    </w:lvl>
    <w:lvl w:ilvl="4" w:tplc="69EE453E" w:tentative="1">
      <w:start w:val="1"/>
      <w:numFmt w:val="bullet"/>
      <w:lvlText w:val="•"/>
      <w:lvlJc w:val="left"/>
      <w:pPr>
        <w:tabs>
          <w:tab w:val="num" w:pos="2520"/>
        </w:tabs>
        <w:ind w:left="2520" w:hanging="360"/>
      </w:pPr>
      <w:rPr>
        <w:rFonts w:ascii="Arial" w:hAnsi="Arial" w:hint="default"/>
      </w:rPr>
    </w:lvl>
    <w:lvl w:ilvl="5" w:tplc="DF08BB4E" w:tentative="1">
      <w:start w:val="1"/>
      <w:numFmt w:val="bullet"/>
      <w:lvlText w:val="•"/>
      <w:lvlJc w:val="left"/>
      <w:pPr>
        <w:tabs>
          <w:tab w:val="num" w:pos="3240"/>
        </w:tabs>
        <w:ind w:left="3240" w:hanging="360"/>
      </w:pPr>
      <w:rPr>
        <w:rFonts w:ascii="Arial" w:hAnsi="Arial" w:hint="default"/>
      </w:rPr>
    </w:lvl>
    <w:lvl w:ilvl="6" w:tplc="2568604E" w:tentative="1">
      <w:start w:val="1"/>
      <w:numFmt w:val="bullet"/>
      <w:lvlText w:val="•"/>
      <w:lvlJc w:val="left"/>
      <w:pPr>
        <w:tabs>
          <w:tab w:val="num" w:pos="3960"/>
        </w:tabs>
        <w:ind w:left="3960" w:hanging="360"/>
      </w:pPr>
      <w:rPr>
        <w:rFonts w:ascii="Arial" w:hAnsi="Arial" w:hint="default"/>
      </w:rPr>
    </w:lvl>
    <w:lvl w:ilvl="7" w:tplc="EEEED638" w:tentative="1">
      <w:start w:val="1"/>
      <w:numFmt w:val="bullet"/>
      <w:lvlText w:val="•"/>
      <w:lvlJc w:val="left"/>
      <w:pPr>
        <w:tabs>
          <w:tab w:val="num" w:pos="4680"/>
        </w:tabs>
        <w:ind w:left="4680" w:hanging="360"/>
      </w:pPr>
      <w:rPr>
        <w:rFonts w:ascii="Arial" w:hAnsi="Arial" w:hint="default"/>
      </w:rPr>
    </w:lvl>
    <w:lvl w:ilvl="8" w:tplc="D7963440" w:tentative="1">
      <w:start w:val="1"/>
      <w:numFmt w:val="bullet"/>
      <w:lvlText w:val="•"/>
      <w:lvlJc w:val="left"/>
      <w:pPr>
        <w:tabs>
          <w:tab w:val="num" w:pos="5400"/>
        </w:tabs>
        <w:ind w:left="5400" w:hanging="360"/>
      </w:pPr>
      <w:rPr>
        <w:rFonts w:ascii="Arial" w:hAnsi="Arial" w:hint="default"/>
      </w:rPr>
    </w:lvl>
  </w:abstractNum>
  <w:abstractNum w:abstractNumId="99" w15:restartNumberingAfterBreak="0">
    <w:nsid w:val="450A6204"/>
    <w:multiLevelType w:val="multilevel"/>
    <w:tmpl w:val="E2DA72A4"/>
    <w:styleLink w:val="Style15"/>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0" w15:restartNumberingAfterBreak="0">
    <w:nsid w:val="458306F8"/>
    <w:multiLevelType w:val="hybridMultilevel"/>
    <w:tmpl w:val="0D9C5AF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15:restartNumberingAfterBreak="0">
    <w:nsid w:val="45A34FF6"/>
    <w:multiLevelType w:val="hybridMultilevel"/>
    <w:tmpl w:val="B7D019A4"/>
    <w:lvl w:ilvl="0" w:tplc="7F7E832A">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46487F27"/>
    <w:multiLevelType w:val="hybridMultilevel"/>
    <w:tmpl w:val="83B8B196"/>
    <w:lvl w:ilvl="0" w:tplc="7F7E832A">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46BE2703"/>
    <w:multiLevelType w:val="hybridMultilevel"/>
    <w:tmpl w:val="99361A5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47FD734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15:restartNumberingAfterBreak="0">
    <w:nsid w:val="483562F1"/>
    <w:multiLevelType w:val="hybridMultilevel"/>
    <w:tmpl w:val="3DC4157E"/>
    <w:lvl w:ilvl="0" w:tplc="7F7E832A">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48633CB5"/>
    <w:multiLevelType w:val="hybridMultilevel"/>
    <w:tmpl w:val="3EFE0C42"/>
    <w:lvl w:ilvl="0" w:tplc="7F7E832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BC86ACA"/>
    <w:multiLevelType w:val="multilevel"/>
    <w:tmpl w:val="0DA27660"/>
    <w:lvl w:ilvl="0">
      <w:start w:val="3"/>
      <w:numFmt w:val="decimal"/>
      <w:lvlText w:val="%1."/>
      <w:lvlJc w:val="left"/>
      <w:pPr>
        <w:ind w:left="360" w:hanging="360"/>
      </w:pPr>
      <w:rPr>
        <w:rFonts w:hint="default"/>
      </w:rPr>
    </w:lvl>
    <w:lvl w:ilvl="1">
      <w:start w:val="1"/>
      <w:numFmt w:val="lowerLetter"/>
      <w:lvlText w:val="%2."/>
      <w:lvlJc w:val="left"/>
      <w:pPr>
        <w:ind w:left="1132" w:hanging="360"/>
      </w:pPr>
      <w:rPr>
        <w:rFonts w:hint="default"/>
      </w:rPr>
    </w:lvl>
    <w:lvl w:ilvl="2">
      <w:start w:val="1"/>
      <w:numFmt w:val="decimal"/>
      <w:lvlText w:val="%1.%2.%3."/>
      <w:lvlJc w:val="left"/>
      <w:pPr>
        <w:ind w:left="2264" w:hanging="720"/>
      </w:pPr>
      <w:rPr>
        <w:rFonts w:hint="default"/>
      </w:rPr>
    </w:lvl>
    <w:lvl w:ilvl="3">
      <w:start w:val="1"/>
      <w:numFmt w:val="decimal"/>
      <w:lvlText w:val="%1.%2.%3.%4."/>
      <w:lvlJc w:val="left"/>
      <w:pPr>
        <w:ind w:left="3036" w:hanging="720"/>
      </w:pPr>
      <w:rPr>
        <w:rFonts w:hint="default"/>
      </w:rPr>
    </w:lvl>
    <w:lvl w:ilvl="4">
      <w:start w:val="1"/>
      <w:numFmt w:val="decimal"/>
      <w:lvlText w:val="%1.%2.%3.%4.%5."/>
      <w:lvlJc w:val="left"/>
      <w:pPr>
        <w:ind w:left="4168" w:hanging="1080"/>
      </w:pPr>
      <w:rPr>
        <w:rFonts w:hint="default"/>
      </w:rPr>
    </w:lvl>
    <w:lvl w:ilvl="5">
      <w:start w:val="1"/>
      <w:numFmt w:val="decimal"/>
      <w:lvlText w:val="%1.%2.%3.%4.%5.%6."/>
      <w:lvlJc w:val="left"/>
      <w:pPr>
        <w:ind w:left="4940" w:hanging="1080"/>
      </w:pPr>
      <w:rPr>
        <w:rFonts w:hint="default"/>
      </w:rPr>
    </w:lvl>
    <w:lvl w:ilvl="6">
      <w:start w:val="1"/>
      <w:numFmt w:val="decimal"/>
      <w:lvlText w:val="%1.%2.%3.%4.%5.%6.%7."/>
      <w:lvlJc w:val="left"/>
      <w:pPr>
        <w:ind w:left="6072" w:hanging="1440"/>
      </w:pPr>
      <w:rPr>
        <w:rFonts w:hint="default"/>
      </w:rPr>
    </w:lvl>
    <w:lvl w:ilvl="7">
      <w:start w:val="1"/>
      <w:numFmt w:val="decimal"/>
      <w:lvlText w:val="%1.%2.%3.%4.%5.%6.%7.%8."/>
      <w:lvlJc w:val="left"/>
      <w:pPr>
        <w:ind w:left="6844" w:hanging="1440"/>
      </w:pPr>
      <w:rPr>
        <w:rFonts w:hint="default"/>
      </w:rPr>
    </w:lvl>
    <w:lvl w:ilvl="8">
      <w:start w:val="1"/>
      <w:numFmt w:val="decimal"/>
      <w:lvlText w:val="%1.%2.%3.%4.%5.%6.%7.%8.%9."/>
      <w:lvlJc w:val="left"/>
      <w:pPr>
        <w:ind w:left="7976" w:hanging="1800"/>
      </w:pPr>
      <w:rPr>
        <w:rFonts w:hint="default"/>
      </w:rPr>
    </w:lvl>
  </w:abstractNum>
  <w:abstractNum w:abstractNumId="108" w15:restartNumberingAfterBreak="0">
    <w:nsid w:val="4C506EF1"/>
    <w:multiLevelType w:val="hybridMultilevel"/>
    <w:tmpl w:val="C004DE3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15:restartNumberingAfterBreak="0">
    <w:nsid w:val="4C686FAE"/>
    <w:multiLevelType w:val="hybridMultilevel"/>
    <w:tmpl w:val="65FAA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DAA45BB"/>
    <w:multiLevelType w:val="hybridMultilevel"/>
    <w:tmpl w:val="DA069ED0"/>
    <w:lvl w:ilvl="0" w:tplc="C752276E">
      <w:start w:val="1"/>
      <w:numFmt w:val="decimal"/>
      <w:lvlText w:val="%1."/>
      <w:lvlJc w:val="left"/>
      <w:pPr>
        <w:ind w:left="360" w:hanging="360"/>
      </w:pPr>
      <w:rPr>
        <w:rFonts w:hint="default"/>
        <w:b w:val="0"/>
        <w:color w:val="000000" w:themeColor="text1"/>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4E8B643E"/>
    <w:multiLevelType w:val="hybridMultilevel"/>
    <w:tmpl w:val="BCA48F86"/>
    <w:lvl w:ilvl="0" w:tplc="7F7E832A">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5106149B"/>
    <w:multiLevelType w:val="hybridMultilevel"/>
    <w:tmpl w:val="6E88EAA8"/>
    <w:lvl w:ilvl="0" w:tplc="7F7E832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14160BE"/>
    <w:multiLevelType w:val="hybridMultilevel"/>
    <w:tmpl w:val="45FC55C6"/>
    <w:lvl w:ilvl="0" w:tplc="9D30BE7C">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4" w15:restartNumberingAfterBreak="0">
    <w:nsid w:val="51B96C72"/>
    <w:multiLevelType w:val="hybridMultilevel"/>
    <w:tmpl w:val="25EAD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5245611A"/>
    <w:multiLevelType w:val="hybridMultilevel"/>
    <w:tmpl w:val="E022F84A"/>
    <w:lvl w:ilvl="0" w:tplc="F2101098">
      <w:start w:val="1"/>
      <w:numFmt w:val="bullet"/>
      <w:lvlText w:val=""/>
      <w:lvlJc w:val="left"/>
      <w:pPr>
        <w:ind w:left="0" w:hanging="360"/>
      </w:pPr>
      <w:rPr>
        <w:rFonts w:ascii="Wingdings" w:hAnsi="Wingdings" w:hint="default"/>
        <w:color w:val="000000" w:themeColor="text1"/>
      </w:rPr>
    </w:lvl>
    <w:lvl w:ilvl="1" w:tplc="34090003" w:tentative="1">
      <w:start w:val="1"/>
      <w:numFmt w:val="bullet"/>
      <w:lvlText w:val="o"/>
      <w:lvlJc w:val="left"/>
      <w:pPr>
        <w:ind w:left="720" w:hanging="360"/>
      </w:pPr>
      <w:rPr>
        <w:rFonts w:ascii="Courier New" w:hAnsi="Courier New" w:cs="Courier New" w:hint="default"/>
      </w:rPr>
    </w:lvl>
    <w:lvl w:ilvl="2" w:tplc="34090005" w:tentative="1">
      <w:start w:val="1"/>
      <w:numFmt w:val="bullet"/>
      <w:lvlText w:val=""/>
      <w:lvlJc w:val="left"/>
      <w:pPr>
        <w:ind w:left="1440" w:hanging="360"/>
      </w:pPr>
      <w:rPr>
        <w:rFonts w:ascii="Wingdings" w:hAnsi="Wingdings" w:hint="default"/>
      </w:rPr>
    </w:lvl>
    <w:lvl w:ilvl="3" w:tplc="34090001" w:tentative="1">
      <w:start w:val="1"/>
      <w:numFmt w:val="bullet"/>
      <w:lvlText w:val=""/>
      <w:lvlJc w:val="left"/>
      <w:pPr>
        <w:ind w:left="2160" w:hanging="360"/>
      </w:pPr>
      <w:rPr>
        <w:rFonts w:ascii="Symbol" w:hAnsi="Symbol" w:hint="default"/>
      </w:rPr>
    </w:lvl>
    <w:lvl w:ilvl="4" w:tplc="34090003" w:tentative="1">
      <w:start w:val="1"/>
      <w:numFmt w:val="bullet"/>
      <w:lvlText w:val="o"/>
      <w:lvlJc w:val="left"/>
      <w:pPr>
        <w:ind w:left="2880" w:hanging="360"/>
      </w:pPr>
      <w:rPr>
        <w:rFonts w:ascii="Courier New" w:hAnsi="Courier New" w:cs="Courier New" w:hint="default"/>
      </w:rPr>
    </w:lvl>
    <w:lvl w:ilvl="5" w:tplc="34090005" w:tentative="1">
      <w:start w:val="1"/>
      <w:numFmt w:val="bullet"/>
      <w:lvlText w:val=""/>
      <w:lvlJc w:val="left"/>
      <w:pPr>
        <w:ind w:left="3600" w:hanging="360"/>
      </w:pPr>
      <w:rPr>
        <w:rFonts w:ascii="Wingdings" w:hAnsi="Wingdings" w:hint="default"/>
      </w:rPr>
    </w:lvl>
    <w:lvl w:ilvl="6" w:tplc="34090001" w:tentative="1">
      <w:start w:val="1"/>
      <w:numFmt w:val="bullet"/>
      <w:lvlText w:val=""/>
      <w:lvlJc w:val="left"/>
      <w:pPr>
        <w:ind w:left="4320" w:hanging="360"/>
      </w:pPr>
      <w:rPr>
        <w:rFonts w:ascii="Symbol" w:hAnsi="Symbol" w:hint="default"/>
      </w:rPr>
    </w:lvl>
    <w:lvl w:ilvl="7" w:tplc="34090003" w:tentative="1">
      <w:start w:val="1"/>
      <w:numFmt w:val="bullet"/>
      <w:lvlText w:val="o"/>
      <w:lvlJc w:val="left"/>
      <w:pPr>
        <w:ind w:left="5040" w:hanging="360"/>
      </w:pPr>
      <w:rPr>
        <w:rFonts w:ascii="Courier New" w:hAnsi="Courier New" w:cs="Courier New" w:hint="default"/>
      </w:rPr>
    </w:lvl>
    <w:lvl w:ilvl="8" w:tplc="34090005" w:tentative="1">
      <w:start w:val="1"/>
      <w:numFmt w:val="bullet"/>
      <w:lvlText w:val=""/>
      <w:lvlJc w:val="left"/>
      <w:pPr>
        <w:ind w:left="5760" w:hanging="360"/>
      </w:pPr>
      <w:rPr>
        <w:rFonts w:ascii="Wingdings" w:hAnsi="Wingdings" w:hint="default"/>
      </w:rPr>
    </w:lvl>
  </w:abstractNum>
  <w:abstractNum w:abstractNumId="116" w15:restartNumberingAfterBreak="0">
    <w:nsid w:val="537E5C89"/>
    <w:multiLevelType w:val="multilevel"/>
    <w:tmpl w:val="7CDA32A0"/>
    <w:lvl w:ilvl="0">
      <w:start w:val="1"/>
      <w:numFmt w:val="decimal"/>
      <w:lvlText w:val="%1."/>
      <w:lvlJc w:val="left"/>
      <w:pPr>
        <w:ind w:left="360" w:hanging="360"/>
      </w:pPr>
    </w:lvl>
    <w:lvl w:ilvl="1">
      <w:start w:val="5"/>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7" w15:restartNumberingAfterBreak="0">
    <w:nsid w:val="5496569A"/>
    <w:multiLevelType w:val="multilevel"/>
    <w:tmpl w:val="9C8C2EA6"/>
    <w:lvl w:ilvl="0">
      <w:start w:val="35"/>
      <w:numFmt w:val="decimal"/>
      <w:lvlText w:val="%1."/>
      <w:lvlJc w:val="left"/>
      <w:pPr>
        <w:ind w:left="440" w:hanging="440"/>
      </w:pPr>
      <w:rPr>
        <w:rFonts w:hint="default"/>
        <w:color w:val="auto"/>
      </w:rPr>
    </w:lvl>
    <w:lvl w:ilvl="1">
      <w:start w:val="1"/>
      <w:numFmt w:val="decimal"/>
      <w:lvlText w:val="%1.%2."/>
      <w:lvlJc w:val="left"/>
      <w:pPr>
        <w:ind w:left="1520" w:hanging="440"/>
      </w:pPr>
      <w:rPr>
        <w:rFonts w:hint="default"/>
        <w:color w:val="auto"/>
      </w:rPr>
    </w:lvl>
    <w:lvl w:ilvl="2">
      <w:start w:val="1"/>
      <w:numFmt w:val="decimal"/>
      <w:lvlText w:val="%1.%2.%3."/>
      <w:lvlJc w:val="left"/>
      <w:pPr>
        <w:ind w:left="2880" w:hanging="720"/>
      </w:pPr>
      <w:rPr>
        <w:rFonts w:hint="default"/>
        <w:color w:val="auto"/>
      </w:rPr>
    </w:lvl>
    <w:lvl w:ilvl="3">
      <w:start w:val="1"/>
      <w:numFmt w:val="decimal"/>
      <w:lvlText w:val="%1.%2.%3.%4."/>
      <w:lvlJc w:val="left"/>
      <w:pPr>
        <w:ind w:left="3960" w:hanging="720"/>
      </w:pPr>
      <w:rPr>
        <w:rFonts w:hint="default"/>
        <w:color w:val="auto"/>
      </w:rPr>
    </w:lvl>
    <w:lvl w:ilvl="4">
      <w:start w:val="1"/>
      <w:numFmt w:val="decimal"/>
      <w:lvlText w:val="%1.%2.%3.%4.%5."/>
      <w:lvlJc w:val="left"/>
      <w:pPr>
        <w:ind w:left="5400" w:hanging="1080"/>
      </w:pPr>
      <w:rPr>
        <w:rFonts w:hint="default"/>
        <w:color w:val="auto"/>
      </w:rPr>
    </w:lvl>
    <w:lvl w:ilvl="5">
      <w:start w:val="1"/>
      <w:numFmt w:val="decimal"/>
      <w:lvlText w:val="%1.%2.%3.%4.%5.%6."/>
      <w:lvlJc w:val="left"/>
      <w:pPr>
        <w:ind w:left="6480" w:hanging="1080"/>
      </w:pPr>
      <w:rPr>
        <w:rFonts w:hint="default"/>
        <w:color w:val="auto"/>
      </w:rPr>
    </w:lvl>
    <w:lvl w:ilvl="6">
      <w:start w:val="1"/>
      <w:numFmt w:val="decimal"/>
      <w:lvlText w:val="%1.%2.%3.%4.%5.%6.%7."/>
      <w:lvlJc w:val="left"/>
      <w:pPr>
        <w:ind w:left="7920" w:hanging="1440"/>
      </w:pPr>
      <w:rPr>
        <w:rFonts w:hint="default"/>
        <w:color w:val="auto"/>
      </w:rPr>
    </w:lvl>
    <w:lvl w:ilvl="7">
      <w:start w:val="1"/>
      <w:numFmt w:val="decimal"/>
      <w:lvlText w:val="%1.%2.%3.%4.%5.%6.%7.%8."/>
      <w:lvlJc w:val="left"/>
      <w:pPr>
        <w:ind w:left="9000" w:hanging="1440"/>
      </w:pPr>
      <w:rPr>
        <w:rFonts w:hint="default"/>
        <w:color w:val="auto"/>
      </w:rPr>
    </w:lvl>
    <w:lvl w:ilvl="8">
      <w:start w:val="1"/>
      <w:numFmt w:val="decimal"/>
      <w:lvlText w:val="%1.%2.%3.%4.%5.%6.%7.%8.%9."/>
      <w:lvlJc w:val="left"/>
      <w:pPr>
        <w:ind w:left="10440" w:hanging="1800"/>
      </w:pPr>
      <w:rPr>
        <w:rFonts w:hint="default"/>
        <w:color w:val="auto"/>
      </w:rPr>
    </w:lvl>
  </w:abstractNum>
  <w:abstractNum w:abstractNumId="118" w15:restartNumberingAfterBreak="0">
    <w:nsid w:val="55DE6F4A"/>
    <w:multiLevelType w:val="hybridMultilevel"/>
    <w:tmpl w:val="568E20B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9" w15:restartNumberingAfterBreak="0">
    <w:nsid w:val="56357B9D"/>
    <w:multiLevelType w:val="multilevel"/>
    <w:tmpl w:val="DF22A8F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000000" w:themeColor="text1"/>
      </w:rPr>
    </w:lvl>
    <w:lvl w:ilvl="2">
      <w:start w:val="1"/>
      <w:numFmt w:val="decimal"/>
      <w:isLgl/>
      <w:lvlText w:val="%1.%2.%3."/>
      <w:lvlJc w:val="left"/>
      <w:pPr>
        <w:ind w:left="1080" w:hanging="720"/>
      </w:pPr>
      <w:rPr>
        <w:rFonts w:hint="default"/>
        <w:color w:val="000000" w:themeColor="text1"/>
      </w:rPr>
    </w:lvl>
    <w:lvl w:ilvl="3">
      <w:start w:val="1"/>
      <w:numFmt w:val="decimal"/>
      <w:isLgl/>
      <w:lvlText w:val="%1.%2.%3.%4."/>
      <w:lvlJc w:val="left"/>
      <w:pPr>
        <w:ind w:left="1080" w:hanging="720"/>
      </w:pPr>
      <w:rPr>
        <w:rFonts w:hint="default"/>
        <w:color w:val="000000" w:themeColor="text1"/>
      </w:rPr>
    </w:lvl>
    <w:lvl w:ilvl="4">
      <w:start w:val="1"/>
      <w:numFmt w:val="decimal"/>
      <w:isLgl/>
      <w:lvlText w:val="%1.%2.%3.%4.%5."/>
      <w:lvlJc w:val="left"/>
      <w:pPr>
        <w:ind w:left="1440" w:hanging="1080"/>
      </w:pPr>
      <w:rPr>
        <w:rFonts w:hint="default"/>
        <w:color w:val="000000" w:themeColor="text1"/>
      </w:rPr>
    </w:lvl>
    <w:lvl w:ilvl="5">
      <w:start w:val="1"/>
      <w:numFmt w:val="decimal"/>
      <w:isLgl/>
      <w:lvlText w:val="%1.%2.%3.%4.%5.%6."/>
      <w:lvlJc w:val="left"/>
      <w:pPr>
        <w:ind w:left="1440" w:hanging="1080"/>
      </w:pPr>
      <w:rPr>
        <w:rFonts w:hint="default"/>
        <w:color w:val="000000" w:themeColor="text1"/>
      </w:rPr>
    </w:lvl>
    <w:lvl w:ilvl="6">
      <w:start w:val="1"/>
      <w:numFmt w:val="decimal"/>
      <w:isLgl/>
      <w:lvlText w:val="%1.%2.%3.%4.%5.%6.%7."/>
      <w:lvlJc w:val="left"/>
      <w:pPr>
        <w:ind w:left="1440" w:hanging="1080"/>
      </w:pPr>
      <w:rPr>
        <w:rFonts w:hint="default"/>
        <w:color w:val="000000" w:themeColor="text1"/>
      </w:rPr>
    </w:lvl>
    <w:lvl w:ilvl="7">
      <w:start w:val="1"/>
      <w:numFmt w:val="decimal"/>
      <w:isLgl/>
      <w:lvlText w:val="%1.%2.%3.%4.%5.%6.%7.%8."/>
      <w:lvlJc w:val="left"/>
      <w:pPr>
        <w:ind w:left="1800" w:hanging="1440"/>
      </w:pPr>
      <w:rPr>
        <w:rFonts w:hint="default"/>
        <w:color w:val="000000" w:themeColor="text1"/>
      </w:rPr>
    </w:lvl>
    <w:lvl w:ilvl="8">
      <w:start w:val="1"/>
      <w:numFmt w:val="decimal"/>
      <w:isLgl/>
      <w:lvlText w:val="%1.%2.%3.%4.%5.%6.%7.%8.%9."/>
      <w:lvlJc w:val="left"/>
      <w:pPr>
        <w:ind w:left="1800" w:hanging="1440"/>
      </w:pPr>
      <w:rPr>
        <w:rFonts w:hint="default"/>
        <w:color w:val="000000" w:themeColor="text1"/>
      </w:rPr>
    </w:lvl>
  </w:abstractNum>
  <w:abstractNum w:abstractNumId="120" w15:restartNumberingAfterBreak="0">
    <w:nsid w:val="57A34C6B"/>
    <w:multiLevelType w:val="hybridMultilevel"/>
    <w:tmpl w:val="C158CF4A"/>
    <w:lvl w:ilvl="0" w:tplc="7CFC5AE0">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9">
      <w:start w:val="1"/>
      <w:numFmt w:val="lowerLetter"/>
      <w:lvlText w:val="%3."/>
      <w:lvlJc w:val="left"/>
      <w:pPr>
        <w:ind w:left="1980" w:hanging="36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15:restartNumberingAfterBreak="0">
    <w:nsid w:val="586A22B0"/>
    <w:multiLevelType w:val="multilevel"/>
    <w:tmpl w:val="018EE1E2"/>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22" w15:restartNumberingAfterBreak="0">
    <w:nsid w:val="58D23F4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3" w15:restartNumberingAfterBreak="0">
    <w:nsid w:val="58DD4DE9"/>
    <w:multiLevelType w:val="hybridMultilevel"/>
    <w:tmpl w:val="07CC61AE"/>
    <w:lvl w:ilvl="0" w:tplc="00425764">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59A6769D"/>
    <w:multiLevelType w:val="multilevel"/>
    <w:tmpl w:val="8B26A738"/>
    <w:lvl w:ilvl="0">
      <w:start w:val="3"/>
      <w:numFmt w:val="decimal"/>
      <w:lvlText w:val="%1."/>
      <w:lvlJc w:val="left"/>
      <w:pPr>
        <w:ind w:left="360" w:hanging="360"/>
      </w:pPr>
      <w:rPr>
        <w:rFonts w:hint="default"/>
        <w:color w:val="000000" w:themeColor="text1"/>
      </w:rPr>
    </w:lvl>
    <w:lvl w:ilvl="1">
      <w:start w:val="1"/>
      <w:numFmt w:val="decimal"/>
      <w:lvlText w:val="%1.%2."/>
      <w:lvlJc w:val="left"/>
      <w:pPr>
        <w:ind w:left="720" w:hanging="360"/>
      </w:pPr>
      <w:rPr>
        <w:rFonts w:hint="default"/>
        <w:color w:val="000000" w:themeColor="text1"/>
      </w:rPr>
    </w:lvl>
    <w:lvl w:ilvl="2">
      <w:start w:val="1"/>
      <w:numFmt w:val="decimal"/>
      <w:lvlText w:val="%1.%2.%3."/>
      <w:lvlJc w:val="left"/>
      <w:pPr>
        <w:ind w:left="1440" w:hanging="720"/>
      </w:pPr>
      <w:rPr>
        <w:rFonts w:hint="default"/>
        <w:color w:val="000000" w:themeColor="text1"/>
      </w:rPr>
    </w:lvl>
    <w:lvl w:ilvl="3">
      <w:start w:val="1"/>
      <w:numFmt w:val="decimal"/>
      <w:lvlText w:val="%1.%2.%3.%4."/>
      <w:lvlJc w:val="left"/>
      <w:pPr>
        <w:ind w:left="1800" w:hanging="720"/>
      </w:pPr>
      <w:rPr>
        <w:rFonts w:hint="default"/>
        <w:color w:val="000000" w:themeColor="text1"/>
      </w:rPr>
    </w:lvl>
    <w:lvl w:ilvl="4">
      <w:start w:val="1"/>
      <w:numFmt w:val="decimal"/>
      <w:lvlText w:val="%1.%2.%3.%4.%5."/>
      <w:lvlJc w:val="left"/>
      <w:pPr>
        <w:ind w:left="2520" w:hanging="1080"/>
      </w:pPr>
      <w:rPr>
        <w:rFonts w:hint="default"/>
        <w:color w:val="000000" w:themeColor="text1"/>
      </w:rPr>
    </w:lvl>
    <w:lvl w:ilvl="5">
      <w:start w:val="1"/>
      <w:numFmt w:val="decimal"/>
      <w:lvlText w:val="%1.%2.%3.%4.%5.%6."/>
      <w:lvlJc w:val="left"/>
      <w:pPr>
        <w:ind w:left="2880" w:hanging="1080"/>
      </w:pPr>
      <w:rPr>
        <w:rFonts w:hint="default"/>
        <w:color w:val="000000" w:themeColor="text1"/>
      </w:rPr>
    </w:lvl>
    <w:lvl w:ilvl="6">
      <w:start w:val="1"/>
      <w:numFmt w:val="decimal"/>
      <w:lvlText w:val="%1.%2.%3.%4.%5.%6.%7."/>
      <w:lvlJc w:val="left"/>
      <w:pPr>
        <w:ind w:left="3240" w:hanging="1080"/>
      </w:pPr>
      <w:rPr>
        <w:rFonts w:hint="default"/>
        <w:color w:val="000000" w:themeColor="text1"/>
      </w:rPr>
    </w:lvl>
    <w:lvl w:ilvl="7">
      <w:start w:val="1"/>
      <w:numFmt w:val="decimal"/>
      <w:lvlText w:val="%1.%2.%3.%4.%5.%6.%7.%8."/>
      <w:lvlJc w:val="left"/>
      <w:pPr>
        <w:ind w:left="3960" w:hanging="1440"/>
      </w:pPr>
      <w:rPr>
        <w:rFonts w:hint="default"/>
        <w:color w:val="000000" w:themeColor="text1"/>
      </w:rPr>
    </w:lvl>
    <w:lvl w:ilvl="8">
      <w:start w:val="1"/>
      <w:numFmt w:val="decimal"/>
      <w:lvlText w:val="%1.%2.%3.%4.%5.%6.%7.%8.%9."/>
      <w:lvlJc w:val="left"/>
      <w:pPr>
        <w:ind w:left="4320" w:hanging="1440"/>
      </w:pPr>
      <w:rPr>
        <w:rFonts w:hint="default"/>
        <w:color w:val="000000" w:themeColor="text1"/>
      </w:rPr>
    </w:lvl>
  </w:abstractNum>
  <w:abstractNum w:abstractNumId="125" w15:restartNumberingAfterBreak="0">
    <w:nsid w:val="5A570E39"/>
    <w:multiLevelType w:val="hybridMultilevel"/>
    <w:tmpl w:val="C9B605F8"/>
    <w:lvl w:ilvl="0" w:tplc="3409000F">
      <w:start w:val="1"/>
      <w:numFmt w:val="decimal"/>
      <w:lvlText w:val="%1."/>
      <w:lvlJc w:val="left"/>
      <w:pPr>
        <w:ind w:left="360" w:hanging="360"/>
      </w:p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126" w15:restartNumberingAfterBreak="0">
    <w:nsid w:val="5B3D0F85"/>
    <w:multiLevelType w:val="multilevel"/>
    <w:tmpl w:val="A6C212C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7" w15:restartNumberingAfterBreak="0">
    <w:nsid w:val="5B5517DD"/>
    <w:multiLevelType w:val="hybridMultilevel"/>
    <w:tmpl w:val="47D08C18"/>
    <w:lvl w:ilvl="0" w:tplc="7F7E832A">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5B581096"/>
    <w:multiLevelType w:val="hybridMultilevel"/>
    <w:tmpl w:val="4CC81266"/>
    <w:lvl w:ilvl="0" w:tplc="D7428E18">
      <w:start w:val="1"/>
      <w:numFmt w:val="decimal"/>
      <w:lvlText w:val="%1."/>
      <w:lvlJc w:val="left"/>
      <w:pPr>
        <w:tabs>
          <w:tab w:val="num" w:pos="720"/>
        </w:tabs>
        <w:ind w:left="720" w:hanging="360"/>
      </w:pPr>
    </w:lvl>
    <w:lvl w:ilvl="1" w:tplc="CF0A4754" w:tentative="1">
      <w:start w:val="1"/>
      <w:numFmt w:val="decimal"/>
      <w:lvlText w:val="%2."/>
      <w:lvlJc w:val="left"/>
      <w:pPr>
        <w:tabs>
          <w:tab w:val="num" w:pos="1440"/>
        </w:tabs>
        <w:ind w:left="1440" w:hanging="360"/>
      </w:pPr>
    </w:lvl>
    <w:lvl w:ilvl="2" w:tplc="B2AA958C" w:tentative="1">
      <w:start w:val="1"/>
      <w:numFmt w:val="decimal"/>
      <w:lvlText w:val="%3."/>
      <w:lvlJc w:val="left"/>
      <w:pPr>
        <w:tabs>
          <w:tab w:val="num" w:pos="2160"/>
        </w:tabs>
        <w:ind w:left="2160" w:hanging="360"/>
      </w:pPr>
    </w:lvl>
    <w:lvl w:ilvl="3" w:tplc="A8369E16" w:tentative="1">
      <w:start w:val="1"/>
      <w:numFmt w:val="decimal"/>
      <w:lvlText w:val="%4."/>
      <w:lvlJc w:val="left"/>
      <w:pPr>
        <w:tabs>
          <w:tab w:val="num" w:pos="2880"/>
        </w:tabs>
        <w:ind w:left="2880" w:hanging="360"/>
      </w:pPr>
    </w:lvl>
    <w:lvl w:ilvl="4" w:tplc="348C44C8" w:tentative="1">
      <w:start w:val="1"/>
      <w:numFmt w:val="decimal"/>
      <w:lvlText w:val="%5."/>
      <w:lvlJc w:val="left"/>
      <w:pPr>
        <w:tabs>
          <w:tab w:val="num" w:pos="3600"/>
        </w:tabs>
        <w:ind w:left="3600" w:hanging="360"/>
      </w:pPr>
    </w:lvl>
    <w:lvl w:ilvl="5" w:tplc="18389CB0" w:tentative="1">
      <w:start w:val="1"/>
      <w:numFmt w:val="decimal"/>
      <w:lvlText w:val="%6."/>
      <w:lvlJc w:val="left"/>
      <w:pPr>
        <w:tabs>
          <w:tab w:val="num" w:pos="4320"/>
        </w:tabs>
        <w:ind w:left="4320" w:hanging="360"/>
      </w:pPr>
    </w:lvl>
    <w:lvl w:ilvl="6" w:tplc="B1CA1C24" w:tentative="1">
      <w:start w:val="1"/>
      <w:numFmt w:val="decimal"/>
      <w:lvlText w:val="%7."/>
      <w:lvlJc w:val="left"/>
      <w:pPr>
        <w:tabs>
          <w:tab w:val="num" w:pos="5040"/>
        </w:tabs>
        <w:ind w:left="5040" w:hanging="360"/>
      </w:pPr>
    </w:lvl>
    <w:lvl w:ilvl="7" w:tplc="E190CF40" w:tentative="1">
      <w:start w:val="1"/>
      <w:numFmt w:val="decimal"/>
      <w:lvlText w:val="%8."/>
      <w:lvlJc w:val="left"/>
      <w:pPr>
        <w:tabs>
          <w:tab w:val="num" w:pos="5760"/>
        </w:tabs>
        <w:ind w:left="5760" w:hanging="360"/>
      </w:pPr>
    </w:lvl>
    <w:lvl w:ilvl="8" w:tplc="64E62426" w:tentative="1">
      <w:start w:val="1"/>
      <w:numFmt w:val="decimal"/>
      <w:lvlText w:val="%9."/>
      <w:lvlJc w:val="left"/>
      <w:pPr>
        <w:tabs>
          <w:tab w:val="num" w:pos="6480"/>
        </w:tabs>
        <w:ind w:left="6480" w:hanging="360"/>
      </w:pPr>
    </w:lvl>
  </w:abstractNum>
  <w:abstractNum w:abstractNumId="129" w15:restartNumberingAfterBreak="0">
    <w:nsid w:val="5BAB6F94"/>
    <w:multiLevelType w:val="multilevel"/>
    <w:tmpl w:val="F000DF72"/>
    <w:lvl w:ilvl="0">
      <w:start w:val="1"/>
      <w:numFmt w:val="bullet"/>
      <w:lvlText w:val=""/>
      <w:lvlJc w:val="left"/>
      <w:pPr>
        <w:ind w:left="720" w:hanging="360"/>
      </w:pPr>
      <w:rPr>
        <w:rFonts w:ascii="Symbol" w:hAnsi="Symbol" w:hint="default"/>
        <w:sz w:val="20"/>
      </w:rPr>
    </w:lvl>
    <w:lvl w:ilvl="1">
      <w:start w:val="1"/>
      <w:numFmt w:val="decimal"/>
      <w:isLgl/>
      <w:lvlText w:val="%1.%2."/>
      <w:lvlJc w:val="left"/>
      <w:pPr>
        <w:ind w:left="1080" w:hanging="720"/>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0" w15:restartNumberingAfterBreak="0">
    <w:nsid w:val="5BFE6880"/>
    <w:multiLevelType w:val="hybridMultilevel"/>
    <w:tmpl w:val="940E3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C80737A"/>
    <w:multiLevelType w:val="multilevel"/>
    <w:tmpl w:val="11E6E9CE"/>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5F080ECC"/>
    <w:multiLevelType w:val="hybridMultilevel"/>
    <w:tmpl w:val="CC7434FE"/>
    <w:lvl w:ilvl="0" w:tplc="4D66C87C">
      <w:start w:val="1"/>
      <w:numFmt w:val="bullet"/>
      <w:lvlText w:val="•"/>
      <w:lvlJc w:val="left"/>
      <w:pPr>
        <w:tabs>
          <w:tab w:val="num" w:pos="720"/>
        </w:tabs>
        <w:ind w:left="720" w:hanging="360"/>
      </w:pPr>
      <w:rPr>
        <w:rFonts w:ascii="Arial" w:hAnsi="Arial" w:hint="default"/>
      </w:rPr>
    </w:lvl>
    <w:lvl w:ilvl="1" w:tplc="B9A0E910">
      <w:start w:val="257"/>
      <w:numFmt w:val="bullet"/>
      <w:lvlText w:val="•"/>
      <w:lvlJc w:val="left"/>
      <w:pPr>
        <w:tabs>
          <w:tab w:val="num" w:pos="1440"/>
        </w:tabs>
        <w:ind w:left="1440" w:hanging="360"/>
      </w:pPr>
      <w:rPr>
        <w:rFonts w:ascii="Arial" w:hAnsi="Arial" w:hint="default"/>
      </w:rPr>
    </w:lvl>
    <w:lvl w:ilvl="2" w:tplc="89480D4A" w:tentative="1">
      <w:start w:val="1"/>
      <w:numFmt w:val="bullet"/>
      <w:lvlText w:val="•"/>
      <w:lvlJc w:val="left"/>
      <w:pPr>
        <w:tabs>
          <w:tab w:val="num" w:pos="2160"/>
        </w:tabs>
        <w:ind w:left="2160" w:hanging="360"/>
      </w:pPr>
      <w:rPr>
        <w:rFonts w:ascii="Arial" w:hAnsi="Arial" w:hint="default"/>
      </w:rPr>
    </w:lvl>
    <w:lvl w:ilvl="3" w:tplc="20B0894C" w:tentative="1">
      <w:start w:val="1"/>
      <w:numFmt w:val="bullet"/>
      <w:lvlText w:val="•"/>
      <w:lvlJc w:val="left"/>
      <w:pPr>
        <w:tabs>
          <w:tab w:val="num" w:pos="2880"/>
        </w:tabs>
        <w:ind w:left="2880" w:hanging="360"/>
      </w:pPr>
      <w:rPr>
        <w:rFonts w:ascii="Arial" w:hAnsi="Arial" w:hint="default"/>
      </w:rPr>
    </w:lvl>
    <w:lvl w:ilvl="4" w:tplc="9190C6F2" w:tentative="1">
      <w:start w:val="1"/>
      <w:numFmt w:val="bullet"/>
      <w:lvlText w:val="•"/>
      <w:lvlJc w:val="left"/>
      <w:pPr>
        <w:tabs>
          <w:tab w:val="num" w:pos="3600"/>
        </w:tabs>
        <w:ind w:left="3600" w:hanging="360"/>
      </w:pPr>
      <w:rPr>
        <w:rFonts w:ascii="Arial" w:hAnsi="Arial" w:hint="default"/>
      </w:rPr>
    </w:lvl>
    <w:lvl w:ilvl="5" w:tplc="D6E00AB4" w:tentative="1">
      <w:start w:val="1"/>
      <w:numFmt w:val="bullet"/>
      <w:lvlText w:val="•"/>
      <w:lvlJc w:val="left"/>
      <w:pPr>
        <w:tabs>
          <w:tab w:val="num" w:pos="4320"/>
        </w:tabs>
        <w:ind w:left="4320" w:hanging="360"/>
      </w:pPr>
      <w:rPr>
        <w:rFonts w:ascii="Arial" w:hAnsi="Arial" w:hint="default"/>
      </w:rPr>
    </w:lvl>
    <w:lvl w:ilvl="6" w:tplc="00DAECC4" w:tentative="1">
      <w:start w:val="1"/>
      <w:numFmt w:val="bullet"/>
      <w:lvlText w:val="•"/>
      <w:lvlJc w:val="left"/>
      <w:pPr>
        <w:tabs>
          <w:tab w:val="num" w:pos="5040"/>
        </w:tabs>
        <w:ind w:left="5040" w:hanging="360"/>
      </w:pPr>
      <w:rPr>
        <w:rFonts w:ascii="Arial" w:hAnsi="Arial" w:hint="default"/>
      </w:rPr>
    </w:lvl>
    <w:lvl w:ilvl="7" w:tplc="E0D87AA4" w:tentative="1">
      <w:start w:val="1"/>
      <w:numFmt w:val="bullet"/>
      <w:lvlText w:val="•"/>
      <w:lvlJc w:val="left"/>
      <w:pPr>
        <w:tabs>
          <w:tab w:val="num" w:pos="5760"/>
        </w:tabs>
        <w:ind w:left="5760" w:hanging="360"/>
      </w:pPr>
      <w:rPr>
        <w:rFonts w:ascii="Arial" w:hAnsi="Arial" w:hint="default"/>
      </w:rPr>
    </w:lvl>
    <w:lvl w:ilvl="8" w:tplc="7638D9EE" w:tentative="1">
      <w:start w:val="1"/>
      <w:numFmt w:val="bullet"/>
      <w:lvlText w:val="•"/>
      <w:lvlJc w:val="left"/>
      <w:pPr>
        <w:tabs>
          <w:tab w:val="num" w:pos="6480"/>
        </w:tabs>
        <w:ind w:left="6480" w:hanging="360"/>
      </w:pPr>
      <w:rPr>
        <w:rFonts w:ascii="Arial" w:hAnsi="Arial" w:hint="default"/>
      </w:rPr>
    </w:lvl>
  </w:abstractNum>
  <w:abstractNum w:abstractNumId="133" w15:restartNumberingAfterBreak="0">
    <w:nsid w:val="601F4194"/>
    <w:multiLevelType w:val="hybridMultilevel"/>
    <w:tmpl w:val="24AEA3CA"/>
    <w:lvl w:ilvl="0" w:tplc="0409000F">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15:restartNumberingAfterBreak="0">
    <w:nsid w:val="605849D2"/>
    <w:multiLevelType w:val="multilevel"/>
    <w:tmpl w:val="0409001F"/>
    <w:styleLink w:val="Style1"/>
    <w:lvl w:ilvl="0">
      <w:start w:val="5"/>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5"/>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5" w15:restartNumberingAfterBreak="0">
    <w:nsid w:val="60782A47"/>
    <w:multiLevelType w:val="multilevel"/>
    <w:tmpl w:val="98AED962"/>
    <w:lvl w:ilvl="0">
      <w:start w:val="1"/>
      <w:numFmt w:val="decimal"/>
      <w:lvlText w:val="%1."/>
      <w:lvlJc w:val="left"/>
      <w:pPr>
        <w:ind w:left="717" w:hanging="360"/>
      </w:pPr>
    </w:lvl>
    <w:lvl w:ilvl="1">
      <w:start w:val="1"/>
      <w:numFmt w:val="decimal"/>
      <w:isLgl/>
      <w:lvlText w:val="%1.%2"/>
      <w:lvlJc w:val="left"/>
      <w:pPr>
        <w:ind w:left="1886" w:hanging="600"/>
      </w:pPr>
      <w:rPr>
        <w:rFonts w:hint="default"/>
      </w:rPr>
    </w:lvl>
    <w:lvl w:ilvl="2">
      <w:start w:val="1"/>
      <w:numFmt w:val="decimal"/>
      <w:isLgl/>
      <w:lvlText w:val="%1.%2.%3"/>
      <w:lvlJc w:val="left"/>
      <w:pPr>
        <w:ind w:left="2935" w:hanging="720"/>
      </w:pPr>
      <w:rPr>
        <w:rFonts w:hint="default"/>
      </w:rPr>
    </w:lvl>
    <w:lvl w:ilvl="3">
      <w:start w:val="1"/>
      <w:numFmt w:val="decimal"/>
      <w:isLgl/>
      <w:lvlText w:val="%1.%2.%3.%4"/>
      <w:lvlJc w:val="left"/>
      <w:pPr>
        <w:ind w:left="4224" w:hanging="1080"/>
      </w:pPr>
      <w:rPr>
        <w:rFonts w:hint="default"/>
      </w:rPr>
    </w:lvl>
    <w:lvl w:ilvl="4">
      <w:start w:val="1"/>
      <w:numFmt w:val="decimal"/>
      <w:isLgl/>
      <w:lvlText w:val="%1.%2.%3.%4.%5"/>
      <w:lvlJc w:val="left"/>
      <w:pPr>
        <w:ind w:left="5153" w:hanging="1080"/>
      </w:pPr>
      <w:rPr>
        <w:rFonts w:hint="default"/>
      </w:rPr>
    </w:lvl>
    <w:lvl w:ilvl="5">
      <w:start w:val="1"/>
      <w:numFmt w:val="decimal"/>
      <w:isLgl/>
      <w:lvlText w:val="%1.%2.%3.%4.%5.%6"/>
      <w:lvlJc w:val="left"/>
      <w:pPr>
        <w:ind w:left="6442" w:hanging="1440"/>
      </w:pPr>
      <w:rPr>
        <w:rFonts w:hint="default"/>
      </w:rPr>
    </w:lvl>
    <w:lvl w:ilvl="6">
      <w:start w:val="1"/>
      <w:numFmt w:val="decimal"/>
      <w:isLgl/>
      <w:lvlText w:val="%1.%2.%3.%4.%5.%6.%7"/>
      <w:lvlJc w:val="left"/>
      <w:pPr>
        <w:ind w:left="7371" w:hanging="1440"/>
      </w:pPr>
      <w:rPr>
        <w:rFonts w:hint="default"/>
      </w:rPr>
    </w:lvl>
    <w:lvl w:ilvl="7">
      <w:start w:val="1"/>
      <w:numFmt w:val="decimal"/>
      <w:isLgl/>
      <w:lvlText w:val="%1.%2.%3.%4.%5.%6.%7.%8"/>
      <w:lvlJc w:val="left"/>
      <w:pPr>
        <w:ind w:left="8660" w:hanging="1800"/>
      </w:pPr>
      <w:rPr>
        <w:rFonts w:hint="default"/>
      </w:rPr>
    </w:lvl>
    <w:lvl w:ilvl="8">
      <w:start w:val="1"/>
      <w:numFmt w:val="decimal"/>
      <w:isLgl/>
      <w:lvlText w:val="%1.%2.%3.%4.%5.%6.%7.%8.%9"/>
      <w:lvlJc w:val="left"/>
      <w:pPr>
        <w:ind w:left="9589" w:hanging="1800"/>
      </w:pPr>
      <w:rPr>
        <w:rFonts w:hint="default"/>
      </w:rPr>
    </w:lvl>
  </w:abstractNum>
  <w:abstractNum w:abstractNumId="136" w15:restartNumberingAfterBreak="0">
    <w:nsid w:val="623D7B3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7" w15:restartNumberingAfterBreak="0">
    <w:nsid w:val="63476397"/>
    <w:multiLevelType w:val="hybridMultilevel"/>
    <w:tmpl w:val="C87A6E2A"/>
    <w:lvl w:ilvl="0" w:tplc="3409000F">
      <w:start w:val="1"/>
      <w:numFmt w:val="decimal"/>
      <w:lvlText w:val="%1."/>
      <w:lvlJc w:val="left"/>
      <w:pPr>
        <w:ind w:left="360" w:hanging="360"/>
      </w:p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138" w15:restartNumberingAfterBreak="0">
    <w:nsid w:val="63544C86"/>
    <w:multiLevelType w:val="hybridMultilevel"/>
    <w:tmpl w:val="D4E84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40553A7"/>
    <w:multiLevelType w:val="hybridMultilevel"/>
    <w:tmpl w:val="F0AC8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4247FF3"/>
    <w:multiLevelType w:val="hybridMultilevel"/>
    <w:tmpl w:val="C0E0F5D8"/>
    <w:lvl w:ilvl="0" w:tplc="11B21682">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 w15:restartNumberingAfterBreak="0">
    <w:nsid w:val="67074A04"/>
    <w:multiLevelType w:val="multilevel"/>
    <w:tmpl w:val="7896B164"/>
    <w:styleLink w:val="List34"/>
    <w:lvl w:ilvl="0">
      <w:numFmt w:val="bullet"/>
      <w:lvlText w:val="•"/>
      <w:lvlJc w:val="left"/>
      <w:pPr>
        <w:tabs>
          <w:tab w:val="num" w:pos="720"/>
        </w:tabs>
        <w:ind w:left="720" w:hanging="360"/>
      </w:pPr>
      <w:rPr>
        <w:rFonts w:ascii="Trebuchet MS" w:eastAsia="Trebuchet MS" w:hAnsi="Trebuchet MS" w:cs="Trebuchet MS"/>
        <w:position w:val="0"/>
        <w:sz w:val="20"/>
        <w:szCs w:val="20"/>
      </w:rPr>
    </w:lvl>
    <w:lvl w:ilvl="1">
      <w:start w:val="1"/>
      <w:numFmt w:val="bullet"/>
      <w:lvlText w:val="o"/>
      <w:lvlJc w:val="left"/>
      <w:pPr>
        <w:tabs>
          <w:tab w:val="num" w:pos="1410"/>
        </w:tabs>
        <w:ind w:left="1410" w:hanging="330"/>
      </w:pPr>
      <w:rPr>
        <w:rFonts w:ascii="Calibri" w:eastAsia="Calibri" w:hAnsi="Calibri" w:cs="Calibri"/>
        <w:position w:val="0"/>
        <w:sz w:val="22"/>
        <w:szCs w:val="22"/>
      </w:rPr>
    </w:lvl>
    <w:lvl w:ilvl="2">
      <w:start w:val="1"/>
      <w:numFmt w:val="bullet"/>
      <w:lvlText w:val="▪"/>
      <w:lvlJc w:val="left"/>
      <w:pPr>
        <w:tabs>
          <w:tab w:val="num" w:pos="2130"/>
        </w:tabs>
        <w:ind w:left="2130" w:hanging="330"/>
      </w:pPr>
      <w:rPr>
        <w:rFonts w:ascii="Calibri" w:eastAsia="Calibri" w:hAnsi="Calibri" w:cs="Calibri"/>
        <w:position w:val="0"/>
        <w:sz w:val="22"/>
        <w:szCs w:val="22"/>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o"/>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o"/>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142" w15:restartNumberingAfterBreak="0">
    <w:nsid w:val="6743468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3" w15:restartNumberingAfterBreak="0">
    <w:nsid w:val="67CB1F59"/>
    <w:multiLevelType w:val="multilevel"/>
    <w:tmpl w:val="96303C94"/>
    <w:lvl w:ilvl="0">
      <w:start w:val="22"/>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4" w15:restartNumberingAfterBreak="0">
    <w:nsid w:val="69DB536B"/>
    <w:multiLevelType w:val="hybridMultilevel"/>
    <w:tmpl w:val="206C1B4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 w15:restartNumberingAfterBreak="0">
    <w:nsid w:val="6A1212DD"/>
    <w:multiLevelType w:val="hybridMultilevel"/>
    <w:tmpl w:val="EDAA3FBA"/>
    <w:lvl w:ilvl="0" w:tplc="1D303F04">
      <w:start w:val="1"/>
      <w:numFmt w:val="bullet"/>
      <w:pStyle w:val="List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6" w15:restartNumberingAfterBreak="0">
    <w:nsid w:val="6AB31790"/>
    <w:multiLevelType w:val="multilevel"/>
    <w:tmpl w:val="11E6E9CE"/>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6B740835"/>
    <w:multiLevelType w:val="hybridMultilevel"/>
    <w:tmpl w:val="3670D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6C0968D4"/>
    <w:multiLevelType w:val="multilevel"/>
    <w:tmpl w:val="A0F8E3A4"/>
    <w:lvl w:ilvl="0">
      <w:start w:val="4"/>
      <w:numFmt w:val="decimal"/>
      <w:lvlText w:val="%1."/>
      <w:lvlJc w:val="left"/>
      <w:pPr>
        <w:ind w:left="360" w:hanging="360"/>
      </w:pPr>
      <w:rPr>
        <w:rFonts w:hint="default"/>
        <w:color w:val="000000" w:themeColor="text1"/>
      </w:rPr>
    </w:lvl>
    <w:lvl w:ilvl="1">
      <w:start w:val="1"/>
      <w:numFmt w:val="decimal"/>
      <w:lvlText w:val="%1.%2."/>
      <w:lvlJc w:val="left"/>
      <w:pPr>
        <w:ind w:left="720" w:hanging="360"/>
      </w:pPr>
      <w:rPr>
        <w:rFonts w:hint="default"/>
        <w:color w:val="000000" w:themeColor="text1"/>
      </w:rPr>
    </w:lvl>
    <w:lvl w:ilvl="2">
      <w:start w:val="1"/>
      <w:numFmt w:val="decimal"/>
      <w:lvlText w:val="%1.%2.%3."/>
      <w:lvlJc w:val="left"/>
      <w:pPr>
        <w:ind w:left="1440" w:hanging="720"/>
      </w:pPr>
      <w:rPr>
        <w:rFonts w:hint="default"/>
        <w:color w:val="000000" w:themeColor="text1"/>
      </w:rPr>
    </w:lvl>
    <w:lvl w:ilvl="3">
      <w:start w:val="1"/>
      <w:numFmt w:val="decimal"/>
      <w:lvlText w:val="%1.%2.%3.%4."/>
      <w:lvlJc w:val="left"/>
      <w:pPr>
        <w:ind w:left="1800" w:hanging="720"/>
      </w:pPr>
      <w:rPr>
        <w:rFonts w:hint="default"/>
        <w:color w:val="000000" w:themeColor="text1"/>
      </w:rPr>
    </w:lvl>
    <w:lvl w:ilvl="4">
      <w:start w:val="1"/>
      <w:numFmt w:val="decimal"/>
      <w:lvlText w:val="%1.%2.%3.%4.%5."/>
      <w:lvlJc w:val="left"/>
      <w:pPr>
        <w:ind w:left="2520" w:hanging="1080"/>
      </w:pPr>
      <w:rPr>
        <w:rFonts w:hint="default"/>
        <w:color w:val="000000" w:themeColor="text1"/>
      </w:rPr>
    </w:lvl>
    <w:lvl w:ilvl="5">
      <w:start w:val="1"/>
      <w:numFmt w:val="decimal"/>
      <w:lvlText w:val="%1.%2.%3.%4.%5.%6."/>
      <w:lvlJc w:val="left"/>
      <w:pPr>
        <w:ind w:left="2880" w:hanging="1080"/>
      </w:pPr>
      <w:rPr>
        <w:rFonts w:hint="default"/>
        <w:color w:val="000000" w:themeColor="text1"/>
      </w:rPr>
    </w:lvl>
    <w:lvl w:ilvl="6">
      <w:start w:val="1"/>
      <w:numFmt w:val="decimal"/>
      <w:lvlText w:val="%1.%2.%3.%4.%5.%6.%7."/>
      <w:lvlJc w:val="left"/>
      <w:pPr>
        <w:ind w:left="3240" w:hanging="1080"/>
      </w:pPr>
      <w:rPr>
        <w:rFonts w:hint="default"/>
        <w:color w:val="000000" w:themeColor="text1"/>
      </w:rPr>
    </w:lvl>
    <w:lvl w:ilvl="7">
      <w:start w:val="1"/>
      <w:numFmt w:val="decimal"/>
      <w:lvlText w:val="%1.%2.%3.%4.%5.%6.%7.%8."/>
      <w:lvlJc w:val="left"/>
      <w:pPr>
        <w:ind w:left="3960" w:hanging="1440"/>
      </w:pPr>
      <w:rPr>
        <w:rFonts w:hint="default"/>
        <w:color w:val="000000" w:themeColor="text1"/>
      </w:rPr>
    </w:lvl>
    <w:lvl w:ilvl="8">
      <w:start w:val="1"/>
      <w:numFmt w:val="decimal"/>
      <w:lvlText w:val="%1.%2.%3.%4.%5.%6.%7.%8.%9."/>
      <w:lvlJc w:val="left"/>
      <w:pPr>
        <w:ind w:left="4320" w:hanging="1440"/>
      </w:pPr>
      <w:rPr>
        <w:rFonts w:hint="default"/>
        <w:color w:val="000000" w:themeColor="text1"/>
      </w:rPr>
    </w:lvl>
  </w:abstractNum>
  <w:abstractNum w:abstractNumId="149" w15:restartNumberingAfterBreak="0">
    <w:nsid w:val="6E157C81"/>
    <w:multiLevelType w:val="hybridMultilevel"/>
    <w:tmpl w:val="9D1479D6"/>
    <w:lvl w:ilvl="0" w:tplc="7F7E832A">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6ED00325"/>
    <w:multiLevelType w:val="hybridMultilevel"/>
    <w:tmpl w:val="4B74F976"/>
    <w:lvl w:ilvl="0" w:tplc="3409000F">
      <w:start w:val="1"/>
      <w:numFmt w:val="decimal"/>
      <w:lvlText w:val="%1."/>
      <w:lvlJc w:val="left"/>
      <w:pPr>
        <w:ind w:left="360" w:hanging="360"/>
      </w:p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151" w15:restartNumberingAfterBreak="0">
    <w:nsid w:val="6F4859C5"/>
    <w:multiLevelType w:val="hybridMultilevel"/>
    <w:tmpl w:val="61881236"/>
    <w:lvl w:ilvl="0" w:tplc="3409000F">
      <w:start w:val="1"/>
      <w:numFmt w:val="decimal"/>
      <w:lvlText w:val="%1."/>
      <w:lvlJc w:val="left"/>
      <w:pPr>
        <w:ind w:left="360" w:hanging="360"/>
      </w:p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152" w15:restartNumberingAfterBreak="0">
    <w:nsid w:val="70665941"/>
    <w:multiLevelType w:val="hybridMultilevel"/>
    <w:tmpl w:val="85A0CCF6"/>
    <w:lvl w:ilvl="0" w:tplc="06D8CFEA">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70C15D9C"/>
    <w:multiLevelType w:val="multilevel"/>
    <w:tmpl w:val="D76E2C0C"/>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4" w15:restartNumberingAfterBreak="0">
    <w:nsid w:val="715B0447"/>
    <w:multiLevelType w:val="hybridMultilevel"/>
    <w:tmpl w:val="53822E7A"/>
    <w:lvl w:ilvl="0" w:tplc="04090015">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5" w15:restartNumberingAfterBreak="0">
    <w:nsid w:val="71D67282"/>
    <w:multiLevelType w:val="multilevel"/>
    <w:tmpl w:val="46268B52"/>
    <w:lvl w:ilvl="0">
      <w:start w:val="3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6" w15:restartNumberingAfterBreak="0">
    <w:nsid w:val="7271284F"/>
    <w:multiLevelType w:val="hybridMultilevel"/>
    <w:tmpl w:val="35D8FC1C"/>
    <w:lvl w:ilvl="0" w:tplc="7F7E832A">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749D0CF3"/>
    <w:multiLevelType w:val="hybridMultilevel"/>
    <w:tmpl w:val="FAE0E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67E0BE4"/>
    <w:multiLevelType w:val="hybridMultilevel"/>
    <w:tmpl w:val="483A43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9" w15:restartNumberingAfterBreak="0">
    <w:nsid w:val="7741478E"/>
    <w:multiLevelType w:val="multilevel"/>
    <w:tmpl w:val="095C6F68"/>
    <w:lvl w:ilvl="0">
      <w:start w:val="1"/>
      <w:numFmt w:val="decimal"/>
      <w:lvlText w:val="%1."/>
      <w:lvlJc w:val="left"/>
      <w:pPr>
        <w:ind w:left="1080" w:hanging="360"/>
      </w:pPr>
      <w:rPr>
        <w:rFonts w:hint="default"/>
      </w:rPr>
    </w:lvl>
    <w:lvl w:ilvl="1">
      <w:start w:val="1"/>
      <w:numFmt w:val="decimal"/>
      <w:isLgl/>
      <w:lvlText w:val="%1.%2."/>
      <w:lvlJc w:val="left"/>
      <w:pPr>
        <w:ind w:left="126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0" w15:restartNumberingAfterBreak="0">
    <w:nsid w:val="7747394B"/>
    <w:multiLevelType w:val="multilevel"/>
    <w:tmpl w:val="66A89C1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1" w15:restartNumberingAfterBreak="0">
    <w:nsid w:val="77C46C74"/>
    <w:multiLevelType w:val="multilevel"/>
    <w:tmpl w:val="3B5EFCC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2" w15:restartNumberingAfterBreak="0">
    <w:nsid w:val="781B7BAB"/>
    <w:multiLevelType w:val="multilevel"/>
    <w:tmpl w:val="47863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7AAA2287"/>
    <w:multiLevelType w:val="hybridMultilevel"/>
    <w:tmpl w:val="A892730A"/>
    <w:lvl w:ilvl="0" w:tplc="7CFC5AE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7BA12BE5"/>
    <w:multiLevelType w:val="hybridMultilevel"/>
    <w:tmpl w:val="B0121100"/>
    <w:lvl w:ilvl="0" w:tplc="2EC6E318">
      <w:numFmt w:val="bullet"/>
      <w:lvlText w:val="-"/>
      <w:lvlJc w:val="left"/>
      <w:pPr>
        <w:ind w:left="720" w:hanging="360"/>
      </w:pPr>
      <w:rPr>
        <w:rFonts w:ascii="Calibri" w:eastAsiaTheme="minorHAnsi" w:hAnsi="Calibri" w:cs="Calibri" w:hint="default"/>
      </w:rPr>
    </w:lvl>
    <w:lvl w:ilvl="1" w:tplc="34090003">
      <w:start w:val="1"/>
      <w:numFmt w:val="bullet"/>
      <w:lvlText w:val="o"/>
      <w:lvlJc w:val="left"/>
      <w:pPr>
        <w:ind w:left="1440" w:hanging="360"/>
      </w:pPr>
      <w:rPr>
        <w:rFonts w:ascii="Courier New" w:hAnsi="Courier New" w:cs="Courier New" w:hint="default"/>
      </w:rPr>
    </w:lvl>
    <w:lvl w:ilvl="2" w:tplc="34090005">
      <w:start w:val="1"/>
      <w:numFmt w:val="bullet"/>
      <w:lvlText w:val=""/>
      <w:lvlJc w:val="left"/>
      <w:pPr>
        <w:ind w:left="2160" w:hanging="360"/>
      </w:pPr>
      <w:rPr>
        <w:rFonts w:ascii="Wingdings" w:hAnsi="Wingdings" w:hint="default"/>
      </w:rPr>
    </w:lvl>
    <w:lvl w:ilvl="3" w:tplc="34090001">
      <w:start w:val="1"/>
      <w:numFmt w:val="bullet"/>
      <w:lvlText w:val=""/>
      <w:lvlJc w:val="left"/>
      <w:pPr>
        <w:ind w:left="2880" w:hanging="360"/>
      </w:pPr>
      <w:rPr>
        <w:rFonts w:ascii="Symbol" w:hAnsi="Symbol" w:hint="default"/>
      </w:rPr>
    </w:lvl>
    <w:lvl w:ilvl="4" w:tplc="34090003">
      <w:start w:val="1"/>
      <w:numFmt w:val="bullet"/>
      <w:lvlText w:val="o"/>
      <w:lvlJc w:val="left"/>
      <w:pPr>
        <w:ind w:left="3600" w:hanging="360"/>
      </w:pPr>
      <w:rPr>
        <w:rFonts w:ascii="Courier New" w:hAnsi="Courier New" w:cs="Courier New" w:hint="default"/>
      </w:rPr>
    </w:lvl>
    <w:lvl w:ilvl="5" w:tplc="34090005">
      <w:start w:val="1"/>
      <w:numFmt w:val="bullet"/>
      <w:lvlText w:val=""/>
      <w:lvlJc w:val="left"/>
      <w:pPr>
        <w:ind w:left="4320" w:hanging="360"/>
      </w:pPr>
      <w:rPr>
        <w:rFonts w:ascii="Wingdings" w:hAnsi="Wingdings" w:hint="default"/>
      </w:rPr>
    </w:lvl>
    <w:lvl w:ilvl="6" w:tplc="34090001">
      <w:start w:val="1"/>
      <w:numFmt w:val="bullet"/>
      <w:lvlText w:val=""/>
      <w:lvlJc w:val="left"/>
      <w:pPr>
        <w:ind w:left="5040" w:hanging="360"/>
      </w:pPr>
      <w:rPr>
        <w:rFonts w:ascii="Symbol" w:hAnsi="Symbol" w:hint="default"/>
      </w:rPr>
    </w:lvl>
    <w:lvl w:ilvl="7" w:tplc="34090003">
      <w:start w:val="1"/>
      <w:numFmt w:val="bullet"/>
      <w:lvlText w:val="o"/>
      <w:lvlJc w:val="left"/>
      <w:pPr>
        <w:ind w:left="5760" w:hanging="360"/>
      </w:pPr>
      <w:rPr>
        <w:rFonts w:ascii="Courier New" w:hAnsi="Courier New" w:cs="Courier New" w:hint="default"/>
      </w:rPr>
    </w:lvl>
    <w:lvl w:ilvl="8" w:tplc="34090005">
      <w:start w:val="1"/>
      <w:numFmt w:val="bullet"/>
      <w:lvlText w:val=""/>
      <w:lvlJc w:val="left"/>
      <w:pPr>
        <w:ind w:left="6480" w:hanging="360"/>
      </w:pPr>
      <w:rPr>
        <w:rFonts w:ascii="Wingdings" w:hAnsi="Wingdings" w:hint="default"/>
      </w:rPr>
    </w:lvl>
  </w:abstractNum>
  <w:abstractNum w:abstractNumId="165" w15:restartNumberingAfterBreak="0">
    <w:nsid w:val="7C0F0C2C"/>
    <w:multiLevelType w:val="hybridMultilevel"/>
    <w:tmpl w:val="2A764A52"/>
    <w:lvl w:ilvl="0" w:tplc="F2F421BE">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7"/>
  </w:num>
  <w:num w:numId="2">
    <w:abstractNumId w:val="118"/>
  </w:num>
  <w:num w:numId="3">
    <w:abstractNumId w:val="161"/>
  </w:num>
  <w:num w:numId="4">
    <w:abstractNumId w:val="145"/>
  </w:num>
  <w:num w:numId="5">
    <w:abstractNumId w:val="141"/>
  </w:num>
  <w:num w:numId="6">
    <w:abstractNumId w:val="139"/>
  </w:num>
  <w:num w:numId="7">
    <w:abstractNumId w:val="25"/>
  </w:num>
  <w:num w:numId="8">
    <w:abstractNumId w:val="99"/>
  </w:num>
  <w:num w:numId="9">
    <w:abstractNumId w:val="64"/>
  </w:num>
  <w:num w:numId="10">
    <w:abstractNumId w:val="93"/>
  </w:num>
  <w:num w:numId="11">
    <w:abstractNumId w:val="62"/>
  </w:num>
  <w:num w:numId="12">
    <w:abstractNumId w:val="44"/>
  </w:num>
  <w:num w:numId="13">
    <w:abstractNumId w:val="74"/>
  </w:num>
  <w:num w:numId="14">
    <w:abstractNumId w:val="112"/>
  </w:num>
  <w:num w:numId="15">
    <w:abstractNumId w:val="17"/>
  </w:num>
  <w:num w:numId="16">
    <w:abstractNumId w:val="106"/>
  </w:num>
  <w:num w:numId="17">
    <w:abstractNumId w:val="81"/>
  </w:num>
  <w:num w:numId="18">
    <w:abstractNumId w:val="149"/>
  </w:num>
  <w:num w:numId="19">
    <w:abstractNumId w:val="33"/>
  </w:num>
  <w:num w:numId="20">
    <w:abstractNumId w:val="111"/>
  </w:num>
  <w:num w:numId="21">
    <w:abstractNumId w:val="105"/>
  </w:num>
  <w:num w:numId="22">
    <w:abstractNumId w:val="102"/>
  </w:num>
  <w:num w:numId="23">
    <w:abstractNumId w:val="127"/>
  </w:num>
  <w:num w:numId="24">
    <w:abstractNumId w:val="73"/>
  </w:num>
  <w:num w:numId="25">
    <w:abstractNumId w:val="156"/>
  </w:num>
  <w:num w:numId="26">
    <w:abstractNumId w:val="101"/>
  </w:num>
  <w:num w:numId="27">
    <w:abstractNumId w:val="8"/>
  </w:num>
  <w:num w:numId="28">
    <w:abstractNumId w:val="68"/>
  </w:num>
  <w:num w:numId="29">
    <w:abstractNumId w:val="61"/>
  </w:num>
  <w:num w:numId="30">
    <w:abstractNumId w:val="54"/>
  </w:num>
  <w:num w:numId="31">
    <w:abstractNumId w:val="63"/>
  </w:num>
  <w:num w:numId="32">
    <w:abstractNumId w:val="95"/>
  </w:num>
  <w:num w:numId="33">
    <w:abstractNumId w:val="55"/>
  </w:num>
  <w:num w:numId="34">
    <w:abstractNumId w:val="23"/>
  </w:num>
  <w:num w:numId="35">
    <w:abstractNumId w:val="130"/>
  </w:num>
  <w:num w:numId="36">
    <w:abstractNumId w:val="79"/>
  </w:num>
  <w:num w:numId="37">
    <w:abstractNumId w:val="97"/>
  </w:num>
  <w:num w:numId="38">
    <w:abstractNumId w:val="116"/>
  </w:num>
  <w:num w:numId="39">
    <w:abstractNumId w:val="40"/>
  </w:num>
  <w:num w:numId="40">
    <w:abstractNumId w:val="32"/>
  </w:num>
  <w:num w:numId="41">
    <w:abstractNumId w:val="153"/>
  </w:num>
  <w:num w:numId="42">
    <w:abstractNumId w:val="84"/>
  </w:num>
  <w:num w:numId="43">
    <w:abstractNumId w:val="28"/>
  </w:num>
  <w:num w:numId="44">
    <w:abstractNumId w:val="129"/>
  </w:num>
  <w:num w:numId="45">
    <w:abstractNumId w:val="52"/>
  </w:num>
  <w:num w:numId="46">
    <w:abstractNumId w:val="134"/>
  </w:num>
  <w:num w:numId="47">
    <w:abstractNumId w:val="0"/>
  </w:num>
  <w:num w:numId="48">
    <w:abstractNumId w:val="34"/>
  </w:num>
  <w:num w:numId="49">
    <w:abstractNumId w:val="31"/>
  </w:num>
  <w:num w:numId="50">
    <w:abstractNumId w:val="114"/>
  </w:num>
  <w:num w:numId="51">
    <w:abstractNumId w:val="135"/>
  </w:num>
  <w:num w:numId="52">
    <w:abstractNumId w:val="78"/>
  </w:num>
  <w:num w:numId="53">
    <w:abstractNumId w:val="6"/>
  </w:num>
  <w:num w:numId="54">
    <w:abstractNumId w:val="5"/>
  </w:num>
  <w:num w:numId="55">
    <w:abstractNumId w:val="93"/>
    <w:lvlOverride w:ilvl="0">
      <w:startOverride w:val="1"/>
    </w:lvlOverride>
  </w:num>
  <w:num w:numId="56">
    <w:abstractNumId w:val="77"/>
  </w:num>
  <w:num w:numId="57">
    <w:abstractNumId w:val="9"/>
  </w:num>
  <w:num w:numId="58">
    <w:abstractNumId w:val="146"/>
  </w:num>
  <w:num w:numId="59">
    <w:abstractNumId w:val="48"/>
  </w:num>
  <w:num w:numId="60">
    <w:abstractNumId w:val="131"/>
  </w:num>
  <w:num w:numId="61">
    <w:abstractNumId w:val="1"/>
  </w:num>
  <w:num w:numId="62">
    <w:abstractNumId w:val="128"/>
  </w:num>
  <w:num w:numId="63">
    <w:abstractNumId w:val="3"/>
  </w:num>
  <w:num w:numId="64">
    <w:abstractNumId w:val="138"/>
  </w:num>
  <w:num w:numId="65">
    <w:abstractNumId w:val="157"/>
  </w:num>
  <w:num w:numId="66">
    <w:abstractNumId w:val="39"/>
  </w:num>
  <w:num w:numId="67">
    <w:abstractNumId w:val="16"/>
  </w:num>
  <w:num w:numId="68">
    <w:abstractNumId w:val="45"/>
  </w:num>
  <w:num w:numId="69">
    <w:abstractNumId w:val="123"/>
  </w:num>
  <w:num w:numId="70">
    <w:abstractNumId w:val="160"/>
  </w:num>
  <w:num w:numId="71">
    <w:abstractNumId w:val="136"/>
  </w:num>
  <w:num w:numId="72">
    <w:abstractNumId w:val="119"/>
  </w:num>
  <w:num w:numId="73">
    <w:abstractNumId w:val="56"/>
  </w:num>
  <w:num w:numId="74">
    <w:abstractNumId w:val="58"/>
  </w:num>
  <w:num w:numId="75">
    <w:abstractNumId w:val="122"/>
  </w:num>
  <w:num w:numId="76">
    <w:abstractNumId w:val="96"/>
  </w:num>
  <w:num w:numId="77">
    <w:abstractNumId w:val="66"/>
  </w:num>
  <w:num w:numId="78">
    <w:abstractNumId w:val="22"/>
  </w:num>
  <w:num w:numId="79">
    <w:abstractNumId w:val="49"/>
  </w:num>
  <w:num w:numId="80">
    <w:abstractNumId w:val="85"/>
  </w:num>
  <w:num w:numId="81">
    <w:abstractNumId w:val="104"/>
  </w:num>
  <w:num w:numId="82">
    <w:abstractNumId w:val="144"/>
  </w:num>
  <w:num w:numId="83">
    <w:abstractNumId w:val="13"/>
  </w:num>
  <w:num w:numId="84">
    <w:abstractNumId w:val="142"/>
  </w:num>
  <w:num w:numId="85">
    <w:abstractNumId w:val="57"/>
  </w:num>
  <w:num w:numId="86">
    <w:abstractNumId w:val="50"/>
  </w:num>
  <w:num w:numId="87">
    <w:abstractNumId w:val="67"/>
  </w:num>
  <w:num w:numId="88">
    <w:abstractNumId w:val="120"/>
  </w:num>
  <w:num w:numId="89">
    <w:abstractNumId w:val="140"/>
  </w:num>
  <w:num w:numId="90">
    <w:abstractNumId w:val="152"/>
  </w:num>
  <w:num w:numId="91">
    <w:abstractNumId w:val="35"/>
  </w:num>
  <w:num w:numId="92">
    <w:abstractNumId w:val="163"/>
  </w:num>
  <w:num w:numId="93">
    <w:abstractNumId w:val="2"/>
  </w:num>
  <w:num w:numId="94">
    <w:abstractNumId w:val="89"/>
  </w:num>
  <w:num w:numId="95">
    <w:abstractNumId w:val="15"/>
  </w:num>
  <w:num w:numId="96">
    <w:abstractNumId w:val="91"/>
  </w:num>
  <w:num w:numId="97">
    <w:abstractNumId w:val="51"/>
  </w:num>
  <w:num w:numId="98">
    <w:abstractNumId w:val="151"/>
  </w:num>
  <w:num w:numId="99">
    <w:abstractNumId w:val="19"/>
  </w:num>
  <w:num w:numId="100">
    <w:abstractNumId w:val="53"/>
  </w:num>
  <w:num w:numId="101">
    <w:abstractNumId w:val="69"/>
  </w:num>
  <w:num w:numId="102">
    <w:abstractNumId w:val="82"/>
  </w:num>
  <w:num w:numId="103">
    <w:abstractNumId w:val="88"/>
  </w:num>
  <w:num w:numId="104">
    <w:abstractNumId w:val="150"/>
  </w:num>
  <w:num w:numId="105">
    <w:abstractNumId w:val="137"/>
  </w:num>
  <w:num w:numId="106">
    <w:abstractNumId w:val="125"/>
  </w:num>
  <w:num w:numId="107">
    <w:abstractNumId w:val="86"/>
  </w:num>
  <w:num w:numId="108">
    <w:abstractNumId w:val="18"/>
  </w:num>
  <w:num w:numId="109">
    <w:abstractNumId w:val="124"/>
  </w:num>
  <w:num w:numId="110">
    <w:abstractNumId w:val="148"/>
  </w:num>
  <w:num w:numId="111">
    <w:abstractNumId w:val="21"/>
  </w:num>
  <w:num w:numId="112">
    <w:abstractNumId w:val="80"/>
  </w:num>
  <w:num w:numId="113">
    <w:abstractNumId w:val="143"/>
  </w:num>
  <w:num w:numId="114">
    <w:abstractNumId w:val="10"/>
  </w:num>
  <w:num w:numId="115">
    <w:abstractNumId w:val="38"/>
  </w:num>
  <w:num w:numId="116">
    <w:abstractNumId w:val="110"/>
  </w:num>
  <w:num w:numId="117">
    <w:abstractNumId w:val="100"/>
  </w:num>
  <w:num w:numId="118">
    <w:abstractNumId w:val="12"/>
  </w:num>
  <w:num w:numId="119">
    <w:abstractNumId w:val="29"/>
  </w:num>
  <w:num w:numId="120">
    <w:abstractNumId w:val="108"/>
  </w:num>
  <w:num w:numId="121">
    <w:abstractNumId w:val="94"/>
  </w:num>
  <w:num w:numId="122">
    <w:abstractNumId w:val="121"/>
  </w:num>
  <w:num w:numId="123">
    <w:abstractNumId w:val="75"/>
  </w:num>
  <w:num w:numId="124">
    <w:abstractNumId w:val="37"/>
  </w:num>
  <w:num w:numId="125">
    <w:abstractNumId w:val="107"/>
  </w:num>
  <w:num w:numId="126">
    <w:abstractNumId w:val="43"/>
  </w:num>
  <w:num w:numId="127">
    <w:abstractNumId w:val="103"/>
  </w:num>
  <w:num w:numId="128">
    <w:abstractNumId w:val="155"/>
  </w:num>
  <w:num w:numId="129">
    <w:abstractNumId w:val="20"/>
  </w:num>
  <w:num w:numId="130">
    <w:abstractNumId w:val="117"/>
  </w:num>
  <w:num w:numId="131">
    <w:abstractNumId w:val="92"/>
  </w:num>
  <w:num w:numId="132">
    <w:abstractNumId w:val="65"/>
  </w:num>
  <w:num w:numId="133">
    <w:abstractNumId w:val="36"/>
  </w:num>
  <w:num w:numId="134">
    <w:abstractNumId w:val="113"/>
  </w:num>
  <w:num w:numId="135">
    <w:abstractNumId w:val="154"/>
  </w:num>
  <w:num w:numId="136">
    <w:abstractNumId w:val="27"/>
  </w:num>
  <w:num w:numId="137">
    <w:abstractNumId w:val="133"/>
  </w:num>
  <w:num w:numId="138">
    <w:abstractNumId w:val="14"/>
  </w:num>
  <w:num w:numId="139">
    <w:abstractNumId w:val="7"/>
  </w:num>
  <w:num w:numId="140">
    <w:abstractNumId w:val="42"/>
  </w:num>
  <w:num w:numId="141">
    <w:abstractNumId w:val="76"/>
  </w:num>
  <w:num w:numId="142">
    <w:abstractNumId w:val="162"/>
  </w:num>
  <w:num w:numId="143">
    <w:abstractNumId w:val="109"/>
  </w:num>
  <w:num w:numId="144">
    <w:abstractNumId w:val="115"/>
  </w:num>
  <w:num w:numId="145">
    <w:abstractNumId w:val="46"/>
  </w:num>
  <w:num w:numId="146">
    <w:abstractNumId w:val="164"/>
  </w:num>
  <w:num w:numId="147">
    <w:abstractNumId w:val="4"/>
  </w:num>
  <w:num w:numId="148">
    <w:abstractNumId w:val="147"/>
  </w:num>
  <w:num w:numId="149">
    <w:abstractNumId w:val="30"/>
  </w:num>
  <w:num w:numId="150">
    <w:abstractNumId w:val="87"/>
  </w:num>
  <w:num w:numId="151">
    <w:abstractNumId w:val="83"/>
  </w:num>
  <w:num w:numId="152">
    <w:abstractNumId w:val="132"/>
  </w:num>
  <w:num w:numId="153">
    <w:abstractNumId w:val="98"/>
  </w:num>
  <w:num w:numId="154">
    <w:abstractNumId w:val="11"/>
  </w:num>
  <w:num w:numId="155">
    <w:abstractNumId w:val="126"/>
  </w:num>
  <w:num w:numId="156">
    <w:abstractNumId w:val="41"/>
  </w:num>
  <w:num w:numId="157">
    <w:abstractNumId w:val="60"/>
  </w:num>
  <w:num w:numId="158">
    <w:abstractNumId w:val="71"/>
  </w:num>
  <w:num w:numId="159">
    <w:abstractNumId w:val="26"/>
  </w:num>
  <w:num w:numId="160">
    <w:abstractNumId w:val="70"/>
  </w:num>
  <w:num w:numId="161">
    <w:abstractNumId w:val="159"/>
  </w:num>
  <w:num w:numId="162">
    <w:abstractNumId w:val="81"/>
    <w:lvlOverride w:ilvl="0">
      <w:startOverride w:val="3"/>
    </w:lvlOverride>
    <w:lvlOverride w:ilvl="1">
      <w:startOverride w:val="1"/>
    </w:lvlOverride>
    <w:lvlOverride w:ilvl="2">
      <w:startOverride w:val="2"/>
    </w:lvlOverride>
    <w:lvlOverride w:ilvl="3">
      <w:startOverride w:val="2"/>
    </w:lvlOverride>
    <w:lvlOverride w:ilvl="4">
      <w:startOverride w:val="3"/>
    </w:lvlOverride>
  </w:num>
  <w:num w:numId="163">
    <w:abstractNumId w:val="81"/>
    <w:lvlOverride w:ilvl="0">
      <w:startOverride w:val="3"/>
    </w:lvlOverride>
    <w:lvlOverride w:ilvl="1">
      <w:startOverride w:val="2"/>
    </w:lvlOverride>
    <w:lvlOverride w:ilvl="2">
      <w:startOverride w:val="2"/>
    </w:lvlOverride>
    <w:lvlOverride w:ilvl="3">
      <w:startOverride w:val="1"/>
    </w:lvlOverride>
  </w:num>
  <w:num w:numId="164">
    <w:abstractNumId w:val="81"/>
    <w:lvlOverride w:ilvl="0">
      <w:startOverride w:val="3"/>
    </w:lvlOverride>
    <w:lvlOverride w:ilvl="1">
      <w:startOverride w:val="2"/>
    </w:lvlOverride>
    <w:lvlOverride w:ilvl="2">
      <w:startOverride w:val="2"/>
    </w:lvlOverride>
  </w:num>
  <w:num w:numId="165">
    <w:abstractNumId w:val="81"/>
    <w:lvlOverride w:ilvl="0">
      <w:startOverride w:val="3"/>
    </w:lvlOverride>
    <w:lvlOverride w:ilvl="1">
      <w:startOverride w:val="2"/>
    </w:lvlOverride>
    <w:lvlOverride w:ilvl="2">
      <w:startOverride w:val="5"/>
    </w:lvlOverride>
    <w:lvlOverride w:ilvl="3">
      <w:startOverride w:val="2"/>
    </w:lvlOverride>
  </w:num>
  <w:num w:numId="166">
    <w:abstractNumId w:val="81"/>
    <w:lvlOverride w:ilvl="0">
      <w:startOverride w:val="3"/>
    </w:lvlOverride>
    <w:lvlOverride w:ilvl="1">
      <w:startOverride w:val="3"/>
    </w:lvlOverride>
    <w:lvlOverride w:ilvl="2">
      <w:startOverride w:val="1"/>
    </w:lvlOverride>
    <w:lvlOverride w:ilvl="3">
      <w:startOverride w:val="1"/>
    </w:lvlOverride>
  </w:num>
  <w:num w:numId="167">
    <w:abstractNumId w:val="81"/>
    <w:lvlOverride w:ilvl="0">
      <w:startOverride w:val="3"/>
    </w:lvlOverride>
    <w:lvlOverride w:ilvl="1">
      <w:startOverride w:val="4"/>
    </w:lvlOverride>
    <w:lvlOverride w:ilvl="2">
      <w:startOverride w:val="4"/>
    </w:lvlOverride>
    <w:lvlOverride w:ilvl="3">
      <w:startOverride w:val="6"/>
    </w:lvlOverride>
  </w:num>
  <w:num w:numId="168">
    <w:abstractNumId w:val="158"/>
  </w:num>
  <w:num w:numId="169">
    <w:abstractNumId w:val="24"/>
  </w:num>
  <w:num w:numId="170">
    <w:abstractNumId w:val="8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8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8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72"/>
  </w:num>
  <w:num w:numId="174">
    <w:abstractNumId w:val="90"/>
  </w:num>
  <w:num w:numId="175">
    <w:abstractNumId w:val="59"/>
  </w:num>
  <w:num w:numId="176">
    <w:abstractNumId w:val="165"/>
  </w:num>
  <w:numIdMacAtCleanup w:val="1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hideSpellingError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CAD"/>
    <w:rsid w:val="00004038"/>
    <w:rsid w:val="00010C00"/>
    <w:rsid w:val="00012ABD"/>
    <w:rsid w:val="00017229"/>
    <w:rsid w:val="00020044"/>
    <w:rsid w:val="00020D54"/>
    <w:rsid w:val="00024B11"/>
    <w:rsid w:val="00027863"/>
    <w:rsid w:val="0003157D"/>
    <w:rsid w:val="0003359C"/>
    <w:rsid w:val="00033702"/>
    <w:rsid w:val="000440D6"/>
    <w:rsid w:val="000458F0"/>
    <w:rsid w:val="000479A3"/>
    <w:rsid w:val="00054E6C"/>
    <w:rsid w:val="00060286"/>
    <w:rsid w:val="000615A1"/>
    <w:rsid w:val="000628B4"/>
    <w:rsid w:val="00064A46"/>
    <w:rsid w:val="00065EB8"/>
    <w:rsid w:val="000672D9"/>
    <w:rsid w:val="00071086"/>
    <w:rsid w:val="0007123A"/>
    <w:rsid w:val="00071A47"/>
    <w:rsid w:val="00071F3B"/>
    <w:rsid w:val="000742FC"/>
    <w:rsid w:val="00075D51"/>
    <w:rsid w:val="00076653"/>
    <w:rsid w:val="00080CF5"/>
    <w:rsid w:val="000822DF"/>
    <w:rsid w:val="00082426"/>
    <w:rsid w:val="000825F3"/>
    <w:rsid w:val="00086A22"/>
    <w:rsid w:val="0009181D"/>
    <w:rsid w:val="00092A15"/>
    <w:rsid w:val="00092C0F"/>
    <w:rsid w:val="00092FAE"/>
    <w:rsid w:val="00093517"/>
    <w:rsid w:val="00094079"/>
    <w:rsid w:val="00096D05"/>
    <w:rsid w:val="00096D47"/>
    <w:rsid w:val="000A07CF"/>
    <w:rsid w:val="000A1096"/>
    <w:rsid w:val="000A4732"/>
    <w:rsid w:val="000A5E19"/>
    <w:rsid w:val="000A60F6"/>
    <w:rsid w:val="000A7694"/>
    <w:rsid w:val="000B36B7"/>
    <w:rsid w:val="000C108A"/>
    <w:rsid w:val="000C2185"/>
    <w:rsid w:val="000C2E67"/>
    <w:rsid w:val="000C3CDA"/>
    <w:rsid w:val="000C3D98"/>
    <w:rsid w:val="000D0CE8"/>
    <w:rsid w:val="000D198A"/>
    <w:rsid w:val="000D39CB"/>
    <w:rsid w:val="000D6988"/>
    <w:rsid w:val="000E2324"/>
    <w:rsid w:val="000E47C6"/>
    <w:rsid w:val="000F0CA6"/>
    <w:rsid w:val="000F0D27"/>
    <w:rsid w:val="000F2498"/>
    <w:rsid w:val="000F2E1C"/>
    <w:rsid w:val="00104415"/>
    <w:rsid w:val="001054D2"/>
    <w:rsid w:val="001058BA"/>
    <w:rsid w:val="001075C0"/>
    <w:rsid w:val="00112496"/>
    <w:rsid w:val="00120577"/>
    <w:rsid w:val="00121470"/>
    <w:rsid w:val="00121880"/>
    <w:rsid w:val="00121A80"/>
    <w:rsid w:val="001262B9"/>
    <w:rsid w:val="00133FA6"/>
    <w:rsid w:val="001346C6"/>
    <w:rsid w:val="00134E4E"/>
    <w:rsid w:val="0013772C"/>
    <w:rsid w:val="0014186A"/>
    <w:rsid w:val="00144607"/>
    <w:rsid w:val="001449CF"/>
    <w:rsid w:val="00150633"/>
    <w:rsid w:val="001514A0"/>
    <w:rsid w:val="001520FD"/>
    <w:rsid w:val="00152E7C"/>
    <w:rsid w:val="0015536A"/>
    <w:rsid w:val="00155C4F"/>
    <w:rsid w:val="00166CFF"/>
    <w:rsid w:val="0016704F"/>
    <w:rsid w:val="0017212A"/>
    <w:rsid w:val="001722B5"/>
    <w:rsid w:val="001722EF"/>
    <w:rsid w:val="00172CF0"/>
    <w:rsid w:val="0017606A"/>
    <w:rsid w:val="0017621F"/>
    <w:rsid w:val="00180815"/>
    <w:rsid w:val="00186058"/>
    <w:rsid w:val="001929A7"/>
    <w:rsid w:val="00192E74"/>
    <w:rsid w:val="00193857"/>
    <w:rsid w:val="001949D1"/>
    <w:rsid w:val="00196BE8"/>
    <w:rsid w:val="0019799C"/>
    <w:rsid w:val="001A0E5C"/>
    <w:rsid w:val="001A175A"/>
    <w:rsid w:val="001A2DA8"/>
    <w:rsid w:val="001A5E7B"/>
    <w:rsid w:val="001A6F20"/>
    <w:rsid w:val="001B00C6"/>
    <w:rsid w:val="001C748C"/>
    <w:rsid w:val="001D35BE"/>
    <w:rsid w:val="001D5103"/>
    <w:rsid w:val="001D5D36"/>
    <w:rsid w:val="001E1C85"/>
    <w:rsid w:val="001E2886"/>
    <w:rsid w:val="001E72D1"/>
    <w:rsid w:val="001F1EF0"/>
    <w:rsid w:val="001F2F0B"/>
    <w:rsid w:val="00200AD4"/>
    <w:rsid w:val="00201ED0"/>
    <w:rsid w:val="00203370"/>
    <w:rsid w:val="00203BEA"/>
    <w:rsid w:val="0021794E"/>
    <w:rsid w:val="00227C7C"/>
    <w:rsid w:val="00231C82"/>
    <w:rsid w:val="002320B3"/>
    <w:rsid w:val="002339E6"/>
    <w:rsid w:val="00236FA4"/>
    <w:rsid w:val="002375FF"/>
    <w:rsid w:val="00240BD4"/>
    <w:rsid w:val="00241383"/>
    <w:rsid w:val="00244DAB"/>
    <w:rsid w:val="002517B7"/>
    <w:rsid w:val="00252BAD"/>
    <w:rsid w:val="00253107"/>
    <w:rsid w:val="0025315D"/>
    <w:rsid w:val="002534AA"/>
    <w:rsid w:val="00253714"/>
    <w:rsid w:val="0025386A"/>
    <w:rsid w:val="00254DB8"/>
    <w:rsid w:val="002611D8"/>
    <w:rsid w:val="002615C5"/>
    <w:rsid w:val="00262611"/>
    <w:rsid w:val="00263939"/>
    <w:rsid w:val="00267FD2"/>
    <w:rsid w:val="00270ECA"/>
    <w:rsid w:val="00271DBD"/>
    <w:rsid w:val="00273C2C"/>
    <w:rsid w:val="00273FEC"/>
    <w:rsid w:val="002746BC"/>
    <w:rsid w:val="00276D50"/>
    <w:rsid w:val="00281C54"/>
    <w:rsid w:val="0028743E"/>
    <w:rsid w:val="00290309"/>
    <w:rsid w:val="002934ED"/>
    <w:rsid w:val="00294378"/>
    <w:rsid w:val="00295508"/>
    <w:rsid w:val="002974B6"/>
    <w:rsid w:val="002A0AC0"/>
    <w:rsid w:val="002A24AF"/>
    <w:rsid w:val="002A5AA2"/>
    <w:rsid w:val="002A621A"/>
    <w:rsid w:val="002A6323"/>
    <w:rsid w:val="002A7736"/>
    <w:rsid w:val="002B6128"/>
    <w:rsid w:val="002B674E"/>
    <w:rsid w:val="002B7914"/>
    <w:rsid w:val="002B7E23"/>
    <w:rsid w:val="002C11AB"/>
    <w:rsid w:val="002D25E2"/>
    <w:rsid w:val="002D26A3"/>
    <w:rsid w:val="002D4883"/>
    <w:rsid w:val="002E1D6B"/>
    <w:rsid w:val="002E21D4"/>
    <w:rsid w:val="002F12FE"/>
    <w:rsid w:val="002F7DAD"/>
    <w:rsid w:val="00300628"/>
    <w:rsid w:val="00300F05"/>
    <w:rsid w:val="003070FA"/>
    <w:rsid w:val="00321C42"/>
    <w:rsid w:val="00322E26"/>
    <w:rsid w:val="0032349A"/>
    <w:rsid w:val="0032369F"/>
    <w:rsid w:val="003305BA"/>
    <w:rsid w:val="00331E51"/>
    <w:rsid w:val="00334A17"/>
    <w:rsid w:val="003356B2"/>
    <w:rsid w:val="0034034B"/>
    <w:rsid w:val="00344792"/>
    <w:rsid w:val="0034644F"/>
    <w:rsid w:val="00350DD7"/>
    <w:rsid w:val="00351B33"/>
    <w:rsid w:val="00354AC6"/>
    <w:rsid w:val="00357866"/>
    <w:rsid w:val="00360CB4"/>
    <w:rsid w:val="00361777"/>
    <w:rsid w:val="00362788"/>
    <w:rsid w:val="00362BE7"/>
    <w:rsid w:val="00365FEF"/>
    <w:rsid w:val="00366AAE"/>
    <w:rsid w:val="00384E6C"/>
    <w:rsid w:val="00385784"/>
    <w:rsid w:val="00396F70"/>
    <w:rsid w:val="003A0F87"/>
    <w:rsid w:val="003A5D27"/>
    <w:rsid w:val="003B5A8C"/>
    <w:rsid w:val="003C3777"/>
    <w:rsid w:val="003C3956"/>
    <w:rsid w:val="003C3C4E"/>
    <w:rsid w:val="003C541B"/>
    <w:rsid w:val="003C7613"/>
    <w:rsid w:val="003C7751"/>
    <w:rsid w:val="003C77BC"/>
    <w:rsid w:val="003D2349"/>
    <w:rsid w:val="003E06F8"/>
    <w:rsid w:val="003E27E1"/>
    <w:rsid w:val="003E2EA3"/>
    <w:rsid w:val="003E309D"/>
    <w:rsid w:val="003E48D0"/>
    <w:rsid w:val="003E5F44"/>
    <w:rsid w:val="003E63FD"/>
    <w:rsid w:val="003F12A9"/>
    <w:rsid w:val="00412390"/>
    <w:rsid w:val="00414DCE"/>
    <w:rsid w:val="00416822"/>
    <w:rsid w:val="0041781A"/>
    <w:rsid w:val="0042003C"/>
    <w:rsid w:val="00427ACB"/>
    <w:rsid w:val="00430301"/>
    <w:rsid w:val="00432AF4"/>
    <w:rsid w:val="004351FE"/>
    <w:rsid w:val="00442528"/>
    <w:rsid w:val="0044572D"/>
    <w:rsid w:val="00445DB6"/>
    <w:rsid w:val="00447978"/>
    <w:rsid w:val="00450276"/>
    <w:rsid w:val="00455D96"/>
    <w:rsid w:val="00456BD4"/>
    <w:rsid w:val="0046058A"/>
    <w:rsid w:val="004627AC"/>
    <w:rsid w:val="00463E76"/>
    <w:rsid w:val="00473AFA"/>
    <w:rsid w:val="0047524A"/>
    <w:rsid w:val="004761D9"/>
    <w:rsid w:val="0047625E"/>
    <w:rsid w:val="00476E85"/>
    <w:rsid w:val="0048024E"/>
    <w:rsid w:val="004806D3"/>
    <w:rsid w:val="004835AF"/>
    <w:rsid w:val="00486224"/>
    <w:rsid w:val="004914D0"/>
    <w:rsid w:val="004955DA"/>
    <w:rsid w:val="004967E7"/>
    <w:rsid w:val="004A0054"/>
    <w:rsid w:val="004A196B"/>
    <w:rsid w:val="004A47DD"/>
    <w:rsid w:val="004A4D84"/>
    <w:rsid w:val="004A6571"/>
    <w:rsid w:val="004A657A"/>
    <w:rsid w:val="004B064D"/>
    <w:rsid w:val="004B0F9C"/>
    <w:rsid w:val="004B5230"/>
    <w:rsid w:val="004C2804"/>
    <w:rsid w:val="004C4E6F"/>
    <w:rsid w:val="004C7843"/>
    <w:rsid w:val="004D1708"/>
    <w:rsid w:val="004D1E60"/>
    <w:rsid w:val="004D5F1B"/>
    <w:rsid w:val="004D6276"/>
    <w:rsid w:val="004D629B"/>
    <w:rsid w:val="004D6582"/>
    <w:rsid w:val="004E3EBB"/>
    <w:rsid w:val="004E515B"/>
    <w:rsid w:val="004E522D"/>
    <w:rsid w:val="004E7DC5"/>
    <w:rsid w:val="004F162A"/>
    <w:rsid w:val="004F5B55"/>
    <w:rsid w:val="004F7C10"/>
    <w:rsid w:val="005010BE"/>
    <w:rsid w:val="00511A95"/>
    <w:rsid w:val="00513740"/>
    <w:rsid w:val="0051531B"/>
    <w:rsid w:val="00521859"/>
    <w:rsid w:val="00522667"/>
    <w:rsid w:val="00523D6F"/>
    <w:rsid w:val="0053079A"/>
    <w:rsid w:val="005313C9"/>
    <w:rsid w:val="0053566B"/>
    <w:rsid w:val="00536AA2"/>
    <w:rsid w:val="00540B90"/>
    <w:rsid w:val="00540D00"/>
    <w:rsid w:val="005424E3"/>
    <w:rsid w:val="005439A1"/>
    <w:rsid w:val="00547BDD"/>
    <w:rsid w:val="00551D75"/>
    <w:rsid w:val="005538D8"/>
    <w:rsid w:val="00555A70"/>
    <w:rsid w:val="00555CB5"/>
    <w:rsid w:val="00560A1D"/>
    <w:rsid w:val="00566D4B"/>
    <w:rsid w:val="00567F1C"/>
    <w:rsid w:val="00572BB5"/>
    <w:rsid w:val="00574935"/>
    <w:rsid w:val="005805AC"/>
    <w:rsid w:val="00581058"/>
    <w:rsid w:val="0058259A"/>
    <w:rsid w:val="00583D11"/>
    <w:rsid w:val="00585016"/>
    <w:rsid w:val="0058701B"/>
    <w:rsid w:val="005902F7"/>
    <w:rsid w:val="005A1126"/>
    <w:rsid w:val="005A1F9B"/>
    <w:rsid w:val="005A6126"/>
    <w:rsid w:val="005A6E5E"/>
    <w:rsid w:val="005A731E"/>
    <w:rsid w:val="005A77AA"/>
    <w:rsid w:val="005B4006"/>
    <w:rsid w:val="005B76D3"/>
    <w:rsid w:val="005C2588"/>
    <w:rsid w:val="005C2668"/>
    <w:rsid w:val="005C39BE"/>
    <w:rsid w:val="005C45FF"/>
    <w:rsid w:val="005C5361"/>
    <w:rsid w:val="005C6E25"/>
    <w:rsid w:val="005C6F5A"/>
    <w:rsid w:val="005D0C72"/>
    <w:rsid w:val="005D13FC"/>
    <w:rsid w:val="005D7D4C"/>
    <w:rsid w:val="005E0C9E"/>
    <w:rsid w:val="005E5450"/>
    <w:rsid w:val="005E6F84"/>
    <w:rsid w:val="005F16F1"/>
    <w:rsid w:val="006059DC"/>
    <w:rsid w:val="00611C90"/>
    <w:rsid w:val="00612759"/>
    <w:rsid w:val="006147EA"/>
    <w:rsid w:val="00615612"/>
    <w:rsid w:val="00615FB5"/>
    <w:rsid w:val="00624291"/>
    <w:rsid w:val="006244E0"/>
    <w:rsid w:val="00625149"/>
    <w:rsid w:val="006268B4"/>
    <w:rsid w:val="006273C9"/>
    <w:rsid w:val="006336E0"/>
    <w:rsid w:val="00634911"/>
    <w:rsid w:val="00636B01"/>
    <w:rsid w:val="006414C4"/>
    <w:rsid w:val="006418C1"/>
    <w:rsid w:val="00643967"/>
    <w:rsid w:val="00644322"/>
    <w:rsid w:val="00645630"/>
    <w:rsid w:val="00647DE5"/>
    <w:rsid w:val="00651B16"/>
    <w:rsid w:val="0065317D"/>
    <w:rsid w:val="006536EC"/>
    <w:rsid w:val="00653E49"/>
    <w:rsid w:val="00657559"/>
    <w:rsid w:val="00660BB4"/>
    <w:rsid w:val="00661A15"/>
    <w:rsid w:val="00663360"/>
    <w:rsid w:val="006644E8"/>
    <w:rsid w:val="00664D2E"/>
    <w:rsid w:val="00670430"/>
    <w:rsid w:val="0067087C"/>
    <w:rsid w:val="00671524"/>
    <w:rsid w:val="00671801"/>
    <w:rsid w:val="00671CFD"/>
    <w:rsid w:val="00673184"/>
    <w:rsid w:val="00674982"/>
    <w:rsid w:val="00680B5A"/>
    <w:rsid w:val="00682780"/>
    <w:rsid w:val="00685928"/>
    <w:rsid w:val="00691C40"/>
    <w:rsid w:val="00692897"/>
    <w:rsid w:val="006A23D5"/>
    <w:rsid w:val="006A2EEE"/>
    <w:rsid w:val="006A2F5D"/>
    <w:rsid w:val="006A63EC"/>
    <w:rsid w:val="006B1C66"/>
    <w:rsid w:val="006B224B"/>
    <w:rsid w:val="006B69B7"/>
    <w:rsid w:val="006C7ED6"/>
    <w:rsid w:val="006D1940"/>
    <w:rsid w:val="006D44FB"/>
    <w:rsid w:val="006D655E"/>
    <w:rsid w:val="006E1437"/>
    <w:rsid w:val="006E4B2C"/>
    <w:rsid w:val="006E6513"/>
    <w:rsid w:val="006F0862"/>
    <w:rsid w:val="006F245D"/>
    <w:rsid w:val="006F3E87"/>
    <w:rsid w:val="006F6B6A"/>
    <w:rsid w:val="006F7C43"/>
    <w:rsid w:val="007045A4"/>
    <w:rsid w:val="007058FE"/>
    <w:rsid w:val="0070728E"/>
    <w:rsid w:val="00707764"/>
    <w:rsid w:val="007162E7"/>
    <w:rsid w:val="00717132"/>
    <w:rsid w:val="00720BD0"/>
    <w:rsid w:val="00722728"/>
    <w:rsid w:val="00722937"/>
    <w:rsid w:val="0072295D"/>
    <w:rsid w:val="00724E9A"/>
    <w:rsid w:val="00726475"/>
    <w:rsid w:val="007269E9"/>
    <w:rsid w:val="007336C5"/>
    <w:rsid w:val="0073544F"/>
    <w:rsid w:val="007360FF"/>
    <w:rsid w:val="00745ACF"/>
    <w:rsid w:val="00747A68"/>
    <w:rsid w:val="00752F23"/>
    <w:rsid w:val="00752F42"/>
    <w:rsid w:val="007552DA"/>
    <w:rsid w:val="00757373"/>
    <w:rsid w:val="00760EA4"/>
    <w:rsid w:val="00771063"/>
    <w:rsid w:val="007733B5"/>
    <w:rsid w:val="00773E33"/>
    <w:rsid w:val="007759BD"/>
    <w:rsid w:val="007846B1"/>
    <w:rsid w:val="00784C57"/>
    <w:rsid w:val="007860E4"/>
    <w:rsid w:val="00793E4C"/>
    <w:rsid w:val="00796823"/>
    <w:rsid w:val="00796BFA"/>
    <w:rsid w:val="007A4F32"/>
    <w:rsid w:val="007B055C"/>
    <w:rsid w:val="007B3BAC"/>
    <w:rsid w:val="007B6836"/>
    <w:rsid w:val="007C1A2E"/>
    <w:rsid w:val="007C4341"/>
    <w:rsid w:val="007C50A5"/>
    <w:rsid w:val="007C7CD1"/>
    <w:rsid w:val="007C7D88"/>
    <w:rsid w:val="007D16AF"/>
    <w:rsid w:val="007D2416"/>
    <w:rsid w:val="007D33B0"/>
    <w:rsid w:val="007D3983"/>
    <w:rsid w:val="007E17AF"/>
    <w:rsid w:val="007E3D84"/>
    <w:rsid w:val="007E40A8"/>
    <w:rsid w:val="007F0BFF"/>
    <w:rsid w:val="007F1771"/>
    <w:rsid w:val="007F1E28"/>
    <w:rsid w:val="007F2216"/>
    <w:rsid w:val="007F773B"/>
    <w:rsid w:val="007F7F02"/>
    <w:rsid w:val="00800ABF"/>
    <w:rsid w:val="00800AF0"/>
    <w:rsid w:val="008041F1"/>
    <w:rsid w:val="00804D54"/>
    <w:rsid w:val="008135EB"/>
    <w:rsid w:val="00820287"/>
    <w:rsid w:val="0082125F"/>
    <w:rsid w:val="00826D85"/>
    <w:rsid w:val="008327F2"/>
    <w:rsid w:val="0084650C"/>
    <w:rsid w:val="00850241"/>
    <w:rsid w:val="00850643"/>
    <w:rsid w:val="00853D2B"/>
    <w:rsid w:val="00855335"/>
    <w:rsid w:val="008569FC"/>
    <w:rsid w:val="00861574"/>
    <w:rsid w:val="00861E05"/>
    <w:rsid w:val="008642FA"/>
    <w:rsid w:val="0086557D"/>
    <w:rsid w:val="008721AB"/>
    <w:rsid w:val="00874506"/>
    <w:rsid w:val="008747AD"/>
    <w:rsid w:val="00874804"/>
    <w:rsid w:val="00876C11"/>
    <w:rsid w:val="00877CDC"/>
    <w:rsid w:val="00877ED1"/>
    <w:rsid w:val="00880647"/>
    <w:rsid w:val="008906EC"/>
    <w:rsid w:val="0089210D"/>
    <w:rsid w:val="0089413E"/>
    <w:rsid w:val="008A2241"/>
    <w:rsid w:val="008A45BD"/>
    <w:rsid w:val="008A461A"/>
    <w:rsid w:val="008A5308"/>
    <w:rsid w:val="008A782E"/>
    <w:rsid w:val="008B0B92"/>
    <w:rsid w:val="008B2040"/>
    <w:rsid w:val="008B6563"/>
    <w:rsid w:val="008B7373"/>
    <w:rsid w:val="008B7D29"/>
    <w:rsid w:val="008C061C"/>
    <w:rsid w:val="008C3060"/>
    <w:rsid w:val="008D0CAD"/>
    <w:rsid w:val="008D4CFB"/>
    <w:rsid w:val="008D631B"/>
    <w:rsid w:val="008D7B77"/>
    <w:rsid w:val="008E13CB"/>
    <w:rsid w:val="008E7C76"/>
    <w:rsid w:val="008F1358"/>
    <w:rsid w:val="008F5717"/>
    <w:rsid w:val="008F573F"/>
    <w:rsid w:val="0090359B"/>
    <w:rsid w:val="00903EAD"/>
    <w:rsid w:val="0091041A"/>
    <w:rsid w:val="009131E3"/>
    <w:rsid w:val="009145F5"/>
    <w:rsid w:val="009166C4"/>
    <w:rsid w:val="00916BF5"/>
    <w:rsid w:val="00917A46"/>
    <w:rsid w:val="00920523"/>
    <w:rsid w:val="009207CB"/>
    <w:rsid w:val="00923776"/>
    <w:rsid w:val="00930042"/>
    <w:rsid w:val="0094015C"/>
    <w:rsid w:val="009423E4"/>
    <w:rsid w:val="0094265A"/>
    <w:rsid w:val="00943324"/>
    <w:rsid w:val="00943C0A"/>
    <w:rsid w:val="009443E0"/>
    <w:rsid w:val="00962206"/>
    <w:rsid w:val="009624DC"/>
    <w:rsid w:val="00967BEE"/>
    <w:rsid w:val="009719FA"/>
    <w:rsid w:val="009747BB"/>
    <w:rsid w:val="0097619E"/>
    <w:rsid w:val="00976A1C"/>
    <w:rsid w:val="00984A9E"/>
    <w:rsid w:val="009946D0"/>
    <w:rsid w:val="00996C18"/>
    <w:rsid w:val="009A016D"/>
    <w:rsid w:val="009A3F16"/>
    <w:rsid w:val="009A4AD8"/>
    <w:rsid w:val="009A4E59"/>
    <w:rsid w:val="009B3086"/>
    <w:rsid w:val="009C2724"/>
    <w:rsid w:val="009C2893"/>
    <w:rsid w:val="009C5422"/>
    <w:rsid w:val="009C64E9"/>
    <w:rsid w:val="009D31E5"/>
    <w:rsid w:val="009D3B6D"/>
    <w:rsid w:val="009D5612"/>
    <w:rsid w:val="009D738E"/>
    <w:rsid w:val="009E0D6D"/>
    <w:rsid w:val="009E153C"/>
    <w:rsid w:val="009E43AA"/>
    <w:rsid w:val="009F03FF"/>
    <w:rsid w:val="009F25FF"/>
    <w:rsid w:val="009F30DD"/>
    <w:rsid w:val="009F3FF0"/>
    <w:rsid w:val="009F4094"/>
    <w:rsid w:val="009F7AC9"/>
    <w:rsid w:val="00A017B6"/>
    <w:rsid w:val="00A025A4"/>
    <w:rsid w:val="00A035FB"/>
    <w:rsid w:val="00A04CED"/>
    <w:rsid w:val="00A142F1"/>
    <w:rsid w:val="00A16798"/>
    <w:rsid w:val="00A17FEA"/>
    <w:rsid w:val="00A2160E"/>
    <w:rsid w:val="00A269F6"/>
    <w:rsid w:val="00A31699"/>
    <w:rsid w:val="00A33371"/>
    <w:rsid w:val="00A34072"/>
    <w:rsid w:val="00A4162A"/>
    <w:rsid w:val="00A517CB"/>
    <w:rsid w:val="00A51FA0"/>
    <w:rsid w:val="00A60E79"/>
    <w:rsid w:val="00A629C3"/>
    <w:rsid w:val="00A65B48"/>
    <w:rsid w:val="00A70B8D"/>
    <w:rsid w:val="00A8110A"/>
    <w:rsid w:val="00A84207"/>
    <w:rsid w:val="00A8457A"/>
    <w:rsid w:val="00A9780B"/>
    <w:rsid w:val="00A978AF"/>
    <w:rsid w:val="00A97CDF"/>
    <w:rsid w:val="00AA51C7"/>
    <w:rsid w:val="00AA76C5"/>
    <w:rsid w:val="00AC3375"/>
    <w:rsid w:val="00AC4797"/>
    <w:rsid w:val="00AC648E"/>
    <w:rsid w:val="00AD1503"/>
    <w:rsid w:val="00AD1A17"/>
    <w:rsid w:val="00AD7421"/>
    <w:rsid w:val="00AE01FE"/>
    <w:rsid w:val="00AE10A8"/>
    <w:rsid w:val="00AE111D"/>
    <w:rsid w:val="00AE1B8C"/>
    <w:rsid w:val="00AF0D18"/>
    <w:rsid w:val="00AF1B61"/>
    <w:rsid w:val="00AF2654"/>
    <w:rsid w:val="00AF34E2"/>
    <w:rsid w:val="00AF5A6A"/>
    <w:rsid w:val="00AF7076"/>
    <w:rsid w:val="00B07511"/>
    <w:rsid w:val="00B10018"/>
    <w:rsid w:val="00B13576"/>
    <w:rsid w:val="00B13E4C"/>
    <w:rsid w:val="00B15E9B"/>
    <w:rsid w:val="00B1628E"/>
    <w:rsid w:val="00B16F03"/>
    <w:rsid w:val="00B21595"/>
    <w:rsid w:val="00B22DC6"/>
    <w:rsid w:val="00B24339"/>
    <w:rsid w:val="00B30D83"/>
    <w:rsid w:val="00B31C4E"/>
    <w:rsid w:val="00B3357F"/>
    <w:rsid w:val="00B33BA9"/>
    <w:rsid w:val="00B4093B"/>
    <w:rsid w:val="00B420EE"/>
    <w:rsid w:val="00B43D94"/>
    <w:rsid w:val="00B443FE"/>
    <w:rsid w:val="00B45DAB"/>
    <w:rsid w:val="00B468B6"/>
    <w:rsid w:val="00B472E2"/>
    <w:rsid w:val="00B476AC"/>
    <w:rsid w:val="00B50AB9"/>
    <w:rsid w:val="00B5167F"/>
    <w:rsid w:val="00B518C8"/>
    <w:rsid w:val="00B52738"/>
    <w:rsid w:val="00B532A0"/>
    <w:rsid w:val="00B55532"/>
    <w:rsid w:val="00B60DB7"/>
    <w:rsid w:val="00B632AE"/>
    <w:rsid w:val="00B63EDD"/>
    <w:rsid w:val="00B7151A"/>
    <w:rsid w:val="00B71678"/>
    <w:rsid w:val="00B73B82"/>
    <w:rsid w:val="00B7466E"/>
    <w:rsid w:val="00B82CDD"/>
    <w:rsid w:val="00B85AAB"/>
    <w:rsid w:val="00B85CCA"/>
    <w:rsid w:val="00B94F06"/>
    <w:rsid w:val="00B97D66"/>
    <w:rsid w:val="00BA133F"/>
    <w:rsid w:val="00BA23E8"/>
    <w:rsid w:val="00BA3B60"/>
    <w:rsid w:val="00BA5393"/>
    <w:rsid w:val="00BA554B"/>
    <w:rsid w:val="00BB05F1"/>
    <w:rsid w:val="00BB3189"/>
    <w:rsid w:val="00BB3ADC"/>
    <w:rsid w:val="00BB4458"/>
    <w:rsid w:val="00BB4E9E"/>
    <w:rsid w:val="00BB77A4"/>
    <w:rsid w:val="00BC086A"/>
    <w:rsid w:val="00BC1DD3"/>
    <w:rsid w:val="00BC2C42"/>
    <w:rsid w:val="00BC70DA"/>
    <w:rsid w:val="00BD4EC4"/>
    <w:rsid w:val="00BD4F19"/>
    <w:rsid w:val="00BE115F"/>
    <w:rsid w:val="00BF45BB"/>
    <w:rsid w:val="00BF67F8"/>
    <w:rsid w:val="00BF6C0B"/>
    <w:rsid w:val="00C00982"/>
    <w:rsid w:val="00C023C6"/>
    <w:rsid w:val="00C06A1B"/>
    <w:rsid w:val="00C1120A"/>
    <w:rsid w:val="00C124EE"/>
    <w:rsid w:val="00C14CEA"/>
    <w:rsid w:val="00C178A4"/>
    <w:rsid w:val="00C20379"/>
    <w:rsid w:val="00C24B7C"/>
    <w:rsid w:val="00C24C22"/>
    <w:rsid w:val="00C311E9"/>
    <w:rsid w:val="00C35112"/>
    <w:rsid w:val="00C35B1E"/>
    <w:rsid w:val="00C35EAC"/>
    <w:rsid w:val="00C409D9"/>
    <w:rsid w:val="00C421A4"/>
    <w:rsid w:val="00C43114"/>
    <w:rsid w:val="00C4630E"/>
    <w:rsid w:val="00C612B8"/>
    <w:rsid w:val="00C7170B"/>
    <w:rsid w:val="00C803AA"/>
    <w:rsid w:val="00C82D12"/>
    <w:rsid w:val="00C87C04"/>
    <w:rsid w:val="00C967A6"/>
    <w:rsid w:val="00C96DB7"/>
    <w:rsid w:val="00C97B73"/>
    <w:rsid w:val="00CA32CC"/>
    <w:rsid w:val="00CA4AB2"/>
    <w:rsid w:val="00CA6DEC"/>
    <w:rsid w:val="00CA7888"/>
    <w:rsid w:val="00CB1A0C"/>
    <w:rsid w:val="00CB2650"/>
    <w:rsid w:val="00CB343E"/>
    <w:rsid w:val="00CC0BE9"/>
    <w:rsid w:val="00CC76D4"/>
    <w:rsid w:val="00CD3D1C"/>
    <w:rsid w:val="00CD42B6"/>
    <w:rsid w:val="00CD617B"/>
    <w:rsid w:val="00CE0B94"/>
    <w:rsid w:val="00CE3DF5"/>
    <w:rsid w:val="00CE4B8E"/>
    <w:rsid w:val="00CF0D4A"/>
    <w:rsid w:val="00CF12B0"/>
    <w:rsid w:val="00CF1537"/>
    <w:rsid w:val="00CF28B0"/>
    <w:rsid w:val="00CF2DE6"/>
    <w:rsid w:val="00CF5878"/>
    <w:rsid w:val="00D126B8"/>
    <w:rsid w:val="00D13281"/>
    <w:rsid w:val="00D16886"/>
    <w:rsid w:val="00D25F32"/>
    <w:rsid w:val="00D27A34"/>
    <w:rsid w:val="00D32035"/>
    <w:rsid w:val="00D354DC"/>
    <w:rsid w:val="00D36547"/>
    <w:rsid w:val="00D37595"/>
    <w:rsid w:val="00D40640"/>
    <w:rsid w:val="00D40FB2"/>
    <w:rsid w:val="00D417B5"/>
    <w:rsid w:val="00D41F5D"/>
    <w:rsid w:val="00D41FA2"/>
    <w:rsid w:val="00D4345F"/>
    <w:rsid w:val="00D434EB"/>
    <w:rsid w:val="00D4501E"/>
    <w:rsid w:val="00D5211F"/>
    <w:rsid w:val="00D608F7"/>
    <w:rsid w:val="00D6133D"/>
    <w:rsid w:val="00D65254"/>
    <w:rsid w:val="00D65902"/>
    <w:rsid w:val="00D67C4A"/>
    <w:rsid w:val="00D71720"/>
    <w:rsid w:val="00D72A54"/>
    <w:rsid w:val="00D7461F"/>
    <w:rsid w:val="00D8370B"/>
    <w:rsid w:val="00D90C28"/>
    <w:rsid w:val="00D922F5"/>
    <w:rsid w:val="00D92D17"/>
    <w:rsid w:val="00D97563"/>
    <w:rsid w:val="00DA13EA"/>
    <w:rsid w:val="00DA2761"/>
    <w:rsid w:val="00DB0B65"/>
    <w:rsid w:val="00DB1F28"/>
    <w:rsid w:val="00DB3BCC"/>
    <w:rsid w:val="00DB3FE1"/>
    <w:rsid w:val="00DC553C"/>
    <w:rsid w:val="00DC721B"/>
    <w:rsid w:val="00DC7DED"/>
    <w:rsid w:val="00DD08E3"/>
    <w:rsid w:val="00DD09A6"/>
    <w:rsid w:val="00DD38D4"/>
    <w:rsid w:val="00DD6693"/>
    <w:rsid w:val="00DD66F2"/>
    <w:rsid w:val="00DD6E21"/>
    <w:rsid w:val="00DE7318"/>
    <w:rsid w:val="00DF3652"/>
    <w:rsid w:val="00DF3AC3"/>
    <w:rsid w:val="00DF7184"/>
    <w:rsid w:val="00E02E19"/>
    <w:rsid w:val="00E035C2"/>
    <w:rsid w:val="00E12DD2"/>
    <w:rsid w:val="00E16F95"/>
    <w:rsid w:val="00E20A1F"/>
    <w:rsid w:val="00E26D25"/>
    <w:rsid w:val="00E3009B"/>
    <w:rsid w:val="00E41BF8"/>
    <w:rsid w:val="00E432C2"/>
    <w:rsid w:val="00E52E1E"/>
    <w:rsid w:val="00E541E8"/>
    <w:rsid w:val="00E60CBE"/>
    <w:rsid w:val="00E65DC1"/>
    <w:rsid w:val="00E67573"/>
    <w:rsid w:val="00E7548D"/>
    <w:rsid w:val="00E77AC1"/>
    <w:rsid w:val="00E8174B"/>
    <w:rsid w:val="00E85E16"/>
    <w:rsid w:val="00E93C77"/>
    <w:rsid w:val="00E96AAF"/>
    <w:rsid w:val="00E97DD3"/>
    <w:rsid w:val="00EA6CB9"/>
    <w:rsid w:val="00EB0BB7"/>
    <w:rsid w:val="00EB0E2C"/>
    <w:rsid w:val="00EB29BE"/>
    <w:rsid w:val="00EC48C1"/>
    <w:rsid w:val="00EC4C86"/>
    <w:rsid w:val="00EC6086"/>
    <w:rsid w:val="00ED0D28"/>
    <w:rsid w:val="00ED1133"/>
    <w:rsid w:val="00ED33AB"/>
    <w:rsid w:val="00ED52DC"/>
    <w:rsid w:val="00EE4CE5"/>
    <w:rsid w:val="00EF0548"/>
    <w:rsid w:val="00EF19F0"/>
    <w:rsid w:val="00EF271A"/>
    <w:rsid w:val="00EF6A0C"/>
    <w:rsid w:val="00EF72E7"/>
    <w:rsid w:val="00EF785E"/>
    <w:rsid w:val="00F000E1"/>
    <w:rsid w:val="00F049BA"/>
    <w:rsid w:val="00F07050"/>
    <w:rsid w:val="00F0707C"/>
    <w:rsid w:val="00F10CB5"/>
    <w:rsid w:val="00F12C9A"/>
    <w:rsid w:val="00F15544"/>
    <w:rsid w:val="00F16A8B"/>
    <w:rsid w:val="00F22307"/>
    <w:rsid w:val="00F23772"/>
    <w:rsid w:val="00F25081"/>
    <w:rsid w:val="00F373A4"/>
    <w:rsid w:val="00F440AE"/>
    <w:rsid w:val="00F462C0"/>
    <w:rsid w:val="00F462DA"/>
    <w:rsid w:val="00F4751F"/>
    <w:rsid w:val="00F51A1C"/>
    <w:rsid w:val="00F5208F"/>
    <w:rsid w:val="00F534CE"/>
    <w:rsid w:val="00F6009C"/>
    <w:rsid w:val="00F64A24"/>
    <w:rsid w:val="00F84124"/>
    <w:rsid w:val="00F86429"/>
    <w:rsid w:val="00F86E5B"/>
    <w:rsid w:val="00F92811"/>
    <w:rsid w:val="00F92CDD"/>
    <w:rsid w:val="00F9681B"/>
    <w:rsid w:val="00F97B23"/>
    <w:rsid w:val="00F97EC7"/>
    <w:rsid w:val="00FA24AA"/>
    <w:rsid w:val="00FA3496"/>
    <w:rsid w:val="00FB37DA"/>
    <w:rsid w:val="00FB44CD"/>
    <w:rsid w:val="00FB4C8A"/>
    <w:rsid w:val="00FB5D78"/>
    <w:rsid w:val="00FC7625"/>
    <w:rsid w:val="00FD1F5F"/>
    <w:rsid w:val="00FE3CDC"/>
    <w:rsid w:val="00FE5BFC"/>
    <w:rsid w:val="00FF4CA3"/>
    <w:rsid w:val="00FF5341"/>
    <w:rsid w:val="00FF7526"/>
    <w:rsid w:val="6E546FF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06448A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0CAD"/>
    <w:pPr>
      <w:spacing w:after="0" w:line="240" w:lineRule="auto"/>
    </w:pPr>
    <w:rPr>
      <w:rFonts w:ascii="Times New Roman" w:eastAsia="Times New Roman" w:hAnsi="Times New Roman" w:cs="Times New Roman"/>
      <w:sz w:val="24"/>
      <w:szCs w:val="24"/>
      <w:lang w:val="en-PH"/>
    </w:rPr>
  </w:style>
  <w:style w:type="paragraph" w:styleId="Heading1">
    <w:name w:val="heading 1"/>
    <w:basedOn w:val="Normal"/>
    <w:next w:val="Normal"/>
    <w:link w:val="Heading1Char"/>
    <w:uiPriority w:val="9"/>
    <w:qFormat/>
    <w:rsid w:val="008D0CAD"/>
    <w:pPr>
      <w:keepNext/>
      <w:keepLines/>
      <w:spacing w:after="24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8D0CAD"/>
    <w:pPr>
      <w:keepNext/>
      <w:keepLines/>
      <w:numPr>
        <w:ilvl w:val="1"/>
        <w:numId w:val="10"/>
      </w:numPr>
      <w:spacing w:before="240" w:after="240"/>
      <w:outlineLvl w:val="1"/>
    </w:pPr>
    <w:rPr>
      <w:rFonts w:asciiTheme="majorHAnsi" w:eastAsiaTheme="majorEastAsia" w:hAnsiTheme="majorHAnsi" w:cstheme="majorBidi"/>
      <w:b/>
      <w:color w:val="000000" w:themeColor="text1"/>
      <w:sz w:val="28"/>
      <w:szCs w:val="28"/>
      <w:lang w:val="en-US"/>
    </w:rPr>
  </w:style>
  <w:style w:type="paragraph" w:styleId="Heading3">
    <w:name w:val="heading 3"/>
    <w:basedOn w:val="Normal"/>
    <w:next w:val="Normal"/>
    <w:link w:val="Heading3Char"/>
    <w:uiPriority w:val="9"/>
    <w:unhideWhenUsed/>
    <w:qFormat/>
    <w:rsid w:val="00AF0D18"/>
    <w:pPr>
      <w:keepNext/>
      <w:keepLines/>
      <w:spacing w:before="240" w:after="240"/>
      <w:outlineLvl w:val="2"/>
    </w:pPr>
    <w:rPr>
      <w:rFonts w:asciiTheme="majorHAnsi" w:eastAsiaTheme="majorEastAsia" w:hAnsiTheme="majorHAnsi" w:cstheme="majorBidi"/>
      <w:b/>
      <w:color w:val="0070C0"/>
      <w:sz w:val="28"/>
      <w:szCs w:val="28"/>
    </w:rPr>
  </w:style>
  <w:style w:type="paragraph" w:styleId="Heading4">
    <w:name w:val="heading 4"/>
    <w:basedOn w:val="Normal"/>
    <w:next w:val="Normal"/>
    <w:link w:val="Heading4Char"/>
    <w:uiPriority w:val="9"/>
    <w:unhideWhenUsed/>
    <w:qFormat/>
    <w:rsid w:val="00DE7318"/>
    <w:pPr>
      <w:keepNext/>
      <w:keepLines/>
      <w:spacing w:before="120" w:after="12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8D0CAD"/>
    <w:pPr>
      <w:keepNext/>
      <w:keepLines/>
      <w:numPr>
        <w:ilvl w:val="4"/>
        <w:numId w:val="17"/>
      </w:numPr>
      <w:spacing w:before="40" w:after="120"/>
      <w:outlineLvl w:val="4"/>
    </w:pPr>
    <w:rPr>
      <w:rFonts w:asciiTheme="majorHAnsi" w:eastAsia="Garamond" w:hAnsiTheme="majorHAnsi" w:cstheme="majorHAnsi"/>
      <w:b/>
      <w:color w:val="595959" w:themeColor="text1" w:themeTint="A6"/>
      <w:lang w:val="en-US"/>
    </w:rPr>
  </w:style>
  <w:style w:type="paragraph" w:styleId="Heading6">
    <w:name w:val="heading 6"/>
    <w:basedOn w:val="Normal"/>
    <w:next w:val="Normal"/>
    <w:link w:val="Heading6Char"/>
    <w:uiPriority w:val="9"/>
    <w:unhideWhenUsed/>
    <w:qFormat/>
    <w:rsid w:val="008C061C"/>
    <w:pPr>
      <w:keepNext/>
      <w:keepLines/>
      <w:spacing w:before="40" w:after="120"/>
      <w:ind w:left="1134"/>
      <w:outlineLvl w:val="5"/>
    </w:pPr>
    <w:rPr>
      <w:rFonts w:asciiTheme="majorHAnsi" w:eastAsiaTheme="majorEastAsia" w:hAnsiTheme="majorHAnsi" w:cstheme="majorBidi"/>
      <w:i/>
      <w:color w:val="4472C4" w:themeColor="accent1"/>
    </w:rPr>
  </w:style>
  <w:style w:type="paragraph" w:styleId="Heading7">
    <w:name w:val="heading 7"/>
    <w:basedOn w:val="Normal"/>
    <w:next w:val="Normal"/>
    <w:link w:val="Heading7Char"/>
    <w:uiPriority w:val="9"/>
    <w:unhideWhenUsed/>
    <w:qFormat/>
    <w:rsid w:val="00660BB4"/>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0CAD"/>
    <w:rPr>
      <w:rFonts w:asciiTheme="majorHAnsi" w:eastAsiaTheme="majorEastAsia" w:hAnsiTheme="majorHAnsi" w:cstheme="majorBidi"/>
      <w:b/>
      <w:color w:val="2F5496" w:themeColor="accent1" w:themeShade="BF"/>
      <w:sz w:val="32"/>
      <w:szCs w:val="32"/>
      <w:lang w:val="en-PH"/>
    </w:rPr>
  </w:style>
  <w:style w:type="character" w:customStyle="1" w:styleId="Heading2Char">
    <w:name w:val="Heading 2 Char"/>
    <w:basedOn w:val="DefaultParagraphFont"/>
    <w:link w:val="Heading2"/>
    <w:uiPriority w:val="9"/>
    <w:rsid w:val="008D0CAD"/>
    <w:rPr>
      <w:rFonts w:asciiTheme="majorHAnsi" w:eastAsiaTheme="majorEastAsia" w:hAnsiTheme="majorHAnsi" w:cstheme="majorBidi"/>
      <w:b/>
      <w:color w:val="000000" w:themeColor="text1"/>
      <w:sz w:val="28"/>
      <w:szCs w:val="28"/>
      <w:lang w:val="en-US"/>
    </w:rPr>
  </w:style>
  <w:style w:type="character" w:customStyle="1" w:styleId="Heading3Char">
    <w:name w:val="Heading 3 Char"/>
    <w:basedOn w:val="DefaultParagraphFont"/>
    <w:link w:val="Heading3"/>
    <w:uiPriority w:val="9"/>
    <w:rsid w:val="008D0CAD"/>
    <w:rPr>
      <w:rFonts w:asciiTheme="majorHAnsi" w:eastAsiaTheme="majorEastAsia" w:hAnsiTheme="majorHAnsi" w:cstheme="majorBidi"/>
      <w:b/>
      <w:color w:val="0070C0"/>
      <w:sz w:val="28"/>
      <w:szCs w:val="28"/>
      <w:lang w:val="en-PH"/>
    </w:rPr>
  </w:style>
  <w:style w:type="character" w:customStyle="1" w:styleId="Heading4Char">
    <w:name w:val="Heading 4 Char"/>
    <w:basedOn w:val="DefaultParagraphFont"/>
    <w:link w:val="Heading4"/>
    <w:uiPriority w:val="9"/>
    <w:rsid w:val="00DE7318"/>
    <w:rPr>
      <w:rFonts w:asciiTheme="majorHAnsi" w:eastAsiaTheme="majorEastAsia" w:hAnsiTheme="majorHAnsi" w:cstheme="majorBidi"/>
      <w:i/>
      <w:iCs/>
      <w:color w:val="2F5496" w:themeColor="accent1" w:themeShade="BF"/>
      <w:sz w:val="24"/>
      <w:szCs w:val="24"/>
      <w:lang w:val="en-PH"/>
    </w:rPr>
  </w:style>
  <w:style w:type="character" w:customStyle="1" w:styleId="Heading5Char">
    <w:name w:val="Heading 5 Char"/>
    <w:basedOn w:val="DefaultParagraphFont"/>
    <w:link w:val="Heading5"/>
    <w:uiPriority w:val="9"/>
    <w:rsid w:val="008D0CAD"/>
    <w:rPr>
      <w:rFonts w:asciiTheme="majorHAnsi" w:eastAsia="Garamond" w:hAnsiTheme="majorHAnsi" w:cstheme="majorHAnsi"/>
      <w:b/>
      <w:color w:val="595959" w:themeColor="text1" w:themeTint="A6"/>
      <w:sz w:val="24"/>
      <w:szCs w:val="24"/>
      <w:lang w:val="en-US"/>
    </w:rPr>
  </w:style>
  <w:style w:type="character" w:customStyle="1" w:styleId="Heading6Char">
    <w:name w:val="Heading 6 Char"/>
    <w:basedOn w:val="DefaultParagraphFont"/>
    <w:link w:val="Heading6"/>
    <w:uiPriority w:val="9"/>
    <w:rsid w:val="008C061C"/>
    <w:rPr>
      <w:rFonts w:asciiTheme="majorHAnsi" w:eastAsiaTheme="majorEastAsia" w:hAnsiTheme="majorHAnsi" w:cstheme="majorBidi"/>
      <w:i/>
      <w:color w:val="4472C4" w:themeColor="accent1"/>
      <w:sz w:val="24"/>
      <w:szCs w:val="24"/>
      <w:lang w:val="en-PH"/>
    </w:rPr>
  </w:style>
  <w:style w:type="paragraph" w:styleId="ListParagraph">
    <w:name w:val="List Paragraph"/>
    <w:aliases w:val="List Paragraph1,Recommendation,List Paragraph11,Bullets,List Paragraph2,L,CV text,Table text,F5 List Paragraph,Dot pt,List Paragraph111,Medium Grid 1 - Accent 21,Numbered Paragraph,Bullet text,Bulleted Para,NFP GP Bulleted List,FooterText"/>
    <w:basedOn w:val="Normal"/>
    <w:link w:val="ListParagraphChar"/>
    <w:uiPriority w:val="34"/>
    <w:qFormat/>
    <w:rsid w:val="008D0CAD"/>
    <w:pPr>
      <w:ind w:left="720"/>
      <w:contextualSpacing/>
    </w:pPr>
  </w:style>
  <w:style w:type="character" w:customStyle="1" w:styleId="ListParagraphChar">
    <w:name w:val="List Paragraph Char"/>
    <w:aliases w:val="List Paragraph1 Char,Recommendation Char,List Paragraph11 Char,Bullets Char,List Paragraph2 Char,L Char,CV text Char,Table text Char,F5 List Paragraph Char,Dot pt Char,List Paragraph111 Char,Medium Grid 1 - Accent 21 Char"/>
    <w:basedOn w:val="DefaultParagraphFont"/>
    <w:link w:val="ListParagraph"/>
    <w:uiPriority w:val="34"/>
    <w:qFormat/>
    <w:locked/>
    <w:rsid w:val="008D0CAD"/>
    <w:rPr>
      <w:rFonts w:ascii="Times New Roman" w:eastAsia="Times New Roman" w:hAnsi="Times New Roman" w:cs="Times New Roman"/>
      <w:sz w:val="24"/>
      <w:szCs w:val="24"/>
      <w:lang w:val="en-PH"/>
    </w:rPr>
  </w:style>
  <w:style w:type="paragraph" w:styleId="NormalWeb">
    <w:name w:val="Normal (Web)"/>
    <w:basedOn w:val="Normal"/>
    <w:uiPriority w:val="99"/>
    <w:unhideWhenUsed/>
    <w:rsid w:val="008D0CAD"/>
    <w:pPr>
      <w:spacing w:before="100" w:beforeAutospacing="1" w:after="100" w:afterAutospacing="1"/>
    </w:pPr>
  </w:style>
  <w:style w:type="character" w:styleId="Strong">
    <w:name w:val="Strong"/>
    <w:basedOn w:val="DefaultParagraphFont"/>
    <w:uiPriority w:val="22"/>
    <w:qFormat/>
    <w:rsid w:val="008D0CAD"/>
    <w:rPr>
      <w:b/>
      <w:bCs/>
    </w:rPr>
  </w:style>
  <w:style w:type="table" w:styleId="TableGrid">
    <w:name w:val="Table Grid"/>
    <w:basedOn w:val="TableNormal"/>
    <w:uiPriority w:val="59"/>
    <w:rsid w:val="008D0CAD"/>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D0CAD"/>
    <w:rPr>
      <w:color w:val="0563C1" w:themeColor="hyperlink"/>
      <w:u w:val="single"/>
    </w:rPr>
  </w:style>
  <w:style w:type="character" w:customStyle="1" w:styleId="UnresolvedMention1">
    <w:name w:val="Unresolved Mention1"/>
    <w:basedOn w:val="DefaultParagraphFont"/>
    <w:uiPriority w:val="99"/>
    <w:unhideWhenUsed/>
    <w:rsid w:val="008D0CAD"/>
    <w:rPr>
      <w:color w:val="605E5C"/>
      <w:shd w:val="clear" w:color="auto" w:fill="E1DFDD"/>
    </w:rPr>
  </w:style>
  <w:style w:type="character" w:customStyle="1" w:styleId="apple-converted-space">
    <w:name w:val="apple-converted-space"/>
    <w:basedOn w:val="DefaultParagraphFont"/>
    <w:rsid w:val="008D0CAD"/>
  </w:style>
  <w:style w:type="paragraph" w:styleId="EndnoteText">
    <w:name w:val="endnote text"/>
    <w:basedOn w:val="Normal"/>
    <w:link w:val="EndnoteTextChar"/>
    <w:uiPriority w:val="99"/>
    <w:unhideWhenUsed/>
    <w:rsid w:val="008D0CAD"/>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rsid w:val="008D0CAD"/>
    <w:rPr>
      <w:sz w:val="20"/>
      <w:szCs w:val="20"/>
      <w:lang w:val="en-PH"/>
    </w:rPr>
  </w:style>
  <w:style w:type="character" w:styleId="EndnoteReference">
    <w:name w:val="endnote reference"/>
    <w:basedOn w:val="DefaultParagraphFont"/>
    <w:uiPriority w:val="99"/>
    <w:unhideWhenUsed/>
    <w:rsid w:val="008D0CAD"/>
    <w:rPr>
      <w:vertAlign w:val="superscript"/>
    </w:rPr>
  </w:style>
  <w:style w:type="paragraph" w:styleId="BodyText">
    <w:name w:val="Body Text"/>
    <w:link w:val="BodyTextChar"/>
    <w:unhideWhenUsed/>
    <w:qFormat/>
    <w:rsid w:val="008D0CAD"/>
    <w:pPr>
      <w:spacing w:after="120" w:line="276" w:lineRule="auto"/>
    </w:pPr>
    <w:rPr>
      <w:rFonts w:ascii="Arial" w:eastAsia="Arial Unicode MS" w:hAnsi="Arial" w:cs="Arial Unicode MS"/>
      <w:sz w:val="20"/>
      <w:szCs w:val="20"/>
      <w:u w:color="000000"/>
      <w:lang w:val="en-US"/>
    </w:rPr>
  </w:style>
  <w:style w:type="character" w:customStyle="1" w:styleId="BodyTextChar">
    <w:name w:val="Body Text Char"/>
    <w:basedOn w:val="DefaultParagraphFont"/>
    <w:link w:val="BodyText"/>
    <w:rsid w:val="008D0CAD"/>
    <w:rPr>
      <w:rFonts w:ascii="Arial" w:eastAsia="Arial Unicode MS" w:hAnsi="Arial" w:cs="Arial Unicode MS"/>
      <w:sz w:val="20"/>
      <w:szCs w:val="20"/>
      <w:u w:color="000000"/>
      <w:lang w:val="en-US"/>
    </w:rPr>
  </w:style>
  <w:style w:type="paragraph" w:styleId="FootnoteText">
    <w:name w:val="footnote text"/>
    <w:aliases w:val="single space,fn,FOOTNOTES,footnote text"/>
    <w:basedOn w:val="Normal"/>
    <w:link w:val="FootnoteTextChar"/>
    <w:uiPriority w:val="99"/>
    <w:unhideWhenUsed/>
    <w:rsid w:val="008D0CAD"/>
    <w:rPr>
      <w:sz w:val="20"/>
      <w:szCs w:val="20"/>
    </w:rPr>
  </w:style>
  <w:style w:type="character" w:customStyle="1" w:styleId="FootnoteTextChar">
    <w:name w:val="Footnote Text Char"/>
    <w:aliases w:val="single space Char,fn Char,FOOTNOTES Char,footnote text Char"/>
    <w:basedOn w:val="DefaultParagraphFont"/>
    <w:link w:val="FootnoteText"/>
    <w:uiPriority w:val="99"/>
    <w:rsid w:val="008D0CAD"/>
    <w:rPr>
      <w:rFonts w:ascii="Times New Roman" w:eastAsia="Times New Roman" w:hAnsi="Times New Roman" w:cs="Times New Roman"/>
      <w:sz w:val="20"/>
      <w:szCs w:val="20"/>
      <w:lang w:val="en-PH"/>
    </w:rPr>
  </w:style>
  <w:style w:type="character" w:styleId="FootnoteReference">
    <w:name w:val="footnote reference"/>
    <w:aliases w:val="ftref,footnote ref"/>
    <w:basedOn w:val="DefaultParagraphFont"/>
    <w:uiPriority w:val="99"/>
    <w:unhideWhenUsed/>
    <w:rsid w:val="008D0CAD"/>
    <w:rPr>
      <w:vertAlign w:val="superscript"/>
    </w:rPr>
  </w:style>
  <w:style w:type="paragraph" w:styleId="TOC1">
    <w:name w:val="toc 1"/>
    <w:basedOn w:val="Normal"/>
    <w:next w:val="Normal"/>
    <w:autoRedefine/>
    <w:uiPriority w:val="39"/>
    <w:unhideWhenUsed/>
    <w:rsid w:val="008D0CAD"/>
    <w:pPr>
      <w:tabs>
        <w:tab w:val="left" w:pos="480"/>
        <w:tab w:val="right" w:leader="dot" w:pos="9010"/>
      </w:tabs>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8D0CAD"/>
    <w:pPr>
      <w:ind w:left="240"/>
    </w:pPr>
    <w:rPr>
      <w:rFonts w:asciiTheme="minorHAnsi" w:hAnsiTheme="minorHAnsi" w:cstheme="minorHAnsi"/>
      <w:smallCaps/>
      <w:sz w:val="20"/>
      <w:szCs w:val="20"/>
    </w:rPr>
  </w:style>
  <w:style w:type="paragraph" w:styleId="TOC3">
    <w:name w:val="toc 3"/>
    <w:basedOn w:val="Normal"/>
    <w:next w:val="Normal"/>
    <w:autoRedefine/>
    <w:uiPriority w:val="39"/>
    <w:unhideWhenUsed/>
    <w:rsid w:val="000628B4"/>
    <w:pPr>
      <w:tabs>
        <w:tab w:val="right" w:leader="dot" w:pos="9010"/>
      </w:tabs>
      <w:ind w:left="480"/>
    </w:pPr>
    <w:rPr>
      <w:rFonts w:asciiTheme="minorHAnsi" w:hAnsiTheme="minorHAnsi" w:cstheme="minorHAnsi"/>
      <w:i/>
      <w:iCs/>
      <w:sz w:val="20"/>
      <w:szCs w:val="20"/>
    </w:rPr>
  </w:style>
  <w:style w:type="paragraph" w:styleId="TOC4">
    <w:name w:val="toc 4"/>
    <w:basedOn w:val="Normal"/>
    <w:next w:val="Normal"/>
    <w:autoRedefine/>
    <w:uiPriority w:val="39"/>
    <w:unhideWhenUsed/>
    <w:rsid w:val="008D0CAD"/>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8D0CAD"/>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8D0CAD"/>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8D0CAD"/>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8D0CAD"/>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8D0CAD"/>
    <w:pPr>
      <w:ind w:left="1920"/>
    </w:pPr>
    <w:rPr>
      <w:rFonts w:asciiTheme="minorHAnsi" w:hAnsiTheme="minorHAnsi" w:cstheme="minorHAnsi"/>
      <w:sz w:val="18"/>
      <w:szCs w:val="18"/>
    </w:rPr>
  </w:style>
  <w:style w:type="paragraph" w:customStyle="1" w:styleId="Default">
    <w:name w:val="Default"/>
    <w:uiPriority w:val="99"/>
    <w:rsid w:val="008D0CAD"/>
    <w:pPr>
      <w:autoSpaceDE w:val="0"/>
      <w:autoSpaceDN w:val="0"/>
      <w:adjustRightInd w:val="0"/>
      <w:spacing w:after="0" w:line="240" w:lineRule="auto"/>
    </w:pPr>
    <w:rPr>
      <w:rFonts w:ascii="Calibri" w:hAnsi="Calibri" w:cs="Calibri"/>
      <w:color w:val="000000"/>
      <w:sz w:val="24"/>
      <w:szCs w:val="24"/>
      <w:lang w:val="en-US"/>
    </w:rPr>
  </w:style>
  <w:style w:type="paragraph" w:styleId="BodyText2">
    <w:name w:val="Body Text 2"/>
    <w:basedOn w:val="Normal"/>
    <w:link w:val="BodyText2Char"/>
    <w:uiPriority w:val="99"/>
    <w:unhideWhenUsed/>
    <w:rsid w:val="008D0CAD"/>
    <w:pPr>
      <w:spacing w:after="120" w:line="480" w:lineRule="auto"/>
    </w:pPr>
  </w:style>
  <w:style w:type="character" w:customStyle="1" w:styleId="BodyText2Char">
    <w:name w:val="Body Text 2 Char"/>
    <w:basedOn w:val="DefaultParagraphFont"/>
    <w:link w:val="BodyText2"/>
    <w:uiPriority w:val="99"/>
    <w:rsid w:val="008D0CAD"/>
    <w:rPr>
      <w:rFonts w:ascii="Times New Roman" w:eastAsia="Times New Roman" w:hAnsi="Times New Roman" w:cs="Times New Roman"/>
      <w:sz w:val="24"/>
      <w:szCs w:val="24"/>
      <w:lang w:val="en-PH"/>
    </w:rPr>
  </w:style>
  <w:style w:type="paragraph" w:customStyle="1" w:styleId="para">
    <w:name w:val="para"/>
    <w:basedOn w:val="Normal"/>
    <w:rsid w:val="008D0CAD"/>
    <w:pPr>
      <w:spacing w:before="100" w:beforeAutospacing="1" w:after="100" w:afterAutospacing="1"/>
    </w:pPr>
    <w:rPr>
      <w:rFonts w:eastAsia="MS Mincho"/>
      <w:lang w:eastAsia="ja-JP"/>
    </w:rPr>
  </w:style>
  <w:style w:type="paragraph" w:styleId="Caption">
    <w:name w:val="caption"/>
    <w:basedOn w:val="Normal"/>
    <w:next w:val="Normal"/>
    <w:uiPriority w:val="35"/>
    <w:unhideWhenUsed/>
    <w:qFormat/>
    <w:rsid w:val="008D0CAD"/>
    <w:pPr>
      <w:spacing w:after="200"/>
    </w:pPr>
    <w:rPr>
      <w:i/>
      <w:iCs/>
      <w:color w:val="44546A" w:themeColor="text2"/>
      <w:sz w:val="18"/>
      <w:szCs w:val="18"/>
    </w:rPr>
  </w:style>
  <w:style w:type="paragraph" w:customStyle="1" w:styleId="ColorfulList-Accent12">
    <w:name w:val="Colorful List - Accent 12"/>
    <w:basedOn w:val="Normal"/>
    <w:link w:val="ColorfulList-Accent1Char2"/>
    <w:uiPriority w:val="99"/>
    <w:rsid w:val="008D0CAD"/>
    <w:pPr>
      <w:spacing w:after="200" w:line="276" w:lineRule="auto"/>
      <w:ind w:left="720"/>
      <w:contextualSpacing/>
    </w:pPr>
    <w:rPr>
      <w:rFonts w:ascii="Calibri" w:hAnsi="Calibri"/>
      <w:sz w:val="22"/>
      <w:szCs w:val="20"/>
      <w:lang w:val="en-AU" w:eastAsia="en-AU"/>
    </w:rPr>
  </w:style>
  <w:style w:type="character" w:customStyle="1" w:styleId="ColorfulList-Accent1Char2">
    <w:name w:val="Colorful List - Accent 1 Char2"/>
    <w:link w:val="ColorfulList-Accent12"/>
    <w:uiPriority w:val="99"/>
    <w:locked/>
    <w:rsid w:val="008D0CAD"/>
    <w:rPr>
      <w:rFonts w:ascii="Calibri" w:eastAsia="Times New Roman" w:hAnsi="Calibri" w:cs="Times New Roman"/>
      <w:szCs w:val="20"/>
      <w:lang w:eastAsia="en-AU"/>
    </w:rPr>
  </w:style>
  <w:style w:type="paragraph" w:styleId="Header">
    <w:name w:val="header"/>
    <w:basedOn w:val="Normal"/>
    <w:link w:val="HeaderChar"/>
    <w:uiPriority w:val="99"/>
    <w:unhideWhenUsed/>
    <w:rsid w:val="008D0CAD"/>
    <w:pPr>
      <w:tabs>
        <w:tab w:val="center" w:pos="4680"/>
        <w:tab w:val="right" w:pos="9360"/>
      </w:tabs>
    </w:pPr>
  </w:style>
  <w:style w:type="character" w:customStyle="1" w:styleId="HeaderChar">
    <w:name w:val="Header Char"/>
    <w:basedOn w:val="DefaultParagraphFont"/>
    <w:link w:val="Header"/>
    <w:uiPriority w:val="99"/>
    <w:rsid w:val="008D0CAD"/>
    <w:rPr>
      <w:rFonts w:ascii="Times New Roman" w:eastAsia="Times New Roman" w:hAnsi="Times New Roman" w:cs="Times New Roman"/>
      <w:sz w:val="24"/>
      <w:szCs w:val="24"/>
      <w:lang w:val="en-PH"/>
    </w:rPr>
  </w:style>
  <w:style w:type="paragraph" w:styleId="Footer">
    <w:name w:val="footer"/>
    <w:basedOn w:val="Normal"/>
    <w:link w:val="FooterChar"/>
    <w:uiPriority w:val="99"/>
    <w:unhideWhenUsed/>
    <w:rsid w:val="008D0CAD"/>
    <w:pPr>
      <w:tabs>
        <w:tab w:val="center" w:pos="4680"/>
        <w:tab w:val="right" w:pos="9360"/>
      </w:tabs>
    </w:pPr>
  </w:style>
  <w:style w:type="character" w:customStyle="1" w:styleId="FooterChar">
    <w:name w:val="Footer Char"/>
    <w:basedOn w:val="DefaultParagraphFont"/>
    <w:link w:val="Footer"/>
    <w:uiPriority w:val="99"/>
    <w:rsid w:val="008D0CAD"/>
    <w:rPr>
      <w:rFonts w:ascii="Times New Roman" w:eastAsia="Times New Roman" w:hAnsi="Times New Roman" w:cs="Times New Roman"/>
      <w:sz w:val="24"/>
      <w:szCs w:val="24"/>
      <w:lang w:val="en-PH"/>
    </w:rPr>
  </w:style>
  <w:style w:type="paragraph" w:styleId="CommentText">
    <w:name w:val="annotation text"/>
    <w:basedOn w:val="Normal"/>
    <w:link w:val="CommentTextChar"/>
    <w:uiPriority w:val="99"/>
    <w:unhideWhenUsed/>
    <w:rsid w:val="008D0CAD"/>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8D0CAD"/>
    <w:rPr>
      <w:sz w:val="20"/>
      <w:szCs w:val="20"/>
      <w:lang w:val="en-PH"/>
    </w:rPr>
  </w:style>
  <w:style w:type="paragraph" w:customStyle="1" w:styleId="p2">
    <w:name w:val="p2"/>
    <w:basedOn w:val="Normal"/>
    <w:rsid w:val="008D0CAD"/>
    <w:pPr>
      <w:ind w:firstLine="270"/>
      <w:jc w:val="both"/>
    </w:pPr>
    <w:rPr>
      <w:rFonts w:ascii="Gabriel Sans Cond Normal" w:eastAsiaTheme="minorHAnsi" w:hAnsi="Gabriel Sans Cond Normal"/>
      <w:sz w:val="17"/>
      <w:szCs w:val="17"/>
    </w:rPr>
  </w:style>
  <w:style w:type="character" w:styleId="PageNumber">
    <w:name w:val="page number"/>
    <w:basedOn w:val="DefaultParagraphFont"/>
    <w:uiPriority w:val="99"/>
    <w:semiHidden/>
    <w:unhideWhenUsed/>
    <w:rsid w:val="008D0CAD"/>
  </w:style>
  <w:style w:type="paragraph" w:styleId="TableofFigures">
    <w:name w:val="table of figures"/>
    <w:basedOn w:val="Normal"/>
    <w:next w:val="Normal"/>
    <w:uiPriority w:val="99"/>
    <w:unhideWhenUsed/>
    <w:rsid w:val="008D0CAD"/>
    <w:rPr>
      <w:rFonts w:asciiTheme="minorHAnsi" w:hAnsiTheme="minorHAnsi" w:cstheme="minorHAnsi"/>
      <w:i/>
      <w:iCs/>
      <w:sz w:val="20"/>
      <w:szCs w:val="20"/>
    </w:rPr>
  </w:style>
  <w:style w:type="character" w:styleId="CommentReference">
    <w:name w:val="annotation reference"/>
    <w:basedOn w:val="DefaultParagraphFont"/>
    <w:uiPriority w:val="99"/>
    <w:semiHidden/>
    <w:unhideWhenUsed/>
    <w:rsid w:val="008D0CAD"/>
    <w:rPr>
      <w:sz w:val="16"/>
      <w:szCs w:val="16"/>
    </w:rPr>
  </w:style>
  <w:style w:type="paragraph" w:styleId="BalloonText">
    <w:name w:val="Balloon Text"/>
    <w:basedOn w:val="Normal"/>
    <w:link w:val="BalloonTextChar"/>
    <w:uiPriority w:val="99"/>
    <w:semiHidden/>
    <w:unhideWhenUsed/>
    <w:rsid w:val="008D0CAD"/>
    <w:rPr>
      <w:sz w:val="18"/>
      <w:szCs w:val="18"/>
    </w:rPr>
  </w:style>
  <w:style w:type="character" w:customStyle="1" w:styleId="BalloonTextChar">
    <w:name w:val="Balloon Text Char"/>
    <w:basedOn w:val="DefaultParagraphFont"/>
    <w:link w:val="BalloonText"/>
    <w:uiPriority w:val="99"/>
    <w:semiHidden/>
    <w:rsid w:val="008D0CAD"/>
    <w:rPr>
      <w:rFonts w:ascii="Times New Roman" w:eastAsia="Times New Roman" w:hAnsi="Times New Roman" w:cs="Times New Roman"/>
      <w:sz w:val="18"/>
      <w:szCs w:val="18"/>
      <w:lang w:val="en-PH"/>
    </w:rPr>
  </w:style>
  <w:style w:type="paragraph" w:styleId="CommentSubject">
    <w:name w:val="annotation subject"/>
    <w:basedOn w:val="CommentText"/>
    <w:next w:val="CommentText"/>
    <w:link w:val="CommentSubjectChar"/>
    <w:uiPriority w:val="99"/>
    <w:semiHidden/>
    <w:unhideWhenUsed/>
    <w:rsid w:val="008D0CAD"/>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8D0CAD"/>
    <w:rPr>
      <w:rFonts w:ascii="Times New Roman" w:eastAsia="Times New Roman" w:hAnsi="Times New Roman" w:cs="Times New Roman"/>
      <w:b/>
      <w:bCs/>
      <w:sz w:val="20"/>
      <w:szCs w:val="20"/>
      <w:lang w:val="en-PH"/>
    </w:rPr>
  </w:style>
  <w:style w:type="paragraph" w:styleId="Revision">
    <w:name w:val="Revision"/>
    <w:hidden/>
    <w:uiPriority w:val="99"/>
    <w:semiHidden/>
    <w:rsid w:val="008D0CAD"/>
    <w:pPr>
      <w:spacing w:after="0" w:line="240" w:lineRule="auto"/>
    </w:pPr>
    <w:rPr>
      <w:rFonts w:ascii="Times New Roman" w:eastAsia="Times New Roman" w:hAnsi="Times New Roman" w:cs="Times New Roman"/>
      <w:sz w:val="24"/>
      <w:szCs w:val="24"/>
      <w:lang w:val="en-US"/>
    </w:rPr>
  </w:style>
  <w:style w:type="paragraph" w:styleId="ListBullet">
    <w:name w:val="List Bullet"/>
    <w:link w:val="ListBulletChar"/>
    <w:qFormat/>
    <w:rsid w:val="008D0CAD"/>
    <w:pPr>
      <w:numPr>
        <w:numId w:val="4"/>
      </w:numPr>
      <w:pBdr>
        <w:top w:val="nil"/>
        <w:left w:val="nil"/>
        <w:bottom w:val="nil"/>
        <w:right w:val="nil"/>
        <w:between w:val="nil"/>
        <w:bar w:val="nil"/>
      </w:pBdr>
      <w:spacing w:after="240" w:line="264" w:lineRule="auto"/>
      <w:contextualSpacing/>
    </w:pPr>
    <w:rPr>
      <w:rFonts w:eastAsia="Arial Unicode MS" w:cs="Arial Unicode MS"/>
      <w:color w:val="000000"/>
      <w:sz w:val="20"/>
      <w:szCs w:val="20"/>
      <w:u w:color="000000"/>
      <w:bdr w:val="nil"/>
      <w:lang w:val="en-US"/>
    </w:rPr>
  </w:style>
  <w:style w:type="character" w:customStyle="1" w:styleId="ListBulletChar">
    <w:name w:val="List Bullet Char"/>
    <w:basedOn w:val="DefaultParagraphFont"/>
    <w:link w:val="ListBullet"/>
    <w:rsid w:val="008D0CAD"/>
    <w:rPr>
      <w:rFonts w:eastAsia="Arial Unicode MS" w:cs="Arial Unicode MS"/>
      <w:color w:val="000000"/>
      <w:sz w:val="20"/>
      <w:szCs w:val="20"/>
      <w:u w:color="000000"/>
      <w:bdr w:val="nil"/>
      <w:lang w:val="en-US"/>
    </w:rPr>
  </w:style>
  <w:style w:type="numbering" w:customStyle="1" w:styleId="List34">
    <w:name w:val="List 34"/>
    <w:basedOn w:val="NoList"/>
    <w:rsid w:val="008D0CAD"/>
    <w:pPr>
      <w:numPr>
        <w:numId w:val="5"/>
      </w:numPr>
    </w:pPr>
  </w:style>
  <w:style w:type="paragraph" w:styleId="NoSpacing">
    <w:name w:val="No Spacing"/>
    <w:uiPriority w:val="1"/>
    <w:qFormat/>
    <w:rsid w:val="008D0CAD"/>
    <w:pPr>
      <w:spacing w:after="0" w:line="240" w:lineRule="auto"/>
    </w:pPr>
    <w:rPr>
      <w:rFonts w:eastAsiaTheme="minorEastAsia"/>
      <w:szCs w:val="20"/>
      <w:lang w:val="en-US" w:eastAsia="zh-CN" w:bidi="hi-IN"/>
    </w:rPr>
  </w:style>
  <w:style w:type="character" w:styleId="Emphasis">
    <w:name w:val="Emphasis"/>
    <w:basedOn w:val="DefaultParagraphFont"/>
    <w:uiPriority w:val="20"/>
    <w:qFormat/>
    <w:rsid w:val="008D0CAD"/>
    <w:rPr>
      <w:i/>
      <w:iCs/>
    </w:rPr>
  </w:style>
  <w:style w:type="table" w:styleId="GridTable4-Accent1">
    <w:name w:val="Grid Table 4 Accent 1"/>
    <w:basedOn w:val="TableNormal"/>
    <w:uiPriority w:val="49"/>
    <w:rsid w:val="008D0CAD"/>
    <w:pPr>
      <w:spacing w:after="0" w:line="240" w:lineRule="auto"/>
    </w:pPr>
    <w:rPr>
      <w:sz w:val="24"/>
      <w:szCs w:val="24"/>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8D0CAD"/>
    <w:pPr>
      <w:spacing w:after="0" w:line="240" w:lineRule="auto"/>
    </w:pPr>
    <w:rPr>
      <w:sz w:val="24"/>
      <w:szCs w:val="24"/>
      <w:lang w:val="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a">
    <w:name w:val="_"/>
    <w:basedOn w:val="DefaultParagraphFont"/>
    <w:rsid w:val="008D0CAD"/>
  </w:style>
  <w:style w:type="paragraph" w:customStyle="1" w:styleId="nova-e-listitem">
    <w:name w:val="nova-e-list__item"/>
    <w:basedOn w:val="Normal"/>
    <w:rsid w:val="008D0CAD"/>
    <w:pPr>
      <w:spacing w:before="100" w:beforeAutospacing="1" w:after="100" w:afterAutospacing="1"/>
    </w:pPr>
  </w:style>
  <w:style w:type="character" w:customStyle="1" w:styleId="ff3">
    <w:name w:val="ff3"/>
    <w:basedOn w:val="DefaultParagraphFont"/>
    <w:rsid w:val="008D0CAD"/>
  </w:style>
  <w:style w:type="character" w:customStyle="1" w:styleId="ff4">
    <w:name w:val="ff4"/>
    <w:basedOn w:val="DefaultParagraphFont"/>
    <w:rsid w:val="008D0CAD"/>
  </w:style>
  <w:style w:type="character" w:customStyle="1" w:styleId="ws9">
    <w:name w:val="ws9"/>
    <w:basedOn w:val="DefaultParagraphFont"/>
    <w:rsid w:val="008D0CAD"/>
  </w:style>
  <w:style w:type="character" w:customStyle="1" w:styleId="italic">
    <w:name w:val="italic"/>
    <w:basedOn w:val="DefaultParagraphFont"/>
    <w:rsid w:val="008D0CAD"/>
  </w:style>
  <w:style w:type="paragraph" w:styleId="TOCHeading">
    <w:name w:val="TOC Heading"/>
    <w:basedOn w:val="Heading1"/>
    <w:next w:val="Normal"/>
    <w:uiPriority w:val="39"/>
    <w:unhideWhenUsed/>
    <w:qFormat/>
    <w:rsid w:val="008D0CAD"/>
    <w:pPr>
      <w:spacing w:before="480" w:after="0" w:line="276" w:lineRule="auto"/>
      <w:outlineLvl w:val="9"/>
    </w:pPr>
    <w:rPr>
      <w:bCs/>
      <w:sz w:val="28"/>
      <w:szCs w:val="28"/>
    </w:rPr>
  </w:style>
  <w:style w:type="table" w:styleId="GridTable5Dark-Accent5">
    <w:name w:val="Grid Table 5 Dark Accent 5"/>
    <w:basedOn w:val="TableNormal"/>
    <w:uiPriority w:val="50"/>
    <w:rsid w:val="008D0CAD"/>
    <w:pPr>
      <w:spacing w:after="0" w:line="240" w:lineRule="auto"/>
    </w:pPr>
    <w:rPr>
      <w:sz w:val="24"/>
      <w:szCs w:val="24"/>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customStyle="1" w:styleId="textexposedshow">
    <w:name w:val="text_exposed_show"/>
    <w:basedOn w:val="DefaultParagraphFont"/>
    <w:rsid w:val="008D0CAD"/>
  </w:style>
  <w:style w:type="table" w:styleId="GridTable6Colorful-Accent5">
    <w:name w:val="Grid Table 6 Colorful Accent 5"/>
    <w:basedOn w:val="TableNormal"/>
    <w:uiPriority w:val="51"/>
    <w:rsid w:val="008D0CAD"/>
    <w:pPr>
      <w:spacing w:after="0" w:line="240" w:lineRule="auto"/>
    </w:pPr>
    <w:rPr>
      <w:color w:val="2E74B5" w:themeColor="accent5" w:themeShade="BF"/>
      <w:sz w:val="24"/>
      <w:szCs w:val="24"/>
      <w:lang w:val="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4">
    <w:name w:val="Grid Table 4 Accent 4"/>
    <w:basedOn w:val="TableNormal"/>
    <w:uiPriority w:val="49"/>
    <w:rsid w:val="008D0CAD"/>
    <w:pPr>
      <w:spacing w:after="0" w:line="240" w:lineRule="auto"/>
    </w:pPr>
    <w:rPr>
      <w:sz w:val="24"/>
      <w:szCs w:val="24"/>
      <w:lang w:val="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6">
    <w:name w:val="Grid Table 4 Accent 6"/>
    <w:basedOn w:val="TableNormal"/>
    <w:uiPriority w:val="49"/>
    <w:rsid w:val="008D0CAD"/>
    <w:pPr>
      <w:spacing w:after="0" w:line="240" w:lineRule="auto"/>
    </w:pPr>
    <w:rPr>
      <w:sz w:val="24"/>
      <w:szCs w:val="24"/>
      <w:lang w:val="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numbering" w:customStyle="1" w:styleId="Style1">
    <w:name w:val="Style1"/>
    <w:uiPriority w:val="99"/>
    <w:rsid w:val="008D0CAD"/>
    <w:pPr>
      <w:numPr>
        <w:numId w:val="46"/>
      </w:numPr>
    </w:pPr>
  </w:style>
  <w:style w:type="character" w:customStyle="1" w:styleId="UnresolvedMention2">
    <w:name w:val="Unresolved Mention2"/>
    <w:basedOn w:val="DefaultParagraphFont"/>
    <w:uiPriority w:val="99"/>
    <w:semiHidden/>
    <w:unhideWhenUsed/>
    <w:rsid w:val="008D0CAD"/>
    <w:rPr>
      <w:color w:val="605E5C"/>
      <w:shd w:val="clear" w:color="auto" w:fill="E1DFDD"/>
    </w:rPr>
  </w:style>
  <w:style w:type="table" w:customStyle="1" w:styleId="GridTable5Dark-Accent52">
    <w:name w:val="Grid Table 5 Dark - Accent 52"/>
    <w:basedOn w:val="TableNormal"/>
    <w:next w:val="GridTable5Dark-Accent5"/>
    <w:uiPriority w:val="50"/>
    <w:rsid w:val="008D0CAD"/>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eGrid1">
    <w:name w:val="Table Grid1"/>
    <w:basedOn w:val="TableNormal"/>
    <w:next w:val="TableGrid"/>
    <w:uiPriority w:val="39"/>
    <w:rsid w:val="008D0CAD"/>
    <w:pPr>
      <w:spacing w:after="0" w:line="240" w:lineRule="auto"/>
    </w:pPr>
    <w:rPr>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341">
    <w:name w:val="List 341"/>
    <w:basedOn w:val="NoList"/>
    <w:rsid w:val="008D0CAD"/>
  </w:style>
  <w:style w:type="paragraph" w:customStyle="1" w:styleId="ydp727a93b4yiv3515208114gmail-msolistparagraph">
    <w:name w:val="ydp727a93b4yiv3515208114gmail-msolistparagraph"/>
    <w:basedOn w:val="Normal"/>
    <w:rsid w:val="008D0CAD"/>
    <w:pPr>
      <w:spacing w:before="100" w:beforeAutospacing="1" w:after="100" w:afterAutospacing="1"/>
    </w:pPr>
    <w:rPr>
      <w:lang w:val="en-US"/>
    </w:rPr>
  </w:style>
  <w:style w:type="table" w:styleId="GridTable1Light">
    <w:name w:val="Grid Table 1 Light"/>
    <w:basedOn w:val="TableNormal"/>
    <w:uiPriority w:val="46"/>
    <w:rsid w:val="008D0CAD"/>
    <w:pPr>
      <w:spacing w:after="0" w:line="240" w:lineRule="auto"/>
    </w:pPr>
    <w:rPr>
      <w:sz w:val="24"/>
      <w:szCs w:val="24"/>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IntenseReference">
    <w:name w:val="Intense Reference"/>
    <w:basedOn w:val="DefaultParagraphFont"/>
    <w:uiPriority w:val="32"/>
    <w:qFormat/>
    <w:rsid w:val="008D0CAD"/>
    <w:rPr>
      <w:b/>
      <w:bCs/>
      <w:smallCaps/>
      <w:color w:val="4472C4" w:themeColor="accent1"/>
      <w:spacing w:val="5"/>
    </w:rPr>
  </w:style>
  <w:style w:type="numbering" w:customStyle="1" w:styleId="Style11">
    <w:name w:val="Style11"/>
    <w:uiPriority w:val="99"/>
    <w:rsid w:val="008D0CAD"/>
    <w:pPr>
      <w:numPr>
        <w:numId w:val="53"/>
      </w:numPr>
    </w:pPr>
  </w:style>
  <w:style w:type="numbering" w:customStyle="1" w:styleId="Style2">
    <w:name w:val="Style2"/>
    <w:uiPriority w:val="99"/>
    <w:rsid w:val="008D0CAD"/>
    <w:pPr>
      <w:numPr>
        <w:numId w:val="54"/>
      </w:numPr>
    </w:pPr>
  </w:style>
  <w:style w:type="paragraph" w:styleId="Index1">
    <w:name w:val="index 1"/>
    <w:basedOn w:val="Normal"/>
    <w:next w:val="Normal"/>
    <w:autoRedefine/>
    <w:uiPriority w:val="99"/>
    <w:unhideWhenUsed/>
    <w:rsid w:val="008D0CAD"/>
    <w:pPr>
      <w:spacing w:after="200" w:line="276" w:lineRule="auto"/>
      <w:ind w:left="220" w:hanging="220"/>
    </w:pPr>
    <w:rPr>
      <w:rFonts w:asciiTheme="minorHAnsi" w:eastAsiaTheme="minorHAnsi" w:hAnsiTheme="minorHAnsi" w:cstheme="minorBidi"/>
      <w:sz w:val="22"/>
      <w:szCs w:val="22"/>
      <w:lang w:val="en-US"/>
    </w:rPr>
  </w:style>
  <w:style w:type="paragraph" w:styleId="Index2">
    <w:name w:val="index 2"/>
    <w:basedOn w:val="Normal"/>
    <w:next w:val="Normal"/>
    <w:autoRedefine/>
    <w:uiPriority w:val="99"/>
    <w:unhideWhenUsed/>
    <w:rsid w:val="008D0CAD"/>
    <w:pPr>
      <w:spacing w:after="200" w:line="276" w:lineRule="auto"/>
      <w:ind w:left="440" w:hanging="220"/>
    </w:pPr>
    <w:rPr>
      <w:rFonts w:asciiTheme="minorHAnsi" w:eastAsiaTheme="minorHAnsi" w:hAnsiTheme="minorHAnsi" w:cstheme="minorBidi"/>
      <w:sz w:val="22"/>
      <w:szCs w:val="22"/>
      <w:lang w:val="en-US"/>
    </w:rPr>
  </w:style>
  <w:style w:type="paragraph" w:styleId="Index3">
    <w:name w:val="index 3"/>
    <w:basedOn w:val="Normal"/>
    <w:next w:val="Normal"/>
    <w:autoRedefine/>
    <w:uiPriority w:val="99"/>
    <w:unhideWhenUsed/>
    <w:rsid w:val="008D0CAD"/>
    <w:pPr>
      <w:spacing w:after="200" w:line="276" w:lineRule="auto"/>
      <w:ind w:left="660" w:hanging="220"/>
    </w:pPr>
    <w:rPr>
      <w:rFonts w:asciiTheme="minorHAnsi" w:eastAsiaTheme="minorHAnsi" w:hAnsiTheme="minorHAnsi" w:cstheme="minorBidi"/>
      <w:sz w:val="22"/>
      <w:szCs w:val="22"/>
      <w:lang w:val="en-US"/>
    </w:rPr>
  </w:style>
  <w:style w:type="paragraph" w:styleId="Index4">
    <w:name w:val="index 4"/>
    <w:basedOn w:val="Normal"/>
    <w:next w:val="Normal"/>
    <w:autoRedefine/>
    <w:uiPriority w:val="99"/>
    <w:unhideWhenUsed/>
    <w:rsid w:val="008D0CAD"/>
    <w:pPr>
      <w:spacing w:after="200" w:line="276" w:lineRule="auto"/>
      <w:ind w:left="880" w:hanging="220"/>
    </w:pPr>
    <w:rPr>
      <w:rFonts w:asciiTheme="minorHAnsi" w:eastAsiaTheme="minorHAnsi" w:hAnsiTheme="minorHAnsi" w:cstheme="minorBidi"/>
      <w:sz w:val="22"/>
      <w:szCs w:val="22"/>
      <w:lang w:val="en-US"/>
    </w:rPr>
  </w:style>
  <w:style w:type="paragraph" w:styleId="Index5">
    <w:name w:val="index 5"/>
    <w:basedOn w:val="Normal"/>
    <w:next w:val="Normal"/>
    <w:autoRedefine/>
    <w:uiPriority w:val="99"/>
    <w:unhideWhenUsed/>
    <w:rsid w:val="008D0CAD"/>
    <w:pPr>
      <w:spacing w:after="200" w:line="276" w:lineRule="auto"/>
      <w:ind w:left="1100" w:hanging="220"/>
    </w:pPr>
    <w:rPr>
      <w:rFonts w:asciiTheme="minorHAnsi" w:eastAsiaTheme="minorHAnsi" w:hAnsiTheme="minorHAnsi" w:cstheme="minorBidi"/>
      <w:sz w:val="22"/>
      <w:szCs w:val="22"/>
      <w:lang w:val="en-US"/>
    </w:rPr>
  </w:style>
  <w:style w:type="paragraph" w:styleId="Index6">
    <w:name w:val="index 6"/>
    <w:basedOn w:val="Normal"/>
    <w:next w:val="Normal"/>
    <w:autoRedefine/>
    <w:uiPriority w:val="99"/>
    <w:unhideWhenUsed/>
    <w:rsid w:val="008D0CAD"/>
    <w:pPr>
      <w:spacing w:after="200" w:line="276" w:lineRule="auto"/>
      <w:ind w:left="1320" w:hanging="220"/>
    </w:pPr>
    <w:rPr>
      <w:rFonts w:asciiTheme="minorHAnsi" w:eastAsiaTheme="minorHAnsi" w:hAnsiTheme="minorHAnsi" w:cstheme="minorBidi"/>
      <w:sz w:val="22"/>
      <w:szCs w:val="22"/>
      <w:lang w:val="en-US"/>
    </w:rPr>
  </w:style>
  <w:style w:type="paragraph" w:styleId="Index7">
    <w:name w:val="index 7"/>
    <w:basedOn w:val="Normal"/>
    <w:next w:val="Normal"/>
    <w:autoRedefine/>
    <w:uiPriority w:val="99"/>
    <w:unhideWhenUsed/>
    <w:rsid w:val="008D0CAD"/>
    <w:pPr>
      <w:spacing w:after="200" w:line="276" w:lineRule="auto"/>
      <w:ind w:left="1540" w:hanging="220"/>
    </w:pPr>
    <w:rPr>
      <w:rFonts w:asciiTheme="minorHAnsi" w:eastAsiaTheme="minorHAnsi" w:hAnsiTheme="minorHAnsi" w:cstheme="minorBidi"/>
      <w:sz w:val="22"/>
      <w:szCs w:val="22"/>
      <w:lang w:val="en-US"/>
    </w:rPr>
  </w:style>
  <w:style w:type="paragraph" w:styleId="Index8">
    <w:name w:val="index 8"/>
    <w:basedOn w:val="Normal"/>
    <w:next w:val="Normal"/>
    <w:autoRedefine/>
    <w:uiPriority w:val="99"/>
    <w:unhideWhenUsed/>
    <w:rsid w:val="008D0CAD"/>
    <w:pPr>
      <w:spacing w:after="200" w:line="276" w:lineRule="auto"/>
      <w:ind w:left="1760" w:hanging="220"/>
    </w:pPr>
    <w:rPr>
      <w:rFonts w:asciiTheme="minorHAnsi" w:eastAsiaTheme="minorHAnsi" w:hAnsiTheme="minorHAnsi" w:cstheme="minorBidi"/>
      <w:sz w:val="22"/>
      <w:szCs w:val="22"/>
      <w:lang w:val="en-US"/>
    </w:rPr>
  </w:style>
  <w:style w:type="paragraph" w:styleId="Index9">
    <w:name w:val="index 9"/>
    <w:basedOn w:val="Normal"/>
    <w:next w:val="Normal"/>
    <w:autoRedefine/>
    <w:uiPriority w:val="99"/>
    <w:unhideWhenUsed/>
    <w:rsid w:val="008D0CAD"/>
    <w:pPr>
      <w:spacing w:after="200" w:line="276" w:lineRule="auto"/>
      <w:ind w:left="1980" w:hanging="220"/>
    </w:pPr>
    <w:rPr>
      <w:rFonts w:asciiTheme="minorHAnsi" w:eastAsiaTheme="minorHAnsi" w:hAnsiTheme="minorHAnsi" w:cstheme="minorBidi"/>
      <w:sz w:val="22"/>
      <w:szCs w:val="22"/>
      <w:lang w:val="en-US"/>
    </w:rPr>
  </w:style>
  <w:style w:type="paragraph" w:styleId="IndexHeading">
    <w:name w:val="index heading"/>
    <w:basedOn w:val="Normal"/>
    <w:next w:val="Index1"/>
    <w:uiPriority w:val="99"/>
    <w:unhideWhenUsed/>
    <w:rsid w:val="008D0CAD"/>
    <w:pPr>
      <w:spacing w:after="200" w:line="276" w:lineRule="auto"/>
    </w:pPr>
    <w:rPr>
      <w:rFonts w:asciiTheme="minorHAnsi" w:eastAsiaTheme="minorHAnsi" w:hAnsiTheme="minorHAnsi" w:cstheme="minorBidi"/>
      <w:sz w:val="22"/>
      <w:szCs w:val="22"/>
      <w:lang w:val="en-US"/>
    </w:rPr>
  </w:style>
  <w:style w:type="character" w:styleId="FollowedHyperlink">
    <w:name w:val="FollowedHyperlink"/>
    <w:basedOn w:val="DefaultParagraphFont"/>
    <w:uiPriority w:val="99"/>
    <w:semiHidden/>
    <w:unhideWhenUsed/>
    <w:rsid w:val="008D0CAD"/>
    <w:rPr>
      <w:color w:val="954F72"/>
      <w:u w:val="single"/>
    </w:rPr>
  </w:style>
  <w:style w:type="paragraph" w:customStyle="1" w:styleId="msonormal0">
    <w:name w:val="msonormal"/>
    <w:basedOn w:val="Normal"/>
    <w:rsid w:val="008D0CAD"/>
    <w:pPr>
      <w:spacing w:before="100" w:beforeAutospacing="1" w:after="100" w:afterAutospacing="1"/>
    </w:pPr>
    <w:rPr>
      <w:lang w:val="en-US"/>
    </w:rPr>
  </w:style>
  <w:style w:type="paragraph" w:customStyle="1" w:styleId="font5">
    <w:name w:val="font5"/>
    <w:basedOn w:val="Normal"/>
    <w:rsid w:val="008D0CAD"/>
    <w:pPr>
      <w:spacing w:before="100" w:beforeAutospacing="1" w:after="100" w:afterAutospacing="1"/>
    </w:pPr>
    <w:rPr>
      <w:rFonts w:ascii="Calibri Light" w:hAnsi="Calibri Light" w:cs="Calibri Light"/>
      <w:color w:val="000000"/>
      <w:sz w:val="20"/>
      <w:szCs w:val="20"/>
      <w:lang w:val="en-US"/>
    </w:rPr>
  </w:style>
  <w:style w:type="paragraph" w:customStyle="1" w:styleId="font6">
    <w:name w:val="font6"/>
    <w:basedOn w:val="Normal"/>
    <w:rsid w:val="008D0CAD"/>
    <w:pPr>
      <w:spacing w:before="100" w:beforeAutospacing="1" w:after="100" w:afterAutospacing="1"/>
    </w:pPr>
    <w:rPr>
      <w:rFonts w:ascii="Calibri Light" w:hAnsi="Calibri Light" w:cs="Calibri Light"/>
      <w:i/>
      <w:iCs/>
      <w:color w:val="000000"/>
      <w:sz w:val="20"/>
      <w:szCs w:val="20"/>
      <w:lang w:val="en-US"/>
    </w:rPr>
  </w:style>
  <w:style w:type="paragraph" w:customStyle="1" w:styleId="xl66">
    <w:name w:val="xl66"/>
    <w:basedOn w:val="Normal"/>
    <w:rsid w:val="008D0CAD"/>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Calibri Light" w:hAnsi="Calibri Light" w:cs="Calibri Light"/>
      <w:b/>
      <w:bCs/>
      <w:color w:val="000000"/>
      <w:sz w:val="20"/>
      <w:szCs w:val="20"/>
      <w:lang w:val="en-US"/>
    </w:rPr>
  </w:style>
  <w:style w:type="paragraph" w:customStyle="1" w:styleId="xl67">
    <w:name w:val="xl67"/>
    <w:basedOn w:val="Normal"/>
    <w:rsid w:val="008D0C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rPr>
  </w:style>
  <w:style w:type="paragraph" w:customStyle="1" w:styleId="xl68">
    <w:name w:val="xl68"/>
    <w:basedOn w:val="Normal"/>
    <w:rsid w:val="008D0C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rPr>
  </w:style>
  <w:style w:type="paragraph" w:customStyle="1" w:styleId="xl69">
    <w:name w:val="xl69"/>
    <w:basedOn w:val="Normal"/>
    <w:rsid w:val="008D0C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rPr>
  </w:style>
  <w:style w:type="paragraph" w:customStyle="1" w:styleId="xl70">
    <w:name w:val="xl70"/>
    <w:basedOn w:val="Normal"/>
    <w:rsid w:val="008D0C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lang w:val="en-US"/>
    </w:rPr>
  </w:style>
  <w:style w:type="paragraph" w:customStyle="1" w:styleId="xl71">
    <w:name w:val="xl71"/>
    <w:basedOn w:val="Normal"/>
    <w:rsid w:val="008D0C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lang w:val="en-US"/>
    </w:rPr>
  </w:style>
  <w:style w:type="paragraph" w:customStyle="1" w:styleId="xl72">
    <w:name w:val="xl72"/>
    <w:basedOn w:val="Normal"/>
    <w:rsid w:val="008D0C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lang w:val="en-US"/>
    </w:rPr>
  </w:style>
  <w:style w:type="paragraph" w:customStyle="1" w:styleId="xl73">
    <w:name w:val="xl73"/>
    <w:basedOn w:val="Normal"/>
    <w:rsid w:val="008D0C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b/>
      <w:bCs/>
      <w:lang w:val="en-US"/>
    </w:rPr>
  </w:style>
  <w:style w:type="paragraph" w:customStyle="1" w:styleId="xl74">
    <w:name w:val="xl74"/>
    <w:basedOn w:val="Normal"/>
    <w:rsid w:val="008D0CA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top"/>
    </w:pPr>
    <w:rPr>
      <w:b/>
      <w:bCs/>
      <w:lang w:val="en-US"/>
    </w:rPr>
  </w:style>
  <w:style w:type="paragraph" w:customStyle="1" w:styleId="xl75">
    <w:name w:val="xl75"/>
    <w:basedOn w:val="Normal"/>
    <w:rsid w:val="008D0CAD"/>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top"/>
    </w:pPr>
    <w:rPr>
      <w:b/>
      <w:bCs/>
      <w:lang w:val="en-US"/>
    </w:rPr>
  </w:style>
  <w:style w:type="paragraph" w:customStyle="1" w:styleId="xl76">
    <w:name w:val="xl76"/>
    <w:basedOn w:val="Normal"/>
    <w:rsid w:val="008D0C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lang w:val="en-US"/>
    </w:rPr>
  </w:style>
  <w:style w:type="paragraph" w:customStyle="1" w:styleId="xl77">
    <w:name w:val="xl77"/>
    <w:basedOn w:val="Normal"/>
    <w:rsid w:val="008D0C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Light" w:hAnsi="Calibri Light" w:cs="Calibri Light"/>
      <w:color w:val="000000"/>
      <w:sz w:val="20"/>
      <w:szCs w:val="20"/>
      <w:lang w:val="en-US"/>
    </w:rPr>
  </w:style>
  <w:style w:type="paragraph" w:customStyle="1" w:styleId="xl78">
    <w:name w:val="xl78"/>
    <w:basedOn w:val="Normal"/>
    <w:rsid w:val="008D0C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70C0"/>
      <w:lang w:val="en-US"/>
    </w:rPr>
  </w:style>
  <w:style w:type="paragraph" w:customStyle="1" w:styleId="xl79">
    <w:name w:val="xl79"/>
    <w:basedOn w:val="Normal"/>
    <w:rsid w:val="008D0C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Light" w:hAnsi="Calibri Light" w:cs="Calibri Light"/>
      <w:sz w:val="20"/>
      <w:szCs w:val="20"/>
      <w:lang w:val="en-US"/>
    </w:rPr>
  </w:style>
  <w:style w:type="paragraph" w:customStyle="1" w:styleId="xl80">
    <w:name w:val="xl80"/>
    <w:basedOn w:val="Normal"/>
    <w:rsid w:val="008D0C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Light" w:hAnsi="Calibri Light" w:cs="Calibri Light"/>
      <w:color w:val="C00000"/>
      <w:sz w:val="20"/>
      <w:szCs w:val="20"/>
      <w:lang w:val="en-US"/>
    </w:rPr>
  </w:style>
  <w:style w:type="paragraph" w:customStyle="1" w:styleId="xl81">
    <w:name w:val="xl81"/>
    <w:basedOn w:val="Normal"/>
    <w:rsid w:val="008D0CAD"/>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top"/>
    </w:pPr>
    <w:rPr>
      <w:lang w:val="en-US"/>
    </w:rPr>
  </w:style>
  <w:style w:type="paragraph" w:customStyle="1" w:styleId="xl82">
    <w:name w:val="xl82"/>
    <w:basedOn w:val="Normal"/>
    <w:rsid w:val="008D0C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Light" w:hAnsi="Calibri Light" w:cs="Calibri Light"/>
      <w:color w:val="000000"/>
      <w:sz w:val="20"/>
      <w:szCs w:val="20"/>
      <w:lang w:val="en-US"/>
    </w:rPr>
  </w:style>
  <w:style w:type="paragraph" w:customStyle="1" w:styleId="xl83">
    <w:name w:val="xl83"/>
    <w:basedOn w:val="Normal"/>
    <w:rsid w:val="008D0C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70C0"/>
      <w:lang w:val="en-US"/>
    </w:rPr>
  </w:style>
  <w:style w:type="paragraph" w:customStyle="1" w:styleId="xl84">
    <w:name w:val="xl84"/>
    <w:basedOn w:val="Normal"/>
    <w:rsid w:val="008D0C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b/>
      <w:bCs/>
      <w:lang w:val="en-US"/>
    </w:rPr>
  </w:style>
  <w:style w:type="paragraph" w:customStyle="1" w:styleId="xl85">
    <w:name w:val="xl85"/>
    <w:basedOn w:val="Normal"/>
    <w:rsid w:val="008D0C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rPr>
  </w:style>
  <w:style w:type="paragraph" w:customStyle="1" w:styleId="xl86">
    <w:name w:val="xl86"/>
    <w:basedOn w:val="Normal"/>
    <w:rsid w:val="008D0CAD"/>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lang w:val="en-US"/>
    </w:rPr>
  </w:style>
  <w:style w:type="paragraph" w:customStyle="1" w:styleId="xl87">
    <w:name w:val="xl87"/>
    <w:basedOn w:val="Normal"/>
    <w:rsid w:val="008D0C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lang w:val="en-US"/>
    </w:rPr>
  </w:style>
  <w:style w:type="paragraph" w:customStyle="1" w:styleId="xl88">
    <w:name w:val="xl88"/>
    <w:basedOn w:val="Normal"/>
    <w:rsid w:val="008D0C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70C0"/>
      <w:lang w:val="en-US"/>
    </w:rPr>
  </w:style>
  <w:style w:type="paragraph" w:customStyle="1" w:styleId="xl89">
    <w:name w:val="xl89"/>
    <w:basedOn w:val="Normal"/>
    <w:rsid w:val="008D0C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lang w:val="en-US"/>
    </w:rPr>
  </w:style>
  <w:style w:type="table" w:customStyle="1" w:styleId="GridTable5Dark-Accent51">
    <w:name w:val="Grid Table 5 Dark - Accent 51"/>
    <w:basedOn w:val="TableNormal"/>
    <w:uiPriority w:val="50"/>
    <w:rsid w:val="008D0CAD"/>
    <w:pPr>
      <w:spacing w:after="0" w:line="240" w:lineRule="auto"/>
    </w:pPr>
    <w:rPr>
      <w:sz w:val="24"/>
      <w:szCs w:val="24"/>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1Light1">
    <w:name w:val="Grid Table 1 Light1"/>
    <w:basedOn w:val="TableNormal"/>
    <w:uiPriority w:val="46"/>
    <w:rsid w:val="008D0CAD"/>
    <w:pPr>
      <w:spacing w:after="0" w:line="240" w:lineRule="auto"/>
    </w:pPr>
    <w:rPr>
      <w:sz w:val="24"/>
      <w:szCs w:val="24"/>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4">
    <w:name w:val="A4"/>
    <w:uiPriority w:val="99"/>
    <w:rsid w:val="008D0CAD"/>
    <w:rPr>
      <w:rFonts w:cs="Georgia"/>
      <w:color w:val="000000"/>
      <w:sz w:val="18"/>
      <w:szCs w:val="18"/>
    </w:rPr>
  </w:style>
  <w:style w:type="character" w:customStyle="1" w:styleId="journaltitle">
    <w:name w:val="journaltitle"/>
    <w:basedOn w:val="DefaultParagraphFont"/>
    <w:rsid w:val="008D0CAD"/>
  </w:style>
  <w:style w:type="paragraph" w:customStyle="1" w:styleId="icon--meta-keyline">
    <w:name w:val="icon--meta-keyline"/>
    <w:basedOn w:val="Normal"/>
    <w:rsid w:val="008D0CAD"/>
    <w:pPr>
      <w:spacing w:before="100" w:beforeAutospacing="1" w:after="100" w:afterAutospacing="1"/>
    </w:pPr>
    <w:rPr>
      <w:lang w:val="en-US"/>
    </w:rPr>
  </w:style>
  <w:style w:type="character" w:customStyle="1" w:styleId="articlecitationyear">
    <w:name w:val="articlecitation_year"/>
    <w:basedOn w:val="DefaultParagraphFont"/>
    <w:rsid w:val="008D0CAD"/>
  </w:style>
  <w:style w:type="character" w:customStyle="1" w:styleId="articlecitationvolume">
    <w:name w:val="articlecitation_volume"/>
    <w:basedOn w:val="DefaultParagraphFont"/>
    <w:rsid w:val="008D0CAD"/>
  </w:style>
  <w:style w:type="character" w:customStyle="1" w:styleId="articlecitationpages">
    <w:name w:val="articlecitation_pages"/>
    <w:basedOn w:val="DefaultParagraphFont"/>
    <w:rsid w:val="008D0CAD"/>
  </w:style>
  <w:style w:type="character" w:customStyle="1" w:styleId="u-inline-block">
    <w:name w:val="u-inline-block"/>
    <w:basedOn w:val="DefaultParagraphFont"/>
    <w:rsid w:val="008D0CAD"/>
  </w:style>
  <w:style w:type="paragraph" w:customStyle="1" w:styleId="u-mb-2">
    <w:name w:val="u-mb-2"/>
    <w:basedOn w:val="Normal"/>
    <w:rsid w:val="008D0CAD"/>
    <w:pPr>
      <w:spacing w:before="100" w:beforeAutospacing="1" w:after="100" w:afterAutospacing="1"/>
    </w:pPr>
    <w:rPr>
      <w:lang w:val="en-US"/>
    </w:rPr>
  </w:style>
  <w:style w:type="character" w:customStyle="1" w:styleId="authorsname">
    <w:name w:val="authors__name"/>
    <w:basedOn w:val="DefaultParagraphFont"/>
    <w:rsid w:val="008D0CAD"/>
  </w:style>
  <w:style w:type="character" w:customStyle="1" w:styleId="authorscontact">
    <w:name w:val="authors__contact"/>
    <w:basedOn w:val="DefaultParagraphFont"/>
    <w:rsid w:val="008D0CAD"/>
  </w:style>
  <w:style w:type="paragraph" w:customStyle="1" w:styleId="right-aligned-picture">
    <w:name w:val="right-aligned-picture"/>
    <w:basedOn w:val="Normal"/>
    <w:rsid w:val="008D0CAD"/>
    <w:pPr>
      <w:spacing w:before="100" w:beforeAutospacing="1" w:after="100" w:afterAutospacing="1"/>
    </w:pPr>
    <w:rPr>
      <w:lang w:val="en-US"/>
    </w:rPr>
  </w:style>
  <w:style w:type="paragraph" w:customStyle="1" w:styleId="p1">
    <w:name w:val="p1"/>
    <w:basedOn w:val="Normal"/>
    <w:rsid w:val="008D0CAD"/>
    <w:pPr>
      <w:spacing w:before="100" w:beforeAutospacing="1" w:after="100" w:afterAutospacing="1"/>
    </w:pPr>
    <w:rPr>
      <w:lang w:val="en-US"/>
    </w:rPr>
  </w:style>
  <w:style w:type="paragraph" w:customStyle="1" w:styleId="p3">
    <w:name w:val="p3"/>
    <w:basedOn w:val="Normal"/>
    <w:rsid w:val="008D0CAD"/>
    <w:pPr>
      <w:spacing w:before="100" w:beforeAutospacing="1" w:after="100" w:afterAutospacing="1"/>
    </w:pPr>
    <w:rPr>
      <w:lang w:val="en-US"/>
    </w:rPr>
  </w:style>
  <w:style w:type="paragraph" w:customStyle="1" w:styleId="obgpara">
    <w:name w:val="obg_para"/>
    <w:basedOn w:val="Normal"/>
    <w:rsid w:val="008D0CAD"/>
    <w:pPr>
      <w:spacing w:before="100" w:beforeAutospacing="1" w:after="100" w:afterAutospacing="1"/>
    </w:pPr>
    <w:rPr>
      <w:lang w:eastAsia="en-PH"/>
    </w:rPr>
  </w:style>
  <w:style w:type="character" w:customStyle="1" w:styleId="obgcapsstart">
    <w:name w:val="obg_caps_start"/>
    <w:basedOn w:val="DefaultParagraphFont"/>
    <w:rsid w:val="008D0CAD"/>
  </w:style>
  <w:style w:type="paragraph" w:customStyle="1" w:styleId="Style-3">
    <w:name w:val="Style-3"/>
    <w:rsid w:val="008D0CAD"/>
    <w:pPr>
      <w:spacing w:after="0" w:line="240" w:lineRule="auto"/>
    </w:pPr>
    <w:rPr>
      <w:rFonts w:ascii="Times New Roman" w:eastAsia="Times New Roman" w:hAnsi="Times New Roman" w:cs="Times New Roman"/>
      <w:sz w:val="20"/>
      <w:szCs w:val="20"/>
      <w:lang w:val="en-US"/>
    </w:rPr>
  </w:style>
  <w:style w:type="character" w:customStyle="1" w:styleId="cat-links">
    <w:name w:val="cat-links"/>
    <w:basedOn w:val="DefaultParagraphFont"/>
    <w:rsid w:val="008D0CAD"/>
  </w:style>
  <w:style w:type="character" w:customStyle="1" w:styleId="entry-date">
    <w:name w:val="entry-date"/>
    <w:basedOn w:val="DefaultParagraphFont"/>
    <w:rsid w:val="008D0CAD"/>
  </w:style>
  <w:style w:type="character" w:customStyle="1" w:styleId="author">
    <w:name w:val="author"/>
    <w:basedOn w:val="DefaultParagraphFont"/>
    <w:rsid w:val="008D0CAD"/>
  </w:style>
  <w:style w:type="paragraph" w:styleId="BodyTextIndent">
    <w:name w:val="Body Text Indent"/>
    <w:basedOn w:val="Normal"/>
    <w:link w:val="BodyTextIndentChar"/>
    <w:uiPriority w:val="99"/>
    <w:semiHidden/>
    <w:unhideWhenUsed/>
    <w:rsid w:val="008D0CAD"/>
    <w:pPr>
      <w:spacing w:after="120"/>
      <w:ind w:left="360"/>
    </w:pPr>
    <w:rPr>
      <w:lang w:val="en-US"/>
    </w:rPr>
  </w:style>
  <w:style w:type="character" w:customStyle="1" w:styleId="BodyTextIndentChar">
    <w:name w:val="Body Text Indent Char"/>
    <w:basedOn w:val="DefaultParagraphFont"/>
    <w:link w:val="BodyTextIndent"/>
    <w:uiPriority w:val="99"/>
    <w:semiHidden/>
    <w:rsid w:val="008D0CAD"/>
    <w:rPr>
      <w:rFonts w:ascii="Times New Roman" w:eastAsia="Times New Roman" w:hAnsi="Times New Roman" w:cs="Times New Roman"/>
      <w:sz w:val="24"/>
      <w:szCs w:val="24"/>
      <w:lang w:val="en-US"/>
    </w:rPr>
  </w:style>
  <w:style w:type="paragraph" w:styleId="BodyTextIndent3">
    <w:name w:val="Body Text Indent 3"/>
    <w:basedOn w:val="Normal"/>
    <w:link w:val="BodyTextIndent3Char"/>
    <w:uiPriority w:val="99"/>
    <w:semiHidden/>
    <w:unhideWhenUsed/>
    <w:rsid w:val="008D0CAD"/>
    <w:pPr>
      <w:spacing w:after="120"/>
      <w:ind w:left="360"/>
    </w:pPr>
    <w:rPr>
      <w:sz w:val="16"/>
      <w:szCs w:val="16"/>
      <w:lang w:val="en-US"/>
    </w:rPr>
  </w:style>
  <w:style w:type="character" w:customStyle="1" w:styleId="BodyTextIndent3Char">
    <w:name w:val="Body Text Indent 3 Char"/>
    <w:basedOn w:val="DefaultParagraphFont"/>
    <w:link w:val="BodyTextIndent3"/>
    <w:uiPriority w:val="99"/>
    <w:semiHidden/>
    <w:rsid w:val="008D0CAD"/>
    <w:rPr>
      <w:rFonts w:ascii="Times New Roman" w:eastAsia="Times New Roman" w:hAnsi="Times New Roman" w:cs="Times New Roman"/>
      <w:sz w:val="16"/>
      <w:szCs w:val="16"/>
      <w:lang w:val="en-US"/>
    </w:rPr>
  </w:style>
  <w:style w:type="paragraph" w:styleId="BodyTextIndent2">
    <w:name w:val="Body Text Indent 2"/>
    <w:basedOn w:val="Normal"/>
    <w:link w:val="BodyTextIndent2Char"/>
    <w:uiPriority w:val="99"/>
    <w:semiHidden/>
    <w:unhideWhenUsed/>
    <w:rsid w:val="008D0CAD"/>
    <w:pPr>
      <w:spacing w:after="120" w:line="480" w:lineRule="auto"/>
      <w:ind w:left="360"/>
    </w:pPr>
    <w:rPr>
      <w:lang w:val="en-US"/>
    </w:rPr>
  </w:style>
  <w:style w:type="character" w:customStyle="1" w:styleId="BodyTextIndent2Char">
    <w:name w:val="Body Text Indent 2 Char"/>
    <w:basedOn w:val="DefaultParagraphFont"/>
    <w:link w:val="BodyTextIndent2"/>
    <w:uiPriority w:val="99"/>
    <w:semiHidden/>
    <w:rsid w:val="008D0CAD"/>
    <w:rPr>
      <w:rFonts w:ascii="Times New Roman" w:eastAsia="Times New Roman" w:hAnsi="Times New Roman" w:cs="Times New Roman"/>
      <w:sz w:val="24"/>
      <w:szCs w:val="24"/>
      <w:lang w:val="en-US"/>
    </w:rPr>
  </w:style>
  <w:style w:type="paragraph" w:styleId="BodyText3">
    <w:name w:val="Body Text 3"/>
    <w:basedOn w:val="Normal"/>
    <w:link w:val="BodyText3Char"/>
    <w:uiPriority w:val="99"/>
    <w:semiHidden/>
    <w:unhideWhenUsed/>
    <w:rsid w:val="008D0CAD"/>
    <w:pPr>
      <w:spacing w:after="120"/>
    </w:pPr>
    <w:rPr>
      <w:sz w:val="16"/>
      <w:szCs w:val="16"/>
      <w:lang w:val="en-US"/>
    </w:rPr>
  </w:style>
  <w:style w:type="character" w:customStyle="1" w:styleId="BodyText3Char">
    <w:name w:val="Body Text 3 Char"/>
    <w:basedOn w:val="DefaultParagraphFont"/>
    <w:link w:val="BodyText3"/>
    <w:uiPriority w:val="99"/>
    <w:semiHidden/>
    <w:rsid w:val="008D0CAD"/>
    <w:rPr>
      <w:rFonts w:ascii="Times New Roman" w:eastAsia="Times New Roman" w:hAnsi="Times New Roman" w:cs="Times New Roman"/>
      <w:sz w:val="16"/>
      <w:szCs w:val="16"/>
      <w:lang w:val="en-US"/>
    </w:rPr>
  </w:style>
  <w:style w:type="paragraph" w:customStyle="1" w:styleId="ww-bodytext2">
    <w:name w:val="ww-bodytext2"/>
    <w:basedOn w:val="Normal"/>
    <w:rsid w:val="008D0CAD"/>
    <w:pPr>
      <w:spacing w:before="100" w:beforeAutospacing="1" w:after="100" w:afterAutospacing="1"/>
    </w:pPr>
    <w:rPr>
      <w:lang w:val="en-US"/>
    </w:rPr>
  </w:style>
  <w:style w:type="paragraph" w:customStyle="1" w:styleId="ww-bodytextindent3">
    <w:name w:val="ww-bodytextindent3"/>
    <w:basedOn w:val="Normal"/>
    <w:rsid w:val="008D0CAD"/>
    <w:pPr>
      <w:spacing w:before="100" w:beforeAutospacing="1" w:after="100" w:afterAutospacing="1"/>
    </w:pPr>
    <w:rPr>
      <w:lang w:val="en-US"/>
    </w:rPr>
  </w:style>
  <w:style w:type="character" w:customStyle="1" w:styleId="msoins0">
    <w:name w:val="msoins"/>
    <w:basedOn w:val="DefaultParagraphFont"/>
    <w:rsid w:val="008D0CAD"/>
  </w:style>
  <w:style w:type="paragraph" w:customStyle="1" w:styleId="ww-bodytextindent2">
    <w:name w:val="ww-bodytextindent2"/>
    <w:basedOn w:val="Normal"/>
    <w:rsid w:val="008D0CAD"/>
    <w:pPr>
      <w:spacing w:before="100" w:beforeAutospacing="1" w:after="100" w:afterAutospacing="1"/>
    </w:pPr>
    <w:rPr>
      <w:lang w:val="en-US"/>
    </w:rPr>
  </w:style>
  <w:style w:type="paragraph" w:customStyle="1" w:styleId="Source">
    <w:name w:val="~Source"/>
    <w:basedOn w:val="Normal"/>
    <w:next w:val="Normal"/>
    <w:autoRedefine/>
    <w:uiPriority w:val="7"/>
    <w:qFormat/>
    <w:rsid w:val="008D0CAD"/>
    <w:pPr>
      <w:tabs>
        <w:tab w:val="left" w:pos="142"/>
      </w:tabs>
      <w:ind w:left="142" w:right="-993" w:hanging="142"/>
      <w:jc w:val="both"/>
    </w:pPr>
    <w:rPr>
      <w:rFonts w:ascii="Calibri" w:eastAsia="Calibri" w:hAnsi="Calibri"/>
      <w:sz w:val="16"/>
      <w:szCs w:val="16"/>
      <w:lang w:val="en-GB"/>
    </w:rPr>
  </w:style>
  <w:style w:type="paragraph" w:styleId="Bibliography">
    <w:name w:val="Bibliography"/>
    <w:basedOn w:val="Normal"/>
    <w:next w:val="Normal"/>
    <w:uiPriority w:val="37"/>
    <w:semiHidden/>
    <w:unhideWhenUsed/>
    <w:rsid w:val="008D0CAD"/>
    <w:rPr>
      <w:lang w:val="en-US"/>
    </w:rPr>
  </w:style>
  <w:style w:type="table" w:customStyle="1" w:styleId="TableGrid0">
    <w:name w:val="TableGrid"/>
    <w:rsid w:val="008D0CAD"/>
    <w:pPr>
      <w:spacing w:after="0" w:line="240" w:lineRule="auto"/>
    </w:pPr>
    <w:rPr>
      <w:rFonts w:eastAsia="Times New Roman"/>
      <w:lang w:val="en-US"/>
    </w:rPr>
    <w:tblPr>
      <w:tblCellMar>
        <w:top w:w="0" w:type="dxa"/>
        <w:left w:w="0" w:type="dxa"/>
        <w:bottom w:w="0" w:type="dxa"/>
        <w:right w:w="0" w:type="dxa"/>
      </w:tblCellMar>
    </w:tblPr>
  </w:style>
  <w:style w:type="character" w:customStyle="1" w:styleId="notes">
    <w:name w:val="notes"/>
    <w:basedOn w:val="DefaultParagraphFont"/>
    <w:rsid w:val="008D0CAD"/>
  </w:style>
  <w:style w:type="table" w:styleId="GridTable5Dark-Accent2">
    <w:name w:val="Grid Table 5 Dark Accent 2"/>
    <w:basedOn w:val="TableNormal"/>
    <w:uiPriority w:val="50"/>
    <w:rsid w:val="008D0CAD"/>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4">
    <w:name w:val="Grid Table 5 Dark Accent 4"/>
    <w:basedOn w:val="TableNormal"/>
    <w:uiPriority w:val="50"/>
    <w:rsid w:val="008D0CAD"/>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4-Accent41">
    <w:name w:val="Grid Table 4 - Accent 41"/>
    <w:basedOn w:val="TableNormal"/>
    <w:next w:val="GridTable4-Accent4"/>
    <w:uiPriority w:val="49"/>
    <w:rsid w:val="008D0CAD"/>
    <w:pPr>
      <w:spacing w:after="0" w:line="240" w:lineRule="auto"/>
    </w:pPr>
    <w:rPr>
      <w:lang w:val="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5Dark-Accent3">
    <w:name w:val="Grid Table 5 Dark Accent 3"/>
    <w:basedOn w:val="TableNormal"/>
    <w:uiPriority w:val="50"/>
    <w:rsid w:val="008D0CAD"/>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leGrid2">
    <w:name w:val="Table Grid2"/>
    <w:basedOn w:val="TableNormal"/>
    <w:next w:val="TableGrid"/>
    <w:uiPriority w:val="39"/>
    <w:rsid w:val="008D0CAD"/>
    <w:pPr>
      <w:spacing w:after="0" w:line="240" w:lineRule="auto"/>
    </w:pPr>
    <w:rPr>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342">
    <w:name w:val="List 342"/>
    <w:basedOn w:val="NoList"/>
    <w:rsid w:val="008D0CAD"/>
  </w:style>
  <w:style w:type="numbering" w:customStyle="1" w:styleId="Style12">
    <w:name w:val="Style12"/>
    <w:uiPriority w:val="99"/>
    <w:rsid w:val="008D0CAD"/>
  </w:style>
  <w:style w:type="numbering" w:customStyle="1" w:styleId="Style21">
    <w:name w:val="Style21"/>
    <w:uiPriority w:val="99"/>
    <w:rsid w:val="008D0CAD"/>
  </w:style>
  <w:style w:type="table" w:customStyle="1" w:styleId="GridTable4-Accent42">
    <w:name w:val="Grid Table 4 - Accent 42"/>
    <w:basedOn w:val="TableNormal"/>
    <w:next w:val="GridTable4-Accent4"/>
    <w:uiPriority w:val="49"/>
    <w:rsid w:val="008D0CAD"/>
    <w:pPr>
      <w:spacing w:after="0" w:line="240" w:lineRule="auto"/>
    </w:pPr>
    <w:rPr>
      <w:lang w:val="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3">
    <w:name w:val="Table Grid3"/>
    <w:basedOn w:val="TableNormal"/>
    <w:next w:val="TableGrid"/>
    <w:uiPriority w:val="39"/>
    <w:rsid w:val="008D0CAD"/>
    <w:pPr>
      <w:spacing w:after="0" w:line="240" w:lineRule="auto"/>
    </w:pPr>
    <w:rPr>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D0CAD"/>
    <w:pPr>
      <w:spacing w:after="0" w:line="240" w:lineRule="auto"/>
    </w:pPr>
    <w:rPr>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D0CAD"/>
    <w:pPr>
      <w:spacing w:after="0" w:line="240" w:lineRule="auto"/>
    </w:pPr>
    <w:rPr>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8D0CAD"/>
  </w:style>
  <w:style w:type="table" w:customStyle="1" w:styleId="TableGrid6">
    <w:name w:val="Table Grid6"/>
    <w:basedOn w:val="TableNormal"/>
    <w:next w:val="TableGrid"/>
    <w:uiPriority w:val="39"/>
    <w:rsid w:val="008D0CAD"/>
    <w:pPr>
      <w:spacing w:after="0" w:line="240" w:lineRule="auto"/>
    </w:pPr>
    <w:rPr>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343">
    <w:name w:val="List 343"/>
    <w:basedOn w:val="NoList"/>
    <w:rsid w:val="008D0CAD"/>
  </w:style>
  <w:style w:type="table" w:customStyle="1" w:styleId="GridTable5Dark-Accent53">
    <w:name w:val="Grid Table 5 Dark - Accent 53"/>
    <w:basedOn w:val="TableNormal"/>
    <w:next w:val="GridTable5Dark-Accent5"/>
    <w:uiPriority w:val="50"/>
    <w:rsid w:val="008D0CAD"/>
    <w:pPr>
      <w:spacing w:after="0" w:line="240" w:lineRule="auto"/>
    </w:pPr>
    <w:rPr>
      <w:sz w:val="24"/>
      <w:szCs w:val="24"/>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1Light2">
    <w:name w:val="Grid Table 1 Light2"/>
    <w:basedOn w:val="TableNormal"/>
    <w:next w:val="GridTable1Light"/>
    <w:uiPriority w:val="46"/>
    <w:rsid w:val="008D0CAD"/>
    <w:pPr>
      <w:spacing w:after="0" w:line="240" w:lineRule="auto"/>
    </w:pPr>
    <w:rPr>
      <w:sz w:val="24"/>
      <w:szCs w:val="24"/>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Style13">
    <w:name w:val="Style13"/>
    <w:uiPriority w:val="99"/>
    <w:rsid w:val="008D0CAD"/>
  </w:style>
  <w:style w:type="numbering" w:customStyle="1" w:styleId="Style22">
    <w:name w:val="Style22"/>
    <w:uiPriority w:val="99"/>
    <w:rsid w:val="008D0CAD"/>
  </w:style>
  <w:style w:type="table" w:customStyle="1" w:styleId="GridTable5Dark-Accent511">
    <w:name w:val="Grid Table 5 Dark - Accent 511"/>
    <w:basedOn w:val="TableNormal"/>
    <w:uiPriority w:val="50"/>
    <w:rsid w:val="008D0CAD"/>
    <w:pPr>
      <w:spacing w:after="0" w:line="240" w:lineRule="auto"/>
    </w:pPr>
    <w:rPr>
      <w:sz w:val="24"/>
      <w:szCs w:val="24"/>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1Light11">
    <w:name w:val="Grid Table 1 Light11"/>
    <w:basedOn w:val="TableNormal"/>
    <w:uiPriority w:val="46"/>
    <w:rsid w:val="008D0CAD"/>
    <w:pPr>
      <w:spacing w:after="0" w:line="240" w:lineRule="auto"/>
    </w:pPr>
    <w:rPr>
      <w:sz w:val="24"/>
      <w:szCs w:val="24"/>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0">
    <w:name w:val="TableGrid1"/>
    <w:rsid w:val="008D0CAD"/>
    <w:pPr>
      <w:spacing w:after="0" w:line="240" w:lineRule="auto"/>
    </w:pPr>
    <w:rPr>
      <w:rFonts w:eastAsia="Times New Roman"/>
      <w:lang w:val="en-US"/>
    </w:rPr>
    <w:tblPr>
      <w:tblCellMar>
        <w:top w:w="0" w:type="dxa"/>
        <w:left w:w="0" w:type="dxa"/>
        <w:bottom w:w="0" w:type="dxa"/>
        <w:right w:w="0" w:type="dxa"/>
      </w:tblCellMar>
    </w:tblPr>
  </w:style>
  <w:style w:type="table" w:customStyle="1" w:styleId="GridTable5Dark-Accent521">
    <w:name w:val="Grid Table 5 Dark - Accent 521"/>
    <w:basedOn w:val="TableNormal"/>
    <w:next w:val="GridTable5Dark-Accent5"/>
    <w:uiPriority w:val="50"/>
    <w:rsid w:val="008D0CAD"/>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5Dark-Accent21">
    <w:name w:val="Grid Table 5 Dark - Accent 21"/>
    <w:basedOn w:val="TableNormal"/>
    <w:next w:val="GridTable5Dark-Accent2"/>
    <w:uiPriority w:val="50"/>
    <w:rsid w:val="008D0CAD"/>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41">
    <w:name w:val="Grid Table 5 Dark - Accent 41"/>
    <w:basedOn w:val="TableNormal"/>
    <w:next w:val="GridTable5Dark-Accent4"/>
    <w:uiPriority w:val="50"/>
    <w:rsid w:val="008D0CAD"/>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4-Accent43">
    <w:name w:val="Grid Table 4 - Accent 43"/>
    <w:basedOn w:val="TableNormal"/>
    <w:next w:val="GridTable4-Accent4"/>
    <w:uiPriority w:val="49"/>
    <w:rsid w:val="008D0CAD"/>
    <w:pPr>
      <w:spacing w:after="0" w:line="240" w:lineRule="auto"/>
    </w:pPr>
    <w:rPr>
      <w:lang w:val="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5Dark-Accent31">
    <w:name w:val="Grid Table 5 Dark - Accent 31"/>
    <w:basedOn w:val="TableNormal"/>
    <w:next w:val="GridTable5Dark-Accent3"/>
    <w:uiPriority w:val="50"/>
    <w:rsid w:val="008D0CAD"/>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leGrid7">
    <w:name w:val="Table Grid7"/>
    <w:basedOn w:val="TableNormal"/>
    <w:next w:val="TableGrid"/>
    <w:uiPriority w:val="39"/>
    <w:rsid w:val="008D0CAD"/>
    <w:pPr>
      <w:spacing w:after="0" w:line="240" w:lineRule="auto"/>
    </w:pPr>
    <w:rPr>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8D0CAD"/>
    <w:pPr>
      <w:spacing w:after="0" w:line="240" w:lineRule="auto"/>
    </w:pPr>
    <w:rPr>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8D0CAD"/>
    <w:pPr>
      <w:spacing w:after="0" w:line="240" w:lineRule="auto"/>
    </w:pPr>
    <w:rPr>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39"/>
    <w:rsid w:val="008D0CAD"/>
    <w:pPr>
      <w:spacing w:after="0" w:line="240" w:lineRule="auto"/>
    </w:pPr>
    <w:rPr>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D0CAD"/>
    <w:pPr>
      <w:spacing w:after="0" w:line="240" w:lineRule="auto"/>
    </w:pPr>
    <w:rPr>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8D0CAD"/>
    <w:pPr>
      <w:spacing w:after="0" w:line="240" w:lineRule="auto"/>
    </w:pPr>
    <w:rPr>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8D0CAD"/>
    <w:pPr>
      <w:spacing w:after="0" w:line="240" w:lineRule="auto"/>
    </w:pPr>
    <w:rPr>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8D0CAD"/>
    <w:pPr>
      <w:spacing w:after="0" w:line="240" w:lineRule="auto"/>
    </w:pPr>
    <w:rPr>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8D0CAD"/>
    <w:pPr>
      <w:spacing w:after="0" w:line="240" w:lineRule="auto"/>
    </w:pPr>
    <w:rPr>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8D0CAD"/>
  </w:style>
  <w:style w:type="table" w:customStyle="1" w:styleId="TableGrid16">
    <w:name w:val="Table Grid16"/>
    <w:basedOn w:val="TableNormal"/>
    <w:next w:val="TableGrid"/>
    <w:uiPriority w:val="39"/>
    <w:rsid w:val="008D0CAD"/>
    <w:pPr>
      <w:spacing w:after="0" w:line="240" w:lineRule="auto"/>
    </w:pPr>
    <w:rPr>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344">
    <w:name w:val="List 344"/>
    <w:basedOn w:val="NoList"/>
    <w:rsid w:val="008D0CAD"/>
  </w:style>
  <w:style w:type="table" w:customStyle="1" w:styleId="GridTable5Dark-Accent54">
    <w:name w:val="Grid Table 5 Dark - Accent 54"/>
    <w:basedOn w:val="TableNormal"/>
    <w:next w:val="GridTable5Dark-Accent5"/>
    <w:uiPriority w:val="50"/>
    <w:rsid w:val="008D0CAD"/>
    <w:pPr>
      <w:spacing w:after="0" w:line="240" w:lineRule="auto"/>
    </w:pPr>
    <w:rPr>
      <w:sz w:val="24"/>
      <w:szCs w:val="24"/>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1Light3">
    <w:name w:val="Grid Table 1 Light3"/>
    <w:basedOn w:val="TableNormal"/>
    <w:next w:val="GridTable1Light"/>
    <w:uiPriority w:val="46"/>
    <w:rsid w:val="008D0CAD"/>
    <w:pPr>
      <w:spacing w:after="0" w:line="240" w:lineRule="auto"/>
    </w:pPr>
    <w:rPr>
      <w:sz w:val="24"/>
      <w:szCs w:val="24"/>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Style14">
    <w:name w:val="Style14"/>
    <w:uiPriority w:val="99"/>
    <w:rsid w:val="008D0CAD"/>
  </w:style>
  <w:style w:type="numbering" w:customStyle="1" w:styleId="Style23">
    <w:name w:val="Style23"/>
    <w:uiPriority w:val="99"/>
    <w:rsid w:val="008D0CAD"/>
  </w:style>
  <w:style w:type="table" w:customStyle="1" w:styleId="GridTable5Dark-Accent512">
    <w:name w:val="Grid Table 5 Dark - Accent 512"/>
    <w:basedOn w:val="TableNormal"/>
    <w:uiPriority w:val="50"/>
    <w:rsid w:val="008D0CAD"/>
    <w:pPr>
      <w:spacing w:after="0" w:line="240" w:lineRule="auto"/>
    </w:pPr>
    <w:rPr>
      <w:sz w:val="24"/>
      <w:szCs w:val="24"/>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1Light12">
    <w:name w:val="Grid Table 1 Light12"/>
    <w:basedOn w:val="TableNormal"/>
    <w:uiPriority w:val="46"/>
    <w:rsid w:val="008D0CAD"/>
    <w:pPr>
      <w:spacing w:after="0" w:line="240" w:lineRule="auto"/>
    </w:pPr>
    <w:rPr>
      <w:sz w:val="24"/>
      <w:szCs w:val="24"/>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20">
    <w:name w:val="TableGrid2"/>
    <w:rsid w:val="008D0CAD"/>
    <w:pPr>
      <w:spacing w:after="0" w:line="240" w:lineRule="auto"/>
    </w:pPr>
    <w:rPr>
      <w:rFonts w:eastAsia="Times New Roman"/>
      <w:lang w:val="en-US"/>
    </w:rPr>
    <w:tblPr>
      <w:tblCellMar>
        <w:top w:w="0" w:type="dxa"/>
        <w:left w:w="0" w:type="dxa"/>
        <w:bottom w:w="0" w:type="dxa"/>
        <w:right w:w="0" w:type="dxa"/>
      </w:tblCellMar>
    </w:tblPr>
  </w:style>
  <w:style w:type="table" w:customStyle="1" w:styleId="GridTable5Dark-Accent522">
    <w:name w:val="Grid Table 5 Dark - Accent 522"/>
    <w:basedOn w:val="TableNormal"/>
    <w:next w:val="GridTable5Dark-Accent5"/>
    <w:uiPriority w:val="50"/>
    <w:rsid w:val="008D0CAD"/>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5Dark-Accent22">
    <w:name w:val="Grid Table 5 Dark - Accent 22"/>
    <w:basedOn w:val="TableNormal"/>
    <w:next w:val="GridTable5Dark-Accent2"/>
    <w:uiPriority w:val="50"/>
    <w:rsid w:val="008D0CAD"/>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42">
    <w:name w:val="Grid Table 5 Dark - Accent 42"/>
    <w:basedOn w:val="TableNormal"/>
    <w:next w:val="GridTable5Dark-Accent4"/>
    <w:uiPriority w:val="50"/>
    <w:rsid w:val="008D0CAD"/>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4-Accent44">
    <w:name w:val="Grid Table 4 - Accent 44"/>
    <w:basedOn w:val="TableNormal"/>
    <w:next w:val="GridTable4-Accent4"/>
    <w:uiPriority w:val="49"/>
    <w:rsid w:val="008D0CAD"/>
    <w:pPr>
      <w:spacing w:after="0" w:line="240" w:lineRule="auto"/>
    </w:pPr>
    <w:rPr>
      <w:lang w:val="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5Dark-Accent32">
    <w:name w:val="Grid Table 5 Dark - Accent 32"/>
    <w:basedOn w:val="TableNormal"/>
    <w:next w:val="GridTable5Dark-Accent3"/>
    <w:uiPriority w:val="50"/>
    <w:rsid w:val="008D0CAD"/>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leGrid17">
    <w:name w:val="Table Grid17"/>
    <w:basedOn w:val="TableNormal"/>
    <w:next w:val="TableGrid"/>
    <w:uiPriority w:val="39"/>
    <w:rsid w:val="008D0CAD"/>
    <w:pPr>
      <w:spacing w:after="0" w:line="240" w:lineRule="auto"/>
    </w:pPr>
    <w:rPr>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8D0CAD"/>
  </w:style>
  <w:style w:type="table" w:customStyle="1" w:styleId="TableGrid18">
    <w:name w:val="Table Grid18"/>
    <w:basedOn w:val="TableNormal"/>
    <w:next w:val="TableGrid"/>
    <w:uiPriority w:val="39"/>
    <w:rsid w:val="008D0CAD"/>
    <w:pPr>
      <w:spacing w:after="0" w:line="240" w:lineRule="auto"/>
    </w:pPr>
    <w:rPr>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345">
    <w:name w:val="List 345"/>
    <w:basedOn w:val="NoList"/>
    <w:rsid w:val="008D0CAD"/>
    <w:pPr>
      <w:numPr>
        <w:numId w:val="7"/>
      </w:numPr>
    </w:pPr>
  </w:style>
  <w:style w:type="table" w:customStyle="1" w:styleId="GridTable5Dark-Accent55">
    <w:name w:val="Grid Table 5 Dark - Accent 55"/>
    <w:basedOn w:val="TableNormal"/>
    <w:next w:val="GridTable5Dark-Accent5"/>
    <w:uiPriority w:val="50"/>
    <w:rsid w:val="008D0CAD"/>
    <w:pPr>
      <w:spacing w:after="0" w:line="240" w:lineRule="auto"/>
    </w:pPr>
    <w:rPr>
      <w:sz w:val="24"/>
      <w:szCs w:val="24"/>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1Light4">
    <w:name w:val="Grid Table 1 Light4"/>
    <w:basedOn w:val="TableNormal"/>
    <w:next w:val="GridTable1Light"/>
    <w:uiPriority w:val="46"/>
    <w:rsid w:val="008D0CAD"/>
    <w:pPr>
      <w:spacing w:after="0" w:line="240" w:lineRule="auto"/>
    </w:pPr>
    <w:rPr>
      <w:sz w:val="24"/>
      <w:szCs w:val="24"/>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Style15">
    <w:name w:val="Style15"/>
    <w:uiPriority w:val="99"/>
    <w:rsid w:val="008D0CAD"/>
    <w:pPr>
      <w:numPr>
        <w:numId w:val="8"/>
      </w:numPr>
    </w:pPr>
  </w:style>
  <w:style w:type="numbering" w:customStyle="1" w:styleId="Style24">
    <w:name w:val="Style24"/>
    <w:uiPriority w:val="99"/>
    <w:rsid w:val="008D0CAD"/>
    <w:pPr>
      <w:numPr>
        <w:numId w:val="9"/>
      </w:numPr>
    </w:pPr>
  </w:style>
  <w:style w:type="table" w:customStyle="1" w:styleId="GridTable5Dark-Accent513">
    <w:name w:val="Grid Table 5 Dark - Accent 513"/>
    <w:basedOn w:val="TableNormal"/>
    <w:uiPriority w:val="50"/>
    <w:rsid w:val="008D0CAD"/>
    <w:pPr>
      <w:spacing w:after="0" w:line="240" w:lineRule="auto"/>
    </w:pPr>
    <w:rPr>
      <w:sz w:val="24"/>
      <w:szCs w:val="24"/>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1Light13">
    <w:name w:val="Grid Table 1 Light13"/>
    <w:basedOn w:val="TableNormal"/>
    <w:uiPriority w:val="46"/>
    <w:rsid w:val="008D0CAD"/>
    <w:pPr>
      <w:spacing w:after="0" w:line="240" w:lineRule="auto"/>
    </w:pPr>
    <w:rPr>
      <w:sz w:val="24"/>
      <w:szCs w:val="24"/>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0">
    <w:name w:val="TableGrid3"/>
    <w:rsid w:val="008D0CAD"/>
    <w:pPr>
      <w:spacing w:after="0" w:line="240" w:lineRule="auto"/>
    </w:pPr>
    <w:rPr>
      <w:rFonts w:eastAsia="Times New Roman"/>
      <w:lang w:val="en-US"/>
    </w:rPr>
    <w:tblPr>
      <w:tblCellMar>
        <w:top w:w="0" w:type="dxa"/>
        <w:left w:w="0" w:type="dxa"/>
        <w:bottom w:w="0" w:type="dxa"/>
        <w:right w:w="0" w:type="dxa"/>
      </w:tblCellMar>
    </w:tblPr>
  </w:style>
  <w:style w:type="table" w:customStyle="1" w:styleId="GridTable5Dark-Accent523">
    <w:name w:val="Grid Table 5 Dark - Accent 523"/>
    <w:basedOn w:val="TableNormal"/>
    <w:next w:val="GridTable5Dark-Accent5"/>
    <w:uiPriority w:val="50"/>
    <w:rsid w:val="008D0CAD"/>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5Dark-Accent23">
    <w:name w:val="Grid Table 5 Dark - Accent 23"/>
    <w:basedOn w:val="TableNormal"/>
    <w:next w:val="GridTable5Dark-Accent2"/>
    <w:uiPriority w:val="50"/>
    <w:rsid w:val="008D0CAD"/>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43">
    <w:name w:val="Grid Table 5 Dark - Accent 43"/>
    <w:basedOn w:val="TableNormal"/>
    <w:next w:val="GridTable5Dark-Accent4"/>
    <w:uiPriority w:val="50"/>
    <w:rsid w:val="008D0CAD"/>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4-Accent45">
    <w:name w:val="Grid Table 4 - Accent 45"/>
    <w:basedOn w:val="TableNormal"/>
    <w:next w:val="GridTable4-Accent4"/>
    <w:uiPriority w:val="49"/>
    <w:rsid w:val="008D0CAD"/>
    <w:pPr>
      <w:spacing w:after="0" w:line="240" w:lineRule="auto"/>
    </w:pPr>
    <w:rPr>
      <w:lang w:val="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5Dark-Accent33">
    <w:name w:val="Grid Table 5 Dark - Accent 33"/>
    <w:basedOn w:val="TableNormal"/>
    <w:next w:val="GridTable5Dark-Accent3"/>
    <w:uiPriority w:val="50"/>
    <w:rsid w:val="008D0CAD"/>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524">
    <w:name w:val="Grid Table 5 Dark - Accent 524"/>
    <w:basedOn w:val="TableNormal"/>
    <w:next w:val="GridTable5Dark-Accent5"/>
    <w:uiPriority w:val="50"/>
    <w:rsid w:val="008D0CAD"/>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5Dark-Accent525">
    <w:name w:val="Grid Table 5 Dark - Accent 525"/>
    <w:basedOn w:val="TableNormal"/>
    <w:next w:val="GridTable5Dark-Accent5"/>
    <w:uiPriority w:val="50"/>
    <w:rsid w:val="008D0CAD"/>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ListTable3-Accent6">
    <w:name w:val="List Table 3 Accent 6"/>
    <w:basedOn w:val="TableNormal"/>
    <w:uiPriority w:val="48"/>
    <w:rsid w:val="00092FAE"/>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Accent1">
    <w:name w:val="List Table 4 Accent 1"/>
    <w:basedOn w:val="TableNormal"/>
    <w:uiPriority w:val="49"/>
    <w:rsid w:val="007A4F3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UnresolvedMention3">
    <w:name w:val="Unresolved Mention3"/>
    <w:basedOn w:val="DefaultParagraphFont"/>
    <w:uiPriority w:val="99"/>
    <w:semiHidden/>
    <w:unhideWhenUsed/>
    <w:rsid w:val="004C7843"/>
    <w:rPr>
      <w:color w:val="605E5C"/>
      <w:shd w:val="clear" w:color="auto" w:fill="E1DFDD"/>
    </w:rPr>
  </w:style>
  <w:style w:type="character" w:styleId="UnresolvedMention">
    <w:name w:val="Unresolved Mention"/>
    <w:basedOn w:val="DefaultParagraphFont"/>
    <w:uiPriority w:val="99"/>
    <w:semiHidden/>
    <w:unhideWhenUsed/>
    <w:rsid w:val="00661A15"/>
    <w:rPr>
      <w:color w:val="605E5C"/>
      <w:shd w:val="clear" w:color="auto" w:fill="E1DFDD"/>
    </w:rPr>
  </w:style>
  <w:style w:type="paragraph" w:styleId="Subtitle">
    <w:name w:val="Subtitle"/>
    <w:basedOn w:val="Normal"/>
    <w:next w:val="Normal"/>
    <w:link w:val="SubtitleChar"/>
    <w:uiPriority w:val="11"/>
    <w:qFormat/>
    <w:rsid w:val="0019799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19799C"/>
    <w:rPr>
      <w:rFonts w:eastAsiaTheme="minorEastAsia"/>
      <w:color w:val="5A5A5A" w:themeColor="text1" w:themeTint="A5"/>
      <w:spacing w:val="15"/>
      <w:lang w:val="en-PH"/>
    </w:rPr>
  </w:style>
  <w:style w:type="character" w:customStyle="1" w:styleId="Heading7Char">
    <w:name w:val="Heading 7 Char"/>
    <w:basedOn w:val="DefaultParagraphFont"/>
    <w:link w:val="Heading7"/>
    <w:uiPriority w:val="9"/>
    <w:rsid w:val="00660BB4"/>
    <w:rPr>
      <w:rFonts w:asciiTheme="majorHAnsi" w:eastAsiaTheme="majorEastAsia" w:hAnsiTheme="majorHAnsi" w:cstheme="majorBidi"/>
      <w:i/>
      <w:iCs/>
      <w:color w:val="1F3763" w:themeColor="accent1" w:themeShade="7F"/>
      <w:sz w:val="24"/>
      <w:szCs w:val="24"/>
      <w:lang w:val="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117" Type="http://schemas.openxmlformats.org/officeDocument/2006/relationships/image" Target="media/image43.png"/><Relationship Id="rId21" Type="http://schemas.openxmlformats.org/officeDocument/2006/relationships/header" Target="header9.xml"/><Relationship Id="rId42" Type="http://schemas.openxmlformats.org/officeDocument/2006/relationships/header" Target="header12.xml"/><Relationship Id="rId47" Type="http://schemas.openxmlformats.org/officeDocument/2006/relationships/header" Target="header14.xml"/><Relationship Id="rId63" Type="http://schemas.openxmlformats.org/officeDocument/2006/relationships/chart" Target="charts/chart8.xml"/><Relationship Id="rId68" Type="http://schemas.openxmlformats.org/officeDocument/2006/relationships/hyperlink" Target="https://dfat.gov.au/aid/topics/investment-priorities/education-health/Pages/education-and-health.aspx" TargetMode="External"/><Relationship Id="rId84" Type="http://schemas.openxmlformats.org/officeDocument/2006/relationships/chart" Target="charts/chart15.xml"/><Relationship Id="rId89" Type="http://schemas.openxmlformats.org/officeDocument/2006/relationships/image" Target="media/image37.png"/><Relationship Id="rId112" Type="http://schemas.openxmlformats.org/officeDocument/2006/relationships/image" Target="media/image40.png"/><Relationship Id="rId16" Type="http://schemas.openxmlformats.org/officeDocument/2006/relationships/header" Target="header5.xml"/><Relationship Id="rId107" Type="http://schemas.openxmlformats.org/officeDocument/2006/relationships/header" Target="header20.xml"/><Relationship Id="rId11" Type="http://schemas.openxmlformats.org/officeDocument/2006/relationships/footer" Target="footer1.xml"/><Relationship Id="rId32" Type="http://schemas.openxmlformats.org/officeDocument/2006/relationships/image" Target="media/image8.png"/><Relationship Id="rId37" Type="http://schemas.openxmlformats.org/officeDocument/2006/relationships/image" Target="media/image13.png"/><Relationship Id="rId53" Type="http://schemas.openxmlformats.org/officeDocument/2006/relationships/header" Target="header18.xml"/><Relationship Id="rId58" Type="http://schemas.openxmlformats.org/officeDocument/2006/relationships/image" Target="media/image20.png"/><Relationship Id="rId74" Type="http://schemas.openxmlformats.org/officeDocument/2006/relationships/image" Target="media/image29.jpeg"/><Relationship Id="rId79" Type="http://schemas.openxmlformats.org/officeDocument/2006/relationships/chart" Target="charts/chart10.xml"/><Relationship Id="rId102" Type="http://schemas.openxmlformats.org/officeDocument/2006/relationships/chart" Target="charts/chart28.xml"/><Relationship Id="rId123" Type="http://schemas.openxmlformats.org/officeDocument/2006/relationships/image" Target="media/image45.pn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chart" Target="charts/chart16.xml"/><Relationship Id="rId95" Type="http://schemas.openxmlformats.org/officeDocument/2006/relationships/chart" Target="charts/chart21.xml"/><Relationship Id="rId19" Type="http://schemas.openxmlformats.org/officeDocument/2006/relationships/header" Target="header8.xml"/><Relationship Id="rId14" Type="http://schemas.openxmlformats.org/officeDocument/2006/relationships/header" Target="header3.xml"/><Relationship Id="rId22" Type="http://schemas.openxmlformats.org/officeDocument/2006/relationships/header" Target="header10.xml"/><Relationship Id="rId27" Type="http://schemas.openxmlformats.org/officeDocument/2006/relationships/chart" Target="charts/chart4.xm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header" Target="header13.xml"/><Relationship Id="rId48" Type="http://schemas.openxmlformats.org/officeDocument/2006/relationships/header" Target="header15.xml"/><Relationship Id="rId56" Type="http://schemas.openxmlformats.org/officeDocument/2006/relationships/header" Target="header19.xml"/><Relationship Id="rId64" Type="http://schemas.openxmlformats.org/officeDocument/2006/relationships/image" Target="media/image24.png"/><Relationship Id="rId69" Type="http://schemas.openxmlformats.org/officeDocument/2006/relationships/hyperlink" Target="https://dfat.gov.au/aid/topics/investment-priorities/building-resilience/Pages/building-resilience.aspx" TargetMode="External"/><Relationship Id="rId77" Type="http://schemas.openxmlformats.org/officeDocument/2006/relationships/image" Target="media/image32.png"/><Relationship Id="rId100" Type="http://schemas.openxmlformats.org/officeDocument/2006/relationships/chart" Target="charts/chart26.xml"/><Relationship Id="rId105" Type="http://schemas.openxmlformats.org/officeDocument/2006/relationships/chart" Target="charts/chart31.xml"/><Relationship Id="rId113" Type="http://schemas.openxmlformats.org/officeDocument/2006/relationships/chart" Target="charts/chart33.xml"/><Relationship Id="rId118" Type="http://schemas.openxmlformats.org/officeDocument/2006/relationships/chart" Target="charts/chart35.xml"/><Relationship Id="rId126"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header" Target="header16.xml"/><Relationship Id="rId72" Type="http://schemas.openxmlformats.org/officeDocument/2006/relationships/image" Target="media/image27.jpeg"/><Relationship Id="rId80" Type="http://schemas.openxmlformats.org/officeDocument/2006/relationships/chart" Target="charts/chart11.xml"/><Relationship Id="rId85" Type="http://schemas.openxmlformats.org/officeDocument/2006/relationships/image" Target="media/image33.png"/><Relationship Id="rId93" Type="http://schemas.openxmlformats.org/officeDocument/2006/relationships/chart" Target="charts/chart19.xml"/><Relationship Id="rId98" Type="http://schemas.openxmlformats.org/officeDocument/2006/relationships/chart" Target="charts/chart24.xml"/><Relationship Id="rId121" Type="http://schemas.openxmlformats.org/officeDocument/2006/relationships/chart" Target="charts/chart3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chart" Target="charts/chart2.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18.png"/><Relationship Id="rId59" Type="http://schemas.openxmlformats.org/officeDocument/2006/relationships/image" Target="media/image21.emf"/><Relationship Id="rId67" Type="http://schemas.openxmlformats.org/officeDocument/2006/relationships/hyperlink" Target="https://dfat.gov.au/aid/topics/investment-priorities/agriculture-fisheries-water/Pages/agriculture-fisheries-water.aspx" TargetMode="External"/><Relationship Id="rId103" Type="http://schemas.openxmlformats.org/officeDocument/2006/relationships/chart" Target="charts/chart29.xml"/><Relationship Id="rId108" Type="http://schemas.openxmlformats.org/officeDocument/2006/relationships/footer" Target="footer7.xml"/><Relationship Id="rId116" Type="http://schemas.openxmlformats.org/officeDocument/2006/relationships/image" Target="media/image42.png"/><Relationship Id="rId124" Type="http://schemas.openxmlformats.org/officeDocument/2006/relationships/image" Target="media/image46.png"/><Relationship Id="rId129"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chart" Target="charts/chart6.xml"/><Relationship Id="rId54" Type="http://schemas.openxmlformats.org/officeDocument/2006/relationships/footer" Target="footer5.xml"/><Relationship Id="rId62" Type="http://schemas.openxmlformats.org/officeDocument/2006/relationships/chart" Target="charts/chart7.xml"/><Relationship Id="rId70" Type="http://schemas.openxmlformats.org/officeDocument/2006/relationships/hyperlink" Target="https://dfat.gov.au/aid/topics/investment-priorities/gender-equality-empowering-women-girls/Pages/gender-equality-empowering-women-girls.aspx" TargetMode="External"/><Relationship Id="rId75" Type="http://schemas.openxmlformats.org/officeDocument/2006/relationships/image" Target="media/image30.png"/><Relationship Id="rId83" Type="http://schemas.openxmlformats.org/officeDocument/2006/relationships/chart" Target="charts/chart14.xml"/><Relationship Id="rId88" Type="http://schemas.openxmlformats.org/officeDocument/2006/relationships/image" Target="media/image36.png"/><Relationship Id="rId91" Type="http://schemas.openxmlformats.org/officeDocument/2006/relationships/chart" Target="charts/chart17.xml"/><Relationship Id="rId96" Type="http://schemas.openxmlformats.org/officeDocument/2006/relationships/chart" Target="charts/chart22.xml"/><Relationship Id="rId111"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header" Target="header11.xml"/><Relationship Id="rId36" Type="http://schemas.openxmlformats.org/officeDocument/2006/relationships/image" Target="media/image12.png"/><Relationship Id="rId49" Type="http://schemas.openxmlformats.org/officeDocument/2006/relationships/footer" Target="footer3.xml"/><Relationship Id="rId57" Type="http://schemas.openxmlformats.org/officeDocument/2006/relationships/image" Target="media/image19.emf"/><Relationship Id="rId106" Type="http://schemas.openxmlformats.org/officeDocument/2006/relationships/chart" Target="charts/chart32.xml"/><Relationship Id="rId114" Type="http://schemas.openxmlformats.org/officeDocument/2006/relationships/chart" Target="charts/chart34.xml"/><Relationship Id="rId119" Type="http://schemas.openxmlformats.org/officeDocument/2006/relationships/chart" Target="charts/chart36.xml"/><Relationship Id="rId127" Type="http://schemas.openxmlformats.org/officeDocument/2006/relationships/image" Target="media/image49.png"/><Relationship Id="rId10" Type="http://schemas.openxmlformats.org/officeDocument/2006/relationships/header" Target="header1.xml"/><Relationship Id="rId31" Type="http://schemas.openxmlformats.org/officeDocument/2006/relationships/image" Target="media/image7.png"/><Relationship Id="rId44" Type="http://schemas.openxmlformats.org/officeDocument/2006/relationships/image" Target="media/image16.jpeg"/><Relationship Id="rId52" Type="http://schemas.openxmlformats.org/officeDocument/2006/relationships/header" Target="header17.xml"/><Relationship Id="rId60" Type="http://schemas.openxmlformats.org/officeDocument/2006/relationships/image" Target="media/image22.emf"/><Relationship Id="rId65" Type="http://schemas.openxmlformats.org/officeDocument/2006/relationships/image" Target="media/image25.png"/><Relationship Id="rId73" Type="http://schemas.openxmlformats.org/officeDocument/2006/relationships/image" Target="media/image28.png"/><Relationship Id="rId78" Type="http://schemas.openxmlformats.org/officeDocument/2006/relationships/chart" Target="charts/chart9.xml"/><Relationship Id="rId81" Type="http://schemas.openxmlformats.org/officeDocument/2006/relationships/chart" Target="charts/chart12.xml"/><Relationship Id="rId86" Type="http://schemas.openxmlformats.org/officeDocument/2006/relationships/image" Target="media/image34.png"/><Relationship Id="rId94" Type="http://schemas.openxmlformats.org/officeDocument/2006/relationships/chart" Target="charts/chart20.xml"/><Relationship Id="rId99" Type="http://schemas.openxmlformats.org/officeDocument/2006/relationships/chart" Target="charts/chart25.xml"/><Relationship Id="rId101" Type="http://schemas.openxmlformats.org/officeDocument/2006/relationships/chart" Target="charts/chart27.xml"/><Relationship Id="rId12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eader" Target="header7.xml"/><Relationship Id="rId39" Type="http://schemas.openxmlformats.org/officeDocument/2006/relationships/image" Target="media/image15.png"/><Relationship Id="rId109" Type="http://schemas.openxmlformats.org/officeDocument/2006/relationships/footer" Target="footer8.xml"/><Relationship Id="rId34" Type="http://schemas.openxmlformats.org/officeDocument/2006/relationships/image" Target="media/image10.png"/><Relationship Id="rId50" Type="http://schemas.openxmlformats.org/officeDocument/2006/relationships/footer" Target="footer4.xml"/><Relationship Id="rId55" Type="http://schemas.openxmlformats.org/officeDocument/2006/relationships/footer" Target="footer6.xml"/><Relationship Id="rId76" Type="http://schemas.openxmlformats.org/officeDocument/2006/relationships/image" Target="media/image31.png"/><Relationship Id="rId97" Type="http://schemas.openxmlformats.org/officeDocument/2006/relationships/chart" Target="charts/chart23.xml"/><Relationship Id="rId104" Type="http://schemas.openxmlformats.org/officeDocument/2006/relationships/chart" Target="charts/chart30.xml"/><Relationship Id="rId120" Type="http://schemas.openxmlformats.org/officeDocument/2006/relationships/chart" Target="charts/chart37.xml"/><Relationship Id="rId125" Type="http://schemas.openxmlformats.org/officeDocument/2006/relationships/image" Target="media/image47.png"/><Relationship Id="rId7" Type="http://schemas.openxmlformats.org/officeDocument/2006/relationships/endnotes" Target="endnotes.xml"/><Relationship Id="rId71" Type="http://schemas.openxmlformats.org/officeDocument/2006/relationships/image" Target="media/image26.png"/><Relationship Id="rId92" Type="http://schemas.openxmlformats.org/officeDocument/2006/relationships/chart" Target="charts/chart18.xml"/><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chart" Target="charts/chart1.xml"/><Relationship Id="rId40" Type="http://schemas.openxmlformats.org/officeDocument/2006/relationships/chart" Target="charts/chart5.xml"/><Relationship Id="rId45" Type="http://schemas.openxmlformats.org/officeDocument/2006/relationships/image" Target="media/image17.png"/><Relationship Id="rId66" Type="http://schemas.openxmlformats.org/officeDocument/2006/relationships/hyperlink" Target="https://dfat.gov.au/aid/topics/investment-priorities/infrastructure-trade-facilitation-international-competitiveness/Pages/infrastructure-trade-facilitation-international-competitiveness.aspx" TargetMode="External"/><Relationship Id="rId87" Type="http://schemas.openxmlformats.org/officeDocument/2006/relationships/image" Target="media/image35.png"/><Relationship Id="rId110" Type="http://schemas.openxmlformats.org/officeDocument/2006/relationships/footer" Target="footer9.xml"/><Relationship Id="rId115" Type="http://schemas.openxmlformats.org/officeDocument/2006/relationships/image" Target="media/image41.png"/><Relationship Id="rId61" Type="http://schemas.openxmlformats.org/officeDocument/2006/relationships/image" Target="media/image23.png"/><Relationship Id="rId82" Type="http://schemas.openxmlformats.org/officeDocument/2006/relationships/chart" Target="charts/chart13.xml"/></Relationships>
</file>

<file path=word/_rels/footnotes.xml.rels><?xml version="1.0" encoding="UTF-8" standalone="yes"?>
<Relationships xmlns="http://schemas.openxmlformats.org/package/2006/relationships"><Relationship Id="rId2" Type="http://schemas.openxmlformats.org/officeDocument/2006/relationships/hyperlink" Target="http://nap.psa.gov.ph/glossary/educ.asp" TargetMode="External"/><Relationship Id="rId1" Type="http://schemas.openxmlformats.org/officeDocument/2006/relationships/hyperlink" Target="https://www.DepEd.gov.ph/2018/10/03/rpms-ppst-helping-teachers-improve-delivery-of-quality-basic-education/" TargetMode="External"/></Relationships>
</file>

<file path=word/_rels/header20.xml.rels><?xml version="1.0" encoding="UTF-8" standalone="yes"?>
<Relationships xmlns="http://schemas.openxmlformats.org/package/2006/relationships"><Relationship Id="rId1" Type="http://schemas.openxmlformats.org/officeDocument/2006/relationships/image" Target="media/image38.png"/></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Users\oclomboy\Desktop\COT%20Analysis%20.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Users\oclomboy\Desktop\Priority%201%20COT%20.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Users\oclomboy\Desktop\Priority%201%20COT%20.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Users\oclomboy\Desktop\Priority%201%20COT%20.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Users\oclomboy\Desktop\Priority%201%20COT%20.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Users\oclomboy\Desktop\Priority%201%20COT%20.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C:\Users\dramos\Documents\EOPE\Submitted\Data\OneDrive_2019-06-30\Deped%20-%20UIS%20FILES%20for%20ACR\SchoolLeaver_Secondary.xls"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Users\jiefuragganan\Library\Containers\com.microsoft.Excel\Data\Desktop\ROYCE\June%2025\Number%20of%20Schools.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Users\jiefuragganan\Library\Containers\com.microsoft.Excel\Data\Desktop\ROYCE\June%2025\Number%20of%20Schools.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Users\jiefuragganan\Desktop\ROYCE\June%2025\Number%20of%20Schools.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Users\bitchik24\Desktop\MBT%20CONSOLIDATED%20PHIL-IRI.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Users\jiefuragganan\Library\Containers\com.microsoft.Excel\Data\Desktop\ROYCE\June%2025\Angela%20Teachers.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Users\jiefuragganan\Library\Containers\com.microsoft.Excel\Data\Desktop\ROYCE\June%2025\Angela%20Teachers.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Users\jiefuragganan\Library\Containers\com.microsoft.Excel\Data\Desktop\ROYCE\June%2025\Angela%20Teachers.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Users\jiefuragganan\Library\Containers\com.microsoft.Excel\Data\Desktop\ROYCE\June%2025\Angela%20Teachers.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Users\jiefuragganan\Library\Containers\com.microsoft.Excel\Data\Desktop\EBEIS%20Files\June%2025\Enrolment.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Users\jiefuragganan\Library\Containers\com.microsoft.Excel\Data\Desktop\EBEIS%20Files\June%2025\Enrolment.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file:///\\Users\jiefuragganan\Library\Containers\com.microsoft.Excel\Data\Desktop\EBEIS%20Files\June%2025\Enrolment.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file:///\\Users\jiefuragganan\Library\Containers\com.microsoft.Excel\Data\Desktop\EBEIS%20Files\June%2025\Enrolment.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file:///\\Users\jiefuragganan\Library\Containers\com.microsoft.Excel\Data\Desktop\July%20KIIs\Second%20batch\2011-2018%20Elem%20Enrollment.xlsx"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file:///\\Users\jiefuragganan\Desktop\EBEIS%20Files\June%2025\GrossNetEnrolment_Elementary.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Users\bitchik24\Desktop\MBT%20CONSOLIDATED%20PHIL-IRI.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file:///\\Users\jiefuragganan\Desktop\EBEIS%20Files\June%2025\GrossNetEnrolment_Elementary.xlsx" TargetMode="Externa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file:///\\Users\jiefuragganan\Desktop\EBEIS%20Files\June%2025\GrossNetEnrolment_Elementary.xlsx" TargetMode="Externa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file:///\\Users\jiefuragganan\Desktop\EBEIS%20Files\Second%20batch\ES%20Performance%20Indicators.xlsx" TargetMode="Externa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file:///C:\Users\dramos\Documents\EOPE\Submitted\Data\OneDrive_2019-06-30\Deped%20-%20UIS%20FILES%20for%20ACR\CohortSurvival_Elementary.xls" TargetMode="Externa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file:///C:\Users\dramos\Documents\EOPE\Submitted\Data\OneDrive_2019-06-30\Deped%20-%20UIS%20FILES%20for%20ACR\CohortSurvival_Secondary.xls" TargetMode="Externa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oleObject" Target="file:///C:\Users\dramos\Documents\EOPE\Submitted\Data\OneDrive_2019-06-30\Deped%20-%20UIS%20FILES%20for%20ACR\Retention_Elementary.xls" TargetMode="Externa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oleObject" Target="file:///C:\Users\dramos\Documents\EOPE\Submitted\Data\OneDrive_2019-06-30\Deped%20-%20UIS%20FILES%20for%20ACR\Retention_Secondary.xls" TargetMode="Externa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oleObject" Target="file:///\\Users\jiefuragganan\Desktop\EBEIS%20Files\Second%20batch\ES%20Performance%20Indicators.xlsx" TargetMode="Externa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oleObject" Target="file:///C:\Users\dramos\Documents\EOPE\Submitted\Data\OneDrive_2019-06-30\Deped%20-%20UIS%20FILES%20for%20ACR\SchoolLeaver_Secondary.xls"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Users\bitchik24\Desktop\MBT%20CONSOLIDATED%20PHIL-IRI.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jiefuragganan\Desktop\July%20KIIs\LRPortal_User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jiefuragganan\Desktop\July%20KIIs\LRPortal_User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Users\jiefuragganan\Desktop\2019%20BEST%20DEPED%20EOPE\Heritage%20Hotel\HERITAGE%2020190517%20SQs%20for%20TEACHERS%20benjie%20MBT.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Users\jiefuragganan\Desktop\2019%20BEST%20DEPED%20EOPE\Heritage%20Hotel\HERITAGE%2020190517%20SQs%20for%20TEACHERS%20benjie%20MBT.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Users\DorcasMaeComandante\Documents\FOR%20OWEL\deped\20190601%20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Math</c:v>
                </c:pt>
              </c:strCache>
            </c:strRef>
          </c:tx>
          <c:spPr>
            <a:ln w="28575" cap="rnd">
              <a:solidFill>
                <a:schemeClr val="accent1"/>
              </a:solidFill>
              <a:round/>
            </a:ln>
            <a:effectLst/>
          </c:spPr>
          <c:marker>
            <c:symbol val="none"/>
          </c:marker>
          <c:cat>
            <c:strRef>
              <c:f>Sheet1!$A$2:$A$4</c:f>
              <c:strCache>
                <c:ptCount val="3"/>
                <c:pt idx="0">
                  <c:v>Grade 4</c:v>
                </c:pt>
                <c:pt idx="1">
                  <c:v>Grade 5</c:v>
                </c:pt>
                <c:pt idx="2">
                  <c:v>Grade 6</c:v>
                </c:pt>
              </c:strCache>
            </c:strRef>
          </c:cat>
          <c:val>
            <c:numRef>
              <c:f>Sheet1!$B$2:$B$4</c:f>
              <c:numCache>
                <c:formatCode>General</c:formatCode>
                <c:ptCount val="3"/>
                <c:pt idx="0">
                  <c:v>-1.1000000000000001</c:v>
                </c:pt>
                <c:pt idx="1">
                  <c:v>0.1</c:v>
                </c:pt>
                <c:pt idx="2">
                  <c:v>-1.2</c:v>
                </c:pt>
              </c:numCache>
            </c:numRef>
          </c:val>
          <c:smooth val="0"/>
          <c:extLst>
            <c:ext xmlns:c16="http://schemas.microsoft.com/office/drawing/2014/chart" uri="{C3380CC4-5D6E-409C-BE32-E72D297353CC}">
              <c16:uniqueId val="{00000000-3661-4C67-B532-0E8806AC85C8}"/>
            </c:ext>
          </c:extLst>
        </c:ser>
        <c:ser>
          <c:idx val="1"/>
          <c:order val="1"/>
          <c:tx>
            <c:strRef>
              <c:f>Sheet1!$C$1</c:f>
              <c:strCache>
                <c:ptCount val="1"/>
                <c:pt idx="0">
                  <c:v>English</c:v>
                </c:pt>
              </c:strCache>
            </c:strRef>
          </c:tx>
          <c:spPr>
            <a:ln w="28575" cap="rnd">
              <a:solidFill>
                <a:schemeClr val="accent2"/>
              </a:solidFill>
              <a:round/>
            </a:ln>
            <a:effectLst/>
          </c:spPr>
          <c:marker>
            <c:symbol val="none"/>
          </c:marker>
          <c:cat>
            <c:strRef>
              <c:f>Sheet1!$A$2:$A$4</c:f>
              <c:strCache>
                <c:ptCount val="3"/>
                <c:pt idx="0">
                  <c:v>Grade 4</c:v>
                </c:pt>
                <c:pt idx="1">
                  <c:v>Grade 5</c:v>
                </c:pt>
                <c:pt idx="2">
                  <c:v>Grade 6</c:v>
                </c:pt>
              </c:strCache>
            </c:strRef>
          </c:cat>
          <c:val>
            <c:numRef>
              <c:f>Sheet1!$C$2:$C$4</c:f>
              <c:numCache>
                <c:formatCode>General</c:formatCode>
                <c:ptCount val="3"/>
                <c:pt idx="0">
                  <c:v>-0.56999999999999995</c:v>
                </c:pt>
                <c:pt idx="1">
                  <c:v>1.62</c:v>
                </c:pt>
                <c:pt idx="2">
                  <c:v>-2.52</c:v>
                </c:pt>
              </c:numCache>
            </c:numRef>
          </c:val>
          <c:smooth val="0"/>
          <c:extLst>
            <c:ext xmlns:c16="http://schemas.microsoft.com/office/drawing/2014/chart" uri="{C3380CC4-5D6E-409C-BE32-E72D297353CC}">
              <c16:uniqueId val="{00000001-3661-4C67-B532-0E8806AC85C8}"/>
            </c:ext>
          </c:extLst>
        </c:ser>
        <c:ser>
          <c:idx val="2"/>
          <c:order val="2"/>
          <c:tx>
            <c:strRef>
              <c:f>Sheet1!$D$1</c:f>
              <c:strCache>
                <c:ptCount val="1"/>
                <c:pt idx="0">
                  <c:v>Science</c:v>
                </c:pt>
              </c:strCache>
            </c:strRef>
          </c:tx>
          <c:spPr>
            <a:ln w="28575" cap="rnd">
              <a:solidFill>
                <a:schemeClr val="accent3"/>
              </a:solidFill>
              <a:round/>
            </a:ln>
            <a:effectLst/>
          </c:spPr>
          <c:marker>
            <c:symbol val="none"/>
          </c:marker>
          <c:cat>
            <c:strRef>
              <c:f>Sheet1!$A$2:$A$4</c:f>
              <c:strCache>
                <c:ptCount val="3"/>
                <c:pt idx="0">
                  <c:v>Grade 4</c:v>
                </c:pt>
                <c:pt idx="1">
                  <c:v>Grade 5</c:v>
                </c:pt>
                <c:pt idx="2">
                  <c:v>Grade 6</c:v>
                </c:pt>
              </c:strCache>
            </c:strRef>
          </c:cat>
          <c:val>
            <c:numRef>
              <c:f>Sheet1!$D$2:$D$4</c:f>
              <c:numCache>
                <c:formatCode>General</c:formatCode>
                <c:ptCount val="3"/>
                <c:pt idx="0">
                  <c:v>-1.64</c:v>
                </c:pt>
                <c:pt idx="1">
                  <c:v>0.62</c:v>
                </c:pt>
                <c:pt idx="2">
                  <c:v>-1.8</c:v>
                </c:pt>
              </c:numCache>
            </c:numRef>
          </c:val>
          <c:smooth val="0"/>
          <c:extLst>
            <c:ext xmlns:c16="http://schemas.microsoft.com/office/drawing/2014/chart" uri="{C3380CC4-5D6E-409C-BE32-E72D297353CC}">
              <c16:uniqueId val="{00000002-3661-4C67-B532-0E8806AC85C8}"/>
            </c:ext>
          </c:extLst>
        </c:ser>
        <c:ser>
          <c:idx val="3"/>
          <c:order val="3"/>
          <c:tx>
            <c:strRef>
              <c:f>Sheet1!$E$1</c:f>
              <c:strCache>
                <c:ptCount val="1"/>
                <c:pt idx="0">
                  <c:v>Filipino</c:v>
                </c:pt>
              </c:strCache>
            </c:strRef>
          </c:tx>
          <c:spPr>
            <a:ln w="28575" cap="rnd">
              <a:solidFill>
                <a:schemeClr val="accent4"/>
              </a:solidFill>
              <a:round/>
            </a:ln>
            <a:effectLst/>
          </c:spPr>
          <c:marker>
            <c:symbol val="none"/>
          </c:marker>
          <c:cat>
            <c:strRef>
              <c:f>Sheet1!$A$2:$A$4</c:f>
              <c:strCache>
                <c:ptCount val="3"/>
                <c:pt idx="0">
                  <c:v>Grade 4</c:v>
                </c:pt>
                <c:pt idx="1">
                  <c:v>Grade 5</c:v>
                </c:pt>
                <c:pt idx="2">
                  <c:v>Grade 6</c:v>
                </c:pt>
              </c:strCache>
            </c:strRef>
          </c:cat>
          <c:val>
            <c:numRef>
              <c:f>Sheet1!$E$2:$E$4</c:f>
              <c:numCache>
                <c:formatCode>General</c:formatCode>
                <c:ptCount val="3"/>
                <c:pt idx="0">
                  <c:v>-1.1000000000000001</c:v>
                </c:pt>
                <c:pt idx="1">
                  <c:v>-1.72</c:v>
                </c:pt>
                <c:pt idx="2">
                  <c:v>-1.72</c:v>
                </c:pt>
              </c:numCache>
            </c:numRef>
          </c:val>
          <c:smooth val="0"/>
          <c:extLst>
            <c:ext xmlns:c16="http://schemas.microsoft.com/office/drawing/2014/chart" uri="{C3380CC4-5D6E-409C-BE32-E72D297353CC}">
              <c16:uniqueId val="{00000003-3661-4C67-B532-0E8806AC85C8}"/>
            </c:ext>
          </c:extLst>
        </c:ser>
        <c:dLbls>
          <c:showLegendKey val="0"/>
          <c:showVal val="0"/>
          <c:showCatName val="0"/>
          <c:showSerName val="0"/>
          <c:showPercent val="0"/>
          <c:showBubbleSize val="0"/>
        </c:dLbls>
        <c:smooth val="0"/>
        <c:axId val="528150656"/>
        <c:axId val="528151640"/>
      </c:lineChart>
      <c:catAx>
        <c:axId val="528150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151640"/>
        <c:crosses val="autoZero"/>
        <c:auto val="1"/>
        <c:lblAlgn val="ctr"/>
        <c:lblOffset val="100"/>
        <c:noMultiLvlLbl val="0"/>
      </c:catAx>
      <c:valAx>
        <c:axId val="528151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150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20" b="0" i="0" u="none" strike="noStrike" kern="1200" spc="0" baseline="0">
                <a:solidFill>
                  <a:schemeClr val="tx1">
                    <a:lumMod val="65000"/>
                    <a:lumOff val="35000"/>
                  </a:schemeClr>
                </a:solidFill>
                <a:latin typeface="+mn-lt"/>
                <a:ea typeface="+mn-ea"/>
                <a:cs typeface="+mn-cs"/>
              </a:defRPr>
            </a:pPr>
            <a:r>
              <a:rPr lang="en-US"/>
              <a:t>COT PERFORMANCE BY KRA </a:t>
            </a:r>
          </a:p>
        </c:rich>
      </c:tx>
      <c:overlay val="0"/>
      <c:spPr>
        <a:noFill/>
        <a:ln>
          <a:noFill/>
        </a:ln>
        <a:effectLst/>
      </c:spPr>
      <c:txPr>
        <a:bodyPr rot="0" spcFirstLastPara="1" vertOverflow="ellipsis" vert="horz" wrap="square" anchor="ctr" anchorCtr="1"/>
        <a:lstStyle/>
        <a:p>
          <a:pPr>
            <a:defRPr sz="72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'BY REGION'!$AR$15</c:f>
              <c:strCache>
                <c:ptCount val="1"/>
                <c:pt idx="0">
                  <c:v>OUTSTANDING</c:v>
                </c:pt>
              </c:strCache>
            </c:strRef>
          </c:tx>
          <c:spPr>
            <a:solidFill>
              <a:schemeClr val="accent1"/>
            </a:solidFill>
            <a:ln>
              <a:noFill/>
            </a:ln>
            <a:effectLst/>
          </c:spPr>
          <c:invertIfNegative val="0"/>
          <c:cat>
            <c:strRef>
              <c:f>'BY REGION'!$AQ$16:$AQ$24</c:f>
              <c:strCache>
                <c:ptCount val="9"/>
                <c:pt idx="0">
                  <c:v>KRA 1</c:v>
                </c:pt>
                <c:pt idx="1">
                  <c:v>KRA2</c:v>
                </c:pt>
                <c:pt idx="2">
                  <c:v>KRA3</c:v>
                </c:pt>
                <c:pt idx="3">
                  <c:v>KRA4</c:v>
                </c:pt>
                <c:pt idx="4">
                  <c:v>KRA5</c:v>
                </c:pt>
                <c:pt idx="5">
                  <c:v>KRA6</c:v>
                </c:pt>
                <c:pt idx="6">
                  <c:v>KRA7</c:v>
                </c:pt>
                <c:pt idx="7">
                  <c:v>KRA8</c:v>
                </c:pt>
                <c:pt idx="8">
                  <c:v>KRA9</c:v>
                </c:pt>
              </c:strCache>
            </c:strRef>
          </c:cat>
          <c:val>
            <c:numRef>
              <c:f>'BY REGION'!$AR$16:$AR$24</c:f>
              <c:numCache>
                <c:formatCode>General</c:formatCode>
                <c:ptCount val="9"/>
                <c:pt idx="0">
                  <c:v>34.78</c:v>
                </c:pt>
                <c:pt idx="1">
                  <c:v>28.99</c:v>
                </c:pt>
                <c:pt idx="2">
                  <c:v>28.99</c:v>
                </c:pt>
                <c:pt idx="3">
                  <c:v>40.58</c:v>
                </c:pt>
                <c:pt idx="4">
                  <c:v>57.97</c:v>
                </c:pt>
                <c:pt idx="5">
                  <c:v>20.29</c:v>
                </c:pt>
                <c:pt idx="6">
                  <c:v>37.68</c:v>
                </c:pt>
                <c:pt idx="7">
                  <c:v>23.19</c:v>
                </c:pt>
                <c:pt idx="8">
                  <c:v>39.130000000000003</c:v>
                </c:pt>
              </c:numCache>
            </c:numRef>
          </c:val>
          <c:extLst>
            <c:ext xmlns:c16="http://schemas.microsoft.com/office/drawing/2014/chart" uri="{C3380CC4-5D6E-409C-BE32-E72D297353CC}">
              <c16:uniqueId val="{00000000-22A0-4DF0-99F3-C54A5C2D940F}"/>
            </c:ext>
          </c:extLst>
        </c:ser>
        <c:ser>
          <c:idx val="1"/>
          <c:order val="1"/>
          <c:tx>
            <c:strRef>
              <c:f>'BY REGION'!$AS$15</c:f>
              <c:strCache>
                <c:ptCount val="1"/>
                <c:pt idx="0">
                  <c:v>VERY SATISFACTORY</c:v>
                </c:pt>
              </c:strCache>
            </c:strRef>
          </c:tx>
          <c:spPr>
            <a:solidFill>
              <a:schemeClr val="accent2"/>
            </a:solidFill>
            <a:ln>
              <a:noFill/>
            </a:ln>
            <a:effectLst/>
          </c:spPr>
          <c:invertIfNegative val="0"/>
          <c:cat>
            <c:strRef>
              <c:f>'BY REGION'!$AQ$16:$AQ$24</c:f>
              <c:strCache>
                <c:ptCount val="9"/>
                <c:pt idx="0">
                  <c:v>KRA 1</c:v>
                </c:pt>
                <c:pt idx="1">
                  <c:v>KRA2</c:v>
                </c:pt>
                <c:pt idx="2">
                  <c:v>KRA3</c:v>
                </c:pt>
                <c:pt idx="3">
                  <c:v>KRA4</c:v>
                </c:pt>
                <c:pt idx="4">
                  <c:v>KRA5</c:v>
                </c:pt>
                <c:pt idx="5">
                  <c:v>KRA6</c:v>
                </c:pt>
                <c:pt idx="6">
                  <c:v>KRA7</c:v>
                </c:pt>
                <c:pt idx="7">
                  <c:v>KRA8</c:v>
                </c:pt>
                <c:pt idx="8">
                  <c:v>KRA9</c:v>
                </c:pt>
              </c:strCache>
            </c:strRef>
          </c:cat>
          <c:val>
            <c:numRef>
              <c:f>'BY REGION'!$AS$16:$AS$24</c:f>
              <c:numCache>
                <c:formatCode>General</c:formatCode>
                <c:ptCount val="9"/>
                <c:pt idx="0">
                  <c:v>34.78</c:v>
                </c:pt>
                <c:pt idx="1">
                  <c:v>28.99</c:v>
                </c:pt>
                <c:pt idx="2">
                  <c:v>28.99</c:v>
                </c:pt>
                <c:pt idx="3">
                  <c:v>40.58</c:v>
                </c:pt>
                <c:pt idx="4">
                  <c:v>57.97</c:v>
                </c:pt>
                <c:pt idx="5">
                  <c:v>20.29</c:v>
                </c:pt>
                <c:pt idx="6">
                  <c:v>37.68</c:v>
                </c:pt>
                <c:pt idx="7">
                  <c:v>23.19</c:v>
                </c:pt>
                <c:pt idx="8">
                  <c:v>39.130000000000003</c:v>
                </c:pt>
              </c:numCache>
            </c:numRef>
          </c:val>
          <c:extLst>
            <c:ext xmlns:c16="http://schemas.microsoft.com/office/drawing/2014/chart" uri="{C3380CC4-5D6E-409C-BE32-E72D297353CC}">
              <c16:uniqueId val="{00000001-22A0-4DF0-99F3-C54A5C2D940F}"/>
            </c:ext>
          </c:extLst>
        </c:ser>
        <c:ser>
          <c:idx val="2"/>
          <c:order val="2"/>
          <c:tx>
            <c:strRef>
              <c:f>'BY REGION'!$AT$15</c:f>
              <c:strCache>
                <c:ptCount val="1"/>
                <c:pt idx="0">
                  <c:v>SATISFACTORY</c:v>
                </c:pt>
              </c:strCache>
            </c:strRef>
          </c:tx>
          <c:spPr>
            <a:solidFill>
              <a:schemeClr val="accent3"/>
            </a:solidFill>
            <a:ln>
              <a:noFill/>
            </a:ln>
            <a:effectLst/>
          </c:spPr>
          <c:invertIfNegative val="0"/>
          <c:cat>
            <c:strRef>
              <c:f>'BY REGION'!$AQ$16:$AQ$24</c:f>
              <c:strCache>
                <c:ptCount val="9"/>
                <c:pt idx="0">
                  <c:v>KRA 1</c:v>
                </c:pt>
                <c:pt idx="1">
                  <c:v>KRA2</c:v>
                </c:pt>
                <c:pt idx="2">
                  <c:v>KRA3</c:v>
                </c:pt>
                <c:pt idx="3">
                  <c:v>KRA4</c:v>
                </c:pt>
                <c:pt idx="4">
                  <c:v>KRA5</c:v>
                </c:pt>
                <c:pt idx="5">
                  <c:v>KRA6</c:v>
                </c:pt>
                <c:pt idx="6">
                  <c:v>KRA7</c:v>
                </c:pt>
                <c:pt idx="7">
                  <c:v>KRA8</c:v>
                </c:pt>
                <c:pt idx="8">
                  <c:v>KRA9</c:v>
                </c:pt>
              </c:strCache>
            </c:strRef>
          </c:cat>
          <c:val>
            <c:numRef>
              <c:f>'BY REGION'!$AT$16:$AT$24</c:f>
              <c:numCache>
                <c:formatCode>General</c:formatCode>
                <c:ptCount val="9"/>
                <c:pt idx="0">
                  <c:v>20.29</c:v>
                </c:pt>
                <c:pt idx="1">
                  <c:v>18.84</c:v>
                </c:pt>
                <c:pt idx="2">
                  <c:v>21.74</c:v>
                </c:pt>
                <c:pt idx="3">
                  <c:v>20.29</c:v>
                </c:pt>
                <c:pt idx="4">
                  <c:v>18.84</c:v>
                </c:pt>
                <c:pt idx="5">
                  <c:v>46.43</c:v>
                </c:pt>
                <c:pt idx="6">
                  <c:v>13.04</c:v>
                </c:pt>
                <c:pt idx="7">
                  <c:v>15.94</c:v>
                </c:pt>
                <c:pt idx="8">
                  <c:v>42.86</c:v>
                </c:pt>
              </c:numCache>
            </c:numRef>
          </c:val>
          <c:extLst>
            <c:ext xmlns:c16="http://schemas.microsoft.com/office/drawing/2014/chart" uri="{C3380CC4-5D6E-409C-BE32-E72D297353CC}">
              <c16:uniqueId val="{00000002-22A0-4DF0-99F3-C54A5C2D940F}"/>
            </c:ext>
          </c:extLst>
        </c:ser>
        <c:ser>
          <c:idx val="3"/>
          <c:order val="3"/>
          <c:tx>
            <c:strRef>
              <c:f>'BY REGION'!$AU$15</c:f>
              <c:strCache>
                <c:ptCount val="1"/>
                <c:pt idx="0">
                  <c:v>UNSTAISFACTORY</c:v>
                </c:pt>
              </c:strCache>
            </c:strRef>
          </c:tx>
          <c:spPr>
            <a:solidFill>
              <a:schemeClr val="accent4"/>
            </a:solidFill>
            <a:ln>
              <a:noFill/>
            </a:ln>
            <a:effectLst/>
          </c:spPr>
          <c:invertIfNegative val="0"/>
          <c:cat>
            <c:strRef>
              <c:f>'BY REGION'!$AQ$16:$AQ$24</c:f>
              <c:strCache>
                <c:ptCount val="9"/>
                <c:pt idx="0">
                  <c:v>KRA 1</c:v>
                </c:pt>
                <c:pt idx="1">
                  <c:v>KRA2</c:v>
                </c:pt>
                <c:pt idx="2">
                  <c:v>KRA3</c:v>
                </c:pt>
                <c:pt idx="3">
                  <c:v>KRA4</c:v>
                </c:pt>
                <c:pt idx="4">
                  <c:v>KRA5</c:v>
                </c:pt>
                <c:pt idx="5">
                  <c:v>KRA6</c:v>
                </c:pt>
                <c:pt idx="6">
                  <c:v>KRA7</c:v>
                </c:pt>
                <c:pt idx="7">
                  <c:v>KRA8</c:v>
                </c:pt>
                <c:pt idx="8">
                  <c:v>KRA9</c:v>
                </c:pt>
              </c:strCache>
            </c:strRef>
          </c:cat>
          <c:val>
            <c:numRef>
              <c:f>'BY REGION'!$AU$16:$AU$24</c:f>
              <c:numCache>
                <c:formatCode>General</c:formatCode>
                <c:ptCount val="9"/>
                <c:pt idx="0">
                  <c:v>2.9</c:v>
                </c:pt>
                <c:pt idx="1">
                  <c:v>2.9</c:v>
                </c:pt>
                <c:pt idx="2">
                  <c:v>4.3499999999999996</c:v>
                </c:pt>
                <c:pt idx="3">
                  <c:v>1.45</c:v>
                </c:pt>
                <c:pt idx="5">
                  <c:v>3.57</c:v>
                </c:pt>
                <c:pt idx="6">
                  <c:v>4.3499999999999996</c:v>
                </c:pt>
                <c:pt idx="7">
                  <c:v>1.45</c:v>
                </c:pt>
              </c:numCache>
            </c:numRef>
          </c:val>
          <c:extLst>
            <c:ext xmlns:c16="http://schemas.microsoft.com/office/drawing/2014/chart" uri="{C3380CC4-5D6E-409C-BE32-E72D297353CC}">
              <c16:uniqueId val="{00000003-22A0-4DF0-99F3-C54A5C2D940F}"/>
            </c:ext>
          </c:extLst>
        </c:ser>
        <c:ser>
          <c:idx val="4"/>
          <c:order val="4"/>
          <c:tx>
            <c:strRef>
              <c:f>'BY REGION'!$AV$15</c:f>
              <c:strCache>
                <c:ptCount val="1"/>
                <c:pt idx="0">
                  <c:v>POOR</c:v>
                </c:pt>
              </c:strCache>
            </c:strRef>
          </c:tx>
          <c:spPr>
            <a:solidFill>
              <a:schemeClr val="accent5"/>
            </a:solidFill>
            <a:ln>
              <a:noFill/>
            </a:ln>
            <a:effectLst/>
          </c:spPr>
          <c:invertIfNegative val="0"/>
          <c:cat>
            <c:strRef>
              <c:f>'BY REGION'!$AQ$16:$AQ$24</c:f>
              <c:strCache>
                <c:ptCount val="9"/>
                <c:pt idx="0">
                  <c:v>KRA 1</c:v>
                </c:pt>
                <c:pt idx="1">
                  <c:v>KRA2</c:v>
                </c:pt>
                <c:pt idx="2">
                  <c:v>KRA3</c:v>
                </c:pt>
                <c:pt idx="3">
                  <c:v>KRA4</c:v>
                </c:pt>
                <c:pt idx="4">
                  <c:v>KRA5</c:v>
                </c:pt>
                <c:pt idx="5">
                  <c:v>KRA6</c:v>
                </c:pt>
                <c:pt idx="6">
                  <c:v>KRA7</c:v>
                </c:pt>
                <c:pt idx="7">
                  <c:v>KRA8</c:v>
                </c:pt>
                <c:pt idx="8">
                  <c:v>KRA9</c:v>
                </c:pt>
              </c:strCache>
            </c:strRef>
          </c:cat>
          <c:val>
            <c:numRef>
              <c:f>'BY REGION'!$AV$16:$AV$24</c:f>
              <c:numCache>
                <c:formatCode>General</c:formatCode>
                <c:ptCount val="9"/>
                <c:pt idx="0">
                  <c:v>2.9</c:v>
                </c:pt>
                <c:pt idx="4">
                  <c:v>1.45</c:v>
                </c:pt>
                <c:pt idx="6">
                  <c:v>1.4490000000000001</c:v>
                </c:pt>
                <c:pt idx="8">
                  <c:v>1.45</c:v>
                </c:pt>
              </c:numCache>
            </c:numRef>
          </c:val>
          <c:extLst>
            <c:ext xmlns:c16="http://schemas.microsoft.com/office/drawing/2014/chart" uri="{C3380CC4-5D6E-409C-BE32-E72D297353CC}">
              <c16:uniqueId val="{00000004-22A0-4DF0-99F3-C54A5C2D940F}"/>
            </c:ext>
          </c:extLst>
        </c:ser>
        <c:ser>
          <c:idx val="5"/>
          <c:order val="5"/>
          <c:tx>
            <c:strRef>
              <c:f>'BY REGION'!$AW$15</c:f>
              <c:strCache>
                <c:ptCount val="1"/>
                <c:pt idx="0">
                  <c:v>NO ANSWER</c:v>
                </c:pt>
              </c:strCache>
            </c:strRef>
          </c:tx>
          <c:spPr>
            <a:solidFill>
              <a:schemeClr val="accent6"/>
            </a:solidFill>
            <a:ln>
              <a:noFill/>
            </a:ln>
            <a:effectLst/>
          </c:spPr>
          <c:invertIfNegative val="0"/>
          <c:cat>
            <c:strRef>
              <c:f>'BY REGION'!$AQ$16:$AQ$24</c:f>
              <c:strCache>
                <c:ptCount val="9"/>
                <c:pt idx="0">
                  <c:v>KRA 1</c:v>
                </c:pt>
                <c:pt idx="1">
                  <c:v>KRA2</c:v>
                </c:pt>
                <c:pt idx="2">
                  <c:v>KRA3</c:v>
                </c:pt>
                <c:pt idx="3">
                  <c:v>KRA4</c:v>
                </c:pt>
                <c:pt idx="4">
                  <c:v>KRA5</c:v>
                </c:pt>
                <c:pt idx="5">
                  <c:v>KRA6</c:v>
                </c:pt>
                <c:pt idx="6">
                  <c:v>KRA7</c:v>
                </c:pt>
                <c:pt idx="7">
                  <c:v>KRA8</c:v>
                </c:pt>
                <c:pt idx="8">
                  <c:v>KRA9</c:v>
                </c:pt>
              </c:strCache>
            </c:strRef>
          </c:cat>
          <c:val>
            <c:numRef>
              <c:f>'BY REGION'!$AW$16:$AW$24</c:f>
              <c:numCache>
                <c:formatCode>General</c:formatCode>
                <c:ptCount val="9"/>
                <c:pt idx="1">
                  <c:v>4.3499999999999996</c:v>
                </c:pt>
                <c:pt idx="2">
                  <c:v>1.45</c:v>
                </c:pt>
                <c:pt idx="3">
                  <c:v>4.3499999999999996</c:v>
                </c:pt>
                <c:pt idx="5">
                  <c:v>42.86</c:v>
                </c:pt>
                <c:pt idx="6">
                  <c:v>5.8</c:v>
                </c:pt>
                <c:pt idx="7">
                  <c:v>15.94</c:v>
                </c:pt>
                <c:pt idx="8">
                  <c:v>14.49</c:v>
                </c:pt>
              </c:numCache>
            </c:numRef>
          </c:val>
          <c:extLst>
            <c:ext xmlns:c16="http://schemas.microsoft.com/office/drawing/2014/chart" uri="{C3380CC4-5D6E-409C-BE32-E72D297353CC}">
              <c16:uniqueId val="{00000005-22A0-4DF0-99F3-C54A5C2D940F}"/>
            </c:ext>
          </c:extLst>
        </c:ser>
        <c:dLbls>
          <c:showLegendKey val="0"/>
          <c:showVal val="0"/>
          <c:showCatName val="0"/>
          <c:showSerName val="0"/>
          <c:showPercent val="0"/>
          <c:showBubbleSize val="0"/>
        </c:dLbls>
        <c:gapWidth val="219"/>
        <c:overlap val="-27"/>
        <c:axId val="-482871792"/>
        <c:axId val="-458371840"/>
      </c:barChart>
      <c:catAx>
        <c:axId val="-482871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458371840"/>
        <c:crosses val="autoZero"/>
        <c:auto val="1"/>
        <c:lblAlgn val="ctr"/>
        <c:lblOffset val="100"/>
        <c:noMultiLvlLbl val="0"/>
      </c:catAx>
      <c:valAx>
        <c:axId val="-458371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482871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baseline="0"/>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PH" sz="1200">
                <a:effectLst/>
              </a:rPr>
              <a:t>Figure 1. </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en-US" sz="1200"/>
              <a:t>KRAs</a:t>
            </a:r>
            <a:r>
              <a:rPr lang="en-US" sz="1200" baseline="0"/>
              <a:t> 4,7,8,and 9 vs Learning Facilitation</a:t>
            </a:r>
            <a:endParaRPr lang="en-US" sz="1200"/>
          </a:p>
        </c:rich>
      </c:tx>
      <c:layout>
        <c:manualLayout>
          <c:xMode val="edge"/>
          <c:yMode val="edge"/>
          <c:x val="2.8423447069116401E-2"/>
          <c:y val="3.7037037037037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'1 - Priority 1 schools'!$J$23</c:f>
              <c:strCache>
                <c:ptCount val="1"/>
                <c:pt idx="0">
                  <c:v>KRA 4</c:v>
                </c:pt>
              </c:strCache>
            </c:strRef>
          </c:tx>
          <c:spPr>
            <a:solidFill>
              <a:schemeClr val="accent1"/>
            </a:solidFill>
            <a:ln>
              <a:noFill/>
            </a:ln>
            <a:effectLst/>
          </c:spPr>
          <c:invertIfNegative val="0"/>
          <c:cat>
            <c:strRef>
              <c:f>'1 - Priority 1 schools'!$I$24:$I$30</c:f>
              <c:strCache>
                <c:ptCount val="7"/>
                <c:pt idx="0">
                  <c:v>Teacher A</c:v>
                </c:pt>
                <c:pt idx="1">
                  <c:v>Teacher B</c:v>
                </c:pt>
                <c:pt idx="2">
                  <c:v>Teacher C</c:v>
                </c:pt>
                <c:pt idx="3">
                  <c:v>Teacher  D</c:v>
                </c:pt>
                <c:pt idx="4">
                  <c:v>Teacher E</c:v>
                </c:pt>
                <c:pt idx="5">
                  <c:v>Teacher  F</c:v>
                </c:pt>
                <c:pt idx="6">
                  <c:v>Teacher  G</c:v>
                </c:pt>
              </c:strCache>
            </c:strRef>
          </c:cat>
          <c:val>
            <c:numRef>
              <c:f>'1 - Priority 1 schools'!$J$24:$J$30</c:f>
              <c:numCache>
                <c:formatCode>General</c:formatCode>
                <c:ptCount val="7"/>
                <c:pt idx="0">
                  <c:v>5</c:v>
                </c:pt>
                <c:pt idx="1">
                  <c:v>5</c:v>
                </c:pt>
                <c:pt idx="2">
                  <c:v>5</c:v>
                </c:pt>
                <c:pt idx="3">
                  <c:v>5</c:v>
                </c:pt>
                <c:pt idx="4">
                  <c:v>4</c:v>
                </c:pt>
                <c:pt idx="5">
                  <c:v>4</c:v>
                </c:pt>
                <c:pt idx="6">
                  <c:v>3</c:v>
                </c:pt>
              </c:numCache>
            </c:numRef>
          </c:val>
          <c:extLst>
            <c:ext xmlns:c16="http://schemas.microsoft.com/office/drawing/2014/chart" uri="{C3380CC4-5D6E-409C-BE32-E72D297353CC}">
              <c16:uniqueId val="{00000000-EE76-49CF-A9DA-DAC378A11389}"/>
            </c:ext>
          </c:extLst>
        </c:ser>
        <c:ser>
          <c:idx val="1"/>
          <c:order val="1"/>
          <c:tx>
            <c:strRef>
              <c:f>'1 - Priority 1 schools'!$K$23</c:f>
              <c:strCache>
                <c:ptCount val="1"/>
                <c:pt idx="0">
                  <c:v>KRA 7</c:v>
                </c:pt>
              </c:strCache>
            </c:strRef>
          </c:tx>
          <c:spPr>
            <a:solidFill>
              <a:schemeClr val="accent2"/>
            </a:solidFill>
            <a:ln>
              <a:noFill/>
            </a:ln>
            <a:effectLst/>
          </c:spPr>
          <c:invertIfNegative val="0"/>
          <c:cat>
            <c:strRef>
              <c:f>'1 - Priority 1 schools'!$I$24:$I$30</c:f>
              <c:strCache>
                <c:ptCount val="7"/>
                <c:pt idx="0">
                  <c:v>Teacher A</c:v>
                </c:pt>
                <c:pt idx="1">
                  <c:v>Teacher B</c:v>
                </c:pt>
                <c:pt idx="2">
                  <c:v>Teacher C</c:v>
                </c:pt>
                <c:pt idx="3">
                  <c:v>Teacher  D</c:v>
                </c:pt>
                <c:pt idx="4">
                  <c:v>Teacher E</c:v>
                </c:pt>
                <c:pt idx="5">
                  <c:v>Teacher  F</c:v>
                </c:pt>
                <c:pt idx="6">
                  <c:v>Teacher  G</c:v>
                </c:pt>
              </c:strCache>
            </c:strRef>
          </c:cat>
          <c:val>
            <c:numRef>
              <c:f>'1 - Priority 1 schools'!$K$24:$K$30</c:f>
              <c:numCache>
                <c:formatCode>General</c:formatCode>
                <c:ptCount val="7"/>
                <c:pt idx="0">
                  <c:v>4</c:v>
                </c:pt>
                <c:pt idx="1">
                  <c:v>4</c:v>
                </c:pt>
                <c:pt idx="2">
                  <c:v>5</c:v>
                </c:pt>
                <c:pt idx="3">
                  <c:v>5</c:v>
                </c:pt>
                <c:pt idx="4">
                  <c:v>4</c:v>
                </c:pt>
                <c:pt idx="5">
                  <c:v>3</c:v>
                </c:pt>
                <c:pt idx="6">
                  <c:v>3</c:v>
                </c:pt>
              </c:numCache>
            </c:numRef>
          </c:val>
          <c:extLst>
            <c:ext xmlns:c16="http://schemas.microsoft.com/office/drawing/2014/chart" uri="{C3380CC4-5D6E-409C-BE32-E72D297353CC}">
              <c16:uniqueId val="{00000001-EE76-49CF-A9DA-DAC378A11389}"/>
            </c:ext>
          </c:extLst>
        </c:ser>
        <c:ser>
          <c:idx val="2"/>
          <c:order val="2"/>
          <c:tx>
            <c:strRef>
              <c:f>'1 - Priority 1 schools'!$L$23</c:f>
              <c:strCache>
                <c:ptCount val="1"/>
                <c:pt idx="0">
                  <c:v>KRA 8</c:v>
                </c:pt>
              </c:strCache>
            </c:strRef>
          </c:tx>
          <c:spPr>
            <a:solidFill>
              <a:schemeClr val="accent3"/>
            </a:solidFill>
            <a:ln>
              <a:noFill/>
            </a:ln>
            <a:effectLst/>
          </c:spPr>
          <c:invertIfNegative val="0"/>
          <c:cat>
            <c:strRef>
              <c:f>'1 - Priority 1 schools'!$I$24:$I$30</c:f>
              <c:strCache>
                <c:ptCount val="7"/>
                <c:pt idx="0">
                  <c:v>Teacher A</c:v>
                </c:pt>
                <c:pt idx="1">
                  <c:v>Teacher B</c:v>
                </c:pt>
                <c:pt idx="2">
                  <c:v>Teacher C</c:v>
                </c:pt>
                <c:pt idx="3">
                  <c:v>Teacher  D</c:v>
                </c:pt>
                <c:pt idx="4">
                  <c:v>Teacher E</c:v>
                </c:pt>
                <c:pt idx="5">
                  <c:v>Teacher  F</c:v>
                </c:pt>
                <c:pt idx="6">
                  <c:v>Teacher  G</c:v>
                </c:pt>
              </c:strCache>
            </c:strRef>
          </c:cat>
          <c:val>
            <c:numRef>
              <c:f>'1 - Priority 1 schools'!$L$24:$L$30</c:f>
              <c:numCache>
                <c:formatCode>General</c:formatCode>
                <c:ptCount val="7"/>
                <c:pt idx="0">
                  <c:v>5</c:v>
                </c:pt>
                <c:pt idx="1">
                  <c:v>5</c:v>
                </c:pt>
                <c:pt idx="2">
                  <c:v>5</c:v>
                </c:pt>
                <c:pt idx="3">
                  <c:v>5</c:v>
                </c:pt>
                <c:pt idx="4">
                  <c:v>3</c:v>
                </c:pt>
                <c:pt idx="5">
                  <c:v>4</c:v>
                </c:pt>
                <c:pt idx="6">
                  <c:v>4</c:v>
                </c:pt>
              </c:numCache>
            </c:numRef>
          </c:val>
          <c:extLst>
            <c:ext xmlns:c16="http://schemas.microsoft.com/office/drawing/2014/chart" uri="{C3380CC4-5D6E-409C-BE32-E72D297353CC}">
              <c16:uniqueId val="{00000002-EE76-49CF-A9DA-DAC378A11389}"/>
            </c:ext>
          </c:extLst>
        </c:ser>
        <c:ser>
          <c:idx val="3"/>
          <c:order val="3"/>
          <c:tx>
            <c:strRef>
              <c:f>'1 - Priority 1 schools'!$M$23</c:f>
              <c:strCache>
                <c:ptCount val="1"/>
                <c:pt idx="0">
                  <c:v>KRA 9</c:v>
                </c:pt>
              </c:strCache>
            </c:strRef>
          </c:tx>
          <c:spPr>
            <a:solidFill>
              <a:schemeClr val="accent4"/>
            </a:solidFill>
            <a:ln>
              <a:noFill/>
            </a:ln>
            <a:effectLst/>
          </c:spPr>
          <c:invertIfNegative val="0"/>
          <c:cat>
            <c:strRef>
              <c:f>'1 - Priority 1 schools'!$I$24:$I$30</c:f>
              <c:strCache>
                <c:ptCount val="7"/>
                <c:pt idx="0">
                  <c:v>Teacher A</c:v>
                </c:pt>
                <c:pt idx="1">
                  <c:v>Teacher B</c:v>
                </c:pt>
                <c:pt idx="2">
                  <c:v>Teacher C</c:v>
                </c:pt>
                <c:pt idx="3">
                  <c:v>Teacher  D</c:v>
                </c:pt>
                <c:pt idx="4">
                  <c:v>Teacher E</c:v>
                </c:pt>
                <c:pt idx="5">
                  <c:v>Teacher  F</c:v>
                </c:pt>
                <c:pt idx="6">
                  <c:v>Teacher  G</c:v>
                </c:pt>
              </c:strCache>
            </c:strRef>
          </c:cat>
          <c:val>
            <c:numRef>
              <c:f>'1 - Priority 1 schools'!$M$24:$M$30</c:f>
              <c:numCache>
                <c:formatCode>General</c:formatCode>
                <c:ptCount val="7"/>
                <c:pt idx="0">
                  <c:v>5</c:v>
                </c:pt>
                <c:pt idx="1">
                  <c:v>5</c:v>
                </c:pt>
                <c:pt idx="2">
                  <c:v>5</c:v>
                </c:pt>
                <c:pt idx="3">
                  <c:v>5</c:v>
                </c:pt>
                <c:pt idx="4">
                  <c:v>5</c:v>
                </c:pt>
                <c:pt idx="5">
                  <c:v>4</c:v>
                </c:pt>
                <c:pt idx="6">
                  <c:v>4</c:v>
                </c:pt>
              </c:numCache>
            </c:numRef>
          </c:val>
          <c:extLst>
            <c:ext xmlns:c16="http://schemas.microsoft.com/office/drawing/2014/chart" uri="{C3380CC4-5D6E-409C-BE32-E72D297353CC}">
              <c16:uniqueId val="{00000003-EE76-49CF-A9DA-DAC378A11389}"/>
            </c:ext>
          </c:extLst>
        </c:ser>
        <c:ser>
          <c:idx val="4"/>
          <c:order val="4"/>
          <c:tx>
            <c:strRef>
              <c:f>'1 - Priority 1 schools'!$N$23</c:f>
              <c:strCache>
                <c:ptCount val="1"/>
                <c:pt idx="0">
                  <c:v>LF</c:v>
                </c:pt>
              </c:strCache>
            </c:strRef>
          </c:tx>
          <c:spPr>
            <a:solidFill>
              <a:schemeClr val="accent5"/>
            </a:solidFill>
            <a:ln>
              <a:noFill/>
            </a:ln>
            <a:effectLst/>
          </c:spPr>
          <c:invertIfNegative val="0"/>
          <c:cat>
            <c:strRef>
              <c:f>'1 - Priority 1 schools'!$I$24:$I$30</c:f>
              <c:strCache>
                <c:ptCount val="7"/>
                <c:pt idx="0">
                  <c:v>Teacher A</c:v>
                </c:pt>
                <c:pt idx="1">
                  <c:v>Teacher B</c:v>
                </c:pt>
                <c:pt idx="2">
                  <c:v>Teacher C</c:v>
                </c:pt>
                <c:pt idx="3">
                  <c:v>Teacher  D</c:v>
                </c:pt>
                <c:pt idx="4">
                  <c:v>Teacher E</c:v>
                </c:pt>
                <c:pt idx="5">
                  <c:v>Teacher  F</c:v>
                </c:pt>
                <c:pt idx="6">
                  <c:v>Teacher  G</c:v>
                </c:pt>
              </c:strCache>
            </c:strRef>
          </c:cat>
          <c:val>
            <c:numRef>
              <c:f>'1 - Priority 1 schools'!$N$24:$N$30</c:f>
              <c:numCache>
                <c:formatCode>General</c:formatCode>
                <c:ptCount val="7"/>
                <c:pt idx="0">
                  <c:v>4</c:v>
                </c:pt>
                <c:pt idx="1">
                  <c:v>4</c:v>
                </c:pt>
                <c:pt idx="2">
                  <c:v>4</c:v>
                </c:pt>
                <c:pt idx="3">
                  <c:v>4</c:v>
                </c:pt>
                <c:pt idx="4">
                  <c:v>5</c:v>
                </c:pt>
                <c:pt idx="5">
                  <c:v>5</c:v>
                </c:pt>
                <c:pt idx="6">
                  <c:v>4</c:v>
                </c:pt>
              </c:numCache>
            </c:numRef>
          </c:val>
          <c:extLst>
            <c:ext xmlns:c16="http://schemas.microsoft.com/office/drawing/2014/chart" uri="{C3380CC4-5D6E-409C-BE32-E72D297353CC}">
              <c16:uniqueId val="{00000004-EE76-49CF-A9DA-DAC378A11389}"/>
            </c:ext>
          </c:extLst>
        </c:ser>
        <c:dLbls>
          <c:showLegendKey val="0"/>
          <c:showVal val="0"/>
          <c:showCatName val="0"/>
          <c:showSerName val="0"/>
          <c:showPercent val="0"/>
          <c:showBubbleSize val="0"/>
        </c:dLbls>
        <c:gapWidth val="219"/>
        <c:overlap val="-27"/>
        <c:axId val="-396980752"/>
        <c:axId val="-396976768"/>
      </c:barChart>
      <c:catAx>
        <c:axId val="-39698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976768"/>
        <c:crosses val="autoZero"/>
        <c:auto val="1"/>
        <c:lblAlgn val="ctr"/>
        <c:lblOffset val="100"/>
        <c:noMultiLvlLbl val="0"/>
      </c:catAx>
      <c:valAx>
        <c:axId val="-396976768"/>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980752"/>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US" sz="800"/>
              <a:t>Figure 2. KRAs</a:t>
            </a:r>
            <a:r>
              <a:rPr lang="en-US" sz="800" baseline="0"/>
              <a:t> 2 and 6 vs Supportive Learning Environment</a:t>
            </a:r>
            <a:endParaRPr lang="en-US" sz="800"/>
          </a:p>
        </c:rich>
      </c:tx>
      <c:layout>
        <c:manualLayout>
          <c:xMode val="edge"/>
          <c:yMode val="edge"/>
          <c:x val="0.25518906862385698"/>
          <c:y val="1.7683465959328001E-2"/>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4469816272965903E-2"/>
          <c:y val="0.16245370370370399"/>
          <c:w val="0.91553018372703399"/>
          <c:h val="0.61498432487605703"/>
        </c:manualLayout>
      </c:layout>
      <c:barChart>
        <c:barDir val="col"/>
        <c:grouping val="clustered"/>
        <c:varyColors val="0"/>
        <c:ser>
          <c:idx val="0"/>
          <c:order val="0"/>
          <c:tx>
            <c:strRef>
              <c:f>'1 - Priority 1 schools'!$J$34</c:f>
              <c:strCache>
                <c:ptCount val="1"/>
                <c:pt idx="0">
                  <c:v>KRA 2</c:v>
                </c:pt>
              </c:strCache>
            </c:strRef>
          </c:tx>
          <c:spPr>
            <a:solidFill>
              <a:schemeClr val="accent1"/>
            </a:solidFill>
            <a:ln>
              <a:noFill/>
            </a:ln>
            <a:effectLst/>
          </c:spPr>
          <c:invertIfNegative val="0"/>
          <c:cat>
            <c:strRef>
              <c:f>'1 - Priority 1 schools'!$I$35:$I$41</c:f>
              <c:strCache>
                <c:ptCount val="7"/>
                <c:pt idx="0">
                  <c:v>Teacher A</c:v>
                </c:pt>
                <c:pt idx="1">
                  <c:v>Teacher  B</c:v>
                </c:pt>
                <c:pt idx="2">
                  <c:v>Teacher  C</c:v>
                </c:pt>
                <c:pt idx="3">
                  <c:v>Teacher  D</c:v>
                </c:pt>
                <c:pt idx="4">
                  <c:v>Teacher E</c:v>
                </c:pt>
                <c:pt idx="5">
                  <c:v>Teacher  F</c:v>
                </c:pt>
                <c:pt idx="6">
                  <c:v>Teacher G</c:v>
                </c:pt>
              </c:strCache>
            </c:strRef>
          </c:cat>
          <c:val>
            <c:numRef>
              <c:f>'1 - Priority 1 schools'!$J$35:$J$41</c:f>
              <c:numCache>
                <c:formatCode>General</c:formatCode>
                <c:ptCount val="7"/>
                <c:pt idx="0">
                  <c:v>4</c:v>
                </c:pt>
                <c:pt idx="1">
                  <c:v>4</c:v>
                </c:pt>
                <c:pt idx="2">
                  <c:v>5</c:v>
                </c:pt>
                <c:pt idx="3">
                  <c:v>5</c:v>
                </c:pt>
                <c:pt idx="4">
                  <c:v>3</c:v>
                </c:pt>
                <c:pt idx="5">
                  <c:v>4</c:v>
                </c:pt>
                <c:pt idx="6">
                  <c:v>2</c:v>
                </c:pt>
              </c:numCache>
            </c:numRef>
          </c:val>
          <c:extLst>
            <c:ext xmlns:c16="http://schemas.microsoft.com/office/drawing/2014/chart" uri="{C3380CC4-5D6E-409C-BE32-E72D297353CC}">
              <c16:uniqueId val="{00000000-2E63-421A-ABA0-C6F75FBD1084}"/>
            </c:ext>
          </c:extLst>
        </c:ser>
        <c:ser>
          <c:idx val="1"/>
          <c:order val="1"/>
          <c:tx>
            <c:strRef>
              <c:f>'1 - Priority 1 schools'!$K$34</c:f>
              <c:strCache>
                <c:ptCount val="1"/>
                <c:pt idx="0">
                  <c:v>KRA 6</c:v>
                </c:pt>
              </c:strCache>
            </c:strRef>
          </c:tx>
          <c:spPr>
            <a:solidFill>
              <a:schemeClr val="accent2"/>
            </a:solidFill>
            <a:ln>
              <a:noFill/>
            </a:ln>
            <a:effectLst/>
          </c:spPr>
          <c:invertIfNegative val="0"/>
          <c:cat>
            <c:strRef>
              <c:f>'1 - Priority 1 schools'!$I$35:$I$41</c:f>
              <c:strCache>
                <c:ptCount val="7"/>
                <c:pt idx="0">
                  <c:v>Teacher A</c:v>
                </c:pt>
                <c:pt idx="1">
                  <c:v>Teacher  B</c:v>
                </c:pt>
                <c:pt idx="2">
                  <c:v>Teacher  C</c:v>
                </c:pt>
                <c:pt idx="3">
                  <c:v>Teacher  D</c:v>
                </c:pt>
                <c:pt idx="4">
                  <c:v>Teacher E</c:v>
                </c:pt>
                <c:pt idx="5">
                  <c:v>Teacher  F</c:v>
                </c:pt>
                <c:pt idx="6">
                  <c:v>Teacher G</c:v>
                </c:pt>
              </c:strCache>
            </c:strRef>
          </c:cat>
          <c:val>
            <c:numRef>
              <c:f>'1 - Priority 1 schools'!$K$35:$K$41</c:f>
              <c:numCache>
                <c:formatCode>General</c:formatCode>
                <c:ptCount val="7"/>
                <c:pt idx="0">
                  <c:v>4</c:v>
                </c:pt>
                <c:pt idx="1">
                  <c:v>3</c:v>
                </c:pt>
                <c:pt idx="2">
                  <c:v>5</c:v>
                </c:pt>
                <c:pt idx="3">
                  <c:v>5</c:v>
                </c:pt>
                <c:pt idx="4">
                  <c:v>4</c:v>
                </c:pt>
                <c:pt idx="5">
                  <c:v>4</c:v>
                </c:pt>
                <c:pt idx="6">
                  <c:v>2</c:v>
                </c:pt>
              </c:numCache>
            </c:numRef>
          </c:val>
          <c:extLst>
            <c:ext xmlns:c16="http://schemas.microsoft.com/office/drawing/2014/chart" uri="{C3380CC4-5D6E-409C-BE32-E72D297353CC}">
              <c16:uniqueId val="{00000001-2E63-421A-ABA0-C6F75FBD1084}"/>
            </c:ext>
          </c:extLst>
        </c:ser>
        <c:ser>
          <c:idx val="2"/>
          <c:order val="2"/>
          <c:tx>
            <c:strRef>
              <c:f>'1 - Priority 1 schools'!$L$34</c:f>
              <c:strCache>
                <c:ptCount val="1"/>
                <c:pt idx="0">
                  <c:v>SLE</c:v>
                </c:pt>
              </c:strCache>
            </c:strRef>
          </c:tx>
          <c:spPr>
            <a:solidFill>
              <a:schemeClr val="accent3"/>
            </a:solidFill>
            <a:ln>
              <a:noFill/>
            </a:ln>
            <a:effectLst/>
          </c:spPr>
          <c:invertIfNegative val="0"/>
          <c:cat>
            <c:strRef>
              <c:f>'1 - Priority 1 schools'!$I$35:$I$41</c:f>
              <c:strCache>
                <c:ptCount val="7"/>
                <c:pt idx="0">
                  <c:v>Teacher A</c:v>
                </c:pt>
                <c:pt idx="1">
                  <c:v>Teacher  B</c:v>
                </c:pt>
                <c:pt idx="2">
                  <c:v>Teacher  C</c:v>
                </c:pt>
                <c:pt idx="3">
                  <c:v>Teacher  D</c:v>
                </c:pt>
                <c:pt idx="4">
                  <c:v>Teacher E</c:v>
                </c:pt>
                <c:pt idx="5">
                  <c:v>Teacher  F</c:v>
                </c:pt>
                <c:pt idx="6">
                  <c:v>Teacher G</c:v>
                </c:pt>
              </c:strCache>
            </c:strRef>
          </c:cat>
          <c:val>
            <c:numRef>
              <c:f>'1 - Priority 1 schools'!$L$35:$L$41</c:f>
              <c:numCache>
                <c:formatCode>General</c:formatCode>
                <c:ptCount val="7"/>
                <c:pt idx="0">
                  <c:v>4</c:v>
                </c:pt>
                <c:pt idx="1">
                  <c:v>4</c:v>
                </c:pt>
                <c:pt idx="2">
                  <c:v>5</c:v>
                </c:pt>
                <c:pt idx="3">
                  <c:v>5</c:v>
                </c:pt>
                <c:pt idx="4">
                  <c:v>4</c:v>
                </c:pt>
                <c:pt idx="5">
                  <c:v>4</c:v>
                </c:pt>
                <c:pt idx="6">
                  <c:v>4</c:v>
                </c:pt>
              </c:numCache>
            </c:numRef>
          </c:val>
          <c:extLst>
            <c:ext xmlns:c16="http://schemas.microsoft.com/office/drawing/2014/chart" uri="{C3380CC4-5D6E-409C-BE32-E72D297353CC}">
              <c16:uniqueId val="{00000002-2E63-421A-ABA0-C6F75FBD1084}"/>
            </c:ext>
          </c:extLst>
        </c:ser>
        <c:dLbls>
          <c:showLegendKey val="0"/>
          <c:showVal val="0"/>
          <c:showCatName val="0"/>
          <c:showSerName val="0"/>
          <c:showPercent val="0"/>
          <c:showBubbleSize val="0"/>
        </c:dLbls>
        <c:gapWidth val="219"/>
        <c:overlap val="-27"/>
        <c:axId val="-399873232"/>
        <c:axId val="-399026576"/>
      </c:barChart>
      <c:catAx>
        <c:axId val="-399873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026576"/>
        <c:crossesAt val="0"/>
        <c:auto val="1"/>
        <c:lblAlgn val="ctr"/>
        <c:lblOffset val="100"/>
        <c:noMultiLvlLbl val="0"/>
      </c:catAx>
      <c:valAx>
        <c:axId val="-399026576"/>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873232"/>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3. KRA5 vs PBE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'1 - Priority 1 schools'!$J$54</c:f>
              <c:strCache>
                <c:ptCount val="1"/>
                <c:pt idx="0">
                  <c:v>KRA 5</c:v>
                </c:pt>
              </c:strCache>
            </c:strRef>
          </c:tx>
          <c:spPr>
            <a:solidFill>
              <a:schemeClr val="accent1"/>
            </a:solidFill>
            <a:ln>
              <a:noFill/>
            </a:ln>
            <a:effectLst/>
          </c:spPr>
          <c:invertIfNegative val="0"/>
          <c:cat>
            <c:strRef>
              <c:f>'1 - Priority 1 schools'!$I$55:$I$61</c:f>
              <c:strCache>
                <c:ptCount val="7"/>
                <c:pt idx="0">
                  <c:v>Teacher  A</c:v>
                </c:pt>
                <c:pt idx="1">
                  <c:v>Teacher  B</c:v>
                </c:pt>
                <c:pt idx="2">
                  <c:v>Teacher  C</c:v>
                </c:pt>
                <c:pt idx="3">
                  <c:v>Teacher  D</c:v>
                </c:pt>
                <c:pt idx="4">
                  <c:v>Teacher  E</c:v>
                </c:pt>
                <c:pt idx="5">
                  <c:v>Teacher  F</c:v>
                </c:pt>
                <c:pt idx="6">
                  <c:v>Teacher  G</c:v>
                </c:pt>
              </c:strCache>
            </c:strRef>
          </c:cat>
          <c:val>
            <c:numRef>
              <c:f>'1 - Priority 1 schools'!$J$55:$J$61</c:f>
              <c:numCache>
                <c:formatCode>General</c:formatCode>
                <c:ptCount val="7"/>
                <c:pt idx="0">
                  <c:v>3</c:v>
                </c:pt>
                <c:pt idx="1">
                  <c:v>5</c:v>
                </c:pt>
                <c:pt idx="2">
                  <c:v>5</c:v>
                </c:pt>
                <c:pt idx="3">
                  <c:v>5</c:v>
                </c:pt>
                <c:pt idx="4">
                  <c:v>5</c:v>
                </c:pt>
                <c:pt idx="5">
                  <c:v>4</c:v>
                </c:pt>
                <c:pt idx="6">
                  <c:v>4</c:v>
                </c:pt>
              </c:numCache>
            </c:numRef>
          </c:val>
          <c:extLst>
            <c:ext xmlns:c16="http://schemas.microsoft.com/office/drawing/2014/chart" uri="{C3380CC4-5D6E-409C-BE32-E72D297353CC}">
              <c16:uniqueId val="{00000000-03AD-4876-AE62-DFE7AC8B4E26}"/>
            </c:ext>
          </c:extLst>
        </c:ser>
        <c:ser>
          <c:idx val="1"/>
          <c:order val="1"/>
          <c:tx>
            <c:strRef>
              <c:f>'1 - Priority 1 schools'!$K$54</c:f>
              <c:strCache>
                <c:ptCount val="1"/>
                <c:pt idx="0">
                  <c:v>PBE</c:v>
                </c:pt>
              </c:strCache>
            </c:strRef>
          </c:tx>
          <c:spPr>
            <a:solidFill>
              <a:schemeClr val="accent2"/>
            </a:solidFill>
            <a:ln>
              <a:noFill/>
            </a:ln>
            <a:effectLst/>
          </c:spPr>
          <c:invertIfNegative val="0"/>
          <c:cat>
            <c:strRef>
              <c:f>'1 - Priority 1 schools'!$I$55:$I$61</c:f>
              <c:strCache>
                <c:ptCount val="7"/>
                <c:pt idx="0">
                  <c:v>Teacher  A</c:v>
                </c:pt>
                <c:pt idx="1">
                  <c:v>Teacher  B</c:v>
                </c:pt>
                <c:pt idx="2">
                  <c:v>Teacher  C</c:v>
                </c:pt>
                <c:pt idx="3">
                  <c:v>Teacher  D</c:v>
                </c:pt>
                <c:pt idx="4">
                  <c:v>Teacher  E</c:v>
                </c:pt>
                <c:pt idx="5">
                  <c:v>Teacher  F</c:v>
                </c:pt>
                <c:pt idx="6">
                  <c:v>Teacher  G</c:v>
                </c:pt>
              </c:strCache>
            </c:strRef>
          </c:cat>
          <c:val>
            <c:numRef>
              <c:f>'1 - Priority 1 schools'!$K$55:$K$61</c:f>
              <c:numCache>
                <c:formatCode>General</c:formatCode>
                <c:ptCount val="7"/>
                <c:pt idx="0">
                  <c:v>3</c:v>
                </c:pt>
                <c:pt idx="1">
                  <c:v>4</c:v>
                </c:pt>
                <c:pt idx="2">
                  <c:v>4</c:v>
                </c:pt>
                <c:pt idx="3">
                  <c:v>4</c:v>
                </c:pt>
                <c:pt idx="4">
                  <c:v>4</c:v>
                </c:pt>
                <c:pt idx="5">
                  <c:v>4</c:v>
                </c:pt>
                <c:pt idx="6">
                  <c:v>5</c:v>
                </c:pt>
              </c:numCache>
            </c:numRef>
          </c:val>
          <c:extLst>
            <c:ext xmlns:c16="http://schemas.microsoft.com/office/drawing/2014/chart" uri="{C3380CC4-5D6E-409C-BE32-E72D297353CC}">
              <c16:uniqueId val="{00000001-03AD-4876-AE62-DFE7AC8B4E26}"/>
            </c:ext>
          </c:extLst>
        </c:ser>
        <c:dLbls>
          <c:showLegendKey val="0"/>
          <c:showVal val="0"/>
          <c:showCatName val="0"/>
          <c:showSerName val="0"/>
          <c:showPercent val="0"/>
          <c:showBubbleSize val="0"/>
        </c:dLbls>
        <c:gapWidth val="219"/>
        <c:overlap val="-27"/>
        <c:axId val="-401475248"/>
        <c:axId val="-396896240"/>
      </c:barChart>
      <c:catAx>
        <c:axId val="-401475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896240"/>
        <c:crosses val="autoZero"/>
        <c:auto val="1"/>
        <c:lblAlgn val="ctr"/>
        <c:lblOffset val="100"/>
        <c:noMultiLvlLbl val="0"/>
      </c:catAx>
      <c:valAx>
        <c:axId val="-396896240"/>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1475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Figure 4. KRA 3 vs</a:t>
            </a:r>
            <a:r>
              <a:rPr lang="en-US" sz="1200" baseline="0"/>
              <a:t> CT</a:t>
            </a:r>
            <a:endParaRPr lang="en-US"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'1 - Priority 1 schools'!$J$44</c:f>
              <c:strCache>
                <c:ptCount val="1"/>
                <c:pt idx="0">
                  <c:v>KRA 3</c:v>
                </c:pt>
              </c:strCache>
            </c:strRef>
          </c:tx>
          <c:spPr>
            <a:solidFill>
              <a:schemeClr val="accent1"/>
            </a:solidFill>
            <a:ln>
              <a:noFill/>
            </a:ln>
            <a:effectLst/>
          </c:spPr>
          <c:invertIfNegative val="0"/>
          <c:cat>
            <c:strRef>
              <c:f>'1 - Priority 1 schools'!$I$45:$I$51</c:f>
              <c:strCache>
                <c:ptCount val="7"/>
                <c:pt idx="0">
                  <c:v>Teacher  A</c:v>
                </c:pt>
                <c:pt idx="1">
                  <c:v>Teacher B</c:v>
                </c:pt>
                <c:pt idx="2">
                  <c:v>Teacher  C</c:v>
                </c:pt>
                <c:pt idx="3">
                  <c:v>Teacher D</c:v>
                </c:pt>
                <c:pt idx="4">
                  <c:v>Teacher E</c:v>
                </c:pt>
                <c:pt idx="5">
                  <c:v>Teacher F</c:v>
                </c:pt>
                <c:pt idx="6">
                  <c:v>Teacher G</c:v>
                </c:pt>
              </c:strCache>
            </c:strRef>
          </c:cat>
          <c:val>
            <c:numRef>
              <c:f>'1 - Priority 1 schools'!$J$45:$J$51</c:f>
              <c:numCache>
                <c:formatCode>General</c:formatCode>
                <c:ptCount val="7"/>
                <c:pt idx="0">
                  <c:v>5</c:v>
                </c:pt>
                <c:pt idx="1">
                  <c:v>3</c:v>
                </c:pt>
                <c:pt idx="2">
                  <c:v>5</c:v>
                </c:pt>
                <c:pt idx="3">
                  <c:v>5</c:v>
                </c:pt>
                <c:pt idx="4">
                  <c:v>3</c:v>
                </c:pt>
                <c:pt idx="5">
                  <c:v>3</c:v>
                </c:pt>
                <c:pt idx="6">
                  <c:v>2</c:v>
                </c:pt>
              </c:numCache>
            </c:numRef>
          </c:val>
          <c:extLst>
            <c:ext xmlns:c16="http://schemas.microsoft.com/office/drawing/2014/chart" uri="{C3380CC4-5D6E-409C-BE32-E72D297353CC}">
              <c16:uniqueId val="{00000000-3745-425B-9E93-ECD6C2F318B5}"/>
            </c:ext>
          </c:extLst>
        </c:ser>
        <c:ser>
          <c:idx val="1"/>
          <c:order val="1"/>
          <c:tx>
            <c:strRef>
              <c:f>'1 - Priority 1 schools'!$K$44</c:f>
              <c:strCache>
                <c:ptCount val="1"/>
                <c:pt idx="0">
                  <c:v>CT</c:v>
                </c:pt>
              </c:strCache>
            </c:strRef>
          </c:tx>
          <c:spPr>
            <a:solidFill>
              <a:schemeClr val="accent2"/>
            </a:solidFill>
            <a:ln>
              <a:noFill/>
            </a:ln>
            <a:effectLst/>
          </c:spPr>
          <c:invertIfNegative val="0"/>
          <c:cat>
            <c:strRef>
              <c:f>'1 - Priority 1 schools'!$I$45:$I$51</c:f>
              <c:strCache>
                <c:ptCount val="7"/>
                <c:pt idx="0">
                  <c:v>Teacher  A</c:v>
                </c:pt>
                <c:pt idx="1">
                  <c:v>Teacher B</c:v>
                </c:pt>
                <c:pt idx="2">
                  <c:v>Teacher  C</c:v>
                </c:pt>
                <c:pt idx="3">
                  <c:v>Teacher D</c:v>
                </c:pt>
                <c:pt idx="4">
                  <c:v>Teacher E</c:v>
                </c:pt>
                <c:pt idx="5">
                  <c:v>Teacher F</c:v>
                </c:pt>
                <c:pt idx="6">
                  <c:v>Teacher G</c:v>
                </c:pt>
              </c:strCache>
            </c:strRef>
          </c:cat>
          <c:val>
            <c:numRef>
              <c:f>'1 - Priority 1 schools'!$K$45:$K$51</c:f>
              <c:numCache>
                <c:formatCode>General</c:formatCode>
                <c:ptCount val="7"/>
                <c:pt idx="0">
                  <c:v>2</c:v>
                </c:pt>
                <c:pt idx="1">
                  <c:v>3</c:v>
                </c:pt>
                <c:pt idx="2">
                  <c:v>3</c:v>
                </c:pt>
                <c:pt idx="3">
                  <c:v>4</c:v>
                </c:pt>
                <c:pt idx="4">
                  <c:v>2</c:v>
                </c:pt>
                <c:pt idx="5">
                  <c:v>5</c:v>
                </c:pt>
                <c:pt idx="6">
                  <c:v>5</c:v>
                </c:pt>
              </c:numCache>
            </c:numRef>
          </c:val>
          <c:extLst>
            <c:ext xmlns:c16="http://schemas.microsoft.com/office/drawing/2014/chart" uri="{C3380CC4-5D6E-409C-BE32-E72D297353CC}">
              <c16:uniqueId val="{00000001-3745-425B-9E93-ECD6C2F318B5}"/>
            </c:ext>
          </c:extLst>
        </c:ser>
        <c:dLbls>
          <c:showLegendKey val="0"/>
          <c:showVal val="0"/>
          <c:showCatName val="0"/>
          <c:showSerName val="0"/>
          <c:showPercent val="0"/>
          <c:showBubbleSize val="0"/>
        </c:dLbls>
        <c:gapWidth val="219"/>
        <c:overlap val="-27"/>
        <c:axId val="-401080784"/>
        <c:axId val="-396609024"/>
      </c:barChart>
      <c:catAx>
        <c:axId val="-401080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609024"/>
        <c:crosses val="autoZero"/>
        <c:auto val="1"/>
        <c:lblAlgn val="ctr"/>
        <c:lblOffset val="100"/>
        <c:noMultiLvlLbl val="0"/>
      </c:catAx>
      <c:valAx>
        <c:axId val="-396609024"/>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1080784"/>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5. KRA 9</a:t>
            </a:r>
            <a:r>
              <a:rPr lang="en-US" baseline="0"/>
              <a:t> vs CFU</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'1 - Priority 1 schools'!$J$65</c:f>
              <c:strCache>
                <c:ptCount val="1"/>
                <c:pt idx="0">
                  <c:v>KRA 9</c:v>
                </c:pt>
              </c:strCache>
            </c:strRef>
          </c:tx>
          <c:spPr>
            <a:solidFill>
              <a:schemeClr val="accent1"/>
            </a:solidFill>
            <a:ln>
              <a:noFill/>
            </a:ln>
            <a:effectLst/>
          </c:spPr>
          <c:invertIfNegative val="0"/>
          <c:cat>
            <c:strRef>
              <c:f>'1 - Priority 1 schools'!$I$66:$I$72</c:f>
              <c:strCache>
                <c:ptCount val="7"/>
                <c:pt idx="0">
                  <c:v>Teacher  A</c:v>
                </c:pt>
                <c:pt idx="1">
                  <c:v>Teacher  B</c:v>
                </c:pt>
                <c:pt idx="2">
                  <c:v>Teacher C</c:v>
                </c:pt>
                <c:pt idx="3">
                  <c:v>Teacher  D</c:v>
                </c:pt>
                <c:pt idx="4">
                  <c:v>Teacher  E</c:v>
                </c:pt>
                <c:pt idx="5">
                  <c:v>Teacher  F</c:v>
                </c:pt>
                <c:pt idx="6">
                  <c:v>Teacher G</c:v>
                </c:pt>
              </c:strCache>
            </c:strRef>
          </c:cat>
          <c:val>
            <c:numRef>
              <c:f>'1 - Priority 1 schools'!$J$66:$J$72</c:f>
              <c:numCache>
                <c:formatCode>General</c:formatCode>
                <c:ptCount val="7"/>
                <c:pt idx="0">
                  <c:v>5</c:v>
                </c:pt>
                <c:pt idx="1">
                  <c:v>5</c:v>
                </c:pt>
                <c:pt idx="2">
                  <c:v>5</c:v>
                </c:pt>
                <c:pt idx="3">
                  <c:v>5</c:v>
                </c:pt>
                <c:pt idx="4">
                  <c:v>5</c:v>
                </c:pt>
                <c:pt idx="5">
                  <c:v>4</c:v>
                </c:pt>
                <c:pt idx="6">
                  <c:v>4</c:v>
                </c:pt>
              </c:numCache>
            </c:numRef>
          </c:val>
          <c:extLst>
            <c:ext xmlns:c16="http://schemas.microsoft.com/office/drawing/2014/chart" uri="{C3380CC4-5D6E-409C-BE32-E72D297353CC}">
              <c16:uniqueId val="{00000000-206D-40E5-8217-948A318856DE}"/>
            </c:ext>
          </c:extLst>
        </c:ser>
        <c:ser>
          <c:idx val="1"/>
          <c:order val="1"/>
          <c:tx>
            <c:strRef>
              <c:f>'1 - Priority 1 schools'!$K$65</c:f>
              <c:strCache>
                <c:ptCount val="1"/>
                <c:pt idx="0">
                  <c:v>CFU</c:v>
                </c:pt>
              </c:strCache>
            </c:strRef>
          </c:tx>
          <c:spPr>
            <a:solidFill>
              <a:schemeClr val="accent2"/>
            </a:solidFill>
            <a:ln>
              <a:noFill/>
            </a:ln>
            <a:effectLst/>
          </c:spPr>
          <c:invertIfNegative val="0"/>
          <c:cat>
            <c:strRef>
              <c:f>'1 - Priority 1 schools'!$I$66:$I$72</c:f>
              <c:strCache>
                <c:ptCount val="7"/>
                <c:pt idx="0">
                  <c:v>Teacher  A</c:v>
                </c:pt>
                <c:pt idx="1">
                  <c:v>Teacher  B</c:v>
                </c:pt>
                <c:pt idx="2">
                  <c:v>Teacher C</c:v>
                </c:pt>
                <c:pt idx="3">
                  <c:v>Teacher  D</c:v>
                </c:pt>
                <c:pt idx="4">
                  <c:v>Teacher  E</c:v>
                </c:pt>
                <c:pt idx="5">
                  <c:v>Teacher  F</c:v>
                </c:pt>
                <c:pt idx="6">
                  <c:v>Teacher G</c:v>
                </c:pt>
              </c:strCache>
            </c:strRef>
          </c:cat>
          <c:val>
            <c:numRef>
              <c:f>'1 - Priority 1 schools'!$K$66:$K$72</c:f>
              <c:numCache>
                <c:formatCode>General</c:formatCode>
                <c:ptCount val="7"/>
                <c:pt idx="0">
                  <c:v>3</c:v>
                </c:pt>
                <c:pt idx="1">
                  <c:v>3</c:v>
                </c:pt>
                <c:pt idx="2">
                  <c:v>3</c:v>
                </c:pt>
                <c:pt idx="3">
                  <c:v>5</c:v>
                </c:pt>
                <c:pt idx="4">
                  <c:v>4</c:v>
                </c:pt>
                <c:pt idx="5">
                  <c:v>2</c:v>
                </c:pt>
                <c:pt idx="6">
                  <c:v>4</c:v>
                </c:pt>
              </c:numCache>
            </c:numRef>
          </c:val>
          <c:extLst>
            <c:ext xmlns:c16="http://schemas.microsoft.com/office/drawing/2014/chart" uri="{C3380CC4-5D6E-409C-BE32-E72D297353CC}">
              <c16:uniqueId val="{00000001-206D-40E5-8217-948A318856DE}"/>
            </c:ext>
          </c:extLst>
        </c:ser>
        <c:dLbls>
          <c:showLegendKey val="0"/>
          <c:showVal val="0"/>
          <c:showCatName val="0"/>
          <c:showSerName val="0"/>
          <c:showPercent val="0"/>
          <c:showBubbleSize val="0"/>
        </c:dLbls>
        <c:gapWidth val="219"/>
        <c:overlap val="-27"/>
        <c:axId val="-480450240"/>
        <c:axId val="-401232976"/>
      </c:barChart>
      <c:catAx>
        <c:axId val="-480450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1232976"/>
        <c:crosses val="autoZero"/>
        <c:auto val="1"/>
        <c:lblAlgn val="ctr"/>
        <c:lblOffset val="100"/>
        <c:noMultiLvlLbl val="0"/>
      </c:catAx>
      <c:valAx>
        <c:axId val="-401232976"/>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45024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FFC-434A-B8B2-647C3D210A6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FFC-434A-B8B2-647C3D210A6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FFC-434A-B8B2-647C3D210A6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FFC-434A-B8B2-647C3D210A69}"/>
              </c:ext>
            </c:extLst>
          </c:dPt>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'School Leaver - Seconda'!$Q$8:$Q$11</c:f>
              <c:strCache>
                <c:ptCount val="4"/>
                <c:pt idx="0">
                  <c:v>Pre-Primary</c:v>
                </c:pt>
                <c:pt idx="1">
                  <c:v>Primary</c:v>
                </c:pt>
                <c:pt idx="2">
                  <c:v>Secondary</c:v>
                </c:pt>
                <c:pt idx="3">
                  <c:v>Tertiary</c:v>
                </c:pt>
              </c:strCache>
            </c:strRef>
          </c:cat>
          <c:val>
            <c:numRef>
              <c:f>'School Leaver - Seconda'!$R$8:$R$11</c:f>
              <c:numCache>
                <c:formatCode>#,##0</c:formatCode>
                <c:ptCount val="4"/>
                <c:pt idx="0">
                  <c:v>2239549</c:v>
                </c:pt>
                <c:pt idx="1">
                  <c:v>13114259</c:v>
                </c:pt>
                <c:pt idx="2">
                  <c:v>8359013</c:v>
                </c:pt>
                <c:pt idx="3">
                  <c:v>10174824</c:v>
                </c:pt>
              </c:numCache>
            </c:numRef>
          </c:val>
          <c:extLst>
            <c:ext xmlns:c16="http://schemas.microsoft.com/office/drawing/2014/chart" uri="{C3380CC4-5D6E-409C-BE32-E72D297353CC}">
              <c16:uniqueId val="{00000008-DFFC-434A-B8B2-647C3D210A69}"/>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baseline="0"/>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'No of Schools'!$A$28</c:f>
              <c:strCache>
                <c:ptCount val="1"/>
                <c:pt idx="0">
                  <c:v>Total</c:v>
                </c:pt>
              </c:strCache>
            </c:strRef>
          </c:tx>
          <c:spPr>
            <a:solidFill>
              <a:schemeClr val="accent1"/>
            </a:solidFill>
            <a:ln>
              <a:noFill/>
            </a:ln>
            <a:effectLst/>
            <a:sp3d/>
          </c:spPr>
          <c:invertIfNegative val="0"/>
          <c:cat>
            <c:numRef>
              <c:f>'No of Schools'!$B$27:$F$27</c:f>
              <c:numCache>
                <c:formatCode>General</c:formatCode>
                <c:ptCount val="5"/>
                <c:pt idx="0">
                  <c:v>2013</c:v>
                </c:pt>
                <c:pt idx="1">
                  <c:v>2014</c:v>
                </c:pt>
                <c:pt idx="2">
                  <c:v>2015</c:v>
                </c:pt>
                <c:pt idx="3">
                  <c:v>2016</c:v>
                </c:pt>
                <c:pt idx="4">
                  <c:v>2017</c:v>
                </c:pt>
              </c:numCache>
            </c:numRef>
          </c:cat>
          <c:val>
            <c:numRef>
              <c:f>'No of Schools'!$B$28:$F$28</c:f>
              <c:numCache>
                <c:formatCode>#,##0</c:formatCode>
                <c:ptCount val="5"/>
                <c:pt idx="0">
                  <c:v>46603</c:v>
                </c:pt>
                <c:pt idx="1">
                  <c:v>46624</c:v>
                </c:pt>
                <c:pt idx="2">
                  <c:v>46752</c:v>
                </c:pt>
                <c:pt idx="3">
                  <c:v>47088</c:v>
                </c:pt>
                <c:pt idx="4">
                  <c:v>47664</c:v>
                </c:pt>
              </c:numCache>
            </c:numRef>
          </c:val>
          <c:shape val="cylinder"/>
          <c:extLst>
            <c:ext xmlns:c16="http://schemas.microsoft.com/office/drawing/2014/chart" uri="{C3380CC4-5D6E-409C-BE32-E72D297353CC}">
              <c16:uniqueId val="{00000000-7FA4-4F81-B624-16262B8676CE}"/>
            </c:ext>
          </c:extLst>
        </c:ser>
        <c:ser>
          <c:idx val="1"/>
          <c:order val="1"/>
          <c:tx>
            <c:strRef>
              <c:f>'No of Schools'!$A$29</c:f>
              <c:strCache>
                <c:ptCount val="1"/>
                <c:pt idx="0">
                  <c:v>Elementary</c:v>
                </c:pt>
              </c:strCache>
            </c:strRef>
          </c:tx>
          <c:spPr>
            <a:solidFill>
              <a:schemeClr val="accent2"/>
            </a:solidFill>
            <a:ln>
              <a:noFill/>
            </a:ln>
            <a:effectLst/>
            <a:sp3d/>
          </c:spPr>
          <c:invertIfNegative val="0"/>
          <c:cat>
            <c:numRef>
              <c:f>'No of Schools'!$B$27:$F$27</c:f>
              <c:numCache>
                <c:formatCode>General</c:formatCode>
                <c:ptCount val="5"/>
                <c:pt idx="0">
                  <c:v>2013</c:v>
                </c:pt>
                <c:pt idx="1">
                  <c:v>2014</c:v>
                </c:pt>
                <c:pt idx="2">
                  <c:v>2015</c:v>
                </c:pt>
                <c:pt idx="3">
                  <c:v>2016</c:v>
                </c:pt>
                <c:pt idx="4">
                  <c:v>2017</c:v>
                </c:pt>
              </c:numCache>
            </c:numRef>
          </c:cat>
          <c:val>
            <c:numRef>
              <c:f>'No of Schools'!$B$29:$F$29</c:f>
              <c:numCache>
                <c:formatCode>#,##0</c:formatCode>
                <c:ptCount val="5"/>
                <c:pt idx="0">
                  <c:v>38689</c:v>
                </c:pt>
                <c:pt idx="1">
                  <c:v>38648</c:v>
                </c:pt>
                <c:pt idx="2">
                  <c:v>38666</c:v>
                </c:pt>
                <c:pt idx="3">
                  <c:v>38803</c:v>
                </c:pt>
                <c:pt idx="4">
                  <c:v>38913</c:v>
                </c:pt>
              </c:numCache>
            </c:numRef>
          </c:val>
          <c:shape val="cylinder"/>
          <c:extLst>
            <c:ext xmlns:c16="http://schemas.microsoft.com/office/drawing/2014/chart" uri="{C3380CC4-5D6E-409C-BE32-E72D297353CC}">
              <c16:uniqueId val="{00000001-7FA4-4F81-B624-16262B8676CE}"/>
            </c:ext>
          </c:extLst>
        </c:ser>
        <c:ser>
          <c:idx val="2"/>
          <c:order val="2"/>
          <c:tx>
            <c:strRef>
              <c:f>'No of Schools'!$A$30</c:f>
              <c:strCache>
                <c:ptCount val="1"/>
                <c:pt idx="0">
                  <c:v>Secondary</c:v>
                </c:pt>
              </c:strCache>
            </c:strRef>
          </c:tx>
          <c:spPr>
            <a:solidFill>
              <a:schemeClr val="accent3"/>
            </a:solidFill>
            <a:ln>
              <a:noFill/>
            </a:ln>
            <a:effectLst/>
            <a:sp3d/>
          </c:spPr>
          <c:invertIfNegative val="0"/>
          <c:cat>
            <c:numRef>
              <c:f>'No of Schools'!$B$27:$F$27</c:f>
              <c:numCache>
                <c:formatCode>General</c:formatCode>
                <c:ptCount val="5"/>
                <c:pt idx="0">
                  <c:v>2013</c:v>
                </c:pt>
                <c:pt idx="1">
                  <c:v>2014</c:v>
                </c:pt>
                <c:pt idx="2">
                  <c:v>2015</c:v>
                </c:pt>
                <c:pt idx="3">
                  <c:v>2016</c:v>
                </c:pt>
                <c:pt idx="4">
                  <c:v>2017</c:v>
                </c:pt>
              </c:numCache>
            </c:numRef>
          </c:cat>
          <c:val>
            <c:numRef>
              <c:f>'No of Schools'!$B$30:$F$30</c:f>
              <c:numCache>
                <c:formatCode>#,##0</c:formatCode>
                <c:ptCount val="5"/>
                <c:pt idx="0">
                  <c:v>7914</c:v>
                </c:pt>
                <c:pt idx="1">
                  <c:v>7976</c:v>
                </c:pt>
                <c:pt idx="2">
                  <c:v>8086</c:v>
                </c:pt>
                <c:pt idx="3">
                  <c:v>8285</c:v>
                </c:pt>
                <c:pt idx="4">
                  <c:v>8751</c:v>
                </c:pt>
              </c:numCache>
            </c:numRef>
          </c:val>
          <c:shape val="cylinder"/>
          <c:extLst>
            <c:ext xmlns:c16="http://schemas.microsoft.com/office/drawing/2014/chart" uri="{C3380CC4-5D6E-409C-BE32-E72D297353CC}">
              <c16:uniqueId val="{00000002-7FA4-4F81-B624-16262B8676CE}"/>
            </c:ext>
          </c:extLst>
        </c:ser>
        <c:dLbls>
          <c:showLegendKey val="0"/>
          <c:showVal val="0"/>
          <c:showCatName val="0"/>
          <c:showSerName val="0"/>
          <c:showPercent val="0"/>
          <c:showBubbleSize val="0"/>
        </c:dLbls>
        <c:gapWidth val="150"/>
        <c:shape val="box"/>
        <c:axId val="112512864"/>
        <c:axId val="64780672"/>
        <c:axId val="0"/>
      </c:bar3DChart>
      <c:catAx>
        <c:axId val="1125128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4780672"/>
        <c:crosses val="autoZero"/>
        <c:auto val="1"/>
        <c:lblAlgn val="ctr"/>
        <c:lblOffset val="100"/>
        <c:noMultiLvlLbl val="0"/>
      </c:catAx>
      <c:valAx>
        <c:axId val="64780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12512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'No of Schools'!$A$68</c:f>
              <c:strCache>
                <c:ptCount val="1"/>
                <c:pt idx="0">
                  <c:v>Total</c:v>
                </c:pt>
              </c:strCache>
            </c:strRef>
          </c:tx>
          <c:spPr>
            <a:solidFill>
              <a:schemeClr val="accent1"/>
            </a:solidFill>
            <a:ln>
              <a:noFill/>
            </a:ln>
            <a:effectLst/>
          </c:spPr>
          <c:invertIfNegative val="0"/>
          <c:cat>
            <c:numRef>
              <c:f>'No of Schools'!$B$67:$F$67</c:f>
              <c:numCache>
                <c:formatCode>General</c:formatCode>
                <c:ptCount val="5"/>
                <c:pt idx="0">
                  <c:v>2013</c:v>
                </c:pt>
                <c:pt idx="1">
                  <c:v>2014</c:v>
                </c:pt>
                <c:pt idx="2">
                  <c:v>2015</c:v>
                </c:pt>
                <c:pt idx="3">
                  <c:v>2016</c:v>
                </c:pt>
                <c:pt idx="4">
                  <c:v>2017</c:v>
                </c:pt>
              </c:numCache>
            </c:numRef>
          </c:cat>
          <c:val>
            <c:numRef>
              <c:f>'No of Schools'!$B$68:$F$68</c:f>
              <c:numCache>
                <c:formatCode>#,##0</c:formatCode>
                <c:ptCount val="5"/>
                <c:pt idx="0">
                  <c:v>46603</c:v>
                </c:pt>
                <c:pt idx="1">
                  <c:v>46624</c:v>
                </c:pt>
                <c:pt idx="2">
                  <c:v>46752</c:v>
                </c:pt>
                <c:pt idx="3">
                  <c:v>47088</c:v>
                </c:pt>
                <c:pt idx="4">
                  <c:v>47664</c:v>
                </c:pt>
              </c:numCache>
            </c:numRef>
          </c:val>
          <c:extLst>
            <c:ext xmlns:c16="http://schemas.microsoft.com/office/drawing/2014/chart" uri="{C3380CC4-5D6E-409C-BE32-E72D297353CC}">
              <c16:uniqueId val="{00000000-BF89-4412-8308-C7B6683F2A85}"/>
            </c:ext>
          </c:extLst>
        </c:ser>
        <c:ser>
          <c:idx val="1"/>
          <c:order val="1"/>
          <c:tx>
            <c:strRef>
              <c:f>'No of Schools'!$A$69</c:f>
              <c:strCache>
                <c:ptCount val="1"/>
                <c:pt idx="0">
                  <c:v>Elementary</c:v>
                </c:pt>
              </c:strCache>
            </c:strRef>
          </c:tx>
          <c:spPr>
            <a:solidFill>
              <a:schemeClr val="accent2"/>
            </a:solidFill>
            <a:ln>
              <a:noFill/>
            </a:ln>
            <a:effectLst/>
          </c:spPr>
          <c:invertIfNegative val="0"/>
          <c:cat>
            <c:numRef>
              <c:f>'No of Schools'!$B$67:$F$67</c:f>
              <c:numCache>
                <c:formatCode>General</c:formatCode>
                <c:ptCount val="5"/>
                <c:pt idx="0">
                  <c:v>2013</c:v>
                </c:pt>
                <c:pt idx="1">
                  <c:v>2014</c:v>
                </c:pt>
                <c:pt idx="2">
                  <c:v>2015</c:v>
                </c:pt>
                <c:pt idx="3">
                  <c:v>2016</c:v>
                </c:pt>
                <c:pt idx="4">
                  <c:v>2017</c:v>
                </c:pt>
              </c:numCache>
            </c:numRef>
          </c:cat>
          <c:val>
            <c:numRef>
              <c:f>'No of Schools'!$B$69:$F$69</c:f>
              <c:numCache>
                <c:formatCode>#,##0</c:formatCode>
                <c:ptCount val="5"/>
                <c:pt idx="0">
                  <c:v>38689</c:v>
                </c:pt>
                <c:pt idx="1">
                  <c:v>38648</c:v>
                </c:pt>
                <c:pt idx="2">
                  <c:v>38666</c:v>
                </c:pt>
                <c:pt idx="3">
                  <c:v>38803</c:v>
                </c:pt>
                <c:pt idx="4">
                  <c:v>38913</c:v>
                </c:pt>
              </c:numCache>
            </c:numRef>
          </c:val>
          <c:extLst>
            <c:ext xmlns:c16="http://schemas.microsoft.com/office/drawing/2014/chart" uri="{C3380CC4-5D6E-409C-BE32-E72D297353CC}">
              <c16:uniqueId val="{00000001-BF89-4412-8308-C7B6683F2A85}"/>
            </c:ext>
          </c:extLst>
        </c:ser>
        <c:ser>
          <c:idx val="2"/>
          <c:order val="2"/>
          <c:tx>
            <c:strRef>
              <c:f>'No of Schools'!$A$70</c:f>
              <c:strCache>
                <c:ptCount val="1"/>
                <c:pt idx="0">
                  <c:v>Secondary</c:v>
                </c:pt>
              </c:strCache>
            </c:strRef>
          </c:tx>
          <c:spPr>
            <a:solidFill>
              <a:schemeClr val="accent3"/>
            </a:solidFill>
            <a:ln>
              <a:noFill/>
            </a:ln>
            <a:effectLst/>
          </c:spPr>
          <c:invertIfNegative val="0"/>
          <c:cat>
            <c:numRef>
              <c:f>'No of Schools'!$B$67:$F$67</c:f>
              <c:numCache>
                <c:formatCode>General</c:formatCode>
                <c:ptCount val="5"/>
                <c:pt idx="0">
                  <c:v>2013</c:v>
                </c:pt>
                <c:pt idx="1">
                  <c:v>2014</c:v>
                </c:pt>
                <c:pt idx="2">
                  <c:v>2015</c:v>
                </c:pt>
                <c:pt idx="3">
                  <c:v>2016</c:v>
                </c:pt>
                <c:pt idx="4">
                  <c:v>2017</c:v>
                </c:pt>
              </c:numCache>
            </c:numRef>
          </c:cat>
          <c:val>
            <c:numRef>
              <c:f>'No of Schools'!$B$70:$F$70</c:f>
              <c:numCache>
                <c:formatCode>#,##0</c:formatCode>
                <c:ptCount val="5"/>
                <c:pt idx="0">
                  <c:v>7914</c:v>
                </c:pt>
                <c:pt idx="1">
                  <c:v>7976</c:v>
                </c:pt>
                <c:pt idx="2">
                  <c:v>8086</c:v>
                </c:pt>
                <c:pt idx="3">
                  <c:v>8285</c:v>
                </c:pt>
                <c:pt idx="4">
                  <c:v>8751</c:v>
                </c:pt>
              </c:numCache>
            </c:numRef>
          </c:val>
          <c:extLst>
            <c:ext xmlns:c16="http://schemas.microsoft.com/office/drawing/2014/chart" uri="{C3380CC4-5D6E-409C-BE32-E72D297353CC}">
              <c16:uniqueId val="{00000002-BF89-4412-8308-C7B6683F2A85}"/>
            </c:ext>
          </c:extLst>
        </c:ser>
        <c:dLbls>
          <c:showLegendKey val="0"/>
          <c:showVal val="0"/>
          <c:showCatName val="0"/>
          <c:showSerName val="0"/>
          <c:showPercent val="0"/>
          <c:showBubbleSize val="0"/>
        </c:dLbls>
        <c:gapWidth val="219"/>
        <c:overlap val="-27"/>
        <c:axId val="844206784"/>
        <c:axId val="844705312"/>
      </c:barChart>
      <c:lineChart>
        <c:grouping val="standard"/>
        <c:varyColors val="0"/>
        <c:ser>
          <c:idx val="3"/>
          <c:order val="3"/>
          <c:tx>
            <c:strRef>
              <c:f>'No of Schools'!$A$71</c:f>
              <c:strCache>
                <c:ptCount val="1"/>
                <c:pt idx="0">
                  <c:v>BEST schools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'No of Schools'!$B$67:$F$67</c:f>
              <c:numCache>
                <c:formatCode>General</c:formatCode>
                <c:ptCount val="5"/>
                <c:pt idx="0">
                  <c:v>2013</c:v>
                </c:pt>
                <c:pt idx="1">
                  <c:v>2014</c:v>
                </c:pt>
                <c:pt idx="2">
                  <c:v>2015</c:v>
                </c:pt>
                <c:pt idx="3">
                  <c:v>2016</c:v>
                </c:pt>
                <c:pt idx="4">
                  <c:v>2017</c:v>
                </c:pt>
              </c:numCache>
            </c:numRef>
          </c:cat>
          <c:val>
            <c:numRef>
              <c:f>'No of Schools'!$B$71:$F$71</c:f>
              <c:numCache>
                <c:formatCode>#,##0</c:formatCode>
                <c:ptCount val="5"/>
                <c:pt idx="0">
                  <c:v>18418</c:v>
                </c:pt>
                <c:pt idx="1">
                  <c:v>18953</c:v>
                </c:pt>
                <c:pt idx="2">
                  <c:v>18468</c:v>
                </c:pt>
                <c:pt idx="3">
                  <c:v>16969</c:v>
                </c:pt>
                <c:pt idx="4">
                  <c:v>19244</c:v>
                </c:pt>
              </c:numCache>
            </c:numRef>
          </c:val>
          <c:smooth val="0"/>
          <c:extLst>
            <c:ext xmlns:c16="http://schemas.microsoft.com/office/drawing/2014/chart" uri="{C3380CC4-5D6E-409C-BE32-E72D297353CC}">
              <c16:uniqueId val="{00000003-BF89-4412-8308-C7B6683F2A85}"/>
            </c:ext>
          </c:extLst>
        </c:ser>
        <c:ser>
          <c:idx val="4"/>
          <c:order val="4"/>
          <c:tx>
            <c:strRef>
              <c:f>'No of Schools'!$A$72</c:f>
              <c:strCache>
                <c:ptCount val="1"/>
                <c:pt idx="0">
                  <c:v>Non-BEST schools</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'No of Schools'!$B$67:$F$67</c:f>
              <c:numCache>
                <c:formatCode>General</c:formatCode>
                <c:ptCount val="5"/>
                <c:pt idx="0">
                  <c:v>2013</c:v>
                </c:pt>
                <c:pt idx="1">
                  <c:v>2014</c:v>
                </c:pt>
                <c:pt idx="2">
                  <c:v>2015</c:v>
                </c:pt>
                <c:pt idx="3">
                  <c:v>2016</c:v>
                </c:pt>
                <c:pt idx="4">
                  <c:v>2017</c:v>
                </c:pt>
              </c:numCache>
            </c:numRef>
          </c:cat>
          <c:val>
            <c:numRef>
              <c:f>'No of Schools'!$B$72:$F$72</c:f>
              <c:numCache>
                <c:formatCode>#,##0</c:formatCode>
                <c:ptCount val="5"/>
                <c:pt idx="0">
                  <c:v>28185</c:v>
                </c:pt>
                <c:pt idx="1">
                  <c:v>27671</c:v>
                </c:pt>
                <c:pt idx="2">
                  <c:v>28284</c:v>
                </c:pt>
                <c:pt idx="3">
                  <c:v>30119</c:v>
                </c:pt>
                <c:pt idx="4">
                  <c:v>28420</c:v>
                </c:pt>
              </c:numCache>
            </c:numRef>
          </c:val>
          <c:smooth val="0"/>
          <c:extLst>
            <c:ext xmlns:c16="http://schemas.microsoft.com/office/drawing/2014/chart" uri="{C3380CC4-5D6E-409C-BE32-E72D297353CC}">
              <c16:uniqueId val="{00000004-BF89-4412-8308-C7B6683F2A85}"/>
            </c:ext>
          </c:extLst>
        </c:ser>
        <c:dLbls>
          <c:showLegendKey val="0"/>
          <c:showVal val="0"/>
          <c:showCatName val="0"/>
          <c:showSerName val="0"/>
          <c:showPercent val="0"/>
          <c:showBubbleSize val="0"/>
        </c:dLbls>
        <c:marker val="1"/>
        <c:smooth val="0"/>
        <c:axId val="839179952"/>
        <c:axId val="846219104"/>
      </c:lineChart>
      <c:catAx>
        <c:axId val="844206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44705312"/>
        <c:crosses val="autoZero"/>
        <c:auto val="1"/>
        <c:lblAlgn val="ctr"/>
        <c:lblOffset val="100"/>
        <c:noMultiLvlLbl val="0"/>
      </c:catAx>
      <c:valAx>
        <c:axId val="844705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No. Schools by Type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44206784"/>
        <c:crosses val="autoZero"/>
        <c:crossBetween val="between"/>
      </c:valAx>
      <c:valAx>
        <c:axId val="846219104"/>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No. of BEST/Non-BEST Schools</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39179952"/>
        <c:crosses val="max"/>
        <c:crossBetween val="between"/>
      </c:valAx>
      <c:catAx>
        <c:axId val="839179952"/>
        <c:scaling>
          <c:orientation val="minMax"/>
        </c:scaling>
        <c:delete val="1"/>
        <c:axPos val="b"/>
        <c:numFmt formatCode="General" sourceLinked="1"/>
        <c:majorTickMark val="out"/>
        <c:minorTickMark val="none"/>
        <c:tickLblPos val="nextTo"/>
        <c:crossAx val="8462191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'No of Schools'!$W$3</c:f>
              <c:strCache>
                <c:ptCount val="1"/>
                <c:pt idx="0">
                  <c:v>Elementary</c:v>
                </c:pt>
              </c:strCache>
            </c:strRef>
          </c:tx>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 of Schools'!$V$4:$V$20</c:f>
              <c:strCache>
                <c:ptCount val="17"/>
                <c:pt idx="0">
                  <c:v>Region I</c:v>
                </c:pt>
                <c:pt idx="1">
                  <c:v>Region II</c:v>
                </c:pt>
                <c:pt idx="2">
                  <c:v>Region III</c:v>
                </c:pt>
                <c:pt idx="3">
                  <c:v>Region IV-A</c:v>
                </c:pt>
                <c:pt idx="4">
                  <c:v>Region IV-B</c:v>
                </c:pt>
                <c:pt idx="5">
                  <c:v>Region V</c:v>
                </c:pt>
                <c:pt idx="6">
                  <c:v>Region VI</c:v>
                </c:pt>
                <c:pt idx="7">
                  <c:v>Region VII</c:v>
                </c:pt>
                <c:pt idx="8">
                  <c:v>Region VIII</c:v>
                </c:pt>
                <c:pt idx="9">
                  <c:v>Region IX</c:v>
                </c:pt>
                <c:pt idx="10">
                  <c:v>Region X</c:v>
                </c:pt>
                <c:pt idx="11">
                  <c:v>Region XI</c:v>
                </c:pt>
                <c:pt idx="12">
                  <c:v>Region XII</c:v>
                </c:pt>
                <c:pt idx="13">
                  <c:v>CARAGA</c:v>
                </c:pt>
                <c:pt idx="14">
                  <c:v>ARMM</c:v>
                </c:pt>
                <c:pt idx="15">
                  <c:v>CAR</c:v>
                </c:pt>
                <c:pt idx="16">
                  <c:v>NCR</c:v>
                </c:pt>
              </c:strCache>
            </c:strRef>
          </c:cat>
          <c:val>
            <c:numRef>
              <c:f>'No of Schools'!$W$4:$W$20</c:f>
              <c:numCache>
                <c:formatCode>0%</c:formatCode>
                <c:ptCount val="17"/>
                <c:pt idx="0">
                  <c:v>6.1676046565415157E-2</c:v>
                </c:pt>
                <c:pt idx="1">
                  <c:v>5.6613471076503996E-2</c:v>
                </c:pt>
                <c:pt idx="2">
                  <c:v>7.7223549970446892E-2</c:v>
                </c:pt>
                <c:pt idx="3">
                  <c:v>7.0387788142780044E-2</c:v>
                </c:pt>
                <c:pt idx="4">
                  <c:v>4.7824634440932337E-2</c:v>
                </c:pt>
                <c:pt idx="5">
                  <c:v>8.0924112764371808E-2</c:v>
                </c:pt>
                <c:pt idx="6">
                  <c:v>8.7400097653740391E-2</c:v>
                </c:pt>
                <c:pt idx="7">
                  <c:v>7.5655950453575926E-2</c:v>
                </c:pt>
                <c:pt idx="8">
                  <c:v>9.3644797368488686E-2</c:v>
                </c:pt>
                <c:pt idx="9">
                  <c:v>5.4634697915863596E-2</c:v>
                </c:pt>
                <c:pt idx="10">
                  <c:v>5.404363580294503E-2</c:v>
                </c:pt>
                <c:pt idx="11">
                  <c:v>4.3121835890319433E-2</c:v>
                </c:pt>
                <c:pt idx="12">
                  <c:v>4.6231336571325776E-2</c:v>
                </c:pt>
                <c:pt idx="13">
                  <c:v>4.2813455657492352E-2</c:v>
                </c:pt>
                <c:pt idx="14">
                  <c:v>5.5225760028782156E-2</c:v>
                </c:pt>
                <c:pt idx="15">
                  <c:v>3.9318479685452164E-2</c:v>
                </c:pt>
                <c:pt idx="16">
                  <c:v>1.3260350011564259E-2</c:v>
                </c:pt>
              </c:numCache>
            </c:numRef>
          </c:val>
          <c:extLst>
            <c:ext xmlns:c16="http://schemas.microsoft.com/office/drawing/2014/chart" uri="{C3380CC4-5D6E-409C-BE32-E72D297353CC}">
              <c16:uniqueId val="{00000000-7E58-4F52-8840-499E7F53615A}"/>
            </c:ext>
          </c:extLst>
        </c:ser>
        <c:ser>
          <c:idx val="1"/>
          <c:order val="1"/>
          <c:tx>
            <c:strRef>
              <c:f>'No of Schools'!$X$3</c:f>
              <c:strCache>
                <c:ptCount val="1"/>
                <c:pt idx="0">
                  <c:v>Secondary</c:v>
                </c:pt>
              </c:strCache>
            </c:strRef>
          </c:tx>
          <c:spPr>
            <a:solidFill>
              <a:schemeClr val="accent2"/>
            </a:solidFill>
            <a:ln>
              <a:noFill/>
            </a:ln>
            <a:effectLst/>
            <a:sp3d/>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 of Schools'!$V$4:$V$20</c:f>
              <c:strCache>
                <c:ptCount val="17"/>
                <c:pt idx="0">
                  <c:v>Region I</c:v>
                </c:pt>
                <c:pt idx="1">
                  <c:v>Region II</c:v>
                </c:pt>
                <c:pt idx="2">
                  <c:v>Region III</c:v>
                </c:pt>
                <c:pt idx="3">
                  <c:v>Region IV-A</c:v>
                </c:pt>
                <c:pt idx="4">
                  <c:v>Region IV-B</c:v>
                </c:pt>
                <c:pt idx="5">
                  <c:v>Region V</c:v>
                </c:pt>
                <c:pt idx="6">
                  <c:v>Region VI</c:v>
                </c:pt>
                <c:pt idx="7">
                  <c:v>Region VII</c:v>
                </c:pt>
                <c:pt idx="8">
                  <c:v>Region VIII</c:v>
                </c:pt>
                <c:pt idx="9">
                  <c:v>Region IX</c:v>
                </c:pt>
                <c:pt idx="10">
                  <c:v>Region X</c:v>
                </c:pt>
                <c:pt idx="11">
                  <c:v>Region XI</c:v>
                </c:pt>
                <c:pt idx="12">
                  <c:v>Region XII</c:v>
                </c:pt>
                <c:pt idx="13">
                  <c:v>CARAGA</c:v>
                </c:pt>
                <c:pt idx="14">
                  <c:v>ARMM</c:v>
                </c:pt>
                <c:pt idx="15">
                  <c:v>CAR</c:v>
                </c:pt>
                <c:pt idx="16">
                  <c:v>NCR</c:v>
                </c:pt>
              </c:strCache>
            </c:strRef>
          </c:cat>
          <c:val>
            <c:numRef>
              <c:f>'No of Schools'!$X$4:$X$20</c:f>
              <c:numCache>
                <c:formatCode>0%</c:formatCode>
                <c:ptCount val="17"/>
                <c:pt idx="0">
                  <c:v>6.4221231859216091E-2</c:v>
                </c:pt>
                <c:pt idx="1">
                  <c:v>4.6851788367043769E-2</c:v>
                </c:pt>
                <c:pt idx="2">
                  <c:v>8.1704948005942177E-2</c:v>
                </c:pt>
                <c:pt idx="3">
                  <c:v>8.9361215861044452E-2</c:v>
                </c:pt>
                <c:pt idx="4">
                  <c:v>4.7765969603473887E-2</c:v>
                </c:pt>
                <c:pt idx="5">
                  <c:v>7.8962404296651814E-2</c:v>
                </c:pt>
                <c:pt idx="6">
                  <c:v>7.7591132442006633E-2</c:v>
                </c:pt>
                <c:pt idx="7">
                  <c:v>9.8388755570791908E-2</c:v>
                </c:pt>
                <c:pt idx="8">
                  <c:v>6.2392869386355847E-2</c:v>
                </c:pt>
                <c:pt idx="9">
                  <c:v>4.6623243057936234E-2</c:v>
                </c:pt>
                <c:pt idx="10">
                  <c:v>4.6851788367043769E-2</c:v>
                </c:pt>
                <c:pt idx="11">
                  <c:v>4.479488058507599E-2</c:v>
                </c:pt>
                <c:pt idx="12">
                  <c:v>6.2278596731802083E-2</c:v>
                </c:pt>
                <c:pt idx="13">
                  <c:v>4.7994514912581422E-2</c:v>
                </c:pt>
                <c:pt idx="14">
                  <c:v>3.5310250257113471E-2</c:v>
                </c:pt>
                <c:pt idx="15">
                  <c:v>3.462461432979088E-2</c:v>
                </c:pt>
                <c:pt idx="16">
                  <c:v>3.4281796366129588E-2</c:v>
                </c:pt>
              </c:numCache>
            </c:numRef>
          </c:val>
          <c:extLst>
            <c:ext xmlns:c16="http://schemas.microsoft.com/office/drawing/2014/chart" uri="{C3380CC4-5D6E-409C-BE32-E72D297353CC}">
              <c16:uniqueId val="{00000001-7E58-4F52-8840-499E7F53615A}"/>
            </c:ext>
          </c:extLst>
        </c:ser>
        <c:dLbls>
          <c:showLegendKey val="0"/>
          <c:showVal val="1"/>
          <c:showCatName val="0"/>
          <c:showSerName val="0"/>
          <c:showPercent val="0"/>
          <c:showBubbleSize val="0"/>
        </c:dLbls>
        <c:gapWidth val="150"/>
        <c:shape val="box"/>
        <c:axId val="65225744"/>
        <c:axId val="155698624"/>
        <c:axId val="0"/>
      </c:bar3DChart>
      <c:catAx>
        <c:axId val="652257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55698624"/>
        <c:crosses val="autoZero"/>
        <c:auto val="1"/>
        <c:lblAlgn val="ctr"/>
        <c:lblOffset val="100"/>
        <c:noMultiLvlLbl val="0"/>
      </c:catAx>
      <c:valAx>
        <c:axId val="1556986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65225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baseline="0"/>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20" b="0" i="0" u="none" strike="noStrike" kern="1200" spc="0" baseline="0">
                <a:solidFill>
                  <a:schemeClr val="tx1">
                    <a:lumMod val="65000"/>
                    <a:lumOff val="35000"/>
                  </a:schemeClr>
                </a:solidFill>
                <a:latin typeface="+mn-lt"/>
                <a:ea typeface="+mn-ea"/>
                <a:cs typeface="+mn-cs"/>
              </a:defRPr>
            </a:pPr>
            <a:r>
              <a:rPr lang="en-US"/>
              <a:t>Grade 4 Students</a:t>
            </a:r>
          </a:p>
        </c:rich>
      </c:tx>
      <c:overlay val="0"/>
      <c:spPr>
        <a:noFill/>
        <a:ln>
          <a:noFill/>
        </a:ln>
        <a:effectLst/>
      </c:spPr>
      <c:txPr>
        <a:bodyPr rot="0" spcFirstLastPara="1" vertOverflow="ellipsis" vert="horz" wrap="square" anchor="ctr" anchorCtr="1"/>
        <a:lstStyle/>
        <a:p>
          <a:pPr>
            <a:defRPr sz="72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Tables!$B$97</c:f>
              <c:strCache>
                <c:ptCount val="1"/>
                <c:pt idx="0">
                  <c:v>M - Frustration</c:v>
                </c:pt>
              </c:strCache>
            </c:strRef>
          </c:tx>
          <c:spPr>
            <a:ln w="28575" cap="rnd">
              <a:solidFill>
                <a:schemeClr val="accent1"/>
              </a:solidFill>
              <a:round/>
            </a:ln>
            <a:effectLst/>
          </c:spPr>
          <c:marker>
            <c:symbol val="none"/>
          </c:marker>
          <c:cat>
            <c:strRef>
              <c:f>Tables!$C$96:$G$96</c:f>
              <c:strCache>
                <c:ptCount val="5"/>
                <c:pt idx="0">
                  <c:v>SY2013-2014</c:v>
                </c:pt>
                <c:pt idx="1">
                  <c:v>SY2014-2015</c:v>
                </c:pt>
                <c:pt idx="2">
                  <c:v>SY2015-2016</c:v>
                </c:pt>
                <c:pt idx="3">
                  <c:v>SY2016-2017</c:v>
                </c:pt>
                <c:pt idx="4">
                  <c:v>SY2017-2018</c:v>
                </c:pt>
              </c:strCache>
            </c:strRef>
          </c:cat>
          <c:val>
            <c:numRef>
              <c:f>Tables!$C$97:$G$97</c:f>
              <c:numCache>
                <c:formatCode>0%</c:formatCode>
                <c:ptCount val="5"/>
                <c:pt idx="0">
                  <c:v>0.15909090909090909</c:v>
                </c:pt>
                <c:pt idx="1">
                  <c:v>0.30983847283406757</c:v>
                </c:pt>
                <c:pt idx="2">
                  <c:v>0.16269284712482468</c:v>
                </c:pt>
                <c:pt idx="3">
                  <c:v>0.14141414141414141</c:v>
                </c:pt>
                <c:pt idx="4">
                  <c:v>0.14527027027027026</c:v>
                </c:pt>
              </c:numCache>
            </c:numRef>
          </c:val>
          <c:smooth val="0"/>
          <c:extLst>
            <c:ext xmlns:c16="http://schemas.microsoft.com/office/drawing/2014/chart" uri="{C3380CC4-5D6E-409C-BE32-E72D297353CC}">
              <c16:uniqueId val="{00000000-1981-448C-9DCD-213B666A140C}"/>
            </c:ext>
          </c:extLst>
        </c:ser>
        <c:ser>
          <c:idx val="1"/>
          <c:order val="1"/>
          <c:tx>
            <c:strRef>
              <c:f>Tables!$B$98</c:f>
              <c:strCache>
                <c:ptCount val="1"/>
                <c:pt idx="0">
                  <c:v>M - Instructional</c:v>
                </c:pt>
              </c:strCache>
            </c:strRef>
          </c:tx>
          <c:spPr>
            <a:ln w="28575" cap="rnd">
              <a:solidFill>
                <a:schemeClr val="accent2"/>
              </a:solidFill>
              <a:round/>
            </a:ln>
            <a:effectLst/>
          </c:spPr>
          <c:marker>
            <c:symbol val="none"/>
          </c:marker>
          <c:cat>
            <c:strRef>
              <c:f>Tables!$C$96:$G$96</c:f>
              <c:strCache>
                <c:ptCount val="5"/>
                <c:pt idx="0">
                  <c:v>SY2013-2014</c:v>
                </c:pt>
                <c:pt idx="1">
                  <c:v>SY2014-2015</c:v>
                </c:pt>
                <c:pt idx="2">
                  <c:v>SY2015-2016</c:v>
                </c:pt>
                <c:pt idx="3">
                  <c:v>SY2016-2017</c:v>
                </c:pt>
                <c:pt idx="4">
                  <c:v>SY2017-2018</c:v>
                </c:pt>
              </c:strCache>
            </c:strRef>
          </c:cat>
          <c:val>
            <c:numRef>
              <c:f>Tables!$C$98:$G$98</c:f>
              <c:numCache>
                <c:formatCode>0%</c:formatCode>
                <c:ptCount val="5"/>
                <c:pt idx="0">
                  <c:v>0.47575757575757577</c:v>
                </c:pt>
                <c:pt idx="1">
                  <c:v>0.3788546255506608</c:v>
                </c:pt>
                <c:pt idx="2">
                  <c:v>0.47265077138849931</c:v>
                </c:pt>
                <c:pt idx="3">
                  <c:v>0.46897546897546899</c:v>
                </c:pt>
                <c:pt idx="4">
                  <c:v>0.4391891891891892</c:v>
                </c:pt>
              </c:numCache>
            </c:numRef>
          </c:val>
          <c:smooth val="0"/>
          <c:extLst>
            <c:ext xmlns:c16="http://schemas.microsoft.com/office/drawing/2014/chart" uri="{C3380CC4-5D6E-409C-BE32-E72D297353CC}">
              <c16:uniqueId val="{00000001-1981-448C-9DCD-213B666A140C}"/>
            </c:ext>
          </c:extLst>
        </c:ser>
        <c:ser>
          <c:idx val="2"/>
          <c:order val="2"/>
          <c:tx>
            <c:strRef>
              <c:f>Tables!$B$99</c:f>
              <c:strCache>
                <c:ptCount val="1"/>
                <c:pt idx="0">
                  <c:v>M - Independent</c:v>
                </c:pt>
              </c:strCache>
            </c:strRef>
          </c:tx>
          <c:spPr>
            <a:ln w="28575" cap="rnd">
              <a:solidFill>
                <a:schemeClr val="accent3"/>
              </a:solidFill>
              <a:round/>
            </a:ln>
            <a:effectLst/>
          </c:spPr>
          <c:marker>
            <c:symbol val="none"/>
          </c:marker>
          <c:cat>
            <c:strRef>
              <c:f>Tables!$C$96:$G$96</c:f>
              <c:strCache>
                <c:ptCount val="5"/>
                <c:pt idx="0">
                  <c:v>SY2013-2014</c:v>
                </c:pt>
                <c:pt idx="1">
                  <c:v>SY2014-2015</c:v>
                </c:pt>
                <c:pt idx="2">
                  <c:v>SY2015-2016</c:v>
                </c:pt>
                <c:pt idx="3">
                  <c:v>SY2016-2017</c:v>
                </c:pt>
                <c:pt idx="4">
                  <c:v>SY2017-2018</c:v>
                </c:pt>
              </c:strCache>
            </c:strRef>
          </c:cat>
          <c:val>
            <c:numRef>
              <c:f>Tables!$C$99:$G$99</c:f>
              <c:numCache>
                <c:formatCode>0%</c:formatCode>
                <c:ptCount val="5"/>
                <c:pt idx="0">
                  <c:v>0.36515151515151517</c:v>
                </c:pt>
                <c:pt idx="1">
                  <c:v>0.31130690161527164</c:v>
                </c:pt>
                <c:pt idx="2">
                  <c:v>0.36465638148667601</c:v>
                </c:pt>
                <c:pt idx="3">
                  <c:v>0.38961038961038963</c:v>
                </c:pt>
                <c:pt idx="4">
                  <c:v>0.41554054054054052</c:v>
                </c:pt>
              </c:numCache>
            </c:numRef>
          </c:val>
          <c:smooth val="0"/>
          <c:extLst>
            <c:ext xmlns:c16="http://schemas.microsoft.com/office/drawing/2014/chart" uri="{C3380CC4-5D6E-409C-BE32-E72D297353CC}">
              <c16:uniqueId val="{00000002-1981-448C-9DCD-213B666A140C}"/>
            </c:ext>
          </c:extLst>
        </c:ser>
        <c:ser>
          <c:idx val="3"/>
          <c:order val="3"/>
          <c:tx>
            <c:strRef>
              <c:f>Tables!$B$100</c:f>
              <c:strCache>
                <c:ptCount val="1"/>
                <c:pt idx="0">
                  <c:v>F - Frustration</c:v>
                </c:pt>
              </c:strCache>
            </c:strRef>
          </c:tx>
          <c:spPr>
            <a:ln w="28575" cap="rnd">
              <a:solidFill>
                <a:schemeClr val="accent4"/>
              </a:solidFill>
              <a:round/>
            </a:ln>
            <a:effectLst/>
          </c:spPr>
          <c:marker>
            <c:symbol val="none"/>
          </c:marker>
          <c:cat>
            <c:strRef>
              <c:f>Tables!$C$96:$G$96</c:f>
              <c:strCache>
                <c:ptCount val="5"/>
                <c:pt idx="0">
                  <c:v>SY2013-2014</c:v>
                </c:pt>
                <c:pt idx="1">
                  <c:v>SY2014-2015</c:v>
                </c:pt>
                <c:pt idx="2">
                  <c:v>SY2015-2016</c:v>
                </c:pt>
                <c:pt idx="3">
                  <c:v>SY2016-2017</c:v>
                </c:pt>
                <c:pt idx="4">
                  <c:v>SY2017-2018</c:v>
                </c:pt>
              </c:strCache>
            </c:strRef>
          </c:cat>
          <c:val>
            <c:numRef>
              <c:f>Tables!$C$100:$G$100</c:f>
              <c:numCache>
                <c:formatCode>0%</c:formatCode>
                <c:ptCount val="5"/>
                <c:pt idx="0">
                  <c:v>0.10114192495921696</c:v>
                </c:pt>
                <c:pt idx="1">
                  <c:v>0.25982905982905985</c:v>
                </c:pt>
                <c:pt idx="2">
                  <c:v>0.13122171945701358</c:v>
                </c:pt>
                <c:pt idx="3">
                  <c:v>7.9447322970639028E-2</c:v>
                </c:pt>
                <c:pt idx="4">
                  <c:v>9.6830985915492954E-2</c:v>
                </c:pt>
              </c:numCache>
            </c:numRef>
          </c:val>
          <c:smooth val="0"/>
          <c:extLst>
            <c:ext xmlns:c16="http://schemas.microsoft.com/office/drawing/2014/chart" uri="{C3380CC4-5D6E-409C-BE32-E72D297353CC}">
              <c16:uniqueId val="{00000003-1981-448C-9DCD-213B666A140C}"/>
            </c:ext>
          </c:extLst>
        </c:ser>
        <c:ser>
          <c:idx val="4"/>
          <c:order val="4"/>
          <c:tx>
            <c:strRef>
              <c:f>Tables!$B$101</c:f>
              <c:strCache>
                <c:ptCount val="1"/>
                <c:pt idx="0">
                  <c:v>F - Instructional</c:v>
                </c:pt>
              </c:strCache>
            </c:strRef>
          </c:tx>
          <c:spPr>
            <a:ln w="28575" cap="rnd">
              <a:solidFill>
                <a:schemeClr val="accent5"/>
              </a:solidFill>
              <a:round/>
            </a:ln>
            <a:effectLst/>
          </c:spPr>
          <c:marker>
            <c:symbol val="none"/>
          </c:marker>
          <c:cat>
            <c:strRef>
              <c:f>Tables!$C$96:$G$96</c:f>
              <c:strCache>
                <c:ptCount val="5"/>
                <c:pt idx="0">
                  <c:v>SY2013-2014</c:v>
                </c:pt>
                <c:pt idx="1">
                  <c:v>SY2014-2015</c:v>
                </c:pt>
                <c:pt idx="2">
                  <c:v>SY2015-2016</c:v>
                </c:pt>
                <c:pt idx="3">
                  <c:v>SY2016-2017</c:v>
                </c:pt>
                <c:pt idx="4">
                  <c:v>SY2017-2018</c:v>
                </c:pt>
              </c:strCache>
            </c:strRef>
          </c:cat>
          <c:val>
            <c:numRef>
              <c:f>Tables!$C$101:$G$101</c:f>
              <c:numCache>
                <c:formatCode>0%</c:formatCode>
                <c:ptCount val="5"/>
                <c:pt idx="0">
                  <c:v>0.42251223491027734</c:v>
                </c:pt>
                <c:pt idx="1">
                  <c:v>0.28205128205128205</c:v>
                </c:pt>
                <c:pt idx="2">
                  <c:v>0.37104072398190047</c:v>
                </c:pt>
                <c:pt idx="3">
                  <c:v>0.42832469775474957</c:v>
                </c:pt>
                <c:pt idx="4">
                  <c:v>0.32042253521126762</c:v>
                </c:pt>
              </c:numCache>
            </c:numRef>
          </c:val>
          <c:smooth val="0"/>
          <c:extLst>
            <c:ext xmlns:c16="http://schemas.microsoft.com/office/drawing/2014/chart" uri="{C3380CC4-5D6E-409C-BE32-E72D297353CC}">
              <c16:uniqueId val="{00000004-1981-448C-9DCD-213B666A140C}"/>
            </c:ext>
          </c:extLst>
        </c:ser>
        <c:ser>
          <c:idx val="5"/>
          <c:order val="5"/>
          <c:tx>
            <c:strRef>
              <c:f>Tables!$B$102</c:f>
              <c:strCache>
                <c:ptCount val="1"/>
                <c:pt idx="0">
                  <c:v>F - Independent</c:v>
                </c:pt>
              </c:strCache>
            </c:strRef>
          </c:tx>
          <c:spPr>
            <a:ln w="28575" cap="rnd">
              <a:solidFill>
                <a:schemeClr val="accent6"/>
              </a:solidFill>
              <a:round/>
            </a:ln>
            <a:effectLst/>
          </c:spPr>
          <c:marker>
            <c:symbol val="none"/>
          </c:marker>
          <c:cat>
            <c:strRef>
              <c:f>Tables!$C$96:$G$96</c:f>
              <c:strCache>
                <c:ptCount val="5"/>
                <c:pt idx="0">
                  <c:v>SY2013-2014</c:v>
                </c:pt>
                <c:pt idx="1">
                  <c:v>SY2014-2015</c:v>
                </c:pt>
                <c:pt idx="2">
                  <c:v>SY2015-2016</c:v>
                </c:pt>
                <c:pt idx="3">
                  <c:v>SY2016-2017</c:v>
                </c:pt>
                <c:pt idx="4">
                  <c:v>SY2017-2018</c:v>
                </c:pt>
              </c:strCache>
            </c:strRef>
          </c:cat>
          <c:val>
            <c:numRef>
              <c:f>Tables!$C$102:$G$102</c:f>
              <c:numCache>
                <c:formatCode>0%</c:formatCode>
                <c:ptCount val="5"/>
                <c:pt idx="0">
                  <c:v>0.47634584013050568</c:v>
                </c:pt>
                <c:pt idx="1">
                  <c:v>0.4581196581196581</c:v>
                </c:pt>
                <c:pt idx="2">
                  <c:v>0.49773755656108598</c:v>
                </c:pt>
                <c:pt idx="3">
                  <c:v>0.49222797927461137</c:v>
                </c:pt>
                <c:pt idx="4">
                  <c:v>0.58274647887323938</c:v>
                </c:pt>
              </c:numCache>
            </c:numRef>
          </c:val>
          <c:smooth val="0"/>
          <c:extLst>
            <c:ext xmlns:c16="http://schemas.microsoft.com/office/drawing/2014/chart" uri="{C3380CC4-5D6E-409C-BE32-E72D297353CC}">
              <c16:uniqueId val="{00000005-1981-448C-9DCD-213B666A140C}"/>
            </c:ext>
          </c:extLst>
        </c:ser>
        <c:dLbls>
          <c:showLegendKey val="0"/>
          <c:showVal val="0"/>
          <c:showCatName val="0"/>
          <c:showSerName val="0"/>
          <c:showPercent val="0"/>
          <c:showBubbleSize val="0"/>
        </c:dLbls>
        <c:smooth val="0"/>
        <c:axId val="2117514480"/>
        <c:axId val="2079266928"/>
      </c:lineChart>
      <c:catAx>
        <c:axId val="2117514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079266928"/>
        <c:crosses val="autoZero"/>
        <c:auto val="1"/>
        <c:lblAlgn val="ctr"/>
        <c:lblOffset val="100"/>
        <c:noMultiLvlLbl val="0"/>
      </c:catAx>
      <c:valAx>
        <c:axId val="20792669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117514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baseline="0"/>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6CEF-404C-A2FE-9854D998094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6CEF-404C-A2FE-9854D998094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6CEF-404C-A2FE-9854D998094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6CEF-404C-A2FE-9854D998094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6CEF-404C-A2FE-9854D998094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6CEF-404C-A2FE-9854D9980946}"/>
              </c:ext>
            </c:extLst>
          </c:dPt>
          <c:dLbls>
            <c:dLbl>
              <c:idx val="0"/>
              <c:spPr>
                <a:noFill/>
                <a:ln>
                  <a:noFill/>
                </a:ln>
                <a:effectLst/>
              </c:spPr>
              <c:txPr>
                <a:bodyPr rot="0" spcFirstLastPara="1" vertOverflow="ellipsis" vert="horz" wrap="square" anchor="ctr" anchorCtr="1"/>
                <a:lstStyle/>
                <a:p>
                  <a:pPr>
                    <a:defRPr sz="8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1-6CEF-404C-A2FE-9854D9980946}"/>
                </c:ext>
              </c:extLst>
            </c:dLbl>
            <c:dLbl>
              <c:idx val="1"/>
              <c:spPr>
                <a:noFill/>
                <a:ln>
                  <a:noFill/>
                </a:ln>
                <a:effectLst/>
              </c:spPr>
              <c:txPr>
                <a:bodyPr rot="0" spcFirstLastPara="1" vertOverflow="ellipsis" vert="horz" wrap="square" anchor="ctr" anchorCtr="1"/>
                <a:lstStyle/>
                <a:p>
                  <a:pPr>
                    <a:defRPr sz="8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3-6CEF-404C-A2FE-9854D9980946}"/>
                </c:ext>
              </c:extLst>
            </c:dLbl>
            <c:dLbl>
              <c:idx val="2"/>
              <c:spPr>
                <a:noFill/>
                <a:ln>
                  <a:noFill/>
                </a:ln>
                <a:effectLst/>
              </c:spPr>
              <c:txPr>
                <a:bodyPr rot="0" spcFirstLastPara="1" vertOverflow="ellipsis" vert="horz" wrap="square" anchor="ctr" anchorCtr="1"/>
                <a:lstStyle/>
                <a:p>
                  <a:pPr>
                    <a:defRPr sz="8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5-6CEF-404C-A2FE-9854D9980946}"/>
                </c:ext>
              </c:extLst>
            </c:dLbl>
            <c:dLbl>
              <c:idx val="3"/>
              <c:spPr>
                <a:noFill/>
                <a:ln>
                  <a:noFill/>
                </a:ln>
                <a:effectLst/>
              </c:spPr>
              <c:txPr>
                <a:bodyPr rot="0" spcFirstLastPara="1" vertOverflow="ellipsis" vert="horz" wrap="square" anchor="ctr" anchorCtr="1"/>
                <a:lstStyle/>
                <a:p>
                  <a:pPr>
                    <a:defRPr sz="800" b="1" i="0" u="none" strike="noStrike" kern="1200" spc="0" baseline="0">
                      <a:solidFill>
                        <a:schemeClr val="accent4"/>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7-6CEF-404C-A2FE-9854D9980946}"/>
                </c:ext>
              </c:extLst>
            </c:dLbl>
            <c:dLbl>
              <c:idx val="4"/>
              <c:spPr>
                <a:noFill/>
                <a:ln>
                  <a:noFill/>
                </a:ln>
                <a:effectLst/>
              </c:spPr>
              <c:txPr>
                <a:bodyPr rot="0" spcFirstLastPara="1" vertOverflow="ellipsis" vert="horz" wrap="square" anchor="ctr" anchorCtr="1"/>
                <a:lstStyle/>
                <a:p>
                  <a:pPr>
                    <a:defRPr sz="800" b="1" i="0" u="none" strike="noStrike" kern="1200" spc="0" baseline="0">
                      <a:solidFill>
                        <a:schemeClr val="accent5"/>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9-6CEF-404C-A2FE-9854D9980946}"/>
                </c:ext>
              </c:extLst>
            </c:dLbl>
            <c:dLbl>
              <c:idx val="5"/>
              <c:spPr>
                <a:noFill/>
                <a:ln>
                  <a:noFill/>
                </a:ln>
                <a:effectLst/>
              </c:spPr>
              <c:txPr>
                <a:bodyPr rot="0" spcFirstLastPara="1" vertOverflow="ellipsis" vert="horz" wrap="square" anchor="ctr" anchorCtr="1"/>
                <a:lstStyle/>
                <a:p>
                  <a:pPr>
                    <a:defRPr sz="800" b="1" i="0" u="none" strike="noStrike" kern="1200" spc="0" baseline="0">
                      <a:solidFill>
                        <a:schemeClr val="accent6"/>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B-6CEF-404C-A2FE-9854D9980946}"/>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'SPED Schools'!$B$84:$B$89</c:f>
              <c:strCache>
                <c:ptCount val="6"/>
                <c:pt idx="0">
                  <c:v>Region V</c:v>
                </c:pt>
                <c:pt idx="1">
                  <c:v>Region VI</c:v>
                </c:pt>
                <c:pt idx="2">
                  <c:v>Region VII</c:v>
                </c:pt>
                <c:pt idx="3">
                  <c:v>Region VIII</c:v>
                </c:pt>
                <c:pt idx="4">
                  <c:v>Region X</c:v>
                </c:pt>
                <c:pt idx="5">
                  <c:v>NCR</c:v>
                </c:pt>
              </c:strCache>
            </c:strRef>
          </c:cat>
          <c:val>
            <c:numRef>
              <c:f>'SPED Schools'!$C$84:$C$89</c:f>
              <c:numCache>
                <c:formatCode>0%</c:formatCode>
                <c:ptCount val="6"/>
                <c:pt idx="0">
                  <c:v>6.9306930693069313E-2</c:v>
                </c:pt>
                <c:pt idx="1">
                  <c:v>8.1683168316831686E-2</c:v>
                </c:pt>
                <c:pt idx="2">
                  <c:v>0.17821782178217821</c:v>
                </c:pt>
                <c:pt idx="3">
                  <c:v>4.9504950495049507E-2</c:v>
                </c:pt>
                <c:pt idx="4">
                  <c:v>4.702970297029703E-2</c:v>
                </c:pt>
                <c:pt idx="5">
                  <c:v>0.57425742574257421</c:v>
                </c:pt>
              </c:numCache>
            </c:numRef>
          </c:val>
          <c:extLst>
            <c:ext xmlns:c16="http://schemas.microsoft.com/office/drawing/2014/chart" uri="{C3380CC4-5D6E-409C-BE32-E72D297353CC}">
              <c16:uniqueId val="{0000000C-6CEF-404C-A2FE-9854D9980946}"/>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Elementary!$B$71</c:f>
              <c:strCache>
                <c:ptCount val="1"/>
                <c:pt idx="0">
                  <c:v>Regular</c:v>
                </c:pt>
              </c:strCache>
            </c:strRef>
          </c:tx>
          <c:spPr>
            <a:solidFill>
              <a:schemeClr val="accent1"/>
            </a:solidFill>
            <a:ln>
              <a:noFill/>
            </a:ln>
            <a:effectLst/>
          </c:spPr>
          <c:invertIfNegative val="0"/>
          <c:dLbls>
            <c:dLbl>
              <c:idx val="0"/>
              <c:layout>
                <c:manualLayout>
                  <c:x val="1.8099547511312177E-2"/>
                  <c:y val="-1.68421052631578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71E-4B9B-9E06-158E2FB6DA8F}"/>
                </c:ext>
              </c:extLst>
            </c:dLbl>
            <c:dLbl>
              <c:idx val="1"/>
              <c:layout>
                <c:manualLayout>
                  <c:x val="1.3574660633484163E-2"/>
                  <c:y val="-2.94736842105263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71E-4B9B-9E06-158E2FB6DA8F}"/>
                </c:ext>
              </c:extLst>
            </c:dLbl>
            <c:dLbl>
              <c:idx val="2"/>
              <c:layout>
                <c:manualLayout>
                  <c:x val="2.7149321266968326E-2"/>
                  <c:y val="-2.5263157894736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71E-4B9B-9E06-158E2FB6DA8F}"/>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Elementary!$A$72:$A$74</c:f>
              <c:strCache>
                <c:ptCount val="3"/>
                <c:pt idx="0">
                  <c:v>Elementary</c:v>
                </c:pt>
                <c:pt idx="1">
                  <c:v>Secondary</c:v>
                </c:pt>
                <c:pt idx="2">
                  <c:v>Overall</c:v>
                </c:pt>
              </c:strCache>
            </c:strRef>
          </c:cat>
          <c:val>
            <c:numRef>
              <c:f>Elementary!$B$72:$B$74</c:f>
              <c:numCache>
                <c:formatCode>#,##0</c:formatCode>
                <c:ptCount val="3"/>
                <c:pt idx="0">
                  <c:v>454759</c:v>
                </c:pt>
                <c:pt idx="1">
                  <c:v>280915</c:v>
                </c:pt>
                <c:pt idx="2">
                  <c:v>735674</c:v>
                </c:pt>
              </c:numCache>
            </c:numRef>
          </c:val>
          <c:extLst>
            <c:ext xmlns:c16="http://schemas.microsoft.com/office/drawing/2014/chart" uri="{C3380CC4-5D6E-409C-BE32-E72D297353CC}">
              <c16:uniqueId val="{00000003-D71E-4B9B-9E06-158E2FB6DA8F}"/>
            </c:ext>
          </c:extLst>
        </c:ser>
        <c:dLbls>
          <c:showLegendKey val="0"/>
          <c:showVal val="1"/>
          <c:showCatName val="0"/>
          <c:showSerName val="0"/>
          <c:showPercent val="0"/>
          <c:showBubbleSize val="0"/>
        </c:dLbls>
        <c:gapWidth val="150"/>
        <c:axId val="65722064"/>
        <c:axId val="167803504"/>
      </c:barChart>
      <c:lineChart>
        <c:grouping val="standard"/>
        <c:varyColors val="0"/>
        <c:ser>
          <c:idx val="1"/>
          <c:order val="1"/>
          <c:tx>
            <c:strRef>
              <c:f>Elementary!$C$71</c:f>
              <c:strCache>
                <c:ptCount val="1"/>
                <c:pt idx="0">
                  <c:v>SPED Teachers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1.8099547511312177E-2"/>
                  <c:y val="-3.3684210526315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71E-4B9B-9E06-158E2FB6DA8F}"/>
                </c:ext>
              </c:extLst>
            </c:dLbl>
            <c:dLbl>
              <c:idx val="1"/>
              <c:layout>
                <c:manualLayout>
                  <c:x val="2.2624434389140271E-2"/>
                  <c:y val="-3.78947368421053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71E-4B9B-9E06-158E2FB6DA8F}"/>
                </c:ext>
              </c:extLst>
            </c:dLbl>
            <c:dLbl>
              <c:idx val="2"/>
              <c:layout>
                <c:manualLayout>
                  <c:x val="4.5248868778280375E-2"/>
                  <c:y val="-4.63157894736841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71E-4B9B-9E06-158E2FB6DA8F}"/>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Elementary!$A$72:$A$74</c:f>
              <c:strCache>
                <c:ptCount val="3"/>
                <c:pt idx="0">
                  <c:v>Elementary</c:v>
                </c:pt>
                <c:pt idx="1">
                  <c:v>Secondary</c:v>
                </c:pt>
                <c:pt idx="2">
                  <c:v>Overall</c:v>
                </c:pt>
              </c:strCache>
            </c:strRef>
          </c:cat>
          <c:val>
            <c:numRef>
              <c:f>Elementary!$C$72:$C$74</c:f>
              <c:numCache>
                <c:formatCode>#,##0</c:formatCode>
                <c:ptCount val="3"/>
                <c:pt idx="0">
                  <c:v>3011</c:v>
                </c:pt>
                <c:pt idx="1">
                  <c:v>344</c:v>
                </c:pt>
                <c:pt idx="2">
                  <c:v>3355</c:v>
                </c:pt>
              </c:numCache>
            </c:numRef>
          </c:val>
          <c:smooth val="0"/>
          <c:extLst>
            <c:ext xmlns:c16="http://schemas.microsoft.com/office/drawing/2014/chart" uri="{C3380CC4-5D6E-409C-BE32-E72D297353CC}">
              <c16:uniqueId val="{00000007-D71E-4B9B-9E06-158E2FB6DA8F}"/>
            </c:ext>
          </c:extLst>
        </c:ser>
        <c:dLbls>
          <c:showLegendKey val="0"/>
          <c:showVal val="0"/>
          <c:showCatName val="0"/>
          <c:showSerName val="0"/>
          <c:showPercent val="0"/>
          <c:showBubbleSize val="0"/>
        </c:dLbls>
        <c:marker val="1"/>
        <c:smooth val="0"/>
        <c:axId val="846950464"/>
        <c:axId val="846324992"/>
      </c:lineChart>
      <c:catAx>
        <c:axId val="657220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67803504"/>
        <c:crosses val="autoZero"/>
        <c:auto val="1"/>
        <c:lblAlgn val="ctr"/>
        <c:lblOffset val="100"/>
        <c:noMultiLvlLbl val="0"/>
      </c:catAx>
      <c:valAx>
        <c:axId val="167803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No. of Regular Teachers </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5722064"/>
        <c:crosses val="autoZero"/>
        <c:crossBetween val="between"/>
      </c:valAx>
      <c:valAx>
        <c:axId val="846324992"/>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No. SPED Teachers</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46950464"/>
        <c:crosses val="max"/>
        <c:crossBetween val="between"/>
      </c:valAx>
      <c:catAx>
        <c:axId val="846950464"/>
        <c:scaling>
          <c:orientation val="minMax"/>
        </c:scaling>
        <c:delete val="1"/>
        <c:axPos val="b"/>
        <c:numFmt formatCode="General" sourceLinked="1"/>
        <c:majorTickMark val="out"/>
        <c:minorTickMark val="none"/>
        <c:tickLblPos val="nextTo"/>
        <c:crossAx val="8463249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Elementary!$A$90</c:f>
              <c:strCache>
                <c:ptCount val="1"/>
                <c:pt idx="0">
                  <c:v>Elementary</c:v>
                </c:pt>
              </c:strCache>
            </c:strRef>
          </c:tx>
          <c:spPr>
            <a:solidFill>
              <a:schemeClr val="accent1"/>
            </a:solidFill>
            <a:ln>
              <a:noFill/>
            </a:ln>
            <a:effectLst/>
          </c:spPr>
          <c:cat>
            <c:numRef>
              <c:f>Elementary!$B$89:$F$89</c:f>
              <c:numCache>
                <c:formatCode>General</c:formatCode>
                <c:ptCount val="5"/>
                <c:pt idx="0">
                  <c:v>2013</c:v>
                </c:pt>
                <c:pt idx="1">
                  <c:v>2014</c:v>
                </c:pt>
                <c:pt idx="2">
                  <c:v>2015</c:v>
                </c:pt>
                <c:pt idx="3">
                  <c:v>2016</c:v>
                </c:pt>
                <c:pt idx="4">
                  <c:v>2017</c:v>
                </c:pt>
              </c:numCache>
            </c:numRef>
          </c:cat>
          <c:val>
            <c:numRef>
              <c:f>Elementary!$B$90:$F$90</c:f>
              <c:numCache>
                <c:formatCode>#,##0</c:formatCode>
                <c:ptCount val="5"/>
                <c:pt idx="0">
                  <c:v>377513</c:v>
                </c:pt>
                <c:pt idx="1">
                  <c:v>417848</c:v>
                </c:pt>
                <c:pt idx="2">
                  <c:v>427071</c:v>
                </c:pt>
                <c:pt idx="3">
                  <c:v>439993</c:v>
                </c:pt>
                <c:pt idx="4">
                  <c:v>454759</c:v>
                </c:pt>
              </c:numCache>
            </c:numRef>
          </c:val>
          <c:extLst>
            <c:ext xmlns:c16="http://schemas.microsoft.com/office/drawing/2014/chart" uri="{C3380CC4-5D6E-409C-BE32-E72D297353CC}">
              <c16:uniqueId val="{00000000-C24B-4E38-8A09-11FAB09FDAD0}"/>
            </c:ext>
          </c:extLst>
        </c:ser>
        <c:ser>
          <c:idx val="1"/>
          <c:order val="1"/>
          <c:tx>
            <c:strRef>
              <c:f>Elementary!$A$91</c:f>
              <c:strCache>
                <c:ptCount val="1"/>
                <c:pt idx="0">
                  <c:v>Secondary</c:v>
                </c:pt>
              </c:strCache>
            </c:strRef>
          </c:tx>
          <c:spPr>
            <a:solidFill>
              <a:schemeClr val="accent2"/>
            </a:solidFill>
            <a:ln>
              <a:noFill/>
            </a:ln>
            <a:effectLst/>
          </c:spPr>
          <c:cat>
            <c:numRef>
              <c:f>Elementary!$B$89:$F$89</c:f>
              <c:numCache>
                <c:formatCode>General</c:formatCode>
                <c:ptCount val="5"/>
                <c:pt idx="0">
                  <c:v>2013</c:v>
                </c:pt>
                <c:pt idx="1">
                  <c:v>2014</c:v>
                </c:pt>
                <c:pt idx="2">
                  <c:v>2015</c:v>
                </c:pt>
                <c:pt idx="3">
                  <c:v>2016</c:v>
                </c:pt>
                <c:pt idx="4">
                  <c:v>2017</c:v>
                </c:pt>
              </c:numCache>
            </c:numRef>
          </c:cat>
          <c:val>
            <c:numRef>
              <c:f>Elementary!$B$91:$F$91</c:f>
              <c:numCache>
                <c:formatCode>#,##0</c:formatCode>
                <c:ptCount val="5"/>
                <c:pt idx="0">
                  <c:v>169741</c:v>
                </c:pt>
                <c:pt idx="1">
                  <c:v>219710</c:v>
                </c:pt>
                <c:pt idx="2">
                  <c:v>228581</c:v>
                </c:pt>
                <c:pt idx="3">
                  <c:v>233883</c:v>
                </c:pt>
                <c:pt idx="4">
                  <c:v>280915</c:v>
                </c:pt>
              </c:numCache>
            </c:numRef>
          </c:val>
          <c:extLst>
            <c:ext xmlns:c16="http://schemas.microsoft.com/office/drawing/2014/chart" uri="{C3380CC4-5D6E-409C-BE32-E72D297353CC}">
              <c16:uniqueId val="{00000001-C24B-4E38-8A09-11FAB09FDAD0}"/>
            </c:ext>
          </c:extLst>
        </c:ser>
        <c:ser>
          <c:idx val="2"/>
          <c:order val="2"/>
          <c:tx>
            <c:strRef>
              <c:f>Elementary!$A$92</c:f>
              <c:strCache>
                <c:ptCount val="1"/>
                <c:pt idx="0">
                  <c:v>Overall</c:v>
                </c:pt>
              </c:strCache>
            </c:strRef>
          </c:tx>
          <c:spPr>
            <a:solidFill>
              <a:schemeClr val="accent3"/>
            </a:solidFill>
            <a:ln>
              <a:noFill/>
            </a:ln>
            <a:effectLst/>
          </c:spPr>
          <c:cat>
            <c:numRef>
              <c:f>Elementary!$B$89:$F$89</c:f>
              <c:numCache>
                <c:formatCode>General</c:formatCode>
                <c:ptCount val="5"/>
                <c:pt idx="0">
                  <c:v>2013</c:v>
                </c:pt>
                <c:pt idx="1">
                  <c:v>2014</c:v>
                </c:pt>
                <c:pt idx="2">
                  <c:v>2015</c:v>
                </c:pt>
                <c:pt idx="3">
                  <c:v>2016</c:v>
                </c:pt>
                <c:pt idx="4">
                  <c:v>2017</c:v>
                </c:pt>
              </c:numCache>
            </c:numRef>
          </c:cat>
          <c:val>
            <c:numRef>
              <c:f>Elementary!$B$92:$F$92</c:f>
              <c:numCache>
                <c:formatCode>#,##0</c:formatCode>
                <c:ptCount val="5"/>
                <c:pt idx="0">
                  <c:v>547254</c:v>
                </c:pt>
                <c:pt idx="1">
                  <c:v>637558</c:v>
                </c:pt>
                <c:pt idx="2">
                  <c:v>655652</c:v>
                </c:pt>
                <c:pt idx="3">
                  <c:v>673876</c:v>
                </c:pt>
                <c:pt idx="4">
                  <c:v>735674</c:v>
                </c:pt>
              </c:numCache>
            </c:numRef>
          </c:val>
          <c:extLst>
            <c:ext xmlns:c16="http://schemas.microsoft.com/office/drawing/2014/chart" uri="{C3380CC4-5D6E-409C-BE32-E72D297353CC}">
              <c16:uniqueId val="{00000002-C24B-4E38-8A09-11FAB09FDAD0}"/>
            </c:ext>
          </c:extLst>
        </c:ser>
        <c:dLbls>
          <c:showLegendKey val="0"/>
          <c:showVal val="0"/>
          <c:showCatName val="0"/>
          <c:showSerName val="0"/>
          <c:showPercent val="0"/>
          <c:showBubbleSize val="0"/>
        </c:dLbls>
        <c:axId val="168602928"/>
        <c:axId val="168422848"/>
      </c:areaChart>
      <c:catAx>
        <c:axId val="16860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68422848"/>
        <c:crosses val="autoZero"/>
        <c:auto val="1"/>
        <c:lblAlgn val="ctr"/>
        <c:lblOffset val="100"/>
        <c:noMultiLvlLbl val="0"/>
      </c:catAx>
      <c:valAx>
        <c:axId val="1684228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6860292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cat>
            <c:strRef>
              <c:f>Elementary!$A$134:$A$151</c:f>
              <c:strCache>
                <c:ptCount val="18"/>
                <c:pt idx="0">
                  <c:v>Region</c:v>
                </c:pt>
                <c:pt idx="1">
                  <c:v>Region I</c:v>
                </c:pt>
                <c:pt idx="2">
                  <c:v>Region II</c:v>
                </c:pt>
                <c:pt idx="3">
                  <c:v>Region III</c:v>
                </c:pt>
                <c:pt idx="4">
                  <c:v>Region IV-A</c:v>
                </c:pt>
                <c:pt idx="5">
                  <c:v>Region IV-B</c:v>
                </c:pt>
                <c:pt idx="6">
                  <c:v>Region V</c:v>
                </c:pt>
                <c:pt idx="7">
                  <c:v>Region VI</c:v>
                </c:pt>
                <c:pt idx="8">
                  <c:v>Region VII</c:v>
                </c:pt>
                <c:pt idx="9">
                  <c:v>Region VIII</c:v>
                </c:pt>
                <c:pt idx="10">
                  <c:v>Region IX</c:v>
                </c:pt>
                <c:pt idx="11">
                  <c:v>Region X</c:v>
                </c:pt>
                <c:pt idx="12">
                  <c:v>Region XI</c:v>
                </c:pt>
                <c:pt idx="13">
                  <c:v>Region XII</c:v>
                </c:pt>
                <c:pt idx="14">
                  <c:v>CARAGA</c:v>
                </c:pt>
                <c:pt idx="15">
                  <c:v>ARMM</c:v>
                </c:pt>
                <c:pt idx="16">
                  <c:v>CAR</c:v>
                </c:pt>
                <c:pt idx="17">
                  <c:v>Region X</c:v>
                </c:pt>
              </c:strCache>
            </c:strRef>
          </c:cat>
          <c:val>
            <c:numRef>
              <c:f>Elementary!$B$134:$B$151</c:f>
              <c:numCache>
                <c:formatCode>#,##0</c:formatCode>
                <c:ptCount val="18"/>
                <c:pt idx="0" formatCode="General">
                  <c:v>0</c:v>
                </c:pt>
                <c:pt idx="1">
                  <c:v>2255</c:v>
                </c:pt>
                <c:pt idx="2">
                  <c:v>2768</c:v>
                </c:pt>
                <c:pt idx="3">
                  <c:v>7293</c:v>
                </c:pt>
                <c:pt idx="4">
                  <c:v>10379</c:v>
                </c:pt>
                <c:pt idx="5">
                  <c:v>3441</c:v>
                </c:pt>
                <c:pt idx="6">
                  <c:v>5733</c:v>
                </c:pt>
                <c:pt idx="7">
                  <c:v>4643</c:v>
                </c:pt>
                <c:pt idx="8">
                  <c:v>7500</c:v>
                </c:pt>
                <c:pt idx="9">
                  <c:v>5432</c:v>
                </c:pt>
                <c:pt idx="10">
                  <c:v>3762</c:v>
                </c:pt>
                <c:pt idx="11">
                  <c:v>4450</c:v>
                </c:pt>
                <c:pt idx="12">
                  <c:v>4880</c:v>
                </c:pt>
                <c:pt idx="13">
                  <c:v>4898</c:v>
                </c:pt>
                <c:pt idx="14">
                  <c:v>3240</c:v>
                </c:pt>
                <c:pt idx="15">
                  <c:v>38</c:v>
                </c:pt>
                <c:pt idx="16">
                  <c:v>1574</c:v>
                </c:pt>
                <c:pt idx="17">
                  <c:v>3746</c:v>
                </c:pt>
              </c:numCache>
            </c:numRef>
          </c:val>
          <c:extLst>
            <c:ext xmlns:c16="http://schemas.microsoft.com/office/drawing/2014/chart" uri="{C3380CC4-5D6E-409C-BE32-E72D297353CC}">
              <c16:uniqueId val="{00000000-A639-4E7C-9B67-D45758CDE59D}"/>
            </c:ext>
          </c:extLst>
        </c:ser>
        <c:dLbls>
          <c:showLegendKey val="0"/>
          <c:showVal val="0"/>
          <c:showCatName val="0"/>
          <c:showSerName val="0"/>
          <c:showPercent val="0"/>
          <c:showBubbleSize val="0"/>
        </c:dLbls>
        <c:gapWidth val="219"/>
        <c:overlap val="-27"/>
        <c:axId val="846907184"/>
        <c:axId val="846537104"/>
      </c:barChart>
      <c:lineChart>
        <c:grouping val="standard"/>
        <c:varyColors val="0"/>
        <c:ser>
          <c:idx val="1"/>
          <c:order val="1"/>
          <c:spPr>
            <a:ln w="28575" cap="rnd">
              <a:solidFill>
                <a:schemeClr val="accent2"/>
              </a:solidFill>
              <a:round/>
            </a:ln>
            <a:effectLst/>
          </c:spPr>
          <c:marker>
            <c:symbol val="none"/>
          </c:marker>
          <c:cat>
            <c:strRef>
              <c:f>Elementary!$A$134:$A$151</c:f>
              <c:strCache>
                <c:ptCount val="18"/>
                <c:pt idx="0">
                  <c:v>Region</c:v>
                </c:pt>
                <c:pt idx="1">
                  <c:v>Region I</c:v>
                </c:pt>
                <c:pt idx="2">
                  <c:v>Region II</c:v>
                </c:pt>
                <c:pt idx="3">
                  <c:v>Region III</c:v>
                </c:pt>
                <c:pt idx="4">
                  <c:v>Region IV-A</c:v>
                </c:pt>
                <c:pt idx="5">
                  <c:v>Region IV-B</c:v>
                </c:pt>
                <c:pt idx="6">
                  <c:v>Region V</c:v>
                </c:pt>
                <c:pt idx="7">
                  <c:v>Region VI</c:v>
                </c:pt>
                <c:pt idx="8">
                  <c:v>Region VII</c:v>
                </c:pt>
                <c:pt idx="9">
                  <c:v>Region VIII</c:v>
                </c:pt>
                <c:pt idx="10">
                  <c:v>Region IX</c:v>
                </c:pt>
                <c:pt idx="11">
                  <c:v>Region X</c:v>
                </c:pt>
                <c:pt idx="12">
                  <c:v>Region XI</c:v>
                </c:pt>
                <c:pt idx="13">
                  <c:v>Region XII</c:v>
                </c:pt>
                <c:pt idx="14">
                  <c:v>CARAGA</c:v>
                </c:pt>
                <c:pt idx="15">
                  <c:v>ARMM</c:v>
                </c:pt>
                <c:pt idx="16">
                  <c:v>CAR</c:v>
                </c:pt>
                <c:pt idx="17">
                  <c:v>Region X</c:v>
                </c:pt>
              </c:strCache>
            </c:strRef>
          </c:cat>
          <c:val>
            <c:numRef>
              <c:f>Elementary!$C$134:$C$151</c:f>
              <c:numCache>
                <c:formatCode>#,##0</c:formatCode>
                <c:ptCount val="18"/>
                <c:pt idx="0" formatCode="General">
                  <c:v>0</c:v>
                </c:pt>
                <c:pt idx="1">
                  <c:v>59</c:v>
                </c:pt>
                <c:pt idx="2">
                  <c:v>47</c:v>
                </c:pt>
                <c:pt idx="3">
                  <c:v>107</c:v>
                </c:pt>
                <c:pt idx="4">
                  <c:v>188</c:v>
                </c:pt>
                <c:pt idx="5">
                  <c:v>45</c:v>
                </c:pt>
                <c:pt idx="6">
                  <c:v>50</c:v>
                </c:pt>
                <c:pt idx="7">
                  <c:v>91</c:v>
                </c:pt>
                <c:pt idx="8">
                  <c:v>100</c:v>
                </c:pt>
                <c:pt idx="9">
                  <c:v>45</c:v>
                </c:pt>
                <c:pt idx="10">
                  <c:v>61</c:v>
                </c:pt>
                <c:pt idx="11">
                  <c:v>48</c:v>
                </c:pt>
                <c:pt idx="12">
                  <c:v>56</c:v>
                </c:pt>
                <c:pt idx="13">
                  <c:v>16</c:v>
                </c:pt>
                <c:pt idx="14">
                  <c:v>33</c:v>
                </c:pt>
                <c:pt idx="15">
                  <c:v>-1</c:v>
                </c:pt>
                <c:pt idx="16">
                  <c:v>27</c:v>
                </c:pt>
                <c:pt idx="17">
                  <c:v>242</c:v>
                </c:pt>
              </c:numCache>
            </c:numRef>
          </c:val>
          <c:smooth val="0"/>
          <c:extLst>
            <c:ext xmlns:c16="http://schemas.microsoft.com/office/drawing/2014/chart" uri="{C3380CC4-5D6E-409C-BE32-E72D297353CC}">
              <c16:uniqueId val="{00000001-A639-4E7C-9B67-D45758CDE59D}"/>
            </c:ext>
          </c:extLst>
        </c:ser>
        <c:dLbls>
          <c:showLegendKey val="0"/>
          <c:showVal val="0"/>
          <c:showCatName val="0"/>
          <c:showSerName val="0"/>
          <c:showPercent val="0"/>
          <c:showBubbleSize val="0"/>
        </c:dLbls>
        <c:marker val="1"/>
        <c:smooth val="0"/>
        <c:axId val="861836464"/>
        <c:axId val="859707136"/>
      </c:lineChart>
      <c:catAx>
        <c:axId val="846907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46537104"/>
        <c:crosses val="autoZero"/>
        <c:auto val="1"/>
        <c:lblAlgn val="ctr"/>
        <c:lblOffset val="100"/>
        <c:noMultiLvlLbl val="0"/>
      </c:catAx>
      <c:valAx>
        <c:axId val="846537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Increase in Number of Teachers, 2013-2017</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46907184"/>
        <c:crosses val="autoZero"/>
        <c:crossBetween val="between"/>
      </c:valAx>
      <c:valAx>
        <c:axId val="859707136"/>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IIncrease in Number of SPED Teachers</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61836464"/>
        <c:crosses val="max"/>
        <c:crossBetween val="between"/>
      </c:valAx>
      <c:catAx>
        <c:axId val="861836464"/>
        <c:scaling>
          <c:orientation val="minMax"/>
        </c:scaling>
        <c:delete val="1"/>
        <c:axPos val="b"/>
        <c:numFmt formatCode="General" sourceLinked="1"/>
        <c:majorTickMark val="out"/>
        <c:minorTickMark val="none"/>
        <c:tickLblPos val="nextTo"/>
        <c:crossAx val="859707136"/>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Sheet1!$A$7</c:f>
              <c:strCache>
                <c:ptCount val="1"/>
                <c:pt idx="0">
                  <c:v>Overall </c:v>
                </c:pt>
              </c:strCache>
            </c:strRef>
          </c:tx>
          <c:spPr>
            <a:ln w="22225" cap="rnd">
              <a:solidFill>
                <a:schemeClr val="accent1"/>
              </a:solidFill>
              <a:round/>
            </a:ln>
            <a:effectLst/>
          </c:spPr>
          <c:marker>
            <c:symbol val="circle"/>
            <c:size val="6"/>
            <c:spPr>
              <a:solidFill>
                <a:schemeClr val="lt1"/>
              </a:solidFill>
              <a:ln w="15875">
                <a:solidFill>
                  <a:schemeClr val="accent1"/>
                </a:solidFill>
                <a:round/>
              </a:ln>
              <a:effectLst/>
            </c:spPr>
          </c:marker>
          <c:cat>
            <c:strRef>
              <c:f>Sheet1!$B$6:$H$6</c:f>
              <c:strCache>
                <c:ptCount val="7"/>
                <c:pt idx="0">
                  <c:v>2011-12</c:v>
                </c:pt>
                <c:pt idx="1">
                  <c:v>2012-13</c:v>
                </c:pt>
                <c:pt idx="2">
                  <c:v>2013-14</c:v>
                </c:pt>
                <c:pt idx="3">
                  <c:v>2014-15</c:v>
                </c:pt>
                <c:pt idx="4">
                  <c:v>2015-16</c:v>
                </c:pt>
                <c:pt idx="5">
                  <c:v>2016-17</c:v>
                </c:pt>
                <c:pt idx="6">
                  <c:v>2017-18</c:v>
                </c:pt>
              </c:strCache>
            </c:strRef>
          </c:cat>
          <c:val>
            <c:numRef>
              <c:f>Sheet1!$B$7:$H$7</c:f>
              <c:numCache>
                <c:formatCode>#,##0</c:formatCode>
                <c:ptCount val="7"/>
                <c:pt idx="0">
                  <c:v>20474410</c:v>
                </c:pt>
                <c:pt idx="1">
                  <c:v>20019025</c:v>
                </c:pt>
                <c:pt idx="2">
                  <c:v>20921931</c:v>
                </c:pt>
                <c:pt idx="3">
                  <c:v>21042250</c:v>
                </c:pt>
                <c:pt idx="4">
                  <c:v>20907407</c:v>
                </c:pt>
                <c:pt idx="5">
                  <c:v>20668208</c:v>
                </c:pt>
                <c:pt idx="6">
                  <c:v>22096820</c:v>
                </c:pt>
              </c:numCache>
            </c:numRef>
          </c:val>
          <c:smooth val="0"/>
          <c:extLst>
            <c:ext xmlns:c16="http://schemas.microsoft.com/office/drawing/2014/chart" uri="{C3380CC4-5D6E-409C-BE32-E72D297353CC}">
              <c16:uniqueId val="{00000000-3B5B-4F5A-9507-3992F775049D}"/>
            </c:ext>
          </c:extLst>
        </c:ser>
        <c:ser>
          <c:idx val="1"/>
          <c:order val="1"/>
          <c:tx>
            <c:strRef>
              <c:f>Sheet1!$A$8</c:f>
              <c:strCache>
                <c:ptCount val="1"/>
                <c:pt idx="0">
                  <c:v>Overall-Male </c:v>
                </c:pt>
              </c:strCache>
            </c:strRef>
          </c:tx>
          <c:spPr>
            <a:ln w="22225" cap="rnd">
              <a:solidFill>
                <a:schemeClr val="accent2"/>
              </a:solidFill>
              <a:round/>
            </a:ln>
            <a:effectLst/>
          </c:spPr>
          <c:marker>
            <c:symbol val="circle"/>
            <c:size val="6"/>
            <c:spPr>
              <a:solidFill>
                <a:schemeClr val="lt1"/>
              </a:solidFill>
              <a:ln w="15875">
                <a:solidFill>
                  <a:schemeClr val="accent2"/>
                </a:solidFill>
                <a:round/>
              </a:ln>
              <a:effectLst/>
            </c:spPr>
          </c:marker>
          <c:cat>
            <c:strRef>
              <c:f>Sheet1!$B$6:$H$6</c:f>
              <c:strCache>
                <c:ptCount val="7"/>
                <c:pt idx="0">
                  <c:v>2011-12</c:v>
                </c:pt>
                <c:pt idx="1">
                  <c:v>2012-13</c:v>
                </c:pt>
                <c:pt idx="2">
                  <c:v>2013-14</c:v>
                </c:pt>
                <c:pt idx="3">
                  <c:v>2014-15</c:v>
                </c:pt>
                <c:pt idx="4">
                  <c:v>2015-16</c:v>
                </c:pt>
                <c:pt idx="5">
                  <c:v>2016-17</c:v>
                </c:pt>
                <c:pt idx="6">
                  <c:v>2017-18</c:v>
                </c:pt>
              </c:strCache>
            </c:strRef>
          </c:cat>
          <c:val>
            <c:numRef>
              <c:f>Sheet1!$B$8:$H$8</c:f>
              <c:numCache>
                <c:formatCode>#,##0</c:formatCode>
                <c:ptCount val="7"/>
                <c:pt idx="0">
                  <c:v>10477395</c:v>
                </c:pt>
                <c:pt idx="1">
                  <c:v>10332301</c:v>
                </c:pt>
                <c:pt idx="2">
                  <c:v>10731907</c:v>
                </c:pt>
                <c:pt idx="3">
                  <c:v>10825558</c:v>
                </c:pt>
                <c:pt idx="4">
                  <c:v>10734310</c:v>
                </c:pt>
                <c:pt idx="5">
                  <c:v>10610373</c:v>
                </c:pt>
                <c:pt idx="6">
                  <c:v>11297031</c:v>
                </c:pt>
              </c:numCache>
            </c:numRef>
          </c:val>
          <c:smooth val="0"/>
          <c:extLst>
            <c:ext xmlns:c16="http://schemas.microsoft.com/office/drawing/2014/chart" uri="{C3380CC4-5D6E-409C-BE32-E72D297353CC}">
              <c16:uniqueId val="{00000001-3B5B-4F5A-9507-3992F775049D}"/>
            </c:ext>
          </c:extLst>
        </c:ser>
        <c:ser>
          <c:idx val="2"/>
          <c:order val="2"/>
          <c:tx>
            <c:strRef>
              <c:f>Sheet1!$A$9</c:f>
              <c:strCache>
                <c:ptCount val="1"/>
                <c:pt idx="0">
                  <c:v>Overall-Female</c:v>
                </c:pt>
              </c:strCache>
            </c:strRef>
          </c:tx>
          <c:spPr>
            <a:ln w="22225" cap="rnd">
              <a:solidFill>
                <a:schemeClr val="accent3"/>
              </a:solidFill>
              <a:round/>
            </a:ln>
            <a:effectLst/>
          </c:spPr>
          <c:marker>
            <c:symbol val="circle"/>
            <c:size val="6"/>
            <c:spPr>
              <a:solidFill>
                <a:schemeClr val="lt1"/>
              </a:solidFill>
              <a:ln w="15875">
                <a:solidFill>
                  <a:schemeClr val="accent3"/>
                </a:solidFill>
                <a:round/>
              </a:ln>
              <a:effectLst/>
            </c:spPr>
          </c:marker>
          <c:cat>
            <c:strRef>
              <c:f>Sheet1!$B$6:$H$6</c:f>
              <c:strCache>
                <c:ptCount val="7"/>
                <c:pt idx="0">
                  <c:v>2011-12</c:v>
                </c:pt>
                <c:pt idx="1">
                  <c:v>2012-13</c:v>
                </c:pt>
                <c:pt idx="2">
                  <c:v>2013-14</c:v>
                </c:pt>
                <c:pt idx="3">
                  <c:v>2014-15</c:v>
                </c:pt>
                <c:pt idx="4">
                  <c:v>2015-16</c:v>
                </c:pt>
                <c:pt idx="5">
                  <c:v>2016-17</c:v>
                </c:pt>
                <c:pt idx="6">
                  <c:v>2017-18</c:v>
                </c:pt>
              </c:strCache>
            </c:strRef>
          </c:cat>
          <c:val>
            <c:numRef>
              <c:f>Sheet1!$B$9:$H$9</c:f>
              <c:numCache>
                <c:formatCode>#,##0</c:formatCode>
                <c:ptCount val="7"/>
                <c:pt idx="0">
                  <c:v>9997015</c:v>
                </c:pt>
                <c:pt idx="1">
                  <c:v>9686724</c:v>
                </c:pt>
                <c:pt idx="2">
                  <c:v>10190024</c:v>
                </c:pt>
                <c:pt idx="3">
                  <c:v>10216692</c:v>
                </c:pt>
                <c:pt idx="4">
                  <c:v>10173097</c:v>
                </c:pt>
                <c:pt idx="5">
                  <c:v>10057835</c:v>
                </c:pt>
                <c:pt idx="6">
                  <c:v>10799789</c:v>
                </c:pt>
              </c:numCache>
            </c:numRef>
          </c:val>
          <c:smooth val="0"/>
          <c:extLst>
            <c:ext xmlns:c16="http://schemas.microsoft.com/office/drawing/2014/chart" uri="{C3380CC4-5D6E-409C-BE32-E72D297353CC}">
              <c16:uniqueId val="{00000002-3B5B-4F5A-9507-3992F775049D}"/>
            </c:ext>
          </c:extLst>
        </c:ser>
        <c:ser>
          <c:idx val="3"/>
          <c:order val="3"/>
          <c:tx>
            <c:strRef>
              <c:f>Sheet1!$A$10</c:f>
              <c:strCache>
                <c:ptCount val="1"/>
                <c:pt idx="0">
                  <c:v>Elementary </c:v>
                </c:pt>
              </c:strCache>
            </c:strRef>
          </c:tx>
          <c:spPr>
            <a:ln w="22225" cap="rnd">
              <a:solidFill>
                <a:schemeClr val="accent4"/>
              </a:solidFill>
              <a:round/>
            </a:ln>
            <a:effectLst/>
          </c:spPr>
          <c:marker>
            <c:symbol val="circle"/>
            <c:size val="6"/>
            <c:spPr>
              <a:solidFill>
                <a:schemeClr val="lt1"/>
              </a:solidFill>
              <a:ln w="15875">
                <a:solidFill>
                  <a:schemeClr val="accent4"/>
                </a:solidFill>
                <a:round/>
              </a:ln>
              <a:effectLst/>
            </c:spPr>
          </c:marker>
          <c:cat>
            <c:strRef>
              <c:f>Sheet1!$B$6:$H$6</c:f>
              <c:strCache>
                <c:ptCount val="7"/>
                <c:pt idx="0">
                  <c:v>2011-12</c:v>
                </c:pt>
                <c:pt idx="1">
                  <c:v>2012-13</c:v>
                </c:pt>
                <c:pt idx="2">
                  <c:v>2013-14</c:v>
                </c:pt>
                <c:pt idx="3">
                  <c:v>2014-15</c:v>
                </c:pt>
                <c:pt idx="4">
                  <c:v>2015-16</c:v>
                </c:pt>
                <c:pt idx="5">
                  <c:v>2016-17</c:v>
                </c:pt>
                <c:pt idx="6">
                  <c:v>2017-18</c:v>
                </c:pt>
              </c:strCache>
            </c:strRef>
          </c:cat>
          <c:val>
            <c:numRef>
              <c:f>Sheet1!$B$10:$H$10</c:f>
              <c:numCache>
                <c:formatCode>#,##0</c:formatCode>
                <c:ptCount val="7"/>
                <c:pt idx="0">
                  <c:v>14898142</c:v>
                </c:pt>
                <c:pt idx="1">
                  <c:v>15032981</c:v>
                </c:pt>
                <c:pt idx="2">
                  <c:v>15148399</c:v>
                </c:pt>
                <c:pt idx="3">
                  <c:v>15114208</c:v>
                </c:pt>
                <c:pt idx="4">
                  <c:v>14894646</c:v>
                </c:pt>
                <c:pt idx="5">
                  <c:v>14488231</c:v>
                </c:pt>
                <c:pt idx="6">
                  <c:v>14289445</c:v>
                </c:pt>
              </c:numCache>
            </c:numRef>
          </c:val>
          <c:smooth val="0"/>
          <c:extLst>
            <c:ext xmlns:c16="http://schemas.microsoft.com/office/drawing/2014/chart" uri="{C3380CC4-5D6E-409C-BE32-E72D297353CC}">
              <c16:uniqueId val="{00000003-3B5B-4F5A-9507-3992F775049D}"/>
            </c:ext>
          </c:extLst>
        </c:ser>
        <c:ser>
          <c:idx val="4"/>
          <c:order val="4"/>
          <c:tx>
            <c:strRef>
              <c:f>Sheet1!$A$11</c:f>
              <c:strCache>
                <c:ptCount val="1"/>
                <c:pt idx="0">
                  <c:v>Secondary </c:v>
                </c:pt>
              </c:strCache>
            </c:strRef>
          </c:tx>
          <c:spPr>
            <a:ln w="22225" cap="rnd">
              <a:solidFill>
                <a:schemeClr val="accent5"/>
              </a:solidFill>
              <a:round/>
            </a:ln>
            <a:effectLst/>
          </c:spPr>
          <c:marker>
            <c:symbol val="circle"/>
            <c:size val="6"/>
            <c:spPr>
              <a:solidFill>
                <a:schemeClr val="lt1"/>
              </a:solidFill>
              <a:ln w="15875">
                <a:solidFill>
                  <a:schemeClr val="accent5"/>
                </a:solidFill>
                <a:round/>
              </a:ln>
              <a:effectLst/>
            </c:spPr>
          </c:marker>
          <c:cat>
            <c:strRef>
              <c:f>Sheet1!$B$6:$H$6</c:f>
              <c:strCache>
                <c:ptCount val="7"/>
                <c:pt idx="0">
                  <c:v>2011-12</c:v>
                </c:pt>
                <c:pt idx="1">
                  <c:v>2012-13</c:v>
                </c:pt>
                <c:pt idx="2">
                  <c:v>2013-14</c:v>
                </c:pt>
                <c:pt idx="3">
                  <c:v>2014-15</c:v>
                </c:pt>
                <c:pt idx="4">
                  <c:v>2015-16</c:v>
                </c:pt>
                <c:pt idx="5">
                  <c:v>2016-17</c:v>
                </c:pt>
                <c:pt idx="6">
                  <c:v>2017-18</c:v>
                </c:pt>
              </c:strCache>
            </c:strRef>
          </c:cat>
          <c:val>
            <c:numRef>
              <c:f>Sheet1!$B$11:$H$11</c:f>
              <c:numCache>
                <c:formatCode>#,##0</c:formatCode>
                <c:ptCount val="7"/>
                <c:pt idx="0">
                  <c:v>5576268</c:v>
                </c:pt>
                <c:pt idx="1">
                  <c:v>4986044</c:v>
                </c:pt>
                <c:pt idx="2">
                  <c:v>5773532</c:v>
                </c:pt>
                <c:pt idx="3">
                  <c:v>5928042</c:v>
                </c:pt>
                <c:pt idx="4">
                  <c:v>6012761</c:v>
                </c:pt>
                <c:pt idx="5">
                  <c:v>6179977</c:v>
                </c:pt>
                <c:pt idx="6">
                  <c:v>7807375</c:v>
                </c:pt>
              </c:numCache>
            </c:numRef>
          </c:val>
          <c:smooth val="0"/>
          <c:extLst>
            <c:ext xmlns:c16="http://schemas.microsoft.com/office/drawing/2014/chart" uri="{C3380CC4-5D6E-409C-BE32-E72D297353CC}">
              <c16:uniqueId val="{00000004-3B5B-4F5A-9507-3992F775049D}"/>
            </c:ext>
          </c:extLst>
        </c:ser>
        <c:dLbls>
          <c:showLegendKey val="0"/>
          <c:showVal val="0"/>
          <c:showCatName val="0"/>
          <c:showSerName val="0"/>
          <c:showPercent val="0"/>
          <c:showBubbleSize val="0"/>
        </c:dLbls>
        <c:marker val="1"/>
        <c:smooth val="0"/>
        <c:axId val="2011209439"/>
        <c:axId val="2007830911"/>
      </c:lineChart>
      <c:catAx>
        <c:axId val="2011209439"/>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0" i="0" u="none" strike="noStrike" kern="1200" cap="none" spc="0" normalizeH="0" baseline="0">
                <a:solidFill>
                  <a:schemeClr val="dk1">
                    <a:lumMod val="65000"/>
                    <a:lumOff val="35000"/>
                  </a:schemeClr>
                </a:solidFill>
                <a:latin typeface="+mn-lt"/>
                <a:ea typeface="+mn-ea"/>
                <a:cs typeface="+mn-cs"/>
              </a:defRPr>
            </a:pPr>
            <a:endParaRPr lang="en-US"/>
          </a:p>
        </c:txPr>
        <c:crossAx val="2007830911"/>
        <c:crosses val="autoZero"/>
        <c:auto val="1"/>
        <c:lblAlgn val="ctr"/>
        <c:lblOffset val="100"/>
        <c:noMultiLvlLbl val="0"/>
      </c:catAx>
      <c:valAx>
        <c:axId val="2007830911"/>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dk1">
                    <a:lumMod val="65000"/>
                    <a:lumOff val="35000"/>
                  </a:schemeClr>
                </a:solidFill>
                <a:latin typeface="+mn-lt"/>
                <a:ea typeface="+mn-ea"/>
                <a:cs typeface="+mn-cs"/>
              </a:defRPr>
            </a:pPr>
            <a:endParaRPr lang="en-US"/>
          </a:p>
        </c:txPr>
        <c:crossAx val="2011209439"/>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sz="700" baseline="0"/>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Consolidated!$A$124:$A$140</c:f>
              <c:strCache>
                <c:ptCount val="17"/>
                <c:pt idx="0">
                  <c:v>Region I</c:v>
                </c:pt>
                <c:pt idx="1">
                  <c:v>Region II</c:v>
                </c:pt>
                <c:pt idx="2">
                  <c:v>Region III</c:v>
                </c:pt>
                <c:pt idx="3">
                  <c:v>Region IV-A</c:v>
                </c:pt>
                <c:pt idx="4">
                  <c:v>Region IV-B</c:v>
                </c:pt>
                <c:pt idx="5">
                  <c:v>Region V</c:v>
                </c:pt>
                <c:pt idx="6">
                  <c:v>Region VI</c:v>
                </c:pt>
                <c:pt idx="7">
                  <c:v>Region VII</c:v>
                </c:pt>
                <c:pt idx="8">
                  <c:v>Region VIII</c:v>
                </c:pt>
                <c:pt idx="9">
                  <c:v>Region IX</c:v>
                </c:pt>
                <c:pt idx="10">
                  <c:v>Region X</c:v>
                </c:pt>
                <c:pt idx="11">
                  <c:v>Region XI</c:v>
                </c:pt>
                <c:pt idx="12">
                  <c:v>Region XII</c:v>
                </c:pt>
                <c:pt idx="13">
                  <c:v>CARAGA</c:v>
                </c:pt>
                <c:pt idx="14">
                  <c:v>ARMM</c:v>
                </c:pt>
                <c:pt idx="15">
                  <c:v>CAR</c:v>
                </c:pt>
                <c:pt idx="16">
                  <c:v>NCR</c:v>
                </c:pt>
              </c:strCache>
            </c:strRef>
          </c:cat>
          <c:val>
            <c:numRef>
              <c:f>Consolidated!$B$124:$B$140</c:f>
              <c:numCache>
                <c:formatCode>#,##0</c:formatCode>
                <c:ptCount val="17"/>
                <c:pt idx="0">
                  <c:v>1107848</c:v>
                </c:pt>
                <c:pt idx="1">
                  <c:v>764900</c:v>
                </c:pt>
                <c:pt idx="2">
                  <c:v>2293935</c:v>
                </c:pt>
                <c:pt idx="3">
                  <c:v>2841413</c:v>
                </c:pt>
                <c:pt idx="4">
                  <c:v>791415</c:v>
                </c:pt>
                <c:pt idx="5">
                  <c:v>1607628</c:v>
                </c:pt>
                <c:pt idx="6">
                  <c:v>1788189</c:v>
                </c:pt>
                <c:pt idx="7">
                  <c:v>1725920</c:v>
                </c:pt>
                <c:pt idx="8">
                  <c:v>1164089</c:v>
                </c:pt>
                <c:pt idx="9">
                  <c:v>911187</c:v>
                </c:pt>
                <c:pt idx="10">
                  <c:v>1084451</c:v>
                </c:pt>
                <c:pt idx="11">
                  <c:v>1129131</c:v>
                </c:pt>
                <c:pt idx="12">
                  <c:v>1076236</c:v>
                </c:pt>
                <c:pt idx="13">
                  <c:v>684258</c:v>
                </c:pt>
                <c:pt idx="14">
                  <c:v>743947</c:v>
                </c:pt>
                <c:pt idx="15">
                  <c:v>344949</c:v>
                </c:pt>
                <c:pt idx="16">
                  <c:v>2037324</c:v>
                </c:pt>
              </c:numCache>
            </c:numRef>
          </c:val>
          <c:extLst>
            <c:ext xmlns:c16="http://schemas.microsoft.com/office/drawing/2014/chart" uri="{C3380CC4-5D6E-409C-BE32-E72D297353CC}">
              <c16:uniqueId val="{00000000-7C48-48E1-A3A7-8696C4AAEDE2}"/>
            </c:ext>
          </c:extLst>
        </c:ser>
        <c:dLbls>
          <c:showLegendKey val="0"/>
          <c:showVal val="0"/>
          <c:showCatName val="0"/>
          <c:showSerName val="0"/>
          <c:showPercent val="0"/>
          <c:showBubbleSize val="0"/>
        </c:dLbls>
        <c:gapWidth val="150"/>
        <c:shape val="box"/>
        <c:axId val="391675472"/>
        <c:axId val="750739968"/>
        <c:axId val="0"/>
      </c:bar3DChart>
      <c:catAx>
        <c:axId val="3916754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750739968"/>
        <c:crosses val="autoZero"/>
        <c:auto val="1"/>
        <c:lblAlgn val="ctr"/>
        <c:lblOffset val="100"/>
        <c:noMultiLvlLbl val="0"/>
      </c:catAx>
      <c:valAx>
        <c:axId val="750739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3916754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baseline="0"/>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Consolidated!$B$173</c:f>
              <c:strCache>
                <c:ptCount val="1"/>
                <c:pt idx="0">
                  <c:v>Elementary</c:v>
                </c:pt>
              </c:strCache>
            </c:strRef>
          </c:tx>
          <c:spPr>
            <a:solidFill>
              <a:schemeClr val="accent1"/>
            </a:solidFill>
            <a:ln>
              <a:noFill/>
            </a:ln>
            <a:effectLst/>
          </c:spPr>
          <c:invertIfNegative val="0"/>
          <c:cat>
            <c:strRef>
              <c:f>Consolidated!$A$174:$A$190</c:f>
              <c:strCache>
                <c:ptCount val="17"/>
                <c:pt idx="0">
                  <c:v>Region I</c:v>
                </c:pt>
                <c:pt idx="1">
                  <c:v>Region II</c:v>
                </c:pt>
                <c:pt idx="2">
                  <c:v>Region III</c:v>
                </c:pt>
                <c:pt idx="3">
                  <c:v>Region IV-A</c:v>
                </c:pt>
                <c:pt idx="4">
                  <c:v>Region IV-B</c:v>
                </c:pt>
                <c:pt idx="5">
                  <c:v>Region V</c:v>
                </c:pt>
                <c:pt idx="6">
                  <c:v>Region VI</c:v>
                </c:pt>
                <c:pt idx="7">
                  <c:v>Region VII</c:v>
                </c:pt>
                <c:pt idx="8">
                  <c:v>Region VIII</c:v>
                </c:pt>
                <c:pt idx="9">
                  <c:v>Region IX</c:v>
                </c:pt>
                <c:pt idx="10">
                  <c:v>Region X</c:v>
                </c:pt>
                <c:pt idx="11">
                  <c:v>Region XI</c:v>
                </c:pt>
                <c:pt idx="12">
                  <c:v>Region XII</c:v>
                </c:pt>
                <c:pt idx="13">
                  <c:v>CARAGA</c:v>
                </c:pt>
                <c:pt idx="14">
                  <c:v>ARMM</c:v>
                </c:pt>
                <c:pt idx="15">
                  <c:v>CAR</c:v>
                </c:pt>
                <c:pt idx="16">
                  <c:v>NCR</c:v>
                </c:pt>
              </c:strCache>
            </c:strRef>
          </c:cat>
          <c:val>
            <c:numRef>
              <c:f>Consolidated!$B$174:$B$190</c:f>
              <c:numCache>
                <c:formatCode>#,##0</c:formatCode>
                <c:ptCount val="17"/>
                <c:pt idx="0">
                  <c:v>-56004</c:v>
                </c:pt>
                <c:pt idx="1">
                  <c:v>-17877</c:v>
                </c:pt>
                <c:pt idx="2">
                  <c:v>-52176</c:v>
                </c:pt>
                <c:pt idx="3">
                  <c:v>22399</c:v>
                </c:pt>
                <c:pt idx="4">
                  <c:v>-33544</c:v>
                </c:pt>
                <c:pt idx="5">
                  <c:v>-120598</c:v>
                </c:pt>
                <c:pt idx="6">
                  <c:v>-83741</c:v>
                </c:pt>
                <c:pt idx="7">
                  <c:v>-77237</c:v>
                </c:pt>
                <c:pt idx="8">
                  <c:v>-75265</c:v>
                </c:pt>
                <c:pt idx="9">
                  <c:v>-35456</c:v>
                </c:pt>
                <c:pt idx="10">
                  <c:v>-18072</c:v>
                </c:pt>
                <c:pt idx="11">
                  <c:v>-35127</c:v>
                </c:pt>
                <c:pt idx="12">
                  <c:v>-9762</c:v>
                </c:pt>
                <c:pt idx="13">
                  <c:v>-20978</c:v>
                </c:pt>
                <c:pt idx="14">
                  <c:v>-114222</c:v>
                </c:pt>
                <c:pt idx="15">
                  <c:v>-21678</c:v>
                </c:pt>
                <c:pt idx="16">
                  <c:v>-109616</c:v>
                </c:pt>
              </c:numCache>
            </c:numRef>
          </c:val>
          <c:extLst>
            <c:ext xmlns:c16="http://schemas.microsoft.com/office/drawing/2014/chart" uri="{C3380CC4-5D6E-409C-BE32-E72D297353CC}">
              <c16:uniqueId val="{00000000-0201-4EA7-B5A2-401B19390AFA}"/>
            </c:ext>
          </c:extLst>
        </c:ser>
        <c:ser>
          <c:idx val="1"/>
          <c:order val="1"/>
          <c:tx>
            <c:strRef>
              <c:f>Consolidated!$C$173</c:f>
              <c:strCache>
                <c:ptCount val="1"/>
                <c:pt idx="0">
                  <c:v>Secondary</c:v>
                </c:pt>
              </c:strCache>
            </c:strRef>
          </c:tx>
          <c:spPr>
            <a:solidFill>
              <a:schemeClr val="accent2"/>
            </a:solidFill>
            <a:ln>
              <a:noFill/>
            </a:ln>
            <a:effectLst/>
          </c:spPr>
          <c:invertIfNegative val="0"/>
          <c:cat>
            <c:strRef>
              <c:f>Consolidated!$A$174:$A$190</c:f>
              <c:strCache>
                <c:ptCount val="17"/>
                <c:pt idx="0">
                  <c:v>Region I</c:v>
                </c:pt>
                <c:pt idx="1">
                  <c:v>Region II</c:v>
                </c:pt>
                <c:pt idx="2">
                  <c:v>Region III</c:v>
                </c:pt>
                <c:pt idx="3">
                  <c:v>Region IV-A</c:v>
                </c:pt>
                <c:pt idx="4">
                  <c:v>Region IV-B</c:v>
                </c:pt>
                <c:pt idx="5">
                  <c:v>Region V</c:v>
                </c:pt>
                <c:pt idx="6">
                  <c:v>Region VI</c:v>
                </c:pt>
                <c:pt idx="7">
                  <c:v>Region VII</c:v>
                </c:pt>
                <c:pt idx="8">
                  <c:v>Region VIII</c:v>
                </c:pt>
                <c:pt idx="9">
                  <c:v>Region IX</c:v>
                </c:pt>
                <c:pt idx="10">
                  <c:v>Region X</c:v>
                </c:pt>
                <c:pt idx="11">
                  <c:v>Region XI</c:v>
                </c:pt>
                <c:pt idx="12">
                  <c:v>Region XII</c:v>
                </c:pt>
                <c:pt idx="13">
                  <c:v>CARAGA</c:v>
                </c:pt>
                <c:pt idx="14">
                  <c:v>ARMM</c:v>
                </c:pt>
                <c:pt idx="15">
                  <c:v>CAR</c:v>
                </c:pt>
                <c:pt idx="16">
                  <c:v>NCR</c:v>
                </c:pt>
              </c:strCache>
            </c:strRef>
          </c:cat>
          <c:val>
            <c:numRef>
              <c:f>Consolidated!$C$174:$C$190</c:f>
              <c:numCache>
                <c:formatCode>#,##0</c:formatCode>
                <c:ptCount val="17"/>
                <c:pt idx="0">
                  <c:v>121892</c:v>
                </c:pt>
                <c:pt idx="1">
                  <c:v>77134</c:v>
                </c:pt>
                <c:pt idx="2">
                  <c:v>189218</c:v>
                </c:pt>
                <c:pt idx="3">
                  <c:v>250151</c:v>
                </c:pt>
                <c:pt idx="4">
                  <c:v>85099</c:v>
                </c:pt>
                <c:pt idx="5">
                  <c:v>192752</c:v>
                </c:pt>
                <c:pt idx="6">
                  <c:v>197452</c:v>
                </c:pt>
                <c:pt idx="7">
                  <c:v>178359</c:v>
                </c:pt>
                <c:pt idx="8">
                  <c:v>132871</c:v>
                </c:pt>
                <c:pt idx="9">
                  <c:v>95722</c:v>
                </c:pt>
                <c:pt idx="10">
                  <c:v>105835</c:v>
                </c:pt>
                <c:pt idx="11">
                  <c:v>123467</c:v>
                </c:pt>
                <c:pt idx="12">
                  <c:v>120683</c:v>
                </c:pt>
                <c:pt idx="13">
                  <c:v>77904</c:v>
                </c:pt>
                <c:pt idx="14">
                  <c:v>-703</c:v>
                </c:pt>
                <c:pt idx="15">
                  <c:v>27196</c:v>
                </c:pt>
                <c:pt idx="16">
                  <c:v>58811</c:v>
                </c:pt>
              </c:numCache>
            </c:numRef>
          </c:val>
          <c:extLst>
            <c:ext xmlns:c16="http://schemas.microsoft.com/office/drawing/2014/chart" uri="{C3380CC4-5D6E-409C-BE32-E72D297353CC}">
              <c16:uniqueId val="{00000001-0201-4EA7-B5A2-401B19390AFA}"/>
            </c:ext>
          </c:extLst>
        </c:ser>
        <c:dLbls>
          <c:showLegendKey val="0"/>
          <c:showVal val="0"/>
          <c:showCatName val="0"/>
          <c:showSerName val="0"/>
          <c:showPercent val="0"/>
          <c:showBubbleSize val="0"/>
        </c:dLbls>
        <c:gapWidth val="219"/>
        <c:overlap val="-27"/>
        <c:axId val="393680432"/>
        <c:axId val="389607376"/>
      </c:barChart>
      <c:catAx>
        <c:axId val="39368043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389607376"/>
        <c:crosses val="autoZero"/>
        <c:auto val="1"/>
        <c:lblAlgn val="ctr"/>
        <c:lblOffset val="100"/>
        <c:noMultiLvlLbl val="0"/>
      </c:catAx>
      <c:valAx>
        <c:axId val="3896073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393680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baseline="0"/>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79506654588531E-2"/>
          <c:y val="6.0337195211926362E-2"/>
          <c:w val="0.88173590690544212"/>
          <c:h val="0.73816619641475767"/>
        </c:manualLayout>
      </c:layout>
      <c:barChart>
        <c:barDir val="col"/>
        <c:grouping val="clustered"/>
        <c:varyColors val="0"/>
        <c:ser>
          <c:idx val="0"/>
          <c:order val="0"/>
          <c:tx>
            <c:strRef>
              <c:f>'Sheet1 (2)'!$BQ$19</c:f>
              <c:strCache>
                <c:ptCount val="1"/>
                <c:pt idx="0">
                  <c:v>SY2013-2014</c:v>
                </c:pt>
              </c:strCache>
            </c:strRef>
          </c:tx>
          <c:spPr>
            <a:solidFill>
              <a:schemeClr val="accent1"/>
            </a:solidFill>
            <a:ln>
              <a:noFill/>
            </a:ln>
            <a:effectLst/>
          </c:spPr>
          <c:invertIfNegative val="0"/>
          <c:cat>
            <c:multiLvlStrRef>
              <c:f>'Sheet1 (2)'!$BL$20:$BM$23</c:f>
              <c:multiLvlStrCache>
                <c:ptCount val="4"/>
                <c:lvl>
                  <c:pt idx="0">
                    <c:v>BEST Regions</c:v>
                  </c:pt>
                  <c:pt idx="1">
                    <c:v>Non-BEST Regions</c:v>
                  </c:pt>
                  <c:pt idx="2">
                    <c:v>BEST Regions</c:v>
                  </c:pt>
                  <c:pt idx="3">
                    <c:v>Non-BEST Regions</c:v>
                  </c:pt>
                </c:lvl>
                <c:lvl>
                  <c:pt idx="0">
                    <c:v>Elementary</c:v>
                  </c:pt>
                  <c:pt idx="2">
                    <c:v>Secondary</c:v>
                  </c:pt>
                </c:lvl>
              </c:multiLvlStrCache>
            </c:multiLvlStrRef>
          </c:cat>
          <c:val>
            <c:numRef>
              <c:f>'Sheet1 (2)'!$BQ$20:$BQ$23</c:f>
              <c:numCache>
                <c:formatCode>#,##0</c:formatCode>
                <c:ptCount val="4"/>
                <c:pt idx="0">
                  <c:v>6455098</c:v>
                </c:pt>
                <c:pt idx="1">
                  <c:v>8693301</c:v>
                </c:pt>
                <c:pt idx="2">
                  <c:v>2570952</c:v>
                </c:pt>
                <c:pt idx="3">
                  <c:v>3202580</c:v>
                </c:pt>
              </c:numCache>
            </c:numRef>
          </c:val>
          <c:extLst>
            <c:ext xmlns:c16="http://schemas.microsoft.com/office/drawing/2014/chart" uri="{C3380CC4-5D6E-409C-BE32-E72D297353CC}">
              <c16:uniqueId val="{00000000-3FA0-48D1-A559-92CD88D99B2B}"/>
            </c:ext>
          </c:extLst>
        </c:ser>
        <c:ser>
          <c:idx val="1"/>
          <c:order val="1"/>
          <c:tx>
            <c:strRef>
              <c:f>'Sheet1 (2)'!$BR$19</c:f>
              <c:strCache>
                <c:ptCount val="1"/>
                <c:pt idx="0">
                  <c:v>SY2014-2015</c:v>
                </c:pt>
              </c:strCache>
            </c:strRef>
          </c:tx>
          <c:spPr>
            <a:solidFill>
              <a:schemeClr val="accent2"/>
            </a:solidFill>
            <a:ln>
              <a:noFill/>
            </a:ln>
            <a:effectLst/>
          </c:spPr>
          <c:invertIfNegative val="0"/>
          <c:cat>
            <c:multiLvlStrRef>
              <c:f>'Sheet1 (2)'!$BL$20:$BM$23</c:f>
              <c:multiLvlStrCache>
                <c:ptCount val="4"/>
                <c:lvl>
                  <c:pt idx="0">
                    <c:v>BEST Regions</c:v>
                  </c:pt>
                  <c:pt idx="1">
                    <c:v>Non-BEST Regions</c:v>
                  </c:pt>
                  <c:pt idx="2">
                    <c:v>BEST Regions</c:v>
                  </c:pt>
                  <c:pt idx="3">
                    <c:v>Non-BEST Regions</c:v>
                  </c:pt>
                </c:lvl>
                <c:lvl>
                  <c:pt idx="0">
                    <c:v>Elementary</c:v>
                  </c:pt>
                  <c:pt idx="2">
                    <c:v>Secondary</c:v>
                  </c:pt>
                </c:lvl>
              </c:multiLvlStrCache>
            </c:multiLvlStrRef>
          </c:cat>
          <c:val>
            <c:numRef>
              <c:f>'Sheet1 (2)'!$BR$20:$BR$23</c:f>
              <c:numCache>
                <c:formatCode>#,##0</c:formatCode>
                <c:ptCount val="4"/>
                <c:pt idx="0">
                  <c:v>6398215</c:v>
                </c:pt>
                <c:pt idx="1">
                  <c:v>8715993</c:v>
                </c:pt>
                <c:pt idx="2">
                  <c:v>2623487</c:v>
                </c:pt>
                <c:pt idx="3">
                  <c:v>3304555</c:v>
                </c:pt>
              </c:numCache>
            </c:numRef>
          </c:val>
          <c:extLst>
            <c:ext xmlns:c16="http://schemas.microsoft.com/office/drawing/2014/chart" uri="{C3380CC4-5D6E-409C-BE32-E72D297353CC}">
              <c16:uniqueId val="{00000001-3FA0-48D1-A559-92CD88D99B2B}"/>
            </c:ext>
          </c:extLst>
        </c:ser>
        <c:ser>
          <c:idx val="2"/>
          <c:order val="2"/>
          <c:tx>
            <c:strRef>
              <c:f>'Sheet1 (2)'!$BS$19</c:f>
              <c:strCache>
                <c:ptCount val="1"/>
                <c:pt idx="0">
                  <c:v>SY2015-2016</c:v>
                </c:pt>
              </c:strCache>
            </c:strRef>
          </c:tx>
          <c:spPr>
            <a:solidFill>
              <a:schemeClr val="accent3"/>
            </a:solidFill>
            <a:ln>
              <a:noFill/>
            </a:ln>
            <a:effectLst/>
          </c:spPr>
          <c:invertIfNegative val="0"/>
          <c:cat>
            <c:multiLvlStrRef>
              <c:f>'Sheet1 (2)'!$BL$20:$BM$23</c:f>
              <c:multiLvlStrCache>
                <c:ptCount val="4"/>
                <c:lvl>
                  <c:pt idx="0">
                    <c:v>BEST Regions</c:v>
                  </c:pt>
                  <c:pt idx="1">
                    <c:v>Non-BEST Regions</c:v>
                  </c:pt>
                  <c:pt idx="2">
                    <c:v>BEST Regions</c:v>
                  </c:pt>
                  <c:pt idx="3">
                    <c:v>Non-BEST Regions</c:v>
                  </c:pt>
                </c:lvl>
                <c:lvl>
                  <c:pt idx="0">
                    <c:v>Elementary</c:v>
                  </c:pt>
                  <c:pt idx="2">
                    <c:v>Secondary</c:v>
                  </c:pt>
                </c:lvl>
              </c:multiLvlStrCache>
            </c:multiLvlStrRef>
          </c:cat>
          <c:val>
            <c:numRef>
              <c:f>'Sheet1 (2)'!$BS$20:$BS$23</c:f>
              <c:numCache>
                <c:formatCode>#,##0</c:formatCode>
                <c:ptCount val="4"/>
                <c:pt idx="0">
                  <c:v>6279995</c:v>
                </c:pt>
                <c:pt idx="1">
                  <c:v>8614651</c:v>
                </c:pt>
                <c:pt idx="2">
                  <c:v>2649232</c:v>
                </c:pt>
                <c:pt idx="3">
                  <c:v>3363529</c:v>
                </c:pt>
              </c:numCache>
            </c:numRef>
          </c:val>
          <c:extLst>
            <c:ext xmlns:c16="http://schemas.microsoft.com/office/drawing/2014/chart" uri="{C3380CC4-5D6E-409C-BE32-E72D297353CC}">
              <c16:uniqueId val="{00000002-3FA0-48D1-A559-92CD88D99B2B}"/>
            </c:ext>
          </c:extLst>
        </c:ser>
        <c:ser>
          <c:idx val="3"/>
          <c:order val="3"/>
          <c:tx>
            <c:strRef>
              <c:f>'Sheet1 (2)'!$BT$19</c:f>
              <c:strCache>
                <c:ptCount val="1"/>
                <c:pt idx="0">
                  <c:v>SY2016-2017</c:v>
                </c:pt>
              </c:strCache>
            </c:strRef>
          </c:tx>
          <c:spPr>
            <a:solidFill>
              <a:schemeClr val="accent4"/>
            </a:solidFill>
            <a:ln>
              <a:noFill/>
            </a:ln>
            <a:effectLst/>
          </c:spPr>
          <c:invertIfNegative val="0"/>
          <c:cat>
            <c:multiLvlStrRef>
              <c:f>'Sheet1 (2)'!$BL$20:$BM$23</c:f>
              <c:multiLvlStrCache>
                <c:ptCount val="4"/>
                <c:lvl>
                  <c:pt idx="0">
                    <c:v>BEST Regions</c:v>
                  </c:pt>
                  <c:pt idx="1">
                    <c:v>Non-BEST Regions</c:v>
                  </c:pt>
                  <c:pt idx="2">
                    <c:v>BEST Regions</c:v>
                  </c:pt>
                  <c:pt idx="3">
                    <c:v>Non-BEST Regions</c:v>
                  </c:pt>
                </c:lvl>
                <c:lvl>
                  <c:pt idx="0">
                    <c:v>Elementary</c:v>
                  </c:pt>
                  <c:pt idx="2">
                    <c:v>Secondary</c:v>
                  </c:pt>
                </c:lvl>
              </c:multiLvlStrCache>
            </c:multiLvlStrRef>
          </c:cat>
          <c:val>
            <c:numRef>
              <c:f>'Sheet1 (2)'!$BT$20:$BT$23</c:f>
              <c:numCache>
                <c:formatCode>#,##0</c:formatCode>
                <c:ptCount val="4"/>
                <c:pt idx="0">
                  <c:v>4376101</c:v>
                </c:pt>
                <c:pt idx="1">
                  <c:v>10112130</c:v>
                </c:pt>
                <c:pt idx="2">
                  <c:v>1862103</c:v>
                </c:pt>
                <c:pt idx="3">
                  <c:v>4317874</c:v>
                </c:pt>
              </c:numCache>
            </c:numRef>
          </c:val>
          <c:extLst>
            <c:ext xmlns:c16="http://schemas.microsoft.com/office/drawing/2014/chart" uri="{C3380CC4-5D6E-409C-BE32-E72D297353CC}">
              <c16:uniqueId val="{00000003-3FA0-48D1-A559-92CD88D99B2B}"/>
            </c:ext>
          </c:extLst>
        </c:ser>
        <c:ser>
          <c:idx val="4"/>
          <c:order val="4"/>
          <c:tx>
            <c:strRef>
              <c:f>'Sheet1 (2)'!$BU$19</c:f>
              <c:strCache>
                <c:ptCount val="1"/>
                <c:pt idx="0">
                  <c:v>SY2017-2018</c:v>
                </c:pt>
              </c:strCache>
            </c:strRef>
          </c:tx>
          <c:spPr>
            <a:solidFill>
              <a:schemeClr val="accent5"/>
            </a:solidFill>
            <a:ln>
              <a:noFill/>
            </a:ln>
            <a:effectLst/>
          </c:spPr>
          <c:invertIfNegative val="0"/>
          <c:cat>
            <c:multiLvlStrRef>
              <c:f>'Sheet1 (2)'!$BL$20:$BM$23</c:f>
              <c:multiLvlStrCache>
                <c:ptCount val="4"/>
                <c:lvl>
                  <c:pt idx="0">
                    <c:v>BEST Regions</c:v>
                  </c:pt>
                  <c:pt idx="1">
                    <c:v>Non-BEST Regions</c:v>
                  </c:pt>
                  <c:pt idx="2">
                    <c:v>BEST Regions</c:v>
                  </c:pt>
                  <c:pt idx="3">
                    <c:v>Non-BEST Regions</c:v>
                  </c:pt>
                </c:lvl>
                <c:lvl>
                  <c:pt idx="0">
                    <c:v>Elementary</c:v>
                  </c:pt>
                  <c:pt idx="2">
                    <c:v>Secondary</c:v>
                  </c:pt>
                </c:lvl>
              </c:multiLvlStrCache>
            </c:multiLvlStrRef>
          </c:cat>
          <c:val>
            <c:numRef>
              <c:f>'Sheet1 (2)'!$BU$20:$BU$23</c:f>
              <c:numCache>
                <c:formatCode>#,##0</c:formatCode>
                <c:ptCount val="4"/>
                <c:pt idx="0">
                  <c:v>5970569</c:v>
                </c:pt>
                <c:pt idx="1">
                  <c:v>8318876</c:v>
                </c:pt>
                <c:pt idx="2">
                  <c:v>3437032</c:v>
                </c:pt>
                <c:pt idx="3">
                  <c:v>4370343</c:v>
                </c:pt>
              </c:numCache>
            </c:numRef>
          </c:val>
          <c:extLst>
            <c:ext xmlns:c16="http://schemas.microsoft.com/office/drawing/2014/chart" uri="{C3380CC4-5D6E-409C-BE32-E72D297353CC}">
              <c16:uniqueId val="{00000004-3FA0-48D1-A559-92CD88D99B2B}"/>
            </c:ext>
          </c:extLst>
        </c:ser>
        <c:dLbls>
          <c:showLegendKey val="0"/>
          <c:showVal val="0"/>
          <c:showCatName val="0"/>
          <c:showSerName val="0"/>
          <c:showPercent val="0"/>
          <c:showBubbleSize val="0"/>
        </c:dLbls>
        <c:gapWidth val="219"/>
        <c:overlap val="-27"/>
        <c:axId val="385232512"/>
        <c:axId val="861762512"/>
      </c:barChart>
      <c:catAx>
        <c:axId val="385232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861762512"/>
        <c:crosses val="autoZero"/>
        <c:auto val="1"/>
        <c:lblAlgn val="ctr"/>
        <c:lblOffset val="100"/>
        <c:noMultiLvlLbl val="0"/>
      </c:catAx>
      <c:valAx>
        <c:axId val="8617625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385232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baseline="0"/>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'Baseline Endline (2)'!$C$365</c:f>
              <c:strCache>
                <c:ptCount val="1"/>
                <c:pt idx="0">
                  <c:v>SY2013-2014</c:v>
                </c:pt>
              </c:strCache>
            </c:strRef>
          </c:tx>
          <c:spPr>
            <a:solidFill>
              <a:schemeClr val="accent1"/>
            </a:solidFill>
            <a:ln>
              <a:noFill/>
            </a:ln>
            <a:effectLst/>
            <a:sp3d/>
          </c:spPr>
          <c:invertIfNegative val="0"/>
          <c:cat>
            <c:strRef>
              <c:f>'Baseline Endline (2)'!$B$366:$B$385</c:f>
              <c:strCache>
                <c:ptCount val="20"/>
                <c:pt idx="0">
                  <c:v>Region V</c:v>
                </c:pt>
                <c:pt idx="1">
                  <c:v>Camarines Sur</c:v>
                </c:pt>
                <c:pt idx="2">
                  <c:v>Sorsogon</c:v>
                </c:pt>
                <c:pt idx="3">
                  <c:v>Region VI</c:v>
                </c:pt>
                <c:pt idx="4">
                  <c:v>Antique</c:v>
                </c:pt>
                <c:pt idx="5">
                  <c:v>Iloilo</c:v>
                </c:pt>
                <c:pt idx="6">
                  <c:v>Region VII</c:v>
                </c:pt>
                <c:pt idx="7">
                  <c:v>Bohol</c:v>
                </c:pt>
                <c:pt idx="8">
                  <c:v>Cebu</c:v>
                </c:pt>
                <c:pt idx="9">
                  <c:v>Eastern Visayas</c:v>
                </c:pt>
                <c:pt idx="10">
                  <c:v>Eastern Samar</c:v>
                </c:pt>
                <c:pt idx="11">
                  <c:v>Leyte</c:v>
                </c:pt>
                <c:pt idx="12">
                  <c:v>Region X</c:v>
                </c:pt>
                <c:pt idx="13">
                  <c:v>Cagayan de Oro City </c:v>
                </c:pt>
                <c:pt idx="14">
                  <c:v>Misamis Or</c:v>
                </c:pt>
                <c:pt idx="15">
                  <c:v>NCR</c:v>
                </c:pt>
                <c:pt idx="16">
                  <c:v>Las Pinas City</c:v>
                </c:pt>
                <c:pt idx="17">
                  <c:v>Manila</c:v>
                </c:pt>
                <c:pt idx="18">
                  <c:v>Paranaque City</c:v>
                </c:pt>
                <c:pt idx="19">
                  <c:v>Quezon City</c:v>
                </c:pt>
              </c:strCache>
            </c:strRef>
          </c:cat>
          <c:val>
            <c:numRef>
              <c:f>'Baseline Endline (2)'!$C$366:$C$385</c:f>
              <c:numCache>
                <c:formatCode>#,##0</c:formatCode>
                <c:ptCount val="20"/>
                <c:pt idx="0">
                  <c:v>1120982</c:v>
                </c:pt>
                <c:pt idx="1">
                  <c:v>324807</c:v>
                </c:pt>
                <c:pt idx="2">
                  <c:v>123710</c:v>
                </c:pt>
                <c:pt idx="3">
                  <c:v>1195683</c:v>
                </c:pt>
                <c:pt idx="4">
                  <c:v>100401</c:v>
                </c:pt>
                <c:pt idx="5">
                  <c:v>283757</c:v>
                </c:pt>
                <c:pt idx="6">
                  <c:v>1180443</c:v>
                </c:pt>
                <c:pt idx="7">
                  <c:v>205612</c:v>
                </c:pt>
                <c:pt idx="8">
                  <c:v>357023</c:v>
                </c:pt>
                <c:pt idx="9">
                  <c:v>793876</c:v>
                </c:pt>
                <c:pt idx="10">
                  <c:v>76201</c:v>
                </c:pt>
                <c:pt idx="11">
                  <c:v>244208</c:v>
                </c:pt>
                <c:pt idx="12">
                  <c:v>757236</c:v>
                </c:pt>
                <c:pt idx="13">
                  <c:v>91882</c:v>
                </c:pt>
                <c:pt idx="14">
                  <c:v>119005</c:v>
                </c:pt>
                <c:pt idx="15">
                  <c:v>1390356</c:v>
                </c:pt>
                <c:pt idx="16">
                  <c:v>67708</c:v>
                </c:pt>
                <c:pt idx="17">
                  <c:v>203260</c:v>
                </c:pt>
                <c:pt idx="18">
                  <c:v>63619</c:v>
                </c:pt>
                <c:pt idx="19">
                  <c:v>290216</c:v>
                </c:pt>
              </c:numCache>
            </c:numRef>
          </c:val>
          <c:extLst>
            <c:ext xmlns:c16="http://schemas.microsoft.com/office/drawing/2014/chart" uri="{C3380CC4-5D6E-409C-BE32-E72D297353CC}">
              <c16:uniqueId val="{00000000-FBFD-4B56-A1BD-5EC76E181B3D}"/>
            </c:ext>
          </c:extLst>
        </c:ser>
        <c:ser>
          <c:idx val="1"/>
          <c:order val="1"/>
          <c:tx>
            <c:strRef>
              <c:f>'Baseline Endline (2)'!$D$365</c:f>
              <c:strCache>
                <c:ptCount val="1"/>
                <c:pt idx="0">
                  <c:v>SY2017-2018</c:v>
                </c:pt>
              </c:strCache>
            </c:strRef>
          </c:tx>
          <c:spPr>
            <a:solidFill>
              <a:schemeClr val="accent2"/>
            </a:solidFill>
            <a:ln>
              <a:noFill/>
            </a:ln>
            <a:effectLst/>
            <a:sp3d/>
          </c:spPr>
          <c:invertIfNegative val="0"/>
          <c:cat>
            <c:strRef>
              <c:f>'Baseline Endline (2)'!$B$366:$B$385</c:f>
              <c:strCache>
                <c:ptCount val="20"/>
                <c:pt idx="0">
                  <c:v>Region V</c:v>
                </c:pt>
                <c:pt idx="1">
                  <c:v>Camarines Sur</c:v>
                </c:pt>
                <c:pt idx="2">
                  <c:v>Sorsogon</c:v>
                </c:pt>
                <c:pt idx="3">
                  <c:v>Region VI</c:v>
                </c:pt>
                <c:pt idx="4">
                  <c:v>Antique</c:v>
                </c:pt>
                <c:pt idx="5">
                  <c:v>Iloilo</c:v>
                </c:pt>
                <c:pt idx="6">
                  <c:v>Region VII</c:v>
                </c:pt>
                <c:pt idx="7">
                  <c:v>Bohol</c:v>
                </c:pt>
                <c:pt idx="8">
                  <c:v>Cebu</c:v>
                </c:pt>
                <c:pt idx="9">
                  <c:v>Eastern Visayas</c:v>
                </c:pt>
                <c:pt idx="10">
                  <c:v>Eastern Samar</c:v>
                </c:pt>
                <c:pt idx="11">
                  <c:v>Leyte</c:v>
                </c:pt>
                <c:pt idx="12">
                  <c:v>Region X</c:v>
                </c:pt>
                <c:pt idx="13">
                  <c:v>Cagayan de Oro City </c:v>
                </c:pt>
                <c:pt idx="14">
                  <c:v>Misamis Or</c:v>
                </c:pt>
                <c:pt idx="15">
                  <c:v>NCR</c:v>
                </c:pt>
                <c:pt idx="16">
                  <c:v>Las Pinas City</c:v>
                </c:pt>
                <c:pt idx="17">
                  <c:v>Manila</c:v>
                </c:pt>
                <c:pt idx="18">
                  <c:v>Paranaque City</c:v>
                </c:pt>
                <c:pt idx="19">
                  <c:v>Quezon City</c:v>
                </c:pt>
              </c:strCache>
            </c:strRef>
          </c:cat>
          <c:val>
            <c:numRef>
              <c:f>'Baseline Endline (2)'!$D$366:$D$385</c:f>
              <c:numCache>
                <c:formatCode>#,##0</c:formatCode>
                <c:ptCount val="20"/>
                <c:pt idx="0">
                  <c:v>1002149</c:v>
                </c:pt>
                <c:pt idx="1">
                  <c:v>289692</c:v>
                </c:pt>
                <c:pt idx="2">
                  <c:v>107149</c:v>
                </c:pt>
                <c:pt idx="3">
                  <c:v>1113841</c:v>
                </c:pt>
                <c:pt idx="4">
                  <c:v>89285</c:v>
                </c:pt>
                <c:pt idx="5">
                  <c:v>266841</c:v>
                </c:pt>
                <c:pt idx="6">
                  <c:v>1106297</c:v>
                </c:pt>
                <c:pt idx="7">
                  <c:v>183145</c:v>
                </c:pt>
                <c:pt idx="8">
                  <c:v>340438</c:v>
                </c:pt>
                <c:pt idx="9">
                  <c:v>719163</c:v>
                </c:pt>
                <c:pt idx="10">
                  <c:v>66149</c:v>
                </c:pt>
                <c:pt idx="11">
                  <c:v>228587</c:v>
                </c:pt>
                <c:pt idx="12">
                  <c:v>740719</c:v>
                </c:pt>
                <c:pt idx="13">
                  <c:v>92110</c:v>
                </c:pt>
                <c:pt idx="14">
                  <c:v>115865</c:v>
                </c:pt>
                <c:pt idx="15">
                  <c:v>1288400</c:v>
                </c:pt>
                <c:pt idx="16">
                  <c:v>61301</c:v>
                </c:pt>
                <c:pt idx="17">
                  <c:v>182101</c:v>
                </c:pt>
                <c:pt idx="18">
                  <c:v>60017</c:v>
                </c:pt>
                <c:pt idx="19">
                  <c:v>263695</c:v>
                </c:pt>
              </c:numCache>
            </c:numRef>
          </c:val>
          <c:extLst>
            <c:ext xmlns:c16="http://schemas.microsoft.com/office/drawing/2014/chart" uri="{C3380CC4-5D6E-409C-BE32-E72D297353CC}">
              <c16:uniqueId val="{00000001-FBFD-4B56-A1BD-5EC76E181B3D}"/>
            </c:ext>
          </c:extLst>
        </c:ser>
        <c:dLbls>
          <c:showLegendKey val="0"/>
          <c:showVal val="0"/>
          <c:showCatName val="0"/>
          <c:showSerName val="0"/>
          <c:showPercent val="0"/>
          <c:showBubbleSize val="0"/>
        </c:dLbls>
        <c:gapWidth val="150"/>
        <c:shape val="box"/>
        <c:axId val="370346304"/>
        <c:axId val="385739056"/>
        <c:axId val="0"/>
      </c:bar3DChart>
      <c:catAx>
        <c:axId val="3703463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385739056"/>
        <c:crosses val="autoZero"/>
        <c:auto val="1"/>
        <c:lblAlgn val="ctr"/>
        <c:lblOffset val="100"/>
        <c:noMultiLvlLbl val="0"/>
      </c:catAx>
      <c:valAx>
        <c:axId val="3857390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370346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baseline="0"/>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Sheet1!$B$161</c:f>
              <c:strCache>
                <c:ptCount val="1"/>
                <c:pt idx="0">
                  <c:v>Overall</c:v>
                </c:pt>
              </c:strCache>
            </c:strRef>
          </c:tx>
          <c:spPr>
            <a:ln w="22225" cap="rnd">
              <a:solidFill>
                <a:schemeClr val="accent1"/>
              </a:solidFill>
              <a:round/>
            </a:ln>
            <a:effectLst/>
          </c:spPr>
          <c:marker>
            <c:symbol val="none"/>
          </c:marker>
          <c:cat>
            <c:strRef>
              <c:f>Sheet1!$C$160:$I$160</c:f>
              <c:strCache>
                <c:ptCount val="7"/>
                <c:pt idx="0">
                  <c:v>SY2011 - 2012</c:v>
                </c:pt>
                <c:pt idx="1">
                  <c:v>SY2012 - 2013</c:v>
                </c:pt>
                <c:pt idx="2">
                  <c:v>SY2013 - 2014</c:v>
                </c:pt>
                <c:pt idx="3">
                  <c:v>SY2014 - 2015</c:v>
                </c:pt>
                <c:pt idx="4">
                  <c:v>SY2015 - 2016</c:v>
                </c:pt>
                <c:pt idx="5">
                  <c:v>SY2016 - 2017</c:v>
                </c:pt>
                <c:pt idx="6">
                  <c:v>SY2017 - 2018</c:v>
                </c:pt>
              </c:strCache>
            </c:strRef>
          </c:cat>
          <c:val>
            <c:numRef>
              <c:f>Sheet1!$C$161:$I$161</c:f>
              <c:numCache>
                <c:formatCode>#,##0</c:formatCode>
                <c:ptCount val="7"/>
                <c:pt idx="0">
                  <c:v>11114685</c:v>
                </c:pt>
                <c:pt idx="1">
                  <c:v>11046415</c:v>
                </c:pt>
                <c:pt idx="2">
                  <c:v>11114063</c:v>
                </c:pt>
                <c:pt idx="3">
                  <c:v>11179698</c:v>
                </c:pt>
                <c:pt idx="4">
                  <c:v>11199013</c:v>
                </c:pt>
                <c:pt idx="5">
                  <c:v>10880156</c:v>
                </c:pt>
                <c:pt idx="6">
                  <c:v>11046836</c:v>
                </c:pt>
              </c:numCache>
            </c:numRef>
          </c:val>
          <c:smooth val="0"/>
          <c:extLst>
            <c:ext xmlns:c16="http://schemas.microsoft.com/office/drawing/2014/chart" uri="{C3380CC4-5D6E-409C-BE32-E72D297353CC}">
              <c16:uniqueId val="{00000000-63DB-46A3-86A8-27612D96A690}"/>
            </c:ext>
          </c:extLst>
        </c:ser>
        <c:ser>
          <c:idx val="1"/>
          <c:order val="1"/>
          <c:tx>
            <c:strRef>
              <c:f>Sheet1!$B$162</c:f>
              <c:strCache>
                <c:ptCount val="1"/>
                <c:pt idx="0">
                  <c:v>Male</c:v>
                </c:pt>
              </c:strCache>
            </c:strRef>
          </c:tx>
          <c:spPr>
            <a:ln w="22225" cap="rnd">
              <a:solidFill>
                <a:schemeClr val="accent2"/>
              </a:solidFill>
              <a:round/>
            </a:ln>
            <a:effectLst/>
          </c:spPr>
          <c:marker>
            <c:symbol val="none"/>
          </c:marker>
          <c:cat>
            <c:strRef>
              <c:f>Sheet1!$C$160:$I$160</c:f>
              <c:strCache>
                <c:ptCount val="7"/>
                <c:pt idx="0">
                  <c:v>SY2011 - 2012</c:v>
                </c:pt>
                <c:pt idx="1">
                  <c:v>SY2012 - 2013</c:v>
                </c:pt>
                <c:pt idx="2">
                  <c:v>SY2013 - 2014</c:v>
                </c:pt>
                <c:pt idx="3">
                  <c:v>SY2014 - 2015</c:v>
                </c:pt>
                <c:pt idx="4">
                  <c:v>SY2015 - 2016</c:v>
                </c:pt>
                <c:pt idx="5">
                  <c:v>SY2016 - 2017</c:v>
                </c:pt>
                <c:pt idx="6">
                  <c:v>SY2017 - 2018</c:v>
                </c:pt>
              </c:strCache>
            </c:strRef>
          </c:cat>
          <c:val>
            <c:numRef>
              <c:f>Sheet1!$C$162:$I$162</c:f>
              <c:numCache>
                <c:formatCode>#,##0</c:formatCode>
                <c:ptCount val="7"/>
                <c:pt idx="0">
                  <c:v>5660201</c:v>
                </c:pt>
                <c:pt idx="1">
                  <c:v>5641669</c:v>
                </c:pt>
                <c:pt idx="2">
                  <c:v>5684400</c:v>
                </c:pt>
                <c:pt idx="3">
                  <c:v>5717850</c:v>
                </c:pt>
                <c:pt idx="4">
                  <c:v>5723137</c:v>
                </c:pt>
                <c:pt idx="5">
                  <c:v>5571262</c:v>
                </c:pt>
                <c:pt idx="6">
                  <c:v>5645660</c:v>
                </c:pt>
              </c:numCache>
            </c:numRef>
          </c:val>
          <c:smooth val="0"/>
          <c:extLst>
            <c:ext xmlns:c16="http://schemas.microsoft.com/office/drawing/2014/chart" uri="{C3380CC4-5D6E-409C-BE32-E72D297353CC}">
              <c16:uniqueId val="{00000001-63DB-46A3-86A8-27612D96A690}"/>
            </c:ext>
          </c:extLst>
        </c:ser>
        <c:ser>
          <c:idx val="2"/>
          <c:order val="2"/>
          <c:tx>
            <c:strRef>
              <c:f>Sheet1!$B$163</c:f>
              <c:strCache>
                <c:ptCount val="1"/>
                <c:pt idx="0">
                  <c:v>Female</c:v>
                </c:pt>
              </c:strCache>
            </c:strRef>
          </c:tx>
          <c:spPr>
            <a:ln w="22225" cap="rnd">
              <a:solidFill>
                <a:schemeClr val="accent3"/>
              </a:solidFill>
              <a:round/>
            </a:ln>
            <a:effectLst/>
          </c:spPr>
          <c:marker>
            <c:symbol val="none"/>
          </c:marker>
          <c:cat>
            <c:strRef>
              <c:f>Sheet1!$C$160:$I$160</c:f>
              <c:strCache>
                <c:ptCount val="7"/>
                <c:pt idx="0">
                  <c:v>SY2011 - 2012</c:v>
                </c:pt>
                <c:pt idx="1">
                  <c:v>SY2012 - 2013</c:v>
                </c:pt>
                <c:pt idx="2">
                  <c:v>SY2013 - 2014</c:v>
                </c:pt>
                <c:pt idx="3">
                  <c:v>SY2014 - 2015</c:v>
                </c:pt>
                <c:pt idx="4">
                  <c:v>SY2015 - 2016</c:v>
                </c:pt>
                <c:pt idx="5">
                  <c:v>SY2016 - 2017</c:v>
                </c:pt>
                <c:pt idx="6">
                  <c:v>SY2017 - 2018</c:v>
                </c:pt>
              </c:strCache>
            </c:strRef>
          </c:cat>
          <c:val>
            <c:numRef>
              <c:f>Sheet1!$C$163:$I$163</c:f>
              <c:numCache>
                <c:formatCode>#,##0</c:formatCode>
                <c:ptCount val="7"/>
                <c:pt idx="0">
                  <c:v>5454484</c:v>
                </c:pt>
                <c:pt idx="1">
                  <c:v>5404746</c:v>
                </c:pt>
                <c:pt idx="2">
                  <c:v>5429663</c:v>
                </c:pt>
                <c:pt idx="3">
                  <c:v>5461848</c:v>
                </c:pt>
                <c:pt idx="4">
                  <c:v>5475876</c:v>
                </c:pt>
                <c:pt idx="5">
                  <c:v>5308894</c:v>
                </c:pt>
                <c:pt idx="6">
                  <c:v>5401176</c:v>
                </c:pt>
              </c:numCache>
            </c:numRef>
          </c:val>
          <c:smooth val="0"/>
          <c:extLst>
            <c:ext xmlns:c16="http://schemas.microsoft.com/office/drawing/2014/chart" uri="{C3380CC4-5D6E-409C-BE32-E72D297353CC}">
              <c16:uniqueId val="{00000002-63DB-46A3-86A8-27612D96A690}"/>
            </c:ext>
          </c:extLst>
        </c:ser>
        <c:dLbls>
          <c:showLegendKey val="0"/>
          <c:showVal val="0"/>
          <c:showCatName val="0"/>
          <c:showSerName val="0"/>
          <c:showPercent val="0"/>
          <c:showBubbleSize val="0"/>
        </c:dLbls>
        <c:smooth val="0"/>
        <c:axId val="1303883456"/>
        <c:axId val="1172325488"/>
      </c:lineChart>
      <c:catAx>
        <c:axId val="130388345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0" i="0" u="none" strike="noStrike" kern="1200" cap="none" spc="0" normalizeH="0" baseline="0">
                <a:solidFill>
                  <a:schemeClr val="dk1">
                    <a:lumMod val="65000"/>
                    <a:lumOff val="35000"/>
                  </a:schemeClr>
                </a:solidFill>
                <a:latin typeface="+mn-lt"/>
                <a:ea typeface="+mn-ea"/>
                <a:cs typeface="+mn-cs"/>
              </a:defRPr>
            </a:pPr>
            <a:endParaRPr lang="en-US"/>
          </a:p>
        </c:txPr>
        <c:crossAx val="1172325488"/>
        <c:crosses val="autoZero"/>
        <c:auto val="1"/>
        <c:lblAlgn val="ctr"/>
        <c:lblOffset val="100"/>
        <c:noMultiLvlLbl val="0"/>
      </c:catAx>
      <c:valAx>
        <c:axId val="1172325488"/>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dk1">
                    <a:lumMod val="65000"/>
                    <a:lumOff val="35000"/>
                  </a:schemeClr>
                </a:solidFill>
                <a:latin typeface="+mn-lt"/>
                <a:ea typeface="+mn-ea"/>
                <a:cs typeface="+mn-cs"/>
              </a:defRPr>
            </a:pPr>
            <a:endParaRPr lang="en-US"/>
          </a:p>
        </c:txPr>
        <c:crossAx val="130388345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sz="600" baseline="0"/>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20" b="0" i="0" u="none" strike="noStrike" kern="1200" spc="0" baseline="0">
                <a:solidFill>
                  <a:schemeClr val="tx1">
                    <a:lumMod val="65000"/>
                    <a:lumOff val="35000"/>
                  </a:schemeClr>
                </a:solidFill>
                <a:latin typeface="+mn-lt"/>
                <a:ea typeface="+mn-ea"/>
                <a:cs typeface="+mn-cs"/>
              </a:defRPr>
            </a:pPr>
            <a:r>
              <a:rPr lang="en-US"/>
              <a:t>Grade 5 Students</a:t>
            </a:r>
          </a:p>
        </c:rich>
      </c:tx>
      <c:overlay val="0"/>
      <c:spPr>
        <a:noFill/>
        <a:ln>
          <a:noFill/>
        </a:ln>
        <a:effectLst/>
      </c:spPr>
      <c:txPr>
        <a:bodyPr rot="0" spcFirstLastPara="1" vertOverflow="ellipsis" vert="horz" wrap="square" anchor="ctr" anchorCtr="1"/>
        <a:lstStyle/>
        <a:p>
          <a:pPr>
            <a:defRPr sz="72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Tables!$B$115</c:f>
              <c:strCache>
                <c:ptCount val="1"/>
                <c:pt idx="0">
                  <c:v>M - Frustration</c:v>
                </c:pt>
              </c:strCache>
            </c:strRef>
          </c:tx>
          <c:spPr>
            <a:ln w="28575" cap="rnd">
              <a:solidFill>
                <a:schemeClr val="accent1"/>
              </a:solidFill>
              <a:round/>
            </a:ln>
            <a:effectLst/>
          </c:spPr>
          <c:marker>
            <c:symbol val="none"/>
          </c:marker>
          <c:cat>
            <c:strRef>
              <c:f>Tables!$C$114:$G$114</c:f>
              <c:strCache>
                <c:ptCount val="5"/>
                <c:pt idx="0">
                  <c:v>SY2013-2014</c:v>
                </c:pt>
                <c:pt idx="1">
                  <c:v>SY2014-2015</c:v>
                </c:pt>
                <c:pt idx="2">
                  <c:v>SY2015-2016</c:v>
                </c:pt>
                <c:pt idx="3">
                  <c:v>SY2016-2017</c:v>
                </c:pt>
                <c:pt idx="4">
                  <c:v>SY2017-2018</c:v>
                </c:pt>
              </c:strCache>
            </c:strRef>
          </c:cat>
          <c:val>
            <c:numRef>
              <c:f>Tables!$C$115:$G$115</c:f>
              <c:numCache>
                <c:formatCode>0%</c:formatCode>
                <c:ptCount val="5"/>
                <c:pt idx="0">
                  <c:v>0.24701873935264054</c:v>
                </c:pt>
                <c:pt idx="1">
                  <c:v>0.15705128205128205</c:v>
                </c:pt>
                <c:pt idx="2">
                  <c:v>0.26687598116169547</c:v>
                </c:pt>
                <c:pt idx="3">
                  <c:v>0.26687598116169547</c:v>
                </c:pt>
                <c:pt idx="4">
                  <c:v>0.14527027027027026</c:v>
                </c:pt>
              </c:numCache>
            </c:numRef>
          </c:val>
          <c:smooth val="0"/>
          <c:extLst>
            <c:ext xmlns:c16="http://schemas.microsoft.com/office/drawing/2014/chart" uri="{C3380CC4-5D6E-409C-BE32-E72D297353CC}">
              <c16:uniqueId val="{00000000-A049-47FF-B1BA-6CC16FB84DC3}"/>
            </c:ext>
          </c:extLst>
        </c:ser>
        <c:ser>
          <c:idx val="1"/>
          <c:order val="1"/>
          <c:tx>
            <c:strRef>
              <c:f>Tables!$B$116</c:f>
              <c:strCache>
                <c:ptCount val="1"/>
                <c:pt idx="0">
                  <c:v>M - Instructional</c:v>
                </c:pt>
              </c:strCache>
            </c:strRef>
          </c:tx>
          <c:spPr>
            <a:ln w="28575" cap="rnd">
              <a:solidFill>
                <a:schemeClr val="accent2"/>
              </a:solidFill>
              <a:round/>
            </a:ln>
            <a:effectLst/>
          </c:spPr>
          <c:marker>
            <c:symbol val="none"/>
          </c:marker>
          <c:cat>
            <c:strRef>
              <c:f>Tables!$C$114:$G$114</c:f>
              <c:strCache>
                <c:ptCount val="5"/>
                <c:pt idx="0">
                  <c:v>SY2013-2014</c:v>
                </c:pt>
                <c:pt idx="1">
                  <c:v>SY2014-2015</c:v>
                </c:pt>
                <c:pt idx="2">
                  <c:v>SY2015-2016</c:v>
                </c:pt>
                <c:pt idx="3">
                  <c:v>SY2016-2017</c:v>
                </c:pt>
                <c:pt idx="4">
                  <c:v>SY2017-2018</c:v>
                </c:pt>
              </c:strCache>
            </c:strRef>
          </c:cat>
          <c:val>
            <c:numRef>
              <c:f>Tables!$C$116:$G$116</c:f>
              <c:numCache>
                <c:formatCode>0%</c:formatCode>
                <c:ptCount val="5"/>
                <c:pt idx="0">
                  <c:v>0.43100511073253833</c:v>
                </c:pt>
                <c:pt idx="1">
                  <c:v>0.47115384615384615</c:v>
                </c:pt>
                <c:pt idx="2">
                  <c:v>0.38618524332810045</c:v>
                </c:pt>
                <c:pt idx="3">
                  <c:v>0.38618524332810045</c:v>
                </c:pt>
                <c:pt idx="4">
                  <c:v>0.4391891891891892</c:v>
                </c:pt>
              </c:numCache>
            </c:numRef>
          </c:val>
          <c:smooth val="0"/>
          <c:extLst>
            <c:ext xmlns:c16="http://schemas.microsoft.com/office/drawing/2014/chart" uri="{C3380CC4-5D6E-409C-BE32-E72D297353CC}">
              <c16:uniqueId val="{00000001-A049-47FF-B1BA-6CC16FB84DC3}"/>
            </c:ext>
          </c:extLst>
        </c:ser>
        <c:ser>
          <c:idx val="2"/>
          <c:order val="2"/>
          <c:tx>
            <c:strRef>
              <c:f>Tables!$B$117</c:f>
              <c:strCache>
                <c:ptCount val="1"/>
                <c:pt idx="0">
                  <c:v>M - Independent</c:v>
                </c:pt>
              </c:strCache>
            </c:strRef>
          </c:tx>
          <c:spPr>
            <a:ln w="28575" cap="rnd">
              <a:solidFill>
                <a:schemeClr val="accent3"/>
              </a:solidFill>
              <a:round/>
            </a:ln>
            <a:effectLst/>
          </c:spPr>
          <c:marker>
            <c:symbol val="none"/>
          </c:marker>
          <c:cat>
            <c:strRef>
              <c:f>Tables!$C$114:$G$114</c:f>
              <c:strCache>
                <c:ptCount val="5"/>
                <c:pt idx="0">
                  <c:v>SY2013-2014</c:v>
                </c:pt>
                <c:pt idx="1">
                  <c:v>SY2014-2015</c:v>
                </c:pt>
                <c:pt idx="2">
                  <c:v>SY2015-2016</c:v>
                </c:pt>
                <c:pt idx="3">
                  <c:v>SY2016-2017</c:v>
                </c:pt>
                <c:pt idx="4">
                  <c:v>SY2017-2018</c:v>
                </c:pt>
              </c:strCache>
            </c:strRef>
          </c:cat>
          <c:val>
            <c:numRef>
              <c:f>Tables!$C$117:$G$117</c:f>
              <c:numCache>
                <c:formatCode>0%</c:formatCode>
                <c:ptCount val="5"/>
                <c:pt idx="0">
                  <c:v>0.3219761499148211</c:v>
                </c:pt>
                <c:pt idx="1">
                  <c:v>0.37179487179487181</c:v>
                </c:pt>
                <c:pt idx="2">
                  <c:v>0.34693877551020408</c:v>
                </c:pt>
                <c:pt idx="3">
                  <c:v>0.34693877551020408</c:v>
                </c:pt>
                <c:pt idx="4">
                  <c:v>0.41554054054054052</c:v>
                </c:pt>
              </c:numCache>
            </c:numRef>
          </c:val>
          <c:smooth val="0"/>
          <c:extLst>
            <c:ext xmlns:c16="http://schemas.microsoft.com/office/drawing/2014/chart" uri="{C3380CC4-5D6E-409C-BE32-E72D297353CC}">
              <c16:uniqueId val="{00000002-A049-47FF-B1BA-6CC16FB84DC3}"/>
            </c:ext>
          </c:extLst>
        </c:ser>
        <c:ser>
          <c:idx val="3"/>
          <c:order val="3"/>
          <c:tx>
            <c:strRef>
              <c:f>Tables!$B$118</c:f>
              <c:strCache>
                <c:ptCount val="1"/>
                <c:pt idx="0">
                  <c:v>F - Frustration</c:v>
                </c:pt>
              </c:strCache>
            </c:strRef>
          </c:tx>
          <c:spPr>
            <a:ln w="28575" cap="rnd">
              <a:solidFill>
                <a:schemeClr val="accent4"/>
              </a:solidFill>
              <a:round/>
            </a:ln>
            <a:effectLst/>
          </c:spPr>
          <c:marker>
            <c:symbol val="none"/>
          </c:marker>
          <c:cat>
            <c:strRef>
              <c:f>Tables!$C$114:$G$114</c:f>
              <c:strCache>
                <c:ptCount val="5"/>
                <c:pt idx="0">
                  <c:v>SY2013-2014</c:v>
                </c:pt>
                <c:pt idx="1">
                  <c:v>SY2014-2015</c:v>
                </c:pt>
                <c:pt idx="2">
                  <c:v>SY2015-2016</c:v>
                </c:pt>
                <c:pt idx="3">
                  <c:v>SY2016-2017</c:v>
                </c:pt>
                <c:pt idx="4">
                  <c:v>SY2017-2018</c:v>
                </c:pt>
              </c:strCache>
            </c:strRef>
          </c:cat>
          <c:val>
            <c:numRef>
              <c:f>Tables!$C$118:$G$118</c:f>
              <c:numCache>
                <c:formatCode>0%</c:formatCode>
                <c:ptCount val="5"/>
                <c:pt idx="0">
                  <c:v>0.11900191938579655</c:v>
                </c:pt>
                <c:pt idx="1">
                  <c:v>7.2758037225042302E-2</c:v>
                </c:pt>
                <c:pt idx="2">
                  <c:v>0.2450199203187251</c:v>
                </c:pt>
                <c:pt idx="3">
                  <c:v>0.2450199203187251</c:v>
                </c:pt>
                <c:pt idx="4">
                  <c:v>9.6830985915492954E-2</c:v>
                </c:pt>
              </c:numCache>
            </c:numRef>
          </c:val>
          <c:smooth val="0"/>
          <c:extLst>
            <c:ext xmlns:c16="http://schemas.microsoft.com/office/drawing/2014/chart" uri="{C3380CC4-5D6E-409C-BE32-E72D297353CC}">
              <c16:uniqueId val="{00000003-A049-47FF-B1BA-6CC16FB84DC3}"/>
            </c:ext>
          </c:extLst>
        </c:ser>
        <c:ser>
          <c:idx val="4"/>
          <c:order val="4"/>
          <c:tx>
            <c:strRef>
              <c:f>Tables!$B$119</c:f>
              <c:strCache>
                <c:ptCount val="1"/>
                <c:pt idx="0">
                  <c:v>F - Instructional</c:v>
                </c:pt>
              </c:strCache>
            </c:strRef>
          </c:tx>
          <c:spPr>
            <a:ln w="28575" cap="rnd">
              <a:solidFill>
                <a:schemeClr val="accent5"/>
              </a:solidFill>
              <a:round/>
            </a:ln>
            <a:effectLst/>
          </c:spPr>
          <c:marker>
            <c:symbol val="none"/>
          </c:marker>
          <c:cat>
            <c:strRef>
              <c:f>Tables!$C$114:$G$114</c:f>
              <c:strCache>
                <c:ptCount val="5"/>
                <c:pt idx="0">
                  <c:v>SY2013-2014</c:v>
                </c:pt>
                <c:pt idx="1">
                  <c:v>SY2014-2015</c:v>
                </c:pt>
                <c:pt idx="2">
                  <c:v>SY2015-2016</c:v>
                </c:pt>
                <c:pt idx="3">
                  <c:v>SY2016-2017</c:v>
                </c:pt>
                <c:pt idx="4">
                  <c:v>SY2017-2018</c:v>
                </c:pt>
              </c:strCache>
            </c:strRef>
          </c:cat>
          <c:val>
            <c:numRef>
              <c:f>Tables!$C$119:$G$119</c:f>
              <c:numCache>
                <c:formatCode>0%</c:formatCode>
                <c:ptCount val="5"/>
                <c:pt idx="0">
                  <c:v>0.51631477927063341</c:v>
                </c:pt>
                <c:pt idx="1">
                  <c:v>0.41793570219966159</c:v>
                </c:pt>
                <c:pt idx="2">
                  <c:v>0.31075697211155379</c:v>
                </c:pt>
                <c:pt idx="3">
                  <c:v>0.31075697211155379</c:v>
                </c:pt>
                <c:pt idx="4">
                  <c:v>0.32042253521126762</c:v>
                </c:pt>
              </c:numCache>
            </c:numRef>
          </c:val>
          <c:smooth val="0"/>
          <c:extLst>
            <c:ext xmlns:c16="http://schemas.microsoft.com/office/drawing/2014/chart" uri="{C3380CC4-5D6E-409C-BE32-E72D297353CC}">
              <c16:uniqueId val="{00000004-A049-47FF-B1BA-6CC16FB84DC3}"/>
            </c:ext>
          </c:extLst>
        </c:ser>
        <c:ser>
          <c:idx val="5"/>
          <c:order val="5"/>
          <c:tx>
            <c:strRef>
              <c:f>Tables!$B$120</c:f>
              <c:strCache>
                <c:ptCount val="1"/>
                <c:pt idx="0">
                  <c:v>F - Independent</c:v>
                </c:pt>
              </c:strCache>
            </c:strRef>
          </c:tx>
          <c:spPr>
            <a:ln w="28575" cap="rnd">
              <a:solidFill>
                <a:schemeClr val="accent6"/>
              </a:solidFill>
              <a:round/>
            </a:ln>
            <a:effectLst/>
          </c:spPr>
          <c:marker>
            <c:symbol val="none"/>
          </c:marker>
          <c:cat>
            <c:strRef>
              <c:f>Tables!$C$114:$G$114</c:f>
              <c:strCache>
                <c:ptCount val="5"/>
                <c:pt idx="0">
                  <c:v>SY2013-2014</c:v>
                </c:pt>
                <c:pt idx="1">
                  <c:v>SY2014-2015</c:v>
                </c:pt>
                <c:pt idx="2">
                  <c:v>SY2015-2016</c:v>
                </c:pt>
                <c:pt idx="3">
                  <c:v>SY2016-2017</c:v>
                </c:pt>
                <c:pt idx="4">
                  <c:v>SY2017-2018</c:v>
                </c:pt>
              </c:strCache>
            </c:strRef>
          </c:cat>
          <c:val>
            <c:numRef>
              <c:f>Tables!$C$120:$G$120</c:f>
              <c:numCache>
                <c:formatCode>0%</c:formatCode>
                <c:ptCount val="5"/>
                <c:pt idx="0">
                  <c:v>0.36468330134357008</c:v>
                </c:pt>
                <c:pt idx="1">
                  <c:v>0.50930626057529615</c:v>
                </c:pt>
                <c:pt idx="2">
                  <c:v>0.44422310756972111</c:v>
                </c:pt>
                <c:pt idx="3">
                  <c:v>0.44422310756972111</c:v>
                </c:pt>
                <c:pt idx="4">
                  <c:v>0.58274647887323938</c:v>
                </c:pt>
              </c:numCache>
            </c:numRef>
          </c:val>
          <c:smooth val="0"/>
          <c:extLst>
            <c:ext xmlns:c16="http://schemas.microsoft.com/office/drawing/2014/chart" uri="{C3380CC4-5D6E-409C-BE32-E72D297353CC}">
              <c16:uniqueId val="{00000005-A049-47FF-B1BA-6CC16FB84DC3}"/>
            </c:ext>
          </c:extLst>
        </c:ser>
        <c:dLbls>
          <c:showLegendKey val="0"/>
          <c:showVal val="0"/>
          <c:showCatName val="0"/>
          <c:showSerName val="0"/>
          <c:showPercent val="0"/>
          <c:showBubbleSize val="0"/>
        </c:dLbls>
        <c:smooth val="0"/>
        <c:axId val="2118224336"/>
        <c:axId val="2118225968"/>
      </c:lineChart>
      <c:catAx>
        <c:axId val="2118224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118225968"/>
        <c:crosses val="autoZero"/>
        <c:auto val="1"/>
        <c:lblAlgn val="ctr"/>
        <c:lblOffset val="100"/>
        <c:noMultiLvlLbl val="0"/>
      </c:catAx>
      <c:valAx>
        <c:axId val="2118225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118224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baseline="0"/>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Sheet1!$B$253:$B$269</c:f>
              <c:strCache>
                <c:ptCount val="17"/>
                <c:pt idx="0">
                  <c:v>Region I</c:v>
                </c:pt>
                <c:pt idx="1">
                  <c:v>Region II </c:v>
                </c:pt>
                <c:pt idx="2">
                  <c:v>Region III </c:v>
                </c:pt>
                <c:pt idx="3">
                  <c:v>Region IV-A</c:v>
                </c:pt>
                <c:pt idx="4">
                  <c:v>Region IV-B</c:v>
                </c:pt>
                <c:pt idx="5">
                  <c:v>Region V</c:v>
                </c:pt>
                <c:pt idx="6">
                  <c:v>Region VI</c:v>
                </c:pt>
                <c:pt idx="7">
                  <c:v>Region VII</c:v>
                </c:pt>
                <c:pt idx="8">
                  <c:v>Region VIII</c:v>
                </c:pt>
                <c:pt idx="9">
                  <c:v>Region IX</c:v>
                </c:pt>
                <c:pt idx="10">
                  <c:v>Region X</c:v>
                </c:pt>
                <c:pt idx="11">
                  <c:v>Region XI</c:v>
                </c:pt>
                <c:pt idx="12">
                  <c:v>Region XII</c:v>
                </c:pt>
                <c:pt idx="13">
                  <c:v>CARAGA</c:v>
                </c:pt>
                <c:pt idx="14">
                  <c:v>ARMM</c:v>
                </c:pt>
                <c:pt idx="15">
                  <c:v>CAR</c:v>
                </c:pt>
                <c:pt idx="16">
                  <c:v>NCR</c:v>
                </c:pt>
              </c:strCache>
            </c:strRef>
          </c:cat>
          <c:val>
            <c:numRef>
              <c:f>Sheet1!$C$253:$C$269</c:f>
              <c:numCache>
                <c:formatCode>0%</c:formatCode>
                <c:ptCount val="17"/>
                <c:pt idx="0">
                  <c:v>4.9430262203584811E-2</c:v>
                </c:pt>
                <c:pt idx="1">
                  <c:v>3.556792189184306E-2</c:v>
                </c:pt>
                <c:pt idx="2">
                  <c:v>0.10607417363668656</c:v>
                </c:pt>
                <c:pt idx="3">
                  <c:v>0.13017908476236997</c:v>
                </c:pt>
                <c:pt idx="4">
                  <c:v>3.5459293502682579E-2</c:v>
                </c:pt>
                <c:pt idx="5">
                  <c:v>6.9825966457725999E-2</c:v>
                </c:pt>
                <c:pt idx="6">
                  <c:v>7.8110963175338166E-2</c:v>
                </c:pt>
                <c:pt idx="7">
                  <c:v>7.6992362337958128E-2</c:v>
                </c:pt>
                <c:pt idx="8">
                  <c:v>5.0325903272212966E-2</c:v>
                </c:pt>
                <c:pt idx="9">
                  <c:v>4.0776924723060971E-2</c:v>
                </c:pt>
                <c:pt idx="10">
                  <c:v>5.0666634319546336E-2</c:v>
                </c:pt>
                <c:pt idx="11">
                  <c:v>5.1497822543939281E-2</c:v>
                </c:pt>
                <c:pt idx="12">
                  <c:v>4.872363453209589E-2</c:v>
                </c:pt>
                <c:pt idx="13">
                  <c:v>3.0855260275430903E-2</c:v>
                </c:pt>
                <c:pt idx="14">
                  <c:v>3.688504111041388E-2</c:v>
                </c:pt>
                <c:pt idx="15">
                  <c:v>1.6424069299118771E-2</c:v>
                </c:pt>
                <c:pt idx="16">
                  <c:v>9.2204681955991741E-2</c:v>
                </c:pt>
              </c:numCache>
            </c:numRef>
          </c:val>
          <c:extLst>
            <c:ext xmlns:c16="http://schemas.microsoft.com/office/drawing/2014/chart" uri="{C3380CC4-5D6E-409C-BE32-E72D297353CC}">
              <c16:uniqueId val="{00000000-93AC-428E-AC7F-E57B4746D762}"/>
            </c:ext>
          </c:extLst>
        </c:ser>
        <c:dLbls>
          <c:showLegendKey val="0"/>
          <c:showVal val="0"/>
          <c:showCatName val="0"/>
          <c:showSerName val="0"/>
          <c:showPercent val="0"/>
          <c:showBubbleSize val="0"/>
        </c:dLbls>
        <c:gapWidth val="65"/>
        <c:shape val="box"/>
        <c:axId val="1223853856"/>
        <c:axId val="1224342464"/>
        <c:axId val="0"/>
      </c:bar3DChart>
      <c:catAx>
        <c:axId val="12238538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600" b="0" i="0" u="none" strike="noStrike" kern="1200" cap="all" baseline="0">
                <a:solidFill>
                  <a:schemeClr val="dk1">
                    <a:lumMod val="75000"/>
                    <a:lumOff val="25000"/>
                  </a:schemeClr>
                </a:solidFill>
                <a:latin typeface="+mn-lt"/>
                <a:ea typeface="+mn-ea"/>
                <a:cs typeface="+mn-cs"/>
              </a:defRPr>
            </a:pPr>
            <a:endParaRPr lang="en-US"/>
          </a:p>
        </c:txPr>
        <c:crossAx val="1224342464"/>
        <c:crosses val="autoZero"/>
        <c:auto val="1"/>
        <c:lblAlgn val="ctr"/>
        <c:lblOffset val="100"/>
        <c:noMultiLvlLbl val="0"/>
      </c:catAx>
      <c:valAx>
        <c:axId val="1224342464"/>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dk1">
                    <a:lumMod val="75000"/>
                    <a:lumOff val="25000"/>
                  </a:schemeClr>
                </a:solidFill>
                <a:latin typeface="+mn-lt"/>
                <a:ea typeface="+mn-ea"/>
                <a:cs typeface="+mn-cs"/>
              </a:defRPr>
            </a:pPr>
            <a:endParaRPr lang="en-US"/>
          </a:p>
        </c:txPr>
        <c:crossAx val="12238538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600" baseline="0"/>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Sheet1!$B$184</c:f>
              <c:strCache>
                <c:ptCount val="1"/>
                <c:pt idx="0">
                  <c:v>Philippines</c:v>
                </c:pt>
              </c:strCache>
            </c:strRef>
          </c:tx>
          <c:spPr>
            <a:ln w="22225" cap="rnd">
              <a:solidFill>
                <a:schemeClr val="accent1"/>
              </a:solidFill>
              <a:round/>
            </a:ln>
            <a:effectLst/>
          </c:spPr>
          <c:marker>
            <c:symbol val="none"/>
          </c:marker>
          <c:cat>
            <c:strRef>
              <c:f>Sheet1!$C$183:$I$183</c:f>
              <c:strCache>
                <c:ptCount val="7"/>
                <c:pt idx="0">
                  <c:v>SY2011 - 2012</c:v>
                </c:pt>
                <c:pt idx="1">
                  <c:v>SY2012 - 2013</c:v>
                </c:pt>
                <c:pt idx="2">
                  <c:v>SY2013 - 2014</c:v>
                </c:pt>
                <c:pt idx="3">
                  <c:v>SY2014 - 2015</c:v>
                </c:pt>
                <c:pt idx="4">
                  <c:v>SY2015 - 2016</c:v>
                </c:pt>
                <c:pt idx="5">
                  <c:v>SY2016 - 2017</c:v>
                </c:pt>
                <c:pt idx="6">
                  <c:v>SY2017 - 2018</c:v>
                </c:pt>
              </c:strCache>
            </c:strRef>
          </c:cat>
          <c:val>
            <c:numRef>
              <c:f>Sheet1!$C$184:$I$184</c:f>
              <c:numCache>
                <c:formatCode>#,##0</c:formatCode>
                <c:ptCount val="7"/>
                <c:pt idx="0">
                  <c:v>11114685</c:v>
                </c:pt>
                <c:pt idx="1">
                  <c:v>11046415</c:v>
                </c:pt>
                <c:pt idx="2">
                  <c:v>11114063</c:v>
                </c:pt>
                <c:pt idx="3">
                  <c:v>11179698</c:v>
                </c:pt>
                <c:pt idx="4">
                  <c:v>11199013</c:v>
                </c:pt>
                <c:pt idx="5">
                  <c:v>10880156</c:v>
                </c:pt>
                <c:pt idx="6">
                  <c:v>11046836</c:v>
                </c:pt>
              </c:numCache>
            </c:numRef>
          </c:val>
          <c:smooth val="0"/>
          <c:extLst>
            <c:ext xmlns:c16="http://schemas.microsoft.com/office/drawing/2014/chart" uri="{C3380CC4-5D6E-409C-BE32-E72D297353CC}">
              <c16:uniqueId val="{00000000-E7C9-4CD8-8C1D-B91EBC0DD230}"/>
            </c:ext>
          </c:extLst>
        </c:ser>
        <c:ser>
          <c:idx val="1"/>
          <c:order val="1"/>
          <c:tx>
            <c:strRef>
              <c:f>Sheet1!$B$185</c:f>
              <c:strCache>
                <c:ptCount val="1"/>
                <c:pt idx="0">
                  <c:v>BEST Supported Regions</c:v>
                </c:pt>
              </c:strCache>
            </c:strRef>
          </c:tx>
          <c:spPr>
            <a:ln w="22225" cap="rnd">
              <a:solidFill>
                <a:schemeClr val="accent2"/>
              </a:solidFill>
              <a:round/>
            </a:ln>
            <a:effectLst/>
          </c:spPr>
          <c:marker>
            <c:symbol val="none"/>
          </c:marker>
          <c:cat>
            <c:strRef>
              <c:f>Sheet1!$C$183:$I$183</c:f>
              <c:strCache>
                <c:ptCount val="7"/>
                <c:pt idx="0">
                  <c:v>SY2011 - 2012</c:v>
                </c:pt>
                <c:pt idx="1">
                  <c:v>SY2012 - 2013</c:v>
                </c:pt>
                <c:pt idx="2">
                  <c:v>SY2013 - 2014</c:v>
                </c:pt>
                <c:pt idx="3">
                  <c:v>SY2014 - 2015</c:v>
                </c:pt>
                <c:pt idx="4">
                  <c:v>SY2015 - 2016</c:v>
                </c:pt>
                <c:pt idx="5">
                  <c:v>SY2016 - 2017</c:v>
                </c:pt>
                <c:pt idx="6">
                  <c:v>SY2017 - 2018</c:v>
                </c:pt>
              </c:strCache>
            </c:strRef>
          </c:cat>
          <c:val>
            <c:numRef>
              <c:f>Sheet1!$C$185:$I$185</c:f>
              <c:numCache>
                <c:formatCode>#,##0</c:formatCode>
                <c:ptCount val="7"/>
                <c:pt idx="0">
                  <c:v>4677948</c:v>
                </c:pt>
                <c:pt idx="1">
                  <c:v>4675573</c:v>
                </c:pt>
                <c:pt idx="2">
                  <c:v>4717658</c:v>
                </c:pt>
                <c:pt idx="3">
                  <c:v>4725551</c:v>
                </c:pt>
                <c:pt idx="4">
                  <c:v>4712651</c:v>
                </c:pt>
                <c:pt idx="5">
                  <c:v>4503666</c:v>
                </c:pt>
                <c:pt idx="6">
                  <c:v>4618975</c:v>
                </c:pt>
              </c:numCache>
            </c:numRef>
          </c:val>
          <c:smooth val="0"/>
          <c:extLst>
            <c:ext xmlns:c16="http://schemas.microsoft.com/office/drawing/2014/chart" uri="{C3380CC4-5D6E-409C-BE32-E72D297353CC}">
              <c16:uniqueId val="{00000001-E7C9-4CD8-8C1D-B91EBC0DD230}"/>
            </c:ext>
          </c:extLst>
        </c:ser>
        <c:ser>
          <c:idx val="2"/>
          <c:order val="2"/>
          <c:tx>
            <c:strRef>
              <c:f>Sheet1!$B$186</c:f>
              <c:strCache>
                <c:ptCount val="1"/>
                <c:pt idx="0">
                  <c:v>Non-BEST Regions</c:v>
                </c:pt>
              </c:strCache>
            </c:strRef>
          </c:tx>
          <c:spPr>
            <a:ln w="22225" cap="rnd">
              <a:solidFill>
                <a:schemeClr val="accent3"/>
              </a:solidFill>
              <a:round/>
            </a:ln>
            <a:effectLst/>
          </c:spPr>
          <c:marker>
            <c:symbol val="none"/>
          </c:marker>
          <c:cat>
            <c:strRef>
              <c:f>Sheet1!$C$183:$I$183</c:f>
              <c:strCache>
                <c:ptCount val="7"/>
                <c:pt idx="0">
                  <c:v>SY2011 - 2012</c:v>
                </c:pt>
                <c:pt idx="1">
                  <c:v>SY2012 - 2013</c:v>
                </c:pt>
                <c:pt idx="2">
                  <c:v>SY2013 - 2014</c:v>
                </c:pt>
                <c:pt idx="3">
                  <c:v>SY2014 - 2015</c:v>
                </c:pt>
                <c:pt idx="4">
                  <c:v>SY2015 - 2016</c:v>
                </c:pt>
                <c:pt idx="5">
                  <c:v>SY2016 - 2017</c:v>
                </c:pt>
                <c:pt idx="6">
                  <c:v>SY2017 - 2018</c:v>
                </c:pt>
              </c:strCache>
            </c:strRef>
          </c:cat>
          <c:val>
            <c:numRef>
              <c:f>Sheet1!$C$186:$I$186</c:f>
              <c:numCache>
                <c:formatCode>#,##0</c:formatCode>
                <c:ptCount val="7"/>
                <c:pt idx="0">
                  <c:v>6436737</c:v>
                </c:pt>
                <c:pt idx="1">
                  <c:v>6370842</c:v>
                </c:pt>
                <c:pt idx="2">
                  <c:v>6396405</c:v>
                </c:pt>
                <c:pt idx="3">
                  <c:v>6454147</c:v>
                </c:pt>
                <c:pt idx="4">
                  <c:v>6486362</c:v>
                </c:pt>
                <c:pt idx="5">
                  <c:v>6376490</c:v>
                </c:pt>
                <c:pt idx="6">
                  <c:v>6427861</c:v>
                </c:pt>
              </c:numCache>
            </c:numRef>
          </c:val>
          <c:smooth val="0"/>
          <c:extLst>
            <c:ext xmlns:c16="http://schemas.microsoft.com/office/drawing/2014/chart" uri="{C3380CC4-5D6E-409C-BE32-E72D297353CC}">
              <c16:uniqueId val="{00000002-E7C9-4CD8-8C1D-B91EBC0DD230}"/>
            </c:ext>
          </c:extLst>
        </c:ser>
        <c:dLbls>
          <c:showLegendKey val="0"/>
          <c:showVal val="0"/>
          <c:showCatName val="0"/>
          <c:showSerName val="0"/>
          <c:showPercent val="0"/>
          <c:showBubbleSize val="0"/>
        </c:dLbls>
        <c:smooth val="0"/>
        <c:axId val="596158080"/>
        <c:axId val="596162416"/>
      </c:lineChart>
      <c:catAx>
        <c:axId val="596158080"/>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0" i="0" u="none" strike="noStrike" kern="1200" cap="none" spc="0" normalizeH="0" baseline="0">
                <a:solidFill>
                  <a:schemeClr val="dk1">
                    <a:lumMod val="65000"/>
                    <a:lumOff val="35000"/>
                  </a:schemeClr>
                </a:solidFill>
                <a:latin typeface="+mn-lt"/>
                <a:ea typeface="+mn-ea"/>
                <a:cs typeface="+mn-cs"/>
              </a:defRPr>
            </a:pPr>
            <a:endParaRPr lang="en-US"/>
          </a:p>
        </c:txPr>
        <c:crossAx val="596162416"/>
        <c:crosses val="autoZero"/>
        <c:auto val="1"/>
        <c:lblAlgn val="ctr"/>
        <c:lblOffset val="100"/>
        <c:noMultiLvlLbl val="0"/>
      </c:catAx>
      <c:valAx>
        <c:axId val="596162416"/>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dk1">
                    <a:lumMod val="65000"/>
                    <a:lumOff val="35000"/>
                  </a:schemeClr>
                </a:solidFill>
                <a:latin typeface="+mn-lt"/>
                <a:ea typeface="+mn-ea"/>
                <a:cs typeface="+mn-cs"/>
              </a:defRPr>
            </a:pPr>
            <a:endParaRPr lang="en-US"/>
          </a:p>
        </c:txPr>
        <c:crossAx val="596158080"/>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sz="600" baseline="0"/>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'Consolidated NER'!$B$76</c:f>
              <c:strCache>
                <c:ptCount val="1"/>
                <c:pt idx="0">
                  <c:v>Philippines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'Consolidated NER'!$C$75:$G$75</c:f>
              <c:strCache>
                <c:ptCount val="5"/>
                <c:pt idx="0">
                  <c:v>SY 2013-2014</c:v>
                </c:pt>
                <c:pt idx="1">
                  <c:v>SY 2014-2015</c:v>
                </c:pt>
                <c:pt idx="2">
                  <c:v>SY 2015-2016</c:v>
                </c:pt>
                <c:pt idx="3">
                  <c:v>SY 2016-2017</c:v>
                </c:pt>
                <c:pt idx="4">
                  <c:v>SY 2017-2018</c:v>
                </c:pt>
              </c:strCache>
            </c:strRef>
          </c:cat>
          <c:val>
            <c:numRef>
              <c:f>'Consolidated NER'!$C$76:$G$76</c:f>
              <c:numCache>
                <c:formatCode>0.00%</c:formatCode>
                <c:ptCount val="5"/>
                <c:pt idx="0">
                  <c:v>0.93800946677707553</c:v>
                </c:pt>
                <c:pt idx="1">
                  <c:v>0.92565152796479855</c:v>
                </c:pt>
                <c:pt idx="2">
                  <c:v>0.91053359340149187</c:v>
                </c:pt>
                <c:pt idx="3">
                  <c:v>0.9614723493448577</c:v>
                </c:pt>
                <c:pt idx="4">
                  <c:v>0.9419413833041328</c:v>
                </c:pt>
              </c:numCache>
            </c:numRef>
          </c:val>
          <c:smooth val="0"/>
          <c:extLst>
            <c:ext xmlns:c16="http://schemas.microsoft.com/office/drawing/2014/chart" uri="{C3380CC4-5D6E-409C-BE32-E72D297353CC}">
              <c16:uniqueId val="{00000000-CA3B-4151-96CF-76347A14A996}"/>
            </c:ext>
          </c:extLst>
        </c:ser>
        <c:ser>
          <c:idx val="1"/>
          <c:order val="1"/>
          <c:tx>
            <c:strRef>
              <c:f>'Consolidated NER'!$B$77</c:f>
              <c:strCache>
                <c:ptCount val="1"/>
                <c:pt idx="0">
                  <c:v>   Male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'Consolidated NER'!$C$75:$G$75</c:f>
              <c:strCache>
                <c:ptCount val="5"/>
                <c:pt idx="0">
                  <c:v>SY 2013-2014</c:v>
                </c:pt>
                <c:pt idx="1">
                  <c:v>SY 2014-2015</c:v>
                </c:pt>
                <c:pt idx="2">
                  <c:v>SY 2015-2016</c:v>
                </c:pt>
                <c:pt idx="3">
                  <c:v>SY 2016-2017</c:v>
                </c:pt>
                <c:pt idx="4">
                  <c:v>SY 2017-2018</c:v>
                </c:pt>
              </c:strCache>
            </c:strRef>
          </c:cat>
          <c:val>
            <c:numRef>
              <c:f>'Consolidated NER'!$C$77:$G$77</c:f>
              <c:numCache>
                <c:formatCode>0.00%</c:formatCode>
                <c:ptCount val="5"/>
                <c:pt idx="0">
                  <c:v>0.93001290639349132</c:v>
                </c:pt>
                <c:pt idx="1">
                  <c:v>0.91764311435203794</c:v>
                </c:pt>
                <c:pt idx="2">
                  <c:v>0.90200547661962882</c:v>
                </c:pt>
                <c:pt idx="3">
                  <c:v>0.96168450806595684</c:v>
                </c:pt>
                <c:pt idx="4">
                  <c:v>0.94123212220682417</c:v>
                </c:pt>
              </c:numCache>
            </c:numRef>
          </c:val>
          <c:smooth val="0"/>
          <c:extLst>
            <c:ext xmlns:c16="http://schemas.microsoft.com/office/drawing/2014/chart" uri="{C3380CC4-5D6E-409C-BE32-E72D297353CC}">
              <c16:uniqueId val="{00000001-CA3B-4151-96CF-76347A14A996}"/>
            </c:ext>
          </c:extLst>
        </c:ser>
        <c:ser>
          <c:idx val="2"/>
          <c:order val="2"/>
          <c:tx>
            <c:strRef>
              <c:f>'Consolidated NER'!$B$78</c:f>
              <c:strCache>
                <c:ptCount val="1"/>
                <c:pt idx="0">
                  <c:v>   Female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'Consolidated NER'!$C$75:$G$75</c:f>
              <c:strCache>
                <c:ptCount val="5"/>
                <c:pt idx="0">
                  <c:v>SY 2013-2014</c:v>
                </c:pt>
                <c:pt idx="1">
                  <c:v>SY 2014-2015</c:v>
                </c:pt>
                <c:pt idx="2">
                  <c:v>SY 2015-2016</c:v>
                </c:pt>
                <c:pt idx="3">
                  <c:v>SY 2016-2017</c:v>
                </c:pt>
                <c:pt idx="4">
                  <c:v>SY 2017-2018</c:v>
                </c:pt>
              </c:strCache>
            </c:strRef>
          </c:cat>
          <c:val>
            <c:numRef>
              <c:f>'Consolidated NER'!$C$78:$G$78</c:f>
              <c:numCache>
                <c:formatCode>0.00%</c:formatCode>
                <c:ptCount val="5"/>
                <c:pt idx="0">
                  <c:v>0.94654259208627145</c:v>
                </c:pt>
                <c:pt idx="1">
                  <c:v>0.93419737209008624</c:v>
                </c:pt>
                <c:pt idx="2">
                  <c:v>0.91963410916305988</c:v>
                </c:pt>
                <c:pt idx="3">
                  <c:v>0.96124921140717112</c:v>
                </c:pt>
                <c:pt idx="4">
                  <c:v>0.94268724007805094</c:v>
                </c:pt>
              </c:numCache>
            </c:numRef>
          </c:val>
          <c:smooth val="0"/>
          <c:extLst>
            <c:ext xmlns:c16="http://schemas.microsoft.com/office/drawing/2014/chart" uri="{C3380CC4-5D6E-409C-BE32-E72D297353CC}">
              <c16:uniqueId val="{00000002-CA3B-4151-96CF-76347A14A996}"/>
            </c:ext>
          </c:extLst>
        </c:ser>
        <c:dLbls>
          <c:showLegendKey val="0"/>
          <c:showVal val="0"/>
          <c:showCatName val="0"/>
          <c:showSerName val="0"/>
          <c:showPercent val="0"/>
          <c:showBubbleSize val="0"/>
        </c:dLbls>
        <c:marker val="1"/>
        <c:smooth val="0"/>
        <c:axId val="1177230032"/>
        <c:axId val="1166869680"/>
      </c:lineChart>
      <c:catAx>
        <c:axId val="1177230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166869680"/>
        <c:crosses val="autoZero"/>
        <c:auto val="1"/>
        <c:lblAlgn val="ctr"/>
        <c:lblOffset val="100"/>
        <c:noMultiLvlLbl val="0"/>
      </c:catAx>
      <c:valAx>
        <c:axId val="11668696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177230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baseline="0"/>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Sheet1!$A$2</c:f>
              <c:strCache>
                <c:ptCount val="1"/>
                <c:pt idx="0">
                  <c:v> Total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Sheet1!$B$1:$H$1</c:f>
              <c:strCache>
                <c:ptCount val="7"/>
                <c:pt idx="0">
                  <c:v>2011-12</c:v>
                </c:pt>
                <c:pt idx="1">
                  <c:v>2012-13</c:v>
                </c:pt>
                <c:pt idx="2">
                  <c:v>2013-14</c:v>
                </c:pt>
                <c:pt idx="3">
                  <c:v>2014-15</c:v>
                </c:pt>
                <c:pt idx="4">
                  <c:v>2015-16</c:v>
                </c:pt>
                <c:pt idx="5">
                  <c:v>2016-17</c:v>
                </c:pt>
                <c:pt idx="6">
                  <c:v>2017-18</c:v>
                </c:pt>
              </c:strCache>
            </c:strRef>
          </c:cat>
          <c:val>
            <c:numRef>
              <c:f>Sheet1!$B$2:$H$2</c:f>
              <c:numCache>
                <c:formatCode>#,##0.00%</c:formatCode>
                <c:ptCount val="7"/>
                <c:pt idx="0">
                  <c:v>0.68756910226080004</c:v>
                </c:pt>
                <c:pt idx="1">
                  <c:v>0.70412282571446005</c:v>
                </c:pt>
                <c:pt idx="2">
                  <c:v>0.78559541480634998</c:v>
                </c:pt>
                <c:pt idx="3">
                  <c:v>0.83799846699419001</c:v>
                </c:pt>
                <c:pt idx="4">
                  <c:v>0.86374690694378997</c:v>
                </c:pt>
                <c:pt idx="5">
                  <c:v>0.93380285325844004</c:v>
                </c:pt>
                <c:pt idx="6">
                  <c:v>0.95350655535216</c:v>
                </c:pt>
              </c:numCache>
            </c:numRef>
          </c:val>
          <c:smooth val="0"/>
          <c:extLst>
            <c:ext xmlns:c16="http://schemas.microsoft.com/office/drawing/2014/chart" uri="{C3380CC4-5D6E-409C-BE32-E72D297353CC}">
              <c16:uniqueId val="{00000000-0399-451A-9DC2-A8822848B9C0}"/>
            </c:ext>
          </c:extLst>
        </c:ser>
        <c:ser>
          <c:idx val="1"/>
          <c:order val="1"/>
          <c:tx>
            <c:strRef>
              <c:f>Sheet1!$A$3</c:f>
              <c:strCache>
                <c:ptCount val="1"/>
                <c:pt idx="0">
                  <c:v>      Male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Sheet1!$B$1:$H$1</c:f>
              <c:strCache>
                <c:ptCount val="7"/>
                <c:pt idx="0">
                  <c:v>2011-12</c:v>
                </c:pt>
                <c:pt idx="1">
                  <c:v>2012-13</c:v>
                </c:pt>
                <c:pt idx="2">
                  <c:v>2013-14</c:v>
                </c:pt>
                <c:pt idx="3">
                  <c:v>2014-15</c:v>
                </c:pt>
                <c:pt idx="4">
                  <c:v>2015-16</c:v>
                </c:pt>
                <c:pt idx="5">
                  <c:v>2016-17</c:v>
                </c:pt>
                <c:pt idx="6">
                  <c:v>2017-18</c:v>
                </c:pt>
              </c:strCache>
            </c:strRef>
          </c:cat>
          <c:val>
            <c:numRef>
              <c:f>Sheet1!$B$3:$H$3</c:f>
              <c:numCache>
                <c:formatCode>#,##0.00%</c:formatCode>
                <c:ptCount val="7"/>
                <c:pt idx="0">
                  <c:v>0.64429094437858003</c:v>
                </c:pt>
                <c:pt idx="1">
                  <c:v>0.66097991382595001</c:v>
                </c:pt>
                <c:pt idx="2">
                  <c:v>0.74949973606081</c:v>
                </c:pt>
                <c:pt idx="3">
                  <c:v>0.81361212505549996</c:v>
                </c:pt>
                <c:pt idx="4">
                  <c:v>0.83074714214027001</c:v>
                </c:pt>
                <c:pt idx="5">
                  <c:v>0.90924586488768999</c:v>
                </c:pt>
                <c:pt idx="6">
                  <c:v>0.93058225993167998</c:v>
                </c:pt>
              </c:numCache>
            </c:numRef>
          </c:val>
          <c:smooth val="0"/>
          <c:extLst>
            <c:ext xmlns:c16="http://schemas.microsoft.com/office/drawing/2014/chart" uri="{C3380CC4-5D6E-409C-BE32-E72D297353CC}">
              <c16:uniqueId val="{00000001-0399-451A-9DC2-A8822848B9C0}"/>
            </c:ext>
          </c:extLst>
        </c:ser>
        <c:ser>
          <c:idx val="2"/>
          <c:order val="2"/>
          <c:tx>
            <c:strRef>
              <c:f>Sheet1!$A$4</c:f>
              <c:strCache>
                <c:ptCount val="1"/>
                <c:pt idx="0">
                  <c:v>      Female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Sheet1!$B$1:$H$1</c:f>
              <c:strCache>
                <c:ptCount val="7"/>
                <c:pt idx="0">
                  <c:v>2011-12</c:v>
                </c:pt>
                <c:pt idx="1">
                  <c:v>2012-13</c:v>
                </c:pt>
                <c:pt idx="2">
                  <c:v>2013-14</c:v>
                </c:pt>
                <c:pt idx="3">
                  <c:v>2014-15</c:v>
                </c:pt>
                <c:pt idx="4">
                  <c:v>2015-16</c:v>
                </c:pt>
                <c:pt idx="5">
                  <c:v>2016-17</c:v>
                </c:pt>
                <c:pt idx="6">
                  <c:v>2017-18</c:v>
                </c:pt>
              </c:strCache>
            </c:strRef>
          </c:cat>
          <c:val>
            <c:numRef>
              <c:f>Sheet1!$B$4:$H$4</c:f>
              <c:numCache>
                <c:formatCode>#,##0.00%</c:formatCode>
                <c:ptCount val="7"/>
                <c:pt idx="0">
                  <c:v>0.73617408085626002</c:v>
                </c:pt>
                <c:pt idx="1">
                  <c:v>0.75263619403276005</c:v>
                </c:pt>
                <c:pt idx="2">
                  <c:v>0.82581738551581996</c:v>
                </c:pt>
                <c:pt idx="3">
                  <c:v>0.86455910241209999</c:v>
                </c:pt>
                <c:pt idx="4">
                  <c:v>0.90068438170582998</c:v>
                </c:pt>
                <c:pt idx="5">
                  <c:v>0.96076314896323001</c:v>
                </c:pt>
                <c:pt idx="6">
                  <c:v>0.97792774583636</c:v>
                </c:pt>
              </c:numCache>
            </c:numRef>
          </c:val>
          <c:smooth val="0"/>
          <c:extLst>
            <c:ext xmlns:c16="http://schemas.microsoft.com/office/drawing/2014/chart" uri="{C3380CC4-5D6E-409C-BE32-E72D297353CC}">
              <c16:uniqueId val="{00000002-0399-451A-9DC2-A8822848B9C0}"/>
            </c:ext>
          </c:extLst>
        </c:ser>
        <c:dLbls>
          <c:showLegendKey val="0"/>
          <c:showVal val="0"/>
          <c:showCatName val="0"/>
          <c:showSerName val="0"/>
          <c:showPercent val="0"/>
          <c:showBubbleSize val="0"/>
        </c:dLbls>
        <c:marker val="1"/>
        <c:smooth val="0"/>
        <c:axId val="529908688"/>
        <c:axId val="529909672"/>
      </c:lineChart>
      <c:catAx>
        <c:axId val="5299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909672"/>
        <c:crosses val="autoZero"/>
        <c:auto val="1"/>
        <c:lblAlgn val="ctr"/>
        <c:lblOffset val="100"/>
        <c:noMultiLvlLbl val="0"/>
      </c:catAx>
      <c:valAx>
        <c:axId val="529909672"/>
        <c:scaling>
          <c:orientation val="minMax"/>
          <c:max val="1"/>
          <c:min val="0.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9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Sheet1!$A$2</c:f>
              <c:strCache>
                <c:ptCount val="1"/>
                <c:pt idx="0">
                  <c:v> Total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Sheet1!$B$1:$H$1</c:f>
              <c:strCache>
                <c:ptCount val="7"/>
                <c:pt idx="0">
                  <c:v>2011-12</c:v>
                </c:pt>
                <c:pt idx="1">
                  <c:v>2012-13</c:v>
                </c:pt>
                <c:pt idx="2">
                  <c:v>2013-14</c:v>
                </c:pt>
                <c:pt idx="3">
                  <c:v>2014-15</c:v>
                </c:pt>
                <c:pt idx="4">
                  <c:v>2015-16</c:v>
                </c:pt>
                <c:pt idx="5">
                  <c:v>2016-17</c:v>
                </c:pt>
                <c:pt idx="6">
                  <c:v>2017-18</c:v>
                </c:pt>
              </c:strCache>
            </c:strRef>
          </c:cat>
          <c:val>
            <c:numRef>
              <c:f>Sheet1!$B$2:$H$2</c:f>
              <c:numCache>
                <c:formatCode>#,##0.00%</c:formatCode>
                <c:ptCount val="7"/>
                <c:pt idx="0">
                  <c:v>0.70547994719247997</c:v>
                </c:pt>
                <c:pt idx="1">
                  <c:v>0.71415116601881001</c:v>
                </c:pt>
                <c:pt idx="2">
                  <c:v>0.74708790163940997</c:v>
                </c:pt>
                <c:pt idx="3">
                  <c:v>0.78365538175905003</c:v>
                </c:pt>
                <c:pt idx="4">
                  <c:v>0.78123342777091997</c:v>
                </c:pt>
                <c:pt idx="5">
                  <c:v>0.80922739976957003</c:v>
                </c:pt>
                <c:pt idx="6">
                  <c:v>0.84463491773015997</c:v>
                </c:pt>
              </c:numCache>
            </c:numRef>
          </c:val>
          <c:smooth val="0"/>
          <c:extLst>
            <c:ext xmlns:c16="http://schemas.microsoft.com/office/drawing/2014/chart" uri="{C3380CC4-5D6E-409C-BE32-E72D297353CC}">
              <c16:uniqueId val="{00000000-8B9D-4948-94B0-030CF3F7871D}"/>
            </c:ext>
          </c:extLst>
        </c:ser>
        <c:ser>
          <c:idx val="1"/>
          <c:order val="1"/>
          <c:tx>
            <c:strRef>
              <c:f>Sheet1!$A$3</c:f>
              <c:strCache>
                <c:ptCount val="1"/>
                <c:pt idx="0">
                  <c:v>      Male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Sheet1!$B$1:$H$1</c:f>
              <c:strCache>
                <c:ptCount val="7"/>
                <c:pt idx="0">
                  <c:v>2011-12</c:v>
                </c:pt>
                <c:pt idx="1">
                  <c:v>2012-13</c:v>
                </c:pt>
                <c:pt idx="2">
                  <c:v>2013-14</c:v>
                </c:pt>
                <c:pt idx="3">
                  <c:v>2014-15</c:v>
                </c:pt>
                <c:pt idx="4">
                  <c:v>2015-16</c:v>
                </c:pt>
                <c:pt idx="5">
                  <c:v>2016-17</c:v>
                </c:pt>
                <c:pt idx="6">
                  <c:v>2017-18</c:v>
                </c:pt>
              </c:strCache>
            </c:strRef>
          </c:cat>
          <c:val>
            <c:numRef>
              <c:f>Sheet1!$B$3:$H$3</c:f>
              <c:numCache>
                <c:formatCode>#,##0.00%</c:formatCode>
                <c:ptCount val="7"/>
                <c:pt idx="0">
                  <c:v>0.64056134800312003</c:v>
                </c:pt>
                <c:pt idx="1">
                  <c:v>0.65735029584745996</c:v>
                </c:pt>
                <c:pt idx="2">
                  <c:v>0.69335546678544002</c:v>
                </c:pt>
                <c:pt idx="3">
                  <c:v>0.74670697424694998</c:v>
                </c:pt>
                <c:pt idx="4">
                  <c:v>0.72824070730759005</c:v>
                </c:pt>
                <c:pt idx="5">
                  <c:v>0.75387683293232999</c:v>
                </c:pt>
                <c:pt idx="6">
                  <c:v>0.80059421363242</c:v>
                </c:pt>
              </c:numCache>
            </c:numRef>
          </c:val>
          <c:smooth val="0"/>
          <c:extLst>
            <c:ext xmlns:c16="http://schemas.microsoft.com/office/drawing/2014/chart" uri="{C3380CC4-5D6E-409C-BE32-E72D297353CC}">
              <c16:uniqueId val="{00000001-8B9D-4948-94B0-030CF3F7871D}"/>
            </c:ext>
          </c:extLst>
        </c:ser>
        <c:ser>
          <c:idx val="2"/>
          <c:order val="2"/>
          <c:tx>
            <c:strRef>
              <c:f>Sheet1!$A$4</c:f>
              <c:strCache>
                <c:ptCount val="1"/>
                <c:pt idx="0">
                  <c:v>      Female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Sheet1!$B$1:$H$1</c:f>
              <c:strCache>
                <c:ptCount val="7"/>
                <c:pt idx="0">
                  <c:v>2011-12</c:v>
                </c:pt>
                <c:pt idx="1">
                  <c:v>2012-13</c:v>
                </c:pt>
                <c:pt idx="2">
                  <c:v>2013-14</c:v>
                </c:pt>
                <c:pt idx="3">
                  <c:v>2014-15</c:v>
                </c:pt>
                <c:pt idx="4">
                  <c:v>2015-16</c:v>
                </c:pt>
                <c:pt idx="5">
                  <c:v>2016-17</c:v>
                </c:pt>
                <c:pt idx="6">
                  <c:v>2017-18</c:v>
                </c:pt>
              </c:strCache>
            </c:strRef>
          </c:cat>
          <c:val>
            <c:numRef>
              <c:f>Sheet1!$B$4:$H$4</c:f>
              <c:numCache>
                <c:formatCode>#,##0.00%</c:formatCode>
                <c:ptCount val="7"/>
                <c:pt idx="0">
                  <c:v>0.77202593018738996</c:v>
                </c:pt>
                <c:pt idx="1">
                  <c:v>0.77180874980832004</c:v>
                </c:pt>
                <c:pt idx="2">
                  <c:v>0.80183891470657997</c:v>
                </c:pt>
                <c:pt idx="3">
                  <c:v>0.82099457699912004</c:v>
                </c:pt>
                <c:pt idx="4">
                  <c:v>0.83544235516900001</c:v>
                </c:pt>
                <c:pt idx="5">
                  <c:v>0.86416746768631003</c:v>
                </c:pt>
                <c:pt idx="6" formatCode="0.00%">
                  <c:v>0.96085218283372509</c:v>
                </c:pt>
              </c:numCache>
            </c:numRef>
          </c:val>
          <c:smooth val="0"/>
          <c:extLst>
            <c:ext xmlns:c16="http://schemas.microsoft.com/office/drawing/2014/chart" uri="{C3380CC4-5D6E-409C-BE32-E72D297353CC}">
              <c16:uniqueId val="{00000002-8B9D-4948-94B0-030CF3F7871D}"/>
            </c:ext>
          </c:extLst>
        </c:ser>
        <c:dLbls>
          <c:showLegendKey val="0"/>
          <c:showVal val="0"/>
          <c:showCatName val="0"/>
          <c:showSerName val="0"/>
          <c:showPercent val="0"/>
          <c:showBubbleSize val="0"/>
        </c:dLbls>
        <c:marker val="1"/>
        <c:smooth val="0"/>
        <c:axId val="529920824"/>
        <c:axId val="529921152"/>
      </c:lineChart>
      <c:catAx>
        <c:axId val="529920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921152"/>
        <c:crosses val="autoZero"/>
        <c:auto val="1"/>
        <c:lblAlgn val="ctr"/>
        <c:lblOffset val="100"/>
        <c:noMultiLvlLbl val="0"/>
      </c:catAx>
      <c:valAx>
        <c:axId val="529921152"/>
        <c:scaling>
          <c:orientation val="minMax"/>
          <c:max val="1"/>
          <c:min val="0.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920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'Retention Rate - Elementary'!$A$2</c:f>
              <c:strCache>
                <c:ptCount val="1"/>
                <c:pt idx="0">
                  <c:v> Total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'Retention Rate - Elementary'!$B$1:$I$1</c:f>
              <c:strCache>
                <c:ptCount val="8"/>
                <c:pt idx="0">
                  <c:v>2010-11</c:v>
                </c:pt>
                <c:pt idx="1">
                  <c:v>2011-12</c:v>
                </c:pt>
                <c:pt idx="2">
                  <c:v>2012-13</c:v>
                </c:pt>
                <c:pt idx="3">
                  <c:v>2013-14</c:v>
                </c:pt>
                <c:pt idx="4">
                  <c:v>2014-15</c:v>
                </c:pt>
                <c:pt idx="5">
                  <c:v>2015-16</c:v>
                </c:pt>
                <c:pt idx="6">
                  <c:v>2016-17</c:v>
                </c:pt>
                <c:pt idx="7">
                  <c:v>2017-18</c:v>
                </c:pt>
              </c:strCache>
            </c:strRef>
          </c:cat>
          <c:val>
            <c:numRef>
              <c:f>'Retention Rate - Elementary'!$B$2:$I$2</c:f>
              <c:numCache>
                <c:formatCode>0.00%</c:formatCode>
                <c:ptCount val="8"/>
                <c:pt idx="0">
                  <c:v>0.92349819436323133</c:v>
                </c:pt>
                <c:pt idx="1">
                  <c:v>0.92620682488667072</c:v>
                </c:pt>
                <c:pt idx="2">
                  <c:v>0.92421385999124783</c:v>
                </c:pt>
                <c:pt idx="3">
                  <c:v>0.95049763815997301</c:v>
                </c:pt>
                <c:pt idx="4">
                  <c:v>0.96604310370305413</c:v>
                </c:pt>
                <c:pt idx="5">
                  <c:v>0.9713036497001496</c:v>
                </c:pt>
                <c:pt idx="6">
                  <c:v>0.98025308268411537</c:v>
                </c:pt>
                <c:pt idx="7">
                  <c:v>0.98094038171477149</c:v>
                </c:pt>
              </c:numCache>
            </c:numRef>
          </c:val>
          <c:smooth val="0"/>
          <c:extLst>
            <c:ext xmlns:c16="http://schemas.microsoft.com/office/drawing/2014/chart" uri="{C3380CC4-5D6E-409C-BE32-E72D297353CC}">
              <c16:uniqueId val="{00000000-2675-41CB-8EDE-E29FDF8E43D6}"/>
            </c:ext>
          </c:extLst>
        </c:ser>
        <c:ser>
          <c:idx val="1"/>
          <c:order val="1"/>
          <c:tx>
            <c:strRef>
              <c:f>'Retention Rate - Elementary'!$A$3</c:f>
              <c:strCache>
                <c:ptCount val="1"/>
                <c:pt idx="0">
                  <c:v>      Male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'Retention Rate - Elementary'!$B$1:$I$1</c:f>
              <c:strCache>
                <c:ptCount val="8"/>
                <c:pt idx="0">
                  <c:v>2010-11</c:v>
                </c:pt>
                <c:pt idx="1">
                  <c:v>2011-12</c:v>
                </c:pt>
                <c:pt idx="2">
                  <c:v>2012-13</c:v>
                </c:pt>
                <c:pt idx="3">
                  <c:v>2013-14</c:v>
                </c:pt>
                <c:pt idx="4">
                  <c:v>2014-15</c:v>
                </c:pt>
                <c:pt idx="5">
                  <c:v>2015-16</c:v>
                </c:pt>
                <c:pt idx="6">
                  <c:v>2016-17</c:v>
                </c:pt>
                <c:pt idx="7">
                  <c:v>2017-18</c:v>
                </c:pt>
              </c:strCache>
            </c:strRef>
          </c:cat>
          <c:val>
            <c:numRef>
              <c:f>'Retention Rate - Elementary'!$B$3:$I$3</c:f>
              <c:numCache>
                <c:formatCode>0.00%</c:formatCode>
                <c:ptCount val="8"/>
                <c:pt idx="0">
                  <c:v>0.90868785797995555</c:v>
                </c:pt>
                <c:pt idx="1">
                  <c:v>0.91311027528156496</c:v>
                </c:pt>
                <c:pt idx="2">
                  <c:v>0.91146053257005788</c:v>
                </c:pt>
                <c:pt idx="3">
                  <c:v>0.94225375940224421</c:v>
                </c:pt>
                <c:pt idx="4">
                  <c:v>0.96130704833252789</c:v>
                </c:pt>
                <c:pt idx="5">
                  <c:v>0.96474953245337269</c:v>
                </c:pt>
                <c:pt idx="6">
                  <c:v>0.97454413932348016</c:v>
                </c:pt>
                <c:pt idx="7">
                  <c:v>0.97571587805838667</c:v>
                </c:pt>
              </c:numCache>
            </c:numRef>
          </c:val>
          <c:smooth val="0"/>
          <c:extLst>
            <c:ext xmlns:c16="http://schemas.microsoft.com/office/drawing/2014/chart" uri="{C3380CC4-5D6E-409C-BE32-E72D297353CC}">
              <c16:uniqueId val="{00000001-2675-41CB-8EDE-E29FDF8E43D6}"/>
            </c:ext>
          </c:extLst>
        </c:ser>
        <c:ser>
          <c:idx val="2"/>
          <c:order val="2"/>
          <c:tx>
            <c:strRef>
              <c:f>'Retention Rate - Elementary'!$A$4</c:f>
              <c:strCache>
                <c:ptCount val="1"/>
                <c:pt idx="0">
                  <c:v>      Female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'Retention Rate - Elementary'!$B$1:$I$1</c:f>
              <c:strCache>
                <c:ptCount val="8"/>
                <c:pt idx="0">
                  <c:v>2010-11</c:v>
                </c:pt>
                <c:pt idx="1">
                  <c:v>2011-12</c:v>
                </c:pt>
                <c:pt idx="2">
                  <c:v>2012-13</c:v>
                </c:pt>
                <c:pt idx="3">
                  <c:v>2013-14</c:v>
                </c:pt>
                <c:pt idx="4">
                  <c:v>2014-15</c:v>
                </c:pt>
                <c:pt idx="5">
                  <c:v>2015-16</c:v>
                </c:pt>
                <c:pt idx="6">
                  <c:v>2016-17</c:v>
                </c:pt>
                <c:pt idx="7">
                  <c:v>2017-18</c:v>
                </c:pt>
              </c:strCache>
            </c:strRef>
          </c:cat>
          <c:val>
            <c:numRef>
              <c:f>'Retention Rate - Elementary'!$B$4:$I$4</c:f>
              <c:numCache>
                <c:formatCode>0.00%</c:formatCode>
                <c:ptCount val="8"/>
                <c:pt idx="0">
                  <c:v>0.93959880435958754</c:v>
                </c:pt>
                <c:pt idx="1">
                  <c:v>0.9403976018317256</c:v>
                </c:pt>
                <c:pt idx="2">
                  <c:v>0.93812473496092563</c:v>
                </c:pt>
                <c:pt idx="3">
                  <c:v>0.95955607186428815</c:v>
                </c:pt>
                <c:pt idx="4">
                  <c:v>0.97125985140526605</c:v>
                </c:pt>
                <c:pt idx="5">
                  <c:v>0.97855105825617417</c:v>
                </c:pt>
                <c:pt idx="6">
                  <c:v>0.98654389840720547</c:v>
                </c:pt>
                <c:pt idx="7">
                  <c:v>0.98666808150393148</c:v>
                </c:pt>
              </c:numCache>
            </c:numRef>
          </c:val>
          <c:smooth val="0"/>
          <c:extLst>
            <c:ext xmlns:c16="http://schemas.microsoft.com/office/drawing/2014/chart" uri="{C3380CC4-5D6E-409C-BE32-E72D297353CC}">
              <c16:uniqueId val="{00000002-2675-41CB-8EDE-E29FDF8E43D6}"/>
            </c:ext>
          </c:extLst>
        </c:ser>
        <c:dLbls>
          <c:showLegendKey val="0"/>
          <c:showVal val="0"/>
          <c:showCatName val="0"/>
          <c:showSerName val="0"/>
          <c:showPercent val="0"/>
          <c:showBubbleSize val="0"/>
        </c:dLbls>
        <c:marker val="1"/>
        <c:smooth val="0"/>
        <c:axId val="489857152"/>
        <c:axId val="489867320"/>
      </c:lineChart>
      <c:catAx>
        <c:axId val="489857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9867320"/>
        <c:crosses val="autoZero"/>
        <c:auto val="1"/>
        <c:lblAlgn val="ctr"/>
        <c:lblOffset val="100"/>
        <c:noMultiLvlLbl val="0"/>
      </c:catAx>
      <c:valAx>
        <c:axId val="489867320"/>
        <c:scaling>
          <c:orientation val="minMax"/>
          <c:min val="0.85000000000000009"/>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9857152"/>
        <c:crosses val="autoZero"/>
        <c:crossBetween val="between"/>
        <c:majorUnit val="5.000000000000001E-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'Retention - Secondary'!$A$2</c:f>
              <c:strCache>
                <c:ptCount val="1"/>
                <c:pt idx="0">
                  <c:v> Total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'Retention - Secondary'!$B$1:$I$1</c:f>
              <c:strCache>
                <c:ptCount val="8"/>
                <c:pt idx="0">
                  <c:v>2010-11</c:v>
                </c:pt>
                <c:pt idx="1">
                  <c:v>2011-12</c:v>
                </c:pt>
                <c:pt idx="2">
                  <c:v>2012-13</c:v>
                </c:pt>
                <c:pt idx="3">
                  <c:v>2013-14</c:v>
                </c:pt>
                <c:pt idx="4">
                  <c:v>2014-15</c:v>
                </c:pt>
                <c:pt idx="5">
                  <c:v>2015-16</c:v>
                </c:pt>
                <c:pt idx="6">
                  <c:v>2016-17</c:v>
                </c:pt>
                <c:pt idx="7">
                  <c:v>2017-18</c:v>
                </c:pt>
              </c:strCache>
            </c:strRef>
          </c:cat>
          <c:val>
            <c:numRef>
              <c:f>'Retention - Secondary'!$B$2:$I$2</c:f>
              <c:numCache>
                <c:formatCode>0.00%</c:formatCode>
                <c:ptCount val="8"/>
                <c:pt idx="0">
                  <c:v>0.90334788675170208</c:v>
                </c:pt>
                <c:pt idx="1">
                  <c:v>0.91572241300843682</c:v>
                </c:pt>
                <c:pt idx="2">
                  <c:v>0.91365641638283024</c:v>
                </c:pt>
                <c:pt idx="3">
                  <c:v>0.9205236611844908</c:v>
                </c:pt>
                <c:pt idx="4">
                  <c:v>0.93093481502288111</c:v>
                </c:pt>
                <c:pt idx="5">
                  <c:v>0.93160731471893399</c:v>
                </c:pt>
                <c:pt idx="6">
                  <c:v>0.93757240401191333</c:v>
                </c:pt>
                <c:pt idx="7">
                  <c:v>0.94290650326378833</c:v>
                </c:pt>
              </c:numCache>
            </c:numRef>
          </c:val>
          <c:smooth val="0"/>
          <c:extLst>
            <c:ext xmlns:c16="http://schemas.microsoft.com/office/drawing/2014/chart" uri="{C3380CC4-5D6E-409C-BE32-E72D297353CC}">
              <c16:uniqueId val="{00000000-2A32-4B3B-904C-53813B4A489E}"/>
            </c:ext>
          </c:extLst>
        </c:ser>
        <c:ser>
          <c:idx val="1"/>
          <c:order val="1"/>
          <c:tx>
            <c:strRef>
              <c:f>'Retention - Secondary'!$A$3</c:f>
              <c:strCache>
                <c:ptCount val="1"/>
                <c:pt idx="0">
                  <c:v>      Male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'Retention - Secondary'!$B$1:$I$1</c:f>
              <c:strCache>
                <c:ptCount val="8"/>
                <c:pt idx="0">
                  <c:v>2010-11</c:v>
                </c:pt>
                <c:pt idx="1">
                  <c:v>2011-12</c:v>
                </c:pt>
                <c:pt idx="2">
                  <c:v>2012-13</c:v>
                </c:pt>
                <c:pt idx="3">
                  <c:v>2013-14</c:v>
                </c:pt>
                <c:pt idx="4">
                  <c:v>2014-15</c:v>
                </c:pt>
                <c:pt idx="5">
                  <c:v>2015-16</c:v>
                </c:pt>
                <c:pt idx="6">
                  <c:v>2016-17</c:v>
                </c:pt>
                <c:pt idx="7">
                  <c:v>2017-18</c:v>
                </c:pt>
              </c:strCache>
            </c:strRef>
          </c:cat>
          <c:val>
            <c:numRef>
              <c:f>'Retention - Secondary'!$B$3:$I$3</c:f>
              <c:numCache>
                <c:formatCode>0.00%</c:formatCode>
                <c:ptCount val="8"/>
                <c:pt idx="0">
                  <c:v>0.87681471409346512</c:v>
                </c:pt>
                <c:pt idx="1">
                  <c:v>0.88944041681264507</c:v>
                </c:pt>
                <c:pt idx="2">
                  <c:v>0.89075276010840809</c:v>
                </c:pt>
                <c:pt idx="3">
                  <c:v>0.90007863690320589</c:v>
                </c:pt>
                <c:pt idx="4">
                  <c:v>0.91689906433981494</c:v>
                </c:pt>
                <c:pt idx="5">
                  <c:v>0.91352222239044079</c:v>
                </c:pt>
                <c:pt idx="6">
                  <c:v>0.91665083466212183</c:v>
                </c:pt>
                <c:pt idx="7">
                  <c:v>0.92495736810169527</c:v>
                </c:pt>
              </c:numCache>
            </c:numRef>
          </c:val>
          <c:smooth val="0"/>
          <c:extLst>
            <c:ext xmlns:c16="http://schemas.microsoft.com/office/drawing/2014/chart" uri="{C3380CC4-5D6E-409C-BE32-E72D297353CC}">
              <c16:uniqueId val="{00000001-2A32-4B3B-904C-53813B4A489E}"/>
            </c:ext>
          </c:extLst>
        </c:ser>
        <c:ser>
          <c:idx val="2"/>
          <c:order val="2"/>
          <c:tx>
            <c:strRef>
              <c:f>'Retention - Secondary'!$A$4</c:f>
              <c:strCache>
                <c:ptCount val="1"/>
                <c:pt idx="0">
                  <c:v>      Female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'Retention - Secondary'!$B$1:$I$1</c:f>
              <c:strCache>
                <c:ptCount val="8"/>
                <c:pt idx="0">
                  <c:v>2010-11</c:v>
                </c:pt>
                <c:pt idx="1">
                  <c:v>2011-12</c:v>
                </c:pt>
                <c:pt idx="2">
                  <c:v>2012-13</c:v>
                </c:pt>
                <c:pt idx="3">
                  <c:v>2013-14</c:v>
                </c:pt>
                <c:pt idx="4">
                  <c:v>2014-15</c:v>
                </c:pt>
                <c:pt idx="5">
                  <c:v>2015-16</c:v>
                </c:pt>
                <c:pt idx="6">
                  <c:v>2016-17</c:v>
                </c:pt>
                <c:pt idx="7">
                  <c:v>2017-18</c:v>
                </c:pt>
              </c:strCache>
            </c:strRef>
          </c:cat>
          <c:val>
            <c:numRef>
              <c:f>'Retention - Secondary'!$B$4:$I$4</c:f>
              <c:numCache>
                <c:formatCode>0.00%</c:formatCode>
                <c:ptCount val="8"/>
                <c:pt idx="0">
                  <c:v>0.93005002512640067</c:v>
                </c:pt>
                <c:pt idx="1">
                  <c:v>0.94212025451610582</c:v>
                </c:pt>
                <c:pt idx="2">
                  <c:v>0.93662109737753296</c:v>
                </c:pt>
                <c:pt idx="3">
                  <c:v>0.94098046915617417</c:v>
                </c:pt>
                <c:pt idx="4">
                  <c:v>0.94491296857027518</c:v>
                </c:pt>
                <c:pt idx="5">
                  <c:v>0.94961995620071926</c:v>
                </c:pt>
                <c:pt idx="6">
                  <c:v>0.9584681293903391</c:v>
                </c:pt>
                <c:pt idx="7">
                  <c:v>0.96085218283372509</c:v>
                </c:pt>
              </c:numCache>
            </c:numRef>
          </c:val>
          <c:smooth val="0"/>
          <c:extLst>
            <c:ext xmlns:c16="http://schemas.microsoft.com/office/drawing/2014/chart" uri="{C3380CC4-5D6E-409C-BE32-E72D297353CC}">
              <c16:uniqueId val="{00000002-2A32-4B3B-904C-53813B4A489E}"/>
            </c:ext>
          </c:extLst>
        </c:ser>
        <c:dLbls>
          <c:showLegendKey val="0"/>
          <c:showVal val="0"/>
          <c:showCatName val="0"/>
          <c:showSerName val="0"/>
          <c:showPercent val="0"/>
          <c:showBubbleSize val="0"/>
        </c:dLbls>
        <c:marker val="1"/>
        <c:smooth val="0"/>
        <c:axId val="489867976"/>
        <c:axId val="489872240"/>
      </c:lineChart>
      <c:catAx>
        <c:axId val="489867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9872240"/>
        <c:crosses val="autoZero"/>
        <c:auto val="1"/>
        <c:lblAlgn val="ctr"/>
        <c:lblOffset val="100"/>
        <c:noMultiLvlLbl val="0"/>
      </c:catAx>
      <c:valAx>
        <c:axId val="489872240"/>
        <c:scaling>
          <c:orientation val="minMax"/>
          <c:max val="1"/>
          <c:min val="0.8"/>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9867976"/>
        <c:crosses val="autoZero"/>
        <c:crossBetween val="between"/>
        <c:majorUnit val="5.000000000000001E-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'Consolidated SLVR'!$G$373</c:f>
              <c:strCache>
                <c:ptCount val="1"/>
                <c:pt idx="0">
                  <c:v>Total</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'Consolidated SLVR'!$H$372:$L$372</c:f>
              <c:strCache>
                <c:ptCount val="5"/>
                <c:pt idx="0">
                  <c:v>SY 2013-2014</c:v>
                </c:pt>
                <c:pt idx="1">
                  <c:v>SY 2014 - 2015</c:v>
                </c:pt>
                <c:pt idx="2">
                  <c:v>SY 2015-2016</c:v>
                </c:pt>
                <c:pt idx="3">
                  <c:v>SY 2016-2017</c:v>
                </c:pt>
                <c:pt idx="4">
                  <c:v>SY 2017 - 2018</c:v>
                </c:pt>
              </c:strCache>
            </c:strRef>
          </c:cat>
          <c:val>
            <c:numRef>
              <c:f>'Consolidated SLVR'!$H$373:$L$373</c:f>
              <c:numCache>
                <c:formatCode>0.00%</c:formatCode>
                <c:ptCount val="5"/>
                <c:pt idx="0">
                  <c:v>4.8520572483539581E-2</c:v>
                </c:pt>
                <c:pt idx="1">
                  <c:v>3.2592777162790298E-2</c:v>
                </c:pt>
                <c:pt idx="2">
                  <c:v>2.6891408488154411E-2</c:v>
                </c:pt>
                <c:pt idx="3">
                  <c:v>2.0017929375171661E-2</c:v>
                </c:pt>
                <c:pt idx="4">
                  <c:v>1.5594799206330962E-2</c:v>
                </c:pt>
              </c:numCache>
            </c:numRef>
          </c:val>
          <c:smooth val="0"/>
          <c:extLst>
            <c:ext xmlns:c16="http://schemas.microsoft.com/office/drawing/2014/chart" uri="{C3380CC4-5D6E-409C-BE32-E72D297353CC}">
              <c16:uniqueId val="{00000000-2D4B-4781-AB71-22EA5463476A}"/>
            </c:ext>
          </c:extLst>
        </c:ser>
        <c:ser>
          <c:idx val="1"/>
          <c:order val="1"/>
          <c:tx>
            <c:strRef>
              <c:f>'Consolidated SLVR'!$G$374</c:f>
              <c:strCache>
                <c:ptCount val="1"/>
                <c:pt idx="0">
                  <c:v>Male</c:v>
                </c:pt>
              </c:strCache>
            </c:strRef>
          </c:tx>
          <c:spPr>
            <a:ln w="2222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'Consolidated SLVR'!$H$372:$L$372</c:f>
              <c:strCache>
                <c:ptCount val="5"/>
                <c:pt idx="0">
                  <c:v>SY 2013-2014</c:v>
                </c:pt>
                <c:pt idx="1">
                  <c:v>SY 2014 - 2015</c:v>
                </c:pt>
                <c:pt idx="2">
                  <c:v>SY 2015-2016</c:v>
                </c:pt>
                <c:pt idx="3">
                  <c:v>SY 2016-2017</c:v>
                </c:pt>
                <c:pt idx="4">
                  <c:v>SY 2017 - 2018</c:v>
                </c:pt>
              </c:strCache>
            </c:strRef>
          </c:cat>
          <c:val>
            <c:numRef>
              <c:f>'Consolidated SLVR'!$H$374:$L$374</c:f>
              <c:numCache>
                <c:formatCode>0.00%</c:formatCode>
                <c:ptCount val="5"/>
                <c:pt idx="0">
                  <c:v>5.5881522595882416E-2</c:v>
                </c:pt>
                <c:pt idx="1">
                  <c:v>3.6978088319301605E-2</c:v>
                </c:pt>
                <c:pt idx="2">
                  <c:v>3.3001776784658432E-2</c:v>
                </c:pt>
                <c:pt idx="3">
                  <c:v>2.7770144864916801E-2</c:v>
                </c:pt>
                <c:pt idx="4">
                  <c:v>2.0062033078180046E-2</c:v>
                </c:pt>
              </c:numCache>
            </c:numRef>
          </c:val>
          <c:smooth val="0"/>
          <c:extLst>
            <c:ext xmlns:c16="http://schemas.microsoft.com/office/drawing/2014/chart" uri="{C3380CC4-5D6E-409C-BE32-E72D297353CC}">
              <c16:uniqueId val="{00000001-2D4B-4781-AB71-22EA5463476A}"/>
            </c:ext>
          </c:extLst>
        </c:ser>
        <c:ser>
          <c:idx val="2"/>
          <c:order val="2"/>
          <c:tx>
            <c:strRef>
              <c:f>'Consolidated SLVR'!$G$375</c:f>
              <c:strCache>
                <c:ptCount val="1"/>
                <c:pt idx="0">
                  <c:v>Female</c:v>
                </c:pt>
              </c:strCache>
            </c:strRef>
          </c:tx>
          <c:spPr>
            <a:ln w="22225" cap="rnd">
              <a:solidFill>
                <a:schemeClr val="accent3"/>
              </a:solidFill>
              <a:round/>
            </a:ln>
            <a:effectLst/>
          </c:spPr>
          <c:marker>
            <c:symbol val="none"/>
          </c:marker>
          <c:dLbls>
            <c:spPr>
              <a:no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'Consolidated SLVR'!$H$372:$L$372</c:f>
              <c:strCache>
                <c:ptCount val="5"/>
                <c:pt idx="0">
                  <c:v>SY 2013-2014</c:v>
                </c:pt>
                <c:pt idx="1">
                  <c:v>SY 2014 - 2015</c:v>
                </c:pt>
                <c:pt idx="2">
                  <c:v>SY 2015-2016</c:v>
                </c:pt>
                <c:pt idx="3">
                  <c:v>SY 2016-2017</c:v>
                </c:pt>
                <c:pt idx="4">
                  <c:v>SY 2017 - 2018</c:v>
                </c:pt>
              </c:strCache>
            </c:strRef>
          </c:cat>
          <c:val>
            <c:numRef>
              <c:f>'Consolidated SLVR'!$H$375:$L$375</c:f>
              <c:numCache>
                <c:formatCode>0.00%</c:formatCode>
                <c:ptCount val="5"/>
                <c:pt idx="0">
                  <c:v>4.0361661463975906E-2</c:v>
                </c:pt>
                <c:pt idx="1">
                  <c:v>2.7731051668524742E-2</c:v>
                </c:pt>
                <c:pt idx="2">
                  <c:v>2.0107235759496689E-2</c:v>
                </c:pt>
                <c:pt idx="3">
                  <c:v>1.1065736413002014E-2</c:v>
                </c:pt>
                <c:pt idx="4">
                  <c:v>1.0640277686889941E-2</c:v>
                </c:pt>
              </c:numCache>
            </c:numRef>
          </c:val>
          <c:smooth val="0"/>
          <c:extLst>
            <c:ext xmlns:c16="http://schemas.microsoft.com/office/drawing/2014/chart" uri="{C3380CC4-5D6E-409C-BE32-E72D297353CC}">
              <c16:uniqueId val="{00000002-2D4B-4781-AB71-22EA5463476A}"/>
            </c:ext>
          </c:extLst>
        </c:ser>
        <c:dLbls>
          <c:dLblPos val="ctr"/>
          <c:showLegendKey val="0"/>
          <c:showVal val="1"/>
          <c:showCatName val="0"/>
          <c:showSerName val="0"/>
          <c:showPercent val="0"/>
          <c:showBubbleSize val="0"/>
        </c:dLbls>
        <c:smooth val="0"/>
        <c:axId val="1217201248"/>
        <c:axId val="1176302656"/>
      </c:lineChart>
      <c:catAx>
        <c:axId val="1217201248"/>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chemeClr val="dk1">
                    <a:lumMod val="65000"/>
                    <a:lumOff val="35000"/>
                  </a:schemeClr>
                </a:solidFill>
                <a:latin typeface="+mn-lt"/>
                <a:ea typeface="+mn-ea"/>
                <a:cs typeface="+mn-cs"/>
              </a:defRPr>
            </a:pPr>
            <a:endParaRPr lang="en-US"/>
          </a:p>
        </c:txPr>
        <c:crossAx val="1176302656"/>
        <c:crosses val="autoZero"/>
        <c:auto val="1"/>
        <c:lblAlgn val="ctr"/>
        <c:lblOffset val="100"/>
        <c:noMultiLvlLbl val="0"/>
      </c:catAx>
      <c:valAx>
        <c:axId val="1176302656"/>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en-US"/>
          </a:p>
        </c:txPr>
        <c:crossAx val="121720124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sz="800" baseline="0"/>
      </a:pPr>
      <a:endParaRPr lang="en-U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'School Leaver - Seconda'!$A$2</c:f>
              <c:strCache>
                <c:ptCount val="1"/>
                <c:pt idx="0">
                  <c:v> Total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'School Leaver - Seconda'!$B$1:$I$1</c:f>
              <c:strCache>
                <c:ptCount val="8"/>
                <c:pt idx="0">
                  <c:v>2010-11</c:v>
                </c:pt>
                <c:pt idx="1">
                  <c:v>2011-12</c:v>
                </c:pt>
                <c:pt idx="2">
                  <c:v>2012-13</c:v>
                </c:pt>
                <c:pt idx="3">
                  <c:v>2013-14</c:v>
                </c:pt>
                <c:pt idx="4">
                  <c:v>2014-15</c:v>
                </c:pt>
                <c:pt idx="5">
                  <c:v>2015-16</c:v>
                </c:pt>
                <c:pt idx="6">
                  <c:v>2016-17</c:v>
                </c:pt>
                <c:pt idx="7">
                  <c:v>2017-18</c:v>
                </c:pt>
              </c:strCache>
            </c:strRef>
          </c:cat>
          <c:val>
            <c:numRef>
              <c:f>'School Leaver - Seconda'!$B$2:$I$2</c:f>
              <c:numCache>
                <c:formatCode>0.00%</c:formatCode>
                <c:ptCount val="8"/>
                <c:pt idx="0">
                  <c:v>8.0361068248748779E-2</c:v>
                </c:pt>
                <c:pt idx="1">
                  <c:v>9.2947728931903839E-2</c:v>
                </c:pt>
                <c:pt idx="2">
                  <c:v>9.2676319181919098E-2</c:v>
                </c:pt>
                <c:pt idx="3">
                  <c:v>8.1260763108730316E-2</c:v>
                </c:pt>
                <c:pt idx="4">
                  <c:v>6.9949917495250702E-2</c:v>
                </c:pt>
                <c:pt idx="5">
                  <c:v>7.1721971035003662E-2</c:v>
                </c:pt>
                <c:pt idx="6">
                  <c:v>6.1920072883367538E-2</c:v>
                </c:pt>
                <c:pt idx="7">
                  <c:v>5.189378559589386E-2</c:v>
                </c:pt>
              </c:numCache>
            </c:numRef>
          </c:val>
          <c:smooth val="0"/>
          <c:extLst>
            <c:ext xmlns:c16="http://schemas.microsoft.com/office/drawing/2014/chart" uri="{C3380CC4-5D6E-409C-BE32-E72D297353CC}">
              <c16:uniqueId val="{00000000-0E1F-497A-A928-3001E27351B0}"/>
            </c:ext>
          </c:extLst>
        </c:ser>
        <c:ser>
          <c:idx val="1"/>
          <c:order val="1"/>
          <c:tx>
            <c:strRef>
              <c:f>'School Leaver - Seconda'!$A$3</c:f>
              <c:strCache>
                <c:ptCount val="1"/>
                <c:pt idx="0">
                  <c:v>      Male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'School Leaver - Seconda'!$B$1:$I$1</c:f>
              <c:strCache>
                <c:ptCount val="8"/>
                <c:pt idx="0">
                  <c:v>2010-11</c:v>
                </c:pt>
                <c:pt idx="1">
                  <c:v>2011-12</c:v>
                </c:pt>
                <c:pt idx="2">
                  <c:v>2012-13</c:v>
                </c:pt>
                <c:pt idx="3">
                  <c:v>2013-14</c:v>
                </c:pt>
                <c:pt idx="4">
                  <c:v>2014-15</c:v>
                </c:pt>
                <c:pt idx="5">
                  <c:v>2015-16</c:v>
                </c:pt>
                <c:pt idx="6">
                  <c:v>2016-17</c:v>
                </c:pt>
                <c:pt idx="7">
                  <c:v>2017-18</c:v>
                </c:pt>
              </c:strCache>
            </c:strRef>
          </c:cat>
          <c:val>
            <c:numRef>
              <c:f>'School Leaver - Seconda'!$B$3:$I$3</c:f>
              <c:numCache>
                <c:formatCode>0.00%</c:formatCode>
                <c:ptCount val="8"/>
                <c:pt idx="0">
                  <c:v>0.10222112387418747</c:v>
                </c:pt>
                <c:pt idx="1">
                  <c:v>0.11788716912269592</c:v>
                </c:pt>
                <c:pt idx="2">
                  <c:v>0.11429436504840851</c:v>
                </c:pt>
                <c:pt idx="3">
                  <c:v>0.10183990001678467</c:v>
                </c:pt>
                <c:pt idx="4">
                  <c:v>8.4097638726234436E-2</c:v>
                </c:pt>
                <c:pt idx="5">
                  <c:v>9.1565720736980438E-2</c:v>
                </c:pt>
                <c:pt idx="6">
                  <c:v>8.1760242581367493E-2</c:v>
                </c:pt>
                <c:pt idx="7">
                  <c:v>6.8528339266777039E-2</c:v>
                </c:pt>
              </c:numCache>
            </c:numRef>
          </c:val>
          <c:smooth val="0"/>
          <c:extLst>
            <c:ext xmlns:c16="http://schemas.microsoft.com/office/drawing/2014/chart" uri="{C3380CC4-5D6E-409C-BE32-E72D297353CC}">
              <c16:uniqueId val="{00000001-0E1F-497A-A928-3001E27351B0}"/>
            </c:ext>
          </c:extLst>
        </c:ser>
        <c:ser>
          <c:idx val="2"/>
          <c:order val="2"/>
          <c:tx>
            <c:strRef>
              <c:f>'School Leaver - Seconda'!$A$4</c:f>
              <c:strCache>
                <c:ptCount val="1"/>
                <c:pt idx="0">
                  <c:v>      Female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'School Leaver - Seconda'!$B$1:$I$1</c:f>
              <c:strCache>
                <c:ptCount val="8"/>
                <c:pt idx="0">
                  <c:v>2010-11</c:v>
                </c:pt>
                <c:pt idx="1">
                  <c:v>2011-12</c:v>
                </c:pt>
                <c:pt idx="2">
                  <c:v>2012-13</c:v>
                </c:pt>
                <c:pt idx="3">
                  <c:v>2013-14</c:v>
                </c:pt>
                <c:pt idx="4">
                  <c:v>2014-15</c:v>
                </c:pt>
                <c:pt idx="5">
                  <c:v>2015-16</c:v>
                </c:pt>
                <c:pt idx="6">
                  <c:v>2016-17</c:v>
                </c:pt>
                <c:pt idx="7">
                  <c:v>2017-18</c:v>
                </c:pt>
              </c:strCache>
            </c:strRef>
          </c:cat>
          <c:val>
            <c:numRef>
              <c:f>'School Leaver - Seconda'!$B$4:$I$4</c:f>
              <c:numCache>
                <c:formatCode>0.00%</c:formatCode>
                <c:ptCount val="8"/>
                <c:pt idx="0">
                  <c:v>5.7901650667190552E-2</c:v>
                </c:pt>
                <c:pt idx="1">
                  <c:v>6.7379139363765717E-2</c:v>
                </c:pt>
                <c:pt idx="2">
                  <c:v>7.0550747215747833E-2</c:v>
                </c:pt>
                <c:pt idx="3">
                  <c:v>6.0371078550815582E-2</c:v>
                </c:pt>
                <c:pt idx="4">
                  <c:v>5.5737800896167755E-2</c:v>
                </c:pt>
                <c:pt idx="5">
                  <c:v>5.19101582467556E-2</c:v>
                </c:pt>
                <c:pt idx="6">
                  <c:v>4.1741564869880676E-2</c:v>
                </c:pt>
                <c:pt idx="7">
                  <c:v>3.4893661737442017E-2</c:v>
                </c:pt>
              </c:numCache>
            </c:numRef>
          </c:val>
          <c:smooth val="0"/>
          <c:extLst>
            <c:ext xmlns:c16="http://schemas.microsoft.com/office/drawing/2014/chart" uri="{C3380CC4-5D6E-409C-BE32-E72D297353CC}">
              <c16:uniqueId val="{00000002-0E1F-497A-A928-3001E27351B0}"/>
            </c:ext>
          </c:extLst>
        </c:ser>
        <c:dLbls>
          <c:showLegendKey val="0"/>
          <c:showVal val="0"/>
          <c:showCatName val="0"/>
          <c:showSerName val="0"/>
          <c:showPercent val="0"/>
          <c:showBubbleSize val="0"/>
        </c:dLbls>
        <c:marker val="1"/>
        <c:smooth val="0"/>
        <c:axId val="632081848"/>
        <c:axId val="632079552"/>
      </c:lineChart>
      <c:catAx>
        <c:axId val="632081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632079552"/>
        <c:crosses val="autoZero"/>
        <c:auto val="1"/>
        <c:lblAlgn val="ctr"/>
        <c:lblOffset val="100"/>
        <c:noMultiLvlLbl val="0"/>
      </c:catAx>
      <c:valAx>
        <c:axId val="6320795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632081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baseline="0"/>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20" b="0" i="0" u="none" strike="noStrike" kern="1200" spc="0" baseline="0">
                <a:solidFill>
                  <a:schemeClr val="tx1">
                    <a:lumMod val="65000"/>
                    <a:lumOff val="35000"/>
                  </a:schemeClr>
                </a:solidFill>
                <a:latin typeface="+mn-lt"/>
                <a:ea typeface="+mn-ea"/>
                <a:cs typeface="+mn-cs"/>
              </a:defRPr>
            </a:pPr>
            <a:r>
              <a:rPr lang="en-US"/>
              <a:t>Grade 6 Students</a:t>
            </a:r>
          </a:p>
        </c:rich>
      </c:tx>
      <c:overlay val="0"/>
      <c:spPr>
        <a:noFill/>
        <a:ln>
          <a:noFill/>
        </a:ln>
        <a:effectLst/>
      </c:spPr>
      <c:txPr>
        <a:bodyPr rot="0" spcFirstLastPara="1" vertOverflow="ellipsis" vert="horz" wrap="square" anchor="ctr" anchorCtr="1"/>
        <a:lstStyle/>
        <a:p>
          <a:pPr>
            <a:defRPr sz="72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Tables!$B$138</c:f>
              <c:strCache>
                <c:ptCount val="1"/>
                <c:pt idx="0">
                  <c:v>M - Frustration</c:v>
                </c:pt>
              </c:strCache>
            </c:strRef>
          </c:tx>
          <c:spPr>
            <a:ln w="28575" cap="rnd">
              <a:solidFill>
                <a:schemeClr val="accent1"/>
              </a:solidFill>
              <a:round/>
            </a:ln>
            <a:effectLst/>
          </c:spPr>
          <c:marker>
            <c:symbol val="none"/>
          </c:marker>
          <c:cat>
            <c:strRef>
              <c:f>Tables!$C$137:$G$137</c:f>
              <c:strCache>
                <c:ptCount val="5"/>
                <c:pt idx="0">
                  <c:v>SY2013-2014</c:v>
                </c:pt>
                <c:pt idx="1">
                  <c:v>SY2014-2015</c:v>
                </c:pt>
                <c:pt idx="2">
                  <c:v>SY2015-2016</c:v>
                </c:pt>
                <c:pt idx="3">
                  <c:v>SY2016-2017</c:v>
                </c:pt>
                <c:pt idx="4">
                  <c:v>SY2017-2018</c:v>
                </c:pt>
              </c:strCache>
            </c:strRef>
          </c:cat>
          <c:val>
            <c:numRef>
              <c:f>Tables!$C$138:$G$138</c:f>
              <c:numCache>
                <c:formatCode>0%</c:formatCode>
                <c:ptCount val="5"/>
                <c:pt idx="0">
                  <c:v>0.11678832116788321</c:v>
                </c:pt>
                <c:pt idx="1">
                  <c:v>0.17282127031019201</c:v>
                </c:pt>
                <c:pt idx="2">
                  <c:v>0.22985468956406868</c:v>
                </c:pt>
                <c:pt idx="3">
                  <c:v>0.10700132100396301</c:v>
                </c:pt>
                <c:pt idx="4">
                  <c:v>0.23225806451612904</c:v>
                </c:pt>
              </c:numCache>
            </c:numRef>
          </c:val>
          <c:smooth val="0"/>
          <c:extLst>
            <c:ext xmlns:c16="http://schemas.microsoft.com/office/drawing/2014/chart" uri="{C3380CC4-5D6E-409C-BE32-E72D297353CC}">
              <c16:uniqueId val="{00000000-69F4-4C6C-AE80-61A68FDFB0BF}"/>
            </c:ext>
          </c:extLst>
        </c:ser>
        <c:ser>
          <c:idx val="1"/>
          <c:order val="1"/>
          <c:tx>
            <c:strRef>
              <c:f>Tables!$B$139</c:f>
              <c:strCache>
                <c:ptCount val="1"/>
                <c:pt idx="0">
                  <c:v>M - Instructional</c:v>
                </c:pt>
              </c:strCache>
            </c:strRef>
          </c:tx>
          <c:spPr>
            <a:ln w="28575" cap="rnd">
              <a:solidFill>
                <a:schemeClr val="accent2"/>
              </a:solidFill>
              <a:round/>
            </a:ln>
            <a:effectLst/>
          </c:spPr>
          <c:marker>
            <c:symbol val="none"/>
          </c:marker>
          <c:cat>
            <c:strRef>
              <c:f>Tables!$C$137:$G$137</c:f>
              <c:strCache>
                <c:ptCount val="5"/>
                <c:pt idx="0">
                  <c:v>SY2013-2014</c:v>
                </c:pt>
                <c:pt idx="1">
                  <c:v>SY2014-2015</c:v>
                </c:pt>
                <c:pt idx="2">
                  <c:v>SY2015-2016</c:v>
                </c:pt>
                <c:pt idx="3">
                  <c:v>SY2016-2017</c:v>
                </c:pt>
                <c:pt idx="4">
                  <c:v>SY2017-2018</c:v>
                </c:pt>
              </c:strCache>
            </c:strRef>
          </c:cat>
          <c:val>
            <c:numRef>
              <c:f>Tables!$C$139:$G$139</c:f>
              <c:numCache>
                <c:formatCode>0%</c:formatCode>
                <c:ptCount val="5"/>
                <c:pt idx="0">
                  <c:v>0.42627737226277373</c:v>
                </c:pt>
                <c:pt idx="1">
                  <c:v>0.37518463810930575</c:v>
                </c:pt>
                <c:pt idx="2">
                  <c:v>0.30779392338177014</c:v>
                </c:pt>
                <c:pt idx="3">
                  <c:v>0.41479524438573318</c:v>
                </c:pt>
                <c:pt idx="4">
                  <c:v>0.27870967741935482</c:v>
                </c:pt>
              </c:numCache>
            </c:numRef>
          </c:val>
          <c:smooth val="0"/>
          <c:extLst>
            <c:ext xmlns:c16="http://schemas.microsoft.com/office/drawing/2014/chart" uri="{C3380CC4-5D6E-409C-BE32-E72D297353CC}">
              <c16:uniqueId val="{00000001-69F4-4C6C-AE80-61A68FDFB0BF}"/>
            </c:ext>
          </c:extLst>
        </c:ser>
        <c:ser>
          <c:idx val="2"/>
          <c:order val="2"/>
          <c:tx>
            <c:strRef>
              <c:f>Tables!$B$140</c:f>
              <c:strCache>
                <c:ptCount val="1"/>
                <c:pt idx="0">
                  <c:v>M - Independent</c:v>
                </c:pt>
              </c:strCache>
            </c:strRef>
          </c:tx>
          <c:spPr>
            <a:ln w="28575" cap="rnd">
              <a:solidFill>
                <a:schemeClr val="accent3"/>
              </a:solidFill>
              <a:round/>
            </a:ln>
            <a:effectLst/>
          </c:spPr>
          <c:marker>
            <c:symbol val="none"/>
          </c:marker>
          <c:cat>
            <c:strRef>
              <c:f>Tables!$C$137:$G$137</c:f>
              <c:strCache>
                <c:ptCount val="5"/>
                <c:pt idx="0">
                  <c:v>SY2013-2014</c:v>
                </c:pt>
                <c:pt idx="1">
                  <c:v>SY2014-2015</c:v>
                </c:pt>
                <c:pt idx="2">
                  <c:v>SY2015-2016</c:v>
                </c:pt>
                <c:pt idx="3">
                  <c:v>SY2016-2017</c:v>
                </c:pt>
                <c:pt idx="4">
                  <c:v>SY2017-2018</c:v>
                </c:pt>
              </c:strCache>
            </c:strRef>
          </c:cat>
          <c:val>
            <c:numRef>
              <c:f>Tables!$C$140:$G$140</c:f>
              <c:numCache>
                <c:formatCode>0%</c:formatCode>
                <c:ptCount val="5"/>
                <c:pt idx="0">
                  <c:v>0.45693430656934308</c:v>
                </c:pt>
                <c:pt idx="1">
                  <c:v>0.45199409158050219</c:v>
                </c:pt>
                <c:pt idx="2">
                  <c:v>0.46235138705416118</c:v>
                </c:pt>
                <c:pt idx="3">
                  <c:v>0.47820343461030385</c:v>
                </c:pt>
                <c:pt idx="4">
                  <c:v>0.48903225806451611</c:v>
                </c:pt>
              </c:numCache>
            </c:numRef>
          </c:val>
          <c:smooth val="0"/>
          <c:extLst>
            <c:ext xmlns:c16="http://schemas.microsoft.com/office/drawing/2014/chart" uri="{C3380CC4-5D6E-409C-BE32-E72D297353CC}">
              <c16:uniqueId val="{00000002-69F4-4C6C-AE80-61A68FDFB0BF}"/>
            </c:ext>
          </c:extLst>
        </c:ser>
        <c:ser>
          <c:idx val="3"/>
          <c:order val="3"/>
          <c:tx>
            <c:strRef>
              <c:f>Tables!$B$141</c:f>
              <c:strCache>
                <c:ptCount val="1"/>
                <c:pt idx="0">
                  <c:v>F - Frustration</c:v>
                </c:pt>
              </c:strCache>
            </c:strRef>
          </c:tx>
          <c:spPr>
            <a:ln w="28575" cap="rnd">
              <a:solidFill>
                <a:schemeClr val="accent4"/>
              </a:solidFill>
              <a:round/>
            </a:ln>
            <a:effectLst/>
          </c:spPr>
          <c:marker>
            <c:symbol val="none"/>
          </c:marker>
          <c:cat>
            <c:strRef>
              <c:f>Tables!$C$137:$G$137</c:f>
              <c:strCache>
                <c:ptCount val="5"/>
                <c:pt idx="0">
                  <c:v>SY2013-2014</c:v>
                </c:pt>
                <c:pt idx="1">
                  <c:v>SY2014-2015</c:v>
                </c:pt>
                <c:pt idx="2">
                  <c:v>SY2015-2016</c:v>
                </c:pt>
                <c:pt idx="3">
                  <c:v>SY2016-2017</c:v>
                </c:pt>
                <c:pt idx="4">
                  <c:v>SY2017-2018</c:v>
                </c:pt>
              </c:strCache>
            </c:strRef>
          </c:cat>
          <c:val>
            <c:numRef>
              <c:f>Tables!$C$141:$G$141</c:f>
              <c:numCache>
                <c:formatCode>0%</c:formatCode>
                <c:ptCount val="5"/>
                <c:pt idx="0">
                  <c:v>8.1325301204819275E-2</c:v>
                </c:pt>
                <c:pt idx="1">
                  <c:v>7.2347266881028938E-2</c:v>
                </c:pt>
                <c:pt idx="2">
                  <c:v>0.17638483965014579</c:v>
                </c:pt>
                <c:pt idx="3">
                  <c:v>6.3421828908554578E-2</c:v>
                </c:pt>
                <c:pt idx="4">
                  <c:v>0.14775725593667546</c:v>
                </c:pt>
              </c:numCache>
            </c:numRef>
          </c:val>
          <c:smooth val="0"/>
          <c:extLst>
            <c:ext xmlns:c16="http://schemas.microsoft.com/office/drawing/2014/chart" uri="{C3380CC4-5D6E-409C-BE32-E72D297353CC}">
              <c16:uniqueId val="{00000003-69F4-4C6C-AE80-61A68FDFB0BF}"/>
            </c:ext>
          </c:extLst>
        </c:ser>
        <c:ser>
          <c:idx val="4"/>
          <c:order val="4"/>
          <c:tx>
            <c:strRef>
              <c:f>Tables!$B$142</c:f>
              <c:strCache>
                <c:ptCount val="1"/>
                <c:pt idx="0">
                  <c:v>F - Instructional</c:v>
                </c:pt>
              </c:strCache>
            </c:strRef>
          </c:tx>
          <c:spPr>
            <a:ln w="28575" cap="rnd">
              <a:solidFill>
                <a:schemeClr val="accent5"/>
              </a:solidFill>
              <a:round/>
            </a:ln>
            <a:effectLst/>
          </c:spPr>
          <c:marker>
            <c:symbol val="none"/>
          </c:marker>
          <c:cat>
            <c:strRef>
              <c:f>Tables!$C$137:$G$137</c:f>
              <c:strCache>
                <c:ptCount val="5"/>
                <c:pt idx="0">
                  <c:v>SY2013-2014</c:v>
                </c:pt>
                <c:pt idx="1">
                  <c:v>SY2014-2015</c:v>
                </c:pt>
                <c:pt idx="2">
                  <c:v>SY2015-2016</c:v>
                </c:pt>
                <c:pt idx="3">
                  <c:v>SY2016-2017</c:v>
                </c:pt>
                <c:pt idx="4">
                  <c:v>SY2017-2018</c:v>
                </c:pt>
              </c:strCache>
            </c:strRef>
          </c:cat>
          <c:val>
            <c:numRef>
              <c:f>Tables!$C$142:$G$142</c:f>
              <c:numCache>
                <c:formatCode>0%</c:formatCode>
                <c:ptCount val="5"/>
                <c:pt idx="0">
                  <c:v>0.2996987951807229</c:v>
                </c:pt>
                <c:pt idx="1">
                  <c:v>0.37942122186495175</c:v>
                </c:pt>
                <c:pt idx="2">
                  <c:v>0.27113702623906705</c:v>
                </c:pt>
                <c:pt idx="3">
                  <c:v>0.30235988200589969</c:v>
                </c:pt>
                <c:pt idx="4">
                  <c:v>0.23350923482849603</c:v>
                </c:pt>
              </c:numCache>
            </c:numRef>
          </c:val>
          <c:smooth val="0"/>
          <c:extLst>
            <c:ext xmlns:c16="http://schemas.microsoft.com/office/drawing/2014/chart" uri="{C3380CC4-5D6E-409C-BE32-E72D297353CC}">
              <c16:uniqueId val="{00000004-69F4-4C6C-AE80-61A68FDFB0BF}"/>
            </c:ext>
          </c:extLst>
        </c:ser>
        <c:ser>
          <c:idx val="5"/>
          <c:order val="5"/>
          <c:tx>
            <c:strRef>
              <c:f>Tables!$B$143</c:f>
              <c:strCache>
                <c:ptCount val="1"/>
                <c:pt idx="0">
                  <c:v>F - Independent</c:v>
                </c:pt>
              </c:strCache>
            </c:strRef>
          </c:tx>
          <c:spPr>
            <a:ln w="28575" cap="rnd">
              <a:solidFill>
                <a:schemeClr val="accent6"/>
              </a:solidFill>
              <a:round/>
            </a:ln>
            <a:effectLst/>
          </c:spPr>
          <c:marker>
            <c:symbol val="none"/>
          </c:marker>
          <c:cat>
            <c:strRef>
              <c:f>Tables!$C$137:$G$137</c:f>
              <c:strCache>
                <c:ptCount val="5"/>
                <c:pt idx="0">
                  <c:v>SY2013-2014</c:v>
                </c:pt>
                <c:pt idx="1">
                  <c:v>SY2014-2015</c:v>
                </c:pt>
                <c:pt idx="2">
                  <c:v>SY2015-2016</c:v>
                </c:pt>
                <c:pt idx="3">
                  <c:v>SY2016-2017</c:v>
                </c:pt>
                <c:pt idx="4">
                  <c:v>SY2017-2018</c:v>
                </c:pt>
              </c:strCache>
            </c:strRef>
          </c:cat>
          <c:val>
            <c:numRef>
              <c:f>Tables!$C$143:$G$143</c:f>
              <c:numCache>
                <c:formatCode>0%</c:formatCode>
                <c:ptCount val="5"/>
                <c:pt idx="0">
                  <c:v>0.61897590361445787</c:v>
                </c:pt>
                <c:pt idx="1">
                  <c:v>0.54823151125401925</c:v>
                </c:pt>
                <c:pt idx="2">
                  <c:v>0.55247813411078717</c:v>
                </c:pt>
                <c:pt idx="3">
                  <c:v>0.63421828908554567</c:v>
                </c:pt>
                <c:pt idx="4">
                  <c:v>0.6187335092348285</c:v>
                </c:pt>
              </c:numCache>
            </c:numRef>
          </c:val>
          <c:smooth val="0"/>
          <c:extLst>
            <c:ext xmlns:c16="http://schemas.microsoft.com/office/drawing/2014/chart" uri="{C3380CC4-5D6E-409C-BE32-E72D297353CC}">
              <c16:uniqueId val="{00000005-69F4-4C6C-AE80-61A68FDFB0BF}"/>
            </c:ext>
          </c:extLst>
        </c:ser>
        <c:dLbls>
          <c:showLegendKey val="0"/>
          <c:showVal val="0"/>
          <c:showCatName val="0"/>
          <c:showSerName val="0"/>
          <c:showPercent val="0"/>
          <c:showBubbleSize val="0"/>
        </c:dLbls>
        <c:smooth val="0"/>
        <c:axId val="2115405504"/>
        <c:axId val="2075082128"/>
      </c:lineChart>
      <c:catAx>
        <c:axId val="211540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075082128"/>
        <c:crosses val="autoZero"/>
        <c:auto val="1"/>
        <c:lblAlgn val="ctr"/>
        <c:lblOffset val="100"/>
        <c:noMultiLvlLbl val="0"/>
      </c:catAx>
      <c:valAx>
        <c:axId val="20750821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115405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baseline="0"/>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EBEIS!$BE$60</c:f>
              <c:strCache>
                <c:ptCount val="1"/>
                <c:pt idx="0">
                  <c:v>Private</c:v>
                </c:pt>
              </c:strCache>
            </c:strRef>
          </c:tx>
          <c:spPr>
            <a:solidFill>
              <a:schemeClr val="accent1"/>
            </a:solidFill>
            <a:ln>
              <a:noFill/>
            </a:ln>
            <a:effectLst/>
            <a:sp3d/>
          </c:spPr>
          <c:invertIfNegative val="0"/>
          <c:cat>
            <c:numRef>
              <c:f>EBEIS!$BF$59:$BH$59</c:f>
              <c:numCache>
                <c:formatCode>General</c:formatCode>
                <c:ptCount val="3"/>
                <c:pt idx="0">
                  <c:v>2015</c:v>
                </c:pt>
                <c:pt idx="1">
                  <c:v>2016</c:v>
                </c:pt>
                <c:pt idx="2">
                  <c:v>2017</c:v>
                </c:pt>
              </c:numCache>
            </c:numRef>
          </c:cat>
          <c:val>
            <c:numRef>
              <c:f>EBEIS!$BF$60:$BH$60</c:f>
              <c:numCache>
                <c:formatCode>General</c:formatCode>
                <c:ptCount val="3"/>
                <c:pt idx="0">
                  <c:v>14998</c:v>
                </c:pt>
                <c:pt idx="1">
                  <c:v>20408</c:v>
                </c:pt>
                <c:pt idx="2">
                  <c:v>26620</c:v>
                </c:pt>
              </c:numCache>
            </c:numRef>
          </c:val>
          <c:shape val="cylinder"/>
          <c:extLst>
            <c:ext xmlns:c16="http://schemas.microsoft.com/office/drawing/2014/chart" uri="{C3380CC4-5D6E-409C-BE32-E72D297353CC}">
              <c16:uniqueId val="{00000000-F4E2-405B-9FC8-E3F6FA6065F6}"/>
            </c:ext>
          </c:extLst>
        </c:ser>
        <c:ser>
          <c:idx val="1"/>
          <c:order val="1"/>
          <c:tx>
            <c:strRef>
              <c:f>EBEIS!$BE$61</c:f>
              <c:strCache>
                <c:ptCount val="1"/>
                <c:pt idx="0">
                  <c:v>Public</c:v>
                </c:pt>
              </c:strCache>
            </c:strRef>
          </c:tx>
          <c:spPr>
            <a:solidFill>
              <a:schemeClr val="accent2"/>
            </a:solidFill>
            <a:ln>
              <a:noFill/>
            </a:ln>
            <a:effectLst/>
            <a:sp3d/>
          </c:spPr>
          <c:invertIfNegative val="0"/>
          <c:cat>
            <c:numRef>
              <c:f>EBEIS!$BF$59:$BH$59</c:f>
              <c:numCache>
                <c:formatCode>General</c:formatCode>
                <c:ptCount val="3"/>
                <c:pt idx="0">
                  <c:v>2015</c:v>
                </c:pt>
                <c:pt idx="1">
                  <c:v>2016</c:v>
                </c:pt>
                <c:pt idx="2">
                  <c:v>2017</c:v>
                </c:pt>
              </c:numCache>
            </c:numRef>
          </c:cat>
          <c:val>
            <c:numRef>
              <c:f>EBEIS!$BF$61:$BH$61</c:f>
              <c:numCache>
                <c:formatCode>General</c:formatCode>
                <c:ptCount val="3"/>
                <c:pt idx="0">
                  <c:v>48398</c:v>
                </c:pt>
                <c:pt idx="1">
                  <c:v>49912</c:v>
                </c:pt>
                <c:pt idx="2">
                  <c:v>61321</c:v>
                </c:pt>
              </c:numCache>
            </c:numRef>
          </c:val>
          <c:shape val="cylinder"/>
          <c:extLst>
            <c:ext xmlns:c16="http://schemas.microsoft.com/office/drawing/2014/chart" uri="{C3380CC4-5D6E-409C-BE32-E72D297353CC}">
              <c16:uniqueId val="{00000001-F4E2-405B-9FC8-E3F6FA6065F6}"/>
            </c:ext>
          </c:extLst>
        </c:ser>
        <c:ser>
          <c:idx val="2"/>
          <c:order val="2"/>
          <c:tx>
            <c:strRef>
              <c:f>EBEIS!$BE$62</c:f>
              <c:strCache>
                <c:ptCount val="1"/>
                <c:pt idx="0">
                  <c:v>National</c:v>
                </c:pt>
              </c:strCache>
            </c:strRef>
          </c:tx>
          <c:spPr>
            <a:solidFill>
              <a:schemeClr val="accent3"/>
            </a:solidFill>
            <a:ln>
              <a:noFill/>
            </a:ln>
            <a:effectLst/>
            <a:sp3d/>
          </c:spPr>
          <c:invertIfNegative val="0"/>
          <c:cat>
            <c:numRef>
              <c:f>EBEIS!$BF$59:$BH$59</c:f>
              <c:numCache>
                <c:formatCode>General</c:formatCode>
                <c:ptCount val="3"/>
                <c:pt idx="0">
                  <c:v>2015</c:v>
                </c:pt>
                <c:pt idx="1">
                  <c:v>2016</c:v>
                </c:pt>
                <c:pt idx="2">
                  <c:v>2017</c:v>
                </c:pt>
              </c:numCache>
            </c:numRef>
          </c:cat>
          <c:val>
            <c:numRef>
              <c:f>EBEIS!$BF$62:$BH$62</c:f>
              <c:numCache>
                <c:formatCode>General</c:formatCode>
                <c:ptCount val="3"/>
                <c:pt idx="0">
                  <c:v>63396</c:v>
                </c:pt>
                <c:pt idx="1">
                  <c:v>70320</c:v>
                </c:pt>
                <c:pt idx="2">
                  <c:v>87941</c:v>
                </c:pt>
              </c:numCache>
            </c:numRef>
          </c:val>
          <c:shape val="cylinder"/>
          <c:extLst>
            <c:ext xmlns:c16="http://schemas.microsoft.com/office/drawing/2014/chart" uri="{C3380CC4-5D6E-409C-BE32-E72D297353CC}">
              <c16:uniqueId val="{00000002-F4E2-405B-9FC8-E3F6FA6065F6}"/>
            </c:ext>
          </c:extLst>
        </c:ser>
        <c:dLbls>
          <c:showLegendKey val="0"/>
          <c:showVal val="0"/>
          <c:showCatName val="0"/>
          <c:showSerName val="0"/>
          <c:showPercent val="0"/>
          <c:showBubbleSize val="0"/>
        </c:dLbls>
        <c:gapWidth val="150"/>
        <c:shape val="box"/>
        <c:axId val="1294905871"/>
        <c:axId val="1249221423"/>
        <c:axId val="0"/>
      </c:bar3DChart>
      <c:catAx>
        <c:axId val="129490587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249221423"/>
        <c:crosses val="autoZero"/>
        <c:auto val="1"/>
        <c:lblAlgn val="ctr"/>
        <c:lblOffset val="100"/>
        <c:noMultiLvlLbl val="0"/>
      </c:catAx>
      <c:valAx>
        <c:axId val="124922142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r>
                  <a:rPr lang="en-US"/>
                  <a:t>No of Schoos</a:t>
                </a:r>
              </a:p>
            </c:rich>
          </c:tx>
          <c:overlay val="0"/>
          <c:spPr>
            <a:noFill/>
            <a:ln>
              <a:noFill/>
            </a:ln>
            <a:effectLst/>
          </c:spPr>
          <c:txPr>
            <a:bodyPr rot="-54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29490587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6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baseline="0"/>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'LR Portal Data'!$A$32</c:f>
              <c:strCache>
                <c:ptCount val="1"/>
                <c:pt idx="0">
                  <c:v>BEST Regions</c:v>
                </c:pt>
              </c:strCache>
            </c:strRef>
          </c:tx>
          <c:spPr>
            <a:solidFill>
              <a:schemeClr val="accent1"/>
            </a:solidFill>
            <a:ln>
              <a:noFill/>
            </a:ln>
            <a:effectLst/>
            <a:sp3d/>
          </c:spPr>
          <c:invertIfNegative val="0"/>
          <c:cat>
            <c:strRef>
              <c:f>'LR Portal Data'!$B$30:$E$30</c:f>
              <c:strCache>
                <c:ptCount val="4"/>
                <c:pt idx="0">
                  <c:v>Regional Users</c:v>
                </c:pt>
                <c:pt idx="1">
                  <c:v>Division Users</c:v>
                </c:pt>
                <c:pt idx="2">
                  <c:v>Registered School Users</c:v>
                </c:pt>
                <c:pt idx="3">
                  <c:v>Non-DepEd Users</c:v>
                </c:pt>
              </c:strCache>
            </c:strRef>
          </c:cat>
          <c:val>
            <c:numRef>
              <c:f>'LR Portal Data'!$B$32:$E$32</c:f>
              <c:numCache>
                <c:formatCode>General</c:formatCode>
                <c:ptCount val="4"/>
                <c:pt idx="0">
                  <c:v>16941</c:v>
                </c:pt>
                <c:pt idx="1">
                  <c:v>18051</c:v>
                </c:pt>
                <c:pt idx="2">
                  <c:v>271007</c:v>
                </c:pt>
                <c:pt idx="3">
                  <c:v>42707</c:v>
                </c:pt>
              </c:numCache>
            </c:numRef>
          </c:val>
          <c:extLst>
            <c:ext xmlns:c16="http://schemas.microsoft.com/office/drawing/2014/chart" uri="{C3380CC4-5D6E-409C-BE32-E72D297353CC}">
              <c16:uniqueId val="{00000000-673E-4732-A1D3-2BA90BD157EC}"/>
            </c:ext>
          </c:extLst>
        </c:ser>
        <c:ser>
          <c:idx val="1"/>
          <c:order val="1"/>
          <c:tx>
            <c:strRef>
              <c:f>'LR Portal Data'!$A$33</c:f>
              <c:strCache>
                <c:ptCount val="1"/>
                <c:pt idx="0">
                  <c:v>Non-BEST Regions</c:v>
                </c:pt>
              </c:strCache>
            </c:strRef>
          </c:tx>
          <c:spPr>
            <a:solidFill>
              <a:schemeClr val="accent2"/>
            </a:solidFill>
            <a:ln>
              <a:noFill/>
            </a:ln>
            <a:effectLst/>
            <a:sp3d/>
          </c:spPr>
          <c:invertIfNegative val="0"/>
          <c:cat>
            <c:strRef>
              <c:f>'LR Portal Data'!$B$30:$E$30</c:f>
              <c:strCache>
                <c:ptCount val="4"/>
                <c:pt idx="0">
                  <c:v>Regional Users</c:v>
                </c:pt>
                <c:pt idx="1">
                  <c:v>Division Users</c:v>
                </c:pt>
                <c:pt idx="2">
                  <c:v>Registered School Users</c:v>
                </c:pt>
                <c:pt idx="3">
                  <c:v>Non-DepEd Users</c:v>
                </c:pt>
              </c:strCache>
            </c:strRef>
          </c:cat>
          <c:val>
            <c:numRef>
              <c:f>'LR Portal Data'!$B$33:$E$33</c:f>
              <c:numCache>
                <c:formatCode>General</c:formatCode>
                <c:ptCount val="4"/>
                <c:pt idx="0">
                  <c:v>24597</c:v>
                </c:pt>
                <c:pt idx="1">
                  <c:v>26409</c:v>
                </c:pt>
                <c:pt idx="2">
                  <c:v>285099</c:v>
                </c:pt>
                <c:pt idx="3">
                  <c:v>51078</c:v>
                </c:pt>
              </c:numCache>
            </c:numRef>
          </c:val>
          <c:extLst>
            <c:ext xmlns:c16="http://schemas.microsoft.com/office/drawing/2014/chart" uri="{C3380CC4-5D6E-409C-BE32-E72D297353CC}">
              <c16:uniqueId val="{00000001-673E-4732-A1D3-2BA90BD157EC}"/>
            </c:ext>
          </c:extLst>
        </c:ser>
        <c:dLbls>
          <c:showLegendKey val="0"/>
          <c:showVal val="0"/>
          <c:showCatName val="0"/>
          <c:showSerName val="0"/>
          <c:showPercent val="0"/>
          <c:showBubbleSize val="0"/>
        </c:dLbls>
        <c:gapWidth val="150"/>
        <c:shape val="box"/>
        <c:axId val="1327157663"/>
        <c:axId val="1293417167"/>
        <c:axId val="0"/>
      </c:bar3DChart>
      <c:catAx>
        <c:axId val="1327157663"/>
        <c:scaling>
          <c:orientation val="maxMin"/>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293417167"/>
        <c:crosses val="autoZero"/>
        <c:auto val="1"/>
        <c:lblAlgn val="ctr"/>
        <c:lblOffset val="100"/>
        <c:noMultiLvlLbl val="0"/>
      </c:catAx>
      <c:valAx>
        <c:axId val="1293417167"/>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327157663"/>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6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baseline="0"/>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'Part 3 Profile'!$HB$16</c:f>
              <c:strCache>
                <c:ptCount val="1"/>
                <c:pt idx="0">
                  <c:v>Principals (n=39)</c:v>
                </c:pt>
              </c:strCache>
            </c:strRef>
          </c:tx>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'Part 3 Profile'!$HA$17:$HA$21</c:f>
              <c:strCache>
                <c:ptCount val="5"/>
                <c:pt idx="0">
                  <c:v>21-29 years old</c:v>
                </c:pt>
                <c:pt idx="1">
                  <c:v>30-39 years old</c:v>
                </c:pt>
                <c:pt idx="2">
                  <c:v>40-49 years old</c:v>
                </c:pt>
                <c:pt idx="3">
                  <c:v>50-59 years old </c:v>
                </c:pt>
                <c:pt idx="4">
                  <c:v>Not stated</c:v>
                </c:pt>
              </c:strCache>
            </c:strRef>
          </c:cat>
          <c:val>
            <c:numRef>
              <c:f>'Part 3 Profile'!$HB$17:$HB$21</c:f>
              <c:numCache>
                <c:formatCode>0%</c:formatCode>
                <c:ptCount val="5"/>
                <c:pt idx="0">
                  <c:v>0</c:v>
                </c:pt>
                <c:pt idx="1">
                  <c:v>5.128205128205128E-2</c:v>
                </c:pt>
                <c:pt idx="2">
                  <c:v>0.30769230769230771</c:v>
                </c:pt>
                <c:pt idx="3">
                  <c:v>0.41025641025641024</c:v>
                </c:pt>
                <c:pt idx="4">
                  <c:v>0.23076923076923084</c:v>
                </c:pt>
              </c:numCache>
            </c:numRef>
          </c:val>
          <c:extLst>
            <c:ext xmlns:c16="http://schemas.microsoft.com/office/drawing/2014/chart" uri="{C3380CC4-5D6E-409C-BE32-E72D297353CC}">
              <c16:uniqueId val="{00000000-5A70-4081-BAF8-F5E789FD8EBB}"/>
            </c:ext>
          </c:extLst>
        </c:ser>
        <c:ser>
          <c:idx val="1"/>
          <c:order val="1"/>
          <c:tx>
            <c:strRef>
              <c:f>'Part 3 Profile'!$HC$16</c:f>
              <c:strCache>
                <c:ptCount val="1"/>
                <c:pt idx="0">
                  <c:v>Teachers (n=193)</c:v>
                </c:pt>
              </c:strCache>
            </c:strRef>
          </c:tx>
          <c:spPr>
            <a:solidFill>
              <a:schemeClr val="accent2"/>
            </a:solidFill>
            <a:ln>
              <a:noFill/>
            </a:ln>
            <a:effectLst/>
            <a:sp3d/>
          </c:spPr>
          <c:invertIfNegative val="0"/>
          <c:dLbls>
            <c:dLbl>
              <c:idx val="2"/>
              <c:layout>
                <c:manualLayout>
                  <c:x val="1.388888888888888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A70-4081-BAF8-F5E789FD8EBB}"/>
                </c:ext>
              </c:extLst>
            </c:dLbl>
            <c:dLbl>
              <c:idx val="3"/>
              <c:layout>
                <c:manualLayout>
                  <c:x val="1.6666666666666666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A70-4081-BAF8-F5E789FD8EBB}"/>
                </c:ext>
              </c:extLst>
            </c:dLbl>
            <c:dLbl>
              <c:idx val="4"/>
              <c:layout>
                <c:manualLayout>
                  <c:x val="1.666666666666666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A70-4081-BAF8-F5E789FD8EBB}"/>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'Part 3 Profile'!$HA$17:$HA$21</c:f>
              <c:strCache>
                <c:ptCount val="5"/>
                <c:pt idx="0">
                  <c:v>21-29 years old</c:v>
                </c:pt>
                <c:pt idx="1">
                  <c:v>30-39 years old</c:v>
                </c:pt>
                <c:pt idx="2">
                  <c:v>40-49 years old</c:v>
                </c:pt>
                <c:pt idx="3">
                  <c:v>50-59 years old </c:v>
                </c:pt>
                <c:pt idx="4">
                  <c:v>Not stated</c:v>
                </c:pt>
              </c:strCache>
            </c:strRef>
          </c:cat>
          <c:val>
            <c:numRef>
              <c:f>'Part 3 Profile'!$HC$17:$HC$21</c:f>
              <c:numCache>
                <c:formatCode>0%</c:formatCode>
                <c:ptCount val="5"/>
                <c:pt idx="0">
                  <c:v>0.11917098445595854</c:v>
                </c:pt>
                <c:pt idx="1">
                  <c:v>0.33678756476683935</c:v>
                </c:pt>
                <c:pt idx="2">
                  <c:v>0.23316062176165803</c:v>
                </c:pt>
                <c:pt idx="3">
                  <c:v>0.23834196891191708</c:v>
                </c:pt>
                <c:pt idx="4">
                  <c:v>7.2538860103626979E-2</c:v>
                </c:pt>
              </c:numCache>
            </c:numRef>
          </c:val>
          <c:extLst>
            <c:ext xmlns:c16="http://schemas.microsoft.com/office/drawing/2014/chart" uri="{C3380CC4-5D6E-409C-BE32-E72D297353CC}">
              <c16:uniqueId val="{00000004-5A70-4081-BAF8-F5E789FD8EBB}"/>
            </c:ext>
          </c:extLst>
        </c:ser>
        <c:dLbls>
          <c:showLegendKey val="0"/>
          <c:showVal val="1"/>
          <c:showCatName val="0"/>
          <c:showSerName val="0"/>
          <c:showPercent val="0"/>
          <c:showBubbleSize val="0"/>
        </c:dLbls>
        <c:gapWidth val="150"/>
        <c:shape val="box"/>
        <c:axId val="1532284608"/>
        <c:axId val="1532175040"/>
        <c:axId val="0"/>
      </c:bar3DChart>
      <c:catAx>
        <c:axId val="15322846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532175040"/>
        <c:crosses val="autoZero"/>
        <c:auto val="1"/>
        <c:lblAlgn val="ctr"/>
        <c:lblOffset val="100"/>
        <c:noMultiLvlLbl val="0"/>
      </c:catAx>
      <c:valAx>
        <c:axId val="1532175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532284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'Part 3 Profile'!$HB$27</c:f>
              <c:strCache>
                <c:ptCount val="1"/>
                <c:pt idx="0">
                  <c:v>Principals (n=39)</c:v>
                </c:pt>
              </c:strCache>
            </c:strRef>
          </c:tx>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'Part 3 Profile'!$HA$28:$HA$31</c:f>
              <c:strCache>
                <c:ptCount val="4"/>
                <c:pt idx="0">
                  <c:v>Bachelor’s Degree</c:v>
                </c:pt>
                <c:pt idx="1">
                  <c:v>Master’s Degree</c:v>
                </c:pt>
                <c:pt idx="2">
                  <c:v>Doctoral Degree</c:v>
                </c:pt>
                <c:pt idx="3">
                  <c:v>Not stated</c:v>
                </c:pt>
              </c:strCache>
            </c:strRef>
          </c:cat>
          <c:val>
            <c:numRef>
              <c:f>'Part 3 Profile'!$HB$28:$HB$31</c:f>
              <c:numCache>
                <c:formatCode>0%</c:formatCode>
                <c:ptCount val="4"/>
                <c:pt idx="0">
                  <c:v>0.23076923076923078</c:v>
                </c:pt>
                <c:pt idx="1">
                  <c:v>0.33333333333333331</c:v>
                </c:pt>
                <c:pt idx="2">
                  <c:v>0.23076923076923078</c:v>
                </c:pt>
                <c:pt idx="3">
                  <c:v>0.20512820512820507</c:v>
                </c:pt>
              </c:numCache>
            </c:numRef>
          </c:val>
          <c:extLst>
            <c:ext xmlns:c16="http://schemas.microsoft.com/office/drawing/2014/chart" uri="{C3380CC4-5D6E-409C-BE32-E72D297353CC}">
              <c16:uniqueId val="{00000000-179F-48EA-BB75-10A0AFBAA792}"/>
            </c:ext>
          </c:extLst>
        </c:ser>
        <c:ser>
          <c:idx val="1"/>
          <c:order val="1"/>
          <c:tx>
            <c:strRef>
              <c:f>'Part 3 Profile'!$HC$27</c:f>
              <c:strCache>
                <c:ptCount val="1"/>
                <c:pt idx="0">
                  <c:v>Teachers (n=193)</c:v>
                </c:pt>
              </c:strCache>
            </c:strRef>
          </c:tx>
          <c:spPr>
            <a:solidFill>
              <a:schemeClr val="accent2"/>
            </a:solidFill>
            <a:ln>
              <a:noFill/>
            </a:ln>
            <a:effectLst/>
            <a:sp3d/>
          </c:spPr>
          <c:invertIfNegative val="0"/>
          <c:dLbls>
            <c:dLbl>
              <c:idx val="2"/>
              <c:layout>
                <c:manualLayout>
                  <c:x val="1.6666666666666666E-2"/>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79F-48EA-BB75-10A0AFBAA792}"/>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'Part 3 Profile'!$HA$28:$HA$31</c:f>
              <c:strCache>
                <c:ptCount val="4"/>
                <c:pt idx="0">
                  <c:v>Bachelor’s Degree</c:v>
                </c:pt>
                <c:pt idx="1">
                  <c:v>Master’s Degree</c:v>
                </c:pt>
                <c:pt idx="2">
                  <c:v>Doctoral Degree</c:v>
                </c:pt>
                <c:pt idx="3">
                  <c:v>Not stated</c:v>
                </c:pt>
              </c:strCache>
            </c:strRef>
          </c:cat>
          <c:val>
            <c:numRef>
              <c:f>'Part 3 Profile'!$HC$28:$HC$31</c:f>
              <c:numCache>
                <c:formatCode>0%</c:formatCode>
                <c:ptCount val="4"/>
                <c:pt idx="0">
                  <c:v>0.46632124352331605</c:v>
                </c:pt>
                <c:pt idx="1">
                  <c:v>0.37305699481865284</c:v>
                </c:pt>
                <c:pt idx="2">
                  <c:v>5.181347150259067E-2</c:v>
                </c:pt>
                <c:pt idx="3">
                  <c:v>0.10880829015544047</c:v>
                </c:pt>
              </c:numCache>
            </c:numRef>
          </c:val>
          <c:extLst>
            <c:ext xmlns:c16="http://schemas.microsoft.com/office/drawing/2014/chart" uri="{C3380CC4-5D6E-409C-BE32-E72D297353CC}">
              <c16:uniqueId val="{00000002-179F-48EA-BB75-10A0AFBAA792}"/>
            </c:ext>
          </c:extLst>
        </c:ser>
        <c:dLbls>
          <c:showLegendKey val="0"/>
          <c:showVal val="1"/>
          <c:showCatName val="0"/>
          <c:showSerName val="0"/>
          <c:showPercent val="0"/>
          <c:showBubbleSize val="0"/>
        </c:dLbls>
        <c:gapWidth val="150"/>
        <c:shape val="box"/>
        <c:axId val="1563123104"/>
        <c:axId val="1532485920"/>
        <c:axId val="1562931056"/>
      </c:bar3DChart>
      <c:catAx>
        <c:axId val="15631231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532485920"/>
        <c:crosses val="autoZero"/>
        <c:auto val="1"/>
        <c:lblAlgn val="ctr"/>
        <c:lblOffset val="100"/>
        <c:noMultiLvlLbl val="0"/>
      </c:catAx>
      <c:valAx>
        <c:axId val="15324859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563123104"/>
        <c:crosses val="autoZero"/>
        <c:crossBetween val="between"/>
      </c:valAx>
      <c:serAx>
        <c:axId val="1562931056"/>
        <c:scaling>
          <c:orientation val="minMax"/>
        </c:scaling>
        <c:delete val="1"/>
        <c:axPos val="b"/>
        <c:majorTickMark val="none"/>
        <c:minorTickMark val="none"/>
        <c:tickLblPos val="nextTo"/>
        <c:crossAx val="1532485920"/>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j-lt"/>
                <a:ea typeface="+mn-ea"/>
                <a:cs typeface="Arial" panose="020B0604020202020204" pitchFamily="34" charset="0"/>
              </a:defRPr>
            </a:pPr>
            <a:r>
              <a:rPr lang="en-US"/>
              <a:t>Average Change of Grades</a:t>
            </a:r>
          </a:p>
          <a:p>
            <a:pPr>
              <a:defRPr/>
            </a:pPr>
            <a:r>
              <a:rPr lang="en-US"/>
              <a:t>By Grade Level</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j-lt"/>
              <a:ea typeface="+mn-ea"/>
              <a:cs typeface="Arial" panose="020B0604020202020204" pitchFamily="34" charset="0"/>
            </a:defRPr>
          </a:pPr>
          <a:endParaRPr lang="en-US"/>
        </a:p>
      </c:txPr>
    </c:title>
    <c:autoTitleDeleted val="0"/>
    <c:plotArea>
      <c:layout/>
      <c:barChart>
        <c:barDir val="col"/>
        <c:grouping val="clustered"/>
        <c:varyColors val="0"/>
        <c:ser>
          <c:idx val="1"/>
          <c:order val="0"/>
          <c:tx>
            <c:strRef>
              <c:f>Graphs!$D$28</c:f>
              <c:strCache>
                <c:ptCount val="1"/>
                <c:pt idx="0">
                  <c:v>BEST</c:v>
                </c:pt>
              </c:strCache>
            </c:strRef>
          </c:tx>
          <c:spPr>
            <a:solidFill>
              <a:srgbClr val="0070C0"/>
            </a:solidFill>
            <a:ln>
              <a:noFill/>
            </a:ln>
            <a:effectLst/>
          </c:spPr>
          <c:invertIfNegative val="0"/>
          <c:dLbls>
            <c:numFmt formatCode="#,##0.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Graphs!$B$29:$B$31</c:f>
              <c:strCache>
                <c:ptCount val="3"/>
                <c:pt idx="0">
                  <c:v>Grade 4</c:v>
                </c:pt>
                <c:pt idx="1">
                  <c:v>Grade 5</c:v>
                </c:pt>
                <c:pt idx="2">
                  <c:v>Grade 6</c:v>
                </c:pt>
              </c:strCache>
            </c:strRef>
          </c:cat>
          <c:val>
            <c:numRef>
              <c:f>Graphs!$D$29:$D$31</c:f>
              <c:numCache>
                <c:formatCode>General</c:formatCode>
                <c:ptCount val="3"/>
                <c:pt idx="0">
                  <c:v>3.4404509999999999</c:v>
                </c:pt>
                <c:pt idx="1">
                  <c:v>3.2525430000000002</c:v>
                </c:pt>
                <c:pt idx="2">
                  <c:v>2.5292599999999998</c:v>
                </c:pt>
              </c:numCache>
            </c:numRef>
          </c:val>
          <c:extLst>
            <c:ext xmlns:c16="http://schemas.microsoft.com/office/drawing/2014/chart" uri="{C3380CC4-5D6E-409C-BE32-E72D297353CC}">
              <c16:uniqueId val="{00000000-C8EE-4CF8-B00A-EE0809BABC6E}"/>
            </c:ext>
          </c:extLst>
        </c:ser>
        <c:ser>
          <c:idx val="2"/>
          <c:order val="1"/>
          <c:tx>
            <c:strRef>
              <c:f>Graphs!$E$28</c:f>
              <c:strCache>
                <c:ptCount val="1"/>
                <c:pt idx="0">
                  <c:v>Non-BEST</c:v>
                </c:pt>
              </c:strCache>
            </c:strRef>
          </c:tx>
          <c:spPr>
            <a:solidFill>
              <a:schemeClr val="accent2"/>
            </a:solidFill>
            <a:ln>
              <a:noFill/>
            </a:ln>
            <a:effectLst/>
          </c:spPr>
          <c:invertIfNegative val="0"/>
          <c:dLbls>
            <c:numFmt formatCode="#,##0.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Graphs!$B$29:$B$31</c:f>
              <c:strCache>
                <c:ptCount val="3"/>
                <c:pt idx="0">
                  <c:v>Grade 4</c:v>
                </c:pt>
                <c:pt idx="1">
                  <c:v>Grade 5</c:v>
                </c:pt>
                <c:pt idx="2">
                  <c:v>Grade 6</c:v>
                </c:pt>
              </c:strCache>
            </c:strRef>
          </c:cat>
          <c:val>
            <c:numRef>
              <c:f>Graphs!$E$29:$E$31</c:f>
              <c:numCache>
                <c:formatCode>General</c:formatCode>
                <c:ptCount val="3"/>
                <c:pt idx="0">
                  <c:v>3.8661949999999998</c:v>
                </c:pt>
                <c:pt idx="1">
                  <c:v>3.6504259999999999</c:v>
                </c:pt>
                <c:pt idx="2">
                  <c:v>2.9880689999999999</c:v>
                </c:pt>
              </c:numCache>
            </c:numRef>
          </c:val>
          <c:extLst>
            <c:ext xmlns:c16="http://schemas.microsoft.com/office/drawing/2014/chart" uri="{C3380CC4-5D6E-409C-BE32-E72D297353CC}">
              <c16:uniqueId val="{00000001-C8EE-4CF8-B00A-EE0809BABC6E}"/>
            </c:ext>
          </c:extLst>
        </c:ser>
        <c:dLbls>
          <c:showLegendKey val="0"/>
          <c:showVal val="0"/>
          <c:showCatName val="0"/>
          <c:showSerName val="0"/>
          <c:showPercent val="0"/>
          <c:showBubbleSize val="0"/>
        </c:dLbls>
        <c:gapWidth val="219"/>
        <c:overlap val="-27"/>
        <c:axId val="146073088"/>
        <c:axId val="146074624"/>
      </c:barChart>
      <c:catAx>
        <c:axId val="146073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Arial" panose="020B0604020202020204" pitchFamily="34" charset="0"/>
              </a:defRPr>
            </a:pPr>
            <a:endParaRPr lang="en-US"/>
          </a:p>
        </c:txPr>
        <c:crossAx val="146074624"/>
        <c:crosses val="autoZero"/>
        <c:auto val="1"/>
        <c:lblAlgn val="ctr"/>
        <c:lblOffset val="100"/>
        <c:noMultiLvlLbl val="0"/>
      </c:catAx>
      <c:valAx>
        <c:axId val="146074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Arial" panose="020B0604020202020204" pitchFamily="34" charset="0"/>
                  </a:defRPr>
                </a:pPr>
                <a:r>
                  <a:rPr lang="en-US"/>
                  <a:t>Average Growth</a:t>
                </a:r>
              </a:p>
              <a:p>
                <a:pPr>
                  <a:defRPr/>
                </a:pPr>
                <a:r>
                  <a:rPr lang="en-US"/>
                  <a:t>(in Percentage Points)</a:t>
                </a:r>
              </a:p>
              <a:p>
                <a:pPr>
                  <a:defRPr/>
                </a:pPr>
                <a:endParaRPr lang="en-US"/>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Arial" panose="020B0604020202020204" pitchFamily="34" charset="0"/>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Arial" panose="020B0604020202020204" pitchFamily="34" charset="0"/>
              </a:defRPr>
            </a:pPr>
            <a:endParaRPr lang="en-US"/>
          </a:p>
        </c:txPr>
        <c:crossAx val="146073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800">
          <a:latin typeface="+mj-lt"/>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BE35D2-73A3-4DBD-A2C9-1544DAC0D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525</Pages>
  <Words>132368</Words>
  <Characters>731420</Characters>
  <Application>Microsoft Office Word</Application>
  <DocSecurity>0</DocSecurity>
  <Lines>24456</Lines>
  <Paragraphs>12605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2021-12-08T23:02:00Z</dcterms:created>
  <dcterms:modified xsi:type="dcterms:W3CDTF">2021-12-08T23:03:00Z</dcterms:modified>
  <cp:category/>
</cp:coreProperties>
</file>